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9.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2.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3.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4.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5.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6.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7.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18.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19.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footer20.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footer21.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oter22.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23.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footer24.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footer25.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footer26.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footer27.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footer28.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footer29.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footer30.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footer31.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footer32.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footer33.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footer34.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footer35.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footer36.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footer37.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footer38.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39.xml" ContentType="application/vnd.openxmlformats-officedocument.wordprocessingml.footer+xml"/>
  <Override PartName="/word/header110.xml" ContentType="application/vnd.openxmlformats-officedocument.wordprocessingml.header+xml"/>
  <Override PartName="/word/footer40.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41.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footer42.xml" ContentType="application/vnd.openxmlformats-officedocument.wordprocessingml.foot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footer43.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footer44.xml" ContentType="application/vnd.openxmlformats-officedocument.wordprocessingml.foot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footer45.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46.xml" ContentType="application/vnd.openxmlformats-officedocument.wordprocessingml.footer+xml"/>
  <Override PartName="/word/header127.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footer49.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footer50.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footer51.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footer52.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footer53.xml" ContentType="application/vnd.openxmlformats-officedocument.wordprocessingml.foot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footer54.xml" ContentType="application/vnd.openxmlformats-officedocument.wordprocessingml.foot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footer55.xml" ContentType="application/vnd.openxmlformats-officedocument.wordprocessingml.foot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footer56.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footer57.xml" ContentType="application/vnd.openxmlformats-officedocument.wordprocessingml.foot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footer58.xml" ContentType="application/vnd.openxmlformats-officedocument.wordprocessingml.footer+xml"/>
  <Override PartName="/word/header15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38501B" w14:textId="6155E224" w:rsidR="00410D2F" w:rsidRDefault="00EC635A" w:rsidP="00410D2F">
      <w:bookmarkStart w:id="0" w:name="_GoBack"/>
      <w:bookmarkEnd w:id="0"/>
      <w:r>
        <w:rPr>
          <w:noProof/>
        </w:rPr>
        <mc:AlternateContent>
          <mc:Choice Requires="wps">
            <w:drawing>
              <wp:anchor distT="0" distB="0" distL="114300" distR="114300" simplePos="0" relativeHeight="251664384" behindDoc="0" locked="0" layoutInCell="1" allowOverlap="1" wp14:anchorId="055A76CC" wp14:editId="0EAE4652">
                <wp:simplePos x="0" y="0"/>
                <wp:positionH relativeFrom="column">
                  <wp:posOffset>-800735</wp:posOffset>
                </wp:positionH>
                <wp:positionV relativeFrom="paragraph">
                  <wp:posOffset>-605155</wp:posOffset>
                </wp:positionV>
                <wp:extent cx="3945890" cy="2346325"/>
                <wp:effectExtent l="0" t="0" r="0" b="0"/>
                <wp:wrapNone/>
                <wp:docPr id="7" name="Text Box 7"/>
                <wp:cNvGraphicFramePr/>
                <a:graphic xmlns:a="http://schemas.openxmlformats.org/drawingml/2006/main">
                  <a:graphicData uri="http://schemas.microsoft.com/office/word/2010/wordprocessingShape">
                    <wps:wsp>
                      <wps:cNvSpPr txBox="1"/>
                      <wps:spPr>
                        <a:xfrm>
                          <a:off x="0" y="0"/>
                          <a:ext cx="3945890" cy="2346325"/>
                        </a:xfrm>
                        <a:prstGeom prst="rect">
                          <a:avLst/>
                        </a:prstGeom>
                        <a:noFill/>
                        <a:ln w="6350">
                          <a:noFill/>
                        </a:ln>
                        <a:effectLst/>
                      </wps:spPr>
                      <wps:txbx>
                        <w:txbxContent>
                          <w:p w14:paraId="058AEBD4" w14:textId="77777777" w:rsidR="00282011" w:rsidRPr="0030698B" w:rsidRDefault="00282011" w:rsidP="00C879A7">
                            <w:pPr>
                              <w:rPr>
                                <w:i/>
                                <w:color w:val="FFFFFF"/>
                                <w:sz w:val="32"/>
                                <w:szCs w:val="32"/>
                                <w:lang w:val="en-US"/>
                              </w:rPr>
                            </w:pPr>
                            <w:r>
                              <w:rPr>
                                <w:b/>
                                <w:color w:val="FFFFFF"/>
                                <w:sz w:val="44"/>
                                <w:szCs w:val="44"/>
                                <w:lang w:val="en-US"/>
                              </w:rPr>
                              <w:t xml:space="preserve">The </w:t>
                            </w:r>
                            <w:r w:rsidRPr="0030698B">
                              <w:rPr>
                                <w:b/>
                                <w:color w:val="FFFFFF"/>
                                <w:sz w:val="44"/>
                                <w:szCs w:val="44"/>
                                <w:lang w:val="en-US"/>
                              </w:rPr>
                              <w:t xml:space="preserve">CarbonNet </w:t>
                            </w:r>
                            <w:r>
                              <w:rPr>
                                <w:b/>
                                <w:color w:val="FFFFFF"/>
                                <w:sz w:val="44"/>
                                <w:szCs w:val="44"/>
                                <w:lang w:val="en-US"/>
                              </w:rPr>
                              <w:t>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5A76CC" id="_x0000_t202" coordsize="21600,21600" o:spt="202" path="m,l,21600r21600,l21600,xe">
                <v:stroke joinstyle="miter"/>
                <v:path gradientshapeok="t" o:connecttype="rect"/>
              </v:shapetype>
              <v:shape id="Text Box 7" o:spid="_x0000_s1026" type="#_x0000_t202" style="position:absolute;left:0;text-align:left;margin-left:-63.05pt;margin-top:-47.65pt;width:310.7pt;height:18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" filled="f" stroked="f" strokeweight=".5pt">
                <v:textbox>
                  <w:txbxContent>
                    <w:p w14:paraId="058AEBD4" w14:textId="77777777" w:rsidR="00282011" w:rsidRPr="0030698B" w:rsidRDefault="00282011" w:rsidP="00C879A7">
                      <w:pPr>
                        <w:rPr>
                          <w:i/>
                          <w:color w:val="FFFFFF"/>
                          <w:sz w:val="32"/>
                          <w:szCs w:val="32"/>
                          <w:lang w:val="en-US"/>
                        </w:rPr>
                      </w:pPr>
                      <w:r>
                        <w:rPr>
                          <w:b/>
                          <w:color w:val="FFFFFF"/>
                          <w:sz w:val="44"/>
                          <w:szCs w:val="44"/>
                          <w:lang w:val="en-US"/>
                        </w:rPr>
                        <w:t xml:space="preserve">The </w:t>
                      </w:r>
                      <w:r w:rsidRPr="0030698B">
                        <w:rPr>
                          <w:b/>
                          <w:color w:val="FFFFFF"/>
                          <w:sz w:val="44"/>
                          <w:szCs w:val="44"/>
                          <w:lang w:val="en-US"/>
                        </w:rPr>
                        <w:t xml:space="preserve">CarbonNet </w:t>
                      </w:r>
                      <w:r>
                        <w:rPr>
                          <w:b/>
                          <w:color w:val="FFFFFF"/>
                          <w:sz w:val="44"/>
                          <w:szCs w:val="44"/>
                          <w:lang w:val="en-US"/>
                        </w:rPr>
                        <w:t>Project</w:t>
                      </w:r>
                    </w:p>
                  </w:txbxContent>
                </v:textbox>
              </v:shape>
            </w:pict>
          </mc:Fallback>
        </mc:AlternateContent>
      </w:r>
      <w:r w:rsidR="00410D2F">
        <w:cr/>
      </w:r>
      <w:r w:rsidR="00410D2F">
        <w:cr/>
      </w:r>
      <w:r w:rsidR="00410D2F">
        <w:cr/>
      </w:r>
      <w:r w:rsidR="00410D2F">
        <w:cr/>
      </w:r>
      <w:r w:rsidR="00410D2F">
        <w:cr/>
      </w:r>
    </w:p>
    <w:p w14:paraId="2FCAF64E" w14:textId="77777777" w:rsidR="00410D2F" w:rsidRDefault="00410D2F" w:rsidP="00410D2F"/>
    <w:p w14:paraId="1857E122" w14:textId="77777777" w:rsidR="00410D2F" w:rsidRDefault="00410D2F" w:rsidP="00410D2F"/>
    <w:p w14:paraId="7E64A42C" w14:textId="77777777" w:rsidR="00410D2F" w:rsidRDefault="00410D2F" w:rsidP="00410D2F"/>
    <w:p w14:paraId="75FB2F7B" w14:textId="77777777" w:rsidR="00410D2F" w:rsidRDefault="00410D2F" w:rsidP="00410D2F"/>
    <w:p w14:paraId="4059797F" w14:textId="77777777" w:rsidR="00410D2F" w:rsidRDefault="00410D2F" w:rsidP="00410D2F">
      <w:pPr>
        <w:tabs>
          <w:tab w:val="left" w:pos="5175"/>
        </w:tabs>
      </w:pPr>
    </w:p>
    <w:p w14:paraId="4396C1B2" w14:textId="77777777" w:rsidR="00410D2F" w:rsidRDefault="00410D2F" w:rsidP="00410D2F"/>
    <w:p w14:paraId="0991AB39" w14:textId="77777777" w:rsidR="00410D2F" w:rsidRDefault="00410D2F" w:rsidP="00410D2F"/>
    <w:p w14:paraId="34627037" w14:textId="77777777" w:rsidR="00410D2F" w:rsidRDefault="00410D2F" w:rsidP="00410D2F"/>
    <w:p w14:paraId="3F77C4E6" w14:textId="77777777" w:rsidR="00410D2F" w:rsidRDefault="00410D2F" w:rsidP="00410D2F"/>
    <w:p w14:paraId="70C97A01" w14:textId="77777777" w:rsidR="00410D2F" w:rsidRDefault="00410D2F" w:rsidP="00410D2F"/>
    <w:p w14:paraId="7C5A5904" w14:textId="77777777" w:rsidR="00410D2F" w:rsidRDefault="00410D2F" w:rsidP="00410D2F"/>
    <w:p w14:paraId="3115FAF2" w14:textId="77777777" w:rsidR="00410D2F" w:rsidRDefault="00410D2F" w:rsidP="00410D2F"/>
    <w:p w14:paraId="3348DF92" w14:textId="77777777" w:rsidR="00410D2F" w:rsidRDefault="00410D2F" w:rsidP="00410D2F"/>
    <w:p w14:paraId="0DB5ACB9" w14:textId="77777777" w:rsidR="00410D2F" w:rsidRDefault="00410D2F" w:rsidP="00410D2F"/>
    <w:p w14:paraId="0DAFF007" w14:textId="77777777" w:rsidR="00410D2F" w:rsidRDefault="00410D2F" w:rsidP="00410D2F"/>
    <w:p w14:paraId="31980693" w14:textId="77777777" w:rsidR="00410D2F" w:rsidRDefault="00410D2F" w:rsidP="00410D2F"/>
    <w:p w14:paraId="3040FA90" w14:textId="77777777" w:rsidR="00410D2F" w:rsidRDefault="00410D2F" w:rsidP="00410D2F"/>
    <w:p w14:paraId="47D932E4" w14:textId="77777777" w:rsidR="00410D2F" w:rsidRDefault="00410D2F" w:rsidP="00410D2F"/>
    <w:p w14:paraId="728220BA" w14:textId="77777777" w:rsidR="00410D2F" w:rsidRDefault="00410D2F" w:rsidP="00410D2F"/>
    <w:p w14:paraId="052E7FDA" w14:textId="77777777" w:rsidR="00410D2F" w:rsidRDefault="00410D2F" w:rsidP="00410D2F"/>
    <w:p w14:paraId="63EB8078" w14:textId="77777777" w:rsidR="00410D2F" w:rsidRDefault="00410D2F" w:rsidP="00410D2F"/>
    <w:p w14:paraId="5CAC7739" w14:textId="77777777" w:rsidR="00410D2F" w:rsidRDefault="00410D2F" w:rsidP="00410D2F"/>
    <w:p w14:paraId="5F66BAAB" w14:textId="77777777" w:rsidR="00410D2F" w:rsidRDefault="00410D2F" w:rsidP="00410D2F"/>
    <w:p w14:paraId="031420B8" w14:textId="77777777" w:rsidR="00410D2F" w:rsidRDefault="00410D2F" w:rsidP="00410D2F"/>
    <w:p w14:paraId="3637EA37" w14:textId="77777777" w:rsidR="00555763" w:rsidRDefault="00555763" w:rsidP="00410D2F"/>
    <w:p w14:paraId="1A2122BE" w14:textId="77777777" w:rsidR="00555763" w:rsidRDefault="00555763" w:rsidP="00410D2F"/>
    <w:p w14:paraId="043E8694" w14:textId="77777777" w:rsidR="00555763" w:rsidRDefault="00555763" w:rsidP="00410D2F"/>
    <w:p w14:paraId="6DBD8E0A" w14:textId="4BC65224" w:rsidR="00831640" w:rsidRDefault="00831640" w:rsidP="005342AE">
      <w:pPr>
        <w:jc w:val="right"/>
      </w:pPr>
    </w:p>
    <w:p w14:paraId="0EA2E96E" w14:textId="77777777" w:rsidR="00831640" w:rsidRPr="00831640" w:rsidRDefault="00831640" w:rsidP="00831640"/>
    <w:p w14:paraId="632CCF0A" w14:textId="77777777" w:rsidR="00831640" w:rsidRPr="00831640" w:rsidRDefault="00831640" w:rsidP="00831640"/>
    <w:p w14:paraId="796977A1" w14:textId="77777777" w:rsidR="00831640" w:rsidRPr="00831640" w:rsidRDefault="00831640" w:rsidP="00831640"/>
    <w:p w14:paraId="710829E9" w14:textId="77777777" w:rsidR="00831640" w:rsidRPr="00831640" w:rsidRDefault="00831640" w:rsidP="00831640"/>
    <w:p w14:paraId="70ABDB71" w14:textId="77777777" w:rsidR="00831640" w:rsidRPr="00831640" w:rsidRDefault="00831640" w:rsidP="00831640"/>
    <w:p w14:paraId="216208B5" w14:textId="77777777" w:rsidR="00831640" w:rsidRPr="00831640" w:rsidRDefault="00831640" w:rsidP="00831640"/>
    <w:p w14:paraId="124A18A8" w14:textId="48F4C8F1" w:rsidR="00831640" w:rsidRDefault="00831640" w:rsidP="00831640"/>
    <w:p w14:paraId="71CDA070" w14:textId="1FA45209" w:rsidR="00831640" w:rsidRDefault="00831640" w:rsidP="00831640">
      <w:pPr>
        <w:tabs>
          <w:tab w:val="left" w:pos="7440"/>
        </w:tabs>
      </w:pPr>
      <w:r>
        <w:tab/>
      </w:r>
    </w:p>
    <w:p w14:paraId="666950DB" w14:textId="714FDB77" w:rsidR="00831640" w:rsidRDefault="00831640" w:rsidP="00831640"/>
    <w:p w14:paraId="1FA35261" w14:textId="69DFC592" w:rsidR="00626C5F" w:rsidRDefault="00626C5F" w:rsidP="00831640"/>
    <w:p w14:paraId="567C4CC2" w14:textId="77777777" w:rsidR="00626C5F" w:rsidRPr="00626C5F" w:rsidRDefault="00626C5F" w:rsidP="00626C5F"/>
    <w:p w14:paraId="11ECDEA7" w14:textId="77777777" w:rsidR="00626C5F" w:rsidRPr="00626C5F" w:rsidRDefault="00626C5F" w:rsidP="00626C5F"/>
    <w:p w14:paraId="48AB7158" w14:textId="63AF264D" w:rsidR="00626C5F" w:rsidRDefault="00626C5F" w:rsidP="00626C5F">
      <w:pPr>
        <w:tabs>
          <w:tab w:val="left" w:pos="6120"/>
        </w:tabs>
      </w:pPr>
      <w:r>
        <w:tab/>
      </w:r>
    </w:p>
    <w:p w14:paraId="27DB6AC0" w14:textId="279B1767" w:rsidR="00626C5F" w:rsidRDefault="00626C5F" w:rsidP="00626C5F"/>
    <w:p w14:paraId="03DD811F" w14:textId="77777777" w:rsidR="00555763" w:rsidRPr="00626C5F" w:rsidRDefault="00555763" w:rsidP="00626C5F">
      <w:pPr>
        <w:sectPr w:rsidR="00555763" w:rsidRPr="00626C5F" w:rsidSect="00191E8E">
          <w:headerReference w:type="even" r:id="rId8"/>
          <w:headerReference w:type="default" r:id="rId9"/>
          <w:footerReference w:type="even" r:id="rId10"/>
          <w:footerReference w:type="default" r:id="rId11"/>
          <w:headerReference w:type="first" r:id="rId12"/>
          <w:footerReference w:type="first" r:id="rId13"/>
          <w:pgSz w:w="11906" w:h="16838" w:code="9"/>
          <w:pgMar w:top="1930" w:right="1800" w:bottom="1440" w:left="1800" w:header="706" w:footer="706" w:gutter="0"/>
          <w:pgNumType w:start="1"/>
          <w:cols w:space="708"/>
          <w:titlePg/>
          <w:docGrid w:linePitch="360"/>
        </w:sectPr>
      </w:pPr>
    </w:p>
    <w:p w14:paraId="4DC45DCC" w14:textId="77777777" w:rsidR="00022B97" w:rsidRPr="00022B97" w:rsidRDefault="00022B97" w:rsidP="00646CD8">
      <w:pPr>
        <w:pStyle w:val="introparagraph"/>
        <w:rPr>
          <w:rStyle w:val="contentfiguresheadingChar"/>
          <w:b w:val="0"/>
          <w:caps w:val="0"/>
          <w:sz w:val="28"/>
          <w:szCs w:val="28"/>
        </w:rPr>
      </w:pPr>
      <w:r w:rsidRPr="00022B97">
        <w:rPr>
          <w:rStyle w:val="contentfiguresheadingChar"/>
          <w:b w:val="0"/>
          <w:caps w:val="0"/>
          <w:sz w:val="28"/>
          <w:szCs w:val="28"/>
        </w:rPr>
        <w:lastRenderedPageBreak/>
        <w:t>DOCUMENT ACCEPTANCE and RELEASE NOTICE</w:t>
      </w:r>
    </w:p>
    <w:p w14:paraId="014F369A" w14:textId="77777777" w:rsidR="00022B97" w:rsidRPr="001977C7" w:rsidRDefault="00022B97" w:rsidP="00022B97">
      <w:pPr>
        <w:spacing w:after="200" w:line="276" w:lineRule="auto"/>
        <w:rPr>
          <w:rStyle w:val="contentfiguresheadingChar"/>
          <w:b w:val="0"/>
          <w:caps w:val="0"/>
        </w:rPr>
      </w:pPr>
    </w:p>
    <w:p w14:paraId="56EE5D1A" w14:textId="61E042C8" w:rsidR="00022B97" w:rsidRPr="00C02347" w:rsidRDefault="00022B97" w:rsidP="00022B97">
      <w:pPr>
        <w:spacing w:after="200" w:line="276" w:lineRule="auto"/>
        <w:ind w:left="0"/>
        <w:rPr>
          <w:rStyle w:val="contentfiguresheadingChar"/>
          <w:rFonts w:cs="Arial"/>
          <w:b w:val="0"/>
          <w:caps w:val="0"/>
          <w:sz w:val="22"/>
          <w:szCs w:val="22"/>
        </w:rPr>
      </w:pPr>
      <w:r w:rsidRPr="00C02347">
        <w:rPr>
          <w:rFonts w:cs="Arial"/>
          <w:sz w:val="22"/>
          <w:szCs w:val="22"/>
        </w:rPr>
        <w:t xml:space="preserve">This is </w:t>
      </w:r>
      <w:r w:rsidR="001C18F9">
        <w:rPr>
          <w:rFonts w:cs="Arial"/>
          <w:sz w:val="22"/>
          <w:szCs w:val="22"/>
        </w:rPr>
        <w:t>Revision</w:t>
      </w:r>
      <w:r w:rsidR="001C18F9" w:rsidRPr="00C02347">
        <w:rPr>
          <w:rFonts w:cs="Arial"/>
          <w:sz w:val="22"/>
          <w:szCs w:val="22"/>
        </w:rPr>
        <w:t xml:space="preserve"> </w:t>
      </w:r>
      <w:r w:rsidR="00891DE1">
        <w:rPr>
          <w:rFonts w:cs="Arial"/>
          <w:sz w:val="22"/>
          <w:szCs w:val="22"/>
        </w:rPr>
        <w:t>1</w:t>
      </w:r>
      <w:r w:rsidR="00DD10D5">
        <w:rPr>
          <w:rFonts w:cs="Arial"/>
          <w:sz w:val="22"/>
          <w:szCs w:val="22"/>
        </w:rPr>
        <w:t xml:space="preserve"> </w:t>
      </w:r>
      <w:r w:rsidRPr="00C02347">
        <w:rPr>
          <w:rFonts w:cs="Arial"/>
          <w:sz w:val="22"/>
          <w:szCs w:val="22"/>
        </w:rPr>
        <w:t xml:space="preserve">of the CarbonNet </w:t>
      </w:r>
      <w:r w:rsidR="00DD10D5">
        <w:rPr>
          <w:rFonts w:cs="Arial"/>
          <w:sz w:val="22"/>
          <w:szCs w:val="22"/>
        </w:rPr>
        <w:t xml:space="preserve">Pelican 3D Marine Seismic Survey </w:t>
      </w:r>
      <w:r w:rsidR="00A35DB3">
        <w:rPr>
          <w:rFonts w:cs="Arial"/>
          <w:sz w:val="22"/>
          <w:szCs w:val="22"/>
        </w:rPr>
        <w:t xml:space="preserve">(3DMSS) </w:t>
      </w:r>
      <w:r w:rsidR="00DD10D5">
        <w:rPr>
          <w:rFonts w:cs="Arial"/>
          <w:sz w:val="22"/>
          <w:szCs w:val="22"/>
        </w:rPr>
        <w:t>Environment Plan</w:t>
      </w:r>
      <w:r w:rsidR="00A35DB3">
        <w:rPr>
          <w:rFonts w:cs="Arial"/>
          <w:sz w:val="22"/>
          <w:szCs w:val="22"/>
        </w:rPr>
        <w:t xml:space="preserve"> (EP)</w:t>
      </w:r>
      <w:r w:rsidR="00F27E07">
        <w:rPr>
          <w:rFonts w:cs="Arial"/>
          <w:sz w:val="22"/>
          <w:szCs w:val="22"/>
        </w:rPr>
        <w:t xml:space="preserve"> Summary</w:t>
      </w:r>
      <w:r w:rsidRPr="00C02347">
        <w:rPr>
          <w:rFonts w:cs="Arial"/>
          <w:sz w:val="22"/>
          <w:szCs w:val="22"/>
        </w:rPr>
        <w:t>.</w:t>
      </w:r>
      <w:r w:rsidRPr="00C02347">
        <w:rPr>
          <w:rStyle w:val="contentfiguresheadingChar"/>
          <w:rFonts w:cs="Arial"/>
          <w:b w:val="0"/>
          <w:caps w:val="0"/>
          <w:sz w:val="22"/>
          <w:szCs w:val="22"/>
        </w:rPr>
        <w:t xml:space="preserve"> </w:t>
      </w:r>
    </w:p>
    <w:p w14:paraId="1176A044" w14:textId="01964BF4" w:rsidR="00022B97" w:rsidRPr="00C02347" w:rsidRDefault="00022B97" w:rsidP="00022B97">
      <w:pPr>
        <w:spacing w:after="200" w:line="276" w:lineRule="auto"/>
        <w:ind w:left="0"/>
        <w:rPr>
          <w:rStyle w:val="contentfiguresheadingChar"/>
          <w:rFonts w:cs="Arial"/>
          <w:b w:val="0"/>
          <w:caps w:val="0"/>
          <w:sz w:val="22"/>
          <w:szCs w:val="22"/>
        </w:rPr>
      </w:pPr>
      <w:r w:rsidRPr="00C02347">
        <w:rPr>
          <w:rFonts w:cs="Arial"/>
          <w:sz w:val="22"/>
          <w:szCs w:val="22"/>
        </w:rPr>
        <w:t>Th</w:t>
      </w:r>
      <w:r w:rsidR="00EF41BC">
        <w:rPr>
          <w:rFonts w:cs="Arial"/>
          <w:sz w:val="22"/>
          <w:szCs w:val="22"/>
        </w:rPr>
        <w:t>is</w:t>
      </w:r>
      <w:r w:rsidRPr="00C02347">
        <w:rPr>
          <w:rFonts w:cs="Arial"/>
          <w:sz w:val="22"/>
          <w:szCs w:val="22"/>
        </w:rPr>
        <w:t xml:space="preserve"> is a managed document. Changes will only be issued as a complete replacement document. Recipients should remove superseded versions from circulation. </w:t>
      </w:r>
    </w:p>
    <w:p w14:paraId="0EEF0C46" w14:textId="77777777" w:rsidR="00022B97" w:rsidRDefault="00022B97" w:rsidP="00646CD8">
      <w:pPr>
        <w:pStyle w:val="bodyCopy0"/>
        <w:rPr>
          <w:rStyle w:val="contentfiguresheadingChar"/>
          <w:b w:val="0"/>
          <w:caps w:val="0"/>
          <w:sz w:val="18"/>
          <w:szCs w:val="18"/>
        </w:rPr>
      </w:pPr>
    </w:p>
    <w:p w14:paraId="03B69C6B" w14:textId="188BBA6A" w:rsidR="00022B97" w:rsidRPr="008417FE" w:rsidRDefault="00022B97" w:rsidP="00646CD8">
      <w:pPr>
        <w:pStyle w:val="bodyCopy0"/>
        <w:rPr>
          <w:rStyle w:val="contentfiguresheadingChar"/>
          <w:b w:val="0"/>
          <w:caps w:val="0"/>
          <w:sz w:val="18"/>
          <w:szCs w:val="18"/>
        </w:rPr>
      </w:pPr>
      <w:r w:rsidRPr="001977C7">
        <w:rPr>
          <w:rStyle w:val="contentfiguresheadingChar"/>
          <w:b w:val="0"/>
          <w:caps w:val="0"/>
          <w:sz w:val="18"/>
          <w:szCs w:val="18"/>
        </w:rPr>
        <w:t>PREPARED</w:t>
      </w:r>
      <w:r w:rsidR="00573352">
        <w:rPr>
          <w:rStyle w:val="contentfiguresheadingChar"/>
          <w:b w:val="0"/>
          <w:caps w:val="0"/>
          <w:sz w:val="18"/>
          <w:szCs w:val="18"/>
        </w:rPr>
        <w:t xml:space="preserve"> FOR ACCEPTANCE</w:t>
      </w:r>
      <w:r>
        <w:rPr>
          <w:rStyle w:val="contentfiguresheadingChar"/>
          <w:b w:val="0"/>
          <w:caps w:val="0"/>
          <w:sz w:val="18"/>
          <w:szCs w:val="18"/>
        </w:rPr>
        <w:tab/>
      </w:r>
      <w:r>
        <w:rPr>
          <w:rStyle w:val="contentfiguresheadingChar"/>
          <w:b w:val="0"/>
          <w:caps w:val="0"/>
          <w:sz w:val="18"/>
          <w:szCs w:val="18"/>
        </w:rPr>
        <w:tab/>
      </w:r>
      <w:r>
        <w:rPr>
          <w:rStyle w:val="contentfiguresheadingChar"/>
          <w:b w:val="0"/>
          <w:caps w:val="0"/>
          <w:sz w:val="18"/>
          <w:szCs w:val="18"/>
        </w:rPr>
        <w:tab/>
      </w:r>
      <w:r>
        <w:rPr>
          <w:rStyle w:val="contentfiguresheadingChar"/>
          <w:b w:val="0"/>
          <w:caps w:val="0"/>
          <w:sz w:val="18"/>
          <w:szCs w:val="18"/>
        </w:rPr>
        <w:tab/>
      </w:r>
      <w:r>
        <w:rPr>
          <w:rStyle w:val="contentfiguresheadingChar"/>
          <w:b w:val="0"/>
          <w:caps w:val="0"/>
          <w:sz w:val="18"/>
          <w:szCs w:val="18"/>
        </w:rPr>
        <w:tab/>
      </w:r>
      <w:r>
        <w:rPr>
          <w:rStyle w:val="contentfiguresheadingChar"/>
          <w:b w:val="0"/>
          <w:caps w:val="0"/>
          <w:sz w:val="18"/>
          <w:szCs w:val="18"/>
        </w:rPr>
        <w:tab/>
      </w:r>
      <w:r w:rsidRPr="008417FE">
        <w:rPr>
          <w:rStyle w:val="contentfiguresheadingChar"/>
          <w:b w:val="0"/>
          <w:caps w:val="0"/>
          <w:sz w:val="18"/>
          <w:szCs w:val="18"/>
        </w:rPr>
        <w:t>DATE:</w:t>
      </w:r>
      <w:r w:rsidR="008417FE" w:rsidRPr="008417FE">
        <w:rPr>
          <w:rStyle w:val="contentfiguresheadingChar"/>
          <w:b w:val="0"/>
          <w:caps w:val="0"/>
          <w:sz w:val="18"/>
          <w:szCs w:val="18"/>
        </w:rPr>
        <w:t xml:space="preserve"> </w:t>
      </w:r>
      <w:r w:rsidR="00626C5F">
        <w:rPr>
          <w:rStyle w:val="contentfiguresheadingChar"/>
          <w:b w:val="0"/>
          <w:caps w:val="0"/>
          <w:sz w:val="18"/>
          <w:szCs w:val="18"/>
        </w:rPr>
        <w:t>18</w:t>
      </w:r>
      <w:r w:rsidRPr="008417FE">
        <w:rPr>
          <w:rStyle w:val="contentfiguresheadingChar"/>
          <w:b w:val="0"/>
          <w:caps w:val="0"/>
          <w:sz w:val="18"/>
          <w:szCs w:val="18"/>
        </w:rPr>
        <w:t>/</w:t>
      </w:r>
      <w:r w:rsidR="00646CD8">
        <w:rPr>
          <w:rStyle w:val="contentfiguresheadingChar"/>
          <w:b w:val="0"/>
          <w:caps w:val="0"/>
          <w:sz w:val="18"/>
          <w:szCs w:val="18"/>
        </w:rPr>
        <w:t>1</w:t>
      </w:r>
      <w:r w:rsidR="00983183">
        <w:rPr>
          <w:rStyle w:val="contentfiguresheadingChar"/>
          <w:b w:val="0"/>
          <w:caps w:val="0"/>
          <w:sz w:val="18"/>
          <w:szCs w:val="18"/>
        </w:rPr>
        <w:t>2</w:t>
      </w:r>
      <w:r w:rsidRPr="008417FE">
        <w:rPr>
          <w:rStyle w:val="contentfiguresheadingChar"/>
          <w:b w:val="0"/>
          <w:caps w:val="0"/>
          <w:sz w:val="18"/>
          <w:szCs w:val="18"/>
        </w:rPr>
        <w:t>/</w:t>
      </w:r>
      <w:r w:rsidR="00573352" w:rsidRPr="008417FE">
        <w:rPr>
          <w:rStyle w:val="contentfiguresheadingChar"/>
          <w:b w:val="0"/>
          <w:caps w:val="0"/>
          <w:sz w:val="18"/>
          <w:szCs w:val="18"/>
        </w:rPr>
        <w:t>2017</w:t>
      </w:r>
    </w:p>
    <w:p w14:paraId="0F9B7730" w14:textId="20D690EA" w:rsidR="00022B97" w:rsidRPr="008417FE" w:rsidRDefault="00EF41BC" w:rsidP="00D1258A">
      <w:pPr>
        <w:pStyle w:val="bodyCopy0"/>
        <w:rPr>
          <w:rStyle w:val="contentfiguresheadingChar"/>
          <w:b w:val="0"/>
          <w:caps w:val="0"/>
        </w:rPr>
      </w:pPr>
      <w:r w:rsidRPr="008417FE">
        <w:rPr>
          <w:rStyle w:val="contentfiguresheadingChar"/>
          <w:b w:val="0"/>
          <w:caps w:val="0"/>
          <w:sz w:val="18"/>
          <w:szCs w:val="18"/>
        </w:rPr>
        <w:t>Giulio Pinzone</w:t>
      </w:r>
      <w:r w:rsidR="00022B97" w:rsidRPr="008417FE">
        <w:rPr>
          <w:rStyle w:val="contentfiguresheadingChar"/>
          <w:b w:val="0"/>
          <w:caps w:val="0"/>
          <w:sz w:val="18"/>
          <w:szCs w:val="18"/>
        </w:rPr>
        <w:t xml:space="preserve">, </w:t>
      </w:r>
      <w:r w:rsidRPr="008417FE">
        <w:rPr>
          <w:rStyle w:val="contentfiguresheadingChar"/>
          <w:b w:val="0"/>
          <w:caps w:val="0"/>
          <w:sz w:val="18"/>
          <w:szCs w:val="18"/>
        </w:rPr>
        <w:t>Environmental Advisor</w:t>
      </w:r>
      <w:r w:rsidR="00022B97" w:rsidRPr="008417FE">
        <w:rPr>
          <w:rStyle w:val="contentfiguresheadingChar"/>
          <w:b w:val="0"/>
          <w:caps w:val="0"/>
          <w:sz w:val="18"/>
          <w:szCs w:val="18"/>
        </w:rPr>
        <w:t>, CarbonNet, Department of Economic Development, Jobs, Transport and Resources</w:t>
      </w:r>
    </w:p>
    <w:p w14:paraId="5A381665" w14:textId="4E5D332C" w:rsidR="00022B97" w:rsidRPr="001977C7" w:rsidRDefault="00022B97" w:rsidP="00983183">
      <w:pPr>
        <w:pStyle w:val="bodyCopy0"/>
        <w:rPr>
          <w:rStyle w:val="contentfiguresheadingChar"/>
          <w:b w:val="0"/>
          <w:caps w:val="0"/>
          <w:sz w:val="18"/>
          <w:szCs w:val="18"/>
        </w:rPr>
      </w:pPr>
      <w:r w:rsidRPr="008417FE">
        <w:rPr>
          <w:rStyle w:val="contentfiguresheadingChar"/>
          <w:b w:val="0"/>
          <w:caps w:val="0"/>
          <w:sz w:val="18"/>
          <w:szCs w:val="18"/>
        </w:rPr>
        <w:t>APPROVED</w:t>
      </w:r>
      <w:r w:rsidR="00573352" w:rsidRPr="008417FE">
        <w:rPr>
          <w:rStyle w:val="contentfiguresheadingChar"/>
          <w:b w:val="0"/>
          <w:caps w:val="0"/>
          <w:sz w:val="18"/>
          <w:szCs w:val="18"/>
        </w:rPr>
        <w:t xml:space="preserve"> FOR RELEASE</w:t>
      </w:r>
      <w:r w:rsidRPr="008417FE">
        <w:rPr>
          <w:rStyle w:val="contentfiguresheadingChar"/>
          <w:b w:val="0"/>
          <w:caps w:val="0"/>
          <w:sz w:val="18"/>
          <w:szCs w:val="18"/>
        </w:rPr>
        <w:tab/>
      </w:r>
      <w:r w:rsidRPr="008417FE">
        <w:rPr>
          <w:rStyle w:val="contentfiguresheadingChar"/>
          <w:b w:val="0"/>
          <w:caps w:val="0"/>
          <w:sz w:val="18"/>
          <w:szCs w:val="18"/>
        </w:rPr>
        <w:tab/>
      </w:r>
      <w:r w:rsidRPr="008417FE">
        <w:rPr>
          <w:rStyle w:val="contentfiguresheadingChar"/>
          <w:b w:val="0"/>
          <w:caps w:val="0"/>
          <w:sz w:val="18"/>
          <w:szCs w:val="18"/>
        </w:rPr>
        <w:tab/>
      </w:r>
      <w:r w:rsidRPr="008417FE">
        <w:rPr>
          <w:rStyle w:val="contentfiguresheadingChar"/>
          <w:b w:val="0"/>
          <w:caps w:val="0"/>
          <w:sz w:val="18"/>
          <w:szCs w:val="18"/>
        </w:rPr>
        <w:tab/>
      </w:r>
      <w:r w:rsidRPr="008417FE">
        <w:rPr>
          <w:rStyle w:val="contentfiguresheadingChar"/>
          <w:b w:val="0"/>
          <w:caps w:val="0"/>
          <w:sz w:val="18"/>
          <w:szCs w:val="18"/>
        </w:rPr>
        <w:tab/>
      </w:r>
      <w:r w:rsidRPr="008417FE">
        <w:rPr>
          <w:rStyle w:val="contentfiguresheadingChar"/>
          <w:b w:val="0"/>
          <w:caps w:val="0"/>
          <w:sz w:val="18"/>
          <w:szCs w:val="18"/>
        </w:rPr>
        <w:tab/>
        <w:t>DATE:</w:t>
      </w:r>
      <w:r w:rsidR="00573352" w:rsidRPr="008417FE">
        <w:rPr>
          <w:rStyle w:val="contentfiguresheadingChar"/>
          <w:b w:val="0"/>
          <w:caps w:val="0"/>
          <w:sz w:val="18"/>
          <w:szCs w:val="18"/>
        </w:rPr>
        <w:t xml:space="preserve"> </w:t>
      </w:r>
      <w:r w:rsidR="00626C5F">
        <w:rPr>
          <w:rStyle w:val="contentfiguresheadingChar"/>
          <w:b w:val="0"/>
          <w:caps w:val="0"/>
          <w:sz w:val="18"/>
          <w:szCs w:val="18"/>
        </w:rPr>
        <w:t>19</w:t>
      </w:r>
      <w:r w:rsidRPr="008417FE">
        <w:rPr>
          <w:rStyle w:val="contentfiguresheadingChar"/>
          <w:b w:val="0"/>
          <w:caps w:val="0"/>
          <w:sz w:val="18"/>
          <w:szCs w:val="18"/>
        </w:rPr>
        <w:t>/</w:t>
      </w:r>
      <w:r w:rsidR="00646CD8">
        <w:rPr>
          <w:rStyle w:val="contentfiguresheadingChar"/>
          <w:b w:val="0"/>
          <w:caps w:val="0"/>
          <w:sz w:val="18"/>
          <w:szCs w:val="18"/>
        </w:rPr>
        <w:t>1</w:t>
      </w:r>
      <w:r w:rsidR="00983183">
        <w:rPr>
          <w:rStyle w:val="contentfiguresheadingChar"/>
          <w:b w:val="0"/>
          <w:caps w:val="0"/>
          <w:sz w:val="18"/>
          <w:szCs w:val="18"/>
        </w:rPr>
        <w:t>2</w:t>
      </w:r>
      <w:r w:rsidRPr="008417FE">
        <w:rPr>
          <w:rStyle w:val="contentfiguresheadingChar"/>
          <w:b w:val="0"/>
          <w:caps w:val="0"/>
          <w:sz w:val="18"/>
          <w:szCs w:val="18"/>
        </w:rPr>
        <w:t>/</w:t>
      </w:r>
      <w:r w:rsidR="00573352">
        <w:rPr>
          <w:rStyle w:val="contentfiguresheadingChar"/>
          <w:b w:val="0"/>
          <w:caps w:val="0"/>
          <w:sz w:val="18"/>
          <w:szCs w:val="18"/>
        </w:rPr>
        <w:t>2017</w:t>
      </w:r>
    </w:p>
    <w:p w14:paraId="481CD57C" w14:textId="5A15D0E7" w:rsidR="00022B97" w:rsidRDefault="001C18F9" w:rsidP="00891DE1">
      <w:pPr>
        <w:pStyle w:val="bodyCopy0"/>
        <w:rPr>
          <w:rStyle w:val="contentfiguresheadingChar"/>
          <w:b w:val="0"/>
          <w:caps w:val="0"/>
        </w:rPr>
      </w:pPr>
      <w:r>
        <w:rPr>
          <w:rStyle w:val="contentfiguresheadingChar"/>
          <w:b w:val="0"/>
          <w:caps w:val="0"/>
          <w:sz w:val="18"/>
          <w:szCs w:val="18"/>
        </w:rPr>
        <w:t>Jane Burton</w:t>
      </w:r>
      <w:r w:rsidR="00022B97" w:rsidRPr="001977C7">
        <w:rPr>
          <w:rStyle w:val="contentfiguresheadingChar"/>
          <w:b w:val="0"/>
          <w:caps w:val="0"/>
          <w:sz w:val="18"/>
          <w:szCs w:val="18"/>
        </w:rPr>
        <w:t xml:space="preserve">, </w:t>
      </w:r>
      <w:r>
        <w:rPr>
          <w:rStyle w:val="contentfiguresheadingChar"/>
          <w:b w:val="0"/>
          <w:caps w:val="0"/>
          <w:sz w:val="18"/>
          <w:szCs w:val="18"/>
        </w:rPr>
        <w:t>Acting Executive Director</w:t>
      </w:r>
      <w:r w:rsidR="00022B97" w:rsidRPr="001977C7">
        <w:rPr>
          <w:rStyle w:val="contentfiguresheadingChar"/>
          <w:b w:val="0"/>
          <w:caps w:val="0"/>
          <w:sz w:val="18"/>
          <w:szCs w:val="18"/>
        </w:rPr>
        <w:t xml:space="preserve">, </w:t>
      </w:r>
      <w:r w:rsidR="00EF41BC">
        <w:rPr>
          <w:rStyle w:val="contentfiguresheadingChar"/>
          <w:b w:val="0"/>
          <w:caps w:val="0"/>
          <w:sz w:val="18"/>
          <w:szCs w:val="18"/>
        </w:rPr>
        <w:t>CarbonNet</w:t>
      </w:r>
      <w:r w:rsidR="00022B97">
        <w:rPr>
          <w:rStyle w:val="contentfiguresheadingChar"/>
          <w:b w:val="0"/>
          <w:caps w:val="0"/>
          <w:sz w:val="18"/>
          <w:szCs w:val="18"/>
        </w:rPr>
        <w:t xml:space="preserve">, </w:t>
      </w:r>
      <w:r w:rsidR="00022B97" w:rsidRPr="001977C7">
        <w:rPr>
          <w:rStyle w:val="contentfiguresheadingChar"/>
          <w:b w:val="0"/>
          <w:caps w:val="0"/>
          <w:sz w:val="18"/>
          <w:szCs w:val="18"/>
        </w:rPr>
        <w:t>Department of Economic Development, Jobs, Transport and Resources</w:t>
      </w:r>
    </w:p>
    <w:p w14:paraId="1536E16C" w14:textId="24839889" w:rsidR="00022B97" w:rsidRPr="009B18B6" w:rsidRDefault="008417FE" w:rsidP="008417FE">
      <w:pPr>
        <w:pStyle w:val="tablename"/>
        <w:ind w:left="360" w:hanging="360"/>
        <w:rPr>
          <w:rStyle w:val="contentfiguresheadingChar"/>
          <w:b/>
          <w:caps w:val="0"/>
          <w:sz w:val="28"/>
          <w:szCs w:val="28"/>
        </w:rPr>
      </w:pPr>
      <w:r>
        <w:rPr>
          <w:rStyle w:val="contentfiguresheadingChar"/>
          <w:caps w:val="0"/>
          <w:sz w:val="28"/>
          <w:szCs w:val="28"/>
        </w:rPr>
        <w:t>BUILD STATUS</w:t>
      </w:r>
      <w:r w:rsidR="00022B97" w:rsidRPr="009B18B6">
        <w:rPr>
          <w:rStyle w:val="contentfiguresheadingChar"/>
          <w:caps w:val="0"/>
          <w:sz w:val="28"/>
          <w:szCs w:val="28"/>
        </w:rPr>
        <w:t xml:space="preserve"> </w:t>
      </w:r>
    </w:p>
    <w:tbl>
      <w:tblPr>
        <w:tblStyle w:val="TableGrid"/>
        <w:tblW w:w="8330" w:type="dxa"/>
        <w:tblBorders>
          <w:top w:val="single" w:sz="2" w:space="0" w:color="064EA8"/>
          <w:left w:val="none" w:sz="0" w:space="0" w:color="auto"/>
          <w:bottom w:val="single" w:sz="2" w:space="0" w:color="064EA8"/>
          <w:right w:val="none" w:sz="0" w:space="0" w:color="auto"/>
          <w:insideH w:val="single" w:sz="2" w:space="0" w:color="064EA8"/>
          <w:insideV w:val="none" w:sz="0" w:space="0" w:color="auto"/>
        </w:tblBorders>
        <w:tblLayout w:type="fixed"/>
        <w:tblLook w:val="04A0" w:firstRow="1" w:lastRow="0" w:firstColumn="1" w:lastColumn="0" w:noHBand="0" w:noVBand="1"/>
        <w:tblCaption w:val="Table heading"/>
      </w:tblPr>
      <w:tblGrid>
        <w:gridCol w:w="652"/>
        <w:gridCol w:w="1262"/>
        <w:gridCol w:w="1029"/>
        <w:gridCol w:w="2410"/>
        <w:gridCol w:w="2977"/>
      </w:tblGrid>
      <w:tr w:rsidR="00AF7BA2" w:rsidRPr="00D51674" w14:paraId="3048B9C3" w14:textId="77777777" w:rsidTr="00AF7BA2">
        <w:trPr>
          <w:tblHeader/>
        </w:trPr>
        <w:tc>
          <w:tcPr>
            <w:tcW w:w="652" w:type="dxa"/>
            <w:shd w:val="clear" w:color="auto" w:fill="064EA8"/>
            <w:vAlign w:val="center"/>
          </w:tcPr>
          <w:p w14:paraId="7572AADF" w14:textId="2407F90B" w:rsidR="00906AA9" w:rsidRPr="00C02347" w:rsidRDefault="00906AA9" w:rsidP="00022B97">
            <w:pPr>
              <w:pStyle w:val="tabletitles"/>
              <w:rPr>
                <w:b w:val="0"/>
                <w:color w:val="FFFFFF" w:themeColor="background1"/>
                <w:sz w:val="20"/>
              </w:rPr>
            </w:pPr>
            <w:r w:rsidRPr="00C02347">
              <w:rPr>
                <w:b w:val="0"/>
                <w:color w:val="FFFFFF" w:themeColor="background1"/>
                <w:sz w:val="20"/>
              </w:rPr>
              <w:t>Rev</w:t>
            </w:r>
          </w:p>
        </w:tc>
        <w:tc>
          <w:tcPr>
            <w:tcW w:w="1262" w:type="dxa"/>
            <w:shd w:val="clear" w:color="auto" w:fill="064EA8"/>
            <w:vAlign w:val="center"/>
          </w:tcPr>
          <w:p w14:paraId="4B122785" w14:textId="77777777" w:rsidR="00906AA9" w:rsidRPr="00C02347" w:rsidRDefault="00906AA9" w:rsidP="00022B97">
            <w:pPr>
              <w:pStyle w:val="tabletitles"/>
              <w:rPr>
                <w:b w:val="0"/>
                <w:color w:val="FFFFFF" w:themeColor="background1"/>
                <w:sz w:val="20"/>
              </w:rPr>
            </w:pPr>
            <w:r w:rsidRPr="00C02347">
              <w:rPr>
                <w:b w:val="0"/>
                <w:color w:val="FFFFFF" w:themeColor="background1"/>
                <w:sz w:val="20"/>
              </w:rPr>
              <w:t>Date</w:t>
            </w:r>
          </w:p>
        </w:tc>
        <w:tc>
          <w:tcPr>
            <w:tcW w:w="1029" w:type="dxa"/>
            <w:shd w:val="clear" w:color="auto" w:fill="064EA8"/>
          </w:tcPr>
          <w:p w14:paraId="38DD12A5" w14:textId="38352180" w:rsidR="00906AA9" w:rsidRPr="00C02347" w:rsidRDefault="00906AA9" w:rsidP="00022B97">
            <w:pPr>
              <w:pStyle w:val="tabletitles"/>
              <w:rPr>
                <w:b w:val="0"/>
                <w:color w:val="FFFFFF" w:themeColor="background1"/>
                <w:sz w:val="20"/>
              </w:rPr>
            </w:pPr>
            <w:r w:rsidRPr="00C02347">
              <w:rPr>
                <w:b w:val="0"/>
                <w:color w:val="FFFFFF" w:themeColor="background1"/>
                <w:sz w:val="20"/>
              </w:rPr>
              <w:t>Author</w:t>
            </w:r>
          </w:p>
        </w:tc>
        <w:tc>
          <w:tcPr>
            <w:tcW w:w="2410" w:type="dxa"/>
            <w:shd w:val="clear" w:color="auto" w:fill="064EA8"/>
            <w:vAlign w:val="center"/>
          </w:tcPr>
          <w:p w14:paraId="44A0183D" w14:textId="186A1610" w:rsidR="00906AA9" w:rsidRPr="00C02347" w:rsidRDefault="00906AA9" w:rsidP="00022B97">
            <w:pPr>
              <w:pStyle w:val="tabletitles"/>
              <w:rPr>
                <w:b w:val="0"/>
                <w:color w:val="FFFFFF" w:themeColor="background1"/>
                <w:sz w:val="20"/>
              </w:rPr>
            </w:pPr>
            <w:r w:rsidRPr="00C02347">
              <w:rPr>
                <w:b w:val="0"/>
                <w:color w:val="FFFFFF" w:themeColor="background1"/>
                <w:sz w:val="20"/>
              </w:rPr>
              <w:t>Reason</w:t>
            </w:r>
          </w:p>
        </w:tc>
        <w:tc>
          <w:tcPr>
            <w:tcW w:w="2977" w:type="dxa"/>
            <w:shd w:val="clear" w:color="auto" w:fill="064EA8"/>
          </w:tcPr>
          <w:p w14:paraId="013E07B5" w14:textId="5F7B4E47" w:rsidR="00906AA9" w:rsidRPr="00C02347" w:rsidRDefault="00906AA9" w:rsidP="00022B97">
            <w:pPr>
              <w:pStyle w:val="tabletitles"/>
              <w:rPr>
                <w:b w:val="0"/>
                <w:color w:val="FFFFFF" w:themeColor="background1"/>
                <w:sz w:val="20"/>
              </w:rPr>
            </w:pPr>
            <w:r w:rsidRPr="00C02347">
              <w:rPr>
                <w:b w:val="0"/>
                <w:color w:val="FFFFFF" w:themeColor="background1"/>
                <w:sz w:val="20"/>
              </w:rPr>
              <w:t>Reviewers</w:t>
            </w:r>
          </w:p>
        </w:tc>
      </w:tr>
      <w:tr w:rsidR="00F96F8A" w:rsidRPr="00881EFC" w14:paraId="49B95EA2" w14:textId="77777777" w:rsidTr="00AF7BA2">
        <w:tc>
          <w:tcPr>
            <w:tcW w:w="652" w:type="dxa"/>
            <w:vAlign w:val="center"/>
          </w:tcPr>
          <w:p w14:paraId="52499C94" w14:textId="67703947" w:rsidR="00F96F8A" w:rsidRDefault="00F96F8A" w:rsidP="00022B97">
            <w:pPr>
              <w:pStyle w:val="tabletext3"/>
              <w:rPr>
                <w:sz w:val="20"/>
                <w:szCs w:val="20"/>
              </w:rPr>
            </w:pPr>
            <w:r>
              <w:rPr>
                <w:sz w:val="20"/>
                <w:szCs w:val="20"/>
              </w:rPr>
              <w:t>1</w:t>
            </w:r>
          </w:p>
        </w:tc>
        <w:tc>
          <w:tcPr>
            <w:tcW w:w="1262" w:type="dxa"/>
            <w:vAlign w:val="center"/>
          </w:tcPr>
          <w:p w14:paraId="6D08C4C3" w14:textId="57523D1F" w:rsidR="00F96F8A" w:rsidRDefault="00F96F8A" w:rsidP="00F27E07">
            <w:pPr>
              <w:pStyle w:val="tabletext3"/>
              <w:rPr>
                <w:sz w:val="20"/>
                <w:szCs w:val="20"/>
              </w:rPr>
            </w:pPr>
            <w:r>
              <w:rPr>
                <w:sz w:val="20"/>
                <w:szCs w:val="20"/>
              </w:rPr>
              <w:t>19/01/2018</w:t>
            </w:r>
          </w:p>
        </w:tc>
        <w:tc>
          <w:tcPr>
            <w:tcW w:w="1029" w:type="dxa"/>
            <w:vAlign w:val="center"/>
          </w:tcPr>
          <w:p w14:paraId="0471555E" w14:textId="77777777" w:rsidR="00F96F8A" w:rsidRDefault="00F96F8A" w:rsidP="00F96F8A">
            <w:pPr>
              <w:pStyle w:val="tabletext3"/>
              <w:rPr>
                <w:sz w:val="20"/>
                <w:szCs w:val="20"/>
              </w:rPr>
            </w:pPr>
          </w:p>
        </w:tc>
        <w:tc>
          <w:tcPr>
            <w:tcW w:w="2410" w:type="dxa"/>
            <w:vAlign w:val="center"/>
          </w:tcPr>
          <w:p w14:paraId="0AE4B99D" w14:textId="08FFB06C" w:rsidR="00F96F8A" w:rsidRDefault="00F96F8A" w:rsidP="00AF7BA2">
            <w:pPr>
              <w:pStyle w:val="tabletext3"/>
              <w:rPr>
                <w:sz w:val="20"/>
                <w:szCs w:val="20"/>
              </w:rPr>
            </w:pPr>
            <w:r>
              <w:rPr>
                <w:sz w:val="20"/>
                <w:szCs w:val="20"/>
              </w:rPr>
              <w:t>Final EP Summary accepted by NOPSEMA and DEDJTR (ERR)</w:t>
            </w:r>
          </w:p>
        </w:tc>
        <w:tc>
          <w:tcPr>
            <w:tcW w:w="2977" w:type="dxa"/>
            <w:vAlign w:val="center"/>
          </w:tcPr>
          <w:p w14:paraId="03B173F0" w14:textId="77777777" w:rsidR="00F96F8A" w:rsidRDefault="00F96F8A" w:rsidP="00AF7BA2">
            <w:pPr>
              <w:pStyle w:val="tabletext3"/>
              <w:rPr>
                <w:sz w:val="20"/>
                <w:szCs w:val="20"/>
              </w:rPr>
            </w:pPr>
          </w:p>
        </w:tc>
      </w:tr>
      <w:tr w:rsidR="00891DE1" w:rsidRPr="00881EFC" w14:paraId="671C96EE" w14:textId="77777777" w:rsidTr="00AF7BA2">
        <w:tc>
          <w:tcPr>
            <w:tcW w:w="652" w:type="dxa"/>
            <w:vAlign w:val="center"/>
          </w:tcPr>
          <w:p w14:paraId="7ED76364" w14:textId="4ED71E2C" w:rsidR="00891DE1" w:rsidRPr="00C02347" w:rsidRDefault="00891DE1" w:rsidP="00022B97">
            <w:pPr>
              <w:pStyle w:val="tabletext3"/>
              <w:rPr>
                <w:sz w:val="20"/>
                <w:szCs w:val="20"/>
              </w:rPr>
            </w:pPr>
            <w:r>
              <w:rPr>
                <w:sz w:val="20"/>
                <w:szCs w:val="20"/>
              </w:rPr>
              <w:t>1</w:t>
            </w:r>
          </w:p>
        </w:tc>
        <w:tc>
          <w:tcPr>
            <w:tcW w:w="1262" w:type="dxa"/>
            <w:vAlign w:val="center"/>
          </w:tcPr>
          <w:p w14:paraId="280CF794" w14:textId="70386A67" w:rsidR="00891DE1" w:rsidRDefault="00C56475" w:rsidP="00F27E07">
            <w:pPr>
              <w:pStyle w:val="tabletext3"/>
              <w:rPr>
                <w:sz w:val="20"/>
                <w:szCs w:val="20"/>
              </w:rPr>
            </w:pPr>
            <w:r>
              <w:rPr>
                <w:sz w:val="20"/>
                <w:szCs w:val="20"/>
              </w:rPr>
              <w:t>16</w:t>
            </w:r>
            <w:r w:rsidR="00891DE1">
              <w:rPr>
                <w:sz w:val="20"/>
                <w:szCs w:val="20"/>
              </w:rPr>
              <w:t>/01/2018</w:t>
            </w:r>
          </w:p>
        </w:tc>
        <w:tc>
          <w:tcPr>
            <w:tcW w:w="1029" w:type="dxa"/>
            <w:vAlign w:val="center"/>
          </w:tcPr>
          <w:p w14:paraId="1482B32C" w14:textId="4F95A8E8" w:rsidR="00891DE1" w:rsidRDefault="00891DE1" w:rsidP="00F96F8A">
            <w:pPr>
              <w:pStyle w:val="tabletext3"/>
              <w:rPr>
                <w:sz w:val="20"/>
                <w:szCs w:val="20"/>
              </w:rPr>
            </w:pPr>
            <w:r>
              <w:rPr>
                <w:sz w:val="20"/>
                <w:szCs w:val="20"/>
              </w:rPr>
              <w:t>M</w:t>
            </w:r>
            <w:r w:rsidR="00F96F8A">
              <w:rPr>
                <w:sz w:val="20"/>
                <w:szCs w:val="20"/>
              </w:rPr>
              <w:t>B</w:t>
            </w:r>
          </w:p>
        </w:tc>
        <w:tc>
          <w:tcPr>
            <w:tcW w:w="2410" w:type="dxa"/>
            <w:vAlign w:val="center"/>
          </w:tcPr>
          <w:p w14:paraId="7520609E" w14:textId="2687FA89" w:rsidR="00891DE1" w:rsidRPr="00C02347" w:rsidRDefault="00891DE1" w:rsidP="00AF7BA2">
            <w:pPr>
              <w:pStyle w:val="tabletext3"/>
              <w:rPr>
                <w:sz w:val="20"/>
                <w:szCs w:val="20"/>
              </w:rPr>
            </w:pPr>
            <w:r>
              <w:rPr>
                <w:sz w:val="20"/>
                <w:szCs w:val="20"/>
              </w:rPr>
              <w:t>To address comments from NOPSEMA and DEDJTR (ERR)</w:t>
            </w:r>
          </w:p>
        </w:tc>
        <w:tc>
          <w:tcPr>
            <w:tcW w:w="2977" w:type="dxa"/>
            <w:vAlign w:val="center"/>
          </w:tcPr>
          <w:p w14:paraId="76279218" w14:textId="3990681E" w:rsidR="00891DE1" w:rsidRDefault="00891DE1" w:rsidP="00AF7BA2">
            <w:pPr>
              <w:pStyle w:val="tabletext3"/>
              <w:rPr>
                <w:sz w:val="20"/>
                <w:szCs w:val="20"/>
              </w:rPr>
            </w:pPr>
            <w:r>
              <w:rPr>
                <w:sz w:val="20"/>
                <w:szCs w:val="20"/>
              </w:rPr>
              <w:t>NOPSEMA, DEDJTR (ERR)</w:t>
            </w:r>
          </w:p>
        </w:tc>
      </w:tr>
      <w:tr w:rsidR="00AF7BA2" w:rsidRPr="00881EFC" w14:paraId="77584BC4" w14:textId="77777777" w:rsidTr="00AF7BA2">
        <w:tc>
          <w:tcPr>
            <w:tcW w:w="652" w:type="dxa"/>
            <w:vAlign w:val="center"/>
          </w:tcPr>
          <w:p w14:paraId="057B5E19" w14:textId="4AB9DD8B" w:rsidR="00906AA9" w:rsidRPr="00C02347" w:rsidRDefault="00906AA9" w:rsidP="00022B97">
            <w:pPr>
              <w:pStyle w:val="tabletext3"/>
              <w:rPr>
                <w:sz w:val="20"/>
                <w:szCs w:val="20"/>
              </w:rPr>
            </w:pPr>
            <w:r w:rsidRPr="00C02347">
              <w:rPr>
                <w:sz w:val="20"/>
                <w:szCs w:val="20"/>
              </w:rPr>
              <w:t>0</w:t>
            </w:r>
          </w:p>
        </w:tc>
        <w:tc>
          <w:tcPr>
            <w:tcW w:w="1262" w:type="dxa"/>
            <w:vAlign w:val="center"/>
          </w:tcPr>
          <w:p w14:paraId="68D592F0" w14:textId="594DE657" w:rsidR="00906AA9" w:rsidRPr="00C02347" w:rsidRDefault="00626C5F" w:rsidP="00F27E07">
            <w:pPr>
              <w:pStyle w:val="tabletext3"/>
              <w:rPr>
                <w:sz w:val="20"/>
                <w:szCs w:val="20"/>
              </w:rPr>
            </w:pPr>
            <w:r>
              <w:rPr>
                <w:sz w:val="20"/>
                <w:szCs w:val="20"/>
              </w:rPr>
              <w:t>19</w:t>
            </w:r>
            <w:r w:rsidR="00906AA9">
              <w:rPr>
                <w:sz w:val="20"/>
                <w:szCs w:val="20"/>
              </w:rPr>
              <w:t>/</w:t>
            </w:r>
            <w:r w:rsidR="00F27E07">
              <w:rPr>
                <w:sz w:val="20"/>
                <w:szCs w:val="20"/>
              </w:rPr>
              <w:t>12/</w:t>
            </w:r>
            <w:r w:rsidR="00906AA9" w:rsidRPr="00C02347">
              <w:rPr>
                <w:sz w:val="20"/>
                <w:szCs w:val="20"/>
              </w:rPr>
              <w:t>2017</w:t>
            </w:r>
          </w:p>
        </w:tc>
        <w:tc>
          <w:tcPr>
            <w:tcW w:w="1029" w:type="dxa"/>
            <w:vAlign w:val="center"/>
          </w:tcPr>
          <w:p w14:paraId="547F0EDD" w14:textId="13DF115A" w:rsidR="00906AA9" w:rsidRPr="00C02347" w:rsidRDefault="00386E6D" w:rsidP="00F96F8A">
            <w:pPr>
              <w:pStyle w:val="tabletext3"/>
              <w:rPr>
                <w:rFonts w:eastAsia="MS Mincho"/>
                <w:b/>
                <w:bCs/>
                <w:i/>
                <w:iCs/>
                <w:color w:val="191919"/>
                <w:sz w:val="20"/>
                <w:szCs w:val="20"/>
                <w:lang w:eastAsia="en-US"/>
              </w:rPr>
            </w:pPr>
            <w:r>
              <w:rPr>
                <w:sz w:val="20"/>
                <w:szCs w:val="20"/>
              </w:rPr>
              <w:t>G</w:t>
            </w:r>
            <w:r w:rsidR="00F96F8A">
              <w:rPr>
                <w:sz w:val="20"/>
                <w:szCs w:val="20"/>
              </w:rPr>
              <w:t>P</w:t>
            </w:r>
          </w:p>
        </w:tc>
        <w:tc>
          <w:tcPr>
            <w:tcW w:w="2410" w:type="dxa"/>
            <w:vAlign w:val="center"/>
          </w:tcPr>
          <w:p w14:paraId="263AE25A" w14:textId="1547DB9A" w:rsidR="00906AA9" w:rsidRPr="00C02347" w:rsidRDefault="00906AA9" w:rsidP="00AF7BA2">
            <w:pPr>
              <w:pStyle w:val="tabletext3"/>
              <w:rPr>
                <w:sz w:val="20"/>
                <w:szCs w:val="20"/>
              </w:rPr>
            </w:pPr>
            <w:r w:rsidRPr="00C02347">
              <w:rPr>
                <w:sz w:val="20"/>
                <w:szCs w:val="20"/>
              </w:rPr>
              <w:t xml:space="preserve">Issue to regulators </w:t>
            </w:r>
          </w:p>
        </w:tc>
        <w:tc>
          <w:tcPr>
            <w:tcW w:w="2977" w:type="dxa"/>
            <w:vAlign w:val="center"/>
          </w:tcPr>
          <w:p w14:paraId="5DC6C5BD" w14:textId="1DE41275" w:rsidR="00906AA9" w:rsidRPr="00C02347" w:rsidRDefault="00906AA9" w:rsidP="00AF7BA2">
            <w:pPr>
              <w:pStyle w:val="tabletext3"/>
              <w:rPr>
                <w:sz w:val="20"/>
                <w:szCs w:val="20"/>
              </w:rPr>
            </w:pPr>
            <w:r>
              <w:rPr>
                <w:sz w:val="20"/>
                <w:szCs w:val="20"/>
              </w:rPr>
              <w:t>NOPSEMA, DEDJTR (ERR)</w:t>
            </w:r>
          </w:p>
        </w:tc>
      </w:tr>
      <w:tr w:rsidR="00AF7BA2" w:rsidRPr="00226428" w14:paraId="18E10BE3" w14:textId="77777777" w:rsidTr="00AF7BA2">
        <w:tc>
          <w:tcPr>
            <w:tcW w:w="652" w:type="dxa"/>
            <w:vAlign w:val="center"/>
          </w:tcPr>
          <w:p w14:paraId="710B2F66" w14:textId="538FB259" w:rsidR="00906AA9" w:rsidRPr="00C02347" w:rsidRDefault="00906AA9" w:rsidP="00022B97">
            <w:pPr>
              <w:pStyle w:val="tabletext3"/>
              <w:rPr>
                <w:sz w:val="20"/>
                <w:szCs w:val="20"/>
              </w:rPr>
            </w:pPr>
            <w:r w:rsidRPr="00C02347">
              <w:rPr>
                <w:sz w:val="20"/>
                <w:szCs w:val="20"/>
              </w:rPr>
              <w:t>A</w:t>
            </w:r>
          </w:p>
        </w:tc>
        <w:tc>
          <w:tcPr>
            <w:tcW w:w="1262" w:type="dxa"/>
            <w:vAlign w:val="center"/>
          </w:tcPr>
          <w:p w14:paraId="552659C9" w14:textId="5009DEFD" w:rsidR="00906AA9" w:rsidRPr="00C02347" w:rsidRDefault="00F27E07" w:rsidP="00F27E07">
            <w:pPr>
              <w:pStyle w:val="tabletext3"/>
              <w:rPr>
                <w:sz w:val="20"/>
                <w:szCs w:val="20"/>
              </w:rPr>
            </w:pPr>
            <w:r>
              <w:rPr>
                <w:sz w:val="20"/>
                <w:szCs w:val="20"/>
              </w:rPr>
              <w:t>18</w:t>
            </w:r>
            <w:r w:rsidR="00906AA9">
              <w:rPr>
                <w:sz w:val="20"/>
                <w:szCs w:val="20"/>
              </w:rPr>
              <w:t>/</w:t>
            </w:r>
            <w:r>
              <w:rPr>
                <w:sz w:val="20"/>
                <w:szCs w:val="20"/>
              </w:rPr>
              <w:t>1</w:t>
            </w:r>
            <w:r w:rsidR="00906AA9" w:rsidRPr="00C02347">
              <w:rPr>
                <w:sz w:val="20"/>
                <w:szCs w:val="20"/>
              </w:rPr>
              <w:t>2</w:t>
            </w:r>
            <w:r w:rsidR="00906AA9">
              <w:rPr>
                <w:sz w:val="20"/>
                <w:szCs w:val="20"/>
              </w:rPr>
              <w:t>/</w:t>
            </w:r>
            <w:r w:rsidR="00906AA9" w:rsidRPr="00C02347">
              <w:rPr>
                <w:sz w:val="20"/>
                <w:szCs w:val="20"/>
              </w:rPr>
              <w:t>2017</w:t>
            </w:r>
          </w:p>
        </w:tc>
        <w:tc>
          <w:tcPr>
            <w:tcW w:w="1029" w:type="dxa"/>
            <w:vAlign w:val="center"/>
          </w:tcPr>
          <w:p w14:paraId="04C2975B" w14:textId="50FD806C" w:rsidR="00906AA9" w:rsidRPr="00C02347" w:rsidRDefault="00906AA9" w:rsidP="00F96F8A">
            <w:pPr>
              <w:pStyle w:val="tabletext3"/>
              <w:rPr>
                <w:sz w:val="20"/>
                <w:szCs w:val="20"/>
              </w:rPr>
            </w:pPr>
            <w:r w:rsidRPr="00C02347">
              <w:rPr>
                <w:sz w:val="20"/>
                <w:szCs w:val="20"/>
              </w:rPr>
              <w:t>G</w:t>
            </w:r>
            <w:r w:rsidR="00F96F8A">
              <w:rPr>
                <w:sz w:val="20"/>
                <w:szCs w:val="20"/>
              </w:rPr>
              <w:t>P</w:t>
            </w:r>
            <w:r w:rsidRPr="00C02347">
              <w:rPr>
                <w:sz w:val="20"/>
                <w:szCs w:val="20"/>
              </w:rPr>
              <w:t xml:space="preserve"> </w:t>
            </w:r>
          </w:p>
        </w:tc>
        <w:tc>
          <w:tcPr>
            <w:tcW w:w="2410" w:type="dxa"/>
            <w:vAlign w:val="center"/>
          </w:tcPr>
          <w:p w14:paraId="6B3FD00B" w14:textId="1D63D6F1" w:rsidR="00906AA9" w:rsidRPr="00C02347" w:rsidRDefault="00906AA9" w:rsidP="00AF7BA2">
            <w:pPr>
              <w:pStyle w:val="tabletext3"/>
              <w:rPr>
                <w:sz w:val="20"/>
                <w:szCs w:val="20"/>
              </w:rPr>
            </w:pPr>
            <w:r w:rsidRPr="00C02347">
              <w:rPr>
                <w:sz w:val="20"/>
                <w:szCs w:val="20"/>
              </w:rPr>
              <w:t xml:space="preserve">Internal </w:t>
            </w:r>
            <w:r w:rsidR="00820BAD">
              <w:rPr>
                <w:sz w:val="20"/>
                <w:szCs w:val="20"/>
              </w:rPr>
              <w:t xml:space="preserve">review of </w:t>
            </w:r>
            <w:r>
              <w:rPr>
                <w:sz w:val="20"/>
                <w:szCs w:val="20"/>
              </w:rPr>
              <w:t xml:space="preserve">draft </w:t>
            </w:r>
          </w:p>
        </w:tc>
        <w:tc>
          <w:tcPr>
            <w:tcW w:w="2977" w:type="dxa"/>
            <w:vAlign w:val="center"/>
          </w:tcPr>
          <w:p w14:paraId="6FE6B818" w14:textId="77FB9A27" w:rsidR="00906AA9" w:rsidRPr="00891DE1" w:rsidRDefault="00F27E07" w:rsidP="00F96F8A">
            <w:pPr>
              <w:pStyle w:val="tabletext3"/>
              <w:rPr>
                <w:sz w:val="20"/>
                <w:szCs w:val="20"/>
                <w:lang w:val="pt-BR"/>
              </w:rPr>
            </w:pPr>
            <w:r>
              <w:rPr>
                <w:sz w:val="20"/>
                <w:szCs w:val="20"/>
                <w:lang w:val="pt-BR"/>
              </w:rPr>
              <w:t>IF</w:t>
            </w:r>
            <w:r w:rsidR="00906AA9" w:rsidRPr="00891DE1">
              <w:rPr>
                <w:sz w:val="20"/>
                <w:szCs w:val="20"/>
                <w:lang w:val="pt-BR"/>
              </w:rPr>
              <w:t xml:space="preserve">, </w:t>
            </w:r>
            <w:r w:rsidR="00DD10D5" w:rsidRPr="00891DE1">
              <w:rPr>
                <w:sz w:val="20"/>
                <w:szCs w:val="20"/>
                <w:lang w:val="pt-BR"/>
              </w:rPr>
              <w:t>V</w:t>
            </w:r>
            <w:r w:rsidR="00F96F8A">
              <w:rPr>
                <w:sz w:val="20"/>
                <w:szCs w:val="20"/>
                <w:lang w:val="pt-BR"/>
              </w:rPr>
              <w:t>MDC</w:t>
            </w:r>
          </w:p>
        </w:tc>
      </w:tr>
    </w:tbl>
    <w:p w14:paraId="14F9C3DE" w14:textId="77777777" w:rsidR="00573352" w:rsidRPr="00891DE1" w:rsidRDefault="00573352" w:rsidP="00320DC7">
      <w:pPr>
        <w:spacing w:line="240" w:lineRule="auto"/>
        <w:ind w:left="0"/>
        <w:rPr>
          <w:sz w:val="16"/>
          <w:szCs w:val="16"/>
          <w:lang w:val="pt-BR"/>
        </w:rPr>
      </w:pPr>
    </w:p>
    <w:p w14:paraId="297D5E2B" w14:textId="77777777" w:rsidR="00A975A6" w:rsidRPr="00891DE1" w:rsidRDefault="00A975A6" w:rsidP="00320DC7">
      <w:pPr>
        <w:spacing w:line="240" w:lineRule="auto"/>
        <w:ind w:left="0"/>
        <w:rPr>
          <w:sz w:val="16"/>
          <w:szCs w:val="16"/>
          <w:lang w:val="pt-BR"/>
        </w:rPr>
      </w:pPr>
    </w:p>
    <w:p w14:paraId="49926B04" w14:textId="77777777" w:rsidR="00A975A6" w:rsidRPr="00891DE1" w:rsidRDefault="00A975A6" w:rsidP="00320DC7">
      <w:pPr>
        <w:spacing w:line="240" w:lineRule="auto"/>
        <w:ind w:left="0"/>
        <w:rPr>
          <w:sz w:val="16"/>
          <w:szCs w:val="16"/>
          <w:lang w:val="pt-BR"/>
        </w:rPr>
      </w:pPr>
    </w:p>
    <w:p w14:paraId="112058AA" w14:textId="77777777" w:rsidR="00A975A6" w:rsidRPr="00891DE1" w:rsidRDefault="00A975A6" w:rsidP="00320DC7">
      <w:pPr>
        <w:spacing w:line="240" w:lineRule="auto"/>
        <w:ind w:left="0"/>
        <w:rPr>
          <w:sz w:val="16"/>
          <w:szCs w:val="16"/>
          <w:lang w:val="pt-BR"/>
        </w:rPr>
      </w:pPr>
    </w:p>
    <w:p w14:paraId="5B5F3228" w14:textId="77777777" w:rsidR="00320DC7" w:rsidRPr="003F4756" w:rsidRDefault="00320DC7" w:rsidP="00320DC7">
      <w:pPr>
        <w:spacing w:line="240" w:lineRule="auto"/>
        <w:ind w:left="0"/>
        <w:rPr>
          <w:sz w:val="16"/>
          <w:szCs w:val="16"/>
        </w:rPr>
      </w:pPr>
      <w:r w:rsidRPr="003F4756">
        <w:rPr>
          <w:sz w:val="16"/>
          <w:szCs w:val="16"/>
        </w:rPr>
        <w:t>Disclaimer</w:t>
      </w:r>
    </w:p>
    <w:p w14:paraId="6E140E48" w14:textId="77777777" w:rsidR="00320DC7" w:rsidRPr="00C02347" w:rsidRDefault="00320DC7" w:rsidP="00320DC7">
      <w:pPr>
        <w:pStyle w:val="authorisedby"/>
        <w:rPr>
          <w:rFonts w:ascii="Arial" w:hAnsi="Arial" w:cs="Arial"/>
          <w:color w:val="808080" w:themeColor="background1" w:themeShade="80"/>
          <w:sz w:val="18"/>
          <w:szCs w:val="18"/>
        </w:rPr>
      </w:pPr>
      <w:r w:rsidRPr="00C02347">
        <w:rPr>
          <w:rFonts w:ascii="Arial" w:hAnsi="Arial" w:cs="Arial"/>
          <w:color w:val="808080" w:themeColor="background1" w:themeShade="80"/>
          <w:sz w:val="18"/>
          <w:szCs w:val="18"/>
        </w:rPr>
        <w:t xml:space="preserve">The CarbonNet Project (through the Department of Economic Development, Jobs, Transport and Resources) disclaims all liability for any loss, damage, expense and costs incurred by any person arising out of using or relying on any material and information contained in this publication. </w:t>
      </w:r>
    </w:p>
    <w:p w14:paraId="1274D3A0" w14:textId="422607A1" w:rsidR="00320DC7" w:rsidRPr="00C02347" w:rsidRDefault="00320DC7" w:rsidP="00320DC7">
      <w:pPr>
        <w:pStyle w:val="authorisedby"/>
        <w:rPr>
          <w:rFonts w:ascii="Arial" w:hAnsi="Arial" w:cs="Arial"/>
          <w:color w:val="808080" w:themeColor="background1" w:themeShade="80"/>
          <w:sz w:val="18"/>
          <w:szCs w:val="18"/>
        </w:rPr>
      </w:pPr>
      <w:r w:rsidRPr="00C02347">
        <w:rPr>
          <w:rFonts w:ascii="Arial" w:hAnsi="Arial" w:cs="Arial"/>
          <w:color w:val="808080" w:themeColor="background1" w:themeShade="80"/>
          <w:sz w:val="18"/>
          <w:szCs w:val="18"/>
        </w:rPr>
        <w:t xml:space="preserve">The information and material contained in this publication is for the sole use of the party or organisation to which it is provided, and may not be made available to any other party or organisation without prior written consent from </w:t>
      </w:r>
      <w:r w:rsidR="00362322" w:rsidRPr="00C02347">
        <w:rPr>
          <w:rFonts w:ascii="Arial" w:hAnsi="Arial" w:cs="Arial"/>
          <w:color w:val="808080" w:themeColor="background1" w:themeShade="80"/>
          <w:sz w:val="18"/>
          <w:szCs w:val="18"/>
        </w:rPr>
        <w:t xml:space="preserve">the </w:t>
      </w:r>
      <w:r w:rsidRPr="00C02347">
        <w:rPr>
          <w:rFonts w:ascii="Arial" w:hAnsi="Arial" w:cs="Arial"/>
          <w:color w:val="808080" w:themeColor="background1" w:themeShade="80"/>
          <w:sz w:val="18"/>
          <w:szCs w:val="18"/>
        </w:rPr>
        <w:t xml:space="preserve">CarbonNet Project </w:t>
      </w:r>
      <w:r w:rsidR="008417FE">
        <w:rPr>
          <w:rFonts w:ascii="Arial" w:hAnsi="Arial" w:cs="Arial"/>
          <w:color w:val="808080" w:themeColor="background1" w:themeShade="80"/>
          <w:sz w:val="18"/>
          <w:szCs w:val="18"/>
        </w:rPr>
        <w:t>Sponsor</w:t>
      </w:r>
      <w:r w:rsidRPr="00C02347">
        <w:rPr>
          <w:rFonts w:ascii="Arial" w:hAnsi="Arial" w:cs="Arial"/>
          <w:color w:val="808080" w:themeColor="background1" w:themeShade="80"/>
          <w:sz w:val="18"/>
          <w:szCs w:val="18"/>
        </w:rPr>
        <w:t>.</w:t>
      </w:r>
    </w:p>
    <w:p w14:paraId="4D87EE39" w14:textId="77777777" w:rsidR="00693F45" w:rsidRPr="00C02347" w:rsidRDefault="00693F45" w:rsidP="00320DC7">
      <w:pPr>
        <w:pStyle w:val="authorisedby"/>
        <w:rPr>
          <w:rFonts w:ascii="Arial" w:hAnsi="Arial" w:cs="Arial"/>
          <w:color w:val="808080" w:themeColor="background1" w:themeShade="80"/>
          <w:sz w:val="18"/>
          <w:szCs w:val="18"/>
        </w:rPr>
      </w:pPr>
    </w:p>
    <w:p w14:paraId="26E75128" w14:textId="75D88E86" w:rsidR="00320DC7" w:rsidRDefault="00320DC7">
      <w:pPr>
        <w:spacing w:line="240" w:lineRule="auto"/>
        <w:ind w:left="0"/>
        <w:rPr>
          <w:sz w:val="16"/>
          <w:szCs w:val="16"/>
        </w:rPr>
      </w:pPr>
    </w:p>
    <w:p w14:paraId="515E1C60" w14:textId="77777777" w:rsidR="00983183" w:rsidRDefault="00983183">
      <w:pPr>
        <w:spacing w:line="240" w:lineRule="auto"/>
        <w:ind w:left="0"/>
        <w:rPr>
          <w:rStyle w:val="contentfiguresheadingChar"/>
        </w:rPr>
      </w:pPr>
      <w:r>
        <w:rPr>
          <w:rStyle w:val="contentfiguresheadingChar"/>
          <w:b w:val="0"/>
          <w:caps w:val="0"/>
        </w:rPr>
        <w:br w:type="page"/>
      </w:r>
    </w:p>
    <w:p w14:paraId="4D3C236D" w14:textId="301C866F" w:rsidR="005F1BD9" w:rsidRPr="009C48FC" w:rsidRDefault="005F1BD9" w:rsidP="005F1BD9">
      <w:pPr>
        <w:pStyle w:val="contentfiguresheading"/>
        <w:rPr>
          <w:rStyle w:val="contentfiguresheadingChar"/>
          <w:b/>
          <w:caps/>
        </w:rPr>
      </w:pPr>
      <w:r w:rsidRPr="009C48FC">
        <w:rPr>
          <w:rStyle w:val="contentfiguresheadingChar"/>
          <w:b/>
          <w:caps/>
        </w:rPr>
        <w:lastRenderedPageBreak/>
        <w:t>Table of contents</w:t>
      </w:r>
    </w:p>
    <w:p w14:paraId="4D814EE7" w14:textId="77777777" w:rsidR="009D48FF" w:rsidRDefault="00410D2F">
      <w:pPr>
        <w:pStyle w:val="TOC1"/>
        <w:tabs>
          <w:tab w:val="left" w:pos="1160"/>
        </w:tabs>
        <w:rPr>
          <w:rFonts w:asciiTheme="minorHAnsi" w:eastAsiaTheme="minorEastAsia" w:hAnsiTheme="minorHAnsi" w:cstheme="minorBidi"/>
          <w:b w:val="0"/>
          <w:lang w:eastAsia="ja-JP"/>
        </w:rPr>
      </w:pPr>
      <w:r>
        <w:fldChar w:fldCharType="begin"/>
      </w:r>
      <w:r>
        <w:instrText xml:space="preserve"> TOC \o "1-3" \h \z \u </w:instrText>
      </w:r>
      <w:r>
        <w:fldChar w:fldCharType="separate"/>
      </w:r>
      <w:r w:rsidR="009D48FF" w:rsidRPr="00637019">
        <w:rPr>
          <w:color w:val="064EA8"/>
          <w:lang w:eastAsia="en-US"/>
        </w:rPr>
        <w:t>1.</w:t>
      </w:r>
      <w:r w:rsidR="009D48FF">
        <w:rPr>
          <w:rFonts w:asciiTheme="minorHAnsi" w:eastAsiaTheme="minorEastAsia" w:hAnsiTheme="minorHAnsi" w:cstheme="minorBidi"/>
          <w:b w:val="0"/>
          <w:lang w:eastAsia="ja-JP"/>
        </w:rPr>
        <w:tab/>
      </w:r>
      <w:r w:rsidR="009D48FF" w:rsidRPr="00637019">
        <w:rPr>
          <w:color w:val="064EA8"/>
          <w:lang w:eastAsia="en-US"/>
        </w:rPr>
        <w:t>Introduction</w:t>
      </w:r>
      <w:r w:rsidR="009D48FF">
        <w:tab/>
      </w:r>
      <w:r w:rsidR="009D48FF">
        <w:fldChar w:fldCharType="begin"/>
      </w:r>
      <w:r w:rsidR="009D48FF">
        <w:instrText xml:space="preserve"> PAGEREF _Toc375214490 \h </w:instrText>
      </w:r>
      <w:r w:rsidR="009D48FF">
        <w:fldChar w:fldCharType="separate"/>
      </w:r>
      <w:r w:rsidR="00282011">
        <w:t>1</w:t>
      </w:r>
      <w:r w:rsidR="009D48FF">
        <w:fldChar w:fldCharType="end"/>
      </w:r>
    </w:p>
    <w:p w14:paraId="74BCC12B"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1.1.</w:t>
      </w:r>
      <w:r>
        <w:rPr>
          <w:rFonts w:asciiTheme="minorHAnsi" w:eastAsiaTheme="minorEastAsia" w:hAnsiTheme="minorHAnsi" w:cstheme="minorBidi"/>
          <w:lang w:eastAsia="ja-JP"/>
        </w:rPr>
        <w:tab/>
      </w:r>
      <w:r w:rsidRPr="00637019">
        <w:rPr>
          <w:color w:val="064EA8"/>
          <w:lang w:eastAsia="en-US"/>
        </w:rPr>
        <w:t>Background</w:t>
      </w:r>
      <w:r>
        <w:tab/>
      </w:r>
      <w:r>
        <w:fldChar w:fldCharType="begin"/>
      </w:r>
      <w:r>
        <w:instrText xml:space="preserve"> PAGEREF _Toc375214491 \h </w:instrText>
      </w:r>
      <w:r>
        <w:fldChar w:fldCharType="separate"/>
      </w:r>
      <w:r w:rsidR="00282011">
        <w:t>1</w:t>
      </w:r>
      <w:r>
        <w:fldChar w:fldCharType="end"/>
      </w:r>
    </w:p>
    <w:p w14:paraId="084B72E1"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1.2.</w:t>
      </w:r>
      <w:r>
        <w:rPr>
          <w:rFonts w:asciiTheme="minorHAnsi" w:eastAsiaTheme="minorEastAsia" w:hAnsiTheme="minorHAnsi" w:cstheme="minorBidi"/>
          <w:lang w:eastAsia="ja-JP"/>
        </w:rPr>
        <w:tab/>
      </w:r>
      <w:r w:rsidRPr="00637019">
        <w:rPr>
          <w:color w:val="064EA8"/>
          <w:lang w:eastAsia="en-US"/>
        </w:rPr>
        <w:t>Purpose</w:t>
      </w:r>
      <w:r>
        <w:tab/>
      </w:r>
      <w:r>
        <w:fldChar w:fldCharType="begin"/>
      </w:r>
      <w:r>
        <w:instrText xml:space="preserve"> PAGEREF _Toc375214492 \h </w:instrText>
      </w:r>
      <w:r>
        <w:fldChar w:fldCharType="separate"/>
      </w:r>
      <w:r w:rsidR="00282011">
        <w:t>1</w:t>
      </w:r>
      <w:r>
        <w:fldChar w:fldCharType="end"/>
      </w:r>
    </w:p>
    <w:p w14:paraId="5182D6B6"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1.3.</w:t>
      </w:r>
      <w:r>
        <w:rPr>
          <w:rFonts w:asciiTheme="minorHAnsi" w:eastAsiaTheme="minorEastAsia" w:hAnsiTheme="minorHAnsi" w:cstheme="minorBidi"/>
          <w:lang w:eastAsia="ja-JP"/>
        </w:rPr>
        <w:tab/>
      </w:r>
      <w:r w:rsidRPr="00637019">
        <w:rPr>
          <w:color w:val="064EA8"/>
          <w:lang w:eastAsia="en-US"/>
        </w:rPr>
        <w:t>Proponent</w:t>
      </w:r>
      <w:r>
        <w:tab/>
      </w:r>
      <w:r>
        <w:fldChar w:fldCharType="begin"/>
      </w:r>
      <w:r>
        <w:instrText xml:space="preserve"> PAGEREF _Toc375214493 \h </w:instrText>
      </w:r>
      <w:r>
        <w:fldChar w:fldCharType="separate"/>
      </w:r>
      <w:r w:rsidR="00282011">
        <w:t>1</w:t>
      </w:r>
      <w:r>
        <w:fldChar w:fldCharType="end"/>
      </w:r>
    </w:p>
    <w:p w14:paraId="2373EE11"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1.4.</w:t>
      </w:r>
      <w:r>
        <w:rPr>
          <w:rFonts w:asciiTheme="minorHAnsi" w:eastAsiaTheme="minorEastAsia" w:hAnsiTheme="minorHAnsi" w:cstheme="minorBidi"/>
          <w:lang w:eastAsia="ja-JP"/>
        </w:rPr>
        <w:tab/>
      </w:r>
      <w:r w:rsidRPr="00637019">
        <w:rPr>
          <w:color w:val="064EA8"/>
          <w:lang w:eastAsia="en-US"/>
        </w:rPr>
        <w:t>Titleholder and Liaison Person Details</w:t>
      </w:r>
      <w:r>
        <w:tab/>
      </w:r>
      <w:r>
        <w:fldChar w:fldCharType="begin"/>
      </w:r>
      <w:r>
        <w:instrText xml:space="preserve"> PAGEREF _Toc375214494 \h </w:instrText>
      </w:r>
      <w:r>
        <w:fldChar w:fldCharType="separate"/>
      </w:r>
      <w:r w:rsidR="00282011">
        <w:t>2</w:t>
      </w:r>
      <w:r>
        <w:fldChar w:fldCharType="end"/>
      </w:r>
    </w:p>
    <w:p w14:paraId="3180D5DF"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1.5.</w:t>
      </w:r>
      <w:r>
        <w:rPr>
          <w:rFonts w:asciiTheme="minorHAnsi" w:eastAsiaTheme="minorEastAsia" w:hAnsiTheme="minorHAnsi" w:cstheme="minorBidi"/>
          <w:lang w:eastAsia="ja-JP"/>
        </w:rPr>
        <w:tab/>
      </w:r>
      <w:r w:rsidRPr="00637019">
        <w:rPr>
          <w:color w:val="064EA8"/>
          <w:lang w:eastAsia="en-US"/>
        </w:rPr>
        <w:t>Scope of this Plan</w:t>
      </w:r>
      <w:r>
        <w:tab/>
      </w:r>
      <w:r>
        <w:fldChar w:fldCharType="begin"/>
      </w:r>
      <w:r>
        <w:instrText xml:space="preserve"> PAGEREF _Toc375214495 \h </w:instrText>
      </w:r>
      <w:r>
        <w:fldChar w:fldCharType="separate"/>
      </w:r>
      <w:r w:rsidR="00282011">
        <w:t>4</w:t>
      </w:r>
      <w:r>
        <w:fldChar w:fldCharType="end"/>
      </w:r>
    </w:p>
    <w:p w14:paraId="3699A1BB" w14:textId="77777777" w:rsidR="009D48FF" w:rsidRDefault="009D48FF">
      <w:pPr>
        <w:pStyle w:val="TOC1"/>
        <w:tabs>
          <w:tab w:val="left" w:pos="1160"/>
        </w:tabs>
        <w:rPr>
          <w:rFonts w:asciiTheme="minorHAnsi" w:eastAsiaTheme="minorEastAsia" w:hAnsiTheme="minorHAnsi" w:cstheme="minorBidi"/>
          <w:b w:val="0"/>
          <w:lang w:eastAsia="ja-JP"/>
        </w:rPr>
      </w:pPr>
      <w:r w:rsidRPr="00637019">
        <w:rPr>
          <w:color w:val="064EA8"/>
          <w:lang w:eastAsia="en-US"/>
        </w:rPr>
        <w:t>2.</w:t>
      </w:r>
      <w:r>
        <w:rPr>
          <w:rFonts w:asciiTheme="minorHAnsi" w:eastAsiaTheme="minorEastAsia" w:hAnsiTheme="minorHAnsi" w:cstheme="minorBidi"/>
          <w:b w:val="0"/>
          <w:lang w:eastAsia="ja-JP"/>
        </w:rPr>
        <w:tab/>
      </w:r>
      <w:r w:rsidRPr="00637019">
        <w:rPr>
          <w:color w:val="064EA8"/>
          <w:lang w:eastAsia="en-US"/>
        </w:rPr>
        <w:t>Project Description</w:t>
      </w:r>
      <w:r>
        <w:tab/>
      </w:r>
      <w:r>
        <w:fldChar w:fldCharType="begin"/>
      </w:r>
      <w:r>
        <w:instrText xml:space="preserve"> PAGEREF _Toc375214496 \h </w:instrText>
      </w:r>
      <w:r>
        <w:fldChar w:fldCharType="separate"/>
      </w:r>
      <w:r w:rsidR="00282011">
        <w:t>5</w:t>
      </w:r>
      <w:r>
        <w:fldChar w:fldCharType="end"/>
      </w:r>
    </w:p>
    <w:p w14:paraId="3EDE54FB"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2.1.</w:t>
      </w:r>
      <w:r>
        <w:rPr>
          <w:rFonts w:asciiTheme="minorHAnsi" w:eastAsiaTheme="minorEastAsia" w:hAnsiTheme="minorHAnsi" w:cstheme="minorBidi"/>
          <w:lang w:eastAsia="ja-JP"/>
        </w:rPr>
        <w:tab/>
      </w:r>
      <w:r w:rsidRPr="00637019">
        <w:rPr>
          <w:color w:val="064EA8"/>
          <w:lang w:eastAsia="en-US"/>
        </w:rPr>
        <w:t>Project Location</w:t>
      </w:r>
      <w:r>
        <w:tab/>
      </w:r>
      <w:r>
        <w:fldChar w:fldCharType="begin"/>
      </w:r>
      <w:r>
        <w:instrText xml:space="preserve"> PAGEREF _Toc375214497 \h </w:instrText>
      </w:r>
      <w:r>
        <w:fldChar w:fldCharType="separate"/>
      </w:r>
      <w:r w:rsidR="00282011">
        <w:t>5</w:t>
      </w:r>
      <w:r>
        <w:fldChar w:fldCharType="end"/>
      </w:r>
    </w:p>
    <w:p w14:paraId="726EF70C"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2.2.</w:t>
      </w:r>
      <w:r>
        <w:rPr>
          <w:rFonts w:asciiTheme="minorHAnsi" w:eastAsiaTheme="minorEastAsia" w:hAnsiTheme="minorHAnsi" w:cstheme="minorBidi"/>
          <w:lang w:eastAsia="ja-JP"/>
        </w:rPr>
        <w:tab/>
      </w:r>
      <w:r w:rsidRPr="00637019">
        <w:rPr>
          <w:color w:val="064EA8"/>
          <w:lang w:eastAsia="en-US"/>
        </w:rPr>
        <w:t>Project Objective</w:t>
      </w:r>
      <w:r>
        <w:tab/>
      </w:r>
      <w:r>
        <w:fldChar w:fldCharType="begin"/>
      </w:r>
      <w:r>
        <w:instrText xml:space="preserve"> PAGEREF _Toc375214498 \h </w:instrText>
      </w:r>
      <w:r>
        <w:fldChar w:fldCharType="separate"/>
      </w:r>
      <w:r w:rsidR="00282011">
        <w:t>5</w:t>
      </w:r>
      <w:r>
        <w:fldChar w:fldCharType="end"/>
      </w:r>
    </w:p>
    <w:p w14:paraId="26088DB5"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2.3.</w:t>
      </w:r>
      <w:r>
        <w:rPr>
          <w:rFonts w:asciiTheme="minorHAnsi" w:eastAsiaTheme="minorEastAsia" w:hAnsiTheme="minorHAnsi" w:cstheme="minorBidi"/>
          <w:lang w:eastAsia="ja-JP"/>
        </w:rPr>
        <w:tab/>
      </w:r>
      <w:r w:rsidRPr="00637019">
        <w:rPr>
          <w:color w:val="064EA8"/>
          <w:lang w:eastAsia="en-US"/>
        </w:rPr>
        <w:t>Project Development</w:t>
      </w:r>
      <w:r>
        <w:tab/>
      </w:r>
      <w:r>
        <w:fldChar w:fldCharType="begin"/>
      </w:r>
      <w:r>
        <w:instrText xml:space="preserve"> PAGEREF _Toc375214499 \h </w:instrText>
      </w:r>
      <w:r>
        <w:fldChar w:fldCharType="separate"/>
      </w:r>
      <w:r w:rsidR="00282011">
        <w:t>5</w:t>
      </w:r>
      <w:r>
        <w:fldChar w:fldCharType="end"/>
      </w:r>
    </w:p>
    <w:p w14:paraId="31312675"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2.4.</w:t>
      </w:r>
      <w:r>
        <w:rPr>
          <w:rFonts w:asciiTheme="minorHAnsi" w:eastAsiaTheme="minorEastAsia" w:hAnsiTheme="minorHAnsi" w:cstheme="minorBidi"/>
          <w:lang w:eastAsia="ja-JP"/>
        </w:rPr>
        <w:tab/>
      </w:r>
      <w:r w:rsidRPr="00637019">
        <w:rPr>
          <w:color w:val="064EA8"/>
          <w:lang w:eastAsia="en-US"/>
        </w:rPr>
        <w:t>Project Timing</w:t>
      </w:r>
      <w:r>
        <w:tab/>
      </w:r>
      <w:r>
        <w:fldChar w:fldCharType="begin"/>
      </w:r>
      <w:r>
        <w:instrText xml:space="preserve"> PAGEREF _Toc375214500 \h </w:instrText>
      </w:r>
      <w:r>
        <w:fldChar w:fldCharType="separate"/>
      </w:r>
      <w:r w:rsidR="00282011">
        <w:t>8</w:t>
      </w:r>
      <w:r>
        <w:fldChar w:fldCharType="end"/>
      </w:r>
    </w:p>
    <w:p w14:paraId="459D17D7"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2.5.</w:t>
      </w:r>
      <w:r>
        <w:rPr>
          <w:rFonts w:asciiTheme="minorHAnsi" w:eastAsiaTheme="minorEastAsia" w:hAnsiTheme="minorHAnsi" w:cstheme="minorBidi"/>
          <w:lang w:eastAsia="ja-JP"/>
        </w:rPr>
        <w:tab/>
      </w:r>
      <w:r w:rsidRPr="00637019">
        <w:rPr>
          <w:color w:val="064EA8"/>
          <w:lang w:eastAsia="en-US"/>
        </w:rPr>
        <w:t>Survey Program</w:t>
      </w:r>
      <w:r>
        <w:tab/>
      </w:r>
      <w:r>
        <w:fldChar w:fldCharType="begin"/>
      </w:r>
      <w:r>
        <w:instrText xml:space="preserve"> PAGEREF _Toc375214501 \h </w:instrText>
      </w:r>
      <w:r>
        <w:fldChar w:fldCharType="separate"/>
      </w:r>
      <w:r w:rsidR="00282011">
        <w:t>12</w:t>
      </w:r>
      <w:r>
        <w:fldChar w:fldCharType="end"/>
      </w:r>
    </w:p>
    <w:p w14:paraId="36A87BEE" w14:textId="77777777" w:rsidR="009D48FF" w:rsidRDefault="009D48FF">
      <w:pPr>
        <w:pStyle w:val="TOC3"/>
        <w:tabs>
          <w:tab w:val="left" w:pos="840"/>
        </w:tabs>
        <w:rPr>
          <w:rFonts w:asciiTheme="minorHAnsi" w:eastAsiaTheme="minorEastAsia" w:hAnsiTheme="minorHAnsi" w:cstheme="minorBidi"/>
          <w:lang w:eastAsia="ja-JP"/>
        </w:rPr>
      </w:pPr>
      <w:r>
        <w:t>2.5.1.</w:t>
      </w:r>
      <w:r>
        <w:rPr>
          <w:rFonts w:asciiTheme="minorHAnsi" w:eastAsiaTheme="minorEastAsia" w:hAnsiTheme="minorHAnsi" w:cstheme="minorBidi"/>
          <w:lang w:eastAsia="ja-JP"/>
        </w:rPr>
        <w:tab/>
      </w:r>
      <w:r>
        <w:t>Sound Source</w:t>
      </w:r>
      <w:r>
        <w:tab/>
      </w:r>
      <w:r>
        <w:fldChar w:fldCharType="begin"/>
      </w:r>
      <w:r>
        <w:instrText xml:space="preserve"> PAGEREF _Toc375214502 \h </w:instrText>
      </w:r>
      <w:r>
        <w:fldChar w:fldCharType="separate"/>
      </w:r>
      <w:r w:rsidR="00282011">
        <w:t>13</w:t>
      </w:r>
      <w:r>
        <w:fldChar w:fldCharType="end"/>
      </w:r>
    </w:p>
    <w:p w14:paraId="78A737B8" w14:textId="77777777" w:rsidR="009D48FF" w:rsidRDefault="009D48FF">
      <w:pPr>
        <w:pStyle w:val="TOC3"/>
        <w:tabs>
          <w:tab w:val="left" w:pos="840"/>
        </w:tabs>
        <w:rPr>
          <w:rFonts w:asciiTheme="minorHAnsi" w:eastAsiaTheme="minorEastAsia" w:hAnsiTheme="minorHAnsi" w:cstheme="minorBidi"/>
          <w:lang w:eastAsia="ja-JP"/>
        </w:rPr>
      </w:pPr>
      <w:r>
        <w:t>2.5.2.</w:t>
      </w:r>
      <w:r>
        <w:rPr>
          <w:rFonts w:asciiTheme="minorHAnsi" w:eastAsiaTheme="minorEastAsia" w:hAnsiTheme="minorHAnsi" w:cstheme="minorBidi"/>
          <w:lang w:eastAsia="ja-JP"/>
        </w:rPr>
        <w:tab/>
      </w:r>
      <w:r>
        <w:t>Sail Lines</w:t>
      </w:r>
      <w:r>
        <w:tab/>
      </w:r>
      <w:r>
        <w:fldChar w:fldCharType="begin"/>
      </w:r>
      <w:r>
        <w:instrText xml:space="preserve"> PAGEREF _Toc375214503 \h </w:instrText>
      </w:r>
      <w:r>
        <w:fldChar w:fldCharType="separate"/>
      </w:r>
      <w:r w:rsidR="00282011">
        <w:t>14</w:t>
      </w:r>
      <w:r>
        <w:fldChar w:fldCharType="end"/>
      </w:r>
    </w:p>
    <w:p w14:paraId="42117B04" w14:textId="77777777" w:rsidR="009D48FF" w:rsidRDefault="009D48FF">
      <w:pPr>
        <w:pStyle w:val="TOC3"/>
        <w:tabs>
          <w:tab w:val="left" w:pos="840"/>
        </w:tabs>
        <w:rPr>
          <w:rFonts w:asciiTheme="minorHAnsi" w:eastAsiaTheme="minorEastAsia" w:hAnsiTheme="minorHAnsi" w:cstheme="minorBidi"/>
          <w:lang w:eastAsia="ja-JP"/>
        </w:rPr>
      </w:pPr>
      <w:r>
        <w:t>2.5.3.</w:t>
      </w:r>
      <w:r>
        <w:rPr>
          <w:rFonts w:asciiTheme="minorHAnsi" w:eastAsiaTheme="minorEastAsia" w:hAnsiTheme="minorHAnsi" w:cstheme="minorBidi"/>
          <w:lang w:eastAsia="ja-JP"/>
        </w:rPr>
        <w:tab/>
      </w:r>
      <w:r>
        <w:t>Streamers</w:t>
      </w:r>
      <w:r>
        <w:tab/>
      </w:r>
      <w:r>
        <w:fldChar w:fldCharType="begin"/>
      </w:r>
      <w:r>
        <w:instrText xml:space="preserve"> PAGEREF _Toc375214504 \h </w:instrText>
      </w:r>
      <w:r>
        <w:fldChar w:fldCharType="separate"/>
      </w:r>
      <w:r w:rsidR="00282011">
        <w:t>14</w:t>
      </w:r>
      <w:r>
        <w:fldChar w:fldCharType="end"/>
      </w:r>
    </w:p>
    <w:p w14:paraId="33A914F5" w14:textId="77777777" w:rsidR="009D48FF" w:rsidRDefault="009D48FF">
      <w:pPr>
        <w:pStyle w:val="TOC3"/>
        <w:tabs>
          <w:tab w:val="left" w:pos="840"/>
        </w:tabs>
        <w:rPr>
          <w:rFonts w:asciiTheme="minorHAnsi" w:eastAsiaTheme="minorEastAsia" w:hAnsiTheme="minorHAnsi" w:cstheme="minorBidi"/>
          <w:lang w:eastAsia="ja-JP"/>
        </w:rPr>
      </w:pPr>
      <w:r>
        <w:t>2.5.4.</w:t>
      </w:r>
      <w:r>
        <w:rPr>
          <w:rFonts w:asciiTheme="minorHAnsi" w:eastAsiaTheme="minorEastAsia" w:hAnsiTheme="minorHAnsi" w:cstheme="minorBidi"/>
          <w:lang w:eastAsia="ja-JP"/>
        </w:rPr>
        <w:tab/>
      </w:r>
      <w:r>
        <w:t>Data Collection and Analysis</w:t>
      </w:r>
      <w:r>
        <w:tab/>
      </w:r>
      <w:r>
        <w:fldChar w:fldCharType="begin"/>
      </w:r>
      <w:r>
        <w:instrText xml:space="preserve"> PAGEREF _Toc375214505 \h </w:instrText>
      </w:r>
      <w:r>
        <w:fldChar w:fldCharType="separate"/>
      </w:r>
      <w:r w:rsidR="00282011">
        <w:t>14</w:t>
      </w:r>
      <w:r>
        <w:fldChar w:fldCharType="end"/>
      </w:r>
    </w:p>
    <w:p w14:paraId="7895BFEF" w14:textId="77777777" w:rsidR="009D48FF" w:rsidRDefault="009D48FF">
      <w:pPr>
        <w:pStyle w:val="TOC3"/>
        <w:tabs>
          <w:tab w:val="left" w:pos="840"/>
        </w:tabs>
        <w:rPr>
          <w:rFonts w:asciiTheme="minorHAnsi" w:eastAsiaTheme="minorEastAsia" w:hAnsiTheme="minorHAnsi" w:cstheme="minorBidi"/>
          <w:lang w:eastAsia="ja-JP"/>
        </w:rPr>
      </w:pPr>
      <w:r>
        <w:t>2.5.5.</w:t>
      </w:r>
      <w:r>
        <w:rPr>
          <w:rFonts w:asciiTheme="minorHAnsi" w:eastAsiaTheme="minorEastAsia" w:hAnsiTheme="minorHAnsi" w:cstheme="minorBidi"/>
          <w:lang w:eastAsia="ja-JP"/>
        </w:rPr>
        <w:tab/>
      </w:r>
      <w:r>
        <w:t>Survey Contractor</w:t>
      </w:r>
      <w:r>
        <w:tab/>
      </w:r>
      <w:r>
        <w:fldChar w:fldCharType="begin"/>
      </w:r>
      <w:r>
        <w:instrText xml:space="preserve"> PAGEREF _Toc375214506 \h </w:instrText>
      </w:r>
      <w:r>
        <w:fldChar w:fldCharType="separate"/>
      </w:r>
      <w:r w:rsidR="00282011">
        <w:t>15</w:t>
      </w:r>
      <w:r>
        <w:fldChar w:fldCharType="end"/>
      </w:r>
    </w:p>
    <w:p w14:paraId="23F13839" w14:textId="77777777" w:rsidR="009D48FF" w:rsidRDefault="009D48FF">
      <w:pPr>
        <w:pStyle w:val="TOC3"/>
        <w:tabs>
          <w:tab w:val="left" w:pos="840"/>
        </w:tabs>
        <w:rPr>
          <w:rFonts w:asciiTheme="minorHAnsi" w:eastAsiaTheme="minorEastAsia" w:hAnsiTheme="minorHAnsi" w:cstheme="minorBidi"/>
          <w:lang w:eastAsia="ja-JP"/>
        </w:rPr>
      </w:pPr>
      <w:r>
        <w:t>2.5.6.</w:t>
      </w:r>
      <w:r>
        <w:rPr>
          <w:rFonts w:asciiTheme="minorHAnsi" w:eastAsiaTheme="minorEastAsia" w:hAnsiTheme="minorHAnsi" w:cstheme="minorBidi"/>
          <w:lang w:eastAsia="ja-JP"/>
        </w:rPr>
        <w:tab/>
      </w:r>
      <w:r>
        <w:t>Survey Vessel</w:t>
      </w:r>
      <w:r>
        <w:tab/>
      </w:r>
      <w:r>
        <w:fldChar w:fldCharType="begin"/>
      </w:r>
      <w:r>
        <w:instrText xml:space="preserve"> PAGEREF _Toc375214507 \h </w:instrText>
      </w:r>
      <w:r>
        <w:fldChar w:fldCharType="separate"/>
      </w:r>
      <w:r w:rsidR="00282011">
        <w:t>15</w:t>
      </w:r>
      <w:r>
        <w:fldChar w:fldCharType="end"/>
      </w:r>
    </w:p>
    <w:p w14:paraId="7806BB0B" w14:textId="77777777" w:rsidR="009D48FF" w:rsidRDefault="009D48FF">
      <w:pPr>
        <w:pStyle w:val="TOC3"/>
        <w:tabs>
          <w:tab w:val="left" w:pos="840"/>
        </w:tabs>
        <w:rPr>
          <w:rFonts w:asciiTheme="minorHAnsi" w:eastAsiaTheme="minorEastAsia" w:hAnsiTheme="minorHAnsi" w:cstheme="minorBidi"/>
          <w:lang w:eastAsia="ja-JP"/>
        </w:rPr>
      </w:pPr>
      <w:r>
        <w:t>2.5.7.</w:t>
      </w:r>
      <w:r>
        <w:rPr>
          <w:rFonts w:asciiTheme="minorHAnsi" w:eastAsiaTheme="minorEastAsia" w:hAnsiTheme="minorHAnsi" w:cstheme="minorBidi"/>
          <w:lang w:eastAsia="ja-JP"/>
        </w:rPr>
        <w:tab/>
      </w:r>
      <w:r>
        <w:t>Support Vessels</w:t>
      </w:r>
      <w:r>
        <w:tab/>
      </w:r>
      <w:r>
        <w:fldChar w:fldCharType="begin"/>
      </w:r>
      <w:r>
        <w:instrText xml:space="preserve"> PAGEREF _Toc375214508 \h </w:instrText>
      </w:r>
      <w:r>
        <w:fldChar w:fldCharType="separate"/>
      </w:r>
      <w:r w:rsidR="00282011">
        <w:t>17</w:t>
      </w:r>
      <w:r>
        <w:fldChar w:fldCharType="end"/>
      </w:r>
    </w:p>
    <w:p w14:paraId="35429B1E"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2.6.</w:t>
      </w:r>
      <w:r>
        <w:rPr>
          <w:rFonts w:asciiTheme="minorHAnsi" w:eastAsiaTheme="minorEastAsia" w:hAnsiTheme="minorHAnsi" w:cstheme="minorBidi"/>
          <w:lang w:eastAsia="ja-JP"/>
        </w:rPr>
        <w:tab/>
      </w:r>
      <w:r w:rsidRPr="00637019">
        <w:rPr>
          <w:color w:val="064EA8"/>
          <w:lang w:eastAsia="en-US"/>
        </w:rPr>
        <w:t>Simultaneous Surveys</w:t>
      </w:r>
      <w:r>
        <w:tab/>
      </w:r>
      <w:r>
        <w:fldChar w:fldCharType="begin"/>
      </w:r>
      <w:r>
        <w:instrText xml:space="preserve"> PAGEREF _Toc375214509 \h </w:instrText>
      </w:r>
      <w:r>
        <w:fldChar w:fldCharType="separate"/>
      </w:r>
      <w:r w:rsidR="00282011">
        <w:t>18</w:t>
      </w:r>
      <w:r>
        <w:fldChar w:fldCharType="end"/>
      </w:r>
    </w:p>
    <w:p w14:paraId="5745AD22"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2.7.</w:t>
      </w:r>
      <w:r>
        <w:rPr>
          <w:rFonts w:asciiTheme="minorHAnsi" w:eastAsiaTheme="minorEastAsia" w:hAnsiTheme="minorHAnsi" w:cstheme="minorBidi"/>
          <w:lang w:eastAsia="ja-JP"/>
        </w:rPr>
        <w:tab/>
      </w:r>
      <w:r w:rsidRPr="00637019">
        <w:rPr>
          <w:color w:val="064EA8"/>
          <w:lang w:eastAsia="en-US"/>
        </w:rPr>
        <w:t>Associated Field Activities</w:t>
      </w:r>
      <w:r>
        <w:tab/>
      </w:r>
      <w:r>
        <w:fldChar w:fldCharType="begin"/>
      </w:r>
      <w:r>
        <w:instrText xml:space="preserve"> PAGEREF _Toc375214510 \h </w:instrText>
      </w:r>
      <w:r>
        <w:fldChar w:fldCharType="separate"/>
      </w:r>
      <w:r w:rsidR="00282011">
        <w:t>18</w:t>
      </w:r>
      <w:r>
        <w:fldChar w:fldCharType="end"/>
      </w:r>
    </w:p>
    <w:p w14:paraId="270FC606" w14:textId="77777777" w:rsidR="009D48FF" w:rsidRDefault="009D48FF">
      <w:pPr>
        <w:pStyle w:val="TOC3"/>
        <w:tabs>
          <w:tab w:val="left" w:pos="840"/>
        </w:tabs>
        <w:rPr>
          <w:rFonts w:asciiTheme="minorHAnsi" w:eastAsiaTheme="minorEastAsia" w:hAnsiTheme="minorHAnsi" w:cstheme="minorBidi"/>
          <w:lang w:eastAsia="ja-JP"/>
        </w:rPr>
      </w:pPr>
      <w:r>
        <w:t>2.7.1.</w:t>
      </w:r>
      <w:r>
        <w:rPr>
          <w:rFonts w:asciiTheme="minorHAnsi" w:eastAsiaTheme="minorEastAsia" w:hAnsiTheme="minorHAnsi" w:cstheme="minorBidi"/>
          <w:lang w:eastAsia="ja-JP"/>
        </w:rPr>
        <w:tab/>
      </w:r>
      <w:r>
        <w:t>Habitat Assessment</w:t>
      </w:r>
      <w:r>
        <w:tab/>
      </w:r>
      <w:r>
        <w:fldChar w:fldCharType="begin"/>
      </w:r>
      <w:r>
        <w:instrText xml:space="preserve"> PAGEREF _Toc375214511 \h </w:instrText>
      </w:r>
      <w:r>
        <w:fldChar w:fldCharType="separate"/>
      </w:r>
      <w:r w:rsidR="00282011">
        <w:t>18</w:t>
      </w:r>
      <w:r>
        <w:fldChar w:fldCharType="end"/>
      </w:r>
    </w:p>
    <w:p w14:paraId="232C9166" w14:textId="77777777" w:rsidR="009D48FF" w:rsidRDefault="009D48FF">
      <w:pPr>
        <w:pStyle w:val="TOC3"/>
        <w:tabs>
          <w:tab w:val="left" w:pos="774"/>
        </w:tabs>
        <w:rPr>
          <w:rFonts w:asciiTheme="minorHAnsi" w:eastAsiaTheme="minorEastAsia" w:hAnsiTheme="minorHAnsi" w:cstheme="minorBidi"/>
          <w:lang w:eastAsia="ja-JP"/>
        </w:rPr>
      </w:pPr>
      <w:r>
        <w:t>2.7.2</w:t>
      </w:r>
      <w:r>
        <w:rPr>
          <w:rFonts w:asciiTheme="minorHAnsi" w:eastAsiaTheme="minorEastAsia" w:hAnsiTheme="minorHAnsi" w:cstheme="minorBidi"/>
          <w:lang w:eastAsia="ja-JP"/>
        </w:rPr>
        <w:tab/>
      </w:r>
      <w:r>
        <w:t>Underwater Sound Validation</w:t>
      </w:r>
      <w:r>
        <w:tab/>
      </w:r>
      <w:r>
        <w:fldChar w:fldCharType="begin"/>
      </w:r>
      <w:r>
        <w:instrText xml:space="preserve"> PAGEREF _Toc375214512 \h </w:instrText>
      </w:r>
      <w:r>
        <w:fldChar w:fldCharType="separate"/>
      </w:r>
      <w:r w:rsidR="00282011">
        <w:t>18</w:t>
      </w:r>
      <w:r>
        <w:fldChar w:fldCharType="end"/>
      </w:r>
    </w:p>
    <w:p w14:paraId="7FD2B8E3"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2.8.</w:t>
      </w:r>
      <w:r>
        <w:rPr>
          <w:rFonts w:asciiTheme="minorHAnsi" w:eastAsiaTheme="minorEastAsia" w:hAnsiTheme="minorHAnsi" w:cstheme="minorBidi"/>
          <w:lang w:eastAsia="ja-JP"/>
        </w:rPr>
        <w:tab/>
      </w:r>
      <w:r w:rsidRPr="00637019">
        <w:rPr>
          <w:color w:val="064EA8"/>
          <w:lang w:eastAsia="en-US"/>
        </w:rPr>
        <w:t>Survey Summary</w:t>
      </w:r>
      <w:r>
        <w:tab/>
      </w:r>
      <w:r>
        <w:fldChar w:fldCharType="begin"/>
      </w:r>
      <w:r>
        <w:instrText xml:space="preserve"> PAGEREF _Toc375214513 \h </w:instrText>
      </w:r>
      <w:r>
        <w:fldChar w:fldCharType="separate"/>
      </w:r>
      <w:r w:rsidR="00282011">
        <w:t>18</w:t>
      </w:r>
      <w:r>
        <w:fldChar w:fldCharType="end"/>
      </w:r>
    </w:p>
    <w:p w14:paraId="520BDD91" w14:textId="77777777" w:rsidR="009D48FF" w:rsidRDefault="009D48FF">
      <w:pPr>
        <w:pStyle w:val="TOC1"/>
        <w:tabs>
          <w:tab w:val="left" w:pos="1160"/>
        </w:tabs>
        <w:rPr>
          <w:rFonts w:asciiTheme="minorHAnsi" w:eastAsiaTheme="minorEastAsia" w:hAnsiTheme="minorHAnsi" w:cstheme="minorBidi"/>
          <w:b w:val="0"/>
          <w:lang w:eastAsia="ja-JP"/>
        </w:rPr>
      </w:pPr>
      <w:r w:rsidRPr="00637019">
        <w:rPr>
          <w:color w:val="064EA8"/>
          <w:lang w:eastAsia="en-US"/>
        </w:rPr>
        <w:t>3.</w:t>
      </w:r>
      <w:r>
        <w:rPr>
          <w:rFonts w:asciiTheme="minorHAnsi" w:eastAsiaTheme="minorEastAsia" w:hAnsiTheme="minorHAnsi" w:cstheme="minorBidi"/>
          <w:b w:val="0"/>
          <w:lang w:eastAsia="ja-JP"/>
        </w:rPr>
        <w:tab/>
      </w:r>
      <w:r w:rsidRPr="00637019">
        <w:rPr>
          <w:color w:val="064EA8"/>
          <w:lang w:eastAsia="en-US"/>
        </w:rPr>
        <w:t>Legislation and Guidelines</w:t>
      </w:r>
      <w:r>
        <w:tab/>
      </w:r>
      <w:r>
        <w:fldChar w:fldCharType="begin"/>
      </w:r>
      <w:r>
        <w:instrText xml:space="preserve"> PAGEREF _Toc375214514 \h </w:instrText>
      </w:r>
      <w:r>
        <w:fldChar w:fldCharType="separate"/>
      </w:r>
      <w:r w:rsidR="00282011">
        <w:t>20</w:t>
      </w:r>
      <w:r>
        <w:fldChar w:fldCharType="end"/>
      </w:r>
    </w:p>
    <w:p w14:paraId="2C3FDC51"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3.1.</w:t>
      </w:r>
      <w:r>
        <w:rPr>
          <w:rFonts w:asciiTheme="minorHAnsi" w:eastAsiaTheme="minorEastAsia" w:hAnsiTheme="minorHAnsi" w:cstheme="minorBidi"/>
          <w:lang w:eastAsia="ja-JP"/>
        </w:rPr>
        <w:tab/>
      </w:r>
      <w:r w:rsidRPr="00637019">
        <w:rPr>
          <w:color w:val="064EA8"/>
          <w:lang w:eastAsia="en-US"/>
        </w:rPr>
        <w:t>DEDJTR Environment Policy</w:t>
      </w:r>
      <w:r>
        <w:tab/>
      </w:r>
      <w:r>
        <w:fldChar w:fldCharType="begin"/>
      </w:r>
      <w:r>
        <w:instrText xml:space="preserve"> PAGEREF _Toc375214515 \h </w:instrText>
      </w:r>
      <w:r>
        <w:fldChar w:fldCharType="separate"/>
      </w:r>
      <w:r w:rsidR="00282011">
        <w:t>20</w:t>
      </w:r>
      <w:r>
        <w:fldChar w:fldCharType="end"/>
      </w:r>
    </w:p>
    <w:p w14:paraId="28F3E4B2"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3.2.</w:t>
      </w:r>
      <w:r>
        <w:rPr>
          <w:rFonts w:asciiTheme="minorHAnsi" w:eastAsiaTheme="minorEastAsia" w:hAnsiTheme="minorHAnsi" w:cstheme="minorBidi"/>
          <w:lang w:eastAsia="ja-JP"/>
        </w:rPr>
        <w:tab/>
      </w:r>
      <w:r w:rsidRPr="00637019">
        <w:rPr>
          <w:color w:val="064EA8"/>
          <w:lang w:eastAsia="en-US"/>
        </w:rPr>
        <w:t>Environmental Approvals Processes</w:t>
      </w:r>
      <w:r>
        <w:tab/>
      </w:r>
      <w:r>
        <w:fldChar w:fldCharType="begin"/>
      </w:r>
      <w:r>
        <w:instrText xml:space="preserve"> PAGEREF _Toc375214516 \h </w:instrText>
      </w:r>
      <w:r>
        <w:fldChar w:fldCharType="separate"/>
      </w:r>
      <w:r w:rsidR="00282011">
        <w:t>20</w:t>
      </w:r>
      <w:r>
        <w:fldChar w:fldCharType="end"/>
      </w:r>
    </w:p>
    <w:p w14:paraId="2F994F44" w14:textId="77777777" w:rsidR="009D48FF" w:rsidRDefault="009D48FF">
      <w:pPr>
        <w:pStyle w:val="TOC3"/>
        <w:tabs>
          <w:tab w:val="left" w:pos="840"/>
        </w:tabs>
        <w:rPr>
          <w:rFonts w:asciiTheme="minorHAnsi" w:eastAsiaTheme="minorEastAsia" w:hAnsiTheme="minorHAnsi" w:cstheme="minorBidi"/>
          <w:lang w:eastAsia="ja-JP"/>
        </w:rPr>
      </w:pPr>
      <w:r>
        <w:t>3.2.1.</w:t>
      </w:r>
      <w:r>
        <w:rPr>
          <w:rFonts w:asciiTheme="minorHAnsi" w:eastAsiaTheme="minorEastAsia" w:hAnsiTheme="minorHAnsi" w:cstheme="minorBidi"/>
          <w:lang w:eastAsia="ja-JP"/>
        </w:rPr>
        <w:tab/>
      </w:r>
      <w:r>
        <w:t>Commonwealth Approvals</w:t>
      </w:r>
      <w:r>
        <w:tab/>
      </w:r>
      <w:r>
        <w:fldChar w:fldCharType="begin"/>
      </w:r>
      <w:r>
        <w:instrText xml:space="preserve"> PAGEREF _Toc375214517 \h </w:instrText>
      </w:r>
      <w:r>
        <w:fldChar w:fldCharType="separate"/>
      </w:r>
      <w:r w:rsidR="00282011">
        <w:t>20</w:t>
      </w:r>
      <w:r>
        <w:fldChar w:fldCharType="end"/>
      </w:r>
    </w:p>
    <w:p w14:paraId="2782ABF0" w14:textId="77777777" w:rsidR="009D48FF" w:rsidRDefault="009D48FF">
      <w:pPr>
        <w:pStyle w:val="TOC3"/>
        <w:tabs>
          <w:tab w:val="left" w:pos="840"/>
        </w:tabs>
        <w:rPr>
          <w:rFonts w:asciiTheme="minorHAnsi" w:eastAsiaTheme="minorEastAsia" w:hAnsiTheme="minorHAnsi" w:cstheme="minorBidi"/>
          <w:lang w:eastAsia="ja-JP"/>
        </w:rPr>
      </w:pPr>
      <w:r>
        <w:t>3.2.1.</w:t>
      </w:r>
      <w:r>
        <w:rPr>
          <w:rFonts w:asciiTheme="minorHAnsi" w:eastAsiaTheme="minorEastAsia" w:hAnsiTheme="minorHAnsi" w:cstheme="minorBidi"/>
          <w:lang w:eastAsia="ja-JP"/>
        </w:rPr>
        <w:tab/>
      </w:r>
      <w:r>
        <w:t>Victorian Approvals</w:t>
      </w:r>
      <w:r>
        <w:tab/>
      </w:r>
      <w:r>
        <w:fldChar w:fldCharType="begin"/>
      </w:r>
      <w:r>
        <w:instrText xml:space="preserve"> PAGEREF _Toc375214518 \h </w:instrText>
      </w:r>
      <w:r>
        <w:fldChar w:fldCharType="separate"/>
      </w:r>
      <w:r w:rsidR="00282011">
        <w:t>22</w:t>
      </w:r>
      <w:r>
        <w:fldChar w:fldCharType="end"/>
      </w:r>
    </w:p>
    <w:p w14:paraId="5B0ACD8F" w14:textId="77777777" w:rsidR="009D48FF" w:rsidRDefault="009D48FF">
      <w:pPr>
        <w:pStyle w:val="TOC1"/>
        <w:tabs>
          <w:tab w:val="left" w:pos="1160"/>
        </w:tabs>
        <w:rPr>
          <w:rFonts w:asciiTheme="minorHAnsi" w:eastAsiaTheme="minorEastAsia" w:hAnsiTheme="minorHAnsi" w:cstheme="minorBidi"/>
          <w:b w:val="0"/>
          <w:lang w:eastAsia="ja-JP"/>
        </w:rPr>
      </w:pPr>
      <w:r w:rsidRPr="00637019">
        <w:rPr>
          <w:color w:val="064EA8"/>
          <w:lang w:eastAsia="en-US"/>
        </w:rPr>
        <w:t>4.</w:t>
      </w:r>
      <w:r>
        <w:rPr>
          <w:rFonts w:asciiTheme="minorHAnsi" w:eastAsiaTheme="minorEastAsia" w:hAnsiTheme="minorHAnsi" w:cstheme="minorBidi"/>
          <w:b w:val="0"/>
          <w:lang w:eastAsia="ja-JP"/>
        </w:rPr>
        <w:tab/>
      </w:r>
      <w:r w:rsidRPr="00637019">
        <w:rPr>
          <w:color w:val="064EA8"/>
          <w:lang w:eastAsia="en-US"/>
        </w:rPr>
        <w:t>Stakeholder Consultation</w:t>
      </w:r>
      <w:r>
        <w:tab/>
      </w:r>
      <w:r>
        <w:fldChar w:fldCharType="begin"/>
      </w:r>
      <w:r>
        <w:instrText xml:space="preserve"> PAGEREF _Toc375214519 \h </w:instrText>
      </w:r>
      <w:r>
        <w:fldChar w:fldCharType="separate"/>
      </w:r>
      <w:r w:rsidR="00282011">
        <w:t>23</w:t>
      </w:r>
      <w:r>
        <w:fldChar w:fldCharType="end"/>
      </w:r>
    </w:p>
    <w:p w14:paraId="487CC9B4"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4.1.</w:t>
      </w:r>
      <w:r>
        <w:rPr>
          <w:rFonts w:asciiTheme="minorHAnsi" w:eastAsiaTheme="minorEastAsia" w:hAnsiTheme="minorHAnsi" w:cstheme="minorBidi"/>
          <w:lang w:eastAsia="ja-JP"/>
        </w:rPr>
        <w:tab/>
      </w:r>
      <w:r w:rsidRPr="00637019">
        <w:rPr>
          <w:color w:val="064EA8"/>
          <w:lang w:eastAsia="en-US"/>
        </w:rPr>
        <w:t>Stakeholder Consultation Objectives</w:t>
      </w:r>
      <w:r>
        <w:tab/>
      </w:r>
      <w:r>
        <w:fldChar w:fldCharType="begin"/>
      </w:r>
      <w:r>
        <w:instrText xml:space="preserve"> PAGEREF _Toc375214520 \h </w:instrText>
      </w:r>
      <w:r>
        <w:fldChar w:fldCharType="separate"/>
      </w:r>
      <w:r w:rsidR="00282011">
        <w:t>23</w:t>
      </w:r>
      <w:r>
        <w:fldChar w:fldCharType="end"/>
      </w:r>
    </w:p>
    <w:p w14:paraId="7652E7A9"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4.2.</w:t>
      </w:r>
      <w:r>
        <w:rPr>
          <w:rFonts w:asciiTheme="minorHAnsi" w:eastAsiaTheme="minorEastAsia" w:hAnsiTheme="minorHAnsi" w:cstheme="minorBidi"/>
          <w:lang w:eastAsia="ja-JP"/>
        </w:rPr>
        <w:tab/>
      </w:r>
      <w:r w:rsidRPr="00637019">
        <w:rPr>
          <w:color w:val="064EA8"/>
          <w:lang w:eastAsia="en-US"/>
        </w:rPr>
        <w:t>Regulatory Requirements</w:t>
      </w:r>
      <w:r>
        <w:tab/>
      </w:r>
      <w:r>
        <w:fldChar w:fldCharType="begin"/>
      </w:r>
      <w:r>
        <w:instrText xml:space="preserve"> PAGEREF _Toc375214521 \h </w:instrText>
      </w:r>
      <w:r>
        <w:fldChar w:fldCharType="separate"/>
      </w:r>
      <w:r w:rsidR="00282011">
        <w:t>24</w:t>
      </w:r>
      <w:r>
        <w:fldChar w:fldCharType="end"/>
      </w:r>
    </w:p>
    <w:p w14:paraId="658E4676" w14:textId="77777777" w:rsidR="009D48FF" w:rsidRDefault="009D48FF">
      <w:pPr>
        <w:pStyle w:val="TOC3"/>
        <w:tabs>
          <w:tab w:val="left" w:pos="840"/>
        </w:tabs>
        <w:rPr>
          <w:rFonts w:asciiTheme="minorHAnsi" w:eastAsiaTheme="minorEastAsia" w:hAnsiTheme="minorHAnsi" w:cstheme="minorBidi"/>
          <w:lang w:eastAsia="ja-JP"/>
        </w:rPr>
      </w:pPr>
      <w:r>
        <w:t>4.2.1.</w:t>
      </w:r>
      <w:r>
        <w:rPr>
          <w:rFonts w:asciiTheme="minorHAnsi" w:eastAsiaTheme="minorEastAsia" w:hAnsiTheme="minorHAnsi" w:cstheme="minorBidi"/>
          <w:lang w:eastAsia="ja-JP"/>
        </w:rPr>
        <w:tab/>
      </w:r>
      <w:r>
        <w:t>Commonwealth Requirements</w:t>
      </w:r>
      <w:r>
        <w:tab/>
      </w:r>
      <w:r>
        <w:fldChar w:fldCharType="begin"/>
      </w:r>
      <w:r>
        <w:instrText xml:space="preserve"> PAGEREF _Toc375214522 \h </w:instrText>
      </w:r>
      <w:r>
        <w:fldChar w:fldCharType="separate"/>
      </w:r>
      <w:r w:rsidR="00282011">
        <w:t>24</w:t>
      </w:r>
      <w:r>
        <w:fldChar w:fldCharType="end"/>
      </w:r>
    </w:p>
    <w:p w14:paraId="1E3217AD" w14:textId="77777777" w:rsidR="009D48FF" w:rsidRDefault="009D48FF">
      <w:pPr>
        <w:pStyle w:val="TOC3"/>
        <w:tabs>
          <w:tab w:val="left" w:pos="840"/>
        </w:tabs>
        <w:rPr>
          <w:rFonts w:asciiTheme="minorHAnsi" w:eastAsiaTheme="minorEastAsia" w:hAnsiTheme="minorHAnsi" w:cstheme="minorBidi"/>
          <w:lang w:eastAsia="ja-JP"/>
        </w:rPr>
      </w:pPr>
      <w:r>
        <w:t>4.2.2.</w:t>
      </w:r>
      <w:r>
        <w:rPr>
          <w:rFonts w:asciiTheme="minorHAnsi" w:eastAsiaTheme="minorEastAsia" w:hAnsiTheme="minorHAnsi" w:cstheme="minorBidi"/>
          <w:lang w:eastAsia="ja-JP"/>
        </w:rPr>
        <w:tab/>
      </w:r>
      <w:r>
        <w:t>Victorian Requirements</w:t>
      </w:r>
      <w:r>
        <w:tab/>
      </w:r>
      <w:r>
        <w:fldChar w:fldCharType="begin"/>
      </w:r>
      <w:r>
        <w:instrText xml:space="preserve"> PAGEREF _Toc375214523 \h </w:instrText>
      </w:r>
      <w:r>
        <w:fldChar w:fldCharType="separate"/>
      </w:r>
      <w:r w:rsidR="00282011">
        <w:t>25</w:t>
      </w:r>
      <w:r>
        <w:fldChar w:fldCharType="end"/>
      </w:r>
    </w:p>
    <w:p w14:paraId="02C31687"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4.3.</w:t>
      </w:r>
      <w:r>
        <w:rPr>
          <w:rFonts w:asciiTheme="minorHAnsi" w:eastAsiaTheme="minorEastAsia" w:hAnsiTheme="minorHAnsi" w:cstheme="minorBidi"/>
          <w:lang w:eastAsia="ja-JP"/>
        </w:rPr>
        <w:tab/>
      </w:r>
      <w:r w:rsidRPr="00637019">
        <w:rPr>
          <w:color w:val="064EA8"/>
          <w:lang w:eastAsia="en-US"/>
        </w:rPr>
        <w:t>Stakeholder Identification</w:t>
      </w:r>
      <w:r>
        <w:tab/>
      </w:r>
      <w:r>
        <w:fldChar w:fldCharType="begin"/>
      </w:r>
      <w:r>
        <w:instrText xml:space="preserve"> PAGEREF _Toc375214524 \h </w:instrText>
      </w:r>
      <w:r>
        <w:fldChar w:fldCharType="separate"/>
      </w:r>
      <w:r w:rsidR="00282011">
        <w:t>25</w:t>
      </w:r>
      <w:r>
        <w:fldChar w:fldCharType="end"/>
      </w:r>
    </w:p>
    <w:p w14:paraId="1143E1E2"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4.4.</w:t>
      </w:r>
      <w:r>
        <w:rPr>
          <w:rFonts w:asciiTheme="minorHAnsi" w:eastAsiaTheme="minorEastAsia" w:hAnsiTheme="minorHAnsi" w:cstheme="minorBidi"/>
          <w:lang w:eastAsia="ja-JP"/>
        </w:rPr>
        <w:tab/>
      </w:r>
      <w:r w:rsidRPr="00637019">
        <w:rPr>
          <w:color w:val="064EA8"/>
          <w:lang w:eastAsia="en-US"/>
        </w:rPr>
        <w:t>Engagement Method and Approach</w:t>
      </w:r>
      <w:r>
        <w:tab/>
      </w:r>
      <w:r>
        <w:fldChar w:fldCharType="begin"/>
      </w:r>
      <w:r>
        <w:instrText xml:space="preserve"> PAGEREF _Toc375214525 \h </w:instrText>
      </w:r>
      <w:r>
        <w:fldChar w:fldCharType="separate"/>
      </w:r>
      <w:r w:rsidR="00282011">
        <w:t>27</w:t>
      </w:r>
      <w:r>
        <w:fldChar w:fldCharType="end"/>
      </w:r>
    </w:p>
    <w:p w14:paraId="743D4E5A" w14:textId="77777777" w:rsidR="009D48FF" w:rsidRDefault="009D48FF">
      <w:pPr>
        <w:pStyle w:val="TOC3"/>
        <w:tabs>
          <w:tab w:val="left" w:pos="840"/>
        </w:tabs>
        <w:rPr>
          <w:rFonts w:asciiTheme="minorHAnsi" w:eastAsiaTheme="minorEastAsia" w:hAnsiTheme="minorHAnsi" w:cstheme="minorBidi"/>
          <w:lang w:eastAsia="ja-JP"/>
        </w:rPr>
      </w:pPr>
      <w:r>
        <w:t>4.4.1.</w:t>
      </w:r>
      <w:r>
        <w:rPr>
          <w:rFonts w:asciiTheme="minorHAnsi" w:eastAsiaTheme="minorEastAsia" w:hAnsiTheme="minorHAnsi" w:cstheme="minorBidi"/>
          <w:lang w:eastAsia="ja-JP"/>
        </w:rPr>
        <w:tab/>
      </w:r>
      <w:r>
        <w:t>Engagement Approach</w:t>
      </w:r>
      <w:r>
        <w:tab/>
      </w:r>
      <w:r>
        <w:fldChar w:fldCharType="begin"/>
      </w:r>
      <w:r>
        <w:instrText xml:space="preserve"> PAGEREF _Toc375214526 \h </w:instrText>
      </w:r>
      <w:r>
        <w:fldChar w:fldCharType="separate"/>
      </w:r>
      <w:r w:rsidR="00282011">
        <w:t>27</w:t>
      </w:r>
      <w:r>
        <w:fldChar w:fldCharType="end"/>
      </w:r>
    </w:p>
    <w:p w14:paraId="6EF3CCD3" w14:textId="77777777" w:rsidR="009D48FF" w:rsidRDefault="009D48FF">
      <w:pPr>
        <w:pStyle w:val="TOC3"/>
        <w:tabs>
          <w:tab w:val="left" w:pos="840"/>
        </w:tabs>
        <w:rPr>
          <w:rFonts w:asciiTheme="minorHAnsi" w:eastAsiaTheme="minorEastAsia" w:hAnsiTheme="minorHAnsi" w:cstheme="minorBidi"/>
          <w:lang w:eastAsia="ja-JP"/>
        </w:rPr>
      </w:pPr>
      <w:r>
        <w:t>4.4.2.</w:t>
      </w:r>
      <w:r>
        <w:rPr>
          <w:rFonts w:asciiTheme="minorHAnsi" w:eastAsiaTheme="minorEastAsia" w:hAnsiTheme="minorHAnsi" w:cstheme="minorBidi"/>
          <w:lang w:eastAsia="ja-JP"/>
        </w:rPr>
        <w:tab/>
      </w:r>
      <w:r>
        <w:t>Engagement Methodology</w:t>
      </w:r>
      <w:r>
        <w:tab/>
      </w:r>
      <w:r>
        <w:fldChar w:fldCharType="begin"/>
      </w:r>
      <w:r>
        <w:instrText xml:space="preserve"> PAGEREF _Toc375214527 \h </w:instrText>
      </w:r>
      <w:r>
        <w:fldChar w:fldCharType="separate"/>
      </w:r>
      <w:r w:rsidR="00282011">
        <w:t>28</w:t>
      </w:r>
      <w:r>
        <w:fldChar w:fldCharType="end"/>
      </w:r>
    </w:p>
    <w:p w14:paraId="1A05BDDB" w14:textId="77777777" w:rsidR="009D48FF" w:rsidRDefault="009D48FF">
      <w:pPr>
        <w:pStyle w:val="TOC3"/>
        <w:tabs>
          <w:tab w:val="left" w:pos="840"/>
        </w:tabs>
        <w:rPr>
          <w:rFonts w:asciiTheme="minorHAnsi" w:eastAsiaTheme="minorEastAsia" w:hAnsiTheme="minorHAnsi" w:cstheme="minorBidi"/>
          <w:lang w:eastAsia="ja-JP"/>
        </w:rPr>
      </w:pPr>
      <w:r>
        <w:t>4.4.3.</w:t>
      </w:r>
      <w:r>
        <w:rPr>
          <w:rFonts w:asciiTheme="minorHAnsi" w:eastAsiaTheme="minorEastAsia" w:hAnsiTheme="minorHAnsi" w:cstheme="minorBidi"/>
          <w:lang w:eastAsia="ja-JP"/>
        </w:rPr>
        <w:tab/>
      </w:r>
      <w:r>
        <w:t>Record of Stakeholder Engagement</w:t>
      </w:r>
      <w:r>
        <w:tab/>
      </w:r>
      <w:r>
        <w:fldChar w:fldCharType="begin"/>
      </w:r>
      <w:r>
        <w:instrText xml:space="preserve"> PAGEREF _Toc375214528 \h </w:instrText>
      </w:r>
      <w:r>
        <w:fldChar w:fldCharType="separate"/>
      </w:r>
      <w:r w:rsidR="00282011">
        <w:t>29</w:t>
      </w:r>
      <w:r>
        <w:fldChar w:fldCharType="end"/>
      </w:r>
    </w:p>
    <w:p w14:paraId="69513021" w14:textId="77777777" w:rsidR="009D48FF" w:rsidRDefault="009D48FF">
      <w:pPr>
        <w:pStyle w:val="TOC3"/>
        <w:tabs>
          <w:tab w:val="left" w:pos="840"/>
        </w:tabs>
        <w:rPr>
          <w:rFonts w:asciiTheme="minorHAnsi" w:eastAsiaTheme="minorEastAsia" w:hAnsiTheme="minorHAnsi" w:cstheme="minorBidi"/>
          <w:lang w:eastAsia="ja-JP"/>
        </w:rPr>
      </w:pPr>
      <w:r>
        <w:t>4.4.4.</w:t>
      </w:r>
      <w:r>
        <w:rPr>
          <w:rFonts w:asciiTheme="minorHAnsi" w:eastAsiaTheme="minorEastAsia" w:hAnsiTheme="minorHAnsi" w:cstheme="minorBidi"/>
          <w:lang w:eastAsia="ja-JP"/>
        </w:rPr>
        <w:tab/>
      </w:r>
      <w:r>
        <w:t>Distribution of Survey Information to Individual  Fishing Licence Holders</w:t>
      </w:r>
      <w:r>
        <w:tab/>
      </w:r>
      <w:r>
        <w:fldChar w:fldCharType="begin"/>
      </w:r>
      <w:r>
        <w:instrText xml:space="preserve"> PAGEREF _Toc375214529 \h </w:instrText>
      </w:r>
      <w:r>
        <w:fldChar w:fldCharType="separate"/>
      </w:r>
      <w:r w:rsidR="00282011">
        <w:t>29</w:t>
      </w:r>
      <w:r>
        <w:fldChar w:fldCharType="end"/>
      </w:r>
    </w:p>
    <w:p w14:paraId="6AB05D51" w14:textId="77777777" w:rsidR="009D48FF" w:rsidRDefault="009D48FF">
      <w:pPr>
        <w:pStyle w:val="TOC3"/>
        <w:tabs>
          <w:tab w:val="left" w:pos="840"/>
        </w:tabs>
        <w:rPr>
          <w:rFonts w:asciiTheme="minorHAnsi" w:eastAsiaTheme="minorEastAsia" w:hAnsiTheme="minorHAnsi" w:cstheme="minorBidi"/>
          <w:lang w:eastAsia="ja-JP"/>
        </w:rPr>
      </w:pPr>
      <w:r>
        <w:t>4.4.5.</w:t>
      </w:r>
      <w:r>
        <w:rPr>
          <w:rFonts w:asciiTheme="minorHAnsi" w:eastAsiaTheme="minorEastAsia" w:hAnsiTheme="minorHAnsi" w:cstheme="minorBidi"/>
          <w:lang w:eastAsia="ja-JP"/>
        </w:rPr>
        <w:tab/>
      </w:r>
      <w:r>
        <w:t>Dedicated Project Email and Customer Service  Centre</w:t>
      </w:r>
      <w:r>
        <w:tab/>
      </w:r>
      <w:r>
        <w:fldChar w:fldCharType="begin"/>
      </w:r>
      <w:r>
        <w:instrText xml:space="preserve"> PAGEREF _Toc375214530 \h </w:instrText>
      </w:r>
      <w:r>
        <w:fldChar w:fldCharType="separate"/>
      </w:r>
      <w:r w:rsidR="00282011">
        <w:t>30</w:t>
      </w:r>
      <w:r>
        <w:fldChar w:fldCharType="end"/>
      </w:r>
    </w:p>
    <w:p w14:paraId="0AF8EBE2" w14:textId="77777777" w:rsidR="009D48FF" w:rsidRDefault="009D48FF">
      <w:pPr>
        <w:pStyle w:val="TOC3"/>
        <w:tabs>
          <w:tab w:val="left" w:pos="840"/>
        </w:tabs>
        <w:rPr>
          <w:rFonts w:asciiTheme="minorHAnsi" w:eastAsiaTheme="minorEastAsia" w:hAnsiTheme="minorHAnsi" w:cstheme="minorBidi"/>
          <w:lang w:eastAsia="ja-JP"/>
        </w:rPr>
      </w:pPr>
      <w:r>
        <w:t>4.4.6.</w:t>
      </w:r>
      <w:r>
        <w:rPr>
          <w:rFonts w:asciiTheme="minorHAnsi" w:eastAsiaTheme="minorEastAsia" w:hAnsiTheme="minorHAnsi" w:cstheme="minorBidi"/>
          <w:lang w:eastAsia="ja-JP"/>
        </w:rPr>
        <w:tab/>
      </w:r>
      <w:r>
        <w:t>CarbonNet Website</w:t>
      </w:r>
      <w:r>
        <w:tab/>
      </w:r>
      <w:r>
        <w:fldChar w:fldCharType="begin"/>
      </w:r>
      <w:r>
        <w:instrText xml:space="preserve"> PAGEREF _Toc375214531 \h </w:instrText>
      </w:r>
      <w:r>
        <w:fldChar w:fldCharType="separate"/>
      </w:r>
      <w:r w:rsidR="00282011">
        <w:t>30</w:t>
      </w:r>
      <w:r>
        <w:fldChar w:fldCharType="end"/>
      </w:r>
    </w:p>
    <w:p w14:paraId="0A7DEF75"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4.5.</w:t>
      </w:r>
      <w:r>
        <w:rPr>
          <w:rFonts w:asciiTheme="minorHAnsi" w:eastAsiaTheme="minorEastAsia" w:hAnsiTheme="minorHAnsi" w:cstheme="minorBidi"/>
          <w:lang w:eastAsia="ja-JP"/>
        </w:rPr>
        <w:tab/>
      </w:r>
      <w:r w:rsidRPr="00637019">
        <w:rPr>
          <w:color w:val="064EA8"/>
          <w:lang w:eastAsia="en-US"/>
        </w:rPr>
        <w:t>Summary of Stakeholder Consultation</w:t>
      </w:r>
      <w:r>
        <w:tab/>
      </w:r>
      <w:r>
        <w:fldChar w:fldCharType="begin"/>
      </w:r>
      <w:r>
        <w:instrText xml:space="preserve"> PAGEREF _Toc375214532 \h </w:instrText>
      </w:r>
      <w:r>
        <w:fldChar w:fldCharType="separate"/>
      </w:r>
      <w:r w:rsidR="00282011">
        <w:t>30</w:t>
      </w:r>
      <w:r>
        <w:fldChar w:fldCharType="end"/>
      </w:r>
    </w:p>
    <w:p w14:paraId="1C581161"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4.6.</w:t>
      </w:r>
      <w:r>
        <w:rPr>
          <w:rFonts w:asciiTheme="minorHAnsi" w:eastAsiaTheme="minorEastAsia" w:hAnsiTheme="minorHAnsi" w:cstheme="minorBidi"/>
          <w:lang w:eastAsia="ja-JP"/>
        </w:rPr>
        <w:tab/>
      </w:r>
      <w:r w:rsidRPr="00637019">
        <w:rPr>
          <w:color w:val="064EA8"/>
          <w:lang w:eastAsia="en-US"/>
        </w:rPr>
        <w:t>Ongoing Consultation</w:t>
      </w:r>
      <w:r>
        <w:tab/>
      </w:r>
      <w:r>
        <w:fldChar w:fldCharType="begin"/>
      </w:r>
      <w:r>
        <w:instrText xml:space="preserve"> PAGEREF _Toc375214533 \h </w:instrText>
      </w:r>
      <w:r>
        <w:fldChar w:fldCharType="separate"/>
      </w:r>
      <w:r w:rsidR="00282011">
        <w:t>31</w:t>
      </w:r>
      <w:r>
        <w:fldChar w:fldCharType="end"/>
      </w:r>
    </w:p>
    <w:p w14:paraId="799F80B7" w14:textId="77777777" w:rsidR="009D48FF" w:rsidRDefault="009D48FF">
      <w:pPr>
        <w:pStyle w:val="TOC1"/>
        <w:tabs>
          <w:tab w:val="left" w:pos="1160"/>
        </w:tabs>
        <w:rPr>
          <w:rFonts w:asciiTheme="minorHAnsi" w:eastAsiaTheme="minorEastAsia" w:hAnsiTheme="minorHAnsi" w:cstheme="minorBidi"/>
          <w:b w:val="0"/>
          <w:lang w:eastAsia="ja-JP"/>
        </w:rPr>
      </w:pPr>
      <w:r w:rsidRPr="00637019">
        <w:rPr>
          <w:color w:val="064EA8"/>
          <w:lang w:eastAsia="en-US"/>
        </w:rPr>
        <w:lastRenderedPageBreak/>
        <w:t>5.</w:t>
      </w:r>
      <w:r>
        <w:rPr>
          <w:rFonts w:asciiTheme="minorHAnsi" w:eastAsiaTheme="minorEastAsia" w:hAnsiTheme="minorHAnsi" w:cstheme="minorBidi"/>
          <w:b w:val="0"/>
          <w:lang w:eastAsia="ja-JP"/>
        </w:rPr>
        <w:tab/>
      </w:r>
      <w:r w:rsidRPr="00637019">
        <w:rPr>
          <w:color w:val="064EA8"/>
          <w:lang w:eastAsia="en-US"/>
        </w:rPr>
        <w:t>Description of the Existing Environment</w:t>
      </w:r>
      <w:r>
        <w:tab/>
      </w:r>
      <w:r>
        <w:fldChar w:fldCharType="begin"/>
      </w:r>
      <w:r>
        <w:instrText xml:space="preserve"> PAGEREF _Toc375214534 \h </w:instrText>
      </w:r>
      <w:r>
        <w:fldChar w:fldCharType="separate"/>
      </w:r>
      <w:r w:rsidR="00282011">
        <w:t>123</w:t>
      </w:r>
      <w:r>
        <w:fldChar w:fldCharType="end"/>
      </w:r>
    </w:p>
    <w:p w14:paraId="7719DB72"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5.1.</w:t>
      </w:r>
      <w:r>
        <w:rPr>
          <w:rFonts w:asciiTheme="minorHAnsi" w:eastAsiaTheme="minorEastAsia" w:hAnsiTheme="minorHAnsi" w:cstheme="minorBidi"/>
          <w:lang w:eastAsia="ja-JP"/>
        </w:rPr>
        <w:tab/>
      </w:r>
      <w:r w:rsidRPr="00637019">
        <w:rPr>
          <w:color w:val="064EA8"/>
          <w:lang w:eastAsia="en-US"/>
        </w:rPr>
        <w:t>Regional Context</w:t>
      </w:r>
      <w:r>
        <w:tab/>
      </w:r>
      <w:r>
        <w:fldChar w:fldCharType="begin"/>
      </w:r>
      <w:r>
        <w:instrText xml:space="preserve"> PAGEREF _Toc375214535 \h </w:instrText>
      </w:r>
      <w:r>
        <w:fldChar w:fldCharType="separate"/>
      </w:r>
      <w:r w:rsidR="00282011">
        <w:t>126</w:t>
      </w:r>
      <w:r>
        <w:fldChar w:fldCharType="end"/>
      </w:r>
    </w:p>
    <w:p w14:paraId="3604A511" w14:textId="77777777" w:rsidR="009D48FF" w:rsidRDefault="009D48FF">
      <w:pPr>
        <w:pStyle w:val="TOC3"/>
        <w:tabs>
          <w:tab w:val="left" w:pos="840"/>
        </w:tabs>
        <w:rPr>
          <w:rFonts w:asciiTheme="minorHAnsi" w:eastAsiaTheme="minorEastAsia" w:hAnsiTheme="minorHAnsi" w:cstheme="minorBidi"/>
          <w:lang w:eastAsia="ja-JP"/>
        </w:rPr>
      </w:pPr>
      <w:r>
        <w:t>5.1.1.</w:t>
      </w:r>
      <w:r>
        <w:rPr>
          <w:rFonts w:asciiTheme="minorHAnsi" w:eastAsiaTheme="minorEastAsia" w:hAnsiTheme="minorHAnsi" w:cstheme="minorBidi"/>
          <w:lang w:eastAsia="ja-JP"/>
        </w:rPr>
        <w:tab/>
      </w:r>
      <w:r>
        <w:t>Climate</w:t>
      </w:r>
      <w:r>
        <w:tab/>
      </w:r>
      <w:r>
        <w:fldChar w:fldCharType="begin"/>
      </w:r>
      <w:r>
        <w:instrText xml:space="preserve"> PAGEREF _Toc375214536 \h </w:instrText>
      </w:r>
      <w:r>
        <w:fldChar w:fldCharType="separate"/>
      </w:r>
      <w:r w:rsidR="00282011">
        <w:t>126</w:t>
      </w:r>
      <w:r>
        <w:fldChar w:fldCharType="end"/>
      </w:r>
    </w:p>
    <w:p w14:paraId="6B3D525E" w14:textId="77777777" w:rsidR="009D48FF" w:rsidRDefault="009D48FF">
      <w:pPr>
        <w:pStyle w:val="TOC3"/>
        <w:tabs>
          <w:tab w:val="left" w:pos="840"/>
        </w:tabs>
        <w:rPr>
          <w:rFonts w:asciiTheme="minorHAnsi" w:eastAsiaTheme="minorEastAsia" w:hAnsiTheme="minorHAnsi" w:cstheme="minorBidi"/>
          <w:lang w:eastAsia="ja-JP"/>
        </w:rPr>
      </w:pPr>
      <w:r>
        <w:t>5.1.2.</w:t>
      </w:r>
      <w:r>
        <w:rPr>
          <w:rFonts w:asciiTheme="minorHAnsi" w:eastAsiaTheme="minorEastAsia" w:hAnsiTheme="minorHAnsi" w:cstheme="minorBidi"/>
          <w:lang w:eastAsia="ja-JP"/>
        </w:rPr>
        <w:tab/>
      </w:r>
      <w:r>
        <w:t>Physical Environment</w:t>
      </w:r>
      <w:r>
        <w:tab/>
      </w:r>
      <w:r>
        <w:fldChar w:fldCharType="begin"/>
      </w:r>
      <w:r>
        <w:instrText xml:space="preserve"> PAGEREF _Toc375214537 \h </w:instrText>
      </w:r>
      <w:r>
        <w:fldChar w:fldCharType="separate"/>
      </w:r>
      <w:r w:rsidR="00282011">
        <w:t>128</w:t>
      </w:r>
      <w:r>
        <w:fldChar w:fldCharType="end"/>
      </w:r>
    </w:p>
    <w:p w14:paraId="2A8DCE25" w14:textId="77777777" w:rsidR="009D48FF" w:rsidRDefault="009D48FF">
      <w:pPr>
        <w:pStyle w:val="TOC3"/>
        <w:tabs>
          <w:tab w:val="left" w:pos="840"/>
        </w:tabs>
        <w:rPr>
          <w:rFonts w:asciiTheme="minorHAnsi" w:eastAsiaTheme="minorEastAsia" w:hAnsiTheme="minorHAnsi" w:cstheme="minorBidi"/>
          <w:lang w:eastAsia="ja-JP"/>
        </w:rPr>
      </w:pPr>
      <w:r>
        <w:t>5.1.3.</w:t>
      </w:r>
      <w:r>
        <w:rPr>
          <w:rFonts w:asciiTheme="minorHAnsi" w:eastAsiaTheme="minorEastAsia" w:hAnsiTheme="minorHAnsi" w:cstheme="minorBidi"/>
          <w:lang w:eastAsia="ja-JP"/>
        </w:rPr>
        <w:tab/>
      </w:r>
      <w:r>
        <w:t>Oceanography</w:t>
      </w:r>
      <w:r>
        <w:tab/>
      </w:r>
      <w:r>
        <w:fldChar w:fldCharType="begin"/>
      </w:r>
      <w:r>
        <w:instrText xml:space="preserve"> PAGEREF _Toc375214538 \h </w:instrText>
      </w:r>
      <w:r>
        <w:fldChar w:fldCharType="separate"/>
      </w:r>
      <w:r w:rsidR="00282011">
        <w:t>134</w:t>
      </w:r>
      <w:r>
        <w:fldChar w:fldCharType="end"/>
      </w:r>
    </w:p>
    <w:p w14:paraId="1D2A2DCC" w14:textId="77777777" w:rsidR="009D48FF" w:rsidRDefault="009D48FF">
      <w:pPr>
        <w:pStyle w:val="TOC3"/>
        <w:tabs>
          <w:tab w:val="left" w:pos="840"/>
        </w:tabs>
        <w:rPr>
          <w:rFonts w:asciiTheme="minorHAnsi" w:eastAsiaTheme="minorEastAsia" w:hAnsiTheme="minorHAnsi" w:cstheme="minorBidi"/>
          <w:lang w:eastAsia="ja-JP"/>
        </w:rPr>
      </w:pPr>
      <w:r>
        <w:t>5.1.4.</w:t>
      </w:r>
      <w:r>
        <w:rPr>
          <w:rFonts w:asciiTheme="minorHAnsi" w:eastAsiaTheme="minorEastAsia" w:hAnsiTheme="minorHAnsi" w:cstheme="minorBidi"/>
          <w:lang w:eastAsia="ja-JP"/>
        </w:rPr>
        <w:tab/>
      </w:r>
      <w:r>
        <w:t>Ambient Ocean Sound</w:t>
      </w:r>
      <w:r>
        <w:tab/>
      </w:r>
      <w:r>
        <w:fldChar w:fldCharType="begin"/>
      </w:r>
      <w:r>
        <w:instrText xml:space="preserve"> PAGEREF _Toc375214539 \h </w:instrText>
      </w:r>
      <w:r>
        <w:fldChar w:fldCharType="separate"/>
      </w:r>
      <w:r w:rsidR="00282011">
        <w:t>136</w:t>
      </w:r>
      <w:r>
        <w:fldChar w:fldCharType="end"/>
      </w:r>
    </w:p>
    <w:p w14:paraId="762BA21B"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5.2.</w:t>
      </w:r>
      <w:r>
        <w:rPr>
          <w:rFonts w:asciiTheme="minorHAnsi" w:eastAsiaTheme="minorEastAsia" w:hAnsiTheme="minorHAnsi" w:cstheme="minorBidi"/>
          <w:lang w:eastAsia="ja-JP"/>
        </w:rPr>
        <w:tab/>
      </w:r>
      <w:r w:rsidRPr="00637019">
        <w:rPr>
          <w:color w:val="064EA8"/>
          <w:lang w:eastAsia="en-US"/>
        </w:rPr>
        <w:t>Conservation Values and Sensitivities</w:t>
      </w:r>
      <w:r>
        <w:tab/>
      </w:r>
      <w:r>
        <w:fldChar w:fldCharType="begin"/>
      </w:r>
      <w:r>
        <w:instrText xml:space="preserve"> PAGEREF _Toc375214540 \h </w:instrText>
      </w:r>
      <w:r>
        <w:fldChar w:fldCharType="separate"/>
      </w:r>
      <w:r w:rsidR="00282011">
        <w:t>137</w:t>
      </w:r>
      <w:r>
        <w:fldChar w:fldCharType="end"/>
      </w:r>
    </w:p>
    <w:p w14:paraId="02F6CC17" w14:textId="77777777" w:rsidR="009D48FF" w:rsidRDefault="009D48FF">
      <w:pPr>
        <w:pStyle w:val="TOC3"/>
        <w:tabs>
          <w:tab w:val="left" w:pos="840"/>
        </w:tabs>
        <w:rPr>
          <w:rFonts w:asciiTheme="minorHAnsi" w:eastAsiaTheme="minorEastAsia" w:hAnsiTheme="minorHAnsi" w:cstheme="minorBidi"/>
          <w:lang w:eastAsia="ja-JP"/>
        </w:rPr>
      </w:pPr>
      <w:r>
        <w:t>5.2.1.</w:t>
      </w:r>
      <w:r>
        <w:rPr>
          <w:rFonts w:asciiTheme="minorHAnsi" w:eastAsiaTheme="minorEastAsia" w:hAnsiTheme="minorHAnsi" w:cstheme="minorBidi"/>
          <w:lang w:eastAsia="ja-JP"/>
        </w:rPr>
        <w:tab/>
      </w:r>
      <w:r>
        <w:t>Commonwealth Marine Reserves</w:t>
      </w:r>
      <w:r>
        <w:tab/>
      </w:r>
      <w:r>
        <w:fldChar w:fldCharType="begin"/>
      </w:r>
      <w:r>
        <w:instrText xml:space="preserve"> PAGEREF _Toc375214541 \h </w:instrText>
      </w:r>
      <w:r>
        <w:fldChar w:fldCharType="separate"/>
      </w:r>
      <w:r w:rsidR="00282011">
        <w:t>138</w:t>
      </w:r>
      <w:r>
        <w:fldChar w:fldCharType="end"/>
      </w:r>
    </w:p>
    <w:p w14:paraId="51003F95" w14:textId="77777777" w:rsidR="009D48FF" w:rsidRDefault="009D48FF">
      <w:pPr>
        <w:pStyle w:val="TOC3"/>
        <w:tabs>
          <w:tab w:val="left" w:pos="840"/>
        </w:tabs>
        <w:rPr>
          <w:rFonts w:asciiTheme="minorHAnsi" w:eastAsiaTheme="minorEastAsia" w:hAnsiTheme="minorHAnsi" w:cstheme="minorBidi"/>
          <w:lang w:eastAsia="ja-JP"/>
        </w:rPr>
      </w:pPr>
      <w:r>
        <w:t>5.2.2.</w:t>
      </w:r>
      <w:r>
        <w:rPr>
          <w:rFonts w:asciiTheme="minorHAnsi" w:eastAsiaTheme="minorEastAsia" w:hAnsiTheme="minorHAnsi" w:cstheme="minorBidi"/>
          <w:lang w:eastAsia="ja-JP"/>
        </w:rPr>
        <w:tab/>
      </w:r>
      <w:r>
        <w:t>World Heritage-Listed Properties</w:t>
      </w:r>
      <w:r>
        <w:tab/>
      </w:r>
      <w:r>
        <w:fldChar w:fldCharType="begin"/>
      </w:r>
      <w:r>
        <w:instrText xml:space="preserve"> PAGEREF _Toc375214542 \h </w:instrText>
      </w:r>
      <w:r>
        <w:fldChar w:fldCharType="separate"/>
      </w:r>
      <w:r w:rsidR="00282011">
        <w:t>139</w:t>
      </w:r>
      <w:r>
        <w:fldChar w:fldCharType="end"/>
      </w:r>
    </w:p>
    <w:p w14:paraId="11941DF0" w14:textId="77777777" w:rsidR="009D48FF" w:rsidRDefault="009D48FF">
      <w:pPr>
        <w:pStyle w:val="TOC3"/>
        <w:tabs>
          <w:tab w:val="left" w:pos="840"/>
        </w:tabs>
        <w:rPr>
          <w:rFonts w:asciiTheme="minorHAnsi" w:eastAsiaTheme="minorEastAsia" w:hAnsiTheme="minorHAnsi" w:cstheme="minorBidi"/>
          <w:lang w:eastAsia="ja-JP"/>
        </w:rPr>
      </w:pPr>
      <w:r>
        <w:t>5.2.3.</w:t>
      </w:r>
      <w:r>
        <w:rPr>
          <w:rFonts w:asciiTheme="minorHAnsi" w:eastAsiaTheme="minorEastAsia" w:hAnsiTheme="minorHAnsi" w:cstheme="minorBidi"/>
          <w:lang w:eastAsia="ja-JP"/>
        </w:rPr>
        <w:tab/>
      </w:r>
      <w:r>
        <w:t>National Heritage-Listed Places</w:t>
      </w:r>
      <w:r>
        <w:tab/>
      </w:r>
      <w:r>
        <w:fldChar w:fldCharType="begin"/>
      </w:r>
      <w:r>
        <w:instrText xml:space="preserve"> PAGEREF _Toc375214543 \h </w:instrText>
      </w:r>
      <w:r>
        <w:fldChar w:fldCharType="separate"/>
      </w:r>
      <w:r w:rsidR="00282011">
        <w:t>139</w:t>
      </w:r>
      <w:r>
        <w:fldChar w:fldCharType="end"/>
      </w:r>
    </w:p>
    <w:p w14:paraId="7A4D2C64" w14:textId="77777777" w:rsidR="009D48FF" w:rsidRDefault="009D48FF">
      <w:pPr>
        <w:pStyle w:val="TOC3"/>
        <w:tabs>
          <w:tab w:val="left" w:pos="840"/>
        </w:tabs>
        <w:rPr>
          <w:rFonts w:asciiTheme="minorHAnsi" w:eastAsiaTheme="minorEastAsia" w:hAnsiTheme="minorHAnsi" w:cstheme="minorBidi"/>
          <w:lang w:eastAsia="ja-JP"/>
        </w:rPr>
      </w:pPr>
      <w:r>
        <w:t>5.2.4.</w:t>
      </w:r>
      <w:r>
        <w:rPr>
          <w:rFonts w:asciiTheme="minorHAnsi" w:eastAsiaTheme="minorEastAsia" w:hAnsiTheme="minorHAnsi" w:cstheme="minorBidi"/>
          <w:lang w:eastAsia="ja-JP"/>
        </w:rPr>
        <w:tab/>
      </w:r>
      <w:r>
        <w:t>Wetlands of International Importance</w:t>
      </w:r>
      <w:r>
        <w:tab/>
      </w:r>
      <w:r>
        <w:fldChar w:fldCharType="begin"/>
      </w:r>
      <w:r>
        <w:instrText xml:space="preserve"> PAGEREF _Toc375214544 \h </w:instrText>
      </w:r>
      <w:r>
        <w:fldChar w:fldCharType="separate"/>
      </w:r>
      <w:r w:rsidR="00282011">
        <w:t>139</w:t>
      </w:r>
      <w:r>
        <w:fldChar w:fldCharType="end"/>
      </w:r>
    </w:p>
    <w:p w14:paraId="7DACFEF9" w14:textId="77777777" w:rsidR="009D48FF" w:rsidRDefault="009D48FF">
      <w:pPr>
        <w:pStyle w:val="TOC3"/>
        <w:tabs>
          <w:tab w:val="left" w:pos="840"/>
        </w:tabs>
        <w:rPr>
          <w:rFonts w:asciiTheme="minorHAnsi" w:eastAsiaTheme="minorEastAsia" w:hAnsiTheme="minorHAnsi" w:cstheme="minorBidi"/>
          <w:lang w:eastAsia="ja-JP"/>
        </w:rPr>
      </w:pPr>
      <w:r>
        <w:t>5.2.5.</w:t>
      </w:r>
      <w:r>
        <w:rPr>
          <w:rFonts w:asciiTheme="minorHAnsi" w:eastAsiaTheme="minorEastAsia" w:hAnsiTheme="minorHAnsi" w:cstheme="minorBidi"/>
          <w:lang w:eastAsia="ja-JP"/>
        </w:rPr>
        <w:tab/>
      </w:r>
      <w:r>
        <w:t>Threatened Ecological Communities</w:t>
      </w:r>
      <w:r>
        <w:tab/>
      </w:r>
      <w:r>
        <w:fldChar w:fldCharType="begin"/>
      </w:r>
      <w:r>
        <w:instrText xml:space="preserve"> PAGEREF _Toc375214545 \h </w:instrText>
      </w:r>
      <w:r>
        <w:fldChar w:fldCharType="separate"/>
      </w:r>
      <w:r w:rsidR="00282011">
        <w:t>142</w:t>
      </w:r>
      <w:r>
        <w:fldChar w:fldCharType="end"/>
      </w:r>
    </w:p>
    <w:p w14:paraId="70BE8007" w14:textId="77777777" w:rsidR="009D48FF" w:rsidRDefault="009D48FF">
      <w:pPr>
        <w:pStyle w:val="TOC3"/>
        <w:tabs>
          <w:tab w:val="left" w:pos="840"/>
        </w:tabs>
        <w:rPr>
          <w:rFonts w:asciiTheme="minorHAnsi" w:eastAsiaTheme="minorEastAsia" w:hAnsiTheme="minorHAnsi" w:cstheme="minorBidi"/>
          <w:lang w:eastAsia="ja-JP"/>
        </w:rPr>
      </w:pPr>
      <w:r>
        <w:t>5.2.6.</w:t>
      </w:r>
      <w:r>
        <w:rPr>
          <w:rFonts w:asciiTheme="minorHAnsi" w:eastAsiaTheme="minorEastAsia" w:hAnsiTheme="minorHAnsi" w:cstheme="minorBidi"/>
          <w:lang w:eastAsia="ja-JP"/>
        </w:rPr>
        <w:tab/>
      </w:r>
      <w:r>
        <w:t>Commonwealth Heritage-listed Places</w:t>
      </w:r>
      <w:r>
        <w:tab/>
      </w:r>
      <w:r>
        <w:fldChar w:fldCharType="begin"/>
      </w:r>
      <w:r>
        <w:instrText xml:space="preserve"> PAGEREF _Toc375214546 \h </w:instrText>
      </w:r>
      <w:r>
        <w:fldChar w:fldCharType="separate"/>
      </w:r>
      <w:r w:rsidR="00282011">
        <w:t>143</w:t>
      </w:r>
      <w:r>
        <w:fldChar w:fldCharType="end"/>
      </w:r>
    </w:p>
    <w:p w14:paraId="57428A32" w14:textId="77777777" w:rsidR="009D48FF" w:rsidRDefault="009D48FF">
      <w:pPr>
        <w:pStyle w:val="TOC3"/>
        <w:tabs>
          <w:tab w:val="left" w:pos="840"/>
        </w:tabs>
        <w:rPr>
          <w:rFonts w:asciiTheme="minorHAnsi" w:eastAsiaTheme="minorEastAsia" w:hAnsiTheme="minorHAnsi" w:cstheme="minorBidi"/>
          <w:lang w:eastAsia="ja-JP"/>
        </w:rPr>
      </w:pPr>
      <w:r>
        <w:t>5.2.7.</w:t>
      </w:r>
      <w:r>
        <w:rPr>
          <w:rFonts w:asciiTheme="minorHAnsi" w:eastAsiaTheme="minorEastAsia" w:hAnsiTheme="minorHAnsi" w:cstheme="minorBidi"/>
          <w:lang w:eastAsia="ja-JP"/>
        </w:rPr>
        <w:tab/>
      </w:r>
      <w:r>
        <w:t>Key Ecological Features</w:t>
      </w:r>
      <w:r>
        <w:tab/>
      </w:r>
      <w:r>
        <w:fldChar w:fldCharType="begin"/>
      </w:r>
      <w:r>
        <w:instrText xml:space="preserve"> PAGEREF _Toc375214547 \h </w:instrText>
      </w:r>
      <w:r>
        <w:fldChar w:fldCharType="separate"/>
      </w:r>
      <w:r w:rsidR="00282011">
        <w:t>143</w:t>
      </w:r>
      <w:r>
        <w:fldChar w:fldCharType="end"/>
      </w:r>
    </w:p>
    <w:p w14:paraId="2EBC9188" w14:textId="77777777" w:rsidR="009D48FF" w:rsidRDefault="009D48FF">
      <w:pPr>
        <w:pStyle w:val="TOC3"/>
        <w:tabs>
          <w:tab w:val="left" w:pos="840"/>
        </w:tabs>
        <w:rPr>
          <w:rFonts w:asciiTheme="minorHAnsi" w:eastAsiaTheme="minorEastAsia" w:hAnsiTheme="minorHAnsi" w:cstheme="minorBidi"/>
          <w:lang w:eastAsia="ja-JP"/>
        </w:rPr>
      </w:pPr>
      <w:r>
        <w:t>5.2.8.</w:t>
      </w:r>
      <w:r>
        <w:rPr>
          <w:rFonts w:asciiTheme="minorHAnsi" w:eastAsiaTheme="minorEastAsia" w:hAnsiTheme="minorHAnsi" w:cstheme="minorBidi"/>
          <w:lang w:eastAsia="ja-JP"/>
        </w:rPr>
        <w:tab/>
      </w:r>
      <w:r>
        <w:t>Nationally Important Wetlands</w:t>
      </w:r>
      <w:r>
        <w:tab/>
      </w:r>
      <w:r>
        <w:fldChar w:fldCharType="begin"/>
      </w:r>
      <w:r>
        <w:instrText xml:space="preserve"> PAGEREF _Toc375214548 \h </w:instrText>
      </w:r>
      <w:r>
        <w:fldChar w:fldCharType="separate"/>
      </w:r>
      <w:r w:rsidR="00282011">
        <w:t>146</w:t>
      </w:r>
      <w:r>
        <w:fldChar w:fldCharType="end"/>
      </w:r>
    </w:p>
    <w:p w14:paraId="1327E16E" w14:textId="77777777" w:rsidR="009D48FF" w:rsidRDefault="009D48FF">
      <w:pPr>
        <w:pStyle w:val="TOC3"/>
        <w:tabs>
          <w:tab w:val="left" w:pos="840"/>
        </w:tabs>
        <w:rPr>
          <w:rFonts w:asciiTheme="minorHAnsi" w:eastAsiaTheme="minorEastAsia" w:hAnsiTheme="minorHAnsi" w:cstheme="minorBidi"/>
          <w:lang w:eastAsia="ja-JP"/>
        </w:rPr>
      </w:pPr>
      <w:r>
        <w:t>5.2.9.</w:t>
      </w:r>
      <w:r>
        <w:rPr>
          <w:rFonts w:asciiTheme="minorHAnsi" w:eastAsiaTheme="minorEastAsia" w:hAnsiTheme="minorHAnsi" w:cstheme="minorBidi"/>
          <w:lang w:eastAsia="ja-JP"/>
        </w:rPr>
        <w:tab/>
      </w:r>
      <w:r>
        <w:t>Victorian Marine Protected Areas</w:t>
      </w:r>
      <w:r>
        <w:tab/>
      </w:r>
      <w:r>
        <w:fldChar w:fldCharType="begin"/>
      </w:r>
      <w:r>
        <w:instrText xml:space="preserve"> PAGEREF _Toc375214549 \h </w:instrText>
      </w:r>
      <w:r>
        <w:fldChar w:fldCharType="separate"/>
      </w:r>
      <w:r w:rsidR="00282011">
        <w:t>153</w:t>
      </w:r>
      <w:r>
        <w:fldChar w:fldCharType="end"/>
      </w:r>
    </w:p>
    <w:p w14:paraId="7BFFF653" w14:textId="77777777" w:rsidR="009D48FF" w:rsidRDefault="009D48FF">
      <w:pPr>
        <w:pStyle w:val="TOC3"/>
        <w:tabs>
          <w:tab w:val="left" w:pos="974"/>
        </w:tabs>
        <w:rPr>
          <w:rFonts w:asciiTheme="minorHAnsi" w:eastAsiaTheme="minorEastAsia" w:hAnsiTheme="minorHAnsi" w:cstheme="minorBidi"/>
          <w:lang w:eastAsia="ja-JP"/>
        </w:rPr>
      </w:pPr>
      <w:r>
        <w:t>5.2.10.</w:t>
      </w:r>
      <w:r>
        <w:rPr>
          <w:rFonts w:asciiTheme="minorHAnsi" w:eastAsiaTheme="minorEastAsia" w:hAnsiTheme="minorHAnsi" w:cstheme="minorBidi"/>
          <w:lang w:eastAsia="ja-JP"/>
        </w:rPr>
        <w:tab/>
      </w:r>
      <w:r>
        <w:t>Onshore Protected Areas</w:t>
      </w:r>
      <w:r>
        <w:tab/>
      </w:r>
      <w:r>
        <w:fldChar w:fldCharType="begin"/>
      </w:r>
      <w:r>
        <w:instrText xml:space="preserve"> PAGEREF _Toc375214550 \h </w:instrText>
      </w:r>
      <w:r>
        <w:fldChar w:fldCharType="separate"/>
      </w:r>
      <w:r w:rsidR="00282011">
        <w:t>153</w:t>
      </w:r>
      <w:r>
        <w:fldChar w:fldCharType="end"/>
      </w:r>
    </w:p>
    <w:p w14:paraId="2599C54A"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5.3.</w:t>
      </w:r>
      <w:r>
        <w:rPr>
          <w:rFonts w:asciiTheme="minorHAnsi" w:eastAsiaTheme="minorEastAsia" w:hAnsiTheme="minorHAnsi" w:cstheme="minorBidi"/>
          <w:lang w:eastAsia="ja-JP"/>
        </w:rPr>
        <w:tab/>
      </w:r>
      <w:r w:rsidRPr="00637019">
        <w:rPr>
          <w:color w:val="064EA8"/>
          <w:lang w:eastAsia="en-US"/>
        </w:rPr>
        <w:t>Coastal Environment</w:t>
      </w:r>
      <w:r>
        <w:tab/>
      </w:r>
      <w:r>
        <w:fldChar w:fldCharType="begin"/>
      </w:r>
      <w:r>
        <w:instrText xml:space="preserve"> PAGEREF _Toc375214551 \h </w:instrText>
      </w:r>
      <w:r>
        <w:fldChar w:fldCharType="separate"/>
      </w:r>
      <w:r w:rsidR="00282011">
        <w:t>172</w:t>
      </w:r>
      <w:r>
        <w:fldChar w:fldCharType="end"/>
      </w:r>
    </w:p>
    <w:p w14:paraId="17327A88" w14:textId="77777777" w:rsidR="009D48FF" w:rsidRDefault="009D48FF">
      <w:pPr>
        <w:pStyle w:val="TOC3"/>
        <w:tabs>
          <w:tab w:val="left" w:pos="840"/>
        </w:tabs>
        <w:rPr>
          <w:rFonts w:asciiTheme="minorHAnsi" w:eastAsiaTheme="minorEastAsia" w:hAnsiTheme="minorHAnsi" w:cstheme="minorBidi"/>
          <w:lang w:eastAsia="ja-JP"/>
        </w:rPr>
      </w:pPr>
      <w:r>
        <w:t>5.3.1.</w:t>
      </w:r>
      <w:r>
        <w:rPr>
          <w:rFonts w:asciiTheme="minorHAnsi" w:eastAsiaTheme="minorEastAsia" w:hAnsiTheme="minorHAnsi" w:cstheme="minorBidi"/>
          <w:lang w:eastAsia="ja-JP"/>
        </w:rPr>
        <w:tab/>
      </w:r>
      <w:r>
        <w:t>Shoreline Types</w:t>
      </w:r>
      <w:r>
        <w:tab/>
      </w:r>
      <w:r>
        <w:fldChar w:fldCharType="begin"/>
      </w:r>
      <w:r>
        <w:instrText xml:space="preserve"> PAGEREF _Toc375214552 \h </w:instrText>
      </w:r>
      <w:r>
        <w:fldChar w:fldCharType="separate"/>
      </w:r>
      <w:r w:rsidR="00282011">
        <w:t>172</w:t>
      </w:r>
      <w:r>
        <w:fldChar w:fldCharType="end"/>
      </w:r>
    </w:p>
    <w:p w14:paraId="0693744C" w14:textId="77777777" w:rsidR="009D48FF" w:rsidRDefault="009D48FF">
      <w:pPr>
        <w:pStyle w:val="TOC3"/>
        <w:tabs>
          <w:tab w:val="left" w:pos="840"/>
        </w:tabs>
        <w:rPr>
          <w:rFonts w:asciiTheme="minorHAnsi" w:eastAsiaTheme="minorEastAsia" w:hAnsiTheme="minorHAnsi" w:cstheme="minorBidi"/>
          <w:lang w:eastAsia="ja-JP"/>
        </w:rPr>
      </w:pPr>
      <w:r>
        <w:t>5.3.2.</w:t>
      </w:r>
      <w:r>
        <w:rPr>
          <w:rFonts w:asciiTheme="minorHAnsi" w:eastAsiaTheme="minorEastAsia" w:hAnsiTheme="minorHAnsi" w:cstheme="minorBidi"/>
          <w:lang w:eastAsia="ja-JP"/>
        </w:rPr>
        <w:tab/>
      </w:r>
      <w:r>
        <w:t>Estuaries</w:t>
      </w:r>
      <w:r>
        <w:tab/>
      </w:r>
      <w:r>
        <w:fldChar w:fldCharType="begin"/>
      </w:r>
      <w:r>
        <w:instrText xml:space="preserve"> PAGEREF _Toc375214553 \h </w:instrText>
      </w:r>
      <w:r>
        <w:fldChar w:fldCharType="separate"/>
      </w:r>
      <w:r w:rsidR="00282011">
        <w:t>172</w:t>
      </w:r>
      <w:r>
        <w:fldChar w:fldCharType="end"/>
      </w:r>
    </w:p>
    <w:p w14:paraId="61E1469F" w14:textId="77777777" w:rsidR="009D48FF" w:rsidRDefault="009D48FF">
      <w:pPr>
        <w:pStyle w:val="TOC3"/>
        <w:tabs>
          <w:tab w:val="left" w:pos="840"/>
        </w:tabs>
        <w:rPr>
          <w:rFonts w:asciiTheme="minorHAnsi" w:eastAsiaTheme="minorEastAsia" w:hAnsiTheme="minorHAnsi" w:cstheme="minorBidi"/>
          <w:lang w:eastAsia="ja-JP"/>
        </w:rPr>
      </w:pPr>
      <w:r>
        <w:t>5.3.3.</w:t>
      </w:r>
      <w:r>
        <w:rPr>
          <w:rFonts w:asciiTheme="minorHAnsi" w:eastAsiaTheme="minorEastAsia" w:hAnsiTheme="minorHAnsi" w:cstheme="minorBidi"/>
          <w:lang w:eastAsia="ja-JP"/>
        </w:rPr>
        <w:tab/>
      </w:r>
      <w:r>
        <w:t>Intertidal Habitats</w:t>
      </w:r>
      <w:r>
        <w:tab/>
      </w:r>
      <w:r>
        <w:fldChar w:fldCharType="begin"/>
      </w:r>
      <w:r>
        <w:instrText xml:space="preserve"> PAGEREF _Toc375214554 \h </w:instrText>
      </w:r>
      <w:r>
        <w:fldChar w:fldCharType="separate"/>
      </w:r>
      <w:r w:rsidR="00282011">
        <w:t>173</w:t>
      </w:r>
      <w:r>
        <w:fldChar w:fldCharType="end"/>
      </w:r>
    </w:p>
    <w:p w14:paraId="1A5F38C0" w14:textId="77777777" w:rsidR="009D48FF" w:rsidRDefault="009D48FF">
      <w:pPr>
        <w:pStyle w:val="TOC3"/>
        <w:tabs>
          <w:tab w:val="left" w:pos="840"/>
        </w:tabs>
        <w:rPr>
          <w:rFonts w:asciiTheme="minorHAnsi" w:eastAsiaTheme="minorEastAsia" w:hAnsiTheme="minorHAnsi" w:cstheme="minorBidi"/>
          <w:lang w:eastAsia="ja-JP"/>
        </w:rPr>
      </w:pPr>
      <w:r>
        <w:t>5.3.4.</w:t>
      </w:r>
      <w:r>
        <w:rPr>
          <w:rFonts w:asciiTheme="minorHAnsi" w:eastAsiaTheme="minorEastAsia" w:hAnsiTheme="minorHAnsi" w:cstheme="minorBidi"/>
          <w:lang w:eastAsia="ja-JP"/>
        </w:rPr>
        <w:tab/>
      </w:r>
      <w:r>
        <w:t>Offshore Islands</w:t>
      </w:r>
      <w:r>
        <w:tab/>
      </w:r>
      <w:r>
        <w:fldChar w:fldCharType="begin"/>
      </w:r>
      <w:r>
        <w:instrText xml:space="preserve"> PAGEREF _Toc375214555 \h </w:instrText>
      </w:r>
      <w:r>
        <w:fldChar w:fldCharType="separate"/>
      </w:r>
      <w:r w:rsidR="00282011">
        <w:t>174</w:t>
      </w:r>
      <w:r>
        <w:fldChar w:fldCharType="end"/>
      </w:r>
    </w:p>
    <w:p w14:paraId="5210E24F" w14:textId="77777777" w:rsidR="009D48FF" w:rsidRDefault="009D48FF">
      <w:pPr>
        <w:pStyle w:val="TOC3"/>
        <w:tabs>
          <w:tab w:val="left" w:pos="840"/>
        </w:tabs>
        <w:rPr>
          <w:rFonts w:asciiTheme="minorHAnsi" w:eastAsiaTheme="minorEastAsia" w:hAnsiTheme="minorHAnsi" w:cstheme="minorBidi"/>
          <w:lang w:eastAsia="ja-JP"/>
        </w:rPr>
      </w:pPr>
      <w:r>
        <w:t>5.3.5.</w:t>
      </w:r>
      <w:r>
        <w:rPr>
          <w:rFonts w:asciiTheme="minorHAnsi" w:eastAsiaTheme="minorEastAsia" w:hAnsiTheme="minorHAnsi" w:cstheme="minorBidi"/>
          <w:lang w:eastAsia="ja-JP"/>
        </w:rPr>
        <w:tab/>
      </w:r>
      <w:r>
        <w:t>Proposed Special Management Areas</w:t>
      </w:r>
      <w:r>
        <w:tab/>
      </w:r>
      <w:r>
        <w:fldChar w:fldCharType="begin"/>
      </w:r>
      <w:r>
        <w:instrText xml:space="preserve"> PAGEREF _Toc375214556 \h </w:instrText>
      </w:r>
      <w:r>
        <w:fldChar w:fldCharType="separate"/>
      </w:r>
      <w:r w:rsidR="00282011">
        <w:t>174</w:t>
      </w:r>
      <w:r>
        <w:fldChar w:fldCharType="end"/>
      </w:r>
    </w:p>
    <w:p w14:paraId="6CC6D241"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5.4.</w:t>
      </w:r>
      <w:r>
        <w:rPr>
          <w:rFonts w:asciiTheme="minorHAnsi" w:eastAsiaTheme="minorEastAsia" w:hAnsiTheme="minorHAnsi" w:cstheme="minorBidi"/>
          <w:lang w:eastAsia="ja-JP"/>
        </w:rPr>
        <w:tab/>
      </w:r>
      <w:r w:rsidRPr="00637019">
        <w:rPr>
          <w:color w:val="064EA8"/>
          <w:lang w:eastAsia="en-US"/>
        </w:rPr>
        <w:t>Biological Environment</w:t>
      </w:r>
      <w:r>
        <w:tab/>
      </w:r>
      <w:r>
        <w:fldChar w:fldCharType="begin"/>
      </w:r>
      <w:r>
        <w:instrText xml:space="preserve"> PAGEREF _Toc375214557 \h </w:instrText>
      </w:r>
      <w:r>
        <w:fldChar w:fldCharType="separate"/>
      </w:r>
      <w:r w:rsidR="00282011">
        <w:t>175</w:t>
      </w:r>
      <w:r>
        <w:fldChar w:fldCharType="end"/>
      </w:r>
    </w:p>
    <w:p w14:paraId="227CF47C" w14:textId="77777777" w:rsidR="009D48FF" w:rsidRDefault="009D48FF">
      <w:pPr>
        <w:pStyle w:val="TOC3"/>
        <w:tabs>
          <w:tab w:val="left" w:pos="840"/>
        </w:tabs>
        <w:rPr>
          <w:rFonts w:asciiTheme="minorHAnsi" w:eastAsiaTheme="minorEastAsia" w:hAnsiTheme="minorHAnsi" w:cstheme="minorBidi"/>
          <w:lang w:eastAsia="ja-JP"/>
        </w:rPr>
      </w:pPr>
      <w:r>
        <w:t>5.4.1.</w:t>
      </w:r>
      <w:r>
        <w:rPr>
          <w:rFonts w:asciiTheme="minorHAnsi" w:eastAsiaTheme="minorEastAsia" w:hAnsiTheme="minorHAnsi" w:cstheme="minorBidi"/>
          <w:lang w:eastAsia="ja-JP"/>
        </w:rPr>
        <w:tab/>
      </w:r>
      <w:r>
        <w:t>Benthic Assemblages</w:t>
      </w:r>
      <w:r>
        <w:tab/>
      </w:r>
      <w:r>
        <w:fldChar w:fldCharType="begin"/>
      </w:r>
      <w:r>
        <w:instrText xml:space="preserve"> PAGEREF _Toc375214558 \h </w:instrText>
      </w:r>
      <w:r>
        <w:fldChar w:fldCharType="separate"/>
      </w:r>
      <w:r w:rsidR="00282011">
        <w:t>175</w:t>
      </w:r>
      <w:r>
        <w:fldChar w:fldCharType="end"/>
      </w:r>
    </w:p>
    <w:p w14:paraId="2EBC100A" w14:textId="77777777" w:rsidR="009D48FF" w:rsidRDefault="009D48FF">
      <w:pPr>
        <w:pStyle w:val="TOC3"/>
        <w:tabs>
          <w:tab w:val="left" w:pos="840"/>
        </w:tabs>
        <w:rPr>
          <w:rFonts w:asciiTheme="minorHAnsi" w:eastAsiaTheme="minorEastAsia" w:hAnsiTheme="minorHAnsi" w:cstheme="minorBidi"/>
          <w:lang w:eastAsia="ja-JP"/>
        </w:rPr>
      </w:pPr>
      <w:r>
        <w:t>5.4.2.</w:t>
      </w:r>
      <w:r>
        <w:rPr>
          <w:rFonts w:asciiTheme="minorHAnsi" w:eastAsiaTheme="minorEastAsia" w:hAnsiTheme="minorHAnsi" w:cstheme="minorBidi"/>
          <w:lang w:eastAsia="ja-JP"/>
        </w:rPr>
        <w:tab/>
      </w:r>
      <w:r>
        <w:t>Flora</w:t>
      </w:r>
      <w:r>
        <w:tab/>
      </w:r>
      <w:r>
        <w:fldChar w:fldCharType="begin"/>
      </w:r>
      <w:r>
        <w:instrText xml:space="preserve"> PAGEREF _Toc375214559 \h </w:instrText>
      </w:r>
      <w:r>
        <w:fldChar w:fldCharType="separate"/>
      </w:r>
      <w:r w:rsidR="00282011">
        <w:t>181</w:t>
      </w:r>
      <w:r>
        <w:fldChar w:fldCharType="end"/>
      </w:r>
    </w:p>
    <w:p w14:paraId="7FC0250C" w14:textId="77777777" w:rsidR="009D48FF" w:rsidRDefault="009D48FF">
      <w:pPr>
        <w:pStyle w:val="TOC3"/>
        <w:tabs>
          <w:tab w:val="left" w:pos="840"/>
        </w:tabs>
        <w:rPr>
          <w:rFonts w:asciiTheme="minorHAnsi" w:eastAsiaTheme="minorEastAsia" w:hAnsiTheme="minorHAnsi" w:cstheme="minorBidi"/>
          <w:lang w:eastAsia="ja-JP"/>
        </w:rPr>
      </w:pPr>
      <w:r>
        <w:t>5.4.3.</w:t>
      </w:r>
      <w:r>
        <w:rPr>
          <w:rFonts w:asciiTheme="minorHAnsi" w:eastAsiaTheme="minorEastAsia" w:hAnsiTheme="minorHAnsi" w:cstheme="minorBidi"/>
          <w:lang w:eastAsia="ja-JP"/>
        </w:rPr>
        <w:tab/>
      </w:r>
      <w:r>
        <w:t>Plankton</w:t>
      </w:r>
      <w:r>
        <w:tab/>
      </w:r>
      <w:r>
        <w:fldChar w:fldCharType="begin"/>
      </w:r>
      <w:r>
        <w:instrText xml:space="preserve"> PAGEREF _Toc375214560 \h </w:instrText>
      </w:r>
      <w:r>
        <w:fldChar w:fldCharType="separate"/>
      </w:r>
      <w:r w:rsidR="00282011">
        <w:t>181</w:t>
      </w:r>
      <w:r>
        <w:fldChar w:fldCharType="end"/>
      </w:r>
    </w:p>
    <w:p w14:paraId="095A4043" w14:textId="77777777" w:rsidR="009D48FF" w:rsidRDefault="009D48FF">
      <w:pPr>
        <w:pStyle w:val="TOC3"/>
        <w:tabs>
          <w:tab w:val="left" w:pos="840"/>
        </w:tabs>
        <w:rPr>
          <w:rFonts w:asciiTheme="minorHAnsi" w:eastAsiaTheme="minorEastAsia" w:hAnsiTheme="minorHAnsi" w:cstheme="minorBidi"/>
          <w:lang w:eastAsia="ja-JP"/>
        </w:rPr>
      </w:pPr>
      <w:r>
        <w:t>5.4.4.</w:t>
      </w:r>
      <w:r>
        <w:rPr>
          <w:rFonts w:asciiTheme="minorHAnsi" w:eastAsiaTheme="minorEastAsia" w:hAnsiTheme="minorHAnsi" w:cstheme="minorBidi"/>
          <w:lang w:eastAsia="ja-JP"/>
        </w:rPr>
        <w:tab/>
      </w:r>
      <w:r>
        <w:t>Fish</w:t>
      </w:r>
      <w:r>
        <w:tab/>
      </w:r>
      <w:r>
        <w:fldChar w:fldCharType="begin"/>
      </w:r>
      <w:r>
        <w:instrText xml:space="preserve"> PAGEREF _Toc375214561 \h </w:instrText>
      </w:r>
      <w:r>
        <w:fldChar w:fldCharType="separate"/>
      </w:r>
      <w:r w:rsidR="00282011">
        <w:t>182</w:t>
      </w:r>
      <w:r>
        <w:fldChar w:fldCharType="end"/>
      </w:r>
    </w:p>
    <w:p w14:paraId="66600A67" w14:textId="77777777" w:rsidR="009D48FF" w:rsidRDefault="009D48FF">
      <w:pPr>
        <w:pStyle w:val="TOC3"/>
        <w:tabs>
          <w:tab w:val="left" w:pos="840"/>
        </w:tabs>
        <w:rPr>
          <w:rFonts w:asciiTheme="minorHAnsi" w:eastAsiaTheme="minorEastAsia" w:hAnsiTheme="minorHAnsi" w:cstheme="minorBidi"/>
          <w:lang w:eastAsia="ja-JP"/>
        </w:rPr>
      </w:pPr>
      <w:r>
        <w:t>5.4.5.</w:t>
      </w:r>
      <w:r>
        <w:rPr>
          <w:rFonts w:asciiTheme="minorHAnsi" w:eastAsiaTheme="minorEastAsia" w:hAnsiTheme="minorHAnsi" w:cstheme="minorBidi"/>
          <w:lang w:eastAsia="ja-JP"/>
        </w:rPr>
        <w:tab/>
      </w:r>
      <w:r>
        <w:t>Cetaceans</w:t>
      </w:r>
      <w:r>
        <w:tab/>
      </w:r>
      <w:r>
        <w:fldChar w:fldCharType="begin"/>
      </w:r>
      <w:r>
        <w:instrText xml:space="preserve"> PAGEREF _Toc375214562 \h </w:instrText>
      </w:r>
      <w:r>
        <w:fldChar w:fldCharType="separate"/>
      </w:r>
      <w:r w:rsidR="00282011">
        <w:t>193</w:t>
      </w:r>
      <w:r>
        <w:fldChar w:fldCharType="end"/>
      </w:r>
    </w:p>
    <w:p w14:paraId="0D7BF6E0" w14:textId="77777777" w:rsidR="009D48FF" w:rsidRDefault="009D48FF">
      <w:pPr>
        <w:pStyle w:val="TOC3"/>
        <w:tabs>
          <w:tab w:val="left" w:pos="840"/>
        </w:tabs>
        <w:rPr>
          <w:rFonts w:asciiTheme="minorHAnsi" w:eastAsiaTheme="minorEastAsia" w:hAnsiTheme="minorHAnsi" w:cstheme="minorBidi"/>
          <w:lang w:eastAsia="ja-JP"/>
        </w:rPr>
      </w:pPr>
      <w:r>
        <w:t>5.4.6.</w:t>
      </w:r>
      <w:r>
        <w:rPr>
          <w:rFonts w:asciiTheme="minorHAnsi" w:eastAsiaTheme="minorEastAsia" w:hAnsiTheme="minorHAnsi" w:cstheme="minorBidi"/>
          <w:lang w:eastAsia="ja-JP"/>
        </w:rPr>
        <w:tab/>
      </w:r>
      <w:r>
        <w:t>Pinnipeds</w:t>
      </w:r>
      <w:r>
        <w:tab/>
      </w:r>
      <w:r>
        <w:fldChar w:fldCharType="begin"/>
      </w:r>
      <w:r>
        <w:instrText xml:space="preserve"> PAGEREF _Toc375214563 \h </w:instrText>
      </w:r>
      <w:r>
        <w:fldChar w:fldCharType="separate"/>
      </w:r>
      <w:r w:rsidR="00282011">
        <w:t>210</w:t>
      </w:r>
      <w:r>
        <w:fldChar w:fldCharType="end"/>
      </w:r>
    </w:p>
    <w:p w14:paraId="67BAA09A" w14:textId="77777777" w:rsidR="009D48FF" w:rsidRDefault="009D48FF">
      <w:pPr>
        <w:pStyle w:val="TOC3"/>
        <w:tabs>
          <w:tab w:val="left" w:pos="840"/>
        </w:tabs>
        <w:rPr>
          <w:rFonts w:asciiTheme="minorHAnsi" w:eastAsiaTheme="minorEastAsia" w:hAnsiTheme="minorHAnsi" w:cstheme="minorBidi"/>
          <w:lang w:eastAsia="ja-JP"/>
        </w:rPr>
      </w:pPr>
      <w:r>
        <w:t>5.4.7.</w:t>
      </w:r>
      <w:r>
        <w:rPr>
          <w:rFonts w:asciiTheme="minorHAnsi" w:eastAsiaTheme="minorEastAsia" w:hAnsiTheme="minorHAnsi" w:cstheme="minorBidi"/>
          <w:lang w:eastAsia="ja-JP"/>
        </w:rPr>
        <w:tab/>
      </w:r>
      <w:r>
        <w:t>Reptiles</w:t>
      </w:r>
      <w:r>
        <w:tab/>
      </w:r>
      <w:r>
        <w:fldChar w:fldCharType="begin"/>
      </w:r>
      <w:r>
        <w:instrText xml:space="preserve"> PAGEREF _Toc375214564 \h </w:instrText>
      </w:r>
      <w:r>
        <w:fldChar w:fldCharType="separate"/>
      </w:r>
      <w:r w:rsidR="00282011">
        <w:t>213</w:t>
      </w:r>
      <w:r>
        <w:fldChar w:fldCharType="end"/>
      </w:r>
    </w:p>
    <w:p w14:paraId="7DB01ABE" w14:textId="77777777" w:rsidR="009D48FF" w:rsidRDefault="009D48FF">
      <w:pPr>
        <w:pStyle w:val="TOC3"/>
        <w:tabs>
          <w:tab w:val="left" w:pos="840"/>
        </w:tabs>
        <w:rPr>
          <w:rFonts w:asciiTheme="minorHAnsi" w:eastAsiaTheme="minorEastAsia" w:hAnsiTheme="minorHAnsi" w:cstheme="minorBidi"/>
          <w:lang w:eastAsia="ja-JP"/>
        </w:rPr>
      </w:pPr>
      <w:r>
        <w:t>5.4.8.</w:t>
      </w:r>
      <w:r>
        <w:rPr>
          <w:rFonts w:asciiTheme="minorHAnsi" w:eastAsiaTheme="minorEastAsia" w:hAnsiTheme="minorHAnsi" w:cstheme="minorBidi"/>
          <w:lang w:eastAsia="ja-JP"/>
        </w:rPr>
        <w:tab/>
      </w:r>
      <w:r>
        <w:t>Avifauna</w:t>
      </w:r>
      <w:r>
        <w:tab/>
      </w:r>
      <w:r>
        <w:fldChar w:fldCharType="begin"/>
      </w:r>
      <w:r>
        <w:instrText xml:space="preserve"> PAGEREF _Toc375214565 \h </w:instrText>
      </w:r>
      <w:r>
        <w:fldChar w:fldCharType="separate"/>
      </w:r>
      <w:r w:rsidR="00282011">
        <w:t>215</w:t>
      </w:r>
      <w:r>
        <w:fldChar w:fldCharType="end"/>
      </w:r>
    </w:p>
    <w:p w14:paraId="67FEF351" w14:textId="77777777" w:rsidR="009D48FF" w:rsidRDefault="009D48FF">
      <w:pPr>
        <w:pStyle w:val="TOC3"/>
        <w:tabs>
          <w:tab w:val="left" w:pos="840"/>
        </w:tabs>
        <w:rPr>
          <w:rFonts w:asciiTheme="minorHAnsi" w:eastAsiaTheme="minorEastAsia" w:hAnsiTheme="minorHAnsi" w:cstheme="minorBidi"/>
          <w:lang w:eastAsia="ja-JP"/>
        </w:rPr>
      </w:pPr>
      <w:r>
        <w:t>5.4.9.</w:t>
      </w:r>
      <w:r>
        <w:rPr>
          <w:rFonts w:asciiTheme="minorHAnsi" w:eastAsiaTheme="minorEastAsia" w:hAnsiTheme="minorHAnsi" w:cstheme="minorBidi"/>
          <w:lang w:eastAsia="ja-JP"/>
        </w:rPr>
        <w:tab/>
      </w:r>
      <w:r>
        <w:t>Other EPBC Act-listed species</w:t>
      </w:r>
      <w:r>
        <w:tab/>
      </w:r>
      <w:r>
        <w:fldChar w:fldCharType="begin"/>
      </w:r>
      <w:r>
        <w:instrText xml:space="preserve"> PAGEREF _Toc375214566 \h </w:instrText>
      </w:r>
      <w:r>
        <w:fldChar w:fldCharType="separate"/>
      </w:r>
      <w:r w:rsidR="00282011">
        <w:t>227</w:t>
      </w:r>
      <w:r>
        <w:fldChar w:fldCharType="end"/>
      </w:r>
    </w:p>
    <w:p w14:paraId="3AC953DA" w14:textId="77777777" w:rsidR="009D48FF" w:rsidRDefault="009D48FF">
      <w:pPr>
        <w:pStyle w:val="TOC3"/>
        <w:tabs>
          <w:tab w:val="left" w:pos="974"/>
        </w:tabs>
        <w:rPr>
          <w:rFonts w:asciiTheme="minorHAnsi" w:eastAsiaTheme="minorEastAsia" w:hAnsiTheme="minorHAnsi" w:cstheme="minorBidi"/>
          <w:lang w:eastAsia="ja-JP"/>
        </w:rPr>
      </w:pPr>
      <w:r>
        <w:t>5.4.10.</w:t>
      </w:r>
      <w:r>
        <w:rPr>
          <w:rFonts w:asciiTheme="minorHAnsi" w:eastAsiaTheme="minorEastAsia" w:hAnsiTheme="minorHAnsi" w:cstheme="minorBidi"/>
          <w:lang w:eastAsia="ja-JP"/>
        </w:rPr>
        <w:tab/>
      </w:r>
      <w:r>
        <w:t>Marine Pests</w:t>
      </w:r>
      <w:r>
        <w:tab/>
      </w:r>
      <w:r>
        <w:fldChar w:fldCharType="begin"/>
      </w:r>
      <w:r>
        <w:instrText xml:space="preserve"> PAGEREF _Toc375214567 \h </w:instrText>
      </w:r>
      <w:r>
        <w:fldChar w:fldCharType="separate"/>
      </w:r>
      <w:r w:rsidR="00282011">
        <w:t>227</w:t>
      </w:r>
      <w:r>
        <w:fldChar w:fldCharType="end"/>
      </w:r>
    </w:p>
    <w:p w14:paraId="58A29B79"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5.5.</w:t>
      </w:r>
      <w:r>
        <w:rPr>
          <w:rFonts w:asciiTheme="minorHAnsi" w:eastAsiaTheme="minorEastAsia" w:hAnsiTheme="minorHAnsi" w:cstheme="minorBidi"/>
          <w:lang w:eastAsia="ja-JP"/>
        </w:rPr>
        <w:tab/>
      </w:r>
      <w:r w:rsidRPr="00637019">
        <w:rPr>
          <w:color w:val="064EA8"/>
          <w:lang w:eastAsia="en-US"/>
        </w:rPr>
        <w:t>Cultural Heritage Values</w:t>
      </w:r>
      <w:r>
        <w:tab/>
      </w:r>
      <w:r>
        <w:fldChar w:fldCharType="begin"/>
      </w:r>
      <w:r>
        <w:instrText xml:space="preserve"> PAGEREF _Toc375214568 \h </w:instrText>
      </w:r>
      <w:r>
        <w:fldChar w:fldCharType="separate"/>
      </w:r>
      <w:r w:rsidR="00282011">
        <w:t>228</w:t>
      </w:r>
      <w:r>
        <w:fldChar w:fldCharType="end"/>
      </w:r>
    </w:p>
    <w:p w14:paraId="71336385" w14:textId="77777777" w:rsidR="009D48FF" w:rsidRDefault="009D48FF">
      <w:pPr>
        <w:pStyle w:val="TOC3"/>
        <w:tabs>
          <w:tab w:val="left" w:pos="840"/>
        </w:tabs>
        <w:rPr>
          <w:rFonts w:asciiTheme="minorHAnsi" w:eastAsiaTheme="minorEastAsia" w:hAnsiTheme="minorHAnsi" w:cstheme="minorBidi"/>
          <w:lang w:eastAsia="ja-JP"/>
        </w:rPr>
      </w:pPr>
      <w:r>
        <w:t>5.5.1.</w:t>
      </w:r>
      <w:r>
        <w:rPr>
          <w:rFonts w:asciiTheme="minorHAnsi" w:eastAsiaTheme="minorEastAsia" w:hAnsiTheme="minorHAnsi" w:cstheme="minorBidi"/>
          <w:lang w:eastAsia="ja-JP"/>
        </w:rPr>
        <w:tab/>
      </w:r>
      <w:r>
        <w:t>Aboriginal Heritage</w:t>
      </w:r>
      <w:r>
        <w:tab/>
      </w:r>
      <w:r>
        <w:fldChar w:fldCharType="begin"/>
      </w:r>
      <w:r>
        <w:instrText xml:space="preserve"> PAGEREF _Toc375214569 \h </w:instrText>
      </w:r>
      <w:r>
        <w:fldChar w:fldCharType="separate"/>
      </w:r>
      <w:r w:rsidR="00282011">
        <w:t>228</w:t>
      </w:r>
      <w:r>
        <w:fldChar w:fldCharType="end"/>
      </w:r>
    </w:p>
    <w:p w14:paraId="5B7DDB1A" w14:textId="77777777" w:rsidR="009D48FF" w:rsidRDefault="009D48FF">
      <w:pPr>
        <w:pStyle w:val="TOC3"/>
        <w:tabs>
          <w:tab w:val="left" w:pos="840"/>
        </w:tabs>
        <w:rPr>
          <w:rFonts w:asciiTheme="minorHAnsi" w:eastAsiaTheme="minorEastAsia" w:hAnsiTheme="minorHAnsi" w:cstheme="minorBidi"/>
          <w:lang w:eastAsia="ja-JP"/>
        </w:rPr>
      </w:pPr>
      <w:r>
        <w:t>5.5.2.</w:t>
      </w:r>
      <w:r>
        <w:rPr>
          <w:rFonts w:asciiTheme="minorHAnsi" w:eastAsiaTheme="minorEastAsia" w:hAnsiTheme="minorHAnsi" w:cstheme="minorBidi"/>
          <w:lang w:eastAsia="ja-JP"/>
        </w:rPr>
        <w:tab/>
      </w:r>
      <w:r>
        <w:t>Maritime Archaeological Heritage</w:t>
      </w:r>
      <w:r>
        <w:tab/>
      </w:r>
      <w:r>
        <w:fldChar w:fldCharType="begin"/>
      </w:r>
      <w:r>
        <w:instrText xml:space="preserve"> PAGEREF _Toc375214570 \h </w:instrText>
      </w:r>
      <w:r>
        <w:fldChar w:fldCharType="separate"/>
      </w:r>
      <w:r w:rsidR="00282011">
        <w:t>229</w:t>
      </w:r>
      <w:r>
        <w:fldChar w:fldCharType="end"/>
      </w:r>
    </w:p>
    <w:p w14:paraId="064B62F8"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5.6.</w:t>
      </w:r>
      <w:r>
        <w:rPr>
          <w:rFonts w:asciiTheme="minorHAnsi" w:eastAsiaTheme="minorEastAsia" w:hAnsiTheme="minorHAnsi" w:cstheme="minorBidi"/>
          <w:lang w:eastAsia="ja-JP"/>
        </w:rPr>
        <w:tab/>
      </w:r>
      <w:r w:rsidRPr="00637019">
        <w:rPr>
          <w:color w:val="064EA8"/>
          <w:lang w:eastAsia="en-US"/>
        </w:rPr>
        <w:t>Socio-economic Environment</w:t>
      </w:r>
      <w:r>
        <w:tab/>
      </w:r>
      <w:r>
        <w:fldChar w:fldCharType="begin"/>
      </w:r>
      <w:r>
        <w:instrText xml:space="preserve"> PAGEREF _Toc375214571 \h </w:instrText>
      </w:r>
      <w:r>
        <w:fldChar w:fldCharType="separate"/>
      </w:r>
      <w:r w:rsidR="00282011">
        <w:t>231</w:t>
      </w:r>
      <w:r>
        <w:fldChar w:fldCharType="end"/>
      </w:r>
    </w:p>
    <w:p w14:paraId="15207480" w14:textId="77777777" w:rsidR="009D48FF" w:rsidRDefault="009D48FF">
      <w:pPr>
        <w:pStyle w:val="TOC3"/>
        <w:tabs>
          <w:tab w:val="left" w:pos="840"/>
        </w:tabs>
        <w:rPr>
          <w:rFonts w:asciiTheme="minorHAnsi" w:eastAsiaTheme="minorEastAsia" w:hAnsiTheme="minorHAnsi" w:cstheme="minorBidi"/>
          <w:lang w:eastAsia="ja-JP"/>
        </w:rPr>
      </w:pPr>
      <w:r>
        <w:t>5.6.1.</w:t>
      </w:r>
      <w:r>
        <w:rPr>
          <w:rFonts w:asciiTheme="minorHAnsi" w:eastAsiaTheme="minorEastAsia" w:hAnsiTheme="minorHAnsi" w:cstheme="minorBidi"/>
          <w:lang w:eastAsia="ja-JP"/>
        </w:rPr>
        <w:tab/>
      </w:r>
      <w:r>
        <w:t>Coastal Settlements</w:t>
      </w:r>
      <w:r>
        <w:tab/>
      </w:r>
      <w:r>
        <w:fldChar w:fldCharType="begin"/>
      </w:r>
      <w:r>
        <w:instrText xml:space="preserve"> PAGEREF _Toc375214572 \h </w:instrText>
      </w:r>
      <w:r>
        <w:fldChar w:fldCharType="separate"/>
      </w:r>
      <w:r w:rsidR="00282011">
        <w:t>231</w:t>
      </w:r>
      <w:r>
        <w:fldChar w:fldCharType="end"/>
      </w:r>
    </w:p>
    <w:p w14:paraId="19221304" w14:textId="77777777" w:rsidR="009D48FF" w:rsidRDefault="009D48FF">
      <w:pPr>
        <w:pStyle w:val="TOC3"/>
        <w:tabs>
          <w:tab w:val="left" w:pos="840"/>
        </w:tabs>
        <w:rPr>
          <w:rFonts w:asciiTheme="minorHAnsi" w:eastAsiaTheme="minorEastAsia" w:hAnsiTheme="minorHAnsi" w:cstheme="minorBidi"/>
          <w:lang w:eastAsia="ja-JP"/>
        </w:rPr>
      </w:pPr>
      <w:r>
        <w:t>5.6.2.</w:t>
      </w:r>
      <w:r>
        <w:rPr>
          <w:rFonts w:asciiTheme="minorHAnsi" w:eastAsiaTheme="minorEastAsia" w:hAnsiTheme="minorHAnsi" w:cstheme="minorBidi"/>
          <w:lang w:eastAsia="ja-JP"/>
        </w:rPr>
        <w:tab/>
      </w:r>
      <w:r>
        <w:t>Native Title</w:t>
      </w:r>
      <w:r>
        <w:tab/>
      </w:r>
      <w:r>
        <w:fldChar w:fldCharType="begin"/>
      </w:r>
      <w:r>
        <w:instrText xml:space="preserve"> PAGEREF _Toc375214573 \h </w:instrText>
      </w:r>
      <w:r>
        <w:fldChar w:fldCharType="separate"/>
      </w:r>
      <w:r w:rsidR="00282011">
        <w:t>231</w:t>
      </w:r>
      <w:r>
        <w:fldChar w:fldCharType="end"/>
      </w:r>
    </w:p>
    <w:p w14:paraId="4B4042FD" w14:textId="77777777" w:rsidR="009D48FF" w:rsidRDefault="009D48FF">
      <w:pPr>
        <w:pStyle w:val="TOC3"/>
        <w:tabs>
          <w:tab w:val="left" w:pos="840"/>
        </w:tabs>
        <w:rPr>
          <w:rFonts w:asciiTheme="minorHAnsi" w:eastAsiaTheme="minorEastAsia" w:hAnsiTheme="minorHAnsi" w:cstheme="minorBidi"/>
          <w:lang w:eastAsia="ja-JP"/>
        </w:rPr>
      </w:pPr>
      <w:r>
        <w:t>5.6.3.</w:t>
      </w:r>
      <w:r>
        <w:rPr>
          <w:rFonts w:asciiTheme="minorHAnsi" w:eastAsiaTheme="minorEastAsia" w:hAnsiTheme="minorHAnsi" w:cstheme="minorBidi"/>
          <w:lang w:eastAsia="ja-JP"/>
        </w:rPr>
        <w:tab/>
      </w:r>
      <w:r>
        <w:t>Commercial Fishing</w:t>
      </w:r>
      <w:r>
        <w:tab/>
      </w:r>
      <w:r>
        <w:fldChar w:fldCharType="begin"/>
      </w:r>
      <w:r>
        <w:instrText xml:space="preserve"> PAGEREF _Toc375214574 \h </w:instrText>
      </w:r>
      <w:r>
        <w:fldChar w:fldCharType="separate"/>
      </w:r>
      <w:r w:rsidR="00282011">
        <w:t>232</w:t>
      </w:r>
      <w:r>
        <w:fldChar w:fldCharType="end"/>
      </w:r>
    </w:p>
    <w:p w14:paraId="5DB24EE9" w14:textId="77777777" w:rsidR="009D48FF" w:rsidRDefault="009D48FF">
      <w:pPr>
        <w:pStyle w:val="TOC3"/>
        <w:tabs>
          <w:tab w:val="left" w:pos="840"/>
        </w:tabs>
        <w:rPr>
          <w:rFonts w:asciiTheme="minorHAnsi" w:eastAsiaTheme="minorEastAsia" w:hAnsiTheme="minorHAnsi" w:cstheme="minorBidi"/>
          <w:lang w:eastAsia="ja-JP"/>
        </w:rPr>
      </w:pPr>
      <w:r>
        <w:t>5.6.4.</w:t>
      </w:r>
      <w:r>
        <w:rPr>
          <w:rFonts w:asciiTheme="minorHAnsi" w:eastAsiaTheme="minorEastAsia" w:hAnsiTheme="minorHAnsi" w:cstheme="minorBidi"/>
          <w:lang w:eastAsia="ja-JP"/>
        </w:rPr>
        <w:tab/>
      </w:r>
      <w:r>
        <w:t>Recreational Fishing</w:t>
      </w:r>
      <w:r>
        <w:tab/>
      </w:r>
      <w:r>
        <w:fldChar w:fldCharType="begin"/>
      </w:r>
      <w:r>
        <w:instrText xml:space="preserve"> PAGEREF _Toc375214578 \h </w:instrText>
      </w:r>
      <w:r>
        <w:fldChar w:fldCharType="separate"/>
      </w:r>
      <w:r w:rsidR="00282011">
        <w:t>260</w:t>
      </w:r>
      <w:r>
        <w:fldChar w:fldCharType="end"/>
      </w:r>
    </w:p>
    <w:p w14:paraId="1C8A2C52" w14:textId="77777777" w:rsidR="009D48FF" w:rsidRDefault="009D48FF">
      <w:pPr>
        <w:pStyle w:val="TOC3"/>
        <w:tabs>
          <w:tab w:val="left" w:pos="840"/>
        </w:tabs>
        <w:rPr>
          <w:rFonts w:asciiTheme="minorHAnsi" w:eastAsiaTheme="minorEastAsia" w:hAnsiTheme="minorHAnsi" w:cstheme="minorBidi"/>
          <w:lang w:eastAsia="ja-JP"/>
        </w:rPr>
      </w:pPr>
      <w:r>
        <w:t>5.6.5.</w:t>
      </w:r>
      <w:r>
        <w:rPr>
          <w:rFonts w:asciiTheme="minorHAnsi" w:eastAsiaTheme="minorEastAsia" w:hAnsiTheme="minorHAnsi" w:cstheme="minorBidi"/>
          <w:lang w:eastAsia="ja-JP"/>
        </w:rPr>
        <w:tab/>
      </w:r>
      <w:r>
        <w:t>Tourism</w:t>
      </w:r>
      <w:r>
        <w:tab/>
      </w:r>
      <w:r>
        <w:fldChar w:fldCharType="begin"/>
      </w:r>
      <w:r>
        <w:instrText xml:space="preserve"> PAGEREF _Toc375214579 \h </w:instrText>
      </w:r>
      <w:r>
        <w:fldChar w:fldCharType="separate"/>
      </w:r>
      <w:r w:rsidR="00282011">
        <w:t>260</w:t>
      </w:r>
      <w:r>
        <w:fldChar w:fldCharType="end"/>
      </w:r>
    </w:p>
    <w:p w14:paraId="7BD310F0" w14:textId="77777777" w:rsidR="009D48FF" w:rsidRDefault="009D48FF">
      <w:pPr>
        <w:pStyle w:val="TOC3"/>
        <w:tabs>
          <w:tab w:val="left" w:pos="840"/>
        </w:tabs>
        <w:rPr>
          <w:rFonts w:asciiTheme="minorHAnsi" w:eastAsiaTheme="minorEastAsia" w:hAnsiTheme="minorHAnsi" w:cstheme="minorBidi"/>
          <w:lang w:eastAsia="ja-JP"/>
        </w:rPr>
      </w:pPr>
      <w:r>
        <w:t>5.6.6.</w:t>
      </w:r>
      <w:r>
        <w:rPr>
          <w:rFonts w:asciiTheme="minorHAnsi" w:eastAsiaTheme="minorEastAsia" w:hAnsiTheme="minorHAnsi" w:cstheme="minorBidi"/>
          <w:lang w:eastAsia="ja-JP"/>
        </w:rPr>
        <w:tab/>
      </w:r>
      <w:r>
        <w:t>Petroleum and GHG Infrastructure, Exploration and  Production</w:t>
      </w:r>
      <w:r>
        <w:tab/>
      </w:r>
      <w:r>
        <w:fldChar w:fldCharType="begin"/>
      </w:r>
      <w:r>
        <w:instrText xml:space="preserve"> PAGEREF _Toc375214580 \h </w:instrText>
      </w:r>
      <w:r>
        <w:fldChar w:fldCharType="separate"/>
      </w:r>
      <w:r w:rsidR="00282011">
        <w:t>261</w:t>
      </w:r>
      <w:r>
        <w:fldChar w:fldCharType="end"/>
      </w:r>
    </w:p>
    <w:p w14:paraId="6B3DCE81" w14:textId="77777777" w:rsidR="009D48FF" w:rsidRDefault="009D48FF">
      <w:pPr>
        <w:pStyle w:val="TOC3"/>
        <w:tabs>
          <w:tab w:val="left" w:pos="840"/>
        </w:tabs>
        <w:rPr>
          <w:rFonts w:asciiTheme="minorHAnsi" w:eastAsiaTheme="minorEastAsia" w:hAnsiTheme="minorHAnsi" w:cstheme="minorBidi"/>
          <w:lang w:eastAsia="ja-JP"/>
        </w:rPr>
      </w:pPr>
      <w:r>
        <w:t>5.6.7.</w:t>
      </w:r>
      <w:r>
        <w:rPr>
          <w:rFonts w:asciiTheme="minorHAnsi" w:eastAsiaTheme="minorEastAsia" w:hAnsiTheme="minorHAnsi" w:cstheme="minorBidi"/>
          <w:lang w:eastAsia="ja-JP"/>
        </w:rPr>
        <w:tab/>
      </w:r>
      <w:r>
        <w:t>Commercial Shipping</w:t>
      </w:r>
      <w:r>
        <w:tab/>
      </w:r>
      <w:r>
        <w:fldChar w:fldCharType="begin"/>
      </w:r>
      <w:r>
        <w:instrText xml:space="preserve"> PAGEREF _Toc375214581 \h </w:instrText>
      </w:r>
      <w:r>
        <w:fldChar w:fldCharType="separate"/>
      </w:r>
      <w:r w:rsidR="00282011">
        <w:t>265</w:t>
      </w:r>
      <w:r>
        <w:fldChar w:fldCharType="end"/>
      </w:r>
    </w:p>
    <w:p w14:paraId="3D282CDD" w14:textId="77777777" w:rsidR="009D48FF" w:rsidRDefault="009D48FF">
      <w:pPr>
        <w:pStyle w:val="TOC3"/>
        <w:tabs>
          <w:tab w:val="left" w:pos="840"/>
        </w:tabs>
        <w:rPr>
          <w:rFonts w:asciiTheme="minorHAnsi" w:eastAsiaTheme="minorEastAsia" w:hAnsiTheme="minorHAnsi" w:cstheme="minorBidi"/>
          <w:lang w:eastAsia="ja-JP"/>
        </w:rPr>
      </w:pPr>
      <w:r>
        <w:t>5.6.8.</w:t>
      </w:r>
      <w:r>
        <w:rPr>
          <w:rFonts w:asciiTheme="minorHAnsi" w:eastAsiaTheme="minorEastAsia" w:hAnsiTheme="minorHAnsi" w:cstheme="minorBidi"/>
          <w:lang w:eastAsia="ja-JP"/>
        </w:rPr>
        <w:tab/>
      </w:r>
      <w:r>
        <w:t>Defence Activities</w:t>
      </w:r>
      <w:r>
        <w:tab/>
      </w:r>
      <w:r>
        <w:fldChar w:fldCharType="begin"/>
      </w:r>
      <w:r>
        <w:instrText xml:space="preserve"> PAGEREF _Toc375214582 \h </w:instrText>
      </w:r>
      <w:r>
        <w:fldChar w:fldCharType="separate"/>
      </w:r>
      <w:r w:rsidR="00282011">
        <w:t>269</w:t>
      </w:r>
      <w:r>
        <w:fldChar w:fldCharType="end"/>
      </w:r>
    </w:p>
    <w:p w14:paraId="494DF9D2" w14:textId="77777777" w:rsidR="009D48FF" w:rsidRDefault="009D48FF">
      <w:pPr>
        <w:pStyle w:val="TOC3"/>
        <w:tabs>
          <w:tab w:val="left" w:pos="840"/>
        </w:tabs>
        <w:rPr>
          <w:rFonts w:asciiTheme="minorHAnsi" w:eastAsiaTheme="minorEastAsia" w:hAnsiTheme="minorHAnsi" w:cstheme="minorBidi"/>
          <w:lang w:eastAsia="ja-JP"/>
        </w:rPr>
      </w:pPr>
      <w:r>
        <w:t>5.6.9.</w:t>
      </w:r>
      <w:r>
        <w:rPr>
          <w:rFonts w:asciiTheme="minorHAnsi" w:eastAsiaTheme="minorEastAsia" w:hAnsiTheme="minorHAnsi" w:cstheme="minorBidi"/>
          <w:lang w:eastAsia="ja-JP"/>
        </w:rPr>
        <w:tab/>
      </w:r>
      <w:r>
        <w:t>Other Infrastructure</w:t>
      </w:r>
      <w:r>
        <w:tab/>
      </w:r>
      <w:r>
        <w:fldChar w:fldCharType="begin"/>
      </w:r>
      <w:r>
        <w:instrText xml:space="preserve"> PAGEREF _Toc375214583 \h </w:instrText>
      </w:r>
      <w:r>
        <w:fldChar w:fldCharType="separate"/>
      </w:r>
      <w:r w:rsidR="00282011">
        <w:t>269</w:t>
      </w:r>
      <w:r>
        <w:fldChar w:fldCharType="end"/>
      </w:r>
    </w:p>
    <w:p w14:paraId="4F75B778" w14:textId="77777777" w:rsidR="009D48FF" w:rsidRDefault="009D48FF">
      <w:pPr>
        <w:pStyle w:val="TOC1"/>
        <w:tabs>
          <w:tab w:val="left" w:pos="1160"/>
        </w:tabs>
        <w:rPr>
          <w:rFonts w:asciiTheme="minorHAnsi" w:eastAsiaTheme="minorEastAsia" w:hAnsiTheme="minorHAnsi" w:cstheme="minorBidi"/>
          <w:b w:val="0"/>
          <w:lang w:eastAsia="ja-JP"/>
        </w:rPr>
      </w:pPr>
      <w:r w:rsidRPr="00637019">
        <w:rPr>
          <w:color w:val="064EA8"/>
          <w:lang w:eastAsia="en-US"/>
        </w:rPr>
        <w:t>6.</w:t>
      </w:r>
      <w:r>
        <w:rPr>
          <w:rFonts w:asciiTheme="minorHAnsi" w:eastAsiaTheme="minorEastAsia" w:hAnsiTheme="minorHAnsi" w:cstheme="minorBidi"/>
          <w:b w:val="0"/>
          <w:lang w:eastAsia="ja-JP"/>
        </w:rPr>
        <w:tab/>
      </w:r>
      <w:r w:rsidRPr="00637019">
        <w:rPr>
          <w:color w:val="064EA8"/>
          <w:lang w:eastAsia="en-US"/>
        </w:rPr>
        <w:t>Impact and Risk Assessment Methodology</w:t>
      </w:r>
      <w:r>
        <w:tab/>
      </w:r>
      <w:r>
        <w:fldChar w:fldCharType="begin"/>
      </w:r>
      <w:r>
        <w:instrText xml:space="preserve"> PAGEREF _Toc375214584 \h </w:instrText>
      </w:r>
      <w:r>
        <w:fldChar w:fldCharType="separate"/>
      </w:r>
      <w:r w:rsidR="00282011">
        <w:t>270</w:t>
      </w:r>
      <w:r>
        <w:fldChar w:fldCharType="end"/>
      </w:r>
    </w:p>
    <w:p w14:paraId="720C49B0"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lastRenderedPageBreak/>
        <w:t>6.1.</w:t>
      </w:r>
      <w:r>
        <w:rPr>
          <w:rFonts w:asciiTheme="minorHAnsi" w:eastAsiaTheme="minorEastAsia" w:hAnsiTheme="minorHAnsi" w:cstheme="minorBidi"/>
          <w:lang w:eastAsia="ja-JP"/>
        </w:rPr>
        <w:tab/>
      </w:r>
      <w:r w:rsidRPr="00637019">
        <w:rPr>
          <w:color w:val="064EA8"/>
          <w:lang w:eastAsia="en-US"/>
        </w:rPr>
        <w:t>Risk Assessment Approach</w:t>
      </w:r>
      <w:r>
        <w:tab/>
      </w:r>
      <w:r>
        <w:fldChar w:fldCharType="begin"/>
      </w:r>
      <w:r>
        <w:instrText xml:space="preserve"> PAGEREF _Toc375214585 \h </w:instrText>
      </w:r>
      <w:r>
        <w:fldChar w:fldCharType="separate"/>
      </w:r>
      <w:r w:rsidR="00282011">
        <w:t>270</w:t>
      </w:r>
      <w:r>
        <w:fldChar w:fldCharType="end"/>
      </w:r>
    </w:p>
    <w:p w14:paraId="5C73CFA2"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6.2.</w:t>
      </w:r>
      <w:r>
        <w:rPr>
          <w:rFonts w:asciiTheme="minorHAnsi" w:eastAsiaTheme="minorEastAsia" w:hAnsiTheme="minorHAnsi" w:cstheme="minorBidi"/>
          <w:lang w:eastAsia="ja-JP"/>
        </w:rPr>
        <w:tab/>
      </w:r>
      <w:r w:rsidRPr="00637019">
        <w:rPr>
          <w:color w:val="064EA8"/>
          <w:lang w:eastAsia="en-US"/>
        </w:rPr>
        <w:t>Risk Management Process</w:t>
      </w:r>
      <w:r>
        <w:tab/>
      </w:r>
      <w:r>
        <w:fldChar w:fldCharType="begin"/>
      </w:r>
      <w:r>
        <w:instrText xml:space="preserve"> PAGEREF _Toc375214586 \h </w:instrText>
      </w:r>
      <w:r>
        <w:fldChar w:fldCharType="separate"/>
      </w:r>
      <w:r w:rsidR="00282011">
        <w:t>270</w:t>
      </w:r>
      <w:r>
        <w:fldChar w:fldCharType="end"/>
      </w:r>
    </w:p>
    <w:p w14:paraId="61F16CDD"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6.3.</w:t>
      </w:r>
      <w:r>
        <w:rPr>
          <w:rFonts w:asciiTheme="minorHAnsi" w:eastAsiaTheme="minorEastAsia" w:hAnsiTheme="minorHAnsi" w:cstheme="minorBidi"/>
          <w:lang w:eastAsia="ja-JP"/>
        </w:rPr>
        <w:tab/>
      </w:r>
      <w:r w:rsidRPr="00637019">
        <w:rPr>
          <w:color w:val="064EA8"/>
          <w:lang w:eastAsia="en-US"/>
        </w:rPr>
        <w:t>Risk Identification</w:t>
      </w:r>
      <w:r>
        <w:tab/>
      </w:r>
      <w:r>
        <w:fldChar w:fldCharType="begin"/>
      </w:r>
      <w:r>
        <w:instrText xml:space="preserve"> PAGEREF _Toc375214587 \h </w:instrText>
      </w:r>
      <w:r>
        <w:fldChar w:fldCharType="separate"/>
      </w:r>
      <w:r w:rsidR="00282011">
        <w:t>272</w:t>
      </w:r>
      <w:r>
        <w:fldChar w:fldCharType="end"/>
      </w:r>
    </w:p>
    <w:p w14:paraId="05EA5386" w14:textId="77777777"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6.4.</w:t>
      </w:r>
      <w:r>
        <w:rPr>
          <w:rFonts w:asciiTheme="minorHAnsi" w:eastAsiaTheme="minorEastAsia" w:hAnsiTheme="minorHAnsi" w:cstheme="minorBidi"/>
          <w:lang w:eastAsia="ja-JP"/>
        </w:rPr>
        <w:tab/>
      </w:r>
      <w:r w:rsidRPr="00637019">
        <w:rPr>
          <w:color w:val="064EA8"/>
          <w:lang w:eastAsia="en-US"/>
        </w:rPr>
        <w:t>Risk Analysis</w:t>
      </w:r>
      <w:r>
        <w:tab/>
      </w:r>
      <w:r>
        <w:fldChar w:fldCharType="begin"/>
      </w:r>
      <w:r>
        <w:instrText xml:space="preserve"> PAGEREF _Toc375214588 \h </w:instrText>
      </w:r>
      <w:r>
        <w:fldChar w:fldCharType="separate"/>
      </w:r>
      <w:r w:rsidR="00282011">
        <w:t>272</w:t>
      </w:r>
      <w:r>
        <w:fldChar w:fldCharType="end"/>
      </w:r>
    </w:p>
    <w:p w14:paraId="0992EB1D" w14:textId="77777777" w:rsidR="009D48FF" w:rsidRDefault="009D48FF">
      <w:pPr>
        <w:pStyle w:val="TOC3"/>
        <w:tabs>
          <w:tab w:val="left" w:pos="840"/>
        </w:tabs>
        <w:rPr>
          <w:rFonts w:asciiTheme="minorHAnsi" w:eastAsiaTheme="minorEastAsia" w:hAnsiTheme="minorHAnsi" w:cstheme="minorBidi"/>
          <w:lang w:eastAsia="ja-JP"/>
        </w:rPr>
      </w:pPr>
      <w:r>
        <w:t>6.4.1.</w:t>
      </w:r>
      <w:r>
        <w:rPr>
          <w:rFonts w:asciiTheme="minorHAnsi" w:eastAsiaTheme="minorEastAsia" w:hAnsiTheme="minorHAnsi" w:cstheme="minorBidi"/>
          <w:lang w:eastAsia="ja-JP"/>
        </w:rPr>
        <w:tab/>
      </w:r>
      <w:r>
        <w:t>Determining Likelihood of Risk</w:t>
      </w:r>
      <w:r>
        <w:tab/>
      </w:r>
      <w:r>
        <w:fldChar w:fldCharType="begin"/>
      </w:r>
      <w:r>
        <w:instrText xml:space="preserve"> PAGEREF _Toc375214589 \h </w:instrText>
      </w:r>
      <w:r>
        <w:fldChar w:fldCharType="separate"/>
      </w:r>
      <w:r w:rsidR="00282011">
        <w:t>272</w:t>
      </w:r>
      <w:r>
        <w:fldChar w:fldCharType="end"/>
      </w:r>
    </w:p>
    <w:p w14:paraId="64526A2F" w14:textId="77777777" w:rsidR="009D48FF" w:rsidRDefault="009D48FF">
      <w:pPr>
        <w:pStyle w:val="TOC3"/>
        <w:tabs>
          <w:tab w:val="left" w:pos="840"/>
        </w:tabs>
        <w:rPr>
          <w:rFonts w:asciiTheme="minorHAnsi" w:eastAsiaTheme="minorEastAsia" w:hAnsiTheme="minorHAnsi" w:cstheme="minorBidi"/>
          <w:lang w:eastAsia="ja-JP"/>
        </w:rPr>
      </w:pPr>
      <w:r>
        <w:t>6.4.2.</w:t>
      </w:r>
      <w:r>
        <w:rPr>
          <w:rFonts w:asciiTheme="minorHAnsi" w:eastAsiaTheme="minorEastAsia" w:hAnsiTheme="minorHAnsi" w:cstheme="minorBidi"/>
          <w:lang w:eastAsia="ja-JP"/>
        </w:rPr>
        <w:tab/>
      </w:r>
      <w:r>
        <w:t>Determining Consequence of Risk</w:t>
      </w:r>
      <w:r>
        <w:tab/>
      </w:r>
      <w:r>
        <w:fldChar w:fldCharType="begin"/>
      </w:r>
      <w:r>
        <w:instrText xml:space="preserve"> PAGEREF _Toc375214590 \h </w:instrText>
      </w:r>
      <w:r>
        <w:fldChar w:fldCharType="separate"/>
      </w:r>
      <w:r w:rsidR="00282011">
        <w:t>272</w:t>
      </w:r>
      <w:r>
        <w:fldChar w:fldCharType="end"/>
      </w:r>
    </w:p>
    <w:p w14:paraId="48C0852F" w14:textId="77777777" w:rsidR="009D48FF" w:rsidRDefault="009D48FF">
      <w:pPr>
        <w:pStyle w:val="TOC3"/>
        <w:tabs>
          <w:tab w:val="left" w:pos="840"/>
        </w:tabs>
        <w:rPr>
          <w:rFonts w:asciiTheme="minorHAnsi" w:eastAsiaTheme="minorEastAsia" w:hAnsiTheme="minorHAnsi" w:cstheme="minorBidi"/>
          <w:lang w:eastAsia="ja-JP"/>
        </w:rPr>
      </w:pPr>
      <w:r>
        <w:t>6.4.3.</w:t>
      </w:r>
      <w:r>
        <w:rPr>
          <w:rFonts w:asciiTheme="minorHAnsi" w:eastAsiaTheme="minorEastAsia" w:hAnsiTheme="minorHAnsi" w:cstheme="minorBidi"/>
          <w:lang w:eastAsia="ja-JP"/>
        </w:rPr>
        <w:tab/>
      </w:r>
      <w:r>
        <w:t>Determining Risk Rating</w:t>
      </w:r>
      <w:r>
        <w:tab/>
      </w:r>
      <w:r>
        <w:fldChar w:fldCharType="begin"/>
      </w:r>
      <w:r>
        <w:instrText xml:space="preserve"> PAGEREF _Toc375214591 \h </w:instrText>
      </w:r>
      <w:r>
        <w:fldChar w:fldCharType="separate"/>
      </w:r>
      <w:r w:rsidR="00282011">
        <w:t>278</w:t>
      </w:r>
      <w:r>
        <w:fldChar w:fldCharType="end"/>
      </w:r>
    </w:p>
    <w:p w14:paraId="1CC23C6F" w14:textId="736ECE71"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6.5.</w:t>
      </w:r>
      <w:r>
        <w:rPr>
          <w:rFonts w:asciiTheme="minorHAnsi" w:eastAsiaTheme="minorEastAsia" w:hAnsiTheme="minorHAnsi" w:cstheme="minorBidi"/>
          <w:lang w:eastAsia="ja-JP"/>
        </w:rPr>
        <w:tab/>
      </w:r>
      <w:r w:rsidRPr="00637019">
        <w:rPr>
          <w:color w:val="064EA8"/>
          <w:lang w:eastAsia="en-US"/>
        </w:rPr>
        <w:t>Risk Evaluation</w:t>
      </w:r>
      <w:r>
        <w:tab/>
      </w:r>
      <w:r>
        <w:fldChar w:fldCharType="begin"/>
      </w:r>
      <w:r>
        <w:instrText xml:space="preserve"> PAGEREF _Toc375214592 \h </w:instrText>
      </w:r>
      <w:r>
        <w:fldChar w:fldCharType="separate"/>
      </w:r>
      <w:r w:rsidR="00282011">
        <w:t>279</w:t>
      </w:r>
      <w:r>
        <w:fldChar w:fldCharType="end"/>
      </w:r>
    </w:p>
    <w:p w14:paraId="6295386D" w14:textId="7CF2B271"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6.6.</w:t>
      </w:r>
      <w:r>
        <w:rPr>
          <w:rFonts w:asciiTheme="minorHAnsi" w:eastAsiaTheme="minorEastAsia" w:hAnsiTheme="minorHAnsi" w:cstheme="minorBidi"/>
          <w:lang w:eastAsia="ja-JP"/>
        </w:rPr>
        <w:tab/>
      </w:r>
      <w:r w:rsidRPr="00637019">
        <w:rPr>
          <w:color w:val="064EA8"/>
          <w:lang w:eastAsia="en-US"/>
        </w:rPr>
        <w:t>Risk Treatment</w:t>
      </w:r>
      <w:r>
        <w:tab/>
      </w:r>
      <w:r>
        <w:fldChar w:fldCharType="begin"/>
      </w:r>
      <w:r>
        <w:instrText xml:space="preserve"> PAGEREF _Toc375214593 \h </w:instrText>
      </w:r>
      <w:r>
        <w:fldChar w:fldCharType="separate"/>
      </w:r>
      <w:r w:rsidR="00282011">
        <w:t>280</w:t>
      </w:r>
      <w:r>
        <w:fldChar w:fldCharType="end"/>
      </w:r>
    </w:p>
    <w:p w14:paraId="11A2A017" w14:textId="05B4A0C0" w:rsidR="009D48FF" w:rsidRDefault="009D48FF">
      <w:pPr>
        <w:pStyle w:val="TOC1"/>
        <w:tabs>
          <w:tab w:val="left" w:pos="1160"/>
        </w:tabs>
        <w:rPr>
          <w:rFonts w:asciiTheme="minorHAnsi" w:eastAsiaTheme="minorEastAsia" w:hAnsiTheme="minorHAnsi" w:cstheme="minorBidi"/>
          <w:b w:val="0"/>
          <w:lang w:eastAsia="ja-JP"/>
        </w:rPr>
      </w:pPr>
      <w:r w:rsidRPr="00637019">
        <w:rPr>
          <w:color w:val="064EA8"/>
          <w:lang w:eastAsia="en-US"/>
        </w:rPr>
        <w:t>7.</w:t>
      </w:r>
      <w:r>
        <w:rPr>
          <w:rFonts w:asciiTheme="minorHAnsi" w:eastAsiaTheme="minorEastAsia" w:hAnsiTheme="minorHAnsi" w:cstheme="minorBidi"/>
          <w:b w:val="0"/>
          <w:lang w:eastAsia="ja-JP"/>
        </w:rPr>
        <w:tab/>
      </w:r>
      <w:r w:rsidRPr="00637019">
        <w:rPr>
          <w:color w:val="064EA8"/>
          <w:lang w:eastAsia="en-US"/>
        </w:rPr>
        <w:t>Environmental Impact and Risk Assessment</w:t>
      </w:r>
      <w:r>
        <w:tab/>
      </w:r>
      <w:r>
        <w:fldChar w:fldCharType="begin"/>
      </w:r>
      <w:r>
        <w:instrText xml:space="preserve"> PAGEREF _Toc375214594 \h </w:instrText>
      </w:r>
      <w:r>
        <w:fldChar w:fldCharType="separate"/>
      </w:r>
      <w:r w:rsidR="00282011">
        <w:t>281</w:t>
      </w:r>
      <w:r>
        <w:fldChar w:fldCharType="end"/>
      </w:r>
    </w:p>
    <w:p w14:paraId="26E45AD0" w14:textId="7D87976D"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7.1.</w:t>
      </w:r>
      <w:r>
        <w:rPr>
          <w:rFonts w:asciiTheme="minorHAnsi" w:eastAsiaTheme="minorEastAsia" w:hAnsiTheme="minorHAnsi" w:cstheme="minorBidi"/>
          <w:lang w:eastAsia="ja-JP"/>
        </w:rPr>
        <w:tab/>
      </w:r>
      <w:r w:rsidRPr="00637019">
        <w:rPr>
          <w:color w:val="064EA8"/>
          <w:lang w:eastAsia="en-US"/>
        </w:rPr>
        <w:t>IMPACT: Generation of Underwater Sound – Impacts on Biological Receptors</w:t>
      </w:r>
      <w:r>
        <w:tab/>
      </w:r>
      <w:r>
        <w:fldChar w:fldCharType="begin"/>
      </w:r>
      <w:r>
        <w:instrText xml:space="preserve"> PAGEREF _Toc375214595 \h </w:instrText>
      </w:r>
      <w:r>
        <w:fldChar w:fldCharType="separate"/>
      </w:r>
      <w:r w:rsidR="00282011">
        <w:t>283</w:t>
      </w:r>
      <w:r>
        <w:fldChar w:fldCharType="end"/>
      </w:r>
    </w:p>
    <w:p w14:paraId="217CA9D7" w14:textId="55C91AD8" w:rsidR="009D48FF" w:rsidRDefault="009D48FF">
      <w:pPr>
        <w:pStyle w:val="TOC3"/>
        <w:tabs>
          <w:tab w:val="left" w:pos="840"/>
        </w:tabs>
        <w:rPr>
          <w:rFonts w:asciiTheme="minorHAnsi" w:eastAsiaTheme="minorEastAsia" w:hAnsiTheme="minorHAnsi" w:cstheme="minorBidi"/>
          <w:lang w:eastAsia="ja-JP"/>
        </w:rPr>
      </w:pPr>
      <w:r>
        <w:t>7.1.1.</w:t>
      </w:r>
      <w:r>
        <w:rPr>
          <w:rFonts w:asciiTheme="minorHAnsi" w:eastAsiaTheme="minorEastAsia" w:hAnsiTheme="minorHAnsi" w:cstheme="minorBidi"/>
          <w:lang w:eastAsia="ja-JP"/>
        </w:rPr>
        <w:tab/>
      </w:r>
      <w:r>
        <w:t>Hazard</w:t>
      </w:r>
      <w:r>
        <w:tab/>
      </w:r>
      <w:r>
        <w:fldChar w:fldCharType="begin"/>
      </w:r>
      <w:r>
        <w:instrText xml:space="preserve"> PAGEREF _Toc375214596 \h </w:instrText>
      </w:r>
      <w:r>
        <w:fldChar w:fldCharType="separate"/>
      </w:r>
      <w:r w:rsidR="00282011">
        <w:t>283</w:t>
      </w:r>
      <w:r>
        <w:fldChar w:fldCharType="end"/>
      </w:r>
    </w:p>
    <w:p w14:paraId="468C737F" w14:textId="1F17C00A" w:rsidR="009D48FF" w:rsidRDefault="009D48FF">
      <w:pPr>
        <w:pStyle w:val="TOC3"/>
        <w:tabs>
          <w:tab w:val="left" w:pos="840"/>
        </w:tabs>
        <w:rPr>
          <w:rFonts w:asciiTheme="minorHAnsi" w:eastAsiaTheme="minorEastAsia" w:hAnsiTheme="minorHAnsi" w:cstheme="minorBidi"/>
          <w:lang w:eastAsia="ja-JP"/>
        </w:rPr>
      </w:pPr>
      <w:r>
        <w:t>7.1.2.</w:t>
      </w:r>
      <w:r>
        <w:rPr>
          <w:rFonts w:asciiTheme="minorHAnsi" w:eastAsiaTheme="minorEastAsia" w:hAnsiTheme="minorHAnsi" w:cstheme="minorBidi"/>
          <w:lang w:eastAsia="ja-JP"/>
        </w:rPr>
        <w:tab/>
      </w:r>
      <w:r>
        <w:t>Known and Potential Environmental Impacts</w:t>
      </w:r>
      <w:r>
        <w:tab/>
      </w:r>
      <w:r>
        <w:fldChar w:fldCharType="begin"/>
      </w:r>
      <w:r>
        <w:instrText xml:space="preserve"> PAGEREF _Toc375214597 \h </w:instrText>
      </w:r>
      <w:r>
        <w:fldChar w:fldCharType="separate"/>
      </w:r>
      <w:r w:rsidR="00282011">
        <w:t>283</w:t>
      </w:r>
      <w:r>
        <w:fldChar w:fldCharType="end"/>
      </w:r>
    </w:p>
    <w:p w14:paraId="1537B98A" w14:textId="6D2F04DD" w:rsidR="009D48FF" w:rsidRDefault="009D48FF">
      <w:pPr>
        <w:pStyle w:val="TOC3"/>
        <w:tabs>
          <w:tab w:val="left" w:pos="840"/>
        </w:tabs>
        <w:rPr>
          <w:rFonts w:asciiTheme="minorHAnsi" w:eastAsiaTheme="minorEastAsia" w:hAnsiTheme="minorHAnsi" w:cstheme="minorBidi"/>
          <w:lang w:eastAsia="ja-JP"/>
        </w:rPr>
      </w:pPr>
      <w:r>
        <w:t>7.1.3.</w:t>
      </w:r>
      <w:r>
        <w:rPr>
          <w:rFonts w:asciiTheme="minorHAnsi" w:eastAsiaTheme="minorEastAsia" w:hAnsiTheme="minorHAnsi" w:cstheme="minorBidi"/>
          <w:lang w:eastAsia="ja-JP"/>
        </w:rPr>
        <w:tab/>
      </w:r>
      <w:r>
        <w:t>Evaluation of Environmental Impacts</w:t>
      </w:r>
      <w:r>
        <w:tab/>
      </w:r>
      <w:r>
        <w:fldChar w:fldCharType="begin"/>
      </w:r>
      <w:r>
        <w:instrText xml:space="preserve"> PAGEREF _Toc375214598 \h </w:instrText>
      </w:r>
      <w:r>
        <w:fldChar w:fldCharType="separate"/>
      </w:r>
      <w:r w:rsidR="00282011">
        <w:t>285</w:t>
      </w:r>
      <w:r>
        <w:fldChar w:fldCharType="end"/>
      </w:r>
    </w:p>
    <w:p w14:paraId="15D593EA" w14:textId="3FDA8C32" w:rsidR="009D48FF" w:rsidRDefault="009D48FF">
      <w:pPr>
        <w:pStyle w:val="TOC3"/>
        <w:tabs>
          <w:tab w:val="left" w:pos="840"/>
        </w:tabs>
        <w:rPr>
          <w:rFonts w:asciiTheme="minorHAnsi" w:eastAsiaTheme="minorEastAsia" w:hAnsiTheme="minorHAnsi" w:cstheme="minorBidi"/>
          <w:lang w:eastAsia="ja-JP"/>
        </w:rPr>
      </w:pPr>
      <w:r>
        <w:t>7.1.4.</w:t>
      </w:r>
      <w:r>
        <w:rPr>
          <w:rFonts w:asciiTheme="minorHAnsi" w:eastAsiaTheme="minorEastAsia" w:hAnsiTheme="minorHAnsi" w:cstheme="minorBidi"/>
          <w:lang w:eastAsia="ja-JP"/>
        </w:rPr>
        <w:tab/>
      </w:r>
      <w:r>
        <w:t>Control Measures &amp; Impact Consequence</w:t>
      </w:r>
      <w:r>
        <w:tab/>
      </w:r>
      <w:r>
        <w:fldChar w:fldCharType="begin"/>
      </w:r>
      <w:r>
        <w:instrText xml:space="preserve"> PAGEREF _Toc375214599 \h </w:instrText>
      </w:r>
      <w:r>
        <w:fldChar w:fldCharType="separate"/>
      </w:r>
      <w:r w:rsidR="00282011">
        <w:t>340</w:t>
      </w:r>
      <w:r>
        <w:fldChar w:fldCharType="end"/>
      </w:r>
    </w:p>
    <w:p w14:paraId="3D983500" w14:textId="3E412205"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7.2.</w:t>
      </w:r>
      <w:r>
        <w:rPr>
          <w:rFonts w:asciiTheme="minorHAnsi" w:eastAsiaTheme="minorEastAsia" w:hAnsiTheme="minorHAnsi" w:cstheme="minorBidi"/>
          <w:lang w:eastAsia="ja-JP"/>
        </w:rPr>
        <w:tab/>
      </w:r>
      <w:r w:rsidRPr="00637019">
        <w:rPr>
          <w:color w:val="064EA8"/>
          <w:lang w:eastAsia="en-US"/>
        </w:rPr>
        <w:t>INDIRECT IMPACT: Potential Disruption to Fisheries from Underwater Sound</w:t>
      </w:r>
      <w:r>
        <w:tab/>
      </w:r>
      <w:r>
        <w:fldChar w:fldCharType="begin"/>
      </w:r>
      <w:r>
        <w:instrText xml:space="preserve"> PAGEREF _Toc375214600 \h </w:instrText>
      </w:r>
      <w:r>
        <w:fldChar w:fldCharType="separate"/>
      </w:r>
      <w:r w:rsidR="00282011">
        <w:t>341</w:t>
      </w:r>
      <w:r>
        <w:fldChar w:fldCharType="end"/>
      </w:r>
    </w:p>
    <w:p w14:paraId="1336154C" w14:textId="63C2FB12" w:rsidR="009D48FF" w:rsidRDefault="009D48FF">
      <w:pPr>
        <w:pStyle w:val="TOC3"/>
        <w:tabs>
          <w:tab w:val="left" w:pos="840"/>
        </w:tabs>
        <w:rPr>
          <w:rFonts w:asciiTheme="minorHAnsi" w:eastAsiaTheme="minorEastAsia" w:hAnsiTheme="minorHAnsi" w:cstheme="minorBidi"/>
          <w:lang w:eastAsia="ja-JP"/>
        </w:rPr>
      </w:pPr>
      <w:r>
        <w:t>7.2.1.</w:t>
      </w:r>
      <w:r>
        <w:rPr>
          <w:rFonts w:asciiTheme="minorHAnsi" w:eastAsiaTheme="minorEastAsia" w:hAnsiTheme="minorHAnsi" w:cstheme="minorBidi"/>
          <w:lang w:eastAsia="ja-JP"/>
        </w:rPr>
        <w:tab/>
      </w:r>
      <w:r>
        <w:t>Hazard</w:t>
      </w:r>
      <w:r>
        <w:tab/>
      </w:r>
      <w:r>
        <w:fldChar w:fldCharType="begin"/>
      </w:r>
      <w:r>
        <w:instrText xml:space="preserve"> PAGEREF _Toc375214601 \h </w:instrText>
      </w:r>
      <w:r>
        <w:fldChar w:fldCharType="separate"/>
      </w:r>
      <w:r w:rsidR="00282011">
        <w:t>341</w:t>
      </w:r>
      <w:r>
        <w:fldChar w:fldCharType="end"/>
      </w:r>
    </w:p>
    <w:p w14:paraId="1CDBC55A" w14:textId="4A26D8E6" w:rsidR="009D48FF" w:rsidRDefault="009D48FF">
      <w:pPr>
        <w:pStyle w:val="TOC3"/>
        <w:tabs>
          <w:tab w:val="left" w:pos="840"/>
        </w:tabs>
        <w:rPr>
          <w:rFonts w:asciiTheme="minorHAnsi" w:eastAsiaTheme="minorEastAsia" w:hAnsiTheme="minorHAnsi" w:cstheme="minorBidi"/>
          <w:lang w:eastAsia="ja-JP"/>
        </w:rPr>
      </w:pPr>
      <w:r>
        <w:t>7.2.2.</w:t>
      </w:r>
      <w:r>
        <w:rPr>
          <w:rFonts w:asciiTheme="minorHAnsi" w:eastAsiaTheme="minorEastAsia" w:hAnsiTheme="minorHAnsi" w:cstheme="minorBidi"/>
          <w:lang w:eastAsia="ja-JP"/>
        </w:rPr>
        <w:tab/>
      </w:r>
      <w:r>
        <w:t>Potential Environmental Impacts</w:t>
      </w:r>
      <w:r>
        <w:tab/>
      </w:r>
      <w:r>
        <w:fldChar w:fldCharType="begin"/>
      </w:r>
      <w:r>
        <w:instrText xml:space="preserve"> PAGEREF _Toc375214602 \h </w:instrText>
      </w:r>
      <w:r>
        <w:fldChar w:fldCharType="separate"/>
      </w:r>
      <w:r w:rsidR="00282011">
        <w:t>341</w:t>
      </w:r>
      <w:r>
        <w:fldChar w:fldCharType="end"/>
      </w:r>
    </w:p>
    <w:p w14:paraId="362EBEC6" w14:textId="4F5BD6F5" w:rsidR="009D48FF" w:rsidRDefault="009D48FF">
      <w:pPr>
        <w:pStyle w:val="TOC3"/>
        <w:tabs>
          <w:tab w:val="left" w:pos="840"/>
        </w:tabs>
        <w:rPr>
          <w:rFonts w:asciiTheme="minorHAnsi" w:eastAsiaTheme="minorEastAsia" w:hAnsiTheme="minorHAnsi" w:cstheme="minorBidi"/>
          <w:lang w:eastAsia="ja-JP"/>
        </w:rPr>
      </w:pPr>
      <w:r>
        <w:t>7.2.3.</w:t>
      </w:r>
      <w:r>
        <w:rPr>
          <w:rFonts w:asciiTheme="minorHAnsi" w:eastAsiaTheme="minorEastAsia" w:hAnsiTheme="minorHAnsi" w:cstheme="minorBidi"/>
          <w:lang w:eastAsia="ja-JP"/>
        </w:rPr>
        <w:tab/>
      </w:r>
      <w:r>
        <w:t>Evaluation of Potential Environmental Impacts</w:t>
      </w:r>
      <w:r>
        <w:tab/>
      </w:r>
      <w:r>
        <w:fldChar w:fldCharType="begin"/>
      </w:r>
      <w:r>
        <w:instrText xml:space="preserve"> PAGEREF _Toc375214603 \h </w:instrText>
      </w:r>
      <w:r>
        <w:fldChar w:fldCharType="separate"/>
      </w:r>
      <w:r w:rsidR="00282011">
        <w:t>342</w:t>
      </w:r>
      <w:r>
        <w:fldChar w:fldCharType="end"/>
      </w:r>
    </w:p>
    <w:p w14:paraId="3A598ACC" w14:textId="115241F5" w:rsidR="009D48FF" w:rsidRDefault="009D48FF">
      <w:pPr>
        <w:pStyle w:val="TOC3"/>
        <w:tabs>
          <w:tab w:val="left" w:pos="840"/>
        </w:tabs>
        <w:rPr>
          <w:rFonts w:asciiTheme="minorHAnsi" w:eastAsiaTheme="minorEastAsia" w:hAnsiTheme="minorHAnsi" w:cstheme="minorBidi"/>
          <w:lang w:eastAsia="ja-JP"/>
        </w:rPr>
      </w:pPr>
      <w:r>
        <w:t>7.2.4.</w:t>
      </w:r>
      <w:r>
        <w:rPr>
          <w:rFonts w:asciiTheme="minorHAnsi" w:eastAsiaTheme="minorEastAsia" w:hAnsiTheme="minorHAnsi" w:cstheme="minorBidi"/>
          <w:lang w:eastAsia="ja-JP"/>
        </w:rPr>
        <w:tab/>
      </w:r>
      <w:r>
        <w:t>Control Measures &amp; Impact Consequence</w:t>
      </w:r>
      <w:r>
        <w:tab/>
      </w:r>
      <w:r>
        <w:fldChar w:fldCharType="begin"/>
      </w:r>
      <w:r>
        <w:instrText xml:space="preserve"> PAGEREF _Toc375214604 \h </w:instrText>
      </w:r>
      <w:r>
        <w:fldChar w:fldCharType="separate"/>
      </w:r>
      <w:r w:rsidR="00282011">
        <w:t>353</w:t>
      </w:r>
      <w:r>
        <w:fldChar w:fldCharType="end"/>
      </w:r>
    </w:p>
    <w:p w14:paraId="182E77EC" w14:textId="1BB91C63"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7.3.</w:t>
      </w:r>
      <w:r>
        <w:rPr>
          <w:rFonts w:asciiTheme="minorHAnsi" w:eastAsiaTheme="minorEastAsia" w:hAnsiTheme="minorHAnsi" w:cstheme="minorBidi"/>
          <w:lang w:eastAsia="ja-JP"/>
        </w:rPr>
        <w:tab/>
      </w:r>
      <w:r w:rsidRPr="00637019">
        <w:rPr>
          <w:color w:val="064EA8"/>
          <w:lang w:eastAsia="en-US"/>
        </w:rPr>
        <w:t>IMPACT: Atmospheric Emissions</w:t>
      </w:r>
      <w:r>
        <w:tab/>
      </w:r>
      <w:r>
        <w:fldChar w:fldCharType="begin"/>
      </w:r>
      <w:r>
        <w:instrText xml:space="preserve"> PAGEREF _Toc375214605 \h </w:instrText>
      </w:r>
      <w:r>
        <w:fldChar w:fldCharType="separate"/>
      </w:r>
      <w:r w:rsidR="00282011">
        <w:t>354</w:t>
      </w:r>
      <w:r>
        <w:fldChar w:fldCharType="end"/>
      </w:r>
    </w:p>
    <w:p w14:paraId="49BB5AF9" w14:textId="2782C746" w:rsidR="009D48FF" w:rsidRDefault="009D48FF">
      <w:pPr>
        <w:pStyle w:val="TOC3"/>
        <w:tabs>
          <w:tab w:val="left" w:pos="840"/>
        </w:tabs>
        <w:rPr>
          <w:rFonts w:asciiTheme="minorHAnsi" w:eastAsiaTheme="minorEastAsia" w:hAnsiTheme="minorHAnsi" w:cstheme="minorBidi"/>
          <w:lang w:eastAsia="ja-JP"/>
        </w:rPr>
      </w:pPr>
      <w:r>
        <w:t>7.3.1.</w:t>
      </w:r>
      <w:r>
        <w:rPr>
          <w:rFonts w:asciiTheme="minorHAnsi" w:eastAsiaTheme="minorEastAsia" w:hAnsiTheme="minorHAnsi" w:cstheme="minorBidi"/>
          <w:lang w:eastAsia="ja-JP"/>
        </w:rPr>
        <w:tab/>
      </w:r>
      <w:r>
        <w:t>Hazard</w:t>
      </w:r>
      <w:r>
        <w:tab/>
      </w:r>
      <w:r>
        <w:fldChar w:fldCharType="begin"/>
      </w:r>
      <w:r>
        <w:instrText xml:space="preserve"> PAGEREF _Toc375214606 \h </w:instrText>
      </w:r>
      <w:r>
        <w:fldChar w:fldCharType="separate"/>
      </w:r>
      <w:r w:rsidR="00282011">
        <w:t>354</w:t>
      </w:r>
      <w:r>
        <w:fldChar w:fldCharType="end"/>
      </w:r>
    </w:p>
    <w:p w14:paraId="339DCBD0" w14:textId="5F23A2F1" w:rsidR="009D48FF" w:rsidRDefault="009D48FF">
      <w:pPr>
        <w:pStyle w:val="TOC3"/>
        <w:tabs>
          <w:tab w:val="left" w:pos="840"/>
        </w:tabs>
        <w:rPr>
          <w:rFonts w:asciiTheme="minorHAnsi" w:eastAsiaTheme="minorEastAsia" w:hAnsiTheme="minorHAnsi" w:cstheme="minorBidi"/>
          <w:lang w:eastAsia="ja-JP"/>
        </w:rPr>
      </w:pPr>
      <w:r>
        <w:t>7.3.2.</w:t>
      </w:r>
      <w:r>
        <w:rPr>
          <w:rFonts w:asciiTheme="minorHAnsi" w:eastAsiaTheme="minorEastAsia" w:hAnsiTheme="minorHAnsi" w:cstheme="minorBidi"/>
          <w:lang w:eastAsia="ja-JP"/>
        </w:rPr>
        <w:tab/>
      </w:r>
      <w:r>
        <w:t>Known and Potential Environmental Impacts</w:t>
      </w:r>
      <w:r>
        <w:tab/>
      </w:r>
      <w:r>
        <w:fldChar w:fldCharType="begin"/>
      </w:r>
      <w:r>
        <w:instrText xml:space="preserve"> PAGEREF _Toc375214607 \h </w:instrText>
      </w:r>
      <w:r>
        <w:fldChar w:fldCharType="separate"/>
      </w:r>
      <w:r w:rsidR="00282011">
        <w:t>354</w:t>
      </w:r>
      <w:r>
        <w:fldChar w:fldCharType="end"/>
      </w:r>
    </w:p>
    <w:p w14:paraId="47A0BDBC" w14:textId="752EE192" w:rsidR="009D48FF" w:rsidRDefault="009D48FF">
      <w:pPr>
        <w:pStyle w:val="TOC3"/>
        <w:tabs>
          <w:tab w:val="left" w:pos="840"/>
        </w:tabs>
        <w:rPr>
          <w:rFonts w:asciiTheme="minorHAnsi" w:eastAsiaTheme="minorEastAsia" w:hAnsiTheme="minorHAnsi" w:cstheme="minorBidi"/>
          <w:lang w:eastAsia="ja-JP"/>
        </w:rPr>
      </w:pPr>
      <w:r>
        <w:t>7.3.3.</w:t>
      </w:r>
      <w:r>
        <w:rPr>
          <w:rFonts w:asciiTheme="minorHAnsi" w:eastAsiaTheme="minorEastAsia" w:hAnsiTheme="minorHAnsi" w:cstheme="minorBidi"/>
          <w:lang w:eastAsia="ja-JP"/>
        </w:rPr>
        <w:tab/>
      </w:r>
      <w:r>
        <w:t>Evaluation of Environmental Impacts</w:t>
      </w:r>
      <w:r>
        <w:tab/>
      </w:r>
      <w:r>
        <w:fldChar w:fldCharType="begin"/>
      </w:r>
      <w:r>
        <w:instrText xml:space="preserve"> PAGEREF _Toc375214608 \h </w:instrText>
      </w:r>
      <w:r>
        <w:fldChar w:fldCharType="separate"/>
      </w:r>
      <w:r w:rsidR="00282011">
        <w:t>354</w:t>
      </w:r>
      <w:r>
        <w:fldChar w:fldCharType="end"/>
      </w:r>
    </w:p>
    <w:p w14:paraId="7C9BA099" w14:textId="22909F11" w:rsidR="009D48FF" w:rsidRDefault="009D48FF">
      <w:pPr>
        <w:pStyle w:val="TOC3"/>
        <w:tabs>
          <w:tab w:val="left" w:pos="840"/>
        </w:tabs>
        <w:rPr>
          <w:rFonts w:asciiTheme="minorHAnsi" w:eastAsiaTheme="minorEastAsia" w:hAnsiTheme="minorHAnsi" w:cstheme="minorBidi"/>
          <w:lang w:eastAsia="ja-JP"/>
        </w:rPr>
      </w:pPr>
      <w:r>
        <w:t>7.3.4.</w:t>
      </w:r>
      <w:r>
        <w:rPr>
          <w:rFonts w:asciiTheme="minorHAnsi" w:eastAsiaTheme="minorEastAsia" w:hAnsiTheme="minorHAnsi" w:cstheme="minorBidi"/>
          <w:lang w:eastAsia="ja-JP"/>
        </w:rPr>
        <w:tab/>
      </w:r>
      <w:r>
        <w:t>Control Measures &amp; Impact Consequence</w:t>
      </w:r>
      <w:r>
        <w:tab/>
      </w:r>
      <w:r>
        <w:fldChar w:fldCharType="begin"/>
      </w:r>
      <w:r>
        <w:instrText xml:space="preserve"> PAGEREF _Toc375214609 \h </w:instrText>
      </w:r>
      <w:r>
        <w:fldChar w:fldCharType="separate"/>
      </w:r>
      <w:r w:rsidR="00282011">
        <w:t>354</w:t>
      </w:r>
      <w:r>
        <w:fldChar w:fldCharType="end"/>
      </w:r>
    </w:p>
    <w:p w14:paraId="796CFC79" w14:textId="213320C6"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7.4.</w:t>
      </w:r>
      <w:r>
        <w:rPr>
          <w:rFonts w:asciiTheme="minorHAnsi" w:eastAsiaTheme="minorEastAsia" w:hAnsiTheme="minorHAnsi" w:cstheme="minorBidi"/>
          <w:lang w:eastAsia="ja-JP"/>
        </w:rPr>
        <w:tab/>
      </w:r>
      <w:r w:rsidRPr="00637019">
        <w:rPr>
          <w:color w:val="064EA8"/>
          <w:lang w:eastAsia="en-US"/>
        </w:rPr>
        <w:t>IMPACT: Light Emissions</w:t>
      </w:r>
      <w:r>
        <w:tab/>
      </w:r>
      <w:r>
        <w:fldChar w:fldCharType="begin"/>
      </w:r>
      <w:r>
        <w:instrText xml:space="preserve"> PAGEREF _Toc375214610 \h </w:instrText>
      </w:r>
      <w:r>
        <w:fldChar w:fldCharType="separate"/>
      </w:r>
      <w:r w:rsidR="00282011">
        <w:t>355</w:t>
      </w:r>
      <w:r>
        <w:fldChar w:fldCharType="end"/>
      </w:r>
    </w:p>
    <w:p w14:paraId="651EA790" w14:textId="417D1E5A" w:rsidR="009D48FF" w:rsidRDefault="009D48FF">
      <w:pPr>
        <w:pStyle w:val="TOC3"/>
        <w:tabs>
          <w:tab w:val="left" w:pos="840"/>
        </w:tabs>
        <w:rPr>
          <w:rFonts w:asciiTheme="minorHAnsi" w:eastAsiaTheme="minorEastAsia" w:hAnsiTheme="minorHAnsi" w:cstheme="minorBidi"/>
          <w:lang w:eastAsia="ja-JP"/>
        </w:rPr>
      </w:pPr>
      <w:r>
        <w:t>7.4.1.</w:t>
      </w:r>
      <w:r>
        <w:rPr>
          <w:rFonts w:asciiTheme="minorHAnsi" w:eastAsiaTheme="minorEastAsia" w:hAnsiTheme="minorHAnsi" w:cstheme="minorBidi"/>
          <w:lang w:eastAsia="ja-JP"/>
        </w:rPr>
        <w:tab/>
      </w:r>
      <w:r>
        <w:t>Hazard</w:t>
      </w:r>
      <w:r>
        <w:tab/>
      </w:r>
      <w:r>
        <w:fldChar w:fldCharType="begin"/>
      </w:r>
      <w:r>
        <w:instrText xml:space="preserve"> PAGEREF _Toc375214611 \h </w:instrText>
      </w:r>
      <w:r>
        <w:fldChar w:fldCharType="separate"/>
      </w:r>
      <w:r w:rsidR="00282011">
        <w:t>355</w:t>
      </w:r>
      <w:r>
        <w:fldChar w:fldCharType="end"/>
      </w:r>
    </w:p>
    <w:p w14:paraId="640F3805" w14:textId="7802350A" w:rsidR="009D48FF" w:rsidRDefault="009D48FF">
      <w:pPr>
        <w:pStyle w:val="TOC3"/>
        <w:tabs>
          <w:tab w:val="left" w:pos="840"/>
        </w:tabs>
        <w:rPr>
          <w:rFonts w:asciiTheme="minorHAnsi" w:eastAsiaTheme="minorEastAsia" w:hAnsiTheme="minorHAnsi" w:cstheme="minorBidi"/>
          <w:lang w:eastAsia="ja-JP"/>
        </w:rPr>
      </w:pPr>
      <w:r>
        <w:t>7.4.2.</w:t>
      </w:r>
      <w:r>
        <w:rPr>
          <w:rFonts w:asciiTheme="minorHAnsi" w:eastAsiaTheme="minorEastAsia" w:hAnsiTheme="minorHAnsi" w:cstheme="minorBidi"/>
          <w:lang w:eastAsia="ja-JP"/>
        </w:rPr>
        <w:tab/>
      </w:r>
      <w:r>
        <w:t>Known and Potential Environmental Impacts</w:t>
      </w:r>
      <w:r>
        <w:tab/>
      </w:r>
      <w:r>
        <w:fldChar w:fldCharType="begin"/>
      </w:r>
      <w:r>
        <w:instrText xml:space="preserve"> PAGEREF _Toc375214612 \h </w:instrText>
      </w:r>
      <w:r>
        <w:fldChar w:fldCharType="separate"/>
      </w:r>
      <w:r w:rsidR="00282011">
        <w:t>355</w:t>
      </w:r>
      <w:r>
        <w:fldChar w:fldCharType="end"/>
      </w:r>
    </w:p>
    <w:p w14:paraId="36E5098F" w14:textId="07B9B261" w:rsidR="009D48FF" w:rsidRDefault="009D48FF">
      <w:pPr>
        <w:pStyle w:val="TOC3"/>
        <w:tabs>
          <w:tab w:val="left" w:pos="840"/>
        </w:tabs>
        <w:rPr>
          <w:rFonts w:asciiTheme="minorHAnsi" w:eastAsiaTheme="minorEastAsia" w:hAnsiTheme="minorHAnsi" w:cstheme="minorBidi"/>
          <w:lang w:eastAsia="ja-JP"/>
        </w:rPr>
      </w:pPr>
      <w:r>
        <w:t>7.4.3.</w:t>
      </w:r>
      <w:r>
        <w:rPr>
          <w:rFonts w:asciiTheme="minorHAnsi" w:eastAsiaTheme="minorEastAsia" w:hAnsiTheme="minorHAnsi" w:cstheme="minorBidi"/>
          <w:lang w:eastAsia="ja-JP"/>
        </w:rPr>
        <w:tab/>
      </w:r>
      <w:r>
        <w:t>Evaluation of Environmental Impacts</w:t>
      </w:r>
      <w:r>
        <w:tab/>
      </w:r>
      <w:r>
        <w:fldChar w:fldCharType="begin"/>
      </w:r>
      <w:r>
        <w:instrText xml:space="preserve"> PAGEREF _Toc375214613 \h </w:instrText>
      </w:r>
      <w:r>
        <w:fldChar w:fldCharType="separate"/>
      </w:r>
      <w:r w:rsidR="00282011">
        <w:t>355</w:t>
      </w:r>
      <w:r>
        <w:fldChar w:fldCharType="end"/>
      </w:r>
    </w:p>
    <w:p w14:paraId="0BAC8274" w14:textId="79FCDC5F" w:rsidR="009D48FF" w:rsidRDefault="009D48FF">
      <w:pPr>
        <w:pStyle w:val="TOC3"/>
        <w:tabs>
          <w:tab w:val="left" w:pos="840"/>
        </w:tabs>
        <w:rPr>
          <w:rFonts w:asciiTheme="minorHAnsi" w:eastAsiaTheme="minorEastAsia" w:hAnsiTheme="minorHAnsi" w:cstheme="minorBidi"/>
          <w:lang w:eastAsia="ja-JP"/>
        </w:rPr>
      </w:pPr>
      <w:r>
        <w:t>7.4.4.</w:t>
      </w:r>
      <w:r>
        <w:rPr>
          <w:rFonts w:asciiTheme="minorHAnsi" w:eastAsiaTheme="minorEastAsia" w:hAnsiTheme="minorHAnsi" w:cstheme="minorBidi"/>
          <w:lang w:eastAsia="ja-JP"/>
        </w:rPr>
        <w:tab/>
      </w:r>
      <w:r>
        <w:t>Control Measures &amp; Impact Consequence</w:t>
      </w:r>
      <w:r>
        <w:tab/>
      </w:r>
      <w:r>
        <w:fldChar w:fldCharType="begin"/>
      </w:r>
      <w:r>
        <w:instrText xml:space="preserve"> PAGEREF _Toc375214614 \h </w:instrText>
      </w:r>
      <w:r>
        <w:fldChar w:fldCharType="separate"/>
      </w:r>
      <w:r w:rsidR="00282011">
        <w:t>356</w:t>
      </w:r>
      <w:r>
        <w:fldChar w:fldCharType="end"/>
      </w:r>
    </w:p>
    <w:p w14:paraId="741544E6" w14:textId="749F1DFF"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7.5.</w:t>
      </w:r>
      <w:r>
        <w:rPr>
          <w:rFonts w:asciiTheme="minorHAnsi" w:eastAsiaTheme="minorEastAsia" w:hAnsiTheme="minorHAnsi" w:cstheme="minorBidi"/>
          <w:lang w:eastAsia="ja-JP"/>
        </w:rPr>
        <w:tab/>
      </w:r>
      <w:r w:rsidRPr="00637019">
        <w:rPr>
          <w:color w:val="064EA8"/>
          <w:lang w:eastAsia="en-US"/>
        </w:rPr>
        <w:t>IMPACT: Discharge of Sewage and Grey Water</w:t>
      </w:r>
      <w:r>
        <w:tab/>
      </w:r>
      <w:r>
        <w:fldChar w:fldCharType="begin"/>
      </w:r>
      <w:r>
        <w:instrText xml:space="preserve"> PAGEREF _Toc375214615 \h </w:instrText>
      </w:r>
      <w:r>
        <w:fldChar w:fldCharType="separate"/>
      </w:r>
      <w:r w:rsidR="00282011">
        <w:t>356</w:t>
      </w:r>
      <w:r>
        <w:fldChar w:fldCharType="end"/>
      </w:r>
    </w:p>
    <w:p w14:paraId="6F012490" w14:textId="174EB8A6" w:rsidR="009D48FF" w:rsidRDefault="009D48FF">
      <w:pPr>
        <w:pStyle w:val="TOC3"/>
        <w:tabs>
          <w:tab w:val="left" w:pos="840"/>
        </w:tabs>
        <w:rPr>
          <w:rFonts w:asciiTheme="minorHAnsi" w:eastAsiaTheme="minorEastAsia" w:hAnsiTheme="minorHAnsi" w:cstheme="minorBidi"/>
          <w:lang w:eastAsia="ja-JP"/>
        </w:rPr>
      </w:pPr>
      <w:r>
        <w:t>7.5.1.</w:t>
      </w:r>
      <w:r>
        <w:rPr>
          <w:rFonts w:asciiTheme="minorHAnsi" w:eastAsiaTheme="minorEastAsia" w:hAnsiTheme="minorHAnsi" w:cstheme="minorBidi"/>
          <w:lang w:eastAsia="ja-JP"/>
        </w:rPr>
        <w:tab/>
      </w:r>
      <w:r>
        <w:t>Hazard</w:t>
      </w:r>
      <w:r>
        <w:tab/>
      </w:r>
      <w:r>
        <w:fldChar w:fldCharType="begin"/>
      </w:r>
      <w:r>
        <w:instrText xml:space="preserve"> PAGEREF _Toc375214616 \h </w:instrText>
      </w:r>
      <w:r>
        <w:fldChar w:fldCharType="separate"/>
      </w:r>
      <w:r w:rsidR="00282011">
        <w:t>356</w:t>
      </w:r>
      <w:r>
        <w:fldChar w:fldCharType="end"/>
      </w:r>
    </w:p>
    <w:p w14:paraId="19E48FA4" w14:textId="420E7945" w:rsidR="009D48FF" w:rsidRDefault="009D48FF">
      <w:pPr>
        <w:pStyle w:val="TOC3"/>
        <w:tabs>
          <w:tab w:val="left" w:pos="840"/>
        </w:tabs>
        <w:rPr>
          <w:rFonts w:asciiTheme="minorHAnsi" w:eastAsiaTheme="minorEastAsia" w:hAnsiTheme="minorHAnsi" w:cstheme="minorBidi"/>
          <w:lang w:eastAsia="ja-JP"/>
        </w:rPr>
      </w:pPr>
      <w:r>
        <w:t>7.5.2.</w:t>
      </w:r>
      <w:r>
        <w:rPr>
          <w:rFonts w:asciiTheme="minorHAnsi" w:eastAsiaTheme="minorEastAsia" w:hAnsiTheme="minorHAnsi" w:cstheme="minorBidi"/>
          <w:lang w:eastAsia="ja-JP"/>
        </w:rPr>
        <w:tab/>
      </w:r>
      <w:r>
        <w:t>Known and Potential Environmental Impacts</w:t>
      </w:r>
      <w:r>
        <w:tab/>
      </w:r>
      <w:r>
        <w:fldChar w:fldCharType="begin"/>
      </w:r>
      <w:r>
        <w:instrText xml:space="preserve"> PAGEREF _Toc375214617 \h </w:instrText>
      </w:r>
      <w:r>
        <w:fldChar w:fldCharType="separate"/>
      </w:r>
      <w:r w:rsidR="00282011">
        <w:t>356</w:t>
      </w:r>
      <w:r>
        <w:fldChar w:fldCharType="end"/>
      </w:r>
    </w:p>
    <w:p w14:paraId="70674CA2" w14:textId="404F120D" w:rsidR="009D48FF" w:rsidRDefault="009D48FF">
      <w:pPr>
        <w:pStyle w:val="TOC3"/>
        <w:tabs>
          <w:tab w:val="left" w:pos="840"/>
        </w:tabs>
        <w:rPr>
          <w:rFonts w:asciiTheme="minorHAnsi" w:eastAsiaTheme="minorEastAsia" w:hAnsiTheme="minorHAnsi" w:cstheme="minorBidi"/>
          <w:lang w:eastAsia="ja-JP"/>
        </w:rPr>
      </w:pPr>
      <w:r>
        <w:t>7.5.3.</w:t>
      </w:r>
      <w:r>
        <w:rPr>
          <w:rFonts w:asciiTheme="minorHAnsi" w:eastAsiaTheme="minorEastAsia" w:hAnsiTheme="minorHAnsi" w:cstheme="minorBidi"/>
          <w:lang w:eastAsia="ja-JP"/>
        </w:rPr>
        <w:tab/>
      </w:r>
      <w:r>
        <w:t>Evaluation of Environmental Impacts</w:t>
      </w:r>
      <w:r>
        <w:tab/>
      </w:r>
      <w:r>
        <w:fldChar w:fldCharType="begin"/>
      </w:r>
      <w:r>
        <w:instrText xml:space="preserve"> PAGEREF _Toc375214618 \h </w:instrText>
      </w:r>
      <w:r>
        <w:fldChar w:fldCharType="separate"/>
      </w:r>
      <w:r w:rsidR="00282011">
        <w:t>357</w:t>
      </w:r>
      <w:r>
        <w:fldChar w:fldCharType="end"/>
      </w:r>
    </w:p>
    <w:p w14:paraId="45F3DCAF" w14:textId="3474493A" w:rsidR="009D48FF" w:rsidRDefault="009D48FF">
      <w:pPr>
        <w:pStyle w:val="TOC3"/>
        <w:tabs>
          <w:tab w:val="left" w:pos="840"/>
        </w:tabs>
        <w:rPr>
          <w:rFonts w:asciiTheme="minorHAnsi" w:eastAsiaTheme="minorEastAsia" w:hAnsiTheme="minorHAnsi" w:cstheme="minorBidi"/>
          <w:lang w:eastAsia="ja-JP"/>
        </w:rPr>
      </w:pPr>
      <w:r>
        <w:t>7.5.4.</w:t>
      </w:r>
      <w:r>
        <w:rPr>
          <w:rFonts w:asciiTheme="minorHAnsi" w:eastAsiaTheme="minorEastAsia" w:hAnsiTheme="minorHAnsi" w:cstheme="minorBidi"/>
          <w:lang w:eastAsia="ja-JP"/>
        </w:rPr>
        <w:tab/>
      </w:r>
      <w:r>
        <w:t>Control Measures &amp; Impact Consequence</w:t>
      </w:r>
      <w:r>
        <w:tab/>
      </w:r>
      <w:r>
        <w:fldChar w:fldCharType="begin"/>
      </w:r>
      <w:r>
        <w:instrText xml:space="preserve"> PAGEREF _Toc375214619 \h </w:instrText>
      </w:r>
      <w:r>
        <w:fldChar w:fldCharType="separate"/>
      </w:r>
      <w:r w:rsidR="00282011">
        <w:t>357</w:t>
      </w:r>
      <w:r>
        <w:fldChar w:fldCharType="end"/>
      </w:r>
    </w:p>
    <w:p w14:paraId="37660CE7" w14:textId="6C29FB01"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7.6.</w:t>
      </w:r>
      <w:r>
        <w:rPr>
          <w:rFonts w:asciiTheme="minorHAnsi" w:eastAsiaTheme="minorEastAsia" w:hAnsiTheme="minorHAnsi" w:cstheme="minorBidi"/>
          <w:lang w:eastAsia="ja-JP"/>
        </w:rPr>
        <w:tab/>
      </w:r>
      <w:r w:rsidRPr="00637019">
        <w:rPr>
          <w:color w:val="064EA8"/>
          <w:lang w:eastAsia="en-US"/>
        </w:rPr>
        <w:t>IMPACT: Discharge of Cooling and Brine Water</w:t>
      </w:r>
      <w:r>
        <w:tab/>
      </w:r>
      <w:r>
        <w:fldChar w:fldCharType="begin"/>
      </w:r>
      <w:r>
        <w:instrText xml:space="preserve"> PAGEREF _Toc375214620 \h </w:instrText>
      </w:r>
      <w:r>
        <w:fldChar w:fldCharType="separate"/>
      </w:r>
      <w:r w:rsidR="00282011">
        <w:t>358</w:t>
      </w:r>
      <w:r>
        <w:fldChar w:fldCharType="end"/>
      </w:r>
    </w:p>
    <w:p w14:paraId="6109BFE6" w14:textId="218F3367" w:rsidR="009D48FF" w:rsidRDefault="009D48FF">
      <w:pPr>
        <w:pStyle w:val="TOC3"/>
        <w:tabs>
          <w:tab w:val="left" w:pos="840"/>
        </w:tabs>
        <w:rPr>
          <w:rFonts w:asciiTheme="minorHAnsi" w:eastAsiaTheme="minorEastAsia" w:hAnsiTheme="minorHAnsi" w:cstheme="minorBidi"/>
          <w:lang w:eastAsia="ja-JP"/>
        </w:rPr>
      </w:pPr>
      <w:r>
        <w:t>7.6.1.</w:t>
      </w:r>
      <w:r>
        <w:rPr>
          <w:rFonts w:asciiTheme="minorHAnsi" w:eastAsiaTheme="minorEastAsia" w:hAnsiTheme="minorHAnsi" w:cstheme="minorBidi"/>
          <w:lang w:eastAsia="ja-JP"/>
        </w:rPr>
        <w:tab/>
      </w:r>
      <w:r>
        <w:t>Hazard</w:t>
      </w:r>
      <w:r>
        <w:tab/>
      </w:r>
      <w:r>
        <w:fldChar w:fldCharType="begin"/>
      </w:r>
      <w:r>
        <w:instrText xml:space="preserve"> PAGEREF _Toc375214621 \h </w:instrText>
      </w:r>
      <w:r>
        <w:fldChar w:fldCharType="separate"/>
      </w:r>
      <w:r w:rsidR="00282011">
        <w:t>358</w:t>
      </w:r>
      <w:r>
        <w:fldChar w:fldCharType="end"/>
      </w:r>
    </w:p>
    <w:p w14:paraId="4E13CD6B" w14:textId="0DB3A866" w:rsidR="009D48FF" w:rsidRDefault="009D48FF">
      <w:pPr>
        <w:pStyle w:val="TOC3"/>
        <w:tabs>
          <w:tab w:val="left" w:pos="840"/>
        </w:tabs>
        <w:rPr>
          <w:rFonts w:asciiTheme="minorHAnsi" w:eastAsiaTheme="minorEastAsia" w:hAnsiTheme="minorHAnsi" w:cstheme="minorBidi"/>
          <w:lang w:eastAsia="ja-JP"/>
        </w:rPr>
      </w:pPr>
      <w:r>
        <w:t>7.6.2.</w:t>
      </w:r>
      <w:r>
        <w:rPr>
          <w:rFonts w:asciiTheme="minorHAnsi" w:eastAsiaTheme="minorEastAsia" w:hAnsiTheme="minorHAnsi" w:cstheme="minorBidi"/>
          <w:lang w:eastAsia="ja-JP"/>
        </w:rPr>
        <w:tab/>
      </w:r>
      <w:r>
        <w:t>Known and Potential Environmental Impacts</w:t>
      </w:r>
      <w:r>
        <w:tab/>
      </w:r>
      <w:r>
        <w:fldChar w:fldCharType="begin"/>
      </w:r>
      <w:r>
        <w:instrText xml:space="preserve"> PAGEREF _Toc375214622 \h </w:instrText>
      </w:r>
      <w:r>
        <w:fldChar w:fldCharType="separate"/>
      </w:r>
      <w:r w:rsidR="00282011">
        <w:t>358</w:t>
      </w:r>
      <w:r>
        <w:fldChar w:fldCharType="end"/>
      </w:r>
    </w:p>
    <w:p w14:paraId="68BC6D2B" w14:textId="40500A73" w:rsidR="009D48FF" w:rsidRDefault="009D48FF">
      <w:pPr>
        <w:pStyle w:val="TOC3"/>
        <w:tabs>
          <w:tab w:val="left" w:pos="840"/>
        </w:tabs>
        <w:rPr>
          <w:rFonts w:asciiTheme="minorHAnsi" w:eastAsiaTheme="minorEastAsia" w:hAnsiTheme="minorHAnsi" w:cstheme="minorBidi"/>
          <w:lang w:eastAsia="ja-JP"/>
        </w:rPr>
      </w:pPr>
      <w:r>
        <w:t>7.6.3.</w:t>
      </w:r>
      <w:r>
        <w:rPr>
          <w:rFonts w:asciiTheme="minorHAnsi" w:eastAsiaTheme="minorEastAsia" w:hAnsiTheme="minorHAnsi" w:cstheme="minorBidi"/>
          <w:lang w:eastAsia="ja-JP"/>
        </w:rPr>
        <w:tab/>
      </w:r>
      <w:r>
        <w:t>Evaluation of Environmental Impacts</w:t>
      </w:r>
      <w:r>
        <w:tab/>
      </w:r>
      <w:r>
        <w:fldChar w:fldCharType="begin"/>
      </w:r>
      <w:r>
        <w:instrText xml:space="preserve"> PAGEREF _Toc375214623 \h </w:instrText>
      </w:r>
      <w:r>
        <w:fldChar w:fldCharType="separate"/>
      </w:r>
      <w:r w:rsidR="00282011">
        <w:t>359</w:t>
      </w:r>
      <w:r>
        <w:fldChar w:fldCharType="end"/>
      </w:r>
    </w:p>
    <w:p w14:paraId="1FB4E8A9" w14:textId="59ADBCDC" w:rsidR="009D48FF" w:rsidRDefault="009D48FF">
      <w:pPr>
        <w:pStyle w:val="TOC3"/>
        <w:tabs>
          <w:tab w:val="left" w:pos="840"/>
        </w:tabs>
        <w:rPr>
          <w:rFonts w:asciiTheme="minorHAnsi" w:eastAsiaTheme="minorEastAsia" w:hAnsiTheme="minorHAnsi" w:cstheme="minorBidi"/>
          <w:lang w:eastAsia="ja-JP"/>
        </w:rPr>
      </w:pPr>
      <w:r>
        <w:t>7.6.4.</w:t>
      </w:r>
      <w:r>
        <w:rPr>
          <w:rFonts w:asciiTheme="minorHAnsi" w:eastAsiaTheme="minorEastAsia" w:hAnsiTheme="minorHAnsi" w:cstheme="minorBidi"/>
          <w:lang w:eastAsia="ja-JP"/>
        </w:rPr>
        <w:tab/>
      </w:r>
      <w:r>
        <w:t>Control Measures &amp; Impact Consequence</w:t>
      </w:r>
      <w:r>
        <w:tab/>
      </w:r>
      <w:r>
        <w:fldChar w:fldCharType="begin"/>
      </w:r>
      <w:r>
        <w:instrText xml:space="preserve"> PAGEREF _Toc375214624 \h </w:instrText>
      </w:r>
      <w:r>
        <w:fldChar w:fldCharType="separate"/>
      </w:r>
      <w:r w:rsidR="00282011">
        <w:t>359</w:t>
      </w:r>
      <w:r>
        <w:fldChar w:fldCharType="end"/>
      </w:r>
    </w:p>
    <w:p w14:paraId="7A4E4D4B" w14:textId="79333104"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7.7.</w:t>
      </w:r>
      <w:r>
        <w:rPr>
          <w:rFonts w:asciiTheme="minorHAnsi" w:eastAsiaTheme="minorEastAsia" w:hAnsiTheme="minorHAnsi" w:cstheme="minorBidi"/>
          <w:lang w:eastAsia="ja-JP"/>
        </w:rPr>
        <w:tab/>
      </w:r>
      <w:r w:rsidRPr="00637019">
        <w:rPr>
          <w:color w:val="064EA8"/>
          <w:lang w:eastAsia="en-US"/>
        </w:rPr>
        <w:t>IMPACT: Discharge of Putrescible Waste</w:t>
      </w:r>
      <w:r>
        <w:tab/>
      </w:r>
      <w:r>
        <w:fldChar w:fldCharType="begin"/>
      </w:r>
      <w:r>
        <w:instrText xml:space="preserve"> PAGEREF _Toc375214625 \h </w:instrText>
      </w:r>
      <w:r>
        <w:fldChar w:fldCharType="separate"/>
      </w:r>
      <w:r w:rsidR="00282011">
        <w:t>360</w:t>
      </w:r>
      <w:r>
        <w:fldChar w:fldCharType="end"/>
      </w:r>
    </w:p>
    <w:p w14:paraId="28F83567" w14:textId="3BEC5247" w:rsidR="009D48FF" w:rsidRDefault="009D48FF">
      <w:pPr>
        <w:pStyle w:val="TOC3"/>
        <w:tabs>
          <w:tab w:val="left" w:pos="840"/>
        </w:tabs>
        <w:rPr>
          <w:rFonts w:asciiTheme="minorHAnsi" w:eastAsiaTheme="minorEastAsia" w:hAnsiTheme="minorHAnsi" w:cstheme="minorBidi"/>
          <w:lang w:eastAsia="ja-JP"/>
        </w:rPr>
      </w:pPr>
      <w:r>
        <w:t>7.7.1.</w:t>
      </w:r>
      <w:r>
        <w:rPr>
          <w:rFonts w:asciiTheme="minorHAnsi" w:eastAsiaTheme="minorEastAsia" w:hAnsiTheme="minorHAnsi" w:cstheme="minorBidi"/>
          <w:lang w:eastAsia="ja-JP"/>
        </w:rPr>
        <w:tab/>
      </w:r>
      <w:r>
        <w:t>Hazard</w:t>
      </w:r>
      <w:r>
        <w:tab/>
      </w:r>
      <w:r>
        <w:fldChar w:fldCharType="begin"/>
      </w:r>
      <w:r>
        <w:instrText xml:space="preserve"> PAGEREF _Toc375214626 \h </w:instrText>
      </w:r>
      <w:r>
        <w:fldChar w:fldCharType="separate"/>
      </w:r>
      <w:r w:rsidR="00282011">
        <w:t>360</w:t>
      </w:r>
      <w:r>
        <w:fldChar w:fldCharType="end"/>
      </w:r>
    </w:p>
    <w:p w14:paraId="55256D55" w14:textId="741D2FF4" w:rsidR="009D48FF" w:rsidRDefault="009D48FF">
      <w:pPr>
        <w:pStyle w:val="TOC3"/>
        <w:tabs>
          <w:tab w:val="left" w:pos="840"/>
        </w:tabs>
        <w:rPr>
          <w:rFonts w:asciiTheme="minorHAnsi" w:eastAsiaTheme="minorEastAsia" w:hAnsiTheme="minorHAnsi" w:cstheme="minorBidi"/>
          <w:lang w:eastAsia="ja-JP"/>
        </w:rPr>
      </w:pPr>
      <w:r>
        <w:t>7.7.2.</w:t>
      </w:r>
      <w:r>
        <w:rPr>
          <w:rFonts w:asciiTheme="minorHAnsi" w:eastAsiaTheme="minorEastAsia" w:hAnsiTheme="minorHAnsi" w:cstheme="minorBidi"/>
          <w:lang w:eastAsia="ja-JP"/>
        </w:rPr>
        <w:tab/>
      </w:r>
      <w:r>
        <w:t>Known and Potential Environmental Impacts</w:t>
      </w:r>
      <w:r>
        <w:tab/>
      </w:r>
      <w:r>
        <w:fldChar w:fldCharType="begin"/>
      </w:r>
      <w:r>
        <w:instrText xml:space="preserve"> PAGEREF _Toc375214627 \h </w:instrText>
      </w:r>
      <w:r>
        <w:fldChar w:fldCharType="separate"/>
      </w:r>
      <w:r w:rsidR="00282011">
        <w:t>360</w:t>
      </w:r>
      <w:r>
        <w:fldChar w:fldCharType="end"/>
      </w:r>
    </w:p>
    <w:p w14:paraId="17E04992" w14:textId="1EC58C65" w:rsidR="009D48FF" w:rsidRDefault="009D48FF">
      <w:pPr>
        <w:pStyle w:val="TOC3"/>
        <w:tabs>
          <w:tab w:val="left" w:pos="840"/>
        </w:tabs>
        <w:rPr>
          <w:rFonts w:asciiTheme="minorHAnsi" w:eastAsiaTheme="minorEastAsia" w:hAnsiTheme="minorHAnsi" w:cstheme="minorBidi"/>
          <w:lang w:eastAsia="ja-JP"/>
        </w:rPr>
      </w:pPr>
      <w:r>
        <w:t>7.7.3.</w:t>
      </w:r>
      <w:r>
        <w:rPr>
          <w:rFonts w:asciiTheme="minorHAnsi" w:eastAsiaTheme="minorEastAsia" w:hAnsiTheme="minorHAnsi" w:cstheme="minorBidi"/>
          <w:lang w:eastAsia="ja-JP"/>
        </w:rPr>
        <w:tab/>
      </w:r>
      <w:r>
        <w:t>Evaluation of Environmental Impacts</w:t>
      </w:r>
      <w:r>
        <w:tab/>
      </w:r>
      <w:r>
        <w:fldChar w:fldCharType="begin"/>
      </w:r>
      <w:r>
        <w:instrText xml:space="preserve"> PAGEREF _Toc375214628 \h </w:instrText>
      </w:r>
      <w:r>
        <w:fldChar w:fldCharType="separate"/>
      </w:r>
      <w:r w:rsidR="00282011">
        <w:t>360</w:t>
      </w:r>
      <w:r>
        <w:fldChar w:fldCharType="end"/>
      </w:r>
    </w:p>
    <w:p w14:paraId="12732AE7" w14:textId="1BA7AF9F" w:rsidR="009D48FF" w:rsidRDefault="009D48FF">
      <w:pPr>
        <w:pStyle w:val="TOC3"/>
        <w:tabs>
          <w:tab w:val="left" w:pos="840"/>
        </w:tabs>
        <w:rPr>
          <w:rFonts w:asciiTheme="minorHAnsi" w:eastAsiaTheme="minorEastAsia" w:hAnsiTheme="minorHAnsi" w:cstheme="minorBidi"/>
          <w:lang w:eastAsia="ja-JP"/>
        </w:rPr>
      </w:pPr>
      <w:r>
        <w:t>7.7.4.</w:t>
      </w:r>
      <w:r>
        <w:rPr>
          <w:rFonts w:asciiTheme="minorHAnsi" w:eastAsiaTheme="minorEastAsia" w:hAnsiTheme="minorHAnsi" w:cstheme="minorBidi"/>
          <w:lang w:eastAsia="ja-JP"/>
        </w:rPr>
        <w:tab/>
      </w:r>
      <w:r>
        <w:t>Control Measures &amp; Impact Consequence</w:t>
      </w:r>
      <w:r>
        <w:tab/>
      </w:r>
      <w:r>
        <w:fldChar w:fldCharType="begin"/>
      </w:r>
      <w:r>
        <w:instrText xml:space="preserve"> PAGEREF _Toc375214629 \h </w:instrText>
      </w:r>
      <w:r>
        <w:fldChar w:fldCharType="separate"/>
      </w:r>
      <w:r w:rsidR="00282011">
        <w:t>360</w:t>
      </w:r>
      <w:r>
        <w:fldChar w:fldCharType="end"/>
      </w:r>
    </w:p>
    <w:p w14:paraId="6741909F" w14:textId="0B0931B2"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7.8.</w:t>
      </w:r>
      <w:r>
        <w:rPr>
          <w:rFonts w:asciiTheme="minorHAnsi" w:eastAsiaTheme="minorEastAsia" w:hAnsiTheme="minorHAnsi" w:cstheme="minorBidi"/>
          <w:lang w:eastAsia="ja-JP"/>
        </w:rPr>
        <w:tab/>
      </w:r>
      <w:r w:rsidRPr="00637019">
        <w:rPr>
          <w:color w:val="064EA8"/>
          <w:lang w:eastAsia="en-US"/>
        </w:rPr>
        <w:t>IMPACT: Discharge of Bilge Water and Deck Drainage</w:t>
      </w:r>
      <w:r>
        <w:tab/>
      </w:r>
      <w:r>
        <w:fldChar w:fldCharType="begin"/>
      </w:r>
      <w:r>
        <w:instrText xml:space="preserve"> PAGEREF _Toc375214630 \h </w:instrText>
      </w:r>
      <w:r>
        <w:fldChar w:fldCharType="separate"/>
      </w:r>
      <w:r w:rsidR="00282011">
        <w:t>361</w:t>
      </w:r>
      <w:r>
        <w:fldChar w:fldCharType="end"/>
      </w:r>
    </w:p>
    <w:p w14:paraId="59560026" w14:textId="7AC41F5A" w:rsidR="009D48FF" w:rsidRDefault="009D48FF">
      <w:pPr>
        <w:pStyle w:val="TOC3"/>
        <w:tabs>
          <w:tab w:val="left" w:pos="840"/>
        </w:tabs>
        <w:rPr>
          <w:rFonts w:asciiTheme="minorHAnsi" w:eastAsiaTheme="minorEastAsia" w:hAnsiTheme="minorHAnsi" w:cstheme="minorBidi"/>
          <w:lang w:eastAsia="ja-JP"/>
        </w:rPr>
      </w:pPr>
      <w:r>
        <w:lastRenderedPageBreak/>
        <w:t>7.8.1.</w:t>
      </w:r>
      <w:r>
        <w:rPr>
          <w:rFonts w:asciiTheme="minorHAnsi" w:eastAsiaTheme="minorEastAsia" w:hAnsiTheme="minorHAnsi" w:cstheme="minorBidi"/>
          <w:lang w:eastAsia="ja-JP"/>
        </w:rPr>
        <w:tab/>
      </w:r>
      <w:r>
        <w:t>Hazard</w:t>
      </w:r>
      <w:r>
        <w:tab/>
      </w:r>
      <w:r>
        <w:fldChar w:fldCharType="begin"/>
      </w:r>
      <w:r>
        <w:instrText xml:space="preserve"> PAGEREF _Toc375214631 \h </w:instrText>
      </w:r>
      <w:r>
        <w:fldChar w:fldCharType="separate"/>
      </w:r>
      <w:r w:rsidR="00282011">
        <w:t>361</w:t>
      </w:r>
      <w:r>
        <w:fldChar w:fldCharType="end"/>
      </w:r>
    </w:p>
    <w:p w14:paraId="53508A38" w14:textId="50F3A78C" w:rsidR="009D48FF" w:rsidRDefault="009D48FF">
      <w:pPr>
        <w:pStyle w:val="TOC3"/>
        <w:tabs>
          <w:tab w:val="left" w:pos="840"/>
        </w:tabs>
        <w:rPr>
          <w:rFonts w:asciiTheme="minorHAnsi" w:eastAsiaTheme="minorEastAsia" w:hAnsiTheme="minorHAnsi" w:cstheme="minorBidi"/>
          <w:lang w:eastAsia="ja-JP"/>
        </w:rPr>
      </w:pPr>
      <w:r>
        <w:t>7.8.2.</w:t>
      </w:r>
      <w:r>
        <w:rPr>
          <w:rFonts w:asciiTheme="minorHAnsi" w:eastAsiaTheme="minorEastAsia" w:hAnsiTheme="minorHAnsi" w:cstheme="minorBidi"/>
          <w:lang w:eastAsia="ja-JP"/>
        </w:rPr>
        <w:tab/>
      </w:r>
      <w:r>
        <w:t>Known and Potential Environmental Impacts</w:t>
      </w:r>
      <w:r>
        <w:tab/>
      </w:r>
      <w:r>
        <w:fldChar w:fldCharType="begin"/>
      </w:r>
      <w:r>
        <w:instrText xml:space="preserve"> PAGEREF _Toc375214632 \h </w:instrText>
      </w:r>
      <w:r>
        <w:fldChar w:fldCharType="separate"/>
      </w:r>
      <w:r w:rsidR="00282011">
        <w:t>361</w:t>
      </w:r>
      <w:r>
        <w:fldChar w:fldCharType="end"/>
      </w:r>
    </w:p>
    <w:p w14:paraId="53D36D12" w14:textId="2E6F7642" w:rsidR="009D48FF" w:rsidRDefault="009D48FF">
      <w:pPr>
        <w:pStyle w:val="TOC3"/>
        <w:tabs>
          <w:tab w:val="left" w:pos="840"/>
        </w:tabs>
        <w:rPr>
          <w:rFonts w:asciiTheme="minorHAnsi" w:eastAsiaTheme="minorEastAsia" w:hAnsiTheme="minorHAnsi" w:cstheme="minorBidi"/>
          <w:lang w:eastAsia="ja-JP"/>
        </w:rPr>
      </w:pPr>
      <w:r>
        <w:t>7.8.3.</w:t>
      </w:r>
      <w:r>
        <w:rPr>
          <w:rFonts w:asciiTheme="minorHAnsi" w:eastAsiaTheme="minorEastAsia" w:hAnsiTheme="minorHAnsi" w:cstheme="minorBidi"/>
          <w:lang w:eastAsia="ja-JP"/>
        </w:rPr>
        <w:tab/>
      </w:r>
      <w:r>
        <w:t>EMBA</w:t>
      </w:r>
      <w:r>
        <w:tab/>
      </w:r>
      <w:r>
        <w:fldChar w:fldCharType="begin"/>
      </w:r>
      <w:r>
        <w:instrText xml:space="preserve"> PAGEREF _Toc375214633 \h </w:instrText>
      </w:r>
      <w:r>
        <w:fldChar w:fldCharType="separate"/>
      </w:r>
      <w:r w:rsidR="00282011">
        <w:t>361</w:t>
      </w:r>
      <w:r>
        <w:fldChar w:fldCharType="end"/>
      </w:r>
    </w:p>
    <w:p w14:paraId="710C2680" w14:textId="05189800" w:rsidR="009D48FF" w:rsidRDefault="009D48FF">
      <w:pPr>
        <w:pStyle w:val="TOC3"/>
        <w:tabs>
          <w:tab w:val="left" w:pos="840"/>
        </w:tabs>
        <w:rPr>
          <w:rFonts w:asciiTheme="minorHAnsi" w:eastAsiaTheme="minorEastAsia" w:hAnsiTheme="minorHAnsi" w:cstheme="minorBidi"/>
          <w:lang w:eastAsia="ja-JP"/>
        </w:rPr>
      </w:pPr>
      <w:r>
        <w:t>7.8.4.</w:t>
      </w:r>
      <w:r>
        <w:rPr>
          <w:rFonts w:asciiTheme="minorHAnsi" w:eastAsiaTheme="minorEastAsia" w:hAnsiTheme="minorHAnsi" w:cstheme="minorBidi"/>
          <w:lang w:eastAsia="ja-JP"/>
        </w:rPr>
        <w:tab/>
      </w:r>
      <w:r>
        <w:t>Evaluation of Environmental Impacts</w:t>
      </w:r>
      <w:r>
        <w:tab/>
      </w:r>
      <w:r>
        <w:fldChar w:fldCharType="begin"/>
      </w:r>
      <w:r>
        <w:instrText xml:space="preserve"> PAGEREF _Toc375214634 \h </w:instrText>
      </w:r>
      <w:r>
        <w:fldChar w:fldCharType="separate"/>
      </w:r>
      <w:r w:rsidR="00282011">
        <w:t>361</w:t>
      </w:r>
      <w:r>
        <w:fldChar w:fldCharType="end"/>
      </w:r>
    </w:p>
    <w:p w14:paraId="7A2DE9F8" w14:textId="1B8BD932" w:rsidR="009D48FF" w:rsidRDefault="009D48FF">
      <w:pPr>
        <w:pStyle w:val="TOC3"/>
        <w:tabs>
          <w:tab w:val="left" w:pos="840"/>
        </w:tabs>
        <w:rPr>
          <w:rFonts w:asciiTheme="minorHAnsi" w:eastAsiaTheme="minorEastAsia" w:hAnsiTheme="minorHAnsi" w:cstheme="minorBidi"/>
          <w:lang w:eastAsia="ja-JP"/>
        </w:rPr>
      </w:pPr>
      <w:r>
        <w:t>7.8.5.</w:t>
      </w:r>
      <w:r>
        <w:rPr>
          <w:rFonts w:asciiTheme="minorHAnsi" w:eastAsiaTheme="minorEastAsia" w:hAnsiTheme="minorHAnsi" w:cstheme="minorBidi"/>
          <w:lang w:eastAsia="ja-JP"/>
        </w:rPr>
        <w:tab/>
      </w:r>
      <w:r>
        <w:t>Control Measures &amp; Impact Consequence</w:t>
      </w:r>
      <w:r>
        <w:tab/>
      </w:r>
      <w:r>
        <w:fldChar w:fldCharType="begin"/>
      </w:r>
      <w:r>
        <w:instrText xml:space="preserve"> PAGEREF _Toc375214635 \h </w:instrText>
      </w:r>
      <w:r>
        <w:fldChar w:fldCharType="separate"/>
      </w:r>
      <w:r w:rsidR="00282011">
        <w:t>362</w:t>
      </w:r>
      <w:r>
        <w:fldChar w:fldCharType="end"/>
      </w:r>
    </w:p>
    <w:p w14:paraId="4E75B778" w14:textId="5F18188C"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7.9.</w:t>
      </w:r>
      <w:r>
        <w:rPr>
          <w:rFonts w:asciiTheme="minorHAnsi" w:eastAsiaTheme="minorEastAsia" w:hAnsiTheme="minorHAnsi" w:cstheme="minorBidi"/>
          <w:lang w:eastAsia="ja-JP"/>
        </w:rPr>
        <w:tab/>
      </w:r>
      <w:r w:rsidRPr="00637019">
        <w:rPr>
          <w:color w:val="064EA8"/>
          <w:lang w:eastAsia="en-US"/>
        </w:rPr>
        <w:t>RISK: Underwater Sound Interaction with Swimmers and Divers</w:t>
      </w:r>
      <w:r>
        <w:tab/>
      </w:r>
      <w:r>
        <w:fldChar w:fldCharType="begin"/>
      </w:r>
      <w:r>
        <w:instrText xml:space="preserve"> PAGEREF _Toc375214636 \h </w:instrText>
      </w:r>
      <w:r>
        <w:fldChar w:fldCharType="separate"/>
      </w:r>
      <w:r w:rsidR="00282011">
        <w:t>363</w:t>
      </w:r>
      <w:r>
        <w:fldChar w:fldCharType="end"/>
      </w:r>
    </w:p>
    <w:p w14:paraId="150C517C" w14:textId="3A729457" w:rsidR="009D48FF" w:rsidRDefault="009D48FF">
      <w:pPr>
        <w:pStyle w:val="TOC3"/>
        <w:tabs>
          <w:tab w:val="left" w:pos="840"/>
        </w:tabs>
        <w:rPr>
          <w:rFonts w:asciiTheme="minorHAnsi" w:eastAsiaTheme="minorEastAsia" w:hAnsiTheme="minorHAnsi" w:cstheme="minorBidi"/>
          <w:lang w:eastAsia="ja-JP"/>
        </w:rPr>
      </w:pPr>
      <w:r>
        <w:t>7.9.1.</w:t>
      </w:r>
      <w:r>
        <w:rPr>
          <w:rFonts w:asciiTheme="minorHAnsi" w:eastAsiaTheme="minorEastAsia" w:hAnsiTheme="minorHAnsi" w:cstheme="minorBidi"/>
          <w:lang w:eastAsia="ja-JP"/>
        </w:rPr>
        <w:tab/>
      </w:r>
      <w:r>
        <w:t>Hazard</w:t>
      </w:r>
      <w:r>
        <w:tab/>
      </w:r>
      <w:r>
        <w:fldChar w:fldCharType="begin"/>
      </w:r>
      <w:r>
        <w:instrText xml:space="preserve"> PAGEREF _Toc375214637 \h </w:instrText>
      </w:r>
      <w:r>
        <w:fldChar w:fldCharType="separate"/>
      </w:r>
      <w:r w:rsidR="00282011">
        <w:t>363</w:t>
      </w:r>
      <w:r>
        <w:fldChar w:fldCharType="end"/>
      </w:r>
    </w:p>
    <w:p w14:paraId="149EC230" w14:textId="58B1B382" w:rsidR="009D48FF" w:rsidRDefault="009D48FF">
      <w:pPr>
        <w:pStyle w:val="TOC3"/>
        <w:tabs>
          <w:tab w:val="left" w:pos="840"/>
        </w:tabs>
        <w:rPr>
          <w:rFonts w:asciiTheme="minorHAnsi" w:eastAsiaTheme="minorEastAsia" w:hAnsiTheme="minorHAnsi" w:cstheme="minorBidi"/>
          <w:lang w:eastAsia="ja-JP"/>
        </w:rPr>
      </w:pPr>
      <w:r>
        <w:t>7.9.2.</w:t>
      </w:r>
      <w:r>
        <w:rPr>
          <w:rFonts w:asciiTheme="minorHAnsi" w:eastAsiaTheme="minorEastAsia" w:hAnsiTheme="minorHAnsi" w:cstheme="minorBidi"/>
          <w:lang w:eastAsia="ja-JP"/>
        </w:rPr>
        <w:tab/>
      </w:r>
      <w:r>
        <w:t>Potential Environmental Risks</w:t>
      </w:r>
      <w:r>
        <w:tab/>
      </w:r>
      <w:r>
        <w:fldChar w:fldCharType="begin"/>
      </w:r>
      <w:r>
        <w:instrText xml:space="preserve"> PAGEREF _Toc375214638 \h </w:instrText>
      </w:r>
      <w:r>
        <w:fldChar w:fldCharType="separate"/>
      </w:r>
      <w:r w:rsidR="00282011">
        <w:t>363</w:t>
      </w:r>
      <w:r>
        <w:fldChar w:fldCharType="end"/>
      </w:r>
    </w:p>
    <w:p w14:paraId="298C717F" w14:textId="34405D44" w:rsidR="009D48FF" w:rsidRDefault="009D48FF">
      <w:pPr>
        <w:pStyle w:val="TOC3"/>
        <w:tabs>
          <w:tab w:val="left" w:pos="840"/>
        </w:tabs>
        <w:rPr>
          <w:rFonts w:asciiTheme="minorHAnsi" w:eastAsiaTheme="minorEastAsia" w:hAnsiTheme="minorHAnsi" w:cstheme="minorBidi"/>
          <w:lang w:eastAsia="ja-JP"/>
        </w:rPr>
      </w:pPr>
      <w:r>
        <w:t>7.9.3.</w:t>
      </w:r>
      <w:r>
        <w:rPr>
          <w:rFonts w:asciiTheme="minorHAnsi" w:eastAsiaTheme="minorEastAsia" w:hAnsiTheme="minorHAnsi" w:cstheme="minorBidi"/>
          <w:lang w:eastAsia="ja-JP"/>
        </w:rPr>
        <w:tab/>
      </w:r>
      <w:r>
        <w:t>Evaluation of Environmental Risks</w:t>
      </w:r>
      <w:r>
        <w:tab/>
      </w:r>
      <w:r>
        <w:fldChar w:fldCharType="begin"/>
      </w:r>
      <w:r>
        <w:instrText xml:space="preserve"> PAGEREF _Toc375214639 \h </w:instrText>
      </w:r>
      <w:r>
        <w:fldChar w:fldCharType="separate"/>
      </w:r>
      <w:r w:rsidR="00282011">
        <w:t>368</w:t>
      </w:r>
      <w:r>
        <w:fldChar w:fldCharType="end"/>
      </w:r>
    </w:p>
    <w:p w14:paraId="0BEAE89C" w14:textId="2446C7C8" w:rsidR="009D48FF" w:rsidRDefault="009D48FF">
      <w:pPr>
        <w:pStyle w:val="TOC3"/>
        <w:tabs>
          <w:tab w:val="left" w:pos="840"/>
        </w:tabs>
        <w:rPr>
          <w:rFonts w:asciiTheme="minorHAnsi" w:eastAsiaTheme="minorEastAsia" w:hAnsiTheme="minorHAnsi" w:cstheme="minorBidi"/>
          <w:lang w:eastAsia="ja-JP"/>
        </w:rPr>
      </w:pPr>
      <w:r>
        <w:t>7.9.4.</w:t>
      </w:r>
      <w:r>
        <w:rPr>
          <w:rFonts w:asciiTheme="minorHAnsi" w:eastAsiaTheme="minorEastAsia" w:hAnsiTheme="minorHAnsi" w:cstheme="minorBidi"/>
          <w:lang w:eastAsia="ja-JP"/>
        </w:rPr>
        <w:tab/>
      </w:r>
      <w:r>
        <w:t>Control Measures &amp; Risk Assessment</w:t>
      </w:r>
      <w:r>
        <w:tab/>
      </w:r>
      <w:r>
        <w:fldChar w:fldCharType="begin"/>
      </w:r>
      <w:r>
        <w:instrText xml:space="preserve"> PAGEREF _Toc375214640 \h </w:instrText>
      </w:r>
      <w:r>
        <w:fldChar w:fldCharType="separate"/>
      </w:r>
      <w:r w:rsidR="00282011">
        <w:t>371</w:t>
      </w:r>
      <w:r>
        <w:fldChar w:fldCharType="end"/>
      </w:r>
    </w:p>
    <w:p w14:paraId="4DEA697C" w14:textId="4A6B0179" w:rsidR="009D48FF" w:rsidRDefault="009D48FF">
      <w:pPr>
        <w:pStyle w:val="TOC2"/>
        <w:tabs>
          <w:tab w:val="left" w:pos="1494"/>
        </w:tabs>
        <w:rPr>
          <w:rFonts w:asciiTheme="minorHAnsi" w:eastAsiaTheme="minorEastAsia" w:hAnsiTheme="minorHAnsi" w:cstheme="minorBidi"/>
          <w:lang w:eastAsia="ja-JP"/>
        </w:rPr>
      </w:pPr>
      <w:r w:rsidRPr="00637019">
        <w:rPr>
          <w:color w:val="064EA8"/>
          <w:lang w:eastAsia="en-US"/>
        </w:rPr>
        <w:t>7.10.</w:t>
      </w:r>
      <w:r>
        <w:rPr>
          <w:rFonts w:asciiTheme="minorHAnsi" w:eastAsiaTheme="minorEastAsia" w:hAnsiTheme="minorHAnsi" w:cstheme="minorBidi"/>
          <w:lang w:eastAsia="ja-JP"/>
        </w:rPr>
        <w:tab/>
      </w:r>
      <w:r w:rsidRPr="00637019">
        <w:rPr>
          <w:color w:val="064EA8"/>
          <w:lang w:eastAsia="en-US"/>
        </w:rPr>
        <w:t>RISK: Seabed Disturbance</w:t>
      </w:r>
      <w:r>
        <w:tab/>
      </w:r>
      <w:r>
        <w:fldChar w:fldCharType="begin"/>
      </w:r>
      <w:r>
        <w:instrText xml:space="preserve"> PAGEREF _Toc375214641 \h </w:instrText>
      </w:r>
      <w:r>
        <w:fldChar w:fldCharType="separate"/>
      </w:r>
      <w:r w:rsidR="00282011">
        <w:t>372</w:t>
      </w:r>
      <w:r>
        <w:fldChar w:fldCharType="end"/>
      </w:r>
    </w:p>
    <w:p w14:paraId="34DD9875" w14:textId="0624532E" w:rsidR="009D48FF" w:rsidRDefault="009D48FF">
      <w:pPr>
        <w:pStyle w:val="TOC3"/>
        <w:tabs>
          <w:tab w:val="left" w:pos="974"/>
        </w:tabs>
        <w:rPr>
          <w:rFonts w:asciiTheme="minorHAnsi" w:eastAsiaTheme="minorEastAsia" w:hAnsiTheme="minorHAnsi" w:cstheme="minorBidi"/>
          <w:lang w:eastAsia="ja-JP"/>
        </w:rPr>
      </w:pPr>
      <w:r>
        <w:t>7.10.1.</w:t>
      </w:r>
      <w:r>
        <w:rPr>
          <w:rFonts w:asciiTheme="minorHAnsi" w:eastAsiaTheme="minorEastAsia" w:hAnsiTheme="minorHAnsi" w:cstheme="minorBidi"/>
          <w:lang w:eastAsia="ja-JP"/>
        </w:rPr>
        <w:tab/>
      </w:r>
      <w:r>
        <w:t>Hazard</w:t>
      </w:r>
      <w:r>
        <w:tab/>
      </w:r>
      <w:r>
        <w:fldChar w:fldCharType="begin"/>
      </w:r>
      <w:r>
        <w:instrText xml:space="preserve"> PAGEREF _Toc375214642 \h </w:instrText>
      </w:r>
      <w:r>
        <w:fldChar w:fldCharType="separate"/>
      </w:r>
      <w:r w:rsidR="00282011">
        <w:t>372</w:t>
      </w:r>
      <w:r>
        <w:fldChar w:fldCharType="end"/>
      </w:r>
    </w:p>
    <w:p w14:paraId="342E9540" w14:textId="3A97C57B" w:rsidR="009D48FF" w:rsidRDefault="009D48FF">
      <w:pPr>
        <w:pStyle w:val="TOC3"/>
        <w:tabs>
          <w:tab w:val="left" w:pos="974"/>
        </w:tabs>
        <w:rPr>
          <w:rFonts w:asciiTheme="minorHAnsi" w:eastAsiaTheme="minorEastAsia" w:hAnsiTheme="minorHAnsi" w:cstheme="minorBidi"/>
          <w:lang w:eastAsia="ja-JP"/>
        </w:rPr>
      </w:pPr>
      <w:r>
        <w:t>7.10.2.</w:t>
      </w:r>
      <w:r>
        <w:rPr>
          <w:rFonts w:asciiTheme="minorHAnsi" w:eastAsiaTheme="minorEastAsia" w:hAnsiTheme="minorHAnsi" w:cstheme="minorBidi"/>
          <w:lang w:eastAsia="ja-JP"/>
        </w:rPr>
        <w:tab/>
      </w:r>
      <w:r>
        <w:t>Potential Environmental Risks</w:t>
      </w:r>
      <w:r>
        <w:tab/>
      </w:r>
      <w:r>
        <w:fldChar w:fldCharType="begin"/>
      </w:r>
      <w:r>
        <w:instrText xml:space="preserve"> PAGEREF _Toc375214643 \h </w:instrText>
      </w:r>
      <w:r>
        <w:fldChar w:fldCharType="separate"/>
      </w:r>
      <w:r w:rsidR="00282011">
        <w:t>372</w:t>
      </w:r>
      <w:r>
        <w:fldChar w:fldCharType="end"/>
      </w:r>
    </w:p>
    <w:p w14:paraId="7A207C6E" w14:textId="6B7FDB3E" w:rsidR="009D48FF" w:rsidRDefault="009D48FF">
      <w:pPr>
        <w:pStyle w:val="TOC3"/>
        <w:tabs>
          <w:tab w:val="left" w:pos="974"/>
        </w:tabs>
        <w:rPr>
          <w:rFonts w:asciiTheme="minorHAnsi" w:eastAsiaTheme="minorEastAsia" w:hAnsiTheme="minorHAnsi" w:cstheme="minorBidi"/>
          <w:lang w:eastAsia="ja-JP"/>
        </w:rPr>
      </w:pPr>
      <w:r>
        <w:t>7.10.3.</w:t>
      </w:r>
      <w:r>
        <w:rPr>
          <w:rFonts w:asciiTheme="minorHAnsi" w:eastAsiaTheme="minorEastAsia" w:hAnsiTheme="minorHAnsi" w:cstheme="minorBidi"/>
          <w:lang w:eastAsia="ja-JP"/>
        </w:rPr>
        <w:tab/>
      </w:r>
      <w:r>
        <w:t>Evaluation of Environmental Risks</w:t>
      </w:r>
      <w:r>
        <w:tab/>
      </w:r>
      <w:r>
        <w:fldChar w:fldCharType="begin"/>
      </w:r>
      <w:r>
        <w:instrText xml:space="preserve"> PAGEREF _Toc375214644 \h </w:instrText>
      </w:r>
      <w:r>
        <w:fldChar w:fldCharType="separate"/>
      </w:r>
      <w:r w:rsidR="00282011">
        <w:t>372</w:t>
      </w:r>
      <w:r>
        <w:fldChar w:fldCharType="end"/>
      </w:r>
    </w:p>
    <w:p w14:paraId="4B529367" w14:textId="230AD861" w:rsidR="009D48FF" w:rsidRDefault="009D48FF">
      <w:pPr>
        <w:pStyle w:val="TOC3"/>
        <w:tabs>
          <w:tab w:val="left" w:pos="974"/>
        </w:tabs>
        <w:rPr>
          <w:rFonts w:asciiTheme="minorHAnsi" w:eastAsiaTheme="minorEastAsia" w:hAnsiTheme="minorHAnsi" w:cstheme="minorBidi"/>
          <w:lang w:eastAsia="ja-JP"/>
        </w:rPr>
      </w:pPr>
      <w:r>
        <w:t>7.10.4.</w:t>
      </w:r>
      <w:r>
        <w:rPr>
          <w:rFonts w:asciiTheme="minorHAnsi" w:eastAsiaTheme="minorEastAsia" w:hAnsiTheme="minorHAnsi" w:cstheme="minorBidi"/>
          <w:lang w:eastAsia="ja-JP"/>
        </w:rPr>
        <w:tab/>
      </w:r>
      <w:r>
        <w:t>Control Measures &amp; Risk Assessment</w:t>
      </w:r>
      <w:r>
        <w:tab/>
      </w:r>
      <w:r>
        <w:fldChar w:fldCharType="begin"/>
      </w:r>
      <w:r>
        <w:instrText xml:space="preserve"> PAGEREF _Toc375214645 \h </w:instrText>
      </w:r>
      <w:r>
        <w:fldChar w:fldCharType="separate"/>
      </w:r>
      <w:r w:rsidR="00282011">
        <w:t>373</w:t>
      </w:r>
      <w:r>
        <w:fldChar w:fldCharType="end"/>
      </w:r>
    </w:p>
    <w:p w14:paraId="39EDB19B" w14:textId="721BC8A4" w:rsidR="009D48FF" w:rsidRDefault="009D48FF">
      <w:pPr>
        <w:pStyle w:val="TOC2"/>
        <w:tabs>
          <w:tab w:val="left" w:pos="1494"/>
        </w:tabs>
        <w:rPr>
          <w:rFonts w:asciiTheme="minorHAnsi" w:eastAsiaTheme="minorEastAsia" w:hAnsiTheme="minorHAnsi" w:cstheme="minorBidi"/>
          <w:lang w:eastAsia="ja-JP"/>
        </w:rPr>
      </w:pPr>
      <w:r w:rsidRPr="00637019">
        <w:rPr>
          <w:color w:val="064EA8"/>
          <w:lang w:eastAsia="en-US"/>
        </w:rPr>
        <w:t>7.11.</w:t>
      </w:r>
      <w:r>
        <w:rPr>
          <w:rFonts w:asciiTheme="minorHAnsi" w:eastAsiaTheme="minorEastAsia" w:hAnsiTheme="minorHAnsi" w:cstheme="minorBidi"/>
          <w:lang w:eastAsia="ja-JP"/>
        </w:rPr>
        <w:tab/>
      </w:r>
      <w:r w:rsidRPr="00637019">
        <w:rPr>
          <w:color w:val="064EA8"/>
          <w:lang w:eastAsia="en-US"/>
        </w:rPr>
        <w:t>RISK: Accidental Overboard Release of Hazardous and Non-hazardous Waste</w:t>
      </w:r>
      <w:r>
        <w:tab/>
      </w:r>
      <w:r>
        <w:fldChar w:fldCharType="begin"/>
      </w:r>
      <w:r>
        <w:instrText xml:space="preserve"> PAGEREF _Toc375214646 \h </w:instrText>
      </w:r>
      <w:r>
        <w:fldChar w:fldCharType="separate"/>
      </w:r>
      <w:r w:rsidR="00282011">
        <w:t>374</w:t>
      </w:r>
      <w:r>
        <w:fldChar w:fldCharType="end"/>
      </w:r>
    </w:p>
    <w:p w14:paraId="6EC36351" w14:textId="2EED3FC1" w:rsidR="009D48FF" w:rsidRDefault="009D48FF">
      <w:pPr>
        <w:pStyle w:val="TOC3"/>
        <w:tabs>
          <w:tab w:val="left" w:pos="974"/>
        </w:tabs>
        <w:rPr>
          <w:rFonts w:asciiTheme="minorHAnsi" w:eastAsiaTheme="minorEastAsia" w:hAnsiTheme="minorHAnsi" w:cstheme="minorBidi"/>
          <w:lang w:eastAsia="ja-JP"/>
        </w:rPr>
      </w:pPr>
      <w:r>
        <w:t>7.11.1.</w:t>
      </w:r>
      <w:r>
        <w:rPr>
          <w:rFonts w:asciiTheme="minorHAnsi" w:eastAsiaTheme="minorEastAsia" w:hAnsiTheme="minorHAnsi" w:cstheme="minorBidi"/>
          <w:lang w:eastAsia="ja-JP"/>
        </w:rPr>
        <w:tab/>
      </w:r>
      <w:r>
        <w:t>Hazard</w:t>
      </w:r>
      <w:r>
        <w:tab/>
      </w:r>
      <w:r>
        <w:fldChar w:fldCharType="begin"/>
      </w:r>
      <w:r>
        <w:instrText xml:space="preserve"> PAGEREF _Toc375214647 \h </w:instrText>
      </w:r>
      <w:r>
        <w:fldChar w:fldCharType="separate"/>
      </w:r>
      <w:r w:rsidR="00282011">
        <w:t>374</w:t>
      </w:r>
      <w:r>
        <w:fldChar w:fldCharType="end"/>
      </w:r>
    </w:p>
    <w:p w14:paraId="58C61CBA" w14:textId="5EB39279" w:rsidR="009D48FF" w:rsidRDefault="009D48FF">
      <w:pPr>
        <w:pStyle w:val="TOC3"/>
        <w:tabs>
          <w:tab w:val="left" w:pos="974"/>
        </w:tabs>
        <w:rPr>
          <w:rFonts w:asciiTheme="minorHAnsi" w:eastAsiaTheme="minorEastAsia" w:hAnsiTheme="minorHAnsi" w:cstheme="minorBidi"/>
          <w:lang w:eastAsia="ja-JP"/>
        </w:rPr>
      </w:pPr>
      <w:r>
        <w:t>7.11.2.</w:t>
      </w:r>
      <w:r>
        <w:rPr>
          <w:rFonts w:asciiTheme="minorHAnsi" w:eastAsiaTheme="minorEastAsia" w:hAnsiTheme="minorHAnsi" w:cstheme="minorBidi"/>
          <w:lang w:eastAsia="ja-JP"/>
        </w:rPr>
        <w:tab/>
      </w:r>
      <w:r>
        <w:t>Potential Environmental Risks</w:t>
      </w:r>
      <w:r>
        <w:tab/>
      </w:r>
      <w:r>
        <w:fldChar w:fldCharType="begin"/>
      </w:r>
      <w:r>
        <w:instrText xml:space="preserve"> PAGEREF _Toc375214648 \h </w:instrText>
      </w:r>
      <w:r>
        <w:fldChar w:fldCharType="separate"/>
      </w:r>
      <w:r w:rsidR="00282011">
        <w:t>374</w:t>
      </w:r>
      <w:r>
        <w:fldChar w:fldCharType="end"/>
      </w:r>
    </w:p>
    <w:p w14:paraId="4348E09D" w14:textId="2A07111D" w:rsidR="009D48FF" w:rsidRDefault="009D48FF">
      <w:pPr>
        <w:pStyle w:val="TOC3"/>
        <w:tabs>
          <w:tab w:val="left" w:pos="974"/>
        </w:tabs>
        <w:rPr>
          <w:rFonts w:asciiTheme="minorHAnsi" w:eastAsiaTheme="minorEastAsia" w:hAnsiTheme="minorHAnsi" w:cstheme="minorBidi"/>
          <w:lang w:eastAsia="ja-JP"/>
        </w:rPr>
      </w:pPr>
      <w:r>
        <w:t>7.11.3.</w:t>
      </w:r>
      <w:r>
        <w:rPr>
          <w:rFonts w:asciiTheme="minorHAnsi" w:eastAsiaTheme="minorEastAsia" w:hAnsiTheme="minorHAnsi" w:cstheme="minorBidi"/>
          <w:lang w:eastAsia="ja-JP"/>
        </w:rPr>
        <w:tab/>
      </w:r>
      <w:r>
        <w:t>Evaluation of Environmental Risks</w:t>
      </w:r>
      <w:r>
        <w:tab/>
      </w:r>
      <w:r>
        <w:fldChar w:fldCharType="begin"/>
      </w:r>
      <w:r>
        <w:instrText xml:space="preserve"> PAGEREF _Toc375214649 \h </w:instrText>
      </w:r>
      <w:r>
        <w:fldChar w:fldCharType="separate"/>
      </w:r>
      <w:r w:rsidR="00282011">
        <w:t>375</w:t>
      </w:r>
      <w:r>
        <w:fldChar w:fldCharType="end"/>
      </w:r>
    </w:p>
    <w:p w14:paraId="5DDDC717" w14:textId="6C284140" w:rsidR="009D48FF" w:rsidRDefault="009D48FF">
      <w:pPr>
        <w:pStyle w:val="TOC3"/>
        <w:tabs>
          <w:tab w:val="left" w:pos="974"/>
        </w:tabs>
        <w:rPr>
          <w:rFonts w:asciiTheme="minorHAnsi" w:eastAsiaTheme="minorEastAsia" w:hAnsiTheme="minorHAnsi" w:cstheme="minorBidi"/>
          <w:lang w:eastAsia="ja-JP"/>
        </w:rPr>
      </w:pPr>
      <w:r>
        <w:t>7.11.4.</w:t>
      </w:r>
      <w:r>
        <w:rPr>
          <w:rFonts w:asciiTheme="minorHAnsi" w:eastAsiaTheme="minorEastAsia" w:hAnsiTheme="minorHAnsi" w:cstheme="minorBidi"/>
          <w:lang w:eastAsia="ja-JP"/>
        </w:rPr>
        <w:tab/>
      </w:r>
      <w:r>
        <w:t>Control Measures &amp; Risk Assessment</w:t>
      </w:r>
      <w:r>
        <w:tab/>
      </w:r>
      <w:r>
        <w:fldChar w:fldCharType="begin"/>
      </w:r>
      <w:r>
        <w:instrText xml:space="preserve"> PAGEREF _Toc375214650 \h </w:instrText>
      </w:r>
      <w:r>
        <w:fldChar w:fldCharType="separate"/>
      </w:r>
      <w:r w:rsidR="00282011">
        <w:t>375</w:t>
      </w:r>
      <w:r>
        <w:fldChar w:fldCharType="end"/>
      </w:r>
    </w:p>
    <w:p w14:paraId="202BB851" w14:textId="5F5C2B89" w:rsidR="009D48FF" w:rsidRDefault="009D48FF">
      <w:pPr>
        <w:pStyle w:val="TOC2"/>
        <w:tabs>
          <w:tab w:val="left" w:pos="1494"/>
        </w:tabs>
        <w:rPr>
          <w:rFonts w:asciiTheme="minorHAnsi" w:eastAsiaTheme="minorEastAsia" w:hAnsiTheme="minorHAnsi" w:cstheme="minorBidi"/>
          <w:lang w:eastAsia="ja-JP"/>
        </w:rPr>
      </w:pPr>
      <w:r w:rsidRPr="00637019">
        <w:rPr>
          <w:color w:val="064EA8"/>
          <w:lang w:eastAsia="en-US"/>
        </w:rPr>
        <w:t>7.12.</w:t>
      </w:r>
      <w:r>
        <w:rPr>
          <w:rFonts w:asciiTheme="minorHAnsi" w:eastAsiaTheme="minorEastAsia" w:hAnsiTheme="minorHAnsi" w:cstheme="minorBidi"/>
          <w:lang w:eastAsia="ja-JP"/>
        </w:rPr>
        <w:tab/>
      </w:r>
      <w:r w:rsidRPr="00637019">
        <w:rPr>
          <w:color w:val="064EA8"/>
          <w:lang w:eastAsia="en-US"/>
        </w:rPr>
        <w:t>RISK: Introduction of Invasive Marine Species</w:t>
      </w:r>
      <w:r>
        <w:tab/>
      </w:r>
      <w:r>
        <w:fldChar w:fldCharType="begin"/>
      </w:r>
      <w:r>
        <w:instrText xml:space="preserve"> PAGEREF _Toc375214651 \h </w:instrText>
      </w:r>
      <w:r>
        <w:fldChar w:fldCharType="separate"/>
      </w:r>
      <w:r w:rsidR="00282011">
        <w:t>376</w:t>
      </w:r>
      <w:r>
        <w:fldChar w:fldCharType="end"/>
      </w:r>
    </w:p>
    <w:p w14:paraId="484AB1AC" w14:textId="6DFF0733" w:rsidR="009D48FF" w:rsidRDefault="009D48FF">
      <w:pPr>
        <w:pStyle w:val="TOC3"/>
        <w:tabs>
          <w:tab w:val="left" w:pos="974"/>
        </w:tabs>
        <w:rPr>
          <w:rFonts w:asciiTheme="minorHAnsi" w:eastAsiaTheme="minorEastAsia" w:hAnsiTheme="minorHAnsi" w:cstheme="minorBidi"/>
          <w:lang w:eastAsia="ja-JP"/>
        </w:rPr>
      </w:pPr>
      <w:r>
        <w:t>7.12.1.</w:t>
      </w:r>
      <w:r>
        <w:rPr>
          <w:rFonts w:asciiTheme="minorHAnsi" w:eastAsiaTheme="minorEastAsia" w:hAnsiTheme="minorHAnsi" w:cstheme="minorBidi"/>
          <w:lang w:eastAsia="ja-JP"/>
        </w:rPr>
        <w:tab/>
      </w:r>
      <w:r>
        <w:t>Hazard</w:t>
      </w:r>
      <w:r>
        <w:tab/>
      </w:r>
      <w:r>
        <w:fldChar w:fldCharType="begin"/>
      </w:r>
      <w:r>
        <w:instrText xml:space="preserve"> PAGEREF _Toc375214652 \h </w:instrText>
      </w:r>
      <w:r>
        <w:fldChar w:fldCharType="separate"/>
      </w:r>
      <w:r w:rsidR="00282011">
        <w:t>376</w:t>
      </w:r>
      <w:r>
        <w:fldChar w:fldCharType="end"/>
      </w:r>
    </w:p>
    <w:p w14:paraId="748F00CD" w14:textId="6BC426F6" w:rsidR="009D48FF" w:rsidRDefault="009D48FF">
      <w:pPr>
        <w:pStyle w:val="TOC3"/>
        <w:tabs>
          <w:tab w:val="left" w:pos="974"/>
        </w:tabs>
        <w:rPr>
          <w:rFonts w:asciiTheme="minorHAnsi" w:eastAsiaTheme="minorEastAsia" w:hAnsiTheme="minorHAnsi" w:cstheme="minorBidi"/>
          <w:lang w:eastAsia="ja-JP"/>
        </w:rPr>
      </w:pPr>
      <w:r>
        <w:t>7.12.2.</w:t>
      </w:r>
      <w:r>
        <w:rPr>
          <w:rFonts w:asciiTheme="minorHAnsi" w:eastAsiaTheme="minorEastAsia" w:hAnsiTheme="minorHAnsi" w:cstheme="minorBidi"/>
          <w:lang w:eastAsia="ja-JP"/>
        </w:rPr>
        <w:tab/>
      </w:r>
      <w:r>
        <w:t>Potential Environmental Risks</w:t>
      </w:r>
      <w:r>
        <w:tab/>
      </w:r>
      <w:r>
        <w:fldChar w:fldCharType="begin"/>
      </w:r>
      <w:r>
        <w:instrText xml:space="preserve"> PAGEREF _Toc375214653 \h </w:instrText>
      </w:r>
      <w:r>
        <w:fldChar w:fldCharType="separate"/>
      </w:r>
      <w:r w:rsidR="00282011">
        <w:t>376</w:t>
      </w:r>
      <w:r>
        <w:fldChar w:fldCharType="end"/>
      </w:r>
    </w:p>
    <w:p w14:paraId="2D1EB933" w14:textId="77777777" w:rsidR="009D48FF" w:rsidRDefault="009D48FF">
      <w:pPr>
        <w:pStyle w:val="TOC3"/>
        <w:tabs>
          <w:tab w:val="left" w:pos="974"/>
        </w:tabs>
        <w:rPr>
          <w:rFonts w:asciiTheme="minorHAnsi" w:eastAsiaTheme="minorEastAsia" w:hAnsiTheme="minorHAnsi" w:cstheme="minorBidi"/>
          <w:lang w:eastAsia="ja-JP"/>
        </w:rPr>
      </w:pPr>
      <w:r>
        <w:t>7.12.3.</w:t>
      </w:r>
      <w:r>
        <w:rPr>
          <w:rFonts w:asciiTheme="minorHAnsi" w:eastAsiaTheme="minorEastAsia" w:hAnsiTheme="minorHAnsi" w:cstheme="minorBidi"/>
          <w:lang w:eastAsia="ja-JP"/>
        </w:rPr>
        <w:tab/>
      </w:r>
      <w:r>
        <w:t>Evaluation of Environmental Risks</w:t>
      </w:r>
      <w:r>
        <w:tab/>
      </w:r>
      <w:r>
        <w:fldChar w:fldCharType="begin"/>
      </w:r>
      <w:r>
        <w:instrText xml:space="preserve"> PAGEREF _Toc375214654 \h </w:instrText>
      </w:r>
      <w:r>
        <w:fldChar w:fldCharType="separate"/>
      </w:r>
      <w:r w:rsidR="00282011">
        <w:t>376</w:t>
      </w:r>
      <w:r>
        <w:fldChar w:fldCharType="end"/>
      </w:r>
    </w:p>
    <w:p w14:paraId="0EB3B5C4" w14:textId="5F1799BC" w:rsidR="009D48FF" w:rsidRDefault="009D48FF">
      <w:pPr>
        <w:pStyle w:val="TOC3"/>
        <w:tabs>
          <w:tab w:val="left" w:pos="974"/>
        </w:tabs>
        <w:rPr>
          <w:rFonts w:asciiTheme="minorHAnsi" w:eastAsiaTheme="minorEastAsia" w:hAnsiTheme="minorHAnsi" w:cstheme="minorBidi"/>
          <w:lang w:eastAsia="ja-JP"/>
        </w:rPr>
      </w:pPr>
      <w:r>
        <w:t>7.12.4.</w:t>
      </w:r>
      <w:r>
        <w:rPr>
          <w:rFonts w:asciiTheme="minorHAnsi" w:eastAsiaTheme="minorEastAsia" w:hAnsiTheme="minorHAnsi" w:cstheme="minorBidi"/>
          <w:lang w:eastAsia="ja-JP"/>
        </w:rPr>
        <w:tab/>
      </w:r>
      <w:r>
        <w:t>Control Measures &amp; Risk Assessment</w:t>
      </w:r>
      <w:r>
        <w:tab/>
      </w:r>
      <w:r>
        <w:fldChar w:fldCharType="begin"/>
      </w:r>
      <w:r>
        <w:instrText xml:space="preserve"> PAGEREF _Toc375214655 \h </w:instrText>
      </w:r>
      <w:r>
        <w:fldChar w:fldCharType="separate"/>
      </w:r>
      <w:r w:rsidR="00282011">
        <w:t>377</w:t>
      </w:r>
      <w:r>
        <w:fldChar w:fldCharType="end"/>
      </w:r>
    </w:p>
    <w:p w14:paraId="1F50EAAF" w14:textId="2771B091" w:rsidR="009D48FF" w:rsidRDefault="009D48FF">
      <w:pPr>
        <w:pStyle w:val="TOC2"/>
        <w:tabs>
          <w:tab w:val="left" w:pos="1494"/>
        </w:tabs>
        <w:rPr>
          <w:rFonts w:asciiTheme="minorHAnsi" w:eastAsiaTheme="minorEastAsia" w:hAnsiTheme="minorHAnsi" w:cstheme="minorBidi"/>
          <w:lang w:eastAsia="ja-JP"/>
        </w:rPr>
      </w:pPr>
      <w:r w:rsidRPr="00637019">
        <w:rPr>
          <w:color w:val="064EA8"/>
          <w:lang w:eastAsia="en-US"/>
        </w:rPr>
        <w:t>7.13.</w:t>
      </w:r>
      <w:r>
        <w:rPr>
          <w:rFonts w:asciiTheme="minorHAnsi" w:eastAsiaTheme="minorEastAsia" w:hAnsiTheme="minorHAnsi" w:cstheme="minorBidi"/>
          <w:lang w:eastAsia="ja-JP"/>
        </w:rPr>
        <w:tab/>
      </w:r>
      <w:r w:rsidRPr="00637019">
        <w:rPr>
          <w:color w:val="064EA8"/>
          <w:lang w:eastAsia="en-US"/>
        </w:rPr>
        <w:t>RISK: Displacement of or Interference with Third-party Vessels</w:t>
      </w:r>
      <w:r>
        <w:tab/>
      </w:r>
      <w:r>
        <w:fldChar w:fldCharType="begin"/>
      </w:r>
      <w:r>
        <w:instrText xml:space="preserve"> PAGEREF _Toc375214656 \h </w:instrText>
      </w:r>
      <w:r>
        <w:fldChar w:fldCharType="separate"/>
      </w:r>
      <w:r w:rsidR="00282011">
        <w:t>378</w:t>
      </w:r>
      <w:r>
        <w:fldChar w:fldCharType="end"/>
      </w:r>
    </w:p>
    <w:p w14:paraId="7E48042D" w14:textId="4F8F7A66" w:rsidR="009D48FF" w:rsidRDefault="009D48FF">
      <w:pPr>
        <w:pStyle w:val="TOC3"/>
        <w:tabs>
          <w:tab w:val="left" w:pos="974"/>
        </w:tabs>
        <w:rPr>
          <w:rFonts w:asciiTheme="minorHAnsi" w:eastAsiaTheme="minorEastAsia" w:hAnsiTheme="minorHAnsi" w:cstheme="minorBidi"/>
          <w:lang w:eastAsia="ja-JP"/>
        </w:rPr>
      </w:pPr>
      <w:r>
        <w:t>7.13.1.</w:t>
      </w:r>
      <w:r>
        <w:rPr>
          <w:rFonts w:asciiTheme="minorHAnsi" w:eastAsiaTheme="minorEastAsia" w:hAnsiTheme="minorHAnsi" w:cstheme="minorBidi"/>
          <w:lang w:eastAsia="ja-JP"/>
        </w:rPr>
        <w:tab/>
      </w:r>
      <w:r>
        <w:t>Hazard</w:t>
      </w:r>
      <w:r>
        <w:tab/>
      </w:r>
      <w:r>
        <w:fldChar w:fldCharType="begin"/>
      </w:r>
      <w:r>
        <w:instrText xml:space="preserve"> PAGEREF _Toc375214657 \h </w:instrText>
      </w:r>
      <w:r>
        <w:fldChar w:fldCharType="separate"/>
      </w:r>
      <w:r w:rsidR="00282011">
        <w:t>378</w:t>
      </w:r>
      <w:r>
        <w:fldChar w:fldCharType="end"/>
      </w:r>
    </w:p>
    <w:p w14:paraId="2BD532ED" w14:textId="4E577F15" w:rsidR="009D48FF" w:rsidRDefault="009D48FF">
      <w:pPr>
        <w:pStyle w:val="TOC3"/>
        <w:tabs>
          <w:tab w:val="left" w:pos="974"/>
        </w:tabs>
        <w:rPr>
          <w:rFonts w:asciiTheme="minorHAnsi" w:eastAsiaTheme="minorEastAsia" w:hAnsiTheme="minorHAnsi" w:cstheme="minorBidi"/>
          <w:lang w:eastAsia="ja-JP"/>
        </w:rPr>
      </w:pPr>
      <w:r>
        <w:t>7.13.2.</w:t>
      </w:r>
      <w:r>
        <w:rPr>
          <w:rFonts w:asciiTheme="minorHAnsi" w:eastAsiaTheme="minorEastAsia" w:hAnsiTheme="minorHAnsi" w:cstheme="minorBidi"/>
          <w:lang w:eastAsia="ja-JP"/>
        </w:rPr>
        <w:tab/>
      </w:r>
      <w:r>
        <w:t>Known and Potential Environmental Impacts</w:t>
      </w:r>
      <w:r>
        <w:tab/>
      </w:r>
      <w:r>
        <w:fldChar w:fldCharType="begin"/>
      </w:r>
      <w:r>
        <w:instrText xml:space="preserve"> PAGEREF _Toc375214658 \h </w:instrText>
      </w:r>
      <w:r>
        <w:fldChar w:fldCharType="separate"/>
      </w:r>
      <w:r w:rsidR="00282011">
        <w:t>378</w:t>
      </w:r>
      <w:r>
        <w:fldChar w:fldCharType="end"/>
      </w:r>
    </w:p>
    <w:p w14:paraId="2D0F7C40" w14:textId="77777777" w:rsidR="009D48FF" w:rsidRDefault="009D48FF">
      <w:pPr>
        <w:pStyle w:val="TOC3"/>
        <w:tabs>
          <w:tab w:val="left" w:pos="974"/>
        </w:tabs>
        <w:rPr>
          <w:rFonts w:asciiTheme="minorHAnsi" w:eastAsiaTheme="minorEastAsia" w:hAnsiTheme="minorHAnsi" w:cstheme="minorBidi"/>
          <w:lang w:eastAsia="ja-JP"/>
        </w:rPr>
      </w:pPr>
      <w:r>
        <w:t>7.13.3.</w:t>
      </w:r>
      <w:r>
        <w:rPr>
          <w:rFonts w:asciiTheme="minorHAnsi" w:eastAsiaTheme="minorEastAsia" w:hAnsiTheme="minorHAnsi" w:cstheme="minorBidi"/>
          <w:lang w:eastAsia="ja-JP"/>
        </w:rPr>
        <w:tab/>
      </w:r>
      <w:r>
        <w:t>Evaluation of Environmental Risks</w:t>
      </w:r>
      <w:r>
        <w:tab/>
      </w:r>
      <w:r>
        <w:fldChar w:fldCharType="begin"/>
      </w:r>
      <w:r>
        <w:instrText xml:space="preserve"> PAGEREF _Toc375214659 \h </w:instrText>
      </w:r>
      <w:r>
        <w:fldChar w:fldCharType="separate"/>
      </w:r>
      <w:r w:rsidR="00282011">
        <w:t>378</w:t>
      </w:r>
      <w:r>
        <w:fldChar w:fldCharType="end"/>
      </w:r>
    </w:p>
    <w:p w14:paraId="461E6809" w14:textId="0DB33547" w:rsidR="009D48FF" w:rsidRDefault="009D48FF">
      <w:pPr>
        <w:pStyle w:val="TOC3"/>
        <w:tabs>
          <w:tab w:val="left" w:pos="974"/>
        </w:tabs>
        <w:rPr>
          <w:rFonts w:asciiTheme="minorHAnsi" w:eastAsiaTheme="minorEastAsia" w:hAnsiTheme="minorHAnsi" w:cstheme="minorBidi"/>
          <w:lang w:eastAsia="ja-JP"/>
        </w:rPr>
      </w:pPr>
      <w:r>
        <w:t>7.13.4.</w:t>
      </w:r>
      <w:r>
        <w:rPr>
          <w:rFonts w:asciiTheme="minorHAnsi" w:eastAsiaTheme="minorEastAsia" w:hAnsiTheme="minorHAnsi" w:cstheme="minorBidi"/>
          <w:lang w:eastAsia="ja-JP"/>
        </w:rPr>
        <w:tab/>
      </w:r>
      <w:r>
        <w:t>Control Measures &amp; Risk Assessment</w:t>
      </w:r>
      <w:r>
        <w:tab/>
      </w:r>
      <w:r>
        <w:fldChar w:fldCharType="begin"/>
      </w:r>
      <w:r>
        <w:instrText xml:space="preserve"> PAGEREF _Toc375214660 \h </w:instrText>
      </w:r>
      <w:r>
        <w:fldChar w:fldCharType="separate"/>
      </w:r>
      <w:r w:rsidR="00282011">
        <w:t>379</w:t>
      </w:r>
      <w:r>
        <w:fldChar w:fldCharType="end"/>
      </w:r>
    </w:p>
    <w:p w14:paraId="1789F15F" w14:textId="77777777" w:rsidR="009D48FF" w:rsidRDefault="009D48FF">
      <w:pPr>
        <w:pStyle w:val="TOC2"/>
        <w:tabs>
          <w:tab w:val="left" w:pos="1494"/>
        </w:tabs>
        <w:rPr>
          <w:rFonts w:asciiTheme="minorHAnsi" w:eastAsiaTheme="minorEastAsia" w:hAnsiTheme="minorHAnsi" w:cstheme="minorBidi"/>
          <w:lang w:eastAsia="ja-JP"/>
        </w:rPr>
      </w:pPr>
      <w:r w:rsidRPr="00637019">
        <w:rPr>
          <w:color w:val="064EA8"/>
          <w:lang w:eastAsia="en-US"/>
        </w:rPr>
        <w:t>7.14.</w:t>
      </w:r>
      <w:r>
        <w:rPr>
          <w:rFonts w:asciiTheme="minorHAnsi" w:eastAsiaTheme="minorEastAsia" w:hAnsiTheme="minorHAnsi" w:cstheme="minorBidi"/>
          <w:lang w:eastAsia="ja-JP"/>
        </w:rPr>
        <w:tab/>
      </w:r>
      <w:r w:rsidRPr="00637019">
        <w:rPr>
          <w:color w:val="064EA8"/>
          <w:lang w:eastAsia="en-US"/>
        </w:rPr>
        <w:t>RISK: Damage to Marine Infrastructure</w:t>
      </w:r>
      <w:r>
        <w:tab/>
      </w:r>
      <w:r>
        <w:fldChar w:fldCharType="begin"/>
      </w:r>
      <w:r>
        <w:instrText xml:space="preserve"> PAGEREF _Toc375214661 \h </w:instrText>
      </w:r>
      <w:r>
        <w:fldChar w:fldCharType="separate"/>
      </w:r>
      <w:r w:rsidR="00282011">
        <w:t>380</w:t>
      </w:r>
      <w:r>
        <w:fldChar w:fldCharType="end"/>
      </w:r>
    </w:p>
    <w:p w14:paraId="21FD83A9" w14:textId="77777777" w:rsidR="009D48FF" w:rsidRDefault="009D48FF">
      <w:pPr>
        <w:pStyle w:val="TOC3"/>
        <w:tabs>
          <w:tab w:val="left" w:pos="974"/>
        </w:tabs>
        <w:rPr>
          <w:rFonts w:asciiTheme="minorHAnsi" w:eastAsiaTheme="minorEastAsia" w:hAnsiTheme="minorHAnsi" w:cstheme="minorBidi"/>
          <w:lang w:eastAsia="ja-JP"/>
        </w:rPr>
      </w:pPr>
      <w:r>
        <w:t>7.14.1.</w:t>
      </w:r>
      <w:r>
        <w:rPr>
          <w:rFonts w:asciiTheme="minorHAnsi" w:eastAsiaTheme="minorEastAsia" w:hAnsiTheme="minorHAnsi" w:cstheme="minorBidi"/>
          <w:lang w:eastAsia="ja-JP"/>
        </w:rPr>
        <w:tab/>
      </w:r>
      <w:r>
        <w:t>Hazard</w:t>
      </w:r>
      <w:r>
        <w:tab/>
      </w:r>
      <w:r>
        <w:fldChar w:fldCharType="begin"/>
      </w:r>
      <w:r>
        <w:instrText xml:space="preserve"> PAGEREF _Toc375214662 \h </w:instrText>
      </w:r>
      <w:r>
        <w:fldChar w:fldCharType="separate"/>
      </w:r>
      <w:r w:rsidR="00282011">
        <w:t>380</w:t>
      </w:r>
      <w:r>
        <w:fldChar w:fldCharType="end"/>
      </w:r>
    </w:p>
    <w:p w14:paraId="15B09C13" w14:textId="2F0FA6CE" w:rsidR="009D48FF" w:rsidRDefault="009D48FF">
      <w:pPr>
        <w:pStyle w:val="TOC3"/>
        <w:tabs>
          <w:tab w:val="left" w:pos="974"/>
        </w:tabs>
        <w:rPr>
          <w:rFonts w:asciiTheme="minorHAnsi" w:eastAsiaTheme="minorEastAsia" w:hAnsiTheme="minorHAnsi" w:cstheme="minorBidi"/>
          <w:lang w:eastAsia="ja-JP"/>
        </w:rPr>
      </w:pPr>
      <w:r>
        <w:t>7.14.2.</w:t>
      </w:r>
      <w:r>
        <w:rPr>
          <w:rFonts w:asciiTheme="minorHAnsi" w:eastAsiaTheme="minorEastAsia" w:hAnsiTheme="minorHAnsi" w:cstheme="minorBidi"/>
          <w:lang w:eastAsia="ja-JP"/>
        </w:rPr>
        <w:tab/>
      </w:r>
      <w:r>
        <w:t>Potential Risks</w:t>
      </w:r>
      <w:r>
        <w:tab/>
      </w:r>
      <w:r>
        <w:fldChar w:fldCharType="begin"/>
      </w:r>
      <w:r>
        <w:instrText xml:space="preserve"> PAGEREF _Toc375214663 \h </w:instrText>
      </w:r>
      <w:r>
        <w:fldChar w:fldCharType="separate"/>
      </w:r>
      <w:r w:rsidR="00282011">
        <w:t>381</w:t>
      </w:r>
      <w:r>
        <w:fldChar w:fldCharType="end"/>
      </w:r>
    </w:p>
    <w:p w14:paraId="336048CA" w14:textId="067F07A7" w:rsidR="009D48FF" w:rsidRDefault="009D48FF">
      <w:pPr>
        <w:pStyle w:val="TOC3"/>
        <w:tabs>
          <w:tab w:val="left" w:pos="974"/>
        </w:tabs>
        <w:rPr>
          <w:rFonts w:asciiTheme="minorHAnsi" w:eastAsiaTheme="minorEastAsia" w:hAnsiTheme="minorHAnsi" w:cstheme="minorBidi"/>
          <w:lang w:eastAsia="ja-JP"/>
        </w:rPr>
      </w:pPr>
      <w:r>
        <w:t>7.14.3.</w:t>
      </w:r>
      <w:r>
        <w:rPr>
          <w:rFonts w:asciiTheme="minorHAnsi" w:eastAsiaTheme="minorEastAsia" w:hAnsiTheme="minorHAnsi" w:cstheme="minorBidi"/>
          <w:lang w:eastAsia="ja-JP"/>
        </w:rPr>
        <w:tab/>
      </w:r>
      <w:r>
        <w:t>Evaluation of Risks</w:t>
      </w:r>
      <w:r>
        <w:tab/>
      </w:r>
      <w:r>
        <w:fldChar w:fldCharType="begin"/>
      </w:r>
      <w:r>
        <w:instrText xml:space="preserve"> PAGEREF _Toc375214664 \h </w:instrText>
      </w:r>
      <w:r>
        <w:fldChar w:fldCharType="separate"/>
      </w:r>
      <w:r w:rsidR="00282011">
        <w:t>381</w:t>
      </w:r>
      <w:r>
        <w:fldChar w:fldCharType="end"/>
      </w:r>
    </w:p>
    <w:p w14:paraId="0FD53697" w14:textId="52554AD6" w:rsidR="009D48FF" w:rsidRDefault="009D48FF">
      <w:pPr>
        <w:pStyle w:val="TOC3"/>
        <w:tabs>
          <w:tab w:val="left" w:pos="974"/>
        </w:tabs>
        <w:rPr>
          <w:rFonts w:asciiTheme="minorHAnsi" w:eastAsiaTheme="minorEastAsia" w:hAnsiTheme="minorHAnsi" w:cstheme="minorBidi"/>
          <w:lang w:eastAsia="ja-JP"/>
        </w:rPr>
      </w:pPr>
      <w:r>
        <w:t>7.14.4.</w:t>
      </w:r>
      <w:r>
        <w:rPr>
          <w:rFonts w:asciiTheme="minorHAnsi" w:eastAsiaTheme="minorEastAsia" w:hAnsiTheme="minorHAnsi" w:cstheme="minorBidi"/>
          <w:lang w:eastAsia="ja-JP"/>
        </w:rPr>
        <w:tab/>
      </w:r>
      <w:r>
        <w:t>Control Measures &amp; Risk Assessment</w:t>
      </w:r>
      <w:r>
        <w:tab/>
      </w:r>
      <w:r>
        <w:fldChar w:fldCharType="begin"/>
      </w:r>
      <w:r>
        <w:instrText xml:space="preserve"> PAGEREF _Toc375214665 \h </w:instrText>
      </w:r>
      <w:r>
        <w:fldChar w:fldCharType="separate"/>
      </w:r>
      <w:r w:rsidR="00282011">
        <w:t>382</w:t>
      </w:r>
      <w:r>
        <w:fldChar w:fldCharType="end"/>
      </w:r>
    </w:p>
    <w:p w14:paraId="019C0418" w14:textId="2D24E449" w:rsidR="009D48FF" w:rsidRDefault="009D48FF">
      <w:pPr>
        <w:pStyle w:val="TOC2"/>
        <w:tabs>
          <w:tab w:val="left" w:pos="1494"/>
        </w:tabs>
        <w:rPr>
          <w:rFonts w:asciiTheme="minorHAnsi" w:eastAsiaTheme="minorEastAsia" w:hAnsiTheme="minorHAnsi" w:cstheme="minorBidi"/>
          <w:lang w:eastAsia="ja-JP"/>
        </w:rPr>
      </w:pPr>
      <w:r w:rsidRPr="00637019">
        <w:rPr>
          <w:color w:val="064EA8"/>
          <w:lang w:eastAsia="en-US"/>
        </w:rPr>
        <w:t>7.15.</w:t>
      </w:r>
      <w:r>
        <w:rPr>
          <w:rFonts w:asciiTheme="minorHAnsi" w:eastAsiaTheme="minorEastAsia" w:hAnsiTheme="minorHAnsi" w:cstheme="minorBidi"/>
          <w:lang w:eastAsia="ja-JP"/>
        </w:rPr>
        <w:tab/>
      </w:r>
      <w:r w:rsidRPr="00637019">
        <w:rPr>
          <w:color w:val="064EA8"/>
          <w:lang w:eastAsia="en-US"/>
        </w:rPr>
        <w:t>RISK: Vessel Strike or Entanglement with Megafauna</w:t>
      </w:r>
      <w:r>
        <w:tab/>
      </w:r>
      <w:r>
        <w:fldChar w:fldCharType="begin"/>
      </w:r>
      <w:r>
        <w:instrText xml:space="preserve"> PAGEREF _Toc375214666 \h </w:instrText>
      </w:r>
      <w:r>
        <w:fldChar w:fldCharType="separate"/>
      </w:r>
      <w:r w:rsidR="00282011">
        <w:t>383</w:t>
      </w:r>
      <w:r>
        <w:fldChar w:fldCharType="end"/>
      </w:r>
    </w:p>
    <w:p w14:paraId="5955B9E6" w14:textId="7B56979D" w:rsidR="009D48FF" w:rsidRDefault="009D48FF">
      <w:pPr>
        <w:pStyle w:val="TOC3"/>
        <w:tabs>
          <w:tab w:val="left" w:pos="974"/>
        </w:tabs>
        <w:rPr>
          <w:rFonts w:asciiTheme="minorHAnsi" w:eastAsiaTheme="minorEastAsia" w:hAnsiTheme="minorHAnsi" w:cstheme="minorBidi"/>
          <w:lang w:eastAsia="ja-JP"/>
        </w:rPr>
      </w:pPr>
      <w:r>
        <w:t>7.15.1.</w:t>
      </w:r>
      <w:r>
        <w:rPr>
          <w:rFonts w:asciiTheme="minorHAnsi" w:eastAsiaTheme="minorEastAsia" w:hAnsiTheme="minorHAnsi" w:cstheme="minorBidi"/>
          <w:lang w:eastAsia="ja-JP"/>
        </w:rPr>
        <w:tab/>
      </w:r>
      <w:r>
        <w:t>Hazard</w:t>
      </w:r>
      <w:r>
        <w:tab/>
      </w:r>
      <w:r>
        <w:fldChar w:fldCharType="begin"/>
      </w:r>
      <w:r>
        <w:instrText xml:space="preserve"> PAGEREF _Toc375214667 \h </w:instrText>
      </w:r>
      <w:r>
        <w:fldChar w:fldCharType="separate"/>
      </w:r>
      <w:r w:rsidR="00282011">
        <w:t>383</w:t>
      </w:r>
      <w:r>
        <w:fldChar w:fldCharType="end"/>
      </w:r>
    </w:p>
    <w:p w14:paraId="48C99AB3" w14:textId="44034CBC" w:rsidR="009D48FF" w:rsidRDefault="009D48FF">
      <w:pPr>
        <w:pStyle w:val="TOC3"/>
        <w:tabs>
          <w:tab w:val="left" w:pos="974"/>
        </w:tabs>
        <w:rPr>
          <w:rFonts w:asciiTheme="minorHAnsi" w:eastAsiaTheme="minorEastAsia" w:hAnsiTheme="minorHAnsi" w:cstheme="minorBidi"/>
          <w:lang w:eastAsia="ja-JP"/>
        </w:rPr>
      </w:pPr>
      <w:r>
        <w:t>7.15.2.</w:t>
      </w:r>
      <w:r>
        <w:rPr>
          <w:rFonts w:asciiTheme="minorHAnsi" w:eastAsiaTheme="minorEastAsia" w:hAnsiTheme="minorHAnsi" w:cstheme="minorBidi"/>
          <w:lang w:eastAsia="ja-JP"/>
        </w:rPr>
        <w:tab/>
      </w:r>
      <w:r>
        <w:t>Potential Environmental Risks</w:t>
      </w:r>
      <w:r>
        <w:tab/>
      </w:r>
      <w:r>
        <w:fldChar w:fldCharType="begin"/>
      </w:r>
      <w:r>
        <w:instrText xml:space="preserve"> PAGEREF _Toc375214668 \h </w:instrText>
      </w:r>
      <w:r>
        <w:fldChar w:fldCharType="separate"/>
      </w:r>
      <w:r w:rsidR="00282011">
        <w:t>383</w:t>
      </w:r>
      <w:r>
        <w:fldChar w:fldCharType="end"/>
      </w:r>
    </w:p>
    <w:p w14:paraId="7940AAC7" w14:textId="4DA394F3" w:rsidR="009D48FF" w:rsidRDefault="009D48FF">
      <w:pPr>
        <w:pStyle w:val="TOC3"/>
        <w:tabs>
          <w:tab w:val="left" w:pos="974"/>
        </w:tabs>
        <w:rPr>
          <w:rFonts w:asciiTheme="minorHAnsi" w:eastAsiaTheme="minorEastAsia" w:hAnsiTheme="minorHAnsi" w:cstheme="minorBidi"/>
          <w:lang w:eastAsia="ja-JP"/>
        </w:rPr>
      </w:pPr>
      <w:r>
        <w:t>7.15.3.</w:t>
      </w:r>
      <w:r>
        <w:rPr>
          <w:rFonts w:asciiTheme="minorHAnsi" w:eastAsiaTheme="minorEastAsia" w:hAnsiTheme="minorHAnsi" w:cstheme="minorBidi"/>
          <w:lang w:eastAsia="ja-JP"/>
        </w:rPr>
        <w:tab/>
      </w:r>
      <w:r>
        <w:t>Evaluation of Environmental Risks</w:t>
      </w:r>
      <w:r>
        <w:tab/>
      </w:r>
      <w:r>
        <w:fldChar w:fldCharType="begin"/>
      </w:r>
      <w:r>
        <w:instrText xml:space="preserve"> PAGEREF _Toc375214669 \h </w:instrText>
      </w:r>
      <w:r>
        <w:fldChar w:fldCharType="separate"/>
      </w:r>
      <w:r w:rsidR="00282011">
        <w:t>383</w:t>
      </w:r>
      <w:r>
        <w:fldChar w:fldCharType="end"/>
      </w:r>
    </w:p>
    <w:p w14:paraId="40E487C2" w14:textId="17960127" w:rsidR="009D48FF" w:rsidRDefault="009D48FF">
      <w:pPr>
        <w:pStyle w:val="TOC3"/>
        <w:tabs>
          <w:tab w:val="left" w:pos="974"/>
        </w:tabs>
        <w:rPr>
          <w:rFonts w:asciiTheme="minorHAnsi" w:eastAsiaTheme="minorEastAsia" w:hAnsiTheme="minorHAnsi" w:cstheme="minorBidi"/>
          <w:lang w:eastAsia="ja-JP"/>
        </w:rPr>
      </w:pPr>
      <w:r>
        <w:t>7.15.4.</w:t>
      </w:r>
      <w:r>
        <w:rPr>
          <w:rFonts w:asciiTheme="minorHAnsi" w:eastAsiaTheme="minorEastAsia" w:hAnsiTheme="minorHAnsi" w:cstheme="minorBidi"/>
          <w:lang w:eastAsia="ja-JP"/>
        </w:rPr>
        <w:tab/>
      </w:r>
      <w:r>
        <w:t>Control Measures &amp; Risk Assessment</w:t>
      </w:r>
      <w:r>
        <w:tab/>
      </w:r>
      <w:r>
        <w:fldChar w:fldCharType="begin"/>
      </w:r>
      <w:r>
        <w:instrText xml:space="preserve"> PAGEREF _Toc375214670 \h </w:instrText>
      </w:r>
      <w:r>
        <w:fldChar w:fldCharType="separate"/>
      </w:r>
      <w:r w:rsidR="00282011">
        <w:t>384</w:t>
      </w:r>
      <w:r>
        <w:fldChar w:fldCharType="end"/>
      </w:r>
    </w:p>
    <w:p w14:paraId="1A38F3DF" w14:textId="77777777" w:rsidR="009D48FF" w:rsidRDefault="009D48FF">
      <w:pPr>
        <w:pStyle w:val="TOC2"/>
        <w:tabs>
          <w:tab w:val="left" w:pos="1494"/>
        </w:tabs>
        <w:rPr>
          <w:rFonts w:asciiTheme="minorHAnsi" w:eastAsiaTheme="minorEastAsia" w:hAnsiTheme="minorHAnsi" w:cstheme="minorBidi"/>
          <w:lang w:eastAsia="ja-JP"/>
        </w:rPr>
      </w:pPr>
      <w:r w:rsidRPr="00637019">
        <w:rPr>
          <w:color w:val="064EA8"/>
          <w:lang w:eastAsia="en-US"/>
        </w:rPr>
        <w:t>7.16.</w:t>
      </w:r>
      <w:r>
        <w:rPr>
          <w:rFonts w:asciiTheme="minorHAnsi" w:eastAsiaTheme="minorEastAsia" w:hAnsiTheme="minorHAnsi" w:cstheme="minorBidi"/>
          <w:lang w:eastAsia="ja-JP"/>
        </w:rPr>
        <w:tab/>
      </w:r>
      <w:r w:rsidRPr="00637019">
        <w:rPr>
          <w:color w:val="064EA8"/>
          <w:lang w:eastAsia="en-US"/>
        </w:rPr>
        <w:t>RISK: Diesel Spill</w:t>
      </w:r>
      <w:r>
        <w:tab/>
      </w:r>
      <w:r>
        <w:fldChar w:fldCharType="begin"/>
      </w:r>
      <w:r>
        <w:instrText xml:space="preserve"> PAGEREF _Toc375214671 \h </w:instrText>
      </w:r>
      <w:r>
        <w:fldChar w:fldCharType="separate"/>
      </w:r>
      <w:r w:rsidR="00282011">
        <w:t>384</w:t>
      </w:r>
      <w:r>
        <w:fldChar w:fldCharType="end"/>
      </w:r>
    </w:p>
    <w:p w14:paraId="15F0760D" w14:textId="77777777" w:rsidR="009D48FF" w:rsidRDefault="009D48FF">
      <w:pPr>
        <w:pStyle w:val="TOC3"/>
        <w:tabs>
          <w:tab w:val="left" w:pos="974"/>
        </w:tabs>
        <w:rPr>
          <w:rFonts w:asciiTheme="minorHAnsi" w:eastAsiaTheme="minorEastAsia" w:hAnsiTheme="minorHAnsi" w:cstheme="minorBidi"/>
          <w:lang w:eastAsia="ja-JP"/>
        </w:rPr>
      </w:pPr>
      <w:r>
        <w:t>7.16.1.</w:t>
      </w:r>
      <w:r>
        <w:rPr>
          <w:rFonts w:asciiTheme="minorHAnsi" w:eastAsiaTheme="minorEastAsia" w:hAnsiTheme="minorHAnsi" w:cstheme="minorBidi"/>
          <w:lang w:eastAsia="ja-JP"/>
        </w:rPr>
        <w:tab/>
      </w:r>
      <w:r>
        <w:t>Hazard</w:t>
      </w:r>
      <w:r>
        <w:tab/>
      </w:r>
      <w:r>
        <w:fldChar w:fldCharType="begin"/>
      </w:r>
      <w:r>
        <w:instrText xml:space="preserve"> PAGEREF _Toc375214672 \h </w:instrText>
      </w:r>
      <w:r>
        <w:fldChar w:fldCharType="separate"/>
      </w:r>
      <w:r w:rsidR="00282011">
        <w:t>384</w:t>
      </w:r>
      <w:r>
        <w:fldChar w:fldCharType="end"/>
      </w:r>
    </w:p>
    <w:p w14:paraId="44ED8180" w14:textId="77777777" w:rsidR="009D48FF" w:rsidRDefault="009D48FF">
      <w:pPr>
        <w:pStyle w:val="TOC3"/>
        <w:tabs>
          <w:tab w:val="left" w:pos="974"/>
        </w:tabs>
        <w:rPr>
          <w:rFonts w:asciiTheme="minorHAnsi" w:eastAsiaTheme="minorEastAsia" w:hAnsiTheme="minorHAnsi" w:cstheme="minorBidi"/>
          <w:lang w:eastAsia="ja-JP"/>
        </w:rPr>
      </w:pPr>
      <w:r>
        <w:t>7.16.2.</w:t>
      </w:r>
      <w:r>
        <w:rPr>
          <w:rFonts w:asciiTheme="minorHAnsi" w:eastAsiaTheme="minorEastAsia" w:hAnsiTheme="minorHAnsi" w:cstheme="minorBidi"/>
          <w:lang w:eastAsia="ja-JP"/>
        </w:rPr>
        <w:tab/>
      </w:r>
      <w:r>
        <w:t>Potential Environmental Risks</w:t>
      </w:r>
      <w:r>
        <w:tab/>
      </w:r>
      <w:r>
        <w:fldChar w:fldCharType="begin"/>
      </w:r>
      <w:r>
        <w:instrText xml:space="preserve"> PAGEREF _Toc375214673 \h </w:instrText>
      </w:r>
      <w:r>
        <w:fldChar w:fldCharType="separate"/>
      </w:r>
      <w:r w:rsidR="00282011">
        <w:t>394</w:t>
      </w:r>
      <w:r>
        <w:fldChar w:fldCharType="end"/>
      </w:r>
    </w:p>
    <w:p w14:paraId="668DEEDA" w14:textId="77777777" w:rsidR="009D48FF" w:rsidRDefault="009D48FF">
      <w:pPr>
        <w:pStyle w:val="TOC3"/>
        <w:tabs>
          <w:tab w:val="left" w:pos="974"/>
        </w:tabs>
        <w:rPr>
          <w:rFonts w:asciiTheme="minorHAnsi" w:eastAsiaTheme="minorEastAsia" w:hAnsiTheme="minorHAnsi" w:cstheme="minorBidi"/>
          <w:lang w:eastAsia="ja-JP"/>
        </w:rPr>
      </w:pPr>
      <w:r>
        <w:t>7.16.3.</w:t>
      </w:r>
      <w:r>
        <w:rPr>
          <w:rFonts w:asciiTheme="minorHAnsi" w:eastAsiaTheme="minorEastAsia" w:hAnsiTheme="minorHAnsi" w:cstheme="minorBidi"/>
          <w:lang w:eastAsia="ja-JP"/>
        </w:rPr>
        <w:tab/>
      </w:r>
      <w:r>
        <w:t>Evaluation of Environmental Risks</w:t>
      </w:r>
      <w:r>
        <w:tab/>
      </w:r>
      <w:r>
        <w:fldChar w:fldCharType="begin"/>
      </w:r>
      <w:r>
        <w:instrText xml:space="preserve"> PAGEREF _Toc375214674 \h </w:instrText>
      </w:r>
      <w:r>
        <w:fldChar w:fldCharType="separate"/>
      </w:r>
      <w:r w:rsidR="00282011">
        <w:t>394</w:t>
      </w:r>
      <w:r>
        <w:fldChar w:fldCharType="end"/>
      </w:r>
    </w:p>
    <w:p w14:paraId="6E111BDA" w14:textId="77777777" w:rsidR="009D48FF" w:rsidRDefault="009D48FF">
      <w:pPr>
        <w:pStyle w:val="TOC3"/>
        <w:tabs>
          <w:tab w:val="left" w:pos="974"/>
        </w:tabs>
        <w:rPr>
          <w:rFonts w:asciiTheme="minorHAnsi" w:eastAsiaTheme="minorEastAsia" w:hAnsiTheme="minorHAnsi" w:cstheme="minorBidi"/>
          <w:lang w:eastAsia="ja-JP"/>
        </w:rPr>
      </w:pPr>
      <w:r>
        <w:t>7.16.4.</w:t>
      </w:r>
      <w:r>
        <w:rPr>
          <w:rFonts w:asciiTheme="minorHAnsi" w:eastAsiaTheme="minorEastAsia" w:hAnsiTheme="minorHAnsi" w:cstheme="minorBidi"/>
          <w:lang w:eastAsia="ja-JP"/>
        </w:rPr>
        <w:tab/>
      </w:r>
      <w:r>
        <w:t>Risk Assessment</w:t>
      </w:r>
      <w:r>
        <w:tab/>
      </w:r>
      <w:r>
        <w:fldChar w:fldCharType="begin"/>
      </w:r>
      <w:r>
        <w:instrText xml:space="preserve"> PAGEREF _Toc375214675 \h </w:instrText>
      </w:r>
      <w:r>
        <w:fldChar w:fldCharType="separate"/>
      </w:r>
      <w:r w:rsidR="00282011">
        <w:t>402</w:t>
      </w:r>
      <w:r>
        <w:fldChar w:fldCharType="end"/>
      </w:r>
    </w:p>
    <w:p w14:paraId="7D481D96" w14:textId="23005E94" w:rsidR="006D1F78" w:rsidRDefault="006D1F78" w:rsidP="006D1F78">
      <w:pPr>
        <w:pStyle w:val="TOC2"/>
        <w:tabs>
          <w:tab w:val="left" w:pos="1494"/>
        </w:tabs>
        <w:rPr>
          <w:rFonts w:asciiTheme="minorHAnsi" w:eastAsiaTheme="minorEastAsia" w:hAnsiTheme="minorHAnsi" w:cstheme="minorBidi"/>
          <w:lang w:eastAsia="ja-JP"/>
        </w:rPr>
      </w:pPr>
      <w:r w:rsidRPr="00637019">
        <w:rPr>
          <w:color w:val="064EA8"/>
          <w:lang w:eastAsia="en-US"/>
        </w:rPr>
        <w:lastRenderedPageBreak/>
        <w:t>7.1</w:t>
      </w:r>
      <w:r>
        <w:rPr>
          <w:color w:val="064EA8"/>
          <w:lang w:eastAsia="en-US"/>
        </w:rPr>
        <w:t>7</w:t>
      </w:r>
      <w:r w:rsidRPr="00637019">
        <w:rPr>
          <w:color w:val="064EA8"/>
          <w:lang w:eastAsia="en-US"/>
        </w:rPr>
        <w:t>.</w:t>
      </w:r>
      <w:r>
        <w:rPr>
          <w:rFonts w:asciiTheme="minorHAnsi" w:eastAsiaTheme="minorEastAsia" w:hAnsiTheme="minorHAnsi" w:cstheme="minorBidi"/>
          <w:lang w:eastAsia="ja-JP"/>
        </w:rPr>
        <w:tab/>
      </w:r>
      <w:r w:rsidRPr="00637019">
        <w:rPr>
          <w:color w:val="064EA8"/>
          <w:lang w:eastAsia="en-US"/>
        </w:rPr>
        <w:t xml:space="preserve">RISK: </w:t>
      </w:r>
      <w:r>
        <w:rPr>
          <w:color w:val="064EA8"/>
          <w:lang w:eastAsia="en-US"/>
        </w:rPr>
        <w:t>Oil Spill Response Activities</w:t>
      </w:r>
      <w:r>
        <w:tab/>
        <w:t>402</w:t>
      </w:r>
    </w:p>
    <w:p w14:paraId="27BDB718" w14:textId="1BB4345D" w:rsidR="00345AF5" w:rsidRDefault="00345AF5" w:rsidP="00345AF5">
      <w:pPr>
        <w:pStyle w:val="TOC3"/>
        <w:tabs>
          <w:tab w:val="left" w:pos="974"/>
        </w:tabs>
        <w:rPr>
          <w:rFonts w:asciiTheme="minorHAnsi" w:eastAsiaTheme="minorEastAsia" w:hAnsiTheme="minorHAnsi" w:cstheme="minorBidi"/>
          <w:lang w:eastAsia="ja-JP"/>
        </w:rPr>
      </w:pPr>
      <w:r>
        <w:t>7.17.1.</w:t>
      </w:r>
      <w:r>
        <w:rPr>
          <w:rFonts w:asciiTheme="minorHAnsi" w:eastAsiaTheme="minorEastAsia" w:hAnsiTheme="minorHAnsi" w:cstheme="minorBidi"/>
          <w:lang w:eastAsia="ja-JP"/>
        </w:rPr>
        <w:tab/>
      </w:r>
      <w:r>
        <w:t xml:space="preserve">Surveillance and Tracking </w:t>
      </w:r>
      <w:r>
        <w:tab/>
        <w:t>405</w:t>
      </w:r>
    </w:p>
    <w:p w14:paraId="3425E59E" w14:textId="53C0A0D9" w:rsidR="00345AF5" w:rsidRDefault="00345AF5" w:rsidP="00345AF5">
      <w:pPr>
        <w:pStyle w:val="TOC3"/>
        <w:tabs>
          <w:tab w:val="left" w:pos="974"/>
        </w:tabs>
        <w:rPr>
          <w:rFonts w:asciiTheme="minorHAnsi" w:eastAsiaTheme="minorEastAsia" w:hAnsiTheme="minorHAnsi" w:cstheme="minorBidi"/>
          <w:lang w:eastAsia="ja-JP"/>
        </w:rPr>
      </w:pPr>
      <w:r>
        <w:t>7.17.2.</w:t>
      </w:r>
      <w:r>
        <w:rPr>
          <w:rFonts w:asciiTheme="minorHAnsi" w:eastAsiaTheme="minorEastAsia" w:hAnsiTheme="minorHAnsi" w:cstheme="minorBidi"/>
          <w:lang w:eastAsia="ja-JP"/>
        </w:rPr>
        <w:tab/>
      </w:r>
      <w:r>
        <w:t>P</w:t>
      </w:r>
      <w:r w:rsidR="002630A3">
        <w:t>rotection and Deflection</w:t>
      </w:r>
      <w:r>
        <w:tab/>
      </w:r>
      <w:r w:rsidR="002630A3">
        <w:t>407</w:t>
      </w:r>
    </w:p>
    <w:p w14:paraId="2CE6A655" w14:textId="2EFC3C49" w:rsidR="00345AF5" w:rsidRDefault="00345AF5" w:rsidP="00345AF5">
      <w:pPr>
        <w:pStyle w:val="TOC3"/>
        <w:tabs>
          <w:tab w:val="left" w:pos="974"/>
        </w:tabs>
        <w:rPr>
          <w:rFonts w:asciiTheme="minorHAnsi" w:eastAsiaTheme="minorEastAsia" w:hAnsiTheme="minorHAnsi" w:cstheme="minorBidi"/>
          <w:lang w:eastAsia="ja-JP"/>
        </w:rPr>
      </w:pPr>
      <w:r>
        <w:t>7.17.3.</w:t>
      </w:r>
      <w:r>
        <w:rPr>
          <w:rFonts w:asciiTheme="minorHAnsi" w:eastAsiaTheme="minorEastAsia" w:hAnsiTheme="minorHAnsi" w:cstheme="minorBidi"/>
          <w:lang w:eastAsia="ja-JP"/>
        </w:rPr>
        <w:tab/>
      </w:r>
      <w:r w:rsidR="002630A3">
        <w:rPr>
          <w:rFonts w:eastAsiaTheme="minorEastAsia" w:cs="Arial"/>
          <w:lang w:eastAsia="ja-JP"/>
        </w:rPr>
        <w:t>Shoreline Assessment and Clean-Up</w:t>
      </w:r>
      <w:r>
        <w:tab/>
      </w:r>
      <w:r w:rsidR="002630A3">
        <w:t>411</w:t>
      </w:r>
    </w:p>
    <w:p w14:paraId="2787CCBE" w14:textId="6BB7D47E" w:rsidR="00345AF5" w:rsidRDefault="00345AF5" w:rsidP="00345AF5">
      <w:pPr>
        <w:pStyle w:val="TOC3"/>
        <w:tabs>
          <w:tab w:val="left" w:pos="974"/>
        </w:tabs>
        <w:rPr>
          <w:rFonts w:asciiTheme="minorHAnsi" w:eastAsiaTheme="minorEastAsia" w:hAnsiTheme="minorHAnsi" w:cstheme="minorBidi"/>
          <w:lang w:eastAsia="ja-JP"/>
        </w:rPr>
      </w:pPr>
      <w:r>
        <w:t>7.17.4.</w:t>
      </w:r>
      <w:r>
        <w:rPr>
          <w:rFonts w:asciiTheme="minorHAnsi" w:eastAsiaTheme="minorEastAsia" w:hAnsiTheme="minorHAnsi" w:cstheme="minorBidi"/>
          <w:lang w:eastAsia="ja-JP"/>
        </w:rPr>
        <w:tab/>
      </w:r>
      <w:r w:rsidR="002630A3">
        <w:rPr>
          <w:rFonts w:eastAsiaTheme="minorEastAsia" w:cs="Arial"/>
          <w:lang w:eastAsia="ja-JP"/>
        </w:rPr>
        <w:t>Oiled Wildlife Response</w:t>
      </w:r>
      <w:r>
        <w:tab/>
      </w:r>
      <w:r w:rsidR="00A61755">
        <w:t>41</w:t>
      </w:r>
      <w:r w:rsidR="002630A3">
        <w:t>5</w:t>
      </w:r>
    </w:p>
    <w:p w14:paraId="2166614D" w14:textId="70B6E498" w:rsidR="009D48FF" w:rsidRDefault="009D48FF">
      <w:pPr>
        <w:pStyle w:val="TOC1"/>
        <w:tabs>
          <w:tab w:val="left" w:pos="1160"/>
        </w:tabs>
        <w:rPr>
          <w:rFonts w:asciiTheme="minorHAnsi" w:eastAsiaTheme="minorEastAsia" w:hAnsiTheme="minorHAnsi" w:cstheme="minorBidi"/>
          <w:b w:val="0"/>
          <w:lang w:eastAsia="ja-JP"/>
        </w:rPr>
      </w:pPr>
      <w:r w:rsidRPr="00637019">
        <w:rPr>
          <w:color w:val="064EA8"/>
          <w:lang w:eastAsia="en-US"/>
        </w:rPr>
        <w:t>8.</w:t>
      </w:r>
      <w:r>
        <w:rPr>
          <w:rFonts w:asciiTheme="minorHAnsi" w:eastAsiaTheme="minorEastAsia" w:hAnsiTheme="minorHAnsi" w:cstheme="minorBidi"/>
          <w:b w:val="0"/>
          <w:lang w:eastAsia="ja-JP"/>
        </w:rPr>
        <w:tab/>
      </w:r>
      <w:r w:rsidRPr="00637019">
        <w:rPr>
          <w:color w:val="064EA8"/>
          <w:lang w:eastAsia="en-US"/>
        </w:rPr>
        <w:t>Implementation Strategy</w:t>
      </w:r>
      <w:r>
        <w:tab/>
      </w:r>
      <w:r>
        <w:fldChar w:fldCharType="begin"/>
      </w:r>
      <w:r>
        <w:instrText xml:space="preserve"> PAGEREF _Toc375214676 \h </w:instrText>
      </w:r>
      <w:r>
        <w:fldChar w:fldCharType="separate"/>
      </w:r>
      <w:r w:rsidR="00282011">
        <w:t>419</w:t>
      </w:r>
      <w:r>
        <w:fldChar w:fldCharType="end"/>
      </w:r>
    </w:p>
    <w:p w14:paraId="6FAF780C" w14:textId="336C9A99"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8.1.</w:t>
      </w:r>
      <w:r>
        <w:rPr>
          <w:rFonts w:asciiTheme="minorHAnsi" w:eastAsiaTheme="minorEastAsia" w:hAnsiTheme="minorHAnsi" w:cstheme="minorBidi"/>
          <w:lang w:eastAsia="ja-JP"/>
        </w:rPr>
        <w:tab/>
      </w:r>
      <w:r w:rsidRPr="00637019">
        <w:rPr>
          <w:color w:val="064EA8"/>
          <w:lang w:eastAsia="en-US"/>
        </w:rPr>
        <w:t>Environmental Management System</w:t>
      </w:r>
      <w:r>
        <w:tab/>
      </w:r>
      <w:r>
        <w:fldChar w:fldCharType="begin"/>
      </w:r>
      <w:r>
        <w:instrText xml:space="preserve"> PAGEREF _Toc375214677 \h </w:instrText>
      </w:r>
      <w:r>
        <w:fldChar w:fldCharType="separate"/>
      </w:r>
      <w:r w:rsidR="00282011">
        <w:t>419</w:t>
      </w:r>
      <w:r>
        <w:fldChar w:fldCharType="end"/>
      </w:r>
    </w:p>
    <w:p w14:paraId="399D6397" w14:textId="6873B154" w:rsidR="009D48FF" w:rsidRDefault="009D48FF">
      <w:pPr>
        <w:pStyle w:val="TOC3"/>
        <w:tabs>
          <w:tab w:val="left" w:pos="840"/>
        </w:tabs>
        <w:rPr>
          <w:rFonts w:asciiTheme="minorHAnsi" w:eastAsiaTheme="minorEastAsia" w:hAnsiTheme="minorHAnsi" w:cstheme="minorBidi"/>
          <w:lang w:eastAsia="ja-JP"/>
        </w:rPr>
      </w:pPr>
      <w:r>
        <w:t>8.1.1.</w:t>
      </w:r>
      <w:r>
        <w:rPr>
          <w:rFonts w:asciiTheme="minorHAnsi" w:eastAsiaTheme="minorEastAsia" w:hAnsiTheme="minorHAnsi" w:cstheme="minorBidi"/>
          <w:lang w:eastAsia="ja-JP"/>
        </w:rPr>
        <w:tab/>
      </w:r>
      <w:r>
        <w:t>DEDJTR</w:t>
      </w:r>
      <w:r>
        <w:tab/>
      </w:r>
      <w:r>
        <w:fldChar w:fldCharType="begin"/>
      </w:r>
      <w:r>
        <w:instrText xml:space="preserve"> PAGEREF _Toc375214678 \h </w:instrText>
      </w:r>
      <w:r>
        <w:fldChar w:fldCharType="separate"/>
      </w:r>
      <w:r w:rsidR="00282011">
        <w:t>419</w:t>
      </w:r>
      <w:r>
        <w:fldChar w:fldCharType="end"/>
      </w:r>
    </w:p>
    <w:p w14:paraId="66025BD0" w14:textId="3966C3E0" w:rsidR="009D48FF" w:rsidRDefault="009D48FF">
      <w:pPr>
        <w:pStyle w:val="TOC3"/>
        <w:tabs>
          <w:tab w:val="left" w:pos="840"/>
        </w:tabs>
        <w:rPr>
          <w:rFonts w:asciiTheme="minorHAnsi" w:eastAsiaTheme="minorEastAsia" w:hAnsiTheme="minorHAnsi" w:cstheme="minorBidi"/>
          <w:lang w:eastAsia="ja-JP"/>
        </w:rPr>
      </w:pPr>
      <w:r>
        <w:t>8.1.2.</w:t>
      </w:r>
      <w:r>
        <w:rPr>
          <w:rFonts w:asciiTheme="minorHAnsi" w:eastAsiaTheme="minorEastAsia" w:hAnsiTheme="minorHAnsi" w:cstheme="minorBidi"/>
          <w:lang w:eastAsia="ja-JP"/>
        </w:rPr>
        <w:tab/>
      </w:r>
      <w:r>
        <w:t>Seismic Survey Contractor</w:t>
      </w:r>
      <w:r>
        <w:tab/>
      </w:r>
      <w:r>
        <w:fldChar w:fldCharType="begin"/>
      </w:r>
      <w:r>
        <w:instrText xml:space="preserve"> PAGEREF _Toc375214679 \h </w:instrText>
      </w:r>
      <w:r>
        <w:fldChar w:fldCharType="separate"/>
      </w:r>
      <w:r w:rsidR="00282011">
        <w:t>419</w:t>
      </w:r>
      <w:r>
        <w:fldChar w:fldCharType="end"/>
      </w:r>
    </w:p>
    <w:p w14:paraId="0389311A" w14:textId="3675327B"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8.2.</w:t>
      </w:r>
      <w:r>
        <w:rPr>
          <w:rFonts w:asciiTheme="minorHAnsi" w:eastAsiaTheme="minorEastAsia" w:hAnsiTheme="minorHAnsi" w:cstheme="minorBidi"/>
          <w:lang w:eastAsia="ja-JP"/>
        </w:rPr>
        <w:tab/>
      </w:r>
      <w:r w:rsidRPr="00637019">
        <w:rPr>
          <w:color w:val="064EA8"/>
          <w:lang w:eastAsia="en-US"/>
        </w:rPr>
        <w:t>Roles and Responsibilities</w:t>
      </w:r>
      <w:r>
        <w:tab/>
      </w:r>
      <w:r>
        <w:fldChar w:fldCharType="begin"/>
      </w:r>
      <w:r>
        <w:instrText xml:space="preserve"> PAGEREF _Toc375214680 \h </w:instrText>
      </w:r>
      <w:r>
        <w:fldChar w:fldCharType="separate"/>
      </w:r>
      <w:r w:rsidR="00282011">
        <w:t>419</w:t>
      </w:r>
      <w:r>
        <w:fldChar w:fldCharType="end"/>
      </w:r>
    </w:p>
    <w:p w14:paraId="412D738F" w14:textId="491E64CF"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8.3.</w:t>
      </w:r>
      <w:r>
        <w:rPr>
          <w:rFonts w:asciiTheme="minorHAnsi" w:eastAsiaTheme="minorEastAsia" w:hAnsiTheme="minorHAnsi" w:cstheme="minorBidi"/>
          <w:lang w:eastAsia="ja-JP"/>
        </w:rPr>
        <w:tab/>
      </w:r>
      <w:r w:rsidRPr="00637019">
        <w:rPr>
          <w:color w:val="064EA8"/>
          <w:lang w:eastAsia="en-US"/>
        </w:rPr>
        <w:t>Training and Awareness</w:t>
      </w:r>
      <w:r>
        <w:tab/>
      </w:r>
      <w:r>
        <w:fldChar w:fldCharType="begin"/>
      </w:r>
      <w:r>
        <w:instrText xml:space="preserve"> PAGEREF _Toc375214681 \h </w:instrText>
      </w:r>
      <w:r>
        <w:fldChar w:fldCharType="separate"/>
      </w:r>
      <w:r w:rsidR="00282011">
        <w:t>419</w:t>
      </w:r>
      <w:r>
        <w:fldChar w:fldCharType="end"/>
      </w:r>
    </w:p>
    <w:p w14:paraId="07B708DF" w14:textId="2E0E4805" w:rsidR="009D48FF" w:rsidRDefault="009D48FF">
      <w:pPr>
        <w:pStyle w:val="TOC3"/>
        <w:tabs>
          <w:tab w:val="left" w:pos="840"/>
        </w:tabs>
        <w:rPr>
          <w:rFonts w:asciiTheme="minorHAnsi" w:eastAsiaTheme="minorEastAsia" w:hAnsiTheme="minorHAnsi" w:cstheme="minorBidi"/>
          <w:lang w:eastAsia="ja-JP"/>
        </w:rPr>
      </w:pPr>
      <w:r>
        <w:t>8.3.1.</w:t>
      </w:r>
      <w:r>
        <w:rPr>
          <w:rFonts w:asciiTheme="minorHAnsi" w:eastAsiaTheme="minorEastAsia" w:hAnsiTheme="minorHAnsi" w:cstheme="minorBidi"/>
          <w:lang w:eastAsia="ja-JP"/>
        </w:rPr>
        <w:tab/>
      </w:r>
      <w:r>
        <w:t>Environmental Induction</w:t>
      </w:r>
      <w:r>
        <w:tab/>
      </w:r>
      <w:r>
        <w:fldChar w:fldCharType="begin"/>
      </w:r>
      <w:r>
        <w:instrText xml:space="preserve"> PAGEREF _Toc375214682 \h </w:instrText>
      </w:r>
      <w:r>
        <w:fldChar w:fldCharType="separate"/>
      </w:r>
      <w:r w:rsidR="00282011">
        <w:t>419</w:t>
      </w:r>
      <w:r>
        <w:fldChar w:fldCharType="end"/>
      </w:r>
    </w:p>
    <w:p w14:paraId="13DC1746" w14:textId="74EDB417" w:rsidR="009D48FF" w:rsidRDefault="009D48FF">
      <w:pPr>
        <w:pStyle w:val="TOC3"/>
        <w:tabs>
          <w:tab w:val="left" w:pos="840"/>
        </w:tabs>
        <w:rPr>
          <w:rFonts w:asciiTheme="minorHAnsi" w:eastAsiaTheme="minorEastAsia" w:hAnsiTheme="minorHAnsi" w:cstheme="minorBidi"/>
          <w:lang w:eastAsia="ja-JP"/>
        </w:rPr>
      </w:pPr>
      <w:r>
        <w:t>8.3.2.</w:t>
      </w:r>
      <w:r>
        <w:rPr>
          <w:rFonts w:asciiTheme="minorHAnsi" w:eastAsiaTheme="minorEastAsia" w:hAnsiTheme="minorHAnsi" w:cstheme="minorBidi"/>
          <w:lang w:eastAsia="ja-JP"/>
        </w:rPr>
        <w:tab/>
      </w:r>
      <w:r>
        <w:t>Oil Spill Response Training</w:t>
      </w:r>
      <w:r>
        <w:tab/>
      </w:r>
      <w:r>
        <w:fldChar w:fldCharType="begin"/>
      </w:r>
      <w:r>
        <w:instrText xml:space="preserve"> PAGEREF _Toc375214683 \h </w:instrText>
      </w:r>
      <w:r>
        <w:fldChar w:fldCharType="separate"/>
      </w:r>
      <w:r w:rsidR="00282011">
        <w:t>420</w:t>
      </w:r>
      <w:r>
        <w:fldChar w:fldCharType="end"/>
      </w:r>
    </w:p>
    <w:p w14:paraId="7D759E1C" w14:textId="5E22D31C" w:rsidR="009D48FF" w:rsidRDefault="009D48FF">
      <w:pPr>
        <w:pStyle w:val="TOC3"/>
        <w:tabs>
          <w:tab w:val="left" w:pos="840"/>
        </w:tabs>
        <w:rPr>
          <w:rFonts w:asciiTheme="minorHAnsi" w:eastAsiaTheme="minorEastAsia" w:hAnsiTheme="minorHAnsi" w:cstheme="minorBidi"/>
          <w:lang w:eastAsia="ja-JP"/>
        </w:rPr>
      </w:pPr>
      <w:r>
        <w:t>8.3.3.</w:t>
      </w:r>
      <w:r>
        <w:rPr>
          <w:rFonts w:asciiTheme="minorHAnsi" w:eastAsiaTheme="minorEastAsia" w:hAnsiTheme="minorHAnsi" w:cstheme="minorBidi"/>
          <w:lang w:eastAsia="ja-JP"/>
        </w:rPr>
        <w:tab/>
      </w:r>
      <w:r>
        <w:t>Marine Mammal Observers</w:t>
      </w:r>
      <w:r>
        <w:tab/>
      </w:r>
      <w:r>
        <w:fldChar w:fldCharType="begin"/>
      </w:r>
      <w:r>
        <w:instrText xml:space="preserve"> PAGEREF _Toc375214684 \h </w:instrText>
      </w:r>
      <w:r>
        <w:fldChar w:fldCharType="separate"/>
      </w:r>
      <w:r w:rsidR="00282011">
        <w:t>420</w:t>
      </w:r>
      <w:r>
        <w:fldChar w:fldCharType="end"/>
      </w:r>
    </w:p>
    <w:p w14:paraId="243F9587" w14:textId="7909C3A4" w:rsidR="009D48FF" w:rsidRDefault="009D48FF">
      <w:pPr>
        <w:pStyle w:val="TOC3"/>
        <w:tabs>
          <w:tab w:val="left" w:pos="840"/>
        </w:tabs>
        <w:rPr>
          <w:rFonts w:asciiTheme="minorHAnsi" w:eastAsiaTheme="minorEastAsia" w:hAnsiTheme="minorHAnsi" w:cstheme="minorBidi"/>
          <w:lang w:eastAsia="ja-JP"/>
        </w:rPr>
      </w:pPr>
      <w:r>
        <w:t>8.3.4.</w:t>
      </w:r>
      <w:r>
        <w:rPr>
          <w:rFonts w:asciiTheme="minorHAnsi" w:eastAsiaTheme="minorEastAsia" w:hAnsiTheme="minorHAnsi" w:cstheme="minorBidi"/>
          <w:lang w:eastAsia="ja-JP"/>
        </w:rPr>
        <w:tab/>
      </w:r>
      <w:r>
        <w:t>Toolbox Talks and HSE Meetings</w:t>
      </w:r>
      <w:r>
        <w:tab/>
      </w:r>
      <w:r>
        <w:fldChar w:fldCharType="begin"/>
      </w:r>
      <w:r>
        <w:instrText xml:space="preserve"> PAGEREF _Toc375214685 \h </w:instrText>
      </w:r>
      <w:r>
        <w:fldChar w:fldCharType="separate"/>
      </w:r>
      <w:r w:rsidR="00282011">
        <w:t>420</w:t>
      </w:r>
      <w:r>
        <w:fldChar w:fldCharType="end"/>
      </w:r>
    </w:p>
    <w:p w14:paraId="36583189" w14:textId="06A36F0E" w:rsidR="009D48FF" w:rsidRDefault="009D48FF">
      <w:pPr>
        <w:pStyle w:val="TOC3"/>
        <w:tabs>
          <w:tab w:val="left" w:pos="840"/>
        </w:tabs>
        <w:rPr>
          <w:rFonts w:asciiTheme="minorHAnsi" w:eastAsiaTheme="minorEastAsia" w:hAnsiTheme="minorHAnsi" w:cstheme="minorBidi"/>
          <w:lang w:eastAsia="ja-JP"/>
        </w:rPr>
      </w:pPr>
      <w:r>
        <w:t>8.3.5.</w:t>
      </w:r>
      <w:r>
        <w:rPr>
          <w:rFonts w:asciiTheme="minorHAnsi" w:eastAsiaTheme="minorEastAsia" w:hAnsiTheme="minorHAnsi" w:cstheme="minorBidi"/>
          <w:lang w:eastAsia="ja-JP"/>
        </w:rPr>
        <w:tab/>
      </w:r>
      <w:r>
        <w:t>Communications</w:t>
      </w:r>
      <w:r>
        <w:tab/>
      </w:r>
      <w:r>
        <w:fldChar w:fldCharType="begin"/>
      </w:r>
      <w:r>
        <w:instrText xml:space="preserve"> PAGEREF _Toc375214686 \h </w:instrText>
      </w:r>
      <w:r>
        <w:fldChar w:fldCharType="separate"/>
      </w:r>
      <w:r w:rsidR="00282011">
        <w:t>420</w:t>
      </w:r>
      <w:r>
        <w:fldChar w:fldCharType="end"/>
      </w:r>
    </w:p>
    <w:p w14:paraId="70713846" w14:textId="46E824F5"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8.4.</w:t>
      </w:r>
      <w:r>
        <w:rPr>
          <w:rFonts w:asciiTheme="minorHAnsi" w:eastAsiaTheme="minorEastAsia" w:hAnsiTheme="minorHAnsi" w:cstheme="minorBidi"/>
          <w:lang w:eastAsia="ja-JP"/>
        </w:rPr>
        <w:tab/>
      </w:r>
      <w:r w:rsidRPr="00637019">
        <w:rPr>
          <w:color w:val="064EA8"/>
          <w:lang w:eastAsia="en-US"/>
        </w:rPr>
        <w:t>Environmental Emergencies and Preparedness</w:t>
      </w:r>
      <w:r>
        <w:tab/>
      </w:r>
      <w:r>
        <w:fldChar w:fldCharType="begin"/>
      </w:r>
      <w:r>
        <w:instrText xml:space="preserve"> PAGEREF _Toc375214687 \h </w:instrText>
      </w:r>
      <w:r>
        <w:fldChar w:fldCharType="separate"/>
      </w:r>
      <w:r w:rsidR="00282011">
        <w:t>420</w:t>
      </w:r>
      <w:r>
        <w:fldChar w:fldCharType="end"/>
      </w:r>
    </w:p>
    <w:p w14:paraId="4288B7A9" w14:textId="52DE9FAC" w:rsidR="009D48FF" w:rsidRDefault="009D48FF">
      <w:pPr>
        <w:pStyle w:val="TOC3"/>
        <w:tabs>
          <w:tab w:val="left" w:pos="840"/>
        </w:tabs>
        <w:rPr>
          <w:rFonts w:asciiTheme="minorHAnsi" w:eastAsiaTheme="minorEastAsia" w:hAnsiTheme="minorHAnsi" w:cstheme="minorBidi"/>
          <w:lang w:eastAsia="ja-JP"/>
        </w:rPr>
      </w:pPr>
      <w:r>
        <w:t>8.4.1.</w:t>
      </w:r>
      <w:r>
        <w:rPr>
          <w:rFonts w:asciiTheme="minorHAnsi" w:eastAsiaTheme="minorEastAsia" w:hAnsiTheme="minorHAnsi" w:cstheme="minorBidi"/>
          <w:lang w:eastAsia="ja-JP"/>
        </w:rPr>
        <w:tab/>
      </w:r>
      <w:r>
        <w:t>Adverse Weather Protocols</w:t>
      </w:r>
      <w:r>
        <w:tab/>
      </w:r>
      <w:r>
        <w:fldChar w:fldCharType="begin"/>
      </w:r>
      <w:r>
        <w:instrText xml:space="preserve"> PAGEREF _Toc375214688 \h </w:instrText>
      </w:r>
      <w:r>
        <w:fldChar w:fldCharType="separate"/>
      </w:r>
      <w:r w:rsidR="00282011">
        <w:t>421</w:t>
      </w:r>
      <w:r>
        <w:fldChar w:fldCharType="end"/>
      </w:r>
    </w:p>
    <w:p w14:paraId="11FAAD55" w14:textId="41A06D10" w:rsidR="009D48FF" w:rsidRDefault="009D48FF">
      <w:pPr>
        <w:pStyle w:val="TOC3"/>
        <w:tabs>
          <w:tab w:val="left" w:pos="840"/>
        </w:tabs>
        <w:rPr>
          <w:rFonts w:asciiTheme="minorHAnsi" w:eastAsiaTheme="minorEastAsia" w:hAnsiTheme="minorHAnsi" w:cstheme="minorBidi"/>
          <w:lang w:eastAsia="ja-JP"/>
        </w:rPr>
      </w:pPr>
      <w:r>
        <w:t>8.4.2.</w:t>
      </w:r>
      <w:r>
        <w:rPr>
          <w:rFonts w:asciiTheme="minorHAnsi" w:eastAsiaTheme="minorEastAsia" w:hAnsiTheme="minorHAnsi" w:cstheme="minorBidi"/>
          <w:lang w:eastAsia="ja-JP"/>
        </w:rPr>
        <w:tab/>
      </w:r>
      <w:r>
        <w:t>Vessel Emergencies and Oil Spills</w:t>
      </w:r>
      <w:r>
        <w:tab/>
      </w:r>
      <w:r>
        <w:fldChar w:fldCharType="begin"/>
      </w:r>
      <w:r>
        <w:instrText xml:space="preserve"> PAGEREF _Toc375214689 \h </w:instrText>
      </w:r>
      <w:r>
        <w:fldChar w:fldCharType="separate"/>
      </w:r>
      <w:r w:rsidR="00282011">
        <w:t>421</w:t>
      </w:r>
      <w:r>
        <w:fldChar w:fldCharType="end"/>
      </w:r>
    </w:p>
    <w:p w14:paraId="58D84EAC" w14:textId="4284E803"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8.5.</w:t>
      </w:r>
      <w:r>
        <w:rPr>
          <w:rFonts w:asciiTheme="minorHAnsi" w:eastAsiaTheme="minorEastAsia" w:hAnsiTheme="minorHAnsi" w:cstheme="minorBidi"/>
          <w:lang w:eastAsia="ja-JP"/>
        </w:rPr>
        <w:tab/>
      </w:r>
      <w:r w:rsidRPr="00637019">
        <w:rPr>
          <w:color w:val="064EA8"/>
          <w:lang w:eastAsia="en-US"/>
        </w:rPr>
        <w:t>Monitoring</w:t>
      </w:r>
      <w:r>
        <w:tab/>
      </w:r>
      <w:r>
        <w:fldChar w:fldCharType="begin"/>
      </w:r>
      <w:r>
        <w:instrText xml:space="preserve"> PAGEREF _Toc375214690 \h </w:instrText>
      </w:r>
      <w:r>
        <w:fldChar w:fldCharType="separate"/>
      </w:r>
      <w:r w:rsidR="00282011">
        <w:t>421</w:t>
      </w:r>
      <w:r>
        <w:fldChar w:fldCharType="end"/>
      </w:r>
    </w:p>
    <w:p w14:paraId="7D4F108B" w14:textId="7FC595D3" w:rsidR="009D48FF" w:rsidRDefault="009D48FF">
      <w:pPr>
        <w:pStyle w:val="TOC3"/>
        <w:tabs>
          <w:tab w:val="left" w:pos="840"/>
        </w:tabs>
        <w:rPr>
          <w:rFonts w:asciiTheme="minorHAnsi" w:eastAsiaTheme="minorEastAsia" w:hAnsiTheme="minorHAnsi" w:cstheme="minorBidi"/>
          <w:lang w:eastAsia="ja-JP"/>
        </w:rPr>
      </w:pPr>
      <w:r>
        <w:t>8.5.1.</w:t>
      </w:r>
      <w:r>
        <w:rPr>
          <w:rFonts w:asciiTheme="minorHAnsi" w:eastAsiaTheme="minorEastAsia" w:hAnsiTheme="minorHAnsi" w:cstheme="minorBidi"/>
          <w:lang w:eastAsia="ja-JP"/>
        </w:rPr>
        <w:tab/>
      </w:r>
      <w:r>
        <w:t>Field Environmental Monitoring</w:t>
      </w:r>
      <w:r>
        <w:tab/>
      </w:r>
      <w:r>
        <w:fldChar w:fldCharType="begin"/>
      </w:r>
      <w:r>
        <w:instrText xml:space="preserve"> PAGEREF _Toc375214691 \h </w:instrText>
      </w:r>
      <w:r>
        <w:fldChar w:fldCharType="separate"/>
      </w:r>
      <w:r w:rsidR="00282011">
        <w:t>422</w:t>
      </w:r>
      <w:r>
        <w:fldChar w:fldCharType="end"/>
      </w:r>
    </w:p>
    <w:p w14:paraId="5D3AB28F" w14:textId="5A11BE94" w:rsidR="009D48FF" w:rsidRDefault="009D48FF">
      <w:pPr>
        <w:pStyle w:val="TOC3"/>
        <w:tabs>
          <w:tab w:val="left" w:pos="840"/>
        </w:tabs>
        <w:rPr>
          <w:rFonts w:asciiTheme="minorHAnsi" w:eastAsiaTheme="minorEastAsia" w:hAnsiTheme="minorHAnsi" w:cstheme="minorBidi"/>
          <w:lang w:eastAsia="ja-JP"/>
        </w:rPr>
      </w:pPr>
      <w:r>
        <w:t>8.5.2.</w:t>
      </w:r>
      <w:r>
        <w:rPr>
          <w:rFonts w:asciiTheme="minorHAnsi" w:eastAsiaTheme="minorEastAsia" w:hAnsiTheme="minorHAnsi" w:cstheme="minorBidi"/>
          <w:lang w:eastAsia="ja-JP"/>
        </w:rPr>
        <w:tab/>
      </w:r>
      <w:r>
        <w:t>Auditing, Assurance and Inspections</w:t>
      </w:r>
      <w:r>
        <w:tab/>
      </w:r>
      <w:r>
        <w:fldChar w:fldCharType="begin"/>
      </w:r>
      <w:r>
        <w:instrText xml:space="preserve"> PAGEREF _Toc375214692 \h </w:instrText>
      </w:r>
      <w:r>
        <w:fldChar w:fldCharType="separate"/>
      </w:r>
      <w:r w:rsidR="00282011">
        <w:t>427</w:t>
      </w:r>
      <w:r>
        <w:fldChar w:fldCharType="end"/>
      </w:r>
    </w:p>
    <w:p w14:paraId="2FE100C6" w14:textId="75C9286D" w:rsidR="009D48FF" w:rsidRDefault="009D48FF">
      <w:pPr>
        <w:pStyle w:val="TOC2"/>
        <w:tabs>
          <w:tab w:val="left" w:pos="1360"/>
        </w:tabs>
        <w:rPr>
          <w:rFonts w:asciiTheme="minorHAnsi" w:eastAsiaTheme="minorEastAsia" w:hAnsiTheme="minorHAnsi" w:cstheme="minorBidi"/>
          <w:lang w:eastAsia="ja-JP"/>
        </w:rPr>
      </w:pPr>
      <w:r w:rsidRPr="00637019">
        <w:rPr>
          <w:color w:val="064EA8"/>
          <w:lang w:eastAsia="en-US"/>
        </w:rPr>
        <w:t>8.6.</w:t>
      </w:r>
      <w:r>
        <w:rPr>
          <w:rFonts w:asciiTheme="minorHAnsi" w:eastAsiaTheme="minorEastAsia" w:hAnsiTheme="minorHAnsi" w:cstheme="minorBidi"/>
          <w:lang w:eastAsia="ja-JP"/>
        </w:rPr>
        <w:tab/>
      </w:r>
      <w:r w:rsidRPr="00637019">
        <w:rPr>
          <w:color w:val="064EA8"/>
          <w:lang w:eastAsia="en-US"/>
        </w:rPr>
        <w:t>Oil Spill Preparedness and Response</w:t>
      </w:r>
      <w:r>
        <w:tab/>
      </w:r>
      <w:r>
        <w:fldChar w:fldCharType="begin"/>
      </w:r>
      <w:r>
        <w:instrText xml:space="preserve"> PAGEREF _Toc375214693 \h </w:instrText>
      </w:r>
      <w:r>
        <w:fldChar w:fldCharType="separate"/>
      </w:r>
      <w:r w:rsidR="00282011">
        <w:t>428</w:t>
      </w:r>
      <w:r>
        <w:fldChar w:fldCharType="end"/>
      </w:r>
    </w:p>
    <w:p w14:paraId="65E78A30" w14:textId="4120D6AF" w:rsidR="009D48FF" w:rsidRDefault="009D48FF">
      <w:pPr>
        <w:pStyle w:val="TOC3"/>
        <w:tabs>
          <w:tab w:val="left" w:pos="840"/>
        </w:tabs>
        <w:rPr>
          <w:rFonts w:asciiTheme="minorHAnsi" w:eastAsiaTheme="minorEastAsia" w:hAnsiTheme="minorHAnsi" w:cstheme="minorBidi"/>
          <w:lang w:eastAsia="ja-JP"/>
        </w:rPr>
      </w:pPr>
      <w:r>
        <w:t>8.6.1.</w:t>
      </w:r>
      <w:r>
        <w:rPr>
          <w:rFonts w:asciiTheme="minorHAnsi" w:eastAsiaTheme="minorEastAsia" w:hAnsiTheme="minorHAnsi" w:cstheme="minorBidi"/>
          <w:lang w:eastAsia="ja-JP"/>
        </w:rPr>
        <w:tab/>
      </w:r>
      <w:r>
        <w:t>OPEP</w:t>
      </w:r>
      <w:r>
        <w:tab/>
      </w:r>
      <w:r>
        <w:fldChar w:fldCharType="begin"/>
      </w:r>
      <w:r>
        <w:instrText xml:space="preserve"> PAGEREF _Toc375214694 \h </w:instrText>
      </w:r>
      <w:r>
        <w:fldChar w:fldCharType="separate"/>
      </w:r>
      <w:r w:rsidR="00282011">
        <w:t>428</w:t>
      </w:r>
      <w:r>
        <w:fldChar w:fldCharType="end"/>
      </w:r>
    </w:p>
    <w:p w14:paraId="7EAD409B" w14:textId="23D8BF6F" w:rsidR="009D48FF" w:rsidRDefault="009D48FF">
      <w:pPr>
        <w:pStyle w:val="TOC3"/>
        <w:tabs>
          <w:tab w:val="left" w:pos="840"/>
        </w:tabs>
        <w:rPr>
          <w:rFonts w:asciiTheme="minorHAnsi" w:eastAsiaTheme="minorEastAsia" w:hAnsiTheme="minorHAnsi" w:cstheme="minorBidi"/>
          <w:lang w:eastAsia="ja-JP"/>
        </w:rPr>
      </w:pPr>
      <w:r>
        <w:t>8.6.2.</w:t>
      </w:r>
      <w:r>
        <w:rPr>
          <w:rFonts w:asciiTheme="minorHAnsi" w:eastAsiaTheme="minorEastAsia" w:hAnsiTheme="minorHAnsi" w:cstheme="minorBidi"/>
          <w:lang w:eastAsia="ja-JP"/>
        </w:rPr>
        <w:tab/>
      </w:r>
      <w:r>
        <w:t>SMPEP</w:t>
      </w:r>
      <w:r>
        <w:tab/>
      </w:r>
      <w:r>
        <w:fldChar w:fldCharType="begin"/>
      </w:r>
      <w:r>
        <w:instrText xml:space="preserve"> PAGEREF _Toc375214695 \h </w:instrText>
      </w:r>
      <w:r>
        <w:fldChar w:fldCharType="separate"/>
      </w:r>
      <w:r w:rsidR="00282011">
        <w:t>429</w:t>
      </w:r>
      <w:r>
        <w:fldChar w:fldCharType="end"/>
      </w:r>
    </w:p>
    <w:p w14:paraId="57946D19" w14:textId="4D34C038" w:rsidR="009D48FF" w:rsidRDefault="009D48FF">
      <w:pPr>
        <w:pStyle w:val="TOC3"/>
        <w:tabs>
          <w:tab w:val="left" w:pos="840"/>
        </w:tabs>
        <w:rPr>
          <w:rFonts w:asciiTheme="minorHAnsi" w:eastAsiaTheme="minorEastAsia" w:hAnsiTheme="minorHAnsi" w:cstheme="minorBidi"/>
          <w:lang w:eastAsia="ja-JP"/>
        </w:rPr>
      </w:pPr>
      <w:r>
        <w:t>8.6.3.</w:t>
      </w:r>
      <w:r>
        <w:rPr>
          <w:rFonts w:asciiTheme="minorHAnsi" w:eastAsiaTheme="minorEastAsia" w:hAnsiTheme="minorHAnsi" w:cstheme="minorBidi"/>
          <w:lang w:eastAsia="ja-JP"/>
        </w:rPr>
        <w:tab/>
      </w:r>
      <w:r>
        <w:t>OSMP</w:t>
      </w:r>
      <w:r>
        <w:tab/>
      </w:r>
      <w:r>
        <w:fldChar w:fldCharType="begin"/>
      </w:r>
      <w:r>
        <w:instrText xml:space="preserve"> PAGEREF _Toc375214696 \h </w:instrText>
      </w:r>
      <w:r>
        <w:fldChar w:fldCharType="separate"/>
      </w:r>
      <w:r w:rsidR="00282011">
        <w:t>429</w:t>
      </w:r>
      <w:r>
        <w:fldChar w:fldCharType="end"/>
      </w:r>
    </w:p>
    <w:p w14:paraId="742A3C68" w14:textId="7BBEF557" w:rsidR="009D48FF" w:rsidRDefault="009D48FF">
      <w:pPr>
        <w:pStyle w:val="TOC1"/>
        <w:tabs>
          <w:tab w:val="left" w:pos="1160"/>
        </w:tabs>
        <w:rPr>
          <w:rFonts w:asciiTheme="minorHAnsi" w:eastAsiaTheme="minorEastAsia" w:hAnsiTheme="minorHAnsi" w:cstheme="minorBidi"/>
          <w:b w:val="0"/>
          <w:lang w:eastAsia="ja-JP"/>
        </w:rPr>
      </w:pPr>
      <w:r w:rsidRPr="00637019">
        <w:rPr>
          <w:color w:val="064EA8"/>
          <w:lang w:eastAsia="en-US"/>
        </w:rPr>
        <w:t>9.</w:t>
      </w:r>
      <w:r>
        <w:rPr>
          <w:rFonts w:asciiTheme="minorHAnsi" w:eastAsiaTheme="minorEastAsia" w:hAnsiTheme="minorHAnsi" w:cstheme="minorBidi"/>
          <w:b w:val="0"/>
          <w:lang w:eastAsia="ja-JP"/>
        </w:rPr>
        <w:tab/>
      </w:r>
      <w:r w:rsidRPr="00637019">
        <w:rPr>
          <w:color w:val="064EA8"/>
          <w:lang w:eastAsia="en-US"/>
        </w:rPr>
        <w:t>References</w:t>
      </w:r>
      <w:r>
        <w:tab/>
      </w:r>
      <w:r>
        <w:fldChar w:fldCharType="begin"/>
      </w:r>
      <w:r>
        <w:instrText xml:space="preserve"> PAGEREF _Toc375214697 \h </w:instrText>
      </w:r>
      <w:r>
        <w:fldChar w:fldCharType="separate"/>
      </w:r>
      <w:r w:rsidR="00282011">
        <w:t>430</w:t>
      </w:r>
      <w:r>
        <w:fldChar w:fldCharType="end"/>
      </w:r>
    </w:p>
    <w:p w14:paraId="0C557FFB" w14:textId="77777777" w:rsidR="00410D2F" w:rsidRDefault="00410D2F" w:rsidP="005F1BD9">
      <w:pPr>
        <w:ind w:hanging="1620"/>
      </w:pPr>
      <w:r>
        <w:fldChar w:fldCharType="end"/>
      </w:r>
    </w:p>
    <w:p w14:paraId="471B7814" w14:textId="77777777" w:rsidR="00410D2F" w:rsidRDefault="00410D2F" w:rsidP="00410D2F"/>
    <w:p w14:paraId="097663F4" w14:textId="2F9D9D8D" w:rsidR="00A21D34" w:rsidRPr="00891DE1" w:rsidRDefault="00A21D34" w:rsidP="00266804">
      <w:pPr>
        <w:pStyle w:val="ListParagraph0"/>
        <w:ind w:left="851"/>
        <w:rPr>
          <w:lang w:val="fr-FR"/>
        </w:rPr>
      </w:pPr>
    </w:p>
    <w:p w14:paraId="7117891D" w14:textId="4F2053C3" w:rsidR="00D8052B" w:rsidRPr="00891DE1" w:rsidRDefault="00D8052B" w:rsidP="00410D2F">
      <w:pPr>
        <w:rPr>
          <w:lang w:val="fr-FR"/>
        </w:rPr>
      </w:pPr>
    </w:p>
    <w:p w14:paraId="404BAE66" w14:textId="77777777" w:rsidR="006A59B6" w:rsidRPr="00891DE1" w:rsidRDefault="006A59B6">
      <w:pPr>
        <w:spacing w:line="240" w:lineRule="auto"/>
        <w:ind w:left="0"/>
        <w:rPr>
          <w:b/>
          <w:color w:val="808080" w:themeColor="background1" w:themeShade="80"/>
          <w:sz w:val="36"/>
          <w:szCs w:val="36"/>
          <w:lang w:val="fr-FR"/>
        </w:rPr>
      </w:pPr>
      <w:r w:rsidRPr="00891DE1">
        <w:rPr>
          <w:b/>
          <w:color w:val="808080" w:themeColor="background1" w:themeShade="80"/>
          <w:sz w:val="36"/>
          <w:szCs w:val="36"/>
          <w:lang w:val="fr-FR"/>
        </w:rPr>
        <w:br w:type="page"/>
      </w:r>
    </w:p>
    <w:p w14:paraId="775E588E" w14:textId="79C1B0AD" w:rsidR="006A59B6" w:rsidRPr="001018B3" w:rsidRDefault="006A59B6" w:rsidP="006A59B6">
      <w:pPr>
        <w:ind w:left="851" w:hanging="851"/>
        <w:rPr>
          <w:b/>
          <w:color w:val="808080" w:themeColor="background1" w:themeShade="80"/>
          <w:sz w:val="36"/>
          <w:szCs w:val="36"/>
        </w:rPr>
      </w:pPr>
      <w:r>
        <w:rPr>
          <w:b/>
          <w:color w:val="808080" w:themeColor="background1" w:themeShade="80"/>
          <w:sz w:val="36"/>
          <w:szCs w:val="36"/>
        </w:rPr>
        <w:lastRenderedPageBreak/>
        <w:t>Acronyms</w:t>
      </w:r>
      <w:r w:rsidR="0009686B">
        <w:rPr>
          <w:b/>
          <w:color w:val="808080" w:themeColor="background1" w:themeShade="80"/>
          <w:sz w:val="36"/>
          <w:szCs w:val="36"/>
        </w:rPr>
        <w:t xml:space="preserve"> </w:t>
      </w:r>
    </w:p>
    <w:p w14:paraId="60715889" w14:textId="77777777" w:rsidR="006A59B6" w:rsidRDefault="006A59B6" w:rsidP="00410D2F"/>
    <w:tbl>
      <w:tblPr>
        <w:tblStyle w:val="TableGrid"/>
        <w:tblW w:w="8472" w:type="dxa"/>
        <w:tblLook w:val="04A0" w:firstRow="1" w:lastRow="0" w:firstColumn="1" w:lastColumn="0" w:noHBand="0" w:noVBand="1"/>
      </w:tblPr>
      <w:tblGrid>
        <w:gridCol w:w="2081"/>
        <w:gridCol w:w="6391"/>
      </w:tblGrid>
      <w:tr w:rsidR="006A59B6" w:rsidRPr="00A81562" w14:paraId="7AD2E096" w14:textId="77777777" w:rsidTr="006A59B6">
        <w:tc>
          <w:tcPr>
            <w:tcW w:w="2081" w:type="dxa"/>
            <w:shd w:val="clear" w:color="auto" w:fill="064EA8"/>
          </w:tcPr>
          <w:p w14:paraId="13070B0E" w14:textId="77777777" w:rsidR="006A59B6" w:rsidRPr="00B81D7A" w:rsidRDefault="006A59B6" w:rsidP="006A59B6">
            <w:pPr>
              <w:spacing w:before="40" w:after="40"/>
              <w:ind w:hanging="720"/>
              <w:rPr>
                <w:rFonts w:cs="Arial"/>
                <w:color w:val="FFFFFF" w:themeColor="background1"/>
                <w:sz w:val="20"/>
                <w:szCs w:val="20"/>
              </w:rPr>
            </w:pPr>
            <w:r w:rsidRPr="00B81D7A">
              <w:rPr>
                <w:rFonts w:cs="Arial"/>
                <w:color w:val="FFFFFF" w:themeColor="background1"/>
                <w:sz w:val="20"/>
                <w:szCs w:val="20"/>
              </w:rPr>
              <w:t>Acronym</w:t>
            </w:r>
          </w:p>
        </w:tc>
        <w:tc>
          <w:tcPr>
            <w:tcW w:w="6391" w:type="dxa"/>
            <w:shd w:val="clear" w:color="auto" w:fill="064EA8"/>
          </w:tcPr>
          <w:p w14:paraId="103FCE1D" w14:textId="77777777" w:rsidR="006A59B6" w:rsidRPr="00B81D7A" w:rsidRDefault="006A59B6" w:rsidP="006A59B6">
            <w:pPr>
              <w:spacing w:before="40" w:after="40"/>
              <w:ind w:hanging="674"/>
              <w:rPr>
                <w:rFonts w:cs="Arial"/>
                <w:color w:val="FFFFFF" w:themeColor="background1"/>
                <w:sz w:val="20"/>
                <w:szCs w:val="20"/>
              </w:rPr>
            </w:pPr>
            <w:r w:rsidRPr="00B81D7A">
              <w:rPr>
                <w:rFonts w:cs="Arial"/>
                <w:color w:val="FFFFFF" w:themeColor="background1"/>
                <w:sz w:val="20"/>
                <w:szCs w:val="20"/>
              </w:rPr>
              <w:t>Definition</w:t>
            </w:r>
          </w:p>
        </w:tc>
      </w:tr>
      <w:tr w:rsidR="0009686B" w:rsidRPr="00A81562" w14:paraId="2AAFE9AE" w14:textId="77777777" w:rsidTr="006A59B6">
        <w:tc>
          <w:tcPr>
            <w:tcW w:w="2081" w:type="dxa"/>
          </w:tcPr>
          <w:p w14:paraId="06FEC139" w14:textId="7D2D5B1A" w:rsidR="0009686B" w:rsidRDefault="0009686B" w:rsidP="006A59B6">
            <w:pPr>
              <w:spacing w:before="40" w:after="40"/>
              <w:ind w:left="0"/>
              <w:rPr>
                <w:rFonts w:cs="Arial"/>
                <w:sz w:val="20"/>
                <w:szCs w:val="20"/>
              </w:rPr>
            </w:pPr>
            <w:r>
              <w:rPr>
                <w:rFonts w:cs="Arial"/>
                <w:sz w:val="20"/>
                <w:szCs w:val="20"/>
              </w:rPr>
              <w:t>2D</w:t>
            </w:r>
          </w:p>
        </w:tc>
        <w:tc>
          <w:tcPr>
            <w:tcW w:w="6391" w:type="dxa"/>
          </w:tcPr>
          <w:p w14:paraId="76475C61" w14:textId="19EA6EE2" w:rsidR="0009686B" w:rsidRDefault="0009686B" w:rsidP="006A59B6">
            <w:pPr>
              <w:spacing w:before="40" w:after="40"/>
              <w:ind w:left="46"/>
              <w:rPr>
                <w:rFonts w:cs="Arial"/>
                <w:sz w:val="20"/>
                <w:szCs w:val="20"/>
              </w:rPr>
            </w:pPr>
            <w:r>
              <w:rPr>
                <w:rFonts w:cs="Arial"/>
                <w:sz w:val="20"/>
                <w:szCs w:val="20"/>
              </w:rPr>
              <w:t>Two-dimensional</w:t>
            </w:r>
          </w:p>
        </w:tc>
      </w:tr>
      <w:tr w:rsidR="0009686B" w:rsidRPr="00A81562" w14:paraId="123FF2C2" w14:textId="77777777" w:rsidTr="006A59B6">
        <w:tc>
          <w:tcPr>
            <w:tcW w:w="2081" w:type="dxa"/>
          </w:tcPr>
          <w:p w14:paraId="39A4762D" w14:textId="676BF5CD" w:rsidR="0009686B" w:rsidRDefault="0009686B" w:rsidP="006A59B6">
            <w:pPr>
              <w:spacing w:before="40" w:after="40"/>
              <w:ind w:left="0"/>
              <w:rPr>
                <w:rFonts w:cs="Arial"/>
                <w:sz w:val="20"/>
                <w:szCs w:val="20"/>
              </w:rPr>
            </w:pPr>
            <w:r>
              <w:rPr>
                <w:rFonts w:cs="Arial"/>
                <w:sz w:val="20"/>
                <w:szCs w:val="20"/>
              </w:rPr>
              <w:t>3D</w:t>
            </w:r>
          </w:p>
        </w:tc>
        <w:tc>
          <w:tcPr>
            <w:tcW w:w="6391" w:type="dxa"/>
          </w:tcPr>
          <w:p w14:paraId="75567E80" w14:textId="25C70405" w:rsidR="0009686B" w:rsidRDefault="0009686B" w:rsidP="006A59B6">
            <w:pPr>
              <w:spacing w:before="40" w:after="40"/>
              <w:ind w:left="46"/>
              <w:rPr>
                <w:rFonts w:cs="Arial"/>
                <w:sz w:val="20"/>
                <w:szCs w:val="20"/>
              </w:rPr>
            </w:pPr>
            <w:r>
              <w:rPr>
                <w:rFonts w:cs="Arial"/>
                <w:sz w:val="20"/>
                <w:szCs w:val="20"/>
              </w:rPr>
              <w:t>Three-dimensional</w:t>
            </w:r>
          </w:p>
        </w:tc>
      </w:tr>
      <w:tr w:rsidR="0009686B" w:rsidRPr="00A81562" w14:paraId="617BE7BC" w14:textId="77777777" w:rsidTr="006A59B6">
        <w:tc>
          <w:tcPr>
            <w:tcW w:w="2081" w:type="dxa"/>
          </w:tcPr>
          <w:p w14:paraId="3A50B280" w14:textId="02D287F2" w:rsidR="0009686B" w:rsidRPr="00A81562" w:rsidRDefault="0009686B" w:rsidP="006A59B6">
            <w:pPr>
              <w:spacing w:before="40" w:after="40"/>
              <w:ind w:left="0"/>
              <w:rPr>
                <w:rFonts w:cs="Arial"/>
                <w:sz w:val="20"/>
                <w:szCs w:val="20"/>
              </w:rPr>
            </w:pPr>
            <w:r>
              <w:rPr>
                <w:rFonts w:cs="Arial"/>
                <w:sz w:val="20"/>
                <w:szCs w:val="20"/>
              </w:rPr>
              <w:t>AASM</w:t>
            </w:r>
          </w:p>
        </w:tc>
        <w:tc>
          <w:tcPr>
            <w:tcW w:w="6391" w:type="dxa"/>
          </w:tcPr>
          <w:p w14:paraId="44DCB0EA" w14:textId="1ED9E441" w:rsidR="0009686B" w:rsidRPr="00A81562" w:rsidRDefault="0009686B" w:rsidP="006A59B6">
            <w:pPr>
              <w:spacing w:before="40" w:after="40"/>
              <w:ind w:left="46"/>
              <w:rPr>
                <w:rFonts w:cs="Arial"/>
                <w:sz w:val="20"/>
                <w:szCs w:val="20"/>
              </w:rPr>
            </w:pPr>
            <w:r>
              <w:rPr>
                <w:rFonts w:cs="Arial"/>
                <w:sz w:val="20"/>
                <w:szCs w:val="20"/>
              </w:rPr>
              <w:t>Airgun Array Source Model</w:t>
            </w:r>
          </w:p>
        </w:tc>
      </w:tr>
      <w:tr w:rsidR="0009686B" w:rsidRPr="00A81562" w14:paraId="44B2ECB7" w14:textId="77777777" w:rsidTr="006A59B6">
        <w:tc>
          <w:tcPr>
            <w:tcW w:w="2081" w:type="dxa"/>
          </w:tcPr>
          <w:p w14:paraId="6975F242" w14:textId="7C1CF5BA" w:rsidR="0009686B" w:rsidRPr="00A81562" w:rsidRDefault="0009686B" w:rsidP="006A59B6">
            <w:pPr>
              <w:spacing w:before="40" w:after="40"/>
              <w:ind w:left="0"/>
              <w:rPr>
                <w:rFonts w:cs="Arial"/>
                <w:sz w:val="20"/>
                <w:szCs w:val="20"/>
              </w:rPr>
            </w:pPr>
            <w:r w:rsidRPr="00A81562">
              <w:rPr>
                <w:rFonts w:cs="Arial"/>
                <w:sz w:val="20"/>
                <w:szCs w:val="20"/>
              </w:rPr>
              <w:t>ABS</w:t>
            </w:r>
          </w:p>
        </w:tc>
        <w:tc>
          <w:tcPr>
            <w:tcW w:w="6391" w:type="dxa"/>
          </w:tcPr>
          <w:p w14:paraId="6CDBBB72" w14:textId="28AF5E32" w:rsidR="0009686B" w:rsidRPr="00A81562" w:rsidRDefault="0009686B" w:rsidP="006A59B6">
            <w:pPr>
              <w:spacing w:before="40" w:after="40"/>
              <w:ind w:left="46"/>
              <w:rPr>
                <w:rFonts w:cs="Arial"/>
                <w:sz w:val="20"/>
                <w:szCs w:val="20"/>
              </w:rPr>
            </w:pPr>
            <w:r w:rsidRPr="00A81562">
              <w:rPr>
                <w:rFonts w:cs="Arial"/>
                <w:sz w:val="20"/>
                <w:szCs w:val="20"/>
              </w:rPr>
              <w:t>Australian Bureau of Statistics</w:t>
            </w:r>
          </w:p>
        </w:tc>
      </w:tr>
      <w:tr w:rsidR="0009686B" w:rsidRPr="00A81562" w14:paraId="2369D201" w14:textId="77777777" w:rsidTr="006A59B6">
        <w:tc>
          <w:tcPr>
            <w:tcW w:w="2081" w:type="dxa"/>
          </w:tcPr>
          <w:p w14:paraId="1F2FFC54" w14:textId="004D586C" w:rsidR="0009686B" w:rsidRPr="00A81562" w:rsidRDefault="0009686B" w:rsidP="006A59B6">
            <w:pPr>
              <w:spacing w:before="40" w:after="40"/>
              <w:ind w:left="0"/>
              <w:rPr>
                <w:rFonts w:cs="Arial"/>
                <w:sz w:val="20"/>
                <w:szCs w:val="20"/>
              </w:rPr>
            </w:pPr>
            <w:r w:rsidRPr="00A81562">
              <w:rPr>
                <w:rFonts w:cs="Arial"/>
                <w:sz w:val="20"/>
                <w:szCs w:val="20"/>
              </w:rPr>
              <w:t>ACCOBAMS</w:t>
            </w:r>
          </w:p>
        </w:tc>
        <w:tc>
          <w:tcPr>
            <w:tcW w:w="6391" w:type="dxa"/>
          </w:tcPr>
          <w:p w14:paraId="0EEFDFCF" w14:textId="3C549042" w:rsidR="0009686B" w:rsidRPr="00A81562" w:rsidRDefault="0009686B" w:rsidP="006A59B6">
            <w:pPr>
              <w:spacing w:before="40" w:after="40"/>
              <w:ind w:left="46"/>
              <w:rPr>
                <w:rFonts w:cs="Arial"/>
                <w:sz w:val="20"/>
                <w:szCs w:val="20"/>
              </w:rPr>
            </w:pPr>
            <w:r w:rsidRPr="00A81562">
              <w:rPr>
                <w:rFonts w:cs="Arial"/>
                <w:sz w:val="20"/>
                <w:szCs w:val="20"/>
              </w:rPr>
              <w:t>Agreement on the Conservation of Cetaceans of the Black Sea, Mediterranean Sea and Contiguous Atlantic Area</w:t>
            </w:r>
          </w:p>
        </w:tc>
      </w:tr>
      <w:tr w:rsidR="0009686B" w:rsidRPr="00A81562" w14:paraId="44496A67" w14:textId="77777777" w:rsidTr="006A59B6">
        <w:tc>
          <w:tcPr>
            <w:tcW w:w="2081" w:type="dxa"/>
          </w:tcPr>
          <w:p w14:paraId="2DAA46FB" w14:textId="0DAAEE30" w:rsidR="0009686B" w:rsidRPr="00A81562" w:rsidRDefault="0009686B" w:rsidP="006A59B6">
            <w:pPr>
              <w:spacing w:before="40" w:after="40"/>
              <w:ind w:left="0"/>
              <w:rPr>
                <w:rFonts w:cs="Arial"/>
                <w:sz w:val="20"/>
                <w:szCs w:val="20"/>
              </w:rPr>
            </w:pPr>
            <w:r w:rsidRPr="00A81562">
              <w:rPr>
                <w:rFonts w:cs="Arial"/>
                <w:color w:val="000000"/>
                <w:sz w:val="20"/>
                <w:szCs w:val="20"/>
                <w:lang w:eastAsia="en-US"/>
              </w:rPr>
              <w:t>AFMA</w:t>
            </w:r>
          </w:p>
        </w:tc>
        <w:tc>
          <w:tcPr>
            <w:tcW w:w="6391" w:type="dxa"/>
          </w:tcPr>
          <w:p w14:paraId="7871E41F" w14:textId="679C2D1B" w:rsidR="0009686B" w:rsidRPr="00A81562" w:rsidRDefault="0009686B" w:rsidP="006A59B6">
            <w:pPr>
              <w:spacing w:before="40" w:after="40"/>
              <w:ind w:left="46"/>
              <w:rPr>
                <w:rFonts w:cs="Arial"/>
                <w:sz w:val="20"/>
                <w:szCs w:val="20"/>
              </w:rPr>
            </w:pPr>
            <w:r w:rsidRPr="00A81562">
              <w:rPr>
                <w:rFonts w:cs="Arial"/>
                <w:color w:val="000000"/>
                <w:sz w:val="20"/>
                <w:szCs w:val="20"/>
                <w:lang w:eastAsia="en-US"/>
              </w:rPr>
              <w:t>Australian Fisheries Management Authority</w:t>
            </w:r>
          </w:p>
        </w:tc>
      </w:tr>
      <w:tr w:rsidR="0009686B" w:rsidRPr="00A81562" w14:paraId="09386DF4" w14:textId="77777777" w:rsidTr="006A59B6">
        <w:tc>
          <w:tcPr>
            <w:tcW w:w="2081" w:type="dxa"/>
          </w:tcPr>
          <w:p w14:paraId="4F83D60C" w14:textId="2CCBB038" w:rsidR="0009686B" w:rsidRPr="00A81562" w:rsidRDefault="0009686B" w:rsidP="006A59B6">
            <w:pPr>
              <w:spacing w:before="40" w:after="40"/>
              <w:ind w:left="0"/>
              <w:rPr>
                <w:rFonts w:cs="Arial"/>
                <w:sz w:val="20"/>
                <w:szCs w:val="20"/>
              </w:rPr>
            </w:pPr>
            <w:r w:rsidRPr="00A81562">
              <w:rPr>
                <w:rFonts w:cs="Arial"/>
                <w:color w:val="000000"/>
                <w:sz w:val="20"/>
                <w:szCs w:val="20"/>
                <w:lang w:eastAsia="en-US"/>
              </w:rPr>
              <w:t>AHO</w:t>
            </w:r>
          </w:p>
        </w:tc>
        <w:tc>
          <w:tcPr>
            <w:tcW w:w="6391" w:type="dxa"/>
          </w:tcPr>
          <w:p w14:paraId="0FB76207" w14:textId="7341B0BF" w:rsidR="0009686B" w:rsidRPr="00A81562" w:rsidRDefault="0009686B" w:rsidP="006A59B6">
            <w:pPr>
              <w:spacing w:before="40" w:after="40"/>
              <w:ind w:left="46"/>
              <w:rPr>
                <w:rFonts w:cs="Arial"/>
                <w:sz w:val="20"/>
                <w:szCs w:val="20"/>
              </w:rPr>
            </w:pPr>
            <w:r w:rsidRPr="00A81562">
              <w:rPr>
                <w:rFonts w:cs="Arial"/>
                <w:color w:val="000000"/>
                <w:sz w:val="20"/>
                <w:szCs w:val="20"/>
                <w:lang w:eastAsia="en-US"/>
              </w:rPr>
              <w:t>Australian Hydrographic Office</w:t>
            </w:r>
            <w:r w:rsidRPr="00A81562">
              <w:rPr>
                <w:rFonts w:cs="Arial"/>
                <w:color w:val="000000"/>
                <w:sz w:val="20"/>
                <w:szCs w:val="20"/>
                <w:lang w:eastAsia="en-US"/>
              </w:rPr>
              <w:tab/>
            </w:r>
          </w:p>
        </w:tc>
      </w:tr>
      <w:tr w:rsidR="0009686B" w:rsidRPr="00A81562" w14:paraId="7FA08BD1" w14:textId="77777777" w:rsidTr="006A59B6">
        <w:tc>
          <w:tcPr>
            <w:tcW w:w="2081" w:type="dxa"/>
          </w:tcPr>
          <w:p w14:paraId="71CD97EE" w14:textId="78649978" w:rsidR="0009686B" w:rsidRPr="00A81562" w:rsidRDefault="0009686B" w:rsidP="006A59B6">
            <w:pPr>
              <w:spacing w:before="40" w:after="40"/>
              <w:ind w:left="0"/>
              <w:rPr>
                <w:rFonts w:cs="Arial"/>
                <w:sz w:val="20"/>
                <w:szCs w:val="20"/>
              </w:rPr>
            </w:pPr>
            <w:r w:rsidRPr="00A81562">
              <w:rPr>
                <w:rFonts w:cs="Arial"/>
                <w:sz w:val="20"/>
                <w:szCs w:val="20"/>
              </w:rPr>
              <w:t>AIS</w:t>
            </w:r>
          </w:p>
        </w:tc>
        <w:tc>
          <w:tcPr>
            <w:tcW w:w="6391" w:type="dxa"/>
          </w:tcPr>
          <w:p w14:paraId="774A7CBE" w14:textId="7E2D3B7B" w:rsidR="0009686B" w:rsidRPr="00A81562" w:rsidRDefault="0009686B" w:rsidP="006A59B6">
            <w:pPr>
              <w:spacing w:before="40" w:after="40"/>
              <w:ind w:left="46"/>
              <w:rPr>
                <w:rFonts w:cs="Arial"/>
                <w:sz w:val="20"/>
                <w:szCs w:val="20"/>
              </w:rPr>
            </w:pPr>
            <w:r w:rsidRPr="00A81562">
              <w:rPr>
                <w:rFonts w:cs="Arial"/>
                <w:sz w:val="20"/>
                <w:szCs w:val="20"/>
              </w:rPr>
              <w:t>Automatic Identification System</w:t>
            </w:r>
          </w:p>
        </w:tc>
      </w:tr>
      <w:tr w:rsidR="0009686B" w:rsidRPr="00A81562" w14:paraId="53B80156" w14:textId="77777777" w:rsidTr="006A59B6">
        <w:tc>
          <w:tcPr>
            <w:tcW w:w="2081" w:type="dxa"/>
          </w:tcPr>
          <w:p w14:paraId="4D20C870" w14:textId="1ACF417D" w:rsidR="0009686B" w:rsidRPr="00A81562" w:rsidRDefault="0009686B" w:rsidP="006A59B6">
            <w:pPr>
              <w:spacing w:before="40" w:after="40"/>
              <w:ind w:left="0"/>
              <w:rPr>
                <w:rFonts w:cs="Arial"/>
                <w:sz w:val="20"/>
                <w:szCs w:val="20"/>
              </w:rPr>
            </w:pPr>
            <w:r w:rsidRPr="00A81562">
              <w:rPr>
                <w:rFonts w:cs="Arial"/>
                <w:sz w:val="20"/>
                <w:szCs w:val="20"/>
              </w:rPr>
              <w:t>ALARP</w:t>
            </w:r>
          </w:p>
        </w:tc>
        <w:tc>
          <w:tcPr>
            <w:tcW w:w="6391" w:type="dxa"/>
          </w:tcPr>
          <w:p w14:paraId="7DB63FBC" w14:textId="2FAA695F" w:rsidR="0009686B" w:rsidRPr="00A81562" w:rsidRDefault="0009686B" w:rsidP="006A59B6">
            <w:pPr>
              <w:spacing w:before="40" w:after="40"/>
              <w:ind w:left="46"/>
              <w:rPr>
                <w:rFonts w:cs="Arial"/>
                <w:sz w:val="20"/>
                <w:szCs w:val="20"/>
              </w:rPr>
            </w:pPr>
            <w:r w:rsidRPr="00A81562">
              <w:rPr>
                <w:rFonts w:cs="Arial"/>
                <w:sz w:val="20"/>
                <w:szCs w:val="20"/>
              </w:rPr>
              <w:t>As Low As Reasonably Practicable</w:t>
            </w:r>
          </w:p>
        </w:tc>
      </w:tr>
      <w:tr w:rsidR="0009686B" w:rsidRPr="00A81562" w14:paraId="7897268E" w14:textId="77777777" w:rsidTr="006A59B6">
        <w:tc>
          <w:tcPr>
            <w:tcW w:w="2081" w:type="dxa"/>
          </w:tcPr>
          <w:p w14:paraId="55182BC3" w14:textId="0800517D" w:rsidR="0009686B" w:rsidRPr="00A81562" w:rsidRDefault="0009686B" w:rsidP="006A59B6">
            <w:pPr>
              <w:spacing w:before="40" w:after="40"/>
              <w:ind w:left="0"/>
              <w:rPr>
                <w:rFonts w:cs="Arial"/>
                <w:sz w:val="20"/>
                <w:szCs w:val="20"/>
              </w:rPr>
            </w:pPr>
            <w:r w:rsidRPr="00A81562">
              <w:rPr>
                <w:rFonts w:cs="Arial"/>
                <w:sz w:val="20"/>
                <w:szCs w:val="20"/>
              </w:rPr>
              <w:t>AMOSC</w:t>
            </w:r>
          </w:p>
        </w:tc>
        <w:tc>
          <w:tcPr>
            <w:tcW w:w="6391" w:type="dxa"/>
          </w:tcPr>
          <w:p w14:paraId="1B53CAC8" w14:textId="149572A5" w:rsidR="0009686B" w:rsidRPr="00A81562" w:rsidRDefault="0009686B" w:rsidP="006A59B6">
            <w:pPr>
              <w:spacing w:before="40" w:after="40"/>
              <w:ind w:left="46"/>
              <w:rPr>
                <w:rFonts w:cs="Arial"/>
                <w:sz w:val="20"/>
                <w:szCs w:val="20"/>
              </w:rPr>
            </w:pPr>
            <w:r w:rsidRPr="00A81562">
              <w:rPr>
                <w:rFonts w:cs="Arial"/>
                <w:sz w:val="20"/>
                <w:szCs w:val="20"/>
              </w:rPr>
              <w:t>Australian Marine Oil Spill Centre</w:t>
            </w:r>
          </w:p>
        </w:tc>
      </w:tr>
      <w:tr w:rsidR="0009686B" w:rsidRPr="00A81562" w14:paraId="255F345E" w14:textId="77777777" w:rsidTr="006A59B6">
        <w:tc>
          <w:tcPr>
            <w:tcW w:w="2081" w:type="dxa"/>
          </w:tcPr>
          <w:p w14:paraId="59AF15DD" w14:textId="15FEAC08" w:rsidR="0009686B" w:rsidRPr="00A81562" w:rsidRDefault="0009686B" w:rsidP="006A59B6">
            <w:pPr>
              <w:spacing w:before="40" w:after="40"/>
              <w:ind w:left="0"/>
              <w:rPr>
                <w:rFonts w:cs="Arial"/>
                <w:sz w:val="20"/>
                <w:szCs w:val="20"/>
              </w:rPr>
            </w:pPr>
            <w:r>
              <w:rPr>
                <w:rFonts w:cs="Arial"/>
                <w:sz w:val="20"/>
                <w:szCs w:val="20"/>
              </w:rPr>
              <w:t>AMSA</w:t>
            </w:r>
          </w:p>
        </w:tc>
        <w:tc>
          <w:tcPr>
            <w:tcW w:w="6391" w:type="dxa"/>
          </w:tcPr>
          <w:p w14:paraId="2CE697ED" w14:textId="202599C8" w:rsidR="0009686B" w:rsidRPr="00A81562" w:rsidRDefault="0009686B" w:rsidP="006A59B6">
            <w:pPr>
              <w:spacing w:before="40" w:after="40"/>
              <w:ind w:left="46"/>
              <w:rPr>
                <w:rFonts w:cs="Arial"/>
                <w:sz w:val="20"/>
                <w:szCs w:val="20"/>
              </w:rPr>
            </w:pPr>
            <w:r>
              <w:rPr>
                <w:rFonts w:cs="Arial"/>
                <w:sz w:val="20"/>
                <w:szCs w:val="20"/>
              </w:rPr>
              <w:t>Australian Maritime Safety Authority</w:t>
            </w:r>
          </w:p>
        </w:tc>
      </w:tr>
      <w:tr w:rsidR="0009686B" w:rsidRPr="00A81562" w14:paraId="5A25BBEB" w14:textId="77777777" w:rsidTr="006A59B6">
        <w:tc>
          <w:tcPr>
            <w:tcW w:w="2081" w:type="dxa"/>
          </w:tcPr>
          <w:p w14:paraId="5068C8BF" w14:textId="7688DC07" w:rsidR="0009686B" w:rsidRPr="00A81562" w:rsidRDefault="0009686B" w:rsidP="006A59B6">
            <w:pPr>
              <w:spacing w:before="40" w:after="40"/>
              <w:ind w:left="0"/>
              <w:rPr>
                <w:rFonts w:cs="Arial"/>
                <w:sz w:val="20"/>
                <w:szCs w:val="20"/>
              </w:rPr>
            </w:pPr>
            <w:r w:rsidRPr="00A81562">
              <w:rPr>
                <w:rFonts w:cs="Arial"/>
                <w:sz w:val="20"/>
                <w:szCs w:val="20"/>
              </w:rPr>
              <w:t>APPEA</w:t>
            </w:r>
          </w:p>
        </w:tc>
        <w:tc>
          <w:tcPr>
            <w:tcW w:w="6391" w:type="dxa"/>
          </w:tcPr>
          <w:p w14:paraId="5EEA35FB" w14:textId="441AB2A6" w:rsidR="0009686B" w:rsidRPr="00A81562" w:rsidRDefault="0009686B" w:rsidP="006A59B6">
            <w:pPr>
              <w:spacing w:before="40" w:after="40"/>
              <w:ind w:left="46"/>
              <w:rPr>
                <w:rFonts w:cs="Arial"/>
                <w:sz w:val="20"/>
                <w:szCs w:val="20"/>
              </w:rPr>
            </w:pPr>
            <w:r w:rsidRPr="00A81562">
              <w:rPr>
                <w:rFonts w:cs="Arial"/>
                <w:sz w:val="20"/>
                <w:szCs w:val="20"/>
              </w:rPr>
              <w:t>Australian Petroleum Production and Exploration Association</w:t>
            </w:r>
          </w:p>
        </w:tc>
      </w:tr>
      <w:tr w:rsidR="0009686B" w:rsidRPr="00A81562" w14:paraId="3120CE56" w14:textId="77777777" w:rsidTr="006A59B6">
        <w:tc>
          <w:tcPr>
            <w:tcW w:w="2081" w:type="dxa"/>
          </w:tcPr>
          <w:p w14:paraId="74A70920" w14:textId="0EE2242F" w:rsidR="0009686B" w:rsidRPr="00A81562" w:rsidRDefault="0009686B" w:rsidP="006A59B6">
            <w:pPr>
              <w:spacing w:before="40" w:after="40"/>
              <w:ind w:left="0"/>
              <w:rPr>
                <w:rFonts w:cs="Arial"/>
                <w:sz w:val="20"/>
                <w:szCs w:val="20"/>
              </w:rPr>
            </w:pPr>
            <w:r>
              <w:rPr>
                <w:rFonts w:cs="Arial"/>
                <w:sz w:val="20"/>
                <w:szCs w:val="20"/>
              </w:rPr>
              <w:t>AS/NZS</w:t>
            </w:r>
          </w:p>
        </w:tc>
        <w:tc>
          <w:tcPr>
            <w:tcW w:w="6391" w:type="dxa"/>
          </w:tcPr>
          <w:p w14:paraId="4715F9E6" w14:textId="610E6C99" w:rsidR="0009686B" w:rsidRPr="00A81562" w:rsidRDefault="0009686B" w:rsidP="006A59B6">
            <w:pPr>
              <w:spacing w:before="40" w:after="40"/>
              <w:ind w:left="46"/>
              <w:rPr>
                <w:rFonts w:cs="Arial"/>
                <w:sz w:val="20"/>
                <w:szCs w:val="20"/>
              </w:rPr>
            </w:pPr>
            <w:r>
              <w:rPr>
                <w:rFonts w:cs="Arial"/>
                <w:sz w:val="20"/>
                <w:szCs w:val="20"/>
              </w:rPr>
              <w:t>Australian Standard/New Zealand Standard</w:t>
            </w:r>
          </w:p>
        </w:tc>
      </w:tr>
      <w:tr w:rsidR="0009686B" w:rsidRPr="00A81562" w14:paraId="05A83912" w14:textId="77777777" w:rsidTr="006A59B6">
        <w:tc>
          <w:tcPr>
            <w:tcW w:w="2081" w:type="dxa"/>
          </w:tcPr>
          <w:p w14:paraId="529894A7" w14:textId="374FF9E7" w:rsidR="0009686B" w:rsidRPr="00A81562" w:rsidRDefault="0009686B" w:rsidP="006A59B6">
            <w:pPr>
              <w:spacing w:before="40" w:after="40"/>
              <w:ind w:left="0"/>
              <w:rPr>
                <w:rFonts w:cs="Arial"/>
                <w:sz w:val="20"/>
                <w:szCs w:val="20"/>
              </w:rPr>
            </w:pPr>
            <w:r w:rsidRPr="00A81562">
              <w:rPr>
                <w:rFonts w:cs="Arial"/>
                <w:color w:val="000000"/>
                <w:sz w:val="20"/>
                <w:szCs w:val="20"/>
                <w:lang w:eastAsia="en-US"/>
              </w:rPr>
              <w:t>ASBTIA</w:t>
            </w:r>
          </w:p>
        </w:tc>
        <w:tc>
          <w:tcPr>
            <w:tcW w:w="6391" w:type="dxa"/>
          </w:tcPr>
          <w:p w14:paraId="428BBB96" w14:textId="47136737" w:rsidR="0009686B" w:rsidRPr="00A81562" w:rsidRDefault="0009686B" w:rsidP="006A59B6">
            <w:pPr>
              <w:spacing w:before="40" w:after="40"/>
              <w:ind w:left="46"/>
              <w:rPr>
                <w:rFonts w:cs="Arial"/>
                <w:sz w:val="20"/>
                <w:szCs w:val="20"/>
              </w:rPr>
            </w:pPr>
            <w:r w:rsidRPr="00A81562">
              <w:rPr>
                <w:rFonts w:cs="Arial"/>
                <w:color w:val="000000"/>
                <w:sz w:val="20"/>
                <w:szCs w:val="20"/>
                <w:lang w:eastAsia="en-US"/>
              </w:rPr>
              <w:t>Australian Southern Bluefin Tuna Industry Association</w:t>
            </w:r>
          </w:p>
        </w:tc>
      </w:tr>
      <w:tr w:rsidR="0009686B" w:rsidRPr="00A81562" w14:paraId="1E49087C" w14:textId="77777777" w:rsidTr="006A59B6">
        <w:tc>
          <w:tcPr>
            <w:tcW w:w="2081" w:type="dxa"/>
          </w:tcPr>
          <w:p w14:paraId="21A21745" w14:textId="0E415B8F" w:rsidR="0009686B" w:rsidRPr="00A81562" w:rsidRDefault="0009686B" w:rsidP="006A59B6">
            <w:pPr>
              <w:spacing w:before="40" w:after="40"/>
              <w:ind w:left="0"/>
              <w:rPr>
                <w:rFonts w:cs="Arial"/>
                <w:sz w:val="20"/>
                <w:szCs w:val="20"/>
              </w:rPr>
            </w:pPr>
            <w:r w:rsidRPr="00A81562">
              <w:rPr>
                <w:rFonts w:cs="Arial"/>
                <w:sz w:val="20"/>
                <w:szCs w:val="20"/>
              </w:rPr>
              <w:t>ASCOBANS</w:t>
            </w:r>
          </w:p>
        </w:tc>
        <w:tc>
          <w:tcPr>
            <w:tcW w:w="6391" w:type="dxa"/>
          </w:tcPr>
          <w:p w14:paraId="62638097" w14:textId="5DF136E1" w:rsidR="0009686B" w:rsidRPr="00A81562" w:rsidRDefault="0009686B" w:rsidP="006A59B6">
            <w:pPr>
              <w:spacing w:before="40" w:after="40"/>
              <w:ind w:left="46"/>
              <w:rPr>
                <w:rFonts w:cs="Arial"/>
                <w:sz w:val="20"/>
                <w:szCs w:val="20"/>
              </w:rPr>
            </w:pPr>
            <w:r w:rsidRPr="00A81562">
              <w:rPr>
                <w:rFonts w:cs="Arial"/>
                <w:sz w:val="20"/>
                <w:szCs w:val="20"/>
              </w:rPr>
              <w:t xml:space="preserve">Agreement on the Conservation of Small Cetaceans of the Baltic and Neath Seas </w:t>
            </w:r>
          </w:p>
        </w:tc>
      </w:tr>
      <w:tr w:rsidR="0009686B" w:rsidRPr="00A81562" w14:paraId="4904D676" w14:textId="77777777" w:rsidTr="006A59B6">
        <w:tc>
          <w:tcPr>
            <w:tcW w:w="2081" w:type="dxa"/>
          </w:tcPr>
          <w:p w14:paraId="72D7388A" w14:textId="09AC2636" w:rsidR="0009686B" w:rsidRPr="00A81562" w:rsidRDefault="0009686B" w:rsidP="006A59B6">
            <w:pPr>
              <w:spacing w:before="40" w:after="40"/>
              <w:ind w:left="0"/>
              <w:rPr>
                <w:rFonts w:cs="Arial"/>
                <w:sz w:val="20"/>
                <w:szCs w:val="20"/>
              </w:rPr>
            </w:pPr>
            <w:r>
              <w:rPr>
                <w:rFonts w:cs="Arial"/>
                <w:sz w:val="20"/>
                <w:szCs w:val="20"/>
              </w:rPr>
              <w:t>BACI</w:t>
            </w:r>
          </w:p>
        </w:tc>
        <w:tc>
          <w:tcPr>
            <w:tcW w:w="6391" w:type="dxa"/>
          </w:tcPr>
          <w:p w14:paraId="45A0E883" w14:textId="1367EED7" w:rsidR="0009686B" w:rsidRPr="00A81562" w:rsidRDefault="0009686B" w:rsidP="006A59B6">
            <w:pPr>
              <w:spacing w:before="40" w:after="40"/>
              <w:ind w:left="46"/>
              <w:rPr>
                <w:rFonts w:cs="Arial"/>
                <w:sz w:val="20"/>
                <w:szCs w:val="20"/>
              </w:rPr>
            </w:pPr>
            <w:r>
              <w:rPr>
                <w:rFonts w:cs="Arial"/>
                <w:sz w:val="20"/>
                <w:szCs w:val="20"/>
              </w:rPr>
              <w:t>Bore-After-Control-Impact</w:t>
            </w:r>
          </w:p>
        </w:tc>
      </w:tr>
      <w:tr w:rsidR="0009686B" w:rsidRPr="00A81562" w14:paraId="7D54903F" w14:textId="77777777" w:rsidTr="006A59B6">
        <w:tc>
          <w:tcPr>
            <w:tcW w:w="2081" w:type="dxa"/>
          </w:tcPr>
          <w:p w14:paraId="59A443C8" w14:textId="30051306" w:rsidR="0009686B" w:rsidRPr="00A81562" w:rsidRDefault="0009686B" w:rsidP="006A59B6">
            <w:pPr>
              <w:spacing w:before="40" w:after="40"/>
              <w:ind w:left="0"/>
              <w:rPr>
                <w:rFonts w:cs="Arial"/>
                <w:sz w:val="20"/>
                <w:szCs w:val="20"/>
              </w:rPr>
            </w:pPr>
            <w:r w:rsidRPr="00A81562">
              <w:rPr>
                <w:rFonts w:cs="Arial"/>
                <w:sz w:val="20"/>
                <w:szCs w:val="20"/>
              </w:rPr>
              <w:t>BIA</w:t>
            </w:r>
          </w:p>
        </w:tc>
        <w:tc>
          <w:tcPr>
            <w:tcW w:w="6391" w:type="dxa"/>
          </w:tcPr>
          <w:p w14:paraId="0DC94479" w14:textId="18E2C440" w:rsidR="0009686B" w:rsidRPr="00A81562" w:rsidRDefault="0009686B" w:rsidP="006A59B6">
            <w:pPr>
              <w:spacing w:before="40" w:after="40"/>
              <w:ind w:left="46"/>
              <w:rPr>
                <w:rFonts w:cs="Arial"/>
                <w:sz w:val="20"/>
                <w:szCs w:val="20"/>
              </w:rPr>
            </w:pPr>
            <w:r w:rsidRPr="00A81562">
              <w:rPr>
                <w:rFonts w:cs="Arial"/>
                <w:sz w:val="20"/>
                <w:szCs w:val="20"/>
              </w:rPr>
              <w:t>Biologically Important Area</w:t>
            </w:r>
          </w:p>
        </w:tc>
      </w:tr>
      <w:tr w:rsidR="0009686B" w:rsidRPr="00A81562" w14:paraId="7AD30516" w14:textId="77777777" w:rsidTr="006A59B6">
        <w:tc>
          <w:tcPr>
            <w:tcW w:w="2081" w:type="dxa"/>
          </w:tcPr>
          <w:p w14:paraId="302ECD3B" w14:textId="747B9A87" w:rsidR="0009686B" w:rsidRPr="00A81562" w:rsidRDefault="0009686B" w:rsidP="006A59B6">
            <w:pPr>
              <w:spacing w:before="40" w:after="40"/>
              <w:ind w:left="0"/>
              <w:rPr>
                <w:rFonts w:cs="Arial"/>
                <w:sz w:val="20"/>
                <w:szCs w:val="20"/>
              </w:rPr>
            </w:pPr>
            <w:r w:rsidRPr="00A81562">
              <w:rPr>
                <w:rFonts w:cs="Arial"/>
                <w:sz w:val="20"/>
                <w:szCs w:val="20"/>
              </w:rPr>
              <w:t>BMG</w:t>
            </w:r>
          </w:p>
        </w:tc>
        <w:tc>
          <w:tcPr>
            <w:tcW w:w="6391" w:type="dxa"/>
          </w:tcPr>
          <w:p w14:paraId="0E840C28" w14:textId="01779253" w:rsidR="0009686B" w:rsidRPr="00A81562" w:rsidRDefault="0009686B" w:rsidP="006A59B6">
            <w:pPr>
              <w:spacing w:before="40" w:after="40"/>
              <w:ind w:left="46"/>
              <w:rPr>
                <w:rFonts w:cs="Arial"/>
                <w:sz w:val="20"/>
                <w:szCs w:val="20"/>
              </w:rPr>
            </w:pPr>
            <w:r w:rsidRPr="00A81562">
              <w:rPr>
                <w:rFonts w:cs="Arial"/>
                <w:sz w:val="20"/>
                <w:szCs w:val="20"/>
              </w:rPr>
              <w:t>Baska-Manta-Gummy</w:t>
            </w:r>
          </w:p>
        </w:tc>
      </w:tr>
      <w:tr w:rsidR="0009686B" w:rsidRPr="00A81562" w14:paraId="3A6DA962" w14:textId="77777777" w:rsidTr="006A59B6">
        <w:tc>
          <w:tcPr>
            <w:tcW w:w="2081" w:type="dxa"/>
          </w:tcPr>
          <w:p w14:paraId="0C7723CB" w14:textId="0CA54E53" w:rsidR="0009686B" w:rsidRPr="00A81562" w:rsidRDefault="0009686B" w:rsidP="006A59B6">
            <w:pPr>
              <w:spacing w:before="40" w:after="40"/>
              <w:ind w:left="0"/>
              <w:rPr>
                <w:rFonts w:cs="Arial"/>
                <w:sz w:val="20"/>
                <w:szCs w:val="20"/>
              </w:rPr>
            </w:pPr>
            <w:r>
              <w:rPr>
                <w:rFonts w:cs="Arial"/>
                <w:sz w:val="20"/>
                <w:szCs w:val="20"/>
              </w:rPr>
              <w:t>BOD</w:t>
            </w:r>
          </w:p>
        </w:tc>
        <w:tc>
          <w:tcPr>
            <w:tcW w:w="6391" w:type="dxa"/>
          </w:tcPr>
          <w:p w14:paraId="51A4CD88" w14:textId="5AC1912C" w:rsidR="0009686B" w:rsidRPr="00A81562" w:rsidRDefault="0009686B" w:rsidP="006A59B6">
            <w:pPr>
              <w:spacing w:before="40" w:after="40"/>
              <w:ind w:left="46"/>
              <w:rPr>
                <w:rFonts w:cs="Arial"/>
                <w:sz w:val="20"/>
                <w:szCs w:val="20"/>
              </w:rPr>
            </w:pPr>
            <w:r>
              <w:rPr>
                <w:rFonts w:cs="Arial"/>
                <w:sz w:val="20"/>
                <w:szCs w:val="20"/>
              </w:rPr>
              <w:t>Biological Oxygen Demand</w:t>
            </w:r>
          </w:p>
        </w:tc>
      </w:tr>
      <w:tr w:rsidR="0009686B" w:rsidRPr="00A81562" w14:paraId="54D68B6E" w14:textId="77777777" w:rsidTr="006A59B6">
        <w:tc>
          <w:tcPr>
            <w:tcW w:w="2081" w:type="dxa"/>
          </w:tcPr>
          <w:p w14:paraId="1C07D950" w14:textId="3137A637" w:rsidR="0009686B" w:rsidRPr="00A81562" w:rsidRDefault="0009686B" w:rsidP="006A59B6">
            <w:pPr>
              <w:spacing w:before="40" w:after="40"/>
              <w:ind w:left="0"/>
              <w:rPr>
                <w:rFonts w:cs="Arial"/>
                <w:sz w:val="20"/>
                <w:szCs w:val="20"/>
              </w:rPr>
            </w:pPr>
            <w:r>
              <w:rPr>
                <w:rFonts w:cs="Arial"/>
                <w:sz w:val="20"/>
                <w:szCs w:val="20"/>
              </w:rPr>
              <w:t>BOEM</w:t>
            </w:r>
          </w:p>
        </w:tc>
        <w:tc>
          <w:tcPr>
            <w:tcW w:w="6391" w:type="dxa"/>
          </w:tcPr>
          <w:p w14:paraId="74289B31" w14:textId="27A73927" w:rsidR="0009686B" w:rsidRPr="00A81562" w:rsidRDefault="0009686B" w:rsidP="006A59B6">
            <w:pPr>
              <w:spacing w:before="40" w:after="40"/>
              <w:ind w:left="46"/>
              <w:rPr>
                <w:rFonts w:cs="Arial"/>
                <w:sz w:val="20"/>
                <w:szCs w:val="20"/>
              </w:rPr>
            </w:pPr>
            <w:r>
              <w:rPr>
                <w:rFonts w:cs="Arial"/>
                <w:sz w:val="20"/>
                <w:szCs w:val="20"/>
              </w:rPr>
              <w:t>Bureau of Ocean Energy Management</w:t>
            </w:r>
          </w:p>
        </w:tc>
      </w:tr>
      <w:tr w:rsidR="0009686B" w:rsidRPr="00A81562" w14:paraId="133D65E5" w14:textId="77777777" w:rsidTr="006A59B6">
        <w:tc>
          <w:tcPr>
            <w:tcW w:w="2081" w:type="dxa"/>
          </w:tcPr>
          <w:p w14:paraId="45AFD2B4" w14:textId="52ADAB8A" w:rsidR="0009686B" w:rsidRPr="00A81562" w:rsidRDefault="0009686B" w:rsidP="006A59B6">
            <w:pPr>
              <w:spacing w:before="40" w:after="40"/>
              <w:ind w:left="0"/>
              <w:rPr>
                <w:rFonts w:cs="Arial"/>
                <w:sz w:val="20"/>
                <w:szCs w:val="20"/>
              </w:rPr>
            </w:pPr>
            <w:r w:rsidRPr="00A81562">
              <w:rPr>
                <w:rFonts w:cs="Arial"/>
                <w:sz w:val="20"/>
                <w:szCs w:val="20"/>
              </w:rPr>
              <w:t>BPEM</w:t>
            </w:r>
          </w:p>
        </w:tc>
        <w:tc>
          <w:tcPr>
            <w:tcW w:w="6391" w:type="dxa"/>
          </w:tcPr>
          <w:p w14:paraId="053311C5" w14:textId="2904191C" w:rsidR="0009686B" w:rsidRPr="00A81562" w:rsidRDefault="0009686B" w:rsidP="006A59B6">
            <w:pPr>
              <w:spacing w:before="40" w:after="40"/>
              <w:ind w:left="46"/>
              <w:rPr>
                <w:rFonts w:cs="Arial"/>
                <w:sz w:val="20"/>
                <w:szCs w:val="20"/>
              </w:rPr>
            </w:pPr>
            <w:r>
              <w:rPr>
                <w:rFonts w:cs="Arial"/>
                <w:sz w:val="20"/>
                <w:szCs w:val="20"/>
              </w:rPr>
              <w:t>B</w:t>
            </w:r>
            <w:r w:rsidRPr="00A81562">
              <w:rPr>
                <w:rFonts w:cs="Arial"/>
                <w:sz w:val="20"/>
                <w:szCs w:val="20"/>
              </w:rPr>
              <w:t xml:space="preserve">est </w:t>
            </w:r>
            <w:r>
              <w:rPr>
                <w:rFonts w:cs="Arial"/>
                <w:sz w:val="20"/>
                <w:szCs w:val="20"/>
              </w:rPr>
              <w:t>P</w:t>
            </w:r>
            <w:r w:rsidRPr="00A81562">
              <w:rPr>
                <w:rFonts w:cs="Arial"/>
                <w:sz w:val="20"/>
                <w:szCs w:val="20"/>
              </w:rPr>
              <w:t xml:space="preserve">ractice </w:t>
            </w:r>
            <w:r>
              <w:rPr>
                <w:rFonts w:cs="Arial"/>
                <w:sz w:val="20"/>
                <w:szCs w:val="20"/>
              </w:rPr>
              <w:t>E</w:t>
            </w:r>
            <w:r w:rsidRPr="00A81562">
              <w:rPr>
                <w:rFonts w:cs="Arial"/>
                <w:sz w:val="20"/>
                <w:szCs w:val="20"/>
              </w:rPr>
              <w:t xml:space="preserve">nvironmental </w:t>
            </w:r>
            <w:r>
              <w:rPr>
                <w:rFonts w:cs="Arial"/>
                <w:sz w:val="20"/>
                <w:szCs w:val="20"/>
              </w:rPr>
              <w:t>M</w:t>
            </w:r>
            <w:r w:rsidRPr="00A81562">
              <w:rPr>
                <w:rFonts w:cs="Arial"/>
                <w:sz w:val="20"/>
                <w:szCs w:val="20"/>
              </w:rPr>
              <w:t>anagement</w:t>
            </w:r>
          </w:p>
        </w:tc>
      </w:tr>
      <w:tr w:rsidR="0009686B" w:rsidRPr="00A81562" w14:paraId="46913169" w14:textId="77777777" w:rsidTr="006A59B6">
        <w:tc>
          <w:tcPr>
            <w:tcW w:w="2081" w:type="dxa"/>
          </w:tcPr>
          <w:p w14:paraId="357AC5ED" w14:textId="58EFCA8E" w:rsidR="0009686B" w:rsidRPr="00A81562" w:rsidRDefault="0009686B" w:rsidP="006A59B6">
            <w:pPr>
              <w:spacing w:before="40" w:after="40"/>
              <w:ind w:left="0"/>
              <w:rPr>
                <w:rFonts w:cs="Arial"/>
                <w:sz w:val="20"/>
                <w:szCs w:val="20"/>
              </w:rPr>
            </w:pPr>
            <w:r w:rsidRPr="00A81562">
              <w:rPr>
                <w:rFonts w:cs="Arial"/>
                <w:sz w:val="20"/>
                <w:szCs w:val="20"/>
              </w:rPr>
              <w:t>CAMBA</w:t>
            </w:r>
          </w:p>
        </w:tc>
        <w:tc>
          <w:tcPr>
            <w:tcW w:w="6391" w:type="dxa"/>
          </w:tcPr>
          <w:p w14:paraId="4207F6BB" w14:textId="1B7FEAE0" w:rsidR="0009686B" w:rsidRPr="00A81562" w:rsidRDefault="0009686B" w:rsidP="006A59B6">
            <w:pPr>
              <w:spacing w:before="40" w:after="40"/>
              <w:ind w:left="46"/>
              <w:rPr>
                <w:rFonts w:cs="Arial"/>
                <w:sz w:val="20"/>
                <w:szCs w:val="20"/>
              </w:rPr>
            </w:pPr>
            <w:r w:rsidRPr="00A81562">
              <w:rPr>
                <w:rFonts w:cs="Arial"/>
                <w:sz w:val="20"/>
                <w:szCs w:val="20"/>
              </w:rPr>
              <w:t>Agreement between the Government and Australia and the Government of the People’s Republic of China for the Protection of Migratory Birds and their Environment</w:t>
            </w:r>
          </w:p>
        </w:tc>
      </w:tr>
      <w:tr w:rsidR="0009686B" w:rsidRPr="00A81562" w14:paraId="41486F03" w14:textId="77777777" w:rsidTr="006A59B6">
        <w:tc>
          <w:tcPr>
            <w:tcW w:w="2081" w:type="dxa"/>
          </w:tcPr>
          <w:p w14:paraId="4B215BF1" w14:textId="758D0A25" w:rsidR="0009686B" w:rsidRPr="00A81562" w:rsidRDefault="0009686B" w:rsidP="006A59B6">
            <w:pPr>
              <w:spacing w:before="40" w:after="40"/>
              <w:ind w:left="0"/>
              <w:rPr>
                <w:rFonts w:cs="Arial"/>
                <w:sz w:val="20"/>
                <w:szCs w:val="20"/>
              </w:rPr>
            </w:pPr>
            <w:r w:rsidRPr="00A81562">
              <w:rPr>
                <w:rFonts w:cs="Arial"/>
                <w:sz w:val="20"/>
                <w:szCs w:val="20"/>
              </w:rPr>
              <w:t>CCS</w:t>
            </w:r>
          </w:p>
        </w:tc>
        <w:tc>
          <w:tcPr>
            <w:tcW w:w="6391" w:type="dxa"/>
          </w:tcPr>
          <w:p w14:paraId="59D0FB60" w14:textId="117DDD51" w:rsidR="0009686B" w:rsidRPr="00A81562" w:rsidRDefault="0009686B" w:rsidP="006A59B6">
            <w:pPr>
              <w:spacing w:before="40" w:after="40"/>
              <w:ind w:left="46"/>
              <w:rPr>
                <w:rFonts w:cs="Arial"/>
                <w:sz w:val="20"/>
                <w:szCs w:val="20"/>
              </w:rPr>
            </w:pPr>
            <w:r w:rsidRPr="00A81562">
              <w:rPr>
                <w:rFonts w:cs="Arial"/>
                <w:sz w:val="20"/>
                <w:szCs w:val="20"/>
              </w:rPr>
              <w:t xml:space="preserve">Carbon </w:t>
            </w:r>
            <w:r>
              <w:rPr>
                <w:rFonts w:cs="Arial"/>
                <w:sz w:val="20"/>
                <w:szCs w:val="20"/>
              </w:rPr>
              <w:t>C</w:t>
            </w:r>
            <w:r w:rsidRPr="00A81562">
              <w:rPr>
                <w:rFonts w:cs="Arial"/>
                <w:sz w:val="20"/>
                <w:szCs w:val="20"/>
              </w:rPr>
              <w:t xml:space="preserve">apture and </w:t>
            </w:r>
            <w:r>
              <w:rPr>
                <w:rFonts w:cs="Arial"/>
                <w:sz w:val="20"/>
                <w:szCs w:val="20"/>
              </w:rPr>
              <w:t>S</w:t>
            </w:r>
            <w:r w:rsidRPr="00A81562">
              <w:rPr>
                <w:rFonts w:cs="Arial"/>
                <w:sz w:val="20"/>
                <w:szCs w:val="20"/>
              </w:rPr>
              <w:t>torage</w:t>
            </w:r>
          </w:p>
        </w:tc>
      </w:tr>
      <w:tr w:rsidR="0009686B" w:rsidRPr="00A81562" w14:paraId="1DB11719" w14:textId="77777777" w:rsidTr="006A59B6">
        <w:tc>
          <w:tcPr>
            <w:tcW w:w="2081" w:type="dxa"/>
          </w:tcPr>
          <w:p w14:paraId="12D79777" w14:textId="30DD3118" w:rsidR="0009686B" w:rsidRPr="00A81562" w:rsidRDefault="0009686B" w:rsidP="006A59B6">
            <w:pPr>
              <w:spacing w:before="40" w:after="40"/>
              <w:ind w:left="0"/>
              <w:rPr>
                <w:rFonts w:cs="Arial"/>
                <w:sz w:val="20"/>
                <w:szCs w:val="20"/>
              </w:rPr>
            </w:pPr>
            <w:r>
              <w:rPr>
                <w:rFonts w:cs="Arial"/>
                <w:sz w:val="20"/>
                <w:szCs w:val="20"/>
              </w:rPr>
              <w:t>CER</w:t>
            </w:r>
          </w:p>
        </w:tc>
        <w:tc>
          <w:tcPr>
            <w:tcW w:w="6391" w:type="dxa"/>
          </w:tcPr>
          <w:p w14:paraId="73DA6DBE" w14:textId="1BD477A2" w:rsidR="0009686B" w:rsidRPr="00A81562" w:rsidRDefault="0009686B" w:rsidP="006A59B6">
            <w:pPr>
              <w:spacing w:before="40" w:after="40"/>
              <w:ind w:left="46"/>
              <w:rPr>
                <w:rFonts w:cs="Arial"/>
                <w:sz w:val="20"/>
                <w:szCs w:val="20"/>
              </w:rPr>
            </w:pPr>
            <w:r>
              <w:rPr>
                <w:rFonts w:cs="Arial"/>
                <w:sz w:val="20"/>
                <w:szCs w:val="20"/>
              </w:rPr>
              <w:t>Commission for Energy Regulation (UK)</w:t>
            </w:r>
          </w:p>
        </w:tc>
      </w:tr>
      <w:tr w:rsidR="0009686B" w:rsidRPr="00A81562" w14:paraId="550E43E9" w14:textId="77777777" w:rsidTr="006A59B6">
        <w:tc>
          <w:tcPr>
            <w:tcW w:w="2081" w:type="dxa"/>
          </w:tcPr>
          <w:p w14:paraId="2DCFE456" w14:textId="727ED2A0" w:rsidR="0009686B" w:rsidRPr="006A59B6" w:rsidRDefault="0009686B" w:rsidP="006A59B6">
            <w:pPr>
              <w:spacing w:before="40" w:after="40"/>
              <w:ind w:left="0"/>
              <w:rPr>
                <w:rFonts w:cs="Arial"/>
                <w:sz w:val="20"/>
                <w:szCs w:val="20"/>
              </w:rPr>
            </w:pPr>
            <w:r w:rsidRPr="00A81562">
              <w:rPr>
                <w:rFonts w:cs="Arial"/>
                <w:color w:val="000000"/>
                <w:sz w:val="20"/>
                <w:szCs w:val="20"/>
                <w:lang w:eastAsia="en-US"/>
              </w:rPr>
              <w:t>CFA</w:t>
            </w:r>
          </w:p>
        </w:tc>
        <w:tc>
          <w:tcPr>
            <w:tcW w:w="6391" w:type="dxa"/>
          </w:tcPr>
          <w:p w14:paraId="1B77914F" w14:textId="28470771" w:rsidR="0009686B" w:rsidRPr="006A59B6" w:rsidRDefault="0009686B" w:rsidP="006A59B6">
            <w:pPr>
              <w:spacing w:before="40" w:after="40"/>
              <w:ind w:left="46"/>
              <w:rPr>
                <w:rFonts w:cs="Arial"/>
                <w:sz w:val="20"/>
                <w:szCs w:val="20"/>
              </w:rPr>
            </w:pPr>
            <w:r w:rsidRPr="00A81562">
              <w:rPr>
                <w:rFonts w:cs="Arial"/>
                <w:color w:val="000000"/>
                <w:sz w:val="20"/>
                <w:szCs w:val="20"/>
                <w:lang w:eastAsia="en-US"/>
              </w:rPr>
              <w:t>Commonwealth Fisheries Association</w:t>
            </w:r>
          </w:p>
        </w:tc>
      </w:tr>
      <w:tr w:rsidR="0009686B" w:rsidRPr="00A81562" w14:paraId="6153B9F3" w14:textId="77777777" w:rsidTr="006A59B6">
        <w:tc>
          <w:tcPr>
            <w:tcW w:w="2081" w:type="dxa"/>
          </w:tcPr>
          <w:p w14:paraId="1F503509" w14:textId="25CBEF9A" w:rsidR="0009686B" w:rsidRDefault="0009686B" w:rsidP="006A59B6">
            <w:pPr>
              <w:spacing w:before="40" w:after="40"/>
              <w:ind w:left="0"/>
              <w:rPr>
                <w:rFonts w:cs="Arial"/>
                <w:sz w:val="20"/>
                <w:szCs w:val="20"/>
              </w:rPr>
            </w:pPr>
            <w:r w:rsidRPr="00A81562">
              <w:rPr>
                <w:rFonts w:cs="Arial"/>
                <w:sz w:val="20"/>
                <w:szCs w:val="20"/>
              </w:rPr>
              <w:t>CFSR</w:t>
            </w:r>
          </w:p>
        </w:tc>
        <w:tc>
          <w:tcPr>
            <w:tcW w:w="6391" w:type="dxa"/>
          </w:tcPr>
          <w:p w14:paraId="630F699E" w14:textId="57C729E9" w:rsidR="0009686B" w:rsidRDefault="0009686B" w:rsidP="006A59B6">
            <w:pPr>
              <w:spacing w:before="40" w:after="40"/>
              <w:ind w:left="46"/>
              <w:rPr>
                <w:rFonts w:cs="Arial"/>
                <w:sz w:val="20"/>
                <w:szCs w:val="20"/>
              </w:rPr>
            </w:pPr>
            <w:r w:rsidRPr="00A81562">
              <w:rPr>
                <w:rFonts w:cs="Arial"/>
                <w:sz w:val="20"/>
                <w:szCs w:val="20"/>
              </w:rPr>
              <w:t>National Centre for Environmental Prediction Climate Forecast System Reanalysis</w:t>
            </w:r>
          </w:p>
        </w:tc>
      </w:tr>
      <w:tr w:rsidR="0009686B" w:rsidRPr="00A81562" w14:paraId="493395E6" w14:textId="77777777" w:rsidTr="006A59B6">
        <w:tc>
          <w:tcPr>
            <w:tcW w:w="2081" w:type="dxa"/>
          </w:tcPr>
          <w:p w14:paraId="64117A2A" w14:textId="1DD6EFFD" w:rsidR="0009686B" w:rsidRPr="00A81562" w:rsidRDefault="0009686B" w:rsidP="006A59B6">
            <w:pPr>
              <w:spacing w:before="40" w:after="40"/>
              <w:ind w:left="0"/>
              <w:rPr>
                <w:rFonts w:cs="Arial"/>
                <w:sz w:val="20"/>
                <w:szCs w:val="20"/>
              </w:rPr>
            </w:pPr>
            <w:r>
              <w:rPr>
                <w:rFonts w:cs="Arial"/>
                <w:sz w:val="20"/>
                <w:szCs w:val="20"/>
              </w:rPr>
              <w:t>CHARM</w:t>
            </w:r>
          </w:p>
        </w:tc>
        <w:tc>
          <w:tcPr>
            <w:tcW w:w="6391" w:type="dxa"/>
          </w:tcPr>
          <w:p w14:paraId="0D8883C3" w14:textId="70121454" w:rsidR="0009686B" w:rsidRPr="00A81562" w:rsidRDefault="0009686B" w:rsidP="006A59B6">
            <w:pPr>
              <w:spacing w:before="40" w:after="40"/>
              <w:ind w:left="46"/>
              <w:rPr>
                <w:rFonts w:cs="Arial"/>
                <w:sz w:val="20"/>
                <w:szCs w:val="20"/>
              </w:rPr>
            </w:pPr>
            <w:r>
              <w:rPr>
                <w:rFonts w:cs="Arial"/>
                <w:sz w:val="20"/>
                <w:szCs w:val="20"/>
              </w:rPr>
              <w:t>Chemical Hazard And Risk Management</w:t>
            </w:r>
          </w:p>
        </w:tc>
      </w:tr>
      <w:tr w:rsidR="0009686B" w:rsidRPr="00A81562" w14:paraId="3C76C678" w14:textId="77777777" w:rsidTr="006A59B6">
        <w:tc>
          <w:tcPr>
            <w:tcW w:w="2081" w:type="dxa"/>
          </w:tcPr>
          <w:p w14:paraId="5B0A6C06" w14:textId="00BC4D0B" w:rsidR="0009686B" w:rsidRPr="00A81562" w:rsidRDefault="0009686B" w:rsidP="006A59B6">
            <w:pPr>
              <w:spacing w:before="40" w:after="40"/>
              <w:ind w:left="0"/>
              <w:rPr>
                <w:rFonts w:cs="Arial"/>
                <w:sz w:val="20"/>
                <w:szCs w:val="20"/>
              </w:rPr>
            </w:pPr>
            <w:r w:rsidRPr="00A81562">
              <w:rPr>
                <w:rFonts w:cs="Arial"/>
                <w:sz w:val="20"/>
                <w:szCs w:val="20"/>
              </w:rPr>
              <w:t>CITES</w:t>
            </w:r>
          </w:p>
        </w:tc>
        <w:tc>
          <w:tcPr>
            <w:tcW w:w="6391" w:type="dxa"/>
          </w:tcPr>
          <w:p w14:paraId="39DF095B" w14:textId="1BDDED66" w:rsidR="0009686B" w:rsidRPr="00A81562" w:rsidRDefault="0009686B" w:rsidP="006A59B6">
            <w:pPr>
              <w:spacing w:before="40" w:after="40"/>
              <w:ind w:left="46"/>
              <w:rPr>
                <w:rFonts w:cs="Arial"/>
                <w:sz w:val="20"/>
                <w:szCs w:val="20"/>
              </w:rPr>
            </w:pPr>
            <w:r w:rsidRPr="00A81562">
              <w:rPr>
                <w:rFonts w:cs="Arial"/>
                <w:sz w:val="20"/>
                <w:szCs w:val="20"/>
              </w:rPr>
              <w:t>Convention on International Trade in Endangered Species of Wild Fauna and Flora</w:t>
            </w:r>
          </w:p>
        </w:tc>
      </w:tr>
      <w:tr w:rsidR="0009686B" w:rsidRPr="00A81562" w14:paraId="2DBBD176" w14:textId="77777777" w:rsidTr="006A59B6">
        <w:tc>
          <w:tcPr>
            <w:tcW w:w="2081" w:type="dxa"/>
          </w:tcPr>
          <w:p w14:paraId="33A8BE57" w14:textId="29BD7F21" w:rsidR="0009686B" w:rsidRPr="00A81562" w:rsidRDefault="0009686B" w:rsidP="006A59B6">
            <w:pPr>
              <w:spacing w:before="40" w:after="40"/>
              <w:ind w:left="0"/>
              <w:rPr>
                <w:rFonts w:cs="Arial"/>
                <w:sz w:val="20"/>
                <w:szCs w:val="20"/>
              </w:rPr>
            </w:pPr>
            <w:r w:rsidRPr="00A81562">
              <w:rPr>
                <w:rFonts w:cs="Arial"/>
                <w:sz w:val="20"/>
                <w:szCs w:val="20"/>
              </w:rPr>
              <w:t>CMID</w:t>
            </w:r>
          </w:p>
        </w:tc>
        <w:tc>
          <w:tcPr>
            <w:tcW w:w="6391" w:type="dxa"/>
          </w:tcPr>
          <w:p w14:paraId="6B9AD3CA" w14:textId="7FEFA81A" w:rsidR="0009686B" w:rsidRPr="00A81562" w:rsidRDefault="0009686B" w:rsidP="006A59B6">
            <w:pPr>
              <w:spacing w:before="40" w:after="40"/>
              <w:ind w:left="46"/>
              <w:rPr>
                <w:rFonts w:cs="Arial"/>
                <w:sz w:val="20"/>
                <w:szCs w:val="20"/>
              </w:rPr>
            </w:pPr>
            <w:r w:rsidRPr="00A81562">
              <w:rPr>
                <w:rFonts w:cs="Arial"/>
                <w:sz w:val="20"/>
                <w:szCs w:val="20"/>
              </w:rPr>
              <w:t>Common Marine Inspection Document</w:t>
            </w:r>
          </w:p>
        </w:tc>
      </w:tr>
      <w:tr w:rsidR="0009686B" w:rsidRPr="00A81562" w14:paraId="57AD0B05" w14:textId="77777777" w:rsidTr="006A59B6">
        <w:tc>
          <w:tcPr>
            <w:tcW w:w="2081" w:type="dxa"/>
          </w:tcPr>
          <w:p w14:paraId="195F770F" w14:textId="2B1B1AD5" w:rsidR="0009686B" w:rsidRPr="00A81562" w:rsidRDefault="0009686B" w:rsidP="006A59B6">
            <w:pPr>
              <w:spacing w:before="40" w:after="40"/>
              <w:ind w:left="0"/>
              <w:rPr>
                <w:rFonts w:cs="Arial"/>
                <w:sz w:val="20"/>
                <w:szCs w:val="20"/>
              </w:rPr>
            </w:pPr>
            <w:r w:rsidRPr="00A81562">
              <w:rPr>
                <w:rFonts w:cs="Arial"/>
                <w:sz w:val="20"/>
                <w:szCs w:val="20"/>
              </w:rPr>
              <w:t>CMR</w:t>
            </w:r>
          </w:p>
        </w:tc>
        <w:tc>
          <w:tcPr>
            <w:tcW w:w="6391" w:type="dxa"/>
          </w:tcPr>
          <w:p w14:paraId="7E673018" w14:textId="5BE5C0FE" w:rsidR="0009686B" w:rsidRPr="00A81562" w:rsidRDefault="0009686B" w:rsidP="006A59B6">
            <w:pPr>
              <w:spacing w:before="40" w:after="40"/>
              <w:ind w:left="46"/>
              <w:rPr>
                <w:rFonts w:cs="Arial"/>
                <w:sz w:val="20"/>
                <w:szCs w:val="20"/>
              </w:rPr>
            </w:pPr>
            <w:r w:rsidRPr="00A81562">
              <w:rPr>
                <w:rFonts w:cs="Arial"/>
                <w:sz w:val="20"/>
                <w:szCs w:val="20"/>
              </w:rPr>
              <w:t>Commonwealth Marine Reserve</w:t>
            </w:r>
          </w:p>
        </w:tc>
      </w:tr>
      <w:tr w:rsidR="0009686B" w:rsidRPr="00A81562" w14:paraId="70A9F7C6" w14:textId="77777777" w:rsidTr="006A59B6">
        <w:tc>
          <w:tcPr>
            <w:tcW w:w="2081" w:type="dxa"/>
          </w:tcPr>
          <w:p w14:paraId="248C93DD" w14:textId="1646D478" w:rsidR="0009686B" w:rsidRPr="00A81562" w:rsidRDefault="0009686B" w:rsidP="006A59B6">
            <w:pPr>
              <w:spacing w:before="40" w:after="40"/>
              <w:ind w:left="0"/>
              <w:rPr>
                <w:rFonts w:cs="Arial"/>
                <w:sz w:val="20"/>
                <w:szCs w:val="20"/>
              </w:rPr>
            </w:pPr>
            <w:r w:rsidRPr="00A81562">
              <w:rPr>
                <w:rFonts w:cs="Arial"/>
                <w:sz w:val="20"/>
                <w:szCs w:val="20"/>
              </w:rPr>
              <w:t>CO</w:t>
            </w:r>
            <w:r w:rsidRPr="00A81562">
              <w:rPr>
                <w:rFonts w:cs="Arial"/>
                <w:sz w:val="20"/>
                <w:szCs w:val="20"/>
                <w:vertAlign w:val="subscript"/>
              </w:rPr>
              <w:t>2</w:t>
            </w:r>
          </w:p>
        </w:tc>
        <w:tc>
          <w:tcPr>
            <w:tcW w:w="6391" w:type="dxa"/>
          </w:tcPr>
          <w:p w14:paraId="40113EFB" w14:textId="7B463D8E" w:rsidR="0009686B" w:rsidRPr="00A81562" w:rsidRDefault="0009686B" w:rsidP="006A59B6">
            <w:pPr>
              <w:spacing w:before="40" w:after="40"/>
              <w:ind w:left="46"/>
              <w:rPr>
                <w:rFonts w:cs="Arial"/>
                <w:sz w:val="20"/>
                <w:szCs w:val="20"/>
              </w:rPr>
            </w:pPr>
            <w:r w:rsidRPr="00A81562">
              <w:rPr>
                <w:rFonts w:cs="Arial"/>
                <w:sz w:val="20"/>
                <w:szCs w:val="20"/>
              </w:rPr>
              <w:t xml:space="preserve">Carbon </w:t>
            </w:r>
            <w:r>
              <w:rPr>
                <w:rFonts w:cs="Arial"/>
                <w:sz w:val="20"/>
                <w:szCs w:val="20"/>
              </w:rPr>
              <w:t>D</w:t>
            </w:r>
            <w:r w:rsidRPr="00A81562">
              <w:rPr>
                <w:rFonts w:cs="Arial"/>
                <w:sz w:val="20"/>
                <w:szCs w:val="20"/>
              </w:rPr>
              <w:t>ioxide</w:t>
            </w:r>
          </w:p>
        </w:tc>
      </w:tr>
      <w:tr w:rsidR="0009686B" w:rsidRPr="00A81562" w14:paraId="443FEE86" w14:textId="77777777" w:rsidTr="006A59B6">
        <w:tc>
          <w:tcPr>
            <w:tcW w:w="2081" w:type="dxa"/>
          </w:tcPr>
          <w:p w14:paraId="439369E8" w14:textId="35BC62AE" w:rsidR="0009686B" w:rsidRPr="00A81562" w:rsidRDefault="0009686B" w:rsidP="006A59B6">
            <w:pPr>
              <w:spacing w:before="40" w:after="40"/>
              <w:ind w:left="0"/>
              <w:rPr>
                <w:rFonts w:cs="Arial"/>
                <w:sz w:val="20"/>
                <w:szCs w:val="20"/>
              </w:rPr>
            </w:pPr>
            <w:r w:rsidRPr="00A81562">
              <w:rPr>
                <w:rFonts w:cs="Arial"/>
                <w:sz w:val="20"/>
                <w:szCs w:val="20"/>
              </w:rPr>
              <w:lastRenderedPageBreak/>
              <w:t>CoEP</w:t>
            </w:r>
          </w:p>
        </w:tc>
        <w:tc>
          <w:tcPr>
            <w:tcW w:w="6391" w:type="dxa"/>
          </w:tcPr>
          <w:p w14:paraId="0952B03E" w14:textId="204B0A6D" w:rsidR="0009686B" w:rsidRPr="00A81562" w:rsidRDefault="0009686B" w:rsidP="006A59B6">
            <w:pPr>
              <w:spacing w:before="40" w:after="40"/>
              <w:ind w:left="46"/>
              <w:rPr>
                <w:rFonts w:cs="Arial"/>
                <w:sz w:val="20"/>
                <w:szCs w:val="20"/>
              </w:rPr>
            </w:pPr>
            <w:r w:rsidRPr="00A81562">
              <w:rPr>
                <w:rFonts w:cs="Arial"/>
                <w:sz w:val="20"/>
                <w:szCs w:val="20"/>
              </w:rPr>
              <w:t>Code of Environmental Practice</w:t>
            </w:r>
          </w:p>
        </w:tc>
      </w:tr>
      <w:tr w:rsidR="0009686B" w:rsidRPr="00A81562" w14:paraId="5E731305" w14:textId="77777777" w:rsidTr="006A59B6">
        <w:tc>
          <w:tcPr>
            <w:tcW w:w="2081" w:type="dxa"/>
          </w:tcPr>
          <w:p w14:paraId="63AE66C4" w14:textId="7DC58C79" w:rsidR="0009686B" w:rsidRDefault="0009686B" w:rsidP="006A59B6">
            <w:pPr>
              <w:spacing w:before="40" w:after="40"/>
              <w:ind w:left="0"/>
              <w:rPr>
                <w:rFonts w:cs="Arial"/>
                <w:sz w:val="20"/>
                <w:szCs w:val="20"/>
              </w:rPr>
            </w:pPr>
            <w:r w:rsidRPr="00A81562">
              <w:rPr>
                <w:rFonts w:cs="Arial"/>
                <w:sz w:val="20"/>
                <w:szCs w:val="20"/>
              </w:rPr>
              <w:t>COLREG</w:t>
            </w:r>
          </w:p>
        </w:tc>
        <w:tc>
          <w:tcPr>
            <w:tcW w:w="6391" w:type="dxa"/>
          </w:tcPr>
          <w:p w14:paraId="34A9501C" w14:textId="1FDCC88B" w:rsidR="0009686B" w:rsidRDefault="0009686B" w:rsidP="006A59B6">
            <w:pPr>
              <w:spacing w:before="40" w:after="40"/>
              <w:ind w:left="46"/>
              <w:rPr>
                <w:rFonts w:cs="Arial"/>
                <w:sz w:val="20"/>
                <w:szCs w:val="20"/>
              </w:rPr>
            </w:pPr>
            <w:r w:rsidRPr="00A81562">
              <w:rPr>
                <w:rFonts w:cs="Arial"/>
                <w:sz w:val="20"/>
                <w:szCs w:val="20"/>
              </w:rPr>
              <w:t>Convention on the International Regulations for Preventing Collisions at Sea</w:t>
            </w:r>
          </w:p>
        </w:tc>
      </w:tr>
      <w:tr w:rsidR="0009686B" w:rsidRPr="00A81562" w14:paraId="4B028767" w14:textId="77777777" w:rsidTr="006A59B6">
        <w:tc>
          <w:tcPr>
            <w:tcW w:w="2081" w:type="dxa"/>
          </w:tcPr>
          <w:p w14:paraId="7FAD8047" w14:textId="2CB8D1A3" w:rsidR="0009686B" w:rsidRDefault="0009686B" w:rsidP="006A59B6">
            <w:pPr>
              <w:spacing w:before="40" w:after="40"/>
              <w:ind w:left="0"/>
              <w:rPr>
                <w:rFonts w:cs="Arial"/>
                <w:sz w:val="20"/>
                <w:szCs w:val="20"/>
              </w:rPr>
            </w:pPr>
            <w:r>
              <w:rPr>
                <w:rFonts w:cs="Arial"/>
                <w:sz w:val="20"/>
                <w:szCs w:val="20"/>
              </w:rPr>
              <w:t>CPUE</w:t>
            </w:r>
          </w:p>
        </w:tc>
        <w:tc>
          <w:tcPr>
            <w:tcW w:w="6391" w:type="dxa"/>
          </w:tcPr>
          <w:p w14:paraId="3E1F1F5A" w14:textId="7F1108CE" w:rsidR="0009686B" w:rsidRDefault="0009686B" w:rsidP="006A59B6">
            <w:pPr>
              <w:spacing w:before="40" w:after="40"/>
              <w:ind w:left="46"/>
              <w:rPr>
                <w:rFonts w:cs="Arial"/>
                <w:sz w:val="20"/>
                <w:szCs w:val="20"/>
              </w:rPr>
            </w:pPr>
            <w:r>
              <w:rPr>
                <w:rFonts w:cs="Arial"/>
                <w:sz w:val="20"/>
                <w:szCs w:val="20"/>
              </w:rPr>
              <w:t>Catch Per Unit Effort</w:t>
            </w:r>
          </w:p>
        </w:tc>
      </w:tr>
      <w:tr w:rsidR="0009686B" w:rsidRPr="00A81562" w14:paraId="2EF47235" w14:textId="77777777" w:rsidTr="006A59B6">
        <w:tc>
          <w:tcPr>
            <w:tcW w:w="2081" w:type="dxa"/>
          </w:tcPr>
          <w:p w14:paraId="3B114DBD" w14:textId="4CA49946" w:rsidR="0009686B" w:rsidRDefault="0009686B" w:rsidP="006A59B6">
            <w:pPr>
              <w:spacing w:before="40" w:after="40"/>
              <w:ind w:left="0"/>
              <w:rPr>
                <w:rFonts w:cs="Arial"/>
                <w:sz w:val="20"/>
                <w:szCs w:val="20"/>
              </w:rPr>
            </w:pPr>
            <w:r>
              <w:rPr>
                <w:rFonts w:cs="Arial"/>
                <w:sz w:val="20"/>
                <w:szCs w:val="20"/>
              </w:rPr>
              <w:t>CSIRO</w:t>
            </w:r>
          </w:p>
        </w:tc>
        <w:tc>
          <w:tcPr>
            <w:tcW w:w="6391" w:type="dxa"/>
          </w:tcPr>
          <w:p w14:paraId="21E024E7" w14:textId="4613DD8D" w:rsidR="0009686B" w:rsidRDefault="0009686B" w:rsidP="006A59B6">
            <w:pPr>
              <w:spacing w:before="40" w:after="40"/>
              <w:ind w:left="46"/>
              <w:rPr>
                <w:rFonts w:cs="Arial"/>
                <w:sz w:val="20"/>
                <w:szCs w:val="20"/>
              </w:rPr>
            </w:pPr>
            <w:r>
              <w:rPr>
                <w:rFonts w:cs="Arial"/>
                <w:sz w:val="20"/>
                <w:szCs w:val="20"/>
              </w:rPr>
              <w:t>Commonwealth Scientific and Industrial Research Organisation</w:t>
            </w:r>
          </w:p>
        </w:tc>
      </w:tr>
      <w:tr w:rsidR="0009686B" w:rsidRPr="00A81562" w14:paraId="3262B13F" w14:textId="77777777" w:rsidTr="006A59B6">
        <w:tc>
          <w:tcPr>
            <w:tcW w:w="2081" w:type="dxa"/>
          </w:tcPr>
          <w:p w14:paraId="72CE2F3F" w14:textId="16F1AE64" w:rsidR="0009686B" w:rsidRPr="00A81562" w:rsidRDefault="0009686B" w:rsidP="006A59B6">
            <w:pPr>
              <w:spacing w:before="40" w:after="40"/>
              <w:ind w:left="0"/>
              <w:rPr>
                <w:rFonts w:cs="Arial"/>
                <w:sz w:val="20"/>
                <w:szCs w:val="20"/>
              </w:rPr>
            </w:pPr>
            <w:r>
              <w:rPr>
                <w:rFonts w:cs="Arial"/>
                <w:sz w:val="20"/>
                <w:szCs w:val="20"/>
              </w:rPr>
              <w:t>DAWR</w:t>
            </w:r>
          </w:p>
        </w:tc>
        <w:tc>
          <w:tcPr>
            <w:tcW w:w="6391" w:type="dxa"/>
          </w:tcPr>
          <w:p w14:paraId="6AF7757A" w14:textId="5260A48A" w:rsidR="0009686B" w:rsidRPr="00A81562" w:rsidRDefault="0009686B" w:rsidP="006A59B6">
            <w:pPr>
              <w:spacing w:before="40" w:after="40"/>
              <w:ind w:left="46"/>
              <w:rPr>
                <w:rFonts w:cs="Arial"/>
                <w:sz w:val="20"/>
                <w:szCs w:val="20"/>
              </w:rPr>
            </w:pPr>
            <w:r>
              <w:rPr>
                <w:rFonts w:cs="Arial"/>
                <w:sz w:val="20"/>
                <w:szCs w:val="20"/>
              </w:rPr>
              <w:t>Department of Agriculture and Water Resources (Cth)</w:t>
            </w:r>
          </w:p>
        </w:tc>
      </w:tr>
      <w:tr w:rsidR="0009686B" w:rsidRPr="00A81562" w14:paraId="22AEC36A" w14:textId="77777777" w:rsidTr="006A59B6">
        <w:tc>
          <w:tcPr>
            <w:tcW w:w="2081" w:type="dxa"/>
          </w:tcPr>
          <w:p w14:paraId="0F369555" w14:textId="51E38233" w:rsidR="0009686B" w:rsidRPr="00A81562" w:rsidRDefault="0009686B" w:rsidP="006A59B6">
            <w:pPr>
              <w:spacing w:before="40" w:after="40"/>
              <w:ind w:left="0"/>
              <w:rPr>
                <w:rFonts w:cs="Arial"/>
                <w:sz w:val="20"/>
                <w:szCs w:val="20"/>
              </w:rPr>
            </w:pPr>
            <w:r w:rsidRPr="00A81562">
              <w:rPr>
                <w:rFonts w:cs="Arial"/>
                <w:sz w:val="20"/>
                <w:szCs w:val="20"/>
                <w:lang w:val="en"/>
              </w:rPr>
              <w:t>DEDJTR</w:t>
            </w:r>
          </w:p>
        </w:tc>
        <w:tc>
          <w:tcPr>
            <w:tcW w:w="6391" w:type="dxa"/>
          </w:tcPr>
          <w:p w14:paraId="3C0B9062" w14:textId="3DD2F4B3" w:rsidR="0009686B" w:rsidRPr="00A81562" w:rsidRDefault="0009686B" w:rsidP="006A59B6">
            <w:pPr>
              <w:spacing w:before="40" w:after="40"/>
              <w:ind w:left="46"/>
              <w:rPr>
                <w:rFonts w:cs="Arial"/>
                <w:sz w:val="20"/>
                <w:szCs w:val="20"/>
              </w:rPr>
            </w:pPr>
            <w:r w:rsidRPr="00A81562">
              <w:rPr>
                <w:rFonts w:cs="Arial"/>
                <w:sz w:val="20"/>
                <w:szCs w:val="20"/>
                <w:lang w:val="en"/>
              </w:rPr>
              <w:t>Victorian Department of Economic Development, Jobs, Transport and Resources</w:t>
            </w:r>
            <w:r>
              <w:rPr>
                <w:rFonts w:cs="Arial"/>
                <w:sz w:val="20"/>
                <w:szCs w:val="20"/>
                <w:lang w:val="en"/>
              </w:rPr>
              <w:t xml:space="preserve"> (Vic)</w:t>
            </w:r>
          </w:p>
        </w:tc>
      </w:tr>
      <w:tr w:rsidR="0009686B" w:rsidRPr="00A81562" w14:paraId="57F6A731" w14:textId="77777777" w:rsidTr="006A59B6">
        <w:tc>
          <w:tcPr>
            <w:tcW w:w="2081" w:type="dxa"/>
          </w:tcPr>
          <w:p w14:paraId="258B7BBF" w14:textId="2F7536E0" w:rsidR="0009686B" w:rsidRPr="00A81562" w:rsidRDefault="0009686B" w:rsidP="006A59B6">
            <w:pPr>
              <w:spacing w:before="40" w:after="40"/>
              <w:ind w:left="0"/>
              <w:rPr>
                <w:rFonts w:cs="Arial"/>
                <w:sz w:val="20"/>
                <w:szCs w:val="20"/>
              </w:rPr>
            </w:pPr>
            <w:r w:rsidRPr="00A81562">
              <w:rPr>
                <w:rFonts w:cs="Arial"/>
                <w:color w:val="000000"/>
                <w:sz w:val="20"/>
                <w:szCs w:val="20"/>
                <w:lang w:eastAsia="en-US"/>
              </w:rPr>
              <w:t>DELWP</w:t>
            </w:r>
          </w:p>
        </w:tc>
        <w:tc>
          <w:tcPr>
            <w:tcW w:w="6391" w:type="dxa"/>
          </w:tcPr>
          <w:p w14:paraId="731717BD" w14:textId="733825FB" w:rsidR="0009686B" w:rsidRPr="00A81562" w:rsidRDefault="0009686B" w:rsidP="006A59B6">
            <w:pPr>
              <w:spacing w:before="40" w:after="40"/>
              <w:ind w:left="46"/>
              <w:rPr>
                <w:rFonts w:cs="Arial"/>
                <w:sz w:val="20"/>
                <w:szCs w:val="20"/>
              </w:rPr>
            </w:pPr>
            <w:r w:rsidRPr="00A81562">
              <w:rPr>
                <w:rFonts w:cs="Arial"/>
                <w:color w:val="000000"/>
                <w:sz w:val="20"/>
                <w:szCs w:val="20"/>
                <w:lang w:eastAsia="en-US"/>
              </w:rPr>
              <w:t>Department of Environment, Land, Water and Planning</w:t>
            </w:r>
            <w:r>
              <w:rPr>
                <w:rFonts w:cs="Arial"/>
                <w:color w:val="000000"/>
                <w:sz w:val="20"/>
                <w:szCs w:val="20"/>
                <w:lang w:eastAsia="en-US"/>
              </w:rPr>
              <w:t xml:space="preserve"> (Vic)</w:t>
            </w:r>
          </w:p>
        </w:tc>
      </w:tr>
      <w:tr w:rsidR="0009686B" w:rsidRPr="00A81562" w14:paraId="25FF3AA7" w14:textId="77777777" w:rsidTr="006A59B6">
        <w:tc>
          <w:tcPr>
            <w:tcW w:w="2081" w:type="dxa"/>
          </w:tcPr>
          <w:p w14:paraId="2C78F49E" w14:textId="01A66695" w:rsidR="0009686B" w:rsidRPr="00A81562" w:rsidRDefault="0009686B" w:rsidP="006A59B6">
            <w:pPr>
              <w:spacing w:before="40" w:after="40"/>
              <w:ind w:left="0"/>
              <w:rPr>
                <w:rFonts w:cs="Arial"/>
                <w:sz w:val="20"/>
                <w:szCs w:val="20"/>
              </w:rPr>
            </w:pPr>
            <w:r w:rsidRPr="00A81562">
              <w:rPr>
                <w:rFonts w:cs="Arial"/>
                <w:sz w:val="20"/>
                <w:szCs w:val="20"/>
              </w:rPr>
              <w:t>DGPS</w:t>
            </w:r>
          </w:p>
        </w:tc>
        <w:tc>
          <w:tcPr>
            <w:tcW w:w="6391" w:type="dxa"/>
          </w:tcPr>
          <w:p w14:paraId="374D27DE" w14:textId="69854559" w:rsidR="0009686B" w:rsidRPr="00A81562" w:rsidRDefault="0009686B" w:rsidP="006A59B6">
            <w:pPr>
              <w:spacing w:before="40" w:after="40"/>
              <w:ind w:left="46"/>
              <w:rPr>
                <w:rFonts w:cs="Arial"/>
                <w:sz w:val="20"/>
                <w:szCs w:val="20"/>
              </w:rPr>
            </w:pPr>
            <w:r>
              <w:rPr>
                <w:rFonts w:cs="Arial"/>
                <w:sz w:val="20"/>
                <w:szCs w:val="20"/>
              </w:rPr>
              <w:t>D</w:t>
            </w:r>
            <w:r w:rsidRPr="00A81562">
              <w:rPr>
                <w:rFonts w:cs="Arial"/>
                <w:sz w:val="20"/>
                <w:szCs w:val="20"/>
              </w:rPr>
              <w:t xml:space="preserve">ifferential </w:t>
            </w:r>
            <w:r>
              <w:rPr>
                <w:rFonts w:cs="Arial"/>
                <w:sz w:val="20"/>
                <w:szCs w:val="20"/>
              </w:rPr>
              <w:t>G</w:t>
            </w:r>
            <w:r w:rsidRPr="00A81562">
              <w:rPr>
                <w:rFonts w:cs="Arial"/>
                <w:sz w:val="20"/>
                <w:szCs w:val="20"/>
              </w:rPr>
              <w:t xml:space="preserve">lobal </w:t>
            </w:r>
            <w:r>
              <w:rPr>
                <w:rFonts w:cs="Arial"/>
                <w:sz w:val="20"/>
                <w:szCs w:val="20"/>
              </w:rPr>
              <w:t>P</w:t>
            </w:r>
            <w:r w:rsidRPr="00A81562">
              <w:rPr>
                <w:rFonts w:cs="Arial"/>
                <w:sz w:val="20"/>
                <w:szCs w:val="20"/>
              </w:rPr>
              <w:t xml:space="preserve">ositioning </w:t>
            </w:r>
            <w:r>
              <w:rPr>
                <w:rFonts w:cs="Arial"/>
                <w:sz w:val="20"/>
                <w:szCs w:val="20"/>
              </w:rPr>
              <w:t>S</w:t>
            </w:r>
            <w:r w:rsidRPr="00A81562">
              <w:rPr>
                <w:rFonts w:cs="Arial"/>
                <w:sz w:val="20"/>
                <w:szCs w:val="20"/>
              </w:rPr>
              <w:t>ystem</w:t>
            </w:r>
          </w:p>
        </w:tc>
      </w:tr>
      <w:tr w:rsidR="008C2AAE" w:rsidRPr="00A81562" w14:paraId="4C83C2DA" w14:textId="77777777" w:rsidTr="006A59B6">
        <w:tc>
          <w:tcPr>
            <w:tcW w:w="2081" w:type="dxa"/>
          </w:tcPr>
          <w:p w14:paraId="0F686583" w14:textId="53A3F235" w:rsidR="008C2AAE" w:rsidRPr="00A81562" w:rsidRDefault="008C2AAE" w:rsidP="006A59B6">
            <w:pPr>
              <w:spacing w:before="40" w:after="40"/>
              <w:ind w:left="0"/>
              <w:rPr>
                <w:rFonts w:cs="Arial"/>
                <w:sz w:val="20"/>
                <w:szCs w:val="20"/>
              </w:rPr>
            </w:pPr>
            <w:r>
              <w:rPr>
                <w:rFonts w:cs="Arial"/>
                <w:sz w:val="20"/>
                <w:szCs w:val="20"/>
              </w:rPr>
              <w:t>DIIS</w:t>
            </w:r>
          </w:p>
        </w:tc>
        <w:tc>
          <w:tcPr>
            <w:tcW w:w="6391" w:type="dxa"/>
          </w:tcPr>
          <w:p w14:paraId="330B1DD2" w14:textId="538FC99F" w:rsidR="008C2AAE" w:rsidRDefault="008C2AAE" w:rsidP="006A59B6">
            <w:pPr>
              <w:spacing w:before="40" w:after="40"/>
              <w:ind w:left="46"/>
              <w:rPr>
                <w:rFonts w:cs="Arial"/>
                <w:sz w:val="20"/>
                <w:szCs w:val="20"/>
              </w:rPr>
            </w:pPr>
            <w:r>
              <w:rPr>
                <w:rFonts w:cs="Arial"/>
                <w:sz w:val="20"/>
                <w:szCs w:val="20"/>
              </w:rPr>
              <w:t>Department of Industry, Innovation and Science (Cth)</w:t>
            </w:r>
          </w:p>
        </w:tc>
      </w:tr>
      <w:tr w:rsidR="0009686B" w:rsidRPr="00A81562" w14:paraId="66944AE4" w14:textId="77777777" w:rsidTr="006A59B6">
        <w:tc>
          <w:tcPr>
            <w:tcW w:w="2081" w:type="dxa"/>
          </w:tcPr>
          <w:p w14:paraId="4B79EBB0" w14:textId="14C007CF" w:rsidR="0009686B" w:rsidRPr="00A81562" w:rsidRDefault="0009686B" w:rsidP="006A59B6">
            <w:pPr>
              <w:spacing w:before="40" w:after="40"/>
              <w:ind w:left="0"/>
              <w:rPr>
                <w:rFonts w:cs="Arial"/>
                <w:sz w:val="20"/>
                <w:szCs w:val="20"/>
              </w:rPr>
            </w:pPr>
            <w:r w:rsidRPr="00A81562">
              <w:rPr>
                <w:rFonts w:cs="Arial"/>
                <w:color w:val="000000"/>
                <w:sz w:val="20"/>
                <w:szCs w:val="20"/>
                <w:lang w:eastAsia="en-US"/>
              </w:rPr>
              <w:t>DoD</w:t>
            </w:r>
          </w:p>
        </w:tc>
        <w:tc>
          <w:tcPr>
            <w:tcW w:w="6391" w:type="dxa"/>
          </w:tcPr>
          <w:p w14:paraId="1F53A2AB" w14:textId="3F072401" w:rsidR="0009686B" w:rsidRPr="00A81562" w:rsidRDefault="0009686B" w:rsidP="006A59B6">
            <w:pPr>
              <w:spacing w:before="40" w:after="40"/>
              <w:ind w:left="46"/>
              <w:rPr>
                <w:rFonts w:cs="Arial"/>
                <w:sz w:val="20"/>
                <w:szCs w:val="20"/>
              </w:rPr>
            </w:pPr>
            <w:r w:rsidRPr="00A81562">
              <w:rPr>
                <w:rFonts w:cs="Arial"/>
                <w:color w:val="000000"/>
                <w:sz w:val="20"/>
                <w:szCs w:val="20"/>
                <w:lang w:eastAsia="en-US"/>
              </w:rPr>
              <w:t>Department of Defence</w:t>
            </w:r>
            <w:r>
              <w:rPr>
                <w:rFonts w:cs="Arial"/>
                <w:color w:val="000000"/>
                <w:sz w:val="20"/>
                <w:szCs w:val="20"/>
                <w:lang w:eastAsia="en-US"/>
              </w:rPr>
              <w:t xml:space="preserve"> (Cth)</w:t>
            </w:r>
          </w:p>
        </w:tc>
      </w:tr>
      <w:tr w:rsidR="0009686B" w:rsidRPr="00A81562" w14:paraId="655B26DE" w14:textId="77777777" w:rsidTr="006A59B6">
        <w:tc>
          <w:tcPr>
            <w:tcW w:w="2081" w:type="dxa"/>
          </w:tcPr>
          <w:p w14:paraId="620A05B0" w14:textId="7B199F44" w:rsidR="0009686B" w:rsidRPr="00A81562" w:rsidRDefault="0009686B" w:rsidP="006A59B6">
            <w:pPr>
              <w:spacing w:before="40" w:after="40"/>
              <w:ind w:left="0"/>
              <w:rPr>
                <w:rFonts w:cs="Arial"/>
                <w:sz w:val="20"/>
                <w:szCs w:val="20"/>
              </w:rPr>
            </w:pPr>
            <w:r>
              <w:rPr>
                <w:rFonts w:cs="Arial"/>
                <w:sz w:val="20"/>
                <w:szCs w:val="20"/>
              </w:rPr>
              <w:t>DoE</w:t>
            </w:r>
          </w:p>
        </w:tc>
        <w:tc>
          <w:tcPr>
            <w:tcW w:w="6391" w:type="dxa"/>
          </w:tcPr>
          <w:p w14:paraId="35890A41" w14:textId="15BE62B9" w:rsidR="0009686B" w:rsidRPr="00A81562" w:rsidRDefault="0009686B" w:rsidP="006A59B6">
            <w:pPr>
              <w:spacing w:before="40" w:after="40"/>
              <w:ind w:left="46"/>
              <w:rPr>
                <w:rFonts w:cs="Arial"/>
                <w:sz w:val="20"/>
                <w:szCs w:val="20"/>
              </w:rPr>
            </w:pPr>
            <w:r>
              <w:rPr>
                <w:rFonts w:cs="Arial"/>
                <w:sz w:val="20"/>
                <w:szCs w:val="20"/>
              </w:rPr>
              <w:t>Department of the Environment (Cth) (</w:t>
            </w:r>
            <w:r w:rsidRPr="00B81D7A">
              <w:rPr>
                <w:rFonts w:cs="Arial"/>
                <w:i/>
                <w:sz w:val="20"/>
                <w:szCs w:val="20"/>
              </w:rPr>
              <w:t>former</w:t>
            </w:r>
            <w:r>
              <w:rPr>
                <w:rFonts w:cs="Arial"/>
                <w:sz w:val="20"/>
                <w:szCs w:val="20"/>
              </w:rPr>
              <w:t>)</w:t>
            </w:r>
          </w:p>
        </w:tc>
      </w:tr>
      <w:tr w:rsidR="0009686B" w:rsidRPr="00A81562" w14:paraId="2E8648A8" w14:textId="77777777" w:rsidTr="006A59B6">
        <w:tc>
          <w:tcPr>
            <w:tcW w:w="2081" w:type="dxa"/>
          </w:tcPr>
          <w:p w14:paraId="74EF08E2" w14:textId="371AE01A" w:rsidR="0009686B" w:rsidRPr="00A81562" w:rsidRDefault="0009686B" w:rsidP="006A59B6">
            <w:pPr>
              <w:spacing w:before="40" w:after="40"/>
              <w:ind w:left="0"/>
              <w:rPr>
                <w:rFonts w:cs="Arial"/>
                <w:sz w:val="20"/>
                <w:szCs w:val="20"/>
              </w:rPr>
            </w:pPr>
            <w:r w:rsidRPr="00A81562">
              <w:rPr>
                <w:rFonts w:cs="Arial"/>
                <w:sz w:val="20"/>
                <w:szCs w:val="20"/>
              </w:rPr>
              <w:t>DoEE</w:t>
            </w:r>
          </w:p>
        </w:tc>
        <w:tc>
          <w:tcPr>
            <w:tcW w:w="6391" w:type="dxa"/>
          </w:tcPr>
          <w:p w14:paraId="1134B812" w14:textId="262C7A46" w:rsidR="0009686B" w:rsidRPr="00A81562" w:rsidRDefault="0009686B" w:rsidP="006A59B6">
            <w:pPr>
              <w:spacing w:before="40" w:after="40"/>
              <w:ind w:left="46"/>
              <w:rPr>
                <w:rFonts w:cs="Arial"/>
                <w:sz w:val="20"/>
                <w:szCs w:val="20"/>
              </w:rPr>
            </w:pPr>
            <w:r w:rsidRPr="00A81562">
              <w:rPr>
                <w:rFonts w:cs="Arial"/>
                <w:sz w:val="20"/>
                <w:szCs w:val="20"/>
              </w:rPr>
              <w:t>Department of Environment and Energy</w:t>
            </w:r>
            <w:r>
              <w:rPr>
                <w:rFonts w:cs="Arial"/>
                <w:sz w:val="20"/>
                <w:szCs w:val="20"/>
              </w:rPr>
              <w:t xml:space="preserve"> (Cth)</w:t>
            </w:r>
          </w:p>
        </w:tc>
      </w:tr>
      <w:tr w:rsidR="0009686B" w:rsidRPr="00A81562" w14:paraId="40E00E8C" w14:textId="77777777" w:rsidTr="006A59B6">
        <w:tc>
          <w:tcPr>
            <w:tcW w:w="2081" w:type="dxa"/>
          </w:tcPr>
          <w:p w14:paraId="709E1EC2" w14:textId="3B96CEFA" w:rsidR="0009686B" w:rsidRDefault="0009686B" w:rsidP="006A59B6">
            <w:pPr>
              <w:spacing w:before="40" w:after="40"/>
              <w:ind w:left="0"/>
              <w:rPr>
                <w:rFonts w:cs="Arial"/>
                <w:sz w:val="20"/>
                <w:szCs w:val="20"/>
              </w:rPr>
            </w:pPr>
            <w:r w:rsidRPr="00A81562">
              <w:rPr>
                <w:rFonts w:cs="Arial"/>
                <w:sz w:val="20"/>
                <w:szCs w:val="20"/>
              </w:rPr>
              <w:t>DoF</w:t>
            </w:r>
          </w:p>
        </w:tc>
        <w:tc>
          <w:tcPr>
            <w:tcW w:w="6391" w:type="dxa"/>
          </w:tcPr>
          <w:p w14:paraId="7D0EEE7C" w14:textId="4377EDD6" w:rsidR="0009686B" w:rsidRDefault="0009686B" w:rsidP="006A59B6">
            <w:pPr>
              <w:spacing w:before="40" w:after="40"/>
              <w:ind w:left="46"/>
              <w:rPr>
                <w:rFonts w:cs="Arial"/>
                <w:sz w:val="20"/>
                <w:szCs w:val="20"/>
              </w:rPr>
            </w:pPr>
            <w:r w:rsidRPr="00A81562">
              <w:rPr>
                <w:rFonts w:cs="Arial"/>
                <w:sz w:val="20"/>
                <w:szCs w:val="20"/>
              </w:rPr>
              <w:t>Department of Fisheries</w:t>
            </w:r>
            <w:r>
              <w:rPr>
                <w:rFonts w:cs="Arial"/>
                <w:sz w:val="20"/>
                <w:szCs w:val="20"/>
              </w:rPr>
              <w:t xml:space="preserve"> (WA)</w:t>
            </w:r>
          </w:p>
        </w:tc>
      </w:tr>
      <w:tr w:rsidR="0009686B" w:rsidRPr="00A81562" w14:paraId="687BA6CF" w14:textId="77777777" w:rsidTr="006A59B6">
        <w:tc>
          <w:tcPr>
            <w:tcW w:w="2081" w:type="dxa"/>
          </w:tcPr>
          <w:p w14:paraId="6E9AE24E" w14:textId="7CC32AED" w:rsidR="0009686B" w:rsidRDefault="0009686B" w:rsidP="006A59B6">
            <w:pPr>
              <w:spacing w:before="40" w:after="40"/>
              <w:ind w:left="0"/>
              <w:rPr>
                <w:rFonts w:cs="Arial"/>
                <w:sz w:val="20"/>
                <w:szCs w:val="20"/>
              </w:rPr>
            </w:pPr>
            <w:r>
              <w:rPr>
                <w:rFonts w:cs="Arial"/>
                <w:sz w:val="20"/>
                <w:szCs w:val="20"/>
              </w:rPr>
              <w:t>DP</w:t>
            </w:r>
          </w:p>
        </w:tc>
        <w:tc>
          <w:tcPr>
            <w:tcW w:w="6391" w:type="dxa"/>
          </w:tcPr>
          <w:p w14:paraId="46E8B52F" w14:textId="0E77A1C7" w:rsidR="0009686B" w:rsidRDefault="0009686B" w:rsidP="006A59B6">
            <w:pPr>
              <w:spacing w:before="40" w:after="40"/>
              <w:ind w:left="46"/>
              <w:rPr>
                <w:rFonts w:cs="Arial"/>
                <w:sz w:val="20"/>
                <w:szCs w:val="20"/>
              </w:rPr>
            </w:pPr>
            <w:r>
              <w:rPr>
                <w:rFonts w:cs="Arial"/>
                <w:sz w:val="20"/>
                <w:szCs w:val="20"/>
              </w:rPr>
              <w:t>Dynamic Positioning</w:t>
            </w:r>
          </w:p>
        </w:tc>
      </w:tr>
      <w:tr w:rsidR="0009686B" w:rsidRPr="00A81562" w14:paraId="59A80B9A" w14:textId="77777777" w:rsidTr="006A59B6">
        <w:tc>
          <w:tcPr>
            <w:tcW w:w="2081" w:type="dxa"/>
          </w:tcPr>
          <w:p w14:paraId="6ABB5220" w14:textId="17026748" w:rsidR="0009686B" w:rsidRPr="00A81562" w:rsidRDefault="0009686B" w:rsidP="006A59B6">
            <w:pPr>
              <w:spacing w:before="40" w:after="40"/>
              <w:ind w:left="0"/>
              <w:rPr>
                <w:rFonts w:cs="Arial"/>
                <w:sz w:val="20"/>
                <w:szCs w:val="20"/>
              </w:rPr>
            </w:pPr>
            <w:r>
              <w:rPr>
                <w:rFonts w:cs="Arial"/>
                <w:sz w:val="20"/>
                <w:szCs w:val="20"/>
              </w:rPr>
              <w:t>DSEWPC</w:t>
            </w:r>
          </w:p>
        </w:tc>
        <w:tc>
          <w:tcPr>
            <w:tcW w:w="6391" w:type="dxa"/>
          </w:tcPr>
          <w:p w14:paraId="2F4A8A4A" w14:textId="23485110" w:rsidR="0009686B" w:rsidRPr="00A81562" w:rsidRDefault="0009686B" w:rsidP="006A59B6">
            <w:pPr>
              <w:spacing w:before="40" w:after="40"/>
              <w:ind w:left="46"/>
              <w:rPr>
                <w:rFonts w:cs="Arial"/>
                <w:sz w:val="20"/>
                <w:szCs w:val="20"/>
              </w:rPr>
            </w:pPr>
            <w:r>
              <w:rPr>
                <w:rFonts w:cs="Arial"/>
                <w:sz w:val="20"/>
                <w:szCs w:val="20"/>
              </w:rPr>
              <w:t>Department of Sustainability, Environment, Water, Population and Communities (Cth) (</w:t>
            </w:r>
            <w:r w:rsidRPr="002635A5">
              <w:rPr>
                <w:rFonts w:cs="Arial"/>
                <w:i/>
                <w:sz w:val="20"/>
                <w:szCs w:val="20"/>
              </w:rPr>
              <w:t>former</w:t>
            </w:r>
            <w:r>
              <w:rPr>
                <w:rFonts w:cs="Arial"/>
                <w:sz w:val="20"/>
                <w:szCs w:val="20"/>
              </w:rPr>
              <w:t>)</w:t>
            </w:r>
          </w:p>
        </w:tc>
      </w:tr>
      <w:tr w:rsidR="0009686B" w:rsidRPr="00A81562" w14:paraId="463F5DF3" w14:textId="77777777" w:rsidTr="006A59B6">
        <w:tc>
          <w:tcPr>
            <w:tcW w:w="2081" w:type="dxa"/>
          </w:tcPr>
          <w:p w14:paraId="1ED2012B" w14:textId="371D512E" w:rsidR="0009686B" w:rsidRPr="00A81562" w:rsidRDefault="0009686B" w:rsidP="006A59B6">
            <w:pPr>
              <w:spacing w:before="40" w:after="40"/>
              <w:ind w:left="0"/>
              <w:rPr>
                <w:rFonts w:cs="Arial"/>
                <w:sz w:val="20"/>
                <w:szCs w:val="20"/>
              </w:rPr>
            </w:pPr>
            <w:r w:rsidRPr="00A81562">
              <w:rPr>
                <w:rFonts w:cs="Arial"/>
                <w:sz w:val="20"/>
                <w:szCs w:val="20"/>
              </w:rPr>
              <w:t>EAC</w:t>
            </w:r>
          </w:p>
        </w:tc>
        <w:tc>
          <w:tcPr>
            <w:tcW w:w="6391" w:type="dxa"/>
          </w:tcPr>
          <w:p w14:paraId="79838983" w14:textId="390035A5" w:rsidR="0009686B" w:rsidRPr="00A81562" w:rsidRDefault="0009686B" w:rsidP="006A59B6">
            <w:pPr>
              <w:spacing w:before="40" w:after="40"/>
              <w:ind w:left="46"/>
              <w:rPr>
                <w:rFonts w:cs="Arial"/>
                <w:sz w:val="20"/>
                <w:szCs w:val="20"/>
              </w:rPr>
            </w:pPr>
            <w:r w:rsidRPr="00A81562">
              <w:rPr>
                <w:rFonts w:cs="Arial"/>
                <w:sz w:val="20"/>
                <w:szCs w:val="20"/>
              </w:rPr>
              <w:t>East Australian Current</w:t>
            </w:r>
          </w:p>
        </w:tc>
      </w:tr>
      <w:tr w:rsidR="0009686B" w:rsidRPr="00A81562" w14:paraId="64234787" w14:textId="77777777" w:rsidTr="006A59B6">
        <w:tc>
          <w:tcPr>
            <w:tcW w:w="2081" w:type="dxa"/>
          </w:tcPr>
          <w:p w14:paraId="08041AC2" w14:textId="7F890757" w:rsidR="0009686B" w:rsidRPr="00A81562" w:rsidRDefault="0009686B" w:rsidP="006A59B6">
            <w:pPr>
              <w:spacing w:before="40" w:after="40"/>
              <w:ind w:left="0"/>
              <w:rPr>
                <w:rFonts w:cs="Arial"/>
                <w:sz w:val="20"/>
                <w:szCs w:val="20"/>
              </w:rPr>
            </w:pPr>
            <w:r w:rsidRPr="00A81562">
              <w:rPr>
                <w:rFonts w:cs="Arial"/>
                <w:sz w:val="20"/>
                <w:szCs w:val="20"/>
              </w:rPr>
              <w:t>EARPL</w:t>
            </w:r>
          </w:p>
        </w:tc>
        <w:tc>
          <w:tcPr>
            <w:tcW w:w="6391" w:type="dxa"/>
          </w:tcPr>
          <w:p w14:paraId="20833209" w14:textId="57CC8E88" w:rsidR="0009686B" w:rsidRPr="00A81562" w:rsidRDefault="0009686B" w:rsidP="006A59B6">
            <w:pPr>
              <w:spacing w:before="40" w:after="40"/>
              <w:ind w:left="46"/>
              <w:rPr>
                <w:rFonts w:cs="Arial"/>
                <w:sz w:val="20"/>
                <w:szCs w:val="20"/>
              </w:rPr>
            </w:pPr>
            <w:r w:rsidRPr="00A81562">
              <w:rPr>
                <w:rFonts w:cs="Arial"/>
                <w:sz w:val="20"/>
                <w:szCs w:val="20"/>
              </w:rPr>
              <w:t>Esso Australia Resources Pty Ltd</w:t>
            </w:r>
          </w:p>
        </w:tc>
      </w:tr>
      <w:tr w:rsidR="0009686B" w:rsidRPr="00A81562" w14:paraId="43D5B2C0" w14:textId="77777777" w:rsidTr="006A59B6">
        <w:tc>
          <w:tcPr>
            <w:tcW w:w="2081" w:type="dxa"/>
          </w:tcPr>
          <w:p w14:paraId="387BF217" w14:textId="4A8A5900" w:rsidR="0009686B" w:rsidRPr="00A81562" w:rsidRDefault="0009686B" w:rsidP="006A59B6">
            <w:pPr>
              <w:spacing w:before="40" w:after="40"/>
              <w:ind w:left="0"/>
              <w:rPr>
                <w:rFonts w:cs="Arial"/>
                <w:sz w:val="20"/>
                <w:szCs w:val="20"/>
              </w:rPr>
            </w:pPr>
            <w:r w:rsidRPr="00A81562">
              <w:rPr>
                <w:rFonts w:cs="Arial"/>
                <w:sz w:val="20"/>
                <w:szCs w:val="20"/>
              </w:rPr>
              <w:t>EEZ</w:t>
            </w:r>
          </w:p>
        </w:tc>
        <w:tc>
          <w:tcPr>
            <w:tcW w:w="6391" w:type="dxa"/>
          </w:tcPr>
          <w:p w14:paraId="0603335A" w14:textId="6768AB07" w:rsidR="0009686B" w:rsidRPr="00A81562" w:rsidRDefault="0009686B" w:rsidP="006A59B6">
            <w:pPr>
              <w:spacing w:before="40" w:after="40"/>
              <w:ind w:left="46"/>
              <w:rPr>
                <w:rFonts w:cs="Arial"/>
                <w:sz w:val="20"/>
                <w:szCs w:val="20"/>
              </w:rPr>
            </w:pPr>
            <w:r w:rsidRPr="00A81562">
              <w:rPr>
                <w:rFonts w:cs="Arial"/>
                <w:sz w:val="20"/>
                <w:szCs w:val="20"/>
              </w:rPr>
              <w:t>Exclusive Economic Zone</w:t>
            </w:r>
          </w:p>
        </w:tc>
      </w:tr>
      <w:tr w:rsidR="0009686B" w:rsidRPr="00A81562" w14:paraId="6721B3A5" w14:textId="77777777" w:rsidTr="006A59B6">
        <w:tc>
          <w:tcPr>
            <w:tcW w:w="2081" w:type="dxa"/>
          </w:tcPr>
          <w:p w14:paraId="78374C49" w14:textId="0DA4DC29" w:rsidR="0009686B" w:rsidRPr="00A81562" w:rsidRDefault="0009686B" w:rsidP="006A59B6">
            <w:pPr>
              <w:spacing w:before="40" w:after="40"/>
              <w:ind w:left="0"/>
              <w:rPr>
                <w:rFonts w:cs="Arial"/>
                <w:sz w:val="20"/>
                <w:szCs w:val="20"/>
              </w:rPr>
            </w:pPr>
            <w:r w:rsidRPr="00A81562">
              <w:rPr>
                <w:rFonts w:cs="Arial"/>
                <w:color w:val="000000"/>
                <w:sz w:val="20"/>
                <w:szCs w:val="20"/>
                <w:lang w:eastAsia="en-US"/>
              </w:rPr>
              <w:t>EGCMA</w:t>
            </w:r>
          </w:p>
        </w:tc>
        <w:tc>
          <w:tcPr>
            <w:tcW w:w="6391" w:type="dxa"/>
          </w:tcPr>
          <w:p w14:paraId="7C7672DE" w14:textId="516F7930" w:rsidR="0009686B" w:rsidRPr="00A81562" w:rsidRDefault="0009686B" w:rsidP="006A59B6">
            <w:pPr>
              <w:spacing w:before="40" w:after="40"/>
              <w:ind w:left="46"/>
              <w:rPr>
                <w:rFonts w:cs="Arial"/>
                <w:sz w:val="20"/>
                <w:szCs w:val="20"/>
              </w:rPr>
            </w:pPr>
            <w:r w:rsidRPr="00A81562">
              <w:rPr>
                <w:rFonts w:cs="Arial"/>
                <w:color w:val="000000"/>
                <w:sz w:val="20"/>
                <w:szCs w:val="20"/>
                <w:lang w:eastAsia="en-US"/>
              </w:rPr>
              <w:t>East Gippsland Catchment Management Authority</w:t>
            </w:r>
          </w:p>
        </w:tc>
      </w:tr>
      <w:tr w:rsidR="0009686B" w:rsidRPr="00A81562" w14:paraId="41786CBA" w14:textId="77777777" w:rsidTr="006A59B6">
        <w:tc>
          <w:tcPr>
            <w:tcW w:w="2081" w:type="dxa"/>
          </w:tcPr>
          <w:p w14:paraId="12F5AAAB" w14:textId="6E7D99BB" w:rsidR="0009686B" w:rsidRPr="00A81562" w:rsidRDefault="0009686B" w:rsidP="006A59B6">
            <w:pPr>
              <w:spacing w:before="40" w:after="40"/>
              <w:ind w:left="0"/>
              <w:rPr>
                <w:rFonts w:cs="Arial"/>
                <w:sz w:val="20"/>
                <w:szCs w:val="20"/>
              </w:rPr>
            </w:pPr>
            <w:r w:rsidRPr="00A81562">
              <w:rPr>
                <w:rFonts w:cs="Arial"/>
                <w:sz w:val="20"/>
                <w:szCs w:val="20"/>
              </w:rPr>
              <w:t>EIA</w:t>
            </w:r>
          </w:p>
        </w:tc>
        <w:tc>
          <w:tcPr>
            <w:tcW w:w="6391" w:type="dxa"/>
          </w:tcPr>
          <w:p w14:paraId="75A120E8" w14:textId="2EC05E4C" w:rsidR="0009686B" w:rsidRPr="00A81562" w:rsidRDefault="0009686B" w:rsidP="006A59B6">
            <w:pPr>
              <w:spacing w:before="40" w:after="40"/>
              <w:ind w:left="46"/>
              <w:rPr>
                <w:rFonts w:cs="Arial"/>
                <w:sz w:val="20"/>
                <w:szCs w:val="20"/>
              </w:rPr>
            </w:pPr>
            <w:r w:rsidRPr="00A81562">
              <w:rPr>
                <w:rFonts w:cs="Arial"/>
                <w:sz w:val="20"/>
                <w:szCs w:val="20"/>
              </w:rPr>
              <w:t>Environmental Impact Assessment</w:t>
            </w:r>
          </w:p>
        </w:tc>
      </w:tr>
      <w:tr w:rsidR="0009686B" w:rsidRPr="00226428" w14:paraId="274CF238" w14:textId="77777777" w:rsidTr="006A59B6">
        <w:tc>
          <w:tcPr>
            <w:tcW w:w="2081" w:type="dxa"/>
          </w:tcPr>
          <w:p w14:paraId="43EFEC91" w14:textId="6678BAD2" w:rsidR="0009686B" w:rsidRPr="006A59B6" w:rsidRDefault="0009686B" w:rsidP="006A59B6">
            <w:pPr>
              <w:spacing w:before="40" w:after="40"/>
              <w:ind w:left="0"/>
              <w:rPr>
                <w:rFonts w:cs="Arial"/>
                <w:sz w:val="20"/>
                <w:szCs w:val="20"/>
              </w:rPr>
            </w:pPr>
            <w:r w:rsidRPr="00A81562">
              <w:rPr>
                <w:rFonts w:cs="Arial"/>
                <w:sz w:val="20"/>
                <w:szCs w:val="20"/>
              </w:rPr>
              <w:t>EIAPP</w:t>
            </w:r>
          </w:p>
        </w:tc>
        <w:tc>
          <w:tcPr>
            <w:tcW w:w="6391" w:type="dxa"/>
          </w:tcPr>
          <w:p w14:paraId="66535E13" w14:textId="6DBDD1C4" w:rsidR="0009686B" w:rsidRPr="00891DE1" w:rsidRDefault="0009686B" w:rsidP="006A59B6">
            <w:pPr>
              <w:spacing w:before="40" w:after="40"/>
              <w:ind w:left="46"/>
              <w:rPr>
                <w:rFonts w:cs="Arial"/>
                <w:sz w:val="20"/>
                <w:szCs w:val="20"/>
                <w:lang w:val="fr-FR"/>
              </w:rPr>
            </w:pPr>
            <w:r w:rsidRPr="00891DE1">
              <w:rPr>
                <w:rFonts w:cs="Arial"/>
                <w:sz w:val="20"/>
                <w:szCs w:val="20"/>
                <w:lang w:val="fr-FR"/>
              </w:rPr>
              <w:t>Engine International Air Pollution Prevention</w:t>
            </w:r>
          </w:p>
        </w:tc>
      </w:tr>
      <w:tr w:rsidR="0009686B" w:rsidRPr="00A81562" w14:paraId="11F66C41" w14:textId="77777777" w:rsidTr="006A59B6">
        <w:tc>
          <w:tcPr>
            <w:tcW w:w="2081" w:type="dxa"/>
          </w:tcPr>
          <w:p w14:paraId="4DF516B9" w14:textId="7D2543CD" w:rsidR="0009686B" w:rsidRDefault="0009686B" w:rsidP="006A59B6">
            <w:pPr>
              <w:spacing w:before="40" w:after="40"/>
              <w:ind w:left="0"/>
              <w:rPr>
                <w:rFonts w:cs="Arial"/>
                <w:sz w:val="20"/>
                <w:szCs w:val="20"/>
              </w:rPr>
            </w:pPr>
            <w:r w:rsidRPr="00A81562">
              <w:rPr>
                <w:rFonts w:cs="Arial"/>
                <w:sz w:val="20"/>
                <w:szCs w:val="20"/>
              </w:rPr>
              <w:t>EMBA</w:t>
            </w:r>
          </w:p>
        </w:tc>
        <w:tc>
          <w:tcPr>
            <w:tcW w:w="6391" w:type="dxa"/>
          </w:tcPr>
          <w:p w14:paraId="4E75A2E1" w14:textId="39A3CB13" w:rsidR="0009686B" w:rsidRDefault="0009686B" w:rsidP="006A59B6">
            <w:pPr>
              <w:spacing w:before="40" w:after="40"/>
              <w:ind w:left="46"/>
              <w:rPr>
                <w:rFonts w:cs="Arial"/>
                <w:sz w:val="20"/>
                <w:szCs w:val="20"/>
              </w:rPr>
            </w:pPr>
            <w:r>
              <w:rPr>
                <w:rFonts w:cs="Arial"/>
                <w:sz w:val="20"/>
                <w:szCs w:val="20"/>
              </w:rPr>
              <w:t>E</w:t>
            </w:r>
            <w:r w:rsidRPr="00A81562">
              <w:rPr>
                <w:rFonts w:cs="Arial"/>
                <w:sz w:val="20"/>
                <w:szCs w:val="20"/>
              </w:rPr>
              <w:t xml:space="preserve">nvironment </w:t>
            </w:r>
            <w:r>
              <w:rPr>
                <w:rFonts w:cs="Arial"/>
                <w:sz w:val="20"/>
                <w:szCs w:val="20"/>
              </w:rPr>
              <w:t>t</w:t>
            </w:r>
            <w:r w:rsidRPr="00A81562">
              <w:rPr>
                <w:rFonts w:cs="Arial"/>
                <w:sz w:val="20"/>
                <w:szCs w:val="20"/>
              </w:rPr>
              <w:t xml:space="preserve">hat </w:t>
            </w:r>
            <w:r>
              <w:rPr>
                <w:rFonts w:cs="Arial"/>
                <w:sz w:val="20"/>
                <w:szCs w:val="20"/>
              </w:rPr>
              <w:t>M</w:t>
            </w:r>
            <w:r w:rsidRPr="00A81562">
              <w:rPr>
                <w:rFonts w:cs="Arial"/>
                <w:sz w:val="20"/>
                <w:szCs w:val="20"/>
              </w:rPr>
              <w:t xml:space="preserve">ay </w:t>
            </w:r>
            <w:r>
              <w:rPr>
                <w:rFonts w:cs="Arial"/>
                <w:sz w:val="20"/>
                <w:szCs w:val="20"/>
              </w:rPr>
              <w:t>B</w:t>
            </w:r>
            <w:r w:rsidRPr="00A81562">
              <w:rPr>
                <w:rFonts w:cs="Arial"/>
                <w:sz w:val="20"/>
                <w:szCs w:val="20"/>
              </w:rPr>
              <w:t xml:space="preserve">e </w:t>
            </w:r>
            <w:r>
              <w:rPr>
                <w:rFonts w:cs="Arial"/>
                <w:sz w:val="20"/>
                <w:szCs w:val="20"/>
              </w:rPr>
              <w:t>A</w:t>
            </w:r>
            <w:r w:rsidRPr="00A81562">
              <w:rPr>
                <w:rFonts w:cs="Arial"/>
                <w:sz w:val="20"/>
                <w:szCs w:val="20"/>
              </w:rPr>
              <w:t>ffected</w:t>
            </w:r>
          </w:p>
        </w:tc>
      </w:tr>
      <w:tr w:rsidR="0009686B" w:rsidRPr="00A81562" w14:paraId="6CB3C750" w14:textId="77777777" w:rsidTr="006A59B6">
        <w:tc>
          <w:tcPr>
            <w:tcW w:w="2081" w:type="dxa"/>
          </w:tcPr>
          <w:p w14:paraId="35A3BD46" w14:textId="67078019" w:rsidR="0009686B" w:rsidRDefault="0009686B" w:rsidP="006A59B6">
            <w:pPr>
              <w:spacing w:before="40" w:after="40"/>
              <w:ind w:left="0"/>
              <w:rPr>
                <w:rFonts w:cs="Arial"/>
                <w:sz w:val="20"/>
                <w:szCs w:val="20"/>
              </w:rPr>
            </w:pPr>
            <w:r>
              <w:rPr>
                <w:rFonts w:cs="Arial"/>
                <w:sz w:val="20"/>
                <w:szCs w:val="20"/>
              </w:rPr>
              <w:t>EMD</w:t>
            </w:r>
          </w:p>
        </w:tc>
        <w:tc>
          <w:tcPr>
            <w:tcW w:w="6391" w:type="dxa"/>
          </w:tcPr>
          <w:p w14:paraId="65A10117" w14:textId="5ABF8721" w:rsidR="0009686B" w:rsidRDefault="0009686B" w:rsidP="006A59B6">
            <w:pPr>
              <w:spacing w:before="40" w:after="40"/>
              <w:ind w:left="46"/>
              <w:rPr>
                <w:rFonts w:cs="Arial"/>
                <w:sz w:val="20"/>
                <w:szCs w:val="20"/>
              </w:rPr>
            </w:pPr>
            <w:r>
              <w:rPr>
                <w:rFonts w:cs="Arial"/>
                <w:sz w:val="20"/>
                <w:szCs w:val="20"/>
              </w:rPr>
              <w:t>Emergency Management Division (of DEDJTR)</w:t>
            </w:r>
          </w:p>
        </w:tc>
      </w:tr>
      <w:tr w:rsidR="0009686B" w:rsidRPr="00A81562" w14:paraId="4BEA8B17" w14:textId="77777777" w:rsidTr="006A59B6">
        <w:tc>
          <w:tcPr>
            <w:tcW w:w="2081" w:type="dxa"/>
          </w:tcPr>
          <w:p w14:paraId="47F240D9" w14:textId="7843CCFB" w:rsidR="0009686B" w:rsidRPr="00A81562" w:rsidRDefault="0009686B" w:rsidP="006A59B6">
            <w:pPr>
              <w:spacing w:before="40" w:after="40"/>
              <w:ind w:left="0"/>
              <w:rPr>
                <w:rFonts w:cs="Arial"/>
                <w:sz w:val="20"/>
                <w:szCs w:val="20"/>
              </w:rPr>
            </w:pPr>
            <w:r>
              <w:rPr>
                <w:rFonts w:cs="Arial"/>
                <w:sz w:val="20"/>
                <w:szCs w:val="20"/>
              </w:rPr>
              <w:t>EMS</w:t>
            </w:r>
          </w:p>
        </w:tc>
        <w:tc>
          <w:tcPr>
            <w:tcW w:w="6391" w:type="dxa"/>
          </w:tcPr>
          <w:p w14:paraId="33AE972E" w14:textId="2EB24788" w:rsidR="0009686B" w:rsidRPr="00A81562" w:rsidRDefault="0009686B" w:rsidP="006A59B6">
            <w:pPr>
              <w:spacing w:before="40" w:after="40"/>
              <w:ind w:left="46"/>
              <w:rPr>
                <w:rFonts w:cs="Arial"/>
                <w:sz w:val="20"/>
                <w:szCs w:val="20"/>
              </w:rPr>
            </w:pPr>
            <w:r>
              <w:rPr>
                <w:rFonts w:cs="Arial"/>
                <w:sz w:val="20"/>
                <w:szCs w:val="20"/>
              </w:rPr>
              <w:t>Environmental Management System</w:t>
            </w:r>
          </w:p>
        </w:tc>
      </w:tr>
      <w:tr w:rsidR="0009686B" w:rsidRPr="00A81562" w14:paraId="4866EC38" w14:textId="77777777" w:rsidTr="006A59B6">
        <w:tc>
          <w:tcPr>
            <w:tcW w:w="2081" w:type="dxa"/>
          </w:tcPr>
          <w:p w14:paraId="7FE6C0DA" w14:textId="22FF76B6" w:rsidR="0009686B" w:rsidRPr="00A81562" w:rsidRDefault="0009686B" w:rsidP="006A59B6">
            <w:pPr>
              <w:spacing w:before="40" w:after="40"/>
              <w:ind w:left="0"/>
              <w:rPr>
                <w:rFonts w:cs="Arial"/>
                <w:sz w:val="20"/>
                <w:szCs w:val="20"/>
              </w:rPr>
            </w:pPr>
            <w:r w:rsidRPr="00A81562">
              <w:rPr>
                <w:rFonts w:cs="Arial"/>
                <w:sz w:val="20"/>
                <w:szCs w:val="20"/>
              </w:rPr>
              <w:t>EP</w:t>
            </w:r>
          </w:p>
        </w:tc>
        <w:tc>
          <w:tcPr>
            <w:tcW w:w="6391" w:type="dxa"/>
          </w:tcPr>
          <w:p w14:paraId="528160AF" w14:textId="0A362705" w:rsidR="0009686B" w:rsidRPr="00A81562" w:rsidRDefault="0009686B" w:rsidP="006A59B6">
            <w:pPr>
              <w:spacing w:before="40" w:after="40"/>
              <w:ind w:left="46"/>
              <w:rPr>
                <w:rFonts w:cs="Arial"/>
                <w:sz w:val="20"/>
                <w:szCs w:val="20"/>
              </w:rPr>
            </w:pPr>
            <w:r w:rsidRPr="00A81562">
              <w:rPr>
                <w:rFonts w:cs="Arial"/>
                <w:sz w:val="20"/>
                <w:szCs w:val="20"/>
              </w:rPr>
              <w:t>Environment Plan</w:t>
            </w:r>
          </w:p>
        </w:tc>
      </w:tr>
      <w:tr w:rsidR="0009686B" w:rsidRPr="00A81562" w14:paraId="0A1AB935" w14:textId="77777777" w:rsidTr="006A59B6">
        <w:tc>
          <w:tcPr>
            <w:tcW w:w="2081" w:type="dxa"/>
          </w:tcPr>
          <w:p w14:paraId="2F810799" w14:textId="04B5E7EF" w:rsidR="0009686B" w:rsidRPr="00A81562" w:rsidRDefault="0009686B" w:rsidP="006A59B6">
            <w:pPr>
              <w:spacing w:before="40" w:after="40"/>
              <w:ind w:left="0"/>
              <w:rPr>
                <w:rFonts w:cs="Arial"/>
                <w:sz w:val="20"/>
                <w:szCs w:val="20"/>
              </w:rPr>
            </w:pPr>
            <w:r w:rsidRPr="00A81562">
              <w:rPr>
                <w:rFonts w:cs="Arial"/>
                <w:sz w:val="20"/>
                <w:szCs w:val="20"/>
              </w:rPr>
              <w:t>EPA</w:t>
            </w:r>
          </w:p>
        </w:tc>
        <w:tc>
          <w:tcPr>
            <w:tcW w:w="6391" w:type="dxa"/>
          </w:tcPr>
          <w:p w14:paraId="040D379A" w14:textId="0568DD43" w:rsidR="0009686B" w:rsidRPr="00A81562" w:rsidRDefault="0009686B" w:rsidP="006A59B6">
            <w:pPr>
              <w:spacing w:before="40" w:after="40"/>
              <w:ind w:left="46"/>
              <w:rPr>
                <w:rFonts w:cs="Arial"/>
                <w:sz w:val="20"/>
                <w:szCs w:val="20"/>
              </w:rPr>
            </w:pPr>
            <w:r w:rsidRPr="00A81562">
              <w:rPr>
                <w:rFonts w:cs="Arial"/>
                <w:sz w:val="20"/>
                <w:szCs w:val="20"/>
              </w:rPr>
              <w:t>Environment Protection Authority</w:t>
            </w:r>
            <w:r>
              <w:rPr>
                <w:rFonts w:cs="Arial"/>
                <w:sz w:val="20"/>
                <w:szCs w:val="20"/>
              </w:rPr>
              <w:t xml:space="preserve"> (Vic) </w:t>
            </w:r>
          </w:p>
        </w:tc>
      </w:tr>
      <w:tr w:rsidR="0009686B" w:rsidRPr="00A81562" w14:paraId="29F0DEC5" w14:textId="77777777" w:rsidTr="006A59B6">
        <w:tc>
          <w:tcPr>
            <w:tcW w:w="2081" w:type="dxa"/>
          </w:tcPr>
          <w:p w14:paraId="3E3FEAD0" w14:textId="60B62931" w:rsidR="0009686B" w:rsidRPr="00A81562" w:rsidRDefault="0009686B" w:rsidP="006A59B6">
            <w:pPr>
              <w:spacing w:before="40" w:after="40"/>
              <w:ind w:left="0"/>
              <w:rPr>
                <w:rFonts w:cs="Arial"/>
                <w:sz w:val="20"/>
                <w:szCs w:val="20"/>
              </w:rPr>
            </w:pPr>
            <w:r w:rsidRPr="00A81562">
              <w:rPr>
                <w:rFonts w:cs="Arial"/>
                <w:sz w:val="20"/>
                <w:szCs w:val="20"/>
              </w:rPr>
              <w:t>EPBC Act</w:t>
            </w:r>
          </w:p>
        </w:tc>
        <w:tc>
          <w:tcPr>
            <w:tcW w:w="6391" w:type="dxa"/>
          </w:tcPr>
          <w:p w14:paraId="35200F1F" w14:textId="731502DC" w:rsidR="0009686B" w:rsidRPr="00A81562" w:rsidRDefault="0009686B" w:rsidP="006A59B6">
            <w:pPr>
              <w:spacing w:before="40" w:after="40"/>
              <w:ind w:left="46"/>
              <w:rPr>
                <w:rFonts w:cs="Arial"/>
                <w:sz w:val="20"/>
                <w:szCs w:val="20"/>
              </w:rPr>
            </w:pPr>
            <w:r w:rsidRPr="00A81562">
              <w:rPr>
                <w:rFonts w:cs="Arial"/>
                <w:sz w:val="20"/>
                <w:szCs w:val="20"/>
              </w:rPr>
              <w:t>Environment Protection and Biodiversity Conservation Act</w:t>
            </w:r>
            <w:r>
              <w:rPr>
                <w:rFonts w:cs="Arial"/>
                <w:sz w:val="20"/>
                <w:szCs w:val="20"/>
              </w:rPr>
              <w:t xml:space="preserve"> 1999 (Cth)</w:t>
            </w:r>
          </w:p>
        </w:tc>
      </w:tr>
      <w:tr w:rsidR="0009686B" w:rsidRPr="00A81562" w14:paraId="558B71CB" w14:textId="77777777" w:rsidTr="006A59B6">
        <w:tc>
          <w:tcPr>
            <w:tcW w:w="2081" w:type="dxa"/>
          </w:tcPr>
          <w:p w14:paraId="189F027C" w14:textId="27A1BD6A" w:rsidR="0009686B" w:rsidRDefault="0009686B" w:rsidP="006A59B6">
            <w:pPr>
              <w:spacing w:before="40" w:after="40"/>
              <w:ind w:left="0"/>
              <w:rPr>
                <w:rFonts w:cs="Arial"/>
                <w:sz w:val="20"/>
                <w:szCs w:val="20"/>
              </w:rPr>
            </w:pPr>
            <w:r>
              <w:rPr>
                <w:rFonts w:cs="Arial"/>
                <w:sz w:val="20"/>
                <w:szCs w:val="20"/>
              </w:rPr>
              <w:t>EPO</w:t>
            </w:r>
          </w:p>
        </w:tc>
        <w:tc>
          <w:tcPr>
            <w:tcW w:w="6391" w:type="dxa"/>
          </w:tcPr>
          <w:p w14:paraId="272F1D80" w14:textId="3E47238D" w:rsidR="0009686B" w:rsidRDefault="0009686B" w:rsidP="006A59B6">
            <w:pPr>
              <w:spacing w:before="40" w:after="40"/>
              <w:ind w:left="46"/>
              <w:rPr>
                <w:rFonts w:cs="Arial"/>
                <w:sz w:val="20"/>
                <w:szCs w:val="20"/>
              </w:rPr>
            </w:pPr>
            <w:r>
              <w:rPr>
                <w:rFonts w:cs="Arial"/>
                <w:sz w:val="20"/>
                <w:szCs w:val="20"/>
              </w:rPr>
              <w:t>Environmental Performance Outcome</w:t>
            </w:r>
          </w:p>
        </w:tc>
      </w:tr>
      <w:tr w:rsidR="0009686B" w:rsidRPr="00A81562" w14:paraId="7DA824EE" w14:textId="77777777" w:rsidTr="006A59B6">
        <w:tc>
          <w:tcPr>
            <w:tcW w:w="2081" w:type="dxa"/>
          </w:tcPr>
          <w:p w14:paraId="61995EB9" w14:textId="0B40C2A3" w:rsidR="0009686B" w:rsidRDefault="0009686B" w:rsidP="006A59B6">
            <w:pPr>
              <w:spacing w:before="40" w:after="40"/>
              <w:ind w:left="0"/>
              <w:rPr>
                <w:rFonts w:cs="Arial"/>
                <w:sz w:val="20"/>
                <w:szCs w:val="20"/>
              </w:rPr>
            </w:pPr>
            <w:r>
              <w:rPr>
                <w:rFonts w:cs="Arial"/>
                <w:sz w:val="20"/>
                <w:szCs w:val="20"/>
              </w:rPr>
              <w:t>EPS</w:t>
            </w:r>
          </w:p>
        </w:tc>
        <w:tc>
          <w:tcPr>
            <w:tcW w:w="6391" w:type="dxa"/>
          </w:tcPr>
          <w:p w14:paraId="53D3C136" w14:textId="5B26249D" w:rsidR="0009686B" w:rsidRDefault="0009686B" w:rsidP="006A59B6">
            <w:pPr>
              <w:spacing w:before="40" w:after="40"/>
              <w:ind w:left="46"/>
              <w:rPr>
                <w:rFonts w:cs="Arial"/>
                <w:sz w:val="20"/>
                <w:szCs w:val="20"/>
              </w:rPr>
            </w:pPr>
            <w:r>
              <w:rPr>
                <w:rFonts w:cs="Arial"/>
                <w:sz w:val="20"/>
                <w:szCs w:val="20"/>
              </w:rPr>
              <w:t>Environmental Performance Standard</w:t>
            </w:r>
          </w:p>
        </w:tc>
      </w:tr>
      <w:tr w:rsidR="0009686B" w:rsidRPr="00A81562" w14:paraId="59A3A875" w14:textId="77777777" w:rsidTr="006A59B6">
        <w:tc>
          <w:tcPr>
            <w:tcW w:w="2081" w:type="dxa"/>
          </w:tcPr>
          <w:p w14:paraId="369DC961" w14:textId="73D7FF49" w:rsidR="0009686B" w:rsidRDefault="0009686B" w:rsidP="006A59B6">
            <w:pPr>
              <w:spacing w:before="40" w:after="40"/>
              <w:ind w:left="0"/>
              <w:rPr>
                <w:rFonts w:cs="Arial"/>
                <w:sz w:val="20"/>
                <w:szCs w:val="20"/>
              </w:rPr>
            </w:pPr>
            <w:r>
              <w:rPr>
                <w:rFonts w:cs="Arial"/>
                <w:sz w:val="20"/>
                <w:szCs w:val="20"/>
              </w:rPr>
              <w:t>ERC</w:t>
            </w:r>
          </w:p>
        </w:tc>
        <w:tc>
          <w:tcPr>
            <w:tcW w:w="6391" w:type="dxa"/>
          </w:tcPr>
          <w:p w14:paraId="5E435F16" w14:textId="2AB45038" w:rsidR="0009686B" w:rsidRDefault="0009686B" w:rsidP="006A59B6">
            <w:pPr>
              <w:spacing w:before="40" w:after="40"/>
              <w:ind w:left="46"/>
              <w:rPr>
                <w:rFonts w:cs="Arial"/>
                <w:sz w:val="20"/>
                <w:szCs w:val="20"/>
              </w:rPr>
            </w:pPr>
            <w:r>
              <w:rPr>
                <w:rFonts w:cs="Arial"/>
                <w:sz w:val="20"/>
                <w:szCs w:val="20"/>
              </w:rPr>
              <w:t>Emergency Response Coordinator</w:t>
            </w:r>
          </w:p>
        </w:tc>
      </w:tr>
      <w:tr w:rsidR="0009686B" w:rsidRPr="00A81562" w14:paraId="05575EC0" w14:textId="77777777" w:rsidTr="006A59B6">
        <w:tc>
          <w:tcPr>
            <w:tcW w:w="2081" w:type="dxa"/>
          </w:tcPr>
          <w:p w14:paraId="768265B2" w14:textId="6BA5C0A8" w:rsidR="0009686B" w:rsidRPr="00A81562" w:rsidRDefault="0009686B" w:rsidP="006A59B6">
            <w:pPr>
              <w:spacing w:before="40" w:after="40"/>
              <w:ind w:left="0"/>
              <w:rPr>
                <w:rFonts w:cs="Arial"/>
                <w:sz w:val="20"/>
                <w:szCs w:val="20"/>
              </w:rPr>
            </w:pPr>
            <w:r>
              <w:rPr>
                <w:rFonts w:cs="Arial"/>
                <w:sz w:val="20"/>
                <w:szCs w:val="20"/>
              </w:rPr>
              <w:t>ERP</w:t>
            </w:r>
          </w:p>
        </w:tc>
        <w:tc>
          <w:tcPr>
            <w:tcW w:w="6391" w:type="dxa"/>
          </w:tcPr>
          <w:p w14:paraId="03844BAA" w14:textId="417B42B0" w:rsidR="0009686B" w:rsidRPr="00A81562" w:rsidRDefault="0009686B" w:rsidP="006A59B6">
            <w:pPr>
              <w:spacing w:before="40" w:after="40"/>
              <w:ind w:left="46"/>
              <w:rPr>
                <w:rFonts w:cs="Arial"/>
                <w:sz w:val="20"/>
                <w:szCs w:val="20"/>
              </w:rPr>
            </w:pPr>
            <w:r>
              <w:rPr>
                <w:rFonts w:cs="Arial"/>
                <w:sz w:val="20"/>
                <w:szCs w:val="20"/>
              </w:rPr>
              <w:t>Emergency Response Plan</w:t>
            </w:r>
          </w:p>
        </w:tc>
      </w:tr>
      <w:tr w:rsidR="0009686B" w:rsidRPr="00A81562" w14:paraId="713CD445" w14:textId="77777777" w:rsidTr="006A59B6">
        <w:tc>
          <w:tcPr>
            <w:tcW w:w="2081" w:type="dxa"/>
          </w:tcPr>
          <w:p w14:paraId="03DAA2C0" w14:textId="6FFCE682" w:rsidR="0009686B" w:rsidRPr="00A81562" w:rsidRDefault="0009686B" w:rsidP="006A59B6">
            <w:pPr>
              <w:spacing w:before="40" w:after="40"/>
              <w:ind w:left="0"/>
              <w:rPr>
                <w:rFonts w:cs="Arial"/>
                <w:sz w:val="20"/>
                <w:szCs w:val="20"/>
              </w:rPr>
            </w:pPr>
            <w:r w:rsidRPr="00A81562">
              <w:rPr>
                <w:rFonts w:cs="Arial"/>
                <w:color w:val="000000"/>
                <w:sz w:val="20"/>
                <w:szCs w:val="20"/>
                <w:lang w:eastAsia="en-US"/>
              </w:rPr>
              <w:t>ERR</w:t>
            </w:r>
          </w:p>
        </w:tc>
        <w:tc>
          <w:tcPr>
            <w:tcW w:w="6391" w:type="dxa"/>
          </w:tcPr>
          <w:p w14:paraId="75A25FA9" w14:textId="04C9FB4D" w:rsidR="0009686B" w:rsidRPr="00A81562" w:rsidRDefault="0009686B" w:rsidP="006A59B6">
            <w:pPr>
              <w:spacing w:before="40" w:after="40"/>
              <w:ind w:left="46"/>
              <w:rPr>
                <w:rFonts w:cs="Arial"/>
                <w:sz w:val="20"/>
                <w:szCs w:val="20"/>
              </w:rPr>
            </w:pPr>
            <w:r w:rsidRPr="00A81562">
              <w:rPr>
                <w:rFonts w:cs="Arial"/>
                <w:color w:val="000000"/>
                <w:sz w:val="20"/>
                <w:szCs w:val="20"/>
                <w:lang w:eastAsia="en-US"/>
              </w:rPr>
              <w:t>Earth Resources Regulation</w:t>
            </w:r>
            <w:r>
              <w:rPr>
                <w:rFonts w:cs="Arial"/>
                <w:color w:val="000000"/>
                <w:sz w:val="20"/>
                <w:szCs w:val="20"/>
                <w:lang w:eastAsia="en-US"/>
              </w:rPr>
              <w:t xml:space="preserve"> (division of DEDJTR)</w:t>
            </w:r>
          </w:p>
        </w:tc>
      </w:tr>
      <w:tr w:rsidR="0009686B" w:rsidRPr="00A81562" w14:paraId="39E51E2D" w14:textId="77777777" w:rsidTr="006A59B6">
        <w:tc>
          <w:tcPr>
            <w:tcW w:w="2081" w:type="dxa"/>
          </w:tcPr>
          <w:p w14:paraId="45A86143" w14:textId="32F05D2A" w:rsidR="0009686B" w:rsidRPr="006A59B6" w:rsidRDefault="0009686B" w:rsidP="006A59B6">
            <w:pPr>
              <w:spacing w:before="40" w:after="40"/>
              <w:ind w:left="0"/>
              <w:rPr>
                <w:rFonts w:cs="Arial"/>
                <w:sz w:val="20"/>
                <w:szCs w:val="20"/>
              </w:rPr>
            </w:pPr>
            <w:r w:rsidRPr="00A81562">
              <w:rPr>
                <w:rFonts w:cs="Arial"/>
                <w:sz w:val="20"/>
                <w:szCs w:val="20"/>
              </w:rPr>
              <w:t>ESD</w:t>
            </w:r>
          </w:p>
        </w:tc>
        <w:tc>
          <w:tcPr>
            <w:tcW w:w="6391" w:type="dxa"/>
          </w:tcPr>
          <w:p w14:paraId="67A82D77" w14:textId="1DA5F51D" w:rsidR="0009686B" w:rsidRPr="006A59B6" w:rsidRDefault="0009686B" w:rsidP="006A59B6">
            <w:pPr>
              <w:spacing w:before="40" w:after="40"/>
              <w:ind w:left="46"/>
              <w:rPr>
                <w:rFonts w:cs="Arial"/>
                <w:sz w:val="20"/>
                <w:szCs w:val="20"/>
              </w:rPr>
            </w:pPr>
            <w:r w:rsidRPr="00A81562">
              <w:rPr>
                <w:rFonts w:cs="Arial"/>
                <w:sz w:val="20"/>
                <w:szCs w:val="20"/>
              </w:rPr>
              <w:t>Environmentally Sustainable Development</w:t>
            </w:r>
          </w:p>
        </w:tc>
      </w:tr>
      <w:tr w:rsidR="0009686B" w:rsidRPr="00A81562" w14:paraId="31BADFC5" w14:textId="77777777" w:rsidTr="006A59B6">
        <w:tc>
          <w:tcPr>
            <w:tcW w:w="2081" w:type="dxa"/>
          </w:tcPr>
          <w:p w14:paraId="25C36610" w14:textId="0FB3A396" w:rsidR="0009686B" w:rsidRPr="00A81562" w:rsidRDefault="0009686B" w:rsidP="006A59B6">
            <w:pPr>
              <w:spacing w:before="40" w:after="40"/>
              <w:ind w:left="0"/>
              <w:rPr>
                <w:rFonts w:cs="Arial"/>
                <w:sz w:val="20"/>
                <w:szCs w:val="20"/>
              </w:rPr>
            </w:pPr>
            <w:r w:rsidRPr="00A81562">
              <w:rPr>
                <w:rFonts w:cs="Arial"/>
                <w:sz w:val="20"/>
                <w:szCs w:val="20"/>
              </w:rPr>
              <w:t>FAQ</w:t>
            </w:r>
          </w:p>
        </w:tc>
        <w:tc>
          <w:tcPr>
            <w:tcW w:w="6391" w:type="dxa"/>
          </w:tcPr>
          <w:p w14:paraId="542F32C0" w14:textId="3F03D28A" w:rsidR="0009686B" w:rsidRPr="00A81562" w:rsidRDefault="0009686B" w:rsidP="006A59B6">
            <w:pPr>
              <w:spacing w:before="40" w:after="40"/>
              <w:ind w:left="46"/>
              <w:rPr>
                <w:rFonts w:cs="Arial"/>
                <w:sz w:val="20"/>
                <w:szCs w:val="20"/>
              </w:rPr>
            </w:pPr>
            <w:r w:rsidRPr="00A81562">
              <w:rPr>
                <w:rFonts w:cs="Arial"/>
                <w:sz w:val="20"/>
                <w:szCs w:val="20"/>
              </w:rPr>
              <w:t>Frequently Asked Questions</w:t>
            </w:r>
          </w:p>
        </w:tc>
      </w:tr>
      <w:tr w:rsidR="0009686B" w:rsidRPr="00A81562" w14:paraId="4802DF91" w14:textId="77777777" w:rsidTr="006A59B6">
        <w:tc>
          <w:tcPr>
            <w:tcW w:w="2081" w:type="dxa"/>
          </w:tcPr>
          <w:p w14:paraId="6927513F" w14:textId="67C22E2A" w:rsidR="0009686B" w:rsidRPr="00A81562" w:rsidRDefault="0009686B" w:rsidP="006A59B6">
            <w:pPr>
              <w:spacing w:before="40" w:after="40"/>
              <w:ind w:left="0"/>
              <w:rPr>
                <w:rFonts w:cs="Arial"/>
                <w:sz w:val="20"/>
                <w:szCs w:val="20"/>
              </w:rPr>
            </w:pPr>
            <w:r w:rsidRPr="00A81562">
              <w:rPr>
                <w:rFonts w:cs="Arial"/>
                <w:sz w:val="20"/>
                <w:szCs w:val="20"/>
              </w:rPr>
              <w:t>FEED</w:t>
            </w:r>
          </w:p>
        </w:tc>
        <w:tc>
          <w:tcPr>
            <w:tcW w:w="6391" w:type="dxa"/>
          </w:tcPr>
          <w:p w14:paraId="2464BF12" w14:textId="725BACCC" w:rsidR="0009686B" w:rsidRPr="00A81562" w:rsidRDefault="0009686B" w:rsidP="006A59B6">
            <w:pPr>
              <w:spacing w:before="40" w:after="40"/>
              <w:ind w:left="46"/>
              <w:rPr>
                <w:rFonts w:cs="Arial"/>
                <w:sz w:val="20"/>
                <w:szCs w:val="20"/>
              </w:rPr>
            </w:pPr>
            <w:r w:rsidRPr="00A81562">
              <w:rPr>
                <w:rFonts w:cs="Arial"/>
                <w:sz w:val="20"/>
                <w:szCs w:val="20"/>
              </w:rPr>
              <w:t>Front End Engineering and Design</w:t>
            </w:r>
          </w:p>
        </w:tc>
      </w:tr>
      <w:tr w:rsidR="0009686B" w:rsidRPr="00A81562" w14:paraId="2A4C95B6" w14:textId="77777777" w:rsidTr="006A59B6">
        <w:tc>
          <w:tcPr>
            <w:tcW w:w="2081" w:type="dxa"/>
          </w:tcPr>
          <w:p w14:paraId="3147A933" w14:textId="3BA07B0E" w:rsidR="0009686B" w:rsidRPr="00A81562" w:rsidRDefault="0009686B" w:rsidP="006A59B6">
            <w:pPr>
              <w:spacing w:before="40" w:after="40"/>
              <w:ind w:left="0"/>
              <w:rPr>
                <w:rFonts w:cs="Arial"/>
                <w:sz w:val="20"/>
                <w:szCs w:val="20"/>
              </w:rPr>
            </w:pPr>
            <w:r w:rsidRPr="00A81562">
              <w:rPr>
                <w:rFonts w:cs="Arial"/>
                <w:sz w:val="20"/>
                <w:szCs w:val="20"/>
              </w:rPr>
              <w:t>FFG Act</w:t>
            </w:r>
          </w:p>
        </w:tc>
        <w:tc>
          <w:tcPr>
            <w:tcW w:w="6391" w:type="dxa"/>
          </w:tcPr>
          <w:p w14:paraId="2532D61B" w14:textId="36518A2E" w:rsidR="0009686B" w:rsidRPr="00A81562" w:rsidRDefault="0009686B" w:rsidP="006A59B6">
            <w:pPr>
              <w:spacing w:before="40" w:after="40"/>
              <w:ind w:left="46"/>
              <w:rPr>
                <w:rFonts w:cs="Arial"/>
                <w:sz w:val="20"/>
                <w:szCs w:val="20"/>
              </w:rPr>
            </w:pPr>
            <w:r w:rsidRPr="00A81562">
              <w:rPr>
                <w:rFonts w:cs="Arial"/>
                <w:sz w:val="20"/>
                <w:szCs w:val="20"/>
              </w:rPr>
              <w:t>Flora and Fauna Guarantee Act</w:t>
            </w:r>
            <w:r>
              <w:rPr>
                <w:rFonts w:cs="Arial"/>
                <w:sz w:val="20"/>
                <w:szCs w:val="20"/>
              </w:rPr>
              <w:t xml:space="preserve"> 1988 (Vic)</w:t>
            </w:r>
          </w:p>
        </w:tc>
      </w:tr>
      <w:tr w:rsidR="0009686B" w:rsidRPr="00A81562" w14:paraId="4DE5D821" w14:textId="77777777" w:rsidTr="006A59B6">
        <w:tc>
          <w:tcPr>
            <w:tcW w:w="2081" w:type="dxa"/>
          </w:tcPr>
          <w:p w14:paraId="57184108" w14:textId="2B24D888" w:rsidR="0009686B" w:rsidRDefault="0009686B" w:rsidP="006A59B6">
            <w:pPr>
              <w:spacing w:before="40" w:after="40"/>
              <w:ind w:left="0"/>
              <w:rPr>
                <w:rFonts w:cs="Arial"/>
                <w:sz w:val="20"/>
                <w:szCs w:val="20"/>
              </w:rPr>
            </w:pPr>
            <w:r w:rsidRPr="00A81562">
              <w:rPr>
                <w:rFonts w:cs="Arial"/>
                <w:sz w:val="20"/>
                <w:szCs w:val="20"/>
              </w:rPr>
              <w:lastRenderedPageBreak/>
              <w:t>FPSO</w:t>
            </w:r>
          </w:p>
        </w:tc>
        <w:tc>
          <w:tcPr>
            <w:tcW w:w="6391" w:type="dxa"/>
          </w:tcPr>
          <w:p w14:paraId="5883A88C" w14:textId="1C007B39" w:rsidR="0009686B" w:rsidRDefault="0009686B" w:rsidP="006A59B6">
            <w:pPr>
              <w:spacing w:before="40" w:after="40"/>
              <w:ind w:left="46"/>
              <w:rPr>
                <w:rFonts w:cs="Arial"/>
                <w:sz w:val="20"/>
                <w:szCs w:val="20"/>
              </w:rPr>
            </w:pPr>
            <w:r w:rsidRPr="00A81562">
              <w:rPr>
                <w:rFonts w:cs="Arial"/>
                <w:sz w:val="20"/>
                <w:szCs w:val="20"/>
              </w:rPr>
              <w:t>Floating Production Storage Offloading</w:t>
            </w:r>
          </w:p>
        </w:tc>
      </w:tr>
      <w:tr w:rsidR="0009686B" w:rsidRPr="00A81562" w14:paraId="727046BA" w14:textId="77777777" w:rsidTr="006A59B6">
        <w:tc>
          <w:tcPr>
            <w:tcW w:w="2081" w:type="dxa"/>
          </w:tcPr>
          <w:p w14:paraId="05A13898" w14:textId="368DA5F8" w:rsidR="0009686B" w:rsidRPr="00A81562" w:rsidRDefault="0009686B" w:rsidP="006A59B6">
            <w:pPr>
              <w:spacing w:before="40" w:after="40"/>
              <w:ind w:left="0"/>
              <w:rPr>
                <w:rFonts w:cs="Arial"/>
                <w:sz w:val="20"/>
                <w:szCs w:val="20"/>
              </w:rPr>
            </w:pPr>
            <w:r>
              <w:rPr>
                <w:rFonts w:cs="Arial"/>
                <w:sz w:val="20"/>
                <w:szCs w:val="20"/>
              </w:rPr>
              <w:t>FRC</w:t>
            </w:r>
          </w:p>
        </w:tc>
        <w:tc>
          <w:tcPr>
            <w:tcW w:w="6391" w:type="dxa"/>
          </w:tcPr>
          <w:p w14:paraId="1504C117" w14:textId="6B28CE41" w:rsidR="0009686B" w:rsidRPr="00A81562" w:rsidRDefault="0009686B" w:rsidP="006A59B6">
            <w:pPr>
              <w:spacing w:before="40" w:after="40"/>
              <w:ind w:left="46"/>
              <w:rPr>
                <w:rFonts w:cs="Arial"/>
                <w:sz w:val="20"/>
                <w:szCs w:val="20"/>
              </w:rPr>
            </w:pPr>
            <w:r>
              <w:rPr>
                <w:rFonts w:cs="Arial"/>
                <w:sz w:val="20"/>
                <w:szCs w:val="20"/>
              </w:rPr>
              <w:t>Fast Rescue Craft</w:t>
            </w:r>
          </w:p>
        </w:tc>
      </w:tr>
      <w:tr w:rsidR="0009686B" w:rsidRPr="00A81562" w14:paraId="03A9FC0D" w14:textId="77777777" w:rsidTr="006A59B6">
        <w:tc>
          <w:tcPr>
            <w:tcW w:w="2081" w:type="dxa"/>
          </w:tcPr>
          <w:p w14:paraId="58563053" w14:textId="4460AFEB" w:rsidR="0009686B" w:rsidRPr="006A59B6" w:rsidRDefault="0009686B" w:rsidP="006A59B6">
            <w:pPr>
              <w:spacing w:before="40" w:after="40"/>
              <w:ind w:left="0"/>
              <w:rPr>
                <w:rFonts w:cs="Arial"/>
                <w:sz w:val="20"/>
                <w:szCs w:val="20"/>
              </w:rPr>
            </w:pPr>
            <w:r>
              <w:rPr>
                <w:rFonts w:cs="Arial"/>
                <w:sz w:val="20"/>
                <w:szCs w:val="20"/>
              </w:rPr>
              <w:t>FRDC</w:t>
            </w:r>
          </w:p>
        </w:tc>
        <w:tc>
          <w:tcPr>
            <w:tcW w:w="6391" w:type="dxa"/>
          </w:tcPr>
          <w:p w14:paraId="7D88C993" w14:textId="40CB962D" w:rsidR="0009686B" w:rsidRPr="006A59B6" w:rsidRDefault="0009686B" w:rsidP="006A59B6">
            <w:pPr>
              <w:spacing w:before="40" w:after="40"/>
              <w:ind w:left="46"/>
              <w:rPr>
                <w:rFonts w:cs="Arial"/>
                <w:sz w:val="20"/>
                <w:szCs w:val="20"/>
              </w:rPr>
            </w:pPr>
            <w:r>
              <w:rPr>
                <w:rFonts w:cs="Arial"/>
                <w:sz w:val="20"/>
                <w:szCs w:val="20"/>
              </w:rPr>
              <w:t>Fisheries Research Development Corporation</w:t>
            </w:r>
          </w:p>
        </w:tc>
      </w:tr>
      <w:tr w:rsidR="0009686B" w:rsidRPr="00A81562" w14:paraId="6DC52998" w14:textId="77777777" w:rsidTr="006A59B6">
        <w:tc>
          <w:tcPr>
            <w:tcW w:w="2081" w:type="dxa"/>
          </w:tcPr>
          <w:p w14:paraId="2B3724B7" w14:textId="71CEDBCE" w:rsidR="0009686B" w:rsidRPr="00A81562" w:rsidRDefault="0009686B" w:rsidP="006A59B6">
            <w:pPr>
              <w:spacing w:before="40" w:after="40"/>
              <w:ind w:left="0"/>
              <w:rPr>
                <w:rFonts w:cs="Arial"/>
                <w:sz w:val="20"/>
                <w:szCs w:val="20"/>
              </w:rPr>
            </w:pPr>
            <w:r>
              <w:rPr>
                <w:rFonts w:cs="Arial"/>
                <w:sz w:val="20"/>
                <w:szCs w:val="20"/>
              </w:rPr>
              <w:t>GA</w:t>
            </w:r>
          </w:p>
        </w:tc>
        <w:tc>
          <w:tcPr>
            <w:tcW w:w="6391" w:type="dxa"/>
          </w:tcPr>
          <w:p w14:paraId="7D883779" w14:textId="72CD0300" w:rsidR="0009686B" w:rsidRPr="00A81562" w:rsidRDefault="0009686B" w:rsidP="006A59B6">
            <w:pPr>
              <w:spacing w:before="40" w:after="40"/>
              <w:ind w:left="46"/>
              <w:rPr>
                <w:rFonts w:cs="Arial"/>
                <w:sz w:val="20"/>
                <w:szCs w:val="20"/>
              </w:rPr>
            </w:pPr>
            <w:r>
              <w:rPr>
                <w:rFonts w:cs="Arial"/>
                <w:sz w:val="20"/>
                <w:szCs w:val="20"/>
              </w:rPr>
              <w:t>Geoscience Australia</w:t>
            </w:r>
          </w:p>
        </w:tc>
      </w:tr>
      <w:tr w:rsidR="0009686B" w:rsidRPr="00A81562" w14:paraId="005F20D3" w14:textId="77777777" w:rsidTr="006A59B6">
        <w:tc>
          <w:tcPr>
            <w:tcW w:w="2081" w:type="dxa"/>
          </w:tcPr>
          <w:p w14:paraId="3FD9AA2C" w14:textId="13924A8A" w:rsidR="0009686B" w:rsidRPr="00A81562" w:rsidRDefault="0009686B" w:rsidP="006A59B6">
            <w:pPr>
              <w:spacing w:before="40" w:after="40"/>
              <w:ind w:left="0"/>
              <w:rPr>
                <w:rFonts w:cs="Arial"/>
                <w:sz w:val="20"/>
                <w:szCs w:val="20"/>
              </w:rPr>
            </w:pPr>
            <w:r w:rsidRPr="00A81562">
              <w:rPr>
                <w:rFonts w:cs="Arial"/>
                <w:sz w:val="20"/>
                <w:szCs w:val="20"/>
              </w:rPr>
              <w:t>GAB</w:t>
            </w:r>
          </w:p>
        </w:tc>
        <w:tc>
          <w:tcPr>
            <w:tcW w:w="6391" w:type="dxa"/>
          </w:tcPr>
          <w:p w14:paraId="1C6240DD" w14:textId="026D03B7" w:rsidR="0009686B" w:rsidRPr="00A81562" w:rsidRDefault="0009686B" w:rsidP="006A59B6">
            <w:pPr>
              <w:spacing w:before="40" w:after="40"/>
              <w:ind w:left="46"/>
              <w:rPr>
                <w:rFonts w:cs="Arial"/>
                <w:sz w:val="20"/>
                <w:szCs w:val="20"/>
              </w:rPr>
            </w:pPr>
            <w:r w:rsidRPr="00A81562">
              <w:rPr>
                <w:rFonts w:cs="Arial"/>
                <w:sz w:val="20"/>
                <w:szCs w:val="20"/>
              </w:rPr>
              <w:t>Great Australian Bight</w:t>
            </w:r>
          </w:p>
        </w:tc>
      </w:tr>
      <w:tr w:rsidR="0009686B" w:rsidRPr="00A81562" w14:paraId="7C8CF38C" w14:textId="77777777" w:rsidTr="006A59B6">
        <w:tc>
          <w:tcPr>
            <w:tcW w:w="2081" w:type="dxa"/>
          </w:tcPr>
          <w:p w14:paraId="5C7AFD84" w14:textId="0BA07887" w:rsidR="0009686B" w:rsidRPr="00A81562" w:rsidRDefault="0009686B" w:rsidP="006A59B6">
            <w:pPr>
              <w:spacing w:before="40" w:after="40"/>
              <w:ind w:left="0"/>
              <w:rPr>
                <w:rFonts w:cs="Arial"/>
                <w:sz w:val="20"/>
                <w:szCs w:val="20"/>
              </w:rPr>
            </w:pPr>
            <w:r w:rsidRPr="00A81562">
              <w:rPr>
                <w:rFonts w:cs="Arial"/>
                <w:sz w:val="20"/>
                <w:szCs w:val="20"/>
              </w:rPr>
              <w:t>GDP</w:t>
            </w:r>
          </w:p>
        </w:tc>
        <w:tc>
          <w:tcPr>
            <w:tcW w:w="6391" w:type="dxa"/>
          </w:tcPr>
          <w:p w14:paraId="755C9A00" w14:textId="7D5FF2B2" w:rsidR="0009686B" w:rsidRPr="00A81562" w:rsidRDefault="0009686B" w:rsidP="006A59B6">
            <w:pPr>
              <w:spacing w:before="40" w:after="40"/>
              <w:ind w:left="46"/>
              <w:rPr>
                <w:rFonts w:cs="Arial"/>
                <w:sz w:val="20"/>
                <w:szCs w:val="20"/>
              </w:rPr>
            </w:pPr>
            <w:r w:rsidRPr="00A81562">
              <w:rPr>
                <w:rFonts w:cs="Arial"/>
                <w:sz w:val="20"/>
                <w:szCs w:val="20"/>
              </w:rPr>
              <w:t>Gross Domestic Product</w:t>
            </w:r>
          </w:p>
        </w:tc>
      </w:tr>
      <w:tr w:rsidR="0009686B" w:rsidRPr="00A81562" w14:paraId="1CA98408" w14:textId="77777777" w:rsidTr="006A59B6">
        <w:tc>
          <w:tcPr>
            <w:tcW w:w="2081" w:type="dxa"/>
          </w:tcPr>
          <w:p w14:paraId="4668444F" w14:textId="31F8DEFC" w:rsidR="0009686B" w:rsidRDefault="0009686B" w:rsidP="006A59B6">
            <w:pPr>
              <w:spacing w:before="40" w:after="40"/>
              <w:ind w:left="0"/>
              <w:rPr>
                <w:rFonts w:cs="Arial"/>
                <w:sz w:val="20"/>
                <w:szCs w:val="20"/>
              </w:rPr>
            </w:pPr>
            <w:r w:rsidRPr="00A81562">
              <w:rPr>
                <w:rFonts w:cs="Arial"/>
                <w:sz w:val="20"/>
                <w:szCs w:val="20"/>
              </w:rPr>
              <w:t>GHG</w:t>
            </w:r>
          </w:p>
        </w:tc>
        <w:tc>
          <w:tcPr>
            <w:tcW w:w="6391" w:type="dxa"/>
          </w:tcPr>
          <w:p w14:paraId="29116DAE" w14:textId="15DD4F65" w:rsidR="0009686B" w:rsidRDefault="0009686B" w:rsidP="006A59B6">
            <w:pPr>
              <w:spacing w:before="40" w:after="40"/>
              <w:ind w:left="46"/>
              <w:rPr>
                <w:rFonts w:cs="Arial"/>
                <w:sz w:val="20"/>
                <w:szCs w:val="20"/>
              </w:rPr>
            </w:pPr>
            <w:r w:rsidRPr="00A81562">
              <w:rPr>
                <w:rFonts w:cs="Arial"/>
                <w:sz w:val="20"/>
                <w:szCs w:val="20"/>
              </w:rPr>
              <w:t xml:space="preserve">Greenhouse </w:t>
            </w:r>
            <w:r>
              <w:rPr>
                <w:rFonts w:cs="Arial"/>
                <w:sz w:val="20"/>
                <w:szCs w:val="20"/>
              </w:rPr>
              <w:t>G</w:t>
            </w:r>
            <w:r w:rsidRPr="00A81562">
              <w:rPr>
                <w:rFonts w:cs="Arial"/>
                <w:sz w:val="20"/>
                <w:szCs w:val="20"/>
              </w:rPr>
              <w:t>as</w:t>
            </w:r>
          </w:p>
        </w:tc>
      </w:tr>
      <w:tr w:rsidR="007A594D" w:rsidRPr="00A81562" w14:paraId="7112D0A7" w14:textId="77777777" w:rsidTr="006A59B6">
        <w:tc>
          <w:tcPr>
            <w:tcW w:w="2081" w:type="dxa"/>
          </w:tcPr>
          <w:p w14:paraId="228F3F20" w14:textId="79DB97EB" w:rsidR="007A594D" w:rsidRPr="00A81562" w:rsidRDefault="007A594D" w:rsidP="006A59B6">
            <w:pPr>
              <w:spacing w:before="40" w:after="40"/>
              <w:ind w:left="0"/>
              <w:rPr>
                <w:rFonts w:cs="Arial"/>
                <w:sz w:val="20"/>
                <w:szCs w:val="20"/>
              </w:rPr>
            </w:pPr>
            <w:r>
              <w:rPr>
                <w:rFonts w:cs="Arial"/>
                <w:sz w:val="20"/>
                <w:szCs w:val="20"/>
              </w:rPr>
              <w:t>GIS</w:t>
            </w:r>
          </w:p>
        </w:tc>
        <w:tc>
          <w:tcPr>
            <w:tcW w:w="6391" w:type="dxa"/>
          </w:tcPr>
          <w:p w14:paraId="6C7574E8" w14:textId="785FF8F2" w:rsidR="007A594D" w:rsidRPr="00A81562" w:rsidRDefault="007A594D" w:rsidP="006A59B6">
            <w:pPr>
              <w:spacing w:before="40" w:after="40"/>
              <w:ind w:left="46"/>
              <w:rPr>
                <w:rFonts w:cs="Arial"/>
                <w:sz w:val="20"/>
                <w:szCs w:val="20"/>
              </w:rPr>
            </w:pPr>
            <w:r>
              <w:rPr>
                <w:rFonts w:cs="Arial"/>
                <w:sz w:val="20"/>
                <w:szCs w:val="20"/>
              </w:rPr>
              <w:t>Geographic Information System</w:t>
            </w:r>
          </w:p>
        </w:tc>
      </w:tr>
      <w:tr w:rsidR="0009686B" w:rsidRPr="00A81562" w14:paraId="15E18C62" w14:textId="77777777" w:rsidTr="006A59B6">
        <w:tc>
          <w:tcPr>
            <w:tcW w:w="2081" w:type="dxa"/>
          </w:tcPr>
          <w:p w14:paraId="2E3AD5E3" w14:textId="19EFFFBF" w:rsidR="0009686B" w:rsidRDefault="0009686B" w:rsidP="00D035AB">
            <w:pPr>
              <w:spacing w:before="40" w:after="40"/>
              <w:ind w:left="0"/>
              <w:rPr>
                <w:rFonts w:cs="Arial"/>
                <w:sz w:val="20"/>
                <w:szCs w:val="20"/>
              </w:rPr>
            </w:pPr>
            <w:r>
              <w:rPr>
                <w:rFonts w:cs="Arial"/>
                <w:sz w:val="20"/>
                <w:szCs w:val="20"/>
              </w:rPr>
              <w:t>GL</w:t>
            </w:r>
            <w:r w:rsidR="00D035AB">
              <w:rPr>
                <w:rFonts w:cs="Arial"/>
                <w:sz w:val="20"/>
                <w:szCs w:val="20"/>
              </w:rPr>
              <w:t>a</w:t>
            </w:r>
            <w:r>
              <w:rPr>
                <w:rFonts w:cs="Arial"/>
                <w:sz w:val="20"/>
                <w:szCs w:val="20"/>
              </w:rPr>
              <w:t>WAC</w:t>
            </w:r>
          </w:p>
        </w:tc>
        <w:tc>
          <w:tcPr>
            <w:tcW w:w="6391" w:type="dxa"/>
          </w:tcPr>
          <w:p w14:paraId="222C3B09" w14:textId="202B83EE" w:rsidR="0009686B" w:rsidRDefault="0009686B" w:rsidP="006A59B6">
            <w:pPr>
              <w:spacing w:before="40" w:after="40"/>
              <w:ind w:left="46"/>
              <w:rPr>
                <w:rFonts w:cs="Arial"/>
                <w:sz w:val="20"/>
                <w:szCs w:val="20"/>
              </w:rPr>
            </w:pPr>
            <w:r w:rsidRPr="0063336F">
              <w:rPr>
                <w:rFonts w:cs="Arial"/>
                <w:sz w:val="20"/>
                <w:szCs w:val="20"/>
              </w:rPr>
              <w:t>Gunaikurnai Land &amp; Waters Aboriginal Corporation</w:t>
            </w:r>
          </w:p>
        </w:tc>
      </w:tr>
      <w:tr w:rsidR="0009686B" w:rsidRPr="00A81562" w14:paraId="3ADC6B58" w14:textId="77777777" w:rsidTr="006A59B6">
        <w:tc>
          <w:tcPr>
            <w:tcW w:w="2081" w:type="dxa"/>
          </w:tcPr>
          <w:p w14:paraId="08D3435A" w14:textId="4CE97963" w:rsidR="0009686B" w:rsidRPr="00A81562" w:rsidRDefault="0009686B" w:rsidP="006A59B6">
            <w:pPr>
              <w:spacing w:before="40" w:after="40"/>
              <w:ind w:left="0"/>
              <w:rPr>
                <w:rFonts w:cs="Arial"/>
                <w:sz w:val="20"/>
                <w:szCs w:val="20"/>
              </w:rPr>
            </w:pPr>
            <w:r w:rsidRPr="00A81562">
              <w:rPr>
                <w:rFonts w:cs="Arial"/>
                <w:sz w:val="20"/>
                <w:szCs w:val="20"/>
              </w:rPr>
              <w:t>GMDSS</w:t>
            </w:r>
          </w:p>
        </w:tc>
        <w:tc>
          <w:tcPr>
            <w:tcW w:w="6391" w:type="dxa"/>
          </w:tcPr>
          <w:p w14:paraId="2BCB8C91" w14:textId="1A3234FE" w:rsidR="0009686B" w:rsidRPr="00A81562" w:rsidRDefault="0009686B" w:rsidP="006A59B6">
            <w:pPr>
              <w:spacing w:before="40" w:after="40"/>
              <w:ind w:left="46"/>
              <w:rPr>
                <w:rFonts w:cs="Arial"/>
                <w:sz w:val="20"/>
                <w:szCs w:val="20"/>
              </w:rPr>
            </w:pPr>
            <w:r w:rsidRPr="00A81562">
              <w:rPr>
                <w:rFonts w:cs="Arial"/>
                <w:sz w:val="20"/>
                <w:szCs w:val="20"/>
              </w:rPr>
              <w:t>Global Maritime Distress Safety System</w:t>
            </w:r>
          </w:p>
        </w:tc>
      </w:tr>
      <w:tr w:rsidR="0009686B" w:rsidRPr="00A81562" w14:paraId="3D9CF030" w14:textId="77777777" w:rsidTr="006A59B6">
        <w:tc>
          <w:tcPr>
            <w:tcW w:w="2081" w:type="dxa"/>
          </w:tcPr>
          <w:p w14:paraId="350EF28D" w14:textId="73EAFBF4" w:rsidR="0009686B" w:rsidRPr="00A81562" w:rsidRDefault="0009686B" w:rsidP="006A59B6">
            <w:pPr>
              <w:spacing w:before="40" w:after="40"/>
              <w:ind w:left="0"/>
              <w:rPr>
                <w:rFonts w:cs="Arial"/>
                <w:sz w:val="20"/>
                <w:szCs w:val="20"/>
              </w:rPr>
            </w:pPr>
            <w:r>
              <w:rPr>
                <w:rFonts w:cs="Arial"/>
                <w:sz w:val="20"/>
                <w:szCs w:val="20"/>
              </w:rPr>
              <w:t>GMEM</w:t>
            </w:r>
          </w:p>
        </w:tc>
        <w:tc>
          <w:tcPr>
            <w:tcW w:w="6391" w:type="dxa"/>
          </w:tcPr>
          <w:p w14:paraId="197BCE10" w14:textId="19292C91" w:rsidR="0009686B" w:rsidRPr="00A81562" w:rsidRDefault="0009686B" w:rsidP="006A59B6">
            <w:pPr>
              <w:spacing w:before="40" w:after="40"/>
              <w:ind w:left="46"/>
              <w:rPr>
                <w:rFonts w:cs="Arial"/>
                <w:sz w:val="20"/>
                <w:szCs w:val="20"/>
              </w:rPr>
            </w:pPr>
            <w:r>
              <w:rPr>
                <w:rFonts w:cs="Arial"/>
                <w:sz w:val="20"/>
                <w:szCs w:val="20"/>
              </w:rPr>
              <w:t>Gippsland Marine Environmental Monitoring</w:t>
            </w:r>
          </w:p>
        </w:tc>
      </w:tr>
      <w:tr w:rsidR="0009686B" w:rsidRPr="00A81562" w14:paraId="7EC17A7A" w14:textId="77777777" w:rsidTr="006A59B6">
        <w:tc>
          <w:tcPr>
            <w:tcW w:w="2081" w:type="dxa"/>
          </w:tcPr>
          <w:p w14:paraId="48B73A01" w14:textId="0F02BCF8" w:rsidR="0009686B" w:rsidRPr="00A81562" w:rsidRDefault="0009686B" w:rsidP="006A59B6">
            <w:pPr>
              <w:spacing w:before="40" w:after="40"/>
              <w:ind w:left="0"/>
              <w:rPr>
                <w:rFonts w:cs="Arial"/>
                <w:sz w:val="20"/>
                <w:szCs w:val="20"/>
              </w:rPr>
            </w:pPr>
            <w:r>
              <w:rPr>
                <w:rFonts w:cs="Arial"/>
                <w:sz w:val="20"/>
                <w:szCs w:val="20"/>
              </w:rPr>
              <w:t>GMP</w:t>
            </w:r>
          </w:p>
        </w:tc>
        <w:tc>
          <w:tcPr>
            <w:tcW w:w="6391" w:type="dxa"/>
          </w:tcPr>
          <w:p w14:paraId="383906AA" w14:textId="78A5CDAD" w:rsidR="0009686B" w:rsidRPr="00A81562" w:rsidRDefault="0009686B" w:rsidP="006A59B6">
            <w:pPr>
              <w:spacing w:before="40" w:after="40"/>
              <w:ind w:left="46"/>
              <w:rPr>
                <w:rFonts w:cs="Arial"/>
                <w:sz w:val="20"/>
                <w:szCs w:val="20"/>
              </w:rPr>
            </w:pPr>
            <w:r>
              <w:rPr>
                <w:rFonts w:cs="Arial"/>
                <w:sz w:val="20"/>
                <w:szCs w:val="20"/>
              </w:rPr>
              <w:t>Garbage Management Plan</w:t>
            </w:r>
          </w:p>
        </w:tc>
      </w:tr>
      <w:tr w:rsidR="0009686B" w:rsidRPr="00A81562" w14:paraId="41006832" w14:textId="77777777" w:rsidTr="006A59B6">
        <w:tc>
          <w:tcPr>
            <w:tcW w:w="2081" w:type="dxa"/>
          </w:tcPr>
          <w:p w14:paraId="5F84888A" w14:textId="555ACD4C" w:rsidR="0009686B" w:rsidRDefault="0009686B" w:rsidP="006A59B6">
            <w:pPr>
              <w:spacing w:before="40" w:after="40"/>
              <w:ind w:left="0"/>
              <w:rPr>
                <w:rFonts w:cs="Arial"/>
                <w:sz w:val="20"/>
                <w:szCs w:val="20"/>
              </w:rPr>
            </w:pPr>
            <w:r>
              <w:rPr>
                <w:rFonts w:cs="Arial"/>
                <w:sz w:val="20"/>
                <w:szCs w:val="20"/>
              </w:rPr>
              <w:t>GoM</w:t>
            </w:r>
          </w:p>
        </w:tc>
        <w:tc>
          <w:tcPr>
            <w:tcW w:w="6391" w:type="dxa"/>
          </w:tcPr>
          <w:p w14:paraId="7A76F776" w14:textId="0BE353DC" w:rsidR="0009686B" w:rsidRDefault="0009686B" w:rsidP="006A59B6">
            <w:pPr>
              <w:spacing w:before="40" w:after="40"/>
              <w:ind w:left="46"/>
              <w:rPr>
                <w:rFonts w:cs="Arial"/>
                <w:sz w:val="20"/>
                <w:szCs w:val="20"/>
              </w:rPr>
            </w:pPr>
            <w:r>
              <w:rPr>
                <w:rFonts w:cs="Arial"/>
                <w:sz w:val="20"/>
                <w:szCs w:val="20"/>
              </w:rPr>
              <w:t>Gulf of Mexico</w:t>
            </w:r>
          </w:p>
        </w:tc>
      </w:tr>
      <w:tr w:rsidR="0009686B" w:rsidRPr="00A81562" w14:paraId="3CFC5CAA" w14:textId="77777777" w:rsidTr="006A59B6">
        <w:tc>
          <w:tcPr>
            <w:tcW w:w="2081" w:type="dxa"/>
          </w:tcPr>
          <w:p w14:paraId="47AA2998" w14:textId="58AD46AA" w:rsidR="0009686B" w:rsidRPr="00A81562" w:rsidRDefault="0009686B" w:rsidP="006A59B6">
            <w:pPr>
              <w:spacing w:before="40" w:after="40"/>
              <w:ind w:left="0"/>
              <w:rPr>
                <w:rFonts w:cs="Arial"/>
                <w:sz w:val="20"/>
                <w:szCs w:val="20"/>
              </w:rPr>
            </w:pPr>
            <w:r w:rsidRPr="00A81562">
              <w:rPr>
                <w:rFonts w:cs="Arial"/>
                <w:sz w:val="20"/>
                <w:szCs w:val="20"/>
              </w:rPr>
              <w:t>GPS</w:t>
            </w:r>
          </w:p>
        </w:tc>
        <w:tc>
          <w:tcPr>
            <w:tcW w:w="6391" w:type="dxa"/>
          </w:tcPr>
          <w:p w14:paraId="660A877B" w14:textId="728E548C" w:rsidR="0009686B" w:rsidRDefault="0009686B" w:rsidP="006A59B6">
            <w:pPr>
              <w:spacing w:before="40" w:after="40"/>
              <w:ind w:left="46"/>
              <w:rPr>
                <w:rFonts w:cs="Arial"/>
                <w:sz w:val="20"/>
                <w:szCs w:val="20"/>
              </w:rPr>
            </w:pPr>
            <w:r>
              <w:rPr>
                <w:rFonts w:cs="Arial"/>
                <w:sz w:val="20"/>
                <w:szCs w:val="20"/>
              </w:rPr>
              <w:t>G</w:t>
            </w:r>
            <w:r w:rsidRPr="00A81562">
              <w:rPr>
                <w:rFonts w:cs="Arial"/>
                <w:sz w:val="20"/>
                <w:szCs w:val="20"/>
              </w:rPr>
              <w:t xml:space="preserve">lobal </w:t>
            </w:r>
            <w:r>
              <w:rPr>
                <w:rFonts w:cs="Arial"/>
                <w:sz w:val="20"/>
                <w:szCs w:val="20"/>
              </w:rPr>
              <w:t>P</w:t>
            </w:r>
            <w:r w:rsidRPr="00A81562">
              <w:rPr>
                <w:rFonts w:cs="Arial"/>
                <w:sz w:val="20"/>
                <w:szCs w:val="20"/>
              </w:rPr>
              <w:t xml:space="preserve">ositioning </w:t>
            </w:r>
            <w:r>
              <w:rPr>
                <w:rFonts w:cs="Arial"/>
                <w:sz w:val="20"/>
                <w:szCs w:val="20"/>
              </w:rPr>
              <w:t>S</w:t>
            </w:r>
            <w:r w:rsidRPr="00A81562">
              <w:rPr>
                <w:rFonts w:cs="Arial"/>
                <w:sz w:val="20"/>
                <w:szCs w:val="20"/>
              </w:rPr>
              <w:t>ystem</w:t>
            </w:r>
          </w:p>
        </w:tc>
      </w:tr>
      <w:tr w:rsidR="00820BAD" w:rsidRPr="00A81562" w14:paraId="40579E0F" w14:textId="77777777" w:rsidTr="006A59B6">
        <w:tc>
          <w:tcPr>
            <w:tcW w:w="2081" w:type="dxa"/>
          </w:tcPr>
          <w:p w14:paraId="5D2C2624" w14:textId="3CF03B1F" w:rsidR="00820BAD" w:rsidRPr="00A81562" w:rsidRDefault="00820BAD" w:rsidP="00353D9B">
            <w:pPr>
              <w:spacing w:before="40" w:after="40"/>
              <w:ind w:left="0"/>
              <w:rPr>
                <w:rFonts w:cs="Arial"/>
                <w:sz w:val="20"/>
                <w:szCs w:val="20"/>
              </w:rPr>
            </w:pPr>
            <w:r>
              <w:rPr>
                <w:rFonts w:cs="Arial"/>
                <w:sz w:val="20"/>
                <w:szCs w:val="20"/>
              </w:rPr>
              <w:t>GPBRA</w:t>
            </w:r>
          </w:p>
        </w:tc>
        <w:tc>
          <w:tcPr>
            <w:tcW w:w="6391" w:type="dxa"/>
          </w:tcPr>
          <w:p w14:paraId="01C010F8" w14:textId="02D56950" w:rsidR="00820BAD" w:rsidRDefault="00820BAD" w:rsidP="006A59B6">
            <w:pPr>
              <w:spacing w:before="40" w:after="40"/>
              <w:ind w:left="46"/>
              <w:rPr>
                <w:rFonts w:cs="Arial"/>
                <w:sz w:val="20"/>
                <w:szCs w:val="20"/>
              </w:rPr>
            </w:pPr>
            <w:r>
              <w:rPr>
                <w:rFonts w:cs="Arial"/>
                <w:sz w:val="20"/>
                <w:szCs w:val="20"/>
              </w:rPr>
              <w:t>Golden Paradise Beach Rate Payers Association</w:t>
            </w:r>
          </w:p>
        </w:tc>
      </w:tr>
      <w:tr w:rsidR="0009686B" w:rsidRPr="00A81562" w14:paraId="5A2BC5F4" w14:textId="77777777" w:rsidTr="006A59B6">
        <w:tc>
          <w:tcPr>
            <w:tcW w:w="2081" w:type="dxa"/>
          </w:tcPr>
          <w:p w14:paraId="387BBD93" w14:textId="337BB9D7" w:rsidR="0009686B" w:rsidRPr="00A81562" w:rsidRDefault="0009686B" w:rsidP="006A59B6">
            <w:pPr>
              <w:spacing w:before="40" w:after="40"/>
              <w:ind w:left="0"/>
              <w:rPr>
                <w:rFonts w:cs="Arial"/>
                <w:sz w:val="20"/>
                <w:szCs w:val="20"/>
              </w:rPr>
            </w:pPr>
            <w:r>
              <w:rPr>
                <w:rFonts w:cs="Arial"/>
                <w:sz w:val="20"/>
                <w:szCs w:val="20"/>
              </w:rPr>
              <w:t>HFC</w:t>
            </w:r>
          </w:p>
        </w:tc>
        <w:tc>
          <w:tcPr>
            <w:tcW w:w="6391" w:type="dxa"/>
          </w:tcPr>
          <w:p w14:paraId="7E2485BE" w14:textId="72A7C7EC" w:rsidR="0009686B" w:rsidRPr="00A81562" w:rsidRDefault="0009686B" w:rsidP="006A59B6">
            <w:pPr>
              <w:spacing w:before="40" w:after="40"/>
              <w:ind w:left="46"/>
              <w:rPr>
                <w:rFonts w:cs="Arial"/>
                <w:sz w:val="20"/>
                <w:szCs w:val="20"/>
              </w:rPr>
            </w:pPr>
            <w:r>
              <w:rPr>
                <w:rFonts w:cs="Arial"/>
                <w:sz w:val="20"/>
                <w:szCs w:val="20"/>
              </w:rPr>
              <w:t>High Frequency Cetacean</w:t>
            </w:r>
          </w:p>
        </w:tc>
      </w:tr>
      <w:tr w:rsidR="0009686B" w:rsidRPr="00A81562" w14:paraId="556276F5" w14:textId="77777777" w:rsidTr="006A59B6">
        <w:tc>
          <w:tcPr>
            <w:tcW w:w="2081" w:type="dxa"/>
          </w:tcPr>
          <w:p w14:paraId="5C560C43" w14:textId="0736A55A" w:rsidR="0009686B" w:rsidRPr="00A81562" w:rsidRDefault="0009686B" w:rsidP="006A59B6">
            <w:pPr>
              <w:spacing w:before="40" w:after="40"/>
              <w:ind w:left="0"/>
              <w:rPr>
                <w:rFonts w:cs="Arial"/>
                <w:sz w:val="20"/>
                <w:szCs w:val="20"/>
              </w:rPr>
            </w:pPr>
            <w:r>
              <w:rPr>
                <w:rFonts w:cs="Arial"/>
                <w:sz w:val="20"/>
                <w:szCs w:val="20"/>
              </w:rPr>
              <w:t>HFO</w:t>
            </w:r>
          </w:p>
        </w:tc>
        <w:tc>
          <w:tcPr>
            <w:tcW w:w="6391" w:type="dxa"/>
          </w:tcPr>
          <w:p w14:paraId="6C215262" w14:textId="75E4EA55" w:rsidR="0009686B" w:rsidRPr="00A81562" w:rsidRDefault="0009686B" w:rsidP="006A59B6">
            <w:pPr>
              <w:spacing w:before="40" w:after="40"/>
              <w:ind w:left="46"/>
              <w:rPr>
                <w:rFonts w:cs="Arial"/>
                <w:sz w:val="20"/>
                <w:szCs w:val="20"/>
              </w:rPr>
            </w:pPr>
            <w:r>
              <w:rPr>
                <w:rFonts w:cs="Arial"/>
                <w:sz w:val="20"/>
                <w:szCs w:val="20"/>
              </w:rPr>
              <w:t>Heavy Fuel Oil</w:t>
            </w:r>
          </w:p>
        </w:tc>
      </w:tr>
      <w:tr w:rsidR="0009686B" w:rsidRPr="00A81562" w14:paraId="6DFF0ECE" w14:textId="77777777" w:rsidTr="006A59B6">
        <w:tc>
          <w:tcPr>
            <w:tcW w:w="2081" w:type="dxa"/>
          </w:tcPr>
          <w:p w14:paraId="3D7A6A7F" w14:textId="69DEDDDD" w:rsidR="0009686B" w:rsidRDefault="0009686B" w:rsidP="006A59B6">
            <w:pPr>
              <w:spacing w:before="40" w:after="40"/>
              <w:ind w:left="0"/>
              <w:rPr>
                <w:rFonts w:cs="Arial"/>
                <w:sz w:val="20"/>
                <w:szCs w:val="20"/>
              </w:rPr>
            </w:pPr>
            <w:r>
              <w:rPr>
                <w:rFonts w:cs="Arial"/>
                <w:sz w:val="20"/>
                <w:szCs w:val="20"/>
              </w:rPr>
              <w:t>HSE</w:t>
            </w:r>
          </w:p>
        </w:tc>
        <w:tc>
          <w:tcPr>
            <w:tcW w:w="6391" w:type="dxa"/>
          </w:tcPr>
          <w:p w14:paraId="1C546DA5" w14:textId="5CC43740" w:rsidR="0009686B" w:rsidRDefault="0009686B" w:rsidP="006A59B6">
            <w:pPr>
              <w:spacing w:before="40" w:after="40"/>
              <w:ind w:left="46"/>
              <w:rPr>
                <w:rFonts w:cs="Arial"/>
                <w:sz w:val="20"/>
                <w:szCs w:val="20"/>
              </w:rPr>
            </w:pPr>
            <w:r>
              <w:rPr>
                <w:rFonts w:cs="Arial"/>
                <w:sz w:val="20"/>
                <w:szCs w:val="20"/>
              </w:rPr>
              <w:t>Health, Safety and Environment</w:t>
            </w:r>
          </w:p>
        </w:tc>
      </w:tr>
      <w:tr w:rsidR="0009686B" w:rsidRPr="00A81562" w14:paraId="78C5CA37" w14:textId="77777777" w:rsidTr="006A59B6">
        <w:tc>
          <w:tcPr>
            <w:tcW w:w="2081" w:type="dxa"/>
          </w:tcPr>
          <w:p w14:paraId="6CE7FA0E" w14:textId="01F2682E" w:rsidR="0009686B" w:rsidRPr="00A81562" w:rsidRDefault="0009686B" w:rsidP="006A59B6">
            <w:pPr>
              <w:spacing w:before="40" w:after="40"/>
              <w:ind w:left="0"/>
              <w:rPr>
                <w:rFonts w:cs="Arial"/>
                <w:sz w:val="20"/>
                <w:szCs w:val="20"/>
              </w:rPr>
            </w:pPr>
            <w:r w:rsidRPr="00A81562">
              <w:rPr>
                <w:rFonts w:cs="Arial"/>
                <w:sz w:val="20"/>
                <w:szCs w:val="20"/>
              </w:rPr>
              <w:t>HSSE</w:t>
            </w:r>
          </w:p>
        </w:tc>
        <w:tc>
          <w:tcPr>
            <w:tcW w:w="6391" w:type="dxa"/>
          </w:tcPr>
          <w:p w14:paraId="1A70E9CB" w14:textId="6E797325" w:rsidR="0009686B" w:rsidRPr="00A81562" w:rsidRDefault="0009686B" w:rsidP="006A59B6">
            <w:pPr>
              <w:spacing w:before="40" w:after="40"/>
              <w:ind w:left="46"/>
              <w:rPr>
                <w:rFonts w:cs="Arial"/>
                <w:sz w:val="20"/>
                <w:szCs w:val="20"/>
              </w:rPr>
            </w:pPr>
            <w:r>
              <w:rPr>
                <w:rFonts w:cs="Arial"/>
                <w:sz w:val="20"/>
                <w:szCs w:val="20"/>
              </w:rPr>
              <w:t>Health, Safety, Security and Environment</w:t>
            </w:r>
          </w:p>
        </w:tc>
      </w:tr>
      <w:tr w:rsidR="0009686B" w:rsidRPr="00A81562" w14:paraId="223068AE" w14:textId="77777777" w:rsidTr="006A59B6">
        <w:tc>
          <w:tcPr>
            <w:tcW w:w="2081" w:type="dxa"/>
          </w:tcPr>
          <w:p w14:paraId="56EB8608" w14:textId="653F3BB1" w:rsidR="0009686B" w:rsidRPr="00A81562" w:rsidRDefault="0009686B" w:rsidP="006A59B6">
            <w:pPr>
              <w:spacing w:before="40" w:after="40"/>
              <w:ind w:left="0"/>
              <w:rPr>
                <w:rFonts w:cs="Arial"/>
                <w:sz w:val="20"/>
                <w:szCs w:val="20"/>
              </w:rPr>
            </w:pPr>
            <w:r w:rsidRPr="00A81562">
              <w:rPr>
                <w:rFonts w:cs="Arial"/>
                <w:sz w:val="20"/>
                <w:szCs w:val="20"/>
              </w:rPr>
              <w:t>IAGC</w:t>
            </w:r>
          </w:p>
        </w:tc>
        <w:tc>
          <w:tcPr>
            <w:tcW w:w="6391" w:type="dxa"/>
          </w:tcPr>
          <w:p w14:paraId="2481CA08" w14:textId="030B074C" w:rsidR="0009686B" w:rsidRPr="00A81562" w:rsidRDefault="0009686B" w:rsidP="006A59B6">
            <w:pPr>
              <w:spacing w:before="40" w:after="40"/>
              <w:ind w:left="46"/>
              <w:rPr>
                <w:rFonts w:cs="Arial"/>
                <w:sz w:val="20"/>
                <w:szCs w:val="20"/>
              </w:rPr>
            </w:pPr>
            <w:r w:rsidRPr="00A81562">
              <w:rPr>
                <w:rFonts w:cs="Arial"/>
                <w:sz w:val="20"/>
                <w:szCs w:val="20"/>
              </w:rPr>
              <w:t>International Association of Geophysical Contractors</w:t>
            </w:r>
          </w:p>
        </w:tc>
      </w:tr>
      <w:tr w:rsidR="0009686B" w:rsidRPr="00A81562" w14:paraId="07EC3CE9" w14:textId="77777777" w:rsidTr="006A59B6">
        <w:tc>
          <w:tcPr>
            <w:tcW w:w="2081" w:type="dxa"/>
          </w:tcPr>
          <w:p w14:paraId="362C9189" w14:textId="46C05B28" w:rsidR="0009686B" w:rsidRPr="00A81562" w:rsidRDefault="0009686B" w:rsidP="006A59B6">
            <w:pPr>
              <w:spacing w:before="40" w:after="40"/>
              <w:ind w:left="0"/>
              <w:rPr>
                <w:rFonts w:cs="Arial"/>
                <w:sz w:val="20"/>
                <w:szCs w:val="20"/>
              </w:rPr>
            </w:pPr>
            <w:r>
              <w:rPr>
                <w:rFonts w:cs="Arial"/>
                <w:sz w:val="20"/>
                <w:szCs w:val="20"/>
              </w:rPr>
              <w:t>IAP</w:t>
            </w:r>
          </w:p>
        </w:tc>
        <w:tc>
          <w:tcPr>
            <w:tcW w:w="6391" w:type="dxa"/>
          </w:tcPr>
          <w:p w14:paraId="66D802B1" w14:textId="350898DA" w:rsidR="0009686B" w:rsidRPr="00A81562" w:rsidRDefault="0009686B" w:rsidP="006A59B6">
            <w:pPr>
              <w:spacing w:before="40" w:after="40"/>
              <w:ind w:left="46"/>
              <w:rPr>
                <w:rFonts w:cs="Arial"/>
                <w:sz w:val="20"/>
                <w:szCs w:val="20"/>
              </w:rPr>
            </w:pPr>
            <w:r>
              <w:rPr>
                <w:rFonts w:cs="Arial"/>
                <w:sz w:val="20"/>
                <w:szCs w:val="20"/>
              </w:rPr>
              <w:t>Incident Action Plan</w:t>
            </w:r>
          </w:p>
        </w:tc>
      </w:tr>
      <w:tr w:rsidR="00D035AB" w:rsidRPr="00A81562" w14:paraId="3C31058F" w14:textId="77777777" w:rsidTr="006A59B6">
        <w:tc>
          <w:tcPr>
            <w:tcW w:w="2081" w:type="dxa"/>
          </w:tcPr>
          <w:p w14:paraId="39F5A399" w14:textId="3FAF0395" w:rsidR="00D035AB" w:rsidRDefault="00D035AB" w:rsidP="006A59B6">
            <w:pPr>
              <w:spacing w:before="40" w:after="40"/>
              <w:ind w:left="0"/>
              <w:rPr>
                <w:rFonts w:cs="Arial"/>
                <w:sz w:val="20"/>
                <w:szCs w:val="20"/>
              </w:rPr>
            </w:pPr>
            <w:r>
              <w:rPr>
                <w:rFonts w:cs="Arial"/>
                <w:sz w:val="20"/>
                <w:szCs w:val="20"/>
              </w:rPr>
              <w:t>IAP2</w:t>
            </w:r>
          </w:p>
        </w:tc>
        <w:tc>
          <w:tcPr>
            <w:tcW w:w="6391" w:type="dxa"/>
          </w:tcPr>
          <w:p w14:paraId="1F91ECAA" w14:textId="382953A8" w:rsidR="00D035AB" w:rsidRDefault="00D035AB" w:rsidP="006A59B6">
            <w:pPr>
              <w:spacing w:before="40" w:after="40"/>
              <w:ind w:left="46"/>
              <w:rPr>
                <w:rFonts w:cs="Arial"/>
                <w:sz w:val="20"/>
                <w:szCs w:val="20"/>
              </w:rPr>
            </w:pPr>
            <w:r>
              <w:rPr>
                <w:rFonts w:cs="Arial"/>
                <w:sz w:val="20"/>
                <w:szCs w:val="20"/>
              </w:rPr>
              <w:t>International Association for Public Participation</w:t>
            </w:r>
          </w:p>
        </w:tc>
      </w:tr>
      <w:tr w:rsidR="0009686B" w:rsidRPr="00A81562" w14:paraId="28333C63" w14:textId="77777777" w:rsidTr="006A59B6">
        <w:tc>
          <w:tcPr>
            <w:tcW w:w="2081" w:type="dxa"/>
          </w:tcPr>
          <w:p w14:paraId="0CE96CBF" w14:textId="21104B26" w:rsidR="0009686B" w:rsidRPr="00A81562" w:rsidRDefault="0009686B" w:rsidP="006A59B6">
            <w:pPr>
              <w:spacing w:before="40" w:after="40"/>
              <w:ind w:left="0"/>
              <w:rPr>
                <w:rFonts w:cs="Arial"/>
                <w:sz w:val="20"/>
                <w:szCs w:val="20"/>
              </w:rPr>
            </w:pPr>
            <w:r w:rsidRPr="00A81562">
              <w:rPr>
                <w:rFonts w:cs="Arial"/>
                <w:sz w:val="20"/>
                <w:szCs w:val="20"/>
              </w:rPr>
              <w:t>IAPP</w:t>
            </w:r>
          </w:p>
        </w:tc>
        <w:tc>
          <w:tcPr>
            <w:tcW w:w="6391" w:type="dxa"/>
          </w:tcPr>
          <w:p w14:paraId="71FD9468" w14:textId="21DC4291" w:rsidR="0009686B" w:rsidRPr="00A81562" w:rsidRDefault="0009686B" w:rsidP="006A59B6">
            <w:pPr>
              <w:spacing w:before="40" w:after="40"/>
              <w:ind w:left="46"/>
              <w:rPr>
                <w:rFonts w:cs="Arial"/>
                <w:sz w:val="20"/>
                <w:szCs w:val="20"/>
              </w:rPr>
            </w:pPr>
            <w:r w:rsidRPr="00A81562">
              <w:rPr>
                <w:rFonts w:cs="Arial"/>
                <w:sz w:val="20"/>
                <w:szCs w:val="20"/>
              </w:rPr>
              <w:t>International Air Pollution Prevention</w:t>
            </w:r>
          </w:p>
        </w:tc>
      </w:tr>
      <w:tr w:rsidR="0009686B" w:rsidRPr="00A81562" w14:paraId="216F1D6E" w14:textId="77777777" w:rsidTr="006A59B6">
        <w:tc>
          <w:tcPr>
            <w:tcW w:w="2081" w:type="dxa"/>
          </w:tcPr>
          <w:p w14:paraId="50A07D4D" w14:textId="05D157FA" w:rsidR="0009686B" w:rsidRPr="00A81562" w:rsidRDefault="0009686B" w:rsidP="006A59B6">
            <w:pPr>
              <w:spacing w:before="40" w:after="40"/>
              <w:ind w:left="0"/>
              <w:rPr>
                <w:rFonts w:cs="Arial"/>
                <w:sz w:val="20"/>
                <w:szCs w:val="20"/>
              </w:rPr>
            </w:pPr>
            <w:r w:rsidRPr="00A81562">
              <w:rPr>
                <w:rFonts w:cs="Arial"/>
                <w:sz w:val="20"/>
                <w:szCs w:val="20"/>
              </w:rPr>
              <w:t>IBAs</w:t>
            </w:r>
          </w:p>
        </w:tc>
        <w:tc>
          <w:tcPr>
            <w:tcW w:w="6391" w:type="dxa"/>
          </w:tcPr>
          <w:p w14:paraId="37F3DCEC" w14:textId="790B64E9" w:rsidR="0009686B" w:rsidRPr="00A81562" w:rsidRDefault="0009686B" w:rsidP="006A59B6">
            <w:pPr>
              <w:spacing w:before="40" w:after="40"/>
              <w:ind w:left="46"/>
              <w:rPr>
                <w:rFonts w:cs="Arial"/>
                <w:sz w:val="20"/>
                <w:szCs w:val="20"/>
              </w:rPr>
            </w:pPr>
            <w:r w:rsidRPr="00A81562">
              <w:rPr>
                <w:rFonts w:cs="Arial"/>
                <w:sz w:val="20"/>
                <w:szCs w:val="20"/>
              </w:rPr>
              <w:t>Important Bird Areas</w:t>
            </w:r>
          </w:p>
        </w:tc>
      </w:tr>
      <w:tr w:rsidR="0009686B" w:rsidRPr="00A81562" w14:paraId="78DB14D7" w14:textId="77777777" w:rsidTr="006A59B6">
        <w:tc>
          <w:tcPr>
            <w:tcW w:w="2081" w:type="dxa"/>
          </w:tcPr>
          <w:p w14:paraId="3EC8DAAE" w14:textId="28A94A7A" w:rsidR="0009686B" w:rsidRPr="00A81562" w:rsidRDefault="0009686B" w:rsidP="006A59B6">
            <w:pPr>
              <w:spacing w:before="40" w:after="40"/>
              <w:ind w:left="0"/>
              <w:rPr>
                <w:rFonts w:cs="Arial"/>
                <w:sz w:val="20"/>
                <w:szCs w:val="20"/>
              </w:rPr>
            </w:pPr>
            <w:r>
              <w:rPr>
                <w:rFonts w:cs="Arial"/>
                <w:sz w:val="20"/>
                <w:szCs w:val="20"/>
              </w:rPr>
              <w:t>ICC</w:t>
            </w:r>
          </w:p>
        </w:tc>
        <w:tc>
          <w:tcPr>
            <w:tcW w:w="6391" w:type="dxa"/>
          </w:tcPr>
          <w:p w14:paraId="3A7A1742" w14:textId="2DFC441E" w:rsidR="0009686B" w:rsidRPr="00A81562" w:rsidRDefault="0009686B" w:rsidP="006A59B6">
            <w:pPr>
              <w:spacing w:before="40" w:after="40"/>
              <w:ind w:left="46"/>
              <w:rPr>
                <w:rFonts w:cs="Arial"/>
                <w:sz w:val="20"/>
                <w:szCs w:val="20"/>
              </w:rPr>
            </w:pPr>
            <w:r>
              <w:rPr>
                <w:rFonts w:cs="Arial"/>
                <w:sz w:val="20"/>
                <w:szCs w:val="20"/>
              </w:rPr>
              <w:t>Incident Control Centre</w:t>
            </w:r>
          </w:p>
        </w:tc>
      </w:tr>
      <w:tr w:rsidR="0009686B" w:rsidRPr="00A81562" w14:paraId="6F5144CE" w14:textId="77777777" w:rsidTr="006A59B6">
        <w:tc>
          <w:tcPr>
            <w:tcW w:w="2081" w:type="dxa"/>
          </w:tcPr>
          <w:p w14:paraId="07BB8275" w14:textId="1797F9AD" w:rsidR="0009686B" w:rsidRPr="00A81562" w:rsidRDefault="0009686B" w:rsidP="006A59B6">
            <w:pPr>
              <w:spacing w:before="40" w:after="40"/>
              <w:ind w:left="0"/>
              <w:rPr>
                <w:rFonts w:cs="Arial"/>
                <w:sz w:val="20"/>
                <w:szCs w:val="20"/>
              </w:rPr>
            </w:pPr>
            <w:r w:rsidRPr="00A81562">
              <w:rPr>
                <w:rFonts w:cs="Arial"/>
                <w:sz w:val="20"/>
                <w:szCs w:val="20"/>
              </w:rPr>
              <w:t>IEE</w:t>
            </w:r>
          </w:p>
        </w:tc>
        <w:tc>
          <w:tcPr>
            <w:tcW w:w="6391" w:type="dxa"/>
          </w:tcPr>
          <w:p w14:paraId="3F8869D7" w14:textId="33428BC0" w:rsidR="0009686B" w:rsidRPr="00A81562" w:rsidRDefault="0009686B" w:rsidP="006A59B6">
            <w:pPr>
              <w:spacing w:before="40" w:after="40"/>
              <w:ind w:left="46"/>
              <w:rPr>
                <w:rFonts w:cs="Arial"/>
                <w:sz w:val="20"/>
                <w:szCs w:val="20"/>
              </w:rPr>
            </w:pPr>
            <w:r w:rsidRPr="00A81562">
              <w:rPr>
                <w:rFonts w:cs="Arial"/>
                <w:sz w:val="20"/>
                <w:szCs w:val="20"/>
              </w:rPr>
              <w:t>International Energy Efficiency</w:t>
            </w:r>
          </w:p>
        </w:tc>
      </w:tr>
      <w:tr w:rsidR="0009686B" w:rsidRPr="00A81562" w14:paraId="794F33B5" w14:textId="77777777" w:rsidTr="006A59B6">
        <w:tc>
          <w:tcPr>
            <w:tcW w:w="2081" w:type="dxa"/>
          </w:tcPr>
          <w:p w14:paraId="1BC97BAA" w14:textId="3847E03B" w:rsidR="0009686B" w:rsidRPr="00A81562" w:rsidRDefault="0009686B" w:rsidP="006A59B6">
            <w:pPr>
              <w:spacing w:before="40" w:after="40"/>
              <w:ind w:left="0"/>
              <w:rPr>
                <w:rFonts w:cs="Arial"/>
                <w:sz w:val="20"/>
                <w:szCs w:val="20"/>
              </w:rPr>
            </w:pPr>
            <w:r w:rsidRPr="00A81562">
              <w:rPr>
                <w:rFonts w:cs="Arial"/>
                <w:sz w:val="20"/>
                <w:szCs w:val="20"/>
              </w:rPr>
              <w:t>ILUA</w:t>
            </w:r>
          </w:p>
        </w:tc>
        <w:tc>
          <w:tcPr>
            <w:tcW w:w="6391" w:type="dxa"/>
          </w:tcPr>
          <w:p w14:paraId="1B99E0BB" w14:textId="0ADC9E4E" w:rsidR="0009686B" w:rsidRPr="00A81562" w:rsidRDefault="0009686B" w:rsidP="006A59B6">
            <w:pPr>
              <w:spacing w:before="40" w:after="40"/>
              <w:ind w:left="46"/>
              <w:rPr>
                <w:rFonts w:cs="Arial"/>
                <w:sz w:val="20"/>
                <w:szCs w:val="20"/>
              </w:rPr>
            </w:pPr>
            <w:r w:rsidRPr="00A81562">
              <w:rPr>
                <w:rFonts w:cs="Arial"/>
                <w:sz w:val="20"/>
                <w:szCs w:val="20"/>
              </w:rPr>
              <w:t>Indigenous Land Use Agreements</w:t>
            </w:r>
          </w:p>
        </w:tc>
      </w:tr>
      <w:tr w:rsidR="0009686B" w:rsidRPr="00A81562" w14:paraId="63C299C4" w14:textId="77777777" w:rsidTr="006A59B6">
        <w:tc>
          <w:tcPr>
            <w:tcW w:w="2081" w:type="dxa"/>
          </w:tcPr>
          <w:p w14:paraId="6E7F956C" w14:textId="5A86EE85" w:rsidR="0009686B" w:rsidRDefault="0009686B" w:rsidP="006A59B6">
            <w:pPr>
              <w:spacing w:before="40" w:after="40"/>
              <w:ind w:left="0"/>
              <w:rPr>
                <w:rFonts w:cs="Arial"/>
                <w:sz w:val="20"/>
                <w:szCs w:val="20"/>
              </w:rPr>
            </w:pPr>
            <w:r>
              <w:rPr>
                <w:rFonts w:cs="Arial"/>
                <w:sz w:val="20"/>
                <w:szCs w:val="20"/>
              </w:rPr>
              <w:t>IMAS</w:t>
            </w:r>
          </w:p>
        </w:tc>
        <w:tc>
          <w:tcPr>
            <w:tcW w:w="6391" w:type="dxa"/>
          </w:tcPr>
          <w:p w14:paraId="2F943504" w14:textId="186EE967" w:rsidR="0009686B" w:rsidRDefault="0009686B" w:rsidP="006A59B6">
            <w:pPr>
              <w:spacing w:before="40" w:after="40"/>
              <w:ind w:left="46"/>
              <w:rPr>
                <w:rFonts w:cs="Arial"/>
                <w:sz w:val="20"/>
                <w:szCs w:val="20"/>
              </w:rPr>
            </w:pPr>
            <w:r>
              <w:rPr>
                <w:rFonts w:cs="Arial"/>
                <w:sz w:val="20"/>
                <w:szCs w:val="20"/>
              </w:rPr>
              <w:t>Institute for Marine and Antarctic Studies</w:t>
            </w:r>
          </w:p>
        </w:tc>
      </w:tr>
      <w:tr w:rsidR="0009686B" w:rsidRPr="00A81562" w14:paraId="741F7148" w14:textId="77777777" w:rsidTr="006A59B6">
        <w:tc>
          <w:tcPr>
            <w:tcW w:w="2081" w:type="dxa"/>
          </w:tcPr>
          <w:p w14:paraId="3B91E0B3" w14:textId="0B95B675" w:rsidR="0009686B" w:rsidRDefault="0009686B" w:rsidP="006A59B6">
            <w:pPr>
              <w:spacing w:before="40" w:after="40"/>
              <w:ind w:left="0"/>
              <w:rPr>
                <w:rFonts w:cs="Arial"/>
                <w:sz w:val="20"/>
                <w:szCs w:val="20"/>
              </w:rPr>
            </w:pPr>
            <w:r w:rsidRPr="00A81562">
              <w:rPr>
                <w:rFonts w:cs="Arial"/>
                <w:sz w:val="20"/>
                <w:szCs w:val="20"/>
              </w:rPr>
              <w:t>IMCA</w:t>
            </w:r>
          </w:p>
        </w:tc>
        <w:tc>
          <w:tcPr>
            <w:tcW w:w="6391" w:type="dxa"/>
          </w:tcPr>
          <w:p w14:paraId="66660D77" w14:textId="5EFE9FA5" w:rsidR="0009686B" w:rsidRDefault="0009686B" w:rsidP="006A59B6">
            <w:pPr>
              <w:spacing w:before="40" w:after="40"/>
              <w:ind w:left="46"/>
              <w:rPr>
                <w:rFonts w:cs="Arial"/>
                <w:sz w:val="20"/>
                <w:szCs w:val="20"/>
              </w:rPr>
            </w:pPr>
            <w:r w:rsidRPr="00A81562">
              <w:rPr>
                <w:rFonts w:cs="Arial"/>
                <w:sz w:val="20"/>
                <w:szCs w:val="20"/>
              </w:rPr>
              <w:t>International Marine Contractors Association</w:t>
            </w:r>
          </w:p>
        </w:tc>
      </w:tr>
      <w:tr w:rsidR="0009686B" w:rsidRPr="00A81562" w14:paraId="589BBCD6" w14:textId="77777777" w:rsidTr="006A59B6">
        <w:tc>
          <w:tcPr>
            <w:tcW w:w="2081" w:type="dxa"/>
          </w:tcPr>
          <w:p w14:paraId="7549DC4D" w14:textId="3D6CCE47" w:rsidR="0009686B" w:rsidRPr="00A81562" w:rsidRDefault="0009686B" w:rsidP="006A59B6">
            <w:pPr>
              <w:spacing w:before="40" w:after="40"/>
              <w:ind w:left="0"/>
              <w:rPr>
                <w:rFonts w:cs="Arial"/>
                <w:sz w:val="20"/>
                <w:szCs w:val="20"/>
              </w:rPr>
            </w:pPr>
            <w:r w:rsidRPr="00A81562">
              <w:rPr>
                <w:rFonts w:cs="Arial"/>
                <w:sz w:val="20"/>
                <w:szCs w:val="20"/>
              </w:rPr>
              <w:t>IMO</w:t>
            </w:r>
          </w:p>
        </w:tc>
        <w:tc>
          <w:tcPr>
            <w:tcW w:w="6391" w:type="dxa"/>
          </w:tcPr>
          <w:p w14:paraId="2D956DA2" w14:textId="2F57C42E" w:rsidR="0009686B" w:rsidRPr="00A81562" w:rsidRDefault="0009686B" w:rsidP="006A59B6">
            <w:pPr>
              <w:spacing w:before="40" w:after="40"/>
              <w:ind w:left="46"/>
              <w:rPr>
                <w:rFonts w:cs="Arial"/>
                <w:sz w:val="20"/>
                <w:szCs w:val="20"/>
              </w:rPr>
            </w:pPr>
            <w:r w:rsidRPr="00A81562">
              <w:rPr>
                <w:rFonts w:cs="Arial"/>
                <w:sz w:val="20"/>
                <w:szCs w:val="20"/>
              </w:rPr>
              <w:t>International Maritime Organisation</w:t>
            </w:r>
          </w:p>
        </w:tc>
      </w:tr>
      <w:tr w:rsidR="0009686B" w:rsidRPr="00A81562" w14:paraId="1DB24C93" w14:textId="77777777" w:rsidTr="006A59B6">
        <w:tc>
          <w:tcPr>
            <w:tcW w:w="2081" w:type="dxa"/>
          </w:tcPr>
          <w:p w14:paraId="69A8478A" w14:textId="124A2678" w:rsidR="0009686B" w:rsidRPr="00A81562" w:rsidRDefault="0009686B" w:rsidP="006A59B6">
            <w:pPr>
              <w:spacing w:before="40" w:after="40"/>
              <w:ind w:left="0"/>
              <w:rPr>
                <w:rFonts w:cs="Arial"/>
                <w:sz w:val="20"/>
                <w:szCs w:val="20"/>
              </w:rPr>
            </w:pPr>
            <w:r>
              <w:rPr>
                <w:rFonts w:cs="Arial"/>
                <w:sz w:val="20"/>
                <w:szCs w:val="20"/>
              </w:rPr>
              <w:t>IMS</w:t>
            </w:r>
          </w:p>
        </w:tc>
        <w:tc>
          <w:tcPr>
            <w:tcW w:w="6391" w:type="dxa"/>
          </w:tcPr>
          <w:p w14:paraId="77CD6540" w14:textId="7718F159" w:rsidR="0009686B" w:rsidRPr="00A81562" w:rsidRDefault="0009686B" w:rsidP="006A59B6">
            <w:pPr>
              <w:spacing w:before="40" w:after="40"/>
              <w:ind w:left="46"/>
              <w:rPr>
                <w:rFonts w:cs="Arial"/>
                <w:sz w:val="20"/>
                <w:szCs w:val="20"/>
              </w:rPr>
            </w:pPr>
            <w:r>
              <w:rPr>
                <w:rFonts w:cs="Arial"/>
                <w:sz w:val="20"/>
                <w:szCs w:val="20"/>
              </w:rPr>
              <w:t>Invasive Marine Species</w:t>
            </w:r>
          </w:p>
        </w:tc>
      </w:tr>
      <w:tr w:rsidR="0009686B" w:rsidRPr="00A81562" w14:paraId="6CD154CC" w14:textId="77777777" w:rsidTr="006A59B6">
        <w:tc>
          <w:tcPr>
            <w:tcW w:w="2081" w:type="dxa"/>
          </w:tcPr>
          <w:p w14:paraId="5C3074D9" w14:textId="14ABB68B" w:rsidR="0009686B" w:rsidRPr="00A81562" w:rsidRDefault="0009686B" w:rsidP="006A59B6">
            <w:pPr>
              <w:spacing w:before="40" w:after="40"/>
              <w:ind w:left="0"/>
              <w:rPr>
                <w:rFonts w:cs="Arial"/>
                <w:sz w:val="20"/>
                <w:szCs w:val="20"/>
              </w:rPr>
            </w:pPr>
            <w:r>
              <w:rPr>
                <w:rFonts w:cs="Arial"/>
                <w:sz w:val="20"/>
                <w:szCs w:val="20"/>
              </w:rPr>
              <w:t>IMT</w:t>
            </w:r>
          </w:p>
        </w:tc>
        <w:tc>
          <w:tcPr>
            <w:tcW w:w="6391" w:type="dxa"/>
          </w:tcPr>
          <w:p w14:paraId="49FF93AE" w14:textId="392D038E" w:rsidR="0009686B" w:rsidRPr="00A81562" w:rsidRDefault="0009686B" w:rsidP="006A59B6">
            <w:pPr>
              <w:spacing w:before="40" w:after="40"/>
              <w:ind w:left="46"/>
              <w:rPr>
                <w:rFonts w:cs="Arial"/>
                <w:sz w:val="20"/>
                <w:szCs w:val="20"/>
              </w:rPr>
            </w:pPr>
            <w:r>
              <w:rPr>
                <w:rFonts w:cs="Arial"/>
                <w:sz w:val="20"/>
                <w:szCs w:val="20"/>
              </w:rPr>
              <w:t>Incident Management Team</w:t>
            </w:r>
          </w:p>
        </w:tc>
      </w:tr>
      <w:tr w:rsidR="0009686B" w:rsidRPr="00A81562" w14:paraId="03A029E3" w14:textId="77777777" w:rsidTr="006A59B6">
        <w:tc>
          <w:tcPr>
            <w:tcW w:w="2081" w:type="dxa"/>
          </w:tcPr>
          <w:p w14:paraId="35AF071A" w14:textId="61D837B6" w:rsidR="0009686B" w:rsidRPr="00A81562" w:rsidRDefault="0009686B" w:rsidP="006A59B6">
            <w:pPr>
              <w:spacing w:before="40" w:after="40"/>
              <w:ind w:left="0"/>
              <w:rPr>
                <w:rFonts w:cs="Arial"/>
                <w:sz w:val="20"/>
                <w:szCs w:val="20"/>
              </w:rPr>
            </w:pPr>
            <w:r w:rsidRPr="00A81562">
              <w:rPr>
                <w:rFonts w:cs="Arial"/>
                <w:sz w:val="20"/>
                <w:szCs w:val="20"/>
              </w:rPr>
              <w:t>IOPP</w:t>
            </w:r>
          </w:p>
        </w:tc>
        <w:tc>
          <w:tcPr>
            <w:tcW w:w="6391" w:type="dxa"/>
          </w:tcPr>
          <w:p w14:paraId="16B046FE" w14:textId="6B694767" w:rsidR="0009686B" w:rsidRPr="00A81562" w:rsidRDefault="0009686B" w:rsidP="006A59B6">
            <w:pPr>
              <w:spacing w:before="40" w:after="40"/>
              <w:ind w:left="46"/>
              <w:rPr>
                <w:rFonts w:cs="Arial"/>
                <w:sz w:val="20"/>
                <w:szCs w:val="20"/>
              </w:rPr>
            </w:pPr>
            <w:r w:rsidRPr="00A81562">
              <w:rPr>
                <w:rFonts w:cs="Arial"/>
                <w:sz w:val="20"/>
                <w:szCs w:val="20"/>
              </w:rPr>
              <w:t>International Oil Pollution Prevention</w:t>
            </w:r>
          </w:p>
        </w:tc>
      </w:tr>
      <w:tr w:rsidR="0009686B" w:rsidRPr="00A81562" w14:paraId="361F4F10" w14:textId="77777777" w:rsidTr="006A59B6">
        <w:tc>
          <w:tcPr>
            <w:tcW w:w="2081" w:type="dxa"/>
          </w:tcPr>
          <w:p w14:paraId="32739201" w14:textId="34ECD8C0" w:rsidR="0009686B" w:rsidRPr="00A81562" w:rsidRDefault="0009686B" w:rsidP="006A59B6">
            <w:pPr>
              <w:spacing w:before="40" w:after="40"/>
              <w:ind w:left="0"/>
              <w:rPr>
                <w:rFonts w:cs="Arial"/>
                <w:sz w:val="20"/>
                <w:szCs w:val="20"/>
              </w:rPr>
            </w:pPr>
            <w:r w:rsidRPr="00A81562">
              <w:rPr>
                <w:rFonts w:cs="Arial"/>
                <w:sz w:val="20"/>
                <w:szCs w:val="20"/>
              </w:rPr>
              <w:t>IPP</w:t>
            </w:r>
          </w:p>
        </w:tc>
        <w:tc>
          <w:tcPr>
            <w:tcW w:w="6391" w:type="dxa"/>
          </w:tcPr>
          <w:p w14:paraId="16B4EE1B" w14:textId="345E9AAA" w:rsidR="0009686B" w:rsidRPr="00A81562" w:rsidRDefault="0009686B" w:rsidP="006A59B6">
            <w:pPr>
              <w:spacing w:before="40" w:after="40"/>
              <w:ind w:left="46"/>
              <w:rPr>
                <w:rFonts w:cs="Arial"/>
                <w:sz w:val="20"/>
                <w:szCs w:val="20"/>
              </w:rPr>
            </w:pPr>
            <w:r w:rsidRPr="00A81562">
              <w:rPr>
                <w:rFonts w:cs="Arial"/>
                <w:sz w:val="20"/>
                <w:szCs w:val="20"/>
              </w:rPr>
              <w:t>International Pollution Prevention</w:t>
            </w:r>
          </w:p>
        </w:tc>
      </w:tr>
      <w:tr w:rsidR="0009686B" w:rsidRPr="00A81562" w14:paraId="0C2113C8" w14:textId="77777777" w:rsidTr="006A59B6">
        <w:tc>
          <w:tcPr>
            <w:tcW w:w="2081" w:type="dxa"/>
          </w:tcPr>
          <w:p w14:paraId="6A28D6B3" w14:textId="015E32A9" w:rsidR="0009686B" w:rsidRPr="00A81562" w:rsidRDefault="0009686B" w:rsidP="006A59B6">
            <w:pPr>
              <w:spacing w:before="40" w:after="40"/>
              <w:ind w:left="0"/>
              <w:rPr>
                <w:rFonts w:cs="Arial"/>
                <w:sz w:val="20"/>
                <w:szCs w:val="20"/>
              </w:rPr>
            </w:pPr>
            <w:r>
              <w:rPr>
                <w:rFonts w:cs="Arial"/>
                <w:sz w:val="20"/>
                <w:szCs w:val="20"/>
              </w:rPr>
              <w:t>ISB</w:t>
            </w:r>
          </w:p>
        </w:tc>
        <w:tc>
          <w:tcPr>
            <w:tcW w:w="6391" w:type="dxa"/>
          </w:tcPr>
          <w:p w14:paraId="3BC19294" w14:textId="063DC9A8" w:rsidR="0009686B" w:rsidRPr="00A81562" w:rsidRDefault="0009686B" w:rsidP="006A59B6">
            <w:pPr>
              <w:spacing w:before="40" w:after="40"/>
              <w:ind w:left="46"/>
              <w:rPr>
                <w:rFonts w:cs="Arial"/>
                <w:sz w:val="20"/>
                <w:szCs w:val="20"/>
              </w:rPr>
            </w:pPr>
            <w:r>
              <w:rPr>
                <w:rFonts w:cs="Arial"/>
                <w:sz w:val="20"/>
                <w:szCs w:val="20"/>
              </w:rPr>
              <w:t>In-situ burning</w:t>
            </w:r>
          </w:p>
        </w:tc>
      </w:tr>
      <w:tr w:rsidR="0009686B" w:rsidRPr="00A81562" w14:paraId="0EF9C1A9" w14:textId="77777777" w:rsidTr="006A59B6">
        <w:tc>
          <w:tcPr>
            <w:tcW w:w="2081" w:type="dxa"/>
          </w:tcPr>
          <w:p w14:paraId="6C00953A" w14:textId="140E76B0" w:rsidR="0009686B" w:rsidRPr="00A81562" w:rsidRDefault="0009686B" w:rsidP="006A59B6">
            <w:pPr>
              <w:spacing w:before="40" w:after="40"/>
              <w:ind w:left="0"/>
              <w:rPr>
                <w:rFonts w:cs="Arial"/>
                <w:sz w:val="20"/>
                <w:szCs w:val="20"/>
              </w:rPr>
            </w:pPr>
            <w:r w:rsidRPr="00A81562">
              <w:rPr>
                <w:rFonts w:cs="Arial"/>
                <w:sz w:val="20"/>
                <w:szCs w:val="20"/>
              </w:rPr>
              <w:t>ISPP</w:t>
            </w:r>
          </w:p>
        </w:tc>
        <w:tc>
          <w:tcPr>
            <w:tcW w:w="6391" w:type="dxa"/>
          </w:tcPr>
          <w:p w14:paraId="6D69CD66" w14:textId="3CC88389" w:rsidR="0009686B" w:rsidRPr="00A81562" w:rsidRDefault="0009686B" w:rsidP="006A59B6">
            <w:pPr>
              <w:spacing w:before="40" w:after="40"/>
              <w:ind w:left="46"/>
              <w:rPr>
                <w:rFonts w:cs="Arial"/>
                <w:sz w:val="20"/>
                <w:szCs w:val="20"/>
              </w:rPr>
            </w:pPr>
            <w:r w:rsidRPr="00A81562">
              <w:rPr>
                <w:rFonts w:cs="Arial"/>
                <w:sz w:val="20"/>
                <w:szCs w:val="20"/>
              </w:rPr>
              <w:t>International Sewage Pollution Prevention</w:t>
            </w:r>
          </w:p>
        </w:tc>
      </w:tr>
      <w:tr w:rsidR="0021718C" w:rsidRPr="00A81562" w14:paraId="45FA50AF" w14:textId="77777777" w:rsidTr="006A59B6">
        <w:tc>
          <w:tcPr>
            <w:tcW w:w="2081" w:type="dxa"/>
          </w:tcPr>
          <w:p w14:paraId="7C8D457F" w14:textId="2EF62464" w:rsidR="0021718C" w:rsidRPr="00A81562" w:rsidRDefault="0021718C" w:rsidP="006A59B6">
            <w:pPr>
              <w:spacing w:before="40" w:after="40"/>
              <w:ind w:left="0"/>
              <w:rPr>
                <w:rFonts w:cs="Arial"/>
                <w:sz w:val="20"/>
                <w:szCs w:val="20"/>
              </w:rPr>
            </w:pPr>
            <w:r>
              <w:rPr>
                <w:rFonts w:cs="Arial"/>
                <w:sz w:val="20"/>
                <w:szCs w:val="20"/>
              </w:rPr>
              <w:t>ITT</w:t>
            </w:r>
          </w:p>
        </w:tc>
        <w:tc>
          <w:tcPr>
            <w:tcW w:w="6391" w:type="dxa"/>
          </w:tcPr>
          <w:p w14:paraId="52B0069B" w14:textId="5FE4CF4E" w:rsidR="0021718C" w:rsidRPr="00A81562" w:rsidRDefault="0021718C" w:rsidP="0021718C">
            <w:pPr>
              <w:spacing w:before="40" w:after="40"/>
              <w:ind w:left="46"/>
              <w:rPr>
                <w:rFonts w:cs="Arial"/>
                <w:sz w:val="20"/>
                <w:szCs w:val="20"/>
              </w:rPr>
            </w:pPr>
            <w:r>
              <w:rPr>
                <w:rFonts w:cs="Arial"/>
                <w:sz w:val="20"/>
                <w:szCs w:val="20"/>
              </w:rPr>
              <w:t>Invite To Tender</w:t>
            </w:r>
          </w:p>
        </w:tc>
      </w:tr>
      <w:tr w:rsidR="0009686B" w:rsidRPr="00A81562" w14:paraId="491B7F28" w14:textId="77777777" w:rsidTr="006A59B6">
        <w:tc>
          <w:tcPr>
            <w:tcW w:w="2081" w:type="dxa"/>
          </w:tcPr>
          <w:p w14:paraId="1E8730C3" w14:textId="6AB4D019" w:rsidR="0009686B" w:rsidRPr="006A59B6" w:rsidRDefault="0009686B" w:rsidP="006A59B6">
            <w:pPr>
              <w:spacing w:before="40" w:after="40"/>
              <w:ind w:left="0"/>
              <w:rPr>
                <w:rFonts w:cs="Arial"/>
                <w:sz w:val="20"/>
                <w:szCs w:val="20"/>
              </w:rPr>
            </w:pPr>
            <w:r w:rsidRPr="00A81562">
              <w:rPr>
                <w:rFonts w:cs="Arial"/>
                <w:sz w:val="20"/>
                <w:szCs w:val="20"/>
              </w:rPr>
              <w:t>JAMBA</w:t>
            </w:r>
          </w:p>
        </w:tc>
        <w:tc>
          <w:tcPr>
            <w:tcW w:w="6391" w:type="dxa"/>
          </w:tcPr>
          <w:p w14:paraId="43665D71" w14:textId="5F6813B6" w:rsidR="0009686B" w:rsidRPr="006A59B6" w:rsidRDefault="0009686B" w:rsidP="006A59B6">
            <w:pPr>
              <w:spacing w:before="40" w:after="40"/>
              <w:ind w:left="46"/>
              <w:rPr>
                <w:rFonts w:cs="Arial"/>
                <w:sz w:val="20"/>
                <w:szCs w:val="20"/>
              </w:rPr>
            </w:pPr>
            <w:r w:rsidRPr="00A81562">
              <w:rPr>
                <w:rFonts w:cs="Arial"/>
                <w:sz w:val="20"/>
                <w:szCs w:val="20"/>
              </w:rPr>
              <w:t xml:space="preserve">Agreement between the Government and Australia and the </w:t>
            </w:r>
            <w:r w:rsidRPr="00A81562">
              <w:rPr>
                <w:rFonts w:cs="Arial"/>
                <w:sz w:val="20"/>
                <w:szCs w:val="20"/>
              </w:rPr>
              <w:lastRenderedPageBreak/>
              <w:t>Government of Japan for the Protection of Migratory Birds and Birds in Danger of Extinction and their Environment</w:t>
            </w:r>
          </w:p>
        </w:tc>
      </w:tr>
      <w:tr w:rsidR="0009686B" w:rsidRPr="00A81562" w14:paraId="0416E25E" w14:textId="77777777" w:rsidTr="006A59B6">
        <w:tc>
          <w:tcPr>
            <w:tcW w:w="2081" w:type="dxa"/>
          </w:tcPr>
          <w:p w14:paraId="3EEA09D5" w14:textId="5B10E02C" w:rsidR="0009686B" w:rsidRPr="00A81562" w:rsidRDefault="0009686B" w:rsidP="006A59B6">
            <w:pPr>
              <w:spacing w:before="40" w:after="40"/>
              <w:ind w:left="0"/>
              <w:rPr>
                <w:rFonts w:cs="Arial"/>
                <w:sz w:val="20"/>
                <w:szCs w:val="20"/>
              </w:rPr>
            </w:pPr>
            <w:r>
              <w:rPr>
                <w:rFonts w:cs="Arial"/>
                <w:sz w:val="20"/>
                <w:szCs w:val="20"/>
              </w:rPr>
              <w:lastRenderedPageBreak/>
              <w:t>LCC</w:t>
            </w:r>
          </w:p>
        </w:tc>
        <w:tc>
          <w:tcPr>
            <w:tcW w:w="6391" w:type="dxa"/>
          </w:tcPr>
          <w:p w14:paraId="3388043A" w14:textId="6B5749AA" w:rsidR="0009686B" w:rsidRPr="00A81562" w:rsidRDefault="0009686B" w:rsidP="006A59B6">
            <w:pPr>
              <w:spacing w:before="40" w:after="40"/>
              <w:ind w:left="46"/>
              <w:rPr>
                <w:rFonts w:cs="Arial"/>
                <w:sz w:val="20"/>
                <w:szCs w:val="20"/>
              </w:rPr>
            </w:pPr>
            <w:r>
              <w:rPr>
                <w:rFonts w:cs="Arial"/>
                <w:sz w:val="20"/>
                <w:szCs w:val="20"/>
              </w:rPr>
              <w:t>Latrobe City Council</w:t>
            </w:r>
          </w:p>
        </w:tc>
      </w:tr>
      <w:tr w:rsidR="0009686B" w:rsidRPr="00A81562" w14:paraId="7F3DE0E5" w14:textId="77777777" w:rsidTr="006A59B6">
        <w:tc>
          <w:tcPr>
            <w:tcW w:w="2081" w:type="dxa"/>
          </w:tcPr>
          <w:p w14:paraId="7CF6D396" w14:textId="5B9ACB9E" w:rsidR="0009686B" w:rsidRDefault="0009686B" w:rsidP="006A59B6">
            <w:pPr>
              <w:spacing w:before="40" w:after="40"/>
              <w:ind w:left="0"/>
              <w:rPr>
                <w:rFonts w:cs="Arial"/>
                <w:sz w:val="20"/>
                <w:szCs w:val="20"/>
              </w:rPr>
            </w:pPr>
            <w:r w:rsidRPr="00A81562">
              <w:rPr>
                <w:rFonts w:cs="Arial"/>
                <w:color w:val="000000"/>
                <w:sz w:val="20"/>
                <w:szCs w:val="20"/>
                <w:lang w:eastAsia="en-US"/>
              </w:rPr>
              <w:t>LEFCOL</w:t>
            </w:r>
          </w:p>
        </w:tc>
        <w:tc>
          <w:tcPr>
            <w:tcW w:w="6391" w:type="dxa"/>
          </w:tcPr>
          <w:p w14:paraId="24201E79" w14:textId="0C014D05" w:rsidR="0009686B" w:rsidRDefault="0009686B" w:rsidP="006A59B6">
            <w:pPr>
              <w:spacing w:before="40" w:after="40"/>
              <w:ind w:left="46"/>
              <w:rPr>
                <w:rFonts w:cs="Arial"/>
                <w:sz w:val="20"/>
                <w:szCs w:val="20"/>
              </w:rPr>
            </w:pPr>
            <w:r w:rsidRPr="00A81562">
              <w:rPr>
                <w:rFonts w:cs="Arial"/>
                <w:color w:val="000000"/>
                <w:sz w:val="20"/>
                <w:szCs w:val="20"/>
                <w:lang w:eastAsia="en-US"/>
              </w:rPr>
              <w:t>Lakes Entrance Fisherman’s Cooperative</w:t>
            </w:r>
          </w:p>
        </w:tc>
      </w:tr>
      <w:tr w:rsidR="0009686B" w:rsidRPr="00A81562" w14:paraId="2E6001E5" w14:textId="77777777" w:rsidTr="006A59B6">
        <w:tc>
          <w:tcPr>
            <w:tcW w:w="2081" w:type="dxa"/>
          </w:tcPr>
          <w:p w14:paraId="03E9A256" w14:textId="41B50465" w:rsidR="0009686B" w:rsidRPr="00A81562" w:rsidRDefault="0009686B" w:rsidP="006A59B6">
            <w:pPr>
              <w:spacing w:before="40" w:after="40"/>
              <w:ind w:left="0"/>
              <w:rPr>
                <w:rFonts w:cs="Arial"/>
                <w:sz w:val="20"/>
                <w:szCs w:val="20"/>
              </w:rPr>
            </w:pPr>
            <w:r>
              <w:rPr>
                <w:rFonts w:cs="Arial"/>
                <w:sz w:val="20"/>
                <w:szCs w:val="20"/>
              </w:rPr>
              <w:t>LFC</w:t>
            </w:r>
          </w:p>
        </w:tc>
        <w:tc>
          <w:tcPr>
            <w:tcW w:w="6391" w:type="dxa"/>
          </w:tcPr>
          <w:p w14:paraId="35057B82" w14:textId="53A5391E" w:rsidR="0009686B" w:rsidRPr="00A81562" w:rsidRDefault="0009686B" w:rsidP="006A59B6">
            <w:pPr>
              <w:spacing w:before="40" w:after="40"/>
              <w:ind w:left="46"/>
              <w:rPr>
                <w:rFonts w:cs="Arial"/>
                <w:sz w:val="20"/>
                <w:szCs w:val="20"/>
              </w:rPr>
            </w:pPr>
            <w:r>
              <w:rPr>
                <w:rFonts w:cs="Arial"/>
                <w:sz w:val="20"/>
                <w:szCs w:val="20"/>
              </w:rPr>
              <w:t>Low Frequency Cetacean</w:t>
            </w:r>
          </w:p>
        </w:tc>
      </w:tr>
      <w:tr w:rsidR="0009686B" w:rsidRPr="00A81562" w14:paraId="0798820E" w14:textId="77777777" w:rsidTr="006A59B6">
        <w:tc>
          <w:tcPr>
            <w:tcW w:w="2081" w:type="dxa"/>
          </w:tcPr>
          <w:p w14:paraId="34357599" w14:textId="3673CDDF" w:rsidR="0009686B" w:rsidRDefault="0009686B" w:rsidP="006A59B6">
            <w:pPr>
              <w:spacing w:before="40" w:after="40"/>
              <w:ind w:left="0"/>
              <w:rPr>
                <w:rFonts w:cs="Arial"/>
                <w:sz w:val="20"/>
                <w:szCs w:val="20"/>
              </w:rPr>
            </w:pPr>
            <w:r w:rsidRPr="00A81562">
              <w:rPr>
                <w:rFonts w:cs="Arial"/>
                <w:sz w:val="20"/>
                <w:szCs w:val="20"/>
              </w:rPr>
              <w:t>LiDAR</w:t>
            </w:r>
          </w:p>
        </w:tc>
        <w:tc>
          <w:tcPr>
            <w:tcW w:w="6391" w:type="dxa"/>
          </w:tcPr>
          <w:p w14:paraId="01ED4C65" w14:textId="08D822B6" w:rsidR="0009686B" w:rsidRDefault="0009686B" w:rsidP="006A59B6">
            <w:pPr>
              <w:spacing w:before="40" w:after="40"/>
              <w:ind w:left="46"/>
              <w:rPr>
                <w:rFonts w:cs="Arial"/>
                <w:sz w:val="20"/>
                <w:szCs w:val="20"/>
              </w:rPr>
            </w:pPr>
            <w:r w:rsidRPr="00A81562">
              <w:rPr>
                <w:rFonts w:cs="Arial"/>
                <w:sz w:val="20"/>
                <w:szCs w:val="20"/>
              </w:rPr>
              <w:t>Light Detection and Ranging</w:t>
            </w:r>
          </w:p>
        </w:tc>
      </w:tr>
      <w:tr w:rsidR="0009686B" w:rsidRPr="00A81562" w14:paraId="716E95BD" w14:textId="77777777" w:rsidTr="006A59B6">
        <w:tc>
          <w:tcPr>
            <w:tcW w:w="2081" w:type="dxa"/>
          </w:tcPr>
          <w:p w14:paraId="00C211E2" w14:textId="481863A4" w:rsidR="0009686B" w:rsidRPr="00A81562" w:rsidRDefault="0009686B" w:rsidP="006A59B6">
            <w:pPr>
              <w:spacing w:before="40" w:after="40"/>
              <w:ind w:left="0"/>
              <w:rPr>
                <w:rFonts w:cs="Arial"/>
                <w:sz w:val="20"/>
                <w:szCs w:val="20"/>
              </w:rPr>
            </w:pPr>
            <w:r w:rsidRPr="00A81562">
              <w:rPr>
                <w:rFonts w:cs="Arial"/>
                <w:sz w:val="20"/>
                <w:szCs w:val="20"/>
              </w:rPr>
              <w:t>MARPOL</w:t>
            </w:r>
          </w:p>
        </w:tc>
        <w:tc>
          <w:tcPr>
            <w:tcW w:w="6391" w:type="dxa"/>
          </w:tcPr>
          <w:p w14:paraId="3034B773" w14:textId="7FB887AF" w:rsidR="0009686B" w:rsidRPr="00A81562" w:rsidRDefault="0009686B" w:rsidP="006A59B6">
            <w:pPr>
              <w:spacing w:before="40" w:after="40"/>
              <w:ind w:left="46"/>
              <w:rPr>
                <w:rFonts w:cs="Arial"/>
                <w:sz w:val="20"/>
                <w:szCs w:val="20"/>
              </w:rPr>
            </w:pPr>
            <w:r w:rsidRPr="00A81562">
              <w:rPr>
                <w:rFonts w:cs="Arial"/>
                <w:sz w:val="20"/>
                <w:szCs w:val="20"/>
              </w:rPr>
              <w:t>International Convention for the Prevention of Pollution from Ships 1973, as modified by the Protocol of 1978</w:t>
            </w:r>
          </w:p>
        </w:tc>
      </w:tr>
      <w:tr w:rsidR="0009686B" w:rsidRPr="00A81562" w14:paraId="071305D0" w14:textId="77777777" w:rsidTr="006A59B6">
        <w:tc>
          <w:tcPr>
            <w:tcW w:w="2081" w:type="dxa"/>
          </w:tcPr>
          <w:p w14:paraId="3A7365BD" w14:textId="091F6497" w:rsidR="0009686B" w:rsidRPr="00A81562" w:rsidRDefault="0009686B" w:rsidP="006A59B6">
            <w:pPr>
              <w:spacing w:before="40" w:after="40"/>
              <w:ind w:left="0"/>
              <w:rPr>
                <w:rFonts w:cs="Arial"/>
                <w:sz w:val="20"/>
                <w:szCs w:val="20"/>
              </w:rPr>
            </w:pPr>
            <w:r>
              <w:rPr>
                <w:rFonts w:cs="Arial"/>
                <w:sz w:val="20"/>
                <w:szCs w:val="20"/>
              </w:rPr>
              <w:t>MDO</w:t>
            </w:r>
          </w:p>
        </w:tc>
        <w:tc>
          <w:tcPr>
            <w:tcW w:w="6391" w:type="dxa"/>
          </w:tcPr>
          <w:p w14:paraId="7812DF72" w14:textId="28A12DE3" w:rsidR="0009686B" w:rsidRPr="00A81562" w:rsidRDefault="0009686B" w:rsidP="006A59B6">
            <w:pPr>
              <w:spacing w:before="40" w:after="40"/>
              <w:ind w:left="46"/>
              <w:rPr>
                <w:rFonts w:cs="Arial"/>
                <w:sz w:val="20"/>
                <w:szCs w:val="20"/>
              </w:rPr>
            </w:pPr>
            <w:r>
              <w:rPr>
                <w:rFonts w:cs="Arial"/>
                <w:sz w:val="20"/>
                <w:szCs w:val="20"/>
              </w:rPr>
              <w:t>Marine Diesel Oil</w:t>
            </w:r>
          </w:p>
        </w:tc>
      </w:tr>
      <w:tr w:rsidR="0009686B" w:rsidRPr="00A81562" w14:paraId="5B2F83F1" w14:textId="77777777" w:rsidTr="006A59B6">
        <w:tc>
          <w:tcPr>
            <w:tcW w:w="2081" w:type="dxa"/>
          </w:tcPr>
          <w:p w14:paraId="7FD2B787" w14:textId="66A4EAD8" w:rsidR="0009686B" w:rsidRPr="00A81562" w:rsidRDefault="0009686B" w:rsidP="006A59B6">
            <w:pPr>
              <w:spacing w:before="40" w:after="40"/>
              <w:ind w:left="0"/>
              <w:rPr>
                <w:rFonts w:cs="Arial"/>
                <w:sz w:val="20"/>
                <w:szCs w:val="20"/>
              </w:rPr>
            </w:pPr>
            <w:r>
              <w:rPr>
                <w:rFonts w:cs="Arial"/>
                <w:sz w:val="20"/>
                <w:szCs w:val="20"/>
              </w:rPr>
              <w:t>MFC</w:t>
            </w:r>
          </w:p>
        </w:tc>
        <w:tc>
          <w:tcPr>
            <w:tcW w:w="6391" w:type="dxa"/>
          </w:tcPr>
          <w:p w14:paraId="51D7B45F" w14:textId="21D9BA6E" w:rsidR="0009686B" w:rsidRPr="00A81562" w:rsidRDefault="0009686B" w:rsidP="006A59B6">
            <w:pPr>
              <w:spacing w:before="40" w:after="40"/>
              <w:ind w:left="46"/>
              <w:rPr>
                <w:rFonts w:cs="Arial"/>
                <w:sz w:val="20"/>
                <w:szCs w:val="20"/>
              </w:rPr>
            </w:pPr>
            <w:r>
              <w:rPr>
                <w:rFonts w:cs="Arial"/>
                <w:sz w:val="20"/>
                <w:szCs w:val="20"/>
              </w:rPr>
              <w:t>Mid Frequency Cetacean</w:t>
            </w:r>
          </w:p>
        </w:tc>
      </w:tr>
      <w:tr w:rsidR="0009686B" w:rsidRPr="00A81562" w14:paraId="6C07094F" w14:textId="77777777" w:rsidTr="006A59B6">
        <w:tc>
          <w:tcPr>
            <w:tcW w:w="2081" w:type="dxa"/>
          </w:tcPr>
          <w:p w14:paraId="48E58FD0" w14:textId="64947939" w:rsidR="0009686B" w:rsidRPr="00A81562" w:rsidRDefault="0009686B" w:rsidP="006A59B6">
            <w:pPr>
              <w:spacing w:before="40" w:after="40"/>
              <w:ind w:left="0"/>
              <w:rPr>
                <w:rFonts w:cs="Arial"/>
                <w:sz w:val="20"/>
                <w:szCs w:val="20"/>
              </w:rPr>
            </w:pPr>
            <w:r>
              <w:rPr>
                <w:rFonts w:cs="Arial"/>
                <w:sz w:val="20"/>
                <w:szCs w:val="20"/>
              </w:rPr>
              <w:t>MGO</w:t>
            </w:r>
          </w:p>
        </w:tc>
        <w:tc>
          <w:tcPr>
            <w:tcW w:w="6391" w:type="dxa"/>
          </w:tcPr>
          <w:p w14:paraId="29CB018B" w14:textId="012A8209" w:rsidR="0009686B" w:rsidRPr="00A81562" w:rsidRDefault="0009686B" w:rsidP="006A59B6">
            <w:pPr>
              <w:spacing w:before="40" w:after="40"/>
              <w:ind w:left="46"/>
              <w:rPr>
                <w:rFonts w:cs="Arial"/>
                <w:sz w:val="20"/>
                <w:szCs w:val="20"/>
              </w:rPr>
            </w:pPr>
            <w:r>
              <w:rPr>
                <w:rFonts w:cs="Arial"/>
                <w:sz w:val="20"/>
                <w:szCs w:val="20"/>
              </w:rPr>
              <w:t>Marine Gas Oil</w:t>
            </w:r>
          </w:p>
        </w:tc>
      </w:tr>
      <w:tr w:rsidR="0009686B" w:rsidRPr="00A81562" w14:paraId="7A040EAC" w14:textId="77777777" w:rsidTr="006A59B6">
        <w:tc>
          <w:tcPr>
            <w:tcW w:w="2081" w:type="dxa"/>
          </w:tcPr>
          <w:p w14:paraId="64FD1767" w14:textId="50CD2EE5" w:rsidR="0009686B" w:rsidRPr="00A81562" w:rsidRDefault="0009686B" w:rsidP="006A59B6">
            <w:pPr>
              <w:spacing w:before="40" w:after="40"/>
              <w:ind w:left="0"/>
              <w:rPr>
                <w:rFonts w:cs="Arial"/>
                <w:sz w:val="20"/>
                <w:szCs w:val="20"/>
              </w:rPr>
            </w:pPr>
            <w:r w:rsidRPr="00A81562">
              <w:rPr>
                <w:rFonts w:cs="Arial"/>
                <w:sz w:val="20"/>
                <w:szCs w:val="20"/>
              </w:rPr>
              <w:t>MMO</w:t>
            </w:r>
          </w:p>
        </w:tc>
        <w:tc>
          <w:tcPr>
            <w:tcW w:w="6391" w:type="dxa"/>
          </w:tcPr>
          <w:p w14:paraId="5C77C66C" w14:textId="38D2CAE4" w:rsidR="0009686B" w:rsidRPr="00A81562" w:rsidRDefault="0009686B" w:rsidP="006A59B6">
            <w:pPr>
              <w:spacing w:before="40" w:after="40"/>
              <w:ind w:left="46"/>
              <w:rPr>
                <w:rFonts w:cs="Arial"/>
                <w:sz w:val="20"/>
                <w:szCs w:val="20"/>
              </w:rPr>
            </w:pPr>
            <w:r w:rsidRPr="00A81562">
              <w:rPr>
                <w:rFonts w:cs="Arial"/>
                <w:sz w:val="20"/>
                <w:szCs w:val="20"/>
              </w:rPr>
              <w:t>Marine Mammal Observer</w:t>
            </w:r>
          </w:p>
        </w:tc>
      </w:tr>
      <w:tr w:rsidR="0009686B" w:rsidRPr="00A81562" w14:paraId="68DA76B6" w14:textId="77777777" w:rsidTr="006A59B6">
        <w:tc>
          <w:tcPr>
            <w:tcW w:w="2081" w:type="dxa"/>
          </w:tcPr>
          <w:p w14:paraId="08B3DCD7" w14:textId="66DD5228" w:rsidR="0009686B" w:rsidRPr="00A81562" w:rsidRDefault="0009686B" w:rsidP="006A59B6">
            <w:pPr>
              <w:spacing w:before="40" w:after="40"/>
              <w:ind w:left="0"/>
              <w:rPr>
                <w:rFonts w:cs="Arial"/>
                <w:sz w:val="20"/>
                <w:szCs w:val="20"/>
              </w:rPr>
            </w:pPr>
            <w:r w:rsidRPr="00A81562">
              <w:rPr>
                <w:rFonts w:cs="Arial"/>
                <w:sz w:val="20"/>
                <w:szCs w:val="20"/>
              </w:rPr>
              <w:t>MMV</w:t>
            </w:r>
          </w:p>
        </w:tc>
        <w:tc>
          <w:tcPr>
            <w:tcW w:w="6391" w:type="dxa"/>
          </w:tcPr>
          <w:p w14:paraId="772BDD6C" w14:textId="15B75826" w:rsidR="0009686B" w:rsidRPr="00A81562" w:rsidRDefault="0009686B" w:rsidP="006A59B6">
            <w:pPr>
              <w:spacing w:before="40" w:after="40"/>
              <w:ind w:left="46"/>
              <w:rPr>
                <w:rFonts w:cs="Arial"/>
                <w:sz w:val="20"/>
                <w:szCs w:val="20"/>
              </w:rPr>
            </w:pPr>
            <w:r w:rsidRPr="00A81562">
              <w:rPr>
                <w:rFonts w:cs="Arial"/>
                <w:sz w:val="20"/>
                <w:szCs w:val="20"/>
              </w:rPr>
              <w:t>Measurement, Monitoring and Verification</w:t>
            </w:r>
          </w:p>
        </w:tc>
      </w:tr>
      <w:tr w:rsidR="0009686B" w:rsidRPr="00A81562" w14:paraId="48FDE120" w14:textId="77777777" w:rsidTr="006A59B6">
        <w:tc>
          <w:tcPr>
            <w:tcW w:w="2081" w:type="dxa"/>
          </w:tcPr>
          <w:p w14:paraId="20091556" w14:textId="40877899" w:rsidR="0009686B" w:rsidRPr="006A59B6" w:rsidRDefault="0009686B" w:rsidP="006A59B6">
            <w:pPr>
              <w:spacing w:before="40" w:after="40"/>
              <w:ind w:left="0"/>
              <w:rPr>
                <w:rFonts w:cs="Arial"/>
                <w:sz w:val="20"/>
                <w:szCs w:val="20"/>
              </w:rPr>
            </w:pPr>
            <w:r>
              <w:rPr>
                <w:rFonts w:cs="Arial"/>
                <w:sz w:val="20"/>
                <w:szCs w:val="20"/>
              </w:rPr>
              <w:t>MNES</w:t>
            </w:r>
          </w:p>
        </w:tc>
        <w:tc>
          <w:tcPr>
            <w:tcW w:w="6391" w:type="dxa"/>
          </w:tcPr>
          <w:p w14:paraId="17844954" w14:textId="7E0B7359" w:rsidR="0009686B" w:rsidRPr="006A59B6" w:rsidRDefault="0009686B" w:rsidP="006A59B6">
            <w:pPr>
              <w:spacing w:before="40" w:after="40"/>
              <w:ind w:left="46"/>
              <w:rPr>
                <w:rFonts w:cs="Arial"/>
                <w:sz w:val="20"/>
                <w:szCs w:val="20"/>
              </w:rPr>
            </w:pPr>
            <w:r>
              <w:rPr>
                <w:rFonts w:cs="Arial"/>
                <w:sz w:val="20"/>
                <w:szCs w:val="20"/>
              </w:rPr>
              <w:t>Matter/s of National Environmental Significance</w:t>
            </w:r>
          </w:p>
        </w:tc>
      </w:tr>
      <w:tr w:rsidR="0009686B" w:rsidRPr="00A81562" w14:paraId="2E5687A2" w14:textId="77777777" w:rsidTr="006A59B6">
        <w:tc>
          <w:tcPr>
            <w:tcW w:w="2081" w:type="dxa"/>
          </w:tcPr>
          <w:p w14:paraId="4EB258A6" w14:textId="15B992BE" w:rsidR="0009686B" w:rsidRDefault="0009686B" w:rsidP="006A59B6">
            <w:pPr>
              <w:spacing w:before="40" w:after="40"/>
              <w:ind w:left="0"/>
              <w:rPr>
                <w:rFonts w:cs="Arial"/>
                <w:sz w:val="20"/>
                <w:szCs w:val="20"/>
              </w:rPr>
            </w:pPr>
            <w:r>
              <w:rPr>
                <w:rFonts w:cs="Arial"/>
                <w:sz w:val="20"/>
                <w:szCs w:val="20"/>
              </w:rPr>
              <w:t>MNP</w:t>
            </w:r>
          </w:p>
        </w:tc>
        <w:tc>
          <w:tcPr>
            <w:tcW w:w="6391" w:type="dxa"/>
          </w:tcPr>
          <w:p w14:paraId="2AFFB1D8" w14:textId="137979E8" w:rsidR="0009686B" w:rsidRDefault="0009686B" w:rsidP="006A59B6">
            <w:pPr>
              <w:spacing w:before="40" w:after="40"/>
              <w:ind w:left="46"/>
              <w:rPr>
                <w:rFonts w:cs="Arial"/>
                <w:sz w:val="20"/>
                <w:szCs w:val="20"/>
              </w:rPr>
            </w:pPr>
            <w:r>
              <w:rPr>
                <w:rFonts w:cs="Arial"/>
                <w:sz w:val="20"/>
                <w:szCs w:val="20"/>
              </w:rPr>
              <w:t>Marine National Park</w:t>
            </w:r>
          </w:p>
        </w:tc>
      </w:tr>
      <w:tr w:rsidR="0009686B" w:rsidRPr="00A81562" w14:paraId="505E446E" w14:textId="77777777" w:rsidTr="006A59B6">
        <w:tc>
          <w:tcPr>
            <w:tcW w:w="2081" w:type="dxa"/>
          </w:tcPr>
          <w:p w14:paraId="489E155D" w14:textId="4953A2CB" w:rsidR="0009686B" w:rsidRPr="00A81562" w:rsidRDefault="0009686B" w:rsidP="006A59B6">
            <w:pPr>
              <w:spacing w:before="40" w:after="40"/>
              <w:ind w:left="0"/>
              <w:rPr>
                <w:rFonts w:cs="Arial"/>
                <w:sz w:val="20"/>
                <w:szCs w:val="20"/>
              </w:rPr>
            </w:pPr>
            <w:r w:rsidRPr="00A81562">
              <w:rPr>
                <w:rFonts w:cs="Arial"/>
                <w:sz w:val="20"/>
                <w:szCs w:val="20"/>
              </w:rPr>
              <w:t>MO</w:t>
            </w:r>
          </w:p>
        </w:tc>
        <w:tc>
          <w:tcPr>
            <w:tcW w:w="6391" w:type="dxa"/>
          </w:tcPr>
          <w:p w14:paraId="73A65D82" w14:textId="1316096C" w:rsidR="0009686B" w:rsidRPr="00A81562" w:rsidRDefault="0009686B" w:rsidP="006A59B6">
            <w:pPr>
              <w:spacing w:before="40" w:after="40"/>
              <w:ind w:left="46"/>
              <w:rPr>
                <w:rFonts w:cs="Arial"/>
                <w:sz w:val="20"/>
                <w:szCs w:val="20"/>
              </w:rPr>
            </w:pPr>
            <w:r>
              <w:rPr>
                <w:rFonts w:cs="Arial"/>
                <w:sz w:val="20"/>
                <w:szCs w:val="20"/>
              </w:rPr>
              <w:t>Marine Order</w:t>
            </w:r>
          </w:p>
        </w:tc>
      </w:tr>
      <w:tr w:rsidR="0009686B" w:rsidRPr="00A81562" w14:paraId="0A6AEBA5" w14:textId="77777777" w:rsidTr="006A59B6">
        <w:tc>
          <w:tcPr>
            <w:tcW w:w="2081" w:type="dxa"/>
          </w:tcPr>
          <w:p w14:paraId="4B7401B5" w14:textId="34F6705F" w:rsidR="0009686B" w:rsidRPr="00A81562" w:rsidRDefault="0009686B" w:rsidP="006A59B6">
            <w:pPr>
              <w:spacing w:before="40" w:after="40"/>
              <w:ind w:left="0"/>
              <w:rPr>
                <w:rFonts w:cs="Arial"/>
                <w:sz w:val="20"/>
                <w:szCs w:val="20"/>
              </w:rPr>
            </w:pPr>
            <w:r w:rsidRPr="00A81562">
              <w:rPr>
                <w:rFonts w:cs="Arial"/>
                <w:sz w:val="20"/>
                <w:szCs w:val="20"/>
              </w:rPr>
              <w:t>MoC</w:t>
            </w:r>
          </w:p>
        </w:tc>
        <w:tc>
          <w:tcPr>
            <w:tcW w:w="6391" w:type="dxa"/>
          </w:tcPr>
          <w:p w14:paraId="3C725D1D" w14:textId="0B2D4CDE" w:rsidR="0009686B" w:rsidRPr="00A81562" w:rsidRDefault="0009686B" w:rsidP="006A59B6">
            <w:pPr>
              <w:spacing w:before="40" w:after="40"/>
              <w:ind w:left="46"/>
              <w:rPr>
                <w:rFonts w:cs="Arial"/>
                <w:sz w:val="20"/>
                <w:szCs w:val="20"/>
              </w:rPr>
            </w:pPr>
            <w:r w:rsidRPr="00A81562">
              <w:rPr>
                <w:rFonts w:cs="Arial"/>
                <w:sz w:val="20"/>
                <w:szCs w:val="20"/>
              </w:rPr>
              <w:t>Management of Change</w:t>
            </w:r>
          </w:p>
        </w:tc>
      </w:tr>
      <w:tr w:rsidR="0009686B" w:rsidRPr="00A81562" w14:paraId="1A2D59E6" w14:textId="77777777" w:rsidTr="006A59B6">
        <w:tc>
          <w:tcPr>
            <w:tcW w:w="2081" w:type="dxa"/>
          </w:tcPr>
          <w:p w14:paraId="42DEBEB5" w14:textId="3AD3CF31" w:rsidR="0009686B" w:rsidRPr="00A81562" w:rsidRDefault="0009686B" w:rsidP="006A59B6">
            <w:pPr>
              <w:spacing w:before="40" w:after="40"/>
              <w:ind w:left="0"/>
              <w:rPr>
                <w:rFonts w:cs="Arial"/>
                <w:sz w:val="20"/>
                <w:szCs w:val="20"/>
              </w:rPr>
            </w:pPr>
            <w:r w:rsidRPr="00A81562">
              <w:rPr>
                <w:rFonts w:cs="Arial"/>
                <w:sz w:val="20"/>
                <w:szCs w:val="20"/>
              </w:rPr>
              <w:t>MoU</w:t>
            </w:r>
          </w:p>
        </w:tc>
        <w:tc>
          <w:tcPr>
            <w:tcW w:w="6391" w:type="dxa"/>
          </w:tcPr>
          <w:p w14:paraId="7646EE35" w14:textId="7196FC9C" w:rsidR="0009686B" w:rsidRPr="00A81562" w:rsidRDefault="0009686B" w:rsidP="006A59B6">
            <w:pPr>
              <w:spacing w:before="40" w:after="40"/>
              <w:ind w:left="46"/>
              <w:rPr>
                <w:rFonts w:cs="Arial"/>
                <w:sz w:val="20"/>
                <w:szCs w:val="20"/>
              </w:rPr>
            </w:pPr>
            <w:r w:rsidRPr="00A81562">
              <w:rPr>
                <w:rFonts w:cs="Arial"/>
                <w:sz w:val="20"/>
                <w:szCs w:val="20"/>
              </w:rPr>
              <w:t>Memorandum of Understanding</w:t>
            </w:r>
          </w:p>
        </w:tc>
      </w:tr>
      <w:tr w:rsidR="0009686B" w:rsidRPr="00A81562" w14:paraId="1AEAC7F8" w14:textId="77777777" w:rsidTr="006A59B6">
        <w:tc>
          <w:tcPr>
            <w:tcW w:w="2081" w:type="dxa"/>
          </w:tcPr>
          <w:p w14:paraId="58DE7CBB" w14:textId="07FB2D9C" w:rsidR="0009686B" w:rsidRPr="00A81562" w:rsidRDefault="0009686B" w:rsidP="006A59B6">
            <w:pPr>
              <w:spacing w:before="40" w:after="40"/>
              <w:ind w:left="0"/>
              <w:rPr>
                <w:rFonts w:cs="Arial"/>
                <w:sz w:val="20"/>
                <w:szCs w:val="20"/>
              </w:rPr>
            </w:pPr>
            <w:r>
              <w:rPr>
                <w:rFonts w:cs="Arial"/>
                <w:sz w:val="20"/>
                <w:szCs w:val="20"/>
              </w:rPr>
              <w:t>MSV</w:t>
            </w:r>
          </w:p>
        </w:tc>
        <w:tc>
          <w:tcPr>
            <w:tcW w:w="6391" w:type="dxa"/>
          </w:tcPr>
          <w:p w14:paraId="6A640A44" w14:textId="1ABD2F29" w:rsidR="0009686B" w:rsidRPr="00A81562" w:rsidRDefault="0009686B" w:rsidP="006A59B6">
            <w:pPr>
              <w:spacing w:before="40" w:after="40"/>
              <w:ind w:left="46"/>
              <w:rPr>
                <w:rFonts w:cs="Arial"/>
                <w:sz w:val="20"/>
                <w:szCs w:val="20"/>
              </w:rPr>
            </w:pPr>
            <w:r>
              <w:rPr>
                <w:rFonts w:cs="Arial"/>
                <w:sz w:val="20"/>
                <w:szCs w:val="20"/>
              </w:rPr>
              <w:t>Maritime Safety Victoria</w:t>
            </w:r>
          </w:p>
        </w:tc>
      </w:tr>
      <w:tr w:rsidR="0009686B" w:rsidRPr="00A81562" w14:paraId="253ADC88" w14:textId="77777777" w:rsidTr="006A59B6">
        <w:tc>
          <w:tcPr>
            <w:tcW w:w="2081" w:type="dxa"/>
          </w:tcPr>
          <w:p w14:paraId="3C0632D6" w14:textId="77D05239" w:rsidR="0009686B" w:rsidRPr="00A81562" w:rsidRDefault="0009686B" w:rsidP="006A59B6">
            <w:pPr>
              <w:spacing w:before="40" w:after="40"/>
              <w:ind w:left="0"/>
              <w:rPr>
                <w:rFonts w:cs="Arial"/>
                <w:sz w:val="20"/>
                <w:szCs w:val="20"/>
              </w:rPr>
            </w:pPr>
            <w:r>
              <w:rPr>
                <w:rFonts w:cs="Arial"/>
                <w:sz w:val="20"/>
                <w:szCs w:val="20"/>
              </w:rPr>
              <w:t>NEBA</w:t>
            </w:r>
          </w:p>
        </w:tc>
        <w:tc>
          <w:tcPr>
            <w:tcW w:w="6391" w:type="dxa"/>
          </w:tcPr>
          <w:p w14:paraId="54D908FE" w14:textId="329ED4B3" w:rsidR="0009686B" w:rsidRPr="00A81562" w:rsidRDefault="0009686B" w:rsidP="006A59B6">
            <w:pPr>
              <w:spacing w:before="40" w:after="40"/>
              <w:ind w:left="46"/>
              <w:rPr>
                <w:rFonts w:cs="Arial"/>
                <w:sz w:val="20"/>
                <w:szCs w:val="20"/>
              </w:rPr>
            </w:pPr>
            <w:r>
              <w:rPr>
                <w:rFonts w:cs="Arial"/>
                <w:sz w:val="20"/>
                <w:szCs w:val="20"/>
              </w:rPr>
              <w:t>Net Environmental Benefit Analysis</w:t>
            </w:r>
          </w:p>
        </w:tc>
      </w:tr>
      <w:tr w:rsidR="0009686B" w:rsidRPr="00A81562" w14:paraId="58D08A5A" w14:textId="77777777" w:rsidTr="006A59B6">
        <w:tc>
          <w:tcPr>
            <w:tcW w:w="2081" w:type="dxa"/>
          </w:tcPr>
          <w:p w14:paraId="5E2B023B" w14:textId="06E84263" w:rsidR="0009686B" w:rsidRPr="00A81562" w:rsidRDefault="0009686B" w:rsidP="006A59B6">
            <w:pPr>
              <w:spacing w:before="40" w:after="40"/>
              <w:ind w:left="0"/>
              <w:rPr>
                <w:rFonts w:cs="Arial"/>
                <w:sz w:val="20"/>
                <w:szCs w:val="20"/>
              </w:rPr>
            </w:pPr>
            <w:r w:rsidRPr="00A81562">
              <w:rPr>
                <w:rFonts w:cs="Arial"/>
                <w:sz w:val="20"/>
                <w:szCs w:val="20"/>
              </w:rPr>
              <w:t>NGOs</w:t>
            </w:r>
          </w:p>
        </w:tc>
        <w:tc>
          <w:tcPr>
            <w:tcW w:w="6391" w:type="dxa"/>
          </w:tcPr>
          <w:p w14:paraId="33016D72" w14:textId="2F4223F0" w:rsidR="0009686B" w:rsidRPr="00A81562" w:rsidRDefault="0009686B" w:rsidP="006A59B6">
            <w:pPr>
              <w:spacing w:before="40" w:after="40"/>
              <w:ind w:left="46"/>
              <w:rPr>
                <w:rFonts w:cs="Arial"/>
                <w:sz w:val="20"/>
                <w:szCs w:val="20"/>
              </w:rPr>
            </w:pPr>
            <w:r>
              <w:rPr>
                <w:rFonts w:cs="Arial"/>
                <w:sz w:val="20"/>
                <w:szCs w:val="20"/>
              </w:rPr>
              <w:t>N</w:t>
            </w:r>
            <w:r w:rsidRPr="00A81562">
              <w:rPr>
                <w:rFonts w:cs="Arial"/>
                <w:sz w:val="20"/>
                <w:szCs w:val="20"/>
              </w:rPr>
              <w:t>on-</w:t>
            </w:r>
            <w:r>
              <w:rPr>
                <w:rFonts w:cs="Arial"/>
                <w:sz w:val="20"/>
                <w:szCs w:val="20"/>
              </w:rPr>
              <w:t>G</w:t>
            </w:r>
            <w:r w:rsidRPr="00A81562">
              <w:rPr>
                <w:rFonts w:cs="Arial"/>
                <w:sz w:val="20"/>
                <w:szCs w:val="20"/>
              </w:rPr>
              <w:t xml:space="preserve">overnment </w:t>
            </w:r>
            <w:r>
              <w:rPr>
                <w:rFonts w:cs="Arial"/>
                <w:sz w:val="20"/>
                <w:szCs w:val="20"/>
              </w:rPr>
              <w:t>O</w:t>
            </w:r>
            <w:r w:rsidRPr="00A81562">
              <w:rPr>
                <w:rFonts w:cs="Arial"/>
                <w:sz w:val="20"/>
                <w:szCs w:val="20"/>
              </w:rPr>
              <w:t>rganisation</w:t>
            </w:r>
          </w:p>
        </w:tc>
      </w:tr>
      <w:tr w:rsidR="0009686B" w:rsidRPr="00A81562" w14:paraId="329E728C" w14:textId="77777777" w:rsidTr="006A59B6">
        <w:tc>
          <w:tcPr>
            <w:tcW w:w="2081" w:type="dxa"/>
          </w:tcPr>
          <w:p w14:paraId="535873AA" w14:textId="440203D5" w:rsidR="0009686B" w:rsidRDefault="0009686B" w:rsidP="006A59B6">
            <w:pPr>
              <w:spacing w:before="40" w:after="40"/>
              <w:ind w:left="0"/>
              <w:rPr>
                <w:rFonts w:cs="Arial"/>
                <w:sz w:val="20"/>
                <w:szCs w:val="20"/>
              </w:rPr>
            </w:pPr>
            <w:r w:rsidRPr="00A81562">
              <w:rPr>
                <w:rFonts w:cs="Arial"/>
                <w:color w:val="000000"/>
                <w:sz w:val="20"/>
                <w:szCs w:val="20"/>
                <w:lang w:eastAsia="en-US"/>
              </w:rPr>
              <w:t>NNTT</w:t>
            </w:r>
          </w:p>
        </w:tc>
        <w:tc>
          <w:tcPr>
            <w:tcW w:w="6391" w:type="dxa"/>
          </w:tcPr>
          <w:p w14:paraId="035A19DA" w14:textId="3C039D4E" w:rsidR="0009686B" w:rsidRDefault="0009686B" w:rsidP="006A59B6">
            <w:pPr>
              <w:spacing w:before="40" w:after="40"/>
              <w:ind w:left="46"/>
              <w:rPr>
                <w:rFonts w:cs="Arial"/>
                <w:sz w:val="20"/>
                <w:szCs w:val="20"/>
              </w:rPr>
            </w:pPr>
            <w:r w:rsidRPr="00A81562">
              <w:rPr>
                <w:rFonts w:cs="Arial"/>
                <w:color w:val="000000"/>
                <w:sz w:val="20"/>
                <w:szCs w:val="20"/>
                <w:lang w:eastAsia="en-US"/>
              </w:rPr>
              <w:t>National Native Title Tribunal</w:t>
            </w:r>
          </w:p>
        </w:tc>
      </w:tr>
      <w:tr w:rsidR="0009686B" w:rsidRPr="00A81562" w14:paraId="52EF2AEB" w14:textId="77777777" w:rsidTr="006A59B6">
        <w:tc>
          <w:tcPr>
            <w:tcW w:w="2081" w:type="dxa"/>
          </w:tcPr>
          <w:p w14:paraId="039D411A" w14:textId="023C2DEA" w:rsidR="0009686B" w:rsidRPr="00A81562" w:rsidRDefault="0009686B" w:rsidP="006A59B6">
            <w:pPr>
              <w:spacing w:before="40" w:after="40"/>
              <w:ind w:left="0"/>
              <w:rPr>
                <w:rFonts w:cs="Arial"/>
                <w:sz w:val="20"/>
                <w:szCs w:val="20"/>
              </w:rPr>
            </w:pPr>
            <w:r w:rsidRPr="00A81562">
              <w:rPr>
                <w:rFonts w:cs="Arial"/>
                <w:sz w:val="20"/>
                <w:szCs w:val="20"/>
              </w:rPr>
              <w:t>NOPSEMA</w:t>
            </w:r>
          </w:p>
        </w:tc>
        <w:tc>
          <w:tcPr>
            <w:tcW w:w="6391" w:type="dxa"/>
          </w:tcPr>
          <w:p w14:paraId="42D72690" w14:textId="540FAF76" w:rsidR="0009686B" w:rsidRPr="00A81562" w:rsidRDefault="0009686B" w:rsidP="006A59B6">
            <w:pPr>
              <w:spacing w:before="40" w:after="40"/>
              <w:ind w:left="46"/>
              <w:rPr>
                <w:rFonts w:cs="Arial"/>
                <w:sz w:val="20"/>
                <w:szCs w:val="20"/>
              </w:rPr>
            </w:pPr>
            <w:r w:rsidRPr="00A81562">
              <w:rPr>
                <w:rFonts w:cs="Arial"/>
                <w:sz w:val="20"/>
                <w:szCs w:val="20"/>
              </w:rPr>
              <w:t>National Offshore Petroleum Safety and Environmental Management Authority</w:t>
            </w:r>
          </w:p>
        </w:tc>
      </w:tr>
      <w:tr w:rsidR="0009686B" w:rsidRPr="00A81562" w14:paraId="4D6CD1BA" w14:textId="77777777" w:rsidTr="006A59B6">
        <w:tc>
          <w:tcPr>
            <w:tcW w:w="2081" w:type="dxa"/>
          </w:tcPr>
          <w:p w14:paraId="3C4E5396" w14:textId="2517C7BA" w:rsidR="0009686B" w:rsidRPr="00A81562" w:rsidRDefault="0009686B" w:rsidP="006A59B6">
            <w:pPr>
              <w:spacing w:before="40" w:after="40"/>
              <w:ind w:left="0"/>
              <w:rPr>
                <w:rFonts w:cs="Arial"/>
                <w:sz w:val="20"/>
                <w:szCs w:val="20"/>
              </w:rPr>
            </w:pPr>
            <w:r>
              <w:rPr>
                <w:rFonts w:cs="Arial"/>
                <w:sz w:val="20"/>
                <w:szCs w:val="20"/>
              </w:rPr>
              <w:t>NOPTA</w:t>
            </w:r>
          </w:p>
        </w:tc>
        <w:tc>
          <w:tcPr>
            <w:tcW w:w="6391" w:type="dxa"/>
          </w:tcPr>
          <w:p w14:paraId="23E96FA5" w14:textId="27EBE4BC" w:rsidR="0009686B" w:rsidRPr="00A81562" w:rsidRDefault="0009686B" w:rsidP="006A59B6">
            <w:pPr>
              <w:spacing w:before="40" w:after="40"/>
              <w:ind w:left="46"/>
              <w:rPr>
                <w:rFonts w:cs="Arial"/>
                <w:sz w:val="20"/>
                <w:szCs w:val="20"/>
              </w:rPr>
            </w:pPr>
            <w:r>
              <w:rPr>
                <w:rFonts w:cs="Arial"/>
                <w:sz w:val="20"/>
                <w:szCs w:val="20"/>
              </w:rPr>
              <w:t>National Offshore Petroleum Titles Authority</w:t>
            </w:r>
          </w:p>
        </w:tc>
      </w:tr>
      <w:tr w:rsidR="0009686B" w:rsidRPr="00A81562" w14:paraId="65ADF487" w14:textId="77777777" w:rsidTr="006A59B6">
        <w:tc>
          <w:tcPr>
            <w:tcW w:w="2081" w:type="dxa"/>
          </w:tcPr>
          <w:p w14:paraId="62B69CAB" w14:textId="2B5BC2E8" w:rsidR="0009686B" w:rsidRDefault="0009686B" w:rsidP="006A59B6">
            <w:pPr>
              <w:spacing w:before="40" w:after="40"/>
              <w:ind w:left="0"/>
              <w:rPr>
                <w:rFonts w:cs="Arial"/>
                <w:sz w:val="20"/>
                <w:szCs w:val="20"/>
              </w:rPr>
            </w:pPr>
            <w:r>
              <w:rPr>
                <w:rFonts w:cs="Arial"/>
                <w:sz w:val="20"/>
                <w:szCs w:val="20"/>
              </w:rPr>
              <w:t>NRT</w:t>
            </w:r>
          </w:p>
        </w:tc>
        <w:tc>
          <w:tcPr>
            <w:tcW w:w="6391" w:type="dxa"/>
          </w:tcPr>
          <w:p w14:paraId="12A52CA2" w14:textId="10BE957A" w:rsidR="0009686B" w:rsidRDefault="0009686B" w:rsidP="006A59B6">
            <w:pPr>
              <w:spacing w:before="40" w:after="40"/>
              <w:ind w:left="46"/>
              <w:rPr>
                <w:rFonts w:cs="Arial"/>
                <w:sz w:val="20"/>
                <w:szCs w:val="20"/>
              </w:rPr>
            </w:pPr>
            <w:r>
              <w:rPr>
                <w:rFonts w:cs="Arial"/>
                <w:sz w:val="20"/>
                <w:szCs w:val="20"/>
              </w:rPr>
              <w:t>National Response Team</w:t>
            </w:r>
          </w:p>
        </w:tc>
      </w:tr>
      <w:tr w:rsidR="0009686B" w:rsidRPr="00A81562" w14:paraId="6319265F" w14:textId="77777777" w:rsidTr="006A59B6">
        <w:tc>
          <w:tcPr>
            <w:tcW w:w="2081" w:type="dxa"/>
          </w:tcPr>
          <w:p w14:paraId="5D8AC94A" w14:textId="13528FC9" w:rsidR="0009686B" w:rsidRPr="00A81562" w:rsidRDefault="0009686B" w:rsidP="006A59B6">
            <w:pPr>
              <w:spacing w:before="40" w:after="40"/>
              <w:ind w:left="0"/>
              <w:rPr>
                <w:rFonts w:cs="Arial"/>
                <w:sz w:val="20"/>
                <w:szCs w:val="20"/>
              </w:rPr>
            </w:pPr>
            <w:r>
              <w:rPr>
                <w:rFonts w:cs="Arial"/>
                <w:sz w:val="20"/>
                <w:szCs w:val="20"/>
              </w:rPr>
              <w:t>OBN</w:t>
            </w:r>
          </w:p>
        </w:tc>
        <w:tc>
          <w:tcPr>
            <w:tcW w:w="6391" w:type="dxa"/>
          </w:tcPr>
          <w:p w14:paraId="30590B74" w14:textId="2533EB54" w:rsidR="0009686B" w:rsidRPr="00A81562" w:rsidRDefault="0009686B" w:rsidP="006A59B6">
            <w:pPr>
              <w:spacing w:before="40" w:after="40"/>
              <w:ind w:left="46"/>
              <w:rPr>
                <w:rFonts w:cs="Arial"/>
                <w:sz w:val="20"/>
                <w:szCs w:val="20"/>
              </w:rPr>
            </w:pPr>
            <w:r>
              <w:rPr>
                <w:rFonts w:cs="Arial"/>
                <w:sz w:val="20"/>
                <w:szCs w:val="20"/>
              </w:rPr>
              <w:t>Ocean Bottom Node</w:t>
            </w:r>
          </w:p>
        </w:tc>
      </w:tr>
      <w:tr w:rsidR="0009686B" w:rsidRPr="00A81562" w14:paraId="51A652BE" w14:textId="77777777" w:rsidTr="006A59B6">
        <w:tc>
          <w:tcPr>
            <w:tcW w:w="2081" w:type="dxa"/>
          </w:tcPr>
          <w:p w14:paraId="56E2046B" w14:textId="15E20E46" w:rsidR="0009686B" w:rsidRPr="00A81562" w:rsidRDefault="0009686B" w:rsidP="006A59B6">
            <w:pPr>
              <w:spacing w:before="40" w:after="40"/>
              <w:ind w:left="0"/>
              <w:rPr>
                <w:rFonts w:cs="Arial"/>
                <w:sz w:val="20"/>
                <w:szCs w:val="20"/>
              </w:rPr>
            </w:pPr>
            <w:r w:rsidRPr="00A81562">
              <w:rPr>
                <w:rFonts w:cs="Arial"/>
                <w:sz w:val="20"/>
                <w:szCs w:val="20"/>
              </w:rPr>
              <w:t>OCIMF</w:t>
            </w:r>
          </w:p>
        </w:tc>
        <w:tc>
          <w:tcPr>
            <w:tcW w:w="6391" w:type="dxa"/>
          </w:tcPr>
          <w:p w14:paraId="37D06B04" w14:textId="688F03F3" w:rsidR="0009686B" w:rsidRPr="00A81562" w:rsidRDefault="0009686B" w:rsidP="006A59B6">
            <w:pPr>
              <w:spacing w:before="40" w:after="40"/>
              <w:ind w:left="46"/>
              <w:rPr>
                <w:rFonts w:cs="Arial"/>
                <w:sz w:val="20"/>
                <w:szCs w:val="20"/>
              </w:rPr>
            </w:pPr>
            <w:r w:rsidRPr="00A81562">
              <w:rPr>
                <w:rFonts w:cs="Arial"/>
                <w:sz w:val="20"/>
                <w:szCs w:val="20"/>
              </w:rPr>
              <w:t>Oil Companies International Marine Forum</w:t>
            </w:r>
          </w:p>
        </w:tc>
      </w:tr>
      <w:tr w:rsidR="0009686B" w:rsidRPr="00A81562" w14:paraId="4A52505B" w14:textId="77777777" w:rsidTr="006A59B6">
        <w:tc>
          <w:tcPr>
            <w:tcW w:w="2081" w:type="dxa"/>
          </w:tcPr>
          <w:p w14:paraId="74C11824" w14:textId="3C3DDE22" w:rsidR="0009686B" w:rsidRPr="00A81562" w:rsidRDefault="0009686B" w:rsidP="006A59B6">
            <w:pPr>
              <w:spacing w:before="40" w:after="40"/>
              <w:ind w:left="0"/>
              <w:rPr>
                <w:rFonts w:cs="Arial"/>
                <w:sz w:val="20"/>
                <w:szCs w:val="20"/>
              </w:rPr>
            </w:pPr>
            <w:r>
              <w:rPr>
                <w:rFonts w:cs="Arial"/>
                <w:sz w:val="20"/>
                <w:szCs w:val="20"/>
              </w:rPr>
              <w:t>OCNS</w:t>
            </w:r>
          </w:p>
        </w:tc>
        <w:tc>
          <w:tcPr>
            <w:tcW w:w="6391" w:type="dxa"/>
          </w:tcPr>
          <w:p w14:paraId="2EC8041B" w14:textId="33E1F9C9" w:rsidR="0009686B" w:rsidRPr="00A81562" w:rsidRDefault="0009686B" w:rsidP="006A59B6">
            <w:pPr>
              <w:spacing w:before="40" w:after="40"/>
              <w:ind w:left="46"/>
              <w:rPr>
                <w:rFonts w:cs="Arial"/>
                <w:sz w:val="20"/>
                <w:szCs w:val="20"/>
              </w:rPr>
            </w:pPr>
            <w:r>
              <w:rPr>
                <w:rFonts w:cs="Arial"/>
                <w:sz w:val="20"/>
                <w:szCs w:val="20"/>
              </w:rPr>
              <w:t>Offshore Chemical Notification Scheme</w:t>
            </w:r>
          </w:p>
        </w:tc>
      </w:tr>
      <w:tr w:rsidR="0009686B" w:rsidRPr="00A81562" w14:paraId="32ADD2B3" w14:textId="77777777" w:rsidTr="006A59B6">
        <w:tc>
          <w:tcPr>
            <w:tcW w:w="2081" w:type="dxa"/>
          </w:tcPr>
          <w:p w14:paraId="52E19703" w14:textId="33E99670" w:rsidR="0009686B" w:rsidRPr="00A81562" w:rsidRDefault="0009686B" w:rsidP="006A59B6">
            <w:pPr>
              <w:spacing w:before="40" w:after="40"/>
              <w:ind w:left="0"/>
              <w:rPr>
                <w:rFonts w:cs="Arial"/>
                <w:sz w:val="20"/>
                <w:szCs w:val="20"/>
              </w:rPr>
            </w:pPr>
            <w:r>
              <w:rPr>
                <w:rFonts w:cs="Arial"/>
                <w:sz w:val="20"/>
                <w:szCs w:val="20"/>
              </w:rPr>
              <w:t>ODS</w:t>
            </w:r>
          </w:p>
        </w:tc>
        <w:tc>
          <w:tcPr>
            <w:tcW w:w="6391" w:type="dxa"/>
          </w:tcPr>
          <w:p w14:paraId="336B33C5" w14:textId="7A74B3F4" w:rsidR="0009686B" w:rsidRPr="00A81562" w:rsidRDefault="0009686B" w:rsidP="006A59B6">
            <w:pPr>
              <w:spacing w:before="40" w:after="40"/>
              <w:ind w:left="46"/>
              <w:rPr>
                <w:rFonts w:cs="Arial"/>
                <w:sz w:val="20"/>
                <w:szCs w:val="20"/>
              </w:rPr>
            </w:pPr>
            <w:r>
              <w:rPr>
                <w:rFonts w:cs="Arial"/>
                <w:sz w:val="20"/>
                <w:szCs w:val="20"/>
              </w:rPr>
              <w:t>Ozone-Depleting Substance</w:t>
            </w:r>
          </w:p>
        </w:tc>
      </w:tr>
      <w:tr w:rsidR="0009686B" w:rsidRPr="00A81562" w14:paraId="13E5964F" w14:textId="77777777" w:rsidTr="006A59B6">
        <w:tc>
          <w:tcPr>
            <w:tcW w:w="2081" w:type="dxa"/>
          </w:tcPr>
          <w:p w14:paraId="5178F777" w14:textId="325BCAF5" w:rsidR="0009686B" w:rsidRPr="00A81562" w:rsidRDefault="0009686B" w:rsidP="006A59B6">
            <w:pPr>
              <w:spacing w:before="40" w:after="40"/>
              <w:ind w:left="0"/>
              <w:rPr>
                <w:rFonts w:cs="Arial"/>
                <w:sz w:val="20"/>
                <w:szCs w:val="20"/>
              </w:rPr>
            </w:pPr>
            <w:r w:rsidRPr="00A81562">
              <w:rPr>
                <w:rFonts w:cs="Arial"/>
                <w:sz w:val="20"/>
                <w:szCs w:val="20"/>
              </w:rPr>
              <w:t>OHS</w:t>
            </w:r>
          </w:p>
        </w:tc>
        <w:tc>
          <w:tcPr>
            <w:tcW w:w="6391" w:type="dxa"/>
          </w:tcPr>
          <w:p w14:paraId="28BA734A" w14:textId="5B7FFD1D" w:rsidR="0009686B" w:rsidRPr="00A81562" w:rsidRDefault="0009686B" w:rsidP="006A59B6">
            <w:pPr>
              <w:spacing w:before="40" w:after="40"/>
              <w:ind w:left="46"/>
              <w:rPr>
                <w:rFonts w:cs="Arial"/>
                <w:sz w:val="20"/>
                <w:szCs w:val="20"/>
              </w:rPr>
            </w:pPr>
            <w:r>
              <w:rPr>
                <w:rFonts w:cs="Arial"/>
                <w:sz w:val="20"/>
                <w:szCs w:val="20"/>
              </w:rPr>
              <w:t>O</w:t>
            </w:r>
            <w:r w:rsidRPr="00A81562">
              <w:rPr>
                <w:rFonts w:cs="Arial"/>
                <w:sz w:val="20"/>
                <w:szCs w:val="20"/>
              </w:rPr>
              <w:t xml:space="preserve">ccupational </w:t>
            </w:r>
            <w:r>
              <w:rPr>
                <w:rFonts w:cs="Arial"/>
                <w:sz w:val="20"/>
                <w:szCs w:val="20"/>
              </w:rPr>
              <w:t>H</w:t>
            </w:r>
            <w:r w:rsidRPr="00A81562">
              <w:rPr>
                <w:rFonts w:cs="Arial"/>
                <w:sz w:val="20"/>
                <w:szCs w:val="20"/>
              </w:rPr>
              <w:t xml:space="preserve">ealth and </w:t>
            </w:r>
            <w:r>
              <w:rPr>
                <w:rFonts w:cs="Arial"/>
                <w:sz w:val="20"/>
                <w:szCs w:val="20"/>
              </w:rPr>
              <w:t>S</w:t>
            </w:r>
            <w:r w:rsidRPr="00A81562">
              <w:rPr>
                <w:rFonts w:cs="Arial"/>
                <w:sz w:val="20"/>
                <w:szCs w:val="20"/>
              </w:rPr>
              <w:t>afety</w:t>
            </w:r>
          </w:p>
        </w:tc>
      </w:tr>
      <w:tr w:rsidR="0009686B" w:rsidRPr="00A81562" w14:paraId="0BB99FC8" w14:textId="77777777" w:rsidTr="006A59B6">
        <w:tc>
          <w:tcPr>
            <w:tcW w:w="2081" w:type="dxa"/>
          </w:tcPr>
          <w:p w14:paraId="69C3FF8E" w14:textId="18B08528" w:rsidR="0009686B" w:rsidRPr="006A59B6" w:rsidRDefault="0009686B" w:rsidP="006A59B6">
            <w:pPr>
              <w:spacing w:before="40" w:after="40"/>
              <w:ind w:left="0"/>
              <w:rPr>
                <w:rFonts w:cs="Arial"/>
                <w:sz w:val="20"/>
                <w:szCs w:val="20"/>
              </w:rPr>
            </w:pPr>
            <w:r>
              <w:rPr>
                <w:rFonts w:cs="Arial"/>
                <w:sz w:val="20"/>
                <w:szCs w:val="20"/>
              </w:rPr>
              <w:t>OIW</w:t>
            </w:r>
          </w:p>
        </w:tc>
        <w:tc>
          <w:tcPr>
            <w:tcW w:w="6391" w:type="dxa"/>
          </w:tcPr>
          <w:p w14:paraId="1F2FE6E5" w14:textId="2B546420" w:rsidR="0009686B" w:rsidRPr="006A59B6" w:rsidRDefault="0009686B" w:rsidP="006A59B6">
            <w:pPr>
              <w:spacing w:before="40" w:after="40"/>
              <w:ind w:left="46"/>
              <w:rPr>
                <w:rFonts w:cs="Arial"/>
                <w:sz w:val="20"/>
                <w:szCs w:val="20"/>
              </w:rPr>
            </w:pPr>
            <w:r>
              <w:rPr>
                <w:rFonts w:cs="Arial"/>
                <w:sz w:val="20"/>
                <w:szCs w:val="20"/>
              </w:rPr>
              <w:t>Oil-in-Water</w:t>
            </w:r>
          </w:p>
        </w:tc>
      </w:tr>
      <w:tr w:rsidR="0009686B" w:rsidRPr="00A81562" w14:paraId="337E846D" w14:textId="77777777" w:rsidTr="006A59B6">
        <w:tc>
          <w:tcPr>
            <w:tcW w:w="2081" w:type="dxa"/>
          </w:tcPr>
          <w:p w14:paraId="6B338529" w14:textId="7E7537E4" w:rsidR="0009686B" w:rsidRPr="00A81562" w:rsidRDefault="0009686B" w:rsidP="006A59B6">
            <w:pPr>
              <w:spacing w:before="40" w:after="40"/>
              <w:ind w:left="0"/>
              <w:rPr>
                <w:rFonts w:cs="Arial"/>
                <w:sz w:val="20"/>
                <w:szCs w:val="20"/>
              </w:rPr>
            </w:pPr>
            <w:r w:rsidRPr="00A81562">
              <w:rPr>
                <w:rFonts w:cs="Arial"/>
                <w:sz w:val="20"/>
                <w:szCs w:val="20"/>
              </w:rPr>
              <w:t>OPEP</w:t>
            </w:r>
          </w:p>
        </w:tc>
        <w:tc>
          <w:tcPr>
            <w:tcW w:w="6391" w:type="dxa"/>
          </w:tcPr>
          <w:p w14:paraId="32885701" w14:textId="563EC936" w:rsidR="0009686B" w:rsidRPr="00A81562" w:rsidRDefault="0009686B" w:rsidP="006A59B6">
            <w:pPr>
              <w:spacing w:before="40" w:after="40"/>
              <w:ind w:left="46"/>
              <w:rPr>
                <w:rFonts w:cs="Arial"/>
                <w:sz w:val="20"/>
                <w:szCs w:val="20"/>
              </w:rPr>
            </w:pPr>
            <w:r w:rsidRPr="00A81562">
              <w:rPr>
                <w:rFonts w:cs="Arial"/>
                <w:sz w:val="20"/>
                <w:szCs w:val="20"/>
              </w:rPr>
              <w:t>Oil Pollution Emergency Plan</w:t>
            </w:r>
          </w:p>
        </w:tc>
      </w:tr>
      <w:tr w:rsidR="0009686B" w:rsidRPr="00A81562" w14:paraId="3223A5FA" w14:textId="77777777" w:rsidTr="006A59B6">
        <w:tc>
          <w:tcPr>
            <w:tcW w:w="2081" w:type="dxa"/>
          </w:tcPr>
          <w:p w14:paraId="17AB12E1" w14:textId="14FA4625" w:rsidR="0009686B" w:rsidRDefault="0009686B" w:rsidP="006A59B6">
            <w:pPr>
              <w:spacing w:before="40" w:after="40"/>
              <w:ind w:left="0"/>
              <w:rPr>
                <w:rFonts w:cs="Arial"/>
                <w:sz w:val="20"/>
                <w:szCs w:val="20"/>
              </w:rPr>
            </w:pPr>
            <w:r w:rsidRPr="00A81562">
              <w:rPr>
                <w:rFonts w:cs="Arial"/>
                <w:sz w:val="20"/>
                <w:szCs w:val="20"/>
              </w:rPr>
              <w:t>OPGGS Act</w:t>
            </w:r>
          </w:p>
        </w:tc>
        <w:tc>
          <w:tcPr>
            <w:tcW w:w="6391" w:type="dxa"/>
          </w:tcPr>
          <w:p w14:paraId="19000DF1" w14:textId="21979DFD" w:rsidR="0009686B" w:rsidRDefault="0009686B" w:rsidP="006A59B6">
            <w:pPr>
              <w:spacing w:before="40" w:after="40"/>
              <w:ind w:left="46"/>
              <w:rPr>
                <w:rFonts w:cs="Arial"/>
                <w:sz w:val="20"/>
                <w:szCs w:val="20"/>
              </w:rPr>
            </w:pPr>
            <w:r w:rsidRPr="00A81562">
              <w:rPr>
                <w:rFonts w:cs="Arial"/>
                <w:sz w:val="20"/>
                <w:szCs w:val="20"/>
              </w:rPr>
              <w:t>Offshore Petroleum and Greenhouse Gas Storage Act</w:t>
            </w:r>
            <w:r>
              <w:rPr>
                <w:rFonts w:cs="Arial"/>
                <w:sz w:val="20"/>
                <w:szCs w:val="20"/>
              </w:rPr>
              <w:t xml:space="preserve"> (Cth &amp; Vic)</w:t>
            </w:r>
          </w:p>
        </w:tc>
      </w:tr>
      <w:tr w:rsidR="0009686B" w:rsidRPr="00A81562" w14:paraId="7AAA415E" w14:textId="77777777" w:rsidTr="006A59B6">
        <w:tc>
          <w:tcPr>
            <w:tcW w:w="2081" w:type="dxa"/>
          </w:tcPr>
          <w:p w14:paraId="1CA32FFB" w14:textId="74E4D16C" w:rsidR="0009686B" w:rsidRDefault="0009686B" w:rsidP="006A59B6">
            <w:pPr>
              <w:spacing w:before="40" w:after="40"/>
              <w:ind w:left="0"/>
              <w:rPr>
                <w:rFonts w:cs="Arial"/>
                <w:sz w:val="20"/>
                <w:szCs w:val="20"/>
              </w:rPr>
            </w:pPr>
            <w:r w:rsidRPr="00A81562">
              <w:rPr>
                <w:rFonts w:cs="Arial"/>
                <w:sz w:val="20"/>
                <w:szCs w:val="20"/>
              </w:rPr>
              <w:t>OPGGS Regulations</w:t>
            </w:r>
          </w:p>
        </w:tc>
        <w:tc>
          <w:tcPr>
            <w:tcW w:w="6391" w:type="dxa"/>
          </w:tcPr>
          <w:p w14:paraId="3B746096" w14:textId="6E228C61" w:rsidR="0009686B" w:rsidRDefault="0009686B" w:rsidP="006A59B6">
            <w:pPr>
              <w:spacing w:before="40" w:after="40"/>
              <w:ind w:left="46"/>
              <w:rPr>
                <w:rFonts w:cs="Arial"/>
                <w:sz w:val="20"/>
                <w:szCs w:val="20"/>
              </w:rPr>
            </w:pPr>
            <w:r w:rsidRPr="00A81562">
              <w:rPr>
                <w:rFonts w:cs="Arial"/>
                <w:sz w:val="20"/>
                <w:szCs w:val="20"/>
              </w:rPr>
              <w:t>Offshore Petroleum and Greenhouse Gas Storage Regulations</w:t>
            </w:r>
            <w:r>
              <w:rPr>
                <w:rFonts w:cs="Arial"/>
                <w:sz w:val="20"/>
                <w:szCs w:val="20"/>
              </w:rPr>
              <w:t xml:space="preserve"> (Vic)</w:t>
            </w:r>
          </w:p>
        </w:tc>
      </w:tr>
      <w:tr w:rsidR="0009686B" w:rsidRPr="00A81562" w14:paraId="10502C9F" w14:textId="77777777" w:rsidTr="006A59B6">
        <w:tc>
          <w:tcPr>
            <w:tcW w:w="2081" w:type="dxa"/>
          </w:tcPr>
          <w:p w14:paraId="709A9C0C" w14:textId="79944A59" w:rsidR="0009686B" w:rsidRDefault="0009686B" w:rsidP="006A59B6">
            <w:pPr>
              <w:spacing w:before="40" w:after="40"/>
              <w:ind w:left="0"/>
              <w:rPr>
                <w:rFonts w:cs="Arial"/>
                <w:sz w:val="20"/>
                <w:szCs w:val="20"/>
              </w:rPr>
            </w:pPr>
            <w:r w:rsidRPr="00A81562">
              <w:rPr>
                <w:rFonts w:cs="Arial"/>
                <w:sz w:val="20"/>
                <w:szCs w:val="20"/>
              </w:rPr>
              <w:t>OSMP</w:t>
            </w:r>
          </w:p>
        </w:tc>
        <w:tc>
          <w:tcPr>
            <w:tcW w:w="6391" w:type="dxa"/>
          </w:tcPr>
          <w:p w14:paraId="76615D96" w14:textId="01C05A85" w:rsidR="0009686B" w:rsidRDefault="0009686B" w:rsidP="006A59B6">
            <w:pPr>
              <w:spacing w:before="40" w:after="40"/>
              <w:ind w:left="46"/>
              <w:rPr>
                <w:rFonts w:cs="Arial"/>
                <w:sz w:val="20"/>
                <w:szCs w:val="20"/>
              </w:rPr>
            </w:pPr>
            <w:r w:rsidRPr="00A81562">
              <w:rPr>
                <w:rFonts w:cs="Arial"/>
                <w:sz w:val="20"/>
                <w:szCs w:val="20"/>
              </w:rPr>
              <w:t>Oil Spill Monitoring Program</w:t>
            </w:r>
          </w:p>
        </w:tc>
      </w:tr>
      <w:tr w:rsidR="0009686B" w:rsidRPr="00A81562" w14:paraId="76CD89AA" w14:textId="77777777" w:rsidTr="006A59B6">
        <w:tc>
          <w:tcPr>
            <w:tcW w:w="2081" w:type="dxa"/>
          </w:tcPr>
          <w:p w14:paraId="6ECC7D3E" w14:textId="55089411" w:rsidR="0009686B" w:rsidRPr="00A81562" w:rsidRDefault="0009686B" w:rsidP="006A59B6">
            <w:pPr>
              <w:spacing w:before="40" w:after="40"/>
              <w:ind w:left="0"/>
              <w:rPr>
                <w:rFonts w:cs="Arial"/>
                <w:sz w:val="20"/>
                <w:szCs w:val="20"/>
              </w:rPr>
            </w:pPr>
            <w:r>
              <w:rPr>
                <w:rFonts w:cs="Arial"/>
                <w:sz w:val="20"/>
                <w:szCs w:val="20"/>
              </w:rPr>
              <w:t>OSPAR</w:t>
            </w:r>
          </w:p>
        </w:tc>
        <w:tc>
          <w:tcPr>
            <w:tcW w:w="6391" w:type="dxa"/>
          </w:tcPr>
          <w:p w14:paraId="35ED972E" w14:textId="41280654" w:rsidR="0009686B" w:rsidRPr="00A81562" w:rsidRDefault="0009686B" w:rsidP="006A59B6">
            <w:pPr>
              <w:spacing w:before="40" w:after="40"/>
              <w:ind w:left="46"/>
              <w:rPr>
                <w:rFonts w:cs="Arial"/>
                <w:sz w:val="20"/>
                <w:szCs w:val="20"/>
              </w:rPr>
            </w:pPr>
            <w:r>
              <w:rPr>
                <w:rFonts w:cs="Arial"/>
                <w:sz w:val="20"/>
                <w:szCs w:val="20"/>
              </w:rPr>
              <w:t>Oslo-Paris Conventions</w:t>
            </w:r>
          </w:p>
        </w:tc>
      </w:tr>
      <w:tr w:rsidR="0009686B" w:rsidRPr="00A81562" w14:paraId="3831B81C" w14:textId="77777777" w:rsidTr="006A59B6">
        <w:tc>
          <w:tcPr>
            <w:tcW w:w="2081" w:type="dxa"/>
          </w:tcPr>
          <w:p w14:paraId="46272350" w14:textId="67742A82" w:rsidR="0009686B" w:rsidRPr="00A81562" w:rsidRDefault="0009686B" w:rsidP="006A59B6">
            <w:pPr>
              <w:spacing w:before="40" w:after="40"/>
              <w:ind w:left="0"/>
              <w:rPr>
                <w:rFonts w:cs="Arial"/>
                <w:sz w:val="20"/>
                <w:szCs w:val="20"/>
              </w:rPr>
            </w:pPr>
            <w:r w:rsidRPr="00A81562">
              <w:rPr>
                <w:rFonts w:cs="Arial"/>
                <w:sz w:val="20"/>
                <w:szCs w:val="20"/>
              </w:rPr>
              <w:t>OSRA</w:t>
            </w:r>
          </w:p>
        </w:tc>
        <w:tc>
          <w:tcPr>
            <w:tcW w:w="6391" w:type="dxa"/>
          </w:tcPr>
          <w:p w14:paraId="668284E8" w14:textId="162D32A5" w:rsidR="0009686B" w:rsidRPr="00A81562" w:rsidRDefault="0009686B" w:rsidP="006A59B6">
            <w:pPr>
              <w:spacing w:before="40" w:after="40"/>
              <w:ind w:left="46"/>
              <w:rPr>
                <w:rFonts w:cs="Arial"/>
                <w:sz w:val="20"/>
                <w:szCs w:val="20"/>
              </w:rPr>
            </w:pPr>
            <w:r w:rsidRPr="00A81562">
              <w:rPr>
                <w:rFonts w:cs="Arial"/>
                <w:sz w:val="20"/>
                <w:szCs w:val="20"/>
              </w:rPr>
              <w:t>Oil Spill Response Atlas</w:t>
            </w:r>
          </w:p>
        </w:tc>
      </w:tr>
      <w:tr w:rsidR="0009686B" w:rsidRPr="00A81562" w14:paraId="14FD2503" w14:textId="77777777" w:rsidTr="006A59B6">
        <w:tc>
          <w:tcPr>
            <w:tcW w:w="2081" w:type="dxa"/>
          </w:tcPr>
          <w:p w14:paraId="6670DF5D" w14:textId="1A584069" w:rsidR="0009686B" w:rsidRPr="00A81562" w:rsidRDefault="0009686B" w:rsidP="006A59B6">
            <w:pPr>
              <w:spacing w:before="40" w:after="40"/>
              <w:ind w:left="0"/>
              <w:rPr>
                <w:rFonts w:cs="Arial"/>
                <w:sz w:val="20"/>
                <w:szCs w:val="20"/>
              </w:rPr>
            </w:pPr>
            <w:r w:rsidRPr="00A81562">
              <w:rPr>
                <w:rFonts w:cs="Arial"/>
                <w:sz w:val="20"/>
                <w:szCs w:val="20"/>
              </w:rPr>
              <w:t>OVID</w:t>
            </w:r>
          </w:p>
        </w:tc>
        <w:tc>
          <w:tcPr>
            <w:tcW w:w="6391" w:type="dxa"/>
          </w:tcPr>
          <w:p w14:paraId="1335E0C8" w14:textId="438E77A8" w:rsidR="0009686B" w:rsidRPr="00A81562" w:rsidRDefault="0009686B" w:rsidP="006A59B6">
            <w:pPr>
              <w:spacing w:before="40" w:after="40"/>
              <w:ind w:left="46"/>
              <w:rPr>
                <w:rFonts w:cs="Arial"/>
                <w:sz w:val="20"/>
                <w:szCs w:val="20"/>
              </w:rPr>
            </w:pPr>
            <w:r w:rsidRPr="00A81562">
              <w:rPr>
                <w:rFonts w:cs="Arial"/>
                <w:sz w:val="20"/>
                <w:szCs w:val="20"/>
              </w:rPr>
              <w:t>Offshore Vessel Inspection Document</w:t>
            </w:r>
          </w:p>
        </w:tc>
      </w:tr>
      <w:tr w:rsidR="0009686B" w:rsidRPr="00A81562" w14:paraId="4F970B95" w14:textId="77777777" w:rsidTr="006A59B6">
        <w:tc>
          <w:tcPr>
            <w:tcW w:w="2081" w:type="dxa"/>
          </w:tcPr>
          <w:p w14:paraId="4E819B16" w14:textId="2092C2ED" w:rsidR="0009686B" w:rsidRPr="00A81562" w:rsidRDefault="0009686B" w:rsidP="006A59B6">
            <w:pPr>
              <w:spacing w:before="40" w:after="40"/>
              <w:ind w:left="0"/>
              <w:rPr>
                <w:rFonts w:cs="Arial"/>
                <w:sz w:val="20"/>
                <w:szCs w:val="20"/>
              </w:rPr>
            </w:pPr>
            <w:r>
              <w:rPr>
                <w:rFonts w:cs="Arial"/>
                <w:sz w:val="20"/>
                <w:szCs w:val="20"/>
              </w:rPr>
              <w:lastRenderedPageBreak/>
              <w:t>OWR</w:t>
            </w:r>
          </w:p>
        </w:tc>
        <w:tc>
          <w:tcPr>
            <w:tcW w:w="6391" w:type="dxa"/>
          </w:tcPr>
          <w:p w14:paraId="5D278145" w14:textId="4EBDE0A4" w:rsidR="0009686B" w:rsidRPr="00A81562" w:rsidRDefault="0009686B" w:rsidP="006A59B6">
            <w:pPr>
              <w:spacing w:before="40" w:after="40"/>
              <w:ind w:left="46"/>
              <w:rPr>
                <w:rFonts w:cs="Arial"/>
                <w:sz w:val="20"/>
                <w:szCs w:val="20"/>
              </w:rPr>
            </w:pPr>
            <w:r>
              <w:rPr>
                <w:rFonts w:cs="Arial"/>
                <w:sz w:val="20"/>
                <w:szCs w:val="20"/>
              </w:rPr>
              <w:t>Oiled Wildlife Response</w:t>
            </w:r>
          </w:p>
        </w:tc>
      </w:tr>
      <w:tr w:rsidR="0009686B" w:rsidRPr="00A81562" w14:paraId="56F80AFF" w14:textId="77777777" w:rsidTr="006A59B6">
        <w:tc>
          <w:tcPr>
            <w:tcW w:w="2081" w:type="dxa"/>
          </w:tcPr>
          <w:p w14:paraId="70A432F6" w14:textId="2A15B3FD" w:rsidR="0009686B" w:rsidRPr="00A81562" w:rsidRDefault="0009686B" w:rsidP="006A59B6">
            <w:pPr>
              <w:spacing w:before="40" w:after="40"/>
              <w:ind w:left="0"/>
              <w:rPr>
                <w:rFonts w:cs="Arial"/>
                <w:sz w:val="20"/>
                <w:szCs w:val="20"/>
              </w:rPr>
            </w:pPr>
            <w:r>
              <w:rPr>
                <w:rFonts w:cs="Arial"/>
                <w:sz w:val="20"/>
                <w:szCs w:val="20"/>
              </w:rPr>
              <w:t>OWS</w:t>
            </w:r>
          </w:p>
        </w:tc>
        <w:tc>
          <w:tcPr>
            <w:tcW w:w="6391" w:type="dxa"/>
          </w:tcPr>
          <w:p w14:paraId="6643ED6B" w14:textId="2175482B" w:rsidR="0009686B" w:rsidRPr="00A81562" w:rsidRDefault="0009686B" w:rsidP="006A59B6">
            <w:pPr>
              <w:spacing w:before="40" w:after="40"/>
              <w:ind w:left="46"/>
              <w:rPr>
                <w:rFonts w:cs="Arial"/>
                <w:sz w:val="20"/>
                <w:szCs w:val="20"/>
              </w:rPr>
            </w:pPr>
            <w:r>
              <w:rPr>
                <w:rFonts w:cs="Arial"/>
                <w:sz w:val="20"/>
                <w:szCs w:val="20"/>
              </w:rPr>
              <w:t>Oily Water Separator</w:t>
            </w:r>
          </w:p>
        </w:tc>
      </w:tr>
      <w:tr w:rsidR="0009686B" w:rsidRPr="00A81562" w14:paraId="657D3F84" w14:textId="77777777" w:rsidTr="006A59B6">
        <w:tc>
          <w:tcPr>
            <w:tcW w:w="2081" w:type="dxa"/>
          </w:tcPr>
          <w:p w14:paraId="04CAAC69" w14:textId="5D197A3C" w:rsidR="0009686B" w:rsidRPr="00A81562" w:rsidRDefault="0009686B" w:rsidP="006A59B6">
            <w:pPr>
              <w:spacing w:before="40" w:after="40"/>
              <w:ind w:left="0"/>
              <w:rPr>
                <w:rFonts w:cs="Arial"/>
                <w:sz w:val="20"/>
                <w:szCs w:val="20"/>
              </w:rPr>
            </w:pPr>
            <w:r>
              <w:rPr>
                <w:rFonts w:cs="Arial"/>
                <w:sz w:val="20"/>
                <w:szCs w:val="20"/>
              </w:rPr>
              <w:t>PAH</w:t>
            </w:r>
          </w:p>
        </w:tc>
        <w:tc>
          <w:tcPr>
            <w:tcW w:w="6391" w:type="dxa"/>
          </w:tcPr>
          <w:p w14:paraId="6E44EE77" w14:textId="1EA0DD6C" w:rsidR="0009686B" w:rsidRPr="00A81562" w:rsidRDefault="0009686B" w:rsidP="006A59B6">
            <w:pPr>
              <w:spacing w:before="40" w:after="40"/>
              <w:ind w:left="46"/>
              <w:rPr>
                <w:rFonts w:cs="Arial"/>
                <w:sz w:val="20"/>
                <w:szCs w:val="20"/>
              </w:rPr>
            </w:pPr>
            <w:r>
              <w:rPr>
                <w:rFonts w:cs="Arial"/>
                <w:sz w:val="20"/>
                <w:szCs w:val="20"/>
              </w:rPr>
              <w:t>Polyaromatic Hydrocarbon</w:t>
            </w:r>
          </w:p>
        </w:tc>
      </w:tr>
      <w:tr w:rsidR="0009686B" w:rsidRPr="00A81562" w14:paraId="08A59C88" w14:textId="77777777" w:rsidTr="006A59B6">
        <w:tc>
          <w:tcPr>
            <w:tcW w:w="2081" w:type="dxa"/>
          </w:tcPr>
          <w:p w14:paraId="10FAA790" w14:textId="74350DEB" w:rsidR="0009686B" w:rsidRPr="00A81562" w:rsidRDefault="0009686B" w:rsidP="006A59B6">
            <w:pPr>
              <w:spacing w:before="40" w:after="40"/>
              <w:ind w:left="0"/>
              <w:rPr>
                <w:rFonts w:cs="Arial"/>
                <w:sz w:val="20"/>
                <w:szCs w:val="20"/>
              </w:rPr>
            </w:pPr>
            <w:r w:rsidRPr="00A81562">
              <w:rPr>
                <w:rFonts w:cs="Arial"/>
                <w:sz w:val="20"/>
                <w:szCs w:val="20"/>
              </w:rPr>
              <w:t>PAM</w:t>
            </w:r>
          </w:p>
        </w:tc>
        <w:tc>
          <w:tcPr>
            <w:tcW w:w="6391" w:type="dxa"/>
          </w:tcPr>
          <w:p w14:paraId="7AFAF568" w14:textId="3F50464E" w:rsidR="0009686B" w:rsidRPr="00A81562" w:rsidRDefault="0009686B" w:rsidP="006A59B6">
            <w:pPr>
              <w:spacing w:before="40" w:after="40"/>
              <w:ind w:left="46"/>
              <w:rPr>
                <w:rFonts w:cs="Arial"/>
                <w:sz w:val="20"/>
                <w:szCs w:val="20"/>
              </w:rPr>
            </w:pPr>
            <w:r>
              <w:rPr>
                <w:rFonts w:cs="Arial"/>
                <w:sz w:val="20"/>
                <w:szCs w:val="20"/>
              </w:rPr>
              <w:t>Passive Acoustic Monitoring</w:t>
            </w:r>
          </w:p>
        </w:tc>
      </w:tr>
      <w:tr w:rsidR="0009686B" w:rsidRPr="00A81562" w14:paraId="0367A76C" w14:textId="77777777" w:rsidTr="006A59B6">
        <w:tc>
          <w:tcPr>
            <w:tcW w:w="2081" w:type="dxa"/>
          </w:tcPr>
          <w:p w14:paraId="5472C9B9" w14:textId="4A1214D3" w:rsidR="0009686B" w:rsidRDefault="0009686B" w:rsidP="006A59B6">
            <w:pPr>
              <w:spacing w:before="40" w:after="40"/>
              <w:ind w:left="0"/>
              <w:rPr>
                <w:rFonts w:cs="Arial"/>
                <w:sz w:val="20"/>
                <w:szCs w:val="20"/>
              </w:rPr>
            </w:pPr>
            <w:r w:rsidRPr="00A81562">
              <w:rPr>
                <w:rFonts w:cs="Arial"/>
                <w:sz w:val="20"/>
                <w:szCs w:val="20"/>
              </w:rPr>
              <w:t>PCBs</w:t>
            </w:r>
          </w:p>
        </w:tc>
        <w:tc>
          <w:tcPr>
            <w:tcW w:w="6391" w:type="dxa"/>
          </w:tcPr>
          <w:p w14:paraId="52B1A083" w14:textId="7EE23867" w:rsidR="0009686B" w:rsidRDefault="0009686B" w:rsidP="006A59B6">
            <w:pPr>
              <w:spacing w:before="40" w:after="40"/>
              <w:ind w:left="46"/>
              <w:rPr>
                <w:rFonts w:cs="Arial"/>
                <w:sz w:val="20"/>
                <w:szCs w:val="20"/>
              </w:rPr>
            </w:pPr>
            <w:r>
              <w:rPr>
                <w:rFonts w:cs="Arial"/>
                <w:sz w:val="20"/>
                <w:szCs w:val="20"/>
              </w:rPr>
              <w:t>P</w:t>
            </w:r>
            <w:r w:rsidRPr="00A81562">
              <w:rPr>
                <w:rFonts w:cs="Arial"/>
                <w:sz w:val="20"/>
                <w:szCs w:val="20"/>
              </w:rPr>
              <w:t xml:space="preserve">olychlorinated </w:t>
            </w:r>
            <w:r>
              <w:rPr>
                <w:rFonts w:cs="Arial"/>
                <w:sz w:val="20"/>
                <w:szCs w:val="20"/>
              </w:rPr>
              <w:t>B</w:t>
            </w:r>
            <w:r w:rsidRPr="00A81562">
              <w:rPr>
                <w:rFonts w:cs="Arial"/>
                <w:sz w:val="20"/>
                <w:szCs w:val="20"/>
              </w:rPr>
              <w:t>iphenyls</w:t>
            </w:r>
          </w:p>
        </w:tc>
      </w:tr>
      <w:tr w:rsidR="0009686B" w:rsidRPr="00A81562" w14:paraId="2BFD5531" w14:textId="77777777" w:rsidTr="006A59B6">
        <w:tc>
          <w:tcPr>
            <w:tcW w:w="2081" w:type="dxa"/>
          </w:tcPr>
          <w:p w14:paraId="3A8E87F1" w14:textId="164DE2EE" w:rsidR="0009686B" w:rsidRPr="00A81562" w:rsidRDefault="0009686B" w:rsidP="006A59B6">
            <w:pPr>
              <w:spacing w:before="40" w:after="40"/>
              <w:ind w:left="0"/>
              <w:rPr>
                <w:rFonts w:cs="Arial"/>
                <w:sz w:val="20"/>
                <w:szCs w:val="20"/>
              </w:rPr>
            </w:pPr>
            <w:r>
              <w:rPr>
                <w:rFonts w:cs="Arial"/>
                <w:sz w:val="20"/>
                <w:szCs w:val="20"/>
              </w:rPr>
              <w:t>PFW</w:t>
            </w:r>
          </w:p>
        </w:tc>
        <w:tc>
          <w:tcPr>
            <w:tcW w:w="6391" w:type="dxa"/>
          </w:tcPr>
          <w:p w14:paraId="0901FAC0" w14:textId="4C938CB6" w:rsidR="0009686B" w:rsidRPr="00A81562" w:rsidRDefault="0009686B" w:rsidP="006A59B6">
            <w:pPr>
              <w:spacing w:before="40" w:after="40"/>
              <w:ind w:left="46"/>
              <w:rPr>
                <w:rFonts w:cs="Arial"/>
                <w:sz w:val="20"/>
                <w:szCs w:val="20"/>
              </w:rPr>
            </w:pPr>
            <w:r>
              <w:rPr>
                <w:rFonts w:cs="Arial"/>
                <w:sz w:val="20"/>
                <w:szCs w:val="20"/>
              </w:rPr>
              <w:t>Produced Formation Water</w:t>
            </w:r>
          </w:p>
        </w:tc>
      </w:tr>
      <w:tr w:rsidR="00F446AF" w:rsidRPr="00A81562" w14:paraId="4F3B4629" w14:textId="77777777" w:rsidTr="006A59B6">
        <w:tc>
          <w:tcPr>
            <w:tcW w:w="2081" w:type="dxa"/>
          </w:tcPr>
          <w:p w14:paraId="61FFA934" w14:textId="2FFF63AB" w:rsidR="00F446AF" w:rsidRPr="00A81562" w:rsidRDefault="00F446AF" w:rsidP="006A59B6">
            <w:pPr>
              <w:spacing w:before="40" w:after="40"/>
              <w:ind w:left="0"/>
              <w:rPr>
                <w:rFonts w:cs="Arial"/>
                <w:sz w:val="20"/>
                <w:szCs w:val="20"/>
              </w:rPr>
            </w:pPr>
            <w:r>
              <w:rPr>
                <w:rFonts w:cs="Arial"/>
                <w:sz w:val="20"/>
                <w:szCs w:val="20"/>
              </w:rPr>
              <w:t>PMM</w:t>
            </w:r>
          </w:p>
        </w:tc>
        <w:tc>
          <w:tcPr>
            <w:tcW w:w="6391" w:type="dxa"/>
          </w:tcPr>
          <w:p w14:paraId="280B2947" w14:textId="739F699D" w:rsidR="00F446AF" w:rsidRDefault="00F446AF" w:rsidP="006A59B6">
            <w:pPr>
              <w:spacing w:before="40" w:after="40"/>
              <w:ind w:left="46"/>
              <w:rPr>
                <w:rFonts w:cs="Arial"/>
                <w:sz w:val="20"/>
                <w:szCs w:val="20"/>
              </w:rPr>
            </w:pPr>
            <w:r>
              <w:rPr>
                <w:rFonts w:cs="Arial"/>
                <w:sz w:val="20"/>
                <w:szCs w:val="20"/>
              </w:rPr>
              <w:t>Project Management Manual</w:t>
            </w:r>
          </w:p>
        </w:tc>
      </w:tr>
      <w:tr w:rsidR="0009686B" w:rsidRPr="00A81562" w14:paraId="0458AEB4" w14:textId="77777777" w:rsidTr="006A59B6">
        <w:tc>
          <w:tcPr>
            <w:tcW w:w="2081" w:type="dxa"/>
          </w:tcPr>
          <w:p w14:paraId="30BA108B" w14:textId="6E322795" w:rsidR="0009686B" w:rsidRPr="00A81562" w:rsidRDefault="0009686B" w:rsidP="006A59B6">
            <w:pPr>
              <w:spacing w:before="40" w:after="40"/>
              <w:ind w:left="0"/>
              <w:rPr>
                <w:rFonts w:cs="Arial"/>
                <w:sz w:val="20"/>
                <w:szCs w:val="20"/>
              </w:rPr>
            </w:pPr>
            <w:r w:rsidRPr="00A81562">
              <w:rPr>
                <w:rFonts w:cs="Arial"/>
                <w:sz w:val="20"/>
                <w:szCs w:val="20"/>
              </w:rPr>
              <w:t>PMS</w:t>
            </w:r>
          </w:p>
        </w:tc>
        <w:tc>
          <w:tcPr>
            <w:tcW w:w="6391" w:type="dxa"/>
          </w:tcPr>
          <w:p w14:paraId="6D1972DE" w14:textId="55FB0698" w:rsidR="0009686B" w:rsidRPr="00A81562" w:rsidRDefault="0009686B" w:rsidP="006A59B6">
            <w:pPr>
              <w:spacing w:before="40" w:after="40"/>
              <w:ind w:left="46"/>
              <w:rPr>
                <w:rFonts w:cs="Arial"/>
                <w:sz w:val="20"/>
                <w:szCs w:val="20"/>
              </w:rPr>
            </w:pPr>
            <w:r>
              <w:rPr>
                <w:rFonts w:cs="Arial"/>
                <w:sz w:val="20"/>
                <w:szCs w:val="20"/>
              </w:rPr>
              <w:t>Planned Maintenance System</w:t>
            </w:r>
          </w:p>
        </w:tc>
      </w:tr>
      <w:tr w:rsidR="0009686B" w:rsidRPr="00A81562" w14:paraId="71DEBF57" w14:textId="77777777" w:rsidTr="006A59B6">
        <w:tc>
          <w:tcPr>
            <w:tcW w:w="2081" w:type="dxa"/>
          </w:tcPr>
          <w:p w14:paraId="5932F333" w14:textId="1212D11D" w:rsidR="0009686B" w:rsidRPr="00A81562" w:rsidRDefault="0009686B" w:rsidP="006A59B6">
            <w:pPr>
              <w:spacing w:before="40" w:after="40"/>
              <w:ind w:left="0"/>
              <w:rPr>
                <w:rFonts w:cs="Arial"/>
                <w:sz w:val="20"/>
                <w:szCs w:val="20"/>
              </w:rPr>
            </w:pPr>
            <w:r>
              <w:rPr>
                <w:rFonts w:cs="Arial"/>
                <w:sz w:val="20"/>
                <w:szCs w:val="20"/>
              </w:rPr>
              <w:t>PNEC</w:t>
            </w:r>
          </w:p>
        </w:tc>
        <w:tc>
          <w:tcPr>
            <w:tcW w:w="6391" w:type="dxa"/>
          </w:tcPr>
          <w:p w14:paraId="12A8D421" w14:textId="7D3C0CB2" w:rsidR="0009686B" w:rsidRPr="00A81562" w:rsidRDefault="0009686B" w:rsidP="006A59B6">
            <w:pPr>
              <w:spacing w:before="40" w:after="40"/>
              <w:ind w:left="46"/>
              <w:rPr>
                <w:rFonts w:cs="Arial"/>
                <w:sz w:val="20"/>
                <w:szCs w:val="20"/>
              </w:rPr>
            </w:pPr>
            <w:r>
              <w:rPr>
                <w:rFonts w:cs="Arial"/>
                <w:sz w:val="20"/>
                <w:szCs w:val="20"/>
              </w:rPr>
              <w:t>Predicted No Effect Concentration</w:t>
            </w:r>
          </w:p>
        </w:tc>
      </w:tr>
      <w:tr w:rsidR="0009686B" w:rsidRPr="00A81562" w14:paraId="0811BDE1" w14:textId="77777777" w:rsidTr="006A59B6">
        <w:tc>
          <w:tcPr>
            <w:tcW w:w="2081" w:type="dxa"/>
          </w:tcPr>
          <w:p w14:paraId="095F6625" w14:textId="79EFF515" w:rsidR="0009686B" w:rsidRDefault="0009686B" w:rsidP="006A59B6">
            <w:pPr>
              <w:spacing w:before="40" w:after="40"/>
              <w:ind w:left="0"/>
              <w:rPr>
                <w:rFonts w:cs="Arial"/>
                <w:sz w:val="20"/>
                <w:szCs w:val="20"/>
              </w:rPr>
            </w:pPr>
            <w:r w:rsidRPr="00A81562">
              <w:rPr>
                <w:rFonts w:cs="Arial"/>
                <w:sz w:val="20"/>
                <w:szCs w:val="20"/>
              </w:rPr>
              <w:t>POWBONS</w:t>
            </w:r>
          </w:p>
        </w:tc>
        <w:tc>
          <w:tcPr>
            <w:tcW w:w="6391" w:type="dxa"/>
          </w:tcPr>
          <w:p w14:paraId="2BDE3E88" w14:textId="0291D094" w:rsidR="0009686B" w:rsidRDefault="0009686B" w:rsidP="006A59B6">
            <w:pPr>
              <w:spacing w:before="40" w:after="40"/>
              <w:ind w:left="46"/>
              <w:rPr>
                <w:rFonts w:cs="Arial"/>
                <w:sz w:val="20"/>
                <w:szCs w:val="20"/>
              </w:rPr>
            </w:pPr>
            <w:r w:rsidRPr="00A81562">
              <w:rPr>
                <w:rFonts w:cs="Arial"/>
                <w:sz w:val="20"/>
                <w:szCs w:val="20"/>
              </w:rPr>
              <w:t>Pollution of Waters by Oil and Noxious Substances</w:t>
            </w:r>
          </w:p>
        </w:tc>
      </w:tr>
      <w:tr w:rsidR="0009686B" w:rsidRPr="00A81562" w14:paraId="040220B6" w14:textId="77777777" w:rsidTr="006A59B6">
        <w:tc>
          <w:tcPr>
            <w:tcW w:w="2081" w:type="dxa"/>
          </w:tcPr>
          <w:p w14:paraId="2BAE0561" w14:textId="017BAEF3" w:rsidR="0009686B" w:rsidRPr="00A81562" w:rsidRDefault="0009686B" w:rsidP="006A59B6">
            <w:pPr>
              <w:spacing w:before="40" w:after="40"/>
              <w:ind w:left="0"/>
              <w:rPr>
                <w:rFonts w:cs="Arial"/>
                <w:sz w:val="20"/>
                <w:szCs w:val="20"/>
              </w:rPr>
            </w:pPr>
            <w:r w:rsidRPr="00A81562">
              <w:rPr>
                <w:rFonts w:cs="Arial"/>
                <w:sz w:val="20"/>
                <w:szCs w:val="20"/>
              </w:rPr>
              <w:t>PPE</w:t>
            </w:r>
          </w:p>
        </w:tc>
        <w:tc>
          <w:tcPr>
            <w:tcW w:w="6391" w:type="dxa"/>
          </w:tcPr>
          <w:p w14:paraId="4E112D42" w14:textId="109EF346" w:rsidR="0009686B" w:rsidRPr="00A81562" w:rsidRDefault="0009686B" w:rsidP="006A59B6">
            <w:pPr>
              <w:spacing w:before="40" w:after="40"/>
              <w:ind w:left="46"/>
              <w:rPr>
                <w:rFonts w:cs="Arial"/>
                <w:sz w:val="20"/>
                <w:szCs w:val="20"/>
              </w:rPr>
            </w:pPr>
            <w:r w:rsidRPr="00A81562">
              <w:rPr>
                <w:rFonts w:cs="Arial"/>
                <w:sz w:val="20"/>
                <w:szCs w:val="20"/>
              </w:rPr>
              <w:t>Personal Protective Equipment</w:t>
            </w:r>
          </w:p>
        </w:tc>
      </w:tr>
      <w:tr w:rsidR="0009686B" w:rsidRPr="00A81562" w14:paraId="59A75072" w14:textId="77777777" w:rsidTr="006A59B6">
        <w:tc>
          <w:tcPr>
            <w:tcW w:w="2081" w:type="dxa"/>
          </w:tcPr>
          <w:p w14:paraId="60AD9086" w14:textId="18C5B4CF" w:rsidR="0009686B" w:rsidRPr="00A81562" w:rsidRDefault="0009686B" w:rsidP="006A59B6">
            <w:pPr>
              <w:spacing w:before="40" w:after="40"/>
              <w:ind w:left="0"/>
              <w:rPr>
                <w:rFonts w:cs="Arial"/>
                <w:sz w:val="20"/>
                <w:szCs w:val="20"/>
              </w:rPr>
            </w:pPr>
            <w:r>
              <w:rPr>
                <w:rFonts w:cs="Arial"/>
                <w:sz w:val="20"/>
                <w:szCs w:val="20"/>
              </w:rPr>
              <w:t>PPV</w:t>
            </w:r>
          </w:p>
        </w:tc>
        <w:tc>
          <w:tcPr>
            <w:tcW w:w="6391" w:type="dxa"/>
          </w:tcPr>
          <w:p w14:paraId="7D8E5D89" w14:textId="2D657FC9" w:rsidR="0009686B" w:rsidRPr="00A81562" w:rsidRDefault="0009686B" w:rsidP="006A59B6">
            <w:pPr>
              <w:spacing w:before="40" w:after="40"/>
              <w:ind w:left="46"/>
              <w:rPr>
                <w:rFonts w:cs="Arial"/>
                <w:sz w:val="20"/>
                <w:szCs w:val="20"/>
              </w:rPr>
            </w:pPr>
            <w:r>
              <w:rPr>
                <w:rFonts w:cs="Arial"/>
                <w:sz w:val="20"/>
                <w:szCs w:val="20"/>
              </w:rPr>
              <w:t>Peak Particle Velocity</w:t>
            </w:r>
          </w:p>
        </w:tc>
      </w:tr>
      <w:tr w:rsidR="0009686B" w:rsidRPr="00A81562" w14:paraId="1FD9270C" w14:textId="77777777" w:rsidTr="006A59B6">
        <w:tc>
          <w:tcPr>
            <w:tcW w:w="2081" w:type="dxa"/>
          </w:tcPr>
          <w:p w14:paraId="02C6130A" w14:textId="2F7AD3AE" w:rsidR="0009686B" w:rsidRPr="00A81562" w:rsidRDefault="0009686B" w:rsidP="006A59B6">
            <w:pPr>
              <w:spacing w:before="40" w:after="40"/>
              <w:ind w:left="0"/>
              <w:rPr>
                <w:rFonts w:cs="Arial"/>
                <w:sz w:val="20"/>
                <w:szCs w:val="20"/>
              </w:rPr>
            </w:pPr>
            <w:r>
              <w:rPr>
                <w:rFonts w:cs="Arial"/>
                <w:sz w:val="20"/>
                <w:szCs w:val="20"/>
              </w:rPr>
              <w:t>PTS</w:t>
            </w:r>
          </w:p>
        </w:tc>
        <w:tc>
          <w:tcPr>
            <w:tcW w:w="6391" w:type="dxa"/>
          </w:tcPr>
          <w:p w14:paraId="03D51026" w14:textId="210D8E9B" w:rsidR="0009686B" w:rsidRPr="00A81562" w:rsidRDefault="0009686B" w:rsidP="006A59B6">
            <w:pPr>
              <w:spacing w:before="40" w:after="40"/>
              <w:ind w:left="46"/>
              <w:rPr>
                <w:rFonts w:cs="Arial"/>
                <w:sz w:val="20"/>
                <w:szCs w:val="20"/>
              </w:rPr>
            </w:pPr>
            <w:r>
              <w:rPr>
                <w:rFonts w:cs="Arial"/>
                <w:sz w:val="20"/>
                <w:szCs w:val="20"/>
              </w:rPr>
              <w:t>Permanent Threshold Shift</w:t>
            </w:r>
          </w:p>
        </w:tc>
      </w:tr>
      <w:tr w:rsidR="0009686B" w:rsidRPr="00A81562" w14:paraId="2F688AB3" w14:textId="77777777" w:rsidTr="006A59B6">
        <w:tc>
          <w:tcPr>
            <w:tcW w:w="2081" w:type="dxa"/>
          </w:tcPr>
          <w:p w14:paraId="68BBCC64" w14:textId="34B53E1F" w:rsidR="0009686B" w:rsidRDefault="0009686B" w:rsidP="006A59B6">
            <w:pPr>
              <w:spacing w:before="40" w:after="40"/>
              <w:ind w:left="0"/>
              <w:rPr>
                <w:rFonts w:cs="Arial"/>
                <w:sz w:val="20"/>
                <w:szCs w:val="20"/>
              </w:rPr>
            </w:pPr>
            <w:r w:rsidRPr="00A81562">
              <w:rPr>
                <w:rFonts w:cs="Arial"/>
                <w:sz w:val="20"/>
                <w:szCs w:val="20"/>
              </w:rPr>
              <w:t>PVCs</w:t>
            </w:r>
          </w:p>
        </w:tc>
        <w:tc>
          <w:tcPr>
            <w:tcW w:w="6391" w:type="dxa"/>
          </w:tcPr>
          <w:p w14:paraId="079D0F81" w14:textId="7C930587" w:rsidR="0009686B" w:rsidRDefault="0009686B" w:rsidP="006A59B6">
            <w:pPr>
              <w:spacing w:before="40" w:after="40"/>
              <w:ind w:left="46"/>
              <w:rPr>
                <w:rFonts w:cs="Arial"/>
                <w:sz w:val="20"/>
                <w:szCs w:val="20"/>
              </w:rPr>
            </w:pPr>
            <w:r>
              <w:rPr>
                <w:rFonts w:cs="Arial"/>
                <w:sz w:val="20"/>
                <w:szCs w:val="20"/>
              </w:rPr>
              <w:t>P</w:t>
            </w:r>
            <w:r w:rsidRPr="00A81562">
              <w:rPr>
                <w:rFonts w:cs="Arial"/>
                <w:sz w:val="20"/>
                <w:szCs w:val="20"/>
              </w:rPr>
              <w:t xml:space="preserve">olyvinyl </w:t>
            </w:r>
            <w:r>
              <w:rPr>
                <w:rFonts w:cs="Arial"/>
                <w:sz w:val="20"/>
                <w:szCs w:val="20"/>
              </w:rPr>
              <w:t>C</w:t>
            </w:r>
            <w:r w:rsidRPr="00A81562">
              <w:rPr>
                <w:rFonts w:cs="Arial"/>
                <w:sz w:val="20"/>
                <w:szCs w:val="20"/>
              </w:rPr>
              <w:t>hloride</w:t>
            </w:r>
          </w:p>
        </w:tc>
      </w:tr>
      <w:tr w:rsidR="0009686B" w:rsidRPr="00A81562" w14:paraId="4464D5DE" w14:textId="77777777" w:rsidTr="006A59B6">
        <w:tc>
          <w:tcPr>
            <w:tcW w:w="2081" w:type="dxa"/>
          </w:tcPr>
          <w:p w14:paraId="589DCFC4" w14:textId="791EE93C" w:rsidR="0009686B" w:rsidRPr="00A81562" w:rsidRDefault="0009686B" w:rsidP="006A59B6">
            <w:pPr>
              <w:spacing w:before="40" w:after="40"/>
              <w:ind w:left="0"/>
              <w:rPr>
                <w:rFonts w:cs="Arial"/>
                <w:sz w:val="20"/>
                <w:szCs w:val="20"/>
              </w:rPr>
            </w:pPr>
            <w:r w:rsidRPr="00A81562">
              <w:rPr>
                <w:rFonts w:cs="Arial"/>
                <w:sz w:val="20"/>
                <w:szCs w:val="20"/>
              </w:rPr>
              <w:t>RAMSAR</w:t>
            </w:r>
          </w:p>
        </w:tc>
        <w:tc>
          <w:tcPr>
            <w:tcW w:w="6391" w:type="dxa"/>
          </w:tcPr>
          <w:p w14:paraId="39386AC5" w14:textId="77E86A17" w:rsidR="0009686B" w:rsidRPr="00A81562" w:rsidRDefault="0009686B" w:rsidP="006A59B6">
            <w:pPr>
              <w:spacing w:before="40" w:after="40"/>
              <w:ind w:left="46"/>
              <w:rPr>
                <w:rFonts w:cs="Arial"/>
                <w:sz w:val="20"/>
                <w:szCs w:val="20"/>
              </w:rPr>
            </w:pPr>
            <w:r w:rsidRPr="00A81562">
              <w:rPr>
                <w:rFonts w:cs="Arial"/>
                <w:sz w:val="20"/>
                <w:szCs w:val="20"/>
              </w:rPr>
              <w:t>Convention on Wetlands of International Importance especially as Waterfowl Habitat</w:t>
            </w:r>
          </w:p>
        </w:tc>
      </w:tr>
      <w:tr w:rsidR="0009686B" w:rsidRPr="00A81562" w14:paraId="290EA37B" w14:textId="77777777" w:rsidTr="006A59B6">
        <w:tc>
          <w:tcPr>
            <w:tcW w:w="2081" w:type="dxa"/>
          </w:tcPr>
          <w:p w14:paraId="6B6D785E" w14:textId="33BEF885" w:rsidR="0009686B" w:rsidRPr="00A81562" w:rsidRDefault="0009686B" w:rsidP="006A59B6">
            <w:pPr>
              <w:spacing w:before="40" w:after="40"/>
              <w:ind w:left="0"/>
              <w:rPr>
                <w:rFonts w:cs="Arial"/>
                <w:sz w:val="20"/>
                <w:szCs w:val="20"/>
              </w:rPr>
            </w:pPr>
            <w:r>
              <w:rPr>
                <w:rFonts w:cs="Arial"/>
                <w:sz w:val="20"/>
                <w:szCs w:val="20"/>
              </w:rPr>
              <w:t>RO</w:t>
            </w:r>
          </w:p>
        </w:tc>
        <w:tc>
          <w:tcPr>
            <w:tcW w:w="6391" w:type="dxa"/>
          </w:tcPr>
          <w:p w14:paraId="61AF9C5E" w14:textId="79BCCFD0" w:rsidR="0009686B" w:rsidRPr="00A81562" w:rsidRDefault="0009686B" w:rsidP="006A59B6">
            <w:pPr>
              <w:spacing w:before="40" w:after="40"/>
              <w:ind w:left="46"/>
              <w:rPr>
                <w:rFonts w:cs="Arial"/>
                <w:sz w:val="20"/>
                <w:szCs w:val="20"/>
              </w:rPr>
            </w:pPr>
            <w:r>
              <w:rPr>
                <w:rFonts w:cs="Arial"/>
                <w:sz w:val="20"/>
                <w:szCs w:val="20"/>
              </w:rPr>
              <w:t>Reverse Osmosis</w:t>
            </w:r>
          </w:p>
        </w:tc>
      </w:tr>
      <w:tr w:rsidR="0009686B" w:rsidRPr="00A81562" w14:paraId="44AA43D1" w14:textId="77777777" w:rsidTr="006A59B6">
        <w:tc>
          <w:tcPr>
            <w:tcW w:w="2081" w:type="dxa"/>
          </w:tcPr>
          <w:p w14:paraId="31A27DA7" w14:textId="71BDCCFD" w:rsidR="0009686B" w:rsidRPr="00A81562" w:rsidRDefault="0009686B" w:rsidP="006A59B6">
            <w:pPr>
              <w:spacing w:before="40" w:after="40"/>
              <w:ind w:left="0"/>
              <w:rPr>
                <w:rFonts w:cs="Arial"/>
                <w:sz w:val="20"/>
                <w:szCs w:val="20"/>
              </w:rPr>
            </w:pPr>
            <w:r w:rsidRPr="00A81562">
              <w:rPr>
                <w:rFonts w:cs="Arial"/>
                <w:sz w:val="20"/>
                <w:szCs w:val="20"/>
              </w:rPr>
              <w:t>ROKAMBA</w:t>
            </w:r>
          </w:p>
        </w:tc>
        <w:tc>
          <w:tcPr>
            <w:tcW w:w="6391" w:type="dxa"/>
          </w:tcPr>
          <w:p w14:paraId="41BB2C96" w14:textId="293BA2E8" w:rsidR="0009686B" w:rsidRPr="00A81562" w:rsidRDefault="0009686B" w:rsidP="006A59B6">
            <w:pPr>
              <w:spacing w:before="40" w:after="40"/>
              <w:ind w:left="46"/>
              <w:rPr>
                <w:rFonts w:cs="Arial"/>
                <w:sz w:val="20"/>
                <w:szCs w:val="20"/>
              </w:rPr>
            </w:pPr>
            <w:r w:rsidRPr="00A81562">
              <w:rPr>
                <w:rFonts w:cs="Arial"/>
                <w:sz w:val="20"/>
                <w:szCs w:val="20"/>
              </w:rPr>
              <w:t>Republic of Korea Migratory Birds Agreement</w:t>
            </w:r>
          </w:p>
        </w:tc>
      </w:tr>
      <w:tr w:rsidR="0009686B" w:rsidRPr="00A81562" w14:paraId="4789E366" w14:textId="77777777" w:rsidTr="006A59B6">
        <w:tc>
          <w:tcPr>
            <w:tcW w:w="2081" w:type="dxa"/>
          </w:tcPr>
          <w:p w14:paraId="52F89426" w14:textId="4F7AC33D" w:rsidR="0009686B" w:rsidRPr="00A81562" w:rsidRDefault="0009686B" w:rsidP="006A59B6">
            <w:pPr>
              <w:spacing w:before="40" w:after="40"/>
              <w:ind w:left="0"/>
              <w:rPr>
                <w:rFonts w:cs="Arial"/>
                <w:sz w:val="20"/>
                <w:szCs w:val="20"/>
              </w:rPr>
            </w:pPr>
            <w:r w:rsidRPr="00A81562">
              <w:rPr>
                <w:rFonts w:cs="Arial"/>
                <w:sz w:val="20"/>
                <w:szCs w:val="20"/>
              </w:rPr>
              <w:t>ROS</w:t>
            </w:r>
          </w:p>
        </w:tc>
        <w:tc>
          <w:tcPr>
            <w:tcW w:w="6391" w:type="dxa"/>
          </w:tcPr>
          <w:p w14:paraId="25584CE0" w14:textId="3B437C3E" w:rsidR="0009686B" w:rsidRPr="00A81562" w:rsidRDefault="0009686B" w:rsidP="006A59B6">
            <w:pPr>
              <w:spacing w:before="40" w:after="40"/>
              <w:ind w:left="46"/>
              <w:rPr>
                <w:rFonts w:cs="Arial"/>
                <w:sz w:val="20"/>
                <w:szCs w:val="20"/>
              </w:rPr>
            </w:pPr>
            <w:r w:rsidRPr="00A81562">
              <w:rPr>
                <w:rFonts w:cs="Arial"/>
                <w:sz w:val="20"/>
                <w:szCs w:val="20"/>
              </w:rPr>
              <w:t>Regional Outfall Sewer</w:t>
            </w:r>
          </w:p>
        </w:tc>
      </w:tr>
      <w:tr w:rsidR="0009686B" w:rsidRPr="00A81562" w14:paraId="6F5996C0" w14:textId="77777777" w:rsidTr="006A59B6">
        <w:tc>
          <w:tcPr>
            <w:tcW w:w="2081" w:type="dxa"/>
          </w:tcPr>
          <w:p w14:paraId="0FE59879" w14:textId="19AA3599" w:rsidR="0009686B" w:rsidRPr="00A81562" w:rsidRDefault="0009686B" w:rsidP="006A59B6">
            <w:pPr>
              <w:spacing w:before="40" w:after="40"/>
              <w:ind w:left="0"/>
              <w:rPr>
                <w:rFonts w:cs="Arial"/>
                <w:sz w:val="20"/>
                <w:szCs w:val="20"/>
              </w:rPr>
            </w:pPr>
            <w:r w:rsidRPr="00A81562">
              <w:rPr>
                <w:rFonts w:cs="Arial"/>
                <w:sz w:val="20"/>
                <w:szCs w:val="20"/>
              </w:rPr>
              <w:t>SA</w:t>
            </w:r>
          </w:p>
        </w:tc>
        <w:tc>
          <w:tcPr>
            <w:tcW w:w="6391" w:type="dxa"/>
          </w:tcPr>
          <w:p w14:paraId="76171A51" w14:textId="1E1DCEEE" w:rsidR="0009686B" w:rsidRPr="00A81562" w:rsidRDefault="0009686B" w:rsidP="006A59B6">
            <w:pPr>
              <w:spacing w:before="40" w:after="40"/>
              <w:ind w:left="46"/>
              <w:rPr>
                <w:rFonts w:cs="Arial"/>
                <w:sz w:val="20"/>
                <w:szCs w:val="20"/>
              </w:rPr>
            </w:pPr>
            <w:r w:rsidRPr="00A81562">
              <w:rPr>
                <w:rFonts w:cs="Arial"/>
                <w:sz w:val="20"/>
                <w:szCs w:val="20"/>
              </w:rPr>
              <w:t>South Australia</w:t>
            </w:r>
            <w:r>
              <w:rPr>
                <w:rFonts w:cs="Arial"/>
                <w:sz w:val="20"/>
                <w:szCs w:val="20"/>
              </w:rPr>
              <w:t>/n</w:t>
            </w:r>
          </w:p>
        </w:tc>
      </w:tr>
      <w:tr w:rsidR="0009686B" w:rsidRPr="00A81562" w14:paraId="6D8E5670" w14:textId="77777777" w:rsidTr="006A59B6">
        <w:tc>
          <w:tcPr>
            <w:tcW w:w="2081" w:type="dxa"/>
          </w:tcPr>
          <w:p w14:paraId="5AF9315E" w14:textId="0554AA1A" w:rsidR="0009686B" w:rsidRPr="00A81562" w:rsidRDefault="0009686B" w:rsidP="006A59B6">
            <w:pPr>
              <w:spacing w:before="40" w:after="40"/>
              <w:ind w:left="0"/>
              <w:rPr>
                <w:rFonts w:cs="Arial"/>
                <w:sz w:val="20"/>
                <w:szCs w:val="20"/>
              </w:rPr>
            </w:pPr>
            <w:r>
              <w:rPr>
                <w:rFonts w:cs="Arial"/>
                <w:sz w:val="20"/>
                <w:szCs w:val="20"/>
              </w:rPr>
              <w:t>SCAT</w:t>
            </w:r>
          </w:p>
        </w:tc>
        <w:tc>
          <w:tcPr>
            <w:tcW w:w="6391" w:type="dxa"/>
          </w:tcPr>
          <w:p w14:paraId="24E7D976" w14:textId="6B9AFA3C" w:rsidR="0009686B" w:rsidRPr="00A81562" w:rsidRDefault="0009686B" w:rsidP="006A59B6">
            <w:pPr>
              <w:spacing w:before="40" w:after="40"/>
              <w:ind w:left="46"/>
              <w:rPr>
                <w:rFonts w:cs="Arial"/>
                <w:sz w:val="20"/>
                <w:szCs w:val="20"/>
              </w:rPr>
            </w:pPr>
            <w:r>
              <w:rPr>
                <w:rFonts w:cs="Arial"/>
                <w:sz w:val="20"/>
                <w:szCs w:val="20"/>
              </w:rPr>
              <w:t>Shoreline Clean-up and Assessment Technique</w:t>
            </w:r>
          </w:p>
        </w:tc>
      </w:tr>
      <w:tr w:rsidR="0009686B" w:rsidRPr="00A81562" w14:paraId="2B71F457" w14:textId="77777777" w:rsidTr="006A59B6">
        <w:tc>
          <w:tcPr>
            <w:tcW w:w="2081" w:type="dxa"/>
          </w:tcPr>
          <w:p w14:paraId="0896E6F9" w14:textId="20C53B5B" w:rsidR="0009686B" w:rsidRPr="00A81562" w:rsidRDefault="0009686B" w:rsidP="006A59B6">
            <w:pPr>
              <w:spacing w:before="40" w:after="40"/>
              <w:ind w:left="0"/>
              <w:rPr>
                <w:rFonts w:cs="Arial"/>
                <w:sz w:val="20"/>
                <w:szCs w:val="20"/>
              </w:rPr>
            </w:pPr>
            <w:r w:rsidRPr="00A81562">
              <w:rPr>
                <w:rFonts w:cs="Arial"/>
                <w:sz w:val="20"/>
                <w:szCs w:val="20"/>
              </w:rPr>
              <w:t>SEEMP</w:t>
            </w:r>
          </w:p>
        </w:tc>
        <w:tc>
          <w:tcPr>
            <w:tcW w:w="6391" w:type="dxa"/>
          </w:tcPr>
          <w:p w14:paraId="2027A1AC" w14:textId="3B67AD58" w:rsidR="0009686B" w:rsidRPr="00A81562" w:rsidRDefault="0009686B" w:rsidP="006A59B6">
            <w:pPr>
              <w:spacing w:before="40" w:after="40"/>
              <w:ind w:left="46"/>
              <w:rPr>
                <w:rFonts w:cs="Arial"/>
                <w:sz w:val="20"/>
                <w:szCs w:val="20"/>
              </w:rPr>
            </w:pPr>
            <w:r w:rsidRPr="00A81562">
              <w:rPr>
                <w:rFonts w:cs="Arial"/>
                <w:sz w:val="20"/>
                <w:szCs w:val="20"/>
              </w:rPr>
              <w:t>Ship Energy Efficiency Management Plan</w:t>
            </w:r>
          </w:p>
        </w:tc>
      </w:tr>
      <w:tr w:rsidR="0009686B" w:rsidRPr="00A81562" w14:paraId="59AA474F" w14:textId="77777777" w:rsidTr="006A59B6">
        <w:tc>
          <w:tcPr>
            <w:tcW w:w="2081" w:type="dxa"/>
          </w:tcPr>
          <w:p w14:paraId="4DB77191" w14:textId="120B9CE7" w:rsidR="0009686B" w:rsidRPr="00A81562" w:rsidRDefault="0009686B" w:rsidP="006A59B6">
            <w:pPr>
              <w:spacing w:before="40" w:after="40"/>
              <w:ind w:left="0"/>
              <w:rPr>
                <w:rFonts w:cs="Arial"/>
                <w:sz w:val="20"/>
                <w:szCs w:val="20"/>
              </w:rPr>
            </w:pPr>
            <w:r w:rsidRPr="00A81562">
              <w:rPr>
                <w:rFonts w:cs="Arial"/>
                <w:sz w:val="20"/>
                <w:szCs w:val="20"/>
              </w:rPr>
              <w:t>SEP</w:t>
            </w:r>
          </w:p>
        </w:tc>
        <w:tc>
          <w:tcPr>
            <w:tcW w:w="6391" w:type="dxa"/>
          </w:tcPr>
          <w:p w14:paraId="118C97DA" w14:textId="227C3ECA" w:rsidR="0009686B" w:rsidRPr="00A81562" w:rsidRDefault="0009686B" w:rsidP="006A59B6">
            <w:pPr>
              <w:spacing w:before="40" w:after="40"/>
              <w:ind w:left="46"/>
              <w:rPr>
                <w:rFonts w:cs="Arial"/>
                <w:sz w:val="20"/>
                <w:szCs w:val="20"/>
              </w:rPr>
            </w:pPr>
            <w:r w:rsidRPr="00A81562">
              <w:rPr>
                <w:rFonts w:cs="Arial"/>
                <w:sz w:val="20"/>
                <w:szCs w:val="20"/>
              </w:rPr>
              <w:t>Stakeholder Engagement Plan</w:t>
            </w:r>
          </w:p>
        </w:tc>
      </w:tr>
      <w:tr w:rsidR="0009686B" w:rsidRPr="00A81562" w14:paraId="0493C0F1" w14:textId="77777777" w:rsidTr="006A59B6">
        <w:tc>
          <w:tcPr>
            <w:tcW w:w="2081" w:type="dxa"/>
          </w:tcPr>
          <w:p w14:paraId="747E759E" w14:textId="6AE6A457" w:rsidR="0009686B" w:rsidRPr="00A81562" w:rsidRDefault="0009686B" w:rsidP="006A59B6">
            <w:pPr>
              <w:spacing w:before="40" w:after="40"/>
              <w:ind w:left="0"/>
              <w:rPr>
                <w:rFonts w:cs="Arial"/>
                <w:sz w:val="20"/>
                <w:szCs w:val="20"/>
              </w:rPr>
            </w:pPr>
            <w:r>
              <w:rPr>
                <w:rFonts w:cs="Arial"/>
                <w:sz w:val="20"/>
                <w:szCs w:val="20"/>
              </w:rPr>
              <w:t>SES</w:t>
            </w:r>
          </w:p>
        </w:tc>
        <w:tc>
          <w:tcPr>
            <w:tcW w:w="6391" w:type="dxa"/>
          </w:tcPr>
          <w:p w14:paraId="32731906" w14:textId="6113D789" w:rsidR="0009686B" w:rsidRPr="00A81562" w:rsidRDefault="0009686B" w:rsidP="006A59B6">
            <w:pPr>
              <w:spacing w:before="40" w:after="40"/>
              <w:ind w:left="46"/>
              <w:rPr>
                <w:rFonts w:cs="Arial"/>
                <w:sz w:val="20"/>
                <w:szCs w:val="20"/>
              </w:rPr>
            </w:pPr>
            <w:r>
              <w:rPr>
                <w:rFonts w:cs="Arial"/>
                <w:sz w:val="20"/>
                <w:szCs w:val="20"/>
              </w:rPr>
              <w:t>State Emergency Service (Vic)</w:t>
            </w:r>
          </w:p>
        </w:tc>
      </w:tr>
      <w:tr w:rsidR="0009686B" w:rsidRPr="00A81562" w14:paraId="46B7565B" w14:textId="77777777" w:rsidTr="006A59B6">
        <w:tc>
          <w:tcPr>
            <w:tcW w:w="2081" w:type="dxa"/>
          </w:tcPr>
          <w:p w14:paraId="335D9526" w14:textId="35B0B38A" w:rsidR="0009686B" w:rsidRPr="00A81562" w:rsidRDefault="0009686B" w:rsidP="006A59B6">
            <w:pPr>
              <w:spacing w:before="40" w:after="40"/>
              <w:ind w:left="0"/>
              <w:rPr>
                <w:rFonts w:cs="Arial"/>
                <w:sz w:val="20"/>
                <w:szCs w:val="20"/>
              </w:rPr>
            </w:pPr>
            <w:r w:rsidRPr="00A81562">
              <w:rPr>
                <w:rFonts w:cs="Arial"/>
                <w:sz w:val="20"/>
                <w:szCs w:val="20"/>
              </w:rPr>
              <w:t>SESS</w:t>
            </w:r>
          </w:p>
        </w:tc>
        <w:tc>
          <w:tcPr>
            <w:tcW w:w="6391" w:type="dxa"/>
          </w:tcPr>
          <w:p w14:paraId="282FA41B" w14:textId="16093DC4" w:rsidR="0009686B" w:rsidRPr="00A81562" w:rsidRDefault="0009686B" w:rsidP="006A59B6">
            <w:pPr>
              <w:spacing w:before="40" w:after="40"/>
              <w:ind w:left="46"/>
              <w:rPr>
                <w:rFonts w:cs="Arial"/>
                <w:sz w:val="20"/>
                <w:szCs w:val="20"/>
              </w:rPr>
            </w:pPr>
            <w:r w:rsidRPr="00A81562">
              <w:rPr>
                <w:rFonts w:cs="Arial"/>
                <w:sz w:val="20"/>
                <w:szCs w:val="20"/>
              </w:rPr>
              <w:t>Southern and Eastern Scalefish and Shark</w:t>
            </w:r>
          </w:p>
        </w:tc>
      </w:tr>
      <w:tr w:rsidR="0009686B" w:rsidRPr="00A81562" w14:paraId="0936BC58" w14:textId="77777777" w:rsidTr="006A59B6">
        <w:tc>
          <w:tcPr>
            <w:tcW w:w="2081" w:type="dxa"/>
          </w:tcPr>
          <w:p w14:paraId="0278C3E5" w14:textId="5BD26375" w:rsidR="0009686B" w:rsidRDefault="0009686B" w:rsidP="006A59B6">
            <w:pPr>
              <w:spacing w:before="40" w:after="40"/>
              <w:ind w:left="0"/>
              <w:rPr>
                <w:rFonts w:cs="Arial"/>
                <w:sz w:val="20"/>
                <w:szCs w:val="20"/>
              </w:rPr>
            </w:pPr>
            <w:r w:rsidRPr="00A81562">
              <w:rPr>
                <w:rFonts w:cs="Arial"/>
                <w:color w:val="000000"/>
                <w:sz w:val="20"/>
                <w:szCs w:val="20"/>
                <w:lang w:eastAsia="en-US"/>
              </w:rPr>
              <w:t>SETFIA</w:t>
            </w:r>
          </w:p>
        </w:tc>
        <w:tc>
          <w:tcPr>
            <w:tcW w:w="6391" w:type="dxa"/>
          </w:tcPr>
          <w:p w14:paraId="6DFFCBB4" w14:textId="41F5FF9F" w:rsidR="0009686B" w:rsidRDefault="0009686B" w:rsidP="006A59B6">
            <w:pPr>
              <w:spacing w:before="40" w:after="40"/>
              <w:ind w:left="46"/>
              <w:rPr>
                <w:rFonts w:cs="Arial"/>
                <w:sz w:val="20"/>
                <w:szCs w:val="20"/>
              </w:rPr>
            </w:pPr>
            <w:r w:rsidRPr="00A81562">
              <w:rPr>
                <w:rFonts w:cs="Arial"/>
                <w:color w:val="000000"/>
                <w:sz w:val="20"/>
                <w:szCs w:val="20"/>
                <w:lang w:eastAsia="en-US"/>
              </w:rPr>
              <w:t>South-East Trawl Fishing Industry Association</w:t>
            </w:r>
          </w:p>
        </w:tc>
      </w:tr>
      <w:tr w:rsidR="0009686B" w:rsidRPr="00A81562" w14:paraId="6D163D23" w14:textId="77777777" w:rsidTr="006A59B6">
        <w:tc>
          <w:tcPr>
            <w:tcW w:w="2081" w:type="dxa"/>
          </w:tcPr>
          <w:p w14:paraId="13E4416E" w14:textId="10C97E6A" w:rsidR="0009686B" w:rsidRPr="00A81562" w:rsidRDefault="0009686B" w:rsidP="006A59B6">
            <w:pPr>
              <w:spacing w:before="40" w:after="40"/>
              <w:ind w:left="0"/>
              <w:rPr>
                <w:rFonts w:cs="Arial"/>
                <w:sz w:val="20"/>
                <w:szCs w:val="20"/>
              </w:rPr>
            </w:pPr>
            <w:r w:rsidRPr="00A81562">
              <w:rPr>
                <w:rFonts w:cs="Arial"/>
                <w:sz w:val="20"/>
                <w:szCs w:val="20"/>
              </w:rPr>
              <w:t>SHS</w:t>
            </w:r>
          </w:p>
        </w:tc>
        <w:tc>
          <w:tcPr>
            <w:tcW w:w="6391" w:type="dxa"/>
          </w:tcPr>
          <w:p w14:paraId="36AEDB0C" w14:textId="269BD0D2" w:rsidR="0009686B" w:rsidRPr="00A81562" w:rsidRDefault="0009686B" w:rsidP="006A59B6">
            <w:pPr>
              <w:spacing w:before="40" w:after="40"/>
              <w:ind w:left="46"/>
              <w:rPr>
                <w:rFonts w:cs="Arial"/>
                <w:sz w:val="20"/>
                <w:szCs w:val="20"/>
              </w:rPr>
            </w:pPr>
            <w:r w:rsidRPr="00A81562">
              <w:rPr>
                <w:rFonts w:cs="Arial"/>
                <w:sz w:val="20"/>
                <w:szCs w:val="20"/>
              </w:rPr>
              <w:t>Scalefish Hook Sector</w:t>
            </w:r>
          </w:p>
        </w:tc>
      </w:tr>
      <w:tr w:rsidR="0009686B" w:rsidRPr="00A81562" w14:paraId="6BCE5316" w14:textId="77777777" w:rsidTr="006A59B6">
        <w:tc>
          <w:tcPr>
            <w:tcW w:w="2081" w:type="dxa"/>
          </w:tcPr>
          <w:p w14:paraId="0934697F" w14:textId="1685E5F1" w:rsidR="0009686B" w:rsidRDefault="0009686B" w:rsidP="006A59B6">
            <w:pPr>
              <w:spacing w:before="40" w:after="40"/>
              <w:ind w:left="0"/>
              <w:rPr>
                <w:rFonts w:cs="Arial"/>
                <w:sz w:val="20"/>
                <w:szCs w:val="20"/>
              </w:rPr>
            </w:pPr>
            <w:r w:rsidRPr="00A81562">
              <w:rPr>
                <w:rFonts w:cs="Arial"/>
                <w:sz w:val="20"/>
                <w:szCs w:val="20"/>
              </w:rPr>
              <w:t>SIMOPS</w:t>
            </w:r>
          </w:p>
        </w:tc>
        <w:tc>
          <w:tcPr>
            <w:tcW w:w="6391" w:type="dxa"/>
          </w:tcPr>
          <w:p w14:paraId="3ABFD154" w14:textId="1E386145" w:rsidR="0009686B" w:rsidRDefault="0009686B" w:rsidP="006A59B6">
            <w:pPr>
              <w:spacing w:before="40" w:after="40"/>
              <w:ind w:left="46"/>
              <w:rPr>
                <w:rFonts w:cs="Arial"/>
                <w:sz w:val="20"/>
                <w:szCs w:val="20"/>
              </w:rPr>
            </w:pPr>
            <w:r w:rsidRPr="00A81562">
              <w:rPr>
                <w:rFonts w:cs="Arial"/>
                <w:sz w:val="20"/>
                <w:szCs w:val="20"/>
              </w:rPr>
              <w:t>Simultaneous Operations</w:t>
            </w:r>
          </w:p>
        </w:tc>
      </w:tr>
      <w:tr w:rsidR="0009686B" w:rsidRPr="00A81562" w14:paraId="1C511A79" w14:textId="77777777" w:rsidTr="006A59B6">
        <w:tc>
          <w:tcPr>
            <w:tcW w:w="2081" w:type="dxa"/>
          </w:tcPr>
          <w:p w14:paraId="65566F72" w14:textId="19C8CF8C" w:rsidR="0009686B" w:rsidRPr="00A81562" w:rsidRDefault="0009686B" w:rsidP="006A59B6">
            <w:pPr>
              <w:spacing w:before="40" w:after="40"/>
              <w:ind w:left="0"/>
              <w:rPr>
                <w:rFonts w:cs="Arial"/>
                <w:sz w:val="20"/>
                <w:szCs w:val="20"/>
              </w:rPr>
            </w:pPr>
            <w:r w:rsidRPr="00A81562">
              <w:rPr>
                <w:rFonts w:cs="Arial"/>
                <w:color w:val="000000"/>
                <w:sz w:val="20"/>
                <w:szCs w:val="20"/>
                <w:lang w:eastAsia="en-US"/>
              </w:rPr>
              <w:t>SIV</w:t>
            </w:r>
          </w:p>
        </w:tc>
        <w:tc>
          <w:tcPr>
            <w:tcW w:w="6391" w:type="dxa"/>
          </w:tcPr>
          <w:p w14:paraId="3FFE5D61" w14:textId="67036DC6" w:rsidR="0009686B" w:rsidRPr="00A81562" w:rsidRDefault="0009686B" w:rsidP="006A59B6">
            <w:pPr>
              <w:spacing w:before="40" w:after="40"/>
              <w:ind w:left="46"/>
              <w:rPr>
                <w:rFonts w:cs="Arial"/>
                <w:sz w:val="20"/>
                <w:szCs w:val="20"/>
              </w:rPr>
            </w:pPr>
            <w:r w:rsidRPr="00A81562">
              <w:rPr>
                <w:rFonts w:cs="Arial"/>
                <w:color w:val="000000"/>
                <w:sz w:val="20"/>
                <w:szCs w:val="20"/>
                <w:lang w:eastAsia="en-US"/>
              </w:rPr>
              <w:t>Seafood Industry Victoria</w:t>
            </w:r>
          </w:p>
        </w:tc>
      </w:tr>
      <w:tr w:rsidR="0009686B" w:rsidRPr="00A81562" w14:paraId="0BA1187E" w14:textId="77777777" w:rsidTr="006A59B6">
        <w:tc>
          <w:tcPr>
            <w:tcW w:w="2081" w:type="dxa"/>
          </w:tcPr>
          <w:p w14:paraId="6E714B54" w14:textId="08AED8C6" w:rsidR="0009686B" w:rsidRPr="00A81562" w:rsidRDefault="0009686B" w:rsidP="006A59B6">
            <w:pPr>
              <w:spacing w:before="40" w:after="40"/>
              <w:ind w:left="0"/>
              <w:rPr>
                <w:rFonts w:cs="Arial"/>
                <w:sz w:val="20"/>
                <w:szCs w:val="20"/>
              </w:rPr>
            </w:pPr>
            <w:r w:rsidRPr="00A81562">
              <w:rPr>
                <w:rFonts w:cs="Arial"/>
                <w:sz w:val="20"/>
                <w:szCs w:val="20"/>
              </w:rPr>
              <w:t>SMPEP</w:t>
            </w:r>
          </w:p>
        </w:tc>
        <w:tc>
          <w:tcPr>
            <w:tcW w:w="6391" w:type="dxa"/>
          </w:tcPr>
          <w:p w14:paraId="0B63B846" w14:textId="509A16A1" w:rsidR="0009686B" w:rsidRPr="00A81562" w:rsidRDefault="0009686B" w:rsidP="006A59B6">
            <w:pPr>
              <w:spacing w:before="40" w:after="40"/>
              <w:ind w:left="46"/>
              <w:rPr>
                <w:rFonts w:cs="Arial"/>
                <w:sz w:val="20"/>
                <w:szCs w:val="20"/>
              </w:rPr>
            </w:pPr>
            <w:r w:rsidRPr="00A81562">
              <w:rPr>
                <w:rFonts w:cs="Arial"/>
                <w:sz w:val="20"/>
                <w:szCs w:val="20"/>
              </w:rPr>
              <w:t>Shipboard Marine Pollution Emergency Plan</w:t>
            </w:r>
          </w:p>
        </w:tc>
      </w:tr>
      <w:tr w:rsidR="0009686B" w:rsidRPr="00A81562" w14:paraId="4480D24F" w14:textId="77777777" w:rsidTr="006A59B6">
        <w:tc>
          <w:tcPr>
            <w:tcW w:w="2081" w:type="dxa"/>
          </w:tcPr>
          <w:p w14:paraId="3E35630E" w14:textId="6867D0FF" w:rsidR="0009686B" w:rsidRPr="00A81562" w:rsidRDefault="0009686B" w:rsidP="006A59B6">
            <w:pPr>
              <w:spacing w:before="40" w:after="40"/>
              <w:ind w:left="0"/>
              <w:rPr>
                <w:rFonts w:cs="Arial"/>
                <w:sz w:val="20"/>
                <w:szCs w:val="20"/>
              </w:rPr>
            </w:pPr>
            <w:r w:rsidRPr="00A81562">
              <w:rPr>
                <w:rFonts w:cs="Arial"/>
                <w:sz w:val="20"/>
                <w:szCs w:val="20"/>
              </w:rPr>
              <w:t>SOLAS</w:t>
            </w:r>
          </w:p>
        </w:tc>
        <w:tc>
          <w:tcPr>
            <w:tcW w:w="6391" w:type="dxa"/>
          </w:tcPr>
          <w:p w14:paraId="2125DC4A" w14:textId="6498FAE1" w:rsidR="0009686B" w:rsidRPr="00A81562" w:rsidRDefault="0009686B" w:rsidP="006A59B6">
            <w:pPr>
              <w:spacing w:before="40" w:after="40"/>
              <w:ind w:left="46"/>
              <w:rPr>
                <w:rFonts w:cs="Arial"/>
                <w:sz w:val="20"/>
                <w:szCs w:val="20"/>
              </w:rPr>
            </w:pPr>
            <w:r w:rsidRPr="00A81562">
              <w:rPr>
                <w:rFonts w:cs="Arial"/>
                <w:sz w:val="20"/>
                <w:szCs w:val="20"/>
              </w:rPr>
              <w:t>International Convention for the Safety of Life at Sea</w:t>
            </w:r>
          </w:p>
        </w:tc>
      </w:tr>
      <w:tr w:rsidR="0009686B" w:rsidRPr="00A81562" w14:paraId="272D8708" w14:textId="77777777" w:rsidTr="006A59B6">
        <w:tc>
          <w:tcPr>
            <w:tcW w:w="2081" w:type="dxa"/>
          </w:tcPr>
          <w:p w14:paraId="1D10E8DC" w14:textId="5A8950AC" w:rsidR="0009686B" w:rsidRPr="00A81562" w:rsidRDefault="0009686B" w:rsidP="006A59B6">
            <w:pPr>
              <w:spacing w:before="40" w:after="40"/>
              <w:ind w:left="0"/>
              <w:rPr>
                <w:rFonts w:cs="Arial"/>
                <w:sz w:val="20"/>
                <w:szCs w:val="20"/>
              </w:rPr>
            </w:pPr>
            <w:r>
              <w:rPr>
                <w:rFonts w:cs="Arial"/>
                <w:sz w:val="20"/>
                <w:szCs w:val="20"/>
              </w:rPr>
              <w:t>SOP</w:t>
            </w:r>
          </w:p>
        </w:tc>
        <w:tc>
          <w:tcPr>
            <w:tcW w:w="6391" w:type="dxa"/>
          </w:tcPr>
          <w:p w14:paraId="2CC1F054" w14:textId="5D5348B2" w:rsidR="0009686B" w:rsidRPr="00A81562" w:rsidRDefault="0009686B" w:rsidP="006A59B6">
            <w:pPr>
              <w:spacing w:before="40" w:after="40"/>
              <w:ind w:left="46"/>
              <w:rPr>
                <w:rFonts w:cs="Arial"/>
                <w:sz w:val="20"/>
                <w:szCs w:val="20"/>
              </w:rPr>
            </w:pPr>
            <w:r>
              <w:rPr>
                <w:rFonts w:cs="Arial"/>
                <w:sz w:val="20"/>
                <w:szCs w:val="20"/>
              </w:rPr>
              <w:t>Standard Operating Procedure</w:t>
            </w:r>
          </w:p>
        </w:tc>
      </w:tr>
      <w:tr w:rsidR="0009686B" w:rsidRPr="00A81562" w14:paraId="539790D7" w14:textId="77777777" w:rsidTr="006A59B6">
        <w:tc>
          <w:tcPr>
            <w:tcW w:w="2081" w:type="dxa"/>
          </w:tcPr>
          <w:p w14:paraId="18A20072" w14:textId="55AE25B3" w:rsidR="0009686B" w:rsidRPr="00A81562" w:rsidRDefault="0009686B" w:rsidP="006A59B6">
            <w:pPr>
              <w:spacing w:before="40" w:after="40"/>
              <w:ind w:left="0"/>
              <w:rPr>
                <w:rFonts w:cs="Arial"/>
                <w:sz w:val="20"/>
                <w:szCs w:val="20"/>
              </w:rPr>
            </w:pPr>
            <w:r w:rsidRPr="00A81562">
              <w:rPr>
                <w:rFonts w:cs="Arial"/>
                <w:sz w:val="20"/>
                <w:szCs w:val="20"/>
              </w:rPr>
              <w:t>SOPEP</w:t>
            </w:r>
          </w:p>
        </w:tc>
        <w:tc>
          <w:tcPr>
            <w:tcW w:w="6391" w:type="dxa"/>
          </w:tcPr>
          <w:p w14:paraId="19F7D448" w14:textId="50B54218" w:rsidR="0009686B" w:rsidRPr="00A81562" w:rsidRDefault="0009686B" w:rsidP="006A59B6">
            <w:pPr>
              <w:spacing w:before="40" w:after="40"/>
              <w:ind w:left="46"/>
              <w:rPr>
                <w:rFonts w:cs="Arial"/>
                <w:sz w:val="20"/>
                <w:szCs w:val="20"/>
              </w:rPr>
            </w:pPr>
            <w:r w:rsidRPr="00A81562">
              <w:rPr>
                <w:rFonts w:cs="Arial"/>
                <w:sz w:val="20"/>
                <w:szCs w:val="20"/>
              </w:rPr>
              <w:t>Shipboard Oil Pollution Emergency Plan</w:t>
            </w:r>
          </w:p>
        </w:tc>
      </w:tr>
      <w:tr w:rsidR="00820BAD" w:rsidRPr="00A81562" w14:paraId="2A96CDEB" w14:textId="77777777" w:rsidTr="006A59B6">
        <w:tc>
          <w:tcPr>
            <w:tcW w:w="2081" w:type="dxa"/>
          </w:tcPr>
          <w:p w14:paraId="7C56C7B8" w14:textId="76667B99" w:rsidR="00820BAD" w:rsidRPr="00A81562" w:rsidRDefault="00820BAD" w:rsidP="006A59B6">
            <w:pPr>
              <w:spacing w:before="40" w:after="40"/>
              <w:ind w:left="0"/>
              <w:rPr>
                <w:rFonts w:cs="Arial"/>
                <w:sz w:val="20"/>
                <w:szCs w:val="20"/>
              </w:rPr>
            </w:pPr>
            <w:r>
              <w:rPr>
                <w:rFonts w:cs="Arial"/>
                <w:sz w:val="20"/>
                <w:szCs w:val="20"/>
              </w:rPr>
              <w:t>SORF</w:t>
            </w:r>
          </w:p>
        </w:tc>
        <w:tc>
          <w:tcPr>
            <w:tcW w:w="6391" w:type="dxa"/>
          </w:tcPr>
          <w:p w14:paraId="2838EADC" w14:textId="2D0846AB" w:rsidR="00820BAD" w:rsidRPr="00A81562" w:rsidRDefault="00820BAD" w:rsidP="00820BAD">
            <w:pPr>
              <w:spacing w:before="40" w:after="40"/>
              <w:ind w:left="46"/>
              <w:rPr>
                <w:rFonts w:cs="Arial"/>
                <w:sz w:val="20"/>
                <w:szCs w:val="20"/>
              </w:rPr>
            </w:pPr>
            <w:r>
              <w:rPr>
                <w:rFonts w:cs="Arial"/>
                <w:sz w:val="20"/>
                <w:szCs w:val="20"/>
              </w:rPr>
              <w:t>Soil and Organic Recycling Facility</w:t>
            </w:r>
          </w:p>
        </w:tc>
      </w:tr>
      <w:tr w:rsidR="0009686B" w:rsidRPr="00A81562" w14:paraId="6372ECED" w14:textId="77777777" w:rsidTr="006A59B6">
        <w:tc>
          <w:tcPr>
            <w:tcW w:w="2081" w:type="dxa"/>
          </w:tcPr>
          <w:p w14:paraId="789C7B44" w14:textId="4D690EC3" w:rsidR="0009686B" w:rsidRPr="00A81562" w:rsidRDefault="0009686B" w:rsidP="006A59B6">
            <w:pPr>
              <w:spacing w:before="40" w:after="40"/>
              <w:ind w:left="0"/>
              <w:rPr>
                <w:rFonts w:cs="Arial"/>
                <w:sz w:val="20"/>
                <w:szCs w:val="20"/>
              </w:rPr>
            </w:pPr>
            <w:r>
              <w:rPr>
                <w:rFonts w:cs="Arial"/>
                <w:sz w:val="20"/>
                <w:szCs w:val="20"/>
              </w:rPr>
              <w:t>SRT</w:t>
            </w:r>
          </w:p>
        </w:tc>
        <w:tc>
          <w:tcPr>
            <w:tcW w:w="6391" w:type="dxa"/>
          </w:tcPr>
          <w:p w14:paraId="2631E6E0" w14:textId="0046B463" w:rsidR="0009686B" w:rsidRPr="00A81562" w:rsidRDefault="0009686B" w:rsidP="006A59B6">
            <w:pPr>
              <w:spacing w:before="40" w:after="40"/>
              <w:ind w:left="46"/>
              <w:rPr>
                <w:rFonts w:cs="Arial"/>
                <w:sz w:val="20"/>
                <w:szCs w:val="20"/>
              </w:rPr>
            </w:pPr>
            <w:r>
              <w:rPr>
                <w:rFonts w:cs="Arial"/>
                <w:sz w:val="20"/>
                <w:szCs w:val="20"/>
              </w:rPr>
              <w:t>State Response Team</w:t>
            </w:r>
          </w:p>
        </w:tc>
      </w:tr>
      <w:tr w:rsidR="0009686B" w:rsidRPr="00A81562" w14:paraId="7990B06B" w14:textId="77777777" w:rsidTr="006A59B6">
        <w:tc>
          <w:tcPr>
            <w:tcW w:w="2081" w:type="dxa"/>
          </w:tcPr>
          <w:p w14:paraId="4AF819DD" w14:textId="421DCB3D" w:rsidR="0009686B" w:rsidRPr="00A81562" w:rsidRDefault="0009686B" w:rsidP="006A59B6">
            <w:pPr>
              <w:spacing w:before="40" w:after="40"/>
              <w:ind w:left="0"/>
              <w:rPr>
                <w:rFonts w:cs="Arial"/>
                <w:sz w:val="20"/>
                <w:szCs w:val="20"/>
              </w:rPr>
            </w:pPr>
            <w:r w:rsidRPr="00A81562">
              <w:rPr>
                <w:rFonts w:cs="Arial"/>
                <w:color w:val="000000"/>
                <w:sz w:val="20"/>
                <w:szCs w:val="20"/>
                <w:lang w:eastAsia="en-US"/>
              </w:rPr>
              <w:t>SSF</w:t>
            </w:r>
            <w:r>
              <w:rPr>
                <w:rFonts w:cs="Arial"/>
                <w:color w:val="000000"/>
                <w:sz w:val="20"/>
                <w:szCs w:val="20"/>
                <w:lang w:eastAsia="en-US"/>
              </w:rPr>
              <w:t>Assn</w:t>
            </w:r>
          </w:p>
        </w:tc>
        <w:tc>
          <w:tcPr>
            <w:tcW w:w="6391" w:type="dxa"/>
          </w:tcPr>
          <w:p w14:paraId="2B04FDFE" w14:textId="14EA24B0" w:rsidR="0009686B" w:rsidRPr="00A81562" w:rsidRDefault="0009686B" w:rsidP="006A59B6">
            <w:pPr>
              <w:spacing w:before="40" w:after="40"/>
              <w:ind w:left="46"/>
              <w:rPr>
                <w:rFonts w:cs="Arial"/>
                <w:sz w:val="20"/>
                <w:szCs w:val="20"/>
              </w:rPr>
            </w:pPr>
            <w:r w:rsidRPr="00A81562">
              <w:rPr>
                <w:rFonts w:cs="Arial"/>
                <w:color w:val="000000"/>
                <w:sz w:val="20"/>
                <w:szCs w:val="20"/>
                <w:lang w:eastAsia="en-US"/>
              </w:rPr>
              <w:t xml:space="preserve">Sustainable Shark Fishing </w:t>
            </w:r>
            <w:r>
              <w:rPr>
                <w:rFonts w:cs="Arial"/>
                <w:color w:val="000000"/>
                <w:sz w:val="20"/>
                <w:szCs w:val="20"/>
                <w:lang w:eastAsia="en-US"/>
              </w:rPr>
              <w:t>Association</w:t>
            </w:r>
          </w:p>
        </w:tc>
      </w:tr>
      <w:tr w:rsidR="0009686B" w:rsidRPr="00A81562" w14:paraId="40D4D528" w14:textId="77777777" w:rsidTr="006A59B6">
        <w:tc>
          <w:tcPr>
            <w:tcW w:w="2081" w:type="dxa"/>
          </w:tcPr>
          <w:p w14:paraId="3ECCED16" w14:textId="6DB82F11" w:rsidR="0009686B" w:rsidRPr="00A81562" w:rsidRDefault="0009686B" w:rsidP="006A59B6">
            <w:pPr>
              <w:spacing w:before="40" w:after="40"/>
              <w:ind w:left="0"/>
              <w:rPr>
                <w:rFonts w:cs="Arial"/>
                <w:sz w:val="20"/>
                <w:szCs w:val="20"/>
              </w:rPr>
            </w:pPr>
            <w:r w:rsidRPr="00A81562">
              <w:rPr>
                <w:rFonts w:cs="Arial"/>
                <w:color w:val="000000"/>
                <w:sz w:val="20"/>
                <w:szCs w:val="20"/>
                <w:lang w:eastAsia="en-US"/>
              </w:rPr>
              <w:t>SSIA</w:t>
            </w:r>
          </w:p>
        </w:tc>
        <w:tc>
          <w:tcPr>
            <w:tcW w:w="6391" w:type="dxa"/>
          </w:tcPr>
          <w:p w14:paraId="56B03457" w14:textId="70071BEA" w:rsidR="0009686B" w:rsidRPr="00A81562" w:rsidRDefault="0009686B" w:rsidP="006A59B6">
            <w:pPr>
              <w:spacing w:before="40" w:after="40"/>
              <w:ind w:left="46"/>
              <w:rPr>
                <w:rFonts w:cs="Arial"/>
                <w:sz w:val="20"/>
                <w:szCs w:val="20"/>
              </w:rPr>
            </w:pPr>
            <w:r w:rsidRPr="00A81562">
              <w:rPr>
                <w:rFonts w:cs="Arial"/>
                <w:color w:val="000000"/>
                <w:sz w:val="20"/>
                <w:szCs w:val="20"/>
                <w:lang w:eastAsia="en-US"/>
              </w:rPr>
              <w:t>Southern Shark Industry Alliance</w:t>
            </w:r>
          </w:p>
        </w:tc>
      </w:tr>
      <w:tr w:rsidR="0009686B" w:rsidRPr="00A81562" w14:paraId="6CA985EE" w14:textId="77777777" w:rsidTr="006A59B6">
        <w:tc>
          <w:tcPr>
            <w:tcW w:w="2081" w:type="dxa"/>
          </w:tcPr>
          <w:p w14:paraId="40023A6B" w14:textId="746C8DC7" w:rsidR="0009686B" w:rsidRPr="00A81562" w:rsidRDefault="0009686B" w:rsidP="006A59B6">
            <w:pPr>
              <w:spacing w:before="40" w:after="40"/>
              <w:ind w:left="0"/>
              <w:rPr>
                <w:rFonts w:cs="Arial"/>
                <w:sz w:val="20"/>
                <w:szCs w:val="20"/>
              </w:rPr>
            </w:pPr>
            <w:r w:rsidRPr="00A81562">
              <w:rPr>
                <w:rFonts w:cs="Arial"/>
                <w:sz w:val="20"/>
                <w:szCs w:val="20"/>
              </w:rPr>
              <w:t>STCW</w:t>
            </w:r>
          </w:p>
        </w:tc>
        <w:tc>
          <w:tcPr>
            <w:tcW w:w="6391" w:type="dxa"/>
          </w:tcPr>
          <w:p w14:paraId="30880160" w14:textId="1284979D" w:rsidR="0009686B" w:rsidRPr="00A81562" w:rsidRDefault="0009686B" w:rsidP="006A59B6">
            <w:pPr>
              <w:spacing w:before="40" w:after="40"/>
              <w:ind w:left="46"/>
              <w:rPr>
                <w:rFonts w:cs="Arial"/>
                <w:sz w:val="20"/>
                <w:szCs w:val="20"/>
              </w:rPr>
            </w:pPr>
            <w:r w:rsidRPr="00A81562">
              <w:rPr>
                <w:rFonts w:cs="Arial"/>
                <w:sz w:val="20"/>
                <w:szCs w:val="20"/>
              </w:rPr>
              <w:t xml:space="preserve">International Convention on Standards of Training, Certification and </w:t>
            </w:r>
            <w:r w:rsidRPr="00A81562">
              <w:rPr>
                <w:rFonts w:cs="Arial"/>
                <w:sz w:val="20"/>
                <w:szCs w:val="20"/>
              </w:rPr>
              <w:lastRenderedPageBreak/>
              <w:t>Watchkeeping for Seafarers</w:t>
            </w:r>
          </w:p>
        </w:tc>
      </w:tr>
      <w:tr w:rsidR="0009686B" w:rsidRPr="00A81562" w14:paraId="54BC3E62" w14:textId="77777777" w:rsidTr="006A59B6">
        <w:tc>
          <w:tcPr>
            <w:tcW w:w="2081" w:type="dxa"/>
          </w:tcPr>
          <w:p w14:paraId="3E83F54B" w14:textId="6D6440CE" w:rsidR="0009686B" w:rsidRPr="00A81562" w:rsidRDefault="0009686B" w:rsidP="006A59B6">
            <w:pPr>
              <w:spacing w:before="40" w:after="40"/>
              <w:ind w:left="0"/>
              <w:rPr>
                <w:rFonts w:cs="Arial"/>
                <w:sz w:val="20"/>
                <w:szCs w:val="20"/>
              </w:rPr>
            </w:pPr>
            <w:r>
              <w:rPr>
                <w:rFonts w:cs="Arial"/>
                <w:sz w:val="20"/>
                <w:szCs w:val="20"/>
              </w:rPr>
              <w:lastRenderedPageBreak/>
              <w:t>STLM</w:t>
            </w:r>
          </w:p>
        </w:tc>
        <w:tc>
          <w:tcPr>
            <w:tcW w:w="6391" w:type="dxa"/>
          </w:tcPr>
          <w:p w14:paraId="67662592" w14:textId="20A79B7E" w:rsidR="0009686B" w:rsidRPr="00A81562" w:rsidRDefault="0009686B" w:rsidP="006A59B6">
            <w:pPr>
              <w:spacing w:before="40" w:after="40"/>
              <w:ind w:left="46"/>
              <w:rPr>
                <w:rFonts w:cs="Arial"/>
                <w:sz w:val="20"/>
                <w:szCs w:val="20"/>
              </w:rPr>
            </w:pPr>
            <w:r>
              <w:rPr>
                <w:rFonts w:cs="Arial"/>
                <w:sz w:val="20"/>
                <w:szCs w:val="20"/>
              </w:rPr>
              <w:t>Sound Transmission Loss Modelling</w:t>
            </w:r>
          </w:p>
        </w:tc>
      </w:tr>
      <w:tr w:rsidR="0009686B" w:rsidRPr="00A81562" w14:paraId="65364113" w14:textId="77777777" w:rsidTr="006A59B6">
        <w:tc>
          <w:tcPr>
            <w:tcW w:w="2081" w:type="dxa"/>
          </w:tcPr>
          <w:p w14:paraId="54B22877" w14:textId="2ECBB95C" w:rsidR="0009686B" w:rsidRPr="00A81562" w:rsidRDefault="0009686B" w:rsidP="006A59B6">
            <w:pPr>
              <w:spacing w:before="40" w:after="40"/>
              <w:ind w:left="0"/>
              <w:rPr>
                <w:rFonts w:cs="Arial"/>
                <w:sz w:val="20"/>
                <w:szCs w:val="20"/>
              </w:rPr>
            </w:pPr>
            <w:r w:rsidRPr="00A81562">
              <w:rPr>
                <w:rFonts w:cs="Arial"/>
                <w:sz w:val="20"/>
                <w:szCs w:val="20"/>
              </w:rPr>
              <w:t>STP</w:t>
            </w:r>
          </w:p>
        </w:tc>
        <w:tc>
          <w:tcPr>
            <w:tcW w:w="6391" w:type="dxa"/>
          </w:tcPr>
          <w:p w14:paraId="51C74887" w14:textId="1151D89D" w:rsidR="0009686B" w:rsidRPr="00A81562" w:rsidRDefault="0009686B" w:rsidP="006A59B6">
            <w:pPr>
              <w:spacing w:before="40" w:after="40"/>
              <w:ind w:left="46"/>
              <w:rPr>
                <w:rFonts w:cs="Arial"/>
                <w:sz w:val="20"/>
                <w:szCs w:val="20"/>
              </w:rPr>
            </w:pPr>
            <w:r>
              <w:rPr>
                <w:rFonts w:cs="Arial"/>
                <w:sz w:val="20"/>
                <w:szCs w:val="20"/>
              </w:rPr>
              <w:t>S</w:t>
            </w:r>
            <w:r w:rsidRPr="00A81562">
              <w:rPr>
                <w:rFonts w:cs="Arial"/>
                <w:sz w:val="20"/>
                <w:szCs w:val="20"/>
              </w:rPr>
              <w:t xml:space="preserve">ewage </w:t>
            </w:r>
            <w:r>
              <w:rPr>
                <w:rFonts w:cs="Arial"/>
                <w:sz w:val="20"/>
                <w:szCs w:val="20"/>
              </w:rPr>
              <w:t>T</w:t>
            </w:r>
            <w:r w:rsidRPr="00A81562">
              <w:rPr>
                <w:rFonts w:cs="Arial"/>
                <w:sz w:val="20"/>
                <w:szCs w:val="20"/>
              </w:rPr>
              <w:t xml:space="preserve">reatment </w:t>
            </w:r>
            <w:r>
              <w:rPr>
                <w:rFonts w:cs="Arial"/>
                <w:sz w:val="20"/>
                <w:szCs w:val="20"/>
              </w:rPr>
              <w:t>P</w:t>
            </w:r>
            <w:r w:rsidRPr="00A81562">
              <w:rPr>
                <w:rFonts w:cs="Arial"/>
                <w:sz w:val="20"/>
                <w:szCs w:val="20"/>
              </w:rPr>
              <w:t>lant</w:t>
            </w:r>
          </w:p>
        </w:tc>
      </w:tr>
      <w:tr w:rsidR="0009686B" w:rsidRPr="00A81562" w14:paraId="2EC48772" w14:textId="77777777" w:rsidTr="006A59B6">
        <w:tc>
          <w:tcPr>
            <w:tcW w:w="2081" w:type="dxa"/>
          </w:tcPr>
          <w:p w14:paraId="6D6B7487" w14:textId="07DC2388" w:rsidR="0009686B" w:rsidRPr="00A81562" w:rsidRDefault="0009686B" w:rsidP="006A59B6">
            <w:pPr>
              <w:spacing w:before="40" w:after="40"/>
              <w:ind w:left="0"/>
              <w:rPr>
                <w:rFonts w:cs="Arial"/>
                <w:sz w:val="20"/>
                <w:szCs w:val="20"/>
              </w:rPr>
            </w:pPr>
            <w:r w:rsidRPr="00A81562">
              <w:rPr>
                <w:rFonts w:cs="Arial"/>
                <w:sz w:val="20"/>
                <w:szCs w:val="20"/>
              </w:rPr>
              <w:t>SWOP</w:t>
            </w:r>
          </w:p>
        </w:tc>
        <w:tc>
          <w:tcPr>
            <w:tcW w:w="6391" w:type="dxa"/>
          </w:tcPr>
          <w:p w14:paraId="4E625E32" w14:textId="2B9D6883" w:rsidR="0009686B" w:rsidRPr="00A81562" w:rsidRDefault="0009686B" w:rsidP="006A59B6">
            <w:pPr>
              <w:spacing w:before="40" w:after="40"/>
              <w:ind w:left="46"/>
              <w:rPr>
                <w:rFonts w:cs="Arial"/>
                <w:sz w:val="20"/>
                <w:szCs w:val="20"/>
              </w:rPr>
            </w:pPr>
            <w:r w:rsidRPr="00A81562">
              <w:rPr>
                <w:rFonts w:cs="Arial"/>
                <w:sz w:val="20"/>
                <w:szCs w:val="20"/>
              </w:rPr>
              <w:t>Saline Wastewater Outfall Pipeline</w:t>
            </w:r>
          </w:p>
        </w:tc>
      </w:tr>
      <w:tr w:rsidR="0009686B" w:rsidRPr="00A81562" w14:paraId="48D6F32B" w14:textId="77777777" w:rsidTr="006A59B6">
        <w:tc>
          <w:tcPr>
            <w:tcW w:w="2081" w:type="dxa"/>
          </w:tcPr>
          <w:p w14:paraId="448CEDBD" w14:textId="50E46EAA" w:rsidR="0009686B" w:rsidRPr="00A81562" w:rsidRDefault="0009686B" w:rsidP="006A59B6">
            <w:pPr>
              <w:spacing w:before="40" w:after="40"/>
              <w:ind w:left="0"/>
              <w:rPr>
                <w:rFonts w:cs="Arial"/>
                <w:sz w:val="20"/>
                <w:szCs w:val="20"/>
              </w:rPr>
            </w:pPr>
            <w:r>
              <w:rPr>
                <w:rFonts w:cs="Arial"/>
                <w:sz w:val="20"/>
                <w:szCs w:val="20"/>
              </w:rPr>
              <w:t>SWOT</w:t>
            </w:r>
          </w:p>
        </w:tc>
        <w:tc>
          <w:tcPr>
            <w:tcW w:w="6391" w:type="dxa"/>
          </w:tcPr>
          <w:p w14:paraId="6D8956E1" w14:textId="625FAAD9" w:rsidR="0009686B" w:rsidRPr="00A81562" w:rsidRDefault="0009686B" w:rsidP="006A59B6">
            <w:pPr>
              <w:spacing w:before="40" w:after="40"/>
              <w:ind w:left="46"/>
              <w:rPr>
                <w:rFonts w:cs="Arial"/>
                <w:sz w:val="20"/>
                <w:szCs w:val="20"/>
              </w:rPr>
            </w:pPr>
            <w:r>
              <w:rPr>
                <w:rFonts w:cs="Arial"/>
                <w:sz w:val="20"/>
                <w:szCs w:val="20"/>
              </w:rPr>
              <w:t>Strength-Weaknesses-Opportunities-Threats</w:t>
            </w:r>
          </w:p>
        </w:tc>
      </w:tr>
      <w:tr w:rsidR="0009686B" w:rsidRPr="00A81562" w14:paraId="16AC8DBD" w14:textId="77777777" w:rsidTr="006A59B6">
        <w:tc>
          <w:tcPr>
            <w:tcW w:w="2081" w:type="dxa"/>
          </w:tcPr>
          <w:p w14:paraId="793B9528" w14:textId="6CE3393F" w:rsidR="0009686B" w:rsidRPr="00A81562" w:rsidRDefault="0009686B" w:rsidP="006A59B6">
            <w:pPr>
              <w:spacing w:before="40" w:after="40"/>
              <w:ind w:left="0"/>
              <w:rPr>
                <w:rFonts w:cs="Arial"/>
                <w:sz w:val="20"/>
                <w:szCs w:val="20"/>
              </w:rPr>
            </w:pPr>
            <w:r w:rsidRPr="00A81562">
              <w:rPr>
                <w:rFonts w:eastAsia="MS Mincho" w:cs="Arial"/>
                <w:sz w:val="20"/>
                <w:szCs w:val="20"/>
              </w:rPr>
              <w:t>TACC</w:t>
            </w:r>
          </w:p>
        </w:tc>
        <w:tc>
          <w:tcPr>
            <w:tcW w:w="6391" w:type="dxa"/>
          </w:tcPr>
          <w:p w14:paraId="7DD605E1" w14:textId="09891F6D" w:rsidR="0009686B" w:rsidRPr="00A81562" w:rsidRDefault="0009686B" w:rsidP="006A59B6">
            <w:pPr>
              <w:spacing w:before="40" w:after="40"/>
              <w:ind w:left="46"/>
              <w:rPr>
                <w:rFonts w:cs="Arial"/>
                <w:sz w:val="20"/>
                <w:szCs w:val="20"/>
              </w:rPr>
            </w:pPr>
            <w:r w:rsidRPr="00A81562">
              <w:rPr>
                <w:rFonts w:eastAsia="MS Mincho" w:cs="Arial"/>
                <w:sz w:val="20"/>
                <w:szCs w:val="20"/>
              </w:rPr>
              <w:t>Total Allowable Commercial Catch</w:t>
            </w:r>
          </w:p>
        </w:tc>
      </w:tr>
      <w:tr w:rsidR="0009686B" w:rsidRPr="00A81562" w14:paraId="7E85A752" w14:textId="77777777" w:rsidTr="006A59B6">
        <w:tc>
          <w:tcPr>
            <w:tcW w:w="2081" w:type="dxa"/>
          </w:tcPr>
          <w:p w14:paraId="74C64F05" w14:textId="1BBAFAE2" w:rsidR="0009686B" w:rsidRPr="00A81562" w:rsidRDefault="0009686B" w:rsidP="006A59B6">
            <w:pPr>
              <w:spacing w:before="40" w:after="40"/>
              <w:ind w:left="0"/>
              <w:rPr>
                <w:rFonts w:cs="Arial"/>
                <w:sz w:val="20"/>
                <w:szCs w:val="20"/>
              </w:rPr>
            </w:pPr>
            <w:r>
              <w:rPr>
                <w:rFonts w:cs="Arial"/>
                <w:sz w:val="20"/>
                <w:szCs w:val="20"/>
              </w:rPr>
              <w:t>TEC</w:t>
            </w:r>
          </w:p>
        </w:tc>
        <w:tc>
          <w:tcPr>
            <w:tcW w:w="6391" w:type="dxa"/>
          </w:tcPr>
          <w:p w14:paraId="76D257F7" w14:textId="3A1F4002" w:rsidR="0009686B" w:rsidRPr="00A81562" w:rsidRDefault="0009686B" w:rsidP="006A59B6">
            <w:pPr>
              <w:spacing w:before="40" w:after="40"/>
              <w:ind w:left="46"/>
              <w:rPr>
                <w:rFonts w:cs="Arial"/>
                <w:sz w:val="20"/>
                <w:szCs w:val="20"/>
              </w:rPr>
            </w:pPr>
            <w:r w:rsidRPr="00A81562">
              <w:rPr>
                <w:rFonts w:cs="Arial"/>
                <w:sz w:val="20"/>
                <w:szCs w:val="20"/>
              </w:rPr>
              <w:t>T</w:t>
            </w:r>
            <w:r>
              <w:rPr>
                <w:rFonts w:cs="Arial"/>
                <w:sz w:val="20"/>
                <w:szCs w:val="20"/>
              </w:rPr>
              <w:t>hreatened Ecological Community</w:t>
            </w:r>
          </w:p>
        </w:tc>
      </w:tr>
      <w:tr w:rsidR="0009686B" w:rsidRPr="00A81562" w14:paraId="459D6EBD" w14:textId="77777777" w:rsidTr="006A59B6">
        <w:tc>
          <w:tcPr>
            <w:tcW w:w="2081" w:type="dxa"/>
          </w:tcPr>
          <w:p w14:paraId="6870FA16" w14:textId="56FA9E7C" w:rsidR="0009686B" w:rsidRPr="00A81562" w:rsidRDefault="0009686B" w:rsidP="006A59B6">
            <w:pPr>
              <w:spacing w:before="40" w:after="40"/>
              <w:ind w:left="0"/>
              <w:rPr>
                <w:rFonts w:cs="Arial"/>
                <w:sz w:val="20"/>
                <w:szCs w:val="20"/>
              </w:rPr>
            </w:pPr>
            <w:r>
              <w:rPr>
                <w:rFonts w:cs="Arial"/>
                <w:sz w:val="20"/>
                <w:szCs w:val="20"/>
              </w:rPr>
              <w:t>THC</w:t>
            </w:r>
          </w:p>
        </w:tc>
        <w:tc>
          <w:tcPr>
            <w:tcW w:w="6391" w:type="dxa"/>
          </w:tcPr>
          <w:p w14:paraId="5136FD3A" w14:textId="55CC7DF1" w:rsidR="0009686B" w:rsidRPr="00A81562" w:rsidRDefault="0009686B" w:rsidP="006A59B6">
            <w:pPr>
              <w:spacing w:before="40" w:after="40"/>
              <w:ind w:left="46"/>
              <w:rPr>
                <w:rFonts w:cs="Arial"/>
                <w:sz w:val="20"/>
                <w:szCs w:val="20"/>
              </w:rPr>
            </w:pPr>
            <w:r>
              <w:rPr>
                <w:rFonts w:cs="Arial"/>
                <w:sz w:val="20"/>
                <w:szCs w:val="20"/>
              </w:rPr>
              <w:t>Total Hydrocarbons</w:t>
            </w:r>
          </w:p>
        </w:tc>
      </w:tr>
      <w:tr w:rsidR="0009686B" w:rsidRPr="00A81562" w14:paraId="4647E929" w14:textId="77777777" w:rsidTr="006A59B6">
        <w:tc>
          <w:tcPr>
            <w:tcW w:w="2081" w:type="dxa"/>
          </w:tcPr>
          <w:p w14:paraId="43AE2C3D" w14:textId="5CAE083C" w:rsidR="0009686B" w:rsidRPr="00A81562" w:rsidRDefault="0009686B" w:rsidP="006A59B6">
            <w:pPr>
              <w:spacing w:before="40" w:after="40"/>
              <w:ind w:left="0"/>
              <w:rPr>
                <w:rFonts w:cs="Arial"/>
                <w:sz w:val="20"/>
                <w:szCs w:val="20"/>
              </w:rPr>
            </w:pPr>
            <w:r w:rsidRPr="00A81562">
              <w:rPr>
                <w:rFonts w:cs="Arial"/>
                <w:sz w:val="20"/>
                <w:szCs w:val="20"/>
              </w:rPr>
              <w:t>TSV</w:t>
            </w:r>
          </w:p>
        </w:tc>
        <w:tc>
          <w:tcPr>
            <w:tcW w:w="6391" w:type="dxa"/>
          </w:tcPr>
          <w:p w14:paraId="0BE4095D" w14:textId="6C1CB8C2" w:rsidR="0009686B" w:rsidRPr="00A81562" w:rsidRDefault="0009686B" w:rsidP="006A59B6">
            <w:pPr>
              <w:spacing w:before="40" w:after="40"/>
              <w:ind w:left="46"/>
              <w:rPr>
                <w:rFonts w:cs="Arial"/>
                <w:sz w:val="20"/>
                <w:szCs w:val="20"/>
              </w:rPr>
            </w:pPr>
            <w:r w:rsidRPr="00A81562">
              <w:rPr>
                <w:rFonts w:cs="Arial"/>
                <w:sz w:val="20"/>
                <w:szCs w:val="20"/>
              </w:rPr>
              <w:t>Transport Safety Victoria</w:t>
            </w:r>
          </w:p>
        </w:tc>
      </w:tr>
      <w:tr w:rsidR="0009686B" w:rsidRPr="00A81562" w14:paraId="1DD5DF58" w14:textId="77777777" w:rsidTr="006A59B6">
        <w:tc>
          <w:tcPr>
            <w:tcW w:w="2081" w:type="dxa"/>
          </w:tcPr>
          <w:p w14:paraId="4FC8A276" w14:textId="1582F257" w:rsidR="0009686B" w:rsidRPr="006A59B6" w:rsidRDefault="0009686B" w:rsidP="006A59B6">
            <w:pPr>
              <w:spacing w:before="40" w:after="40"/>
              <w:ind w:left="0"/>
              <w:rPr>
                <w:rFonts w:cs="Arial"/>
                <w:sz w:val="20"/>
                <w:szCs w:val="20"/>
              </w:rPr>
            </w:pPr>
            <w:r>
              <w:rPr>
                <w:rFonts w:cs="Arial"/>
                <w:sz w:val="20"/>
                <w:szCs w:val="20"/>
              </w:rPr>
              <w:t>TTS</w:t>
            </w:r>
          </w:p>
        </w:tc>
        <w:tc>
          <w:tcPr>
            <w:tcW w:w="6391" w:type="dxa"/>
          </w:tcPr>
          <w:p w14:paraId="5F0D572A" w14:textId="6786990B" w:rsidR="0009686B" w:rsidRPr="006A59B6" w:rsidRDefault="0009686B" w:rsidP="006A59B6">
            <w:pPr>
              <w:spacing w:before="40" w:after="40"/>
              <w:ind w:left="46"/>
              <w:rPr>
                <w:rFonts w:cs="Arial"/>
                <w:sz w:val="20"/>
                <w:szCs w:val="20"/>
              </w:rPr>
            </w:pPr>
            <w:r>
              <w:rPr>
                <w:rFonts w:cs="Arial"/>
                <w:sz w:val="20"/>
                <w:szCs w:val="20"/>
              </w:rPr>
              <w:t>Temporary Threshold Shift</w:t>
            </w:r>
          </w:p>
        </w:tc>
      </w:tr>
      <w:tr w:rsidR="0009686B" w:rsidRPr="00A81562" w14:paraId="495728A4" w14:textId="77777777" w:rsidTr="006A59B6">
        <w:tc>
          <w:tcPr>
            <w:tcW w:w="2081" w:type="dxa"/>
          </w:tcPr>
          <w:p w14:paraId="30E5FAD4" w14:textId="6912D7B1" w:rsidR="0009686B" w:rsidRDefault="0009686B" w:rsidP="006A59B6">
            <w:pPr>
              <w:spacing w:before="40" w:after="40"/>
              <w:ind w:left="0"/>
              <w:rPr>
                <w:rFonts w:cs="Arial"/>
                <w:sz w:val="20"/>
                <w:szCs w:val="20"/>
              </w:rPr>
            </w:pPr>
            <w:r>
              <w:rPr>
                <w:rFonts w:cs="Arial"/>
                <w:sz w:val="20"/>
                <w:szCs w:val="20"/>
              </w:rPr>
              <w:t>UAV</w:t>
            </w:r>
          </w:p>
        </w:tc>
        <w:tc>
          <w:tcPr>
            <w:tcW w:w="6391" w:type="dxa"/>
          </w:tcPr>
          <w:p w14:paraId="01D451EA" w14:textId="24286E9A" w:rsidR="0009686B" w:rsidRDefault="0009686B" w:rsidP="006A59B6">
            <w:pPr>
              <w:spacing w:before="40" w:after="40"/>
              <w:ind w:left="46"/>
              <w:rPr>
                <w:rFonts w:cs="Arial"/>
                <w:sz w:val="20"/>
                <w:szCs w:val="20"/>
              </w:rPr>
            </w:pPr>
            <w:r>
              <w:rPr>
                <w:rFonts w:cs="Arial"/>
                <w:sz w:val="20"/>
                <w:szCs w:val="20"/>
              </w:rPr>
              <w:t xml:space="preserve">Underwater Autonomous Vehicle </w:t>
            </w:r>
          </w:p>
        </w:tc>
      </w:tr>
      <w:tr w:rsidR="0009686B" w:rsidRPr="00A81562" w14:paraId="7B039364" w14:textId="77777777" w:rsidTr="006A59B6">
        <w:tc>
          <w:tcPr>
            <w:tcW w:w="2081" w:type="dxa"/>
          </w:tcPr>
          <w:p w14:paraId="2FBF02FC" w14:textId="19F8D79A" w:rsidR="0009686B" w:rsidRPr="00A81562" w:rsidRDefault="0009686B" w:rsidP="006A59B6">
            <w:pPr>
              <w:spacing w:before="40" w:after="40"/>
              <w:ind w:left="0"/>
              <w:rPr>
                <w:rFonts w:cs="Arial"/>
                <w:sz w:val="20"/>
                <w:szCs w:val="20"/>
              </w:rPr>
            </w:pPr>
            <w:r w:rsidRPr="00A81562">
              <w:rPr>
                <w:rFonts w:cs="Arial"/>
                <w:sz w:val="20"/>
                <w:szCs w:val="20"/>
              </w:rPr>
              <w:t>UHF</w:t>
            </w:r>
          </w:p>
        </w:tc>
        <w:tc>
          <w:tcPr>
            <w:tcW w:w="6391" w:type="dxa"/>
          </w:tcPr>
          <w:p w14:paraId="4DE23B23" w14:textId="4BEA2D96" w:rsidR="0009686B" w:rsidRPr="00A81562" w:rsidRDefault="0009686B" w:rsidP="006A59B6">
            <w:pPr>
              <w:spacing w:before="40" w:after="40"/>
              <w:ind w:left="46"/>
              <w:rPr>
                <w:rFonts w:cs="Arial"/>
                <w:sz w:val="20"/>
                <w:szCs w:val="20"/>
              </w:rPr>
            </w:pPr>
            <w:r>
              <w:rPr>
                <w:rFonts w:cs="Arial"/>
                <w:sz w:val="20"/>
                <w:szCs w:val="20"/>
              </w:rPr>
              <w:t>U</w:t>
            </w:r>
            <w:r w:rsidRPr="00A81562">
              <w:rPr>
                <w:rFonts w:cs="Arial"/>
                <w:sz w:val="20"/>
                <w:szCs w:val="20"/>
              </w:rPr>
              <w:t>ltra</w:t>
            </w:r>
            <w:r>
              <w:rPr>
                <w:rFonts w:cs="Arial"/>
                <w:sz w:val="20"/>
                <w:szCs w:val="20"/>
              </w:rPr>
              <w:t xml:space="preserve"> H</w:t>
            </w:r>
            <w:r w:rsidRPr="00A81562">
              <w:rPr>
                <w:rFonts w:cs="Arial"/>
                <w:sz w:val="20"/>
                <w:szCs w:val="20"/>
              </w:rPr>
              <w:t xml:space="preserve">igh </w:t>
            </w:r>
            <w:r>
              <w:rPr>
                <w:rFonts w:cs="Arial"/>
                <w:sz w:val="20"/>
                <w:szCs w:val="20"/>
              </w:rPr>
              <w:t>F</w:t>
            </w:r>
            <w:r w:rsidRPr="00A81562">
              <w:rPr>
                <w:rFonts w:cs="Arial"/>
                <w:sz w:val="20"/>
                <w:szCs w:val="20"/>
              </w:rPr>
              <w:t>requency</w:t>
            </w:r>
          </w:p>
        </w:tc>
      </w:tr>
      <w:tr w:rsidR="0009686B" w:rsidRPr="00A81562" w14:paraId="6A495169" w14:textId="77777777" w:rsidTr="006A59B6">
        <w:tc>
          <w:tcPr>
            <w:tcW w:w="2081" w:type="dxa"/>
          </w:tcPr>
          <w:p w14:paraId="533A4FD3" w14:textId="46102C77" w:rsidR="0009686B" w:rsidRPr="00A81562" w:rsidRDefault="0009686B" w:rsidP="006A59B6">
            <w:pPr>
              <w:spacing w:before="40" w:after="40"/>
              <w:ind w:left="0"/>
              <w:rPr>
                <w:rFonts w:cs="Arial"/>
                <w:sz w:val="20"/>
                <w:szCs w:val="20"/>
              </w:rPr>
            </w:pPr>
            <w:r w:rsidRPr="00A81562">
              <w:rPr>
                <w:rFonts w:cs="Arial"/>
                <w:sz w:val="20"/>
                <w:szCs w:val="20"/>
              </w:rPr>
              <w:t>UNCLOS</w:t>
            </w:r>
          </w:p>
        </w:tc>
        <w:tc>
          <w:tcPr>
            <w:tcW w:w="6391" w:type="dxa"/>
          </w:tcPr>
          <w:p w14:paraId="7F152C16" w14:textId="4AC51E8E" w:rsidR="0009686B" w:rsidRPr="00A81562" w:rsidRDefault="0009686B" w:rsidP="006A59B6">
            <w:pPr>
              <w:spacing w:before="40" w:after="40"/>
              <w:ind w:left="46"/>
              <w:rPr>
                <w:rFonts w:cs="Arial"/>
                <w:sz w:val="20"/>
                <w:szCs w:val="20"/>
              </w:rPr>
            </w:pPr>
            <w:r w:rsidRPr="00A81562">
              <w:rPr>
                <w:rFonts w:cs="Arial"/>
                <w:sz w:val="20"/>
                <w:szCs w:val="20"/>
              </w:rPr>
              <w:t>United Nations Convention on the Law of the Sea</w:t>
            </w:r>
          </w:p>
        </w:tc>
      </w:tr>
      <w:tr w:rsidR="0009686B" w:rsidRPr="00A81562" w14:paraId="7570114C" w14:textId="77777777" w:rsidTr="006A59B6">
        <w:tc>
          <w:tcPr>
            <w:tcW w:w="2081" w:type="dxa"/>
          </w:tcPr>
          <w:p w14:paraId="19C50815" w14:textId="260BA9FF" w:rsidR="0009686B" w:rsidRPr="00A81562" w:rsidRDefault="0009686B" w:rsidP="006A59B6">
            <w:pPr>
              <w:spacing w:before="40" w:after="40"/>
              <w:ind w:left="0"/>
              <w:rPr>
                <w:rFonts w:cs="Arial"/>
                <w:sz w:val="20"/>
                <w:szCs w:val="20"/>
              </w:rPr>
            </w:pPr>
            <w:r w:rsidRPr="00A81562">
              <w:rPr>
                <w:rFonts w:cs="Arial"/>
                <w:sz w:val="20"/>
                <w:szCs w:val="20"/>
              </w:rPr>
              <w:t>UNEP IE</w:t>
            </w:r>
          </w:p>
        </w:tc>
        <w:tc>
          <w:tcPr>
            <w:tcW w:w="6391" w:type="dxa"/>
          </w:tcPr>
          <w:p w14:paraId="36D3C66D" w14:textId="1DDF95B5" w:rsidR="0009686B" w:rsidRPr="00A81562" w:rsidRDefault="0009686B" w:rsidP="006A59B6">
            <w:pPr>
              <w:spacing w:before="40" w:after="40"/>
              <w:ind w:left="46"/>
              <w:rPr>
                <w:rFonts w:cs="Arial"/>
                <w:sz w:val="20"/>
                <w:szCs w:val="20"/>
              </w:rPr>
            </w:pPr>
            <w:r w:rsidRPr="00A81562">
              <w:rPr>
                <w:rFonts w:cs="Arial"/>
                <w:sz w:val="20"/>
                <w:szCs w:val="20"/>
              </w:rPr>
              <w:t>United Nations Environment Programme Industry and Environment</w:t>
            </w:r>
          </w:p>
        </w:tc>
      </w:tr>
      <w:tr w:rsidR="0009686B" w:rsidRPr="00A81562" w14:paraId="25628DF1" w14:textId="77777777" w:rsidTr="006A59B6">
        <w:tc>
          <w:tcPr>
            <w:tcW w:w="2081" w:type="dxa"/>
          </w:tcPr>
          <w:p w14:paraId="6754784F" w14:textId="16C79AEE" w:rsidR="0009686B" w:rsidRDefault="0009686B" w:rsidP="006A59B6">
            <w:pPr>
              <w:spacing w:before="40" w:after="40"/>
              <w:ind w:left="0"/>
              <w:rPr>
                <w:rFonts w:cs="Arial"/>
                <w:sz w:val="20"/>
                <w:szCs w:val="20"/>
              </w:rPr>
            </w:pPr>
            <w:r w:rsidRPr="00A81562">
              <w:rPr>
                <w:rFonts w:cs="Arial"/>
                <w:color w:val="000000"/>
                <w:sz w:val="20"/>
                <w:szCs w:val="20"/>
                <w:lang w:eastAsia="en-US"/>
              </w:rPr>
              <w:t>VADA</w:t>
            </w:r>
          </w:p>
        </w:tc>
        <w:tc>
          <w:tcPr>
            <w:tcW w:w="6391" w:type="dxa"/>
          </w:tcPr>
          <w:p w14:paraId="2E985786" w14:textId="50C0A76D" w:rsidR="0009686B" w:rsidRDefault="0009686B" w:rsidP="006A59B6">
            <w:pPr>
              <w:spacing w:before="40" w:after="40"/>
              <w:ind w:left="46"/>
              <w:rPr>
                <w:rFonts w:cs="Arial"/>
                <w:sz w:val="20"/>
                <w:szCs w:val="20"/>
              </w:rPr>
            </w:pPr>
            <w:r w:rsidRPr="00A81562">
              <w:rPr>
                <w:rFonts w:cs="Arial"/>
                <w:color w:val="000000"/>
                <w:sz w:val="20"/>
                <w:szCs w:val="20"/>
                <w:lang w:eastAsia="en-US"/>
              </w:rPr>
              <w:t>Victorian Abalone Divers Association</w:t>
            </w:r>
          </w:p>
        </w:tc>
      </w:tr>
      <w:tr w:rsidR="0009686B" w:rsidRPr="00A81562" w14:paraId="63BF4F29" w14:textId="77777777" w:rsidTr="006A59B6">
        <w:tc>
          <w:tcPr>
            <w:tcW w:w="2081" w:type="dxa"/>
          </w:tcPr>
          <w:p w14:paraId="50EC1D5B" w14:textId="0556E255" w:rsidR="0009686B" w:rsidRPr="00A81562" w:rsidRDefault="0009686B" w:rsidP="006A59B6">
            <w:pPr>
              <w:spacing w:before="40" w:after="40"/>
              <w:ind w:left="0"/>
              <w:rPr>
                <w:rFonts w:cs="Arial"/>
                <w:sz w:val="20"/>
                <w:szCs w:val="20"/>
              </w:rPr>
            </w:pPr>
            <w:r w:rsidRPr="00A81562">
              <w:rPr>
                <w:rFonts w:cs="Arial"/>
                <w:sz w:val="20"/>
                <w:szCs w:val="20"/>
              </w:rPr>
              <w:t>VBA</w:t>
            </w:r>
          </w:p>
        </w:tc>
        <w:tc>
          <w:tcPr>
            <w:tcW w:w="6391" w:type="dxa"/>
          </w:tcPr>
          <w:p w14:paraId="0D2F1EDA" w14:textId="2D6B7DD8" w:rsidR="0009686B" w:rsidRPr="00A81562" w:rsidRDefault="0009686B" w:rsidP="006A59B6">
            <w:pPr>
              <w:spacing w:before="40" w:after="40"/>
              <w:ind w:left="46"/>
              <w:rPr>
                <w:rFonts w:cs="Arial"/>
                <w:sz w:val="20"/>
                <w:szCs w:val="20"/>
              </w:rPr>
            </w:pPr>
            <w:r w:rsidRPr="00A81562">
              <w:rPr>
                <w:rFonts w:cs="Arial"/>
                <w:sz w:val="20"/>
                <w:szCs w:val="20"/>
              </w:rPr>
              <w:t>Victorian Biodiversity Atlas</w:t>
            </w:r>
          </w:p>
        </w:tc>
      </w:tr>
      <w:tr w:rsidR="0009686B" w:rsidRPr="00A81562" w14:paraId="2E0FCF59" w14:textId="77777777" w:rsidTr="006A59B6">
        <w:tc>
          <w:tcPr>
            <w:tcW w:w="2081" w:type="dxa"/>
          </w:tcPr>
          <w:p w14:paraId="3D4CBA0D" w14:textId="77EEAC18" w:rsidR="0009686B" w:rsidRPr="00A81562" w:rsidRDefault="0009686B" w:rsidP="006A59B6">
            <w:pPr>
              <w:spacing w:before="40" w:after="40"/>
              <w:ind w:left="0"/>
              <w:rPr>
                <w:rFonts w:cs="Arial"/>
                <w:sz w:val="20"/>
                <w:szCs w:val="20"/>
              </w:rPr>
            </w:pPr>
            <w:r>
              <w:rPr>
                <w:rFonts w:cs="Arial"/>
                <w:sz w:val="20"/>
                <w:szCs w:val="20"/>
              </w:rPr>
              <w:t>VFA</w:t>
            </w:r>
          </w:p>
        </w:tc>
        <w:tc>
          <w:tcPr>
            <w:tcW w:w="6391" w:type="dxa"/>
          </w:tcPr>
          <w:p w14:paraId="438A5C9D" w14:textId="17B5CFAD" w:rsidR="0009686B" w:rsidRPr="00A81562" w:rsidRDefault="0009686B" w:rsidP="006A59B6">
            <w:pPr>
              <w:spacing w:before="40" w:after="40"/>
              <w:ind w:left="46"/>
              <w:rPr>
                <w:rFonts w:cs="Arial"/>
                <w:sz w:val="20"/>
                <w:szCs w:val="20"/>
              </w:rPr>
            </w:pPr>
            <w:r>
              <w:rPr>
                <w:rFonts w:cs="Arial"/>
                <w:sz w:val="20"/>
                <w:szCs w:val="20"/>
              </w:rPr>
              <w:t>Victorian Fisheries Association</w:t>
            </w:r>
          </w:p>
        </w:tc>
      </w:tr>
      <w:tr w:rsidR="0009686B" w:rsidRPr="00A81562" w14:paraId="5E0192AA" w14:textId="77777777" w:rsidTr="006A59B6">
        <w:tc>
          <w:tcPr>
            <w:tcW w:w="2081" w:type="dxa"/>
          </w:tcPr>
          <w:p w14:paraId="2F925AC8" w14:textId="7FD521E5" w:rsidR="0009686B" w:rsidRPr="006A59B6" w:rsidRDefault="0009686B" w:rsidP="006A59B6">
            <w:pPr>
              <w:spacing w:before="40" w:after="40"/>
              <w:ind w:left="0"/>
              <w:rPr>
                <w:rFonts w:cs="Arial"/>
                <w:sz w:val="20"/>
                <w:szCs w:val="20"/>
              </w:rPr>
            </w:pPr>
            <w:r>
              <w:rPr>
                <w:rFonts w:cs="Arial"/>
                <w:sz w:val="20"/>
                <w:szCs w:val="20"/>
              </w:rPr>
              <w:t>VGRMF</w:t>
            </w:r>
          </w:p>
        </w:tc>
        <w:tc>
          <w:tcPr>
            <w:tcW w:w="6391" w:type="dxa"/>
          </w:tcPr>
          <w:p w14:paraId="1CB16F25" w14:textId="56098167" w:rsidR="0009686B" w:rsidRPr="006A59B6" w:rsidRDefault="0009686B" w:rsidP="006A59B6">
            <w:pPr>
              <w:spacing w:before="40" w:after="40"/>
              <w:ind w:left="46"/>
              <w:rPr>
                <w:rFonts w:cs="Arial"/>
                <w:sz w:val="20"/>
                <w:szCs w:val="20"/>
              </w:rPr>
            </w:pPr>
            <w:r>
              <w:rPr>
                <w:rFonts w:cs="Arial"/>
                <w:sz w:val="20"/>
                <w:szCs w:val="20"/>
              </w:rPr>
              <w:t>Victorian Government Risk Management Framework</w:t>
            </w:r>
          </w:p>
        </w:tc>
      </w:tr>
      <w:tr w:rsidR="0009686B" w:rsidRPr="00A81562" w14:paraId="4FE0CF4B" w14:textId="77777777" w:rsidTr="006A59B6">
        <w:tc>
          <w:tcPr>
            <w:tcW w:w="2081" w:type="dxa"/>
          </w:tcPr>
          <w:p w14:paraId="7D6474BF" w14:textId="45B63445" w:rsidR="0009686B" w:rsidRDefault="0009686B" w:rsidP="0009686B">
            <w:pPr>
              <w:spacing w:before="40" w:after="40"/>
              <w:ind w:left="0"/>
              <w:rPr>
                <w:rFonts w:cs="Arial"/>
                <w:sz w:val="20"/>
                <w:szCs w:val="20"/>
              </w:rPr>
            </w:pPr>
            <w:r w:rsidRPr="00A81562">
              <w:rPr>
                <w:rFonts w:cs="Arial"/>
                <w:sz w:val="20"/>
                <w:szCs w:val="20"/>
              </w:rPr>
              <w:t>VHF</w:t>
            </w:r>
          </w:p>
        </w:tc>
        <w:tc>
          <w:tcPr>
            <w:tcW w:w="6391" w:type="dxa"/>
          </w:tcPr>
          <w:p w14:paraId="11DFC04C" w14:textId="7A000B76" w:rsidR="0009686B" w:rsidRDefault="0009686B" w:rsidP="0009686B">
            <w:pPr>
              <w:spacing w:before="40" w:after="40"/>
              <w:ind w:left="0"/>
              <w:rPr>
                <w:rFonts w:cs="Arial"/>
                <w:sz w:val="20"/>
                <w:szCs w:val="20"/>
              </w:rPr>
            </w:pPr>
            <w:r>
              <w:rPr>
                <w:rFonts w:cs="Arial"/>
                <w:sz w:val="20"/>
                <w:szCs w:val="20"/>
              </w:rPr>
              <w:t>V</w:t>
            </w:r>
            <w:r w:rsidRPr="00A81562">
              <w:rPr>
                <w:rFonts w:cs="Arial"/>
                <w:sz w:val="20"/>
                <w:szCs w:val="20"/>
              </w:rPr>
              <w:t xml:space="preserve">ery </w:t>
            </w:r>
            <w:r>
              <w:rPr>
                <w:rFonts w:cs="Arial"/>
                <w:sz w:val="20"/>
                <w:szCs w:val="20"/>
              </w:rPr>
              <w:t>H</w:t>
            </w:r>
            <w:r w:rsidRPr="00A81562">
              <w:rPr>
                <w:rFonts w:cs="Arial"/>
                <w:sz w:val="20"/>
                <w:szCs w:val="20"/>
              </w:rPr>
              <w:t xml:space="preserve">igh </w:t>
            </w:r>
            <w:r>
              <w:rPr>
                <w:rFonts w:cs="Arial"/>
                <w:sz w:val="20"/>
                <w:szCs w:val="20"/>
              </w:rPr>
              <w:t>F</w:t>
            </w:r>
            <w:r w:rsidRPr="00A81562">
              <w:rPr>
                <w:rFonts w:cs="Arial"/>
                <w:sz w:val="20"/>
                <w:szCs w:val="20"/>
              </w:rPr>
              <w:t>requency</w:t>
            </w:r>
          </w:p>
        </w:tc>
      </w:tr>
      <w:tr w:rsidR="0009686B" w:rsidRPr="00A81562" w14:paraId="467EC61D" w14:textId="77777777" w:rsidTr="006A59B6">
        <w:tc>
          <w:tcPr>
            <w:tcW w:w="2081" w:type="dxa"/>
          </w:tcPr>
          <w:p w14:paraId="6207D7BE" w14:textId="6EC4AA3F" w:rsidR="0009686B" w:rsidRDefault="0009686B" w:rsidP="0009686B">
            <w:pPr>
              <w:spacing w:before="40" w:after="40"/>
              <w:ind w:left="0"/>
              <w:rPr>
                <w:rFonts w:cs="Arial"/>
                <w:sz w:val="20"/>
                <w:szCs w:val="20"/>
              </w:rPr>
            </w:pPr>
            <w:r w:rsidRPr="0009686B">
              <w:rPr>
                <w:rFonts w:cs="Arial"/>
                <w:sz w:val="20"/>
                <w:szCs w:val="20"/>
              </w:rPr>
              <w:t>VNPA</w:t>
            </w:r>
          </w:p>
        </w:tc>
        <w:tc>
          <w:tcPr>
            <w:tcW w:w="6391" w:type="dxa"/>
          </w:tcPr>
          <w:p w14:paraId="61EC6F82" w14:textId="09C420CF" w:rsidR="0009686B" w:rsidRDefault="0009686B" w:rsidP="0009686B">
            <w:pPr>
              <w:spacing w:before="40" w:after="40"/>
              <w:ind w:left="0"/>
              <w:rPr>
                <w:rFonts w:cs="Arial"/>
                <w:sz w:val="20"/>
                <w:szCs w:val="20"/>
              </w:rPr>
            </w:pPr>
            <w:r w:rsidRPr="0009686B">
              <w:rPr>
                <w:rFonts w:cs="Arial"/>
                <w:sz w:val="20"/>
                <w:szCs w:val="20"/>
              </w:rPr>
              <w:t>Victorian National Parks Association</w:t>
            </w:r>
          </w:p>
        </w:tc>
      </w:tr>
      <w:tr w:rsidR="0009686B" w:rsidRPr="00A81562" w14:paraId="18C6D63A" w14:textId="77777777" w:rsidTr="006A59B6">
        <w:tc>
          <w:tcPr>
            <w:tcW w:w="2081" w:type="dxa"/>
          </w:tcPr>
          <w:p w14:paraId="26806D3E" w14:textId="442B6AA8" w:rsidR="0009686B" w:rsidRDefault="0009686B" w:rsidP="0009686B">
            <w:pPr>
              <w:spacing w:before="40" w:after="40"/>
              <w:ind w:left="0"/>
              <w:rPr>
                <w:rFonts w:cs="Arial"/>
                <w:sz w:val="20"/>
                <w:szCs w:val="20"/>
              </w:rPr>
            </w:pPr>
            <w:r>
              <w:rPr>
                <w:rFonts w:cs="Arial"/>
                <w:sz w:val="20"/>
                <w:szCs w:val="20"/>
              </w:rPr>
              <w:t>VoO</w:t>
            </w:r>
          </w:p>
        </w:tc>
        <w:tc>
          <w:tcPr>
            <w:tcW w:w="6391" w:type="dxa"/>
          </w:tcPr>
          <w:p w14:paraId="27EBB68C" w14:textId="50A7977B" w:rsidR="0009686B" w:rsidRDefault="0009686B" w:rsidP="0009686B">
            <w:pPr>
              <w:spacing w:before="40" w:after="40"/>
              <w:ind w:left="0"/>
              <w:rPr>
                <w:rFonts w:cs="Arial"/>
                <w:sz w:val="20"/>
                <w:szCs w:val="20"/>
              </w:rPr>
            </w:pPr>
            <w:r>
              <w:rPr>
                <w:rFonts w:cs="Arial"/>
                <w:sz w:val="20"/>
                <w:szCs w:val="20"/>
              </w:rPr>
              <w:t>Vessel/s of Opportunity</w:t>
            </w:r>
          </w:p>
        </w:tc>
      </w:tr>
      <w:tr w:rsidR="0009686B" w:rsidRPr="00A81562" w14:paraId="58A4C845" w14:textId="77777777" w:rsidTr="006A59B6">
        <w:tc>
          <w:tcPr>
            <w:tcW w:w="2081" w:type="dxa"/>
          </w:tcPr>
          <w:p w14:paraId="47EDC40B" w14:textId="486B2B77" w:rsidR="0009686B" w:rsidRDefault="0009686B" w:rsidP="0009686B">
            <w:pPr>
              <w:spacing w:before="40" w:after="40"/>
              <w:ind w:left="0"/>
              <w:rPr>
                <w:rFonts w:cs="Arial"/>
                <w:sz w:val="20"/>
                <w:szCs w:val="20"/>
              </w:rPr>
            </w:pPr>
            <w:r w:rsidRPr="0009686B">
              <w:rPr>
                <w:rFonts w:cs="Arial"/>
                <w:sz w:val="20"/>
                <w:szCs w:val="20"/>
              </w:rPr>
              <w:t>VRLA</w:t>
            </w:r>
          </w:p>
        </w:tc>
        <w:tc>
          <w:tcPr>
            <w:tcW w:w="6391" w:type="dxa"/>
          </w:tcPr>
          <w:p w14:paraId="0786C79F" w14:textId="526F4FA4" w:rsidR="0009686B" w:rsidRDefault="0009686B" w:rsidP="0009686B">
            <w:pPr>
              <w:spacing w:before="40" w:after="40"/>
              <w:ind w:left="0"/>
              <w:rPr>
                <w:rFonts w:cs="Arial"/>
                <w:sz w:val="20"/>
                <w:szCs w:val="20"/>
              </w:rPr>
            </w:pPr>
            <w:r w:rsidRPr="0009686B">
              <w:rPr>
                <w:rFonts w:cs="Arial"/>
                <w:sz w:val="20"/>
                <w:szCs w:val="20"/>
              </w:rPr>
              <w:t>Victorian Rock Lobster Association</w:t>
            </w:r>
          </w:p>
        </w:tc>
      </w:tr>
      <w:tr w:rsidR="0009686B" w:rsidRPr="00A81562" w14:paraId="3DACA0EC" w14:textId="77777777" w:rsidTr="006A59B6">
        <w:tc>
          <w:tcPr>
            <w:tcW w:w="2081" w:type="dxa"/>
          </w:tcPr>
          <w:p w14:paraId="434653D3" w14:textId="134F3780" w:rsidR="0009686B" w:rsidRDefault="0009686B" w:rsidP="0009686B">
            <w:pPr>
              <w:spacing w:before="40" w:after="40"/>
              <w:ind w:left="0"/>
              <w:rPr>
                <w:rFonts w:cs="Arial"/>
                <w:sz w:val="20"/>
                <w:szCs w:val="20"/>
              </w:rPr>
            </w:pPr>
            <w:r w:rsidRPr="0009686B">
              <w:rPr>
                <w:rFonts w:cs="Arial"/>
                <w:sz w:val="20"/>
                <w:szCs w:val="20"/>
              </w:rPr>
              <w:t>VSFA</w:t>
            </w:r>
          </w:p>
        </w:tc>
        <w:tc>
          <w:tcPr>
            <w:tcW w:w="6391" w:type="dxa"/>
          </w:tcPr>
          <w:p w14:paraId="7C0A996B" w14:textId="6110D2B5" w:rsidR="0009686B" w:rsidRDefault="0009686B" w:rsidP="0009686B">
            <w:pPr>
              <w:spacing w:before="40" w:after="40"/>
              <w:ind w:left="0"/>
              <w:rPr>
                <w:rFonts w:cs="Arial"/>
                <w:sz w:val="20"/>
                <w:szCs w:val="20"/>
              </w:rPr>
            </w:pPr>
            <w:r w:rsidRPr="0009686B">
              <w:rPr>
                <w:rFonts w:cs="Arial"/>
                <w:sz w:val="20"/>
                <w:szCs w:val="20"/>
              </w:rPr>
              <w:t>Victorian Scallop Fisherman’s Association</w:t>
            </w:r>
          </w:p>
        </w:tc>
      </w:tr>
      <w:tr w:rsidR="0009686B" w:rsidRPr="00A81562" w14:paraId="43F9068F" w14:textId="77777777" w:rsidTr="006A59B6">
        <w:tc>
          <w:tcPr>
            <w:tcW w:w="2081" w:type="dxa"/>
          </w:tcPr>
          <w:p w14:paraId="7F4E7B90" w14:textId="5D706635" w:rsidR="0009686B" w:rsidRDefault="0009686B" w:rsidP="0009686B">
            <w:pPr>
              <w:spacing w:before="40" w:after="40"/>
              <w:ind w:left="0"/>
              <w:rPr>
                <w:rFonts w:cs="Arial"/>
                <w:sz w:val="20"/>
                <w:szCs w:val="20"/>
              </w:rPr>
            </w:pPr>
            <w:r w:rsidRPr="00A81562">
              <w:rPr>
                <w:rFonts w:cs="Arial"/>
                <w:sz w:val="20"/>
                <w:szCs w:val="20"/>
              </w:rPr>
              <w:t>WA</w:t>
            </w:r>
          </w:p>
        </w:tc>
        <w:tc>
          <w:tcPr>
            <w:tcW w:w="6391" w:type="dxa"/>
          </w:tcPr>
          <w:p w14:paraId="00E74970" w14:textId="3C0DF425" w:rsidR="0009686B" w:rsidRDefault="0009686B" w:rsidP="0009686B">
            <w:pPr>
              <w:spacing w:before="40" w:after="40"/>
              <w:ind w:left="0"/>
              <w:rPr>
                <w:rFonts w:cs="Arial"/>
                <w:sz w:val="20"/>
                <w:szCs w:val="20"/>
              </w:rPr>
            </w:pPr>
            <w:r w:rsidRPr="00A81562">
              <w:rPr>
                <w:rFonts w:cs="Arial"/>
                <w:sz w:val="20"/>
                <w:szCs w:val="20"/>
              </w:rPr>
              <w:t>Western Australia</w:t>
            </w:r>
            <w:r>
              <w:rPr>
                <w:rFonts w:cs="Arial"/>
                <w:sz w:val="20"/>
                <w:szCs w:val="20"/>
              </w:rPr>
              <w:t>/</w:t>
            </w:r>
            <w:r w:rsidRPr="00A81562">
              <w:rPr>
                <w:rFonts w:cs="Arial"/>
                <w:sz w:val="20"/>
                <w:szCs w:val="20"/>
              </w:rPr>
              <w:t>n</w:t>
            </w:r>
          </w:p>
        </w:tc>
      </w:tr>
    </w:tbl>
    <w:p w14:paraId="32045788" w14:textId="77777777" w:rsidR="006A59B6" w:rsidRDefault="006A59B6" w:rsidP="00410D2F"/>
    <w:p w14:paraId="2EF401DE" w14:textId="77777777" w:rsidR="00D8052B" w:rsidRDefault="00D8052B" w:rsidP="00410D2F"/>
    <w:p w14:paraId="53FEF603" w14:textId="77777777" w:rsidR="00EB435A" w:rsidRDefault="00EB435A">
      <w:pPr>
        <w:spacing w:line="240" w:lineRule="auto"/>
        <w:ind w:left="0"/>
        <w:rPr>
          <w:b/>
          <w:color w:val="808080" w:themeColor="background1" w:themeShade="80"/>
          <w:sz w:val="36"/>
          <w:szCs w:val="36"/>
        </w:rPr>
      </w:pPr>
      <w:r>
        <w:rPr>
          <w:b/>
          <w:color w:val="808080" w:themeColor="background1" w:themeShade="80"/>
          <w:sz w:val="36"/>
          <w:szCs w:val="36"/>
        </w:rPr>
        <w:br w:type="page"/>
      </w:r>
    </w:p>
    <w:p w14:paraId="10286FD1" w14:textId="0E364B99" w:rsidR="007B28BA" w:rsidRDefault="006D4FB3">
      <w:pPr>
        <w:spacing w:line="240" w:lineRule="auto"/>
        <w:ind w:left="0"/>
      </w:pPr>
      <w:r>
        <w:rPr>
          <w:b/>
          <w:color w:val="808080" w:themeColor="background1" w:themeShade="80"/>
          <w:sz w:val="36"/>
          <w:szCs w:val="36"/>
        </w:rPr>
        <w:lastRenderedPageBreak/>
        <w:t>Units of Measurement</w:t>
      </w:r>
    </w:p>
    <w:p w14:paraId="61F5A7AC" w14:textId="77777777" w:rsidR="006D4FB3" w:rsidRDefault="006D4FB3">
      <w:pPr>
        <w:spacing w:line="240" w:lineRule="auto"/>
        <w:ind w:left="0"/>
      </w:pPr>
    </w:p>
    <w:tbl>
      <w:tblPr>
        <w:tblStyle w:val="TableGrid"/>
        <w:tblW w:w="8472" w:type="dxa"/>
        <w:tblLook w:val="04A0" w:firstRow="1" w:lastRow="0" w:firstColumn="1" w:lastColumn="0" w:noHBand="0" w:noVBand="1"/>
      </w:tblPr>
      <w:tblGrid>
        <w:gridCol w:w="2081"/>
        <w:gridCol w:w="6391"/>
      </w:tblGrid>
      <w:tr w:rsidR="00EB435A" w:rsidRPr="00A81562" w14:paraId="290FC514" w14:textId="77777777" w:rsidTr="006D4FB3">
        <w:tc>
          <w:tcPr>
            <w:tcW w:w="2081" w:type="dxa"/>
          </w:tcPr>
          <w:p w14:paraId="23950C3E" w14:textId="6C5DF74A" w:rsidR="00EB435A" w:rsidRDefault="00EB435A" w:rsidP="006D4FB3">
            <w:pPr>
              <w:spacing w:before="40" w:after="40"/>
              <w:ind w:left="0"/>
              <w:rPr>
                <w:rFonts w:cs="Arial"/>
                <w:sz w:val="20"/>
                <w:szCs w:val="20"/>
              </w:rPr>
            </w:pPr>
            <w:r>
              <w:rPr>
                <w:rFonts w:cs="Arial"/>
                <w:sz w:val="20"/>
                <w:szCs w:val="20"/>
              </w:rPr>
              <w:t>°C</w:t>
            </w:r>
          </w:p>
        </w:tc>
        <w:tc>
          <w:tcPr>
            <w:tcW w:w="6391" w:type="dxa"/>
          </w:tcPr>
          <w:p w14:paraId="28037E44" w14:textId="26D59FBE" w:rsidR="00EB435A" w:rsidRDefault="00EB435A" w:rsidP="006D4FB3">
            <w:pPr>
              <w:spacing w:before="40" w:after="40"/>
              <w:ind w:left="0"/>
              <w:rPr>
                <w:rFonts w:cs="Arial"/>
                <w:sz w:val="20"/>
                <w:szCs w:val="20"/>
              </w:rPr>
            </w:pPr>
            <w:r>
              <w:rPr>
                <w:rFonts w:cs="Arial"/>
                <w:sz w:val="20"/>
                <w:szCs w:val="20"/>
              </w:rPr>
              <w:t>Degrees Celcius</w:t>
            </w:r>
          </w:p>
        </w:tc>
      </w:tr>
      <w:tr w:rsidR="00645D1D" w:rsidRPr="00A81562" w14:paraId="487B1892" w14:textId="77777777" w:rsidTr="006D4FB3">
        <w:tc>
          <w:tcPr>
            <w:tcW w:w="2081" w:type="dxa"/>
          </w:tcPr>
          <w:p w14:paraId="5B937AE4" w14:textId="77777777" w:rsidR="00645D1D" w:rsidRPr="00A81562" w:rsidRDefault="00645D1D" w:rsidP="006D4FB3">
            <w:pPr>
              <w:spacing w:before="40" w:after="40"/>
              <w:ind w:left="0"/>
              <w:rPr>
                <w:rFonts w:cs="Arial"/>
                <w:sz w:val="20"/>
                <w:szCs w:val="20"/>
              </w:rPr>
            </w:pPr>
            <w:r>
              <w:rPr>
                <w:rFonts w:cs="Arial"/>
                <w:sz w:val="20"/>
                <w:szCs w:val="20"/>
              </w:rPr>
              <w:t>bbl</w:t>
            </w:r>
          </w:p>
        </w:tc>
        <w:tc>
          <w:tcPr>
            <w:tcW w:w="6391" w:type="dxa"/>
          </w:tcPr>
          <w:p w14:paraId="43DE76A9" w14:textId="77777777" w:rsidR="00645D1D" w:rsidRPr="00A81562" w:rsidRDefault="00645D1D" w:rsidP="006D4FB3">
            <w:pPr>
              <w:spacing w:before="40" w:after="40"/>
              <w:ind w:left="0"/>
              <w:rPr>
                <w:rFonts w:cs="Arial"/>
                <w:sz w:val="20"/>
                <w:szCs w:val="20"/>
              </w:rPr>
            </w:pPr>
            <w:r>
              <w:rPr>
                <w:rFonts w:cs="Arial"/>
                <w:sz w:val="20"/>
                <w:szCs w:val="20"/>
              </w:rPr>
              <w:t xml:space="preserve">Barrel </w:t>
            </w:r>
          </w:p>
        </w:tc>
      </w:tr>
      <w:tr w:rsidR="00645D1D" w:rsidRPr="00A81562" w14:paraId="3EDF17DD" w14:textId="77777777" w:rsidTr="006D4FB3">
        <w:tc>
          <w:tcPr>
            <w:tcW w:w="2081" w:type="dxa"/>
          </w:tcPr>
          <w:p w14:paraId="356A7773" w14:textId="77777777" w:rsidR="00645D1D" w:rsidRDefault="00645D1D" w:rsidP="006D4FB3">
            <w:pPr>
              <w:spacing w:before="40" w:after="40"/>
              <w:ind w:left="0"/>
              <w:rPr>
                <w:rFonts w:cs="Arial"/>
                <w:sz w:val="20"/>
                <w:szCs w:val="20"/>
              </w:rPr>
            </w:pPr>
            <w:r>
              <w:rPr>
                <w:rFonts w:cs="Arial"/>
                <w:sz w:val="20"/>
                <w:szCs w:val="20"/>
              </w:rPr>
              <w:t>cui</w:t>
            </w:r>
          </w:p>
        </w:tc>
        <w:tc>
          <w:tcPr>
            <w:tcW w:w="6391" w:type="dxa"/>
          </w:tcPr>
          <w:p w14:paraId="50754B85" w14:textId="77777777" w:rsidR="00645D1D" w:rsidRDefault="00645D1D" w:rsidP="006D4FB3">
            <w:pPr>
              <w:spacing w:before="40" w:after="40"/>
              <w:ind w:left="0"/>
              <w:rPr>
                <w:rFonts w:cs="Arial"/>
                <w:sz w:val="20"/>
                <w:szCs w:val="20"/>
              </w:rPr>
            </w:pPr>
            <w:r>
              <w:rPr>
                <w:rFonts w:cs="Arial"/>
                <w:sz w:val="20"/>
                <w:szCs w:val="20"/>
              </w:rPr>
              <w:t>Cubic Inches</w:t>
            </w:r>
          </w:p>
        </w:tc>
      </w:tr>
      <w:tr w:rsidR="00645D1D" w:rsidRPr="00A81562" w14:paraId="73917C98" w14:textId="77777777" w:rsidTr="006D4FB3">
        <w:tc>
          <w:tcPr>
            <w:tcW w:w="2081" w:type="dxa"/>
          </w:tcPr>
          <w:p w14:paraId="0FA35E5E" w14:textId="77777777" w:rsidR="00645D1D" w:rsidRPr="00A81562" w:rsidRDefault="00645D1D" w:rsidP="006D4FB3">
            <w:pPr>
              <w:spacing w:before="40" w:after="40"/>
              <w:ind w:left="0"/>
              <w:rPr>
                <w:rFonts w:cs="Arial"/>
                <w:sz w:val="20"/>
                <w:szCs w:val="20"/>
              </w:rPr>
            </w:pPr>
            <w:r>
              <w:rPr>
                <w:rFonts w:cs="Arial"/>
                <w:sz w:val="20"/>
                <w:szCs w:val="20"/>
              </w:rPr>
              <w:t>dB</w:t>
            </w:r>
          </w:p>
        </w:tc>
        <w:tc>
          <w:tcPr>
            <w:tcW w:w="6391" w:type="dxa"/>
          </w:tcPr>
          <w:p w14:paraId="0967F0E7" w14:textId="6BE4C5B8" w:rsidR="00645D1D" w:rsidRPr="00A81562" w:rsidRDefault="00645D1D" w:rsidP="006D4FB3">
            <w:pPr>
              <w:spacing w:before="40" w:after="40"/>
              <w:ind w:left="0"/>
              <w:rPr>
                <w:rFonts w:cs="Arial"/>
                <w:sz w:val="20"/>
                <w:szCs w:val="20"/>
              </w:rPr>
            </w:pPr>
            <w:r>
              <w:rPr>
                <w:rFonts w:cs="Arial"/>
                <w:sz w:val="20"/>
                <w:szCs w:val="20"/>
              </w:rPr>
              <w:t>Decibel</w:t>
            </w:r>
            <w:r w:rsidR="00EB435A">
              <w:rPr>
                <w:rFonts w:cs="Arial"/>
                <w:sz w:val="20"/>
                <w:szCs w:val="20"/>
              </w:rPr>
              <w:t>/s</w:t>
            </w:r>
          </w:p>
        </w:tc>
      </w:tr>
      <w:tr w:rsidR="00EB435A" w:rsidRPr="00A81562" w14:paraId="2DF6B47B" w14:textId="77777777" w:rsidTr="006D4FB3">
        <w:tc>
          <w:tcPr>
            <w:tcW w:w="2081" w:type="dxa"/>
          </w:tcPr>
          <w:p w14:paraId="1410AB4C" w14:textId="6C769704" w:rsidR="00EB435A" w:rsidRDefault="00EB435A" w:rsidP="00A35DB3">
            <w:pPr>
              <w:spacing w:before="40" w:after="40"/>
              <w:ind w:left="0"/>
              <w:rPr>
                <w:rFonts w:cs="Arial"/>
                <w:sz w:val="20"/>
                <w:szCs w:val="20"/>
              </w:rPr>
            </w:pPr>
            <w:r>
              <w:rPr>
                <w:rFonts w:cs="Arial"/>
                <w:sz w:val="20"/>
                <w:szCs w:val="20"/>
              </w:rPr>
              <w:t>Hz</w:t>
            </w:r>
          </w:p>
        </w:tc>
        <w:tc>
          <w:tcPr>
            <w:tcW w:w="6391" w:type="dxa"/>
          </w:tcPr>
          <w:p w14:paraId="5E884CC9" w14:textId="1C8C6778" w:rsidR="00EB435A" w:rsidRDefault="00EB435A" w:rsidP="006D4FB3">
            <w:pPr>
              <w:spacing w:before="40" w:after="40"/>
              <w:ind w:left="0"/>
              <w:rPr>
                <w:rFonts w:cs="Arial"/>
                <w:sz w:val="20"/>
                <w:szCs w:val="20"/>
              </w:rPr>
            </w:pPr>
            <w:r>
              <w:rPr>
                <w:rFonts w:cs="Arial"/>
                <w:sz w:val="20"/>
                <w:szCs w:val="20"/>
              </w:rPr>
              <w:t>Hertz</w:t>
            </w:r>
          </w:p>
        </w:tc>
      </w:tr>
      <w:tr w:rsidR="00EB435A" w:rsidRPr="00A81562" w14:paraId="304E06F8" w14:textId="77777777" w:rsidTr="006D4FB3">
        <w:tc>
          <w:tcPr>
            <w:tcW w:w="2081" w:type="dxa"/>
          </w:tcPr>
          <w:p w14:paraId="4705C30F" w14:textId="516A398A" w:rsidR="00EB435A" w:rsidRDefault="00EB435A" w:rsidP="00A35DB3">
            <w:pPr>
              <w:spacing w:before="40" w:after="40"/>
              <w:ind w:left="0"/>
              <w:rPr>
                <w:rFonts w:cs="Arial"/>
                <w:sz w:val="20"/>
                <w:szCs w:val="20"/>
              </w:rPr>
            </w:pPr>
            <w:r>
              <w:rPr>
                <w:rFonts w:cs="Arial"/>
                <w:sz w:val="20"/>
                <w:szCs w:val="20"/>
              </w:rPr>
              <w:t>kHz</w:t>
            </w:r>
          </w:p>
        </w:tc>
        <w:tc>
          <w:tcPr>
            <w:tcW w:w="6391" w:type="dxa"/>
          </w:tcPr>
          <w:p w14:paraId="4318FA7B" w14:textId="732E3FE4" w:rsidR="00EB435A" w:rsidRDefault="00EB435A" w:rsidP="006D4FB3">
            <w:pPr>
              <w:spacing w:before="40" w:after="40"/>
              <w:ind w:left="0"/>
              <w:rPr>
                <w:rFonts w:cs="Arial"/>
                <w:sz w:val="20"/>
                <w:szCs w:val="20"/>
              </w:rPr>
            </w:pPr>
            <w:r>
              <w:rPr>
                <w:rFonts w:cs="Arial"/>
                <w:sz w:val="20"/>
                <w:szCs w:val="20"/>
              </w:rPr>
              <w:t>Kilohertz</w:t>
            </w:r>
          </w:p>
        </w:tc>
      </w:tr>
      <w:tr w:rsidR="00645D1D" w:rsidRPr="00A81562" w14:paraId="22225C91" w14:textId="77777777" w:rsidTr="006D4FB3">
        <w:tc>
          <w:tcPr>
            <w:tcW w:w="2081" w:type="dxa"/>
          </w:tcPr>
          <w:p w14:paraId="5762BA9C" w14:textId="0CD09F1E" w:rsidR="00645D1D" w:rsidRPr="00A81562" w:rsidRDefault="00645D1D" w:rsidP="00A35DB3">
            <w:pPr>
              <w:spacing w:before="40" w:after="40"/>
              <w:ind w:left="0"/>
              <w:rPr>
                <w:rFonts w:cs="Arial"/>
                <w:sz w:val="20"/>
                <w:szCs w:val="20"/>
              </w:rPr>
            </w:pPr>
            <w:r>
              <w:rPr>
                <w:rFonts w:cs="Arial"/>
                <w:sz w:val="20"/>
                <w:szCs w:val="20"/>
              </w:rPr>
              <w:t>km</w:t>
            </w:r>
          </w:p>
        </w:tc>
        <w:tc>
          <w:tcPr>
            <w:tcW w:w="6391" w:type="dxa"/>
          </w:tcPr>
          <w:p w14:paraId="019DE9E3" w14:textId="77777777" w:rsidR="00645D1D" w:rsidRPr="00A81562" w:rsidRDefault="00645D1D" w:rsidP="006D4FB3">
            <w:pPr>
              <w:spacing w:before="40" w:after="40"/>
              <w:ind w:left="0"/>
              <w:rPr>
                <w:rFonts w:cs="Arial"/>
                <w:sz w:val="20"/>
                <w:szCs w:val="20"/>
              </w:rPr>
            </w:pPr>
            <w:r>
              <w:rPr>
                <w:rFonts w:cs="Arial"/>
                <w:sz w:val="20"/>
                <w:szCs w:val="20"/>
              </w:rPr>
              <w:t>Kilometre/s</w:t>
            </w:r>
          </w:p>
        </w:tc>
      </w:tr>
      <w:tr w:rsidR="00EB435A" w:rsidRPr="00A81562" w14:paraId="665C95A8" w14:textId="77777777" w:rsidTr="006D4FB3">
        <w:tc>
          <w:tcPr>
            <w:tcW w:w="2081" w:type="dxa"/>
          </w:tcPr>
          <w:p w14:paraId="656CDBE5" w14:textId="775DA02E" w:rsidR="00EB435A" w:rsidRDefault="00EB435A" w:rsidP="00A35DB3">
            <w:pPr>
              <w:spacing w:before="40" w:after="40"/>
              <w:ind w:left="0"/>
              <w:rPr>
                <w:rFonts w:cs="Arial"/>
                <w:sz w:val="20"/>
                <w:szCs w:val="20"/>
              </w:rPr>
            </w:pPr>
            <w:r>
              <w:rPr>
                <w:rFonts w:cs="Arial"/>
                <w:sz w:val="20"/>
                <w:szCs w:val="20"/>
              </w:rPr>
              <w:t>km/hr</w:t>
            </w:r>
          </w:p>
        </w:tc>
        <w:tc>
          <w:tcPr>
            <w:tcW w:w="6391" w:type="dxa"/>
          </w:tcPr>
          <w:p w14:paraId="1C3CDFA6" w14:textId="25C08C11" w:rsidR="00EB435A" w:rsidRDefault="00EB435A" w:rsidP="006D4FB3">
            <w:pPr>
              <w:spacing w:before="40" w:after="40"/>
              <w:ind w:left="0"/>
              <w:rPr>
                <w:rFonts w:cs="Arial"/>
                <w:sz w:val="20"/>
                <w:szCs w:val="20"/>
              </w:rPr>
            </w:pPr>
            <w:r>
              <w:rPr>
                <w:rFonts w:cs="Arial"/>
                <w:sz w:val="20"/>
                <w:szCs w:val="20"/>
              </w:rPr>
              <w:t>Kilometres per hour</w:t>
            </w:r>
          </w:p>
        </w:tc>
      </w:tr>
      <w:tr w:rsidR="00645D1D" w14:paraId="3153FF71" w14:textId="77777777" w:rsidTr="006D4FB3">
        <w:tc>
          <w:tcPr>
            <w:tcW w:w="2081" w:type="dxa"/>
          </w:tcPr>
          <w:p w14:paraId="1B45FBDF" w14:textId="34BF6C7F" w:rsidR="00645D1D" w:rsidRDefault="00645D1D" w:rsidP="006D4FB3">
            <w:pPr>
              <w:spacing w:before="40" w:after="40"/>
              <w:ind w:left="0"/>
              <w:rPr>
                <w:rFonts w:cs="Arial"/>
                <w:sz w:val="20"/>
                <w:szCs w:val="20"/>
              </w:rPr>
            </w:pPr>
            <w:r>
              <w:rPr>
                <w:rFonts w:cs="Arial"/>
                <w:sz w:val="20"/>
                <w:szCs w:val="20"/>
              </w:rPr>
              <w:t>m</w:t>
            </w:r>
          </w:p>
        </w:tc>
        <w:tc>
          <w:tcPr>
            <w:tcW w:w="6391" w:type="dxa"/>
          </w:tcPr>
          <w:p w14:paraId="66DC6D25" w14:textId="77777777" w:rsidR="00645D1D" w:rsidRDefault="00645D1D" w:rsidP="006D4FB3">
            <w:pPr>
              <w:spacing w:before="40" w:after="40"/>
              <w:ind w:left="0"/>
              <w:rPr>
                <w:rFonts w:cs="Arial"/>
                <w:sz w:val="20"/>
                <w:szCs w:val="20"/>
              </w:rPr>
            </w:pPr>
            <w:r>
              <w:rPr>
                <w:rFonts w:cs="Arial"/>
                <w:sz w:val="20"/>
                <w:szCs w:val="20"/>
              </w:rPr>
              <w:t>Metre/s</w:t>
            </w:r>
          </w:p>
        </w:tc>
      </w:tr>
      <w:tr w:rsidR="00645D1D" w:rsidRPr="00A81562" w14:paraId="0B13832C" w14:textId="77777777" w:rsidTr="006D4FB3">
        <w:tc>
          <w:tcPr>
            <w:tcW w:w="2081" w:type="dxa"/>
          </w:tcPr>
          <w:p w14:paraId="7E7B6FDC" w14:textId="77777777" w:rsidR="00645D1D" w:rsidRPr="00A81562" w:rsidRDefault="00645D1D" w:rsidP="006D4FB3">
            <w:pPr>
              <w:spacing w:before="40" w:after="40"/>
              <w:ind w:left="0"/>
              <w:rPr>
                <w:rFonts w:cs="Arial"/>
                <w:sz w:val="20"/>
                <w:szCs w:val="20"/>
              </w:rPr>
            </w:pPr>
            <w:r>
              <w:rPr>
                <w:rFonts w:cs="Arial"/>
                <w:sz w:val="20"/>
                <w:szCs w:val="20"/>
              </w:rPr>
              <w:t>MMbbl</w:t>
            </w:r>
          </w:p>
        </w:tc>
        <w:tc>
          <w:tcPr>
            <w:tcW w:w="6391" w:type="dxa"/>
          </w:tcPr>
          <w:p w14:paraId="607F34A5" w14:textId="77777777" w:rsidR="00645D1D" w:rsidRPr="00A81562" w:rsidRDefault="00645D1D" w:rsidP="006D4FB3">
            <w:pPr>
              <w:spacing w:before="40" w:after="40"/>
              <w:ind w:left="0"/>
              <w:rPr>
                <w:rFonts w:cs="Arial"/>
                <w:sz w:val="20"/>
                <w:szCs w:val="20"/>
              </w:rPr>
            </w:pPr>
            <w:r>
              <w:rPr>
                <w:rFonts w:cs="Arial"/>
                <w:sz w:val="20"/>
                <w:szCs w:val="20"/>
              </w:rPr>
              <w:t>Million barrels</w:t>
            </w:r>
          </w:p>
        </w:tc>
      </w:tr>
      <w:tr w:rsidR="00645D1D" w:rsidRPr="00A81562" w14:paraId="524A7153" w14:textId="77777777" w:rsidTr="006D4FB3">
        <w:tc>
          <w:tcPr>
            <w:tcW w:w="2081" w:type="dxa"/>
          </w:tcPr>
          <w:p w14:paraId="069BF1AD" w14:textId="77777777" w:rsidR="00645D1D" w:rsidRPr="00A81562" w:rsidRDefault="00645D1D" w:rsidP="006D4FB3">
            <w:pPr>
              <w:spacing w:before="40" w:after="40"/>
              <w:ind w:left="0"/>
              <w:rPr>
                <w:rFonts w:cs="Arial"/>
                <w:sz w:val="20"/>
                <w:szCs w:val="20"/>
              </w:rPr>
            </w:pPr>
            <w:r>
              <w:rPr>
                <w:rFonts w:cs="Arial"/>
                <w:sz w:val="20"/>
                <w:szCs w:val="20"/>
              </w:rPr>
              <w:t>MMscf</w:t>
            </w:r>
          </w:p>
        </w:tc>
        <w:tc>
          <w:tcPr>
            <w:tcW w:w="6391" w:type="dxa"/>
          </w:tcPr>
          <w:p w14:paraId="2793204A" w14:textId="77777777" w:rsidR="00645D1D" w:rsidRPr="00A81562" w:rsidRDefault="00645D1D" w:rsidP="006D4FB3">
            <w:pPr>
              <w:spacing w:before="40" w:after="40"/>
              <w:ind w:left="0"/>
              <w:rPr>
                <w:rFonts w:cs="Arial"/>
                <w:sz w:val="20"/>
                <w:szCs w:val="20"/>
              </w:rPr>
            </w:pPr>
            <w:r>
              <w:rPr>
                <w:rFonts w:cs="Arial"/>
                <w:sz w:val="20"/>
                <w:szCs w:val="20"/>
              </w:rPr>
              <w:t>Million Standard Cubic Feet</w:t>
            </w:r>
          </w:p>
        </w:tc>
      </w:tr>
      <w:tr w:rsidR="00645D1D" w:rsidRPr="00A81562" w14:paraId="41465241" w14:textId="77777777" w:rsidTr="006D4FB3">
        <w:tc>
          <w:tcPr>
            <w:tcW w:w="2081" w:type="dxa"/>
          </w:tcPr>
          <w:p w14:paraId="0CEA7112" w14:textId="7F26F4AA" w:rsidR="00645D1D" w:rsidRPr="00A81562" w:rsidRDefault="00645D1D" w:rsidP="00A35DB3">
            <w:pPr>
              <w:spacing w:before="40" w:after="40"/>
              <w:ind w:left="0"/>
              <w:rPr>
                <w:rFonts w:cs="Arial"/>
                <w:sz w:val="20"/>
                <w:szCs w:val="20"/>
              </w:rPr>
            </w:pPr>
            <w:r>
              <w:rPr>
                <w:rFonts w:cs="Arial"/>
                <w:sz w:val="20"/>
                <w:szCs w:val="20"/>
              </w:rPr>
              <w:t>nm</w:t>
            </w:r>
          </w:p>
        </w:tc>
        <w:tc>
          <w:tcPr>
            <w:tcW w:w="6391" w:type="dxa"/>
          </w:tcPr>
          <w:p w14:paraId="190072F1" w14:textId="77777777" w:rsidR="00645D1D" w:rsidRPr="00A81562" w:rsidRDefault="00645D1D" w:rsidP="006D4FB3">
            <w:pPr>
              <w:spacing w:before="40" w:after="40"/>
              <w:ind w:left="0"/>
              <w:rPr>
                <w:rFonts w:cs="Arial"/>
                <w:sz w:val="20"/>
                <w:szCs w:val="20"/>
              </w:rPr>
            </w:pPr>
            <w:r>
              <w:rPr>
                <w:rFonts w:cs="Arial"/>
                <w:sz w:val="20"/>
                <w:szCs w:val="20"/>
              </w:rPr>
              <w:t>Nautical mile/s</w:t>
            </w:r>
          </w:p>
        </w:tc>
      </w:tr>
      <w:tr w:rsidR="00645D1D" w:rsidRPr="00A81562" w14:paraId="73D7F997" w14:textId="77777777" w:rsidTr="006D4FB3">
        <w:tc>
          <w:tcPr>
            <w:tcW w:w="2081" w:type="dxa"/>
          </w:tcPr>
          <w:p w14:paraId="41CE6520" w14:textId="77777777" w:rsidR="00645D1D" w:rsidRPr="00A81562" w:rsidRDefault="00645D1D" w:rsidP="006D4FB3">
            <w:pPr>
              <w:spacing w:before="40" w:after="40"/>
              <w:ind w:left="0"/>
              <w:rPr>
                <w:rFonts w:cs="Arial"/>
                <w:sz w:val="20"/>
                <w:szCs w:val="20"/>
              </w:rPr>
            </w:pPr>
            <w:r>
              <w:rPr>
                <w:rFonts w:cs="Arial"/>
                <w:sz w:val="20"/>
                <w:szCs w:val="20"/>
              </w:rPr>
              <w:t>PK</w:t>
            </w:r>
          </w:p>
        </w:tc>
        <w:tc>
          <w:tcPr>
            <w:tcW w:w="6391" w:type="dxa"/>
          </w:tcPr>
          <w:p w14:paraId="260A4A7A" w14:textId="77777777" w:rsidR="00645D1D" w:rsidRPr="00A81562" w:rsidRDefault="00645D1D" w:rsidP="006D4FB3">
            <w:pPr>
              <w:spacing w:before="40" w:after="40"/>
              <w:ind w:left="0"/>
              <w:rPr>
                <w:rFonts w:cs="Arial"/>
                <w:sz w:val="20"/>
                <w:szCs w:val="20"/>
              </w:rPr>
            </w:pPr>
            <w:r>
              <w:rPr>
                <w:rFonts w:cs="Arial"/>
                <w:sz w:val="20"/>
                <w:szCs w:val="20"/>
              </w:rPr>
              <w:t>Peak</w:t>
            </w:r>
          </w:p>
        </w:tc>
      </w:tr>
      <w:tr w:rsidR="00645D1D" w:rsidRPr="00A81562" w14:paraId="656B0BAE" w14:textId="77777777" w:rsidTr="006D4FB3">
        <w:tc>
          <w:tcPr>
            <w:tcW w:w="2081" w:type="dxa"/>
          </w:tcPr>
          <w:p w14:paraId="3F8F1CCD" w14:textId="77777777" w:rsidR="00645D1D" w:rsidRPr="00A81562" w:rsidRDefault="00645D1D" w:rsidP="006D4FB3">
            <w:pPr>
              <w:spacing w:before="40" w:after="40"/>
              <w:ind w:left="0"/>
              <w:rPr>
                <w:rFonts w:cs="Arial"/>
                <w:sz w:val="20"/>
                <w:szCs w:val="20"/>
              </w:rPr>
            </w:pPr>
            <w:r>
              <w:rPr>
                <w:rFonts w:cs="Arial"/>
                <w:sz w:val="20"/>
                <w:szCs w:val="20"/>
              </w:rPr>
              <w:t>PK-PK</w:t>
            </w:r>
          </w:p>
        </w:tc>
        <w:tc>
          <w:tcPr>
            <w:tcW w:w="6391" w:type="dxa"/>
          </w:tcPr>
          <w:p w14:paraId="7050C38E" w14:textId="77777777" w:rsidR="00645D1D" w:rsidRPr="00A81562" w:rsidRDefault="00645D1D" w:rsidP="006D4FB3">
            <w:pPr>
              <w:spacing w:before="40" w:after="40"/>
              <w:ind w:left="0"/>
              <w:rPr>
                <w:rFonts w:cs="Arial"/>
                <w:sz w:val="20"/>
                <w:szCs w:val="20"/>
              </w:rPr>
            </w:pPr>
            <w:r>
              <w:rPr>
                <w:rFonts w:cs="Arial"/>
                <w:sz w:val="20"/>
                <w:szCs w:val="20"/>
              </w:rPr>
              <w:t>Peak-to-Peak</w:t>
            </w:r>
          </w:p>
        </w:tc>
      </w:tr>
      <w:tr w:rsidR="00645D1D" w:rsidRPr="00A81562" w14:paraId="10CCC1D8" w14:textId="77777777" w:rsidTr="006D4FB3">
        <w:tc>
          <w:tcPr>
            <w:tcW w:w="2081" w:type="dxa"/>
          </w:tcPr>
          <w:p w14:paraId="56ABFE08" w14:textId="77777777" w:rsidR="00645D1D" w:rsidRDefault="00645D1D" w:rsidP="00A35DB3">
            <w:pPr>
              <w:spacing w:before="40" w:after="40"/>
              <w:ind w:left="0"/>
              <w:rPr>
                <w:rFonts w:cs="Arial"/>
                <w:sz w:val="20"/>
                <w:szCs w:val="20"/>
              </w:rPr>
            </w:pPr>
            <w:r>
              <w:rPr>
                <w:rFonts w:cs="Arial"/>
                <w:sz w:val="20"/>
                <w:szCs w:val="20"/>
              </w:rPr>
              <w:t>psi</w:t>
            </w:r>
          </w:p>
        </w:tc>
        <w:tc>
          <w:tcPr>
            <w:tcW w:w="6391" w:type="dxa"/>
          </w:tcPr>
          <w:p w14:paraId="1F3D615C" w14:textId="77777777" w:rsidR="00645D1D" w:rsidRDefault="00645D1D" w:rsidP="006D4FB3">
            <w:pPr>
              <w:spacing w:before="40" w:after="40"/>
              <w:ind w:left="0"/>
              <w:rPr>
                <w:rFonts w:cs="Arial"/>
                <w:sz w:val="20"/>
                <w:szCs w:val="20"/>
              </w:rPr>
            </w:pPr>
            <w:r>
              <w:rPr>
                <w:rFonts w:cs="Arial"/>
                <w:sz w:val="20"/>
                <w:szCs w:val="20"/>
              </w:rPr>
              <w:t>Pounds per Square Inch</w:t>
            </w:r>
          </w:p>
        </w:tc>
      </w:tr>
      <w:tr w:rsidR="00645D1D" w:rsidRPr="00A81562" w14:paraId="7993C295" w14:textId="77777777" w:rsidTr="006D4FB3">
        <w:tc>
          <w:tcPr>
            <w:tcW w:w="2081" w:type="dxa"/>
          </w:tcPr>
          <w:p w14:paraId="1A353085" w14:textId="77777777" w:rsidR="00645D1D" w:rsidRPr="00A81562" w:rsidRDefault="00645D1D" w:rsidP="006D4FB3">
            <w:pPr>
              <w:spacing w:before="40" w:after="40"/>
              <w:ind w:left="0"/>
              <w:rPr>
                <w:rFonts w:cs="Arial"/>
                <w:sz w:val="20"/>
                <w:szCs w:val="20"/>
              </w:rPr>
            </w:pPr>
            <w:r>
              <w:rPr>
                <w:rFonts w:cs="Arial"/>
                <w:sz w:val="20"/>
                <w:szCs w:val="20"/>
              </w:rPr>
              <w:t>RMS</w:t>
            </w:r>
          </w:p>
        </w:tc>
        <w:tc>
          <w:tcPr>
            <w:tcW w:w="6391" w:type="dxa"/>
          </w:tcPr>
          <w:p w14:paraId="059328E0" w14:textId="77777777" w:rsidR="00645D1D" w:rsidRPr="00A81562" w:rsidRDefault="00645D1D" w:rsidP="006D4FB3">
            <w:pPr>
              <w:spacing w:before="40" w:after="40"/>
              <w:ind w:left="0"/>
              <w:rPr>
                <w:rFonts w:cs="Arial"/>
                <w:sz w:val="20"/>
                <w:szCs w:val="20"/>
              </w:rPr>
            </w:pPr>
            <w:r>
              <w:rPr>
                <w:rFonts w:cs="Arial"/>
                <w:sz w:val="20"/>
                <w:szCs w:val="20"/>
              </w:rPr>
              <w:t>Root Mean Square</w:t>
            </w:r>
          </w:p>
        </w:tc>
      </w:tr>
      <w:tr w:rsidR="00645D1D" w:rsidRPr="00A81562" w14:paraId="79F47FF2" w14:textId="77777777" w:rsidTr="006D4FB3">
        <w:tc>
          <w:tcPr>
            <w:tcW w:w="2081" w:type="dxa"/>
          </w:tcPr>
          <w:p w14:paraId="349CCA96" w14:textId="77777777" w:rsidR="00645D1D" w:rsidRDefault="00645D1D" w:rsidP="006D4FB3">
            <w:pPr>
              <w:spacing w:before="40" w:after="40"/>
              <w:ind w:left="0"/>
              <w:rPr>
                <w:rFonts w:cs="Arial"/>
                <w:sz w:val="20"/>
                <w:szCs w:val="20"/>
              </w:rPr>
            </w:pPr>
            <w:r>
              <w:rPr>
                <w:rFonts w:cs="Arial"/>
                <w:sz w:val="20"/>
                <w:szCs w:val="20"/>
              </w:rPr>
              <w:t>SEL</w:t>
            </w:r>
          </w:p>
        </w:tc>
        <w:tc>
          <w:tcPr>
            <w:tcW w:w="6391" w:type="dxa"/>
          </w:tcPr>
          <w:p w14:paraId="7E14AB17" w14:textId="77777777" w:rsidR="00645D1D" w:rsidRDefault="00645D1D" w:rsidP="006D4FB3">
            <w:pPr>
              <w:spacing w:before="40" w:after="40"/>
              <w:ind w:left="0"/>
              <w:rPr>
                <w:rFonts w:cs="Arial"/>
                <w:sz w:val="20"/>
                <w:szCs w:val="20"/>
              </w:rPr>
            </w:pPr>
            <w:r>
              <w:rPr>
                <w:rFonts w:cs="Arial"/>
                <w:sz w:val="20"/>
                <w:szCs w:val="20"/>
              </w:rPr>
              <w:t>Sound Exposure Level</w:t>
            </w:r>
          </w:p>
        </w:tc>
      </w:tr>
      <w:tr w:rsidR="00645D1D" w:rsidRPr="00A81562" w14:paraId="6F7E0B9C" w14:textId="77777777" w:rsidTr="006D4FB3">
        <w:tc>
          <w:tcPr>
            <w:tcW w:w="2081" w:type="dxa"/>
          </w:tcPr>
          <w:p w14:paraId="33DD6B04" w14:textId="77777777" w:rsidR="00645D1D" w:rsidRDefault="00645D1D" w:rsidP="006D4FB3">
            <w:pPr>
              <w:spacing w:before="40" w:after="40"/>
              <w:ind w:left="0"/>
              <w:rPr>
                <w:rFonts w:cs="Arial"/>
                <w:sz w:val="20"/>
                <w:szCs w:val="20"/>
              </w:rPr>
            </w:pPr>
            <w:r>
              <w:rPr>
                <w:rFonts w:cs="Arial"/>
                <w:sz w:val="20"/>
                <w:szCs w:val="20"/>
              </w:rPr>
              <w:t>SEL</w:t>
            </w:r>
            <w:r w:rsidRPr="00E95742">
              <w:rPr>
                <w:rFonts w:cs="Arial"/>
                <w:sz w:val="20"/>
                <w:szCs w:val="20"/>
                <w:vertAlign w:val="subscript"/>
              </w:rPr>
              <w:t>24h</w:t>
            </w:r>
          </w:p>
        </w:tc>
        <w:tc>
          <w:tcPr>
            <w:tcW w:w="6391" w:type="dxa"/>
          </w:tcPr>
          <w:p w14:paraId="505F34EB" w14:textId="77777777" w:rsidR="00645D1D" w:rsidRDefault="00645D1D" w:rsidP="006D4FB3">
            <w:pPr>
              <w:spacing w:before="40" w:after="40"/>
              <w:ind w:left="0"/>
              <w:rPr>
                <w:rFonts w:cs="Arial"/>
                <w:sz w:val="20"/>
                <w:szCs w:val="20"/>
              </w:rPr>
            </w:pPr>
            <w:r>
              <w:rPr>
                <w:rFonts w:cs="Arial"/>
                <w:sz w:val="20"/>
                <w:szCs w:val="20"/>
              </w:rPr>
              <w:t>Sound Exposure Level over 24 hours</w:t>
            </w:r>
          </w:p>
        </w:tc>
      </w:tr>
      <w:tr w:rsidR="00645D1D" w:rsidRPr="00A81562" w14:paraId="68DBC227" w14:textId="77777777" w:rsidTr="006D4FB3">
        <w:tc>
          <w:tcPr>
            <w:tcW w:w="2081" w:type="dxa"/>
          </w:tcPr>
          <w:p w14:paraId="5190639F" w14:textId="77777777" w:rsidR="00645D1D" w:rsidRDefault="00645D1D" w:rsidP="006D4FB3">
            <w:pPr>
              <w:spacing w:before="40" w:after="40"/>
              <w:ind w:left="0"/>
              <w:rPr>
                <w:rFonts w:cs="Arial"/>
                <w:sz w:val="20"/>
                <w:szCs w:val="20"/>
              </w:rPr>
            </w:pPr>
            <w:r>
              <w:rPr>
                <w:rFonts w:cs="Arial"/>
                <w:sz w:val="20"/>
                <w:szCs w:val="20"/>
              </w:rPr>
              <w:t>SPL</w:t>
            </w:r>
          </w:p>
        </w:tc>
        <w:tc>
          <w:tcPr>
            <w:tcW w:w="6391" w:type="dxa"/>
          </w:tcPr>
          <w:p w14:paraId="2B4A9FA8" w14:textId="77777777" w:rsidR="00645D1D" w:rsidRDefault="00645D1D" w:rsidP="006D4FB3">
            <w:pPr>
              <w:spacing w:before="40" w:after="40"/>
              <w:ind w:left="0"/>
              <w:rPr>
                <w:rFonts w:cs="Arial"/>
                <w:sz w:val="20"/>
                <w:szCs w:val="20"/>
              </w:rPr>
            </w:pPr>
            <w:r>
              <w:rPr>
                <w:rFonts w:cs="Arial"/>
                <w:sz w:val="20"/>
                <w:szCs w:val="20"/>
              </w:rPr>
              <w:t>Sound Pressure Level</w:t>
            </w:r>
          </w:p>
        </w:tc>
      </w:tr>
    </w:tbl>
    <w:p w14:paraId="3CEE50E4" w14:textId="77777777" w:rsidR="006D4FB3" w:rsidRDefault="006D4FB3">
      <w:pPr>
        <w:spacing w:line="240" w:lineRule="auto"/>
        <w:ind w:left="0"/>
      </w:pPr>
    </w:p>
    <w:p w14:paraId="282E4F99" w14:textId="672EF6AB" w:rsidR="006D4FB3" w:rsidRDefault="006D4FB3">
      <w:pPr>
        <w:spacing w:line="240" w:lineRule="auto"/>
        <w:ind w:left="0"/>
      </w:pPr>
    </w:p>
    <w:p w14:paraId="28B86CA8" w14:textId="12D62485" w:rsidR="005C5B66" w:rsidRDefault="005C5B66">
      <w:pPr>
        <w:spacing w:line="240" w:lineRule="auto"/>
        <w:ind w:left="0"/>
        <w:sectPr w:rsidR="005C5B66" w:rsidSect="00191E8E">
          <w:pgSz w:w="11906" w:h="16838" w:code="9"/>
          <w:pgMar w:top="1930" w:right="1800" w:bottom="1440" w:left="1800" w:header="994" w:footer="706" w:gutter="0"/>
          <w:pgNumType w:fmt="lowerRoman"/>
          <w:cols w:space="708"/>
          <w:docGrid w:linePitch="360"/>
        </w:sectPr>
      </w:pPr>
    </w:p>
    <w:p w14:paraId="7A5656C0" w14:textId="77777777" w:rsidR="006E3F8B" w:rsidRPr="004A2008" w:rsidRDefault="006E3F8B" w:rsidP="00EC635A">
      <w:pPr>
        <w:pStyle w:val="Heading1"/>
        <w:keepLines/>
        <w:numPr>
          <w:ilvl w:val="0"/>
          <w:numId w:val="1"/>
        </w:numPr>
        <w:tabs>
          <w:tab w:val="clear" w:pos="360"/>
        </w:tabs>
        <w:spacing w:before="520" w:after="480" w:line="240" w:lineRule="auto"/>
        <w:rPr>
          <w:rFonts w:cs="Times New Roman"/>
          <w:b/>
          <w:color w:val="064EA8"/>
          <w:kern w:val="0"/>
          <w:sz w:val="36"/>
          <w:lang w:eastAsia="en-US"/>
        </w:rPr>
      </w:pPr>
      <w:bookmarkStart w:id="1" w:name="_Toc375214490"/>
      <w:r w:rsidRPr="004A2008">
        <w:rPr>
          <w:rFonts w:cs="Times New Roman"/>
          <w:b/>
          <w:color w:val="064EA8"/>
          <w:kern w:val="0"/>
          <w:sz w:val="36"/>
          <w:lang w:eastAsia="en-US"/>
        </w:rPr>
        <w:lastRenderedPageBreak/>
        <w:t>Introduction</w:t>
      </w:r>
      <w:bookmarkEnd w:id="1"/>
      <w:r w:rsidRPr="004A2008">
        <w:rPr>
          <w:rFonts w:cs="Times New Roman"/>
          <w:b/>
          <w:color w:val="064EA8"/>
          <w:kern w:val="0"/>
          <w:sz w:val="36"/>
          <w:lang w:eastAsia="en-US"/>
        </w:rPr>
        <w:t xml:space="preserve"> </w:t>
      </w:r>
    </w:p>
    <w:p w14:paraId="5D4AFBEF" w14:textId="77777777" w:rsidR="006E3F8B" w:rsidRPr="00EC635A" w:rsidRDefault="002A2AA6" w:rsidP="00EC635A">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2" w:name="_Toc375214491"/>
      <w:r w:rsidRPr="00EC635A">
        <w:rPr>
          <w:rFonts w:cs="Times New Roman"/>
          <w:iCs w:val="0"/>
          <w:color w:val="064EA8"/>
          <w:szCs w:val="26"/>
          <w:lang w:eastAsia="en-US"/>
        </w:rPr>
        <w:t>Background</w:t>
      </w:r>
      <w:bookmarkEnd w:id="2"/>
    </w:p>
    <w:p w14:paraId="20AFE727" w14:textId="77777777" w:rsidR="0003169A" w:rsidRPr="001E4C83" w:rsidRDefault="0003169A" w:rsidP="00EC635A">
      <w:pPr>
        <w:pStyle w:val="bodycopy"/>
        <w:rPr>
          <w:rFonts w:ascii="Arial" w:hAnsi="Arial"/>
          <w:sz w:val="22"/>
          <w:szCs w:val="22"/>
        </w:rPr>
      </w:pPr>
      <w:r w:rsidRPr="001E4C83">
        <w:rPr>
          <w:rFonts w:ascii="Arial" w:hAnsi="Arial"/>
          <w:sz w:val="22"/>
          <w:szCs w:val="22"/>
        </w:rPr>
        <w:t xml:space="preserve">The CarbonNet project </w:t>
      </w:r>
      <w:r w:rsidR="002A2AA6" w:rsidRPr="001E4C83">
        <w:rPr>
          <w:rFonts w:ascii="Arial" w:hAnsi="Arial"/>
          <w:sz w:val="22"/>
          <w:szCs w:val="22"/>
        </w:rPr>
        <w:t xml:space="preserve">(the ‘Project’) </w:t>
      </w:r>
      <w:r w:rsidRPr="001E4C83">
        <w:rPr>
          <w:rFonts w:ascii="Arial" w:hAnsi="Arial"/>
          <w:sz w:val="22"/>
          <w:szCs w:val="22"/>
        </w:rPr>
        <w:t>is investigating the potential for establishing a world class, commercial scale carbon capture and storage (CCS) network in Gippsland. The network would bring together multiple carbon dioxide (CO</w:t>
      </w:r>
      <w:r w:rsidRPr="001E4C83">
        <w:rPr>
          <w:rFonts w:ascii="Arial" w:hAnsi="Arial"/>
          <w:sz w:val="22"/>
          <w:szCs w:val="22"/>
          <w:vertAlign w:val="subscript"/>
        </w:rPr>
        <w:t>2</w:t>
      </w:r>
      <w:r w:rsidRPr="001E4C83">
        <w:rPr>
          <w:rFonts w:ascii="Arial" w:hAnsi="Arial"/>
          <w:sz w:val="22"/>
          <w:szCs w:val="22"/>
        </w:rPr>
        <w:t>) capture projects in Victoria’s Latrobe Valley, transporting CO</w:t>
      </w:r>
      <w:r w:rsidRPr="001E4C83">
        <w:rPr>
          <w:rFonts w:ascii="Arial" w:hAnsi="Arial"/>
          <w:sz w:val="22"/>
          <w:szCs w:val="22"/>
          <w:vertAlign w:val="subscript"/>
        </w:rPr>
        <w:t>2</w:t>
      </w:r>
      <w:r w:rsidRPr="001E4C83">
        <w:rPr>
          <w:rFonts w:ascii="Arial" w:hAnsi="Arial"/>
          <w:sz w:val="22"/>
          <w:szCs w:val="22"/>
        </w:rPr>
        <w:t xml:space="preserve"> via a shared pipeline and injecting it into deep underground, offshore storage sites in the Gippsland region of Victoria. </w:t>
      </w:r>
    </w:p>
    <w:p w14:paraId="17438927" w14:textId="77777777" w:rsidR="002A2AA6" w:rsidRPr="001E4C83" w:rsidRDefault="00484D33" w:rsidP="00EC635A">
      <w:pPr>
        <w:pStyle w:val="bodycopy"/>
        <w:rPr>
          <w:rFonts w:ascii="Arial" w:hAnsi="Arial"/>
          <w:sz w:val="22"/>
          <w:szCs w:val="22"/>
        </w:rPr>
      </w:pPr>
      <w:r w:rsidRPr="001E4C83">
        <w:rPr>
          <w:rFonts w:ascii="Arial" w:hAnsi="Arial"/>
          <w:sz w:val="22"/>
          <w:szCs w:val="22"/>
        </w:rPr>
        <w:t>It is envisaged that t</w:t>
      </w:r>
      <w:r w:rsidR="002A2AA6" w:rsidRPr="001E4C83">
        <w:rPr>
          <w:rFonts w:ascii="Arial" w:hAnsi="Arial"/>
          <w:sz w:val="22"/>
          <w:szCs w:val="22"/>
        </w:rPr>
        <w:t>he Project will capture and store between 1 and 5 million tonnes of CO</w:t>
      </w:r>
      <w:r w:rsidR="002A2AA6" w:rsidRPr="001E4C83">
        <w:rPr>
          <w:rFonts w:ascii="Arial" w:hAnsi="Arial"/>
          <w:sz w:val="22"/>
          <w:szCs w:val="22"/>
          <w:vertAlign w:val="subscript"/>
        </w:rPr>
        <w:t>2</w:t>
      </w:r>
      <w:r w:rsidR="002A2AA6" w:rsidRPr="001E4C83">
        <w:rPr>
          <w:rFonts w:ascii="Arial" w:hAnsi="Arial"/>
          <w:sz w:val="22"/>
          <w:szCs w:val="22"/>
        </w:rPr>
        <w:t xml:space="preserve"> per annum and have the potential to expand to 20 million tonnes per annum or more.</w:t>
      </w:r>
    </w:p>
    <w:p w14:paraId="14F169AC" w14:textId="77777777" w:rsidR="002A2AA6" w:rsidRPr="00EC635A" w:rsidRDefault="002A2AA6" w:rsidP="00EC635A">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3" w:name="_Toc375214492"/>
      <w:r w:rsidRPr="00EC635A">
        <w:rPr>
          <w:rFonts w:cs="Times New Roman"/>
          <w:iCs w:val="0"/>
          <w:color w:val="064EA8"/>
          <w:szCs w:val="26"/>
          <w:lang w:eastAsia="en-US"/>
        </w:rPr>
        <w:t>Purpose</w:t>
      </w:r>
      <w:bookmarkEnd w:id="3"/>
    </w:p>
    <w:p w14:paraId="0C6FB06C" w14:textId="767F4165" w:rsidR="002826BC" w:rsidRPr="001E4C83" w:rsidRDefault="00A84957" w:rsidP="00EC635A">
      <w:pPr>
        <w:pStyle w:val="bodycopy"/>
        <w:rPr>
          <w:rFonts w:ascii="Arial" w:hAnsi="Arial"/>
          <w:sz w:val="22"/>
          <w:szCs w:val="22"/>
        </w:rPr>
      </w:pPr>
      <w:r w:rsidRPr="001E4C83">
        <w:rPr>
          <w:rFonts w:ascii="Arial" w:hAnsi="Arial"/>
          <w:sz w:val="22"/>
          <w:szCs w:val="22"/>
        </w:rPr>
        <w:t xml:space="preserve">The Crown in right of Victoria </w:t>
      </w:r>
      <w:r w:rsidR="006E3F8B" w:rsidRPr="001E4C83">
        <w:rPr>
          <w:rFonts w:ascii="Arial" w:hAnsi="Arial"/>
          <w:sz w:val="22"/>
          <w:szCs w:val="22"/>
        </w:rPr>
        <w:t xml:space="preserve">is proposing to conduct the </w:t>
      </w:r>
      <w:r w:rsidR="002948A1" w:rsidRPr="001E4C83">
        <w:rPr>
          <w:rFonts w:ascii="Arial" w:hAnsi="Arial"/>
          <w:sz w:val="22"/>
          <w:szCs w:val="22"/>
        </w:rPr>
        <w:t>Pelican</w:t>
      </w:r>
      <w:r w:rsidR="002826BC" w:rsidRPr="001E4C83">
        <w:rPr>
          <w:rFonts w:ascii="Arial" w:hAnsi="Arial"/>
          <w:sz w:val="22"/>
          <w:szCs w:val="22"/>
        </w:rPr>
        <w:t xml:space="preserve"> three-dimensional (3D) marine s</w:t>
      </w:r>
      <w:r w:rsidR="006E3F8B" w:rsidRPr="001E4C83">
        <w:rPr>
          <w:rFonts w:ascii="Arial" w:hAnsi="Arial"/>
          <w:sz w:val="22"/>
          <w:szCs w:val="22"/>
        </w:rPr>
        <w:t xml:space="preserve">eismic </w:t>
      </w:r>
      <w:r w:rsidR="002826BC" w:rsidRPr="001E4C83">
        <w:rPr>
          <w:rFonts w:ascii="Arial" w:hAnsi="Arial"/>
          <w:sz w:val="22"/>
          <w:szCs w:val="22"/>
        </w:rPr>
        <w:t>s</w:t>
      </w:r>
      <w:r w:rsidR="006E3F8B" w:rsidRPr="001E4C83">
        <w:rPr>
          <w:rFonts w:ascii="Arial" w:hAnsi="Arial"/>
          <w:sz w:val="22"/>
          <w:szCs w:val="22"/>
        </w:rPr>
        <w:t>urvey (</w:t>
      </w:r>
      <w:r w:rsidR="002826BC" w:rsidRPr="001E4C83">
        <w:rPr>
          <w:rFonts w:ascii="Arial" w:hAnsi="Arial"/>
          <w:sz w:val="22"/>
          <w:szCs w:val="22"/>
        </w:rPr>
        <w:t>‘</w:t>
      </w:r>
      <w:r w:rsidR="002948A1" w:rsidRPr="001E4C83">
        <w:rPr>
          <w:rFonts w:ascii="Arial" w:hAnsi="Arial"/>
          <w:sz w:val="22"/>
          <w:szCs w:val="22"/>
        </w:rPr>
        <w:t xml:space="preserve">Pelican </w:t>
      </w:r>
      <w:r w:rsidR="002826BC" w:rsidRPr="001E4C83">
        <w:rPr>
          <w:rFonts w:ascii="Arial" w:hAnsi="Arial"/>
          <w:sz w:val="22"/>
          <w:szCs w:val="22"/>
        </w:rPr>
        <w:t>3DMSS’</w:t>
      </w:r>
      <w:r w:rsidR="006E3F8B" w:rsidRPr="001E4C83">
        <w:rPr>
          <w:rFonts w:ascii="Arial" w:hAnsi="Arial"/>
          <w:sz w:val="22"/>
          <w:szCs w:val="22"/>
        </w:rPr>
        <w:t xml:space="preserve">) </w:t>
      </w:r>
      <w:r w:rsidR="002826BC" w:rsidRPr="001E4C83">
        <w:rPr>
          <w:rFonts w:ascii="Arial" w:hAnsi="Arial"/>
          <w:sz w:val="22"/>
          <w:szCs w:val="22"/>
        </w:rPr>
        <w:t xml:space="preserve">in the Gippsland Basin off eastern Victoria in Greenhouse Gas </w:t>
      </w:r>
      <w:r w:rsidR="00EC635A" w:rsidRPr="001E4C83">
        <w:rPr>
          <w:rFonts w:ascii="Arial" w:hAnsi="Arial"/>
          <w:sz w:val="22"/>
          <w:szCs w:val="22"/>
        </w:rPr>
        <w:t>Assessment P</w:t>
      </w:r>
      <w:r w:rsidR="002826BC" w:rsidRPr="001E4C83">
        <w:rPr>
          <w:rFonts w:ascii="Arial" w:hAnsi="Arial"/>
          <w:sz w:val="22"/>
          <w:szCs w:val="22"/>
        </w:rPr>
        <w:t xml:space="preserve">ermits VIC-GIP-002 (Commonwealth waters) and </w:t>
      </w:r>
      <w:r w:rsidR="00526B79" w:rsidRPr="001E4C83">
        <w:rPr>
          <w:rFonts w:ascii="Arial" w:hAnsi="Arial"/>
          <w:sz w:val="22"/>
          <w:szCs w:val="22"/>
        </w:rPr>
        <w:t>GGAP006386(V)</w:t>
      </w:r>
      <w:r w:rsidR="002826BC" w:rsidRPr="001E4C83">
        <w:rPr>
          <w:rFonts w:ascii="Arial" w:hAnsi="Arial"/>
          <w:sz w:val="22"/>
          <w:szCs w:val="22"/>
        </w:rPr>
        <w:t xml:space="preserve"> (Victorian state waters) </w:t>
      </w:r>
      <w:r w:rsidR="002826BC" w:rsidRPr="00F80400">
        <w:rPr>
          <w:rFonts w:ascii="Arial" w:hAnsi="Arial"/>
          <w:sz w:val="22"/>
          <w:szCs w:val="22"/>
        </w:rPr>
        <w:t>(Figure 1.1).</w:t>
      </w:r>
      <w:r w:rsidR="002826BC" w:rsidRPr="001E4C83">
        <w:rPr>
          <w:rFonts w:ascii="Arial" w:hAnsi="Arial"/>
          <w:sz w:val="22"/>
          <w:szCs w:val="22"/>
        </w:rPr>
        <w:t xml:space="preserve"> </w:t>
      </w:r>
    </w:p>
    <w:p w14:paraId="33CFD6E8" w14:textId="448AF586" w:rsidR="002826BC" w:rsidRPr="001E4C83" w:rsidRDefault="002826BC" w:rsidP="00EC635A">
      <w:pPr>
        <w:pStyle w:val="bodycopy"/>
        <w:rPr>
          <w:rFonts w:ascii="Arial" w:hAnsi="Arial"/>
          <w:sz w:val="22"/>
          <w:szCs w:val="22"/>
        </w:rPr>
      </w:pPr>
      <w:r w:rsidRPr="001E4C83">
        <w:rPr>
          <w:rFonts w:ascii="Arial" w:hAnsi="Arial"/>
          <w:sz w:val="22"/>
          <w:szCs w:val="22"/>
        </w:rPr>
        <w:t xml:space="preserve">The full fold coverage area for the </w:t>
      </w:r>
      <w:r w:rsidR="00D83D93" w:rsidRPr="001E4C83">
        <w:rPr>
          <w:rFonts w:ascii="Arial" w:hAnsi="Arial"/>
          <w:sz w:val="22"/>
          <w:szCs w:val="22"/>
        </w:rPr>
        <w:t xml:space="preserve">proposed </w:t>
      </w:r>
      <w:r w:rsidRPr="001E4C83">
        <w:rPr>
          <w:rFonts w:ascii="Arial" w:hAnsi="Arial"/>
          <w:sz w:val="22"/>
          <w:szCs w:val="22"/>
        </w:rPr>
        <w:t xml:space="preserve">survey (the ‘acquisition’ area) will cover approximately </w:t>
      </w:r>
      <w:r w:rsidR="00505D5A" w:rsidRPr="001E4C83">
        <w:rPr>
          <w:rFonts w:ascii="Arial" w:hAnsi="Arial"/>
          <w:sz w:val="22"/>
          <w:szCs w:val="22"/>
        </w:rPr>
        <w:t>16</w:t>
      </w:r>
      <w:r w:rsidR="003B2FA7">
        <w:rPr>
          <w:rFonts w:ascii="Arial" w:hAnsi="Arial"/>
          <w:sz w:val="22"/>
          <w:szCs w:val="22"/>
        </w:rPr>
        <w:t>6</w:t>
      </w:r>
      <w:r w:rsidRPr="001E4C83">
        <w:rPr>
          <w:rFonts w:ascii="Arial" w:hAnsi="Arial"/>
          <w:sz w:val="22"/>
          <w:szCs w:val="22"/>
        </w:rPr>
        <w:t xml:space="preserve"> </w:t>
      </w:r>
      <w:r w:rsidR="006E3F8B" w:rsidRPr="001E4C83">
        <w:rPr>
          <w:rFonts w:ascii="Arial" w:hAnsi="Arial"/>
          <w:sz w:val="22"/>
          <w:szCs w:val="22"/>
        </w:rPr>
        <w:t>km</w:t>
      </w:r>
      <w:r w:rsidR="006E3F8B" w:rsidRPr="001E4C83">
        <w:rPr>
          <w:rFonts w:ascii="Arial" w:hAnsi="Arial"/>
          <w:sz w:val="22"/>
          <w:szCs w:val="22"/>
          <w:vertAlign w:val="superscript"/>
        </w:rPr>
        <w:t>2</w:t>
      </w:r>
      <w:r w:rsidR="006E3F8B" w:rsidRPr="001E4C83">
        <w:rPr>
          <w:rFonts w:ascii="Arial" w:hAnsi="Arial"/>
          <w:sz w:val="22"/>
          <w:szCs w:val="22"/>
        </w:rPr>
        <w:t xml:space="preserve"> </w:t>
      </w:r>
      <w:r w:rsidRPr="001E4C83">
        <w:rPr>
          <w:rFonts w:ascii="Arial" w:hAnsi="Arial"/>
          <w:sz w:val="22"/>
          <w:szCs w:val="22"/>
        </w:rPr>
        <w:t>(</w:t>
      </w:r>
      <w:r w:rsidR="006112FE">
        <w:rPr>
          <w:rFonts w:ascii="Arial" w:hAnsi="Arial"/>
          <w:sz w:val="22"/>
          <w:szCs w:val="22"/>
        </w:rPr>
        <w:t xml:space="preserve">~64% </w:t>
      </w:r>
      <w:r w:rsidR="006E3F8B" w:rsidRPr="005F4B53">
        <w:rPr>
          <w:rFonts w:ascii="Arial" w:hAnsi="Arial"/>
          <w:sz w:val="22"/>
          <w:szCs w:val="22"/>
        </w:rPr>
        <w:t xml:space="preserve">in </w:t>
      </w:r>
      <w:r w:rsidRPr="005F4B53">
        <w:rPr>
          <w:rFonts w:ascii="Arial" w:hAnsi="Arial"/>
          <w:sz w:val="22"/>
          <w:szCs w:val="22"/>
        </w:rPr>
        <w:t xml:space="preserve">Commonwealth waters and </w:t>
      </w:r>
      <w:r w:rsidR="006112FE">
        <w:rPr>
          <w:rFonts w:ascii="Arial" w:hAnsi="Arial"/>
          <w:sz w:val="22"/>
          <w:szCs w:val="22"/>
        </w:rPr>
        <w:t xml:space="preserve">36% </w:t>
      </w:r>
      <w:r w:rsidRPr="005F4B53">
        <w:rPr>
          <w:rFonts w:ascii="Arial" w:hAnsi="Arial"/>
          <w:sz w:val="22"/>
          <w:szCs w:val="22"/>
        </w:rPr>
        <w:t xml:space="preserve">in </w:t>
      </w:r>
      <w:r w:rsidR="00EC635A" w:rsidRPr="005F4B53">
        <w:rPr>
          <w:rFonts w:ascii="Arial" w:hAnsi="Arial"/>
          <w:sz w:val="22"/>
          <w:szCs w:val="22"/>
        </w:rPr>
        <w:t xml:space="preserve">Victorian state </w:t>
      </w:r>
      <w:r w:rsidRPr="005F4B53">
        <w:rPr>
          <w:rFonts w:ascii="Arial" w:hAnsi="Arial"/>
          <w:sz w:val="22"/>
          <w:szCs w:val="22"/>
        </w:rPr>
        <w:t>waters</w:t>
      </w:r>
      <w:r w:rsidRPr="001E4C83">
        <w:rPr>
          <w:rFonts w:ascii="Arial" w:hAnsi="Arial"/>
          <w:sz w:val="22"/>
          <w:szCs w:val="22"/>
        </w:rPr>
        <w:t xml:space="preserve">), ranging in </w:t>
      </w:r>
      <w:r w:rsidR="00BF144C" w:rsidRPr="001E4C83">
        <w:rPr>
          <w:rFonts w:ascii="Arial" w:hAnsi="Arial"/>
          <w:sz w:val="22"/>
          <w:szCs w:val="22"/>
        </w:rPr>
        <w:t xml:space="preserve">water </w:t>
      </w:r>
      <w:r w:rsidRPr="001E4C83">
        <w:rPr>
          <w:rFonts w:ascii="Arial" w:hAnsi="Arial"/>
          <w:sz w:val="22"/>
          <w:szCs w:val="22"/>
        </w:rPr>
        <w:t>depth</w:t>
      </w:r>
      <w:r w:rsidR="00BF144C" w:rsidRPr="001E4C83">
        <w:rPr>
          <w:rFonts w:ascii="Arial" w:hAnsi="Arial"/>
          <w:sz w:val="22"/>
          <w:szCs w:val="22"/>
        </w:rPr>
        <w:t>s</w:t>
      </w:r>
      <w:r w:rsidRPr="001E4C83">
        <w:rPr>
          <w:rFonts w:ascii="Arial" w:hAnsi="Arial"/>
          <w:sz w:val="22"/>
          <w:szCs w:val="22"/>
        </w:rPr>
        <w:t xml:space="preserve"> from </w:t>
      </w:r>
      <w:r w:rsidR="00526B79" w:rsidRPr="001E4C83">
        <w:rPr>
          <w:rFonts w:ascii="Arial" w:hAnsi="Arial"/>
          <w:sz w:val="22"/>
          <w:szCs w:val="22"/>
        </w:rPr>
        <w:t xml:space="preserve">15 </w:t>
      </w:r>
      <w:r w:rsidRPr="001E4C83">
        <w:rPr>
          <w:rFonts w:ascii="Arial" w:hAnsi="Arial"/>
          <w:sz w:val="22"/>
          <w:szCs w:val="22"/>
        </w:rPr>
        <w:t>m to</w:t>
      </w:r>
      <w:r w:rsidR="00526B79" w:rsidRPr="001E4C83">
        <w:rPr>
          <w:rFonts w:ascii="Arial" w:hAnsi="Arial"/>
          <w:sz w:val="22"/>
          <w:szCs w:val="22"/>
        </w:rPr>
        <w:t xml:space="preserve"> 40 m</w:t>
      </w:r>
      <w:r w:rsidRPr="001E4C83">
        <w:rPr>
          <w:rFonts w:ascii="Arial" w:hAnsi="Arial"/>
          <w:sz w:val="22"/>
          <w:szCs w:val="22"/>
        </w:rPr>
        <w:t>.</w:t>
      </w:r>
    </w:p>
    <w:p w14:paraId="072D6811" w14:textId="2717DE77" w:rsidR="005F4B53" w:rsidRDefault="002826BC" w:rsidP="0073429E">
      <w:pPr>
        <w:pStyle w:val="bodycopy"/>
        <w:rPr>
          <w:rFonts w:ascii="Arial" w:hAnsi="Arial"/>
          <w:sz w:val="22"/>
          <w:szCs w:val="22"/>
        </w:rPr>
      </w:pPr>
      <w:r w:rsidRPr="001E4C83">
        <w:rPr>
          <w:rFonts w:ascii="Arial" w:hAnsi="Arial"/>
          <w:sz w:val="22"/>
          <w:szCs w:val="22"/>
        </w:rPr>
        <w:t xml:space="preserve">The </w:t>
      </w:r>
      <w:r w:rsidR="002948A1" w:rsidRPr="001E4C83">
        <w:rPr>
          <w:rFonts w:ascii="Arial" w:hAnsi="Arial"/>
          <w:sz w:val="22"/>
          <w:szCs w:val="22"/>
        </w:rPr>
        <w:t xml:space="preserve">Pelican </w:t>
      </w:r>
      <w:r w:rsidRPr="001E4C83">
        <w:rPr>
          <w:rFonts w:ascii="Arial" w:hAnsi="Arial"/>
          <w:sz w:val="22"/>
          <w:szCs w:val="22"/>
        </w:rPr>
        <w:t xml:space="preserve">3DMSS </w:t>
      </w:r>
      <w:r w:rsidR="00822FB1">
        <w:rPr>
          <w:rFonts w:ascii="Arial" w:hAnsi="Arial"/>
          <w:sz w:val="22"/>
          <w:szCs w:val="22"/>
        </w:rPr>
        <w:t xml:space="preserve">acquisition </w:t>
      </w:r>
      <w:r w:rsidRPr="001E4C83">
        <w:rPr>
          <w:rFonts w:ascii="Arial" w:hAnsi="Arial"/>
          <w:sz w:val="22"/>
          <w:szCs w:val="22"/>
        </w:rPr>
        <w:t xml:space="preserve">is expected to take place over approximately </w:t>
      </w:r>
      <w:r w:rsidR="005F4B53" w:rsidRPr="005F4B53">
        <w:rPr>
          <w:rFonts w:ascii="Arial" w:hAnsi="Arial"/>
          <w:sz w:val="22"/>
          <w:szCs w:val="22"/>
        </w:rPr>
        <w:t>1</w:t>
      </w:r>
      <w:r w:rsidR="002F1690">
        <w:rPr>
          <w:rFonts w:ascii="Arial" w:hAnsi="Arial"/>
          <w:sz w:val="22"/>
          <w:szCs w:val="22"/>
        </w:rPr>
        <w:t>3</w:t>
      </w:r>
      <w:r w:rsidRPr="005F4B53">
        <w:rPr>
          <w:rFonts w:ascii="Arial" w:hAnsi="Arial"/>
          <w:sz w:val="22"/>
          <w:szCs w:val="22"/>
        </w:rPr>
        <w:t xml:space="preserve"> to </w:t>
      </w:r>
      <w:r w:rsidR="002F1690">
        <w:rPr>
          <w:rFonts w:ascii="Arial" w:hAnsi="Arial"/>
          <w:sz w:val="22"/>
          <w:szCs w:val="22"/>
        </w:rPr>
        <w:t>16</w:t>
      </w:r>
      <w:r w:rsidR="005F4B53" w:rsidRPr="005F4B53">
        <w:rPr>
          <w:rFonts w:ascii="Arial" w:hAnsi="Arial"/>
          <w:sz w:val="22"/>
          <w:szCs w:val="22"/>
        </w:rPr>
        <w:t xml:space="preserve"> </w:t>
      </w:r>
      <w:r w:rsidRPr="005F4B53">
        <w:rPr>
          <w:rFonts w:ascii="Arial" w:hAnsi="Arial"/>
          <w:sz w:val="22"/>
          <w:szCs w:val="22"/>
        </w:rPr>
        <w:t xml:space="preserve">days </w:t>
      </w:r>
      <w:r w:rsidR="005F4B53" w:rsidRPr="005F4B53">
        <w:rPr>
          <w:rFonts w:ascii="Arial" w:hAnsi="Arial"/>
          <w:sz w:val="22"/>
          <w:szCs w:val="22"/>
        </w:rPr>
        <w:t>(</w:t>
      </w:r>
      <w:r w:rsidR="002F1690">
        <w:rPr>
          <w:rFonts w:ascii="Arial" w:hAnsi="Arial"/>
          <w:sz w:val="22"/>
          <w:szCs w:val="22"/>
        </w:rPr>
        <w:t>but up to 27 days depending on vessel selection)</w:t>
      </w:r>
      <w:r w:rsidR="005F4B53">
        <w:rPr>
          <w:rFonts w:ascii="Arial" w:hAnsi="Arial"/>
          <w:sz w:val="22"/>
          <w:szCs w:val="22"/>
        </w:rPr>
        <w:t xml:space="preserve"> </w:t>
      </w:r>
      <w:r w:rsidR="00132D18">
        <w:rPr>
          <w:rFonts w:ascii="Arial" w:hAnsi="Arial"/>
          <w:sz w:val="22"/>
          <w:szCs w:val="22"/>
        </w:rPr>
        <w:t xml:space="preserve">commencing </w:t>
      </w:r>
      <w:r w:rsidR="00526B79" w:rsidRPr="001E4C83">
        <w:rPr>
          <w:rFonts w:ascii="Arial" w:hAnsi="Arial"/>
          <w:sz w:val="22"/>
          <w:szCs w:val="22"/>
        </w:rPr>
        <w:t xml:space="preserve">between </w:t>
      </w:r>
      <w:r w:rsidR="00F34E87">
        <w:rPr>
          <w:rFonts w:ascii="Arial" w:hAnsi="Arial"/>
          <w:sz w:val="22"/>
          <w:szCs w:val="22"/>
        </w:rPr>
        <w:t xml:space="preserve">the </w:t>
      </w:r>
      <w:r w:rsidR="00475F72">
        <w:rPr>
          <w:rFonts w:ascii="Arial" w:hAnsi="Arial"/>
          <w:sz w:val="22"/>
          <w:szCs w:val="22"/>
        </w:rPr>
        <w:t>end of January and the end of March 2018</w:t>
      </w:r>
      <w:r w:rsidR="00497C3F">
        <w:rPr>
          <w:rFonts w:ascii="Arial" w:hAnsi="Arial"/>
          <w:sz w:val="22"/>
          <w:szCs w:val="22"/>
        </w:rPr>
        <w:t>)</w:t>
      </w:r>
      <w:r w:rsidR="008E1527" w:rsidRPr="001E4C83">
        <w:rPr>
          <w:rFonts w:ascii="Arial" w:hAnsi="Arial"/>
          <w:sz w:val="22"/>
          <w:szCs w:val="22"/>
        </w:rPr>
        <w:t xml:space="preserve">. </w:t>
      </w:r>
      <w:r w:rsidR="00132D18">
        <w:rPr>
          <w:rFonts w:ascii="Arial" w:hAnsi="Arial"/>
          <w:sz w:val="22"/>
          <w:szCs w:val="22"/>
        </w:rPr>
        <w:t>The e</w:t>
      </w:r>
      <w:r w:rsidR="008E1527" w:rsidRPr="001E4C83">
        <w:rPr>
          <w:rFonts w:ascii="Arial" w:hAnsi="Arial"/>
          <w:sz w:val="22"/>
          <w:szCs w:val="22"/>
        </w:rPr>
        <w:t xml:space="preserve">xact timing </w:t>
      </w:r>
      <w:r w:rsidR="00132D18">
        <w:rPr>
          <w:rFonts w:ascii="Arial" w:hAnsi="Arial"/>
          <w:sz w:val="22"/>
          <w:szCs w:val="22"/>
        </w:rPr>
        <w:t xml:space="preserve">of the project </w:t>
      </w:r>
      <w:r w:rsidR="008E1527" w:rsidRPr="001E4C83">
        <w:rPr>
          <w:rFonts w:ascii="Arial" w:hAnsi="Arial"/>
          <w:sz w:val="22"/>
          <w:szCs w:val="22"/>
        </w:rPr>
        <w:t xml:space="preserve">is contingent on fair sea state conditions suitable for marine seismic </w:t>
      </w:r>
      <w:r w:rsidR="00132D18">
        <w:rPr>
          <w:rFonts w:ascii="Arial" w:hAnsi="Arial"/>
          <w:sz w:val="22"/>
          <w:szCs w:val="22"/>
        </w:rPr>
        <w:t xml:space="preserve">survey (MSS) </w:t>
      </w:r>
      <w:r w:rsidR="008E1527" w:rsidRPr="001E4C83">
        <w:rPr>
          <w:rFonts w:ascii="Arial" w:hAnsi="Arial"/>
          <w:sz w:val="22"/>
          <w:szCs w:val="22"/>
        </w:rPr>
        <w:t xml:space="preserve">acquisition. </w:t>
      </w:r>
    </w:p>
    <w:p w14:paraId="47745A8C" w14:textId="73FE0972" w:rsidR="002826BC" w:rsidRPr="001E4C83" w:rsidRDefault="00315A4F" w:rsidP="00EC635A">
      <w:pPr>
        <w:pStyle w:val="bodycopy"/>
        <w:rPr>
          <w:rFonts w:ascii="Arial" w:hAnsi="Arial"/>
          <w:sz w:val="22"/>
          <w:szCs w:val="22"/>
        </w:rPr>
      </w:pPr>
      <w:r w:rsidRPr="001E4C83">
        <w:rPr>
          <w:rFonts w:ascii="Arial" w:hAnsi="Arial"/>
          <w:sz w:val="22"/>
          <w:szCs w:val="22"/>
        </w:rPr>
        <w:t xml:space="preserve">Given that the </w:t>
      </w:r>
      <w:r w:rsidR="002948A1" w:rsidRPr="001E4C83">
        <w:rPr>
          <w:rFonts w:ascii="Arial" w:hAnsi="Arial"/>
          <w:sz w:val="22"/>
          <w:szCs w:val="22"/>
        </w:rPr>
        <w:t xml:space="preserve">Pelican </w:t>
      </w:r>
      <w:r w:rsidR="008E1527" w:rsidRPr="001E4C83">
        <w:rPr>
          <w:rFonts w:ascii="Arial" w:hAnsi="Arial"/>
          <w:sz w:val="22"/>
          <w:szCs w:val="22"/>
        </w:rPr>
        <w:t xml:space="preserve">3DMSS </w:t>
      </w:r>
      <w:r w:rsidRPr="001E4C83">
        <w:rPr>
          <w:rFonts w:ascii="Arial" w:hAnsi="Arial"/>
          <w:sz w:val="22"/>
          <w:szCs w:val="22"/>
        </w:rPr>
        <w:t xml:space="preserve">will be conducted in Commonwealth and Victorian waters, it </w:t>
      </w:r>
      <w:r w:rsidR="008E1527" w:rsidRPr="001E4C83">
        <w:rPr>
          <w:rFonts w:ascii="Arial" w:hAnsi="Arial"/>
          <w:sz w:val="22"/>
          <w:szCs w:val="22"/>
        </w:rPr>
        <w:t>will be undertaken in accordance with the</w:t>
      </w:r>
      <w:r w:rsidRPr="001E4C83">
        <w:rPr>
          <w:rFonts w:ascii="Arial" w:hAnsi="Arial"/>
          <w:sz w:val="22"/>
          <w:szCs w:val="22"/>
        </w:rPr>
        <w:t>ir respective legislation, being the</w:t>
      </w:r>
      <w:r w:rsidR="008E1527" w:rsidRPr="001E4C83">
        <w:rPr>
          <w:rFonts w:ascii="Arial" w:hAnsi="Arial"/>
          <w:sz w:val="22"/>
          <w:szCs w:val="22"/>
        </w:rPr>
        <w:t xml:space="preserve"> </w:t>
      </w:r>
      <w:r w:rsidR="008E1527" w:rsidRPr="001E4C83">
        <w:rPr>
          <w:rFonts w:ascii="Arial" w:hAnsi="Arial"/>
          <w:i/>
          <w:sz w:val="22"/>
          <w:szCs w:val="22"/>
        </w:rPr>
        <w:t>Offshore Petroleum and Greenhouse Gas Storag</w:t>
      </w:r>
      <w:r w:rsidRPr="001E4C83">
        <w:rPr>
          <w:rFonts w:ascii="Arial" w:hAnsi="Arial"/>
          <w:i/>
          <w:sz w:val="22"/>
          <w:szCs w:val="22"/>
        </w:rPr>
        <w:t xml:space="preserve">e </w:t>
      </w:r>
      <w:r w:rsidR="008E1527" w:rsidRPr="001E4C83">
        <w:rPr>
          <w:rFonts w:ascii="Arial" w:hAnsi="Arial"/>
          <w:i/>
          <w:sz w:val="22"/>
          <w:szCs w:val="22"/>
        </w:rPr>
        <w:t>Act 2006</w:t>
      </w:r>
      <w:r w:rsidR="008E1527" w:rsidRPr="001E4C83">
        <w:rPr>
          <w:rFonts w:ascii="Arial" w:hAnsi="Arial"/>
          <w:sz w:val="22"/>
          <w:szCs w:val="22"/>
        </w:rPr>
        <w:t xml:space="preserve"> </w:t>
      </w:r>
      <w:r w:rsidRPr="001E4C83">
        <w:rPr>
          <w:rFonts w:ascii="Arial" w:hAnsi="Arial"/>
          <w:sz w:val="22"/>
          <w:szCs w:val="22"/>
        </w:rPr>
        <w:t>(OPGGS Act</w:t>
      </w:r>
      <w:r w:rsidR="00EC635A" w:rsidRPr="001E4C83">
        <w:rPr>
          <w:rFonts w:ascii="Arial" w:hAnsi="Arial"/>
          <w:sz w:val="22"/>
          <w:szCs w:val="22"/>
        </w:rPr>
        <w:t xml:space="preserve"> 2006</w:t>
      </w:r>
      <w:r w:rsidRPr="001E4C83">
        <w:rPr>
          <w:rFonts w:ascii="Arial" w:hAnsi="Arial"/>
          <w:sz w:val="22"/>
          <w:szCs w:val="22"/>
        </w:rPr>
        <w:t xml:space="preserve">) </w:t>
      </w:r>
      <w:r w:rsidR="008E1527" w:rsidRPr="001E4C83">
        <w:rPr>
          <w:rFonts w:ascii="Arial" w:hAnsi="Arial"/>
          <w:sz w:val="22"/>
          <w:szCs w:val="22"/>
        </w:rPr>
        <w:t xml:space="preserve">(Cth) and </w:t>
      </w:r>
      <w:r w:rsidRPr="001E4C83">
        <w:rPr>
          <w:rFonts w:ascii="Arial" w:hAnsi="Arial"/>
          <w:sz w:val="22"/>
          <w:szCs w:val="22"/>
        </w:rPr>
        <w:t xml:space="preserve">the </w:t>
      </w:r>
      <w:r w:rsidR="00B62B65" w:rsidRPr="001E4C83">
        <w:rPr>
          <w:rFonts w:ascii="Arial" w:hAnsi="Arial"/>
          <w:i/>
          <w:sz w:val="22"/>
          <w:szCs w:val="22"/>
        </w:rPr>
        <w:t xml:space="preserve">Offshore Petroleum and Greenhouse Gas Storage Act </w:t>
      </w:r>
      <w:r w:rsidR="00B62B65" w:rsidRPr="001E4C83">
        <w:rPr>
          <w:rFonts w:ascii="Arial" w:hAnsi="Arial"/>
          <w:sz w:val="22"/>
          <w:szCs w:val="22"/>
        </w:rPr>
        <w:t>(Vic) (</w:t>
      </w:r>
      <w:r w:rsidRPr="001E4C83">
        <w:rPr>
          <w:rFonts w:ascii="Arial" w:hAnsi="Arial"/>
          <w:sz w:val="22"/>
          <w:szCs w:val="22"/>
        </w:rPr>
        <w:t>OPGGS Act 2010</w:t>
      </w:r>
      <w:r w:rsidR="00B62B65" w:rsidRPr="001E4C83">
        <w:rPr>
          <w:rFonts w:ascii="Arial" w:hAnsi="Arial"/>
          <w:sz w:val="22"/>
          <w:szCs w:val="22"/>
        </w:rPr>
        <w:t>)</w:t>
      </w:r>
      <w:r w:rsidRPr="001E4C83">
        <w:rPr>
          <w:rFonts w:ascii="Arial" w:hAnsi="Arial"/>
          <w:sz w:val="22"/>
          <w:szCs w:val="22"/>
        </w:rPr>
        <w:t>.</w:t>
      </w:r>
      <w:r w:rsidR="00AB37C3" w:rsidRPr="001E4C83">
        <w:rPr>
          <w:rFonts w:ascii="Arial" w:hAnsi="Arial"/>
          <w:sz w:val="22"/>
          <w:szCs w:val="22"/>
        </w:rPr>
        <w:t xml:space="preserve"> </w:t>
      </w:r>
    </w:p>
    <w:p w14:paraId="55C285A6" w14:textId="77777777" w:rsidR="006E3F8B" w:rsidRPr="00EC635A" w:rsidRDefault="006E3F8B" w:rsidP="00EC635A">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4" w:name="_Toc375214493"/>
      <w:r w:rsidRPr="00EC635A">
        <w:rPr>
          <w:rFonts w:cs="Times New Roman"/>
          <w:iCs w:val="0"/>
          <w:color w:val="064EA8"/>
          <w:szCs w:val="26"/>
          <w:lang w:eastAsia="en-US"/>
        </w:rPr>
        <w:t>Proponent</w:t>
      </w:r>
      <w:bookmarkEnd w:id="4"/>
    </w:p>
    <w:p w14:paraId="228E1483" w14:textId="43B14046" w:rsidR="00A84957" w:rsidRPr="001E4C83" w:rsidRDefault="00484D33" w:rsidP="00EC635A">
      <w:pPr>
        <w:pStyle w:val="bodycopy"/>
        <w:rPr>
          <w:rFonts w:ascii="Arial" w:hAnsi="Arial"/>
          <w:sz w:val="22"/>
          <w:szCs w:val="22"/>
        </w:rPr>
      </w:pPr>
      <w:r w:rsidRPr="001E4C83">
        <w:rPr>
          <w:rFonts w:ascii="Arial" w:hAnsi="Arial"/>
          <w:sz w:val="22"/>
          <w:szCs w:val="22"/>
        </w:rPr>
        <w:t xml:space="preserve">The </w:t>
      </w:r>
      <w:r w:rsidR="00A84957" w:rsidRPr="001E4C83">
        <w:rPr>
          <w:rFonts w:ascii="Arial" w:hAnsi="Arial"/>
          <w:sz w:val="22"/>
          <w:szCs w:val="22"/>
        </w:rPr>
        <w:t xml:space="preserve">CarbonNet </w:t>
      </w:r>
      <w:r w:rsidRPr="001E4C83">
        <w:rPr>
          <w:rFonts w:ascii="Arial" w:hAnsi="Arial"/>
          <w:sz w:val="22"/>
          <w:szCs w:val="22"/>
        </w:rPr>
        <w:t xml:space="preserve">Project </w:t>
      </w:r>
      <w:r w:rsidR="00A84957" w:rsidRPr="001E4C83">
        <w:rPr>
          <w:rFonts w:ascii="Arial" w:hAnsi="Arial"/>
          <w:sz w:val="22"/>
          <w:szCs w:val="22"/>
        </w:rPr>
        <w:t>was established in 2009 by the Victorian Government to investigate the potential for a large</w:t>
      </w:r>
      <w:r w:rsidR="000E4904">
        <w:rPr>
          <w:rFonts w:ascii="Arial" w:hAnsi="Arial"/>
          <w:sz w:val="22"/>
          <w:szCs w:val="22"/>
        </w:rPr>
        <w:t>-</w:t>
      </w:r>
      <w:r w:rsidR="00A84957" w:rsidRPr="001E4C83">
        <w:rPr>
          <w:rFonts w:ascii="Arial" w:hAnsi="Arial"/>
          <w:sz w:val="22"/>
          <w:szCs w:val="22"/>
        </w:rPr>
        <w:t>scale CCS network in the Gippsland region, and was awarded Commonwealth CCS Flagship status in 2012. Since this time</w:t>
      </w:r>
      <w:r w:rsidR="00B62B65" w:rsidRPr="001E4C83">
        <w:rPr>
          <w:rFonts w:ascii="Arial" w:hAnsi="Arial"/>
          <w:sz w:val="22"/>
          <w:szCs w:val="22"/>
        </w:rPr>
        <w:t>,</w:t>
      </w:r>
      <w:r w:rsidR="00A84957" w:rsidRPr="001E4C83">
        <w:rPr>
          <w:rFonts w:ascii="Arial" w:hAnsi="Arial"/>
          <w:sz w:val="22"/>
          <w:szCs w:val="22"/>
        </w:rPr>
        <w:t xml:space="preserve"> CarbonNet has conducted a thorough evaluation of the Gippsland nearshore region to identify and assess possible CO</w:t>
      </w:r>
      <w:r w:rsidR="00A84957" w:rsidRPr="001E4C83">
        <w:rPr>
          <w:rFonts w:ascii="Arial" w:hAnsi="Arial"/>
          <w:sz w:val="22"/>
          <w:szCs w:val="22"/>
          <w:vertAlign w:val="subscript"/>
        </w:rPr>
        <w:t>2</w:t>
      </w:r>
      <w:r w:rsidR="00A84957" w:rsidRPr="001E4C83">
        <w:rPr>
          <w:rFonts w:ascii="Arial" w:hAnsi="Arial"/>
          <w:sz w:val="22"/>
          <w:szCs w:val="22"/>
        </w:rPr>
        <w:t xml:space="preserve"> storage formations.</w:t>
      </w:r>
      <w:r w:rsidRPr="001E4C83">
        <w:rPr>
          <w:rFonts w:ascii="Arial" w:hAnsi="Arial"/>
          <w:sz w:val="22"/>
          <w:szCs w:val="22"/>
        </w:rPr>
        <w:t xml:space="preserve"> The Project is managed by the Victorian Department of Economic Development, Jobs, Transport and Resources (DEDJTR) (Resources Division, Low Emissions </w:t>
      </w:r>
      <w:r w:rsidR="00133FBC">
        <w:rPr>
          <w:rFonts w:ascii="Arial" w:hAnsi="Arial"/>
          <w:sz w:val="22"/>
          <w:szCs w:val="22"/>
        </w:rPr>
        <w:t xml:space="preserve">Resources </w:t>
      </w:r>
      <w:r w:rsidRPr="001E4C83">
        <w:rPr>
          <w:rFonts w:ascii="Arial" w:hAnsi="Arial"/>
          <w:sz w:val="22"/>
          <w:szCs w:val="22"/>
        </w:rPr>
        <w:t>Branch).</w:t>
      </w:r>
    </w:p>
    <w:p w14:paraId="3FB5ABF3" w14:textId="77777777" w:rsidR="002A2AA6" w:rsidRPr="001E4C83" w:rsidRDefault="002A2AA6" w:rsidP="00EC635A">
      <w:pPr>
        <w:pStyle w:val="bodycopy"/>
        <w:rPr>
          <w:rFonts w:ascii="Arial" w:hAnsi="Arial"/>
          <w:sz w:val="22"/>
          <w:szCs w:val="22"/>
        </w:rPr>
      </w:pPr>
      <w:r w:rsidRPr="001E4C83">
        <w:rPr>
          <w:rFonts w:ascii="Arial" w:hAnsi="Arial"/>
          <w:sz w:val="22"/>
          <w:szCs w:val="22"/>
        </w:rPr>
        <w:t>The State of Victoria currently holds five greenhouse gas (GHG) assessment permits in Commonwealth and Victorian waters that are managed by CarbonNet. The first Commonwealth permit was awarded in 2012, and a further three Commonwealth permits were awarded in 2015</w:t>
      </w:r>
      <w:r w:rsidR="00526B79" w:rsidRPr="001E4C83">
        <w:rPr>
          <w:rFonts w:ascii="Arial" w:hAnsi="Arial"/>
          <w:sz w:val="22"/>
          <w:szCs w:val="22"/>
        </w:rPr>
        <w:t xml:space="preserve"> (including VIC-GIP-002)</w:t>
      </w:r>
      <w:r w:rsidRPr="001E4C83">
        <w:rPr>
          <w:rFonts w:ascii="Arial" w:hAnsi="Arial"/>
          <w:sz w:val="22"/>
          <w:szCs w:val="22"/>
        </w:rPr>
        <w:t>. In September 2016, a GHG assessment permit GGAP006386(V) was awarded in Victorian waters.</w:t>
      </w:r>
    </w:p>
    <w:p w14:paraId="37925242" w14:textId="699776E7" w:rsidR="00AB37C3" w:rsidRPr="001E4C83" w:rsidRDefault="002A2AA6" w:rsidP="00EC635A">
      <w:pPr>
        <w:pStyle w:val="bodycopy"/>
        <w:rPr>
          <w:rFonts w:ascii="Arial" w:hAnsi="Arial"/>
          <w:sz w:val="22"/>
          <w:szCs w:val="22"/>
        </w:rPr>
      </w:pPr>
      <w:r w:rsidRPr="001E4C83">
        <w:rPr>
          <w:rFonts w:ascii="Arial" w:hAnsi="Arial"/>
          <w:sz w:val="22"/>
          <w:szCs w:val="22"/>
        </w:rPr>
        <w:lastRenderedPageBreak/>
        <w:t>All the permits were awarded following competitive bidding processes and are for a period of six years. The Project manages the permits on behalf of Victoria, which allow</w:t>
      </w:r>
      <w:r w:rsidR="00822FB1">
        <w:rPr>
          <w:rFonts w:ascii="Arial" w:hAnsi="Arial"/>
          <w:sz w:val="22"/>
          <w:szCs w:val="22"/>
        </w:rPr>
        <w:t>s</w:t>
      </w:r>
      <w:r w:rsidRPr="001E4C83">
        <w:rPr>
          <w:rFonts w:ascii="Arial" w:hAnsi="Arial"/>
          <w:sz w:val="22"/>
          <w:szCs w:val="22"/>
        </w:rPr>
        <w:t xml:space="preserve"> the project to explore for GHG storage within the permit areas.</w:t>
      </w:r>
    </w:p>
    <w:p w14:paraId="7AEBA297" w14:textId="78C99A84" w:rsidR="00B62B65" w:rsidRPr="001E4C83" w:rsidRDefault="00B62B65" w:rsidP="00B62B65">
      <w:pPr>
        <w:pStyle w:val="bodycopy"/>
        <w:jc w:val="both"/>
        <w:rPr>
          <w:rFonts w:ascii="Arial" w:hAnsi="Arial"/>
          <w:sz w:val="22"/>
          <w:szCs w:val="22"/>
        </w:rPr>
      </w:pPr>
      <w:r w:rsidRPr="001E4C83">
        <w:rPr>
          <w:rFonts w:ascii="Arial" w:hAnsi="Arial"/>
          <w:sz w:val="22"/>
          <w:szCs w:val="22"/>
        </w:rPr>
        <w:t>CarbonNet has identified three contingent CO</w:t>
      </w:r>
      <w:r w:rsidRPr="001E4C83">
        <w:rPr>
          <w:rFonts w:ascii="Arial" w:hAnsi="Arial"/>
          <w:sz w:val="22"/>
          <w:szCs w:val="22"/>
          <w:vertAlign w:val="subscript"/>
        </w:rPr>
        <w:t>2</w:t>
      </w:r>
      <w:r w:rsidRPr="001E4C83">
        <w:rPr>
          <w:rFonts w:ascii="Arial" w:hAnsi="Arial"/>
          <w:sz w:val="22"/>
          <w:szCs w:val="22"/>
        </w:rPr>
        <w:t xml:space="preserve"> storage formations that it wishes to investigate further as part of a portfolio approach to CCS in the Gippsland region. CarbonNet’s preferred contingent storage formation, Pelican, is located in the </w:t>
      </w:r>
      <w:r w:rsidR="00133FBC" w:rsidRPr="001E4C83">
        <w:rPr>
          <w:rFonts w:ascii="Arial" w:hAnsi="Arial"/>
          <w:sz w:val="22"/>
          <w:szCs w:val="22"/>
        </w:rPr>
        <w:t xml:space="preserve">VIC-GIP-002 GHG </w:t>
      </w:r>
      <w:r w:rsidR="00133FBC">
        <w:rPr>
          <w:rFonts w:ascii="Arial" w:hAnsi="Arial"/>
          <w:sz w:val="22"/>
          <w:szCs w:val="22"/>
        </w:rPr>
        <w:t xml:space="preserve">and </w:t>
      </w:r>
      <w:r w:rsidRPr="001E4C83">
        <w:rPr>
          <w:rFonts w:ascii="Arial" w:hAnsi="Arial"/>
          <w:sz w:val="22"/>
          <w:szCs w:val="22"/>
        </w:rPr>
        <w:t xml:space="preserve">GGAP006386(V) </w:t>
      </w:r>
      <w:r w:rsidR="00CB403D" w:rsidRPr="001E4C83">
        <w:rPr>
          <w:rFonts w:ascii="Arial" w:hAnsi="Arial"/>
          <w:sz w:val="22"/>
          <w:szCs w:val="22"/>
        </w:rPr>
        <w:t>assessment permits</w:t>
      </w:r>
      <w:r w:rsidRPr="001E4C83">
        <w:rPr>
          <w:rFonts w:ascii="Arial" w:hAnsi="Arial"/>
          <w:sz w:val="22"/>
          <w:szCs w:val="22"/>
        </w:rPr>
        <w:t>.</w:t>
      </w:r>
    </w:p>
    <w:p w14:paraId="0B4F8219" w14:textId="77777777" w:rsidR="00AB37C3" w:rsidRPr="00B62B65" w:rsidRDefault="00AB37C3" w:rsidP="00B62B65">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5" w:name="_Toc375214494"/>
      <w:r w:rsidRPr="00B62B65">
        <w:rPr>
          <w:rFonts w:cs="Times New Roman"/>
          <w:iCs w:val="0"/>
          <w:color w:val="064EA8"/>
          <w:szCs w:val="26"/>
          <w:lang w:eastAsia="en-US"/>
        </w:rPr>
        <w:t>Titleholder and Liaison Person Details</w:t>
      </w:r>
      <w:bookmarkEnd w:id="5"/>
    </w:p>
    <w:p w14:paraId="043EB794" w14:textId="0CA26B05" w:rsidR="002948A1" w:rsidRDefault="008E1527" w:rsidP="00715B98">
      <w:pPr>
        <w:pStyle w:val="bodycopy"/>
        <w:spacing w:after="240"/>
        <w:rPr>
          <w:rFonts w:ascii="Arial" w:hAnsi="Arial"/>
          <w:sz w:val="22"/>
          <w:szCs w:val="22"/>
        </w:rPr>
      </w:pPr>
      <w:r w:rsidRPr="001E4C83">
        <w:rPr>
          <w:rFonts w:ascii="Arial" w:hAnsi="Arial"/>
          <w:sz w:val="22"/>
          <w:szCs w:val="22"/>
        </w:rPr>
        <w:t xml:space="preserve">In accordance with Regulation </w:t>
      </w:r>
      <w:r w:rsidR="002948A1" w:rsidRPr="001E4C83">
        <w:rPr>
          <w:rFonts w:ascii="Arial" w:hAnsi="Arial"/>
          <w:sz w:val="22"/>
          <w:szCs w:val="22"/>
        </w:rPr>
        <w:t>18(2)</w:t>
      </w:r>
      <w:r w:rsidRPr="001E4C83">
        <w:rPr>
          <w:rFonts w:ascii="Arial" w:hAnsi="Arial"/>
          <w:sz w:val="22"/>
          <w:szCs w:val="22"/>
        </w:rPr>
        <w:t xml:space="preserve"> of the </w:t>
      </w:r>
      <w:r w:rsidR="00F03794" w:rsidRPr="001E4C83">
        <w:rPr>
          <w:rFonts w:ascii="Arial" w:hAnsi="Arial"/>
          <w:sz w:val="22"/>
          <w:szCs w:val="22"/>
        </w:rPr>
        <w:t xml:space="preserve">Commonwealth Offshore Petroleum and Greenhouse Gas Storage (Environment) Regulations 2009 (hereafter referred to as </w:t>
      </w:r>
      <w:r w:rsidRPr="001E4C83">
        <w:rPr>
          <w:rFonts w:ascii="Arial" w:hAnsi="Arial"/>
          <w:sz w:val="22"/>
          <w:szCs w:val="22"/>
        </w:rPr>
        <w:t>OPGGS(E)</w:t>
      </w:r>
      <w:r w:rsidR="00F03794" w:rsidRPr="001E4C83">
        <w:rPr>
          <w:rFonts w:ascii="Arial" w:hAnsi="Arial"/>
          <w:sz w:val="22"/>
          <w:szCs w:val="22"/>
        </w:rPr>
        <w:t>)</w:t>
      </w:r>
      <w:r w:rsidRPr="001E4C83">
        <w:rPr>
          <w:rFonts w:ascii="Arial" w:hAnsi="Arial"/>
          <w:sz w:val="22"/>
          <w:szCs w:val="22"/>
        </w:rPr>
        <w:t xml:space="preserve"> and Regulation 1</w:t>
      </w:r>
      <w:r w:rsidR="002948A1" w:rsidRPr="001E4C83">
        <w:rPr>
          <w:rFonts w:ascii="Arial" w:hAnsi="Arial"/>
          <w:sz w:val="22"/>
          <w:szCs w:val="22"/>
        </w:rPr>
        <w:t>5</w:t>
      </w:r>
      <w:r w:rsidRPr="001E4C83">
        <w:rPr>
          <w:rFonts w:ascii="Arial" w:hAnsi="Arial"/>
          <w:sz w:val="22"/>
          <w:szCs w:val="22"/>
        </w:rPr>
        <w:t xml:space="preserve"> of the </w:t>
      </w:r>
      <w:r w:rsidR="00F03794" w:rsidRPr="001E4C83">
        <w:rPr>
          <w:rFonts w:ascii="Arial" w:hAnsi="Arial"/>
          <w:sz w:val="22"/>
          <w:szCs w:val="22"/>
        </w:rPr>
        <w:t xml:space="preserve">Victorian Offshore Petroleum and Greenhouse Gas Storage Regulations 2011 (hereafter referred to as </w:t>
      </w:r>
      <w:r w:rsidRPr="001E4C83">
        <w:rPr>
          <w:rFonts w:ascii="Arial" w:hAnsi="Arial"/>
          <w:sz w:val="22"/>
          <w:szCs w:val="22"/>
        </w:rPr>
        <w:t>OPGGS Regulations</w:t>
      </w:r>
      <w:r w:rsidR="00F03794" w:rsidRPr="001E4C83">
        <w:rPr>
          <w:rFonts w:ascii="Arial" w:hAnsi="Arial"/>
          <w:sz w:val="22"/>
          <w:szCs w:val="22"/>
        </w:rPr>
        <w:t>)</w:t>
      </w:r>
      <w:r w:rsidRPr="001E4C83">
        <w:rPr>
          <w:rFonts w:ascii="Arial" w:hAnsi="Arial"/>
          <w:sz w:val="22"/>
          <w:szCs w:val="22"/>
        </w:rPr>
        <w:t>, t</w:t>
      </w:r>
      <w:r w:rsidR="006E3F8B" w:rsidRPr="001E4C83">
        <w:rPr>
          <w:rFonts w:ascii="Arial" w:hAnsi="Arial"/>
          <w:sz w:val="22"/>
          <w:szCs w:val="22"/>
        </w:rPr>
        <w:t xml:space="preserve">he </w:t>
      </w:r>
      <w:r w:rsidRPr="001E4C83">
        <w:rPr>
          <w:rFonts w:ascii="Arial" w:hAnsi="Arial"/>
          <w:sz w:val="22"/>
          <w:szCs w:val="22"/>
        </w:rPr>
        <w:t>Titleholder and nominated liaison contact details</w:t>
      </w:r>
      <w:r w:rsidR="006E3F8B" w:rsidRPr="001E4C83">
        <w:rPr>
          <w:rFonts w:ascii="Arial" w:hAnsi="Arial"/>
          <w:sz w:val="22"/>
          <w:szCs w:val="22"/>
        </w:rPr>
        <w:t xml:space="preserve"> are provided </w:t>
      </w:r>
      <w:r w:rsidR="00715B98">
        <w:rPr>
          <w:rFonts w:ascii="Arial" w:hAnsi="Arial"/>
          <w:sz w:val="22"/>
          <w:szCs w:val="22"/>
        </w:rPr>
        <w:t>below:</w:t>
      </w:r>
    </w:p>
    <w:p w14:paraId="4DF0519E" w14:textId="2DDC18AF" w:rsidR="00715B98" w:rsidRDefault="00715B98" w:rsidP="00715B98">
      <w:pPr>
        <w:pStyle w:val="bodycopy"/>
        <w:spacing w:after="0"/>
        <w:rPr>
          <w:rFonts w:ascii="Arial" w:hAnsi="Arial"/>
          <w:sz w:val="22"/>
          <w:szCs w:val="22"/>
        </w:rPr>
      </w:pPr>
      <w:r>
        <w:rPr>
          <w:rFonts w:ascii="Arial" w:hAnsi="Arial"/>
          <w:sz w:val="22"/>
          <w:szCs w:val="22"/>
        </w:rPr>
        <w:t>Ian Filby</w:t>
      </w:r>
    </w:p>
    <w:p w14:paraId="6FABBE26" w14:textId="2AAAAA12" w:rsidR="00715B98" w:rsidRDefault="00715B98" w:rsidP="00715B98">
      <w:pPr>
        <w:pStyle w:val="bodycopy"/>
        <w:spacing w:after="0"/>
        <w:rPr>
          <w:rFonts w:ascii="Arial" w:hAnsi="Arial"/>
          <w:sz w:val="22"/>
          <w:szCs w:val="22"/>
        </w:rPr>
      </w:pPr>
      <w:r>
        <w:rPr>
          <w:rFonts w:ascii="Arial" w:hAnsi="Arial"/>
          <w:sz w:val="22"/>
          <w:szCs w:val="22"/>
        </w:rPr>
        <w:t>Project Director, CarbonNet Project</w:t>
      </w:r>
    </w:p>
    <w:p w14:paraId="704B4E86" w14:textId="4D6B0007" w:rsidR="00715B98" w:rsidRDefault="00715B98" w:rsidP="00715B98">
      <w:pPr>
        <w:pStyle w:val="bodycopy"/>
        <w:spacing w:after="0"/>
        <w:rPr>
          <w:rFonts w:ascii="Arial" w:hAnsi="Arial"/>
          <w:sz w:val="22"/>
          <w:szCs w:val="22"/>
        </w:rPr>
      </w:pPr>
      <w:r>
        <w:rPr>
          <w:rFonts w:ascii="Arial" w:hAnsi="Arial"/>
          <w:sz w:val="22"/>
          <w:szCs w:val="22"/>
        </w:rPr>
        <w:t>DEDJTR, Resources Division, Low Emission Resources</w:t>
      </w:r>
    </w:p>
    <w:p w14:paraId="1CECE436" w14:textId="50412522" w:rsidR="00715B98" w:rsidRPr="003B0650" w:rsidRDefault="003B0650" w:rsidP="00715B98">
      <w:pPr>
        <w:pStyle w:val="bodycopy"/>
        <w:spacing w:after="0"/>
        <w:rPr>
          <w:rFonts w:ascii="Arial" w:hAnsi="Arial"/>
          <w:sz w:val="22"/>
          <w:szCs w:val="22"/>
        </w:rPr>
      </w:pPr>
      <w:r w:rsidRPr="003B0650">
        <w:rPr>
          <w:rFonts w:ascii="Arial" w:hAnsi="Arial"/>
          <w:sz w:val="22"/>
          <w:szCs w:val="22"/>
        </w:rPr>
        <w:t xml:space="preserve">Tel: </w:t>
      </w:r>
      <w:r w:rsidRPr="003B0650">
        <w:rPr>
          <w:rFonts w:ascii="Arial" w:hAnsi="Arial"/>
          <w:sz w:val="22"/>
          <w:szCs w:val="22"/>
          <w:lang w:val="en"/>
        </w:rPr>
        <w:t>+61 476 858 620</w:t>
      </w:r>
    </w:p>
    <w:p w14:paraId="4DAFDB52" w14:textId="6B3BAF48" w:rsidR="00715B98" w:rsidRPr="001E4C83" w:rsidRDefault="00715B98" w:rsidP="00715B98">
      <w:pPr>
        <w:pStyle w:val="bodycopy"/>
        <w:spacing w:after="240"/>
        <w:rPr>
          <w:rFonts w:ascii="Arial" w:hAnsi="Arial"/>
          <w:sz w:val="22"/>
          <w:szCs w:val="22"/>
        </w:rPr>
      </w:pPr>
      <w:r>
        <w:rPr>
          <w:rFonts w:ascii="Arial" w:hAnsi="Arial"/>
          <w:sz w:val="22"/>
          <w:szCs w:val="22"/>
        </w:rPr>
        <w:t>carbonnet.info@ecodev.vic.gov.au</w:t>
      </w:r>
    </w:p>
    <w:p w14:paraId="1B2C856A" w14:textId="27C6F8C3" w:rsidR="00AB37C3" w:rsidRDefault="00AB37C3" w:rsidP="001E4C83">
      <w:pPr>
        <w:pStyle w:val="bodycopy"/>
        <w:rPr>
          <w:rFonts w:ascii="Arial" w:hAnsi="Arial"/>
          <w:sz w:val="22"/>
          <w:szCs w:val="22"/>
        </w:rPr>
      </w:pPr>
      <w:r w:rsidRPr="001E4C83">
        <w:rPr>
          <w:rFonts w:ascii="Arial" w:hAnsi="Arial"/>
          <w:sz w:val="22"/>
          <w:szCs w:val="22"/>
        </w:rPr>
        <w:t xml:space="preserve"> </w:t>
      </w:r>
    </w:p>
    <w:p w14:paraId="61B4B5BC" w14:textId="77777777" w:rsidR="001E4C83" w:rsidRDefault="001E4C83" w:rsidP="001E4C83">
      <w:pPr>
        <w:pStyle w:val="bodycopy"/>
        <w:rPr>
          <w:rFonts w:ascii="Arial" w:hAnsi="Arial"/>
          <w:sz w:val="22"/>
          <w:szCs w:val="22"/>
        </w:rPr>
      </w:pPr>
    </w:p>
    <w:p w14:paraId="6CACC7CF" w14:textId="77777777" w:rsidR="001E4C83" w:rsidRDefault="001E4C83" w:rsidP="001E4C83">
      <w:pPr>
        <w:pStyle w:val="bodycopy"/>
        <w:rPr>
          <w:rFonts w:ascii="Arial" w:hAnsi="Arial"/>
          <w:sz w:val="22"/>
          <w:szCs w:val="22"/>
        </w:rPr>
      </w:pPr>
    </w:p>
    <w:p w14:paraId="3B7A3A39" w14:textId="77777777" w:rsidR="001E4C83" w:rsidRDefault="001E4C83" w:rsidP="001E4C83">
      <w:pPr>
        <w:pStyle w:val="bodycopy"/>
        <w:rPr>
          <w:rFonts w:ascii="Arial" w:hAnsi="Arial"/>
          <w:sz w:val="22"/>
          <w:szCs w:val="22"/>
        </w:rPr>
      </w:pPr>
    </w:p>
    <w:p w14:paraId="5B187772" w14:textId="77777777" w:rsidR="001E4C83" w:rsidRDefault="001E4C83" w:rsidP="001E4C83">
      <w:pPr>
        <w:pStyle w:val="bodycopy"/>
        <w:rPr>
          <w:rFonts w:ascii="Arial" w:hAnsi="Arial"/>
          <w:sz w:val="22"/>
          <w:szCs w:val="22"/>
        </w:rPr>
      </w:pPr>
    </w:p>
    <w:p w14:paraId="54AB28FA" w14:textId="77777777" w:rsidR="001E4C83" w:rsidRDefault="001E4C83" w:rsidP="001E4C83">
      <w:pPr>
        <w:pStyle w:val="bodycopy"/>
        <w:rPr>
          <w:rFonts w:ascii="Arial" w:hAnsi="Arial"/>
          <w:sz w:val="22"/>
          <w:szCs w:val="22"/>
        </w:rPr>
      </w:pPr>
    </w:p>
    <w:p w14:paraId="1FA76B0D" w14:textId="77777777" w:rsidR="000075CE" w:rsidRDefault="000075CE" w:rsidP="001E4C83">
      <w:pPr>
        <w:pStyle w:val="bodycopy"/>
        <w:rPr>
          <w:rFonts w:ascii="Arial" w:hAnsi="Arial"/>
          <w:sz w:val="22"/>
          <w:szCs w:val="22"/>
        </w:rPr>
      </w:pPr>
    </w:p>
    <w:p w14:paraId="2892C178" w14:textId="77777777" w:rsidR="003B1747" w:rsidRDefault="003B1747" w:rsidP="001E4C83">
      <w:pPr>
        <w:pStyle w:val="bodycopy"/>
        <w:rPr>
          <w:rFonts w:ascii="Arial" w:hAnsi="Arial"/>
          <w:sz w:val="22"/>
          <w:szCs w:val="22"/>
        </w:rPr>
      </w:pPr>
    </w:p>
    <w:p w14:paraId="2114DD74" w14:textId="77777777" w:rsidR="003B1747" w:rsidRDefault="003B1747" w:rsidP="001E4C83">
      <w:pPr>
        <w:pStyle w:val="bodycopy"/>
        <w:rPr>
          <w:rFonts w:ascii="Arial" w:hAnsi="Arial"/>
          <w:sz w:val="22"/>
          <w:szCs w:val="22"/>
        </w:rPr>
      </w:pPr>
    </w:p>
    <w:p w14:paraId="38808235" w14:textId="77777777" w:rsidR="003B1747" w:rsidRDefault="003B1747" w:rsidP="001E4C83">
      <w:pPr>
        <w:pStyle w:val="bodycopy"/>
        <w:rPr>
          <w:rFonts w:ascii="Arial" w:hAnsi="Arial"/>
          <w:sz w:val="22"/>
          <w:szCs w:val="22"/>
        </w:rPr>
      </w:pPr>
    </w:p>
    <w:p w14:paraId="351007A4" w14:textId="77777777" w:rsidR="003B1747" w:rsidRDefault="003B1747" w:rsidP="001E4C83">
      <w:pPr>
        <w:pStyle w:val="bodycopy"/>
        <w:rPr>
          <w:rFonts w:ascii="Arial" w:hAnsi="Arial"/>
          <w:sz w:val="22"/>
          <w:szCs w:val="22"/>
        </w:rPr>
      </w:pPr>
    </w:p>
    <w:p w14:paraId="454FF37C" w14:textId="64B77512" w:rsidR="001E4C83" w:rsidRDefault="002B6E4F" w:rsidP="002B6E4F">
      <w:pPr>
        <w:pStyle w:val="bodycopy"/>
        <w:jc w:val="center"/>
        <w:rPr>
          <w:rFonts w:ascii="Arial" w:hAnsi="Arial"/>
          <w:sz w:val="22"/>
          <w:szCs w:val="22"/>
        </w:rPr>
      </w:pPr>
      <w:r>
        <w:rPr>
          <w:noProof/>
        </w:rPr>
        <w:lastRenderedPageBreak/>
        <w:drawing>
          <wp:inline distT="0" distB="0" distL="0" distR="0" wp14:anchorId="6D1317CA" wp14:editId="1084A1F0">
            <wp:extent cx="5115183" cy="7070651"/>
            <wp:effectExtent l="0" t="0" r="0" b="0"/>
            <wp:docPr id="31" name="Picture 31" descr="\\internal.vic.gov.au\DEDJTR\HomeDirs3\vic83nm\Desktop\02_EP_Survey_Area_Map_1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nternal.vic.gov.au\DEDJTR\HomeDirs3\vic83nm\Desktop\02_EP_Survey_Area_Map_10_3.png"/>
                    <pic:cNvPicPr>
                      <a:picLocks noChangeAspect="1" noChangeArrowheads="1"/>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5120316" cy="7077746"/>
                    </a:xfrm>
                    <a:prstGeom prst="rect">
                      <a:avLst/>
                    </a:prstGeom>
                    <a:noFill/>
                    <a:ln>
                      <a:noFill/>
                    </a:ln>
                    <a:extLst>
                      <a:ext uri="{53640926-AAD7-44D8-BBD7-CCE9431645EC}">
                        <a14:shadowObscured xmlns:a14="http://schemas.microsoft.com/office/drawing/2010/main"/>
                      </a:ext>
                    </a:extLst>
                  </pic:spPr>
                </pic:pic>
              </a:graphicData>
            </a:graphic>
          </wp:inline>
        </w:drawing>
      </w:r>
    </w:p>
    <w:p w14:paraId="2C876283" w14:textId="26D0B821" w:rsidR="001E4C83" w:rsidRPr="005F4B53" w:rsidRDefault="001E4C83" w:rsidP="001E4C83">
      <w:pPr>
        <w:pStyle w:val="bodycopy"/>
        <w:spacing w:before="120"/>
        <w:jc w:val="center"/>
        <w:rPr>
          <w:rFonts w:ascii="Arial" w:hAnsi="Arial"/>
          <w:b/>
          <w:sz w:val="20"/>
        </w:rPr>
      </w:pPr>
      <w:r w:rsidRPr="005F4B53">
        <w:rPr>
          <w:rFonts w:ascii="Arial" w:hAnsi="Arial"/>
          <w:b/>
          <w:sz w:val="20"/>
        </w:rPr>
        <w:t>Figure 1.1</w:t>
      </w:r>
      <w:r w:rsidRPr="005F4B53">
        <w:rPr>
          <w:rFonts w:ascii="Arial" w:hAnsi="Arial"/>
          <w:b/>
          <w:sz w:val="20"/>
        </w:rPr>
        <w:tab/>
        <w:t>Locatio</w:t>
      </w:r>
      <w:r w:rsidR="005F4B53" w:rsidRPr="005F4B53">
        <w:rPr>
          <w:rFonts w:ascii="Arial" w:hAnsi="Arial"/>
          <w:b/>
          <w:sz w:val="20"/>
        </w:rPr>
        <w:t>n of the proposed Pelican 3DMSS</w:t>
      </w:r>
    </w:p>
    <w:p w14:paraId="313D99D7" w14:textId="77777777" w:rsidR="001E4C83" w:rsidRDefault="001E4C83" w:rsidP="001E4C83">
      <w:pPr>
        <w:pStyle w:val="bodycopy"/>
        <w:rPr>
          <w:rFonts w:ascii="Arial" w:hAnsi="Arial"/>
          <w:sz w:val="22"/>
          <w:szCs w:val="22"/>
        </w:rPr>
      </w:pPr>
    </w:p>
    <w:p w14:paraId="4301F6FE" w14:textId="77777777" w:rsidR="003B1747" w:rsidRDefault="003B1747" w:rsidP="001E4C83">
      <w:pPr>
        <w:pStyle w:val="bodycopy"/>
        <w:rPr>
          <w:rFonts w:ascii="Arial" w:hAnsi="Arial"/>
          <w:sz w:val="22"/>
          <w:szCs w:val="22"/>
        </w:rPr>
      </w:pPr>
    </w:p>
    <w:p w14:paraId="07237CFD" w14:textId="77777777" w:rsidR="002A2464" w:rsidRDefault="002A2464" w:rsidP="001E4C83">
      <w:pPr>
        <w:pStyle w:val="bodycopy"/>
        <w:rPr>
          <w:rFonts w:ascii="Arial" w:hAnsi="Arial"/>
          <w:sz w:val="22"/>
          <w:szCs w:val="22"/>
        </w:rPr>
      </w:pPr>
    </w:p>
    <w:p w14:paraId="4A205B22" w14:textId="77777777" w:rsidR="002A2464" w:rsidRDefault="002A2464" w:rsidP="001E4C83">
      <w:pPr>
        <w:pStyle w:val="bodycopy"/>
        <w:rPr>
          <w:rFonts w:ascii="Arial" w:hAnsi="Arial"/>
          <w:sz w:val="22"/>
          <w:szCs w:val="22"/>
        </w:rPr>
      </w:pPr>
    </w:p>
    <w:p w14:paraId="777EA5A3" w14:textId="77777777" w:rsidR="002A2464" w:rsidRDefault="002A2464" w:rsidP="001E4C83">
      <w:pPr>
        <w:pStyle w:val="bodycopy"/>
        <w:rPr>
          <w:rFonts w:ascii="Arial" w:hAnsi="Arial"/>
          <w:sz w:val="22"/>
          <w:szCs w:val="22"/>
        </w:rPr>
      </w:pPr>
    </w:p>
    <w:p w14:paraId="7EB4B75E" w14:textId="77777777" w:rsidR="00315A4F" w:rsidRPr="00B62B65" w:rsidRDefault="00315A4F" w:rsidP="00B62B65">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6" w:name="_Toc375214495"/>
      <w:r w:rsidRPr="00B62B65">
        <w:rPr>
          <w:rFonts w:cs="Times New Roman"/>
          <w:iCs w:val="0"/>
          <w:color w:val="064EA8"/>
          <w:szCs w:val="26"/>
          <w:lang w:eastAsia="en-US"/>
        </w:rPr>
        <w:lastRenderedPageBreak/>
        <w:t>Scope of this Plan</w:t>
      </w:r>
      <w:bookmarkEnd w:id="6"/>
    </w:p>
    <w:p w14:paraId="668AC58E" w14:textId="1DC8EA1F" w:rsidR="00315A4F" w:rsidRPr="000075CE" w:rsidRDefault="00315A4F" w:rsidP="00B62B65">
      <w:pPr>
        <w:pStyle w:val="bodycopy"/>
        <w:rPr>
          <w:rFonts w:ascii="Arial" w:hAnsi="Arial"/>
          <w:sz w:val="22"/>
          <w:szCs w:val="22"/>
        </w:rPr>
      </w:pPr>
      <w:r w:rsidRPr="000075CE">
        <w:rPr>
          <w:rFonts w:ascii="Arial" w:hAnsi="Arial"/>
          <w:sz w:val="22"/>
          <w:szCs w:val="22"/>
        </w:rPr>
        <w:t xml:space="preserve">For this survey, the </w:t>
      </w:r>
      <w:r w:rsidR="00822FB1">
        <w:rPr>
          <w:rFonts w:ascii="Arial" w:hAnsi="Arial"/>
          <w:sz w:val="22"/>
          <w:szCs w:val="22"/>
        </w:rPr>
        <w:t>GHG</w:t>
      </w:r>
      <w:r w:rsidRPr="000075CE">
        <w:rPr>
          <w:rFonts w:ascii="Arial" w:hAnsi="Arial"/>
          <w:sz w:val="22"/>
          <w:szCs w:val="22"/>
        </w:rPr>
        <w:t xml:space="preserve"> activity (</w:t>
      </w:r>
      <w:r w:rsidR="00D20D8A" w:rsidRPr="000075CE">
        <w:rPr>
          <w:rFonts w:ascii="Arial" w:hAnsi="Arial"/>
          <w:sz w:val="22"/>
          <w:szCs w:val="22"/>
        </w:rPr>
        <w:t xml:space="preserve">as defined in </w:t>
      </w:r>
      <w:r w:rsidR="00822FB1">
        <w:rPr>
          <w:rFonts w:ascii="Arial" w:hAnsi="Arial"/>
          <w:sz w:val="22"/>
          <w:szCs w:val="22"/>
        </w:rPr>
        <w:t xml:space="preserve">Regulation 6 of the </w:t>
      </w:r>
      <w:r w:rsidR="00D20D8A" w:rsidRPr="000075CE">
        <w:rPr>
          <w:rFonts w:ascii="Arial" w:hAnsi="Arial"/>
          <w:sz w:val="22"/>
          <w:szCs w:val="22"/>
        </w:rPr>
        <w:t xml:space="preserve">OPGGS(E) </w:t>
      </w:r>
      <w:r w:rsidR="00822FB1">
        <w:rPr>
          <w:rFonts w:ascii="Arial" w:hAnsi="Arial"/>
          <w:sz w:val="22"/>
          <w:szCs w:val="22"/>
        </w:rPr>
        <w:t xml:space="preserve">and </w:t>
      </w:r>
      <w:r w:rsidR="00D20D8A" w:rsidRPr="000075CE">
        <w:rPr>
          <w:rFonts w:ascii="Arial" w:hAnsi="Arial"/>
          <w:sz w:val="22"/>
          <w:szCs w:val="22"/>
        </w:rPr>
        <w:t>Regulation 4</w:t>
      </w:r>
      <w:r w:rsidR="00822FB1">
        <w:rPr>
          <w:rFonts w:ascii="Arial" w:hAnsi="Arial"/>
          <w:sz w:val="22"/>
          <w:szCs w:val="22"/>
        </w:rPr>
        <w:t xml:space="preserve"> of the OPGGS Regulations</w:t>
      </w:r>
      <w:r w:rsidRPr="000075CE">
        <w:rPr>
          <w:rFonts w:ascii="Arial" w:hAnsi="Arial"/>
          <w:sz w:val="22"/>
          <w:szCs w:val="22"/>
        </w:rPr>
        <w:t xml:space="preserve">) is defined as: </w:t>
      </w:r>
    </w:p>
    <w:p w14:paraId="74C9C29B" w14:textId="77777777" w:rsidR="00315A4F" w:rsidRPr="000075CE" w:rsidRDefault="00315A4F" w:rsidP="00822FB1">
      <w:pPr>
        <w:pStyle w:val="bodycopy"/>
        <w:ind w:left="284" w:right="368"/>
        <w:rPr>
          <w:rFonts w:ascii="Arial" w:hAnsi="Arial"/>
          <w:i/>
          <w:sz w:val="22"/>
          <w:szCs w:val="22"/>
        </w:rPr>
      </w:pPr>
      <w:r w:rsidRPr="000075CE">
        <w:rPr>
          <w:rFonts w:ascii="Arial" w:hAnsi="Arial"/>
          <w:i/>
          <w:sz w:val="22"/>
          <w:szCs w:val="22"/>
        </w:rPr>
        <w:t xml:space="preserve">‘the </w:t>
      </w:r>
      <w:r w:rsidR="00773A0E" w:rsidRPr="000075CE">
        <w:rPr>
          <w:rFonts w:ascii="Arial" w:hAnsi="Arial"/>
          <w:i/>
          <w:sz w:val="22"/>
          <w:szCs w:val="22"/>
        </w:rPr>
        <w:t xml:space="preserve">acquisition of seismic data, from the </w:t>
      </w:r>
      <w:r w:rsidRPr="000075CE">
        <w:rPr>
          <w:rFonts w:ascii="Arial" w:hAnsi="Arial"/>
          <w:i/>
          <w:sz w:val="22"/>
          <w:szCs w:val="22"/>
        </w:rPr>
        <w:t xml:space="preserve">time that the survey vessel first deploys the seismic source and receiver equipment within the acquisition area, until the time the vessel retrieves the equipment and departs the acquisition area for the last time.’ </w:t>
      </w:r>
    </w:p>
    <w:p w14:paraId="353C2C4E" w14:textId="3BA5D828" w:rsidR="00AC6DAC" w:rsidRDefault="00E43917" w:rsidP="003306BE">
      <w:pPr>
        <w:pStyle w:val="bodycopy"/>
        <w:rPr>
          <w:rFonts w:ascii="Arial" w:hAnsi="Arial"/>
          <w:sz w:val="22"/>
          <w:szCs w:val="22"/>
        </w:rPr>
      </w:pPr>
      <w:r>
        <w:rPr>
          <w:rFonts w:ascii="Arial" w:hAnsi="Arial"/>
          <w:sz w:val="22"/>
          <w:szCs w:val="22"/>
        </w:rPr>
        <w:t>This</w:t>
      </w:r>
      <w:r w:rsidR="00315A4F" w:rsidRPr="000075CE">
        <w:rPr>
          <w:rFonts w:ascii="Arial" w:hAnsi="Arial"/>
          <w:sz w:val="22"/>
          <w:szCs w:val="22"/>
        </w:rPr>
        <w:t xml:space="preserve"> Environment Plan (EP) </w:t>
      </w:r>
      <w:r>
        <w:rPr>
          <w:rFonts w:ascii="Arial" w:hAnsi="Arial"/>
          <w:sz w:val="22"/>
          <w:szCs w:val="22"/>
        </w:rPr>
        <w:t xml:space="preserve">Summary </w:t>
      </w:r>
      <w:r w:rsidR="00315A4F" w:rsidRPr="000075CE">
        <w:rPr>
          <w:rFonts w:ascii="Arial" w:hAnsi="Arial"/>
          <w:sz w:val="22"/>
          <w:szCs w:val="22"/>
        </w:rPr>
        <w:t xml:space="preserve">has been prepared in accordance with </w:t>
      </w:r>
      <w:r w:rsidR="003306BE">
        <w:rPr>
          <w:rFonts w:ascii="Arial" w:hAnsi="Arial"/>
          <w:sz w:val="22"/>
          <w:szCs w:val="22"/>
        </w:rPr>
        <w:t>subregulation</w:t>
      </w:r>
      <w:r w:rsidR="00225313">
        <w:rPr>
          <w:rFonts w:ascii="Arial" w:hAnsi="Arial"/>
          <w:sz w:val="22"/>
          <w:szCs w:val="22"/>
        </w:rPr>
        <w:t>s</w:t>
      </w:r>
      <w:r w:rsidR="003306BE">
        <w:rPr>
          <w:rFonts w:ascii="Arial" w:hAnsi="Arial"/>
          <w:sz w:val="22"/>
          <w:szCs w:val="22"/>
        </w:rPr>
        <w:t xml:space="preserve"> 11(3</w:t>
      </w:r>
      <w:r w:rsidR="003306BE" w:rsidRPr="003306BE">
        <w:rPr>
          <w:rFonts w:ascii="Arial" w:hAnsi="Arial"/>
          <w:sz w:val="22"/>
          <w:szCs w:val="22"/>
        </w:rPr>
        <w:t>)</w:t>
      </w:r>
      <w:r w:rsidR="00B13721">
        <w:rPr>
          <w:rFonts w:ascii="Arial" w:hAnsi="Arial"/>
          <w:sz w:val="22"/>
          <w:szCs w:val="22"/>
        </w:rPr>
        <w:t xml:space="preserve">(4) </w:t>
      </w:r>
      <w:r w:rsidR="00315A4F" w:rsidRPr="003306BE">
        <w:rPr>
          <w:rFonts w:ascii="Arial" w:hAnsi="Arial"/>
          <w:sz w:val="22"/>
          <w:szCs w:val="22"/>
        </w:rPr>
        <w:t xml:space="preserve">of the OPGGS(E) and </w:t>
      </w:r>
      <w:r w:rsidR="00225313">
        <w:rPr>
          <w:rFonts w:ascii="Arial" w:hAnsi="Arial"/>
          <w:sz w:val="22"/>
          <w:szCs w:val="22"/>
        </w:rPr>
        <w:t xml:space="preserve">subregulations 13E(3)(4) </w:t>
      </w:r>
      <w:r w:rsidR="00315A4F" w:rsidRPr="00225313">
        <w:rPr>
          <w:rFonts w:ascii="Arial" w:hAnsi="Arial"/>
          <w:sz w:val="22"/>
          <w:szCs w:val="22"/>
        </w:rPr>
        <w:t xml:space="preserve">of </w:t>
      </w:r>
      <w:r w:rsidR="00225313" w:rsidRPr="00225313">
        <w:rPr>
          <w:rFonts w:ascii="Arial" w:hAnsi="Arial"/>
          <w:sz w:val="22"/>
          <w:szCs w:val="22"/>
        </w:rPr>
        <w:t xml:space="preserve">the </w:t>
      </w:r>
      <w:r w:rsidR="00315A4F" w:rsidRPr="00225313">
        <w:rPr>
          <w:rFonts w:ascii="Arial" w:hAnsi="Arial"/>
          <w:sz w:val="22"/>
          <w:szCs w:val="22"/>
        </w:rPr>
        <w:t>OPGGS Regulations</w:t>
      </w:r>
      <w:r w:rsidR="00133FBC" w:rsidRPr="00225313">
        <w:rPr>
          <w:rFonts w:ascii="Arial" w:hAnsi="Arial"/>
          <w:sz w:val="22"/>
          <w:szCs w:val="22"/>
        </w:rPr>
        <w:t>.</w:t>
      </w:r>
      <w:r w:rsidR="00133FBC">
        <w:rPr>
          <w:rFonts w:ascii="Arial" w:hAnsi="Arial"/>
          <w:sz w:val="22"/>
          <w:szCs w:val="22"/>
        </w:rPr>
        <w:t xml:space="preserve"> </w:t>
      </w:r>
    </w:p>
    <w:p w14:paraId="712BA6E0" w14:textId="291BB7C1" w:rsidR="00133FBC" w:rsidRDefault="00AC6DAC" w:rsidP="00AC6DAC">
      <w:pPr>
        <w:pStyle w:val="bodycopy"/>
        <w:rPr>
          <w:rFonts w:ascii="Arial" w:hAnsi="Arial"/>
          <w:sz w:val="22"/>
          <w:szCs w:val="22"/>
        </w:rPr>
      </w:pPr>
      <w:r>
        <w:rPr>
          <w:rFonts w:ascii="Arial" w:hAnsi="Arial"/>
          <w:sz w:val="22"/>
          <w:szCs w:val="22"/>
        </w:rPr>
        <w:t xml:space="preserve">The complete EP was </w:t>
      </w:r>
      <w:r w:rsidR="00315A4F" w:rsidRPr="000075CE">
        <w:rPr>
          <w:rFonts w:ascii="Arial" w:hAnsi="Arial"/>
          <w:sz w:val="22"/>
          <w:szCs w:val="22"/>
        </w:rPr>
        <w:t>submitted to the National Offshore Petroleum Safety and Environmental Management Authority (NOPSEMA)</w:t>
      </w:r>
      <w:r w:rsidR="00133FBC">
        <w:rPr>
          <w:rFonts w:ascii="Arial" w:hAnsi="Arial"/>
          <w:sz w:val="22"/>
          <w:szCs w:val="22"/>
        </w:rPr>
        <w:t xml:space="preserve"> </w:t>
      </w:r>
      <w:r>
        <w:rPr>
          <w:rFonts w:ascii="Arial" w:hAnsi="Arial"/>
          <w:sz w:val="22"/>
          <w:szCs w:val="22"/>
        </w:rPr>
        <w:t xml:space="preserve">and the </w:t>
      </w:r>
      <w:r w:rsidR="00133FBC">
        <w:rPr>
          <w:rFonts w:ascii="Arial" w:hAnsi="Arial"/>
          <w:sz w:val="22"/>
          <w:szCs w:val="22"/>
        </w:rPr>
        <w:t xml:space="preserve">Earth Resources Regulation (ERR) </w:t>
      </w:r>
      <w:r>
        <w:rPr>
          <w:rFonts w:ascii="Arial" w:hAnsi="Arial"/>
          <w:sz w:val="22"/>
          <w:szCs w:val="22"/>
        </w:rPr>
        <w:t xml:space="preserve">branch of </w:t>
      </w:r>
      <w:r w:rsidR="00133FBC">
        <w:rPr>
          <w:rFonts w:ascii="Arial" w:hAnsi="Arial"/>
          <w:sz w:val="22"/>
          <w:szCs w:val="22"/>
        </w:rPr>
        <w:t xml:space="preserve">the </w:t>
      </w:r>
      <w:r w:rsidR="00315A4F" w:rsidRPr="000075CE">
        <w:rPr>
          <w:rFonts w:ascii="Arial" w:hAnsi="Arial"/>
          <w:sz w:val="22"/>
          <w:szCs w:val="22"/>
        </w:rPr>
        <w:t xml:space="preserve">DEDJTR </w:t>
      </w:r>
      <w:r w:rsidR="00133FBC">
        <w:rPr>
          <w:rFonts w:ascii="Arial" w:hAnsi="Arial"/>
          <w:sz w:val="22"/>
          <w:szCs w:val="22"/>
        </w:rPr>
        <w:t>for assessment and acceptance.</w:t>
      </w:r>
      <w:r>
        <w:rPr>
          <w:rFonts w:ascii="Arial" w:hAnsi="Arial"/>
          <w:sz w:val="22"/>
          <w:szCs w:val="22"/>
        </w:rPr>
        <w:t xml:space="preserve"> </w:t>
      </w:r>
      <w:r w:rsidR="00B13721">
        <w:rPr>
          <w:rFonts w:ascii="Arial" w:hAnsi="Arial"/>
          <w:sz w:val="22"/>
          <w:szCs w:val="22"/>
        </w:rPr>
        <w:t>The EP was accepted by b</w:t>
      </w:r>
      <w:r>
        <w:rPr>
          <w:rFonts w:ascii="Arial" w:hAnsi="Arial"/>
          <w:sz w:val="22"/>
          <w:szCs w:val="22"/>
        </w:rPr>
        <w:t xml:space="preserve">oth regulators accepted the EP </w:t>
      </w:r>
      <w:r w:rsidRPr="00B13721">
        <w:rPr>
          <w:rFonts w:ascii="Arial" w:hAnsi="Arial"/>
          <w:sz w:val="22"/>
          <w:szCs w:val="22"/>
        </w:rPr>
        <w:t>in December 2017</w:t>
      </w:r>
      <w:r>
        <w:rPr>
          <w:rFonts w:ascii="Arial" w:hAnsi="Arial"/>
          <w:sz w:val="22"/>
          <w:szCs w:val="22"/>
        </w:rPr>
        <w:t>.</w:t>
      </w:r>
      <w:r w:rsidR="00133FBC">
        <w:rPr>
          <w:rFonts w:ascii="Arial" w:hAnsi="Arial"/>
          <w:sz w:val="22"/>
          <w:szCs w:val="22"/>
        </w:rPr>
        <w:t xml:space="preserve"> </w:t>
      </w:r>
    </w:p>
    <w:p w14:paraId="3CA875FD" w14:textId="4FCED99F" w:rsidR="00A5629D" w:rsidRPr="000075CE" w:rsidRDefault="00A5629D" w:rsidP="00B62B65">
      <w:pPr>
        <w:pStyle w:val="bodycopy"/>
        <w:rPr>
          <w:rFonts w:ascii="Arial" w:hAnsi="Arial"/>
          <w:sz w:val="22"/>
          <w:szCs w:val="22"/>
        </w:rPr>
      </w:pPr>
      <w:r w:rsidRPr="000075CE">
        <w:rPr>
          <w:rFonts w:ascii="Arial" w:hAnsi="Arial"/>
          <w:sz w:val="22"/>
          <w:szCs w:val="22"/>
        </w:rPr>
        <w:t xml:space="preserve">In brief, this EP </w:t>
      </w:r>
      <w:r w:rsidR="00AC6DAC">
        <w:rPr>
          <w:rFonts w:ascii="Arial" w:hAnsi="Arial"/>
          <w:sz w:val="22"/>
          <w:szCs w:val="22"/>
        </w:rPr>
        <w:t xml:space="preserve">Summary </w:t>
      </w:r>
      <w:r w:rsidRPr="000075CE">
        <w:rPr>
          <w:rFonts w:ascii="Arial" w:hAnsi="Arial"/>
          <w:sz w:val="22"/>
          <w:szCs w:val="22"/>
        </w:rPr>
        <w:t>includes a description of:</w:t>
      </w:r>
    </w:p>
    <w:p w14:paraId="25C34B58" w14:textId="77777777" w:rsidR="00A5629D" w:rsidRPr="000075CE" w:rsidRDefault="00A5629D" w:rsidP="003B4B57">
      <w:pPr>
        <w:pStyle w:val="bodycopy"/>
        <w:numPr>
          <w:ilvl w:val="0"/>
          <w:numId w:val="51"/>
        </w:numPr>
        <w:rPr>
          <w:rFonts w:ascii="Arial" w:hAnsi="Arial"/>
          <w:sz w:val="22"/>
          <w:szCs w:val="22"/>
        </w:rPr>
      </w:pPr>
      <w:r w:rsidRPr="000075CE">
        <w:rPr>
          <w:rFonts w:ascii="Arial" w:hAnsi="Arial"/>
          <w:sz w:val="22"/>
          <w:szCs w:val="22"/>
        </w:rPr>
        <w:t>The nature of the activity (location, layout, operational details);</w:t>
      </w:r>
    </w:p>
    <w:p w14:paraId="502E400A" w14:textId="77777777" w:rsidR="00A5629D" w:rsidRPr="000075CE" w:rsidRDefault="00A5629D" w:rsidP="003B4B57">
      <w:pPr>
        <w:pStyle w:val="bodycopy"/>
        <w:numPr>
          <w:ilvl w:val="0"/>
          <w:numId w:val="51"/>
        </w:numPr>
        <w:rPr>
          <w:rFonts w:ascii="Arial" w:hAnsi="Arial"/>
          <w:sz w:val="22"/>
          <w:szCs w:val="22"/>
        </w:rPr>
      </w:pPr>
      <w:r w:rsidRPr="000075CE">
        <w:rPr>
          <w:rFonts w:ascii="Arial" w:hAnsi="Arial"/>
          <w:sz w:val="22"/>
          <w:szCs w:val="22"/>
        </w:rPr>
        <w:t>Stakeholder consultation activities;</w:t>
      </w:r>
    </w:p>
    <w:p w14:paraId="195BAE01" w14:textId="77777777" w:rsidR="00A5629D" w:rsidRPr="000075CE" w:rsidRDefault="00A5629D" w:rsidP="003B4B57">
      <w:pPr>
        <w:pStyle w:val="bodycopy"/>
        <w:numPr>
          <w:ilvl w:val="0"/>
          <w:numId w:val="51"/>
        </w:numPr>
        <w:rPr>
          <w:rFonts w:ascii="Arial" w:hAnsi="Arial"/>
          <w:sz w:val="22"/>
          <w:szCs w:val="22"/>
        </w:rPr>
      </w:pPr>
      <w:r w:rsidRPr="000075CE">
        <w:rPr>
          <w:rFonts w:ascii="Arial" w:hAnsi="Arial"/>
          <w:sz w:val="22"/>
          <w:szCs w:val="22"/>
        </w:rPr>
        <w:t>The environment affected by the activity;</w:t>
      </w:r>
    </w:p>
    <w:p w14:paraId="6D2F2531" w14:textId="77777777" w:rsidR="00A5629D" w:rsidRPr="000075CE" w:rsidRDefault="00A5629D" w:rsidP="003B4B57">
      <w:pPr>
        <w:pStyle w:val="bodycopy"/>
        <w:numPr>
          <w:ilvl w:val="0"/>
          <w:numId w:val="51"/>
        </w:numPr>
        <w:rPr>
          <w:rFonts w:ascii="Arial" w:hAnsi="Arial"/>
          <w:sz w:val="22"/>
          <w:szCs w:val="22"/>
        </w:rPr>
      </w:pPr>
      <w:r w:rsidRPr="000075CE">
        <w:rPr>
          <w:rFonts w:ascii="Arial" w:hAnsi="Arial"/>
          <w:sz w:val="22"/>
          <w:szCs w:val="22"/>
        </w:rPr>
        <w:t>Environmental impacts and risks (including emergency incidents);</w:t>
      </w:r>
    </w:p>
    <w:p w14:paraId="44B2B7EB" w14:textId="77777777" w:rsidR="00A5629D" w:rsidRPr="000075CE" w:rsidRDefault="00A5629D" w:rsidP="003B4B57">
      <w:pPr>
        <w:pStyle w:val="bodycopy"/>
        <w:numPr>
          <w:ilvl w:val="0"/>
          <w:numId w:val="51"/>
        </w:numPr>
        <w:rPr>
          <w:rFonts w:ascii="Arial" w:hAnsi="Arial"/>
          <w:sz w:val="22"/>
          <w:szCs w:val="22"/>
        </w:rPr>
      </w:pPr>
      <w:r w:rsidRPr="000075CE">
        <w:rPr>
          <w:rFonts w:ascii="Arial" w:hAnsi="Arial"/>
          <w:sz w:val="22"/>
          <w:szCs w:val="22"/>
        </w:rPr>
        <w:t xml:space="preserve">Mitigation and management measures; </w:t>
      </w:r>
    </w:p>
    <w:p w14:paraId="17469A99" w14:textId="77777777" w:rsidR="00A5629D" w:rsidRPr="000075CE" w:rsidRDefault="00A5629D" w:rsidP="003B4B57">
      <w:pPr>
        <w:pStyle w:val="bodycopy"/>
        <w:numPr>
          <w:ilvl w:val="0"/>
          <w:numId w:val="51"/>
        </w:numPr>
        <w:rPr>
          <w:rFonts w:ascii="Arial" w:hAnsi="Arial"/>
          <w:sz w:val="22"/>
          <w:szCs w:val="22"/>
        </w:rPr>
      </w:pPr>
      <w:r w:rsidRPr="000075CE">
        <w:rPr>
          <w:rFonts w:ascii="Arial" w:hAnsi="Arial"/>
          <w:sz w:val="22"/>
          <w:szCs w:val="22"/>
        </w:rPr>
        <w:t>Environmental performance objectives, standards and measurement criteria;</w:t>
      </w:r>
    </w:p>
    <w:p w14:paraId="10D5EC48" w14:textId="77777777" w:rsidR="00A5629D" w:rsidRPr="000075CE" w:rsidRDefault="00AB37C3" w:rsidP="003B4B57">
      <w:pPr>
        <w:pStyle w:val="bodycopy"/>
        <w:numPr>
          <w:ilvl w:val="0"/>
          <w:numId w:val="51"/>
        </w:numPr>
        <w:rPr>
          <w:rFonts w:ascii="Arial" w:hAnsi="Arial"/>
          <w:sz w:val="22"/>
          <w:szCs w:val="22"/>
        </w:rPr>
      </w:pPr>
      <w:r w:rsidRPr="000075CE">
        <w:rPr>
          <w:rFonts w:ascii="Arial" w:hAnsi="Arial"/>
          <w:sz w:val="22"/>
          <w:szCs w:val="22"/>
        </w:rPr>
        <w:t>The i</w:t>
      </w:r>
      <w:r w:rsidR="00A5629D" w:rsidRPr="000075CE">
        <w:rPr>
          <w:rFonts w:ascii="Arial" w:hAnsi="Arial"/>
          <w:sz w:val="22"/>
          <w:szCs w:val="22"/>
        </w:rPr>
        <w:t>mplementation strategy</w:t>
      </w:r>
      <w:r w:rsidRPr="000075CE">
        <w:rPr>
          <w:rFonts w:ascii="Arial" w:hAnsi="Arial"/>
          <w:sz w:val="22"/>
          <w:szCs w:val="22"/>
        </w:rPr>
        <w:t xml:space="preserve"> to ensure that the environmental impacts and risks are managed in a systematic manner</w:t>
      </w:r>
      <w:r w:rsidR="00A5629D" w:rsidRPr="000075CE">
        <w:rPr>
          <w:rFonts w:ascii="Arial" w:hAnsi="Arial"/>
          <w:sz w:val="22"/>
          <w:szCs w:val="22"/>
        </w:rPr>
        <w:t>; and</w:t>
      </w:r>
    </w:p>
    <w:p w14:paraId="79D64F95" w14:textId="77777777" w:rsidR="00A5629D" w:rsidRPr="000075CE" w:rsidRDefault="00A5629D" w:rsidP="003B4B57">
      <w:pPr>
        <w:pStyle w:val="bodycopy"/>
        <w:numPr>
          <w:ilvl w:val="0"/>
          <w:numId w:val="51"/>
        </w:numPr>
        <w:rPr>
          <w:rFonts w:ascii="Arial" w:hAnsi="Arial"/>
          <w:sz w:val="22"/>
          <w:szCs w:val="22"/>
        </w:rPr>
      </w:pPr>
      <w:r w:rsidRPr="000075CE">
        <w:rPr>
          <w:rFonts w:ascii="Arial" w:hAnsi="Arial"/>
          <w:sz w:val="22"/>
          <w:szCs w:val="22"/>
        </w:rPr>
        <w:t>Reporting arrangements.</w:t>
      </w:r>
    </w:p>
    <w:p w14:paraId="064C5749" w14:textId="5319AFF6" w:rsidR="007C3DE5" w:rsidRPr="000075CE" w:rsidRDefault="00D9127D" w:rsidP="007C3DE5">
      <w:pPr>
        <w:autoSpaceDE w:val="0"/>
        <w:autoSpaceDN w:val="0"/>
        <w:adjustRightInd w:val="0"/>
        <w:spacing w:line="240" w:lineRule="auto"/>
        <w:ind w:left="0"/>
        <w:rPr>
          <w:rFonts w:cs="Arial"/>
          <w:sz w:val="22"/>
          <w:szCs w:val="22"/>
        </w:rPr>
      </w:pPr>
      <w:r>
        <w:rPr>
          <w:rFonts w:cs="Arial"/>
          <w:sz w:val="22"/>
          <w:szCs w:val="22"/>
        </w:rPr>
        <w:t xml:space="preserve"> </w:t>
      </w:r>
    </w:p>
    <w:p w14:paraId="39BD4B82" w14:textId="77777777" w:rsidR="00A97F07" w:rsidRPr="007C3DE5" w:rsidRDefault="00A97F07" w:rsidP="007C3DE5">
      <w:pPr>
        <w:autoSpaceDE w:val="0"/>
        <w:autoSpaceDN w:val="0"/>
        <w:adjustRightInd w:val="0"/>
        <w:spacing w:line="240" w:lineRule="auto"/>
        <w:ind w:left="0"/>
        <w:rPr>
          <w:rFonts w:ascii="Tahoma" w:hAnsi="Tahoma" w:cs="Arial"/>
          <w:szCs w:val="20"/>
        </w:rPr>
      </w:pPr>
    </w:p>
    <w:p w14:paraId="2E0698B6" w14:textId="77777777" w:rsidR="006E3F8B" w:rsidRPr="00667CD0" w:rsidRDefault="006E3F8B" w:rsidP="006E3F8B">
      <w:pPr>
        <w:rPr>
          <w:rFonts w:ascii="Tahoma" w:hAnsi="Tahoma" w:cs="Tahoma"/>
          <w:szCs w:val="20"/>
        </w:rPr>
      </w:pPr>
    </w:p>
    <w:p w14:paraId="4E1D59D4" w14:textId="77777777" w:rsidR="006E3F8B" w:rsidRDefault="006E3F8B" w:rsidP="006E3F8B">
      <w:pPr>
        <w:rPr>
          <w:rFonts w:ascii="Tahoma" w:hAnsi="Tahoma" w:cs="Tahoma"/>
          <w:szCs w:val="20"/>
        </w:rPr>
      </w:pPr>
      <w:r w:rsidRPr="00667CD0">
        <w:rPr>
          <w:rFonts w:ascii="Tahoma" w:hAnsi="Tahoma" w:cs="Tahoma"/>
          <w:szCs w:val="20"/>
        </w:rPr>
        <w:t xml:space="preserve"> </w:t>
      </w:r>
    </w:p>
    <w:p w14:paraId="570C0071" w14:textId="77777777" w:rsidR="006E3F8B" w:rsidRDefault="006E3F8B" w:rsidP="006E3F8B">
      <w:pPr>
        <w:rPr>
          <w:rFonts w:ascii="Tahoma" w:hAnsi="Tahoma" w:cs="Tahoma"/>
          <w:szCs w:val="20"/>
        </w:rPr>
      </w:pPr>
      <w:r>
        <w:rPr>
          <w:rFonts w:ascii="Tahoma" w:hAnsi="Tahoma" w:cs="Tahoma"/>
          <w:szCs w:val="20"/>
        </w:rPr>
        <w:br w:type="page"/>
      </w:r>
    </w:p>
    <w:p w14:paraId="0279D482" w14:textId="77777777" w:rsidR="006E3F8B" w:rsidRPr="00B62B65" w:rsidRDefault="006E3F8B" w:rsidP="00B62B65">
      <w:pPr>
        <w:pStyle w:val="Heading1"/>
        <w:keepLines/>
        <w:numPr>
          <w:ilvl w:val="0"/>
          <w:numId w:val="1"/>
        </w:numPr>
        <w:tabs>
          <w:tab w:val="clear" w:pos="360"/>
        </w:tabs>
        <w:spacing w:before="520" w:after="480" w:line="240" w:lineRule="auto"/>
        <w:rPr>
          <w:rFonts w:cs="Times New Roman"/>
          <w:b/>
          <w:color w:val="064EA8"/>
          <w:kern w:val="0"/>
          <w:sz w:val="36"/>
          <w:lang w:eastAsia="en-US"/>
        </w:rPr>
      </w:pPr>
      <w:bookmarkStart w:id="7" w:name="_Ref475522025"/>
      <w:bookmarkStart w:id="8" w:name="_Toc375214496"/>
      <w:r w:rsidRPr="00B62B65">
        <w:rPr>
          <w:rFonts w:cs="Times New Roman"/>
          <w:b/>
          <w:color w:val="064EA8"/>
          <w:kern w:val="0"/>
          <w:sz w:val="36"/>
          <w:lang w:eastAsia="en-US"/>
        </w:rPr>
        <w:lastRenderedPageBreak/>
        <w:t>Project Description</w:t>
      </w:r>
      <w:bookmarkEnd w:id="7"/>
      <w:bookmarkEnd w:id="8"/>
    </w:p>
    <w:p w14:paraId="4B81B8F2" w14:textId="77777777" w:rsidR="006E3F8B" w:rsidRPr="00B62B65" w:rsidRDefault="006E3F8B" w:rsidP="00B62B65">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9" w:name="_Toc375214497"/>
      <w:r w:rsidRPr="00B62B65">
        <w:rPr>
          <w:rFonts w:cs="Times New Roman"/>
          <w:iCs w:val="0"/>
          <w:color w:val="064EA8"/>
          <w:szCs w:val="26"/>
          <w:lang w:eastAsia="en-US"/>
        </w:rPr>
        <w:t>Project Location</w:t>
      </w:r>
      <w:bookmarkEnd w:id="9"/>
      <w:r w:rsidRPr="00B62B65">
        <w:rPr>
          <w:rFonts w:cs="Times New Roman"/>
          <w:iCs w:val="0"/>
          <w:color w:val="064EA8"/>
          <w:szCs w:val="26"/>
          <w:lang w:eastAsia="en-US"/>
        </w:rPr>
        <w:t xml:space="preserve"> </w:t>
      </w:r>
    </w:p>
    <w:p w14:paraId="4AA0EE7C" w14:textId="480EFC1C" w:rsidR="001E292D" w:rsidRPr="000075CE" w:rsidRDefault="004D72D5" w:rsidP="000A1581">
      <w:pPr>
        <w:pStyle w:val="bodycopy"/>
        <w:rPr>
          <w:rFonts w:ascii="Arial" w:hAnsi="Arial"/>
          <w:sz w:val="22"/>
          <w:szCs w:val="22"/>
        </w:rPr>
      </w:pPr>
      <w:r w:rsidRPr="000075CE">
        <w:rPr>
          <w:rFonts w:ascii="Arial" w:hAnsi="Arial"/>
          <w:sz w:val="22"/>
          <w:szCs w:val="22"/>
        </w:rPr>
        <w:t xml:space="preserve">The GGAP006386(V) </w:t>
      </w:r>
      <w:r w:rsidR="001E292D" w:rsidRPr="000075CE">
        <w:rPr>
          <w:rFonts w:ascii="Arial" w:hAnsi="Arial"/>
          <w:sz w:val="22"/>
          <w:szCs w:val="22"/>
        </w:rPr>
        <w:t>GHG assessment permit is located in Victorian State waters, covering an area of 225 km</w:t>
      </w:r>
      <w:r w:rsidR="001E292D" w:rsidRPr="000075CE">
        <w:rPr>
          <w:rFonts w:ascii="Arial" w:hAnsi="Arial"/>
          <w:sz w:val="22"/>
          <w:szCs w:val="22"/>
          <w:vertAlign w:val="superscript"/>
        </w:rPr>
        <w:t>2</w:t>
      </w:r>
      <w:r w:rsidR="001E292D" w:rsidRPr="000075CE">
        <w:rPr>
          <w:rFonts w:ascii="Arial" w:hAnsi="Arial"/>
          <w:sz w:val="22"/>
          <w:szCs w:val="22"/>
        </w:rPr>
        <w:t xml:space="preserve"> in water depths ranging from 0 m to 22 m</w:t>
      </w:r>
      <w:r w:rsidR="00CC38F0">
        <w:rPr>
          <w:rFonts w:ascii="Arial" w:hAnsi="Arial"/>
          <w:sz w:val="22"/>
          <w:szCs w:val="22"/>
        </w:rPr>
        <w:t xml:space="preserve"> Lowest Astromical Tide (LAT)</w:t>
      </w:r>
      <w:r w:rsidR="001E292D" w:rsidRPr="000075CE">
        <w:rPr>
          <w:rFonts w:ascii="Arial" w:hAnsi="Arial"/>
          <w:sz w:val="22"/>
          <w:szCs w:val="22"/>
        </w:rPr>
        <w:t xml:space="preserve">. </w:t>
      </w:r>
    </w:p>
    <w:p w14:paraId="1AE9EB55" w14:textId="01EA891B" w:rsidR="001E292D" w:rsidRPr="000075CE" w:rsidRDefault="001E292D" w:rsidP="000A1581">
      <w:pPr>
        <w:pStyle w:val="bodycopy"/>
        <w:rPr>
          <w:rFonts w:ascii="Arial" w:hAnsi="Arial"/>
          <w:sz w:val="22"/>
          <w:szCs w:val="22"/>
        </w:rPr>
      </w:pPr>
      <w:r w:rsidRPr="000075CE">
        <w:rPr>
          <w:rFonts w:ascii="Arial" w:hAnsi="Arial"/>
          <w:sz w:val="22"/>
          <w:szCs w:val="22"/>
        </w:rPr>
        <w:t xml:space="preserve">The </w:t>
      </w:r>
      <w:r w:rsidR="004D72D5" w:rsidRPr="000075CE">
        <w:rPr>
          <w:rFonts w:ascii="Arial" w:hAnsi="Arial"/>
          <w:sz w:val="22"/>
          <w:szCs w:val="22"/>
        </w:rPr>
        <w:t>VIC-GIP-0</w:t>
      </w:r>
      <w:r w:rsidR="00822FB1">
        <w:rPr>
          <w:rFonts w:ascii="Arial" w:hAnsi="Arial"/>
          <w:sz w:val="22"/>
          <w:szCs w:val="22"/>
        </w:rPr>
        <w:t>0</w:t>
      </w:r>
      <w:r w:rsidR="004D72D5" w:rsidRPr="000075CE">
        <w:rPr>
          <w:rFonts w:ascii="Arial" w:hAnsi="Arial"/>
          <w:sz w:val="22"/>
          <w:szCs w:val="22"/>
        </w:rPr>
        <w:t xml:space="preserve">2 GHG assessment permit </w:t>
      </w:r>
      <w:r w:rsidRPr="000075CE">
        <w:rPr>
          <w:rFonts w:ascii="Arial" w:hAnsi="Arial"/>
          <w:sz w:val="22"/>
          <w:szCs w:val="22"/>
        </w:rPr>
        <w:t xml:space="preserve">is located </w:t>
      </w:r>
      <w:r w:rsidR="004D72D5" w:rsidRPr="000075CE">
        <w:rPr>
          <w:rFonts w:ascii="Arial" w:hAnsi="Arial"/>
          <w:sz w:val="22"/>
          <w:szCs w:val="22"/>
        </w:rPr>
        <w:t>in Commonwealth waters</w:t>
      </w:r>
      <w:r w:rsidRPr="000075CE">
        <w:rPr>
          <w:rFonts w:ascii="Arial" w:hAnsi="Arial"/>
          <w:sz w:val="22"/>
          <w:szCs w:val="22"/>
        </w:rPr>
        <w:t xml:space="preserve"> (adjacent to and</w:t>
      </w:r>
      <w:r w:rsidR="006E3F8B" w:rsidRPr="000075CE">
        <w:rPr>
          <w:rFonts w:ascii="Arial" w:hAnsi="Arial"/>
          <w:sz w:val="22"/>
          <w:szCs w:val="22"/>
        </w:rPr>
        <w:t xml:space="preserve"> contiguous </w:t>
      </w:r>
      <w:r w:rsidRPr="000075CE">
        <w:rPr>
          <w:rFonts w:ascii="Arial" w:hAnsi="Arial"/>
          <w:sz w:val="22"/>
          <w:szCs w:val="22"/>
        </w:rPr>
        <w:t xml:space="preserve">with the state </w:t>
      </w:r>
      <w:r w:rsidR="006E3F8B" w:rsidRPr="000075CE">
        <w:rPr>
          <w:rFonts w:ascii="Arial" w:hAnsi="Arial"/>
          <w:sz w:val="22"/>
          <w:szCs w:val="22"/>
        </w:rPr>
        <w:t>permit</w:t>
      </w:r>
      <w:r w:rsidRPr="000075CE">
        <w:rPr>
          <w:rFonts w:ascii="Arial" w:hAnsi="Arial"/>
          <w:sz w:val="22"/>
          <w:szCs w:val="22"/>
        </w:rPr>
        <w:t>),</w:t>
      </w:r>
      <w:r w:rsidR="006E3F8B" w:rsidRPr="000075CE">
        <w:rPr>
          <w:rFonts w:ascii="Arial" w:hAnsi="Arial"/>
          <w:sz w:val="22"/>
          <w:szCs w:val="22"/>
        </w:rPr>
        <w:t xml:space="preserve"> covering an area of </w:t>
      </w:r>
      <w:r w:rsidR="00822FB1">
        <w:rPr>
          <w:rFonts w:ascii="Arial" w:hAnsi="Arial"/>
          <w:sz w:val="22"/>
          <w:szCs w:val="22"/>
        </w:rPr>
        <w:t>223</w:t>
      </w:r>
      <w:r w:rsidR="004D72D5" w:rsidRPr="000075CE">
        <w:rPr>
          <w:rFonts w:ascii="Arial" w:hAnsi="Arial"/>
          <w:sz w:val="22"/>
          <w:szCs w:val="22"/>
        </w:rPr>
        <w:t xml:space="preserve"> </w:t>
      </w:r>
      <w:r w:rsidR="006E3F8B" w:rsidRPr="000075CE">
        <w:rPr>
          <w:rFonts w:ascii="Arial" w:hAnsi="Arial"/>
          <w:sz w:val="22"/>
          <w:szCs w:val="22"/>
        </w:rPr>
        <w:t>km</w:t>
      </w:r>
      <w:r w:rsidR="006E3F8B" w:rsidRPr="000075CE">
        <w:rPr>
          <w:rFonts w:ascii="Arial" w:hAnsi="Arial"/>
          <w:sz w:val="22"/>
          <w:szCs w:val="22"/>
          <w:vertAlign w:val="superscript"/>
        </w:rPr>
        <w:t>2</w:t>
      </w:r>
      <w:r w:rsidR="006E3F8B" w:rsidRPr="000075CE">
        <w:rPr>
          <w:rFonts w:ascii="Arial" w:hAnsi="Arial"/>
          <w:sz w:val="22"/>
          <w:szCs w:val="22"/>
        </w:rPr>
        <w:t xml:space="preserve"> </w:t>
      </w:r>
      <w:r w:rsidR="00C423BE" w:rsidRPr="000075CE">
        <w:rPr>
          <w:rFonts w:ascii="Arial" w:hAnsi="Arial"/>
          <w:sz w:val="22"/>
          <w:szCs w:val="22"/>
        </w:rPr>
        <w:t xml:space="preserve">in water depths </w:t>
      </w:r>
      <w:r w:rsidR="00B62B65" w:rsidRPr="000075CE">
        <w:rPr>
          <w:rFonts w:ascii="Arial" w:hAnsi="Arial"/>
          <w:sz w:val="22"/>
          <w:szCs w:val="22"/>
        </w:rPr>
        <w:t xml:space="preserve">ranging between </w:t>
      </w:r>
      <w:r w:rsidR="00C423BE" w:rsidRPr="000075CE">
        <w:rPr>
          <w:rFonts w:ascii="Arial" w:hAnsi="Arial"/>
          <w:sz w:val="22"/>
          <w:szCs w:val="22"/>
        </w:rPr>
        <w:t>22</w:t>
      </w:r>
      <w:r w:rsidR="00B62B65" w:rsidRPr="000075CE">
        <w:rPr>
          <w:rFonts w:ascii="Arial" w:hAnsi="Arial"/>
          <w:sz w:val="22"/>
          <w:szCs w:val="22"/>
        </w:rPr>
        <w:t xml:space="preserve"> m and </w:t>
      </w:r>
      <w:r w:rsidR="003B141B" w:rsidRPr="000075CE">
        <w:rPr>
          <w:rFonts w:ascii="Arial" w:hAnsi="Arial"/>
          <w:sz w:val="22"/>
          <w:szCs w:val="22"/>
        </w:rPr>
        <w:t>40</w:t>
      </w:r>
      <w:r w:rsidR="00B62B65" w:rsidRPr="000075CE">
        <w:rPr>
          <w:rFonts w:ascii="Arial" w:hAnsi="Arial"/>
          <w:sz w:val="22"/>
          <w:szCs w:val="22"/>
        </w:rPr>
        <w:t xml:space="preserve"> m</w:t>
      </w:r>
      <w:r w:rsidR="00CC38F0">
        <w:rPr>
          <w:rFonts w:ascii="Arial" w:hAnsi="Arial"/>
          <w:sz w:val="22"/>
          <w:szCs w:val="22"/>
        </w:rPr>
        <w:t xml:space="preserve"> LAT</w:t>
      </w:r>
      <w:r w:rsidR="006E3F8B" w:rsidRPr="000075CE">
        <w:rPr>
          <w:rFonts w:ascii="Arial" w:hAnsi="Arial"/>
          <w:sz w:val="22"/>
          <w:szCs w:val="22"/>
        </w:rPr>
        <w:t>.</w:t>
      </w:r>
    </w:p>
    <w:p w14:paraId="1AF5DF04" w14:textId="6546B44A" w:rsidR="004D72D5" w:rsidRPr="00F80400" w:rsidRDefault="00804C5C" w:rsidP="000A1581">
      <w:pPr>
        <w:pStyle w:val="bodycopy"/>
        <w:rPr>
          <w:rFonts w:ascii="Arial" w:hAnsi="Arial"/>
          <w:sz w:val="22"/>
          <w:szCs w:val="22"/>
        </w:rPr>
      </w:pPr>
      <w:r w:rsidRPr="000075CE">
        <w:rPr>
          <w:rFonts w:ascii="Arial" w:hAnsi="Arial"/>
          <w:sz w:val="22"/>
          <w:szCs w:val="22"/>
        </w:rPr>
        <w:t xml:space="preserve">The </w:t>
      </w:r>
      <w:r w:rsidR="001E292D" w:rsidRPr="000075CE">
        <w:rPr>
          <w:rFonts w:ascii="Arial" w:hAnsi="Arial"/>
          <w:sz w:val="22"/>
          <w:szCs w:val="22"/>
        </w:rPr>
        <w:t xml:space="preserve">proposed Pelican 3DMSS </w:t>
      </w:r>
      <w:r w:rsidRPr="000075CE">
        <w:rPr>
          <w:rFonts w:ascii="Arial" w:hAnsi="Arial"/>
          <w:sz w:val="22"/>
          <w:szCs w:val="22"/>
        </w:rPr>
        <w:t>is divided into two areas</w:t>
      </w:r>
      <w:r w:rsidR="00822FB1">
        <w:rPr>
          <w:rFonts w:ascii="Arial" w:hAnsi="Arial"/>
          <w:sz w:val="22"/>
          <w:szCs w:val="22"/>
        </w:rPr>
        <w:t xml:space="preserve"> </w:t>
      </w:r>
      <w:r w:rsidR="00822FB1" w:rsidRPr="000075CE">
        <w:rPr>
          <w:rFonts w:ascii="Arial" w:hAnsi="Arial"/>
          <w:sz w:val="22"/>
          <w:szCs w:val="22"/>
        </w:rPr>
        <w:t>(</w:t>
      </w:r>
      <w:r w:rsidR="00822FB1" w:rsidRPr="00F80400">
        <w:rPr>
          <w:rFonts w:ascii="Arial" w:hAnsi="Arial"/>
          <w:sz w:val="22"/>
          <w:szCs w:val="22"/>
        </w:rPr>
        <w:t>Figure 2.1)</w:t>
      </w:r>
      <w:r w:rsidRPr="00F80400">
        <w:rPr>
          <w:rFonts w:ascii="Arial" w:hAnsi="Arial"/>
          <w:sz w:val="22"/>
          <w:szCs w:val="22"/>
        </w:rPr>
        <w:t>, these being the:</w:t>
      </w:r>
    </w:p>
    <w:p w14:paraId="65796CB3" w14:textId="702AC1FC" w:rsidR="00804C5C" w:rsidRPr="00F80400" w:rsidRDefault="004D72D5" w:rsidP="00A34D74">
      <w:pPr>
        <w:pStyle w:val="bodycopy"/>
        <w:numPr>
          <w:ilvl w:val="0"/>
          <w:numId w:val="57"/>
        </w:numPr>
        <w:rPr>
          <w:rFonts w:ascii="Arial" w:hAnsi="Arial"/>
          <w:sz w:val="22"/>
          <w:szCs w:val="22"/>
        </w:rPr>
      </w:pPr>
      <w:r w:rsidRPr="00F80400">
        <w:rPr>
          <w:rFonts w:ascii="Arial" w:hAnsi="Arial"/>
          <w:sz w:val="22"/>
          <w:szCs w:val="22"/>
        </w:rPr>
        <w:t>‘</w:t>
      </w:r>
      <w:r w:rsidR="00804C5C" w:rsidRPr="00F80400">
        <w:rPr>
          <w:rFonts w:ascii="Arial" w:hAnsi="Arial"/>
          <w:sz w:val="22"/>
          <w:szCs w:val="22"/>
        </w:rPr>
        <w:t>A</w:t>
      </w:r>
      <w:r w:rsidR="006E3F8B" w:rsidRPr="00F80400">
        <w:rPr>
          <w:rFonts w:ascii="Arial" w:hAnsi="Arial"/>
          <w:sz w:val="22"/>
          <w:szCs w:val="22"/>
        </w:rPr>
        <w:t xml:space="preserve">cquisition </w:t>
      </w:r>
      <w:r w:rsidRPr="00F80400">
        <w:rPr>
          <w:rFonts w:ascii="Arial" w:hAnsi="Arial"/>
          <w:sz w:val="22"/>
          <w:szCs w:val="22"/>
        </w:rPr>
        <w:t xml:space="preserve">area’ </w:t>
      </w:r>
      <w:r w:rsidR="00804C5C" w:rsidRPr="00F80400">
        <w:rPr>
          <w:rFonts w:ascii="Arial" w:hAnsi="Arial"/>
          <w:sz w:val="22"/>
          <w:szCs w:val="22"/>
        </w:rPr>
        <w:t xml:space="preserve">- </w:t>
      </w:r>
      <w:r w:rsidRPr="00F80400">
        <w:rPr>
          <w:rFonts w:ascii="Arial" w:hAnsi="Arial"/>
          <w:sz w:val="22"/>
          <w:szCs w:val="22"/>
        </w:rPr>
        <w:t xml:space="preserve">the </w:t>
      </w:r>
      <w:r w:rsidR="00804C5C" w:rsidRPr="00F80400">
        <w:rPr>
          <w:rFonts w:ascii="Arial" w:hAnsi="Arial"/>
          <w:sz w:val="22"/>
          <w:szCs w:val="22"/>
        </w:rPr>
        <w:t xml:space="preserve">physical </w:t>
      </w:r>
      <w:r w:rsidRPr="00F80400">
        <w:rPr>
          <w:rFonts w:ascii="Arial" w:hAnsi="Arial"/>
          <w:sz w:val="22"/>
          <w:szCs w:val="22"/>
        </w:rPr>
        <w:t>area in which the seismic source will operate</w:t>
      </w:r>
      <w:r w:rsidR="00804C5C" w:rsidRPr="00F80400">
        <w:rPr>
          <w:rFonts w:ascii="Arial" w:hAnsi="Arial"/>
          <w:sz w:val="22"/>
          <w:szCs w:val="22"/>
        </w:rPr>
        <w:t>,</w:t>
      </w:r>
      <w:r w:rsidRPr="00F80400">
        <w:rPr>
          <w:rFonts w:ascii="Arial" w:hAnsi="Arial"/>
          <w:sz w:val="22"/>
          <w:szCs w:val="22"/>
        </w:rPr>
        <w:t xml:space="preserve"> </w:t>
      </w:r>
      <w:r w:rsidR="00804C5C" w:rsidRPr="00F80400">
        <w:rPr>
          <w:rFonts w:ascii="Arial" w:hAnsi="Arial"/>
          <w:sz w:val="22"/>
          <w:szCs w:val="22"/>
        </w:rPr>
        <w:t xml:space="preserve">occurring over </w:t>
      </w:r>
      <w:r w:rsidRPr="00F80400">
        <w:rPr>
          <w:rFonts w:ascii="Arial" w:hAnsi="Arial"/>
          <w:sz w:val="22"/>
          <w:szCs w:val="22"/>
        </w:rPr>
        <w:t xml:space="preserve">both </w:t>
      </w:r>
      <w:r w:rsidR="00804C5C" w:rsidRPr="00F80400">
        <w:rPr>
          <w:rFonts w:ascii="Arial" w:hAnsi="Arial"/>
          <w:sz w:val="22"/>
          <w:szCs w:val="22"/>
        </w:rPr>
        <w:t xml:space="preserve">GHG </w:t>
      </w:r>
      <w:r w:rsidRPr="00F80400">
        <w:rPr>
          <w:rFonts w:ascii="Arial" w:hAnsi="Arial"/>
          <w:sz w:val="22"/>
          <w:szCs w:val="22"/>
        </w:rPr>
        <w:t>assessment permit areas and cover</w:t>
      </w:r>
      <w:r w:rsidR="00804C5C" w:rsidRPr="00F80400">
        <w:rPr>
          <w:rFonts w:ascii="Arial" w:hAnsi="Arial"/>
          <w:sz w:val="22"/>
          <w:szCs w:val="22"/>
        </w:rPr>
        <w:t>ing</w:t>
      </w:r>
      <w:r w:rsidRPr="00F80400">
        <w:rPr>
          <w:rFonts w:ascii="Arial" w:hAnsi="Arial"/>
          <w:sz w:val="22"/>
          <w:szCs w:val="22"/>
        </w:rPr>
        <w:t xml:space="preserve"> an area of 16</w:t>
      </w:r>
      <w:r w:rsidR="00791C29" w:rsidRPr="00F80400">
        <w:rPr>
          <w:rFonts w:ascii="Arial" w:hAnsi="Arial"/>
          <w:sz w:val="22"/>
          <w:szCs w:val="22"/>
        </w:rPr>
        <w:t>6</w:t>
      </w:r>
      <w:r w:rsidRPr="00F80400">
        <w:rPr>
          <w:rFonts w:ascii="Arial" w:hAnsi="Arial"/>
          <w:sz w:val="22"/>
          <w:szCs w:val="22"/>
        </w:rPr>
        <w:t xml:space="preserve"> km</w:t>
      </w:r>
      <w:r w:rsidRPr="00F80400">
        <w:rPr>
          <w:rFonts w:ascii="Arial" w:hAnsi="Arial"/>
          <w:sz w:val="22"/>
          <w:szCs w:val="22"/>
          <w:vertAlign w:val="superscript"/>
        </w:rPr>
        <w:t>2</w:t>
      </w:r>
      <w:r w:rsidR="009C7DB6" w:rsidRPr="00F80400">
        <w:rPr>
          <w:rFonts w:ascii="Arial" w:hAnsi="Arial"/>
          <w:sz w:val="22"/>
          <w:szCs w:val="22"/>
        </w:rPr>
        <w:t>; and</w:t>
      </w:r>
    </w:p>
    <w:p w14:paraId="7E4BFD78" w14:textId="5E02B3CB" w:rsidR="00804C5C" w:rsidRPr="00F80400" w:rsidRDefault="004D72D5" w:rsidP="00A34D74">
      <w:pPr>
        <w:pStyle w:val="bodycopy"/>
        <w:numPr>
          <w:ilvl w:val="0"/>
          <w:numId w:val="57"/>
        </w:numPr>
        <w:rPr>
          <w:rFonts w:ascii="Arial" w:hAnsi="Arial"/>
          <w:sz w:val="22"/>
          <w:szCs w:val="22"/>
        </w:rPr>
      </w:pPr>
      <w:r w:rsidRPr="00F80400">
        <w:rPr>
          <w:rFonts w:ascii="Arial" w:hAnsi="Arial"/>
          <w:sz w:val="22"/>
          <w:szCs w:val="22"/>
        </w:rPr>
        <w:t>‘</w:t>
      </w:r>
      <w:r w:rsidR="00804C5C" w:rsidRPr="00F80400">
        <w:rPr>
          <w:rFonts w:ascii="Arial" w:hAnsi="Arial"/>
          <w:sz w:val="22"/>
          <w:szCs w:val="22"/>
        </w:rPr>
        <w:t>O</w:t>
      </w:r>
      <w:r w:rsidRPr="00F80400">
        <w:rPr>
          <w:rFonts w:ascii="Arial" w:hAnsi="Arial"/>
          <w:sz w:val="22"/>
          <w:szCs w:val="22"/>
        </w:rPr>
        <w:t xml:space="preserve">perational area’ </w:t>
      </w:r>
      <w:r w:rsidR="00804C5C" w:rsidRPr="00F80400">
        <w:rPr>
          <w:rFonts w:ascii="Arial" w:hAnsi="Arial"/>
          <w:sz w:val="22"/>
          <w:szCs w:val="22"/>
        </w:rPr>
        <w:t xml:space="preserve">- </w:t>
      </w:r>
      <w:r w:rsidRPr="00F80400">
        <w:rPr>
          <w:rFonts w:ascii="Arial" w:hAnsi="Arial"/>
          <w:sz w:val="22"/>
          <w:szCs w:val="22"/>
        </w:rPr>
        <w:t xml:space="preserve">the </w:t>
      </w:r>
      <w:r w:rsidR="00804C5C" w:rsidRPr="00F80400">
        <w:rPr>
          <w:rFonts w:ascii="Arial" w:hAnsi="Arial"/>
          <w:sz w:val="22"/>
          <w:szCs w:val="22"/>
        </w:rPr>
        <w:t xml:space="preserve">physical </w:t>
      </w:r>
      <w:r w:rsidRPr="00F80400">
        <w:rPr>
          <w:rFonts w:ascii="Arial" w:hAnsi="Arial"/>
          <w:sz w:val="22"/>
          <w:szCs w:val="22"/>
        </w:rPr>
        <w:t xml:space="preserve">area in which </w:t>
      </w:r>
      <w:r w:rsidR="00804C5C" w:rsidRPr="00F80400">
        <w:rPr>
          <w:rFonts w:ascii="Arial" w:hAnsi="Arial"/>
          <w:sz w:val="22"/>
          <w:szCs w:val="22"/>
        </w:rPr>
        <w:t xml:space="preserve">operations ancillary to achieving survey coverage will take place. This includes vessel approach, vessel </w:t>
      </w:r>
      <w:r w:rsidRPr="00F80400">
        <w:rPr>
          <w:rFonts w:ascii="Arial" w:hAnsi="Arial"/>
          <w:sz w:val="22"/>
          <w:szCs w:val="22"/>
        </w:rPr>
        <w:t>line turns</w:t>
      </w:r>
      <w:r w:rsidR="00804C5C" w:rsidRPr="00F80400">
        <w:rPr>
          <w:rFonts w:ascii="Arial" w:hAnsi="Arial"/>
          <w:sz w:val="22"/>
          <w:szCs w:val="22"/>
        </w:rPr>
        <w:t>, testing of the seismic source and miscellaneous maintenance operations.</w:t>
      </w:r>
      <w:r w:rsidRPr="00F80400">
        <w:rPr>
          <w:rFonts w:ascii="Arial" w:hAnsi="Arial"/>
          <w:sz w:val="22"/>
          <w:szCs w:val="22"/>
        </w:rPr>
        <w:t xml:space="preserve"> </w:t>
      </w:r>
    </w:p>
    <w:p w14:paraId="4447DAC1" w14:textId="3F9DD9EA" w:rsidR="004D72D5" w:rsidRPr="00F80400" w:rsidRDefault="000626B3" w:rsidP="00804C5C">
      <w:pPr>
        <w:pStyle w:val="bodycopy"/>
        <w:rPr>
          <w:rFonts w:ascii="Arial" w:hAnsi="Arial"/>
          <w:sz w:val="22"/>
          <w:szCs w:val="22"/>
        </w:rPr>
      </w:pPr>
      <w:r w:rsidRPr="00F80400">
        <w:rPr>
          <w:rFonts w:ascii="Arial" w:hAnsi="Arial"/>
          <w:sz w:val="22"/>
          <w:szCs w:val="22"/>
        </w:rPr>
        <w:t xml:space="preserve">The acquisition and operational areas combined are simply referred to as the </w:t>
      </w:r>
      <w:r w:rsidR="00B62B65" w:rsidRPr="00F80400">
        <w:rPr>
          <w:rFonts w:ascii="Arial" w:hAnsi="Arial"/>
          <w:sz w:val="22"/>
          <w:szCs w:val="22"/>
        </w:rPr>
        <w:t xml:space="preserve">proposed </w:t>
      </w:r>
      <w:r w:rsidRPr="00F80400">
        <w:rPr>
          <w:rFonts w:ascii="Arial" w:hAnsi="Arial"/>
          <w:sz w:val="22"/>
          <w:szCs w:val="22"/>
        </w:rPr>
        <w:t xml:space="preserve">survey area. </w:t>
      </w:r>
    </w:p>
    <w:p w14:paraId="13A00930" w14:textId="77777777" w:rsidR="004D72D5" w:rsidRDefault="000626B3" w:rsidP="00AE0A46">
      <w:pPr>
        <w:pStyle w:val="bodycopy"/>
        <w:spacing w:after="240"/>
        <w:rPr>
          <w:rFonts w:ascii="Arial" w:hAnsi="Arial"/>
          <w:sz w:val="22"/>
          <w:szCs w:val="22"/>
        </w:rPr>
      </w:pPr>
      <w:r w:rsidRPr="00F80400">
        <w:rPr>
          <w:rFonts w:ascii="Arial" w:hAnsi="Arial"/>
          <w:sz w:val="22"/>
          <w:szCs w:val="22"/>
        </w:rPr>
        <w:t xml:space="preserve">The </w:t>
      </w:r>
      <w:r w:rsidR="001E292D" w:rsidRPr="00F80400">
        <w:rPr>
          <w:rFonts w:ascii="Arial" w:hAnsi="Arial"/>
          <w:sz w:val="22"/>
          <w:szCs w:val="22"/>
        </w:rPr>
        <w:t xml:space="preserve">proposed </w:t>
      </w:r>
      <w:r w:rsidRPr="00F80400">
        <w:rPr>
          <w:rFonts w:ascii="Arial" w:hAnsi="Arial"/>
          <w:sz w:val="22"/>
          <w:szCs w:val="22"/>
        </w:rPr>
        <w:t xml:space="preserve">survey area is located </w:t>
      </w:r>
      <w:r w:rsidR="008B661F" w:rsidRPr="00F80400">
        <w:rPr>
          <w:rFonts w:ascii="Arial" w:hAnsi="Arial"/>
          <w:sz w:val="22"/>
          <w:szCs w:val="22"/>
        </w:rPr>
        <w:t xml:space="preserve">between 1 and 13 km from the shoreline </w:t>
      </w:r>
      <w:r w:rsidRPr="00F80400">
        <w:rPr>
          <w:rFonts w:ascii="Arial" w:hAnsi="Arial"/>
          <w:sz w:val="22"/>
          <w:szCs w:val="22"/>
        </w:rPr>
        <w:t xml:space="preserve">off </w:t>
      </w:r>
      <w:r w:rsidR="008B661F" w:rsidRPr="00F80400">
        <w:rPr>
          <w:rFonts w:ascii="Arial" w:hAnsi="Arial"/>
          <w:sz w:val="22"/>
          <w:szCs w:val="22"/>
        </w:rPr>
        <w:t xml:space="preserve">the township of </w:t>
      </w:r>
      <w:r w:rsidR="00AF0C8A" w:rsidRPr="00F80400">
        <w:rPr>
          <w:rFonts w:ascii="Arial" w:hAnsi="Arial"/>
          <w:sz w:val="22"/>
          <w:szCs w:val="22"/>
        </w:rPr>
        <w:t>Golden Beach, midway along the N</w:t>
      </w:r>
      <w:r w:rsidRPr="00F80400">
        <w:rPr>
          <w:rFonts w:ascii="Arial" w:hAnsi="Arial"/>
          <w:sz w:val="22"/>
          <w:szCs w:val="22"/>
        </w:rPr>
        <w:t xml:space="preserve">inety Mile Beach between Loch Sport and Seaspray in south Gippsland. </w:t>
      </w:r>
      <w:r w:rsidR="006E3F8B" w:rsidRPr="00F80400">
        <w:rPr>
          <w:rFonts w:ascii="Arial" w:hAnsi="Arial"/>
          <w:sz w:val="22"/>
          <w:szCs w:val="22"/>
        </w:rPr>
        <w:t>The coordinates of the</w:t>
      </w:r>
      <w:r w:rsidR="004D72D5" w:rsidRPr="00F80400">
        <w:rPr>
          <w:rFonts w:ascii="Arial" w:hAnsi="Arial"/>
          <w:sz w:val="22"/>
          <w:szCs w:val="22"/>
        </w:rPr>
        <w:t xml:space="preserve"> acquisition and operational areas are provided </w:t>
      </w:r>
      <w:r w:rsidR="006E3F8B" w:rsidRPr="00F80400">
        <w:rPr>
          <w:rFonts w:ascii="Arial" w:hAnsi="Arial"/>
          <w:sz w:val="22"/>
          <w:szCs w:val="22"/>
        </w:rPr>
        <w:t>in Table 2.1</w:t>
      </w:r>
      <w:r w:rsidR="00D15ACF" w:rsidRPr="00F80400">
        <w:rPr>
          <w:rFonts w:ascii="Arial" w:hAnsi="Arial"/>
          <w:sz w:val="22"/>
          <w:szCs w:val="22"/>
        </w:rPr>
        <w:t xml:space="preserve"> and distances from the acquisition area to nearby features are provided in Table 2.2.</w:t>
      </w:r>
    </w:p>
    <w:p w14:paraId="611F0819" w14:textId="77777777" w:rsidR="00300587" w:rsidRPr="00B62B65" w:rsidRDefault="00300587" w:rsidP="00300587">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10" w:name="_Toc375214498"/>
      <w:r w:rsidRPr="00B62B65">
        <w:rPr>
          <w:rFonts w:cs="Times New Roman"/>
          <w:iCs w:val="0"/>
          <w:color w:val="064EA8"/>
          <w:szCs w:val="26"/>
          <w:lang w:eastAsia="en-US"/>
        </w:rPr>
        <w:t>Project Objective</w:t>
      </w:r>
      <w:bookmarkEnd w:id="10"/>
    </w:p>
    <w:p w14:paraId="7E868F9A" w14:textId="77777777" w:rsidR="00300587" w:rsidRDefault="00300587" w:rsidP="00300587">
      <w:pPr>
        <w:pStyle w:val="bodycopy"/>
        <w:rPr>
          <w:rFonts w:ascii="Arial" w:hAnsi="Arial"/>
          <w:sz w:val="22"/>
          <w:szCs w:val="22"/>
        </w:rPr>
      </w:pPr>
      <w:r w:rsidRPr="000075CE">
        <w:rPr>
          <w:rFonts w:ascii="Arial" w:hAnsi="Arial"/>
          <w:sz w:val="22"/>
          <w:szCs w:val="22"/>
        </w:rPr>
        <w:t xml:space="preserve">The purpose of the proposed Pelican 3DMSS is to gain deeper knowledge of the </w:t>
      </w:r>
      <w:r>
        <w:rPr>
          <w:rFonts w:ascii="Arial" w:hAnsi="Arial"/>
          <w:sz w:val="22"/>
          <w:szCs w:val="22"/>
        </w:rPr>
        <w:t>subsurface</w:t>
      </w:r>
      <w:r w:rsidRPr="000075CE">
        <w:rPr>
          <w:rFonts w:ascii="Arial" w:hAnsi="Arial"/>
          <w:sz w:val="22"/>
          <w:szCs w:val="22"/>
        </w:rPr>
        <w:t xml:space="preserve"> geology of the area. This will help inform the potential for CO</w:t>
      </w:r>
      <w:r w:rsidRPr="000075CE">
        <w:rPr>
          <w:rFonts w:ascii="Arial" w:hAnsi="Arial"/>
          <w:sz w:val="22"/>
          <w:szCs w:val="22"/>
          <w:vertAlign w:val="subscript"/>
        </w:rPr>
        <w:t>2</w:t>
      </w:r>
      <w:r w:rsidRPr="000075CE">
        <w:rPr>
          <w:rFonts w:ascii="Arial" w:hAnsi="Arial"/>
          <w:sz w:val="22"/>
          <w:szCs w:val="22"/>
        </w:rPr>
        <w:t xml:space="preserve"> storage in the survey area.</w:t>
      </w:r>
    </w:p>
    <w:p w14:paraId="2A34D632" w14:textId="77777777" w:rsidR="00300587" w:rsidRPr="00B62B65" w:rsidRDefault="00300587" w:rsidP="00300587">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11" w:name="_Toc375214499"/>
      <w:r w:rsidRPr="00B62B65">
        <w:rPr>
          <w:rFonts w:cs="Times New Roman"/>
          <w:iCs w:val="0"/>
          <w:color w:val="064EA8"/>
          <w:szCs w:val="26"/>
          <w:lang w:eastAsia="en-US"/>
        </w:rPr>
        <w:t>Project Development</w:t>
      </w:r>
      <w:bookmarkEnd w:id="11"/>
      <w:r>
        <w:rPr>
          <w:rFonts w:cs="Times New Roman"/>
          <w:iCs w:val="0"/>
          <w:color w:val="064EA8"/>
          <w:szCs w:val="26"/>
          <w:lang w:eastAsia="en-US"/>
        </w:rPr>
        <w:t xml:space="preserve"> </w:t>
      </w:r>
    </w:p>
    <w:p w14:paraId="480A15A1" w14:textId="77777777" w:rsidR="00300587" w:rsidRDefault="00300587" w:rsidP="00300587">
      <w:pPr>
        <w:pStyle w:val="bodycopy"/>
        <w:jc w:val="both"/>
        <w:rPr>
          <w:rFonts w:ascii="Arial" w:hAnsi="Arial"/>
          <w:sz w:val="22"/>
          <w:szCs w:val="22"/>
        </w:rPr>
      </w:pPr>
      <w:r w:rsidRPr="00F473CF">
        <w:rPr>
          <w:rFonts w:ascii="Arial" w:hAnsi="Arial"/>
          <w:sz w:val="22"/>
          <w:szCs w:val="22"/>
        </w:rPr>
        <w:t xml:space="preserve">The CarbonNet </w:t>
      </w:r>
      <w:r>
        <w:rPr>
          <w:rFonts w:ascii="Arial" w:hAnsi="Arial"/>
          <w:sz w:val="22"/>
          <w:szCs w:val="22"/>
        </w:rPr>
        <w:t>P</w:t>
      </w:r>
      <w:r w:rsidRPr="00F473CF">
        <w:rPr>
          <w:rFonts w:ascii="Arial" w:hAnsi="Arial"/>
          <w:sz w:val="22"/>
          <w:szCs w:val="22"/>
        </w:rPr>
        <w:t xml:space="preserve">roject has been developed using a stage-gated process and is currently in Stage 3 </w:t>
      </w:r>
      <w:r>
        <w:rPr>
          <w:rFonts w:ascii="Arial" w:hAnsi="Arial"/>
          <w:sz w:val="22"/>
          <w:szCs w:val="22"/>
        </w:rPr>
        <w:t>(</w:t>
      </w:r>
      <w:r w:rsidRPr="00F473CF">
        <w:rPr>
          <w:rFonts w:ascii="Arial" w:hAnsi="Arial"/>
          <w:sz w:val="22"/>
          <w:szCs w:val="22"/>
        </w:rPr>
        <w:t>Project Development and Commercial Establishment</w:t>
      </w:r>
      <w:r>
        <w:rPr>
          <w:rFonts w:ascii="Arial" w:hAnsi="Arial"/>
          <w:sz w:val="22"/>
          <w:szCs w:val="22"/>
        </w:rPr>
        <w:t>)</w:t>
      </w:r>
      <w:r w:rsidRPr="00F473CF">
        <w:rPr>
          <w:rFonts w:ascii="Arial" w:hAnsi="Arial"/>
          <w:sz w:val="22"/>
          <w:szCs w:val="22"/>
        </w:rPr>
        <w:t>.</w:t>
      </w:r>
      <w:r>
        <w:rPr>
          <w:rFonts w:ascii="Arial" w:hAnsi="Arial"/>
          <w:sz w:val="22"/>
          <w:szCs w:val="22"/>
        </w:rPr>
        <w:t xml:space="preserve"> </w:t>
      </w:r>
    </w:p>
    <w:p w14:paraId="45EC96AF" w14:textId="77777777" w:rsidR="00300587" w:rsidRDefault="00300587" w:rsidP="00300587">
      <w:pPr>
        <w:pStyle w:val="bodycopy"/>
        <w:jc w:val="both"/>
        <w:rPr>
          <w:rFonts w:ascii="Arial" w:hAnsi="Arial"/>
          <w:sz w:val="22"/>
          <w:szCs w:val="22"/>
        </w:rPr>
      </w:pPr>
      <w:r w:rsidRPr="000075CE">
        <w:rPr>
          <w:rFonts w:ascii="Arial" w:hAnsi="Arial"/>
          <w:sz w:val="22"/>
          <w:szCs w:val="22"/>
        </w:rPr>
        <w:t>CarbonNet is uniquely placed to assess the suitability of GGAP006386(V) and VIC-GIP-002 for CO</w:t>
      </w:r>
      <w:r w:rsidRPr="000075CE">
        <w:rPr>
          <w:rFonts w:ascii="Arial" w:hAnsi="Arial"/>
          <w:sz w:val="22"/>
          <w:szCs w:val="22"/>
          <w:vertAlign w:val="subscript"/>
        </w:rPr>
        <w:t>2</w:t>
      </w:r>
      <w:r w:rsidRPr="000075CE">
        <w:rPr>
          <w:rFonts w:ascii="Arial" w:hAnsi="Arial"/>
          <w:sz w:val="22"/>
          <w:szCs w:val="22"/>
        </w:rPr>
        <w:t xml:space="preserve"> storage as it has invested over four years undertaking feasibility studies with a particular focus on the Pelican formation.</w:t>
      </w:r>
    </w:p>
    <w:p w14:paraId="205D7F35" w14:textId="77777777" w:rsidR="00300587" w:rsidRPr="000075CE" w:rsidRDefault="00300587" w:rsidP="00300587">
      <w:pPr>
        <w:pStyle w:val="bodycopy"/>
        <w:spacing w:after="240"/>
        <w:rPr>
          <w:rFonts w:ascii="Arial" w:hAnsi="Arial"/>
          <w:sz w:val="22"/>
          <w:szCs w:val="22"/>
        </w:rPr>
      </w:pPr>
      <w:r w:rsidRPr="000075CE">
        <w:rPr>
          <w:rFonts w:ascii="Arial" w:hAnsi="Arial"/>
          <w:sz w:val="22"/>
          <w:szCs w:val="22"/>
        </w:rPr>
        <w:t>CarbonNet has a high degree of confidence in the potential for the Pelican storage formation to safely and securely store commercial volumes of CO</w:t>
      </w:r>
      <w:r w:rsidRPr="000075CE">
        <w:rPr>
          <w:rFonts w:ascii="Arial" w:hAnsi="Arial"/>
          <w:sz w:val="22"/>
          <w:szCs w:val="22"/>
          <w:vertAlign w:val="subscript"/>
        </w:rPr>
        <w:t>2</w:t>
      </w:r>
      <w:r w:rsidRPr="000075CE">
        <w:rPr>
          <w:rFonts w:ascii="Arial" w:hAnsi="Arial"/>
          <w:sz w:val="22"/>
          <w:szCs w:val="22"/>
        </w:rPr>
        <w:t xml:space="preserve">. </w:t>
      </w:r>
    </w:p>
    <w:p w14:paraId="5B7AAB84" w14:textId="77777777" w:rsidR="000075CE" w:rsidRPr="000075CE" w:rsidRDefault="000075CE" w:rsidP="00AE0A46">
      <w:pPr>
        <w:pStyle w:val="bodycopy"/>
        <w:spacing w:after="240"/>
        <w:rPr>
          <w:rFonts w:ascii="Arial" w:hAnsi="Arial"/>
          <w:sz w:val="22"/>
          <w:szCs w:val="22"/>
        </w:rPr>
      </w:pPr>
    </w:p>
    <w:p w14:paraId="03BD7543" w14:textId="77777777" w:rsidR="004D72D5" w:rsidRDefault="004D72D5" w:rsidP="000A1581">
      <w:pPr>
        <w:pStyle w:val="bodycopy"/>
      </w:pPr>
    </w:p>
    <w:p w14:paraId="7333C691" w14:textId="77777777" w:rsidR="006B3D2C" w:rsidRDefault="006B3D2C" w:rsidP="00D31F82">
      <w:pPr>
        <w:spacing w:before="120" w:after="120"/>
        <w:jc w:val="center"/>
        <w:rPr>
          <w:rFonts w:ascii="Tahoma" w:hAnsi="Tahoma" w:cs="Tahoma"/>
          <w:b/>
          <w:sz w:val="20"/>
          <w:szCs w:val="20"/>
        </w:rPr>
      </w:pPr>
    </w:p>
    <w:p w14:paraId="681BAAE5" w14:textId="77777777" w:rsidR="000075CE" w:rsidRDefault="000075CE" w:rsidP="00D31F82">
      <w:pPr>
        <w:spacing w:before="120" w:after="120"/>
        <w:jc w:val="center"/>
        <w:rPr>
          <w:rFonts w:ascii="Tahoma" w:hAnsi="Tahoma" w:cs="Tahoma"/>
          <w:b/>
          <w:sz w:val="20"/>
          <w:szCs w:val="20"/>
        </w:rPr>
      </w:pPr>
    </w:p>
    <w:p w14:paraId="78314004" w14:textId="1471B59E" w:rsidR="006B3D2C" w:rsidRPr="000075CE" w:rsidRDefault="002B6E4F" w:rsidP="00410517">
      <w:pPr>
        <w:spacing w:before="120" w:after="120"/>
        <w:ind w:left="142"/>
        <w:rPr>
          <w:b/>
          <w:sz w:val="20"/>
        </w:rPr>
      </w:pPr>
      <w:r>
        <w:rPr>
          <w:noProof/>
        </w:rPr>
        <w:lastRenderedPageBreak/>
        <w:drawing>
          <wp:inline distT="0" distB="0" distL="0" distR="0" wp14:anchorId="58FFF425" wp14:editId="6E4602D6">
            <wp:extent cx="5173721" cy="7219507"/>
            <wp:effectExtent l="0" t="0" r="8255" b="635"/>
            <wp:docPr id="227" name="Picture 227" descr="\\internal.vic.gov.au\DEDJTR\HomeDirs3\vic83nm\Desktop\03_EP_Survey_Lines_Map_1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nternal.vic.gov.au\DEDJTR\HomeDirs3\vic83nm\Desktop\03_EP_Survey_Lines_Map_10_3.png"/>
                    <pic:cNvPicPr>
                      <a:picLocks noChangeAspect="1" noChangeArrowheads="1"/>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5175226" cy="7221607"/>
                    </a:xfrm>
                    <a:prstGeom prst="rect">
                      <a:avLst/>
                    </a:prstGeom>
                    <a:noFill/>
                    <a:ln>
                      <a:noFill/>
                    </a:ln>
                    <a:extLst>
                      <a:ext uri="{53640926-AAD7-44D8-BBD7-CCE9431645EC}">
                        <a14:shadowObscured xmlns:a14="http://schemas.microsoft.com/office/drawing/2010/main"/>
                      </a:ext>
                    </a:extLst>
                  </pic:spPr>
                </pic:pic>
              </a:graphicData>
            </a:graphic>
          </wp:inline>
        </w:drawing>
      </w:r>
      <w:r w:rsidR="006B3D2C" w:rsidRPr="000075CE">
        <w:rPr>
          <w:b/>
          <w:sz w:val="20"/>
        </w:rPr>
        <w:t>Figure 2.1</w:t>
      </w:r>
      <w:r w:rsidR="001908E6">
        <w:rPr>
          <w:b/>
          <w:sz w:val="20"/>
        </w:rPr>
        <w:t>.</w:t>
      </w:r>
      <w:r w:rsidR="006B3D2C" w:rsidRPr="000075CE">
        <w:rPr>
          <w:b/>
          <w:sz w:val="20"/>
        </w:rPr>
        <w:tab/>
        <w:t>The proposed Pelican 3DMSS acquisition and operational areas</w:t>
      </w:r>
    </w:p>
    <w:p w14:paraId="2455A895" w14:textId="77777777" w:rsidR="006B3D2C" w:rsidRDefault="006B3D2C" w:rsidP="00D31F82">
      <w:pPr>
        <w:spacing w:before="120" w:after="120"/>
        <w:jc w:val="center"/>
        <w:rPr>
          <w:rFonts w:ascii="Tahoma" w:hAnsi="Tahoma" w:cs="Tahoma"/>
          <w:b/>
          <w:sz w:val="20"/>
          <w:szCs w:val="20"/>
        </w:rPr>
      </w:pPr>
    </w:p>
    <w:p w14:paraId="05311202" w14:textId="77777777" w:rsidR="006B3D2C" w:rsidRDefault="006B3D2C" w:rsidP="00D31F82">
      <w:pPr>
        <w:spacing w:before="120" w:after="120"/>
        <w:jc w:val="center"/>
        <w:rPr>
          <w:rFonts w:ascii="Tahoma" w:hAnsi="Tahoma" w:cs="Tahoma"/>
          <w:b/>
          <w:sz w:val="20"/>
          <w:szCs w:val="20"/>
        </w:rPr>
      </w:pPr>
    </w:p>
    <w:p w14:paraId="1D9A7680" w14:textId="77777777" w:rsidR="00CC38F0" w:rsidRDefault="00CC38F0" w:rsidP="00F473CF">
      <w:pPr>
        <w:pStyle w:val="bodycopy"/>
        <w:jc w:val="center"/>
        <w:rPr>
          <w:rFonts w:ascii="Arial" w:hAnsi="Arial"/>
          <w:b/>
          <w:sz w:val="20"/>
        </w:rPr>
      </w:pPr>
    </w:p>
    <w:p w14:paraId="0EE7ABF4" w14:textId="77777777" w:rsidR="002B6E4F" w:rsidRDefault="002B6E4F" w:rsidP="00F473CF">
      <w:pPr>
        <w:pStyle w:val="bodycopy"/>
        <w:jc w:val="center"/>
        <w:rPr>
          <w:rFonts w:ascii="Arial" w:hAnsi="Arial"/>
          <w:b/>
          <w:sz w:val="20"/>
        </w:rPr>
      </w:pPr>
    </w:p>
    <w:p w14:paraId="79484288" w14:textId="77777777" w:rsidR="00791C29" w:rsidRDefault="00791C29" w:rsidP="00F473CF">
      <w:pPr>
        <w:pStyle w:val="bodycopy"/>
        <w:jc w:val="center"/>
        <w:rPr>
          <w:rFonts w:ascii="Arial" w:hAnsi="Arial"/>
          <w:b/>
          <w:sz w:val="20"/>
        </w:rPr>
      </w:pPr>
    </w:p>
    <w:p w14:paraId="2FD062B7" w14:textId="77777777" w:rsidR="00386519" w:rsidRDefault="00386519" w:rsidP="00F473CF">
      <w:pPr>
        <w:pStyle w:val="bodycopy"/>
        <w:jc w:val="center"/>
        <w:rPr>
          <w:rFonts w:ascii="Arial" w:hAnsi="Arial"/>
          <w:b/>
          <w:sz w:val="20"/>
        </w:rPr>
      </w:pPr>
    </w:p>
    <w:p w14:paraId="161E3379" w14:textId="77777777" w:rsidR="00F473CF" w:rsidRPr="000075CE" w:rsidRDefault="00F473CF" w:rsidP="00F473CF">
      <w:pPr>
        <w:pStyle w:val="bodycopy"/>
        <w:jc w:val="center"/>
        <w:rPr>
          <w:rFonts w:ascii="Arial" w:hAnsi="Arial"/>
          <w:b/>
          <w:sz w:val="20"/>
        </w:rPr>
      </w:pPr>
      <w:r w:rsidRPr="000075CE">
        <w:rPr>
          <w:rFonts w:ascii="Arial" w:hAnsi="Arial"/>
          <w:b/>
          <w:sz w:val="20"/>
        </w:rPr>
        <w:lastRenderedPageBreak/>
        <w:t>Table 2.1.</w:t>
      </w:r>
      <w:r w:rsidRPr="000075CE">
        <w:rPr>
          <w:rFonts w:ascii="Arial" w:hAnsi="Arial"/>
          <w:b/>
          <w:sz w:val="20"/>
        </w:rPr>
        <w:tab/>
        <w:t>Coordinates of the survey acquisition and operational areas</w:t>
      </w: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727"/>
        <w:gridCol w:w="1856"/>
        <w:gridCol w:w="1842"/>
        <w:gridCol w:w="1985"/>
      </w:tblGrid>
      <w:tr w:rsidR="00F473CF" w:rsidRPr="000075CE" w14:paraId="495BB5F6" w14:textId="77777777" w:rsidTr="00AD018E">
        <w:trPr>
          <w:jc w:val="center"/>
        </w:trPr>
        <w:tc>
          <w:tcPr>
            <w:tcW w:w="3583" w:type="dxa"/>
            <w:gridSpan w:val="2"/>
            <w:shd w:val="clear" w:color="auto" w:fill="064EA8"/>
          </w:tcPr>
          <w:p w14:paraId="1FA954F1" w14:textId="77777777" w:rsidR="00F473CF" w:rsidRPr="000075CE" w:rsidRDefault="00F473CF" w:rsidP="00AD018E">
            <w:pPr>
              <w:pStyle w:val="bodycopy"/>
              <w:spacing w:before="60" w:after="60"/>
              <w:jc w:val="center"/>
              <w:rPr>
                <w:rFonts w:ascii="Arial" w:hAnsi="Arial"/>
                <w:color w:val="FFFFFF" w:themeColor="background1"/>
                <w:sz w:val="20"/>
              </w:rPr>
            </w:pPr>
            <w:r w:rsidRPr="000075CE">
              <w:rPr>
                <w:rFonts w:ascii="Arial" w:hAnsi="Arial"/>
                <w:color w:val="FFFFFF" w:themeColor="background1"/>
                <w:sz w:val="20"/>
              </w:rPr>
              <w:t>Acquisition area</w:t>
            </w:r>
          </w:p>
        </w:tc>
        <w:tc>
          <w:tcPr>
            <w:tcW w:w="3827" w:type="dxa"/>
            <w:gridSpan w:val="2"/>
            <w:shd w:val="clear" w:color="auto" w:fill="064EA8"/>
          </w:tcPr>
          <w:p w14:paraId="3E2C6CEE" w14:textId="77777777" w:rsidR="00F473CF" w:rsidRPr="000075CE" w:rsidRDefault="00F473CF" w:rsidP="00AD018E">
            <w:pPr>
              <w:pStyle w:val="bodycopy"/>
              <w:spacing w:before="60" w:after="60"/>
              <w:jc w:val="center"/>
              <w:rPr>
                <w:rFonts w:ascii="Arial" w:hAnsi="Arial"/>
                <w:color w:val="FFFFFF" w:themeColor="background1"/>
                <w:sz w:val="20"/>
              </w:rPr>
            </w:pPr>
            <w:r w:rsidRPr="000075CE">
              <w:rPr>
                <w:rFonts w:ascii="Arial" w:hAnsi="Arial"/>
                <w:color w:val="FFFFFF" w:themeColor="background1"/>
                <w:sz w:val="20"/>
              </w:rPr>
              <w:t>Operational area</w:t>
            </w:r>
          </w:p>
        </w:tc>
      </w:tr>
      <w:tr w:rsidR="00F473CF" w:rsidRPr="000075CE" w14:paraId="62BB7733" w14:textId="77777777" w:rsidTr="00AD018E">
        <w:trPr>
          <w:jc w:val="center"/>
        </w:trPr>
        <w:tc>
          <w:tcPr>
            <w:tcW w:w="1727" w:type="dxa"/>
            <w:shd w:val="clear" w:color="auto" w:fill="064EA8"/>
          </w:tcPr>
          <w:p w14:paraId="5E606D7D" w14:textId="77777777" w:rsidR="00F473CF" w:rsidRPr="000075CE" w:rsidRDefault="00F473CF" w:rsidP="00AD018E">
            <w:pPr>
              <w:pStyle w:val="bodycopy"/>
              <w:spacing w:before="60" w:after="60"/>
              <w:jc w:val="center"/>
              <w:rPr>
                <w:rFonts w:ascii="Arial" w:hAnsi="Arial"/>
                <w:color w:val="FFFFFF" w:themeColor="background1"/>
                <w:sz w:val="20"/>
              </w:rPr>
            </w:pPr>
            <w:r w:rsidRPr="000075CE">
              <w:rPr>
                <w:rFonts w:ascii="Arial" w:hAnsi="Arial"/>
                <w:color w:val="FFFFFF" w:themeColor="background1"/>
                <w:sz w:val="20"/>
              </w:rPr>
              <w:t>Latitude</w:t>
            </w:r>
          </w:p>
        </w:tc>
        <w:tc>
          <w:tcPr>
            <w:tcW w:w="1856" w:type="dxa"/>
            <w:shd w:val="clear" w:color="auto" w:fill="064EA8"/>
          </w:tcPr>
          <w:p w14:paraId="34554D6C" w14:textId="77777777" w:rsidR="00F473CF" w:rsidRPr="000075CE" w:rsidRDefault="00F473CF" w:rsidP="00AD018E">
            <w:pPr>
              <w:pStyle w:val="bodycopy"/>
              <w:spacing w:before="60" w:after="60"/>
              <w:jc w:val="center"/>
              <w:rPr>
                <w:rFonts w:ascii="Arial" w:hAnsi="Arial"/>
                <w:color w:val="FFFFFF" w:themeColor="background1"/>
                <w:sz w:val="20"/>
              </w:rPr>
            </w:pPr>
            <w:r w:rsidRPr="000075CE">
              <w:rPr>
                <w:rFonts w:ascii="Arial" w:hAnsi="Arial"/>
                <w:color w:val="FFFFFF" w:themeColor="background1"/>
                <w:sz w:val="20"/>
              </w:rPr>
              <w:t>Longitude</w:t>
            </w:r>
          </w:p>
        </w:tc>
        <w:tc>
          <w:tcPr>
            <w:tcW w:w="1842" w:type="dxa"/>
            <w:shd w:val="clear" w:color="auto" w:fill="064EA8"/>
          </w:tcPr>
          <w:p w14:paraId="4787E91F" w14:textId="77777777" w:rsidR="00F473CF" w:rsidRPr="000075CE" w:rsidRDefault="00F473CF" w:rsidP="00AD018E">
            <w:pPr>
              <w:pStyle w:val="bodycopy"/>
              <w:spacing w:before="60" w:after="60"/>
              <w:jc w:val="center"/>
              <w:rPr>
                <w:rFonts w:ascii="Arial" w:hAnsi="Arial"/>
                <w:color w:val="FFFFFF" w:themeColor="background1"/>
                <w:sz w:val="20"/>
              </w:rPr>
            </w:pPr>
            <w:r w:rsidRPr="000075CE">
              <w:rPr>
                <w:rFonts w:ascii="Arial" w:hAnsi="Arial"/>
                <w:color w:val="FFFFFF" w:themeColor="background1"/>
                <w:sz w:val="20"/>
              </w:rPr>
              <w:t>Latitude</w:t>
            </w:r>
          </w:p>
        </w:tc>
        <w:tc>
          <w:tcPr>
            <w:tcW w:w="1985" w:type="dxa"/>
            <w:shd w:val="clear" w:color="auto" w:fill="064EA8"/>
          </w:tcPr>
          <w:p w14:paraId="44072FA4" w14:textId="77777777" w:rsidR="00F473CF" w:rsidRPr="000075CE" w:rsidRDefault="00F473CF" w:rsidP="00AD018E">
            <w:pPr>
              <w:pStyle w:val="bodycopy"/>
              <w:spacing w:before="60" w:after="60"/>
              <w:jc w:val="center"/>
              <w:rPr>
                <w:rFonts w:ascii="Arial" w:hAnsi="Arial"/>
                <w:color w:val="FFFFFF" w:themeColor="background1"/>
                <w:sz w:val="20"/>
              </w:rPr>
            </w:pPr>
            <w:r w:rsidRPr="000075CE">
              <w:rPr>
                <w:rFonts w:ascii="Arial" w:hAnsi="Arial"/>
                <w:color w:val="FFFFFF" w:themeColor="background1"/>
                <w:sz w:val="20"/>
              </w:rPr>
              <w:t>Longitude</w:t>
            </w:r>
          </w:p>
        </w:tc>
      </w:tr>
      <w:tr w:rsidR="00F473CF" w:rsidRPr="000075CE" w14:paraId="21D84693" w14:textId="77777777" w:rsidTr="00AD018E">
        <w:trPr>
          <w:jc w:val="center"/>
        </w:trPr>
        <w:tc>
          <w:tcPr>
            <w:tcW w:w="1727" w:type="dxa"/>
            <w:shd w:val="clear" w:color="auto" w:fill="auto"/>
          </w:tcPr>
          <w:p w14:paraId="4CD8CA73"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147° 19’ 56”</w:t>
            </w:r>
          </w:p>
        </w:tc>
        <w:tc>
          <w:tcPr>
            <w:tcW w:w="1856" w:type="dxa"/>
            <w:shd w:val="clear" w:color="auto" w:fill="auto"/>
          </w:tcPr>
          <w:p w14:paraId="33DB7F56"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-38° 16’ 42”</w:t>
            </w:r>
          </w:p>
        </w:tc>
        <w:tc>
          <w:tcPr>
            <w:tcW w:w="1842" w:type="dxa"/>
            <w:shd w:val="clear" w:color="auto" w:fill="auto"/>
          </w:tcPr>
          <w:p w14:paraId="06B0CCC1" w14:textId="642D5251" w:rsidR="00F473CF" w:rsidRPr="00A11462" w:rsidRDefault="00F473CF" w:rsidP="00446172">
            <w:pPr>
              <w:pStyle w:val="bodycopy"/>
              <w:spacing w:before="60" w:after="60"/>
              <w:jc w:val="center"/>
              <w:rPr>
                <w:rFonts w:ascii="Arial" w:hAnsi="Arial"/>
                <w:sz w:val="20"/>
              </w:rPr>
            </w:pPr>
            <w:r w:rsidRPr="00A11462">
              <w:rPr>
                <w:rFonts w:ascii="Arial" w:hAnsi="Arial"/>
                <w:sz w:val="20"/>
              </w:rPr>
              <w:t xml:space="preserve">147° </w:t>
            </w:r>
            <w:r w:rsidR="00446172" w:rsidRPr="00A11462">
              <w:rPr>
                <w:rFonts w:ascii="Arial" w:hAnsi="Arial"/>
                <w:sz w:val="20"/>
              </w:rPr>
              <w:t>1</w:t>
            </w:r>
            <w:r w:rsidRPr="00A11462">
              <w:rPr>
                <w:rFonts w:ascii="Arial" w:hAnsi="Arial"/>
                <w:sz w:val="20"/>
              </w:rPr>
              <w:t xml:space="preserve">7’ </w:t>
            </w:r>
            <w:r w:rsidR="00446172" w:rsidRPr="00A11462">
              <w:rPr>
                <w:rFonts w:ascii="Arial" w:hAnsi="Arial"/>
                <w:sz w:val="20"/>
              </w:rPr>
              <w:t>30</w:t>
            </w:r>
            <w:r w:rsidRPr="00A11462">
              <w:rPr>
                <w:rFonts w:ascii="Arial" w:hAnsi="Arial"/>
                <w:sz w:val="20"/>
              </w:rPr>
              <w:t>”</w:t>
            </w:r>
          </w:p>
        </w:tc>
        <w:tc>
          <w:tcPr>
            <w:tcW w:w="1985" w:type="dxa"/>
            <w:shd w:val="clear" w:color="auto" w:fill="auto"/>
          </w:tcPr>
          <w:p w14:paraId="47ABB8AB" w14:textId="49B9951A" w:rsidR="00F473CF" w:rsidRPr="00BA5AAA" w:rsidRDefault="00F473CF" w:rsidP="00446172">
            <w:pPr>
              <w:pStyle w:val="bodycopy"/>
              <w:spacing w:before="60" w:after="60"/>
              <w:jc w:val="center"/>
              <w:rPr>
                <w:rFonts w:ascii="Arial" w:hAnsi="Arial"/>
                <w:sz w:val="20"/>
              </w:rPr>
            </w:pPr>
            <w:r w:rsidRPr="00BA5AAA">
              <w:rPr>
                <w:rFonts w:ascii="Arial" w:hAnsi="Arial"/>
                <w:sz w:val="20"/>
              </w:rPr>
              <w:t>-38° 1</w:t>
            </w:r>
            <w:r w:rsidR="00446172" w:rsidRPr="00BA5AAA">
              <w:rPr>
                <w:rFonts w:ascii="Arial" w:hAnsi="Arial"/>
                <w:sz w:val="20"/>
              </w:rPr>
              <w:t>8</w:t>
            </w:r>
            <w:r w:rsidRPr="00BA5AAA">
              <w:rPr>
                <w:rFonts w:ascii="Arial" w:hAnsi="Arial"/>
                <w:sz w:val="20"/>
              </w:rPr>
              <w:t>’ 3</w:t>
            </w:r>
            <w:r w:rsidR="00446172" w:rsidRPr="00BA5AAA">
              <w:rPr>
                <w:rFonts w:ascii="Arial" w:hAnsi="Arial"/>
                <w:sz w:val="20"/>
              </w:rPr>
              <w:t>7</w:t>
            </w:r>
            <w:r w:rsidRPr="00BA5AAA">
              <w:rPr>
                <w:rFonts w:ascii="Arial" w:hAnsi="Arial"/>
                <w:sz w:val="20"/>
              </w:rPr>
              <w:t>”</w:t>
            </w:r>
          </w:p>
        </w:tc>
      </w:tr>
      <w:tr w:rsidR="00F473CF" w:rsidRPr="000075CE" w14:paraId="3F06001E" w14:textId="77777777" w:rsidTr="00AD018E">
        <w:trPr>
          <w:jc w:val="center"/>
        </w:trPr>
        <w:tc>
          <w:tcPr>
            <w:tcW w:w="1727" w:type="dxa"/>
            <w:shd w:val="clear" w:color="auto" w:fill="auto"/>
          </w:tcPr>
          <w:p w14:paraId="01182FB3"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147° 20’ 58”</w:t>
            </w:r>
          </w:p>
        </w:tc>
        <w:tc>
          <w:tcPr>
            <w:tcW w:w="1856" w:type="dxa"/>
            <w:shd w:val="clear" w:color="auto" w:fill="auto"/>
          </w:tcPr>
          <w:p w14:paraId="17EAA5A5"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-38° 17’ 52”</w:t>
            </w:r>
          </w:p>
        </w:tc>
        <w:tc>
          <w:tcPr>
            <w:tcW w:w="1842" w:type="dxa"/>
            <w:shd w:val="clear" w:color="auto" w:fill="auto"/>
          </w:tcPr>
          <w:p w14:paraId="1FE16696" w14:textId="6E7B0F72" w:rsidR="00F473CF" w:rsidRPr="00A11462" w:rsidRDefault="00F473CF" w:rsidP="00446172">
            <w:pPr>
              <w:pStyle w:val="bodycopy"/>
              <w:spacing w:before="60" w:after="60"/>
              <w:jc w:val="center"/>
              <w:rPr>
                <w:rFonts w:ascii="Arial" w:hAnsi="Arial"/>
                <w:sz w:val="20"/>
              </w:rPr>
            </w:pPr>
            <w:r w:rsidRPr="00A11462">
              <w:rPr>
                <w:rFonts w:ascii="Arial" w:hAnsi="Arial"/>
                <w:sz w:val="20"/>
              </w:rPr>
              <w:t>147° 2</w:t>
            </w:r>
            <w:r w:rsidR="00446172" w:rsidRPr="00A11462">
              <w:rPr>
                <w:rFonts w:ascii="Arial" w:hAnsi="Arial"/>
                <w:sz w:val="20"/>
              </w:rPr>
              <w:t>9</w:t>
            </w:r>
            <w:r w:rsidRPr="00A11462">
              <w:rPr>
                <w:rFonts w:ascii="Arial" w:hAnsi="Arial"/>
                <w:sz w:val="20"/>
              </w:rPr>
              <w:t xml:space="preserve">’ </w:t>
            </w:r>
            <w:r w:rsidR="00446172" w:rsidRPr="00A11462">
              <w:rPr>
                <w:rFonts w:ascii="Arial" w:hAnsi="Arial"/>
                <w:sz w:val="20"/>
              </w:rPr>
              <w:t>3</w:t>
            </w:r>
            <w:r w:rsidRPr="00A11462">
              <w:rPr>
                <w:rFonts w:ascii="Arial" w:hAnsi="Arial"/>
                <w:sz w:val="20"/>
              </w:rPr>
              <w:t>5”</w:t>
            </w:r>
          </w:p>
        </w:tc>
        <w:tc>
          <w:tcPr>
            <w:tcW w:w="1985" w:type="dxa"/>
            <w:shd w:val="clear" w:color="auto" w:fill="auto"/>
          </w:tcPr>
          <w:p w14:paraId="25295DF3" w14:textId="6A65E323" w:rsidR="00F473CF" w:rsidRPr="00BA5AAA" w:rsidRDefault="00F473CF" w:rsidP="00446172">
            <w:pPr>
              <w:pStyle w:val="bodycopy"/>
              <w:spacing w:before="60" w:after="60"/>
              <w:jc w:val="center"/>
              <w:rPr>
                <w:rFonts w:ascii="Arial" w:hAnsi="Arial"/>
                <w:sz w:val="20"/>
              </w:rPr>
            </w:pPr>
            <w:r w:rsidRPr="00BA5AAA">
              <w:rPr>
                <w:rFonts w:ascii="Arial" w:hAnsi="Arial"/>
                <w:sz w:val="20"/>
              </w:rPr>
              <w:t xml:space="preserve">-38° </w:t>
            </w:r>
            <w:r w:rsidR="002312E1">
              <w:rPr>
                <w:rFonts w:ascii="Arial" w:hAnsi="Arial"/>
                <w:sz w:val="20"/>
              </w:rPr>
              <w:t>0</w:t>
            </w:r>
            <w:r w:rsidRPr="00BA5AAA">
              <w:rPr>
                <w:rFonts w:ascii="Arial" w:hAnsi="Arial"/>
                <w:sz w:val="20"/>
              </w:rPr>
              <w:t>8’ 5</w:t>
            </w:r>
            <w:r w:rsidR="00446172" w:rsidRPr="00BA5AAA">
              <w:rPr>
                <w:rFonts w:ascii="Arial" w:hAnsi="Arial"/>
                <w:sz w:val="20"/>
              </w:rPr>
              <w:t>8</w:t>
            </w:r>
            <w:r w:rsidRPr="00BA5AAA">
              <w:rPr>
                <w:rFonts w:ascii="Arial" w:hAnsi="Arial"/>
                <w:sz w:val="20"/>
              </w:rPr>
              <w:t>”</w:t>
            </w:r>
          </w:p>
        </w:tc>
      </w:tr>
      <w:tr w:rsidR="00F473CF" w:rsidRPr="000075CE" w14:paraId="6056D17B" w14:textId="77777777" w:rsidTr="00AD018E">
        <w:trPr>
          <w:jc w:val="center"/>
        </w:trPr>
        <w:tc>
          <w:tcPr>
            <w:tcW w:w="1727" w:type="dxa"/>
            <w:shd w:val="clear" w:color="auto" w:fill="auto"/>
          </w:tcPr>
          <w:p w14:paraId="643F5002"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147° 21’ 47”</w:t>
            </w:r>
          </w:p>
        </w:tc>
        <w:tc>
          <w:tcPr>
            <w:tcW w:w="1856" w:type="dxa"/>
            <w:shd w:val="clear" w:color="auto" w:fill="auto"/>
          </w:tcPr>
          <w:p w14:paraId="6BED3B6F"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-38° 18’ 00”</w:t>
            </w:r>
          </w:p>
        </w:tc>
        <w:tc>
          <w:tcPr>
            <w:tcW w:w="1842" w:type="dxa"/>
            <w:shd w:val="clear" w:color="auto" w:fill="auto"/>
          </w:tcPr>
          <w:p w14:paraId="070E01F2" w14:textId="486850AF" w:rsidR="00F473CF" w:rsidRPr="00A11462" w:rsidRDefault="00F473CF" w:rsidP="000C3246">
            <w:pPr>
              <w:pStyle w:val="bodycopy"/>
              <w:spacing w:before="60" w:after="60"/>
              <w:jc w:val="center"/>
              <w:rPr>
                <w:rFonts w:ascii="Arial" w:hAnsi="Arial"/>
                <w:sz w:val="20"/>
              </w:rPr>
            </w:pPr>
            <w:r w:rsidRPr="00A11462">
              <w:rPr>
                <w:rFonts w:ascii="Arial" w:hAnsi="Arial"/>
                <w:sz w:val="20"/>
              </w:rPr>
              <w:t xml:space="preserve">147° </w:t>
            </w:r>
            <w:r w:rsidR="000C3246" w:rsidRPr="00A11462">
              <w:rPr>
                <w:rFonts w:ascii="Arial" w:hAnsi="Arial"/>
                <w:sz w:val="20"/>
              </w:rPr>
              <w:t>30’</w:t>
            </w:r>
            <w:r w:rsidRPr="00A11462">
              <w:rPr>
                <w:rFonts w:ascii="Arial" w:hAnsi="Arial"/>
                <w:sz w:val="20"/>
              </w:rPr>
              <w:t xml:space="preserve"> </w:t>
            </w:r>
            <w:r w:rsidR="000C3246" w:rsidRPr="00A11462">
              <w:rPr>
                <w:rFonts w:ascii="Arial" w:hAnsi="Arial"/>
                <w:sz w:val="20"/>
              </w:rPr>
              <w:t>24</w:t>
            </w:r>
            <w:r w:rsidRPr="00A11462">
              <w:rPr>
                <w:rFonts w:ascii="Arial" w:hAnsi="Arial"/>
                <w:sz w:val="20"/>
              </w:rPr>
              <w:t>”</w:t>
            </w:r>
          </w:p>
        </w:tc>
        <w:tc>
          <w:tcPr>
            <w:tcW w:w="1985" w:type="dxa"/>
            <w:shd w:val="clear" w:color="auto" w:fill="auto"/>
          </w:tcPr>
          <w:p w14:paraId="3F6D54B1" w14:textId="3FEC6184" w:rsidR="00F473CF" w:rsidRPr="00BA5AAA" w:rsidRDefault="00F473CF" w:rsidP="000C3246">
            <w:pPr>
              <w:pStyle w:val="bodycopy"/>
              <w:spacing w:before="60" w:after="60"/>
              <w:jc w:val="center"/>
              <w:rPr>
                <w:rFonts w:ascii="Arial" w:hAnsi="Arial"/>
                <w:sz w:val="20"/>
              </w:rPr>
            </w:pPr>
            <w:r w:rsidRPr="00BA5AAA">
              <w:rPr>
                <w:rFonts w:ascii="Arial" w:hAnsi="Arial"/>
                <w:sz w:val="20"/>
              </w:rPr>
              <w:t xml:space="preserve">-38° </w:t>
            </w:r>
            <w:r w:rsidR="002312E1">
              <w:rPr>
                <w:rFonts w:ascii="Arial" w:hAnsi="Arial"/>
                <w:sz w:val="20"/>
              </w:rPr>
              <w:t>0</w:t>
            </w:r>
            <w:r w:rsidR="000C3246" w:rsidRPr="00BA5AAA">
              <w:rPr>
                <w:rFonts w:ascii="Arial" w:hAnsi="Arial"/>
                <w:sz w:val="20"/>
              </w:rPr>
              <w:t>8</w:t>
            </w:r>
            <w:r w:rsidRPr="00BA5AAA">
              <w:rPr>
                <w:rFonts w:ascii="Arial" w:hAnsi="Arial"/>
                <w:sz w:val="20"/>
              </w:rPr>
              <w:t xml:space="preserve">’ </w:t>
            </w:r>
            <w:r w:rsidR="000C3246" w:rsidRPr="00BA5AAA">
              <w:rPr>
                <w:rFonts w:ascii="Arial" w:hAnsi="Arial"/>
                <w:sz w:val="20"/>
              </w:rPr>
              <w:t>44</w:t>
            </w:r>
            <w:r w:rsidRPr="00BA5AAA">
              <w:rPr>
                <w:rFonts w:ascii="Arial" w:hAnsi="Arial"/>
                <w:sz w:val="20"/>
              </w:rPr>
              <w:t>”</w:t>
            </w:r>
          </w:p>
        </w:tc>
      </w:tr>
      <w:tr w:rsidR="00F473CF" w:rsidRPr="000075CE" w14:paraId="265886A2" w14:textId="77777777" w:rsidTr="00AD018E">
        <w:trPr>
          <w:jc w:val="center"/>
        </w:trPr>
        <w:tc>
          <w:tcPr>
            <w:tcW w:w="1727" w:type="dxa"/>
            <w:shd w:val="clear" w:color="auto" w:fill="auto"/>
          </w:tcPr>
          <w:p w14:paraId="7DAF4AF3"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147° 23’ 18”</w:t>
            </w:r>
          </w:p>
        </w:tc>
        <w:tc>
          <w:tcPr>
            <w:tcW w:w="1856" w:type="dxa"/>
            <w:shd w:val="clear" w:color="auto" w:fill="auto"/>
          </w:tcPr>
          <w:p w14:paraId="48DB425D"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-38° 18’ 06”</w:t>
            </w:r>
          </w:p>
        </w:tc>
        <w:tc>
          <w:tcPr>
            <w:tcW w:w="1842" w:type="dxa"/>
            <w:shd w:val="clear" w:color="auto" w:fill="auto"/>
          </w:tcPr>
          <w:p w14:paraId="1E8DCDD1" w14:textId="3A6D8C26" w:rsidR="00F473CF" w:rsidRPr="00A11462" w:rsidRDefault="00F473CF" w:rsidP="000C3246">
            <w:pPr>
              <w:pStyle w:val="bodycopy"/>
              <w:spacing w:before="60" w:after="60"/>
              <w:jc w:val="center"/>
              <w:rPr>
                <w:rFonts w:ascii="Arial" w:hAnsi="Arial"/>
                <w:sz w:val="20"/>
              </w:rPr>
            </w:pPr>
            <w:r w:rsidRPr="00A11462">
              <w:rPr>
                <w:rFonts w:ascii="Arial" w:hAnsi="Arial"/>
                <w:sz w:val="20"/>
              </w:rPr>
              <w:t xml:space="preserve">147° </w:t>
            </w:r>
            <w:r w:rsidR="000C3246" w:rsidRPr="00A11462">
              <w:rPr>
                <w:rFonts w:ascii="Arial" w:hAnsi="Arial"/>
                <w:sz w:val="20"/>
              </w:rPr>
              <w:t>31</w:t>
            </w:r>
            <w:r w:rsidRPr="00A11462">
              <w:rPr>
                <w:rFonts w:ascii="Arial" w:hAnsi="Arial"/>
                <w:sz w:val="20"/>
              </w:rPr>
              <w:t xml:space="preserve">’ </w:t>
            </w:r>
            <w:r w:rsidR="000C3246" w:rsidRPr="00A11462">
              <w:rPr>
                <w:rFonts w:ascii="Arial" w:hAnsi="Arial"/>
                <w:sz w:val="20"/>
              </w:rPr>
              <w:t>45</w:t>
            </w:r>
            <w:r w:rsidRPr="00A11462">
              <w:rPr>
                <w:rFonts w:ascii="Arial" w:hAnsi="Arial"/>
                <w:sz w:val="20"/>
              </w:rPr>
              <w:t>”</w:t>
            </w:r>
          </w:p>
        </w:tc>
        <w:tc>
          <w:tcPr>
            <w:tcW w:w="1985" w:type="dxa"/>
            <w:shd w:val="clear" w:color="auto" w:fill="auto"/>
          </w:tcPr>
          <w:p w14:paraId="411D9135" w14:textId="08765D77" w:rsidR="00F473CF" w:rsidRPr="00BA5AAA" w:rsidRDefault="00F473CF" w:rsidP="000C3246">
            <w:pPr>
              <w:pStyle w:val="bodycopy"/>
              <w:spacing w:before="60" w:after="60"/>
              <w:jc w:val="center"/>
              <w:rPr>
                <w:rFonts w:ascii="Arial" w:hAnsi="Arial"/>
                <w:sz w:val="20"/>
              </w:rPr>
            </w:pPr>
            <w:r w:rsidRPr="00BA5AAA">
              <w:rPr>
                <w:rFonts w:ascii="Arial" w:hAnsi="Arial"/>
                <w:sz w:val="20"/>
              </w:rPr>
              <w:t xml:space="preserve">-38° </w:t>
            </w:r>
            <w:r w:rsidR="002312E1">
              <w:rPr>
                <w:rFonts w:ascii="Arial" w:hAnsi="Arial"/>
                <w:sz w:val="20"/>
              </w:rPr>
              <w:t>0</w:t>
            </w:r>
            <w:r w:rsidRPr="00BA5AAA">
              <w:rPr>
                <w:rFonts w:ascii="Arial" w:hAnsi="Arial"/>
                <w:sz w:val="20"/>
              </w:rPr>
              <w:t xml:space="preserve">8’ </w:t>
            </w:r>
            <w:r w:rsidR="000C3246" w:rsidRPr="00BA5AAA">
              <w:rPr>
                <w:rFonts w:ascii="Arial" w:hAnsi="Arial"/>
                <w:sz w:val="20"/>
              </w:rPr>
              <w:t>44</w:t>
            </w:r>
            <w:r w:rsidRPr="00BA5AAA">
              <w:rPr>
                <w:rFonts w:ascii="Arial" w:hAnsi="Arial"/>
                <w:sz w:val="20"/>
              </w:rPr>
              <w:t>”</w:t>
            </w:r>
          </w:p>
        </w:tc>
      </w:tr>
      <w:tr w:rsidR="00F473CF" w:rsidRPr="000075CE" w14:paraId="6B437712" w14:textId="77777777" w:rsidTr="00AD018E">
        <w:trPr>
          <w:jc w:val="center"/>
        </w:trPr>
        <w:tc>
          <w:tcPr>
            <w:tcW w:w="1727" w:type="dxa"/>
            <w:shd w:val="clear" w:color="auto" w:fill="auto"/>
          </w:tcPr>
          <w:p w14:paraId="2D31A94E"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147° 24’ 33”</w:t>
            </w:r>
          </w:p>
        </w:tc>
        <w:tc>
          <w:tcPr>
            <w:tcW w:w="1856" w:type="dxa"/>
            <w:shd w:val="clear" w:color="auto" w:fill="auto"/>
          </w:tcPr>
          <w:p w14:paraId="6538CE81"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-38° 17’ 49”</w:t>
            </w:r>
          </w:p>
        </w:tc>
        <w:tc>
          <w:tcPr>
            <w:tcW w:w="1842" w:type="dxa"/>
            <w:shd w:val="clear" w:color="auto" w:fill="auto"/>
          </w:tcPr>
          <w:p w14:paraId="4F571B68" w14:textId="7E2483A2" w:rsidR="00F473CF" w:rsidRPr="00A11462" w:rsidRDefault="00F473CF" w:rsidP="000C3246">
            <w:pPr>
              <w:pStyle w:val="bodycopy"/>
              <w:spacing w:before="60" w:after="60"/>
              <w:jc w:val="center"/>
              <w:rPr>
                <w:rFonts w:ascii="Arial" w:hAnsi="Arial"/>
                <w:sz w:val="20"/>
              </w:rPr>
            </w:pPr>
            <w:r w:rsidRPr="00A11462">
              <w:rPr>
                <w:rFonts w:ascii="Arial" w:hAnsi="Arial"/>
                <w:sz w:val="20"/>
              </w:rPr>
              <w:t xml:space="preserve">147° </w:t>
            </w:r>
            <w:r w:rsidR="000C3246" w:rsidRPr="00A11462">
              <w:rPr>
                <w:rFonts w:ascii="Arial" w:hAnsi="Arial"/>
                <w:sz w:val="20"/>
              </w:rPr>
              <w:t>35</w:t>
            </w:r>
            <w:r w:rsidRPr="00A11462">
              <w:rPr>
                <w:rFonts w:ascii="Arial" w:hAnsi="Arial"/>
                <w:sz w:val="20"/>
              </w:rPr>
              <w:t xml:space="preserve">’ </w:t>
            </w:r>
            <w:r w:rsidR="000C3246" w:rsidRPr="00A11462">
              <w:rPr>
                <w:rFonts w:ascii="Arial" w:hAnsi="Arial"/>
                <w:sz w:val="20"/>
              </w:rPr>
              <w:t>37</w:t>
            </w:r>
            <w:r w:rsidRPr="00A11462">
              <w:rPr>
                <w:rFonts w:ascii="Arial" w:hAnsi="Arial"/>
                <w:sz w:val="20"/>
              </w:rPr>
              <w:t>”</w:t>
            </w:r>
          </w:p>
        </w:tc>
        <w:tc>
          <w:tcPr>
            <w:tcW w:w="1985" w:type="dxa"/>
            <w:shd w:val="clear" w:color="auto" w:fill="auto"/>
          </w:tcPr>
          <w:p w14:paraId="5BC337E0" w14:textId="02F37927" w:rsidR="00F473CF" w:rsidRPr="00BA5AAA" w:rsidRDefault="00F473CF" w:rsidP="000C3246">
            <w:pPr>
              <w:pStyle w:val="bodycopy"/>
              <w:spacing w:before="60" w:after="60"/>
              <w:jc w:val="center"/>
              <w:rPr>
                <w:rFonts w:ascii="Arial" w:hAnsi="Arial"/>
                <w:sz w:val="20"/>
              </w:rPr>
            </w:pPr>
            <w:r w:rsidRPr="00BA5AAA">
              <w:rPr>
                <w:rFonts w:ascii="Arial" w:hAnsi="Arial"/>
                <w:sz w:val="20"/>
              </w:rPr>
              <w:t>-38° 1</w:t>
            </w:r>
            <w:r w:rsidR="000C3246" w:rsidRPr="00BA5AAA">
              <w:rPr>
                <w:rFonts w:ascii="Arial" w:hAnsi="Arial"/>
                <w:sz w:val="20"/>
              </w:rPr>
              <w:t>0</w:t>
            </w:r>
            <w:r w:rsidRPr="00BA5AAA">
              <w:rPr>
                <w:rFonts w:ascii="Arial" w:hAnsi="Arial"/>
                <w:sz w:val="20"/>
              </w:rPr>
              <w:t xml:space="preserve">’ </w:t>
            </w:r>
            <w:r w:rsidR="002312E1">
              <w:rPr>
                <w:rFonts w:ascii="Arial" w:hAnsi="Arial"/>
                <w:sz w:val="20"/>
              </w:rPr>
              <w:t>0</w:t>
            </w:r>
            <w:r w:rsidR="000C3246" w:rsidRPr="00BA5AAA">
              <w:rPr>
                <w:rFonts w:ascii="Arial" w:hAnsi="Arial"/>
                <w:sz w:val="20"/>
              </w:rPr>
              <w:t>9</w:t>
            </w:r>
            <w:r w:rsidRPr="00BA5AAA">
              <w:rPr>
                <w:rFonts w:ascii="Arial" w:hAnsi="Arial"/>
                <w:sz w:val="20"/>
              </w:rPr>
              <w:t>”</w:t>
            </w:r>
          </w:p>
        </w:tc>
      </w:tr>
      <w:tr w:rsidR="00F473CF" w:rsidRPr="000075CE" w14:paraId="3F611813" w14:textId="77777777" w:rsidTr="00AD018E">
        <w:trPr>
          <w:jc w:val="center"/>
        </w:trPr>
        <w:tc>
          <w:tcPr>
            <w:tcW w:w="1727" w:type="dxa"/>
            <w:shd w:val="clear" w:color="auto" w:fill="auto"/>
          </w:tcPr>
          <w:p w14:paraId="163BE08F"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147° 28’ 32”</w:t>
            </w:r>
          </w:p>
        </w:tc>
        <w:tc>
          <w:tcPr>
            <w:tcW w:w="1856" w:type="dxa"/>
            <w:shd w:val="clear" w:color="auto" w:fill="auto"/>
          </w:tcPr>
          <w:p w14:paraId="12227A89"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-38° 18’ 57”</w:t>
            </w:r>
          </w:p>
        </w:tc>
        <w:tc>
          <w:tcPr>
            <w:tcW w:w="1842" w:type="dxa"/>
            <w:shd w:val="clear" w:color="auto" w:fill="auto"/>
          </w:tcPr>
          <w:p w14:paraId="4FC3902B" w14:textId="22F12A83" w:rsidR="00F473CF" w:rsidRPr="00A11462" w:rsidRDefault="00F473CF" w:rsidP="000C3246">
            <w:pPr>
              <w:pStyle w:val="bodycopy"/>
              <w:spacing w:before="60" w:after="60"/>
              <w:jc w:val="center"/>
              <w:rPr>
                <w:rFonts w:ascii="Arial" w:hAnsi="Arial"/>
                <w:sz w:val="20"/>
              </w:rPr>
            </w:pPr>
            <w:r w:rsidRPr="00A11462">
              <w:rPr>
                <w:rFonts w:ascii="Arial" w:hAnsi="Arial"/>
                <w:sz w:val="20"/>
              </w:rPr>
              <w:t xml:space="preserve">147° </w:t>
            </w:r>
            <w:r w:rsidR="000C3246" w:rsidRPr="00A11462">
              <w:rPr>
                <w:rFonts w:ascii="Arial" w:hAnsi="Arial"/>
                <w:sz w:val="20"/>
              </w:rPr>
              <w:t>3</w:t>
            </w:r>
            <w:r w:rsidRPr="00A11462">
              <w:rPr>
                <w:rFonts w:ascii="Arial" w:hAnsi="Arial"/>
                <w:sz w:val="20"/>
              </w:rPr>
              <w:t>6’ 1</w:t>
            </w:r>
            <w:r w:rsidR="000C3246" w:rsidRPr="00A11462">
              <w:rPr>
                <w:rFonts w:ascii="Arial" w:hAnsi="Arial"/>
                <w:sz w:val="20"/>
              </w:rPr>
              <w:t>1</w:t>
            </w:r>
            <w:r w:rsidRPr="00A11462">
              <w:rPr>
                <w:rFonts w:ascii="Arial" w:hAnsi="Arial"/>
                <w:sz w:val="20"/>
              </w:rPr>
              <w:t>”</w:t>
            </w:r>
          </w:p>
        </w:tc>
        <w:tc>
          <w:tcPr>
            <w:tcW w:w="1985" w:type="dxa"/>
            <w:shd w:val="clear" w:color="auto" w:fill="auto"/>
          </w:tcPr>
          <w:p w14:paraId="1C7E9684" w14:textId="6C300A24" w:rsidR="00F473CF" w:rsidRPr="00BA5AAA" w:rsidRDefault="00F473CF" w:rsidP="000C3246">
            <w:pPr>
              <w:pStyle w:val="bodycopy"/>
              <w:spacing w:before="60" w:after="60"/>
              <w:jc w:val="center"/>
              <w:rPr>
                <w:rFonts w:ascii="Arial" w:hAnsi="Arial"/>
                <w:sz w:val="20"/>
              </w:rPr>
            </w:pPr>
            <w:r w:rsidRPr="00BA5AAA">
              <w:rPr>
                <w:rFonts w:ascii="Arial" w:hAnsi="Arial"/>
                <w:sz w:val="20"/>
              </w:rPr>
              <w:t>-38° 1</w:t>
            </w:r>
            <w:r w:rsidR="000C3246" w:rsidRPr="00BA5AAA">
              <w:rPr>
                <w:rFonts w:ascii="Arial" w:hAnsi="Arial"/>
                <w:sz w:val="20"/>
              </w:rPr>
              <w:t>0</w:t>
            </w:r>
            <w:r w:rsidRPr="00BA5AAA">
              <w:rPr>
                <w:rFonts w:ascii="Arial" w:hAnsi="Arial"/>
                <w:sz w:val="20"/>
              </w:rPr>
              <w:t xml:space="preserve">’ </w:t>
            </w:r>
            <w:r w:rsidR="000C3246" w:rsidRPr="00BA5AAA">
              <w:rPr>
                <w:rFonts w:ascii="Arial" w:hAnsi="Arial"/>
                <w:sz w:val="20"/>
              </w:rPr>
              <w:t>54</w:t>
            </w:r>
            <w:r w:rsidRPr="00BA5AAA">
              <w:rPr>
                <w:rFonts w:ascii="Arial" w:hAnsi="Arial"/>
                <w:sz w:val="20"/>
              </w:rPr>
              <w:t>”</w:t>
            </w:r>
          </w:p>
        </w:tc>
      </w:tr>
      <w:tr w:rsidR="00F473CF" w:rsidRPr="000075CE" w14:paraId="63748C93" w14:textId="77777777" w:rsidTr="00AD018E">
        <w:trPr>
          <w:jc w:val="center"/>
        </w:trPr>
        <w:tc>
          <w:tcPr>
            <w:tcW w:w="1727" w:type="dxa"/>
            <w:shd w:val="clear" w:color="auto" w:fill="auto"/>
          </w:tcPr>
          <w:p w14:paraId="0AE56DBE"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147° 34’ 01”</w:t>
            </w:r>
          </w:p>
        </w:tc>
        <w:tc>
          <w:tcPr>
            <w:tcW w:w="1856" w:type="dxa"/>
            <w:shd w:val="clear" w:color="auto" w:fill="auto"/>
          </w:tcPr>
          <w:p w14:paraId="1EAFC786"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-38° 14’ 33”</w:t>
            </w:r>
          </w:p>
        </w:tc>
        <w:tc>
          <w:tcPr>
            <w:tcW w:w="1842" w:type="dxa"/>
            <w:shd w:val="clear" w:color="auto" w:fill="auto"/>
          </w:tcPr>
          <w:p w14:paraId="58862DAE" w14:textId="0111E63E" w:rsidR="00F473CF" w:rsidRPr="00A11462" w:rsidRDefault="00F473CF" w:rsidP="000C3246">
            <w:pPr>
              <w:pStyle w:val="bodycopy"/>
              <w:spacing w:before="60" w:after="60"/>
              <w:jc w:val="center"/>
              <w:rPr>
                <w:rFonts w:ascii="Arial" w:hAnsi="Arial"/>
                <w:sz w:val="20"/>
              </w:rPr>
            </w:pPr>
            <w:r w:rsidRPr="00A11462">
              <w:rPr>
                <w:rFonts w:ascii="Arial" w:hAnsi="Arial"/>
                <w:sz w:val="20"/>
              </w:rPr>
              <w:t xml:space="preserve">147° </w:t>
            </w:r>
            <w:r w:rsidR="000C3246" w:rsidRPr="00A11462">
              <w:rPr>
                <w:rFonts w:ascii="Arial" w:hAnsi="Arial"/>
                <w:sz w:val="20"/>
              </w:rPr>
              <w:t>36</w:t>
            </w:r>
            <w:r w:rsidRPr="00A11462">
              <w:rPr>
                <w:rFonts w:ascii="Arial" w:hAnsi="Arial"/>
                <w:sz w:val="20"/>
              </w:rPr>
              <w:t xml:space="preserve">’ </w:t>
            </w:r>
            <w:r w:rsidR="000C3246" w:rsidRPr="00A11462">
              <w:rPr>
                <w:rFonts w:ascii="Arial" w:hAnsi="Arial"/>
                <w:sz w:val="20"/>
              </w:rPr>
              <w:t>12</w:t>
            </w:r>
            <w:r w:rsidRPr="00A11462">
              <w:rPr>
                <w:rFonts w:ascii="Arial" w:hAnsi="Arial"/>
                <w:sz w:val="20"/>
              </w:rPr>
              <w:t>”</w:t>
            </w:r>
          </w:p>
        </w:tc>
        <w:tc>
          <w:tcPr>
            <w:tcW w:w="1985" w:type="dxa"/>
            <w:shd w:val="clear" w:color="auto" w:fill="auto"/>
          </w:tcPr>
          <w:p w14:paraId="2E93496C" w14:textId="1B787753" w:rsidR="00F473CF" w:rsidRPr="00BA5AAA" w:rsidRDefault="00F473CF" w:rsidP="000C3246">
            <w:pPr>
              <w:pStyle w:val="bodycopy"/>
              <w:spacing w:before="60" w:after="60"/>
              <w:jc w:val="center"/>
              <w:rPr>
                <w:rFonts w:ascii="Arial" w:hAnsi="Arial"/>
                <w:sz w:val="20"/>
              </w:rPr>
            </w:pPr>
            <w:r w:rsidRPr="00BA5AAA">
              <w:rPr>
                <w:rFonts w:ascii="Arial" w:hAnsi="Arial"/>
                <w:sz w:val="20"/>
              </w:rPr>
              <w:t>-38° 1</w:t>
            </w:r>
            <w:r w:rsidR="000C3246" w:rsidRPr="00BA5AAA">
              <w:rPr>
                <w:rFonts w:ascii="Arial" w:hAnsi="Arial"/>
                <w:sz w:val="20"/>
              </w:rPr>
              <w:t>2</w:t>
            </w:r>
            <w:r w:rsidRPr="00BA5AAA">
              <w:rPr>
                <w:rFonts w:ascii="Arial" w:hAnsi="Arial"/>
                <w:sz w:val="20"/>
              </w:rPr>
              <w:t xml:space="preserve">’ </w:t>
            </w:r>
            <w:r w:rsidR="000C3246" w:rsidRPr="00BA5AAA">
              <w:rPr>
                <w:rFonts w:ascii="Arial" w:hAnsi="Arial"/>
                <w:sz w:val="20"/>
              </w:rPr>
              <w:t>49</w:t>
            </w:r>
            <w:r w:rsidRPr="00BA5AAA">
              <w:rPr>
                <w:rFonts w:ascii="Arial" w:hAnsi="Arial"/>
                <w:sz w:val="20"/>
              </w:rPr>
              <w:t>”</w:t>
            </w:r>
          </w:p>
        </w:tc>
      </w:tr>
      <w:tr w:rsidR="00F473CF" w:rsidRPr="000075CE" w14:paraId="44863677" w14:textId="77777777" w:rsidTr="00AD018E">
        <w:trPr>
          <w:jc w:val="center"/>
        </w:trPr>
        <w:tc>
          <w:tcPr>
            <w:tcW w:w="1727" w:type="dxa"/>
            <w:shd w:val="clear" w:color="auto" w:fill="auto"/>
          </w:tcPr>
          <w:p w14:paraId="0941C32A"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147° 33’ 47”</w:t>
            </w:r>
          </w:p>
        </w:tc>
        <w:tc>
          <w:tcPr>
            <w:tcW w:w="1856" w:type="dxa"/>
            <w:shd w:val="clear" w:color="auto" w:fill="auto"/>
          </w:tcPr>
          <w:p w14:paraId="3AE8DAFB"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-38° 12’ 50”</w:t>
            </w:r>
          </w:p>
        </w:tc>
        <w:tc>
          <w:tcPr>
            <w:tcW w:w="1842" w:type="dxa"/>
            <w:shd w:val="clear" w:color="auto" w:fill="auto"/>
          </w:tcPr>
          <w:p w14:paraId="122595EB" w14:textId="7E0FAF55" w:rsidR="00F473CF" w:rsidRPr="00A11462" w:rsidRDefault="00F473CF" w:rsidP="00BA5AAA">
            <w:pPr>
              <w:pStyle w:val="bodycopy"/>
              <w:spacing w:before="60" w:after="60"/>
              <w:jc w:val="center"/>
              <w:rPr>
                <w:rFonts w:ascii="Arial" w:hAnsi="Arial"/>
                <w:sz w:val="20"/>
              </w:rPr>
            </w:pPr>
            <w:r w:rsidRPr="00A11462">
              <w:rPr>
                <w:rFonts w:ascii="Arial" w:hAnsi="Arial"/>
                <w:sz w:val="20"/>
              </w:rPr>
              <w:t xml:space="preserve">147° </w:t>
            </w:r>
            <w:r w:rsidR="00BA5AAA" w:rsidRPr="00A11462">
              <w:rPr>
                <w:rFonts w:ascii="Arial" w:hAnsi="Arial"/>
                <w:sz w:val="20"/>
              </w:rPr>
              <w:t>25</w:t>
            </w:r>
            <w:r w:rsidRPr="00A11462">
              <w:rPr>
                <w:rFonts w:ascii="Arial" w:hAnsi="Arial"/>
                <w:sz w:val="20"/>
              </w:rPr>
              <w:t xml:space="preserve">’ </w:t>
            </w:r>
            <w:r w:rsidR="00BA5AAA" w:rsidRPr="00A11462">
              <w:rPr>
                <w:rFonts w:ascii="Arial" w:hAnsi="Arial"/>
                <w:sz w:val="20"/>
              </w:rPr>
              <w:t>36</w:t>
            </w:r>
            <w:r w:rsidRPr="00A11462">
              <w:rPr>
                <w:rFonts w:ascii="Arial" w:hAnsi="Arial"/>
                <w:sz w:val="20"/>
              </w:rPr>
              <w:t>”</w:t>
            </w:r>
          </w:p>
        </w:tc>
        <w:tc>
          <w:tcPr>
            <w:tcW w:w="1985" w:type="dxa"/>
            <w:shd w:val="clear" w:color="auto" w:fill="auto"/>
          </w:tcPr>
          <w:p w14:paraId="46F51DD4" w14:textId="4347F1C2" w:rsidR="00F473CF" w:rsidRPr="00BA5AAA" w:rsidRDefault="00F473CF" w:rsidP="00BA5AAA">
            <w:pPr>
              <w:pStyle w:val="bodycopy"/>
              <w:spacing w:before="60" w:after="60"/>
              <w:jc w:val="center"/>
              <w:rPr>
                <w:rFonts w:ascii="Arial" w:hAnsi="Arial"/>
                <w:sz w:val="20"/>
              </w:rPr>
            </w:pPr>
            <w:r w:rsidRPr="00BA5AAA">
              <w:rPr>
                <w:rFonts w:ascii="Arial" w:hAnsi="Arial"/>
                <w:sz w:val="20"/>
              </w:rPr>
              <w:t xml:space="preserve">-38° </w:t>
            </w:r>
            <w:r w:rsidR="00BA5AAA" w:rsidRPr="00BA5AAA">
              <w:rPr>
                <w:rFonts w:ascii="Arial" w:hAnsi="Arial"/>
                <w:sz w:val="20"/>
              </w:rPr>
              <w:t>21</w:t>
            </w:r>
            <w:r w:rsidRPr="00BA5AAA">
              <w:rPr>
                <w:rFonts w:ascii="Arial" w:hAnsi="Arial"/>
                <w:sz w:val="20"/>
              </w:rPr>
              <w:t xml:space="preserve">’ </w:t>
            </w:r>
            <w:r w:rsidR="00BA5AAA" w:rsidRPr="00BA5AAA">
              <w:rPr>
                <w:rFonts w:ascii="Arial" w:hAnsi="Arial"/>
                <w:sz w:val="20"/>
              </w:rPr>
              <w:t>21</w:t>
            </w:r>
            <w:r w:rsidRPr="00BA5AAA">
              <w:rPr>
                <w:rFonts w:ascii="Arial" w:hAnsi="Arial"/>
                <w:sz w:val="20"/>
              </w:rPr>
              <w:t>”</w:t>
            </w:r>
          </w:p>
        </w:tc>
      </w:tr>
      <w:tr w:rsidR="00F473CF" w:rsidRPr="000075CE" w14:paraId="2A92A582" w14:textId="77777777" w:rsidTr="00AD018E">
        <w:trPr>
          <w:jc w:val="center"/>
        </w:trPr>
        <w:tc>
          <w:tcPr>
            <w:tcW w:w="1727" w:type="dxa"/>
            <w:shd w:val="clear" w:color="auto" w:fill="auto"/>
          </w:tcPr>
          <w:p w14:paraId="6BE45502"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147° 33’ 14”</w:t>
            </w:r>
          </w:p>
        </w:tc>
        <w:tc>
          <w:tcPr>
            <w:tcW w:w="1856" w:type="dxa"/>
            <w:shd w:val="clear" w:color="auto" w:fill="auto"/>
          </w:tcPr>
          <w:p w14:paraId="319E2F81"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-38° 12’ 05”</w:t>
            </w:r>
          </w:p>
        </w:tc>
        <w:tc>
          <w:tcPr>
            <w:tcW w:w="1842" w:type="dxa"/>
            <w:shd w:val="clear" w:color="auto" w:fill="auto"/>
          </w:tcPr>
          <w:p w14:paraId="1C91326B" w14:textId="517B764E" w:rsidR="00F473CF" w:rsidRPr="00A11462" w:rsidRDefault="00F473CF" w:rsidP="00A11462">
            <w:pPr>
              <w:pStyle w:val="bodycopy"/>
              <w:spacing w:before="60" w:after="60"/>
              <w:jc w:val="center"/>
              <w:rPr>
                <w:rFonts w:ascii="Arial" w:hAnsi="Arial"/>
                <w:sz w:val="20"/>
              </w:rPr>
            </w:pPr>
            <w:r w:rsidRPr="00A11462">
              <w:rPr>
                <w:rFonts w:ascii="Arial" w:hAnsi="Arial"/>
                <w:sz w:val="20"/>
              </w:rPr>
              <w:t xml:space="preserve">147° </w:t>
            </w:r>
            <w:r w:rsidR="00A11462" w:rsidRPr="00A11462">
              <w:rPr>
                <w:rFonts w:ascii="Arial" w:hAnsi="Arial"/>
                <w:sz w:val="20"/>
              </w:rPr>
              <w:t>24</w:t>
            </w:r>
            <w:r w:rsidRPr="00A11462">
              <w:rPr>
                <w:rFonts w:ascii="Arial" w:hAnsi="Arial"/>
                <w:sz w:val="20"/>
              </w:rPr>
              <w:t xml:space="preserve">’ </w:t>
            </w:r>
            <w:r w:rsidR="002312E1">
              <w:rPr>
                <w:rFonts w:ascii="Arial" w:hAnsi="Arial"/>
                <w:sz w:val="20"/>
              </w:rPr>
              <w:t>0</w:t>
            </w:r>
            <w:r w:rsidR="00A11462" w:rsidRPr="00A11462">
              <w:rPr>
                <w:rFonts w:ascii="Arial" w:hAnsi="Arial"/>
                <w:sz w:val="20"/>
              </w:rPr>
              <w:t>2</w:t>
            </w:r>
            <w:r w:rsidRPr="00A11462">
              <w:rPr>
                <w:rFonts w:ascii="Arial" w:hAnsi="Arial"/>
                <w:sz w:val="20"/>
              </w:rPr>
              <w:t>”</w:t>
            </w:r>
          </w:p>
        </w:tc>
        <w:tc>
          <w:tcPr>
            <w:tcW w:w="1985" w:type="dxa"/>
            <w:shd w:val="clear" w:color="auto" w:fill="auto"/>
          </w:tcPr>
          <w:p w14:paraId="09480273" w14:textId="09F16B2E" w:rsidR="00F473CF" w:rsidRPr="00BA5AAA" w:rsidRDefault="00F473CF" w:rsidP="00BA5AAA">
            <w:pPr>
              <w:pStyle w:val="bodycopy"/>
              <w:spacing w:before="60" w:after="60"/>
              <w:jc w:val="center"/>
              <w:rPr>
                <w:rFonts w:ascii="Arial" w:hAnsi="Arial"/>
                <w:sz w:val="20"/>
              </w:rPr>
            </w:pPr>
            <w:r w:rsidRPr="00BA5AAA">
              <w:rPr>
                <w:rFonts w:ascii="Arial" w:hAnsi="Arial"/>
                <w:sz w:val="20"/>
              </w:rPr>
              <w:t xml:space="preserve">-38° </w:t>
            </w:r>
            <w:r w:rsidR="00BA5AAA" w:rsidRPr="00BA5AAA">
              <w:rPr>
                <w:rFonts w:ascii="Arial" w:hAnsi="Arial"/>
                <w:sz w:val="20"/>
              </w:rPr>
              <w:t>21</w:t>
            </w:r>
            <w:r w:rsidRPr="00BA5AAA">
              <w:rPr>
                <w:rFonts w:ascii="Arial" w:hAnsi="Arial"/>
                <w:sz w:val="20"/>
              </w:rPr>
              <w:t xml:space="preserve">’ </w:t>
            </w:r>
            <w:r w:rsidR="00BA5AAA" w:rsidRPr="00BA5AAA">
              <w:rPr>
                <w:rFonts w:ascii="Arial" w:hAnsi="Arial"/>
                <w:sz w:val="20"/>
              </w:rPr>
              <w:t>21</w:t>
            </w:r>
            <w:r w:rsidRPr="00BA5AAA">
              <w:rPr>
                <w:rFonts w:ascii="Arial" w:hAnsi="Arial"/>
                <w:sz w:val="20"/>
              </w:rPr>
              <w:t>”</w:t>
            </w:r>
          </w:p>
        </w:tc>
      </w:tr>
      <w:tr w:rsidR="00F473CF" w:rsidRPr="000075CE" w14:paraId="62A350DB" w14:textId="77777777" w:rsidTr="00AD018E">
        <w:trPr>
          <w:jc w:val="center"/>
        </w:trPr>
        <w:tc>
          <w:tcPr>
            <w:tcW w:w="1727" w:type="dxa"/>
            <w:shd w:val="clear" w:color="auto" w:fill="auto"/>
          </w:tcPr>
          <w:p w14:paraId="56E43AC0"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147° 31’ 16”</w:t>
            </w:r>
          </w:p>
        </w:tc>
        <w:tc>
          <w:tcPr>
            <w:tcW w:w="1856" w:type="dxa"/>
            <w:shd w:val="clear" w:color="auto" w:fill="auto"/>
          </w:tcPr>
          <w:p w14:paraId="0CAEBF61"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-38° 11’ 44”</w:t>
            </w:r>
          </w:p>
        </w:tc>
        <w:tc>
          <w:tcPr>
            <w:tcW w:w="1842" w:type="dxa"/>
            <w:shd w:val="clear" w:color="auto" w:fill="auto"/>
          </w:tcPr>
          <w:p w14:paraId="26F0A7BC" w14:textId="4E111125" w:rsidR="00F473CF" w:rsidRPr="00A11462" w:rsidRDefault="00F473CF" w:rsidP="00A11462">
            <w:pPr>
              <w:pStyle w:val="bodycopy"/>
              <w:spacing w:before="60" w:after="60"/>
              <w:jc w:val="center"/>
              <w:rPr>
                <w:rFonts w:ascii="Arial" w:hAnsi="Arial"/>
                <w:sz w:val="20"/>
              </w:rPr>
            </w:pPr>
            <w:r w:rsidRPr="00A11462">
              <w:rPr>
                <w:rFonts w:ascii="Arial" w:hAnsi="Arial"/>
                <w:sz w:val="20"/>
              </w:rPr>
              <w:t xml:space="preserve">147° </w:t>
            </w:r>
            <w:r w:rsidR="00A11462" w:rsidRPr="00A11462">
              <w:rPr>
                <w:rFonts w:ascii="Arial" w:hAnsi="Arial"/>
                <w:sz w:val="20"/>
              </w:rPr>
              <w:t>21</w:t>
            </w:r>
            <w:r w:rsidRPr="00A11462">
              <w:rPr>
                <w:rFonts w:ascii="Arial" w:hAnsi="Arial"/>
                <w:sz w:val="20"/>
              </w:rPr>
              <w:t>’ 5</w:t>
            </w:r>
            <w:r w:rsidR="00A11462" w:rsidRPr="00A11462">
              <w:rPr>
                <w:rFonts w:ascii="Arial" w:hAnsi="Arial"/>
                <w:sz w:val="20"/>
              </w:rPr>
              <w:t>0</w:t>
            </w:r>
            <w:r w:rsidRPr="00A11462">
              <w:rPr>
                <w:rFonts w:ascii="Arial" w:hAnsi="Arial"/>
                <w:sz w:val="20"/>
              </w:rPr>
              <w:t>”</w:t>
            </w:r>
          </w:p>
        </w:tc>
        <w:tc>
          <w:tcPr>
            <w:tcW w:w="1985" w:type="dxa"/>
            <w:shd w:val="clear" w:color="auto" w:fill="auto"/>
          </w:tcPr>
          <w:p w14:paraId="795F9350" w14:textId="2CEC5E89" w:rsidR="00F473CF" w:rsidRPr="00BA5AAA" w:rsidRDefault="00F473CF" w:rsidP="00BA5AAA">
            <w:pPr>
              <w:pStyle w:val="bodycopy"/>
              <w:spacing w:before="60" w:after="60"/>
              <w:jc w:val="center"/>
              <w:rPr>
                <w:rFonts w:ascii="Arial" w:hAnsi="Arial"/>
                <w:sz w:val="20"/>
              </w:rPr>
            </w:pPr>
            <w:r w:rsidRPr="00BA5AAA">
              <w:rPr>
                <w:rFonts w:ascii="Arial" w:hAnsi="Arial"/>
                <w:sz w:val="20"/>
              </w:rPr>
              <w:t xml:space="preserve">-38° </w:t>
            </w:r>
            <w:r w:rsidR="00BA5AAA" w:rsidRPr="00BA5AAA">
              <w:rPr>
                <w:rFonts w:ascii="Arial" w:hAnsi="Arial"/>
                <w:sz w:val="20"/>
              </w:rPr>
              <w:t>21</w:t>
            </w:r>
            <w:r w:rsidRPr="00BA5AAA">
              <w:rPr>
                <w:rFonts w:ascii="Arial" w:hAnsi="Arial"/>
                <w:sz w:val="20"/>
              </w:rPr>
              <w:t xml:space="preserve">’ </w:t>
            </w:r>
            <w:r w:rsidR="002312E1">
              <w:rPr>
                <w:rFonts w:ascii="Arial" w:hAnsi="Arial"/>
                <w:sz w:val="20"/>
              </w:rPr>
              <w:t>0</w:t>
            </w:r>
            <w:r w:rsidR="00BA5AAA" w:rsidRPr="00BA5AAA">
              <w:rPr>
                <w:rFonts w:ascii="Arial" w:hAnsi="Arial"/>
                <w:sz w:val="20"/>
              </w:rPr>
              <w:t>1</w:t>
            </w:r>
            <w:r w:rsidRPr="00BA5AAA">
              <w:rPr>
                <w:rFonts w:ascii="Arial" w:hAnsi="Arial"/>
                <w:sz w:val="20"/>
              </w:rPr>
              <w:t>”</w:t>
            </w:r>
          </w:p>
        </w:tc>
      </w:tr>
      <w:tr w:rsidR="00F473CF" w:rsidRPr="000075CE" w14:paraId="5706E70F" w14:textId="77777777" w:rsidTr="009E6335">
        <w:trPr>
          <w:jc w:val="center"/>
        </w:trPr>
        <w:tc>
          <w:tcPr>
            <w:tcW w:w="1727" w:type="dxa"/>
            <w:shd w:val="clear" w:color="auto" w:fill="auto"/>
          </w:tcPr>
          <w:p w14:paraId="2E61D7DF"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147° 30’ 04”</w:t>
            </w:r>
          </w:p>
        </w:tc>
        <w:tc>
          <w:tcPr>
            <w:tcW w:w="1856" w:type="dxa"/>
            <w:shd w:val="clear" w:color="auto" w:fill="auto"/>
          </w:tcPr>
          <w:p w14:paraId="7AA35894"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-38° 11’ 54”</w:t>
            </w:r>
          </w:p>
        </w:tc>
        <w:tc>
          <w:tcPr>
            <w:tcW w:w="1842" w:type="dxa"/>
            <w:tcBorders>
              <w:bottom w:val="single" w:sz="4" w:space="0" w:color="808080"/>
            </w:tcBorders>
            <w:shd w:val="clear" w:color="auto" w:fill="auto"/>
          </w:tcPr>
          <w:p w14:paraId="678A2C69" w14:textId="65336A8A" w:rsidR="00F473CF" w:rsidRPr="00A11462" w:rsidRDefault="00F473CF" w:rsidP="00A11462">
            <w:pPr>
              <w:pStyle w:val="bodycopy"/>
              <w:spacing w:before="60" w:after="60"/>
              <w:jc w:val="center"/>
              <w:rPr>
                <w:rFonts w:ascii="Arial" w:hAnsi="Arial"/>
                <w:sz w:val="20"/>
              </w:rPr>
            </w:pPr>
            <w:r w:rsidRPr="00A11462">
              <w:rPr>
                <w:rFonts w:ascii="Arial" w:hAnsi="Arial"/>
                <w:sz w:val="20"/>
              </w:rPr>
              <w:t xml:space="preserve">147° </w:t>
            </w:r>
            <w:r w:rsidR="00A11462" w:rsidRPr="00A11462">
              <w:rPr>
                <w:rFonts w:ascii="Arial" w:hAnsi="Arial"/>
                <w:sz w:val="20"/>
              </w:rPr>
              <w:t>18</w:t>
            </w:r>
            <w:r w:rsidRPr="00A11462">
              <w:rPr>
                <w:rFonts w:ascii="Arial" w:hAnsi="Arial"/>
                <w:sz w:val="20"/>
              </w:rPr>
              <w:t xml:space="preserve">’ </w:t>
            </w:r>
            <w:r w:rsidR="00A11462" w:rsidRPr="00A11462">
              <w:rPr>
                <w:rFonts w:ascii="Arial" w:hAnsi="Arial"/>
                <w:sz w:val="20"/>
              </w:rPr>
              <w:t>32</w:t>
            </w:r>
            <w:r w:rsidRPr="00A11462">
              <w:rPr>
                <w:rFonts w:ascii="Arial" w:hAnsi="Arial"/>
                <w:sz w:val="20"/>
              </w:rPr>
              <w:t>”</w:t>
            </w:r>
          </w:p>
        </w:tc>
        <w:tc>
          <w:tcPr>
            <w:tcW w:w="1985" w:type="dxa"/>
            <w:tcBorders>
              <w:bottom w:val="single" w:sz="4" w:space="0" w:color="808080"/>
            </w:tcBorders>
            <w:shd w:val="clear" w:color="auto" w:fill="auto"/>
          </w:tcPr>
          <w:p w14:paraId="3AD6A1B8" w14:textId="67385F08" w:rsidR="00F473CF" w:rsidRPr="00BA5AAA" w:rsidRDefault="00F473CF" w:rsidP="00BA5AAA">
            <w:pPr>
              <w:pStyle w:val="bodycopy"/>
              <w:spacing w:before="60" w:after="60"/>
              <w:jc w:val="center"/>
              <w:rPr>
                <w:rFonts w:ascii="Arial" w:hAnsi="Arial"/>
                <w:sz w:val="20"/>
              </w:rPr>
            </w:pPr>
            <w:r w:rsidRPr="00BA5AAA">
              <w:rPr>
                <w:rFonts w:ascii="Arial" w:hAnsi="Arial"/>
                <w:sz w:val="20"/>
              </w:rPr>
              <w:t xml:space="preserve">-38° </w:t>
            </w:r>
            <w:r w:rsidR="00BA5AAA" w:rsidRPr="00BA5AAA">
              <w:rPr>
                <w:rFonts w:ascii="Arial" w:hAnsi="Arial"/>
                <w:sz w:val="20"/>
              </w:rPr>
              <w:t>19</w:t>
            </w:r>
            <w:r w:rsidRPr="00BA5AAA">
              <w:rPr>
                <w:rFonts w:ascii="Arial" w:hAnsi="Arial"/>
                <w:sz w:val="20"/>
              </w:rPr>
              <w:t>’ 4</w:t>
            </w:r>
            <w:r w:rsidR="00BA5AAA" w:rsidRPr="00BA5AAA">
              <w:rPr>
                <w:rFonts w:ascii="Arial" w:hAnsi="Arial"/>
                <w:sz w:val="20"/>
              </w:rPr>
              <w:t>7”</w:t>
            </w:r>
          </w:p>
        </w:tc>
      </w:tr>
      <w:tr w:rsidR="00F473CF" w:rsidRPr="000075CE" w14:paraId="60588A29" w14:textId="77777777" w:rsidTr="009E6335">
        <w:trPr>
          <w:jc w:val="center"/>
        </w:trPr>
        <w:tc>
          <w:tcPr>
            <w:tcW w:w="1727" w:type="dxa"/>
            <w:shd w:val="clear" w:color="auto" w:fill="auto"/>
          </w:tcPr>
          <w:p w14:paraId="3EDB14C6"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147° 28’ 23”</w:t>
            </w:r>
          </w:p>
        </w:tc>
        <w:tc>
          <w:tcPr>
            <w:tcW w:w="1856" w:type="dxa"/>
            <w:shd w:val="clear" w:color="auto" w:fill="auto"/>
          </w:tcPr>
          <w:p w14:paraId="75B8C01A"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-38° 12’ 33”</w:t>
            </w:r>
          </w:p>
        </w:tc>
        <w:tc>
          <w:tcPr>
            <w:tcW w:w="1842" w:type="dxa"/>
            <w:tcBorders>
              <w:bottom w:val="nil"/>
              <w:right w:val="nil"/>
            </w:tcBorders>
            <w:shd w:val="clear" w:color="auto" w:fill="auto"/>
          </w:tcPr>
          <w:p w14:paraId="4BAE8CEC" w14:textId="39BBD175" w:rsidR="00F473CF" w:rsidRPr="00A11462" w:rsidRDefault="00F473CF" w:rsidP="00A11462">
            <w:pPr>
              <w:pStyle w:val="bodycopy"/>
              <w:spacing w:before="60" w:after="60"/>
              <w:jc w:val="center"/>
              <w:rPr>
                <w:rFonts w:ascii="Arial" w:hAnsi="Arial"/>
                <w:sz w:val="20"/>
              </w:rPr>
            </w:pPr>
          </w:p>
        </w:tc>
        <w:tc>
          <w:tcPr>
            <w:tcW w:w="1985" w:type="dxa"/>
            <w:tcBorders>
              <w:left w:val="nil"/>
              <w:bottom w:val="nil"/>
              <w:right w:val="nil"/>
            </w:tcBorders>
            <w:shd w:val="clear" w:color="auto" w:fill="auto"/>
          </w:tcPr>
          <w:p w14:paraId="02610DBC" w14:textId="3AE163F0" w:rsidR="00F473CF" w:rsidRPr="00BA5AAA" w:rsidRDefault="00F473CF" w:rsidP="00791C29">
            <w:pPr>
              <w:pStyle w:val="bodycopy"/>
              <w:spacing w:before="60" w:after="60"/>
              <w:jc w:val="center"/>
              <w:rPr>
                <w:rFonts w:ascii="Arial" w:hAnsi="Arial"/>
                <w:sz w:val="20"/>
              </w:rPr>
            </w:pPr>
          </w:p>
        </w:tc>
      </w:tr>
      <w:tr w:rsidR="00F473CF" w:rsidRPr="000075CE" w14:paraId="0AC603CE" w14:textId="77777777" w:rsidTr="009E6335">
        <w:trPr>
          <w:jc w:val="center"/>
        </w:trPr>
        <w:tc>
          <w:tcPr>
            <w:tcW w:w="1727" w:type="dxa"/>
            <w:shd w:val="clear" w:color="auto" w:fill="auto"/>
          </w:tcPr>
          <w:p w14:paraId="3FB92ED3"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147° 27’ 14”</w:t>
            </w:r>
          </w:p>
        </w:tc>
        <w:tc>
          <w:tcPr>
            <w:tcW w:w="1856" w:type="dxa"/>
            <w:shd w:val="clear" w:color="auto" w:fill="auto"/>
          </w:tcPr>
          <w:p w14:paraId="3E461CA9"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-38° 12’ 37”</w:t>
            </w:r>
          </w:p>
        </w:tc>
        <w:tc>
          <w:tcPr>
            <w:tcW w:w="1842" w:type="dxa"/>
            <w:tcBorders>
              <w:top w:val="nil"/>
              <w:bottom w:val="nil"/>
              <w:right w:val="nil"/>
            </w:tcBorders>
            <w:shd w:val="clear" w:color="auto" w:fill="auto"/>
          </w:tcPr>
          <w:p w14:paraId="22C6483A" w14:textId="77777777" w:rsidR="00F473CF" w:rsidRPr="000075CE" w:rsidRDefault="00F473CF" w:rsidP="00AD018E">
            <w:pPr>
              <w:pStyle w:val="bodycopy"/>
              <w:spacing w:before="60" w:after="60"/>
              <w:jc w:val="center"/>
              <w:rPr>
                <w:rFonts w:ascii="Arial" w:hAnsi="Arial"/>
                <w:sz w:val="20"/>
              </w:rPr>
            </w:pPr>
          </w:p>
        </w:tc>
        <w:tc>
          <w:tcPr>
            <w:tcW w:w="1985" w:type="dxa"/>
            <w:tcBorders>
              <w:top w:val="nil"/>
              <w:left w:val="nil"/>
              <w:bottom w:val="nil"/>
              <w:right w:val="nil"/>
            </w:tcBorders>
            <w:shd w:val="clear" w:color="auto" w:fill="auto"/>
          </w:tcPr>
          <w:p w14:paraId="2BCDA1D4" w14:textId="77777777" w:rsidR="00F473CF" w:rsidRPr="000075CE" w:rsidRDefault="00F473CF" w:rsidP="00AD018E">
            <w:pPr>
              <w:pStyle w:val="bodycopy"/>
              <w:spacing w:before="60" w:after="60"/>
              <w:jc w:val="center"/>
              <w:rPr>
                <w:rFonts w:ascii="Arial" w:hAnsi="Arial"/>
                <w:sz w:val="20"/>
              </w:rPr>
            </w:pPr>
          </w:p>
        </w:tc>
      </w:tr>
      <w:tr w:rsidR="00F473CF" w:rsidRPr="000075CE" w14:paraId="14D8ADC9" w14:textId="77777777" w:rsidTr="002B38C0">
        <w:trPr>
          <w:jc w:val="center"/>
        </w:trPr>
        <w:tc>
          <w:tcPr>
            <w:tcW w:w="1727" w:type="dxa"/>
            <w:shd w:val="clear" w:color="auto" w:fill="auto"/>
          </w:tcPr>
          <w:p w14:paraId="698CBBBE"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147° 24’ 31”</w:t>
            </w:r>
          </w:p>
        </w:tc>
        <w:tc>
          <w:tcPr>
            <w:tcW w:w="1856" w:type="dxa"/>
            <w:shd w:val="clear" w:color="auto" w:fill="auto"/>
          </w:tcPr>
          <w:p w14:paraId="570B53EB" w14:textId="77777777" w:rsidR="00F473CF" w:rsidRPr="000075CE" w:rsidRDefault="00F473CF" w:rsidP="00AD018E">
            <w:pPr>
              <w:pStyle w:val="bodycopy"/>
              <w:spacing w:before="60" w:after="60"/>
              <w:jc w:val="center"/>
              <w:rPr>
                <w:rFonts w:ascii="Arial" w:hAnsi="Arial"/>
                <w:sz w:val="20"/>
              </w:rPr>
            </w:pPr>
            <w:r w:rsidRPr="000075CE">
              <w:rPr>
                <w:rFonts w:ascii="Arial" w:hAnsi="Arial"/>
                <w:sz w:val="20"/>
              </w:rPr>
              <w:t>-38° 13’ 02”</w:t>
            </w:r>
          </w:p>
        </w:tc>
        <w:tc>
          <w:tcPr>
            <w:tcW w:w="1842" w:type="dxa"/>
            <w:tcBorders>
              <w:top w:val="nil"/>
              <w:bottom w:val="nil"/>
              <w:right w:val="nil"/>
            </w:tcBorders>
            <w:shd w:val="clear" w:color="auto" w:fill="auto"/>
          </w:tcPr>
          <w:p w14:paraId="689F4DCA" w14:textId="77777777" w:rsidR="00F473CF" w:rsidRPr="000075CE" w:rsidRDefault="00F473CF" w:rsidP="00AD018E">
            <w:pPr>
              <w:pStyle w:val="bodycopy"/>
              <w:spacing w:before="60" w:after="60"/>
              <w:jc w:val="center"/>
              <w:rPr>
                <w:rFonts w:ascii="Arial" w:hAnsi="Arial"/>
                <w:sz w:val="20"/>
              </w:rPr>
            </w:pPr>
          </w:p>
        </w:tc>
        <w:tc>
          <w:tcPr>
            <w:tcW w:w="1985" w:type="dxa"/>
            <w:tcBorders>
              <w:top w:val="nil"/>
              <w:left w:val="nil"/>
              <w:bottom w:val="nil"/>
              <w:right w:val="nil"/>
            </w:tcBorders>
            <w:shd w:val="clear" w:color="auto" w:fill="auto"/>
          </w:tcPr>
          <w:p w14:paraId="42781C0B" w14:textId="77777777" w:rsidR="00F473CF" w:rsidRPr="000075CE" w:rsidRDefault="00F473CF" w:rsidP="00AD018E">
            <w:pPr>
              <w:pStyle w:val="bodycopy"/>
              <w:spacing w:before="60" w:after="60"/>
              <w:jc w:val="center"/>
              <w:rPr>
                <w:rFonts w:ascii="Arial" w:hAnsi="Arial"/>
                <w:sz w:val="20"/>
              </w:rPr>
            </w:pPr>
          </w:p>
        </w:tc>
      </w:tr>
    </w:tbl>
    <w:p w14:paraId="77F53C7B" w14:textId="77777777" w:rsidR="00F473CF" w:rsidRDefault="00F473CF" w:rsidP="00D31F82">
      <w:pPr>
        <w:spacing w:before="120" w:after="120"/>
        <w:jc w:val="center"/>
        <w:rPr>
          <w:rFonts w:cs="Arial"/>
          <w:b/>
          <w:sz w:val="20"/>
          <w:szCs w:val="20"/>
        </w:rPr>
      </w:pPr>
    </w:p>
    <w:p w14:paraId="178C1927" w14:textId="139335BA" w:rsidR="00D31F82" w:rsidRPr="000075CE" w:rsidRDefault="00D31F82" w:rsidP="00D31F82">
      <w:pPr>
        <w:spacing w:before="120" w:after="120"/>
        <w:jc w:val="center"/>
        <w:rPr>
          <w:rFonts w:cs="Arial"/>
          <w:sz w:val="20"/>
          <w:szCs w:val="20"/>
        </w:rPr>
      </w:pPr>
      <w:r w:rsidRPr="000075CE">
        <w:rPr>
          <w:rFonts w:cs="Arial"/>
          <w:b/>
          <w:sz w:val="20"/>
          <w:szCs w:val="20"/>
        </w:rPr>
        <w:t>Table 2.2</w:t>
      </w:r>
      <w:r w:rsidRPr="000075CE">
        <w:rPr>
          <w:rFonts w:cs="Arial"/>
          <w:b/>
          <w:sz w:val="20"/>
          <w:szCs w:val="20"/>
        </w:rPr>
        <w:tab/>
        <w:t xml:space="preserve">Distance to key features in the region from the </w:t>
      </w:r>
      <w:r w:rsidR="006B3D2C" w:rsidRPr="000075CE">
        <w:rPr>
          <w:rFonts w:cs="Arial"/>
          <w:b/>
          <w:sz w:val="20"/>
          <w:szCs w:val="20"/>
        </w:rPr>
        <w:t xml:space="preserve">proposed </w:t>
      </w:r>
      <w:r w:rsidRPr="000075CE">
        <w:rPr>
          <w:rFonts w:cs="Arial"/>
          <w:b/>
          <w:sz w:val="20"/>
          <w:szCs w:val="20"/>
        </w:rPr>
        <w:t xml:space="preserve">acquisition area </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44"/>
        <w:gridCol w:w="4253"/>
      </w:tblGrid>
      <w:tr w:rsidR="00DD631B" w:rsidRPr="000075CE" w14:paraId="1F9A72A0" w14:textId="77777777" w:rsidTr="00956CA4">
        <w:trPr>
          <w:tblHeader/>
        </w:trPr>
        <w:tc>
          <w:tcPr>
            <w:tcW w:w="4644" w:type="dxa"/>
            <w:shd w:val="clear" w:color="auto" w:fill="064EA8"/>
            <w:tcMar>
              <w:top w:w="140" w:type="nil"/>
              <w:right w:w="140" w:type="nil"/>
            </w:tcMar>
            <w:vAlign w:val="center"/>
          </w:tcPr>
          <w:p w14:paraId="74ADB88B" w14:textId="77777777" w:rsidR="00DD631B" w:rsidRPr="000075CE" w:rsidRDefault="00DD631B" w:rsidP="00DD631B">
            <w:pPr>
              <w:pStyle w:val="TableText"/>
              <w:spacing w:before="60" w:after="60"/>
              <w:rPr>
                <w:rFonts w:cs="Arial"/>
                <w:color w:val="FFFFFF" w:themeColor="background1"/>
                <w:sz w:val="20"/>
                <w:szCs w:val="20"/>
                <w:lang w:val="en-US" w:eastAsia="en-US"/>
              </w:rPr>
            </w:pPr>
            <w:r w:rsidRPr="000075CE">
              <w:rPr>
                <w:rFonts w:cs="Arial"/>
                <w:color w:val="FFFFFF" w:themeColor="background1"/>
                <w:sz w:val="20"/>
                <w:szCs w:val="20"/>
                <w:lang w:val="en-US" w:eastAsia="en-US"/>
              </w:rPr>
              <w:t>Feature</w:t>
            </w:r>
          </w:p>
        </w:tc>
        <w:tc>
          <w:tcPr>
            <w:tcW w:w="4253" w:type="dxa"/>
            <w:shd w:val="clear" w:color="auto" w:fill="064EA8"/>
            <w:tcMar>
              <w:top w:w="140" w:type="nil"/>
              <w:right w:w="140" w:type="nil"/>
            </w:tcMar>
            <w:vAlign w:val="center"/>
          </w:tcPr>
          <w:p w14:paraId="478DA25C" w14:textId="77777777" w:rsidR="00DD631B" w:rsidRPr="000075CE" w:rsidRDefault="00DD631B" w:rsidP="00DD631B">
            <w:pPr>
              <w:pStyle w:val="TableText"/>
              <w:spacing w:before="60" w:after="60"/>
              <w:rPr>
                <w:rFonts w:cs="Arial"/>
                <w:color w:val="FFFFFF" w:themeColor="background1"/>
                <w:sz w:val="20"/>
                <w:szCs w:val="20"/>
                <w:lang w:val="en-US" w:eastAsia="en-US"/>
              </w:rPr>
            </w:pPr>
            <w:r w:rsidRPr="000075CE">
              <w:rPr>
                <w:rFonts w:cs="Arial"/>
                <w:color w:val="FFFFFF" w:themeColor="background1"/>
                <w:sz w:val="20"/>
                <w:szCs w:val="20"/>
                <w:lang w:val="en-US" w:eastAsia="en-US"/>
              </w:rPr>
              <w:t>Distance and direction from the nearest point of the acquisition area</w:t>
            </w:r>
          </w:p>
        </w:tc>
      </w:tr>
      <w:tr w:rsidR="00DD631B" w:rsidRPr="000075CE" w14:paraId="4D89A101" w14:textId="77777777" w:rsidTr="00514376">
        <w:tc>
          <w:tcPr>
            <w:tcW w:w="8897" w:type="dxa"/>
            <w:gridSpan w:val="2"/>
            <w:shd w:val="clear" w:color="auto" w:fill="D9D9D9"/>
            <w:tcMar>
              <w:top w:w="140" w:type="nil"/>
              <w:right w:w="140" w:type="nil"/>
            </w:tcMar>
            <w:vAlign w:val="center"/>
          </w:tcPr>
          <w:p w14:paraId="032C1761"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Towns</w:t>
            </w:r>
          </w:p>
        </w:tc>
      </w:tr>
      <w:tr w:rsidR="00DD631B" w:rsidRPr="000075CE" w14:paraId="14A27B9E" w14:textId="77777777" w:rsidTr="008A7589">
        <w:tc>
          <w:tcPr>
            <w:tcW w:w="4644" w:type="dxa"/>
            <w:shd w:val="clear" w:color="auto" w:fill="auto"/>
            <w:tcMar>
              <w:top w:w="140" w:type="nil"/>
              <w:right w:w="140" w:type="nil"/>
            </w:tcMar>
            <w:vAlign w:val="center"/>
          </w:tcPr>
          <w:p w14:paraId="33F2891F"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Golden Beach</w:t>
            </w:r>
          </w:p>
        </w:tc>
        <w:tc>
          <w:tcPr>
            <w:tcW w:w="4253" w:type="dxa"/>
            <w:shd w:val="clear" w:color="auto" w:fill="auto"/>
            <w:tcMar>
              <w:top w:w="140" w:type="nil"/>
              <w:right w:w="140" w:type="nil"/>
            </w:tcMar>
            <w:vAlign w:val="center"/>
          </w:tcPr>
          <w:p w14:paraId="7A832800"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1 km north</w:t>
            </w:r>
          </w:p>
        </w:tc>
      </w:tr>
      <w:tr w:rsidR="00DD631B" w:rsidRPr="000075CE" w14:paraId="2ED04C71" w14:textId="77777777" w:rsidTr="008A7589">
        <w:tc>
          <w:tcPr>
            <w:tcW w:w="4644" w:type="dxa"/>
            <w:shd w:val="clear" w:color="auto" w:fill="auto"/>
            <w:tcMar>
              <w:top w:w="140" w:type="nil"/>
              <w:right w:w="140" w:type="nil"/>
            </w:tcMar>
            <w:vAlign w:val="center"/>
          </w:tcPr>
          <w:p w14:paraId="386D1A5D"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Paradise Beach</w:t>
            </w:r>
          </w:p>
        </w:tc>
        <w:tc>
          <w:tcPr>
            <w:tcW w:w="4253" w:type="dxa"/>
            <w:shd w:val="clear" w:color="auto" w:fill="auto"/>
            <w:tcMar>
              <w:top w:w="140" w:type="nil"/>
              <w:right w:w="140" w:type="nil"/>
            </w:tcMar>
            <w:vAlign w:val="center"/>
          </w:tcPr>
          <w:p w14:paraId="4C9943F1"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1.8 km northeast</w:t>
            </w:r>
          </w:p>
        </w:tc>
      </w:tr>
      <w:tr w:rsidR="00DD631B" w:rsidRPr="000075CE" w14:paraId="7428BE47" w14:textId="77777777" w:rsidTr="008A7589">
        <w:tc>
          <w:tcPr>
            <w:tcW w:w="4644" w:type="dxa"/>
            <w:shd w:val="clear" w:color="auto" w:fill="auto"/>
            <w:tcMar>
              <w:top w:w="140" w:type="nil"/>
              <w:right w:w="140" w:type="nil"/>
            </w:tcMar>
            <w:vAlign w:val="center"/>
          </w:tcPr>
          <w:p w14:paraId="0811675E"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Honeysuckles</w:t>
            </w:r>
          </w:p>
        </w:tc>
        <w:tc>
          <w:tcPr>
            <w:tcW w:w="4253" w:type="dxa"/>
            <w:shd w:val="clear" w:color="auto" w:fill="auto"/>
            <w:tcMar>
              <w:top w:w="140" w:type="nil"/>
              <w:right w:w="140" w:type="nil"/>
            </w:tcMar>
            <w:vAlign w:val="center"/>
          </w:tcPr>
          <w:p w14:paraId="1EB72C3C"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12 km southwest</w:t>
            </w:r>
          </w:p>
        </w:tc>
      </w:tr>
      <w:tr w:rsidR="00DD631B" w:rsidRPr="000075CE" w14:paraId="67B74BDD" w14:textId="77777777" w:rsidTr="008A7589">
        <w:tc>
          <w:tcPr>
            <w:tcW w:w="4644" w:type="dxa"/>
            <w:shd w:val="clear" w:color="auto" w:fill="auto"/>
            <w:tcMar>
              <w:top w:w="140" w:type="nil"/>
              <w:right w:w="140" w:type="nil"/>
            </w:tcMar>
            <w:vAlign w:val="center"/>
          </w:tcPr>
          <w:p w14:paraId="5A18AABE"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Loch Sport</w:t>
            </w:r>
          </w:p>
        </w:tc>
        <w:tc>
          <w:tcPr>
            <w:tcW w:w="4253" w:type="dxa"/>
            <w:shd w:val="clear" w:color="auto" w:fill="auto"/>
            <w:tcMar>
              <w:top w:w="140" w:type="nil"/>
              <w:right w:w="140" w:type="nil"/>
            </w:tcMar>
            <w:vAlign w:val="center"/>
          </w:tcPr>
          <w:p w14:paraId="7F5B2C16"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16.4 km northeast</w:t>
            </w:r>
          </w:p>
        </w:tc>
      </w:tr>
      <w:tr w:rsidR="00DD631B" w:rsidRPr="000075CE" w14:paraId="07FA0EAA" w14:textId="77777777" w:rsidTr="008A7589">
        <w:tc>
          <w:tcPr>
            <w:tcW w:w="4644" w:type="dxa"/>
            <w:shd w:val="clear" w:color="auto" w:fill="auto"/>
            <w:tcMar>
              <w:top w:w="140" w:type="nil"/>
              <w:right w:w="140" w:type="nil"/>
            </w:tcMar>
            <w:vAlign w:val="center"/>
          </w:tcPr>
          <w:p w14:paraId="7DE6517F"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Seaspray</w:t>
            </w:r>
          </w:p>
        </w:tc>
        <w:tc>
          <w:tcPr>
            <w:tcW w:w="4253" w:type="dxa"/>
            <w:shd w:val="clear" w:color="auto" w:fill="auto"/>
            <w:tcMar>
              <w:top w:w="140" w:type="nil"/>
              <w:right w:w="140" w:type="nil"/>
            </w:tcMar>
            <w:vAlign w:val="center"/>
          </w:tcPr>
          <w:p w14:paraId="07D16AC7"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16.5 km southwest</w:t>
            </w:r>
          </w:p>
        </w:tc>
      </w:tr>
      <w:tr w:rsidR="00DD631B" w:rsidRPr="000075CE" w14:paraId="26ED1D1B" w14:textId="77777777" w:rsidTr="008A7589">
        <w:tc>
          <w:tcPr>
            <w:tcW w:w="4644" w:type="dxa"/>
            <w:shd w:val="clear" w:color="auto" w:fill="auto"/>
            <w:tcMar>
              <w:top w:w="140" w:type="nil"/>
              <w:right w:w="140" w:type="nil"/>
            </w:tcMar>
            <w:vAlign w:val="center"/>
          </w:tcPr>
          <w:p w14:paraId="1F115658"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Longford</w:t>
            </w:r>
          </w:p>
        </w:tc>
        <w:tc>
          <w:tcPr>
            <w:tcW w:w="4253" w:type="dxa"/>
            <w:shd w:val="clear" w:color="auto" w:fill="auto"/>
            <w:tcMar>
              <w:top w:w="140" w:type="nil"/>
              <w:right w:w="140" w:type="nil"/>
            </w:tcMar>
            <w:vAlign w:val="center"/>
          </w:tcPr>
          <w:p w14:paraId="772A257D"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25 km north-northwest</w:t>
            </w:r>
          </w:p>
        </w:tc>
      </w:tr>
      <w:tr w:rsidR="00DD631B" w:rsidRPr="000075CE" w14:paraId="5A5BE8D8" w14:textId="77777777" w:rsidTr="008A7589">
        <w:tc>
          <w:tcPr>
            <w:tcW w:w="4644" w:type="dxa"/>
            <w:shd w:val="clear" w:color="auto" w:fill="auto"/>
            <w:tcMar>
              <w:top w:w="140" w:type="nil"/>
              <w:right w:w="140" w:type="nil"/>
            </w:tcMar>
            <w:vAlign w:val="center"/>
          </w:tcPr>
          <w:p w14:paraId="71824F7A"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Sale</w:t>
            </w:r>
          </w:p>
        </w:tc>
        <w:tc>
          <w:tcPr>
            <w:tcW w:w="4253" w:type="dxa"/>
            <w:shd w:val="clear" w:color="auto" w:fill="auto"/>
            <w:tcMar>
              <w:top w:w="140" w:type="nil"/>
              <w:right w:w="140" w:type="nil"/>
            </w:tcMar>
            <w:vAlign w:val="center"/>
          </w:tcPr>
          <w:p w14:paraId="2F2FDDC7"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30 km northwest</w:t>
            </w:r>
          </w:p>
        </w:tc>
      </w:tr>
      <w:tr w:rsidR="00DD631B" w:rsidRPr="000075CE" w14:paraId="779E3402" w14:textId="77777777" w:rsidTr="008A7589">
        <w:tc>
          <w:tcPr>
            <w:tcW w:w="4644" w:type="dxa"/>
            <w:shd w:val="clear" w:color="auto" w:fill="auto"/>
            <w:tcMar>
              <w:top w:w="140" w:type="nil"/>
              <w:right w:w="140" w:type="nil"/>
            </w:tcMar>
            <w:vAlign w:val="center"/>
          </w:tcPr>
          <w:p w14:paraId="1300803C"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Metung</w:t>
            </w:r>
          </w:p>
        </w:tc>
        <w:tc>
          <w:tcPr>
            <w:tcW w:w="4253" w:type="dxa"/>
            <w:shd w:val="clear" w:color="auto" w:fill="auto"/>
            <w:tcMar>
              <w:top w:w="140" w:type="nil"/>
              <w:right w:w="140" w:type="nil"/>
            </w:tcMar>
            <w:vAlign w:val="center"/>
          </w:tcPr>
          <w:p w14:paraId="15444881"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43.5 km northeast</w:t>
            </w:r>
          </w:p>
        </w:tc>
      </w:tr>
      <w:tr w:rsidR="00DD631B" w:rsidRPr="000075CE" w14:paraId="4F5B5F1B" w14:textId="77777777" w:rsidTr="008A7589">
        <w:tc>
          <w:tcPr>
            <w:tcW w:w="4644" w:type="dxa"/>
            <w:shd w:val="clear" w:color="auto" w:fill="auto"/>
            <w:tcMar>
              <w:top w:w="140" w:type="nil"/>
              <w:right w:w="140" w:type="nil"/>
            </w:tcMar>
            <w:vAlign w:val="center"/>
          </w:tcPr>
          <w:p w14:paraId="0B3E24F2"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Lakes Entrance</w:t>
            </w:r>
          </w:p>
        </w:tc>
        <w:tc>
          <w:tcPr>
            <w:tcW w:w="4253" w:type="dxa"/>
            <w:shd w:val="clear" w:color="auto" w:fill="auto"/>
            <w:tcMar>
              <w:top w:w="140" w:type="nil"/>
              <w:right w:w="140" w:type="nil"/>
            </w:tcMar>
            <w:vAlign w:val="center"/>
          </w:tcPr>
          <w:p w14:paraId="6A1C00E6"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52 km northeast</w:t>
            </w:r>
          </w:p>
        </w:tc>
      </w:tr>
      <w:tr w:rsidR="00DD631B" w:rsidRPr="000075CE" w14:paraId="1D6C4F64" w14:textId="77777777" w:rsidTr="00514376">
        <w:tc>
          <w:tcPr>
            <w:tcW w:w="8897" w:type="dxa"/>
            <w:gridSpan w:val="2"/>
            <w:shd w:val="clear" w:color="auto" w:fill="D9D9D9"/>
            <w:tcMar>
              <w:top w:w="140" w:type="nil"/>
              <w:right w:w="140" w:type="nil"/>
            </w:tcMar>
            <w:vAlign w:val="center"/>
          </w:tcPr>
          <w:p w14:paraId="3BBB59AF"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Oil and gas infrastructure</w:t>
            </w:r>
          </w:p>
        </w:tc>
      </w:tr>
      <w:tr w:rsidR="00DD631B" w:rsidRPr="000075CE" w14:paraId="54AB71F2" w14:textId="77777777" w:rsidTr="008A7589">
        <w:tc>
          <w:tcPr>
            <w:tcW w:w="4644" w:type="dxa"/>
            <w:tcMar>
              <w:top w:w="140" w:type="nil"/>
              <w:right w:w="140" w:type="nil"/>
            </w:tcMar>
            <w:vAlign w:val="center"/>
          </w:tcPr>
          <w:p w14:paraId="5F2E675F" w14:textId="6B254099"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Bream to shore pipeline</w:t>
            </w:r>
            <w:r w:rsidR="006B3D2C" w:rsidRPr="000075CE">
              <w:rPr>
                <w:rFonts w:cs="Arial"/>
                <w:sz w:val="20"/>
                <w:szCs w:val="20"/>
                <w:lang w:val="en-US" w:eastAsia="en-US"/>
              </w:rPr>
              <w:t xml:space="preserve"> (Vic/PL32 &amp; Vic/PL233)</w:t>
            </w:r>
          </w:p>
        </w:tc>
        <w:tc>
          <w:tcPr>
            <w:tcW w:w="4253" w:type="dxa"/>
            <w:tcMar>
              <w:top w:w="140" w:type="nil"/>
              <w:right w:w="140" w:type="nil"/>
            </w:tcMar>
            <w:vAlign w:val="center"/>
          </w:tcPr>
          <w:p w14:paraId="1240A29F"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Overlapped</w:t>
            </w:r>
          </w:p>
        </w:tc>
      </w:tr>
      <w:tr w:rsidR="00DD631B" w:rsidRPr="000075CE" w14:paraId="423EA702" w14:textId="77777777" w:rsidTr="008A7589">
        <w:tc>
          <w:tcPr>
            <w:tcW w:w="4644" w:type="dxa"/>
            <w:tcMar>
              <w:top w:w="140" w:type="nil"/>
              <w:right w:w="140" w:type="nil"/>
            </w:tcMar>
            <w:vAlign w:val="center"/>
          </w:tcPr>
          <w:p w14:paraId="503F35FE" w14:textId="5EB42E1F" w:rsidR="00DD631B" w:rsidRPr="000075CE" w:rsidRDefault="00DD631B" w:rsidP="002A2464">
            <w:pPr>
              <w:pStyle w:val="TableText"/>
              <w:spacing w:before="60" w:after="60"/>
              <w:rPr>
                <w:rFonts w:cs="Arial"/>
                <w:sz w:val="20"/>
                <w:szCs w:val="20"/>
                <w:lang w:val="en-US" w:eastAsia="en-US"/>
              </w:rPr>
            </w:pPr>
            <w:r w:rsidRPr="000075CE">
              <w:rPr>
                <w:rFonts w:cs="Arial"/>
                <w:sz w:val="20"/>
                <w:szCs w:val="20"/>
                <w:lang w:val="en-US" w:eastAsia="en-US"/>
              </w:rPr>
              <w:t>Barracouta to shore pipeline</w:t>
            </w:r>
            <w:r w:rsidR="006B3D2C" w:rsidRPr="000075CE">
              <w:rPr>
                <w:rFonts w:cs="Arial"/>
                <w:sz w:val="20"/>
                <w:szCs w:val="20"/>
                <w:lang w:val="en-US" w:eastAsia="en-US"/>
              </w:rPr>
              <w:t xml:space="preserve"> (Vic/PL1 pipeline and Vic/PL4 pipeline)</w:t>
            </w:r>
          </w:p>
        </w:tc>
        <w:tc>
          <w:tcPr>
            <w:tcW w:w="4253" w:type="dxa"/>
            <w:tcMar>
              <w:top w:w="140" w:type="nil"/>
              <w:right w:w="140" w:type="nil"/>
            </w:tcMar>
            <w:vAlign w:val="center"/>
          </w:tcPr>
          <w:p w14:paraId="24072C63"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Overlapped</w:t>
            </w:r>
          </w:p>
        </w:tc>
      </w:tr>
      <w:tr w:rsidR="00DD631B" w:rsidRPr="000075CE" w14:paraId="075579BA" w14:textId="77777777" w:rsidTr="008A7589">
        <w:tc>
          <w:tcPr>
            <w:tcW w:w="4644" w:type="dxa"/>
            <w:tcMar>
              <w:top w:w="140" w:type="nil"/>
              <w:right w:w="140" w:type="nil"/>
            </w:tcMar>
            <w:vAlign w:val="center"/>
          </w:tcPr>
          <w:p w14:paraId="7899D7C8"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Seahorse subsea wells (nearest)</w:t>
            </w:r>
          </w:p>
        </w:tc>
        <w:tc>
          <w:tcPr>
            <w:tcW w:w="4253" w:type="dxa"/>
            <w:tcMar>
              <w:top w:w="140" w:type="nil"/>
              <w:right w:w="140" w:type="nil"/>
            </w:tcMar>
            <w:vAlign w:val="center"/>
          </w:tcPr>
          <w:p w14:paraId="40F80E9D"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2.5 km east</w:t>
            </w:r>
          </w:p>
        </w:tc>
      </w:tr>
      <w:tr w:rsidR="00DD631B" w:rsidRPr="000075CE" w14:paraId="37AB75C2" w14:textId="77777777" w:rsidTr="008A7589">
        <w:tc>
          <w:tcPr>
            <w:tcW w:w="4644" w:type="dxa"/>
            <w:tcMar>
              <w:top w:w="140" w:type="nil"/>
              <w:right w:w="140" w:type="nil"/>
            </w:tcMar>
            <w:vAlign w:val="center"/>
          </w:tcPr>
          <w:p w14:paraId="752B7C21"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 xml:space="preserve">Tarwhine to Barracouta A pipeline </w:t>
            </w:r>
          </w:p>
        </w:tc>
        <w:tc>
          <w:tcPr>
            <w:tcW w:w="4253" w:type="dxa"/>
            <w:tcMar>
              <w:top w:w="140" w:type="nil"/>
              <w:right w:w="140" w:type="nil"/>
            </w:tcMar>
            <w:vAlign w:val="center"/>
          </w:tcPr>
          <w:p w14:paraId="2045FA99"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10.2 km southeast</w:t>
            </w:r>
          </w:p>
        </w:tc>
      </w:tr>
      <w:tr w:rsidR="00DD631B" w:rsidRPr="000075CE" w14:paraId="5E827A31" w14:textId="77777777" w:rsidTr="008A7589">
        <w:tc>
          <w:tcPr>
            <w:tcW w:w="4644" w:type="dxa"/>
            <w:tcMar>
              <w:top w:w="140" w:type="nil"/>
              <w:right w:w="140" w:type="nil"/>
            </w:tcMar>
            <w:vAlign w:val="center"/>
          </w:tcPr>
          <w:p w14:paraId="47D15377"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lastRenderedPageBreak/>
              <w:t>Seahorse to Barracouta A pipeline</w:t>
            </w:r>
          </w:p>
        </w:tc>
        <w:tc>
          <w:tcPr>
            <w:tcW w:w="4253" w:type="dxa"/>
            <w:tcMar>
              <w:top w:w="140" w:type="nil"/>
              <w:right w:w="140" w:type="nil"/>
            </w:tcMar>
            <w:vAlign w:val="center"/>
          </w:tcPr>
          <w:p w14:paraId="447BDAB7"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10.7 km southeast</w:t>
            </w:r>
          </w:p>
        </w:tc>
      </w:tr>
      <w:tr w:rsidR="00DD631B" w:rsidRPr="000075CE" w14:paraId="72C37A45" w14:textId="77777777" w:rsidTr="008A7589">
        <w:tc>
          <w:tcPr>
            <w:tcW w:w="4644" w:type="dxa"/>
            <w:tcMar>
              <w:top w:w="140" w:type="nil"/>
              <w:right w:w="140" w:type="nil"/>
            </w:tcMar>
            <w:vAlign w:val="center"/>
          </w:tcPr>
          <w:p w14:paraId="4E96903A"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Barracouta platform</w:t>
            </w:r>
          </w:p>
        </w:tc>
        <w:tc>
          <w:tcPr>
            <w:tcW w:w="4253" w:type="dxa"/>
            <w:tcMar>
              <w:top w:w="140" w:type="nil"/>
              <w:right w:w="140" w:type="nil"/>
            </w:tcMar>
            <w:vAlign w:val="center"/>
          </w:tcPr>
          <w:p w14:paraId="0127E687"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11.3 km southeast</w:t>
            </w:r>
          </w:p>
        </w:tc>
      </w:tr>
      <w:tr w:rsidR="00DD631B" w:rsidRPr="000075CE" w14:paraId="49AED833" w14:textId="77777777" w:rsidTr="008A7589">
        <w:tc>
          <w:tcPr>
            <w:tcW w:w="4644" w:type="dxa"/>
            <w:tcMar>
              <w:top w:w="140" w:type="nil"/>
              <w:right w:w="140" w:type="nil"/>
            </w:tcMar>
            <w:vAlign w:val="center"/>
          </w:tcPr>
          <w:p w14:paraId="50368FDE"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Tarwhine subsea well</w:t>
            </w:r>
          </w:p>
        </w:tc>
        <w:tc>
          <w:tcPr>
            <w:tcW w:w="4253" w:type="dxa"/>
            <w:tcMar>
              <w:top w:w="140" w:type="nil"/>
              <w:right w:w="140" w:type="nil"/>
            </w:tcMar>
            <w:vAlign w:val="center"/>
          </w:tcPr>
          <w:p w14:paraId="583A251E"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12 km southwest</w:t>
            </w:r>
          </w:p>
        </w:tc>
      </w:tr>
      <w:tr w:rsidR="00DD631B" w:rsidRPr="000075CE" w14:paraId="73824B6C" w14:textId="77777777" w:rsidTr="008A7589">
        <w:tc>
          <w:tcPr>
            <w:tcW w:w="4644" w:type="dxa"/>
            <w:tcMar>
              <w:top w:w="140" w:type="nil"/>
              <w:right w:w="140" w:type="nil"/>
            </w:tcMar>
            <w:vAlign w:val="center"/>
          </w:tcPr>
          <w:p w14:paraId="53A8F05F"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 xml:space="preserve">Dolphin to shore pipeline </w:t>
            </w:r>
          </w:p>
        </w:tc>
        <w:tc>
          <w:tcPr>
            <w:tcW w:w="4253" w:type="dxa"/>
            <w:tcMar>
              <w:top w:w="140" w:type="nil"/>
              <w:right w:w="140" w:type="nil"/>
            </w:tcMar>
            <w:vAlign w:val="center"/>
          </w:tcPr>
          <w:p w14:paraId="131A502B"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13.7 km</w:t>
            </w:r>
          </w:p>
        </w:tc>
      </w:tr>
      <w:tr w:rsidR="00DD631B" w:rsidRPr="000075CE" w14:paraId="17A42984" w14:textId="77777777" w:rsidTr="008A7589">
        <w:tc>
          <w:tcPr>
            <w:tcW w:w="4644" w:type="dxa"/>
            <w:tcMar>
              <w:top w:w="140" w:type="nil"/>
              <w:right w:w="140" w:type="nil"/>
            </w:tcMar>
            <w:vAlign w:val="center"/>
          </w:tcPr>
          <w:p w14:paraId="68946B36"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Tasmanian gas pipeline</w:t>
            </w:r>
          </w:p>
        </w:tc>
        <w:tc>
          <w:tcPr>
            <w:tcW w:w="4253" w:type="dxa"/>
            <w:tcMar>
              <w:top w:w="140" w:type="nil"/>
              <w:right w:w="140" w:type="nil"/>
            </w:tcMar>
            <w:vAlign w:val="center"/>
          </w:tcPr>
          <w:p w14:paraId="20E1F5EC"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15.5 km southwest</w:t>
            </w:r>
          </w:p>
        </w:tc>
      </w:tr>
      <w:tr w:rsidR="00DD631B" w:rsidRPr="000075CE" w14:paraId="06D335B8" w14:textId="77777777" w:rsidTr="008A7589">
        <w:tc>
          <w:tcPr>
            <w:tcW w:w="4644" w:type="dxa"/>
            <w:tcMar>
              <w:top w:w="140" w:type="nil"/>
              <w:right w:w="140" w:type="nil"/>
            </w:tcMar>
            <w:vAlign w:val="center"/>
          </w:tcPr>
          <w:p w14:paraId="0FD96B12"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Dolphin monopod</w:t>
            </w:r>
          </w:p>
        </w:tc>
        <w:tc>
          <w:tcPr>
            <w:tcW w:w="4253" w:type="dxa"/>
            <w:tcMar>
              <w:top w:w="140" w:type="nil"/>
              <w:right w:w="140" w:type="nil"/>
            </w:tcMar>
            <w:vAlign w:val="center"/>
          </w:tcPr>
          <w:p w14:paraId="22ED5B45"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20.1 km southwest</w:t>
            </w:r>
          </w:p>
        </w:tc>
      </w:tr>
      <w:tr w:rsidR="00DD631B" w:rsidRPr="000075CE" w14:paraId="6D968224" w14:textId="77777777" w:rsidTr="00514376">
        <w:tc>
          <w:tcPr>
            <w:tcW w:w="8897" w:type="dxa"/>
            <w:gridSpan w:val="2"/>
            <w:shd w:val="clear" w:color="auto" w:fill="D9D9D9"/>
            <w:tcMar>
              <w:top w:w="140" w:type="nil"/>
              <w:right w:w="140" w:type="nil"/>
            </w:tcMar>
            <w:vAlign w:val="center"/>
          </w:tcPr>
          <w:p w14:paraId="7728A6DE"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Other infrastructure</w:t>
            </w:r>
          </w:p>
        </w:tc>
      </w:tr>
      <w:tr w:rsidR="00DD631B" w:rsidRPr="000075CE" w14:paraId="7F0F6C82" w14:textId="77777777" w:rsidTr="008A7589">
        <w:tc>
          <w:tcPr>
            <w:tcW w:w="4644" w:type="dxa"/>
            <w:tcMar>
              <w:top w:w="140" w:type="nil"/>
              <w:right w:w="140" w:type="nil"/>
            </w:tcMar>
            <w:vAlign w:val="center"/>
          </w:tcPr>
          <w:p w14:paraId="420B83B5"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rPr>
              <w:t xml:space="preserve">Regional Outfall Sewer (ROS) (Delray Beach) </w:t>
            </w:r>
          </w:p>
        </w:tc>
        <w:tc>
          <w:tcPr>
            <w:tcW w:w="4253" w:type="dxa"/>
            <w:tcMar>
              <w:top w:w="140" w:type="nil"/>
              <w:right w:w="140" w:type="nil"/>
            </w:tcMar>
            <w:vAlign w:val="center"/>
          </w:tcPr>
          <w:p w14:paraId="4EC88E7F" w14:textId="77777777" w:rsidR="00DD631B" w:rsidRPr="000075CE" w:rsidRDefault="00DD631B" w:rsidP="00DD631B">
            <w:pPr>
              <w:pStyle w:val="TableText"/>
              <w:spacing w:before="60" w:after="60"/>
              <w:rPr>
                <w:rFonts w:cs="Arial"/>
                <w:sz w:val="20"/>
                <w:szCs w:val="20"/>
                <w:lang w:val="en-US" w:eastAsia="en-US"/>
              </w:rPr>
            </w:pPr>
            <w:r w:rsidRPr="000075CE">
              <w:rPr>
                <w:rFonts w:cs="Arial"/>
                <w:sz w:val="20"/>
                <w:szCs w:val="20"/>
                <w:lang w:val="en-US" w:eastAsia="en-US"/>
              </w:rPr>
              <w:t>1 km north</w:t>
            </w:r>
          </w:p>
        </w:tc>
      </w:tr>
      <w:tr w:rsidR="00CC38F0" w:rsidRPr="000075CE" w14:paraId="1C30200E" w14:textId="77777777" w:rsidTr="008A7589">
        <w:tc>
          <w:tcPr>
            <w:tcW w:w="4644" w:type="dxa"/>
            <w:tcMar>
              <w:top w:w="140" w:type="nil"/>
              <w:right w:w="140" w:type="nil"/>
            </w:tcMar>
            <w:vAlign w:val="center"/>
          </w:tcPr>
          <w:p w14:paraId="3A4EAC04" w14:textId="52B7FBF6" w:rsidR="00CC38F0" w:rsidRPr="000075CE" w:rsidRDefault="00CC38F0" w:rsidP="00DD631B">
            <w:pPr>
              <w:pStyle w:val="TableText"/>
              <w:spacing w:before="60" w:after="60"/>
              <w:rPr>
                <w:rFonts w:cs="Arial"/>
                <w:sz w:val="20"/>
                <w:szCs w:val="20"/>
                <w:lang w:val="en-US" w:eastAsia="en-US"/>
              </w:rPr>
            </w:pPr>
            <w:r w:rsidRPr="000075CE">
              <w:rPr>
                <w:rFonts w:cs="Arial"/>
                <w:sz w:val="20"/>
                <w:szCs w:val="20"/>
              </w:rPr>
              <w:t>Saline Wastewater Outfall Pipeline (SWOP) (McGaurans Beach)</w:t>
            </w:r>
          </w:p>
        </w:tc>
        <w:tc>
          <w:tcPr>
            <w:tcW w:w="4253" w:type="dxa"/>
            <w:tcMar>
              <w:top w:w="140" w:type="nil"/>
              <w:right w:w="140" w:type="nil"/>
            </w:tcMar>
            <w:vAlign w:val="center"/>
          </w:tcPr>
          <w:p w14:paraId="7729DDD5" w14:textId="7749E155" w:rsidR="00CC38F0" w:rsidRPr="000075CE" w:rsidRDefault="00CC38F0" w:rsidP="00822FB1">
            <w:pPr>
              <w:pStyle w:val="TableText"/>
              <w:spacing w:before="60" w:after="60"/>
              <w:rPr>
                <w:rFonts w:cs="Arial"/>
                <w:sz w:val="20"/>
                <w:szCs w:val="20"/>
                <w:lang w:val="en-US" w:eastAsia="en-US"/>
              </w:rPr>
            </w:pPr>
            <w:r w:rsidRPr="000075CE">
              <w:rPr>
                <w:rFonts w:cs="Arial"/>
                <w:sz w:val="20"/>
                <w:szCs w:val="20"/>
              </w:rPr>
              <w:t>25 km southwest</w:t>
            </w:r>
          </w:p>
        </w:tc>
      </w:tr>
      <w:tr w:rsidR="00CC38F0" w:rsidRPr="000075CE" w14:paraId="7F361D92" w14:textId="77777777" w:rsidTr="008A7589">
        <w:tc>
          <w:tcPr>
            <w:tcW w:w="4644" w:type="dxa"/>
            <w:tcMar>
              <w:top w:w="140" w:type="nil"/>
              <w:right w:w="140" w:type="nil"/>
            </w:tcMar>
            <w:vAlign w:val="center"/>
          </w:tcPr>
          <w:p w14:paraId="69B083FA" w14:textId="18695019" w:rsidR="00CC38F0" w:rsidRPr="000075CE" w:rsidRDefault="00CC38F0" w:rsidP="00DD631B">
            <w:pPr>
              <w:pStyle w:val="TableText"/>
              <w:spacing w:before="60" w:after="60"/>
              <w:rPr>
                <w:rFonts w:cs="Arial"/>
                <w:sz w:val="20"/>
                <w:szCs w:val="20"/>
              </w:rPr>
            </w:pPr>
            <w:r w:rsidRPr="000075CE">
              <w:rPr>
                <w:rFonts w:cs="Arial"/>
                <w:sz w:val="20"/>
                <w:szCs w:val="20"/>
                <w:lang w:val="en-US" w:eastAsia="en-US"/>
              </w:rPr>
              <w:t>Basslink electricity interconnector cable</w:t>
            </w:r>
          </w:p>
        </w:tc>
        <w:tc>
          <w:tcPr>
            <w:tcW w:w="4253" w:type="dxa"/>
            <w:tcMar>
              <w:top w:w="140" w:type="nil"/>
              <w:right w:w="140" w:type="nil"/>
            </w:tcMar>
            <w:vAlign w:val="center"/>
          </w:tcPr>
          <w:p w14:paraId="33C3F260" w14:textId="37121DBD" w:rsidR="00CC38F0" w:rsidRPr="000075CE" w:rsidRDefault="00CC38F0" w:rsidP="00822FB1">
            <w:pPr>
              <w:pStyle w:val="TableText"/>
              <w:spacing w:before="60" w:after="60"/>
              <w:rPr>
                <w:rFonts w:cs="Arial"/>
                <w:sz w:val="20"/>
                <w:szCs w:val="20"/>
              </w:rPr>
            </w:pPr>
            <w:r w:rsidRPr="000075CE">
              <w:rPr>
                <w:rFonts w:cs="Arial"/>
                <w:sz w:val="20"/>
                <w:szCs w:val="20"/>
                <w:lang w:val="en-US" w:eastAsia="en-US"/>
              </w:rPr>
              <w:t>3</w:t>
            </w:r>
            <w:r>
              <w:rPr>
                <w:rFonts w:cs="Arial"/>
                <w:sz w:val="20"/>
                <w:szCs w:val="20"/>
                <w:lang w:val="en-US" w:eastAsia="en-US"/>
              </w:rPr>
              <w:t>4</w:t>
            </w:r>
            <w:r w:rsidRPr="000075CE">
              <w:rPr>
                <w:rFonts w:cs="Arial"/>
                <w:sz w:val="20"/>
                <w:szCs w:val="20"/>
                <w:lang w:val="en-US" w:eastAsia="en-US"/>
              </w:rPr>
              <w:t xml:space="preserve"> km southwest</w:t>
            </w:r>
          </w:p>
        </w:tc>
      </w:tr>
      <w:tr w:rsidR="00CC38F0" w:rsidRPr="000075CE" w14:paraId="34803825" w14:textId="77777777" w:rsidTr="00514376">
        <w:tc>
          <w:tcPr>
            <w:tcW w:w="8897" w:type="dxa"/>
            <w:gridSpan w:val="2"/>
            <w:shd w:val="clear" w:color="auto" w:fill="D9D9D9"/>
            <w:tcMar>
              <w:top w:w="140" w:type="nil"/>
              <w:right w:w="140" w:type="nil"/>
            </w:tcMar>
            <w:vAlign w:val="center"/>
          </w:tcPr>
          <w:p w14:paraId="2FED0FB4"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Commonwealth Marine Reserves</w:t>
            </w:r>
          </w:p>
        </w:tc>
      </w:tr>
      <w:tr w:rsidR="00CC38F0" w:rsidRPr="000075CE" w14:paraId="4E22CCA2" w14:textId="77777777" w:rsidTr="008A7589">
        <w:tc>
          <w:tcPr>
            <w:tcW w:w="4644" w:type="dxa"/>
            <w:tcMar>
              <w:top w:w="140" w:type="nil"/>
              <w:right w:w="140" w:type="nil"/>
            </w:tcMar>
            <w:vAlign w:val="center"/>
          </w:tcPr>
          <w:p w14:paraId="35F6AF6B"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Beagle</w:t>
            </w:r>
          </w:p>
        </w:tc>
        <w:tc>
          <w:tcPr>
            <w:tcW w:w="4253" w:type="dxa"/>
            <w:tcMar>
              <w:top w:w="140" w:type="nil"/>
              <w:right w:w="140" w:type="nil"/>
            </w:tcMar>
            <w:vAlign w:val="center"/>
          </w:tcPr>
          <w:p w14:paraId="53B47CC1"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91 km southwest</w:t>
            </w:r>
          </w:p>
        </w:tc>
      </w:tr>
      <w:tr w:rsidR="00CC38F0" w:rsidRPr="000075CE" w14:paraId="22D3B6F9" w14:textId="77777777" w:rsidTr="008A7589">
        <w:tc>
          <w:tcPr>
            <w:tcW w:w="4644" w:type="dxa"/>
            <w:tcMar>
              <w:top w:w="140" w:type="nil"/>
              <w:right w:w="140" w:type="nil"/>
            </w:tcMar>
            <w:vAlign w:val="center"/>
          </w:tcPr>
          <w:p w14:paraId="2811387F"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East Gippsland</w:t>
            </w:r>
          </w:p>
        </w:tc>
        <w:tc>
          <w:tcPr>
            <w:tcW w:w="4253" w:type="dxa"/>
            <w:tcMar>
              <w:top w:w="140" w:type="nil"/>
              <w:right w:w="140" w:type="nil"/>
            </w:tcMar>
            <w:vAlign w:val="center"/>
          </w:tcPr>
          <w:p w14:paraId="37B12B37"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202 km east</w:t>
            </w:r>
          </w:p>
        </w:tc>
      </w:tr>
      <w:tr w:rsidR="00CC38F0" w:rsidRPr="000075CE" w14:paraId="5942F589" w14:textId="77777777" w:rsidTr="00514376">
        <w:tc>
          <w:tcPr>
            <w:tcW w:w="8897" w:type="dxa"/>
            <w:gridSpan w:val="2"/>
            <w:shd w:val="clear" w:color="auto" w:fill="D9D9D9"/>
            <w:tcMar>
              <w:top w:w="140" w:type="nil"/>
              <w:right w:w="140" w:type="nil"/>
            </w:tcMar>
            <w:vAlign w:val="center"/>
          </w:tcPr>
          <w:p w14:paraId="2F1F27B4"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State marine parks</w:t>
            </w:r>
          </w:p>
        </w:tc>
      </w:tr>
      <w:tr w:rsidR="00CC38F0" w:rsidRPr="000075CE" w14:paraId="3B26F34F" w14:textId="77777777" w:rsidTr="008A7589">
        <w:tc>
          <w:tcPr>
            <w:tcW w:w="4644" w:type="dxa"/>
            <w:tcMar>
              <w:top w:w="140" w:type="nil"/>
              <w:right w:w="140" w:type="nil"/>
            </w:tcMar>
            <w:vAlign w:val="center"/>
          </w:tcPr>
          <w:p w14:paraId="78D27E1B"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Ninety Mile Beach Marine National Park</w:t>
            </w:r>
          </w:p>
        </w:tc>
        <w:tc>
          <w:tcPr>
            <w:tcW w:w="4253" w:type="dxa"/>
            <w:tcMar>
              <w:top w:w="140" w:type="nil"/>
              <w:right w:w="140" w:type="nil"/>
            </w:tcMar>
            <w:vAlign w:val="center"/>
          </w:tcPr>
          <w:p w14:paraId="3E3CBCE2"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15.7 km southwest</w:t>
            </w:r>
          </w:p>
        </w:tc>
      </w:tr>
      <w:tr w:rsidR="00CC38F0" w:rsidRPr="000075CE" w14:paraId="287A0A4B" w14:textId="77777777" w:rsidTr="008A7589">
        <w:tc>
          <w:tcPr>
            <w:tcW w:w="4644" w:type="dxa"/>
            <w:tcMar>
              <w:top w:w="140" w:type="nil"/>
              <w:right w:w="140" w:type="nil"/>
            </w:tcMar>
            <w:vAlign w:val="center"/>
          </w:tcPr>
          <w:p w14:paraId="6050E2EE"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Nooramunga Marine and Coastal Park</w:t>
            </w:r>
          </w:p>
        </w:tc>
        <w:tc>
          <w:tcPr>
            <w:tcW w:w="4253" w:type="dxa"/>
            <w:tcMar>
              <w:top w:w="140" w:type="nil"/>
              <w:right w:w="140" w:type="nil"/>
            </w:tcMar>
            <w:vAlign w:val="center"/>
          </w:tcPr>
          <w:p w14:paraId="1A1EBE5F"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47 km southwest</w:t>
            </w:r>
          </w:p>
        </w:tc>
      </w:tr>
      <w:tr w:rsidR="00CC38F0" w:rsidRPr="000075CE" w14:paraId="020C987F" w14:textId="77777777" w:rsidTr="008A7589">
        <w:tc>
          <w:tcPr>
            <w:tcW w:w="4644" w:type="dxa"/>
            <w:tcMar>
              <w:top w:w="140" w:type="nil"/>
              <w:right w:w="140" w:type="nil"/>
            </w:tcMar>
            <w:vAlign w:val="center"/>
          </w:tcPr>
          <w:p w14:paraId="6CE9B988"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Corner Inlet Marine Park</w:t>
            </w:r>
          </w:p>
        </w:tc>
        <w:tc>
          <w:tcPr>
            <w:tcW w:w="4253" w:type="dxa"/>
            <w:tcMar>
              <w:top w:w="140" w:type="nil"/>
              <w:right w:w="140" w:type="nil"/>
            </w:tcMar>
            <w:vAlign w:val="center"/>
          </w:tcPr>
          <w:p w14:paraId="5D7F91E3"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94 km southwest</w:t>
            </w:r>
          </w:p>
        </w:tc>
      </w:tr>
      <w:tr w:rsidR="00CC38F0" w:rsidRPr="000075CE" w14:paraId="6B021ED0" w14:textId="77777777" w:rsidTr="008A7589">
        <w:tc>
          <w:tcPr>
            <w:tcW w:w="4644" w:type="dxa"/>
            <w:tcMar>
              <w:top w:w="140" w:type="nil"/>
              <w:right w:w="140" w:type="nil"/>
            </w:tcMar>
            <w:vAlign w:val="center"/>
          </w:tcPr>
          <w:p w14:paraId="3842EA3F"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Wilsons Promontory Marine Park</w:t>
            </w:r>
          </w:p>
        </w:tc>
        <w:tc>
          <w:tcPr>
            <w:tcW w:w="4253" w:type="dxa"/>
            <w:tcMar>
              <w:top w:w="140" w:type="nil"/>
              <w:right w:w="140" w:type="nil"/>
            </w:tcMar>
            <w:vAlign w:val="center"/>
          </w:tcPr>
          <w:p w14:paraId="7A214FDF"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97 km west</w:t>
            </w:r>
          </w:p>
        </w:tc>
      </w:tr>
      <w:tr w:rsidR="00CC38F0" w:rsidRPr="000075CE" w14:paraId="18D39610" w14:textId="77777777" w:rsidTr="008A7589">
        <w:tc>
          <w:tcPr>
            <w:tcW w:w="4644" w:type="dxa"/>
            <w:tcMar>
              <w:top w:w="140" w:type="nil"/>
              <w:right w:w="140" w:type="nil"/>
            </w:tcMar>
            <w:vAlign w:val="center"/>
          </w:tcPr>
          <w:p w14:paraId="4B64F4B1"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Wilsons Promontory Marine National Park</w:t>
            </w:r>
          </w:p>
        </w:tc>
        <w:tc>
          <w:tcPr>
            <w:tcW w:w="4253" w:type="dxa"/>
            <w:tcMar>
              <w:top w:w="140" w:type="nil"/>
              <w:right w:w="140" w:type="nil"/>
            </w:tcMar>
            <w:vAlign w:val="center"/>
          </w:tcPr>
          <w:p w14:paraId="7B0C1020"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115 km southwest</w:t>
            </w:r>
          </w:p>
        </w:tc>
      </w:tr>
      <w:tr w:rsidR="00CC38F0" w:rsidRPr="000075CE" w14:paraId="62619AE8" w14:textId="77777777" w:rsidTr="008A7589">
        <w:tc>
          <w:tcPr>
            <w:tcW w:w="4644" w:type="dxa"/>
            <w:tcMar>
              <w:top w:w="140" w:type="nil"/>
              <w:right w:w="140" w:type="nil"/>
            </w:tcMar>
            <w:vAlign w:val="center"/>
          </w:tcPr>
          <w:p w14:paraId="08308FCD"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Point Hicks Marine National Park</w:t>
            </w:r>
          </w:p>
        </w:tc>
        <w:tc>
          <w:tcPr>
            <w:tcW w:w="4253" w:type="dxa"/>
            <w:tcMar>
              <w:top w:w="140" w:type="nil"/>
              <w:right w:w="140" w:type="nil"/>
            </w:tcMar>
            <w:vAlign w:val="center"/>
          </w:tcPr>
          <w:p w14:paraId="4A09507D"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151 km east</w:t>
            </w:r>
          </w:p>
        </w:tc>
      </w:tr>
      <w:tr w:rsidR="00CC38F0" w:rsidRPr="000075CE" w14:paraId="444A7736" w14:textId="77777777" w:rsidTr="00514376">
        <w:tc>
          <w:tcPr>
            <w:tcW w:w="8897" w:type="dxa"/>
            <w:gridSpan w:val="2"/>
            <w:shd w:val="clear" w:color="auto" w:fill="D9D9D9"/>
            <w:tcMar>
              <w:top w:w="140" w:type="nil"/>
              <w:right w:w="140" w:type="nil"/>
            </w:tcMar>
            <w:vAlign w:val="center"/>
          </w:tcPr>
          <w:p w14:paraId="5580ABC5"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Natural features</w:t>
            </w:r>
          </w:p>
        </w:tc>
      </w:tr>
      <w:tr w:rsidR="00CC38F0" w:rsidRPr="000075CE" w14:paraId="317CE03E" w14:textId="77777777" w:rsidTr="008A7589">
        <w:tc>
          <w:tcPr>
            <w:tcW w:w="4644" w:type="dxa"/>
            <w:tcMar>
              <w:top w:w="140" w:type="nil"/>
              <w:right w:w="140" w:type="nil"/>
            </w:tcMar>
            <w:vAlign w:val="center"/>
          </w:tcPr>
          <w:p w14:paraId="77CC39DE"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Hogan Island group</w:t>
            </w:r>
          </w:p>
        </w:tc>
        <w:tc>
          <w:tcPr>
            <w:tcW w:w="4253" w:type="dxa"/>
            <w:tcMar>
              <w:top w:w="140" w:type="nil"/>
              <w:right w:w="140" w:type="nil"/>
            </w:tcMar>
            <w:vAlign w:val="center"/>
          </w:tcPr>
          <w:p w14:paraId="70D4DF06"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106 km southwest</w:t>
            </w:r>
          </w:p>
        </w:tc>
      </w:tr>
      <w:tr w:rsidR="00CC38F0" w:rsidRPr="000075CE" w14:paraId="33A08BAB" w14:textId="77777777" w:rsidTr="008A7589">
        <w:tc>
          <w:tcPr>
            <w:tcW w:w="4644" w:type="dxa"/>
            <w:tcMar>
              <w:top w:w="140" w:type="nil"/>
              <w:right w:w="140" w:type="nil"/>
            </w:tcMar>
            <w:vAlign w:val="center"/>
          </w:tcPr>
          <w:p w14:paraId="1EB37621"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Beware Reef (off Cape Conran)</w:t>
            </w:r>
          </w:p>
        </w:tc>
        <w:tc>
          <w:tcPr>
            <w:tcW w:w="4253" w:type="dxa"/>
            <w:tcMar>
              <w:top w:w="140" w:type="nil"/>
              <w:right w:w="140" w:type="nil"/>
            </w:tcMar>
            <w:vAlign w:val="center"/>
          </w:tcPr>
          <w:p w14:paraId="65C78E07"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116 km east</w:t>
            </w:r>
          </w:p>
        </w:tc>
      </w:tr>
      <w:tr w:rsidR="00CC38F0" w:rsidRPr="000075CE" w14:paraId="771222E0" w14:textId="77777777" w:rsidTr="008A7589">
        <w:tc>
          <w:tcPr>
            <w:tcW w:w="4644" w:type="dxa"/>
            <w:tcMar>
              <w:top w:w="140" w:type="nil"/>
              <w:right w:w="140" w:type="nil"/>
            </w:tcMar>
            <w:vAlign w:val="center"/>
          </w:tcPr>
          <w:p w14:paraId="311AF2E4"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Wilson’s Promontory (southern tip)</w:t>
            </w:r>
          </w:p>
        </w:tc>
        <w:tc>
          <w:tcPr>
            <w:tcW w:w="4253" w:type="dxa"/>
            <w:tcMar>
              <w:top w:w="140" w:type="nil"/>
              <w:right w:w="140" w:type="nil"/>
            </w:tcMar>
            <w:vAlign w:val="center"/>
          </w:tcPr>
          <w:p w14:paraId="71E4F183"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124 km southwest</w:t>
            </w:r>
          </w:p>
        </w:tc>
      </w:tr>
      <w:tr w:rsidR="00CC38F0" w:rsidRPr="000075CE" w14:paraId="6704CD32" w14:textId="77777777" w:rsidTr="008A7589">
        <w:tc>
          <w:tcPr>
            <w:tcW w:w="4644" w:type="dxa"/>
            <w:tcMar>
              <w:top w:w="140" w:type="nil"/>
              <w:right w:w="140" w:type="nil"/>
            </w:tcMar>
            <w:vAlign w:val="center"/>
          </w:tcPr>
          <w:p w14:paraId="0DD0E7FC"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Westernport Bay (western entrance)</w:t>
            </w:r>
          </w:p>
        </w:tc>
        <w:tc>
          <w:tcPr>
            <w:tcW w:w="4253" w:type="dxa"/>
            <w:tcMar>
              <w:top w:w="140" w:type="nil"/>
              <w:right w:w="140" w:type="nil"/>
            </w:tcMar>
            <w:vAlign w:val="center"/>
          </w:tcPr>
          <w:p w14:paraId="226064B9"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176 km west</w:t>
            </w:r>
          </w:p>
        </w:tc>
      </w:tr>
      <w:tr w:rsidR="00CC38F0" w:rsidRPr="000075CE" w14:paraId="74029563" w14:textId="77777777" w:rsidTr="008A7589">
        <w:tc>
          <w:tcPr>
            <w:tcW w:w="4644" w:type="dxa"/>
            <w:tcMar>
              <w:top w:w="140" w:type="nil"/>
              <w:right w:w="140" w:type="nil"/>
            </w:tcMar>
            <w:vAlign w:val="center"/>
          </w:tcPr>
          <w:p w14:paraId="1A83CAEC"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Port Phillip Bay (entrance)</w:t>
            </w:r>
          </w:p>
        </w:tc>
        <w:tc>
          <w:tcPr>
            <w:tcW w:w="4253" w:type="dxa"/>
            <w:tcMar>
              <w:top w:w="140" w:type="nil"/>
              <w:right w:w="140" w:type="nil"/>
            </w:tcMar>
            <w:vAlign w:val="center"/>
          </w:tcPr>
          <w:p w14:paraId="4D0C82CB" w14:textId="77777777" w:rsidR="00CC38F0" w:rsidRPr="000075CE" w:rsidRDefault="00CC38F0" w:rsidP="00DD631B">
            <w:pPr>
              <w:pStyle w:val="TableText"/>
              <w:spacing w:before="60" w:after="60"/>
              <w:rPr>
                <w:rFonts w:cs="Arial"/>
                <w:sz w:val="20"/>
                <w:szCs w:val="20"/>
                <w:lang w:val="en-US" w:eastAsia="en-US"/>
              </w:rPr>
            </w:pPr>
            <w:r w:rsidRPr="000075CE">
              <w:rPr>
                <w:rFonts w:cs="Arial"/>
                <w:sz w:val="20"/>
                <w:szCs w:val="20"/>
                <w:lang w:val="en-US" w:eastAsia="en-US"/>
              </w:rPr>
              <w:t>235 km west</w:t>
            </w:r>
          </w:p>
        </w:tc>
      </w:tr>
    </w:tbl>
    <w:p w14:paraId="47E38215" w14:textId="77777777" w:rsidR="002A2AA6" w:rsidRPr="00B62B65" w:rsidRDefault="002A2AA6" w:rsidP="00B62B65">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12" w:name="_Toc375214500"/>
      <w:r w:rsidRPr="00B62B65">
        <w:rPr>
          <w:rFonts w:cs="Times New Roman"/>
          <w:iCs w:val="0"/>
          <w:color w:val="064EA8"/>
          <w:szCs w:val="26"/>
          <w:lang w:eastAsia="en-US"/>
        </w:rPr>
        <w:t>Project Timing</w:t>
      </w:r>
      <w:bookmarkEnd w:id="12"/>
    </w:p>
    <w:p w14:paraId="7E022C21" w14:textId="18502336" w:rsidR="00762E5F" w:rsidRDefault="002A2AA6" w:rsidP="00386519">
      <w:pPr>
        <w:pStyle w:val="bodycopy"/>
        <w:rPr>
          <w:rFonts w:ascii="Arial" w:hAnsi="Arial"/>
          <w:sz w:val="22"/>
          <w:szCs w:val="22"/>
        </w:rPr>
      </w:pPr>
      <w:r w:rsidRPr="000075CE">
        <w:rPr>
          <w:rFonts w:ascii="Arial" w:hAnsi="Arial"/>
          <w:sz w:val="22"/>
          <w:szCs w:val="22"/>
        </w:rPr>
        <w:t xml:space="preserve">The </w:t>
      </w:r>
      <w:r w:rsidR="00D31F82" w:rsidRPr="000075CE">
        <w:rPr>
          <w:rFonts w:ascii="Arial" w:hAnsi="Arial"/>
          <w:sz w:val="22"/>
          <w:szCs w:val="22"/>
        </w:rPr>
        <w:t xml:space="preserve">Pelican </w:t>
      </w:r>
      <w:r w:rsidRPr="000075CE">
        <w:rPr>
          <w:rFonts w:ascii="Arial" w:hAnsi="Arial"/>
          <w:sz w:val="22"/>
          <w:szCs w:val="22"/>
        </w:rPr>
        <w:t xml:space="preserve">3DMSS is scheduled to </w:t>
      </w:r>
      <w:r w:rsidR="005F4B53" w:rsidRPr="00132D18">
        <w:rPr>
          <w:rFonts w:ascii="Arial" w:hAnsi="Arial"/>
          <w:sz w:val="22"/>
          <w:szCs w:val="22"/>
        </w:rPr>
        <w:t>commence</w:t>
      </w:r>
      <w:r w:rsidR="00B27C2C" w:rsidRPr="00132D18">
        <w:rPr>
          <w:rFonts w:ascii="Arial" w:hAnsi="Arial"/>
          <w:sz w:val="22"/>
          <w:szCs w:val="22"/>
        </w:rPr>
        <w:t xml:space="preserve"> </w:t>
      </w:r>
      <w:r w:rsidR="00430732" w:rsidRPr="000075CE">
        <w:rPr>
          <w:rFonts w:ascii="Arial" w:hAnsi="Arial"/>
          <w:sz w:val="22"/>
          <w:szCs w:val="22"/>
        </w:rPr>
        <w:t xml:space="preserve">between </w:t>
      </w:r>
      <w:r w:rsidR="00767A32" w:rsidRPr="00975AE6">
        <w:rPr>
          <w:rFonts w:ascii="Arial" w:hAnsi="Arial"/>
          <w:sz w:val="22"/>
          <w:szCs w:val="22"/>
        </w:rPr>
        <w:t xml:space="preserve">the </w:t>
      </w:r>
      <w:r w:rsidR="00475F72">
        <w:rPr>
          <w:rFonts w:ascii="Arial" w:hAnsi="Arial"/>
          <w:sz w:val="22"/>
          <w:szCs w:val="22"/>
        </w:rPr>
        <w:t xml:space="preserve">end of January and </w:t>
      </w:r>
      <w:r w:rsidR="00EB4B86">
        <w:rPr>
          <w:rFonts w:ascii="Arial" w:hAnsi="Arial"/>
          <w:sz w:val="22"/>
          <w:szCs w:val="22"/>
        </w:rPr>
        <w:t xml:space="preserve">the </w:t>
      </w:r>
      <w:r w:rsidR="00475F72">
        <w:rPr>
          <w:rFonts w:ascii="Arial" w:hAnsi="Arial"/>
          <w:sz w:val="22"/>
          <w:szCs w:val="22"/>
        </w:rPr>
        <w:t>end of March 2018</w:t>
      </w:r>
      <w:r w:rsidRPr="000075CE">
        <w:rPr>
          <w:rFonts w:ascii="Arial" w:hAnsi="Arial"/>
          <w:sz w:val="22"/>
          <w:szCs w:val="22"/>
        </w:rPr>
        <w:t xml:space="preserve">. </w:t>
      </w:r>
      <w:r w:rsidR="00430732" w:rsidRPr="000075CE">
        <w:rPr>
          <w:rFonts w:ascii="Arial" w:hAnsi="Arial"/>
          <w:sz w:val="22"/>
          <w:szCs w:val="22"/>
        </w:rPr>
        <w:t xml:space="preserve">The survey </w:t>
      </w:r>
      <w:r w:rsidRPr="000075CE">
        <w:rPr>
          <w:rFonts w:ascii="Arial" w:hAnsi="Arial"/>
          <w:sz w:val="22"/>
          <w:szCs w:val="22"/>
        </w:rPr>
        <w:t xml:space="preserve">is expected to take </w:t>
      </w:r>
      <w:r w:rsidR="005F4B53">
        <w:rPr>
          <w:rFonts w:ascii="Arial" w:hAnsi="Arial"/>
          <w:sz w:val="22"/>
          <w:szCs w:val="22"/>
        </w:rPr>
        <w:t>between 1</w:t>
      </w:r>
      <w:r w:rsidR="007137C8">
        <w:rPr>
          <w:rFonts w:ascii="Arial" w:hAnsi="Arial"/>
          <w:sz w:val="22"/>
          <w:szCs w:val="22"/>
        </w:rPr>
        <w:t>3</w:t>
      </w:r>
      <w:r w:rsidR="005F4B53">
        <w:rPr>
          <w:rFonts w:ascii="Arial" w:hAnsi="Arial"/>
          <w:sz w:val="22"/>
          <w:szCs w:val="22"/>
        </w:rPr>
        <w:t xml:space="preserve"> and </w:t>
      </w:r>
      <w:r w:rsidR="007137C8">
        <w:rPr>
          <w:rFonts w:ascii="Arial" w:hAnsi="Arial"/>
          <w:sz w:val="22"/>
          <w:szCs w:val="22"/>
        </w:rPr>
        <w:t>16</w:t>
      </w:r>
      <w:r w:rsidRPr="000075CE">
        <w:rPr>
          <w:rFonts w:ascii="Arial" w:hAnsi="Arial"/>
          <w:sz w:val="22"/>
          <w:szCs w:val="22"/>
        </w:rPr>
        <w:t xml:space="preserve"> days, </w:t>
      </w:r>
      <w:r w:rsidR="007137C8">
        <w:rPr>
          <w:rFonts w:ascii="Arial" w:hAnsi="Arial"/>
          <w:sz w:val="22"/>
          <w:szCs w:val="22"/>
        </w:rPr>
        <w:t>but could take up to 27 days</w:t>
      </w:r>
      <w:r w:rsidR="00386519">
        <w:rPr>
          <w:rFonts w:ascii="Arial" w:hAnsi="Arial"/>
          <w:sz w:val="22"/>
          <w:szCs w:val="22"/>
        </w:rPr>
        <w:t xml:space="preserve">. </w:t>
      </w:r>
    </w:p>
    <w:p w14:paraId="0F896A6D" w14:textId="577A77AB" w:rsidR="000B7352" w:rsidRDefault="00475F72" w:rsidP="00386519">
      <w:pPr>
        <w:pStyle w:val="bodycopy"/>
        <w:rPr>
          <w:rFonts w:ascii="Arial" w:hAnsi="Arial"/>
          <w:sz w:val="22"/>
          <w:szCs w:val="22"/>
        </w:rPr>
      </w:pPr>
      <w:r>
        <w:rPr>
          <w:rFonts w:ascii="Arial" w:hAnsi="Arial"/>
          <w:sz w:val="22"/>
          <w:szCs w:val="22"/>
        </w:rPr>
        <w:t xml:space="preserve">The proposed MSS was originally scheduled to commence between the </w:t>
      </w:r>
      <w:r w:rsidRPr="00975AE6">
        <w:rPr>
          <w:rFonts w:ascii="Arial" w:hAnsi="Arial"/>
          <w:sz w:val="22"/>
          <w:szCs w:val="22"/>
        </w:rPr>
        <w:t>start of November 2017 and the end of March 2018</w:t>
      </w:r>
      <w:r>
        <w:rPr>
          <w:rFonts w:ascii="Arial" w:hAnsi="Arial"/>
          <w:sz w:val="22"/>
          <w:szCs w:val="22"/>
        </w:rPr>
        <w:t xml:space="preserve">. </w:t>
      </w:r>
      <w:r w:rsidR="00EB4B86" w:rsidRPr="00891DE1">
        <w:rPr>
          <w:rFonts w:ascii="Arial" w:hAnsi="Arial"/>
          <w:sz w:val="22"/>
          <w:szCs w:val="22"/>
        </w:rPr>
        <w:t xml:space="preserve">Addressing the concerns of various stakeholders (particularly commercial fishers and local communities) has narrowed </w:t>
      </w:r>
      <w:r w:rsidR="00EB4B86" w:rsidRPr="00891DE1">
        <w:rPr>
          <w:rFonts w:ascii="Arial" w:hAnsi="Arial"/>
          <w:sz w:val="22"/>
          <w:szCs w:val="22"/>
        </w:rPr>
        <w:lastRenderedPageBreak/>
        <w:t>the survey timing window.</w:t>
      </w:r>
      <w:r w:rsidR="00EB4B86">
        <w:rPr>
          <w:rFonts w:ascii="Arial" w:hAnsi="Arial"/>
          <w:sz w:val="22"/>
          <w:szCs w:val="22"/>
        </w:rPr>
        <w:t xml:space="preserve"> </w:t>
      </w:r>
      <w:r w:rsidR="00930AF6">
        <w:rPr>
          <w:rFonts w:ascii="Arial" w:hAnsi="Arial"/>
          <w:sz w:val="22"/>
          <w:szCs w:val="22"/>
        </w:rPr>
        <w:t>Based on feedback from stakeholder consultation, CarbonNet has committed to</w:t>
      </w:r>
      <w:r w:rsidR="000B7352">
        <w:rPr>
          <w:rFonts w:ascii="Arial" w:hAnsi="Arial"/>
          <w:sz w:val="22"/>
          <w:szCs w:val="22"/>
        </w:rPr>
        <w:t>:</w:t>
      </w:r>
    </w:p>
    <w:p w14:paraId="1D3CA299" w14:textId="13CF94F3" w:rsidR="00497C3F" w:rsidRPr="00EB4B86" w:rsidRDefault="00497C3F" w:rsidP="00386519">
      <w:pPr>
        <w:pStyle w:val="bodycopy"/>
        <w:numPr>
          <w:ilvl w:val="0"/>
          <w:numId w:val="425"/>
        </w:numPr>
        <w:rPr>
          <w:rFonts w:ascii="Arial" w:hAnsi="Arial"/>
          <w:sz w:val="22"/>
          <w:szCs w:val="22"/>
        </w:rPr>
      </w:pPr>
      <w:r w:rsidRPr="00EB4B86">
        <w:rPr>
          <w:rFonts w:ascii="Arial" w:hAnsi="Arial"/>
          <w:sz w:val="22"/>
          <w:szCs w:val="22"/>
        </w:rPr>
        <w:t>Avoid undertaking the MSS during the months of November and December 2017</w:t>
      </w:r>
      <w:r w:rsidR="00386519">
        <w:rPr>
          <w:rFonts w:ascii="Arial" w:hAnsi="Arial"/>
          <w:sz w:val="22"/>
          <w:szCs w:val="22"/>
        </w:rPr>
        <w:t>,</w:t>
      </w:r>
      <w:r w:rsidRPr="00EB4B86">
        <w:rPr>
          <w:rFonts w:ascii="Arial" w:hAnsi="Arial"/>
          <w:sz w:val="22"/>
          <w:szCs w:val="22"/>
        </w:rPr>
        <w:t xml:space="preserve"> </w:t>
      </w:r>
      <w:r w:rsidR="00475F72" w:rsidRPr="00891DE1">
        <w:rPr>
          <w:rFonts w:ascii="Arial" w:hAnsi="Arial"/>
          <w:sz w:val="22"/>
          <w:szCs w:val="22"/>
        </w:rPr>
        <w:t>taking into account</w:t>
      </w:r>
      <w:r w:rsidR="00FA0C52" w:rsidRPr="00EB4B86">
        <w:rPr>
          <w:rFonts w:ascii="Arial" w:hAnsi="Arial"/>
          <w:sz w:val="22"/>
          <w:szCs w:val="22"/>
        </w:rPr>
        <w:t xml:space="preserve"> advi</w:t>
      </w:r>
      <w:r w:rsidR="00FA0C52" w:rsidRPr="00FC2602">
        <w:rPr>
          <w:rFonts w:ascii="Arial" w:hAnsi="Arial"/>
          <w:sz w:val="22"/>
          <w:szCs w:val="22"/>
        </w:rPr>
        <w:t>c</w:t>
      </w:r>
      <w:r w:rsidRPr="00EB4B86">
        <w:rPr>
          <w:rFonts w:ascii="Arial" w:hAnsi="Arial"/>
          <w:sz w:val="22"/>
          <w:szCs w:val="22"/>
        </w:rPr>
        <w:t xml:space="preserve">e </w:t>
      </w:r>
      <w:r w:rsidR="00475F72" w:rsidRPr="00891DE1">
        <w:rPr>
          <w:rFonts w:ascii="Arial" w:hAnsi="Arial"/>
          <w:sz w:val="22"/>
          <w:szCs w:val="22"/>
        </w:rPr>
        <w:t xml:space="preserve">and </w:t>
      </w:r>
      <w:r w:rsidR="00EB4B86" w:rsidRPr="00891DE1">
        <w:rPr>
          <w:rFonts w:ascii="Arial" w:hAnsi="Arial"/>
          <w:sz w:val="22"/>
          <w:szCs w:val="22"/>
        </w:rPr>
        <w:t xml:space="preserve">a </w:t>
      </w:r>
      <w:r w:rsidR="00475F72" w:rsidRPr="00891DE1">
        <w:rPr>
          <w:rFonts w:ascii="Arial" w:hAnsi="Arial"/>
          <w:sz w:val="22"/>
          <w:szCs w:val="22"/>
        </w:rPr>
        <w:t xml:space="preserve">request </w:t>
      </w:r>
      <w:r w:rsidRPr="00EB4B86">
        <w:rPr>
          <w:rFonts w:ascii="Arial" w:hAnsi="Arial"/>
          <w:sz w:val="22"/>
          <w:szCs w:val="22"/>
        </w:rPr>
        <w:t xml:space="preserve">from </w:t>
      </w:r>
      <w:r w:rsidR="00475F72" w:rsidRPr="00891DE1">
        <w:rPr>
          <w:rFonts w:ascii="Arial" w:hAnsi="Arial"/>
          <w:sz w:val="22"/>
          <w:szCs w:val="22"/>
        </w:rPr>
        <w:t>Victoria’s peak fishing industry representative. I</w:t>
      </w:r>
      <w:r w:rsidRPr="00EB4B86">
        <w:rPr>
          <w:rFonts w:ascii="Arial" w:hAnsi="Arial"/>
          <w:sz w:val="22"/>
          <w:szCs w:val="22"/>
        </w:rPr>
        <w:t xml:space="preserve">n so doing (along with avoiding January, as outlined in the following point), </w:t>
      </w:r>
      <w:r w:rsidRPr="00FC2602">
        <w:rPr>
          <w:rFonts w:ascii="Arial" w:hAnsi="Arial"/>
          <w:sz w:val="22"/>
          <w:szCs w:val="22"/>
        </w:rPr>
        <w:t xml:space="preserve">the survey will avoid </w:t>
      </w:r>
      <w:r w:rsidR="00FA0C52" w:rsidRPr="00EB4B86">
        <w:rPr>
          <w:rFonts w:ascii="Arial" w:hAnsi="Arial"/>
          <w:sz w:val="22"/>
          <w:szCs w:val="22"/>
        </w:rPr>
        <w:t xml:space="preserve">overlapping with </w:t>
      </w:r>
      <w:r w:rsidRPr="00EB4B86">
        <w:rPr>
          <w:rFonts w:ascii="Arial" w:hAnsi="Arial"/>
          <w:sz w:val="22"/>
          <w:szCs w:val="22"/>
        </w:rPr>
        <w:t xml:space="preserve">the key spawning periods of up to 13 species of </w:t>
      </w:r>
      <w:r w:rsidR="00475F72" w:rsidRPr="00891DE1">
        <w:rPr>
          <w:rFonts w:ascii="Arial" w:hAnsi="Arial"/>
          <w:sz w:val="22"/>
          <w:szCs w:val="22"/>
        </w:rPr>
        <w:t xml:space="preserve">interest to the </w:t>
      </w:r>
      <w:r w:rsidRPr="00EB4B86">
        <w:rPr>
          <w:rFonts w:ascii="Arial" w:hAnsi="Arial"/>
          <w:sz w:val="22"/>
          <w:szCs w:val="22"/>
        </w:rPr>
        <w:t>commercial</w:t>
      </w:r>
      <w:r w:rsidR="00475F72" w:rsidRPr="00891DE1">
        <w:rPr>
          <w:rFonts w:ascii="Arial" w:hAnsi="Arial"/>
          <w:sz w:val="22"/>
          <w:szCs w:val="22"/>
        </w:rPr>
        <w:t xml:space="preserve"> and recreational</w:t>
      </w:r>
      <w:r w:rsidRPr="00EB4B86">
        <w:rPr>
          <w:rFonts w:ascii="Arial" w:hAnsi="Arial"/>
          <w:sz w:val="22"/>
          <w:szCs w:val="22"/>
        </w:rPr>
        <w:t xml:space="preserve"> fishing </w:t>
      </w:r>
      <w:r w:rsidR="00475F72" w:rsidRPr="00891DE1">
        <w:rPr>
          <w:rFonts w:ascii="Arial" w:hAnsi="Arial"/>
          <w:sz w:val="22"/>
          <w:szCs w:val="22"/>
        </w:rPr>
        <w:t>sectors</w:t>
      </w:r>
      <w:r w:rsidRPr="00EB4B86">
        <w:rPr>
          <w:rFonts w:ascii="Arial" w:hAnsi="Arial"/>
          <w:sz w:val="22"/>
          <w:szCs w:val="22"/>
        </w:rPr>
        <w:t xml:space="preserve">. </w:t>
      </w:r>
    </w:p>
    <w:p w14:paraId="2C6B3B12" w14:textId="7D7DD663" w:rsidR="000B7352" w:rsidRDefault="009C395D" w:rsidP="00505A03">
      <w:pPr>
        <w:pStyle w:val="bodycopy"/>
        <w:numPr>
          <w:ilvl w:val="0"/>
          <w:numId w:val="425"/>
        </w:numPr>
        <w:rPr>
          <w:rFonts w:ascii="Arial" w:hAnsi="Arial"/>
          <w:sz w:val="22"/>
          <w:szCs w:val="22"/>
        </w:rPr>
      </w:pPr>
      <w:r>
        <w:rPr>
          <w:rFonts w:ascii="Arial" w:hAnsi="Arial"/>
          <w:sz w:val="22"/>
          <w:szCs w:val="22"/>
        </w:rPr>
        <w:t xml:space="preserve">Not undertaking the survey between the </w:t>
      </w:r>
      <w:r w:rsidR="00930AF6">
        <w:rPr>
          <w:rFonts w:ascii="Arial" w:hAnsi="Arial"/>
          <w:sz w:val="22"/>
          <w:szCs w:val="22"/>
        </w:rPr>
        <w:t xml:space="preserve">Christmas holiday period </w:t>
      </w:r>
      <w:r w:rsidR="000B7352">
        <w:rPr>
          <w:rFonts w:ascii="Arial" w:hAnsi="Arial"/>
          <w:sz w:val="22"/>
          <w:szCs w:val="22"/>
        </w:rPr>
        <w:t>(24</w:t>
      </w:r>
      <w:r w:rsidR="0059254F" w:rsidRPr="0059254F">
        <w:rPr>
          <w:rFonts w:ascii="Arial" w:hAnsi="Arial"/>
          <w:sz w:val="22"/>
          <w:szCs w:val="22"/>
          <w:vertAlign w:val="superscript"/>
        </w:rPr>
        <w:t>th</w:t>
      </w:r>
      <w:r w:rsidR="0059254F">
        <w:rPr>
          <w:rFonts w:ascii="Arial" w:hAnsi="Arial"/>
          <w:sz w:val="22"/>
          <w:szCs w:val="22"/>
        </w:rPr>
        <w:t xml:space="preserve"> </w:t>
      </w:r>
      <w:r w:rsidR="000B7352">
        <w:rPr>
          <w:rFonts w:ascii="Arial" w:hAnsi="Arial"/>
          <w:sz w:val="22"/>
          <w:szCs w:val="22"/>
        </w:rPr>
        <w:t>December 2017 through to the Australia Day long weekend, ending 28</w:t>
      </w:r>
      <w:r w:rsidR="0059254F" w:rsidRPr="0059254F">
        <w:rPr>
          <w:rFonts w:ascii="Arial" w:hAnsi="Arial"/>
          <w:sz w:val="22"/>
          <w:szCs w:val="22"/>
          <w:vertAlign w:val="superscript"/>
        </w:rPr>
        <w:t>th</w:t>
      </w:r>
      <w:r w:rsidR="0059254F">
        <w:rPr>
          <w:rFonts w:ascii="Arial" w:hAnsi="Arial"/>
          <w:sz w:val="22"/>
          <w:szCs w:val="22"/>
        </w:rPr>
        <w:t xml:space="preserve"> </w:t>
      </w:r>
      <w:r w:rsidR="000B7352">
        <w:rPr>
          <w:rFonts w:ascii="Arial" w:hAnsi="Arial"/>
          <w:sz w:val="22"/>
          <w:szCs w:val="22"/>
        </w:rPr>
        <w:t>January 2018)</w:t>
      </w:r>
      <w:r w:rsidR="0059254F">
        <w:rPr>
          <w:rFonts w:ascii="Arial" w:hAnsi="Arial"/>
          <w:sz w:val="22"/>
          <w:szCs w:val="22"/>
        </w:rPr>
        <w:t xml:space="preserve"> – due to the popularity of that part of the coastline with holiday makers and swimmers</w:t>
      </w:r>
      <w:r w:rsidR="000B7352">
        <w:rPr>
          <w:rFonts w:ascii="Arial" w:hAnsi="Arial"/>
          <w:sz w:val="22"/>
          <w:szCs w:val="22"/>
        </w:rPr>
        <w:t>; and</w:t>
      </w:r>
    </w:p>
    <w:p w14:paraId="174D13BE" w14:textId="776E99CB" w:rsidR="00930AF6" w:rsidRDefault="002F54C9" w:rsidP="00505A03">
      <w:pPr>
        <w:pStyle w:val="bodycopy"/>
        <w:numPr>
          <w:ilvl w:val="0"/>
          <w:numId w:val="425"/>
        </w:numPr>
        <w:spacing w:after="240"/>
        <w:ind w:left="714" w:hanging="357"/>
        <w:rPr>
          <w:rFonts w:ascii="Arial" w:hAnsi="Arial"/>
          <w:sz w:val="22"/>
          <w:szCs w:val="22"/>
        </w:rPr>
      </w:pPr>
      <w:r>
        <w:rPr>
          <w:rFonts w:ascii="Arial" w:hAnsi="Arial"/>
          <w:sz w:val="22"/>
          <w:szCs w:val="22"/>
        </w:rPr>
        <w:t>Endeavouring to avoid</w:t>
      </w:r>
      <w:r w:rsidR="009C395D">
        <w:rPr>
          <w:rFonts w:ascii="Arial" w:hAnsi="Arial"/>
          <w:sz w:val="22"/>
          <w:szCs w:val="22"/>
        </w:rPr>
        <w:t xml:space="preserve"> survey acquisition during the </w:t>
      </w:r>
      <w:r w:rsidR="0059254F">
        <w:rPr>
          <w:rFonts w:ascii="Arial" w:hAnsi="Arial"/>
          <w:sz w:val="22"/>
          <w:szCs w:val="22"/>
        </w:rPr>
        <w:t>Easter long weekend (30</w:t>
      </w:r>
      <w:r w:rsidR="0059254F" w:rsidRPr="0059254F">
        <w:rPr>
          <w:rFonts w:ascii="Arial" w:hAnsi="Arial"/>
          <w:sz w:val="22"/>
          <w:szCs w:val="22"/>
          <w:vertAlign w:val="superscript"/>
        </w:rPr>
        <w:t>th</w:t>
      </w:r>
      <w:r w:rsidR="0059254F">
        <w:rPr>
          <w:rFonts w:ascii="Arial" w:hAnsi="Arial"/>
          <w:sz w:val="22"/>
          <w:szCs w:val="22"/>
        </w:rPr>
        <w:t xml:space="preserve"> March to 2</w:t>
      </w:r>
      <w:r w:rsidR="0059254F" w:rsidRPr="0059254F">
        <w:rPr>
          <w:rFonts w:ascii="Arial" w:hAnsi="Arial"/>
          <w:sz w:val="22"/>
          <w:szCs w:val="22"/>
          <w:vertAlign w:val="superscript"/>
        </w:rPr>
        <w:t>nd</w:t>
      </w:r>
      <w:r w:rsidR="0059254F">
        <w:rPr>
          <w:rFonts w:ascii="Arial" w:hAnsi="Arial"/>
          <w:sz w:val="22"/>
          <w:szCs w:val="22"/>
        </w:rPr>
        <w:t xml:space="preserve"> April 2018) – due to </w:t>
      </w:r>
      <w:r w:rsidR="003B6A1A">
        <w:rPr>
          <w:rFonts w:ascii="Arial" w:hAnsi="Arial"/>
          <w:sz w:val="22"/>
          <w:szCs w:val="22"/>
        </w:rPr>
        <w:t xml:space="preserve">the </w:t>
      </w:r>
      <w:r w:rsidR="003B6A1A" w:rsidRPr="001B56B5">
        <w:rPr>
          <w:rFonts w:ascii="Arial" w:hAnsi="Arial"/>
          <w:sz w:val="22"/>
          <w:szCs w:val="22"/>
        </w:rPr>
        <w:t>Golden Beach Surf Fishing Competition</w:t>
      </w:r>
      <w:r w:rsidR="0059254F">
        <w:rPr>
          <w:rFonts w:ascii="Arial" w:hAnsi="Arial"/>
          <w:sz w:val="22"/>
          <w:szCs w:val="22"/>
        </w:rPr>
        <w:t xml:space="preserve"> taking place between </w:t>
      </w:r>
      <w:r w:rsidR="00505A03">
        <w:rPr>
          <w:rFonts w:ascii="Arial" w:hAnsi="Arial"/>
          <w:sz w:val="22"/>
          <w:szCs w:val="22"/>
        </w:rPr>
        <w:t>Seaspray and Loch Sport</w:t>
      </w:r>
      <w:r w:rsidR="00B11381">
        <w:rPr>
          <w:rFonts w:ascii="Arial" w:hAnsi="Arial"/>
          <w:sz w:val="22"/>
          <w:szCs w:val="22"/>
        </w:rPr>
        <w:t xml:space="preserve">. As </w:t>
      </w:r>
      <w:r w:rsidR="00EB4B86">
        <w:rPr>
          <w:rFonts w:ascii="Arial" w:hAnsi="Arial"/>
          <w:sz w:val="22"/>
          <w:szCs w:val="22"/>
        </w:rPr>
        <w:t xml:space="preserve">a result of </w:t>
      </w:r>
      <w:r w:rsidR="00B11381">
        <w:rPr>
          <w:rFonts w:ascii="Arial" w:hAnsi="Arial"/>
          <w:sz w:val="22"/>
          <w:szCs w:val="22"/>
        </w:rPr>
        <w:t>discuss</w:t>
      </w:r>
      <w:r w:rsidR="00EB4B86">
        <w:rPr>
          <w:rFonts w:ascii="Arial" w:hAnsi="Arial"/>
          <w:sz w:val="22"/>
          <w:szCs w:val="22"/>
        </w:rPr>
        <w:t>ions</w:t>
      </w:r>
      <w:r w:rsidR="00B11381">
        <w:rPr>
          <w:rFonts w:ascii="Arial" w:hAnsi="Arial"/>
          <w:sz w:val="22"/>
          <w:szCs w:val="22"/>
        </w:rPr>
        <w:t xml:space="preserve"> with the organisers of the fishing competition</w:t>
      </w:r>
      <w:r w:rsidR="00475F72">
        <w:rPr>
          <w:rFonts w:ascii="Arial" w:hAnsi="Arial"/>
          <w:sz w:val="22"/>
          <w:szCs w:val="22"/>
        </w:rPr>
        <w:t xml:space="preserve">, </w:t>
      </w:r>
      <w:r w:rsidR="00B11381">
        <w:rPr>
          <w:rFonts w:ascii="Arial" w:hAnsi="Arial"/>
          <w:sz w:val="22"/>
          <w:szCs w:val="22"/>
        </w:rPr>
        <w:t xml:space="preserve">CarbonNet will endeavour to commence </w:t>
      </w:r>
      <w:r w:rsidR="00475F72">
        <w:rPr>
          <w:rFonts w:ascii="Arial" w:hAnsi="Arial"/>
          <w:sz w:val="22"/>
          <w:szCs w:val="22"/>
        </w:rPr>
        <w:t xml:space="preserve">the survey in February (subject to vessel availability and </w:t>
      </w:r>
      <w:r w:rsidR="00B11381">
        <w:rPr>
          <w:rFonts w:ascii="Arial" w:hAnsi="Arial"/>
          <w:sz w:val="22"/>
          <w:szCs w:val="22"/>
        </w:rPr>
        <w:t>sea state conditions</w:t>
      </w:r>
      <w:r w:rsidR="00475F72">
        <w:rPr>
          <w:rFonts w:ascii="Arial" w:hAnsi="Arial"/>
          <w:sz w:val="22"/>
          <w:szCs w:val="22"/>
        </w:rPr>
        <w:t>)</w:t>
      </w:r>
      <w:r w:rsidR="003B6A1A">
        <w:rPr>
          <w:rFonts w:ascii="Arial" w:hAnsi="Arial"/>
          <w:sz w:val="22"/>
          <w:szCs w:val="22"/>
        </w:rPr>
        <w:t>.</w:t>
      </w:r>
    </w:p>
    <w:p w14:paraId="3463D949" w14:textId="2CAD34F1" w:rsidR="00C423BE" w:rsidRDefault="00720E7E" w:rsidP="00505A03">
      <w:pPr>
        <w:pStyle w:val="bodycopy"/>
        <w:spacing w:after="240"/>
        <w:rPr>
          <w:rFonts w:ascii="Arial" w:hAnsi="Arial"/>
          <w:sz w:val="22"/>
          <w:szCs w:val="22"/>
        </w:rPr>
      </w:pPr>
      <w:r>
        <w:rPr>
          <w:rFonts w:ascii="Arial" w:hAnsi="Arial"/>
          <w:sz w:val="22"/>
          <w:szCs w:val="22"/>
        </w:rPr>
        <w:t>In Bass Strait, t</w:t>
      </w:r>
      <w:r w:rsidR="00762E5F" w:rsidRPr="000075CE">
        <w:rPr>
          <w:rFonts w:ascii="Arial" w:hAnsi="Arial"/>
          <w:sz w:val="22"/>
          <w:szCs w:val="22"/>
        </w:rPr>
        <w:t>h</w:t>
      </w:r>
      <w:r>
        <w:rPr>
          <w:rFonts w:ascii="Arial" w:hAnsi="Arial"/>
          <w:sz w:val="22"/>
          <w:szCs w:val="22"/>
        </w:rPr>
        <w:t>e</w:t>
      </w:r>
      <w:r w:rsidR="00762E5F" w:rsidRPr="000075CE">
        <w:rPr>
          <w:rFonts w:ascii="Arial" w:hAnsi="Arial"/>
          <w:sz w:val="22"/>
          <w:szCs w:val="22"/>
        </w:rPr>
        <w:t xml:space="preserve"> summer weather window is the most suitable for </w:t>
      </w:r>
      <w:r>
        <w:rPr>
          <w:rFonts w:ascii="Arial" w:hAnsi="Arial"/>
          <w:sz w:val="22"/>
          <w:szCs w:val="22"/>
        </w:rPr>
        <w:t>acquiring seismic survey data</w:t>
      </w:r>
      <w:r w:rsidR="00822FB1" w:rsidRPr="00822FB1">
        <w:rPr>
          <w:rFonts w:ascii="Arial" w:hAnsi="Arial"/>
          <w:sz w:val="22"/>
          <w:szCs w:val="22"/>
        </w:rPr>
        <w:t xml:space="preserve">, since storms and high seas </w:t>
      </w:r>
      <w:r w:rsidR="00CD0368">
        <w:rPr>
          <w:rFonts w:ascii="Arial" w:hAnsi="Arial"/>
          <w:sz w:val="22"/>
          <w:szCs w:val="22"/>
        </w:rPr>
        <w:t xml:space="preserve">(waves greater than 1.5 m) </w:t>
      </w:r>
      <w:r w:rsidR="00822FB1" w:rsidRPr="00822FB1">
        <w:rPr>
          <w:rFonts w:ascii="Arial" w:hAnsi="Arial"/>
          <w:sz w:val="22"/>
          <w:szCs w:val="22"/>
        </w:rPr>
        <w:t>can lead to poor quality data or completely prevent achieving the desired images of the subsurface. Although in Bass Strait the weather can be unpredictable at any time of year, the summer season</w:t>
      </w:r>
      <w:r w:rsidR="00CD0368">
        <w:rPr>
          <w:rFonts w:ascii="Arial" w:hAnsi="Arial"/>
          <w:sz w:val="22"/>
          <w:szCs w:val="22"/>
        </w:rPr>
        <w:t xml:space="preserve"> is distinctly better on average</w:t>
      </w:r>
      <w:r w:rsidR="00921F73">
        <w:rPr>
          <w:rFonts w:ascii="Arial" w:hAnsi="Arial"/>
          <w:sz w:val="22"/>
          <w:szCs w:val="22"/>
        </w:rPr>
        <w:t>.</w:t>
      </w:r>
      <w:r w:rsidR="00CD0368">
        <w:rPr>
          <w:rFonts w:ascii="Arial" w:hAnsi="Arial"/>
          <w:sz w:val="22"/>
          <w:szCs w:val="22"/>
        </w:rPr>
        <w:t xml:space="preserve"> </w:t>
      </w:r>
      <w:r>
        <w:rPr>
          <w:rFonts w:ascii="Arial" w:hAnsi="Arial"/>
          <w:sz w:val="22"/>
          <w:szCs w:val="22"/>
        </w:rPr>
        <w:t xml:space="preserve">Wave noise can occur during any </w:t>
      </w:r>
      <w:r w:rsidRPr="00F80400">
        <w:rPr>
          <w:rFonts w:ascii="Arial" w:hAnsi="Arial"/>
          <w:sz w:val="22"/>
          <w:szCs w:val="22"/>
        </w:rPr>
        <w:t>season but tends to be more prolonged between May and the end of September</w:t>
      </w:r>
      <w:r w:rsidR="002E2E5E">
        <w:rPr>
          <w:rFonts w:ascii="Arial" w:hAnsi="Arial"/>
          <w:sz w:val="22"/>
          <w:szCs w:val="22"/>
        </w:rPr>
        <w:t xml:space="preserve"> (Figure 2.2)</w:t>
      </w:r>
      <w:r w:rsidRPr="00F80400">
        <w:rPr>
          <w:rFonts w:ascii="Arial" w:hAnsi="Arial"/>
          <w:sz w:val="22"/>
          <w:szCs w:val="22"/>
        </w:rPr>
        <w:t xml:space="preserve">. </w:t>
      </w:r>
    </w:p>
    <w:p w14:paraId="7ECD739C" w14:textId="4E51A17E" w:rsidR="00804C5C" w:rsidRPr="000075CE" w:rsidRDefault="008F61A1" w:rsidP="001E4C83">
      <w:pPr>
        <w:pStyle w:val="bodycopy"/>
        <w:rPr>
          <w:rFonts w:ascii="Arial" w:hAnsi="Arial"/>
          <w:sz w:val="22"/>
          <w:szCs w:val="22"/>
        </w:rPr>
      </w:pPr>
      <w:r w:rsidRPr="000075CE">
        <w:rPr>
          <w:rFonts w:ascii="Arial" w:hAnsi="Arial"/>
          <w:sz w:val="22"/>
          <w:szCs w:val="22"/>
        </w:rPr>
        <w:t>CarbonNet</w:t>
      </w:r>
      <w:r w:rsidR="00804C5C" w:rsidRPr="000075CE">
        <w:rPr>
          <w:rFonts w:ascii="Arial" w:hAnsi="Arial"/>
          <w:sz w:val="22"/>
          <w:szCs w:val="22"/>
        </w:rPr>
        <w:t xml:space="preserve"> has selected a survey ‘window of opportunity’ that it </w:t>
      </w:r>
      <w:r w:rsidR="00804C5C" w:rsidRPr="00F80400">
        <w:rPr>
          <w:rFonts w:ascii="Arial" w:hAnsi="Arial"/>
          <w:sz w:val="22"/>
          <w:szCs w:val="22"/>
        </w:rPr>
        <w:t>believes balances operational requirements with environmental</w:t>
      </w:r>
      <w:r w:rsidRPr="00F80400">
        <w:rPr>
          <w:rFonts w:ascii="Arial" w:hAnsi="Arial"/>
          <w:sz w:val="22"/>
          <w:szCs w:val="22"/>
        </w:rPr>
        <w:t xml:space="preserve"> and socio-economic constraints</w:t>
      </w:r>
      <w:r w:rsidR="00804C5C" w:rsidRPr="00F80400">
        <w:rPr>
          <w:rFonts w:ascii="Arial" w:hAnsi="Arial"/>
          <w:sz w:val="22"/>
          <w:szCs w:val="22"/>
        </w:rPr>
        <w:t xml:space="preserve">. </w:t>
      </w:r>
      <w:r w:rsidR="00804C5C" w:rsidRPr="002E2E5E">
        <w:rPr>
          <w:rFonts w:ascii="Arial" w:hAnsi="Arial"/>
          <w:sz w:val="22"/>
          <w:szCs w:val="22"/>
        </w:rPr>
        <w:t xml:space="preserve">Figure </w:t>
      </w:r>
      <w:r w:rsidRPr="002E2E5E">
        <w:rPr>
          <w:rFonts w:ascii="Arial" w:hAnsi="Arial"/>
          <w:sz w:val="22"/>
          <w:szCs w:val="22"/>
        </w:rPr>
        <w:t>2.</w:t>
      </w:r>
      <w:r w:rsidR="002E2E5E">
        <w:rPr>
          <w:rFonts w:ascii="Arial" w:hAnsi="Arial"/>
          <w:sz w:val="22"/>
          <w:szCs w:val="22"/>
        </w:rPr>
        <w:t>3</w:t>
      </w:r>
      <w:r w:rsidR="00804C5C" w:rsidRPr="002E2E5E">
        <w:rPr>
          <w:rFonts w:ascii="Arial" w:hAnsi="Arial"/>
          <w:sz w:val="22"/>
          <w:szCs w:val="22"/>
        </w:rPr>
        <w:t xml:space="preserve"> outlines the key ecological process and species presence in the </w:t>
      </w:r>
      <w:r w:rsidRPr="002E2E5E">
        <w:rPr>
          <w:rFonts w:ascii="Arial" w:hAnsi="Arial"/>
          <w:sz w:val="22"/>
          <w:szCs w:val="22"/>
        </w:rPr>
        <w:t>nearshore</w:t>
      </w:r>
      <w:r w:rsidRPr="000075CE">
        <w:rPr>
          <w:rFonts w:ascii="Arial" w:hAnsi="Arial"/>
          <w:sz w:val="22"/>
          <w:szCs w:val="22"/>
        </w:rPr>
        <w:t xml:space="preserve"> Gippsland Basin throughout the year that supports the selection of this window of opportunity</w:t>
      </w:r>
      <w:r w:rsidR="00804C5C" w:rsidRPr="000075CE">
        <w:rPr>
          <w:rFonts w:ascii="Arial" w:hAnsi="Arial"/>
          <w:sz w:val="22"/>
          <w:szCs w:val="22"/>
        </w:rPr>
        <w:t xml:space="preserve">. This figure indicates: </w:t>
      </w:r>
    </w:p>
    <w:p w14:paraId="7C0987EC" w14:textId="388D0E5D" w:rsidR="006B3D2C" w:rsidRPr="00885F4A" w:rsidRDefault="00804C5C" w:rsidP="00885F4A">
      <w:pPr>
        <w:pStyle w:val="bodycopy"/>
        <w:numPr>
          <w:ilvl w:val="0"/>
          <w:numId w:val="58"/>
        </w:numPr>
        <w:rPr>
          <w:rFonts w:ascii="Arial" w:hAnsi="Arial"/>
          <w:sz w:val="22"/>
          <w:szCs w:val="22"/>
        </w:rPr>
      </w:pPr>
      <w:r w:rsidRPr="000075CE">
        <w:rPr>
          <w:rFonts w:ascii="Arial" w:hAnsi="Arial"/>
          <w:sz w:val="22"/>
          <w:szCs w:val="22"/>
        </w:rPr>
        <w:t xml:space="preserve">Sea state conditions optimal for survey occur </w:t>
      </w:r>
      <w:r w:rsidR="006B3D2C" w:rsidRPr="000075CE">
        <w:rPr>
          <w:rFonts w:ascii="Arial" w:hAnsi="Arial"/>
          <w:sz w:val="22"/>
          <w:szCs w:val="22"/>
        </w:rPr>
        <w:t xml:space="preserve">during </w:t>
      </w:r>
      <w:r w:rsidR="00CB403D" w:rsidRPr="000075CE">
        <w:rPr>
          <w:rFonts w:ascii="Arial" w:hAnsi="Arial"/>
          <w:sz w:val="22"/>
          <w:szCs w:val="22"/>
        </w:rPr>
        <w:t xml:space="preserve">the </w:t>
      </w:r>
      <w:r w:rsidR="00921F73">
        <w:rPr>
          <w:rFonts w:ascii="Arial" w:hAnsi="Arial"/>
          <w:sz w:val="22"/>
          <w:szCs w:val="22"/>
        </w:rPr>
        <w:t xml:space="preserve">summer (and the spring and </w:t>
      </w:r>
      <w:r w:rsidR="00CB403D" w:rsidRPr="000075CE">
        <w:rPr>
          <w:rFonts w:ascii="Arial" w:hAnsi="Arial"/>
          <w:sz w:val="22"/>
          <w:szCs w:val="22"/>
        </w:rPr>
        <w:t>autumn shoulder</w:t>
      </w:r>
      <w:r w:rsidR="00921F73">
        <w:rPr>
          <w:rFonts w:ascii="Arial" w:hAnsi="Arial"/>
          <w:sz w:val="22"/>
          <w:szCs w:val="22"/>
        </w:rPr>
        <w:t>s)</w:t>
      </w:r>
      <w:r w:rsidR="00CB403D" w:rsidRPr="000075CE">
        <w:rPr>
          <w:rFonts w:ascii="Arial" w:hAnsi="Arial"/>
          <w:sz w:val="22"/>
          <w:szCs w:val="22"/>
        </w:rPr>
        <w:t xml:space="preserve">, when the sound interference created by strong winds and waves is less than that in winter, and when sea state conditions are more favourable for vessel movements. </w:t>
      </w:r>
    </w:p>
    <w:p w14:paraId="660FA2D0" w14:textId="2172F3EA" w:rsidR="00804C5C" w:rsidRPr="000075CE" w:rsidRDefault="00804C5C" w:rsidP="001E4C83">
      <w:pPr>
        <w:pStyle w:val="bodycopy"/>
        <w:numPr>
          <w:ilvl w:val="0"/>
          <w:numId w:val="58"/>
        </w:numPr>
        <w:rPr>
          <w:rFonts w:ascii="Arial" w:hAnsi="Arial"/>
          <w:sz w:val="22"/>
          <w:szCs w:val="22"/>
        </w:rPr>
      </w:pPr>
      <w:r w:rsidRPr="000075CE">
        <w:rPr>
          <w:rFonts w:ascii="Arial" w:hAnsi="Arial"/>
          <w:sz w:val="22"/>
          <w:szCs w:val="22"/>
        </w:rPr>
        <w:t xml:space="preserve">The overlap between the nearshore </w:t>
      </w:r>
      <w:r w:rsidR="00CB403D" w:rsidRPr="000075CE">
        <w:rPr>
          <w:rFonts w:ascii="Arial" w:hAnsi="Arial"/>
          <w:sz w:val="22"/>
          <w:szCs w:val="22"/>
        </w:rPr>
        <w:t xml:space="preserve">commercial </w:t>
      </w:r>
      <w:r w:rsidRPr="000075CE">
        <w:rPr>
          <w:rFonts w:ascii="Arial" w:hAnsi="Arial"/>
          <w:sz w:val="22"/>
          <w:szCs w:val="22"/>
        </w:rPr>
        <w:t>fisher</w:t>
      </w:r>
      <w:r w:rsidR="00282E86">
        <w:rPr>
          <w:rFonts w:ascii="Arial" w:hAnsi="Arial"/>
          <w:sz w:val="22"/>
          <w:szCs w:val="22"/>
        </w:rPr>
        <w:t>ies</w:t>
      </w:r>
      <w:r w:rsidR="00CB403D" w:rsidRPr="000075CE">
        <w:rPr>
          <w:rFonts w:ascii="Arial" w:hAnsi="Arial"/>
          <w:sz w:val="22"/>
          <w:szCs w:val="22"/>
        </w:rPr>
        <w:t xml:space="preserve"> (</w:t>
      </w:r>
      <w:r w:rsidR="00282E86">
        <w:rPr>
          <w:rFonts w:ascii="Arial" w:hAnsi="Arial"/>
          <w:sz w:val="22"/>
          <w:szCs w:val="22"/>
        </w:rPr>
        <w:t xml:space="preserve">such as the scallop, </w:t>
      </w:r>
      <w:r w:rsidR="00CB403D" w:rsidRPr="000075CE">
        <w:rPr>
          <w:rFonts w:ascii="Arial" w:hAnsi="Arial"/>
          <w:sz w:val="22"/>
          <w:szCs w:val="22"/>
        </w:rPr>
        <w:t xml:space="preserve">rock lobster </w:t>
      </w:r>
      <w:r w:rsidR="00282E86">
        <w:rPr>
          <w:rFonts w:ascii="Arial" w:hAnsi="Arial"/>
          <w:sz w:val="22"/>
          <w:szCs w:val="22"/>
        </w:rPr>
        <w:t>and shark, gillnet and hook fisheries</w:t>
      </w:r>
      <w:r w:rsidR="00CB403D" w:rsidRPr="000075CE">
        <w:rPr>
          <w:rFonts w:ascii="Arial" w:hAnsi="Arial"/>
          <w:sz w:val="22"/>
          <w:szCs w:val="22"/>
        </w:rPr>
        <w:t xml:space="preserve">) </w:t>
      </w:r>
      <w:r w:rsidRPr="000075CE">
        <w:rPr>
          <w:rFonts w:ascii="Arial" w:hAnsi="Arial"/>
          <w:sz w:val="22"/>
          <w:szCs w:val="22"/>
        </w:rPr>
        <w:t xml:space="preserve">means there is no period of time in which at least </w:t>
      </w:r>
      <w:r w:rsidR="009E6461">
        <w:rPr>
          <w:rFonts w:ascii="Arial" w:hAnsi="Arial"/>
          <w:sz w:val="22"/>
          <w:szCs w:val="22"/>
        </w:rPr>
        <w:t>one</w:t>
      </w:r>
      <w:r w:rsidRPr="000075CE">
        <w:rPr>
          <w:rFonts w:ascii="Arial" w:hAnsi="Arial"/>
          <w:sz w:val="22"/>
          <w:szCs w:val="22"/>
        </w:rPr>
        <w:t xml:space="preserve"> fisher</w:t>
      </w:r>
      <w:r w:rsidR="009E6461">
        <w:rPr>
          <w:rFonts w:ascii="Arial" w:hAnsi="Arial"/>
          <w:sz w:val="22"/>
          <w:szCs w:val="22"/>
        </w:rPr>
        <w:t>y</w:t>
      </w:r>
      <w:r w:rsidRPr="000075CE">
        <w:rPr>
          <w:rFonts w:ascii="Arial" w:hAnsi="Arial"/>
          <w:sz w:val="22"/>
          <w:szCs w:val="22"/>
        </w:rPr>
        <w:t xml:space="preserve"> </w:t>
      </w:r>
      <w:r w:rsidR="009E6461">
        <w:rPr>
          <w:rFonts w:ascii="Arial" w:hAnsi="Arial"/>
          <w:sz w:val="22"/>
          <w:szCs w:val="22"/>
        </w:rPr>
        <w:t>is</w:t>
      </w:r>
      <w:r w:rsidRPr="000075CE">
        <w:rPr>
          <w:rFonts w:ascii="Arial" w:hAnsi="Arial"/>
          <w:sz w:val="22"/>
          <w:szCs w:val="22"/>
        </w:rPr>
        <w:t xml:space="preserve"> not potentially affected by the survey operations. Spawning </w:t>
      </w:r>
      <w:r w:rsidR="001C0DE5">
        <w:rPr>
          <w:rFonts w:ascii="Arial" w:hAnsi="Arial"/>
          <w:sz w:val="22"/>
          <w:szCs w:val="22"/>
        </w:rPr>
        <w:t xml:space="preserve">periods </w:t>
      </w:r>
      <w:r w:rsidRPr="000075CE">
        <w:rPr>
          <w:rFonts w:ascii="Arial" w:hAnsi="Arial"/>
          <w:sz w:val="22"/>
          <w:szCs w:val="22"/>
        </w:rPr>
        <w:t xml:space="preserve">for </w:t>
      </w:r>
      <w:r w:rsidR="0035461B">
        <w:rPr>
          <w:rFonts w:ascii="Arial" w:hAnsi="Arial"/>
          <w:sz w:val="22"/>
          <w:szCs w:val="22"/>
        </w:rPr>
        <w:t xml:space="preserve">many </w:t>
      </w:r>
      <w:r w:rsidR="001C0DE5">
        <w:rPr>
          <w:rFonts w:ascii="Arial" w:hAnsi="Arial"/>
          <w:sz w:val="22"/>
          <w:szCs w:val="22"/>
        </w:rPr>
        <w:t>commercial</w:t>
      </w:r>
      <w:r w:rsidR="0035461B">
        <w:rPr>
          <w:rFonts w:ascii="Arial" w:hAnsi="Arial"/>
          <w:sz w:val="22"/>
          <w:szCs w:val="22"/>
        </w:rPr>
        <w:t>ly important</w:t>
      </w:r>
      <w:r w:rsidR="001C0DE5">
        <w:rPr>
          <w:rFonts w:ascii="Arial" w:hAnsi="Arial"/>
          <w:sz w:val="22"/>
          <w:szCs w:val="22"/>
        </w:rPr>
        <w:t xml:space="preserve"> fish species occur</w:t>
      </w:r>
      <w:r w:rsidRPr="000075CE">
        <w:rPr>
          <w:rFonts w:ascii="Arial" w:hAnsi="Arial"/>
          <w:sz w:val="22"/>
          <w:szCs w:val="22"/>
        </w:rPr>
        <w:t xml:space="preserve"> throughout </w:t>
      </w:r>
      <w:r w:rsidR="006A1C0E">
        <w:rPr>
          <w:rFonts w:ascii="Arial" w:hAnsi="Arial"/>
          <w:sz w:val="22"/>
          <w:szCs w:val="22"/>
        </w:rPr>
        <w:t>m</w:t>
      </w:r>
      <w:r w:rsidR="007320D2">
        <w:rPr>
          <w:rFonts w:ascii="Arial" w:hAnsi="Arial"/>
          <w:sz w:val="22"/>
          <w:szCs w:val="22"/>
        </w:rPr>
        <w:t xml:space="preserve">ost of the </w:t>
      </w:r>
      <w:r w:rsidRPr="000075CE">
        <w:rPr>
          <w:rFonts w:ascii="Arial" w:hAnsi="Arial"/>
          <w:sz w:val="22"/>
          <w:szCs w:val="22"/>
        </w:rPr>
        <w:t xml:space="preserve">year, making avoidance of any one species’ spawning period unachievable. </w:t>
      </w:r>
      <w:r w:rsidR="0035461B">
        <w:rPr>
          <w:rFonts w:ascii="Arial" w:hAnsi="Arial"/>
          <w:sz w:val="22"/>
          <w:szCs w:val="22"/>
        </w:rPr>
        <w:t>It is noted that autumn and winter are seasons when many of these species do not spawn, but this period is unsuitable for survey acquisition (as previously outlined).</w:t>
      </w:r>
    </w:p>
    <w:p w14:paraId="2E92BFC5" w14:textId="021C5211" w:rsidR="00921F73" w:rsidRPr="0029770D" w:rsidRDefault="00804C5C" w:rsidP="00921F73">
      <w:pPr>
        <w:pStyle w:val="bodycopy"/>
        <w:numPr>
          <w:ilvl w:val="0"/>
          <w:numId w:val="58"/>
        </w:numPr>
        <w:rPr>
          <w:rFonts w:ascii="Arial" w:hAnsi="Arial"/>
          <w:sz w:val="22"/>
          <w:szCs w:val="22"/>
        </w:rPr>
      </w:pPr>
      <w:r w:rsidRPr="0029770D">
        <w:rPr>
          <w:rFonts w:ascii="Arial" w:hAnsi="Arial"/>
          <w:sz w:val="22"/>
          <w:szCs w:val="22"/>
        </w:rPr>
        <w:t>Australian fur-seals breed and feed during the proposed survey window, but this occurs onshore.</w:t>
      </w:r>
      <w:r w:rsidR="00921F73" w:rsidRPr="0029770D">
        <w:rPr>
          <w:rFonts w:ascii="Arial" w:hAnsi="Arial"/>
          <w:sz w:val="22"/>
          <w:szCs w:val="22"/>
        </w:rPr>
        <w:t xml:space="preserve"> No breeding colonies of Australian fur-seals occur along the Ninety Mile Beach.</w:t>
      </w:r>
      <w:r w:rsidRPr="0029770D">
        <w:rPr>
          <w:rFonts w:ascii="Arial" w:hAnsi="Arial"/>
          <w:sz w:val="22"/>
          <w:szCs w:val="22"/>
        </w:rPr>
        <w:t xml:space="preserve"> </w:t>
      </w:r>
    </w:p>
    <w:p w14:paraId="59054971" w14:textId="77777777" w:rsidR="0029770D" w:rsidRPr="000075CE" w:rsidRDefault="0029770D" w:rsidP="0029770D">
      <w:pPr>
        <w:pStyle w:val="bodycopy"/>
        <w:numPr>
          <w:ilvl w:val="0"/>
          <w:numId w:val="58"/>
        </w:numPr>
        <w:spacing w:after="240"/>
        <w:rPr>
          <w:rFonts w:ascii="Arial" w:hAnsi="Arial"/>
          <w:sz w:val="22"/>
          <w:szCs w:val="22"/>
        </w:rPr>
      </w:pPr>
      <w:r w:rsidRPr="000075CE">
        <w:rPr>
          <w:rFonts w:ascii="Arial" w:hAnsi="Arial"/>
          <w:sz w:val="22"/>
          <w:szCs w:val="22"/>
        </w:rPr>
        <w:t xml:space="preserve">Little penguins are present in the region year-round. While breeding occurs over the summer months and therefore overlaps the proposed survey window, this species is not listed as threatened and their numbers in Victoria </w:t>
      </w:r>
      <w:r w:rsidRPr="000075CE">
        <w:rPr>
          <w:rFonts w:ascii="Arial" w:hAnsi="Arial"/>
          <w:sz w:val="22"/>
          <w:szCs w:val="22"/>
        </w:rPr>
        <w:lastRenderedPageBreak/>
        <w:t xml:space="preserve">remain strong. </w:t>
      </w:r>
      <w:r>
        <w:rPr>
          <w:rFonts w:ascii="Arial" w:hAnsi="Arial"/>
          <w:sz w:val="22"/>
          <w:szCs w:val="22"/>
        </w:rPr>
        <w:t xml:space="preserve">They only briefly swim through nearshore waters, in between their offshore feeding and onshore roosting. </w:t>
      </w:r>
    </w:p>
    <w:p w14:paraId="3ADF4A5E" w14:textId="77777777" w:rsidR="0029770D" w:rsidRPr="000075CE" w:rsidRDefault="0029770D" w:rsidP="00012D6A">
      <w:pPr>
        <w:pStyle w:val="bodycopy"/>
        <w:rPr>
          <w:rFonts w:ascii="Arial" w:hAnsi="Arial"/>
          <w:color w:val="808080"/>
          <w:sz w:val="22"/>
          <w:szCs w:val="22"/>
        </w:rPr>
      </w:pPr>
      <w:r w:rsidRPr="000075CE">
        <w:rPr>
          <w:rFonts w:ascii="Arial" w:hAnsi="Arial"/>
          <w:sz w:val="22"/>
          <w:szCs w:val="22"/>
        </w:rPr>
        <w:t>CarbonNet believes that the</w:t>
      </w:r>
      <w:r>
        <w:rPr>
          <w:rFonts w:ascii="Arial" w:hAnsi="Arial"/>
          <w:sz w:val="22"/>
          <w:szCs w:val="22"/>
        </w:rPr>
        <w:t>se</w:t>
      </w:r>
      <w:r w:rsidRPr="000075CE">
        <w:rPr>
          <w:rFonts w:ascii="Arial" w:hAnsi="Arial"/>
          <w:sz w:val="22"/>
          <w:szCs w:val="22"/>
        </w:rPr>
        <w:t xml:space="preserve"> factors combine to make summer (and the shoulder periods) the most suitable time to conduct the Pelican 3DMSS.</w:t>
      </w:r>
      <w:r w:rsidRPr="000075CE">
        <w:rPr>
          <w:rFonts w:ascii="Arial" w:hAnsi="Arial"/>
          <w:color w:val="808080"/>
          <w:sz w:val="22"/>
          <w:szCs w:val="22"/>
        </w:rPr>
        <w:t xml:space="preserve"> </w:t>
      </w:r>
    </w:p>
    <w:p w14:paraId="5E8E6338" w14:textId="7C993219" w:rsidR="00555878" w:rsidRDefault="00555878" w:rsidP="00012D6A">
      <w:pPr>
        <w:pStyle w:val="bodycopy"/>
        <w:jc w:val="both"/>
        <w:rPr>
          <w:rFonts w:ascii="Arial" w:hAnsi="Arial"/>
          <w:sz w:val="22"/>
          <w:szCs w:val="22"/>
        </w:rPr>
      </w:pPr>
    </w:p>
    <w:p w14:paraId="7BA49799" w14:textId="77777777" w:rsidR="00012D6A" w:rsidRDefault="00012D6A" w:rsidP="00012D6A">
      <w:pPr>
        <w:pStyle w:val="bodycopy"/>
        <w:jc w:val="both"/>
        <w:rPr>
          <w:rFonts w:ascii="Arial" w:hAnsi="Arial"/>
          <w:sz w:val="22"/>
          <w:szCs w:val="22"/>
        </w:rPr>
      </w:pPr>
    </w:p>
    <w:tbl>
      <w:tblPr>
        <w:tblStyle w:val="TableGrid"/>
        <w:tblW w:w="0" w:type="auto"/>
        <w:tblLook w:val="04A0" w:firstRow="1" w:lastRow="0" w:firstColumn="1" w:lastColumn="0" w:noHBand="0" w:noVBand="1"/>
      </w:tblPr>
      <w:tblGrid>
        <w:gridCol w:w="8522"/>
      </w:tblGrid>
      <w:tr w:rsidR="002E2E5E" w14:paraId="1161ED6C" w14:textId="77777777" w:rsidTr="002E2E5E">
        <w:tc>
          <w:tcPr>
            <w:tcW w:w="8522" w:type="dxa"/>
          </w:tcPr>
          <w:p w14:paraId="398A801F" w14:textId="77777777" w:rsidR="002E2E5E" w:rsidRDefault="002E2E5E" w:rsidP="002E2E5E">
            <w:pPr>
              <w:pStyle w:val="bodycopy"/>
              <w:spacing w:after="240"/>
              <w:rPr>
                <w:rFonts w:ascii="Arial" w:hAnsi="Arial"/>
                <w:sz w:val="22"/>
                <w:szCs w:val="22"/>
              </w:rPr>
            </w:pPr>
            <w:r w:rsidRPr="002E2E5E">
              <w:rPr>
                <w:rFonts w:ascii="Arial" w:hAnsi="Arial"/>
                <w:noProof/>
                <w:sz w:val="22"/>
                <w:szCs w:val="22"/>
              </w:rPr>
              <w:drawing>
                <wp:inline distT="0" distB="0" distL="0" distR="0" wp14:anchorId="02986C18" wp14:editId="2C779755">
                  <wp:extent cx="5076825" cy="3616159"/>
                  <wp:effectExtent l="0" t="0" r="0" b="3810"/>
                  <wp:docPr id="228" name="Picture 228" descr="Macintosh HD:Users:Giulio:Desktop:Screen Shot 2017-04-13 at 9.32.5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iulio:Desktop:Screen Shot 2017-04-13 at 9.32.54 AM.png"/>
                          <pic:cNvPicPr>
                            <a:picLocks noChangeAspect="1" noChangeArrowheads="1"/>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5082308" cy="362006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4DDF8A3" w14:textId="77777777" w:rsidR="002E2E5E" w:rsidRPr="005C5FF5" w:rsidRDefault="002E2E5E" w:rsidP="002E2E5E">
      <w:pPr>
        <w:pStyle w:val="bodycopy"/>
        <w:spacing w:before="120" w:after="240"/>
        <w:jc w:val="center"/>
        <w:rPr>
          <w:rFonts w:ascii="Arial" w:hAnsi="Arial"/>
          <w:sz w:val="22"/>
          <w:szCs w:val="22"/>
        </w:rPr>
      </w:pPr>
      <w:r w:rsidRPr="005C5FF5">
        <w:rPr>
          <w:rFonts w:ascii="Arial" w:hAnsi="Arial"/>
          <w:b/>
          <w:sz w:val="20"/>
        </w:rPr>
        <w:t>Figure 2.2.</w:t>
      </w:r>
      <w:r w:rsidRPr="005C5FF5">
        <w:rPr>
          <w:rFonts w:ascii="Arial" w:hAnsi="Arial"/>
          <w:b/>
          <w:sz w:val="20"/>
        </w:rPr>
        <w:tab/>
      </w:r>
      <w:r>
        <w:rPr>
          <w:rFonts w:ascii="Arial" w:hAnsi="Arial"/>
          <w:b/>
          <w:sz w:val="20"/>
        </w:rPr>
        <w:t>Significant wave height data for the proposed survey area</w:t>
      </w:r>
    </w:p>
    <w:p w14:paraId="6BF1E27B" w14:textId="77777777" w:rsidR="002E2E5E" w:rsidRPr="00921F73" w:rsidRDefault="002E2E5E" w:rsidP="00012D6A">
      <w:pPr>
        <w:pStyle w:val="bodycopy"/>
        <w:jc w:val="both"/>
        <w:rPr>
          <w:rFonts w:ascii="Arial" w:hAnsi="Arial"/>
          <w:sz w:val="22"/>
          <w:szCs w:val="22"/>
        </w:rPr>
        <w:sectPr w:rsidR="002E2E5E" w:rsidRPr="00921F73" w:rsidSect="003B1747">
          <w:pgSz w:w="11906" w:h="16838" w:code="9"/>
          <w:pgMar w:top="1238" w:right="1800" w:bottom="1440" w:left="1800" w:header="994" w:footer="706" w:gutter="0"/>
          <w:pgNumType w:start="1"/>
          <w:cols w:space="708"/>
          <w:docGrid w:linePitch="360"/>
        </w:sectPr>
      </w:pPr>
    </w:p>
    <w:tbl>
      <w:tblPr>
        <w:tblStyle w:val="TableGrid"/>
        <w:tblW w:w="15138" w:type="dxa"/>
        <w:tblInd w:w="-318" w:type="dxa"/>
        <w:tblLook w:val="04A0" w:firstRow="1" w:lastRow="0" w:firstColumn="1" w:lastColumn="0" w:noHBand="0" w:noVBand="1"/>
      </w:tblPr>
      <w:tblGrid>
        <w:gridCol w:w="15138"/>
      </w:tblGrid>
      <w:tr w:rsidR="00CB403D" w14:paraId="7B8E7065" w14:textId="77777777" w:rsidTr="00866FB5">
        <w:tc>
          <w:tcPr>
            <w:tcW w:w="15138" w:type="dxa"/>
          </w:tcPr>
          <w:p w14:paraId="662A305E" w14:textId="556399FE" w:rsidR="00CB403D" w:rsidRDefault="00B71A59" w:rsidP="00B71A59">
            <w:pPr>
              <w:spacing w:before="60" w:after="60"/>
              <w:ind w:left="0"/>
              <w:jc w:val="center"/>
              <w:rPr>
                <w:rFonts w:ascii="Tahoma" w:hAnsi="Tahoma" w:cs="Tahoma"/>
                <w:b/>
                <w:sz w:val="20"/>
                <w:szCs w:val="20"/>
              </w:rPr>
            </w:pPr>
            <w:r>
              <w:rPr>
                <w:rFonts w:ascii="Tahoma" w:hAnsi="Tahoma" w:cs="Tahoma"/>
                <w:b/>
                <w:noProof/>
                <w:sz w:val="20"/>
                <w:szCs w:val="20"/>
              </w:rPr>
              <w:lastRenderedPageBreak/>
              <w:drawing>
                <wp:inline distT="0" distB="0" distL="0" distR="0" wp14:anchorId="0B841AA9" wp14:editId="4B556203">
                  <wp:extent cx="8544560" cy="4236720"/>
                  <wp:effectExtent l="0" t="0" r="0" b="5080"/>
                  <wp:docPr id="3" name="Picture 3" descr="Macintosh HD:Users:Giulio:Desktop:Screen Shot 2017-12-14 at 1.17.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Giulio:Desktop:Screen Shot 2017-12-14 at 1.17.31 PM.png"/>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8544560" cy="4236720"/>
                          </a:xfrm>
                          <a:prstGeom prst="rect">
                            <a:avLst/>
                          </a:prstGeom>
                          <a:noFill/>
                          <a:ln>
                            <a:noFill/>
                          </a:ln>
                        </pic:spPr>
                      </pic:pic>
                    </a:graphicData>
                  </a:graphic>
                </wp:inline>
              </w:drawing>
            </w:r>
          </w:p>
        </w:tc>
      </w:tr>
    </w:tbl>
    <w:p w14:paraId="45BFCCDB" w14:textId="1A190B0D" w:rsidR="00CB403D" w:rsidRPr="000075CE" w:rsidRDefault="00505A03" w:rsidP="00CB403D">
      <w:pPr>
        <w:spacing w:before="120"/>
        <w:jc w:val="center"/>
        <w:rPr>
          <w:rFonts w:cs="Arial"/>
          <w:b/>
          <w:sz w:val="20"/>
          <w:szCs w:val="20"/>
        </w:rPr>
      </w:pPr>
      <w:r>
        <w:rPr>
          <w:rFonts w:cs="Arial"/>
          <w:b/>
          <w:sz w:val="20"/>
          <w:szCs w:val="20"/>
        </w:rPr>
        <w:t>Figure 2.</w:t>
      </w:r>
      <w:r w:rsidR="002E2E5E">
        <w:rPr>
          <w:rFonts w:cs="Arial"/>
          <w:b/>
          <w:sz w:val="20"/>
          <w:szCs w:val="20"/>
        </w:rPr>
        <w:t>3</w:t>
      </w:r>
      <w:r w:rsidR="00CB403D" w:rsidRPr="000075CE">
        <w:rPr>
          <w:rFonts w:cs="Arial"/>
          <w:b/>
          <w:sz w:val="20"/>
          <w:szCs w:val="20"/>
        </w:rPr>
        <w:t>.</w:t>
      </w:r>
      <w:r w:rsidR="00CB403D" w:rsidRPr="000075CE">
        <w:rPr>
          <w:rFonts w:cs="Arial"/>
          <w:b/>
          <w:sz w:val="20"/>
          <w:szCs w:val="20"/>
        </w:rPr>
        <w:tab/>
        <w:t>Key ecological and socio-economic activities in the nearshore Gippsland Basin</w:t>
      </w:r>
    </w:p>
    <w:p w14:paraId="2AEB4CAA" w14:textId="77777777" w:rsidR="00CB403D" w:rsidRDefault="00CB403D" w:rsidP="002A2AA6">
      <w:pPr>
        <w:pStyle w:val="bodycopy"/>
        <w:jc w:val="both"/>
        <w:rPr>
          <w:color w:val="808080"/>
        </w:rPr>
      </w:pPr>
    </w:p>
    <w:p w14:paraId="2E0E15F4" w14:textId="77777777" w:rsidR="00CB403D" w:rsidRDefault="00CB403D" w:rsidP="002A2AA6">
      <w:pPr>
        <w:pStyle w:val="bodycopy"/>
        <w:jc w:val="both"/>
        <w:sectPr w:rsidR="00CB403D" w:rsidSect="00906AA9">
          <w:headerReference w:type="even" r:id="rId18"/>
          <w:headerReference w:type="default" r:id="rId19"/>
          <w:footerReference w:type="default" r:id="rId20"/>
          <w:headerReference w:type="first" r:id="rId21"/>
          <w:pgSz w:w="16838" w:h="11906" w:orient="landscape" w:code="9"/>
          <w:pgMar w:top="1550" w:right="1930" w:bottom="1800" w:left="1440" w:header="994" w:footer="706" w:gutter="0"/>
          <w:cols w:space="708"/>
          <w:docGrid w:linePitch="360"/>
        </w:sectPr>
      </w:pPr>
    </w:p>
    <w:p w14:paraId="325C00C2" w14:textId="77777777" w:rsidR="006E3F8B" w:rsidRPr="00B62B65" w:rsidRDefault="00D15ACF" w:rsidP="00B62B65">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13" w:name="_Toc375214501"/>
      <w:r w:rsidRPr="00B62B65">
        <w:rPr>
          <w:rFonts w:cs="Times New Roman"/>
          <w:iCs w:val="0"/>
          <w:color w:val="064EA8"/>
          <w:szCs w:val="26"/>
          <w:lang w:eastAsia="en-US"/>
        </w:rPr>
        <w:lastRenderedPageBreak/>
        <w:t>Survey Program</w:t>
      </w:r>
      <w:bookmarkEnd w:id="13"/>
    </w:p>
    <w:p w14:paraId="0E95EC9E" w14:textId="6F600AA3" w:rsidR="00804C5C" w:rsidRPr="000075CE" w:rsidRDefault="00804C5C" w:rsidP="001E4C83">
      <w:pPr>
        <w:pStyle w:val="bodycopy"/>
        <w:rPr>
          <w:rFonts w:ascii="Arial" w:hAnsi="Arial"/>
          <w:sz w:val="22"/>
          <w:szCs w:val="22"/>
        </w:rPr>
      </w:pPr>
      <w:r w:rsidRPr="000075CE">
        <w:rPr>
          <w:rFonts w:ascii="Arial" w:hAnsi="Arial"/>
          <w:sz w:val="22"/>
          <w:szCs w:val="22"/>
        </w:rPr>
        <w:t>The Pelican 3DMSS will be a typical 3D survey similar to most others conducted in Australian marine waters (in terms of technical methods and procedures)</w:t>
      </w:r>
      <w:r w:rsidR="00F203FF" w:rsidRPr="000075CE">
        <w:rPr>
          <w:rFonts w:ascii="Arial" w:hAnsi="Arial"/>
          <w:sz w:val="22"/>
          <w:szCs w:val="22"/>
        </w:rPr>
        <w:t xml:space="preserve"> </w:t>
      </w:r>
      <w:r w:rsidR="00F203FF" w:rsidRPr="00F80400">
        <w:rPr>
          <w:rFonts w:ascii="Arial" w:hAnsi="Arial"/>
          <w:sz w:val="22"/>
          <w:szCs w:val="22"/>
        </w:rPr>
        <w:t>(</w:t>
      </w:r>
      <w:r w:rsidR="00F203FF" w:rsidRPr="00D47F49">
        <w:rPr>
          <w:rFonts w:ascii="Arial" w:hAnsi="Arial"/>
          <w:sz w:val="22"/>
          <w:szCs w:val="22"/>
        </w:rPr>
        <w:t>Figure 2.</w:t>
      </w:r>
      <w:r w:rsidR="008B77FE">
        <w:rPr>
          <w:rFonts w:ascii="Arial" w:hAnsi="Arial"/>
          <w:sz w:val="22"/>
          <w:szCs w:val="22"/>
        </w:rPr>
        <w:t>4</w:t>
      </w:r>
      <w:r w:rsidR="00F203FF" w:rsidRPr="00D47F49">
        <w:rPr>
          <w:rFonts w:ascii="Arial" w:hAnsi="Arial"/>
          <w:sz w:val="22"/>
          <w:szCs w:val="22"/>
        </w:rPr>
        <w:t>)</w:t>
      </w:r>
      <w:r w:rsidRPr="00D47F49">
        <w:rPr>
          <w:rFonts w:ascii="Arial" w:hAnsi="Arial"/>
          <w:sz w:val="22"/>
          <w:szCs w:val="22"/>
        </w:rPr>
        <w:t>. No unique or unusual equipment or operations are proposed. Seismi</w:t>
      </w:r>
      <w:r w:rsidRPr="000075CE">
        <w:rPr>
          <w:rFonts w:ascii="Arial" w:hAnsi="Arial"/>
          <w:sz w:val="22"/>
          <w:szCs w:val="22"/>
        </w:rPr>
        <w:t xml:space="preserve">c surveying is a </w:t>
      </w:r>
      <w:r w:rsidR="00300587" w:rsidRPr="000075CE">
        <w:rPr>
          <w:rFonts w:ascii="Arial" w:hAnsi="Arial"/>
          <w:sz w:val="22"/>
          <w:szCs w:val="22"/>
        </w:rPr>
        <w:t>widely-used</w:t>
      </w:r>
      <w:r w:rsidRPr="000075CE">
        <w:rPr>
          <w:rFonts w:ascii="Arial" w:hAnsi="Arial"/>
          <w:sz w:val="22"/>
          <w:szCs w:val="22"/>
        </w:rPr>
        <w:t xml:space="preserve"> exploration method used to define and analyse subsurface geological structures in the marine environment. Seismic surveying uses a technique that directs acoustic energy into these subsurface geological structures beneath the seafloor from equipment deployed by vessel.</w:t>
      </w:r>
    </w:p>
    <w:p w14:paraId="2AD3B4CE" w14:textId="5285090C" w:rsidR="00555878" w:rsidRDefault="00555878" w:rsidP="0029770D">
      <w:pPr>
        <w:pStyle w:val="bodycopy"/>
        <w:spacing w:after="240"/>
        <w:rPr>
          <w:rFonts w:ascii="Arial" w:hAnsi="Arial"/>
          <w:sz w:val="22"/>
          <w:szCs w:val="22"/>
        </w:rPr>
      </w:pPr>
      <w:r w:rsidRPr="000075CE">
        <w:rPr>
          <w:rFonts w:ascii="Arial" w:hAnsi="Arial"/>
          <w:sz w:val="22"/>
          <w:szCs w:val="22"/>
        </w:rPr>
        <w:t xml:space="preserve">The survey vessel will acquire the seismic data by towing two acoustic source arrays operating alternatively, one discharging as the other recompresses. The source volume will be </w:t>
      </w:r>
      <w:r>
        <w:rPr>
          <w:rFonts w:ascii="Arial" w:hAnsi="Arial"/>
          <w:sz w:val="22"/>
          <w:szCs w:val="22"/>
        </w:rPr>
        <w:t xml:space="preserve">a </w:t>
      </w:r>
      <w:r w:rsidRPr="00975AE6">
        <w:rPr>
          <w:rFonts w:ascii="Arial" w:hAnsi="Arial"/>
          <w:sz w:val="22"/>
          <w:szCs w:val="22"/>
        </w:rPr>
        <w:t>maximum</w:t>
      </w:r>
      <w:r>
        <w:rPr>
          <w:rFonts w:ascii="Arial" w:hAnsi="Arial"/>
          <w:sz w:val="22"/>
          <w:szCs w:val="22"/>
        </w:rPr>
        <w:t xml:space="preserve"> </w:t>
      </w:r>
      <w:r w:rsidRPr="009E6335">
        <w:rPr>
          <w:rFonts w:ascii="Arial" w:hAnsi="Arial"/>
          <w:sz w:val="22"/>
          <w:szCs w:val="22"/>
        </w:rPr>
        <w:t xml:space="preserve">of </w:t>
      </w:r>
      <w:r w:rsidR="009E6335" w:rsidRPr="009E6335">
        <w:rPr>
          <w:rFonts w:ascii="Arial" w:hAnsi="Arial"/>
          <w:sz w:val="22"/>
          <w:szCs w:val="22"/>
        </w:rPr>
        <w:t>2,800</w:t>
      </w:r>
      <w:r w:rsidRPr="009E6335">
        <w:rPr>
          <w:rFonts w:ascii="Arial" w:hAnsi="Arial"/>
          <w:sz w:val="22"/>
          <w:szCs w:val="22"/>
        </w:rPr>
        <w:t xml:space="preserve"> cubic inches (cui</w:t>
      </w:r>
      <w:r w:rsidRPr="000075CE">
        <w:rPr>
          <w:rFonts w:ascii="Arial" w:hAnsi="Arial"/>
          <w:sz w:val="22"/>
          <w:szCs w:val="22"/>
        </w:rPr>
        <w:t>) with an operating pressure of 2,000 pounds per square inch (psi)</w:t>
      </w:r>
      <w:r w:rsidR="0066203E">
        <w:rPr>
          <w:rFonts w:ascii="Arial" w:hAnsi="Arial"/>
          <w:sz w:val="22"/>
          <w:szCs w:val="22"/>
        </w:rPr>
        <w:t xml:space="preserve"> (see Section 2.5.1)</w:t>
      </w:r>
      <w:r w:rsidRPr="000075CE">
        <w:rPr>
          <w:rFonts w:ascii="Arial" w:hAnsi="Arial"/>
          <w:sz w:val="22"/>
          <w:szCs w:val="22"/>
        </w:rPr>
        <w:t xml:space="preserve">. There will be </w:t>
      </w:r>
      <w:r>
        <w:rPr>
          <w:rFonts w:ascii="Arial" w:hAnsi="Arial"/>
          <w:sz w:val="22"/>
          <w:szCs w:val="22"/>
        </w:rPr>
        <w:t xml:space="preserve">between four and 10 </w:t>
      </w:r>
      <w:r w:rsidRPr="000075CE">
        <w:rPr>
          <w:rFonts w:ascii="Arial" w:hAnsi="Arial"/>
          <w:sz w:val="22"/>
          <w:szCs w:val="22"/>
        </w:rPr>
        <w:t xml:space="preserve">hydrophone ‘streamer’ cables approximately 4,000 m long and 50 m apart towed behind the vessel at </w:t>
      </w:r>
      <w:r>
        <w:rPr>
          <w:rFonts w:ascii="Arial" w:hAnsi="Arial"/>
          <w:sz w:val="22"/>
          <w:szCs w:val="22"/>
        </w:rPr>
        <w:t>5 m (± 1</w:t>
      </w:r>
      <w:r w:rsidRPr="000075CE">
        <w:rPr>
          <w:rFonts w:ascii="Arial" w:hAnsi="Arial"/>
          <w:sz w:val="22"/>
          <w:szCs w:val="22"/>
        </w:rPr>
        <w:t xml:space="preserve"> </w:t>
      </w:r>
      <w:r w:rsidRPr="00047B5D">
        <w:rPr>
          <w:rFonts w:ascii="Arial" w:hAnsi="Arial"/>
          <w:sz w:val="22"/>
          <w:szCs w:val="22"/>
        </w:rPr>
        <w:t>m) below</w:t>
      </w:r>
      <w:r w:rsidRPr="000075CE">
        <w:rPr>
          <w:rFonts w:ascii="Arial" w:hAnsi="Arial"/>
          <w:sz w:val="22"/>
          <w:szCs w:val="22"/>
        </w:rPr>
        <w:t xml:space="preserve"> the water surface (depending on </w:t>
      </w:r>
      <w:r w:rsidR="0066203E">
        <w:rPr>
          <w:rFonts w:ascii="Arial" w:hAnsi="Arial"/>
          <w:sz w:val="22"/>
          <w:szCs w:val="22"/>
        </w:rPr>
        <w:t xml:space="preserve">water depth, </w:t>
      </w:r>
      <w:r>
        <w:rPr>
          <w:rFonts w:ascii="Arial" w:hAnsi="Arial"/>
          <w:sz w:val="22"/>
          <w:szCs w:val="22"/>
        </w:rPr>
        <w:t>testing and weather</w:t>
      </w:r>
      <w:r w:rsidRPr="000075CE">
        <w:rPr>
          <w:rFonts w:ascii="Arial" w:hAnsi="Arial"/>
          <w:sz w:val="22"/>
          <w:szCs w:val="22"/>
        </w:rPr>
        <w:t xml:space="preserve">). The vessel will </w:t>
      </w:r>
      <w:r>
        <w:rPr>
          <w:rFonts w:ascii="Arial" w:hAnsi="Arial"/>
          <w:sz w:val="22"/>
          <w:szCs w:val="22"/>
        </w:rPr>
        <w:t>sail</w:t>
      </w:r>
      <w:r w:rsidRPr="000075CE">
        <w:rPr>
          <w:rFonts w:ascii="Arial" w:hAnsi="Arial"/>
          <w:sz w:val="22"/>
          <w:szCs w:val="22"/>
        </w:rPr>
        <w:t xml:space="preserve"> back and forth across the acquisition area along </w:t>
      </w:r>
      <w:r>
        <w:rPr>
          <w:rFonts w:ascii="Arial" w:hAnsi="Arial"/>
          <w:sz w:val="22"/>
          <w:szCs w:val="22"/>
        </w:rPr>
        <w:t>6</w:t>
      </w:r>
      <w:r w:rsidRPr="000075CE">
        <w:rPr>
          <w:rFonts w:ascii="Arial" w:hAnsi="Arial"/>
          <w:sz w:val="22"/>
          <w:szCs w:val="22"/>
        </w:rPr>
        <w:t xml:space="preserve">0 sail lines </w:t>
      </w:r>
      <w:r>
        <w:rPr>
          <w:rFonts w:ascii="Arial" w:hAnsi="Arial"/>
          <w:sz w:val="22"/>
          <w:szCs w:val="22"/>
        </w:rPr>
        <w:t xml:space="preserve">(nominally) </w:t>
      </w:r>
      <w:r w:rsidRPr="000075CE">
        <w:rPr>
          <w:rFonts w:ascii="Arial" w:hAnsi="Arial"/>
          <w:sz w:val="22"/>
          <w:szCs w:val="22"/>
        </w:rPr>
        <w:t xml:space="preserve">that are approximately </w:t>
      </w:r>
      <w:r>
        <w:rPr>
          <w:rFonts w:ascii="Arial" w:hAnsi="Arial"/>
          <w:sz w:val="22"/>
          <w:szCs w:val="22"/>
        </w:rPr>
        <w:t>200</w:t>
      </w:r>
      <w:r w:rsidRPr="000075CE">
        <w:rPr>
          <w:rFonts w:ascii="Arial" w:hAnsi="Arial"/>
          <w:sz w:val="22"/>
          <w:szCs w:val="22"/>
        </w:rPr>
        <w:t xml:space="preserve"> m apart</w:t>
      </w:r>
      <w:r w:rsidR="0066203E">
        <w:rPr>
          <w:rFonts w:ascii="Arial" w:hAnsi="Arial"/>
          <w:sz w:val="22"/>
          <w:szCs w:val="22"/>
        </w:rPr>
        <w:t xml:space="preserve"> (see Section 2.5.2)</w:t>
      </w:r>
      <w:r w:rsidRPr="000075CE">
        <w:rPr>
          <w:rFonts w:ascii="Arial" w:hAnsi="Arial"/>
          <w:sz w:val="22"/>
          <w:szCs w:val="22"/>
        </w:rPr>
        <w:t xml:space="preserve">.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4"/>
      </w:tblGrid>
      <w:tr w:rsidR="001E4C83" w14:paraId="5CB80F4C" w14:textId="77777777" w:rsidTr="00891DE1">
        <w:trPr>
          <w:trHeight w:val="4736"/>
        </w:trPr>
        <w:tc>
          <w:tcPr>
            <w:tcW w:w="8414" w:type="dxa"/>
            <w:tcBorders>
              <w:top w:val="single" w:sz="4" w:space="0" w:color="auto"/>
              <w:left w:val="single" w:sz="4" w:space="0" w:color="auto"/>
              <w:bottom w:val="single" w:sz="4" w:space="0" w:color="auto"/>
              <w:right w:val="single" w:sz="4" w:space="0" w:color="auto"/>
            </w:tcBorders>
          </w:tcPr>
          <w:p w14:paraId="72D12652" w14:textId="69179B22" w:rsidR="0009147F" w:rsidRDefault="0009147F" w:rsidP="00891DE1">
            <w:pPr>
              <w:pStyle w:val="bodycopy"/>
              <w:spacing w:after="0"/>
              <w:jc w:val="both"/>
            </w:pPr>
            <w:r>
              <w:rPr>
                <w:noProof/>
              </w:rPr>
              <w:drawing>
                <wp:anchor distT="0" distB="0" distL="114300" distR="114300" simplePos="0" relativeHeight="251673600" behindDoc="0" locked="0" layoutInCell="1" allowOverlap="1" wp14:anchorId="1B55B7BB" wp14:editId="42764172">
                  <wp:simplePos x="0" y="0"/>
                  <wp:positionH relativeFrom="column">
                    <wp:posOffset>106045</wp:posOffset>
                  </wp:positionH>
                  <wp:positionV relativeFrom="paragraph">
                    <wp:posOffset>171450</wp:posOffset>
                  </wp:positionV>
                  <wp:extent cx="5286375" cy="2884170"/>
                  <wp:effectExtent l="19050" t="19050" r="28575" b="11430"/>
                  <wp:wrapSquare wrapText="bothSides"/>
                  <wp:docPr id="245" name="Picture 245" descr="Figure 1 represents a marine seismic survey. The image is of a specialised vessel towing a sound wave source that produces sound pulses in a controlled frequency range at set intervals. The sound signals are reflected back by underground rock formations and are captured by hydrophones (acoustic receivers) in 'streamers' that are also towed by the vessel. The data collected by the hydrophones is recorded on board the vessel for later analysis and interpretation. &#10;" title="Figure 1: Marine Seismic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ismic 2"/>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286375" cy="28841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c>
      </w:tr>
    </w:tbl>
    <w:p w14:paraId="169035EF" w14:textId="77777777" w:rsidR="001E4C83" w:rsidRDefault="001E4C83" w:rsidP="001E4C83">
      <w:pPr>
        <w:spacing w:after="120" w:line="240" w:lineRule="auto"/>
        <w:ind w:hanging="720"/>
      </w:pPr>
      <w:r w:rsidRPr="00655B55">
        <w:rPr>
          <w:i/>
          <w:noProof/>
          <w:sz w:val="16"/>
          <w:szCs w:val="16"/>
        </w:rPr>
        <w:t>Source: FishSAFE Information Project (2017).</w:t>
      </w:r>
    </w:p>
    <w:p w14:paraId="3571D08A" w14:textId="20DD78DF" w:rsidR="001E4C83" w:rsidRPr="001E4C83" w:rsidRDefault="001E4C83" w:rsidP="001E4C83">
      <w:pPr>
        <w:pStyle w:val="Caption"/>
        <w:spacing w:after="240"/>
        <w:jc w:val="center"/>
        <w:rPr>
          <w:rFonts w:ascii="Arial" w:hAnsi="Arial" w:cs="Arial"/>
          <w:color w:val="auto"/>
          <w:sz w:val="20"/>
          <w:szCs w:val="20"/>
        </w:rPr>
      </w:pPr>
      <w:bookmarkStart w:id="14" w:name="_Ref421196783"/>
      <w:bookmarkStart w:id="15" w:name="_Toc427335758"/>
      <w:r w:rsidRPr="001E4C83">
        <w:rPr>
          <w:rFonts w:ascii="Arial" w:hAnsi="Arial" w:cs="Arial"/>
          <w:color w:val="auto"/>
          <w:sz w:val="20"/>
          <w:szCs w:val="20"/>
        </w:rPr>
        <w:t xml:space="preserve">Figure </w:t>
      </w:r>
      <w:bookmarkEnd w:id="14"/>
      <w:r w:rsidRPr="001E4C83">
        <w:rPr>
          <w:rFonts w:ascii="Arial" w:hAnsi="Arial" w:cs="Arial"/>
          <w:color w:val="auto"/>
          <w:sz w:val="20"/>
          <w:szCs w:val="20"/>
        </w:rPr>
        <w:t>2.</w:t>
      </w:r>
      <w:r w:rsidR="00D47F49">
        <w:rPr>
          <w:rFonts w:ascii="Arial" w:hAnsi="Arial" w:cs="Arial"/>
          <w:color w:val="auto"/>
          <w:sz w:val="20"/>
          <w:szCs w:val="20"/>
        </w:rPr>
        <w:t>4</w:t>
      </w:r>
      <w:r w:rsidRPr="001E4C83">
        <w:rPr>
          <w:rFonts w:ascii="Arial" w:hAnsi="Arial" w:cs="Arial"/>
          <w:color w:val="auto"/>
          <w:sz w:val="20"/>
          <w:szCs w:val="20"/>
        </w:rPr>
        <w:t>.</w:t>
      </w:r>
      <w:r w:rsidRPr="001E4C83">
        <w:rPr>
          <w:rFonts w:ascii="Arial" w:hAnsi="Arial" w:cs="Arial"/>
          <w:color w:val="auto"/>
          <w:sz w:val="20"/>
          <w:szCs w:val="20"/>
        </w:rPr>
        <w:tab/>
        <w:t>Typical marine seismic survey reflection schematic</w:t>
      </w:r>
      <w:bookmarkEnd w:id="15"/>
      <w:r w:rsidRPr="001E4C83">
        <w:rPr>
          <w:rFonts w:ascii="Arial" w:hAnsi="Arial" w:cs="Arial"/>
          <w:color w:val="auto"/>
          <w:sz w:val="20"/>
          <w:szCs w:val="20"/>
        </w:rPr>
        <w:t xml:space="preserve"> </w:t>
      </w:r>
    </w:p>
    <w:p w14:paraId="26E0ECC7" w14:textId="180CEE8D" w:rsidR="00F203FF" w:rsidRPr="000075CE" w:rsidRDefault="00F203FF" w:rsidP="001E4C83">
      <w:pPr>
        <w:pStyle w:val="bodycopy"/>
        <w:rPr>
          <w:rFonts w:ascii="Arial" w:hAnsi="Arial"/>
          <w:sz w:val="22"/>
          <w:szCs w:val="22"/>
        </w:rPr>
      </w:pPr>
      <w:r w:rsidRPr="000075CE">
        <w:rPr>
          <w:rFonts w:ascii="Arial" w:hAnsi="Arial"/>
          <w:sz w:val="22"/>
          <w:szCs w:val="22"/>
        </w:rPr>
        <w:t xml:space="preserve">A series of acoustic pulses (discharged every </w:t>
      </w:r>
      <w:r w:rsidR="00921F73">
        <w:rPr>
          <w:rFonts w:ascii="Arial" w:hAnsi="Arial"/>
          <w:sz w:val="22"/>
          <w:szCs w:val="22"/>
        </w:rPr>
        <w:t>4</w:t>
      </w:r>
      <w:r w:rsidRPr="000075CE">
        <w:rPr>
          <w:rFonts w:ascii="Arial" w:hAnsi="Arial"/>
          <w:sz w:val="22"/>
          <w:szCs w:val="22"/>
        </w:rPr>
        <w:t xml:space="preserve"> to </w:t>
      </w:r>
      <w:r w:rsidR="00921F73">
        <w:rPr>
          <w:rFonts w:ascii="Arial" w:hAnsi="Arial"/>
          <w:sz w:val="22"/>
          <w:szCs w:val="22"/>
        </w:rPr>
        <w:t>8</w:t>
      </w:r>
      <w:r w:rsidRPr="000075CE">
        <w:rPr>
          <w:rFonts w:ascii="Arial" w:hAnsi="Arial"/>
          <w:sz w:val="22"/>
          <w:szCs w:val="22"/>
        </w:rPr>
        <w:t xml:space="preserve"> seconds) will be directed by the source down through the water column and seabed. The released sound will be attenuated and reflected at geological boundaries and the reflected signals are detected using hydrophones arranged along the streamers that are towed behind the vessel. The reflected sound is evaluated to provide information on the structure and composition of the geological formation.</w:t>
      </w:r>
    </w:p>
    <w:p w14:paraId="1DE842BF" w14:textId="3C72D10C" w:rsidR="00F203FF" w:rsidRPr="000075CE" w:rsidRDefault="00F203FF" w:rsidP="001E4C83">
      <w:pPr>
        <w:pStyle w:val="bodycopy"/>
        <w:spacing w:after="240"/>
        <w:rPr>
          <w:rFonts w:ascii="Arial" w:hAnsi="Arial"/>
          <w:sz w:val="22"/>
          <w:szCs w:val="22"/>
        </w:rPr>
      </w:pPr>
      <w:r w:rsidRPr="000075CE">
        <w:rPr>
          <w:rFonts w:ascii="Arial" w:hAnsi="Arial"/>
          <w:sz w:val="22"/>
          <w:szCs w:val="22"/>
        </w:rPr>
        <w:t>The survey will be conducted 24 hours a day except when sea states exceed operational parameters.</w:t>
      </w:r>
      <w:r w:rsidR="004C5CED">
        <w:rPr>
          <w:rFonts w:ascii="Arial" w:hAnsi="Arial"/>
          <w:sz w:val="22"/>
          <w:szCs w:val="22"/>
        </w:rPr>
        <w:t xml:space="preserve"> </w:t>
      </w:r>
    </w:p>
    <w:p w14:paraId="7255528E" w14:textId="203682F1" w:rsidR="001D137D" w:rsidRDefault="00A543E6" w:rsidP="001D137D">
      <w:pPr>
        <w:pStyle w:val="Heading3"/>
      </w:pPr>
      <w:bookmarkStart w:id="16" w:name="_Toc375214502"/>
      <w:r>
        <w:lastRenderedPageBreak/>
        <w:t>Sound Source</w:t>
      </w:r>
      <w:bookmarkEnd w:id="16"/>
    </w:p>
    <w:p w14:paraId="44B99DC4" w14:textId="04FD56AE" w:rsidR="002D3BE5" w:rsidRDefault="001D137D" w:rsidP="001E4C83">
      <w:pPr>
        <w:pStyle w:val="bodycopy"/>
        <w:rPr>
          <w:rFonts w:ascii="Arial" w:hAnsi="Arial"/>
          <w:sz w:val="22"/>
          <w:szCs w:val="22"/>
        </w:rPr>
      </w:pPr>
      <w:r w:rsidRPr="000075CE">
        <w:rPr>
          <w:rFonts w:ascii="Arial" w:hAnsi="Arial"/>
          <w:sz w:val="22"/>
          <w:szCs w:val="22"/>
        </w:rPr>
        <w:t xml:space="preserve">The acoustic source will consist of </w:t>
      </w:r>
      <w:r w:rsidR="0066203E">
        <w:rPr>
          <w:rFonts w:ascii="Arial" w:hAnsi="Arial"/>
          <w:sz w:val="22"/>
          <w:szCs w:val="22"/>
        </w:rPr>
        <w:t>two air gun arrays</w:t>
      </w:r>
      <w:r w:rsidR="00975AE6">
        <w:rPr>
          <w:rFonts w:ascii="Arial" w:hAnsi="Arial"/>
          <w:sz w:val="22"/>
          <w:szCs w:val="22"/>
        </w:rPr>
        <w:t xml:space="preserve"> spaced 25 m apart</w:t>
      </w:r>
      <w:r w:rsidR="002D3BE5">
        <w:rPr>
          <w:rFonts w:ascii="Arial" w:hAnsi="Arial"/>
          <w:sz w:val="22"/>
          <w:szCs w:val="22"/>
        </w:rPr>
        <w:t xml:space="preserve">. </w:t>
      </w:r>
    </w:p>
    <w:p w14:paraId="4E4D0221" w14:textId="20BFAA87" w:rsidR="001D137D" w:rsidRDefault="00045F09" w:rsidP="00AC5312">
      <w:pPr>
        <w:pStyle w:val="bodycopy"/>
        <w:rPr>
          <w:rFonts w:ascii="Arial" w:hAnsi="Arial"/>
          <w:sz w:val="22"/>
          <w:szCs w:val="22"/>
        </w:rPr>
      </w:pPr>
      <w:r>
        <w:rPr>
          <w:rFonts w:ascii="Arial" w:hAnsi="Arial"/>
          <w:sz w:val="22"/>
          <w:szCs w:val="22"/>
        </w:rPr>
        <w:t>A minimum 75 bar-m peak</w:t>
      </w:r>
      <w:r w:rsidR="00735C7C">
        <w:rPr>
          <w:rFonts w:ascii="Arial" w:hAnsi="Arial"/>
          <w:sz w:val="22"/>
          <w:szCs w:val="22"/>
        </w:rPr>
        <w:t>-</w:t>
      </w:r>
      <w:r>
        <w:rPr>
          <w:rFonts w:ascii="Arial" w:hAnsi="Arial"/>
          <w:sz w:val="22"/>
          <w:szCs w:val="22"/>
        </w:rPr>
        <w:t>to</w:t>
      </w:r>
      <w:r w:rsidR="00735C7C">
        <w:rPr>
          <w:rFonts w:ascii="Arial" w:hAnsi="Arial"/>
          <w:sz w:val="22"/>
          <w:szCs w:val="22"/>
        </w:rPr>
        <w:t>-</w:t>
      </w:r>
      <w:r>
        <w:rPr>
          <w:rFonts w:ascii="Arial" w:hAnsi="Arial"/>
          <w:sz w:val="22"/>
          <w:szCs w:val="22"/>
        </w:rPr>
        <w:t>peak amplitude is required to undertake the Pelican 3DMSS, which will be sufficient to provide the penetration required to image the deepest target with current technology. This amplitude can be achieved using a</w:t>
      </w:r>
      <w:r w:rsidR="00727099">
        <w:rPr>
          <w:rFonts w:ascii="Arial" w:hAnsi="Arial"/>
          <w:sz w:val="22"/>
          <w:szCs w:val="22"/>
        </w:rPr>
        <w:t xml:space="preserve"> </w:t>
      </w:r>
      <w:r>
        <w:rPr>
          <w:rFonts w:ascii="Arial" w:hAnsi="Arial"/>
          <w:sz w:val="22"/>
          <w:szCs w:val="22"/>
        </w:rPr>
        <w:t xml:space="preserve">seismic source with a </w:t>
      </w:r>
      <w:r w:rsidR="00BC04DB">
        <w:rPr>
          <w:rFonts w:ascii="Arial" w:hAnsi="Arial"/>
          <w:sz w:val="22"/>
          <w:szCs w:val="22"/>
        </w:rPr>
        <w:t xml:space="preserve">maximum </w:t>
      </w:r>
      <w:r>
        <w:rPr>
          <w:rFonts w:ascii="Arial" w:hAnsi="Arial"/>
          <w:sz w:val="22"/>
          <w:szCs w:val="22"/>
        </w:rPr>
        <w:t xml:space="preserve">sound </w:t>
      </w:r>
      <w:r w:rsidRPr="009E6335">
        <w:rPr>
          <w:rFonts w:ascii="Arial" w:hAnsi="Arial"/>
          <w:sz w:val="22"/>
          <w:szCs w:val="22"/>
        </w:rPr>
        <w:t xml:space="preserve">volume of </w:t>
      </w:r>
      <w:r w:rsidR="009E6335" w:rsidRPr="009E6335">
        <w:rPr>
          <w:rFonts w:ascii="Arial" w:hAnsi="Arial"/>
          <w:sz w:val="22"/>
          <w:szCs w:val="22"/>
        </w:rPr>
        <w:t>2,800</w:t>
      </w:r>
      <w:r w:rsidRPr="009E6335">
        <w:rPr>
          <w:rFonts w:ascii="Arial" w:hAnsi="Arial"/>
          <w:sz w:val="22"/>
          <w:szCs w:val="22"/>
        </w:rPr>
        <w:t xml:space="preserve"> cui and</w:t>
      </w:r>
      <w:r>
        <w:rPr>
          <w:rFonts w:ascii="Arial" w:hAnsi="Arial"/>
          <w:sz w:val="22"/>
          <w:szCs w:val="22"/>
        </w:rPr>
        <w:t xml:space="preserve"> an operating pressure of 2,000 psi. </w:t>
      </w:r>
    </w:p>
    <w:p w14:paraId="2F1B842A" w14:textId="063B1019" w:rsidR="00E85A2B" w:rsidRDefault="001D137D" w:rsidP="00AC5312">
      <w:pPr>
        <w:pStyle w:val="bodycopy"/>
        <w:spacing w:after="240"/>
        <w:rPr>
          <w:rFonts w:ascii="Arial" w:hAnsi="Arial"/>
          <w:sz w:val="22"/>
          <w:szCs w:val="22"/>
        </w:rPr>
      </w:pPr>
      <w:r w:rsidRPr="000075CE">
        <w:rPr>
          <w:rFonts w:ascii="Arial" w:hAnsi="Arial"/>
          <w:sz w:val="22"/>
          <w:szCs w:val="22"/>
        </w:rPr>
        <w:t xml:space="preserve">The array will be towed with the centre approximately </w:t>
      </w:r>
      <w:r w:rsidR="0076376B" w:rsidRPr="008838A9">
        <w:rPr>
          <w:rFonts w:ascii="Arial" w:hAnsi="Arial"/>
          <w:sz w:val="22"/>
          <w:szCs w:val="22"/>
        </w:rPr>
        <w:t>100-150</w:t>
      </w:r>
      <w:r w:rsidRPr="008838A9">
        <w:rPr>
          <w:rFonts w:ascii="Arial" w:hAnsi="Arial"/>
          <w:sz w:val="22"/>
          <w:szCs w:val="22"/>
        </w:rPr>
        <w:t xml:space="preserve"> m </w:t>
      </w:r>
      <w:r w:rsidR="0076376B" w:rsidRPr="008838A9">
        <w:rPr>
          <w:rFonts w:ascii="Arial" w:hAnsi="Arial"/>
          <w:sz w:val="22"/>
          <w:szCs w:val="22"/>
        </w:rPr>
        <w:t>astern</w:t>
      </w:r>
      <w:r w:rsidR="0076376B" w:rsidRPr="000075CE">
        <w:rPr>
          <w:rFonts w:ascii="Arial" w:hAnsi="Arial"/>
          <w:sz w:val="22"/>
          <w:szCs w:val="22"/>
        </w:rPr>
        <w:t xml:space="preserve"> of</w:t>
      </w:r>
      <w:r w:rsidRPr="000075CE">
        <w:rPr>
          <w:rFonts w:ascii="Arial" w:hAnsi="Arial"/>
          <w:sz w:val="22"/>
          <w:szCs w:val="22"/>
        </w:rPr>
        <w:t xml:space="preserve"> the </w:t>
      </w:r>
      <w:r w:rsidR="0066203E">
        <w:rPr>
          <w:rFonts w:ascii="Arial" w:hAnsi="Arial"/>
          <w:sz w:val="22"/>
          <w:szCs w:val="22"/>
        </w:rPr>
        <w:t>survey</w:t>
      </w:r>
      <w:r w:rsidRPr="000075CE">
        <w:rPr>
          <w:rFonts w:ascii="Arial" w:hAnsi="Arial"/>
          <w:sz w:val="22"/>
          <w:szCs w:val="22"/>
        </w:rPr>
        <w:t xml:space="preserve"> vessel at a </w:t>
      </w:r>
      <w:r w:rsidR="00921F73">
        <w:rPr>
          <w:rFonts w:ascii="Arial" w:hAnsi="Arial"/>
          <w:sz w:val="22"/>
          <w:szCs w:val="22"/>
        </w:rPr>
        <w:t xml:space="preserve">typical </w:t>
      </w:r>
      <w:r w:rsidRPr="000075CE">
        <w:rPr>
          <w:rFonts w:ascii="Arial" w:hAnsi="Arial"/>
          <w:sz w:val="22"/>
          <w:szCs w:val="22"/>
        </w:rPr>
        <w:t xml:space="preserve">depth range of </w:t>
      </w:r>
      <w:r w:rsidR="00047B5D">
        <w:rPr>
          <w:rFonts w:ascii="Arial" w:hAnsi="Arial"/>
          <w:sz w:val="22"/>
          <w:szCs w:val="22"/>
        </w:rPr>
        <w:t>5</w:t>
      </w:r>
      <w:r w:rsidR="00BC04DB">
        <w:rPr>
          <w:rFonts w:ascii="Arial" w:hAnsi="Arial"/>
          <w:sz w:val="22"/>
          <w:szCs w:val="22"/>
        </w:rPr>
        <w:t xml:space="preserve"> m (± 1</w:t>
      </w:r>
      <w:r w:rsidRPr="000075CE">
        <w:rPr>
          <w:rFonts w:ascii="Arial" w:hAnsi="Arial"/>
          <w:sz w:val="22"/>
          <w:szCs w:val="22"/>
        </w:rPr>
        <w:t xml:space="preserve"> m</w:t>
      </w:r>
      <w:r w:rsidR="00BC04DB">
        <w:rPr>
          <w:rFonts w:ascii="Arial" w:hAnsi="Arial"/>
          <w:sz w:val="22"/>
          <w:szCs w:val="22"/>
        </w:rPr>
        <w:t>)</w:t>
      </w:r>
      <w:r w:rsidRPr="000075CE">
        <w:rPr>
          <w:rFonts w:ascii="Arial" w:hAnsi="Arial"/>
          <w:sz w:val="22"/>
          <w:szCs w:val="22"/>
        </w:rPr>
        <w:t xml:space="preserve"> below the sea </w:t>
      </w:r>
      <w:r w:rsidRPr="008B77FE">
        <w:rPr>
          <w:rFonts w:ascii="Arial" w:hAnsi="Arial"/>
          <w:sz w:val="22"/>
          <w:szCs w:val="22"/>
        </w:rPr>
        <w:t>surface. Figure 2.</w:t>
      </w:r>
      <w:r w:rsidR="008B77FE" w:rsidRPr="008B77FE">
        <w:rPr>
          <w:rFonts w:ascii="Arial" w:hAnsi="Arial"/>
          <w:sz w:val="22"/>
          <w:szCs w:val="22"/>
        </w:rPr>
        <w:t>5</w:t>
      </w:r>
      <w:r w:rsidRPr="00AC5312">
        <w:rPr>
          <w:rFonts w:ascii="Arial" w:hAnsi="Arial"/>
          <w:color w:val="0070C0"/>
          <w:sz w:val="22"/>
          <w:szCs w:val="22"/>
        </w:rPr>
        <w:t xml:space="preserve"> </w:t>
      </w:r>
      <w:r w:rsidRPr="000075CE">
        <w:rPr>
          <w:rFonts w:ascii="Arial" w:hAnsi="Arial"/>
          <w:sz w:val="22"/>
          <w:szCs w:val="22"/>
        </w:rPr>
        <w:t xml:space="preserve">shows </w:t>
      </w:r>
      <w:r w:rsidR="009C5906">
        <w:rPr>
          <w:rFonts w:ascii="Arial" w:hAnsi="Arial"/>
          <w:sz w:val="22"/>
          <w:szCs w:val="22"/>
        </w:rPr>
        <w:t>a typical</w:t>
      </w:r>
      <w:r w:rsidRPr="000075CE">
        <w:rPr>
          <w:rFonts w:ascii="Arial" w:hAnsi="Arial"/>
          <w:sz w:val="22"/>
          <w:szCs w:val="22"/>
        </w:rPr>
        <w:t xml:space="preserve"> towing arrangement. </w:t>
      </w:r>
      <w:r w:rsidR="00E85A2B">
        <w:rPr>
          <w:rFonts w:ascii="Arial" w:hAnsi="Arial"/>
          <w:sz w:val="22"/>
          <w:szCs w:val="22"/>
        </w:rPr>
        <w:t xml:space="preserve"> </w:t>
      </w:r>
    </w:p>
    <w:tbl>
      <w:tblPr>
        <w:tblW w:w="0" w:type="auto"/>
        <w:jc w:val="center"/>
        <w:tblLook w:val="04A0" w:firstRow="1" w:lastRow="0" w:firstColumn="1" w:lastColumn="0" w:noHBand="0" w:noVBand="1"/>
      </w:tblPr>
      <w:tblGrid>
        <w:gridCol w:w="8288"/>
      </w:tblGrid>
      <w:tr w:rsidR="00655B55" w14:paraId="3AF6A6A4" w14:textId="77777777" w:rsidTr="00891DE1">
        <w:trPr>
          <w:jc w:val="center"/>
        </w:trPr>
        <w:tc>
          <w:tcPr>
            <w:tcW w:w="8288" w:type="dxa"/>
            <w:shd w:val="clear" w:color="auto" w:fill="auto"/>
          </w:tcPr>
          <w:p w14:paraId="6051BE19" w14:textId="49A75CD7" w:rsidR="001E4C83" w:rsidRDefault="0009147F" w:rsidP="00514376">
            <w:pPr>
              <w:pStyle w:val="bodycopy"/>
              <w:spacing w:before="40" w:after="40"/>
              <w:jc w:val="both"/>
            </w:pPr>
            <w:r>
              <w:rPr>
                <w:noProof/>
              </w:rPr>
              <w:drawing>
                <wp:inline distT="0" distB="0" distL="0" distR="0" wp14:anchorId="296C94F4" wp14:editId="459B12C2">
                  <wp:extent cx="5105400" cy="3657600"/>
                  <wp:effectExtent l="0" t="0" r="0" b="0"/>
                  <wp:docPr id="246" name="Picture 246" descr="Description: Description: D:\Users\melanie.chong\Desktop\STE towing diag 14st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escription: D:\Users\melanie.chong\Desktop\STE towing diag 14strms.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105400" cy="3657600"/>
                          </a:xfrm>
                          <a:prstGeom prst="rect">
                            <a:avLst/>
                          </a:prstGeom>
                          <a:noFill/>
                          <a:ln>
                            <a:noFill/>
                          </a:ln>
                        </pic:spPr>
                      </pic:pic>
                    </a:graphicData>
                  </a:graphic>
                </wp:inline>
              </w:drawing>
            </w:r>
          </w:p>
        </w:tc>
      </w:tr>
    </w:tbl>
    <w:p w14:paraId="2C813F22" w14:textId="692B6634" w:rsidR="009C5906" w:rsidRPr="001E4C83" w:rsidRDefault="0009147F" w:rsidP="009C5906">
      <w:pPr>
        <w:pStyle w:val="bodycopy"/>
        <w:spacing w:after="0"/>
        <w:rPr>
          <w:rFonts w:ascii="Arial" w:hAnsi="Arial"/>
          <w:i/>
          <w:sz w:val="20"/>
        </w:rPr>
      </w:pPr>
      <w:r>
        <w:rPr>
          <w:rFonts w:ascii="Arial" w:hAnsi="Arial"/>
          <w:i/>
          <w:sz w:val="16"/>
          <w:szCs w:val="16"/>
        </w:rPr>
        <w:t xml:space="preserve">  </w:t>
      </w:r>
      <w:r w:rsidR="009C5906" w:rsidRPr="00655B55">
        <w:rPr>
          <w:rFonts w:ascii="Arial" w:hAnsi="Arial"/>
          <w:i/>
          <w:sz w:val="16"/>
          <w:szCs w:val="16"/>
        </w:rPr>
        <w:t>Source: PGS.</w:t>
      </w:r>
    </w:p>
    <w:p w14:paraId="2363A816" w14:textId="57293DEB" w:rsidR="001D137D" w:rsidRDefault="001D137D" w:rsidP="00AC5312">
      <w:pPr>
        <w:pStyle w:val="BodyText"/>
        <w:spacing w:before="120" w:after="240" w:line="240" w:lineRule="auto"/>
        <w:jc w:val="center"/>
        <w:rPr>
          <w:b/>
        </w:rPr>
      </w:pPr>
      <w:r w:rsidRPr="001E4C83">
        <w:rPr>
          <w:b/>
          <w:sz w:val="20"/>
          <w:szCs w:val="20"/>
        </w:rPr>
        <w:t>Figure 2.</w:t>
      </w:r>
      <w:r w:rsidR="008B77FE">
        <w:rPr>
          <w:b/>
          <w:sz w:val="20"/>
          <w:szCs w:val="20"/>
        </w:rPr>
        <w:t>5</w:t>
      </w:r>
      <w:r w:rsidRPr="001E4C83">
        <w:rPr>
          <w:b/>
          <w:sz w:val="20"/>
          <w:szCs w:val="20"/>
        </w:rPr>
        <w:t>.</w:t>
      </w:r>
      <w:r w:rsidRPr="001E4C83">
        <w:rPr>
          <w:b/>
          <w:sz w:val="20"/>
          <w:szCs w:val="20"/>
        </w:rPr>
        <w:tab/>
      </w:r>
      <w:r w:rsidR="009C5906">
        <w:rPr>
          <w:b/>
          <w:sz w:val="20"/>
          <w:szCs w:val="20"/>
        </w:rPr>
        <w:t>Typical towing arrangement</w:t>
      </w:r>
      <w:r>
        <w:rPr>
          <w:b/>
        </w:rPr>
        <w:t xml:space="preserve"> </w:t>
      </w:r>
    </w:p>
    <w:p w14:paraId="7A34EA30" w14:textId="53EF67AF" w:rsidR="00946073" w:rsidRDefault="00946073" w:rsidP="00946073">
      <w:pPr>
        <w:pStyle w:val="bodycopy"/>
        <w:spacing w:after="240"/>
        <w:rPr>
          <w:rFonts w:ascii="Arial" w:hAnsi="Arial"/>
          <w:sz w:val="22"/>
          <w:szCs w:val="22"/>
        </w:rPr>
      </w:pPr>
      <w:r w:rsidRPr="000075CE">
        <w:rPr>
          <w:rFonts w:ascii="Arial" w:hAnsi="Arial"/>
          <w:sz w:val="22"/>
          <w:szCs w:val="22"/>
        </w:rPr>
        <w:t>Air</w:t>
      </w:r>
      <w:r>
        <w:rPr>
          <w:rFonts w:ascii="Arial" w:hAnsi="Arial"/>
          <w:sz w:val="22"/>
          <w:szCs w:val="22"/>
        </w:rPr>
        <w:t xml:space="preserve"> </w:t>
      </w:r>
      <w:r w:rsidRPr="000075CE">
        <w:rPr>
          <w:rFonts w:ascii="Arial" w:hAnsi="Arial"/>
          <w:sz w:val="22"/>
          <w:szCs w:val="22"/>
        </w:rPr>
        <w:t xml:space="preserve">gun arrays are strategically arranged to direct most of the energy vertically downward rather than sideways. The shot point interval will be 12.5 m (flip/flop) with a sample rate of 2 milliseconds. The recording length will be 4 seconds. The total number of source pulses is </w:t>
      </w:r>
      <w:r w:rsidR="0066203E">
        <w:rPr>
          <w:rFonts w:ascii="Arial" w:hAnsi="Arial"/>
          <w:sz w:val="22"/>
          <w:szCs w:val="22"/>
        </w:rPr>
        <w:t>estimated</w:t>
      </w:r>
      <w:r w:rsidRPr="000075CE">
        <w:rPr>
          <w:rFonts w:ascii="Arial" w:hAnsi="Arial"/>
          <w:sz w:val="22"/>
          <w:szCs w:val="22"/>
        </w:rPr>
        <w:t xml:space="preserve"> to be 80 per kilometre</w:t>
      </w:r>
      <w:r w:rsidR="003B2FA7">
        <w:rPr>
          <w:rFonts w:ascii="Arial" w:hAnsi="Arial"/>
          <w:sz w:val="22"/>
          <w:szCs w:val="22"/>
        </w:rPr>
        <w:t xml:space="preserve"> (or 56,960 based on using 8 streamers)</w:t>
      </w:r>
      <w:r w:rsidRPr="000075CE">
        <w:rPr>
          <w:rFonts w:ascii="Arial" w:hAnsi="Arial"/>
          <w:sz w:val="22"/>
          <w:szCs w:val="22"/>
        </w:rPr>
        <w:t>.</w:t>
      </w:r>
    </w:p>
    <w:p w14:paraId="6C6745BF" w14:textId="6142C13B" w:rsidR="00D70905" w:rsidRPr="00946073" w:rsidRDefault="00D70905" w:rsidP="00AC5312">
      <w:pPr>
        <w:pStyle w:val="bodycopy"/>
        <w:spacing w:after="240"/>
        <w:rPr>
          <w:rFonts w:ascii="Arial" w:hAnsi="Arial"/>
          <w:sz w:val="22"/>
          <w:szCs w:val="22"/>
        </w:rPr>
      </w:pPr>
      <w:r>
        <w:rPr>
          <w:rFonts w:ascii="Arial" w:hAnsi="Arial"/>
          <w:sz w:val="22"/>
          <w:szCs w:val="22"/>
        </w:rPr>
        <w:t xml:space="preserve">During line turns, </w:t>
      </w:r>
      <w:r w:rsidR="001E6B1F">
        <w:rPr>
          <w:rFonts w:ascii="Arial" w:hAnsi="Arial"/>
          <w:sz w:val="22"/>
          <w:szCs w:val="22"/>
        </w:rPr>
        <w:t>a</w:t>
      </w:r>
      <w:r>
        <w:rPr>
          <w:rFonts w:ascii="Arial" w:hAnsi="Arial"/>
          <w:sz w:val="22"/>
          <w:szCs w:val="22"/>
        </w:rPr>
        <w:t xml:space="preserve"> soft-start procedure </w:t>
      </w:r>
      <w:r w:rsidR="001E6B1F">
        <w:rPr>
          <w:rFonts w:ascii="Arial" w:hAnsi="Arial"/>
          <w:sz w:val="22"/>
          <w:szCs w:val="22"/>
        </w:rPr>
        <w:t xml:space="preserve">will be </w:t>
      </w:r>
      <w:r>
        <w:rPr>
          <w:rFonts w:ascii="Arial" w:hAnsi="Arial"/>
          <w:sz w:val="22"/>
          <w:szCs w:val="22"/>
        </w:rPr>
        <w:t>implemented for 30 minutes prior to starting acquisition of the next survey line in line with</w:t>
      </w:r>
      <w:r w:rsidR="00AC5312">
        <w:rPr>
          <w:rFonts w:ascii="Arial" w:hAnsi="Arial"/>
          <w:sz w:val="22"/>
          <w:szCs w:val="22"/>
        </w:rPr>
        <w:t xml:space="preserve"> EPBC Act Policy Statement 2.1</w:t>
      </w:r>
      <w:r>
        <w:rPr>
          <w:rFonts w:ascii="Arial" w:hAnsi="Arial"/>
          <w:sz w:val="22"/>
          <w:szCs w:val="22"/>
        </w:rPr>
        <w:t xml:space="preserve">.  </w:t>
      </w:r>
    </w:p>
    <w:p w14:paraId="45681FA2" w14:textId="30EA7B19" w:rsidR="00F97284" w:rsidRDefault="0046097B" w:rsidP="00AC5312">
      <w:pPr>
        <w:pStyle w:val="bodycopy"/>
        <w:spacing w:after="240"/>
        <w:rPr>
          <w:rFonts w:ascii="Arial" w:hAnsi="Arial"/>
          <w:sz w:val="22"/>
          <w:szCs w:val="22"/>
        </w:rPr>
      </w:pPr>
      <w:r>
        <w:rPr>
          <w:rFonts w:ascii="Arial" w:hAnsi="Arial"/>
          <w:sz w:val="22"/>
          <w:szCs w:val="22"/>
        </w:rPr>
        <w:t xml:space="preserve">For the purposes of underwater </w:t>
      </w:r>
      <w:r w:rsidR="00F43563">
        <w:rPr>
          <w:rFonts w:ascii="Arial" w:hAnsi="Arial"/>
          <w:sz w:val="22"/>
          <w:szCs w:val="22"/>
        </w:rPr>
        <w:t>S</w:t>
      </w:r>
      <w:r>
        <w:rPr>
          <w:rFonts w:ascii="Arial" w:hAnsi="Arial"/>
          <w:sz w:val="22"/>
          <w:szCs w:val="22"/>
        </w:rPr>
        <w:t xml:space="preserve">ound </w:t>
      </w:r>
      <w:r w:rsidR="00F43563">
        <w:rPr>
          <w:rFonts w:ascii="Arial" w:hAnsi="Arial"/>
          <w:sz w:val="22"/>
          <w:szCs w:val="22"/>
        </w:rPr>
        <w:t>T</w:t>
      </w:r>
      <w:r>
        <w:rPr>
          <w:rFonts w:ascii="Arial" w:hAnsi="Arial"/>
          <w:sz w:val="22"/>
          <w:szCs w:val="22"/>
        </w:rPr>
        <w:t xml:space="preserve">ransmission </w:t>
      </w:r>
      <w:r w:rsidR="00F43563">
        <w:rPr>
          <w:rFonts w:ascii="Arial" w:hAnsi="Arial"/>
          <w:sz w:val="22"/>
          <w:szCs w:val="22"/>
        </w:rPr>
        <w:t>L</w:t>
      </w:r>
      <w:r>
        <w:rPr>
          <w:rFonts w:ascii="Arial" w:hAnsi="Arial"/>
          <w:sz w:val="22"/>
          <w:szCs w:val="22"/>
        </w:rPr>
        <w:t xml:space="preserve">oss </w:t>
      </w:r>
      <w:r w:rsidR="00F43563">
        <w:rPr>
          <w:rFonts w:ascii="Arial" w:hAnsi="Arial"/>
          <w:sz w:val="22"/>
          <w:szCs w:val="22"/>
        </w:rPr>
        <w:t>M</w:t>
      </w:r>
      <w:r>
        <w:rPr>
          <w:rFonts w:ascii="Arial" w:hAnsi="Arial"/>
          <w:sz w:val="22"/>
          <w:szCs w:val="22"/>
        </w:rPr>
        <w:t>odelling (STLM) undertaken for the pro</w:t>
      </w:r>
      <w:r w:rsidR="005F55B4">
        <w:rPr>
          <w:rFonts w:ascii="Arial" w:hAnsi="Arial"/>
          <w:sz w:val="22"/>
          <w:szCs w:val="22"/>
        </w:rPr>
        <w:t>ject</w:t>
      </w:r>
      <w:r>
        <w:rPr>
          <w:rFonts w:ascii="Arial" w:hAnsi="Arial"/>
          <w:sz w:val="22"/>
          <w:szCs w:val="22"/>
        </w:rPr>
        <w:t xml:space="preserve">, </w:t>
      </w:r>
      <w:r w:rsidR="00F43563">
        <w:rPr>
          <w:rFonts w:ascii="Arial" w:hAnsi="Arial"/>
          <w:sz w:val="22"/>
          <w:szCs w:val="22"/>
        </w:rPr>
        <w:t xml:space="preserve">a </w:t>
      </w:r>
      <w:r>
        <w:rPr>
          <w:rFonts w:ascii="Arial" w:hAnsi="Arial"/>
          <w:sz w:val="22"/>
          <w:szCs w:val="22"/>
        </w:rPr>
        <w:t xml:space="preserve">3,090 cui array has been </w:t>
      </w:r>
      <w:r w:rsidR="00F43563">
        <w:rPr>
          <w:rFonts w:ascii="Arial" w:hAnsi="Arial"/>
          <w:sz w:val="22"/>
          <w:szCs w:val="22"/>
        </w:rPr>
        <w:t xml:space="preserve">used. </w:t>
      </w:r>
    </w:p>
    <w:p w14:paraId="50E2B10E" w14:textId="77777777" w:rsidR="00AC5312" w:rsidRDefault="00AC5312" w:rsidP="00AC5312">
      <w:pPr>
        <w:pStyle w:val="bodycopy"/>
        <w:spacing w:after="240"/>
        <w:rPr>
          <w:rFonts w:ascii="Arial" w:hAnsi="Arial"/>
          <w:sz w:val="22"/>
          <w:szCs w:val="22"/>
        </w:rPr>
      </w:pPr>
    </w:p>
    <w:p w14:paraId="41342AE9" w14:textId="77777777" w:rsidR="00060368" w:rsidRPr="000075CE" w:rsidRDefault="00060368" w:rsidP="00D70905">
      <w:pPr>
        <w:pStyle w:val="Heading3"/>
        <w:ind w:left="1225" w:hanging="505"/>
      </w:pPr>
      <w:bookmarkStart w:id="17" w:name="_Toc474221942"/>
      <w:bookmarkStart w:id="18" w:name="_Toc349230315"/>
      <w:bookmarkStart w:id="19" w:name="_Toc479318057"/>
      <w:bookmarkStart w:id="20" w:name="_Toc479763925"/>
      <w:bookmarkStart w:id="21" w:name="_Toc375214503"/>
      <w:r w:rsidRPr="000075CE">
        <w:lastRenderedPageBreak/>
        <w:t>Sail Lines</w:t>
      </w:r>
      <w:bookmarkEnd w:id="17"/>
      <w:bookmarkEnd w:id="18"/>
      <w:bookmarkEnd w:id="19"/>
      <w:bookmarkEnd w:id="20"/>
      <w:bookmarkEnd w:id="21"/>
    </w:p>
    <w:p w14:paraId="26916912" w14:textId="77777777" w:rsidR="00047B5D" w:rsidRDefault="00047B5D" w:rsidP="001E4C83">
      <w:pPr>
        <w:pStyle w:val="bodycopy"/>
        <w:rPr>
          <w:rFonts w:ascii="Arial" w:hAnsi="Arial"/>
          <w:sz w:val="22"/>
          <w:szCs w:val="22"/>
        </w:rPr>
      </w:pPr>
      <w:r>
        <w:rPr>
          <w:rFonts w:ascii="Arial" w:hAnsi="Arial"/>
          <w:sz w:val="22"/>
          <w:szCs w:val="22"/>
        </w:rPr>
        <w:t>A</w:t>
      </w:r>
      <w:r w:rsidRPr="000075CE">
        <w:rPr>
          <w:rFonts w:ascii="Arial" w:hAnsi="Arial"/>
          <w:sz w:val="22"/>
          <w:szCs w:val="22"/>
        </w:rPr>
        <w:t xml:space="preserve">cquisition </w:t>
      </w:r>
      <w:r>
        <w:rPr>
          <w:rFonts w:ascii="Arial" w:hAnsi="Arial"/>
          <w:sz w:val="22"/>
          <w:szCs w:val="22"/>
        </w:rPr>
        <w:t xml:space="preserve">will be </w:t>
      </w:r>
      <w:r w:rsidRPr="000075CE">
        <w:rPr>
          <w:rFonts w:ascii="Arial" w:hAnsi="Arial"/>
          <w:sz w:val="22"/>
          <w:szCs w:val="22"/>
        </w:rPr>
        <w:t xml:space="preserve">parallel with the coast (running </w:t>
      </w:r>
      <w:r>
        <w:rPr>
          <w:rFonts w:ascii="Arial" w:hAnsi="Arial"/>
          <w:sz w:val="22"/>
          <w:szCs w:val="22"/>
        </w:rPr>
        <w:t xml:space="preserve">along a 45°/225° axis, in an approximate </w:t>
      </w:r>
      <w:r w:rsidRPr="000075CE">
        <w:rPr>
          <w:rFonts w:ascii="Arial" w:hAnsi="Arial"/>
          <w:sz w:val="22"/>
          <w:szCs w:val="22"/>
        </w:rPr>
        <w:t>northeast-southwest</w:t>
      </w:r>
      <w:r>
        <w:rPr>
          <w:rFonts w:ascii="Arial" w:hAnsi="Arial"/>
          <w:sz w:val="22"/>
          <w:szCs w:val="22"/>
        </w:rPr>
        <w:t xml:space="preserve"> direction</w:t>
      </w:r>
      <w:r w:rsidRPr="000075CE">
        <w:rPr>
          <w:rFonts w:ascii="Arial" w:hAnsi="Arial"/>
          <w:sz w:val="22"/>
          <w:szCs w:val="22"/>
        </w:rPr>
        <w:t>).</w:t>
      </w:r>
      <w:r>
        <w:rPr>
          <w:rFonts w:ascii="Arial" w:hAnsi="Arial"/>
          <w:sz w:val="22"/>
          <w:szCs w:val="22"/>
        </w:rPr>
        <w:t xml:space="preserve"> </w:t>
      </w:r>
    </w:p>
    <w:p w14:paraId="638BBD3E" w14:textId="7745E37E" w:rsidR="00047B5D" w:rsidRDefault="00047B5D" w:rsidP="001E4C83">
      <w:pPr>
        <w:pStyle w:val="bodycopy"/>
        <w:rPr>
          <w:rFonts w:ascii="Arial" w:hAnsi="Arial"/>
          <w:sz w:val="22"/>
          <w:szCs w:val="22"/>
        </w:rPr>
      </w:pPr>
      <w:r>
        <w:rPr>
          <w:rFonts w:ascii="Arial" w:hAnsi="Arial"/>
          <w:sz w:val="22"/>
          <w:szCs w:val="22"/>
        </w:rPr>
        <w:t xml:space="preserve">Sixty (60) sail lines </w:t>
      </w:r>
      <w:r w:rsidR="00060368" w:rsidRPr="000075CE">
        <w:rPr>
          <w:rFonts w:ascii="Arial" w:hAnsi="Arial"/>
          <w:sz w:val="22"/>
          <w:szCs w:val="22"/>
        </w:rPr>
        <w:t xml:space="preserve">are proposed </w:t>
      </w:r>
      <w:r w:rsidR="00B27C2C">
        <w:rPr>
          <w:rFonts w:ascii="Arial" w:hAnsi="Arial"/>
          <w:sz w:val="22"/>
          <w:szCs w:val="22"/>
        </w:rPr>
        <w:t>(based on 8 streamers)</w:t>
      </w:r>
      <w:r w:rsidR="00060368" w:rsidRPr="000075CE">
        <w:rPr>
          <w:rFonts w:ascii="Arial" w:hAnsi="Arial"/>
          <w:sz w:val="22"/>
          <w:szCs w:val="22"/>
        </w:rPr>
        <w:t xml:space="preserve">, </w:t>
      </w:r>
      <w:r w:rsidR="00B27C2C">
        <w:rPr>
          <w:rFonts w:ascii="Arial" w:hAnsi="Arial"/>
          <w:sz w:val="22"/>
          <w:szCs w:val="22"/>
        </w:rPr>
        <w:t xml:space="preserve">but this may </w:t>
      </w:r>
      <w:r w:rsidR="00060368" w:rsidRPr="000075CE">
        <w:rPr>
          <w:rFonts w:ascii="Arial" w:hAnsi="Arial"/>
          <w:sz w:val="22"/>
          <w:szCs w:val="22"/>
        </w:rPr>
        <w:t xml:space="preserve">vary between </w:t>
      </w:r>
      <w:r w:rsidR="00075463" w:rsidRPr="00075463">
        <w:rPr>
          <w:rFonts w:ascii="Arial" w:hAnsi="Arial"/>
          <w:sz w:val="22"/>
          <w:szCs w:val="22"/>
        </w:rPr>
        <w:t>48</w:t>
      </w:r>
      <w:r w:rsidR="00060368" w:rsidRPr="00075463">
        <w:rPr>
          <w:rFonts w:ascii="Arial" w:hAnsi="Arial"/>
          <w:sz w:val="22"/>
          <w:szCs w:val="22"/>
        </w:rPr>
        <w:t xml:space="preserve"> </w:t>
      </w:r>
      <w:r w:rsidR="00B27C2C">
        <w:rPr>
          <w:rFonts w:ascii="Arial" w:hAnsi="Arial"/>
          <w:sz w:val="22"/>
          <w:szCs w:val="22"/>
        </w:rPr>
        <w:t xml:space="preserve">sail lines (using 10 streamers) </w:t>
      </w:r>
      <w:r w:rsidR="00060368" w:rsidRPr="00075463">
        <w:rPr>
          <w:rFonts w:ascii="Arial" w:hAnsi="Arial"/>
          <w:sz w:val="22"/>
          <w:szCs w:val="22"/>
        </w:rPr>
        <w:t>and 120</w:t>
      </w:r>
      <w:r w:rsidR="00060368" w:rsidRPr="000075CE">
        <w:rPr>
          <w:rFonts w:ascii="Arial" w:hAnsi="Arial"/>
          <w:sz w:val="22"/>
          <w:szCs w:val="22"/>
        </w:rPr>
        <w:t xml:space="preserve"> sail lines</w:t>
      </w:r>
      <w:r w:rsidR="00B27C2C">
        <w:rPr>
          <w:rFonts w:ascii="Arial" w:hAnsi="Arial"/>
          <w:sz w:val="22"/>
          <w:szCs w:val="22"/>
        </w:rPr>
        <w:t xml:space="preserve"> (using 4 streamers</w:t>
      </w:r>
      <w:r w:rsidR="00060368" w:rsidRPr="000075CE">
        <w:rPr>
          <w:rFonts w:ascii="Arial" w:hAnsi="Arial"/>
          <w:sz w:val="22"/>
          <w:szCs w:val="22"/>
        </w:rPr>
        <w:t>).</w:t>
      </w:r>
      <w:r w:rsidR="00942837">
        <w:rPr>
          <w:rFonts w:ascii="Arial" w:hAnsi="Arial"/>
          <w:sz w:val="22"/>
          <w:szCs w:val="22"/>
        </w:rPr>
        <w:t xml:space="preserve"> The average length of each sail line is 11.9 km.</w:t>
      </w:r>
      <w:r w:rsidR="00060368" w:rsidRPr="000075CE">
        <w:rPr>
          <w:rFonts w:ascii="Arial" w:hAnsi="Arial"/>
          <w:sz w:val="22"/>
          <w:szCs w:val="22"/>
        </w:rPr>
        <w:t xml:space="preserve"> </w:t>
      </w:r>
    </w:p>
    <w:p w14:paraId="095EFB19" w14:textId="653BB6D2" w:rsidR="001D137D" w:rsidRPr="000075CE" w:rsidRDefault="0076376B" w:rsidP="001E4C83">
      <w:pPr>
        <w:pStyle w:val="bodycopy"/>
        <w:rPr>
          <w:rFonts w:ascii="Arial" w:hAnsi="Arial"/>
          <w:sz w:val="22"/>
          <w:szCs w:val="22"/>
        </w:rPr>
      </w:pPr>
      <w:r w:rsidRPr="000075CE">
        <w:rPr>
          <w:rFonts w:ascii="Arial" w:hAnsi="Arial"/>
          <w:sz w:val="22"/>
          <w:szCs w:val="22"/>
        </w:rPr>
        <w:t xml:space="preserve">The sail </w:t>
      </w:r>
      <w:r w:rsidR="001D137D" w:rsidRPr="000075CE">
        <w:rPr>
          <w:rFonts w:ascii="Arial" w:hAnsi="Arial"/>
          <w:sz w:val="22"/>
          <w:szCs w:val="22"/>
        </w:rPr>
        <w:t xml:space="preserve">lines will be spaced at approximately </w:t>
      </w:r>
      <w:r w:rsidR="00BC04DB">
        <w:rPr>
          <w:rFonts w:ascii="Arial" w:hAnsi="Arial"/>
          <w:sz w:val="22"/>
          <w:szCs w:val="22"/>
        </w:rPr>
        <w:t>200</w:t>
      </w:r>
      <w:r w:rsidR="00060368" w:rsidRPr="000075CE">
        <w:rPr>
          <w:rFonts w:ascii="Arial" w:hAnsi="Arial"/>
          <w:sz w:val="22"/>
          <w:szCs w:val="22"/>
        </w:rPr>
        <w:t xml:space="preserve"> </w:t>
      </w:r>
      <w:r w:rsidR="001D137D" w:rsidRPr="000075CE">
        <w:rPr>
          <w:rFonts w:ascii="Arial" w:hAnsi="Arial"/>
          <w:sz w:val="22"/>
          <w:szCs w:val="22"/>
        </w:rPr>
        <w:t xml:space="preserve">m intervals </w:t>
      </w:r>
      <w:r w:rsidR="00B27C2C">
        <w:rPr>
          <w:rFonts w:ascii="Arial" w:hAnsi="Arial"/>
          <w:sz w:val="22"/>
          <w:szCs w:val="22"/>
        </w:rPr>
        <w:t>(based on 8 streamers)</w:t>
      </w:r>
      <w:r w:rsidR="00047B5D">
        <w:rPr>
          <w:rFonts w:ascii="Arial" w:hAnsi="Arial"/>
          <w:sz w:val="22"/>
          <w:szCs w:val="22"/>
        </w:rPr>
        <w:t xml:space="preserve">, but </w:t>
      </w:r>
      <w:r w:rsidR="00B27C2C">
        <w:rPr>
          <w:rFonts w:ascii="Arial" w:hAnsi="Arial"/>
          <w:sz w:val="22"/>
          <w:szCs w:val="22"/>
        </w:rPr>
        <w:t>may vary between 100 m (using 4 streamers) and 250 m (using 10 streamers).</w:t>
      </w:r>
    </w:p>
    <w:p w14:paraId="1BD3A861" w14:textId="02853123" w:rsidR="00157A06" w:rsidRDefault="00157A06" w:rsidP="001E4C83">
      <w:pPr>
        <w:pStyle w:val="bodycopy"/>
        <w:rPr>
          <w:rFonts w:ascii="Arial" w:hAnsi="Arial"/>
          <w:sz w:val="22"/>
          <w:szCs w:val="22"/>
        </w:rPr>
      </w:pPr>
      <w:r w:rsidRPr="000075CE">
        <w:rPr>
          <w:rFonts w:ascii="Arial" w:hAnsi="Arial"/>
          <w:sz w:val="22"/>
          <w:szCs w:val="22"/>
        </w:rPr>
        <w:t>The tot</w:t>
      </w:r>
      <w:r w:rsidR="00BC04DB">
        <w:rPr>
          <w:rFonts w:ascii="Arial" w:hAnsi="Arial"/>
          <w:sz w:val="22"/>
          <w:szCs w:val="22"/>
        </w:rPr>
        <w:t>al sail line distance wil</w:t>
      </w:r>
      <w:r w:rsidR="008838A9">
        <w:rPr>
          <w:rFonts w:ascii="Arial" w:hAnsi="Arial"/>
          <w:sz w:val="22"/>
          <w:szCs w:val="22"/>
        </w:rPr>
        <w:t xml:space="preserve">l be </w:t>
      </w:r>
      <w:r w:rsidR="00B27C2C">
        <w:rPr>
          <w:rFonts w:ascii="Arial" w:hAnsi="Arial"/>
          <w:sz w:val="22"/>
          <w:szCs w:val="22"/>
        </w:rPr>
        <w:t>712</w:t>
      </w:r>
      <w:r w:rsidR="008838A9">
        <w:rPr>
          <w:rFonts w:ascii="Arial" w:hAnsi="Arial"/>
          <w:sz w:val="22"/>
          <w:szCs w:val="22"/>
        </w:rPr>
        <w:t xml:space="preserve"> km</w:t>
      </w:r>
      <w:r w:rsidR="00B27C2C">
        <w:rPr>
          <w:rFonts w:ascii="Arial" w:hAnsi="Arial"/>
          <w:sz w:val="22"/>
          <w:szCs w:val="22"/>
        </w:rPr>
        <w:t xml:space="preserve"> (based on 8 streamers), but may vary between 569 km (using 10 streamers) and 1,423 km (using 4 streamers)</w:t>
      </w:r>
      <w:r w:rsidR="008838A9">
        <w:rPr>
          <w:rFonts w:ascii="Arial" w:hAnsi="Arial"/>
          <w:sz w:val="22"/>
          <w:szCs w:val="22"/>
        </w:rPr>
        <w:t>.</w:t>
      </w:r>
      <w:r w:rsidR="00B27C2C">
        <w:rPr>
          <w:rFonts w:ascii="Arial" w:hAnsi="Arial"/>
          <w:sz w:val="22"/>
          <w:szCs w:val="22"/>
        </w:rPr>
        <w:t xml:space="preserve"> </w:t>
      </w:r>
    </w:p>
    <w:p w14:paraId="21EF50DB" w14:textId="77777777" w:rsidR="001D137D" w:rsidRDefault="0076376B" w:rsidP="001D137D">
      <w:pPr>
        <w:pStyle w:val="Heading3"/>
      </w:pPr>
      <w:bookmarkStart w:id="22" w:name="_Toc470097792"/>
      <w:bookmarkStart w:id="23" w:name="_Toc474221943"/>
      <w:bookmarkStart w:id="24" w:name="_Toc349230316"/>
      <w:bookmarkStart w:id="25" w:name="_Toc479318058"/>
      <w:bookmarkStart w:id="26" w:name="_Toc479763926"/>
      <w:bookmarkStart w:id="27" w:name="_Toc375214504"/>
      <w:r>
        <w:t>Streamers</w:t>
      </w:r>
      <w:bookmarkEnd w:id="22"/>
      <w:bookmarkEnd w:id="23"/>
      <w:bookmarkEnd w:id="24"/>
      <w:bookmarkEnd w:id="25"/>
      <w:bookmarkEnd w:id="26"/>
      <w:bookmarkEnd w:id="27"/>
    </w:p>
    <w:p w14:paraId="74FD9D33" w14:textId="07704B52" w:rsidR="00DE4E1A" w:rsidRPr="000075CE" w:rsidRDefault="00BC04DB" w:rsidP="001E4C83">
      <w:pPr>
        <w:pStyle w:val="bodycopy"/>
        <w:rPr>
          <w:rFonts w:ascii="Arial" w:hAnsi="Arial"/>
          <w:sz w:val="22"/>
          <w:szCs w:val="22"/>
        </w:rPr>
      </w:pPr>
      <w:r>
        <w:rPr>
          <w:rFonts w:ascii="Arial" w:hAnsi="Arial"/>
          <w:sz w:val="22"/>
          <w:szCs w:val="22"/>
        </w:rPr>
        <w:t xml:space="preserve">Eight </w:t>
      </w:r>
      <w:r w:rsidR="00B410EE" w:rsidRPr="000075CE">
        <w:rPr>
          <w:rFonts w:ascii="Arial" w:hAnsi="Arial"/>
          <w:sz w:val="22"/>
          <w:szCs w:val="22"/>
        </w:rPr>
        <w:t xml:space="preserve">streamers </w:t>
      </w:r>
      <w:r>
        <w:rPr>
          <w:rFonts w:ascii="Arial" w:hAnsi="Arial"/>
          <w:sz w:val="22"/>
          <w:szCs w:val="22"/>
        </w:rPr>
        <w:t xml:space="preserve">(nominally) </w:t>
      </w:r>
      <w:r w:rsidR="00B410EE" w:rsidRPr="000075CE">
        <w:rPr>
          <w:rFonts w:ascii="Arial" w:hAnsi="Arial"/>
          <w:sz w:val="22"/>
          <w:szCs w:val="22"/>
        </w:rPr>
        <w:t xml:space="preserve">are expected to be used for the survey (with a range of four </w:t>
      </w:r>
      <w:r w:rsidR="00B27C2C">
        <w:rPr>
          <w:rFonts w:ascii="Arial" w:hAnsi="Arial"/>
          <w:sz w:val="22"/>
          <w:szCs w:val="22"/>
        </w:rPr>
        <w:t xml:space="preserve">to </w:t>
      </w:r>
      <w:r>
        <w:rPr>
          <w:rFonts w:ascii="Arial" w:hAnsi="Arial"/>
          <w:sz w:val="22"/>
          <w:szCs w:val="22"/>
        </w:rPr>
        <w:t xml:space="preserve">10 </w:t>
      </w:r>
      <w:r w:rsidR="00B410EE" w:rsidRPr="000075CE">
        <w:rPr>
          <w:rFonts w:ascii="Arial" w:hAnsi="Arial"/>
          <w:sz w:val="22"/>
          <w:szCs w:val="22"/>
        </w:rPr>
        <w:t xml:space="preserve">being considered). </w:t>
      </w:r>
      <w:r w:rsidR="0076376B" w:rsidRPr="000075CE">
        <w:rPr>
          <w:rFonts w:ascii="Arial" w:hAnsi="Arial"/>
          <w:sz w:val="22"/>
          <w:szCs w:val="22"/>
        </w:rPr>
        <w:t>The streamers will be approximately</w:t>
      </w:r>
      <w:r w:rsidR="007873B5">
        <w:rPr>
          <w:rFonts w:ascii="Arial" w:hAnsi="Arial"/>
          <w:sz w:val="22"/>
          <w:szCs w:val="22"/>
        </w:rPr>
        <w:t xml:space="preserve"> </w:t>
      </w:r>
      <w:r w:rsidR="0076376B" w:rsidRPr="000075CE">
        <w:rPr>
          <w:rFonts w:ascii="Arial" w:hAnsi="Arial"/>
          <w:sz w:val="22"/>
          <w:szCs w:val="22"/>
        </w:rPr>
        <w:t xml:space="preserve">4,000 m </w:t>
      </w:r>
      <w:r w:rsidR="00DE4E1A" w:rsidRPr="000075CE">
        <w:rPr>
          <w:rFonts w:ascii="Arial" w:hAnsi="Arial"/>
          <w:sz w:val="22"/>
          <w:szCs w:val="22"/>
        </w:rPr>
        <w:t xml:space="preserve">in length </w:t>
      </w:r>
      <w:r w:rsidR="0076376B" w:rsidRPr="000075CE">
        <w:rPr>
          <w:rFonts w:ascii="Arial" w:hAnsi="Arial"/>
          <w:sz w:val="22"/>
          <w:szCs w:val="22"/>
        </w:rPr>
        <w:t>with separations of 50 m between each</w:t>
      </w:r>
      <w:r w:rsidR="00047B5D">
        <w:rPr>
          <w:rFonts w:ascii="Arial" w:hAnsi="Arial"/>
          <w:sz w:val="22"/>
          <w:szCs w:val="22"/>
        </w:rPr>
        <w:t xml:space="preserve"> streamer</w:t>
      </w:r>
      <w:r w:rsidR="0031405E">
        <w:rPr>
          <w:rFonts w:ascii="Arial" w:hAnsi="Arial"/>
          <w:sz w:val="22"/>
          <w:szCs w:val="22"/>
        </w:rPr>
        <w:t>.</w:t>
      </w:r>
    </w:p>
    <w:p w14:paraId="10659F85" w14:textId="3243678D" w:rsidR="00A73F7B" w:rsidRDefault="00A73F7B" w:rsidP="001E4C83">
      <w:pPr>
        <w:pStyle w:val="bodycopy"/>
        <w:rPr>
          <w:rFonts w:ascii="Arial" w:hAnsi="Arial"/>
          <w:sz w:val="22"/>
          <w:szCs w:val="22"/>
        </w:rPr>
      </w:pPr>
      <w:r>
        <w:rPr>
          <w:rFonts w:ascii="Arial" w:hAnsi="Arial"/>
          <w:sz w:val="22"/>
          <w:szCs w:val="22"/>
        </w:rPr>
        <w:t>Each s</w:t>
      </w:r>
      <w:r w:rsidRPr="00A73F7B">
        <w:rPr>
          <w:rFonts w:ascii="Arial" w:hAnsi="Arial"/>
          <w:sz w:val="22"/>
          <w:szCs w:val="22"/>
        </w:rPr>
        <w:t>treamer</w:t>
      </w:r>
      <w:r>
        <w:rPr>
          <w:rFonts w:ascii="Arial" w:hAnsi="Arial"/>
          <w:sz w:val="22"/>
          <w:szCs w:val="22"/>
        </w:rPr>
        <w:t xml:space="preserve"> will be </w:t>
      </w:r>
      <w:r w:rsidRPr="00A73F7B">
        <w:rPr>
          <w:rFonts w:ascii="Arial" w:hAnsi="Arial"/>
          <w:sz w:val="22"/>
          <w:szCs w:val="22"/>
        </w:rPr>
        <w:t xml:space="preserve">fitted with streamer retrieval devices (SRD) that inflate when the SRD reaches a maximum depth. The tail of each streamer has a </w:t>
      </w:r>
      <w:r w:rsidR="00B13734">
        <w:rPr>
          <w:rFonts w:ascii="Arial" w:hAnsi="Arial"/>
          <w:sz w:val="22"/>
          <w:szCs w:val="22"/>
        </w:rPr>
        <w:t>Relative Global Positioning System (</w:t>
      </w:r>
      <w:r w:rsidRPr="00A73F7B">
        <w:rPr>
          <w:rFonts w:ascii="Arial" w:hAnsi="Arial"/>
          <w:sz w:val="22"/>
          <w:szCs w:val="22"/>
        </w:rPr>
        <w:t>RGPS</w:t>
      </w:r>
      <w:r w:rsidR="00B13734">
        <w:rPr>
          <w:rFonts w:ascii="Arial" w:hAnsi="Arial"/>
          <w:sz w:val="22"/>
          <w:szCs w:val="22"/>
        </w:rPr>
        <w:t>)</w:t>
      </w:r>
      <w:r w:rsidRPr="00A73F7B">
        <w:rPr>
          <w:rFonts w:ascii="Arial" w:hAnsi="Arial"/>
          <w:sz w:val="22"/>
          <w:szCs w:val="22"/>
        </w:rPr>
        <w:t xml:space="preserve"> tailbouy. If a streamer is lost</w:t>
      </w:r>
      <w:r>
        <w:rPr>
          <w:rFonts w:ascii="Arial" w:hAnsi="Arial"/>
          <w:sz w:val="22"/>
          <w:szCs w:val="22"/>
        </w:rPr>
        <w:t>,</w:t>
      </w:r>
      <w:r w:rsidRPr="00A73F7B">
        <w:rPr>
          <w:rFonts w:ascii="Arial" w:hAnsi="Arial"/>
          <w:sz w:val="22"/>
          <w:szCs w:val="22"/>
        </w:rPr>
        <w:t xml:space="preserve"> then the RGPS position of the tailbuouy combined with the visual presence of the SRDs would be used to locate and retrieve it. The sources are all suspended from floats and each float will be fitted with an RGPS unit</w:t>
      </w:r>
      <w:r w:rsidR="00B13734">
        <w:rPr>
          <w:rFonts w:ascii="Arial" w:hAnsi="Arial"/>
          <w:sz w:val="22"/>
          <w:szCs w:val="22"/>
        </w:rPr>
        <w:t>.</w:t>
      </w:r>
    </w:p>
    <w:p w14:paraId="625A8120" w14:textId="55CAC35B" w:rsidR="009C5906" w:rsidRDefault="0076376B" w:rsidP="001E4C83">
      <w:pPr>
        <w:pStyle w:val="bodycopy"/>
        <w:rPr>
          <w:rFonts w:ascii="Arial" w:hAnsi="Arial"/>
          <w:sz w:val="22"/>
          <w:szCs w:val="22"/>
        </w:rPr>
      </w:pPr>
      <w:r w:rsidRPr="000075CE">
        <w:rPr>
          <w:rFonts w:ascii="Arial" w:hAnsi="Arial"/>
          <w:sz w:val="22"/>
          <w:szCs w:val="22"/>
        </w:rPr>
        <w:t xml:space="preserve">The streamers will be towed </w:t>
      </w:r>
      <w:r w:rsidR="00BC04DB">
        <w:rPr>
          <w:rFonts w:ascii="Arial" w:hAnsi="Arial"/>
          <w:sz w:val="22"/>
          <w:szCs w:val="22"/>
        </w:rPr>
        <w:t xml:space="preserve">at a depth of </w:t>
      </w:r>
      <w:r w:rsidR="004327A6">
        <w:rPr>
          <w:rFonts w:ascii="Arial" w:hAnsi="Arial"/>
          <w:sz w:val="22"/>
          <w:szCs w:val="22"/>
        </w:rPr>
        <w:t>5</w:t>
      </w:r>
      <w:r w:rsidR="00BC04DB">
        <w:rPr>
          <w:rFonts w:ascii="Arial" w:hAnsi="Arial"/>
          <w:sz w:val="22"/>
          <w:szCs w:val="22"/>
        </w:rPr>
        <w:t xml:space="preserve"> m (± 1</w:t>
      </w:r>
      <w:r w:rsidR="00BC04DB" w:rsidRPr="000075CE">
        <w:rPr>
          <w:rFonts w:ascii="Arial" w:hAnsi="Arial"/>
          <w:sz w:val="22"/>
          <w:szCs w:val="22"/>
        </w:rPr>
        <w:t xml:space="preserve"> m</w:t>
      </w:r>
      <w:r w:rsidR="00BC04DB">
        <w:rPr>
          <w:rFonts w:ascii="Arial" w:hAnsi="Arial"/>
          <w:sz w:val="22"/>
          <w:szCs w:val="22"/>
        </w:rPr>
        <w:t>)</w:t>
      </w:r>
      <w:r w:rsidR="00BC04DB" w:rsidRPr="000075CE">
        <w:rPr>
          <w:rFonts w:ascii="Arial" w:hAnsi="Arial"/>
          <w:sz w:val="22"/>
          <w:szCs w:val="22"/>
        </w:rPr>
        <w:t xml:space="preserve"> </w:t>
      </w:r>
      <w:r w:rsidRPr="000075CE">
        <w:rPr>
          <w:rFonts w:ascii="Arial" w:hAnsi="Arial"/>
          <w:sz w:val="22"/>
          <w:szCs w:val="22"/>
        </w:rPr>
        <w:t>beneath the sea surface</w:t>
      </w:r>
      <w:r w:rsidR="00DE4E1A" w:rsidRPr="000075CE">
        <w:rPr>
          <w:rFonts w:ascii="Arial" w:hAnsi="Arial"/>
          <w:sz w:val="22"/>
          <w:szCs w:val="22"/>
        </w:rPr>
        <w:t xml:space="preserve"> (though </w:t>
      </w:r>
      <w:r w:rsidR="009C5906">
        <w:rPr>
          <w:rFonts w:ascii="Arial" w:hAnsi="Arial"/>
          <w:sz w:val="22"/>
          <w:szCs w:val="22"/>
        </w:rPr>
        <w:t xml:space="preserve">depth will vary depending on </w:t>
      </w:r>
      <w:r w:rsidR="003F6AA4">
        <w:rPr>
          <w:rFonts w:ascii="Arial" w:hAnsi="Arial"/>
          <w:sz w:val="22"/>
          <w:szCs w:val="22"/>
        </w:rPr>
        <w:t xml:space="preserve">water depth and </w:t>
      </w:r>
      <w:r w:rsidR="009C5906">
        <w:rPr>
          <w:rFonts w:ascii="Arial" w:hAnsi="Arial"/>
          <w:sz w:val="22"/>
          <w:szCs w:val="22"/>
        </w:rPr>
        <w:t xml:space="preserve">sea state; generally the worse the </w:t>
      </w:r>
      <w:r w:rsidR="003F6AA4">
        <w:rPr>
          <w:rFonts w:ascii="Arial" w:hAnsi="Arial"/>
          <w:sz w:val="22"/>
          <w:szCs w:val="22"/>
        </w:rPr>
        <w:t>sea state, the deeper the strea</w:t>
      </w:r>
      <w:r w:rsidR="009C5906">
        <w:rPr>
          <w:rFonts w:ascii="Arial" w:hAnsi="Arial"/>
          <w:sz w:val="22"/>
          <w:szCs w:val="22"/>
        </w:rPr>
        <w:t>mers</w:t>
      </w:r>
      <w:r w:rsidR="00DE4E1A" w:rsidRPr="000075CE">
        <w:rPr>
          <w:rFonts w:ascii="Arial" w:hAnsi="Arial"/>
          <w:sz w:val="22"/>
          <w:szCs w:val="22"/>
        </w:rPr>
        <w:t xml:space="preserve">). </w:t>
      </w:r>
      <w:r w:rsidR="009C5906">
        <w:rPr>
          <w:rFonts w:ascii="Arial" w:hAnsi="Arial"/>
          <w:sz w:val="22"/>
          <w:szCs w:val="22"/>
        </w:rPr>
        <w:t xml:space="preserve">Excellent bathymetry data is available from LiDAR surveys of the seabed flown in 2007-09 by the </w:t>
      </w:r>
      <w:r w:rsidR="00DA5248">
        <w:rPr>
          <w:rFonts w:ascii="Arial" w:hAnsi="Arial"/>
          <w:sz w:val="22"/>
          <w:szCs w:val="22"/>
        </w:rPr>
        <w:t xml:space="preserve">then </w:t>
      </w:r>
      <w:r w:rsidR="009C5906">
        <w:rPr>
          <w:rFonts w:ascii="Arial" w:hAnsi="Arial"/>
          <w:sz w:val="22"/>
          <w:szCs w:val="22"/>
        </w:rPr>
        <w:t>Victorian Department of Sustainability and the Environment (DSE) and in 2004 by Fugro LADS.</w:t>
      </w:r>
    </w:p>
    <w:p w14:paraId="3AA84C19" w14:textId="76CCCAFC" w:rsidR="0076376B" w:rsidRPr="000075CE" w:rsidRDefault="0076376B" w:rsidP="0031405E">
      <w:pPr>
        <w:pStyle w:val="bodycopy"/>
        <w:rPr>
          <w:rFonts w:ascii="Arial" w:hAnsi="Arial"/>
          <w:sz w:val="22"/>
          <w:szCs w:val="22"/>
        </w:rPr>
      </w:pPr>
      <w:r w:rsidRPr="000075CE">
        <w:rPr>
          <w:rFonts w:ascii="Arial" w:hAnsi="Arial"/>
          <w:sz w:val="22"/>
          <w:szCs w:val="22"/>
        </w:rPr>
        <w:t xml:space="preserve">Spot checks of bathymetry will </w:t>
      </w:r>
      <w:r w:rsidR="009C5906">
        <w:rPr>
          <w:rFonts w:ascii="Arial" w:hAnsi="Arial"/>
          <w:sz w:val="22"/>
          <w:szCs w:val="22"/>
        </w:rPr>
        <w:t xml:space="preserve">also </w:t>
      </w:r>
      <w:r w:rsidRPr="000075CE">
        <w:rPr>
          <w:rFonts w:ascii="Arial" w:hAnsi="Arial"/>
          <w:sz w:val="22"/>
          <w:szCs w:val="22"/>
        </w:rPr>
        <w:t xml:space="preserve">be performed using a standard onboard echo-sounder to validate the accuracy of the </w:t>
      </w:r>
      <w:r w:rsidR="009C5906">
        <w:rPr>
          <w:rFonts w:ascii="Arial" w:hAnsi="Arial"/>
          <w:sz w:val="22"/>
          <w:szCs w:val="22"/>
        </w:rPr>
        <w:t xml:space="preserve">LiDAR maps and of the official </w:t>
      </w:r>
      <w:r w:rsidRPr="000075CE">
        <w:rPr>
          <w:rFonts w:ascii="Arial" w:hAnsi="Arial"/>
          <w:sz w:val="22"/>
          <w:szCs w:val="22"/>
        </w:rPr>
        <w:t xml:space="preserve">admiralty charts and ensure that streamer depths are appropriately set to avoid seabed features. </w:t>
      </w:r>
      <w:r w:rsidR="00A75707">
        <w:rPr>
          <w:rFonts w:ascii="Arial" w:hAnsi="Arial"/>
          <w:sz w:val="22"/>
          <w:szCs w:val="22"/>
        </w:rPr>
        <w:t>The majority of the proposed acquisition area is sandy seabed, with occasional outcrops of discontinuous reef (</w:t>
      </w:r>
      <w:r w:rsidR="0031405E">
        <w:rPr>
          <w:rFonts w:ascii="Arial" w:hAnsi="Arial"/>
          <w:sz w:val="22"/>
          <w:szCs w:val="22"/>
        </w:rPr>
        <w:t xml:space="preserve">between 1.0 m and </w:t>
      </w:r>
      <w:r w:rsidR="00A75707">
        <w:rPr>
          <w:rFonts w:ascii="Arial" w:hAnsi="Arial"/>
          <w:sz w:val="22"/>
          <w:szCs w:val="22"/>
        </w:rPr>
        <w:t xml:space="preserve">1.5 m </w:t>
      </w:r>
      <w:r w:rsidR="0031405E">
        <w:rPr>
          <w:rFonts w:ascii="Arial" w:hAnsi="Arial"/>
          <w:sz w:val="22"/>
          <w:szCs w:val="22"/>
        </w:rPr>
        <w:t>in height</w:t>
      </w:r>
      <w:r w:rsidR="00A75707">
        <w:rPr>
          <w:rFonts w:ascii="Arial" w:hAnsi="Arial"/>
          <w:sz w:val="22"/>
          <w:szCs w:val="22"/>
        </w:rPr>
        <w:t xml:space="preserve">). At the shallowest point of the proposed acquisition area (15 m), this means there will be a vertical separation of </w:t>
      </w:r>
      <w:r w:rsidR="0031405E">
        <w:rPr>
          <w:rFonts w:ascii="Arial" w:hAnsi="Arial"/>
          <w:sz w:val="22"/>
          <w:szCs w:val="22"/>
        </w:rPr>
        <w:t>between 7</w:t>
      </w:r>
      <w:r w:rsidR="00A75707">
        <w:rPr>
          <w:rFonts w:ascii="Arial" w:hAnsi="Arial"/>
          <w:sz w:val="22"/>
          <w:szCs w:val="22"/>
        </w:rPr>
        <w:t xml:space="preserve">.5 m </w:t>
      </w:r>
      <w:r w:rsidR="0031405E">
        <w:rPr>
          <w:rFonts w:ascii="Arial" w:hAnsi="Arial"/>
          <w:sz w:val="22"/>
          <w:szCs w:val="22"/>
        </w:rPr>
        <w:t xml:space="preserve">and 10 m </w:t>
      </w:r>
      <w:r w:rsidR="00A75707">
        <w:rPr>
          <w:rFonts w:ascii="Arial" w:hAnsi="Arial"/>
          <w:sz w:val="22"/>
          <w:szCs w:val="22"/>
        </w:rPr>
        <w:t xml:space="preserve">between the streamers </w:t>
      </w:r>
      <w:r w:rsidR="00016FFA">
        <w:rPr>
          <w:rFonts w:ascii="Arial" w:hAnsi="Arial"/>
          <w:sz w:val="22"/>
          <w:szCs w:val="22"/>
        </w:rPr>
        <w:t>and the highest reef outcrops</w:t>
      </w:r>
      <w:r w:rsidR="0031405E">
        <w:rPr>
          <w:rFonts w:ascii="Arial" w:hAnsi="Arial"/>
          <w:sz w:val="22"/>
          <w:szCs w:val="22"/>
        </w:rPr>
        <w:t>, depending on streamer depth</w:t>
      </w:r>
      <w:r w:rsidR="00016FFA">
        <w:rPr>
          <w:rFonts w:ascii="Arial" w:hAnsi="Arial"/>
          <w:sz w:val="22"/>
          <w:szCs w:val="22"/>
        </w:rPr>
        <w:t xml:space="preserve">. </w:t>
      </w:r>
    </w:p>
    <w:p w14:paraId="657C32BF" w14:textId="77777777" w:rsidR="0076376B" w:rsidRPr="000075CE" w:rsidRDefault="0076376B" w:rsidP="001E4C83">
      <w:pPr>
        <w:pStyle w:val="bodycopy"/>
        <w:rPr>
          <w:rFonts w:ascii="Arial" w:hAnsi="Arial"/>
          <w:sz w:val="22"/>
          <w:szCs w:val="22"/>
        </w:rPr>
      </w:pPr>
      <w:r w:rsidRPr="000075CE">
        <w:rPr>
          <w:rFonts w:ascii="Arial" w:hAnsi="Arial"/>
          <w:sz w:val="22"/>
          <w:szCs w:val="22"/>
        </w:rPr>
        <w:t>The streamers may be actively steered to improve survey acquisition efficiency and minimise survey time if that technology is available on the contracted vessel.</w:t>
      </w:r>
    </w:p>
    <w:p w14:paraId="68B3B728" w14:textId="77777777" w:rsidR="0076376B" w:rsidRPr="000075CE" w:rsidRDefault="000C0B3A" w:rsidP="001E4C83">
      <w:pPr>
        <w:pStyle w:val="bodycopy"/>
        <w:spacing w:after="240"/>
        <w:rPr>
          <w:rFonts w:ascii="Arial" w:hAnsi="Arial"/>
          <w:sz w:val="22"/>
          <w:szCs w:val="22"/>
        </w:rPr>
      </w:pPr>
      <w:r w:rsidRPr="000075CE">
        <w:rPr>
          <w:rFonts w:ascii="Arial" w:hAnsi="Arial"/>
          <w:sz w:val="22"/>
          <w:szCs w:val="22"/>
        </w:rPr>
        <w:t>The streamer medium will be either a solid foam construction or gel-filled (this will only be known once a contractor is selected). The streamers will display appropriate navigational safety measures such as lights and reflective tail buoys.</w:t>
      </w:r>
    </w:p>
    <w:p w14:paraId="3908AF34" w14:textId="77777777" w:rsidR="000C0B3A" w:rsidRDefault="000C0B3A" w:rsidP="009662B3">
      <w:pPr>
        <w:pStyle w:val="Heading3"/>
      </w:pPr>
      <w:bookmarkStart w:id="28" w:name="_Toc470097793"/>
      <w:bookmarkStart w:id="29" w:name="_Toc474221944"/>
      <w:bookmarkStart w:id="30" w:name="_Toc349230317"/>
      <w:bookmarkStart w:id="31" w:name="_Toc479318059"/>
      <w:bookmarkStart w:id="32" w:name="_Toc479763927"/>
      <w:bookmarkStart w:id="33" w:name="_Toc375214505"/>
      <w:r>
        <w:t>Data Collection and Analysis</w:t>
      </w:r>
      <w:bookmarkEnd w:id="28"/>
      <w:bookmarkEnd w:id="29"/>
      <w:bookmarkEnd w:id="30"/>
      <w:bookmarkEnd w:id="31"/>
      <w:bookmarkEnd w:id="32"/>
      <w:bookmarkEnd w:id="33"/>
    </w:p>
    <w:p w14:paraId="1D362ED1" w14:textId="77777777" w:rsidR="000C0B3A" w:rsidRPr="000075CE" w:rsidRDefault="000C0B3A" w:rsidP="001E4C83">
      <w:pPr>
        <w:pStyle w:val="bodycopy"/>
        <w:rPr>
          <w:rFonts w:ascii="Arial" w:hAnsi="Arial"/>
          <w:sz w:val="22"/>
          <w:szCs w:val="22"/>
        </w:rPr>
      </w:pPr>
      <w:r w:rsidRPr="000075CE">
        <w:rPr>
          <w:rFonts w:ascii="Arial" w:hAnsi="Arial"/>
          <w:sz w:val="22"/>
          <w:szCs w:val="22"/>
        </w:rPr>
        <w:t xml:space="preserve">The </w:t>
      </w:r>
      <w:r w:rsidR="00122CE0" w:rsidRPr="000075CE">
        <w:rPr>
          <w:rFonts w:ascii="Arial" w:hAnsi="Arial"/>
          <w:sz w:val="22"/>
          <w:szCs w:val="22"/>
        </w:rPr>
        <w:t xml:space="preserve">seismic </w:t>
      </w:r>
      <w:r w:rsidRPr="000075CE">
        <w:rPr>
          <w:rFonts w:ascii="Arial" w:hAnsi="Arial"/>
          <w:sz w:val="22"/>
          <w:szCs w:val="22"/>
        </w:rPr>
        <w:t xml:space="preserve">data is measured by hydrophones in the streamers and transmitted by fibre optics to the recording room on the seismic survey vessel. The data is checked by the processing department for quality control and merged with navigation data to correctly position the data in time and space. The processing methods conducted onboard check that the data has been acquired to a satisfactory quality. </w:t>
      </w:r>
    </w:p>
    <w:p w14:paraId="42AEC1FF" w14:textId="5A3C9F92" w:rsidR="000C0B3A" w:rsidRPr="000075CE" w:rsidRDefault="000C0B3A" w:rsidP="001E4C83">
      <w:pPr>
        <w:pStyle w:val="bodycopy"/>
        <w:rPr>
          <w:rFonts w:ascii="Arial" w:hAnsi="Arial"/>
          <w:sz w:val="22"/>
          <w:szCs w:val="22"/>
        </w:rPr>
      </w:pPr>
      <w:r w:rsidRPr="000075CE">
        <w:rPr>
          <w:rFonts w:ascii="Arial" w:hAnsi="Arial"/>
          <w:sz w:val="22"/>
          <w:szCs w:val="22"/>
        </w:rPr>
        <w:t xml:space="preserve">After the data is successfully acquired it will be further processed to obtain a 3D image of the sub-surface geology. The 3D image of the subsurface is then </w:t>
      </w:r>
      <w:r w:rsidRPr="000075CE">
        <w:rPr>
          <w:rFonts w:ascii="Arial" w:hAnsi="Arial"/>
          <w:sz w:val="22"/>
          <w:szCs w:val="22"/>
        </w:rPr>
        <w:lastRenderedPageBreak/>
        <w:t xml:space="preserve">interpreted by </w:t>
      </w:r>
      <w:r w:rsidR="006D2957" w:rsidRPr="000075CE">
        <w:rPr>
          <w:rFonts w:ascii="Arial" w:hAnsi="Arial"/>
          <w:sz w:val="22"/>
          <w:szCs w:val="22"/>
        </w:rPr>
        <w:t>CarbonNet’s</w:t>
      </w:r>
      <w:r w:rsidRPr="000075CE">
        <w:rPr>
          <w:rFonts w:ascii="Arial" w:hAnsi="Arial"/>
          <w:sz w:val="22"/>
          <w:szCs w:val="22"/>
        </w:rPr>
        <w:t xml:space="preserve"> geoscien</w:t>
      </w:r>
      <w:r w:rsidR="00E05A2C">
        <w:rPr>
          <w:rFonts w:ascii="Arial" w:hAnsi="Arial"/>
          <w:sz w:val="22"/>
          <w:szCs w:val="22"/>
        </w:rPr>
        <w:t xml:space="preserve">ce team </w:t>
      </w:r>
      <w:r w:rsidRPr="000075CE">
        <w:rPr>
          <w:rFonts w:ascii="Arial" w:hAnsi="Arial"/>
          <w:sz w:val="22"/>
          <w:szCs w:val="22"/>
        </w:rPr>
        <w:t>to assess prospectivity</w:t>
      </w:r>
      <w:r w:rsidR="00282E86">
        <w:rPr>
          <w:rFonts w:ascii="Arial" w:hAnsi="Arial"/>
          <w:sz w:val="22"/>
          <w:szCs w:val="22"/>
        </w:rPr>
        <w:t xml:space="preserve"> for CO</w:t>
      </w:r>
      <w:r w:rsidR="00282E86" w:rsidRPr="00282E86">
        <w:rPr>
          <w:rFonts w:ascii="Arial" w:hAnsi="Arial"/>
          <w:sz w:val="22"/>
          <w:szCs w:val="22"/>
          <w:vertAlign w:val="subscript"/>
        </w:rPr>
        <w:t>2</w:t>
      </w:r>
      <w:r w:rsidR="00282E86">
        <w:rPr>
          <w:rFonts w:ascii="Arial" w:hAnsi="Arial"/>
          <w:sz w:val="22"/>
          <w:szCs w:val="22"/>
        </w:rPr>
        <w:t xml:space="preserve"> injection</w:t>
      </w:r>
      <w:r w:rsidRPr="000075CE">
        <w:rPr>
          <w:rFonts w:ascii="Arial" w:hAnsi="Arial"/>
          <w:sz w:val="22"/>
          <w:szCs w:val="22"/>
        </w:rPr>
        <w:t xml:space="preserve">. </w:t>
      </w:r>
    </w:p>
    <w:p w14:paraId="455524B6" w14:textId="77777777" w:rsidR="00D15ACF" w:rsidRDefault="00D15ACF" w:rsidP="00FE07A1">
      <w:pPr>
        <w:pStyle w:val="Heading3"/>
      </w:pPr>
      <w:bookmarkStart w:id="34" w:name="_Toc470097794"/>
      <w:bookmarkStart w:id="35" w:name="_Toc474221945"/>
      <w:bookmarkStart w:id="36" w:name="_Toc349230318"/>
      <w:bookmarkStart w:id="37" w:name="_Toc479318060"/>
      <w:bookmarkStart w:id="38" w:name="_Toc479763928"/>
      <w:bookmarkStart w:id="39" w:name="_Toc375214506"/>
      <w:r>
        <w:t>Survey Contractor</w:t>
      </w:r>
      <w:bookmarkEnd w:id="34"/>
      <w:bookmarkEnd w:id="35"/>
      <w:bookmarkEnd w:id="36"/>
      <w:bookmarkEnd w:id="37"/>
      <w:bookmarkEnd w:id="38"/>
      <w:bookmarkEnd w:id="39"/>
    </w:p>
    <w:p w14:paraId="603740E2" w14:textId="6F93D292" w:rsidR="00EB2AC4" w:rsidRPr="000075CE" w:rsidRDefault="0039672C" w:rsidP="0039672C">
      <w:pPr>
        <w:pStyle w:val="bodycopy"/>
        <w:rPr>
          <w:rFonts w:ascii="Arial" w:hAnsi="Arial"/>
          <w:sz w:val="22"/>
          <w:szCs w:val="22"/>
        </w:rPr>
      </w:pPr>
      <w:r>
        <w:rPr>
          <w:rFonts w:ascii="Arial" w:hAnsi="Arial"/>
          <w:sz w:val="22"/>
          <w:szCs w:val="22"/>
        </w:rPr>
        <w:t xml:space="preserve">Polarcus </w:t>
      </w:r>
      <w:r w:rsidR="00EB2AC4">
        <w:rPr>
          <w:rFonts w:ascii="Arial" w:hAnsi="Arial"/>
          <w:sz w:val="22"/>
          <w:szCs w:val="22"/>
        </w:rPr>
        <w:t xml:space="preserve">Seismic Ltd (Polarcus) </w:t>
      </w:r>
      <w:r>
        <w:rPr>
          <w:rFonts w:ascii="Arial" w:hAnsi="Arial"/>
          <w:sz w:val="22"/>
          <w:szCs w:val="22"/>
        </w:rPr>
        <w:t>has recently been</w:t>
      </w:r>
      <w:r w:rsidR="003B141B" w:rsidRPr="000075CE">
        <w:rPr>
          <w:rFonts w:ascii="Arial" w:hAnsi="Arial"/>
          <w:sz w:val="22"/>
          <w:szCs w:val="22"/>
        </w:rPr>
        <w:t xml:space="preserve"> appointed</w:t>
      </w:r>
      <w:r>
        <w:rPr>
          <w:rFonts w:ascii="Arial" w:hAnsi="Arial"/>
          <w:sz w:val="22"/>
          <w:szCs w:val="22"/>
        </w:rPr>
        <w:t xml:space="preserve"> as the survey contractor</w:t>
      </w:r>
      <w:r w:rsidR="003B141B" w:rsidRPr="000075CE">
        <w:rPr>
          <w:rFonts w:ascii="Arial" w:hAnsi="Arial"/>
          <w:sz w:val="22"/>
          <w:szCs w:val="22"/>
        </w:rPr>
        <w:t xml:space="preserve">. </w:t>
      </w:r>
      <w:r w:rsidR="00EB2AC4" w:rsidRPr="00EB2AC4">
        <w:rPr>
          <w:rFonts w:ascii="Arial" w:hAnsi="Arial"/>
          <w:sz w:val="22"/>
          <w:szCs w:val="22"/>
        </w:rPr>
        <w:t xml:space="preserve">Polarcus </w:t>
      </w:r>
      <w:r w:rsidR="00EB2AC4">
        <w:rPr>
          <w:rFonts w:ascii="Arial" w:hAnsi="Arial"/>
          <w:sz w:val="22"/>
          <w:szCs w:val="22"/>
        </w:rPr>
        <w:t>operates</w:t>
      </w:r>
      <w:r w:rsidR="00EB2AC4" w:rsidRPr="00EB2AC4">
        <w:rPr>
          <w:rFonts w:ascii="Arial" w:hAnsi="Arial"/>
          <w:sz w:val="22"/>
          <w:szCs w:val="22"/>
        </w:rPr>
        <w:t xml:space="preserve"> </w:t>
      </w:r>
      <w:r w:rsidR="00EB2AC4">
        <w:rPr>
          <w:rFonts w:ascii="Arial" w:hAnsi="Arial"/>
          <w:sz w:val="22"/>
          <w:szCs w:val="22"/>
        </w:rPr>
        <w:t>a</w:t>
      </w:r>
      <w:r w:rsidR="00EB2AC4" w:rsidRPr="00EB2AC4">
        <w:rPr>
          <w:rFonts w:ascii="Arial" w:hAnsi="Arial"/>
          <w:sz w:val="22"/>
          <w:szCs w:val="22"/>
        </w:rPr>
        <w:t xml:space="preserve"> modern fleet of high performance 3D seismic vessels</w:t>
      </w:r>
      <w:r w:rsidR="00EB2AC4">
        <w:rPr>
          <w:rFonts w:ascii="Arial" w:hAnsi="Arial"/>
          <w:sz w:val="22"/>
          <w:szCs w:val="22"/>
        </w:rPr>
        <w:t xml:space="preserve"> globally</w:t>
      </w:r>
      <w:r w:rsidR="00FC7AD7">
        <w:rPr>
          <w:rFonts w:ascii="Arial" w:hAnsi="Arial"/>
          <w:sz w:val="22"/>
          <w:szCs w:val="22"/>
        </w:rPr>
        <w:t>, and has conducted numerous surveys in Australian waters in recent years</w:t>
      </w:r>
      <w:r w:rsidR="00EB2AC4" w:rsidRPr="00EB2AC4">
        <w:rPr>
          <w:rFonts w:ascii="Arial" w:hAnsi="Arial"/>
          <w:sz w:val="22"/>
          <w:szCs w:val="22"/>
        </w:rPr>
        <w:t>.</w:t>
      </w:r>
    </w:p>
    <w:p w14:paraId="121FEE75" w14:textId="11022A8F" w:rsidR="00D15ACF" w:rsidRDefault="000075CE" w:rsidP="00FE07A1">
      <w:pPr>
        <w:pStyle w:val="Heading3"/>
      </w:pPr>
      <w:bookmarkStart w:id="40" w:name="_Toc470097795"/>
      <w:bookmarkStart w:id="41" w:name="_Toc474221946"/>
      <w:bookmarkStart w:id="42" w:name="_Ref475020435"/>
      <w:bookmarkStart w:id="43" w:name="_Toc349230319"/>
      <w:bookmarkStart w:id="44" w:name="_Toc479318061"/>
      <w:bookmarkStart w:id="45" w:name="_Toc479763929"/>
      <w:bookmarkStart w:id="46" w:name="_Toc375214507"/>
      <w:r>
        <w:t>S</w:t>
      </w:r>
      <w:r w:rsidR="00282E86">
        <w:t xml:space="preserve">urvey </w:t>
      </w:r>
      <w:r w:rsidR="00D15ACF">
        <w:t>Vessel</w:t>
      </w:r>
      <w:bookmarkEnd w:id="40"/>
      <w:bookmarkEnd w:id="41"/>
      <w:bookmarkEnd w:id="42"/>
      <w:bookmarkEnd w:id="43"/>
      <w:bookmarkEnd w:id="44"/>
      <w:bookmarkEnd w:id="45"/>
      <w:bookmarkEnd w:id="46"/>
    </w:p>
    <w:p w14:paraId="6E0BC742" w14:textId="4483ED27" w:rsidR="003B141B" w:rsidRDefault="003B141B" w:rsidP="00E8031B">
      <w:pPr>
        <w:pStyle w:val="bodycopy"/>
        <w:spacing w:after="240"/>
        <w:rPr>
          <w:rFonts w:ascii="Arial" w:hAnsi="Arial"/>
          <w:sz w:val="22"/>
          <w:szCs w:val="22"/>
        </w:rPr>
      </w:pPr>
      <w:r w:rsidRPr="000075CE">
        <w:rPr>
          <w:rFonts w:ascii="Arial" w:hAnsi="Arial"/>
          <w:sz w:val="22"/>
          <w:szCs w:val="22"/>
        </w:rPr>
        <w:t xml:space="preserve">The survey will be conducted using a purpose-built </w:t>
      </w:r>
      <w:r w:rsidR="003C0DCA">
        <w:rPr>
          <w:rFonts w:ascii="Arial" w:hAnsi="Arial"/>
          <w:sz w:val="22"/>
          <w:szCs w:val="22"/>
        </w:rPr>
        <w:t>seismic survey</w:t>
      </w:r>
      <w:r w:rsidRPr="000075CE">
        <w:rPr>
          <w:rFonts w:ascii="Arial" w:hAnsi="Arial"/>
          <w:sz w:val="22"/>
          <w:szCs w:val="22"/>
        </w:rPr>
        <w:t xml:space="preserve"> vessel with support duties provided by at least at least two dedicated vessels (see Section </w:t>
      </w:r>
      <w:r w:rsidR="00735C7C">
        <w:rPr>
          <w:rFonts w:ascii="Arial" w:hAnsi="Arial"/>
          <w:sz w:val="22"/>
          <w:szCs w:val="22"/>
        </w:rPr>
        <w:t>2.5.7</w:t>
      </w:r>
      <w:r w:rsidRPr="000075CE">
        <w:rPr>
          <w:rFonts w:ascii="Arial" w:hAnsi="Arial"/>
          <w:sz w:val="22"/>
          <w:szCs w:val="22"/>
        </w:rPr>
        <w:t xml:space="preserve">). The survey vessel </w:t>
      </w:r>
      <w:r w:rsidR="00906B75">
        <w:rPr>
          <w:rFonts w:ascii="Arial" w:hAnsi="Arial"/>
          <w:sz w:val="22"/>
          <w:szCs w:val="22"/>
        </w:rPr>
        <w:t xml:space="preserve">nominated is the </w:t>
      </w:r>
      <w:r w:rsidR="00906B75" w:rsidRPr="00906B75">
        <w:rPr>
          <w:rFonts w:ascii="Arial" w:hAnsi="Arial"/>
          <w:i/>
          <w:iCs/>
          <w:sz w:val="22"/>
          <w:szCs w:val="22"/>
        </w:rPr>
        <w:t>Polarcus Naila</w:t>
      </w:r>
      <w:r w:rsidR="00906B75">
        <w:rPr>
          <w:rFonts w:ascii="Arial" w:hAnsi="Arial"/>
          <w:sz w:val="22"/>
          <w:szCs w:val="22"/>
        </w:rPr>
        <w:t xml:space="preserve"> (though this is subject to change)</w:t>
      </w:r>
      <w:r w:rsidR="00E8031B">
        <w:rPr>
          <w:rFonts w:ascii="Arial" w:hAnsi="Arial"/>
          <w:sz w:val="22"/>
          <w:szCs w:val="22"/>
        </w:rPr>
        <w:t xml:space="preserve"> (Plate 2.1)</w:t>
      </w:r>
      <w:r w:rsidR="00906B75">
        <w:rPr>
          <w:rFonts w:ascii="Arial" w:hAnsi="Arial"/>
          <w:sz w:val="22"/>
          <w:szCs w:val="22"/>
        </w:rPr>
        <w:t>. This vessel is</w:t>
      </w:r>
      <w:r w:rsidRPr="000075CE">
        <w:rPr>
          <w:rFonts w:ascii="Arial" w:hAnsi="Arial"/>
          <w:sz w:val="22"/>
          <w:szCs w:val="22"/>
        </w:rPr>
        <w:t xml:space="preserve"> </w:t>
      </w:r>
      <w:r w:rsidR="00E8031B">
        <w:rPr>
          <w:rFonts w:ascii="Arial" w:hAnsi="Arial"/>
          <w:sz w:val="22"/>
          <w:szCs w:val="22"/>
        </w:rPr>
        <w:t>91</w:t>
      </w:r>
      <w:r w:rsidRPr="000075CE">
        <w:rPr>
          <w:rFonts w:ascii="Arial" w:hAnsi="Arial"/>
          <w:sz w:val="22"/>
          <w:szCs w:val="22"/>
        </w:rPr>
        <w:t xml:space="preserve"> m in length and </w:t>
      </w:r>
      <w:r w:rsidR="00E8031B">
        <w:rPr>
          <w:rFonts w:ascii="Arial" w:hAnsi="Arial"/>
          <w:sz w:val="22"/>
          <w:szCs w:val="22"/>
        </w:rPr>
        <w:t>19</w:t>
      </w:r>
      <w:r w:rsidRPr="000075CE">
        <w:rPr>
          <w:rFonts w:ascii="Arial" w:hAnsi="Arial"/>
          <w:sz w:val="22"/>
          <w:szCs w:val="22"/>
        </w:rPr>
        <w:t xml:space="preserve"> m w</w:t>
      </w:r>
      <w:r w:rsidR="00E8031B">
        <w:rPr>
          <w:rFonts w:ascii="Arial" w:hAnsi="Arial"/>
          <w:sz w:val="22"/>
          <w:szCs w:val="22"/>
        </w:rPr>
        <w:t>ide and carry up to a total of 6</w:t>
      </w:r>
      <w:r w:rsidRPr="000075CE">
        <w:rPr>
          <w:rFonts w:ascii="Arial" w:hAnsi="Arial"/>
          <w:sz w:val="22"/>
          <w:szCs w:val="22"/>
        </w:rPr>
        <w:t xml:space="preserve">0 persons.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0"/>
      </w:tblGrid>
      <w:tr w:rsidR="000075CE" w14:paraId="7674E86E" w14:textId="77777777" w:rsidTr="00E05A2C">
        <w:trPr>
          <w:jc w:val="center"/>
        </w:trPr>
        <w:tc>
          <w:tcPr>
            <w:tcW w:w="7597" w:type="dxa"/>
          </w:tcPr>
          <w:p w14:paraId="5CC46C20" w14:textId="34A176C1" w:rsidR="000075CE" w:rsidRDefault="00E8031B" w:rsidP="00E05A2C">
            <w:pPr>
              <w:pStyle w:val="bodycopy"/>
              <w:spacing w:after="0"/>
              <w:jc w:val="center"/>
              <w:rPr>
                <w:rFonts w:ascii="Arial" w:hAnsi="Arial"/>
                <w:sz w:val="22"/>
                <w:szCs w:val="22"/>
              </w:rPr>
            </w:pPr>
            <w:r>
              <w:rPr>
                <w:rFonts w:ascii="Arial" w:hAnsi="Arial"/>
                <w:noProof/>
                <w:sz w:val="22"/>
                <w:szCs w:val="22"/>
              </w:rPr>
              <w:drawing>
                <wp:inline distT="0" distB="0" distL="0" distR="0" wp14:anchorId="5B9B234A" wp14:editId="319D3D00">
                  <wp:extent cx="5266690" cy="2858770"/>
                  <wp:effectExtent l="0" t="0" r="0" b="11430"/>
                  <wp:docPr id="490" name="Picture 490" descr="Screen%20Shot%202017-12-07%20at%2010.16.1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Screen%20Shot%202017-12-07%20at%2010.16.14%20pm.pn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266690" cy="2858770"/>
                          </a:xfrm>
                          <a:prstGeom prst="rect">
                            <a:avLst/>
                          </a:prstGeom>
                          <a:noFill/>
                          <a:ln>
                            <a:noFill/>
                          </a:ln>
                        </pic:spPr>
                      </pic:pic>
                    </a:graphicData>
                  </a:graphic>
                </wp:inline>
              </w:drawing>
            </w:r>
          </w:p>
        </w:tc>
      </w:tr>
    </w:tbl>
    <w:p w14:paraId="3E0386D4" w14:textId="4CF73D60" w:rsidR="00655B55" w:rsidRPr="00655B55" w:rsidRDefault="00E05A2C" w:rsidP="000075CE">
      <w:pPr>
        <w:pStyle w:val="CaptionTables"/>
        <w:ind w:left="142" w:hanging="142"/>
        <w:rPr>
          <w:b w:val="0"/>
          <w:i/>
          <w:sz w:val="16"/>
          <w:szCs w:val="16"/>
        </w:rPr>
      </w:pPr>
      <w:bookmarkStart w:id="47" w:name="_Ref421617130"/>
      <w:bookmarkStart w:id="48" w:name="_Toc427335760"/>
      <w:r>
        <w:rPr>
          <w:b w:val="0"/>
          <w:i/>
          <w:sz w:val="16"/>
          <w:szCs w:val="16"/>
        </w:rPr>
        <w:t xml:space="preserve"> </w:t>
      </w:r>
      <w:r w:rsidR="00E8031B">
        <w:rPr>
          <w:b w:val="0"/>
          <w:i/>
          <w:sz w:val="16"/>
          <w:szCs w:val="16"/>
        </w:rPr>
        <w:t>Source: Polarcus</w:t>
      </w:r>
      <w:r w:rsidR="00655B55" w:rsidRPr="00655B55">
        <w:rPr>
          <w:b w:val="0"/>
          <w:i/>
          <w:sz w:val="16"/>
          <w:szCs w:val="16"/>
        </w:rPr>
        <w:t>.</w:t>
      </w:r>
    </w:p>
    <w:p w14:paraId="28585A32" w14:textId="0E9DE2B8" w:rsidR="003B141B" w:rsidRPr="006D2957" w:rsidRDefault="006D2957" w:rsidP="000075CE">
      <w:pPr>
        <w:pStyle w:val="CaptionTables"/>
        <w:spacing w:after="240"/>
        <w:jc w:val="center"/>
        <w:rPr>
          <w:sz w:val="20"/>
        </w:rPr>
      </w:pPr>
      <w:r>
        <w:rPr>
          <w:sz w:val="20"/>
        </w:rPr>
        <w:t>Plate</w:t>
      </w:r>
      <w:r w:rsidR="003B141B" w:rsidRPr="006D2957">
        <w:rPr>
          <w:sz w:val="20"/>
        </w:rPr>
        <w:t xml:space="preserve"> 2.1.</w:t>
      </w:r>
      <w:bookmarkEnd w:id="47"/>
      <w:r w:rsidR="005D6757" w:rsidRPr="006D2957">
        <w:rPr>
          <w:sz w:val="20"/>
        </w:rPr>
        <w:tab/>
      </w:r>
      <w:r w:rsidR="003B141B" w:rsidRPr="006D2957">
        <w:rPr>
          <w:sz w:val="20"/>
        </w:rPr>
        <w:t xml:space="preserve">The </w:t>
      </w:r>
      <w:r w:rsidR="003B141B" w:rsidRPr="006D2957">
        <w:rPr>
          <w:i/>
          <w:sz w:val="20"/>
        </w:rPr>
        <w:t xml:space="preserve">MV Polarcus </w:t>
      </w:r>
      <w:r w:rsidR="00FC7AD7">
        <w:rPr>
          <w:i/>
          <w:sz w:val="20"/>
        </w:rPr>
        <w:t>Naila</w:t>
      </w:r>
      <w:r w:rsidR="003B141B" w:rsidRPr="006D2957">
        <w:rPr>
          <w:sz w:val="20"/>
        </w:rPr>
        <w:t xml:space="preserve"> seismic survey vessel</w:t>
      </w:r>
      <w:bookmarkEnd w:id="48"/>
    </w:p>
    <w:p w14:paraId="20B41511" w14:textId="7EDD2A94" w:rsidR="00D15ACF" w:rsidRPr="000075CE" w:rsidRDefault="003B141B" w:rsidP="00E8031B">
      <w:pPr>
        <w:pStyle w:val="bodycopy"/>
        <w:jc w:val="both"/>
        <w:rPr>
          <w:rFonts w:ascii="Arial" w:hAnsi="Arial"/>
          <w:sz w:val="22"/>
          <w:szCs w:val="22"/>
        </w:rPr>
      </w:pPr>
      <w:r w:rsidRPr="000075CE">
        <w:rPr>
          <w:rFonts w:ascii="Arial" w:hAnsi="Arial"/>
          <w:sz w:val="22"/>
          <w:szCs w:val="22"/>
        </w:rPr>
        <w:t xml:space="preserve">Given the </w:t>
      </w:r>
      <w:r w:rsidR="005D6757" w:rsidRPr="000075CE">
        <w:rPr>
          <w:rFonts w:ascii="Arial" w:hAnsi="Arial"/>
          <w:sz w:val="22"/>
          <w:szCs w:val="22"/>
        </w:rPr>
        <w:t xml:space="preserve">short </w:t>
      </w:r>
      <w:r w:rsidRPr="000075CE">
        <w:rPr>
          <w:rFonts w:ascii="Arial" w:hAnsi="Arial"/>
          <w:sz w:val="22"/>
          <w:szCs w:val="22"/>
        </w:rPr>
        <w:t xml:space="preserve">duration of the </w:t>
      </w:r>
      <w:r w:rsidR="00DB49CC" w:rsidRPr="000075CE">
        <w:rPr>
          <w:rFonts w:ascii="Arial" w:hAnsi="Arial"/>
          <w:sz w:val="22"/>
          <w:szCs w:val="22"/>
        </w:rPr>
        <w:t xml:space="preserve">proposed </w:t>
      </w:r>
      <w:r w:rsidRPr="000075CE">
        <w:rPr>
          <w:rFonts w:ascii="Arial" w:hAnsi="Arial"/>
          <w:sz w:val="22"/>
          <w:szCs w:val="22"/>
        </w:rPr>
        <w:t>survey</w:t>
      </w:r>
      <w:r w:rsidR="005D6757" w:rsidRPr="000075CE">
        <w:rPr>
          <w:rFonts w:ascii="Arial" w:hAnsi="Arial"/>
          <w:sz w:val="22"/>
          <w:szCs w:val="22"/>
        </w:rPr>
        <w:t>,</w:t>
      </w:r>
      <w:r w:rsidRPr="000075CE">
        <w:rPr>
          <w:rFonts w:ascii="Arial" w:hAnsi="Arial"/>
          <w:sz w:val="22"/>
          <w:szCs w:val="22"/>
        </w:rPr>
        <w:t xml:space="preserve"> </w:t>
      </w:r>
      <w:r w:rsidR="005D6757" w:rsidRPr="000075CE">
        <w:rPr>
          <w:rFonts w:ascii="Arial" w:hAnsi="Arial"/>
          <w:sz w:val="22"/>
          <w:szCs w:val="22"/>
        </w:rPr>
        <w:t xml:space="preserve">the </w:t>
      </w:r>
      <w:r w:rsidR="00282E86">
        <w:rPr>
          <w:rFonts w:ascii="Arial" w:hAnsi="Arial"/>
          <w:sz w:val="22"/>
          <w:szCs w:val="22"/>
        </w:rPr>
        <w:t>survey</w:t>
      </w:r>
      <w:r w:rsidR="005D6757" w:rsidRPr="000075CE">
        <w:rPr>
          <w:rFonts w:ascii="Arial" w:hAnsi="Arial"/>
          <w:sz w:val="22"/>
          <w:szCs w:val="22"/>
        </w:rPr>
        <w:t xml:space="preserve"> vessel</w:t>
      </w:r>
      <w:r w:rsidRPr="000075CE">
        <w:rPr>
          <w:rFonts w:ascii="Arial" w:hAnsi="Arial"/>
          <w:sz w:val="22"/>
          <w:szCs w:val="22"/>
        </w:rPr>
        <w:t xml:space="preserve"> </w:t>
      </w:r>
      <w:r w:rsidR="005D6757" w:rsidRPr="000075CE">
        <w:rPr>
          <w:rFonts w:ascii="Arial" w:hAnsi="Arial"/>
          <w:sz w:val="22"/>
          <w:szCs w:val="22"/>
        </w:rPr>
        <w:t xml:space="preserve">will not </w:t>
      </w:r>
      <w:r w:rsidRPr="000075CE">
        <w:rPr>
          <w:rFonts w:ascii="Arial" w:hAnsi="Arial"/>
          <w:sz w:val="22"/>
          <w:szCs w:val="22"/>
        </w:rPr>
        <w:t xml:space="preserve">require refuelling </w:t>
      </w:r>
      <w:r w:rsidR="005D6757" w:rsidRPr="000075CE">
        <w:rPr>
          <w:rFonts w:ascii="Arial" w:hAnsi="Arial"/>
          <w:sz w:val="22"/>
          <w:szCs w:val="22"/>
        </w:rPr>
        <w:t xml:space="preserve">on location </w:t>
      </w:r>
      <w:r w:rsidRPr="000075CE">
        <w:rPr>
          <w:rFonts w:ascii="Arial" w:hAnsi="Arial"/>
          <w:sz w:val="22"/>
          <w:szCs w:val="22"/>
        </w:rPr>
        <w:t xml:space="preserve">in order to complete the survey. </w:t>
      </w:r>
      <w:r w:rsidR="005D6757" w:rsidRPr="000075CE">
        <w:rPr>
          <w:rFonts w:ascii="Arial" w:hAnsi="Arial"/>
          <w:sz w:val="22"/>
          <w:szCs w:val="22"/>
        </w:rPr>
        <w:t xml:space="preserve">The survey </w:t>
      </w:r>
      <w:r w:rsidRPr="000075CE">
        <w:rPr>
          <w:rFonts w:ascii="Arial" w:hAnsi="Arial"/>
          <w:sz w:val="22"/>
          <w:szCs w:val="22"/>
        </w:rPr>
        <w:t>vessel will bunker with marine diesel</w:t>
      </w:r>
      <w:r w:rsidR="005D6757" w:rsidRPr="000075CE">
        <w:rPr>
          <w:rFonts w:ascii="Arial" w:hAnsi="Arial"/>
          <w:sz w:val="22"/>
          <w:szCs w:val="22"/>
        </w:rPr>
        <w:t xml:space="preserve"> only while in port</w:t>
      </w:r>
      <w:r w:rsidR="005079E1" w:rsidRPr="000075CE">
        <w:rPr>
          <w:rFonts w:ascii="Arial" w:hAnsi="Arial"/>
          <w:sz w:val="22"/>
          <w:szCs w:val="22"/>
        </w:rPr>
        <w:t xml:space="preserve"> (</w:t>
      </w:r>
      <w:r w:rsidR="00E8031B">
        <w:rPr>
          <w:rFonts w:ascii="Arial" w:hAnsi="Arial"/>
          <w:sz w:val="22"/>
          <w:szCs w:val="22"/>
        </w:rPr>
        <w:t xml:space="preserve">likely to be an east coast port, such as </w:t>
      </w:r>
      <w:r w:rsidR="002A2464" w:rsidRPr="002A2464">
        <w:rPr>
          <w:rFonts w:ascii="Arial" w:hAnsi="Arial"/>
          <w:sz w:val="22"/>
          <w:szCs w:val="22"/>
        </w:rPr>
        <w:t>Eden).</w:t>
      </w:r>
      <w:r w:rsidRPr="000075CE">
        <w:rPr>
          <w:rFonts w:ascii="Arial" w:hAnsi="Arial"/>
          <w:sz w:val="22"/>
          <w:szCs w:val="22"/>
        </w:rPr>
        <w:t xml:space="preserve"> </w:t>
      </w:r>
      <w:r w:rsidR="00D15ACF" w:rsidRPr="000075CE">
        <w:rPr>
          <w:rFonts w:ascii="Arial" w:hAnsi="Arial"/>
          <w:sz w:val="22"/>
          <w:szCs w:val="22"/>
        </w:rPr>
        <w:t xml:space="preserve"> </w:t>
      </w:r>
    </w:p>
    <w:p w14:paraId="3798E454" w14:textId="77777777" w:rsidR="005079E1" w:rsidRPr="000075CE" w:rsidRDefault="005079E1" w:rsidP="00982B6D">
      <w:pPr>
        <w:pStyle w:val="bodycopy"/>
        <w:rPr>
          <w:rFonts w:ascii="Arial" w:hAnsi="Arial"/>
          <w:sz w:val="22"/>
          <w:szCs w:val="22"/>
        </w:rPr>
      </w:pPr>
      <w:r w:rsidRPr="000075CE">
        <w:rPr>
          <w:rFonts w:ascii="Arial" w:hAnsi="Arial"/>
          <w:sz w:val="22"/>
          <w:szCs w:val="22"/>
        </w:rPr>
        <w:t>The crew on board the survey vessel will consist of a marine crew and a seismic crew. The marine crew operate the vessel by performing duties in the bridge, engine room, galley and hotel services, internal and external deck areas and safety craft.</w:t>
      </w:r>
      <w:r w:rsidRPr="000075CE" w:rsidDel="00EE0D6A">
        <w:rPr>
          <w:rFonts w:ascii="Arial" w:hAnsi="Arial"/>
          <w:sz w:val="22"/>
          <w:szCs w:val="22"/>
        </w:rPr>
        <w:t xml:space="preserve"> </w:t>
      </w:r>
      <w:r w:rsidRPr="000075CE">
        <w:rPr>
          <w:rFonts w:ascii="Arial" w:hAnsi="Arial"/>
          <w:sz w:val="22"/>
          <w:szCs w:val="22"/>
        </w:rPr>
        <w:t xml:space="preserve">The marine crew are responsible for the safe navigation, lookout, and communications. </w:t>
      </w:r>
    </w:p>
    <w:p w14:paraId="7F7C2901" w14:textId="77777777" w:rsidR="005079E1" w:rsidRPr="000075CE" w:rsidRDefault="005079E1" w:rsidP="00982B6D">
      <w:pPr>
        <w:pStyle w:val="bodycopy"/>
        <w:rPr>
          <w:rFonts w:ascii="Arial" w:hAnsi="Arial"/>
          <w:sz w:val="22"/>
          <w:szCs w:val="22"/>
        </w:rPr>
      </w:pPr>
      <w:r w:rsidRPr="000075CE">
        <w:rPr>
          <w:rFonts w:ascii="Arial" w:hAnsi="Arial"/>
          <w:sz w:val="22"/>
          <w:szCs w:val="22"/>
        </w:rPr>
        <w:t>The seismic crew operate and run the survey equipment and are responsible for its deployment and recovery and data acquisition throughout the survey. The seismic crew are responsible for the planned and continued maintenance of all towed equipment to ensure there is minimum risk of electrical or mechanical failure resulting in the damage or loss of equipment during the deployment, acquisition and recovery period of the survey.</w:t>
      </w:r>
    </w:p>
    <w:p w14:paraId="593DF7EF" w14:textId="77777777" w:rsidR="005079E1" w:rsidRPr="000075CE" w:rsidRDefault="005079E1" w:rsidP="00982B6D">
      <w:pPr>
        <w:pStyle w:val="bodycopy"/>
        <w:rPr>
          <w:rFonts w:ascii="Arial" w:hAnsi="Arial"/>
          <w:sz w:val="22"/>
          <w:szCs w:val="22"/>
        </w:rPr>
      </w:pPr>
      <w:r w:rsidRPr="000075CE">
        <w:rPr>
          <w:rFonts w:ascii="Arial" w:hAnsi="Arial"/>
          <w:sz w:val="22"/>
          <w:szCs w:val="22"/>
        </w:rPr>
        <w:t xml:space="preserve">The seismic crew consists of four departments (navigation, recording, source and processing) responsible for individual duties during the survey and combining teamwork during the deployment, acquisition and recovery periods. </w:t>
      </w:r>
    </w:p>
    <w:p w14:paraId="395D6D4F" w14:textId="77777777" w:rsidR="00D15ACF" w:rsidRPr="00982B6D" w:rsidRDefault="00D15ACF" w:rsidP="006712A7">
      <w:pPr>
        <w:pStyle w:val="bodycopy"/>
        <w:jc w:val="both"/>
        <w:rPr>
          <w:rFonts w:ascii="Arial" w:hAnsi="Arial"/>
          <w:b/>
          <w:sz w:val="22"/>
          <w:szCs w:val="22"/>
        </w:rPr>
      </w:pPr>
      <w:r w:rsidRPr="00982B6D">
        <w:rPr>
          <w:rFonts w:ascii="Arial" w:hAnsi="Arial"/>
          <w:b/>
          <w:sz w:val="22"/>
          <w:szCs w:val="22"/>
        </w:rPr>
        <w:lastRenderedPageBreak/>
        <w:t>Vessel Environmental Credentials</w:t>
      </w:r>
    </w:p>
    <w:p w14:paraId="701C1232" w14:textId="11118C08" w:rsidR="005079E1" w:rsidRPr="000075CE" w:rsidRDefault="004A650D" w:rsidP="002A296D">
      <w:pPr>
        <w:pStyle w:val="bodycopy"/>
        <w:rPr>
          <w:rFonts w:ascii="Arial" w:hAnsi="Arial"/>
          <w:sz w:val="22"/>
          <w:szCs w:val="22"/>
        </w:rPr>
      </w:pPr>
      <w:r w:rsidRPr="000075CE">
        <w:rPr>
          <w:rFonts w:ascii="Arial" w:hAnsi="Arial"/>
          <w:sz w:val="22"/>
          <w:szCs w:val="22"/>
        </w:rPr>
        <w:t xml:space="preserve">The survey vessel will meet pollution prevention requirements under the MARPOL Convention, as enacted by the </w:t>
      </w:r>
      <w:r w:rsidRPr="000075CE">
        <w:rPr>
          <w:rFonts w:ascii="Arial" w:hAnsi="Arial"/>
          <w:i/>
          <w:sz w:val="22"/>
          <w:szCs w:val="22"/>
        </w:rPr>
        <w:t>Navigation Act 2012</w:t>
      </w:r>
      <w:r w:rsidRPr="000075CE">
        <w:rPr>
          <w:rFonts w:ascii="Arial" w:hAnsi="Arial"/>
          <w:sz w:val="22"/>
          <w:szCs w:val="22"/>
        </w:rPr>
        <w:t xml:space="preserve"> (Cth) and the </w:t>
      </w:r>
      <w:r w:rsidRPr="000075CE">
        <w:rPr>
          <w:rFonts w:ascii="Arial" w:hAnsi="Arial"/>
          <w:i/>
          <w:sz w:val="22"/>
          <w:szCs w:val="22"/>
        </w:rPr>
        <w:t>Pollution of Waters by Oil and Noxious Substances</w:t>
      </w:r>
      <w:r w:rsidRPr="000075CE">
        <w:rPr>
          <w:rFonts w:ascii="Arial" w:hAnsi="Arial"/>
          <w:sz w:val="22"/>
          <w:szCs w:val="22"/>
        </w:rPr>
        <w:t xml:space="preserve"> </w:t>
      </w:r>
      <w:r w:rsidRPr="000075CE">
        <w:rPr>
          <w:rFonts w:ascii="Arial" w:hAnsi="Arial"/>
          <w:i/>
          <w:sz w:val="22"/>
          <w:szCs w:val="22"/>
        </w:rPr>
        <w:t>Act 1986</w:t>
      </w:r>
      <w:r w:rsidRPr="000075CE">
        <w:rPr>
          <w:rFonts w:ascii="Arial" w:hAnsi="Arial"/>
          <w:sz w:val="22"/>
          <w:szCs w:val="22"/>
        </w:rPr>
        <w:t xml:space="preserve"> (Vic) (POWBONS). As such, it </w:t>
      </w:r>
      <w:r w:rsidR="005079E1" w:rsidRPr="000075CE">
        <w:rPr>
          <w:rFonts w:ascii="Arial" w:hAnsi="Arial"/>
          <w:sz w:val="22"/>
          <w:szCs w:val="22"/>
        </w:rPr>
        <w:t xml:space="preserve">will </w:t>
      </w:r>
      <w:r w:rsidRPr="000075CE">
        <w:rPr>
          <w:rFonts w:ascii="Arial" w:hAnsi="Arial"/>
          <w:sz w:val="22"/>
          <w:szCs w:val="22"/>
        </w:rPr>
        <w:t xml:space="preserve">be required to </w:t>
      </w:r>
      <w:r w:rsidR="005079E1" w:rsidRPr="000075CE">
        <w:rPr>
          <w:rFonts w:ascii="Arial" w:hAnsi="Arial"/>
          <w:sz w:val="22"/>
          <w:szCs w:val="22"/>
        </w:rPr>
        <w:t xml:space="preserve">have the following current and valid environmental credentials in place: </w:t>
      </w:r>
    </w:p>
    <w:p w14:paraId="7FF2FC99" w14:textId="1CBE1B96" w:rsidR="005079E1" w:rsidRPr="000075CE" w:rsidRDefault="005079E1" w:rsidP="00982B6D">
      <w:pPr>
        <w:pStyle w:val="bodycopy"/>
        <w:numPr>
          <w:ilvl w:val="0"/>
          <w:numId w:val="59"/>
        </w:numPr>
        <w:rPr>
          <w:rFonts w:ascii="Arial" w:hAnsi="Arial"/>
          <w:sz w:val="22"/>
          <w:szCs w:val="22"/>
        </w:rPr>
      </w:pPr>
      <w:r w:rsidRPr="000075CE">
        <w:rPr>
          <w:rFonts w:ascii="Arial" w:hAnsi="Arial"/>
          <w:sz w:val="22"/>
          <w:szCs w:val="22"/>
          <w:u w:val="single"/>
        </w:rPr>
        <w:t>International Oil Pollution Prevention (IOPP) certificate</w:t>
      </w:r>
      <w:r w:rsidRPr="000075CE">
        <w:rPr>
          <w:rFonts w:ascii="Arial" w:hAnsi="Arial"/>
          <w:sz w:val="22"/>
          <w:szCs w:val="22"/>
        </w:rPr>
        <w:t xml:space="preserve"> in accordance with MARPOL Annex I (enacted under </w:t>
      </w:r>
      <w:r w:rsidR="0017770E">
        <w:rPr>
          <w:rFonts w:ascii="Arial" w:hAnsi="Arial"/>
          <w:sz w:val="22"/>
          <w:szCs w:val="22"/>
        </w:rPr>
        <w:t>the Australian Maritime Safety Authority’s [</w:t>
      </w:r>
      <w:r w:rsidRPr="000075CE">
        <w:rPr>
          <w:rFonts w:ascii="Arial" w:hAnsi="Arial"/>
          <w:sz w:val="22"/>
          <w:szCs w:val="22"/>
        </w:rPr>
        <w:t>AMSA</w:t>
      </w:r>
      <w:r w:rsidR="0017770E">
        <w:rPr>
          <w:rFonts w:ascii="Arial" w:hAnsi="Arial"/>
          <w:sz w:val="22"/>
          <w:szCs w:val="22"/>
        </w:rPr>
        <w:t>]</w:t>
      </w:r>
      <w:r w:rsidRPr="000075CE">
        <w:rPr>
          <w:rFonts w:ascii="Arial" w:hAnsi="Arial"/>
          <w:sz w:val="22"/>
          <w:szCs w:val="22"/>
        </w:rPr>
        <w:t xml:space="preserve"> Marine Orders Part 91, Marine Pollution Prevention – Oil);</w:t>
      </w:r>
    </w:p>
    <w:p w14:paraId="27D18447" w14:textId="6E2F2424" w:rsidR="00002576" w:rsidRPr="000075CE" w:rsidRDefault="002A296D" w:rsidP="00982B6D">
      <w:pPr>
        <w:pStyle w:val="bodycopy"/>
        <w:numPr>
          <w:ilvl w:val="0"/>
          <w:numId w:val="59"/>
        </w:numPr>
        <w:rPr>
          <w:rFonts w:ascii="Arial" w:hAnsi="Arial"/>
          <w:sz w:val="22"/>
          <w:szCs w:val="22"/>
        </w:rPr>
      </w:pPr>
      <w:r>
        <w:rPr>
          <w:rFonts w:ascii="Arial" w:hAnsi="Arial"/>
          <w:sz w:val="22"/>
          <w:szCs w:val="22"/>
          <w:u w:val="single"/>
        </w:rPr>
        <w:t>Shipboard Marine Pollution Emergency Plan (</w:t>
      </w:r>
      <w:r w:rsidR="00002576" w:rsidRPr="000075CE">
        <w:rPr>
          <w:rFonts w:ascii="Arial" w:hAnsi="Arial"/>
          <w:sz w:val="22"/>
          <w:szCs w:val="22"/>
          <w:u w:val="single"/>
        </w:rPr>
        <w:t>S</w:t>
      </w:r>
      <w:r w:rsidR="004722C6">
        <w:rPr>
          <w:rFonts w:ascii="Arial" w:hAnsi="Arial"/>
          <w:sz w:val="22"/>
          <w:szCs w:val="22"/>
          <w:u w:val="single"/>
        </w:rPr>
        <w:t>M</w:t>
      </w:r>
      <w:r w:rsidR="00002576" w:rsidRPr="000075CE">
        <w:rPr>
          <w:rFonts w:ascii="Arial" w:hAnsi="Arial"/>
          <w:sz w:val="22"/>
          <w:szCs w:val="22"/>
          <w:u w:val="single"/>
        </w:rPr>
        <w:t>PEP</w:t>
      </w:r>
      <w:r>
        <w:rPr>
          <w:rFonts w:ascii="Arial" w:hAnsi="Arial"/>
          <w:sz w:val="22"/>
          <w:szCs w:val="22"/>
          <w:u w:val="single"/>
        </w:rPr>
        <w:t>)</w:t>
      </w:r>
      <w:r w:rsidR="00002576" w:rsidRPr="000075CE">
        <w:rPr>
          <w:rFonts w:ascii="Arial" w:hAnsi="Arial"/>
          <w:sz w:val="22"/>
          <w:szCs w:val="22"/>
        </w:rPr>
        <w:t xml:space="preserve"> in accordance with MARPOL Annex I (enacted under AMSA Marine Orders </w:t>
      </w:r>
      <w:r w:rsidR="00DB49CC" w:rsidRPr="000075CE">
        <w:rPr>
          <w:rFonts w:ascii="Arial" w:hAnsi="Arial"/>
          <w:sz w:val="22"/>
          <w:szCs w:val="22"/>
        </w:rPr>
        <w:t>Part 91, Marine Pollution Prevention – Oil</w:t>
      </w:r>
      <w:r w:rsidR="00002576" w:rsidRPr="000075CE">
        <w:rPr>
          <w:rFonts w:ascii="Arial" w:hAnsi="Arial"/>
          <w:sz w:val="22"/>
          <w:szCs w:val="22"/>
        </w:rPr>
        <w:t xml:space="preserve">); </w:t>
      </w:r>
    </w:p>
    <w:p w14:paraId="2BCC53AA" w14:textId="77777777" w:rsidR="00002576" w:rsidRPr="000075CE" w:rsidRDefault="00002576" w:rsidP="00982B6D">
      <w:pPr>
        <w:pStyle w:val="bodycopy"/>
        <w:numPr>
          <w:ilvl w:val="0"/>
          <w:numId w:val="59"/>
        </w:numPr>
        <w:rPr>
          <w:rFonts w:ascii="Arial" w:hAnsi="Arial"/>
          <w:sz w:val="22"/>
          <w:szCs w:val="22"/>
        </w:rPr>
      </w:pPr>
      <w:r w:rsidRPr="000075CE">
        <w:rPr>
          <w:rFonts w:ascii="Arial" w:hAnsi="Arial"/>
          <w:sz w:val="22"/>
          <w:szCs w:val="22"/>
          <w:u w:val="single"/>
        </w:rPr>
        <w:t>International Pollution Prevention (IPP) certificate</w:t>
      </w:r>
      <w:r w:rsidRPr="000075CE">
        <w:rPr>
          <w:rFonts w:ascii="Arial" w:hAnsi="Arial"/>
          <w:sz w:val="22"/>
          <w:szCs w:val="22"/>
        </w:rPr>
        <w:t xml:space="preserve"> in accordance with MARPOL Annex II (enacted under AMSA Marine Orders Part 93, Marine Pollution Prevention </w:t>
      </w:r>
      <w:r w:rsidRPr="000075CE">
        <w:rPr>
          <w:rFonts w:ascii="Arial" w:hAnsi="Arial"/>
          <w:sz w:val="22"/>
          <w:szCs w:val="22"/>
        </w:rPr>
        <w:softHyphen/>
        <w:t>– Noxious Liquid Substances);</w:t>
      </w:r>
    </w:p>
    <w:p w14:paraId="58B25941" w14:textId="77777777" w:rsidR="005079E1" w:rsidRPr="000075CE" w:rsidRDefault="005079E1" w:rsidP="00982B6D">
      <w:pPr>
        <w:pStyle w:val="bodycopy"/>
        <w:numPr>
          <w:ilvl w:val="0"/>
          <w:numId w:val="59"/>
        </w:numPr>
        <w:rPr>
          <w:rFonts w:ascii="Arial" w:hAnsi="Arial"/>
          <w:sz w:val="22"/>
          <w:szCs w:val="22"/>
        </w:rPr>
      </w:pPr>
      <w:r w:rsidRPr="000075CE">
        <w:rPr>
          <w:rFonts w:ascii="Arial" w:hAnsi="Arial"/>
          <w:sz w:val="22"/>
          <w:szCs w:val="22"/>
          <w:u w:val="single"/>
        </w:rPr>
        <w:t>International Sewage Pollution Prevention (ISPP) certificate</w:t>
      </w:r>
      <w:r w:rsidRPr="000075CE">
        <w:rPr>
          <w:rFonts w:ascii="Arial" w:hAnsi="Arial"/>
          <w:sz w:val="22"/>
          <w:szCs w:val="22"/>
        </w:rPr>
        <w:t xml:space="preserve"> in accordance with MARPOL Annex IV (enacted under AMSA Marine Orders Part 96, Marine Pollution Prevention – Sewage);</w:t>
      </w:r>
    </w:p>
    <w:p w14:paraId="4D16EACE" w14:textId="77777777" w:rsidR="00DB49CC" w:rsidRPr="000075CE" w:rsidRDefault="00DB49CC" w:rsidP="00982B6D">
      <w:pPr>
        <w:pStyle w:val="bodycopy"/>
        <w:numPr>
          <w:ilvl w:val="0"/>
          <w:numId w:val="59"/>
        </w:numPr>
        <w:rPr>
          <w:rFonts w:ascii="Arial" w:hAnsi="Arial"/>
          <w:sz w:val="22"/>
          <w:szCs w:val="22"/>
        </w:rPr>
      </w:pPr>
      <w:r w:rsidRPr="000075CE">
        <w:rPr>
          <w:rFonts w:ascii="Arial" w:hAnsi="Arial"/>
          <w:sz w:val="22"/>
          <w:szCs w:val="22"/>
          <w:u w:val="single"/>
        </w:rPr>
        <w:t>Shipboard Garbage Management Plan</w:t>
      </w:r>
      <w:r w:rsidRPr="000075CE">
        <w:rPr>
          <w:rFonts w:ascii="Arial" w:hAnsi="Arial"/>
          <w:sz w:val="22"/>
          <w:szCs w:val="22"/>
        </w:rPr>
        <w:t xml:space="preserve"> in accordance with MARPOL Annex V (enacted under AMSA Marine Orders Part 95, Marine Pollution Prevention – Garbage);   </w:t>
      </w:r>
    </w:p>
    <w:p w14:paraId="033AB2A9" w14:textId="77777777" w:rsidR="005079E1" w:rsidRPr="000075CE" w:rsidRDefault="005079E1" w:rsidP="00982B6D">
      <w:pPr>
        <w:pStyle w:val="bodycopy"/>
        <w:numPr>
          <w:ilvl w:val="0"/>
          <w:numId w:val="59"/>
        </w:numPr>
        <w:rPr>
          <w:rFonts w:ascii="Arial" w:hAnsi="Arial"/>
          <w:sz w:val="22"/>
          <w:szCs w:val="22"/>
        </w:rPr>
      </w:pPr>
      <w:r w:rsidRPr="000075CE">
        <w:rPr>
          <w:rFonts w:ascii="Arial" w:hAnsi="Arial"/>
          <w:sz w:val="22"/>
          <w:szCs w:val="22"/>
          <w:u w:val="single"/>
        </w:rPr>
        <w:t>International Air Pollution Prevention (IAPP)</w:t>
      </w:r>
      <w:r w:rsidR="00384E5E" w:rsidRPr="000075CE">
        <w:rPr>
          <w:rFonts w:ascii="Arial" w:hAnsi="Arial"/>
          <w:sz w:val="22"/>
          <w:szCs w:val="22"/>
          <w:u w:val="single"/>
        </w:rPr>
        <w:t>, Engine International Air Pollution Prevention (EIAPP), International Energy Efficiency (IEE) certificates and Ship Energy Efficiency Management Plan (SEEMP)</w:t>
      </w:r>
      <w:r w:rsidR="00384E5E" w:rsidRPr="000075CE">
        <w:rPr>
          <w:rFonts w:ascii="Arial" w:hAnsi="Arial"/>
          <w:sz w:val="22"/>
          <w:szCs w:val="22"/>
        </w:rPr>
        <w:t xml:space="preserve"> </w:t>
      </w:r>
      <w:r w:rsidRPr="000075CE">
        <w:rPr>
          <w:rFonts w:ascii="Arial" w:hAnsi="Arial"/>
          <w:sz w:val="22"/>
          <w:szCs w:val="22"/>
        </w:rPr>
        <w:t xml:space="preserve">in accordance with MARPOL Annex VI (enacted under AMSA Marine Orders Part 97, Marine Pollution Prevention – Air Pollution); </w:t>
      </w:r>
      <w:r w:rsidR="00DB49CC" w:rsidRPr="000075CE">
        <w:rPr>
          <w:rFonts w:ascii="Arial" w:hAnsi="Arial"/>
          <w:sz w:val="22"/>
          <w:szCs w:val="22"/>
        </w:rPr>
        <w:t>and</w:t>
      </w:r>
    </w:p>
    <w:p w14:paraId="7DE4BE5B" w14:textId="77777777" w:rsidR="005079E1" w:rsidRPr="000075CE" w:rsidRDefault="005079E1" w:rsidP="00982B6D">
      <w:pPr>
        <w:pStyle w:val="bodycopy"/>
        <w:numPr>
          <w:ilvl w:val="0"/>
          <w:numId w:val="59"/>
        </w:numPr>
        <w:spacing w:after="240"/>
        <w:rPr>
          <w:rFonts w:ascii="Arial" w:hAnsi="Arial"/>
          <w:sz w:val="22"/>
          <w:szCs w:val="22"/>
        </w:rPr>
      </w:pPr>
      <w:r w:rsidRPr="000075CE">
        <w:rPr>
          <w:rFonts w:ascii="Arial" w:hAnsi="Arial"/>
          <w:sz w:val="22"/>
          <w:szCs w:val="22"/>
          <w:u w:val="single"/>
        </w:rPr>
        <w:t>International Anti-fouling System certificate</w:t>
      </w:r>
      <w:r w:rsidRPr="000075CE">
        <w:rPr>
          <w:rFonts w:ascii="Arial" w:hAnsi="Arial"/>
          <w:sz w:val="22"/>
          <w:szCs w:val="22"/>
        </w:rPr>
        <w:t xml:space="preserve"> in accordance with the International Convention on the Control of Harmful Anti-fouling Systems on Ships 2008 (enacted under AMSA Marine Orders Part 98, Marine Pollution Prevention – Anti-fouling Systems).</w:t>
      </w:r>
    </w:p>
    <w:p w14:paraId="4B679568" w14:textId="77777777" w:rsidR="005941EB" w:rsidRPr="000075CE" w:rsidRDefault="005941EB" w:rsidP="00982B6D">
      <w:pPr>
        <w:pStyle w:val="bodycopy"/>
        <w:rPr>
          <w:rFonts w:ascii="Arial" w:hAnsi="Arial"/>
          <w:sz w:val="22"/>
          <w:szCs w:val="22"/>
        </w:rPr>
      </w:pPr>
      <w:r w:rsidRPr="000075CE">
        <w:rPr>
          <w:rFonts w:ascii="Arial" w:hAnsi="Arial"/>
          <w:sz w:val="22"/>
          <w:szCs w:val="22"/>
        </w:rPr>
        <w:t>In Victorian state waters, the survey vessel will not discharge noxious oil (from bilge tanks), treated or untreated sewage and grey water, or macerated and un-macerated food waste.</w:t>
      </w:r>
      <w:r w:rsidR="00AA0B97" w:rsidRPr="000075CE">
        <w:rPr>
          <w:rFonts w:ascii="Arial" w:hAnsi="Arial"/>
          <w:sz w:val="22"/>
          <w:szCs w:val="22"/>
        </w:rPr>
        <w:t xml:space="preserve"> </w:t>
      </w:r>
    </w:p>
    <w:p w14:paraId="5D578325" w14:textId="6935CBBF" w:rsidR="002A296D" w:rsidRPr="000075CE" w:rsidRDefault="00CB4741" w:rsidP="002A296D">
      <w:pPr>
        <w:pStyle w:val="bodycopy"/>
        <w:rPr>
          <w:rFonts w:ascii="Arial" w:hAnsi="Arial"/>
          <w:sz w:val="22"/>
          <w:szCs w:val="22"/>
        </w:rPr>
      </w:pPr>
      <w:r w:rsidRPr="000075CE">
        <w:rPr>
          <w:rFonts w:ascii="Arial" w:hAnsi="Arial"/>
          <w:sz w:val="22"/>
          <w:szCs w:val="22"/>
        </w:rPr>
        <w:t xml:space="preserve">CarbonNet </w:t>
      </w:r>
      <w:r w:rsidR="002A296D">
        <w:rPr>
          <w:rFonts w:ascii="Arial" w:hAnsi="Arial"/>
          <w:sz w:val="22"/>
          <w:szCs w:val="22"/>
        </w:rPr>
        <w:t>has</w:t>
      </w:r>
      <w:r w:rsidRPr="000075CE">
        <w:rPr>
          <w:rFonts w:ascii="Arial" w:hAnsi="Arial"/>
          <w:sz w:val="22"/>
          <w:szCs w:val="22"/>
        </w:rPr>
        <w:t xml:space="preserve"> </w:t>
      </w:r>
      <w:r w:rsidR="002A296D">
        <w:rPr>
          <w:rFonts w:ascii="Arial" w:hAnsi="Arial"/>
          <w:sz w:val="22"/>
          <w:szCs w:val="22"/>
        </w:rPr>
        <w:t xml:space="preserve">contracted </w:t>
      </w:r>
      <w:r w:rsidRPr="000075CE">
        <w:rPr>
          <w:rFonts w:ascii="Arial" w:hAnsi="Arial"/>
          <w:sz w:val="22"/>
          <w:szCs w:val="22"/>
        </w:rPr>
        <w:t xml:space="preserve">an independent </w:t>
      </w:r>
      <w:r w:rsidR="00982B6D">
        <w:rPr>
          <w:rFonts w:ascii="Arial" w:hAnsi="Arial"/>
          <w:sz w:val="22"/>
          <w:szCs w:val="22"/>
        </w:rPr>
        <w:t>HSE specialist to conduct an audit</w:t>
      </w:r>
      <w:r w:rsidRPr="000075CE">
        <w:rPr>
          <w:rFonts w:ascii="Arial" w:hAnsi="Arial"/>
          <w:sz w:val="22"/>
          <w:szCs w:val="22"/>
        </w:rPr>
        <w:t xml:space="preserve"> of </w:t>
      </w:r>
      <w:r w:rsidR="002A296D">
        <w:rPr>
          <w:rFonts w:ascii="Arial" w:hAnsi="Arial"/>
          <w:sz w:val="22"/>
          <w:szCs w:val="22"/>
        </w:rPr>
        <w:t xml:space="preserve">Polarcus’ </w:t>
      </w:r>
      <w:r w:rsidR="00982B6D">
        <w:rPr>
          <w:rFonts w:ascii="Arial" w:hAnsi="Arial"/>
          <w:sz w:val="22"/>
          <w:szCs w:val="22"/>
        </w:rPr>
        <w:t xml:space="preserve">HSE management system </w:t>
      </w:r>
      <w:r w:rsidRPr="000075CE">
        <w:rPr>
          <w:rFonts w:ascii="Arial" w:hAnsi="Arial"/>
          <w:sz w:val="22"/>
          <w:szCs w:val="22"/>
        </w:rPr>
        <w:t xml:space="preserve">to ensure that </w:t>
      </w:r>
      <w:r w:rsidR="00982B6D">
        <w:rPr>
          <w:rFonts w:ascii="Arial" w:hAnsi="Arial"/>
          <w:sz w:val="22"/>
          <w:szCs w:val="22"/>
        </w:rPr>
        <w:t>its systems and processes</w:t>
      </w:r>
      <w:r w:rsidRPr="000075CE">
        <w:rPr>
          <w:rFonts w:ascii="Arial" w:hAnsi="Arial"/>
          <w:sz w:val="22"/>
          <w:szCs w:val="22"/>
        </w:rPr>
        <w:t xml:space="preserve"> </w:t>
      </w:r>
      <w:r w:rsidR="00645D1D">
        <w:rPr>
          <w:rFonts w:ascii="Arial" w:hAnsi="Arial"/>
          <w:sz w:val="22"/>
          <w:szCs w:val="22"/>
        </w:rPr>
        <w:t xml:space="preserve">meet legislative </w:t>
      </w:r>
      <w:r w:rsidR="00735278">
        <w:rPr>
          <w:rFonts w:ascii="Arial" w:hAnsi="Arial"/>
          <w:sz w:val="22"/>
          <w:szCs w:val="22"/>
        </w:rPr>
        <w:t xml:space="preserve">and project </w:t>
      </w:r>
      <w:r w:rsidR="00645D1D">
        <w:rPr>
          <w:rFonts w:ascii="Arial" w:hAnsi="Arial"/>
          <w:sz w:val="22"/>
          <w:szCs w:val="22"/>
        </w:rPr>
        <w:t>requirements.</w:t>
      </w:r>
      <w:r w:rsidR="00982B6D">
        <w:rPr>
          <w:rFonts w:ascii="Arial" w:hAnsi="Arial"/>
          <w:sz w:val="22"/>
          <w:szCs w:val="22"/>
        </w:rPr>
        <w:t xml:space="preserve"> </w:t>
      </w:r>
    </w:p>
    <w:p w14:paraId="44E9EBDA" w14:textId="77777777" w:rsidR="005079E1" w:rsidRPr="00982B6D" w:rsidRDefault="005079E1" w:rsidP="005079E1">
      <w:pPr>
        <w:pStyle w:val="bodycopy"/>
        <w:rPr>
          <w:rFonts w:ascii="Arial" w:hAnsi="Arial"/>
          <w:b/>
          <w:sz w:val="22"/>
          <w:szCs w:val="22"/>
        </w:rPr>
      </w:pPr>
      <w:r w:rsidRPr="00982B6D">
        <w:rPr>
          <w:rFonts w:ascii="Arial" w:hAnsi="Arial"/>
          <w:b/>
          <w:sz w:val="22"/>
          <w:szCs w:val="22"/>
        </w:rPr>
        <w:t>Maritime Safety</w:t>
      </w:r>
    </w:p>
    <w:p w14:paraId="5D09EB73" w14:textId="77777777" w:rsidR="00173031" w:rsidRPr="00982B6D" w:rsidRDefault="00173031" w:rsidP="00982B6D">
      <w:pPr>
        <w:pStyle w:val="bodycopy"/>
        <w:rPr>
          <w:rFonts w:ascii="Arial" w:hAnsi="Arial"/>
          <w:sz w:val="22"/>
          <w:szCs w:val="22"/>
        </w:rPr>
      </w:pPr>
      <w:r w:rsidRPr="00982B6D">
        <w:rPr>
          <w:rFonts w:ascii="Arial" w:hAnsi="Arial"/>
          <w:sz w:val="22"/>
          <w:szCs w:val="22"/>
        </w:rPr>
        <w:t xml:space="preserve">The vessel and towed array of equipment will operate in accordance with the Convention on the International Regulations for Preventing Collisions at Sea (COLREG) 1972. </w:t>
      </w:r>
    </w:p>
    <w:p w14:paraId="609A9223" w14:textId="4DA72E09" w:rsidR="00173031" w:rsidRPr="00982B6D" w:rsidRDefault="00173031" w:rsidP="00982B6D">
      <w:pPr>
        <w:pStyle w:val="bodycopy"/>
        <w:rPr>
          <w:rFonts w:ascii="Arial" w:hAnsi="Arial"/>
          <w:sz w:val="22"/>
          <w:szCs w:val="22"/>
        </w:rPr>
      </w:pPr>
      <w:r w:rsidRPr="00982B6D">
        <w:rPr>
          <w:rFonts w:ascii="Arial" w:hAnsi="Arial"/>
          <w:sz w:val="22"/>
          <w:szCs w:val="22"/>
        </w:rPr>
        <w:t>The support vessels will actively monitor around the survey vessel</w:t>
      </w:r>
      <w:r w:rsidR="005C70AA">
        <w:rPr>
          <w:rFonts w:ascii="Arial" w:hAnsi="Arial"/>
          <w:sz w:val="22"/>
          <w:szCs w:val="22"/>
        </w:rPr>
        <w:t xml:space="preserve"> to minimise the potential for interactions with third-party vessels</w:t>
      </w:r>
      <w:r w:rsidRPr="00982B6D">
        <w:rPr>
          <w:rFonts w:ascii="Arial" w:hAnsi="Arial"/>
          <w:sz w:val="22"/>
          <w:szCs w:val="22"/>
        </w:rPr>
        <w:t xml:space="preserve">. The survey vessel operator will issue a vessel positioning notification to the Australian Hydrographic </w:t>
      </w:r>
      <w:r w:rsidR="00E95742">
        <w:rPr>
          <w:rFonts w:ascii="Arial" w:hAnsi="Arial"/>
          <w:sz w:val="22"/>
          <w:szCs w:val="22"/>
        </w:rPr>
        <w:t>Office</w:t>
      </w:r>
      <w:r w:rsidRPr="00982B6D">
        <w:rPr>
          <w:rFonts w:ascii="Arial" w:hAnsi="Arial"/>
          <w:sz w:val="22"/>
          <w:szCs w:val="22"/>
        </w:rPr>
        <w:t xml:space="preserve"> (AH</w:t>
      </w:r>
      <w:r w:rsidR="00E95742">
        <w:rPr>
          <w:rFonts w:ascii="Arial" w:hAnsi="Arial"/>
          <w:sz w:val="22"/>
          <w:szCs w:val="22"/>
        </w:rPr>
        <w:t>O</w:t>
      </w:r>
      <w:r w:rsidRPr="00982B6D">
        <w:rPr>
          <w:rFonts w:ascii="Arial" w:hAnsi="Arial"/>
          <w:sz w:val="22"/>
          <w:szCs w:val="22"/>
        </w:rPr>
        <w:t>)</w:t>
      </w:r>
      <w:r w:rsidR="00C50477" w:rsidRPr="00982B6D">
        <w:rPr>
          <w:rFonts w:ascii="Arial" w:hAnsi="Arial"/>
          <w:sz w:val="22"/>
          <w:szCs w:val="22"/>
        </w:rPr>
        <w:t xml:space="preserve"> and </w:t>
      </w:r>
      <w:r w:rsidR="002A296D">
        <w:rPr>
          <w:rFonts w:ascii="Arial" w:hAnsi="Arial"/>
          <w:sz w:val="22"/>
          <w:szCs w:val="22"/>
        </w:rPr>
        <w:t>Transport Safety Victoria (</w:t>
      </w:r>
      <w:r w:rsidR="00C50477" w:rsidRPr="00982B6D">
        <w:rPr>
          <w:rFonts w:ascii="Arial" w:hAnsi="Arial"/>
          <w:sz w:val="22"/>
          <w:szCs w:val="22"/>
        </w:rPr>
        <w:t>TSV</w:t>
      </w:r>
      <w:r w:rsidR="002A296D">
        <w:rPr>
          <w:rFonts w:ascii="Arial" w:hAnsi="Arial"/>
          <w:sz w:val="22"/>
          <w:szCs w:val="22"/>
        </w:rPr>
        <w:t>)</w:t>
      </w:r>
      <w:r w:rsidRPr="00982B6D">
        <w:rPr>
          <w:rFonts w:ascii="Arial" w:hAnsi="Arial"/>
          <w:sz w:val="22"/>
          <w:szCs w:val="22"/>
        </w:rPr>
        <w:t>, who will in turn publish the survey location in the</w:t>
      </w:r>
      <w:r w:rsidR="00C50477" w:rsidRPr="00982B6D">
        <w:rPr>
          <w:rFonts w:ascii="Arial" w:hAnsi="Arial"/>
          <w:sz w:val="22"/>
          <w:szCs w:val="22"/>
        </w:rPr>
        <w:t>ir respective</w:t>
      </w:r>
      <w:r w:rsidRPr="00982B6D">
        <w:rPr>
          <w:rFonts w:ascii="Arial" w:hAnsi="Arial"/>
          <w:sz w:val="22"/>
          <w:szCs w:val="22"/>
        </w:rPr>
        <w:t xml:space="preserve"> Notice</w:t>
      </w:r>
      <w:r w:rsidR="005069C2" w:rsidRPr="00982B6D">
        <w:rPr>
          <w:rFonts w:ascii="Arial" w:hAnsi="Arial"/>
          <w:sz w:val="22"/>
          <w:szCs w:val="22"/>
        </w:rPr>
        <w:t>s</w:t>
      </w:r>
      <w:r w:rsidRPr="00982B6D">
        <w:rPr>
          <w:rFonts w:ascii="Arial" w:hAnsi="Arial"/>
          <w:sz w:val="22"/>
          <w:szCs w:val="22"/>
        </w:rPr>
        <w:t xml:space="preserve"> to Mariners. A daily Auscoast warning of the survey vessel’s location will also be issued to all vessels by AMSA through the Global Maritime Distress Safety System (GMDSS) communication network. The warning will provide details of the safe distance to be maintained around the seismic survey vessel and towed equipment. </w:t>
      </w:r>
    </w:p>
    <w:p w14:paraId="24E5301E" w14:textId="77777777" w:rsidR="00173031" w:rsidRPr="00982B6D" w:rsidRDefault="00173031" w:rsidP="00982B6D">
      <w:pPr>
        <w:pStyle w:val="bodycopy"/>
        <w:rPr>
          <w:rFonts w:ascii="Arial" w:hAnsi="Arial"/>
          <w:sz w:val="22"/>
          <w:szCs w:val="22"/>
        </w:rPr>
      </w:pPr>
      <w:r w:rsidRPr="00982B6D">
        <w:rPr>
          <w:rFonts w:ascii="Arial" w:hAnsi="Arial"/>
          <w:sz w:val="22"/>
          <w:szCs w:val="22"/>
        </w:rPr>
        <w:lastRenderedPageBreak/>
        <w:t>The Master and Officer of the Watch of the survey vessel are responsible for maintaining control of the seismic fleet vessel operation and for establishing and maintaining communication with other vessels and marine traffic during the survey. The support and guard vessel follow all instructions from the survey vessel and communicate with other marine traffic during the survey.</w:t>
      </w:r>
    </w:p>
    <w:p w14:paraId="0773BBDB" w14:textId="77777777" w:rsidR="00173031" w:rsidRPr="00982B6D" w:rsidRDefault="00173031" w:rsidP="00982B6D">
      <w:pPr>
        <w:pStyle w:val="bodycopy"/>
        <w:rPr>
          <w:rFonts w:ascii="Arial" w:hAnsi="Arial"/>
          <w:sz w:val="22"/>
          <w:szCs w:val="22"/>
        </w:rPr>
      </w:pPr>
      <w:r w:rsidRPr="00982B6D">
        <w:rPr>
          <w:rFonts w:ascii="Arial" w:hAnsi="Arial"/>
          <w:sz w:val="22"/>
          <w:szCs w:val="22"/>
        </w:rPr>
        <w:t>Supplementary to radar detection, the support and the guard vessels will have additional transmitting beacons fitted for the duration of the survey. The vessels will use either Automatic Identification System (AIS) transponders or radio global positioning system (GPS) transponders. The addition of this equipment and the data it transmits provides accurate real-time updates of the position of all project vessels relative to the survey vessel and the towed seismic spread.</w:t>
      </w:r>
    </w:p>
    <w:p w14:paraId="7DFA6293" w14:textId="77777777" w:rsidR="00173031" w:rsidRPr="00982B6D" w:rsidRDefault="00173031" w:rsidP="00982B6D">
      <w:pPr>
        <w:pStyle w:val="bodycopy"/>
        <w:rPr>
          <w:rFonts w:ascii="Arial" w:hAnsi="Arial"/>
          <w:sz w:val="22"/>
          <w:szCs w:val="22"/>
        </w:rPr>
      </w:pPr>
      <w:r w:rsidRPr="00982B6D">
        <w:rPr>
          <w:rFonts w:ascii="Arial" w:hAnsi="Arial"/>
          <w:sz w:val="22"/>
          <w:szCs w:val="22"/>
        </w:rPr>
        <w:t>All vessels will be capable of communicating and operating both on dedicated ultra-high frequency (UHF) working channels and or Maritime very high frequency (VHF) working channels (typically monitoring Channel 16 and working on 74).</w:t>
      </w:r>
    </w:p>
    <w:p w14:paraId="09A48D14" w14:textId="77777777" w:rsidR="005079E1" w:rsidRPr="00982B6D" w:rsidRDefault="005079E1" w:rsidP="00982B6D">
      <w:pPr>
        <w:pStyle w:val="bodycopy"/>
        <w:rPr>
          <w:rFonts w:ascii="Arial" w:hAnsi="Arial"/>
          <w:b/>
          <w:sz w:val="22"/>
          <w:szCs w:val="22"/>
        </w:rPr>
      </w:pPr>
      <w:r w:rsidRPr="00982B6D">
        <w:rPr>
          <w:rFonts w:ascii="Arial" w:hAnsi="Arial"/>
          <w:b/>
          <w:sz w:val="22"/>
          <w:szCs w:val="22"/>
        </w:rPr>
        <w:t>Lighting</w:t>
      </w:r>
    </w:p>
    <w:p w14:paraId="08C4EC7F" w14:textId="77777777" w:rsidR="005079E1" w:rsidRPr="00982B6D" w:rsidRDefault="005079E1" w:rsidP="00982B6D">
      <w:pPr>
        <w:pStyle w:val="bodycopy"/>
        <w:rPr>
          <w:rFonts w:ascii="Arial" w:hAnsi="Arial"/>
          <w:sz w:val="22"/>
          <w:szCs w:val="22"/>
        </w:rPr>
      </w:pPr>
      <w:r w:rsidRPr="00982B6D">
        <w:rPr>
          <w:rFonts w:ascii="Arial" w:hAnsi="Arial"/>
          <w:sz w:val="22"/>
          <w:szCs w:val="22"/>
        </w:rPr>
        <w:t xml:space="preserve">The lighting on the </w:t>
      </w:r>
      <w:r w:rsidR="00173031" w:rsidRPr="00982B6D">
        <w:rPr>
          <w:rFonts w:ascii="Arial" w:hAnsi="Arial"/>
          <w:sz w:val="22"/>
          <w:szCs w:val="22"/>
        </w:rPr>
        <w:t xml:space="preserve">survey </w:t>
      </w:r>
      <w:r w:rsidRPr="00982B6D">
        <w:rPr>
          <w:rFonts w:ascii="Arial" w:hAnsi="Arial"/>
          <w:sz w:val="22"/>
          <w:szCs w:val="22"/>
        </w:rPr>
        <w:t>vessel will comply with COLREG</w:t>
      </w:r>
      <w:r w:rsidR="00173031" w:rsidRPr="00982B6D">
        <w:rPr>
          <w:rFonts w:ascii="Arial" w:hAnsi="Arial"/>
          <w:sz w:val="22"/>
          <w:szCs w:val="22"/>
        </w:rPr>
        <w:t xml:space="preserve"> 1972</w:t>
      </w:r>
      <w:r w:rsidRPr="00982B6D">
        <w:rPr>
          <w:rFonts w:ascii="Arial" w:hAnsi="Arial"/>
          <w:sz w:val="22"/>
          <w:szCs w:val="22"/>
        </w:rPr>
        <w:t xml:space="preserve">. During survey deployment, recovery and acquisition, the source vessel will display navigation lights indicating the ‘restricted ability to manoeuvre’. In addition to the mandatory navigation lighting, the working deck areas (albeit very small) will be lit as required to provide for safe work. </w:t>
      </w:r>
    </w:p>
    <w:p w14:paraId="05B16868" w14:textId="77777777" w:rsidR="00173031" w:rsidRPr="00982B6D" w:rsidRDefault="00173031" w:rsidP="00982B6D">
      <w:pPr>
        <w:pStyle w:val="bodycopy"/>
        <w:rPr>
          <w:rFonts w:ascii="Arial" w:hAnsi="Arial"/>
          <w:sz w:val="22"/>
          <w:szCs w:val="22"/>
        </w:rPr>
      </w:pPr>
      <w:r w:rsidRPr="00982B6D">
        <w:rPr>
          <w:rFonts w:ascii="Arial" w:hAnsi="Arial"/>
          <w:sz w:val="22"/>
          <w:szCs w:val="22"/>
        </w:rPr>
        <w:t>At night, the vessel stern will be lit to provide sufficient light to be able to view the towed equipment during acquisition, deployment and recovery operations. The floating towed equipment trailing at the tail end of the cables is lit by warning lights flashing the morse code letter ‘U’ (two short flashes and one long flash). The lights are activated by solar switches at night and the floats are a bright yellow or orange colour for identification during the day. The floats will have radar reflectors to assist with tracking and provide target warning on other vessels’ radars.</w:t>
      </w:r>
    </w:p>
    <w:p w14:paraId="01FF0DF7" w14:textId="77777777" w:rsidR="005079E1" w:rsidRPr="00982B6D" w:rsidRDefault="005079E1" w:rsidP="00982B6D">
      <w:pPr>
        <w:pStyle w:val="bodycopy"/>
        <w:rPr>
          <w:rFonts w:ascii="Arial" w:hAnsi="Arial"/>
          <w:b/>
          <w:sz w:val="22"/>
          <w:szCs w:val="22"/>
        </w:rPr>
      </w:pPr>
      <w:r w:rsidRPr="00982B6D">
        <w:rPr>
          <w:rFonts w:ascii="Arial" w:hAnsi="Arial"/>
          <w:b/>
          <w:sz w:val="22"/>
          <w:szCs w:val="22"/>
        </w:rPr>
        <w:t>Bad Weather Shelter</w:t>
      </w:r>
    </w:p>
    <w:p w14:paraId="30C76857" w14:textId="38CB80DB" w:rsidR="005079E1" w:rsidRPr="00982B6D" w:rsidRDefault="005079E1" w:rsidP="00982B6D">
      <w:pPr>
        <w:pStyle w:val="bodycopy"/>
        <w:rPr>
          <w:rFonts w:ascii="Arial" w:hAnsi="Arial"/>
          <w:sz w:val="22"/>
          <w:szCs w:val="22"/>
        </w:rPr>
      </w:pPr>
      <w:r w:rsidRPr="00982B6D">
        <w:rPr>
          <w:rFonts w:ascii="Arial" w:hAnsi="Arial"/>
          <w:sz w:val="22"/>
          <w:szCs w:val="22"/>
        </w:rPr>
        <w:t>In case</w:t>
      </w:r>
      <w:r w:rsidR="00047B5D">
        <w:rPr>
          <w:rFonts w:ascii="Arial" w:hAnsi="Arial"/>
          <w:sz w:val="22"/>
          <w:szCs w:val="22"/>
        </w:rPr>
        <w:t>s</w:t>
      </w:r>
      <w:r w:rsidRPr="00982B6D">
        <w:rPr>
          <w:rFonts w:ascii="Arial" w:hAnsi="Arial"/>
          <w:sz w:val="22"/>
          <w:szCs w:val="22"/>
        </w:rPr>
        <w:t xml:space="preserve"> where extreme weather makes it unsafe for the </w:t>
      </w:r>
      <w:r w:rsidR="00173031" w:rsidRPr="00982B6D">
        <w:rPr>
          <w:rFonts w:ascii="Arial" w:hAnsi="Arial"/>
          <w:sz w:val="22"/>
          <w:szCs w:val="22"/>
        </w:rPr>
        <w:t xml:space="preserve">survey </w:t>
      </w:r>
      <w:r w:rsidRPr="00982B6D">
        <w:rPr>
          <w:rFonts w:ascii="Arial" w:hAnsi="Arial"/>
          <w:sz w:val="22"/>
          <w:szCs w:val="22"/>
        </w:rPr>
        <w:t xml:space="preserve">vessel to remain on location, </w:t>
      </w:r>
      <w:r w:rsidR="00173031" w:rsidRPr="00982B6D">
        <w:rPr>
          <w:rFonts w:ascii="Arial" w:hAnsi="Arial"/>
          <w:sz w:val="22"/>
          <w:szCs w:val="22"/>
        </w:rPr>
        <w:t>it</w:t>
      </w:r>
      <w:r w:rsidRPr="00982B6D">
        <w:rPr>
          <w:rFonts w:ascii="Arial" w:hAnsi="Arial"/>
          <w:sz w:val="22"/>
          <w:szCs w:val="22"/>
        </w:rPr>
        <w:t xml:space="preserve"> will </w:t>
      </w:r>
      <w:r w:rsidR="00B9771E">
        <w:rPr>
          <w:rFonts w:ascii="Arial" w:hAnsi="Arial"/>
          <w:sz w:val="22"/>
          <w:szCs w:val="22"/>
        </w:rPr>
        <w:t xml:space="preserve">move towards deeper water and away from the coastline and then </w:t>
      </w:r>
      <w:r w:rsidRPr="00982B6D">
        <w:rPr>
          <w:rFonts w:ascii="Arial" w:hAnsi="Arial"/>
          <w:sz w:val="22"/>
          <w:szCs w:val="22"/>
        </w:rPr>
        <w:t xml:space="preserve">either retrieve the in-water equipment, </w:t>
      </w:r>
      <w:r w:rsidR="005C70AA">
        <w:rPr>
          <w:rFonts w:ascii="Arial" w:hAnsi="Arial"/>
          <w:sz w:val="22"/>
          <w:szCs w:val="22"/>
        </w:rPr>
        <w:t xml:space="preserve">seek </w:t>
      </w:r>
      <w:r w:rsidRPr="00982B6D">
        <w:rPr>
          <w:rFonts w:ascii="Arial" w:hAnsi="Arial"/>
          <w:sz w:val="22"/>
          <w:szCs w:val="22"/>
        </w:rPr>
        <w:t xml:space="preserve">alternative safe </w:t>
      </w:r>
      <w:r w:rsidR="00B9771E">
        <w:rPr>
          <w:rFonts w:ascii="Arial" w:hAnsi="Arial"/>
          <w:sz w:val="22"/>
          <w:szCs w:val="22"/>
        </w:rPr>
        <w:t>harbour</w:t>
      </w:r>
      <w:r w:rsidRPr="00982B6D">
        <w:rPr>
          <w:rFonts w:ascii="Arial" w:hAnsi="Arial"/>
          <w:sz w:val="22"/>
          <w:szCs w:val="22"/>
        </w:rPr>
        <w:t xml:space="preserve"> (</w:t>
      </w:r>
      <w:r w:rsidR="005C70AA">
        <w:rPr>
          <w:rFonts w:ascii="Arial" w:hAnsi="Arial"/>
          <w:sz w:val="22"/>
          <w:szCs w:val="22"/>
        </w:rPr>
        <w:t xml:space="preserve">for example, </w:t>
      </w:r>
      <w:r w:rsidR="00173031" w:rsidRPr="00982B6D">
        <w:rPr>
          <w:rFonts w:ascii="Arial" w:hAnsi="Arial"/>
          <w:sz w:val="22"/>
          <w:szCs w:val="22"/>
        </w:rPr>
        <w:t xml:space="preserve">leeward of Wilsons Promontory </w:t>
      </w:r>
      <w:r w:rsidR="00173031" w:rsidRPr="00B9771E">
        <w:rPr>
          <w:rFonts w:ascii="Arial" w:hAnsi="Arial"/>
          <w:sz w:val="22"/>
          <w:szCs w:val="22"/>
        </w:rPr>
        <w:t>or Flinders Island</w:t>
      </w:r>
      <w:r w:rsidRPr="00B9771E">
        <w:rPr>
          <w:rFonts w:ascii="Arial" w:hAnsi="Arial"/>
          <w:sz w:val="22"/>
          <w:szCs w:val="22"/>
        </w:rPr>
        <w:t>)</w:t>
      </w:r>
      <w:r w:rsidRPr="00982B6D">
        <w:rPr>
          <w:rFonts w:ascii="Arial" w:hAnsi="Arial"/>
          <w:sz w:val="22"/>
          <w:szCs w:val="22"/>
        </w:rPr>
        <w:t xml:space="preserve"> or turn into the weather and head into the seas. </w:t>
      </w:r>
    </w:p>
    <w:p w14:paraId="6CFAA081" w14:textId="77777777" w:rsidR="00173031" w:rsidRDefault="00173031" w:rsidP="00173031">
      <w:pPr>
        <w:pStyle w:val="Heading3"/>
      </w:pPr>
      <w:bookmarkStart w:id="49" w:name="_Toc470097796"/>
      <w:bookmarkStart w:id="50" w:name="_Toc474221947"/>
      <w:bookmarkStart w:id="51" w:name="_Ref475016229"/>
      <w:bookmarkStart w:id="52" w:name="_Toc349230320"/>
      <w:bookmarkStart w:id="53" w:name="_Toc479318062"/>
      <w:bookmarkStart w:id="54" w:name="_Toc479763930"/>
      <w:bookmarkStart w:id="55" w:name="_Toc375214508"/>
      <w:r>
        <w:t>Support Vessels</w:t>
      </w:r>
      <w:bookmarkEnd w:id="49"/>
      <w:bookmarkEnd w:id="50"/>
      <w:bookmarkEnd w:id="51"/>
      <w:bookmarkEnd w:id="52"/>
      <w:bookmarkEnd w:id="53"/>
      <w:bookmarkEnd w:id="54"/>
      <w:bookmarkEnd w:id="55"/>
    </w:p>
    <w:p w14:paraId="65EC6FF8" w14:textId="09140FAC" w:rsidR="005C7614" w:rsidRPr="00982B6D" w:rsidRDefault="0036513D" w:rsidP="00982B6D">
      <w:pPr>
        <w:pStyle w:val="bodycopy"/>
        <w:rPr>
          <w:rFonts w:ascii="Arial" w:hAnsi="Arial"/>
          <w:sz w:val="22"/>
          <w:szCs w:val="22"/>
        </w:rPr>
      </w:pPr>
      <w:r w:rsidRPr="00982B6D">
        <w:rPr>
          <w:rFonts w:ascii="Arial" w:hAnsi="Arial"/>
          <w:sz w:val="22"/>
          <w:szCs w:val="22"/>
        </w:rPr>
        <w:t xml:space="preserve">At least two support vessels, comprising a </w:t>
      </w:r>
      <w:r w:rsidR="00751717" w:rsidRPr="00982B6D">
        <w:rPr>
          <w:rFonts w:ascii="Arial" w:hAnsi="Arial"/>
          <w:sz w:val="22"/>
          <w:szCs w:val="22"/>
        </w:rPr>
        <w:t>‘</w:t>
      </w:r>
      <w:r w:rsidRPr="00982B6D">
        <w:rPr>
          <w:rFonts w:ascii="Arial" w:hAnsi="Arial"/>
          <w:sz w:val="22"/>
          <w:szCs w:val="22"/>
        </w:rPr>
        <w:t>guard vessel</w:t>
      </w:r>
      <w:r w:rsidR="00751717" w:rsidRPr="00982B6D">
        <w:rPr>
          <w:rFonts w:ascii="Arial" w:hAnsi="Arial"/>
          <w:sz w:val="22"/>
          <w:szCs w:val="22"/>
        </w:rPr>
        <w:t>’</w:t>
      </w:r>
      <w:r w:rsidRPr="00982B6D">
        <w:rPr>
          <w:rFonts w:ascii="Arial" w:hAnsi="Arial"/>
          <w:sz w:val="22"/>
          <w:szCs w:val="22"/>
        </w:rPr>
        <w:t xml:space="preserve"> and at least one smaller </w:t>
      </w:r>
      <w:r w:rsidR="00751717" w:rsidRPr="00982B6D">
        <w:rPr>
          <w:rFonts w:ascii="Arial" w:hAnsi="Arial"/>
          <w:sz w:val="22"/>
          <w:szCs w:val="22"/>
        </w:rPr>
        <w:t>‘</w:t>
      </w:r>
      <w:r w:rsidRPr="00982B6D">
        <w:rPr>
          <w:rFonts w:ascii="Arial" w:hAnsi="Arial"/>
          <w:sz w:val="22"/>
          <w:szCs w:val="22"/>
        </w:rPr>
        <w:t>scout vessel</w:t>
      </w:r>
      <w:r w:rsidR="00751717" w:rsidRPr="00982B6D">
        <w:rPr>
          <w:rFonts w:ascii="Arial" w:hAnsi="Arial"/>
          <w:sz w:val="22"/>
          <w:szCs w:val="22"/>
        </w:rPr>
        <w:t>’</w:t>
      </w:r>
      <w:r w:rsidRPr="00982B6D">
        <w:rPr>
          <w:rFonts w:ascii="Arial" w:hAnsi="Arial"/>
          <w:sz w:val="22"/>
          <w:szCs w:val="22"/>
        </w:rPr>
        <w:t>, will support the survey vessel</w:t>
      </w:r>
      <w:r w:rsidR="00751717" w:rsidRPr="00982B6D">
        <w:rPr>
          <w:rFonts w:ascii="Arial" w:hAnsi="Arial"/>
          <w:sz w:val="22"/>
          <w:szCs w:val="22"/>
        </w:rPr>
        <w:t xml:space="preserve"> for the duration of the survey</w:t>
      </w:r>
      <w:r w:rsidRPr="00982B6D">
        <w:rPr>
          <w:rFonts w:ascii="Arial" w:hAnsi="Arial"/>
          <w:sz w:val="22"/>
          <w:szCs w:val="22"/>
        </w:rPr>
        <w:t>. The</w:t>
      </w:r>
      <w:r w:rsidR="005C7614" w:rsidRPr="00982B6D">
        <w:rPr>
          <w:rFonts w:ascii="Arial" w:hAnsi="Arial"/>
          <w:sz w:val="22"/>
          <w:szCs w:val="22"/>
        </w:rPr>
        <w:t>se</w:t>
      </w:r>
      <w:r w:rsidRPr="00982B6D">
        <w:rPr>
          <w:rFonts w:ascii="Arial" w:hAnsi="Arial"/>
          <w:sz w:val="22"/>
          <w:szCs w:val="22"/>
        </w:rPr>
        <w:t xml:space="preserve"> vessels will be approximately 20 m in length and 6 m wide, have a rope hauler and carry up to 7 persons. They will </w:t>
      </w:r>
      <w:r w:rsidR="005C7614" w:rsidRPr="00982B6D">
        <w:rPr>
          <w:rFonts w:ascii="Arial" w:hAnsi="Arial"/>
          <w:sz w:val="22"/>
          <w:szCs w:val="22"/>
        </w:rPr>
        <w:t>assist with</w:t>
      </w:r>
      <w:r w:rsidRPr="00982B6D">
        <w:rPr>
          <w:rFonts w:ascii="Arial" w:hAnsi="Arial"/>
          <w:sz w:val="22"/>
          <w:szCs w:val="22"/>
        </w:rPr>
        <w:t xml:space="preserve"> scouting, marine mammal observation, </w:t>
      </w:r>
      <w:r w:rsidR="00B9771E">
        <w:rPr>
          <w:rFonts w:ascii="Arial" w:hAnsi="Arial"/>
          <w:sz w:val="22"/>
          <w:szCs w:val="22"/>
        </w:rPr>
        <w:t xml:space="preserve">fisheries liaison, </w:t>
      </w:r>
      <w:r w:rsidRPr="00982B6D">
        <w:rPr>
          <w:rFonts w:ascii="Arial" w:hAnsi="Arial"/>
          <w:sz w:val="22"/>
          <w:szCs w:val="22"/>
        </w:rPr>
        <w:t xml:space="preserve">chase duties and the removal of entanglement hazards as necessary for the safe conduct of the survey. </w:t>
      </w:r>
    </w:p>
    <w:p w14:paraId="3A9067B8" w14:textId="692512ED" w:rsidR="0036513D" w:rsidRPr="00982B6D" w:rsidRDefault="0036513D" w:rsidP="00982B6D">
      <w:pPr>
        <w:pStyle w:val="bodycopy"/>
        <w:rPr>
          <w:rFonts w:ascii="Arial" w:hAnsi="Arial"/>
          <w:sz w:val="22"/>
          <w:szCs w:val="22"/>
        </w:rPr>
      </w:pPr>
      <w:r w:rsidRPr="00982B6D">
        <w:rPr>
          <w:rFonts w:ascii="Arial" w:hAnsi="Arial"/>
          <w:sz w:val="22"/>
          <w:szCs w:val="22"/>
        </w:rPr>
        <w:t xml:space="preserve">The operators of the support vessels will be licensed </w:t>
      </w:r>
      <w:r w:rsidR="00A922E6">
        <w:rPr>
          <w:rFonts w:ascii="Arial" w:hAnsi="Arial"/>
          <w:sz w:val="22"/>
          <w:szCs w:val="22"/>
        </w:rPr>
        <w:t xml:space="preserve">by the Victorian Fisheries Authority (VFA) </w:t>
      </w:r>
      <w:r w:rsidRPr="00982B6D">
        <w:rPr>
          <w:rFonts w:ascii="Arial" w:hAnsi="Arial"/>
          <w:sz w:val="22"/>
          <w:szCs w:val="22"/>
        </w:rPr>
        <w:t xml:space="preserve">to move any unattended fishing gear that may have been lost, drifted or been deployed in the </w:t>
      </w:r>
      <w:r w:rsidR="00A922E6">
        <w:rPr>
          <w:rFonts w:ascii="Arial" w:hAnsi="Arial"/>
          <w:sz w:val="22"/>
          <w:szCs w:val="22"/>
        </w:rPr>
        <w:t xml:space="preserve">Victorian waters portion of the operational </w:t>
      </w:r>
      <w:r w:rsidRPr="00982B6D">
        <w:rPr>
          <w:rFonts w:ascii="Arial" w:hAnsi="Arial"/>
          <w:sz w:val="22"/>
          <w:szCs w:val="22"/>
        </w:rPr>
        <w:t xml:space="preserve">area prior to, or during, the survey period. This avoids damaging fishing equipment and lowers risk of entanglement with the towed seismic equipment. The vessels will liaise with any fishermen nearby to minimise interactions between the </w:t>
      </w:r>
      <w:r w:rsidR="00B9771E">
        <w:rPr>
          <w:rFonts w:ascii="Arial" w:hAnsi="Arial"/>
          <w:sz w:val="22"/>
          <w:szCs w:val="22"/>
        </w:rPr>
        <w:t>source vessel</w:t>
      </w:r>
      <w:r w:rsidRPr="00982B6D">
        <w:rPr>
          <w:rFonts w:ascii="Arial" w:hAnsi="Arial"/>
          <w:sz w:val="22"/>
          <w:szCs w:val="22"/>
        </w:rPr>
        <w:t xml:space="preserve"> and fish</w:t>
      </w:r>
      <w:r w:rsidR="00B9771E">
        <w:rPr>
          <w:rFonts w:ascii="Arial" w:hAnsi="Arial"/>
          <w:sz w:val="22"/>
          <w:szCs w:val="22"/>
        </w:rPr>
        <w:t>ers</w:t>
      </w:r>
      <w:r w:rsidR="005C7614" w:rsidRPr="00982B6D">
        <w:rPr>
          <w:rFonts w:ascii="Arial" w:hAnsi="Arial"/>
          <w:sz w:val="22"/>
          <w:szCs w:val="22"/>
        </w:rPr>
        <w:t>.</w:t>
      </w:r>
    </w:p>
    <w:p w14:paraId="50E7C387" w14:textId="6B152E03" w:rsidR="00605298" w:rsidRPr="00982B6D" w:rsidRDefault="00605298" w:rsidP="00982B6D">
      <w:pPr>
        <w:pStyle w:val="bodycopy"/>
        <w:rPr>
          <w:rFonts w:ascii="Arial" w:hAnsi="Arial"/>
          <w:sz w:val="22"/>
          <w:szCs w:val="22"/>
        </w:rPr>
      </w:pPr>
      <w:r w:rsidRPr="00982B6D">
        <w:rPr>
          <w:rFonts w:ascii="Arial" w:hAnsi="Arial"/>
          <w:sz w:val="22"/>
          <w:szCs w:val="22"/>
        </w:rPr>
        <w:t xml:space="preserve">The same principles regarding regulatory jurisdiction, </w:t>
      </w:r>
      <w:r w:rsidR="004A650D" w:rsidRPr="00982B6D">
        <w:rPr>
          <w:rFonts w:ascii="Arial" w:hAnsi="Arial"/>
          <w:sz w:val="22"/>
          <w:szCs w:val="22"/>
        </w:rPr>
        <w:t xml:space="preserve">environmental credentials, </w:t>
      </w:r>
      <w:r w:rsidRPr="00982B6D">
        <w:rPr>
          <w:rFonts w:ascii="Arial" w:hAnsi="Arial"/>
          <w:sz w:val="22"/>
          <w:szCs w:val="22"/>
        </w:rPr>
        <w:t xml:space="preserve">maritime safety, lighting and bad weather shelter as described for the survey vessel in Section </w:t>
      </w:r>
      <w:r w:rsidR="00735C7C">
        <w:rPr>
          <w:rFonts w:ascii="Arial" w:hAnsi="Arial"/>
          <w:sz w:val="22"/>
          <w:szCs w:val="22"/>
        </w:rPr>
        <w:t>2.5.6</w:t>
      </w:r>
      <w:r w:rsidRPr="00982B6D">
        <w:rPr>
          <w:rFonts w:ascii="Arial" w:hAnsi="Arial"/>
          <w:sz w:val="22"/>
          <w:szCs w:val="22"/>
        </w:rPr>
        <w:t xml:space="preserve"> apply to the support vessels. </w:t>
      </w:r>
      <w:r w:rsidR="00282E86">
        <w:rPr>
          <w:rFonts w:ascii="Arial" w:hAnsi="Arial"/>
          <w:sz w:val="22"/>
          <w:szCs w:val="22"/>
        </w:rPr>
        <w:t xml:space="preserve">The environmental performance </w:t>
      </w:r>
      <w:r w:rsidR="00282E86">
        <w:rPr>
          <w:rFonts w:ascii="Arial" w:hAnsi="Arial"/>
          <w:sz w:val="22"/>
          <w:szCs w:val="22"/>
        </w:rPr>
        <w:lastRenderedPageBreak/>
        <w:t>standards listed throughout the EP apply to the support vessels as well as the survey vessel.</w:t>
      </w:r>
    </w:p>
    <w:p w14:paraId="7CACD3AF" w14:textId="596745A4" w:rsidR="006D33F9" w:rsidRPr="00982B6D" w:rsidRDefault="0055135D" w:rsidP="00982B6D">
      <w:pPr>
        <w:pStyle w:val="bodycopy"/>
        <w:rPr>
          <w:rFonts w:ascii="Arial" w:hAnsi="Arial"/>
          <w:sz w:val="22"/>
          <w:szCs w:val="22"/>
        </w:rPr>
      </w:pPr>
      <w:r w:rsidRPr="00982B6D">
        <w:rPr>
          <w:rFonts w:ascii="Arial" w:hAnsi="Arial"/>
          <w:sz w:val="22"/>
          <w:szCs w:val="22"/>
        </w:rPr>
        <w:t>Non-oil tanker vessels less than 400 gross tonnes are not required to carry a SMPEP under Regulation 37 of MARPOL Annex I</w:t>
      </w:r>
      <w:r w:rsidR="00BE638E" w:rsidRPr="00982B6D">
        <w:rPr>
          <w:rFonts w:ascii="Arial" w:hAnsi="Arial"/>
          <w:sz w:val="22"/>
          <w:szCs w:val="22"/>
        </w:rPr>
        <w:t xml:space="preserve"> or International Safety Management or International Ship Security certificates</w:t>
      </w:r>
      <w:r w:rsidRPr="00982B6D">
        <w:rPr>
          <w:rFonts w:ascii="Arial" w:hAnsi="Arial"/>
          <w:sz w:val="22"/>
          <w:szCs w:val="22"/>
        </w:rPr>
        <w:t xml:space="preserve">.  </w:t>
      </w:r>
    </w:p>
    <w:p w14:paraId="0D41E37A" w14:textId="77777777" w:rsidR="006E1C0D" w:rsidRPr="00982B6D" w:rsidRDefault="006E1C0D" w:rsidP="00982B6D">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56" w:name="_Toc375214509"/>
      <w:r w:rsidRPr="00982B6D">
        <w:rPr>
          <w:rFonts w:cs="Times New Roman"/>
          <w:iCs w:val="0"/>
          <w:color w:val="064EA8"/>
          <w:szCs w:val="26"/>
          <w:lang w:eastAsia="en-US"/>
        </w:rPr>
        <w:t>Simultaneous Surveys</w:t>
      </w:r>
      <w:bookmarkEnd w:id="56"/>
    </w:p>
    <w:p w14:paraId="33C07F63" w14:textId="4FD64B1B" w:rsidR="00773365" w:rsidRPr="00982B6D" w:rsidRDefault="00773365" w:rsidP="00773365">
      <w:pPr>
        <w:pStyle w:val="bodycopy"/>
        <w:rPr>
          <w:rFonts w:ascii="Arial" w:hAnsi="Arial"/>
          <w:sz w:val="22"/>
          <w:szCs w:val="22"/>
        </w:rPr>
      </w:pPr>
      <w:r>
        <w:rPr>
          <w:rFonts w:ascii="Arial" w:hAnsi="Arial"/>
          <w:sz w:val="22"/>
          <w:szCs w:val="22"/>
        </w:rPr>
        <w:t xml:space="preserve">There are no other MSS scheduled to occur in the Gippsland Basin at the same time as the proposed Pelican 3DMSS. As such, the potential impacts of simultaneous surveys will not be experienced. </w:t>
      </w:r>
    </w:p>
    <w:p w14:paraId="7B188AB8" w14:textId="62D4A60E" w:rsidR="006B1288" w:rsidRDefault="006B1288" w:rsidP="006B1288">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57" w:name="_Toc375214510"/>
      <w:r>
        <w:rPr>
          <w:rFonts w:cs="Times New Roman"/>
          <w:iCs w:val="0"/>
          <w:color w:val="064EA8"/>
          <w:szCs w:val="26"/>
          <w:lang w:eastAsia="en-US"/>
        </w:rPr>
        <w:t xml:space="preserve">Associated </w:t>
      </w:r>
      <w:r w:rsidR="00A922E6">
        <w:rPr>
          <w:rFonts w:cs="Times New Roman"/>
          <w:iCs w:val="0"/>
          <w:color w:val="064EA8"/>
          <w:szCs w:val="26"/>
          <w:lang w:eastAsia="en-US"/>
        </w:rPr>
        <w:t>Field Activities</w:t>
      </w:r>
      <w:bookmarkEnd w:id="57"/>
    </w:p>
    <w:p w14:paraId="42A028AB" w14:textId="5935BE47" w:rsidR="00012D6A" w:rsidRDefault="00012D6A" w:rsidP="00012D6A">
      <w:pPr>
        <w:pStyle w:val="Heading3"/>
      </w:pPr>
      <w:bookmarkStart w:id="58" w:name="_Toc375214511"/>
      <w:r>
        <w:t>Habitat Assessment</w:t>
      </w:r>
      <w:bookmarkEnd w:id="58"/>
    </w:p>
    <w:p w14:paraId="54C0F26D" w14:textId="31558B01" w:rsidR="00D37653" w:rsidRDefault="00CA0044" w:rsidP="00E92A87">
      <w:pPr>
        <w:pStyle w:val="bodycopy"/>
        <w:rPr>
          <w:rFonts w:ascii="Arial" w:hAnsi="Arial"/>
          <w:sz w:val="22"/>
          <w:szCs w:val="22"/>
        </w:rPr>
      </w:pPr>
      <w:r>
        <w:rPr>
          <w:rFonts w:ascii="Arial" w:hAnsi="Arial"/>
          <w:sz w:val="22"/>
          <w:szCs w:val="22"/>
        </w:rPr>
        <w:t xml:space="preserve">As part of the Pelican 3DMSS, CarbonNet </w:t>
      </w:r>
      <w:r w:rsidR="00773365">
        <w:rPr>
          <w:rFonts w:ascii="Arial" w:hAnsi="Arial"/>
          <w:sz w:val="22"/>
          <w:szCs w:val="22"/>
        </w:rPr>
        <w:t xml:space="preserve">will </w:t>
      </w:r>
      <w:r>
        <w:rPr>
          <w:rFonts w:ascii="Arial" w:hAnsi="Arial"/>
          <w:sz w:val="22"/>
          <w:szCs w:val="22"/>
        </w:rPr>
        <w:t xml:space="preserve">undertake a pre- and post-MSS </w:t>
      </w:r>
      <w:r w:rsidR="0066789E">
        <w:rPr>
          <w:rFonts w:ascii="Arial" w:hAnsi="Arial"/>
          <w:sz w:val="22"/>
          <w:szCs w:val="22"/>
        </w:rPr>
        <w:t xml:space="preserve">non-invasive </w:t>
      </w:r>
      <w:r w:rsidR="00A922E6">
        <w:rPr>
          <w:rFonts w:ascii="Arial" w:hAnsi="Arial"/>
          <w:sz w:val="22"/>
          <w:szCs w:val="22"/>
        </w:rPr>
        <w:t>habitat assessment</w:t>
      </w:r>
      <w:r w:rsidR="0066789E">
        <w:rPr>
          <w:rFonts w:ascii="Arial" w:hAnsi="Arial"/>
          <w:sz w:val="22"/>
          <w:szCs w:val="22"/>
        </w:rPr>
        <w:t xml:space="preserve"> </w:t>
      </w:r>
      <w:r w:rsidR="00773365">
        <w:rPr>
          <w:rFonts w:ascii="Arial" w:hAnsi="Arial"/>
          <w:sz w:val="22"/>
          <w:szCs w:val="22"/>
        </w:rPr>
        <w:t>(i.e.</w:t>
      </w:r>
      <w:r w:rsidR="00A922E6">
        <w:rPr>
          <w:rFonts w:ascii="Arial" w:hAnsi="Arial"/>
          <w:sz w:val="22"/>
          <w:szCs w:val="22"/>
        </w:rPr>
        <w:t xml:space="preserve">, towed video) </w:t>
      </w:r>
      <w:r w:rsidR="00F23C43">
        <w:rPr>
          <w:rFonts w:ascii="Arial" w:hAnsi="Arial"/>
          <w:sz w:val="22"/>
          <w:szCs w:val="22"/>
        </w:rPr>
        <w:t xml:space="preserve">within and adjacent to </w:t>
      </w:r>
      <w:r w:rsidR="0066789E">
        <w:rPr>
          <w:rFonts w:ascii="Arial" w:hAnsi="Arial"/>
          <w:sz w:val="22"/>
          <w:szCs w:val="22"/>
        </w:rPr>
        <w:t xml:space="preserve">the operational area to </w:t>
      </w:r>
      <w:r w:rsidR="00A922E6">
        <w:rPr>
          <w:rFonts w:ascii="Arial" w:hAnsi="Arial"/>
          <w:sz w:val="22"/>
          <w:szCs w:val="22"/>
        </w:rPr>
        <w:t>re-confirm</w:t>
      </w:r>
      <w:r w:rsidR="0066789E">
        <w:rPr>
          <w:rFonts w:ascii="Arial" w:hAnsi="Arial"/>
          <w:sz w:val="22"/>
          <w:szCs w:val="22"/>
        </w:rPr>
        <w:t xml:space="preserve"> the presence or absence of </w:t>
      </w:r>
      <w:r w:rsidR="00773365">
        <w:rPr>
          <w:rFonts w:ascii="Arial" w:hAnsi="Arial"/>
          <w:sz w:val="22"/>
          <w:szCs w:val="22"/>
        </w:rPr>
        <w:t>commercial scallops and southern rock lobsters</w:t>
      </w:r>
      <w:r w:rsidR="0066789E" w:rsidRPr="00735C7C">
        <w:rPr>
          <w:rFonts w:ascii="Arial" w:hAnsi="Arial"/>
          <w:sz w:val="22"/>
          <w:szCs w:val="22"/>
        </w:rPr>
        <w:t>.</w:t>
      </w:r>
      <w:r w:rsidR="0066789E">
        <w:rPr>
          <w:rFonts w:ascii="Arial" w:hAnsi="Arial"/>
          <w:sz w:val="22"/>
          <w:szCs w:val="22"/>
        </w:rPr>
        <w:t xml:space="preserve"> </w:t>
      </w:r>
    </w:p>
    <w:p w14:paraId="52F42411" w14:textId="459A5F80" w:rsidR="006B1288" w:rsidRDefault="005D1B84" w:rsidP="00E92A87">
      <w:pPr>
        <w:pStyle w:val="bodycopy"/>
        <w:rPr>
          <w:rFonts w:ascii="Arial" w:hAnsi="Arial"/>
          <w:sz w:val="22"/>
          <w:szCs w:val="22"/>
        </w:rPr>
      </w:pPr>
      <w:r>
        <w:rPr>
          <w:rFonts w:ascii="Arial" w:hAnsi="Arial"/>
          <w:sz w:val="22"/>
          <w:szCs w:val="22"/>
        </w:rPr>
        <w:t xml:space="preserve">There will be no seabed disturbance associated with this proposed </w:t>
      </w:r>
      <w:r w:rsidR="00A922E6">
        <w:rPr>
          <w:rFonts w:ascii="Arial" w:hAnsi="Arial"/>
          <w:sz w:val="22"/>
          <w:szCs w:val="22"/>
        </w:rPr>
        <w:t>habitat assessment</w:t>
      </w:r>
      <w:r>
        <w:rPr>
          <w:rFonts w:ascii="Arial" w:hAnsi="Arial"/>
          <w:sz w:val="22"/>
          <w:szCs w:val="22"/>
        </w:rPr>
        <w:t xml:space="preserve">. </w:t>
      </w:r>
      <w:r w:rsidR="00522122">
        <w:rPr>
          <w:rFonts w:ascii="Arial" w:hAnsi="Arial"/>
          <w:sz w:val="22"/>
          <w:szCs w:val="22"/>
        </w:rPr>
        <w:t>The habitat assessment will be facilitated using a small charter vessel, where</w:t>
      </w:r>
      <w:r w:rsidR="00B00AFE">
        <w:rPr>
          <w:rFonts w:ascii="Arial" w:hAnsi="Arial"/>
          <w:sz w:val="22"/>
          <w:szCs w:val="22"/>
        </w:rPr>
        <w:t xml:space="preserve"> sewage, grey water and other wastes will be discharged via port facilities rather than at sea. </w:t>
      </w:r>
    </w:p>
    <w:p w14:paraId="3DAC002D" w14:textId="5EA77C2E" w:rsidR="00012D6A" w:rsidRDefault="0099637C" w:rsidP="00891DE1">
      <w:pPr>
        <w:pStyle w:val="Heading3"/>
        <w:numPr>
          <w:ilvl w:val="0"/>
          <w:numId w:val="0"/>
        </w:numPr>
        <w:ind w:left="720"/>
      </w:pPr>
      <w:bookmarkStart w:id="59" w:name="_Toc375214512"/>
      <w:r>
        <w:t>2.7.2</w:t>
      </w:r>
      <w:r>
        <w:tab/>
      </w:r>
      <w:r w:rsidR="00012D6A">
        <w:t>Underwater Sound Validation</w:t>
      </w:r>
      <w:bookmarkEnd w:id="59"/>
    </w:p>
    <w:p w14:paraId="65E0180A" w14:textId="4816D5AA" w:rsidR="008256DF" w:rsidRDefault="00DF6B27" w:rsidP="00891DE1">
      <w:pPr>
        <w:pStyle w:val="bodycopy"/>
        <w:rPr>
          <w:rFonts w:ascii="Arial" w:hAnsi="Arial"/>
          <w:sz w:val="22"/>
          <w:szCs w:val="22"/>
        </w:rPr>
      </w:pPr>
      <w:r>
        <w:rPr>
          <w:rFonts w:ascii="Arial" w:hAnsi="Arial"/>
          <w:sz w:val="22"/>
          <w:szCs w:val="22"/>
        </w:rPr>
        <w:t xml:space="preserve">To inform the wider body of scientific knowledge regarding MSS, CarbonNet </w:t>
      </w:r>
      <w:r w:rsidR="00E92A87">
        <w:rPr>
          <w:rFonts w:ascii="Arial" w:hAnsi="Arial"/>
          <w:sz w:val="22"/>
          <w:szCs w:val="22"/>
        </w:rPr>
        <w:t>will</w:t>
      </w:r>
      <w:r>
        <w:rPr>
          <w:rFonts w:ascii="Arial" w:hAnsi="Arial"/>
          <w:sz w:val="22"/>
          <w:szCs w:val="22"/>
        </w:rPr>
        <w:t xml:space="preserve"> validate the STLM prepared for the Pelican 3DMSS. </w:t>
      </w:r>
      <w:r w:rsidR="007867DF">
        <w:rPr>
          <w:rFonts w:ascii="Arial" w:hAnsi="Arial"/>
          <w:sz w:val="22"/>
          <w:szCs w:val="22"/>
        </w:rPr>
        <w:t>S</w:t>
      </w:r>
      <w:r w:rsidR="00012D6A">
        <w:rPr>
          <w:rFonts w:ascii="Arial" w:hAnsi="Arial"/>
          <w:sz w:val="22"/>
          <w:szCs w:val="22"/>
        </w:rPr>
        <w:t xml:space="preserve">everal sound loggers </w:t>
      </w:r>
      <w:r w:rsidR="007867DF">
        <w:rPr>
          <w:rFonts w:ascii="Arial" w:hAnsi="Arial"/>
          <w:sz w:val="22"/>
          <w:szCs w:val="22"/>
        </w:rPr>
        <w:t xml:space="preserve">will be deployed and recovered on </w:t>
      </w:r>
      <w:r w:rsidR="00012D6A">
        <w:rPr>
          <w:rFonts w:ascii="Arial" w:hAnsi="Arial"/>
          <w:sz w:val="22"/>
          <w:szCs w:val="22"/>
        </w:rPr>
        <w:t>the seabed</w:t>
      </w:r>
      <w:r w:rsidR="007867DF">
        <w:rPr>
          <w:rFonts w:ascii="Arial" w:hAnsi="Arial"/>
          <w:sz w:val="22"/>
          <w:szCs w:val="22"/>
        </w:rPr>
        <w:t xml:space="preserve"> by </w:t>
      </w:r>
      <w:r w:rsidR="00012D6A">
        <w:rPr>
          <w:rFonts w:ascii="Arial" w:hAnsi="Arial"/>
          <w:sz w:val="22"/>
          <w:szCs w:val="22"/>
        </w:rPr>
        <w:t>a small vessel</w:t>
      </w:r>
      <w:r w:rsidR="007867DF">
        <w:rPr>
          <w:rFonts w:ascii="Arial" w:hAnsi="Arial"/>
          <w:sz w:val="22"/>
          <w:szCs w:val="22"/>
        </w:rPr>
        <w:t>.</w:t>
      </w:r>
      <w:r w:rsidR="00012D6A">
        <w:rPr>
          <w:rFonts w:ascii="Arial" w:hAnsi="Arial"/>
          <w:sz w:val="22"/>
          <w:szCs w:val="22"/>
        </w:rPr>
        <w:t xml:space="preserve"> </w:t>
      </w:r>
      <w:r w:rsidR="00EE78E1" w:rsidRPr="006843D1">
        <w:rPr>
          <w:rFonts w:ascii="Arial" w:hAnsi="Arial"/>
          <w:sz w:val="22"/>
          <w:szCs w:val="22"/>
        </w:rPr>
        <w:t xml:space="preserve">The </w:t>
      </w:r>
      <w:r w:rsidR="00EE78E1">
        <w:rPr>
          <w:rFonts w:ascii="Arial" w:hAnsi="Arial"/>
          <w:sz w:val="22"/>
          <w:szCs w:val="22"/>
        </w:rPr>
        <w:t xml:space="preserve">loggers will rest on the seabed with the </w:t>
      </w:r>
      <w:r w:rsidR="00F0490A">
        <w:rPr>
          <w:rFonts w:ascii="Arial" w:hAnsi="Arial"/>
          <w:sz w:val="22"/>
          <w:szCs w:val="22"/>
        </w:rPr>
        <w:t xml:space="preserve">use of </w:t>
      </w:r>
      <w:r w:rsidR="00EE78E1" w:rsidRPr="006843D1">
        <w:rPr>
          <w:rFonts w:ascii="Arial" w:hAnsi="Arial"/>
          <w:sz w:val="22"/>
          <w:szCs w:val="22"/>
        </w:rPr>
        <w:t xml:space="preserve">weight/s to keep the logger </w:t>
      </w:r>
      <w:r w:rsidR="00F0490A">
        <w:rPr>
          <w:rFonts w:ascii="Arial" w:hAnsi="Arial"/>
          <w:sz w:val="22"/>
          <w:szCs w:val="22"/>
        </w:rPr>
        <w:t xml:space="preserve">secured </w:t>
      </w:r>
      <w:r w:rsidR="00F23C43">
        <w:rPr>
          <w:rFonts w:ascii="Arial" w:hAnsi="Arial"/>
          <w:sz w:val="22"/>
          <w:szCs w:val="22"/>
        </w:rPr>
        <w:t>stationary</w:t>
      </w:r>
      <w:r w:rsidR="005C5B76">
        <w:rPr>
          <w:rFonts w:ascii="Arial" w:hAnsi="Arial"/>
          <w:sz w:val="22"/>
          <w:szCs w:val="22"/>
        </w:rPr>
        <w:t xml:space="preserve">. </w:t>
      </w:r>
      <w:r w:rsidR="008256DF">
        <w:rPr>
          <w:rFonts w:ascii="Arial" w:hAnsi="Arial"/>
          <w:sz w:val="22"/>
          <w:szCs w:val="22"/>
        </w:rPr>
        <w:t>The loggers</w:t>
      </w:r>
      <w:r w:rsidR="008256DF" w:rsidRPr="006843D1">
        <w:rPr>
          <w:rFonts w:ascii="Arial" w:hAnsi="Arial"/>
          <w:sz w:val="22"/>
          <w:szCs w:val="22"/>
        </w:rPr>
        <w:t xml:space="preserve"> </w:t>
      </w:r>
      <w:r w:rsidR="005C42B6">
        <w:rPr>
          <w:rFonts w:ascii="Arial" w:hAnsi="Arial"/>
          <w:sz w:val="22"/>
          <w:szCs w:val="22"/>
        </w:rPr>
        <w:t>will be retrieved once the validation study is complete (once the MSS has finished)</w:t>
      </w:r>
      <w:r w:rsidR="008256DF">
        <w:rPr>
          <w:rFonts w:ascii="Arial" w:hAnsi="Arial"/>
          <w:sz w:val="22"/>
          <w:szCs w:val="22"/>
        </w:rPr>
        <w:t xml:space="preserve">. </w:t>
      </w:r>
    </w:p>
    <w:p w14:paraId="0AD77BBA" w14:textId="77777777" w:rsidR="006E3F8B" w:rsidRPr="00982B6D" w:rsidRDefault="006E3F8B" w:rsidP="00982B6D">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60" w:name="_Toc375214513"/>
      <w:r w:rsidRPr="00982B6D">
        <w:rPr>
          <w:rFonts w:cs="Times New Roman"/>
          <w:iCs w:val="0"/>
          <w:color w:val="064EA8"/>
          <w:szCs w:val="26"/>
          <w:lang w:eastAsia="en-US"/>
        </w:rPr>
        <w:t>Survey Summary</w:t>
      </w:r>
      <w:bookmarkEnd w:id="60"/>
    </w:p>
    <w:p w14:paraId="07B2511C" w14:textId="3C54E104" w:rsidR="006712A7" w:rsidRDefault="006E3F8B" w:rsidP="00FB18DD">
      <w:pPr>
        <w:pStyle w:val="bodycopy"/>
        <w:spacing w:after="240"/>
        <w:rPr>
          <w:rFonts w:ascii="Arial" w:hAnsi="Arial"/>
          <w:sz w:val="22"/>
          <w:szCs w:val="22"/>
        </w:rPr>
      </w:pPr>
      <w:r w:rsidRPr="00F80400">
        <w:rPr>
          <w:rFonts w:ascii="Arial" w:hAnsi="Arial"/>
          <w:sz w:val="22"/>
          <w:szCs w:val="22"/>
        </w:rPr>
        <w:t xml:space="preserve">Table </w:t>
      </w:r>
      <w:r w:rsidR="0064059C" w:rsidRPr="00F80400">
        <w:rPr>
          <w:rFonts w:ascii="Arial" w:hAnsi="Arial"/>
          <w:sz w:val="22"/>
          <w:szCs w:val="22"/>
        </w:rPr>
        <w:t>2.</w:t>
      </w:r>
      <w:r w:rsidR="00E550D7">
        <w:rPr>
          <w:rFonts w:ascii="Arial" w:hAnsi="Arial"/>
          <w:sz w:val="22"/>
          <w:szCs w:val="22"/>
        </w:rPr>
        <w:t>3</w:t>
      </w:r>
      <w:r w:rsidRPr="00982B6D">
        <w:rPr>
          <w:rFonts w:ascii="Arial" w:hAnsi="Arial"/>
          <w:color w:val="FF0000"/>
          <w:sz w:val="22"/>
          <w:szCs w:val="22"/>
        </w:rPr>
        <w:t xml:space="preserve"> </w:t>
      </w:r>
      <w:r w:rsidRPr="00982B6D">
        <w:rPr>
          <w:rFonts w:ascii="Arial" w:hAnsi="Arial"/>
          <w:sz w:val="22"/>
          <w:szCs w:val="22"/>
        </w:rPr>
        <w:t>summarises the proposed survey parameter</w:t>
      </w:r>
      <w:r w:rsidR="00956CA4" w:rsidRPr="00982B6D">
        <w:rPr>
          <w:rFonts w:ascii="Arial" w:hAnsi="Arial"/>
          <w:sz w:val="22"/>
          <w:szCs w:val="22"/>
        </w:rPr>
        <w:t>s</w:t>
      </w:r>
      <w:r w:rsidR="006712A7" w:rsidRPr="00982B6D">
        <w:rPr>
          <w:rFonts w:ascii="Arial" w:hAnsi="Arial"/>
          <w:sz w:val="22"/>
          <w:szCs w:val="22"/>
        </w:rPr>
        <w:t>.</w:t>
      </w:r>
    </w:p>
    <w:p w14:paraId="5EDE5E09" w14:textId="196E6CE9" w:rsidR="00BE638E" w:rsidRPr="00982B6D" w:rsidRDefault="00BE638E" w:rsidP="00356E07">
      <w:pPr>
        <w:pStyle w:val="Tableheading-small"/>
        <w:spacing w:after="120"/>
        <w:jc w:val="center"/>
        <w:rPr>
          <w:rFonts w:cs="Arial"/>
          <w:szCs w:val="20"/>
        </w:rPr>
      </w:pPr>
      <w:r w:rsidRPr="00982B6D">
        <w:rPr>
          <w:rFonts w:cs="Arial"/>
          <w:sz w:val="20"/>
          <w:szCs w:val="20"/>
        </w:rPr>
        <w:t>Table 2.</w:t>
      </w:r>
      <w:r w:rsidR="00E550D7">
        <w:rPr>
          <w:rFonts w:cs="Arial"/>
          <w:sz w:val="20"/>
          <w:szCs w:val="20"/>
        </w:rPr>
        <w:t>3</w:t>
      </w:r>
      <w:r w:rsidRPr="00982B6D">
        <w:rPr>
          <w:rFonts w:cs="Arial"/>
          <w:sz w:val="20"/>
          <w:szCs w:val="20"/>
        </w:rPr>
        <w:t>.</w:t>
      </w:r>
      <w:r w:rsidRPr="00982B6D">
        <w:rPr>
          <w:rFonts w:cs="Arial"/>
          <w:sz w:val="20"/>
          <w:szCs w:val="20"/>
        </w:rPr>
        <w:tab/>
        <w:t>Summary of the proposed Pelican 3DMSS parameters</w:t>
      </w: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4308"/>
        <w:gridCol w:w="4214"/>
      </w:tblGrid>
      <w:tr w:rsidR="006E3F8B" w:rsidRPr="00982B6D" w14:paraId="3D3827AA" w14:textId="77777777" w:rsidTr="00133FBC">
        <w:trPr>
          <w:tblHeader/>
        </w:trPr>
        <w:tc>
          <w:tcPr>
            <w:tcW w:w="4308" w:type="dxa"/>
            <w:shd w:val="clear" w:color="auto" w:fill="064EA8"/>
          </w:tcPr>
          <w:p w14:paraId="13CA6852" w14:textId="77777777" w:rsidR="006E3F8B" w:rsidRPr="00982B6D" w:rsidRDefault="006E3F8B" w:rsidP="00027EE5">
            <w:pPr>
              <w:spacing w:before="40" w:after="40" w:line="240" w:lineRule="auto"/>
              <w:ind w:left="142" w:hanging="142"/>
              <w:rPr>
                <w:rFonts w:cs="Arial"/>
                <w:color w:val="FFFFFF"/>
                <w:sz w:val="20"/>
                <w:szCs w:val="20"/>
              </w:rPr>
            </w:pPr>
            <w:r w:rsidRPr="00982B6D">
              <w:rPr>
                <w:rFonts w:cs="Arial"/>
                <w:color w:val="FFFFFF"/>
                <w:sz w:val="20"/>
                <w:szCs w:val="20"/>
              </w:rPr>
              <w:t>Parameter</w:t>
            </w:r>
          </w:p>
        </w:tc>
        <w:tc>
          <w:tcPr>
            <w:tcW w:w="4214" w:type="dxa"/>
            <w:shd w:val="clear" w:color="auto" w:fill="064EA8"/>
          </w:tcPr>
          <w:p w14:paraId="5710DE97" w14:textId="77777777" w:rsidR="006E3F8B" w:rsidRPr="00982B6D" w:rsidRDefault="006E3F8B" w:rsidP="00027EE5">
            <w:pPr>
              <w:spacing w:before="40" w:after="40" w:line="240" w:lineRule="auto"/>
              <w:ind w:hanging="720"/>
              <w:rPr>
                <w:rFonts w:cs="Arial"/>
                <w:color w:val="FFFFFF"/>
                <w:sz w:val="20"/>
                <w:szCs w:val="20"/>
              </w:rPr>
            </w:pPr>
            <w:r w:rsidRPr="00982B6D">
              <w:rPr>
                <w:rFonts w:cs="Arial"/>
                <w:color w:val="FFFFFF"/>
                <w:sz w:val="20"/>
                <w:szCs w:val="20"/>
              </w:rPr>
              <w:t>Details</w:t>
            </w:r>
          </w:p>
        </w:tc>
      </w:tr>
      <w:tr w:rsidR="006E3F8B" w:rsidRPr="00982B6D" w14:paraId="5F4011EF" w14:textId="77777777" w:rsidTr="00514376">
        <w:tc>
          <w:tcPr>
            <w:tcW w:w="4308" w:type="dxa"/>
            <w:shd w:val="clear" w:color="auto" w:fill="auto"/>
          </w:tcPr>
          <w:p w14:paraId="2E56724F" w14:textId="77777777" w:rsidR="006E3F8B" w:rsidRPr="00982B6D" w:rsidRDefault="006E3F8B" w:rsidP="00C81642">
            <w:pPr>
              <w:spacing w:before="40" w:after="40" w:line="240" w:lineRule="auto"/>
              <w:ind w:hanging="720"/>
              <w:rPr>
                <w:rFonts w:cs="Arial"/>
                <w:sz w:val="20"/>
                <w:szCs w:val="20"/>
              </w:rPr>
            </w:pPr>
            <w:r w:rsidRPr="00982B6D">
              <w:rPr>
                <w:rFonts w:cs="Arial"/>
                <w:sz w:val="20"/>
                <w:szCs w:val="20"/>
              </w:rPr>
              <w:t>Earliest commencement date</w:t>
            </w:r>
          </w:p>
        </w:tc>
        <w:tc>
          <w:tcPr>
            <w:tcW w:w="4214" w:type="dxa"/>
            <w:shd w:val="clear" w:color="auto" w:fill="auto"/>
          </w:tcPr>
          <w:p w14:paraId="456C1A77" w14:textId="157E2F1A" w:rsidR="006E3F8B" w:rsidRPr="00982B6D" w:rsidRDefault="00FA0C52" w:rsidP="00891DE1">
            <w:pPr>
              <w:spacing w:before="40" w:after="40" w:line="240" w:lineRule="auto"/>
              <w:ind w:left="0"/>
              <w:rPr>
                <w:rFonts w:cs="Arial"/>
                <w:sz w:val="20"/>
                <w:szCs w:val="20"/>
              </w:rPr>
            </w:pPr>
            <w:r w:rsidRPr="00EB4B86">
              <w:rPr>
                <w:rFonts w:cs="Arial"/>
                <w:sz w:val="20"/>
                <w:szCs w:val="20"/>
              </w:rPr>
              <w:t>29</w:t>
            </w:r>
            <w:r w:rsidRPr="00891DE1">
              <w:rPr>
                <w:rFonts w:cs="Arial"/>
                <w:sz w:val="20"/>
                <w:szCs w:val="20"/>
                <w:vertAlign w:val="superscript"/>
              </w:rPr>
              <w:t>th</w:t>
            </w:r>
            <w:r w:rsidRPr="00EB4B86">
              <w:rPr>
                <w:rFonts w:cs="Arial"/>
                <w:sz w:val="20"/>
                <w:szCs w:val="20"/>
              </w:rPr>
              <w:t xml:space="preserve"> January 2018 </w:t>
            </w:r>
          </w:p>
        </w:tc>
      </w:tr>
      <w:tr w:rsidR="006E3F8B" w:rsidRPr="00982B6D" w14:paraId="4BE2A7FE" w14:textId="77777777" w:rsidTr="00514376">
        <w:tc>
          <w:tcPr>
            <w:tcW w:w="4308" w:type="dxa"/>
            <w:shd w:val="clear" w:color="auto" w:fill="auto"/>
          </w:tcPr>
          <w:p w14:paraId="37FCDB56" w14:textId="4A736C06" w:rsidR="006E3F8B" w:rsidRPr="00982B6D" w:rsidRDefault="006E3F8B" w:rsidP="00132D18">
            <w:pPr>
              <w:spacing w:before="40" w:after="40" w:line="240" w:lineRule="auto"/>
              <w:ind w:hanging="720"/>
              <w:rPr>
                <w:rFonts w:cs="Arial"/>
                <w:sz w:val="20"/>
                <w:szCs w:val="20"/>
              </w:rPr>
            </w:pPr>
            <w:r w:rsidRPr="00982B6D">
              <w:rPr>
                <w:rFonts w:cs="Arial"/>
                <w:sz w:val="20"/>
                <w:szCs w:val="20"/>
              </w:rPr>
              <w:t xml:space="preserve">Latest </w:t>
            </w:r>
            <w:r w:rsidR="00132D18">
              <w:rPr>
                <w:rFonts w:cs="Arial"/>
                <w:sz w:val="20"/>
                <w:szCs w:val="20"/>
              </w:rPr>
              <w:t>commencement</w:t>
            </w:r>
            <w:r w:rsidRPr="00982B6D">
              <w:rPr>
                <w:rFonts w:cs="Arial"/>
                <w:sz w:val="20"/>
                <w:szCs w:val="20"/>
              </w:rPr>
              <w:t xml:space="preserve"> date</w:t>
            </w:r>
          </w:p>
        </w:tc>
        <w:tc>
          <w:tcPr>
            <w:tcW w:w="4214" w:type="dxa"/>
            <w:shd w:val="clear" w:color="auto" w:fill="auto"/>
          </w:tcPr>
          <w:p w14:paraId="7A774017" w14:textId="15A8C98F" w:rsidR="006E3F8B" w:rsidRPr="00982B6D" w:rsidRDefault="00027EE5" w:rsidP="00132D18">
            <w:pPr>
              <w:spacing w:before="40" w:after="40" w:line="240" w:lineRule="auto"/>
              <w:ind w:hanging="720"/>
              <w:rPr>
                <w:rFonts w:cs="Arial"/>
                <w:sz w:val="20"/>
                <w:szCs w:val="20"/>
              </w:rPr>
            </w:pPr>
            <w:r w:rsidRPr="00027EE5">
              <w:rPr>
                <w:rFonts w:cs="Arial"/>
                <w:sz w:val="20"/>
                <w:szCs w:val="20"/>
              </w:rPr>
              <w:t>E</w:t>
            </w:r>
            <w:r w:rsidR="00CA4241" w:rsidRPr="00027EE5">
              <w:rPr>
                <w:rFonts w:cs="Arial"/>
                <w:sz w:val="20"/>
                <w:szCs w:val="20"/>
              </w:rPr>
              <w:t xml:space="preserve">nd of </w:t>
            </w:r>
            <w:r w:rsidR="008A7589" w:rsidRPr="00027EE5">
              <w:rPr>
                <w:rFonts w:cs="Arial"/>
                <w:sz w:val="20"/>
                <w:szCs w:val="20"/>
              </w:rPr>
              <w:t>March</w:t>
            </w:r>
            <w:r w:rsidR="00132D18">
              <w:rPr>
                <w:rFonts w:cs="Arial"/>
                <w:sz w:val="20"/>
                <w:szCs w:val="20"/>
              </w:rPr>
              <w:t xml:space="preserve"> 2018 </w:t>
            </w:r>
          </w:p>
        </w:tc>
      </w:tr>
      <w:tr w:rsidR="006E3F8B" w:rsidRPr="00982B6D" w14:paraId="587C1795" w14:textId="77777777" w:rsidTr="00514376">
        <w:tc>
          <w:tcPr>
            <w:tcW w:w="4308" w:type="dxa"/>
            <w:shd w:val="clear" w:color="auto" w:fill="auto"/>
          </w:tcPr>
          <w:p w14:paraId="51539C01" w14:textId="77777777" w:rsidR="006E3F8B" w:rsidRPr="00982B6D" w:rsidRDefault="006E3F8B" w:rsidP="00C81642">
            <w:pPr>
              <w:spacing w:before="40" w:after="40" w:line="240" w:lineRule="auto"/>
              <w:ind w:hanging="720"/>
              <w:rPr>
                <w:rFonts w:cs="Arial"/>
                <w:sz w:val="20"/>
                <w:szCs w:val="20"/>
              </w:rPr>
            </w:pPr>
            <w:r w:rsidRPr="00982B6D">
              <w:rPr>
                <w:rFonts w:cs="Arial"/>
                <w:sz w:val="20"/>
                <w:szCs w:val="20"/>
              </w:rPr>
              <w:t>Duration of survey</w:t>
            </w:r>
          </w:p>
        </w:tc>
        <w:tc>
          <w:tcPr>
            <w:tcW w:w="4214" w:type="dxa"/>
            <w:shd w:val="clear" w:color="auto" w:fill="auto"/>
          </w:tcPr>
          <w:p w14:paraId="0F94BF50" w14:textId="16A6C6E3" w:rsidR="006E3F8B" w:rsidRPr="00982B6D" w:rsidRDefault="00CA4241" w:rsidP="00F276B5">
            <w:pPr>
              <w:spacing w:before="40" w:after="40" w:line="240" w:lineRule="auto"/>
              <w:ind w:left="0"/>
              <w:rPr>
                <w:rFonts w:cs="Arial"/>
                <w:sz w:val="20"/>
                <w:szCs w:val="20"/>
              </w:rPr>
            </w:pPr>
            <w:r>
              <w:rPr>
                <w:rFonts w:cs="Arial"/>
                <w:sz w:val="20"/>
                <w:szCs w:val="20"/>
              </w:rPr>
              <w:t>1</w:t>
            </w:r>
            <w:r w:rsidR="00B07891">
              <w:rPr>
                <w:rFonts w:cs="Arial"/>
                <w:sz w:val="20"/>
                <w:szCs w:val="20"/>
              </w:rPr>
              <w:t>3</w:t>
            </w:r>
            <w:r>
              <w:rPr>
                <w:rFonts w:cs="Arial"/>
                <w:sz w:val="20"/>
                <w:szCs w:val="20"/>
              </w:rPr>
              <w:t xml:space="preserve"> to </w:t>
            </w:r>
            <w:r w:rsidR="00B07891">
              <w:rPr>
                <w:rFonts w:cs="Arial"/>
                <w:sz w:val="20"/>
                <w:szCs w:val="20"/>
              </w:rPr>
              <w:t>16</w:t>
            </w:r>
            <w:r w:rsidR="000F1FFD" w:rsidRPr="00982B6D">
              <w:rPr>
                <w:rFonts w:cs="Arial"/>
                <w:sz w:val="20"/>
                <w:szCs w:val="20"/>
              </w:rPr>
              <w:t xml:space="preserve"> days</w:t>
            </w:r>
            <w:r w:rsidR="00B07891">
              <w:rPr>
                <w:rFonts w:cs="Arial"/>
                <w:sz w:val="20"/>
                <w:szCs w:val="20"/>
              </w:rPr>
              <w:t xml:space="preserve"> (up to 27 days)</w:t>
            </w:r>
          </w:p>
        </w:tc>
      </w:tr>
      <w:tr w:rsidR="006E3F8B" w:rsidRPr="00982B6D" w14:paraId="44B4583F" w14:textId="77777777" w:rsidTr="00514376">
        <w:tc>
          <w:tcPr>
            <w:tcW w:w="4308" w:type="dxa"/>
            <w:shd w:val="clear" w:color="auto" w:fill="auto"/>
          </w:tcPr>
          <w:p w14:paraId="2BA19FD3" w14:textId="77777777" w:rsidR="006E3F8B" w:rsidRPr="00982B6D" w:rsidRDefault="006E3F8B" w:rsidP="00C81642">
            <w:pPr>
              <w:spacing w:before="40" w:after="40" w:line="240" w:lineRule="auto"/>
              <w:ind w:hanging="720"/>
              <w:rPr>
                <w:rFonts w:cs="Arial"/>
                <w:sz w:val="20"/>
                <w:szCs w:val="20"/>
              </w:rPr>
            </w:pPr>
            <w:r w:rsidRPr="00982B6D">
              <w:rPr>
                <w:rFonts w:cs="Arial"/>
                <w:sz w:val="20"/>
                <w:szCs w:val="20"/>
              </w:rPr>
              <w:t>Water depths</w:t>
            </w:r>
          </w:p>
        </w:tc>
        <w:tc>
          <w:tcPr>
            <w:tcW w:w="4214" w:type="dxa"/>
            <w:shd w:val="clear" w:color="auto" w:fill="auto"/>
          </w:tcPr>
          <w:p w14:paraId="727D1C52" w14:textId="77777777" w:rsidR="006E3F8B" w:rsidRPr="00982B6D" w:rsidRDefault="00F466BA" w:rsidP="00C81642">
            <w:pPr>
              <w:spacing w:before="40" w:after="40" w:line="240" w:lineRule="auto"/>
              <w:ind w:hanging="720"/>
              <w:rPr>
                <w:rFonts w:cs="Arial"/>
                <w:sz w:val="20"/>
                <w:szCs w:val="20"/>
              </w:rPr>
            </w:pPr>
            <w:r w:rsidRPr="00982B6D">
              <w:rPr>
                <w:rFonts w:cs="Arial"/>
                <w:sz w:val="20"/>
                <w:szCs w:val="20"/>
              </w:rPr>
              <w:t>1</w:t>
            </w:r>
            <w:r w:rsidR="0064059C" w:rsidRPr="00982B6D">
              <w:rPr>
                <w:rFonts w:cs="Arial"/>
                <w:sz w:val="20"/>
                <w:szCs w:val="20"/>
              </w:rPr>
              <w:t>5</w:t>
            </w:r>
            <w:r w:rsidRPr="00982B6D">
              <w:rPr>
                <w:rFonts w:cs="Arial"/>
                <w:sz w:val="20"/>
                <w:szCs w:val="20"/>
              </w:rPr>
              <w:t xml:space="preserve"> – </w:t>
            </w:r>
            <w:r w:rsidR="0064059C" w:rsidRPr="00982B6D">
              <w:rPr>
                <w:rFonts w:cs="Arial"/>
                <w:sz w:val="20"/>
                <w:szCs w:val="20"/>
              </w:rPr>
              <w:t>4</w:t>
            </w:r>
            <w:r w:rsidRPr="00982B6D">
              <w:rPr>
                <w:rFonts w:cs="Arial"/>
                <w:sz w:val="20"/>
                <w:szCs w:val="20"/>
              </w:rPr>
              <w:t>0 m LAT</w:t>
            </w:r>
          </w:p>
        </w:tc>
      </w:tr>
      <w:tr w:rsidR="006E3F8B" w:rsidRPr="00982B6D" w14:paraId="11706CD9" w14:textId="77777777" w:rsidTr="00514376">
        <w:tc>
          <w:tcPr>
            <w:tcW w:w="4308" w:type="dxa"/>
            <w:shd w:val="clear" w:color="auto" w:fill="auto"/>
          </w:tcPr>
          <w:p w14:paraId="55AA3670" w14:textId="77777777" w:rsidR="006E3F8B" w:rsidRPr="00982B6D" w:rsidRDefault="006E3F8B" w:rsidP="00C81642">
            <w:pPr>
              <w:spacing w:before="40" w:after="40" w:line="240" w:lineRule="auto"/>
              <w:ind w:hanging="720"/>
              <w:rPr>
                <w:rFonts w:cs="Arial"/>
                <w:sz w:val="20"/>
                <w:szCs w:val="20"/>
              </w:rPr>
            </w:pPr>
            <w:r w:rsidRPr="00982B6D">
              <w:rPr>
                <w:rFonts w:cs="Arial"/>
                <w:sz w:val="20"/>
                <w:szCs w:val="20"/>
              </w:rPr>
              <w:t>Acquisition area</w:t>
            </w:r>
          </w:p>
        </w:tc>
        <w:tc>
          <w:tcPr>
            <w:tcW w:w="4214" w:type="dxa"/>
            <w:shd w:val="clear" w:color="auto" w:fill="auto"/>
          </w:tcPr>
          <w:p w14:paraId="7DF74073" w14:textId="0C1B8415" w:rsidR="006E3F8B" w:rsidRPr="00982B6D" w:rsidRDefault="00F466BA" w:rsidP="00CA4241">
            <w:pPr>
              <w:spacing w:before="40" w:after="40" w:line="240" w:lineRule="auto"/>
              <w:ind w:hanging="720"/>
              <w:rPr>
                <w:rFonts w:cs="Arial"/>
                <w:sz w:val="20"/>
                <w:szCs w:val="20"/>
              </w:rPr>
            </w:pPr>
            <w:r w:rsidRPr="00982B6D">
              <w:rPr>
                <w:rFonts w:cs="Arial"/>
                <w:sz w:val="20"/>
                <w:szCs w:val="20"/>
              </w:rPr>
              <w:t>16</w:t>
            </w:r>
            <w:r w:rsidR="00F276B5">
              <w:rPr>
                <w:rFonts w:cs="Arial"/>
                <w:sz w:val="20"/>
                <w:szCs w:val="20"/>
              </w:rPr>
              <w:t>6</w:t>
            </w:r>
            <w:r w:rsidRPr="00982B6D">
              <w:rPr>
                <w:rFonts w:cs="Arial"/>
                <w:sz w:val="20"/>
                <w:szCs w:val="20"/>
              </w:rPr>
              <w:t xml:space="preserve"> km</w:t>
            </w:r>
            <w:r w:rsidRPr="00982B6D">
              <w:rPr>
                <w:rFonts w:cs="Arial"/>
                <w:sz w:val="20"/>
                <w:szCs w:val="20"/>
                <w:vertAlign w:val="superscript"/>
              </w:rPr>
              <w:t>2</w:t>
            </w:r>
          </w:p>
        </w:tc>
      </w:tr>
      <w:tr w:rsidR="00956CA4" w:rsidRPr="00982B6D" w14:paraId="562BE06F" w14:textId="77777777" w:rsidTr="008548E3">
        <w:tc>
          <w:tcPr>
            <w:tcW w:w="8522" w:type="dxa"/>
            <w:gridSpan w:val="2"/>
            <w:shd w:val="clear" w:color="auto" w:fill="D9D9D9"/>
          </w:tcPr>
          <w:p w14:paraId="766685E7" w14:textId="37AF7730" w:rsidR="00956CA4" w:rsidRPr="00982B6D" w:rsidRDefault="00956CA4" w:rsidP="00C81642">
            <w:pPr>
              <w:spacing w:before="40" w:after="40" w:line="240" w:lineRule="auto"/>
              <w:ind w:hanging="720"/>
              <w:rPr>
                <w:rFonts w:cs="Arial"/>
                <w:b/>
                <w:sz w:val="20"/>
                <w:szCs w:val="20"/>
              </w:rPr>
            </w:pPr>
            <w:r w:rsidRPr="00982B6D">
              <w:rPr>
                <w:rFonts w:cs="Arial"/>
                <w:b/>
                <w:sz w:val="20"/>
                <w:szCs w:val="20"/>
              </w:rPr>
              <w:t>Source</w:t>
            </w:r>
          </w:p>
        </w:tc>
      </w:tr>
      <w:tr w:rsidR="00C74536" w:rsidRPr="00982B6D" w14:paraId="4A3F2181" w14:textId="77777777" w:rsidTr="00514376">
        <w:tc>
          <w:tcPr>
            <w:tcW w:w="4308" w:type="dxa"/>
            <w:shd w:val="clear" w:color="auto" w:fill="auto"/>
          </w:tcPr>
          <w:p w14:paraId="6C4DE35B" w14:textId="77777777" w:rsidR="00C74536" w:rsidRPr="00982B6D" w:rsidRDefault="00C74536" w:rsidP="00C81642">
            <w:pPr>
              <w:spacing w:before="40" w:after="40" w:line="240" w:lineRule="auto"/>
              <w:ind w:hanging="720"/>
              <w:rPr>
                <w:rFonts w:cs="Arial"/>
                <w:sz w:val="20"/>
                <w:szCs w:val="20"/>
              </w:rPr>
            </w:pPr>
            <w:r w:rsidRPr="00982B6D">
              <w:rPr>
                <w:rFonts w:cs="Arial"/>
                <w:sz w:val="20"/>
                <w:szCs w:val="20"/>
              </w:rPr>
              <w:t>Number of source arrays</w:t>
            </w:r>
          </w:p>
        </w:tc>
        <w:tc>
          <w:tcPr>
            <w:tcW w:w="4214" w:type="dxa"/>
            <w:shd w:val="clear" w:color="auto" w:fill="auto"/>
          </w:tcPr>
          <w:p w14:paraId="0317FC85" w14:textId="6DD7C462" w:rsidR="00C74536" w:rsidRPr="00982B6D" w:rsidRDefault="00C74536" w:rsidP="003B2FA7">
            <w:pPr>
              <w:spacing w:before="40" w:after="40" w:line="240" w:lineRule="auto"/>
              <w:ind w:hanging="633"/>
              <w:rPr>
                <w:rFonts w:cs="Arial"/>
                <w:sz w:val="20"/>
                <w:szCs w:val="20"/>
              </w:rPr>
            </w:pPr>
            <w:r w:rsidRPr="00982B6D">
              <w:rPr>
                <w:rFonts w:cs="Arial"/>
                <w:sz w:val="20"/>
                <w:szCs w:val="20"/>
              </w:rPr>
              <w:t>2</w:t>
            </w:r>
            <w:r w:rsidR="00356E07" w:rsidRPr="00982B6D">
              <w:rPr>
                <w:rFonts w:cs="Arial"/>
                <w:sz w:val="20"/>
                <w:szCs w:val="20"/>
              </w:rPr>
              <w:t xml:space="preserve"> </w:t>
            </w:r>
          </w:p>
        </w:tc>
      </w:tr>
      <w:tr w:rsidR="002E7B16" w:rsidRPr="00982B6D" w14:paraId="437F37C0" w14:textId="77777777" w:rsidTr="00514376">
        <w:tc>
          <w:tcPr>
            <w:tcW w:w="4308" w:type="dxa"/>
            <w:shd w:val="clear" w:color="auto" w:fill="auto"/>
          </w:tcPr>
          <w:p w14:paraId="16459E4B" w14:textId="028AA7B5" w:rsidR="002E7B16" w:rsidRPr="00982B6D" w:rsidRDefault="002E7B16" w:rsidP="00C81642">
            <w:pPr>
              <w:spacing w:before="40" w:after="40" w:line="240" w:lineRule="auto"/>
              <w:ind w:hanging="720"/>
              <w:rPr>
                <w:rFonts w:cs="Arial"/>
                <w:sz w:val="20"/>
                <w:szCs w:val="20"/>
              </w:rPr>
            </w:pPr>
            <w:r>
              <w:rPr>
                <w:rFonts w:cs="Arial"/>
                <w:sz w:val="20"/>
                <w:szCs w:val="20"/>
              </w:rPr>
              <w:t>Source effort</w:t>
            </w:r>
          </w:p>
        </w:tc>
        <w:tc>
          <w:tcPr>
            <w:tcW w:w="4214" w:type="dxa"/>
            <w:shd w:val="clear" w:color="auto" w:fill="auto"/>
          </w:tcPr>
          <w:p w14:paraId="07D64E1C" w14:textId="1C506DE6" w:rsidR="002E7B16" w:rsidRDefault="002E7B16" w:rsidP="002E7B16">
            <w:pPr>
              <w:spacing w:before="40" w:after="40" w:line="240" w:lineRule="auto"/>
              <w:ind w:hanging="633"/>
              <w:rPr>
                <w:rFonts w:cs="Arial"/>
                <w:sz w:val="20"/>
                <w:szCs w:val="20"/>
              </w:rPr>
            </w:pPr>
            <w:r>
              <w:rPr>
                <w:rFonts w:cs="Arial"/>
                <w:sz w:val="20"/>
                <w:szCs w:val="20"/>
              </w:rPr>
              <w:t>75 bar-m</w:t>
            </w:r>
          </w:p>
        </w:tc>
      </w:tr>
      <w:tr w:rsidR="006E3F8B" w:rsidRPr="00982B6D" w14:paraId="4E0FCF9C" w14:textId="77777777" w:rsidTr="00514376">
        <w:tc>
          <w:tcPr>
            <w:tcW w:w="4308" w:type="dxa"/>
            <w:shd w:val="clear" w:color="auto" w:fill="auto"/>
          </w:tcPr>
          <w:p w14:paraId="72F52BA0" w14:textId="77777777" w:rsidR="006E3F8B" w:rsidRPr="00982B6D" w:rsidRDefault="006E3F8B" w:rsidP="00C81642">
            <w:pPr>
              <w:spacing w:before="40" w:after="40" w:line="240" w:lineRule="auto"/>
              <w:ind w:hanging="720"/>
              <w:rPr>
                <w:rFonts w:cs="Arial"/>
                <w:sz w:val="20"/>
                <w:szCs w:val="20"/>
              </w:rPr>
            </w:pPr>
            <w:r w:rsidRPr="00982B6D">
              <w:rPr>
                <w:rFonts w:cs="Arial"/>
                <w:sz w:val="20"/>
                <w:szCs w:val="20"/>
              </w:rPr>
              <w:t>Total volume</w:t>
            </w:r>
          </w:p>
        </w:tc>
        <w:tc>
          <w:tcPr>
            <w:tcW w:w="4214" w:type="dxa"/>
            <w:shd w:val="clear" w:color="auto" w:fill="auto"/>
          </w:tcPr>
          <w:p w14:paraId="4297A132" w14:textId="4D4E0225" w:rsidR="006E3F8B" w:rsidRPr="00982B6D" w:rsidRDefault="009E6335" w:rsidP="009E6335">
            <w:pPr>
              <w:spacing w:before="40" w:after="40" w:line="240" w:lineRule="auto"/>
              <w:ind w:hanging="633"/>
              <w:rPr>
                <w:rFonts w:cs="Arial"/>
                <w:sz w:val="20"/>
                <w:szCs w:val="20"/>
              </w:rPr>
            </w:pPr>
            <w:r>
              <w:rPr>
                <w:rFonts w:cs="Arial"/>
                <w:sz w:val="20"/>
                <w:szCs w:val="20"/>
              </w:rPr>
              <w:t>2,800</w:t>
            </w:r>
            <w:r w:rsidR="002E7B16">
              <w:rPr>
                <w:rFonts w:cs="Arial"/>
                <w:sz w:val="20"/>
                <w:szCs w:val="20"/>
              </w:rPr>
              <w:t xml:space="preserve"> </w:t>
            </w:r>
            <w:r w:rsidR="006E3F8B" w:rsidRPr="00982B6D">
              <w:rPr>
                <w:rFonts w:cs="Arial"/>
                <w:sz w:val="20"/>
                <w:szCs w:val="20"/>
              </w:rPr>
              <w:t>cui</w:t>
            </w:r>
            <w:r w:rsidR="002E7B16">
              <w:rPr>
                <w:rFonts w:cs="Arial"/>
                <w:sz w:val="20"/>
                <w:szCs w:val="20"/>
              </w:rPr>
              <w:t xml:space="preserve"> maximum</w:t>
            </w:r>
            <w:r>
              <w:rPr>
                <w:rFonts w:cs="Arial"/>
                <w:sz w:val="20"/>
                <w:szCs w:val="20"/>
              </w:rPr>
              <w:t xml:space="preserve"> </w:t>
            </w:r>
          </w:p>
        </w:tc>
      </w:tr>
      <w:tr w:rsidR="006E3F8B" w:rsidRPr="00982B6D" w14:paraId="69419E05" w14:textId="77777777" w:rsidTr="00514376">
        <w:tc>
          <w:tcPr>
            <w:tcW w:w="4308" w:type="dxa"/>
            <w:shd w:val="clear" w:color="auto" w:fill="auto"/>
          </w:tcPr>
          <w:p w14:paraId="4F9C6259" w14:textId="77777777" w:rsidR="006E3F8B" w:rsidRPr="00982B6D" w:rsidRDefault="00C74536" w:rsidP="00C81642">
            <w:pPr>
              <w:spacing w:before="40" w:after="40" w:line="240" w:lineRule="auto"/>
              <w:ind w:hanging="720"/>
              <w:rPr>
                <w:rFonts w:cs="Arial"/>
                <w:sz w:val="20"/>
                <w:szCs w:val="20"/>
              </w:rPr>
            </w:pPr>
            <w:r w:rsidRPr="00982B6D">
              <w:rPr>
                <w:rFonts w:cs="Arial"/>
                <w:sz w:val="20"/>
                <w:szCs w:val="20"/>
              </w:rPr>
              <w:t>O</w:t>
            </w:r>
            <w:r w:rsidR="006E3F8B" w:rsidRPr="00982B6D">
              <w:rPr>
                <w:rFonts w:cs="Arial"/>
                <w:sz w:val="20"/>
                <w:szCs w:val="20"/>
              </w:rPr>
              <w:t>perating pressure</w:t>
            </w:r>
          </w:p>
        </w:tc>
        <w:tc>
          <w:tcPr>
            <w:tcW w:w="4214" w:type="dxa"/>
            <w:shd w:val="clear" w:color="auto" w:fill="auto"/>
          </w:tcPr>
          <w:p w14:paraId="3D75BF88" w14:textId="77777777" w:rsidR="006E3F8B" w:rsidRPr="00982B6D" w:rsidRDefault="006E3F8B" w:rsidP="00C81642">
            <w:pPr>
              <w:spacing w:before="40" w:after="40" w:line="240" w:lineRule="auto"/>
              <w:ind w:hanging="633"/>
              <w:rPr>
                <w:rFonts w:cs="Arial"/>
                <w:sz w:val="20"/>
                <w:szCs w:val="20"/>
              </w:rPr>
            </w:pPr>
            <w:r w:rsidRPr="00982B6D">
              <w:rPr>
                <w:rFonts w:cs="Arial"/>
                <w:sz w:val="20"/>
                <w:szCs w:val="20"/>
              </w:rPr>
              <w:t>2,000 psi</w:t>
            </w:r>
          </w:p>
        </w:tc>
      </w:tr>
      <w:tr w:rsidR="006E3F8B" w:rsidRPr="00982B6D" w14:paraId="001E9A3A" w14:textId="77777777" w:rsidTr="00514376">
        <w:tc>
          <w:tcPr>
            <w:tcW w:w="4308" w:type="dxa"/>
            <w:shd w:val="clear" w:color="auto" w:fill="auto"/>
          </w:tcPr>
          <w:p w14:paraId="155808F3" w14:textId="77777777" w:rsidR="006E3F8B" w:rsidRPr="00982B6D" w:rsidRDefault="00C74536" w:rsidP="00C81642">
            <w:pPr>
              <w:spacing w:before="40" w:after="40" w:line="240" w:lineRule="auto"/>
              <w:ind w:hanging="720"/>
              <w:rPr>
                <w:rFonts w:cs="Arial"/>
                <w:sz w:val="20"/>
                <w:szCs w:val="20"/>
              </w:rPr>
            </w:pPr>
            <w:r w:rsidRPr="00982B6D">
              <w:rPr>
                <w:rFonts w:cs="Arial"/>
                <w:sz w:val="20"/>
                <w:szCs w:val="20"/>
              </w:rPr>
              <w:lastRenderedPageBreak/>
              <w:t>Shot point i</w:t>
            </w:r>
            <w:r w:rsidR="006E3F8B" w:rsidRPr="00982B6D">
              <w:rPr>
                <w:rFonts w:cs="Arial"/>
                <w:sz w:val="20"/>
                <w:szCs w:val="20"/>
              </w:rPr>
              <w:t>nterval</w:t>
            </w:r>
          </w:p>
        </w:tc>
        <w:tc>
          <w:tcPr>
            <w:tcW w:w="4214" w:type="dxa"/>
            <w:shd w:val="clear" w:color="auto" w:fill="auto"/>
          </w:tcPr>
          <w:p w14:paraId="6D5C11AA" w14:textId="77777777" w:rsidR="006E3F8B" w:rsidRPr="00982B6D" w:rsidRDefault="006E3F8B" w:rsidP="00C81642">
            <w:pPr>
              <w:spacing w:before="40" w:after="40" w:line="240" w:lineRule="auto"/>
              <w:ind w:hanging="633"/>
              <w:rPr>
                <w:rFonts w:cs="Arial"/>
                <w:sz w:val="20"/>
                <w:szCs w:val="20"/>
              </w:rPr>
            </w:pPr>
            <w:r w:rsidRPr="00027EE5">
              <w:rPr>
                <w:rFonts w:cs="Arial"/>
                <w:sz w:val="20"/>
                <w:szCs w:val="20"/>
              </w:rPr>
              <w:t>1</w:t>
            </w:r>
            <w:r w:rsidR="00C74536" w:rsidRPr="00027EE5">
              <w:rPr>
                <w:rFonts w:cs="Arial"/>
                <w:sz w:val="20"/>
                <w:szCs w:val="20"/>
              </w:rPr>
              <w:t>2.5 m horizontal distance</w:t>
            </w:r>
          </w:p>
        </w:tc>
      </w:tr>
      <w:tr w:rsidR="00C74536" w:rsidRPr="00982B6D" w14:paraId="2B91E437" w14:textId="77777777" w:rsidTr="00514376">
        <w:tc>
          <w:tcPr>
            <w:tcW w:w="4308" w:type="dxa"/>
            <w:shd w:val="clear" w:color="auto" w:fill="auto"/>
          </w:tcPr>
          <w:p w14:paraId="310F531A" w14:textId="77777777" w:rsidR="00C74536" w:rsidRPr="00982B6D" w:rsidRDefault="00C74536" w:rsidP="00C81642">
            <w:pPr>
              <w:spacing w:before="40" w:after="40" w:line="240" w:lineRule="auto"/>
              <w:ind w:hanging="720"/>
              <w:rPr>
                <w:rFonts w:cs="Arial"/>
                <w:sz w:val="20"/>
                <w:szCs w:val="20"/>
              </w:rPr>
            </w:pPr>
            <w:r w:rsidRPr="00982B6D">
              <w:rPr>
                <w:rFonts w:cs="Arial"/>
                <w:sz w:val="20"/>
                <w:szCs w:val="20"/>
              </w:rPr>
              <w:t>Depth</w:t>
            </w:r>
          </w:p>
        </w:tc>
        <w:tc>
          <w:tcPr>
            <w:tcW w:w="4214" w:type="dxa"/>
            <w:shd w:val="clear" w:color="auto" w:fill="auto"/>
          </w:tcPr>
          <w:p w14:paraId="33F3D07C" w14:textId="4DC1CB1D" w:rsidR="00C74536" w:rsidRPr="00982B6D" w:rsidRDefault="00F276B5" w:rsidP="00C81642">
            <w:pPr>
              <w:spacing w:before="40" w:after="40" w:line="240" w:lineRule="auto"/>
              <w:ind w:hanging="633"/>
              <w:rPr>
                <w:rFonts w:cs="Arial"/>
                <w:sz w:val="20"/>
                <w:szCs w:val="20"/>
              </w:rPr>
            </w:pPr>
            <w:r>
              <w:rPr>
                <w:rFonts w:cs="Arial"/>
                <w:sz w:val="20"/>
                <w:szCs w:val="20"/>
              </w:rPr>
              <w:t>5</w:t>
            </w:r>
            <w:r w:rsidR="00C74536" w:rsidRPr="00982B6D">
              <w:rPr>
                <w:rFonts w:cs="Arial"/>
                <w:sz w:val="20"/>
                <w:szCs w:val="20"/>
              </w:rPr>
              <w:t xml:space="preserve"> m (</w:t>
            </w:r>
            <w:r w:rsidR="00356E07" w:rsidRPr="00982B6D">
              <w:rPr>
                <w:rFonts w:cs="Arial"/>
                <w:sz w:val="20"/>
                <w:szCs w:val="20"/>
              </w:rPr>
              <w:t xml:space="preserve">± </w:t>
            </w:r>
            <w:r w:rsidR="00C74536" w:rsidRPr="00982B6D">
              <w:rPr>
                <w:rFonts w:cs="Arial"/>
                <w:sz w:val="20"/>
                <w:szCs w:val="20"/>
              </w:rPr>
              <w:t>1 m)</w:t>
            </w:r>
          </w:p>
        </w:tc>
      </w:tr>
      <w:tr w:rsidR="00C74536" w:rsidRPr="00982B6D" w14:paraId="622205D9" w14:textId="77777777" w:rsidTr="00514376">
        <w:tc>
          <w:tcPr>
            <w:tcW w:w="4308" w:type="dxa"/>
            <w:shd w:val="clear" w:color="auto" w:fill="auto"/>
          </w:tcPr>
          <w:p w14:paraId="16ECCA2E" w14:textId="77777777" w:rsidR="00C74536" w:rsidRPr="00982B6D" w:rsidRDefault="00C74536" w:rsidP="00C81642">
            <w:pPr>
              <w:spacing w:before="40" w:after="40" w:line="240" w:lineRule="auto"/>
              <w:ind w:hanging="720"/>
              <w:rPr>
                <w:rFonts w:cs="Arial"/>
                <w:sz w:val="20"/>
                <w:szCs w:val="20"/>
              </w:rPr>
            </w:pPr>
            <w:r w:rsidRPr="00982B6D">
              <w:rPr>
                <w:rFonts w:cs="Arial"/>
                <w:sz w:val="20"/>
                <w:szCs w:val="20"/>
              </w:rPr>
              <w:t>Sample rate</w:t>
            </w:r>
          </w:p>
        </w:tc>
        <w:tc>
          <w:tcPr>
            <w:tcW w:w="4214" w:type="dxa"/>
            <w:shd w:val="clear" w:color="auto" w:fill="auto"/>
          </w:tcPr>
          <w:p w14:paraId="15150308" w14:textId="77777777" w:rsidR="00C74536" w:rsidRPr="00982B6D" w:rsidRDefault="00C74536" w:rsidP="00C81642">
            <w:pPr>
              <w:spacing w:before="40" w:after="40" w:line="240" w:lineRule="auto"/>
              <w:ind w:hanging="633"/>
              <w:rPr>
                <w:rFonts w:cs="Arial"/>
                <w:sz w:val="20"/>
                <w:szCs w:val="20"/>
              </w:rPr>
            </w:pPr>
            <w:r w:rsidRPr="00982B6D">
              <w:rPr>
                <w:rFonts w:cs="Arial"/>
                <w:sz w:val="20"/>
                <w:szCs w:val="20"/>
              </w:rPr>
              <w:t>2 milliseconds</w:t>
            </w:r>
          </w:p>
        </w:tc>
      </w:tr>
      <w:tr w:rsidR="006E3F8B" w:rsidRPr="00982B6D" w14:paraId="3341256E" w14:textId="77777777" w:rsidTr="00514376">
        <w:tc>
          <w:tcPr>
            <w:tcW w:w="4308" w:type="dxa"/>
            <w:shd w:val="clear" w:color="auto" w:fill="auto"/>
          </w:tcPr>
          <w:p w14:paraId="4E473BA9" w14:textId="77777777" w:rsidR="006E3F8B" w:rsidRPr="00982B6D" w:rsidRDefault="00C74536" w:rsidP="00C81642">
            <w:pPr>
              <w:spacing w:before="40" w:after="40" w:line="240" w:lineRule="auto"/>
              <w:ind w:hanging="720"/>
              <w:rPr>
                <w:rFonts w:cs="Arial"/>
                <w:sz w:val="20"/>
                <w:szCs w:val="20"/>
              </w:rPr>
            </w:pPr>
            <w:r w:rsidRPr="00982B6D">
              <w:rPr>
                <w:rFonts w:cs="Arial"/>
                <w:sz w:val="20"/>
                <w:szCs w:val="20"/>
              </w:rPr>
              <w:t>Record length</w:t>
            </w:r>
          </w:p>
        </w:tc>
        <w:tc>
          <w:tcPr>
            <w:tcW w:w="4214" w:type="dxa"/>
            <w:shd w:val="clear" w:color="auto" w:fill="auto"/>
          </w:tcPr>
          <w:p w14:paraId="1DC89677" w14:textId="77777777" w:rsidR="006E3F8B" w:rsidRPr="00982B6D" w:rsidRDefault="00C74536" w:rsidP="00C81642">
            <w:pPr>
              <w:spacing w:before="40" w:after="40" w:line="240" w:lineRule="auto"/>
              <w:ind w:hanging="633"/>
              <w:rPr>
                <w:rFonts w:cs="Arial"/>
                <w:sz w:val="20"/>
                <w:szCs w:val="20"/>
              </w:rPr>
            </w:pPr>
            <w:r w:rsidRPr="00982B6D">
              <w:rPr>
                <w:rFonts w:cs="Arial"/>
                <w:sz w:val="20"/>
                <w:szCs w:val="20"/>
              </w:rPr>
              <w:t>4 seconds</w:t>
            </w:r>
          </w:p>
        </w:tc>
      </w:tr>
      <w:tr w:rsidR="00956CA4" w:rsidRPr="00982B6D" w14:paraId="6F173844" w14:textId="77777777" w:rsidTr="008548E3">
        <w:tc>
          <w:tcPr>
            <w:tcW w:w="8522" w:type="dxa"/>
            <w:gridSpan w:val="2"/>
            <w:shd w:val="clear" w:color="auto" w:fill="D9D9D9"/>
          </w:tcPr>
          <w:p w14:paraId="3CA70929" w14:textId="5680D543" w:rsidR="00956CA4" w:rsidRPr="00982B6D" w:rsidRDefault="00956CA4" w:rsidP="00C81642">
            <w:pPr>
              <w:spacing w:before="40" w:after="40" w:line="240" w:lineRule="auto"/>
              <w:ind w:hanging="720"/>
              <w:rPr>
                <w:rFonts w:cs="Arial"/>
                <w:b/>
                <w:sz w:val="20"/>
                <w:szCs w:val="20"/>
              </w:rPr>
            </w:pPr>
            <w:r w:rsidRPr="00982B6D">
              <w:rPr>
                <w:rFonts w:cs="Arial"/>
                <w:b/>
                <w:sz w:val="20"/>
                <w:szCs w:val="20"/>
              </w:rPr>
              <w:t>Streamers</w:t>
            </w:r>
          </w:p>
        </w:tc>
      </w:tr>
      <w:tr w:rsidR="00C74536" w:rsidRPr="00982B6D" w14:paraId="59E75F1E" w14:textId="77777777" w:rsidTr="00514376">
        <w:tc>
          <w:tcPr>
            <w:tcW w:w="4308" w:type="dxa"/>
            <w:shd w:val="clear" w:color="auto" w:fill="auto"/>
          </w:tcPr>
          <w:p w14:paraId="68D688C1" w14:textId="77777777" w:rsidR="00C74536" w:rsidRPr="00982B6D" w:rsidRDefault="00C74536" w:rsidP="00C81642">
            <w:pPr>
              <w:spacing w:before="40" w:after="40" w:line="240" w:lineRule="auto"/>
              <w:ind w:hanging="720"/>
              <w:rPr>
                <w:rFonts w:cs="Arial"/>
                <w:sz w:val="20"/>
                <w:szCs w:val="20"/>
              </w:rPr>
            </w:pPr>
            <w:r w:rsidRPr="00982B6D">
              <w:rPr>
                <w:rFonts w:cs="Arial"/>
                <w:sz w:val="20"/>
                <w:szCs w:val="20"/>
              </w:rPr>
              <w:t>Number of streamers</w:t>
            </w:r>
          </w:p>
        </w:tc>
        <w:tc>
          <w:tcPr>
            <w:tcW w:w="4214" w:type="dxa"/>
            <w:shd w:val="clear" w:color="auto" w:fill="auto"/>
          </w:tcPr>
          <w:p w14:paraId="09493E4A" w14:textId="274D6215" w:rsidR="00C74536" w:rsidRPr="00982B6D" w:rsidRDefault="002E7B16" w:rsidP="007038A7">
            <w:pPr>
              <w:spacing w:before="40" w:after="40" w:line="240" w:lineRule="auto"/>
              <w:ind w:left="87"/>
              <w:rPr>
                <w:rFonts w:cs="Arial"/>
                <w:sz w:val="20"/>
                <w:szCs w:val="20"/>
              </w:rPr>
            </w:pPr>
            <w:r w:rsidRPr="008838A9">
              <w:rPr>
                <w:rFonts w:cs="Arial"/>
                <w:sz w:val="20"/>
                <w:szCs w:val="20"/>
              </w:rPr>
              <w:t>8</w:t>
            </w:r>
            <w:r w:rsidR="00C74536" w:rsidRPr="008838A9">
              <w:rPr>
                <w:rFonts w:cs="Arial"/>
                <w:sz w:val="20"/>
                <w:szCs w:val="20"/>
              </w:rPr>
              <w:t xml:space="preserve"> (nominal)</w:t>
            </w:r>
            <w:r w:rsidR="007038A7">
              <w:rPr>
                <w:rFonts w:cs="Arial"/>
                <w:sz w:val="20"/>
                <w:szCs w:val="20"/>
              </w:rPr>
              <w:t xml:space="preserve">, but </w:t>
            </w:r>
            <w:r w:rsidR="00047B5D">
              <w:rPr>
                <w:rFonts w:cs="Arial"/>
                <w:sz w:val="20"/>
                <w:szCs w:val="20"/>
              </w:rPr>
              <w:t xml:space="preserve">may vary between </w:t>
            </w:r>
            <w:r w:rsidR="00356E07" w:rsidRPr="00982B6D">
              <w:rPr>
                <w:rFonts w:cs="Arial"/>
                <w:sz w:val="20"/>
                <w:szCs w:val="20"/>
              </w:rPr>
              <w:t xml:space="preserve">4 </w:t>
            </w:r>
            <w:r w:rsidR="00047B5D">
              <w:rPr>
                <w:rFonts w:cs="Arial"/>
                <w:sz w:val="20"/>
                <w:szCs w:val="20"/>
              </w:rPr>
              <w:t xml:space="preserve">and </w:t>
            </w:r>
            <w:r>
              <w:rPr>
                <w:rFonts w:cs="Arial"/>
                <w:sz w:val="20"/>
                <w:szCs w:val="20"/>
              </w:rPr>
              <w:t>10</w:t>
            </w:r>
          </w:p>
        </w:tc>
      </w:tr>
      <w:tr w:rsidR="00C74536" w:rsidRPr="00982B6D" w14:paraId="64076557" w14:textId="77777777" w:rsidTr="00514376">
        <w:tc>
          <w:tcPr>
            <w:tcW w:w="4308" w:type="dxa"/>
            <w:shd w:val="clear" w:color="auto" w:fill="auto"/>
          </w:tcPr>
          <w:p w14:paraId="1C38F19E" w14:textId="77777777" w:rsidR="00C74536" w:rsidRPr="00982B6D" w:rsidRDefault="00C74536" w:rsidP="00C81642">
            <w:pPr>
              <w:spacing w:before="40" w:after="40" w:line="240" w:lineRule="auto"/>
              <w:ind w:hanging="720"/>
              <w:rPr>
                <w:rFonts w:cs="Arial"/>
                <w:sz w:val="20"/>
                <w:szCs w:val="20"/>
              </w:rPr>
            </w:pPr>
            <w:r w:rsidRPr="00982B6D">
              <w:rPr>
                <w:rFonts w:cs="Arial"/>
                <w:sz w:val="20"/>
                <w:szCs w:val="20"/>
              </w:rPr>
              <w:t>Length</w:t>
            </w:r>
          </w:p>
        </w:tc>
        <w:tc>
          <w:tcPr>
            <w:tcW w:w="4214" w:type="dxa"/>
            <w:shd w:val="clear" w:color="auto" w:fill="auto"/>
          </w:tcPr>
          <w:p w14:paraId="4F9A0D91" w14:textId="5B203066" w:rsidR="00C74536" w:rsidRPr="00982B6D" w:rsidRDefault="00C74536" w:rsidP="00F276B5">
            <w:pPr>
              <w:spacing w:before="40" w:after="40" w:line="240" w:lineRule="auto"/>
              <w:ind w:hanging="633"/>
              <w:rPr>
                <w:rFonts w:cs="Arial"/>
                <w:sz w:val="20"/>
                <w:szCs w:val="20"/>
              </w:rPr>
            </w:pPr>
            <w:r w:rsidRPr="00982B6D">
              <w:rPr>
                <w:rFonts w:cs="Arial"/>
                <w:sz w:val="20"/>
                <w:szCs w:val="20"/>
              </w:rPr>
              <w:t>4,000 m</w:t>
            </w:r>
          </w:p>
        </w:tc>
      </w:tr>
      <w:tr w:rsidR="00C74536" w:rsidRPr="00982B6D" w14:paraId="2B787FA9" w14:textId="77777777" w:rsidTr="00514376">
        <w:tc>
          <w:tcPr>
            <w:tcW w:w="4308" w:type="dxa"/>
            <w:shd w:val="clear" w:color="auto" w:fill="auto"/>
          </w:tcPr>
          <w:p w14:paraId="0AC7A981" w14:textId="77777777" w:rsidR="00C74536" w:rsidRPr="00982B6D" w:rsidRDefault="00C74536" w:rsidP="00C81642">
            <w:pPr>
              <w:spacing w:before="40" w:after="40" w:line="240" w:lineRule="auto"/>
              <w:ind w:hanging="720"/>
              <w:rPr>
                <w:rFonts w:cs="Arial"/>
                <w:sz w:val="20"/>
                <w:szCs w:val="20"/>
              </w:rPr>
            </w:pPr>
            <w:r w:rsidRPr="00982B6D">
              <w:rPr>
                <w:rFonts w:cs="Arial"/>
                <w:sz w:val="20"/>
                <w:szCs w:val="20"/>
              </w:rPr>
              <w:t>Depth below sea surface (approx.)</w:t>
            </w:r>
          </w:p>
        </w:tc>
        <w:tc>
          <w:tcPr>
            <w:tcW w:w="4214" w:type="dxa"/>
            <w:shd w:val="clear" w:color="auto" w:fill="auto"/>
          </w:tcPr>
          <w:p w14:paraId="28BE66BF" w14:textId="6F07AA79" w:rsidR="00C74536" w:rsidRPr="00982B6D" w:rsidRDefault="004327A6" w:rsidP="00047B5D">
            <w:pPr>
              <w:spacing w:before="40" w:after="40" w:line="240" w:lineRule="auto"/>
              <w:ind w:hanging="633"/>
              <w:rPr>
                <w:rFonts w:cs="Arial"/>
                <w:sz w:val="20"/>
                <w:szCs w:val="20"/>
              </w:rPr>
            </w:pPr>
            <w:r>
              <w:rPr>
                <w:rFonts w:cs="Arial"/>
                <w:sz w:val="20"/>
                <w:szCs w:val="20"/>
              </w:rPr>
              <w:t>5</w:t>
            </w:r>
            <w:r w:rsidR="00C74536" w:rsidRPr="00982B6D">
              <w:rPr>
                <w:rFonts w:cs="Arial"/>
                <w:sz w:val="20"/>
                <w:szCs w:val="20"/>
              </w:rPr>
              <w:t xml:space="preserve"> m</w:t>
            </w:r>
            <w:r w:rsidR="00356E07" w:rsidRPr="00982B6D">
              <w:rPr>
                <w:rFonts w:cs="Arial"/>
                <w:sz w:val="20"/>
                <w:szCs w:val="20"/>
              </w:rPr>
              <w:t xml:space="preserve"> (± 1 m)</w:t>
            </w:r>
          </w:p>
        </w:tc>
      </w:tr>
      <w:tr w:rsidR="00C74536" w:rsidRPr="00982B6D" w14:paraId="38DF8B41" w14:textId="77777777" w:rsidTr="00514376">
        <w:tc>
          <w:tcPr>
            <w:tcW w:w="4308" w:type="dxa"/>
            <w:shd w:val="clear" w:color="auto" w:fill="auto"/>
          </w:tcPr>
          <w:p w14:paraId="48C63ACE" w14:textId="77777777" w:rsidR="00C74536" w:rsidRPr="00982B6D" w:rsidRDefault="00C74536" w:rsidP="00C81642">
            <w:pPr>
              <w:spacing w:before="40" w:after="40" w:line="240" w:lineRule="auto"/>
              <w:ind w:hanging="720"/>
              <w:rPr>
                <w:rFonts w:cs="Arial"/>
                <w:sz w:val="20"/>
                <w:szCs w:val="20"/>
              </w:rPr>
            </w:pPr>
            <w:r w:rsidRPr="00982B6D">
              <w:rPr>
                <w:rFonts w:cs="Arial"/>
                <w:sz w:val="20"/>
                <w:szCs w:val="20"/>
              </w:rPr>
              <w:t>Horizontal separation (approx.)</w:t>
            </w:r>
          </w:p>
        </w:tc>
        <w:tc>
          <w:tcPr>
            <w:tcW w:w="4214" w:type="dxa"/>
            <w:shd w:val="clear" w:color="auto" w:fill="auto"/>
          </w:tcPr>
          <w:p w14:paraId="77CAC474" w14:textId="77777777" w:rsidR="00C74536" w:rsidRPr="00982B6D" w:rsidRDefault="00C74536" w:rsidP="00C81642">
            <w:pPr>
              <w:spacing w:before="40" w:after="40" w:line="240" w:lineRule="auto"/>
              <w:ind w:hanging="633"/>
              <w:rPr>
                <w:rFonts w:cs="Arial"/>
                <w:sz w:val="20"/>
                <w:szCs w:val="20"/>
              </w:rPr>
            </w:pPr>
            <w:r w:rsidRPr="00982B6D">
              <w:rPr>
                <w:rFonts w:cs="Arial"/>
                <w:sz w:val="20"/>
                <w:szCs w:val="20"/>
              </w:rPr>
              <w:t>50 m</w:t>
            </w:r>
          </w:p>
        </w:tc>
      </w:tr>
      <w:tr w:rsidR="00C74536" w:rsidRPr="00982B6D" w14:paraId="57CB2D8A" w14:textId="77777777" w:rsidTr="00514376">
        <w:tc>
          <w:tcPr>
            <w:tcW w:w="4308" w:type="dxa"/>
            <w:shd w:val="clear" w:color="auto" w:fill="auto"/>
          </w:tcPr>
          <w:p w14:paraId="6AF320E5" w14:textId="77777777" w:rsidR="00C74536" w:rsidRPr="00982B6D" w:rsidRDefault="00C74536" w:rsidP="00C81642">
            <w:pPr>
              <w:spacing w:before="40" w:after="40" w:line="240" w:lineRule="auto"/>
              <w:ind w:hanging="720"/>
              <w:rPr>
                <w:rFonts w:cs="Arial"/>
                <w:sz w:val="20"/>
                <w:szCs w:val="20"/>
              </w:rPr>
            </w:pPr>
            <w:r w:rsidRPr="00982B6D">
              <w:rPr>
                <w:rFonts w:cs="Arial"/>
                <w:sz w:val="20"/>
                <w:szCs w:val="20"/>
              </w:rPr>
              <w:t>Type</w:t>
            </w:r>
          </w:p>
        </w:tc>
        <w:tc>
          <w:tcPr>
            <w:tcW w:w="4214" w:type="dxa"/>
            <w:shd w:val="clear" w:color="auto" w:fill="auto"/>
          </w:tcPr>
          <w:p w14:paraId="0C41EA6E" w14:textId="77777777" w:rsidR="00C74536" w:rsidRPr="00982B6D" w:rsidRDefault="00C74536" w:rsidP="00C81642">
            <w:pPr>
              <w:spacing w:before="40" w:after="40" w:line="240" w:lineRule="auto"/>
              <w:ind w:hanging="633"/>
              <w:rPr>
                <w:rFonts w:cs="Arial"/>
                <w:sz w:val="20"/>
                <w:szCs w:val="20"/>
              </w:rPr>
            </w:pPr>
            <w:r w:rsidRPr="00982B6D">
              <w:rPr>
                <w:rFonts w:cs="Arial"/>
                <w:sz w:val="20"/>
                <w:szCs w:val="20"/>
              </w:rPr>
              <w:t>Broadband solution preferred</w:t>
            </w:r>
          </w:p>
        </w:tc>
      </w:tr>
      <w:tr w:rsidR="00956CA4" w:rsidRPr="00982B6D" w14:paraId="1F94683F" w14:textId="77777777" w:rsidTr="008548E3">
        <w:tc>
          <w:tcPr>
            <w:tcW w:w="8522" w:type="dxa"/>
            <w:gridSpan w:val="2"/>
            <w:shd w:val="clear" w:color="auto" w:fill="D9D9D9"/>
          </w:tcPr>
          <w:p w14:paraId="74208B7E" w14:textId="3EA28495" w:rsidR="00956CA4" w:rsidRPr="00982B6D" w:rsidRDefault="00956CA4" w:rsidP="00C81642">
            <w:pPr>
              <w:spacing w:before="40" w:after="40" w:line="240" w:lineRule="auto"/>
              <w:ind w:hanging="720"/>
              <w:rPr>
                <w:rFonts w:cs="Arial"/>
                <w:sz w:val="20"/>
                <w:szCs w:val="20"/>
              </w:rPr>
            </w:pPr>
            <w:r w:rsidRPr="00982B6D">
              <w:rPr>
                <w:rFonts w:cs="Arial"/>
                <w:b/>
                <w:sz w:val="20"/>
                <w:szCs w:val="20"/>
              </w:rPr>
              <w:t>Sail lines</w:t>
            </w:r>
          </w:p>
        </w:tc>
      </w:tr>
      <w:tr w:rsidR="00C74536" w:rsidRPr="00982B6D" w14:paraId="45CED427" w14:textId="77777777" w:rsidTr="00514376">
        <w:tc>
          <w:tcPr>
            <w:tcW w:w="4308" w:type="dxa"/>
            <w:shd w:val="clear" w:color="auto" w:fill="auto"/>
          </w:tcPr>
          <w:p w14:paraId="1B6FFBF3" w14:textId="26BF7671" w:rsidR="00C74536" w:rsidRPr="00982B6D" w:rsidRDefault="00C74536" w:rsidP="00C81642">
            <w:pPr>
              <w:spacing w:before="40" w:after="40" w:line="240" w:lineRule="auto"/>
              <w:ind w:hanging="720"/>
              <w:rPr>
                <w:rFonts w:cs="Arial"/>
                <w:sz w:val="20"/>
                <w:szCs w:val="20"/>
              </w:rPr>
            </w:pPr>
            <w:r w:rsidRPr="00982B6D">
              <w:rPr>
                <w:rFonts w:cs="Arial"/>
                <w:sz w:val="20"/>
                <w:szCs w:val="20"/>
              </w:rPr>
              <w:t>Number of sail line</w:t>
            </w:r>
            <w:r w:rsidR="00B27C2C">
              <w:rPr>
                <w:rFonts w:cs="Arial"/>
                <w:sz w:val="20"/>
                <w:szCs w:val="20"/>
              </w:rPr>
              <w:t>s</w:t>
            </w:r>
          </w:p>
        </w:tc>
        <w:tc>
          <w:tcPr>
            <w:tcW w:w="4214" w:type="dxa"/>
            <w:shd w:val="clear" w:color="auto" w:fill="auto"/>
          </w:tcPr>
          <w:p w14:paraId="3221628F" w14:textId="7E489237" w:rsidR="00C74536" w:rsidRPr="00982B6D" w:rsidRDefault="00B27C2C" w:rsidP="00B27C2C">
            <w:pPr>
              <w:spacing w:before="40" w:after="40" w:line="240" w:lineRule="auto"/>
              <w:ind w:left="87"/>
              <w:rPr>
                <w:rFonts w:cs="Arial"/>
                <w:sz w:val="20"/>
                <w:szCs w:val="20"/>
              </w:rPr>
            </w:pPr>
            <w:r>
              <w:rPr>
                <w:rFonts w:cs="Arial"/>
                <w:sz w:val="20"/>
                <w:szCs w:val="20"/>
              </w:rPr>
              <w:t>60</w:t>
            </w:r>
            <w:r w:rsidR="001D7111" w:rsidRPr="00982B6D">
              <w:rPr>
                <w:rFonts w:cs="Arial"/>
                <w:sz w:val="20"/>
                <w:szCs w:val="20"/>
              </w:rPr>
              <w:t xml:space="preserve"> (</w:t>
            </w:r>
            <w:r>
              <w:rPr>
                <w:rFonts w:cs="Arial"/>
                <w:sz w:val="20"/>
                <w:szCs w:val="20"/>
              </w:rPr>
              <w:t>based on 8 streamers</w:t>
            </w:r>
            <w:r w:rsidR="00133FBC">
              <w:rPr>
                <w:rFonts w:cs="Arial"/>
                <w:sz w:val="20"/>
                <w:szCs w:val="20"/>
              </w:rPr>
              <w:t>)</w:t>
            </w:r>
            <w:r>
              <w:rPr>
                <w:rFonts w:cs="Arial"/>
                <w:sz w:val="20"/>
                <w:szCs w:val="20"/>
              </w:rPr>
              <w:t>, but may vary between 48 and 120</w:t>
            </w:r>
            <w:r w:rsidR="00133FBC">
              <w:rPr>
                <w:rFonts w:cs="Arial"/>
                <w:sz w:val="20"/>
                <w:szCs w:val="20"/>
              </w:rPr>
              <w:t xml:space="preserve"> </w:t>
            </w:r>
          </w:p>
        </w:tc>
      </w:tr>
      <w:tr w:rsidR="00C74536" w:rsidRPr="00982B6D" w14:paraId="0CDA6FA5" w14:textId="77777777" w:rsidTr="00514376">
        <w:tc>
          <w:tcPr>
            <w:tcW w:w="4308" w:type="dxa"/>
            <w:shd w:val="clear" w:color="auto" w:fill="auto"/>
          </w:tcPr>
          <w:p w14:paraId="2AADAB98" w14:textId="2BA3D202" w:rsidR="00C74536" w:rsidRPr="00982B6D" w:rsidRDefault="007038A7" w:rsidP="00C81642">
            <w:pPr>
              <w:spacing w:before="40" w:after="40" w:line="240" w:lineRule="auto"/>
              <w:ind w:hanging="720"/>
              <w:rPr>
                <w:rFonts w:cs="Arial"/>
                <w:sz w:val="20"/>
                <w:szCs w:val="20"/>
              </w:rPr>
            </w:pPr>
            <w:r>
              <w:rPr>
                <w:rFonts w:cs="Arial"/>
                <w:sz w:val="20"/>
                <w:szCs w:val="20"/>
              </w:rPr>
              <w:t>Orientation</w:t>
            </w:r>
          </w:p>
        </w:tc>
        <w:tc>
          <w:tcPr>
            <w:tcW w:w="4214" w:type="dxa"/>
            <w:shd w:val="clear" w:color="auto" w:fill="auto"/>
          </w:tcPr>
          <w:p w14:paraId="639CAE5F" w14:textId="77777777" w:rsidR="00C74536" w:rsidRPr="00982B6D" w:rsidRDefault="001D7111" w:rsidP="00C81642">
            <w:pPr>
              <w:spacing w:before="40" w:after="40" w:line="240" w:lineRule="auto"/>
              <w:ind w:hanging="633"/>
              <w:rPr>
                <w:rFonts w:cs="Arial"/>
                <w:sz w:val="20"/>
                <w:szCs w:val="20"/>
              </w:rPr>
            </w:pPr>
            <w:r w:rsidRPr="00982B6D">
              <w:rPr>
                <w:rFonts w:cs="Arial"/>
                <w:sz w:val="20"/>
                <w:szCs w:val="20"/>
              </w:rPr>
              <w:t>Northwest/southeast</w:t>
            </w:r>
          </w:p>
        </w:tc>
      </w:tr>
      <w:tr w:rsidR="00C74536" w:rsidRPr="00982B6D" w14:paraId="59AC98DC" w14:textId="77777777" w:rsidTr="00514376">
        <w:tc>
          <w:tcPr>
            <w:tcW w:w="4308" w:type="dxa"/>
            <w:shd w:val="clear" w:color="auto" w:fill="auto"/>
          </w:tcPr>
          <w:p w14:paraId="32F9CD75" w14:textId="77777777" w:rsidR="00C74536" w:rsidRPr="00982B6D" w:rsidRDefault="00C74536" w:rsidP="00C81642">
            <w:pPr>
              <w:spacing w:before="40" w:after="40" w:line="240" w:lineRule="auto"/>
              <w:ind w:hanging="720"/>
              <w:rPr>
                <w:rFonts w:cs="Arial"/>
                <w:sz w:val="20"/>
                <w:szCs w:val="20"/>
              </w:rPr>
            </w:pPr>
            <w:r w:rsidRPr="00982B6D">
              <w:rPr>
                <w:rFonts w:cs="Arial"/>
                <w:sz w:val="20"/>
                <w:szCs w:val="20"/>
              </w:rPr>
              <w:t>Line separations</w:t>
            </w:r>
          </w:p>
        </w:tc>
        <w:tc>
          <w:tcPr>
            <w:tcW w:w="4214" w:type="dxa"/>
            <w:shd w:val="clear" w:color="auto" w:fill="auto"/>
          </w:tcPr>
          <w:p w14:paraId="344BC40B" w14:textId="1EA42FAE" w:rsidR="00C74536" w:rsidRPr="00982B6D" w:rsidRDefault="007736F4" w:rsidP="00B27C2C">
            <w:pPr>
              <w:spacing w:before="40" w:after="40" w:line="240" w:lineRule="auto"/>
              <w:ind w:left="87"/>
              <w:rPr>
                <w:rFonts w:cs="Arial"/>
                <w:sz w:val="20"/>
                <w:szCs w:val="20"/>
              </w:rPr>
            </w:pPr>
            <w:r>
              <w:rPr>
                <w:rFonts w:cs="Arial"/>
                <w:sz w:val="20"/>
                <w:szCs w:val="20"/>
              </w:rPr>
              <w:t>200</w:t>
            </w:r>
            <w:r w:rsidR="00C74536" w:rsidRPr="00982B6D">
              <w:rPr>
                <w:rFonts w:cs="Arial"/>
                <w:sz w:val="20"/>
                <w:szCs w:val="20"/>
              </w:rPr>
              <w:t xml:space="preserve"> m</w:t>
            </w:r>
            <w:r w:rsidR="00356E07" w:rsidRPr="00982B6D">
              <w:rPr>
                <w:rFonts w:cs="Arial"/>
                <w:sz w:val="20"/>
                <w:szCs w:val="20"/>
              </w:rPr>
              <w:t xml:space="preserve"> </w:t>
            </w:r>
            <w:r w:rsidR="00B27C2C">
              <w:rPr>
                <w:rFonts w:cs="Arial"/>
                <w:sz w:val="20"/>
                <w:szCs w:val="20"/>
              </w:rPr>
              <w:t>(based on 8 streamers), but may vary between 100 and 250 m</w:t>
            </w:r>
          </w:p>
        </w:tc>
      </w:tr>
      <w:tr w:rsidR="001D7111" w:rsidRPr="00982B6D" w14:paraId="20CE40B1" w14:textId="77777777" w:rsidTr="00514376">
        <w:tc>
          <w:tcPr>
            <w:tcW w:w="4308" w:type="dxa"/>
            <w:shd w:val="clear" w:color="auto" w:fill="auto"/>
          </w:tcPr>
          <w:p w14:paraId="763F5D91" w14:textId="502FE504" w:rsidR="001D7111" w:rsidRPr="00982B6D" w:rsidRDefault="001D7111" w:rsidP="00B05FC2">
            <w:pPr>
              <w:spacing w:before="40" w:after="40" w:line="240" w:lineRule="auto"/>
              <w:ind w:hanging="720"/>
              <w:rPr>
                <w:rFonts w:cs="Arial"/>
                <w:sz w:val="20"/>
                <w:szCs w:val="20"/>
              </w:rPr>
            </w:pPr>
            <w:r w:rsidRPr="00982B6D">
              <w:rPr>
                <w:rFonts w:cs="Arial"/>
                <w:sz w:val="20"/>
                <w:szCs w:val="20"/>
              </w:rPr>
              <w:t xml:space="preserve">Sail line </w:t>
            </w:r>
            <w:r w:rsidR="00B27C2C">
              <w:rPr>
                <w:rFonts w:cs="Arial"/>
                <w:sz w:val="20"/>
                <w:szCs w:val="20"/>
              </w:rPr>
              <w:t>surface</w:t>
            </w:r>
            <w:r w:rsidRPr="00982B6D">
              <w:rPr>
                <w:rFonts w:cs="Arial"/>
                <w:sz w:val="20"/>
                <w:szCs w:val="20"/>
              </w:rPr>
              <w:t xml:space="preserve"> </w:t>
            </w:r>
          </w:p>
        </w:tc>
        <w:tc>
          <w:tcPr>
            <w:tcW w:w="4214" w:type="dxa"/>
            <w:shd w:val="clear" w:color="auto" w:fill="auto"/>
          </w:tcPr>
          <w:p w14:paraId="77F583CD" w14:textId="791D7CA1" w:rsidR="001D7111" w:rsidRPr="00982B6D" w:rsidRDefault="00B27C2C" w:rsidP="00B27C2C">
            <w:pPr>
              <w:spacing w:before="40" w:after="40" w:line="240" w:lineRule="auto"/>
              <w:ind w:left="87"/>
              <w:rPr>
                <w:rFonts w:cs="Arial"/>
                <w:sz w:val="20"/>
                <w:szCs w:val="20"/>
              </w:rPr>
            </w:pPr>
            <w:r>
              <w:rPr>
                <w:rFonts w:cs="Arial"/>
                <w:sz w:val="20"/>
                <w:szCs w:val="20"/>
              </w:rPr>
              <w:t>712</w:t>
            </w:r>
            <w:r w:rsidR="001D7111" w:rsidRPr="00982B6D">
              <w:rPr>
                <w:rFonts w:cs="Arial"/>
                <w:sz w:val="20"/>
                <w:szCs w:val="20"/>
              </w:rPr>
              <w:t xml:space="preserve"> km</w:t>
            </w:r>
            <w:r w:rsidR="00133FBC">
              <w:rPr>
                <w:rFonts w:cs="Arial"/>
                <w:sz w:val="20"/>
                <w:szCs w:val="20"/>
              </w:rPr>
              <w:t xml:space="preserve"> </w:t>
            </w:r>
            <w:r>
              <w:rPr>
                <w:rFonts w:cs="Arial"/>
                <w:sz w:val="20"/>
                <w:szCs w:val="20"/>
              </w:rPr>
              <w:t xml:space="preserve">(based on 8 streamers), but may vary between 569 and 1,423 </w:t>
            </w:r>
            <w:r w:rsidR="00EC6C7B">
              <w:rPr>
                <w:rFonts w:cs="Arial"/>
                <w:sz w:val="20"/>
                <w:szCs w:val="20"/>
              </w:rPr>
              <w:t>k</w:t>
            </w:r>
            <w:r>
              <w:rPr>
                <w:rFonts w:cs="Arial"/>
                <w:sz w:val="20"/>
                <w:szCs w:val="20"/>
              </w:rPr>
              <w:t>m</w:t>
            </w:r>
          </w:p>
        </w:tc>
      </w:tr>
      <w:tr w:rsidR="00956CA4" w:rsidRPr="00982B6D" w14:paraId="79FE1ADC" w14:textId="77777777" w:rsidTr="008548E3">
        <w:tc>
          <w:tcPr>
            <w:tcW w:w="8522" w:type="dxa"/>
            <w:gridSpan w:val="2"/>
            <w:shd w:val="clear" w:color="auto" w:fill="D9D9D9"/>
          </w:tcPr>
          <w:p w14:paraId="0BA5FD96" w14:textId="6251FE3D" w:rsidR="00956CA4" w:rsidRPr="00982B6D" w:rsidRDefault="00956CA4" w:rsidP="00C81642">
            <w:pPr>
              <w:spacing w:before="40" w:after="40" w:line="240" w:lineRule="auto"/>
              <w:ind w:hanging="720"/>
              <w:rPr>
                <w:rFonts w:cs="Arial"/>
                <w:sz w:val="20"/>
                <w:szCs w:val="20"/>
              </w:rPr>
            </w:pPr>
            <w:r w:rsidRPr="00982B6D">
              <w:rPr>
                <w:rFonts w:cs="Arial"/>
                <w:b/>
                <w:sz w:val="20"/>
                <w:szCs w:val="20"/>
              </w:rPr>
              <w:t>Vessel details</w:t>
            </w:r>
          </w:p>
        </w:tc>
      </w:tr>
      <w:tr w:rsidR="001D7111" w:rsidRPr="00982B6D" w14:paraId="740378BA" w14:textId="77777777" w:rsidTr="00514376">
        <w:tc>
          <w:tcPr>
            <w:tcW w:w="4308" w:type="dxa"/>
            <w:shd w:val="clear" w:color="auto" w:fill="auto"/>
          </w:tcPr>
          <w:p w14:paraId="2459730B" w14:textId="77777777" w:rsidR="001D7111" w:rsidRPr="00982B6D" w:rsidRDefault="001D7111" w:rsidP="00C81642">
            <w:pPr>
              <w:spacing w:before="40" w:after="40" w:line="240" w:lineRule="auto"/>
              <w:ind w:hanging="720"/>
              <w:rPr>
                <w:rFonts w:cs="Arial"/>
                <w:sz w:val="20"/>
                <w:szCs w:val="20"/>
              </w:rPr>
            </w:pPr>
            <w:r w:rsidRPr="00982B6D">
              <w:rPr>
                <w:rFonts w:cs="Arial"/>
                <w:sz w:val="20"/>
                <w:szCs w:val="20"/>
              </w:rPr>
              <w:t>Contractor</w:t>
            </w:r>
          </w:p>
        </w:tc>
        <w:tc>
          <w:tcPr>
            <w:tcW w:w="4214" w:type="dxa"/>
            <w:shd w:val="clear" w:color="auto" w:fill="auto"/>
          </w:tcPr>
          <w:p w14:paraId="169F300F" w14:textId="08062977" w:rsidR="001D7111" w:rsidRPr="00982B6D" w:rsidRDefault="00E92A87" w:rsidP="00C81642">
            <w:pPr>
              <w:spacing w:before="40" w:after="40" w:line="240" w:lineRule="auto"/>
              <w:ind w:left="87"/>
              <w:rPr>
                <w:rFonts w:cs="Arial"/>
                <w:sz w:val="20"/>
                <w:szCs w:val="20"/>
              </w:rPr>
            </w:pPr>
            <w:r>
              <w:rPr>
                <w:rFonts w:cs="Arial"/>
                <w:sz w:val="20"/>
                <w:szCs w:val="20"/>
              </w:rPr>
              <w:t>Polarcus</w:t>
            </w:r>
          </w:p>
        </w:tc>
      </w:tr>
      <w:tr w:rsidR="001D7111" w:rsidRPr="00982B6D" w14:paraId="24A05D1B" w14:textId="77777777" w:rsidTr="00514376">
        <w:tc>
          <w:tcPr>
            <w:tcW w:w="4308" w:type="dxa"/>
            <w:shd w:val="clear" w:color="auto" w:fill="auto"/>
          </w:tcPr>
          <w:p w14:paraId="443B6A23" w14:textId="77777777" w:rsidR="001D7111" w:rsidRPr="00982B6D" w:rsidRDefault="001D7111" w:rsidP="00C81642">
            <w:pPr>
              <w:spacing w:before="40" w:after="40" w:line="240" w:lineRule="auto"/>
              <w:ind w:hanging="720"/>
              <w:rPr>
                <w:rFonts w:cs="Arial"/>
                <w:sz w:val="20"/>
                <w:szCs w:val="20"/>
              </w:rPr>
            </w:pPr>
            <w:r w:rsidRPr="00982B6D">
              <w:rPr>
                <w:rFonts w:cs="Arial"/>
                <w:sz w:val="20"/>
                <w:szCs w:val="20"/>
              </w:rPr>
              <w:t>Survey vessel</w:t>
            </w:r>
          </w:p>
        </w:tc>
        <w:tc>
          <w:tcPr>
            <w:tcW w:w="4214" w:type="dxa"/>
            <w:shd w:val="clear" w:color="auto" w:fill="auto"/>
          </w:tcPr>
          <w:p w14:paraId="36639037" w14:textId="6E5F40DA" w:rsidR="001D7111" w:rsidRPr="00E92A87" w:rsidRDefault="00E92A87" w:rsidP="00C81642">
            <w:pPr>
              <w:spacing w:before="40" w:after="40" w:line="240" w:lineRule="auto"/>
              <w:ind w:left="87"/>
              <w:rPr>
                <w:rFonts w:cs="Arial"/>
                <w:i/>
                <w:iCs/>
                <w:sz w:val="20"/>
                <w:szCs w:val="20"/>
              </w:rPr>
            </w:pPr>
            <w:r w:rsidRPr="00E92A87">
              <w:rPr>
                <w:rFonts w:cs="Arial"/>
                <w:i/>
                <w:iCs/>
                <w:sz w:val="20"/>
                <w:szCs w:val="20"/>
              </w:rPr>
              <w:t>Polarcus Naila</w:t>
            </w:r>
          </w:p>
        </w:tc>
      </w:tr>
      <w:tr w:rsidR="001D7111" w:rsidRPr="00982B6D" w14:paraId="70E085B4" w14:textId="77777777" w:rsidTr="00514376">
        <w:tc>
          <w:tcPr>
            <w:tcW w:w="4308" w:type="dxa"/>
            <w:shd w:val="clear" w:color="auto" w:fill="auto"/>
          </w:tcPr>
          <w:p w14:paraId="3720A775" w14:textId="77777777" w:rsidR="001D7111" w:rsidRPr="00982B6D" w:rsidRDefault="001D7111" w:rsidP="00C81642">
            <w:pPr>
              <w:spacing w:before="40" w:after="40" w:line="240" w:lineRule="auto"/>
              <w:ind w:hanging="720"/>
              <w:rPr>
                <w:rFonts w:cs="Arial"/>
                <w:sz w:val="20"/>
                <w:szCs w:val="20"/>
              </w:rPr>
            </w:pPr>
            <w:r w:rsidRPr="00982B6D">
              <w:rPr>
                <w:rFonts w:cs="Arial"/>
                <w:sz w:val="20"/>
                <w:szCs w:val="20"/>
              </w:rPr>
              <w:t>Survey vessel speed</w:t>
            </w:r>
          </w:p>
        </w:tc>
        <w:tc>
          <w:tcPr>
            <w:tcW w:w="4214" w:type="dxa"/>
            <w:shd w:val="clear" w:color="auto" w:fill="auto"/>
          </w:tcPr>
          <w:p w14:paraId="7AC4F463" w14:textId="33D07576" w:rsidR="001D7111" w:rsidRPr="00982B6D" w:rsidRDefault="00E85A2B" w:rsidP="00C81642">
            <w:pPr>
              <w:spacing w:before="40" w:after="40" w:line="240" w:lineRule="auto"/>
              <w:ind w:left="87"/>
              <w:rPr>
                <w:rFonts w:cs="Arial"/>
                <w:sz w:val="20"/>
                <w:szCs w:val="20"/>
              </w:rPr>
            </w:pPr>
            <w:r>
              <w:rPr>
                <w:rFonts w:cs="Arial"/>
                <w:sz w:val="20"/>
                <w:szCs w:val="20"/>
              </w:rPr>
              <w:t>~</w:t>
            </w:r>
            <w:r w:rsidR="008A7589" w:rsidRPr="00982B6D">
              <w:rPr>
                <w:rFonts w:cs="Arial"/>
                <w:sz w:val="20"/>
                <w:szCs w:val="20"/>
              </w:rPr>
              <w:t>4.5 knots (</w:t>
            </w:r>
            <w:r w:rsidR="001D7111" w:rsidRPr="00982B6D">
              <w:rPr>
                <w:rFonts w:cs="Arial"/>
                <w:sz w:val="20"/>
                <w:szCs w:val="20"/>
              </w:rPr>
              <w:t>8 km/hr</w:t>
            </w:r>
            <w:r w:rsidR="008A7589" w:rsidRPr="00982B6D">
              <w:rPr>
                <w:rFonts w:cs="Arial"/>
                <w:sz w:val="20"/>
                <w:szCs w:val="20"/>
              </w:rPr>
              <w:t>)</w:t>
            </w:r>
          </w:p>
        </w:tc>
      </w:tr>
      <w:tr w:rsidR="001D7111" w:rsidRPr="00982B6D" w14:paraId="09A3BF82" w14:textId="77777777" w:rsidTr="00514376">
        <w:tc>
          <w:tcPr>
            <w:tcW w:w="4308" w:type="dxa"/>
            <w:shd w:val="clear" w:color="auto" w:fill="auto"/>
          </w:tcPr>
          <w:p w14:paraId="70764173" w14:textId="77777777" w:rsidR="001D7111" w:rsidRPr="00982B6D" w:rsidRDefault="001D7111" w:rsidP="00C81642">
            <w:pPr>
              <w:spacing w:before="40" w:after="40" w:line="240" w:lineRule="auto"/>
              <w:ind w:hanging="720"/>
              <w:rPr>
                <w:rFonts w:cs="Arial"/>
                <w:sz w:val="20"/>
                <w:szCs w:val="20"/>
              </w:rPr>
            </w:pPr>
            <w:r w:rsidRPr="00982B6D">
              <w:rPr>
                <w:rFonts w:cs="Arial"/>
                <w:sz w:val="20"/>
                <w:szCs w:val="20"/>
              </w:rPr>
              <w:t>Refuelling</w:t>
            </w:r>
          </w:p>
        </w:tc>
        <w:tc>
          <w:tcPr>
            <w:tcW w:w="4214" w:type="dxa"/>
            <w:shd w:val="clear" w:color="auto" w:fill="auto"/>
          </w:tcPr>
          <w:p w14:paraId="03B9CABF" w14:textId="77777777" w:rsidR="001D7111" w:rsidRPr="00982B6D" w:rsidRDefault="001D7111" w:rsidP="00C81642">
            <w:pPr>
              <w:spacing w:before="40" w:after="40" w:line="240" w:lineRule="auto"/>
              <w:ind w:left="87"/>
              <w:rPr>
                <w:rFonts w:cs="Arial"/>
                <w:sz w:val="20"/>
                <w:szCs w:val="20"/>
              </w:rPr>
            </w:pPr>
            <w:r w:rsidRPr="00982B6D">
              <w:rPr>
                <w:rFonts w:cs="Arial"/>
                <w:sz w:val="20"/>
                <w:szCs w:val="20"/>
              </w:rPr>
              <w:t>In port only</w:t>
            </w:r>
          </w:p>
        </w:tc>
      </w:tr>
      <w:tr w:rsidR="001D7111" w:rsidRPr="00982B6D" w14:paraId="2E27E8B6" w14:textId="77777777" w:rsidTr="00E92A87">
        <w:trPr>
          <w:trHeight w:val="332"/>
        </w:trPr>
        <w:tc>
          <w:tcPr>
            <w:tcW w:w="4308" w:type="dxa"/>
            <w:shd w:val="clear" w:color="auto" w:fill="auto"/>
          </w:tcPr>
          <w:p w14:paraId="69F68197" w14:textId="77777777" w:rsidR="001D7111" w:rsidRPr="00982B6D" w:rsidRDefault="001D7111" w:rsidP="00C81642">
            <w:pPr>
              <w:spacing w:before="40" w:after="40" w:line="240" w:lineRule="auto"/>
              <w:ind w:hanging="720"/>
              <w:rPr>
                <w:rFonts w:cs="Arial"/>
                <w:sz w:val="20"/>
                <w:szCs w:val="20"/>
              </w:rPr>
            </w:pPr>
            <w:r w:rsidRPr="00982B6D">
              <w:rPr>
                <w:rFonts w:cs="Arial"/>
                <w:sz w:val="20"/>
                <w:szCs w:val="20"/>
              </w:rPr>
              <w:t>Support vessels</w:t>
            </w:r>
          </w:p>
        </w:tc>
        <w:tc>
          <w:tcPr>
            <w:tcW w:w="4214" w:type="dxa"/>
            <w:shd w:val="clear" w:color="auto" w:fill="auto"/>
          </w:tcPr>
          <w:p w14:paraId="30D673DE" w14:textId="77777777" w:rsidR="001D7111" w:rsidRPr="00982B6D" w:rsidRDefault="001D7111" w:rsidP="00C81642">
            <w:pPr>
              <w:spacing w:before="40" w:after="40" w:line="240" w:lineRule="auto"/>
              <w:ind w:left="87"/>
              <w:rPr>
                <w:rFonts w:cs="Arial"/>
                <w:sz w:val="20"/>
                <w:szCs w:val="20"/>
              </w:rPr>
            </w:pPr>
            <w:r w:rsidRPr="00982B6D">
              <w:rPr>
                <w:rFonts w:cs="Arial"/>
                <w:sz w:val="20"/>
                <w:szCs w:val="20"/>
              </w:rPr>
              <w:t>At least two</w:t>
            </w:r>
          </w:p>
        </w:tc>
      </w:tr>
      <w:tr w:rsidR="001D7111" w:rsidRPr="00982B6D" w14:paraId="7816D7C2" w14:textId="77777777" w:rsidTr="00514376">
        <w:tc>
          <w:tcPr>
            <w:tcW w:w="4308" w:type="dxa"/>
            <w:shd w:val="clear" w:color="auto" w:fill="auto"/>
          </w:tcPr>
          <w:p w14:paraId="4C175885" w14:textId="77777777" w:rsidR="001D7111" w:rsidRPr="00982B6D" w:rsidRDefault="001D7111" w:rsidP="00C81642">
            <w:pPr>
              <w:spacing w:before="40" w:after="40" w:line="240" w:lineRule="auto"/>
              <w:ind w:hanging="720"/>
              <w:rPr>
                <w:rFonts w:cs="Arial"/>
                <w:sz w:val="20"/>
                <w:szCs w:val="20"/>
              </w:rPr>
            </w:pPr>
            <w:r w:rsidRPr="00982B6D">
              <w:rPr>
                <w:rFonts w:cs="Arial"/>
                <w:sz w:val="20"/>
                <w:szCs w:val="20"/>
              </w:rPr>
              <w:t>Support vessel contractor</w:t>
            </w:r>
          </w:p>
        </w:tc>
        <w:tc>
          <w:tcPr>
            <w:tcW w:w="4214" w:type="dxa"/>
            <w:shd w:val="clear" w:color="auto" w:fill="auto"/>
          </w:tcPr>
          <w:p w14:paraId="36ABCE51" w14:textId="77777777" w:rsidR="001D7111" w:rsidRPr="00982B6D" w:rsidRDefault="001D7111" w:rsidP="00C81642">
            <w:pPr>
              <w:spacing w:before="40" w:after="40" w:line="240" w:lineRule="auto"/>
              <w:ind w:left="87"/>
              <w:rPr>
                <w:rFonts w:cs="Arial"/>
                <w:sz w:val="20"/>
                <w:szCs w:val="20"/>
              </w:rPr>
            </w:pPr>
            <w:r w:rsidRPr="00982B6D">
              <w:rPr>
                <w:rFonts w:cs="Arial"/>
                <w:sz w:val="20"/>
                <w:szCs w:val="20"/>
              </w:rPr>
              <w:t xml:space="preserve">Unknown at time of </w:t>
            </w:r>
            <w:r w:rsidR="00F203FF" w:rsidRPr="00982B6D">
              <w:rPr>
                <w:rFonts w:cs="Arial"/>
                <w:sz w:val="20"/>
                <w:szCs w:val="20"/>
              </w:rPr>
              <w:t xml:space="preserve">EP </w:t>
            </w:r>
            <w:r w:rsidRPr="00982B6D">
              <w:rPr>
                <w:rFonts w:cs="Arial"/>
                <w:sz w:val="20"/>
                <w:szCs w:val="20"/>
              </w:rPr>
              <w:t>submission, but likely to be locally-based</w:t>
            </w:r>
          </w:p>
        </w:tc>
      </w:tr>
    </w:tbl>
    <w:p w14:paraId="1F60219E" w14:textId="77777777" w:rsidR="006E3F8B" w:rsidRDefault="006E3F8B" w:rsidP="006E3F8B">
      <w:pPr>
        <w:rPr>
          <w:rFonts w:ascii="Tahoma" w:hAnsi="Tahoma" w:cs="Tahoma"/>
          <w:szCs w:val="20"/>
        </w:rPr>
      </w:pPr>
    </w:p>
    <w:p w14:paraId="45F672DB" w14:textId="77777777" w:rsidR="006E3F8B" w:rsidRDefault="006E3F8B" w:rsidP="006E3F8B">
      <w:pPr>
        <w:rPr>
          <w:rFonts w:ascii="Tahoma" w:hAnsi="Tahoma" w:cs="Tahoma"/>
          <w:szCs w:val="20"/>
        </w:rPr>
      </w:pPr>
      <w:r>
        <w:rPr>
          <w:rFonts w:ascii="Tahoma" w:hAnsi="Tahoma" w:cs="Tahoma"/>
          <w:szCs w:val="20"/>
        </w:rPr>
        <w:br w:type="page"/>
      </w:r>
    </w:p>
    <w:p w14:paraId="1AA107D7" w14:textId="77777777" w:rsidR="000F1FFD" w:rsidRPr="000B1574" w:rsidRDefault="006E3F8B" w:rsidP="000B1574">
      <w:pPr>
        <w:pStyle w:val="Heading1"/>
        <w:keepLines/>
        <w:numPr>
          <w:ilvl w:val="0"/>
          <w:numId w:val="1"/>
        </w:numPr>
        <w:tabs>
          <w:tab w:val="clear" w:pos="360"/>
        </w:tabs>
        <w:spacing w:before="520" w:after="480" w:line="240" w:lineRule="auto"/>
        <w:rPr>
          <w:rFonts w:cs="Times New Roman"/>
          <w:b/>
          <w:color w:val="064EA8"/>
          <w:kern w:val="0"/>
          <w:sz w:val="36"/>
          <w:lang w:eastAsia="en-US"/>
        </w:rPr>
      </w:pPr>
      <w:bookmarkStart w:id="61" w:name="_Toc375214514"/>
      <w:r w:rsidRPr="000B1574">
        <w:rPr>
          <w:rFonts w:cs="Times New Roman"/>
          <w:b/>
          <w:color w:val="064EA8"/>
          <w:kern w:val="0"/>
          <w:sz w:val="36"/>
          <w:lang w:eastAsia="en-US"/>
        </w:rPr>
        <w:lastRenderedPageBreak/>
        <w:t>Legislation</w:t>
      </w:r>
      <w:r w:rsidR="00840CFE" w:rsidRPr="000B1574">
        <w:rPr>
          <w:rFonts w:cs="Times New Roman"/>
          <w:b/>
          <w:color w:val="064EA8"/>
          <w:kern w:val="0"/>
          <w:sz w:val="36"/>
          <w:lang w:eastAsia="en-US"/>
        </w:rPr>
        <w:t xml:space="preserve"> and Guidelines</w:t>
      </w:r>
      <w:bookmarkEnd w:id="61"/>
      <w:r w:rsidRPr="000B1574">
        <w:rPr>
          <w:rFonts w:cs="Times New Roman"/>
          <w:b/>
          <w:color w:val="064EA8"/>
          <w:kern w:val="0"/>
          <w:sz w:val="36"/>
          <w:lang w:eastAsia="en-US"/>
        </w:rPr>
        <w:t xml:space="preserve"> </w:t>
      </w:r>
      <w:r w:rsidR="00E35B2F" w:rsidRPr="000B1574">
        <w:rPr>
          <w:rFonts w:cs="Times New Roman"/>
          <w:b/>
          <w:color w:val="064EA8"/>
          <w:kern w:val="0"/>
          <w:sz w:val="36"/>
          <w:lang w:eastAsia="en-US"/>
        </w:rPr>
        <w:t xml:space="preserve"> </w:t>
      </w:r>
    </w:p>
    <w:p w14:paraId="2EB67323" w14:textId="386E07BB" w:rsidR="006E3F8B" w:rsidRPr="000B1574" w:rsidRDefault="006E3F8B" w:rsidP="00226428">
      <w:pPr>
        <w:pStyle w:val="bodycopy"/>
        <w:rPr>
          <w:rFonts w:ascii="Arial" w:hAnsi="Arial"/>
          <w:sz w:val="22"/>
          <w:szCs w:val="22"/>
        </w:rPr>
      </w:pPr>
      <w:r w:rsidRPr="000B1574">
        <w:rPr>
          <w:rFonts w:ascii="Arial" w:hAnsi="Arial"/>
          <w:sz w:val="22"/>
          <w:szCs w:val="22"/>
        </w:rPr>
        <w:t xml:space="preserve">The </w:t>
      </w:r>
      <w:r w:rsidR="00C92574" w:rsidRPr="000B1574">
        <w:rPr>
          <w:rFonts w:ascii="Arial" w:hAnsi="Arial"/>
          <w:sz w:val="22"/>
          <w:szCs w:val="22"/>
        </w:rPr>
        <w:t xml:space="preserve">proposed </w:t>
      </w:r>
      <w:r w:rsidR="0077359E" w:rsidRPr="000B1574">
        <w:rPr>
          <w:rFonts w:ascii="Arial" w:hAnsi="Arial"/>
          <w:sz w:val="22"/>
          <w:szCs w:val="22"/>
        </w:rPr>
        <w:t xml:space="preserve">Pelican 3DMSS </w:t>
      </w:r>
      <w:r w:rsidRPr="000B1574">
        <w:rPr>
          <w:rFonts w:ascii="Arial" w:hAnsi="Arial"/>
          <w:sz w:val="22"/>
          <w:szCs w:val="22"/>
        </w:rPr>
        <w:t xml:space="preserve">will be conducted in </w:t>
      </w:r>
      <w:r w:rsidR="000F1FFD" w:rsidRPr="000B1574">
        <w:rPr>
          <w:rFonts w:ascii="Arial" w:hAnsi="Arial"/>
          <w:sz w:val="22"/>
          <w:szCs w:val="22"/>
        </w:rPr>
        <w:t xml:space="preserve">both </w:t>
      </w:r>
      <w:r w:rsidRPr="000B1574">
        <w:rPr>
          <w:rFonts w:ascii="Arial" w:hAnsi="Arial"/>
          <w:sz w:val="22"/>
          <w:szCs w:val="22"/>
        </w:rPr>
        <w:t xml:space="preserve">Commonwealth </w:t>
      </w:r>
      <w:r w:rsidR="000F1FFD" w:rsidRPr="000B1574">
        <w:rPr>
          <w:rFonts w:ascii="Arial" w:hAnsi="Arial"/>
          <w:sz w:val="22"/>
          <w:szCs w:val="22"/>
        </w:rPr>
        <w:t xml:space="preserve">and Victorian State </w:t>
      </w:r>
      <w:r w:rsidR="00226428">
        <w:rPr>
          <w:rFonts w:ascii="Arial" w:hAnsi="Arial"/>
          <w:sz w:val="22"/>
          <w:szCs w:val="22"/>
        </w:rPr>
        <w:t xml:space="preserve">waters in Bass Strait in </w:t>
      </w:r>
      <w:r w:rsidR="0077359E" w:rsidRPr="000B1574">
        <w:rPr>
          <w:rFonts w:ascii="Arial" w:hAnsi="Arial"/>
          <w:sz w:val="22"/>
          <w:szCs w:val="22"/>
        </w:rPr>
        <w:t xml:space="preserve">accordance with the OPGGS(E) and </w:t>
      </w:r>
      <w:r w:rsidR="00226428">
        <w:rPr>
          <w:rFonts w:ascii="Arial" w:hAnsi="Arial"/>
          <w:sz w:val="22"/>
          <w:szCs w:val="22"/>
        </w:rPr>
        <w:t>the OPGGS Regulations</w:t>
      </w:r>
      <w:r w:rsidR="0077359E" w:rsidRPr="000B1574">
        <w:rPr>
          <w:rFonts w:ascii="Arial" w:hAnsi="Arial"/>
          <w:sz w:val="22"/>
          <w:szCs w:val="22"/>
        </w:rPr>
        <w:t xml:space="preserve">. </w:t>
      </w:r>
    </w:p>
    <w:p w14:paraId="286BC9C0" w14:textId="042FAEAA" w:rsidR="00F466BA" w:rsidRPr="006B520B" w:rsidRDefault="00F466BA" w:rsidP="000F1FFD">
      <w:pPr>
        <w:pStyle w:val="bodycopy"/>
        <w:rPr>
          <w:rFonts w:ascii="Arial" w:hAnsi="Arial"/>
          <w:sz w:val="22"/>
          <w:szCs w:val="22"/>
        </w:rPr>
      </w:pPr>
      <w:r w:rsidRPr="006B520B">
        <w:rPr>
          <w:rFonts w:ascii="Arial" w:hAnsi="Arial"/>
          <w:sz w:val="22"/>
          <w:szCs w:val="22"/>
        </w:rPr>
        <w:t>Table 3.1 presents a summary of the key Commonwealth legislation</w:t>
      </w:r>
      <w:r w:rsidR="00BB1D5B" w:rsidRPr="006B520B">
        <w:rPr>
          <w:rFonts w:ascii="Arial" w:hAnsi="Arial"/>
          <w:sz w:val="22"/>
          <w:szCs w:val="22"/>
        </w:rPr>
        <w:t xml:space="preserve"> </w:t>
      </w:r>
      <w:r w:rsidR="000B1574" w:rsidRPr="006B520B">
        <w:rPr>
          <w:rFonts w:ascii="Arial" w:hAnsi="Arial"/>
          <w:sz w:val="22"/>
          <w:szCs w:val="22"/>
        </w:rPr>
        <w:t>and regulations</w:t>
      </w:r>
      <w:r w:rsidRPr="006B520B">
        <w:rPr>
          <w:rFonts w:ascii="Arial" w:hAnsi="Arial"/>
          <w:sz w:val="22"/>
          <w:szCs w:val="22"/>
        </w:rPr>
        <w:t xml:space="preserve"> relevant to the environmental management of the activity, while Table 3.2 presents the Victorian equivalent. </w:t>
      </w:r>
    </w:p>
    <w:p w14:paraId="514C89F5" w14:textId="77777777" w:rsidR="00BB1D5B" w:rsidRPr="000B1574" w:rsidRDefault="00BB1D5B" w:rsidP="00BB1D5B">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62" w:name="_Toc349230328"/>
      <w:bookmarkStart w:id="63" w:name="_Toc375214515"/>
      <w:r w:rsidRPr="000B1574">
        <w:rPr>
          <w:rFonts w:cs="Times New Roman"/>
          <w:iCs w:val="0"/>
          <w:color w:val="064EA8"/>
          <w:szCs w:val="26"/>
          <w:lang w:eastAsia="en-US"/>
        </w:rPr>
        <w:t>DEDJTR Environment Policy</w:t>
      </w:r>
      <w:bookmarkEnd w:id="62"/>
      <w:bookmarkEnd w:id="63"/>
    </w:p>
    <w:p w14:paraId="00555A6B" w14:textId="7B1E25A1" w:rsidR="00BB1D5B" w:rsidRPr="006B520B" w:rsidRDefault="00226428" w:rsidP="00BB1D5B">
      <w:pPr>
        <w:pStyle w:val="bodycopy"/>
        <w:rPr>
          <w:rFonts w:ascii="Arial" w:hAnsi="Arial"/>
          <w:sz w:val="22"/>
          <w:szCs w:val="22"/>
        </w:rPr>
      </w:pPr>
      <w:r>
        <w:rPr>
          <w:rFonts w:ascii="Arial" w:hAnsi="Arial"/>
          <w:sz w:val="22"/>
          <w:szCs w:val="22"/>
        </w:rPr>
        <w:t>T</w:t>
      </w:r>
      <w:r w:rsidR="00BB1D5B" w:rsidRPr="000B1574">
        <w:rPr>
          <w:rFonts w:ascii="Arial" w:hAnsi="Arial"/>
          <w:sz w:val="22"/>
          <w:szCs w:val="22"/>
        </w:rPr>
        <w:t xml:space="preserve">he DEDJTR’s Environment Policy provides a public statement of the Department’s commitment to minimise adverse effects on the environment </w:t>
      </w:r>
      <w:r w:rsidR="00BB1D5B" w:rsidRPr="006B520B">
        <w:rPr>
          <w:rFonts w:ascii="Arial" w:hAnsi="Arial"/>
          <w:sz w:val="22"/>
          <w:szCs w:val="22"/>
        </w:rPr>
        <w:t>(Box 3.1).</w:t>
      </w:r>
    </w:p>
    <w:p w14:paraId="657A6940" w14:textId="0355826E" w:rsidR="00BB1D5B" w:rsidRDefault="00BB1D5B" w:rsidP="00BB1D5B">
      <w:pPr>
        <w:pStyle w:val="bodycopy"/>
        <w:rPr>
          <w:rFonts w:ascii="Arial" w:hAnsi="Arial"/>
          <w:sz w:val="22"/>
          <w:szCs w:val="22"/>
        </w:rPr>
      </w:pPr>
      <w:r w:rsidRPr="000B1574">
        <w:rPr>
          <w:rFonts w:ascii="Arial" w:hAnsi="Arial"/>
          <w:sz w:val="22"/>
          <w:szCs w:val="22"/>
        </w:rPr>
        <w:t xml:space="preserve">The CarbonNet Project operates under </w:t>
      </w:r>
      <w:r w:rsidR="00E85A2B">
        <w:rPr>
          <w:rFonts w:ascii="Arial" w:hAnsi="Arial"/>
          <w:sz w:val="22"/>
          <w:szCs w:val="22"/>
        </w:rPr>
        <w:t xml:space="preserve">DEDJTR’s </w:t>
      </w:r>
      <w:r w:rsidRPr="000B1574">
        <w:rPr>
          <w:rFonts w:ascii="Arial" w:hAnsi="Arial"/>
          <w:sz w:val="22"/>
          <w:szCs w:val="22"/>
        </w:rPr>
        <w:t>Environment</w:t>
      </w:r>
      <w:r>
        <w:rPr>
          <w:rFonts w:ascii="Arial" w:hAnsi="Arial"/>
          <w:sz w:val="22"/>
          <w:szCs w:val="22"/>
        </w:rPr>
        <w:t>al</w:t>
      </w:r>
      <w:r w:rsidRPr="000B1574">
        <w:rPr>
          <w:rFonts w:ascii="Arial" w:hAnsi="Arial"/>
          <w:sz w:val="22"/>
          <w:szCs w:val="22"/>
        </w:rPr>
        <w:t xml:space="preserve"> Management System (EMS)</w:t>
      </w:r>
      <w:r w:rsidR="00E85A2B">
        <w:rPr>
          <w:rFonts w:ascii="Arial" w:hAnsi="Arial"/>
          <w:sz w:val="22"/>
          <w:szCs w:val="22"/>
        </w:rPr>
        <w:t>, which aims</w:t>
      </w:r>
      <w:r w:rsidRPr="000B1574">
        <w:rPr>
          <w:rFonts w:ascii="Arial" w:hAnsi="Arial"/>
          <w:sz w:val="22"/>
          <w:szCs w:val="22"/>
        </w:rPr>
        <w:t xml:space="preserve"> to minimise and manage the impacts on employees, contractors, the environment and the communities in which the project operates. The EMS has been developed in line with Australian/New Zealand Standard ISO 14001:2004 Environmental Management Systems (described further in Chapter 8).</w:t>
      </w:r>
    </w:p>
    <w:p w14:paraId="08CF7D0B" w14:textId="77777777" w:rsidR="00AE2EA2" w:rsidRPr="000B1574" w:rsidRDefault="00AE2EA2" w:rsidP="00AE2EA2">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64" w:name="_Ref349554809"/>
      <w:bookmarkStart w:id="65" w:name="_Toc375214516"/>
      <w:r w:rsidRPr="000B1574">
        <w:rPr>
          <w:rFonts w:cs="Times New Roman"/>
          <w:iCs w:val="0"/>
          <w:color w:val="064EA8"/>
          <w:szCs w:val="26"/>
          <w:lang w:eastAsia="en-US"/>
        </w:rPr>
        <w:t>Environmental Approvals Processes</w:t>
      </w:r>
      <w:bookmarkEnd w:id="64"/>
      <w:bookmarkEnd w:id="65"/>
    </w:p>
    <w:p w14:paraId="1AFCC83E" w14:textId="77777777" w:rsidR="00AE2EA2" w:rsidRDefault="00AE2EA2" w:rsidP="00AE2EA2">
      <w:pPr>
        <w:pStyle w:val="Heading3"/>
      </w:pPr>
      <w:bookmarkStart w:id="66" w:name="_Toc474221953"/>
      <w:bookmarkStart w:id="67" w:name="_Toc349230326"/>
      <w:bookmarkStart w:id="68" w:name="_Toc479318067"/>
      <w:bookmarkStart w:id="69" w:name="_Toc479763935"/>
      <w:bookmarkStart w:id="70" w:name="_Toc375214517"/>
      <w:r w:rsidRPr="00AC1736">
        <w:t>Commonwealth Approvals</w:t>
      </w:r>
      <w:bookmarkEnd w:id="66"/>
      <w:bookmarkEnd w:id="67"/>
      <w:bookmarkEnd w:id="68"/>
      <w:bookmarkEnd w:id="69"/>
      <w:bookmarkEnd w:id="70"/>
    </w:p>
    <w:p w14:paraId="6E9AC3AB" w14:textId="77777777" w:rsidR="00AE2EA2" w:rsidRPr="000B1574" w:rsidRDefault="00AE2EA2" w:rsidP="00AE2EA2">
      <w:pPr>
        <w:pStyle w:val="bodycopy"/>
        <w:jc w:val="both"/>
        <w:rPr>
          <w:rFonts w:ascii="Arial" w:hAnsi="Arial"/>
          <w:b/>
          <w:sz w:val="22"/>
          <w:szCs w:val="22"/>
        </w:rPr>
      </w:pPr>
      <w:r w:rsidRPr="000B1574">
        <w:rPr>
          <w:rFonts w:ascii="Arial" w:hAnsi="Arial"/>
          <w:b/>
          <w:sz w:val="22"/>
          <w:szCs w:val="22"/>
        </w:rPr>
        <w:t>Offshore Petroleum and Greenhouse Gas Storage Act 2006</w:t>
      </w:r>
    </w:p>
    <w:p w14:paraId="42516C76" w14:textId="77777777" w:rsidR="00AE2EA2" w:rsidRPr="000B1574" w:rsidRDefault="00AE2EA2" w:rsidP="00991C03">
      <w:pPr>
        <w:pStyle w:val="bodycopy"/>
        <w:rPr>
          <w:rFonts w:ascii="Arial" w:hAnsi="Arial"/>
          <w:sz w:val="22"/>
          <w:szCs w:val="22"/>
        </w:rPr>
      </w:pPr>
      <w:r w:rsidRPr="000B1574">
        <w:rPr>
          <w:rFonts w:ascii="Arial" w:hAnsi="Arial"/>
          <w:sz w:val="22"/>
          <w:szCs w:val="22"/>
        </w:rPr>
        <w:t>The OPGGS Act 2006 (Cth) addresses all licensing, health, safety</w:t>
      </w:r>
      <w:r>
        <w:rPr>
          <w:rFonts w:ascii="Arial" w:hAnsi="Arial"/>
          <w:sz w:val="22"/>
          <w:szCs w:val="22"/>
        </w:rPr>
        <w:t xml:space="preserve"> and</w:t>
      </w:r>
      <w:r w:rsidRPr="000B1574">
        <w:rPr>
          <w:rFonts w:ascii="Arial" w:hAnsi="Arial"/>
          <w:sz w:val="22"/>
          <w:szCs w:val="22"/>
        </w:rPr>
        <w:t xml:space="preserve"> environmental issues for offshore GHG activities in Commonwealth waters (generally between the </w:t>
      </w:r>
      <w:r>
        <w:rPr>
          <w:rFonts w:ascii="Arial" w:hAnsi="Arial"/>
          <w:sz w:val="22"/>
          <w:szCs w:val="22"/>
        </w:rPr>
        <w:br/>
      </w:r>
      <w:r w:rsidRPr="000B1574">
        <w:rPr>
          <w:rFonts w:ascii="Arial" w:hAnsi="Arial"/>
          <w:sz w:val="22"/>
          <w:szCs w:val="22"/>
        </w:rPr>
        <w:t xml:space="preserve">3 nm mark and the 200 nm limit of Australian seas). </w:t>
      </w:r>
    </w:p>
    <w:p w14:paraId="52E5E5C5" w14:textId="4E968DF2" w:rsidR="00AE2EA2" w:rsidRPr="000B1574" w:rsidRDefault="00AE2EA2" w:rsidP="00226428">
      <w:pPr>
        <w:pStyle w:val="bodycopy"/>
        <w:rPr>
          <w:rFonts w:ascii="Arial" w:hAnsi="Arial"/>
          <w:sz w:val="22"/>
          <w:szCs w:val="22"/>
        </w:rPr>
      </w:pPr>
      <w:r w:rsidRPr="000B1574">
        <w:rPr>
          <w:rFonts w:ascii="Arial" w:hAnsi="Arial"/>
          <w:sz w:val="22"/>
          <w:szCs w:val="22"/>
        </w:rPr>
        <w:t xml:space="preserve">The OPGGS(E) requires the preparation of an EP prior to conducting a GHG activity for acceptance by NOPSEMA. </w:t>
      </w:r>
    </w:p>
    <w:p w14:paraId="58AC9AF8" w14:textId="77777777" w:rsidR="00AE2EA2" w:rsidRPr="000B1574" w:rsidRDefault="00AE2EA2" w:rsidP="00AE2EA2">
      <w:pPr>
        <w:pStyle w:val="bodycopy"/>
        <w:jc w:val="both"/>
        <w:rPr>
          <w:rFonts w:ascii="Arial" w:hAnsi="Arial"/>
          <w:b/>
          <w:sz w:val="22"/>
          <w:szCs w:val="22"/>
        </w:rPr>
      </w:pPr>
      <w:r w:rsidRPr="000B1574">
        <w:rPr>
          <w:rFonts w:ascii="Arial" w:hAnsi="Arial"/>
          <w:b/>
          <w:sz w:val="22"/>
          <w:szCs w:val="22"/>
        </w:rPr>
        <w:t>Environment Protection and Biodiversity Conservation Act 1999</w:t>
      </w:r>
    </w:p>
    <w:p w14:paraId="70C20537" w14:textId="77777777" w:rsidR="00AE2EA2" w:rsidRDefault="00AE2EA2" w:rsidP="00991C03">
      <w:pPr>
        <w:pStyle w:val="bodycopy"/>
        <w:rPr>
          <w:rFonts w:ascii="Arial" w:hAnsi="Arial"/>
          <w:sz w:val="22"/>
          <w:szCs w:val="22"/>
        </w:rPr>
      </w:pPr>
      <w:r w:rsidRPr="000B1574">
        <w:rPr>
          <w:rFonts w:ascii="Arial" w:hAnsi="Arial"/>
          <w:sz w:val="22"/>
          <w:szCs w:val="22"/>
        </w:rPr>
        <w:t xml:space="preserve">The </w:t>
      </w:r>
      <w:r w:rsidRPr="00991C03">
        <w:rPr>
          <w:rFonts w:ascii="Arial" w:hAnsi="Arial"/>
          <w:i/>
          <w:sz w:val="22"/>
          <w:szCs w:val="22"/>
        </w:rPr>
        <w:t>Environment Protection and Biodiversity Conservation Act 1999</w:t>
      </w:r>
      <w:r w:rsidRPr="000B1574">
        <w:rPr>
          <w:rFonts w:ascii="Arial" w:hAnsi="Arial"/>
          <w:sz w:val="22"/>
          <w:szCs w:val="22"/>
        </w:rPr>
        <w:t xml:space="preserve"> (EPBC Act) is the key legislation regulating projects that may have an impact on a Matter of National Environmental Significance (MNES).  </w:t>
      </w:r>
    </w:p>
    <w:p w14:paraId="124A16FD" w14:textId="77777777" w:rsidR="00226428" w:rsidRPr="000B1574" w:rsidRDefault="00226428" w:rsidP="00226428">
      <w:pPr>
        <w:pStyle w:val="bodycopy"/>
        <w:rPr>
          <w:rFonts w:ascii="Arial" w:hAnsi="Arial"/>
          <w:sz w:val="22"/>
          <w:szCs w:val="22"/>
        </w:rPr>
      </w:pPr>
      <w:r w:rsidRPr="000B1574">
        <w:rPr>
          <w:rFonts w:ascii="Arial" w:hAnsi="Arial"/>
          <w:sz w:val="22"/>
          <w:szCs w:val="22"/>
        </w:rPr>
        <w:t xml:space="preserve">In February 2014, NOPSEMA became the sole designated assessor of petroleum and </w:t>
      </w:r>
      <w:r>
        <w:rPr>
          <w:rFonts w:ascii="Arial" w:hAnsi="Arial"/>
          <w:sz w:val="22"/>
          <w:szCs w:val="22"/>
        </w:rPr>
        <w:t>GHG</w:t>
      </w:r>
      <w:r w:rsidRPr="000B1574">
        <w:rPr>
          <w:rFonts w:ascii="Arial" w:hAnsi="Arial"/>
          <w:sz w:val="22"/>
          <w:szCs w:val="22"/>
        </w:rPr>
        <w:t xml:space="preserve"> activities in Commonwealth waters in accordance with the Minister for the Environment’s endorsement of NOPSEMA’s environmental authorisation process under Part 10, section 146 of the EPBC Act. Under the streamlined arrangements, impacts on the Commonwealth marine area by petroleum and </w:t>
      </w:r>
      <w:r>
        <w:rPr>
          <w:rFonts w:ascii="Arial" w:hAnsi="Arial"/>
          <w:sz w:val="22"/>
          <w:szCs w:val="22"/>
        </w:rPr>
        <w:t>GHG</w:t>
      </w:r>
      <w:r w:rsidRPr="000B1574">
        <w:rPr>
          <w:rFonts w:ascii="Arial" w:hAnsi="Arial"/>
          <w:sz w:val="22"/>
          <w:szCs w:val="22"/>
        </w:rPr>
        <w:t xml:space="preserve"> activities are assessed solely through NOPSEMA.</w:t>
      </w:r>
    </w:p>
    <w:p w14:paraId="0D6C6422" w14:textId="5172828E" w:rsidR="00226428" w:rsidRPr="000B1574" w:rsidRDefault="00226428" w:rsidP="00226428">
      <w:pPr>
        <w:pStyle w:val="bodycopy"/>
        <w:rPr>
          <w:rFonts w:ascii="Arial" w:hAnsi="Arial"/>
          <w:sz w:val="22"/>
          <w:szCs w:val="22"/>
        </w:rPr>
      </w:pPr>
      <w:r w:rsidRPr="000B1574">
        <w:rPr>
          <w:rFonts w:ascii="Arial" w:hAnsi="Arial"/>
          <w:sz w:val="22"/>
          <w:szCs w:val="22"/>
        </w:rPr>
        <w:t xml:space="preserve">The Commonwealth Department of Environment and Energy (DoEE) is the Regulator for the EPBC Act. </w:t>
      </w:r>
      <w:r>
        <w:rPr>
          <w:rFonts w:ascii="Arial" w:hAnsi="Arial"/>
          <w:sz w:val="22"/>
          <w:szCs w:val="22"/>
        </w:rPr>
        <w:t xml:space="preserve">While the risk assessment undertaken for this EP indicates that the project is unlikely to have </w:t>
      </w:r>
      <w:r w:rsidRPr="000B1574">
        <w:rPr>
          <w:rFonts w:ascii="Arial" w:hAnsi="Arial"/>
          <w:sz w:val="22"/>
          <w:szCs w:val="22"/>
        </w:rPr>
        <w:t>significant impacts on MNES</w:t>
      </w:r>
      <w:r>
        <w:rPr>
          <w:rFonts w:ascii="Arial" w:hAnsi="Arial"/>
          <w:sz w:val="22"/>
          <w:szCs w:val="22"/>
        </w:rPr>
        <w:t xml:space="preserve">, CarbonNet prepared and submitted </w:t>
      </w:r>
      <w:r w:rsidRPr="000B1574">
        <w:rPr>
          <w:rFonts w:ascii="Arial" w:hAnsi="Arial"/>
          <w:sz w:val="22"/>
          <w:szCs w:val="22"/>
        </w:rPr>
        <w:t xml:space="preserve">an EPBC Referral </w:t>
      </w:r>
      <w:r>
        <w:rPr>
          <w:rFonts w:ascii="Arial" w:hAnsi="Arial"/>
          <w:sz w:val="22"/>
          <w:szCs w:val="22"/>
        </w:rPr>
        <w:t>to the DoEE (</w:t>
      </w:r>
      <w:r w:rsidRPr="000B1574">
        <w:rPr>
          <w:rFonts w:ascii="Arial" w:hAnsi="Arial"/>
          <w:sz w:val="22"/>
          <w:szCs w:val="22"/>
        </w:rPr>
        <w:t xml:space="preserve">to describe and assess the MNES within the state waters portion of the </w:t>
      </w:r>
      <w:r>
        <w:rPr>
          <w:rFonts w:ascii="Arial" w:hAnsi="Arial"/>
          <w:sz w:val="22"/>
          <w:szCs w:val="22"/>
        </w:rPr>
        <w:t>project</w:t>
      </w:r>
      <w:r w:rsidRPr="000B1574">
        <w:rPr>
          <w:rFonts w:ascii="Arial" w:hAnsi="Arial"/>
          <w:sz w:val="22"/>
          <w:szCs w:val="22"/>
        </w:rPr>
        <w:t xml:space="preserve"> area</w:t>
      </w:r>
      <w:r>
        <w:rPr>
          <w:rFonts w:ascii="Arial" w:hAnsi="Arial"/>
          <w:sz w:val="22"/>
          <w:szCs w:val="22"/>
        </w:rPr>
        <w:t>) (EPBC 2017/8097)</w:t>
      </w:r>
      <w:r w:rsidRPr="000B1574">
        <w:rPr>
          <w:rFonts w:ascii="Arial" w:hAnsi="Arial"/>
          <w:sz w:val="22"/>
          <w:szCs w:val="22"/>
        </w:rPr>
        <w:t>.</w:t>
      </w:r>
    </w:p>
    <w:p w14:paraId="4F282A26" w14:textId="77777777" w:rsidR="00AE2EA2" w:rsidRPr="000B1574" w:rsidRDefault="00AE2EA2" w:rsidP="00AE2EA2">
      <w:pPr>
        <w:pStyle w:val="bodycopy"/>
        <w:jc w:val="both"/>
        <w:rPr>
          <w:rFonts w:ascii="Arial" w:hAnsi="Arial"/>
          <w:sz w:val="22"/>
          <w:szCs w:val="22"/>
        </w:rPr>
      </w:pPr>
    </w:p>
    <w:p w14:paraId="2D1FD393" w14:textId="77777777" w:rsidR="00BB1D5B" w:rsidRDefault="00BB1D5B" w:rsidP="00BB1D5B">
      <w:pPr>
        <w:pStyle w:val="bodycopy"/>
        <w:jc w:val="both"/>
        <w:rPr>
          <w:rFonts w:ascii="Arial" w:hAnsi="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808080"/>
          <w:insideV w:val="single" w:sz="4" w:space="0" w:color="808080"/>
        </w:tblBorders>
        <w:tblLook w:val="04A0" w:firstRow="1" w:lastRow="0" w:firstColumn="1" w:lastColumn="0" w:noHBand="0" w:noVBand="1"/>
      </w:tblPr>
      <w:tblGrid>
        <w:gridCol w:w="8522"/>
      </w:tblGrid>
      <w:tr w:rsidR="00BB1D5B" w:rsidRPr="000B1574" w14:paraId="09F60F73" w14:textId="77777777" w:rsidTr="00AE2EA2">
        <w:tc>
          <w:tcPr>
            <w:tcW w:w="8522" w:type="dxa"/>
            <w:tcBorders>
              <w:top w:val="single" w:sz="4" w:space="0" w:color="auto"/>
              <w:bottom w:val="nil"/>
            </w:tcBorders>
            <w:shd w:val="clear" w:color="auto" w:fill="auto"/>
          </w:tcPr>
          <w:p w14:paraId="64862994" w14:textId="77777777" w:rsidR="00BB1D5B" w:rsidRPr="000B1574" w:rsidRDefault="00BB1D5B" w:rsidP="00BB1D5B">
            <w:pPr>
              <w:spacing w:before="120" w:after="120" w:line="240" w:lineRule="auto"/>
              <w:ind w:left="0"/>
              <w:jc w:val="center"/>
              <w:rPr>
                <w:rFonts w:cs="Arial"/>
                <w:b/>
                <w:szCs w:val="20"/>
              </w:rPr>
            </w:pPr>
            <w:r w:rsidRPr="000B1574">
              <w:rPr>
                <w:rFonts w:cs="Arial"/>
                <w:b/>
                <w:szCs w:val="20"/>
              </w:rPr>
              <w:lastRenderedPageBreak/>
              <w:t>DEDJTR ENVIRONMENT POLICY</w:t>
            </w:r>
          </w:p>
        </w:tc>
      </w:tr>
      <w:tr w:rsidR="00BB1D5B" w:rsidRPr="000B1574" w14:paraId="55C38308" w14:textId="77777777" w:rsidTr="00AE2EA2">
        <w:tc>
          <w:tcPr>
            <w:tcW w:w="8522" w:type="dxa"/>
            <w:tcBorders>
              <w:top w:val="nil"/>
            </w:tcBorders>
            <w:shd w:val="clear" w:color="auto" w:fill="auto"/>
          </w:tcPr>
          <w:p w14:paraId="3FBB6BD8" w14:textId="77777777" w:rsidR="00BB1D5B" w:rsidRPr="003B1747" w:rsidRDefault="00BB1D5B" w:rsidP="00BB1D5B">
            <w:pPr>
              <w:spacing w:line="240" w:lineRule="auto"/>
              <w:ind w:left="0"/>
              <w:rPr>
                <w:rFonts w:cs="Arial"/>
                <w:b/>
                <w:sz w:val="20"/>
                <w:szCs w:val="20"/>
                <w:lang w:val="en"/>
              </w:rPr>
            </w:pPr>
            <w:r w:rsidRPr="003B1747">
              <w:rPr>
                <w:rFonts w:cs="Arial"/>
                <w:b/>
                <w:sz w:val="20"/>
                <w:szCs w:val="20"/>
                <w:lang w:val="en"/>
              </w:rPr>
              <w:t>Introduction</w:t>
            </w:r>
          </w:p>
          <w:p w14:paraId="142518BC" w14:textId="77777777" w:rsidR="00BB1D5B" w:rsidRPr="003B1747" w:rsidRDefault="00BB1D5B" w:rsidP="00BB1D5B">
            <w:pPr>
              <w:spacing w:line="240" w:lineRule="auto"/>
              <w:ind w:left="0"/>
              <w:rPr>
                <w:rFonts w:cs="Arial"/>
                <w:sz w:val="20"/>
                <w:szCs w:val="20"/>
                <w:lang w:val="en"/>
              </w:rPr>
            </w:pPr>
            <w:r w:rsidRPr="003B1747">
              <w:rPr>
                <w:rFonts w:cs="Arial"/>
                <w:sz w:val="20"/>
                <w:szCs w:val="20"/>
                <w:lang w:val="en"/>
              </w:rPr>
              <w:t>This policy aims to reduce both current and future environmental impacts of the Department of Economic Development, Jobs, Transport and Resources (DEDJTR) through both staff behavioural change and infrastructure improvements.</w:t>
            </w:r>
          </w:p>
          <w:p w14:paraId="6E32A0E9" w14:textId="77777777" w:rsidR="00BB1D5B" w:rsidRPr="003B1747" w:rsidRDefault="00BB1D5B" w:rsidP="00BB1D5B">
            <w:pPr>
              <w:spacing w:line="240" w:lineRule="auto"/>
              <w:ind w:left="0"/>
              <w:rPr>
                <w:rFonts w:cs="Arial"/>
                <w:sz w:val="20"/>
                <w:szCs w:val="20"/>
                <w:lang w:val="en"/>
              </w:rPr>
            </w:pPr>
          </w:p>
          <w:p w14:paraId="275408D3" w14:textId="77777777" w:rsidR="00BB1D5B" w:rsidRPr="003B1747" w:rsidRDefault="00BB1D5B" w:rsidP="00BB1D5B">
            <w:pPr>
              <w:spacing w:line="240" w:lineRule="auto"/>
              <w:ind w:left="0"/>
              <w:rPr>
                <w:rFonts w:cs="Arial"/>
                <w:b/>
                <w:sz w:val="20"/>
                <w:szCs w:val="20"/>
                <w:lang w:val="en"/>
              </w:rPr>
            </w:pPr>
            <w:r w:rsidRPr="003B1747">
              <w:rPr>
                <w:rFonts w:cs="Arial"/>
                <w:b/>
                <w:sz w:val="20"/>
                <w:szCs w:val="20"/>
                <w:lang w:val="en"/>
              </w:rPr>
              <w:t>Scope</w:t>
            </w:r>
          </w:p>
          <w:p w14:paraId="5DE35BFF" w14:textId="77777777" w:rsidR="00BB1D5B" w:rsidRPr="003B1747" w:rsidRDefault="00BB1D5B" w:rsidP="00BB1D5B">
            <w:pPr>
              <w:spacing w:line="240" w:lineRule="auto"/>
              <w:ind w:left="0"/>
              <w:rPr>
                <w:rFonts w:cs="Arial"/>
                <w:sz w:val="20"/>
                <w:szCs w:val="20"/>
                <w:lang w:val="en"/>
              </w:rPr>
            </w:pPr>
            <w:r w:rsidRPr="003B1747">
              <w:rPr>
                <w:rFonts w:cs="Arial"/>
                <w:sz w:val="20"/>
                <w:szCs w:val="20"/>
                <w:lang w:val="en"/>
              </w:rPr>
              <w:t>This policy is applicable to all operations and services of the department at all locations. Agencies linked to the department are expected to comply with the spirit of this policy in the context of the organisation in which they work.</w:t>
            </w:r>
          </w:p>
          <w:p w14:paraId="764D1B34" w14:textId="77777777" w:rsidR="00BB1D5B" w:rsidRPr="003B1747" w:rsidRDefault="00BB1D5B" w:rsidP="00BB1D5B">
            <w:pPr>
              <w:spacing w:line="240" w:lineRule="auto"/>
              <w:ind w:left="0"/>
              <w:rPr>
                <w:rFonts w:cs="Arial"/>
                <w:sz w:val="20"/>
                <w:szCs w:val="20"/>
                <w:lang w:val="en"/>
              </w:rPr>
            </w:pPr>
          </w:p>
          <w:p w14:paraId="0719845E" w14:textId="77777777" w:rsidR="00BB1D5B" w:rsidRPr="003B1747" w:rsidRDefault="00BB1D5B" w:rsidP="00BB1D5B">
            <w:pPr>
              <w:spacing w:line="240" w:lineRule="auto"/>
              <w:ind w:left="0"/>
              <w:rPr>
                <w:rFonts w:cs="Arial"/>
                <w:b/>
                <w:sz w:val="20"/>
                <w:szCs w:val="20"/>
                <w:lang w:val="en"/>
              </w:rPr>
            </w:pPr>
            <w:r w:rsidRPr="003B1747">
              <w:rPr>
                <w:rFonts w:cs="Arial"/>
                <w:b/>
                <w:sz w:val="20"/>
                <w:szCs w:val="20"/>
                <w:lang w:val="en"/>
              </w:rPr>
              <w:t>Policy Statement</w:t>
            </w:r>
          </w:p>
          <w:p w14:paraId="78F7C1F8" w14:textId="77777777" w:rsidR="00BB1D5B" w:rsidRPr="003B1747" w:rsidRDefault="00BB1D5B" w:rsidP="00BB1D5B">
            <w:pPr>
              <w:spacing w:line="240" w:lineRule="auto"/>
              <w:ind w:left="0"/>
              <w:rPr>
                <w:rFonts w:cs="Arial"/>
                <w:sz w:val="20"/>
                <w:szCs w:val="20"/>
                <w:lang w:val="en"/>
              </w:rPr>
            </w:pPr>
            <w:r w:rsidRPr="003B1747">
              <w:rPr>
                <w:rFonts w:cs="Arial"/>
                <w:sz w:val="20"/>
                <w:szCs w:val="20"/>
                <w:lang w:val="en"/>
              </w:rPr>
              <w:t>The Environment Policy has been developed to increase awareness of the environmental impacts that the organisation faces and to demonstrate commitment to further reducing these impacts over time.</w:t>
            </w:r>
            <w:r>
              <w:rPr>
                <w:rFonts w:cs="Arial"/>
                <w:sz w:val="20"/>
                <w:szCs w:val="20"/>
                <w:lang w:val="en"/>
              </w:rPr>
              <w:t xml:space="preserve"> </w:t>
            </w:r>
            <w:r w:rsidRPr="003B1747">
              <w:rPr>
                <w:rFonts w:cs="Arial"/>
                <w:sz w:val="20"/>
                <w:szCs w:val="20"/>
                <w:lang w:val="en"/>
              </w:rPr>
              <w:t xml:space="preserve">DEDJTR has responsibility for 70 sites across Victoria. </w:t>
            </w:r>
          </w:p>
          <w:p w14:paraId="53D92D4C" w14:textId="77777777" w:rsidR="00BB1D5B" w:rsidRPr="003B1747" w:rsidRDefault="00BB1D5B" w:rsidP="00BB1D5B">
            <w:pPr>
              <w:spacing w:before="120" w:after="120" w:line="240" w:lineRule="auto"/>
              <w:ind w:left="0"/>
              <w:rPr>
                <w:rFonts w:cs="Arial"/>
                <w:sz w:val="20"/>
                <w:szCs w:val="20"/>
                <w:lang w:val="en"/>
              </w:rPr>
            </w:pPr>
            <w:r w:rsidRPr="003B1747">
              <w:rPr>
                <w:rFonts w:cs="Arial"/>
                <w:sz w:val="20"/>
                <w:szCs w:val="20"/>
                <w:lang w:val="en"/>
              </w:rPr>
              <w:t>Staff are required to familiarise themselves and act in accordance with the Environment Policy.</w:t>
            </w:r>
          </w:p>
          <w:p w14:paraId="4DAB8D28" w14:textId="77777777" w:rsidR="00BB1D5B" w:rsidRPr="003B1747" w:rsidRDefault="00BB1D5B" w:rsidP="00BB1D5B">
            <w:pPr>
              <w:spacing w:before="120" w:after="120" w:line="240" w:lineRule="auto"/>
              <w:ind w:left="0"/>
              <w:rPr>
                <w:rFonts w:cs="Arial"/>
                <w:b/>
                <w:sz w:val="20"/>
                <w:szCs w:val="20"/>
                <w:lang w:val="en"/>
              </w:rPr>
            </w:pPr>
            <w:r w:rsidRPr="003B1747">
              <w:rPr>
                <w:rFonts w:cs="Arial"/>
                <w:b/>
                <w:sz w:val="20"/>
                <w:szCs w:val="20"/>
                <w:lang w:val="en"/>
              </w:rPr>
              <w:t>Principles</w:t>
            </w:r>
          </w:p>
          <w:p w14:paraId="49531B7C" w14:textId="77777777" w:rsidR="00BB1D5B" w:rsidRPr="003B1747" w:rsidRDefault="00BB1D5B" w:rsidP="00BB1D5B">
            <w:pPr>
              <w:numPr>
                <w:ilvl w:val="0"/>
                <w:numId w:val="94"/>
              </w:numPr>
              <w:spacing w:before="60" w:after="120" w:line="240" w:lineRule="auto"/>
              <w:rPr>
                <w:rFonts w:cs="Arial"/>
                <w:sz w:val="20"/>
                <w:szCs w:val="20"/>
                <w:lang w:val="en"/>
              </w:rPr>
            </w:pPr>
            <w:r w:rsidRPr="003B1747">
              <w:rPr>
                <w:rFonts w:cs="Arial"/>
                <w:bCs/>
                <w:i/>
                <w:sz w:val="20"/>
                <w:szCs w:val="20"/>
                <w:lang w:val="en"/>
              </w:rPr>
              <w:t>Emissions</w:t>
            </w:r>
            <w:r w:rsidRPr="003B1747">
              <w:rPr>
                <w:rFonts w:cs="Arial"/>
                <w:b/>
                <w:bCs/>
                <w:sz w:val="20"/>
                <w:szCs w:val="20"/>
                <w:lang w:val="en"/>
              </w:rPr>
              <w:t xml:space="preserve"> –</w:t>
            </w:r>
            <w:r w:rsidRPr="003B1747">
              <w:rPr>
                <w:rFonts w:cs="Arial"/>
                <w:sz w:val="20"/>
                <w:szCs w:val="20"/>
                <w:lang w:val="en"/>
              </w:rPr>
              <w:t xml:space="preserve"> actively identify and implement (where practical) improvements to minimise the production of greenhouse gases through our everyday activities.</w:t>
            </w:r>
          </w:p>
          <w:p w14:paraId="145249BA" w14:textId="77777777" w:rsidR="00BB1D5B" w:rsidRPr="003B1747" w:rsidRDefault="00BB1D5B" w:rsidP="00BB1D5B">
            <w:pPr>
              <w:numPr>
                <w:ilvl w:val="0"/>
                <w:numId w:val="94"/>
              </w:numPr>
              <w:spacing w:before="100" w:beforeAutospacing="1" w:after="192" w:line="240" w:lineRule="auto"/>
              <w:rPr>
                <w:rFonts w:cs="Arial"/>
                <w:sz w:val="20"/>
                <w:szCs w:val="20"/>
                <w:lang w:val="en"/>
              </w:rPr>
            </w:pPr>
            <w:r w:rsidRPr="003B1747">
              <w:rPr>
                <w:rFonts w:cs="Arial"/>
                <w:bCs/>
                <w:i/>
                <w:sz w:val="20"/>
                <w:szCs w:val="20"/>
                <w:lang w:val="en"/>
              </w:rPr>
              <w:t>Consumption</w:t>
            </w:r>
            <w:r w:rsidRPr="003B1747">
              <w:rPr>
                <w:rFonts w:cs="Arial"/>
                <w:sz w:val="20"/>
                <w:szCs w:val="20"/>
                <w:lang w:val="en"/>
              </w:rPr>
              <w:t xml:space="preserve"> - actively identify and implement (where practical) improvements to minimise consumption and promote efficient use of energy, water, paper and other material inputs.</w:t>
            </w:r>
          </w:p>
          <w:p w14:paraId="33E32AB4" w14:textId="77777777" w:rsidR="00BB1D5B" w:rsidRPr="003B1747" w:rsidRDefault="00BB1D5B" w:rsidP="00BB1D5B">
            <w:pPr>
              <w:numPr>
                <w:ilvl w:val="0"/>
                <w:numId w:val="94"/>
              </w:numPr>
              <w:spacing w:before="100" w:beforeAutospacing="1" w:after="192" w:line="240" w:lineRule="auto"/>
              <w:rPr>
                <w:rFonts w:cs="Arial"/>
                <w:sz w:val="20"/>
                <w:szCs w:val="20"/>
                <w:lang w:val="en"/>
              </w:rPr>
            </w:pPr>
            <w:r w:rsidRPr="003B1747">
              <w:rPr>
                <w:rFonts w:cs="Arial"/>
                <w:bCs/>
                <w:i/>
                <w:sz w:val="20"/>
                <w:szCs w:val="20"/>
                <w:lang w:val="en"/>
              </w:rPr>
              <w:t>Waste</w:t>
            </w:r>
            <w:r w:rsidRPr="003B1747">
              <w:rPr>
                <w:rFonts w:cs="Arial"/>
                <w:sz w:val="20"/>
                <w:szCs w:val="20"/>
                <w:lang w:val="en"/>
              </w:rPr>
              <w:t xml:space="preserve"> - strive to reduce the amount of waste produced whilst maximising the amount we reuse and recycle.</w:t>
            </w:r>
          </w:p>
          <w:p w14:paraId="2CEA15D5" w14:textId="77777777" w:rsidR="00BB1D5B" w:rsidRPr="003B1747" w:rsidRDefault="00BB1D5B" w:rsidP="00BB1D5B">
            <w:pPr>
              <w:numPr>
                <w:ilvl w:val="0"/>
                <w:numId w:val="94"/>
              </w:numPr>
              <w:spacing w:before="100" w:beforeAutospacing="1" w:after="192" w:line="240" w:lineRule="auto"/>
              <w:rPr>
                <w:rFonts w:cs="Arial"/>
                <w:sz w:val="20"/>
                <w:szCs w:val="20"/>
                <w:lang w:val="en"/>
              </w:rPr>
            </w:pPr>
            <w:r w:rsidRPr="003B1747">
              <w:rPr>
                <w:rFonts w:cs="Arial"/>
                <w:bCs/>
                <w:i/>
                <w:sz w:val="20"/>
                <w:szCs w:val="20"/>
                <w:lang w:val="en"/>
              </w:rPr>
              <w:t>Procurement</w:t>
            </w:r>
            <w:r w:rsidRPr="003B1747">
              <w:rPr>
                <w:rFonts w:cs="Arial"/>
                <w:b/>
                <w:bCs/>
                <w:sz w:val="20"/>
                <w:szCs w:val="20"/>
                <w:lang w:val="en"/>
              </w:rPr>
              <w:t xml:space="preserve"> </w:t>
            </w:r>
            <w:r w:rsidRPr="003B1747">
              <w:rPr>
                <w:rFonts w:cs="Arial"/>
                <w:sz w:val="20"/>
                <w:szCs w:val="20"/>
                <w:lang w:val="en"/>
              </w:rPr>
              <w:t>- incorporate environmental principles and, where possible, life cycle costing when procuring goods and services and request that suppliers remove and reuse packaging when goods are procured in bulk.</w:t>
            </w:r>
          </w:p>
          <w:p w14:paraId="2B544913" w14:textId="77777777" w:rsidR="00BB1D5B" w:rsidRPr="003B1747" w:rsidRDefault="00BB1D5B" w:rsidP="00BB1D5B">
            <w:pPr>
              <w:numPr>
                <w:ilvl w:val="0"/>
                <w:numId w:val="94"/>
              </w:numPr>
              <w:spacing w:before="100" w:beforeAutospacing="1" w:after="192" w:line="240" w:lineRule="auto"/>
              <w:rPr>
                <w:rFonts w:cs="Arial"/>
                <w:sz w:val="20"/>
                <w:szCs w:val="20"/>
                <w:lang w:val="en"/>
              </w:rPr>
            </w:pPr>
            <w:r w:rsidRPr="003B1747">
              <w:rPr>
                <w:rFonts w:cs="Arial"/>
                <w:bCs/>
                <w:i/>
                <w:sz w:val="20"/>
                <w:szCs w:val="20"/>
                <w:lang w:val="en"/>
              </w:rPr>
              <w:t>Transport</w:t>
            </w:r>
            <w:r w:rsidRPr="003B1747">
              <w:rPr>
                <w:rFonts w:cs="Arial"/>
                <w:sz w:val="20"/>
                <w:szCs w:val="20"/>
                <w:lang w:val="en"/>
              </w:rPr>
              <w:t xml:space="preserve"> - consider environmental factors when purchasing and using fleet vehicles and travel sustainably when practical.</w:t>
            </w:r>
          </w:p>
          <w:p w14:paraId="5B841652" w14:textId="77777777" w:rsidR="00BB1D5B" w:rsidRPr="003B1747" w:rsidRDefault="00BB1D5B" w:rsidP="00BB1D5B">
            <w:pPr>
              <w:numPr>
                <w:ilvl w:val="0"/>
                <w:numId w:val="94"/>
              </w:numPr>
              <w:spacing w:before="100" w:beforeAutospacing="1" w:after="192" w:line="240" w:lineRule="auto"/>
              <w:rPr>
                <w:rFonts w:cs="Arial"/>
                <w:sz w:val="20"/>
                <w:szCs w:val="20"/>
                <w:lang w:val="en"/>
              </w:rPr>
            </w:pPr>
            <w:r w:rsidRPr="003B1747">
              <w:rPr>
                <w:rFonts w:cs="Arial"/>
                <w:bCs/>
                <w:i/>
                <w:sz w:val="20"/>
                <w:szCs w:val="20"/>
                <w:lang w:val="en"/>
              </w:rPr>
              <w:t>Infrastructure</w:t>
            </w:r>
            <w:r w:rsidRPr="003B1747">
              <w:rPr>
                <w:rFonts w:cs="Arial"/>
                <w:sz w:val="20"/>
                <w:szCs w:val="20"/>
                <w:lang w:val="en"/>
              </w:rPr>
              <w:t xml:space="preserve"> - ensure all new capital works programs and office relocations incorporate comprehensive environmental sustainability principles.</w:t>
            </w:r>
          </w:p>
          <w:p w14:paraId="75593F5F" w14:textId="77777777" w:rsidR="00BB1D5B" w:rsidRPr="003B1747" w:rsidRDefault="00BB1D5B" w:rsidP="00BB1D5B">
            <w:pPr>
              <w:numPr>
                <w:ilvl w:val="0"/>
                <w:numId w:val="94"/>
              </w:numPr>
              <w:spacing w:before="100" w:beforeAutospacing="1" w:after="192" w:line="240" w:lineRule="auto"/>
              <w:rPr>
                <w:rFonts w:cs="Arial"/>
                <w:sz w:val="20"/>
                <w:szCs w:val="20"/>
                <w:lang w:val="en"/>
              </w:rPr>
            </w:pPr>
            <w:r w:rsidRPr="003B1747">
              <w:rPr>
                <w:rFonts w:cs="Arial"/>
                <w:bCs/>
                <w:i/>
                <w:sz w:val="20"/>
                <w:szCs w:val="20"/>
                <w:lang w:val="en"/>
              </w:rPr>
              <w:t>Compliance</w:t>
            </w:r>
            <w:r w:rsidRPr="003B1747">
              <w:rPr>
                <w:rFonts w:cs="Arial"/>
                <w:sz w:val="20"/>
                <w:szCs w:val="20"/>
                <w:lang w:val="en"/>
              </w:rPr>
              <w:t xml:space="preserve"> - comply with all relevant environmental legislation, regulations and policies.</w:t>
            </w:r>
          </w:p>
          <w:p w14:paraId="7BE11BD0" w14:textId="77777777" w:rsidR="00BB1D5B" w:rsidRPr="003B1747" w:rsidRDefault="00BB1D5B" w:rsidP="00BB1D5B">
            <w:pPr>
              <w:numPr>
                <w:ilvl w:val="0"/>
                <w:numId w:val="94"/>
              </w:numPr>
              <w:spacing w:before="100" w:beforeAutospacing="1" w:after="192" w:line="240" w:lineRule="auto"/>
              <w:rPr>
                <w:rFonts w:cs="Arial"/>
                <w:sz w:val="20"/>
                <w:szCs w:val="20"/>
                <w:lang w:val="en"/>
              </w:rPr>
            </w:pPr>
            <w:r w:rsidRPr="003B1747">
              <w:rPr>
                <w:rFonts w:cs="Arial"/>
                <w:bCs/>
                <w:i/>
                <w:sz w:val="20"/>
                <w:szCs w:val="20"/>
                <w:lang w:val="en"/>
              </w:rPr>
              <w:t>Monitoring</w:t>
            </w:r>
            <w:r w:rsidRPr="003B1747">
              <w:rPr>
                <w:rFonts w:cs="Arial"/>
                <w:sz w:val="20"/>
                <w:szCs w:val="20"/>
                <w:lang w:val="en"/>
              </w:rPr>
              <w:t xml:space="preserve"> - monitor and review our environmental performance against annually reviewed targets. Improve the quality of data collected and reported.</w:t>
            </w:r>
          </w:p>
          <w:p w14:paraId="05F507F5" w14:textId="77777777" w:rsidR="00BB1D5B" w:rsidRPr="003B1747" w:rsidRDefault="00BB1D5B" w:rsidP="00BB1D5B">
            <w:pPr>
              <w:numPr>
                <w:ilvl w:val="0"/>
                <w:numId w:val="94"/>
              </w:numPr>
              <w:spacing w:before="100" w:beforeAutospacing="1" w:after="192" w:line="240" w:lineRule="auto"/>
              <w:rPr>
                <w:rFonts w:cs="Arial"/>
                <w:sz w:val="20"/>
                <w:szCs w:val="20"/>
                <w:lang w:val="en"/>
              </w:rPr>
            </w:pPr>
            <w:r w:rsidRPr="003B1747">
              <w:rPr>
                <w:rFonts w:cs="Arial"/>
                <w:bCs/>
                <w:i/>
                <w:sz w:val="20"/>
                <w:szCs w:val="20"/>
                <w:lang w:val="en"/>
              </w:rPr>
              <w:t>Communication</w:t>
            </w:r>
            <w:r w:rsidRPr="003B1747">
              <w:rPr>
                <w:rFonts w:cs="Arial"/>
                <w:sz w:val="20"/>
                <w:szCs w:val="20"/>
                <w:lang w:val="en"/>
              </w:rPr>
              <w:t xml:space="preserve"> - communicate our environmental performance to all staff and stakeholders whilst encouraging participation and feedback.</w:t>
            </w:r>
          </w:p>
          <w:p w14:paraId="243EEC31" w14:textId="77777777" w:rsidR="00BB1D5B" w:rsidRPr="003B1747" w:rsidRDefault="00BB1D5B" w:rsidP="00BB1D5B">
            <w:pPr>
              <w:spacing w:line="240" w:lineRule="auto"/>
              <w:ind w:left="0"/>
              <w:rPr>
                <w:rFonts w:cs="Arial"/>
                <w:b/>
                <w:sz w:val="20"/>
                <w:szCs w:val="20"/>
                <w:lang w:val="en"/>
              </w:rPr>
            </w:pPr>
            <w:r w:rsidRPr="003B1747">
              <w:rPr>
                <w:rFonts w:cs="Arial"/>
                <w:b/>
                <w:sz w:val="20"/>
                <w:szCs w:val="20"/>
                <w:lang w:val="en"/>
              </w:rPr>
              <w:t>Procedures</w:t>
            </w:r>
          </w:p>
          <w:p w14:paraId="1CF7D165" w14:textId="77777777" w:rsidR="00BB1D5B" w:rsidRPr="000B1574" w:rsidRDefault="00BB1D5B" w:rsidP="00BB1D5B">
            <w:pPr>
              <w:spacing w:line="240" w:lineRule="auto"/>
              <w:ind w:left="0"/>
              <w:rPr>
                <w:rFonts w:cs="Arial"/>
                <w:sz w:val="19"/>
                <w:szCs w:val="19"/>
                <w:lang w:val="en"/>
              </w:rPr>
            </w:pPr>
            <w:r w:rsidRPr="003B1747">
              <w:rPr>
                <w:rFonts w:cs="Arial"/>
                <w:sz w:val="20"/>
                <w:szCs w:val="20"/>
                <w:lang w:val="en"/>
              </w:rPr>
              <w:t>Staff are expected to save energy, utilise smarter travel, utilise greener procurement, save water, utilise waste and recycling systems, and save paper.</w:t>
            </w:r>
            <w:r w:rsidRPr="000B1574">
              <w:rPr>
                <w:rFonts w:cs="Arial"/>
                <w:sz w:val="19"/>
                <w:szCs w:val="19"/>
                <w:lang w:val="en"/>
              </w:rPr>
              <w:t xml:space="preserve"> </w:t>
            </w:r>
          </w:p>
          <w:p w14:paraId="6A28CF01" w14:textId="77777777" w:rsidR="00BB1D5B" w:rsidRPr="000B1574" w:rsidRDefault="00BB1D5B" w:rsidP="00BB1D5B">
            <w:pPr>
              <w:spacing w:line="240" w:lineRule="auto"/>
              <w:ind w:left="360" w:hanging="360"/>
              <w:rPr>
                <w:rFonts w:cs="Arial"/>
                <w:i/>
                <w:sz w:val="19"/>
                <w:szCs w:val="19"/>
                <w:lang w:val="en"/>
              </w:rPr>
            </w:pPr>
          </w:p>
          <w:p w14:paraId="3A9A45DC" w14:textId="77777777" w:rsidR="00BB1D5B" w:rsidRPr="003B1747" w:rsidRDefault="00BB1D5B" w:rsidP="00BB1D5B">
            <w:pPr>
              <w:spacing w:line="240" w:lineRule="auto"/>
              <w:ind w:left="360" w:hanging="360"/>
              <w:rPr>
                <w:rFonts w:cs="Arial"/>
                <w:i/>
                <w:sz w:val="18"/>
                <w:szCs w:val="18"/>
                <w:lang w:val="en"/>
              </w:rPr>
            </w:pPr>
            <w:r w:rsidRPr="003B1747">
              <w:rPr>
                <w:rFonts w:cs="Arial"/>
                <w:i/>
                <w:sz w:val="18"/>
                <w:szCs w:val="18"/>
                <w:lang w:val="en"/>
              </w:rPr>
              <w:t>Policy owner/branch: Environment Manager, People and Workplace Services.</w:t>
            </w:r>
          </w:p>
          <w:p w14:paraId="4B76E35C" w14:textId="77777777" w:rsidR="00BB1D5B" w:rsidRPr="003B1747" w:rsidRDefault="00BB1D5B" w:rsidP="00BB1D5B">
            <w:pPr>
              <w:spacing w:line="240" w:lineRule="auto"/>
              <w:ind w:left="360" w:hanging="360"/>
              <w:rPr>
                <w:rFonts w:cs="Arial"/>
                <w:i/>
                <w:sz w:val="18"/>
                <w:szCs w:val="18"/>
                <w:lang w:val="en"/>
              </w:rPr>
            </w:pPr>
            <w:r w:rsidRPr="003B1747">
              <w:rPr>
                <w:rFonts w:cs="Arial"/>
                <w:i/>
                <w:sz w:val="18"/>
                <w:szCs w:val="18"/>
                <w:lang w:val="en"/>
              </w:rPr>
              <w:t>Approved by: DEDJTR Executive Board (19 August 2015).</w:t>
            </w:r>
          </w:p>
          <w:p w14:paraId="2AFD237B" w14:textId="77777777" w:rsidR="00BB1D5B" w:rsidRPr="003B1747" w:rsidRDefault="00BB1D5B" w:rsidP="00BB1D5B">
            <w:pPr>
              <w:spacing w:line="240" w:lineRule="auto"/>
              <w:ind w:left="360" w:hanging="360"/>
              <w:rPr>
                <w:rFonts w:cs="Arial"/>
                <w:i/>
                <w:sz w:val="18"/>
                <w:szCs w:val="18"/>
                <w:lang w:val="en"/>
              </w:rPr>
            </w:pPr>
            <w:r w:rsidRPr="003B1747">
              <w:rPr>
                <w:rFonts w:cs="Arial"/>
                <w:i/>
                <w:sz w:val="18"/>
                <w:szCs w:val="18"/>
                <w:lang w:val="en"/>
              </w:rPr>
              <w:t>Next review: 3 years from effective date.</w:t>
            </w:r>
          </w:p>
          <w:p w14:paraId="4C46DE1B" w14:textId="77777777" w:rsidR="00BB1D5B" w:rsidRPr="000B1574" w:rsidRDefault="00BB1D5B" w:rsidP="00BB1D5B">
            <w:pPr>
              <w:spacing w:after="40" w:line="240" w:lineRule="auto"/>
              <w:ind w:left="357" w:hanging="357"/>
              <w:rPr>
                <w:rFonts w:cs="Arial"/>
                <w:sz w:val="18"/>
                <w:szCs w:val="18"/>
                <w:lang w:val="en"/>
              </w:rPr>
            </w:pPr>
            <w:r w:rsidRPr="003B1747">
              <w:rPr>
                <w:rFonts w:cs="Arial"/>
                <w:i/>
                <w:sz w:val="18"/>
                <w:szCs w:val="18"/>
                <w:lang w:val="en"/>
              </w:rPr>
              <w:t>Version No. DOC/15/242170 (version 1).</w:t>
            </w:r>
          </w:p>
        </w:tc>
      </w:tr>
    </w:tbl>
    <w:p w14:paraId="48869FD9" w14:textId="77777777" w:rsidR="00BB1D5B" w:rsidRPr="000B1574" w:rsidRDefault="00BB1D5B" w:rsidP="00BB1D5B">
      <w:pPr>
        <w:pStyle w:val="bodycopy"/>
        <w:spacing w:before="120" w:after="240"/>
        <w:jc w:val="center"/>
        <w:rPr>
          <w:rFonts w:ascii="Arial" w:hAnsi="Arial"/>
          <w:b/>
          <w:sz w:val="20"/>
        </w:rPr>
      </w:pPr>
      <w:r w:rsidRPr="000B1574">
        <w:rPr>
          <w:rFonts w:ascii="Arial" w:hAnsi="Arial"/>
          <w:b/>
          <w:sz w:val="20"/>
        </w:rPr>
        <w:t>Box 3.1.</w:t>
      </w:r>
      <w:r w:rsidRPr="000B1574">
        <w:rPr>
          <w:rFonts w:ascii="Arial" w:hAnsi="Arial"/>
          <w:b/>
          <w:sz w:val="20"/>
        </w:rPr>
        <w:tab/>
        <w:t>The DEDJTR Environment Policy</w:t>
      </w:r>
    </w:p>
    <w:p w14:paraId="44357168" w14:textId="77777777" w:rsidR="00BB1D5B" w:rsidRPr="000B1574" w:rsidRDefault="00BB1D5B" w:rsidP="000F1FFD">
      <w:pPr>
        <w:pStyle w:val="bodycopy"/>
        <w:rPr>
          <w:rFonts w:ascii="Arial" w:hAnsi="Arial"/>
          <w:sz w:val="22"/>
          <w:szCs w:val="22"/>
        </w:rPr>
      </w:pPr>
    </w:p>
    <w:p w14:paraId="4D6CB958" w14:textId="77777777" w:rsidR="006D33F9" w:rsidRDefault="006D33F9" w:rsidP="00567567">
      <w:pPr>
        <w:pStyle w:val="Heading3"/>
        <w:numPr>
          <w:ilvl w:val="2"/>
          <w:numId w:val="101"/>
        </w:numPr>
      </w:pPr>
      <w:bookmarkStart w:id="71" w:name="_Toc474221954"/>
      <w:bookmarkStart w:id="72" w:name="_Toc349230327"/>
      <w:bookmarkStart w:id="73" w:name="_Toc479318068"/>
      <w:bookmarkStart w:id="74" w:name="_Toc479763936"/>
      <w:bookmarkStart w:id="75" w:name="_Toc375214518"/>
      <w:r>
        <w:lastRenderedPageBreak/>
        <w:t>Victorian Approvals</w:t>
      </w:r>
      <w:bookmarkEnd w:id="71"/>
      <w:bookmarkEnd w:id="72"/>
      <w:bookmarkEnd w:id="73"/>
      <w:bookmarkEnd w:id="74"/>
      <w:bookmarkEnd w:id="75"/>
    </w:p>
    <w:p w14:paraId="5F0F5642" w14:textId="77777777" w:rsidR="006D33F9" w:rsidRPr="000B1574" w:rsidRDefault="006D33F9" w:rsidP="000B1574">
      <w:pPr>
        <w:pStyle w:val="bodycopy"/>
        <w:rPr>
          <w:rFonts w:ascii="Arial" w:hAnsi="Arial"/>
          <w:b/>
          <w:sz w:val="22"/>
          <w:szCs w:val="22"/>
        </w:rPr>
      </w:pPr>
      <w:r w:rsidRPr="000B1574">
        <w:rPr>
          <w:rFonts w:ascii="Arial" w:hAnsi="Arial"/>
          <w:b/>
          <w:sz w:val="22"/>
          <w:szCs w:val="22"/>
        </w:rPr>
        <w:t>Offshore Petroleum and Greenhouse Gas Storage Act 2010</w:t>
      </w:r>
    </w:p>
    <w:p w14:paraId="6A6D1464" w14:textId="4530D407" w:rsidR="006D33F9" w:rsidRPr="000B1574" w:rsidRDefault="006D33F9" w:rsidP="000B1574">
      <w:pPr>
        <w:pStyle w:val="bodycopy"/>
        <w:rPr>
          <w:rFonts w:ascii="Arial" w:hAnsi="Arial"/>
          <w:sz w:val="22"/>
          <w:szCs w:val="22"/>
        </w:rPr>
      </w:pPr>
      <w:r w:rsidRPr="000B1574">
        <w:rPr>
          <w:rFonts w:ascii="Arial" w:hAnsi="Arial"/>
          <w:sz w:val="22"/>
          <w:szCs w:val="22"/>
        </w:rPr>
        <w:t xml:space="preserve">The OPGGS Act 2010 (and associated OPGGS Regulations 2011) is the key legislation regulating GHG activities in Victorian state waters, and mandates that environmental considerations should be integrated into decision-making with regard to the administration of the Act. In this regard, an EP must be prepared and submitted to the Regulator (the Earth Resources Regulation </w:t>
      </w:r>
      <w:r w:rsidR="005B5D50">
        <w:rPr>
          <w:rFonts w:ascii="Arial" w:hAnsi="Arial"/>
          <w:sz w:val="22"/>
          <w:szCs w:val="22"/>
        </w:rPr>
        <w:t xml:space="preserve">[ERR] </w:t>
      </w:r>
      <w:r w:rsidRPr="000B1574">
        <w:rPr>
          <w:rFonts w:ascii="Arial" w:hAnsi="Arial"/>
          <w:sz w:val="22"/>
          <w:szCs w:val="22"/>
        </w:rPr>
        <w:t>branch of the DEDJTR)</w:t>
      </w:r>
      <w:r w:rsidR="005B5D50">
        <w:rPr>
          <w:rFonts w:ascii="Arial" w:hAnsi="Arial"/>
          <w:sz w:val="22"/>
          <w:szCs w:val="22"/>
        </w:rPr>
        <w:t xml:space="preserve"> for acceptance</w:t>
      </w:r>
      <w:r w:rsidRPr="000B1574">
        <w:rPr>
          <w:rFonts w:ascii="Arial" w:hAnsi="Arial"/>
          <w:sz w:val="22"/>
          <w:szCs w:val="22"/>
        </w:rPr>
        <w:t xml:space="preserve">. </w:t>
      </w:r>
    </w:p>
    <w:p w14:paraId="78C4D175" w14:textId="101A8EE1" w:rsidR="009D7B71" w:rsidRPr="0062708E" w:rsidRDefault="006D33F9" w:rsidP="00226428">
      <w:pPr>
        <w:pStyle w:val="bodycopy"/>
        <w:rPr>
          <w:sz w:val="22"/>
          <w:szCs w:val="22"/>
        </w:rPr>
        <w:sectPr w:rsidR="009D7B71" w:rsidRPr="0062708E" w:rsidSect="003B1747">
          <w:headerReference w:type="even" r:id="rId25"/>
          <w:headerReference w:type="default" r:id="rId26"/>
          <w:footerReference w:type="default" r:id="rId27"/>
          <w:headerReference w:type="first" r:id="rId28"/>
          <w:pgSz w:w="11906" w:h="16838" w:code="9"/>
          <w:pgMar w:top="1391" w:right="1800" w:bottom="1440" w:left="1800" w:header="994" w:footer="706" w:gutter="0"/>
          <w:cols w:space="708"/>
          <w:docGrid w:linePitch="360"/>
        </w:sectPr>
      </w:pPr>
      <w:r w:rsidRPr="000B1574">
        <w:rPr>
          <w:rFonts w:ascii="Arial" w:hAnsi="Arial"/>
          <w:sz w:val="22"/>
          <w:szCs w:val="22"/>
        </w:rPr>
        <w:t>This Act and its Regulations (Chapter 2 – Environment) are similar to the Commonwealth Act and Regulations of the same name, however have not been modified to align with most recent revisions of the Commonwealth Act and regulations (streamlining amendments made in 2014) and hence variations between jurisdictions exist</w:t>
      </w:r>
      <w:r w:rsidR="00226428">
        <w:rPr>
          <w:rFonts w:ascii="Arial" w:hAnsi="Arial"/>
          <w:sz w:val="22"/>
          <w:szCs w:val="22"/>
        </w:rPr>
        <w:t>.</w:t>
      </w:r>
      <w:r w:rsidRPr="000B1574">
        <w:rPr>
          <w:rFonts w:ascii="Arial" w:hAnsi="Arial"/>
          <w:sz w:val="22"/>
          <w:szCs w:val="22"/>
        </w:rPr>
        <w:t xml:space="preserve"> </w:t>
      </w:r>
    </w:p>
    <w:p w14:paraId="4EBF2D59" w14:textId="2CE775EC" w:rsidR="00464874" w:rsidRPr="0062708E" w:rsidRDefault="00464874" w:rsidP="00464874">
      <w:pPr>
        <w:pStyle w:val="bodycopy"/>
        <w:rPr>
          <w:rFonts w:ascii="Arial" w:hAnsi="Arial"/>
          <w:sz w:val="22"/>
          <w:szCs w:val="22"/>
        </w:rPr>
      </w:pPr>
      <w:r w:rsidRPr="0062708E">
        <w:rPr>
          <w:rFonts w:ascii="Arial" w:hAnsi="Arial"/>
          <w:sz w:val="22"/>
          <w:szCs w:val="22"/>
        </w:rPr>
        <w:lastRenderedPageBreak/>
        <w:t xml:space="preserve"> </w:t>
      </w:r>
    </w:p>
    <w:p w14:paraId="1FA9A4FB" w14:textId="77777777" w:rsidR="0009403B" w:rsidRPr="000B1574" w:rsidRDefault="0009403B" w:rsidP="000B1574">
      <w:pPr>
        <w:pStyle w:val="Heading1"/>
        <w:keepLines/>
        <w:numPr>
          <w:ilvl w:val="0"/>
          <w:numId w:val="1"/>
        </w:numPr>
        <w:tabs>
          <w:tab w:val="clear" w:pos="360"/>
        </w:tabs>
        <w:spacing w:before="520" w:after="480" w:line="240" w:lineRule="auto"/>
        <w:rPr>
          <w:rFonts w:cs="Times New Roman"/>
          <w:b/>
          <w:color w:val="064EA8"/>
          <w:kern w:val="0"/>
          <w:sz w:val="36"/>
          <w:lang w:eastAsia="en-US"/>
        </w:rPr>
      </w:pPr>
      <w:bookmarkStart w:id="76" w:name="_Ref475521712"/>
      <w:bookmarkStart w:id="77" w:name="_Toc375214519"/>
      <w:r w:rsidRPr="000B1574">
        <w:rPr>
          <w:rFonts w:cs="Times New Roman"/>
          <w:b/>
          <w:color w:val="064EA8"/>
          <w:kern w:val="0"/>
          <w:sz w:val="36"/>
          <w:lang w:eastAsia="en-US"/>
        </w:rPr>
        <w:t>Stakeholder Consultation</w:t>
      </w:r>
      <w:bookmarkEnd w:id="76"/>
      <w:bookmarkEnd w:id="77"/>
    </w:p>
    <w:p w14:paraId="53FFC164" w14:textId="77777777" w:rsidR="00073385" w:rsidRPr="005115A8" w:rsidRDefault="00073385" w:rsidP="00073385">
      <w:pPr>
        <w:pStyle w:val="bodycopy"/>
        <w:rPr>
          <w:rFonts w:ascii="Arial" w:hAnsi="Arial"/>
          <w:sz w:val="22"/>
          <w:szCs w:val="22"/>
        </w:rPr>
      </w:pPr>
      <w:r w:rsidRPr="005115A8">
        <w:rPr>
          <w:rFonts w:ascii="Arial" w:hAnsi="Arial"/>
          <w:sz w:val="22"/>
          <w:szCs w:val="22"/>
        </w:rPr>
        <w:t xml:space="preserve">The CarbonNet Project has a strategic and systematic approach to stakeholder engagement. </w:t>
      </w:r>
    </w:p>
    <w:p w14:paraId="15AAE8E8" w14:textId="77777777" w:rsidR="00073385" w:rsidRPr="005115A8" w:rsidRDefault="00073385" w:rsidP="00073385">
      <w:pPr>
        <w:pStyle w:val="bodycopy"/>
        <w:rPr>
          <w:rFonts w:ascii="Arial" w:hAnsi="Arial"/>
          <w:sz w:val="22"/>
          <w:szCs w:val="22"/>
        </w:rPr>
      </w:pPr>
      <w:r w:rsidRPr="005115A8">
        <w:rPr>
          <w:rFonts w:ascii="Arial" w:hAnsi="Arial"/>
          <w:sz w:val="22"/>
          <w:szCs w:val="22"/>
        </w:rPr>
        <w:t xml:space="preserve">CarbonNet has opened the channels of communication with stakeholders (definition provided in Section 4.2.1) to provide an opportunity for open and honest communication that promotes integration of stakeholder values into its decision-making process. This provides the means for CarbonNet to identify interested individuals and groups as well as their needs, ideas, values, and issues of concern regarding the environmental and/or social impacts of the proposed Pelican 3DMSS. </w:t>
      </w:r>
    </w:p>
    <w:p w14:paraId="58B5BC02" w14:textId="77777777" w:rsidR="00073385" w:rsidRPr="005115A8" w:rsidRDefault="00073385" w:rsidP="00073385">
      <w:pPr>
        <w:pStyle w:val="bodycopy"/>
        <w:rPr>
          <w:rFonts w:ascii="Arial" w:hAnsi="Arial"/>
          <w:sz w:val="22"/>
          <w:szCs w:val="22"/>
        </w:rPr>
      </w:pPr>
      <w:r w:rsidRPr="005115A8">
        <w:rPr>
          <w:rFonts w:ascii="Arial" w:hAnsi="Arial"/>
          <w:sz w:val="22"/>
          <w:szCs w:val="22"/>
        </w:rPr>
        <w:t xml:space="preserve">In keeping with </w:t>
      </w:r>
      <w:r>
        <w:rPr>
          <w:rFonts w:ascii="Arial" w:hAnsi="Arial"/>
          <w:sz w:val="22"/>
          <w:szCs w:val="22"/>
        </w:rPr>
        <w:t>DEDJTR</w:t>
      </w:r>
      <w:r w:rsidRPr="005115A8">
        <w:rPr>
          <w:rFonts w:ascii="Arial" w:hAnsi="Arial"/>
          <w:sz w:val="22"/>
          <w:szCs w:val="22"/>
        </w:rPr>
        <w:t xml:space="preserve">’s </w:t>
      </w:r>
      <w:r>
        <w:rPr>
          <w:rFonts w:ascii="Arial" w:hAnsi="Arial"/>
          <w:sz w:val="22"/>
          <w:szCs w:val="22"/>
        </w:rPr>
        <w:t>Environment</w:t>
      </w:r>
      <w:r w:rsidRPr="005115A8">
        <w:rPr>
          <w:rFonts w:ascii="Arial" w:hAnsi="Arial"/>
          <w:sz w:val="22"/>
          <w:szCs w:val="22"/>
        </w:rPr>
        <w:t xml:space="preserve"> Policy (see </w:t>
      </w:r>
      <w:r w:rsidRPr="004E3D04">
        <w:rPr>
          <w:rFonts w:ascii="Arial" w:hAnsi="Arial"/>
          <w:sz w:val="22"/>
          <w:szCs w:val="22"/>
        </w:rPr>
        <w:t>Section 3</w:t>
      </w:r>
      <w:r w:rsidRPr="00CB10A1">
        <w:rPr>
          <w:rFonts w:ascii="Arial" w:hAnsi="Arial"/>
          <w:sz w:val="22"/>
          <w:szCs w:val="22"/>
        </w:rPr>
        <w:t>.1</w:t>
      </w:r>
      <w:r w:rsidRPr="005115A8">
        <w:rPr>
          <w:rFonts w:ascii="Arial" w:hAnsi="Arial"/>
          <w:sz w:val="22"/>
          <w:szCs w:val="22"/>
        </w:rPr>
        <w:t xml:space="preserve">), CarbonNet is also committed to open, on-going and effective engagement with the communities in which it operates and providing information that is clear, relevant and easily understandable. </w:t>
      </w:r>
    </w:p>
    <w:p w14:paraId="4EFA8D9D" w14:textId="77777777" w:rsidR="00073385" w:rsidRPr="005115A8" w:rsidRDefault="00073385" w:rsidP="00073385">
      <w:pPr>
        <w:pStyle w:val="bodycopy"/>
        <w:rPr>
          <w:rFonts w:ascii="Arial" w:hAnsi="Arial"/>
          <w:sz w:val="22"/>
          <w:szCs w:val="22"/>
        </w:rPr>
      </w:pPr>
      <w:r w:rsidRPr="005115A8">
        <w:rPr>
          <w:rFonts w:ascii="Arial" w:hAnsi="Arial"/>
          <w:sz w:val="22"/>
          <w:szCs w:val="22"/>
        </w:rPr>
        <w:t>This section of the EP defines the:</w:t>
      </w:r>
    </w:p>
    <w:p w14:paraId="7D17A7A8" w14:textId="77777777" w:rsidR="00073385" w:rsidRPr="005115A8" w:rsidRDefault="00073385" w:rsidP="00073385">
      <w:pPr>
        <w:pStyle w:val="bodycopy"/>
        <w:numPr>
          <w:ilvl w:val="0"/>
          <w:numId w:val="84"/>
        </w:numPr>
        <w:rPr>
          <w:rFonts w:ascii="Arial" w:hAnsi="Arial"/>
          <w:sz w:val="22"/>
          <w:szCs w:val="22"/>
        </w:rPr>
      </w:pPr>
      <w:r w:rsidRPr="005115A8">
        <w:rPr>
          <w:rFonts w:ascii="Arial" w:hAnsi="Arial"/>
          <w:sz w:val="22"/>
          <w:szCs w:val="22"/>
        </w:rPr>
        <w:t xml:space="preserve">Objectives of stakeholder consultation; </w:t>
      </w:r>
    </w:p>
    <w:p w14:paraId="0F87E041" w14:textId="77777777" w:rsidR="00073385" w:rsidRPr="005115A8" w:rsidRDefault="00073385" w:rsidP="00073385">
      <w:pPr>
        <w:pStyle w:val="bodycopy"/>
        <w:numPr>
          <w:ilvl w:val="0"/>
          <w:numId w:val="84"/>
        </w:numPr>
        <w:rPr>
          <w:rFonts w:ascii="Arial" w:hAnsi="Arial"/>
          <w:sz w:val="22"/>
          <w:szCs w:val="22"/>
        </w:rPr>
      </w:pPr>
      <w:r w:rsidRPr="005115A8">
        <w:rPr>
          <w:rFonts w:ascii="Arial" w:hAnsi="Arial"/>
          <w:sz w:val="22"/>
          <w:szCs w:val="22"/>
        </w:rPr>
        <w:t xml:space="preserve">Regulatory requirements for stakeholder consultation; </w:t>
      </w:r>
    </w:p>
    <w:p w14:paraId="6AB2D9A1" w14:textId="77777777" w:rsidR="00073385" w:rsidRPr="005115A8" w:rsidRDefault="00073385" w:rsidP="00073385">
      <w:pPr>
        <w:pStyle w:val="bodycopy"/>
        <w:numPr>
          <w:ilvl w:val="0"/>
          <w:numId w:val="84"/>
        </w:numPr>
        <w:rPr>
          <w:rFonts w:ascii="Arial" w:hAnsi="Arial"/>
          <w:sz w:val="22"/>
          <w:szCs w:val="22"/>
        </w:rPr>
      </w:pPr>
      <w:r w:rsidRPr="005115A8">
        <w:rPr>
          <w:rFonts w:ascii="Arial" w:hAnsi="Arial"/>
          <w:sz w:val="22"/>
          <w:szCs w:val="22"/>
        </w:rPr>
        <w:t xml:space="preserve">Who needs to be considered in decision-making; </w:t>
      </w:r>
    </w:p>
    <w:p w14:paraId="6A53E248" w14:textId="77777777" w:rsidR="00073385" w:rsidRPr="005115A8" w:rsidRDefault="00073385" w:rsidP="00073385">
      <w:pPr>
        <w:pStyle w:val="bodycopy"/>
        <w:numPr>
          <w:ilvl w:val="0"/>
          <w:numId w:val="84"/>
        </w:numPr>
        <w:rPr>
          <w:rFonts w:ascii="Arial" w:hAnsi="Arial"/>
          <w:sz w:val="22"/>
          <w:szCs w:val="22"/>
        </w:rPr>
      </w:pPr>
      <w:r w:rsidRPr="005115A8">
        <w:rPr>
          <w:rFonts w:ascii="Arial" w:hAnsi="Arial"/>
          <w:sz w:val="22"/>
          <w:szCs w:val="22"/>
        </w:rPr>
        <w:t xml:space="preserve">When decisions must be completed; </w:t>
      </w:r>
    </w:p>
    <w:p w14:paraId="2F1CDA78" w14:textId="77777777" w:rsidR="00073385" w:rsidRPr="005115A8" w:rsidRDefault="00073385" w:rsidP="00073385">
      <w:pPr>
        <w:pStyle w:val="bodycopy"/>
        <w:numPr>
          <w:ilvl w:val="0"/>
          <w:numId w:val="84"/>
        </w:numPr>
        <w:rPr>
          <w:rFonts w:ascii="Arial" w:hAnsi="Arial"/>
          <w:sz w:val="22"/>
          <w:szCs w:val="22"/>
        </w:rPr>
      </w:pPr>
      <w:r w:rsidRPr="005115A8">
        <w:rPr>
          <w:rFonts w:ascii="Arial" w:hAnsi="Arial"/>
          <w:sz w:val="22"/>
          <w:szCs w:val="22"/>
        </w:rPr>
        <w:t xml:space="preserve">The on-going consultation schedule; and </w:t>
      </w:r>
    </w:p>
    <w:p w14:paraId="00F6002B" w14:textId="77777777" w:rsidR="00073385" w:rsidRPr="005115A8" w:rsidRDefault="00073385" w:rsidP="00073385">
      <w:pPr>
        <w:pStyle w:val="bodycopy"/>
        <w:numPr>
          <w:ilvl w:val="0"/>
          <w:numId w:val="84"/>
        </w:numPr>
        <w:rPr>
          <w:rFonts w:ascii="Arial" w:hAnsi="Arial"/>
          <w:sz w:val="22"/>
          <w:szCs w:val="22"/>
        </w:rPr>
      </w:pPr>
      <w:r w:rsidRPr="005115A8">
        <w:rPr>
          <w:rFonts w:ascii="Arial" w:hAnsi="Arial"/>
          <w:sz w:val="22"/>
          <w:szCs w:val="22"/>
        </w:rPr>
        <w:t>How commitments are documented and tracked to closure.</w:t>
      </w:r>
    </w:p>
    <w:p w14:paraId="78712B8A" w14:textId="77777777" w:rsidR="00073385" w:rsidRPr="00D558AB" w:rsidRDefault="00073385" w:rsidP="00073385">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78" w:name="_Toc479763950"/>
      <w:bookmarkStart w:id="79" w:name="_Toc375214520"/>
      <w:r w:rsidRPr="00D558AB">
        <w:rPr>
          <w:rFonts w:cs="Times New Roman"/>
          <w:iCs w:val="0"/>
          <w:color w:val="064EA8"/>
          <w:szCs w:val="26"/>
          <w:lang w:eastAsia="en-US"/>
        </w:rPr>
        <w:t>Stakeholder Consultation Objectives</w:t>
      </w:r>
      <w:bookmarkEnd w:id="78"/>
      <w:bookmarkEnd w:id="79"/>
    </w:p>
    <w:p w14:paraId="255CC0A4" w14:textId="57625AAC" w:rsidR="00073385" w:rsidRPr="005115A8" w:rsidRDefault="00073385" w:rsidP="00226428">
      <w:pPr>
        <w:pStyle w:val="bodycopy"/>
        <w:rPr>
          <w:rFonts w:ascii="Arial" w:hAnsi="Arial"/>
          <w:sz w:val="22"/>
          <w:szCs w:val="22"/>
        </w:rPr>
      </w:pPr>
      <w:r w:rsidRPr="005115A8">
        <w:rPr>
          <w:rFonts w:ascii="Arial" w:hAnsi="Arial"/>
          <w:sz w:val="22"/>
          <w:szCs w:val="22"/>
        </w:rPr>
        <w:t>CarbonNet’s Stakeholder Engagement Plan (SEP) for the MSS provides a structured approach to engagement activities in line with current best practice. Th</w:t>
      </w:r>
      <w:r>
        <w:rPr>
          <w:rFonts w:ascii="Arial" w:hAnsi="Arial"/>
          <w:sz w:val="22"/>
          <w:szCs w:val="22"/>
        </w:rPr>
        <w:t xml:space="preserve">e implementation of the SEP </w:t>
      </w:r>
      <w:r w:rsidRPr="005115A8">
        <w:rPr>
          <w:rFonts w:ascii="Arial" w:hAnsi="Arial"/>
          <w:sz w:val="22"/>
          <w:szCs w:val="22"/>
        </w:rPr>
        <w:t xml:space="preserve">will help </w:t>
      </w:r>
      <w:r>
        <w:rPr>
          <w:rFonts w:ascii="Arial" w:hAnsi="Arial"/>
          <w:sz w:val="22"/>
          <w:szCs w:val="22"/>
        </w:rPr>
        <w:t xml:space="preserve">stakeholders </w:t>
      </w:r>
      <w:r w:rsidRPr="005115A8">
        <w:rPr>
          <w:rFonts w:ascii="Arial" w:hAnsi="Arial"/>
          <w:sz w:val="22"/>
          <w:szCs w:val="22"/>
        </w:rPr>
        <w:t xml:space="preserve">build an understanding of the MSS, facilitate an open dialogue between the Project and key stakeholders, and potentially minimise stakeholder concerns and impacts regarding the proposed </w:t>
      </w:r>
      <w:r>
        <w:rPr>
          <w:rFonts w:ascii="Arial" w:hAnsi="Arial"/>
          <w:sz w:val="22"/>
          <w:szCs w:val="22"/>
        </w:rPr>
        <w:t>MSS</w:t>
      </w:r>
      <w:r w:rsidRPr="005115A8">
        <w:rPr>
          <w:rFonts w:ascii="Arial" w:hAnsi="Arial"/>
          <w:sz w:val="22"/>
          <w:szCs w:val="22"/>
        </w:rPr>
        <w:t xml:space="preserve">.  </w:t>
      </w:r>
    </w:p>
    <w:p w14:paraId="72571A9B" w14:textId="77777777" w:rsidR="00073385" w:rsidRPr="005115A8" w:rsidRDefault="00073385" w:rsidP="00073385">
      <w:pPr>
        <w:pStyle w:val="bodycopy"/>
        <w:rPr>
          <w:rFonts w:ascii="Arial" w:hAnsi="Arial"/>
          <w:sz w:val="22"/>
          <w:szCs w:val="22"/>
        </w:rPr>
      </w:pPr>
      <w:r>
        <w:rPr>
          <w:rFonts w:ascii="Arial" w:hAnsi="Arial"/>
          <w:sz w:val="22"/>
          <w:szCs w:val="22"/>
        </w:rPr>
        <w:t>The k</w:t>
      </w:r>
      <w:r w:rsidRPr="005115A8">
        <w:rPr>
          <w:rFonts w:ascii="Arial" w:hAnsi="Arial"/>
          <w:sz w:val="22"/>
          <w:szCs w:val="22"/>
        </w:rPr>
        <w:t>ey objectives of the SEP are to:</w:t>
      </w:r>
    </w:p>
    <w:p w14:paraId="12A4B402" w14:textId="77777777" w:rsidR="00073385" w:rsidRPr="005115A8" w:rsidRDefault="00073385" w:rsidP="00073385">
      <w:pPr>
        <w:pStyle w:val="bodycopy"/>
        <w:numPr>
          <w:ilvl w:val="0"/>
          <w:numId w:val="84"/>
        </w:numPr>
        <w:rPr>
          <w:rFonts w:ascii="Arial" w:hAnsi="Arial"/>
          <w:sz w:val="22"/>
          <w:szCs w:val="22"/>
        </w:rPr>
      </w:pPr>
      <w:r w:rsidRPr="005115A8">
        <w:rPr>
          <w:rFonts w:ascii="Arial" w:hAnsi="Arial"/>
          <w:sz w:val="22"/>
          <w:szCs w:val="22"/>
        </w:rPr>
        <w:t>Provide stakeholders with access to clear, up-to-date and timely information, and a point of contact for the project;</w:t>
      </w:r>
    </w:p>
    <w:p w14:paraId="539A6267" w14:textId="77777777" w:rsidR="00073385" w:rsidRPr="005115A8" w:rsidRDefault="00073385" w:rsidP="00073385">
      <w:pPr>
        <w:pStyle w:val="bodycopy"/>
        <w:numPr>
          <w:ilvl w:val="0"/>
          <w:numId w:val="84"/>
        </w:numPr>
        <w:rPr>
          <w:rFonts w:ascii="Arial" w:hAnsi="Arial"/>
          <w:sz w:val="22"/>
          <w:szCs w:val="22"/>
        </w:rPr>
      </w:pPr>
      <w:r w:rsidRPr="005115A8">
        <w:rPr>
          <w:rFonts w:ascii="Arial" w:hAnsi="Arial"/>
          <w:sz w:val="22"/>
          <w:szCs w:val="22"/>
        </w:rPr>
        <w:t>Provide an opportunity for a two-way information exchange and meaningful stakeholder consultation;</w:t>
      </w:r>
    </w:p>
    <w:p w14:paraId="64BDF3AA" w14:textId="77777777" w:rsidR="00073385" w:rsidRPr="005115A8" w:rsidRDefault="00073385" w:rsidP="00073385">
      <w:pPr>
        <w:pStyle w:val="bodycopy"/>
        <w:numPr>
          <w:ilvl w:val="0"/>
          <w:numId w:val="84"/>
        </w:numPr>
        <w:rPr>
          <w:rFonts w:ascii="Arial" w:hAnsi="Arial"/>
          <w:sz w:val="22"/>
          <w:szCs w:val="22"/>
        </w:rPr>
      </w:pPr>
      <w:r w:rsidRPr="005115A8">
        <w:rPr>
          <w:rFonts w:ascii="Arial" w:hAnsi="Arial"/>
          <w:sz w:val="22"/>
          <w:szCs w:val="22"/>
        </w:rPr>
        <w:t>Build on the stakeholder engagement that CarbonNet has already undertaken in the Gippsland region;</w:t>
      </w:r>
    </w:p>
    <w:p w14:paraId="6639B053" w14:textId="77777777" w:rsidR="00073385" w:rsidRPr="005115A8" w:rsidRDefault="00073385" w:rsidP="00073385">
      <w:pPr>
        <w:pStyle w:val="bodycopy"/>
        <w:numPr>
          <w:ilvl w:val="0"/>
          <w:numId w:val="84"/>
        </w:numPr>
        <w:rPr>
          <w:rFonts w:ascii="Arial" w:hAnsi="Arial"/>
          <w:sz w:val="22"/>
          <w:szCs w:val="22"/>
        </w:rPr>
      </w:pPr>
      <w:r w:rsidRPr="005115A8">
        <w:rPr>
          <w:rFonts w:ascii="Arial" w:hAnsi="Arial"/>
          <w:sz w:val="22"/>
          <w:szCs w:val="22"/>
        </w:rPr>
        <w:t xml:space="preserve">Demonstrate integrity and transparency in the Project’s approach to stakeholder engagement; </w:t>
      </w:r>
      <w:r>
        <w:rPr>
          <w:rFonts w:ascii="Arial" w:hAnsi="Arial"/>
          <w:sz w:val="22"/>
          <w:szCs w:val="22"/>
        </w:rPr>
        <w:t>and</w:t>
      </w:r>
    </w:p>
    <w:p w14:paraId="4E2E4BC0" w14:textId="77777777" w:rsidR="00073385" w:rsidRPr="005115A8" w:rsidRDefault="00073385" w:rsidP="00073385">
      <w:pPr>
        <w:pStyle w:val="bodycopy"/>
        <w:numPr>
          <w:ilvl w:val="0"/>
          <w:numId w:val="84"/>
        </w:numPr>
        <w:rPr>
          <w:rFonts w:ascii="Arial" w:hAnsi="Arial"/>
          <w:sz w:val="22"/>
          <w:szCs w:val="22"/>
        </w:rPr>
      </w:pPr>
      <w:r w:rsidRPr="005115A8">
        <w:rPr>
          <w:rFonts w:ascii="Arial" w:hAnsi="Arial"/>
          <w:sz w:val="22"/>
          <w:szCs w:val="22"/>
        </w:rPr>
        <w:t xml:space="preserve">Meet the stakeholder consultation requirements for EPs (see Section 4.2). </w:t>
      </w:r>
    </w:p>
    <w:p w14:paraId="611CD84B" w14:textId="77777777" w:rsidR="00073385" w:rsidRPr="005115A8" w:rsidRDefault="00073385" w:rsidP="00073385">
      <w:pPr>
        <w:pStyle w:val="bodycopy"/>
        <w:rPr>
          <w:rFonts w:ascii="Arial" w:hAnsi="Arial"/>
          <w:sz w:val="22"/>
          <w:szCs w:val="22"/>
        </w:rPr>
      </w:pPr>
      <w:r w:rsidRPr="005115A8">
        <w:rPr>
          <w:rFonts w:ascii="Arial" w:hAnsi="Arial"/>
          <w:sz w:val="22"/>
          <w:szCs w:val="22"/>
        </w:rPr>
        <w:t xml:space="preserve">In developing the SEP, CarbonNet has incorporated key learnings from engagement programs of recent MSS (e.g., the MSS conducted by Geoscience Australia in 2015). </w:t>
      </w:r>
      <w:r w:rsidRPr="005115A8">
        <w:rPr>
          <w:rFonts w:ascii="Arial" w:hAnsi="Arial"/>
          <w:sz w:val="22"/>
          <w:szCs w:val="22"/>
        </w:rPr>
        <w:lastRenderedPageBreak/>
        <w:t xml:space="preserve">CarbonNet is also liaising with its lead research organisation, the CO2CRC, which oversees the GipNet assets. GipNet involves deploying a number of CCS research assets (such as atmospheric and marine monitoring equipment) to validate baseline data gathering technologies and assist in defining practical and relevant shallow-marine Measurement, Monitoring and Verification (MMV) programs.   </w:t>
      </w:r>
    </w:p>
    <w:p w14:paraId="2AA2A364" w14:textId="77777777" w:rsidR="00073385" w:rsidRPr="00D558AB" w:rsidRDefault="00073385" w:rsidP="00073385">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80" w:name="_Toc479763951"/>
      <w:bookmarkStart w:id="81" w:name="_Toc375214521"/>
      <w:r w:rsidRPr="00D558AB">
        <w:rPr>
          <w:rFonts w:cs="Times New Roman"/>
          <w:iCs w:val="0"/>
          <w:color w:val="064EA8"/>
          <w:szCs w:val="26"/>
          <w:lang w:eastAsia="en-US"/>
        </w:rPr>
        <w:t>Regulatory Requirements</w:t>
      </w:r>
      <w:bookmarkEnd w:id="80"/>
      <w:bookmarkEnd w:id="81"/>
    </w:p>
    <w:p w14:paraId="3C630D9E" w14:textId="77777777" w:rsidR="00073385" w:rsidRPr="005115A8" w:rsidRDefault="00073385" w:rsidP="00073385">
      <w:pPr>
        <w:pStyle w:val="bodycopy"/>
        <w:rPr>
          <w:rFonts w:ascii="Arial" w:hAnsi="Arial"/>
          <w:sz w:val="22"/>
          <w:szCs w:val="22"/>
        </w:rPr>
      </w:pPr>
      <w:r w:rsidRPr="005115A8">
        <w:rPr>
          <w:rFonts w:ascii="Arial" w:hAnsi="Arial"/>
          <w:sz w:val="22"/>
          <w:szCs w:val="22"/>
        </w:rPr>
        <w:t xml:space="preserve">Stakeholder consultation is required under both the OPGGS(E) and the OPGGS Regulations. This section summarises the </w:t>
      </w:r>
      <w:r>
        <w:rPr>
          <w:rFonts w:ascii="Arial" w:hAnsi="Arial"/>
          <w:sz w:val="22"/>
          <w:szCs w:val="22"/>
        </w:rPr>
        <w:t xml:space="preserve">these </w:t>
      </w:r>
      <w:r w:rsidRPr="005115A8">
        <w:rPr>
          <w:rFonts w:ascii="Arial" w:hAnsi="Arial"/>
          <w:sz w:val="22"/>
          <w:szCs w:val="22"/>
        </w:rPr>
        <w:t xml:space="preserve">regulatory requirements. </w:t>
      </w:r>
    </w:p>
    <w:p w14:paraId="3F0E3B84" w14:textId="77777777" w:rsidR="00073385" w:rsidRDefault="00073385" w:rsidP="00073385">
      <w:pPr>
        <w:pStyle w:val="Heading3"/>
        <w:numPr>
          <w:ilvl w:val="2"/>
          <w:numId w:val="52"/>
        </w:numPr>
      </w:pPr>
      <w:bookmarkStart w:id="82" w:name="_Toc474221971"/>
      <w:bookmarkStart w:id="83" w:name="_Toc349230344"/>
      <w:bookmarkStart w:id="84" w:name="_Toc479318085"/>
      <w:bookmarkStart w:id="85" w:name="_Toc479763952"/>
      <w:bookmarkStart w:id="86" w:name="_Toc375214522"/>
      <w:r>
        <w:t>Commonwealth Requirements</w:t>
      </w:r>
      <w:bookmarkEnd w:id="82"/>
      <w:bookmarkEnd w:id="83"/>
      <w:bookmarkEnd w:id="84"/>
      <w:bookmarkEnd w:id="85"/>
      <w:bookmarkEnd w:id="86"/>
    </w:p>
    <w:p w14:paraId="200E1DFB" w14:textId="77777777" w:rsidR="00073385" w:rsidRPr="005115A8" w:rsidRDefault="00073385" w:rsidP="00073385">
      <w:pPr>
        <w:pStyle w:val="bodycopy"/>
        <w:rPr>
          <w:rFonts w:ascii="Arial" w:hAnsi="Arial"/>
          <w:sz w:val="22"/>
          <w:szCs w:val="22"/>
        </w:rPr>
      </w:pPr>
      <w:r w:rsidRPr="005115A8">
        <w:rPr>
          <w:rFonts w:ascii="Arial" w:hAnsi="Arial"/>
          <w:sz w:val="22"/>
          <w:szCs w:val="22"/>
        </w:rPr>
        <w:t>Section 280 of the OPGGS Act states that a person carrying out activities in an offshore permit area should not interfere with other users of the offshore area to a greater extent than is necessary for the reasonable exercise of the rights and performance of the duties of the first person. In order to determine what activities are being carried out and whether petroleum activities may interfere with existing users, consultation is required.</w:t>
      </w:r>
    </w:p>
    <w:p w14:paraId="58A0F6A8" w14:textId="77777777" w:rsidR="00073385" w:rsidRPr="005115A8" w:rsidRDefault="00073385" w:rsidP="00073385">
      <w:pPr>
        <w:pStyle w:val="bodycopy"/>
        <w:rPr>
          <w:rFonts w:ascii="Arial" w:hAnsi="Arial"/>
          <w:sz w:val="22"/>
          <w:szCs w:val="22"/>
        </w:rPr>
      </w:pPr>
      <w:r w:rsidRPr="005115A8">
        <w:rPr>
          <w:rFonts w:ascii="Arial" w:hAnsi="Arial"/>
          <w:sz w:val="22"/>
          <w:szCs w:val="22"/>
        </w:rPr>
        <w:t xml:space="preserve">In relation to the content of an EP, more specific requirements are defined in the OPGGS(E) Regulation 11A. This regulation requires that a Titleholder consult with ‘relevant persons’ in the preparation of an EP. A ‘relevant person’ is defined in Regulation 11A as: </w:t>
      </w:r>
    </w:p>
    <w:p w14:paraId="32236805" w14:textId="77777777" w:rsidR="00073385" w:rsidRPr="005115A8" w:rsidRDefault="00073385" w:rsidP="00073385">
      <w:pPr>
        <w:pStyle w:val="bodycopy"/>
        <w:numPr>
          <w:ilvl w:val="0"/>
          <w:numId w:val="87"/>
        </w:numPr>
        <w:rPr>
          <w:rFonts w:ascii="Arial" w:hAnsi="Arial"/>
          <w:sz w:val="22"/>
          <w:szCs w:val="22"/>
        </w:rPr>
      </w:pPr>
      <w:r w:rsidRPr="005115A8">
        <w:rPr>
          <w:rFonts w:ascii="Arial" w:hAnsi="Arial"/>
          <w:sz w:val="22"/>
          <w:szCs w:val="22"/>
        </w:rPr>
        <w:t>Each Department or agency of the Commonwealth to which the activities to be carried out under the EP, or the revision of the EP, may be relevant;</w:t>
      </w:r>
    </w:p>
    <w:p w14:paraId="135A4B41" w14:textId="77777777" w:rsidR="00073385" w:rsidRPr="005115A8" w:rsidRDefault="00073385" w:rsidP="00073385">
      <w:pPr>
        <w:pStyle w:val="bodycopy"/>
        <w:numPr>
          <w:ilvl w:val="0"/>
          <w:numId w:val="87"/>
        </w:numPr>
        <w:rPr>
          <w:rFonts w:ascii="Arial" w:hAnsi="Arial"/>
          <w:sz w:val="22"/>
          <w:szCs w:val="22"/>
        </w:rPr>
      </w:pPr>
      <w:r w:rsidRPr="005115A8">
        <w:rPr>
          <w:rFonts w:ascii="Arial" w:hAnsi="Arial"/>
          <w:sz w:val="22"/>
          <w:szCs w:val="22"/>
        </w:rPr>
        <w:t>Each Department or agency of a State or the Northern Territory to which the activities to be carried out under the EP, or the revision of the EP, may be relevant;</w:t>
      </w:r>
    </w:p>
    <w:p w14:paraId="0A05C260" w14:textId="77777777" w:rsidR="00073385" w:rsidRPr="005115A8" w:rsidRDefault="00073385" w:rsidP="00073385">
      <w:pPr>
        <w:pStyle w:val="bodycopy"/>
        <w:numPr>
          <w:ilvl w:val="0"/>
          <w:numId w:val="87"/>
        </w:numPr>
        <w:rPr>
          <w:rFonts w:ascii="Arial" w:hAnsi="Arial"/>
          <w:sz w:val="22"/>
          <w:szCs w:val="22"/>
        </w:rPr>
      </w:pPr>
      <w:r w:rsidRPr="005115A8">
        <w:rPr>
          <w:rFonts w:ascii="Arial" w:hAnsi="Arial"/>
          <w:sz w:val="22"/>
          <w:szCs w:val="22"/>
        </w:rPr>
        <w:t>The Department of the responsible State Minister, or the responsible Northern Territory Minister;</w:t>
      </w:r>
    </w:p>
    <w:p w14:paraId="19FE9479" w14:textId="77777777" w:rsidR="00073385" w:rsidRPr="005115A8" w:rsidRDefault="00073385" w:rsidP="00073385">
      <w:pPr>
        <w:pStyle w:val="bodycopy"/>
        <w:numPr>
          <w:ilvl w:val="0"/>
          <w:numId w:val="87"/>
        </w:numPr>
        <w:rPr>
          <w:rFonts w:ascii="Arial" w:hAnsi="Arial"/>
          <w:sz w:val="22"/>
          <w:szCs w:val="22"/>
        </w:rPr>
      </w:pPr>
      <w:r w:rsidRPr="005115A8">
        <w:rPr>
          <w:rFonts w:ascii="Arial" w:hAnsi="Arial"/>
          <w:sz w:val="22"/>
          <w:szCs w:val="22"/>
        </w:rPr>
        <w:t xml:space="preserve">A person or organisation whose functions, interests or activities may be affected by the activities to be carried out under the EP, or the revision of the EP; and </w:t>
      </w:r>
    </w:p>
    <w:p w14:paraId="5692B741" w14:textId="77777777" w:rsidR="00073385" w:rsidRPr="005115A8" w:rsidRDefault="00073385" w:rsidP="00073385">
      <w:pPr>
        <w:pStyle w:val="bodycopy"/>
        <w:numPr>
          <w:ilvl w:val="0"/>
          <w:numId w:val="87"/>
        </w:numPr>
        <w:rPr>
          <w:rFonts w:ascii="Arial" w:hAnsi="Arial"/>
          <w:sz w:val="22"/>
          <w:szCs w:val="22"/>
        </w:rPr>
      </w:pPr>
      <w:r w:rsidRPr="005115A8">
        <w:rPr>
          <w:rFonts w:ascii="Arial" w:hAnsi="Arial"/>
          <w:sz w:val="22"/>
          <w:szCs w:val="22"/>
        </w:rPr>
        <w:t>Any other person or organisation that the titleholder considers relevant.</w:t>
      </w:r>
    </w:p>
    <w:p w14:paraId="558D1586" w14:textId="77777777" w:rsidR="00073385" w:rsidRPr="005115A8" w:rsidRDefault="00073385" w:rsidP="00073385">
      <w:pPr>
        <w:pStyle w:val="bodycopy"/>
        <w:rPr>
          <w:rFonts w:ascii="Arial" w:hAnsi="Arial"/>
          <w:sz w:val="22"/>
          <w:szCs w:val="22"/>
        </w:rPr>
      </w:pPr>
      <w:r w:rsidRPr="005115A8">
        <w:rPr>
          <w:rFonts w:ascii="Arial" w:hAnsi="Arial"/>
          <w:sz w:val="22"/>
          <w:szCs w:val="22"/>
        </w:rPr>
        <w:t xml:space="preserve">Further guidance regarding the definition of functions, interests or activities is provided in NOPSEMA’s Assessment of Environment Plans: Deciding on Consultation Requirements Guidelines (N-04750-GL1629, Rev 0, April 2016), as follows: </w:t>
      </w:r>
    </w:p>
    <w:p w14:paraId="207F9883" w14:textId="77777777" w:rsidR="00073385" w:rsidRPr="005115A8" w:rsidRDefault="00073385" w:rsidP="00073385">
      <w:pPr>
        <w:pStyle w:val="bodycopy"/>
        <w:numPr>
          <w:ilvl w:val="0"/>
          <w:numId w:val="86"/>
        </w:numPr>
        <w:rPr>
          <w:rFonts w:ascii="Arial" w:hAnsi="Arial"/>
          <w:sz w:val="22"/>
          <w:szCs w:val="22"/>
        </w:rPr>
      </w:pPr>
      <w:r w:rsidRPr="005115A8">
        <w:rPr>
          <w:rFonts w:ascii="Arial" w:hAnsi="Arial"/>
          <w:sz w:val="22"/>
          <w:szCs w:val="22"/>
        </w:rPr>
        <w:t>Functions – a person or organisation’s power, duty, authority or responsibilities;</w:t>
      </w:r>
    </w:p>
    <w:p w14:paraId="5A0AA378" w14:textId="77777777" w:rsidR="00073385" w:rsidRPr="005115A8" w:rsidRDefault="00073385" w:rsidP="00073385">
      <w:pPr>
        <w:pStyle w:val="bodycopy"/>
        <w:numPr>
          <w:ilvl w:val="0"/>
          <w:numId w:val="86"/>
        </w:numPr>
        <w:rPr>
          <w:rFonts w:ascii="Arial" w:hAnsi="Arial"/>
          <w:sz w:val="22"/>
          <w:szCs w:val="22"/>
        </w:rPr>
      </w:pPr>
      <w:r w:rsidRPr="005115A8">
        <w:rPr>
          <w:rFonts w:ascii="Arial" w:hAnsi="Arial"/>
          <w:sz w:val="22"/>
          <w:szCs w:val="22"/>
        </w:rPr>
        <w:t xml:space="preserve">Activities – a thing or things that a person or group does or has done; and </w:t>
      </w:r>
    </w:p>
    <w:p w14:paraId="652E102D" w14:textId="77777777" w:rsidR="00073385" w:rsidRPr="005115A8" w:rsidRDefault="00073385" w:rsidP="00073385">
      <w:pPr>
        <w:pStyle w:val="bodycopy"/>
        <w:numPr>
          <w:ilvl w:val="0"/>
          <w:numId w:val="86"/>
        </w:numPr>
        <w:rPr>
          <w:rFonts w:ascii="Arial" w:hAnsi="Arial"/>
          <w:sz w:val="22"/>
          <w:szCs w:val="22"/>
        </w:rPr>
      </w:pPr>
      <w:r w:rsidRPr="005115A8">
        <w:rPr>
          <w:rFonts w:ascii="Arial" w:hAnsi="Arial"/>
          <w:sz w:val="22"/>
          <w:szCs w:val="22"/>
        </w:rPr>
        <w:t xml:space="preserve">Interests – a person or organisation’s rights, advantages, duties and liabilities; or a group or organisation having a common concern. </w:t>
      </w:r>
    </w:p>
    <w:p w14:paraId="332F8988" w14:textId="77777777" w:rsidR="00073385" w:rsidRPr="005115A8" w:rsidRDefault="00073385" w:rsidP="00073385">
      <w:pPr>
        <w:pStyle w:val="bodycopy"/>
        <w:rPr>
          <w:rFonts w:ascii="Arial" w:hAnsi="Arial"/>
          <w:sz w:val="22"/>
          <w:szCs w:val="22"/>
        </w:rPr>
      </w:pPr>
      <w:r w:rsidRPr="005115A8">
        <w:rPr>
          <w:rFonts w:ascii="Arial" w:hAnsi="Arial"/>
          <w:sz w:val="22"/>
          <w:szCs w:val="22"/>
        </w:rPr>
        <w:t>Regulation 14(9) of the OPGGS(E) also defines a requirement for consultation in relation to the Implementation Strategy defined in the EP. In addition, Regulation 16(b) of the OPGGS(E) requires that the EP contain a summary and full text of this consultation.</w:t>
      </w:r>
    </w:p>
    <w:p w14:paraId="41BBF18F" w14:textId="77777777" w:rsidR="00073385" w:rsidRDefault="00073385" w:rsidP="00073385">
      <w:pPr>
        <w:pStyle w:val="Heading3"/>
        <w:numPr>
          <w:ilvl w:val="2"/>
          <w:numId w:val="52"/>
        </w:numPr>
      </w:pPr>
      <w:bookmarkStart w:id="87" w:name="_Toc474221972"/>
      <w:bookmarkStart w:id="88" w:name="_Toc349230345"/>
      <w:bookmarkStart w:id="89" w:name="_Toc479318086"/>
      <w:bookmarkStart w:id="90" w:name="_Toc479763953"/>
      <w:bookmarkStart w:id="91" w:name="_Toc375214523"/>
      <w:r>
        <w:lastRenderedPageBreak/>
        <w:t>Victorian Requirements</w:t>
      </w:r>
      <w:bookmarkEnd w:id="87"/>
      <w:bookmarkEnd w:id="88"/>
      <w:bookmarkEnd w:id="89"/>
      <w:bookmarkEnd w:id="90"/>
      <w:bookmarkEnd w:id="91"/>
    </w:p>
    <w:p w14:paraId="622EDBE8" w14:textId="77777777" w:rsidR="00073385" w:rsidRPr="00D123DD" w:rsidRDefault="00073385" w:rsidP="00073385">
      <w:pPr>
        <w:pStyle w:val="bodycopy"/>
        <w:jc w:val="both"/>
        <w:rPr>
          <w:rFonts w:ascii="Arial" w:hAnsi="Arial"/>
          <w:sz w:val="22"/>
          <w:szCs w:val="22"/>
        </w:rPr>
      </w:pPr>
      <w:r w:rsidRPr="00D123DD">
        <w:rPr>
          <w:rFonts w:ascii="Arial" w:hAnsi="Arial"/>
          <w:sz w:val="22"/>
          <w:szCs w:val="22"/>
        </w:rPr>
        <w:t xml:space="preserve">Section 61(2)(j) of the OPGGS Act 2010 specifies that “decisions and actions should provide for community involvement in issues that affect them.” </w:t>
      </w:r>
    </w:p>
    <w:p w14:paraId="3AB72EC5" w14:textId="77777777" w:rsidR="00073385" w:rsidRPr="00D123DD" w:rsidRDefault="00073385" w:rsidP="00073385">
      <w:pPr>
        <w:pStyle w:val="bodycopy"/>
        <w:jc w:val="both"/>
        <w:rPr>
          <w:rFonts w:ascii="Arial" w:hAnsi="Arial"/>
          <w:sz w:val="22"/>
          <w:szCs w:val="22"/>
        </w:rPr>
      </w:pPr>
      <w:r w:rsidRPr="00D123DD">
        <w:rPr>
          <w:rFonts w:ascii="Arial" w:hAnsi="Arial"/>
          <w:sz w:val="22"/>
          <w:szCs w:val="22"/>
        </w:rPr>
        <w:t>The OPGGS Regulations 2011 also specify that certain activities in relation to stakeholder consultation must occur, as listed below:</w:t>
      </w:r>
    </w:p>
    <w:p w14:paraId="208A0D17" w14:textId="77777777" w:rsidR="00073385" w:rsidRPr="00D123DD" w:rsidRDefault="00073385" w:rsidP="00073385">
      <w:pPr>
        <w:pStyle w:val="bodycopy"/>
        <w:numPr>
          <w:ilvl w:val="0"/>
          <w:numId w:val="85"/>
        </w:numPr>
        <w:jc w:val="both"/>
        <w:rPr>
          <w:rFonts w:ascii="Arial" w:hAnsi="Arial"/>
          <w:sz w:val="22"/>
          <w:szCs w:val="22"/>
        </w:rPr>
      </w:pPr>
      <w:r w:rsidRPr="00D123DD">
        <w:rPr>
          <w:rFonts w:ascii="Arial" w:hAnsi="Arial"/>
          <w:sz w:val="22"/>
          <w:szCs w:val="22"/>
        </w:rPr>
        <w:t xml:space="preserve">Regulation 13(1)(f) – a Minister can only accept an EP if it “demonstrates that there has been an appropriate level of consultation with authorities, interested persons and organisations” and </w:t>
      </w:r>
    </w:p>
    <w:p w14:paraId="6B24F6CE" w14:textId="77777777" w:rsidR="00073385" w:rsidRPr="00D123DD" w:rsidRDefault="00073385" w:rsidP="00073385">
      <w:pPr>
        <w:pStyle w:val="bodycopy"/>
        <w:numPr>
          <w:ilvl w:val="0"/>
          <w:numId w:val="85"/>
        </w:numPr>
        <w:jc w:val="both"/>
        <w:rPr>
          <w:rFonts w:ascii="Arial" w:hAnsi="Arial"/>
          <w:sz w:val="22"/>
          <w:szCs w:val="22"/>
        </w:rPr>
      </w:pPr>
      <w:r w:rsidRPr="00D123DD">
        <w:rPr>
          <w:rFonts w:ascii="Arial" w:hAnsi="Arial"/>
          <w:sz w:val="22"/>
          <w:szCs w:val="22"/>
        </w:rPr>
        <w:t xml:space="preserve">Regulation 16(8) – “the implementation strategy must provide for appropriate ongoing consultation with relevant authorities of the Commonwealth or the State and other relevant interested persons or organisations.” </w:t>
      </w:r>
    </w:p>
    <w:p w14:paraId="041D39AC" w14:textId="77777777" w:rsidR="00073385" w:rsidRPr="00D123DD" w:rsidRDefault="00073385" w:rsidP="00073385">
      <w:pPr>
        <w:pStyle w:val="bodycopy"/>
        <w:numPr>
          <w:ilvl w:val="0"/>
          <w:numId w:val="85"/>
        </w:numPr>
        <w:jc w:val="both"/>
        <w:rPr>
          <w:rFonts w:ascii="Arial" w:hAnsi="Arial"/>
          <w:sz w:val="22"/>
          <w:szCs w:val="22"/>
        </w:rPr>
      </w:pPr>
      <w:r w:rsidRPr="00D123DD">
        <w:rPr>
          <w:rFonts w:ascii="Arial" w:hAnsi="Arial"/>
          <w:sz w:val="22"/>
          <w:szCs w:val="22"/>
        </w:rPr>
        <w:t>Regulation 19(b) – “a report on all consultations between the operator and relevant authorities, interested persons and organisations in the course of developing the EP.”</w:t>
      </w:r>
    </w:p>
    <w:p w14:paraId="703A201F" w14:textId="77777777" w:rsidR="00073385" w:rsidRPr="00D558AB" w:rsidRDefault="00073385" w:rsidP="00073385">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92" w:name="_Toc479763954"/>
      <w:bookmarkStart w:id="93" w:name="_Toc375214524"/>
      <w:r w:rsidRPr="00D558AB">
        <w:rPr>
          <w:rFonts w:cs="Times New Roman"/>
          <w:iCs w:val="0"/>
          <w:color w:val="064EA8"/>
          <w:szCs w:val="26"/>
          <w:lang w:eastAsia="en-US"/>
        </w:rPr>
        <w:t>Stakeholder Identification</w:t>
      </w:r>
      <w:bookmarkEnd w:id="92"/>
      <w:bookmarkEnd w:id="93"/>
    </w:p>
    <w:p w14:paraId="754323AB" w14:textId="015A3F69" w:rsidR="00073385" w:rsidRPr="00073385" w:rsidRDefault="00073385" w:rsidP="00226428">
      <w:pPr>
        <w:pStyle w:val="bodycopy"/>
        <w:rPr>
          <w:rFonts w:ascii="Arial" w:hAnsi="Arial"/>
          <w:sz w:val="22"/>
          <w:szCs w:val="22"/>
        </w:rPr>
      </w:pPr>
      <w:r w:rsidRPr="005115A8">
        <w:rPr>
          <w:rFonts w:ascii="Arial" w:hAnsi="Arial"/>
          <w:sz w:val="22"/>
          <w:szCs w:val="22"/>
        </w:rPr>
        <w:t xml:space="preserve">The CarbonNet project team used a number of methods to determine the key stakeholders for the proposed Pelican 3DMSS. These </w:t>
      </w:r>
      <w:r w:rsidRPr="00073385">
        <w:rPr>
          <w:rFonts w:ascii="Arial" w:hAnsi="Arial"/>
          <w:sz w:val="22"/>
          <w:szCs w:val="22"/>
        </w:rPr>
        <w:t xml:space="preserve">stakeholders are grouped into five categories of relevant persons as outlined by the OPGGS(E) (as listed in Section 4.2.1). </w:t>
      </w:r>
    </w:p>
    <w:p w14:paraId="72131802" w14:textId="77777777" w:rsidR="00073385" w:rsidRPr="00073385" w:rsidRDefault="00073385" w:rsidP="00C11FA2">
      <w:pPr>
        <w:pStyle w:val="bodycopy"/>
        <w:spacing w:after="240"/>
        <w:rPr>
          <w:rFonts w:ascii="Arial" w:hAnsi="Arial"/>
          <w:sz w:val="22"/>
          <w:szCs w:val="22"/>
        </w:rPr>
      </w:pPr>
      <w:r w:rsidRPr="00073385">
        <w:rPr>
          <w:rFonts w:ascii="Arial" w:hAnsi="Arial"/>
          <w:sz w:val="22"/>
          <w:szCs w:val="22"/>
        </w:rPr>
        <w:t>Stakeholders identified for the proposed Pelican 3DMSS, divided into the categories defined under Regulation 11A of the OPGGS(E), are listed in Table 4.1.</w:t>
      </w:r>
    </w:p>
    <w:p w14:paraId="618D035B" w14:textId="77777777" w:rsidR="00073385" w:rsidRDefault="00073385" w:rsidP="00073385">
      <w:pPr>
        <w:pStyle w:val="Tableheading-small"/>
        <w:spacing w:after="120"/>
        <w:jc w:val="center"/>
        <w:rPr>
          <w:sz w:val="20"/>
          <w:szCs w:val="20"/>
        </w:rPr>
      </w:pPr>
      <w:r w:rsidRPr="00507935">
        <w:rPr>
          <w:sz w:val="20"/>
          <w:szCs w:val="20"/>
        </w:rPr>
        <w:t>Table 4.1</w:t>
      </w:r>
      <w:r>
        <w:rPr>
          <w:sz w:val="20"/>
          <w:szCs w:val="20"/>
        </w:rPr>
        <w:t>.</w:t>
      </w:r>
      <w:r>
        <w:rPr>
          <w:sz w:val="20"/>
          <w:szCs w:val="20"/>
        </w:rPr>
        <w:tab/>
      </w:r>
      <w:r w:rsidRPr="00507935">
        <w:rPr>
          <w:sz w:val="20"/>
          <w:szCs w:val="20"/>
        </w:rPr>
        <w:t>Stakeholders identified for the proposed Pelican 3DMSS</w:t>
      </w:r>
    </w:p>
    <w:tbl>
      <w:tblPr>
        <w:tblW w:w="0" w:type="auto"/>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4594"/>
        <w:gridCol w:w="3820"/>
      </w:tblGrid>
      <w:tr w:rsidR="00073385" w:rsidRPr="005115A8" w14:paraId="51FC7209" w14:textId="77777777" w:rsidTr="00840FDA">
        <w:tc>
          <w:tcPr>
            <w:tcW w:w="8414" w:type="dxa"/>
            <w:gridSpan w:val="2"/>
            <w:shd w:val="clear" w:color="auto" w:fill="064EA8"/>
          </w:tcPr>
          <w:p w14:paraId="79C692D8" w14:textId="77777777" w:rsidR="00073385" w:rsidRPr="00C43F10" w:rsidRDefault="00073385" w:rsidP="00840FDA">
            <w:pPr>
              <w:pStyle w:val="BodyText"/>
              <w:keepNext/>
              <w:numPr>
                <w:ilvl w:val="8"/>
                <w:numId w:val="53"/>
              </w:numPr>
              <w:spacing w:before="40" w:line="240" w:lineRule="auto"/>
              <w:ind w:left="0"/>
              <w:contextualSpacing/>
              <w:outlineLvl w:val="8"/>
              <w:rPr>
                <w:rFonts w:cs="Arial"/>
                <w:color w:val="FFFFFF"/>
                <w:sz w:val="20"/>
                <w:szCs w:val="20"/>
              </w:rPr>
            </w:pPr>
            <w:r w:rsidRPr="00C43F10">
              <w:rPr>
                <w:rFonts w:cs="Arial"/>
                <w:color w:val="FFFFFF" w:themeColor="background1"/>
                <w:sz w:val="20"/>
                <w:szCs w:val="20"/>
              </w:rPr>
              <w:t>Department or agency of the Commonwealth to which the activities to be carried out under the EP may be relevant</w:t>
            </w:r>
          </w:p>
        </w:tc>
      </w:tr>
      <w:tr w:rsidR="00073385" w:rsidRPr="005115A8" w14:paraId="13E8D04F" w14:textId="77777777" w:rsidTr="00840FDA">
        <w:tc>
          <w:tcPr>
            <w:tcW w:w="4594" w:type="dxa"/>
            <w:shd w:val="clear" w:color="auto" w:fill="auto"/>
          </w:tcPr>
          <w:p w14:paraId="5CAFAFFD"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National Offshore Petroleum Safety and Environmental Management Authority (NOPSEMA)</w:t>
            </w:r>
          </w:p>
        </w:tc>
        <w:tc>
          <w:tcPr>
            <w:tcW w:w="3820" w:type="dxa"/>
            <w:shd w:val="clear" w:color="auto" w:fill="auto"/>
          </w:tcPr>
          <w:p w14:paraId="5AFF6C41"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Australian Maritime Safety Authority (AMSA) - Nautical and Regulation Section</w:t>
            </w:r>
          </w:p>
        </w:tc>
      </w:tr>
      <w:tr w:rsidR="00073385" w:rsidRPr="005115A8" w14:paraId="4D02D459" w14:textId="77777777" w:rsidTr="00840FDA">
        <w:tc>
          <w:tcPr>
            <w:tcW w:w="4594" w:type="dxa"/>
            <w:shd w:val="clear" w:color="auto" w:fill="auto"/>
          </w:tcPr>
          <w:p w14:paraId="658C203E"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Department of the Environment and Energy (DoEE)</w:t>
            </w:r>
          </w:p>
        </w:tc>
        <w:tc>
          <w:tcPr>
            <w:tcW w:w="3820" w:type="dxa"/>
            <w:shd w:val="clear" w:color="auto" w:fill="auto"/>
          </w:tcPr>
          <w:p w14:paraId="4BBDD78B"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Department of Defence (DoD) – Defence Support Group</w:t>
            </w:r>
          </w:p>
        </w:tc>
      </w:tr>
      <w:tr w:rsidR="00073385" w:rsidRPr="005115A8" w14:paraId="633A6816" w14:textId="77777777" w:rsidTr="00840FDA">
        <w:tc>
          <w:tcPr>
            <w:tcW w:w="4594" w:type="dxa"/>
            <w:shd w:val="clear" w:color="auto" w:fill="auto"/>
          </w:tcPr>
          <w:p w14:paraId="009946E8"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Australian Fisheries Management Authority (AFMA)</w:t>
            </w:r>
          </w:p>
        </w:tc>
        <w:tc>
          <w:tcPr>
            <w:tcW w:w="3820" w:type="dxa"/>
            <w:shd w:val="clear" w:color="auto" w:fill="auto"/>
          </w:tcPr>
          <w:p w14:paraId="1341ED54"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Department of Agriculture and Water Resources (DAWR)</w:t>
            </w:r>
          </w:p>
        </w:tc>
      </w:tr>
      <w:tr w:rsidR="00073385" w:rsidRPr="005115A8" w14:paraId="6280D680" w14:textId="77777777" w:rsidTr="00840FDA">
        <w:tc>
          <w:tcPr>
            <w:tcW w:w="4594" w:type="dxa"/>
            <w:shd w:val="clear" w:color="auto" w:fill="auto"/>
          </w:tcPr>
          <w:p w14:paraId="52B7FEA7"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Australian Hydrographic Office (AHO)</w:t>
            </w:r>
          </w:p>
        </w:tc>
        <w:tc>
          <w:tcPr>
            <w:tcW w:w="3820" w:type="dxa"/>
            <w:shd w:val="clear" w:color="auto" w:fill="auto"/>
          </w:tcPr>
          <w:p w14:paraId="77B1290D" w14:textId="77777777" w:rsidR="00073385" w:rsidRPr="005115A8" w:rsidRDefault="00073385" w:rsidP="00840FDA">
            <w:pPr>
              <w:spacing w:before="60" w:after="60"/>
              <w:ind w:left="0"/>
              <w:rPr>
                <w:rFonts w:cs="Arial"/>
                <w:sz w:val="20"/>
                <w:szCs w:val="20"/>
              </w:rPr>
            </w:pPr>
            <w:r w:rsidRPr="00197DBB">
              <w:rPr>
                <w:rFonts w:cs="Arial"/>
                <w:color w:val="000000"/>
                <w:sz w:val="20"/>
                <w:szCs w:val="20"/>
                <w:lang w:eastAsia="en-US"/>
              </w:rPr>
              <w:t>Department of Communications</w:t>
            </w:r>
            <w:r>
              <w:rPr>
                <w:rFonts w:cs="Arial"/>
                <w:color w:val="000000"/>
                <w:sz w:val="20"/>
                <w:szCs w:val="20"/>
                <w:lang w:eastAsia="en-US"/>
              </w:rPr>
              <w:t xml:space="preserve"> and ACMA</w:t>
            </w:r>
          </w:p>
        </w:tc>
      </w:tr>
      <w:tr w:rsidR="00073385" w:rsidRPr="005115A8" w14:paraId="410FA760" w14:textId="77777777" w:rsidTr="00840FDA">
        <w:tc>
          <w:tcPr>
            <w:tcW w:w="4594" w:type="dxa"/>
            <w:shd w:val="clear" w:color="auto" w:fill="auto"/>
          </w:tcPr>
          <w:p w14:paraId="03B1D33B" w14:textId="77777777" w:rsidR="00073385" w:rsidRPr="005115A8" w:rsidRDefault="00073385" w:rsidP="00840FDA">
            <w:pPr>
              <w:spacing w:before="60" w:after="60"/>
              <w:ind w:left="0"/>
              <w:rPr>
                <w:rFonts w:cs="Arial"/>
                <w:sz w:val="20"/>
                <w:szCs w:val="20"/>
              </w:rPr>
            </w:pPr>
            <w:r>
              <w:rPr>
                <w:rFonts w:cs="Arial"/>
                <w:color w:val="000000"/>
                <w:sz w:val="20"/>
                <w:szCs w:val="20"/>
                <w:lang w:eastAsia="en-US"/>
              </w:rPr>
              <w:t xml:space="preserve">Department of Immigration and Border Protection - Maritime Border Command </w:t>
            </w:r>
          </w:p>
        </w:tc>
        <w:tc>
          <w:tcPr>
            <w:tcW w:w="3820" w:type="dxa"/>
            <w:shd w:val="clear" w:color="auto" w:fill="auto"/>
          </w:tcPr>
          <w:p w14:paraId="58013308" w14:textId="77777777" w:rsidR="00073385" w:rsidRPr="005115A8" w:rsidRDefault="00073385" w:rsidP="00840FDA">
            <w:pPr>
              <w:spacing w:before="60" w:after="60"/>
              <w:ind w:left="0"/>
              <w:rPr>
                <w:rFonts w:cs="Arial"/>
                <w:sz w:val="20"/>
                <w:szCs w:val="20"/>
              </w:rPr>
            </w:pPr>
            <w:r w:rsidRPr="004E3D04">
              <w:rPr>
                <w:rFonts w:cs="Arial"/>
                <w:sz w:val="20"/>
                <w:szCs w:val="20"/>
              </w:rPr>
              <w:t>National Offshore Petroleum Titles Administrator</w:t>
            </w:r>
            <w:r>
              <w:rPr>
                <w:rFonts w:cs="Arial"/>
                <w:sz w:val="20"/>
                <w:szCs w:val="20"/>
              </w:rPr>
              <w:t xml:space="preserve"> (NOPTA)</w:t>
            </w:r>
          </w:p>
        </w:tc>
      </w:tr>
      <w:tr w:rsidR="00073385" w:rsidRPr="005115A8" w14:paraId="3DB4F031" w14:textId="77777777" w:rsidTr="00840FDA">
        <w:tc>
          <w:tcPr>
            <w:tcW w:w="8414" w:type="dxa"/>
            <w:gridSpan w:val="2"/>
            <w:shd w:val="clear" w:color="auto" w:fill="064EA8"/>
          </w:tcPr>
          <w:p w14:paraId="1094F62E" w14:textId="77777777" w:rsidR="00073385" w:rsidRPr="00D123DD" w:rsidRDefault="00073385" w:rsidP="00840FDA">
            <w:pPr>
              <w:spacing w:before="60" w:after="60"/>
              <w:ind w:left="0"/>
              <w:rPr>
                <w:rFonts w:cs="Arial"/>
                <w:color w:val="FFFFFF" w:themeColor="background1"/>
                <w:sz w:val="20"/>
                <w:szCs w:val="20"/>
              </w:rPr>
            </w:pPr>
            <w:r w:rsidRPr="00D123DD">
              <w:rPr>
                <w:rFonts w:cs="Arial"/>
                <w:color w:val="FFFFFF" w:themeColor="background1"/>
                <w:sz w:val="20"/>
                <w:szCs w:val="20"/>
              </w:rPr>
              <w:t>Each Department or agency of a State to which the activities to be carried out under the EP may be relevant</w:t>
            </w:r>
          </w:p>
        </w:tc>
      </w:tr>
      <w:tr w:rsidR="00073385" w:rsidRPr="005115A8" w14:paraId="0CC27A52" w14:textId="77777777" w:rsidTr="00840FDA">
        <w:tc>
          <w:tcPr>
            <w:tcW w:w="4594" w:type="dxa"/>
            <w:shd w:val="clear" w:color="auto" w:fill="auto"/>
          </w:tcPr>
          <w:p w14:paraId="616F6B74" w14:textId="77777777" w:rsidR="00073385" w:rsidRPr="005115A8" w:rsidRDefault="00073385" w:rsidP="00840FDA">
            <w:pPr>
              <w:spacing w:before="60" w:after="60" w:line="240" w:lineRule="auto"/>
              <w:ind w:left="0"/>
              <w:rPr>
                <w:rFonts w:cs="Arial"/>
                <w:sz w:val="20"/>
                <w:szCs w:val="20"/>
              </w:rPr>
            </w:pPr>
            <w:r w:rsidRPr="005115A8">
              <w:rPr>
                <w:rFonts w:cs="Arial"/>
                <w:sz w:val="20"/>
                <w:szCs w:val="20"/>
              </w:rPr>
              <w:t>Environment Protection Authority (EPA</w:t>
            </w:r>
            <w:r>
              <w:rPr>
                <w:rFonts w:cs="Arial"/>
                <w:sz w:val="20"/>
                <w:szCs w:val="20"/>
              </w:rPr>
              <w:t>)</w:t>
            </w:r>
          </w:p>
        </w:tc>
        <w:tc>
          <w:tcPr>
            <w:tcW w:w="3820" w:type="dxa"/>
            <w:vMerge w:val="restart"/>
            <w:shd w:val="clear" w:color="auto" w:fill="auto"/>
          </w:tcPr>
          <w:p w14:paraId="0A7A3150" w14:textId="77777777" w:rsidR="00073385" w:rsidRPr="005115A8" w:rsidRDefault="00073385" w:rsidP="00840FDA">
            <w:pPr>
              <w:spacing w:before="60" w:after="60"/>
              <w:ind w:left="0"/>
              <w:rPr>
                <w:rFonts w:cs="Arial"/>
                <w:sz w:val="20"/>
                <w:szCs w:val="20"/>
              </w:rPr>
            </w:pPr>
            <w:r w:rsidRPr="00626D56">
              <w:rPr>
                <w:rFonts w:cs="Arial"/>
                <w:color w:val="000000"/>
                <w:sz w:val="20"/>
                <w:szCs w:val="20"/>
                <w:lang w:eastAsia="en-US"/>
              </w:rPr>
              <w:t>Department of Environment, Land, Water and Planning (DELWP) - Oiled Wildlife Response team</w:t>
            </w:r>
          </w:p>
        </w:tc>
      </w:tr>
      <w:tr w:rsidR="00073385" w:rsidRPr="005115A8" w14:paraId="6AFA0693" w14:textId="77777777" w:rsidTr="00840FDA">
        <w:tc>
          <w:tcPr>
            <w:tcW w:w="4594" w:type="dxa"/>
            <w:shd w:val="clear" w:color="auto" w:fill="auto"/>
          </w:tcPr>
          <w:p w14:paraId="1BDB4E5E"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Parks Victoria</w:t>
            </w:r>
          </w:p>
        </w:tc>
        <w:tc>
          <w:tcPr>
            <w:tcW w:w="3820" w:type="dxa"/>
            <w:vMerge/>
            <w:shd w:val="clear" w:color="auto" w:fill="auto"/>
          </w:tcPr>
          <w:p w14:paraId="475A36ED" w14:textId="77777777" w:rsidR="00073385" w:rsidRPr="005115A8" w:rsidRDefault="00073385" w:rsidP="00840FDA">
            <w:pPr>
              <w:spacing w:before="60" w:after="60"/>
              <w:ind w:left="0"/>
              <w:rPr>
                <w:rFonts w:cs="Arial"/>
                <w:sz w:val="20"/>
                <w:szCs w:val="20"/>
              </w:rPr>
            </w:pPr>
          </w:p>
        </w:tc>
      </w:tr>
      <w:tr w:rsidR="00073385" w:rsidRPr="005115A8" w14:paraId="75072414" w14:textId="77777777" w:rsidTr="00840FDA">
        <w:tc>
          <w:tcPr>
            <w:tcW w:w="4594" w:type="dxa"/>
            <w:shd w:val="clear" w:color="auto" w:fill="auto"/>
          </w:tcPr>
          <w:p w14:paraId="736A0B44" w14:textId="77777777" w:rsidR="00073385" w:rsidRDefault="00073385" w:rsidP="00840FDA">
            <w:pPr>
              <w:spacing w:before="60" w:after="60"/>
              <w:ind w:left="0"/>
              <w:rPr>
                <w:rFonts w:cs="Arial"/>
                <w:color w:val="000000"/>
                <w:sz w:val="20"/>
                <w:szCs w:val="20"/>
                <w:lang w:eastAsia="en-US"/>
              </w:rPr>
            </w:pPr>
            <w:r>
              <w:rPr>
                <w:rFonts w:cs="Arial"/>
                <w:color w:val="000000"/>
                <w:sz w:val="20"/>
                <w:szCs w:val="20"/>
                <w:lang w:eastAsia="en-US"/>
              </w:rPr>
              <w:t>Maritime Safety Victoria</w:t>
            </w:r>
          </w:p>
          <w:p w14:paraId="14DB257F" w14:textId="77777777" w:rsidR="00C11FA2" w:rsidRPr="005115A8" w:rsidRDefault="00C11FA2" w:rsidP="00840FDA">
            <w:pPr>
              <w:spacing w:before="60" w:after="60"/>
              <w:ind w:left="0"/>
              <w:rPr>
                <w:rFonts w:cs="Arial"/>
                <w:color w:val="000000"/>
                <w:sz w:val="20"/>
                <w:szCs w:val="20"/>
                <w:lang w:eastAsia="en-US"/>
              </w:rPr>
            </w:pPr>
          </w:p>
        </w:tc>
        <w:tc>
          <w:tcPr>
            <w:tcW w:w="3820" w:type="dxa"/>
            <w:shd w:val="clear" w:color="auto" w:fill="auto"/>
          </w:tcPr>
          <w:p w14:paraId="363A48C9" w14:textId="77777777" w:rsidR="00073385" w:rsidRPr="005115A8" w:rsidRDefault="00073385" w:rsidP="00840FDA">
            <w:pPr>
              <w:spacing w:before="60" w:after="60"/>
              <w:ind w:left="0"/>
              <w:rPr>
                <w:rFonts w:cs="Arial"/>
                <w:sz w:val="20"/>
                <w:szCs w:val="20"/>
              </w:rPr>
            </w:pPr>
          </w:p>
        </w:tc>
      </w:tr>
      <w:tr w:rsidR="00073385" w:rsidRPr="005115A8" w14:paraId="51A78EFB" w14:textId="77777777" w:rsidTr="00840FDA">
        <w:tc>
          <w:tcPr>
            <w:tcW w:w="8414" w:type="dxa"/>
            <w:gridSpan w:val="2"/>
            <w:shd w:val="clear" w:color="auto" w:fill="064EA8"/>
          </w:tcPr>
          <w:p w14:paraId="2E000409" w14:textId="77777777" w:rsidR="00073385" w:rsidRPr="00D123DD" w:rsidRDefault="00073385" w:rsidP="00840FDA">
            <w:pPr>
              <w:spacing w:before="60" w:after="60"/>
              <w:ind w:left="0"/>
              <w:rPr>
                <w:rFonts w:cs="Arial"/>
                <w:color w:val="FFFFFF"/>
                <w:sz w:val="20"/>
                <w:szCs w:val="20"/>
              </w:rPr>
            </w:pPr>
            <w:r w:rsidRPr="00D123DD">
              <w:rPr>
                <w:rFonts w:cs="Arial"/>
                <w:color w:val="FFFFFF" w:themeColor="background1"/>
                <w:sz w:val="20"/>
                <w:szCs w:val="20"/>
              </w:rPr>
              <w:lastRenderedPageBreak/>
              <w:t>The Department of the responsible State Minister</w:t>
            </w:r>
          </w:p>
        </w:tc>
      </w:tr>
      <w:tr w:rsidR="00073385" w:rsidRPr="005115A8" w14:paraId="4F187DDB" w14:textId="77777777" w:rsidTr="00840FDA">
        <w:tc>
          <w:tcPr>
            <w:tcW w:w="4594" w:type="dxa"/>
            <w:shd w:val="clear" w:color="auto" w:fill="auto"/>
          </w:tcPr>
          <w:p w14:paraId="2425187D" w14:textId="77777777" w:rsidR="00073385" w:rsidRPr="005115A8" w:rsidRDefault="00073385" w:rsidP="00840FDA">
            <w:pPr>
              <w:spacing w:before="60" w:after="60" w:line="240" w:lineRule="auto"/>
              <w:ind w:left="0"/>
              <w:rPr>
                <w:rFonts w:cs="Arial"/>
                <w:sz w:val="20"/>
                <w:szCs w:val="20"/>
              </w:rPr>
            </w:pPr>
            <w:r w:rsidRPr="005115A8">
              <w:rPr>
                <w:rFonts w:cs="Arial"/>
                <w:color w:val="000000"/>
                <w:sz w:val="20"/>
                <w:szCs w:val="20"/>
                <w:lang w:eastAsia="en-US"/>
              </w:rPr>
              <w:t>DEDJTR - Earth Resources Regulation (ERR)</w:t>
            </w:r>
          </w:p>
        </w:tc>
        <w:tc>
          <w:tcPr>
            <w:tcW w:w="3820" w:type="dxa"/>
            <w:shd w:val="clear" w:color="auto" w:fill="auto"/>
          </w:tcPr>
          <w:p w14:paraId="3E293D11" w14:textId="77777777" w:rsidR="00073385" w:rsidRPr="005115A8" w:rsidRDefault="00073385" w:rsidP="00840FDA">
            <w:pPr>
              <w:spacing w:before="60" w:after="60"/>
              <w:ind w:left="0"/>
              <w:rPr>
                <w:rFonts w:cs="Arial"/>
                <w:sz w:val="20"/>
                <w:szCs w:val="20"/>
              </w:rPr>
            </w:pPr>
            <w:r>
              <w:rPr>
                <w:rFonts w:cs="Arial"/>
                <w:sz w:val="20"/>
                <w:szCs w:val="20"/>
              </w:rPr>
              <w:t>Victorian Fisheries Authority (VFA)</w:t>
            </w:r>
          </w:p>
        </w:tc>
      </w:tr>
      <w:tr w:rsidR="00073385" w:rsidRPr="005115A8" w14:paraId="34B2120E" w14:textId="77777777" w:rsidTr="00840FDA">
        <w:tc>
          <w:tcPr>
            <w:tcW w:w="8414" w:type="dxa"/>
            <w:gridSpan w:val="2"/>
            <w:shd w:val="clear" w:color="auto" w:fill="064EA8"/>
          </w:tcPr>
          <w:p w14:paraId="79A11BBD" w14:textId="77777777" w:rsidR="00073385" w:rsidRPr="00D123DD" w:rsidRDefault="00073385" w:rsidP="00840FDA">
            <w:pPr>
              <w:spacing w:before="60" w:after="60"/>
              <w:ind w:left="0"/>
              <w:rPr>
                <w:rFonts w:cs="Arial"/>
                <w:color w:val="FFFFFF"/>
                <w:sz w:val="20"/>
                <w:szCs w:val="20"/>
              </w:rPr>
            </w:pPr>
            <w:r w:rsidRPr="00D123DD">
              <w:rPr>
                <w:rFonts w:cs="Arial"/>
                <w:color w:val="FFFFFF" w:themeColor="background1"/>
                <w:sz w:val="20"/>
                <w:szCs w:val="20"/>
              </w:rPr>
              <w:t>A person or organisation whose functions, interests or activities may be affected by the activities to be carried out under the EP</w:t>
            </w:r>
          </w:p>
        </w:tc>
      </w:tr>
      <w:tr w:rsidR="00073385" w:rsidRPr="005115A8" w14:paraId="698B0576" w14:textId="77777777" w:rsidTr="00840FDA">
        <w:tc>
          <w:tcPr>
            <w:tcW w:w="8414" w:type="dxa"/>
            <w:gridSpan w:val="2"/>
            <w:shd w:val="clear" w:color="auto" w:fill="D9D9D9"/>
          </w:tcPr>
          <w:p w14:paraId="2E6B683F" w14:textId="77777777" w:rsidR="00073385" w:rsidRPr="005115A8" w:rsidRDefault="00073385" w:rsidP="00840FDA">
            <w:pPr>
              <w:spacing w:before="60" w:after="60"/>
              <w:ind w:left="0"/>
              <w:rPr>
                <w:rFonts w:cs="Arial"/>
                <w:sz w:val="20"/>
                <w:szCs w:val="20"/>
              </w:rPr>
            </w:pPr>
            <w:r w:rsidRPr="005115A8">
              <w:rPr>
                <w:rFonts w:cs="Arial"/>
                <w:i/>
                <w:sz w:val="20"/>
                <w:szCs w:val="20"/>
              </w:rPr>
              <w:t>Fisheries</w:t>
            </w:r>
          </w:p>
        </w:tc>
      </w:tr>
      <w:tr w:rsidR="00073385" w:rsidRPr="005115A8" w14:paraId="6C107557" w14:textId="77777777" w:rsidTr="00840FDA">
        <w:tc>
          <w:tcPr>
            <w:tcW w:w="4594" w:type="dxa"/>
            <w:shd w:val="clear" w:color="auto" w:fill="auto"/>
          </w:tcPr>
          <w:p w14:paraId="155D7223" w14:textId="77777777" w:rsidR="00073385" w:rsidRPr="005115A8" w:rsidRDefault="00073385" w:rsidP="00840FDA">
            <w:pPr>
              <w:spacing w:before="60" w:after="60"/>
              <w:ind w:left="0"/>
              <w:rPr>
                <w:rFonts w:cs="Arial"/>
                <w:b/>
                <w:sz w:val="20"/>
                <w:szCs w:val="20"/>
              </w:rPr>
            </w:pPr>
            <w:r w:rsidRPr="005115A8">
              <w:rPr>
                <w:rFonts w:cs="Arial"/>
                <w:color w:val="000000"/>
                <w:sz w:val="20"/>
                <w:szCs w:val="20"/>
                <w:lang w:eastAsia="en-US"/>
              </w:rPr>
              <w:t>Commonwealth Fisheries Association (CFA)</w:t>
            </w:r>
          </w:p>
        </w:tc>
        <w:tc>
          <w:tcPr>
            <w:tcW w:w="3820" w:type="dxa"/>
            <w:shd w:val="clear" w:color="auto" w:fill="auto"/>
          </w:tcPr>
          <w:p w14:paraId="3CF05C44"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Seafood Industry Victoria (SIV)</w:t>
            </w:r>
          </w:p>
        </w:tc>
      </w:tr>
      <w:tr w:rsidR="00073385" w:rsidRPr="005115A8" w14:paraId="52E82112" w14:textId="77777777" w:rsidTr="00840FDA">
        <w:tc>
          <w:tcPr>
            <w:tcW w:w="4594" w:type="dxa"/>
            <w:shd w:val="clear" w:color="auto" w:fill="auto"/>
          </w:tcPr>
          <w:p w14:paraId="4E72863D" w14:textId="77777777" w:rsidR="00073385" w:rsidRPr="005115A8" w:rsidRDefault="00073385" w:rsidP="00840FDA">
            <w:pPr>
              <w:spacing w:before="60" w:after="60"/>
              <w:ind w:left="0"/>
              <w:rPr>
                <w:rFonts w:cs="Arial"/>
                <w:b/>
                <w:sz w:val="20"/>
                <w:szCs w:val="20"/>
              </w:rPr>
            </w:pPr>
            <w:r w:rsidRPr="005115A8">
              <w:rPr>
                <w:rFonts w:cs="Arial"/>
                <w:color w:val="000000"/>
                <w:sz w:val="20"/>
                <w:szCs w:val="20"/>
                <w:lang w:eastAsia="en-US"/>
              </w:rPr>
              <w:t xml:space="preserve">South-East Trawl Fishing Industry Association (SETFIA) </w:t>
            </w:r>
          </w:p>
        </w:tc>
        <w:tc>
          <w:tcPr>
            <w:tcW w:w="3820" w:type="dxa"/>
            <w:shd w:val="clear" w:color="auto" w:fill="auto"/>
          </w:tcPr>
          <w:p w14:paraId="1A94A0C3"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Eastern Zone Abalone Industry Association</w:t>
            </w:r>
          </w:p>
        </w:tc>
      </w:tr>
      <w:tr w:rsidR="00073385" w:rsidRPr="005115A8" w14:paraId="42AA8959" w14:textId="77777777" w:rsidTr="00840FDA">
        <w:tc>
          <w:tcPr>
            <w:tcW w:w="4594" w:type="dxa"/>
            <w:shd w:val="clear" w:color="auto" w:fill="auto"/>
          </w:tcPr>
          <w:p w14:paraId="2E498D47" w14:textId="77777777" w:rsidR="00073385" w:rsidRPr="005115A8" w:rsidRDefault="00073385" w:rsidP="00840FDA">
            <w:pPr>
              <w:spacing w:before="60" w:after="60"/>
              <w:ind w:left="0"/>
              <w:rPr>
                <w:rFonts w:cs="Arial"/>
                <w:b/>
                <w:sz w:val="20"/>
                <w:szCs w:val="20"/>
              </w:rPr>
            </w:pPr>
            <w:r w:rsidRPr="005115A8">
              <w:rPr>
                <w:rFonts w:cs="Arial"/>
                <w:color w:val="000000"/>
                <w:sz w:val="20"/>
                <w:szCs w:val="20"/>
                <w:lang w:eastAsia="en-US"/>
              </w:rPr>
              <w:t>Lakes Entrance Fisherman’s Cooperative (LEFCOL)</w:t>
            </w:r>
          </w:p>
        </w:tc>
        <w:tc>
          <w:tcPr>
            <w:tcW w:w="3820" w:type="dxa"/>
            <w:shd w:val="clear" w:color="auto" w:fill="auto"/>
          </w:tcPr>
          <w:p w14:paraId="56BD992F"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Victorian Abalone Divers Association (VADA)</w:t>
            </w:r>
          </w:p>
        </w:tc>
      </w:tr>
      <w:tr w:rsidR="00073385" w:rsidRPr="005115A8" w14:paraId="6E06F6F0" w14:textId="77777777" w:rsidTr="00840FDA">
        <w:tc>
          <w:tcPr>
            <w:tcW w:w="4594" w:type="dxa"/>
            <w:shd w:val="clear" w:color="auto" w:fill="auto"/>
          </w:tcPr>
          <w:p w14:paraId="2363FD0A" w14:textId="77777777" w:rsidR="00073385" w:rsidRPr="005115A8" w:rsidRDefault="00073385" w:rsidP="00840FDA">
            <w:pPr>
              <w:spacing w:before="60" w:after="60"/>
              <w:ind w:left="0"/>
              <w:rPr>
                <w:rFonts w:cs="Arial"/>
                <w:b/>
                <w:sz w:val="20"/>
                <w:szCs w:val="20"/>
              </w:rPr>
            </w:pPr>
            <w:r w:rsidRPr="005115A8">
              <w:rPr>
                <w:rFonts w:cs="Arial"/>
                <w:color w:val="000000"/>
                <w:sz w:val="20"/>
                <w:szCs w:val="20"/>
                <w:lang w:eastAsia="en-US"/>
              </w:rPr>
              <w:t>Victorian Scallop Fisherman’s Association (VSFA)</w:t>
            </w:r>
          </w:p>
        </w:tc>
        <w:tc>
          <w:tcPr>
            <w:tcW w:w="3820" w:type="dxa"/>
            <w:shd w:val="clear" w:color="auto" w:fill="auto"/>
          </w:tcPr>
          <w:p w14:paraId="4DEF3D14" w14:textId="77777777" w:rsidR="00073385" w:rsidRPr="005115A8" w:rsidRDefault="00073385" w:rsidP="00840FDA">
            <w:pPr>
              <w:spacing w:before="60" w:after="60"/>
              <w:ind w:left="0"/>
              <w:rPr>
                <w:rFonts w:cs="Arial"/>
                <w:bCs/>
                <w:iCs/>
                <w:color w:val="45508A"/>
                <w:sz w:val="20"/>
                <w:szCs w:val="20"/>
              </w:rPr>
            </w:pPr>
            <w:r w:rsidRPr="005115A8">
              <w:rPr>
                <w:rFonts w:cs="Arial"/>
                <w:color w:val="000000"/>
                <w:sz w:val="20"/>
                <w:szCs w:val="20"/>
                <w:lang w:eastAsia="en-US"/>
              </w:rPr>
              <w:t xml:space="preserve">Sustainable Shark Fishing </w:t>
            </w:r>
            <w:r>
              <w:rPr>
                <w:rFonts w:cs="Arial"/>
                <w:color w:val="000000"/>
                <w:sz w:val="20"/>
                <w:szCs w:val="20"/>
                <w:lang w:eastAsia="en-US"/>
              </w:rPr>
              <w:t xml:space="preserve">Association </w:t>
            </w:r>
            <w:r w:rsidRPr="005115A8">
              <w:rPr>
                <w:rFonts w:cs="Arial"/>
                <w:color w:val="000000"/>
                <w:sz w:val="20"/>
                <w:szCs w:val="20"/>
                <w:lang w:eastAsia="en-US"/>
              </w:rPr>
              <w:t>(SSF</w:t>
            </w:r>
            <w:r>
              <w:rPr>
                <w:rFonts w:cs="Arial"/>
                <w:color w:val="000000"/>
                <w:sz w:val="20"/>
                <w:szCs w:val="20"/>
                <w:lang w:eastAsia="en-US"/>
              </w:rPr>
              <w:t>Assn</w:t>
            </w:r>
            <w:r w:rsidRPr="005115A8">
              <w:rPr>
                <w:rFonts w:cs="Arial"/>
                <w:color w:val="000000"/>
                <w:sz w:val="20"/>
                <w:szCs w:val="20"/>
                <w:lang w:eastAsia="en-US"/>
              </w:rPr>
              <w:t>)</w:t>
            </w:r>
          </w:p>
        </w:tc>
      </w:tr>
      <w:tr w:rsidR="00073385" w:rsidRPr="005115A8" w14:paraId="0ACE8FCA" w14:textId="77777777" w:rsidTr="00840FDA">
        <w:tc>
          <w:tcPr>
            <w:tcW w:w="4594" w:type="dxa"/>
            <w:shd w:val="clear" w:color="auto" w:fill="auto"/>
          </w:tcPr>
          <w:p w14:paraId="1C3C4AC1" w14:textId="77777777" w:rsidR="00073385" w:rsidRPr="005115A8" w:rsidRDefault="00073385" w:rsidP="00840FDA">
            <w:pPr>
              <w:spacing w:before="60" w:after="60"/>
              <w:ind w:left="0"/>
              <w:rPr>
                <w:rFonts w:cs="Arial"/>
                <w:b/>
                <w:sz w:val="20"/>
                <w:szCs w:val="20"/>
              </w:rPr>
            </w:pPr>
            <w:r w:rsidRPr="005115A8">
              <w:rPr>
                <w:rFonts w:cs="Arial"/>
                <w:color w:val="000000"/>
                <w:sz w:val="20"/>
                <w:szCs w:val="20"/>
                <w:lang w:eastAsia="en-US"/>
              </w:rPr>
              <w:t>Southern Shark Industry Alliance (SSIA)</w:t>
            </w:r>
          </w:p>
        </w:tc>
        <w:tc>
          <w:tcPr>
            <w:tcW w:w="3820" w:type="dxa"/>
            <w:shd w:val="clear" w:color="auto" w:fill="auto"/>
          </w:tcPr>
          <w:p w14:paraId="500C8170"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 xml:space="preserve">VRFish </w:t>
            </w:r>
          </w:p>
        </w:tc>
      </w:tr>
      <w:tr w:rsidR="00073385" w:rsidRPr="005115A8" w14:paraId="1BCC2D3D" w14:textId="77777777" w:rsidTr="00840FDA">
        <w:tc>
          <w:tcPr>
            <w:tcW w:w="4594" w:type="dxa"/>
            <w:shd w:val="clear" w:color="auto" w:fill="auto"/>
          </w:tcPr>
          <w:p w14:paraId="316EF3A7" w14:textId="77777777" w:rsidR="00073385" w:rsidRPr="005115A8" w:rsidRDefault="00073385" w:rsidP="00840FDA">
            <w:pPr>
              <w:spacing w:before="60" w:after="60"/>
              <w:ind w:left="0"/>
              <w:rPr>
                <w:rFonts w:cs="Arial"/>
                <w:b/>
                <w:sz w:val="20"/>
                <w:szCs w:val="20"/>
              </w:rPr>
            </w:pPr>
            <w:r w:rsidRPr="005115A8">
              <w:rPr>
                <w:rFonts w:cs="Arial"/>
                <w:color w:val="000000"/>
                <w:sz w:val="20"/>
                <w:szCs w:val="20"/>
                <w:lang w:eastAsia="en-US"/>
              </w:rPr>
              <w:t>Victorian Abalone Council</w:t>
            </w:r>
          </w:p>
        </w:tc>
        <w:tc>
          <w:tcPr>
            <w:tcW w:w="3820" w:type="dxa"/>
            <w:shd w:val="clear" w:color="auto" w:fill="auto"/>
          </w:tcPr>
          <w:p w14:paraId="08861B26"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Small Pelagic Fishery</w:t>
            </w:r>
          </w:p>
        </w:tc>
      </w:tr>
      <w:tr w:rsidR="00073385" w:rsidRPr="005115A8" w14:paraId="2B550DF3" w14:textId="77777777" w:rsidTr="00840FDA">
        <w:tc>
          <w:tcPr>
            <w:tcW w:w="4594" w:type="dxa"/>
            <w:shd w:val="clear" w:color="auto" w:fill="auto"/>
          </w:tcPr>
          <w:p w14:paraId="02F04BFD" w14:textId="77777777" w:rsidR="00073385" w:rsidRPr="005115A8" w:rsidRDefault="00073385" w:rsidP="00840FDA">
            <w:pPr>
              <w:spacing w:before="60" w:after="60"/>
              <w:ind w:left="0"/>
              <w:rPr>
                <w:rFonts w:cs="Arial"/>
                <w:b/>
                <w:sz w:val="20"/>
                <w:szCs w:val="20"/>
              </w:rPr>
            </w:pPr>
            <w:r w:rsidRPr="005115A8">
              <w:rPr>
                <w:rFonts w:cs="Arial"/>
                <w:color w:val="000000"/>
                <w:sz w:val="20"/>
                <w:szCs w:val="20"/>
                <w:lang w:eastAsia="en-US"/>
              </w:rPr>
              <w:t xml:space="preserve">Eastern Rock Lobster Industry Association </w:t>
            </w:r>
          </w:p>
        </w:tc>
        <w:tc>
          <w:tcPr>
            <w:tcW w:w="3820" w:type="dxa"/>
            <w:shd w:val="clear" w:color="auto" w:fill="auto"/>
          </w:tcPr>
          <w:p w14:paraId="579FDFAE"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Victorian Rock Lobster Association (VRLA)</w:t>
            </w:r>
          </w:p>
        </w:tc>
      </w:tr>
      <w:tr w:rsidR="00073385" w:rsidRPr="005115A8" w14:paraId="63791144" w14:textId="77777777" w:rsidTr="00840FDA">
        <w:tc>
          <w:tcPr>
            <w:tcW w:w="4594" w:type="dxa"/>
            <w:shd w:val="clear" w:color="auto" w:fill="auto"/>
          </w:tcPr>
          <w:p w14:paraId="7904F7CB" w14:textId="77777777" w:rsidR="00073385" w:rsidRPr="005115A8" w:rsidRDefault="00073385" w:rsidP="00840FDA">
            <w:pPr>
              <w:spacing w:before="60" w:after="60"/>
              <w:ind w:left="0"/>
              <w:rPr>
                <w:rFonts w:cs="Arial"/>
                <w:color w:val="000000"/>
                <w:sz w:val="20"/>
                <w:szCs w:val="20"/>
                <w:lang w:eastAsia="en-US"/>
              </w:rPr>
            </w:pPr>
            <w:r w:rsidRPr="005115A8">
              <w:rPr>
                <w:rFonts w:cs="Arial"/>
                <w:color w:val="000000"/>
                <w:sz w:val="20"/>
                <w:szCs w:val="20"/>
                <w:lang w:eastAsia="en-US"/>
              </w:rPr>
              <w:t>Australian Southern Bluefin Tuna Industry Association (ASBTIA)</w:t>
            </w:r>
          </w:p>
        </w:tc>
        <w:tc>
          <w:tcPr>
            <w:tcW w:w="3820" w:type="dxa"/>
            <w:shd w:val="clear" w:color="auto" w:fill="auto"/>
          </w:tcPr>
          <w:p w14:paraId="4EA322C0" w14:textId="77777777" w:rsidR="00073385" w:rsidRPr="005115A8" w:rsidRDefault="00073385" w:rsidP="00840FDA">
            <w:pPr>
              <w:spacing w:before="60" w:after="60"/>
              <w:ind w:left="0"/>
              <w:rPr>
                <w:rFonts w:cs="Arial"/>
                <w:color w:val="000000"/>
                <w:sz w:val="20"/>
                <w:szCs w:val="20"/>
                <w:lang w:eastAsia="en-US"/>
              </w:rPr>
            </w:pPr>
          </w:p>
        </w:tc>
      </w:tr>
      <w:tr w:rsidR="00073385" w:rsidRPr="005115A8" w14:paraId="09A8B4E3" w14:textId="77777777" w:rsidTr="00840FDA">
        <w:tc>
          <w:tcPr>
            <w:tcW w:w="8414" w:type="dxa"/>
            <w:gridSpan w:val="2"/>
            <w:shd w:val="clear" w:color="auto" w:fill="D9D9D9"/>
          </w:tcPr>
          <w:p w14:paraId="36983EA9" w14:textId="77777777" w:rsidR="00073385" w:rsidRPr="005115A8" w:rsidRDefault="00073385" w:rsidP="00840FDA">
            <w:pPr>
              <w:spacing w:before="60" w:after="60"/>
              <w:ind w:left="0"/>
              <w:rPr>
                <w:rFonts w:cs="Arial"/>
                <w:sz w:val="20"/>
                <w:szCs w:val="20"/>
              </w:rPr>
            </w:pPr>
            <w:r w:rsidRPr="005115A8">
              <w:rPr>
                <w:rFonts w:cs="Arial"/>
                <w:i/>
                <w:sz w:val="20"/>
                <w:szCs w:val="20"/>
              </w:rPr>
              <w:t>Individual fishing licence holders</w:t>
            </w:r>
          </w:p>
        </w:tc>
      </w:tr>
      <w:tr w:rsidR="00073385" w:rsidRPr="005115A8" w14:paraId="576DAC94" w14:textId="77777777" w:rsidTr="00840FDA">
        <w:tc>
          <w:tcPr>
            <w:tcW w:w="8414" w:type="dxa"/>
            <w:gridSpan w:val="2"/>
            <w:shd w:val="clear" w:color="auto" w:fill="auto"/>
          </w:tcPr>
          <w:p w14:paraId="283013A0" w14:textId="77777777" w:rsidR="00073385" w:rsidRPr="005115A8" w:rsidRDefault="00073385" w:rsidP="00840FDA">
            <w:pPr>
              <w:spacing w:before="60" w:after="60"/>
              <w:ind w:left="0"/>
              <w:rPr>
                <w:rFonts w:cs="Arial"/>
                <w:bCs/>
                <w:iCs/>
                <w:color w:val="45508A"/>
                <w:sz w:val="20"/>
                <w:szCs w:val="20"/>
              </w:rPr>
            </w:pPr>
            <w:r w:rsidRPr="005115A8">
              <w:rPr>
                <w:rFonts w:cs="Arial"/>
                <w:sz w:val="20"/>
                <w:szCs w:val="20"/>
              </w:rPr>
              <w:t xml:space="preserve">Nine licence holders (communication via </w:t>
            </w:r>
            <w:r>
              <w:rPr>
                <w:rFonts w:cs="Arial"/>
                <w:sz w:val="20"/>
                <w:szCs w:val="20"/>
              </w:rPr>
              <w:t>Victorian Fisheries Authority</w:t>
            </w:r>
            <w:r w:rsidRPr="005115A8">
              <w:rPr>
                <w:rFonts w:cs="Arial"/>
                <w:sz w:val="20"/>
                <w:szCs w:val="20"/>
              </w:rPr>
              <w:t>)</w:t>
            </w:r>
          </w:p>
        </w:tc>
      </w:tr>
      <w:tr w:rsidR="00073385" w:rsidRPr="005115A8" w14:paraId="1A7E48CD" w14:textId="77777777" w:rsidTr="00840FDA">
        <w:tc>
          <w:tcPr>
            <w:tcW w:w="8414" w:type="dxa"/>
            <w:gridSpan w:val="2"/>
            <w:shd w:val="clear" w:color="auto" w:fill="D9D9D9"/>
          </w:tcPr>
          <w:p w14:paraId="2582803C" w14:textId="77777777" w:rsidR="00073385" w:rsidRPr="005115A8" w:rsidRDefault="00073385" w:rsidP="00840FDA">
            <w:pPr>
              <w:spacing w:before="60" w:after="60"/>
              <w:ind w:left="0"/>
              <w:rPr>
                <w:rFonts w:cs="Arial"/>
                <w:sz w:val="20"/>
                <w:szCs w:val="20"/>
              </w:rPr>
            </w:pPr>
            <w:r w:rsidRPr="005115A8">
              <w:rPr>
                <w:rFonts w:cs="Arial"/>
                <w:i/>
                <w:sz w:val="20"/>
                <w:szCs w:val="20"/>
              </w:rPr>
              <w:t>Adjacent/overlapping petroleum Titleholders</w:t>
            </w:r>
          </w:p>
        </w:tc>
      </w:tr>
      <w:tr w:rsidR="00073385" w:rsidRPr="005115A8" w14:paraId="616F41B6" w14:textId="77777777" w:rsidTr="00840FDA">
        <w:tc>
          <w:tcPr>
            <w:tcW w:w="4594" w:type="dxa"/>
            <w:shd w:val="clear" w:color="auto" w:fill="auto"/>
          </w:tcPr>
          <w:p w14:paraId="79BBB37D"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Cape Energy (Victoria) Pty Ltd – VIC/RL1(V)</w:t>
            </w:r>
          </w:p>
        </w:tc>
        <w:tc>
          <w:tcPr>
            <w:tcW w:w="3820" w:type="dxa"/>
            <w:shd w:val="clear" w:color="auto" w:fill="auto"/>
          </w:tcPr>
          <w:p w14:paraId="30E1CC81"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3D Oil (VIC/P57)</w:t>
            </w:r>
          </w:p>
        </w:tc>
      </w:tr>
      <w:tr w:rsidR="00073385" w:rsidRPr="005115A8" w14:paraId="264CB8C9" w14:textId="77777777" w:rsidTr="00840FDA">
        <w:tc>
          <w:tcPr>
            <w:tcW w:w="4594" w:type="dxa"/>
            <w:shd w:val="clear" w:color="auto" w:fill="auto"/>
          </w:tcPr>
          <w:p w14:paraId="0438BC96"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ExxonMobil (Esso Australia Resources Pty Ltd) – VIC/RL1 and VIC/L1 in particular (Esso also hold many other petroleum tenements in the Basin)</w:t>
            </w:r>
          </w:p>
        </w:tc>
        <w:tc>
          <w:tcPr>
            <w:tcW w:w="3820" w:type="dxa"/>
            <w:shd w:val="clear" w:color="auto" w:fill="auto"/>
          </w:tcPr>
          <w:p w14:paraId="0FA77553" w14:textId="77777777" w:rsidR="00073385" w:rsidRPr="005115A8" w:rsidRDefault="00073385" w:rsidP="00840FDA">
            <w:pPr>
              <w:spacing w:before="60" w:after="60"/>
              <w:ind w:left="0"/>
              <w:rPr>
                <w:rFonts w:cs="Arial"/>
                <w:sz w:val="20"/>
                <w:szCs w:val="20"/>
              </w:rPr>
            </w:pPr>
            <w:r w:rsidRPr="0077111B">
              <w:rPr>
                <w:rFonts w:cs="Arial"/>
                <w:color w:val="000000"/>
                <w:sz w:val="20"/>
                <w:szCs w:val="20"/>
                <w:lang w:eastAsia="en-US"/>
              </w:rPr>
              <w:t>Lakes Oil (Petrotech) - Petro Tech Pty Ltd – VIC/P44(V), VIC/P43(V) and Lakes Oil onshore PRL2 and PRL3</w:t>
            </w:r>
          </w:p>
        </w:tc>
      </w:tr>
      <w:tr w:rsidR="00073385" w:rsidRPr="005115A8" w14:paraId="2A2D814A" w14:textId="77777777" w:rsidTr="00840FDA">
        <w:tc>
          <w:tcPr>
            <w:tcW w:w="4594" w:type="dxa"/>
            <w:shd w:val="clear" w:color="auto" w:fill="auto"/>
          </w:tcPr>
          <w:p w14:paraId="6859C35F" w14:textId="77777777" w:rsidR="00073385" w:rsidRPr="005115A8" w:rsidRDefault="00073385" w:rsidP="00840FDA">
            <w:pPr>
              <w:spacing w:before="60" w:after="60"/>
              <w:ind w:left="0"/>
              <w:rPr>
                <w:rFonts w:cs="Arial"/>
                <w:color w:val="000000"/>
                <w:sz w:val="20"/>
                <w:szCs w:val="20"/>
                <w:lang w:eastAsia="en-US"/>
              </w:rPr>
            </w:pPr>
            <w:r w:rsidRPr="005115A8">
              <w:rPr>
                <w:rFonts w:cs="Arial"/>
                <w:color w:val="000000"/>
                <w:sz w:val="20"/>
                <w:szCs w:val="20"/>
                <w:lang w:eastAsia="en-US"/>
              </w:rPr>
              <w:t>Carnarvon Hibiscus Pty Ltd – VIC/P57 and VIC/L31</w:t>
            </w:r>
          </w:p>
        </w:tc>
        <w:tc>
          <w:tcPr>
            <w:tcW w:w="3820" w:type="dxa"/>
            <w:shd w:val="clear" w:color="auto" w:fill="auto"/>
          </w:tcPr>
          <w:p w14:paraId="56A8F0DF" w14:textId="77777777" w:rsidR="00073385" w:rsidRPr="005115A8" w:rsidRDefault="00073385" w:rsidP="00840FDA">
            <w:pPr>
              <w:spacing w:before="60" w:after="60"/>
              <w:ind w:left="0"/>
              <w:rPr>
                <w:rFonts w:cs="Arial"/>
                <w:color w:val="000000"/>
                <w:sz w:val="20"/>
                <w:szCs w:val="20"/>
                <w:lang w:eastAsia="en-US"/>
              </w:rPr>
            </w:pPr>
          </w:p>
        </w:tc>
      </w:tr>
      <w:tr w:rsidR="00073385" w:rsidRPr="005115A8" w14:paraId="7518E7E3" w14:textId="77777777" w:rsidTr="00840FDA">
        <w:tc>
          <w:tcPr>
            <w:tcW w:w="8414" w:type="dxa"/>
            <w:gridSpan w:val="2"/>
            <w:shd w:val="clear" w:color="auto" w:fill="D9D9D9"/>
          </w:tcPr>
          <w:p w14:paraId="2EC5CB67" w14:textId="77777777" w:rsidR="00073385" w:rsidRPr="005115A8" w:rsidRDefault="00073385" w:rsidP="00840FDA">
            <w:pPr>
              <w:spacing w:before="60" w:after="60"/>
              <w:ind w:left="0"/>
              <w:rPr>
                <w:rFonts w:cs="Arial"/>
                <w:sz w:val="20"/>
                <w:szCs w:val="20"/>
              </w:rPr>
            </w:pPr>
            <w:r w:rsidRPr="005115A8">
              <w:rPr>
                <w:rFonts w:cs="Arial"/>
                <w:i/>
                <w:sz w:val="20"/>
                <w:szCs w:val="20"/>
              </w:rPr>
              <w:t>Oil spill preparedness and response agencies</w:t>
            </w:r>
          </w:p>
        </w:tc>
      </w:tr>
      <w:tr w:rsidR="00073385" w:rsidRPr="005115A8" w14:paraId="03BC9D4C" w14:textId="77777777" w:rsidTr="00840FDA">
        <w:tc>
          <w:tcPr>
            <w:tcW w:w="4594" w:type="dxa"/>
            <w:shd w:val="clear" w:color="auto" w:fill="auto"/>
          </w:tcPr>
          <w:p w14:paraId="5784D584" w14:textId="77777777" w:rsidR="00073385" w:rsidRPr="005115A8" w:rsidRDefault="00073385" w:rsidP="00840FDA">
            <w:pPr>
              <w:spacing w:before="60" w:after="60"/>
              <w:ind w:left="0"/>
              <w:rPr>
                <w:rFonts w:cs="Arial"/>
                <w:sz w:val="20"/>
                <w:szCs w:val="20"/>
              </w:rPr>
            </w:pPr>
            <w:r w:rsidRPr="005115A8">
              <w:rPr>
                <w:rFonts w:cs="Arial"/>
                <w:sz w:val="20"/>
                <w:szCs w:val="20"/>
              </w:rPr>
              <w:t>DEDJTR – Emergency Management Division</w:t>
            </w:r>
            <w:r>
              <w:rPr>
                <w:rFonts w:cs="Arial"/>
                <w:sz w:val="20"/>
                <w:szCs w:val="20"/>
              </w:rPr>
              <w:t xml:space="preserve"> (EMD)</w:t>
            </w:r>
          </w:p>
        </w:tc>
        <w:tc>
          <w:tcPr>
            <w:tcW w:w="3820" w:type="dxa"/>
            <w:shd w:val="clear" w:color="auto" w:fill="auto"/>
          </w:tcPr>
          <w:p w14:paraId="1E0011EE" w14:textId="77777777" w:rsidR="00073385" w:rsidRPr="005115A8" w:rsidRDefault="00073385" w:rsidP="00840FDA">
            <w:pPr>
              <w:spacing w:before="60" w:after="60"/>
              <w:ind w:left="0"/>
              <w:rPr>
                <w:rFonts w:cs="Arial"/>
                <w:sz w:val="20"/>
                <w:szCs w:val="20"/>
              </w:rPr>
            </w:pPr>
            <w:r w:rsidRPr="005115A8">
              <w:rPr>
                <w:rFonts w:cs="Arial"/>
                <w:sz w:val="20"/>
                <w:szCs w:val="20"/>
              </w:rPr>
              <w:t>AMSA</w:t>
            </w:r>
          </w:p>
        </w:tc>
      </w:tr>
      <w:tr w:rsidR="00073385" w:rsidRPr="005115A8" w14:paraId="59E42A86" w14:textId="77777777" w:rsidTr="00840FDA">
        <w:tc>
          <w:tcPr>
            <w:tcW w:w="8414" w:type="dxa"/>
            <w:gridSpan w:val="2"/>
            <w:shd w:val="clear" w:color="auto" w:fill="064EA8"/>
          </w:tcPr>
          <w:p w14:paraId="75EB2B2C" w14:textId="77777777" w:rsidR="00073385" w:rsidRPr="00D123DD" w:rsidRDefault="00073385" w:rsidP="00840FDA">
            <w:pPr>
              <w:spacing w:before="60" w:after="60"/>
              <w:ind w:left="0"/>
              <w:rPr>
                <w:rFonts w:cs="Arial"/>
                <w:color w:val="FFFFFF"/>
                <w:sz w:val="20"/>
                <w:szCs w:val="20"/>
              </w:rPr>
            </w:pPr>
            <w:r w:rsidRPr="00D123DD">
              <w:rPr>
                <w:rFonts w:cs="Arial"/>
                <w:color w:val="FFFFFF" w:themeColor="background1"/>
                <w:sz w:val="20"/>
                <w:szCs w:val="20"/>
              </w:rPr>
              <w:t>Any other person or organisation that the Titleholder considers relevant</w:t>
            </w:r>
          </w:p>
        </w:tc>
      </w:tr>
      <w:tr w:rsidR="00073385" w:rsidRPr="005115A8" w14:paraId="37166A0A" w14:textId="77777777" w:rsidTr="00840FDA">
        <w:tc>
          <w:tcPr>
            <w:tcW w:w="8414" w:type="dxa"/>
            <w:gridSpan w:val="2"/>
            <w:shd w:val="clear" w:color="auto" w:fill="D9D9D9"/>
          </w:tcPr>
          <w:p w14:paraId="214033F8" w14:textId="77777777" w:rsidR="00073385" w:rsidRPr="005115A8" w:rsidRDefault="00073385" w:rsidP="00840FDA">
            <w:pPr>
              <w:spacing w:before="60" w:after="60"/>
              <w:ind w:left="0"/>
              <w:rPr>
                <w:rFonts w:cs="Arial"/>
                <w:sz w:val="20"/>
                <w:szCs w:val="20"/>
              </w:rPr>
            </w:pPr>
            <w:r w:rsidRPr="005115A8">
              <w:rPr>
                <w:rFonts w:cs="Arial"/>
                <w:i/>
                <w:sz w:val="20"/>
                <w:szCs w:val="20"/>
              </w:rPr>
              <w:t>Local Government</w:t>
            </w:r>
            <w:r>
              <w:rPr>
                <w:rFonts w:cs="Arial"/>
                <w:i/>
                <w:sz w:val="20"/>
                <w:szCs w:val="20"/>
              </w:rPr>
              <w:t xml:space="preserve"> Authorities</w:t>
            </w:r>
          </w:p>
        </w:tc>
      </w:tr>
      <w:tr w:rsidR="00073385" w:rsidRPr="005115A8" w14:paraId="15482142" w14:textId="77777777" w:rsidTr="00840FDA">
        <w:trPr>
          <w:trHeight w:val="266"/>
        </w:trPr>
        <w:tc>
          <w:tcPr>
            <w:tcW w:w="4594" w:type="dxa"/>
            <w:shd w:val="clear" w:color="auto" w:fill="auto"/>
          </w:tcPr>
          <w:p w14:paraId="71EEDD44" w14:textId="77777777" w:rsidR="00073385" w:rsidRPr="005115A8" w:rsidRDefault="00073385" w:rsidP="00840FDA">
            <w:pPr>
              <w:spacing w:before="60" w:after="60"/>
              <w:ind w:left="0"/>
              <w:rPr>
                <w:rFonts w:cs="Arial"/>
                <w:sz w:val="20"/>
                <w:szCs w:val="20"/>
              </w:rPr>
            </w:pPr>
            <w:r w:rsidRPr="005115A8">
              <w:rPr>
                <w:rFonts w:cs="Arial"/>
                <w:sz w:val="20"/>
                <w:szCs w:val="20"/>
              </w:rPr>
              <w:t>Wellington Shire Council</w:t>
            </w:r>
          </w:p>
        </w:tc>
        <w:tc>
          <w:tcPr>
            <w:tcW w:w="3820" w:type="dxa"/>
            <w:shd w:val="clear" w:color="auto" w:fill="auto"/>
          </w:tcPr>
          <w:p w14:paraId="73AB7F86"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 xml:space="preserve">South Gippsland Shire Council </w:t>
            </w:r>
          </w:p>
        </w:tc>
      </w:tr>
      <w:tr w:rsidR="00073385" w:rsidRPr="005115A8" w14:paraId="5DC4AFAB" w14:textId="77777777" w:rsidTr="00840FDA">
        <w:tc>
          <w:tcPr>
            <w:tcW w:w="4594" w:type="dxa"/>
            <w:shd w:val="clear" w:color="auto" w:fill="auto"/>
          </w:tcPr>
          <w:p w14:paraId="0B3091E9" w14:textId="77777777" w:rsidR="00073385" w:rsidRPr="005115A8" w:rsidRDefault="00073385" w:rsidP="00840FDA">
            <w:pPr>
              <w:spacing w:before="60" w:after="60"/>
              <w:ind w:left="0"/>
              <w:rPr>
                <w:rFonts w:cs="Arial"/>
                <w:sz w:val="20"/>
                <w:szCs w:val="20"/>
              </w:rPr>
            </w:pPr>
            <w:r w:rsidRPr="005115A8">
              <w:rPr>
                <w:rFonts w:cs="Arial"/>
                <w:color w:val="000000"/>
                <w:sz w:val="20"/>
                <w:szCs w:val="20"/>
                <w:lang w:eastAsia="en-US"/>
              </w:rPr>
              <w:t>East Gippsland Shire</w:t>
            </w:r>
          </w:p>
        </w:tc>
        <w:tc>
          <w:tcPr>
            <w:tcW w:w="3820" w:type="dxa"/>
            <w:shd w:val="clear" w:color="auto" w:fill="auto"/>
          </w:tcPr>
          <w:p w14:paraId="615A3C35" w14:textId="77777777" w:rsidR="00073385" w:rsidRPr="005115A8" w:rsidRDefault="00073385" w:rsidP="00840FDA">
            <w:pPr>
              <w:spacing w:before="60" w:after="60"/>
              <w:ind w:left="0"/>
              <w:jc w:val="both"/>
              <w:rPr>
                <w:rFonts w:cs="Arial"/>
                <w:sz w:val="20"/>
                <w:szCs w:val="20"/>
              </w:rPr>
            </w:pPr>
            <w:r>
              <w:rPr>
                <w:rFonts w:cs="Arial"/>
                <w:sz w:val="20"/>
                <w:szCs w:val="20"/>
              </w:rPr>
              <w:t>Latrobe City Council</w:t>
            </w:r>
          </w:p>
        </w:tc>
      </w:tr>
      <w:tr w:rsidR="00073385" w:rsidRPr="005115A8" w14:paraId="15DB92DC" w14:textId="77777777" w:rsidTr="00840FDA">
        <w:tc>
          <w:tcPr>
            <w:tcW w:w="8414" w:type="dxa"/>
            <w:gridSpan w:val="2"/>
            <w:shd w:val="clear" w:color="auto" w:fill="D9D9D9"/>
          </w:tcPr>
          <w:p w14:paraId="5D941AF8" w14:textId="77777777" w:rsidR="00073385" w:rsidRPr="005115A8" w:rsidRDefault="00073385" w:rsidP="00840FDA">
            <w:pPr>
              <w:spacing w:before="60" w:after="60" w:line="240" w:lineRule="auto"/>
              <w:ind w:left="0"/>
              <w:rPr>
                <w:rFonts w:cs="Arial"/>
                <w:i/>
                <w:color w:val="000000"/>
                <w:sz w:val="20"/>
                <w:szCs w:val="20"/>
                <w:lang w:eastAsia="en-US"/>
              </w:rPr>
            </w:pPr>
            <w:r>
              <w:rPr>
                <w:rFonts w:cs="Arial"/>
                <w:i/>
                <w:color w:val="000000"/>
                <w:sz w:val="20"/>
                <w:szCs w:val="20"/>
                <w:lang w:eastAsia="en-US"/>
              </w:rPr>
              <w:t>Other infrastructure</w:t>
            </w:r>
          </w:p>
        </w:tc>
      </w:tr>
      <w:tr w:rsidR="00073385" w:rsidRPr="005115A8" w14:paraId="18A72F8A" w14:textId="77777777" w:rsidTr="00840FDA">
        <w:tc>
          <w:tcPr>
            <w:tcW w:w="4594" w:type="dxa"/>
            <w:shd w:val="clear" w:color="auto" w:fill="auto"/>
          </w:tcPr>
          <w:p w14:paraId="239DB194" w14:textId="77777777" w:rsidR="00073385" w:rsidRPr="005115A8" w:rsidRDefault="00073385" w:rsidP="00840FDA">
            <w:pPr>
              <w:spacing w:before="60" w:after="60"/>
              <w:ind w:left="0"/>
              <w:rPr>
                <w:rFonts w:cs="Arial"/>
                <w:color w:val="000000"/>
                <w:sz w:val="20"/>
                <w:szCs w:val="20"/>
                <w:lang w:eastAsia="en-US"/>
              </w:rPr>
            </w:pPr>
            <w:r>
              <w:rPr>
                <w:rFonts w:cs="Arial"/>
                <w:color w:val="000000"/>
                <w:sz w:val="20"/>
                <w:szCs w:val="20"/>
                <w:lang w:eastAsia="en-US"/>
              </w:rPr>
              <w:t>Basslink</w:t>
            </w:r>
          </w:p>
        </w:tc>
        <w:tc>
          <w:tcPr>
            <w:tcW w:w="3820" w:type="dxa"/>
            <w:shd w:val="clear" w:color="auto" w:fill="auto"/>
          </w:tcPr>
          <w:p w14:paraId="73B24252" w14:textId="77777777" w:rsidR="00073385" w:rsidRPr="005115A8" w:rsidRDefault="00073385" w:rsidP="00840FDA">
            <w:pPr>
              <w:spacing w:before="60" w:after="60" w:line="240" w:lineRule="auto"/>
              <w:ind w:left="0"/>
              <w:rPr>
                <w:rFonts w:cs="Arial"/>
                <w:color w:val="000000"/>
                <w:sz w:val="20"/>
                <w:szCs w:val="20"/>
                <w:lang w:eastAsia="en-US"/>
              </w:rPr>
            </w:pPr>
            <w:r>
              <w:rPr>
                <w:rFonts w:cs="Arial"/>
                <w:color w:val="000000"/>
                <w:sz w:val="20"/>
                <w:szCs w:val="20"/>
                <w:lang w:eastAsia="en-US"/>
              </w:rPr>
              <w:t>Telstra</w:t>
            </w:r>
          </w:p>
        </w:tc>
      </w:tr>
      <w:tr w:rsidR="00073385" w:rsidRPr="005115A8" w14:paraId="6C887834" w14:textId="77777777" w:rsidTr="00840FDA">
        <w:tc>
          <w:tcPr>
            <w:tcW w:w="4594" w:type="dxa"/>
            <w:shd w:val="clear" w:color="auto" w:fill="auto"/>
          </w:tcPr>
          <w:p w14:paraId="60D77C40" w14:textId="77777777" w:rsidR="00073385" w:rsidRPr="005115A8" w:rsidRDefault="00073385" w:rsidP="00840FDA">
            <w:pPr>
              <w:spacing w:before="60" w:after="60"/>
              <w:ind w:left="0"/>
              <w:rPr>
                <w:rFonts w:cs="Arial"/>
                <w:color w:val="000000"/>
                <w:sz w:val="20"/>
                <w:szCs w:val="20"/>
                <w:lang w:eastAsia="en-US"/>
              </w:rPr>
            </w:pPr>
            <w:r>
              <w:rPr>
                <w:rFonts w:cs="Arial"/>
                <w:color w:val="000000"/>
                <w:sz w:val="20"/>
                <w:szCs w:val="20"/>
                <w:lang w:eastAsia="en-US"/>
              </w:rPr>
              <w:t>OSD Services (Tasmanian Gas Pipeline)</w:t>
            </w:r>
          </w:p>
        </w:tc>
        <w:tc>
          <w:tcPr>
            <w:tcW w:w="3820" w:type="dxa"/>
            <w:shd w:val="clear" w:color="auto" w:fill="auto"/>
          </w:tcPr>
          <w:p w14:paraId="45C68927" w14:textId="77777777" w:rsidR="00073385" w:rsidRPr="005115A8" w:rsidRDefault="00073385" w:rsidP="00840FDA">
            <w:pPr>
              <w:spacing w:before="60" w:after="60" w:line="240" w:lineRule="auto"/>
              <w:ind w:left="0"/>
              <w:rPr>
                <w:rFonts w:cs="Arial"/>
                <w:color w:val="000000"/>
                <w:sz w:val="20"/>
                <w:szCs w:val="20"/>
                <w:lang w:eastAsia="en-US"/>
              </w:rPr>
            </w:pPr>
          </w:p>
        </w:tc>
      </w:tr>
      <w:tr w:rsidR="00073385" w:rsidRPr="005115A8" w14:paraId="05BB15B3" w14:textId="77777777" w:rsidTr="00840FDA">
        <w:tc>
          <w:tcPr>
            <w:tcW w:w="8414" w:type="dxa"/>
            <w:gridSpan w:val="2"/>
            <w:shd w:val="clear" w:color="auto" w:fill="D9D9D9"/>
          </w:tcPr>
          <w:p w14:paraId="4A785754" w14:textId="77777777" w:rsidR="00073385" w:rsidRPr="005115A8" w:rsidRDefault="00073385" w:rsidP="00840FDA">
            <w:pPr>
              <w:spacing w:before="60" w:after="60" w:line="240" w:lineRule="auto"/>
              <w:ind w:left="0"/>
              <w:rPr>
                <w:rFonts w:cs="Arial"/>
                <w:i/>
                <w:color w:val="000000"/>
                <w:sz w:val="20"/>
                <w:szCs w:val="20"/>
                <w:lang w:eastAsia="en-US"/>
              </w:rPr>
            </w:pPr>
            <w:r w:rsidRPr="005115A8">
              <w:rPr>
                <w:rFonts w:cs="Arial"/>
                <w:i/>
                <w:color w:val="000000"/>
                <w:sz w:val="20"/>
                <w:szCs w:val="20"/>
                <w:lang w:eastAsia="en-US"/>
              </w:rPr>
              <w:t>Community and other groups</w:t>
            </w:r>
          </w:p>
        </w:tc>
      </w:tr>
      <w:tr w:rsidR="00073385" w:rsidRPr="005115A8" w14:paraId="7AD7C86E" w14:textId="77777777" w:rsidTr="00840FDA">
        <w:tc>
          <w:tcPr>
            <w:tcW w:w="4594" w:type="dxa"/>
            <w:shd w:val="clear" w:color="auto" w:fill="auto"/>
          </w:tcPr>
          <w:p w14:paraId="753C21E1" w14:textId="77777777" w:rsidR="00073385" w:rsidRPr="005115A8" w:rsidRDefault="00073385" w:rsidP="00840FDA">
            <w:pPr>
              <w:spacing w:before="60" w:after="60"/>
              <w:ind w:left="0"/>
              <w:rPr>
                <w:rFonts w:cs="Arial"/>
                <w:color w:val="000000"/>
                <w:sz w:val="20"/>
                <w:szCs w:val="20"/>
                <w:lang w:eastAsia="en-US"/>
              </w:rPr>
            </w:pPr>
            <w:r w:rsidRPr="005115A8">
              <w:rPr>
                <w:rFonts w:cs="Arial"/>
                <w:color w:val="000000"/>
                <w:sz w:val="20"/>
                <w:szCs w:val="20"/>
                <w:lang w:eastAsia="en-US"/>
              </w:rPr>
              <w:t>Committee for Gippsland</w:t>
            </w:r>
          </w:p>
        </w:tc>
        <w:tc>
          <w:tcPr>
            <w:tcW w:w="3820" w:type="dxa"/>
            <w:shd w:val="clear" w:color="auto" w:fill="auto"/>
          </w:tcPr>
          <w:p w14:paraId="1EECBB3D" w14:textId="77777777" w:rsidR="00073385" w:rsidRPr="005115A8" w:rsidRDefault="00073385" w:rsidP="00840FDA">
            <w:pPr>
              <w:spacing w:before="60" w:after="60" w:line="240" w:lineRule="auto"/>
              <w:ind w:left="0"/>
              <w:rPr>
                <w:rFonts w:cs="Arial"/>
                <w:color w:val="000000"/>
                <w:sz w:val="20"/>
                <w:szCs w:val="20"/>
                <w:lang w:eastAsia="en-US"/>
              </w:rPr>
            </w:pPr>
            <w:r w:rsidRPr="005115A8">
              <w:rPr>
                <w:rFonts w:cs="Arial"/>
                <w:color w:val="000000"/>
                <w:sz w:val="20"/>
                <w:szCs w:val="20"/>
                <w:lang w:eastAsia="en-US"/>
              </w:rPr>
              <w:t>Gippsland Ports</w:t>
            </w:r>
          </w:p>
        </w:tc>
      </w:tr>
      <w:tr w:rsidR="00073385" w:rsidRPr="005115A8" w14:paraId="7B13F9A6" w14:textId="77777777" w:rsidTr="00840FDA">
        <w:tc>
          <w:tcPr>
            <w:tcW w:w="4594" w:type="dxa"/>
            <w:shd w:val="clear" w:color="auto" w:fill="auto"/>
          </w:tcPr>
          <w:p w14:paraId="433129C8" w14:textId="77777777" w:rsidR="00073385" w:rsidRPr="005115A8" w:rsidRDefault="00073385" w:rsidP="00840FDA">
            <w:pPr>
              <w:spacing w:before="60" w:after="60"/>
              <w:ind w:left="0"/>
              <w:rPr>
                <w:rFonts w:cs="Arial"/>
                <w:color w:val="000000"/>
                <w:sz w:val="20"/>
                <w:szCs w:val="20"/>
                <w:lang w:eastAsia="en-US"/>
              </w:rPr>
            </w:pPr>
            <w:r w:rsidRPr="005115A8">
              <w:rPr>
                <w:rFonts w:cs="Arial"/>
                <w:color w:val="000000"/>
                <w:sz w:val="20"/>
                <w:szCs w:val="20"/>
                <w:lang w:eastAsia="en-US"/>
              </w:rPr>
              <w:lastRenderedPageBreak/>
              <w:t>Gippsland Water</w:t>
            </w:r>
          </w:p>
        </w:tc>
        <w:tc>
          <w:tcPr>
            <w:tcW w:w="3820" w:type="dxa"/>
            <w:shd w:val="clear" w:color="auto" w:fill="auto"/>
          </w:tcPr>
          <w:p w14:paraId="501CC73B" w14:textId="77777777" w:rsidR="00073385" w:rsidRPr="005115A8" w:rsidRDefault="00073385" w:rsidP="00840FDA">
            <w:pPr>
              <w:spacing w:before="60" w:after="60" w:line="240" w:lineRule="auto"/>
              <w:ind w:left="0"/>
              <w:rPr>
                <w:rFonts w:cs="Arial"/>
                <w:color w:val="000000"/>
                <w:sz w:val="20"/>
                <w:szCs w:val="20"/>
                <w:lang w:eastAsia="en-US"/>
              </w:rPr>
            </w:pPr>
            <w:r w:rsidRPr="005115A8">
              <w:rPr>
                <w:rFonts w:cs="Arial"/>
                <w:color w:val="000000"/>
                <w:sz w:val="20"/>
                <w:szCs w:val="20"/>
                <w:lang w:eastAsia="en-US"/>
              </w:rPr>
              <w:t>Gippsland Coastal Board</w:t>
            </w:r>
          </w:p>
        </w:tc>
      </w:tr>
      <w:tr w:rsidR="00073385" w:rsidRPr="005115A8" w14:paraId="1CEDC1BE" w14:textId="77777777" w:rsidTr="00840FDA">
        <w:tc>
          <w:tcPr>
            <w:tcW w:w="4594" w:type="dxa"/>
            <w:shd w:val="clear" w:color="auto" w:fill="auto"/>
          </w:tcPr>
          <w:p w14:paraId="485D3FA1" w14:textId="77777777" w:rsidR="00073385" w:rsidRPr="005115A8" w:rsidRDefault="00073385" w:rsidP="00840FDA">
            <w:pPr>
              <w:spacing w:before="60" w:after="60"/>
              <w:ind w:left="0"/>
              <w:rPr>
                <w:rFonts w:cs="Arial"/>
                <w:color w:val="000000"/>
                <w:sz w:val="20"/>
                <w:szCs w:val="20"/>
                <w:lang w:eastAsia="en-US"/>
              </w:rPr>
            </w:pPr>
            <w:r w:rsidRPr="005115A8">
              <w:rPr>
                <w:rFonts w:cs="Arial"/>
                <w:color w:val="000000"/>
                <w:sz w:val="20"/>
                <w:szCs w:val="20"/>
                <w:lang w:eastAsia="en-US"/>
              </w:rPr>
              <w:t>Gunaikurnai Land &amp; Waters Aboriginal Corporation</w:t>
            </w:r>
            <w:r>
              <w:rPr>
                <w:rFonts w:cs="Arial"/>
                <w:color w:val="000000"/>
                <w:sz w:val="20"/>
                <w:szCs w:val="20"/>
                <w:lang w:eastAsia="en-US"/>
              </w:rPr>
              <w:t xml:space="preserve"> (GLaWAC)</w:t>
            </w:r>
          </w:p>
        </w:tc>
        <w:tc>
          <w:tcPr>
            <w:tcW w:w="3820" w:type="dxa"/>
            <w:shd w:val="clear" w:color="auto" w:fill="auto"/>
          </w:tcPr>
          <w:p w14:paraId="3C5ED3BD" w14:textId="77777777" w:rsidR="00073385" w:rsidRPr="005115A8" w:rsidRDefault="00073385" w:rsidP="00840FDA">
            <w:pPr>
              <w:spacing w:before="60" w:after="60" w:line="240" w:lineRule="auto"/>
              <w:ind w:left="0"/>
              <w:rPr>
                <w:rFonts w:cs="Arial"/>
                <w:color w:val="000000"/>
                <w:sz w:val="20"/>
                <w:szCs w:val="20"/>
                <w:lang w:eastAsia="en-US"/>
              </w:rPr>
            </w:pPr>
            <w:r w:rsidRPr="005115A8">
              <w:rPr>
                <w:rFonts w:cs="Arial"/>
                <w:color w:val="000000"/>
                <w:sz w:val="20"/>
                <w:szCs w:val="20"/>
                <w:lang w:eastAsia="en-US"/>
              </w:rPr>
              <w:t>East Gippsland Catchment Management Authority (EGCMA)</w:t>
            </w:r>
          </w:p>
        </w:tc>
      </w:tr>
      <w:tr w:rsidR="00073385" w:rsidRPr="005115A8" w14:paraId="78E81D0B" w14:textId="77777777" w:rsidTr="00840FDA">
        <w:tc>
          <w:tcPr>
            <w:tcW w:w="4594" w:type="dxa"/>
            <w:shd w:val="clear" w:color="auto" w:fill="auto"/>
          </w:tcPr>
          <w:p w14:paraId="682E65D2" w14:textId="77777777" w:rsidR="00073385" w:rsidRPr="005115A8" w:rsidRDefault="00073385" w:rsidP="00840FDA">
            <w:pPr>
              <w:spacing w:before="60" w:after="60"/>
              <w:ind w:left="0"/>
              <w:rPr>
                <w:rFonts w:cs="Arial"/>
                <w:color w:val="000000"/>
                <w:sz w:val="20"/>
                <w:szCs w:val="20"/>
                <w:lang w:eastAsia="en-US"/>
              </w:rPr>
            </w:pPr>
            <w:r w:rsidRPr="005115A8">
              <w:rPr>
                <w:rFonts w:cs="Arial"/>
                <w:color w:val="000000"/>
                <w:sz w:val="20"/>
                <w:szCs w:val="20"/>
                <w:lang w:eastAsia="en-US"/>
              </w:rPr>
              <w:t>Golden Beach Surf Club</w:t>
            </w:r>
          </w:p>
        </w:tc>
        <w:tc>
          <w:tcPr>
            <w:tcW w:w="3820" w:type="dxa"/>
            <w:shd w:val="clear" w:color="auto" w:fill="auto"/>
          </w:tcPr>
          <w:p w14:paraId="57051449" w14:textId="77777777" w:rsidR="00073385" w:rsidRPr="005115A8" w:rsidRDefault="00073385" w:rsidP="00840FDA">
            <w:pPr>
              <w:spacing w:before="60" w:after="60" w:line="240" w:lineRule="auto"/>
              <w:ind w:left="0"/>
              <w:rPr>
                <w:rFonts w:cs="Arial"/>
                <w:color w:val="000000"/>
                <w:sz w:val="20"/>
                <w:szCs w:val="20"/>
                <w:lang w:eastAsia="en-US"/>
              </w:rPr>
            </w:pPr>
            <w:r w:rsidRPr="005115A8">
              <w:rPr>
                <w:rFonts w:cs="Arial"/>
                <w:color w:val="000000"/>
                <w:sz w:val="20"/>
                <w:szCs w:val="20"/>
              </w:rPr>
              <w:t xml:space="preserve">Lakes Entrance Coastguard </w:t>
            </w:r>
          </w:p>
        </w:tc>
      </w:tr>
      <w:tr w:rsidR="00073385" w:rsidRPr="005115A8" w14:paraId="2A2ECB37" w14:textId="77777777" w:rsidTr="00840FDA">
        <w:tc>
          <w:tcPr>
            <w:tcW w:w="4594" w:type="dxa"/>
            <w:shd w:val="clear" w:color="auto" w:fill="auto"/>
          </w:tcPr>
          <w:p w14:paraId="7BAF17BE" w14:textId="3AEC1E2D" w:rsidR="00073385" w:rsidRPr="005115A8" w:rsidRDefault="00073385" w:rsidP="00840FDA">
            <w:pPr>
              <w:spacing w:before="60" w:after="60"/>
              <w:ind w:left="0"/>
              <w:rPr>
                <w:rFonts w:cs="Arial"/>
                <w:bCs/>
                <w:iCs/>
                <w:color w:val="000000"/>
                <w:sz w:val="20"/>
                <w:szCs w:val="20"/>
                <w:lang w:eastAsia="en-US"/>
              </w:rPr>
            </w:pPr>
            <w:r w:rsidRPr="005115A8">
              <w:rPr>
                <w:rFonts w:cs="Arial"/>
                <w:color w:val="000000"/>
                <w:sz w:val="20"/>
                <w:szCs w:val="20"/>
                <w:lang w:eastAsia="en-US"/>
              </w:rPr>
              <w:t>Golden Paradise Beach Ratepayers Association</w:t>
            </w:r>
            <w:r w:rsidR="00F619BE">
              <w:rPr>
                <w:rFonts w:cs="Arial"/>
                <w:color w:val="000000"/>
                <w:sz w:val="20"/>
                <w:szCs w:val="20"/>
                <w:lang w:eastAsia="en-US"/>
              </w:rPr>
              <w:t xml:space="preserve"> (GPBRA)</w:t>
            </w:r>
            <w:r w:rsidRPr="005115A8">
              <w:rPr>
                <w:rFonts w:cs="Arial"/>
                <w:color w:val="000000"/>
                <w:sz w:val="20"/>
                <w:szCs w:val="20"/>
                <w:lang w:eastAsia="en-US"/>
              </w:rPr>
              <w:t xml:space="preserve"> </w:t>
            </w:r>
          </w:p>
        </w:tc>
        <w:tc>
          <w:tcPr>
            <w:tcW w:w="3820" w:type="dxa"/>
            <w:shd w:val="clear" w:color="auto" w:fill="auto"/>
          </w:tcPr>
          <w:p w14:paraId="072ED1AF" w14:textId="77777777" w:rsidR="00073385" w:rsidRPr="005115A8" w:rsidRDefault="00073385" w:rsidP="00840FDA">
            <w:pPr>
              <w:spacing w:before="60" w:after="60" w:line="240" w:lineRule="auto"/>
              <w:ind w:left="0"/>
              <w:rPr>
                <w:rFonts w:cs="Arial"/>
                <w:color w:val="000000"/>
                <w:sz w:val="20"/>
                <w:szCs w:val="20"/>
                <w:lang w:eastAsia="en-US"/>
              </w:rPr>
            </w:pPr>
            <w:r w:rsidRPr="005115A8">
              <w:rPr>
                <w:rFonts w:cs="Arial"/>
                <w:color w:val="000000"/>
                <w:sz w:val="20"/>
                <w:szCs w:val="20"/>
              </w:rPr>
              <w:t>Gippsland Water Police</w:t>
            </w:r>
            <w:r w:rsidRPr="005115A8" w:rsidDel="00E33EC4">
              <w:rPr>
                <w:rFonts w:cs="Arial"/>
                <w:color w:val="000000"/>
                <w:sz w:val="20"/>
                <w:szCs w:val="20"/>
              </w:rPr>
              <w:t xml:space="preserve"> </w:t>
            </w:r>
          </w:p>
        </w:tc>
      </w:tr>
      <w:tr w:rsidR="00073385" w:rsidRPr="005115A8" w14:paraId="0B229DB6" w14:textId="77777777" w:rsidTr="00840FDA">
        <w:tc>
          <w:tcPr>
            <w:tcW w:w="4594" w:type="dxa"/>
            <w:shd w:val="clear" w:color="auto" w:fill="auto"/>
          </w:tcPr>
          <w:p w14:paraId="6036D000" w14:textId="77777777" w:rsidR="00073385" w:rsidRPr="005115A8" w:rsidRDefault="00073385" w:rsidP="00840FDA">
            <w:pPr>
              <w:spacing w:before="60" w:after="60"/>
              <w:ind w:left="0"/>
              <w:rPr>
                <w:rFonts w:cs="Arial"/>
                <w:color w:val="000000"/>
                <w:sz w:val="20"/>
                <w:szCs w:val="20"/>
                <w:lang w:eastAsia="en-US"/>
              </w:rPr>
            </w:pPr>
            <w:r w:rsidRPr="005115A8">
              <w:rPr>
                <w:rFonts w:cs="Arial"/>
                <w:color w:val="000000"/>
                <w:sz w:val="20"/>
                <w:szCs w:val="20"/>
              </w:rPr>
              <w:t>Victorian National Parks Association (VNPA)</w:t>
            </w:r>
          </w:p>
        </w:tc>
        <w:tc>
          <w:tcPr>
            <w:tcW w:w="3820" w:type="dxa"/>
            <w:shd w:val="clear" w:color="auto" w:fill="auto"/>
          </w:tcPr>
          <w:p w14:paraId="31D673BB" w14:textId="77777777" w:rsidR="00073385" w:rsidRPr="005115A8" w:rsidRDefault="00073385" w:rsidP="00840FDA">
            <w:pPr>
              <w:spacing w:before="60" w:after="60" w:line="240" w:lineRule="auto"/>
              <w:ind w:left="0"/>
              <w:rPr>
                <w:rFonts w:cs="Arial"/>
                <w:color w:val="000000"/>
                <w:sz w:val="20"/>
                <w:szCs w:val="20"/>
                <w:lang w:eastAsia="en-US"/>
              </w:rPr>
            </w:pPr>
            <w:r w:rsidRPr="005115A8">
              <w:rPr>
                <w:rFonts w:cs="Arial"/>
                <w:color w:val="000000"/>
                <w:sz w:val="20"/>
                <w:szCs w:val="20"/>
                <w:lang w:eastAsia="en-US"/>
              </w:rPr>
              <w:t>National Native Title Tribunal (NNTT)</w:t>
            </w:r>
          </w:p>
        </w:tc>
      </w:tr>
    </w:tbl>
    <w:p w14:paraId="4A08FB40" w14:textId="77777777" w:rsidR="00073385" w:rsidRDefault="00073385" w:rsidP="00073385"/>
    <w:p w14:paraId="072822A2" w14:textId="77777777" w:rsidR="00073385" w:rsidRPr="00D123DD" w:rsidRDefault="00073385" w:rsidP="00073385">
      <w:pPr>
        <w:pStyle w:val="bodycopy"/>
        <w:rPr>
          <w:rFonts w:ascii="Arial" w:hAnsi="Arial"/>
          <w:sz w:val="22"/>
          <w:szCs w:val="22"/>
        </w:rPr>
      </w:pPr>
      <w:r w:rsidRPr="00D123DD">
        <w:rPr>
          <w:rFonts w:ascii="Arial" w:hAnsi="Arial"/>
          <w:sz w:val="22"/>
          <w:szCs w:val="22"/>
        </w:rPr>
        <w:t>CarbonNet recognises that the relevance of stakeholders identified in this EP may change in the event of a non-routine event or emergency. Every effort has been made to identify stakeholders that may be impacted by a non-routine event or emergency, the largest of which is considered a Level 2</w:t>
      </w:r>
      <w:r>
        <w:rPr>
          <w:rFonts w:ascii="Arial" w:hAnsi="Arial"/>
          <w:sz w:val="22"/>
          <w:szCs w:val="22"/>
        </w:rPr>
        <w:t xml:space="preserve"> or 3</w:t>
      </w:r>
      <w:r w:rsidRPr="00D123DD">
        <w:rPr>
          <w:rFonts w:ascii="Arial" w:hAnsi="Arial"/>
          <w:sz w:val="22"/>
          <w:szCs w:val="22"/>
        </w:rPr>
        <w:t xml:space="preserve"> marine diesel spill from the survey vessel (</w:t>
      </w:r>
      <w:r w:rsidRPr="00CB10A1">
        <w:rPr>
          <w:rFonts w:ascii="Arial" w:hAnsi="Arial"/>
          <w:sz w:val="22"/>
          <w:szCs w:val="22"/>
        </w:rPr>
        <w:t xml:space="preserve">see </w:t>
      </w:r>
      <w:r w:rsidRPr="004E3D04">
        <w:rPr>
          <w:rFonts w:ascii="Arial" w:hAnsi="Arial"/>
          <w:sz w:val="22"/>
          <w:szCs w:val="22"/>
        </w:rPr>
        <w:t>Section 7.</w:t>
      </w:r>
      <w:r w:rsidRPr="00CB10A1">
        <w:rPr>
          <w:rFonts w:ascii="Arial" w:hAnsi="Arial"/>
          <w:sz w:val="22"/>
          <w:szCs w:val="22"/>
        </w:rPr>
        <w:t>16</w:t>
      </w:r>
      <w:r w:rsidRPr="00D123DD">
        <w:rPr>
          <w:rFonts w:ascii="Arial" w:hAnsi="Arial"/>
          <w:sz w:val="22"/>
          <w:szCs w:val="22"/>
        </w:rPr>
        <w:t xml:space="preserve">). </w:t>
      </w:r>
    </w:p>
    <w:p w14:paraId="29C55EE5" w14:textId="77777777" w:rsidR="00073385" w:rsidRPr="00D123DD" w:rsidRDefault="00073385" w:rsidP="00073385">
      <w:pPr>
        <w:pStyle w:val="bodycopy"/>
        <w:rPr>
          <w:rFonts w:ascii="Arial" w:hAnsi="Arial"/>
          <w:sz w:val="22"/>
          <w:szCs w:val="22"/>
        </w:rPr>
      </w:pPr>
      <w:r w:rsidRPr="00D123DD">
        <w:rPr>
          <w:rFonts w:ascii="Arial" w:hAnsi="Arial"/>
          <w:sz w:val="22"/>
          <w:szCs w:val="22"/>
        </w:rPr>
        <w:t>CarbonNet acknowledges that other stakeholders not identified in this EP may be affected, and that these may only become known to CarbonNet in such an event.</w:t>
      </w:r>
    </w:p>
    <w:p w14:paraId="13D639F5" w14:textId="77777777" w:rsidR="00073385" w:rsidRPr="00D558AB" w:rsidRDefault="00073385" w:rsidP="00073385">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94" w:name="_Toc479763955"/>
      <w:bookmarkStart w:id="95" w:name="_Toc375214525"/>
      <w:r w:rsidRPr="00D558AB">
        <w:rPr>
          <w:rFonts w:cs="Times New Roman"/>
          <w:iCs w:val="0"/>
          <w:color w:val="064EA8"/>
          <w:szCs w:val="26"/>
          <w:lang w:eastAsia="en-US"/>
        </w:rPr>
        <w:t>Engagement Method and Approach</w:t>
      </w:r>
      <w:bookmarkEnd w:id="94"/>
      <w:bookmarkEnd w:id="95"/>
    </w:p>
    <w:p w14:paraId="1C7A196A" w14:textId="77777777" w:rsidR="00073385" w:rsidRPr="00D123DD" w:rsidRDefault="00073385" w:rsidP="00073385">
      <w:pPr>
        <w:pStyle w:val="bodycopy"/>
        <w:jc w:val="both"/>
        <w:rPr>
          <w:rFonts w:ascii="Arial" w:hAnsi="Arial"/>
          <w:sz w:val="22"/>
          <w:szCs w:val="22"/>
        </w:rPr>
      </w:pPr>
      <w:bookmarkStart w:id="96" w:name="_Toc342847408"/>
      <w:r w:rsidRPr="00D123DD">
        <w:rPr>
          <w:rFonts w:ascii="Arial" w:hAnsi="Arial"/>
          <w:sz w:val="22"/>
          <w:szCs w:val="22"/>
        </w:rPr>
        <w:t>This section outlines the approach and methodology in which CarbonNet has undertaken its stakeholder consultation.</w:t>
      </w:r>
      <w:bookmarkEnd w:id="96"/>
    </w:p>
    <w:p w14:paraId="132DADD5" w14:textId="77777777" w:rsidR="00073385" w:rsidRDefault="00073385" w:rsidP="00073385">
      <w:pPr>
        <w:pStyle w:val="Heading3"/>
      </w:pPr>
      <w:bookmarkStart w:id="97" w:name="_Toc342847409"/>
      <w:bookmarkStart w:id="98" w:name="_Toc474221975"/>
      <w:bookmarkStart w:id="99" w:name="_Toc349230348"/>
      <w:bookmarkStart w:id="100" w:name="_Toc479318089"/>
      <w:bookmarkStart w:id="101" w:name="_Toc479763956"/>
      <w:bookmarkStart w:id="102" w:name="_Toc375214526"/>
      <w:r>
        <w:t>Engagement Approach</w:t>
      </w:r>
      <w:bookmarkEnd w:id="97"/>
      <w:bookmarkEnd w:id="98"/>
      <w:bookmarkEnd w:id="99"/>
      <w:bookmarkEnd w:id="100"/>
      <w:bookmarkEnd w:id="101"/>
      <w:bookmarkEnd w:id="102"/>
    </w:p>
    <w:p w14:paraId="5A72924E" w14:textId="77777777" w:rsidR="00073385" w:rsidRPr="004E3D04" w:rsidRDefault="00073385" w:rsidP="00073385">
      <w:pPr>
        <w:pStyle w:val="bodycopy"/>
        <w:rPr>
          <w:rFonts w:ascii="Arial" w:hAnsi="Arial"/>
          <w:sz w:val="22"/>
          <w:szCs w:val="22"/>
        </w:rPr>
      </w:pPr>
      <w:r w:rsidRPr="00D123DD">
        <w:rPr>
          <w:rFonts w:ascii="Arial" w:hAnsi="Arial"/>
          <w:sz w:val="22"/>
          <w:szCs w:val="22"/>
        </w:rPr>
        <w:t xml:space="preserve">Consultation has been broadly undertaken in line with the International Association for Public Participation (IAP2) spectrum, which is considered best practice for stakeholder engagement. </w:t>
      </w:r>
      <w:r w:rsidRPr="004E3D04">
        <w:rPr>
          <w:rFonts w:ascii="Arial" w:hAnsi="Arial"/>
          <w:sz w:val="22"/>
          <w:szCs w:val="22"/>
        </w:rPr>
        <w:t xml:space="preserve">In order of increasing level of public impact, the elements of the spectrum and their goals are: </w:t>
      </w:r>
    </w:p>
    <w:p w14:paraId="78639093" w14:textId="77777777" w:rsidR="00073385" w:rsidRPr="004E3D04" w:rsidRDefault="00073385" w:rsidP="00073385">
      <w:pPr>
        <w:pStyle w:val="bodycopy"/>
        <w:numPr>
          <w:ilvl w:val="0"/>
          <w:numId w:val="88"/>
        </w:numPr>
        <w:rPr>
          <w:rFonts w:ascii="Arial" w:hAnsi="Arial"/>
          <w:sz w:val="22"/>
          <w:szCs w:val="22"/>
        </w:rPr>
      </w:pPr>
      <w:r w:rsidRPr="004E3D04">
        <w:rPr>
          <w:rFonts w:ascii="Arial" w:hAnsi="Arial"/>
          <w:sz w:val="22"/>
          <w:szCs w:val="22"/>
        </w:rPr>
        <w:t xml:space="preserve">Inform – to provide the public with balanced and objective information to assist them in understanding the problems, alternatives and/or solutions. </w:t>
      </w:r>
    </w:p>
    <w:p w14:paraId="1EAE5A3B" w14:textId="77777777" w:rsidR="00073385" w:rsidRPr="004E3D04" w:rsidRDefault="00073385" w:rsidP="00073385">
      <w:pPr>
        <w:pStyle w:val="bodycopy"/>
        <w:numPr>
          <w:ilvl w:val="0"/>
          <w:numId w:val="88"/>
        </w:numPr>
        <w:rPr>
          <w:rFonts w:ascii="Arial" w:hAnsi="Arial"/>
          <w:sz w:val="22"/>
          <w:szCs w:val="22"/>
        </w:rPr>
      </w:pPr>
      <w:r w:rsidRPr="004E3D04">
        <w:rPr>
          <w:rFonts w:ascii="Arial" w:hAnsi="Arial"/>
          <w:sz w:val="22"/>
          <w:szCs w:val="22"/>
        </w:rPr>
        <w:t xml:space="preserve">Consult – to obtain public feedback on analysis, alternatives and/or decisions. </w:t>
      </w:r>
    </w:p>
    <w:p w14:paraId="21C84275" w14:textId="77777777" w:rsidR="00073385" w:rsidRPr="004E3D04" w:rsidRDefault="00073385" w:rsidP="00073385">
      <w:pPr>
        <w:pStyle w:val="bodycopy"/>
        <w:numPr>
          <w:ilvl w:val="0"/>
          <w:numId w:val="88"/>
        </w:numPr>
        <w:rPr>
          <w:rFonts w:ascii="Arial" w:hAnsi="Arial"/>
          <w:sz w:val="22"/>
          <w:szCs w:val="22"/>
        </w:rPr>
      </w:pPr>
      <w:r w:rsidRPr="004E3D04">
        <w:rPr>
          <w:rFonts w:ascii="Arial" w:hAnsi="Arial"/>
          <w:sz w:val="22"/>
          <w:szCs w:val="22"/>
        </w:rPr>
        <w:t>Involve – to work directly with stakeholders throughout the process to ensure that public concerns and aspirations are consistently understood and considered.</w:t>
      </w:r>
    </w:p>
    <w:p w14:paraId="1AAA3EC0" w14:textId="77777777" w:rsidR="00073385" w:rsidRPr="004E3D04" w:rsidRDefault="00073385" w:rsidP="00073385">
      <w:pPr>
        <w:pStyle w:val="bodycopy"/>
        <w:numPr>
          <w:ilvl w:val="0"/>
          <w:numId w:val="88"/>
        </w:numPr>
        <w:rPr>
          <w:rFonts w:ascii="Arial" w:hAnsi="Arial"/>
          <w:sz w:val="22"/>
          <w:szCs w:val="22"/>
        </w:rPr>
      </w:pPr>
      <w:r w:rsidRPr="004E3D04">
        <w:rPr>
          <w:rFonts w:ascii="Arial" w:hAnsi="Arial"/>
          <w:sz w:val="22"/>
          <w:szCs w:val="22"/>
        </w:rPr>
        <w:t xml:space="preserve">Collaborate – to partner with the public in each aspect of the decisions, including the development of alternatives and the identification of the preferred solution. </w:t>
      </w:r>
    </w:p>
    <w:p w14:paraId="103600BA" w14:textId="77777777" w:rsidR="00073385" w:rsidRPr="004E3D04" w:rsidRDefault="00073385" w:rsidP="00073385">
      <w:pPr>
        <w:pStyle w:val="bodycopy"/>
        <w:numPr>
          <w:ilvl w:val="0"/>
          <w:numId w:val="88"/>
        </w:numPr>
        <w:rPr>
          <w:rFonts w:ascii="Arial" w:hAnsi="Arial"/>
          <w:sz w:val="22"/>
          <w:szCs w:val="22"/>
        </w:rPr>
      </w:pPr>
      <w:r w:rsidRPr="004E3D04">
        <w:rPr>
          <w:rFonts w:ascii="Arial" w:hAnsi="Arial"/>
          <w:sz w:val="22"/>
          <w:szCs w:val="22"/>
        </w:rPr>
        <w:t xml:space="preserve">Empower – to place final decision-making in the hands of the stakeholders. </w:t>
      </w:r>
    </w:p>
    <w:p w14:paraId="02C6A329" w14:textId="77777777" w:rsidR="00073385" w:rsidRDefault="00073385" w:rsidP="00073385">
      <w:pPr>
        <w:pStyle w:val="bodycopy"/>
        <w:rPr>
          <w:rFonts w:ascii="Arial" w:hAnsi="Arial"/>
          <w:sz w:val="22"/>
          <w:szCs w:val="22"/>
        </w:rPr>
      </w:pPr>
      <w:r w:rsidRPr="004E3D04">
        <w:rPr>
          <w:rFonts w:ascii="Arial" w:hAnsi="Arial"/>
          <w:sz w:val="22"/>
          <w:szCs w:val="22"/>
        </w:rPr>
        <w:t>The manner in which CarbonNet has informed, consulted and involved stakeholders with the asset’s ongoing operations are outlined through this section.</w:t>
      </w:r>
      <w:r w:rsidRPr="00D123DD">
        <w:rPr>
          <w:rFonts w:ascii="Arial" w:hAnsi="Arial"/>
          <w:sz w:val="22"/>
          <w:szCs w:val="22"/>
        </w:rPr>
        <w:t xml:space="preserve"> </w:t>
      </w:r>
      <w:r>
        <w:rPr>
          <w:rFonts w:ascii="Arial" w:hAnsi="Arial"/>
          <w:sz w:val="22"/>
          <w:szCs w:val="22"/>
        </w:rPr>
        <w:t xml:space="preserve">Attempts to collaborate with stakeholders including the commercial fishing industry have been made, and discussions on several proposals are continuing. </w:t>
      </w:r>
    </w:p>
    <w:p w14:paraId="196E093B" w14:textId="36E5ABE4" w:rsidR="00073385" w:rsidRPr="00D123DD" w:rsidRDefault="00073385" w:rsidP="00073385">
      <w:pPr>
        <w:pStyle w:val="bodycopy"/>
        <w:rPr>
          <w:rFonts w:ascii="Arial" w:hAnsi="Arial"/>
          <w:sz w:val="22"/>
          <w:szCs w:val="22"/>
        </w:rPr>
      </w:pPr>
      <w:r>
        <w:rPr>
          <w:rFonts w:ascii="Arial" w:hAnsi="Arial"/>
          <w:sz w:val="22"/>
          <w:szCs w:val="22"/>
        </w:rPr>
        <w:t>Under the regulatory regime for the approval of EPs, the decision maker is the regulator (or regulators in the case of multiple juri</w:t>
      </w:r>
      <w:r w:rsidR="00AF6683">
        <w:rPr>
          <w:rFonts w:ascii="Arial" w:hAnsi="Arial"/>
          <w:sz w:val="22"/>
          <w:szCs w:val="22"/>
        </w:rPr>
        <w:t>s</w:t>
      </w:r>
      <w:r>
        <w:rPr>
          <w:rFonts w:ascii="Arial" w:hAnsi="Arial"/>
          <w:sz w:val="22"/>
          <w:szCs w:val="22"/>
        </w:rPr>
        <w:t>dictions, such as experienced for this project). This being the case, the final step in the IAP2 spectrum, ‘Empower’, has not been adopted.</w:t>
      </w:r>
    </w:p>
    <w:p w14:paraId="2D64CBCB" w14:textId="77777777" w:rsidR="00073385" w:rsidRPr="00D123DD" w:rsidRDefault="00073385" w:rsidP="00073385">
      <w:pPr>
        <w:pStyle w:val="bodycopy"/>
        <w:rPr>
          <w:rFonts w:ascii="Arial" w:hAnsi="Arial"/>
          <w:sz w:val="22"/>
          <w:szCs w:val="22"/>
        </w:rPr>
      </w:pPr>
      <w:r w:rsidRPr="00D123DD">
        <w:rPr>
          <w:rFonts w:ascii="Arial" w:hAnsi="Arial"/>
          <w:sz w:val="22"/>
          <w:szCs w:val="22"/>
        </w:rPr>
        <w:t xml:space="preserve">The </w:t>
      </w:r>
      <w:r>
        <w:rPr>
          <w:rFonts w:ascii="Arial" w:hAnsi="Arial"/>
          <w:sz w:val="22"/>
          <w:szCs w:val="22"/>
        </w:rPr>
        <w:t>P</w:t>
      </w:r>
      <w:r w:rsidRPr="00D123DD">
        <w:rPr>
          <w:rFonts w:ascii="Arial" w:hAnsi="Arial"/>
          <w:sz w:val="22"/>
          <w:szCs w:val="22"/>
        </w:rPr>
        <w:t xml:space="preserve">roject has a strategic and systematic approach to stakeholder engagement, which aims to foster an environment where two-way communication and ongoing, </w:t>
      </w:r>
      <w:r w:rsidRPr="00D123DD">
        <w:rPr>
          <w:rFonts w:ascii="Arial" w:hAnsi="Arial"/>
          <w:sz w:val="22"/>
          <w:szCs w:val="22"/>
        </w:rPr>
        <w:lastRenderedPageBreak/>
        <w:t>open dialogue is encouraged to build positive relationships. Key principles that guide CarbonNet in its stakeholder engagement activities include:</w:t>
      </w:r>
    </w:p>
    <w:p w14:paraId="0EEAED70" w14:textId="77777777" w:rsidR="00073385" w:rsidRPr="009B0512" w:rsidRDefault="00073385" w:rsidP="00073385">
      <w:pPr>
        <w:pStyle w:val="bodycopy"/>
        <w:numPr>
          <w:ilvl w:val="0"/>
          <w:numId w:val="104"/>
        </w:numPr>
        <w:rPr>
          <w:rFonts w:ascii="Arial" w:hAnsi="Arial"/>
          <w:sz w:val="22"/>
          <w:szCs w:val="22"/>
        </w:rPr>
      </w:pPr>
      <w:r w:rsidRPr="009B0512">
        <w:rPr>
          <w:rFonts w:ascii="Arial" w:hAnsi="Arial"/>
          <w:sz w:val="22"/>
          <w:szCs w:val="22"/>
        </w:rPr>
        <w:t>Timely engagement;</w:t>
      </w:r>
    </w:p>
    <w:p w14:paraId="65A38820" w14:textId="77777777" w:rsidR="00073385" w:rsidRPr="009B0512" w:rsidRDefault="00073385" w:rsidP="00073385">
      <w:pPr>
        <w:pStyle w:val="bodycopy"/>
        <w:numPr>
          <w:ilvl w:val="0"/>
          <w:numId w:val="104"/>
        </w:numPr>
        <w:rPr>
          <w:rFonts w:ascii="Arial" w:hAnsi="Arial"/>
          <w:sz w:val="22"/>
          <w:szCs w:val="22"/>
        </w:rPr>
      </w:pPr>
      <w:r w:rsidRPr="009B0512">
        <w:rPr>
          <w:rFonts w:ascii="Arial" w:hAnsi="Arial"/>
          <w:sz w:val="22"/>
          <w:szCs w:val="22"/>
        </w:rPr>
        <w:t>Transparency;</w:t>
      </w:r>
    </w:p>
    <w:p w14:paraId="4DAA146F" w14:textId="77777777" w:rsidR="00073385" w:rsidRPr="009B0512" w:rsidRDefault="00073385" w:rsidP="00073385">
      <w:pPr>
        <w:pStyle w:val="bodycopy"/>
        <w:numPr>
          <w:ilvl w:val="0"/>
          <w:numId w:val="104"/>
        </w:numPr>
        <w:rPr>
          <w:rFonts w:ascii="Arial" w:hAnsi="Arial"/>
          <w:sz w:val="22"/>
          <w:szCs w:val="22"/>
        </w:rPr>
      </w:pPr>
      <w:r w:rsidRPr="009B0512">
        <w:rPr>
          <w:rFonts w:ascii="Arial" w:hAnsi="Arial"/>
          <w:sz w:val="22"/>
          <w:szCs w:val="22"/>
        </w:rPr>
        <w:t>Providing accurate and objective information;</w:t>
      </w:r>
    </w:p>
    <w:p w14:paraId="10DEB3E1" w14:textId="77777777" w:rsidR="00073385" w:rsidRPr="009B0512" w:rsidRDefault="00073385" w:rsidP="00073385">
      <w:pPr>
        <w:pStyle w:val="bodycopy"/>
        <w:numPr>
          <w:ilvl w:val="0"/>
          <w:numId w:val="104"/>
        </w:numPr>
        <w:rPr>
          <w:rFonts w:ascii="Arial" w:hAnsi="Arial"/>
          <w:sz w:val="22"/>
          <w:szCs w:val="22"/>
        </w:rPr>
      </w:pPr>
      <w:r w:rsidRPr="009B0512">
        <w:rPr>
          <w:rFonts w:ascii="Arial" w:hAnsi="Arial"/>
          <w:sz w:val="22"/>
          <w:szCs w:val="22"/>
        </w:rPr>
        <w:t>Monitoring stakeholder interests;</w:t>
      </w:r>
    </w:p>
    <w:p w14:paraId="4AA77224" w14:textId="77777777" w:rsidR="00073385" w:rsidRPr="009B0512" w:rsidRDefault="00073385" w:rsidP="00073385">
      <w:pPr>
        <w:pStyle w:val="bodycopy"/>
        <w:numPr>
          <w:ilvl w:val="0"/>
          <w:numId w:val="104"/>
        </w:numPr>
        <w:rPr>
          <w:rFonts w:ascii="Arial" w:hAnsi="Arial"/>
          <w:sz w:val="22"/>
          <w:szCs w:val="22"/>
        </w:rPr>
      </w:pPr>
      <w:r w:rsidRPr="009B0512">
        <w:rPr>
          <w:rFonts w:ascii="Arial" w:hAnsi="Arial"/>
          <w:sz w:val="22"/>
          <w:szCs w:val="22"/>
        </w:rPr>
        <w:t xml:space="preserve">Ongoing active consideration of stakeholder feedback; and </w:t>
      </w:r>
    </w:p>
    <w:p w14:paraId="14D299C9" w14:textId="77777777" w:rsidR="00073385" w:rsidRPr="009B0512" w:rsidRDefault="00073385" w:rsidP="00073385">
      <w:pPr>
        <w:pStyle w:val="bodycopy"/>
        <w:numPr>
          <w:ilvl w:val="0"/>
          <w:numId w:val="104"/>
        </w:numPr>
        <w:rPr>
          <w:rFonts w:ascii="Arial" w:hAnsi="Arial"/>
          <w:sz w:val="22"/>
          <w:szCs w:val="22"/>
        </w:rPr>
      </w:pPr>
      <w:r w:rsidRPr="009B0512">
        <w:rPr>
          <w:rFonts w:ascii="Arial" w:hAnsi="Arial"/>
          <w:sz w:val="22"/>
          <w:szCs w:val="22"/>
        </w:rPr>
        <w:t>Tailoring appropriate communications to meet audience needs.</w:t>
      </w:r>
    </w:p>
    <w:p w14:paraId="6E626B2A" w14:textId="0475A168" w:rsidR="00073385" w:rsidRPr="00D123DD" w:rsidRDefault="00073385" w:rsidP="00073385">
      <w:pPr>
        <w:pStyle w:val="bodycopy"/>
        <w:rPr>
          <w:rFonts w:ascii="Arial" w:hAnsi="Arial"/>
          <w:sz w:val="22"/>
          <w:szCs w:val="22"/>
        </w:rPr>
      </w:pPr>
      <w:r w:rsidRPr="00D123DD">
        <w:rPr>
          <w:rFonts w:ascii="Arial" w:hAnsi="Arial"/>
          <w:sz w:val="22"/>
          <w:szCs w:val="22"/>
        </w:rPr>
        <w:t>CarbonNet has applied these principles to its stakeholder engagement since its inception in 2009, and has methodically recorded its engagement activities in the project’s consultation database (</w:t>
      </w:r>
      <w:r w:rsidRPr="00073385">
        <w:rPr>
          <w:rFonts w:ascii="Arial" w:hAnsi="Arial"/>
          <w:sz w:val="22"/>
          <w:szCs w:val="22"/>
        </w:rPr>
        <w:t xml:space="preserve">see </w:t>
      </w:r>
      <w:r w:rsidR="004270B8">
        <w:rPr>
          <w:rFonts w:ascii="Arial" w:hAnsi="Arial"/>
          <w:sz w:val="22"/>
          <w:szCs w:val="22"/>
        </w:rPr>
        <w:t>Section 4.4.3</w:t>
      </w:r>
      <w:r w:rsidRPr="00073385">
        <w:rPr>
          <w:rFonts w:ascii="Arial" w:hAnsi="Arial"/>
          <w:sz w:val="22"/>
          <w:szCs w:val="22"/>
        </w:rPr>
        <w:t>).</w:t>
      </w:r>
    </w:p>
    <w:p w14:paraId="75BBD74E" w14:textId="77777777" w:rsidR="00073385" w:rsidRDefault="00073385" w:rsidP="00073385">
      <w:pPr>
        <w:pStyle w:val="bodycopy"/>
        <w:rPr>
          <w:rFonts w:ascii="Arial" w:hAnsi="Arial"/>
          <w:sz w:val="22"/>
          <w:szCs w:val="22"/>
        </w:rPr>
      </w:pPr>
      <w:r>
        <w:rPr>
          <w:rFonts w:ascii="Arial" w:hAnsi="Arial"/>
          <w:sz w:val="22"/>
          <w:szCs w:val="22"/>
        </w:rPr>
        <w:t>The</w:t>
      </w:r>
      <w:r w:rsidRPr="00BF0BED">
        <w:rPr>
          <w:rFonts w:ascii="Arial" w:hAnsi="Arial"/>
          <w:sz w:val="22"/>
          <w:szCs w:val="22"/>
        </w:rPr>
        <w:t xml:space="preserve"> </w:t>
      </w:r>
      <w:r>
        <w:rPr>
          <w:rFonts w:ascii="Arial" w:hAnsi="Arial"/>
          <w:sz w:val="22"/>
          <w:szCs w:val="22"/>
        </w:rPr>
        <w:t xml:space="preserve">MSS </w:t>
      </w:r>
      <w:r w:rsidRPr="00BF0BED">
        <w:rPr>
          <w:rFonts w:ascii="Arial" w:hAnsi="Arial"/>
          <w:sz w:val="22"/>
          <w:szCs w:val="22"/>
        </w:rPr>
        <w:t xml:space="preserve">will include four main phases of stakeholder engagement, </w:t>
      </w:r>
      <w:r>
        <w:rPr>
          <w:rFonts w:ascii="Arial" w:hAnsi="Arial"/>
          <w:sz w:val="22"/>
          <w:szCs w:val="22"/>
        </w:rPr>
        <w:t xml:space="preserve">these being: </w:t>
      </w:r>
    </w:p>
    <w:p w14:paraId="423FB2E3" w14:textId="77777777" w:rsidR="00073385" w:rsidRDefault="00073385" w:rsidP="00073385">
      <w:pPr>
        <w:pStyle w:val="bodycopy"/>
        <w:numPr>
          <w:ilvl w:val="0"/>
          <w:numId w:val="450"/>
        </w:numPr>
        <w:rPr>
          <w:rFonts w:ascii="Arial" w:hAnsi="Arial"/>
          <w:sz w:val="22"/>
          <w:szCs w:val="22"/>
        </w:rPr>
      </w:pPr>
      <w:r>
        <w:rPr>
          <w:rFonts w:ascii="Arial" w:hAnsi="Arial"/>
          <w:sz w:val="22"/>
          <w:szCs w:val="22"/>
        </w:rPr>
        <w:t>P</w:t>
      </w:r>
      <w:r w:rsidRPr="00BF0BED">
        <w:rPr>
          <w:rFonts w:ascii="Arial" w:hAnsi="Arial"/>
          <w:sz w:val="22"/>
          <w:szCs w:val="22"/>
        </w:rPr>
        <w:t>lanning and conducting engagement activities until the EPs are approved by Victorian and Commonwealth regulators</w:t>
      </w:r>
      <w:r>
        <w:rPr>
          <w:rFonts w:ascii="Arial" w:hAnsi="Arial"/>
          <w:sz w:val="22"/>
          <w:szCs w:val="22"/>
        </w:rPr>
        <w:t xml:space="preserve">; </w:t>
      </w:r>
    </w:p>
    <w:p w14:paraId="20BE895B" w14:textId="77777777" w:rsidR="00073385" w:rsidRDefault="00073385" w:rsidP="00073385">
      <w:pPr>
        <w:pStyle w:val="bodycopy"/>
        <w:numPr>
          <w:ilvl w:val="0"/>
          <w:numId w:val="450"/>
        </w:numPr>
        <w:rPr>
          <w:rFonts w:ascii="Arial" w:hAnsi="Arial"/>
          <w:sz w:val="22"/>
          <w:szCs w:val="22"/>
        </w:rPr>
      </w:pPr>
      <w:r>
        <w:rPr>
          <w:rFonts w:ascii="Arial" w:hAnsi="Arial"/>
          <w:sz w:val="22"/>
          <w:szCs w:val="22"/>
        </w:rPr>
        <w:t>P</w:t>
      </w:r>
      <w:r w:rsidRPr="00BF0BED">
        <w:rPr>
          <w:rFonts w:ascii="Arial" w:hAnsi="Arial"/>
          <w:sz w:val="22"/>
          <w:szCs w:val="22"/>
        </w:rPr>
        <w:t>re-mobilisation communications</w:t>
      </w:r>
      <w:r>
        <w:rPr>
          <w:rFonts w:ascii="Arial" w:hAnsi="Arial"/>
          <w:sz w:val="22"/>
          <w:szCs w:val="22"/>
        </w:rPr>
        <w:t>;</w:t>
      </w:r>
      <w:r w:rsidRPr="00BF0BED">
        <w:rPr>
          <w:rFonts w:ascii="Arial" w:hAnsi="Arial"/>
          <w:sz w:val="22"/>
          <w:szCs w:val="22"/>
        </w:rPr>
        <w:t xml:space="preserve"> </w:t>
      </w:r>
    </w:p>
    <w:p w14:paraId="48A82832" w14:textId="77777777" w:rsidR="00073385" w:rsidRDefault="00073385" w:rsidP="00073385">
      <w:pPr>
        <w:pStyle w:val="bodycopy"/>
        <w:numPr>
          <w:ilvl w:val="0"/>
          <w:numId w:val="450"/>
        </w:numPr>
        <w:rPr>
          <w:rFonts w:ascii="Arial" w:hAnsi="Arial"/>
          <w:sz w:val="22"/>
          <w:szCs w:val="22"/>
        </w:rPr>
      </w:pPr>
      <w:r>
        <w:rPr>
          <w:rFonts w:ascii="Arial" w:hAnsi="Arial"/>
          <w:sz w:val="22"/>
          <w:szCs w:val="22"/>
        </w:rPr>
        <w:t>C</w:t>
      </w:r>
      <w:r w:rsidRPr="00BF0BED">
        <w:rPr>
          <w:rFonts w:ascii="Arial" w:hAnsi="Arial"/>
          <w:sz w:val="22"/>
          <w:szCs w:val="22"/>
        </w:rPr>
        <w:t>ommunications during the survey</w:t>
      </w:r>
      <w:r>
        <w:rPr>
          <w:rFonts w:ascii="Arial" w:hAnsi="Arial"/>
          <w:sz w:val="22"/>
          <w:szCs w:val="22"/>
        </w:rPr>
        <w:t>;</w:t>
      </w:r>
      <w:r w:rsidRPr="00BF0BED">
        <w:rPr>
          <w:rFonts w:ascii="Arial" w:hAnsi="Arial"/>
          <w:sz w:val="22"/>
          <w:szCs w:val="22"/>
        </w:rPr>
        <w:t xml:space="preserve"> and </w:t>
      </w:r>
    </w:p>
    <w:p w14:paraId="761AF295" w14:textId="77777777" w:rsidR="00073385" w:rsidRDefault="00073385" w:rsidP="00073385">
      <w:pPr>
        <w:pStyle w:val="bodycopy"/>
        <w:numPr>
          <w:ilvl w:val="0"/>
          <w:numId w:val="450"/>
        </w:numPr>
        <w:rPr>
          <w:rFonts w:ascii="Arial" w:hAnsi="Arial"/>
          <w:sz w:val="22"/>
          <w:szCs w:val="22"/>
        </w:rPr>
      </w:pPr>
      <w:r>
        <w:rPr>
          <w:rFonts w:ascii="Arial" w:hAnsi="Arial"/>
          <w:sz w:val="22"/>
          <w:szCs w:val="22"/>
        </w:rPr>
        <w:t xml:space="preserve">Community survey results </w:t>
      </w:r>
      <w:r w:rsidRPr="00BF0BED">
        <w:rPr>
          <w:rFonts w:ascii="Arial" w:hAnsi="Arial"/>
          <w:sz w:val="22"/>
          <w:szCs w:val="22"/>
        </w:rPr>
        <w:t xml:space="preserve">after the survey </w:t>
      </w:r>
      <w:r>
        <w:rPr>
          <w:rFonts w:ascii="Arial" w:hAnsi="Arial"/>
          <w:sz w:val="22"/>
          <w:szCs w:val="22"/>
        </w:rPr>
        <w:t>is completed</w:t>
      </w:r>
      <w:r w:rsidRPr="00BF0BED">
        <w:rPr>
          <w:rFonts w:ascii="Arial" w:hAnsi="Arial"/>
          <w:sz w:val="22"/>
          <w:szCs w:val="22"/>
        </w:rPr>
        <w:t xml:space="preserve">. </w:t>
      </w:r>
    </w:p>
    <w:p w14:paraId="02D937F7" w14:textId="77777777" w:rsidR="00073385" w:rsidRPr="00BF0BED" w:rsidRDefault="00073385" w:rsidP="00073385">
      <w:pPr>
        <w:pStyle w:val="bodycopy"/>
        <w:rPr>
          <w:rFonts w:ascii="Arial" w:hAnsi="Arial"/>
          <w:sz w:val="22"/>
          <w:szCs w:val="22"/>
        </w:rPr>
      </w:pPr>
      <w:r w:rsidRPr="00BF0BED">
        <w:rPr>
          <w:rFonts w:ascii="Arial" w:hAnsi="Arial"/>
          <w:sz w:val="22"/>
          <w:szCs w:val="22"/>
        </w:rPr>
        <w:t>Additional periods of engagement and communications activities may be required, depending on the needs of the project and feedback from consultation.</w:t>
      </w:r>
    </w:p>
    <w:p w14:paraId="6244BF8B" w14:textId="792153E0" w:rsidR="00073385" w:rsidRPr="00BF0BED" w:rsidRDefault="00073385" w:rsidP="00F9361D">
      <w:pPr>
        <w:pStyle w:val="bodycopy"/>
        <w:rPr>
          <w:rFonts w:ascii="Arial" w:hAnsi="Arial"/>
          <w:sz w:val="22"/>
          <w:szCs w:val="22"/>
        </w:rPr>
      </w:pPr>
      <w:r w:rsidRPr="00BF0BED">
        <w:rPr>
          <w:rFonts w:ascii="Arial" w:hAnsi="Arial"/>
          <w:sz w:val="22"/>
          <w:szCs w:val="22"/>
        </w:rPr>
        <w:t xml:space="preserve">An initial overview of the proposed activities </w:t>
      </w:r>
      <w:r>
        <w:rPr>
          <w:rFonts w:ascii="Arial" w:hAnsi="Arial"/>
          <w:sz w:val="22"/>
          <w:szCs w:val="22"/>
        </w:rPr>
        <w:t>was</w:t>
      </w:r>
      <w:r w:rsidRPr="00BF0BED">
        <w:rPr>
          <w:rFonts w:ascii="Arial" w:hAnsi="Arial"/>
          <w:sz w:val="22"/>
          <w:szCs w:val="22"/>
        </w:rPr>
        <w:t xml:space="preserve"> provided to relevant stakeholders (including key fishing associations) </w:t>
      </w:r>
      <w:r>
        <w:rPr>
          <w:rFonts w:ascii="Arial" w:hAnsi="Arial"/>
          <w:sz w:val="22"/>
          <w:szCs w:val="22"/>
        </w:rPr>
        <w:t>in March 2017</w:t>
      </w:r>
      <w:r w:rsidRPr="00BF0BED">
        <w:rPr>
          <w:rFonts w:ascii="Arial" w:hAnsi="Arial"/>
          <w:sz w:val="22"/>
          <w:szCs w:val="22"/>
        </w:rPr>
        <w:t xml:space="preserve">. Initial contact </w:t>
      </w:r>
      <w:r>
        <w:rPr>
          <w:rFonts w:ascii="Arial" w:hAnsi="Arial"/>
          <w:sz w:val="22"/>
          <w:szCs w:val="22"/>
        </w:rPr>
        <w:t xml:space="preserve">was </w:t>
      </w:r>
      <w:r w:rsidRPr="00BF0BED">
        <w:rPr>
          <w:rFonts w:ascii="Arial" w:hAnsi="Arial"/>
          <w:sz w:val="22"/>
          <w:szCs w:val="22"/>
        </w:rPr>
        <w:t xml:space="preserve">via a letter and information sheet that </w:t>
      </w:r>
      <w:r>
        <w:rPr>
          <w:rFonts w:ascii="Arial" w:hAnsi="Arial"/>
          <w:sz w:val="22"/>
          <w:szCs w:val="22"/>
        </w:rPr>
        <w:t xml:space="preserve">was </w:t>
      </w:r>
      <w:r w:rsidRPr="00BF0BED">
        <w:rPr>
          <w:rFonts w:ascii="Arial" w:hAnsi="Arial"/>
          <w:sz w:val="22"/>
          <w:szCs w:val="22"/>
        </w:rPr>
        <w:t xml:space="preserve">both emailed and sent in hard copy. This </w:t>
      </w:r>
      <w:r>
        <w:rPr>
          <w:rFonts w:ascii="Arial" w:hAnsi="Arial"/>
          <w:sz w:val="22"/>
          <w:szCs w:val="22"/>
        </w:rPr>
        <w:t>formed the b</w:t>
      </w:r>
      <w:r w:rsidRPr="00BF0BED">
        <w:rPr>
          <w:rFonts w:ascii="Arial" w:hAnsi="Arial"/>
          <w:sz w:val="22"/>
          <w:szCs w:val="22"/>
        </w:rPr>
        <w:t xml:space="preserve">asis for consultation. </w:t>
      </w:r>
      <w:r>
        <w:rPr>
          <w:rFonts w:ascii="Arial" w:hAnsi="Arial"/>
          <w:sz w:val="22"/>
          <w:szCs w:val="22"/>
        </w:rPr>
        <w:t xml:space="preserve">Stakeholders who had not responded within </w:t>
      </w:r>
      <w:r w:rsidR="00F9361D">
        <w:rPr>
          <w:rFonts w:ascii="Arial" w:hAnsi="Arial"/>
          <w:sz w:val="22"/>
          <w:szCs w:val="22"/>
        </w:rPr>
        <w:t>a month</w:t>
      </w:r>
      <w:r>
        <w:rPr>
          <w:rFonts w:ascii="Arial" w:hAnsi="Arial"/>
          <w:sz w:val="22"/>
          <w:szCs w:val="22"/>
        </w:rPr>
        <w:t xml:space="preserve"> were </w:t>
      </w:r>
      <w:r w:rsidRPr="00BF0BED">
        <w:rPr>
          <w:rFonts w:ascii="Arial" w:hAnsi="Arial"/>
          <w:sz w:val="22"/>
          <w:szCs w:val="22"/>
        </w:rPr>
        <w:t>c</w:t>
      </w:r>
      <w:r>
        <w:rPr>
          <w:rFonts w:ascii="Arial" w:hAnsi="Arial"/>
          <w:sz w:val="22"/>
          <w:szCs w:val="22"/>
        </w:rPr>
        <w:t xml:space="preserve">ontacted by phone and/or email. </w:t>
      </w:r>
      <w:r w:rsidRPr="00BF0BED">
        <w:rPr>
          <w:rFonts w:ascii="Arial" w:hAnsi="Arial"/>
          <w:sz w:val="22"/>
          <w:szCs w:val="22"/>
        </w:rPr>
        <w:t xml:space="preserve">Further information </w:t>
      </w:r>
      <w:r>
        <w:rPr>
          <w:rFonts w:ascii="Arial" w:hAnsi="Arial"/>
          <w:sz w:val="22"/>
          <w:szCs w:val="22"/>
        </w:rPr>
        <w:t xml:space="preserve">was provided to stakeholders </w:t>
      </w:r>
      <w:r w:rsidRPr="00BF0BED">
        <w:rPr>
          <w:rFonts w:ascii="Arial" w:hAnsi="Arial"/>
          <w:sz w:val="22"/>
          <w:szCs w:val="22"/>
        </w:rPr>
        <w:t xml:space="preserve">based upon identified issues and concerns. </w:t>
      </w:r>
    </w:p>
    <w:p w14:paraId="027515EA" w14:textId="0E9BA94C" w:rsidR="00073385" w:rsidRDefault="00073385" w:rsidP="00073385">
      <w:pPr>
        <w:pStyle w:val="bodycopy"/>
        <w:rPr>
          <w:rFonts w:ascii="Arial" w:hAnsi="Arial"/>
          <w:sz w:val="22"/>
          <w:szCs w:val="22"/>
        </w:rPr>
      </w:pPr>
      <w:r>
        <w:rPr>
          <w:rFonts w:ascii="Arial" w:hAnsi="Arial"/>
          <w:sz w:val="22"/>
          <w:szCs w:val="22"/>
        </w:rPr>
        <w:t xml:space="preserve">As part of preparing the SEP, CarbonNet consulted with the Victorian fishery regulator (the Victorian </w:t>
      </w:r>
      <w:r w:rsidRPr="00BF0BED">
        <w:rPr>
          <w:rFonts w:ascii="Arial" w:hAnsi="Arial"/>
          <w:sz w:val="22"/>
          <w:szCs w:val="22"/>
        </w:rPr>
        <w:t xml:space="preserve">Fisheries </w:t>
      </w:r>
      <w:r>
        <w:rPr>
          <w:rFonts w:ascii="Arial" w:hAnsi="Arial"/>
          <w:sz w:val="22"/>
          <w:szCs w:val="22"/>
        </w:rPr>
        <w:t xml:space="preserve">Authority, VFA) to assist with stakeholder identification and to understand the status of fisheries in the MSS area. </w:t>
      </w:r>
      <w:r w:rsidRPr="00BF0BED">
        <w:rPr>
          <w:rFonts w:ascii="Arial" w:hAnsi="Arial"/>
          <w:sz w:val="22"/>
          <w:szCs w:val="22"/>
        </w:rPr>
        <w:t xml:space="preserve">This </w:t>
      </w:r>
      <w:r>
        <w:rPr>
          <w:rFonts w:ascii="Arial" w:hAnsi="Arial"/>
          <w:sz w:val="22"/>
          <w:szCs w:val="22"/>
        </w:rPr>
        <w:t xml:space="preserve">was </w:t>
      </w:r>
      <w:r w:rsidRPr="00BF0BED">
        <w:rPr>
          <w:rFonts w:ascii="Arial" w:hAnsi="Arial"/>
          <w:sz w:val="22"/>
          <w:szCs w:val="22"/>
        </w:rPr>
        <w:t xml:space="preserve">followed by engagement with </w:t>
      </w:r>
      <w:r>
        <w:rPr>
          <w:rFonts w:ascii="Arial" w:hAnsi="Arial"/>
          <w:sz w:val="22"/>
          <w:szCs w:val="22"/>
        </w:rPr>
        <w:t>fishing industry associations from March 2017,</w:t>
      </w:r>
      <w:r w:rsidRPr="00BF0BED">
        <w:rPr>
          <w:rFonts w:ascii="Arial" w:hAnsi="Arial"/>
          <w:sz w:val="22"/>
          <w:szCs w:val="22"/>
        </w:rPr>
        <w:t xml:space="preserve"> including </w:t>
      </w:r>
      <w:r>
        <w:rPr>
          <w:rFonts w:ascii="Arial" w:hAnsi="Arial"/>
          <w:sz w:val="22"/>
          <w:szCs w:val="22"/>
        </w:rPr>
        <w:t>Seafood Industry Victoria (SIV), the South East Trawl Fishing Industry Association (SETFIA), the Lakes Entrance Fishermen’s Cooperative (LEFCOL) and the Victorian Scallop Fishermen’s Association (VSFA).</w:t>
      </w:r>
      <w:r w:rsidR="00F9361D">
        <w:rPr>
          <w:rFonts w:ascii="Arial" w:hAnsi="Arial"/>
          <w:sz w:val="22"/>
          <w:szCs w:val="22"/>
        </w:rPr>
        <w:t xml:space="preserve"> </w:t>
      </w:r>
      <w:r>
        <w:rPr>
          <w:rFonts w:ascii="Arial" w:hAnsi="Arial"/>
          <w:sz w:val="22"/>
          <w:szCs w:val="22"/>
        </w:rPr>
        <w:t>The VFA was also used</w:t>
      </w:r>
      <w:r w:rsidRPr="00BF0BED">
        <w:rPr>
          <w:rFonts w:ascii="Arial" w:hAnsi="Arial"/>
          <w:sz w:val="22"/>
          <w:szCs w:val="22"/>
        </w:rPr>
        <w:t xml:space="preserve"> to distribute information on the surv</w:t>
      </w:r>
      <w:r>
        <w:rPr>
          <w:rFonts w:ascii="Arial" w:hAnsi="Arial"/>
          <w:sz w:val="22"/>
          <w:szCs w:val="22"/>
        </w:rPr>
        <w:t xml:space="preserve">ey directly to individual licence holders, which was </w:t>
      </w:r>
      <w:r w:rsidRPr="00BF0BED">
        <w:rPr>
          <w:rFonts w:ascii="Arial" w:hAnsi="Arial"/>
          <w:sz w:val="22"/>
          <w:szCs w:val="22"/>
        </w:rPr>
        <w:t>appropriate as licence holder details are confidential.</w:t>
      </w:r>
    </w:p>
    <w:p w14:paraId="18EF5B08" w14:textId="04BA71E6" w:rsidR="00073385" w:rsidRPr="00D123DD" w:rsidRDefault="00073385" w:rsidP="00F9361D">
      <w:pPr>
        <w:pStyle w:val="bodycopy"/>
        <w:jc w:val="both"/>
        <w:rPr>
          <w:rFonts w:ascii="Arial" w:hAnsi="Arial"/>
          <w:sz w:val="22"/>
          <w:szCs w:val="22"/>
        </w:rPr>
      </w:pPr>
      <w:r w:rsidRPr="00D123DD">
        <w:rPr>
          <w:rFonts w:ascii="Arial" w:hAnsi="Arial"/>
          <w:sz w:val="22"/>
          <w:szCs w:val="22"/>
        </w:rPr>
        <w:t xml:space="preserve">In planning and delivering CarbonNet’s current communications and stakeholder engagement activities, the </w:t>
      </w:r>
      <w:r>
        <w:rPr>
          <w:rFonts w:ascii="Arial" w:hAnsi="Arial"/>
          <w:sz w:val="22"/>
          <w:szCs w:val="22"/>
        </w:rPr>
        <w:t xml:space="preserve">CarbonNet </w:t>
      </w:r>
      <w:r w:rsidRPr="00D123DD">
        <w:rPr>
          <w:rFonts w:ascii="Arial" w:hAnsi="Arial"/>
          <w:sz w:val="22"/>
          <w:szCs w:val="22"/>
        </w:rPr>
        <w:t>project team is supported by the team’s Stakeholder Engagement Coordinator.</w:t>
      </w:r>
    </w:p>
    <w:p w14:paraId="3183F216" w14:textId="77777777" w:rsidR="00073385" w:rsidRDefault="00073385" w:rsidP="00073385">
      <w:pPr>
        <w:pStyle w:val="Heading3"/>
      </w:pPr>
      <w:bookmarkStart w:id="103" w:name="_Toc342847410"/>
      <w:bookmarkStart w:id="104" w:name="_Toc474221976"/>
      <w:bookmarkStart w:id="105" w:name="_Toc349230349"/>
      <w:bookmarkStart w:id="106" w:name="_Toc479318090"/>
      <w:bookmarkStart w:id="107" w:name="_Toc479763957"/>
      <w:bookmarkStart w:id="108" w:name="_Toc375214527"/>
      <w:r>
        <w:t>Engagement Methodology</w:t>
      </w:r>
      <w:bookmarkEnd w:id="103"/>
      <w:bookmarkEnd w:id="104"/>
      <w:bookmarkEnd w:id="105"/>
      <w:bookmarkEnd w:id="106"/>
      <w:bookmarkEnd w:id="107"/>
      <w:bookmarkEnd w:id="108"/>
    </w:p>
    <w:p w14:paraId="2DEB07F7" w14:textId="77777777" w:rsidR="00073385" w:rsidRPr="00D123DD" w:rsidRDefault="00073385" w:rsidP="00073385">
      <w:pPr>
        <w:pStyle w:val="bodycopy"/>
        <w:rPr>
          <w:rFonts w:ascii="Arial" w:hAnsi="Arial"/>
          <w:sz w:val="22"/>
          <w:szCs w:val="22"/>
        </w:rPr>
      </w:pPr>
      <w:r w:rsidRPr="00D123DD">
        <w:rPr>
          <w:rFonts w:ascii="Arial" w:hAnsi="Arial"/>
          <w:sz w:val="22"/>
          <w:szCs w:val="22"/>
        </w:rPr>
        <w:t>A range of stakeholder engagement and communications methods and tools have been used throughout the engagement process, including (but not limited to) the following:</w:t>
      </w:r>
    </w:p>
    <w:p w14:paraId="2C9D5DA2" w14:textId="77777777" w:rsidR="00073385" w:rsidRPr="00D123DD" w:rsidRDefault="00073385" w:rsidP="00073385">
      <w:pPr>
        <w:pStyle w:val="bodycopy"/>
        <w:numPr>
          <w:ilvl w:val="0"/>
          <w:numId w:val="105"/>
        </w:numPr>
        <w:jc w:val="both"/>
        <w:rPr>
          <w:rFonts w:ascii="Arial" w:hAnsi="Arial"/>
          <w:sz w:val="22"/>
          <w:szCs w:val="22"/>
        </w:rPr>
      </w:pPr>
      <w:r w:rsidRPr="00D123DD">
        <w:rPr>
          <w:rFonts w:ascii="Arial" w:hAnsi="Arial"/>
          <w:sz w:val="22"/>
          <w:szCs w:val="22"/>
        </w:rPr>
        <w:t>Face-to-face meetings;</w:t>
      </w:r>
    </w:p>
    <w:p w14:paraId="2C1DCD98" w14:textId="77777777" w:rsidR="00073385" w:rsidRDefault="00073385" w:rsidP="00073385">
      <w:pPr>
        <w:pStyle w:val="bodycopy"/>
        <w:numPr>
          <w:ilvl w:val="0"/>
          <w:numId w:val="105"/>
        </w:numPr>
        <w:jc w:val="both"/>
        <w:rPr>
          <w:rFonts w:ascii="Arial" w:hAnsi="Arial"/>
          <w:sz w:val="22"/>
          <w:szCs w:val="22"/>
        </w:rPr>
      </w:pPr>
      <w:r w:rsidRPr="00D123DD">
        <w:rPr>
          <w:rFonts w:ascii="Arial" w:hAnsi="Arial"/>
          <w:sz w:val="22"/>
          <w:szCs w:val="22"/>
        </w:rPr>
        <w:t>Letters;</w:t>
      </w:r>
    </w:p>
    <w:p w14:paraId="0E650D79" w14:textId="77777777" w:rsidR="00073385" w:rsidRPr="00D123DD" w:rsidRDefault="00073385" w:rsidP="00073385">
      <w:pPr>
        <w:pStyle w:val="bodycopy"/>
        <w:numPr>
          <w:ilvl w:val="0"/>
          <w:numId w:val="105"/>
        </w:numPr>
        <w:jc w:val="both"/>
        <w:rPr>
          <w:rFonts w:ascii="Arial" w:hAnsi="Arial"/>
          <w:sz w:val="22"/>
          <w:szCs w:val="22"/>
        </w:rPr>
      </w:pPr>
      <w:r>
        <w:rPr>
          <w:rFonts w:ascii="Arial" w:hAnsi="Arial"/>
          <w:sz w:val="22"/>
          <w:szCs w:val="22"/>
        </w:rPr>
        <w:t>Fact sheet;</w:t>
      </w:r>
    </w:p>
    <w:p w14:paraId="55C298D9" w14:textId="77777777" w:rsidR="00073385" w:rsidRDefault="00073385" w:rsidP="00073385">
      <w:pPr>
        <w:pStyle w:val="bodycopy"/>
        <w:numPr>
          <w:ilvl w:val="0"/>
          <w:numId w:val="105"/>
        </w:numPr>
        <w:jc w:val="both"/>
        <w:rPr>
          <w:rFonts w:ascii="Arial" w:hAnsi="Arial"/>
          <w:sz w:val="22"/>
          <w:szCs w:val="22"/>
        </w:rPr>
      </w:pPr>
      <w:r w:rsidRPr="00D123DD">
        <w:rPr>
          <w:rFonts w:ascii="Arial" w:hAnsi="Arial"/>
          <w:sz w:val="22"/>
          <w:szCs w:val="22"/>
        </w:rPr>
        <w:lastRenderedPageBreak/>
        <w:t>Outgoing phone calls;</w:t>
      </w:r>
    </w:p>
    <w:p w14:paraId="256E9806" w14:textId="77777777" w:rsidR="00073385" w:rsidRPr="00D123DD" w:rsidRDefault="00073385" w:rsidP="00073385">
      <w:pPr>
        <w:pStyle w:val="bodycopy"/>
        <w:numPr>
          <w:ilvl w:val="0"/>
          <w:numId w:val="105"/>
        </w:numPr>
        <w:jc w:val="both"/>
        <w:rPr>
          <w:rFonts w:ascii="Arial" w:hAnsi="Arial"/>
          <w:sz w:val="22"/>
          <w:szCs w:val="22"/>
        </w:rPr>
      </w:pPr>
      <w:r>
        <w:rPr>
          <w:rFonts w:ascii="Arial" w:hAnsi="Arial"/>
          <w:sz w:val="22"/>
          <w:szCs w:val="22"/>
        </w:rPr>
        <w:t>Community Open Day;</w:t>
      </w:r>
    </w:p>
    <w:p w14:paraId="1ECAD3D5" w14:textId="77777777" w:rsidR="00073385" w:rsidRPr="00D123DD" w:rsidRDefault="00073385" w:rsidP="00073385">
      <w:pPr>
        <w:pStyle w:val="bodycopy"/>
        <w:numPr>
          <w:ilvl w:val="0"/>
          <w:numId w:val="105"/>
        </w:numPr>
        <w:jc w:val="both"/>
        <w:rPr>
          <w:rFonts w:ascii="Arial" w:hAnsi="Arial"/>
          <w:sz w:val="22"/>
          <w:szCs w:val="22"/>
        </w:rPr>
      </w:pPr>
      <w:r w:rsidRPr="00D123DD">
        <w:rPr>
          <w:rFonts w:ascii="Arial" w:hAnsi="Arial"/>
          <w:sz w:val="22"/>
          <w:szCs w:val="22"/>
        </w:rPr>
        <w:t>Emails; and</w:t>
      </w:r>
    </w:p>
    <w:p w14:paraId="662D47F3" w14:textId="2F13089A" w:rsidR="00073385" w:rsidRPr="00D123DD" w:rsidRDefault="00073385" w:rsidP="00073385">
      <w:pPr>
        <w:pStyle w:val="bodycopy"/>
        <w:numPr>
          <w:ilvl w:val="0"/>
          <w:numId w:val="105"/>
        </w:numPr>
        <w:rPr>
          <w:rFonts w:ascii="Arial" w:hAnsi="Arial"/>
          <w:sz w:val="22"/>
          <w:szCs w:val="22"/>
        </w:rPr>
      </w:pPr>
      <w:r w:rsidRPr="00D123DD">
        <w:rPr>
          <w:rFonts w:ascii="Arial" w:hAnsi="Arial"/>
          <w:sz w:val="22"/>
          <w:szCs w:val="22"/>
        </w:rPr>
        <w:t>Up-to-date information on the DEDJTR website</w:t>
      </w:r>
      <w:r>
        <w:rPr>
          <w:rFonts w:ascii="Arial" w:hAnsi="Arial"/>
          <w:sz w:val="22"/>
          <w:szCs w:val="22"/>
        </w:rPr>
        <w:t xml:space="preserve"> (</w:t>
      </w:r>
      <w:r w:rsidRPr="00073385">
        <w:rPr>
          <w:rFonts w:ascii="Arial" w:hAnsi="Arial"/>
          <w:sz w:val="22"/>
          <w:szCs w:val="22"/>
          <w:lang w:val="en"/>
        </w:rPr>
        <w:t>http://earthresources.vic.gov.au/carbonnet</w:t>
      </w:r>
      <w:r w:rsidRPr="00D62EEC">
        <w:rPr>
          <w:rStyle w:val="Hyperlink"/>
          <w:color w:val="000000" w:themeColor="text1"/>
          <w:sz w:val="22"/>
          <w:szCs w:val="22"/>
          <w:u w:val="none"/>
          <w:lang w:val="en"/>
        </w:rPr>
        <w:t>)</w:t>
      </w:r>
      <w:r w:rsidRPr="00D62EEC">
        <w:rPr>
          <w:rFonts w:ascii="Arial" w:hAnsi="Arial"/>
          <w:sz w:val="22"/>
          <w:szCs w:val="22"/>
        </w:rPr>
        <w:t>.</w:t>
      </w:r>
    </w:p>
    <w:p w14:paraId="722E309B" w14:textId="55DA650D" w:rsidR="00073385" w:rsidRPr="00D123DD" w:rsidRDefault="00073385" w:rsidP="00D62EEC">
      <w:pPr>
        <w:pStyle w:val="bodycopy"/>
        <w:rPr>
          <w:rFonts w:ascii="Arial" w:hAnsi="Arial"/>
          <w:sz w:val="22"/>
          <w:szCs w:val="22"/>
        </w:rPr>
      </w:pPr>
      <w:r w:rsidRPr="00D123DD">
        <w:rPr>
          <w:rFonts w:ascii="Arial" w:hAnsi="Arial"/>
          <w:sz w:val="22"/>
          <w:szCs w:val="22"/>
        </w:rPr>
        <w:t xml:space="preserve">At the commencement of formal consultation, stakeholders were issued a project </w:t>
      </w:r>
      <w:r>
        <w:rPr>
          <w:rFonts w:ascii="Arial" w:hAnsi="Arial"/>
          <w:sz w:val="22"/>
          <w:szCs w:val="22"/>
        </w:rPr>
        <w:t>fact sheet</w:t>
      </w:r>
      <w:r w:rsidRPr="00D123DD">
        <w:rPr>
          <w:rFonts w:ascii="Arial" w:hAnsi="Arial"/>
          <w:sz w:val="22"/>
          <w:szCs w:val="22"/>
        </w:rPr>
        <w:t xml:space="preserve"> and cover letter in </w:t>
      </w:r>
      <w:r w:rsidRPr="001F6BF5">
        <w:rPr>
          <w:rFonts w:ascii="Arial" w:hAnsi="Arial"/>
          <w:sz w:val="22"/>
          <w:szCs w:val="22"/>
        </w:rPr>
        <w:t>March 2017 by email and post.</w:t>
      </w:r>
    </w:p>
    <w:p w14:paraId="710BA9C2" w14:textId="77777777" w:rsidR="00073385" w:rsidRPr="00D123DD" w:rsidRDefault="00073385" w:rsidP="00073385">
      <w:pPr>
        <w:pStyle w:val="bodycopy"/>
        <w:rPr>
          <w:rFonts w:ascii="Arial" w:hAnsi="Arial"/>
          <w:sz w:val="22"/>
          <w:szCs w:val="22"/>
        </w:rPr>
      </w:pPr>
      <w:r w:rsidRPr="00D123DD">
        <w:rPr>
          <w:rFonts w:ascii="Arial" w:hAnsi="Arial"/>
          <w:sz w:val="22"/>
          <w:szCs w:val="22"/>
        </w:rPr>
        <w:t>The letter invited feedback and offered face-to-face meetings with CarbonNet representatives to formally seek stakeholder views, discuss any issues and concerns and provide an opportunity to ask questions. Meetings also enabled CarbonNet to confirm stakeholders’ functions, activities and interests</w:t>
      </w:r>
      <w:r>
        <w:rPr>
          <w:rFonts w:ascii="Arial" w:hAnsi="Arial"/>
          <w:sz w:val="22"/>
          <w:szCs w:val="22"/>
        </w:rPr>
        <w:t>’</w:t>
      </w:r>
      <w:r w:rsidRPr="00D123DD">
        <w:rPr>
          <w:rFonts w:ascii="Arial" w:hAnsi="Arial"/>
          <w:sz w:val="22"/>
          <w:szCs w:val="22"/>
        </w:rPr>
        <w:t xml:space="preserve"> and to identify further opportunities for engagement. </w:t>
      </w:r>
    </w:p>
    <w:p w14:paraId="677C76A1" w14:textId="77777777" w:rsidR="00073385" w:rsidRDefault="00073385" w:rsidP="00073385">
      <w:pPr>
        <w:pStyle w:val="bodycopy"/>
        <w:rPr>
          <w:rFonts w:ascii="Arial" w:hAnsi="Arial"/>
          <w:sz w:val="22"/>
          <w:szCs w:val="22"/>
        </w:rPr>
      </w:pPr>
      <w:r>
        <w:rPr>
          <w:rFonts w:ascii="Arial" w:hAnsi="Arial"/>
          <w:sz w:val="22"/>
          <w:szCs w:val="22"/>
        </w:rPr>
        <w:t>Overall, CarbonNet has made contact with over 130 individual stakeholders from more than 70 organisations and conducted more than 40 face-to-face meetings with stakeholders to inform the EP (including 14 meetings with fishing industry stakeholders, four meetings with local community groups and a community open day held in Golden Beach). This is in addition to phone calls, emails, letters and briefings.</w:t>
      </w:r>
    </w:p>
    <w:p w14:paraId="2CDFE1C5" w14:textId="77777777" w:rsidR="00073385" w:rsidRPr="00D123DD" w:rsidRDefault="00073385" w:rsidP="00073385">
      <w:pPr>
        <w:pStyle w:val="bodycopy"/>
        <w:rPr>
          <w:rFonts w:ascii="Arial" w:hAnsi="Arial"/>
          <w:sz w:val="22"/>
          <w:szCs w:val="22"/>
        </w:rPr>
      </w:pPr>
      <w:r>
        <w:rPr>
          <w:rFonts w:ascii="Arial" w:hAnsi="Arial"/>
          <w:sz w:val="22"/>
          <w:szCs w:val="22"/>
        </w:rPr>
        <w:t>The Open Day, held in Golden Beach on 12 July 2017, was attended by more than 40 local residents and holiday-makers who were provided with copies of the MSS fact sheet and information about the activity and how it may affect them. Feedback on the day was positive and indicated that the community has significant interest in the project.</w:t>
      </w:r>
    </w:p>
    <w:p w14:paraId="33E58DEB" w14:textId="77777777" w:rsidR="00073385" w:rsidRDefault="00073385" w:rsidP="00073385">
      <w:pPr>
        <w:pStyle w:val="Heading3"/>
      </w:pPr>
      <w:bookmarkStart w:id="109" w:name="_Toc479318091"/>
      <w:bookmarkStart w:id="110" w:name="_Toc479763958"/>
      <w:bookmarkStart w:id="111" w:name="_Toc375214528"/>
      <w:bookmarkStart w:id="112" w:name="_Toc474221977"/>
      <w:bookmarkStart w:id="113" w:name="_Toc349230350"/>
      <w:r>
        <w:t>Record of Stakeholder Engagement</w:t>
      </w:r>
      <w:bookmarkEnd w:id="109"/>
      <w:bookmarkEnd w:id="110"/>
      <w:bookmarkEnd w:id="111"/>
      <w:r>
        <w:t xml:space="preserve"> </w:t>
      </w:r>
      <w:bookmarkEnd w:id="112"/>
      <w:bookmarkEnd w:id="113"/>
    </w:p>
    <w:p w14:paraId="08824EEF" w14:textId="77777777" w:rsidR="00073385" w:rsidRPr="00D62EEC" w:rsidRDefault="00073385" w:rsidP="00D62EEC">
      <w:pPr>
        <w:pStyle w:val="bodycopy"/>
        <w:rPr>
          <w:rFonts w:ascii="Arial" w:hAnsi="Arial"/>
          <w:sz w:val="22"/>
          <w:szCs w:val="22"/>
        </w:rPr>
      </w:pPr>
      <w:r w:rsidRPr="00D62EEC">
        <w:rPr>
          <w:rFonts w:ascii="Arial" w:hAnsi="Arial"/>
          <w:sz w:val="22"/>
          <w:szCs w:val="22"/>
        </w:rPr>
        <w:t>A log of all consulation is recorded in CarbonNet’s consultation database, Consultation Manager™, including any objections and claims about possible adverse impacts of the activity raised by relevant persons. This includs meeting summaries, phone call summaries, logs of emails and letters.</w:t>
      </w:r>
    </w:p>
    <w:p w14:paraId="6458C81A" w14:textId="77777777" w:rsidR="00073385" w:rsidRDefault="00073385" w:rsidP="00073385">
      <w:pPr>
        <w:pStyle w:val="Heading3"/>
      </w:pPr>
      <w:bookmarkStart w:id="114" w:name="_Toc474221978"/>
      <w:bookmarkStart w:id="115" w:name="_Toc349230351"/>
      <w:bookmarkStart w:id="116" w:name="_Toc479318092"/>
      <w:bookmarkStart w:id="117" w:name="_Toc479763959"/>
      <w:bookmarkStart w:id="118" w:name="_Toc375214529"/>
      <w:r>
        <w:t xml:space="preserve">Distribution of Survey Information </w:t>
      </w:r>
      <w:bookmarkEnd w:id="114"/>
      <w:bookmarkEnd w:id="115"/>
      <w:r>
        <w:t xml:space="preserve">to Individual </w:t>
      </w:r>
      <w:r>
        <w:tab/>
        <w:t>Fishing Licence Holders</w:t>
      </w:r>
      <w:bookmarkEnd w:id="116"/>
      <w:bookmarkEnd w:id="117"/>
      <w:bookmarkEnd w:id="118"/>
    </w:p>
    <w:p w14:paraId="3D017140" w14:textId="77777777" w:rsidR="00073385" w:rsidRPr="00D62EEC" w:rsidRDefault="00073385" w:rsidP="00D62EEC">
      <w:pPr>
        <w:pStyle w:val="bodycopy"/>
        <w:rPr>
          <w:rFonts w:ascii="Arial" w:hAnsi="Arial"/>
          <w:sz w:val="22"/>
          <w:szCs w:val="22"/>
        </w:rPr>
      </w:pPr>
      <w:r w:rsidRPr="00D62EEC">
        <w:rPr>
          <w:rFonts w:ascii="Arial" w:hAnsi="Arial"/>
          <w:sz w:val="22"/>
          <w:szCs w:val="22"/>
        </w:rPr>
        <w:t>CarbonNet has consulted with all relevant fishing industry groups who may be present in the area during the survey, and has validated this stakeholder list with the VFA and fishing industry stakeholders. This has included notifying individual fishing licence holders (via VFA) who have catch and effort history within VFA fishing grid cells that overlap the proposed operational area. CarbonNet has not received any responses to the letters that were sent direct to fishing licence holders via VFA.</w:t>
      </w:r>
    </w:p>
    <w:p w14:paraId="0C3B8DA7" w14:textId="77777777" w:rsidR="00073385" w:rsidRPr="00D62EEC" w:rsidRDefault="00073385" w:rsidP="00D62EEC">
      <w:pPr>
        <w:pStyle w:val="bodycopy"/>
        <w:rPr>
          <w:rFonts w:ascii="Arial" w:hAnsi="Arial"/>
          <w:sz w:val="22"/>
          <w:szCs w:val="22"/>
        </w:rPr>
      </w:pPr>
      <w:r w:rsidRPr="00D62EEC">
        <w:rPr>
          <w:rFonts w:ascii="Arial" w:hAnsi="Arial"/>
          <w:sz w:val="22"/>
          <w:szCs w:val="22"/>
        </w:rPr>
        <w:t xml:space="preserve">CarbonNet understands that SIV also distributed a letter to potentially affected fishing licence holders via VFA. The VFA confirmed that this letter went to the same list of nine fishers, two of whom no longer hold a licence. </w:t>
      </w:r>
    </w:p>
    <w:p w14:paraId="5637E45F" w14:textId="77777777" w:rsidR="00073385" w:rsidRPr="00D62EEC" w:rsidRDefault="00073385" w:rsidP="00D62EEC">
      <w:pPr>
        <w:pStyle w:val="bodycopy"/>
        <w:rPr>
          <w:rFonts w:ascii="Arial" w:hAnsi="Arial"/>
          <w:sz w:val="22"/>
          <w:szCs w:val="22"/>
        </w:rPr>
      </w:pPr>
      <w:r w:rsidRPr="00D62EEC">
        <w:rPr>
          <w:rFonts w:ascii="Arial" w:hAnsi="Arial"/>
          <w:sz w:val="22"/>
          <w:szCs w:val="22"/>
        </w:rPr>
        <w:t xml:space="preserve">CarbonNet held meetings with affected fishing licence holders in Lakes Entrance, Traralgon and Melbourne, who were invited via SIV, VSFA and SETFIA. Scallop fishers made up the majority of attendees at these meetings. </w:t>
      </w:r>
    </w:p>
    <w:p w14:paraId="0B9642EC" w14:textId="77777777" w:rsidR="00073385" w:rsidRPr="00D62EEC" w:rsidRDefault="00073385" w:rsidP="00D62EEC">
      <w:pPr>
        <w:pStyle w:val="bodycopy"/>
        <w:rPr>
          <w:rFonts w:ascii="Arial" w:hAnsi="Arial"/>
          <w:sz w:val="22"/>
          <w:szCs w:val="22"/>
        </w:rPr>
      </w:pPr>
      <w:r w:rsidRPr="00D62EEC">
        <w:rPr>
          <w:rFonts w:ascii="Arial" w:hAnsi="Arial"/>
          <w:sz w:val="22"/>
          <w:szCs w:val="22"/>
        </w:rPr>
        <w:t>CarbonNet will liaise closely with all fishing industry organisations to notify their members of when the MSS will take place, and has offered to meet any reasonable costs for those organisations to do so. To date, this offer has been taken up by SETFIA, with whom CarbonNet has a contract to notify the trawl fishing fleet.</w:t>
      </w:r>
    </w:p>
    <w:p w14:paraId="62B6B472" w14:textId="77777777" w:rsidR="00073385" w:rsidRDefault="00073385" w:rsidP="00073385">
      <w:pPr>
        <w:pStyle w:val="Heading3"/>
      </w:pPr>
      <w:bookmarkStart w:id="119" w:name="_Toc342847411"/>
      <w:bookmarkStart w:id="120" w:name="_Toc474221979"/>
      <w:bookmarkStart w:id="121" w:name="_Toc349230352"/>
      <w:bookmarkStart w:id="122" w:name="_Toc479318093"/>
      <w:bookmarkStart w:id="123" w:name="_Toc479763960"/>
      <w:bookmarkStart w:id="124" w:name="_Toc375214530"/>
      <w:r>
        <w:lastRenderedPageBreak/>
        <w:t>Dedicated Project Email</w:t>
      </w:r>
      <w:bookmarkEnd w:id="119"/>
      <w:bookmarkEnd w:id="120"/>
      <w:bookmarkEnd w:id="121"/>
      <w:r>
        <w:t xml:space="preserve"> and Customer Service </w:t>
      </w:r>
      <w:r>
        <w:tab/>
        <w:t>Centre</w:t>
      </w:r>
      <w:bookmarkEnd w:id="122"/>
      <w:bookmarkEnd w:id="123"/>
      <w:bookmarkEnd w:id="124"/>
    </w:p>
    <w:p w14:paraId="1635568E" w14:textId="2F3A196F" w:rsidR="00073385" w:rsidRPr="00437677" w:rsidRDefault="00073385" w:rsidP="00D62EEC">
      <w:pPr>
        <w:pStyle w:val="bodycopy"/>
        <w:rPr>
          <w:rFonts w:ascii="Arial" w:hAnsi="Arial"/>
          <w:sz w:val="22"/>
          <w:szCs w:val="22"/>
        </w:rPr>
      </w:pPr>
      <w:r w:rsidRPr="00437677">
        <w:rPr>
          <w:rFonts w:ascii="Arial" w:hAnsi="Arial"/>
          <w:sz w:val="22"/>
          <w:szCs w:val="22"/>
        </w:rPr>
        <w:t xml:space="preserve">The CarbonNet team has a dedicated email inbox and Departmental Customer Service Centre for all enquiries relating to the project (these details are included on all collateral). </w:t>
      </w:r>
    </w:p>
    <w:p w14:paraId="17463099" w14:textId="77777777" w:rsidR="00073385" w:rsidRPr="00437677" w:rsidRDefault="00073385" w:rsidP="00073385">
      <w:pPr>
        <w:pStyle w:val="bodycopy"/>
        <w:rPr>
          <w:rFonts w:ascii="Arial" w:hAnsi="Arial"/>
          <w:sz w:val="22"/>
          <w:szCs w:val="22"/>
        </w:rPr>
      </w:pPr>
      <w:r w:rsidRPr="00437677">
        <w:rPr>
          <w:rFonts w:ascii="Arial" w:hAnsi="Arial"/>
          <w:sz w:val="22"/>
          <w:szCs w:val="22"/>
        </w:rPr>
        <w:t xml:space="preserve">In addition, all identified stakeholders have been provided with a direct line to the Stakeholder Engagement Coordinator, which </w:t>
      </w:r>
      <w:r>
        <w:rPr>
          <w:rFonts w:ascii="Arial" w:hAnsi="Arial"/>
          <w:sz w:val="22"/>
          <w:szCs w:val="22"/>
        </w:rPr>
        <w:t>is</w:t>
      </w:r>
      <w:r w:rsidRPr="00437677">
        <w:rPr>
          <w:rFonts w:ascii="Arial" w:hAnsi="Arial"/>
          <w:sz w:val="22"/>
          <w:szCs w:val="22"/>
        </w:rPr>
        <w:t xml:space="preserve"> available 24 hours a day, 7 days a week during the activity period.</w:t>
      </w:r>
    </w:p>
    <w:p w14:paraId="7AC31B18" w14:textId="77777777" w:rsidR="00073385" w:rsidRPr="00437677" w:rsidRDefault="00073385" w:rsidP="00073385">
      <w:pPr>
        <w:pStyle w:val="bodycopy"/>
        <w:rPr>
          <w:rFonts w:ascii="Arial" w:hAnsi="Arial"/>
          <w:sz w:val="22"/>
          <w:szCs w:val="22"/>
        </w:rPr>
      </w:pPr>
      <w:r w:rsidRPr="00437677">
        <w:rPr>
          <w:rFonts w:ascii="Arial" w:hAnsi="Arial"/>
          <w:sz w:val="22"/>
          <w:szCs w:val="22"/>
        </w:rPr>
        <w:t>All correspondence and feedback is recorded in Consultation Manager</w:t>
      </w:r>
      <w:r w:rsidRPr="0099754C">
        <w:rPr>
          <w:sz w:val="22"/>
          <w:szCs w:val="22"/>
        </w:rPr>
        <w:t>™</w:t>
      </w:r>
      <w:r>
        <w:rPr>
          <w:rFonts w:ascii="Arial" w:hAnsi="Arial"/>
          <w:sz w:val="22"/>
          <w:szCs w:val="22"/>
        </w:rPr>
        <w:t>.</w:t>
      </w:r>
      <w:r w:rsidRPr="00437677">
        <w:rPr>
          <w:rFonts w:ascii="Arial" w:hAnsi="Arial"/>
          <w:sz w:val="22"/>
          <w:szCs w:val="22"/>
        </w:rPr>
        <w:t xml:space="preserve"> </w:t>
      </w:r>
    </w:p>
    <w:p w14:paraId="29F36CCB" w14:textId="77777777" w:rsidR="00073385" w:rsidRPr="001A182C" w:rsidRDefault="00073385" w:rsidP="00073385">
      <w:pPr>
        <w:pStyle w:val="Heading3"/>
      </w:pPr>
      <w:bookmarkStart w:id="125" w:name="_Toc342847412"/>
      <w:bookmarkStart w:id="126" w:name="_Toc474221980"/>
      <w:bookmarkStart w:id="127" w:name="_Toc349230353"/>
      <w:bookmarkStart w:id="128" w:name="_Toc479318094"/>
      <w:bookmarkStart w:id="129" w:name="_Toc479763961"/>
      <w:bookmarkStart w:id="130" w:name="_Toc375214531"/>
      <w:r>
        <w:t>CarbonNet Website</w:t>
      </w:r>
      <w:bookmarkEnd w:id="125"/>
      <w:bookmarkEnd w:id="126"/>
      <w:bookmarkEnd w:id="127"/>
      <w:bookmarkEnd w:id="128"/>
      <w:bookmarkEnd w:id="129"/>
      <w:bookmarkEnd w:id="130"/>
    </w:p>
    <w:p w14:paraId="7AA171FF" w14:textId="19524B42" w:rsidR="00073385" w:rsidRPr="00437677" w:rsidRDefault="00073385" w:rsidP="00073385">
      <w:pPr>
        <w:pStyle w:val="bodycopy"/>
        <w:rPr>
          <w:rFonts w:ascii="Arial" w:hAnsi="Arial"/>
          <w:sz w:val="22"/>
          <w:szCs w:val="22"/>
        </w:rPr>
      </w:pPr>
      <w:r w:rsidRPr="00437677">
        <w:rPr>
          <w:rFonts w:ascii="Arial" w:hAnsi="Arial"/>
          <w:sz w:val="22"/>
          <w:szCs w:val="22"/>
        </w:rPr>
        <w:t xml:space="preserve">Information on the Pelican 3DMSS, including the </w:t>
      </w:r>
      <w:r>
        <w:rPr>
          <w:rFonts w:ascii="Arial" w:hAnsi="Arial"/>
          <w:sz w:val="22"/>
          <w:szCs w:val="22"/>
        </w:rPr>
        <w:t>fact sheet</w:t>
      </w:r>
      <w:r w:rsidRPr="00437677">
        <w:rPr>
          <w:rFonts w:ascii="Arial" w:hAnsi="Arial"/>
          <w:sz w:val="22"/>
          <w:szCs w:val="22"/>
        </w:rPr>
        <w:t>, has been made available on the CarbonNet website (</w:t>
      </w:r>
      <w:r w:rsidRPr="00073385">
        <w:rPr>
          <w:rFonts w:ascii="Arial" w:hAnsi="Arial"/>
          <w:sz w:val="22"/>
        </w:rPr>
        <w:t>http://earthresources.vic.gov.au/carbonnet</w:t>
      </w:r>
      <w:r>
        <w:rPr>
          <w:rFonts w:ascii="Arial" w:hAnsi="Arial"/>
          <w:sz w:val="22"/>
          <w:szCs w:val="22"/>
        </w:rPr>
        <w:t>)</w:t>
      </w:r>
      <w:r w:rsidRPr="00437677">
        <w:rPr>
          <w:rFonts w:ascii="Arial" w:hAnsi="Arial"/>
          <w:sz w:val="22"/>
          <w:szCs w:val="22"/>
        </w:rPr>
        <w:t xml:space="preserve"> for all interested members of the public to access. Contact information for the team is also available. Flyers prepared for future project milestones (see Section 4.7) will also be made available on the website.</w:t>
      </w:r>
    </w:p>
    <w:p w14:paraId="1E9F4411" w14:textId="77777777" w:rsidR="00073385" w:rsidRPr="00D558AB" w:rsidRDefault="00073385" w:rsidP="00073385">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131" w:name="_Toc479763962"/>
      <w:bookmarkStart w:id="132" w:name="_Toc375214532"/>
      <w:r w:rsidRPr="00D558AB">
        <w:rPr>
          <w:rFonts w:cs="Times New Roman"/>
          <w:iCs w:val="0"/>
          <w:color w:val="064EA8"/>
          <w:szCs w:val="26"/>
          <w:lang w:eastAsia="en-US"/>
        </w:rPr>
        <w:t>Summary of Stakeholder Consultation</w:t>
      </w:r>
      <w:bookmarkEnd w:id="131"/>
      <w:bookmarkEnd w:id="132"/>
    </w:p>
    <w:p w14:paraId="5F030063" w14:textId="1015580F" w:rsidR="00073385" w:rsidRPr="00FF0808" w:rsidRDefault="00073385" w:rsidP="00073385">
      <w:pPr>
        <w:pStyle w:val="bodycopy"/>
        <w:rPr>
          <w:rFonts w:ascii="Arial" w:hAnsi="Arial"/>
          <w:sz w:val="22"/>
          <w:szCs w:val="22"/>
        </w:rPr>
      </w:pPr>
      <w:r w:rsidRPr="00FF0808">
        <w:rPr>
          <w:rFonts w:ascii="Arial" w:hAnsi="Arial"/>
          <w:sz w:val="22"/>
          <w:szCs w:val="22"/>
        </w:rPr>
        <w:t xml:space="preserve">Stakeholder consultation has involved extensive consultation with a broad range of stakeholders, as listed in </w:t>
      </w:r>
      <w:r w:rsidRPr="00073385">
        <w:rPr>
          <w:rFonts w:ascii="Arial" w:hAnsi="Arial"/>
          <w:sz w:val="22"/>
          <w:szCs w:val="22"/>
        </w:rPr>
        <w:t>Table 4.1. The key theme emerging from this consultation was the potential impacts on marine fauna, and in</w:t>
      </w:r>
      <w:r w:rsidR="00D62EEC">
        <w:rPr>
          <w:rFonts w:ascii="Arial" w:hAnsi="Arial"/>
          <w:sz w:val="22"/>
          <w:szCs w:val="22"/>
        </w:rPr>
        <w:t xml:space="preserve"> particular, scallops. Table 4.2</w:t>
      </w:r>
      <w:r w:rsidRPr="00073385">
        <w:rPr>
          <w:rFonts w:ascii="Arial" w:hAnsi="Arial"/>
          <w:sz w:val="22"/>
          <w:szCs w:val="22"/>
        </w:rPr>
        <w:t xml:space="preserve"> </w:t>
      </w:r>
      <w:r w:rsidRPr="00FF0808">
        <w:rPr>
          <w:rFonts w:ascii="Arial" w:hAnsi="Arial"/>
          <w:sz w:val="22"/>
          <w:szCs w:val="22"/>
        </w:rPr>
        <w:t>outlines the key themes and outcomes from this</w:t>
      </w:r>
      <w:r>
        <w:rPr>
          <w:rFonts w:ascii="Arial" w:hAnsi="Arial"/>
          <w:sz w:val="22"/>
          <w:szCs w:val="22"/>
        </w:rPr>
        <w:t>.</w:t>
      </w:r>
      <w:r w:rsidRPr="00FF0808">
        <w:rPr>
          <w:rFonts w:ascii="Arial" w:hAnsi="Arial"/>
          <w:sz w:val="22"/>
          <w:szCs w:val="22"/>
        </w:rPr>
        <w:t xml:space="preserve"> </w:t>
      </w:r>
    </w:p>
    <w:p w14:paraId="74E1B4DB" w14:textId="04FDD6D9" w:rsidR="00073385" w:rsidRDefault="00073385" w:rsidP="00FF6B9A">
      <w:pPr>
        <w:pStyle w:val="bodycopy"/>
        <w:spacing w:after="240"/>
        <w:rPr>
          <w:rFonts w:ascii="Arial" w:hAnsi="Arial"/>
          <w:sz w:val="22"/>
          <w:szCs w:val="22"/>
        </w:rPr>
      </w:pPr>
      <w:r w:rsidRPr="0099754C">
        <w:rPr>
          <w:rFonts w:ascii="Arial" w:hAnsi="Arial"/>
          <w:sz w:val="22"/>
          <w:szCs w:val="22"/>
        </w:rPr>
        <w:t xml:space="preserve">A summary of key stakeholder consultation undertaken to date, together with CarbonNet’s responses and assessment of feedback merits is included </w:t>
      </w:r>
      <w:r w:rsidR="00FF6B9A">
        <w:rPr>
          <w:rFonts w:ascii="Arial" w:hAnsi="Arial"/>
          <w:sz w:val="22"/>
          <w:szCs w:val="22"/>
        </w:rPr>
        <w:t>in Table 4.3</w:t>
      </w:r>
      <w:r w:rsidRPr="00073385">
        <w:rPr>
          <w:rFonts w:ascii="Arial" w:hAnsi="Arial"/>
          <w:sz w:val="22"/>
          <w:szCs w:val="22"/>
        </w:rPr>
        <w:t xml:space="preserve">. This table focuses on stakeholders who have been identified as ‘relevant persons’ </w:t>
      </w:r>
      <w:r w:rsidRPr="0099754C">
        <w:rPr>
          <w:rFonts w:ascii="Arial" w:hAnsi="Arial"/>
          <w:sz w:val="22"/>
          <w:szCs w:val="22"/>
        </w:rPr>
        <w:t xml:space="preserve">whose functions, interests or actives may be affected by the activity. It also includes key stakeholders with whom engagement has taken place to enable CarbonNet to determine whether they are ‘relevant persons’ for the survey. </w:t>
      </w:r>
    </w:p>
    <w:p w14:paraId="64637768" w14:textId="3574B30B" w:rsidR="00073385" w:rsidRPr="0079272D" w:rsidRDefault="00073385" w:rsidP="00073385">
      <w:pPr>
        <w:pStyle w:val="Tableheading-small"/>
        <w:spacing w:after="120"/>
        <w:jc w:val="center"/>
        <w:rPr>
          <w:sz w:val="20"/>
          <w:szCs w:val="20"/>
        </w:rPr>
      </w:pPr>
      <w:r w:rsidRPr="0079272D">
        <w:rPr>
          <w:sz w:val="20"/>
          <w:szCs w:val="20"/>
        </w:rPr>
        <w:t xml:space="preserve">Table </w:t>
      </w:r>
      <w:r>
        <w:rPr>
          <w:sz w:val="20"/>
          <w:szCs w:val="20"/>
        </w:rPr>
        <w:t>4.</w:t>
      </w:r>
      <w:r w:rsidR="00D62EEC">
        <w:rPr>
          <w:sz w:val="20"/>
          <w:szCs w:val="20"/>
        </w:rPr>
        <w:t>2</w:t>
      </w:r>
      <w:r w:rsidRPr="0079272D">
        <w:rPr>
          <w:sz w:val="20"/>
          <w:szCs w:val="20"/>
        </w:rPr>
        <w:t>.</w:t>
      </w:r>
      <w:r w:rsidRPr="0079272D">
        <w:rPr>
          <w:sz w:val="20"/>
          <w:szCs w:val="20"/>
        </w:rPr>
        <w:tab/>
        <w:t>Key themes and outcomes from stakeholder consultation</w:t>
      </w: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526"/>
        <w:gridCol w:w="1559"/>
        <w:gridCol w:w="5437"/>
      </w:tblGrid>
      <w:tr w:rsidR="00073385" w:rsidRPr="001F6BF5" w14:paraId="3E9F1DD0" w14:textId="77777777" w:rsidTr="00891DE1">
        <w:trPr>
          <w:tblHeader/>
        </w:trPr>
        <w:tc>
          <w:tcPr>
            <w:tcW w:w="1526" w:type="dxa"/>
            <w:shd w:val="clear" w:color="auto" w:fill="064EA8"/>
          </w:tcPr>
          <w:p w14:paraId="56E8B855" w14:textId="77777777" w:rsidR="00073385" w:rsidRPr="001F6BF5" w:rsidRDefault="00073385" w:rsidP="00840FDA">
            <w:pPr>
              <w:pStyle w:val="bodycopy"/>
              <w:spacing w:before="60" w:after="60"/>
              <w:rPr>
                <w:rFonts w:ascii="Arial" w:hAnsi="Arial"/>
                <w:color w:val="FFFFFF" w:themeColor="background1"/>
                <w:sz w:val="20"/>
              </w:rPr>
            </w:pPr>
            <w:r w:rsidRPr="001F6BF5">
              <w:rPr>
                <w:rFonts w:ascii="Arial" w:hAnsi="Arial"/>
                <w:color w:val="FFFFFF" w:themeColor="background1"/>
                <w:sz w:val="20"/>
              </w:rPr>
              <w:t>Theme</w:t>
            </w:r>
          </w:p>
        </w:tc>
        <w:tc>
          <w:tcPr>
            <w:tcW w:w="1559" w:type="dxa"/>
            <w:shd w:val="clear" w:color="auto" w:fill="064EA8"/>
          </w:tcPr>
          <w:p w14:paraId="38F46FC5" w14:textId="77777777" w:rsidR="00073385" w:rsidRPr="001F6BF5" w:rsidRDefault="00073385" w:rsidP="00840FDA">
            <w:pPr>
              <w:pStyle w:val="bodycopy"/>
              <w:spacing w:before="60" w:after="60"/>
              <w:rPr>
                <w:rFonts w:ascii="Arial" w:hAnsi="Arial"/>
                <w:color w:val="FFFFFF" w:themeColor="background1"/>
                <w:sz w:val="20"/>
              </w:rPr>
            </w:pPr>
            <w:r>
              <w:rPr>
                <w:rFonts w:ascii="Arial" w:hAnsi="Arial"/>
                <w:color w:val="FFFFFF" w:themeColor="background1"/>
                <w:sz w:val="20"/>
              </w:rPr>
              <w:t>Key s</w:t>
            </w:r>
            <w:r w:rsidRPr="001F6BF5">
              <w:rPr>
                <w:rFonts w:ascii="Arial" w:hAnsi="Arial"/>
                <w:color w:val="FFFFFF" w:themeColor="background1"/>
                <w:sz w:val="20"/>
              </w:rPr>
              <w:t xml:space="preserve">takeholders </w:t>
            </w:r>
          </w:p>
        </w:tc>
        <w:tc>
          <w:tcPr>
            <w:tcW w:w="5437" w:type="dxa"/>
            <w:shd w:val="clear" w:color="auto" w:fill="064EA8"/>
          </w:tcPr>
          <w:p w14:paraId="147098B5" w14:textId="77777777" w:rsidR="00073385" w:rsidRPr="001F6BF5" w:rsidRDefault="00073385" w:rsidP="00840FDA">
            <w:pPr>
              <w:pStyle w:val="bodycopy"/>
              <w:spacing w:before="60" w:after="60"/>
              <w:rPr>
                <w:rFonts w:ascii="Arial" w:hAnsi="Arial"/>
                <w:color w:val="FFFFFF" w:themeColor="background1"/>
                <w:sz w:val="20"/>
              </w:rPr>
            </w:pPr>
            <w:r w:rsidRPr="001F6BF5">
              <w:rPr>
                <w:rFonts w:ascii="Arial" w:hAnsi="Arial"/>
                <w:color w:val="FFFFFF" w:themeColor="background1"/>
                <w:sz w:val="20"/>
              </w:rPr>
              <w:t>Outcomes</w:t>
            </w:r>
          </w:p>
        </w:tc>
      </w:tr>
      <w:tr w:rsidR="00073385" w:rsidRPr="001F6BF5" w14:paraId="1B888785" w14:textId="77777777" w:rsidTr="00891DE1">
        <w:tc>
          <w:tcPr>
            <w:tcW w:w="1526" w:type="dxa"/>
            <w:shd w:val="clear" w:color="auto" w:fill="auto"/>
          </w:tcPr>
          <w:p w14:paraId="79478808" w14:textId="77777777" w:rsidR="00073385" w:rsidRPr="001F6BF5" w:rsidRDefault="00073385" w:rsidP="00840FDA">
            <w:pPr>
              <w:pStyle w:val="bodycopy"/>
              <w:spacing w:before="60" w:after="60"/>
              <w:rPr>
                <w:rFonts w:ascii="Arial" w:hAnsi="Arial"/>
                <w:sz w:val="20"/>
              </w:rPr>
            </w:pPr>
            <w:r>
              <w:rPr>
                <w:rFonts w:ascii="Arial" w:hAnsi="Arial"/>
                <w:sz w:val="20"/>
              </w:rPr>
              <w:t xml:space="preserve">Potential impacts on commercial scallops in the vicinity of the MSS and potential risks to the scallop fishery. </w:t>
            </w:r>
          </w:p>
        </w:tc>
        <w:tc>
          <w:tcPr>
            <w:tcW w:w="1559" w:type="dxa"/>
            <w:shd w:val="clear" w:color="auto" w:fill="auto"/>
          </w:tcPr>
          <w:p w14:paraId="483A8215" w14:textId="77777777" w:rsidR="00073385" w:rsidRPr="001F6BF5" w:rsidRDefault="00073385" w:rsidP="00840FDA">
            <w:pPr>
              <w:pStyle w:val="bodycopy"/>
              <w:spacing w:before="60" w:after="60"/>
              <w:rPr>
                <w:rFonts w:ascii="Arial" w:hAnsi="Arial"/>
                <w:sz w:val="20"/>
              </w:rPr>
            </w:pPr>
            <w:r>
              <w:rPr>
                <w:rFonts w:ascii="Arial" w:hAnsi="Arial"/>
                <w:sz w:val="20"/>
              </w:rPr>
              <w:t>SIV, VSFA, LEFCOL, VFA</w:t>
            </w:r>
          </w:p>
        </w:tc>
        <w:tc>
          <w:tcPr>
            <w:tcW w:w="5437" w:type="dxa"/>
            <w:shd w:val="clear" w:color="auto" w:fill="auto"/>
          </w:tcPr>
          <w:p w14:paraId="0B2FA6CC" w14:textId="38B93361" w:rsidR="00295C8D" w:rsidRDefault="00295C8D" w:rsidP="00073385">
            <w:pPr>
              <w:pStyle w:val="bodycopy"/>
              <w:numPr>
                <w:ilvl w:val="0"/>
                <w:numId w:val="449"/>
              </w:numPr>
              <w:spacing w:before="60" w:after="60"/>
              <w:rPr>
                <w:rFonts w:ascii="Arial" w:hAnsi="Arial"/>
                <w:sz w:val="20"/>
              </w:rPr>
            </w:pPr>
            <w:r>
              <w:rPr>
                <w:rFonts w:ascii="Arial" w:hAnsi="Arial"/>
                <w:sz w:val="20"/>
              </w:rPr>
              <w:t xml:space="preserve">SIV and the VSFA have expressed ongoing </w:t>
            </w:r>
            <w:r w:rsidR="002B4B0F">
              <w:rPr>
                <w:rFonts w:ascii="Arial" w:hAnsi="Arial"/>
                <w:sz w:val="20"/>
              </w:rPr>
              <w:t>concerns about</w:t>
            </w:r>
            <w:r>
              <w:rPr>
                <w:rFonts w:ascii="Arial" w:hAnsi="Arial"/>
                <w:sz w:val="20"/>
              </w:rPr>
              <w:t xml:space="preserve"> the proposed MSS on the basis that it will affect the viability of scallop beds in and around the proposed acquisition area that are (anecdotally) </w:t>
            </w:r>
            <w:r w:rsidR="002B4B0F">
              <w:rPr>
                <w:rFonts w:ascii="Arial" w:hAnsi="Arial"/>
                <w:sz w:val="20"/>
              </w:rPr>
              <w:t xml:space="preserve">in a </w:t>
            </w:r>
            <w:r>
              <w:rPr>
                <w:rFonts w:ascii="Arial" w:hAnsi="Arial"/>
                <w:sz w:val="20"/>
              </w:rPr>
              <w:t>rebuild</w:t>
            </w:r>
            <w:r w:rsidR="002B4B0F">
              <w:rPr>
                <w:rFonts w:ascii="Arial" w:hAnsi="Arial"/>
                <w:sz w:val="20"/>
              </w:rPr>
              <w:t>ing phase after a period of low abundance</w:t>
            </w:r>
            <w:r w:rsidR="00605268">
              <w:rPr>
                <w:rFonts w:ascii="Arial" w:hAnsi="Arial"/>
                <w:sz w:val="20"/>
              </w:rPr>
              <w:t xml:space="preserve">. </w:t>
            </w:r>
            <w:r>
              <w:rPr>
                <w:rFonts w:ascii="Arial" w:hAnsi="Arial"/>
                <w:sz w:val="20"/>
              </w:rPr>
              <w:t xml:space="preserve"> </w:t>
            </w:r>
          </w:p>
          <w:p w14:paraId="53A64DF6" w14:textId="1CEA24E4" w:rsidR="00605268" w:rsidRDefault="00605268" w:rsidP="00073385">
            <w:pPr>
              <w:pStyle w:val="bodycopy"/>
              <w:numPr>
                <w:ilvl w:val="0"/>
                <w:numId w:val="449"/>
              </w:numPr>
              <w:spacing w:before="60" w:after="60"/>
              <w:rPr>
                <w:rFonts w:ascii="Arial" w:hAnsi="Arial"/>
                <w:sz w:val="20"/>
              </w:rPr>
            </w:pPr>
            <w:r>
              <w:rPr>
                <w:rFonts w:ascii="Arial" w:hAnsi="Arial"/>
                <w:sz w:val="20"/>
              </w:rPr>
              <w:t xml:space="preserve">To </w:t>
            </w:r>
            <w:r w:rsidR="002B4B0F">
              <w:rPr>
                <w:rFonts w:ascii="Arial" w:hAnsi="Arial"/>
                <w:sz w:val="20"/>
              </w:rPr>
              <w:t>inform</w:t>
            </w:r>
            <w:r>
              <w:rPr>
                <w:rFonts w:ascii="Arial" w:hAnsi="Arial"/>
                <w:sz w:val="20"/>
              </w:rPr>
              <w:t xml:space="preserve"> the EIA with </w:t>
            </w:r>
            <w:r w:rsidR="002B4B0F">
              <w:rPr>
                <w:rFonts w:ascii="Arial" w:hAnsi="Arial"/>
                <w:sz w:val="20"/>
              </w:rPr>
              <w:t xml:space="preserve">up-to-date data and scientifically-sound data </w:t>
            </w:r>
            <w:r>
              <w:rPr>
                <w:rFonts w:ascii="Arial" w:hAnsi="Arial"/>
                <w:sz w:val="20"/>
              </w:rPr>
              <w:t xml:space="preserve">on the </w:t>
            </w:r>
            <w:r w:rsidR="002B4B0F">
              <w:rPr>
                <w:rFonts w:ascii="Arial" w:hAnsi="Arial"/>
                <w:sz w:val="20"/>
              </w:rPr>
              <w:t xml:space="preserve">potential </w:t>
            </w:r>
            <w:r>
              <w:rPr>
                <w:rFonts w:ascii="Arial" w:hAnsi="Arial"/>
                <w:sz w:val="20"/>
              </w:rPr>
              <w:t xml:space="preserve">presence of </w:t>
            </w:r>
            <w:r w:rsidR="002B4B0F">
              <w:rPr>
                <w:rFonts w:ascii="Arial" w:hAnsi="Arial"/>
                <w:sz w:val="20"/>
              </w:rPr>
              <w:t>species such as scallops</w:t>
            </w:r>
            <w:r>
              <w:rPr>
                <w:rFonts w:ascii="Arial" w:hAnsi="Arial"/>
                <w:sz w:val="20"/>
              </w:rPr>
              <w:t xml:space="preserve">, CarbonNet commissioned a marine habitat assessment of the proposed acquisition area that was undertaken in April 2017. The assessment did not detect beds of commercial scallops. </w:t>
            </w:r>
          </w:p>
          <w:p w14:paraId="079D3E1E" w14:textId="1EE262C8" w:rsidR="00073385" w:rsidRDefault="00073385" w:rsidP="00073385">
            <w:pPr>
              <w:pStyle w:val="bodycopy"/>
              <w:numPr>
                <w:ilvl w:val="0"/>
                <w:numId w:val="449"/>
              </w:numPr>
              <w:spacing w:before="60" w:after="60"/>
              <w:rPr>
                <w:rFonts w:ascii="Arial" w:hAnsi="Arial"/>
                <w:sz w:val="20"/>
              </w:rPr>
            </w:pPr>
            <w:r>
              <w:rPr>
                <w:rFonts w:ascii="Arial" w:hAnsi="Arial"/>
                <w:sz w:val="20"/>
              </w:rPr>
              <w:t>CarbonNet has carefully considered and applied all relevant studies, including Day et al (2016</w:t>
            </w:r>
            <w:r w:rsidR="00631AFC">
              <w:rPr>
                <w:rFonts w:ascii="Arial" w:hAnsi="Arial"/>
                <w:sz w:val="20"/>
              </w:rPr>
              <w:t>a;b</w:t>
            </w:r>
            <w:r>
              <w:rPr>
                <w:rFonts w:ascii="Arial" w:hAnsi="Arial"/>
                <w:sz w:val="20"/>
              </w:rPr>
              <w:t xml:space="preserve">), and commissioned </w:t>
            </w:r>
            <w:r w:rsidR="001A2492">
              <w:rPr>
                <w:rFonts w:ascii="Arial" w:hAnsi="Arial"/>
                <w:sz w:val="20"/>
              </w:rPr>
              <w:t xml:space="preserve">underwater </w:t>
            </w:r>
            <w:r>
              <w:rPr>
                <w:rFonts w:ascii="Arial" w:hAnsi="Arial"/>
                <w:sz w:val="20"/>
              </w:rPr>
              <w:t>sound modelling. The potential impacts to scallop fisheries ha</w:t>
            </w:r>
            <w:r w:rsidR="00631AFC">
              <w:rPr>
                <w:rFonts w:ascii="Arial" w:hAnsi="Arial"/>
                <w:sz w:val="20"/>
              </w:rPr>
              <w:t>ve</w:t>
            </w:r>
            <w:r>
              <w:rPr>
                <w:rFonts w:ascii="Arial" w:hAnsi="Arial"/>
                <w:sz w:val="20"/>
              </w:rPr>
              <w:t xml:space="preserve"> been assessed by CarbonNet as minor.</w:t>
            </w:r>
          </w:p>
          <w:p w14:paraId="3664BA40" w14:textId="4FD02D14" w:rsidR="00073385" w:rsidRDefault="00073385" w:rsidP="00FF6B9A">
            <w:pPr>
              <w:pStyle w:val="bodycopy"/>
              <w:numPr>
                <w:ilvl w:val="0"/>
                <w:numId w:val="449"/>
              </w:numPr>
              <w:spacing w:before="60" w:after="60"/>
              <w:rPr>
                <w:rFonts w:ascii="Arial" w:hAnsi="Arial"/>
                <w:sz w:val="20"/>
              </w:rPr>
            </w:pPr>
            <w:r>
              <w:rPr>
                <w:rFonts w:ascii="Arial" w:hAnsi="Arial"/>
                <w:sz w:val="20"/>
              </w:rPr>
              <w:t xml:space="preserve">In addition to </w:t>
            </w:r>
            <w:r w:rsidR="00605268">
              <w:rPr>
                <w:rFonts w:ascii="Arial" w:hAnsi="Arial"/>
                <w:sz w:val="20"/>
              </w:rPr>
              <w:t>the</w:t>
            </w:r>
            <w:r>
              <w:rPr>
                <w:rFonts w:ascii="Arial" w:hAnsi="Arial"/>
                <w:sz w:val="20"/>
              </w:rPr>
              <w:t xml:space="preserve"> marine environmental habitat assessment conducted in April 2017, CarbonNet will </w:t>
            </w:r>
            <w:r>
              <w:rPr>
                <w:rFonts w:ascii="Arial" w:hAnsi="Arial"/>
                <w:sz w:val="20"/>
              </w:rPr>
              <w:lastRenderedPageBreak/>
              <w:t xml:space="preserve">undertake a further pre- and post-MSS marine habitat assessment, which </w:t>
            </w:r>
            <w:r w:rsidR="00295C8D">
              <w:rPr>
                <w:rFonts w:ascii="Arial" w:hAnsi="Arial"/>
                <w:sz w:val="20"/>
              </w:rPr>
              <w:t xml:space="preserve">CarbonNet is </w:t>
            </w:r>
            <w:r>
              <w:rPr>
                <w:rFonts w:ascii="Arial" w:hAnsi="Arial"/>
                <w:sz w:val="20"/>
              </w:rPr>
              <w:t>design</w:t>
            </w:r>
            <w:r w:rsidR="00FF6B9A">
              <w:rPr>
                <w:rFonts w:ascii="Arial" w:hAnsi="Arial"/>
                <w:sz w:val="20"/>
              </w:rPr>
              <w:t>ing</w:t>
            </w:r>
            <w:r>
              <w:rPr>
                <w:rFonts w:ascii="Arial" w:hAnsi="Arial"/>
                <w:sz w:val="20"/>
              </w:rPr>
              <w:t xml:space="preserve"> in partnership with </w:t>
            </w:r>
            <w:r w:rsidR="00295C8D">
              <w:rPr>
                <w:rFonts w:ascii="Arial" w:hAnsi="Arial"/>
                <w:sz w:val="20"/>
              </w:rPr>
              <w:t xml:space="preserve">fishing </w:t>
            </w:r>
            <w:r>
              <w:rPr>
                <w:rFonts w:ascii="Arial" w:hAnsi="Arial"/>
                <w:sz w:val="20"/>
              </w:rPr>
              <w:t xml:space="preserve">industry </w:t>
            </w:r>
            <w:r w:rsidR="00295C8D">
              <w:rPr>
                <w:rFonts w:ascii="Arial" w:hAnsi="Arial"/>
                <w:sz w:val="20"/>
              </w:rPr>
              <w:t xml:space="preserve">representatives </w:t>
            </w:r>
            <w:r>
              <w:rPr>
                <w:rFonts w:ascii="Arial" w:hAnsi="Arial"/>
                <w:sz w:val="20"/>
              </w:rPr>
              <w:t>and the VFA.</w:t>
            </w:r>
            <w:r w:rsidR="0087109F">
              <w:rPr>
                <w:rFonts w:ascii="Arial" w:hAnsi="Arial"/>
                <w:sz w:val="20"/>
              </w:rPr>
              <w:t xml:space="preserve"> This aims to provide additional certainty regarding the presence or absence of commercial scallops in the proposed acquisition area and surrounds. </w:t>
            </w:r>
          </w:p>
          <w:p w14:paraId="13FD9518" w14:textId="0718CD74" w:rsidR="008C2F08" w:rsidRDefault="008C2F08" w:rsidP="00FF6B9A">
            <w:pPr>
              <w:pStyle w:val="bodycopy"/>
              <w:numPr>
                <w:ilvl w:val="0"/>
                <w:numId w:val="449"/>
              </w:numPr>
              <w:spacing w:before="60" w:after="60"/>
              <w:rPr>
                <w:rFonts w:ascii="Arial" w:hAnsi="Arial"/>
                <w:sz w:val="20"/>
              </w:rPr>
            </w:pPr>
            <w:r>
              <w:rPr>
                <w:rFonts w:ascii="Arial" w:hAnsi="Arial"/>
                <w:sz w:val="20"/>
              </w:rPr>
              <w:t xml:space="preserve">CarbonNet provided extracts from the draft EP </w:t>
            </w:r>
            <w:r w:rsidR="00FF6B9A">
              <w:rPr>
                <w:rFonts w:ascii="Arial" w:hAnsi="Arial"/>
                <w:sz w:val="20"/>
              </w:rPr>
              <w:t>a</w:t>
            </w:r>
            <w:r>
              <w:rPr>
                <w:rFonts w:ascii="Arial" w:hAnsi="Arial"/>
                <w:sz w:val="20"/>
              </w:rPr>
              <w:t xml:space="preserve">nd from the submitted EP </w:t>
            </w:r>
            <w:r w:rsidR="001A2492">
              <w:rPr>
                <w:rFonts w:ascii="Arial" w:hAnsi="Arial"/>
                <w:sz w:val="20"/>
              </w:rPr>
              <w:t xml:space="preserve">to </w:t>
            </w:r>
            <w:r w:rsidR="000E4141">
              <w:rPr>
                <w:rFonts w:ascii="Arial" w:hAnsi="Arial"/>
                <w:sz w:val="20"/>
              </w:rPr>
              <w:t>the fishing industry (</w:t>
            </w:r>
            <w:r w:rsidR="001A2492">
              <w:rPr>
                <w:rFonts w:ascii="Arial" w:hAnsi="Arial"/>
                <w:sz w:val="20"/>
              </w:rPr>
              <w:t>SIV</w:t>
            </w:r>
            <w:r w:rsidR="000E4141">
              <w:rPr>
                <w:rFonts w:ascii="Arial" w:hAnsi="Arial"/>
                <w:sz w:val="20"/>
              </w:rPr>
              <w:t>)</w:t>
            </w:r>
            <w:r w:rsidR="001A2492">
              <w:rPr>
                <w:rFonts w:ascii="Arial" w:hAnsi="Arial"/>
                <w:sz w:val="20"/>
              </w:rPr>
              <w:t xml:space="preserve"> </w:t>
            </w:r>
            <w:r>
              <w:rPr>
                <w:rFonts w:ascii="Arial" w:hAnsi="Arial"/>
                <w:sz w:val="20"/>
              </w:rPr>
              <w:t xml:space="preserve">regarding impacts of underwater sound on scallops and their associated fisheries to enable them to </w:t>
            </w:r>
            <w:r w:rsidR="001A2492">
              <w:rPr>
                <w:rFonts w:ascii="Arial" w:hAnsi="Arial"/>
                <w:sz w:val="20"/>
              </w:rPr>
              <w:t xml:space="preserve">review CarbonNet’s impact and risk assessments and </w:t>
            </w:r>
            <w:r>
              <w:rPr>
                <w:rFonts w:ascii="Arial" w:hAnsi="Arial"/>
                <w:sz w:val="20"/>
              </w:rPr>
              <w:t xml:space="preserve">provide </w:t>
            </w:r>
            <w:r w:rsidR="001A2492">
              <w:rPr>
                <w:rFonts w:ascii="Arial" w:hAnsi="Arial"/>
                <w:sz w:val="20"/>
              </w:rPr>
              <w:t xml:space="preserve">considered </w:t>
            </w:r>
            <w:r>
              <w:rPr>
                <w:rFonts w:ascii="Arial" w:hAnsi="Arial"/>
                <w:sz w:val="20"/>
              </w:rPr>
              <w:t xml:space="preserve">comments. </w:t>
            </w:r>
            <w:r w:rsidR="001A2492">
              <w:rPr>
                <w:rFonts w:ascii="Arial" w:hAnsi="Arial"/>
                <w:sz w:val="20"/>
              </w:rPr>
              <w:t xml:space="preserve"> </w:t>
            </w:r>
            <w:r>
              <w:rPr>
                <w:rFonts w:ascii="Arial" w:hAnsi="Arial"/>
                <w:sz w:val="20"/>
              </w:rPr>
              <w:t xml:space="preserve"> </w:t>
            </w:r>
          </w:p>
          <w:p w14:paraId="5149E950" w14:textId="5209C913" w:rsidR="00073385" w:rsidRPr="001F6BF5" w:rsidRDefault="00073385" w:rsidP="00FF6B9A">
            <w:pPr>
              <w:pStyle w:val="bodycopy"/>
              <w:numPr>
                <w:ilvl w:val="0"/>
                <w:numId w:val="449"/>
              </w:numPr>
              <w:spacing w:before="60" w:after="60"/>
              <w:rPr>
                <w:rFonts w:ascii="Arial" w:hAnsi="Arial"/>
                <w:sz w:val="20"/>
              </w:rPr>
            </w:pPr>
            <w:r>
              <w:rPr>
                <w:rFonts w:ascii="Arial" w:hAnsi="Arial"/>
                <w:sz w:val="20"/>
              </w:rPr>
              <w:t>CarbonNet has contribute</w:t>
            </w:r>
            <w:r w:rsidR="00FF6B9A">
              <w:rPr>
                <w:rFonts w:ascii="Arial" w:hAnsi="Arial"/>
                <w:sz w:val="20"/>
              </w:rPr>
              <w:t>d</w:t>
            </w:r>
            <w:r>
              <w:rPr>
                <w:rFonts w:ascii="Arial" w:hAnsi="Arial"/>
                <w:sz w:val="20"/>
              </w:rPr>
              <w:t xml:space="preserve"> to a whole of Victorian Eastern Scallop Fishery Stock Assessment </w:t>
            </w:r>
            <w:r w:rsidR="00FF6B9A">
              <w:rPr>
                <w:rFonts w:ascii="Arial" w:hAnsi="Arial"/>
                <w:sz w:val="20"/>
              </w:rPr>
              <w:t xml:space="preserve">to be </w:t>
            </w:r>
            <w:r>
              <w:rPr>
                <w:rFonts w:ascii="Arial" w:hAnsi="Arial"/>
                <w:sz w:val="20"/>
              </w:rPr>
              <w:t>undertaken by the VFA and industry</w:t>
            </w:r>
            <w:r w:rsidR="00FF6B9A">
              <w:rPr>
                <w:rFonts w:ascii="Arial" w:hAnsi="Arial"/>
                <w:sz w:val="20"/>
              </w:rPr>
              <w:t xml:space="preserve"> in early 2018</w:t>
            </w:r>
            <w:r>
              <w:rPr>
                <w:rFonts w:ascii="Arial" w:hAnsi="Arial"/>
                <w:sz w:val="20"/>
              </w:rPr>
              <w:t>.</w:t>
            </w:r>
          </w:p>
        </w:tc>
      </w:tr>
      <w:tr w:rsidR="00073385" w:rsidRPr="001F6BF5" w14:paraId="205DCD8F" w14:textId="77777777" w:rsidTr="00891DE1">
        <w:tc>
          <w:tcPr>
            <w:tcW w:w="1526" w:type="dxa"/>
            <w:shd w:val="clear" w:color="auto" w:fill="auto"/>
          </w:tcPr>
          <w:p w14:paraId="5FC3AA8B" w14:textId="77777777" w:rsidR="00073385" w:rsidRPr="001F6BF5" w:rsidRDefault="00073385" w:rsidP="00840FDA">
            <w:pPr>
              <w:pStyle w:val="bodycopy"/>
              <w:spacing w:before="60" w:after="60"/>
              <w:rPr>
                <w:rFonts w:ascii="Arial" w:hAnsi="Arial"/>
                <w:sz w:val="20"/>
              </w:rPr>
            </w:pPr>
            <w:r>
              <w:rPr>
                <w:rFonts w:ascii="Arial" w:hAnsi="Arial"/>
                <w:sz w:val="20"/>
              </w:rPr>
              <w:lastRenderedPageBreak/>
              <w:t>Avoidance of fishing competitions at Golden Beach.</w:t>
            </w:r>
          </w:p>
        </w:tc>
        <w:tc>
          <w:tcPr>
            <w:tcW w:w="1559" w:type="dxa"/>
            <w:shd w:val="clear" w:color="auto" w:fill="auto"/>
          </w:tcPr>
          <w:p w14:paraId="70727D4C" w14:textId="489D20FA" w:rsidR="00073385" w:rsidRPr="001F6BF5" w:rsidRDefault="00F619BE" w:rsidP="00F619BE">
            <w:pPr>
              <w:pStyle w:val="bodycopy"/>
              <w:spacing w:before="60" w:after="60"/>
              <w:rPr>
                <w:rFonts w:ascii="Arial" w:hAnsi="Arial"/>
                <w:sz w:val="20"/>
              </w:rPr>
            </w:pPr>
            <w:r>
              <w:rPr>
                <w:rFonts w:ascii="Arial" w:hAnsi="Arial"/>
                <w:sz w:val="20"/>
              </w:rPr>
              <w:t>GPBRA</w:t>
            </w:r>
            <w:r w:rsidR="00073385">
              <w:rPr>
                <w:rFonts w:ascii="Arial" w:hAnsi="Arial"/>
                <w:sz w:val="20"/>
              </w:rPr>
              <w:t>, Parks Victoria, GLaWAC</w:t>
            </w:r>
          </w:p>
        </w:tc>
        <w:tc>
          <w:tcPr>
            <w:tcW w:w="5437" w:type="dxa"/>
            <w:shd w:val="clear" w:color="auto" w:fill="auto"/>
          </w:tcPr>
          <w:p w14:paraId="4E6431A1" w14:textId="261B2FC5" w:rsidR="0087109F" w:rsidRDefault="0087109F" w:rsidP="00073385">
            <w:pPr>
              <w:pStyle w:val="bodycopy"/>
              <w:numPr>
                <w:ilvl w:val="0"/>
                <w:numId w:val="449"/>
              </w:numPr>
              <w:spacing w:before="60" w:after="60"/>
              <w:rPr>
                <w:rFonts w:ascii="Arial" w:hAnsi="Arial"/>
                <w:sz w:val="20"/>
              </w:rPr>
            </w:pPr>
            <w:r>
              <w:rPr>
                <w:rFonts w:ascii="Arial" w:hAnsi="Arial"/>
                <w:sz w:val="20"/>
              </w:rPr>
              <w:t xml:space="preserve">The </w:t>
            </w:r>
            <w:r w:rsidR="00F619BE">
              <w:rPr>
                <w:rFonts w:ascii="Arial" w:hAnsi="Arial"/>
                <w:sz w:val="20"/>
              </w:rPr>
              <w:t>GPBRA</w:t>
            </w:r>
            <w:r>
              <w:rPr>
                <w:rFonts w:ascii="Arial" w:hAnsi="Arial"/>
                <w:sz w:val="20"/>
              </w:rPr>
              <w:t xml:space="preserve"> has expressed concern that undertaking the MSS immediately prior to or during fishing competitions </w:t>
            </w:r>
            <w:r w:rsidR="00B606E9">
              <w:rPr>
                <w:rFonts w:ascii="Arial" w:hAnsi="Arial"/>
                <w:sz w:val="20"/>
              </w:rPr>
              <w:t xml:space="preserve">(around the Australia Day and Easter long weekends) will mean fish will avoid the area and </w:t>
            </w:r>
            <w:r w:rsidR="002B4B0F">
              <w:rPr>
                <w:rFonts w:ascii="Arial" w:hAnsi="Arial"/>
                <w:sz w:val="20"/>
              </w:rPr>
              <w:t xml:space="preserve">impact on the fishing </w:t>
            </w:r>
            <w:r w:rsidR="00B606E9">
              <w:rPr>
                <w:rFonts w:ascii="Arial" w:hAnsi="Arial"/>
                <w:sz w:val="20"/>
              </w:rPr>
              <w:t xml:space="preserve">competitions (with resultant economic losses to coastal towns). </w:t>
            </w:r>
          </w:p>
          <w:p w14:paraId="7070453E" w14:textId="091E914F" w:rsidR="00073385" w:rsidRDefault="00073385" w:rsidP="00073385">
            <w:pPr>
              <w:pStyle w:val="bodycopy"/>
              <w:numPr>
                <w:ilvl w:val="0"/>
                <w:numId w:val="449"/>
              </w:numPr>
              <w:spacing w:before="60" w:after="60"/>
              <w:rPr>
                <w:rFonts w:ascii="Arial" w:hAnsi="Arial"/>
                <w:sz w:val="20"/>
              </w:rPr>
            </w:pPr>
            <w:r>
              <w:rPr>
                <w:rFonts w:ascii="Arial" w:hAnsi="Arial"/>
                <w:sz w:val="20"/>
              </w:rPr>
              <w:t>CarbonNet has committed to not conducting the MSS between Christmas and Australia Day long weekend (fishing competition) and avoiding the Easter long weekend (fishing competition).</w:t>
            </w:r>
            <w:r w:rsidR="002B4B0F">
              <w:rPr>
                <w:rFonts w:ascii="Arial" w:hAnsi="Arial"/>
                <w:sz w:val="20"/>
              </w:rPr>
              <w:t xml:space="preserve"> CarbonNet has advised it will aim to undertake the MSS in February, subject to vessel availability and weather, in order to minimise impacts on recreational fishing. </w:t>
            </w:r>
          </w:p>
          <w:p w14:paraId="733DAE8A" w14:textId="1E1D47DF" w:rsidR="00AF6683" w:rsidRPr="001F6BF5" w:rsidRDefault="00AF6683" w:rsidP="00073385">
            <w:pPr>
              <w:pStyle w:val="bodycopy"/>
              <w:numPr>
                <w:ilvl w:val="0"/>
                <w:numId w:val="449"/>
              </w:numPr>
              <w:spacing w:before="60" w:after="60"/>
              <w:rPr>
                <w:rFonts w:ascii="Arial" w:hAnsi="Arial"/>
                <w:sz w:val="20"/>
              </w:rPr>
            </w:pPr>
            <w:r>
              <w:rPr>
                <w:rFonts w:ascii="Arial" w:hAnsi="Arial"/>
                <w:sz w:val="20"/>
              </w:rPr>
              <w:t xml:space="preserve">CarbonNet has offered to collaborate with the organisers of the fishing competitions to support their promotion and attendance rates. </w:t>
            </w:r>
          </w:p>
        </w:tc>
      </w:tr>
      <w:tr w:rsidR="00073385" w:rsidRPr="001F6BF5" w14:paraId="5D9CE46E" w14:textId="77777777" w:rsidTr="00891DE1">
        <w:tc>
          <w:tcPr>
            <w:tcW w:w="1526" w:type="dxa"/>
            <w:shd w:val="clear" w:color="auto" w:fill="auto"/>
          </w:tcPr>
          <w:p w14:paraId="49A3B04E" w14:textId="77777777" w:rsidR="00073385" w:rsidRPr="001F6BF5" w:rsidRDefault="00073385" w:rsidP="00840FDA">
            <w:pPr>
              <w:pStyle w:val="bodycopy"/>
              <w:spacing w:before="60" w:after="60"/>
              <w:rPr>
                <w:rFonts w:ascii="Arial" w:hAnsi="Arial"/>
                <w:sz w:val="20"/>
              </w:rPr>
            </w:pPr>
            <w:r>
              <w:rPr>
                <w:rFonts w:ascii="Arial" w:hAnsi="Arial"/>
                <w:sz w:val="20"/>
              </w:rPr>
              <w:t>Potential impacts on other commercial fisheries in the vicinity of the MSS.</w:t>
            </w:r>
          </w:p>
        </w:tc>
        <w:tc>
          <w:tcPr>
            <w:tcW w:w="1559" w:type="dxa"/>
            <w:shd w:val="clear" w:color="auto" w:fill="auto"/>
          </w:tcPr>
          <w:p w14:paraId="27AF7382" w14:textId="77777777" w:rsidR="00073385" w:rsidRPr="001F6BF5" w:rsidRDefault="00073385" w:rsidP="00840FDA">
            <w:pPr>
              <w:pStyle w:val="bodycopy"/>
              <w:spacing w:before="60" w:after="60"/>
              <w:rPr>
                <w:rFonts w:ascii="Arial" w:hAnsi="Arial"/>
                <w:sz w:val="20"/>
              </w:rPr>
            </w:pPr>
            <w:r>
              <w:rPr>
                <w:rFonts w:ascii="Arial" w:hAnsi="Arial"/>
                <w:sz w:val="20"/>
              </w:rPr>
              <w:t>SETFIA, SIV, LEFCOL, SSFAssn, SSIA, VRLA, individual fishing businesses</w:t>
            </w:r>
          </w:p>
        </w:tc>
        <w:tc>
          <w:tcPr>
            <w:tcW w:w="5437" w:type="dxa"/>
            <w:shd w:val="clear" w:color="auto" w:fill="auto"/>
          </w:tcPr>
          <w:p w14:paraId="10EF0D88" w14:textId="2E2EC1F7" w:rsidR="00073385" w:rsidRDefault="00073385" w:rsidP="00073385">
            <w:pPr>
              <w:pStyle w:val="bodycopy"/>
              <w:numPr>
                <w:ilvl w:val="0"/>
                <w:numId w:val="449"/>
              </w:numPr>
              <w:spacing w:before="60" w:after="60"/>
              <w:rPr>
                <w:rFonts w:ascii="Arial" w:hAnsi="Arial"/>
                <w:sz w:val="20"/>
              </w:rPr>
            </w:pPr>
            <w:r>
              <w:rPr>
                <w:rFonts w:ascii="Arial" w:hAnsi="Arial"/>
                <w:sz w:val="20"/>
              </w:rPr>
              <w:t xml:space="preserve">CarbonNet has carefully considered and applied all relevant studies and commissioned sound modelling. The potential </w:t>
            </w:r>
            <w:r w:rsidR="00B606E9">
              <w:rPr>
                <w:rFonts w:ascii="Arial" w:hAnsi="Arial"/>
                <w:sz w:val="20"/>
              </w:rPr>
              <w:t xml:space="preserve">impacts </w:t>
            </w:r>
            <w:r>
              <w:rPr>
                <w:rFonts w:ascii="Arial" w:hAnsi="Arial"/>
                <w:sz w:val="20"/>
              </w:rPr>
              <w:t>to fisheries ha</w:t>
            </w:r>
            <w:r w:rsidR="00B606E9">
              <w:rPr>
                <w:rFonts w:ascii="Arial" w:hAnsi="Arial"/>
                <w:sz w:val="20"/>
              </w:rPr>
              <w:t>ve</w:t>
            </w:r>
            <w:r>
              <w:rPr>
                <w:rFonts w:ascii="Arial" w:hAnsi="Arial"/>
                <w:sz w:val="20"/>
              </w:rPr>
              <w:t xml:space="preserve"> been assessed by CarbonNet as </w:t>
            </w:r>
            <w:r w:rsidR="00B606E9">
              <w:rPr>
                <w:rFonts w:ascii="Arial" w:hAnsi="Arial"/>
                <w:sz w:val="20"/>
              </w:rPr>
              <w:t>minor</w:t>
            </w:r>
            <w:r w:rsidRPr="009F6920">
              <w:rPr>
                <w:rFonts w:ascii="Arial" w:hAnsi="Arial"/>
                <w:sz w:val="20"/>
              </w:rPr>
              <w:t>.</w:t>
            </w:r>
          </w:p>
          <w:p w14:paraId="3DE6E2F0" w14:textId="77777777" w:rsidR="00073385" w:rsidRPr="001F6BF5" w:rsidRDefault="00073385" w:rsidP="00840FDA">
            <w:pPr>
              <w:pStyle w:val="bodycopy"/>
              <w:spacing w:before="60" w:after="60"/>
              <w:rPr>
                <w:rFonts w:ascii="Arial" w:hAnsi="Arial"/>
                <w:sz w:val="20"/>
              </w:rPr>
            </w:pPr>
          </w:p>
        </w:tc>
      </w:tr>
    </w:tbl>
    <w:p w14:paraId="7515F7F0" w14:textId="77777777" w:rsidR="00073385" w:rsidRPr="00D558AB" w:rsidRDefault="00073385" w:rsidP="00073385">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133" w:name="_Toc479763963"/>
      <w:bookmarkStart w:id="134" w:name="_Toc375214533"/>
      <w:r w:rsidRPr="00D558AB">
        <w:rPr>
          <w:rFonts w:cs="Times New Roman"/>
          <w:iCs w:val="0"/>
          <w:color w:val="064EA8"/>
          <w:szCs w:val="26"/>
          <w:lang w:eastAsia="en-US"/>
        </w:rPr>
        <w:t>Ongoing Consultation</w:t>
      </w:r>
      <w:bookmarkEnd w:id="133"/>
      <w:bookmarkEnd w:id="134"/>
    </w:p>
    <w:p w14:paraId="2E9C9E57" w14:textId="577E37B2" w:rsidR="00073385" w:rsidRPr="00FF0808" w:rsidRDefault="00073385" w:rsidP="00073385">
      <w:pPr>
        <w:pStyle w:val="bodycopy"/>
        <w:rPr>
          <w:rFonts w:ascii="Arial" w:hAnsi="Arial"/>
          <w:sz w:val="22"/>
          <w:szCs w:val="22"/>
        </w:rPr>
      </w:pPr>
      <w:r>
        <w:rPr>
          <w:rFonts w:ascii="Arial" w:hAnsi="Arial"/>
          <w:sz w:val="22"/>
          <w:szCs w:val="22"/>
        </w:rPr>
        <w:t xml:space="preserve">From March 2017 to the time of </w:t>
      </w:r>
      <w:r w:rsidR="00B2652B">
        <w:rPr>
          <w:rFonts w:ascii="Arial" w:hAnsi="Arial"/>
          <w:sz w:val="22"/>
          <w:szCs w:val="22"/>
        </w:rPr>
        <w:t xml:space="preserve">original </w:t>
      </w:r>
      <w:r>
        <w:rPr>
          <w:rFonts w:ascii="Arial" w:hAnsi="Arial"/>
          <w:sz w:val="22"/>
          <w:szCs w:val="22"/>
        </w:rPr>
        <w:t>EP submission</w:t>
      </w:r>
      <w:r w:rsidR="00B2652B">
        <w:rPr>
          <w:rFonts w:ascii="Arial" w:hAnsi="Arial"/>
          <w:sz w:val="22"/>
          <w:szCs w:val="22"/>
        </w:rPr>
        <w:t xml:space="preserve"> (18 August 2017)</w:t>
      </w:r>
      <w:r>
        <w:rPr>
          <w:rFonts w:ascii="Arial" w:hAnsi="Arial"/>
          <w:sz w:val="22"/>
          <w:szCs w:val="22"/>
        </w:rPr>
        <w:t xml:space="preserve">, CarbonNet </w:t>
      </w:r>
      <w:r w:rsidR="009D6737">
        <w:rPr>
          <w:rFonts w:ascii="Arial" w:hAnsi="Arial"/>
          <w:sz w:val="22"/>
          <w:szCs w:val="22"/>
        </w:rPr>
        <w:t xml:space="preserve">invested six </w:t>
      </w:r>
      <w:r>
        <w:rPr>
          <w:rFonts w:ascii="Arial" w:hAnsi="Arial"/>
          <w:sz w:val="22"/>
          <w:szCs w:val="22"/>
        </w:rPr>
        <w:t xml:space="preserve">months engaging with its stakeholders. </w:t>
      </w:r>
      <w:r w:rsidR="00B2652B">
        <w:rPr>
          <w:rFonts w:ascii="Arial" w:hAnsi="Arial"/>
          <w:sz w:val="22"/>
          <w:szCs w:val="22"/>
        </w:rPr>
        <w:t xml:space="preserve">Consultation has continued up to the time of EP re-submission. </w:t>
      </w:r>
      <w:r w:rsidRPr="00FF0808">
        <w:rPr>
          <w:rFonts w:ascii="Arial" w:hAnsi="Arial"/>
          <w:sz w:val="22"/>
          <w:szCs w:val="22"/>
        </w:rPr>
        <w:t xml:space="preserve">CarbonNet </w:t>
      </w:r>
      <w:r>
        <w:rPr>
          <w:rFonts w:ascii="Arial" w:hAnsi="Arial"/>
          <w:sz w:val="22"/>
          <w:szCs w:val="22"/>
        </w:rPr>
        <w:t>is commi</w:t>
      </w:r>
      <w:r w:rsidR="009D6737">
        <w:rPr>
          <w:rFonts w:ascii="Arial" w:hAnsi="Arial"/>
          <w:sz w:val="22"/>
          <w:szCs w:val="22"/>
        </w:rPr>
        <w:t>t</w:t>
      </w:r>
      <w:r>
        <w:rPr>
          <w:rFonts w:ascii="Arial" w:hAnsi="Arial"/>
          <w:sz w:val="22"/>
          <w:szCs w:val="22"/>
        </w:rPr>
        <w:t xml:space="preserve">ted to </w:t>
      </w:r>
      <w:r w:rsidRPr="00FF0808">
        <w:rPr>
          <w:rFonts w:ascii="Arial" w:hAnsi="Arial"/>
          <w:sz w:val="22"/>
          <w:szCs w:val="22"/>
        </w:rPr>
        <w:t>continu</w:t>
      </w:r>
      <w:r>
        <w:rPr>
          <w:rFonts w:ascii="Arial" w:hAnsi="Arial"/>
          <w:sz w:val="22"/>
          <w:szCs w:val="22"/>
        </w:rPr>
        <w:t>ing</w:t>
      </w:r>
      <w:r w:rsidRPr="00FF0808">
        <w:rPr>
          <w:rFonts w:ascii="Arial" w:hAnsi="Arial"/>
          <w:sz w:val="22"/>
          <w:szCs w:val="22"/>
        </w:rPr>
        <w:t xml:space="preserve"> stakeholder consultation </w:t>
      </w:r>
      <w:r>
        <w:rPr>
          <w:rFonts w:ascii="Arial" w:hAnsi="Arial"/>
          <w:sz w:val="22"/>
          <w:szCs w:val="22"/>
        </w:rPr>
        <w:t xml:space="preserve">in the lead-up to, during, and after the MSS. </w:t>
      </w:r>
    </w:p>
    <w:p w14:paraId="49732CBF" w14:textId="77777777" w:rsidR="00073385" w:rsidRPr="00FF0808" w:rsidRDefault="00073385" w:rsidP="00073385">
      <w:pPr>
        <w:pStyle w:val="bodycopy"/>
        <w:rPr>
          <w:rFonts w:ascii="Arial" w:hAnsi="Arial"/>
          <w:sz w:val="22"/>
          <w:szCs w:val="22"/>
        </w:rPr>
      </w:pPr>
      <w:r w:rsidRPr="00FF0808">
        <w:rPr>
          <w:rFonts w:ascii="Arial" w:hAnsi="Arial"/>
          <w:sz w:val="22"/>
          <w:szCs w:val="22"/>
        </w:rPr>
        <w:t xml:space="preserve">Key milestones that will trigger further consultation include: </w:t>
      </w:r>
    </w:p>
    <w:p w14:paraId="62887D9E" w14:textId="77777777" w:rsidR="00073385" w:rsidRDefault="00073385" w:rsidP="00073385">
      <w:pPr>
        <w:pStyle w:val="bodycopy"/>
        <w:numPr>
          <w:ilvl w:val="0"/>
          <w:numId w:val="89"/>
        </w:numPr>
        <w:rPr>
          <w:rFonts w:ascii="Arial" w:hAnsi="Arial"/>
          <w:sz w:val="22"/>
          <w:szCs w:val="22"/>
        </w:rPr>
      </w:pPr>
      <w:r>
        <w:rPr>
          <w:rFonts w:ascii="Arial" w:hAnsi="Arial"/>
          <w:sz w:val="22"/>
          <w:szCs w:val="22"/>
        </w:rPr>
        <w:t>Phase 2:</w:t>
      </w:r>
    </w:p>
    <w:p w14:paraId="2947F542" w14:textId="41F27EF9" w:rsidR="00073385" w:rsidRDefault="00073385" w:rsidP="00073385">
      <w:pPr>
        <w:pStyle w:val="bodycopy"/>
        <w:numPr>
          <w:ilvl w:val="1"/>
          <w:numId w:val="89"/>
        </w:numPr>
        <w:rPr>
          <w:rFonts w:ascii="Arial" w:hAnsi="Arial"/>
          <w:sz w:val="22"/>
          <w:szCs w:val="22"/>
        </w:rPr>
      </w:pPr>
      <w:r>
        <w:rPr>
          <w:rFonts w:ascii="Arial" w:hAnsi="Arial"/>
          <w:sz w:val="22"/>
          <w:szCs w:val="22"/>
        </w:rPr>
        <w:t>Confirmation of the timing of the survey.</w:t>
      </w:r>
    </w:p>
    <w:p w14:paraId="4898BD2B" w14:textId="1E8F9B2C" w:rsidR="00073385" w:rsidRDefault="00073385" w:rsidP="00073385">
      <w:pPr>
        <w:pStyle w:val="bodycopy"/>
        <w:numPr>
          <w:ilvl w:val="1"/>
          <w:numId w:val="89"/>
        </w:numPr>
        <w:rPr>
          <w:rFonts w:ascii="Arial" w:hAnsi="Arial"/>
          <w:sz w:val="22"/>
          <w:szCs w:val="22"/>
        </w:rPr>
      </w:pPr>
      <w:r w:rsidRPr="00FF0808">
        <w:rPr>
          <w:rFonts w:ascii="Arial" w:hAnsi="Arial"/>
          <w:sz w:val="22"/>
          <w:szCs w:val="22"/>
        </w:rPr>
        <w:lastRenderedPageBreak/>
        <w:t>Future optimisation activities (e.g.,</w:t>
      </w:r>
      <w:r w:rsidR="00B2652B">
        <w:rPr>
          <w:rFonts w:ascii="Arial" w:hAnsi="Arial"/>
          <w:sz w:val="22"/>
          <w:szCs w:val="22"/>
        </w:rPr>
        <w:t xml:space="preserve"> </w:t>
      </w:r>
      <w:r>
        <w:rPr>
          <w:rFonts w:ascii="Arial" w:hAnsi="Arial"/>
          <w:sz w:val="22"/>
          <w:szCs w:val="22"/>
        </w:rPr>
        <w:t>changes to the operational area</w:t>
      </w:r>
      <w:r w:rsidRPr="00FF0808">
        <w:rPr>
          <w:rFonts w:ascii="Arial" w:hAnsi="Arial"/>
          <w:sz w:val="22"/>
          <w:szCs w:val="22"/>
        </w:rPr>
        <w:t xml:space="preserve">); EP acceptance and the availability of the EP Summary on </w:t>
      </w:r>
      <w:r>
        <w:rPr>
          <w:rFonts w:ascii="Arial" w:hAnsi="Arial"/>
          <w:sz w:val="22"/>
          <w:szCs w:val="22"/>
        </w:rPr>
        <w:t>the NOPSEMA and DEDJTR websites.</w:t>
      </w:r>
    </w:p>
    <w:p w14:paraId="5D2DA0FB" w14:textId="3A85A58F" w:rsidR="009D6737" w:rsidRDefault="009D6737" w:rsidP="00073385">
      <w:pPr>
        <w:pStyle w:val="bodycopy"/>
        <w:numPr>
          <w:ilvl w:val="1"/>
          <w:numId w:val="89"/>
        </w:numPr>
        <w:rPr>
          <w:rFonts w:ascii="Arial" w:hAnsi="Arial"/>
          <w:sz w:val="22"/>
          <w:szCs w:val="22"/>
        </w:rPr>
      </w:pPr>
      <w:r>
        <w:rPr>
          <w:rFonts w:ascii="Arial" w:hAnsi="Arial"/>
          <w:sz w:val="22"/>
          <w:szCs w:val="22"/>
        </w:rPr>
        <w:t xml:space="preserve">Operational planning aspects. </w:t>
      </w:r>
    </w:p>
    <w:p w14:paraId="269DEC72" w14:textId="77777777" w:rsidR="00073385" w:rsidRPr="00FF0808" w:rsidRDefault="00073385" w:rsidP="00073385">
      <w:pPr>
        <w:pStyle w:val="bodycopy"/>
        <w:numPr>
          <w:ilvl w:val="0"/>
          <w:numId w:val="89"/>
        </w:numPr>
        <w:rPr>
          <w:rFonts w:ascii="Arial" w:hAnsi="Arial"/>
          <w:sz w:val="22"/>
          <w:szCs w:val="22"/>
        </w:rPr>
      </w:pPr>
      <w:r>
        <w:rPr>
          <w:rFonts w:ascii="Arial" w:hAnsi="Arial"/>
          <w:sz w:val="22"/>
          <w:szCs w:val="22"/>
        </w:rPr>
        <w:t>Phase 3:</w:t>
      </w:r>
    </w:p>
    <w:p w14:paraId="13849261" w14:textId="1151D67B" w:rsidR="00073385" w:rsidRDefault="00073385" w:rsidP="00073385">
      <w:pPr>
        <w:pStyle w:val="bodycopy"/>
        <w:numPr>
          <w:ilvl w:val="1"/>
          <w:numId w:val="89"/>
        </w:numPr>
        <w:rPr>
          <w:rFonts w:ascii="Arial" w:hAnsi="Arial"/>
          <w:sz w:val="22"/>
          <w:szCs w:val="22"/>
        </w:rPr>
      </w:pPr>
      <w:r w:rsidRPr="00FF0808">
        <w:rPr>
          <w:rFonts w:ascii="Arial" w:hAnsi="Arial"/>
          <w:sz w:val="22"/>
          <w:szCs w:val="22"/>
        </w:rPr>
        <w:t>Any significant incidents (e.g., large hydrocarb</w:t>
      </w:r>
      <w:r>
        <w:rPr>
          <w:rFonts w:ascii="Arial" w:hAnsi="Arial"/>
          <w:sz w:val="22"/>
          <w:szCs w:val="22"/>
        </w:rPr>
        <w:t>on spill).</w:t>
      </w:r>
    </w:p>
    <w:p w14:paraId="229BAC36" w14:textId="77777777" w:rsidR="00073385" w:rsidRDefault="00073385" w:rsidP="00073385">
      <w:pPr>
        <w:pStyle w:val="bodycopy"/>
        <w:numPr>
          <w:ilvl w:val="0"/>
          <w:numId w:val="89"/>
        </w:numPr>
        <w:rPr>
          <w:rFonts w:ascii="Arial" w:hAnsi="Arial"/>
          <w:sz w:val="22"/>
          <w:szCs w:val="22"/>
        </w:rPr>
      </w:pPr>
      <w:r>
        <w:rPr>
          <w:rFonts w:ascii="Arial" w:hAnsi="Arial"/>
          <w:sz w:val="22"/>
          <w:szCs w:val="22"/>
        </w:rPr>
        <w:t>Phase 4:</w:t>
      </w:r>
    </w:p>
    <w:p w14:paraId="492A588D" w14:textId="77777777" w:rsidR="00073385" w:rsidRPr="008D1855" w:rsidRDefault="00073385" w:rsidP="00891DE1">
      <w:pPr>
        <w:pStyle w:val="bodycopy"/>
        <w:numPr>
          <w:ilvl w:val="1"/>
          <w:numId w:val="89"/>
        </w:numPr>
        <w:spacing w:after="240"/>
        <w:rPr>
          <w:rFonts w:ascii="Arial" w:hAnsi="Arial"/>
          <w:sz w:val="22"/>
          <w:szCs w:val="22"/>
        </w:rPr>
      </w:pPr>
      <w:r w:rsidRPr="0099754C">
        <w:rPr>
          <w:rFonts w:ascii="Arial" w:hAnsi="Arial"/>
          <w:sz w:val="22"/>
          <w:szCs w:val="22"/>
        </w:rPr>
        <w:t>Completion of the MSS and sharing of relevant outcomes from environmental habitat assessment and the underwater sound validation study</w:t>
      </w:r>
      <w:r>
        <w:rPr>
          <w:rFonts w:ascii="Arial" w:hAnsi="Arial"/>
          <w:sz w:val="22"/>
          <w:szCs w:val="22"/>
        </w:rPr>
        <w:t xml:space="preserve"> (see Section 2.7)</w:t>
      </w:r>
      <w:r w:rsidRPr="008D1855">
        <w:rPr>
          <w:rFonts w:ascii="Arial" w:hAnsi="Arial"/>
          <w:sz w:val="22"/>
          <w:szCs w:val="22"/>
        </w:rPr>
        <w:t>.</w:t>
      </w:r>
    </w:p>
    <w:p w14:paraId="5F81773E" w14:textId="77777777" w:rsidR="00073385" w:rsidRDefault="00073385" w:rsidP="00073385">
      <w:pPr>
        <w:pStyle w:val="bodycopy"/>
        <w:rPr>
          <w:rFonts w:ascii="Arial" w:hAnsi="Arial"/>
          <w:sz w:val="22"/>
          <w:szCs w:val="22"/>
        </w:rPr>
      </w:pPr>
      <w:r w:rsidRPr="00FF0808">
        <w:rPr>
          <w:rFonts w:ascii="Arial" w:hAnsi="Arial"/>
          <w:sz w:val="22"/>
          <w:szCs w:val="22"/>
        </w:rPr>
        <w:t>Consultation Manager remains a live database and is updated on an as-required basis.</w:t>
      </w:r>
    </w:p>
    <w:p w14:paraId="73BBBC04" w14:textId="77777777" w:rsidR="00073385" w:rsidRPr="00FF0808" w:rsidRDefault="00073385" w:rsidP="00073385">
      <w:pPr>
        <w:pStyle w:val="bodycopy"/>
        <w:rPr>
          <w:rFonts w:ascii="Arial" w:hAnsi="Arial"/>
          <w:sz w:val="22"/>
          <w:szCs w:val="22"/>
        </w:rPr>
      </w:pPr>
    </w:p>
    <w:p w14:paraId="36819806" w14:textId="152028E5" w:rsidR="00E2059E" w:rsidRPr="00FF0808" w:rsidRDefault="00E2059E" w:rsidP="001F6BF5">
      <w:pPr>
        <w:pStyle w:val="bodycopy"/>
        <w:rPr>
          <w:rFonts w:ascii="Arial" w:hAnsi="Arial"/>
          <w:sz w:val="22"/>
          <w:szCs w:val="22"/>
        </w:rPr>
      </w:pPr>
    </w:p>
    <w:p w14:paraId="24B1F459" w14:textId="77777777" w:rsidR="001524CC" w:rsidRPr="00FF0808" w:rsidRDefault="001524CC" w:rsidP="00FF0808">
      <w:pPr>
        <w:pStyle w:val="bodycopy"/>
        <w:jc w:val="both"/>
        <w:rPr>
          <w:rFonts w:ascii="Arial" w:hAnsi="Arial"/>
          <w:sz w:val="22"/>
          <w:szCs w:val="22"/>
        </w:rPr>
        <w:sectPr w:rsidR="001524CC" w:rsidRPr="00FF0808" w:rsidSect="006B6FA9">
          <w:footerReference w:type="default" r:id="rId29"/>
          <w:pgSz w:w="11906" w:h="16838" w:code="9"/>
          <w:pgMar w:top="1377" w:right="1800" w:bottom="1440" w:left="1800" w:header="994" w:footer="706" w:gutter="0"/>
          <w:cols w:space="708"/>
          <w:docGrid w:linePitch="360"/>
        </w:sectPr>
      </w:pPr>
    </w:p>
    <w:p w14:paraId="12ECB529" w14:textId="24430AEA" w:rsidR="004D77D8" w:rsidRPr="00FF0808" w:rsidRDefault="00FF6B9A" w:rsidP="001524CC">
      <w:pPr>
        <w:spacing w:after="120" w:line="240" w:lineRule="auto"/>
        <w:ind w:left="0"/>
        <w:jc w:val="center"/>
        <w:rPr>
          <w:b/>
          <w:sz w:val="20"/>
          <w:szCs w:val="20"/>
        </w:rPr>
      </w:pPr>
      <w:r>
        <w:rPr>
          <w:b/>
          <w:sz w:val="20"/>
          <w:szCs w:val="20"/>
        </w:rPr>
        <w:lastRenderedPageBreak/>
        <w:t>Table 4.3</w:t>
      </w:r>
      <w:r w:rsidR="004D77D8" w:rsidRPr="00FF0808">
        <w:rPr>
          <w:b/>
          <w:sz w:val="20"/>
          <w:szCs w:val="20"/>
        </w:rPr>
        <w:t>.</w:t>
      </w:r>
      <w:r w:rsidR="004D77D8" w:rsidRPr="00FF0808">
        <w:rPr>
          <w:b/>
          <w:sz w:val="20"/>
          <w:szCs w:val="20"/>
        </w:rPr>
        <w:tab/>
        <w:t>Summary of stakeholder consultation undertaken</w:t>
      </w:r>
      <w:r w:rsidR="008D3BD3">
        <w:rPr>
          <w:b/>
          <w:sz w:val="20"/>
          <w:szCs w:val="20"/>
        </w:rPr>
        <w:t xml:space="preserve"> </w:t>
      </w:r>
    </w:p>
    <w:tbl>
      <w:tblPr>
        <w:tblW w:w="14248" w:type="dxa"/>
        <w:tblInd w:w="-34"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427"/>
        <w:gridCol w:w="1629"/>
        <w:gridCol w:w="1055"/>
        <w:gridCol w:w="6335"/>
        <w:gridCol w:w="3802"/>
      </w:tblGrid>
      <w:tr w:rsidR="00073385" w:rsidRPr="00FF0808" w14:paraId="5EB02B0D" w14:textId="77777777" w:rsidTr="00077C5F">
        <w:tc>
          <w:tcPr>
            <w:tcW w:w="1427" w:type="dxa"/>
            <w:shd w:val="clear" w:color="auto" w:fill="064EA8"/>
          </w:tcPr>
          <w:p w14:paraId="32496885" w14:textId="77777777" w:rsidR="00073385" w:rsidRPr="00B4362B" w:rsidRDefault="00073385" w:rsidP="00073385">
            <w:pPr>
              <w:spacing w:before="60" w:after="60"/>
              <w:ind w:left="0"/>
              <w:rPr>
                <w:rFonts w:cs="Arial"/>
                <w:color w:val="FFFFFF" w:themeColor="background1"/>
                <w:sz w:val="20"/>
                <w:szCs w:val="20"/>
              </w:rPr>
            </w:pPr>
            <w:r w:rsidRPr="00B4362B">
              <w:rPr>
                <w:rFonts w:cs="Arial"/>
                <w:color w:val="FFFFFF" w:themeColor="background1"/>
                <w:sz w:val="20"/>
                <w:szCs w:val="20"/>
              </w:rPr>
              <w:t>Stakeholder</w:t>
            </w:r>
          </w:p>
        </w:tc>
        <w:tc>
          <w:tcPr>
            <w:tcW w:w="1629" w:type="dxa"/>
            <w:shd w:val="clear" w:color="auto" w:fill="064EA8"/>
          </w:tcPr>
          <w:p w14:paraId="453B8451" w14:textId="77777777" w:rsidR="00073385" w:rsidRPr="00B4362B" w:rsidRDefault="00073385" w:rsidP="00073385">
            <w:pPr>
              <w:spacing w:before="60" w:after="60"/>
              <w:ind w:left="0"/>
              <w:rPr>
                <w:rFonts w:cs="Arial"/>
                <w:color w:val="FFFFFF" w:themeColor="background1"/>
                <w:sz w:val="20"/>
                <w:szCs w:val="20"/>
              </w:rPr>
            </w:pPr>
            <w:r w:rsidRPr="00B4362B">
              <w:rPr>
                <w:rFonts w:cs="Arial"/>
                <w:color w:val="FFFFFF" w:themeColor="background1"/>
                <w:sz w:val="20"/>
                <w:szCs w:val="20"/>
              </w:rPr>
              <w:t>Functions, interests and/or activities</w:t>
            </w:r>
          </w:p>
        </w:tc>
        <w:tc>
          <w:tcPr>
            <w:tcW w:w="1055" w:type="dxa"/>
            <w:shd w:val="clear" w:color="auto" w:fill="064EA8"/>
          </w:tcPr>
          <w:p w14:paraId="174FF4A4" w14:textId="77777777" w:rsidR="00073385" w:rsidRPr="00B4362B" w:rsidRDefault="00073385" w:rsidP="00073385">
            <w:pPr>
              <w:spacing w:before="60" w:after="60"/>
              <w:ind w:left="0"/>
              <w:rPr>
                <w:rFonts w:cs="Arial"/>
                <w:color w:val="FFFFFF" w:themeColor="background1"/>
                <w:sz w:val="20"/>
                <w:szCs w:val="20"/>
              </w:rPr>
            </w:pPr>
            <w:r>
              <w:rPr>
                <w:rFonts w:cs="Arial"/>
                <w:color w:val="FFFFFF" w:themeColor="background1"/>
                <w:sz w:val="20"/>
                <w:szCs w:val="20"/>
              </w:rPr>
              <w:t>Date</w:t>
            </w:r>
          </w:p>
        </w:tc>
        <w:tc>
          <w:tcPr>
            <w:tcW w:w="6335" w:type="dxa"/>
            <w:shd w:val="clear" w:color="auto" w:fill="064EA8"/>
          </w:tcPr>
          <w:p w14:paraId="7168E98D" w14:textId="77777777" w:rsidR="00073385" w:rsidRPr="00B4362B" w:rsidRDefault="00073385" w:rsidP="00073385">
            <w:pPr>
              <w:spacing w:before="60" w:after="60"/>
              <w:ind w:left="0"/>
              <w:rPr>
                <w:rFonts w:cs="Arial"/>
                <w:color w:val="FFFFFF" w:themeColor="background1"/>
                <w:sz w:val="20"/>
                <w:szCs w:val="20"/>
              </w:rPr>
            </w:pPr>
            <w:r w:rsidRPr="00B4362B">
              <w:rPr>
                <w:rFonts w:cs="Arial"/>
                <w:color w:val="FFFFFF" w:themeColor="background1"/>
                <w:sz w:val="20"/>
                <w:szCs w:val="20"/>
              </w:rPr>
              <w:t>Concerns, impacts or claims raised by stakeholder</w:t>
            </w:r>
          </w:p>
        </w:tc>
        <w:tc>
          <w:tcPr>
            <w:tcW w:w="3802" w:type="dxa"/>
            <w:shd w:val="clear" w:color="auto" w:fill="064EA8"/>
          </w:tcPr>
          <w:p w14:paraId="60D4CC58" w14:textId="77777777" w:rsidR="00073385" w:rsidRPr="00B4362B" w:rsidRDefault="00073385" w:rsidP="00073385">
            <w:pPr>
              <w:spacing w:before="60" w:after="60"/>
              <w:ind w:left="0"/>
              <w:rPr>
                <w:rFonts w:cs="Arial"/>
                <w:color w:val="FFFFFF" w:themeColor="background1"/>
                <w:sz w:val="20"/>
                <w:szCs w:val="20"/>
              </w:rPr>
            </w:pPr>
            <w:r w:rsidRPr="00B4362B">
              <w:rPr>
                <w:rFonts w:cs="Arial"/>
                <w:color w:val="FFFFFF" w:themeColor="background1"/>
                <w:sz w:val="20"/>
                <w:szCs w:val="20"/>
              </w:rPr>
              <w:t xml:space="preserve">CarbonNet’s assessment of </w:t>
            </w:r>
            <w:r w:rsidRPr="0077111B">
              <w:rPr>
                <w:rFonts w:cs="Arial"/>
                <w:color w:val="FFFFFF" w:themeColor="background1"/>
                <w:sz w:val="20"/>
                <w:szCs w:val="20"/>
              </w:rPr>
              <w:t xml:space="preserve">merit </w:t>
            </w:r>
            <w:r w:rsidRPr="00653AFA">
              <w:rPr>
                <w:rFonts w:cs="Arial"/>
                <w:color w:val="FFFFFF" w:themeColor="background1"/>
                <w:sz w:val="20"/>
                <w:szCs w:val="20"/>
              </w:rPr>
              <w:t>to</w:t>
            </w:r>
            <w:r w:rsidRPr="00B4362B">
              <w:rPr>
                <w:rFonts w:cs="Arial"/>
                <w:color w:val="FFFFFF" w:themeColor="background1"/>
                <w:sz w:val="20"/>
                <w:szCs w:val="20"/>
              </w:rPr>
              <w:t xml:space="preserve"> stakeholder</w:t>
            </w:r>
          </w:p>
        </w:tc>
      </w:tr>
      <w:tr w:rsidR="00073385" w:rsidRPr="00FF0808" w14:paraId="21BE03C0" w14:textId="77777777" w:rsidTr="00077C5F">
        <w:tc>
          <w:tcPr>
            <w:tcW w:w="14248" w:type="dxa"/>
            <w:gridSpan w:val="5"/>
            <w:shd w:val="clear" w:color="auto" w:fill="D9D9D9"/>
          </w:tcPr>
          <w:p w14:paraId="27707ED2" w14:textId="77777777" w:rsidR="00073385" w:rsidRPr="00FF0808" w:rsidRDefault="00073385" w:rsidP="00073385">
            <w:pPr>
              <w:spacing w:before="60" w:after="60" w:line="240" w:lineRule="auto"/>
              <w:ind w:left="0"/>
              <w:rPr>
                <w:rFonts w:cs="Arial"/>
                <w:sz w:val="20"/>
                <w:szCs w:val="20"/>
              </w:rPr>
            </w:pPr>
            <w:r w:rsidRPr="00FF0808">
              <w:rPr>
                <w:rFonts w:cs="Arial"/>
                <w:sz w:val="20"/>
                <w:szCs w:val="20"/>
              </w:rPr>
              <w:t>Department or agency of the Commonwealth to which the activities to be carried out under the EP may be relevant</w:t>
            </w:r>
          </w:p>
        </w:tc>
      </w:tr>
      <w:tr w:rsidR="00073385" w:rsidRPr="00FF0808" w14:paraId="7A19E953" w14:textId="77777777" w:rsidTr="00077C5F">
        <w:trPr>
          <w:trHeight w:val="304"/>
        </w:trPr>
        <w:tc>
          <w:tcPr>
            <w:tcW w:w="1427" w:type="dxa"/>
            <w:vMerge w:val="restart"/>
            <w:shd w:val="clear" w:color="auto" w:fill="auto"/>
          </w:tcPr>
          <w:p w14:paraId="11A29ED7" w14:textId="77777777" w:rsidR="00073385" w:rsidRPr="00FF0808" w:rsidRDefault="00073385" w:rsidP="00073385">
            <w:pPr>
              <w:spacing w:before="60" w:after="60" w:line="240" w:lineRule="auto"/>
              <w:ind w:left="0"/>
              <w:rPr>
                <w:rFonts w:cs="Arial"/>
                <w:sz w:val="20"/>
                <w:szCs w:val="20"/>
              </w:rPr>
            </w:pPr>
            <w:r>
              <w:rPr>
                <w:rFonts w:cs="Arial"/>
                <w:sz w:val="20"/>
                <w:szCs w:val="20"/>
              </w:rPr>
              <w:t>Australian Fisheries Management Authority (AFMA)</w:t>
            </w:r>
          </w:p>
        </w:tc>
        <w:tc>
          <w:tcPr>
            <w:tcW w:w="1629" w:type="dxa"/>
            <w:vMerge w:val="restart"/>
            <w:shd w:val="clear" w:color="auto" w:fill="auto"/>
          </w:tcPr>
          <w:p w14:paraId="26B45987" w14:textId="77777777" w:rsidR="00073385" w:rsidRPr="00FF0808" w:rsidRDefault="00073385" w:rsidP="00073385">
            <w:pPr>
              <w:spacing w:before="60" w:after="60" w:line="240" w:lineRule="auto"/>
              <w:ind w:left="0"/>
              <w:rPr>
                <w:rFonts w:cs="Arial"/>
                <w:sz w:val="20"/>
                <w:szCs w:val="20"/>
              </w:rPr>
            </w:pPr>
            <w:r>
              <w:rPr>
                <w:rFonts w:cs="Arial"/>
                <w:sz w:val="20"/>
                <w:szCs w:val="20"/>
              </w:rPr>
              <w:t>Manager of Commonwealth fisheries</w:t>
            </w:r>
          </w:p>
        </w:tc>
        <w:tc>
          <w:tcPr>
            <w:tcW w:w="1055" w:type="dxa"/>
          </w:tcPr>
          <w:p w14:paraId="6FDB4517" w14:textId="77777777" w:rsidR="00073385" w:rsidRPr="00FF0808" w:rsidRDefault="00073385"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49F67446" w14:textId="77777777" w:rsidR="00073385" w:rsidRPr="00FF0808" w:rsidRDefault="00073385" w:rsidP="00073385">
            <w:pPr>
              <w:spacing w:before="60" w:after="60" w:line="240" w:lineRule="auto"/>
              <w:ind w:left="0"/>
              <w:rPr>
                <w:rFonts w:cs="Arial"/>
                <w:sz w:val="20"/>
                <w:szCs w:val="20"/>
              </w:rPr>
            </w:pPr>
            <w:r>
              <w:rPr>
                <w:rFonts w:cs="Arial"/>
                <w:sz w:val="20"/>
                <w:szCs w:val="20"/>
              </w:rPr>
              <w:t>CarbonNet emailed AFMA with a letter that invited comment, fact sheet and contact details.</w:t>
            </w:r>
          </w:p>
        </w:tc>
        <w:tc>
          <w:tcPr>
            <w:tcW w:w="3802" w:type="dxa"/>
            <w:shd w:val="clear" w:color="auto" w:fill="auto"/>
          </w:tcPr>
          <w:p w14:paraId="0ED77115" w14:textId="65DC45DF" w:rsidR="00073385" w:rsidRPr="00FF0808" w:rsidRDefault="00073385" w:rsidP="00073385">
            <w:pPr>
              <w:spacing w:before="60" w:after="60" w:line="240" w:lineRule="auto"/>
              <w:ind w:left="0"/>
              <w:rPr>
                <w:rFonts w:cs="Arial"/>
                <w:sz w:val="20"/>
                <w:szCs w:val="20"/>
              </w:rPr>
            </w:pPr>
            <w:r>
              <w:rPr>
                <w:rFonts w:cs="Arial"/>
                <w:sz w:val="20"/>
                <w:szCs w:val="20"/>
              </w:rPr>
              <w:t>N/A</w:t>
            </w:r>
          </w:p>
        </w:tc>
      </w:tr>
      <w:tr w:rsidR="00073385" w:rsidRPr="00FF0808" w14:paraId="66776EC3" w14:textId="77777777" w:rsidTr="00077C5F">
        <w:trPr>
          <w:trHeight w:val="304"/>
        </w:trPr>
        <w:tc>
          <w:tcPr>
            <w:tcW w:w="1427" w:type="dxa"/>
            <w:vMerge/>
            <w:shd w:val="clear" w:color="auto" w:fill="auto"/>
          </w:tcPr>
          <w:p w14:paraId="4F1905EB" w14:textId="77777777" w:rsidR="00073385" w:rsidRDefault="00073385" w:rsidP="00073385">
            <w:pPr>
              <w:spacing w:before="60" w:after="60" w:line="240" w:lineRule="auto"/>
              <w:ind w:left="0"/>
              <w:rPr>
                <w:rFonts w:cs="Arial"/>
                <w:sz w:val="20"/>
                <w:szCs w:val="20"/>
              </w:rPr>
            </w:pPr>
          </w:p>
        </w:tc>
        <w:tc>
          <w:tcPr>
            <w:tcW w:w="1629" w:type="dxa"/>
            <w:vMerge/>
            <w:shd w:val="clear" w:color="auto" w:fill="auto"/>
          </w:tcPr>
          <w:p w14:paraId="0E04F073" w14:textId="77777777" w:rsidR="00073385" w:rsidRDefault="00073385" w:rsidP="00073385">
            <w:pPr>
              <w:spacing w:before="60" w:after="60" w:line="240" w:lineRule="auto"/>
              <w:ind w:left="0"/>
              <w:rPr>
                <w:rFonts w:cs="Arial"/>
                <w:sz w:val="20"/>
                <w:szCs w:val="20"/>
              </w:rPr>
            </w:pPr>
          </w:p>
        </w:tc>
        <w:tc>
          <w:tcPr>
            <w:tcW w:w="1055" w:type="dxa"/>
            <w:tcBorders>
              <w:top w:val="single" w:sz="4" w:space="0" w:color="808080"/>
              <w:bottom w:val="single" w:sz="4" w:space="0" w:color="808080"/>
              <w:right w:val="single" w:sz="4" w:space="0" w:color="808080"/>
            </w:tcBorders>
          </w:tcPr>
          <w:p w14:paraId="6E892AB7" w14:textId="77777777" w:rsidR="00073385" w:rsidRDefault="00073385" w:rsidP="00073385">
            <w:pPr>
              <w:spacing w:before="60" w:after="60" w:line="240" w:lineRule="auto"/>
              <w:ind w:left="0"/>
              <w:rPr>
                <w:rFonts w:cs="Arial"/>
                <w:sz w:val="20"/>
                <w:szCs w:val="20"/>
              </w:rPr>
            </w:pPr>
            <w:r>
              <w:rPr>
                <w:rFonts w:cs="Arial"/>
                <w:sz w:val="20"/>
                <w:szCs w:val="20"/>
              </w:rPr>
              <w:t>5/5/17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1F389E80" w14:textId="77777777" w:rsidR="00073385" w:rsidRDefault="00073385" w:rsidP="00073385">
            <w:pPr>
              <w:tabs>
                <w:tab w:val="left" w:pos="931"/>
              </w:tabs>
              <w:spacing w:before="60" w:after="60" w:line="240" w:lineRule="auto"/>
              <w:ind w:left="0"/>
              <w:rPr>
                <w:rFonts w:cs="Arial"/>
                <w:sz w:val="20"/>
                <w:szCs w:val="20"/>
              </w:rPr>
            </w:pPr>
            <w:r>
              <w:rPr>
                <w:rFonts w:cs="Arial"/>
                <w:sz w:val="20"/>
                <w:szCs w:val="20"/>
              </w:rPr>
              <w:t>CarbonNet se</w:t>
            </w:r>
            <w:r w:rsidRPr="00FB0894">
              <w:rPr>
                <w:rFonts w:cs="Arial"/>
                <w:sz w:val="20"/>
                <w:szCs w:val="20"/>
              </w:rPr>
              <w:t>nt follow up email to check if initial email was received and if catch data is available for fisheries that overlap the MSS area</w:t>
            </w:r>
            <w:r>
              <w:rPr>
                <w:rFonts w:cs="Arial"/>
                <w:sz w:val="20"/>
                <w:szCs w:val="20"/>
              </w:rPr>
              <w:t>.</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5A255D41" w14:textId="4E7175C5" w:rsidR="00073385" w:rsidRDefault="00073385" w:rsidP="00073385">
            <w:pPr>
              <w:spacing w:before="60" w:after="60" w:line="240" w:lineRule="auto"/>
              <w:ind w:left="0"/>
              <w:rPr>
                <w:rFonts w:cs="Arial"/>
                <w:sz w:val="20"/>
                <w:szCs w:val="20"/>
              </w:rPr>
            </w:pPr>
            <w:r>
              <w:rPr>
                <w:rFonts w:cs="Arial"/>
                <w:sz w:val="20"/>
                <w:szCs w:val="20"/>
              </w:rPr>
              <w:t>N/A</w:t>
            </w:r>
          </w:p>
        </w:tc>
      </w:tr>
      <w:tr w:rsidR="00073385" w:rsidRPr="00FF0808" w14:paraId="4D110C82" w14:textId="77777777" w:rsidTr="00077C5F">
        <w:trPr>
          <w:trHeight w:val="304"/>
        </w:trPr>
        <w:tc>
          <w:tcPr>
            <w:tcW w:w="1427" w:type="dxa"/>
            <w:vMerge/>
            <w:tcBorders>
              <w:bottom w:val="nil"/>
            </w:tcBorders>
            <w:shd w:val="clear" w:color="auto" w:fill="auto"/>
          </w:tcPr>
          <w:p w14:paraId="0EE11B1D" w14:textId="77777777" w:rsidR="00073385" w:rsidRDefault="00073385" w:rsidP="00073385">
            <w:pPr>
              <w:spacing w:before="60" w:after="60" w:line="240" w:lineRule="auto"/>
              <w:ind w:left="0"/>
              <w:rPr>
                <w:rFonts w:cs="Arial"/>
                <w:sz w:val="20"/>
                <w:szCs w:val="20"/>
              </w:rPr>
            </w:pPr>
          </w:p>
        </w:tc>
        <w:tc>
          <w:tcPr>
            <w:tcW w:w="1629" w:type="dxa"/>
            <w:vMerge/>
            <w:tcBorders>
              <w:bottom w:val="nil"/>
            </w:tcBorders>
            <w:shd w:val="clear" w:color="auto" w:fill="auto"/>
          </w:tcPr>
          <w:p w14:paraId="6CD9ED11" w14:textId="77777777" w:rsidR="00073385" w:rsidRDefault="00073385" w:rsidP="00073385">
            <w:pPr>
              <w:spacing w:before="60" w:after="60" w:line="240" w:lineRule="auto"/>
              <w:ind w:left="0"/>
              <w:rPr>
                <w:rFonts w:cs="Arial"/>
                <w:sz w:val="20"/>
                <w:szCs w:val="20"/>
              </w:rPr>
            </w:pPr>
          </w:p>
        </w:tc>
        <w:tc>
          <w:tcPr>
            <w:tcW w:w="1055" w:type="dxa"/>
            <w:tcBorders>
              <w:top w:val="single" w:sz="4" w:space="0" w:color="808080"/>
              <w:bottom w:val="single" w:sz="4" w:space="0" w:color="808080"/>
              <w:right w:val="single" w:sz="4" w:space="0" w:color="808080"/>
            </w:tcBorders>
          </w:tcPr>
          <w:p w14:paraId="7F689497" w14:textId="77777777" w:rsidR="00073385" w:rsidRDefault="00073385" w:rsidP="00073385">
            <w:pPr>
              <w:spacing w:before="60" w:after="60" w:line="240" w:lineRule="auto"/>
              <w:ind w:left="0"/>
              <w:rPr>
                <w:rFonts w:cs="Arial"/>
                <w:sz w:val="20"/>
                <w:szCs w:val="20"/>
              </w:rPr>
            </w:pPr>
            <w:r>
              <w:rPr>
                <w:rFonts w:cs="Arial"/>
                <w:sz w:val="20"/>
                <w:szCs w:val="20"/>
              </w:rPr>
              <w:t>11/5/17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6A1968F4" w14:textId="77777777" w:rsidR="00073385" w:rsidRDefault="00073385" w:rsidP="00073385">
            <w:pPr>
              <w:spacing w:before="60" w:after="60" w:line="240" w:lineRule="auto"/>
              <w:ind w:left="0"/>
              <w:rPr>
                <w:rFonts w:cs="Arial"/>
                <w:sz w:val="20"/>
                <w:szCs w:val="20"/>
              </w:rPr>
            </w:pPr>
            <w:r>
              <w:rPr>
                <w:rFonts w:cs="Arial"/>
                <w:sz w:val="20"/>
                <w:szCs w:val="20"/>
              </w:rPr>
              <w:t>CarbonNet phoned and spoke to AFMA. They advised:</w:t>
            </w:r>
          </w:p>
          <w:p w14:paraId="6BDC3B78" w14:textId="77777777" w:rsidR="00073385" w:rsidRPr="00FB0894" w:rsidRDefault="00073385" w:rsidP="00073385">
            <w:pPr>
              <w:pStyle w:val="ListParagraph0"/>
              <w:numPr>
                <w:ilvl w:val="0"/>
                <w:numId w:val="512"/>
              </w:numPr>
              <w:spacing w:before="60" w:after="60" w:line="240" w:lineRule="auto"/>
              <w:rPr>
                <w:rFonts w:cs="Arial"/>
                <w:sz w:val="20"/>
                <w:szCs w:val="20"/>
              </w:rPr>
            </w:pPr>
            <w:r w:rsidRPr="00FB0894">
              <w:rPr>
                <w:rFonts w:cs="Arial"/>
                <w:sz w:val="20"/>
                <w:szCs w:val="20"/>
              </w:rPr>
              <w:t xml:space="preserve">There is a </w:t>
            </w:r>
            <w:r>
              <w:rPr>
                <w:rFonts w:cs="Arial"/>
                <w:sz w:val="20"/>
                <w:szCs w:val="20"/>
              </w:rPr>
              <w:t xml:space="preserve">fair bit of activity </w:t>
            </w:r>
            <w:r w:rsidRPr="00FB0894">
              <w:rPr>
                <w:rFonts w:cs="Arial"/>
                <w:sz w:val="20"/>
                <w:szCs w:val="20"/>
              </w:rPr>
              <w:t>in the MSS area - primarily</w:t>
            </w:r>
            <w:r>
              <w:rPr>
                <w:rFonts w:cs="Arial"/>
                <w:sz w:val="20"/>
                <w:szCs w:val="20"/>
              </w:rPr>
              <w:t xml:space="preserve"> south east trawl and gillnets in the </w:t>
            </w:r>
            <w:r w:rsidRPr="008D1DE5">
              <w:rPr>
                <w:rFonts w:cs="Arial"/>
                <w:sz w:val="20"/>
                <w:szCs w:val="20"/>
              </w:rPr>
              <w:t>Southern and Eastern Scalefish and Shark Fishery (SESSF)</w:t>
            </w:r>
            <w:r>
              <w:rPr>
                <w:rFonts w:cs="Arial"/>
                <w:sz w:val="20"/>
                <w:szCs w:val="20"/>
              </w:rPr>
              <w:t>.</w:t>
            </w:r>
          </w:p>
          <w:p w14:paraId="7AE25AD5" w14:textId="77777777" w:rsidR="00073385" w:rsidRPr="00FB0894" w:rsidRDefault="00073385" w:rsidP="00073385">
            <w:pPr>
              <w:pStyle w:val="ListParagraph0"/>
              <w:numPr>
                <w:ilvl w:val="0"/>
                <w:numId w:val="512"/>
              </w:numPr>
              <w:spacing w:before="60" w:after="60" w:line="240" w:lineRule="auto"/>
              <w:rPr>
                <w:rFonts w:cs="Arial"/>
                <w:sz w:val="20"/>
                <w:szCs w:val="20"/>
              </w:rPr>
            </w:pPr>
            <w:r w:rsidRPr="00FB0894">
              <w:rPr>
                <w:rFonts w:cs="Arial"/>
                <w:sz w:val="20"/>
                <w:szCs w:val="20"/>
              </w:rPr>
              <w:t xml:space="preserve">Data is available through the ABARES Annual Fishery Status Reports - last version released Sept 2016. AFMA does not have any additional data to these reports that it can provide. </w:t>
            </w:r>
          </w:p>
          <w:p w14:paraId="58C3A154" w14:textId="77777777" w:rsidR="00073385" w:rsidRPr="00FB0894" w:rsidRDefault="00073385" w:rsidP="00073385">
            <w:pPr>
              <w:pStyle w:val="ListParagraph0"/>
              <w:numPr>
                <w:ilvl w:val="0"/>
                <w:numId w:val="512"/>
              </w:numPr>
              <w:spacing w:before="60" w:after="60" w:line="240" w:lineRule="auto"/>
              <w:rPr>
                <w:rFonts w:cs="Arial"/>
                <w:sz w:val="20"/>
                <w:szCs w:val="20"/>
              </w:rPr>
            </w:pPr>
            <w:r w:rsidRPr="00FB0894">
              <w:rPr>
                <w:rFonts w:cs="Arial"/>
                <w:sz w:val="20"/>
                <w:szCs w:val="20"/>
              </w:rPr>
              <w:t xml:space="preserve">AFMA has list of industry groups on its website and SETFIA </w:t>
            </w:r>
            <w:r>
              <w:rPr>
                <w:rFonts w:cs="Arial"/>
                <w:sz w:val="20"/>
                <w:szCs w:val="20"/>
              </w:rPr>
              <w:t xml:space="preserve">is the main player in the area, as well as </w:t>
            </w:r>
            <w:r w:rsidRPr="008D1DE5">
              <w:rPr>
                <w:rFonts w:cs="Arial"/>
                <w:sz w:val="20"/>
                <w:szCs w:val="20"/>
              </w:rPr>
              <w:t>the Southern Shark Industry Alliance (SSIA) and the Sustainable Shark Fishing Association (SSFAssn)</w:t>
            </w:r>
            <w:r>
              <w:rPr>
                <w:rFonts w:cs="Arial"/>
                <w:sz w:val="20"/>
                <w:szCs w:val="20"/>
              </w:rPr>
              <w:t>.</w:t>
            </w:r>
          </w:p>
          <w:p w14:paraId="6410E868" w14:textId="77777777" w:rsidR="00073385" w:rsidRPr="0099754C" w:rsidRDefault="00073385" w:rsidP="00073385">
            <w:pPr>
              <w:pStyle w:val="ListParagraph0"/>
              <w:numPr>
                <w:ilvl w:val="0"/>
                <w:numId w:val="512"/>
              </w:numPr>
              <w:spacing w:before="60" w:after="60" w:line="240" w:lineRule="auto"/>
              <w:rPr>
                <w:rFonts w:cs="Arial"/>
                <w:sz w:val="20"/>
                <w:szCs w:val="20"/>
              </w:rPr>
            </w:pPr>
            <w:r w:rsidRPr="00FB0894">
              <w:rPr>
                <w:rFonts w:cs="Arial"/>
                <w:sz w:val="20"/>
                <w:szCs w:val="20"/>
              </w:rPr>
              <w:t>AFMA's biggest concern is that the actual industry representative</w:t>
            </w:r>
            <w:r>
              <w:rPr>
                <w:rFonts w:cs="Arial"/>
                <w:sz w:val="20"/>
                <w:szCs w:val="20"/>
              </w:rPr>
              <w:t>s</w:t>
            </w:r>
            <w:r w:rsidRPr="00FB0894">
              <w:rPr>
                <w:rFonts w:cs="Arial"/>
                <w:sz w:val="20"/>
                <w:szCs w:val="20"/>
              </w:rPr>
              <w:t xml:space="preserve"> </w:t>
            </w:r>
            <w:r>
              <w:rPr>
                <w:rFonts w:cs="Arial"/>
                <w:sz w:val="20"/>
                <w:szCs w:val="20"/>
              </w:rPr>
              <w:t xml:space="preserve">are </w:t>
            </w:r>
            <w:r w:rsidRPr="00FB0894">
              <w:rPr>
                <w:rFonts w:cs="Arial"/>
                <w:sz w:val="20"/>
                <w:szCs w:val="20"/>
              </w:rPr>
              <w:t>consulted rather than AFMA Happy for CarbonNet to continue to consult with SETFIA and other relevant groups and no need to come back to AFMA.</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77B0D643" w14:textId="77777777" w:rsidR="00073385" w:rsidRDefault="00073385" w:rsidP="00073385">
            <w:pPr>
              <w:spacing w:before="60" w:after="60" w:line="240" w:lineRule="auto"/>
              <w:ind w:left="0"/>
              <w:rPr>
                <w:rFonts w:cs="Arial"/>
                <w:sz w:val="20"/>
                <w:szCs w:val="20"/>
              </w:rPr>
            </w:pPr>
            <w:r>
              <w:rPr>
                <w:rFonts w:cs="Arial"/>
                <w:sz w:val="20"/>
                <w:szCs w:val="20"/>
              </w:rPr>
              <w:t>CarbonNet advised we will have already contacted all relevant fishing groups and will continue to consult with them. Also advised we have accessed the ABARES reports to inform the EP.</w:t>
            </w:r>
          </w:p>
          <w:p w14:paraId="5618CB8A" w14:textId="77777777" w:rsidR="00073385" w:rsidRDefault="00073385" w:rsidP="00073385">
            <w:pPr>
              <w:spacing w:before="60" w:after="60" w:line="240" w:lineRule="auto"/>
              <w:ind w:left="0"/>
              <w:rPr>
                <w:rFonts w:cs="Arial"/>
                <w:sz w:val="20"/>
                <w:szCs w:val="20"/>
              </w:rPr>
            </w:pPr>
          </w:p>
          <w:p w14:paraId="10454913" w14:textId="77777777" w:rsidR="00073385" w:rsidRDefault="00073385" w:rsidP="00073385">
            <w:pPr>
              <w:spacing w:before="60" w:after="60" w:line="240" w:lineRule="auto"/>
              <w:ind w:left="0"/>
              <w:rPr>
                <w:rFonts w:cs="Arial"/>
                <w:sz w:val="20"/>
                <w:szCs w:val="20"/>
              </w:rPr>
            </w:pPr>
            <w:r>
              <w:rPr>
                <w:rFonts w:cs="Arial"/>
                <w:sz w:val="20"/>
                <w:szCs w:val="20"/>
              </w:rPr>
              <w:t>Thanked AFMA for the information.</w:t>
            </w:r>
          </w:p>
        </w:tc>
      </w:tr>
      <w:tr w:rsidR="00073385" w:rsidRPr="00FF0808" w14:paraId="23BCC0AE" w14:textId="77777777" w:rsidTr="00891DE1">
        <w:trPr>
          <w:trHeight w:val="304"/>
        </w:trPr>
        <w:tc>
          <w:tcPr>
            <w:tcW w:w="1427" w:type="dxa"/>
            <w:tcBorders>
              <w:top w:val="nil"/>
              <w:left w:val="single" w:sz="4" w:space="0" w:color="808080"/>
              <w:bottom w:val="nil"/>
              <w:right w:val="single" w:sz="4" w:space="0" w:color="808080"/>
            </w:tcBorders>
            <w:shd w:val="clear" w:color="auto" w:fill="auto"/>
          </w:tcPr>
          <w:p w14:paraId="2219B052" w14:textId="77777777" w:rsidR="00073385" w:rsidRDefault="00073385"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4E8DEC24" w14:textId="77777777" w:rsidR="00073385" w:rsidRDefault="00073385"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5A8FD51" w14:textId="77777777" w:rsidR="00073385" w:rsidRDefault="00073385" w:rsidP="00073385">
            <w:pPr>
              <w:spacing w:before="60" w:after="60" w:line="240" w:lineRule="auto"/>
              <w:ind w:left="0"/>
              <w:rPr>
                <w:rFonts w:cs="Arial"/>
                <w:sz w:val="20"/>
                <w:szCs w:val="20"/>
              </w:rPr>
            </w:pPr>
            <w:r>
              <w:rPr>
                <w:rFonts w:cs="Arial"/>
                <w:sz w:val="20"/>
                <w:szCs w:val="20"/>
              </w:rPr>
              <w:t>7/8/17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2F0AD6E8" w14:textId="77777777" w:rsidR="00073385" w:rsidRDefault="00073385" w:rsidP="00073385">
            <w:pPr>
              <w:spacing w:before="60" w:after="60" w:line="240" w:lineRule="auto"/>
              <w:ind w:left="0"/>
              <w:rPr>
                <w:rFonts w:cs="Arial"/>
                <w:sz w:val="20"/>
                <w:szCs w:val="20"/>
              </w:rPr>
            </w:pPr>
            <w:r>
              <w:rPr>
                <w:rFonts w:cs="Arial"/>
                <w:sz w:val="20"/>
                <w:szCs w:val="20"/>
              </w:rPr>
              <w:t xml:space="preserve">CarbonNet emailed AFMA </w:t>
            </w:r>
            <w:r w:rsidRPr="008D1DE5">
              <w:rPr>
                <w:rFonts w:cs="Arial"/>
                <w:sz w:val="20"/>
                <w:szCs w:val="20"/>
              </w:rPr>
              <w:t>with an update on the duration and expanded operational area for the MSS.</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4DE34AE3" w14:textId="67A6B87C" w:rsidR="00073385" w:rsidRDefault="00840FDA" w:rsidP="00073385">
            <w:pPr>
              <w:tabs>
                <w:tab w:val="left" w:pos="1194"/>
              </w:tabs>
              <w:spacing w:before="60" w:after="60" w:line="240" w:lineRule="auto"/>
              <w:ind w:left="0"/>
              <w:rPr>
                <w:rFonts w:cs="Arial"/>
                <w:sz w:val="20"/>
                <w:szCs w:val="20"/>
              </w:rPr>
            </w:pPr>
            <w:r>
              <w:rPr>
                <w:rFonts w:cs="Arial"/>
                <w:sz w:val="20"/>
                <w:szCs w:val="20"/>
              </w:rPr>
              <w:t>N/A</w:t>
            </w:r>
          </w:p>
        </w:tc>
      </w:tr>
      <w:tr w:rsidR="00433C4A" w:rsidRPr="00FF0808" w14:paraId="11572AB4" w14:textId="77777777" w:rsidTr="00077C5F">
        <w:trPr>
          <w:trHeight w:val="304"/>
        </w:trPr>
        <w:tc>
          <w:tcPr>
            <w:tcW w:w="1427" w:type="dxa"/>
            <w:tcBorders>
              <w:top w:val="nil"/>
              <w:left w:val="single" w:sz="4" w:space="0" w:color="808080"/>
              <w:bottom w:val="single" w:sz="4" w:space="0" w:color="808080"/>
              <w:right w:val="single" w:sz="4" w:space="0" w:color="808080"/>
            </w:tcBorders>
            <w:shd w:val="clear" w:color="auto" w:fill="auto"/>
          </w:tcPr>
          <w:p w14:paraId="0EC6414C" w14:textId="77777777" w:rsidR="00433C4A" w:rsidRDefault="00433C4A" w:rsidP="00073385">
            <w:pPr>
              <w:spacing w:before="60" w:after="60" w:line="240" w:lineRule="auto"/>
              <w:ind w:left="0"/>
              <w:rPr>
                <w:rFonts w:cs="Arial"/>
                <w:sz w:val="20"/>
                <w:szCs w:val="20"/>
              </w:rPr>
            </w:pPr>
          </w:p>
        </w:tc>
        <w:tc>
          <w:tcPr>
            <w:tcW w:w="1629" w:type="dxa"/>
            <w:tcBorders>
              <w:top w:val="nil"/>
              <w:left w:val="single" w:sz="4" w:space="0" w:color="808080"/>
              <w:bottom w:val="single" w:sz="4" w:space="0" w:color="808080"/>
              <w:right w:val="single" w:sz="4" w:space="0" w:color="808080"/>
            </w:tcBorders>
            <w:shd w:val="clear" w:color="auto" w:fill="auto"/>
          </w:tcPr>
          <w:p w14:paraId="66C3AED7" w14:textId="77777777" w:rsidR="00433C4A" w:rsidRDefault="00433C4A"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7C174AB7" w14:textId="3D393992" w:rsidR="00433C4A" w:rsidRDefault="00433C4A"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249A3BCE" w14:textId="42126A56" w:rsidR="00433C4A" w:rsidRDefault="00433C4A"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4BF501E9" w14:textId="5786363D" w:rsidR="00433C4A" w:rsidRDefault="00433C4A" w:rsidP="00073385">
            <w:pPr>
              <w:tabs>
                <w:tab w:val="left" w:pos="1194"/>
              </w:tabs>
              <w:spacing w:before="60" w:after="60" w:line="240" w:lineRule="auto"/>
              <w:ind w:left="0"/>
              <w:rPr>
                <w:rFonts w:cs="Arial"/>
                <w:sz w:val="20"/>
                <w:szCs w:val="20"/>
              </w:rPr>
            </w:pPr>
            <w:r>
              <w:rPr>
                <w:rFonts w:cs="Arial"/>
                <w:sz w:val="20"/>
                <w:szCs w:val="20"/>
              </w:rPr>
              <w:t>N/A</w:t>
            </w:r>
          </w:p>
        </w:tc>
      </w:tr>
      <w:tr w:rsidR="00433C4A" w:rsidRPr="00FF0808" w14:paraId="7DDFAF69" w14:textId="77777777" w:rsidTr="00077C5F">
        <w:trPr>
          <w:trHeight w:val="304"/>
        </w:trPr>
        <w:tc>
          <w:tcPr>
            <w:tcW w:w="1427" w:type="dxa"/>
            <w:tcBorders>
              <w:top w:val="single" w:sz="4" w:space="0" w:color="808080"/>
              <w:left w:val="single" w:sz="4" w:space="0" w:color="808080"/>
              <w:bottom w:val="single" w:sz="4" w:space="0" w:color="808080"/>
              <w:right w:val="single" w:sz="4" w:space="0" w:color="808080"/>
            </w:tcBorders>
            <w:shd w:val="clear" w:color="auto" w:fill="auto"/>
          </w:tcPr>
          <w:p w14:paraId="1B38A15D" w14:textId="77777777" w:rsidR="00433C4A" w:rsidRDefault="00433C4A" w:rsidP="00073385">
            <w:pPr>
              <w:spacing w:before="60" w:after="60" w:line="240" w:lineRule="auto"/>
              <w:ind w:left="0"/>
              <w:rPr>
                <w:rFonts w:cs="Arial"/>
                <w:sz w:val="20"/>
                <w:szCs w:val="20"/>
              </w:rPr>
            </w:pPr>
            <w:r>
              <w:rPr>
                <w:rFonts w:cs="Arial"/>
                <w:sz w:val="20"/>
                <w:szCs w:val="20"/>
              </w:rPr>
              <w:t xml:space="preserve">Australian Maritime </w:t>
            </w:r>
            <w:r>
              <w:rPr>
                <w:rFonts w:cs="Arial"/>
                <w:sz w:val="20"/>
                <w:szCs w:val="20"/>
              </w:rPr>
              <w:lastRenderedPageBreak/>
              <w:t>Safety Authority (AMSA)</w:t>
            </w:r>
          </w:p>
        </w:tc>
        <w:tc>
          <w:tcPr>
            <w:tcW w:w="1629" w:type="dxa"/>
            <w:vMerge w:val="restart"/>
            <w:tcBorders>
              <w:top w:val="single" w:sz="4" w:space="0" w:color="808080"/>
              <w:left w:val="single" w:sz="4" w:space="0" w:color="808080"/>
              <w:right w:val="single" w:sz="4" w:space="0" w:color="808080"/>
            </w:tcBorders>
            <w:shd w:val="clear" w:color="auto" w:fill="auto"/>
          </w:tcPr>
          <w:p w14:paraId="2412666C" w14:textId="0896CC5F" w:rsidR="00433C4A" w:rsidRPr="00840FDA" w:rsidRDefault="00433C4A" w:rsidP="00840FDA">
            <w:pPr>
              <w:shd w:val="clear" w:color="auto" w:fill="FFFFFF"/>
              <w:spacing w:before="60" w:after="60"/>
              <w:ind w:left="30"/>
              <w:rPr>
                <w:rFonts w:cs="Arial"/>
                <w:color w:val="000000"/>
                <w:sz w:val="20"/>
                <w:szCs w:val="20"/>
                <w:lang w:val="en"/>
              </w:rPr>
            </w:pPr>
            <w:r w:rsidRPr="002630D3">
              <w:rPr>
                <w:rFonts w:cs="Arial"/>
                <w:color w:val="000000"/>
                <w:sz w:val="20"/>
                <w:szCs w:val="20"/>
                <w:lang w:val="en"/>
              </w:rPr>
              <w:lastRenderedPageBreak/>
              <w:t xml:space="preserve">AMSA is a </w:t>
            </w:r>
            <w:r w:rsidRPr="002630D3">
              <w:rPr>
                <w:rFonts w:cs="Arial"/>
                <w:color w:val="000000"/>
                <w:sz w:val="20"/>
                <w:szCs w:val="20"/>
                <w:lang w:val="en"/>
              </w:rPr>
              <w:lastRenderedPageBreak/>
              <w:t xml:space="preserve">statutory authority established under the </w:t>
            </w:r>
            <w:r w:rsidRPr="00891DE1">
              <w:rPr>
                <w:rFonts w:cs="Arial"/>
                <w:i/>
                <w:color w:val="000000"/>
                <w:sz w:val="20"/>
                <w:szCs w:val="20"/>
                <w:lang w:val="en"/>
              </w:rPr>
              <w:t>Australian Maritime Safety Authority Act 1990</w:t>
            </w:r>
            <w:r w:rsidRPr="002630D3">
              <w:rPr>
                <w:rFonts w:cs="Arial"/>
                <w:color w:val="000000"/>
                <w:sz w:val="20"/>
                <w:szCs w:val="20"/>
                <w:lang w:val="en"/>
              </w:rPr>
              <w:t>, with</w:t>
            </w:r>
            <w:r w:rsidR="009D6737">
              <w:rPr>
                <w:rFonts w:cs="Arial"/>
                <w:color w:val="000000"/>
                <w:sz w:val="20"/>
                <w:szCs w:val="20"/>
                <w:lang w:val="en"/>
              </w:rPr>
              <w:t xml:space="preserve"> </w:t>
            </w:r>
            <w:r>
              <w:rPr>
                <w:rFonts w:cs="Arial"/>
                <w:color w:val="000000"/>
                <w:sz w:val="20"/>
                <w:szCs w:val="20"/>
                <w:lang w:val="en"/>
              </w:rPr>
              <w:t xml:space="preserve">one </w:t>
            </w:r>
            <w:r w:rsidRPr="002630D3">
              <w:rPr>
                <w:rFonts w:cs="Arial"/>
                <w:color w:val="000000"/>
                <w:sz w:val="20"/>
                <w:szCs w:val="20"/>
                <w:lang w:val="en"/>
              </w:rPr>
              <w:t xml:space="preserve"> its principal functions being to</w:t>
            </w:r>
            <w:r>
              <w:rPr>
                <w:rFonts w:cs="Arial"/>
                <w:color w:val="000000"/>
                <w:sz w:val="20"/>
                <w:szCs w:val="20"/>
                <w:lang w:val="en"/>
              </w:rPr>
              <w:t xml:space="preserve"> </w:t>
            </w:r>
            <w:r w:rsidRPr="002630D3">
              <w:rPr>
                <w:rFonts w:cs="Arial"/>
                <w:color w:val="000000"/>
                <w:sz w:val="20"/>
                <w:szCs w:val="20"/>
                <w:lang w:val="en"/>
              </w:rPr>
              <w:t>promote maritime safety and protec</w:t>
            </w:r>
            <w:r>
              <w:rPr>
                <w:rFonts w:cs="Arial"/>
                <w:color w:val="000000"/>
                <w:sz w:val="20"/>
                <w:szCs w:val="20"/>
                <w:lang w:val="en"/>
              </w:rPr>
              <w:t>tion of the marine environment.</w:t>
            </w:r>
          </w:p>
        </w:tc>
        <w:tc>
          <w:tcPr>
            <w:tcW w:w="1055" w:type="dxa"/>
            <w:tcBorders>
              <w:top w:val="single" w:sz="4" w:space="0" w:color="808080"/>
              <w:left w:val="single" w:sz="4" w:space="0" w:color="808080"/>
              <w:bottom w:val="single" w:sz="4" w:space="0" w:color="808080"/>
              <w:right w:val="single" w:sz="4" w:space="0" w:color="808080"/>
            </w:tcBorders>
          </w:tcPr>
          <w:p w14:paraId="70F0028A" w14:textId="77777777" w:rsidR="00433C4A" w:rsidRDefault="00433C4A" w:rsidP="00073385">
            <w:pPr>
              <w:spacing w:before="60" w:after="60" w:line="240" w:lineRule="auto"/>
              <w:ind w:left="0"/>
              <w:rPr>
                <w:rFonts w:cs="Arial"/>
                <w:sz w:val="20"/>
                <w:szCs w:val="20"/>
              </w:rPr>
            </w:pPr>
            <w:r>
              <w:rPr>
                <w:rFonts w:cs="Arial"/>
                <w:sz w:val="20"/>
                <w:szCs w:val="20"/>
              </w:rPr>
              <w:lastRenderedPageBreak/>
              <w:t>21/3/17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429E6902" w14:textId="77777777" w:rsidR="00433C4A" w:rsidRDefault="00433C4A" w:rsidP="00073385">
            <w:pPr>
              <w:spacing w:before="60" w:after="60" w:line="240" w:lineRule="auto"/>
              <w:ind w:left="0"/>
              <w:rPr>
                <w:rFonts w:cs="Arial"/>
                <w:sz w:val="20"/>
                <w:szCs w:val="20"/>
              </w:rPr>
            </w:pPr>
            <w:r>
              <w:rPr>
                <w:rFonts w:cs="Arial"/>
                <w:sz w:val="20"/>
                <w:szCs w:val="20"/>
              </w:rPr>
              <w:t xml:space="preserve">CarbonNet sent email to AMSA re MSS, including fact sheet and </w:t>
            </w:r>
            <w:r>
              <w:rPr>
                <w:rFonts w:cs="Arial"/>
                <w:sz w:val="20"/>
                <w:szCs w:val="20"/>
              </w:rPr>
              <w:lastRenderedPageBreak/>
              <w:t>contact details.</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522F5BC0" w14:textId="77777777" w:rsidR="00433C4A" w:rsidRDefault="00433C4A" w:rsidP="00073385">
            <w:pPr>
              <w:spacing w:before="60" w:after="60" w:line="240" w:lineRule="auto"/>
              <w:ind w:left="0"/>
              <w:rPr>
                <w:rFonts w:cs="Arial"/>
                <w:sz w:val="20"/>
                <w:szCs w:val="20"/>
              </w:rPr>
            </w:pPr>
            <w:r>
              <w:rPr>
                <w:rFonts w:cs="Arial"/>
                <w:sz w:val="20"/>
                <w:szCs w:val="20"/>
              </w:rPr>
              <w:lastRenderedPageBreak/>
              <w:t>N/A</w:t>
            </w:r>
          </w:p>
        </w:tc>
      </w:tr>
      <w:tr w:rsidR="00433C4A" w:rsidRPr="00FF0808" w14:paraId="5A3EB28F" w14:textId="77777777" w:rsidTr="00077C5F">
        <w:trPr>
          <w:trHeight w:val="304"/>
        </w:trPr>
        <w:tc>
          <w:tcPr>
            <w:tcW w:w="1427" w:type="dxa"/>
            <w:tcBorders>
              <w:top w:val="single" w:sz="4" w:space="0" w:color="808080"/>
              <w:left w:val="single" w:sz="4" w:space="0" w:color="808080"/>
              <w:bottom w:val="nil"/>
              <w:right w:val="single" w:sz="4" w:space="0" w:color="808080"/>
            </w:tcBorders>
            <w:shd w:val="clear" w:color="auto" w:fill="auto"/>
          </w:tcPr>
          <w:p w14:paraId="0959471C" w14:textId="77777777" w:rsidR="00433C4A" w:rsidRDefault="00433C4A" w:rsidP="00073385">
            <w:pPr>
              <w:spacing w:before="60" w:after="60" w:line="240" w:lineRule="auto"/>
              <w:ind w:left="0"/>
              <w:rPr>
                <w:rFonts w:cs="Arial"/>
                <w:sz w:val="20"/>
                <w:szCs w:val="20"/>
              </w:rPr>
            </w:pPr>
          </w:p>
        </w:tc>
        <w:tc>
          <w:tcPr>
            <w:tcW w:w="1629" w:type="dxa"/>
            <w:vMerge/>
            <w:tcBorders>
              <w:left w:val="single" w:sz="4" w:space="0" w:color="808080"/>
              <w:right w:val="single" w:sz="4" w:space="0" w:color="808080"/>
            </w:tcBorders>
            <w:shd w:val="clear" w:color="auto" w:fill="auto"/>
          </w:tcPr>
          <w:p w14:paraId="4109A94E" w14:textId="77777777" w:rsidR="00433C4A" w:rsidRDefault="00433C4A"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2AB0EEA7" w14:textId="77777777" w:rsidR="00433C4A" w:rsidRDefault="00433C4A" w:rsidP="00073385">
            <w:pPr>
              <w:spacing w:before="60" w:after="60" w:line="240" w:lineRule="auto"/>
              <w:ind w:left="0"/>
              <w:rPr>
                <w:rFonts w:cs="Arial"/>
                <w:sz w:val="20"/>
                <w:szCs w:val="20"/>
              </w:rPr>
            </w:pPr>
            <w:r>
              <w:rPr>
                <w:rFonts w:cs="Arial"/>
                <w:sz w:val="20"/>
                <w:szCs w:val="20"/>
              </w:rPr>
              <w:t>27/3/17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60C043EC" w14:textId="77777777" w:rsidR="00433C4A" w:rsidRPr="008602D0" w:rsidRDefault="00433C4A" w:rsidP="00073385">
            <w:pPr>
              <w:spacing w:before="60" w:after="60" w:line="240" w:lineRule="auto"/>
              <w:ind w:left="0"/>
              <w:rPr>
                <w:rFonts w:cs="Arial"/>
                <w:sz w:val="20"/>
                <w:szCs w:val="20"/>
              </w:rPr>
            </w:pPr>
            <w:r w:rsidRPr="008602D0">
              <w:rPr>
                <w:rFonts w:cs="Arial"/>
                <w:sz w:val="20"/>
                <w:szCs w:val="20"/>
              </w:rPr>
              <w:t>Email from AMSA in response to CarbonNet MSS email providing historic traffic plot for survey area and directions for survey vessel.</w:t>
            </w:r>
          </w:p>
          <w:p w14:paraId="4AFAAAF9" w14:textId="77777777" w:rsidR="00433C4A" w:rsidRDefault="00433C4A" w:rsidP="00073385">
            <w:pPr>
              <w:spacing w:before="60" w:after="60" w:line="240" w:lineRule="auto"/>
              <w:ind w:left="0"/>
              <w:rPr>
                <w:rFonts w:cs="Arial"/>
                <w:sz w:val="20"/>
                <w:szCs w:val="20"/>
              </w:rPr>
            </w:pPr>
            <w:r w:rsidRPr="008602D0">
              <w:rPr>
                <w:rFonts w:cs="Arial"/>
                <w:sz w:val="20"/>
                <w:szCs w:val="20"/>
              </w:rPr>
              <w:t>AMSA requests</w:t>
            </w:r>
            <w:r>
              <w:rPr>
                <w:rFonts w:cs="Arial"/>
                <w:sz w:val="20"/>
                <w:szCs w:val="20"/>
              </w:rPr>
              <w:t>:</w:t>
            </w:r>
          </w:p>
          <w:p w14:paraId="0D7DDE10" w14:textId="77777777" w:rsidR="00433C4A" w:rsidRDefault="00433C4A" w:rsidP="00073385">
            <w:pPr>
              <w:pStyle w:val="ListParagraph0"/>
              <w:numPr>
                <w:ilvl w:val="0"/>
                <w:numId w:val="508"/>
              </w:numPr>
              <w:spacing w:before="60" w:after="60" w:line="240" w:lineRule="auto"/>
              <w:rPr>
                <w:rFonts w:cs="Arial"/>
                <w:sz w:val="20"/>
                <w:szCs w:val="20"/>
              </w:rPr>
            </w:pPr>
            <w:r w:rsidRPr="008602D0">
              <w:rPr>
                <w:rFonts w:cs="Arial"/>
                <w:sz w:val="20"/>
                <w:szCs w:val="20"/>
              </w:rPr>
              <w:t xml:space="preserve">The survey vessel to contact AMSA’s Joint Rescue Coordination Centre (JRCC) through rccaus@amsa.gov.au for AUSCOAST warning broadcasts before operations commence and during the survey period. AMSA’s JRCC will require the vessels details (including name, callsign and Maritime Mobile Service Identity (MMSI)), satellite communications details (including INMARSAT-C and satellite telephone) and area of operation and need to be advised when the survey starts and ends. </w:t>
            </w:r>
          </w:p>
          <w:p w14:paraId="30BCC9DB" w14:textId="77777777" w:rsidR="00433C4A" w:rsidRDefault="00433C4A" w:rsidP="00073385">
            <w:pPr>
              <w:pStyle w:val="ListParagraph0"/>
              <w:numPr>
                <w:ilvl w:val="0"/>
                <w:numId w:val="508"/>
              </w:numPr>
              <w:spacing w:before="60" w:after="60" w:line="240" w:lineRule="auto"/>
              <w:rPr>
                <w:rFonts w:cs="Arial"/>
                <w:sz w:val="20"/>
                <w:szCs w:val="20"/>
              </w:rPr>
            </w:pPr>
            <w:r>
              <w:rPr>
                <w:rFonts w:cs="Arial"/>
                <w:sz w:val="20"/>
                <w:szCs w:val="20"/>
              </w:rPr>
              <w:t>A</w:t>
            </w:r>
            <w:r w:rsidRPr="008602D0">
              <w:rPr>
                <w:rFonts w:cs="Arial"/>
                <w:sz w:val="20"/>
                <w:szCs w:val="20"/>
              </w:rPr>
              <w:t>ustralian Hydrographic Service must also be contacted four working weeks out for Notice to Mariners (see separate contact)</w:t>
            </w:r>
            <w:r>
              <w:rPr>
                <w:rFonts w:cs="Arial"/>
                <w:sz w:val="20"/>
                <w:szCs w:val="20"/>
              </w:rPr>
              <w:t>.</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4D5938D1" w14:textId="77777777" w:rsidR="00433C4A" w:rsidRDefault="00433C4A" w:rsidP="00073385">
            <w:pPr>
              <w:spacing w:before="60" w:after="60" w:line="240" w:lineRule="auto"/>
              <w:ind w:left="0"/>
              <w:rPr>
                <w:rFonts w:cs="Arial"/>
                <w:sz w:val="20"/>
                <w:szCs w:val="20"/>
              </w:rPr>
            </w:pPr>
            <w:r>
              <w:rPr>
                <w:rFonts w:cs="Arial"/>
                <w:sz w:val="20"/>
                <w:szCs w:val="20"/>
              </w:rPr>
              <w:t xml:space="preserve">AMSA comments noted in the preparation of the EP and survey. </w:t>
            </w:r>
          </w:p>
          <w:p w14:paraId="55989952" w14:textId="332D6D82" w:rsidR="00433C4A" w:rsidRDefault="00433C4A" w:rsidP="00433C4A">
            <w:pPr>
              <w:spacing w:before="60" w:after="60" w:line="240" w:lineRule="auto"/>
              <w:ind w:left="0"/>
              <w:rPr>
                <w:rFonts w:cs="Arial"/>
                <w:sz w:val="20"/>
                <w:szCs w:val="20"/>
              </w:rPr>
            </w:pPr>
            <w:r>
              <w:rPr>
                <w:rFonts w:cs="Arial"/>
                <w:sz w:val="20"/>
                <w:szCs w:val="20"/>
              </w:rPr>
              <w:t>The vessel traffic plot map is incorporated into Section 5.6.7 of the EP.</w:t>
            </w:r>
          </w:p>
        </w:tc>
      </w:tr>
      <w:tr w:rsidR="00433C4A" w:rsidRPr="00FF0808" w14:paraId="2A6B95CC" w14:textId="77777777" w:rsidTr="00077C5F">
        <w:trPr>
          <w:trHeight w:val="304"/>
        </w:trPr>
        <w:tc>
          <w:tcPr>
            <w:tcW w:w="1427" w:type="dxa"/>
            <w:tcBorders>
              <w:top w:val="nil"/>
              <w:left w:val="single" w:sz="4" w:space="0" w:color="808080"/>
              <w:bottom w:val="nil"/>
              <w:right w:val="single" w:sz="4" w:space="0" w:color="808080"/>
            </w:tcBorders>
            <w:shd w:val="clear" w:color="auto" w:fill="auto"/>
          </w:tcPr>
          <w:p w14:paraId="3254F4A3" w14:textId="77777777" w:rsidR="00433C4A" w:rsidRDefault="00433C4A" w:rsidP="00073385">
            <w:pPr>
              <w:spacing w:before="60" w:after="60" w:line="240" w:lineRule="auto"/>
              <w:ind w:left="0"/>
              <w:rPr>
                <w:rFonts w:cs="Arial"/>
                <w:sz w:val="20"/>
                <w:szCs w:val="20"/>
              </w:rPr>
            </w:pPr>
          </w:p>
        </w:tc>
        <w:tc>
          <w:tcPr>
            <w:tcW w:w="1629" w:type="dxa"/>
            <w:vMerge/>
            <w:tcBorders>
              <w:left w:val="single" w:sz="4" w:space="0" w:color="808080"/>
              <w:right w:val="single" w:sz="4" w:space="0" w:color="808080"/>
            </w:tcBorders>
            <w:shd w:val="clear" w:color="auto" w:fill="auto"/>
          </w:tcPr>
          <w:p w14:paraId="0039DF25" w14:textId="77777777" w:rsidR="00433C4A" w:rsidRDefault="00433C4A"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47323E52" w14:textId="77777777" w:rsidR="00433C4A" w:rsidRPr="008602D0" w:rsidRDefault="00433C4A" w:rsidP="00073385">
            <w:pPr>
              <w:spacing w:before="60" w:after="60" w:line="240" w:lineRule="auto"/>
              <w:ind w:left="0"/>
              <w:rPr>
                <w:rFonts w:cs="Arial"/>
                <w:sz w:val="20"/>
                <w:szCs w:val="20"/>
              </w:rPr>
            </w:pPr>
            <w:r w:rsidRPr="008602D0">
              <w:rPr>
                <w:rFonts w:cs="Arial"/>
                <w:sz w:val="20"/>
                <w:szCs w:val="20"/>
              </w:rPr>
              <w:t>28/3/17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6D8DAC40" w14:textId="77777777" w:rsidR="00433C4A" w:rsidRPr="008602D0" w:rsidRDefault="00433C4A" w:rsidP="00073385">
            <w:pPr>
              <w:spacing w:before="60" w:after="60" w:line="240" w:lineRule="auto"/>
              <w:ind w:left="0"/>
              <w:rPr>
                <w:rFonts w:cs="Arial"/>
                <w:sz w:val="20"/>
                <w:szCs w:val="20"/>
              </w:rPr>
            </w:pPr>
            <w:r w:rsidRPr="008602D0">
              <w:rPr>
                <w:rFonts w:cs="Arial"/>
                <w:sz w:val="20"/>
                <w:szCs w:val="20"/>
              </w:rPr>
              <w:t>Email from AMSA with requested traffic map with 1 year of data.</w:t>
            </w:r>
          </w:p>
          <w:p w14:paraId="6F160104" w14:textId="77777777" w:rsidR="00433C4A" w:rsidRPr="008602D0" w:rsidRDefault="00433C4A" w:rsidP="00073385">
            <w:pPr>
              <w:spacing w:before="60" w:after="60" w:line="240" w:lineRule="auto"/>
              <w:ind w:left="0"/>
              <w:rPr>
                <w:rFonts w:cs="Arial"/>
                <w:sz w:val="20"/>
                <w:szCs w:val="20"/>
              </w:rPr>
            </w:pP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3A31FAB4" w14:textId="77777777" w:rsidR="00433C4A" w:rsidRDefault="00433C4A" w:rsidP="00073385">
            <w:pPr>
              <w:spacing w:before="60" w:after="60" w:line="240" w:lineRule="auto"/>
              <w:ind w:left="0"/>
              <w:rPr>
                <w:rFonts w:cs="Arial"/>
                <w:sz w:val="20"/>
                <w:szCs w:val="20"/>
              </w:rPr>
            </w:pPr>
            <w:r>
              <w:rPr>
                <w:rFonts w:cs="Arial"/>
                <w:sz w:val="20"/>
                <w:szCs w:val="20"/>
              </w:rPr>
              <w:t>AMSA information noted in the preparation of the EP and survey.</w:t>
            </w:r>
          </w:p>
        </w:tc>
      </w:tr>
      <w:tr w:rsidR="00433C4A" w:rsidRPr="00FF0808" w14:paraId="3D45A175" w14:textId="77777777" w:rsidTr="00077C5F">
        <w:trPr>
          <w:trHeight w:val="304"/>
        </w:trPr>
        <w:tc>
          <w:tcPr>
            <w:tcW w:w="1427" w:type="dxa"/>
            <w:tcBorders>
              <w:top w:val="nil"/>
              <w:left w:val="single" w:sz="4" w:space="0" w:color="808080"/>
              <w:bottom w:val="nil"/>
              <w:right w:val="single" w:sz="4" w:space="0" w:color="808080"/>
            </w:tcBorders>
            <w:shd w:val="clear" w:color="auto" w:fill="auto"/>
          </w:tcPr>
          <w:p w14:paraId="7C5E74BE" w14:textId="77777777" w:rsidR="00433C4A" w:rsidRDefault="00433C4A" w:rsidP="00073385">
            <w:pPr>
              <w:spacing w:before="60" w:after="60" w:line="240" w:lineRule="auto"/>
              <w:ind w:left="0"/>
              <w:rPr>
                <w:rFonts w:cs="Arial"/>
                <w:sz w:val="20"/>
                <w:szCs w:val="20"/>
              </w:rPr>
            </w:pPr>
          </w:p>
        </w:tc>
        <w:tc>
          <w:tcPr>
            <w:tcW w:w="1629" w:type="dxa"/>
            <w:vMerge/>
            <w:tcBorders>
              <w:left w:val="single" w:sz="4" w:space="0" w:color="808080"/>
              <w:right w:val="single" w:sz="4" w:space="0" w:color="808080"/>
            </w:tcBorders>
            <w:shd w:val="clear" w:color="auto" w:fill="auto"/>
          </w:tcPr>
          <w:p w14:paraId="4EB1A1B9" w14:textId="77777777" w:rsidR="00433C4A" w:rsidRDefault="00433C4A"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0F960410" w14:textId="77777777" w:rsidR="00433C4A" w:rsidRPr="008602D0" w:rsidRDefault="00433C4A" w:rsidP="00073385">
            <w:pPr>
              <w:spacing w:before="60" w:after="60" w:line="240" w:lineRule="auto"/>
              <w:ind w:left="0"/>
              <w:rPr>
                <w:rFonts w:cs="Arial"/>
                <w:sz w:val="20"/>
                <w:szCs w:val="20"/>
              </w:rPr>
            </w:pPr>
            <w:r>
              <w:rPr>
                <w:rFonts w:cs="Arial"/>
                <w:sz w:val="20"/>
                <w:szCs w:val="20"/>
              </w:rPr>
              <w:t>21/4/17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092682BA" w14:textId="77777777" w:rsidR="00433C4A" w:rsidRPr="008602D0" w:rsidRDefault="00433C4A" w:rsidP="00073385">
            <w:pPr>
              <w:spacing w:before="60" w:after="60" w:line="240" w:lineRule="auto"/>
              <w:ind w:left="0"/>
              <w:rPr>
                <w:rFonts w:cs="Arial"/>
                <w:sz w:val="20"/>
                <w:szCs w:val="20"/>
              </w:rPr>
            </w:pPr>
            <w:r>
              <w:rPr>
                <w:rFonts w:cs="Arial"/>
                <w:sz w:val="20"/>
                <w:szCs w:val="20"/>
              </w:rPr>
              <w:t xml:space="preserve">CarbonNet </w:t>
            </w:r>
            <w:r w:rsidRPr="002630D3">
              <w:rPr>
                <w:rFonts w:cs="Arial"/>
                <w:sz w:val="20"/>
                <w:szCs w:val="20"/>
              </w:rPr>
              <w:t xml:space="preserve">had a telephone discussion with AMSA’s Manager of Marine Environmental Pollution Response to </w:t>
            </w:r>
            <w:r>
              <w:rPr>
                <w:rFonts w:cs="Arial"/>
                <w:sz w:val="20"/>
                <w:szCs w:val="20"/>
              </w:rPr>
              <w:t xml:space="preserve">request the latest list of oil spill response equipment. AMSA referred CarbonNet to its website where the latest equipment listing can be downloaded. CarbonNet provided a briefing on the oil spill modelling results and enquired about the division of responsibilities between the Commonwealth and the State, given that a spill in Commonwealth waters is predicted to quickly travel into state waters. AMSA stated that in this case, it is likely that given the volume of the spill and the availability of resources nearby, AMSA would delegate overall spill response to DEDJTR (EMD). </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2571D3CB" w14:textId="77777777" w:rsidR="00433C4A" w:rsidRDefault="00433C4A" w:rsidP="00073385">
            <w:pPr>
              <w:spacing w:before="60" w:after="60"/>
              <w:ind w:left="0"/>
              <w:rPr>
                <w:rFonts w:cs="Arial"/>
                <w:sz w:val="20"/>
                <w:szCs w:val="20"/>
              </w:rPr>
            </w:pPr>
            <w:r w:rsidRPr="002630D3">
              <w:rPr>
                <w:rFonts w:cs="Arial"/>
                <w:sz w:val="20"/>
                <w:szCs w:val="20"/>
              </w:rPr>
              <w:t xml:space="preserve">CarbonNet </w:t>
            </w:r>
            <w:r>
              <w:rPr>
                <w:rFonts w:cs="Arial"/>
                <w:sz w:val="20"/>
                <w:szCs w:val="20"/>
              </w:rPr>
              <w:t xml:space="preserve">thanked AMSA and </w:t>
            </w:r>
            <w:r w:rsidRPr="002630D3">
              <w:rPr>
                <w:rFonts w:cs="Arial"/>
                <w:sz w:val="20"/>
                <w:szCs w:val="20"/>
              </w:rPr>
              <w:t>progressed the OPEP based on the information provided.</w:t>
            </w:r>
          </w:p>
          <w:p w14:paraId="1AD6CB65" w14:textId="77777777" w:rsidR="00433C4A" w:rsidRDefault="00433C4A" w:rsidP="00073385">
            <w:pPr>
              <w:spacing w:before="60" w:after="60" w:line="240" w:lineRule="auto"/>
              <w:ind w:left="0"/>
              <w:rPr>
                <w:rFonts w:cs="Arial"/>
                <w:sz w:val="20"/>
                <w:szCs w:val="20"/>
              </w:rPr>
            </w:pPr>
            <w:r>
              <w:rPr>
                <w:rFonts w:cs="Arial"/>
                <w:sz w:val="20"/>
                <w:szCs w:val="20"/>
              </w:rPr>
              <w:t xml:space="preserve">CarbonNet downloaded the equipment lists available for Victoria. </w:t>
            </w:r>
          </w:p>
        </w:tc>
      </w:tr>
      <w:tr w:rsidR="00433C4A" w:rsidRPr="00FF0808" w14:paraId="45328802" w14:textId="77777777" w:rsidTr="00077C5F">
        <w:trPr>
          <w:trHeight w:val="304"/>
        </w:trPr>
        <w:tc>
          <w:tcPr>
            <w:tcW w:w="1427" w:type="dxa"/>
            <w:tcBorders>
              <w:top w:val="nil"/>
              <w:left w:val="single" w:sz="4" w:space="0" w:color="808080"/>
              <w:bottom w:val="nil"/>
              <w:right w:val="single" w:sz="4" w:space="0" w:color="808080"/>
            </w:tcBorders>
            <w:shd w:val="clear" w:color="auto" w:fill="auto"/>
          </w:tcPr>
          <w:p w14:paraId="334FCF16" w14:textId="77777777" w:rsidR="00433C4A" w:rsidRDefault="00433C4A" w:rsidP="00073385">
            <w:pPr>
              <w:spacing w:before="60" w:after="60" w:line="240" w:lineRule="auto"/>
              <w:ind w:left="0"/>
              <w:rPr>
                <w:rFonts w:cs="Arial"/>
                <w:sz w:val="20"/>
                <w:szCs w:val="20"/>
              </w:rPr>
            </w:pPr>
          </w:p>
        </w:tc>
        <w:tc>
          <w:tcPr>
            <w:tcW w:w="1629" w:type="dxa"/>
            <w:vMerge/>
            <w:tcBorders>
              <w:left w:val="single" w:sz="4" w:space="0" w:color="808080"/>
              <w:right w:val="single" w:sz="4" w:space="0" w:color="808080"/>
            </w:tcBorders>
            <w:shd w:val="clear" w:color="auto" w:fill="auto"/>
          </w:tcPr>
          <w:p w14:paraId="17C840B5" w14:textId="77777777" w:rsidR="00433C4A" w:rsidRDefault="00433C4A"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78671EB1" w14:textId="77777777" w:rsidR="00433C4A" w:rsidRDefault="00433C4A" w:rsidP="00073385">
            <w:pPr>
              <w:spacing w:before="60" w:after="60" w:line="240" w:lineRule="auto"/>
              <w:ind w:left="0"/>
              <w:rPr>
                <w:rFonts w:cs="Arial"/>
                <w:sz w:val="20"/>
                <w:szCs w:val="20"/>
              </w:rPr>
            </w:pPr>
            <w:r>
              <w:rPr>
                <w:rFonts w:cs="Arial"/>
                <w:sz w:val="20"/>
                <w:szCs w:val="20"/>
              </w:rPr>
              <w:t>14/6/17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27115C52" w14:textId="77777777" w:rsidR="00433C4A" w:rsidRDefault="00433C4A" w:rsidP="00073385">
            <w:pPr>
              <w:spacing w:before="60" w:after="60" w:line="240" w:lineRule="auto"/>
              <w:ind w:left="0"/>
              <w:rPr>
                <w:rFonts w:cs="Arial"/>
                <w:sz w:val="20"/>
                <w:szCs w:val="20"/>
              </w:rPr>
            </w:pPr>
            <w:r>
              <w:rPr>
                <w:rFonts w:cs="Arial"/>
                <w:sz w:val="20"/>
                <w:szCs w:val="20"/>
              </w:rPr>
              <w:t xml:space="preserve">Meeting with AMSA regarding possible </w:t>
            </w:r>
            <w:r w:rsidRPr="008602D0">
              <w:rPr>
                <w:rFonts w:cs="Arial"/>
                <w:sz w:val="20"/>
                <w:szCs w:val="20"/>
              </w:rPr>
              <w:t xml:space="preserve">methods to ensure the safety of mariners while the survey is being undertaken. </w:t>
            </w:r>
          </w:p>
          <w:p w14:paraId="600F7E8B" w14:textId="77777777" w:rsidR="00433C4A" w:rsidRDefault="00433C4A" w:rsidP="00073385">
            <w:pPr>
              <w:spacing w:before="60" w:after="60" w:line="240" w:lineRule="auto"/>
              <w:ind w:left="0"/>
              <w:rPr>
                <w:rFonts w:cs="Arial"/>
                <w:sz w:val="20"/>
                <w:szCs w:val="20"/>
              </w:rPr>
            </w:pPr>
            <w:r>
              <w:rPr>
                <w:rFonts w:cs="Arial"/>
                <w:sz w:val="20"/>
                <w:szCs w:val="20"/>
              </w:rPr>
              <w:t>Advice received from AMSA:</w:t>
            </w:r>
          </w:p>
          <w:p w14:paraId="4D7682A5" w14:textId="77777777" w:rsidR="00433C4A" w:rsidRPr="008602D0" w:rsidRDefault="00433C4A" w:rsidP="00073385">
            <w:pPr>
              <w:spacing w:before="60" w:after="60" w:line="240" w:lineRule="auto"/>
              <w:ind w:left="0"/>
              <w:rPr>
                <w:rFonts w:cs="Arial"/>
                <w:sz w:val="20"/>
                <w:szCs w:val="20"/>
              </w:rPr>
            </w:pPr>
            <w:r w:rsidRPr="008602D0">
              <w:rPr>
                <w:rFonts w:cs="Arial"/>
                <w:sz w:val="20"/>
                <w:szCs w:val="20"/>
              </w:rPr>
              <w:t xml:space="preserve">There are no mechanisms under Commonwealth legislation (Navigation Act) for establishing exclusion zones around survey </w:t>
            </w:r>
            <w:r w:rsidRPr="008602D0">
              <w:rPr>
                <w:rFonts w:cs="Arial"/>
                <w:sz w:val="20"/>
                <w:szCs w:val="20"/>
              </w:rPr>
              <w:lastRenderedPageBreak/>
              <w:t xml:space="preserve">vessels (as there are under Victorian waters). Best ways to ensure this is to request clearance through AMSA &amp; Austn Hydrographic Office.  AMSA advised that a requested clearance and the use of survey support vessels are the main controls regarding collision risk. </w:t>
            </w:r>
            <w:r w:rsidRPr="008602D0">
              <w:rPr>
                <w:rFonts w:cs="Arial"/>
                <w:sz w:val="20"/>
                <w:szCs w:val="20"/>
              </w:rPr>
              <w:br/>
              <w:t xml:space="preserve">Advised that near misses/accidents are reportable under Navigation Act.  For recreational boats the responsible authority is Victoria &amp; for commercial it is transitioning from Victoria to the Commonwealth (AMSA). </w:t>
            </w:r>
            <w:r w:rsidRPr="008602D0">
              <w:rPr>
                <w:rFonts w:cs="Arial"/>
                <w:sz w:val="20"/>
                <w:szCs w:val="20"/>
              </w:rPr>
              <w:br/>
              <w:t xml:space="preserve">Need to be aware of the area to be avoided in Bass Strait and need to get a permit from NOPSEMA for seismic vessel to enter into this area: </w:t>
            </w:r>
            <w:r w:rsidRPr="008602D0">
              <w:rPr>
                <w:rFonts w:cs="Arial"/>
                <w:sz w:val="20"/>
                <w:szCs w:val="20"/>
              </w:rPr>
              <w:br/>
              <w:t xml:space="preserve">https://www.border.gov.au/AustralianBorderForce/Documents/Bass%20Strait%20Area%20to%20be%20Avoided%20Industry%20information%20sheet.pdf </w:t>
            </w:r>
            <w:r w:rsidRPr="008602D0">
              <w:rPr>
                <w:rFonts w:cs="Arial"/>
                <w:sz w:val="20"/>
                <w:szCs w:val="20"/>
              </w:rPr>
              <w:br/>
              <w:t xml:space="preserve">There may also be provisions under the OPGGS Act that provide that it is an offence to interfere with a seismic vessel. </w:t>
            </w:r>
          </w:p>
          <w:p w14:paraId="567EE036" w14:textId="77777777" w:rsidR="00433C4A" w:rsidRDefault="00433C4A" w:rsidP="00073385">
            <w:pPr>
              <w:spacing w:before="60" w:after="60" w:line="240" w:lineRule="auto"/>
              <w:ind w:left="0"/>
              <w:rPr>
                <w:rFonts w:cs="Arial"/>
                <w:sz w:val="20"/>
                <w:szCs w:val="20"/>
              </w:rPr>
            </w:pP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5C6C6383" w14:textId="77777777" w:rsidR="00433C4A" w:rsidRDefault="00433C4A" w:rsidP="00073385">
            <w:pPr>
              <w:spacing w:before="60" w:after="60" w:line="240" w:lineRule="auto"/>
              <w:ind w:left="0"/>
              <w:rPr>
                <w:rFonts w:cs="Arial"/>
                <w:sz w:val="20"/>
                <w:szCs w:val="20"/>
              </w:rPr>
            </w:pPr>
            <w:r>
              <w:rPr>
                <w:rFonts w:cs="Arial"/>
                <w:sz w:val="20"/>
                <w:szCs w:val="20"/>
              </w:rPr>
              <w:lastRenderedPageBreak/>
              <w:t>AMSA comments noted in the preparation of the EP and survey.</w:t>
            </w:r>
          </w:p>
        </w:tc>
      </w:tr>
      <w:tr w:rsidR="00433C4A" w:rsidRPr="00FF0808" w14:paraId="7D37C178" w14:textId="77777777" w:rsidTr="00077C5F">
        <w:trPr>
          <w:trHeight w:val="304"/>
        </w:trPr>
        <w:tc>
          <w:tcPr>
            <w:tcW w:w="1427" w:type="dxa"/>
            <w:tcBorders>
              <w:top w:val="nil"/>
              <w:left w:val="single" w:sz="4" w:space="0" w:color="808080"/>
              <w:bottom w:val="nil"/>
              <w:right w:val="single" w:sz="4" w:space="0" w:color="808080"/>
            </w:tcBorders>
            <w:shd w:val="clear" w:color="auto" w:fill="auto"/>
          </w:tcPr>
          <w:p w14:paraId="3E989263" w14:textId="77777777" w:rsidR="00433C4A" w:rsidRDefault="00433C4A" w:rsidP="00073385">
            <w:pPr>
              <w:spacing w:before="60" w:after="60" w:line="240" w:lineRule="auto"/>
              <w:ind w:left="0"/>
              <w:rPr>
                <w:rFonts w:cs="Arial"/>
                <w:sz w:val="20"/>
                <w:szCs w:val="20"/>
              </w:rPr>
            </w:pPr>
          </w:p>
        </w:tc>
        <w:tc>
          <w:tcPr>
            <w:tcW w:w="1629" w:type="dxa"/>
            <w:vMerge/>
            <w:tcBorders>
              <w:left w:val="single" w:sz="4" w:space="0" w:color="808080"/>
              <w:right w:val="single" w:sz="4" w:space="0" w:color="808080"/>
            </w:tcBorders>
            <w:shd w:val="clear" w:color="auto" w:fill="auto"/>
          </w:tcPr>
          <w:p w14:paraId="7E34BBC0" w14:textId="77777777" w:rsidR="00433C4A" w:rsidRDefault="00433C4A"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4813A225" w14:textId="77777777" w:rsidR="00433C4A" w:rsidRDefault="00433C4A" w:rsidP="00073385">
            <w:pPr>
              <w:spacing w:before="60" w:after="60" w:line="240" w:lineRule="auto"/>
              <w:ind w:left="0"/>
              <w:rPr>
                <w:rFonts w:cs="Arial"/>
                <w:sz w:val="20"/>
                <w:szCs w:val="20"/>
              </w:rPr>
            </w:pPr>
            <w:r>
              <w:rPr>
                <w:rFonts w:cs="Arial"/>
                <w:sz w:val="20"/>
                <w:szCs w:val="20"/>
              </w:rPr>
              <w:t>21/6/17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344046C6" w14:textId="710774D0" w:rsidR="00433C4A" w:rsidRDefault="00433C4A" w:rsidP="0001591D">
            <w:pPr>
              <w:spacing w:before="60" w:after="60" w:line="240" w:lineRule="auto"/>
              <w:ind w:left="0"/>
              <w:rPr>
                <w:rFonts w:cs="Arial"/>
                <w:sz w:val="20"/>
                <w:szCs w:val="20"/>
              </w:rPr>
            </w:pPr>
            <w:r>
              <w:rPr>
                <w:rFonts w:cs="Arial"/>
                <w:sz w:val="20"/>
                <w:szCs w:val="20"/>
              </w:rPr>
              <w:t>Email from AMSA confirming advice provided in meeting on 14/6/17.</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20E7F1E6" w14:textId="77777777" w:rsidR="00433C4A" w:rsidRDefault="00433C4A" w:rsidP="00073385">
            <w:pPr>
              <w:spacing w:before="60" w:after="60" w:line="240" w:lineRule="auto"/>
              <w:ind w:left="0"/>
              <w:rPr>
                <w:rFonts w:cs="Arial"/>
                <w:sz w:val="20"/>
                <w:szCs w:val="20"/>
              </w:rPr>
            </w:pPr>
            <w:r>
              <w:rPr>
                <w:rFonts w:cs="Arial"/>
                <w:sz w:val="20"/>
                <w:szCs w:val="20"/>
              </w:rPr>
              <w:t>AMSA comments noted in the preparation of the EP and survey.</w:t>
            </w:r>
          </w:p>
        </w:tc>
      </w:tr>
      <w:tr w:rsidR="00433C4A" w:rsidRPr="00FF0808" w14:paraId="3C2BF45C" w14:textId="77777777" w:rsidTr="00891DE1">
        <w:trPr>
          <w:trHeight w:val="304"/>
        </w:trPr>
        <w:tc>
          <w:tcPr>
            <w:tcW w:w="1427" w:type="dxa"/>
            <w:tcBorders>
              <w:top w:val="nil"/>
              <w:left w:val="single" w:sz="4" w:space="0" w:color="808080"/>
              <w:bottom w:val="nil"/>
              <w:right w:val="single" w:sz="4" w:space="0" w:color="808080"/>
            </w:tcBorders>
            <w:shd w:val="clear" w:color="auto" w:fill="auto"/>
          </w:tcPr>
          <w:p w14:paraId="5F060C48" w14:textId="77777777" w:rsidR="00433C4A" w:rsidRDefault="00433C4A" w:rsidP="00073385">
            <w:pPr>
              <w:spacing w:before="60" w:after="60" w:line="240" w:lineRule="auto"/>
              <w:ind w:left="0"/>
              <w:rPr>
                <w:rFonts w:cs="Arial"/>
                <w:sz w:val="20"/>
                <w:szCs w:val="20"/>
              </w:rPr>
            </w:pPr>
          </w:p>
        </w:tc>
        <w:tc>
          <w:tcPr>
            <w:tcW w:w="1629" w:type="dxa"/>
            <w:vMerge/>
            <w:tcBorders>
              <w:left w:val="single" w:sz="4" w:space="0" w:color="808080"/>
              <w:bottom w:val="nil"/>
              <w:right w:val="single" w:sz="4" w:space="0" w:color="808080"/>
            </w:tcBorders>
            <w:shd w:val="clear" w:color="auto" w:fill="auto"/>
          </w:tcPr>
          <w:p w14:paraId="06121162" w14:textId="77777777" w:rsidR="00433C4A" w:rsidRDefault="00433C4A"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7E318D4D" w14:textId="77777777" w:rsidR="00433C4A" w:rsidRDefault="00433C4A" w:rsidP="00073385">
            <w:pPr>
              <w:spacing w:before="60" w:after="60" w:line="240" w:lineRule="auto"/>
              <w:ind w:left="0"/>
              <w:rPr>
                <w:rFonts w:cs="Arial"/>
                <w:sz w:val="20"/>
                <w:szCs w:val="20"/>
              </w:rPr>
            </w:pPr>
            <w:r>
              <w:rPr>
                <w:rFonts w:cs="Arial"/>
                <w:sz w:val="20"/>
                <w:szCs w:val="20"/>
              </w:rPr>
              <w:t>7/8/17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4E06C5B9" w14:textId="77777777" w:rsidR="00433C4A" w:rsidRDefault="00433C4A" w:rsidP="00073385">
            <w:pPr>
              <w:spacing w:before="60" w:after="60" w:line="240" w:lineRule="auto"/>
              <w:ind w:left="0"/>
              <w:rPr>
                <w:rFonts w:cs="Arial"/>
                <w:sz w:val="20"/>
                <w:szCs w:val="20"/>
              </w:rPr>
            </w:pPr>
            <w:r>
              <w:rPr>
                <w:rFonts w:cs="Arial"/>
                <w:sz w:val="20"/>
                <w:szCs w:val="20"/>
              </w:rPr>
              <w:t>Email to AMSA with an update on the duration and expanded operational area for the MSS.</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74DC22B2" w14:textId="77777777" w:rsidR="00433C4A" w:rsidRDefault="00433C4A" w:rsidP="00073385">
            <w:pPr>
              <w:spacing w:before="60" w:after="60" w:line="240" w:lineRule="auto"/>
              <w:ind w:left="0"/>
              <w:rPr>
                <w:rFonts w:cs="Arial"/>
                <w:sz w:val="20"/>
                <w:szCs w:val="20"/>
              </w:rPr>
            </w:pPr>
            <w:r>
              <w:rPr>
                <w:rFonts w:cs="Arial"/>
                <w:sz w:val="20"/>
                <w:szCs w:val="20"/>
              </w:rPr>
              <w:t xml:space="preserve">N/A </w:t>
            </w:r>
          </w:p>
        </w:tc>
      </w:tr>
      <w:tr w:rsidR="00433C4A" w:rsidRPr="00FF0808" w14:paraId="251834F3" w14:textId="77777777" w:rsidTr="00891DE1">
        <w:trPr>
          <w:trHeight w:val="304"/>
        </w:trPr>
        <w:tc>
          <w:tcPr>
            <w:tcW w:w="1427" w:type="dxa"/>
            <w:tcBorders>
              <w:top w:val="nil"/>
              <w:left w:val="single" w:sz="4" w:space="0" w:color="808080"/>
              <w:bottom w:val="nil"/>
              <w:right w:val="single" w:sz="4" w:space="0" w:color="808080"/>
            </w:tcBorders>
            <w:shd w:val="clear" w:color="auto" w:fill="auto"/>
          </w:tcPr>
          <w:p w14:paraId="1188AF13" w14:textId="77777777" w:rsidR="00433C4A" w:rsidRDefault="00433C4A"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43B12034" w14:textId="77777777" w:rsidR="00433C4A" w:rsidRDefault="00433C4A"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7D2D3C7C" w14:textId="62560754" w:rsidR="00433C4A" w:rsidRDefault="00433C4A" w:rsidP="00073385">
            <w:pPr>
              <w:spacing w:before="60" w:after="60" w:line="240" w:lineRule="auto"/>
              <w:ind w:left="0"/>
              <w:rPr>
                <w:rFonts w:cs="Arial"/>
                <w:sz w:val="20"/>
                <w:szCs w:val="20"/>
              </w:rPr>
            </w:pPr>
            <w:r>
              <w:rPr>
                <w:rFonts w:cs="Arial"/>
                <w:sz w:val="20"/>
                <w:szCs w:val="20"/>
              </w:rPr>
              <w:t>9/8/17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4B7659D5" w14:textId="5745DA71" w:rsidR="00433C4A" w:rsidRDefault="00433C4A" w:rsidP="00433C4A">
            <w:pPr>
              <w:spacing w:before="60" w:after="60" w:line="240" w:lineRule="auto"/>
              <w:ind w:left="0"/>
              <w:rPr>
                <w:rFonts w:cs="Arial"/>
                <w:sz w:val="20"/>
                <w:szCs w:val="20"/>
              </w:rPr>
            </w:pPr>
            <w:r>
              <w:rPr>
                <w:rFonts w:cs="Arial"/>
                <w:sz w:val="20"/>
                <w:szCs w:val="20"/>
              </w:rPr>
              <w:t xml:space="preserve">AMSA emailed CarbonNet with a </w:t>
            </w:r>
            <w:r w:rsidRPr="009A7145">
              <w:rPr>
                <w:rFonts w:cs="Arial"/>
                <w:sz w:val="20"/>
                <w:szCs w:val="20"/>
              </w:rPr>
              <w:t>historical AIS traffic plot based o</w:t>
            </w:r>
            <w:r>
              <w:rPr>
                <w:rFonts w:cs="Arial"/>
                <w:sz w:val="20"/>
                <w:szCs w:val="20"/>
              </w:rPr>
              <w:t>n</w:t>
            </w:r>
            <w:r w:rsidRPr="009A7145">
              <w:rPr>
                <w:rFonts w:cs="Arial"/>
                <w:sz w:val="20"/>
                <w:szCs w:val="20"/>
              </w:rPr>
              <w:t xml:space="preserve"> data collected from July 2016 until June 2017</w:t>
            </w:r>
            <w:r>
              <w:rPr>
                <w:rFonts w:cs="Arial"/>
                <w:sz w:val="20"/>
                <w:szCs w:val="20"/>
              </w:rPr>
              <w:t xml:space="preserve">. AMSA noted that as </w:t>
            </w:r>
            <w:r w:rsidRPr="009A7145">
              <w:rPr>
                <w:rFonts w:cs="Arial"/>
                <w:sz w:val="20"/>
                <w:szCs w:val="20"/>
              </w:rPr>
              <w:t xml:space="preserve">there has only been a slight change to the operational area to accommodate the survey vessel’s manoeuvring requirements, previous advice provided by AMSA on </w:t>
            </w:r>
            <w:r>
              <w:rPr>
                <w:rFonts w:cs="Arial"/>
                <w:sz w:val="20"/>
                <w:szCs w:val="20"/>
              </w:rPr>
              <w:t xml:space="preserve">27/3/17 </w:t>
            </w:r>
            <w:r w:rsidRPr="009A7145">
              <w:rPr>
                <w:rFonts w:cs="Arial"/>
                <w:sz w:val="20"/>
                <w:szCs w:val="20"/>
              </w:rPr>
              <w:t>remains extant.</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166112BA" w14:textId="70CEEC7D" w:rsidR="00433C4A" w:rsidRDefault="00433C4A" w:rsidP="00073385">
            <w:pPr>
              <w:spacing w:before="60" w:after="60" w:line="240" w:lineRule="auto"/>
              <w:ind w:left="0"/>
              <w:rPr>
                <w:rFonts w:cs="Arial"/>
                <w:sz w:val="20"/>
                <w:szCs w:val="20"/>
              </w:rPr>
            </w:pPr>
            <w:r>
              <w:rPr>
                <w:rFonts w:cs="Arial"/>
                <w:sz w:val="20"/>
                <w:szCs w:val="20"/>
              </w:rPr>
              <w:t>N/A</w:t>
            </w:r>
          </w:p>
        </w:tc>
      </w:tr>
      <w:tr w:rsidR="00433C4A" w:rsidRPr="00FF0808" w14:paraId="0A04ADC7" w14:textId="77777777" w:rsidTr="00077C5F">
        <w:trPr>
          <w:trHeight w:val="304"/>
        </w:trPr>
        <w:tc>
          <w:tcPr>
            <w:tcW w:w="1427" w:type="dxa"/>
            <w:tcBorders>
              <w:top w:val="nil"/>
              <w:left w:val="single" w:sz="4" w:space="0" w:color="808080"/>
              <w:bottom w:val="nil"/>
              <w:right w:val="single" w:sz="4" w:space="0" w:color="808080"/>
            </w:tcBorders>
            <w:shd w:val="clear" w:color="auto" w:fill="auto"/>
          </w:tcPr>
          <w:p w14:paraId="7D4A4443" w14:textId="77777777" w:rsidR="00433C4A" w:rsidRDefault="00433C4A"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2529AC30" w14:textId="77777777" w:rsidR="00433C4A" w:rsidRDefault="00433C4A"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4ABF6BDA" w14:textId="77777777" w:rsidR="00433C4A" w:rsidRDefault="00433C4A" w:rsidP="00073385">
            <w:pPr>
              <w:spacing w:before="60" w:after="60" w:line="240" w:lineRule="auto"/>
              <w:ind w:left="0"/>
              <w:rPr>
                <w:rFonts w:cs="Arial"/>
                <w:sz w:val="20"/>
                <w:szCs w:val="20"/>
              </w:rPr>
            </w:pPr>
            <w:r>
              <w:rPr>
                <w:rFonts w:cs="Arial"/>
                <w:sz w:val="20"/>
                <w:szCs w:val="20"/>
              </w:rPr>
              <w:t>9/8/</w:t>
            </w:r>
            <w:r w:rsidRPr="002630D3">
              <w:rPr>
                <w:rFonts w:cs="Arial"/>
                <w:sz w:val="20"/>
                <w:szCs w:val="20"/>
              </w:rPr>
              <w:t>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2C996FCD" w14:textId="77777777" w:rsidR="00433C4A" w:rsidRDefault="00433C4A" w:rsidP="00073385">
            <w:pPr>
              <w:spacing w:before="60" w:after="60" w:line="240" w:lineRule="auto"/>
              <w:ind w:left="0"/>
              <w:rPr>
                <w:rFonts w:cs="Arial"/>
                <w:sz w:val="20"/>
                <w:szCs w:val="20"/>
              </w:rPr>
            </w:pPr>
            <w:r w:rsidRPr="002630D3">
              <w:rPr>
                <w:rFonts w:cs="Arial"/>
                <w:sz w:val="20"/>
                <w:szCs w:val="20"/>
              </w:rPr>
              <w:t>CarbonNet had a telephone discussion with AMSA’s Manager of Marine Environmental Pollution Response to confirm the response arrangements between AMSA and EMD in the event of a hydrocarbon spill from the MSS and to confirm the operational monitoring resources that could be accessed from AMSA</w:t>
            </w:r>
            <w:r>
              <w:rPr>
                <w:rFonts w:cs="Arial"/>
                <w:sz w:val="20"/>
                <w:szCs w:val="20"/>
              </w:rPr>
              <w:t xml:space="preserve"> and the delegation of spill response from AMSA to EMD</w:t>
            </w:r>
            <w:r w:rsidRPr="002630D3">
              <w:rPr>
                <w:rFonts w:cs="Arial"/>
                <w:sz w:val="20"/>
                <w:szCs w:val="20"/>
              </w:rPr>
              <w:t xml:space="preserve">. </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1562CAA4" w14:textId="77777777" w:rsidR="00433C4A" w:rsidRDefault="00433C4A" w:rsidP="00073385">
            <w:pPr>
              <w:spacing w:before="60" w:after="60" w:line="240" w:lineRule="auto"/>
              <w:ind w:left="0"/>
              <w:rPr>
                <w:rFonts w:cs="Arial"/>
                <w:sz w:val="20"/>
                <w:szCs w:val="20"/>
              </w:rPr>
            </w:pPr>
            <w:r w:rsidRPr="002630D3">
              <w:rPr>
                <w:rFonts w:cs="Arial"/>
                <w:sz w:val="20"/>
                <w:szCs w:val="20"/>
              </w:rPr>
              <w:t>CarbonNet progressed the OPEP based on the information provided.</w:t>
            </w:r>
          </w:p>
        </w:tc>
      </w:tr>
      <w:tr w:rsidR="00433C4A" w:rsidRPr="00FF0808" w14:paraId="5A58EBB5" w14:textId="77777777" w:rsidTr="00891DE1">
        <w:trPr>
          <w:trHeight w:val="304"/>
        </w:trPr>
        <w:tc>
          <w:tcPr>
            <w:tcW w:w="1427" w:type="dxa"/>
            <w:tcBorders>
              <w:top w:val="nil"/>
              <w:left w:val="single" w:sz="4" w:space="0" w:color="808080"/>
              <w:bottom w:val="nil"/>
              <w:right w:val="single" w:sz="4" w:space="0" w:color="808080"/>
            </w:tcBorders>
            <w:shd w:val="clear" w:color="auto" w:fill="auto"/>
          </w:tcPr>
          <w:p w14:paraId="708B679C" w14:textId="77777777" w:rsidR="00433C4A" w:rsidRDefault="00433C4A"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2F12ADFB" w14:textId="77777777" w:rsidR="00433C4A" w:rsidRDefault="00433C4A"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7AA935A5" w14:textId="77777777" w:rsidR="00433C4A" w:rsidRDefault="00433C4A" w:rsidP="00073385">
            <w:pPr>
              <w:spacing w:before="60" w:after="60" w:line="240" w:lineRule="auto"/>
              <w:ind w:left="0"/>
              <w:rPr>
                <w:rFonts w:cs="Arial"/>
                <w:sz w:val="20"/>
                <w:szCs w:val="20"/>
              </w:rPr>
            </w:pPr>
            <w:r>
              <w:rPr>
                <w:rFonts w:cs="Arial"/>
                <w:sz w:val="20"/>
                <w:szCs w:val="20"/>
              </w:rPr>
              <w:t>9/8/17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487BF560" w14:textId="77777777" w:rsidR="00433C4A" w:rsidRDefault="00433C4A" w:rsidP="00073385">
            <w:pPr>
              <w:spacing w:before="60" w:after="60"/>
              <w:ind w:left="0"/>
              <w:rPr>
                <w:rFonts w:cs="Arial"/>
                <w:sz w:val="20"/>
                <w:szCs w:val="20"/>
              </w:rPr>
            </w:pPr>
            <w:r>
              <w:rPr>
                <w:rFonts w:cs="Arial"/>
                <w:sz w:val="20"/>
                <w:szCs w:val="20"/>
              </w:rPr>
              <w:t xml:space="preserve">CarbonNet followed up the phone call with an email to confirm its understanding of the delegation of spill response from AMSA to </w:t>
            </w:r>
            <w:r>
              <w:rPr>
                <w:rFonts w:cs="Arial"/>
                <w:sz w:val="20"/>
                <w:szCs w:val="20"/>
              </w:rPr>
              <w:lastRenderedPageBreak/>
              <w:t xml:space="preserve">EMD, and to confirm the resources available at the Commonwealth level for scientific monitoring. </w:t>
            </w:r>
          </w:p>
          <w:p w14:paraId="56813612" w14:textId="77777777" w:rsidR="00433C4A" w:rsidRDefault="00433C4A" w:rsidP="00073385">
            <w:pPr>
              <w:spacing w:before="60" w:after="60" w:line="240" w:lineRule="auto"/>
              <w:ind w:left="0"/>
              <w:rPr>
                <w:rFonts w:cs="Arial"/>
                <w:sz w:val="20"/>
                <w:szCs w:val="20"/>
              </w:rPr>
            </w:pPr>
            <w:r>
              <w:rPr>
                <w:rFonts w:cs="Arial"/>
                <w:sz w:val="20"/>
                <w:szCs w:val="20"/>
              </w:rPr>
              <w:t xml:space="preserve">No response to this email has been forthcoming to date. </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36043458" w14:textId="77777777" w:rsidR="00433C4A" w:rsidRDefault="00433C4A" w:rsidP="00073385">
            <w:pPr>
              <w:spacing w:before="60" w:after="60" w:line="240" w:lineRule="auto"/>
              <w:ind w:left="0"/>
              <w:rPr>
                <w:rFonts w:cs="Arial"/>
                <w:sz w:val="20"/>
                <w:szCs w:val="20"/>
              </w:rPr>
            </w:pPr>
            <w:r>
              <w:rPr>
                <w:rFonts w:cs="Arial"/>
                <w:sz w:val="20"/>
                <w:szCs w:val="20"/>
              </w:rPr>
              <w:lastRenderedPageBreak/>
              <w:t>N/A</w:t>
            </w:r>
          </w:p>
        </w:tc>
      </w:tr>
      <w:tr w:rsidR="00433C4A" w:rsidRPr="00FF0808" w14:paraId="4CD727E0" w14:textId="77777777" w:rsidTr="00891DE1">
        <w:trPr>
          <w:trHeight w:val="304"/>
        </w:trPr>
        <w:tc>
          <w:tcPr>
            <w:tcW w:w="1427" w:type="dxa"/>
            <w:tcBorders>
              <w:top w:val="nil"/>
              <w:left w:val="single" w:sz="4" w:space="0" w:color="808080"/>
              <w:bottom w:val="nil"/>
              <w:right w:val="single" w:sz="4" w:space="0" w:color="808080"/>
            </w:tcBorders>
            <w:shd w:val="clear" w:color="auto" w:fill="auto"/>
          </w:tcPr>
          <w:p w14:paraId="19510ECB" w14:textId="77777777" w:rsidR="00433C4A" w:rsidRDefault="00433C4A"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55B14495" w14:textId="77777777" w:rsidR="00433C4A" w:rsidRDefault="00433C4A"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0CA0E2DF" w14:textId="3601BAC0" w:rsidR="00433C4A" w:rsidRDefault="00433C4A"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132C3737" w14:textId="18083C5F" w:rsidR="00433C4A" w:rsidRDefault="00433C4A" w:rsidP="00073385">
            <w:pPr>
              <w:spacing w:before="60" w:after="60"/>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224F0748" w14:textId="3B471501" w:rsidR="00433C4A"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5A7FA886" w14:textId="77777777" w:rsidTr="00077C5F">
        <w:trPr>
          <w:trHeight w:val="304"/>
        </w:trPr>
        <w:tc>
          <w:tcPr>
            <w:tcW w:w="1427" w:type="dxa"/>
            <w:tcBorders>
              <w:top w:val="nil"/>
              <w:left w:val="single" w:sz="4" w:space="0" w:color="808080"/>
              <w:bottom w:val="single" w:sz="4" w:space="0" w:color="808080"/>
              <w:right w:val="single" w:sz="4" w:space="0" w:color="808080"/>
            </w:tcBorders>
            <w:shd w:val="clear" w:color="auto" w:fill="auto"/>
          </w:tcPr>
          <w:p w14:paraId="7368A30E" w14:textId="77777777" w:rsidR="00E953C3" w:rsidRDefault="00E953C3" w:rsidP="00073385">
            <w:pPr>
              <w:spacing w:before="60" w:after="60" w:line="240" w:lineRule="auto"/>
              <w:ind w:left="0"/>
              <w:rPr>
                <w:rFonts w:cs="Arial"/>
                <w:sz w:val="20"/>
                <w:szCs w:val="20"/>
              </w:rPr>
            </w:pPr>
          </w:p>
        </w:tc>
        <w:tc>
          <w:tcPr>
            <w:tcW w:w="1629" w:type="dxa"/>
            <w:tcBorders>
              <w:top w:val="nil"/>
              <w:left w:val="single" w:sz="4" w:space="0" w:color="808080"/>
              <w:bottom w:val="single" w:sz="4" w:space="0" w:color="808080"/>
              <w:right w:val="single" w:sz="4" w:space="0" w:color="808080"/>
            </w:tcBorders>
            <w:shd w:val="clear" w:color="auto" w:fill="auto"/>
          </w:tcPr>
          <w:p w14:paraId="10445709" w14:textId="77777777" w:rsidR="00E953C3"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28CBACFE" w14:textId="07792145" w:rsidR="00E953C3" w:rsidRPr="00E953C3" w:rsidRDefault="00E953C3" w:rsidP="00073385">
            <w:pPr>
              <w:spacing w:before="60" w:after="60" w:line="240" w:lineRule="auto"/>
              <w:ind w:left="0"/>
              <w:rPr>
                <w:rFonts w:cs="Arial"/>
                <w:sz w:val="20"/>
                <w:szCs w:val="20"/>
              </w:rPr>
            </w:pPr>
            <w:r w:rsidRPr="00891DE1">
              <w:rPr>
                <w:rFonts w:cs="Arial"/>
                <w:sz w:val="20"/>
                <w:szCs w:val="20"/>
              </w:rPr>
              <w:t>6/10/17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09BCE07E" w14:textId="77777777" w:rsidR="00E953C3" w:rsidRDefault="00E953C3" w:rsidP="00073385">
            <w:pPr>
              <w:spacing w:before="60" w:after="60"/>
              <w:ind w:left="0"/>
              <w:rPr>
                <w:rFonts w:cs="Arial"/>
                <w:sz w:val="20"/>
                <w:szCs w:val="20"/>
              </w:rPr>
            </w:pPr>
            <w:r w:rsidRPr="00891DE1">
              <w:rPr>
                <w:rFonts w:cs="Arial"/>
                <w:sz w:val="20"/>
                <w:szCs w:val="20"/>
              </w:rPr>
              <w:t xml:space="preserve">CarbonNet sent a copy of a letter to CSIRO to AMSA on 6/10/17. The letter seeks confirmation from  CSIRO regarding its readiness to assist with scientific monitoring activities under existing AMSA arrangements in the unlikely event of an oil spill from the Pelican 3DMSS.  </w:t>
            </w:r>
          </w:p>
          <w:p w14:paraId="28B85302" w14:textId="2DFD019D" w:rsidR="00E953C3" w:rsidRPr="00E953C3" w:rsidRDefault="00E953C3" w:rsidP="00073385">
            <w:pPr>
              <w:spacing w:before="60" w:after="60"/>
              <w:ind w:left="0"/>
              <w:rPr>
                <w:rFonts w:cs="Arial"/>
                <w:sz w:val="20"/>
                <w:szCs w:val="20"/>
              </w:rPr>
            </w:pPr>
            <w:r>
              <w:rPr>
                <w:rFonts w:cs="Arial"/>
                <w:sz w:val="20"/>
                <w:szCs w:val="20"/>
              </w:rPr>
              <w:t xml:space="preserve">There has been no response to date. </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4255392F" w14:textId="30FD8AA6"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4A034D15" w14:textId="77777777" w:rsidTr="00077C5F">
        <w:trPr>
          <w:trHeight w:val="304"/>
        </w:trPr>
        <w:tc>
          <w:tcPr>
            <w:tcW w:w="1427" w:type="dxa"/>
            <w:vMerge w:val="restart"/>
            <w:tcBorders>
              <w:top w:val="single" w:sz="4" w:space="0" w:color="808080"/>
              <w:left w:val="single" w:sz="4" w:space="0" w:color="808080"/>
              <w:right w:val="single" w:sz="4" w:space="0" w:color="808080"/>
            </w:tcBorders>
            <w:shd w:val="clear" w:color="auto" w:fill="auto"/>
          </w:tcPr>
          <w:p w14:paraId="2057737F" w14:textId="77777777" w:rsidR="00E953C3" w:rsidRDefault="00E953C3" w:rsidP="00073385">
            <w:pPr>
              <w:spacing w:before="60" w:after="60" w:line="240" w:lineRule="auto"/>
              <w:ind w:left="0"/>
              <w:rPr>
                <w:rFonts w:cs="Arial"/>
                <w:sz w:val="20"/>
                <w:szCs w:val="20"/>
              </w:rPr>
            </w:pPr>
            <w:r>
              <w:rPr>
                <w:rFonts w:cs="Arial"/>
                <w:sz w:val="20"/>
                <w:szCs w:val="20"/>
              </w:rPr>
              <w:t>Department of Environment and Energy (DoEE)</w:t>
            </w:r>
          </w:p>
        </w:tc>
        <w:tc>
          <w:tcPr>
            <w:tcW w:w="1629" w:type="dxa"/>
            <w:vMerge w:val="restart"/>
            <w:tcBorders>
              <w:top w:val="single" w:sz="4" w:space="0" w:color="808080"/>
              <w:left w:val="single" w:sz="4" w:space="0" w:color="808080"/>
              <w:right w:val="single" w:sz="4" w:space="0" w:color="808080"/>
            </w:tcBorders>
            <w:shd w:val="clear" w:color="auto" w:fill="auto"/>
          </w:tcPr>
          <w:p w14:paraId="55F68276" w14:textId="33239E92" w:rsidR="00E953C3" w:rsidRDefault="00E953C3" w:rsidP="00D34363">
            <w:pPr>
              <w:spacing w:before="60" w:after="60" w:line="240" w:lineRule="auto"/>
              <w:ind w:left="0"/>
              <w:rPr>
                <w:rFonts w:cs="Arial"/>
                <w:sz w:val="20"/>
                <w:szCs w:val="20"/>
              </w:rPr>
            </w:pPr>
            <w:r>
              <w:rPr>
                <w:rFonts w:cs="Arial"/>
                <w:sz w:val="20"/>
                <w:szCs w:val="20"/>
              </w:rPr>
              <w:t xml:space="preserve">Commonwealth department responsible for administration of the EPBC Act, marine parks and various other matters of national environmental significance. </w:t>
            </w:r>
          </w:p>
        </w:tc>
        <w:tc>
          <w:tcPr>
            <w:tcW w:w="1055" w:type="dxa"/>
            <w:tcBorders>
              <w:top w:val="single" w:sz="4" w:space="0" w:color="808080"/>
              <w:left w:val="single" w:sz="4" w:space="0" w:color="808080"/>
              <w:bottom w:val="single" w:sz="4" w:space="0" w:color="808080"/>
              <w:right w:val="single" w:sz="4" w:space="0" w:color="808080"/>
            </w:tcBorders>
          </w:tcPr>
          <w:p w14:paraId="6CF7D2F7" w14:textId="77777777" w:rsidR="00E953C3" w:rsidRDefault="00E953C3" w:rsidP="00073385">
            <w:pPr>
              <w:spacing w:before="60" w:after="60" w:line="240" w:lineRule="auto"/>
              <w:ind w:left="0"/>
              <w:rPr>
                <w:rFonts w:cs="Arial"/>
                <w:sz w:val="20"/>
                <w:szCs w:val="20"/>
              </w:rPr>
            </w:pPr>
            <w:r>
              <w:rPr>
                <w:rFonts w:cs="Arial"/>
                <w:sz w:val="20"/>
                <w:szCs w:val="20"/>
              </w:rPr>
              <w:t>22/2/17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7A652F5C" w14:textId="77777777" w:rsidR="00E953C3" w:rsidRDefault="00E953C3" w:rsidP="00073385">
            <w:pPr>
              <w:spacing w:before="60" w:after="60" w:line="240" w:lineRule="auto"/>
              <w:ind w:left="0"/>
              <w:rPr>
                <w:rFonts w:cs="Arial"/>
                <w:sz w:val="20"/>
                <w:szCs w:val="20"/>
              </w:rPr>
            </w:pPr>
            <w:r>
              <w:rPr>
                <w:rFonts w:cs="Arial"/>
                <w:sz w:val="20"/>
                <w:szCs w:val="20"/>
              </w:rPr>
              <w:t xml:space="preserve">CarbonNet spoke with DoEE confirming that it would be </w:t>
            </w:r>
            <w:r w:rsidRPr="00E30E0E">
              <w:rPr>
                <w:rFonts w:cs="Arial"/>
                <w:sz w:val="20"/>
                <w:szCs w:val="20"/>
              </w:rPr>
              <w:t>sending a letter to confirm the EPBC application process for the</w:t>
            </w:r>
            <w:r>
              <w:rPr>
                <w:rFonts w:cs="Arial"/>
                <w:sz w:val="20"/>
                <w:szCs w:val="20"/>
              </w:rPr>
              <w:t xml:space="preserve"> MSS in Victorian waters.</w:t>
            </w:r>
            <w:r w:rsidRPr="00E30E0E">
              <w:rPr>
                <w:rFonts w:cs="Arial"/>
                <w:sz w:val="20"/>
                <w:szCs w:val="20"/>
              </w:rPr>
              <w:t xml:space="preserve">   </w:t>
            </w:r>
            <w:r w:rsidRPr="00E30E0E">
              <w:rPr>
                <w:rFonts w:cs="Arial"/>
                <w:sz w:val="20"/>
                <w:szCs w:val="20"/>
              </w:rPr>
              <w:br/>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16D6D057" w14:textId="77777777"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5FFBEF7F" w14:textId="77777777" w:rsidTr="00077C5F">
        <w:trPr>
          <w:trHeight w:val="304"/>
        </w:trPr>
        <w:tc>
          <w:tcPr>
            <w:tcW w:w="1427" w:type="dxa"/>
            <w:vMerge/>
            <w:tcBorders>
              <w:left w:val="single" w:sz="4" w:space="0" w:color="808080"/>
              <w:bottom w:val="nil"/>
              <w:right w:val="single" w:sz="4" w:space="0" w:color="808080"/>
            </w:tcBorders>
            <w:shd w:val="clear" w:color="auto" w:fill="auto"/>
          </w:tcPr>
          <w:p w14:paraId="7BB0F04C" w14:textId="77777777" w:rsidR="00E953C3" w:rsidRDefault="00E953C3" w:rsidP="00073385">
            <w:pPr>
              <w:spacing w:before="60" w:after="60" w:line="240" w:lineRule="auto"/>
              <w:ind w:left="0"/>
              <w:rPr>
                <w:rFonts w:cs="Arial"/>
                <w:sz w:val="20"/>
                <w:szCs w:val="20"/>
              </w:rPr>
            </w:pPr>
          </w:p>
        </w:tc>
        <w:tc>
          <w:tcPr>
            <w:tcW w:w="1629" w:type="dxa"/>
            <w:vMerge/>
            <w:tcBorders>
              <w:left w:val="single" w:sz="4" w:space="0" w:color="808080"/>
              <w:right w:val="single" w:sz="4" w:space="0" w:color="808080"/>
            </w:tcBorders>
            <w:shd w:val="clear" w:color="auto" w:fill="auto"/>
          </w:tcPr>
          <w:p w14:paraId="4DFF935D" w14:textId="77777777" w:rsidR="00E953C3"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60C52515" w14:textId="77777777" w:rsidR="00E953C3" w:rsidRDefault="00E953C3" w:rsidP="00073385">
            <w:pPr>
              <w:spacing w:before="60" w:after="60" w:line="240" w:lineRule="auto"/>
              <w:ind w:left="0"/>
              <w:rPr>
                <w:rFonts w:cs="Arial"/>
                <w:sz w:val="20"/>
                <w:szCs w:val="20"/>
              </w:rPr>
            </w:pPr>
            <w:r>
              <w:rPr>
                <w:rFonts w:cs="Arial"/>
                <w:sz w:val="20"/>
                <w:szCs w:val="20"/>
              </w:rPr>
              <w:t>22/2/17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062C8FB8" w14:textId="77777777" w:rsidR="00E953C3" w:rsidRDefault="00E953C3" w:rsidP="00073385">
            <w:pPr>
              <w:spacing w:before="60" w:after="60" w:line="240" w:lineRule="auto"/>
              <w:ind w:left="0"/>
              <w:rPr>
                <w:rFonts w:cs="Arial"/>
                <w:sz w:val="20"/>
                <w:szCs w:val="20"/>
              </w:rPr>
            </w:pPr>
            <w:r>
              <w:rPr>
                <w:rFonts w:cs="Arial"/>
                <w:sz w:val="20"/>
                <w:szCs w:val="20"/>
              </w:rPr>
              <w:t xml:space="preserve">Letter sent to DoEE seeking confirmation of the </w:t>
            </w:r>
            <w:r w:rsidRPr="00E30E0E">
              <w:rPr>
                <w:rFonts w:cs="Arial"/>
                <w:sz w:val="20"/>
                <w:szCs w:val="20"/>
              </w:rPr>
              <w:t>EPBC application process for the MSS</w:t>
            </w:r>
            <w:r>
              <w:rPr>
                <w:rFonts w:cs="Arial"/>
                <w:sz w:val="20"/>
                <w:szCs w:val="20"/>
              </w:rPr>
              <w:t xml:space="preserve"> in Victorian waters</w:t>
            </w:r>
            <w:r w:rsidRPr="00E30E0E">
              <w:rPr>
                <w:rFonts w:cs="Arial"/>
                <w:sz w:val="20"/>
                <w:szCs w:val="20"/>
              </w:rPr>
              <w:t xml:space="preserve">.   </w:t>
            </w:r>
            <w:r w:rsidRPr="00E30E0E">
              <w:rPr>
                <w:rFonts w:cs="Arial"/>
                <w:sz w:val="20"/>
                <w:szCs w:val="20"/>
              </w:rPr>
              <w:br/>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76922755" w14:textId="77777777"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1FED11AA" w14:textId="77777777" w:rsidTr="00077C5F">
        <w:trPr>
          <w:trHeight w:val="304"/>
        </w:trPr>
        <w:tc>
          <w:tcPr>
            <w:tcW w:w="1427" w:type="dxa"/>
            <w:tcBorders>
              <w:top w:val="nil"/>
              <w:left w:val="single" w:sz="4" w:space="0" w:color="808080"/>
              <w:bottom w:val="nil"/>
              <w:right w:val="single" w:sz="4" w:space="0" w:color="808080"/>
            </w:tcBorders>
            <w:shd w:val="clear" w:color="auto" w:fill="auto"/>
          </w:tcPr>
          <w:p w14:paraId="5F1FD27F" w14:textId="77777777" w:rsidR="00E953C3" w:rsidRDefault="00E953C3" w:rsidP="00073385">
            <w:pPr>
              <w:spacing w:before="60" w:after="60" w:line="240" w:lineRule="auto"/>
              <w:ind w:left="0"/>
              <w:rPr>
                <w:rFonts w:cs="Arial"/>
                <w:sz w:val="20"/>
                <w:szCs w:val="20"/>
              </w:rPr>
            </w:pPr>
          </w:p>
        </w:tc>
        <w:tc>
          <w:tcPr>
            <w:tcW w:w="1629" w:type="dxa"/>
            <w:vMerge/>
            <w:tcBorders>
              <w:left w:val="single" w:sz="4" w:space="0" w:color="808080"/>
              <w:right w:val="single" w:sz="4" w:space="0" w:color="808080"/>
            </w:tcBorders>
            <w:shd w:val="clear" w:color="auto" w:fill="auto"/>
          </w:tcPr>
          <w:p w14:paraId="62DB3989" w14:textId="77777777" w:rsidR="00E953C3"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0F3B3016" w14:textId="4C9467D4" w:rsidR="00E953C3" w:rsidRDefault="00E953C3" w:rsidP="00073385">
            <w:pPr>
              <w:spacing w:before="60" w:after="60" w:line="240" w:lineRule="auto"/>
              <w:ind w:left="0"/>
              <w:rPr>
                <w:rFonts w:cs="Arial"/>
                <w:sz w:val="20"/>
                <w:szCs w:val="20"/>
              </w:rPr>
            </w:pPr>
            <w:r>
              <w:rPr>
                <w:rFonts w:cs="Arial"/>
                <w:sz w:val="20"/>
                <w:szCs w:val="20"/>
              </w:rPr>
              <w:t>21/3/17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6CB0845F" w14:textId="77777777" w:rsidR="00E953C3" w:rsidRDefault="00E953C3" w:rsidP="00073385">
            <w:pPr>
              <w:spacing w:before="60" w:after="60" w:line="240" w:lineRule="auto"/>
              <w:ind w:left="0"/>
              <w:rPr>
                <w:rFonts w:cs="Arial"/>
                <w:sz w:val="20"/>
                <w:szCs w:val="20"/>
              </w:rPr>
            </w:pPr>
            <w:r>
              <w:rPr>
                <w:rFonts w:cs="Arial"/>
                <w:sz w:val="20"/>
                <w:szCs w:val="20"/>
              </w:rPr>
              <w:t>CarbonNet sent email to DoEE re MSS, including fact sheet and contact details.</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4AD31C2F" w14:textId="77777777"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7E3787D4" w14:textId="77777777" w:rsidTr="00077C5F">
        <w:trPr>
          <w:trHeight w:val="304"/>
        </w:trPr>
        <w:tc>
          <w:tcPr>
            <w:tcW w:w="1427" w:type="dxa"/>
            <w:tcBorders>
              <w:top w:val="nil"/>
              <w:left w:val="single" w:sz="4" w:space="0" w:color="808080"/>
              <w:bottom w:val="nil"/>
              <w:right w:val="single" w:sz="4" w:space="0" w:color="808080"/>
            </w:tcBorders>
            <w:shd w:val="clear" w:color="auto" w:fill="auto"/>
          </w:tcPr>
          <w:p w14:paraId="64CB7162" w14:textId="77777777" w:rsidR="00E953C3" w:rsidRDefault="00E953C3" w:rsidP="00073385">
            <w:pPr>
              <w:spacing w:before="60" w:after="60" w:line="240" w:lineRule="auto"/>
              <w:ind w:left="0"/>
              <w:rPr>
                <w:rFonts w:cs="Arial"/>
                <w:sz w:val="20"/>
                <w:szCs w:val="20"/>
              </w:rPr>
            </w:pPr>
          </w:p>
        </w:tc>
        <w:tc>
          <w:tcPr>
            <w:tcW w:w="1629" w:type="dxa"/>
            <w:vMerge/>
            <w:tcBorders>
              <w:left w:val="single" w:sz="4" w:space="0" w:color="808080"/>
              <w:bottom w:val="nil"/>
              <w:right w:val="single" w:sz="4" w:space="0" w:color="808080"/>
            </w:tcBorders>
            <w:shd w:val="clear" w:color="auto" w:fill="auto"/>
          </w:tcPr>
          <w:p w14:paraId="6BC9B981" w14:textId="77777777" w:rsidR="00E953C3"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4DE8233" w14:textId="77777777" w:rsidR="00E953C3" w:rsidRDefault="00E953C3" w:rsidP="00073385">
            <w:pPr>
              <w:spacing w:before="60" w:after="60" w:line="240" w:lineRule="auto"/>
              <w:ind w:left="0"/>
              <w:rPr>
                <w:rFonts w:cs="Arial"/>
                <w:sz w:val="20"/>
                <w:szCs w:val="20"/>
              </w:rPr>
            </w:pPr>
            <w:r>
              <w:rPr>
                <w:rFonts w:cs="Arial"/>
                <w:sz w:val="20"/>
                <w:szCs w:val="20"/>
              </w:rPr>
              <w:t>24/3/17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5735AD6D" w14:textId="77777777" w:rsidR="00E953C3" w:rsidRPr="00E30E0E" w:rsidRDefault="00E953C3" w:rsidP="00073385">
            <w:pPr>
              <w:spacing w:before="60" w:after="60" w:line="240" w:lineRule="auto"/>
              <w:ind w:left="0"/>
              <w:rPr>
                <w:rFonts w:cs="Arial"/>
                <w:sz w:val="20"/>
                <w:szCs w:val="20"/>
              </w:rPr>
            </w:pPr>
            <w:r w:rsidRPr="00E30E0E">
              <w:rPr>
                <w:rFonts w:cs="Arial"/>
                <w:sz w:val="20"/>
                <w:szCs w:val="20"/>
              </w:rPr>
              <w:t xml:space="preserve">Letter from </w:t>
            </w:r>
            <w:r>
              <w:rPr>
                <w:rFonts w:cs="Arial"/>
                <w:sz w:val="20"/>
                <w:szCs w:val="20"/>
              </w:rPr>
              <w:t>DoEE</w:t>
            </w:r>
            <w:r w:rsidRPr="00E30E0E">
              <w:rPr>
                <w:rFonts w:cs="Arial"/>
                <w:sz w:val="20"/>
                <w:szCs w:val="20"/>
              </w:rPr>
              <w:t xml:space="preserve"> confirming that it is the appropriate agency to assess Environment Protection and Biodiversity Conservation Act 1999  Matters of National Environmental Significance (MNES) for </w:t>
            </w:r>
            <w:r>
              <w:rPr>
                <w:rFonts w:cs="Arial"/>
                <w:sz w:val="20"/>
                <w:szCs w:val="20"/>
              </w:rPr>
              <w:t xml:space="preserve">the MSS </w:t>
            </w:r>
            <w:r w:rsidRPr="00E30E0E">
              <w:rPr>
                <w:rFonts w:cs="Arial"/>
                <w:sz w:val="20"/>
                <w:szCs w:val="20"/>
              </w:rPr>
              <w:t xml:space="preserve">in </w:t>
            </w:r>
            <w:r>
              <w:rPr>
                <w:rFonts w:cs="Arial"/>
                <w:sz w:val="20"/>
                <w:szCs w:val="20"/>
              </w:rPr>
              <w:t xml:space="preserve">Victorian </w:t>
            </w:r>
            <w:r w:rsidRPr="00E30E0E">
              <w:rPr>
                <w:rFonts w:cs="Arial"/>
                <w:sz w:val="20"/>
                <w:szCs w:val="20"/>
              </w:rPr>
              <w:t>waters</w:t>
            </w:r>
            <w:r>
              <w:rPr>
                <w:rFonts w:cs="Arial"/>
                <w:sz w:val="20"/>
                <w:szCs w:val="20"/>
              </w:rPr>
              <w:t>.</w:t>
            </w:r>
          </w:p>
          <w:p w14:paraId="414B12B4" w14:textId="77777777" w:rsidR="00E953C3" w:rsidRDefault="00E953C3" w:rsidP="00073385">
            <w:pPr>
              <w:spacing w:before="60" w:after="60" w:line="240" w:lineRule="auto"/>
              <w:ind w:left="0"/>
              <w:rPr>
                <w:rFonts w:cs="Arial"/>
                <w:sz w:val="20"/>
                <w:szCs w:val="20"/>
              </w:rPr>
            </w:pP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781950A3" w14:textId="77777777" w:rsidR="00E953C3" w:rsidRDefault="00E953C3" w:rsidP="00073385">
            <w:pPr>
              <w:spacing w:before="60" w:after="60" w:line="240" w:lineRule="auto"/>
              <w:ind w:left="0"/>
              <w:rPr>
                <w:rFonts w:cs="Arial"/>
                <w:sz w:val="20"/>
                <w:szCs w:val="20"/>
              </w:rPr>
            </w:pPr>
            <w:r>
              <w:rPr>
                <w:rFonts w:cs="Arial"/>
                <w:sz w:val="20"/>
                <w:szCs w:val="20"/>
              </w:rPr>
              <w:t>DoEE comments noted in the preparation of the EP and survey.</w:t>
            </w:r>
          </w:p>
        </w:tc>
      </w:tr>
      <w:tr w:rsidR="00E953C3" w:rsidRPr="00FF0808" w14:paraId="5CA16488" w14:textId="77777777" w:rsidTr="00077C5F">
        <w:trPr>
          <w:trHeight w:val="304"/>
        </w:trPr>
        <w:tc>
          <w:tcPr>
            <w:tcW w:w="1427" w:type="dxa"/>
            <w:tcBorders>
              <w:top w:val="nil"/>
              <w:left w:val="single" w:sz="4" w:space="0" w:color="808080"/>
              <w:bottom w:val="nil"/>
              <w:right w:val="single" w:sz="4" w:space="0" w:color="808080"/>
            </w:tcBorders>
            <w:shd w:val="clear" w:color="auto" w:fill="auto"/>
          </w:tcPr>
          <w:p w14:paraId="3362D191" w14:textId="77777777" w:rsidR="00E953C3" w:rsidRDefault="00E953C3"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710E83C3" w14:textId="77777777" w:rsidR="00E953C3"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54E1B2BF" w14:textId="77777777" w:rsidR="00E953C3" w:rsidRDefault="00E953C3" w:rsidP="00073385">
            <w:pPr>
              <w:spacing w:before="60" w:after="60" w:line="240" w:lineRule="auto"/>
              <w:ind w:left="0"/>
              <w:rPr>
                <w:rFonts w:cs="Arial"/>
                <w:sz w:val="20"/>
                <w:szCs w:val="20"/>
              </w:rPr>
            </w:pPr>
            <w:r>
              <w:rPr>
                <w:rFonts w:cs="Arial"/>
                <w:sz w:val="20"/>
                <w:szCs w:val="20"/>
              </w:rPr>
              <w:t>6/4/17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71931A3B" w14:textId="77777777" w:rsidR="00E953C3" w:rsidRPr="00E30E0E" w:rsidRDefault="00E953C3" w:rsidP="00073385">
            <w:pPr>
              <w:spacing w:before="60" w:after="60" w:line="240" w:lineRule="auto"/>
              <w:ind w:left="0"/>
              <w:rPr>
                <w:rFonts w:cs="Arial"/>
                <w:sz w:val="20"/>
                <w:szCs w:val="20"/>
              </w:rPr>
            </w:pPr>
            <w:r>
              <w:rPr>
                <w:rFonts w:cs="Arial"/>
                <w:sz w:val="20"/>
                <w:szCs w:val="20"/>
              </w:rPr>
              <w:t xml:space="preserve">Email from DoEE confirming receipt of the MSS </w:t>
            </w:r>
            <w:r w:rsidRPr="008602D0">
              <w:rPr>
                <w:rFonts w:cs="Arial"/>
                <w:sz w:val="20"/>
                <w:szCs w:val="20"/>
              </w:rPr>
              <w:t xml:space="preserve">fact sheet, and </w:t>
            </w:r>
            <w:r w:rsidRPr="00223BA3">
              <w:rPr>
                <w:rFonts w:cs="Arial"/>
                <w:sz w:val="20"/>
                <w:szCs w:val="20"/>
              </w:rPr>
              <w:t>th</w:t>
            </w:r>
            <w:r w:rsidRPr="008602D0">
              <w:rPr>
                <w:rFonts w:cs="Arial"/>
                <w:sz w:val="20"/>
                <w:szCs w:val="20"/>
              </w:rPr>
              <w:t xml:space="preserve">at it </w:t>
            </w:r>
            <w:r>
              <w:rPr>
                <w:rFonts w:cs="Arial"/>
                <w:sz w:val="20"/>
                <w:szCs w:val="20"/>
              </w:rPr>
              <w:t xml:space="preserve">currently </w:t>
            </w:r>
            <w:r w:rsidRPr="008602D0">
              <w:rPr>
                <w:rFonts w:cs="Arial"/>
                <w:sz w:val="20"/>
                <w:szCs w:val="20"/>
              </w:rPr>
              <w:t>doe</w:t>
            </w:r>
            <w:r>
              <w:rPr>
                <w:rFonts w:cs="Arial"/>
                <w:sz w:val="20"/>
                <w:szCs w:val="20"/>
              </w:rPr>
              <w:t>s</w:t>
            </w:r>
            <w:r w:rsidRPr="008602D0">
              <w:rPr>
                <w:rFonts w:cs="Arial"/>
                <w:sz w:val="20"/>
                <w:szCs w:val="20"/>
              </w:rPr>
              <w:t xml:space="preserve">n’t have </w:t>
            </w:r>
            <w:r>
              <w:rPr>
                <w:rFonts w:cs="Arial"/>
                <w:sz w:val="20"/>
                <w:szCs w:val="20"/>
              </w:rPr>
              <w:t>any</w:t>
            </w:r>
            <w:r w:rsidRPr="008602D0">
              <w:rPr>
                <w:rFonts w:cs="Arial"/>
                <w:sz w:val="20"/>
                <w:szCs w:val="20"/>
              </w:rPr>
              <w:t xml:space="preserve"> questions in relation to the MSS proposal.</w:t>
            </w:r>
            <w:r>
              <w:rPr>
                <w:rFonts w:cs="Arial"/>
                <w:sz w:val="20"/>
                <w:szCs w:val="20"/>
              </w:rPr>
              <w:t xml:space="preserve"> </w:t>
            </w:r>
            <w:r w:rsidRPr="00906786">
              <w:rPr>
                <w:rFonts w:cs="Arial"/>
                <w:sz w:val="20"/>
                <w:szCs w:val="20"/>
              </w:rPr>
              <w:t>(Sandra - COR/17/131125)</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33624943" w14:textId="77777777"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5AEB2429" w14:textId="77777777" w:rsidTr="00077C5F">
        <w:trPr>
          <w:trHeight w:val="304"/>
        </w:trPr>
        <w:tc>
          <w:tcPr>
            <w:tcW w:w="1427" w:type="dxa"/>
            <w:tcBorders>
              <w:top w:val="nil"/>
              <w:left w:val="single" w:sz="4" w:space="0" w:color="808080"/>
              <w:bottom w:val="nil"/>
              <w:right w:val="single" w:sz="4" w:space="0" w:color="808080"/>
            </w:tcBorders>
            <w:shd w:val="clear" w:color="auto" w:fill="auto"/>
          </w:tcPr>
          <w:p w14:paraId="369AA367" w14:textId="77777777" w:rsidR="00E953C3" w:rsidRDefault="00E953C3"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657B72C5" w14:textId="77777777" w:rsidR="00E953C3"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4BEECCED" w14:textId="77777777" w:rsidR="00E953C3" w:rsidRDefault="00E953C3" w:rsidP="00073385">
            <w:pPr>
              <w:spacing w:before="60" w:after="60" w:line="240" w:lineRule="auto"/>
              <w:ind w:left="0"/>
              <w:rPr>
                <w:rFonts w:cs="Arial"/>
                <w:sz w:val="20"/>
                <w:szCs w:val="20"/>
              </w:rPr>
            </w:pPr>
            <w:r>
              <w:rPr>
                <w:rFonts w:cs="Arial"/>
                <w:sz w:val="20"/>
                <w:szCs w:val="20"/>
              </w:rPr>
              <w:t>4/5/17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23388660" w14:textId="77777777" w:rsidR="00E953C3" w:rsidRPr="00E30E0E" w:rsidRDefault="00E953C3" w:rsidP="00073385">
            <w:pPr>
              <w:spacing w:before="60" w:after="60" w:line="240" w:lineRule="auto"/>
              <w:ind w:left="0"/>
              <w:rPr>
                <w:rFonts w:cs="Arial"/>
                <w:sz w:val="20"/>
                <w:szCs w:val="20"/>
              </w:rPr>
            </w:pPr>
            <w:r w:rsidRPr="008602D0">
              <w:rPr>
                <w:rFonts w:cs="Arial"/>
                <w:sz w:val="20"/>
                <w:szCs w:val="20"/>
              </w:rPr>
              <w:t>Meeting with DoEE to provide an update on CarbonNet's MSS and to discuss a possible EPBC referral for the Victorian waters part of the survey.</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4A87E864" w14:textId="77777777" w:rsidR="00E953C3" w:rsidRDefault="00E953C3" w:rsidP="00073385">
            <w:pPr>
              <w:spacing w:before="60" w:after="60" w:line="240" w:lineRule="auto"/>
              <w:ind w:left="0"/>
              <w:rPr>
                <w:rFonts w:cs="Arial"/>
                <w:sz w:val="20"/>
                <w:szCs w:val="20"/>
              </w:rPr>
            </w:pPr>
            <w:r>
              <w:rPr>
                <w:rFonts w:cs="Arial"/>
                <w:sz w:val="20"/>
                <w:szCs w:val="20"/>
              </w:rPr>
              <w:t>DoEE comments noted in the preparation of the EP and survey.</w:t>
            </w:r>
          </w:p>
        </w:tc>
      </w:tr>
      <w:tr w:rsidR="00E953C3" w:rsidRPr="00FF0808" w14:paraId="2250F5CE" w14:textId="77777777" w:rsidTr="00077C5F">
        <w:trPr>
          <w:trHeight w:val="304"/>
        </w:trPr>
        <w:tc>
          <w:tcPr>
            <w:tcW w:w="1427" w:type="dxa"/>
            <w:tcBorders>
              <w:top w:val="nil"/>
              <w:left w:val="single" w:sz="4" w:space="0" w:color="808080"/>
              <w:bottom w:val="nil"/>
              <w:right w:val="single" w:sz="4" w:space="0" w:color="808080"/>
            </w:tcBorders>
            <w:shd w:val="clear" w:color="auto" w:fill="auto"/>
          </w:tcPr>
          <w:p w14:paraId="6BACF9E6" w14:textId="77777777" w:rsidR="00E953C3" w:rsidRDefault="00E953C3"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65FBD06F" w14:textId="77777777" w:rsidR="00E953C3"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0878111D" w14:textId="211F8831" w:rsidR="00E953C3" w:rsidRDefault="00E953C3"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01353066" w14:textId="31610075" w:rsidR="00E953C3" w:rsidRPr="008602D0" w:rsidRDefault="00E953C3"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708E68A2" w14:textId="715B67E3"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0094433E" w14:textId="77777777" w:rsidTr="00077C5F">
        <w:trPr>
          <w:trHeight w:val="304"/>
        </w:trPr>
        <w:tc>
          <w:tcPr>
            <w:tcW w:w="1427" w:type="dxa"/>
            <w:vMerge w:val="restart"/>
            <w:tcBorders>
              <w:top w:val="single" w:sz="4" w:space="0" w:color="808080"/>
              <w:left w:val="single" w:sz="4" w:space="0" w:color="808080"/>
              <w:right w:val="single" w:sz="4" w:space="0" w:color="808080"/>
            </w:tcBorders>
            <w:shd w:val="clear" w:color="auto" w:fill="auto"/>
          </w:tcPr>
          <w:p w14:paraId="4AEEF5C8" w14:textId="77777777" w:rsidR="00E953C3" w:rsidRPr="00FF0808" w:rsidRDefault="00E953C3" w:rsidP="00073385">
            <w:pPr>
              <w:spacing w:before="60" w:after="60" w:line="240" w:lineRule="auto"/>
              <w:ind w:left="0"/>
              <w:rPr>
                <w:rFonts w:cs="Arial"/>
                <w:sz w:val="20"/>
                <w:szCs w:val="20"/>
              </w:rPr>
            </w:pPr>
            <w:r>
              <w:rPr>
                <w:rFonts w:cs="Arial"/>
                <w:sz w:val="20"/>
                <w:szCs w:val="20"/>
              </w:rPr>
              <w:t>National Offshore Petroleum Titles Administrator (NOPTA)</w:t>
            </w:r>
          </w:p>
        </w:tc>
        <w:tc>
          <w:tcPr>
            <w:tcW w:w="1629" w:type="dxa"/>
            <w:vMerge w:val="restart"/>
            <w:tcBorders>
              <w:top w:val="single" w:sz="4" w:space="0" w:color="808080"/>
              <w:left w:val="single" w:sz="4" w:space="0" w:color="808080"/>
              <w:right w:val="single" w:sz="4" w:space="0" w:color="808080"/>
            </w:tcBorders>
            <w:shd w:val="clear" w:color="auto" w:fill="auto"/>
          </w:tcPr>
          <w:p w14:paraId="4C57D54B" w14:textId="77777777" w:rsidR="00E953C3" w:rsidRPr="00FF0808" w:rsidRDefault="00E953C3" w:rsidP="00073385">
            <w:pPr>
              <w:spacing w:before="60" w:after="60" w:line="240" w:lineRule="auto"/>
              <w:ind w:left="0"/>
              <w:rPr>
                <w:rFonts w:cs="Arial"/>
                <w:sz w:val="20"/>
                <w:szCs w:val="20"/>
              </w:rPr>
            </w:pPr>
            <w:r>
              <w:rPr>
                <w:rFonts w:cs="Arial"/>
                <w:sz w:val="20"/>
                <w:szCs w:val="20"/>
              </w:rPr>
              <w:t>National greenhouse gas titles administrator</w:t>
            </w:r>
          </w:p>
        </w:tc>
        <w:tc>
          <w:tcPr>
            <w:tcW w:w="1055" w:type="dxa"/>
            <w:tcBorders>
              <w:top w:val="single" w:sz="4" w:space="0" w:color="808080"/>
              <w:left w:val="single" w:sz="4" w:space="0" w:color="808080"/>
              <w:bottom w:val="single" w:sz="4" w:space="0" w:color="808080"/>
              <w:right w:val="single" w:sz="4" w:space="0" w:color="808080"/>
            </w:tcBorders>
          </w:tcPr>
          <w:p w14:paraId="609E7DB4" w14:textId="77777777" w:rsidR="00E953C3" w:rsidRDefault="00E953C3" w:rsidP="00073385">
            <w:pPr>
              <w:spacing w:before="60" w:after="60" w:line="240" w:lineRule="auto"/>
              <w:ind w:left="0"/>
              <w:rPr>
                <w:rFonts w:cs="Arial"/>
                <w:sz w:val="20"/>
                <w:szCs w:val="20"/>
              </w:rPr>
            </w:pPr>
            <w:r>
              <w:rPr>
                <w:rFonts w:cs="Arial"/>
                <w:sz w:val="20"/>
                <w:szCs w:val="20"/>
              </w:rPr>
              <w:t>3/5/17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3B494BF7" w14:textId="77777777" w:rsidR="00E953C3" w:rsidRDefault="00E953C3" w:rsidP="00073385">
            <w:pPr>
              <w:spacing w:before="60" w:after="60" w:line="240" w:lineRule="auto"/>
              <w:ind w:left="0"/>
              <w:rPr>
                <w:rFonts w:cs="Arial"/>
                <w:sz w:val="20"/>
                <w:szCs w:val="20"/>
              </w:rPr>
            </w:pPr>
            <w:r>
              <w:rPr>
                <w:rFonts w:cs="Arial"/>
                <w:sz w:val="20"/>
                <w:szCs w:val="20"/>
              </w:rPr>
              <w:t>CarbonNet mee</w:t>
            </w:r>
            <w:r w:rsidRPr="0064523F">
              <w:rPr>
                <w:rFonts w:cs="Arial"/>
                <w:sz w:val="20"/>
                <w:szCs w:val="20"/>
              </w:rPr>
              <w:t xml:space="preserve">ting </w:t>
            </w:r>
            <w:r>
              <w:rPr>
                <w:rFonts w:cs="Arial"/>
                <w:sz w:val="20"/>
                <w:szCs w:val="20"/>
              </w:rPr>
              <w:t xml:space="preserve">with </w:t>
            </w:r>
            <w:r w:rsidRPr="0064523F">
              <w:rPr>
                <w:rFonts w:cs="Arial"/>
                <w:sz w:val="20"/>
                <w:szCs w:val="20"/>
              </w:rPr>
              <w:t>NOPTA to provide a</w:t>
            </w:r>
            <w:r>
              <w:rPr>
                <w:rFonts w:cs="Arial"/>
                <w:sz w:val="20"/>
                <w:szCs w:val="20"/>
              </w:rPr>
              <w:t xml:space="preserve"> general </w:t>
            </w:r>
            <w:r w:rsidRPr="0064523F">
              <w:rPr>
                <w:rFonts w:cs="Arial"/>
                <w:sz w:val="20"/>
                <w:szCs w:val="20"/>
              </w:rPr>
              <w:t>overview on CarbonNet stage 3</w:t>
            </w:r>
            <w:r>
              <w:rPr>
                <w:rFonts w:cs="Arial"/>
                <w:sz w:val="20"/>
                <w:szCs w:val="20"/>
              </w:rPr>
              <w:t xml:space="preserve"> activities including an update on its proposed M</w:t>
            </w:r>
            <w:r w:rsidRPr="0064523F">
              <w:rPr>
                <w:rFonts w:cs="Arial"/>
                <w:sz w:val="20"/>
                <w:szCs w:val="20"/>
              </w:rPr>
              <w:t>SS</w:t>
            </w:r>
            <w:r>
              <w:rPr>
                <w:rFonts w:cs="Arial"/>
                <w:sz w:val="20"/>
                <w:szCs w:val="20"/>
              </w:rPr>
              <w:t>.</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05F419F3" w14:textId="77777777" w:rsidR="00E953C3" w:rsidRPr="00FF0808" w:rsidRDefault="00E953C3" w:rsidP="00073385">
            <w:pPr>
              <w:spacing w:before="60" w:after="60" w:line="240" w:lineRule="auto"/>
              <w:ind w:left="0"/>
              <w:rPr>
                <w:rFonts w:cs="Arial"/>
                <w:sz w:val="20"/>
                <w:szCs w:val="20"/>
              </w:rPr>
            </w:pPr>
            <w:r>
              <w:rPr>
                <w:rFonts w:cs="Arial"/>
                <w:sz w:val="20"/>
                <w:szCs w:val="20"/>
              </w:rPr>
              <w:t>NOPTA comments noted in preparation of survey and EP.</w:t>
            </w:r>
          </w:p>
        </w:tc>
      </w:tr>
      <w:tr w:rsidR="00E953C3" w:rsidRPr="00FF0808" w14:paraId="0C3EDE1A" w14:textId="77777777" w:rsidTr="00077C5F">
        <w:trPr>
          <w:trHeight w:val="304"/>
        </w:trPr>
        <w:tc>
          <w:tcPr>
            <w:tcW w:w="1427" w:type="dxa"/>
            <w:vMerge/>
            <w:tcBorders>
              <w:left w:val="single" w:sz="4" w:space="0" w:color="808080"/>
              <w:bottom w:val="nil"/>
              <w:right w:val="single" w:sz="4" w:space="0" w:color="808080"/>
            </w:tcBorders>
            <w:shd w:val="clear" w:color="auto" w:fill="auto"/>
          </w:tcPr>
          <w:p w14:paraId="52E44B55" w14:textId="77777777" w:rsidR="00E953C3" w:rsidRPr="00FF0808" w:rsidRDefault="00E953C3" w:rsidP="00073385">
            <w:pPr>
              <w:spacing w:before="60" w:after="60" w:line="240" w:lineRule="auto"/>
              <w:ind w:left="0"/>
              <w:rPr>
                <w:rFonts w:cs="Arial"/>
                <w:sz w:val="20"/>
                <w:szCs w:val="20"/>
              </w:rPr>
            </w:pPr>
          </w:p>
        </w:tc>
        <w:tc>
          <w:tcPr>
            <w:tcW w:w="1629" w:type="dxa"/>
            <w:vMerge/>
            <w:tcBorders>
              <w:left w:val="single" w:sz="4" w:space="0" w:color="808080"/>
              <w:bottom w:val="nil"/>
              <w:right w:val="single" w:sz="4" w:space="0" w:color="808080"/>
            </w:tcBorders>
            <w:shd w:val="clear" w:color="auto" w:fill="auto"/>
          </w:tcPr>
          <w:p w14:paraId="1B2AE35C" w14:textId="77777777" w:rsidR="00E953C3" w:rsidRPr="00FF0808"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5760F971" w14:textId="106BC808" w:rsidR="00E953C3" w:rsidRDefault="00E953C3" w:rsidP="00073385">
            <w:pPr>
              <w:spacing w:before="60" w:after="60" w:line="240" w:lineRule="auto"/>
              <w:ind w:left="0"/>
              <w:rPr>
                <w:rFonts w:cs="Arial"/>
                <w:sz w:val="20"/>
                <w:szCs w:val="20"/>
              </w:rPr>
            </w:pPr>
            <w:r>
              <w:rPr>
                <w:rFonts w:cs="Arial"/>
                <w:sz w:val="20"/>
                <w:szCs w:val="20"/>
              </w:rPr>
              <w:t>2/8/17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3E4E46A8" w14:textId="77777777" w:rsidR="00E953C3" w:rsidRDefault="00E953C3" w:rsidP="00073385">
            <w:pPr>
              <w:spacing w:before="60" w:after="60" w:line="240" w:lineRule="auto"/>
              <w:ind w:left="0"/>
              <w:rPr>
                <w:rFonts w:cs="Arial"/>
                <w:sz w:val="20"/>
                <w:szCs w:val="20"/>
              </w:rPr>
            </w:pPr>
            <w:r>
              <w:rPr>
                <w:rFonts w:cs="Arial"/>
                <w:sz w:val="20"/>
                <w:szCs w:val="20"/>
              </w:rPr>
              <w:t xml:space="preserve">CarbonNet meeting with </w:t>
            </w:r>
            <w:r w:rsidRPr="00603363">
              <w:rPr>
                <w:rFonts w:cs="Arial"/>
                <w:sz w:val="20"/>
                <w:szCs w:val="20"/>
              </w:rPr>
              <w:t>NOPTA re the MSS and the extent of the key GHG operation</w:t>
            </w:r>
            <w:r>
              <w:rPr>
                <w:rFonts w:cs="Arial"/>
                <w:sz w:val="20"/>
                <w:szCs w:val="20"/>
              </w:rPr>
              <w:t xml:space="preserve"> approval to conduct the survey; and whether a dredge based scallop stock assessment is consistent with the approval.</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5BF9765E" w14:textId="77777777" w:rsidR="00E953C3" w:rsidRPr="00FF0808" w:rsidRDefault="00E953C3" w:rsidP="00073385">
            <w:pPr>
              <w:spacing w:before="60" w:after="60" w:line="240" w:lineRule="auto"/>
              <w:ind w:left="0"/>
              <w:rPr>
                <w:rFonts w:cs="Arial"/>
                <w:sz w:val="20"/>
                <w:szCs w:val="20"/>
              </w:rPr>
            </w:pPr>
            <w:r>
              <w:rPr>
                <w:rFonts w:cs="Arial"/>
                <w:sz w:val="20"/>
                <w:szCs w:val="20"/>
              </w:rPr>
              <w:t>NOPTA comments noted in preparation of survey and EP.</w:t>
            </w:r>
          </w:p>
        </w:tc>
      </w:tr>
      <w:tr w:rsidR="00E953C3" w:rsidRPr="00FF0808" w14:paraId="6431173C" w14:textId="77777777" w:rsidTr="00077C5F">
        <w:trPr>
          <w:trHeight w:val="304"/>
        </w:trPr>
        <w:tc>
          <w:tcPr>
            <w:tcW w:w="1427" w:type="dxa"/>
            <w:tcBorders>
              <w:top w:val="nil"/>
              <w:left w:val="single" w:sz="4" w:space="0" w:color="808080"/>
              <w:bottom w:val="nil"/>
              <w:right w:val="single" w:sz="4" w:space="0" w:color="808080"/>
            </w:tcBorders>
            <w:shd w:val="clear" w:color="auto" w:fill="auto"/>
          </w:tcPr>
          <w:p w14:paraId="62DB38C6" w14:textId="77777777" w:rsidR="00E953C3" w:rsidRPr="00FF0808" w:rsidRDefault="00E953C3"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0F1E0004" w14:textId="77777777" w:rsidR="00E953C3" w:rsidRPr="00FF0808"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0CF34524" w14:textId="77777777" w:rsidR="00E953C3" w:rsidRPr="00FF0808" w:rsidRDefault="00E953C3" w:rsidP="00073385">
            <w:pPr>
              <w:spacing w:before="60" w:after="60" w:line="240" w:lineRule="auto"/>
              <w:ind w:left="0"/>
              <w:rPr>
                <w:rFonts w:cs="Arial"/>
                <w:sz w:val="20"/>
                <w:szCs w:val="20"/>
              </w:rPr>
            </w:pPr>
            <w:r>
              <w:rPr>
                <w:rFonts w:cs="Arial"/>
                <w:sz w:val="20"/>
                <w:szCs w:val="20"/>
              </w:rPr>
              <w:t>7/8/17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6BB02595" w14:textId="77777777" w:rsidR="00E953C3" w:rsidRPr="00FF0808" w:rsidRDefault="00E953C3" w:rsidP="00073385">
            <w:pPr>
              <w:spacing w:before="60" w:after="60" w:line="240" w:lineRule="auto"/>
              <w:ind w:left="0"/>
              <w:rPr>
                <w:rFonts w:cs="Arial"/>
                <w:sz w:val="20"/>
                <w:szCs w:val="20"/>
              </w:rPr>
            </w:pPr>
            <w:r>
              <w:rPr>
                <w:rFonts w:cs="Arial"/>
                <w:sz w:val="20"/>
                <w:szCs w:val="20"/>
              </w:rPr>
              <w:t xml:space="preserve">Email to NOPTA seeking responses to questions on the </w:t>
            </w:r>
            <w:r w:rsidRPr="00603363">
              <w:rPr>
                <w:rFonts w:cs="Arial"/>
                <w:sz w:val="20"/>
                <w:szCs w:val="20"/>
              </w:rPr>
              <w:t>MSS and the extent of the key GHG operation</w:t>
            </w:r>
            <w:r>
              <w:rPr>
                <w:rFonts w:cs="Arial"/>
                <w:sz w:val="20"/>
                <w:szCs w:val="20"/>
              </w:rPr>
              <w:t xml:space="preserve"> approval to conduct the survey; and whether a dredge based scallop stock assessment is consistent with the approval.</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5F9EA51C" w14:textId="77777777" w:rsidR="00E953C3" w:rsidRPr="00FF0808"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5F1BE399" w14:textId="77777777" w:rsidTr="00077C5F">
        <w:trPr>
          <w:trHeight w:val="304"/>
        </w:trPr>
        <w:tc>
          <w:tcPr>
            <w:tcW w:w="1427" w:type="dxa"/>
            <w:tcBorders>
              <w:top w:val="nil"/>
              <w:left w:val="single" w:sz="4" w:space="0" w:color="808080"/>
              <w:bottom w:val="nil"/>
              <w:right w:val="single" w:sz="4" w:space="0" w:color="808080"/>
            </w:tcBorders>
            <w:shd w:val="clear" w:color="auto" w:fill="auto"/>
          </w:tcPr>
          <w:p w14:paraId="4A55407F" w14:textId="77777777" w:rsidR="00E953C3" w:rsidRPr="00FF0808" w:rsidRDefault="00E953C3"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439830F6" w14:textId="77777777" w:rsidR="00E953C3" w:rsidRPr="00FF0808"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409B2BA1" w14:textId="77777777" w:rsidR="00E953C3" w:rsidRDefault="00E953C3" w:rsidP="00073385">
            <w:pPr>
              <w:spacing w:before="60" w:after="60" w:line="240" w:lineRule="auto"/>
              <w:ind w:left="0"/>
              <w:rPr>
                <w:rFonts w:cs="Arial"/>
                <w:sz w:val="20"/>
                <w:szCs w:val="20"/>
              </w:rPr>
            </w:pPr>
            <w:r>
              <w:rPr>
                <w:rFonts w:cs="Arial"/>
                <w:sz w:val="20"/>
                <w:szCs w:val="20"/>
              </w:rPr>
              <w:t>8/8/17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1BE5864C" w14:textId="77777777" w:rsidR="00E953C3" w:rsidRDefault="00E953C3" w:rsidP="00073385">
            <w:pPr>
              <w:spacing w:before="60" w:after="60" w:line="240" w:lineRule="auto"/>
              <w:ind w:left="0"/>
              <w:rPr>
                <w:rFonts w:cs="Arial"/>
                <w:sz w:val="20"/>
                <w:szCs w:val="20"/>
              </w:rPr>
            </w:pPr>
            <w:r>
              <w:rPr>
                <w:rFonts w:cs="Arial"/>
                <w:sz w:val="20"/>
                <w:szCs w:val="20"/>
              </w:rPr>
              <w:t>Email to NOPTA with an update on the duration and expanded operational area for the MSS.</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4F5DDE09" w14:textId="77777777" w:rsidR="00E953C3" w:rsidRPr="00FF0808"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00D72889" w14:textId="77777777" w:rsidTr="00077C5F">
        <w:trPr>
          <w:trHeight w:val="304"/>
        </w:trPr>
        <w:tc>
          <w:tcPr>
            <w:tcW w:w="1427" w:type="dxa"/>
            <w:tcBorders>
              <w:top w:val="nil"/>
              <w:left w:val="single" w:sz="4" w:space="0" w:color="808080"/>
              <w:bottom w:val="nil"/>
              <w:right w:val="single" w:sz="4" w:space="0" w:color="808080"/>
            </w:tcBorders>
            <w:shd w:val="clear" w:color="auto" w:fill="auto"/>
          </w:tcPr>
          <w:p w14:paraId="4BF746BD" w14:textId="77777777" w:rsidR="00E953C3" w:rsidRPr="00FF0808" w:rsidRDefault="00E953C3"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6861988D" w14:textId="77777777" w:rsidR="00E953C3" w:rsidRPr="00FF0808"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0326358A" w14:textId="77777777" w:rsidR="00E953C3" w:rsidRDefault="00E953C3" w:rsidP="00073385">
            <w:pPr>
              <w:spacing w:before="60" w:after="60" w:line="240" w:lineRule="auto"/>
              <w:ind w:left="0"/>
              <w:rPr>
                <w:rFonts w:cs="Arial"/>
                <w:sz w:val="20"/>
                <w:szCs w:val="20"/>
              </w:rPr>
            </w:pPr>
            <w:r>
              <w:rPr>
                <w:rFonts w:cs="Arial"/>
                <w:sz w:val="20"/>
                <w:szCs w:val="20"/>
              </w:rPr>
              <w:t>10/8/17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6BE09A37" w14:textId="77777777" w:rsidR="00E953C3" w:rsidRDefault="00E953C3" w:rsidP="00073385">
            <w:pPr>
              <w:spacing w:before="60" w:after="60" w:line="240" w:lineRule="auto"/>
              <w:ind w:left="0"/>
              <w:rPr>
                <w:rFonts w:cs="Arial"/>
                <w:sz w:val="20"/>
                <w:szCs w:val="20"/>
              </w:rPr>
            </w:pPr>
            <w:r>
              <w:rPr>
                <w:rFonts w:cs="Arial"/>
                <w:sz w:val="20"/>
                <w:szCs w:val="20"/>
              </w:rPr>
              <w:t>Email to NOPTA seeking confirmation that no further approvals required for an expanded MSS operational area outside of the VIC-GIP-002 GHG assessment permit area in Commonwealth waters.</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22891AD5" w14:textId="77777777" w:rsidR="00E953C3" w:rsidRPr="00FF0808"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2A85BD77" w14:textId="77777777" w:rsidTr="00891DE1">
        <w:trPr>
          <w:trHeight w:val="304"/>
        </w:trPr>
        <w:tc>
          <w:tcPr>
            <w:tcW w:w="1427" w:type="dxa"/>
            <w:tcBorders>
              <w:top w:val="nil"/>
              <w:left w:val="single" w:sz="4" w:space="0" w:color="808080"/>
              <w:bottom w:val="nil"/>
              <w:right w:val="single" w:sz="4" w:space="0" w:color="808080"/>
            </w:tcBorders>
            <w:shd w:val="clear" w:color="auto" w:fill="auto"/>
          </w:tcPr>
          <w:p w14:paraId="593ACA5D" w14:textId="77777777" w:rsidR="00E953C3" w:rsidRPr="00FF0808" w:rsidRDefault="00E953C3"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3F722D46" w14:textId="77777777" w:rsidR="00E953C3" w:rsidRPr="00FF0808"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1A3FB36B" w14:textId="77777777" w:rsidR="00E953C3" w:rsidRDefault="00E953C3" w:rsidP="00073385">
            <w:pPr>
              <w:spacing w:before="60" w:after="60" w:line="240" w:lineRule="auto"/>
              <w:ind w:left="0"/>
              <w:rPr>
                <w:rFonts w:cs="Arial"/>
                <w:sz w:val="20"/>
                <w:szCs w:val="20"/>
              </w:rPr>
            </w:pPr>
            <w:r>
              <w:rPr>
                <w:rFonts w:cs="Arial"/>
                <w:sz w:val="20"/>
                <w:szCs w:val="20"/>
              </w:rPr>
              <w:t>11/8/17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18D2D34F" w14:textId="77777777" w:rsidR="00E953C3" w:rsidRDefault="00E953C3" w:rsidP="00073385">
            <w:pPr>
              <w:spacing w:before="60" w:after="60" w:line="240" w:lineRule="auto"/>
              <w:ind w:left="0"/>
              <w:rPr>
                <w:rFonts w:cs="Arial"/>
                <w:sz w:val="20"/>
                <w:szCs w:val="20"/>
              </w:rPr>
            </w:pPr>
            <w:r>
              <w:rPr>
                <w:rFonts w:cs="Arial"/>
                <w:sz w:val="20"/>
                <w:szCs w:val="20"/>
              </w:rPr>
              <w:t>Email from NOPTA confirmation that no further approvals required for an expanded MSS operational area outside of the VIC-GIP-002 GHG assessment permit area in Commonwealth waters.</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6B014375" w14:textId="77777777" w:rsidR="00E953C3" w:rsidRPr="00FF0808" w:rsidRDefault="00E953C3" w:rsidP="00073385">
            <w:pPr>
              <w:spacing w:before="60" w:after="60" w:line="240" w:lineRule="auto"/>
              <w:ind w:left="0"/>
              <w:rPr>
                <w:rFonts w:cs="Arial"/>
                <w:sz w:val="20"/>
                <w:szCs w:val="20"/>
              </w:rPr>
            </w:pPr>
            <w:r>
              <w:rPr>
                <w:rFonts w:cs="Arial"/>
                <w:sz w:val="20"/>
                <w:szCs w:val="20"/>
              </w:rPr>
              <w:t>NOPTA comments noted in preparation of survey and EP.</w:t>
            </w:r>
          </w:p>
        </w:tc>
      </w:tr>
      <w:tr w:rsidR="00E953C3" w:rsidRPr="00FF0808" w14:paraId="3285CCB7" w14:textId="77777777" w:rsidTr="00891DE1">
        <w:trPr>
          <w:trHeight w:val="304"/>
        </w:trPr>
        <w:tc>
          <w:tcPr>
            <w:tcW w:w="1427" w:type="dxa"/>
            <w:tcBorders>
              <w:top w:val="nil"/>
              <w:left w:val="single" w:sz="4" w:space="0" w:color="808080"/>
              <w:bottom w:val="nil"/>
              <w:right w:val="single" w:sz="4" w:space="0" w:color="808080"/>
            </w:tcBorders>
            <w:shd w:val="clear" w:color="auto" w:fill="auto"/>
          </w:tcPr>
          <w:p w14:paraId="36F04ACF" w14:textId="77777777" w:rsidR="00E953C3" w:rsidRPr="00FF0808" w:rsidRDefault="00E953C3"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3B72B4D3" w14:textId="77777777" w:rsidR="00E953C3" w:rsidRPr="00FF0808"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A8FE363" w14:textId="2970B4EC" w:rsidR="00E953C3" w:rsidRPr="009D6737" w:rsidRDefault="00E953C3" w:rsidP="00073385">
            <w:pPr>
              <w:spacing w:before="60" w:after="60" w:line="240" w:lineRule="auto"/>
              <w:ind w:left="0"/>
              <w:rPr>
                <w:rFonts w:cs="Arial"/>
                <w:sz w:val="20"/>
                <w:szCs w:val="20"/>
              </w:rPr>
            </w:pPr>
            <w:r w:rsidRPr="00891DE1">
              <w:rPr>
                <w:rFonts w:cs="Arial"/>
                <w:sz w:val="20"/>
                <w:szCs w:val="20"/>
              </w:rPr>
              <w:t>7/9/17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3D13138C" w14:textId="00A39C16" w:rsidR="00E953C3" w:rsidRPr="009D6737" w:rsidRDefault="00E953C3" w:rsidP="00E953C3">
            <w:pPr>
              <w:spacing w:before="60" w:after="60" w:line="240" w:lineRule="auto"/>
              <w:ind w:left="0"/>
              <w:rPr>
                <w:rFonts w:cs="Arial"/>
                <w:sz w:val="20"/>
                <w:szCs w:val="20"/>
              </w:rPr>
            </w:pPr>
            <w:r>
              <w:rPr>
                <w:rFonts w:cs="Arial"/>
                <w:sz w:val="20"/>
                <w:szCs w:val="20"/>
              </w:rPr>
              <w:t>CarbonNet received an e</w:t>
            </w:r>
            <w:r w:rsidRPr="00891DE1">
              <w:rPr>
                <w:rFonts w:cs="Arial"/>
                <w:sz w:val="20"/>
                <w:szCs w:val="20"/>
              </w:rPr>
              <w:t xml:space="preserve">mail from NOPTA </w:t>
            </w:r>
            <w:r>
              <w:rPr>
                <w:rFonts w:cs="Arial"/>
                <w:sz w:val="20"/>
                <w:szCs w:val="20"/>
              </w:rPr>
              <w:t xml:space="preserve">that provided some </w:t>
            </w:r>
            <w:r w:rsidRPr="00891DE1">
              <w:rPr>
                <w:rFonts w:cs="Arial"/>
                <w:sz w:val="20"/>
                <w:szCs w:val="20"/>
              </w:rPr>
              <w:t>preliminary views regarding the  scope of the MS</w:t>
            </w:r>
            <w:r w:rsidRPr="00203D4F">
              <w:rPr>
                <w:rFonts w:cs="Arial"/>
                <w:sz w:val="20"/>
                <w:szCs w:val="20"/>
              </w:rPr>
              <w:t>S approval and whether a dredge</w:t>
            </w:r>
            <w:r>
              <w:rPr>
                <w:rFonts w:cs="Arial"/>
                <w:sz w:val="20"/>
                <w:szCs w:val="20"/>
              </w:rPr>
              <w:t>-</w:t>
            </w:r>
            <w:r w:rsidRPr="00891DE1">
              <w:rPr>
                <w:rFonts w:cs="Arial"/>
                <w:sz w:val="20"/>
                <w:szCs w:val="20"/>
              </w:rPr>
              <w:t>based scallop assessment was consistent with the approval.</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1FE1BFBF" w14:textId="68FA6258"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633A6A0E" w14:textId="77777777" w:rsidTr="00891DE1">
        <w:trPr>
          <w:trHeight w:val="304"/>
        </w:trPr>
        <w:tc>
          <w:tcPr>
            <w:tcW w:w="1427" w:type="dxa"/>
            <w:tcBorders>
              <w:top w:val="nil"/>
              <w:left w:val="single" w:sz="4" w:space="0" w:color="808080"/>
              <w:bottom w:val="single" w:sz="4" w:space="0" w:color="auto"/>
              <w:right w:val="single" w:sz="4" w:space="0" w:color="808080"/>
            </w:tcBorders>
            <w:shd w:val="clear" w:color="auto" w:fill="auto"/>
          </w:tcPr>
          <w:p w14:paraId="2F3F8826" w14:textId="77777777" w:rsidR="00E953C3" w:rsidRPr="00FF0808" w:rsidRDefault="00E953C3" w:rsidP="00073385">
            <w:pPr>
              <w:spacing w:before="60" w:after="60" w:line="240" w:lineRule="auto"/>
              <w:ind w:left="0"/>
              <w:rPr>
                <w:rFonts w:cs="Arial"/>
                <w:sz w:val="20"/>
                <w:szCs w:val="20"/>
              </w:rPr>
            </w:pPr>
          </w:p>
        </w:tc>
        <w:tc>
          <w:tcPr>
            <w:tcW w:w="1629" w:type="dxa"/>
            <w:tcBorders>
              <w:top w:val="nil"/>
              <w:left w:val="single" w:sz="4" w:space="0" w:color="808080"/>
              <w:bottom w:val="single" w:sz="4" w:space="0" w:color="auto"/>
              <w:right w:val="single" w:sz="4" w:space="0" w:color="808080"/>
            </w:tcBorders>
            <w:shd w:val="clear" w:color="auto" w:fill="auto"/>
          </w:tcPr>
          <w:p w14:paraId="3356E868" w14:textId="77777777" w:rsidR="00E953C3" w:rsidRPr="00FF0808"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281EA604" w14:textId="689BB5DE" w:rsidR="00E953C3" w:rsidRPr="009D6737" w:rsidRDefault="00E953C3" w:rsidP="00073385">
            <w:pPr>
              <w:spacing w:before="60" w:after="60" w:line="240" w:lineRule="auto"/>
              <w:ind w:left="0"/>
              <w:rPr>
                <w:rFonts w:cs="Arial"/>
                <w:sz w:val="20"/>
                <w:szCs w:val="20"/>
              </w:rPr>
            </w:pPr>
            <w:r w:rsidRPr="00891DE1">
              <w:rPr>
                <w:rFonts w:cs="Arial"/>
                <w:sz w:val="20"/>
                <w:szCs w:val="20"/>
              </w:rPr>
              <w:t>15/9/17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3AD39ED3" w14:textId="70989FCF" w:rsidR="00E953C3" w:rsidRPr="009D6737" w:rsidRDefault="00E953C3" w:rsidP="00203D4F">
            <w:pPr>
              <w:spacing w:before="60" w:after="60" w:line="240" w:lineRule="auto"/>
              <w:ind w:left="0"/>
              <w:rPr>
                <w:rFonts w:cs="Arial"/>
                <w:sz w:val="20"/>
                <w:szCs w:val="20"/>
              </w:rPr>
            </w:pPr>
            <w:r w:rsidRPr="00891DE1">
              <w:rPr>
                <w:rFonts w:cs="Arial"/>
                <w:sz w:val="20"/>
                <w:szCs w:val="20"/>
              </w:rPr>
              <w:t>CarbonNet email</w:t>
            </w:r>
            <w:r>
              <w:rPr>
                <w:rFonts w:cs="Arial"/>
                <w:sz w:val="20"/>
                <w:szCs w:val="20"/>
              </w:rPr>
              <w:t>ed</w:t>
            </w:r>
            <w:r w:rsidRPr="00891DE1">
              <w:rPr>
                <w:rFonts w:cs="Arial"/>
                <w:sz w:val="20"/>
                <w:szCs w:val="20"/>
              </w:rPr>
              <w:t xml:space="preserve"> NOPTA regarding the scope of the MSS approval and dredge based scallop assessment.</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6380E768" w14:textId="76252558"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1CD2B8B1" w14:textId="77777777" w:rsidTr="00891DE1">
        <w:trPr>
          <w:trHeight w:val="304"/>
        </w:trPr>
        <w:tc>
          <w:tcPr>
            <w:tcW w:w="1427" w:type="dxa"/>
            <w:tcBorders>
              <w:top w:val="single" w:sz="4" w:space="0" w:color="auto"/>
              <w:left w:val="single" w:sz="4" w:space="0" w:color="808080"/>
              <w:bottom w:val="single" w:sz="4" w:space="0" w:color="808080"/>
              <w:right w:val="single" w:sz="4" w:space="0" w:color="808080"/>
            </w:tcBorders>
            <w:shd w:val="clear" w:color="auto" w:fill="auto"/>
          </w:tcPr>
          <w:p w14:paraId="1974B198" w14:textId="77777777" w:rsidR="00E953C3" w:rsidRPr="00FF0808" w:rsidRDefault="00E953C3" w:rsidP="00073385">
            <w:pPr>
              <w:spacing w:before="60" w:after="60" w:line="240" w:lineRule="auto"/>
              <w:ind w:left="0"/>
              <w:rPr>
                <w:rFonts w:cs="Arial"/>
                <w:sz w:val="20"/>
                <w:szCs w:val="20"/>
              </w:rPr>
            </w:pPr>
          </w:p>
        </w:tc>
        <w:tc>
          <w:tcPr>
            <w:tcW w:w="1629" w:type="dxa"/>
            <w:tcBorders>
              <w:top w:val="single" w:sz="4" w:space="0" w:color="auto"/>
              <w:left w:val="single" w:sz="4" w:space="0" w:color="808080"/>
              <w:bottom w:val="single" w:sz="4" w:space="0" w:color="808080"/>
              <w:right w:val="single" w:sz="4" w:space="0" w:color="808080"/>
            </w:tcBorders>
            <w:shd w:val="clear" w:color="auto" w:fill="auto"/>
          </w:tcPr>
          <w:p w14:paraId="2CCDD39C" w14:textId="77777777" w:rsidR="00E953C3" w:rsidRPr="00FF0808"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6F3BD4C5" w14:textId="0A16A3F2" w:rsidR="00E953C3" w:rsidRPr="009D6737" w:rsidRDefault="00E953C3" w:rsidP="00073385">
            <w:pPr>
              <w:spacing w:before="60" w:after="60" w:line="240" w:lineRule="auto"/>
              <w:ind w:left="0"/>
              <w:rPr>
                <w:rFonts w:cs="Arial"/>
                <w:sz w:val="20"/>
                <w:szCs w:val="20"/>
              </w:rPr>
            </w:pPr>
            <w:r w:rsidRPr="00891DE1">
              <w:rPr>
                <w:rFonts w:cs="Arial"/>
                <w:sz w:val="20"/>
                <w:szCs w:val="20"/>
              </w:rPr>
              <w:t>20/9/17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655E863F" w14:textId="7547D221" w:rsidR="00E953C3" w:rsidRPr="009D6737" w:rsidRDefault="00E953C3" w:rsidP="00073385">
            <w:pPr>
              <w:spacing w:before="60" w:after="60" w:line="240" w:lineRule="auto"/>
              <w:ind w:left="0"/>
              <w:rPr>
                <w:rFonts w:cs="Arial"/>
                <w:sz w:val="20"/>
                <w:szCs w:val="20"/>
              </w:rPr>
            </w:pPr>
            <w:r w:rsidRPr="00891DE1">
              <w:rPr>
                <w:rFonts w:cs="Arial"/>
                <w:sz w:val="20"/>
                <w:szCs w:val="20"/>
              </w:rPr>
              <w:t xml:space="preserve">Email from NOPTA confirming that </w:t>
            </w:r>
            <w:r>
              <w:rPr>
                <w:rFonts w:cs="Arial"/>
                <w:sz w:val="20"/>
                <w:szCs w:val="20"/>
              </w:rPr>
              <w:t xml:space="preserve">the </w:t>
            </w:r>
            <w:r w:rsidRPr="00891DE1">
              <w:rPr>
                <w:rFonts w:cs="Arial"/>
                <w:sz w:val="20"/>
                <w:szCs w:val="20"/>
              </w:rPr>
              <w:t xml:space="preserve">scope of </w:t>
            </w:r>
            <w:r>
              <w:rPr>
                <w:rFonts w:cs="Arial"/>
                <w:sz w:val="20"/>
                <w:szCs w:val="20"/>
              </w:rPr>
              <w:t xml:space="preserve">the </w:t>
            </w:r>
            <w:r w:rsidRPr="00891DE1">
              <w:rPr>
                <w:rFonts w:cs="Arial"/>
                <w:sz w:val="20"/>
                <w:szCs w:val="20"/>
              </w:rPr>
              <w:t>MSS approval is incon</w:t>
            </w:r>
            <w:r w:rsidRPr="00203D4F">
              <w:rPr>
                <w:rFonts w:cs="Arial"/>
                <w:sz w:val="20"/>
                <w:szCs w:val="20"/>
              </w:rPr>
              <w:t xml:space="preserve">sistent with </w:t>
            </w:r>
            <w:r>
              <w:rPr>
                <w:rFonts w:cs="Arial"/>
                <w:sz w:val="20"/>
                <w:szCs w:val="20"/>
              </w:rPr>
              <w:t xml:space="preserve">a </w:t>
            </w:r>
            <w:r w:rsidRPr="00203D4F">
              <w:rPr>
                <w:rFonts w:cs="Arial"/>
                <w:sz w:val="20"/>
                <w:szCs w:val="20"/>
              </w:rPr>
              <w:t>dredge</w:t>
            </w:r>
            <w:r>
              <w:rPr>
                <w:rFonts w:cs="Arial"/>
                <w:sz w:val="20"/>
                <w:szCs w:val="20"/>
              </w:rPr>
              <w:t>-</w:t>
            </w:r>
            <w:r w:rsidRPr="00891DE1">
              <w:rPr>
                <w:rFonts w:cs="Arial"/>
                <w:sz w:val="20"/>
                <w:szCs w:val="20"/>
              </w:rPr>
              <w:t>based scallop assessment.</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76510250" w14:textId="0E827380" w:rsidR="00E953C3" w:rsidRDefault="00E953C3" w:rsidP="00203D4F">
            <w:pPr>
              <w:spacing w:before="60" w:after="60" w:line="240" w:lineRule="auto"/>
              <w:ind w:left="0"/>
              <w:rPr>
                <w:rFonts w:cs="Arial"/>
                <w:sz w:val="20"/>
                <w:szCs w:val="20"/>
              </w:rPr>
            </w:pPr>
            <w:r>
              <w:rPr>
                <w:rFonts w:cs="Arial"/>
                <w:sz w:val="20"/>
                <w:szCs w:val="20"/>
              </w:rPr>
              <w:t xml:space="preserve">NOPTA comments considered during consultation with the VFA and SIV regarding the proposed scallop fishery stock assessment. </w:t>
            </w:r>
          </w:p>
        </w:tc>
      </w:tr>
      <w:tr w:rsidR="00E953C3" w:rsidRPr="00FF0808" w14:paraId="55A6EA55" w14:textId="77777777" w:rsidTr="00077C5F">
        <w:tc>
          <w:tcPr>
            <w:tcW w:w="1427" w:type="dxa"/>
            <w:vMerge w:val="restart"/>
            <w:shd w:val="clear" w:color="auto" w:fill="auto"/>
          </w:tcPr>
          <w:p w14:paraId="67C24F87" w14:textId="33575462" w:rsidR="00E953C3" w:rsidRPr="00FF0808" w:rsidRDefault="00E953C3" w:rsidP="00073385">
            <w:pPr>
              <w:spacing w:before="60" w:after="60" w:line="240" w:lineRule="auto"/>
              <w:ind w:left="0"/>
              <w:rPr>
                <w:rFonts w:cs="Arial"/>
                <w:sz w:val="20"/>
                <w:szCs w:val="20"/>
              </w:rPr>
            </w:pPr>
            <w:r>
              <w:rPr>
                <w:rFonts w:cs="Arial"/>
                <w:sz w:val="20"/>
                <w:szCs w:val="20"/>
              </w:rPr>
              <w:t>Department of Commun-ication and Australian Communi-cations and Media Authority (ACMA)</w:t>
            </w:r>
          </w:p>
        </w:tc>
        <w:tc>
          <w:tcPr>
            <w:tcW w:w="1629" w:type="dxa"/>
            <w:vMerge w:val="restart"/>
            <w:shd w:val="clear" w:color="auto" w:fill="auto"/>
          </w:tcPr>
          <w:p w14:paraId="2471CAF5" w14:textId="77777777" w:rsidR="00E953C3" w:rsidRPr="00FF0808" w:rsidRDefault="00E953C3" w:rsidP="00073385">
            <w:pPr>
              <w:spacing w:before="60" w:after="60" w:line="240" w:lineRule="auto"/>
              <w:ind w:left="0"/>
              <w:rPr>
                <w:rFonts w:cs="Arial"/>
                <w:sz w:val="20"/>
                <w:szCs w:val="20"/>
              </w:rPr>
            </w:pPr>
            <w:r>
              <w:rPr>
                <w:rFonts w:cs="Arial"/>
                <w:sz w:val="20"/>
                <w:szCs w:val="20"/>
              </w:rPr>
              <w:t>Administrator of submarine cable protection zones</w:t>
            </w:r>
          </w:p>
        </w:tc>
        <w:tc>
          <w:tcPr>
            <w:tcW w:w="1055" w:type="dxa"/>
          </w:tcPr>
          <w:p w14:paraId="3C83D579" w14:textId="77777777" w:rsidR="00E953C3" w:rsidRPr="00FF0808" w:rsidRDefault="00E953C3" w:rsidP="00073385">
            <w:pPr>
              <w:spacing w:before="60" w:after="60" w:line="240" w:lineRule="auto"/>
              <w:ind w:left="0"/>
              <w:rPr>
                <w:rFonts w:cs="Arial"/>
                <w:sz w:val="20"/>
                <w:szCs w:val="20"/>
              </w:rPr>
            </w:pPr>
            <w:r>
              <w:rPr>
                <w:rFonts w:cs="Arial"/>
                <w:sz w:val="20"/>
                <w:szCs w:val="20"/>
              </w:rPr>
              <w:t>12/4/17</w:t>
            </w:r>
          </w:p>
        </w:tc>
        <w:tc>
          <w:tcPr>
            <w:tcW w:w="6335" w:type="dxa"/>
            <w:shd w:val="clear" w:color="auto" w:fill="auto"/>
          </w:tcPr>
          <w:p w14:paraId="28A14CD7" w14:textId="77777777" w:rsidR="00E953C3" w:rsidRPr="00FF0808" w:rsidRDefault="00E953C3" w:rsidP="00073385">
            <w:pPr>
              <w:spacing w:before="60" w:after="60" w:line="240" w:lineRule="auto"/>
              <w:ind w:left="0"/>
              <w:rPr>
                <w:rFonts w:cs="Arial"/>
                <w:sz w:val="20"/>
                <w:szCs w:val="20"/>
              </w:rPr>
            </w:pPr>
            <w:r>
              <w:rPr>
                <w:rFonts w:cs="Arial"/>
                <w:sz w:val="20"/>
                <w:szCs w:val="20"/>
              </w:rPr>
              <w:t>CarbonNet sent Department of Communication an email with invitation to comment and a fact sheet.</w:t>
            </w:r>
          </w:p>
        </w:tc>
        <w:tc>
          <w:tcPr>
            <w:tcW w:w="3802" w:type="dxa"/>
            <w:shd w:val="clear" w:color="auto" w:fill="auto"/>
          </w:tcPr>
          <w:p w14:paraId="4F0D8B54" w14:textId="365B8D94" w:rsidR="00E953C3" w:rsidRPr="00FF0808"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5BE68CC0" w14:textId="77777777" w:rsidTr="00077C5F">
        <w:tc>
          <w:tcPr>
            <w:tcW w:w="1427" w:type="dxa"/>
            <w:vMerge/>
            <w:shd w:val="clear" w:color="auto" w:fill="auto"/>
          </w:tcPr>
          <w:p w14:paraId="7F78B064" w14:textId="77777777" w:rsidR="00E953C3" w:rsidRDefault="00E953C3" w:rsidP="00073385">
            <w:pPr>
              <w:spacing w:before="60" w:after="60" w:line="240" w:lineRule="auto"/>
              <w:ind w:left="0"/>
              <w:rPr>
                <w:rFonts w:cs="Arial"/>
                <w:sz w:val="20"/>
                <w:szCs w:val="20"/>
              </w:rPr>
            </w:pPr>
          </w:p>
        </w:tc>
        <w:tc>
          <w:tcPr>
            <w:tcW w:w="1629" w:type="dxa"/>
            <w:vMerge/>
            <w:shd w:val="clear" w:color="auto" w:fill="auto"/>
          </w:tcPr>
          <w:p w14:paraId="5413F3A6" w14:textId="77777777" w:rsidR="00E953C3" w:rsidRPr="00FF0808" w:rsidRDefault="00E953C3" w:rsidP="00073385">
            <w:pPr>
              <w:spacing w:before="60" w:after="60" w:line="240" w:lineRule="auto"/>
              <w:ind w:left="0"/>
              <w:rPr>
                <w:rFonts w:cs="Arial"/>
                <w:sz w:val="20"/>
                <w:szCs w:val="20"/>
              </w:rPr>
            </w:pPr>
          </w:p>
        </w:tc>
        <w:tc>
          <w:tcPr>
            <w:tcW w:w="1055" w:type="dxa"/>
          </w:tcPr>
          <w:p w14:paraId="1C7702CB" w14:textId="77777777" w:rsidR="00E953C3" w:rsidRDefault="00E953C3" w:rsidP="00073385">
            <w:pPr>
              <w:spacing w:before="60" w:after="60" w:line="240" w:lineRule="auto"/>
              <w:ind w:left="0"/>
              <w:rPr>
                <w:rFonts w:cs="Arial"/>
                <w:sz w:val="20"/>
                <w:szCs w:val="20"/>
              </w:rPr>
            </w:pPr>
            <w:r>
              <w:rPr>
                <w:rFonts w:cs="Arial"/>
                <w:sz w:val="20"/>
                <w:szCs w:val="20"/>
              </w:rPr>
              <w:t>26/4/17</w:t>
            </w:r>
          </w:p>
        </w:tc>
        <w:tc>
          <w:tcPr>
            <w:tcW w:w="6335" w:type="dxa"/>
            <w:shd w:val="clear" w:color="auto" w:fill="auto"/>
          </w:tcPr>
          <w:p w14:paraId="1CB2F745" w14:textId="77777777" w:rsidR="00E953C3" w:rsidRPr="00197DBB" w:rsidRDefault="00E953C3" w:rsidP="00073385">
            <w:pPr>
              <w:spacing w:before="60" w:after="60" w:line="240" w:lineRule="auto"/>
              <w:ind w:left="0"/>
              <w:rPr>
                <w:rFonts w:cs="Arial"/>
                <w:sz w:val="20"/>
                <w:szCs w:val="20"/>
              </w:rPr>
            </w:pPr>
            <w:r>
              <w:rPr>
                <w:rFonts w:cs="Arial"/>
                <w:sz w:val="20"/>
                <w:szCs w:val="20"/>
              </w:rPr>
              <w:t>CarbonNet r</w:t>
            </w:r>
            <w:r w:rsidRPr="00197DBB">
              <w:rPr>
                <w:rFonts w:cs="Arial"/>
                <w:sz w:val="20"/>
                <w:szCs w:val="20"/>
              </w:rPr>
              <w:t xml:space="preserve">eceived </w:t>
            </w:r>
            <w:r>
              <w:rPr>
                <w:rFonts w:cs="Arial"/>
                <w:sz w:val="20"/>
                <w:szCs w:val="20"/>
              </w:rPr>
              <w:t>email response on behalf of the Department of</w:t>
            </w:r>
            <w:r w:rsidRPr="00197DBB">
              <w:rPr>
                <w:rFonts w:cs="Arial"/>
                <w:sz w:val="20"/>
                <w:szCs w:val="20"/>
              </w:rPr>
              <w:t xml:space="preserve"> Communication and ACMA noting that the MSS is not within the vicinity of existing submarine cable Protection Zones</w:t>
            </w:r>
            <w:r>
              <w:rPr>
                <w:rFonts w:cs="Arial"/>
                <w:sz w:val="20"/>
                <w:szCs w:val="20"/>
              </w:rPr>
              <w:t>, n</w:t>
            </w:r>
            <w:r w:rsidRPr="00197DBB">
              <w:rPr>
                <w:rFonts w:cs="Arial"/>
                <w:sz w:val="20"/>
                <w:szCs w:val="20"/>
              </w:rPr>
              <w:t>or does there appear to be any submarine cables within the vicinity of the proposed seismic surve</w:t>
            </w:r>
            <w:r>
              <w:rPr>
                <w:rFonts w:cs="Arial"/>
                <w:sz w:val="20"/>
                <w:szCs w:val="20"/>
              </w:rPr>
              <w:t>y area.</w:t>
            </w:r>
          </w:p>
          <w:p w14:paraId="53730DC8" w14:textId="77777777" w:rsidR="00E953C3" w:rsidRDefault="00E953C3" w:rsidP="00073385">
            <w:pPr>
              <w:spacing w:before="60" w:after="60" w:line="240" w:lineRule="auto"/>
              <w:ind w:left="0"/>
              <w:rPr>
                <w:rFonts w:cs="Arial"/>
                <w:sz w:val="20"/>
                <w:szCs w:val="20"/>
              </w:rPr>
            </w:pPr>
            <w:r>
              <w:rPr>
                <w:rFonts w:cs="Arial"/>
                <w:sz w:val="20"/>
                <w:szCs w:val="20"/>
              </w:rPr>
              <w:t xml:space="preserve">The department advised that the </w:t>
            </w:r>
            <w:r w:rsidRPr="00197DBB">
              <w:rPr>
                <w:rFonts w:cs="Arial"/>
                <w:sz w:val="20"/>
                <w:szCs w:val="20"/>
              </w:rPr>
              <w:t xml:space="preserve">protection regime does not cover all submarine cables so </w:t>
            </w:r>
            <w:r>
              <w:rPr>
                <w:rFonts w:cs="Arial"/>
                <w:sz w:val="20"/>
                <w:szCs w:val="20"/>
              </w:rPr>
              <w:t>CarbonNet</w:t>
            </w:r>
            <w:r w:rsidRPr="00197DBB">
              <w:rPr>
                <w:rFonts w:cs="Arial"/>
                <w:sz w:val="20"/>
                <w:szCs w:val="20"/>
              </w:rPr>
              <w:t xml:space="preserve"> should check with other operators.</w:t>
            </w:r>
          </w:p>
        </w:tc>
        <w:tc>
          <w:tcPr>
            <w:tcW w:w="3802" w:type="dxa"/>
            <w:shd w:val="clear" w:color="auto" w:fill="auto"/>
          </w:tcPr>
          <w:p w14:paraId="7FE4A305" w14:textId="77777777" w:rsidR="00E953C3" w:rsidRDefault="00E953C3" w:rsidP="00073385">
            <w:pPr>
              <w:spacing w:before="60" w:after="60" w:line="240" w:lineRule="auto"/>
              <w:ind w:left="0"/>
              <w:rPr>
                <w:rFonts w:cs="Arial"/>
                <w:sz w:val="20"/>
                <w:szCs w:val="20"/>
              </w:rPr>
            </w:pPr>
            <w:r>
              <w:rPr>
                <w:rFonts w:cs="Arial"/>
                <w:sz w:val="20"/>
                <w:szCs w:val="20"/>
              </w:rPr>
              <w:t>CarbonNet thanked the department for their response.</w:t>
            </w:r>
          </w:p>
          <w:p w14:paraId="014EF034" w14:textId="77777777" w:rsidR="00E953C3" w:rsidRDefault="00E953C3" w:rsidP="00073385">
            <w:pPr>
              <w:spacing w:before="60" w:after="60" w:line="240" w:lineRule="auto"/>
              <w:ind w:left="0"/>
              <w:rPr>
                <w:rFonts w:cs="Arial"/>
                <w:sz w:val="20"/>
                <w:szCs w:val="20"/>
              </w:rPr>
            </w:pPr>
          </w:p>
          <w:p w14:paraId="4C61B842" w14:textId="510D3A5D" w:rsidR="00E953C3" w:rsidRPr="00FF0808" w:rsidRDefault="00E953C3" w:rsidP="00D34363">
            <w:pPr>
              <w:spacing w:before="60" w:after="60" w:line="240" w:lineRule="auto"/>
              <w:ind w:left="0"/>
              <w:rPr>
                <w:rFonts w:cs="Arial"/>
                <w:sz w:val="20"/>
                <w:szCs w:val="20"/>
              </w:rPr>
            </w:pPr>
            <w:r>
              <w:rPr>
                <w:rFonts w:cs="Arial"/>
                <w:sz w:val="20"/>
                <w:szCs w:val="20"/>
              </w:rPr>
              <w:t>CarbonNet has consulted other infrastructure operators in the area, including Telstra and Basslink.</w:t>
            </w:r>
          </w:p>
        </w:tc>
      </w:tr>
      <w:tr w:rsidR="00E953C3" w:rsidRPr="00FF0808" w14:paraId="78F5A3A6" w14:textId="77777777" w:rsidTr="00077C5F">
        <w:tc>
          <w:tcPr>
            <w:tcW w:w="1427" w:type="dxa"/>
            <w:vMerge w:val="restart"/>
            <w:shd w:val="clear" w:color="auto" w:fill="auto"/>
          </w:tcPr>
          <w:p w14:paraId="36B27FB6" w14:textId="77777777" w:rsidR="00E953C3" w:rsidRDefault="00E953C3" w:rsidP="00073385">
            <w:pPr>
              <w:spacing w:before="60" w:after="60" w:line="240" w:lineRule="auto"/>
              <w:ind w:left="0"/>
              <w:rPr>
                <w:rFonts w:cs="Arial"/>
                <w:sz w:val="20"/>
                <w:szCs w:val="20"/>
              </w:rPr>
            </w:pPr>
            <w:r>
              <w:rPr>
                <w:rFonts w:cs="Arial"/>
                <w:sz w:val="20"/>
                <w:szCs w:val="20"/>
              </w:rPr>
              <w:t>Australian Hydrographic Office (AHO)</w:t>
            </w:r>
          </w:p>
        </w:tc>
        <w:tc>
          <w:tcPr>
            <w:tcW w:w="1629" w:type="dxa"/>
            <w:vMerge w:val="restart"/>
            <w:shd w:val="clear" w:color="auto" w:fill="auto"/>
          </w:tcPr>
          <w:p w14:paraId="78DA3A69" w14:textId="77777777" w:rsidR="00E953C3" w:rsidRPr="00FF0808" w:rsidRDefault="00E953C3" w:rsidP="00073385">
            <w:pPr>
              <w:spacing w:before="60" w:after="60" w:line="240" w:lineRule="auto"/>
              <w:ind w:left="0"/>
              <w:rPr>
                <w:rFonts w:cs="Arial"/>
                <w:sz w:val="20"/>
                <w:szCs w:val="20"/>
              </w:rPr>
            </w:pPr>
            <w:r>
              <w:rPr>
                <w:rFonts w:cs="Arial"/>
                <w:sz w:val="20"/>
                <w:szCs w:val="20"/>
              </w:rPr>
              <w:t xml:space="preserve">Issuer of Notice to Mariners </w:t>
            </w:r>
          </w:p>
        </w:tc>
        <w:tc>
          <w:tcPr>
            <w:tcW w:w="1055" w:type="dxa"/>
          </w:tcPr>
          <w:p w14:paraId="66FFD16B" w14:textId="77777777" w:rsidR="00E953C3" w:rsidRDefault="00E953C3"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7F11D8B3" w14:textId="77777777" w:rsidR="00E953C3" w:rsidRDefault="00E953C3" w:rsidP="00073385">
            <w:pPr>
              <w:spacing w:before="60" w:after="60" w:line="240" w:lineRule="auto"/>
              <w:ind w:left="0"/>
              <w:rPr>
                <w:rFonts w:cs="Arial"/>
                <w:sz w:val="20"/>
                <w:szCs w:val="20"/>
              </w:rPr>
            </w:pPr>
            <w:r>
              <w:rPr>
                <w:rFonts w:cs="Arial"/>
                <w:sz w:val="20"/>
                <w:szCs w:val="20"/>
              </w:rPr>
              <w:t>CarbonNet emailed the AHO a letter with a fact sheet and contact details.</w:t>
            </w:r>
          </w:p>
        </w:tc>
        <w:tc>
          <w:tcPr>
            <w:tcW w:w="3802" w:type="dxa"/>
            <w:shd w:val="clear" w:color="auto" w:fill="auto"/>
          </w:tcPr>
          <w:p w14:paraId="6AB33B45" w14:textId="050BF250"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42DDB977" w14:textId="77777777" w:rsidTr="00077C5F">
        <w:tc>
          <w:tcPr>
            <w:tcW w:w="1427" w:type="dxa"/>
            <w:vMerge/>
            <w:tcBorders>
              <w:bottom w:val="nil"/>
            </w:tcBorders>
            <w:shd w:val="clear" w:color="auto" w:fill="auto"/>
          </w:tcPr>
          <w:p w14:paraId="0294127E" w14:textId="77777777" w:rsidR="00E953C3" w:rsidRDefault="00E953C3" w:rsidP="00073385">
            <w:pPr>
              <w:spacing w:before="60" w:after="60" w:line="240" w:lineRule="auto"/>
              <w:ind w:left="0"/>
              <w:rPr>
                <w:rFonts w:cs="Arial"/>
                <w:sz w:val="20"/>
                <w:szCs w:val="20"/>
              </w:rPr>
            </w:pPr>
          </w:p>
        </w:tc>
        <w:tc>
          <w:tcPr>
            <w:tcW w:w="1629" w:type="dxa"/>
            <w:vMerge/>
            <w:tcBorders>
              <w:bottom w:val="nil"/>
            </w:tcBorders>
            <w:shd w:val="clear" w:color="auto" w:fill="auto"/>
          </w:tcPr>
          <w:p w14:paraId="05961091" w14:textId="77777777" w:rsidR="00E953C3" w:rsidRPr="00FF0808" w:rsidRDefault="00E953C3" w:rsidP="00073385">
            <w:pPr>
              <w:spacing w:before="60" w:after="60" w:line="240" w:lineRule="auto"/>
              <w:ind w:left="0"/>
              <w:rPr>
                <w:rFonts w:cs="Arial"/>
                <w:sz w:val="20"/>
                <w:szCs w:val="20"/>
              </w:rPr>
            </w:pPr>
          </w:p>
        </w:tc>
        <w:tc>
          <w:tcPr>
            <w:tcW w:w="1055" w:type="dxa"/>
          </w:tcPr>
          <w:p w14:paraId="69064545" w14:textId="77777777" w:rsidR="00E953C3" w:rsidRDefault="00E953C3" w:rsidP="00073385">
            <w:pPr>
              <w:spacing w:before="60" w:after="60" w:line="240" w:lineRule="auto"/>
              <w:ind w:left="0"/>
              <w:rPr>
                <w:rFonts w:cs="Arial"/>
                <w:sz w:val="20"/>
                <w:szCs w:val="20"/>
              </w:rPr>
            </w:pPr>
            <w:r>
              <w:rPr>
                <w:rFonts w:cs="Arial"/>
                <w:sz w:val="20"/>
                <w:szCs w:val="20"/>
              </w:rPr>
              <w:t>28/3/17</w:t>
            </w:r>
          </w:p>
        </w:tc>
        <w:tc>
          <w:tcPr>
            <w:tcW w:w="6335" w:type="dxa"/>
            <w:shd w:val="clear" w:color="auto" w:fill="auto"/>
          </w:tcPr>
          <w:p w14:paraId="309C5A8E" w14:textId="77777777" w:rsidR="00E953C3" w:rsidRDefault="00E953C3" w:rsidP="00073385">
            <w:pPr>
              <w:spacing w:before="60" w:after="60" w:line="240" w:lineRule="auto"/>
              <w:ind w:left="0"/>
              <w:rPr>
                <w:rFonts w:cs="Arial"/>
                <w:sz w:val="20"/>
                <w:szCs w:val="20"/>
              </w:rPr>
            </w:pPr>
            <w:r>
              <w:rPr>
                <w:rFonts w:cs="Arial"/>
                <w:sz w:val="20"/>
                <w:szCs w:val="20"/>
              </w:rPr>
              <w:t>AHO emailed CarbonNet to advise information had been noted, and requested CarbonNet advise AHO within four weeks of activity to publish notice to mariners.</w:t>
            </w:r>
          </w:p>
        </w:tc>
        <w:tc>
          <w:tcPr>
            <w:tcW w:w="3802" w:type="dxa"/>
            <w:shd w:val="clear" w:color="auto" w:fill="auto"/>
          </w:tcPr>
          <w:p w14:paraId="794ABA65" w14:textId="77777777" w:rsidR="00E953C3" w:rsidRDefault="00E953C3" w:rsidP="00073385">
            <w:pPr>
              <w:spacing w:before="60" w:after="60" w:line="240" w:lineRule="auto"/>
              <w:ind w:left="0"/>
              <w:rPr>
                <w:rFonts w:cs="Arial"/>
                <w:sz w:val="20"/>
                <w:szCs w:val="20"/>
              </w:rPr>
            </w:pPr>
            <w:r>
              <w:rPr>
                <w:rFonts w:cs="Arial"/>
                <w:sz w:val="20"/>
                <w:szCs w:val="20"/>
              </w:rPr>
              <w:t>CarbonNet will contact AHO again four weeks out from the MSS to publish notice to mariners.</w:t>
            </w:r>
          </w:p>
        </w:tc>
      </w:tr>
      <w:tr w:rsidR="00E953C3" w:rsidRPr="00FF0808" w14:paraId="215E8C08" w14:textId="77777777" w:rsidTr="00891DE1">
        <w:tc>
          <w:tcPr>
            <w:tcW w:w="1427" w:type="dxa"/>
            <w:tcBorders>
              <w:top w:val="nil"/>
              <w:bottom w:val="nil"/>
            </w:tcBorders>
            <w:shd w:val="clear" w:color="auto" w:fill="auto"/>
          </w:tcPr>
          <w:p w14:paraId="4F20DEF9" w14:textId="77777777" w:rsidR="00E953C3"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B16E101" w14:textId="77777777" w:rsidR="00E953C3" w:rsidRPr="00FF0808" w:rsidRDefault="00E953C3" w:rsidP="00073385">
            <w:pPr>
              <w:spacing w:before="60" w:after="60" w:line="240" w:lineRule="auto"/>
              <w:ind w:left="0"/>
              <w:rPr>
                <w:rFonts w:cs="Arial"/>
                <w:sz w:val="20"/>
                <w:szCs w:val="20"/>
              </w:rPr>
            </w:pPr>
          </w:p>
        </w:tc>
        <w:tc>
          <w:tcPr>
            <w:tcW w:w="1055" w:type="dxa"/>
          </w:tcPr>
          <w:p w14:paraId="77C2C870" w14:textId="77777777" w:rsidR="00E953C3" w:rsidRDefault="00E953C3" w:rsidP="00073385">
            <w:pPr>
              <w:spacing w:before="60" w:after="60" w:line="240" w:lineRule="auto"/>
              <w:ind w:left="0"/>
              <w:rPr>
                <w:rFonts w:cs="Arial"/>
                <w:sz w:val="20"/>
                <w:szCs w:val="20"/>
              </w:rPr>
            </w:pPr>
            <w:r>
              <w:rPr>
                <w:rFonts w:cs="Arial"/>
                <w:sz w:val="20"/>
                <w:szCs w:val="20"/>
              </w:rPr>
              <w:t>7/8/17</w:t>
            </w:r>
          </w:p>
        </w:tc>
        <w:tc>
          <w:tcPr>
            <w:tcW w:w="6335" w:type="dxa"/>
            <w:shd w:val="clear" w:color="auto" w:fill="auto"/>
          </w:tcPr>
          <w:p w14:paraId="0690722B" w14:textId="77777777" w:rsidR="00E953C3" w:rsidRDefault="00E953C3" w:rsidP="00073385">
            <w:pPr>
              <w:spacing w:before="60" w:after="60" w:line="240" w:lineRule="auto"/>
              <w:ind w:left="0"/>
              <w:rPr>
                <w:rFonts w:cs="Arial"/>
                <w:sz w:val="20"/>
                <w:szCs w:val="20"/>
              </w:rPr>
            </w:pPr>
            <w:r>
              <w:rPr>
                <w:rFonts w:cs="Arial"/>
                <w:sz w:val="20"/>
                <w:szCs w:val="20"/>
              </w:rPr>
              <w:t xml:space="preserve">CarbonNet emailed AHO to advise </w:t>
            </w:r>
            <w:r w:rsidRPr="001D00DE">
              <w:rPr>
                <w:rFonts w:cs="Arial"/>
                <w:sz w:val="20"/>
                <w:szCs w:val="20"/>
              </w:rPr>
              <w:t>area and duration of survey have now been refined, and advising we will submit EP in mid-August.</w:t>
            </w:r>
          </w:p>
        </w:tc>
        <w:tc>
          <w:tcPr>
            <w:tcW w:w="3802" w:type="dxa"/>
            <w:shd w:val="clear" w:color="auto" w:fill="auto"/>
          </w:tcPr>
          <w:p w14:paraId="6E788A4D" w14:textId="7153282D"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13C4C4E6" w14:textId="77777777" w:rsidTr="00891DE1">
        <w:tc>
          <w:tcPr>
            <w:tcW w:w="1427" w:type="dxa"/>
            <w:tcBorders>
              <w:top w:val="nil"/>
              <w:bottom w:val="nil"/>
            </w:tcBorders>
            <w:shd w:val="clear" w:color="auto" w:fill="auto"/>
          </w:tcPr>
          <w:p w14:paraId="2E7957B5" w14:textId="77777777" w:rsidR="00E953C3"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0267C82" w14:textId="77777777" w:rsidR="00E953C3" w:rsidRPr="00FF0808" w:rsidRDefault="00E953C3" w:rsidP="00073385">
            <w:pPr>
              <w:spacing w:before="60" w:after="60" w:line="240" w:lineRule="auto"/>
              <w:ind w:left="0"/>
              <w:rPr>
                <w:rFonts w:cs="Arial"/>
                <w:sz w:val="20"/>
                <w:szCs w:val="20"/>
              </w:rPr>
            </w:pPr>
          </w:p>
        </w:tc>
        <w:tc>
          <w:tcPr>
            <w:tcW w:w="1055" w:type="dxa"/>
          </w:tcPr>
          <w:p w14:paraId="5F833678" w14:textId="0D7A0DE9" w:rsidR="00E953C3" w:rsidRDefault="00E953C3" w:rsidP="00073385">
            <w:pPr>
              <w:spacing w:before="60" w:after="60" w:line="240" w:lineRule="auto"/>
              <w:ind w:left="0"/>
              <w:rPr>
                <w:rFonts w:cs="Arial"/>
                <w:sz w:val="20"/>
                <w:szCs w:val="20"/>
              </w:rPr>
            </w:pPr>
            <w:r>
              <w:rPr>
                <w:rFonts w:cs="Arial"/>
                <w:sz w:val="20"/>
                <w:szCs w:val="20"/>
              </w:rPr>
              <w:t>8/8/17</w:t>
            </w:r>
          </w:p>
        </w:tc>
        <w:tc>
          <w:tcPr>
            <w:tcW w:w="6335" w:type="dxa"/>
            <w:shd w:val="clear" w:color="auto" w:fill="auto"/>
          </w:tcPr>
          <w:p w14:paraId="47CD745F" w14:textId="1E744FDB" w:rsidR="00E953C3" w:rsidRDefault="00E953C3" w:rsidP="00073385">
            <w:pPr>
              <w:spacing w:before="60" w:after="60" w:line="240" w:lineRule="auto"/>
              <w:ind w:left="0"/>
              <w:rPr>
                <w:rFonts w:cs="Arial"/>
                <w:sz w:val="20"/>
                <w:szCs w:val="20"/>
              </w:rPr>
            </w:pPr>
            <w:r>
              <w:rPr>
                <w:rFonts w:cs="Arial"/>
                <w:sz w:val="20"/>
                <w:szCs w:val="20"/>
              </w:rPr>
              <w:t>AHO emailed CarbonNet to request they be kept informed once reasonably firm dates are available closer to the event.</w:t>
            </w:r>
          </w:p>
        </w:tc>
        <w:tc>
          <w:tcPr>
            <w:tcW w:w="3802" w:type="dxa"/>
            <w:shd w:val="clear" w:color="auto" w:fill="auto"/>
          </w:tcPr>
          <w:p w14:paraId="2FF637BB" w14:textId="4D157A1C" w:rsidR="00E953C3" w:rsidRDefault="00E953C3" w:rsidP="00073385">
            <w:pPr>
              <w:spacing w:before="60" w:after="60" w:line="240" w:lineRule="auto"/>
              <w:ind w:left="0"/>
              <w:rPr>
                <w:rFonts w:cs="Arial"/>
                <w:sz w:val="20"/>
                <w:szCs w:val="20"/>
              </w:rPr>
            </w:pPr>
            <w:r>
              <w:rPr>
                <w:rFonts w:cs="Arial"/>
                <w:sz w:val="20"/>
                <w:szCs w:val="20"/>
              </w:rPr>
              <w:t>AHO is included in the list of stakeholders to be notified prior to the survey commencing (Section 8.7.1).</w:t>
            </w:r>
          </w:p>
        </w:tc>
      </w:tr>
      <w:tr w:rsidR="00E953C3" w:rsidRPr="00FF0808" w14:paraId="4A04168C" w14:textId="77777777" w:rsidTr="00077C5F">
        <w:tc>
          <w:tcPr>
            <w:tcW w:w="1427" w:type="dxa"/>
            <w:tcBorders>
              <w:top w:val="nil"/>
            </w:tcBorders>
            <w:shd w:val="clear" w:color="auto" w:fill="auto"/>
          </w:tcPr>
          <w:p w14:paraId="481F7CE3" w14:textId="77777777" w:rsidR="00E953C3" w:rsidRDefault="00E953C3" w:rsidP="00073385">
            <w:pPr>
              <w:spacing w:before="60" w:after="60" w:line="240" w:lineRule="auto"/>
              <w:ind w:left="0"/>
              <w:rPr>
                <w:rFonts w:cs="Arial"/>
                <w:sz w:val="20"/>
                <w:szCs w:val="20"/>
              </w:rPr>
            </w:pPr>
          </w:p>
        </w:tc>
        <w:tc>
          <w:tcPr>
            <w:tcW w:w="1629" w:type="dxa"/>
            <w:tcBorders>
              <w:top w:val="nil"/>
            </w:tcBorders>
            <w:shd w:val="clear" w:color="auto" w:fill="auto"/>
          </w:tcPr>
          <w:p w14:paraId="7B06E50E" w14:textId="77777777" w:rsidR="00E953C3" w:rsidRPr="00FF0808" w:rsidRDefault="00E953C3" w:rsidP="00073385">
            <w:pPr>
              <w:spacing w:before="60" w:after="60" w:line="240" w:lineRule="auto"/>
              <w:ind w:left="0"/>
              <w:rPr>
                <w:rFonts w:cs="Arial"/>
                <w:sz w:val="20"/>
                <w:szCs w:val="20"/>
              </w:rPr>
            </w:pPr>
          </w:p>
        </w:tc>
        <w:tc>
          <w:tcPr>
            <w:tcW w:w="1055" w:type="dxa"/>
          </w:tcPr>
          <w:p w14:paraId="528E4D0F" w14:textId="375D237C" w:rsidR="00E953C3" w:rsidRDefault="00E953C3"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382F25C5" w14:textId="711052A2" w:rsidR="00E953C3" w:rsidRDefault="00E953C3" w:rsidP="00CB2660">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03C8D0EF" w14:textId="75DFDE6A"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55DAB023" w14:textId="77777777" w:rsidTr="00077C5F">
        <w:tc>
          <w:tcPr>
            <w:tcW w:w="1427" w:type="dxa"/>
            <w:vMerge w:val="restart"/>
            <w:shd w:val="clear" w:color="auto" w:fill="auto"/>
          </w:tcPr>
          <w:p w14:paraId="432EE380" w14:textId="77777777" w:rsidR="00E953C3" w:rsidRDefault="00E953C3" w:rsidP="00073385">
            <w:pPr>
              <w:spacing w:before="60" w:after="60" w:line="240" w:lineRule="auto"/>
              <w:ind w:left="0"/>
              <w:rPr>
                <w:rFonts w:cs="Arial"/>
                <w:sz w:val="20"/>
                <w:szCs w:val="20"/>
              </w:rPr>
            </w:pPr>
            <w:r w:rsidRPr="000A143F">
              <w:rPr>
                <w:rFonts w:cs="Arial"/>
                <w:sz w:val="20"/>
                <w:szCs w:val="20"/>
              </w:rPr>
              <w:t xml:space="preserve">Department of Defence (DoD) - Defence Support </w:t>
            </w:r>
            <w:r w:rsidRPr="000A143F">
              <w:rPr>
                <w:rFonts w:cs="Arial"/>
                <w:sz w:val="20"/>
                <w:szCs w:val="20"/>
              </w:rPr>
              <w:lastRenderedPageBreak/>
              <w:t>Group</w:t>
            </w:r>
          </w:p>
        </w:tc>
        <w:tc>
          <w:tcPr>
            <w:tcW w:w="1629" w:type="dxa"/>
            <w:vMerge w:val="restart"/>
            <w:shd w:val="clear" w:color="auto" w:fill="auto"/>
          </w:tcPr>
          <w:p w14:paraId="78DA821C" w14:textId="73B89BEC" w:rsidR="00E953C3" w:rsidRPr="00FF0808" w:rsidRDefault="00E953C3" w:rsidP="00D34363">
            <w:pPr>
              <w:spacing w:before="60" w:after="60" w:line="240" w:lineRule="auto"/>
              <w:ind w:left="0"/>
              <w:rPr>
                <w:rFonts w:cs="Arial"/>
                <w:sz w:val="20"/>
                <w:szCs w:val="20"/>
              </w:rPr>
            </w:pPr>
            <w:r>
              <w:rPr>
                <w:rFonts w:cs="Arial"/>
                <w:sz w:val="20"/>
                <w:szCs w:val="20"/>
              </w:rPr>
              <w:lastRenderedPageBreak/>
              <w:t xml:space="preserve">Manage all Australian defence activities. DoD has operations </w:t>
            </w:r>
            <w:r>
              <w:rPr>
                <w:rFonts w:cs="Arial"/>
                <w:sz w:val="20"/>
                <w:szCs w:val="20"/>
              </w:rPr>
              <w:lastRenderedPageBreak/>
              <w:t xml:space="preserve">in Sale, Gippsland. </w:t>
            </w:r>
          </w:p>
        </w:tc>
        <w:tc>
          <w:tcPr>
            <w:tcW w:w="1055" w:type="dxa"/>
          </w:tcPr>
          <w:p w14:paraId="71BE597D" w14:textId="77777777" w:rsidR="00E953C3" w:rsidRDefault="00E953C3" w:rsidP="00073385">
            <w:pPr>
              <w:spacing w:before="60" w:after="60" w:line="240" w:lineRule="auto"/>
              <w:ind w:left="0"/>
              <w:rPr>
                <w:rFonts w:cs="Arial"/>
                <w:sz w:val="20"/>
                <w:szCs w:val="20"/>
              </w:rPr>
            </w:pPr>
            <w:r>
              <w:rPr>
                <w:rFonts w:cs="Arial"/>
                <w:sz w:val="20"/>
                <w:szCs w:val="20"/>
              </w:rPr>
              <w:lastRenderedPageBreak/>
              <w:t>21/3/17</w:t>
            </w:r>
          </w:p>
        </w:tc>
        <w:tc>
          <w:tcPr>
            <w:tcW w:w="6335" w:type="dxa"/>
            <w:shd w:val="clear" w:color="auto" w:fill="auto"/>
          </w:tcPr>
          <w:p w14:paraId="2E7C1137" w14:textId="6FDDC6FD" w:rsidR="00E953C3" w:rsidRDefault="00E953C3" w:rsidP="00073385">
            <w:pPr>
              <w:spacing w:before="60" w:after="60" w:line="240" w:lineRule="auto"/>
              <w:ind w:left="0"/>
              <w:rPr>
                <w:rFonts w:cs="Arial"/>
                <w:sz w:val="20"/>
                <w:szCs w:val="20"/>
              </w:rPr>
            </w:pPr>
            <w:r>
              <w:rPr>
                <w:rFonts w:cs="Arial"/>
                <w:sz w:val="20"/>
                <w:szCs w:val="20"/>
              </w:rPr>
              <w:t xml:space="preserve">CarbonNet emailed </w:t>
            </w:r>
            <w:r w:rsidRPr="000A143F">
              <w:rPr>
                <w:rFonts w:cs="Arial"/>
                <w:sz w:val="20"/>
                <w:szCs w:val="20"/>
              </w:rPr>
              <w:t>Department of Defence (DoD) - Defence Support Group</w:t>
            </w:r>
            <w:r>
              <w:rPr>
                <w:rFonts w:cs="Arial"/>
                <w:sz w:val="20"/>
                <w:szCs w:val="20"/>
              </w:rPr>
              <w:t xml:space="preserve"> with a letter, fact sheet and contact details.</w:t>
            </w:r>
          </w:p>
        </w:tc>
        <w:tc>
          <w:tcPr>
            <w:tcW w:w="3802" w:type="dxa"/>
            <w:shd w:val="clear" w:color="auto" w:fill="auto"/>
          </w:tcPr>
          <w:p w14:paraId="68AD27BF" w14:textId="0C42AD3D"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2FA18A78" w14:textId="77777777" w:rsidTr="00077C5F">
        <w:tc>
          <w:tcPr>
            <w:tcW w:w="1427" w:type="dxa"/>
            <w:vMerge/>
            <w:shd w:val="clear" w:color="auto" w:fill="auto"/>
          </w:tcPr>
          <w:p w14:paraId="41A4222E" w14:textId="77777777" w:rsidR="00E953C3" w:rsidRDefault="00E953C3" w:rsidP="00073385">
            <w:pPr>
              <w:spacing w:before="60" w:after="60" w:line="240" w:lineRule="auto"/>
              <w:ind w:left="0"/>
              <w:rPr>
                <w:rFonts w:cs="Arial"/>
                <w:sz w:val="20"/>
                <w:szCs w:val="20"/>
              </w:rPr>
            </w:pPr>
          </w:p>
        </w:tc>
        <w:tc>
          <w:tcPr>
            <w:tcW w:w="1629" w:type="dxa"/>
            <w:vMerge/>
            <w:shd w:val="clear" w:color="auto" w:fill="auto"/>
          </w:tcPr>
          <w:p w14:paraId="50C01507" w14:textId="77777777" w:rsidR="00E953C3" w:rsidRPr="00FF0808" w:rsidRDefault="00E953C3" w:rsidP="00073385">
            <w:pPr>
              <w:spacing w:before="60" w:after="60" w:line="240" w:lineRule="auto"/>
              <w:ind w:left="0"/>
              <w:rPr>
                <w:rFonts w:cs="Arial"/>
                <w:sz w:val="20"/>
                <w:szCs w:val="20"/>
              </w:rPr>
            </w:pPr>
          </w:p>
        </w:tc>
        <w:tc>
          <w:tcPr>
            <w:tcW w:w="1055" w:type="dxa"/>
          </w:tcPr>
          <w:p w14:paraId="73F390F8" w14:textId="77777777" w:rsidR="00E953C3" w:rsidRDefault="00E953C3" w:rsidP="00073385">
            <w:pPr>
              <w:spacing w:before="60" w:after="60" w:line="240" w:lineRule="auto"/>
              <w:ind w:left="0"/>
              <w:rPr>
                <w:rFonts w:cs="Arial"/>
                <w:sz w:val="20"/>
                <w:szCs w:val="20"/>
              </w:rPr>
            </w:pPr>
            <w:r>
              <w:rPr>
                <w:rFonts w:cs="Arial"/>
                <w:sz w:val="20"/>
                <w:szCs w:val="20"/>
              </w:rPr>
              <w:t>29/5/17</w:t>
            </w:r>
          </w:p>
        </w:tc>
        <w:tc>
          <w:tcPr>
            <w:tcW w:w="6335" w:type="dxa"/>
            <w:shd w:val="clear" w:color="auto" w:fill="auto"/>
          </w:tcPr>
          <w:p w14:paraId="620D7BB8" w14:textId="77777777" w:rsidR="00E953C3" w:rsidRDefault="00E953C3" w:rsidP="00073385">
            <w:pPr>
              <w:spacing w:before="60" w:after="60" w:line="240" w:lineRule="auto"/>
              <w:ind w:left="0"/>
              <w:rPr>
                <w:rFonts w:cs="Arial"/>
                <w:sz w:val="20"/>
                <w:szCs w:val="20"/>
              </w:rPr>
            </w:pPr>
            <w:r>
              <w:rPr>
                <w:rFonts w:cs="Arial"/>
                <w:sz w:val="20"/>
                <w:szCs w:val="20"/>
              </w:rPr>
              <w:t>CarbonNet sent a follow up email to the department.</w:t>
            </w:r>
          </w:p>
        </w:tc>
        <w:tc>
          <w:tcPr>
            <w:tcW w:w="3802" w:type="dxa"/>
            <w:shd w:val="clear" w:color="auto" w:fill="auto"/>
          </w:tcPr>
          <w:p w14:paraId="3A5024D3" w14:textId="2A27BC51"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7F05DC74" w14:textId="77777777" w:rsidTr="00077C5F">
        <w:tc>
          <w:tcPr>
            <w:tcW w:w="1427" w:type="dxa"/>
            <w:vMerge/>
            <w:shd w:val="clear" w:color="auto" w:fill="auto"/>
          </w:tcPr>
          <w:p w14:paraId="6349F2EF" w14:textId="77777777" w:rsidR="00E953C3" w:rsidRDefault="00E953C3" w:rsidP="00073385">
            <w:pPr>
              <w:spacing w:before="60" w:after="60" w:line="240" w:lineRule="auto"/>
              <w:ind w:left="0"/>
              <w:rPr>
                <w:rFonts w:cs="Arial"/>
                <w:sz w:val="20"/>
                <w:szCs w:val="20"/>
              </w:rPr>
            </w:pPr>
          </w:p>
        </w:tc>
        <w:tc>
          <w:tcPr>
            <w:tcW w:w="1629" w:type="dxa"/>
            <w:vMerge/>
            <w:shd w:val="clear" w:color="auto" w:fill="auto"/>
          </w:tcPr>
          <w:p w14:paraId="26F9B6C2" w14:textId="77777777" w:rsidR="00E953C3" w:rsidRPr="00FF0808" w:rsidRDefault="00E953C3" w:rsidP="00073385">
            <w:pPr>
              <w:spacing w:before="60" w:after="60" w:line="240" w:lineRule="auto"/>
              <w:ind w:left="0"/>
              <w:rPr>
                <w:rFonts w:cs="Arial"/>
                <w:sz w:val="20"/>
                <w:szCs w:val="20"/>
              </w:rPr>
            </w:pPr>
          </w:p>
        </w:tc>
        <w:tc>
          <w:tcPr>
            <w:tcW w:w="1055" w:type="dxa"/>
          </w:tcPr>
          <w:p w14:paraId="54E4F496" w14:textId="77777777" w:rsidR="00E953C3" w:rsidRDefault="00E953C3" w:rsidP="00073385">
            <w:pPr>
              <w:spacing w:before="60" w:after="60" w:line="240" w:lineRule="auto"/>
              <w:ind w:left="0"/>
              <w:rPr>
                <w:rFonts w:cs="Arial"/>
                <w:sz w:val="20"/>
                <w:szCs w:val="20"/>
              </w:rPr>
            </w:pPr>
            <w:r>
              <w:rPr>
                <w:rFonts w:cs="Arial"/>
                <w:sz w:val="20"/>
                <w:szCs w:val="20"/>
              </w:rPr>
              <w:t>30/5/17</w:t>
            </w:r>
          </w:p>
        </w:tc>
        <w:tc>
          <w:tcPr>
            <w:tcW w:w="6335" w:type="dxa"/>
            <w:shd w:val="clear" w:color="auto" w:fill="auto"/>
          </w:tcPr>
          <w:p w14:paraId="6E87FC99" w14:textId="77777777" w:rsidR="00E953C3" w:rsidRDefault="00E953C3" w:rsidP="00073385">
            <w:pPr>
              <w:spacing w:before="60" w:after="60" w:line="240" w:lineRule="auto"/>
              <w:ind w:left="0"/>
              <w:rPr>
                <w:rFonts w:cs="Arial"/>
                <w:sz w:val="20"/>
                <w:szCs w:val="20"/>
              </w:rPr>
            </w:pPr>
            <w:r>
              <w:rPr>
                <w:rFonts w:cs="Arial"/>
                <w:sz w:val="20"/>
                <w:szCs w:val="20"/>
              </w:rPr>
              <w:t xml:space="preserve">CarbonNet received an email response to advise they are still </w:t>
            </w:r>
            <w:r>
              <w:rPr>
                <w:rFonts w:cs="Arial"/>
                <w:sz w:val="20"/>
                <w:szCs w:val="20"/>
              </w:rPr>
              <w:lastRenderedPageBreak/>
              <w:t>consulting with internal stakeholders.</w:t>
            </w:r>
          </w:p>
        </w:tc>
        <w:tc>
          <w:tcPr>
            <w:tcW w:w="3802" w:type="dxa"/>
            <w:shd w:val="clear" w:color="auto" w:fill="auto"/>
          </w:tcPr>
          <w:p w14:paraId="71F27F2D" w14:textId="51703230" w:rsidR="00E953C3" w:rsidRDefault="00E953C3" w:rsidP="00073385">
            <w:pPr>
              <w:spacing w:before="60" w:after="60" w:line="240" w:lineRule="auto"/>
              <w:ind w:left="0"/>
              <w:rPr>
                <w:rFonts w:cs="Arial"/>
                <w:sz w:val="20"/>
                <w:szCs w:val="20"/>
              </w:rPr>
            </w:pPr>
            <w:r>
              <w:rPr>
                <w:rFonts w:cs="Arial"/>
                <w:sz w:val="20"/>
                <w:szCs w:val="20"/>
              </w:rPr>
              <w:lastRenderedPageBreak/>
              <w:t>N/A</w:t>
            </w:r>
          </w:p>
        </w:tc>
      </w:tr>
      <w:tr w:rsidR="00E953C3" w:rsidRPr="00FF0808" w14:paraId="02708EAA" w14:textId="77777777" w:rsidTr="00891DE1">
        <w:tc>
          <w:tcPr>
            <w:tcW w:w="1427" w:type="dxa"/>
            <w:vMerge/>
            <w:tcBorders>
              <w:bottom w:val="nil"/>
            </w:tcBorders>
            <w:shd w:val="clear" w:color="auto" w:fill="auto"/>
          </w:tcPr>
          <w:p w14:paraId="1EE738C4" w14:textId="77777777" w:rsidR="00E953C3" w:rsidRDefault="00E953C3" w:rsidP="00073385">
            <w:pPr>
              <w:spacing w:before="60" w:after="60" w:line="240" w:lineRule="auto"/>
              <w:ind w:left="0"/>
              <w:rPr>
                <w:rFonts w:cs="Arial"/>
                <w:sz w:val="20"/>
                <w:szCs w:val="20"/>
              </w:rPr>
            </w:pPr>
          </w:p>
        </w:tc>
        <w:tc>
          <w:tcPr>
            <w:tcW w:w="1629" w:type="dxa"/>
            <w:vMerge/>
            <w:tcBorders>
              <w:bottom w:val="nil"/>
            </w:tcBorders>
            <w:shd w:val="clear" w:color="auto" w:fill="auto"/>
          </w:tcPr>
          <w:p w14:paraId="27797CF7" w14:textId="77777777" w:rsidR="00E953C3" w:rsidRPr="00FF0808" w:rsidRDefault="00E953C3" w:rsidP="00073385">
            <w:pPr>
              <w:spacing w:before="60" w:after="60" w:line="240" w:lineRule="auto"/>
              <w:ind w:left="0"/>
              <w:rPr>
                <w:rFonts w:cs="Arial"/>
                <w:sz w:val="20"/>
                <w:szCs w:val="20"/>
              </w:rPr>
            </w:pPr>
          </w:p>
        </w:tc>
        <w:tc>
          <w:tcPr>
            <w:tcW w:w="1055" w:type="dxa"/>
          </w:tcPr>
          <w:p w14:paraId="7ABBC753" w14:textId="77777777" w:rsidR="00E953C3" w:rsidRDefault="00E953C3" w:rsidP="00073385">
            <w:pPr>
              <w:spacing w:before="60" w:after="60" w:line="240" w:lineRule="auto"/>
              <w:ind w:left="0"/>
              <w:rPr>
                <w:rFonts w:cs="Arial"/>
                <w:sz w:val="20"/>
                <w:szCs w:val="20"/>
              </w:rPr>
            </w:pPr>
            <w:r>
              <w:rPr>
                <w:rFonts w:cs="Arial"/>
                <w:sz w:val="20"/>
                <w:szCs w:val="20"/>
              </w:rPr>
              <w:t>8/6/17</w:t>
            </w:r>
          </w:p>
        </w:tc>
        <w:tc>
          <w:tcPr>
            <w:tcW w:w="6335" w:type="dxa"/>
            <w:shd w:val="clear" w:color="auto" w:fill="auto"/>
          </w:tcPr>
          <w:p w14:paraId="10DAB2D1" w14:textId="77777777" w:rsidR="00E953C3" w:rsidRDefault="00E953C3" w:rsidP="00073385">
            <w:pPr>
              <w:spacing w:before="60" w:after="60" w:line="240" w:lineRule="auto"/>
              <w:ind w:left="0"/>
              <w:rPr>
                <w:rFonts w:cs="Arial"/>
                <w:sz w:val="20"/>
                <w:szCs w:val="20"/>
              </w:rPr>
            </w:pPr>
            <w:r>
              <w:rPr>
                <w:rFonts w:cs="Arial"/>
                <w:sz w:val="20"/>
                <w:szCs w:val="20"/>
              </w:rPr>
              <w:t>Department of Defence emailed CarbonNet to say they have no objections or comments to raise.</w:t>
            </w:r>
          </w:p>
        </w:tc>
        <w:tc>
          <w:tcPr>
            <w:tcW w:w="3802" w:type="dxa"/>
            <w:shd w:val="clear" w:color="auto" w:fill="auto"/>
          </w:tcPr>
          <w:p w14:paraId="310AB28D" w14:textId="7B775D8F" w:rsidR="00E953C3" w:rsidRDefault="00E953C3" w:rsidP="00D34363">
            <w:pPr>
              <w:spacing w:before="60" w:after="60" w:line="240" w:lineRule="auto"/>
              <w:ind w:left="0"/>
              <w:rPr>
                <w:rFonts w:cs="Arial"/>
                <w:sz w:val="20"/>
                <w:szCs w:val="20"/>
              </w:rPr>
            </w:pPr>
            <w:r>
              <w:rPr>
                <w:rFonts w:cs="Arial"/>
                <w:sz w:val="20"/>
                <w:szCs w:val="20"/>
              </w:rPr>
              <w:t xml:space="preserve">CarbonNet thanked the DoD for their advice. Defence activities are addressed in Section 5.6.8 of the EP. </w:t>
            </w:r>
          </w:p>
        </w:tc>
      </w:tr>
      <w:tr w:rsidR="00E953C3" w:rsidRPr="00FF0808" w14:paraId="231E240F" w14:textId="77777777" w:rsidTr="00891DE1">
        <w:tc>
          <w:tcPr>
            <w:tcW w:w="1427" w:type="dxa"/>
            <w:tcBorders>
              <w:top w:val="nil"/>
            </w:tcBorders>
            <w:shd w:val="clear" w:color="auto" w:fill="auto"/>
          </w:tcPr>
          <w:p w14:paraId="39E5A8E3" w14:textId="77777777" w:rsidR="00E953C3" w:rsidRDefault="00E953C3" w:rsidP="00073385">
            <w:pPr>
              <w:spacing w:before="60" w:after="60" w:line="240" w:lineRule="auto"/>
              <w:ind w:left="0"/>
              <w:rPr>
                <w:rFonts w:cs="Arial"/>
                <w:sz w:val="20"/>
                <w:szCs w:val="20"/>
              </w:rPr>
            </w:pPr>
          </w:p>
        </w:tc>
        <w:tc>
          <w:tcPr>
            <w:tcW w:w="1629" w:type="dxa"/>
            <w:tcBorders>
              <w:top w:val="nil"/>
            </w:tcBorders>
            <w:shd w:val="clear" w:color="auto" w:fill="auto"/>
          </w:tcPr>
          <w:p w14:paraId="3A8CE5A1" w14:textId="77777777" w:rsidR="00E953C3" w:rsidRPr="00FF0808" w:rsidRDefault="00E953C3" w:rsidP="00073385">
            <w:pPr>
              <w:spacing w:before="60" w:after="60" w:line="240" w:lineRule="auto"/>
              <w:ind w:left="0"/>
              <w:rPr>
                <w:rFonts w:cs="Arial"/>
                <w:sz w:val="20"/>
                <w:szCs w:val="20"/>
              </w:rPr>
            </w:pPr>
          </w:p>
        </w:tc>
        <w:tc>
          <w:tcPr>
            <w:tcW w:w="1055" w:type="dxa"/>
          </w:tcPr>
          <w:p w14:paraId="4A52312C" w14:textId="360A9739" w:rsidR="00E953C3" w:rsidRDefault="00E953C3"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4E353D19" w14:textId="75F5C841" w:rsidR="00E953C3" w:rsidRDefault="00E953C3" w:rsidP="00CB2660">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6B75D94C" w14:textId="06DE374B" w:rsidR="00E953C3" w:rsidRDefault="00E953C3" w:rsidP="00D34363">
            <w:pPr>
              <w:spacing w:before="60" w:after="60" w:line="240" w:lineRule="auto"/>
              <w:ind w:left="0"/>
              <w:rPr>
                <w:rFonts w:cs="Arial"/>
                <w:sz w:val="20"/>
                <w:szCs w:val="20"/>
              </w:rPr>
            </w:pPr>
            <w:r>
              <w:rPr>
                <w:rFonts w:cs="Arial"/>
                <w:sz w:val="20"/>
                <w:szCs w:val="20"/>
              </w:rPr>
              <w:t>N/A</w:t>
            </w:r>
          </w:p>
        </w:tc>
      </w:tr>
      <w:tr w:rsidR="00E953C3" w:rsidRPr="00FF0808" w14:paraId="2387E6E0" w14:textId="77777777" w:rsidTr="00077C5F">
        <w:tc>
          <w:tcPr>
            <w:tcW w:w="1427" w:type="dxa"/>
            <w:vMerge w:val="restart"/>
            <w:shd w:val="clear" w:color="auto" w:fill="auto"/>
          </w:tcPr>
          <w:p w14:paraId="331DAF27" w14:textId="30E253C7" w:rsidR="00E953C3" w:rsidRDefault="00E953C3" w:rsidP="00073385">
            <w:pPr>
              <w:spacing w:before="60" w:after="60" w:line="240" w:lineRule="auto"/>
              <w:ind w:left="0"/>
              <w:rPr>
                <w:rFonts w:cs="Arial"/>
                <w:sz w:val="20"/>
                <w:szCs w:val="20"/>
              </w:rPr>
            </w:pPr>
            <w:r w:rsidRPr="000A143F">
              <w:rPr>
                <w:rFonts w:cs="Arial"/>
                <w:sz w:val="20"/>
                <w:szCs w:val="20"/>
              </w:rPr>
              <w:t xml:space="preserve">Department of Agriculture and Water Resources </w:t>
            </w:r>
            <w:r>
              <w:rPr>
                <w:rFonts w:cs="Arial"/>
                <w:sz w:val="20"/>
                <w:szCs w:val="20"/>
              </w:rPr>
              <w:t xml:space="preserve">(DAWR) </w:t>
            </w:r>
            <w:r w:rsidRPr="000A143F">
              <w:rPr>
                <w:rFonts w:cs="Arial"/>
                <w:sz w:val="20"/>
                <w:szCs w:val="20"/>
              </w:rPr>
              <w:t>- Biosecurity</w:t>
            </w:r>
          </w:p>
        </w:tc>
        <w:tc>
          <w:tcPr>
            <w:tcW w:w="1629" w:type="dxa"/>
            <w:vMerge w:val="restart"/>
            <w:shd w:val="clear" w:color="auto" w:fill="auto"/>
          </w:tcPr>
          <w:p w14:paraId="14D54922" w14:textId="77777777" w:rsidR="00E953C3" w:rsidRPr="00FF0808" w:rsidRDefault="00E953C3" w:rsidP="00073385">
            <w:pPr>
              <w:spacing w:before="60" w:after="60" w:line="240" w:lineRule="auto"/>
              <w:ind w:left="0"/>
              <w:rPr>
                <w:rFonts w:cs="Arial"/>
                <w:sz w:val="20"/>
                <w:szCs w:val="20"/>
              </w:rPr>
            </w:pPr>
            <w:r>
              <w:rPr>
                <w:rFonts w:cs="Arial"/>
                <w:sz w:val="20"/>
                <w:szCs w:val="20"/>
              </w:rPr>
              <w:t>Biosecurity requirements for vessels entering Australian waters and ports</w:t>
            </w:r>
          </w:p>
        </w:tc>
        <w:tc>
          <w:tcPr>
            <w:tcW w:w="1055" w:type="dxa"/>
          </w:tcPr>
          <w:p w14:paraId="55635F4A" w14:textId="77777777" w:rsidR="00E953C3" w:rsidRDefault="00E953C3"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604B6DBA" w14:textId="77777777" w:rsidR="00E953C3" w:rsidRDefault="00E953C3" w:rsidP="00073385">
            <w:pPr>
              <w:spacing w:before="60" w:after="60" w:line="240" w:lineRule="auto"/>
              <w:ind w:left="0"/>
              <w:rPr>
                <w:rFonts w:cs="Arial"/>
                <w:sz w:val="20"/>
                <w:szCs w:val="20"/>
              </w:rPr>
            </w:pPr>
            <w:r>
              <w:rPr>
                <w:rFonts w:cs="Arial"/>
                <w:sz w:val="20"/>
                <w:szCs w:val="20"/>
              </w:rPr>
              <w:t>CarbonNet emailed Department of Agriculture with a letter, fact sheet and contact details inviting comment.</w:t>
            </w:r>
          </w:p>
        </w:tc>
        <w:tc>
          <w:tcPr>
            <w:tcW w:w="3802" w:type="dxa"/>
            <w:shd w:val="clear" w:color="auto" w:fill="auto"/>
          </w:tcPr>
          <w:p w14:paraId="48BD5C3A" w14:textId="19E0E952"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2C6EB3E5" w14:textId="77777777" w:rsidTr="00077C5F">
        <w:tc>
          <w:tcPr>
            <w:tcW w:w="1427" w:type="dxa"/>
            <w:vMerge/>
            <w:shd w:val="clear" w:color="auto" w:fill="auto"/>
          </w:tcPr>
          <w:p w14:paraId="2FB0F5FE" w14:textId="77777777" w:rsidR="00E953C3" w:rsidRPr="000A143F" w:rsidRDefault="00E953C3" w:rsidP="00073385">
            <w:pPr>
              <w:spacing w:before="60" w:after="60" w:line="240" w:lineRule="auto"/>
              <w:ind w:left="0"/>
              <w:rPr>
                <w:rFonts w:cs="Arial"/>
                <w:sz w:val="20"/>
                <w:szCs w:val="20"/>
              </w:rPr>
            </w:pPr>
          </w:p>
        </w:tc>
        <w:tc>
          <w:tcPr>
            <w:tcW w:w="1629" w:type="dxa"/>
            <w:vMerge/>
            <w:shd w:val="clear" w:color="auto" w:fill="auto"/>
          </w:tcPr>
          <w:p w14:paraId="32D9EA37" w14:textId="77777777" w:rsidR="00E953C3" w:rsidRPr="00FF0808" w:rsidRDefault="00E953C3" w:rsidP="00073385">
            <w:pPr>
              <w:spacing w:before="60" w:after="60" w:line="240" w:lineRule="auto"/>
              <w:ind w:left="0"/>
              <w:rPr>
                <w:rFonts w:cs="Arial"/>
                <w:sz w:val="20"/>
                <w:szCs w:val="20"/>
              </w:rPr>
            </w:pPr>
          </w:p>
        </w:tc>
        <w:tc>
          <w:tcPr>
            <w:tcW w:w="1055" w:type="dxa"/>
          </w:tcPr>
          <w:p w14:paraId="6CFB0AC2" w14:textId="77777777" w:rsidR="00E953C3" w:rsidRDefault="00E953C3" w:rsidP="00073385">
            <w:pPr>
              <w:spacing w:before="60" w:after="60" w:line="240" w:lineRule="auto"/>
              <w:ind w:left="0"/>
              <w:rPr>
                <w:rFonts w:cs="Arial"/>
                <w:sz w:val="20"/>
                <w:szCs w:val="20"/>
              </w:rPr>
            </w:pPr>
            <w:r>
              <w:rPr>
                <w:rFonts w:cs="Arial"/>
                <w:sz w:val="20"/>
                <w:szCs w:val="20"/>
              </w:rPr>
              <w:t>6/4/17</w:t>
            </w:r>
          </w:p>
        </w:tc>
        <w:tc>
          <w:tcPr>
            <w:tcW w:w="6335" w:type="dxa"/>
            <w:shd w:val="clear" w:color="auto" w:fill="auto"/>
          </w:tcPr>
          <w:p w14:paraId="75D898F4" w14:textId="77777777" w:rsidR="00E953C3" w:rsidRDefault="00E953C3" w:rsidP="00073385">
            <w:pPr>
              <w:spacing w:before="60" w:after="60" w:line="240" w:lineRule="auto"/>
              <w:ind w:left="0"/>
              <w:rPr>
                <w:rFonts w:cs="Arial"/>
                <w:sz w:val="20"/>
                <w:szCs w:val="20"/>
              </w:rPr>
            </w:pPr>
            <w:r>
              <w:rPr>
                <w:rFonts w:cs="Arial"/>
                <w:sz w:val="20"/>
                <w:szCs w:val="20"/>
              </w:rPr>
              <w:t>CarbonNet called to follow up and resent email as it was not received.</w:t>
            </w:r>
          </w:p>
        </w:tc>
        <w:tc>
          <w:tcPr>
            <w:tcW w:w="3802" w:type="dxa"/>
            <w:shd w:val="clear" w:color="auto" w:fill="auto"/>
          </w:tcPr>
          <w:p w14:paraId="1170B8D0" w14:textId="64639D52"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5628619B" w14:textId="77777777" w:rsidTr="00077C5F">
        <w:tc>
          <w:tcPr>
            <w:tcW w:w="1427" w:type="dxa"/>
            <w:vMerge/>
            <w:shd w:val="clear" w:color="auto" w:fill="auto"/>
          </w:tcPr>
          <w:p w14:paraId="2DF811BD" w14:textId="77777777" w:rsidR="00E953C3" w:rsidRPr="000A143F" w:rsidRDefault="00E953C3" w:rsidP="00073385">
            <w:pPr>
              <w:spacing w:before="60" w:after="60" w:line="240" w:lineRule="auto"/>
              <w:ind w:left="0"/>
              <w:rPr>
                <w:rFonts w:cs="Arial"/>
                <w:sz w:val="20"/>
                <w:szCs w:val="20"/>
              </w:rPr>
            </w:pPr>
          </w:p>
        </w:tc>
        <w:tc>
          <w:tcPr>
            <w:tcW w:w="1629" w:type="dxa"/>
            <w:vMerge/>
            <w:shd w:val="clear" w:color="auto" w:fill="auto"/>
          </w:tcPr>
          <w:p w14:paraId="20CD4652" w14:textId="77777777" w:rsidR="00E953C3" w:rsidRPr="00FF0808" w:rsidRDefault="00E953C3" w:rsidP="00073385">
            <w:pPr>
              <w:spacing w:before="60" w:after="60" w:line="240" w:lineRule="auto"/>
              <w:ind w:left="0"/>
              <w:rPr>
                <w:rFonts w:cs="Arial"/>
                <w:sz w:val="20"/>
                <w:szCs w:val="20"/>
              </w:rPr>
            </w:pPr>
          </w:p>
        </w:tc>
        <w:tc>
          <w:tcPr>
            <w:tcW w:w="1055" w:type="dxa"/>
          </w:tcPr>
          <w:p w14:paraId="7E0F7647" w14:textId="77777777" w:rsidR="00E953C3" w:rsidRDefault="00E953C3" w:rsidP="00073385">
            <w:pPr>
              <w:spacing w:before="60" w:after="60" w:line="240" w:lineRule="auto"/>
              <w:ind w:left="0"/>
              <w:rPr>
                <w:rFonts w:cs="Arial"/>
                <w:sz w:val="20"/>
                <w:szCs w:val="20"/>
              </w:rPr>
            </w:pPr>
            <w:r>
              <w:rPr>
                <w:rFonts w:cs="Arial"/>
                <w:sz w:val="20"/>
                <w:szCs w:val="20"/>
              </w:rPr>
              <w:t>11/5/17</w:t>
            </w:r>
          </w:p>
        </w:tc>
        <w:tc>
          <w:tcPr>
            <w:tcW w:w="6335" w:type="dxa"/>
            <w:shd w:val="clear" w:color="auto" w:fill="auto"/>
          </w:tcPr>
          <w:p w14:paraId="32396E5E" w14:textId="77777777" w:rsidR="00E953C3" w:rsidRDefault="00E953C3" w:rsidP="00073385">
            <w:pPr>
              <w:spacing w:before="60" w:after="60" w:line="240" w:lineRule="auto"/>
              <w:ind w:left="0"/>
              <w:rPr>
                <w:rFonts w:cs="Arial"/>
                <w:sz w:val="20"/>
                <w:szCs w:val="20"/>
              </w:rPr>
            </w:pPr>
            <w:r>
              <w:rPr>
                <w:rFonts w:cs="Arial"/>
                <w:sz w:val="20"/>
                <w:szCs w:val="20"/>
              </w:rPr>
              <w:t>CarbonNet called to follow up and resent email once again.</w:t>
            </w:r>
          </w:p>
        </w:tc>
        <w:tc>
          <w:tcPr>
            <w:tcW w:w="3802" w:type="dxa"/>
            <w:shd w:val="clear" w:color="auto" w:fill="auto"/>
          </w:tcPr>
          <w:p w14:paraId="604BC744" w14:textId="5C973BE9"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78882BAF" w14:textId="77777777" w:rsidTr="00891DE1">
        <w:tc>
          <w:tcPr>
            <w:tcW w:w="1427" w:type="dxa"/>
            <w:vMerge/>
            <w:tcBorders>
              <w:bottom w:val="nil"/>
            </w:tcBorders>
            <w:shd w:val="clear" w:color="auto" w:fill="auto"/>
          </w:tcPr>
          <w:p w14:paraId="66355258" w14:textId="77777777" w:rsidR="00E953C3" w:rsidRPr="000A143F" w:rsidRDefault="00E953C3" w:rsidP="00073385">
            <w:pPr>
              <w:spacing w:before="60" w:after="60" w:line="240" w:lineRule="auto"/>
              <w:ind w:left="0"/>
              <w:rPr>
                <w:rFonts w:cs="Arial"/>
                <w:sz w:val="20"/>
                <w:szCs w:val="20"/>
              </w:rPr>
            </w:pPr>
          </w:p>
        </w:tc>
        <w:tc>
          <w:tcPr>
            <w:tcW w:w="1629" w:type="dxa"/>
            <w:vMerge/>
            <w:tcBorders>
              <w:bottom w:val="nil"/>
            </w:tcBorders>
            <w:shd w:val="clear" w:color="auto" w:fill="auto"/>
          </w:tcPr>
          <w:p w14:paraId="26A4EE69" w14:textId="77777777" w:rsidR="00E953C3" w:rsidRPr="00FF0808" w:rsidRDefault="00E953C3" w:rsidP="00073385">
            <w:pPr>
              <w:spacing w:before="60" w:after="60" w:line="240" w:lineRule="auto"/>
              <w:ind w:left="0"/>
              <w:rPr>
                <w:rFonts w:cs="Arial"/>
                <w:sz w:val="20"/>
                <w:szCs w:val="20"/>
              </w:rPr>
            </w:pPr>
          </w:p>
        </w:tc>
        <w:tc>
          <w:tcPr>
            <w:tcW w:w="1055" w:type="dxa"/>
          </w:tcPr>
          <w:p w14:paraId="205AEFF6" w14:textId="77777777" w:rsidR="00E953C3" w:rsidRDefault="00E953C3" w:rsidP="00073385">
            <w:pPr>
              <w:spacing w:before="60" w:after="60" w:line="240" w:lineRule="auto"/>
              <w:ind w:left="0"/>
              <w:rPr>
                <w:rFonts w:cs="Arial"/>
                <w:sz w:val="20"/>
                <w:szCs w:val="20"/>
              </w:rPr>
            </w:pPr>
            <w:r>
              <w:rPr>
                <w:rFonts w:cs="Arial"/>
                <w:sz w:val="20"/>
                <w:szCs w:val="20"/>
              </w:rPr>
              <w:t>12/5/17</w:t>
            </w:r>
          </w:p>
        </w:tc>
        <w:tc>
          <w:tcPr>
            <w:tcW w:w="6335" w:type="dxa"/>
            <w:shd w:val="clear" w:color="auto" w:fill="auto"/>
          </w:tcPr>
          <w:p w14:paraId="5BB48496" w14:textId="77777777" w:rsidR="00E953C3" w:rsidRDefault="00E953C3" w:rsidP="00073385">
            <w:pPr>
              <w:spacing w:before="60" w:after="60" w:line="240" w:lineRule="auto"/>
              <w:ind w:left="0"/>
              <w:rPr>
                <w:rFonts w:cs="Arial"/>
                <w:sz w:val="20"/>
                <w:szCs w:val="20"/>
              </w:rPr>
            </w:pPr>
            <w:r>
              <w:rPr>
                <w:rFonts w:cs="Arial"/>
                <w:sz w:val="20"/>
                <w:szCs w:val="20"/>
              </w:rPr>
              <w:t>CarbonNet received a response from the department with information regarding with requirements for all international vessels arriving into Australian seas, including requirements for vessels coming from overseas ports.</w:t>
            </w:r>
          </w:p>
        </w:tc>
        <w:tc>
          <w:tcPr>
            <w:tcW w:w="3802" w:type="dxa"/>
            <w:shd w:val="clear" w:color="auto" w:fill="auto"/>
          </w:tcPr>
          <w:p w14:paraId="374F4EA0" w14:textId="4F80246A" w:rsidR="00E953C3" w:rsidRDefault="00E953C3" w:rsidP="00D508B2">
            <w:pPr>
              <w:spacing w:before="60" w:after="60" w:line="240" w:lineRule="auto"/>
              <w:ind w:left="0"/>
              <w:rPr>
                <w:rFonts w:cs="Arial"/>
                <w:sz w:val="20"/>
                <w:szCs w:val="20"/>
              </w:rPr>
            </w:pPr>
            <w:r>
              <w:rPr>
                <w:rFonts w:cs="Arial"/>
                <w:sz w:val="20"/>
                <w:szCs w:val="20"/>
              </w:rPr>
              <w:t>CarbonNet thanked DAWR for the information and forwarded to CarbonNet’s seismic advisor for implementation.</w:t>
            </w:r>
          </w:p>
        </w:tc>
      </w:tr>
      <w:tr w:rsidR="00E953C3" w:rsidRPr="00FF0808" w14:paraId="6870E028" w14:textId="77777777" w:rsidTr="00891DE1">
        <w:tc>
          <w:tcPr>
            <w:tcW w:w="1427" w:type="dxa"/>
            <w:tcBorders>
              <w:top w:val="nil"/>
            </w:tcBorders>
            <w:shd w:val="clear" w:color="auto" w:fill="auto"/>
          </w:tcPr>
          <w:p w14:paraId="50467287" w14:textId="77777777" w:rsidR="00E953C3" w:rsidRPr="000A143F" w:rsidRDefault="00E953C3" w:rsidP="00073385">
            <w:pPr>
              <w:spacing w:before="60" w:after="60" w:line="240" w:lineRule="auto"/>
              <w:ind w:left="0"/>
              <w:rPr>
                <w:rFonts w:cs="Arial"/>
                <w:sz w:val="20"/>
                <w:szCs w:val="20"/>
              </w:rPr>
            </w:pPr>
          </w:p>
        </w:tc>
        <w:tc>
          <w:tcPr>
            <w:tcW w:w="1629" w:type="dxa"/>
            <w:tcBorders>
              <w:top w:val="nil"/>
            </w:tcBorders>
            <w:shd w:val="clear" w:color="auto" w:fill="auto"/>
          </w:tcPr>
          <w:p w14:paraId="39A48D7E" w14:textId="77777777" w:rsidR="00E953C3" w:rsidRPr="00FF0808" w:rsidRDefault="00E953C3" w:rsidP="00073385">
            <w:pPr>
              <w:spacing w:before="60" w:after="60" w:line="240" w:lineRule="auto"/>
              <w:ind w:left="0"/>
              <w:rPr>
                <w:rFonts w:cs="Arial"/>
                <w:sz w:val="20"/>
                <w:szCs w:val="20"/>
              </w:rPr>
            </w:pPr>
          </w:p>
        </w:tc>
        <w:tc>
          <w:tcPr>
            <w:tcW w:w="1055" w:type="dxa"/>
          </w:tcPr>
          <w:p w14:paraId="78D4FC8D" w14:textId="3E6939BC" w:rsidR="00E953C3" w:rsidRDefault="00E953C3"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1DE9AF00" w14:textId="22B4322E" w:rsidR="00E953C3" w:rsidRDefault="00E953C3" w:rsidP="00CB2660">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28EB5D8E" w14:textId="43A797E3" w:rsidR="00E953C3" w:rsidRDefault="00E953C3" w:rsidP="00D508B2">
            <w:pPr>
              <w:spacing w:before="60" w:after="60" w:line="240" w:lineRule="auto"/>
              <w:ind w:left="0"/>
              <w:rPr>
                <w:rFonts w:cs="Arial"/>
                <w:sz w:val="20"/>
                <w:szCs w:val="20"/>
              </w:rPr>
            </w:pPr>
            <w:r>
              <w:rPr>
                <w:rFonts w:cs="Arial"/>
                <w:sz w:val="20"/>
                <w:szCs w:val="20"/>
              </w:rPr>
              <w:t>N/A</w:t>
            </w:r>
          </w:p>
        </w:tc>
      </w:tr>
      <w:tr w:rsidR="00E953C3" w:rsidRPr="00FF0808" w14:paraId="4A08EC4A" w14:textId="77777777" w:rsidTr="00077C5F">
        <w:tc>
          <w:tcPr>
            <w:tcW w:w="1427" w:type="dxa"/>
            <w:vMerge w:val="restart"/>
            <w:shd w:val="clear" w:color="auto" w:fill="auto"/>
          </w:tcPr>
          <w:p w14:paraId="1B00D76E" w14:textId="5D556956" w:rsidR="00E953C3" w:rsidRPr="000A143F" w:rsidRDefault="00E953C3" w:rsidP="00073385">
            <w:pPr>
              <w:spacing w:before="60" w:after="60" w:line="240" w:lineRule="auto"/>
              <w:ind w:left="0"/>
              <w:rPr>
                <w:rFonts w:cs="Arial"/>
                <w:sz w:val="20"/>
                <w:szCs w:val="20"/>
              </w:rPr>
            </w:pPr>
            <w:r>
              <w:rPr>
                <w:rFonts w:cs="Arial"/>
                <w:sz w:val="20"/>
                <w:szCs w:val="20"/>
              </w:rPr>
              <w:t>Department of Infrastructure and Regional Development (DIRD)</w:t>
            </w:r>
          </w:p>
        </w:tc>
        <w:tc>
          <w:tcPr>
            <w:tcW w:w="1629" w:type="dxa"/>
            <w:vMerge w:val="restart"/>
            <w:shd w:val="clear" w:color="auto" w:fill="auto"/>
          </w:tcPr>
          <w:p w14:paraId="0A555E5F" w14:textId="77777777" w:rsidR="00E953C3" w:rsidRPr="00FF0808" w:rsidRDefault="00E953C3" w:rsidP="00073385">
            <w:pPr>
              <w:spacing w:before="60" w:after="60" w:line="240" w:lineRule="auto"/>
              <w:ind w:left="0"/>
              <w:rPr>
                <w:rFonts w:cs="Arial"/>
                <w:sz w:val="20"/>
                <w:szCs w:val="20"/>
              </w:rPr>
            </w:pPr>
            <w:r>
              <w:rPr>
                <w:rFonts w:cs="Arial"/>
                <w:sz w:val="20"/>
                <w:szCs w:val="20"/>
              </w:rPr>
              <w:t>Potential for overlapping projects and/or activities</w:t>
            </w:r>
          </w:p>
        </w:tc>
        <w:tc>
          <w:tcPr>
            <w:tcW w:w="1055" w:type="dxa"/>
          </w:tcPr>
          <w:p w14:paraId="081219F6" w14:textId="77777777" w:rsidR="00E953C3" w:rsidRDefault="00E953C3"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397AB5BA" w14:textId="77777777" w:rsidR="00E953C3" w:rsidRDefault="00E953C3" w:rsidP="00073385">
            <w:pPr>
              <w:spacing w:before="60" w:after="60" w:line="240" w:lineRule="auto"/>
              <w:ind w:left="0"/>
              <w:rPr>
                <w:rFonts w:cs="Arial"/>
                <w:sz w:val="20"/>
                <w:szCs w:val="20"/>
              </w:rPr>
            </w:pPr>
            <w:r>
              <w:rPr>
                <w:rFonts w:cs="Arial"/>
                <w:sz w:val="20"/>
                <w:szCs w:val="20"/>
              </w:rPr>
              <w:t>CarbonNet emailed Department of Infrastructure with a letter, fact sheet and contact details inviting comment.</w:t>
            </w:r>
          </w:p>
        </w:tc>
        <w:tc>
          <w:tcPr>
            <w:tcW w:w="3802" w:type="dxa"/>
            <w:shd w:val="clear" w:color="auto" w:fill="auto"/>
          </w:tcPr>
          <w:p w14:paraId="339A85B9" w14:textId="790B23BC"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0D219E69" w14:textId="77777777" w:rsidTr="00077C5F">
        <w:tc>
          <w:tcPr>
            <w:tcW w:w="1427" w:type="dxa"/>
            <w:vMerge/>
            <w:shd w:val="clear" w:color="auto" w:fill="auto"/>
          </w:tcPr>
          <w:p w14:paraId="535DA3CE" w14:textId="77777777" w:rsidR="00E953C3" w:rsidRPr="000A143F" w:rsidRDefault="00E953C3" w:rsidP="00073385">
            <w:pPr>
              <w:spacing w:before="60" w:after="60" w:line="240" w:lineRule="auto"/>
              <w:ind w:left="0"/>
              <w:rPr>
                <w:rFonts w:cs="Arial"/>
                <w:sz w:val="20"/>
                <w:szCs w:val="20"/>
              </w:rPr>
            </w:pPr>
          </w:p>
        </w:tc>
        <w:tc>
          <w:tcPr>
            <w:tcW w:w="1629" w:type="dxa"/>
            <w:vMerge/>
            <w:shd w:val="clear" w:color="auto" w:fill="auto"/>
          </w:tcPr>
          <w:p w14:paraId="4A61F645" w14:textId="77777777" w:rsidR="00E953C3" w:rsidRPr="00FF0808" w:rsidRDefault="00E953C3" w:rsidP="00073385">
            <w:pPr>
              <w:spacing w:before="60" w:after="60" w:line="240" w:lineRule="auto"/>
              <w:ind w:left="0"/>
              <w:rPr>
                <w:rFonts w:cs="Arial"/>
                <w:sz w:val="20"/>
                <w:szCs w:val="20"/>
              </w:rPr>
            </w:pPr>
          </w:p>
        </w:tc>
        <w:tc>
          <w:tcPr>
            <w:tcW w:w="1055" w:type="dxa"/>
          </w:tcPr>
          <w:p w14:paraId="2B318624" w14:textId="77777777" w:rsidR="00E953C3" w:rsidRDefault="00E953C3" w:rsidP="00073385">
            <w:pPr>
              <w:spacing w:before="60" w:after="60" w:line="240" w:lineRule="auto"/>
              <w:ind w:left="0"/>
              <w:rPr>
                <w:rFonts w:cs="Arial"/>
                <w:sz w:val="20"/>
                <w:szCs w:val="20"/>
              </w:rPr>
            </w:pPr>
            <w:r>
              <w:rPr>
                <w:rFonts w:cs="Arial"/>
                <w:sz w:val="20"/>
                <w:szCs w:val="20"/>
              </w:rPr>
              <w:t>7/4/17</w:t>
            </w:r>
          </w:p>
        </w:tc>
        <w:tc>
          <w:tcPr>
            <w:tcW w:w="6335" w:type="dxa"/>
            <w:shd w:val="clear" w:color="auto" w:fill="auto"/>
          </w:tcPr>
          <w:p w14:paraId="25F3DB16" w14:textId="77777777" w:rsidR="00E953C3" w:rsidRDefault="00E953C3" w:rsidP="00073385">
            <w:pPr>
              <w:spacing w:before="60" w:after="60" w:line="240" w:lineRule="auto"/>
              <w:ind w:left="0"/>
              <w:rPr>
                <w:rFonts w:cs="Arial"/>
                <w:sz w:val="20"/>
                <w:szCs w:val="20"/>
              </w:rPr>
            </w:pPr>
            <w:r>
              <w:rPr>
                <w:rFonts w:cs="Arial"/>
                <w:sz w:val="20"/>
                <w:szCs w:val="20"/>
              </w:rPr>
              <w:t>CarbonNet called to follow up, not sure if email was received and left message for relevant person to call back.</w:t>
            </w:r>
          </w:p>
        </w:tc>
        <w:tc>
          <w:tcPr>
            <w:tcW w:w="3802" w:type="dxa"/>
            <w:shd w:val="clear" w:color="auto" w:fill="auto"/>
          </w:tcPr>
          <w:p w14:paraId="1728A3D3" w14:textId="3B66E2C0"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48AE6855" w14:textId="77777777" w:rsidTr="00077C5F">
        <w:tc>
          <w:tcPr>
            <w:tcW w:w="1427" w:type="dxa"/>
            <w:vMerge/>
            <w:shd w:val="clear" w:color="auto" w:fill="auto"/>
          </w:tcPr>
          <w:p w14:paraId="5DC6E3EE" w14:textId="77777777" w:rsidR="00E953C3" w:rsidRPr="000A143F" w:rsidRDefault="00E953C3" w:rsidP="00073385">
            <w:pPr>
              <w:spacing w:before="60" w:after="60" w:line="240" w:lineRule="auto"/>
              <w:ind w:left="0"/>
              <w:rPr>
                <w:rFonts w:cs="Arial"/>
                <w:sz w:val="20"/>
                <w:szCs w:val="20"/>
              </w:rPr>
            </w:pPr>
          </w:p>
        </w:tc>
        <w:tc>
          <w:tcPr>
            <w:tcW w:w="1629" w:type="dxa"/>
            <w:vMerge/>
            <w:shd w:val="clear" w:color="auto" w:fill="auto"/>
          </w:tcPr>
          <w:p w14:paraId="32230DBC" w14:textId="77777777" w:rsidR="00E953C3" w:rsidRPr="00FF0808" w:rsidRDefault="00E953C3" w:rsidP="00073385">
            <w:pPr>
              <w:spacing w:before="60" w:after="60" w:line="240" w:lineRule="auto"/>
              <w:ind w:left="0"/>
              <w:rPr>
                <w:rFonts w:cs="Arial"/>
                <w:sz w:val="20"/>
                <w:szCs w:val="20"/>
              </w:rPr>
            </w:pPr>
          </w:p>
        </w:tc>
        <w:tc>
          <w:tcPr>
            <w:tcW w:w="1055" w:type="dxa"/>
          </w:tcPr>
          <w:p w14:paraId="05D2AAD6" w14:textId="77777777" w:rsidR="00E953C3" w:rsidRDefault="00E953C3" w:rsidP="00073385">
            <w:pPr>
              <w:spacing w:before="60" w:after="60" w:line="240" w:lineRule="auto"/>
              <w:ind w:left="0"/>
              <w:rPr>
                <w:rFonts w:cs="Arial"/>
                <w:sz w:val="20"/>
                <w:szCs w:val="20"/>
              </w:rPr>
            </w:pPr>
            <w:r>
              <w:rPr>
                <w:rFonts w:cs="Arial"/>
                <w:sz w:val="20"/>
                <w:szCs w:val="20"/>
              </w:rPr>
              <w:t>12/4/17</w:t>
            </w:r>
          </w:p>
        </w:tc>
        <w:tc>
          <w:tcPr>
            <w:tcW w:w="6335" w:type="dxa"/>
            <w:shd w:val="clear" w:color="auto" w:fill="auto"/>
          </w:tcPr>
          <w:p w14:paraId="7DF0766E" w14:textId="77777777" w:rsidR="00E953C3" w:rsidRDefault="00E953C3" w:rsidP="00073385">
            <w:pPr>
              <w:spacing w:before="60" w:after="60" w:line="240" w:lineRule="auto"/>
              <w:ind w:left="0"/>
              <w:rPr>
                <w:rFonts w:cs="Arial"/>
                <w:sz w:val="20"/>
                <w:szCs w:val="20"/>
              </w:rPr>
            </w:pPr>
            <w:r>
              <w:rPr>
                <w:rFonts w:cs="Arial"/>
                <w:sz w:val="20"/>
                <w:szCs w:val="20"/>
              </w:rPr>
              <w:t>CarbonNet called again and briefly discussed project to determine who in the department needs to review the information.</w:t>
            </w:r>
          </w:p>
        </w:tc>
        <w:tc>
          <w:tcPr>
            <w:tcW w:w="3802" w:type="dxa"/>
            <w:shd w:val="clear" w:color="auto" w:fill="auto"/>
          </w:tcPr>
          <w:p w14:paraId="0CFC5DFD" w14:textId="7515B88A"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58F7076E" w14:textId="77777777" w:rsidTr="00077C5F">
        <w:tc>
          <w:tcPr>
            <w:tcW w:w="1427" w:type="dxa"/>
            <w:vMerge/>
            <w:tcBorders>
              <w:bottom w:val="nil"/>
            </w:tcBorders>
            <w:shd w:val="clear" w:color="auto" w:fill="auto"/>
          </w:tcPr>
          <w:p w14:paraId="65E57246" w14:textId="77777777" w:rsidR="00E953C3" w:rsidRPr="000A143F" w:rsidRDefault="00E953C3" w:rsidP="00073385">
            <w:pPr>
              <w:spacing w:before="60" w:after="60" w:line="240" w:lineRule="auto"/>
              <w:ind w:left="0"/>
              <w:rPr>
                <w:rFonts w:cs="Arial"/>
                <w:sz w:val="20"/>
                <w:szCs w:val="20"/>
              </w:rPr>
            </w:pPr>
          </w:p>
        </w:tc>
        <w:tc>
          <w:tcPr>
            <w:tcW w:w="1629" w:type="dxa"/>
            <w:vMerge/>
            <w:tcBorders>
              <w:bottom w:val="nil"/>
            </w:tcBorders>
            <w:shd w:val="clear" w:color="auto" w:fill="auto"/>
          </w:tcPr>
          <w:p w14:paraId="2E5DC8C3" w14:textId="77777777" w:rsidR="00E953C3" w:rsidRPr="00FF0808" w:rsidRDefault="00E953C3" w:rsidP="00073385">
            <w:pPr>
              <w:spacing w:before="60" w:after="60" w:line="240" w:lineRule="auto"/>
              <w:ind w:left="0"/>
              <w:rPr>
                <w:rFonts w:cs="Arial"/>
                <w:sz w:val="20"/>
                <w:szCs w:val="20"/>
              </w:rPr>
            </w:pPr>
          </w:p>
        </w:tc>
        <w:tc>
          <w:tcPr>
            <w:tcW w:w="1055" w:type="dxa"/>
          </w:tcPr>
          <w:p w14:paraId="5EEBB8CE" w14:textId="77777777" w:rsidR="00E953C3" w:rsidRDefault="00E953C3" w:rsidP="00073385">
            <w:pPr>
              <w:spacing w:before="60" w:after="60" w:line="240" w:lineRule="auto"/>
              <w:ind w:left="0"/>
              <w:rPr>
                <w:rFonts w:cs="Arial"/>
                <w:sz w:val="20"/>
                <w:szCs w:val="20"/>
              </w:rPr>
            </w:pPr>
            <w:r>
              <w:rPr>
                <w:rFonts w:cs="Arial"/>
                <w:sz w:val="20"/>
                <w:szCs w:val="20"/>
              </w:rPr>
              <w:t>12/4/17</w:t>
            </w:r>
          </w:p>
        </w:tc>
        <w:tc>
          <w:tcPr>
            <w:tcW w:w="6335" w:type="dxa"/>
            <w:shd w:val="clear" w:color="auto" w:fill="auto"/>
          </w:tcPr>
          <w:p w14:paraId="141D9A1E" w14:textId="77777777" w:rsidR="00E953C3" w:rsidRDefault="00E953C3" w:rsidP="00073385">
            <w:pPr>
              <w:spacing w:before="60" w:after="60" w:line="240" w:lineRule="auto"/>
              <w:ind w:left="0"/>
              <w:rPr>
                <w:rFonts w:cs="Arial"/>
                <w:sz w:val="20"/>
                <w:szCs w:val="20"/>
              </w:rPr>
            </w:pPr>
            <w:r>
              <w:rPr>
                <w:rFonts w:cs="Arial"/>
                <w:sz w:val="20"/>
                <w:szCs w:val="20"/>
              </w:rPr>
              <w:t>CarbonNet received an email response advising the department has no feedback on the MSS and requesting we liaise with AMSA regarding maritime safety and other issues. They would like to be kept updated on the project as it progresses.</w:t>
            </w:r>
          </w:p>
        </w:tc>
        <w:tc>
          <w:tcPr>
            <w:tcW w:w="3802" w:type="dxa"/>
            <w:shd w:val="clear" w:color="auto" w:fill="auto"/>
          </w:tcPr>
          <w:p w14:paraId="4EAE3E39" w14:textId="41A1B123" w:rsidR="00E953C3" w:rsidRDefault="00E953C3" w:rsidP="00073385">
            <w:pPr>
              <w:spacing w:before="60" w:after="60" w:line="240" w:lineRule="auto"/>
              <w:ind w:left="0"/>
              <w:rPr>
                <w:rFonts w:cs="Arial"/>
                <w:sz w:val="20"/>
                <w:szCs w:val="20"/>
              </w:rPr>
            </w:pPr>
            <w:r>
              <w:rPr>
                <w:rFonts w:cs="Arial"/>
                <w:sz w:val="20"/>
                <w:szCs w:val="20"/>
              </w:rPr>
              <w:t>CarbonNet thanked DIRD for their response and advised that AMSA is being consulted.</w:t>
            </w:r>
          </w:p>
          <w:p w14:paraId="4DEEB087" w14:textId="14CC4272" w:rsidR="00E953C3" w:rsidRDefault="00E953C3" w:rsidP="00D508B2">
            <w:pPr>
              <w:spacing w:before="60" w:after="60" w:line="240" w:lineRule="auto"/>
              <w:ind w:left="0"/>
              <w:rPr>
                <w:rFonts w:cs="Arial"/>
                <w:sz w:val="20"/>
                <w:szCs w:val="20"/>
              </w:rPr>
            </w:pPr>
            <w:r>
              <w:rPr>
                <w:rFonts w:cs="Arial"/>
                <w:sz w:val="20"/>
                <w:szCs w:val="20"/>
              </w:rPr>
              <w:t xml:space="preserve">CarbonNet will keep the department </w:t>
            </w:r>
            <w:r>
              <w:rPr>
                <w:rFonts w:cs="Arial"/>
                <w:sz w:val="20"/>
                <w:szCs w:val="20"/>
              </w:rPr>
              <w:lastRenderedPageBreak/>
              <w:t>updated on the project as it progresses.</w:t>
            </w:r>
          </w:p>
        </w:tc>
      </w:tr>
      <w:tr w:rsidR="00E953C3" w:rsidRPr="00FF0808" w14:paraId="6DB17C50" w14:textId="77777777" w:rsidTr="00891DE1">
        <w:tc>
          <w:tcPr>
            <w:tcW w:w="1427" w:type="dxa"/>
            <w:tcBorders>
              <w:top w:val="nil"/>
              <w:bottom w:val="nil"/>
            </w:tcBorders>
            <w:shd w:val="clear" w:color="auto" w:fill="auto"/>
          </w:tcPr>
          <w:p w14:paraId="0CDB8629" w14:textId="77777777" w:rsidR="00E953C3" w:rsidRPr="000A143F"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CB68731" w14:textId="77777777" w:rsidR="00E953C3" w:rsidRPr="00FF0808" w:rsidRDefault="00E953C3" w:rsidP="00073385">
            <w:pPr>
              <w:spacing w:before="60" w:after="60" w:line="240" w:lineRule="auto"/>
              <w:ind w:left="0"/>
              <w:rPr>
                <w:rFonts w:cs="Arial"/>
                <w:sz w:val="20"/>
                <w:szCs w:val="20"/>
              </w:rPr>
            </w:pPr>
          </w:p>
        </w:tc>
        <w:tc>
          <w:tcPr>
            <w:tcW w:w="1055" w:type="dxa"/>
          </w:tcPr>
          <w:p w14:paraId="616D5AC2" w14:textId="688FD239" w:rsidR="00E953C3" w:rsidRDefault="00E953C3" w:rsidP="00077C5F">
            <w:pPr>
              <w:spacing w:before="60" w:after="60" w:line="240" w:lineRule="auto"/>
              <w:ind w:left="0"/>
              <w:rPr>
                <w:rFonts w:cs="Arial"/>
                <w:sz w:val="20"/>
                <w:szCs w:val="20"/>
              </w:rPr>
            </w:pPr>
            <w:r>
              <w:rPr>
                <w:rFonts w:cs="Arial"/>
                <w:sz w:val="20"/>
                <w:szCs w:val="20"/>
              </w:rPr>
              <w:t>17/8/17</w:t>
            </w:r>
          </w:p>
        </w:tc>
        <w:tc>
          <w:tcPr>
            <w:tcW w:w="6335" w:type="dxa"/>
            <w:shd w:val="clear" w:color="auto" w:fill="auto"/>
          </w:tcPr>
          <w:p w14:paraId="3B3FBD43" w14:textId="5813A670" w:rsidR="00E953C3" w:rsidRDefault="00E953C3" w:rsidP="00077C5F">
            <w:pPr>
              <w:spacing w:before="60" w:after="60" w:line="240" w:lineRule="auto"/>
              <w:ind w:left="0"/>
              <w:rPr>
                <w:rFonts w:cs="Arial"/>
                <w:sz w:val="20"/>
                <w:szCs w:val="20"/>
              </w:rPr>
            </w:pPr>
            <w:r>
              <w:rPr>
                <w:rFonts w:cs="Arial"/>
                <w:sz w:val="20"/>
                <w:szCs w:val="20"/>
              </w:rPr>
              <w:t xml:space="preserve">CarbonNet emailed DIRD to advise </w:t>
            </w:r>
            <w:r w:rsidRPr="001D00DE">
              <w:rPr>
                <w:rFonts w:cs="Arial"/>
                <w:sz w:val="20"/>
                <w:szCs w:val="20"/>
              </w:rPr>
              <w:t>area and duration of survey have now been refined, and advising we will submit EP in mid-August.</w:t>
            </w:r>
          </w:p>
        </w:tc>
        <w:tc>
          <w:tcPr>
            <w:tcW w:w="3802" w:type="dxa"/>
            <w:shd w:val="clear" w:color="auto" w:fill="auto"/>
          </w:tcPr>
          <w:p w14:paraId="174C85B0" w14:textId="5B18E305"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6098F791" w14:textId="77777777" w:rsidTr="00077C5F">
        <w:tc>
          <w:tcPr>
            <w:tcW w:w="1427" w:type="dxa"/>
            <w:tcBorders>
              <w:top w:val="nil"/>
            </w:tcBorders>
            <w:shd w:val="clear" w:color="auto" w:fill="auto"/>
          </w:tcPr>
          <w:p w14:paraId="5A471A5F" w14:textId="77777777" w:rsidR="00E953C3" w:rsidRPr="000A143F" w:rsidRDefault="00E953C3" w:rsidP="00073385">
            <w:pPr>
              <w:spacing w:before="60" w:after="60" w:line="240" w:lineRule="auto"/>
              <w:ind w:left="0"/>
              <w:rPr>
                <w:rFonts w:cs="Arial"/>
                <w:sz w:val="20"/>
                <w:szCs w:val="20"/>
              </w:rPr>
            </w:pPr>
          </w:p>
        </w:tc>
        <w:tc>
          <w:tcPr>
            <w:tcW w:w="1629" w:type="dxa"/>
            <w:tcBorders>
              <w:top w:val="nil"/>
            </w:tcBorders>
            <w:shd w:val="clear" w:color="auto" w:fill="auto"/>
          </w:tcPr>
          <w:p w14:paraId="74CB9948" w14:textId="77777777" w:rsidR="00E953C3" w:rsidRPr="00FF0808" w:rsidRDefault="00E953C3" w:rsidP="00073385">
            <w:pPr>
              <w:spacing w:before="60" w:after="60" w:line="240" w:lineRule="auto"/>
              <w:ind w:left="0"/>
              <w:rPr>
                <w:rFonts w:cs="Arial"/>
                <w:sz w:val="20"/>
                <w:szCs w:val="20"/>
              </w:rPr>
            </w:pPr>
          </w:p>
        </w:tc>
        <w:tc>
          <w:tcPr>
            <w:tcW w:w="1055" w:type="dxa"/>
          </w:tcPr>
          <w:p w14:paraId="41C45924" w14:textId="5FDDDC10" w:rsidR="00E953C3" w:rsidRDefault="00E953C3" w:rsidP="00077C5F">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249C88D4" w14:textId="692099AB" w:rsidR="00E953C3" w:rsidRDefault="00E953C3" w:rsidP="00CB2660">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243A032F" w14:textId="69ACE00F"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0A15A792" w14:textId="77777777" w:rsidTr="00077C5F">
        <w:tc>
          <w:tcPr>
            <w:tcW w:w="1427" w:type="dxa"/>
            <w:vMerge w:val="restart"/>
            <w:shd w:val="clear" w:color="auto" w:fill="auto"/>
          </w:tcPr>
          <w:p w14:paraId="17E4DF61" w14:textId="77777777" w:rsidR="00E953C3" w:rsidRPr="000A143F" w:rsidRDefault="00E953C3" w:rsidP="00073385">
            <w:pPr>
              <w:spacing w:before="60" w:after="60" w:line="240" w:lineRule="auto"/>
              <w:ind w:left="0"/>
              <w:rPr>
                <w:rFonts w:cs="Arial"/>
                <w:sz w:val="20"/>
                <w:szCs w:val="20"/>
              </w:rPr>
            </w:pPr>
            <w:r>
              <w:rPr>
                <w:rFonts w:cs="Arial"/>
                <w:sz w:val="20"/>
                <w:szCs w:val="20"/>
              </w:rPr>
              <w:t>Geoscience Australia (GA)</w:t>
            </w:r>
          </w:p>
        </w:tc>
        <w:tc>
          <w:tcPr>
            <w:tcW w:w="1629" w:type="dxa"/>
            <w:vMerge w:val="restart"/>
            <w:shd w:val="clear" w:color="auto" w:fill="auto"/>
          </w:tcPr>
          <w:p w14:paraId="425A4C9A" w14:textId="23FA9DBB" w:rsidR="00E953C3" w:rsidRPr="00FF0808" w:rsidRDefault="00E953C3" w:rsidP="00073385">
            <w:pPr>
              <w:spacing w:before="60" w:after="60" w:line="240" w:lineRule="auto"/>
              <w:ind w:left="0"/>
              <w:rPr>
                <w:rFonts w:cs="Arial"/>
                <w:sz w:val="20"/>
                <w:szCs w:val="20"/>
              </w:rPr>
            </w:pPr>
            <w:r>
              <w:rPr>
                <w:rFonts w:cs="Arial"/>
                <w:sz w:val="20"/>
                <w:szCs w:val="20"/>
              </w:rPr>
              <w:t>Author of recent report on impacts of seismic surveys on marine fauna in the Gippsland region</w:t>
            </w:r>
          </w:p>
        </w:tc>
        <w:tc>
          <w:tcPr>
            <w:tcW w:w="1055" w:type="dxa"/>
          </w:tcPr>
          <w:p w14:paraId="1D398AE9" w14:textId="77777777" w:rsidR="00E953C3" w:rsidRDefault="00E953C3" w:rsidP="00073385">
            <w:pPr>
              <w:spacing w:before="60" w:after="60" w:line="240" w:lineRule="auto"/>
              <w:ind w:left="0"/>
              <w:rPr>
                <w:rFonts w:cs="Arial"/>
                <w:sz w:val="20"/>
                <w:szCs w:val="20"/>
              </w:rPr>
            </w:pPr>
            <w:r>
              <w:rPr>
                <w:rFonts w:cs="Arial"/>
                <w:sz w:val="20"/>
                <w:szCs w:val="20"/>
              </w:rPr>
              <w:t>14/2/17</w:t>
            </w:r>
          </w:p>
        </w:tc>
        <w:tc>
          <w:tcPr>
            <w:tcW w:w="6335" w:type="dxa"/>
            <w:shd w:val="clear" w:color="auto" w:fill="auto"/>
          </w:tcPr>
          <w:p w14:paraId="4392D3C0" w14:textId="77777777" w:rsidR="00E953C3" w:rsidRDefault="00E953C3" w:rsidP="00073385">
            <w:pPr>
              <w:spacing w:before="60" w:after="60" w:line="240" w:lineRule="auto"/>
              <w:ind w:left="0"/>
              <w:rPr>
                <w:rFonts w:cs="Arial"/>
                <w:sz w:val="20"/>
                <w:szCs w:val="20"/>
              </w:rPr>
            </w:pPr>
            <w:r>
              <w:rPr>
                <w:rFonts w:cs="Arial"/>
                <w:sz w:val="20"/>
                <w:szCs w:val="20"/>
              </w:rPr>
              <w:t>CarbonNet met with Geoscience Australia to discuss their previous marine seismic survey, associated research, and stakeholder engagement.</w:t>
            </w:r>
          </w:p>
        </w:tc>
        <w:tc>
          <w:tcPr>
            <w:tcW w:w="3802" w:type="dxa"/>
            <w:shd w:val="clear" w:color="auto" w:fill="auto"/>
          </w:tcPr>
          <w:p w14:paraId="72D2550C" w14:textId="77777777" w:rsidR="00E953C3" w:rsidRDefault="00E953C3" w:rsidP="00073385">
            <w:pPr>
              <w:spacing w:before="60" w:after="60" w:line="240" w:lineRule="auto"/>
              <w:ind w:left="0"/>
              <w:rPr>
                <w:rFonts w:cs="Arial"/>
                <w:sz w:val="20"/>
                <w:szCs w:val="20"/>
              </w:rPr>
            </w:pPr>
            <w:r>
              <w:rPr>
                <w:rFonts w:cs="Arial"/>
                <w:sz w:val="20"/>
                <w:szCs w:val="20"/>
              </w:rPr>
              <w:t>CarbonNet will continue to discuss project with GA as we progress.</w:t>
            </w:r>
          </w:p>
        </w:tc>
      </w:tr>
      <w:tr w:rsidR="00E953C3" w:rsidRPr="00FF0808" w14:paraId="737CB2F9" w14:textId="77777777" w:rsidTr="00891DE1">
        <w:tc>
          <w:tcPr>
            <w:tcW w:w="1427" w:type="dxa"/>
            <w:vMerge/>
            <w:tcBorders>
              <w:bottom w:val="nil"/>
            </w:tcBorders>
            <w:shd w:val="clear" w:color="auto" w:fill="auto"/>
          </w:tcPr>
          <w:p w14:paraId="7BCA4967" w14:textId="77777777" w:rsidR="00E953C3" w:rsidRDefault="00E953C3" w:rsidP="00073385">
            <w:pPr>
              <w:spacing w:before="60" w:after="60" w:line="240" w:lineRule="auto"/>
              <w:ind w:left="0"/>
              <w:rPr>
                <w:rFonts w:cs="Arial"/>
                <w:sz w:val="20"/>
                <w:szCs w:val="20"/>
              </w:rPr>
            </w:pPr>
          </w:p>
        </w:tc>
        <w:tc>
          <w:tcPr>
            <w:tcW w:w="1629" w:type="dxa"/>
            <w:vMerge/>
            <w:tcBorders>
              <w:bottom w:val="nil"/>
            </w:tcBorders>
            <w:shd w:val="clear" w:color="auto" w:fill="auto"/>
          </w:tcPr>
          <w:p w14:paraId="1A6EEB8E" w14:textId="77777777" w:rsidR="00E953C3" w:rsidRPr="00FF0808" w:rsidRDefault="00E953C3" w:rsidP="00073385">
            <w:pPr>
              <w:spacing w:before="60" w:after="60" w:line="240" w:lineRule="auto"/>
              <w:ind w:left="0"/>
              <w:rPr>
                <w:rFonts w:cs="Arial"/>
                <w:sz w:val="20"/>
                <w:szCs w:val="20"/>
              </w:rPr>
            </w:pPr>
          </w:p>
        </w:tc>
        <w:tc>
          <w:tcPr>
            <w:tcW w:w="1055" w:type="dxa"/>
          </w:tcPr>
          <w:p w14:paraId="2C4F7915" w14:textId="77777777" w:rsidR="00E953C3" w:rsidRDefault="00E953C3" w:rsidP="00073385">
            <w:pPr>
              <w:spacing w:before="60" w:after="60" w:line="240" w:lineRule="auto"/>
              <w:ind w:left="0"/>
              <w:rPr>
                <w:rFonts w:cs="Arial"/>
                <w:sz w:val="20"/>
                <w:szCs w:val="20"/>
              </w:rPr>
            </w:pPr>
            <w:r>
              <w:rPr>
                <w:rFonts w:cs="Arial"/>
                <w:sz w:val="20"/>
                <w:szCs w:val="20"/>
              </w:rPr>
              <w:t>26/5/17</w:t>
            </w:r>
          </w:p>
        </w:tc>
        <w:tc>
          <w:tcPr>
            <w:tcW w:w="6335" w:type="dxa"/>
            <w:shd w:val="clear" w:color="auto" w:fill="auto"/>
          </w:tcPr>
          <w:p w14:paraId="7FE4F3F1" w14:textId="77777777" w:rsidR="00E953C3" w:rsidRDefault="00E953C3" w:rsidP="00073385">
            <w:pPr>
              <w:spacing w:before="60" w:after="60" w:line="240" w:lineRule="auto"/>
              <w:ind w:left="0"/>
              <w:rPr>
                <w:rFonts w:cs="Arial"/>
                <w:sz w:val="20"/>
                <w:szCs w:val="20"/>
              </w:rPr>
            </w:pPr>
            <w:r>
              <w:rPr>
                <w:rFonts w:cs="Arial"/>
                <w:sz w:val="20"/>
                <w:szCs w:val="20"/>
              </w:rPr>
              <w:t>CarbonNet called GA to discuss their Gippsland Marine Environmental Monitoring Study (2015). GA provided shapefiles for their study.</w:t>
            </w:r>
          </w:p>
          <w:p w14:paraId="02B031F0" w14:textId="77777777" w:rsidR="00E953C3" w:rsidRDefault="00E953C3" w:rsidP="00073385">
            <w:pPr>
              <w:spacing w:before="60" w:after="60" w:line="240" w:lineRule="auto"/>
              <w:ind w:left="0"/>
              <w:rPr>
                <w:rFonts w:cs="Arial"/>
                <w:sz w:val="20"/>
                <w:szCs w:val="20"/>
              </w:rPr>
            </w:pPr>
            <w:r>
              <w:rPr>
                <w:rFonts w:cs="Arial"/>
                <w:sz w:val="20"/>
                <w:szCs w:val="20"/>
              </w:rPr>
              <w:t xml:space="preserve">GA discovered low to moderate numbers of commercial scallops to the south of the proposed MSS area in </w:t>
            </w:r>
            <w:r w:rsidRPr="00AB2E64">
              <w:rPr>
                <w:rFonts w:cs="Arial"/>
                <w:sz w:val="20"/>
                <w:szCs w:val="20"/>
              </w:rPr>
              <w:t>2015</w:t>
            </w:r>
            <w:r>
              <w:rPr>
                <w:rFonts w:cs="Arial"/>
                <w:sz w:val="20"/>
                <w:szCs w:val="20"/>
              </w:rPr>
              <w:t>. GA advised they cannot make any claims about the presence or absence of scallops as the scallop beds move.</w:t>
            </w:r>
          </w:p>
        </w:tc>
        <w:tc>
          <w:tcPr>
            <w:tcW w:w="3802" w:type="dxa"/>
            <w:shd w:val="clear" w:color="auto" w:fill="auto"/>
          </w:tcPr>
          <w:p w14:paraId="3C787065" w14:textId="77777777" w:rsidR="00E953C3" w:rsidRDefault="00E953C3" w:rsidP="00073385">
            <w:pPr>
              <w:spacing w:before="60" w:after="60" w:line="240" w:lineRule="auto"/>
              <w:ind w:left="0"/>
              <w:rPr>
                <w:rFonts w:cs="Arial"/>
                <w:sz w:val="20"/>
                <w:szCs w:val="20"/>
              </w:rPr>
            </w:pPr>
            <w:r>
              <w:rPr>
                <w:rFonts w:cs="Arial"/>
                <w:sz w:val="20"/>
                <w:szCs w:val="20"/>
              </w:rPr>
              <w:t xml:space="preserve">CarbonNet thanked GA for the information and mapped the scallop bed information against the MSS area for internal planning purposes. </w:t>
            </w:r>
          </w:p>
        </w:tc>
      </w:tr>
      <w:tr w:rsidR="00E953C3" w:rsidRPr="00FF0808" w14:paraId="3170152A" w14:textId="77777777" w:rsidTr="00891DE1">
        <w:tc>
          <w:tcPr>
            <w:tcW w:w="1427" w:type="dxa"/>
            <w:tcBorders>
              <w:top w:val="nil"/>
            </w:tcBorders>
            <w:shd w:val="clear" w:color="auto" w:fill="auto"/>
          </w:tcPr>
          <w:p w14:paraId="06C84B28" w14:textId="77777777" w:rsidR="00E953C3" w:rsidRDefault="00E953C3" w:rsidP="00073385">
            <w:pPr>
              <w:spacing w:before="60" w:after="60" w:line="240" w:lineRule="auto"/>
              <w:ind w:left="0"/>
              <w:rPr>
                <w:rFonts w:cs="Arial"/>
                <w:sz w:val="20"/>
                <w:szCs w:val="20"/>
              </w:rPr>
            </w:pPr>
          </w:p>
        </w:tc>
        <w:tc>
          <w:tcPr>
            <w:tcW w:w="1629" w:type="dxa"/>
            <w:tcBorders>
              <w:top w:val="nil"/>
            </w:tcBorders>
            <w:shd w:val="clear" w:color="auto" w:fill="auto"/>
          </w:tcPr>
          <w:p w14:paraId="4CF80443" w14:textId="77777777" w:rsidR="00E953C3" w:rsidRPr="00FF0808" w:rsidRDefault="00E953C3" w:rsidP="00073385">
            <w:pPr>
              <w:spacing w:before="60" w:after="60" w:line="240" w:lineRule="auto"/>
              <w:ind w:left="0"/>
              <w:rPr>
                <w:rFonts w:cs="Arial"/>
                <w:sz w:val="20"/>
                <w:szCs w:val="20"/>
              </w:rPr>
            </w:pPr>
          </w:p>
        </w:tc>
        <w:tc>
          <w:tcPr>
            <w:tcW w:w="1055" w:type="dxa"/>
          </w:tcPr>
          <w:p w14:paraId="61C86A29" w14:textId="08868FD7" w:rsidR="00E953C3" w:rsidRDefault="00E953C3"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609D8F58" w14:textId="22B08665" w:rsidR="00E953C3" w:rsidRDefault="00E953C3" w:rsidP="00CB2660">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179104C1" w14:textId="5F678D9C"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7414E253" w14:textId="77777777" w:rsidTr="00077C5F">
        <w:tc>
          <w:tcPr>
            <w:tcW w:w="1427" w:type="dxa"/>
            <w:vMerge w:val="restart"/>
            <w:shd w:val="clear" w:color="auto" w:fill="auto"/>
          </w:tcPr>
          <w:p w14:paraId="11EAFAF6" w14:textId="77777777" w:rsidR="00E953C3" w:rsidRDefault="00E953C3" w:rsidP="00073385">
            <w:pPr>
              <w:spacing w:before="60" w:after="60" w:line="240" w:lineRule="auto"/>
              <w:ind w:left="0"/>
              <w:rPr>
                <w:rFonts w:cs="Arial"/>
                <w:sz w:val="20"/>
                <w:szCs w:val="20"/>
              </w:rPr>
            </w:pPr>
            <w:r w:rsidRPr="000024E8">
              <w:rPr>
                <w:rFonts w:cs="Arial"/>
                <w:sz w:val="20"/>
                <w:szCs w:val="20"/>
              </w:rPr>
              <w:t>Department of Immigration and Border Protection - Maritime Border Command</w:t>
            </w:r>
          </w:p>
        </w:tc>
        <w:tc>
          <w:tcPr>
            <w:tcW w:w="1629" w:type="dxa"/>
            <w:vMerge w:val="restart"/>
            <w:shd w:val="clear" w:color="auto" w:fill="auto"/>
          </w:tcPr>
          <w:p w14:paraId="7EAA769F" w14:textId="77777777" w:rsidR="00E953C3" w:rsidRPr="00FF0808" w:rsidRDefault="00E953C3" w:rsidP="00073385">
            <w:pPr>
              <w:spacing w:before="60" w:after="60" w:line="240" w:lineRule="auto"/>
              <w:ind w:left="0"/>
              <w:rPr>
                <w:rFonts w:cs="Arial"/>
                <w:sz w:val="20"/>
                <w:szCs w:val="20"/>
              </w:rPr>
            </w:pPr>
            <w:r>
              <w:rPr>
                <w:rFonts w:cs="Arial"/>
                <w:sz w:val="20"/>
                <w:szCs w:val="20"/>
              </w:rPr>
              <w:t>Coordination of offshore maritime security</w:t>
            </w:r>
          </w:p>
        </w:tc>
        <w:tc>
          <w:tcPr>
            <w:tcW w:w="1055" w:type="dxa"/>
          </w:tcPr>
          <w:p w14:paraId="6C95A7FF" w14:textId="77777777" w:rsidR="00E953C3" w:rsidRDefault="00E953C3"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445AD39A" w14:textId="77777777" w:rsidR="00E953C3" w:rsidRDefault="00E953C3" w:rsidP="00073385">
            <w:pPr>
              <w:spacing w:before="60" w:after="60" w:line="240" w:lineRule="auto"/>
              <w:ind w:left="0"/>
              <w:rPr>
                <w:rFonts w:cs="Arial"/>
                <w:bCs/>
                <w:iCs/>
                <w:color w:val="45508A"/>
                <w:sz w:val="20"/>
                <w:szCs w:val="20"/>
              </w:rPr>
            </w:pPr>
            <w:r>
              <w:rPr>
                <w:rFonts w:cs="Arial"/>
                <w:sz w:val="20"/>
                <w:szCs w:val="20"/>
              </w:rPr>
              <w:t xml:space="preserve">CarbonNet emailed </w:t>
            </w:r>
            <w:r w:rsidRPr="00FB0894">
              <w:rPr>
                <w:rFonts w:cs="Arial"/>
                <w:sz w:val="20"/>
                <w:szCs w:val="20"/>
              </w:rPr>
              <w:t xml:space="preserve">Maritime Border </w:t>
            </w:r>
            <w:r>
              <w:rPr>
                <w:rFonts w:cs="Arial"/>
                <w:sz w:val="20"/>
                <w:szCs w:val="20"/>
              </w:rPr>
              <w:t>Command with a letter, fact sheet and contact details inviting comment.</w:t>
            </w:r>
          </w:p>
        </w:tc>
        <w:tc>
          <w:tcPr>
            <w:tcW w:w="3802" w:type="dxa"/>
            <w:shd w:val="clear" w:color="auto" w:fill="auto"/>
          </w:tcPr>
          <w:p w14:paraId="6B749F6C" w14:textId="70917A01"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79C57E7B" w14:textId="77777777" w:rsidTr="00891DE1">
        <w:tc>
          <w:tcPr>
            <w:tcW w:w="1427" w:type="dxa"/>
            <w:vMerge/>
            <w:tcBorders>
              <w:bottom w:val="nil"/>
            </w:tcBorders>
            <w:shd w:val="clear" w:color="auto" w:fill="auto"/>
          </w:tcPr>
          <w:p w14:paraId="603B802A" w14:textId="77777777" w:rsidR="00E953C3" w:rsidRPr="00FB0894" w:rsidRDefault="00E953C3" w:rsidP="00073385">
            <w:pPr>
              <w:spacing w:before="60" w:after="60" w:line="240" w:lineRule="auto"/>
              <w:ind w:left="0"/>
              <w:rPr>
                <w:rFonts w:cs="Arial"/>
                <w:sz w:val="20"/>
                <w:szCs w:val="20"/>
              </w:rPr>
            </w:pPr>
          </w:p>
        </w:tc>
        <w:tc>
          <w:tcPr>
            <w:tcW w:w="1629" w:type="dxa"/>
            <w:vMerge/>
            <w:tcBorders>
              <w:bottom w:val="nil"/>
            </w:tcBorders>
            <w:shd w:val="clear" w:color="auto" w:fill="auto"/>
          </w:tcPr>
          <w:p w14:paraId="65B0A864" w14:textId="77777777" w:rsidR="00E953C3" w:rsidRPr="00FF0808" w:rsidRDefault="00E953C3" w:rsidP="00073385">
            <w:pPr>
              <w:spacing w:before="60" w:after="60" w:line="240" w:lineRule="auto"/>
              <w:ind w:left="0"/>
              <w:rPr>
                <w:rFonts w:cs="Arial"/>
                <w:sz w:val="20"/>
                <w:szCs w:val="20"/>
              </w:rPr>
            </w:pPr>
          </w:p>
        </w:tc>
        <w:tc>
          <w:tcPr>
            <w:tcW w:w="1055" w:type="dxa"/>
          </w:tcPr>
          <w:p w14:paraId="4538FC10" w14:textId="77777777" w:rsidR="00E953C3" w:rsidRDefault="00E953C3" w:rsidP="00073385">
            <w:pPr>
              <w:spacing w:before="60" w:after="60" w:line="240" w:lineRule="auto"/>
              <w:ind w:left="0"/>
              <w:rPr>
                <w:rFonts w:cs="Arial"/>
                <w:sz w:val="20"/>
                <w:szCs w:val="20"/>
              </w:rPr>
            </w:pPr>
            <w:r>
              <w:rPr>
                <w:rFonts w:cs="Arial"/>
                <w:sz w:val="20"/>
                <w:szCs w:val="20"/>
              </w:rPr>
              <w:t>7/4/17</w:t>
            </w:r>
          </w:p>
        </w:tc>
        <w:tc>
          <w:tcPr>
            <w:tcW w:w="6335" w:type="dxa"/>
            <w:shd w:val="clear" w:color="auto" w:fill="auto"/>
          </w:tcPr>
          <w:p w14:paraId="362AD5B1" w14:textId="77777777" w:rsidR="00E953C3" w:rsidRDefault="00E953C3" w:rsidP="00073385">
            <w:pPr>
              <w:spacing w:before="60" w:after="60" w:line="240" w:lineRule="auto"/>
              <w:ind w:left="0"/>
              <w:rPr>
                <w:rFonts w:cs="Arial"/>
                <w:sz w:val="20"/>
                <w:szCs w:val="20"/>
              </w:rPr>
            </w:pPr>
            <w:r>
              <w:rPr>
                <w:rFonts w:cs="Arial"/>
                <w:sz w:val="20"/>
                <w:szCs w:val="20"/>
              </w:rPr>
              <w:t>CarbonNet called and left a voicemail for a call back.</w:t>
            </w:r>
          </w:p>
          <w:p w14:paraId="2454C603" w14:textId="77777777" w:rsidR="00E953C3" w:rsidRDefault="00E953C3" w:rsidP="00073385">
            <w:pPr>
              <w:spacing w:before="60" w:after="60" w:line="240" w:lineRule="auto"/>
              <w:ind w:left="0"/>
              <w:rPr>
                <w:rFonts w:cs="Arial"/>
                <w:sz w:val="20"/>
                <w:szCs w:val="20"/>
              </w:rPr>
            </w:pPr>
            <w:r>
              <w:rPr>
                <w:rFonts w:cs="Arial"/>
                <w:sz w:val="20"/>
                <w:szCs w:val="20"/>
              </w:rPr>
              <w:t>Resent the original email.</w:t>
            </w:r>
          </w:p>
          <w:p w14:paraId="633D2B58" w14:textId="77777777" w:rsidR="00E953C3" w:rsidRDefault="00E953C3" w:rsidP="00073385">
            <w:pPr>
              <w:spacing w:before="60" w:after="60" w:line="240" w:lineRule="auto"/>
              <w:ind w:left="0"/>
              <w:rPr>
                <w:rFonts w:cs="Arial"/>
                <w:bCs/>
                <w:iCs/>
                <w:color w:val="45508A"/>
                <w:sz w:val="20"/>
                <w:szCs w:val="20"/>
              </w:rPr>
            </w:pPr>
            <w:r>
              <w:rPr>
                <w:rFonts w:cs="Arial"/>
                <w:sz w:val="20"/>
                <w:szCs w:val="20"/>
              </w:rPr>
              <w:t xml:space="preserve">Also sent the email to an address listed on the </w:t>
            </w:r>
            <w:r w:rsidRPr="00FB0894">
              <w:rPr>
                <w:rFonts w:cs="Arial"/>
                <w:sz w:val="20"/>
                <w:szCs w:val="20"/>
              </w:rPr>
              <w:t xml:space="preserve">Maritime Border </w:t>
            </w:r>
            <w:r>
              <w:rPr>
                <w:rFonts w:cs="Arial"/>
                <w:sz w:val="20"/>
                <w:szCs w:val="20"/>
              </w:rPr>
              <w:t>Command website.</w:t>
            </w:r>
          </w:p>
        </w:tc>
        <w:tc>
          <w:tcPr>
            <w:tcW w:w="3802" w:type="dxa"/>
            <w:shd w:val="clear" w:color="auto" w:fill="auto"/>
          </w:tcPr>
          <w:p w14:paraId="3CB4A908" w14:textId="77777777" w:rsidR="00E953C3" w:rsidRDefault="00E953C3" w:rsidP="00073385">
            <w:pPr>
              <w:spacing w:before="60" w:after="60" w:line="240" w:lineRule="auto"/>
              <w:ind w:left="0"/>
              <w:rPr>
                <w:rFonts w:cs="Arial"/>
                <w:sz w:val="20"/>
                <w:szCs w:val="20"/>
              </w:rPr>
            </w:pPr>
            <w:r>
              <w:rPr>
                <w:rFonts w:cs="Arial"/>
                <w:sz w:val="20"/>
                <w:szCs w:val="20"/>
              </w:rPr>
              <w:t>No response received. CarbonNet understands Maritime Border Command will receive Notice to Mariners.</w:t>
            </w:r>
          </w:p>
        </w:tc>
      </w:tr>
      <w:tr w:rsidR="00E953C3" w:rsidRPr="00FF0808" w14:paraId="239B0330" w14:textId="77777777" w:rsidTr="00891DE1">
        <w:tc>
          <w:tcPr>
            <w:tcW w:w="1427" w:type="dxa"/>
            <w:tcBorders>
              <w:top w:val="nil"/>
            </w:tcBorders>
            <w:shd w:val="clear" w:color="auto" w:fill="auto"/>
          </w:tcPr>
          <w:p w14:paraId="118F902D" w14:textId="77777777" w:rsidR="00E953C3" w:rsidRPr="00FB0894" w:rsidRDefault="00E953C3" w:rsidP="00073385">
            <w:pPr>
              <w:spacing w:before="60" w:after="60" w:line="240" w:lineRule="auto"/>
              <w:ind w:left="0"/>
              <w:rPr>
                <w:rFonts w:cs="Arial"/>
                <w:sz w:val="20"/>
                <w:szCs w:val="20"/>
              </w:rPr>
            </w:pPr>
          </w:p>
        </w:tc>
        <w:tc>
          <w:tcPr>
            <w:tcW w:w="1629" w:type="dxa"/>
            <w:tcBorders>
              <w:top w:val="nil"/>
            </w:tcBorders>
            <w:shd w:val="clear" w:color="auto" w:fill="auto"/>
          </w:tcPr>
          <w:p w14:paraId="4B9ABDC7" w14:textId="77777777" w:rsidR="00E953C3" w:rsidRPr="00FF0808" w:rsidRDefault="00E953C3" w:rsidP="00073385">
            <w:pPr>
              <w:spacing w:before="60" w:after="60" w:line="240" w:lineRule="auto"/>
              <w:ind w:left="0"/>
              <w:rPr>
                <w:rFonts w:cs="Arial"/>
                <w:sz w:val="20"/>
                <w:szCs w:val="20"/>
              </w:rPr>
            </w:pPr>
          </w:p>
        </w:tc>
        <w:tc>
          <w:tcPr>
            <w:tcW w:w="1055" w:type="dxa"/>
          </w:tcPr>
          <w:p w14:paraId="0A6F5450" w14:textId="484EAB5C" w:rsidR="00E953C3" w:rsidRDefault="00E953C3"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6C022C72" w14:textId="0D10C6D6" w:rsidR="00E953C3" w:rsidRDefault="00E953C3"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2A6FF1C6" w14:textId="57A8AE1F"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0A183041" w14:textId="77777777" w:rsidTr="00077C5F">
        <w:tc>
          <w:tcPr>
            <w:tcW w:w="14248" w:type="dxa"/>
            <w:gridSpan w:val="5"/>
            <w:shd w:val="clear" w:color="auto" w:fill="D9D9D9"/>
          </w:tcPr>
          <w:p w14:paraId="28922813" w14:textId="77777777" w:rsidR="00E953C3" w:rsidRPr="00FF0808" w:rsidRDefault="00E953C3" w:rsidP="00073385">
            <w:pPr>
              <w:spacing w:before="60" w:after="60" w:line="240" w:lineRule="auto"/>
              <w:ind w:left="0"/>
              <w:rPr>
                <w:rFonts w:cs="Arial"/>
                <w:sz w:val="20"/>
                <w:szCs w:val="20"/>
              </w:rPr>
            </w:pPr>
            <w:r w:rsidRPr="00FF0808">
              <w:rPr>
                <w:rFonts w:cs="Arial"/>
                <w:sz w:val="20"/>
                <w:szCs w:val="20"/>
              </w:rPr>
              <w:lastRenderedPageBreak/>
              <w:t>Each Department or agency of a State to which the activities to be carried out under the EP may be relevant</w:t>
            </w:r>
          </w:p>
        </w:tc>
      </w:tr>
      <w:tr w:rsidR="00E953C3" w:rsidRPr="00FF0808" w14:paraId="754AEF0B" w14:textId="77777777" w:rsidTr="00077C5F">
        <w:tc>
          <w:tcPr>
            <w:tcW w:w="1427" w:type="dxa"/>
            <w:vMerge w:val="restart"/>
            <w:shd w:val="clear" w:color="auto" w:fill="auto"/>
          </w:tcPr>
          <w:p w14:paraId="5CFFEECD" w14:textId="77777777" w:rsidR="00E953C3" w:rsidRDefault="00E953C3" w:rsidP="00073385">
            <w:pPr>
              <w:spacing w:before="60" w:after="60" w:line="240" w:lineRule="auto"/>
              <w:ind w:left="0"/>
              <w:rPr>
                <w:rFonts w:cs="Arial"/>
                <w:sz w:val="20"/>
                <w:szCs w:val="20"/>
              </w:rPr>
            </w:pPr>
            <w:r>
              <w:rPr>
                <w:rFonts w:cs="Arial"/>
                <w:sz w:val="20"/>
                <w:szCs w:val="20"/>
              </w:rPr>
              <w:t>Environment Protection Authority (EPA)</w:t>
            </w:r>
          </w:p>
        </w:tc>
        <w:tc>
          <w:tcPr>
            <w:tcW w:w="1629" w:type="dxa"/>
            <w:vMerge w:val="restart"/>
            <w:shd w:val="clear" w:color="auto" w:fill="auto"/>
          </w:tcPr>
          <w:p w14:paraId="6179095C" w14:textId="77777777" w:rsidR="00E953C3" w:rsidRDefault="00E953C3" w:rsidP="00073385">
            <w:pPr>
              <w:spacing w:before="60" w:after="60" w:line="240" w:lineRule="auto"/>
              <w:ind w:left="0"/>
              <w:rPr>
                <w:rFonts w:cs="Arial"/>
                <w:sz w:val="20"/>
                <w:szCs w:val="20"/>
              </w:rPr>
            </w:pPr>
            <w:r>
              <w:rPr>
                <w:rFonts w:cs="Arial"/>
                <w:sz w:val="20"/>
                <w:szCs w:val="20"/>
              </w:rPr>
              <w:t>Victorian environmental regulator</w:t>
            </w:r>
          </w:p>
        </w:tc>
        <w:tc>
          <w:tcPr>
            <w:tcW w:w="1055" w:type="dxa"/>
          </w:tcPr>
          <w:p w14:paraId="7B68F4EC" w14:textId="77777777" w:rsidR="00E953C3" w:rsidRDefault="00E953C3"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0488EE29" w14:textId="77777777" w:rsidR="00E953C3" w:rsidRDefault="00E953C3" w:rsidP="00073385">
            <w:pPr>
              <w:spacing w:before="60" w:after="60" w:line="240" w:lineRule="auto"/>
              <w:ind w:left="0"/>
              <w:rPr>
                <w:rFonts w:cs="Arial"/>
                <w:sz w:val="20"/>
                <w:szCs w:val="20"/>
              </w:rPr>
            </w:pPr>
            <w:r>
              <w:rPr>
                <w:rFonts w:cs="Arial"/>
                <w:sz w:val="20"/>
                <w:szCs w:val="20"/>
              </w:rPr>
              <w:t>CarbonNet sent email to EPA re MSS, including fact sheet and contact details.</w:t>
            </w:r>
          </w:p>
        </w:tc>
        <w:tc>
          <w:tcPr>
            <w:tcW w:w="3802" w:type="dxa"/>
            <w:shd w:val="clear" w:color="auto" w:fill="auto"/>
          </w:tcPr>
          <w:p w14:paraId="14254814" w14:textId="77777777" w:rsidR="00E953C3" w:rsidRPr="00FF0808"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502B0607" w14:textId="77777777" w:rsidTr="00077C5F">
        <w:tc>
          <w:tcPr>
            <w:tcW w:w="1427" w:type="dxa"/>
            <w:vMerge/>
            <w:shd w:val="clear" w:color="auto" w:fill="auto"/>
          </w:tcPr>
          <w:p w14:paraId="56C179A6" w14:textId="77777777" w:rsidR="00E953C3" w:rsidRPr="00FF0808" w:rsidRDefault="00E953C3" w:rsidP="00073385">
            <w:pPr>
              <w:spacing w:before="60" w:after="60" w:line="240" w:lineRule="auto"/>
              <w:ind w:left="0"/>
              <w:rPr>
                <w:rFonts w:cs="Arial"/>
                <w:sz w:val="20"/>
                <w:szCs w:val="20"/>
              </w:rPr>
            </w:pPr>
          </w:p>
        </w:tc>
        <w:tc>
          <w:tcPr>
            <w:tcW w:w="1629" w:type="dxa"/>
            <w:vMerge/>
            <w:shd w:val="clear" w:color="auto" w:fill="auto"/>
          </w:tcPr>
          <w:p w14:paraId="5764AA7F" w14:textId="77777777" w:rsidR="00E953C3" w:rsidRPr="00FF0808" w:rsidRDefault="00E953C3" w:rsidP="00073385">
            <w:pPr>
              <w:spacing w:before="60" w:after="60" w:line="240" w:lineRule="auto"/>
              <w:ind w:left="0"/>
              <w:rPr>
                <w:rFonts w:cs="Arial"/>
                <w:sz w:val="20"/>
                <w:szCs w:val="20"/>
              </w:rPr>
            </w:pPr>
          </w:p>
        </w:tc>
        <w:tc>
          <w:tcPr>
            <w:tcW w:w="1055" w:type="dxa"/>
          </w:tcPr>
          <w:p w14:paraId="4BEDB822" w14:textId="77777777" w:rsidR="00E953C3" w:rsidRPr="00FF0808" w:rsidRDefault="00E953C3" w:rsidP="00073385">
            <w:pPr>
              <w:spacing w:before="60" w:after="60" w:line="240" w:lineRule="auto"/>
              <w:ind w:left="0"/>
              <w:rPr>
                <w:rFonts w:cs="Arial"/>
                <w:sz w:val="20"/>
                <w:szCs w:val="20"/>
              </w:rPr>
            </w:pPr>
            <w:r>
              <w:rPr>
                <w:rFonts w:cs="Arial"/>
                <w:sz w:val="20"/>
                <w:szCs w:val="20"/>
              </w:rPr>
              <w:t>26/4/17</w:t>
            </w:r>
          </w:p>
        </w:tc>
        <w:tc>
          <w:tcPr>
            <w:tcW w:w="6335" w:type="dxa"/>
            <w:shd w:val="clear" w:color="auto" w:fill="auto"/>
          </w:tcPr>
          <w:p w14:paraId="79BDBCB3" w14:textId="77777777" w:rsidR="00E953C3" w:rsidRPr="00FF0808" w:rsidRDefault="00E953C3" w:rsidP="00073385">
            <w:pPr>
              <w:spacing w:before="60" w:after="60" w:line="240" w:lineRule="auto"/>
              <w:ind w:left="0"/>
              <w:rPr>
                <w:rFonts w:cs="Arial"/>
                <w:sz w:val="20"/>
                <w:szCs w:val="20"/>
              </w:rPr>
            </w:pPr>
            <w:r>
              <w:rPr>
                <w:rFonts w:cs="Arial"/>
                <w:sz w:val="20"/>
                <w:szCs w:val="20"/>
              </w:rPr>
              <w:t>CarbonNet mee</w:t>
            </w:r>
            <w:r w:rsidRPr="0064523F">
              <w:rPr>
                <w:rFonts w:cs="Arial"/>
                <w:sz w:val="20"/>
                <w:szCs w:val="20"/>
              </w:rPr>
              <w:t xml:space="preserve">ting </w:t>
            </w:r>
            <w:r>
              <w:rPr>
                <w:rFonts w:cs="Arial"/>
                <w:sz w:val="20"/>
                <w:szCs w:val="20"/>
              </w:rPr>
              <w:t>with EPA</w:t>
            </w:r>
            <w:r w:rsidRPr="0064523F">
              <w:rPr>
                <w:rFonts w:cs="Arial"/>
                <w:sz w:val="20"/>
                <w:szCs w:val="20"/>
              </w:rPr>
              <w:t xml:space="preserve"> to provide a</w:t>
            </w:r>
            <w:r>
              <w:rPr>
                <w:rFonts w:cs="Arial"/>
                <w:sz w:val="20"/>
                <w:szCs w:val="20"/>
              </w:rPr>
              <w:t xml:space="preserve"> general </w:t>
            </w:r>
            <w:r w:rsidRPr="0064523F">
              <w:rPr>
                <w:rFonts w:cs="Arial"/>
                <w:sz w:val="20"/>
                <w:szCs w:val="20"/>
              </w:rPr>
              <w:t>overview on CarbonNet stage 3</w:t>
            </w:r>
            <w:r>
              <w:rPr>
                <w:rFonts w:cs="Arial"/>
                <w:sz w:val="20"/>
                <w:szCs w:val="20"/>
              </w:rPr>
              <w:t xml:space="preserve"> activities including an update on its proposed M</w:t>
            </w:r>
            <w:r w:rsidRPr="0064523F">
              <w:rPr>
                <w:rFonts w:cs="Arial"/>
                <w:sz w:val="20"/>
                <w:szCs w:val="20"/>
              </w:rPr>
              <w:t>SS</w:t>
            </w:r>
            <w:r>
              <w:rPr>
                <w:rFonts w:cs="Arial"/>
                <w:sz w:val="20"/>
                <w:szCs w:val="20"/>
              </w:rPr>
              <w:t>.</w:t>
            </w:r>
          </w:p>
        </w:tc>
        <w:tc>
          <w:tcPr>
            <w:tcW w:w="3802" w:type="dxa"/>
            <w:shd w:val="clear" w:color="auto" w:fill="auto"/>
          </w:tcPr>
          <w:p w14:paraId="7EFD22BF" w14:textId="77777777" w:rsidR="00E953C3" w:rsidRPr="00FF0808" w:rsidRDefault="00E953C3" w:rsidP="00073385">
            <w:pPr>
              <w:spacing w:before="60" w:after="60" w:line="240" w:lineRule="auto"/>
              <w:ind w:left="0"/>
              <w:rPr>
                <w:rFonts w:cs="Arial"/>
                <w:sz w:val="20"/>
                <w:szCs w:val="20"/>
              </w:rPr>
            </w:pPr>
            <w:r>
              <w:rPr>
                <w:rFonts w:cs="Arial"/>
                <w:sz w:val="20"/>
                <w:szCs w:val="20"/>
              </w:rPr>
              <w:t>EPA comments noted in preparation of survey and EP.</w:t>
            </w:r>
          </w:p>
        </w:tc>
      </w:tr>
      <w:tr w:rsidR="00E953C3" w:rsidRPr="00FF0808" w14:paraId="3E6FFA90" w14:textId="77777777" w:rsidTr="00077C5F">
        <w:tc>
          <w:tcPr>
            <w:tcW w:w="1427" w:type="dxa"/>
            <w:vMerge/>
            <w:shd w:val="clear" w:color="auto" w:fill="auto"/>
          </w:tcPr>
          <w:p w14:paraId="1D931223" w14:textId="77777777" w:rsidR="00E953C3" w:rsidRDefault="00E953C3" w:rsidP="00073385">
            <w:pPr>
              <w:spacing w:before="60" w:after="60" w:line="240" w:lineRule="auto"/>
              <w:ind w:left="0"/>
              <w:rPr>
                <w:rFonts w:cs="Arial"/>
                <w:sz w:val="20"/>
                <w:szCs w:val="20"/>
              </w:rPr>
            </w:pPr>
          </w:p>
        </w:tc>
        <w:tc>
          <w:tcPr>
            <w:tcW w:w="1629" w:type="dxa"/>
            <w:vMerge/>
            <w:shd w:val="clear" w:color="auto" w:fill="auto"/>
          </w:tcPr>
          <w:p w14:paraId="2E2B8928" w14:textId="77777777" w:rsidR="00E953C3" w:rsidRDefault="00E953C3" w:rsidP="00073385">
            <w:pPr>
              <w:spacing w:before="60" w:after="60" w:line="240" w:lineRule="auto"/>
              <w:ind w:left="0"/>
              <w:rPr>
                <w:rFonts w:cs="Arial"/>
                <w:sz w:val="20"/>
                <w:szCs w:val="20"/>
              </w:rPr>
            </w:pPr>
          </w:p>
        </w:tc>
        <w:tc>
          <w:tcPr>
            <w:tcW w:w="1055" w:type="dxa"/>
          </w:tcPr>
          <w:p w14:paraId="57397F19" w14:textId="77777777" w:rsidR="00E953C3" w:rsidRPr="00FF0808" w:rsidRDefault="00E953C3" w:rsidP="00073385">
            <w:pPr>
              <w:spacing w:before="60" w:after="60" w:line="240" w:lineRule="auto"/>
              <w:ind w:left="0"/>
              <w:rPr>
                <w:rFonts w:cs="Arial"/>
                <w:sz w:val="20"/>
                <w:szCs w:val="20"/>
              </w:rPr>
            </w:pPr>
            <w:r>
              <w:rPr>
                <w:rFonts w:cs="Arial"/>
                <w:sz w:val="20"/>
                <w:szCs w:val="20"/>
              </w:rPr>
              <w:t>9/5/17</w:t>
            </w:r>
          </w:p>
        </w:tc>
        <w:tc>
          <w:tcPr>
            <w:tcW w:w="6335" w:type="dxa"/>
            <w:shd w:val="clear" w:color="auto" w:fill="auto"/>
          </w:tcPr>
          <w:p w14:paraId="53CDCB6E" w14:textId="77777777" w:rsidR="00E953C3" w:rsidRPr="009C3DBF" w:rsidRDefault="00E953C3" w:rsidP="00073385">
            <w:pPr>
              <w:spacing w:before="60" w:after="60" w:line="240" w:lineRule="auto"/>
              <w:ind w:left="0"/>
              <w:rPr>
                <w:rFonts w:cs="Arial"/>
                <w:color w:val="0000FF"/>
                <w:sz w:val="20"/>
                <w:szCs w:val="20"/>
              </w:rPr>
            </w:pPr>
            <w:r w:rsidRPr="008602D0">
              <w:rPr>
                <w:rFonts w:cs="Arial"/>
                <w:sz w:val="20"/>
                <w:szCs w:val="20"/>
              </w:rPr>
              <w:t xml:space="preserve">Email from EPA seeking feedback on how the </w:t>
            </w:r>
            <w:r>
              <w:rPr>
                <w:rFonts w:cs="Arial"/>
                <w:sz w:val="20"/>
                <w:szCs w:val="20"/>
              </w:rPr>
              <w:t>EP</w:t>
            </w:r>
            <w:r w:rsidRPr="008602D0">
              <w:rPr>
                <w:rFonts w:cs="Arial"/>
                <w:sz w:val="20"/>
                <w:szCs w:val="20"/>
              </w:rPr>
              <w:t xml:space="preserve"> will address/mitigate the potential impacts of the survey on the Burranan dolphin</w:t>
            </w:r>
            <w:r>
              <w:rPr>
                <w:rFonts w:cs="Arial"/>
                <w:sz w:val="20"/>
                <w:szCs w:val="20"/>
              </w:rPr>
              <w:t>.</w:t>
            </w:r>
          </w:p>
          <w:p w14:paraId="190223A3" w14:textId="77777777" w:rsidR="00E953C3" w:rsidRDefault="00E953C3" w:rsidP="00073385">
            <w:pPr>
              <w:spacing w:before="60" w:after="60" w:line="240" w:lineRule="auto"/>
              <w:ind w:left="0"/>
              <w:rPr>
                <w:rFonts w:cs="Arial"/>
                <w:sz w:val="20"/>
                <w:szCs w:val="20"/>
              </w:rPr>
            </w:pPr>
          </w:p>
        </w:tc>
        <w:tc>
          <w:tcPr>
            <w:tcW w:w="3802" w:type="dxa"/>
            <w:shd w:val="clear" w:color="auto" w:fill="auto"/>
          </w:tcPr>
          <w:p w14:paraId="021DF48B" w14:textId="6780D933" w:rsidR="00E953C3" w:rsidRDefault="00E953C3" w:rsidP="00073385">
            <w:pPr>
              <w:spacing w:before="60" w:after="60" w:line="240" w:lineRule="auto"/>
              <w:ind w:left="0"/>
              <w:rPr>
                <w:rFonts w:cs="Arial"/>
                <w:sz w:val="20"/>
                <w:szCs w:val="20"/>
              </w:rPr>
            </w:pPr>
            <w:r>
              <w:rPr>
                <w:rFonts w:cs="Arial"/>
                <w:sz w:val="20"/>
                <w:szCs w:val="20"/>
              </w:rPr>
              <w:t>CarbonNet provided an email to EPA on 10/8/17 with t</w:t>
            </w:r>
            <w:r w:rsidRPr="008602D0">
              <w:rPr>
                <w:rFonts w:cs="Arial"/>
                <w:sz w:val="20"/>
                <w:szCs w:val="20"/>
              </w:rPr>
              <w:t>he information</w:t>
            </w:r>
            <w:r>
              <w:rPr>
                <w:rFonts w:cs="Arial"/>
                <w:sz w:val="20"/>
                <w:szCs w:val="20"/>
              </w:rPr>
              <w:t xml:space="preserve"> </w:t>
            </w:r>
            <w:r w:rsidRPr="008602D0">
              <w:rPr>
                <w:rFonts w:cs="Arial"/>
                <w:sz w:val="20"/>
                <w:szCs w:val="20"/>
              </w:rPr>
              <w:t xml:space="preserve">and assessment incorporated in EP </w:t>
            </w:r>
            <w:r>
              <w:rPr>
                <w:rFonts w:cs="Arial"/>
                <w:sz w:val="20"/>
                <w:szCs w:val="20"/>
              </w:rPr>
              <w:t>relating to the Burranan dolphin.</w:t>
            </w:r>
          </w:p>
          <w:p w14:paraId="39EC6F20" w14:textId="55196619" w:rsidR="00E953C3" w:rsidRPr="00FF0808" w:rsidRDefault="00E953C3" w:rsidP="00073385">
            <w:pPr>
              <w:spacing w:before="60" w:after="60" w:line="240" w:lineRule="auto"/>
              <w:ind w:left="0"/>
              <w:rPr>
                <w:rFonts w:cs="Arial"/>
                <w:sz w:val="20"/>
                <w:szCs w:val="20"/>
              </w:rPr>
            </w:pPr>
            <w:r w:rsidRPr="008602D0">
              <w:rPr>
                <w:rFonts w:cs="Arial"/>
                <w:sz w:val="20"/>
                <w:szCs w:val="20"/>
              </w:rPr>
              <w:t>Based on the available research</w:t>
            </w:r>
            <w:r>
              <w:rPr>
                <w:rFonts w:cs="Arial"/>
                <w:sz w:val="20"/>
                <w:szCs w:val="20"/>
              </w:rPr>
              <w:t>, underwater sound modelling</w:t>
            </w:r>
            <w:r w:rsidRPr="008602D0">
              <w:rPr>
                <w:rFonts w:cs="Arial"/>
                <w:sz w:val="20"/>
                <w:szCs w:val="20"/>
              </w:rPr>
              <w:t xml:space="preserve"> and using DEDJTR's risk assessment framework, the consequence rating to dolphins has been de</w:t>
            </w:r>
            <w:r>
              <w:rPr>
                <w:rFonts w:cs="Arial"/>
                <w:sz w:val="20"/>
                <w:szCs w:val="20"/>
              </w:rPr>
              <w:t>termined to be 'insignificant.’</w:t>
            </w:r>
          </w:p>
        </w:tc>
      </w:tr>
      <w:tr w:rsidR="00E953C3" w:rsidRPr="00FF0808" w14:paraId="1EBB0032" w14:textId="77777777" w:rsidTr="00891DE1">
        <w:tc>
          <w:tcPr>
            <w:tcW w:w="1427" w:type="dxa"/>
            <w:vMerge/>
            <w:tcBorders>
              <w:bottom w:val="nil"/>
            </w:tcBorders>
            <w:shd w:val="clear" w:color="auto" w:fill="auto"/>
          </w:tcPr>
          <w:p w14:paraId="68EC3B47" w14:textId="77777777" w:rsidR="00E953C3" w:rsidRDefault="00E953C3" w:rsidP="00073385">
            <w:pPr>
              <w:spacing w:before="60" w:after="60" w:line="240" w:lineRule="auto"/>
              <w:ind w:left="0"/>
              <w:rPr>
                <w:rFonts w:cs="Arial"/>
                <w:sz w:val="20"/>
                <w:szCs w:val="20"/>
              </w:rPr>
            </w:pPr>
          </w:p>
        </w:tc>
        <w:tc>
          <w:tcPr>
            <w:tcW w:w="1629" w:type="dxa"/>
            <w:vMerge/>
            <w:tcBorders>
              <w:bottom w:val="nil"/>
            </w:tcBorders>
            <w:shd w:val="clear" w:color="auto" w:fill="auto"/>
          </w:tcPr>
          <w:p w14:paraId="49AB123F" w14:textId="77777777" w:rsidR="00E953C3" w:rsidRDefault="00E953C3" w:rsidP="00073385">
            <w:pPr>
              <w:spacing w:before="60" w:after="60" w:line="240" w:lineRule="auto"/>
              <w:ind w:left="0"/>
              <w:rPr>
                <w:rFonts w:cs="Arial"/>
                <w:sz w:val="20"/>
                <w:szCs w:val="20"/>
              </w:rPr>
            </w:pPr>
          </w:p>
        </w:tc>
        <w:tc>
          <w:tcPr>
            <w:tcW w:w="1055" w:type="dxa"/>
          </w:tcPr>
          <w:p w14:paraId="42E7D39A" w14:textId="77777777" w:rsidR="00E953C3" w:rsidRDefault="00E953C3" w:rsidP="00073385">
            <w:pPr>
              <w:spacing w:before="60" w:after="60" w:line="240" w:lineRule="auto"/>
              <w:ind w:left="0"/>
              <w:rPr>
                <w:rFonts w:cs="Arial"/>
                <w:sz w:val="20"/>
                <w:szCs w:val="20"/>
              </w:rPr>
            </w:pPr>
            <w:r>
              <w:rPr>
                <w:rFonts w:cs="Arial"/>
                <w:sz w:val="20"/>
                <w:szCs w:val="20"/>
              </w:rPr>
              <w:t>8/8/17</w:t>
            </w:r>
          </w:p>
        </w:tc>
        <w:tc>
          <w:tcPr>
            <w:tcW w:w="6335" w:type="dxa"/>
            <w:shd w:val="clear" w:color="auto" w:fill="auto"/>
          </w:tcPr>
          <w:p w14:paraId="52AD972E" w14:textId="77777777" w:rsidR="00E953C3" w:rsidRPr="004C2A33" w:rsidRDefault="00E953C3" w:rsidP="00073385">
            <w:pPr>
              <w:spacing w:before="60" w:after="60" w:line="240" w:lineRule="auto"/>
              <w:ind w:left="0"/>
              <w:rPr>
                <w:rFonts w:cs="Arial"/>
                <w:sz w:val="20"/>
                <w:szCs w:val="20"/>
              </w:rPr>
            </w:pPr>
            <w:r>
              <w:rPr>
                <w:rFonts w:cs="Arial"/>
                <w:sz w:val="20"/>
                <w:szCs w:val="20"/>
              </w:rPr>
              <w:t>Email to EPA with an update on the duration and expanded operational area for the MSS; and information on the Burranan dolphins.</w:t>
            </w:r>
          </w:p>
        </w:tc>
        <w:tc>
          <w:tcPr>
            <w:tcW w:w="3802" w:type="dxa"/>
            <w:shd w:val="clear" w:color="auto" w:fill="auto"/>
          </w:tcPr>
          <w:p w14:paraId="688DB08D" w14:textId="77777777"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51D6A164" w14:textId="77777777" w:rsidTr="00891DE1">
        <w:tc>
          <w:tcPr>
            <w:tcW w:w="1427" w:type="dxa"/>
            <w:tcBorders>
              <w:top w:val="nil"/>
              <w:bottom w:val="nil"/>
            </w:tcBorders>
            <w:shd w:val="clear" w:color="auto" w:fill="auto"/>
          </w:tcPr>
          <w:p w14:paraId="4C8BF34C" w14:textId="77777777" w:rsidR="00E953C3"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00186D9" w14:textId="77777777" w:rsidR="00E953C3" w:rsidRDefault="00E953C3" w:rsidP="00073385">
            <w:pPr>
              <w:spacing w:before="60" w:after="60" w:line="240" w:lineRule="auto"/>
              <w:ind w:left="0"/>
              <w:rPr>
                <w:rFonts w:cs="Arial"/>
                <w:sz w:val="20"/>
                <w:szCs w:val="20"/>
              </w:rPr>
            </w:pPr>
          </w:p>
        </w:tc>
        <w:tc>
          <w:tcPr>
            <w:tcW w:w="1055" w:type="dxa"/>
          </w:tcPr>
          <w:p w14:paraId="459EFD50" w14:textId="29CE8F48" w:rsidR="00E953C3" w:rsidRDefault="00E953C3"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7F68AEAA" w14:textId="745B93FF" w:rsidR="00E953C3" w:rsidRDefault="00E953C3"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6E01B055" w14:textId="78498B7A"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7F57C04E" w14:textId="77777777" w:rsidTr="002B39AD">
        <w:tc>
          <w:tcPr>
            <w:tcW w:w="1427" w:type="dxa"/>
            <w:tcBorders>
              <w:top w:val="nil"/>
            </w:tcBorders>
            <w:shd w:val="clear" w:color="auto" w:fill="auto"/>
          </w:tcPr>
          <w:p w14:paraId="19A4B63B" w14:textId="77777777" w:rsidR="00E953C3" w:rsidRDefault="00E953C3" w:rsidP="00073385">
            <w:pPr>
              <w:spacing w:before="60" w:after="60" w:line="240" w:lineRule="auto"/>
              <w:ind w:left="0"/>
              <w:rPr>
                <w:rFonts w:cs="Arial"/>
                <w:sz w:val="20"/>
                <w:szCs w:val="20"/>
              </w:rPr>
            </w:pPr>
          </w:p>
        </w:tc>
        <w:tc>
          <w:tcPr>
            <w:tcW w:w="1629" w:type="dxa"/>
            <w:tcBorders>
              <w:top w:val="nil"/>
            </w:tcBorders>
            <w:shd w:val="clear" w:color="auto" w:fill="auto"/>
          </w:tcPr>
          <w:p w14:paraId="5EEFC023" w14:textId="77777777" w:rsidR="00E953C3" w:rsidRDefault="00E953C3" w:rsidP="00073385">
            <w:pPr>
              <w:spacing w:before="60" w:after="60" w:line="240" w:lineRule="auto"/>
              <w:ind w:left="0"/>
              <w:rPr>
                <w:rFonts w:cs="Arial"/>
                <w:sz w:val="20"/>
                <w:szCs w:val="20"/>
              </w:rPr>
            </w:pPr>
          </w:p>
        </w:tc>
        <w:tc>
          <w:tcPr>
            <w:tcW w:w="1055" w:type="dxa"/>
          </w:tcPr>
          <w:p w14:paraId="2EAADC3A" w14:textId="500F2C51" w:rsidR="00E953C3" w:rsidRDefault="00E953C3" w:rsidP="00073385">
            <w:pPr>
              <w:spacing w:before="60" w:after="60" w:line="240" w:lineRule="auto"/>
              <w:ind w:left="0"/>
              <w:rPr>
                <w:rFonts w:cs="Arial"/>
                <w:sz w:val="20"/>
                <w:szCs w:val="20"/>
              </w:rPr>
            </w:pPr>
            <w:r>
              <w:rPr>
                <w:rFonts w:cs="Arial"/>
                <w:sz w:val="20"/>
                <w:szCs w:val="20"/>
              </w:rPr>
              <w:t>23/8/17</w:t>
            </w:r>
            <w:r w:rsidR="00A70030">
              <w:rPr>
                <w:rFonts w:cs="Arial"/>
                <w:sz w:val="20"/>
                <w:szCs w:val="20"/>
              </w:rPr>
              <w:t xml:space="preserve"> &amp; 1/9/17</w:t>
            </w:r>
          </w:p>
        </w:tc>
        <w:tc>
          <w:tcPr>
            <w:tcW w:w="6335" w:type="dxa"/>
            <w:shd w:val="clear" w:color="auto" w:fill="auto"/>
          </w:tcPr>
          <w:p w14:paraId="6BCF6AEB" w14:textId="21C83893" w:rsidR="00E953C3" w:rsidRDefault="00A70030" w:rsidP="00A70030">
            <w:pPr>
              <w:spacing w:before="60" w:after="60" w:line="240" w:lineRule="auto"/>
              <w:ind w:left="0"/>
              <w:rPr>
                <w:rFonts w:cs="Arial"/>
                <w:sz w:val="20"/>
                <w:szCs w:val="20"/>
              </w:rPr>
            </w:pPr>
            <w:r>
              <w:rPr>
                <w:rFonts w:cs="Arial"/>
                <w:sz w:val="20"/>
                <w:szCs w:val="20"/>
              </w:rPr>
              <w:t>CarbonNet received an e</w:t>
            </w:r>
            <w:r w:rsidR="00E953C3">
              <w:rPr>
                <w:rFonts w:cs="Arial"/>
                <w:sz w:val="20"/>
                <w:szCs w:val="20"/>
              </w:rPr>
              <w:t xml:space="preserve">mail from </w:t>
            </w:r>
            <w:r>
              <w:rPr>
                <w:rFonts w:cs="Arial"/>
                <w:sz w:val="20"/>
                <w:szCs w:val="20"/>
              </w:rPr>
              <w:t xml:space="preserve">the </w:t>
            </w:r>
            <w:r w:rsidR="00E953C3">
              <w:rPr>
                <w:rFonts w:cs="Arial"/>
                <w:sz w:val="20"/>
                <w:szCs w:val="20"/>
              </w:rPr>
              <w:t xml:space="preserve">EPA seeking further clarification on MSS and </w:t>
            </w:r>
            <w:r>
              <w:rPr>
                <w:rFonts w:cs="Arial"/>
                <w:sz w:val="20"/>
                <w:szCs w:val="20"/>
              </w:rPr>
              <w:t xml:space="preserve">potential impacts to </w:t>
            </w:r>
            <w:r w:rsidR="00E953C3">
              <w:rPr>
                <w:rFonts w:cs="Arial"/>
                <w:sz w:val="20"/>
                <w:szCs w:val="20"/>
              </w:rPr>
              <w:t>Burranan dolphins.</w:t>
            </w:r>
          </w:p>
        </w:tc>
        <w:tc>
          <w:tcPr>
            <w:tcW w:w="3802" w:type="dxa"/>
            <w:shd w:val="clear" w:color="auto" w:fill="auto"/>
          </w:tcPr>
          <w:p w14:paraId="0F45AF03" w14:textId="3508C022" w:rsidR="00E953C3" w:rsidRDefault="00E953C3" w:rsidP="00073385">
            <w:pPr>
              <w:spacing w:before="60" w:after="60" w:line="240" w:lineRule="auto"/>
              <w:ind w:left="0"/>
              <w:rPr>
                <w:rFonts w:cs="Arial"/>
                <w:sz w:val="20"/>
                <w:szCs w:val="20"/>
              </w:rPr>
            </w:pPr>
            <w:r>
              <w:rPr>
                <w:rFonts w:cs="Arial"/>
                <w:sz w:val="20"/>
                <w:szCs w:val="20"/>
              </w:rPr>
              <w:t xml:space="preserve">CarbonNet provided a detailed email to EPA on 4/10/17 with information and extracts from the EP on </w:t>
            </w:r>
            <w:r>
              <w:rPr>
                <w:rFonts w:ascii="Helv" w:eastAsiaTheme="minorHAnsi" w:hAnsi="Helv" w:cs="Helv"/>
                <w:color w:val="000000"/>
                <w:sz w:val="20"/>
                <w:szCs w:val="20"/>
                <w:lang w:eastAsia="en-US"/>
              </w:rPr>
              <w:t>the predicted negligible impacts of the MSS on the Burrunan dolphin population.</w:t>
            </w:r>
            <w:r>
              <w:rPr>
                <w:rFonts w:cs="Arial"/>
                <w:sz w:val="20"/>
                <w:szCs w:val="20"/>
              </w:rPr>
              <w:t xml:space="preserve"> </w:t>
            </w:r>
          </w:p>
        </w:tc>
      </w:tr>
      <w:tr w:rsidR="00E953C3" w:rsidRPr="00FF0808" w14:paraId="7F3CA85D" w14:textId="77777777" w:rsidTr="00077C5F">
        <w:trPr>
          <w:trHeight w:val="197"/>
        </w:trPr>
        <w:tc>
          <w:tcPr>
            <w:tcW w:w="1427" w:type="dxa"/>
            <w:vMerge w:val="restart"/>
            <w:shd w:val="clear" w:color="auto" w:fill="auto"/>
          </w:tcPr>
          <w:p w14:paraId="07033205" w14:textId="77777777" w:rsidR="00E953C3" w:rsidRDefault="00E953C3" w:rsidP="00073385">
            <w:pPr>
              <w:spacing w:before="60" w:after="60" w:line="240" w:lineRule="auto"/>
              <w:ind w:left="0"/>
              <w:rPr>
                <w:rFonts w:cs="Arial"/>
                <w:sz w:val="20"/>
                <w:szCs w:val="20"/>
              </w:rPr>
            </w:pPr>
            <w:r w:rsidRPr="00A05231">
              <w:rPr>
                <w:rFonts w:cs="Arial"/>
                <w:sz w:val="20"/>
                <w:szCs w:val="20"/>
              </w:rPr>
              <w:t>Parks Victoria</w:t>
            </w:r>
          </w:p>
        </w:tc>
        <w:tc>
          <w:tcPr>
            <w:tcW w:w="1629" w:type="dxa"/>
            <w:vMerge w:val="restart"/>
            <w:shd w:val="clear" w:color="auto" w:fill="auto"/>
          </w:tcPr>
          <w:p w14:paraId="20A2919B" w14:textId="77777777" w:rsidR="00E953C3" w:rsidRDefault="00E953C3" w:rsidP="00073385">
            <w:pPr>
              <w:spacing w:before="60" w:after="60" w:line="240" w:lineRule="auto"/>
              <w:ind w:left="0"/>
              <w:rPr>
                <w:rFonts w:cs="Arial"/>
                <w:sz w:val="20"/>
                <w:szCs w:val="20"/>
              </w:rPr>
            </w:pPr>
            <w:r>
              <w:rPr>
                <w:rFonts w:cs="Arial"/>
                <w:sz w:val="20"/>
                <w:szCs w:val="20"/>
              </w:rPr>
              <w:t xml:space="preserve">Manager of Gippsland Lakes Coastal Park (including Golden Beach </w:t>
            </w:r>
            <w:r>
              <w:rPr>
                <w:rFonts w:cs="Arial"/>
                <w:sz w:val="20"/>
                <w:szCs w:val="20"/>
              </w:rPr>
              <w:lastRenderedPageBreak/>
              <w:t>foreshore)</w:t>
            </w:r>
          </w:p>
        </w:tc>
        <w:tc>
          <w:tcPr>
            <w:tcW w:w="1055" w:type="dxa"/>
          </w:tcPr>
          <w:p w14:paraId="17B8AC18" w14:textId="77777777" w:rsidR="00E953C3" w:rsidRDefault="00E953C3" w:rsidP="00073385">
            <w:pPr>
              <w:spacing w:before="60" w:after="60" w:line="240" w:lineRule="auto"/>
              <w:ind w:left="0"/>
              <w:rPr>
                <w:rFonts w:cs="Arial"/>
                <w:sz w:val="20"/>
                <w:szCs w:val="20"/>
              </w:rPr>
            </w:pPr>
            <w:r>
              <w:rPr>
                <w:rFonts w:cs="Arial"/>
                <w:sz w:val="20"/>
                <w:szCs w:val="20"/>
              </w:rPr>
              <w:lastRenderedPageBreak/>
              <w:t>21/3/17</w:t>
            </w:r>
          </w:p>
        </w:tc>
        <w:tc>
          <w:tcPr>
            <w:tcW w:w="6335" w:type="dxa"/>
            <w:shd w:val="clear" w:color="auto" w:fill="auto"/>
          </w:tcPr>
          <w:p w14:paraId="22AEE4D2" w14:textId="77777777" w:rsidR="00E953C3" w:rsidRDefault="00E953C3" w:rsidP="00073385">
            <w:pPr>
              <w:spacing w:before="60" w:after="60" w:line="240" w:lineRule="auto"/>
              <w:ind w:left="0"/>
              <w:rPr>
                <w:rFonts w:cs="Arial"/>
                <w:sz w:val="20"/>
                <w:szCs w:val="20"/>
              </w:rPr>
            </w:pPr>
            <w:r>
              <w:rPr>
                <w:rFonts w:cs="Arial"/>
                <w:sz w:val="20"/>
                <w:szCs w:val="20"/>
              </w:rPr>
              <w:t>CarbonNet sent Parks Victoria a letter with fact sheet and contact details.</w:t>
            </w:r>
          </w:p>
        </w:tc>
        <w:tc>
          <w:tcPr>
            <w:tcW w:w="3802" w:type="dxa"/>
            <w:shd w:val="clear" w:color="auto" w:fill="auto"/>
          </w:tcPr>
          <w:p w14:paraId="2A8D066F" w14:textId="0BADC499"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38E1C2A4" w14:textId="77777777" w:rsidTr="00077C5F">
        <w:tc>
          <w:tcPr>
            <w:tcW w:w="1427" w:type="dxa"/>
            <w:vMerge/>
            <w:tcBorders>
              <w:bottom w:val="nil"/>
            </w:tcBorders>
            <w:shd w:val="clear" w:color="auto" w:fill="auto"/>
          </w:tcPr>
          <w:p w14:paraId="5513E208" w14:textId="77777777" w:rsidR="00E953C3" w:rsidRPr="00040F68" w:rsidRDefault="00E953C3" w:rsidP="00073385">
            <w:pPr>
              <w:spacing w:before="60" w:after="60" w:line="240" w:lineRule="auto"/>
              <w:ind w:left="0"/>
              <w:rPr>
                <w:rFonts w:cs="Arial"/>
                <w:sz w:val="20"/>
                <w:szCs w:val="20"/>
                <w:highlight w:val="green"/>
              </w:rPr>
            </w:pPr>
          </w:p>
        </w:tc>
        <w:tc>
          <w:tcPr>
            <w:tcW w:w="1629" w:type="dxa"/>
            <w:vMerge/>
            <w:shd w:val="clear" w:color="auto" w:fill="auto"/>
          </w:tcPr>
          <w:p w14:paraId="76D33C79" w14:textId="77777777" w:rsidR="00E953C3" w:rsidRDefault="00E953C3" w:rsidP="00073385">
            <w:pPr>
              <w:spacing w:before="60" w:after="60" w:line="240" w:lineRule="auto"/>
              <w:ind w:left="0"/>
              <w:rPr>
                <w:rFonts w:cs="Arial"/>
                <w:sz w:val="20"/>
                <w:szCs w:val="20"/>
              </w:rPr>
            </w:pPr>
          </w:p>
        </w:tc>
        <w:tc>
          <w:tcPr>
            <w:tcW w:w="1055" w:type="dxa"/>
          </w:tcPr>
          <w:p w14:paraId="20C3D98E" w14:textId="77777777" w:rsidR="00E953C3" w:rsidRDefault="00E953C3" w:rsidP="00073385">
            <w:pPr>
              <w:spacing w:before="60" w:after="60" w:line="240" w:lineRule="auto"/>
              <w:ind w:left="0"/>
              <w:rPr>
                <w:rFonts w:cs="Arial"/>
                <w:sz w:val="20"/>
                <w:szCs w:val="20"/>
              </w:rPr>
            </w:pPr>
            <w:r>
              <w:rPr>
                <w:rFonts w:cs="Arial"/>
                <w:sz w:val="20"/>
                <w:szCs w:val="20"/>
              </w:rPr>
              <w:t>6/4/17</w:t>
            </w:r>
          </w:p>
        </w:tc>
        <w:tc>
          <w:tcPr>
            <w:tcW w:w="6335" w:type="dxa"/>
            <w:shd w:val="clear" w:color="auto" w:fill="auto"/>
          </w:tcPr>
          <w:p w14:paraId="147DF022" w14:textId="77777777" w:rsidR="00E953C3" w:rsidRDefault="00E953C3" w:rsidP="00073385">
            <w:pPr>
              <w:spacing w:before="60" w:after="60" w:line="240" w:lineRule="auto"/>
              <w:ind w:left="0"/>
              <w:rPr>
                <w:rFonts w:cs="Arial"/>
                <w:sz w:val="20"/>
                <w:szCs w:val="20"/>
              </w:rPr>
            </w:pPr>
            <w:r>
              <w:rPr>
                <w:rFonts w:cs="Arial"/>
                <w:sz w:val="20"/>
                <w:szCs w:val="20"/>
              </w:rPr>
              <w:t>CarbonNet spoke to Parks Victoria who advised the letter had been forwarded internally for feedback and no response had been received.</w:t>
            </w:r>
          </w:p>
        </w:tc>
        <w:tc>
          <w:tcPr>
            <w:tcW w:w="3802" w:type="dxa"/>
            <w:shd w:val="clear" w:color="auto" w:fill="auto"/>
          </w:tcPr>
          <w:p w14:paraId="3E721022" w14:textId="245BCD1E"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21815591" w14:textId="77777777" w:rsidTr="00077C5F">
        <w:tc>
          <w:tcPr>
            <w:tcW w:w="1427" w:type="dxa"/>
            <w:tcBorders>
              <w:top w:val="nil"/>
              <w:bottom w:val="nil"/>
            </w:tcBorders>
            <w:shd w:val="clear" w:color="auto" w:fill="auto"/>
          </w:tcPr>
          <w:p w14:paraId="47F4E2B2" w14:textId="77777777" w:rsidR="00E953C3" w:rsidRPr="00040F68" w:rsidRDefault="00E953C3" w:rsidP="00073385">
            <w:pPr>
              <w:spacing w:before="60" w:after="60" w:line="240" w:lineRule="auto"/>
              <w:ind w:left="0"/>
              <w:rPr>
                <w:rFonts w:cs="Arial"/>
                <w:sz w:val="20"/>
                <w:szCs w:val="20"/>
                <w:highlight w:val="green"/>
              </w:rPr>
            </w:pPr>
          </w:p>
        </w:tc>
        <w:tc>
          <w:tcPr>
            <w:tcW w:w="1629" w:type="dxa"/>
            <w:vMerge/>
            <w:tcBorders>
              <w:bottom w:val="nil"/>
            </w:tcBorders>
            <w:shd w:val="clear" w:color="auto" w:fill="auto"/>
          </w:tcPr>
          <w:p w14:paraId="18A9ADB1" w14:textId="77777777" w:rsidR="00E953C3" w:rsidRDefault="00E953C3" w:rsidP="00073385">
            <w:pPr>
              <w:spacing w:before="60" w:after="60" w:line="240" w:lineRule="auto"/>
              <w:ind w:left="0"/>
              <w:rPr>
                <w:rFonts w:cs="Arial"/>
                <w:sz w:val="20"/>
                <w:szCs w:val="20"/>
              </w:rPr>
            </w:pPr>
          </w:p>
        </w:tc>
        <w:tc>
          <w:tcPr>
            <w:tcW w:w="1055" w:type="dxa"/>
          </w:tcPr>
          <w:p w14:paraId="40792FC6" w14:textId="77777777" w:rsidR="00E953C3" w:rsidRDefault="00E953C3" w:rsidP="00073385">
            <w:pPr>
              <w:spacing w:before="60" w:after="60" w:line="240" w:lineRule="auto"/>
              <w:ind w:left="0"/>
              <w:rPr>
                <w:rFonts w:cs="Arial"/>
                <w:sz w:val="20"/>
                <w:szCs w:val="20"/>
              </w:rPr>
            </w:pPr>
            <w:r>
              <w:rPr>
                <w:rFonts w:cs="Arial"/>
                <w:sz w:val="20"/>
                <w:szCs w:val="20"/>
              </w:rPr>
              <w:t>24/5/17</w:t>
            </w:r>
          </w:p>
        </w:tc>
        <w:tc>
          <w:tcPr>
            <w:tcW w:w="6335" w:type="dxa"/>
            <w:shd w:val="clear" w:color="auto" w:fill="auto"/>
          </w:tcPr>
          <w:p w14:paraId="042A9BEB" w14:textId="77777777" w:rsidR="00E953C3" w:rsidRDefault="00E953C3" w:rsidP="00073385">
            <w:pPr>
              <w:spacing w:before="60" w:after="60" w:line="240" w:lineRule="auto"/>
              <w:ind w:left="0"/>
              <w:rPr>
                <w:rFonts w:cs="Arial"/>
                <w:sz w:val="20"/>
                <w:szCs w:val="20"/>
              </w:rPr>
            </w:pPr>
            <w:r>
              <w:rPr>
                <w:rFonts w:cs="Arial"/>
                <w:sz w:val="20"/>
                <w:szCs w:val="20"/>
              </w:rPr>
              <w:t>Following contact provided by Maritime Safety Victoria, CarbonNet met with Parks Victoria in Sale, who manage the foreshore campground area in Golden Beach. CarbonNet discussed the project and MSS. Parks Victoria advised:</w:t>
            </w:r>
          </w:p>
          <w:p w14:paraId="71AC49CE" w14:textId="77777777" w:rsidR="00E953C3" w:rsidRDefault="00E953C3" w:rsidP="00073385">
            <w:pPr>
              <w:pStyle w:val="ListParagraph0"/>
              <w:numPr>
                <w:ilvl w:val="0"/>
                <w:numId w:val="510"/>
              </w:numPr>
              <w:spacing w:before="60" w:after="60" w:line="240" w:lineRule="auto"/>
              <w:rPr>
                <w:rFonts w:cs="Arial"/>
                <w:sz w:val="20"/>
                <w:szCs w:val="20"/>
              </w:rPr>
            </w:pPr>
            <w:r>
              <w:rPr>
                <w:rFonts w:cs="Arial"/>
                <w:sz w:val="20"/>
                <w:szCs w:val="20"/>
              </w:rPr>
              <w:t>CarbonNet can leverage existing Parks Victoria signage</w:t>
            </w:r>
          </w:p>
          <w:p w14:paraId="79984FF4" w14:textId="77777777" w:rsidR="00E953C3" w:rsidRDefault="00E953C3" w:rsidP="00073385">
            <w:pPr>
              <w:pStyle w:val="ListParagraph0"/>
              <w:numPr>
                <w:ilvl w:val="0"/>
                <w:numId w:val="510"/>
              </w:numPr>
              <w:spacing w:before="60" w:after="60" w:line="240" w:lineRule="auto"/>
              <w:rPr>
                <w:rFonts w:cs="Arial"/>
                <w:sz w:val="20"/>
                <w:szCs w:val="20"/>
              </w:rPr>
            </w:pPr>
            <w:r>
              <w:rPr>
                <w:rFonts w:cs="Arial"/>
                <w:sz w:val="20"/>
                <w:szCs w:val="20"/>
              </w:rPr>
              <w:t>Busy times in Golden Beach are between Christmas – New Year’s, and the Australia Day long weekend.</w:t>
            </w:r>
          </w:p>
          <w:p w14:paraId="63404809" w14:textId="77777777" w:rsidR="00E953C3" w:rsidRDefault="00E953C3" w:rsidP="00073385">
            <w:pPr>
              <w:pStyle w:val="ListParagraph0"/>
              <w:numPr>
                <w:ilvl w:val="0"/>
                <w:numId w:val="510"/>
              </w:numPr>
              <w:spacing w:before="60" w:after="60" w:line="240" w:lineRule="auto"/>
              <w:rPr>
                <w:rFonts w:cs="Arial"/>
                <w:sz w:val="20"/>
                <w:szCs w:val="20"/>
              </w:rPr>
            </w:pPr>
            <w:r>
              <w:rPr>
                <w:rFonts w:cs="Arial"/>
                <w:sz w:val="20"/>
                <w:szCs w:val="20"/>
              </w:rPr>
              <w:t>Many visitors come from Latrobe Valley</w:t>
            </w:r>
          </w:p>
          <w:p w14:paraId="34187FF9" w14:textId="77777777" w:rsidR="00E953C3" w:rsidRDefault="00E953C3" w:rsidP="00073385">
            <w:pPr>
              <w:pStyle w:val="ListParagraph0"/>
              <w:numPr>
                <w:ilvl w:val="0"/>
                <w:numId w:val="510"/>
              </w:numPr>
              <w:spacing w:before="60" w:after="60" w:line="240" w:lineRule="auto"/>
              <w:rPr>
                <w:rFonts w:cs="Arial"/>
                <w:sz w:val="20"/>
                <w:szCs w:val="20"/>
              </w:rPr>
            </w:pPr>
            <w:r>
              <w:rPr>
                <w:rFonts w:cs="Arial"/>
                <w:sz w:val="20"/>
                <w:szCs w:val="20"/>
              </w:rPr>
              <w:t>The campground at Golden Beach has no booking system, so best way to reach campers is via park rangers and notices in the town</w:t>
            </w:r>
          </w:p>
          <w:p w14:paraId="2AF25338" w14:textId="77777777" w:rsidR="00E953C3" w:rsidRDefault="00E953C3" w:rsidP="00073385">
            <w:pPr>
              <w:pStyle w:val="ListParagraph0"/>
              <w:numPr>
                <w:ilvl w:val="0"/>
                <w:numId w:val="510"/>
              </w:numPr>
              <w:spacing w:before="60" w:after="60" w:line="240" w:lineRule="auto"/>
              <w:rPr>
                <w:rFonts w:cs="Arial"/>
                <w:sz w:val="20"/>
                <w:szCs w:val="20"/>
              </w:rPr>
            </w:pPr>
            <w:r>
              <w:rPr>
                <w:rFonts w:cs="Arial"/>
                <w:sz w:val="20"/>
                <w:szCs w:val="20"/>
              </w:rPr>
              <w:t>Parks Victoria may be able to provide boat-based support</w:t>
            </w:r>
          </w:p>
          <w:p w14:paraId="2D6F4411" w14:textId="77777777" w:rsidR="00E953C3" w:rsidRPr="00394009" w:rsidRDefault="00E953C3" w:rsidP="00073385">
            <w:pPr>
              <w:pStyle w:val="ListParagraph0"/>
              <w:numPr>
                <w:ilvl w:val="0"/>
                <w:numId w:val="510"/>
              </w:numPr>
              <w:spacing w:before="60" w:after="60" w:line="240" w:lineRule="auto"/>
              <w:rPr>
                <w:rFonts w:cs="Arial"/>
                <w:sz w:val="20"/>
                <w:szCs w:val="20"/>
              </w:rPr>
            </w:pPr>
            <w:r>
              <w:rPr>
                <w:rFonts w:cs="Arial"/>
                <w:sz w:val="20"/>
                <w:szCs w:val="20"/>
              </w:rPr>
              <w:t>The foreshore area is jointly managed with GLaWAC, so advised to have joint meetings where possible.</w:t>
            </w:r>
          </w:p>
        </w:tc>
        <w:tc>
          <w:tcPr>
            <w:tcW w:w="3802" w:type="dxa"/>
            <w:shd w:val="clear" w:color="auto" w:fill="auto"/>
          </w:tcPr>
          <w:p w14:paraId="209306E9" w14:textId="77777777" w:rsidR="00E953C3" w:rsidRDefault="00E953C3" w:rsidP="00073385">
            <w:pPr>
              <w:spacing w:before="60" w:after="60" w:line="240" w:lineRule="auto"/>
              <w:ind w:left="0"/>
              <w:rPr>
                <w:rFonts w:cs="Arial"/>
                <w:sz w:val="20"/>
                <w:szCs w:val="20"/>
              </w:rPr>
            </w:pPr>
            <w:r>
              <w:rPr>
                <w:rFonts w:cs="Arial"/>
                <w:sz w:val="20"/>
                <w:szCs w:val="20"/>
              </w:rPr>
              <w:t xml:space="preserve">CarbonNet will continue talking to Parks Victoria and GLaWAC in the lead up to the MSS. </w:t>
            </w:r>
          </w:p>
          <w:p w14:paraId="437CDE1A" w14:textId="77777777" w:rsidR="00E953C3" w:rsidRDefault="00E953C3" w:rsidP="00073385">
            <w:pPr>
              <w:spacing w:before="60" w:after="60" w:line="240" w:lineRule="auto"/>
              <w:ind w:left="0"/>
              <w:rPr>
                <w:rFonts w:cs="Arial"/>
                <w:sz w:val="20"/>
                <w:szCs w:val="20"/>
              </w:rPr>
            </w:pPr>
          </w:p>
          <w:p w14:paraId="286173E6" w14:textId="77777777" w:rsidR="00E953C3" w:rsidRDefault="00E953C3" w:rsidP="00073385">
            <w:pPr>
              <w:spacing w:before="60" w:after="60" w:line="240" w:lineRule="auto"/>
              <w:ind w:left="0"/>
              <w:rPr>
                <w:rFonts w:cs="Arial"/>
                <w:sz w:val="20"/>
                <w:szCs w:val="20"/>
              </w:rPr>
            </w:pPr>
            <w:r>
              <w:rPr>
                <w:rFonts w:cs="Arial"/>
                <w:sz w:val="20"/>
                <w:szCs w:val="20"/>
              </w:rPr>
              <w:t>CarbonNet committed to avoid the period between Christmas – Australia Day long weekend to avoid peak tourist time.</w:t>
            </w:r>
          </w:p>
          <w:p w14:paraId="3DA7F9F9" w14:textId="77777777" w:rsidR="00E953C3" w:rsidRDefault="00E953C3" w:rsidP="00073385">
            <w:pPr>
              <w:spacing w:before="60" w:after="60" w:line="240" w:lineRule="auto"/>
              <w:ind w:left="0"/>
              <w:rPr>
                <w:rFonts w:cs="Arial"/>
                <w:sz w:val="20"/>
                <w:szCs w:val="20"/>
              </w:rPr>
            </w:pPr>
          </w:p>
          <w:p w14:paraId="702DA0DE" w14:textId="77777777" w:rsidR="00E953C3" w:rsidRDefault="00E953C3" w:rsidP="00073385">
            <w:pPr>
              <w:spacing w:before="60" w:after="60" w:line="240" w:lineRule="auto"/>
              <w:ind w:left="0"/>
              <w:rPr>
                <w:rFonts w:cs="Arial"/>
                <w:sz w:val="20"/>
                <w:szCs w:val="20"/>
              </w:rPr>
            </w:pPr>
            <w:r>
              <w:rPr>
                <w:rFonts w:cs="Arial"/>
                <w:sz w:val="20"/>
                <w:szCs w:val="20"/>
              </w:rPr>
              <w:t>CarbonNet will consider avenues to advertise the MSS in the Latrobe Valley to target holiday-makers. CarbonNet will also consider using Parks Victoria boat support.</w:t>
            </w:r>
          </w:p>
        </w:tc>
      </w:tr>
      <w:tr w:rsidR="00E953C3" w:rsidRPr="00FF0808" w14:paraId="648624EE" w14:textId="77777777" w:rsidTr="00077C5F">
        <w:tc>
          <w:tcPr>
            <w:tcW w:w="1427" w:type="dxa"/>
            <w:tcBorders>
              <w:top w:val="nil"/>
              <w:bottom w:val="nil"/>
            </w:tcBorders>
            <w:shd w:val="clear" w:color="auto" w:fill="auto"/>
          </w:tcPr>
          <w:p w14:paraId="79BC6B52" w14:textId="77777777" w:rsidR="00E953C3" w:rsidRPr="00040F68" w:rsidRDefault="00E953C3" w:rsidP="00073385">
            <w:pPr>
              <w:spacing w:before="60" w:after="60" w:line="240" w:lineRule="auto"/>
              <w:ind w:left="0"/>
              <w:rPr>
                <w:rFonts w:cs="Arial"/>
                <w:sz w:val="20"/>
                <w:szCs w:val="20"/>
                <w:highlight w:val="green"/>
              </w:rPr>
            </w:pPr>
          </w:p>
        </w:tc>
        <w:tc>
          <w:tcPr>
            <w:tcW w:w="1629" w:type="dxa"/>
            <w:tcBorders>
              <w:top w:val="nil"/>
              <w:bottom w:val="nil"/>
            </w:tcBorders>
            <w:shd w:val="clear" w:color="auto" w:fill="auto"/>
          </w:tcPr>
          <w:p w14:paraId="4C6E2C36" w14:textId="77777777" w:rsidR="00E953C3" w:rsidRDefault="00E953C3" w:rsidP="00073385">
            <w:pPr>
              <w:spacing w:before="60" w:after="60" w:line="240" w:lineRule="auto"/>
              <w:ind w:left="0"/>
              <w:rPr>
                <w:rFonts w:cs="Arial"/>
                <w:sz w:val="20"/>
                <w:szCs w:val="20"/>
              </w:rPr>
            </w:pPr>
          </w:p>
        </w:tc>
        <w:tc>
          <w:tcPr>
            <w:tcW w:w="1055" w:type="dxa"/>
          </w:tcPr>
          <w:p w14:paraId="39A30463" w14:textId="77777777" w:rsidR="00E953C3" w:rsidRDefault="00E953C3" w:rsidP="00073385">
            <w:pPr>
              <w:spacing w:before="60" w:after="60" w:line="240" w:lineRule="auto"/>
              <w:ind w:left="0"/>
              <w:rPr>
                <w:rFonts w:cs="Arial"/>
                <w:sz w:val="20"/>
                <w:szCs w:val="20"/>
              </w:rPr>
            </w:pPr>
            <w:r>
              <w:rPr>
                <w:rFonts w:cs="Arial"/>
                <w:sz w:val="20"/>
                <w:szCs w:val="20"/>
              </w:rPr>
              <w:t>7/8/17</w:t>
            </w:r>
          </w:p>
        </w:tc>
        <w:tc>
          <w:tcPr>
            <w:tcW w:w="6335" w:type="dxa"/>
            <w:shd w:val="clear" w:color="auto" w:fill="auto"/>
          </w:tcPr>
          <w:p w14:paraId="3DEC0B9A" w14:textId="77777777" w:rsidR="00E953C3" w:rsidRDefault="00E953C3" w:rsidP="00073385">
            <w:pPr>
              <w:spacing w:before="60" w:after="60" w:line="240" w:lineRule="auto"/>
              <w:ind w:left="0"/>
              <w:rPr>
                <w:rFonts w:cs="Arial"/>
                <w:sz w:val="20"/>
                <w:szCs w:val="20"/>
              </w:rPr>
            </w:pPr>
            <w:r>
              <w:rPr>
                <w:rFonts w:cs="Arial"/>
                <w:sz w:val="20"/>
                <w:szCs w:val="20"/>
              </w:rPr>
              <w:t xml:space="preserve">CarbonNet emailed Parks Victoria </w:t>
            </w:r>
            <w:r w:rsidRPr="00020534">
              <w:rPr>
                <w:rFonts w:cs="Arial"/>
                <w:sz w:val="20"/>
                <w:szCs w:val="20"/>
              </w:rPr>
              <w:t>advising that area and duration of survey have now been refined, and advising we will submit EP in mid-August.</w:t>
            </w:r>
          </w:p>
        </w:tc>
        <w:tc>
          <w:tcPr>
            <w:tcW w:w="3802" w:type="dxa"/>
            <w:shd w:val="clear" w:color="auto" w:fill="auto"/>
          </w:tcPr>
          <w:p w14:paraId="2385F148" w14:textId="70D8BFD4"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50FDC133" w14:textId="77777777" w:rsidTr="00077C5F">
        <w:tc>
          <w:tcPr>
            <w:tcW w:w="1427" w:type="dxa"/>
            <w:tcBorders>
              <w:top w:val="nil"/>
            </w:tcBorders>
            <w:shd w:val="clear" w:color="auto" w:fill="auto"/>
          </w:tcPr>
          <w:p w14:paraId="0943AD22" w14:textId="77777777" w:rsidR="00E953C3" w:rsidRPr="00040F68" w:rsidRDefault="00E953C3" w:rsidP="00073385">
            <w:pPr>
              <w:spacing w:before="60" w:after="60" w:line="240" w:lineRule="auto"/>
              <w:ind w:left="0"/>
              <w:rPr>
                <w:rFonts w:cs="Arial"/>
                <w:sz w:val="20"/>
                <w:szCs w:val="20"/>
                <w:highlight w:val="green"/>
              </w:rPr>
            </w:pPr>
          </w:p>
        </w:tc>
        <w:tc>
          <w:tcPr>
            <w:tcW w:w="1629" w:type="dxa"/>
            <w:tcBorders>
              <w:top w:val="nil"/>
            </w:tcBorders>
            <w:shd w:val="clear" w:color="auto" w:fill="auto"/>
          </w:tcPr>
          <w:p w14:paraId="0455AFB2" w14:textId="77777777" w:rsidR="00E953C3" w:rsidRDefault="00E953C3" w:rsidP="00073385">
            <w:pPr>
              <w:spacing w:before="60" w:after="60" w:line="240" w:lineRule="auto"/>
              <w:ind w:left="0"/>
              <w:rPr>
                <w:rFonts w:cs="Arial"/>
                <w:sz w:val="20"/>
                <w:szCs w:val="20"/>
              </w:rPr>
            </w:pPr>
          </w:p>
        </w:tc>
        <w:tc>
          <w:tcPr>
            <w:tcW w:w="1055" w:type="dxa"/>
          </w:tcPr>
          <w:p w14:paraId="6641F7EF" w14:textId="77777777" w:rsidR="00E953C3" w:rsidRDefault="00E953C3" w:rsidP="00073385">
            <w:pPr>
              <w:spacing w:before="60" w:after="60" w:line="240" w:lineRule="auto"/>
              <w:ind w:left="0"/>
              <w:rPr>
                <w:rFonts w:cs="Arial"/>
                <w:sz w:val="20"/>
                <w:szCs w:val="20"/>
              </w:rPr>
            </w:pPr>
            <w:r>
              <w:rPr>
                <w:rFonts w:cs="Arial"/>
                <w:sz w:val="20"/>
                <w:szCs w:val="20"/>
              </w:rPr>
              <w:t>9/8/17</w:t>
            </w:r>
          </w:p>
        </w:tc>
        <w:tc>
          <w:tcPr>
            <w:tcW w:w="6335" w:type="dxa"/>
            <w:shd w:val="clear" w:color="auto" w:fill="auto"/>
          </w:tcPr>
          <w:p w14:paraId="0BD1757A" w14:textId="77777777" w:rsidR="00E953C3" w:rsidRDefault="00E953C3" w:rsidP="00073385">
            <w:pPr>
              <w:spacing w:before="60" w:after="60" w:line="240" w:lineRule="auto"/>
              <w:ind w:left="0"/>
              <w:rPr>
                <w:rFonts w:cs="Arial"/>
                <w:sz w:val="20"/>
                <w:szCs w:val="20"/>
              </w:rPr>
            </w:pPr>
            <w:r>
              <w:rPr>
                <w:rFonts w:cs="Arial"/>
                <w:sz w:val="20"/>
                <w:szCs w:val="20"/>
              </w:rPr>
              <w:t>CarbonNet met with Parks Victoria in Sale to discuss planning for the MSS and EP submission.</w:t>
            </w:r>
          </w:p>
          <w:p w14:paraId="7D948123" w14:textId="77777777" w:rsidR="00E953C3" w:rsidRPr="00020534" w:rsidRDefault="00E953C3" w:rsidP="00073385">
            <w:pPr>
              <w:spacing w:before="60" w:after="60" w:line="240" w:lineRule="auto"/>
              <w:ind w:left="0"/>
              <w:rPr>
                <w:rFonts w:cs="Arial"/>
                <w:sz w:val="20"/>
                <w:szCs w:val="20"/>
              </w:rPr>
            </w:pPr>
            <w:r>
              <w:rPr>
                <w:rFonts w:cs="Arial"/>
                <w:sz w:val="20"/>
                <w:szCs w:val="20"/>
              </w:rPr>
              <w:t xml:space="preserve">CarbonNet discussed impacts on swimmers and divers, and </w:t>
            </w:r>
            <w:r w:rsidRPr="00020534">
              <w:rPr>
                <w:rFonts w:cs="Arial"/>
                <w:sz w:val="20"/>
                <w:szCs w:val="20"/>
              </w:rPr>
              <w:t>CarbonNet's plans to use beach patrols to advise people not to swim at certai</w:t>
            </w:r>
            <w:r>
              <w:rPr>
                <w:rFonts w:cs="Arial"/>
                <w:sz w:val="20"/>
                <w:szCs w:val="20"/>
              </w:rPr>
              <w:t>n times when the vessel is near to shore. Parks Victoria was comfortable with this approach.</w:t>
            </w:r>
          </w:p>
          <w:p w14:paraId="452B2848" w14:textId="77777777" w:rsidR="00E953C3" w:rsidRDefault="00E953C3" w:rsidP="00073385">
            <w:pPr>
              <w:spacing w:before="60" w:after="60" w:line="240" w:lineRule="auto"/>
              <w:ind w:left="0"/>
              <w:rPr>
                <w:rFonts w:cs="Arial"/>
                <w:sz w:val="20"/>
                <w:szCs w:val="20"/>
              </w:rPr>
            </w:pPr>
            <w:r>
              <w:rPr>
                <w:rFonts w:cs="Arial"/>
                <w:sz w:val="20"/>
                <w:szCs w:val="20"/>
              </w:rPr>
              <w:t>CarbonNet d</w:t>
            </w:r>
            <w:r w:rsidRPr="00020534">
              <w:rPr>
                <w:rFonts w:cs="Arial"/>
                <w:sz w:val="20"/>
                <w:szCs w:val="20"/>
              </w:rPr>
              <w:t>iscussed timing</w:t>
            </w:r>
            <w:r>
              <w:rPr>
                <w:rFonts w:cs="Arial"/>
                <w:sz w:val="20"/>
                <w:szCs w:val="20"/>
              </w:rPr>
              <w:t xml:space="preserve"> and commitments to </w:t>
            </w:r>
            <w:r w:rsidRPr="00020534">
              <w:rPr>
                <w:rFonts w:cs="Arial"/>
                <w:sz w:val="20"/>
                <w:szCs w:val="20"/>
              </w:rPr>
              <w:t xml:space="preserve">avoid </w:t>
            </w:r>
            <w:r>
              <w:rPr>
                <w:rFonts w:cs="Arial"/>
                <w:sz w:val="20"/>
                <w:szCs w:val="20"/>
              </w:rPr>
              <w:t xml:space="preserve">Christmas – Australia Day and the Easter long weekend. </w:t>
            </w:r>
          </w:p>
          <w:p w14:paraId="23B522B5" w14:textId="77777777" w:rsidR="00E953C3" w:rsidRPr="00020534" w:rsidRDefault="00E953C3" w:rsidP="00073385">
            <w:pPr>
              <w:spacing w:before="60" w:after="60" w:line="240" w:lineRule="auto"/>
              <w:ind w:left="0"/>
              <w:rPr>
                <w:rFonts w:cs="Arial"/>
                <w:sz w:val="20"/>
                <w:szCs w:val="20"/>
              </w:rPr>
            </w:pPr>
            <w:r>
              <w:rPr>
                <w:rFonts w:cs="Arial"/>
                <w:sz w:val="20"/>
                <w:szCs w:val="20"/>
              </w:rPr>
              <w:t xml:space="preserve">Parks Victoria asked if CarbonNet could </w:t>
            </w:r>
            <w:r w:rsidRPr="00020534">
              <w:rPr>
                <w:rFonts w:cs="Arial"/>
                <w:sz w:val="20"/>
                <w:szCs w:val="20"/>
              </w:rPr>
              <w:t>avoid the Labour Day long weekend (10-12</w:t>
            </w:r>
            <w:r>
              <w:rPr>
                <w:rFonts w:cs="Arial"/>
                <w:sz w:val="20"/>
                <w:szCs w:val="20"/>
              </w:rPr>
              <w:t xml:space="preserve"> March) as the beach could be busy. CarbonNet advised the MSS acquisition window is narrow so avoiding this time could be difficult.</w:t>
            </w:r>
          </w:p>
          <w:p w14:paraId="04E4FAA5" w14:textId="40CAE229" w:rsidR="00E953C3" w:rsidRDefault="00E953C3" w:rsidP="00073385">
            <w:pPr>
              <w:spacing w:before="60" w:after="60" w:line="240" w:lineRule="auto"/>
              <w:ind w:left="0"/>
              <w:rPr>
                <w:rFonts w:cs="Arial"/>
                <w:sz w:val="20"/>
                <w:szCs w:val="20"/>
              </w:rPr>
            </w:pPr>
            <w:r>
              <w:rPr>
                <w:rFonts w:cs="Arial"/>
                <w:sz w:val="20"/>
                <w:szCs w:val="20"/>
              </w:rPr>
              <w:t xml:space="preserve">Parks Victoria advised that it could provide signage at Golden Beach  advising the public that the beach is not suitable for swimming and direct people to the patrolled beach at Seaspray.  </w:t>
            </w:r>
            <w:r w:rsidRPr="00020534">
              <w:rPr>
                <w:rFonts w:cs="Arial"/>
                <w:sz w:val="20"/>
                <w:szCs w:val="20"/>
              </w:rPr>
              <w:t>Parks Vic</w:t>
            </w:r>
            <w:r>
              <w:rPr>
                <w:rFonts w:cs="Arial"/>
                <w:sz w:val="20"/>
                <w:szCs w:val="20"/>
              </w:rPr>
              <w:t>toria c</w:t>
            </w:r>
            <w:r w:rsidRPr="00020534">
              <w:rPr>
                <w:rFonts w:cs="Arial"/>
                <w:sz w:val="20"/>
                <w:szCs w:val="20"/>
              </w:rPr>
              <w:t xml:space="preserve">ould </w:t>
            </w:r>
            <w:r>
              <w:rPr>
                <w:rFonts w:cs="Arial"/>
                <w:sz w:val="20"/>
                <w:szCs w:val="20"/>
              </w:rPr>
              <w:t>update</w:t>
            </w:r>
            <w:r w:rsidRPr="00020534">
              <w:rPr>
                <w:rFonts w:cs="Arial"/>
                <w:sz w:val="20"/>
                <w:szCs w:val="20"/>
              </w:rPr>
              <w:t xml:space="preserve"> the noticeboard at Golden Beach </w:t>
            </w:r>
            <w:r>
              <w:rPr>
                <w:rFonts w:cs="Arial"/>
                <w:sz w:val="20"/>
                <w:szCs w:val="20"/>
              </w:rPr>
              <w:t xml:space="preserve">to make notices more effective and likely to be seen. GLaWAC could project manage this. </w:t>
            </w:r>
            <w:r>
              <w:rPr>
                <w:rFonts w:cs="Arial"/>
                <w:sz w:val="20"/>
                <w:szCs w:val="20"/>
              </w:rPr>
              <w:lastRenderedPageBreak/>
              <w:t>Parks Victoria is also happy to put up signs on CarbonNet’s behalf.</w:t>
            </w:r>
          </w:p>
          <w:p w14:paraId="04B510A7" w14:textId="77777777" w:rsidR="00E953C3" w:rsidRDefault="00E953C3" w:rsidP="00380D7C">
            <w:pPr>
              <w:spacing w:before="60" w:after="60" w:line="240" w:lineRule="auto"/>
              <w:ind w:left="0"/>
              <w:rPr>
                <w:rFonts w:cs="Arial"/>
                <w:sz w:val="20"/>
                <w:szCs w:val="20"/>
              </w:rPr>
            </w:pPr>
          </w:p>
        </w:tc>
        <w:tc>
          <w:tcPr>
            <w:tcW w:w="3802" w:type="dxa"/>
            <w:shd w:val="clear" w:color="auto" w:fill="auto"/>
          </w:tcPr>
          <w:p w14:paraId="314C7684" w14:textId="77777777" w:rsidR="00E953C3" w:rsidRDefault="00E953C3" w:rsidP="00073385">
            <w:pPr>
              <w:spacing w:before="60" w:after="60" w:line="240" w:lineRule="auto"/>
              <w:ind w:left="0"/>
              <w:rPr>
                <w:rFonts w:cs="Arial"/>
                <w:sz w:val="20"/>
                <w:szCs w:val="20"/>
              </w:rPr>
            </w:pPr>
            <w:r>
              <w:rPr>
                <w:rFonts w:cs="Arial"/>
                <w:sz w:val="20"/>
                <w:szCs w:val="20"/>
              </w:rPr>
              <w:lastRenderedPageBreak/>
              <w:t>CarbonNet will schedule an operational planning meeting with Parks Victoria, GLaWAC and any other relevant stakeholders after a vessel has been selected later in 2017.</w:t>
            </w:r>
          </w:p>
          <w:p w14:paraId="5D6B60FF" w14:textId="77777777" w:rsidR="00E953C3" w:rsidRDefault="00E953C3" w:rsidP="00073385">
            <w:pPr>
              <w:spacing w:before="60" w:after="60" w:line="240" w:lineRule="auto"/>
              <w:ind w:left="0"/>
              <w:rPr>
                <w:rFonts w:cs="Arial"/>
                <w:sz w:val="20"/>
                <w:szCs w:val="20"/>
              </w:rPr>
            </w:pPr>
          </w:p>
          <w:p w14:paraId="7B74F591" w14:textId="77777777" w:rsidR="00E953C3" w:rsidRDefault="00E953C3" w:rsidP="00073385">
            <w:pPr>
              <w:spacing w:before="60" w:after="60" w:line="240" w:lineRule="auto"/>
              <w:ind w:left="0"/>
              <w:rPr>
                <w:rFonts w:cs="Arial"/>
                <w:sz w:val="20"/>
                <w:szCs w:val="20"/>
              </w:rPr>
            </w:pPr>
            <w:r>
              <w:rPr>
                <w:rFonts w:cs="Arial"/>
                <w:sz w:val="20"/>
                <w:szCs w:val="20"/>
              </w:rPr>
              <w:t>CarbonNet will look at options to minimise impacts on the beach if the survey has to run over the Labour Day long weekend.</w:t>
            </w:r>
          </w:p>
        </w:tc>
      </w:tr>
      <w:tr w:rsidR="00E953C3" w:rsidRPr="00FF0808" w14:paraId="1693FB68" w14:textId="77777777" w:rsidTr="00077C5F">
        <w:tc>
          <w:tcPr>
            <w:tcW w:w="1427" w:type="dxa"/>
            <w:vMerge w:val="restart"/>
            <w:shd w:val="clear" w:color="auto" w:fill="auto"/>
          </w:tcPr>
          <w:p w14:paraId="31E98F3B" w14:textId="77777777" w:rsidR="00E953C3" w:rsidRPr="00040F68" w:rsidRDefault="00E953C3" w:rsidP="00073385">
            <w:pPr>
              <w:spacing w:before="60" w:after="60" w:line="240" w:lineRule="auto"/>
              <w:ind w:left="0"/>
              <w:rPr>
                <w:rFonts w:cs="Arial"/>
                <w:sz w:val="20"/>
                <w:szCs w:val="20"/>
                <w:highlight w:val="green"/>
              </w:rPr>
            </w:pPr>
            <w:r w:rsidRPr="00626D56">
              <w:rPr>
                <w:rFonts w:cs="Arial"/>
                <w:sz w:val="20"/>
                <w:szCs w:val="20"/>
              </w:rPr>
              <w:t>Department of Environment, Land, Water and Planning (DELWP) - Oiled Wildlife Response team</w:t>
            </w:r>
          </w:p>
        </w:tc>
        <w:tc>
          <w:tcPr>
            <w:tcW w:w="1629" w:type="dxa"/>
            <w:vMerge w:val="restart"/>
            <w:shd w:val="clear" w:color="auto" w:fill="auto"/>
          </w:tcPr>
          <w:p w14:paraId="68288BC5" w14:textId="0487D747" w:rsidR="00E953C3" w:rsidRPr="002630D3" w:rsidRDefault="00E953C3" w:rsidP="00077C5F">
            <w:pPr>
              <w:spacing w:before="60" w:after="60" w:line="240" w:lineRule="auto"/>
              <w:ind w:left="0"/>
              <w:rPr>
                <w:rFonts w:cs="Arial"/>
                <w:sz w:val="20"/>
                <w:szCs w:val="20"/>
              </w:rPr>
            </w:pPr>
            <w:r w:rsidRPr="002630D3">
              <w:rPr>
                <w:rFonts w:cs="Arial"/>
                <w:sz w:val="20"/>
                <w:szCs w:val="20"/>
              </w:rPr>
              <w:t>DELWP brings together Victoria’s planning, local government, environment, energy, suburban development, forests, emergency management, climate change and water functions.</w:t>
            </w:r>
          </w:p>
          <w:p w14:paraId="7686ED63" w14:textId="4B5803D7" w:rsidR="00E953C3" w:rsidRDefault="00E953C3">
            <w:pPr>
              <w:spacing w:before="60" w:after="60" w:line="240" w:lineRule="auto"/>
              <w:ind w:left="0"/>
              <w:rPr>
                <w:rFonts w:cs="Arial"/>
                <w:sz w:val="20"/>
                <w:szCs w:val="20"/>
              </w:rPr>
            </w:pPr>
            <w:r w:rsidRPr="002630D3">
              <w:rPr>
                <w:rFonts w:cs="Arial"/>
                <w:sz w:val="20"/>
                <w:szCs w:val="20"/>
              </w:rPr>
              <w:t xml:space="preserve">Through ParksVictoria, they jointly manage the foreshore adjacent to the proposed MSS with the </w:t>
            </w:r>
            <w:r w:rsidR="00D0136E">
              <w:rPr>
                <w:rFonts w:cs="Arial"/>
                <w:sz w:val="20"/>
                <w:szCs w:val="20"/>
              </w:rPr>
              <w:t>GLaWAC</w:t>
            </w:r>
            <w:r w:rsidRPr="002630D3">
              <w:rPr>
                <w:rFonts w:cs="Arial"/>
                <w:sz w:val="20"/>
                <w:szCs w:val="20"/>
              </w:rPr>
              <w:t>, and are responsible for oiled wildlife response in the event of a hydrocarbon spill in state waters.</w:t>
            </w:r>
          </w:p>
        </w:tc>
        <w:tc>
          <w:tcPr>
            <w:tcW w:w="1055" w:type="dxa"/>
          </w:tcPr>
          <w:p w14:paraId="314DF397" w14:textId="77777777" w:rsidR="00E953C3" w:rsidRDefault="00E953C3"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1686AEAA" w14:textId="77777777" w:rsidR="00E953C3" w:rsidRDefault="00E953C3" w:rsidP="00073385">
            <w:pPr>
              <w:spacing w:before="60" w:after="60" w:line="240" w:lineRule="auto"/>
              <w:ind w:left="0"/>
              <w:rPr>
                <w:rFonts w:cs="Arial"/>
                <w:sz w:val="20"/>
                <w:szCs w:val="20"/>
              </w:rPr>
            </w:pPr>
            <w:r>
              <w:rPr>
                <w:rFonts w:cs="Arial"/>
                <w:sz w:val="20"/>
                <w:szCs w:val="20"/>
              </w:rPr>
              <w:t>CarbonNet emailed DELWP’s Oiled Wildlife Response team with a fact sheet and contact details.</w:t>
            </w:r>
          </w:p>
        </w:tc>
        <w:tc>
          <w:tcPr>
            <w:tcW w:w="3802" w:type="dxa"/>
            <w:shd w:val="clear" w:color="auto" w:fill="auto"/>
          </w:tcPr>
          <w:p w14:paraId="47E77C2F" w14:textId="77777777"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04EEC4BA" w14:textId="77777777" w:rsidTr="00077C5F">
        <w:tc>
          <w:tcPr>
            <w:tcW w:w="1427" w:type="dxa"/>
            <w:vMerge/>
            <w:shd w:val="clear" w:color="auto" w:fill="auto"/>
          </w:tcPr>
          <w:p w14:paraId="46208093" w14:textId="77777777" w:rsidR="00E953C3" w:rsidRPr="00626D56" w:rsidRDefault="00E953C3" w:rsidP="00073385">
            <w:pPr>
              <w:spacing w:before="60" w:after="60" w:line="240" w:lineRule="auto"/>
              <w:ind w:left="0"/>
              <w:rPr>
                <w:rFonts w:cs="Arial"/>
                <w:sz w:val="20"/>
                <w:szCs w:val="20"/>
              </w:rPr>
            </w:pPr>
          </w:p>
        </w:tc>
        <w:tc>
          <w:tcPr>
            <w:tcW w:w="1629" w:type="dxa"/>
            <w:vMerge/>
            <w:shd w:val="clear" w:color="auto" w:fill="auto"/>
          </w:tcPr>
          <w:p w14:paraId="67F15F4B" w14:textId="77777777" w:rsidR="00E953C3" w:rsidRDefault="00E953C3" w:rsidP="00073385">
            <w:pPr>
              <w:spacing w:before="60" w:after="60" w:line="240" w:lineRule="auto"/>
              <w:ind w:left="0"/>
              <w:rPr>
                <w:rFonts w:cs="Arial"/>
                <w:sz w:val="20"/>
                <w:szCs w:val="20"/>
              </w:rPr>
            </w:pPr>
          </w:p>
        </w:tc>
        <w:tc>
          <w:tcPr>
            <w:tcW w:w="1055" w:type="dxa"/>
          </w:tcPr>
          <w:p w14:paraId="31E19C8F" w14:textId="77777777" w:rsidR="00E953C3" w:rsidRDefault="00E953C3" w:rsidP="00073385">
            <w:pPr>
              <w:spacing w:before="60" w:after="60" w:line="240" w:lineRule="auto"/>
              <w:ind w:left="0"/>
              <w:rPr>
                <w:rFonts w:cs="Arial"/>
                <w:sz w:val="20"/>
                <w:szCs w:val="20"/>
              </w:rPr>
            </w:pPr>
            <w:r>
              <w:rPr>
                <w:rFonts w:cs="Arial"/>
                <w:sz w:val="20"/>
                <w:szCs w:val="20"/>
              </w:rPr>
              <w:t>6/</w:t>
            </w:r>
            <w:r w:rsidRPr="002630D3">
              <w:rPr>
                <w:rFonts w:cs="Arial"/>
                <w:sz w:val="20"/>
                <w:szCs w:val="20"/>
              </w:rPr>
              <w:t>17</w:t>
            </w:r>
          </w:p>
        </w:tc>
        <w:tc>
          <w:tcPr>
            <w:tcW w:w="6335" w:type="dxa"/>
            <w:shd w:val="clear" w:color="auto" w:fill="auto"/>
          </w:tcPr>
          <w:p w14:paraId="373FEB66" w14:textId="77777777" w:rsidR="00E953C3" w:rsidRDefault="00E953C3" w:rsidP="00073385">
            <w:pPr>
              <w:spacing w:before="60" w:after="60" w:line="240" w:lineRule="auto"/>
              <w:ind w:left="0"/>
              <w:rPr>
                <w:rFonts w:cs="Arial"/>
                <w:sz w:val="20"/>
                <w:szCs w:val="20"/>
              </w:rPr>
            </w:pPr>
            <w:r w:rsidRPr="002630D3">
              <w:rPr>
                <w:rFonts w:cs="Arial"/>
                <w:sz w:val="20"/>
                <w:szCs w:val="20"/>
              </w:rPr>
              <w:t xml:space="preserve">CarbonNet had a telephone discussion with the DELWP’s Principal Officer for Wildlife Emergencies regarding the proposed oiled wildlife response strategy for the MSS OPEP. </w:t>
            </w:r>
          </w:p>
        </w:tc>
        <w:tc>
          <w:tcPr>
            <w:tcW w:w="3802" w:type="dxa"/>
            <w:shd w:val="clear" w:color="auto" w:fill="auto"/>
          </w:tcPr>
          <w:p w14:paraId="2A366C8A" w14:textId="77777777" w:rsidR="00E953C3" w:rsidRDefault="00E953C3" w:rsidP="00073385">
            <w:pPr>
              <w:spacing w:before="60" w:after="60" w:line="240" w:lineRule="auto"/>
              <w:ind w:left="0"/>
              <w:rPr>
                <w:rFonts w:cs="Arial"/>
                <w:sz w:val="20"/>
                <w:szCs w:val="20"/>
              </w:rPr>
            </w:pPr>
            <w:r w:rsidRPr="002630D3">
              <w:rPr>
                <w:rFonts w:cs="Arial"/>
                <w:sz w:val="20"/>
                <w:szCs w:val="20"/>
              </w:rPr>
              <w:t>N/A</w:t>
            </w:r>
          </w:p>
        </w:tc>
      </w:tr>
      <w:tr w:rsidR="00E953C3" w:rsidRPr="00FF0808" w14:paraId="318AFD1C" w14:textId="77777777" w:rsidTr="00077C5F">
        <w:tc>
          <w:tcPr>
            <w:tcW w:w="1427" w:type="dxa"/>
            <w:vMerge/>
            <w:tcBorders>
              <w:bottom w:val="nil"/>
            </w:tcBorders>
            <w:shd w:val="clear" w:color="auto" w:fill="auto"/>
          </w:tcPr>
          <w:p w14:paraId="56FDB7D6" w14:textId="77777777" w:rsidR="00E953C3" w:rsidRPr="00626D56" w:rsidRDefault="00E953C3" w:rsidP="00073385">
            <w:pPr>
              <w:spacing w:before="60" w:after="60" w:line="240" w:lineRule="auto"/>
              <w:ind w:left="0"/>
              <w:rPr>
                <w:rFonts w:cs="Arial"/>
                <w:sz w:val="20"/>
                <w:szCs w:val="20"/>
              </w:rPr>
            </w:pPr>
          </w:p>
        </w:tc>
        <w:tc>
          <w:tcPr>
            <w:tcW w:w="1629" w:type="dxa"/>
            <w:vMerge/>
            <w:shd w:val="clear" w:color="auto" w:fill="auto"/>
          </w:tcPr>
          <w:p w14:paraId="5E826348" w14:textId="77777777" w:rsidR="00E953C3" w:rsidRDefault="00E953C3" w:rsidP="00073385">
            <w:pPr>
              <w:spacing w:before="60" w:after="60" w:line="240" w:lineRule="auto"/>
              <w:ind w:left="0"/>
              <w:rPr>
                <w:rFonts w:cs="Arial"/>
                <w:sz w:val="20"/>
                <w:szCs w:val="20"/>
              </w:rPr>
            </w:pPr>
          </w:p>
        </w:tc>
        <w:tc>
          <w:tcPr>
            <w:tcW w:w="1055" w:type="dxa"/>
          </w:tcPr>
          <w:p w14:paraId="4B27B97E" w14:textId="77777777" w:rsidR="00E953C3" w:rsidRDefault="00E953C3" w:rsidP="00073385">
            <w:pPr>
              <w:spacing w:before="60" w:after="60" w:line="240" w:lineRule="auto"/>
              <w:ind w:left="0"/>
              <w:rPr>
                <w:rFonts w:cs="Arial"/>
                <w:sz w:val="20"/>
                <w:szCs w:val="20"/>
              </w:rPr>
            </w:pPr>
            <w:r>
              <w:rPr>
                <w:rFonts w:cs="Arial"/>
                <w:sz w:val="20"/>
                <w:szCs w:val="20"/>
              </w:rPr>
              <w:t>21/6/</w:t>
            </w:r>
            <w:r w:rsidRPr="002630D3">
              <w:rPr>
                <w:rFonts w:cs="Arial"/>
                <w:sz w:val="20"/>
                <w:szCs w:val="20"/>
              </w:rPr>
              <w:t>17</w:t>
            </w:r>
          </w:p>
        </w:tc>
        <w:tc>
          <w:tcPr>
            <w:tcW w:w="6335" w:type="dxa"/>
            <w:shd w:val="clear" w:color="auto" w:fill="auto"/>
          </w:tcPr>
          <w:p w14:paraId="4E03E5AC" w14:textId="77777777" w:rsidR="00E953C3" w:rsidRPr="00394009" w:rsidDel="00FE6E7C" w:rsidRDefault="00E953C3" w:rsidP="00073385">
            <w:pPr>
              <w:spacing w:before="60" w:after="60" w:line="240" w:lineRule="auto"/>
              <w:ind w:left="0"/>
              <w:rPr>
                <w:rFonts w:cs="Arial"/>
                <w:sz w:val="20"/>
                <w:szCs w:val="20"/>
                <w:highlight w:val="yellow"/>
              </w:rPr>
            </w:pPr>
            <w:r w:rsidRPr="002630D3">
              <w:rPr>
                <w:rFonts w:cs="Arial"/>
                <w:sz w:val="20"/>
                <w:szCs w:val="20"/>
              </w:rPr>
              <w:t xml:space="preserve">CarbonNet emailed DELWP a summary of the oil spill modelling results, seeking confirmation that the </w:t>
            </w:r>
            <w:r>
              <w:rPr>
                <w:rFonts w:cs="Arial"/>
                <w:sz w:val="20"/>
                <w:szCs w:val="20"/>
              </w:rPr>
              <w:t xml:space="preserve">proposed </w:t>
            </w:r>
            <w:r w:rsidRPr="002630D3">
              <w:rPr>
                <w:rFonts w:cs="Arial"/>
                <w:sz w:val="20"/>
                <w:szCs w:val="20"/>
              </w:rPr>
              <w:t xml:space="preserve">oiled wildlife response is </w:t>
            </w:r>
            <w:r>
              <w:rPr>
                <w:rFonts w:cs="Arial"/>
                <w:sz w:val="20"/>
                <w:szCs w:val="20"/>
              </w:rPr>
              <w:t>suitable based on the nature of marine diesel, the volume potentially spilled and the sensitivities that may be contacted</w:t>
            </w:r>
            <w:r w:rsidRPr="002630D3">
              <w:rPr>
                <w:rFonts w:cs="Arial"/>
                <w:sz w:val="20"/>
                <w:szCs w:val="20"/>
              </w:rPr>
              <w:t xml:space="preserve">. </w:t>
            </w:r>
          </w:p>
        </w:tc>
        <w:tc>
          <w:tcPr>
            <w:tcW w:w="3802" w:type="dxa"/>
            <w:shd w:val="clear" w:color="auto" w:fill="auto"/>
          </w:tcPr>
          <w:p w14:paraId="068EDB98" w14:textId="77777777" w:rsidR="00E953C3" w:rsidRDefault="00E953C3" w:rsidP="00073385">
            <w:pPr>
              <w:spacing w:before="60" w:after="60" w:line="240" w:lineRule="auto"/>
              <w:ind w:left="0"/>
              <w:rPr>
                <w:rFonts w:cs="Arial"/>
                <w:sz w:val="20"/>
                <w:szCs w:val="20"/>
              </w:rPr>
            </w:pPr>
            <w:r w:rsidRPr="002630D3">
              <w:rPr>
                <w:rFonts w:cs="Arial"/>
                <w:sz w:val="20"/>
                <w:szCs w:val="20"/>
              </w:rPr>
              <w:t>N/A</w:t>
            </w:r>
          </w:p>
        </w:tc>
      </w:tr>
      <w:tr w:rsidR="00E953C3" w:rsidRPr="00FF0808" w14:paraId="162380AF" w14:textId="77777777" w:rsidTr="00077C5F">
        <w:tc>
          <w:tcPr>
            <w:tcW w:w="1427" w:type="dxa"/>
            <w:tcBorders>
              <w:top w:val="nil"/>
              <w:bottom w:val="nil"/>
            </w:tcBorders>
            <w:shd w:val="clear" w:color="auto" w:fill="auto"/>
          </w:tcPr>
          <w:p w14:paraId="3C1CD910" w14:textId="77777777" w:rsidR="00E953C3" w:rsidRPr="00626D56" w:rsidRDefault="00E953C3" w:rsidP="00073385">
            <w:pPr>
              <w:spacing w:before="60" w:after="60" w:line="240" w:lineRule="auto"/>
              <w:ind w:left="0"/>
              <w:rPr>
                <w:rFonts w:cs="Arial"/>
                <w:sz w:val="20"/>
                <w:szCs w:val="20"/>
              </w:rPr>
            </w:pPr>
          </w:p>
        </w:tc>
        <w:tc>
          <w:tcPr>
            <w:tcW w:w="1629" w:type="dxa"/>
            <w:vMerge/>
            <w:shd w:val="clear" w:color="auto" w:fill="auto"/>
          </w:tcPr>
          <w:p w14:paraId="39C01600" w14:textId="77777777" w:rsidR="00E953C3" w:rsidRDefault="00E953C3" w:rsidP="00073385">
            <w:pPr>
              <w:spacing w:before="60" w:after="60" w:line="240" w:lineRule="auto"/>
              <w:ind w:left="0"/>
              <w:rPr>
                <w:rFonts w:cs="Arial"/>
                <w:sz w:val="20"/>
                <w:szCs w:val="20"/>
              </w:rPr>
            </w:pPr>
          </w:p>
        </w:tc>
        <w:tc>
          <w:tcPr>
            <w:tcW w:w="1055" w:type="dxa"/>
          </w:tcPr>
          <w:p w14:paraId="1918DA04" w14:textId="77777777" w:rsidR="00E953C3" w:rsidRDefault="00E953C3" w:rsidP="00073385">
            <w:pPr>
              <w:spacing w:before="60" w:after="60" w:line="240" w:lineRule="auto"/>
              <w:ind w:left="0"/>
              <w:rPr>
                <w:rFonts w:cs="Arial"/>
                <w:sz w:val="20"/>
                <w:szCs w:val="20"/>
              </w:rPr>
            </w:pPr>
            <w:r>
              <w:rPr>
                <w:rFonts w:cs="Arial"/>
                <w:sz w:val="20"/>
                <w:szCs w:val="20"/>
              </w:rPr>
              <w:t>3/8/</w:t>
            </w:r>
            <w:r w:rsidRPr="002630D3">
              <w:rPr>
                <w:rFonts w:cs="Arial"/>
                <w:sz w:val="20"/>
                <w:szCs w:val="20"/>
              </w:rPr>
              <w:t>17</w:t>
            </w:r>
          </w:p>
        </w:tc>
        <w:tc>
          <w:tcPr>
            <w:tcW w:w="6335" w:type="dxa"/>
            <w:shd w:val="clear" w:color="auto" w:fill="auto"/>
          </w:tcPr>
          <w:p w14:paraId="69708106" w14:textId="77777777" w:rsidR="00E953C3" w:rsidRPr="00394009" w:rsidDel="00FE6E7C" w:rsidRDefault="00E953C3" w:rsidP="00073385">
            <w:pPr>
              <w:spacing w:before="60" w:after="60" w:line="240" w:lineRule="auto"/>
              <w:ind w:left="0"/>
              <w:rPr>
                <w:rFonts w:cs="Arial"/>
                <w:sz w:val="20"/>
                <w:szCs w:val="20"/>
                <w:highlight w:val="yellow"/>
              </w:rPr>
            </w:pPr>
            <w:r w:rsidRPr="002630D3">
              <w:rPr>
                <w:rFonts w:cs="Arial"/>
                <w:sz w:val="20"/>
                <w:szCs w:val="20"/>
              </w:rPr>
              <w:t>CarbonNet sent a reminder email to DELWP seeking feedback on the proposed oiled wildlife strategy.</w:t>
            </w:r>
          </w:p>
        </w:tc>
        <w:tc>
          <w:tcPr>
            <w:tcW w:w="3802" w:type="dxa"/>
            <w:shd w:val="clear" w:color="auto" w:fill="auto"/>
          </w:tcPr>
          <w:p w14:paraId="1C12BE84" w14:textId="77777777" w:rsidR="00E953C3" w:rsidRDefault="00E953C3" w:rsidP="00073385">
            <w:pPr>
              <w:spacing w:before="60" w:after="60" w:line="240" w:lineRule="auto"/>
              <w:ind w:left="0"/>
              <w:rPr>
                <w:rFonts w:cs="Arial"/>
                <w:sz w:val="20"/>
                <w:szCs w:val="20"/>
              </w:rPr>
            </w:pPr>
            <w:r w:rsidRPr="002630D3">
              <w:rPr>
                <w:rFonts w:cs="Arial"/>
                <w:sz w:val="20"/>
                <w:szCs w:val="20"/>
              </w:rPr>
              <w:t>N/A</w:t>
            </w:r>
          </w:p>
        </w:tc>
      </w:tr>
      <w:tr w:rsidR="00E953C3" w:rsidRPr="00FF0808" w14:paraId="4916DAB8" w14:textId="77777777" w:rsidTr="00891DE1">
        <w:tc>
          <w:tcPr>
            <w:tcW w:w="1427" w:type="dxa"/>
            <w:tcBorders>
              <w:top w:val="nil"/>
              <w:bottom w:val="nil"/>
            </w:tcBorders>
            <w:shd w:val="clear" w:color="auto" w:fill="auto"/>
          </w:tcPr>
          <w:p w14:paraId="6B0C6BEC" w14:textId="77777777" w:rsidR="00E953C3" w:rsidRPr="00626D56" w:rsidRDefault="00E953C3" w:rsidP="00073385">
            <w:pPr>
              <w:spacing w:before="60" w:after="60" w:line="240" w:lineRule="auto"/>
              <w:ind w:left="0"/>
              <w:rPr>
                <w:rFonts w:cs="Arial"/>
                <w:sz w:val="20"/>
                <w:szCs w:val="20"/>
              </w:rPr>
            </w:pPr>
          </w:p>
        </w:tc>
        <w:tc>
          <w:tcPr>
            <w:tcW w:w="1629" w:type="dxa"/>
            <w:vMerge/>
            <w:shd w:val="clear" w:color="auto" w:fill="auto"/>
          </w:tcPr>
          <w:p w14:paraId="56953F55" w14:textId="77777777" w:rsidR="00E953C3" w:rsidRDefault="00E953C3" w:rsidP="00073385">
            <w:pPr>
              <w:spacing w:before="60" w:after="60" w:line="240" w:lineRule="auto"/>
              <w:ind w:left="0"/>
              <w:rPr>
                <w:rFonts w:cs="Arial"/>
                <w:sz w:val="20"/>
                <w:szCs w:val="20"/>
              </w:rPr>
            </w:pPr>
          </w:p>
        </w:tc>
        <w:tc>
          <w:tcPr>
            <w:tcW w:w="1055" w:type="dxa"/>
          </w:tcPr>
          <w:p w14:paraId="36AB90CC" w14:textId="77777777" w:rsidR="00E953C3" w:rsidRDefault="00E953C3" w:rsidP="00073385">
            <w:pPr>
              <w:spacing w:before="60" w:after="60" w:line="240" w:lineRule="auto"/>
              <w:ind w:left="0"/>
              <w:rPr>
                <w:rFonts w:cs="Arial"/>
                <w:sz w:val="20"/>
                <w:szCs w:val="20"/>
              </w:rPr>
            </w:pPr>
            <w:r>
              <w:rPr>
                <w:rFonts w:cs="Arial"/>
                <w:sz w:val="20"/>
                <w:szCs w:val="20"/>
              </w:rPr>
              <w:t>4/8/</w:t>
            </w:r>
            <w:r w:rsidRPr="002630D3">
              <w:rPr>
                <w:rFonts w:cs="Arial"/>
                <w:sz w:val="20"/>
                <w:szCs w:val="20"/>
              </w:rPr>
              <w:t>17</w:t>
            </w:r>
          </w:p>
        </w:tc>
        <w:tc>
          <w:tcPr>
            <w:tcW w:w="6335" w:type="dxa"/>
            <w:shd w:val="clear" w:color="auto" w:fill="auto"/>
          </w:tcPr>
          <w:p w14:paraId="6EDEB1AE" w14:textId="77777777" w:rsidR="00E953C3" w:rsidRPr="00394009" w:rsidDel="00FE6E7C" w:rsidRDefault="00E953C3" w:rsidP="00073385">
            <w:pPr>
              <w:spacing w:before="60" w:after="60" w:line="240" w:lineRule="auto"/>
              <w:ind w:left="0"/>
              <w:rPr>
                <w:rFonts w:cs="Arial"/>
                <w:sz w:val="20"/>
                <w:szCs w:val="20"/>
                <w:highlight w:val="yellow"/>
              </w:rPr>
            </w:pPr>
            <w:r w:rsidRPr="002630D3">
              <w:rPr>
                <w:rFonts w:cs="Arial"/>
                <w:sz w:val="20"/>
                <w:szCs w:val="20"/>
              </w:rPr>
              <w:t xml:space="preserve">DELWP’s Principal Officer for Wildlife Emergencies replied via email </w:t>
            </w:r>
            <w:r>
              <w:rPr>
                <w:rFonts w:cs="Arial"/>
                <w:sz w:val="20"/>
                <w:szCs w:val="20"/>
              </w:rPr>
              <w:t xml:space="preserve">with no objection to the proposed oiled wildlife response strategy and </w:t>
            </w:r>
            <w:r w:rsidRPr="002630D3">
              <w:rPr>
                <w:rFonts w:cs="Arial"/>
                <w:sz w:val="20"/>
                <w:szCs w:val="20"/>
              </w:rPr>
              <w:t xml:space="preserve">confirming that DELWP will need to be contacted in the event of a Level 1 hydrocarbon spill and that DELWP is the lead agency with regards to oiled wildlife response. </w:t>
            </w:r>
          </w:p>
        </w:tc>
        <w:tc>
          <w:tcPr>
            <w:tcW w:w="3802" w:type="dxa"/>
            <w:shd w:val="clear" w:color="auto" w:fill="auto"/>
          </w:tcPr>
          <w:p w14:paraId="70535CAA" w14:textId="77777777" w:rsidR="00E953C3" w:rsidRDefault="00E953C3" w:rsidP="00073385">
            <w:pPr>
              <w:spacing w:before="60" w:after="60" w:line="240" w:lineRule="auto"/>
              <w:ind w:left="0"/>
              <w:rPr>
                <w:rFonts w:cs="Arial"/>
                <w:sz w:val="20"/>
                <w:szCs w:val="20"/>
              </w:rPr>
            </w:pPr>
            <w:r w:rsidRPr="002630D3">
              <w:rPr>
                <w:rFonts w:cs="Arial"/>
                <w:sz w:val="20"/>
                <w:szCs w:val="20"/>
              </w:rPr>
              <w:t>CarbonNet progressed the OPEP based on the information provided.</w:t>
            </w:r>
          </w:p>
        </w:tc>
      </w:tr>
      <w:tr w:rsidR="00E953C3" w:rsidRPr="00FF0808" w14:paraId="414D6B8D" w14:textId="77777777" w:rsidTr="00077C5F">
        <w:tc>
          <w:tcPr>
            <w:tcW w:w="1427" w:type="dxa"/>
            <w:tcBorders>
              <w:top w:val="nil"/>
            </w:tcBorders>
            <w:shd w:val="clear" w:color="auto" w:fill="auto"/>
          </w:tcPr>
          <w:p w14:paraId="5C869995" w14:textId="77777777" w:rsidR="00E953C3" w:rsidRPr="00626D56" w:rsidRDefault="00E953C3" w:rsidP="00073385">
            <w:pPr>
              <w:spacing w:before="60" w:after="60" w:line="240" w:lineRule="auto"/>
              <w:ind w:left="0"/>
              <w:rPr>
                <w:rFonts w:cs="Arial"/>
                <w:sz w:val="20"/>
                <w:szCs w:val="20"/>
              </w:rPr>
            </w:pPr>
          </w:p>
        </w:tc>
        <w:tc>
          <w:tcPr>
            <w:tcW w:w="1629" w:type="dxa"/>
            <w:vMerge/>
            <w:shd w:val="clear" w:color="auto" w:fill="auto"/>
          </w:tcPr>
          <w:p w14:paraId="32BEBE2C" w14:textId="77777777" w:rsidR="00E953C3" w:rsidRDefault="00E953C3" w:rsidP="00073385">
            <w:pPr>
              <w:spacing w:before="60" w:after="60" w:line="240" w:lineRule="auto"/>
              <w:ind w:left="0"/>
              <w:rPr>
                <w:rFonts w:cs="Arial"/>
                <w:sz w:val="20"/>
                <w:szCs w:val="20"/>
              </w:rPr>
            </w:pPr>
          </w:p>
        </w:tc>
        <w:tc>
          <w:tcPr>
            <w:tcW w:w="1055" w:type="dxa"/>
          </w:tcPr>
          <w:p w14:paraId="5A927E0B" w14:textId="14BBA959" w:rsidR="00E953C3" w:rsidRDefault="00E953C3"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40FA4097" w14:textId="7E5C6A29" w:rsidR="00E953C3" w:rsidRPr="002630D3" w:rsidRDefault="00E953C3"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5B8CBD77" w14:textId="3A6194E4" w:rsidR="00E953C3" w:rsidRPr="002630D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4AB04225" w14:textId="77777777" w:rsidTr="00077C5F">
        <w:trPr>
          <w:trHeight w:val="835"/>
        </w:trPr>
        <w:tc>
          <w:tcPr>
            <w:tcW w:w="1427" w:type="dxa"/>
            <w:vMerge w:val="restart"/>
            <w:tcBorders>
              <w:top w:val="single" w:sz="4" w:space="0" w:color="808080"/>
              <w:left w:val="single" w:sz="4" w:space="0" w:color="808080"/>
              <w:right w:val="single" w:sz="4" w:space="0" w:color="808080"/>
            </w:tcBorders>
            <w:shd w:val="clear" w:color="auto" w:fill="auto"/>
          </w:tcPr>
          <w:p w14:paraId="0CD1B384" w14:textId="77777777" w:rsidR="00E953C3" w:rsidRDefault="00E953C3" w:rsidP="00073385">
            <w:pPr>
              <w:spacing w:before="60" w:after="60" w:line="240" w:lineRule="auto"/>
              <w:ind w:left="0"/>
              <w:rPr>
                <w:rFonts w:cs="Arial"/>
                <w:sz w:val="20"/>
                <w:szCs w:val="20"/>
              </w:rPr>
            </w:pPr>
            <w:r>
              <w:rPr>
                <w:rFonts w:cs="Arial"/>
                <w:sz w:val="20"/>
                <w:szCs w:val="20"/>
              </w:rPr>
              <w:lastRenderedPageBreak/>
              <w:t>Maritime Safety Victoria (MSV)</w:t>
            </w:r>
          </w:p>
          <w:p w14:paraId="63E08D4B" w14:textId="77777777" w:rsidR="00E953C3" w:rsidRDefault="00E953C3" w:rsidP="00073385">
            <w:pPr>
              <w:spacing w:before="60" w:after="60" w:line="240" w:lineRule="auto"/>
              <w:ind w:left="0"/>
              <w:rPr>
                <w:rFonts w:cs="Arial"/>
                <w:sz w:val="20"/>
                <w:szCs w:val="20"/>
              </w:rPr>
            </w:pPr>
          </w:p>
        </w:tc>
        <w:tc>
          <w:tcPr>
            <w:tcW w:w="1629" w:type="dxa"/>
            <w:vMerge w:val="restart"/>
            <w:tcBorders>
              <w:top w:val="single" w:sz="4" w:space="0" w:color="808080"/>
              <w:left w:val="single" w:sz="4" w:space="0" w:color="808080"/>
              <w:right w:val="single" w:sz="4" w:space="0" w:color="808080"/>
            </w:tcBorders>
            <w:shd w:val="clear" w:color="auto" w:fill="auto"/>
          </w:tcPr>
          <w:p w14:paraId="389954E2" w14:textId="77777777" w:rsidR="00E953C3" w:rsidRDefault="00E953C3" w:rsidP="00073385">
            <w:pPr>
              <w:spacing w:before="60" w:after="60" w:line="240" w:lineRule="auto"/>
              <w:ind w:left="0"/>
              <w:rPr>
                <w:rFonts w:cs="Arial"/>
                <w:sz w:val="20"/>
                <w:szCs w:val="20"/>
              </w:rPr>
            </w:pPr>
            <w:r>
              <w:rPr>
                <w:rFonts w:cs="Arial"/>
                <w:sz w:val="20"/>
                <w:szCs w:val="20"/>
              </w:rPr>
              <w:t>Victorian government agency responsible for maritime safety</w:t>
            </w:r>
          </w:p>
        </w:tc>
        <w:tc>
          <w:tcPr>
            <w:tcW w:w="1055" w:type="dxa"/>
            <w:tcBorders>
              <w:top w:val="single" w:sz="4" w:space="0" w:color="808080"/>
              <w:left w:val="single" w:sz="4" w:space="0" w:color="808080"/>
              <w:bottom w:val="single" w:sz="4" w:space="0" w:color="808080"/>
              <w:right w:val="single" w:sz="4" w:space="0" w:color="808080"/>
            </w:tcBorders>
          </w:tcPr>
          <w:p w14:paraId="6D5A2562" w14:textId="77777777" w:rsidR="00E953C3" w:rsidRDefault="00E953C3" w:rsidP="00073385">
            <w:pPr>
              <w:spacing w:before="60" w:after="60" w:line="240" w:lineRule="auto"/>
              <w:ind w:left="0"/>
              <w:rPr>
                <w:rFonts w:cs="Arial"/>
                <w:sz w:val="20"/>
                <w:szCs w:val="20"/>
              </w:rPr>
            </w:pPr>
            <w:r>
              <w:rPr>
                <w:rFonts w:cs="Arial"/>
                <w:sz w:val="20"/>
                <w:szCs w:val="20"/>
              </w:rPr>
              <w:t>21/3/17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36592527" w14:textId="77777777" w:rsidR="00E953C3" w:rsidRDefault="00E953C3" w:rsidP="00073385">
            <w:pPr>
              <w:spacing w:before="60" w:after="60" w:line="240" w:lineRule="auto"/>
              <w:ind w:left="0"/>
              <w:rPr>
                <w:rFonts w:cs="Arial"/>
                <w:sz w:val="20"/>
                <w:szCs w:val="20"/>
              </w:rPr>
            </w:pPr>
            <w:r>
              <w:rPr>
                <w:rFonts w:cs="Arial"/>
                <w:sz w:val="20"/>
                <w:szCs w:val="20"/>
              </w:rPr>
              <w:t>CarbonNet contacted MSV (an agency within Transport Safety Victoria) via email with a letter inviting comment, fact sheet and contact details.</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14F30916" w14:textId="166E3B6D"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6E3BEAC1" w14:textId="77777777" w:rsidTr="00077C5F">
        <w:tc>
          <w:tcPr>
            <w:tcW w:w="1427" w:type="dxa"/>
            <w:vMerge/>
            <w:tcBorders>
              <w:left w:val="single" w:sz="4" w:space="0" w:color="808080"/>
              <w:bottom w:val="nil"/>
              <w:right w:val="single" w:sz="4" w:space="0" w:color="808080"/>
            </w:tcBorders>
            <w:shd w:val="clear" w:color="auto" w:fill="auto"/>
          </w:tcPr>
          <w:p w14:paraId="66E66546" w14:textId="77777777" w:rsidR="00E953C3" w:rsidRDefault="00E953C3" w:rsidP="00073385">
            <w:pPr>
              <w:spacing w:before="60" w:after="60" w:line="240" w:lineRule="auto"/>
              <w:ind w:left="0"/>
              <w:rPr>
                <w:rFonts w:cs="Arial"/>
                <w:sz w:val="20"/>
                <w:szCs w:val="20"/>
              </w:rPr>
            </w:pPr>
          </w:p>
        </w:tc>
        <w:tc>
          <w:tcPr>
            <w:tcW w:w="1629" w:type="dxa"/>
            <w:vMerge/>
            <w:tcBorders>
              <w:left w:val="single" w:sz="4" w:space="0" w:color="808080"/>
              <w:bottom w:val="nil"/>
              <w:right w:val="single" w:sz="4" w:space="0" w:color="808080"/>
            </w:tcBorders>
            <w:shd w:val="clear" w:color="auto" w:fill="auto"/>
          </w:tcPr>
          <w:p w14:paraId="2FC8147C" w14:textId="77777777" w:rsidR="00E953C3"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29C69BA9" w14:textId="77777777" w:rsidR="00E953C3" w:rsidRDefault="00E953C3" w:rsidP="00073385">
            <w:pPr>
              <w:spacing w:before="60" w:after="60" w:line="240" w:lineRule="auto"/>
              <w:ind w:left="0"/>
              <w:rPr>
                <w:rFonts w:cs="Arial"/>
                <w:sz w:val="20"/>
                <w:szCs w:val="20"/>
              </w:rPr>
            </w:pPr>
            <w:r>
              <w:rPr>
                <w:rFonts w:cs="Arial"/>
                <w:sz w:val="20"/>
                <w:szCs w:val="20"/>
              </w:rPr>
              <w:t>13/4/17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434E683A" w14:textId="77777777" w:rsidR="00E953C3" w:rsidRDefault="00E953C3" w:rsidP="00073385">
            <w:pPr>
              <w:spacing w:before="60" w:after="60" w:line="240" w:lineRule="auto"/>
              <w:ind w:left="0"/>
              <w:rPr>
                <w:rFonts w:cs="Arial"/>
                <w:sz w:val="20"/>
                <w:szCs w:val="20"/>
              </w:rPr>
            </w:pPr>
            <w:r w:rsidRPr="008602D0">
              <w:rPr>
                <w:rFonts w:cs="Arial"/>
                <w:sz w:val="20"/>
                <w:szCs w:val="20"/>
              </w:rPr>
              <w:t>Telephone call from MSV confirming that it is happy to assist with:</w:t>
            </w:r>
          </w:p>
          <w:p w14:paraId="32015E00" w14:textId="77777777" w:rsidR="00E953C3" w:rsidRDefault="00E953C3" w:rsidP="00073385">
            <w:pPr>
              <w:pStyle w:val="ListParagraph0"/>
              <w:numPr>
                <w:ilvl w:val="0"/>
                <w:numId w:val="509"/>
              </w:numPr>
              <w:spacing w:before="60" w:after="60" w:line="240" w:lineRule="auto"/>
              <w:rPr>
                <w:rFonts w:cs="Arial"/>
                <w:sz w:val="20"/>
                <w:szCs w:val="20"/>
              </w:rPr>
            </w:pPr>
            <w:r w:rsidRPr="008602D0">
              <w:rPr>
                <w:rFonts w:cs="Arial"/>
                <w:sz w:val="20"/>
                <w:szCs w:val="20"/>
              </w:rPr>
              <w:t>Notice to Mariners (recommended doing this in addition to A</w:t>
            </w:r>
            <w:r w:rsidRPr="004F1C82">
              <w:rPr>
                <w:rFonts w:cs="Arial"/>
                <w:sz w:val="20"/>
                <w:szCs w:val="20"/>
              </w:rPr>
              <w:t>ustralian Hydrographic Service)</w:t>
            </w:r>
          </w:p>
          <w:p w14:paraId="797FF32C" w14:textId="77777777" w:rsidR="00E953C3" w:rsidRDefault="00E953C3" w:rsidP="00073385">
            <w:pPr>
              <w:pStyle w:val="ListParagraph0"/>
              <w:numPr>
                <w:ilvl w:val="0"/>
                <w:numId w:val="509"/>
              </w:numPr>
              <w:spacing w:before="60" w:after="60" w:line="240" w:lineRule="auto"/>
              <w:rPr>
                <w:rFonts w:cs="Arial"/>
                <w:sz w:val="20"/>
                <w:szCs w:val="20"/>
              </w:rPr>
            </w:pPr>
            <w:r>
              <w:rPr>
                <w:rFonts w:cs="Arial"/>
                <w:sz w:val="20"/>
                <w:szCs w:val="20"/>
              </w:rPr>
              <w:t>C</w:t>
            </w:r>
            <w:r w:rsidRPr="008602D0">
              <w:rPr>
                <w:rFonts w:cs="Arial"/>
                <w:sz w:val="20"/>
                <w:szCs w:val="20"/>
              </w:rPr>
              <w:t>reating a legal</w:t>
            </w:r>
            <w:r w:rsidRPr="004F1C82">
              <w:rPr>
                <w:rFonts w:cs="Arial"/>
                <w:sz w:val="20"/>
                <w:szCs w:val="20"/>
              </w:rPr>
              <w:t xml:space="preserve"> exclusion zone in state waters</w:t>
            </w:r>
          </w:p>
          <w:p w14:paraId="3CA0E2A2" w14:textId="77777777" w:rsidR="00E953C3" w:rsidRDefault="00E953C3" w:rsidP="00073385">
            <w:pPr>
              <w:pStyle w:val="ListParagraph0"/>
              <w:numPr>
                <w:ilvl w:val="0"/>
                <w:numId w:val="509"/>
              </w:numPr>
              <w:spacing w:before="60" w:after="60" w:line="240" w:lineRule="auto"/>
              <w:rPr>
                <w:rFonts w:cs="Arial"/>
                <w:sz w:val="20"/>
                <w:szCs w:val="20"/>
              </w:rPr>
            </w:pPr>
            <w:r>
              <w:rPr>
                <w:rFonts w:cs="Arial"/>
                <w:sz w:val="20"/>
                <w:szCs w:val="20"/>
              </w:rPr>
              <w:t>C</w:t>
            </w:r>
            <w:r w:rsidRPr="008602D0">
              <w:rPr>
                <w:rFonts w:cs="Arial"/>
                <w:sz w:val="20"/>
                <w:szCs w:val="20"/>
              </w:rPr>
              <w:t>ontacts at Parks Victoria for signage along beach</w:t>
            </w:r>
          </w:p>
          <w:p w14:paraId="0323403D" w14:textId="77777777" w:rsidR="00E953C3" w:rsidRPr="00394009" w:rsidRDefault="00E953C3" w:rsidP="00073385">
            <w:pPr>
              <w:pStyle w:val="ListParagraph0"/>
              <w:numPr>
                <w:ilvl w:val="0"/>
                <w:numId w:val="509"/>
              </w:numPr>
              <w:spacing w:before="60" w:after="60" w:line="240" w:lineRule="auto"/>
              <w:rPr>
                <w:rFonts w:cs="Arial"/>
                <w:sz w:val="20"/>
                <w:szCs w:val="20"/>
              </w:rPr>
            </w:pPr>
            <w:r>
              <w:rPr>
                <w:rFonts w:cs="Arial"/>
                <w:sz w:val="20"/>
                <w:szCs w:val="20"/>
              </w:rPr>
              <w:t>C</w:t>
            </w:r>
            <w:r w:rsidRPr="008602D0">
              <w:rPr>
                <w:rFonts w:cs="Arial"/>
                <w:sz w:val="20"/>
                <w:szCs w:val="20"/>
              </w:rPr>
              <w:t>ontacts at local boat/yacht clubs (mentioned Gippsland Water Police also good for this)</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7A642066" w14:textId="77777777" w:rsidR="00E953C3" w:rsidRDefault="00E953C3" w:rsidP="00073385">
            <w:pPr>
              <w:spacing w:before="60" w:after="60" w:line="240" w:lineRule="auto"/>
              <w:ind w:left="0"/>
              <w:rPr>
                <w:rFonts w:cs="Arial"/>
                <w:sz w:val="20"/>
                <w:szCs w:val="20"/>
              </w:rPr>
            </w:pPr>
            <w:r>
              <w:rPr>
                <w:rFonts w:cs="Arial"/>
                <w:sz w:val="20"/>
                <w:szCs w:val="20"/>
              </w:rPr>
              <w:t xml:space="preserve">The controls suggested by MSV are contained within </w:t>
            </w:r>
            <w:r w:rsidRPr="00B5735B">
              <w:rPr>
                <w:rFonts w:cs="Arial"/>
                <w:sz w:val="20"/>
                <w:szCs w:val="20"/>
              </w:rPr>
              <w:t>Section 7.13.7</w:t>
            </w:r>
            <w:r>
              <w:rPr>
                <w:rFonts w:cs="Arial"/>
                <w:sz w:val="20"/>
                <w:szCs w:val="20"/>
              </w:rPr>
              <w:t xml:space="preserve"> of the EP.</w:t>
            </w:r>
          </w:p>
        </w:tc>
      </w:tr>
      <w:tr w:rsidR="00E953C3" w:rsidRPr="00FF0808" w14:paraId="5B5E866D" w14:textId="77777777" w:rsidTr="00077C5F">
        <w:tc>
          <w:tcPr>
            <w:tcW w:w="1427" w:type="dxa"/>
            <w:tcBorders>
              <w:top w:val="nil"/>
              <w:left w:val="single" w:sz="4" w:space="0" w:color="808080"/>
              <w:bottom w:val="nil"/>
              <w:right w:val="single" w:sz="4" w:space="0" w:color="808080"/>
            </w:tcBorders>
            <w:shd w:val="clear" w:color="auto" w:fill="auto"/>
          </w:tcPr>
          <w:p w14:paraId="0BA9EF12" w14:textId="77777777" w:rsidR="00E953C3" w:rsidRDefault="00E953C3"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114529E2" w14:textId="77777777" w:rsidR="00E953C3"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25647A40" w14:textId="77777777" w:rsidR="00E953C3" w:rsidRDefault="00E953C3" w:rsidP="00073385">
            <w:pPr>
              <w:spacing w:before="60" w:after="60" w:line="240" w:lineRule="auto"/>
              <w:ind w:left="0"/>
              <w:rPr>
                <w:rFonts w:cs="Arial"/>
                <w:sz w:val="20"/>
                <w:szCs w:val="20"/>
              </w:rPr>
            </w:pPr>
            <w:r>
              <w:rPr>
                <w:rFonts w:cs="Arial"/>
                <w:sz w:val="20"/>
                <w:szCs w:val="20"/>
              </w:rPr>
              <w:t>13/4/17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1AB2B71A" w14:textId="77777777" w:rsidR="00E953C3" w:rsidRPr="00A6299B" w:rsidRDefault="00E953C3" w:rsidP="00073385">
            <w:pPr>
              <w:spacing w:before="60" w:after="60" w:line="240" w:lineRule="auto"/>
              <w:ind w:left="0"/>
              <w:rPr>
                <w:rFonts w:cs="Arial"/>
                <w:sz w:val="20"/>
                <w:szCs w:val="20"/>
              </w:rPr>
            </w:pPr>
            <w:r w:rsidRPr="008602D0">
              <w:rPr>
                <w:rFonts w:cs="Arial"/>
                <w:sz w:val="20"/>
                <w:szCs w:val="20"/>
              </w:rPr>
              <w:t>CarbonNet email sent to MSV with a copy of the fact sheet for the MSS. MSV also added to the stakeholder list for the survey.</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55272FB8" w14:textId="77777777"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6F023E3C" w14:textId="77777777" w:rsidTr="00077C5F">
        <w:tc>
          <w:tcPr>
            <w:tcW w:w="1427" w:type="dxa"/>
            <w:tcBorders>
              <w:top w:val="nil"/>
              <w:left w:val="single" w:sz="4" w:space="0" w:color="808080"/>
              <w:bottom w:val="nil"/>
              <w:right w:val="single" w:sz="4" w:space="0" w:color="808080"/>
            </w:tcBorders>
            <w:shd w:val="clear" w:color="auto" w:fill="auto"/>
          </w:tcPr>
          <w:p w14:paraId="5457E29B" w14:textId="77777777" w:rsidR="00E953C3" w:rsidRDefault="00E953C3"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4A9D3A6F" w14:textId="77777777" w:rsidR="00E953C3"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0CD7A445" w14:textId="77777777" w:rsidR="00E953C3" w:rsidRDefault="00E953C3" w:rsidP="00073385">
            <w:pPr>
              <w:spacing w:before="60" w:after="60" w:line="240" w:lineRule="auto"/>
              <w:ind w:left="0"/>
              <w:rPr>
                <w:rFonts w:cs="Arial"/>
                <w:sz w:val="20"/>
                <w:szCs w:val="20"/>
              </w:rPr>
            </w:pPr>
            <w:r>
              <w:rPr>
                <w:rFonts w:cs="Arial"/>
                <w:sz w:val="20"/>
                <w:szCs w:val="20"/>
              </w:rPr>
              <w:t>24/4/17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47C5ACC7" w14:textId="77777777" w:rsidR="00E953C3" w:rsidRDefault="00E953C3" w:rsidP="00073385">
            <w:pPr>
              <w:spacing w:before="60" w:after="60" w:line="240" w:lineRule="auto"/>
              <w:ind w:left="0"/>
              <w:rPr>
                <w:rFonts w:cs="Arial"/>
                <w:sz w:val="20"/>
                <w:szCs w:val="20"/>
              </w:rPr>
            </w:pPr>
            <w:r w:rsidRPr="008602D0">
              <w:rPr>
                <w:rFonts w:cs="Arial"/>
                <w:sz w:val="20"/>
                <w:szCs w:val="20"/>
              </w:rPr>
              <w:t xml:space="preserve">Meeting with MSV to discuss MSS. </w:t>
            </w:r>
            <w:r w:rsidRPr="008602D0">
              <w:rPr>
                <w:rFonts w:cs="Arial"/>
                <w:sz w:val="20"/>
                <w:szCs w:val="20"/>
              </w:rPr>
              <w:br/>
              <w:t xml:space="preserve">MSV confirmed that it can help with notifications (notice to mariners) for both state and Commonwealth waters. This would include local stakeholders including Gippsland Water Policy, Yachting Victoria, Gippsland Ports etc. </w:t>
            </w:r>
            <w:r w:rsidRPr="008602D0">
              <w:rPr>
                <w:rFonts w:cs="Arial"/>
                <w:sz w:val="20"/>
                <w:szCs w:val="20"/>
              </w:rPr>
              <w:br/>
              <w:t xml:space="preserve"> MSV can also establish a temporary exclusion zone that would disallow vessels and people from coming within a certain distance of the vessel. A works permit including a risk assessment is required to establish the zone.  </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0582339A" w14:textId="77777777" w:rsidR="00E953C3" w:rsidRDefault="00E953C3" w:rsidP="00073385">
            <w:pPr>
              <w:spacing w:before="60" w:after="60" w:line="240" w:lineRule="auto"/>
              <w:ind w:left="0"/>
              <w:rPr>
                <w:rFonts w:cs="Arial"/>
                <w:sz w:val="20"/>
                <w:szCs w:val="20"/>
              </w:rPr>
            </w:pPr>
            <w:r>
              <w:rPr>
                <w:rFonts w:cs="Arial"/>
                <w:sz w:val="20"/>
                <w:szCs w:val="20"/>
              </w:rPr>
              <w:t>MSV comments noted in preparation of survey and EP.</w:t>
            </w:r>
          </w:p>
        </w:tc>
      </w:tr>
      <w:tr w:rsidR="00E953C3" w:rsidRPr="00FF0808" w14:paraId="575E4F6E" w14:textId="77777777" w:rsidTr="00891DE1">
        <w:tc>
          <w:tcPr>
            <w:tcW w:w="1427" w:type="dxa"/>
            <w:tcBorders>
              <w:top w:val="nil"/>
              <w:left w:val="single" w:sz="4" w:space="0" w:color="808080"/>
              <w:bottom w:val="nil"/>
              <w:right w:val="single" w:sz="4" w:space="0" w:color="808080"/>
            </w:tcBorders>
            <w:shd w:val="clear" w:color="auto" w:fill="auto"/>
          </w:tcPr>
          <w:p w14:paraId="441A72D7" w14:textId="77777777" w:rsidR="00E953C3" w:rsidRDefault="00E953C3"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45B4834A" w14:textId="77777777" w:rsidR="00E953C3"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91D77EA" w14:textId="77777777" w:rsidR="00E953C3" w:rsidRDefault="00E953C3" w:rsidP="00073385">
            <w:pPr>
              <w:spacing w:before="60" w:after="60" w:line="240" w:lineRule="auto"/>
              <w:ind w:left="0"/>
              <w:rPr>
                <w:rFonts w:cs="Arial"/>
                <w:sz w:val="20"/>
                <w:szCs w:val="20"/>
              </w:rPr>
            </w:pPr>
            <w:r>
              <w:rPr>
                <w:rFonts w:cs="Arial"/>
                <w:sz w:val="20"/>
                <w:szCs w:val="20"/>
              </w:rPr>
              <w:t>30/5/17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3A8E112B" w14:textId="77777777" w:rsidR="00E953C3" w:rsidRPr="008602D0" w:rsidRDefault="00E953C3" w:rsidP="00073385">
            <w:pPr>
              <w:spacing w:before="60" w:after="60" w:line="240" w:lineRule="auto"/>
              <w:ind w:left="0"/>
              <w:rPr>
                <w:rFonts w:cs="Arial"/>
                <w:sz w:val="20"/>
                <w:szCs w:val="20"/>
              </w:rPr>
            </w:pPr>
            <w:r>
              <w:rPr>
                <w:rFonts w:cs="Arial"/>
                <w:sz w:val="20"/>
                <w:szCs w:val="20"/>
              </w:rPr>
              <w:t>CarbonNet received phone call from MSV advising who we should speak to at AMSA to clarify exclusion zone arrangements.</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77356B32" w14:textId="77777777" w:rsidR="00E953C3" w:rsidRDefault="00E953C3" w:rsidP="00073385">
            <w:pPr>
              <w:spacing w:before="60" w:after="60" w:line="240" w:lineRule="auto"/>
              <w:ind w:left="0"/>
              <w:rPr>
                <w:rFonts w:cs="Arial"/>
                <w:sz w:val="20"/>
                <w:szCs w:val="20"/>
              </w:rPr>
            </w:pPr>
            <w:r>
              <w:rPr>
                <w:rFonts w:cs="Arial"/>
                <w:sz w:val="20"/>
                <w:szCs w:val="20"/>
              </w:rPr>
              <w:t>CarbonNet will follow up with AMSA to discuss.</w:t>
            </w:r>
          </w:p>
        </w:tc>
      </w:tr>
      <w:tr w:rsidR="00E953C3" w:rsidRPr="00FF0808" w14:paraId="334742E6" w14:textId="77777777" w:rsidTr="00077C5F">
        <w:tc>
          <w:tcPr>
            <w:tcW w:w="1427" w:type="dxa"/>
            <w:tcBorders>
              <w:top w:val="nil"/>
              <w:left w:val="single" w:sz="4" w:space="0" w:color="808080"/>
              <w:bottom w:val="single" w:sz="4" w:space="0" w:color="808080"/>
              <w:right w:val="single" w:sz="4" w:space="0" w:color="808080"/>
            </w:tcBorders>
            <w:shd w:val="clear" w:color="auto" w:fill="auto"/>
          </w:tcPr>
          <w:p w14:paraId="3C2AA7F5" w14:textId="77777777" w:rsidR="00E953C3" w:rsidRDefault="00E953C3" w:rsidP="00073385">
            <w:pPr>
              <w:spacing w:before="60" w:after="60" w:line="240" w:lineRule="auto"/>
              <w:ind w:left="0"/>
              <w:rPr>
                <w:rFonts w:cs="Arial"/>
                <w:sz w:val="20"/>
                <w:szCs w:val="20"/>
              </w:rPr>
            </w:pPr>
          </w:p>
        </w:tc>
        <w:tc>
          <w:tcPr>
            <w:tcW w:w="1629" w:type="dxa"/>
            <w:tcBorders>
              <w:top w:val="nil"/>
              <w:left w:val="single" w:sz="4" w:space="0" w:color="808080"/>
              <w:bottom w:val="single" w:sz="4" w:space="0" w:color="808080"/>
              <w:right w:val="single" w:sz="4" w:space="0" w:color="808080"/>
            </w:tcBorders>
            <w:shd w:val="clear" w:color="auto" w:fill="auto"/>
          </w:tcPr>
          <w:p w14:paraId="4B7A3DA4" w14:textId="77777777" w:rsidR="00E953C3"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2B9B9C0A" w14:textId="0538F88F" w:rsidR="00E953C3" w:rsidRDefault="00E953C3"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0BBDEED9" w14:textId="75A43693" w:rsidR="00E953C3" w:rsidRDefault="00E953C3"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1080ABB0" w14:textId="37CEA12F"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750A5A6F" w14:textId="77777777" w:rsidTr="00077C5F">
        <w:tc>
          <w:tcPr>
            <w:tcW w:w="14248" w:type="dxa"/>
            <w:gridSpan w:val="5"/>
            <w:shd w:val="clear" w:color="auto" w:fill="D9D9D9"/>
          </w:tcPr>
          <w:p w14:paraId="557B44C7" w14:textId="77777777" w:rsidR="00E953C3" w:rsidRPr="00FF0808" w:rsidRDefault="00E953C3" w:rsidP="00073385">
            <w:pPr>
              <w:spacing w:before="60" w:after="60" w:line="240" w:lineRule="auto"/>
              <w:ind w:left="0"/>
              <w:rPr>
                <w:rFonts w:cs="Arial"/>
                <w:sz w:val="20"/>
                <w:szCs w:val="20"/>
              </w:rPr>
            </w:pPr>
            <w:r w:rsidRPr="00FF0808">
              <w:rPr>
                <w:rFonts w:cs="Arial"/>
                <w:sz w:val="20"/>
                <w:szCs w:val="20"/>
              </w:rPr>
              <w:t>The Department of the responsible State Minister</w:t>
            </w:r>
          </w:p>
        </w:tc>
      </w:tr>
      <w:tr w:rsidR="00E953C3" w:rsidRPr="00FF0808" w14:paraId="0772FFD5" w14:textId="77777777" w:rsidTr="00077C5F">
        <w:tc>
          <w:tcPr>
            <w:tcW w:w="1427" w:type="dxa"/>
            <w:vMerge w:val="restart"/>
            <w:shd w:val="clear" w:color="auto" w:fill="auto"/>
          </w:tcPr>
          <w:p w14:paraId="293C53DB" w14:textId="77777777" w:rsidR="00E953C3" w:rsidRPr="007F054F" w:rsidRDefault="00E953C3" w:rsidP="00073385">
            <w:pPr>
              <w:spacing w:before="60" w:after="60" w:line="240" w:lineRule="auto"/>
              <w:ind w:left="0"/>
              <w:rPr>
                <w:rFonts w:cs="Arial"/>
                <w:sz w:val="20"/>
                <w:szCs w:val="20"/>
                <w:highlight w:val="green"/>
              </w:rPr>
            </w:pPr>
            <w:r w:rsidRPr="00394009">
              <w:rPr>
                <w:rFonts w:cs="Arial"/>
                <w:sz w:val="20"/>
                <w:szCs w:val="20"/>
              </w:rPr>
              <w:t>Victorian Fisheries Authority (VFA)</w:t>
            </w:r>
          </w:p>
        </w:tc>
        <w:tc>
          <w:tcPr>
            <w:tcW w:w="1629" w:type="dxa"/>
            <w:vMerge w:val="restart"/>
            <w:shd w:val="clear" w:color="auto" w:fill="auto"/>
          </w:tcPr>
          <w:p w14:paraId="0A69B1E2" w14:textId="77777777" w:rsidR="00E953C3" w:rsidRDefault="00E953C3" w:rsidP="00073385">
            <w:pPr>
              <w:spacing w:before="60" w:after="60" w:line="240" w:lineRule="auto"/>
              <w:ind w:left="0"/>
              <w:rPr>
                <w:rFonts w:cs="Arial"/>
                <w:sz w:val="20"/>
                <w:szCs w:val="20"/>
              </w:rPr>
            </w:pPr>
            <w:r>
              <w:rPr>
                <w:rFonts w:cs="Arial"/>
                <w:sz w:val="20"/>
                <w:szCs w:val="20"/>
              </w:rPr>
              <w:t>Regulator / manager of Victorian fisheries</w:t>
            </w:r>
          </w:p>
        </w:tc>
        <w:tc>
          <w:tcPr>
            <w:tcW w:w="1055" w:type="dxa"/>
          </w:tcPr>
          <w:p w14:paraId="13D9DCDB" w14:textId="77777777" w:rsidR="00E953C3" w:rsidRDefault="00E953C3" w:rsidP="00073385">
            <w:pPr>
              <w:spacing w:before="60" w:after="60" w:line="240" w:lineRule="auto"/>
              <w:ind w:left="0"/>
              <w:rPr>
                <w:rFonts w:cs="Arial"/>
                <w:sz w:val="20"/>
                <w:szCs w:val="20"/>
              </w:rPr>
            </w:pPr>
            <w:r>
              <w:rPr>
                <w:rFonts w:cs="Arial"/>
                <w:sz w:val="20"/>
                <w:szCs w:val="20"/>
              </w:rPr>
              <w:t>20/12/16</w:t>
            </w:r>
          </w:p>
        </w:tc>
        <w:tc>
          <w:tcPr>
            <w:tcW w:w="6335" w:type="dxa"/>
            <w:shd w:val="clear" w:color="auto" w:fill="auto"/>
          </w:tcPr>
          <w:p w14:paraId="21DCBCCD" w14:textId="77777777" w:rsidR="00E953C3" w:rsidRDefault="00E953C3" w:rsidP="00073385">
            <w:pPr>
              <w:spacing w:before="60" w:after="60" w:line="240" w:lineRule="auto"/>
              <w:ind w:left="0"/>
              <w:rPr>
                <w:rFonts w:cs="Arial"/>
                <w:sz w:val="20"/>
                <w:szCs w:val="20"/>
              </w:rPr>
            </w:pPr>
            <w:r>
              <w:rPr>
                <w:rFonts w:cs="Arial"/>
                <w:sz w:val="20"/>
                <w:szCs w:val="20"/>
              </w:rPr>
              <w:t>CarbonNet met with VFA to discuss plans for the proposed MSS, including stakeholder engagement with the fishing industry. VFA committed to provide fishing data for the proposed MSS area.</w:t>
            </w:r>
          </w:p>
          <w:p w14:paraId="27FA886A" w14:textId="77777777" w:rsidR="00D0136E" w:rsidRPr="00CC636C" w:rsidRDefault="00D0136E" w:rsidP="00073385">
            <w:pPr>
              <w:spacing w:before="60" w:after="60" w:line="240" w:lineRule="auto"/>
              <w:ind w:left="0"/>
              <w:rPr>
                <w:rFonts w:cs="Arial"/>
                <w:sz w:val="20"/>
                <w:szCs w:val="20"/>
              </w:rPr>
            </w:pPr>
          </w:p>
        </w:tc>
        <w:tc>
          <w:tcPr>
            <w:tcW w:w="3802" w:type="dxa"/>
            <w:shd w:val="clear" w:color="auto" w:fill="auto"/>
          </w:tcPr>
          <w:p w14:paraId="51500F97" w14:textId="50B5B6E7"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76448401" w14:textId="77777777" w:rsidTr="00077C5F">
        <w:tc>
          <w:tcPr>
            <w:tcW w:w="1427" w:type="dxa"/>
            <w:vMerge/>
            <w:tcBorders>
              <w:bottom w:val="nil"/>
            </w:tcBorders>
            <w:shd w:val="clear" w:color="auto" w:fill="auto"/>
          </w:tcPr>
          <w:p w14:paraId="61CD380A" w14:textId="77777777" w:rsidR="00E953C3" w:rsidRPr="007F054F" w:rsidRDefault="00E953C3" w:rsidP="00073385">
            <w:pPr>
              <w:spacing w:before="60" w:after="60" w:line="240" w:lineRule="auto"/>
              <w:ind w:left="0"/>
              <w:rPr>
                <w:rFonts w:cs="Arial"/>
                <w:sz w:val="20"/>
                <w:szCs w:val="20"/>
                <w:highlight w:val="green"/>
              </w:rPr>
            </w:pPr>
          </w:p>
        </w:tc>
        <w:tc>
          <w:tcPr>
            <w:tcW w:w="1629" w:type="dxa"/>
            <w:vMerge/>
            <w:tcBorders>
              <w:bottom w:val="nil"/>
            </w:tcBorders>
            <w:shd w:val="clear" w:color="auto" w:fill="auto"/>
          </w:tcPr>
          <w:p w14:paraId="18EBB12D" w14:textId="77777777" w:rsidR="00E953C3" w:rsidRPr="00FF0808" w:rsidRDefault="00E953C3" w:rsidP="00073385">
            <w:pPr>
              <w:spacing w:before="60" w:after="60" w:line="240" w:lineRule="auto"/>
              <w:ind w:left="0"/>
              <w:rPr>
                <w:rFonts w:cs="Arial"/>
                <w:sz w:val="20"/>
                <w:szCs w:val="20"/>
              </w:rPr>
            </w:pPr>
          </w:p>
        </w:tc>
        <w:tc>
          <w:tcPr>
            <w:tcW w:w="1055" w:type="dxa"/>
          </w:tcPr>
          <w:p w14:paraId="24F8C126" w14:textId="77777777" w:rsidR="00E953C3" w:rsidRDefault="00E953C3" w:rsidP="00073385">
            <w:pPr>
              <w:spacing w:before="60" w:after="60" w:line="240" w:lineRule="auto"/>
              <w:ind w:left="0"/>
              <w:rPr>
                <w:rFonts w:cs="Arial"/>
                <w:sz w:val="20"/>
                <w:szCs w:val="20"/>
              </w:rPr>
            </w:pPr>
            <w:r>
              <w:rPr>
                <w:rFonts w:cs="Arial"/>
                <w:sz w:val="20"/>
                <w:szCs w:val="20"/>
              </w:rPr>
              <w:t>23/12/16</w:t>
            </w:r>
          </w:p>
        </w:tc>
        <w:tc>
          <w:tcPr>
            <w:tcW w:w="6335" w:type="dxa"/>
            <w:shd w:val="clear" w:color="auto" w:fill="auto"/>
          </w:tcPr>
          <w:p w14:paraId="76169250" w14:textId="77777777" w:rsidR="00E953C3" w:rsidRDefault="00E953C3" w:rsidP="00073385">
            <w:pPr>
              <w:spacing w:before="60" w:after="60" w:line="240" w:lineRule="auto"/>
              <w:ind w:left="0"/>
              <w:rPr>
                <w:rFonts w:cs="Arial"/>
                <w:sz w:val="20"/>
                <w:szCs w:val="20"/>
              </w:rPr>
            </w:pPr>
            <w:r>
              <w:rPr>
                <w:rFonts w:cs="Arial"/>
                <w:sz w:val="20"/>
                <w:szCs w:val="20"/>
              </w:rPr>
              <w:t>VFA emailed CarbonNet to provide fishing data for 2006 to 2016.</w:t>
            </w:r>
          </w:p>
        </w:tc>
        <w:tc>
          <w:tcPr>
            <w:tcW w:w="3802" w:type="dxa"/>
            <w:shd w:val="clear" w:color="auto" w:fill="auto"/>
          </w:tcPr>
          <w:p w14:paraId="5AF7FA27" w14:textId="66368F29"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10CF8C72" w14:textId="77777777" w:rsidTr="00077C5F">
        <w:tc>
          <w:tcPr>
            <w:tcW w:w="1427" w:type="dxa"/>
            <w:tcBorders>
              <w:top w:val="nil"/>
              <w:left w:val="single" w:sz="4" w:space="0" w:color="808080"/>
              <w:bottom w:val="nil"/>
              <w:right w:val="single" w:sz="4" w:space="0" w:color="808080"/>
            </w:tcBorders>
            <w:shd w:val="clear" w:color="auto" w:fill="auto"/>
          </w:tcPr>
          <w:p w14:paraId="3D891266" w14:textId="77777777" w:rsidR="00E953C3" w:rsidRPr="007F054F" w:rsidRDefault="00E953C3" w:rsidP="00073385">
            <w:pPr>
              <w:spacing w:before="60" w:after="60" w:line="240" w:lineRule="auto"/>
              <w:ind w:left="0"/>
              <w:rPr>
                <w:rFonts w:cs="Arial"/>
                <w:sz w:val="20"/>
                <w:szCs w:val="20"/>
                <w:highlight w:val="green"/>
              </w:rPr>
            </w:pPr>
          </w:p>
        </w:tc>
        <w:tc>
          <w:tcPr>
            <w:tcW w:w="1629" w:type="dxa"/>
            <w:tcBorders>
              <w:top w:val="nil"/>
              <w:left w:val="single" w:sz="4" w:space="0" w:color="808080"/>
              <w:bottom w:val="nil"/>
              <w:right w:val="single" w:sz="4" w:space="0" w:color="808080"/>
            </w:tcBorders>
            <w:shd w:val="clear" w:color="auto" w:fill="auto"/>
          </w:tcPr>
          <w:p w14:paraId="4E93AC72" w14:textId="77777777" w:rsidR="00E953C3" w:rsidRPr="00FF0808"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124B5FA4" w14:textId="77777777" w:rsidR="00E953C3" w:rsidRDefault="00E953C3" w:rsidP="00073385">
            <w:pPr>
              <w:spacing w:before="60" w:after="60" w:line="240" w:lineRule="auto"/>
              <w:ind w:left="0"/>
              <w:rPr>
                <w:rFonts w:cs="Arial"/>
                <w:sz w:val="20"/>
                <w:szCs w:val="20"/>
              </w:rPr>
            </w:pPr>
            <w:r>
              <w:rPr>
                <w:rFonts w:cs="Arial"/>
                <w:sz w:val="20"/>
                <w:szCs w:val="20"/>
              </w:rPr>
              <w:t>10/1/17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70A0E254" w14:textId="77777777" w:rsidR="00E953C3" w:rsidRDefault="00E953C3" w:rsidP="00073385">
            <w:pPr>
              <w:spacing w:before="60" w:after="60" w:line="240" w:lineRule="auto"/>
              <w:ind w:left="0"/>
              <w:rPr>
                <w:rFonts w:cs="Arial"/>
                <w:sz w:val="20"/>
                <w:szCs w:val="20"/>
              </w:rPr>
            </w:pPr>
            <w:r>
              <w:rPr>
                <w:rFonts w:cs="Arial"/>
                <w:sz w:val="20"/>
                <w:szCs w:val="20"/>
              </w:rPr>
              <w:t xml:space="preserve">CarbonNet met with VFA </w:t>
            </w:r>
            <w:r w:rsidRPr="00C66B34">
              <w:rPr>
                <w:rFonts w:cs="Arial"/>
                <w:sz w:val="20"/>
                <w:szCs w:val="20"/>
              </w:rPr>
              <w:t xml:space="preserve">to provide </w:t>
            </w:r>
            <w:r>
              <w:rPr>
                <w:rFonts w:cs="Arial"/>
                <w:sz w:val="20"/>
                <w:szCs w:val="20"/>
              </w:rPr>
              <w:t xml:space="preserve">an </w:t>
            </w:r>
            <w:r w:rsidRPr="00C66B34">
              <w:rPr>
                <w:rFonts w:cs="Arial"/>
                <w:sz w:val="20"/>
                <w:szCs w:val="20"/>
              </w:rPr>
              <w:t xml:space="preserve">update on plans for </w:t>
            </w:r>
            <w:r>
              <w:rPr>
                <w:rFonts w:cs="Arial"/>
                <w:sz w:val="20"/>
                <w:szCs w:val="20"/>
              </w:rPr>
              <w:t xml:space="preserve">the </w:t>
            </w:r>
            <w:r w:rsidRPr="00C66B34">
              <w:rPr>
                <w:rFonts w:cs="Arial"/>
                <w:sz w:val="20"/>
                <w:szCs w:val="20"/>
              </w:rPr>
              <w:t>proposed seismic survey</w:t>
            </w:r>
            <w:r>
              <w:rPr>
                <w:rFonts w:cs="Arial"/>
                <w:sz w:val="20"/>
                <w:szCs w:val="20"/>
              </w:rPr>
              <w:t xml:space="preserve"> and</w:t>
            </w:r>
            <w:r w:rsidRPr="00C66B34">
              <w:rPr>
                <w:rFonts w:cs="Arial"/>
                <w:sz w:val="20"/>
                <w:szCs w:val="20"/>
              </w:rPr>
              <w:t xml:space="preserve"> requested </w:t>
            </w:r>
            <w:r>
              <w:rPr>
                <w:rFonts w:cs="Arial"/>
                <w:sz w:val="20"/>
                <w:szCs w:val="20"/>
              </w:rPr>
              <w:t xml:space="preserve">further </w:t>
            </w:r>
            <w:r w:rsidRPr="00C66B34">
              <w:rPr>
                <w:rFonts w:cs="Arial"/>
                <w:sz w:val="20"/>
                <w:szCs w:val="20"/>
              </w:rPr>
              <w:t>catch data</w:t>
            </w:r>
            <w:r>
              <w:rPr>
                <w:rFonts w:cs="Arial"/>
                <w:sz w:val="20"/>
                <w:szCs w:val="20"/>
              </w:rPr>
              <w:t xml:space="preserve">. </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6717A2DB" w14:textId="561F1087"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34167DBA" w14:textId="77777777" w:rsidTr="00077C5F">
        <w:tc>
          <w:tcPr>
            <w:tcW w:w="1427" w:type="dxa"/>
            <w:tcBorders>
              <w:top w:val="nil"/>
              <w:left w:val="single" w:sz="4" w:space="0" w:color="808080"/>
              <w:bottom w:val="nil"/>
              <w:right w:val="single" w:sz="4" w:space="0" w:color="808080"/>
            </w:tcBorders>
            <w:shd w:val="clear" w:color="auto" w:fill="auto"/>
          </w:tcPr>
          <w:p w14:paraId="054B9F93" w14:textId="77777777" w:rsidR="00E953C3" w:rsidRPr="007F054F" w:rsidRDefault="00E953C3" w:rsidP="00073385">
            <w:pPr>
              <w:spacing w:before="60" w:after="60" w:line="240" w:lineRule="auto"/>
              <w:ind w:left="0"/>
              <w:rPr>
                <w:rFonts w:cs="Arial"/>
                <w:sz w:val="20"/>
                <w:szCs w:val="20"/>
                <w:highlight w:val="green"/>
              </w:rPr>
            </w:pPr>
          </w:p>
        </w:tc>
        <w:tc>
          <w:tcPr>
            <w:tcW w:w="1629" w:type="dxa"/>
            <w:tcBorders>
              <w:top w:val="nil"/>
              <w:left w:val="single" w:sz="4" w:space="0" w:color="808080"/>
              <w:bottom w:val="nil"/>
              <w:right w:val="single" w:sz="4" w:space="0" w:color="808080"/>
            </w:tcBorders>
            <w:shd w:val="clear" w:color="auto" w:fill="auto"/>
          </w:tcPr>
          <w:p w14:paraId="413579AF" w14:textId="77777777" w:rsidR="00E953C3" w:rsidRPr="00FF0808"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B89F9A7" w14:textId="77777777" w:rsidR="00E953C3" w:rsidRDefault="00E953C3" w:rsidP="00073385">
            <w:pPr>
              <w:spacing w:before="60" w:after="60" w:line="240" w:lineRule="auto"/>
              <w:ind w:left="0"/>
              <w:rPr>
                <w:rFonts w:cs="Arial"/>
                <w:sz w:val="20"/>
                <w:szCs w:val="20"/>
              </w:rPr>
            </w:pPr>
            <w:r>
              <w:rPr>
                <w:rFonts w:cs="Arial"/>
                <w:sz w:val="20"/>
                <w:szCs w:val="20"/>
              </w:rPr>
              <w:t>11/1/17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373B55A8" w14:textId="77777777" w:rsidR="00E953C3" w:rsidRDefault="00E953C3" w:rsidP="00073385">
            <w:pPr>
              <w:spacing w:before="60" w:after="60" w:line="240" w:lineRule="auto"/>
              <w:ind w:left="0"/>
              <w:rPr>
                <w:rFonts w:cs="Arial"/>
                <w:sz w:val="20"/>
                <w:szCs w:val="20"/>
              </w:rPr>
            </w:pPr>
            <w:r>
              <w:rPr>
                <w:rFonts w:cs="Arial"/>
                <w:sz w:val="20"/>
                <w:szCs w:val="20"/>
              </w:rPr>
              <w:t xml:space="preserve">CarbonNet emailed VFA seeking clarification on the fishing data provided. </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7A51EDA3" w14:textId="00C9F5D2"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2BD349B0" w14:textId="77777777" w:rsidTr="00077C5F">
        <w:tc>
          <w:tcPr>
            <w:tcW w:w="1427" w:type="dxa"/>
            <w:tcBorders>
              <w:top w:val="nil"/>
              <w:left w:val="single" w:sz="4" w:space="0" w:color="808080"/>
              <w:bottom w:val="nil"/>
              <w:right w:val="single" w:sz="4" w:space="0" w:color="808080"/>
            </w:tcBorders>
            <w:shd w:val="clear" w:color="auto" w:fill="auto"/>
          </w:tcPr>
          <w:p w14:paraId="5DE2179E" w14:textId="77777777" w:rsidR="00E953C3" w:rsidRPr="007F054F" w:rsidRDefault="00E953C3" w:rsidP="00073385">
            <w:pPr>
              <w:spacing w:before="60" w:after="60" w:line="240" w:lineRule="auto"/>
              <w:ind w:left="0"/>
              <w:rPr>
                <w:rFonts w:cs="Arial"/>
                <w:sz w:val="20"/>
                <w:szCs w:val="20"/>
                <w:highlight w:val="green"/>
              </w:rPr>
            </w:pPr>
          </w:p>
        </w:tc>
        <w:tc>
          <w:tcPr>
            <w:tcW w:w="1629" w:type="dxa"/>
            <w:tcBorders>
              <w:top w:val="nil"/>
              <w:left w:val="single" w:sz="4" w:space="0" w:color="808080"/>
              <w:bottom w:val="nil"/>
              <w:right w:val="single" w:sz="4" w:space="0" w:color="808080"/>
            </w:tcBorders>
            <w:shd w:val="clear" w:color="auto" w:fill="auto"/>
          </w:tcPr>
          <w:p w14:paraId="45B0FA70" w14:textId="77777777" w:rsidR="00E953C3" w:rsidRPr="00FF0808"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1848610" w14:textId="77777777" w:rsidR="00E953C3" w:rsidRDefault="00E953C3" w:rsidP="00073385">
            <w:pPr>
              <w:spacing w:before="60" w:after="60" w:line="240" w:lineRule="auto"/>
              <w:ind w:left="0"/>
              <w:rPr>
                <w:rFonts w:cs="Arial"/>
                <w:sz w:val="20"/>
                <w:szCs w:val="20"/>
              </w:rPr>
            </w:pPr>
            <w:r>
              <w:rPr>
                <w:rFonts w:cs="Arial"/>
                <w:sz w:val="20"/>
                <w:szCs w:val="20"/>
              </w:rPr>
              <w:t>16/1/17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4417D274" w14:textId="77777777" w:rsidR="00E953C3" w:rsidRDefault="00E953C3" w:rsidP="00073385">
            <w:pPr>
              <w:spacing w:before="60" w:after="60" w:line="240" w:lineRule="auto"/>
              <w:ind w:left="0"/>
              <w:rPr>
                <w:rFonts w:cs="Arial"/>
                <w:sz w:val="20"/>
                <w:szCs w:val="20"/>
              </w:rPr>
            </w:pPr>
            <w:r>
              <w:rPr>
                <w:rFonts w:cs="Arial"/>
                <w:sz w:val="20"/>
                <w:szCs w:val="20"/>
              </w:rPr>
              <w:t xml:space="preserve">CarbonNet met with VFA to </w:t>
            </w:r>
            <w:r w:rsidRPr="00C66B34">
              <w:rPr>
                <w:rFonts w:cs="Arial"/>
                <w:sz w:val="20"/>
                <w:szCs w:val="20"/>
              </w:rPr>
              <w:t xml:space="preserve">discuss catch data in </w:t>
            </w:r>
            <w:r>
              <w:rPr>
                <w:rFonts w:cs="Arial"/>
                <w:sz w:val="20"/>
                <w:szCs w:val="20"/>
              </w:rPr>
              <w:t xml:space="preserve">the </w:t>
            </w:r>
            <w:r w:rsidRPr="00C66B34">
              <w:rPr>
                <w:rFonts w:cs="Arial"/>
                <w:sz w:val="20"/>
                <w:szCs w:val="20"/>
              </w:rPr>
              <w:t>proposed seismic survey area</w:t>
            </w:r>
            <w:r>
              <w:rPr>
                <w:rFonts w:cs="Arial"/>
                <w:sz w:val="20"/>
                <w:szCs w:val="20"/>
              </w:rPr>
              <w:t>.</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60F18049" w14:textId="5EE8268B"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3DF149D7" w14:textId="77777777" w:rsidTr="00077C5F">
        <w:tc>
          <w:tcPr>
            <w:tcW w:w="1427" w:type="dxa"/>
            <w:tcBorders>
              <w:top w:val="nil"/>
              <w:left w:val="single" w:sz="4" w:space="0" w:color="808080"/>
              <w:bottom w:val="nil"/>
              <w:right w:val="single" w:sz="4" w:space="0" w:color="808080"/>
            </w:tcBorders>
            <w:shd w:val="clear" w:color="auto" w:fill="auto"/>
          </w:tcPr>
          <w:p w14:paraId="63BE9E41" w14:textId="77777777" w:rsidR="00E953C3" w:rsidRPr="007F054F" w:rsidRDefault="00E953C3" w:rsidP="00073385">
            <w:pPr>
              <w:spacing w:before="60" w:after="60" w:line="240" w:lineRule="auto"/>
              <w:ind w:left="0"/>
              <w:rPr>
                <w:rFonts w:cs="Arial"/>
                <w:sz w:val="20"/>
                <w:szCs w:val="20"/>
                <w:highlight w:val="green"/>
              </w:rPr>
            </w:pPr>
          </w:p>
        </w:tc>
        <w:tc>
          <w:tcPr>
            <w:tcW w:w="1629" w:type="dxa"/>
            <w:tcBorders>
              <w:top w:val="nil"/>
              <w:left w:val="single" w:sz="4" w:space="0" w:color="808080"/>
              <w:bottom w:val="nil"/>
              <w:right w:val="single" w:sz="4" w:space="0" w:color="808080"/>
            </w:tcBorders>
            <w:shd w:val="clear" w:color="auto" w:fill="auto"/>
          </w:tcPr>
          <w:p w14:paraId="22CA2218" w14:textId="77777777" w:rsidR="00E953C3" w:rsidRPr="00FF0808"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F8ABD93" w14:textId="77777777" w:rsidR="00E953C3" w:rsidRDefault="00E953C3" w:rsidP="00073385">
            <w:pPr>
              <w:spacing w:before="60" w:after="60" w:line="240" w:lineRule="auto"/>
              <w:ind w:left="0"/>
              <w:rPr>
                <w:rFonts w:cs="Arial"/>
                <w:sz w:val="20"/>
                <w:szCs w:val="20"/>
              </w:rPr>
            </w:pPr>
            <w:r>
              <w:rPr>
                <w:rFonts w:cs="Arial"/>
                <w:sz w:val="20"/>
                <w:szCs w:val="20"/>
              </w:rPr>
              <w:t>7/2/17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4897757C" w14:textId="77777777" w:rsidR="00E953C3" w:rsidRDefault="00E953C3" w:rsidP="00073385">
            <w:pPr>
              <w:spacing w:before="60" w:after="60" w:line="240" w:lineRule="auto"/>
              <w:ind w:left="0"/>
              <w:rPr>
                <w:rFonts w:cs="Arial"/>
                <w:sz w:val="20"/>
                <w:szCs w:val="20"/>
              </w:rPr>
            </w:pPr>
            <w:r>
              <w:rPr>
                <w:rFonts w:cs="Arial"/>
                <w:sz w:val="20"/>
                <w:szCs w:val="20"/>
              </w:rPr>
              <w:t>CarbonNet met with and emailed VFA to discuss available fishing data relating to the proposed seismic survey area, and requested VFA review a fishing summary prepared by CarbonNet.</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75830204" w14:textId="0B1B979D"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27065F7F" w14:textId="77777777" w:rsidTr="00077C5F">
        <w:tc>
          <w:tcPr>
            <w:tcW w:w="1427" w:type="dxa"/>
            <w:tcBorders>
              <w:top w:val="nil"/>
              <w:left w:val="single" w:sz="4" w:space="0" w:color="808080"/>
              <w:bottom w:val="nil"/>
              <w:right w:val="single" w:sz="4" w:space="0" w:color="808080"/>
            </w:tcBorders>
            <w:shd w:val="clear" w:color="auto" w:fill="auto"/>
          </w:tcPr>
          <w:p w14:paraId="6CAA96A4" w14:textId="77777777" w:rsidR="00E953C3" w:rsidRPr="007F054F" w:rsidRDefault="00E953C3" w:rsidP="00073385">
            <w:pPr>
              <w:spacing w:before="60" w:after="60" w:line="240" w:lineRule="auto"/>
              <w:ind w:left="0"/>
              <w:rPr>
                <w:rFonts w:cs="Arial"/>
                <w:sz w:val="20"/>
                <w:szCs w:val="20"/>
                <w:highlight w:val="green"/>
              </w:rPr>
            </w:pPr>
          </w:p>
        </w:tc>
        <w:tc>
          <w:tcPr>
            <w:tcW w:w="1629" w:type="dxa"/>
            <w:tcBorders>
              <w:top w:val="nil"/>
              <w:left w:val="single" w:sz="4" w:space="0" w:color="808080"/>
              <w:bottom w:val="nil"/>
              <w:right w:val="single" w:sz="4" w:space="0" w:color="808080"/>
            </w:tcBorders>
            <w:shd w:val="clear" w:color="auto" w:fill="auto"/>
          </w:tcPr>
          <w:p w14:paraId="6762141A" w14:textId="77777777" w:rsidR="00E953C3" w:rsidRPr="00FF0808"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8AA1352" w14:textId="77777777" w:rsidR="00E953C3" w:rsidRDefault="00E953C3" w:rsidP="00073385">
            <w:pPr>
              <w:spacing w:before="60" w:after="60" w:line="240" w:lineRule="auto"/>
              <w:ind w:left="0"/>
              <w:rPr>
                <w:rFonts w:cs="Arial"/>
                <w:sz w:val="20"/>
                <w:szCs w:val="20"/>
              </w:rPr>
            </w:pPr>
            <w:r>
              <w:rPr>
                <w:rFonts w:cs="Arial"/>
                <w:sz w:val="20"/>
                <w:szCs w:val="20"/>
              </w:rPr>
              <w:t>14/2/17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6FB3FD83" w14:textId="77777777" w:rsidR="00E953C3" w:rsidRDefault="00E953C3" w:rsidP="00073385">
            <w:pPr>
              <w:spacing w:before="60" w:after="60" w:line="240" w:lineRule="auto"/>
              <w:ind w:left="0"/>
              <w:rPr>
                <w:rFonts w:cs="Arial"/>
                <w:sz w:val="20"/>
                <w:szCs w:val="20"/>
              </w:rPr>
            </w:pPr>
            <w:r>
              <w:rPr>
                <w:rFonts w:cs="Arial"/>
                <w:sz w:val="20"/>
                <w:szCs w:val="20"/>
              </w:rPr>
              <w:t>VFA emailed CarbonNet to provide a copy of the VFA commercial fish production information bulletin dated 2015.</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67118ACA" w14:textId="3C941D4E"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1BC9F537" w14:textId="77777777" w:rsidTr="00077C5F">
        <w:tc>
          <w:tcPr>
            <w:tcW w:w="1427" w:type="dxa"/>
            <w:tcBorders>
              <w:top w:val="nil"/>
              <w:left w:val="single" w:sz="4" w:space="0" w:color="808080"/>
              <w:bottom w:val="nil"/>
              <w:right w:val="single" w:sz="4" w:space="0" w:color="808080"/>
            </w:tcBorders>
            <w:shd w:val="clear" w:color="auto" w:fill="auto"/>
          </w:tcPr>
          <w:p w14:paraId="3A8A4522" w14:textId="77777777" w:rsidR="00E953C3" w:rsidRPr="007F054F" w:rsidRDefault="00E953C3" w:rsidP="00073385">
            <w:pPr>
              <w:spacing w:before="60" w:after="60" w:line="240" w:lineRule="auto"/>
              <w:ind w:left="0"/>
              <w:rPr>
                <w:rFonts w:cs="Arial"/>
                <w:sz w:val="20"/>
                <w:szCs w:val="20"/>
                <w:highlight w:val="green"/>
              </w:rPr>
            </w:pPr>
          </w:p>
        </w:tc>
        <w:tc>
          <w:tcPr>
            <w:tcW w:w="1629" w:type="dxa"/>
            <w:tcBorders>
              <w:top w:val="nil"/>
              <w:left w:val="single" w:sz="4" w:space="0" w:color="808080"/>
              <w:bottom w:val="nil"/>
              <w:right w:val="single" w:sz="4" w:space="0" w:color="808080"/>
            </w:tcBorders>
            <w:shd w:val="clear" w:color="auto" w:fill="auto"/>
          </w:tcPr>
          <w:p w14:paraId="658AF374" w14:textId="77777777" w:rsidR="00E953C3" w:rsidRPr="00FF0808" w:rsidRDefault="00E953C3"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1EAA9BA2" w14:textId="77777777" w:rsidR="00E953C3" w:rsidRDefault="00E953C3" w:rsidP="00073385">
            <w:pPr>
              <w:spacing w:before="60" w:after="60" w:line="240" w:lineRule="auto"/>
              <w:ind w:left="0"/>
              <w:rPr>
                <w:rFonts w:cs="Arial"/>
                <w:sz w:val="20"/>
                <w:szCs w:val="20"/>
              </w:rPr>
            </w:pPr>
            <w:r>
              <w:rPr>
                <w:rFonts w:cs="Arial"/>
                <w:sz w:val="20"/>
                <w:szCs w:val="20"/>
              </w:rPr>
              <w:t>27/2/17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12215E4F" w14:textId="77777777" w:rsidR="00E953C3" w:rsidRDefault="00E953C3" w:rsidP="00073385">
            <w:pPr>
              <w:spacing w:before="60" w:after="60" w:line="240" w:lineRule="auto"/>
              <w:ind w:left="0"/>
              <w:rPr>
                <w:rFonts w:cs="Arial"/>
                <w:sz w:val="20"/>
                <w:szCs w:val="20"/>
              </w:rPr>
            </w:pPr>
            <w:r>
              <w:rPr>
                <w:rFonts w:cs="Arial"/>
                <w:sz w:val="20"/>
                <w:szCs w:val="20"/>
              </w:rPr>
              <w:t>VFA emailed CarbonNet to provide a review of CarbonNet’s fishing summary.</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252BC8FA" w14:textId="77777777" w:rsidR="00E953C3" w:rsidRDefault="00E953C3" w:rsidP="00073385">
            <w:pPr>
              <w:spacing w:before="60" w:after="60" w:line="240" w:lineRule="auto"/>
              <w:ind w:left="0"/>
              <w:rPr>
                <w:rFonts w:cs="Arial"/>
                <w:sz w:val="20"/>
                <w:szCs w:val="20"/>
              </w:rPr>
            </w:pPr>
            <w:r w:rsidRPr="00290CF4">
              <w:rPr>
                <w:rFonts w:cs="Arial"/>
                <w:sz w:val="20"/>
                <w:szCs w:val="20"/>
              </w:rPr>
              <w:t>CarbonNet incorporated this information into the EP.</w:t>
            </w:r>
          </w:p>
        </w:tc>
      </w:tr>
      <w:tr w:rsidR="00E953C3" w:rsidRPr="00FF0808" w14:paraId="5E3AC436" w14:textId="77777777" w:rsidTr="00077C5F">
        <w:tc>
          <w:tcPr>
            <w:tcW w:w="1427" w:type="dxa"/>
            <w:tcBorders>
              <w:top w:val="nil"/>
              <w:bottom w:val="nil"/>
            </w:tcBorders>
            <w:shd w:val="clear" w:color="auto" w:fill="auto"/>
          </w:tcPr>
          <w:p w14:paraId="2DD10304" w14:textId="77777777" w:rsidR="00E953C3" w:rsidRPr="007F054F" w:rsidRDefault="00E953C3" w:rsidP="00073385">
            <w:pPr>
              <w:spacing w:before="60" w:after="60" w:line="240" w:lineRule="auto"/>
              <w:ind w:left="0"/>
              <w:rPr>
                <w:rFonts w:cs="Arial"/>
                <w:sz w:val="20"/>
                <w:szCs w:val="20"/>
                <w:highlight w:val="green"/>
              </w:rPr>
            </w:pPr>
          </w:p>
        </w:tc>
        <w:tc>
          <w:tcPr>
            <w:tcW w:w="1629" w:type="dxa"/>
            <w:tcBorders>
              <w:top w:val="nil"/>
              <w:bottom w:val="nil"/>
            </w:tcBorders>
            <w:shd w:val="clear" w:color="auto" w:fill="auto"/>
          </w:tcPr>
          <w:p w14:paraId="466D8798" w14:textId="77777777" w:rsidR="00E953C3" w:rsidRPr="00FF0808" w:rsidRDefault="00E953C3" w:rsidP="00073385">
            <w:pPr>
              <w:spacing w:before="60" w:after="60" w:line="240" w:lineRule="auto"/>
              <w:ind w:left="0"/>
              <w:rPr>
                <w:rFonts w:cs="Arial"/>
                <w:sz w:val="20"/>
                <w:szCs w:val="20"/>
              </w:rPr>
            </w:pPr>
          </w:p>
        </w:tc>
        <w:tc>
          <w:tcPr>
            <w:tcW w:w="1055" w:type="dxa"/>
          </w:tcPr>
          <w:p w14:paraId="72F7B592" w14:textId="77777777" w:rsidR="00E953C3" w:rsidRDefault="00E953C3" w:rsidP="00073385">
            <w:pPr>
              <w:spacing w:before="60" w:after="60" w:line="240" w:lineRule="auto"/>
              <w:ind w:left="0"/>
              <w:rPr>
                <w:rFonts w:cs="Arial"/>
                <w:sz w:val="20"/>
                <w:szCs w:val="20"/>
              </w:rPr>
            </w:pPr>
            <w:r>
              <w:rPr>
                <w:rFonts w:cs="Arial"/>
                <w:sz w:val="20"/>
                <w:szCs w:val="20"/>
              </w:rPr>
              <w:t>1/3/17</w:t>
            </w:r>
          </w:p>
        </w:tc>
        <w:tc>
          <w:tcPr>
            <w:tcW w:w="6335" w:type="dxa"/>
            <w:shd w:val="clear" w:color="auto" w:fill="auto"/>
          </w:tcPr>
          <w:p w14:paraId="23FD9CB3" w14:textId="77777777" w:rsidR="00E953C3" w:rsidRDefault="00E953C3" w:rsidP="00073385">
            <w:pPr>
              <w:spacing w:before="60" w:after="60" w:line="240" w:lineRule="auto"/>
              <w:ind w:left="0"/>
              <w:rPr>
                <w:rFonts w:cs="Arial"/>
                <w:sz w:val="20"/>
                <w:szCs w:val="20"/>
              </w:rPr>
            </w:pPr>
            <w:r>
              <w:rPr>
                <w:rFonts w:cs="Arial"/>
                <w:sz w:val="20"/>
                <w:szCs w:val="20"/>
              </w:rPr>
              <w:t>CarbonNet wrote to VFA to formally request assistance with validating claims about catch history and in attending meetings as an observer.</w:t>
            </w:r>
          </w:p>
          <w:p w14:paraId="3AAAF984" w14:textId="77777777" w:rsidR="00E953C3" w:rsidRPr="00CC636C" w:rsidRDefault="00E953C3" w:rsidP="00073385">
            <w:pPr>
              <w:spacing w:before="60" w:after="60" w:line="240" w:lineRule="auto"/>
              <w:ind w:left="0"/>
              <w:rPr>
                <w:rFonts w:cs="Arial"/>
                <w:sz w:val="20"/>
                <w:szCs w:val="20"/>
              </w:rPr>
            </w:pPr>
            <w:r>
              <w:rPr>
                <w:rFonts w:cs="Arial"/>
                <w:sz w:val="20"/>
                <w:szCs w:val="20"/>
              </w:rPr>
              <w:t>VFA responded to confirm their assistance with the MSS.</w:t>
            </w:r>
          </w:p>
        </w:tc>
        <w:tc>
          <w:tcPr>
            <w:tcW w:w="3802" w:type="dxa"/>
            <w:shd w:val="clear" w:color="auto" w:fill="auto"/>
          </w:tcPr>
          <w:p w14:paraId="4C3311B2" w14:textId="01026654"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782FAD77" w14:textId="77777777" w:rsidTr="00077C5F">
        <w:tc>
          <w:tcPr>
            <w:tcW w:w="1427" w:type="dxa"/>
            <w:tcBorders>
              <w:top w:val="nil"/>
              <w:bottom w:val="nil"/>
            </w:tcBorders>
            <w:shd w:val="clear" w:color="auto" w:fill="auto"/>
          </w:tcPr>
          <w:p w14:paraId="0F8630B3" w14:textId="77777777" w:rsidR="00E953C3" w:rsidRPr="007F054F" w:rsidRDefault="00E953C3" w:rsidP="00073385">
            <w:pPr>
              <w:spacing w:before="60" w:after="60" w:line="240" w:lineRule="auto"/>
              <w:ind w:left="0"/>
              <w:rPr>
                <w:rFonts w:cs="Arial"/>
                <w:sz w:val="20"/>
                <w:szCs w:val="20"/>
                <w:highlight w:val="green"/>
              </w:rPr>
            </w:pPr>
          </w:p>
        </w:tc>
        <w:tc>
          <w:tcPr>
            <w:tcW w:w="1629" w:type="dxa"/>
            <w:tcBorders>
              <w:top w:val="nil"/>
              <w:bottom w:val="nil"/>
            </w:tcBorders>
            <w:shd w:val="clear" w:color="auto" w:fill="auto"/>
          </w:tcPr>
          <w:p w14:paraId="2A06F7C7" w14:textId="77777777" w:rsidR="00E953C3" w:rsidRPr="00FF0808" w:rsidRDefault="00E953C3" w:rsidP="00073385">
            <w:pPr>
              <w:spacing w:before="60" w:after="60" w:line="240" w:lineRule="auto"/>
              <w:ind w:left="0"/>
              <w:rPr>
                <w:rFonts w:cs="Arial"/>
                <w:sz w:val="20"/>
                <w:szCs w:val="20"/>
              </w:rPr>
            </w:pPr>
          </w:p>
        </w:tc>
        <w:tc>
          <w:tcPr>
            <w:tcW w:w="1055" w:type="dxa"/>
          </w:tcPr>
          <w:p w14:paraId="685C6256" w14:textId="77777777" w:rsidR="00E953C3" w:rsidRDefault="00E953C3"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3B355D4D" w14:textId="77777777" w:rsidR="00E953C3" w:rsidRDefault="00E953C3" w:rsidP="00073385">
            <w:pPr>
              <w:spacing w:before="60" w:after="60" w:line="240" w:lineRule="auto"/>
              <w:ind w:left="0"/>
              <w:rPr>
                <w:rFonts w:cs="Arial"/>
                <w:sz w:val="20"/>
                <w:szCs w:val="20"/>
              </w:rPr>
            </w:pPr>
            <w:r>
              <w:rPr>
                <w:rFonts w:cs="Arial"/>
                <w:sz w:val="20"/>
                <w:szCs w:val="20"/>
              </w:rPr>
              <w:t>CarbonNet sent VFA a letter including fact sheet and contact details.</w:t>
            </w:r>
          </w:p>
          <w:p w14:paraId="567FC249" w14:textId="77777777" w:rsidR="00E953C3" w:rsidRPr="00CC636C" w:rsidRDefault="00E953C3" w:rsidP="00073385">
            <w:pPr>
              <w:spacing w:before="60" w:after="60" w:line="240" w:lineRule="auto"/>
              <w:ind w:left="0"/>
              <w:rPr>
                <w:rFonts w:cs="Arial"/>
                <w:sz w:val="20"/>
                <w:szCs w:val="20"/>
              </w:rPr>
            </w:pPr>
            <w:r>
              <w:rPr>
                <w:rFonts w:cs="Arial"/>
                <w:sz w:val="20"/>
                <w:szCs w:val="20"/>
              </w:rPr>
              <w:t>CarbonNet provided 9 copies of a stakeholder letter with a fact sheet to VFA to send to individual licence holders with catch and effort history in the MSS area. The letter invited feedback and provided contact details. (See entry under ‘</w:t>
            </w:r>
            <w:r w:rsidRPr="000C35DE">
              <w:rPr>
                <w:rFonts w:cs="Arial"/>
                <w:sz w:val="20"/>
                <w:szCs w:val="20"/>
              </w:rPr>
              <w:t>Individual fishing licence holders</w:t>
            </w:r>
            <w:r>
              <w:rPr>
                <w:rFonts w:cs="Arial"/>
                <w:sz w:val="20"/>
                <w:szCs w:val="20"/>
              </w:rPr>
              <w:t>’.</w:t>
            </w:r>
          </w:p>
        </w:tc>
        <w:tc>
          <w:tcPr>
            <w:tcW w:w="3802" w:type="dxa"/>
            <w:shd w:val="clear" w:color="auto" w:fill="auto"/>
          </w:tcPr>
          <w:p w14:paraId="7E4D57D6" w14:textId="541C4C00"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3AEBA454" w14:textId="77777777" w:rsidTr="00077C5F">
        <w:tc>
          <w:tcPr>
            <w:tcW w:w="1427" w:type="dxa"/>
            <w:tcBorders>
              <w:top w:val="nil"/>
              <w:bottom w:val="nil"/>
            </w:tcBorders>
            <w:shd w:val="clear" w:color="auto" w:fill="auto"/>
          </w:tcPr>
          <w:p w14:paraId="581EB0AE" w14:textId="77777777" w:rsidR="00E953C3" w:rsidRPr="007F054F" w:rsidRDefault="00E953C3" w:rsidP="00073385">
            <w:pPr>
              <w:spacing w:before="60" w:after="60" w:line="240" w:lineRule="auto"/>
              <w:ind w:left="0"/>
              <w:rPr>
                <w:rFonts w:cs="Arial"/>
                <w:sz w:val="20"/>
                <w:szCs w:val="20"/>
                <w:highlight w:val="green"/>
              </w:rPr>
            </w:pPr>
          </w:p>
        </w:tc>
        <w:tc>
          <w:tcPr>
            <w:tcW w:w="1629" w:type="dxa"/>
            <w:tcBorders>
              <w:top w:val="nil"/>
              <w:bottom w:val="nil"/>
            </w:tcBorders>
            <w:shd w:val="clear" w:color="auto" w:fill="auto"/>
          </w:tcPr>
          <w:p w14:paraId="2C6CE631" w14:textId="77777777" w:rsidR="00E953C3" w:rsidRPr="0099754C" w:rsidRDefault="00E953C3" w:rsidP="00073385">
            <w:pPr>
              <w:spacing w:before="60" w:after="60" w:line="240" w:lineRule="auto"/>
              <w:ind w:left="0"/>
              <w:rPr>
                <w:rFonts w:cs="Arial"/>
                <w:sz w:val="20"/>
                <w:szCs w:val="20"/>
                <w:highlight w:val="yellow"/>
              </w:rPr>
            </w:pPr>
          </w:p>
        </w:tc>
        <w:tc>
          <w:tcPr>
            <w:tcW w:w="1055" w:type="dxa"/>
          </w:tcPr>
          <w:p w14:paraId="68C7BD9D" w14:textId="77777777" w:rsidR="00E953C3" w:rsidRPr="00394009" w:rsidRDefault="00E953C3" w:rsidP="00073385">
            <w:pPr>
              <w:keepNext/>
              <w:tabs>
                <w:tab w:val="left" w:pos="720"/>
              </w:tabs>
              <w:spacing w:before="60" w:after="60" w:line="240" w:lineRule="auto"/>
              <w:ind w:left="0"/>
              <w:outlineLvl w:val="1"/>
              <w:rPr>
                <w:rFonts w:cs="Arial"/>
                <w:sz w:val="20"/>
                <w:szCs w:val="20"/>
                <w:highlight w:val="yellow"/>
              </w:rPr>
            </w:pPr>
            <w:bookmarkStart w:id="135" w:name="_Toc496019633"/>
            <w:r w:rsidRPr="003150D5">
              <w:rPr>
                <w:rFonts w:cs="Arial"/>
                <w:sz w:val="20"/>
                <w:szCs w:val="20"/>
              </w:rPr>
              <w:t>8/5/17</w:t>
            </w:r>
            <w:bookmarkEnd w:id="135"/>
          </w:p>
        </w:tc>
        <w:tc>
          <w:tcPr>
            <w:tcW w:w="6335" w:type="dxa"/>
            <w:shd w:val="clear" w:color="auto" w:fill="auto"/>
          </w:tcPr>
          <w:p w14:paraId="51C22BBE" w14:textId="77777777" w:rsidR="00E953C3" w:rsidRPr="00394009" w:rsidRDefault="00E953C3" w:rsidP="00073385">
            <w:pPr>
              <w:keepNext/>
              <w:tabs>
                <w:tab w:val="left" w:pos="720"/>
              </w:tabs>
              <w:spacing w:before="60" w:after="60" w:line="240" w:lineRule="auto"/>
              <w:ind w:left="0"/>
              <w:outlineLvl w:val="1"/>
              <w:rPr>
                <w:rFonts w:cs="Arial"/>
                <w:sz w:val="20"/>
                <w:szCs w:val="20"/>
                <w:highlight w:val="yellow"/>
              </w:rPr>
            </w:pPr>
            <w:bookmarkStart w:id="136" w:name="_Toc496019634"/>
            <w:r w:rsidRPr="003150D5">
              <w:rPr>
                <w:rFonts w:cs="Arial"/>
                <w:sz w:val="20"/>
                <w:szCs w:val="20"/>
              </w:rPr>
              <w:t xml:space="preserve">VFA </w:t>
            </w:r>
            <w:r>
              <w:rPr>
                <w:rFonts w:cs="Arial"/>
                <w:sz w:val="20"/>
                <w:szCs w:val="20"/>
              </w:rPr>
              <w:t xml:space="preserve">emailed CarbonNet to provide </w:t>
            </w:r>
            <w:r w:rsidRPr="003150D5">
              <w:rPr>
                <w:rFonts w:cs="Arial"/>
                <w:sz w:val="20"/>
                <w:szCs w:val="20"/>
              </w:rPr>
              <w:t>data on catch and effort</w:t>
            </w:r>
            <w:r>
              <w:rPr>
                <w:rFonts w:cs="Arial"/>
                <w:sz w:val="20"/>
                <w:szCs w:val="20"/>
              </w:rPr>
              <w:t>, and total value</w:t>
            </w:r>
            <w:r w:rsidRPr="003150D5">
              <w:rPr>
                <w:rFonts w:cs="Arial"/>
                <w:sz w:val="20"/>
                <w:szCs w:val="20"/>
              </w:rPr>
              <w:t xml:space="preserve"> in CarbonNet’s proposed MSS area.</w:t>
            </w:r>
            <w:bookmarkEnd w:id="136"/>
          </w:p>
        </w:tc>
        <w:tc>
          <w:tcPr>
            <w:tcW w:w="3802" w:type="dxa"/>
            <w:shd w:val="clear" w:color="auto" w:fill="auto"/>
          </w:tcPr>
          <w:p w14:paraId="2114ED98" w14:textId="77777777" w:rsidR="00E953C3" w:rsidRDefault="00E953C3" w:rsidP="00073385">
            <w:pPr>
              <w:spacing w:before="60" w:after="60" w:line="240" w:lineRule="auto"/>
              <w:ind w:left="0"/>
              <w:rPr>
                <w:rFonts w:cs="Arial"/>
                <w:sz w:val="20"/>
                <w:szCs w:val="20"/>
              </w:rPr>
            </w:pPr>
            <w:r w:rsidRPr="00394009">
              <w:rPr>
                <w:rFonts w:cs="Arial"/>
                <w:sz w:val="20"/>
                <w:szCs w:val="20"/>
              </w:rPr>
              <w:t>CarbonNet incorporated this information into the EP.</w:t>
            </w:r>
          </w:p>
        </w:tc>
      </w:tr>
      <w:tr w:rsidR="00E953C3" w:rsidRPr="00FF0808" w14:paraId="279A071F" w14:textId="77777777" w:rsidTr="00077C5F">
        <w:tc>
          <w:tcPr>
            <w:tcW w:w="1427" w:type="dxa"/>
            <w:tcBorders>
              <w:top w:val="nil"/>
              <w:bottom w:val="nil"/>
            </w:tcBorders>
            <w:shd w:val="clear" w:color="auto" w:fill="auto"/>
          </w:tcPr>
          <w:p w14:paraId="7D0C089F" w14:textId="77777777" w:rsidR="00E953C3" w:rsidRPr="007F054F" w:rsidRDefault="00E953C3" w:rsidP="00073385">
            <w:pPr>
              <w:spacing w:before="60" w:after="60" w:line="240" w:lineRule="auto"/>
              <w:ind w:left="0"/>
              <w:rPr>
                <w:rFonts w:cs="Arial"/>
                <w:sz w:val="20"/>
                <w:szCs w:val="20"/>
                <w:highlight w:val="green"/>
              </w:rPr>
            </w:pPr>
          </w:p>
        </w:tc>
        <w:tc>
          <w:tcPr>
            <w:tcW w:w="1629" w:type="dxa"/>
            <w:tcBorders>
              <w:top w:val="nil"/>
              <w:bottom w:val="nil"/>
            </w:tcBorders>
            <w:shd w:val="clear" w:color="auto" w:fill="auto"/>
          </w:tcPr>
          <w:p w14:paraId="51B3C15C" w14:textId="77777777" w:rsidR="00E953C3" w:rsidRPr="00FF0808" w:rsidRDefault="00E953C3" w:rsidP="00073385">
            <w:pPr>
              <w:spacing w:before="60" w:after="60" w:line="240" w:lineRule="auto"/>
              <w:ind w:left="0"/>
              <w:rPr>
                <w:rFonts w:cs="Arial"/>
                <w:sz w:val="20"/>
                <w:szCs w:val="20"/>
              </w:rPr>
            </w:pPr>
          </w:p>
        </w:tc>
        <w:tc>
          <w:tcPr>
            <w:tcW w:w="1055" w:type="dxa"/>
          </w:tcPr>
          <w:p w14:paraId="780DBB2A" w14:textId="77777777" w:rsidR="00E953C3" w:rsidRDefault="00E953C3" w:rsidP="00073385">
            <w:pPr>
              <w:spacing w:before="60" w:after="60" w:line="240" w:lineRule="auto"/>
              <w:ind w:left="0"/>
              <w:rPr>
                <w:rFonts w:cs="Arial"/>
                <w:sz w:val="20"/>
                <w:szCs w:val="20"/>
              </w:rPr>
            </w:pPr>
            <w:r>
              <w:rPr>
                <w:rFonts w:cs="Arial"/>
                <w:sz w:val="20"/>
                <w:szCs w:val="20"/>
              </w:rPr>
              <w:t>23/6/17</w:t>
            </w:r>
          </w:p>
        </w:tc>
        <w:tc>
          <w:tcPr>
            <w:tcW w:w="6335" w:type="dxa"/>
            <w:shd w:val="clear" w:color="auto" w:fill="auto"/>
          </w:tcPr>
          <w:p w14:paraId="41D224CE" w14:textId="77777777" w:rsidR="00E953C3" w:rsidRPr="00CC636C" w:rsidRDefault="00E953C3" w:rsidP="00073385">
            <w:pPr>
              <w:spacing w:before="60" w:after="60" w:line="240" w:lineRule="auto"/>
              <w:ind w:left="0"/>
              <w:rPr>
                <w:rFonts w:cs="Arial"/>
                <w:sz w:val="20"/>
                <w:szCs w:val="20"/>
              </w:rPr>
            </w:pPr>
            <w:r>
              <w:rPr>
                <w:rFonts w:cs="Arial"/>
                <w:sz w:val="20"/>
                <w:szCs w:val="20"/>
              </w:rPr>
              <w:t>CarbonNet confirmed with VFA that the fishing licence holders that had been contacted by SIV were the same 9 licence holders who were sent a letter by VFA on behalf of CarbonNet in March. VFA phoned 7 of the 9 to follow up and 2 are no longer licenced.</w:t>
            </w:r>
          </w:p>
        </w:tc>
        <w:tc>
          <w:tcPr>
            <w:tcW w:w="3802" w:type="dxa"/>
            <w:shd w:val="clear" w:color="auto" w:fill="auto"/>
          </w:tcPr>
          <w:p w14:paraId="35DAD7EA" w14:textId="5C9C91A3"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FF0808" w14:paraId="76B964A8" w14:textId="77777777" w:rsidTr="00077C5F">
        <w:tc>
          <w:tcPr>
            <w:tcW w:w="1427" w:type="dxa"/>
            <w:tcBorders>
              <w:top w:val="nil"/>
              <w:bottom w:val="nil"/>
            </w:tcBorders>
            <w:shd w:val="clear" w:color="auto" w:fill="auto"/>
          </w:tcPr>
          <w:p w14:paraId="5B10054E" w14:textId="77777777" w:rsidR="00E953C3" w:rsidRPr="00394009" w:rsidRDefault="00E953C3" w:rsidP="00073385">
            <w:pPr>
              <w:spacing w:before="60" w:after="60" w:line="240" w:lineRule="auto"/>
              <w:ind w:left="0"/>
              <w:rPr>
                <w:rFonts w:cs="Arial"/>
                <w:sz w:val="20"/>
                <w:szCs w:val="20"/>
                <w:highlight w:val="green"/>
              </w:rPr>
            </w:pPr>
          </w:p>
        </w:tc>
        <w:tc>
          <w:tcPr>
            <w:tcW w:w="1629" w:type="dxa"/>
            <w:tcBorders>
              <w:top w:val="nil"/>
              <w:bottom w:val="nil"/>
            </w:tcBorders>
            <w:shd w:val="clear" w:color="auto" w:fill="auto"/>
          </w:tcPr>
          <w:p w14:paraId="10A86166" w14:textId="77777777" w:rsidR="00E953C3" w:rsidRPr="00FF0808" w:rsidRDefault="00E953C3" w:rsidP="00073385">
            <w:pPr>
              <w:spacing w:before="60" w:after="60" w:line="240" w:lineRule="auto"/>
              <w:ind w:left="0"/>
              <w:rPr>
                <w:rFonts w:cs="Arial"/>
                <w:sz w:val="20"/>
                <w:szCs w:val="20"/>
              </w:rPr>
            </w:pPr>
          </w:p>
        </w:tc>
        <w:tc>
          <w:tcPr>
            <w:tcW w:w="1055" w:type="dxa"/>
          </w:tcPr>
          <w:p w14:paraId="26AD344A" w14:textId="77777777" w:rsidR="00E953C3" w:rsidRPr="00FF0808" w:rsidRDefault="00E953C3" w:rsidP="00073385">
            <w:pPr>
              <w:spacing w:before="60" w:after="60" w:line="240" w:lineRule="auto"/>
              <w:ind w:left="0"/>
              <w:rPr>
                <w:rFonts w:cs="Arial"/>
                <w:sz w:val="20"/>
                <w:szCs w:val="20"/>
              </w:rPr>
            </w:pPr>
            <w:r>
              <w:rPr>
                <w:rFonts w:cs="Arial"/>
                <w:sz w:val="20"/>
                <w:szCs w:val="20"/>
              </w:rPr>
              <w:t>21/7/17</w:t>
            </w:r>
          </w:p>
        </w:tc>
        <w:tc>
          <w:tcPr>
            <w:tcW w:w="6335" w:type="dxa"/>
            <w:shd w:val="clear" w:color="auto" w:fill="auto"/>
          </w:tcPr>
          <w:p w14:paraId="5DBBB121" w14:textId="77777777" w:rsidR="00E953C3" w:rsidRPr="00CC636C" w:rsidRDefault="00E953C3" w:rsidP="00073385">
            <w:pPr>
              <w:spacing w:before="60" w:after="60" w:line="240" w:lineRule="auto"/>
              <w:ind w:left="0"/>
              <w:rPr>
                <w:rFonts w:cs="Arial"/>
                <w:sz w:val="20"/>
                <w:szCs w:val="20"/>
              </w:rPr>
            </w:pPr>
            <w:r w:rsidRPr="00CC636C">
              <w:rPr>
                <w:rFonts w:cs="Arial"/>
                <w:sz w:val="20"/>
                <w:szCs w:val="20"/>
              </w:rPr>
              <w:t xml:space="preserve">CarbonNet attended a meeting in Melbourne called by and chaired </w:t>
            </w:r>
            <w:r w:rsidRPr="00CC636C">
              <w:rPr>
                <w:rFonts w:cs="Arial"/>
                <w:sz w:val="20"/>
                <w:szCs w:val="20"/>
              </w:rPr>
              <w:lastRenderedPageBreak/>
              <w:t>by VSFA. SIV and VFA also attended.  (See summary of meeting listed under VSFA.)</w:t>
            </w:r>
          </w:p>
          <w:p w14:paraId="50BBAD10" w14:textId="77777777" w:rsidR="00E953C3" w:rsidRPr="00CC636C" w:rsidRDefault="00E953C3" w:rsidP="00073385">
            <w:pPr>
              <w:spacing w:before="60" w:after="60" w:line="240" w:lineRule="auto"/>
              <w:ind w:left="0"/>
              <w:rPr>
                <w:rFonts w:cs="Arial"/>
                <w:sz w:val="20"/>
                <w:szCs w:val="20"/>
              </w:rPr>
            </w:pPr>
            <w:r w:rsidRPr="00CC636C">
              <w:rPr>
                <w:rFonts w:cs="Arial"/>
                <w:sz w:val="20"/>
                <w:szCs w:val="20"/>
              </w:rPr>
              <w:t xml:space="preserve">Of particular note to </w:t>
            </w:r>
            <w:r>
              <w:rPr>
                <w:rFonts w:cs="Arial"/>
                <w:sz w:val="20"/>
                <w:szCs w:val="20"/>
              </w:rPr>
              <w:t>VFA</w:t>
            </w:r>
            <w:r w:rsidRPr="00CC636C">
              <w:rPr>
                <w:rFonts w:cs="Arial"/>
                <w:sz w:val="20"/>
                <w:szCs w:val="20"/>
              </w:rPr>
              <w:t xml:space="preserve">, they clarified that their role is not to advocate for any parties or to play a regulatory role in this process. VFA will seek to ensure all parties have adequate, appropriate and validated information. </w:t>
            </w:r>
          </w:p>
          <w:p w14:paraId="4AEB1AE6" w14:textId="77777777" w:rsidR="00E953C3" w:rsidRDefault="00E953C3" w:rsidP="00073385">
            <w:pPr>
              <w:spacing w:before="60" w:after="60" w:line="240" w:lineRule="auto"/>
              <w:ind w:left="0"/>
              <w:rPr>
                <w:rFonts w:cs="Arial"/>
                <w:sz w:val="20"/>
                <w:szCs w:val="20"/>
              </w:rPr>
            </w:pPr>
            <w:r w:rsidRPr="00CC636C">
              <w:rPr>
                <w:rFonts w:cs="Arial"/>
                <w:sz w:val="20"/>
                <w:szCs w:val="20"/>
              </w:rPr>
              <w:t>VFA will look at the information provided by SIV re scallops that are claimed to have been dredged from the survey area recently and validate this information, taking into account VMS/GPS logs and other data available to them.</w:t>
            </w:r>
          </w:p>
          <w:p w14:paraId="4D779BB7" w14:textId="77777777" w:rsidR="00E953C3" w:rsidRPr="00FF0808" w:rsidRDefault="00E953C3" w:rsidP="00073385">
            <w:pPr>
              <w:spacing w:before="60" w:after="60" w:line="240" w:lineRule="auto"/>
              <w:ind w:left="0"/>
              <w:rPr>
                <w:rFonts w:cs="Arial"/>
                <w:sz w:val="20"/>
                <w:szCs w:val="20"/>
              </w:rPr>
            </w:pPr>
            <w:r>
              <w:rPr>
                <w:rFonts w:cs="Arial"/>
                <w:sz w:val="20"/>
                <w:szCs w:val="20"/>
              </w:rPr>
              <w:t>VFA is happy to attend future meetings.</w:t>
            </w:r>
          </w:p>
        </w:tc>
        <w:tc>
          <w:tcPr>
            <w:tcW w:w="3802" w:type="dxa"/>
            <w:shd w:val="clear" w:color="auto" w:fill="auto"/>
          </w:tcPr>
          <w:p w14:paraId="009D94F3" w14:textId="77777777" w:rsidR="00E953C3" w:rsidRDefault="00E953C3" w:rsidP="00073385">
            <w:pPr>
              <w:spacing w:before="60" w:after="60" w:line="240" w:lineRule="auto"/>
              <w:ind w:left="0"/>
              <w:rPr>
                <w:rFonts w:cs="Arial"/>
                <w:sz w:val="20"/>
                <w:szCs w:val="20"/>
              </w:rPr>
            </w:pPr>
            <w:r>
              <w:rPr>
                <w:rFonts w:cs="Arial"/>
                <w:sz w:val="20"/>
                <w:szCs w:val="20"/>
              </w:rPr>
              <w:lastRenderedPageBreak/>
              <w:t xml:space="preserve">CarbonNet scheduled a follow up </w:t>
            </w:r>
            <w:r>
              <w:rPr>
                <w:rFonts w:cs="Arial"/>
                <w:sz w:val="20"/>
                <w:szCs w:val="20"/>
              </w:rPr>
              <w:lastRenderedPageBreak/>
              <w:t xml:space="preserve">meeting in Gippsland. </w:t>
            </w:r>
          </w:p>
          <w:p w14:paraId="039A42CF" w14:textId="77777777" w:rsidR="00E953C3" w:rsidRDefault="00E953C3" w:rsidP="00073385">
            <w:pPr>
              <w:spacing w:before="60" w:after="60" w:line="240" w:lineRule="auto"/>
              <w:ind w:left="0"/>
              <w:rPr>
                <w:rFonts w:cs="Arial"/>
                <w:sz w:val="20"/>
                <w:szCs w:val="20"/>
              </w:rPr>
            </w:pPr>
            <w:r w:rsidRPr="00CC636C">
              <w:rPr>
                <w:rFonts w:cs="Arial"/>
                <w:sz w:val="20"/>
                <w:szCs w:val="20"/>
              </w:rPr>
              <w:t xml:space="preserve">CarbonNet provided further information to meeting attendees on why </w:t>
            </w:r>
            <w:r>
              <w:rPr>
                <w:rFonts w:cs="Arial"/>
                <w:sz w:val="20"/>
                <w:szCs w:val="20"/>
              </w:rPr>
              <w:t xml:space="preserve">the </w:t>
            </w:r>
            <w:r w:rsidRPr="00CC636C">
              <w:rPr>
                <w:rFonts w:cs="Arial"/>
                <w:sz w:val="20"/>
                <w:szCs w:val="20"/>
              </w:rPr>
              <w:t>use</w:t>
            </w:r>
            <w:r>
              <w:rPr>
                <w:rFonts w:cs="Arial"/>
                <w:sz w:val="20"/>
                <w:szCs w:val="20"/>
              </w:rPr>
              <w:t xml:space="preserve"> of</w:t>
            </w:r>
            <w:r w:rsidRPr="00CC636C">
              <w:rPr>
                <w:rFonts w:cs="Arial"/>
                <w:sz w:val="20"/>
                <w:szCs w:val="20"/>
              </w:rPr>
              <w:t xml:space="preserve"> a dredging method for </w:t>
            </w:r>
            <w:r>
              <w:rPr>
                <w:rFonts w:cs="Arial"/>
                <w:sz w:val="20"/>
                <w:szCs w:val="20"/>
              </w:rPr>
              <w:t xml:space="preserve">a </w:t>
            </w:r>
            <w:r w:rsidRPr="00CC636C">
              <w:rPr>
                <w:rFonts w:cs="Arial"/>
                <w:sz w:val="20"/>
                <w:szCs w:val="20"/>
              </w:rPr>
              <w:t xml:space="preserve">scallop stock assessment </w:t>
            </w:r>
            <w:r>
              <w:rPr>
                <w:rFonts w:cs="Arial"/>
                <w:sz w:val="20"/>
                <w:szCs w:val="20"/>
              </w:rPr>
              <w:t xml:space="preserve">is inconsistent with CarbonNet’s approval for the MSS, </w:t>
            </w:r>
            <w:r w:rsidRPr="00CC636C">
              <w:rPr>
                <w:rFonts w:cs="Arial"/>
                <w:sz w:val="20"/>
                <w:szCs w:val="20"/>
              </w:rPr>
              <w:t>on 24/7/17</w:t>
            </w:r>
            <w:r>
              <w:rPr>
                <w:rFonts w:cs="Arial"/>
                <w:sz w:val="20"/>
                <w:szCs w:val="20"/>
              </w:rPr>
              <w:t>.</w:t>
            </w:r>
          </w:p>
          <w:p w14:paraId="5001B0A7" w14:textId="77777777" w:rsidR="00E953C3" w:rsidRDefault="00E953C3" w:rsidP="00073385">
            <w:pPr>
              <w:spacing w:before="60" w:after="60" w:line="240" w:lineRule="auto"/>
              <w:ind w:left="0"/>
              <w:rPr>
                <w:rFonts w:cs="Arial"/>
                <w:sz w:val="20"/>
                <w:szCs w:val="20"/>
              </w:rPr>
            </w:pPr>
          </w:p>
          <w:p w14:paraId="6BE2CC02" w14:textId="77777777" w:rsidR="00E953C3" w:rsidRPr="00FF0808" w:rsidRDefault="00E953C3" w:rsidP="00073385">
            <w:pPr>
              <w:spacing w:before="60" w:after="60" w:line="240" w:lineRule="auto"/>
              <w:ind w:left="0"/>
              <w:rPr>
                <w:rFonts w:cs="Arial"/>
                <w:sz w:val="20"/>
                <w:szCs w:val="20"/>
              </w:rPr>
            </w:pPr>
          </w:p>
        </w:tc>
      </w:tr>
      <w:tr w:rsidR="00E953C3" w:rsidRPr="00FF0808" w14:paraId="33D7B60E" w14:textId="77777777" w:rsidTr="00077C5F">
        <w:tc>
          <w:tcPr>
            <w:tcW w:w="1427" w:type="dxa"/>
            <w:tcBorders>
              <w:top w:val="nil"/>
              <w:bottom w:val="nil"/>
            </w:tcBorders>
            <w:shd w:val="clear" w:color="auto" w:fill="auto"/>
          </w:tcPr>
          <w:p w14:paraId="41576B81" w14:textId="77777777" w:rsidR="00E953C3" w:rsidRPr="00FF0808"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1C4120C" w14:textId="77777777" w:rsidR="00E953C3" w:rsidRPr="00FF0808" w:rsidRDefault="00E953C3" w:rsidP="00073385">
            <w:pPr>
              <w:spacing w:before="60" w:after="60" w:line="240" w:lineRule="auto"/>
              <w:ind w:left="0"/>
              <w:rPr>
                <w:rFonts w:cs="Arial"/>
                <w:sz w:val="20"/>
                <w:szCs w:val="20"/>
              </w:rPr>
            </w:pPr>
          </w:p>
        </w:tc>
        <w:tc>
          <w:tcPr>
            <w:tcW w:w="1055" w:type="dxa"/>
          </w:tcPr>
          <w:p w14:paraId="69F53C8F" w14:textId="77777777" w:rsidR="00E953C3" w:rsidRPr="00FF0808" w:rsidRDefault="00E953C3" w:rsidP="00073385">
            <w:pPr>
              <w:spacing w:before="60" w:after="60" w:line="240" w:lineRule="auto"/>
              <w:ind w:left="0"/>
              <w:rPr>
                <w:rFonts w:cs="Arial"/>
                <w:sz w:val="20"/>
                <w:szCs w:val="20"/>
              </w:rPr>
            </w:pPr>
            <w:r>
              <w:rPr>
                <w:rFonts w:cs="Arial"/>
                <w:sz w:val="20"/>
                <w:szCs w:val="20"/>
              </w:rPr>
              <w:t>26/7/17</w:t>
            </w:r>
          </w:p>
        </w:tc>
        <w:tc>
          <w:tcPr>
            <w:tcW w:w="6335" w:type="dxa"/>
            <w:shd w:val="clear" w:color="auto" w:fill="auto"/>
          </w:tcPr>
          <w:p w14:paraId="002130DD" w14:textId="77777777" w:rsidR="00E953C3" w:rsidRPr="00FF0808" w:rsidRDefault="00E953C3" w:rsidP="00073385">
            <w:pPr>
              <w:spacing w:before="60" w:after="60" w:line="240" w:lineRule="auto"/>
              <w:ind w:left="0"/>
              <w:rPr>
                <w:rFonts w:cs="Arial"/>
                <w:sz w:val="20"/>
                <w:szCs w:val="20"/>
              </w:rPr>
            </w:pPr>
            <w:r>
              <w:rPr>
                <w:rFonts w:cs="Arial"/>
                <w:sz w:val="20"/>
                <w:szCs w:val="20"/>
              </w:rPr>
              <w:t>VFA emailed CarbonNet regarding the scallop fishing information provided via SIV. VFA has requested VMS data from AFMA and has requested permission from the fisherman to release the data. VFA confirmed that the photo of scallops supplied does not have any location data attached to it and the location where the photo was taken cannot be verified.</w:t>
            </w:r>
          </w:p>
        </w:tc>
        <w:tc>
          <w:tcPr>
            <w:tcW w:w="3802" w:type="dxa"/>
            <w:shd w:val="clear" w:color="auto" w:fill="auto"/>
          </w:tcPr>
          <w:p w14:paraId="145C4BE1" w14:textId="77777777" w:rsidR="00E953C3" w:rsidRPr="00FF0808" w:rsidRDefault="00E953C3" w:rsidP="00073385">
            <w:pPr>
              <w:spacing w:before="60" w:after="60" w:line="240" w:lineRule="auto"/>
              <w:ind w:left="0"/>
              <w:rPr>
                <w:rFonts w:cs="Arial"/>
                <w:sz w:val="20"/>
                <w:szCs w:val="20"/>
              </w:rPr>
            </w:pPr>
            <w:r w:rsidRPr="00394009">
              <w:rPr>
                <w:rFonts w:cs="Arial"/>
                <w:sz w:val="20"/>
                <w:szCs w:val="20"/>
              </w:rPr>
              <w:t>CarbonNet has acknowledged the information provided by SIV in the EP but the details of scallop bed locations can not be confirmed or verified by VFA</w:t>
            </w:r>
          </w:p>
        </w:tc>
      </w:tr>
      <w:tr w:rsidR="00E953C3" w:rsidRPr="00CC636C" w14:paraId="581E377B" w14:textId="77777777" w:rsidTr="00077C5F">
        <w:tc>
          <w:tcPr>
            <w:tcW w:w="1427" w:type="dxa"/>
            <w:tcBorders>
              <w:top w:val="nil"/>
              <w:bottom w:val="nil"/>
            </w:tcBorders>
            <w:shd w:val="clear" w:color="auto" w:fill="auto"/>
          </w:tcPr>
          <w:p w14:paraId="75700B95" w14:textId="77777777" w:rsidR="00E953C3" w:rsidRPr="00FF0808"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6795700" w14:textId="77777777" w:rsidR="00E953C3" w:rsidRPr="00FF0808" w:rsidRDefault="00E953C3" w:rsidP="00073385">
            <w:pPr>
              <w:spacing w:before="60" w:after="60" w:line="240" w:lineRule="auto"/>
              <w:ind w:left="0"/>
              <w:rPr>
                <w:rFonts w:cs="Arial"/>
                <w:sz w:val="20"/>
                <w:szCs w:val="20"/>
              </w:rPr>
            </w:pPr>
          </w:p>
        </w:tc>
        <w:tc>
          <w:tcPr>
            <w:tcW w:w="1055" w:type="dxa"/>
          </w:tcPr>
          <w:p w14:paraId="580B8F36" w14:textId="77777777" w:rsidR="00E953C3" w:rsidRDefault="00E953C3" w:rsidP="00073385">
            <w:pPr>
              <w:spacing w:before="60" w:after="60" w:line="240" w:lineRule="auto"/>
              <w:ind w:left="0"/>
              <w:rPr>
                <w:rFonts w:cs="Arial"/>
                <w:sz w:val="20"/>
                <w:szCs w:val="20"/>
              </w:rPr>
            </w:pPr>
            <w:r>
              <w:rPr>
                <w:rFonts w:cs="Arial"/>
                <w:sz w:val="20"/>
                <w:szCs w:val="20"/>
              </w:rPr>
              <w:t>27/7/17</w:t>
            </w:r>
          </w:p>
        </w:tc>
        <w:tc>
          <w:tcPr>
            <w:tcW w:w="6335" w:type="dxa"/>
            <w:shd w:val="clear" w:color="auto" w:fill="auto"/>
          </w:tcPr>
          <w:p w14:paraId="4E820041" w14:textId="77777777" w:rsidR="00E953C3" w:rsidRPr="00CF78CA" w:rsidRDefault="00E953C3" w:rsidP="00073385">
            <w:pPr>
              <w:spacing w:before="60" w:after="60"/>
              <w:ind w:left="0"/>
              <w:rPr>
                <w:rFonts w:cs="Arial"/>
                <w:sz w:val="20"/>
                <w:szCs w:val="20"/>
              </w:rPr>
            </w:pPr>
            <w:r w:rsidRPr="00CF78CA">
              <w:rPr>
                <w:rFonts w:cs="Arial"/>
                <w:sz w:val="20"/>
                <w:szCs w:val="20"/>
              </w:rPr>
              <w:t xml:space="preserve">CarbonNet emailed VSFA, SIV and VFA with the following: </w:t>
            </w:r>
          </w:p>
          <w:p w14:paraId="6C509E32" w14:textId="77777777" w:rsidR="00E953C3" w:rsidRPr="00394009" w:rsidRDefault="00E953C3" w:rsidP="00073385">
            <w:pPr>
              <w:pStyle w:val="ListParagraph0"/>
              <w:numPr>
                <w:ilvl w:val="0"/>
                <w:numId w:val="493"/>
              </w:numPr>
              <w:spacing w:before="60" w:after="60"/>
              <w:rPr>
                <w:rFonts w:cs="Arial"/>
                <w:sz w:val="20"/>
                <w:szCs w:val="20"/>
              </w:rPr>
            </w:pPr>
            <w:r w:rsidRPr="00394009">
              <w:rPr>
                <w:rFonts w:cs="Arial"/>
                <w:sz w:val="20"/>
                <w:szCs w:val="20"/>
              </w:rPr>
              <w:t xml:space="preserve">Draft agenda for meeting in Traralgon on 28/7 </w:t>
            </w:r>
          </w:p>
          <w:p w14:paraId="6BD1C32C" w14:textId="77777777" w:rsidR="00E953C3" w:rsidRPr="00394009" w:rsidRDefault="00E953C3" w:rsidP="00073385">
            <w:pPr>
              <w:pStyle w:val="ListParagraph0"/>
              <w:numPr>
                <w:ilvl w:val="0"/>
                <w:numId w:val="493"/>
              </w:numPr>
              <w:spacing w:before="60" w:after="60"/>
              <w:rPr>
                <w:rFonts w:cs="Arial"/>
                <w:sz w:val="20"/>
                <w:szCs w:val="20"/>
              </w:rPr>
            </w:pPr>
            <w:r w:rsidRPr="00394009">
              <w:rPr>
                <w:rFonts w:cs="Arial"/>
                <w:sz w:val="20"/>
                <w:szCs w:val="20"/>
              </w:rPr>
              <w:t xml:space="preserve">Draft scope for pre- and post-Environmental Assessment and Monitoring for discussion </w:t>
            </w:r>
          </w:p>
          <w:p w14:paraId="6939551C" w14:textId="77777777" w:rsidR="00E953C3" w:rsidRDefault="00E953C3" w:rsidP="00073385">
            <w:pPr>
              <w:pStyle w:val="ListParagraph0"/>
              <w:numPr>
                <w:ilvl w:val="0"/>
                <w:numId w:val="493"/>
              </w:numPr>
              <w:spacing w:before="60" w:after="60"/>
              <w:rPr>
                <w:rFonts w:cs="Arial"/>
                <w:sz w:val="20"/>
                <w:szCs w:val="20"/>
              </w:rPr>
            </w:pPr>
            <w:r w:rsidRPr="00394009">
              <w:rPr>
                <w:rFonts w:cs="Arial"/>
                <w:sz w:val="20"/>
                <w:szCs w:val="20"/>
              </w:rPr>
              <w:t>Extracts from draft EP (at 27/7) with information on scallops.</w:t>
            </w:r>
          </w:p>
        </w:tc>
        <w:tc>
          <w:tcPr>
            <w:tcW w:w="3802" w:type="dxa"/>
            <w:shd w:val="clear" w:color="auto" w:fill="auto"/>
          </w:tcPr>
          <w:p w14:paraId="57830330" w14:textId="7D8C0642" w:rsidR="00E953C3" w:rsidRPr="00FF0808" w:rsidRDefault="00E953C3" w:rsidP="00073385">
            <w:pPr>
              <w:spacing w:before="60" w:after="60" w:line="240" w:lineRule="auto"/>
              <w:ind w:left="0"/>
              <w:rPr>
                <w:rFonts w:cs="Arial"/>
                <w:sz w:val="20"/>
                <w:szCs w:val="20"/>
              </w:rPr>
            </w:pPr>
            <w:r>
              <w:rPr>
                <w:rFonts w:cs="Arial"/>
                <w:sz w:val="20"/>
                <w:szCs w:val="20"/>
              </w:rPr>
              <w:t>N/A</w:t>
            </w:r>
          </w:p>
        </w:tc>
      </w:tr>
      <w:tr w:rsidR="00E953C3" w:rsidRPr="00CC636C" w14:paraId="35717CE4" w14:textId="77777777" w:rsidTr="00077C5F">
        <w:tc>
          <w:tcPr>
            <w:tcW w:w="1427" w:type="dxa"/>
            <w:tcBorders>
              <w:top w:val="nil"/>
              <w:bottom w:val="nil"/>
            </w:tcBorders>
            <w:shd w:val="clear" w:color="auto" w:fill="auto"/>
          </w:tcPr>
          <w:p w14:paraId="1A434ADE" w14:textId="77777777" w:rsidR="00E953C3" w:rsidRPr="00FF0808"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29BF0AE" w14:textId="77777777" w:rsidR="00E953C3" w:rsidRPr="00FF0808" w:rsidRDefault="00E953C3" w:rsidP="00073385">
            <w:pPr>
              <w:spacing w:before="60" w:after="60" w:line="240" w:lineRule="auto"/>
              <w:ind w:left="0"/>
              <w:rPr>
                <w:rFonts w:cs="Arial"/>
                <w:sz w:val="20"/>
                <w:szCs w:val="20"/>
              </w:rPr>
            </w:pPr>
          </w:p>
        </w:tc>
        <w:tc>
          <w:tcPr>
            <w:tcW w:w="1055" w:type="dxa"/>
          </w:tcPr>
          <w:p w14:paraId="536D085E" w14:textId="77777777" w:rsidR="00E953C3" w:rsidRDefault="00E953C3" w:rsidP="00073385">
            <w:pPr>
              <w:spacing w:before="60" w:after="60" w:line="240" w:lineRule="auto"/>
              <w:ind w:left="0"/>
              <w:rPr>
                <w:rFonts w:cs="Arial"/>
                <w:sz w:val="20"/>
                <w:szCs w:val="20"/>
              </w:rPr>
            </w:pPr>
            <w:r>
              <w:rPr>
                <w:rFonts w:cs="Arial"/>
                <w:sz w:val="20"/>
                <w:szCs w:val="20"/>
              </w:rPr>
              <w:t>27/7/17</w:t>
            </w:r>
          </w:p>
        </w:tc>
        <w:tc>
          <w:tcPr>
            <w:tcW w:w="6335" w:type="dxa"/>
            <w:shd w:val="clear" w:color="auto" w:fill="auto"/>
          </w:tcPr>
          <w:p w14:paraId="18E6F117" w14:textId="77777777" w:rsidR="00E953C3" w:rsidRDefault="00E953C3" w:rsidP="00073385">
            <w:pPr>
              <w:spacing w:before="60" w:after="60" w:line="240" w:lineRule="auto"/>
              <w:ind w:left="0"/>
              <w:rPr>
                <w:rFonts w:cs="Arial"/>
                <w:sz w:val="20"/>
                <w:szCs w:val="20"/>
              </w:rPr>
            </w:pPr>
            <w:r>
              <w:rPr>
                <w:rFonts w:cs="Arial"/>
                <w:sz w:val="20"/>
                <w:szCs w:val="20"/>
              </w:rPr>
              <w:t xml:space="preserve">VFA emailed CarbonNet with VMS info for scallop fisherman who has reported catch in MSS area. AFMA has confirmed the plots provided by the fisherman match up with the VMS data. </w:t>
            </w:r>
          </w:p>
        </w:tc>
        <w:tc>
          <w:tcPr>
            <w:tcW w:w="3802" w:type="dxa"/>
            <w:shd w:val="clear" w:color="auto" w:fill="auto"/>
          </w:tcPr>
          <w:p w14:paraId="6EBBCB41" w14:textId="7FD90F54" w:rsidR="00E953C3" w:rsidRPr="00FF0808" w:rsidRDefault="00E953C3" w:rsidP="00073385">
            <w:pPr>
              <w:spacing w:before="60" w:after="60" w:line="240" w:lineRule="auto"/>
              <w:ind w:left="0"/>
              <w:rPr>
                <w:rFonts w:cs="Arial"/>
                <w:sz w:val="20"/>
                <w:szCs w:val="20"/>
              </w:rPr>
            </w:pPr>
            <w:r>
              <w:rPr>
                <w:rFonts w:cs="Arial"/>
                <w:sz w:val="20"/>
                <w:szCs w:val="20"/>
              </w:rPr>
              <w:t>N/A</w:t>
            </w:r>
          </w:p>
        </w:tc>
      </w:tr>
      <w:tr w:rsidR="00E953C3" w:rsidRPr="00CC636C" w14:paraId="78FBC8CF" w14:textId="77777777" w:rsidTr="00077C5F">
        <w:tc>
          <w:tcPr>
            <w:tcW w:w="1427" w:type="dxa"/>
            <w:tcBorders>
              <w:top w:val="nil"/>
              <w:bottom w:val="nil"/>
            </w:tcBorders>
            <w:shd w:val="clear" w:color="auto" w:fill="auto"/>
          </w:tcPr>
          <w:p w14:paraId="5DD10F78" w14:textId="77777777" w:rsidR="00E953C3" w:rsidRPr="00FF0808"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84B43DD" w14:textId="77777777" w:rsidR="00E953C3" w:rsidRPr="00FF0808" w:rsidRDefault="00E953C3" w:rsidP="00073385">
            <w:pPr>
              <w:spacing w:before="60" w:after="60" w:line="240" w:lineRule="auto"/>
              <w:ind w:left="0"/>
              <w:rPr>
                <w:rFonts w:cs="Arial"/>
                <w:sz w:val="20"/>
                <w:szCs w:val="20"/>
              </w:rPr>
            </w:pPr>
          </w:p>
        </w:tc>
        <w:tc>
          <w:tcPr>
            <w:tcW w:w="1055" w:type="dxa"/>
          </w:tcPr>
          <w:p w14:paraId="3A7743E3" w14:textId="77777777" w:rsidR="00E953C3" w:rsidRDefault="00E953C3" w:rsidP="00073385">
            <w:pPr>
              <w:spacing w:before="60" w:after="60" w:line="240" w:lineRule="auto"/>
              <w:ind w:left="0"/>
              <w:rPr>
                <w:rFonts w:cs="Arial"/>
                <w:sz w:val="20"/>
                <w:szCs w:val="20"/>
              </w:rPr>
            </w:pPr>
            <w:r>
              <w:rPr>
                <w:rFonts w:cs="Arial"/>
                <w:sz w:val="20"/>
                <w:szCs w:val="20"/>
              </w:rPr>
              <w:t>28/7/17</w:t>
            </w:r>
          </w:p>
        </w:tc>
        <w:tc>
          <w:tcPr>
            <w:tcW w:w="6335" w:type="dxa"/>
            <w:shd w:val="clear" w:color="auto" w:fill="auto"/>
          </w:tcPr>
          <w:p w14:paraId="0C7423B3" w14:textId="77777777" w:rsidR="00E953C3" w:rsidRDefault="00E953C3" w:rsidP="00073385">
            <w:pPr>
              <w:spacing w:before="60" w:after="60" w:line="240" w:lineRule="auto"/>
              <w:ind w:left="0"/>
              <w:rPr>
                <w:rFonts w:cs="Arial"/>
                <w:sz w:val="20"/>
                <w:szCs w:val="20"/>
              </w:rPr>
            </w:pPr>
            <w:r>
              <w:rPr>
                <w:rFonts w:cs="Arial"/>
                <w:sz w:val="20"/>
                <w:szCs w:val="20"/>
              </w:rPr>
              <w:t>VFA attended a meeting with VSFA in Traralgon. See notes under VSFA.</w:t>
            </w:r>
          </w:p>
        </w:tc>
        <w:tc>
          <w:tcPr>
            <w:tcW w:w="3802" w:type="dxa"/>
            <w:shd w:val="clear" w:color="auto" w:fill="auto"/>
          </w:tcPr>
          <w:p w14:paraId="5E8A4166" w14:textId="452E055F" w:rsidR="00E953C3" w:rsidRPr="00FF0808" w:rsidRDefault="00E953C3" w:rsidP="00073385">
            <w:pPr>
              <w:spacing w:before="60" w:after="60" w:line="240" w:lineRule="auto"/>
              <w:ind w:left="0"/>
              <w:rPr>
                <w:rFonts w:cs="Arial"/>
                <w:sz w:val="20"/>
                <w:szCs w:val="20"/>
              </w:rPr>
            </w:pPr>
            <w:r>
              <w:rPr>
                <w:rFonts w:cs="Arial"/>
                <w:sz w:val="20"/>
                <w:szCs w:val="20"/>
              </w:rPr>
              <w:t>N/A</w:t>
            </w:r>
          </w:p>
        </w:tc>
      </w:tr>
      <w:tr w:rsidR="00E953C3" w:rsidRPr="00CC636C" w14:paraId="3EADEFFC" w14:textId="77777777" w:rsidTr="00077C5F">
        <w:tc>
          <w:tcPr>
            <w:tcW w:w="1427" w:type="dxa"/>
            <w:tcBorders>
              <w:top w:val="nil"/>
              <w:bottom w:val="nil"/>
            </w:tcBorders>
            <w:shd w:val="clear" w:color="auto" w:fill="auto"/>
          </w:tcPr>
          <w:p w14:paraId="6E539679" w14:textId="77777777" w:rsidR="00E953C3" w:rsidRPr="00FF0808"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17C081BE" w14:textId="77777777" w:rsidR="00E953C3" w:rsidRPr="00FF0808" w:rsidRDefault="00E953C3" w:rsidP="00073385">
            <w:pPr>
              <w:spacing w:before="60" w:after="60" w:line="240" w:lineRule="auto"/>
              <w:ind w:left="0"/>
              <w:rPr>
                <w:rFonts w:cs="Arial"/>
                <w:sz w:val="20"/>
                <w:szCs w:val="20"/>
              </w:rPr>
            </w:pPr>
          </w:p>
        </w:tc>
        <w:tc>
          <w:tcPr>
            <w:tcW w:w="1055" w:type="dxa"/>
          </w:tcPr>
          <w:p w14:paraId="4F3E0B26" w14:textId="77777777" w:rsidR="00E953C3" w:rsidRDefault="00E953C3" w:rsidP="00073385">
            <w:pPr>
              <w:spacing w:before="60" w:after="60" w:line="240" w:lineRule="auto"/>
              <w:ind w:left="0"/>
              <w:rPr>
                <w:rFonts w:cs="Arial"/>
                <w:sz w:val="20"/>
                <w:szCs w:val="20"/>
              </w:rPr>
            </w:pPr>
            <w:r>
              <w:rPr>
                <w:rFonts w:cs="Arial"/>
                <w:sz w:val="20"/>
                <w:szCs w:val="20"/>
              </w:rPr>
              <w:t>2/8/17</w:t>
            </w:r>
          </w:p>
        </w:tc>
        <w:tc>
          <w:tcPr>
            <w:tcW w:w="6335" w:type="dxa"/>
            <w:shd w:val="clear" w:color="auto" w:fill="auto"/>
          </w:tcPr>
          <w:p w14:paraId="1A3E8254" w14:textId="77777777" w:rsidR="00E953C3" w:rsidRDefault="00E953C3" w:rsidP="00073385">
            <w:pPr>
              <w:spacing w:before="60" w:after="60" w:line="240" w:lineRule="auto"/>
              <w:ind w:left="0"/>
              <w:rPr>
                <w:rFonts w:cs="Arial"/>
                <w:sz w:val="20"/>
                <w:szCs w:val="20"/>
              </w:rPr>
            </w:pPr>
            <w:r>
              <w:rPr>
                <w:rFonts w:cs="Arial"/>
                <w:sz w:val="20"/>
                <w:szCs w:val="20"/>
              </w:rPr>
              <w:t xml:space="preserve">CarbonNet spoke to VFA on the phone regarding the verification of </w:t>
            </w:r>
            <w:r w:rsidRPr="00CF78CA">
              <w:rPr>
                <w:rFonts w:cs="Arial"/>
                <w:sz w:val="20"/>
                <w:szCs w:val="20"/>
              </w:rPr>
              <w:t>scallop data provided via SIV</w:t>
            </w:r>
            <w:r>
              <w:rPr>
                <w:rFonts w:cs="Arial"/>
                <w:sz w:val="20"/>
                <w:szCs w:val="20"/>
              </w:rPr>
              <w:t xml:space="preserve"> and stock assessment methodologies.</w:t>
            </w:r>
          </w:p>
          <w:p w14:paraId="6B1A9BF7" w14:textId="77777777" w:rsidR="00E953C3" w:rsidRDefault="00E953C3" w:rsidP="00073385">
            <w:pPr>
              <w:spacing w:before="60" w:after="60" w:line="240" w:lineRule="auto"/>
              <w:ind w:left="0"/>
              <w:rPr>
                <w:rFonts w:cs="Arial"/>
                <w:sz w:val="20"/>
                <w:szCs w:val="20"/>
              </w:rPr>
            </w:pPr>
          </w:p>
          <w:p w14:paraId="76DE4F8F" w14:textId="77777777" w:rsidR="00E953C3" w:rsidRDefault="00E953C3" w:rsidP="00073385">
            <w:pPr>
              <w:spacing w:before="60" w:after="60" w:line="240" w:lineRule="auto"/>
              <w:ind w:left="0"/>
              <w:rPr>
                <w:rFonts w:cs="Arial"/>
                <w:sz w:val="20"/>
                <w:szCs w:val="20"/>
              </w:rPr>
            </w:pPr>
            <w:r>
              <w:rPr>
                <w:rFonts w:cs="Arial"/>
                <w:sz w:val="20"/>
                <w:szCs w:val="20"/>
              </w:rPr>
              <w:t xml:space="preserve">VFA’s fishing data </w:t>
            </w:r>
            <w:r w:rsidRPr="00CF78CA">
              <w:rPr>
                <w:rFonts w:cs="Arial"/>
                <w:sz w:val="20"/>
                <w:szCs w:val="20"/>
              </w:rPr>
              <w:t>doesn't show any catch</w:t>
            </w:r>
            <w:r>
              <w:rPr>
                <w:rFonts w:cs="Arial"/>
                <w:sz w:val="20"/>
                <w:szCs w:val="20"/>
              </w:rPr>
              <w:t xml:space="preserve"> recorded at the time when the scallops were claimed to be dredged, but the fisherman said he </w:t>
            </w:r>
            <w:r>
              <w:rPr>
                <w:rFonts w:cs="Arial"/>
                <w:sz w:val="20"/>
                <w:szCs w:val="20"/>
              </w:rPr>
              <w:lastRenderedPageBreak/>
              <w:t xml:space="preserve">returned the scallops so it would not have been recorded anyhow. </w:t>
            </w:r>
          </w:p>
          <w:p w14:paraId="499F1251" w14:textId="77777777" w:rsidR="00E953C3" w:rsidRPr="00CF78CA" w:rsidRDefault="00E953C3" w:rsidP="00073385">
            <w:pPr>
              <w:spacing w:before="60" w:after="60" w:line="240" w:lineRule="auto"/>
              <w:ind w:left="0"/>
              <w:rPr>
                <w:rFonts w:cs="Arial"/>
                <w:sz w:val="20"/>
                <w:szCs w:val="20"/>
              </w:rPr>
            </w:pPr>
          </w:p>
          <w:p w14:paraId="768E8085" w14:textId="77777777" w:rsidR="00E953C3" w:rsidRDefault="00E953C3" w:rsidP="00073385">
            <w:pPr>
              <w:spacing w:before="60" w:after="60" w:line="240" w:lineRule="auto"/>
              <w:ind w:left="0"/>
              <w:rPr>
                <w:rFonts w:cs="Arial"/>
                <w:sz w:val="20"/>
                <w:szCs w:val="20"/>
              </w:rPr>
            </w:pPr>
            <w:r>
              <w:rPr>
                <w:rFonts w:cs="Arial"/>
                <w:sz w:val="20"/>
                <w:szCs w:val="20"/>
              </w:rPr>
              <w:t xml:space="preserve">VFA advised it would be difficult for them to validate CarbonNet’s environmental habitat assessment. </w:t>
            </w:r>
            <w:r w:rsidRPr="00CF78CA">
              <w:rPr>
                <w:rFonts w:cs="Arial"/>
                <w:sz w:val="20"/>
                <w:szCs w:val="20"/>
              </w:rPr>
              <w:t xml:space="preserve">VFA could assist with a ground-truthing study but suggested </w:t>
            </w:r>
            <w:r>
              <w:rPr>
                <w:rFonts w:cs="Arial"/>
                <w:sz w:val="20"/>
                <w:szCs w:val="20"/>
              </w:rPr>
              <w:t xml:space="preserve">using a marine biologist </w:t>
            </w:r>
            <w:r w:rsidRPr="00CF78CA">
              <w:rPr>
                <w:rFonts w:cs="Arial"/>
                <w:sz w:val="20"/>
                <w:szCs w:val="20"/>
              </w:rPr>
              <w:t xml:space="preserve">or someone </w:t>
            </w:r>
            <w:r>
              <w:rPr>
                <w:rFonts w:cs="Arial"/>
                <w:sz w:val="20"/>
                <w:szCs w:val="20"/>
              </w:rPr>
              <w:t xml:space="preserve">suitably qualified to </w:t>
            </w:r>
            <w:r w:rsidRPr="00CF78CA">
              <w:rPr>
                <w:rFonts w:cs="Arial"/>
                <w:sz w:val="20"/>
                <w:szCs w:val="20"/>
              </w:rPr>
              <w:t xml:space="preserve">do the work. </w:t>
            </w:r>
          </w:p>
          <w:p w14:paraId="2094BB1B" w14:textId="77777777" w:rsidR="00E953C3" w:rsidRDefault="00E953C3" w:rsidP="00073385">
            <w:pPr>
              <w:spacing w:before="60" w:after="60" w:line="240" w:lineRule="auto"/>
              <w:ind w:left="0"/>
              <w:rPr>
                <w:rFonts w:cs="Arial"/>
                <w:sz w:val="20"/>
                <w:szCs w:val="20"/>
              </w:rPr>
            </w:pPr>
            <w:r w:rsidRPr="00CF78CA">
              <w:rPr>
                <w:rFonts w:cs="Arial"/>
                <w:sz w:val="20"/>
                <w:szCs w:val="20"/>
              </w:rPr>
              <w:t xml:space="preserve">VFA does not accept the point </w:t>
            </w:r>
            <w:r>
              <w:rPr>
                <w:rFonts w:cs="Arial"/>
                <w:sz w:val="20"/>
                <w:szCs w:val="20"/>
              </w:rPr>
              <w:t xml:space="preserve">made by VSFA </w:t>
            </w:r>
            <w:r w:rsidRPr="00CF78CA">
              <w:rPr>
                <w:rFonts w:cs="Arial"/>
                <w:sz w:val="20"/>
                <w:szCs w:val="20"/>
              </w:rPr>
              <w:t>that scallops can be burie</w:t>
            </w:r>
            <w:r>
              <w:rPr>
                <w:rFonts w:cs="Arial"/>
                <w:sz w:val="20"/>
                <w:szCs w:val="20"/>
              </w:rPr>
              <w:t>d</w:t>
            </w:r>
            <w:r w:rsidRPr="00CF78CA">
              <w:rPr>
                <w:rFonts w:cs="Arial"/>
                <w:sz w:val="20"/>
                <w:szCs w:val="20"/>
              </w:rPr>
              <w:t xml:space="preserve"> 2 meters </w:t>
            </w:r>
            <w:r>
              <w:rPr>
                <w:rFonts w:cs="Arial"/>
                <w:sz w:val="20"/>
                <w:szCs w:val="20"/>
              </w:rPr>
              <w:t xml:space="preserve">beneath the seabed. </w:t>
            </w:r>
            <w:r w:rsidRPr="00CF78CA">
              <w:rPr>
                <w:rFonts w:cs="Arial"/>
                <w:sz w:val="20"/>
                <w:szCs w:val="20"/>
              </w:rPr>
              <w:t>VFA confirmed when they do an</w:t>
            </w:r>
            <w:r>
              <w:rPr>
                <w:rFonts w:cs="Arial"/>
                <w:sz w:val="20"/>
                <w:szCs w:val="20"/>
              </w:rPr>
              <w:t xml:space="preserve"> abundance survey they dredge. </w:t>
            </w:r>
          </w:p>
        </w:tc>
        <w:tc>
          <w:tcPr>
            <w:tcW w:w="3802" w:type="dxa"/>
            <w:shd w:val="clear" w:color="auto" w:fill="auto"/>
          </w:tcPr>
          <w:p w14:paraId="04DACDAF" w14:textId="77777777" w:rsidR="00E953C3" w:rsidRDefault="00E953C3" w:rsidP="00073385">
            <w:pPr>
              <w:spacing w:before="60" w:after="60" w:line="240" w:lineRule="auto"/>
              <w:ind w:left="0"/>
              <w:rPr>
                <w:rFonts w:cs="Arial"/>
                <w:sz w:val="20"/>
                <w:szCs w:val="20"/>
              </w:rPr>
            </w:pPr>
            <w:r>
              <w:rPr>
                <w:rFonts w:cs="Arial"/>
                <w:sz w:val="20"/>
                <w:szCs w:val="20"/>
              </w:rPr>
              <w:lastRenderedPageBreak/>
              <w:t>CarbonNet requested VFA send a statement outlining the facts about the scallop data provided via SIV and what has and hasn’t been verified.</w:t>
            </w:r>
          </w:p>
          <w:p w14:paraId="59116201" w14:textId="77777777" w:rsidR="00E953C3" w:rsidRDefault="00E953C3" w:rsidP="00073385">
            <w:pPr>
              <w:spacing w:before="60" w:after="60" w:line="240" w:lineRule="auto"/>
              <w:ind w:left="0"/>
              <w:rPr>
                <w:rFonts w:cs="Arial"/>
                <w:sz w:val="20"/>
                <w:szCs w:val="20"/>
              </w:rPr>
            </w:pPr>
          </w:p>
          <w:p w14:paraId="0AE99962" w14:textId="77777777" w:rsidR="00E953C3" w:rsidRPr="00FF0808" w:rsidRDefault="00E953C3" w:rsidP="00073385">
            <w:pPr>
              <w:spacing w:before="60" w:after="60" w:line="240" w:lineRule="auto"/>
              <w:ind w:left="0"/>
              <w:rPr>
                <w:rFonts w:cs="Arial"/>
                <w:sz w:val="20"/>
                <w:szCs w:val="20"/>
              </w:rPr>
            </w:pPr>
            <w:r>
              <w:rPr>
                <w:rFonts w:cs="Arial"/>
                <w:sz w:val="20"/>
                <w:szCs w:val="20"/>
              </w:rPr>
              <w:lastRenderedPageBreak/>
              <w:t>CarbonNet invited VFA to meetings in Lakes Entrance with scallop fishermen.</w:t>
            </w:r>
          </w:p>
        </w:tc>
      </w:tr>
      <w:tr w:rsidR="00E953C3" w:rsidRPr="00CC636C" w14:paraId="7CFF1608" w14:textId="77777777" w:rsidTr="00077C5F">
        <w:tc>
          <w:tcPr>
            <w:tcW w:w="1427" w:type="dxa"/>
            <w:tcBorders>
              <w:top w:val="nil"/>
              <w:bottom w:val="nil"/>
            </w:tcBorders>
            <w:shd w:val="clear" w:color="auto" w:fill="auto"/>
          </w:tcPr>
          <w:p w14:paraId="354DDB45" w14:textId="77777777" w:rsidR="00E953C3" w:rsidRPr="00FF0808"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6E1BDA9" w14:textId="77777777" w:rsidR="00E953C3" w:rsidRPr="00FF0808" w:rsidRDefault="00E953C3" w:rsidP="00073385">
            <w:pPr>
              <w:spacing w:before="60" w:after="60" w:line="240" w:lineRule="auto"/>
              <w:ind w:left="0"/>
              <w:rPr>
                <w:rFonts w:cs="Arial"/>
                <w:sz w:val="20"/>
                <w:szCs w:val="20"/>
              </w:rPr>
            </w:pPr>
          </w:p>
        </w:tc>
        <w:tc>
          <w:tcPr>
            <w:tcW w:w="1055" w:type="dxa"/>
          </w:tcPr>
          <w:p w14:paraId="1D35BCD6" w14:textId="4444F4AA" w:rsidR="00E953C3" w:rsidRDefault="00E953C3" w:rsidP="00073385">
            <w:pPr>
              <w:spacing w:before="60" w:after="60" w:line="240" w:lineRule="auto"/>
              <w:ind w:left="0"/>
              <w:rPr>
                <w:rFonts w:cs="Arial"/>
                <w:sz w:val="20"/>
                <w:szCs w:val="20"/>
              </w:rPr>
            </w:pPr>
            <w:r>
              <w:rPr>
                <w:rFonts w:cs="Arial"/>
                <w:sz w:val="20"/>
                <w:szCs w:val="20"/>
              </w:rPr>
              <w:t>7/8/17</w:t>
            </w:r>
          </w:p>
        </w:tc>
        <w:tc>
          <w:tcPr>
            <w:tcW w:w="6335" w:type="dxa"/>
            <w:shd w:val="clear" w:color="auto" w:fill="auto"/>
          </w:tcPr>
          <w:p w14:paraId="246B04A3" w14:textId="77777777" w:rsidR="00E953C3" w:rsidRDefault="00E953C3" w:rsidP="002B39AD">
            <w:pPr>
              <w:spacing w:before="60" w:after="60" w:line="240" w:lineRule="auto"/>
              <w:ind w:left="0"/>
              <w:rPr>
                <w:rFonts w:cs="Arial"/>
                <w:sz w:val="20"/>
                <w:szCs w:val="20"/>
              </w:rPr>
            </w:pPr>
            <w:r>
              <w:rPr>
                <w:rFonts w:cs="Arial"/>
                <w:sz w:val="20"/>
                <w:szCs w:val="20"/>
              </w:rPr>
              <w:t>VFA emailed CarbonNet with some further information on the scallop data provided and using video as a stock assessment methodology.</w:t>
            </w:r>
          </w:p>
          <w:p w14:paraId="389DA3C0" w14:textId="77777777" w:rsidR="00E953C3" w:rsidRDefault="00E953C3" w:rsidP="002B39AD">
            <w:pPr>
              <w:spacing w:before="60" w:after="60" w:line="240" w:lineRule="auto"/>
              <w:ind w:left="0"/>
              <w:rPr>
                <w:rFonts w:cs="Arial"/>
                <w:sz w:val="20"/>
                <w:szCs w:val="20"/>
              </w:rPr>
            </w:pPr>
            <w:r>
              <w:rPr>
                <w:rFonts w:cs="Arial"/>
                <w:sz w:val="20"/>
                <w:szCs w:val="20"/>
              </w:rPr>
              <w:t xml:space="preserve">VFA said the GPS coordinates from the fisherman’s vessel indicated he was fishing outside of the MSS area. </w:t>
            </w:r>
            <w:r w:rsidRPr="006C3F14">
              <w:rPr>
                <w:rFonts w:cs="Arial"/>
                <w:sz w:val="20"/>
                <w:szCs w:val="20"/>
              </w:rPr>
              <w:t xml:space="preserve">One of </w:t>
            </w:r>
            <w:r>
              <w:rPr>
                <w:rFonts w:cs="Arial"/>
                <w:sz w:val="20"/>
                <w:szCs w:val="20"/>
              </w:rPr>
              <w:t>the</w:t>
            </w:r>
            <w:r w:rsidRPr="006C3F14">
              <w:rPr>
                <w:rFonts w:cs="Arial"/>
                <w:sz w:val="20"/>
                <w:szCs w:val="20"/>
              </w:rPr>
              <w:t xml:space="preserve"> two fishing areas was close to the </w:t>
            </w:r>
            <w:r>
              <w:rPr>
                <w:rFonts w:cs="Arial"/>
                <w:sz w:val="20"/>
                <w:szCs w:val="20"/>
              </w:rPr>
              <w:t xml:space="preserve">MSS area </w:t>
            </w:r>
            <w:r w:rsidRPr="006C3F14">
              <w:rPr>
                <w:rFonts w:cs="Arial"/>
                <w:sz w:val="20"/>
                <w:szCs w:val="20"/>
              </w:rPr>
              <w:t>boundary.</w:t>
            </w:r>
          </w:p>
          <w:p w14:paraId="129FE1FB" w14:textId="77777777" w:rsidR="00E953C3" w:rsidRDefault="00E953C3" w:rsidP="002B39AD">
            <w:pPr>
              <w:tabs>
                <w:tab w:val="left" w:pos="1541"/>
              </w:tabs>
              <w:spacing w:before="60" w:after="60" w:line="240" w:lineRule="auto"/>
              <w:ind w:left="0"/>
              <w:rPr>
                <w:rFonts w:cs="Arial"/>
                <w:sz w:val="20"/>
                <w:szCs w:val="20"/>
              </w:rPr>
            </w:pPr>
            <w:r>
              <w:rPr>
                <w:rFonts w:cs="Arial"/>
                <w:sz w:val="20"/>
                <w:szCs w:val="20"/>
              </w:rPr>
              <w:t xml:space="preserve">AFMA verified that the </w:t>
            </w:r>
            <w:r w:rsidRPr="006C3F14">
              <w:rPr>
                <w:rFonts w:cs="Arial"/>
                <w:sz w:val="20"/>
                <w:szCs w:val="20"/>
              </w:rPr>
              <w:t>Vessel Monitoring System</w:t>
            </w:r>
            <w:r>
              <w:rPr>
                <w:rFonts w:cs="Arial"/>
                <w:sz w:val="20"/>
                <w:szCs w:val="20"/>
              </w:rPr>
              <w:t xml:space="preserve"> data was consistent with the GPS data.</w:t>
            </w:r>
          </w:p>
          <w:p w14:paraId="1AAD1CDF" w14:textId="77777777" w:rsidR="00E953C3" w:rsidRDefault="00E953C3" w:rsidP="002B39AD">
            <w:pPr>
              <w:tabs>
                <w:tab w:val="left" w:pos="1541"/>
              </w:tabs>
              <w:spacing w:before="60" w:after="60" w:line="240" w:lineRule="auto"/>
              <w:ind w:left="0"/>
              <w:rPr>
                <w:rFonts w:cs="Arial"/>
                <w:sz w:val="20"/>
                <w:szCs w:val="20"/>
              </w:rPr>
            </w:pPr>
            <w:r>
              <w:rPr>
                <w:rFonts w:cs="Arial"/>
                <w:sz w:val="20"/>
                <w:szCs w:val="20"/>
              </w:rPr>
              <w:t xml:space="preserve">The photograph of scallops provided does not have location data, so VFA cannot verify where it was taken. The fisherman also did not keep any of his catch, so this information would not be returned to VFA. </w:t>
            </w:r>
            <w:r w:rsidRPr="006C3F14">
              <w:rPr>
                <w:rFonts w:cs="Arial"/>
                <w:sz w:val="20"/>
                <w:szCs w:val="20"/>
              </w:rPr>
              <w:t xml:space="preserve">Although </w:t>
            </w:r>
            <w:r>
              <w:rPr>
                <w:rFonts w:cs="Arial"/>
                <w:sz w:val="20"/>
                <w:szCs w:val="20"/>
              </w:rPr>
              <w:t>VFA</w:t>
            </w:r>
            <w:r w:rsidRPr="006C3F14">
              <w:rPr>
                <w:rFonts w:cs="Arial"/>
                <w:sz w:val="20"/>
                <w:szCs w:val="20"/>
              </w:rPr>
              <w:t xml:space="preserve"> cannot validate when/ where the picture was taken, </w:t>
            </w:r>
            <w:r>
              <w:rPr>
                <w:rFonts w:cs="Arial"/>
                <w:sz w:val="20"/>
                <w:szCs w:val="20"/>
              </w:rPr>
              <w:t xml:space="preserve">it </w:t>
            </w:r>
            <w:r w:rsidRPr="006C3F14">
              <w:rPr>
                <w:rFonts w:cs="Arial"/>
                <w:sz w:val="20"/>
                <w:szCs w:val="20"/>
              </w:rPr>
              <w:t>do</w:t>
            </w:r>
            <w:r>
              <w:rPr>
                <w:rFonts w:cs="Arial"/>
                <w:sz w:val="20"/>
                <w:szCs w:val="20"/>
              </w:rPr>
              <w:t>es</w:t>
            </w:r>
            <w:r w:rsidRPr="006C3F14">
              <w:rPr>
                <w:rFonts w:cs="Arial"/>
                <w:sz w:val="20"/>
                <w:szCs w:val="20"/>
              </w:rPr>
              <w:t xml:space="preserve"> not discount </w:t>
            </w:r>
            <w:r>
              <w:rPr>
                <w:rFonts w:cs="Arial"/>
                <w:sz w:val="20"/>
                <w:szCs w:val="20"/>
              </w:rPr>
              <w:t xml:space="preserve">the fisherman’s </w:t>
            </w:r>
            <w:r w:rsidRPr="006C3F14">
              <w:rPr>
                <w:rFonts w:cs="Arial"/>
                <w:sz w:val="20"/>
                <w:szCs w:val="20"/>
              </w:rPr>
              <w:t>account that he caught scallops in the area.</w:t>
            </w:r>
          </w:p>
          <w:p w14:paraId="319A1950" w14:textId="4091A457" w:rsidR="00E953C3" w:rsidRDefault="00E953C3" w:rsidP="00073385">
            <w:pPr>
              <w:spacing w:before="60" w:after="60" w:line="240" w:lineRule="auto"/>
              <w:ind w:left="0"/>
              <w:rPr>
                <w:rFonts w:cs="Arial"/>
                <w:sz w:val="20"/>
                <w:szCs w:val="20"/>
              </w:rPr>
            </w:pPr>
            <w:r>
              <w:rPr>
                <w:rFonts w:cs="Arial"/>
                <w:sz w:val="20"/>
                <w:szCs w:val="20"/>
              </w:rPr>
              <w:t xml:space="preserve">VFA spoke to TasPorts, who confirmed they use </w:t>
            </w:r>
            <w:r w:rsidRPr="00D11EE8">
              <w:rPr>
                <w:rFonts w:cs="Arial"/>
                <w:sz w:val="20"/>
                <w:szCs w:val="20"/>
              </w:rPr>
              <w:t>towed cameras to assess environmental impacts on all of its 'ecological receptors' (e.g.</w:t>
            </w:r>
            <w:r>
              <w:rPr>
                <w:rFonts w:cs="Arial"/>
                <w:sz w:val="20"/>
                <w:szCs w:val="20"/>
              </w:rPr>
              <w:t>,</w:t>
            </w:r>
            <w:r w:rsidRPr="00D11EE8">
              <w:rPr>
                <w:rFonts w:cs="Arial"/>
                <w:sz w:val="20"/>
                <w:szCs w:val="20"/>
              </w:rPr>
              <w:t xml:space="preserve"> scallops, kelp, seagrass). They also focus on non-invasive methods and consider this to be best practice.</w:t>
            </w:r>
          </w:p>
        </w:tc>
        <w:tc>
          <w:tcPr>
            <w:tcW w:w="3802" w:type="dxa"/>
            <w:shd w:val="clear" w:color="auto" w:fill="auto"/>
          </w:tcPr>
          <w:p w14:paraId="7FC9D50B" w14:textId="7AB7035E" w:rsidR="00E953C3" w:rsidRDefault="00E953C3" w:rsidP="00073385">
            <w:pPr>
              <w:spacing w:before="60" w:after="60" w:line="240" w:lineRule="auto"/>
              <w:ind w:left="0"/>
              <w:rPr>
                <w:rFonts w:cs="Arial"/>
                <w:sz w:val="20"/>
                <w:szCs w:val="20"/>
              </w:rPr>
            </w:pPr>
            <w:r>
              <w:rPr>
                <w:rFonts w:cs="Arial"/>
                <w:sz w:val="20"/>
                <w:szCs w:val="20"/>
              </w:rPr>
              <w:t>CarbonNet thanked VFA for the information and will invite them to attend meeting in Lakes Entrance with fishermen on 9/8/17.</w:t>
            </w:r>
          </w:p>
        </w:tc>
      </w:tr>
      <w:tr w:rsidR="00E953C3" w:rsidRPr="00CC636C" w14:paraId="296B3AAC" w14:textId="77777777" w:rsidTr="00077C5F">
        <w:tc>
          <w:tcPr>
            <w:tcW w:w="1427" w:type="dxa"/>
            <w:tcBorders>
              <w:top w:val="nil"/>
              <w:bottom w:val="nil"/>
            </w:tcBorders>
            <w:shd w:val="clear" w:color="auto" w:fill="auto"/>
          </w:tcPr>
          <w:p w14:paraId="31DC76E8" w14:textId="77777777" w:rsidR="00E953C3" w:rsidRPr="00FF0808"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1CA6C62" w14:textId="77777777" w:rsidR="00E953C3" w:rsidRPr="00FF0808" w:rsidRDefault="00E953C3" w:rsidP="00073385">
            <w:pPr>
              <w:spacing w:before="60" w:after="60" w:line="240" w:lineRule="auto"/>
              <w:ind w:left="0"/>
              <w:rPr>
                <w:rFonts w:cs="Arial"/>
                <w:sz w:val="20"/>
                <w:szCs w:val="20"/>
              </w:rPr>
            </w:pPr>
          </w:p>
        </w:tc>
        <w:tc>
          <w:tcPr>
            <w:tcW w:w="1055" w:type="dxa"/>
          </w:tcPr>
          <w:p w14:paraId="7DACDE17" w14:textId="77777777" w:rsidR="00E953C3" w:rsidRDefault="00E953C3" w:rsidP="00073385">
            <w:pPr>
              <w:spacing w:before="60" w:after="60" w:line="240" w:lineRule="auto"/>
              <w:ind w:left="0"/>
              <w:rPr>
                <w:rFonts w:cs="Arial"/>
                <w:sz w:val="20"/>
                <w:szCs w:val="20"/>
              </w:rPr>
            </w:pPr>
            <w:r>
              <w:rPr>
                <w:rFonts w:cs="Arial"/>
                <w:sz w:val="20"/>
                <w:szCs w:val="20"/>
              </w:rPr>
              <w:t>7/8/17</w:t>
            </w:r>
          </w:p>
        </w:tc>
        <w:tc>
          <w:tcPr>
            <w:tcW w:w="6335" w:type="dxa"/>
            <w:shd w:val="clear" w:color="auto" w:fill="auto"/>
          </w:tcPr>
          <w:p w14:paraId="6BD1072C" w14:textId="77777777" w:rsidR="00E953C3" w:rsidRDefault="00E953C3" w:rsidP="00073385">
            <w:pPr>
              <w:spacing w:before="60" w:after="60" w:line="240" w:lineRule="auto"/>
              <w:ind w:left="0"/>
              <w:rPr>
                <w:rFonts w:cs="Arial"/>
                <w:sz w:val="20"/>
                <w:szCs w:val="20"/>
              </w:rPr>
            </w:pPr>
            <w:r>
              <w:rPr>
                <w:rFonts w:cs="Arial"/>
                <w:sz w:val="20"/>
                <w:szCs w:val="20"/>
              </w:rPr>
              <w:t xml:space="preserve">CarbonNet emailed VFA </w:t>
            </w:r>
            <w:r w:rsidRPr="001D00DE">
              <w:rPr>
                <w:rFonts w:cs="Arial"/>
                <w:sz w:val="20"/>
                <w:szCs w:val="20"/>
              </w:rPr>
              <w:t xml:space="preserve">advising that </w:t>
            </w:r>
            <w:r>
              <w:rPr>
                <w:rFonts w:cs="Arial"/>
                <w:sz w:val="20"/>
                <w:szCs w:val="20"/>
              </w:rPr>
              <w:t xml:space="preserve">the operational </w:t>
            </w:r>
            <w:r w:rsidRPr="001D00DE">
              <w:rPr>
                <w:rFonts w:cs="Arial"/>
                <w:sz w:val="20"/>
                <w:szCs w:val="20"/>
              </w:rPr>
              <w:t>area and duration of survey have now been refined, and advising we will submit EP in mid-August.</w:t>
            </w:r>
          </w:p>
          <w:p w14:paraId="0A065177" w14:textId="77777777" w:rsidR="00E953C3" w:rsidRPr="001D00DE" w:rsidRDefault="00E953C3" w:rsidP="00073385">
            <w:pPr>
              <w:spacing w:before="60" w:after="60" w:line="240" w:lineRule="auto"/>
              <w:ind w:left="0"/>
              <w:rPr>
                <w:rFonts w:cs="Arial"/>
                <w:sz w:val="20"/>
                <w:szCs w:val="20"/>
              </w:rPr>
            </w:pPr>
            <w:r>
              <w:rPr>
                <w:rFonts w:cs="Arial"/>
                <w:sz w:val="20"/>
                <w:szCs w:val="20"/>
              </w:rPr>
              <w:t>The email explained that the s</w:t>
            </w:r>
            <w:r w:rsidRPr="001D00DE">
              <w:rPr>
                <w:rFonts w:cs="Arial"/>
                <w:sz w:val="20"/>
                <w:szCs w:val="20"/>
              </w:rPr>
              <w:t>urvey area is now larger due to vessel turns</w:t>
            </w:r>
            <w:r>
              <w:rPr>
                <w:rFonts w:cs="Arial"/>
                <w:sz w:val="20"/>
                <w:szCs w:val="20"/>
              </w:rPr>
              <w:t xml:space="preserve">, and </w:t>
            </w:r>
            <w:r w:rsidRPr="001D00DE">
              <w:rPr>
                <w:rFonts w:cs="Arial"/>
                <w:sz w:val="20"/>
                <w:szCs w:val="20"/>
              </w:rPr>
              <w:t>provided map</w:t>
            </w:r>
            <w:r>
              <w:rPr>
                <w:rFonts w:cs="Arial"/>
                <w:sz w:val="20"/>
                <w:szCs w:val="20"/>
              </w:rPr>
              <w:t xml:space="preserve"> with amended operational area, and acquisition area (which is unchanged).</w:t>
            </w:r>
          </w:p>
          <w:p w14:paraId="2F70091D" w14:textId="77777777" w:rsidR="00E953C3" w:rsidRDefault="00E953C3" w:rsidP="00073385">
            <w:pPr>
              <w:spacing w:before="60" w:after="60" w:line="240" w:lineRule="auto"/>
              <w:ind w:left="0"/>
              <w:rPr>
                <w:rFonts w:cs="Arial"/>
                <w:sz w:val="20"/>
                <w:szCs w:val="20"/>
              </w:rPr>
            </w:pPr>
            <w:r>
              <w:rPr>
                <w:rFonts w:cs="Arial"/>
                <w:sz w:val="20"/>
                <w:szCs w:val="20"/>
              </w:rPr>
              <w:t>The su</w:t>
            </w:r>
            <w:r w:rsidRPr="001D00DE">
              <w:rPr>
                <w:rFonts w:cs="Arial"/>
                <w:sz w:val="20"/>
                <w:szCs w:val="20"/>
              </w:rPr>
              <w:t xml:space="preserve">rvey duration is likely to be 13-16 days but could be up to 27 </w:t>
            </w:r>
            <w:r w:rsidRPr="001D00DE">
              <w:rPr>
                <w:rFonts w:cs="Arial"/>
                <w:sz w:val="20"/>
                <w:szCs w:val="20"/>
              </w:rPr>
              <w:lastRenderedPageBreak/>
              <w:t>days depending on final vessel selection.</w:t>
            </w:r>
          </w:p>
        </w:tc>
        <w:tc>
          <w:tcPr>
            <w:tcW w:w="3802" w:type="dxa"/>
            <w:shd w:val="clear" w:color="auto" w:fill="auto"/>
          </w:tcPr>
          <w:p w14:paraId="781A70ED" w14:textId="007DE88F" w:rsidR="00E953C3" w:rsidRDefault="00E953C3" w:rsidP="00073385">
            <w:pPr>
              <w:spacing w:before="60" w:after="60" w:line="240" w:lineRule="auto"/>
              <w:ind w:left="0"/>
              <w:rPr>
                <w:rFonts w:cs="Arial"/>
                <w:sz w:val="20"/>
                <w:szCs w:val="20"/>
              </w:rPr>
            </w:pPr>
            <w:r>
              <w:rPr>
                <w:rFonts w:cs="Arial"/>
                <w:sz w:val="20"/>
                <w:szCs w:val="20"/>
              </w:rPr>
              <w:lastRenderedPageBreak/>
              <w:t>N/A</w:t>
            </w:r>
          </w:p>
        </w:tc>
      </w:tr>
      <w:tr w:rsidR="00E953C3" w:rsidRPr="00CC636C" w14:paraId="0734EDAB" w14:textId="77777777" w:rsidTr="00077C5F">
        <w:tc>
          <w:tcPr>
            <w:tcW w:w="1427" w:type="dxa"/>
            <w:tcBorders>
              <w:top w:val="nil"/>
              <w:bottom w:val="nil"/>
            </w:tcBorders>
            <w:shd w:val="clear" w:color="auto" w:fill="auto"/>
          </w:tcPr>
          <w:p w14:paraId="11B694A8" w14:textId="77777777" w:rsidR="00E953C3" w:rsidRPr="00FF0808"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4719F0A" w14:textId="77777777" w:rsidR="00E953C3" w:rsidRPr="00FF0808" w:rsidRDefault="00E953C3" w:rsidP="00073385">
            <w:pPr>
              <w:spacing w:before="60" w:after="60" w:line="240" w:lineRule="auto"/>
              <w:ind w:left="0"/>
              <w:rPr>
                <w:rFonts w:cs="Arial"/>
                <w:sz w:val="20"/>
                <w:szCs w:val="20"/>
              </w:rPr>
            </w:pPr>
          </w:p>
        </w:tc>
        <w:tc>
          <w:tcPr>
            <w:tcW w:w="1055" w:type="dxa"/>
          </w:tcPr>
          <w:p w14:paraId="35EF0A57" w14:textId="77777777" w:rsidR="00E953C3" w:rsidRDefault="00E953C3" w:rsidP="00073385">
            <w:pPr>
              <w:spacing w:before="60" w:after="60" w:line="240" w:lineRule="auto"/>
              <w:ind w:left="0"/>
              <w:rPr>
                <w:rFonts w:cs="Arial"/>
                <w:sz w:val="20"/>
                <w:szCs w:val="20"/>
              </w:rPr>
            </w:pPr>
            <w:r>
              <w:rPr>
                <w:rFonts w:cs="Arial"/>
                <w:sz w:val="20"/>
                <w:szCs w:val="20"/>
              </w:rPr>
              <w:t>9/8/17</w:t>
            </w:r>
          </w:p>
        </w:tc>
        <w:tc>
          <w:tcPr>
            <w:tcW w:w="6335" w:type="dxa"/>
            <w:shd w:val="clear" w:color="auto" w:fill="auto"/>
          </w:tcPr>
          <w:p w14:paraId="2E6C7EED" w14:textId="77777777" w:rsidR="00E953C3" w:rsidRDefault="00E953C3" w:rsidP="00073385">
            <w:pPr>
              <w:spacing w:before="60" w:after="60" w:line="240" w:lineRule="auto"/>
              <w:ind w:left="0"/>
              <w:rPr>
                <w:rFonts w:cs="Arial"/>
                <w:sz w:val="20"/>
                <w:szCs w:val="20"/>
              </w:rPr>
            </w:pPr>
            <w:r>
              <w:rPr>
                <w:rFonts w:cs="Arial"/>
                <w:sz w:val="20"/>
                <w:szCs w:val="20"/>
              </w:rPr>
              <w:t>CarbonNet met with SIV, LEFCOL, VFA and 5 scallop fishermen in Lakes Entrance to discuss the MSS.</w:t>
            </w:r>
          </w:p>
          <w:p w14:paraId="37AE80E5" w14:textId="77777777" w:rsidR="00E953C3" w:rsidRDefault="00E953C3" w:rsidP="00073385">
            <w:pPr>
              <w:spacing w:before="60" w:after="60" w:line="240" w:lineRule="auto"/>
              <w:ind w:left="0"/>
              <w:rPr>
                <w:rFonts w:cs="Arial"/>
                <w:sz w:val="20"/>
                <w:szCs w:val="20"/>
              </w:rPr>
            </w:pPr>
            <w:r>
              <w:rPr>
                <w:rFonts w:cs="Arial"/>
                <w:sz w:val="20"/>
                <w:szCs w:val="20"/>
              </w:rPr>
              <w:t xml:space="preserve">Of particular note for VFA, they </w:t>
            </w:r>
            <w:r w:rsidRPr="000C35DE">
              <w:rPr>
                <w:rFonts w:cs="Arial"/>
                <w:sz w:val="20"/>
                <w:szCs w:val="20"/>
              </w:rPr>
              <w:t>provided some h</w:t>
            </w:r>
            <w:r>
              <w:rPr>
                <w:rFonts w:cs="Arial"/>
                <w:sz w:val="20"/>
                <w:szCs w:val="20"/>
              </w:rPr>
              <w:t xml:space="preserve">istorical data for the fishery and </w:t>
            </w:r>
            <w:r w:rsidRPr="000C35DE">
              <w:rPr>
                <w:rFonts w:cs="Arial"/>
                <w:sz w:val="20"/>
                <w:szCs w:val="20"/>
              </w:rPr>
              <w:t>said catch rates have been very low since the early 90s.</w:t>
            </w:r>
            <w:r>
              <w:rPr>
                <w:rFonts w:cs="Arial"/>
                <w:sz w:val="20"/>
                <w:szCs w:val="20"/>
              </w:rPr>
              <w:t xml:space="preserve"> VFA and SIV will discuss the collaboration proposals CarbonNet has tabled with the fishing industry.</w:t>
            </w:r>
          </w:p>
        </w:tc>
        <w:tc>
          <w:tcPr>
            <w:tcW w:w="3802" w:type="dxa"/>
            <w:shd w:val="clear" w:color="auto" w:fill="auto"/>
          </w:tcPr>
          <w:p w14:paraId="3C93A530" w14:textId="1190F118" w:rsidR="00E953C3" w:rsidRDefault="00E953C3" w:rsidP="00073385">
            <w:pPr>
              <w:spacing w:before="60" w:after="60" w:line="240" w:lineRule="auto"/>
              <w:ind w:left="0"/>
              <w:rPr>
                <w:rFonts w:cs="Arial"/>
                <w:sz w:val="20"/>
                <w:szCs w:val="20"/>
              </w:rPr>
            </w:pPr>
            <w:r>
              <w:rPr>
                <w:rFonts w:cs="Arial"/>
                <w:sz w:val="20"/>
                <w:szCs w:val="20"/>
              </w:rPr>
              <w:t>N/A</w:t>
            </w:r>
          </w:p>
        </w:tc>
      </w:tr>
      <w:tr w:rsidR="00E953C3" w:rsidRPr="00CC636C" w14:paraId="20B2103A" w14:textId="77777777" w:rsidTr="00891DE1">
        <w:tc>
          <w:tcPr>
            <w:tcW w:w="1427" w:type="dxa"/>
            <w:tcBorders>
              <w:top w:val="nil"/>
              <w:bottom w:val="nil"/>
            </w:tcBorders>
            <w:shd w:val="clear" w:color="auto" w:fill="auto"/>
          </w:tcPr>
          <w:p w14:paraId="148E7AB0" w14:textId="77777777" w:rsidR="00E953C3" w:rsidRPr="00FF0808"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90562F1" w14:textId="77777777" w:rsidR="00E953C3" w:rsidRPr="00FF0808" w:rsidRDefault="00E953C3" w:rsidP="00073385">
            <w:pPr>
              <w:spacing w:before="60" w:after="60" w:line="240" w:lineRule="auto"/>
              <w:ind w:left="0"/>
              <w:rPr>
                <w:rFonts w:cs="Arial"/>
                <w:sz w:val="20"/>
                <w:szCs w:val="20"/>
              </w:rPr>
            </w:pPr>
          </w:p>
        </w:tc>
        <w:tc>
          <w:tcPr>
            <w:tcW w:w="1055" w:type="dxa"/>
          </w:tcPr>
          <w:p w14:paraId="1EB18973" w14:textId="77777777" w:rsidR="00E953C3" w:rsidRDefault="00E953C3" w:rsidP="00073385">
            <w:pPr>
              <w:spacing w:before="60" w:after="60" w:line="240" w:lineRule="auto"/>
              <w:ind w:left="0"/>
              <w:rPr>
                <w:rFonts w:cs="Arial"/>
                <w:sz w:val="20"/>
                <w:szCs w:val="20"/>
              </w:rPr>
            </w:pPr>
            <w:r>
              <w:rPr>
                <w:rFonts w:cs="Arial"/>
                <w:sz w:val="20"/>
                <w:szCs w:val="20"/>
              </w:rPr>
              <w:t>11/8/17</w:t>
            </w:r>
          </w:p>
        </w:tc>
        <w:tc>
          <w:tcPr>
            <w:tcW w:w="6335" w:type="dxa"/>
            <w:shd w:val="clear" w:color="auto" w:fill="auto"/>
          </w:tcPr>
          <w:p w14:paraId="1BF2C8B6" w14:textId="77777777" w:rsidR="00E953C3" w:rsidRDefault="00E953C3" w:rsidP="00073385">
            <w:pPr>
              <w:spacing w:before="60" w:after="60" w:line="240" w:lineRule="auto"/>
              <w:ind w:left="0"/>
              <w:rPr>
                <w:rFonts w:cs="Arial"/>
                <w:sz w:val="20"/>
                <w:szCs w:val="20"/>
              </w:rPr>
            </w:pPr>
            <w:r>
              <w:rPr>
                <w:rFonts w:cs="Arial"/>
                <w:sz w:val="20"/>
                <w:szCs w:val="20"/>
              </w:rPr>
              <w:t>CarbonNet spoke to VFA on the phone regarding the MSS, including the expanded operational area. VFA confirmed that there is one additional fisherman who has reported very low catch and effort in the expanded operational area, and that he is not a scallop or lobster fisherman.</w:t>
            </w:r>
          </w:p>
        </w:tc>
        <w:tc>
          <w:tcPr>
            <w:tcW w:w="3802" w:type="dxa"/>
            <w:shd w:val="clear" w:color="auto" w:fill="auto"/>
          </w:tcPr>
          <w:p w14:paraId="4C0AAFFB" w14:textId="77777777" w:rsidR="00E953C3" w:rsidRDefault="00E953C3" w:rsidP="00073385">
            <w:pPr>
              <w:spacing w:before="60" w:after="60" w:line="240" w:lineRule="auto"/>
              <w:ind w:left="0"/>
              <w:rPr>
                <w:rFonts w:cs="Arial"/>
                <w:sz w:val="20"/>
                <w:szCs w:val="20"/>
              </w:rPr>
            </w:pPr>
            <w:r w:rsidRPr="00394009">
              <w:rPr>
                <w:rFonts w:cs="Arial"/>
                <w:sz w:val="20"/>
                <w:szCs w:val="20"/>
              </w:rPr>
              <w:t xml:space="preserve">Now that </w:t>
            </w:r>
            <w:r w:rsidRPr="000D691D">
              <w:rPr>
                <w:rFonts w:cs="Arial"/>
                <w:sz w:val="20"/>
                <w:szCs w:val="20"/>
              </w:rPr>
              <w:t xml:space="preserve">CarbonNet </w:t>
            </w:r>
            <w:r w:rsidRPr="00394009">
              <w:rPr>
                <w:rFonts w:cs="Arial"/>
                <w:sz w:val="20"/>
                <w:szCs w:val="20"/>
              </w:rPr>
              <w:t xml:space="preserve">has been made aware of this additional stakeholder, CarbonNet </w:t>
            </w:r>
            <w:r w:rsidRPr="000D691D">
              <w:rPr>
                <w:rFonts w:cs="Arial"/>
                <w:sz w:val="20"/>
                <w:szCs w:val="20"/>
              </w:rPr>
              <w:t>will write to the impacted fisherman via VFA.</w:t>
            </w:r>
          </w:p>
          <w:p w14:paraId="510DFD0F" w14:textId="77777777" w:rsidR="00E953C3" w:rsidRDefault="00E953C3" w:rsidP="00073385">
            <w:pPr>
              <w:spacing w:before="60" w:after="60" w:line="240" w:lineRule="auto"/>
              <w:ind w:left="0"/>
              <w:rPr>
                <w:rFonts w:cs="Arial"/>
                <w:sz w:val="20"/>
                <w:szCs w:val="20"/>
              </w:rPr>
            </w:pPr>
          </w:p>
        </w:tc>
      </w:tr>
      <w:tr w:rsidR="00E953C3" w:rsidRPr="00CC636C" w14:paraId="3D9B688F" w14:textId="77777777" w:rsidTr="00891DE1">
        <w:tc>
          <w:tcPr>
            <w:tcW w:w="1427" w:type="dxa"/>
            <w:tcBorders>
              <w:top w:val="nil"/>
              <w:bottom w:val="nil"/>
            </w:tcBorders>
            <w:shd w:val="clear" w:color="auto" w:fill="auto"/>
          </w:tcPr>
          <w:p w14:paraId="25EAB01B" w14:textId="77777777" w:rsidR="00E953C3" w:rsidRPr="00FF0808"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772D174" w14:textId="77777777" w:rsidR="00E953C3" w:rsidRPr="00FF0808" w:rsidRDefault="00E953C3" w:rsidP="00073385">
            <w:pPr>
              <w:spacing w:before="60" w:after="60" w:line="240" w:lineRule="auto"/>
              <w:ind w:left="0"/>
              <w:rPr>
                <w:rFonts w:cs="Arial"/>
                <w:sz w:val="20"/>
                <w:szCs w:val="20"/>
              </w:rPr>
            </w:pPr>
          </w:p>
        </w:tc>
        <w:tc>
          <w:tcPr>
            <w:tcW w:w="1055" w:type="dxa"/>
          </w:tcPr>
          <w:p w14:paraId="4ADA1A38" w14:textId="51B2DFB4" w:rsidR="00E953C3" w:rsidRDefault="00E953C3"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2C2CB056" w14:textId="7F25A21A" w:rsidR="00E953C3" w:rsidRDefault="00E953C3"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49758C7D" w14:textId="77777777" w:rsidR="00E953C3" w:rsidRPr="00394009" w:rsidRDefault="00E953C3" w:rsidP="00073385">
            <w:pPr>
              <w:spacing w:before="60" w:after="60" w:line="240" w:lineRule="auto"/>
              <w:ind w:left="0"/>
              <w:rPr>
                <w:rFonts w:cs="Arial"/>
                <w:sz w:val="20"/>
                <w:szCs w:val="20"/>
              </w:rPr>
            </w:pPr>
          </w:p>
        </w:tc>
      </w:tr>
      <w:tr w:rsidR="00E953C3" w:rsidRPr="00CC636C" w14:paraId="6A00F02A" w14:textId="77777777" w:rsidTr="00891DE1">
        <w:tc>
          <w:tcPr>
            <w:tcW w:w="1427" w:type="dxa"/>
            <w:tcBorders>
              <w:top w:val="nil"/>
              <w:bottom w:val="nil"/>
            </w:tcBorders>
            <w:shd w:val="clear" w:color="auto" w:fill="auto"/>
          </w:tcPr>
          <w:p w14:paraId="0CDE0595" w14:textId="77777777" w:rsidR="00E953C3" w:rsidRPr="00FF0808"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C88DCA7" w14:textId="77777777" w:rsidR="00E953C3" w:rsidRPr="00FF0808" w:rsidRDefault="00E953C3" w:rsidP="00073385">
            <w:pPr>
              <w:spacing w:before="60" w:after="60" w:line="240" w:lineRule="auto"/>
              <w:ind w:left="0"/>
              <w:rPr>
                <w:rFonts w:cs="Arial"/>
                <w:sz w:val="20"/>
                <w:szCs w:val="20"/>
              </w:rPr>
            </w:pPr>
          </w:p>
        </w:tc>
        <w:tc>
          <w:tcPr>
            <w:tcW w:w="1055" w:type="dxa"/>
          </w:tcPr>
          <w:p w14:paraId="6985BCFF" w14:textId="7A5A5FEB" w:rsidR="00E953C3" w:rsidRDefault="00E953C3" w:rsidP="00073385">
            <w:pPr>
              <w:spacing w:before="60" w:after="60" w:line="240" w:lineRule="auto"/>
              <w:ind w:left="0"/>
              <w:rPr>
                <w:rFonts w:cs="Arial"/>
                <w:sz w:val="20"/>
                <w:szCs w:val="20"/>
              </w:rPr>
            </w:pPr>
            <w:r>
              <w:rPr>
                <w:rFonts w:cs="Arial"/>
                <w:sz w:val="20"/>
                <w:szCs w:val="20"/>
              </w:rPr>
              <w:t>24/8/17</w:t>
            </w:r>
          </w:p>
        </w:tc>
        <w:tc>
          <w:tcPr>
            <w:tcW w:w="6335" w:type="dxa"/>
            <w:shd w:val="clear" w:color="auto" w:fill="auto"/>
          </w:tcPr>
          <w:p w14:paraId="4AB063AB" w14:textId="781EA511" w:rsidR="00E953C3" w:rsidRDefault="00E953C3" w:rsidP="00073385">
            <w:pPr>
              <w:spacing w:before="60" w:after="60" w:line="240" w:lineRule="auto"/>
              <w:ind w:left="0"/>
              <w:rPr>
                <w:rFonts w:cs="Arial"/>
                <w:sz w:val="20"/>
                <w:szCs w:val="20"/>
              </w:rPr>
            </w:pPr>
            <w:r>
              <w:rPr>
                <w:rFonts w:cs="Arial"/>
                <w:sz w:val="20"/>
                <w:szCs w:val="20"/>
              </w:rPr>
              <w:t>VFA emailed CarbonNet regarding a request they have received from VRLA for maps of sound exposure and the full STLM report.</w:t>
            </w:r>
          </w:p>
        </w:tc>
        <w:tc>
          <w:tcPr>
            <w:tcW w:w="3802" w:type="dxa"/>
            <w:shd w:val="clear" w:color="auto" w:fill="auto"/>
          </w:tcPr>
          <w:p w14:paraId="6BEC7993" w14:textId="77777777" w:rsidR="00E953C3" w:rsidRPr="00394009" w:rsidRDefault="00E953C3" w:rsidP="00073385">
            <w:pPr>
              <w:spacing w:before="60" w:after="60" w:line="240" w:lineRule="auto"/>
              <w:ind w:left="0"/>
              <w:rPr>
                <w:rFonts w:cs="Arial"/>
                <w:sz w:val="20"/>
                <w:szCs w:val="20"/>
              </w:rPr>
            </w:pPr>
          </w:p>
        </w:tc>
      </w:tr>
      <w:tr w:rsidR="00E953C3" w:rsidRPr="00CC636C" w14:paraId="203858D7" w14:textId="77777777" w:rsidTr="00891DE1">
        <w:tc>
          <w:tcPr>
            <w:tcW w:w="1427" w:type="dxa"/>
            <w:tcBorders>
              <w:top w:val="nil"/>
              <w:bottom w:val="nil"/>
            </w:tcBorders>
            <w:shd w:val="clear" w:color="auto" w:fill="auto"/>
          </w:tcPr>
          <w:p w14:paraId="3C2CD9DB" w14:textId="77777777" w:rsidR="00E953C3" w:rsidRPr="00FF0808"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1FAE839F" w14:textId="77777777" w:rsidR="00E953C3" w:rsidRPr="00FF0808" w:rsidRDefault="00E953C3" w:rsidP="00073385">
            <w:pPr>
              <w:spacing w:before="60" w:after="60" w:line="240" w:lineRule="auto"/>
              <w:ind w:left="0"/>
              <w:rPr>
                <w:rFonts w:cs="Arial"/>
                <w:sz w:val="20"/>
                <w:szCs w:val="20"/>
              </w:rPr>
            </w:pPr>
          </w:p>
        </w:tc>
        <w:tc>
          <w:tcPr>
            <w:tcW w:w="1055" w:type="dxa"/>
          </w:tcPr>
          <w:p w14:paraId="04FC352B" w14:textId="4AAF7031" w:rsidR="00E953C3" w:rsidRDefault="00E953C3" w:rsidP="00073385">
            <w:pPr>
              <w:spacing w:before="60" w:after="60" w:line="240" w:lineRule="auto"/>
              <w:ind w:left="0"/>
              <w:rPr>
                <w:rFonts w:cs="Arial"/>
                <w:sz w:val="20"/>
                <w:szCs w:val="20"/>
              </w:rPr>
            </w:pPr>
            <w:r>
              <w:rPr>
                <w:rFonts w:cs="Arial"/>
                <w:sz w:val="20"/>
                <w:szCs w:val="20"/>
              </w:rPr>
              <w:t>25/8/17</w:t>
            </w:r>
          </w:p>
        </w:tc>
        <w:tc>
          <w:tcPr>
            <w:tcW w:w="6335" w:type="dxa"/>
            <w:shd w:val="clear" w:color="auto" w:fill="auto"/>
          </w:tcPr>
          <w:p w14:paraId="476FDABF" w14:textId="61C8B95A" w:rsidR="00E953C3" w:rsidRDefault="00E953C3" w:rsidP="00082B45">
            <w:pPr>
              <w:spacing w:before="60" w:after="60" w:line="240" w:lineRule="auto"/>
              <w:ind w:left="0"/>
              <w:rPr>
                <w:rFonts w:cs="Arial"/>
                <w:sz w:val="20"/>
                <w:szCs w:val="20"/>
              </w:rPr>
            </w:pPr>
            <w:r>
              <w:rPr>
                <w:rFonts w:cs="Arial"/>
                <w:sz w:val="20"/>
                <w:szCs w:val="20"/>
              </w:rPr>
              <w:t xml:space="preserve">CarbonNet spoke to VFA on the phone regarding the </w:t>
            </w:r>
            <w:r w:rsidRPr="0097118E">
              <w:rPr>
                <w:rFonts w:cs="Arial"/>
                <w:sz w:val="20"/>
                <w:szCs w:val="20"/>
              </w:rPr>
              <w:t xml:space="preserve">MSS and requests from VRLA for maps of sound exposure, and request from SIV for </w:t>
            </w:r>
            <w:r>
              <w:rPr>
                <w:rFonts w:cs="Arial"/>
                <w:sz w:val="20"/>
                <w:szCs w:val="20"/>
              </w:rPr>
              <w:t xml:space="preserve">the </w:t>
            </w:r>
            <w:r w:rsidRPr="0097118E">
              <w:rPr>
                <w:rFonts w:cs="Arial"/>
                <w:sz w:val="20"/>
                <w:szCs w:val="20"/>
              </w:rPr>
              <w:t xml:space="preserve">full </w:t>
            </w:r>
            <w:r>
              <w:rPr>
                <w:rFonts w:cs="Arial"/>
                <w:sz w:val="20"/>
                <w:szCs w:val="20"/>
              </w:rPr>
              <w:t xml:space="preserve">STLM </w:t>
            </w:r>
            <w:r w:rsidRPr="0097118E">
              <w:rPr>
                <w:rFonts w:cs="Arial"/>
                <w:sz w:val="20"/>
                <w:szCs w:val="20"/>
              </w:rPr>
              <w:t>report.</w:t>
            </w:r>
          </w:p>
          <w:p w14:paraId="2927AE26" w14:textId="2BE0C2DA" w:rsidR="00E953C3" w:rsidRPr="0097118E" w:rsidRDefault="00E953C3" w:rsidP="00082B45">
            <w:pPr>
              <w:spacing w:before="60" w:after="60" w:line="240" w:lineRule="auto"/>
              <w:ind w:left="0"/>
              <w:rPr>
                <w:rFonts w:cs="Arial"/>
                <w:sz w:val="20"/>
                <w:szCs w:val="20"/>
              </w:rPr>
            </w:pPr>
            <w:r w:rsidRPr="0097118E">
              <w:rPr>
                <w:rFonts w:cs="Arial"/>
                <w:sz w:val="20"/>
                <w:szCs w:val="20"/>
              </w:rPr>
              <w:t>VFA is now looking to undertake an Eastern Victoria Scallop Fishery Stock Assessment</w:t>
            </w:r>
            <w:r>
              <w:rPr>
                <w:rFonts w:cs="Arial"/>
                <w:sz w:val="20"/>
                <w:szCs w:val="20"/>
              </w:rPr>
              <w:t xml:space="preserve">, </w:t>
            </w:r>
            <w:r w:rsidRPr="0097118E">
              <w:rPr>
                <w:rFonts w:cs="Arial"/>
                <w:sz w:val="20"/>
                <w:szCs w:val="20"/>
              </w:rPr>
              <w:t>which may occur in the next cou</w:t>
            </w:r>
            <w:r>
              <w:rPr>
                <w:rFonts w:cs="Arial"/>
                <w:sz w:val="20"/>
                <w:szCs w:val="20"/>
              </w:rPr>
              <w:t>ple of months, including within the</w:t>
            </w:r>
            <w:r w:rsidRPr="0097118E">
              <w:rPr>
                <w:rFonts w:cs="Arial"/>
                <w:sz w:val="20"/>
                <w:szCs w:val="20"/>
              </w:rPr>
              <w:t xml:space="preserve"> MSS area. </w:t>
            </w:r>
            <w:r>
              <w:rPr>
                <w:rFonts w:cs="Arial"/>
                <w:sz w:val="20"/>
                <w:szCs w:val="20"/>
              </w:rPr>
              <w:t>CarbonNet will make a funding contribution to this activity.</w:t>
            </w:r>
          </w:p>
          <w:p w14:paraId="7250BCB2" w14:textId="77777777" w:rsidR="00E953C3" w:rsidRPr="0097118E" w:rsidRDefault="00E953C3" w:rsidP="00082B45">
            <w:pPr>
              <w:spacing w:before="60" w:after="60" w:line="240" w:lineRule="auto"/>
              <w:ind w:left="0"/>
              <w:rPr>
                <w:rFonts w:cs="Arial"/>
                <w:sz w:val="20"/>
                <w:szCs w:val="20"/>
              </w:rPr>
            </w:pPr>
            <w:r>
              <w:rPr>
                <w:rFonts w:cs="Arial"/>
                <w:sz w:val="20"/>
                <w:szCs w:val="20"/>
              </w:rPr>
              <w:t>CarbonNet provided a</w:t>
            </w:r>
            <w:r w:rsidRPr="0097118E">
              <w:rPr>
                <w:rFonts w:cs="Arial"/>
                <w:sz w:val="20"/>
                <w:szCs w:val="20"/>
              </w:rPr>
              <w:t xml:space="preserve"> summary of the </w:t>
            </w:r>
            <w:r>
              <w:rPr>
                <w:rFonts w:cs="Arial"/>
                <w:sz w:val="20"/>
                <w:szCs w:val="20"/>
              </w:rPr>
              <w:t xml:space="preserve">STLM </w:t>
            </w:r>
            <w:r w:rsidRPr="0097118E">
              <w:rPr>
                <w:rFonts w:cs="Arial"/>
                <w:sz w:val="20"/>
                <w:szCs w:val="20"/>
              </w:rPr>
              <w:t>outcom</w:t>
            </w:r>
            <w:r>
              <w:rPr>
                <w:rFonts w:cs="Arial"/>
                <w:sz w:val="20"/>
                <w:szCs w:val="20"/>
              </w:rPr>
              <w:t xml:space="preserve">es presented to stakeholders. VFA </w:t>
            </w:r>
            <w:r w:rsidRPr="0097118E">
              <w:rPr>
                <w:rFonts w:cs="Arial"/>
                <w:sz w:val="20"/>
                <w:szCs w:val="20"/>
              </w:rPr>
              <w:t>said it looked</w:t>
            </w:r>
            <w:r>
              <w:rPr>
                <w:rFonts w:cs="Arial"/>
                <w:sz w:val="20"/>
                <w:szCs w:val="20"/>
              </w:rPr>
              <w:t xml:space="preserve"> comprehensive and acknowledged the difficulties in providing the full report without context, or producing</w:t>
            </w:r>
            <w:r w:rsidRPr="0097118E">
              <w:rPr>
                <w:rFonts w:cs="Arial"/>
                <w:sz w:val="20"/>
                <w:szCs w:val="20"/>
              </w:rPr>
              <w:t xml:space="preserve"> the maps requested. </w:t>
            </w:r>
          </w:p>
          <w:p w14:paraId="1E63F127" w14:textId="4F5A7BA6" w:rsidR="00E953C3" w:rsidRPr="0097118E" w:rsidRDefault="00E953C3" w:rsidP="00082B45">
            <w:pPr>
              <w:spacing w:before="60" w:after="60" w:line="240" w:lineRule="auto"/>
              <w:ind w:left="0"/>
              <w:rPr>
                <w:rFonts w:cs="Arial"/>
                <w:sz w:val="20"/>
                <w:szCs w:val="20"/>
              </w:rPr>
            </w:pPr>
            <w:r>
              <w:rPr>
                <w:rFonts w:cs="Arial"/>
                <w:sz w:val="20"/>
                <w:szCs w:val="20"/>
              </w:rPr>
              <w:t>VFA</w:t>
            </w:r>
            <w:r w:rsidRPr="0097118E">
              <w:rPr>
                <w:rFonts w:cs="Arial"/>
                <w:sz w:val="20"/>
                <w:szCs w:val="20"/>
              </w:rPr>
              <w:t xml:space="preserve"> will </w:t>
            </w:r>
            <w:r>
              <w:rPr>
                <w:rFonts w:cs="Arial"/>
                <w:sz w:val="20"/>
                <w:szCs w:val="20"/>
              </w:rPr>
              <w:t xml:space="preserve">encourage the fishing industry to </w:t>
            </w:r>
            <w:r w:rsidRPr="0097118E">
              <w:rPr>
                <w:rFonts w:cs="Arial"/>
                <w:sz w:val="20"/>
                <w:szCs w:val="20"/>
              </w:rPr>
              <w:t xml:space="preserve">take up </w:t>
            </w:r>
            <w:r>
              <w:rPr>
                <w:rFonts w:cs="Arial"/>
                <w:sz w:val="20"/>
                <w:szCs w:val="20"/>
              </w:rPr>
              <w:t>CarbonNet’s</w:t>
            </w:r>
            <w:r w:rsidRPr="0097118E">
              <w:rPr>
                <w:rFonts w:cs="Arial"/>
                <w:sz w:val="20"/>
                <w:szCs w:val="20"/>
              </w:rPr>
              <w:t xml:space="preserve"> offer </w:t>
            </w:r>
            <w:r>
              <w:rPr>
                <w:rFonts w:cs="Arial"/>
                <w:sz w:val="20"/>
                <w:szCs w:val="20"/>
              </w:rPr>
              <w:t>of a briefing from the STLM report author.</w:t>
            </w:r>
          </w:p>
          <w:p w14:paraId="5A907442" w14:textId="5D466060" w:rsidR="00E953C3" w:rsidRDefault="00E953C3" w:rsidP="00073385">
            <w:pPr>
              <w:spacing w:before="60" w:after="60" w:line="240" w:lineRule="auto"/>
              <w:ind w:left="0"/>
              <w:rPr>
                <w:rFonts w:cs="Arial"/>
                <w:sz w:val="20"/>
                <w:szCs w:val="20"/>
              </w:rPr>
            </w:pPr>
            <w:r>
              <w:rPr>
                <w:rFonts w:cs="Arial"/>
                <w:sz w:val="20"/>
                <w:szCs w:val="20"/>
              </w:rPr>
              <w:t xml:space="preserve">VFA </w:t>
            </w:r>
            <w:r w:rsidRPr="0097118E">
              <w:rPr>
                <w:rFonts w:cs="Arial"/>
                <w:sz w:val="20"/>
                <w:szCs w:val="20"/>
              </w:rPr>
              <w:t xml:space="preserve">asked </w:t>
            </w:r>
            <w:r>
              <w:rPr>
                <w:rFonts w:cs="Arial"/>
                <w:sz w:val="20"/>
                <w:szCs w:val="20"/>
              </w:rPr>
              <w:t xml:space="preserve">whether CarbonNet will </w:t>
            </w:r>
            <w:r w:rsidRPr="0097118E">
              <w:rPr>
                <w:rFonts w:cs="Arial"/>
                <w:sz w:val="20"/>
                <w:szCs w:val="20"/>
              </w:rPr>
              <w:t>release the full EP. While CarbonNet has gone above and beyond</w:t>
            </w:r>
            <w:r>
              <w:rPr>
                <w:rFonts w:cs="Arial"/>
                <w:sz w:val="20"/>
                <w:szCs w:val="20"/>
              </w:rPr>
              <w:t xml:space="preserve"> in providing draft extracts to </w:t>
            </w:r>
            <w:r>
              <w:rPr>
                <w:rFonts w:cs="Arial"/>
                <w:sz w:val="20"/>
                <w:szCs w:val="20"/>
              </w:rPr>
              <w:lastRenderedPageBreak/>
              <w:t>stakeholders</w:t>
            </w:r>
            <w:r w:rsidRPr="0097118E">
              <w:rPr>
                <w:rFonts w:cs="Arial"/>
                <w:sz w:val="20"/>
                <w:szCs w:val="20"/>
              </w:rPr>
              <w:t>, will consider this further.</w:t>
            </w:r>
          </w:p>
        </w:tc>
        <w:tc>
          <w:tcPr>
            <w:tcW w:w="3802" w:type="dxa"/>
            <w:shd w:val="clear" w:color="auto" w:fill="auto"/>
          </w:tcPr>
          <w:p w14:paraId="72C8E64F" w14:textId="6FEC313E" w:rsidR="00E953C3" w:rsidRPr="00394009" w:rsidRDefault="00E953C3" w:rsidP="00073385">
            <w:pPr>
              <w:spacing w:before="60" w:after="60" w:line="240" w:lineRule="auto"/>
              <w:ind w:left="0"/>
              <w:rPr>
                <w:rFonts w:cs="Arial"/>
                <w:sz w:val="20"/>
                <w:szCs w:val="20"/>
              </w:rPr>
            </w:pPr>
            <w:r>
              <w:rPr>
                <w:rFonts w:cs="Arial"/>
                <w:sz w:val="20"/>
                <w:szCs w:val="20"/>
              </w:rPr>
              <w:lastRenderedPageBreak/>
              <w:t>N/A</w:t>
            </w:r>
          </w:p>
        </w:tc>
      </w:tr>
      <w:tr w:rsidR="00E953C3" w:rsidRPr="00CC636C" w14:paraId="200BC567" w14:textId="77777777" w:rsidTr="00891DE1">
        <w:tc>
          <w:tcPr>
            <w:tcW w:w="1427" w:type="dxa"/>
            <w:tcBorders>
              <w:top w:val="nil"/>
              <w:bottom w:val="nil"/>
            </w:tcBorders>
            <w:shd w:val="clear" w:color="auto" w:fill="auto"/>
          </w:tcPr>
          <w:p w14:paraId="0CA80C65" w14:textId="77777777" w:rsidR="00E953C3" w:rsidRPr="00FF0808"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5F02DD3" w14:textId="77777777" w:rsidR="00E953C3" w:rsidRPr="00FF0808" w:rsidRDefault="00E953C3" w:rsidP="00073385">
            <w:pPr>
              <w:spacing w:before="60" w:after="60" w:line="240" w:lineRule="auto"/>
              <w:ind w:left="0"/>
              <w:rPr>
                <w:rFonts w:cs="Arial"/>
                <w:sz w:val="20"/>
                <w:szCs w:val="20"/>
              </w:rPr>
            </w:pPr>
          </w:p>
        </w:tc>
        <w:tc>
          <w:tcPr>
            <w:tcW w:w="1055" w:type="dxa"/>
          </w:tcPr>
          <w:p w14:paraId="0A1AB4CC" w14:textId="265C3E71" w:rsidR="00E953C3" w:rsidRDefault="00E953C3" w:rsidP="00073385">
            <w:pPr>
              <w:spacing w:before="60" w:after="60" w:line="240" w:lineRule="auto"/>
              <w:ind w:left="0"/>
              <w:rPr>
                <w:rFonts w:cs="Arial"/>
                <w:sz w:val="20"/>
                <w:szCs w:val="20"/>
              </w:rPr>
            </w:pPr>
            <w:r>
              <w:rPr>
                <w:rFonts w:cs="Arial"/>
                <w:sz w:val="20"/>
                <w:szCs w:val="20"/>
              </w:rPr>
              <w:t>28/8/17</w:t>
            </w:r>
          </w:p>
        </w:tc>
        <w:tc>
          <w:tcPr>
            <w:tcW w:w="6335" w:type="dxa"/>
            <w:shd w:val="clear" w:color="auto" w:fill="auto"/>
          </w:tcPr>
          <w:p w14:paraId="3D96B1FA" w14:textId="3BD44334" w:rsidR="00E953C3" w:rsidRDefault="00E953C3" w:rsidP="00073385">
            <w:pPr>
              <w:spacing w:before="60" w:after="60" w:line="240" w:lineRule="auto"/>
              <w:ind w:left="0"/>
              <w:rPr>
                <w:rFonts w:cs="Arial"/>
                <w:sz w:val="20"/>
                <w:szCs w:val="20"/>
              </w:rPr>
            </w:pPr>
            <w:r>
              <w:rPr>
                <w:rFonts w:cs="Arial"/>
                <w:sz w:val="20"/>
                <w:szCs w:val="20"/>
              </w:rPr>
              <w:t>CarbonNet received email confirmation from VFA that the letter to the additional impacted fisherman will be sent tomorrow.</w:t>
            </w:r>
          </w:p>
        </w:tc>
        <w:tc>
          <w:tcPr>
            <w:tcW w:w="3802" w:type="dxa"/>
            <w:shd w:val="clear" w:color="auto" w:fill="auto"/>
          </w:tcPr>
          <w:p w14:paraId="5936A2AE" w14:textId="532A06B7" w:rsidR="00E953C3" w:rsidRPr="00394009" w:rsidRDefault="00E953C3" w:rsidP="00073385">
            <w:pPr>
              <w:spacing w:before="60" w:after="60" w:line="240" w:lineRule="auto"/>
              <w:ind w:left="0"/>
              <w:rPr>
                <w:rFonts w:cs="Arial"/>
                <w:sz w:val="20"/>
                <w:szCs w:val="20"/>
              </w:rPr>
            </w:pPr>
            <w:r>
              <w:rPr>
                <w:rFonts w:cs="Arial"/>
                <w:sz w:val="20"/>
                <w:szCs w:val="20"/>
              </w:rPr>
              <w:t>N/A</w:t>
            </w:r>
          </w:p>
        </w:tc>
      </w:tr>
      <w:tr w:rsidR="00E953C3" w:rsidRPr="00CC636C" w14:paraId="0701BFC8" w14:textId="77777777" w:rsidTr="00891DE1">
        <w:tc>
          <w:tcPr>
            <w:tcW w:w="1427" w:type="dxa"/>
            <w:tcBorders>
              <w:top w:val="nil"/>
              <w:bottom w:val="nil"/>
            </w:tcBorders>
            <w:shd w:val="clear" w:color="auto" w:fill="auto"/>
          </w:tcPr>
          <w:p w14:paraId="023F3F37" w14:textId="77777777" w:rsidR="00E953C3" w:rsidRPr="00FF0808"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F68CFCF" w14:textId="77777777" w:rsidR="00E953C3" w:rsidRPr="00FF0808" w:rsidRDefault="00E953C3" w:rsidP="00073385">
            <w:pPr>
              <w:spacing w:before="60" w:after="60" w:line="240" w:lineRule="auto"/>
              <w:ind w:left="0"/>
              <w:rPr>
                <w:rFonts w:cs="Arial"/>
                <w:sz w:val="20"/>
                <w:szCs w:val="20"/>
              </w:rPr>
            </w:pPr>
          </w:p>
        </w:tc>
        <w:tc>
          <w:tcPr>
            <w:tcW w:w="1055" w:type="dxa"/>
          </w:tcPr>
          <w:p w14:paraId="02F92633" w14:textId="5922E6AC" w:rsidR="00E953C3" w:rsidRDefault="00E953C3" w:rsidP="00073385">
            <w:pPr>
              <w:spacing w:before="60" w:after="60" w:line="240" w:lineRule="auto"/>
              <w:ind w:left="0"/>
              <w:rPr>
                <w:rFonts w:cs="Arial"/>
                <w:sz w:val="20"/>
                <w:szCs w:val="20"/>
              </w:rPr>
            </w:pPr>
            <w:r>
              <w:rPr>
                <w:rFonts w:cs="Arial"/>
                <w:sz w:val="20"/>
                <w:szCs w:val="20"/>
              </w:rPr>
              <w:t>18/9/17</w:t>
            </w:r>
          </w:p>
        </w:tc>
        <w:tc>
          <w:tcPr>
            <w:tcW w:w="6335" w:type="dxa"/>
            <w:shd w:val="clear" w:color="auto" w:fill="auto"/>
          </w:tcPr>
          <w:p w14:paraId="2B3B2F85" w14:textId="322BE435" w:rsidR="00E953C3" w:rsidRDefault="00E953C3" w:rsidP="00073385">
            <w:pPr>
              <w:spacing w:before="60" w:after="60" w:line="240" w:lineRule="auto"/>
              <w:ind w:left="0"/>
              <w:rPr>
                <w:rFonts w:cs="Arial"/>
                <w:sz w:val="20"/>
                <w:szCs w:val="20"/>
              </w:rPr>
            </w:pPr>
            <w:r>
              <w:rPr>
                <w:rFonts w:cs="Arial"/>
                <w:sz w:val="20"/>
                <w:szCs w:val="20"/>
              </w:rPr>
              <w:t xml:space="preserve">CarbonNet met with SIV and VFA in Melbourne to discuss progress on the EP, scallop stock assessment, pre- and post-MSS environmental habitat assessment and other issues. </w:t>
            </w:r>
          </w:p>
        </w:tc>
        <w:tc>
          <w:tcPr>
            <w:tcW w:w="3802" w:type="dxa"/>
            <w:shd w:val="clear" w:color="auto" w:fill="auto"/>
          </w:tcPr>
          <w:p w14:paraId="189AD59E" w14:textId="45189F12" w:rsidR="00E953C3" w:rsidRPr="00394009" w:rsidRDefault="00E953C3" w:rsidP="00082B45">
            <w:pPr>
              <w:spacing w:before="60" w:after="60" w:line="240" w:lineRule="auto"/>
              <w:ind w:left="0"/>
              <w:rPr>
                <w:rFonts w:cs="Arial"/>
                <w:sz w:val="20"/>
                <w:szCs w:val="20"/>
              </w:rPr>
            </w:pPr>
            <w:r>
              <w:rPr>
                <w:rFonts w:cs="Arial"/>
                <w:sz w:val="20"/>
                <w:szCs w:val="20"/>
              </w:rPr>
              <w:t>CarbonNet re-issued the draft scope for the pre- and post-MSS environmental assessment to SIV and VFA on 20/9/17. CarbonNet also proposed a follow up meeting on 3/10/17 in Werribee.</w:t>
            </w:r>
          </w:p>
        </w:tc>
      </w:tr>
      <w:tr w:rsidR="00E953C3" w:rsidRPr="00CC636C" w14:paraId="66271AB0" w14:textId="77777777" w:rsidTr="00891DE1">
        <w:tc>
          <w:tcPr>
            <w:tcW w:w="1427" w:type="dxa"/>
            <w:tcBorders>
              <w:top w:val="nil"/>
              <w:bottom w:val="nil"/>
            </w:tcBorders>
            <w:shd w:val="clear" w:color="auto" w:fill="auto"/>
          </w:tcPr>
          <w:p w14:paraId="0B9FF2CD" w14:textId="77777777" w:rsidR="00E953C3" w:rsidRPr="00FF0808"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12325953" w14:textId="77777777" w:rsidR="00E953C3" w:rsidRPr="00FF0808" w:rsidRDefault="00E953C3" w:rsidP="00073385">
            <w:pPr>
              <w:spacing w:before="60" w:after="60" w:line="240" w:lineRule="auto"/>
              <w:ind w:left="0"/>
              <w:rPr>
                <w:rFonts w:cs="Arial"/>
                <w:sz w:val="20"/>
                <w:szCs w:val="20"/>
              </w:rPr>
            </w:pPr>
          </w:p>
        </w:tc>
        <w:tc>
          <w:tcPr>
            <w:tcW w:w="1055" w:type="dxa"/>
          </w:tcPr>
          <w:p w14:paraId="30997721" w14:textId="08E33547" w:rsidR="00E953C3" w:rsidRDefault="00E953C3" w:rsidP="00073385">
            <w:pPr>
              <w:spacing w:before="60" w:after="60" w:line="240" w:lineRule="auto"/>
              <w:ind w:left="0"/>
              <w:rPr>
                <w:rFonts w:cs="Arial"/>
                <w:sz w:val="20"/>
                <w:szCs w:val="20"/>
              </w:rPr>
            </w:pPr>
            <w:r>
              <w:rPr>
                <w:rFonts w:cs="Arial"/>
                <w:sz w:val="20"/>
                <w:szCs w:val="20"/>
              </w:rPr>
              <w:t>3/10/17</w:t>
            </w:r>
          </w:p>
        </w:tc>
        <w:tc>
          <w:tcPr>
            <w:tcW w:w="6335" w:type="dxa"/>
            <w:shd w:val="clear" w:color="auto" w:fill="auto"/>
          </w:tcPr>
          <w:p w14:paraId="0F7FA8AE" w14:textId="7B968B9B" w:rsidR="00E953C3" w:rsidRDefault="00E953C3" w:rsidP="00082B45">
            <w:pPr>
              <w:spacing w:before="60" w:after="60" w:line="240" w:lineRule="auto"/>
              <w:ind w:left="0"/>
              <w:rPr>
                <w:rFonts w:cs="Arial"/>
                <w:sz w:val="20"/>
                <w:szCs w:val="20"/>
              </w:rPr>
            </w:pPr>
            <w:r>
              <w:rPr>
                <w:rFonts w:cs="Arial"/>
                <w:sz w:val="20"/>
                <w:szCs w:val="20"/>
              </w:rPr>
              <w:t>CarbonNet met with representatives from</w:t>
            </w:r>
            <w:r>
              <w:t xml:space="preserve"> </w:t>
            </w:r>
            <w:r w:rsidRPr="00E92C5E">
              <w:rPr>
                <w:rFonts w:cs="Arial"/>
                <w:sz w:val="20"/>
                <w:szCs w:val="20"/>
              </w:rPr>
              <w:t xml:space="preserve">SIV and VFA </w:t>
            </w:r>
            <w:r>
              <w:rPr>
                <w:rFonts w:cs="Arial"/>
                <w:sz w:val="20"/>
                <w:szCs w:val="20"/>
              </w:rPr>
              <w:t xml:space="preserve">in Werribee </w:t>
            </w:r>
            <w:r w:rsidRPr="00E92C5E">
              <w:rPr>
                <w:rFonts w:cs="Arial"/>
                <w:sz w:val="20"/>
                <w:szCs w:val="20"/>
              </w:rPr>
              <w:t xml:space="preserve">with </w:t>
            </w:r>
            <w:r>
              <w:rPr>
                <w:rFonts w:cs="Arial"/>
                <w:sz w:val="20"/>
                <w:szCs w:val="20"/>
              </w:rPr>
              <w:t xml:space="preserve">its </w:t>
            </w:r>
            <w:r w:rsidRPr="00E92C5E">
              <w:rPr>
                <w:rFonts w:cs="Arial"/>
                <w:sz w:val="20"/>
                <w:szCs w:val="20"/>
              </w:rPr>
              <w:t>environmental and acoustic consultants to discuss sound modelling, pre</w:t>
            </w:r>
            <w:r>
              <w:rPr>
                <w:rFonts w:cs="Arial"/>
                <w:sz w:val="20"/>
                <w:szCs w:val="20"/>
              </w:rPr>
              <w:t>-</w:t>
            </w:r>
            <w:r w:rsidRPr="00E92C5E">
              <w:rPr>
                <w:rFonts w:cs="Arial"/>
                <w:sz w:val="20"/>
                <w:szCs w:val="20"/>
              </w:rPr>
              <w:t xml:space="preserve"> and post</w:t>
            </w:r>
            <w:r>
              <w:rPr>
                <w:rFonts w:cs="Arial"/>
                <w:sz w:val="20"/>
                <w:szCs w:val="20"/>
              </w:rPr>
              <w:t>-MSS</w:t>
            </w:r>
            <w:r w:rsidRPr="00E92C5E">
              <w:rPr>
                <w:rFonts w:cs="Arial"/>
                <w:sz w:val="20"/>
                <w:szCs w:val="20"/>
              </w:rPr>
              <w:t xml:space="preserve"> environmental habitat assessment, VFA's </w:t>
            </w:r>
            <w:r>
              <w:rPr>
                <w:rFonts w:cs="Arial"/>
                <w:sz w:val="20"/>
                <w:szCs w:val="20"/>
              </w:rPr>
              <w:t xml:space="preserve">proposed </w:t>
            </w:r>
            <w:r w:rsidRPr="00E92C5E">
              <w:rPr>
                <w:rFonts w:cs="Arial"/>
                <w:sz w:val="20"/>
                <w:szCs w:val="20"/>
              </w:rPr>
              <w:t xml:space="preserve">scallop </w:t>
            </w:r>
            <w:r>
              <w:rPr>
                <w:rFonts w:cs="Arial"/>
                <w:sz w:val="20"/>
                <w:szCs w:val="20"/>
              </w:rPr>
              <w:t xml:space="preserve">stock </w:t>
            </w:r>
            <w:r w:rsidRPr="00E92C5E">
              <w:rPr>
                <w:rFonts w:cs="Arial"/>
                <w:sz w:val="20"/>
                <w:szCs w:val="20"/>
              </w:rPr>
              <w:t>survey and the MSS EP.</w:t>
            </w:r>
          </w:p>
          <w:p w14:paraId="0A7C0CC0" w14:textId="01E15B24" w:rsidR="00E953C3" w:rsidRDefault="00E953C3" w:rsidP="00082B45">
            <w:pPr>
              <w:spacing w:before="60" w:after="60" w:line="240" w:lineRule="auto"/>
              <w:ind w:left="0"/>
              <w:rPr>
                <w:rFonts w:cs="Arial"/>
                <w:sz w:val="20"/>
                <w:szCs w:val="20"/>
              </w:rPr>
            </w:pPr>
            <w:r>
              <w:rPr>
                <w:rFonts w:cs="Arial"/>
                <w:sz w:val="20"/>
                <w:szCs w:val="20"/>
              </w:rPr>
              <w:t>See also notes under SIV.</w:t>
            </w:r>
          </w:p>
        </w:tc>
        <w:tc>
          <w:tcPr>
            <w:tcW w:w="3802" w:type="dxa"/>
            <w:shd w:val="clear" w:color="auto" w:fill="auto"/>
          </w:tcPr>
          <w:p w14:paraId="5401DA78" w14:textId="40732455" w:rsidR="00E953C3" w:rsidRPr="00394009" w:rsidRDefault="00E953C3" w:rsidP="00082B45">
            <w:pPr>
              <w:spacing w:before="60" w:after="60" w:line="240" w:lineRule="auto"/>
              <w:ind w:left="0"/>
              <w:rPr>
                <w:rFonts w:cs="Arial"/>
                <w:sz w:val="20"/>
                <w:szCs w:val="20"/>
              </w:rPr>
            </w:pPr>
            <w:r>
              <w:rPr>
                <w:rFonts w:cs="Arial"/>
                <w:sz w:val="20"/>
                <w:szCs w:val="20"/>
              </w:rPr>
              <w:t>Additional information provided by SIV in this meeting is included in Section 5.6.3.</w:t>
            </w:r>
          </w:p>
        </w:tc>
      </w:tr>
      <w:tr w:rsidR="00E953C3" w:rsidRPr="00CC636C" w14:paraId="59C5F79A" w14:textId="77777777" w:rsidTr="00891DE1">
        <w:tc>
          <w:tcPr>
            <w:tcW w:w="1427" w:type="dxa"/>
            <w:tcBorders>
              <w:top w:val="nil"/>
              <w:bottom w:val="nil"/>
            </w:tcBorders>
            <w:shd w:val="clear" w:color="auto" w:fill="auto"/>
          </w:tcPr>
          <w:p w14:paraId="11F18522" w14:textId="77777777" w:rsidR="00E953C3" w:rsidRPr="00FF0808" w:rsidRDefault="00E953C3"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98D224B" w14:textId="77777777" w:rsidR="00E953C3" w:rsidRPr="00FF0808" w:rsidRDefault="00E953C3" w:rsidP="00073385">
            <w:pPr>
              <w:spacing w:before="60" w:after="60" w:line="240" w:lineRule="auto"/>
              <w:ind w:left="0"/>
              <w:rPr>
                <w:rFonts w:cs="Arial"/>
                <w:sz w:val="20"/>
                <w:szCs w:val="20"/>
              </w:rPr>
            </w:pPr>
          </w:p>
        </w:tc>
        <w:tc>
          <w:tcPr>
            <w:tcW w:w="1055" w:type="dxa"/>
          </w:tcPr>
          <w:p w14:paraId="3669993F" w14:textId="107919FD" w:rsidR="00E953C3" w:rsidRDefault="00E953C3" w:rsidP="00073385">
            <w:pPr>
              <w:spacing w:before="60" w:after="60" w:line="240" w:lineRule="auto"/>
              <w:ind w:left="0"/>
              <w:rPr>
                <w:rFonts w:cs="Arial"/>
                <w:sz w:val="20"/>
                <w:szCs w:val="20"/>
              </w:rPr>
            </w:pPr>
            <w:r>
              <w:rPr>
                <w:rFonts w:cs="Arial"/>
                <w:sz w:val="20"/>
                <w:szCs w:val="20"/>
              </w:rPr>
              <w:t>2/10/17</w:t>
            </w:r>
          </w:p>
        </w:tc>
        <w:tc>
          <w:tcPr>
            <w:tcW w:w="6335" w:type="dxa"/>
            <w:shd w:val="clear" w:color="auto" w:fill="auto"/>
          </w:tcPr>
          <w:p w14:paraId="0C28E56C" w14:textId="4F61BFC7" w:rsidR="00E953C3" w:rsidRDefault="00E953C3" w:rsidP="00203D4F">
            <w:pPr>
              <w:spacing w:before="60" w:after="60" w:line="240" w:lineRule="auto"/>
              <w:ind w:left="0"/>
              <w:rPr>
                <w:rFonts w:cs="Arial"/>
                <w:sz w:val="20"/>
                <w:szCs w:val="20"/>
              </w:rPr>
            </w:pPr>
            <w:r>
              <w:rPr>
                <w:rFonts w:cs="Arial"/>
                <w:sz w:val="20"/>
                <w:szCs w:val="20"/>
              </w:rPr>
              <w:t>CarbonNet emailed VFA regarding the application process for the temporary removal of lobster pots during the MSS.</w:t>
            </w:r>
          </w:p>
        </w:tc>
        <w:tc>
          <w:tcPr>
            <w:tcW w:w="3802" w:type="dxa"/>
            <w:shd w:val="clear" w:color="auto" w:fill="auto"/>
          </w:tcPr>
          <w:p w14:paraId="17F62A6B" w14:textId="0013B216" w:rsidR="00E953C3" w:rsidRDefault="00E953C3" w:rsidP="00082B45">
            <w:pPr>
              <w:spacing w:before="60" w:after="60" w:line="240" w:lineRule="auto"/>
              <w:ind w:left="0"/>
              <w:rPr>
                <w:rFonts w:cs="Arial"/>
                <w:sz w:val="20"/>
                <w:szCs w:val="20"/>
              </w:rPr>
            </w:pPr>
            <w:r>
              <w:rPr>
                <w:rFonts w:cs="Arial"/>
                <w:sz w:val="20"/>
                <w:szCs w:val="20"/>
              </w:rPr>
              <w:t>N/A</w:t>
            </w:r>
          </w:p>
        </w:tc>
      </w:tr>
      <w:tr w:rsidR="00A70030" w:rsidRPr="00CC636C" w14:paraId="082327DE" w14:textId="77777777" w:rsidTr="00891DE1">
        <w:tc>
          <w:tcPr>
            <w:tcW w:w="1427" w:type="dxa"/>
            <w:tcBorders>
              <w:top w:val="nil"/>
              <w:bottom w:val="nil"/>
            </w:tcBorders>
            <w:shd w:val="clear" w:color="auto" w:fill="auto"/>
          </w:tcPr>
          <w:p w14:paraId="2C0F36A8" w14:textId="77777777" w:rsidR="00A70030" w:rsidRPr="00FF080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EB0A518" w14:textId="77777777" w:rsidR="00A70030" w:rsidRPr="00FF0808" w:rsidRDefault="00A70030" w:rsidP="00073385">
            <w:pPr>
              <w:spacing w:before="60" w:after="60" w:line="240" w:lineRule="auto"/>
              <w:ind w:left="0"/>
              <w:rPr>
                <w:rFonts w:cs="Arial"/>
                <w:sz w:val="20"/>
                <w:szCs w:val="20"/>
              </w:rPr>
            </w:pPr>
          </w:p>
        </w:tc>
        <w:tc>
          <w:tcPr>
            <w:tcW w:w="1055" w:type="dxa"/>
          </w:tcPr>
          <w:p w14:paraId="39BA704C" w14:textId="0CD56CB9" w:rsidR="00A70030" w:rsidRPr="00A70030" w:rsidRDefault="00A70030" w:rsidP="00073385">
            <w:pPr>
              <w:spacing w:before="60" w:after="60" w:line="240" w:lineRule="auto"/>
              <w:ind w:left="0"/>
              <w:rPr>
                <w:rFonts w:cs="Arial"/>
                <w:sz w:val="20"/>
                <w:szCs w:val="20"/>
              </w:rPr>
            </w:pPr>
            <w:r w:rsidRPr="00891DE1">
              <w:rPr>
                <w:rFonts w:cs="Arial"/>
                <w:sz w:val="20"/>
                <w:szCs w:val="20"/>
              </w:rPr>
              <w:t>4/10/17</w:t>
            </w:r>
          </w:p>
        </w:tc>
        <w:tc>
          <w:tcPr>
            <w:tcW w:w="6335" w:type="dxa"/>
            <w:shd w:val="clear" w:color="auto" w:fill="auto"/>
          </w:tcPr>
          <w:p w14:paraId="4072E0A3" w14:textId="72B8A9F4" w:rsidR="00A70030" w:rsidRPr="00A70030" w:rsidRDefault="00A70030" w:rsidP="00203D4F">
            <w:pPr>
              <w:spacing w:before="60" w:after="60" w:line="240" w:lineRule="auto"/>
              <w:ind w:left="0"/>
              <w:rPr>
                <w:rFonts w:cs="Arial"/>
                <w:sz w:val="20"/>
                <w:szCs w:val="20"/>
              </w:rPr>
            </w:pPr>
            <w:r w:rsidRPr="00891DE1">
              <w:rPr>
                <w:rFonts w:cs="Arial"/>
                <w:sz w:val="20"/>
                <w:szCs w:val="20"/>
              </w:rPr>
              <w:t>CarbonNet sent a letter to the CFO of the VFA confirming the project’s offer to contribute towards the VFA’s reasonable costs associated with the 2017/18 Eastern Victorian Scallop Stock Assessment, up to $200,000 (including GST). The VFA is currently considering this offer.</w:t>
            </w:r>
          </w:p>
        </w:tc>
        <w:tc>
          <w:tcPr>
            <w:tcW w:w="3802" w:type="dxa"/>
            <w:shd w:val="clear" w:color="auto" w:fill="auto"/>
          </w:tcPr>
          <w:p w14:paraId="12209C91" w14:textId="315CF10C" w:rsidR="00A70030" w:rsidRDefault="00A70030" w:rsidP="00082B45">
            <w:pPr>
              <w:spacing w:before="60" w:after="60" w:line="240" w:lineRule="auto"/>
              <w:ind w:left="0"/>
              <w:rPr>
                <w:rFonts w:cs="Arial"/>
                <w:sz w:val="20"/>
                <w:szCs w:val="20"/>
              </w:rPr>
            </w:pPr>
            <w:r>
              <w:rPr>
                <w:rFonts w:cs="Arial"/>
                <w:sz w:val="20"/>
                <w:szCs w:val="20"/>
              </w:rPr>
              <w:t>N/A</w:t>
            </w:r>
          </w:p>
        </w:tc>
      </w:tr>
      <w:tr w:rsidR="00A70030" w:rsidRPr="00CC636C" w14:paraId="70254AD0" w14:textId="77777777" w:rsidTr="00891DE1">
        <w:tc>
          <w:tcPr>
            <w:tcW w:w="1427" w:type="dxa"/>
            <w:tcBorders>
              <w:top w:val="nil"/>
              <w:bottom w:val="single" w:sz="4" w:space="0" w:color="808080"/>
            </w:tcBorders>
            <w:shd w:val="clear" w:color="auto" w:fill="auto"/>
          </w:tcPr>
          <w:p w14:paraId="19C580E9" w14:textId="77777777" w:rsidR="00A70030" w:rsidRPr="00FF0808" w:rsidRDefault="00A70030" w:rsidP="00073385">
            <w:pPr>
              <w:spacing w:before="60" w:after="60" w:line="240" w:lineRule="auto"/>
              <w:ind w:left="0"/>
              <w:rPr>
                <w:rFonts w:cs="Arial"/>
                <w:sz w:val="20"/>
                <w:szCs w:val="20"/>
              </w:rPr>
            </w:pPr>
          </w:p>
        </w:tc>
        <w:tc>
          <w:tcPr>
            <w:tcW w:w="1629" w:type="dxa"/>
            <w:tcBorders>
              <w:top w:val="nil"/>
            </w:tcBorders>
            <w:shd w:val="clear" w:color="auto" w:fill="auto"/>
          </w:tcPr>
          <w:p w14:paraId="48EF2085" w14:textId="77777777" w:rsidR="00A70030" w:rsidRPr="00FF0808" w:rsidRDefault="00A70030" w:rsidP="00073385">
            <w:pPr>
              <w:spacing w:before="60" w:after="60" w:line="240" w:lineRule="auto"/>
              <w:ind w:left="0"/>
              <w:rPr>
                <w:rFonts w:cs="Arial"/>
                <w:sz w:val="20"/>
                <w:szCs w:val="20"/>
              </w:rPr>
            </w:pPr>
          </w:p>
        </w:tc>
        <w:tc>
          <w:tcPr>
            <w:tcW w:w="1055" w:type="dxa"/>
          </w:tcPr>
          <w:p w14:paraId="18BF58CC" w14:textId="0EA3A0EE" w:rsidR="00A70030" w:rsidRDefault="00A70030" w:rsidP="00073385">
            <w:pPr>
              <w:spacing w:before="60" w:after="60" w:line="240" w:lineRule="auto"/>
              <w:ind w:left="0"/>
              <w:rPr>
                <w:rFonts w:cs="Arial"/>
                <w:sz w:val="20"/>
                <w:szCs w:val="20"/>
              </w:rPr>
            </w:pPr>
            <w:r>
              <w:rPr>
                <w:rFonts w:cs="Arial"/>
                <w:sz w:val="20"/>
                <w:szCs w:val="20"/>
              </w:rPr>
              <w:t>5/10/17</w:t>
            </w:r>
          </w:p>
        </w:tc>
        <w:tc>
          <w:tcPr>
            <w:tcW w:w="6335" w:type="dxa"/>
            <w:shd w:val="clear" w:color="auto" w:fill="auto"/>
          </w:tcPr>
          <w:p w14:paraId="7FBE52B6" w14:textId="6539D7C3" w:rsidR="00A70030" w:rsidRDefault="00A70030" w:rsidP="00203D4F">
            <w:pPr>
              <w:spacing w:before="60" w:after="60" w:line="240" w:lineRule="auto"/>
              <w:ind w:left="0"/>
              <w:rPr>
                <w:rFonts w:cs="Arial"/>
                <w:sz w:val="20"/>
                <w:szCs w:val="20"/>
              </w:rPr>
            </w:pPr>
            <w:r>
              <w:rPr>
                <w:rFonts w:cs="Arial"/>
                <w:sz w:val="20"/>
                <w:szCs w:val="20"/>
              </w:rPr>
              <w:t>VFA emailed CarbonNet with advice regarding the lobster pot removal process.</w:t>
            </w:r>
          </w:p>
        </w:tc>
        <w:tc>
          <w:tcPr>
            <w:tcW w:w="3802" w:type="dxa"/>
            <w:shd w:val="clear" w:color="auto" w:fill="auto"/>
          </w:tcPr>
          <w:p w14:paraId="437810B2" w14:textId="559F1A36" w:rsidR="00A70030" w:rsidRDefault="00A70030" w:rsidP="00082B45">
            <w:pPr>
              <w:spacing w:before="60" w:after="60" w:line="240" w:lineRule="auto"/>
              <w:ind w:left="0"/>
              <w:rPr>
                <w:rFonts w:cs="Arial"/>
                <w:sz w:val="20"/>
                <w:szCs w:val="20"/>
              </w:rPr>
            </w:pPr>
            <w:r>
              <w:rPr>
                <w:rFonts w:cs="Arial"/>
                <w:sz w:val="20"/>
                <w:szCs w:val="20"/>
              </w:rPr>
              <w:t>N/A</w:t>
            </w:r>
          </w:p>
        </w:tc>
      </w:tr>
      <w:tr w:rsidR="00A70030" w:rsidRPr="00FF0808" w14:paraId="7FA2D72B" w14:textId="77777777" w:rsidTr="00891DE1">
        <w:tc>
          <w:tcPr>
            <w:tcW w:w="1427" w:type="dxa"/>
            <w:vMerge w:val="restart"/>
            <w:tcBorders>
              <w:top w:val="single" w:sz="4" w:space="0" w:color="808080"/>
              <w:left w:val="single" w:sz="4" w:space="0" w:color="808080"/>
              <w:bottom w:val="single" w:sz="4" w:space="0" w:color="auto"/>
              <w:right w:val="single" w:sz="4" w:space="0" w:color="808080"/>
            </w:tcBorders>
            <w:shd w:val="clear" w:color="auto" w:fill="auto"/>
          </w:tcPr>
          <w:p w14:paraId="6A254A7F" w14:textId="77777777" w:rsidR="00A70030" w:rsidRDefault="00A70030" w:rsidP="00073385">
            <w:pPr>
              <w:spacing w:before="60" w:after="60" w:line="240" w:lineRule="auto"/>
              <w:ind w:left="0"/>
              <w:rPr>
                <w:rFonts w:cs="Arial"/>
                <w:sz w:val="20"/>
                <w:szCs w:val="20"/>
              </w:rPr>
            </w:pPr>
            <w:r>
              <w:rPr>
                <w:rFonts w:cs="Arial"/>
                <w:sz w:val="20"/>
                <w:szCs w:val="20"/>
              </w:rPr>
              <w:t>Emergency Management Division (EMD) - DEDJTR</w:t>
            </w:r>
          </w:p>
        </w:tc>
        <w:tc>
          <w:tcPr>
            <w:tcW w:w="1629" w:type="dxa"/>
            <w:vMerge w:val="restart"/>
            <w:tcBorders>
              <w:top w:val="single" w:sz="4" w:space="0" w:color="808080"/>
              <w:left w:val="single" w:sz="4" w:space="0" w:color="808080"/>
              <w:right w:val="single" w:sz="4" w:space="0" w:color="808080"/>
            </w:tcBorders>
            <w:shd w:val="clear" w:color="auto" w:fill="auto"/>
          </w:tcPr>
          <w:p w14:paraId="33A7EAA4" w14:textId="77777777" w:rsidR="00A70030" w:rsidRDefault="00A70030" w:rsidP="00073385">
            <w:pPr>
              <w:spacing w:before="60" w:after="60" w:line="240" w:lineRule="auto"/>
              <w:ind w:left="0"/>
              <w:rPr>
                <w:rFonts w:cs="Arial"/>
                <w:sz w:val="20"/>
                <w:szCs w:val="20"/>
              </w:rPr>
            </w:pPr>
            <w:r w:rsidRPr="002630D3">
              <w:rPr>
                <w:rFonts w:cs="Arial"/>
                <w:color w:val="000000"/>
                <w:sz w:val="20"/>
                <w:szCs w:val="20"/>
                <w:lang w:val="en"/>
              </w:rPr>
              <w:t xml:space="preserve"> Plays a key role in implementing the Victorian Government’s emergency management reform agenda. EMD is responsible for </w:t>
            </w:r>
            <w:r w:rsidRPr="002630D3">
              <w:rPr>
                <w:rFonts w:cs="Arial"/>
                <w:color w:val="000000"/>
                <w:sz w:val="20"/>
                <w:szCs w:val="20"/>
                <w:lang w:val="en"/>
              </w:rPr>
              <w:lastRenderedPageBreak/>
              <w:t>coordinating an oil spill response in Victorian waters.</w:t>
            </w:r>
          </w:p>
        </w:tc>
        <w:tc>
          <w:tcPr>
            <w:tcW w:w="1055" w:type="dxa"/>
            <w:tcBorders>
              <w:top w:val="single" w:sz="4" w:space="0" w:color="808080"/>
              <w:left w:val="single" w:sz="4" w:space="0" w:color="808080"/>
              <w:bottom w:val="single" w:sz="4" w:space="0" w:color="808080"/>
              <w:right w:val="single" w:sz="4" w:space="0" w:color="808080"/>
            </w:tcBorders>
          </w:tcPr>
          <w:p w14:paraId="4BE15CC2" w14:textId="77777777" w:rsidR="00A70030" w:rsidRDefault="00A70030" w:rsidP="00073385">
            <w:pPr>
              <w:spacing w:before="60" w:after="60" w:line="240" w:lineRule="auto"/>
              <w:ind w:left="0"/>
              <w:rPr>
                <w:rFonts w:cs="Arial"/>
                <w:sz w:val="20"/>
                <w:szCs w:val="20"/>
              </w:rPr>
            </w:pPr>
            <w:r>
              <w:rPr>
                <w:rFonts w:cs="Arial"/>
                <w:sz w:val="20"/>
                <w:szCs w:val="20"/>
              </w:rPr>
              <w:lastRenderedPageBreak/>
              <w:t>18/1/</w:t>
            </w:r>
            <w:r w:rsidRPr="002630D3">
              <w:rPr>
                <w:rFonts w:cs="Arial"/>
                <w:sz w:val="20"/>
                <w:szCs w:val="20"/>
              </w:rPr>
              <w:t>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1FB06DBF" w14:textId="77777777" w:rsidR="00A70030" w:rsidRPr="002630D3" w:rsidRDefault="00A70030" w:rsidP="00073385">
            <w:pPr>
              <w:spacing w:before="60" w:after="60"/>
              <w:ind w:left="0"/>
              <w:rPr>
                <w:rFonts w:cs="Arial"/>
                <w:sz w:val="20"/>
                <w:szCs w:val="20"/>
              </w:rPr>
            </w:pPr>
            <w:r w:rsidRPr="002630D3">
              <w:rPr>
                <w:rFonts w:cs="Arial"/>
                <w:sz w:val="20"/>
                <w:szCs w:val="20"/>
              </w:rPr>
              <w:t xml:space="preserve">CarbonNet met with the Manager of </w:t>
            </w:r>
            <w:r>
              <w:rPr>
                <w:rFonts w:cs="Arial"/>
                <w:sz w:val="20"/>
                <w:szCs w:val="20"/>
              </w:rPr>
              <w:t>EMD’s</w:t>
            </w:r>
            <w:r w:rsidRPr="002630D3">
              <w:rPr>
                <w:rFonts w:cs="Arial"/>
                <w:sz w:val="20"/>
                <w:szCs w:val="20"/>
              </w:rPr>
              <w:t xml:space="preserve"> Marine Pollution Branch to provide a briefing about the MSS and request clarification on DEDJTR’s capabilities to respond to hydrocarbon spills in state waters. </w:t>
            </w:r>
          </w:p>
          <w:p w14:paraId="4E6F081C" w14:textId="77777777" w:rsidR="00A70030" w:rsidRPr="009A704B" w:rsidRDefault="00A70030" w:rsidP="00073385">
            <w:pPr>
              <w:spacing w:before="60" w:after="60" w:line="240" w:lineRule="auto"/>
              <w:ind w:left="0"/>
              <w:rPr>
                <w:rFonts w:cs="Arial"/>
                <w:sz w:val="20"/>
                <w:szCs w:val="20"/>
              </w:rPr>
            </w:pPr>
            <w:r w:rsidRPr="002630D3">
              <w:rPr>
                <w:rFonts w:cs="Arial"/>
                <w:sz w:val="20"/>
                <w:szCs w:val="20"/>
              </w:rPr>
              <w:t xml:space="preserve">CarbonNet requested that it works closely with the EMD in reviewing the OPEP, which EMD was happy to do. </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1496FE34" w14:textId="77777777" w:rsidR="00A70030" w:rsidRDefault="00A70030" w:rsidP="00073385">
            <w:pPr>
              <w:spacing w:before="60" w:after="60" w:line="240" w:lineRule="auto"/>
              <w:ind w:left="0"/>
              <w:rPr>
                <w:rFonts w:cs="Arial"/>
                <w:sz w:val="20"/>
                <w:szCs w:val="20"/>
              </w:rPr>
            </w:pPr>
            <w:r w:rsidRPr="002630D3">
              <w:rPr>
                <w:rFonts w:cs="Arial"/>
                <w:sz w:val="20"/>
                <w:szCs w:val="20"/>
              </w:rPr>
              <w:t>CarbonNet committed to providing drafts of the OPEP to EMD for review.</w:t>
            </w:r>
          </w:p>
        </w:tc>
      </w:tr>
      <w:tr w:rsidR="00A70030" w:rsidRPr="00FF0808" w14:paraId="0316B370" w14:textId="77777777" w:rsidTr="00891DE1">
        <w:tc>
          <w:tcPr>
            <w:tcW w:w="1427" w:type="dxa"/>
            <w:vMerge/>
            <w:tcBorders>
              <w:left w:val="single" w:sz="4" w:space="0" w:color="808080"/>
              <w:bottom w:val="single" w:sz="4" w:space="0" w:color="auto"/>
              <w:right w:val="single" w:sz="4" w:space="0" w:color="808080"/>
            </w:tcBorders>
            <w:shd w:val="clear" w:color="auto" w:fill="auto"/>
          </w:tcPr>
          <w:p w14:paraId="25259B5D" w14:textId="77777777" w:rsidR="00A70030" w:rsidRDefault="00A70030" w:rsidP="00073385">
            <w:pPr>
              <w:spacing w:before="60" w:after="60" w:line="240" w:lineRule="auto"/>
              <w:ind w:left="0"/>
              <w:rPr>
                <w:rFonts w:cs="Arial"/>
                <w:sz w:val="20"/>
                <w:szCs w:val="20"/>
              </w:rPr>
            </w:pPr>
          </w:p>
        </w:tc>
        <w:tc>
          <w:tcPr>
            <w:tcW w:w="1629" w:type="dxa"/>
            <w:vMerge/>
            <w:tcBorders>
              <w:left w:val="single" w:sz="4" w:space="0" w:color="808080"/>
              <w:right w:val="single" w:sz="4" w:space="0" w:color="808080"/>
            </w:tcBorders>
            <w:shd w:val="clear" w:color="auto" w:fill="auto"/>
          </w:tcPr>
          <w:p w14:paraId="2EC5F350"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7B140433" w14:textId="77777777" w:rsidR="00A70030" w:rsidRDefault="00A70030" w:rsidP="00073385">
            <w:pPr>
              <w:spacing w:before="60" w:after="60" w:line="240" w:lineRule="auto"/>
              <w:ind w:left="0"/>
              <w:rPr>
                <w:rFonts w:cs="Arial"/>
                <w:sz w:val="20"/>
                <w:szCs w:val="20"/>
              </w:rPr>
            </w:pPr>
            <w:r>
              <w:rPr>
                <w:rFonts w:cs="Arial"/>
                <w:sz w:val="20"/>
                <w:szCs w:val="20"/>
              </w:rPr>
              <w:t>21/3/17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2C43B7CD" w14:textId="77777777" w:rsidR="00A70030" w:rsidRDefault="00A70030" w:rsidP="00073385">
            <w:pPr>
              <w:spacing w:before="60" w:after="60" w:line="240" w:lineRule="auto"/>
              <w:ind w:left="0"/>
              <w:rPr>
                <w:rFonts w:cs="Arial"/>
                <w:sz w:val="20"/>
                <w:szCs w:val="20"/>
              </w:rPr>
            </w:pPr>
            <w:r w:rsidRPr="00294E17">
              <w:rPr>
                <w:rFonts w:cs="Arial"/>
                <w:sz w:val="20"/>
                <w:szCs w:val="20"/>
              </w:rPr>
              <w:t xml:space="preserve">CarbonNet sent email to </w:t>
            </w:r>
            <w:r>
              <w:rPr>
                <w:rFonts w:cs="Arial"/>
                <w:sz w:val="20"/>
                <w:szCs w:val="20"/>
              </w:rPr>
              <w:t>EMD</w:t>
            </w:r>
            <w:r w:rsidRPr="00294E17">
              <w:rPr>
                <w:rFonts w:cs="Arial"/>
                <w:sz w:val="20"/>
                <w:szCs w:val="20"/>
              </w:rPr>
              <w:t xml:space="preserve"> re MSS, including fact sheet and contact details.</w:t>
            </w:r>
          </w:p>
          <w:p w14:paraId="49F204F3" w14:textId="77777777" w:rsidR="00D0136E" w:rsidRDefault="00D0136E" w:rsidP="00073385">
            <w:pPr>
              <w:spacing w:before="60" w:after="60" w:line="240" w:lineRule="auto"/>
              <w:ind w:left="0"/>
              <w:rPr>
                <w:rFonts w:cs="Arial"/>
                <w:sz w:val="20"/>
                <w:szCs w:val="20"/>
              </w:rPr>
            </w:pP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64B4B1D2" w14:textId="77777777" w:rsidR="00A70030" w:rsidRPr="00FF0808"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11F3FA94" w14:textId="77777777" w:rsidTr="00891DE1">
        <w:tc>
          <w:tcPr>
            <w:tcW w:w="1427" w:type="dxa"/>
            <w:tcBorders>
              <w:top w:val="single" w:sz="4" w:space="0" w:color="auto"/>
              <w:left w:val="single" w:sz="4" w:space="0" w:color="808080"/>
              <w:bottom w:val="nil"/>
              <w:right w:val="single" w:sz="4" w:space="0" w:color="808080"/>
            </w:tcBorders>
            <w:shd w:val="clear" w:color="auto" w:fill="auto"/>
          </w:tcPr>
          <w:p w14:paraId="18EE839E" w14:textId="77777777" w:rsidR="00A70030" w:rsidRDefault="00A70030" w:rsidP="00073385">
            <w:pPr>
              <w:spacing w:before="60" w:after="60" w:line="240" w:lineRule="auto"/>
              <w:ind w:left="0"/>
              <w:rPr>
                <w:rFonts w:cs="Arial"/>
                <w:sz w:val="20"/>
                <w:szCs w:val="20"/>
              </w:rPr>
            </w:pPr>
          </w:p>
        </w:tc>
        <w:tc>
          <w:tcPr>
            <w:tcW w:w="1629" w:type="dxa"/>
            <w:vMerge/>
            <w:tcBorders>
              <w:left w:val="single" w:sz="4" w:space="0" w:color="808080"/>
              <w:bottom w:val="nil"/>
              <w:right w:val="single" w:sz="4" w:space="0" w:color="808080"/>
            </w:tcBorders>
            <w:shd w:val="clear" w:color="auto" w:fill="auto"/>
          </w:tcPr>
          <w:p w14:paraId="113BF329"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43EC1D33" w14:textId="77777777" w:rsidR="00A70030" w:rsidRDefault="00A70030" w:rsidP="00073385">
            <w:pPr>
              <w:spacing w:before="60" w:after="60" w:line="240" w:lineRule="auto"/>
              <w:ind w:left="0"/>
              <w:rPr>
                <w:rFonts w:cs="Arial"/>
                <w:sz w:val="20"/>
                <w:szCs w:val="20"/>
              </w:rPr>
            </w:pPr>
            <w:r>
              <w:rPr>
                <w:rFonts w:cs="Arial"/>
                <w:sz w:val="20"/>
                <w:szCs w:val="20"/>
              </w:rPr>
              <w:t>29/3/</w:t>
            </w:r>
            <w:r w:rsidRPr="002630D3">
              <w:rPr>
                <w:rFonts w:cs="Arial"/>
                <w:sz w:val="20"/>
                <w:szCs w:val="20"/>
              </w:rPr>
              <w:t>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5428F4EF" w14:textId="77777777" w:rsidR="00A70030" w:rsidRDefault="00A70030" w:rsidP="00073385">
            <w:pPr>
              <w:spacing w:before="60" w:after="60" w:line="240" w:lineRule="auto"/>
              <w:ind w:left="0"/>
              <w:rPr>
                <w:rFonts w:cs="Arial"/>
                <w:sz w:val="20"/>
                <w:szCs w:val="20"/>
              </w:rPr>
            </w:pPr>
            <w:r w:rsidRPr="002630D3">
              <w:rPr>
                <w:rFonts w:cs="Arial"/>
                <w:sz w:val="20"/>
                <w:szCs w:val="20"/>
              </w:rPr>
              <w:t>CarbonNet met with the EMD’s Environmental Science Coordinator to discuss the proposed oil spill response strategies outlined in the EP and OPEP and whether these were suitable given the nature of marine diesel, the shoreline sensitivities and the volume of oil modelled. The Environmental Science Coordinator stated that the strategies appeared sound.</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424952A2" w14:textId="77777777" w:rsidR="00A70030" w:rsidRPr="00FF0808" w:rsidRDefault="00A70030" w:rsidP="00073385">
            <w:pPr>
              <w:spacing w:before="60" w:after="60" w:line="240" w:lineRule="auto"/>
              <w:ind w:left="0"/>
              <w:rPr>
                <w:rFonts w:cs="Arial"/>
                <w:sz w:val="20"/>
                <w:szCs w:val="20"/>
              </w:rPr>
            </w:pPr>
            <w:r w:rsidRPr="002630D3">
              <w:rPr>
                <w:rFonts w:cs="Arial"/>
                <w:sz w:val="20"/>
                <w:szCs w:val="20"/>
              </w:rPr>
              <w:t xml:space="preserve">CarbonNet progressed the OPEP spill response strategies discussed during this meeting. </w:t>
            </w:r>
          </w:p>
        </w:tc>
      </w:tr>
      <w:tr w:rsidR="00A70030" w:rsidRPr="00FF0808" w14:paraId="0278E448" w14:textId="77777777" w:rsidTr="00077C5F">
        <w:tc>
          <w:tcPr>
            <w:tcW w:w="1427" w:type="dxa"/>
            <w:tcBorders>
              <w:top w:val="nil"/>
              <w:left w:val="single" w:sz="4" w:space="0" w:color="808080"/>
              <w:bottom w:val="nil"/>
              <w:right w:val="single" w:sz="4" w:space="0" w:color="808080"/>
            </w:tcBorders>
            <w:shd w:val="clear" w:color="auto" w:fill="auto"/>
          </w:tcPr>
          <w:p w14:paraId="57E0BE8E" w14:textId="77777777" w:rsidR="00A70030"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63FB2FAA"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660840B" w14:textId="77777777" w:rsidR="00A70030" w:rsidRDefault="00A70030" w:rsidP="00073385">
            <w:pPr>
              <w:spacing w:before="60" w:after="60" w:line="240" w:lineRule="auto"/>
              <w:ind w:left="0"/>
              <w:rPr>
                <w:rFonts w:cs="Arial"/>
                <w:sz w:val="20"/>
                <w:szCs w:val="20"/>
              </w:rPr>
            </w:pPr>
            <w:r>
              <w:rPr>
                <w:rFonts w:cs="Arial"/>
                <w:sz w:val="20"/>
                <w:szCs w:val="20"/>
              </w:rPr>
              <w:t>11/4/</w:t>
            </w:r>
            <w:r w:rsidRPr="002630D3">
              <w:rPr>
                <w:rFonts w:cs="Arial"/>
                <w:sz w:val="20"/>
                <w:szCs w:val="20"/>
              </w:rPr>
              <w:t>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2FB67A6E" w14:textId="77777777" w:rsidR="00A70030" w:rsidRPr="00394009" w:rsidRDefault="00A70030" w:rsidP="00073385">
            <w:pPr>
              <w:spacing w:before="60" w:after="60" w:line="240" w:lineRule="auto"/>
              <w:ind w:left="0"/>
              <w:rPr>
                <w:rFonts w:cs="Arial"/>
                <w:sz w:val="20"/>
                <w:szCs w:val="20"/>
                <w:highlight w:val="yellow"/>
              </w:rPr>
            </w:pPr>
            <w:r w:rsidRPr="002630D3">
              <w:rPr>
                <w:rFonts w:cs="Arial"/>
                <w:sz w:val="20"/>
                <w:szCs w:val="20"/>
              </w:rPr>
              <w:t>CarbonNet emailed the EMD requesting a meeting to discuss the impact assessment prepared for the oil spill response strategies to ensure that the resources available and response strategy are able to demonstrate ALARP and acceptability.</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06839F0A" w14:textId="77777777" w:rsidR="00A70030" w:rsidRPr="00FF0808" w:rsidRDefault="00A70030" w:rsidP="00073385">
            <w:pPr>
              <w:spacing w:before="60" w:after="60" w:line="240" w:lineRule="auto"/>
              <w:ind w:left="0"/>
              <w:rPr>
                <w:rFonts w:cs="Arial"/>
                <w:sz w:val="20"/>
                <w:szCs w:val="20"/>
              </w:rPr>
            </w:pPr>
            <w:r w:rsidRPr="002630D3">
              <w:rPr>
                <w:rFonts w:cs="Arial"/>
                <w:sz w:val="20"/>
                <w:szCs w:val="20"/>
              </w:rPr>
              <w:t>A meeting was subsequently arranged for 3/5.</w:t>
            </w:r>
          </w:p>
        </w:tc>
      </w:tr>
      <w:tr w:rsidR="00A70030" w:rsidRPr="00FF0808" w14:paraId="161E844A" w14:textId="77777777" w:rsidTr="00077C5F">
        <w:tc>
          <w:tcPr>
            <w:tcW w:w="1427" w:type="dxa"/>
            <w:tcBorders>
              <w:top w:val="nil"/>
              <w:left w:val="single" w:sz="4" w:space="0" w:color="808080"/>
              <w:bottom w:val="nil"/>
              <w:right w:val="single" w:sz="4" w:space="0" w:color="808080"/>
            </w:tcBorders>
            <w:shd w:val="clear" w:color="auto" w:fill="auto"/>
          </w:tcPr>
          <w:p w14:paraId="72DA409F" w14:textId="77777777" w:rsidR="00A70030"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39EE02E2"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7AF170E3" w14:textId="77777777" w:rsidR="00A70030" w:rsidRDefault="00A70030" w:rsidP="00073385">
            <w:pPr>
              <w:spacing w:before="60" w:after="60" w:line="240" w:lineRule="auto"/>
              <w:ind w:left="0"/>
              <w:rPr>
                <w:rFonts w:cs="Arial"/>
                <w:sz w:val="20"/>
                <w:szCs w:val="20"/>
              </w:rPr>
            </w:pPr>
            <w:r>
              <w:rPr>
                <w:rFonts w:cs="Arial"/>
                <w:sz w:val="20"/>
                <w:szCs w:val="20"/>
              </w:rPr>
              <w:t>3/5/</w:t>
            </w:r>
            <w:r w:rsidRPr="002630D3">
              <w:rPr>
                <w:rFonts w:cs="Arial"/>
                <w:sz w:val="20"/>
                <w:szCs w:val="20"/>
              </w:rPr>
              <w:t>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1B84BE09" w14:textId="77777777" w:rsidR="00A70030" w:rsidRPr="002630D3" w:rsidRDefault="00A70030" w:rsidP="00073385">
            <w:pPr>
              <w:spacing w:before="60" w:after="60"/>
              <w:ind w:left="0"/>
              <w:rPr>
                <w:rFonts w:cs="Arial"/>
                <w:sz w:val="20"/>
                <w:szCs w:val="20"/>
              </w:rPr>
            </w:pPr>
            <w:r w:rsidRPr="002630D3">
              <w:rPr>
                <w:rFonts w:cs="Arial"/>
                <w:sz w:val="20"/>
                <w:szCs w:val="20"/>
              </w:rPr>
              <w:t xml:space="preserve">CarbonNet met with two members of the Marine Pollution Branch to discuss oil spill response strategies and resourcing arrangements available to the EMD. </w:t>
            </w:r>
          </w:p>
          <w:p w14:paraId="4E7B25A0" w14:textId="77777777" w:rsidR="00A70030" w:rsidRPr="00394009" w:rsidRDefault="00A70030" w:rsidP="00073385">
            <w:pPr>
              <w:spacing w:before="60" w:after="60" w:line="240" w:lineRule="auto"/>
              <w:ind w:left="0"/>
              <w:rPr>
                <w:rFonts w:cs="Arial"/>
                <w:sz w:val="20"/>
                <w:szCs w:val="20"/>
                <w:highlight w:val="yellow"/>
              </w:rPr>
            </w:pPr>
            <w:r w:rsidRPr="002630D3">
              <w:rPr>
                <w:rFonts w:cs="Arial"/>
                <w:sz w:val="20"/>
                <w:szCs w:val="20"/>
              </w:rPr>
              <w:t xml:space="preserve">The Marine Pollution Branch subsequently provided information on State Resource Team membership and a list of spill response equipment available. </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655F5A77" w14:textId="77777777" w:rsidR="00A70030" w:rsidRPr="00FF0808" w:rsidRDefault="00A70030" w:rsidP="00073385">
            <w:pPr>
              <w:spacing w:before="60" w:after="60" w:line="240" w:lineRule="auto"/>
              <w:ind w:left="0"/>
              <w:rPr>
                <w:rFonts w:cs="Arial"/>
                <w:sz w:val="20"/>
                <w:szCs w:val="20"/>
              </w:rPr>
            </w:pPr>
            <w:r w:rsidRPr="002630D3">
              <w:rPr>
                <w:rFonts w:cs="Arial"/>
                <w:sz w:val="20"/>
                <w:szCs w:val="20"/>
              </w:rPr>
              <w:t>N/A</w:t>
            </w:r>
          </w:p>
        </w:tc>
      </w:tr>
      <w:tr w:rsidR="00A70030" w:rsidRPr="00FF0808" w14:paraId="421BEB99" w14:textId="77777777" w:rsidTr="00077C5F">
        <w:tc>
          <w:tcPr>
            <w:tcW w:w="1427" w:type="dxa"/>
            <w:tcBorders>
              <w:top w:val="nil"/>
              <w:left w:val="single" w:sz="4" w:space="0" w:color="808080"/>
              <w:bottom w:val="nil"/>
              <w:right w:val="single" w:sz="4" w:space="0" w:color="808080"/>
            </w:tcBorders>
            <w:shd w:val="clear" w:color="auto" w:fill="auto"/>
          </w:tcPr>
          <w:p w14:paraId="2BC5C46E" w14:textId="77777777" w:rsidR="00A70030"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5D0D769E"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688C7040" w14:textId="77777777" w:rsidR="00A70030" w:rsidRDefault="00A70030" w:rsidP="00073385">
            <w:pPr>
              <w:spacing w:before="60" w:after="60" w:line="240" w:lineRule="auto"/>
              <w:ind w:left="0"/>
              <w:rPr>
                <w:rFonts w:cs="Arial"/>
                <w:sz w:val="20"/>
                <w:szCs w:val="20"/>
              </w:rPr>
            </w:pPr>
            <w:r>
              <w:rPr>
                <w:rFonts w:cs="Arial"/>
                <w:sz w:val="20"/>
                <w:szCs w:val="20"/>
              </w:rPr>
              <w:t>8/6/</w:t>
            </w:r>
            <w:r w:rsidRPr="002630D3">
              <w:rPr>
                <w:rFonts w:cs="Arial"/>
                <w:sz w:val="20"/>
                <w:szCs w:val="20"/>
              </w:rPr>
              <w:t>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6EBB33D2" w14:textId="77777777" w:rsidR="00A70030" w:rsidRPr="00394009" w:rsidRDefault="00A70030" w:rsidP="00073385">
            <w:pPr>
              <w:spacing w:before="60" w:after="60" w:line="240" w:lineRule="auto"/>
              <w:ind w:left="0"/>
              <w:rPr>
                <w:rFonts w:cs="Arial"/>
                <w:sz w:val="20"/>
                <w:szCs w:val="20"/>
                <w:highlight w:val="yellow"/>
              </w:rPr>
            </w:pPr>
            <w:r w:rsidRPr="002630D3">
              <w:rPr>
                <w:rFonts w:cs="Arial"/>
                <w:sz w:val="20"/>
                <w:szCs w:val="20"/>
              </w:rPr>
              <w:t xml:space="preserve">CarbonNet met with members of EMD to broadly discuss resourcing in the event of a hydrocarbon spill from the MSS. </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1EBFE0B3" w14:textId="77777777" w:rsidR="00A70030" w:rsidRPr="00FF0808" w:rsidRDefault="00A70030" w:rsidP="00073385">
            <w:pPr>
              <w:spacing w:before="60" w:after="60" w:line="240" w:lineRule="auto"/>
              <w:ind w:left="0"/>
              <w:rPr>
                <w:rFonts w:cs="Arial"/>
                <w:sz w:val="20"/>
                <w:szCs w:val="20"/>
              </w:rPr>
            </w:pPr>
            <w:r w:rsidRPr="002630D3">
              <w:rPr>
                <w:rFonts w:cs="Arial"/>
                <w:sz w:val="20"/>
                <w:szCs w:val="20"/>
              </w:rPr>
              <w:t>CarbonNet progressed the OPEP spill response strategies based on the information provided.</w:t>
            </w:r>
          </w:p>
        </w:tc>
      </w:tr>
      <w:tr w:rsidR="00A70030" w:rsidRPr="00FF0808" w14:paraId="0A5D655A" w14:textId="77777777" w:rsidTr="00077C5F">
        <w:tc>
          <w:tcPr>
            <w:tcW w:w="1427" w:type="dxa"/>
            <w:tcBorders>
              <w:top w:val="nil"/>
              <w:left w:val="single" w:sz="4" w:space="0" w:color="808080"/>
              <w:bottom w:val="nil"/>
              <w:right w:val="single" w:sz="4" w:space="0" w:color="808080"/>
            </w:tcBorders>
            <w:shd w:val="clear" w:color="auto" w:fill="auto"/>
          </w:tcPr>
          <w:p w14:paraId="442A2BBE" w14:textId="77777777" w:rsidR="00A70030"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20DCE5BA"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5565D1E8" w14:textId="77777777" w:rsidR="00A70030" w:rsidRDefault="00A70030" w:rsidP="00073385">
            <w:pPr>
              <w:spacing w:before="60" w:after="60" w:line="240" w:lineRule="auto"/>
              <w:ind w:left="0"/>
              <w:rPr>
                <w:rFonts w:cs="Arial"/>
                <w:sz w:val="20"/>
                <w:szCs w:val="20"/>
              </w:rPr>
            </w:pPr>
            <w:r>
              <w:rPr>
                <w:rFonts w:cs="Arial"/>
                <w:sz w:val="20"/>
                <w:szCs w:val="20"/>
              </w:rPr>
              <w:t>26/6/</w:t>
            </w:r>
            <w:r w:rsidRPr="002630D3">
              <w:rPr>
                <w:rFonts w:cs="Arial"/>
                <w:sz w:val="20"/>
                <w:szCs w:val="20"/>
              </w:rPr>
              <w:t>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3E329A1B" w14:textId="77777777" w:rsidR="00A70030" w:rsidRPr="00394009" w:rsidRDefault="00A70030" w:rsidP="00073385">
            <w:pPr>
              <w:spacing w:before="60" w:after="60" w:line="240" w:lineRule="auto"/>
              <w:ind w:left="0"/>
              <w:rPr>
                <w:rFonts w:cs="Arial"/>
                <w:sz w:val="20"/>
                <w:szCs w:val="20"/>
                <w:highlight w:val="yellow"/>
              </w:rPr>
            </w:pPr>
            <w:r w:rsidRPr="002630D3">
              <w:rPr>
                <w:rFonts w:cs="Arial"/>
                <w:sz w:val="20"/>
                <w:szCs w:val="20"/>
              </w:rPr>
              <w:t xml:space="preserve">CarbonNet provided a draft of the OPEP to the Marine Pollution Branch for review. </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364EDC12" w14:textId="77777777" w:rsidR="00A70030" w:rsidRPr="00FF0808" w:rsidRDefault="00A70030" w:rsidP="00073385">
            <w:pPr>
              <w:spacing w:before="60" w:after="60" w:line="240" w:lineRule="auto"/>
              <w:ind w:left="0"/>
              <w:rPr>
                <w:rFonts w:cs="Arial"/>
                <w:sz w:val="20"/>
                <w:szCs w:val="20"/>
              </w:rPr>
            </w:pPr>
            <w:r w:rsidRPr="002630D3">
              <w:rPr>
                <w:rFonts w:cs="Arial"/>
                <w:sz w:val="20"/>
                <w:szCs w:val="20"/>
              </w:rPr>
              <w:t>N/A</w:t>
            </w:r>
          </w:p>
        </w:tc>
      </w:tr>
      <w:tr w:rsidR="00A70030" w:rsidRPr="00FF0808" w14:paraId="5890F27C" w14:textId="77777777" w:rsidTr="00077C5F">
        <w:tc>
          <w:tcPr>
            <w:tcW w:w="1427" w:type="dxa"/>
            <w:tcBorders>
              <w:top w:val="nil"/>
              <w:left w:val="single" w:sz="4" w:space="0" w:color="808080"/>
              <w:bottom w:val="nil"/>
              <w:right w:val="single" w:sz="4" w:space="0" w:color="808080"/>
            </w:tcBorders>
            <w:shd w:val="clear" w:color="auto" w:fill="auto"/>
          </w:tcPr>
          <w:p w14:paraId="3C05D3C2" w14:textId="77777777" w:rsidR="00A70030"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46999DCE"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0E47C9FF" w14:textId="77777777" w:rsidR="00A70030" w:rsidRDefault="00A70030" w:rsidP="00073385">
            <w:pPr>
              <w:spacing w:before="60" w:after="60" w:line="240" w:lineRule="auto"/>
              <w:ind w:left="0"/>
              <w:rPr>
                <w:rFonts w:cs="Arial"/>
                <w:sz w:val="20"/>
                <w:szCs w:val="20"/>
              </w:rPr>
            </w:pPr>
            <w:r>
              <w:rPr>
                <w:rFonts w:cs="Arial"/>
                <w:sz w:val="20"/>
                <w:szCs w:val="20"/>
              </w:rPr>
              <w:t>12/7/</w:t>
            </w:r>
            <w:r w:rsidRPr="002630D3">
              <w:rPr>
                <w:rFonts w:cs="Arial"/>
                <w:sz w:val="20"/>
                <w:szCs w:val="20"/>
              </w:rPr>
              <w:t>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731CED29" w14:textId="77777777" w:rsidR="00A70030" w:rsidRPr="00394009" w:rsidRDefault="00A70030" w:rsidP="00073385">
            <w:pPr>
              <w:spacing w:before="60" w:after="60" w:line="240" w:lineRule="auto"/>
              <w:ind w:left="0"/>
              <w:rPr>
                <w:rFonts w:cs="Arial"/>
                <w:sz w:val="20"/>
                <w:szCs w:val="20"/>
                <w:highlight w:val="yellow"/>
              </w:rPr>
            </w:pPr>
            <w:r w:rsidRPr="002630D3">
              <w:rPr>
                <w:rFonts w:cs="Arial"/>
                <w:sz w:val="20"/>
                <w:szCs w:val="20"/>
              </w:rPr>
              <w:t xml:space="preserve">The Marine Pollution Branch provided comments on the OPEP via email. </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37C34092" w14:textId="77777777" w:rsidR="00A70030" w:rsidRPr="00FF0808" w:rsidRDefault="00A70030" w:rsidP="00073385">
            <w:pPr>
              <w:spacing w:before="60" w:after="60" w:line="240" w:lineRule="auto"/>
              <w:ind w:left="0"/>
              <w:rPr>
                <w:rFonts w:cs="Arial"/>
                <w:sz w:val="20"/>
                <w:szCs w:val="20"/>
              </w:rPr>
            </w:pPr>
            <w:r w:rsidRPr="002630D3">
              <w:rPr>
                <w:rFonts w:cs="Arial"/>
                <w:sz w:val="20"/>
                <w:szCs w:val="20"/>
              </w:rPr>
              <w:t>CarbonNet reviewed the comments and requested a meeting to discuss the comments.</w:t>
            </w:r>
          </w:p>
        </w:tc>
      </w:tr>
      <w:tr w:rsidR="00A70030" w:rsidRPr="00FF0808" w14:paraId="67A346EB" w14:textId="77777777" w:rsidTr="00077C5F">
        <w:tc>
          <w:tcPr>
            <w:tcW w:w="1427" w:type="dxa"/>
            <w:tcBorders>
              <w:top w:val="nil"/>
              <w:left w:val="single" w:sz="4" w:space="0" w:color="808080"/>
              <w:bottom w:val="nil"/>
              <w:right w:val="single" w:sz="4" w:space="0" w:color="808080"/>
            </w:tcBorders>
            <w:shd w:val="clear" w:color="auto" w:fill="auto"/>
          </w:tcPr>
          <w:p w14:paraId="4BB369E5" w14:textId="77777777" w:rsidR="00A70030"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3CF250C8"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711D349" w14:textId="77777777" w:rsidR="00A70030" w:rsidRDefault="00A70030" w:rsidP="00073385">
            <w:pPr>
              <w:spacing w:before="60" w:after="60" w:line="240" w:lineRule="auto"/>
              <w:ind w:left="0"/>
              <w:rPr>
                <w:rFonts w:cs="Arial"/>
                <w:sz w:val="20"/>
                <w:szCs w:val="20"/>
              </w:rPr>
            </w:pPr>
            <w:r>
              <w:rPr>
                <w:rFonts w:cs="Arial"/>
                <w:sz w:val="20"/>
                <w:szCs w:val="20"/>
              </w:rPr>
              <w:t>14/7/</w:t>
            </w:r>
            <w:r w:rsidRPr="002630D3">
              <w:rPr>
                <w:rFonts w:cs="Arial"/>
                <w:sz w:val="20"/>
                <w:szCs w:val="20"/>
              </w:rPr>
              <w:t>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41E36E10" w14:textId="77777777" w:rsidR="00A70030" w:rsidRPr="00394009" w:rsidRDefault="00A70030" w:rsidP="00073385">
            <w:pPr>
              <w:spacing w:before="60" w:after="60" w:line="240" w:lineRule="auto"/>
              <w:ind w:left="0"/>
              <w:rPr>
                <w:rFonts w:cs="Arial"/>
                <w:sz w:val="20"/>
                <w:szCs w:val="20"/>
                <w:highlight w:val="yellow"/>
              </w:rPr>
            </w:pPr>
            <w:r w:rsidRPr="002630D3">
              <w:rPr>
                <w:rFonts w:cs="Arial"/>
                <w:sz w:val="20"/>
                <w:szCs w:val="20"/>
              </w:rPr>
              <w:t xml:space="preserve">CarbonNet met with the Manager of the Marine Pollution Branch to discuss the comments on the OPEP and clarify terminology, response resourcing and other operational matters. </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4D022DC9" w14:textId="77777777" w:rsidR="00A70030" w:rsidRPr="00FF0808" w:rsidRDefault="00A70030" w:rsidP="00073385">
            <w:pPr>
              <w:spacing w:before="60" w:after="60" w:line="240" w:lineRule="auto"/>
              <w:ind w:left="0"/>
              <w:rPr>
                <w:rFonts w:cs="Arial"/>
                <w:sz w:val="20"/>
                <w:szCs w:val="20"/>
              </w:rPr>
            </w:pPr>
            <w:r w:rsidRPr="002630D3">
              <w:rPr>
                <w:rFonts w:cs="Arial"/>
                <w:sz w:val="20"/>
                <w:szCs w:val="20"/>
              </w:rPr>
              <w:t>CarbonNet progressed the OPEP based on the clarifications provided.</w:t>
            </w:r>
          </w:p>
        </w:tc>
      </w:tr>
      <w:tr w:rsidR="00A70030" w:rsidRPr="00FF0808" w14:paraId="260B8075" w14:textId="77777777" w:rsidTr="00077C5F">
        <w:tc>
          <w:tcPr>
            <w:tcW w:w="1427" w:type="dxa"/>
            <w:tcBorders>
              <w:top w:val="nil"/>
              <w:bottom w:val="nil"/>
            </w:tcBorders>
            <w:shd w:val="clear" w:color="auto" w:fill="auto"/>
          </w:tcPr>
          <w:p w14:paraId="7DE48979" w14:textId="77777777" w:rsidR="00A70030" w:rsidRPr="00FF080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37ADA92" w14:textId="77777777" w:rsidR="00A70030" w:rsidRPr="00FF0808" w:rsidRDefault="00A70030" w:rsidP="00073385">
            <w:pPr>
              <w:spacing w:before="60" w:after="60" w:line="240" w:lineRule="auto"/>
              <w:ind w:left="0"/>
              <w:rPr>
                <w:rFonts w:cs="Arial"/>
                <w:sz w:val="20"/>
                <w:szCs w:val="20"/>
              </w:rPr>
            </w:pPr>
          </w:p>
        </w:tc>
        <w:tc>
          <w:tcPr>
            <w:tcW w:w="1055" w:type="dxa"/>
          </w:tcPr>
          <w:p w14:paraId="5B1FF75E" w14:textId="77777777" w:rsidR="00A70030" w:rsidRPr="00FF0808" w:rsidRDefault="00A70030" w:rsidP="00073385">
            <w:pPr>
              <w:spacing w:before="60" w:after="60" w:line="240" w:lineRule="auto"/>
              <w:ind w:left="0"/>
              <w:rPr>
                <w:rFonts w:cs="Arial"/>
                <w:sz w:val="20"/>
                <w:szCs w:val="20"/>
              </w:rPr>
            </w:pPr>
            <w:r>
              <w:rPr>
                <w:rFonts w:cs="Arial"/>
                <w:sz w:val="20"/>
                <w:szCs w:val="20"/>
              </w:rPr>
              <w:t>28/7/</w:t>
            </w:r>
            <w:r w:rsidRPr="002630D3">
              <w:rPr>
                <w:rFonts w:cs="Arial"/>
                <w:sz w:val="20"/>
                <w:szCs w:val="20"/>
              </w:rPr>
              <w:t>17</w:t>
            </w:r>
          </w:p>
        </w:tc>
        <w:tc>
          <w:tcPr>
            <w:tcW w:w="6335" w:type="dxa"/>
            <w:shd w:val="clear" w:color="auto" w:fill="auto"/>
          </w:tcPr>
          <w:p w14:paraId="7461B34D" w14:textId="77777777" w:rsidR="00A70030" w:rsidRPr="00FF0808" w:rsidRDefault="00A70030" w:rsidP="00073385">
            <w:pPr>
              <w:spacing w:before="60" w:after="60" w:line="240" w:lineRule="auto"/>
              <w:ind w:left="0"/>
              <w:rPr>
                <w:rFonts w:cs="Arial"/>
                <w:sz w:val="20"/>
                <w:szCs w:val="20"/>
              </w:rPr>
            </w:pPr>
            <w:r w:rsidRPr="002630D3">
              <w:rPr>
                <w:rFonts w:cs="Arial"/>
                <w:sz w:val="20"/>
                <w:szCs w:val="20"/>
              </w:rPr>
              <w:t xml:space="preserve">CarbonNet met with the Manager of the Marine Pollution Branch to go through the latest version of the OPEP to ensure that all feedback had been incorporated adequately.  </w:t>
            </w:r>
          </w:p>
        </w:tc>
        <w:tc>
          <w:tcPr>
            <w:tcW w:w="3802" w:type="dxa"/>
            <w:shd w:val="clear" w:color="auto" w:fill="auto"/>
          </w:tcPr>
          <w:p w14:paraId="63288F3A" w14:textId="77777777" w:rsidR="00A70030" w:rsidRPr="00FF0808" w:rsidRDefault="00A70030" w:rsidP="00073385">
            <w:pPr>
              <w:spacing w:before="60" w:after="60" w:line="240" w:lineRule="auto"/>
              <w:ind w:left="0"/>
              <w:rPr>
                <w:rFonts w:cs="Arial"/>
                <w:sz w:val="20"/>
                <w:szCs w:val="20"/>
              </w:rPr>
            </w:pPr>
            <w:r w:rsidRPr="002630D3">
              <w:rPr>
                <w:rFonts w:cs="Arial"/>
                <w:sz w:val="20"/>
                <w:szCs w:val="20"/>
              </w:rPr>
              <w:t xml:space="preserve">CarbonNet and EMD agreed that the OPEP is at a point that is ready for submission to regulators. </w:t>
            </w:r>
          </w:p>
        </w:tc>
      </w:tr>
      <w:tr w:rsidR="00A70030" w:rsidRPr="00FF0808" w14:paraId="280E2941" w14:textId="77777777" w:rsidTr="00077C5F">
        <w:tc>
          <w:tcPr>
            <w:tcW w:w="1427" w:type="dxa"/>
            <w:tcBorders>
              <w:top w:val="nil"/>
              <w:bottom w:val="nil"/>
            </w:tcBorders>
            <w:shd w:val="clear" w:color="auto" w:fill="auto"/>
          </w:tcPr>
          <w:p w14:paraId="224BE0EC" w14:textId="77777777" w:rsidR="00A70030" w:rsidRPr="00FF080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4007E19" w14:textId="77777777" w:rsidR="00A70030" w:rsidRPr="00FF0808" w:rsidRDefault="00A70030" w:rsidP="00073385">
            <w:pPr>
              <w:spacing w:before="60" w:after="60" w:line="240" w:lineRule="auto"/>
              <w:ind w:left="0"/>
              <w:rPr>
                <w:rFonts w:cs="Arial"/>
                <w:sz w:val="20"/>
                <w:szCs w:val="20"/>
              </w:rPr>
            </w:pPr>
          </w:p>
        </w:tc>
        <w:tc>
          <w:tcPr>
            <w:tcW w:w="1055" w:type="dxa"/>
          </w:tcPr>
          <w:p w14:paraId="31F2600C" w14:textId="77777777" w:rsidR="00A70030" w:rsidRPr="00FF0808" w:rsidRDefault="00A70030" w:rsidP="00073385">
            <w:pPr>
              <w:spacing w:before="60" w:after="60" w:line="240" w:lineRule="auto"/>
              <w:ind w:left="0"/>
              <w:rPr>
                <w:rFonts w:cs="Arial"/>
                <w:sz w:val="20"/>
                <w:szCs w:val="20"/>
              </w:rPr>
            </w:pPr>
            <w:r>
              <w:rPr>
                <w:rFonts w:cs="Arial"/>
                <w:sz w:val="20"/>
                <w:szCs w:val="20"/>
              </w:rPr>
              <w:t>4/8/</w:t>
            </w:r>
            <w:r w:rsidRPr="002630D3">
              <w:rPr>
                <w:rFonts w:cs="Arial"/>
                <w:sz w:val="20"/>
                <w:szCs w:val="20"/>
              </w:rPr>
              <w:t>17</w:t>
            </w:r>
          </w:p>
        </w:tc>
        <w:tc>
          <w:tcPr>
            <w:tcW w:w="6335" w:type="dxa"/>
            <w:shd w:val="clear" w:color="auto" w:fill="auto"/>
          </w:tcPr>
          <w:p w14:paraId="3A5B7378" w14:textId="77777777" w:rsidR="00A70030" w:rsidRPr="00FF0808" w:rsidRDefault="00A70030" w:rsidP="00073385">
            <w:pPr>
              <w:spacing w:before="60" w:after="60" w:line="240" w:lineRule="auto"/>
              <w:ind w:left="0"/>
              <w:rPr>
                <w:rFonts w:cs="Arial"/>
                <w:sz w:val="20"/>
                <w:szCs w:val="20"/>
              </w:rPr>
            </w:pPr>
            <w:r w:rsidRPr="002630D3">
              <w:rPr>
                <w:rFonts w:cs="Arial"/>
                <w:sz w:val="20"/>
                <w:szCs w:val="20"/>
              </w:rPr>
              <w:t xml:space="preserve">CarbonNet emailed the </w:t>
            </w:r>
            <w:r>
              <w:rPr>
                <w:rFonts w:cs="Arial"/>
                <w:sz w:val="20"/>
                <w:szCs w:val="20"/>
              </w:rPr>
              <w:t>final version</w:t>
            </w:r>
            <w:r w:rsidRPr="002630D3">
              <w:rPr>
                <w:rFonts w:cs="Arial"/>
                <w:sz w:val="20"/>
                <w:szCs w:val="20"/>
              </w:rPr>
              <w:t xml:space="preserve"> of the OPEP to the EMD for </w:t>
            </w:r>
            <w:r w:rsidRPr="002630D3">
              <w:rPr>
                <w:rFonts w:cs="Arial"/>
                <w:sz w:val="20"/>
                <w:szCs w:val="20"/>
              </w:rPr>
              <w:lastRenderedPageBreak/>
              <w:t xml:space="preserve">their </w:t>
            </w:r>
            <w:r>
              <w:rPr>
                <w:rFonts w:cs="Arial"/>
                <w:sz w:val="20"/>
                <w:szCs w:val="20"/>
              </w:rPr>
              <w:t>records</w:t>
            </w:r>
            <w:r w:rsidRPr="002630D3">
              <w:rPr>
                <w:rFonts w:cs="Arial"/>
                <w:sz w:val="20"/>
                <w:szCs w:val="20"/>
              </w:rPr>
              <w:t>.</w:t>
            </w:r>
          </w:p>
        </w:tc>
        <w:tc>
          <w:tcPr>
            <w:tcW w:w="3802" w:type="dxa"/>
            <w:shd w:val="clear" w:color="auto" w:fill="auto"/>
          </w:tcPr>
          <w:p w14:paraId="61698487" w14:textId="77777777" w:rsidR="00A70030" w:rsidRPr="00FF0808" w:rsidRDefault="00A70030" w:rsidP="00073385">
            <w:pPr>
              <w:spacing w:before="60" w:after="60" w:line="240" w:lineRule="auto"/>
              <w:ind w:left="0"/>
              <w:rPr>
                <w:rFonts w:cs="Arial"/>
                <w:sz w:val="20"/>
                <w:szCs w:val="20"/>
              </w:rPr>
            </w:pPr>
            <w:r w:rsidRPr="002630D3">
              <w:rPr>
                <w:rFonts w:cs="Arial"/>
                <w:sz w:val="20"/>
                <w:szCs w:val="20"/>
              </w:rPr>
              <w:lastRenderedPageBreak/>
              <w:t>N/A</w:t>
            </w:r>
          </w:p>
        </w:tc>
      </w:tr>
      <w:tr w:rsidR="00A70030" w:rsidRPr="00FF0808" w14:paraId="64D7C90A" w14:textId="77777777" w:rsidTr="00891DE1">
        <w:tc>
          <w:tcPr>
            <w:tcW w:w="1427" w:type="dxa"/>
            <w:tcBorders>
              <w:top w:val="nil"/>
              <w:bottom w:val="nil"/>
            </w:tcBorders>
            <w:shd w:val="clear" w:color="auto" w:fill="auto"/>
          </w:tcPr>
          <w:p w14:paraId="42515FE8" w14:textId="77777777" w:rsidR="00A70030" w:rsidRPr="00FF080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6D91116" w14:textId="77777777" w:rsidR="00A70030" w:rsidRPr="00FF0808" w:rsidRDefault="00A70030" w:rsidP="00073385">
            <w:pPr>
              <w:spacing w:before="60" w:after="60" w:line="240" w:lineRule="auto"/>
              <w:ind w:left="0"/>
              <w:rPr>
                <w:rFonts w:cs="Arial"/>
                <w:sz w:val="20"/>
                <w:szCs w:val="20"/>
              </w:rPr>
            </w:pPr>
          </w:p>
        </w:tc>
        <w:tc>
          <w:tcPr>
            <w:tcW w:w="1055" w:type="dxa"/>
          </w:tcPr>
          <w:p w14:paraId="10714F9D" w14:textId="77777777" w:rsidR="00A70030" w:rsidRDefault="00A70030" w:rsidP="00073385">
            <w:pPr>
              <w:spacing w:before="60" w:after="60" w:line="240" w:lineRule="auto"/>
              <w:ind w:left="0"/>
              <w:rPr>
                <w:rFonts w:cs="Arial"/>
                <w:sz w:val="20"/>
                <w:szCs w:val="20"/>
              </w:rPr>
            </w:pPr>
            <w:r>
              <w:rPr>
                <w:rFonts w:cs="Arial"/>
                <w:sz w:val="20"/>
                <w:szCs w:val="20"/>
              </w:rPr>
              <w:t>8/8/</w:t>
            </w:r>
            <w:r w:rsidRPr="002630D3">
              <w:rPr>
                <w:rFonts w:cs="Arial"/>
                <w:sz w:val="20"/>
                <w:szCs w:val="20"/>
              </w:rPr>
              <w:t>17</w:t>
            </w:r>
          </w:p>
        </w:tc>
        <w:tc>
          <w:tcPr>
            <w:tcW w:w="6335" w:type="dxa"/>
            <w:shd w:val="clear" w:color="auto" w:fill="auto"/>
          </w:tcPr>
          <w:p w14:paraId="6607EC9C" w14:textId="77777777" w:rsidR="00A70030" w:rsidRPr="002630D3" w:rsidRDefault="00A70030" w:rsidP="00073385">
            <w:pPr>
              <w:spacing w:before="60" w:after="60" w:line="240" w:lineRule="auto"/>
              <w:ind w:left="0"/>
              <w:rPr>
                <w:rFonts w:cs="Arial"/>
                <w:sz w:val="20"/>
                <w:szCs w:val="20"/>
              </w:rPr>
            </w:pPr>
            <w:r w:rsidRPr="00A63FBE">
              <w:rPr>
                <w:rFonts w:cs="Arial"/>
                <w:sz w:val="20"/>
                <w:szCs w:val="20"/>
              </w:rPr>
              <w:t xml:space="preserve">CarbonNet sent </w:t>
            </w:r>
            <w:r>
              <w:rPr>
                <w:rFonts w:cs="Arial"/>
                <w:sz w:val="20"/>
                <w:szCs w:val="20"/>
              </w:rPr>
              <w:t>EMD</w:t>
            </w:r>
            <w:r w:rsidRPr="00A63FBE">
              <w:rPr>
                <w:rFonts w:cs="Arial"/>
                <w:sz w:val="20"/>
                <w:szCs w:val="20"/>
              </w:rPr>
              <w:t xml:space="preserve"> an email advising that the operational area and duration of survey have now been refined, and that the EP will be submitted in mid-August.</w:t>
            </w:r>
          </w:p>
        </w:tc>
        <w:tc>
          <w:tcPr>
            <w:tcW w:w="3802" w:type="dxa"/>
            <w:shd w:val="clear" w:color="auto" w:fill="auto"/>
          </w:tcPr>
          <w:p w14:paraId="590D0DD0" w14:textId="77777777" w:rsidR="00A70030" w:rsidRPr="002630D3"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34D929B7" w14:textId="77777777" w:rsidTr="00891DE1">
        <w:tc>
          <w:tcPr>
            <w:tcW w:w="1427" w:type="dxa"/>
            <w:tcBorders>
              <w:top w:val="nil"/>
              <w:bottom w:val="nil"/>
            </w:tcBorders>
            <w:shd w:val="clear" w:color="auto" w:fill="auto"/>
          </w:tcPr>
          <w:p w14:paraId="00E52E62" w14:textId="77777777" w:rsidR="00A70030" w:rsidRPr="00FF080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33118C6" w14:textId="77777777" w:rsidR="00A70030" w:rsidRPr="00FF0808" w:rsidRDefault="00A70030" w:rsidP="00073385">
            <w:pPr>
              <w:spacing w:before="60" w:after="60" w:line="240" w:lineRule="auto"/>
              <w:ind w:left="0"/>
              <w:rPr>
                <w:rFonts w:cs="Arial"/>
                <w:sz w:val="20"/>
                <w:szCs w:val="20"/>
              </w:rPr>
            </w:pPr>
          </w:p>
        </w:tc>
        <w:tc>
          <w:tcPr>
            <w:tcW w:w="1055" w:type="dxa"/>
          </w:tcPr>
          <w:p w14:paraId="3D906675" w14:textId="775A75F2"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67B7658D" w14:textId="74368D8E" w:rsidR="00A70030" w:rsidRPr="00A63FBE"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01BFC445" w14:textId="122BA79E"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5F62C17D" w14:textId="77777777" w:rsidTr="00077C5F">
        <w:tc>
          <w:tcPr>
            <w:tcW w:w="1427" w:type="dxa"/>
            <w:tcBorders>
              <w:top w:val="nil"/>
            </w:tcBorders>
            <w:shd w:val="clear" w:color="auto" w:fill="auto"/>
          </w:tcPr>
          <w:p w14:paraId="44141864" w14:textId="77777777" w:rsidR="00A70030" w:rsidRPr="00FF0808" w:rsidRDefault="00A70030" w:rsidP="00073385">
            <w:pPr>
              <w:spacing w:before="60" w:after="60" w:line="240" w:lineRule="auto"/>
              <w:ind w:left="0"/>
              <w:rPr>
                <w:rFonts w:cs="Arial"/>
                <w:sz w:val="20"/>
                <w:szCs w:val="20"/>
              </w:rPr>
            </w:pPr>
          </w:p>
        </w:tc>
        <w:tc>
          <w:tcPr>
            <w:tcW w:w="1629" w:type="dxa"/>
            <w:tcBorders>
              <w:top w:val="nil"/>
            </w:tcBorders>
            <w:shd w:val="clear" w:color="auto" w:fill="auto"/>
          </w:tcPr>
          <w:p w14:paraId="51F89536" w14:textId="77777777" w:rsidR="00A70030" w:rsidRPr="00FF0808" w:rsidRDefault="00A70030" w:rsidP="00073385">
            <w:pPr>
              <w:spacing w:before="60" w:after="60" w:line="240" w:lineRule="auto"/>
              <w:ind w:left="0"/>
              <w:rPr>
                <w:rFonts w:cs="Arial"/>
                <w:sz w:val="20"/>
                <w:szCs w:val="20"/>
              </w:rPr>
            </w:pPr>
          </w:p>
        </w:tc>
        <w:tc>
          <w:tcPr>
            <w:tcW w:w="1055" w:type="dxa"/>
          </w:tcPr>
          <w:p w14:paraId="48810D23" w14:textId="04B8DE89" w:rsidR="00A70030" w:rsidRDefault="00A70030" w:rsidP="00073385">
            <w:pPr>
              <w:spacing w:before="60" w:after="60" w:line="240" w:lineRule="auto"/>
              <w:ind w:left="0"/>
              <w:rPr>
                <w:rFonts w:cs="Arial"/>
                <w:sz w:val="20"/>
                <w:szCs w:val="20"/>
              </w:rPr>
            </w:pPr>
            <w:r>
              <w:rPr>
                <w:rFonts w:cs="Arial"/>
                <w:sz w:val="20"/>
                <w:szCs w:val="20"/>
              </w:rPr>
              <w:t>06/10/17</w:t>
            </w:r>
          </w:p>
        </w:tc>
        <w:tc>
          <w:tcPr>
            <w:tcW w:w="6335" w:type="dxa"/>
            <w:shd w:val="clear" w:color="auto" w:fill="auto"/>
          </w:tcPr>
          <w:p w14:paraId="19E1CD5C" w14:textId="433DEC8F" w:rsidR="00A70030" w:rsidRDefault="00A70030" w:rsidP="00073385">
            <w:pPr>
              <w:spacing w:before="60" w:after="60" w:line="240" w:lineRule="auto"/>
              <w:ind w:left="0"/>
              <w:rPr>
                <w:rFonts w:cs="Arial"/>
                <w:sz w:val="20"/>
                <w:szCs w:val="20"/>
              </w:rPr>
            </w:pPr>
            <w:r>
              <w:rPr>
                <w:rFonts w:cs="Arial"/>
                <w:sz w:val="20"/>
                <w:szCs w:val="20"/>
              </w:rPr>
              <w:t xml:space="preserve">CarbonNet sent a letter to the DEDJTR Executive Director of Strategy Governance &amp; Coordination to confirm the availability of Victorian emergency response capabilities and resources for the MSS survey.  </w:t>
            </w:r>
          </w:p>
        </w:tc>
        <w:tc>
          <w:tcPr>
            <w:tcW w:w="3802" w:type="dxa"/>
            <w:shd w:val="clear" w:color="auto" w:fill="auto"/>
          </w:tcPr>
          <w:p w14:paraId="06900D81" w14:textId="39A90C08"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7B2D339" w14:textId="77777777" w:rsidTr="00077C5F">
        <w:tc>
          <w:tcPr>
            <w:tcW w:w="14248" w:type="dxa"/>
            <w:gridSpan w:val="5"/>
            <w:shd w:val="clear" w:color="auto" w:fill="D9D9D9"/>
          </w:tcPr>
          <w:p w14:paraId="454874BA" w14:textId="77777777" w:rsidR="00A70030" w:rsidRPr="00FF0808" w:rsidRDefault="00A70030" w:rsidP="00073385">
            <w:pPr>
              <w:spacing w:before="60" w:after="60" w:line="240" w:lineRule="auto"/>
              <w:ind w:left="0"/>
              <w:rPr>
                <w:rFonts w:cs="Arial"/>
                <w:sz w:val="20"/>
                <w:szCs w:val="20"/>
              </w:rPr>
            </w:pPr>
            <w:r w:rsidRPr="00FF0808">
              <w:rPr>
                <w:rFonts w:cs="Arial"/>
                <w:sz w:val="20"/>
                <w:szCs w:val="20"/>
              </w:rPr>
              <w:t>A person or organisation whose functions, interests or activities may be affected by the activities to be carried out under the EP</w:t>
            </w:r>
          </w:p>
        </w:tc>
      </w:tr>
      <w:tr w:rsidR="00A70030" w:rsidRPr="00FF0808" w14:paraId="59BCB7D8" w14:textId="77777777" w:rsidTr="00891DE1">
        <w:trPr>
          <w:trHeight w:val="538"/>
        </w:trPr>
        <w:tc>
          <w:tcPr>
            <w:tcW w:w="1427" w:type="dxa"/>
            <w:vMerge w:val="restart"/>
            <w:tcBorders>
              <w:bottom w:val="nil"/>
            </w:tcBorders>
            <w:shd w:val="clear" w:color="auto" w:fill="auto"/>
          </w:tcPr>
          <w:p w14:paraId="725DE867" w14:textId="77777777" w:rsidR="00A70030" w:rsidRPr="003E2F3C" w:rsidRDefault="00A70030" w:rsidP="00073385">
            <w:pPr>
              <w:spacing w:before="60" w:after="60" w:line="240" w:lineRule="auto"/>
              <w:ind w:left="0"/>
              <w:rPr>
                <w:rFonts w:cs="Arial"/>
                <w:sz w:val="20"/>
                <w:szCs w:val="20"/>
              </w:rPr>
            </w:pPr>
            <w:r w:rsidRPr="003E2F3C">
              <w:rPr>
                <w:rFonts w:cs="Arial"/>
                <w:sz w:val="20"/>
                <w:szCs w:val="20"/>
              </w:rPr>
              <w:t>Commonwealth Fisheries Association (CFA)</w:t>
            </w:r>
          </w:p>
        </w:tc>
        <w:tc>
          <w:tcPr>
            <w:tcW w:w="1629" w:type="dxa"/>
            <w:vMerge w:val="restart"/>
            <w:tcBorders>
              <w:bottom w:val="nil"/>
            </w:tcBorders>
            <w:shd w:val="clear" w:color="auto" w:fill="auto"/>
          </w:tcPr>
          <w:p w14:paraId="17A9A830" w14:textId="77777777" w:rsidR="00A70030" w:rsidRPr="00FF0808" w:rsidRDefault="00A70030" w:rsidP="00073385">
            <w:pPr>
              <w:spacing w:before="60" w:after="60" w:line="240" w:lineRule="auto"/>
              <w:ind w:left="0"/>
              <w:rPr>
                <w:rFonts w:cs="Arial"/>
                <w:sz w:val="20"/>
                <w:szCs w:val="20"/>
              </w:rPr>
            </w:pPr>
            <w:r>
              <w:rPr>
                <w:rFonts w:cs="Arial"/>
                <w:sz w:val="20"/>
                <w:szCs w:val="20"/>
              </w:rPr>
              <w:t>Industry association for commercial fishing industry in Commonwealth regulated fisheries</w:t>
            </w:r>
          </w:p>
        </w:tc>
        <w:tc>
          <w:tcPr>
            <w:tcW w:w="1055" w:type="dxa"/>
            <w:tcBorders>
              <w:bottom w:val="single" w:sz="4" w:space="0" w:color="auto"/>
            </w:tcBorders>
          </w:tcPr>
          <w:p w14:paraId="62A5FB26" w14:textId="77777777" w:rsidR="00A70030" w:rsidRPr="003E2F3C" w:rsidRDefault="00A70030" w:rsidP="00073385">
            <w:pPr>
              <w:spacing w:before="60" w:after="60" w:line="240" w:lineRule="auto"/>
              <w:ind w:left="0"/>
              <w:rPr>
                <w:rFonts w:cs="Arial"/>
                <w:sz w:val="20"/>
                <w:szCs w:val="20"/>
              </w:rPr>
            </w:pPr>
            <w:r w:rsidRPr="003E2F3C">
              <w:rPr>
                <w:rFonts w:cs="Arial"/>
                <w:sz w:val="20"/>
                <w:szCs w:val="20"/>
              </w:rPr>
              <w:t>21/3/17</w:t>
            </w:r>
          </w:p>
          <w:p w14:paraId="14A0C61C" w14:textId="77777777" w:rsidR="00A70030" w:rsidRPr="003E2F3C" w:rsidRDefault="00A70030" w:rsidP="00073385">
            <w:pPr>
              <w:spacing w:before="60" w:after="60" w:line="240" w:lineRule="auto"/>
              <w:ind w:left="0"/>
              <w:rPr>
                <w:rFonts w:cs="Arial"/>
                <w:sz w:val="20"/>
                <w:szCs w:val="20"/>
              </w:rPr>
            </w:pPr>
          </w:p>
        </w:tc>
        <w:tc>
          <w:tcPr>
            <w:tcW w:w="6335" w:type="dxa"/>
            <w:tcBorders>
              <w:bottom w:val="single" w:sz="4" w:space="0" w:color="auto"/>
            </w:tcBorders>
            <w:shd w:val="clear" w:color="auto" w:fill="auto"/>
          </w:tcPr>
          <w:p w14:paraId="76DCE9D3" w14:textId="77777777" w:rsidR="00A70030" w:rsidRDefault="00A70030" w:rsidP="00073385">
            <w:pPr>
              <w:spacing w:before="60" w:after="60" w:line="240" w:lineRule="auto"/>
              <w:ind w:left="0"/>
              <w:rPr>
                <w:rFonts w:cs="Arial"/>
                <w:sz w:val="20"/>
                <w:szCs w:val="20"/>
              </w:rPr>
            </w:pPr>
            <w:r>
              <w:rPr>
                <w:rFonts w:cs="Arial"/>
                <w:sz w:val="20"/>
                <w:szCs w:val="20"/>
              </w:rPr>
              <w:t>CarbonNet contacted CFA via post and and email with a letter that requested a meeting, invited feedback and provided a fact sheet.</w:t>
            </w:r>
          </w:p>
        </w:tc>
        <w:tc>
          <w:tcPr>
            <w:tcW w:w="3802" w:type="dxa"/>
            <w:tcBorders>
              <w:bottom w:val="single" w:sz="4" w:space="0" w:color="auto"/>
            </w:tcBorders>
            <w:shd w:val="clear" w:color="auto" w:fill="auto"/>
          </w:tcPr>
          <w:p w14:paraId="140332B3" w14:textId="5F9CE725"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1662A988" w14:textId="77777777" w:rsidTr="00891DE1">
        <w:trPr>
          <w:trHeight w:val="538"/>
        </w:trPr>
        <w:tc>
          <w:tcPr>
            <w:tcW w:w="1427" w:type="dxa"/>
            <w:vMerge/>
            <w:tcBorders>
              <w:bottom w:val="nil"/>
            </w:tcBorders>
            <w:shd w:val="clear" w:color="auto" w:fill="auto"/>
          </w:tcPr>
          <w:p w14:paraId="37E5C9DD" w14:textId="77777777" w:rsidR="00A70030" w:rsidRPr="003E2F3C"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057DE873" w14:textId="77777777" w:rsidR="00A70030" w:rsidRDefault="00A70030" w:rsidP="00073385">
            <w:pPr>
              <w:spacing w:before="60" w:after="60" w:line="240" w:lineRule="auto"/>
              <w:ind w:left="0"/>
              <w:rPr>
                <w:rFonts w:cs="Arial"/>
                <w:sz w:val="20"/>
                <w:szCs w:val="20"/>
              </w:rPr>
            </w:pPr>
          </w:p>
        </w:tc>
        <w:tc>
          <w:tcPr>
            <w:tcW w:w="1055" w:type="dxa"/>
            <w:tcBorders>
              <w:bottom w:val="single" w:sz="4" w:space="0" w:color="auto"/>
            </w:tcBorders>
          </w:tcPr>
          <w:p w14:paraId="4A4B29FE" w14:textId="77777777" w:rsidR="00A70030" w:rsidRDefault="00A70030" w:rsidP="00073385">
            <w:pPr>
              <w:spacing w:before="60" w:after="60" w:line="240" w:lineRule="auto"/>
              <w:ind w:left="0"/>
              <w:rPr>
                <w:rFonts w:cs="Arial"/>
                <w:sz w:val="20"/>
                <w:szCs w:val="20"/>
              </w:rPr>
            </w:pPr>
            <w:r>
              <w:rPr>
                <w:rFonts w:cs="Arial"/>
                <w:sz w:val="20"/>
                <w:szCs w:val="20"/>
              </w:rPr>
              <w:t>19/4/17</w:t>
            </w:r>
          </w:p>
          <w:p w14:paraId="4096C12D" w14:textId="77777777" w:rsidR="00A70030" w:rsidRPr="003E2F3C" w:rsidRDefault="00A70030" w:rsidP="00073385">
            <w:pPr>
              <w:spacing w:before="60" w:after="60" w:line="240" w:lineRule="auto"/>
              <w:ind w:left="0"/>
              <w:rPr>
                <w:rFonts w:cs="Arial"/>
                <w:sz w:val="20"/>
                <w:szCs w:val="20"/>
              </w:rPr>
            </w:pPr>
          </w:p>
        </w:tc>
        <w:tc>
          <w:tcPr>
            <w:tcW w:w="6335" w:type="dxa"/>
            <w:tcBorders>
              <w:bottom w:val="single" w:sz="4" w:space="0" w:color="auto"/>
            </w:tcBorders>
            <w:shd w:val="clear" w:color="auto" w:fill="auto"/>
          </w:tcPr>
          <w:p w14:paraId="727DB542" w14:textId="77777777" w:rsidR="00A70030" w:rsidRDefault="00A70030" w:rsidP="00073385">
            <w:pPr>
              <w:spacing w:before="60" w:after="60" w:line="240" w:lineRule="auto"/>
              <w:ind w:left="0"/>
              <w:rPr>
                <w:rFonts w:cs="Arial"/>
                <w:sz w:val="20"/>
                <w:szCs w:val="20"/>
              </w:rPr>
            </w:pPr>
            <w:r>
              <w:rPr>
                <w:rFonts w:cs="Arial"/>
                <w:sz w:val="20"/>
                <w:szCs w:val="20"/>
              </w:rPr>
              <w:t>CarbonNet left voicemail requesting a call back to discuss the project.</w:t>
            </w:r>
          </w:p>
        </w:tc>
        <w:tc>
          <w:tcPr>
            <w:tcW w:w="3802" w:type="dxa"/>
            <w:tcBorders>
              <w:bottom w:val="single" w:sz="4" w:space="0" w:color="auto"/>
            </w:tcBorders>
            <w:shd w:val="clear" w:color="auto" w:fill="auto"/>
          </w:tcPr>
          <w:p w14:paraId="5B9FA3FB" w14:textId="215C66E9"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3D380EE" w14:textId="77777777" w:rsidTr="00891DE1">
        <w:trPr>
          <w:trHeight w:val="561"/>
        </w:trPr>
        <w:tc>
          <w:tcPr>
            <w:tcW w:w="1427" w:type="dxa"/>
            <w:vMerge/>
            <w:tcBorders>
              <w:bottom w:val="nil"/>
            </w:tcBorders>
            <w:shd w:val="clear" w:color="auto" w:fill="auto"/>
          </w:tcPr>
          <w:p w14:paraId="620E759C" w14:textId="77777777" w:rsidR="00A70030" w:rsidRPr="003E2F3C"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5FC2CC25" w14:textId="77777777" w:rsidR="00A70030" w:rsidRPr="00FF0808" w:rsidRDefault="00A70030" w:rsidP="00073385">
            <w:pPr>
              <w:spacing w:before="60" w:after="60" w:line="240" w:lineRule="auto"/>
              <w:ind w:left="0"/>
              <w:rPr>
                <w:rFonts w:cs="Arial"/>
                <w:sz w:val="20"/>
                <w:szCs w:val="20"/>
              </w:rPr>
            </w:pPr>
          </w:p>
        </w:tc>
        <w:tc>
          <w:tcPr>
            <w:tcW w:w="1055" w:type="dxa"/>
            <w:tcBorders>
              <w:bottom w:val="single" w:sz="4" w:space="0" w:color="auto"/>
            </w:tcBorders>
          </w:tcPr>
          <w:p w14:paraId="4F1E858D" w14:textId="77777777" w:rsidR="00A70030" w:rsidRPr="003E2F3C" w:rsidRDefault="00A70030" w:rsidP="00073385">
            <w:pPr>
              <w:spacing w:before="60" w:after="60" w:line="240" w:lineRule="auto"/>
              <w:ind w:left="0"/>
              <w:rPr>
                <w:rFonts w:cs="Arial"/>
                <w:sz w:val="20"/>
                <w:szCs w:val="20"/>
              </w:rPr>
            </w:pPr>
            <w:r>
              <w:rPr>
                <w:rFonts w:cs="Arial"/>
                <w:sz w:val="20"/>
                <w:szCs w:val="20"/>
              </w:rPr>
              <w:t>16/5/17</w:t>
            </w:r>
          </w:p>
        </w:tc>
        <w:tc>
          <w:tcPr>
            <w:tcW w:w="6335" w:type="dxa"/>
            <w:tcBorders>
              <w:bottom w:val="single" w:sz="4" w:space="0" w:color="auto"/>
            </w:tcBorders>
            <w:shd w:val="clear" w:color="auto" w:fill="auto"/>
          </w:tcPr>
          <w:p w14:paraId="60F65174" w14:textId="77777777" w:rsidR="00A70030" w:rsidRDefault="00A70030" w:rsidP="00073385">
            <w:pPr>
              <w:spacing w:before="60" w:after="60" w:line="240" w:lineRule="auto"/>
              <w:ind w:left="0"/>
              <w:rPr>
                <w:rFonts w:cs="Arial"/>
                <w:sz w:val="20"/>
                <w:szCs w:val="20"/>
              </w:rPr>
            </w:pPr>
            <w:r>
              <w:rPr>
                <w:rFonts w:cs="Arial"/>
                <w:sz w:val="20"/>
                <w:szCs w:val="20"/>
              </w:rPr>
              <w:t xml:space="preserve">CarbonNet spoke to CFA who confirmed the letter was received. CFA explained that they are the representative body for associations, and general only comment on </w:t>
            </w:r>
            <w:r w:rsidRPr="003E2F3C">
              <w:rPr>
                <w:rFonts w:cs="Arial"/>
                <w:sz w:val="20"/>
                <w:szCs w:val="20"/>
              </w:rPr>
              <w:t>activities that affect a majority of members</w:t>
            </w:r>
            <w:r>
              <w:rPr>
                <w:rFonts w:cs="Arial"/>
                <w:sz w:val="20"/>
                <w:szCs w:val="20"/>
              </w:rPr>
              <w:t>. As the project only impacts Bass Strait, CFA a</w:t>
            </w:r>
            <w:r w:rsidRPr="003E2F3C">
              <w:rPr>
                <w:rFonts w:cs="Arial"/>
                <w:sz w:val="20"/>
                <w:szCs w:val="20"/>
              </w:rPr>
              <w:t xml:space="preserve">dvised </w:t>
            </w:r>
            <w:r>
              <w:rPr>
                <w:rFonts w:cs="Arial"/>
                <w:sz w:val="20"/>
                <w:szCs w:val="20"/>
              </w:rPr>
              <w:t xml:space="preserve">CarbonNet </w:t>
            </w:r>
            <w:r w:rsidRPr="003E2F3C">
              <w:rPr>
                <w:rFonts w:cs="Arial"/>
                <w:sz w:val="20"/>
                <w:szCs w:val="20"/>
              </w:rPr>
              <w:t xml:space="preserve">to consult with the </w:t>
            </w:r>
            <w:r>
              <w:rPr>
                <w:rFonts w:cs="Arial"/>
                <w:sz w:val="20"/>
                <w:szCs w:val="20"/>
              </w:rPr>
              <w:t>relevant</w:t>
            </w:r>
            <w:r w:rsidRPr="003E2F3C">
              <w:rPr>
                <w:rFonts w:cs="Arial"/>
                <w:sz w:val="20"/>
                <w:szCs w:val="20"/>
              </w:rPr>
              <w:t xml:space="preserve"> associations, </w:t>
            </w:r>
            <w:r>
              <w:rPr>
                <w:rFonts w:cs="Arial"/>
                <w:sz w:val="20"/>
                <w:szCs w:val="20"/>
              </w:rPr>
              <w:t>specifically</w:t>
            </w:r>
            <w:r w:rsidRPr="003E2F3C">
              <w:rPr>
                <w:rFonts w:cs="Arial"/>
                <w:sz w:val="20"/>
                <w:szCs w:val="20"/>
              </w:rPr>
              <w:t xml:space="preserve"> SETFIA, SIV and LEFCOL</w:t>
            </w:r>
            <w:r>
              <w:rPr>
                <w:rFonts w:cs="Arial"/>
                <w:sz w:val="20"/>
                <w:szCs w:val="20"/>
              </w:rPr>
              <w:t>.</w:t>
            </w:r>
            <w:r w:rsidRPr="003E2F3C">
              <w:rPr>
                <w:rFonts w:cs="Arial"/>
                <w:sz w:val="20"/>
                <w:szCs w:val="20"/>
              </w:rPr>
              <w:t xml:space="preserve"> </w:t>
            </w:r>
          </w:p>
          <w:p w14:paraId="611BDD90" w14:textId="77777777" w:rsidR="00A70030" w:rsidRDefault="00A70030" w:rsidP="00073385">
            <w:pPr>
              <w:spacing w:before="60" w:after="60" w:line="240" w:lineRule="auto"/>
              <w:ind w:left="0"/>
              <w:rPr>
                <w:rFonts w:cs="Arial"/>
                <w:sz w:val="20"/>
                <w:szCs w:val="20"/>
              </w:rPr>
            </w:pPr>
            <w:r>
              <w:rPr>
                <w:rFonts w:cs="Arial"/>
                <w:sz w:val="20"/>
                <w:szCs w:val="20"/>
              </w:rPr>
              <w:t>CFA stated that they w</w:t>
            </w:r>
            <w:r w:rsidRPr="003E2F3C">
              <w:rPr>
                <w:rFonts w:cs="Arial"/>
                <w:sz w:val="20"/>
                <w:szCs w:val="20"/>
              </w:rPr>
              <w:t xml:space="preserve">ould like to be kept up-to-date on the </w:t>
            </w:r>
            <w:r>
              <w:rPr>
                <w:rFonts w:cs="Arial"/>
                <w:sz w:val="20"/>
                <w:szCs w:val="20"/>
              </w:rPr>
              <w:t>project</w:t>
            </w:r>
            <w:r w:rsidRPr="003E2F3C">
              <w:rPr>
                <w:rFonts w:cs="Arial"/>
                <w:sz w:val="20"/>
                <w:szCs w:val="20"/>
              </w:rPr>
              <w:t xml:space="preserve"> but will likely not provide any comments.</w:t>
            </w:r>
          </w:p>
        </w:tc>
        <w:tc>
          <w:tcPr>
            <w:tcW w:w="3802" w:type="dxa"/>
            <w:tcBorders>
              <w:bottom w:val="single" w:sz="4" w:space="0" w:color="auto"/>
            </w:tcBorders>
            <w:shd w:val="clear" w:color="auto" w:fill="auto"/>
          </w:tcPr>
          <w:p w14:paraId="050FC684" w14:textId="77777777" w:rsidR="00A70030" w:rsidRDefault="00A70030" w:rsidP="00073385">
            <w:pPr>
              <w:spacing w:before="60" w:after="60" w:line="240" w:lineRule="auto"/>
              <w:ind w:left="0"/>
              <w:rPr>
                <w:rFonts w:cs="Arial"/>
                <w:sz w:val="20"/>
                <w:szCs w:val="20"/>
              </w:rPr>
            </w:pPr>
            <w:r>
              <w:rPr>
                <w:rFonts w:cs="Arial"/>
                <w:sz w:val="20"/>
                <w:szCs w:val="20"/>
              </w:rPr>
              <w:t>CarbonNet is engaging with SETFIA, SIV and LEFCOL.</w:t>
            </w:r>
          </w:p>
          <w:p w14:paraId="20DEF115" w14:textId="77777777" w:rsidR="00A70030" w:rsidRDefault="00A70030" w:rsidP="00073385">
            <w:pPr>
              <w:spacing w:before="60" w:after="60" w:line="240" w:lineRule="auto"/>
              <w:ind w:left="0"/>
              <w:rPr>
                <w:rFonts w:cs="Arial"/>
                <w:sz w:val="20"/>
                <w:szCs w:val="20"/>
              </w:rPr>
            </w:pPr>
            <w:r>
              <w:rPr>
                <w:rFonts w:cs="Arial"/>
                <w:sz w:val="20"/>
                <w:szCs w:val="20"/>
              </w:rPr>
              <w:t>CarbonNet will communicate with CFA on major milestones and developments.</w:t>
            </w:r>
          </w:p>
        </w:tc>
      </w:tr>
      <w:tr w:rsidR="00A70030" w:rsidRPr="00FF0808" w14:paraId="5F35B517" w14:textId="77777777" w:rsidTr="00891DE1">
        <w:trPr>
          <w:trHeight w:val="700"/>
        </w:trPr>
        <w:tc>
          <w:tcPr>
            <w:tcW w:w="1427" w:type="dxa"/>
            <w:vMerge/>
            <w:tcBorders>
              <w:bottom w:val="single" w:sz="4" w:space="0" w:color="auto"/>
            </w:tcBorders>
            <w:shd w:val="clear" w:color="auto" w:fill="auto"/>
          </w:tcPr>
          <w:p w14:paraId="0405FD30" w14:textId="77777777" w:rsidR="00A70030" w:rsidRPr="00FF0808" w:rsidRDefault="00A70030" w:rsidP="00073385">
            <w:pPr>
              <w:spacing w:before="60" w:after="60" w:line="240" w:lineRule="auto"/>
              <w:ind w:left="0"/>
              <w:rPr>
                <w:rFonts w:cs="Arial"/>
                <w:sz w:val="20"/>
                <w:szCs w:val="20"/>
              </w:rPr>
            </w:pPr>
          </w:p>
        </w:tc>
        <w:tc>
          <w:tcPr>
            <w:tcW w:w="1629" w:type="dxa"/>
            <w:vMerge/>
            <w:tcBorders>
              <w:bottom w:val="single" w:sz="4" w:space="0" w:color="auto"/>
            </w:tcBorders>
            <w:shd w:val="clear" w:color="auto" w:fill="auto"/>
          </w:tcPr>
          <w:p w14:paraId="74CEBBED" w14:textId="77777777" w:rsidR="00A70030" w:rsidRPr="00FF0808" w:rsidRDefault="00A70030" w:rsidP="00073385">
            <w:pPr>
              <w:spacing w:before="60" w:after="60" w:line="240" w:lineRule="auto"/>
              <w:ind w:left="0"/>
              <w:rPr>
                <w:rFonts w:cs="Arial"/>
                <w:sz w:val="20"/>
                <w:szCs w:val="20"/>
              </w:rPr>
            </w:pPr>
          </w:p>
        </w:tc>
        <w:tc>
          <w:tcPr>
            <w:tcW w:w="1055" w:type="dxa"/>
            <w:tcBorders>
              <w:bottom w:val="single" w:sz="4" w:space="0" w:color="auto"/>
            </w:tcBorders>
          </w:tcPr>
          <w:p w14:paraId="3A0C7AB8" w14:textId="77777777" w:rsidR="00A70030" w:rsidRPr="003E2F3C" w:rsidRDefault="00A70030" w:rsidP="00073385">
            <w:pPr>
              <w:spacing w:before="60" w:after="60" w:line="240" w:lineRule="auto"/>
              <w:ind w:left="0"/>
              <w:rPr>
                <w:rFonts w:cs="Arial"/>
                <w:sz w:val="20"/>
                <w:szCs w:val="20"/>
              </w:rPr>
            </w:pPr>
            <w:r>
              <w:rPr>
                <w:rFonts w:cs="Arial"/>
                <w:sz w:val="20"/>
                <w:szCs w:val="20"/>
              </w:rPr>
              <w:t>7/8/17</w:t>
            </w:r>
          </w:p>
        </w:tc>
        <w:tc>
          <w:tcPr>
            <w:tcW w:w="6335" w:type="dxa"/>
            <w:tcBorders>
              <w:bottom w:val="single" w:sz="4" w:space="0" w:color="auto"/>
            </w:tcBorders>
            <w:shd w:val="clear" w:color="auto" w:fill="auto"/>
          </w:tcPr>
          <w:p w14:paraId="3CEEF735" w14:textId="77777777" w:rsidR="00A70030" w:rsidRDefault="00A70030" w:rsidP="00073385">
            <w:pPr>
              <w:spacing w:before="60" w:after="60" w:line="240" w:lineRule="auto"/>
              <w:ind w:left="0"/>
              <w:rPr>
                <w:rFonts w:cs="Arial"/>
                <w:sz w:val="20"/>
                <w:szCs w:val="20"/>
              </w:rPr>
            </w:pPr>
            <w:r w:rsidRPr="00A63FBE">
              <w:rPr>
                <w:rFonts w:cs="Arial"/>
                <w:sz w:val="20"/>
                <w:szCs w:val="20"/>
              </w:rPr>
              <w:t xml:space="preserve">CarbonNet sent </w:t>
            </w:r>
            <w:r>
              <w:rPr>
                <w:rFonts w:cs="Arial"/>
                <w:sz w:val="20"/>
                <w:szCs w:val="20"/>
              </w:rPr>
              <w:t>CFA</w:t>
            </w:r>
            <w:r w:rsidRPr="00A63FBE">
              <w:rPr>
                <w:rFonts w:cs="Arial"/>
                <w:sz w:val="20"/>
                <w:szCs w:val="20"/>
              </w:rPr>
              <w:t xml:space="preserve"> an email advising that the operational area and duration of survey have now been refined, and that the EP will be submitted in mid-August.</w:t>
            </w:r>
          </w:p>
          <w:p w14:paraId="4768E082" w14:textId="70E4C4C5" w:rsidR="00D0136E" w:rsidRPr="003E2F3C" w:rsidRDefault="00D0136E" w:rsidP="00073385">
            <w:pPr>
              <w:spacing w:before="60" w:after="60" w:line="240" w:lineRule="auto"/>
              <w:ind w:left="0"/>
              <w:rPr>
                <w:rFonts w:cs="Arial"/>
                <w:sz w:val="20"/>
                <w:szCs w:val="20"/>
              </w:rPr>
            </w:pPr>
          </w:p>
        </w:tc>
        <w:tc>
          <w:tcPr>
            <w:tcW w:w="3802" w:type="dxa"/>
            <w:tcBorders>
              <w:bottom w:val="single" w:sz="4" w:space="0" w:color="auto"/>
            </w:tcBorders>
            <w:shd w:val="clear" w:color="auto" w:fill="auto"/>
          </w:tcPr>
          <w:p w14:paraId="1D79A82E" w14:textId="135DA863" w:rsidR="00A70030" w:rsidRPr="00FF0808"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A05780C" w14:textId="77777777" w:rsidTr="00891DE1">
        <w:trPr>
          <w:trHeight w:val="700"/>
        </w:trPr>
        <w:tc>
          <w:tcPr>
            <w:tcW w:w="1427" w:type="dxa"/>
            <w:tcBorders>
              <w:top w:val="single" w:sz="4" w:space="0" w:color="auto"/>
              <w:bottom w:val="single" w:sz="4" w:space="0" w:color="auto"/>
            </w:tcBorders>
            <w:shd w:val="clear" w:color="auto" w:fill="auto"/>
          </w:tcPr>
          <w:p w14:paraId="40587111" w14:textId="77777777" w:rsidR="00A70030" w:rsidRPr="00FF0808" w:rsidRDefault="00A70030" w:rsidP="00073385">
            <w:pPr>
              <w:spacing w:before="60" w:after="60" w:line="240" w:lineRule="auto"/>
              <w:ind w:left="0"/>
              <w:rPr>
                <w:rFonts w:cs="Arial"/>
                <w:sz w:val="20"/>
                <w:szCs w:val="20"/>
              </w:rPr>
            </w:pPr>
          </w:p>
        </w:tc>
        <w:tc>
          <w:tcPr>
            <w:tcW w:w="1629" w:type="dxa"/>
            <w:tcBorders>
              <w:top w:val="single" w:sz="4" w:space="0" w:color="auto"/>
              <w:bottom w:val="single" w:sz="4" w:space="0" w:color="auto"/>
            </w:tcBorders>
            <w:shd w:val="clear" w:color="auto" w:fill="auto"/>
          </w:tcPr>
          <w:p w14:paraId="1BF67ABC" w14:textId="77777777" w:rsidR="00A70030" w:rsidRPr="00FF0808" w:rsidRDefault="00A70030" w:rsidP="00073385">
            <w:pPr>
              <w:spacing w:before="60" w:after="60" w:line="240" w:lineRule="auto"/>
              <w:ind w:left="0"/>
              <w:rPr>
                <w:rFonts w:cs="Arial"/>
                <w:sz w:val="20"/>
                <w:szCs w:val="20"/>
              </w:rPr>
            </w:pPr>
          </w:p>
        </w:tc>
        <w:tc>
          <w:tcPr>
            <w:tcW w:w="1055" w:type="dxa"/>
            <w:tcBorders>
              <w:bottom w:val="single" w:sz="4" w:space="0" w:color="auto"/>
            </w:tcBorders>
          </w:tcPr>
          <w:p w14:paraId="59CF44CE" w14:textId="77C06580"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tcBorders>
              <w:bottom w:val="single" w:sz="4" w:space="0" w:color="auto"/>
            </w:tcBorders>
            <w:shd w:val="clear" w:color="auto" w:fill="auto"/>
          </w:tcPr>
          <w:p w14:paraId="7F8F69C0" w14:textId="2B02D344" w:rsidR="00A70030" w:rsidRPr="00A63FBE"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tcBorders>
              <w:bottom w:val="single" w:sz="4" w:space="0" w:color="auto"/>
            </w:tcBorders>
            <w:shd w:val="clear" w:color="auto" w:fill="auto"/>
          </w:tcPr>
          <w:p w14:paraId="3BD8DF90" w14:textId="266FA39B" w:rsidR="00A70030" w:rsidRDefault="00A70030" w:rsidP="00073385">
            <w:pPr>
              <w:spacing w:before="60" w:after="60" w:line="240" w:lineRule="auto"/>
              <w:ind w:left="0"/>
              <w:rPr>
                <w:rFonts w:cs="Arial"/>
                <w:sz w:val="20"/>
                <w:szCs w:val="20"/>
              </w:rPr>
            </w:pPr>
            <w:r>
              <w:rPr>
                <w:rFonts w:cs="Arial"/>
                <w:sz w:val="20"/>
                <w:szCs w:val="20"/>
              </w:rPr>
              <w:t>N/A</w:t>
            </w:r>
          </w:p>
        </w:tc>
      </w:tr>
      <w:tr w:rsidR="00D0136E" w:rsidRPr="00FF0808" w14:paraId="4BDA96E4" w14:textId="77777777" w:rsidTr="00D0136E">
        <w:trPr>
          <w:trHeight w:val="935"/>
        </w:trPr>
        <w:tc>
          <w:tcPr>
            <w:tcW w:w="1427" w:type="dxa"/>
            <w:vMerge w:val="restart"/>
            <w:tcBorders>
              <w:top w:val="single" w:sz="4" w:space="0" w:color="auto"/>
            </w:tcBorders>
            <w:shd w:val="clear" w:color="auto" w:fill="auto"/>
          </w:tcPr>
          <w:p w14:paraId="2A711F07" w14:textId="77777777" w:rsidR="00D0136E" w:rsidRPr="003E2F3C" w:rsidRDefault="00D0136E" w:rsidP="00073385">
            <w:pPr>
              <w:spacing w:before="60" w:after="60" w:line="240" w:lineRule="auto"/>
              <w:ind w:left="0"/>
              <w:rPr>
                <w:rFonts w:cs="Arial"/>
                <w:sz w:val="20"/>
                <w:szCs w:val="20"/>
              </w:rPr>
            </w:pPr>
            <w:r w:rsidRPr="003E2F3C">
              <w:rPr>
                <w:rFonts w:cs="Arial"/>
                <w:sz w:val="20"/>
                <w:szCs w:val="20"/>
              </w:rPr>
              <w:t>South-East Trawl Fishing Industry Association (SETFIA)</w:t>
            </w:r>
          </w:p>
        </w:tc>
        <w:tc>
          <w:tcPr>
            <w:tcW w:w="1629" w:type="dxa"/>
            <w:vMerge w:val="restart"/>
            <w:tcBorders>
              <w:top w:val="single" w:sz="4" w:space="0" w:color="auto"/>
            </w:tcBorders>
            <w:shd w:val="clear" w:color="auto" w:fill="auto"/>
          </w:tcPr>
          <w:p w14:paraId="50C02A0E" w14:textId="77777777" w:rsidR="00D0136E" w:rsidRPr="00FF0808" w:rsidRDefault="00D0136E" w:rsidP="00073385">
            <w:pPr>
              <w:spacing w:before="60" w:after="60" w:line="240" w:lineRule="auto"/>
              <w:ind w:left="0"/>
              <w:rPr>
                <w:rFonts w:cs="Arial"/>
                <w:sz w:val="20"/>
                <w:szCs w:val="20"/>
              </w:rPr>
            </w:pPr>
            <w:r>
              <w:rPr>
                <w:rFonts w:cs="Arial"/>
                <w:sz w:val="20"/>
                <w:szCs w:val="20"/>
              </w:rPr>
              <w:t>Industry association representing quota owners, fishermen and sellers in the Commonwealth south east trawl fishery</w:t>
            </w:r>
          </w:p>
        </w:tc>
        <w:tc>
          <w:tcPr>
            <w:tcW w:w="1055" w:type="dxa"/>
            <w:tcBorders>
              <w:top w:val="single" w:sz="4" w:space="0" w:color="auto"/>
              <w:bottom w:val="single" w:sz="4" w:space="0" w:color="auto"/>
            </w:tcBorders>
          </w:tcPr>
          <w:p w14:paraId="771A451B" w14:textId="77777777" w:rsidR="00D0136E" w:rsidRDefault="00D0136E" w:rsidP="00073385">
            <w:pPr>
              <w:spacing w:before="60" w:after="60" w:line="240" w:lineRule="auto"/>
              <w:ind w:left="0"/>
              <w:rPr>
                <w:rFonts w:cs="Arial"/>
                <w:sz w:val="20"/>
                <w:szCs w:val="20"/>
              </w:rPr>
            </w:pPr>
            <w:r>
              <w:rPr>
                <w:rFonts w:cs="Arial"/>
                <w:sz w:val="20"/>
                <w:szCs w:val="20"/>
              </w:rPr>
              <w:t>21/3/17</w:t>
            </w:r>
          </w:p>
          <w:p w14:paraId="45DA1DD6" w14:textId="77777777" w:rsidR="00D0136E" w:rsidRDefault="00D0136E"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5BB76C56" w14:textId="77777777" w:rsidR="00D0136E" w:rsidRDefault="00D0136E" w:rsidP="00073385">
            <w:pPr>
              <w:spacing w:before="60" w:after="60" w:line="240" w:lineRule="auto"/>
              <w:ind w:left="0"/>
              <w:rPr>
                <w:rFonts w:cs="Arial"/>
                <w:sz w:val="20"/>
                <w:szCs w:val="20"/>
              </w:rPr>
            </w:pPr>
            <w:r>
              <w:rPr>
                <w:rFonts w:cs="Arial"/>
                <w:sz w:val="20"/>
                <w:szCs w:val="20"/>
              </w:rPr>
              <w:t>CarbonNet contacted SETFIA via post and and email with a letter that requested a meeting, invited feedback and provided a fact sheet.</w:t>
            </w:r>
          </w:p>
        </w:tc>
        <w:tc>
          <w:tcPr>
            <w:tcW w:w="3802" w:type="dxa"/>
            <w:tcBorders>
              <w:top w:val="single" w:sz="4" w:space="0" w:color="auto"/>
              <w:bottom w:val="single" w:sz="4" w:space="0" w:color="auto"/>
            </w:tcBorders>
            <w:shd w:val="clear" w:color="auto" w:fill="auto"/>
          </w:tcPr>
          <w:p w14:paraId="26C41807" w14:textId="0B11AA52" w:rsidR="00D0136E" w:rsidRDefault="00D0136E" w:rsidP="00073385">
            <w:pPr>
              <w:spacing w:before="60" w:after="60" w:line="240" w:lineRule="auto"/>
              <w:ind w:left="0"/>
              <w:rPr>
                <w:rFonts w:cs="Arial"/>
                <w:sz w:val="20"/>
                <w:szCs w:val="20"/>
              </w:rPr>
            </w:pPr>
            <w:r>
              <w:rPr>
                <w:rFonts w:cs="Arial"/>
                <w:sz w:val="20"/>
                <w:szCs w:val="20"/>
              </w:rPr>
              <w:t>N/A</w:t>
            </w:r>
          </w:p>
        </w:tc>
      </w:tr>
      <w:tr w:rsidR="00D0136E" w:rsidRPr="00FF0808" w14:paraId="119EE1A4" w14:textId="77777777" w:rsidTr="00D0136E">
        <w:trPr>
          <w:trHeight w:val="1745"/>
        </w:trPr>
        <w:tc>
          <w:tcPr>
            <w:tcW w:w="1427" w:type="dxa"/>
            <w:vMerge/>
            <w:tcBorders>
              <w:bottom w:val="nil"/>
            </w:tcBorders>
            <w:shd w:val="clear" w:color="auto" w:fill="auto"/>
          </w:tcPr>
          <w:p w14:paraId="1BDB7435" w14:textId="77777777" w:rsidR="00D0136E" w:rsidRPr="003E2F3C" w:rsidRDefault="00D0136E" w:rsidP="00073385">
            <w:pPr>
              <w:spacing w:before="60" w:after="60" w:line="240" w:lineRule="auto"/>
              <w:ind w:left="0"/>
              <w:rPr>
                <w:rFonts w:cs="Arial"/>
                <w:sz w:val="20"/>
                <w:szCs w:val="20"/>
              </w:rPr>
            </w:pPr>
          </w:p>
        </w:tc>
        <w:tc>
          <w:tcPr>
            <w:tcW w:w="1629" w:type="dxa"/>
            <w:vMerge/>
            <w:shd w:val="clear" w:color="auto" w:fill="auto"/>
          </w:tcPr>
          <w:p w14:paraId="4D05E4C1" w14:textId="77777777" w:rsidR="00D0136E" w:rsidRPr="00FF0808" w:rsidRDefault="00D0136E"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6258F3C" w14:textId="77777777" w:rsidR="00D0136E" w:rsidRDefault="00D0136E" w:rsidP="00073385">
            <w:pPr>
              <w:spacing w:before="60" w:after="60" w:line="240" w:lineRule="auto"/>
              <w:ind w:left="0"/>
              <w:rPr>
                <w:rFonts w:cs="Arial"/>
                <w:sz w:val="20"/>
                <w:szCs w:val="20"/>
              </w:rPr>
            </w:pPr>
            <w:r>
              <w:rPr>
                <w:rFonts w:cs="Arial"/>
                <w:sz w:val="20"/>
                <w:szCs w:val="20"/>
              </w:rPr>
              <w:t>21/3/17</w:t>
            </w:r>
          </w:p>
          <w:p w14:paraId="19F4E9CF" w14:textId="77777777" w:rsidR="00D0136E" w:rsidRDefault="00D0136E"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63BA6B29" w14:textId="77777777" w:rsidR="00D0136E" w:rsidRDefault="00D0136E" w:rsidP="00073385">
            <w:pPr>
              <w:spacing w:before="60" w:after="60" w:line="240" w:lineRule="auto"/>
              <w:ind w:left="0"/>
              <w:rPr>
                <w:rFonts w:cs="Arial"/>
                <w:sz w:val="20"/>
                <w:szCs w:val="20"/>
              </w:rPr>
            </w:pPr>
            <w:r>
              <w:rPr>
                <w:rFonts w:cs="Arial"/>
                <w:sz w:val="20"/>
                <w:szCs w:val="20"/>
              </w:rPr>
              <w:t>CarbonNet r</w:t>
            </w:r>
            <w:r w:rsidRPr="009E2ABC">
              <w:rPr>
                <w:rFonts w:cs="Arial"/>
                <w:sz w:val="20"/>
                <w:szCs w:val="20"/>
              </w:rPr>
              <w:t xml:space="preserve">eceived </w:t>
            </w:r>
            <w:r>
              <w:rPr>
                <w:rFonts w:cs="Arial"/>
                <w:sz w:val="20"/>
                <w:szCs w:val="20"/>
              </w:rPr>
              <w:t xml:space="preserve">an </w:t>
            </w:r>
            <w:r w:rsidRPr="009E2ABC">
              <w:rPr>
                <w:rFonts w:cs="Arial"/>
                <w:sz w:val="20"/>
                <w:szCs w:val="20"/>
              </w:rPr>
              <w:t xml:space="preserve">email </w:t>
            </w:r>
            <w:r>
              <w:rPr>
                <w:rFonts w:cs="Arial"/>
                <w:sz w:val="20"/>
                <w:szCs w:val="20"/>
              </w:rPr>
              <w:t xml:space="preserve">response from SETFIA stating that trawl-based fisheries are likely to be the most affected fishing sector. </w:t>
            </w:r>
          </w:p>
          <w:p w14:paraId="01ADF03F" w14:textId="77777777" w:rsidR="00D0136E" w:rsidRDefault="00D0136E" w:rsidP="00073385">
            <w:pPr>
              <w:spacing w:before="60" w:after="60" w:line="240" w:lineRule="auto"/>
              <w:ind w:left="0"/>
              <w:rPr>
                <w:rFonts w:cs="Arial"/>
                <w:sz w:val="20"/>
                <w:szCs w:val="20"/>
              </w:rPr>
            </w:pPr>
          </w:p>
          <w:p w14:paraId="053F9C7C" w14:textId="0A981CE2" w:rsidR="00D0136E" w:rsidRDefault="00D0136E">
            <w:pPr>
              <w:spacing w:before="60" w:after="60" w:line="240" w:lineRule="auto"/>
              <w:ind w:left="0"/>
              <w:rPr>
                <w:rFonts w:cs="Arial"/>
                <w:sz w:val="20"/>
                <w:szCs w:val="20"/>
              </w:rPr>
            </w:pPr>
            <w:r>
              <w:rPr>
                <w:rFonts w:cs="Arial"/>
                <w:sz w:val="20"/>
                <w:szCs w:val="20"/>
              </w:rPr>
              <w:t xml:space="preserve">SETFIA </w:t>
            </w:r>
            <w:r w:rsidRPr="009E2ABC">
              <w:rPr>
                <w:rFonts w:cs="Arial"/>
                <w:sz w:val="20"/>
                <w:szCs w:val="20"/>
              </w:rPr>
              <w:t>requested notifications at regular intervals in the lead-up to</w:t>
            </w:r>
            <w:r>
              <w:rPr>
                <w:rFonts w:cs="Arial"/>
                <w:sz w:val="20"/>
                <w:szCs w:val="20"/>
              </w:rPr>
              <w:t>,</w:t>
            </w:r>
            <w:r w:rsidRPr="009E2ABC">
              <w:rPr>
                <w:rFonts w:cs="Arial"/>
                <w:sz w:val="20"/>
                <w:szCs w:val="20"/>
              </w:rPr>
              <w:t xml:space="preserve"> and during</w:t>
            </w:r>
            <w:r>
              <w:rPr>
                <w:rFonts w:cs="Arial"/>
                <w:sz w:val="20"/>
                <w:szCs w:val="20"/>
              </w:rPr>
              <w:t>,</w:t>
            </w:r>
            <w:r w:rsidRPr="009E2ABC">
              <w:rPr>
                <w:rFonts w:cs="Arial"/>
                <w:sz w:val="20"/>
                <w:szCs w:val="20"/>
              </w:rPr>
              <w:t xml:space="preserve"> the MSS. </w:t>
            </w:r>
            <w:r>
              <w:rPr>
                <w:rFonts w:cs="Arial"/>
                <w:sz w:val="20"/>
                <w:szCs w:val="20"/>
              </w:rPr>
              <w:t xml:space="preserve">SETFIA advised they can </w:t>
            </w:r>
            <w:r w:rsidRPr="009E2ABC">
              <w:rPr>
                <w:rFonts w:cs="Arial"/>
                <w:sz w:val="20"/>
                <w:szCs w:val="20"/>
              </w:rPr>
              <w:t>provide a notification service to the trawl fishing fleet on a fee-for-service basis.</w:t>
            </w:r>
          </w:p>
        </w:tc>
        <w:tc>
          <w:tcPr>
            <w:tcW w:w="3802" w:type="dxa"/>
            <w:tcBorders>
              <w:top w:val="single" w:sz="4" w:space="0" w:color="auto"/>
              <w:bottom w:val="single" w:sz="4" w:space="0" w:color="auto"/>
            </w:tcBorders>
            <w:shd w:val="clear" w:color="auto" w:fill="auto"/>
          </w:tcPr>
          <w:p w14:paraId="7462E959" w14:textId="77777777" w:rsidR="00D0136E" w:rsidRDefault="00D0136E" w:rsidP="00073385">
            <w:pPr>
              <w:spacing w:before="60" w:after="60" w:line="240" w:lineRule="auto"/>
              <w:ind w:left="0"/>
              <w:rPr>
                <w:rFonts w:cs="Arial"/>
                <w:sz w:val="20"/>
                <w:szCs w:val="20"/>
              </w:rPr>
            </w:pPr>
            <w:r>
              <w:rPr>
                <w:rFonts w:cs="Arial"/>
                <w:sz w:val="20"/>
                <w:szCs w:val="20"/>
              </w:rPr>
              <w:t>CarbonNet established a fee-for-service contract with SETFIA to deliver notifications to the trawl fishing fleet.</w:t>
            </w:r>
          </w:p>
        </w:tc>
      </w:tr>
      <w:tr w:rsidR="00D0136E" w:rsidRPr="00FF0808" w14:paraId="17E3D48D" w14:textId="77777777" w:rsidTr="00D0136E">
        <w:trPr>
          <w:trHeight w:val="492"/>
        </w:trPr>
        <w:tc>
          <w:tcPr>
            <w:tcW w:w="1427" w:type="dxa"/>
            <w:tcBorders>
              <w:top w:val="nil"/>
              <w:bottom w:val="nil"/>
            </w:tcBorders>
            <w:shd w:val="clear" w:color="auto" w:fill="auto"/>
          </w:tcPr>
          <w:p w14:paraId="17430927" w14:textId="77777777" w:rsidR="00D0136E" w:rsidRPr="003E2F3C" w:rsidRDefault="00D0136E" w:rsidP="00073385">
            <w:pPr>
              <w:spacing w:before="60" w:after="60" w:line="240" w:lineRule="auto"/>
              <w:ind w:left="0"/>
              <w:rPr>
                <w:rFonts w:cs="Arial"/>
                <w:sz w:val="20"/>
                <w:szCs w:val="20"/>
              </w:rPr>
            </w:pPr>
          </w:p>
        </w:tc>
        <w:tc>
          <w:tcPr>
            <w:tcW w:w="1629" w:type="dxa"/>
            <w:vMerge/>
            <w:shd w:val="clear" w:color="auto" w:fill="auto"/>
          </w:tcPr>
          <w:p w14:paraId="01C2D5F8" w14:textId="77777777" w:rsidR="00D0136E" w:rsidRPr="00FF0808" w:rsidRDefault="00D0136E"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5768DAB" w14:textId="3FBFC2C9" w:rsidR="00D0136E" w:rsidRDefault="00D0136E" w:rsidP="00077C5F">
            <w:pPr>
              <w:spacing w:before="60" w:after="60" w:line="240" w:lineRule="auto"/>
              <w:ind w:left="0"/>
              <w:rPr>
                <w:rFonts w:cs="Arial"/>
                <w:sz w:val="20"/>
                <w:szCs w:val="20"/>
              </w:rPr>
            </w:pPr>
            <w:r>
              <w:rPr>
                <w:rFonts w:cs="Arial"/>
                <w:sz w:val="20"/>
                <w:szCs w:val="20"/>
              </w:rPr>
              <w:t>19/4/17</w:t>
            </w:r>
          </w:p>
        </w:tc>
        <w:tc>
          <w:tcPr>
            <w:tcW w:w="6335" w:type="dxa"/>
            <w:tcBorders>
              <w:top w:val="single" w:sz="4" w:space="0" w:color="auto"/>
              <w:bottom w:val="single" w:sz="4" w:space="0" w:color="auto"/>
            </w:tcBorders>
            <w:shd w:val="clear" w:color="auto" w:fill="auto"/>
          </w:tcPr>
          <w:p w14:paraId="30258C39" w14:textId="77777777" w:rsidR="00D0136E" w:rsidRDefault="00D0136E" w:rsidP="00073385">
            <w:pPr>
              <w:spacing w:before="60" w:after="60" w:line="240" w:lineRule="auto"/>
              <w:ind w:left="0"/>
              <w:rPr>
                <w:rFonts w:cs="Arial"/>
                <w:sz w:val="20"/>
                <w:szCs w:val="20"/>
              </w:rPr>
            </w:pPr>
            <w:r>
              <w:rPr>
                <w:rFonts w:cs="Arial"/>
                <w:sz w:val="20"/>
                <w:szCs w:val="20"/>
              </w:rPr>
              <w:t>CarbonNet spoke to SETFIA to arrange meeting in Lakes Entrance.</w:t>
            </w:r>
          </w:p>
        </w:tc>
        <w:tc>
          <w:tcPr>
            <w:tcW w:w="3802" w:type="dxa"/>
            <w:tcBorders>
              <w:top w:val="single" w:sz="4" w:space="0" w:color="auto"/>
              <w:bottom w:val="single" w:sz="4" w:space="0" w:color="auto"/>
            </w:tcBorders>
            <w:shd w:val="clear" w:color="auto" w:fill="auto"/>
          </w:tcPr>
          <w:p w14:paraId="2B813BE7" w14:textId="77777777" w:rsidR="00D0136E" w:rsidRDefault="00D0136E" w:rsidP="00073385">
            <w:pPr>
              <w:spacing w:before="60" w:after="60" w:line="240" w:lineRule="auto"/>
              <w:ind w:left="0"/>
              <w:rPr>
                <w:rFonts w:cs="Arial"/>
                <w:sz w:val="20"/>
                <w:szCs w:val="20"/>
              </w:rPr>
            </w:pPr>
            <w:r>
              <w:rPr>
                <w:rFonts w:cs="Arial"/>
                <w:sz w:val="20"/>
                <w:szCs w:val="20"/>
              </w:rPr>
              <w:t>N/A</w:t>
            </w:r>
          </w:p>
        </w:tc>
      </w:tr>
      <w:tr w:rsidR="00D0136E" w:rsidRPr="00FF0808" w14:paraId="4E42510D" w14:textId="77777777" w:rsidTr="00D0136E">
        <w:trPr>
          <w:trHeight w:val="1000"/>
        </w:trPr>
        <w:tc>
          <w:tcPr>
            <w:tcW w:w="1427" w:type="dxa"/>
            <w:tcBorders>
              <w:top w:val="nil"/>
              <w:bottom w:val="nil"/>
            </w:tcBorders>
            <w:shd w:val="clear" w:color="auto" w:fill="auto"/>
          </w:tcPr>
          <w:p w14:paraId="1A5DF194" w14:textId="77777777" w:rsidR="00D0136E" w:rsidRPr="003E2F3C" w:rsidRDefault="00D0136E" w:rsidP="00073385">
            <w:pPr>
              <w:spacing w:before="60" w:after="60" w:line="240" w:lineRule="auto"/>
              <w:ind w:left="0"/>
              <w:rPr>
                <w:rFonts w:cs="Arial"/>
                <w:sz w:val="20"/>
                <w:szCs w:val="20"/>
              </w:rPr>
            </w:pPr>
          </w:p>
        </w:tc>
        <w:tc>
          <w:tcPr>
            <w:tcW w:w="1629" w:type="dxa"/>
            <w:vMerge/>
            <w:tcBorders>
              <w:bottom w:val="nil"/>
            </w:tcBorders>
            <w:shd w:val="clear" w:color="auto" w:fill="auto"/>
          </w:tcPr>
          <w:p w14:paraId="210971C4" w14:textId="77777777" w:rsidR="00D0136E" w:rsidRPr="00FF0808" w:rsidRDefault="00D0136E"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25E2C1F" w14:textId="77777777" w:rsidR="00D0136E" w:rsidRDefault="00D0136E" w:rsidP="00073385">
            <w:pPr>
              <w:spacing w:before="60" w:after="60" w:line="240" w:lineRule="auto"/>
              <w:ind w:left="0"/>
              <w:rPr>
                <w:rFonts w:cs="Arial"/>
                <w:sz w:val="20"/>
                <w:szCs w:val="20"/>
              </w:rPr>
            </w:pPr>
            <w:r>
              <w:rPr>
                <w:rFonts w:cs="Arial"/>
                <w:sz w:val="20"/>
                <w:szCs w:val="20"/>
              </w:rPr>
              <w:t>26/4/17</w:t>
            </w:r>
          </w:p>
        </w:tc>
        <w:tc>
          <w:tcPr>
            <w:tcW w:w="6335" w:type="dxa"/>
            <w:tcBorders>
              <w:top w:val="single" w:sz="4" w:space="0" w:color="auto"/>
              <w:bottom w:val="single" w:sz="4" w:space="0" w:color="auto"/>
            </w:tcBorders>
            <w:shd w:val="clear" w:color="auto" w:fill="auto"/>
          </w:tcPr>
          <w:p w14:paraId="71CF5269" w14:textId="77777777" w:rsidR="00D0136E" w:rsidRDefault="00D0136E" w:rsidP="00073385">
            <w:pPr>
              <w:spacing w:before="60" w:after="60" w:line="240" w:lineRule="auto"/>
              <w:ind w:left="0"/>
              <w:rPr>
                <w:rFonts w:cs="Arial"/>
                <w:sz w:val="20"/>
                <w:szCs w:val="20"/>
              </w:rPr>
            </w:pPr>
            <w:r>
              <w:rPr>
                <w:rFonts w:cs="Arial"/>
                <w:sz w:val="20"/>
                <w:szCs w:val="20"/>
              </w:rPr>
              <w:t>CarbonNet met with two representatives from SETFIA including a fisherman in Lakes Entrance.</w:t>
            </w:r>
          </w:p>
          <w:p w14:paraId="52A9E2A9" w14:textId="77777777" w:rsidR="00D0136E" w:rsidRDefault="00D0136E" w:rsidP="00073385">
            <w:pPr>
              <w:spacing w:before="60" w:after="60" w:line="240" w:lineRule="auto"/>
              <w:ind w:left="0"/>
              <w:rPr>
                <w:rFonts w:cs="Arial"/>
                <w:sz w:val="20"/>
                <w:szCs w:val="20"/>
              </w:rPr>
            </w:pPr>
            <w:r>
              <w:rPr>
                <w:rFonts w:cs="Arial"/>
                <w:sz w:val="20"/>
                <w:szCs w:val="20"/>
              </w:rPr>
              <w:t xml:space="preserve">SETFIA described the MSS area </w:t>
            </w:r>
            <w:r w:rsidRPr="00155089">
              <w:rPr>
                <w:rFonts w:cs="Arial"/>
                <w:sz w:val="20"/>
                <w:szCs w:val="20"/>
              </w:rPr>
              <w:t xml:space="preserve">including species they know to be present in the area. </w:t>
            </w:r>
          </w:p>
          <w:p w14:paraId="14C76FFF" w14:textId="77777777" w:rsidR="00D0136E" w:rsidRPr="00155089" w:rsidRDefault="00D0136E" w:rsidP="00073385">
            <w:pPr>
              <w:spacing w:before="60" w:after="60" w:line="240" w:lineRule="auto"/>
              <w:ind w:left="0"/>
              <w:rPr>
                <w:rFonts w:cs="Arial"/>
                <w:sz w:val="20"/>
                <w:szCs w:val="20"/>
              </w:rPr>
            </w:pPr>
            <w:r w:rsidRPr="00C66DCB">
              <w:rPr>
                <w:rFonts w:cs="Arial"/>
                <w:sz w:val="20"/>
                <w:szCs w:val="20"/>
              </w:rPr>
              <w:t>SETFIA is concerned that CarbonNet doesn’t have enough data on fishing activity in the MSS area.</w:t>
            </w:r>
          </w:p>
          <w:p w14:paraId="6B7BE032" w14:textId="77777777" w:rsidR="00D0136E" w:rsidRPr="00155089" w:rsidRDefault="00D0136E" w:rsidP="00073385">
            <w:pPr>
              <w:spacing w:before="60" w:after="60" w:line="240" w:lineRule="auto"/>
              <w:ind w:left="0"/>
              <w:rPr>
                <w:rFonts w:cs="Arial"/>
                <w:sz w:val="20"/>
                <w:szCs w:val="20"/>
              </w:rPr>
            </w:pPr>
            <w:r>
              <w:rPr>
                <w:rFonts w:cs="Arial"/>
                <w:sz w:val="20"/>
                <w:szCs w:val="20"/>
              </w:rPr>
              <w:t>SETFIA stressed the importance of notifications and ensuring they are provided to SETFIA to ensure the fleet can move out of the MSS area and not waste valuable fishing time.</w:t>
            </w:r>
          </w:p>
          <w:p w14:paraId="704622F8" w14:textId="77777777" w:rsidR="00D0136E" w:rsidRDefault="00D0136E" w:rsidP="00073385">
            <w:pPr>
              <w:spacing w:before="60" w:after="60" w:line="240" w:lineRule="auto"/>
              <w:ind w:left="0"/>
              <w:rPr>
                <w:rFonts w:cs="Arial"/>
                <w:sz w:val="20"/>
                <w:szCs w:val="20"/>
              </w:rPr>
            </w:pPr>
            <w:r w:rsidRPr="00155089">
              <w:rPr>
                <w:rFonts w:cs="Arial"/>
                <w:sz w:val="20"/>
                <w:szCs w:val="20"/>
              </w:rPr>
              <w:t xml:space="preserve">November would be better timing for </w:t>
            </w:r>
            <w:r>
              <w:rPr>
                <w:rFonts w:cs="Arial"/>
                <w:sz w:val="20"/>
                <w:szCs w:val="20"/>
              </w:rPr>
              <w:t xml:space="preserve">the MSS for </w:t>
            </w:r>
            <w:r w:rsidRPr="00155089">
              <w:rPr>
                <w:rFonts w:cs="Arial"/>
                <w:sz w:val="20"/>
                <w:szCs w:val="20"/>
              </w:rPr>
              <w:t xml:space="preserve">SETFIA as they run a </w:t>
            </w:r>
            <w:r>
              <w:rPr>
                <w:rFonts w:cs="Arial"/>
                <w:sz w:val="20"/>
                <w:szCs w:val="20"/>
              </w:rPr>
              <w:t xml:space="preserve">stock </w:t>
            </w:r>
            <w:r w:rsidRPr="00155089">
              <w:rPr>
                <w:rFonts w:cs="Arial"/>
                <w:sz w:val="20"/>
                <w:szCs w:val="20"/>
              </w:rPr>
              <w:t xml:space="preserve">survey in winter. </w:t>
            </w:r>
            <w:r>
              <w:rPr>
                <w:rFonts w:cs="Arial"/>
                <w:sz w:val="20"/>
                <w:szCs w:val="20"/>
              </w:rPr>
              <w:t>(Further to this discussion, SETFIA later advised that the November timing is not preferable for most of their members.)</w:t>
            </w:r>
          </w:p>
          <w:p w14:paraId="3B84401A" w14:textId="77777777" w:rsidR="00D0136E" w:rsidRDefault="00D0136E" w:rsidP="00073385">
            <w:pPr>
              <w:spacing w:before="60" w:after="60" w:line="240" w:lineRule="auto"/>
              <w:ind w:left="0"/>
              <w:rPr>
                <w:rFonts w:cs="Arial"/>
                <w:sz w:val="20"/>
                <w:szCs w:val="20"/>
              </w:rPr>
            </w:pPr>
            <w:r>
              <w:rPr>
                <w:rFonts w:cs="Arial"/>
                <w:sz w:val="20"/>
                <w:szCs w:val="20"/>
              </w:rPr>
              <w:t>SETFIA discussed what data is captured by VFA and explained that they don’t have catch data for</w:t>
            </w:r>
            <w:r w:rsidRPr="00155089">
              <w:rPr>
                <w:rFonts w:cs="Arial"/>
                <w:sz w:val="20"/>
                <w:szCs w:val="20"/>
              </w:rPr>
              <w:t xml:space="preserve"> Commonwealth-licenced fishing operators. SETFIA could assist Ca</w:t>
            </w:r>
            <w:r>
              <w:rPr>
                <w:rFonts w:cs="Arial"/>
                <w:sz w:val="20"/>
                <w:szCs w:val="20"/>
              </w:rPr>
              <w:t>r</w:t>
            </w:r>
            <w:r w:rsidRPr="00155089">
              <w:rPr>
                <w:rFonts w:cs="Arial"/>
                <w:sz w:val="20"/>
                <w:szCs w:val="20"/>
              </w:rPr>
              <w:t xml:space="preserve">bonNet in gathering </w:t>
            </w:r>
            <w:r>
              <w:rPr>
                <w:rFonts w:cs="Arial"/>
                <w:sz w:val="20"/>
                <w:szCs w:val="20"/>
              </w:rPr>
              <w:t>data from both VFA</w:t>
            </w:r>
            <w:r w:rsidRPr="00155089">
              <w:rPr>
                <w:rFonts w:cs="Arial"/>
                <w:sz w:val="20"/>
                <w:szCs w:val="20"/>
              </w:rPr>
              <w:t xml:space="preserve"> and AFMA</w:t>
            </w:r>
            <w:r>
              <w:rPr>
                <w:rFonts w:cs="Arial"/>
                <w:sz w:val="20"/>
                <w:szCs w:val="20"/>
              </w:rPr>
              <w:t>.</w:t>
            </w:r>
          </w:p>
        </w:tc>
        <w:tc>
          <w:tcPr>
            <w:tcW w:w="3802" w:type="dxa"/>
            <w:tcBorders>
              <w:top w:val="single" w:sz="4" w:space="0" w:color="auto"/>
              <w:bottom w:val="single" w:sz="4" w:space="0" w:color="auto"/>
            </w:tcBorders>
            <w:shd w:val="clear" w:color="auto" w:fill="auto"/>
          </w:tcPr>
          <w:p w14:paraId="5B9BE6C8" w14:textId="77777777" w:rsidR="00D0136E" w:rsidRDefault="00D0136E" w:rsidP="00073385">
            <w:pPr>
              <w:spacing w:before="60" w:after="60" w:line="240" w:lineRule="auto"/>
              <w:ind w:left="0"/>
              <w:rPr>
                <w:rFonts w:cs="Arial"/>
                <w:sz w:val="20"/>
                <w:szCs w:val="20"/>
              </w:rPr>
            </w:pPr>
            <w:r>
              <w:rPr>
                <w:rFonts w:cs="Arial"/>
                <w:sz w:val="20"/>
                <w:szCs w:val="20"/>
              </w:rPr>
              <w:t>CarbonNet stated that it was confident it has all publicly available information regarding fishing effort in the proposed acquisition area, which is presented in the EP. However, to be sure that this is the case, CarbonNet commited to engaging SETFIA to deliver a report on fishing activity in the MSS area. These results are included in Section 5.X of the EP.</w:t>
            </w:r>
          </w:p>
          <w:p w14:paraId="06F16F7C" w14:textId="77777777" w:rsidR="00D0136E" w:rsidRDefault="00D0136E" w:rsidP="00073385">
            <w:pPr>
              <w:spacing w:before="60" w:after="60" w:line="240" w:lineRule="auto"/>
              <w:ind w:left="0"/>
              <w:rPr>
                <w:rFonts w:cs="Arial"/>
                <w:sz w:val="20"/>
                <w:szCs w:val="20"/>
              </w:rPr>
            </w:pPr>
          </w:p>
          <w:p w14:paraId="774E9FF1" w14:textId="77777777" w:rsidR="00D0136E" w:rsidRDefault="00D0136E" w:rsidP="00073385">
            <w:pPr>
              <w:spacing w:before="60" w:after="60" w:line="240" w:lineRule="auto"/>
              <w:ind w:left="0"/>
              <w:rPr>
                <w:rFonts w:cs="Arial"/>
                <w:sz w:val="20"/>
                <w:szCs w:val="20"/>
              </w:rPr>
            </w:pPr>
            <w:r>
              <w:rPr>
                <w:rFonts w:cs="Arial"/>
                <w:sz w:val="20"/>
                <w:szCs w:val="20"/>
              </w:rPr>
              <w:t xml:space="preserve">The exact timing of the survey is dependent on multiple factors, but CarbonNet notes SETFIA’s position. A discussion on survey timing is presented </w:t>
            </w:r>
            <w:r w:rsidRPr="00AB2E64">
              <w:rPr>
                <w:rFonts w:cs="Arial"/>
                <w:sz w:val="20"/>
                <w:szCs w:val="20"/>
              </w:rPr>
              <w:t>in Section 2.2.</w:t>
            </w:r>
            <w:r>
              <w:rPr>
                <w:rFonts w:cs="Arial"/>
                <w:sz w:val="20"/>
                <w:szCs w:val="20"/>
              </w:rPr>
              <w:t xml:space="preserve"> </w:t>
            </w:r>
          </w:p>
          <w:p w14:paraId="1E5ACDB9" w14:textId="77777777" w:rsidR="00D0136E" w:rsidRDefault="00D0136E" w:rsidP="00073385">
            <w:pPr>
              <w:spacing w:before="60" w:after="60" w:line="240" w:lineRule="auto"/>
              <w:ind w:left="0"/>
              <w:rPr>
                <w:rFonts w:cs="Arial"/>
                <w:sz w:val="20"/>
                <w:szCs w:val="20"/>
              </w:rPr>
            </w:pPr>
          </w:p>
          <w:p w14:paraId="1C92FEB6" w14:textId="77777777" w:rsidR="00D0136E" w:rsidRDefault="00D0136E" w:rsidP="00073385">
            <w:pPr>
              <w:spacing w:before="60" w:after="60" w:line="240" w:lineRule="auto"/>
              <w:ind w:left="0"/>
              <w:rPr>
                <w:rFonts w:cs="Arial"/>
                <w:sz w:val="20"/>
                <w:szCs w:val="20"/>
              </w:rPr>
            </w:pPr>
            <w:r>
              <w:rPr>
                <w:rFonts w:cs="Arial"/>
                <w:sz w:val="20"/>
                <w:szCs w:val="20"/>
              </w:rPr>
              <w:lastRenderedPageBreak/>
              <w:t xml:space="preserve">CarbonNet has commited to providing advanced notifications of the MSS to stakeholders, as stated in </w:t>
            </w:r>
            <w:r w:rsidRPr="00AB2E64">
              <w:rPr>
                <w:rFonts w:cs="Arial"/>
                <w:sz w:val="20"/>
                <w:szCs w:val="20"/>
              </w:rPr>
              <w:t>Section 8.7</w:t>
            </w:r>
            <w:r>
              <w:rPr>
                <w:rFonts w:cs="Arial"/>
                <w:sz w:val="20"/>
                <w:szCs w:val="20"/>
              </w:rPr>
              <w:t xml:space="preserve"> of the EP. CarbonNet has also agreed to engage SETFIA to provide notifications to the fleet in the lead-up to, and during, the MSS.</w:t>
            </w:r>
          </w:p>
        </w:tc>
      </w:tr>
      <w:tr w:rsidR="00A70030" w:rsidRPr="00FF0808" w14:paraId="71BA05A1" w14:textId="77777777" w:rsidTr="00891DE1">
        <w:trPr>
          <w:trHeight w:val="1000"/>
        </w:trPr>
        <w:tc>
          <w:tcPr>
            <w:tcW w:w="1427" w:type="dxa"/>
            <w:tcBorders>
              <w:top w:val="nil"/>
              <w:bottom w:val="nil"/>
            </w:tcBorders>
            <w:shd w:val="clear" w:color="auto" w:fill="auto"/>
          </w:tcPr>
          <w:p w14:paraId="612C3DC2"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94A13BD"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29E438D1" w14:textId="77777777" w:rsidR="00A70030" w:rsidRDefault="00A70030" w:rsidP="00073385">
            <w:pPr>
              <w:spacing w:before="60" w:after="60" w:line="240" w:lineRule="auto"/>
              <w:ind w:left="0"/>
              <w:rPr>
                <w:rFonts w:cs="Arial"/>
                <w:sz w:val="20"/>
                <w:szCs w:val="20"/>
              </w:rPr>
            </w:pPr>
            <w:r>
              <w:rPr>
                <w:rFonts w:cs="Arial"/>
                <w:sz w:val="20"/>
                <w:szCs w:val="20"/>
              </w:rPr>
              <w:t>2/5/17</w:t>
            </w:r>
          </w:p>
        </w:tc>
        <w:tc>
          <w:tcPr>
            <w:tcW w:w="6335" w:type="dxa"/>
            <w:tcBorders>
              <w:top w:val="single" w:sz="4" w:space="0" w:color="auto"/>
              <w:bottom w:val="single" w:sz="4" w:space="0" w:color="auto"/>
            </w:tcBorders>
            <w:shd w:val="clear" w:color="auto" w:fill="auto"/>
          </w:tcPr>
          <w:p w14:paraId="336466D8" w14:textId="77777777" w:rsidR="00A70030" w:rsidRDefault="00A70030" w:rsidP="00073385">
            <w:pPr>
              <w:spacing w:before="60" w:after="60" w:line="240" w:lineRule="auto"/>
              <w:ind w:left="0"/>
              <w:rPr>
                <w:rFonts w:cs="Arial"/>
                <w:sz w:val="20"/>
                <w:szCs w:val="20"/>
              </w:rPr>
            </w:pPr>
            <w:r>
              <w:rPr>
                <w:rFonts w:cs="Arial"/>
                <w:sz w:val="20"/>
                <w:szCs w:val="20"/>
              </w:rPr>
              <w:t xml:space="preserve">CarbonNet emailed SETFIA in follow up to the meeting, provding the following information: </w:t>
            </w:r>
          </w:p>
          <w:p w14:paraId="2DCA39CC" w14:textId="77777777" w:rsidR="00A70030" w:rsidRDefault="00A70030" w:rsidP="00073385">
            <w:pPr>
              <w:pStyle w:val="ListParagraph0"/>
              <w:numPr>
                <w:ilvl w:val="0"/>
                <w:numId w:val="451"/>
              </w:numPr>
              <w:spacing w:before="60" w:after="60" w:line="240" w:lineRule="auto"/>
              <w:rPr>
                <w:rFonts w:cs="Arial"/>
                <w:sz w:val="20"/>
                <w:szCs w:val="20"/>
              </w:rPr>
            </w:pPr>
            <w:r>
              <w:rPr>
                <w:rFonts w:cs="Arial"/>
                <w:sz w:val="20"/>
                <w:szCs w:val="20"/>
              </w:rPr>
              <w:t xml:space="preserve">CarbonNet’s presentation. </w:t>
            </w:r>
          </w:p>
          <w:p w14:paraId="42180BF8" w14:textId="77777777" w:rsidR="00A70030" w:rsidRDefault="00A70030" w:rsidP="00073385">
            <w:pPr>
              <w:pStyle w:val="ListParagraph0"/>
              <w:numPr>
                <w:ilvl w:val="0"/>
                <w:numId w:val="451"/>
              </w:numPr>
              <w:spacing w:before="60" w:after="60" w:line="240" w:lineRule="auto"/>
              <w:rPr>
                <w:rFonts w:cs="Arial"/>
                <w:sz w:val="20"/>
                <w:szCs w:val="20"/>
              </w:rPr>
            </w:pPr>
            <w:r w:rsidRPr="00155089">
              <w:rPr>
                <w:rFonts w:cs="Arial"/>
                <w:sz w:val="20"/>
                <w:szCs w:val="20"/>
              </w:rPr>
              <w:t>Geoscience Australia report: ‘Marine Seismic Survey Impacts on Fish and Invertebrates: Final Report for Gippsland Marine Environmental Monitoring Study</w:t>
            </w:r>
            <w:r>
              <w:rPr>
                <w:rFonts w:cs="Arial"/>
                <w:sz w:val="20"/>
                <w:szCs w:val="20"/>
              </w:rPr>
              <w:t>.</w:t>
            </w:r>
            <w:r w:rsidRPr="00155089">
              <w:rPr>
                <w:rFonts w:cs="Arial"/>
                <w:sz w:val="20"/>
                <w:szCs w:val="20"/>
              </w:rPr>
              <w:t xml:space="preserve">’ </w:t>
            </w:r>
          </w:p>
          <w:p w14:paraId="2F900029" w14:textId="77777777" w:rsidR="00A70030" w:rsidRDefault="00A70030" w:rsidP="00073385">
            <w:pPr>
              <w:pStyle w:val="ListParagraph0"/>
              <w:numPr>
                <w:ilvl w:val="0"/>
                <w:numId w:val="451"/>
              </w:numPr>
              <w:spacing w:before="60" w:after="60" w:line="240" w:lineRule="auto"/>
              <w:rPr>
                <w:rFonts w:cs="Arial"/>
                <w:sz w:val="20"/>
                <w:szCs w:val="20"/>
              </w:rPr>
            </w:pPr>
            <w:r>
              <w:rPr>
                <w:rFonts w:cs="Arial"/>
                <w:sz w:val="20"/>
                <w:szCs w:val="20"/>
              </w:rPr>
              <w:t>Commitment to review the list of species (Jackass Moorwong, Blue Warehou, Whiting, Flathead) provided at meeting and incorporate into EP.</w:t>
            </w:r>
          </w:p>
          <w:p w14:paraId="42630148" w14:textId="77777777" w:rsidR="00A70030" w:rsidRDefault="00A70030" w:rsidP="00073385">
            <w:pPr>
              <w:spacing w:before="60" w:after="60" w:line="240" w:lineRule="auto"/>
              <w:ind w:left="0"/>
              <w:rPr>
                <w:rFonts w:cs="Arial"/>
                <w:sz w:val="20"/>
                <w:szCs w:val="20"/>
              </w:rPr>
            </w:pPr>
            <w:r>
              <w:rPr>
                <w:rFonts w:cs="Arial"/>
                <w:sz w:val="20"/>
                <w:szCs w:val="20"/>
              </w:rPr>
              <w:t>CarbonNet requested from SETFIA:</w:t>
            </w:r>
          </w:p>
          <w:p w14:paraId="6B34FF92" w14:textId="77777777" w:rsidR="00A70030" w:rsidRDefault="00A70030" w:rsidP="00073385">
            <w:pPr>
              <w:pStyle w:val="ListParagraph0"/>
              <w:numPr>
                <w:ilvl w:val="0"/>
                <w:numId w:val="452"/>
              </w:numPr>
              <w:spacing w:before="60" w:after="60" w:line="240" w:lineRule="auto"/>
              <w:rPr>
                <w:rFonts w:cs="Arial"/>
                <w:sz w:val="20"/>
                <w:szCs w:val="20"/>
              </w:rPr>
            </w:pPr>
            <w:r>
              <w:rPr>
                <w:rFonts w:cs="Arial"/>
                <w:sz w:val="20"/>
                <w:szCs w:val="20"/>
              </w:rPr>
              <w:t>Details on any additional information that is not publicly available that SETFIA can provide.</w:t>
            </w:r>
          </w:p>
          <w:p w14:paraId="2E35BC3E" w14:textId="58173D38" w:rsidR="00A70030" w:rsidRPr="00077C5F" w:rsidRDefault="00A70030" w:rsidP="00077C5F">
            <w:pPr>
              <w:pStyle w:val="ListParagraph0"/>
              <w:numPr>
                <w:ilvl w:val="0"/>
                <w:numId w:val="452"/>
              </w:numPr>
              <w:spacing w:before="60" w:after="60" w:line="240" w:lineRule="auto"/>
              <w:rPr>
                <w:rFonts w:cs="Arial"/>
                <w:sz w:val="20"/>
                <w:szCs w:val="20"/>
              </w:rPr>
            </w:pPr>
            <w:r>
              <w:rPr>
                <w:rFonts w:cs="Arial"/>
                <w:sz w:val="20"/>
                <w:szCs w:val="20"/>
              </w:rPr>
              <w:t>Formal proposal to send notifications to the trawl fishing fleet.</w:t>
            </w:r>
          </w:p>
        </w:tc>
        <w:tc>
          <w:tcPr>
            <w:tcW w:w="3802" w:type="dxa"/>
            <w:tcBorders>
              <w:top w:val="single" w:sz="4" w:space="0" w:color="auto"/>
              <w:bottom w:val="single" w:sz="4" w:space="0" w:color="auto"/>
            </w:tcBorders>
            <w:shd w:val="clear" w:color="auto" w:fill="auto"/>
          </w:tcPr>
          <w:p w14:paraId="5E8364AC" w14:textId="77777777" w:rsidR="00A70030" w:rsidRDefault="00A70030" w:rsidP="00073385">
            <w:pPr>
              <w:spacing w:before="60" w:after="60" w:line="240" w:lineRule="auto"/>
              <w:ind w:left="0"/>
              <w:rPr>
                <w:rFonts w:cs="Arial"/>
                <w:sz w:val="20"/>
                <w:szCs w:val="20"/>
              </w:rPr>
            </w:pPr>
            <w:r>
              <w:rPr>
                <w:rFonts w:cs="Arial"/>
                <w:sz w:val="20"/>
                <w:szCs w:val="20"/>
              </w:rPr>
              <w:t xml:space="preserve">The fish species provided by SETFIA have been  described in Section 5.4 of the EP. </w:t>
            </w:r>
          </w:p>
        </w:tc>
      </w:tr>
      <w:tr w:rsidR="00A70030" w:rsidRPr="00FF0808" w14:paraId="62CD8018" w14:textId="77777777" w:rsidTr="00077C5F">
        <w:trPr>
          <w:trHeight w:val="1000"/>
        </w:trPr>
        <w:tc>
          <w:tcPr>
            <w:tcW w:w="1427" w:type="dxa"/>
            <w:tcBorders>
              <w:top w:val="nil"/>
              <w:bottom w:val="nil"/>
            </w:tcBorders>
            <w:shd w:val="clear" w:color="auto" w:fill="auto"/>
          </w:tcPr>
          <w:p w14:paraId="0876E7F4"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4AD35DC"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3F817EF" w14:textId="77777777" w:rsidR="00A70030" w:rsidRDefault="00A70030" w:rsidP="00073385">
            <w:pPr>
              <w:spacing w:before="60" w:after="60" w:line="240" w:lineRule="auto"/>
              <w:ind w:left="0"/>
              <w:rPr>
                <w:rFonts w:cs="Arial"/>
                <w:sz w:val="20"/>
                <w:szCs w:val="20"/>
              </w:rPr>
            </w:pPr>
            <w:r>
              <w:rPr>
                <w:rFonts w:cs="Arial"/>
                <w:sz w:val="20"/>
                <w:szCs w:val="20"/>
              </w:rPr>
              <w:t>11/5/17</w:t>
            </w:r>
          </w:p>
        </w:tc>
        <w:tc>
          <w:tcPr>
            <w:tcW w:w="6335" w:type="dxa"/>
            <w:tcBorders>
              <w:top w:val="single" w:sz="4" w:space="0" w:color="auto"/>
              <w:bottom w:val="single" w:sz="4" w:space="0" w:color="auto"/>
            </w:tcBorders>
            <w:shd w:val="clear" w:color="auto" w:fill="auto"/>
          </w:tcPr>
          <w:p w14:paraId="2FBAEB97" w14:textId="77777777" w:rsidR="00A70030" w:rsidRDefault="00A70030" w:rsidP="00073385">
            <w:pPr>
              <w:spacing w:before="60" w:after="60" w:line="240" w:lineRule="auto"/>
              <w:ind w:left="0"/>
              <w:rPr>
                <w:rFonts w:cs="Arial"/>
                <w:sz w:val="20"/>
                <w:szCs w:val="20"/>
              </w:rPr>
            </w:pPr>
            <w:r>
              <w:rPr>
                <w:rFonts w:cs="Arial"/>
                <w:sz w:val="20"/>
                <w:szCs w:val="20"/>
              </w:rPr>
              <w:t>CarbonNet emailed SETFIA with:</w:t>
            </w:r>
          </w:p>
          <w:p w14:paraId="30ECC970" w14:textId="77777777" w:rsidR="00A70030" w:rsidRDefault="00A70030" w:rsidP="00073385">
            <w:pPr>
              <w:pStyle w:val="ListParagraph0"/>
              <w:numPr>
                <w:ilvl w:val="0"/>
                <w:numId w:val="453"/>
              </w:numPr>
              <w:spacing w:before="60" w:after="60" w:line="240" w:lineRule="auto"/>
              <w:rPr>
                <w:rFonts w:cs="Arial"/>
                <w:sz w:val="20"/>
                <w:szCs w:val="20"/>
              </w:rPr>
            </w:pPr>
            <w:r>
              <w:rPr>
                <w:rFonts w:cs="Arial"/>
                <w:sz w:val="20"/>
                <w:szCs w:val="20"/>
              </w:rPr>
              <w:t>Summary of field observations and map.</w:t>
            </w:r>
          </w:p>
          <w:p w14:paraId="06F88F67" w14:textId="77777777" w:rsidR="00A70030" w:rsidRDefault="00A70030" w:rsidP="00073385">
            <w:pPr>
              <w:pStyle w:val="ListParagraph0"/>
              <w:numPr>
                <w:ilvl w:val="0"/>
                <w:numId w:val="453"/>
              </w:numPr>
              <w:spacing w:before="60" w:after="60" w:line="240" w:lineRule="auto"/>
              <w:rPr>
                <w:rFonts w:cs="Arial"/>
                <w:sz w:val="20"/>
                <w:szCs w:val="20"/>
              </w:rPr>
            </w:pPr>
            <w:r>
              <w:rPr>
                <w:rFonts w:cs="Arial"/>
                <w:sz w:val="20"/>
                <w:szCs w:val="20"/>
              </w:rPr>
              <w:t>Request to confirm which groups represent which stakeholders.</w:t>
            </w:r>
          </w:p>
          <w:p w14:paraId="4EE69013" w14:textId="11BCFBF9" w:rsidR="00A70030" w:rsidRPr="00077C5F" w:rsidRDefault="00A70030" w:rsidP="00077C5F">
            <w:pPr>
              <w:pStyle w:val="ListParagraph0"/>
              <w:numPr>
                <w:ilvl w:val="0"/>
                <w:numId w:val="453"/>
              </w:numPr>
              <w:spacing w:before="60" w:after="60" w:line="240" w:lineRule="auto"/>
              <w:rPr>
                <w:rFonts w:cs="Arial"/>
                <w:sz w:val="20"/>
                <w:szCs w:val="20"/>
              </w:rPr>
            </w:pPr>
            <w:r>
              <w:rPr>
                <w:rFonts w:cs="Arial"/>
                <w:sz w:val="20"/>
                <w:szCs w:val="20"/>
              </w:rPr>
              <w:t>Request for any information SETFIA can provide to inform the assessment process.</w:t>
            </w:r>
          </w:p>
        </w:tc>
        <w:tc>
          <w:tcPr>
            <w:tcW w:w="3802" w:type="dxa"/>
            <w:tcBorders>
              <w:top w:val="single" w:sz="4" w:space="0" w:color="auto"/>
              <w:bottom w:val="single" w:sz="4" w:space="0" w:color="auto"/>
            </w:tcBorders>
            <w:shd w:val="clear" w:color="auto" w:fill="auto"/>
          </w:tcPr>
          <w:p w14:paraId="7E3217F1"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526AA1E" w14:textId="77777777" w:rsidTr="00077C5F">
        <w:trPr>
          <w:trHeight w:val="410"/>
        </w:trPr>
        <w:tc>
          <w:tcPr>
            <w:tcW w:w="1427" w:type="dxa"/>
            <w:tcBorders>
              <w:top w:val="nil"/>
              <w:bottom w:val="nil"/>
            </w:tcBorders>
            <w:shd w:val="clear" w:color="auto" w:fill="auto"/>
          </w:tcPr>
          <w:p w14:paraId="00B80931"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F454291"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F177D23" w14:textId="77777777" w:rsidR="00A70030" w:rsidRDefault="00A70030" w:rsidP="00073385">
            <w:pPr>
              <w:spacing w:before="60" w:after="60" w:line="240" w:lineRule="auto"/>
              <w:ind w:left="0"/>
              <w:rPr>
                <w:rFonts w:cs="Arial"/>
                <w:sz w:val="20"/>
                <w:szCs w:val="20"/>
              </w:rPr>
            </w:pPr>
            <w:r>
              <w:rPr>
                <w:rFonts w:cs="Arial"/>
                <w:sz w:val="20"/>
                <w:szCs w:val="20"/>
              </w:rPr>
              <w:t>17/5/17</w:t>
            </w:r>
          </w:p>
        </w:tc>
        <w:tc>
          <w:tcPr>
            <w:tcW w:w="6335" w:type="dxa"/>
            <w:tcBorders>
              <w:top w:val="single" w:sz="4" w:space="0" w:color="auto"/>
              <w:bottom w:val="single" w:sz="4" w:space="0" w:color="auto"/>
            </w:tcBorders>
            <w:shd w:val="clear" w:color="auto" w:fill="auto"/>
          </w:tcPr>
          <w:p w14:paraId="13285922" w14:textId="77777777" w:rsidR="00A70030" w:rsidRDefault="00A70030" w:rsidP="00073385">
            <w:pPr>
              <w:spacing w:before="60" w:after="60" w:line="240" w:lineRule="auto"/>
              <w:ind w:left="0"/>
              <w:rPr>
                <w:rFonts w:cs="Arial"/>
                <w:sz w:val="20"/>
                <w:szCs w:val="20"/>
              </w:rPr>
            </w:pPr>
            <w:r>
              <w:rPr>
                <w:rFonts w:cs="Arial"/>
                <w:sz w:val="20"/>
                <w:szCs w:val="20"/>
              </w:rPr>
              <w:t xml:space="preserve">CarbonNet spoke to SETFIA to follow up emails and offer another meeting. SETFIA </w:t>
            </w:r>
            <w:r w:rsidRPr="009E2ABC">
              <w:rPr>
                <w:rFonts w:cs="Arial"/>
                <w:sz w:val="20"/>
                <w:szCs w:val="20"/>
              </w:rPr>
              <w:t xml:space="preserve">is concerned that </w:t>
            </w:r>
            <w:r>
              <w:rPr>
                <w:rFonts w:cs="Arial"/>
                <w:sz w:val="20"/>
                <w:szCs w:val="20"/>
              </w:rPr>
              <w:t xml:space="preserve">CarbonNet doesn’t </w:t>
            </w:r>
            <w:r w:rsidRPr="009E2ABC">
              <w:rPr>
                <w:rFonts w:cs="Arial"/>
                <w:sz w:val="20"/>
                <w:szCs w:val="20"/>
              </w:rPr>
              <w:t>have enough</w:t>
            </w:r>
            <w:r>
              <w:rPr>
                <w:rFonts w:cs="Arial"/>
                <w:sz w:val="20"/>
                <w:szCs w:val="20"/>
              </w:rPr>
              <w:t xml:space="preserve"> fishing catch</w:t>
            </w:r>
            <w:r w:rsidRPr="009E2ABC">
              <w:rPr>
                <w:rFonts w:cs="Arial"/>
                <w:sz w:val="20"/>
                <w:szCs w:val="20"/>
              </w:rPr>
              <w:t xml:space="preserve"> data </w:t>
            </w:r>
            <w:r>
              <w:rPr>
                <w:rFonts w:cs="Arial"/>
                <w:sz w:val="20"/>
                <w:szCs w:val="20"/>
              </w:rPr>
              <w:t xml:space="preserve">for </w:t>
            </w:r>
            <w:r w:rsidRPr="009E2ABC">
              <w:rPr>
                <w:rFonts w:cs="Arial"/>
                <w:sz w:val="20"/>
                <w:szCs w:val="20"/>
              </w:rPr>
              <w:t xml:space="preserve">the Commonwealth-managed fisheries, and that </w:t>
            </w:r>
            <w:r>
              <w:rPr>
                <w:rFonts w:cs="Arial"/>
                <w:sz w:val="20"/>
                <w:szCs w:val="20"/>
              </w:rPr>
              <w:t xml:space="preserve">CarbonNet is </w:t>
            </w:r>
            <w:r w:rsidRPr="009E2ABC">
              <w:rPr>
                <w:rFonts w:cs="Arial"/>
                <w:sz w:val="20"/>
                <w:szCs w:val="20"/>
              </w:rPr>
              <w:t xml:space="preserve">aiming to submit an EP 30 days after commencing consultation.  </w:t>
            </w:r>
          </w:p>
          <w:p w14:paraId="0DF02C08" w14:textId="77777777" w:rsidR="00A70030" w:rsidRPr="009E2ABC" w:rsidRDefault="00A70030" w:rsidP="00073385">
            <w:pPr>
              <w:spacing w:before="60" w:after="60" w:line="240" w:lineRule="auto"/>
              <w:ind w:left="0"/>
              <w:rPr>
                <w:rFonts w:cs="Arial"/>
                <w:sz w:val="20"/>
                <w:szCs w:val="20"/>
              </w:rPr>
            </w:pPr>
          </w:p>
          <w:p w14:paraId="51D5F35A" w14:textId="77777777" w:rsidR="00A70030" w:rsidRDefault="00A70030" w:rsidP="00073385">
            <w:pPr>
              <w:spacing w:before="60" w:after="60" w:line="240" w:lineRule="auto"/>
              <w:ind w:left="0"/>
              <w:rPr>
                <w:rFonts w:cs="Arial"/>
                <w:sz w:val="20"/>
                <w:szCs w:val="20"/>
              </w:rPr>
            </w:pPr>
            <w:r w:rsidRPr="009E2ABC">
              <w:rPr>
                <w:rFonts w:cs="Arial"/>
                <w:sz w:val="20"/>
                <w:szCs w:val="20"/>
              </w:rPr>
              <w:t xml:space="preserve">Discussed SETFIA offer to put in data request to AFMA.  If there is no/low catch effort in the MSS area, </w:t>
            </w:r>
            <w:r>
              <w:rPr>
                <w:rFonts w:cs="Arial"/>
                <w:sz w:val="20"/>
                <w:szCs w:val="20"/>
              </w:rPr>
              <w:t>SETFIA</w:t>
            </w:r>
            <w:r w:rsidRPr="009E2ABC">
              <w:rPr>
                <w:rFonts w:cs="Arial"/>
                <w:sz w:val="20"/>
                <w:szCs w:val="20"/>
              </w:rPr>
              <w:t xml:space="preserve"> will step back and won't </w:t>
            </w:r>
            <w:r w:rsidRPr="009E2ABC">
              <w:rPr>
                <w:rFonts w:cs="Arial"/>
                <w:sz w:val="20"/>
                <w:szCs w:val="20"/>
              </w:rPr>
              <w:lastRenderedPageBreak/>
              <w:t>need to be involved in further consultation.</w:t>
            </w:r>
          </w:p>
          <w:p w14:paraId="17E5ADFC" w14:textId="77777777" w:rsidR="00A70030" w:rsidRDefault="00A70030" w:rsidP="00073385">
            <w:pPr>
              <w:spacing w:before="60" w:after="60" w:line="240" w:lineRule="auto"/>
              <w:ind w:left="0"/>
              <w:rPr>
                <w:rFonts w:cs="Arial"/>
                <w:sz w:val="20"/>
                <w:szCs w:val="20"/>
              </w:rPr>
            </w:pPr>
          </w:p>
          <w:p w14:paraId="61505617" w14:textId="77777777" w:rsidR="00A70030" w:rsidRDefault="00A70030" w:rsidP="00073385">
            <w:pPr>
              <w:spacing w:before="60" w:after="60" w:line="240" w:lineRule="auto"/>
              <w:ind w:left="0"/>
              <w:rPr>
                <w:rFonts w:cs="Arial"/>
                <w:sz w:val="20"/>
                <w:szCs w:val="20"/>
              </w:rPr>
            </w:pPr>
            <w:r>
              <w:rPr>
                <w:rFonts w:cs="Arial"/>
                <w:sz w:val="20"/>
                <w:szCs w:val="20"/>
              </w:rPr>
              <w:t>CarbonNet:</w:t>
            </w:r>
          </w:p>
          <w:p w14:paraId="62039D60" w14:textId="77777777" w:rsidR="00A70030" w:rsidRDefault="00A70030" w:rsidP="00073385">
            <w:pPr>
              <w:pStyle w:val="ListParagraph0"/>
              <w:numPr>
                <w:ilvl w:val="0"/>
                <w:numId w:val="454"/>
              </w:numPr>
              <w:spacing w:before="60" w:after="60" w:line="240" w:lineRule="auto"/>
              <w:rPr>
                <w:rFonts w:cs="Arial"/>
                <w:sz w:val="20"/>
                <w:szCs w:val="20"/>
              </w:rPr>
            </w:pPr>
            <w:r>
              <w:rPr>
                <w:rFonts w:cs="Arial"/>
                <w:sz w:val="20"/>
                <w:szCs w:val="20"/>
              </w:rPr>
              <w:t>Requested a formal proposal for data report.</w:t>
            </w:r>
          </w:p>
          <w:p w14:paraId="3FB950BB" w14:textId="77777777" w:rsidR="00A70030" w:rsidRDefault="00A70030" w:rsidP="00073385">
            <w:pPr>
              <w:pStyle w:val="ListParagraph0"/>
              <w:numPr>
                <w:ilvl w:val="0"/>
                <w:numId w:val="454"/>
              </w:numPr>
              <w:spacing w:before="60" w:after="60" w:line="240" w:lineRule="auto"/>
              <w:rPr>
                <w:rFonts w:cs="Arial"/>
                <w:sz w:val="20"/>
                <w:szCs w:val="20"/>
              </w:rPr>
            </w:pPr>
            <w:r>
              <w:rPr>
                <w:rFonts w:cs="Arial"/>
                <w:sz w:val="20"/>
                <w:szCs w:val="20"/>
              </w:rPr>
              <w:t>Requested a formal proposal to send notifications to the fleet.</w:t>
            </w:r>
          </w:p>
          <w:p w14:paraId="435ADC24" w14:textId="77777777" w:rsidR="00A70030" w:rsidRDefault="00A70030" w:rsidP="00073385">
            <w:pPr>
              <w:pStyle w:val="ListParagraph0"/>
              <w:numPr>
                <w:ilvl w:val="0"/>
                <w:numId w:val="454"/>
              </w:numPr>
              <w:spacing w:before="60" w:after="60" w:line="240" w:lineRule="auto"/>
              <w:rPr>
                <w:rFonts w:cs="Arial"/>
                <w:sz w:val="20"/>
                <w:szCs w:val="20"/>
              </w:rPr>
            </w:pPr>
            <w:r>
              <w:rPr>
                <w:rFonts w:cs="Arial"/>
                <w:sz w:val="20"/>
                <w:szCs w:val="20"/>
              </w:rPr>
              <w:t>Confirmed that SETFIA does not object to holding joint meetings with SIV and LEFCOL (as proposed by SIV).</w:t>
            </w:r>
          </w:p>
          <w:p w14:paraId="41E99DFB" w14:textId="3D67179B" w:rsidR="00A70030" w:rsidRPr="00077C5F" w:rsidRDefault="00A70030" w:rsidP="00077C5F">
            <w:pPr>
              <w:pStyle w:val="ListParagraph0"/>
              <w:numPr>
                <w:ilvl w:val="0"/>
                <w:numId w:val="454"/>
              </w:numPr>
              <w:spacing w:before="60" w:after="60" w:line="240" w:lineRule="auto"/>
              <w:rPr>
                <w:rFonts w:cs="Arial"/>
                <w:sz w:val="20"/>
                <w:szCs w:val="20"/>
              </w:rPr>
            </w:pPr>
            <w:r>
              <w:rPr>
                <w:rFonts w:cs="Arial"/>
                <w:sz w:val="20"/>
                <w:szCs w:val="20"/>
              </w:rPr>
              <w:t>Will schedule a meeting to discuss proposals if required.</w:t>
            </w:r>
          </w:p>
        </w:tc>
        <w:tc>
          <w:tcPr>
            <w:tcW w:w="3802" w:type="dxa"/>
            <w:tcBorders>
              <w:top w:val="single" w:sz="4" w:space="0" w:color="auto"/>
              <w:bottom w:val="single" w:sz="4" w:space="0" w:color="auto"/>
            </w:tcBorders>
            <w:shd w:val="clear" w:color="auto" w:fill="auto"/>
          </w:tcPr>
          <w:p w14:paraId="3A5E8558" w14:textId="77777777" w:rsidR="00A70030" w:rsidRDefault="00A70030" w:rsidP="00073385">
            <w:pPr>
              <w:spacing w:before="60" w:after="60" w:line="240" w:lineRule="auto"/>
              <w:ind w:left="0"/>
              <w:rPr>
                <w:rFonts w:cs="Arial"/>
                <w:sz w:val="20"/>
                <w:szCs w:val="20"/>
              </w:rPr>
            </w:pPr>
            <w:r>
              <w:rPr>
                <w:rFonts w:cs="Arial"/>
                <w:sz w:val="20"/>
                <w:szCs w:val="20"/>
              </w:rPr>
              <w:lastRenderedPageBreak/>
              <w:t>CarbonNet commenced formal stakeholder consultation for the MSS in March 2017 and indicated an intention to submit the EP imminently.</w:t>
            </w:r>
          </w:p>
          <w:p w14:paraId="572E4EAB" w14:textId="77777777" w:rsidR="00A70030" w:rsidRDefault="00A70030" w:rsidP="00073385">
            <w:pPr>
              <w:spacing w:before="60" w:after="60" w:line="240" w:lineRule="auto"/>
              <w:ind w:left="0"/>
              <w:rPr>
                <w:rFonts w:cs="Arial"/>
                <w:sz w:val="20"/>
                <w:szCs w:val="20"/>
              </w:rPr>
            </w:pPr>
          </w:p>
          <w:p w14:paraId="268CDDD3" w14:textId="77777777" w:rsidR="00A70030" w:rsidRDefault="00A70030" w:rsidP="00073385">
            <w:pPr>
              <w:spacing w:before="60" w:after="60" w:line="240" w:lineRule="auto"/>
              <w:ind w:left="0"/>
              <w:rPr>
                <w:rFonts w:cs="Arial"/>
                <w:sz w:val="20"/>
                <w:szCs w:val="20"/>
              </w:rPr>
            </w:pPr>
            <w:r>
              <w:rPr>
                <w:rFonts w:cs="Arial"/>
                <w:sz w:val="20"/>
                <w:szCs w:val="20"/>
              </w:rPr>
              <w:t>However CarbonNet advised that it is committed to engaging with stakeholders and is continuing to do so.</w:t>
            </w:r>
          </w:p>
        </w:tc>
      </w:tr>
      <w:tr w:rsidR="00A70030" w:rsidRPr="00FF0808" w14:paraId="41EC29A6" w14:textId="77777777" w:rsidTr="00077C5F">
        <w:trPr>
          <w:trHeight w:val="1000"/>
        </w:trPr>
        <w:tc>
          <w:tcPr>
            <w:tcW w:w="1427" w:type="dxa"/>
            <w:tcBorders>
              <w:top w:val="nil"/>
              <w:bottom w:val="nil"/>
            </w:tcBorders>
            <w:shd w:val="clear" w:color="auto" w:fill="auto"/>
          </w:tcPr>
          <w:p w14:paraId="3758F8CC"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B4D70EA"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4F1B3CD" w14:textId="77777777" w:rsidR="00A70030" w:rsidRDefault="00A70030" w:rsidP="00073385">
            <w:pPr>
              <w:spacing w:before="60" w:after="60" w:line="240" w:lineRule="auto"/>
              <w:ind w:left="0"/>
              <w:rPr>
                <w:rFonts w:cs="Arial"/>
                <w:sz w:val="20"/>
                <w:szCs w:val="20"/>
              </w:rPr>
            </w:pPr>
            <w:r>
              <w:rPr>
                <w:rFonts w:cs="Arial"/>
                <w:sz w:val="20"/>
                <w:szCs w:val="20"/>
              </w:rPr>
              <w:t>22/5/17</w:t>
            </w:r>
          </w:p>
        </w:tc>
        <w:tc>
          <w:tcPr>
            <w:tcW w:w="6335" w:type="dxa"/>
            <w:tcBorders>
              <w:top w:val="single" w:sz="4" w:space="0" w:color="auto"/>
              <w:bottom w:val="single" w:sz="4" w:space="0" w:color="auto"/>
            </w:tcBorders>
            <w:shd w:val="clear" w:color="auto" w:fill="auto"/>
          </w:tcPr>
          <w:p w14:paraId="5D5813D8" w14:textId="3040DCFC" w:rsidR="00A70030" w:rsidRDefault="00A70030" w:rsidP="00073385">
            <w:pPr>
              <w:spacing w:before="60" w:after="60" w:line="240" w:lineRule="auto"/>
              <w:ind w:left="0"/>
              <w:rPr>
                <w:rFonts w:cs="Arial"/>
                <w:sz w:val="20"/>
                <w:szCs w:val="20"/>
              </w:rPr>
            </w:pPr>
            <w:r>
              <w:rPr>
                <w:rFonts w:cs="Arial"/>
                <w:sz w:val="20"/>
                <w:szCs w:val="20"/>
              </w:rPr>
              <w:t>CarbonNet sent an email to SETFIA to check on progress with the formal proposals.</w:t>
            </w:r>
          </w:p>
          <w:p w14:paraId="16FE1D5D" w14:textId="77777777" w:rsidR="00A70030" w:rsidRDefault="00A70030" w:rsidP="00073385">
            <w:pPr>
              <w:spacing w:before="60" w:after="60" w:line="240" w:lineRule="auto"/>
              <w:ind w:left="0"/>
              <w:rPr>
                <w:rFonts w:cs="Arial"/>
                <w:sz w:val="20"/>
                <w:szCs w:val="20"/>
              </w:rPr>
            </w:pPr>
            <w:r>
              <w:rPr>
                <w:rFonts w:cs="Arial"/>
                <w:sz w:val="20"/>
                <w:szCs w:val="20"/>
              </w:rPr>
              <w:t>CarbonNet received a proposal from SETFIA covering:</w:t>
            </w:r>
          </w:p>
          <w:p w14:paraId="2DB92EBC" w14:textId="77777777" w:rsidR="00A70030" w:rsidRDefault="00A70030" w:rsidP="00073385">
            <w:pPr>
              <w:pStyle w:val="ListParagraph0"/>
              <w:numPr>
                <w:ilvl w:val="0"/>
                <w:numId w:val="455"/>
              </w:numPr>
              <w:spacing w:before="60" w:after="60" w:line="240" w:lineRule="auto"/>
              <w:rPr>
                <w:rFonts w:cs="Arial"/>
                <w:sz w:val="20"/>
                <w:szCs w:val="20"/>
              </w:rPr>
            </w:pPr>
            <w:r>
              <w:rPr>
                <w:rFonts w:cs="Arial"/>
                <w:sz w:val="20"/>
                <w:szCs w:val="20"/>
              </w:rPr>
              <w:t>The preparation of a fishing data report for MSS area.</w:t>
            </w:r>
          </w:p>
          <w:p w14:paraId="7DF66ADE" w14:textId="71F30EDE" w:rsidR="00A70030" w:rsidRPr="00077C5F" w:rsidRDefault="00A70030" w:rsidP="00077C5F">
            <w:pPr>
              <w:pStyle w:val="ListParagraph0"/>
              <w:numPr>
                <w:ilvl w:val="0"/>
                <w:numId w:val="455"/>
              </w:numPr>
              <w:spacing w:before="60" w:after="60" w:line="240" w:lineRule="auto"/>
              <w:rPr>
                <w:rFonts w:cs="Arial"/>
                <w:sz w:val="20"/>
                <w:szCs w:val="20"/>
              </w:rPr>
            </w:pPr>
            <w:r>
              <w:rPr>
                <w:rFonts w:cs="Arial"/>
                <w:sz w:val="20"/>
                <w:szCs w:val="20"/>
              </w:rPr>
              <w:t>Notifications to be sent to trawl fleet during MSS.</w:t>
            </w:r>
          </w:p>
        </w:tc>
        <w:tc>
          <w:tcPr>
            <w:tcW w:w="3802" w:type="dxa"/>
            <w:tcBorders>
              <w:top w:val="single" w:sz="4" w:space="0" w:color="auto"/>
              <w:bottom w:val="single" w:sz="4" w:space="0" w:color="auto"/>
            </w:tcBorders>
            <w:shd w:val="clear" w:color="auto" w:fill="auto"/>
          </w:tcPr>
          <w:p w14:paraId="716EC799"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607B8794" w14:textId="77777777" w:rsidTr="00077C5F">
        <w:trPr>
          <w:trHeight w:val="832"/>
        </w:trPr>
        <w:tc>
          <w:tcPr>
            <w:tcW w:w="1427" w:type="dxa"/>
            <w:tcBorders>
              <w:top w:val="nil"/>
              <w:bottom w:val="nil"/>
            </w:tcBorders>
            <w:shd w:val="clear" w:color="auto" w:fill="auto"/>
          </w:tcPr>
          <w:p w14:paraId="1C06A2E5"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5A3D9A6"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9E18075" w14:textId="77777777" w:rsidR="00A70030" w:rsidRDefault="00A70030" w:rsidP="00073385">
            <w:pPr>
              <w:spacing w:before="60" w:after="60" w:line="240" w:lineRule="auto"/>
              <w:ind w:left="0"/>
              <w:rPr>
                <w:rFonts w:cs="Arial"/>
                <w:sz w:val="20"/>
                <w:szCs w:val="20"/>
              </w:rPr>
            </w:pPr>
            <w:r>
              <w:rPr>
                <w:rFonts w:cs="Arial"/>
                <w:sz w:val="20"/>
                <w:szCs w:val="20"/>
              </w:rPr>
              <w:t>26/5/17</w:t>
            </w:r>
          </w:p>
        </w:tc>
        <w:tc>
          <w:tcPr>
            <w:tcW w:w="6335" w:type="dxa"/>
            <w:tcBorders>
              <w:top w:val="single" w:sz="4" w:space="0" w:color="auto"/>
              <w:bottom w:val="single" w:sz="4" w:space="0" w:color="auto"/>
            </w:tcBorders>
            <w:shd w:val="clear" w:color="auto" w:fill="auto"/>
          </w:tcPr>
          <w:p w14:paraId="1B09E977" w14:textId="77777777" w:rsidR="00A70030" w:rsidRDefault="00A70030" w:rsidP="00073385">
            <w:pPr>
              <w:spacing w:before="60" w:after="60" w:line="240" w:lineRule="auto"/>
              <w:ind w:left="0"/>
              <w:rPr>
                <w:rFonts w:cs="Arial"/>
                <w:sz w:val="20"/>
                <w:szCs w:val="20"/>
              </w:rPr>
            </w:pPr>
            <w:r>
              <w:rPr>
                <w:rFonts w:cs="Arial"/>
                <w:sz w:val="20"/>
                <w:szCs w:val="20"/>
              </w:rPr>
              <w:t>CarbonNet s</w:t>
            </w:r>
            <w:r w:rsidRPr="000C547B">
              <w:rPr>
                <w:rFonts w:cs="Arial"/>
                <w:sz w:val="20"/>
                <w:szCs w:val="20"/>
              </w:rPr>
              <w:t xml:space="preserve">poke to </w:t>
            </w:r>
            <w:r>
              <w:rPr>
                <w:rFonts w:cs="Arial"/>
                <w:sz w:val="20"/>
                <w:szCs w:val="20"/>
              </w:rPr>
              <w:t>SETFIA</w:t>
            </w:r>
            <w:r w:rsidRPr="000C547B">
              <w:rPr>
                <w:rFonts w:cs="Arial"/>
                <w:sz w:val="20"/>
                <w:szCs w:val="20"/>
              </w:rPr>
              <w:t xml:space="preserve"> to confirm that any data </w:t>
            </w:r>
            <w:r>
              <w:rPr>
                <w:rFonts w:cs="Arial"/>
                <w:sz w:val="20"/>
                <w:szCs w:val="20"/>
              </w:rPr>
              <w:t xml:space="preserve">they </w:t>
            </w:r>
            <w:r w:rsidRPr="000C547B">
              <w:rPr>
                <w:rFonts w:cs="Arial"/>
                <w:sz w:val="20"/>
                <w:szCs w:val="20"/>
              </w:rPr>
              <w:t xml:space="preserve">may access under terms of proposal provided to </w:t>
            </w:r>
            <w:r>
              <w:rPr>
                <w:rFonts w:cs="Arial"/>
                <w:sz w:val="20"/>
                <w:szCs w:val="20"/>
              </w:rPr>
              <w:t>CarbonNet</w:t>
            </w:r>
            <w:r w:rsidRPr="000C547B">
              <w:rPr>
                <w:rFonts w:cs="Arial"/>
                <w:sz w:val="20"/>
                <w:szCs w:val="20"/>
              </w:rPr>
              <w:t xml:space="preserve"> would be legal and accessed in an appropriate manner.</w:t>
            </w:r>
          </w:p>
        </w:tc>
        <w:tc>
          <w:tcPr>
            <w:tcW w:w="3802" w:type="dxa"/>
            <w:tcBorders>
              <w:top w:val="single" w:sz="4" w:space="0" w:color="auto"/>
              <w:bottom w:val="single" w:sz="4" w:space="0" w:color="auto"/>
            </w:tcBorders>
            <w:shd w:val="clear" w:color="auto" w:fill="auto"/>
          </w:tcPr>
          <w:p w14:paraId="664E2F5A"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2AEFAD0" w14:textId="77777777" w:rsidTr="00077C5F">
        <w:trPr>
          <w:trHeight w:val="804"/>
        </w:trPr>
        <w:tc>
          <w:tcPr>
            <w:tcW w:w="1427" w:type="dxa"/>
            <w:tcBorders>
              <w:top w:val="nil"/>
              <w:bottom w:val="nil"/>
            </w:tcBorders>
            <w:shd w:val="clear" w:color="auto" w:fill="auto"/>
          </w:tcPr>
          <w:p w14:paraId="7E0D2A94"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A276C98"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57DF496" w14:textId="77777777" w:rsidR="00A70030" w:rsidRDefault="00A70030" w:rsidP="00073385">
            <w:pPr>
              <w:spacing w:before="60" w:after="60" w:line="240" w:lineRule="auto"/>
              <w:ind w:left="0"/>
              <w:rPr>
                <w:rFonts w:cs="Arial"/>
                <w:sz w:val="20"/>
                <w:szCs w:val="20"/>
              </w:rPr>
            </w:pPr>
            <w:r>
              <w:rPr>
                <w:rFonts w:cs="Arial"/>
                <w:sz w:val="20"/>
                <w:szCs w:val="20"/>
              </w:rPr>
              <w:t>1/6/17</w:t>
            </w:r>
          </w:p>
        </w:tc>
        <w:tc>
          <w:tcPr>
            <w:tcW w:w="6335" w:type="dxa"/>
            <w:tcBorders>
              <w:top w:val="single" w:sz="4" w:space="0" w:color="auto"/>
              <w:bottom w:val="single" w:sz="4" w:space="0" w:color="auto"/>
            </w:tcBorders>
            <w:shd w:val="clear" w:color="auto" w:fill="auto"/>
          </w:tcPr>
          <w:p w14:paraId="3D6A1252" w14:textId="6275F580" w:rsidR="00A70030" w:rsidRDefault="00A70030" w:rsidP="00073385">
            <w:pPr>
              <w:spacing w:before="60" w:after="60" w:line="240" w:lineRule="auto"/>
              <w:ind w:left="0"/>
              <w:rPr>
                <w:rFonts w:cs="Arial"/>
                <w:sz w:val="20"/>
                <w:szCs w:val="20"/>
              </w:rPr>
            </w:pPr>
            <w:r>
              <w:rPr>
                <w:rFonts w:cs="Arial"/>
                <w:sz w:val="20"/>
                <w:szCs w:val="20"/>
              </w:rPr>
              <w:t>CarbonNet received an amended proposal from SETFIA for preparing a reporting detailing fishing effort in the proposed survey area.</w:t>
            </w:r>
          </w:p>
        </w:tc>
        <w:tc>
          <w:tcPr>
            <w:tcW w:w="3802" w:type="dxa"/>
            <w:tcBorders>
              <w:top w:val="single" w:sz="4" w:space="0" w:color="auto"/>
              <w:bottom w:val="single" w:sz="4" w:space="0" w:color="auto"/>
            </w:tcBorders>
            <w:shd w:val="clear" w:color="auto" w:fill="auto"/>
          </w:tcPr>
          <w:p w14:paraId="294DA490" w14:textId="77777777" w:rsidR="00A70030" w:rsidRDefault="00A70030" w:rsidP="00073385">
            <w:pPr>
              <w:spacing w:before="60" w:after="60" w:line="240" w:lineRule="auto"/>
              <w:ind w:left="0"/>
              <w:rPr>
                <w:rFonts w:cs="Arial"/>
                <w:sz w:val="20"/>
                <w:szCs w:val="20"/>
              </w:rPr>
            </w:pPr>
            <w:r>
              <w:rPr>
                <w:rFonts w:cs="Arial"/>
                <w:sz w:val="20"/>
                <w:szCs w:val="20"/>
              </w:rPr>
              <w:t>CarbonNet accepted this proposal and issued paperwork to commence work.</w:t>
            </w:r>
          </w:p>
        </w:tc>
      </w:tr>
      <w:tr w:rsidR="00A70030" w:rsidRPr="00FF0808" w14:paraId="54FB5EEB" w14:textId="77777777" w:rsidTr="00077C5F">
        <w:trPr>
          <w:trHeight w:val="1000"/>
        </w:trPr>
        <w:tc>
          <w:tcPr>
            <w:tcW w:w="1427" w:type="dxa"/>
            <w:tcBorders>
              <w:top w:val="nil"/>
              <w:bottom w:val="nil"/>
            </w:tcBorders>
            <w:shd w:val="clear" w:color="auto" w:fill="auto"/>
          </w:tcPr>
          <w:p w14:paraId="2DD8B084"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CF87F35"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4350A7E" w14:textId="77777777" w:rsidR="00A70030" w:rsidRDefault="00A70030" w:rsidP="00073385">
            <w:pPr>
              <w:spacing w:before="60" w:after="60" w:line="240" w:lineRule="auto"/>
              <w:ind w:left="0"/>
              <w:rPr>
                <w:rFonts w:cs="Arial"/>
                <w:sz w:val="20"/>
                <w:szCs w:val="20"/>
              </w:rPr>
            </w:pPr>
            <w:r>
              <w:rPr>
                <w:rFonts w:cs="Arial"/>
                <w:sz w:val="20"/>
                <w:szCs w:val="20"/>
              </w:rPr>
              <w:t>27/6/17</w:t>
            </w:r>
          </w:p>
        </w:tc>
        <w:tc>
          <w:tcPr>
            <w:tcW w:w="6335" w:type="dxa"/>
            <w:tcBorders>
              <w:top w:val="single" w:sz="4" w:space="0" w:color="auto"/>
              <w:bottom w:val="single" w:sz="4" w:space="0" w:color="auto"/>
            </w:tcBorders>
            <w:shd w:val="clear" w:color="auto" w:fill="auto"/>
          </w:tcPr>
          <w:p w14:paraId="51E04F60" w14:textId="77777777" w:rsidR="00A70030" w:rsidRDefault="00A70030" w:rsidP="00073385">
            <w:pPr>
              <w:spacing w:before="60" w:after="60" w:line="240" w:lineRule="auto"/>
              <w:ind w:left="0"/>
              <w:rPr>
                <w:rFonts w:cs="Arial"/>
                <w:sz w:val="20"/>
                <w:szCs w:val="20"/>
              </w:rPr>
            </w:pPr>
            <w:r>
              <w:rPr>
                <w:rFonts w:cs="Arial"/>
                <w:sz w:val="20"/>
                <w:szCs w:val="20"/>
              </w:rPr>
              <w:t>CarbonNet sent SETFIA a summary of the underwater sound modelling results, including offering to make the consultant available to discuss the findings. CarbonNet requested SETFIA get in touch with any questions about the results. No such requests were forthcoming.</w:t>
            </w:r>
          </w:p>
        </w:tc>
        <w:tc>
          <w:tcPr>
            <w:tcW w:w="3802" w:type="dxa"/>
            <w:tcBorders>
              <w:top w:val="single" w:sz="4" w:space="0" w:color="auto"/>
              <w:bottom w:val="single" w:sz="4" w:space="0" w:color="auto"/>
            </w:tcBorders>
            <w:shd w:val="clear" w:color="auto" w:fill="auto"/>
          </w:tcPr>
          <w:p w14:paraId="2551FA48"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2A1A811" w14:textId="77777777" w:rsidTr="00077C5F">
        <w:trPr>
          <w:trHeight w:val="1000"/>
        </w:trPr>
        <w:tc>
          <w:tcPr>
            <w:tcW w:w="1427" w:type="dxa"/>
            <w:tcBorders>
              <w:top w:val="nil"/>
              <w:bottom w:val="nil"/>
            </w:tcBorders>
            <w:shd w:val="clear" w:color="auto" w:fill="auto"/>
          </w:tcPr>
          <w:p w14:paraId="4A753124"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CEB0EC5"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0A24321" w14:textId="77777777" w:rsidR="00A70030" w:rsidRDefault="00A70030" w:rsidP="00073385">
            <w:pPr>
              <w:spacing w:before="60" w:after="60" w:line="240" w:lineRule="auto"/>
              <w:ind w:left="0"/>
              <w:rPr>
                <w:rFonts w:cs="Arial"/>
                <w:sz w:val="20"/>
                <w:szCs w:val="20"/>
              </w:rPr>
            </w:pPr>
            <w:r>
              <w:rPr>
                <w:rFonts w:cs="Arial"/>
                <w:sz w:val="20"/>
                <w:szCs w:val="20"/>
              </w:rPr>
              <w:t>6/7/17</w:t>
            </w:r>
          </w:p>
        </w:tc>
        <w:tc>
          <w:tcPr>
            <w:tcW w:w="6335" w:type="dxa"/>
            <w:tcBorders>
              <w:top w:val="single" w:sz="4" w:space="0" w:color="auto"/>
              <w:bottom w:val="single" w:sz="4" w:space="0" w:color="auto"/>
            </w:tcBorders>
            <w:shd w:val="clear" w:color="auto" w:fill="auto"/>
          </w:tcPr>
          <w:p w14:paraId="5BF61F3B" w14:textId="77777777" w:rsidR="00A70030" w:rsidRDefault="00A70030" w:rsidP="00073385">
            <w:pPr>
              <w:spacing w:before="60" w:after="60" w:line="240" w:lineRule="auto"/>
              <w:ind w:left="0"/>
              <w:rPr>
                <w:rFonts w:cs="Arial"/>
                <w:sz w:val="20"/>
                <w:szCs w:val="20"/>
              </w:rPr>
            </w:pPr>
            <w:r>
              <w:rPr>
                <w:rFonts w:cs="Arial"/>
                <w:sz w:val="20"/>
                <w:szCs w:val="20"/>
              </w:rPr>
              <w:t>CarbonNet received first draft of report from SETFIA titled ‘</w:t>
            </w:r>
            <w:r w:rsidRPr="006F7597">
              <w:rPr>
                <w:rFonts w:cs="Arial"/>
                <w:sz w:val="20"/>
                <w:szCs w:val="20"/>
              </w:rPr>
              <w:t>Report to CarbonNet describing commercial fishing in the area of the proposed Carb</w:t>
            </w:r>
            <w:r>
              <w:rPr>
                <w:rFonts w:cs="Arial"/>
                <w:sz w:val="20"/>
                <w:szCs w:val="20"/>
              </w:rPr>
              <w:t>onNet 3D Marine Seismic Survey’.</w:t>
            </w:r>
          </w:p>
          <w:p w14:paraId="0C18F6E6" w14:textId="77777777" w:rsidR="00A70030" w:rsidRDefault="00A70030" w:rsidP="00073385">
            <w:pPr>
              <w:spacing w:before="60" w:after="60" w:line="240" w:lineRule="auto"/>
              <w:ind w:left="0"/>
              <w:rPr>
                <w:rFonts w:cs="Arial"/>
                <w:sz w:val="20"/>
                <w:szCs w:val="20"/>
              </w:rPr>
            </w:pPr>
          </w:p>
        </w:tc>
        <w:tc>
          <w:tcPr>
            <w:tcW w:w="3802" w:type="dxa"/>
            <w:tcBorders>
              <w:top w:val="single" w:sz="4" w:space="0" w:color="auto"/>
              <w:bottom w:val="single" w:sz="4" w:space="0" w:color="auto"/>
            </w:tcBorders>
            <w:shd w:val="clear" w:color="auto" w:fill="auto"/>
          </w:tcPr>
          <w:p w14:paraId="739E8001" w14:textId="65C43390" w:rsidR="00A70030" w:rsidRDefault="00A70030" w:rsidP="00073385">
            <w:pPr>
              <w:spacing w:before="60" w:after="60" w:line="240" w:lineRule="auto"/>
              <w:ind w:left="0"/>
              <w:rPr>
                <w:rFonts w:cs="Arial"/>
                <w:sz w:val="20"/>
                <w:szCs w:val="20"/>
              </w:rPr>
            </w:pPr>
            <w:r>
              <w:rPr>
                <w:rFonts w:cs="Arial"/>
                <w:sz w:val="20"/>
                <w:szCs w:val="20"/>
              </w:rPr>
              <w:t>SETFIA’s report validated information CarbonNet had already gathered to inform the assessment of the existing environment. This is presented in Section 5.6.3 of the EP.</w:t>
            </w:r>
          </w:p>
        </w:tc>
      </w:tr>
      <w:tr w:rsidR="00A70030" w:rsidRPr="00FF0808" w14:paraId="604C6266" w14:textId="77777777" w:rsidTr="00077C5F">
        <w:trPr>
          <w:trHeight w:val="435"/>
        </w:trPr>
        <w:tc>
          <w:tcPr>
            <w:tcW w:w="1427" w:type="dxa"/>
            <w:tcBorders>
              <w:top w:val="nil"/>
              <w:bottom w:val="nil"/>
            </w:tcBorders>
            <w:shd w:val="clear" w:color="auto" w:fill="auto"/>
          </w:tcPr>
          <w:p w14:paraId="2EB957D6"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176B8769"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3367262" w14:textId="77777777" w:rsidR="00A70030" w:rsidRDefault="00A70030" w:rsidP="00073385">
            <w:pPr>
              <w:spacing w:before="60" w:after="60" w:line="240" w:lineRule="auto"/>
              <w:ind w:left="0"/>
              <w:rPr>
                <w:rFonts w:cs="Arial"/>
                <w:sz w:val="20"/>
                <w:szCs w:val="20"/>
              </w:rPr>
            </w:pPr>
            <w:r>
              <w:rPr>
                <w:rFonts w:cs="Arial"/>
                <w:sz w:val="20"/>
                <w:szCs w:val="20"/>
              </w:rPr>
              <w:t>14/7/17</w:t>
            </w:r>
          </w:p>
        </w:tc>
        <w:tc>
          <w:tcPr>
            <w:tcW w:w="6335" w:type="dxa"/>
            <w:tcBorders>
              <w:top w:val="single" w:sz="4" w:space="0" w:color="auto"/>
              <w:bottom w:val="single" w:sz="4" w:space="0" w:color="auto"/>
            </w:tcBorders>
            <w:shd w:val="clear" w:color="auto" w:fill="auto"/>
          </w:tcPr>
          <w:p w14:paraId="2ACEC5A9" w14:textId="77777777" w:rsidR="00A70030" w:rsidRDefault="00A70030" w:rsidP="00073385">
            <w:pPr>
              <w:spacing w:before="60" w:after="60" w:line="240" w:lineRule="auto"/>
              <w:ind w:left="0"/>
              <w:rPr>
                <w:rFonts w:cs="Arial"/>
                <w:sz w:val="20"/>
                <w:szCs w:val="20"/>
              </w:rPr>
            </w:pPr>
            <w:r>
              <w:rPr>
                <w:rFonts w:cs="Arial"/>
                <w:sz w:val="20"/>
                <w:szCs w:val="20"/>
              </w:rPr>
              <w:t>CarbonNet sent through feedback to SETFIA to finalise report.</w:t>
            </w:r>
          </w:p>
        </w:tc>
        <w:tc>
          <w:tcPr>
            <w:tcW w:w="3802" w:type="dxa"/>
            <w:tcBorders>
              <w:top w:val="single" w:sz="4" w:space="0" w:color="auto"/>
              <w:bottom w:val="single" w:sz="4" w:space="0" w:color="auto"/>
            </w:tcBorders>
            <w:shd w:val="clear" w:color="auto" w:fill="auto"/>
          </w:tcPr>
          <w:p w14:paraId="5981B6BD" w14:textId="62581374"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13B84461" w14:textId="77777777" w:rsidTr="00077C5F">
        <w:trPr>
          <w:trHeight w:val="420"/>
        </w:trPr>
        <w:tc>
          <w:tcPr>
            <w:tcW w:w="1427" w:type="dxa"/>
            <w:tcBorders>
              <w:top w:val="nil"/>
              <w:bottom w:val="nil"/>
            </w:tcBorders>
            <w:shd w:val="clear" w:color="auto" w:fill="auto"/>
          </w:tcPr>
          <w:p w14:paraId="6D67D8EA"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3F97E7F"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5576A0C8" w14:textId="77777777" w:rsidR="00A70030" w:rsidRPr="00FF0808" w:rsidRDefault="00A70030" w:rsidP="00073385">
            <w:pPr>
              <w:spacing w:before="60" w:after="60" w:line="240" w:lineRule="auto"/>
              <w:ind w:left="0"/>
              <w:rPr>
                <w:rFonts w:cs="Arial"/>
                <w:sz w:val="20"/>
                <w:szCs w:val="20"/>
              </w:rPr>
            </w:pPr>
            <w:r>
              <w:rPr>
                <w:rFonts w:cs="Arial"/>
                <w:sz w:val="20"/>
                <w:szCs w:val="20"/>
              </w:rPr>
              <w:t>15/7/17</w:t>
            </w:r>
          </w:p>
        </w:tc>
        <w:tc>
          <w:tcPr>
            <w:tcW w:w="6335" w:type="dxa"/>
            <w:tcBorders>
              <w:top w:val="single" w:sz="4" w:space="0" w:color="auto"/>
              <w:bottom w:val="single" w:sz="4" w:space="0" w:color="auto"/>
            </w:tcBorders>
            <w:shd w:val="clear" w:color="auto" w:fill="auto"/>
          </w:tcPr>
          <w:p w14:paraId="4302FFE8" w14:textId="77777777" w:rsidR="00A70030" w:rsidRPr="000C547B" w:rsidRDefault="00A70030" w:rsidP="00073385">
            <w:pPr>
              <w:spacing w:before="60" w:after="60" w:line="240" w:lineRule="auto"/>
              <w:ind w:left="0"/>
              <w:rPr>
                <w:rFonts w:cs="Arial"/>
                <w:sz w:val="20"/>
                <w:szCs w:val="20"/>
              </w:rPr>
            </w:pPr>
            <w:r>
              <w:rPr>
                <w:rFonts w:cs="Arial"/>
                <w:sz w:val="20"/>
                <w:szCs w:val="20"/>
              </w:rPr>
              <w:t xml:space="preserve">SETFIA emailed CarbonNet to confirm receipt of feedback and will </w:t>
            </w:r>
            <w:r>
              <w:rPr>
                <w:rFonts w:cs="Arial"/>
                <w:sz w:val="20"/>
                <w:szCs w:val="20"/>
              </w:rPr>
              <w:lastRenderedPageBreak/>
              <w:t>consider and revert as quickly as possible.</w:t>
            </w:r>
          </w:p>
        </w:tc>
        <w:tc>
          <w:tcPr>
            <w:tcW w:w="3802" w:type="dxa"/>
            <w:tcBorders>
              <w:top w:val="single" w:sz="4" w:space="0" w:color="auto"/>
              <w:bottom w:val="single" w:sz="4" w:space="0" w:color="auto"/>
            </w:tcBorders>
            <w:shd w:val="clear" w:color="auto" w:fill="auto"/>
          </w:tcPr>
          <w:p w14:paraId="65204CA8" w14:textId="67EF2ED1" w:rsidR="00A70030" w:rsidRDefault="00A70030" w:rsidP="00073385">
            <w:pPr>
              <w:spacing w:before="60" w:after="60" w:line="240" w:lineRule="auto"/>
              <w:ind w:left="0"/>
              <w:rPr>
                <w:rFonts w:cs="Arial"/>
                <w:sz w:val="20"/>
                <w:szCs w:val="20"/>
              </w:rPr>
            </w:pPr>
            <w:r>
              <w:rPr>
                <w:rFonts w:cs="Arial"/>
                <w:sz w:val="20"/>
                <w:szCs w:val="20"/>
              </w:rPr>
              <w:lastRenderedPageBreak/>
              <w:t>N/A</w:t>
            </w:r>
          </w:p>
          <w:p w14:paraId="2329C005" w14:textId="77777777" w:rsidR="00A70030" w:rsidRPr="00DA642B" w:rsidRDefault="00A70030" w:rsidP="00073385">
            <w:pPr>
              <w:spacing w:before="60" w:after="60"/>
              <w:ind w:left="0"/>
            </w:pPr>
          </w:p>
        </w:tc>
      </w:tr>
      <w:tr w:rsidR="00A70030" w:rsidRPr="00FF0808" w14:paraId="4AEF1DC9" w14:textId="77777777" w:rsidTr="00077C5F">
        <w:trPr>
          <w:trHeight w:val="723"/>
        </w:trPr>
        <w:tc>
          <w:tcPr>
            <w:tcW w:w="1427" w:type="dxa"/>
            <w:tcBorders>
              <w:top w:val="nil"/>
              <w:bottom w:val="nil"/>
            </w:tcBorders>
            <w:shd w:val="clear" w:color="auto" w:fill="auto"/>
          </w:tcPr>
          <w:p w14:paraId="1F23F86F"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1FE80D5"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5BA1424B" w14:textId="77777777" w:rsidR="00A70030" w:rsidRDefault="00A70030" w:rsidP="00073385">
            <w:pPr>
              <w:spacing w:before="60" w:after="60" w:line="240" w:lineRule="auto"/>
              <w:ind w:left="0"/>
              <w:rPr>
                <w:rFonts w:cs="Arial"/>
                <w:sz w:val="20"/>
                <w:szCs w:val="20"/>
              </w:rPr>
            </w:pPr>
            <w:r>
              <w:rPr>
                <w:rFonts w:cs="Arial"/>
                <w:sz w:val="20"/>
                <w:szCs w:val="20"/>
              </w:rPr>
              <w:t>25/7/17</w:t>
            </w:r>
          </w:p>
        </w:tc>
        <w:tc>
          <w:tcPr>
            <w:tcW w:w="6335" w:type="dxa"/>
            <w:tcBorders>
              <w:top w:val="single" w:sz="4" w:space="0" w:color="auto"/>
              <w:bottom w:val="single" w:sz="4" w:space="0" w:color="auto"/>
            </w:tcBorders>
            <w:shd w:val="clear" w:color="auto" w:fill="auto"/>
          </w:tcPr>
          <w:p w14:paraId="54792C0F" w14:textId="77777777" w:rsidR="00A70030" w:rsidRDefault="00A70030" w:rsidP="00073385">
            <w:pPr>
              <w:spacing w:before="60" w:after="60" w:line="240" w:lineRule="auto"/>
              <w:ind w:left="0"/>
              <w:rPr>
                <w:rFonts w:cs="Arial"/>
                <w:sz w:val="20"/>
                <w:szCs w:val="20"/>
              </w:rPr>
            </w:pPr>
            <w:r>
              <w:rPr>
                <w:rFonts w:cs="Arial"/>
                <w:sz w:val="20"/>
                <w:szCs w:val="20"/>
              </w:rPr>
              <w:t>CarbonNet emailed SETFIA to check on data report and ask if they had anything to discuss with regards to the EP.</w:t>
            </w:r>
          </w:p>
        </w:tc>
        <w:tc>
          <w:tcPr>
            <w:tcW w:w="3802" w:type="dxa"/>
            <w:tcBorders>
              <w:top w:val="single" w:sz="4" w:space="0" w:color="auto"/>
              <w:bottom w:val="single" w:sz="4" w:space="0" w:color="auto"/>
            </w:tcBorders>
            <w:shd w:val="clear" w:color="auto" w:fill="auto"/>
          </w:tcPr>
          <w:p w14:paraId="479C1C1B" w14:textId="5DE3F46C"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63AEBF1D" w14:textId="77777777" w:rsidTr="00077C5F">
        <w:trPr>
          <w:trHeight w:val="723"/>
        </w:trPr>
        <w:tc>
          <w:tcPr>
            <w:tcW w:w="1427" w:type="dxa"/>
            <w:tcBorders>
              <w:top w:val="nil"/>
              <w:bottom w:val="nil"/>
            </w:tcBorders>
            <w:shd w:val="clear" w:color="auto" w:fill="auto"/>
          </w:tcPr>
          <w:p w14:paraId="52568A06"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CF9F87F"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CBF04B0" w14:textId="77777777" w:rsidR="00A70030" w:rsidRDefault="00A70030" w:rsidP="00073385">
            <w:pPr>
              <w:spacing w:before="60" w:after="60" w:line="240" w:lineRule="auto"/>
              <w:ind w:left="0"/>
              <w:rPr>
                <w:rFonts w:cs="Arial"/>
                <w:sz w:val="20"/>
                <w:szCs w:val="20"/>
              </w:rPr>
            </w:pPr>
            <w:r>
              <w:rPr>
                <w:rFonts w:cs="Arial"/>
                <w:sz w:val="20"/>
                <w:szCs w:val="20"/>
              </w:rPr>
              <w:t>27/7/17</w:t>
            </w:r>
          </w:p>
        </w:tc>
        <w:tc>
          <w:tcPr>
            <w:tcW w:w="6335" w:type="dxa"/>
            <w:tcBorders>
              <w:top w:val="single" w:sz="4" w:space="0" w:color="auto"/>
              <w:bottom w:val="single" w:sz="4" w:space="0" w:color="auto"/>
            </w:tcBorders>
            <w:shd w:val="clear" w:color="auto" w:fill="auto"/>
          </w:tcPr>
          <w:p w14:paraId="4723CB00" w14:textId="77777777" w:rsidR="00A70030" w:rsidRDefault="00A70030" w:rsidP="00073385">
            <w:pPr>
              <w:spacing w:before="60" w:after="60" w:line="240" w:lineRule="auto"/>
              <w:ind w:left="0"/>
              <w:rPr>
                <w:rFonts w:cs="Arial"/>
                <w:sz w:val="20"/>
                <w:szCs w:val="20"/>
              </w:rPr>
            </w:pPr>
            <w:r>
              <w:rPr>
                <w:rFonts w:cs="Arial"/>
                <w:sz w:val="20"/>
                <w:szCs w:val="20"/>
              </w:rPr>
              <w:t>SETFIA emailed CarbonNet with the final data report.</w:t>
            </w:r>
          </w:p>
          <w:p w14:paraId="432F8A9A" w14:textId="77777777" w:rsidR="00A70030" w:rsidRDefault="00A70030" w:rsidP="00073385">
            <w:pPr>
              <w:spacing w:before="60" w:after="60" w:line="240" w:lineRule="auto"/>
              <w:ind w:left="0"/>
              <w:rPr>
                <w:rFonts w:cs="Arial"/>
                <w:sz w:val="20"/>
                <w:szCs w:val="20"/>
              </w:rPr>
            </w:pPr>
            <w:r>
              <w:rPr>
                <w:rFonts w:cs="Arial"/>
                <w:sz w:val="20"/>
                <w:szCs w:val="20"/>
              </w:rPr>
              <w:t xml:space="preserve">SETFIA said that we should discuss how to proceed, as now that we know who the key affected groups are we should limit discussions to affected fishers. </w:t>
            </w:r>
          </w:p>
          <w:p w14:paraId="11E51A5A" w14:textId="77777777" w:rsidR="00A70030" w:rsidRDefault="00A70030" w:rsidP="00073385">
            <w:pPr>
              <w:spacing w:before="60" w:after="60" w:line="240" w:lineRule="auto"/>
              <w:ind w:left="0"/>
              <w:rPr>
                <w:rFonts w:cs="Arial"/>
                <w:sz w:val="20"/>
                <w:szCs w:val="20"/>
              </w:rPr>
            </w:pPr>
            <w:r>
              <w:rPr>
                <w:rFonts w:cs="Arial"/>
                <w:sz w:val="20"/>
                <w:szCs w:val="20"/>
              </w:rPr>
              <w:t>Data report also included a list of key contacts for representative bodies. CarbonNet has spoken to all the groups and individuals listed, and confirmed the SETFIA contact is also the contact for the South Shark Industry Alliance.</w:t>
            </w:r>
          </w:p>
          <w:p w14:paraId="1D30B175" w14:textId="77777777" w:rsidR="00A70030" w:rsidRDefault="00A70030" w:rsidP="00073385">
            <w:pPr>
              <w:spacing w:before="60" w:after="60" w:line="240" w:lineRule="auto"/>
              <w:ind w:left="0"/>
              <w:rPr>
                <w:rFonts w:cs="Arial"/>
                <w:sz w:val="20"/>
                <w:szCs w:val="20"/>
              </w:rPr>
            </w:pPr>
            <w:r>
              <w:rPr>
                <w:rFonts w:cs="Arial"/>
                <w:sz w:val="20"/>
                <w:szCs w:val="20"/>
              </w:rPr>
              <w:t>Scheduled a phone meeting to discuss how to proceed, and an in person meeting in Lakes Entrance to discuss issues and concerns.</w:t>
            </w:r>
          </w:p>
        </w:tc>
        <w:tc>
          <w:tcPr>
            <w:tcW w:w="3802" w:type="dxa"/>
            <w:tcBorders>
              <w:top w:val="single" w:sz="4" w:space="0" w:color="auto"/>
              <w:bottom w:val="single" w:sz="4" w:space="0" w:color="auto"/>
            </w:tcBorders>
            <w:shd w:val="clear" w:color="auto" w:fill="auto"/>
          </w:tcPr>
          <w:p w14:paraId="7014A945" w14:textId="0D24ADAD"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DAE75F8" w14:textId="77777777" w:rsidTr="00077C5F">
        <w:trPr>
          <w:trHeight w:val="723"/>
        </w:trPr>
        <w:tc>
          <w:tcPr>
            <w:tcW w:w="1427" w:type="dxa"/>
            <w:tcBorders>
              <w:top w:val="nil"/>
              <w:bottom w:val="nil"/>
            </w:tcBorders>
            <w:shd w:val="clear" w:color="auto" w:fill="auto"/>
          </w:tcPr>
          <w:p w14:paraId="41E6AFE6"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9F6E7C4"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2026228C" w14:textId="77777777" w:rsidR="00A70030" w:rsidRDefault="00A70030" w:rsidP="00073385">
            <w:pPr>
              <w:spacing w:before="60" w:after="60" w:line="240" w:lineRule="auto"/>
              <w:ind w:left="0"/>
              <w:rPr>
                <w:rFonts w:cs="Arial"/>
                <w:sz w:val="20"/>
                <w:szCs w:val="20"/>
              </w:rPr>
            </w:pPr>
            <w:r>
              <w:rPr>
                <w:rFonts w:cs="Arial"/>
                <w:sz w:val="20"/>
                <w:szCs w:val="20"/>
              </w:rPr>
              <w:t>2/8/17</w:t>
            </w:r>
          </w:p>
        </w:tc>
        <w:tc>
          <w:tcPr>
            <w:tcW w:w="6335" w:type="dxa"/>
            <w:tcBorders>
              <w:top w:val="single" w:sz="4" w:space="0" w:color="auto"/>
              <w:bottom w:val="single" w:sz="4" w:space="0" w:color="auto"/>
            </w:tcBorders>
            <w:shd w:val="clear" w:color="auto" w:fill="auto"/>
          </w:tcPr>
          <w:p w14:paraId="72080E40" w14:textId="77777777" w:rsidR="00A70030" w:rsidRDefault="00A70030" w:rsidP="00073385">
            <w:pPr>
              <w:spacing w:before="60" w:after="60" w:line="240" w:lineRule="auto"/>
              <w:ind w:left="0"/>
              <w:rPr>
                <w:rFonts w:cs="Arial"/>
                <w:sz w:val="20"/>
                <w:szCs w:val="20"/>
              </w:rPr>
            </w:pPr>
            <w:r>
              <w:rPr>
                <w:rFonts w:cs="Arial"/>
                <w:sz w:val="20"/>
                <w:szCs w:val="20"/>
              </w:rPr>
              <w:t>CarbonNet held a teleconference with SETFIA to discuss next steps for consultation. They said:</w:t>
            </w:r>
          </w:p>
          <w:p w14:paraId="3A17B2B3" w14:textId="77777777" w:rsidR="00A70030" w:rsidRPr="00D44D63" w:rsidRDefault="00A70030" w:rsidP="00073385">
            <w:pPr>
              <w:spacing w:before="60" w:after="60" w:line="240" w:lineRule="auto"/>
              <w:ind w:left="0"/>
              <w:rPr>
                <w:rFonts w:cs="Arial"/>
                <w:sz w:val="20"/>
                <w:szCs w:val="20"/>
              </w:rPr>
            </w:pPr>
            <w:r w:rsidRPr="00D44D63">
              <w:rPr>
                <w:rFonts w:cs="Arial"/>
                <w:sz w:val="20"/>
                <w:szCs w:val="20"/>
              </w:rPr>
              <w:t xml:space="preserve">There are three 'critical sectors': </w:t>
            </w:r>
          </w:p>
          <w:p w14:paraId="3A2F43D6" w14:textId="22DA18AE" w:rsidR="00A70030" w:rsidRPr="00394009" w:rsidRDefault="00A70030" w:rsidP="00073385">
            <w:pPr>
              <w:pStyle w:val="ListParagraph0"/>
              <w:numPr>
                <w:ilvl w:val="0"/>
                <w:numId w:val="487"/>
              </w:numPr>
              <w:spacing w:before="60" w:after="60" w:line="240" w:lineRule="auto"/>
              <w:rPr>
                <w:rFonts w:cs="Arial"/>
                <w:sz w:val="20"/>
                <w:szCs w:val="20"/>
              </w:rPr>
            </w:pPr>
            <w:r w:rsidRPr="00394009">
              <w:rPr>
                <w:rFonts w:cs="Arial"/>
                <w:sz w:val="20"/>
                <w:szCs w:val="20"/>
              </w:rPr>
              <w:t>Commonwealth Trawl Sector (CTS), especially seiners</w:t>
            </w:r>
            <w:r>
              <w:rPr>
                <w:rFonts w:cs="Arial"/>
                <w:sz w:val="20"/>
                <w:szCs w:val="20"/>
              </w:rPr>
              <w:t>.</w:t>
            </w:r>
            <w:r w:rsidRPr="00394009">
              <w:rPr>
                <w:rFonts w:cs="Arial"/>
                <w:sz w:val="20"/>
                <w:szCs w:val="20"/>
              </w:rPr>
              <w:t xml:space="preserve"> </w:t>
            </w:r>
          </w:p>
          <w:p w14:paraId="424A352B" w14:textId="77B982C1" w:rsidR="00A70030" w:rsidRPr="00394009" w:rsidRDefault="00A70030" w:rsidP="00073385">
            <w:pPr>
              <w:pStyle w:val="ListParagraph0"/>
              <w:numPr>
                <w:ilvl w:val="0"/>
                <w:numId w:val="487"/>
              </w:numPr>
              <w:spacing w:before="60" w:after="60" w:line="240" w:lineRule="auto"/>
              <w:rPr>
                <w:rFonts w:cs="Arial"/>
                <w:sz w:val="20"/>
                <w:szCs w:val="20"/>
              </w:rPr>
            </w:pPr>
            <w:r w:rsidRPr="00394009">
              <w:rPr>
                <w:rFonts w:cs="Arial"/>
                <w:sz w:val="20"/>
                <w:szCs w:val="20"/>
              </w:rPr>
              <w:t>Commonwealth Gillnet shark fishery</w:t>
            </w:r>
            <w:r>
              <w:rPr>
                <w:rFonts w:cs="Arial"/>
                <w:sz w:val="20"/>
                <w:szCs w:val="20"/>
              </w:rPr>
              <w:t>.</w:t>
            </w:r>
            <w:r w:rsidRPr="00394009">
              <w:rPr>
                <w:rFonts w:cs="Arial"/>
                <w:sz w:val="20"/>
                <w:szCs w:val="20"/>
              </w:rPr>
              <w:t xml:space="preserve"> </w:t>
            </w:r>
          </w:p>
          <w:p w14:paraId="33E696F3" w14:textId="2C58A45A" w:rsidR="00A70030" w:rsidRPr="00394009" w:rsidRDefault="00A70030" w:rsidP="00CE3085">
            <w:pPr>
              <w:pStyle w:val="ListParagraph0"/>
              <w:numPr>
                <w:ilvl w:val="0"/>
                <w:numId w:val="487"/>
              </w:numPr>
              <w:spacing w:before="60" w:after="120" w:line="240" w:lineRule="auto"/>
              <w:rPr>
                <w:rFonts w:cs="Arial"/>
                <w:sz w:val="20"/>
                <w:szCs w:val="20"/>
              </w:rPr>
            </w:pPr>
            <w:r w:rsidRPr="00394009">
              <w:rPr>
                <w:rFonts w:cs="Arial"/>
                <w:sz w:val="20"/>
                <w:szCs w:val="20"/>
              </w:rPr>
              <w:t xml:space="preserve">Victoria purse seine fishery (1 </w:t>
            </w:r>
            <w:r>
              <w:rPr>
                <w:rFonts w:cs="Arial"/>
                <w:sz w:val="20"/>
                <w:szCs w:val="20"/>
              </w:rPr>
              <w:t>operator</w:t>
            </w:r>
            <w:r w:rsidRPr="00394009">
              <w:rPr>
                <w:rFonts w:cs="Arial"/>
                <w:sz w:val="20"/>
                <w:szCs w:val="20"/>
              </w:rPr>
              <w:t xml:space="preserve"> - Mitchelson Fisheries) </w:t>
            </w:r>
            <w:r>
              <w:rPr>
                <w:rFonts w:cs="Arial"/>
                <w:sz w:val="20"/>
                <w:szCs w:val="20"/>
              </w:rPr>
              <w:t>.</w:t>
            </w:r>
          </w:p>
          <w:p w14:paraId="3417DC37" w14:textId="77777777" w:rsidR="00A70030" w:rsidRPr="00D44D63" w:rsidRDefault="00A70030" w:rsidP="00073385">
            <w:pPr>
              <w:spacing w:before="60" w:after="60" w:line="240" w:lineRule="auto"/>
              <w:ind w:left="0"/>
              <w:rPr>
                <w:rFonts w:cs="Arial"/>
                <w:sz w:val="20"/>
                <w:szCs w:val="20"/>
              </w:rPr>
            </w:pPr>
            <w:r w:rsidRPr="00D44D63">
              <w:rPr>
                <w:rFonts w:cs="Arial"/>
                <w:sz w:val="20"/>
                <w:szCs w:val="20"/>
              </w:rPr>
              <w:t xml:space="preserve">SETFIA represents the two Commonwealth groups. </w:t>
            </w:r>
            <w:r>
              <w:rPr>
                <w:rFonts w:cs="Arial"/>
                <w:sz w:val="20"/>
                <w:szCs w:val="20"/>
              </w:rPr>
              <w:t>They w</w:t>
            </w:r>
            <w:r w:rsidRPr="00D44D63">
              <w:rPr>
                <w:rFonts w:cs="Arial"/>
                <w:sz w:val="20"/>
                <w:szCs w:val="20"/>
              </w:rPr>
              <w:t xml:space="preserve">ould prefer </w:t>
            </w:r>
            <w:r>
              <w:rPr>
                <w:rFonts w:cs="Arial"/>
                <w:sz w:val="20"/>
                <w:szCs w:val="20"/>
              </w:rPr>
              <w:t xml:space="preserve">the MSS is undertaken </w:t>
            </w:r>
            <w:r w:rsidRPr="00D44D63">
              <w:rPr>
                <w:rFonts w:cs="Arial"/>
                <w:sz w:val="20"/>
                <w:szCs w:val="20"/>
              </w:rPr>
              <w:t xml:space="preserve">between April </w:t>
            </w:r>
            <w:r>
              <w:rPr>
                <w:rFonts w:cs="Arial"/>
                <w:sz w:val="20"/>
                <w:szCs w:val="20"/>
              </w:rPr>
              <w:t>–</w:t>
            </w:r>
            <w:r w:rsidRPr="00D44D63">
              <w:rPr>
                <w:rFonts w:cs="Arial"/>
                <w:sz w:val="20"/>
                <w:szCs w:val="20"/>
              </w:rPr>
              <w:t xml:space="preserve"> September</w:t>
            </w:r>
            <w:r>
              <w:rPr>
                <w:rFonts w:cs="Arial"/>
                <w:sz w:val="20"/>
                <w:szCs w:val="20"/>
              </w:rPr>
              <w:t xml:space="preserve"> and w</w:t>
            </w:r>
            <w:r w:rsidRPr="00D44D63">
              <w:rPr>
                <w:rFonts w:cs="Arial"/>
                <w:sz w:val="20"/>
                <w:szCs w:val="20"/>
              </w:rPr>
              <w:t xml:space="preserve">ould like </w:t>
            </w:r>
            <w:r>
              <w:rPr>
                <w:rFonts w:cs="Arial"/>
                <w:sz w:val="20"/>
                <w:szCs w:val="20"/>
              </w:rPr>
              <w:t>CarbonNet</w:t>
            </w:r>
            <w:r w:rsidRPr="00D44D63">
              <w:rPr>
                <w:rFonts w:cs="Arial"/>
                <w:sz w:val="20"/>
                <w:szCs w:val="20"/>
              </w:rPr>
              <w:t xml:space="preserve"> to avoid November. </w:t>
            </w:r>
            <w:r>
              <w:rPr>
                <w:rFonts w:cs="Arial"/>
                <w:sz w:val="20"/>
                <w:szCs w:val="20"/>
              </w:rPr>
              <w:t xml:space="preserve"> CarbonNet said the survey window is November – March, but that it would note the request for not conducting the survey in November.</w:t>
            </w:r>
          </w:p>
          <w:p w14:paraId="3BC63CB2" w14:textId="77777777" w:rsidR="00A70030" w:rsidRDefault="00A70030" w:rsidP="00073385">
            <w:pPr>
              <w:spacing w:before="60" w:after="60" w:line="240" w:lineRule="auto"/>
              <w:ind w:left="0"/>
              <w:rPr>
                <w:rFonts w:cs="Arial"/>
                <w:sz w:val="20"/>
                <w:szCs w:val="20"/>
              </w:rPr>
            </w:pPr>
            <w:r>
              <w:rPr>
                <w:rFonts w:cs="Arial"/>
                <w:sz w:val="20"/>
                <w:szCs w:val="20"/>
              </w:rPr>
              <w:t>SETFIA said the i</w:t>
            </w:r>
            <w:r w:rsidRPr="00D44D63">
              <w:rPr>
                <w:rFonts w:cs="Arial"/>
                <w:sz w:val="20"/>
                <w:szCs w:val="20"/>
              </w:rPr>
              <w:t xml:space="preserve">mportant thing is providing adequate notice to operators, and SETFIA </w:t>
            </w:r>
            <w:r>
              <w:rPr>
                <w:rFonts w:cs="Arial"/>
                <w:sz w:val="20"/>
                <w:szCs w:val="20"/>
              </w:rPr>
              <w:t xml:space="preserve">now </w:t>
            </w:r>
            <w:r w:rsidRPr="00D44D63">
              <w:rPr>
                <w:rFonts w:cs="Arial"/>
                <w:sz w:val="20"/>
                <w:szCs w:val="20"/>
              </w:rPr>
              <w:t>knows who they are.</w:t>
            </w:r>
          </w:p>
          <w:p w14:paraId="601DB564" w14:textId="77777777" w:rsidR="00A70030" w:rsidRDefault="00A70030" w:rsidP="00073385">
            <w:pPr>
              <w:spacing w:before="60" w:after="60" w:line="240" w:lineRule="auto"/>
              <w:ind w:left="0"/>
              <w:rPr>
                <w:rFonts w:cs="Arial"/>
                <w:sz w:val="20"/>
                <w:szCs w:val="20"/>
              </w:rPr>
            </w:pPr>
            <w:r>
              <w:rPr>
                <w:rFonts w:cs="Arial"/>
                <w:sz w:val="20"/>
                <w:szCs w:val="20"/>
              </w:rPr>
              <w:t xml:space="preserve">SETFIA mentioned the plankton study that was published in </w:t>
            </w:r>
            <w:r w:rsidRPr="00987214">
              <w:rPr>
                <w:rFonts w:cs="Arial"/>
                <w:sz w:val="20"/>
                <w:szCs w:val="20"/>
              </w:rPr>
              <w:t>Nature journal</w:t>
            </w:r>
            <w:r>
              <w:rPr>
                <w:rFonts w:cs="Arial"/>
                <w:sz w:val="20"/>
                <w:szCs w:val="20"/>
              </w:rPr>
              <w:t xml:space="preserve"> – CarbonNet said we would send the CSIRO study that modelled how long it would take plankton numbers to replenish.</w:t>
            </w:r>
          </w:p>
          <w:p w14:paraId="0A605656" w14:textId="77777777" w:rsidR="00A70030" w:rsidRDefault="00A70030" w:rsidP="00073385">
            <w:pPr>
              <w:spacing w:before="60" w:after="60" w:line="240" w:lineRule="auto"/>
              <w:ind w:left="0"/>
              <w:rPr>
                <w:rFonts w:cs="Arial"/>
                <w:sz w:val="20"/>
                <w:szCs w:val="20"/>
              </w:rPr>
            </w:pPr>
            <w:r>
              <w:rPr>
                <w:rFonts w:cs="Arial"/>
                <w:sz w:val="20"/>
                <w:szCs w:val="20"/>
              </w:rPr>
              <w:t>CarbonNet and SETFIA arranged to meet in Lakes Entrance next week to progress discussions.</w:t>
            </w:r>
          </w:p>
        </w:tc>
        <w:tc>
          <w:tcPr>
            <w:tcW w:w="3802" w:type="dxa"/>
            <w:tcBorders>
              <w:top w:val="single" w:sz="4" w:space="0" w:color="auto"/>
              <w:bottom w:val="single" w:sz="4" w:space="0" w:color="auto"/>
            </w:tcBorders>
            <w:shd w:val="clear" w:color="auto" w:fill="auto"/>
          </w:tcPr>
          <w:p w14:paraId="2CDCCCED" w14:textId="5327828A"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3542893" w14:textId="77777777" w:rsidTr="00891DE1">
        <w:trPr>
          <w:trHeight w:val="723"/>
        </w:trPr>
        <w:tc>
          <w:tcPr>
            <w:tcW w:w="1427" w:type="dxa"/>
            <w:tcBorders>
              <w:top w:val="nil"/>
              <w:bottom w:val="nil"/>
            </w:tcBorders>
            <w:shd w:val="clear" w:color="auto" w:fill="auto"/>
          </w:tcPr>
          <w:p w14:paraId="18F064B7"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9548E1B"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BDC828B" w14:textId="77777777" w:rsidR="00A70030" w:rsidRDefault="00A70030" w:rsidP="00073385">
            <w:pPr>
              <w:spacing w:before="60" w:after="60" w:line="240" w:lineRule="auto"/>
              <w:ind w:left="0"/>
              <w:rPr>
                <w:rFonts w:cs="Arial"/>
                <w:sz w:val="20"/>
                <w:szCs w:val="20"/>
              </w:rPr>
            </w:pPr>
            <w:r>
              <w:rPr>
                <w:rFonts w:cs="Arial"/>
                <w:sz w:val="20"/>
                <w:szCs w:val="20"/>
              </w:rPr>
              <w:t>2/8/17</w:t>
            </w:r>
          </w:p>
        </w:tc>
        <w:tc>
          <w:tcPr>
            <w:tcW w:w="6335" w:type="dxa"/>
            <w:tcBorders>
              <w:top w:val="single" w:sz="4" w:space="0" w:color="auto"/>
              <w:bottom w:val="single" w:sz="4" w:space="0" w:color="auto"/>
            </w:tcBorders>
            <w:shd w:val="clear" w:color="auto" w:fill="auto"/>
          </w:tcPr>
          <w:p w14:paraId="7588D513" w14:textId="77777777" w:rsidR="00A70030" w:rsidRDefault="00A70030" w:rsidP="00073385">
            <w:pPr>
              <w:spacing w:before="60" w:after="60" w:line="240" w:lineRule="auto"/>
              <w:ind w:left="0"/>
              <w:rPr>
                <w:rFonts w:cs="Arial"/>
                <w:sz w:val="20"/>
                <w:szCs w:val="20"/>
              </w:rPr>
            </w:pPr>
            <w:r>
              <w:rPr>
                <w:rFonts w:cs="Arial"/>
                <w:sz w:val="20"/>
                <w:szCs w:val="20"/>
              </w:rPr>
              <w:t>CarbonNet emailed SETFIA with link to the CSIRO paper that</w:t>
            </w:r>
            <w:r>
              <w:t xml:space="preserve"> </w:t>
            </w:r>
            <w:r w:rsidRPr="00E42524">
              <w:rPr>
                <w:rFonts w:cs="Arial"/>
                <w:sz w:val="20"/>
                <w:szCs w:val="20"/>
              </w:rPr>
              <w:t>looked at the potential impacts on zooplankton of seismic surveys</w:t>
            </w:r>
            <w:r>
              <w:rPr>
                <w:rFonts w:cs="Arial"/>
                <w:sz w:val="20"/>
                <w:szCs w:val="20"/>
              </w:rPr>
              <w:t>.  SETFIA responded to say it looks like plankton numbers replenish in three days</w:t>
            </w:r>
            <w:r w:rsidRPr="00E42524">
              <w:rPr>
                <w:rFonts w:cs="Arial"/>
                <w:sz w:val="20"/>
                <w:szCs w:val="20"/>
              </w:rPr>
              <w:t xml:space="preserve"> </w:t>
            </w:r>
            <w:r>
              <w:rPr>
                <w:rFonts w:cs="Arial"/>
                <w:sz w:val="20"/>
                <w:szCs w:val="20"/>
              </w:rPr>
              <w:t xml:space="preserve">through </w:t>
            </w:r>
            <w:r w:rsidRPr="00E42524">
              <w:rPr>
                <w:rFonts w:cs="Arial"/>
                <w:sz w:val="20"/>
                <w:szCs w:val="20"/>
              </w:rPr>
              <w:t>breeding or currents (a basic summary of report findings)</w:t>
            </w:r>
            <w:r>
              <w:rPr>
                <w:rFonts w:cs="Arial"/>
                <w:sz w:val="20"/>
                <w:szCs w:val="20"/>
              </w:rPr>
              <w:t>.</w:t>
            </w:r>
          </w:p>
        </w:tc>
        <w:tc>
          <w:tcPr>
            <w:tcW w:w="3802" w:type="dxa"/>
            <w:tcBorders>
              <w:top w:val="single" w:sz="4" w:space="0" w:color="auto"/>
              <w:bottom w:val="single" w:sz="4" w:space="0" w:color="auto"/>
            </w:tcBorders>
            <w:shd w:val="clear" w:color="auto" w:fill="auto"/>
          </w:tcPr>
          <w:p w14:paraId="1D633E27" w14:textId="2DC7C6EB"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5C78B9C2" w14:textId="77777777" w:rsidTr="00891DE1">
        <w:trPr>
          <w:trHeight w:val="723"/>
        </w:trPr>
        <w:tc>
          <w:tcPr>
            <w:tcW w:w="1427" w:type="dxa"/>
            <w:tcBorders>
              <w:top w:val="nil"/>
              <w:bottom w:val="nil"/>
            </w:tcBorders>
            <w:shd w:val="clear" w:color="auto" w:fill="auto"/>
          </w:tcPr>
          <w:p w14:paraId="4EA5510A"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722CAF9"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CD170DF" w14:textId="77777777" w:rsidR="00A70030" w:rsidRDefault="00A70030" w:rsidP="00073385">
            <w:pPr>
              <w:spacing w:before="60" w:after="60" w:line="240" w:lineRule="auto"/>
              <w:ind w:left="0"/>
              <w:rPr>
                <w:rFonts w:cs="Arial"/>
                <w:sz w:val="20"/>
                <w:szCs w:val="20"/>
              </w:rPr>
            </w:pPr>
            <w:r>
              <w:rPr>
                <w:rFonts w:cs="Arial"/>
                <w:sz w:val="20"/>
                <w:szCs w:val="20"/>
              </w:rPr>
              <w:t>4/8/17</w:t>
            </w:r>
          </w:p>
        </w:tc>
        <w:tc>
          <w:tcPr>
            <w:tcW w:w="6335" w:type="dxa"/>
            <w:tcBorders>
              <w:top w:val="single" w:sz="4" w:space="0" w:color="auto"/>
              <w:bottom w:val="single" w:sz="4" w:space="0" w:color="auto"/>
            </w:tcBorders>
            <w:shd w:val="clear" w:color="auto" w:fill="auto"/>
          </w:tcPr>
          <w:p w14:paraId="19E4009E" w14:textId="77777777" w:rsidR="00A70030" w:rsidRDefault="00A70030" w:rsidP="00073385">
            <w:pPr>
              <w:spacing w:before="60" w:after="60" w:line="240" w:lineRule="auto"/>
              <w:ind w:left="0"/>
              <w:rPr>
                <w:rFonts w:cs="Arial"/>
                <w:sz w:val="20"/>
                <w:szCs w:val="20"/>
              </w:rPr>
            </w:pPr>
            <w:r>
              <w:rPr>
                <w:rFonts w:cs="Arial"/>
                <w:sz w:val="20"/>
                <w:szCs w:val="20"/>
              </w:rPr>
              <w:t>CarbonNet emailed SETFIA with the following draft excerpts from the EP:</w:t>
            </w:r>
          </w:p>
          <w:p w14:paraId="5AF86C90" w14:textId="47182133" w:rsidR="00A70030" w:rsidRPr="00E42524" w:rsidRDefault="00A70030" w:rsidP="00CE3085">
            <w:pPr>
              <w:spacing w:before="60" w:after="60" w:line="240" w:lineRule="auto"/>
              <w:ind w:left="0" w:firstLine="176"/>
              <w:rPr>
                <w:rFonts w:cs="Arial"/>
                <w:sz w:val="20"/>
                <w:szCs w:val="20"/>
              </w:rPr>
            </w:pPr>
            <w:r w:rsidRPr="00E42524">
              <w:rPr>
                <w:rFonts w:cs="Arial"/>
                <w:sz w:val="20"/>
                <w:szCs w:val="20"/>
              </w:rPr>
              <w:t>1. Impact assessment summary - marine fauna</w:t>
            </w:r>
            <w:r>
              <w:rPr>
                <w:rFonts w:cs="Arial"/>
                <w:sz w:val="20"/>
                <w:szCs w:val="20"/>
              </w:rPr>
              <w:t>.</w:t>
            </w:r>
            <w:r w:rsidRPr="00E42524">
              <w:rPr>
                <w:rFonts w:cs="Arial"/>
                <w:sz w:val="20"/>
                <w:szCs w:val="20"/>
              </w:rPr>
              <w:t xml:space="preserve"> </w:t>
            </w:r>
          </w:p>
          <w:p w14:paraId="0769AEE0" w14:textId="0DFD3CF4" w:rsidR="00A70030" w:rsidRPr="00E42524" w:rsidRDefault="00A70030" w:rsidP="00CE3085">
            <w:pPr>
              <w:spacing w:before="60" w:after="60" w:line="240" w:lineRule="auto"/>
              <w:ind w:left="0" w:firstLine="176"/>
              <w:rPr>
                <w:rFonts w:cs="Arial"/>
                <w:sz w:val="20"/>
                <w:szCs w:val="20"/>
              </w:rPr>
            </w:pPr>
            <w:r w:rsidRPr="00E42524">
              <w:rPr>
                <w:rFonts w:cs="Arial"/>
                <w:sz w:val="20"/>
                <w:szCs w:val="20"/>
              </w:rPr>
              <w:t>2. Impact to plankton</w:t>
            </w:r>
            <w:r>
              <w:rPr>
                <w:rFonts w:cs="Arial"/>
                <w:sz w:val="20"/>
                <w:szCs w:val="20"/>
              </w:rPr>
              <w:t>.</w:t>
            </w:r>
            <w:r w:rsidRPr="00E42524">
              <w:rPr>
                <w:rFonts w:cs="Arial"/>
                <w:sz w:val="20"/>
                <w:szCs w:val="20"/>
              </w:rPr>
              <w:t xml:space="preserve"> </w:t>
            </w:r>
          </w:p>
          <w:p w14:paraId="7C6683B0" w14:textId="7F703063" w:rsidR="00A70030" w:rsidRPr="00E42524" w:rsidRDefault="00A70030" w:rsidP="00CE3085">
            <w:pPr>
              <w:spacing w:before="60" w:after="60" w:line="240" w:lineRule="auto"/>
              <w:ind w:left="0" w:firstLine="176"/>
              <w:rPr>
                <w:rFonts w:cs="Arial"/>
                <w:sz w:val="20"/>
                <w:szCs w:val="20"/>
              </w:rPr>
            </w:pPr>
            <w:r w:rsidRPr="00E42524">
              <w:rPr>
                <w:rFonts w:cs="Arial"/>
                <w:sz w:val="20"/>
                <w:szCs w:val="20"/>
              </w:rPr>
              <w:t>3. Impact on fish</w:t>
            </w:r>
            <w:r>
              <w:rPr>
                <w:rFonts w:cs="Arial"/>
                <w:sz w:val="20"/>
                <w:szCs w:val="20"/>
              </w:rPr>
              <w:t>.</w:t>
            </w:r>
            <w:r w:rsidRPr="00E42524">
              <w:rPr>
                <w:rFonts w:cs="Arial"/>
                <w:sz w:val="20"/>
                <w:szCs w:val="20"/>
              </w:rPr>
              <w:t xml:space="preserve"> </w:t>
            </w:r>
          </w:p>
          <w:p w14:paraId="03D6FF9C" w14:textId="316B60E0" w:rsidR="00A70030" w:rsidRPr="00E42524" w:rsidRDefault="00A70030" w:rsidP="00CE3085">
            <w:pPr>
              <w:spacing w:before="60" w:after="60" w:line="240" w:lineRule="auto"/>
              <w:ind w:left="0" w:firstLine="176"/>
              <w:rPr>
                <w:rFonts w:cs="Arial"/>
                <w:sz w:val="20"/>
                <w:szCs w:val="20"/>
              </w:rPr>
            </w:pPr>
            <w:r w:rsidRPr="00E42524">
              <w:rPr>
                <w:rFonts w:cs="Arial"/>
                <w:sz w:val="20"/>
                <w:szCs w:val="20"/>
              </w:rPr>
              <w:t>4. Risks to fin fisheries</w:t>
            </w:r>
            <w:r>
              <w:rPr>
                <w:rFonts w:cs="Arial"/>
                <w:sz w:val="20"/>
                <w:szCs w:val="20"/>
              </w:rPr>
              <w:t>.</w:t>
            </w:r>
            <w:r w:rsidRPr="00E42524">
              <w:rPr>
                <w:rFonts w:cs="Arial"/>
                <w:sz w:val="20"/>
                <w:szCs w:val="20"/>
              </w:rPr>
              <w:t xml:space="preserve"> </w:t>
            </w:r>
          </w:p>
          <w:p w14:paraId="6A18C322" w14:textId="6927A82B" w:rsidR="00A70030" w:rsidRDefault="00A70030" w:rsidP="00CE3085">
            <w:pPr>
              <w:spacing w:before="60" w:after="60" w:line="240" w:lineRule="auto"/>
              <w:ind w:left="0" w:firstLine="176"/>
              <w:rPr>
                <w:rFonts w:cs="Arial"/>
                <w:sz w:val="20"/>
                <w:szCs w:val="20"/>
              </w:rPr>
            </w:pPr>
            <w:r w:rsidRPr="00E42524">
              <w:rPr>
                <w:rFonts w:cs="Arial"/>
                <w:sz w:val="20"/>
                <w:szCs w:val="20"/>
              </w:rPr>
              <w:t>5. Risk assessment summary for fisheries</w:t>
            </w:r>
            <w:r>
              <w:rPr>
                <w:rFonts w:cs="Arial"/>
                <w:sz w:val="20"/>
                <w:szCs w:val="20"/>
              </w:rPr>
              <w:t>.</w:t>
            </w:r>
          </w:p>
          <w:p w14:paraId="31CF9638" w14:textId="77777777" w:rsidR="00A70030" w:rsidRDefault="00A70030" w:rsidP="00073385">
            <w:pPr>
              <w:spacing w:before="60" w:after="60" w:line="240" w:lineRule="auto"/>
              <w:ind w:left="0"/>
              <w:rPr>
                <w:rFonts w:cs="Arial"/>
                <w:sz w:val="20"/>
                <w:szCs w:val="20"/>
              </w:rPr>
            </w:pPr>
            <w:r>
              <w:rPr>
                <w:rFonts w:cs="Arial"/>
                <w:sz w:val="20"/>
                <w:szCs w:val="20"/>
              </w:rPr>
              <w:t>CarbonNet requested that SETFIA advise any other specific concerns that still need to be addressed.</w:t>
            </w:r>
          </w:p>
        </w:tc>
        <w:tc>
          <w:tcPr>
            <w:tcW w:w="3802" w:type="dxa"/>
            <w:tcBorders>
              <w:top w:val="single" w:sz="4" w:space="0" w:color="auto"/>
              <w:bottom w:val="single" w:sz="4" w:space="0" w:color="auto"/>
            </w:tcBorders>
            <w:shd w:val="clear" w:color="auto" w:fill="auto"/>
          </w:tcPr>
          <w:p w14:paraId="03C29FCA" w14:textId="23F19AB6"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A9E894C" w14:textId="77777777" w:rsidTr="00CE3085">
        <w:trPr>
          <w:trHeight w:val="723"/>
        </w:trPr>
        <w:tc>
          <w:tcPr>
            <w:tcW w:w="1427" w:type="dxa"/>
            <w:tcBorders>
              <w:top w:val="nil"/>
              <w:bottom w:val="nil"/>
            </w:tcBorders>
            <w:shd w:val="clear" w:color="auto" w:fill="auto"/>
          </w:tcPr>
          <w:p w14:paraId="73EF4F6F"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EC743B2"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D7CCC91" w14:textId="3D1B8EEA" w:rsidR="00A70030" w:rsidRDefault="00A70030" w:rsidP="00073385">
            <w:pPr>
              <w:spacing w:before="60" w:after="60" w:line="240" w:lineRule="auto"/>
              <w:ind w:left="0"/>
              <w:rPr>
                <w:rFonts w:cs="Arial"/>
                <w:sz w:val="20"/>
                <w:szCs w:val="20"/>
              </w:rPr>
            </w:pPr>
            <w:r>
              <w:rPr>
                <w:rFonts w:cs="Arial"/>
                <w:sz w:val="20"/>
                <w:szCs w:val="20"/>
              </w:rPr>
              <w:t>4/8/17</w:t>
            </w:r>
          </w:p>
        </w:tc>
        <w:tc>
          <w:tcPr>
            <w:tcW w:w="6335" w:type="dxa"/>
            <w:tcBorders>
              <w:top w:val="single" w:sz="4" w:space="0" w:color="auto"/>
              <w:bottom w:val="single" w:sz="4" w:space="0" w:color="auto"/>
            </w:tcBorders>
            <w:shd w:val="clear" w:color="auto" w:fill="auto"/>
          </w:tcPr>
          <w:p w14:paraId="6546772E" w14:textId="77777777" w:rsidR="00A70030" w:rsidRDefault="00A70030" w:rsidP="00C72539">
            <w:pPr>
              <w:spacing w:before="60" w:after="60" w:line="240" w:lineRule="auto"/>
              <w:ind w:left="0"/>
              <w:rPr>
                <w:rFonts w:cs="Arial"/>
                <w:sz w:val="20"/>
                <w:szCs w:val="20"/>
              </w:rPr>
            </w:pPr>
            <w:r>
              <w:rPr>
                <w:rFonts w:cs="Arial"/>
                <w:sz w:val="20"/>
                <w:szCs w:val="20"/>
              </w:rPr>
              <w:t xml:space="preserve">SETFIA emailed CarbonNet to say the </w:t>
            </w:r>
            <w:r w:rsidRPr="006C3F14">
              <w:rPr>
                <w:rFonts w:cs="Arial"/>
                <w:sz w:val="20"/>
                <w:szCs w:val="20"/>
              </w:rPr>
              <w:t>impact (significance) on zooplankton is not insignificant</w:t>
            </w:r>
            <w:r>
              <w:rPr>
                <w:rFonts w:cs="Arial"/>
                <w:sz w:val="20"/>
                <w:szCs w:val="20"/>
              </w:rPr>
              <w:t xml:space="preserve">. While the </w:t>
            </w:r>
            <w:r w:rsidRPr="006C3F14">
              <w:rPr>
                <w:rFonts w:cs="Arial"/>
                <w:sz w:val="20"/>
                <w:szCs w:val="20"/>
              </w:rPr>
              <w:t xml:space="preserve">CSIRO paper shows that zooplankton is again mixed after </w:t>
            </w:r>
            <w:r>
              <w:rPr>
                <w:rFonts w:cs="Arial"/>
                <w:sz w:val="20"/>
                <w:szCs w:val="20"/>
              </w:rPr>
              <w:t>three</w:t>
            </w:r>
            <w:r w:rsidRPr="006C3F14">
              <w:rPr>
                <w:rFonts w:cs="Arial"/>
                <w:sz w:val="20"/>
                <w:szCs w:val="20"/>
              </w:rPr>
              <w:t xml:space="preserve"> days</w:t>
            </w:r>
            <w:r>
              <w:rPr>
                <w:rFonts w:cs="Arial"/>
                <w:sz w:val="20"/>
                <w:szCs w:val="20"/>
              </w:rPr>
              <w:t xml:space="preserve">, SETFIA pointed out that </w:t>
            </w:r>
            <w:r w:rsidRPr="006C3F14">
              <w:rPr>
                <w:rFonts w:cs="Arial"/>
                <w:sz w:val="20"/>
                <w:szCs w:val="20"/>
              </w:rPr>
              <w:t>commercial fish larvae form part of the zooplankton layer but do not have the same life history characteristics as zooplankton proper.  Rather</w:t>
            </w:r>
            <w:r>
              <w:rPr>
                <w:rFonts w:cs="Arial"/>
                <w:sz w:val="20"/>
                <w:szCs w:val="20"/>
              </w:rPr>
              <w:t>,</w:t>
            </w:r>
            <w:r w:rsidRPr="006C3F14">
              <w:rPr>
                <w:rFonts w:cs="Arial"/>
                <w:sz w:val="20"/>
                <w:szCs w:val="20"/>
              </w:rPr>
              <w:t xml:space="preserve"> after an annual spawn these commercial fish larvae turn into commercial fish species and live for 5-40 years. </w:t>
            </w:r>
          </w:p>
          <w:p w14:paraId="37C0CCC3" w14:textId="5B570730" w:rsidR="00A70030" w:rsidRPr="007E22A1" w:rsidRDefault="00A70030" w:rsidP="00073385">
            <w:pPr>
              <w:spacing w:before="60" w:after="60" w:line="240" w:lineRule="auto"/>
              <w:ind w:left="0"/>
              <w:rPr>
                <w:rFonts w:cs="Arial"/>
                <w:sz w:val="20"/>
                <w:szCs w:val="20"/>
              </w:rPr>
            </w:pPr>
            <w:r>
              <w:rPr>
                <w:rFonts w:cs="Arial"/>
                <w:sz w:val="20"/>
                <w:szCs w:val="20"/>
              </w:rPr>
              <w:t xml:space="preserve">SETFIA commented that the </w:t>
            </w:r>
            <w:r w:rsidRPr="006C3F14">
              <w:rPr>
                <w:rFonts w:cs="Arial"/>
                <w:sz w:val="20"/>
                <w:szCs w:val="20"/>
              </w:rPr>
              <w:t xml:space="preserve">McCauley paper made specific mention of commercial fish larvae </w:t>
            </w:r>
            <w:r>
              <w:rPr>
                <w:rFonts w:cs="Arial"/>
                <w:sz w:val="20"/>
                <w:szCs w:val="20"/>
              </w:rPr>
              <w:t>that they did not see in CarbonNet’s EP.</w:t>
            </w:r>
          </w:p>
        </w:tc>
        <w:tc>
          <w:tcPr>
            <w:tcW w:w="3802" w:type="dxa"/>
            <w:tcBorders>
              <w:top w:val="single" w:sz="4" w:space="0" w:color="auto"/>
              <w:bottom w:val="single" w:sz="4" w:space="0" w:color="auto"/>
            </w:tcBorders>
            <w:shd w:val="clear" w:color="auto" w:fill="auto"/>
          </w:tcPr>
          <w:p w14:paraId="253F5FD5" w14:textId="77777777" w:rsidR="00A70030" w:rsidRDefault="00A70030" w:rsidP="00073385">
            <w:pPr>
              <w:spacing w:before="60" w:after="60" w:line="240" w:lineRule="auto"/>
              <w:ind w:left="0"/>
              <w:rPr>
                <w:rFonts w:cs="Arial"/>
                <w:sz w:val="20"/>
                <w:szCs w:val="20"/>
              </w:rPr>
            </w:pPr>
            <w:r>
              <w:rPr>
                <w:rFonts w:cs="Arial"/>
                <w:sz w:val="20"/>
                <w:szCs w:val="20"/>
              </w:rPr>
              <w:t xml:space="preserve">CarbonNet discussed these issues with SETFIA at a face-to-face meeting in Lakes Entrance on 9/8/17. </w:t>
            </w:r>
          </w:p>
          <w:p w14:paraId="7A7C38DE" w14:textId="0B4C2874" w:rsidR="00A70030" w:rsidRDefault="00A70030" w:rsidP="00073385">
            <w:pPr>
              <w:spacing w:before="60" w:after="60" w:line="240" w:lineRule="auto"/>
              <w:ind w:left="0"/>
              <w:rPr>
                <w:rFonts w:cs="Arial"/>
                <w:sz w:val="20"/>
                <w:szCs w:val="20"/>
              </w:rPr>
            </w:pPr>
            <w:r>
              <w:rPr>
                <w:rFonts w:cs="Arial"/>
                <w:sz w:val="20"/>
                <w:szCs w:val="20"/>
              </w:rPr>
              <w:t xml:space="preserve">Plankton is described in Section 5.4.3 of the EP. </w:t>
            </w:r>
          </w:p>
        </w:tc>
      </w:tr>
      <w:tr w:rsidR="00A70030" w:rsidRPr="00FF0808" w14:paraId="4A774E38" w14:textId="77777777" w:rsidTr="00CE3085">
        <w:trPr>
          <w:trHeight w:val="723"/>
        </w:trPr>
        <w:tc>
          <w:tcPr>
            <w:tcW w:w="1427" w:type="dxa"/>
            <w:tcBorders>
              <w:top w:val="nil"/>
              <w:bottom w:val="nil"/>
            </w:tcBorders>
            <w:shd w:val="clear" w:color="auto" w:fill="auto"/>
          </w:tcPr>
          <w:p w14:paraId="1E7B3C38"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8C1E3AB"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1480138" w14:textId="77777777" w:rsidR="00A70030" w:rsidRDefault="00A70030" w:rsidP="00073385">
            <w:pPr>
              <w:spacing w:before="60" w:after="60" w:line="240" w:lineRule="auto"/>
              <w:ind w:left="0"/>
              <w:rPr>
                <w:rFonts w:cs="Arial"/>
                <w:sz w:val="20"/>
                <w:szCs w:val="20"/>
              </w:rPr>
            </w:pPr>
            <w:r>
              <w:rPr>
                <w:rFonts w:cs="Arial"/>
                <w:sz w:val="20"/>
                <w:szCs w:val="20"/>
              </w:rPr>
              <w:t>7/8/17</w:t>
            </w:r>
          </w:p>
        </w:tc>
        <w:tc>
          <w:tcPr>
            <w:tcW w:w="6335" w:type="dxa"/>
            <w:tcBorders>
              <w:top w:val="single" w:sz="4" w:space="0" w:color="auto"/>
              <w:bottom w:val="single" w:sz="4" w:space="0" w:color="auto"/>
            </w:tcBorders>
            <w:shd w:val="clear" w:color="auto" w:fill="auto"/>
          </w:tcPr>
          <w:p w14:paraId="0263A2FB" w14:textId="77777777" w:rsidR="00A70030" w:rsidRPr="007E22A1" w:rsidRDefault="00A70030" w:rsidP="00073385">
            <w:pPr>
              <w:spacing w:before="60" w:after="60" w:line="240" w:lineRule="auto"/>
              <w:ind w:left="0"/>
              <w:rPr>
                <w:rFonts w:cs="Arial"/>
                <w:sz w:val="20"/>
                <w:szCs w:val="20"/>
              </w:rPr>
            </w:pPr>
            <w:r w:rsidRPr="007E22A1">
              <w:rPr>
                <w:rFonts w:cs="Arial"/>
                <w:sz w:val="20"/>
                <w:szCs w:val="20"/>
              </w:rPr>
              <w:t xml:space="preserve">CarbonNet sent </w:t>
            </w:r>
            <w:r>
              <w:rPr>
                <w:rFonts w:cs="Arial"/>
                <w:sz w:val="20"/>
                <w:szCs w:val="20"/>
              </w:rPr>
              <w:t>SETFIA</w:t>
            </w:r>
            <w:r w:rsidRPr="007E22A1">
              <w:rPr>
                <w:rFonts w:cs="Arial"/>
                <w:sz w:val="20"/>
                <w:szCs w:val="20"/>
              </w:rPr>
              <w:t xml:space="preserve"> an email advising that the operational area and duration of survey have now been refined, and that the EP will be submitted in mid-August.</w:t>
            </w:r>
          </w:p>
          <w:p w14:paraId="3F471C68" w14:textId="77777777" w:rsidR="00A70030" w:rsidRPr="007E22A1" w:rsidRDefault="00A70030" w:rsidP="00073385">
            <w:pPr>
              <w:spacing w:before="60" w:after="60" w:line="240" w:lineRule="auto"/>
              <w:ind w:left="0"/>
              <w:rPr>
                <w:rFonts w:cs="Arial"/>
                <w:sz w:val="20"/>
                <w:szCs w:val="20"/>
              </w:rPr>
            </w:pPr>
            <w:r w:rsidRPr="007E22A1">
              <w:rPr>
                <w:rFonts w:cs="Arial"/>
                <w:sz w:val="20"/>
                <w:szCs w:val="20"/>
              </w:rPr>
              <w:t>The email explained that the operational area is now larger due to vessel turns, and provided map with amended operational area, and acquisition area (which is unchanged).</w:t>
            </w:r>
          </w:p>
          <w:p w14:paraId="2619A79C" w14:textId="77777777" w:rsidR="00A70030" w:rsidRDefault="00A70030" w:rsidP="00073385">
            <w:pPr>
              <w:spacing w:before="60" w:after="60" w:line="240" w:lineRule="auto"/>
              <w:ind w:left="0"/>
              <w:rPr>
                <w:rFonts w:cs="Arial"/>
                <w:sz w:val="20"/>
                <w:szCs w:val="20"/>
              </w:rPr>
            </w:pPr>
            <w:r w:rsidRPr="007E22A1">
              <w:rPr>
                <w:rFonts w:cs="Arial"/>
                <w:sz w:val="20"/>
                <w:szCs w:val="20"/>
              </w:rPr>
              <w:t>The survey duration is likely to be 13-16 days but could be up to 27 days depending on final vessel selection.</w:t>
            </w:r>
          </w:p>
        </w:tc>
        <w:tc>
          <w:tcPr>
            <w:tcW w:w="3802" w:type="dxa"/>
            <w:tcBorders>
              <w:top w:val="single" w:sz="4" w:space="0" w:color="auto"/>
              <w:bottom w:val="single" w:sz="4" w:space="0" w:color="auto"/>
            </w:tcBorders>
            <w:shd w:val="clear" w:color="auto" w:fill="auto"/>
          </w:tcPr>
          <w:p w14:paraId="413FDFBE" w14:textId="06C9073F"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5346A046" w14:textId="77777777" w:rsidTr="00891DE1">
        <w:trPr>
          <w:trHeight w:val="723"/>
        </w:trPr>
        <w:tc>
          <w:tcPr>
            <w:tcW w:w="1427" w:type="dxa"/>
            <w:tcBorders>
              <w:top w:val="nil"/>
              <w:bottom w:val="nil"/>
            </w:tcBorders>
            <w:shd w:val="clear" w:color="auto" w:fill="auto"/>
          </w:tcPr>
          <w:p w14:paraId="5E009E26"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8BFEF8B"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56559C3C" w14:textId="77777777" w:rsidR="00A70030" w:rsidRDefault="00A70030" w:rsidP="00073385">
            <w:pPr>
              <w:spacing w:before="60" w:after="60" w:line="240" w:lineRule="auto"/>
              <w:ind w:left="0"/>
              <w:rPr>
                <w:rFonts w:cs="Arial"/>
                <w:sz w:val="20"/>
                <w:szCs w:val="20"/>
              </w:rPr>
            </w:pPr>
            <w:r>
              <w:rPr>
                <w:rFonts w:cs="Arial"/>
                <w:sz w:val="20"/>
                <w:szCs w:val="20"/>
              </w:rPr>
              <w:t>9/8/17</w:t>
            </w:r>
          </w:p>
        </w:tc>
        <w:tc>
          <w:tcPr>
            <w:tcW w:w="6335" w:type="dxa"/>
            <w:tcBorders>
              <w:top w:val="single" w:sz="4" w:space="0" w:color="auto"/>
              <w:bottom w:val="single" w:sz="4" w:space="0" w:color="auto"/>
            </w:tcBorders>
            <w:shd w:val="clear" w:color="auto" w:fill="auto"/>
          </w:tcPr>
          <w:p w14:paraId="2D57837D" w14:textId="77777777" w:rsidR="00A70030" w:rsidRDefault="00A70030" w:rsidP="00073385">
            <w:pPr>
              <w:spacing w:before="60" w:after="60" w:line="240" w:lineRule="auto"/>
              <w:ind w:left="0"/>
              <w:rPr>
                <w:rFonts w:cs="Arial"/>
                <w:sz w:val="20"/>
                <w:szCs w:val="20"/>
              </w:rPr>
            </w:pPr>
            <w:r>
              <w:rPr>
                <w:rFonts w:cs="Arial"/>
                <w:sz w:val="20"/>
                <w:szCs w:val="20"/>
              </w:rPr>
              <w:t>CarbonNet met with SETFIA in Lakes Entrance to discuss the finalisation of the EP and issues raised.</w:t>
            </w:r>
          </w:p>
          <w:p w14:paraId="115C1626" w14:textId="77777777" w:rsidR="00A70030" w:rsidRPr="00B866A1" w:rsidRDefault="00A70030" w:rsidP="00073385">
            <w:pPr>
              <w:spacing w:before="60" w:after="60" w:line="240" w:lineRule="auto"/>
              <w:ind w:left="0"/>
              <w:rPr>
                <w:rFonts w:cs="Arial"/>
                <w:sz w:val="20"/>
                <w:szCs w:val="20"/>
              </w:rPr>
            </w:pPr>
            <w:r w:rsidRPr="00B866A1">
              <w:rPr>
                <w:rFonts w:cs="Arial"/>
                <w:sz w:val="20"/>
                <w:szCs w:val="20"/>
              </w:rPr>
              <w:t xml:space="preserve">SETFIA </w:t>
            </w:r>
            <w:r>
              <w:rPr>
                <w:rFonts w:cs="Arial"/>
                <w:sz w:val="20"/>
                <w:szCs w:val="20"/>
              </w:rPr>
              <w:t xml:space="preserve">said they </w:t>
            </w:r>
            <w:r w:rsidRPr="00B866A1">
              <w:rPr>
                <w:rFonts w:cs="Arial"/>
                <w:sz w:val="20"/>
                <w:szCs w:val="20"/>
              </w:rPr>
              <w:t xml:space="preserve">will be happy if </w:t>
            </w:r>
            <w:r>
              <w:rPr>
                <w:rFonts w:cs="Arial"/>
                <w:sz w:val="20"/>
                <w:szCs w:val="20"/>
              </w:rPr>
              <w:t xml:space="preserve">CarbonNet </w:t>
            </w:r>
            <w:r w:rsidRPr="00B866A1">
              <w:rPr>
                <w:rFonts w:cs="Arial"/>
                <w:sz w:val="20"/>
                <w:szCs w:val="20"/>
              </w:rPr>
              <w:t xml:space="preserve">can demonstrate that </w:t>
            </w:r>
            <w:r>
              <w:rPr>
                <w:rFonts w:cs="Arial"/>
                <w:sz w:val="20"/>
                <w:szCs w:val="20"/>
              </w:rPr>
              <w:t xml:space="preserve">it has </w:t>
            </w:r>
            <w:r w:rsidRPr="00B866A1">
              <w:rPr>
                <w:rFonts w:cs="Arial"/>
                <w:sz w:val="20"/>
                <w:szCs w:val="20"/>
              </w:rPr>
              <w:t xml:space="preserve">taken stakeholder concerns into consideration in our EP, namely: </w:t>
            </w:r>
          </w:p>
          <w:p w14:paraId="14CA6B13" w14:textId="77777777" w:rsidR="00A70030" w:rsidRPr="00B866A1" w:rsidRDefault="00A70030" w:rsidP="00073385">
            <w:pPr>
              <w:spacing w:before="60" w:after="60" w:line="240" w:lineRule="auto"/>
              <w:ind w:left="0"/>
              <w:rPr>
                <w:rFonts w:cs="Arial"/>
                <w:sz w:val="20"/>
                <w:szCs w:val="20"/>
              </w:rPr>
            </w:pPr>
            <w:r>
              <w:rPr>
                <w:rFonts w:cs="Arial"/>
                <w:sz w:val="20"/>
                <w:szCs w:val="20"/>
              </w:rPr>
              <w:t>1. T</w:t>
            </w:r>
            <w:r w:rsidRPr="00B866A1">
              <w:rPr>
                <w:rFonts w:cs="Arial"/>
                <w:sz w:val="20"/>
                <w:szCs w:val="20"/>
              </w:rPr>
              <w:t xml:space="preserve">iming - SETFIA's preference is </w:t>
            </w:r>
            <w:r>
              <w:rPr>
                <w:rFonts w:cs="Arial"/>
                <w:sz w:val="20"/>
                <w:szCs w:val="20"/>
              </w:rPr>
              <w:t>for the MSS to avoid November.</w:t>
            </w:r>
          </w:p>
          <w:p w14:paraId="347A8561" w14:textId="77777777" w:rsidR="00A70030" w:rsidRPr="00B866A1" w:rsidRDefault="00A70030" w:rsidP="00073385">
            <w:pPr>
              <w:spacing w:before="60" w:after="60" w:line="240" w:lineRule="auto"/>
              <w:ind w:left="0"/>
              <w:rPr>
                <w:rFonts w:cs="Arial"/>
                <w:sz w:val="20"/>
                <w:szCs w:val="20"/>
              </w:rPr>
            </w:pPr>
            <w:r w:rsidRPr="00B866A1">
              <w:rPr>
                <w:rFonts w:cs="Arial"/>
                <w:sz w:val="20"/>
                <w:szCs w:val="20"/>
              </w:rPr>
              <w:t xml:space="preserve">2. </w:t>
            </w:r>
            <w:r>
              <w:rPr>
                <w:rFonts w:cs="Arial"/>
                <w:sz w:val="20"/>
                <w:szCs w:val="20"/>
              </w:rPr>
              <w:t>C</w:t>
            </w:r>
            <w:r w:rsidRPr="00B866A1">
              <w:rPr>
                <w:rFonts w:cs="Arial"/>
                <w:sz w:val="20"/>
                <w:szCs w:val="20"/>
              </w:rPr>
              <w:t>onducting a scallop survey</w:t>
            </w:r>
            <w:r>
              <w:rPr>
                <w:rFonts w:cs="Arial"/>
                <w:sz w:val="20"/>
                <w:szCs w:val="20"/>
              </w:rPr>
              <w:t xml:space="preserve"> in collaboration with industry in some form, to which SETFIA would be an interested party only.</w:t>
            </w:r>
          </w:p>
          <w:p w14:paraId="5B5BAD08" w14:textId="77777777" w:rsidR="00A70030" w:rsidRPr="00B866A1" w:rsidRDefault="00A70030" w:rsidP="00073385">
            <w:pPr>
              <w:spacing w:before="60" w:after="60" w:line="240" w:lineRule="auto"/>
              <w:ind w:left="0"/>
              <w:rPr>
                <w:rFonts w:cs="Arial"/>
                <w:sz w:val="20"/>
                <w:szCs w:val="20"/>
              </w:rPr>
            </w:pPr>
            <w:r w:rsidRPr="00B866A1">
              <w:rPr>
                <w:rFonts w:cs="Arial"/>
                <w:sz w:val="20"/>
                <w:szCs w:val="20"/>
              </w:rPr>
              <w:t xml:space="preserve"> </w:t>
            </w:r>
          </w:p>
          <w:p w14:paraId="670A0118" w14:textId="77777777" w:rsidR="00A70030" w:rsidRPr="007E22A1" w:rsidRDefault="00A70030" w:rsidP="00073385">
            <w:pPr>
              <w:spacing w:before="60" w:after="60" w:line="240" w:lineRule="auto"/>
              <w:ind w:left="0"/>
              <w:rPr>
                <w:rFonts w:cs="Arial"/>
                <w:sz w:val="20"/>
                <w:szCs w:val="20"/>
              </w:rPr>
            </w:pPr>
            <w:r w:rsidRPr="00B866A1">
              <w:rPr>
                <w:rFonts w:cs="Arial"/>
                <w:sz w:val="20"/>
                <w:szCs w:val="20"/>
              </w:rPr>
              <w:t xml:space="preserve">SETFIA is particularly concerned about Blue Warehou juveniles </w:t>
            </w:r>
            <w:r>
              <w:rPr>
                <w:rFonts w:cs="Arial"/>
                <w:sz w:val="20"/>
                <w:szCs w:val="20"/>
              </w:rPr>
              <w:t xml:space="preserve">and Jackass Moorwong </w:t>
            </w:r>
            <w:r w:rsidRPr="00B866A1">
              <w:rPr>
                <w:rFonts w:cs="Arial"/>
                <w:sz w:val="20"/>
                <w:szCs w:val="20"/>
              </w:rPr>
              <w:t xml:space="preserve">in </w:t>
            </w:r>
            <w:r>
              <w:rPr>
                <w:rFonts w:cs="Arial"/>
                <w:sz w:val="20"/>
                <w:szCs w:val="20"/>
              </w:rPr>
              <w:t xml:space="preserve">the </w:t>
            </w:r>
            <w:r w:rsidRPr="00B866A1">
              <w:rPr>
                <w:rFonts w:cs="Arial"/>
                <w:sz w:val="20"/>
                <w:szCs w:val="20"/>
              </w:rPr>
              <w:t>MSS area and the impacts on them.</w:t>
            </w:r>
          </w:p>
        </w:tc>
        <w:tc>
          <w:tcPr>
            <w:tcW w:w="3802" w:type="dxa"/>
            <w:tcBorders>
              <w:top w:val="single" w:sz="4" w:space="0" w:color="auto"/>
              <w:bottom w:val="single" w:sz="4" w:space="0" w:color="auto"/>
            </w:tcBorders>
            <w:shd w:val="clear" w:color="auto" w:fill="auto"/>
          </w:tcPr>
          <w:p w14:paraId="05D8D2DC" w14:textId="77777777" w:rsidR="00A70030" w:rsidRDefault="00A70030" w:rsidP="00073385">
            <w:pPr>
              <w:spacing w:before="60" w:after="60" w:line="240" w:lineRule="auto"/>
              <w:ind w:left="0"/>
              <w:rPr>
                <w:rFonts w:cs="Arial"/>
                <w:sz w:val="20"/>
                <w:szCs w:val="20"/>
              </w:rPr>
            </w:pPr>
            <w:r>
              <w:rPr>
                <w:rFonts w:cs="Arial"/>
                <w:sz w:val="20"/>
                <w:szCs w:val="20"/>
              </w:rPr>
              <w:t xml:space="preserve">Information about blue warehou and jackass moorwong spawning periods have been </w:t>
            </w:r>
            <w:r w:rsidRPr="00E86BFB">
              <w:rPr>
                <w:rFonts w:cs="Arial"/>
                <w:sz w:val="20"/>
                <w:szCs w:val="20"/>
              </w:rPr>
              <w:t xml:space="preserve">detailed </w:t>
            </w:r>
            <w:r w:rsidRPr="00AB2E64">
              <w:rPr>
                <w:rFonts w:cs="Arial"/>
                <w:sz w:val="20"/>
                <w:szCs w:val="20"/>
              </w:rPr>
              <w:t xml:space="preserve">in Section 5.4.4 of the EP. </w:t>
            </w:r>
          </w:p>
          <w:p w14:paraId="6A1DECEE" w14:textId="77777777" w:rsidR="00A70030" w:rsidRDefault="00A70030" w:rsidP="00073385">
            <w:pPr>
              <w:spacing w:before="60" w:after="60" w:line="240" w:lineRule="auto"/>
              <w:ind w:left="0"/>
              <w:rPr>
                <w:rFonts w:cs="Arial"/>
                <w:sz w:val="20"/>
                <w:szCs w:val="20"/>
              </w:rPr>
            </w:pPr>
          </w:p>
          <w:p w14:paraId="19174A58" w14:textId="77777777" w:rsidR="00A70030" w:rsidRDefault="00A70030" w:rsidP="00073385">
            <w:pPr>
              <w:spacing w:before="60" w:after="60" w:line="240" w:lineRule="auto"/>
              <w:ind w:left="0"/>
              <w:rPr>
                <w:rFonts w:cs="Arial"/>
                <w:sz w:val="20"/>
                <w:szCs w:val="20"/>
              </w:rPr>
            </w:pPr>
            <w:r>
              <w:rPr>
                <w:rFonts w:cs="Arial"/>
                <w:sz w:val="20"/>
                <w:szCs w:val="20"/>
              </w:rPr>
              <w:t>CarbonNet will continue to talk to SETFIA about timing for the MSS, and will seek to avoid November if possible.</w:t>
            </w:r>
          </w:p>
          <w:p w14:paraId="2D8BCA51" w14:textId="77777777" w:rsidR="00A70030" w:rsidRDefault="00A70030" w:rsidP="00073385">
            <w:pPr>
              <w:spacing w:before="60" w:after="60" w:line="240" w:lineRule="auto"/>
              <w:ind w:left="0"/>
              <w:rPr>
                <w:rFonts w:cs="Arial"/>
                <w:sz w:val="20"/>
                <w:szCs w:val="20"/>
              </w:rPr>
            </w:pPr>
          </w:p>
          <w:p w14:paraId="66DD4FAD" w14:textId="1B1FA7DD" w:rsidR="00A70030" w:rsidRDefault="00A70030" w:rsidP="00073385">
            <w:pPr>
              <w:spacing w:before="60" w:after="60" w:line="240" w:lineRule="auto"/>
              <w:ind w:left="0"/>
              <w:rPr>
                <w:rFonts w:cs="Arial"/>
                <w:sz w:val="20"/>
                <w:szCs w:val="20"/>
              </w:rPr>
            </w:pPr>
            <w:r>
              <w:rPr>
                <w:rFonts w:cs="Arial"/>
                <w:sz w:val="20"/>
                <w:szCs w:val="20"/>
              </w:rPr>
              <w:t>CarbonNet will involve SETFIA as an interested party in planning for its pre- and post-MSS environmental habitat assessment.</w:t>
            </w:r>
          </w:p>
        </w:tc>
      </w:tr>
      <w:tr w:rsidR="00A70030" w:rsidRPr="00FF0808" w14:paraId="26A4F252" w14:textId="77777777" w:rsidTr="00891DE1">
        <w:trPr>
          <w:trHeight w:val="723"/>
        </w:trPr>
        <w:tc>
          <w:tcPr>
            <w:tcW w:w="1427" w:type="dxa"/>
            <w:tcBorders>
              <w:top w:val="nil"/>
              <w:bottom w:val="nil"/>
            </w:tcBorders>
            <w:shd w:val="clear" w:color="auto" w:fill="auto"/>
          </w:tcPr>
          <w:p w14:paraId="411FB217"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7FFFF1C"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2EABE72" w14:textId="18C9CBF5"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auto"/>
              <w:bottom w:val="single" w:sz="4" w:space="0" w:color="auto"/>
            </w:tcBorders>
            <w:shd w:val="clear" w:color="auto" w:fill="auto"/>
          </w:tcPr>
          <w:p w14:paraId="7298FD31" w14:textId="10A243C8" w:rsidR="00A70030"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tcBorders>
              <w:top w:val="single" w:sz="4" w:space="0" w:color="auto"/>
              <w:bottom w:val="single" w:sz="4" w:space="0" w:color="auto"/>
            </w:tcBorders>
            <w:shd w:val="clear" w:color="auto" w:fill="auto"/>
          </w:tcPr>
          <w:p w14:paraId="72364293" w14:textId="3C0F17F6"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8183F8A" w14:textId="77777777" w:rsidTr="00891DE1">
        <w:trPr>
          <w:trHeight w:val="723"/>
        </w:trPr>
        <w:tc>
          <w:tcPr>
            <w:tcW w:w="1427" w:type="dxa"/>
            <w:tcBorders>
              <w:top w:val="nil"/>
              <w:bottom w:val="nil"/>
            </w:tcBorders>
            <w:shd w:val="clear" w:color="auto" w:fill="auto"/>
          </w:tcPr>
          <w:p w14:paraId="166B39F5"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A9B3AFB"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203273E5" w14:textId="04E5180D"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auto"/>
              <w:bottom w:val="single" w:sz="4" w:space="0" w:color="auto"/>
            </w:tcBorders>
            <w:shd w:val="clear" w:color="auto" w:fill="auto"/>
          </w:tcPr>
          <w:p w14:paraId="4A94E152" w14:textId="5EBF86D5" w:rsidR="00A70030" w:rsidRDefault="00A70030" w:rsidP="00056BF5">
            <w:pPr>
              <w:spacing w:before="60" w:after="60" w:line="240" w:lineRule="auto"/>
              <w:ind w:left="0"/>
              <w:rPr>
                <w:rFonts w:cs="Arial"/>
                <w:sz w:val="20"/>
                <w:szCs w:val="20"/>
              </w:rPr>
            </w:pPr>
            <w:r>
              <w:rPr>
                <w:rFonts w:cs="Arial"/>
                <w:sz w:val="20"/>
                <w:szCs w:val="20"/>
              </w:rPr>
              <w:t>SETFIA emailed CarbonNet to ask if it has proposed a date for the MSS yet.</w:t>
            </w:r>
          </w:p>
        </w:tc>
        <w:tc>
          <w:tcPr>
            <w:tcW w:w="3802" w:type="dxa"/>
            <w:tcBorders>
              <w:top w:val="single" w:sz="4" w:space="0" w:color="auto"/>
              <w:bottom w:val="single" w:sz="4" w:space="0" w:color="auto"/>
            </w:tcBorders>
            <w:shd w:val="clear" w:color="auto" w:fill="auto"/>
          </w:tcPr>
          <w:p w14:paraId="7E5ABF6E" w14:textId="4908717A" w:rsidR="00A70030" w:rsidRDefault="00A70030" w:rsidP="00056BF5">
            <w:pPr>
              <w:spacing w:before="60" w:after="60" w:line="240" w:lineRule="auto"/>
              <w:ind w:left="0"/>
              <w:rPr>
                <w:rFonts w:cs="Arial"/>
                <w:sz w:val="20"/>
                <w:szCs w:val="20"/>
              </w:rPr>
            </w:pPr>
            <w:r>
              <w:rPr>
                <w:rFonts w:cs="Arial"/>
                <w:sz w:val="20"/>
                <w:szCs w:val="20"/>
              </w:rPr>
              <w:t xml:space="preserve">CarbonNet responded on 24/8/17 </w:t>
            </w:r>
            <w:r w:rsidRPr="00617E0D">
              <w:rPr>
                <w:rFonts w:cs="Arial"/>
                <w:sz w:val="20"/>
                <w:szCs w:val="20"/>
              </w:rPr>
              <w:t>explaining that</w:t>
            </w:r>
            <w:r>
              <w:rPr>
                <w:rFonts w:cs="Arial"/>
                <w:sz w:val="20"/>
                <w:szCs w:val="20"/>
              </w:rPr>
              <w:t xml:space="preserve"> the MSS window had not changed</w:t>
            </w:r>
            <w:r w:rsidRPr="00617E0D">
              <w:rPr>
                <w:rFonts w:cs="Arial"/>
                <w:sz w:val="20"/>
                <w:szCs w:val="20"/>
              </w:rPr>
              <w:t>, but a key consideration for CarbonNet in selecting a vessel will be availability in Feb</w:t>
            </w:r>
            <w:r>
              <w:rPr>
                <w:rFonts w:cs="Arial"/>
                <w:sz w:val="20"/>
                <w:szCs w:val="20"/>
              </w:rPr>
              <w:t>ruary</w:t>
            </w:r>
            <w:r w:rsidRPr="00617E0D">
              <w:rPr>
                <w:rFonts w:cs="Arial"/>
                <w:sz w:val="20"/>
                <w:szCs w:val="20"/>
              </w:rPr>
              <w:t>/M</w:t>
            </w:r>
            <w:r>
              <w:rPr>
                <w:rFonts w:cs="Arial"/>
                <w:sz w:val="20"/>
                <w:szCs w:val="20"/>
              </w:rPr>
              <w:t xml:space="preserve">arch in order to avoid November (being the least preferred month by three key fishing groups). </w:t>
            </w:r>
          </w:p>
          <w:p w14:paraId="4C94EB6B" w14:textId="08941588" w:rsidR="00A70030" w:rsidRDefault="00A70030" w:rsidP="00073385">
            <w:pPr>
              <w:spacing w:before="60" w:after="60" w:line="240" w:lineRule="auto"/>
              <w:ind w:left="0"/>
              <w:rPr>
                <w:rFonts w:cs="Arial"/>
                <w:sz w:val="20"/>
                <w:szCs w:val="20"/>
              </w:rPr>
            </w:pPr>
            <w:r>
              <w:rPr>
                <w:rFonts w:cs="Arial"/>
                <w:sz w:val="20"/>
                <w:szCs w:val="20"/>
              </w:rPr>
              <w:t>SETFIA replied on 24/8/17 to thank CarbonNet for the information.</w:t>
            </w:r>
          </w:p>
        </w:tc>
      </w:tr>
      <w:tr w:rsidR="00A70030" w:rsidRPr="00FF0808" w14:paraId="24ED3A9B" w14:textId="77777777" w:rsidTr="00CE3085">
        <w:trPr>
          <w:trHeight w:val="723"/>
        </w:trPr>
        <w:tc>
          <w:tcPr>
            <w:tcW w:w="1427" w:type="dxa"/>
            <w:tcBorders>
              <w:top w:val="nil"/>
              <w:bottom w:val="single" w:sz="4" w:space="0" w:color="auto"/>
            </w:tcBorders>
            <w:shd w:val="clear" w:color="auto" w:fill="auto"/>
          </w:tcPr>
          <w:p w14:paraId="65C98E8A"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single" w:sz="4" w:space="0" w:color="auto"/>
            </w:tcBorders>
            <w:shd w:val="clear" w:color="auto" w:fill="auto"/>
          </w:tcPr>
          <w:p w14:paraId="006E2492"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C7D9FC0" w14:textId="340AB330" w:rsidR="00A70030" w:rsidRDefault="00A70030" w:rsidP="00073385">
            <w:pPr>
              <w:spacing w:before="60" w:after="60" w:line="240" w:lineRule="auto"/>
              <w:ind w:left="0"/>
              <w:rPr>
                <w:rFonts w:cs="Arial"/>
                <w:sz w:val="20"/>
                <w:szCs w:val="20"/>
              </w:rPr>
            </w:pPr>
            <w:r>
              <w:rPr>
                <w:rFonts w:cs="Arial"/>
                <w:sz w:val="20"/>
                <w:szCs w:val="20"/>
              </w:rPr>
              <w:t>26/9/17</w:t>
            </w:r>
          </w:p>
        </w:tc>
        <w:tc>
          <w:tcPr>
            <w:tcW w:w="6335" w:type="dxa"/>
            <w:tcBorders>
              <w:top w:val="single" w:sz="4" w:space="0" w:color="auto"/>
              <w:bottom w:val="single" w:sz="4" w:space="0" w:color="auto"/>
            </w:tcBorders>
            <w:shd w:val="clear" w:color="auto" w:fill="auto"/>
          </w:tcPr>
          <w:p w14:paraId="1988F56F" w14:textId="77777777" w:rsidR="00A70030" w:rsidRPr="00101622" w:rsidRDefault="00A70030" w:rsidP="00056BF5">
            <w:pPr>
              <w:spacing w:before="60" w:after="60" w:line="240" w:lineRule="auto"/>
              <w:ind w:left="0"/>
              <w:rPr>
                <w:rFonts w:cs="Arial"/>
                <w:sz w:val="20"/>
                <w:szCs w:val="20"/>
              </w:rPr>
            </w:pPr>
            <w:r w:rsidRPr="00101622">
              <w:rPr>
                <w:rFonts w:cs="Arial"/>
                <w:sz w:val="20"/>
                <w:szCs w:val="20"/>
              </w:rPr>
              <w:t>CarbonNet was made aware of an email sent by SETFIA to oil and gas companies about the Fishery Independent Survey (FIS), which requested no seismic or other activity between F</w:t>
            </w:r>
            <w:r>
              <w:rPr>
                <w:rFonts w:cs="Arial"/>
                <w:sz w:val="20"/>
                <w:szCs w:val="20"/>
              </w:rPr>
              <w:t>ebruary and mid-September 2018.</w:t>
            </w:r>
          </w:p>
          <w:p w14:paraId="363C5142" w14:textId="7358C9CC" w:rsidR="00A70030" w:rsidRPr="00101622" w:rsidRDefault="00A70030" w:rsidP="00056BF5">
            <w:pPr>
              <w:spacing w:before="60" w:after="60" w:line="240" w:lineRule="auto"/>
              <w:ind w:left="0"/>
              <w:rPr>
                <w:rFonts w:cs="Arial"/>
                <w:sz w:val="20"/>
                <w:szCs w:val="20"/>
              </w:rPr>
            </w:pPr>
            <w:r w:rsidRPr="00101622">
              <w:rPr>
                <w:rFonts w:cs="Arial"/>
                <w:sz w:val="20"/>
                <w:szCs w:val="20"/>
              </w:rPr>
              <w:t>CarbonNet phone</w:t>
            </w:r>
            <w:r>
              <w:rPr>
                <w:rFonts w:cs="Arial"/>
                <w:sz w:val="20"/>
                <w:szCs w:val="20"/>
              </w:rPr>
              <w:t>d</w:t>
            </w:r>
            <w:r w:rsidRPr="00101622">
              <w:rPr>
                <w:rFonts w:cs="Arial"/>
                <w:sz w:val="20"/>
                <w:szCs w:val="20"/>
              </w:rPr>
              <w:t xml:space="preserve"> SETFIA to discuss </w:t>
            </w:r>
            <w:r>
              <w:rPr>
                <w:rFonts w:cs="Arial"/>
                <w:sz w:val="20"/>
                <w:szCs w:val="20"/>
              </w:rPr>
              <w:t xml:space="preserve">this, </w:t>
            </w:r>
            <w:r w:rsidRPr="00101622">
              <w:rPr>
                <w:rFonts w:cs="Arial"/>
                <w:sz w:val="20"/>
                <w:szCs w:val="20"/>
              </w:rPr>
              <w:t>as the previous view was that Feb</w:t>
            </w:r>
            <w:r>
              <w:rPr>
                <w:rFonts w:cs="Arial"/>
                <w:sz w:val="20"/>
                <w:szCs w:val="20"/>
              </w:rPr>
              <w:t>ruary</w:t>
            </w:r>
            <w:r w:rsidRPr="00101622">
              <w:rPr>
                <w:rFonts w:cs="Arial"/>
                <w:sz w:val="20"/>
                <w:szCs w:val="20"/>
              </w:rPr>
              <w:t xml:space="preserve">/March was the preferred window for the </w:t>
            </w:r>
            <w:r>
              <w:rPr>
                <w:rFonts w:cs="Arial"/>
                <w:sz w:val="20"/>
                <w:szCs w:val="20"/>
              </w:rPr>
              <w:t xml:space="preserve">MSS </w:t>
            </w:r>
            <w:r w:rsidRPr="00101622">
              <w:rPr>
                <w:rFonts w:cs="Arial"/>
                <w:sz w:val="20"/>
                <w:szCs w:val="20"/>
              </w:rPr>
              <w:t xml:space="preserve">to take </w:t>
            </w:r>
            <w:r w:rsidRPr="00101622">
              <w:rPr>
                <w:rFonts w:cs="Arial"/>
                <w:sz w:val="20"/>
                <w:szCs w:val="20"/>
              </w:rPr>
              <w:lastRenderedPageBreak/>
              <w:t>place.</w:t>
            </w:r>
          </w:p>
          <w:p w14:paraId="430611B7" w14:textId="77777777" w:rsidR="00A70030" w:rsidRPr="00101622" w:rsidRDefault="00A70030" w:rsidP="00056BF5">
            <w:pPr>
              <w:spacing w:before="60" w:after="60" w:line="240" w:lineRule="auto"/>
              <w:ind w:left="0"/>
              <w:rPr>
                <w:rFonts w:cs="Arial"/>
                <w:sz w:val="20"/>
                <w:szCs w:val="20"/>
              </w:rPr>
            </w:pPr>
            <w:r w:rsidRPr="00101622">
              <w:rPr>
                <w:rFonts w:cs="Arial"/>
                <w:sz w:val="20"/>
                <w:szCs w:val="20"/>
              </w:rPr>
              <w:t>SETFIA said CarbonNet's proposed MSS is not near the FIS fish shots,</w:t>
            </w:r>
            <w:r>
              <w:rPr>
                <w:rFonts w:cs="Arial"/>
                <w:sz w:val="20"/>
                <w:szCs w:val="20"/>
              </w:rPr>
              <w:t xml:space="preserve"> so they are not too concerned.</w:t>
            </w:r>
          </w:p>
          <w:p w14:paraId="1A6650C3" w14:textId="30428555" w:rsidR="00A70030" w:rsidRDefault="00A70030" w:rsidP="009A7DBC">
            <w:pPr>
              <w:spacing w:before="60" w:after="60" w:line="240" w:lineRule="auto"/>
              <w:ind w:left="0"/>
              <w:rPr>
                <w:rFonts w:cs="Arial"/>
                <w:sz w:val="20"/>
                <w:szCs w:val="20"/>
              </w:rPr>
            </w:pPr>
            <w:r w:rsidRPr="00101622">
              <w:rPr>
                <w:rFonts w:cs="Arial"/>
                <w:sz w:val="20"/>
                <w:szCs w:val="20"/>
              </w:rPr>
              <w:t>Also, the FIS is not a trawl survey, which is the fishery most likely to be impacted by the proposed MSS.</w:t>
            </w:r>
          </w:p>
        </w:tc>
        <w:tc>
          <w:tcPr>
            <w:tcW w:w="3802" w:type="dxa"/>
            <w:tcBorders>
              <w:top w:val="single" w:sz="4" w:space="0" w:color="auto"/>
              <w:bottom w:val="single" w:sz="4" w:space="0" w:color="auto"/>
            </w:tcBorders>
            <w:shd w:val="clear" w:color="auto" w:fill="auto"/>
          </w:tcPr>
          <w:p w14:paraId="6234F6CE" w14:textId="3C12E69A" w:rsidR="00A70030" w:rsidRDefault="00A70030" w:rsidP="00073385">
            <w:pPr>
              <w:spacing w:before="60" w:after="60" w:line="240" w:lineRule="auto"/>
              <w:ind w:left="0"/>
              <w:rPr>
                <w:rFonts w:cs="Arial"/>
                <w:sz w:val="20"/>
                <w:szCs w:val="20"/>
              </w:rPr>
            </w:pPr>
            <w:r>
              <w:rPr>
                <w:rFonts w:cs="Arial"/>
                <w:sz w:val="20"/>
                <w:szCs w:val="20"/>
              </w:rPr>
              <w:lastRenderedPageBreak/>
              <w:t>CarbonNet t</w:t>
            </w:r>
            <w:r w:rsidRPr="00101622">
              <w:rPr>
                <w:rFonts w:cs="Arial"/>
                <w:sz w:val="20"/>
                <w:szCs w:val="20"/>
              </w:rPr>
              <w:t>hanked SETFIA for the feedback and requested that CarbonNet be added to their mailing list for future notifications.</w:t>
            </w:r>
          </w:p>
        </w:tc>
      </w:tr>
      <w:tr w:rsidR="00A70030" w:rsidRPr="00FF0808" w14:paraId="01849874" w14:textId="77777777" w:rsidTr="00646CD8">
        <w:trPr>
          <w:trHeight w:val="170"/>
        </w:trPr>
        <w:tc>
          <w:tcPr>
            <w:tcW w:w="1427" w:type="dxa"/>
            <w:vMerge w:val="restart"/>
            <w:tcBorders>
              <w:top w:val="single" w:sz="4" w:space="0" w:color="auto"/>
            </w:tcBorders>
            <w:shd w:val="clear" w:color="auto" w:fill="auto"/>
          </w:tcPr>
          <w:p w14:paraId="577F8401" w14:textId="77777777" w:rsidR="00A70030" w:rsidRPr="003E2F3C" w:rsidRDefault="00A70030" w:rsidP="00073385">
            <w:pPr>
              <w:spacing w:before="60" w:after="60" w:line="240" w:lineRule="auto"/>
              <w:ind w:left="0"/>
              <w:rPr>
                <w:rFonts w:cs="Arial"/>
                <w:sz w:val="20"/>
                <w:szCs w:val="20"/>
              </w:rPr>
            </w:pPr>
            <w:r w:rsidRPr="003E2F3C">
              <w:rPr>
                <w:rFonts w:cs="Arial"/>
                <w:sz w:val="20"/>
                <w:szCs w:val="20"/>
              </w:rPr>
              <w:t>Lakes Entrance Fisherman’s Cooperative (LEFCOL)</w:t>
            </w:r>
          </w:p>
          <w:p w14:paraId="51F80DC1" w14:textId="77777777" w:rsidR="00A70030" w:rsidRPr="003E2F3C" w:rsidRDefault="00A70030" w:rsidP="00073385">
            <w:pPr>
              <w:spacing w:before="60" w:after="60" w:line="240" w:lineRule="auto"/>
              <w:ind w:left="0"/>
              <w:rPr>
                <w:rFonts w:cs="Arial"/>
                <w:sz w:val="20"/>
                <w:szCs w:val="20"/>
              </w:rPr>
            </w:pPr>
          </w:p>
        </w:tc>
        <w:tc>
          <w:tcPr>
            <w:tcW w:w="1629" w:type="dxa"/>
            <w:vMerge w:val="restart"/>
            <w:tcBorders>
              <w:top w:val="single" w:sz="4" w:space="0" w:color="auto"/>
            </w:tcBorders>
            <w:shd w:val="clear" w:color="auto" w:fill="auto"/>
          </w:tcPr>
          <w:p w14:paraId="34347477" w14:textId="77777777" w:rsidR="00A70030" w:rsidRPr="00FF0808" w:rsidRDefault="00A70030" w:rsidP="00073385">
            <w:pPr>
              <w:spacing w:before="60" w:after="60" w:line="240" w:lineRule="auto"/>
              <w:ind w:left="0"/>
              <w:rPr>
                <w:rFonts w:cs="Arial"/>
                <w:sz w:val="20"/>
                <w:szCs w:val="20"/>
              </w:rPr>
            </w:pPr>
            <w:r>
              <w:rPr>
                <w:rFonts w:cs="Arial"/>
                <w:sz w:val="20"/>
                <w:szCs w:val="20"/>
              </w:rPr>
              <w:t>Co-operative of commercial fishers in Lakes Entrance with activities in or near the proposed acquisition area</w:t>
            </w:r>
          </w:p>
        </w:tc>
        <w:tc>
          <w:tcPr>
            <w:tcW w:w="1055" w:type="dxa"/>
            <w:tcBorders>
              <w:top w:val="single" w:sz="4" w:space="0" w:color="auto"/>
              <w:bottom w:val="single" w:sz="4" w:space="0" w:color="auto"/>
            </w:tcBorders>
          </w:tcPr>
          <w:p w14:paraId="5B64BA6B" w14:textId="77777777" w:rsidR="00A70030" w:rsidRDefault="00A70030" w:rsidP="00073385">
            <w:pPr>
              <w:spacing w:before="60" w:after="60" w:line="240" w:lineRule="auto"/>
              <w:ind w:left="0"/>
              <w:rPr>
                <w:rFonts w:cs="Arial"/>
                <w:sz w:val="20"/>
                <w:szCs w:val="20"/>
              </w:rPr>
            </w:pPr>
            <w:r>
              <w:rPr>
                <w:rFonts w:cs="Arial"/>
                <w:sz w:val="20"/>
                <w:szCs w:val="20"/>
              </w:rPr>
              <w:t>21/3/17</w:t>
            </w:r>
          </w:p>
          <w:p w14:paraId="425075C2"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76CE583D" w14:textId="5DF6399D" w:rsidR="00A70030" w:rsidRDefault="00A70030" w:rsidP="00073385">
            <w:pPr>
              <w:spacing w:before="60" w:after="60" w:line="240" w:lineRule="auto"/>
              <w:ind w:left="0"/>
              <w:rPr>
                <w:rFonts w:cs="Arial"/>
                <w:sz w:val="20"/>
                <w:szCs w:val="20"/>
              </w:rPr>
            </w:pPr>
            <w:r>
              <w:rPr>
                <w:rFonts w:cs="Arial"/>
                <w:sz w:val="20"/>
                <w:szCs w:val="20"/>
              </w:rPr>
              <w:t>CarbonNet contacted LEFCOL via post and and email with a letter that requested a meeting, invited feedback and provided a fact sheet.</w:t>
            </w:r>
          </w:p>
        </w:tc>
        <w:tc>
          <w:tcPr>
            <w:tcW w:w="3802" w:type="dxa"/>
            <w:tcBorders>
              <w:top w:val="single" w:sz="4" w:space="0" w:color="auto"/>
              <w:bottom w:val="single" w:sz="4" w:space="0" w:color="auto"/>
            </w:tcBorders>
            <w:shd w:val="clear" w:color="auto" w:fill="auto"/>
          </w:tcPr>
          <w:p w14:paraId="651C15FE" w14:textId="54E4A552"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3B475D6D" w14:textId="77777777" w:rsidTr="00646CD8">
        <w:trPr>
          <w:trHeight w:val="170"/>
        </w:trPr>
        <w:tc>
          <w:tcPr>
            <w:tcW w:w="1427" w:type="dxa"/>
            <w:vMerge/>
            <w:shd w:val="clear" w:color="auto" w:fill="auto"/>
          </w:tcPr>
          <w:p w14:paraId="56D95230" w14:textId="77777777" w:rsidR="00A70030" w:rsidRPr="003E2F3C" w:rsidRDefault="00A70030" w:rsidP="00073385">
            <w:pPr>
              <w:spacing w:before="60" w:after="60" w:line="240" w:lineRule="auto"/>
              <w:ind w:left="0"/>
              <w:rPr>
                <w:rFonts w:cs="Arial"/>
                <w:sz w:val="20"/>
                <w:szCs w:val="20"/>
              </w:rPr>
            </w:pPr>
          </w:p>
        </w:tc>
        <w:tc>
          <w:tcPr>
            <w:tcW w:w="1629" w:type="dxa"/>
            <w:vMerge/>
            <w:shd w:val="clear" w:color="auto" w:fill="auto"/>
          </w:tcPr>
          <w:p w14:paraId="6A32D02E"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A696AB9" w14:textId="77777777" w:rsidR="00A70030" w:rsidRDefault="00A70030" w:rsidP="00073385">
            <w:pPr>
              <w:spacing w:before="60" w:after="60" w:line="240" w:lineRule="auto"/>
              <w:ind w:left="0"/>
              <w:rPr>
                <w:rFonts w:cs="Arial"/>
                <w:sz w:val="20"/>
                <w:szCs w:val="20"/>
              </w:rPr>
            </w:pPr>
            <w:r>
              <w:rPr>
                <w:rFonts w:cs="Arial"/>
                <w:sz w:val="20"/>
                <w:szCs w:val="20"/>
              </w:rPr>
              <w:t>28/3/17</w:t>
            </w:r>
          </w:p>
        </w:tc>
        <w:tc>
          <w:tcPr>
            <w:tcW w:w="6335" w:type="dxa"/>
            <w:tcBorders>
              <w:top w:val="single" w:sz="4" w:space="0" w:color="auto"/>
              <w:bottom w:val="single" w:sz="4" w:space="0" w:color="auto"/>
            </w:tcBorders>
            <w:shd w:val="clear" w:color="auto" w:fill="auto"/>
          </w:tcPr>
          <w:p w14:paraId="451FD978" w14:textId="3BEC12F2" w:rsidR="00A70030" w:rsidRDefault="00A70030" w:rsidP="00CE3085">
            <w:pPr>
              <w:spacing w:before="60" w:after="60" w:line="240" w:lineRule="auto"/>
              <w:ind w:left="0"/>
              <w:rPr>
                <w:rFonts w:cs="Arial"/>
                <w:sz w:val="20"/>
                <w:szCs w:val="20"/>
              </w:rPr>
            </w:pPr>
            <w:r>
              <w:rPr>
                <w:rFonts w:cs="Arial"/>
                <w:sz w:val="20"/>
                <w:szCs w:val="20"/>
              </w:rPr>
              <w:t xml:space="preserve">CarbonNet called LEFCOL to confirm whether letter was received – reception recommended reissuing the letter to a different email address. </w:t>
            </w:r>
          </w:p>
        </w:tc>
        <w:tc>
          <w:tcPr>
            <w:tcW w:w="3802" w:type="dxa"/>
            <w:tcBorders>
              <w:top w:val="single" w:sz="4" w:space="0" w:color="auto"/>
              <w:bottom w:val="single" w:sz="4" w:space="0" w:color="auto"/>
            </w:tcBorders>
            <w:shd w:val="clear" w:color="auto" w:fill="auto"/>
          </w:tcPr>
          <w:p w14:paraId="71E6B8AB" w14:textId="094F9029" w:rsidR="00A70030" w:rsidRDefault="00A70030" w:rsidP="00073385">
            <w:pPr>
              <w:spacing w:before="60" w:after="60" w:line="240" w:lineRule="auto"/>
              <w:ind w:left="0"/>
              <w:rPr>
                <w:rFonts w:cs="Arial"/>
                <w:sz w:val="20"/>
                <w:szCs w:val="20"/>
              </w:rPr>
            </w:pPr>
            <w:r>
              <w:rPr>
                <w:rFonts w:cs="Arial"/>
                <w:sz w:val="20"/>
                <w:szCs w:val="20"/>
              </w:rPr>
              <w:t>The letter was subsequently re-issued and invited LEFCOL to a meeting on the 6</w:t>
            </w:r>
            <w:r w:rsidRPr="00394009">
              <w:rPr>
                <w:rFonts w:cs="Arial"/>
                <w:sz w:val="20"/>
                <w:szCs w:val="20"/>
                <w:vertAlign w:val="superscript"/>
              </w:rPr>
              <w:t>th</w:t>
            </w:r>
            <w:r>
              <w:rPr>
                <w:rFonts w:cs="Arial"/>
                <w:sz w:val="20"/>
                <w:szCs w:val="20"/>
              </w:rPr>
              <w:t xml:space="preserve"> or 7</w:t>
            </w:r>
            <w:r w:rsidRPr="00394009">
              <w:rPr>
                <w:rFonts w:cs="Arial"/>
                <w:sz w:val="20"/>
                <w:szCs w:val="20"/>
                <w:vertAlign w:val="superscript"/>
              </w:rPr>
              <w:t>th</w:t>
            </w:r>
            <w:r>
              <w:rPr>
                <w:rFonts w:cs="Arial"/>
                <w:sz w:val="20"/>
                <w:szCs w:val="20"/>
              </w:rPr>
              <w:t xml:space="preserve"> of April.</w:t>
            </w:r>
          </w:p>
        </w:tc>
      </w:tr>
      <w:tr w:rsidR="00A70030" w:rsidRPr="00FF0808" w14:paraId="767609B0" w14:textId="77777777" w:rsidTr="00CE3085">
        <w:trPr>
          <w:trHeight w:val="170"/>
        </w:trPr>
        <w:tc>
          <w:tcPr>
            <w:tcW w:w="1427" w:type="dxa"/>
            <w:vMerge/>
            <w:tcBorders>
              <w:bottom w:val="nil"/>
            </w:tcBorders>
            <w:shd w:val="clear" w:color="auto" w:fill="auto"/>
          </w:tcPr>
          <w:p w14:paraId="3BD7E841" w14:textId="77777777" w:rsidR="00A70030" w:rsidRPr="003E2F3C"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64F5CE4B"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4F7F46E" w14:textId="77777777" w:rsidR="00A70030" w:rsidRDefault="00A70030" w:rsidP="00073385">
            <w:pPr>
              <w:spacing w:before="60" w:after="60" w:line="240" w:lineRule="auto"/>
              <w:ind w:left="0"/>
              <w:rPr>
                <w:rFonts w:cs="Arial"/>
                <w:sz w:val="20"/>
                <w:szCs w:val="20"/>
              </w:rPr>
            </w:pPr>
            <w:r>
              <w:rPr>
                <w:rFonts w:cs="Arial"/>
                <w:sz w:val="20"/>
                <w:szCs w:val="20"/>
              </w:rPr>
              <w:t>18/4/17</w:t>
            </w:r>
          </w:p>
        </w:tc>
        <w:tc>
          <w:tcPr>
            <w:tcW w:w="6335" w:type="dxa"/>
            <w:tcBorders>
              <w:top w:val="single" w:sz="4" w:space="0" w:color="auto"/>
              <w:bottom w:val="single" w:sz="4" w:space="0" w:color="auto"/>
            </w:tcBorders>
            <w:shd w:val="clear" w:color="auto" w:fill="auto"/>
          </w:tcPr>
          <w:p w14:paraId="0EE57A70" w14:textId="2464DA09" w:rsidR="00A70030" w:rsidRDefault="00A70030" w:rsidP="00073385">
            <w:pPr>
              <w:spacing w:before="60" w:after="60" w:line="240" w:lineRule="auto"/>
              <w:ind w:left="0"/>
              <w:rPr>
                <w:rFonts w:cs="Arial"/>
                <w:sz w:val="20"/>
                <w:szCs w:val="20"/>
              </w:rPr>
            </w:pPr>
            <w:r>
              <w:rPr>
                <w:rFonts w:cs="Arial"/>
                <w:sz w:val="20"/>
                <w:szCs w:val="20"/>
              </w:rPr>
              <w:t xml:space="preserve">CarbonNet called LEFCOL and left a message requesting a meeting. </w:t>
            </w:r>
          </w:p>
        </w:tc>
        <w:tc>
          <w:tcPr>
            <w:tcW w:w="3802" w:type="dxa"/>
            <w:tcBorders>
              <w:top w:val="single" w:sz="4" w:space="0" w:color="auto"/>
              <w:bottom w:val="single" w:sz="4" w:space="0" w:color="auto"/>
            </w:tcBorders>
            <w:shd w:val="clear" w:color="auto" w:fill="auto"/>
          </w:tcPr>
          <w:p w14:paraId="1496C0FB"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D77F9F2" w14:textId="77777777" w:rsidTr="00CE3085">
        <w:trPr>
          <w:trHeight w:val="170"/>
        </w:trPr>
        <w:tc>
          <w:tcPr>
            <w:tcW w:w="1427" w:type="dxa"/>
            <w:tcBorders>
              <w:top w:val="nil"/>
              <w:bottom w:val="nil"/>
            </w:tcBorders>
            <w:shd w:val="clear" w:color="auto" w:fill="auto"/>
          </w:tcPr>
          <w:p w14:paraId="295EA118"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E56EECF"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581453EA" w14:textId="77777777" w:rsidR="00A70030" w:rsidRDefault="00A70030" w:rsidP="00073385">
            <w:pPr>
              <w:spacing w:before="60" w:after="60" w:line="240" w:lineRule="auto"/>
              <w:ind w:left="0"/>
              <w:rPr>
                <w:rFonts w:cs="Arial"/>
                <w:sz w:val="20"/>
                <w:szCs w:val="20"/>
              </w:rPr>
            </w:pPr>
            <w:r>
              <w:rPr>
                <w:rFonts w:cs="Arial"/>
                <w:sz w:val="20"/>
                <w:szCs w:val="20"/>
              </w:rPr>
              <w:t>20/4/17</w:t>
            </w:r>
          </w:p>
        </w:tc>
        <w:tc>
          <w:tcPr>
            <w:tcW w:w="6335" w:type="dxa"/>
            <w:tcBorders>
              <w:top w:val="single" w:sz="4" w:space="0" w:color="auto"/>
              <w:bottom w:val="single" w:sz="4" w:space="0" w:color="auto"/>
            </w:tcBorders>
            <w:shd w:val="clear" w:color="auto" w:fill="auto"/>
          </w:tcPr>
          <w:p w14:paraId="1EE4143F" w14:textId="77777777" w:rsidR="00A70030" w:rsidRDefault="00A70030" w:rsidP="00073385">
            <w:pPr>
              <w:spacing w:before="60" w:after="60" w:line="240" w:lineRule="auto"/>
              <w:ind w:left="0"/>
              <w:rPr>
                <w:rFonts w:cs="Arial"/>
                <w:sz w:val="20"/>
                <w:szCs w:val="20"/>
              </w:rPr>
            </w:pPr>
            <w:r>
              <w:rPr>
                <w:rFonts w:cs="Arial"/>
                <w:sz w:val="20"/>
                <w:szCs w:val="20"/>
              </w:rPr>
              <w:t xml:space="preserve">CarbonNet spoke to LEFCOL, who raised concerns that the MSS is planned for prime crayfish ground. LEFCOL has heard from one fisherman in the area who is very concerned that the MSS will destroy rock lobsters in the area. LEFCOL has spoken to the </w:t>
            </w:r>
            <w:r w:rsidRPr="0003227D">
              <w:rPr>
                <w:rFonts w:cs="Arial"/>
                <w:sz w:val="20"/>
                <w:szCs w:val="20"/>
              </w:rPr>
              <w:t>Vic</w:t>
            </w:r>
            <w:r>
              <w:rPr>
                <w:rFonts w:cs="Arial"/>
                <w:sz w:val="20"/>
                <w:szCs w:val="20"/>
              </w:rPr>
              <w:t>torian</w:t>
            </w:r>
            <w:r w:rsidRPr="0003227D">
              <w:rPr>
                <w:rFonts w:cs="Arial"/>
                <w:sz w:val="20"/>
                <w:szCs w:val="20"/>
              </w:rPr>
              <w:t xml:space="preserve"> Rock Lobster Assoc</w:t>
            </w:r>
            <w:r>
              <w:rPr>
                <w:rFonts w:cs="Arial"/>
                <w:sz w:val="20"/>
                <w:szCs w:val="20"/>
              </w:rPr>
              <w:t>iation</w:t>
            </w:r>
            <w:r w:rsidRPr="0003227D">
              <w:rPr>
                <w:rFonts w:cs="Arial"/>
                <w:sz w:val="20"/>
                <w:szCs w:val="20"/>
              </w:rPr>
              <w:t xml:space="preserve"> who </w:t>
            </w:r>
            <w:r>
              <w:rPr>
                <w:rFonts w:cs="Arial"/>
                <w:sz w:val="20"/>
                <w:szCs w:val="20"/>
              </w:rPr>
              <w:t>said a recent MSS in the Otways “</w:t>
            </w:r>
            <w:r w:rsidRPr="0003227D">
              <w:rPr>
                <w:rFonts w:cs="Arial"/>
                <w:sz w:val="20"/>
                <w:szCs w:val="20"/>
              </w:rPr>
              <w:t xml:space="preserve">decimated the rock lobster population" and pointed to the </w:t>
            </w:r>
            <w:r>
              <w:rPr>
                <w:rFonts w:cs="Arial"/>
                <w:sz w:val="20"/>
                <w:szCs w:val="20"/>
              </w:rPr>
              <w:t xml:space="preserve">Day et al (2016) study on rock lobsters and scallops. LEFCOL </w:t>
            </w:r>
            <w:r w:rsidRPr="0003227D">
              <w:rPr>
                <w:rFonts w:cs="Arial"/>
                <w:sz w:val="20"/>
                <w:szCs w:val="20"/>
              </w:rPr>
              <w:t xml:space="preserve">also indicated that </w:t>
            </w:r>
            <w:r>
              <w:rPr>
                <w:rFonts w:cs="Arial"/>
                <w:sz w:val="20"/>
                <w:szCs w:val="20"/>
              </w:rPr>
              <w:t>rock lobster fishermen</w:t>
            </w:r>
            <w:r w:rsidRPr="0003227D">
              <w:rPr>
                <w:rFonts w:cs="Arial"/>
                <w:sz w:val="20"/>
                <w:szCs w:val="20"/>
              </w:rPr>
              <w:t xml:space="preserve"> would </w:t>
            </w:r>
            <w:r>
              <w:rPr>
                <w:rFonts w:cs="Arial"/>
                <w:sz w:val="20"/>
                <w:szCs w:val="20"/>
              </w:rPr>
              <w:t xml:space="preserve">look for </w:t>
            </w:r>
            <w:r w:rsidRPr="0003227D">
              <w:rPr>
                <w:rFonts w:cs="Arial"/>
                <w:sz w:val="20"/>
                <w:szCs w:val="20"/>
              </w:rPr>
              <w:t>compensation.</w:t>
            </w:r>
            <w:r>
              <w:rPr>
                <w:rFonts w:cs="Arial"/>
                <w:sz w:val="20"/>
                <w:szCs w:val="20"/>
              </w:rPr>
              <w:t xml:space="preserve"> </w:t>
            </w:r>
          </w:p>
          <w:p w14:paraId="2EE97F5E" w14:textId="77777777" w:rsidR="00A70030" w:rsidRDefault="00A70030" w:rsidP="00073385">
            <w:pPr>
              <w:spacing w:before="60" w:after="60" w:line="240" w:lineRule="auto"/>
              <w:ind w:left="0"/>
              <w:rPr>
                <w:rFonts w:cs="Arial"/>
                <w:sz w:val="20"/>
                <w:szCs w:val="20"/>
              </w:rPr>
            </w:pPr>
          </w:p>
          <w:p w14:paraId="4EC801C1" w14:textId="77777777" w:rsidR="00A70030" w:rsidRDefault="00A70030" w:rsidP="00073385">
            <w:pPr>
              <w:spacing w:before="60" w:after="60" w:line="240" w:lineRule="auto"/>
              <w:ind w:left="0"/>
              <w:rPr>
                <w:rFonts w:cs="Arial"/>
                <w:sz w:val="20"/>
                <w:szCs w:val="20"/>
              </w:rPr>
            </w:pPr>
            <w:r>
              <w:rPr>
                <w:rFonts w:cs="Arial"/>
                <w:sz w:val="20"/>
                <w:szCs w:val="20"/>
              </w:rPr>
              <w:t>LEFCOL indicated that any issues they may have (mostly concerning lobsters and scallops) will be covered by SIV. LEFCOL’s preference is for engagement on the MSS to be coordinated through SIV, and they will maintain their own dialogue with SIV. LEFCOL is happy to meet with CarbonNet next week.</w:t>
            </w:r>
            <w:r w:rsidDel="00D9767B">
              <w:rPr>
                <w:rFonts w:cs="Arial"/>
                <w:sz w:val="20"/>
                <w:szCs w:val="20"/>
              </w:rPr>
              <w:t xml:space="preserve"> </w:t>
            </w:r>
          </w:p>
          <w:p w14:paraId="69F82353" w14:textId="77777777" w:rsidR="00A70030" w:rsidRDefault="00A70030" w:rsidP="00073385">
            <w:pPr>
              <w:spacing w:before="60" w:after="60" w:line="240" w:lineRule="auto"/>
              <w:ind w:left="0"/>
              <w:rPr>
                <w:rFonts w:cs="Arial"/>
                <w:sz w:val="20"/>
                <w:szCs w:val="20"/>
              </w:rPr>
            </w:pPr>
            <w:r>
              <w:rPr>
                <w:rFonts w:cs="Arial"/>
                <w:sz w:val="20"/>
                <w:szCs w:val="20"/>
              </w:rPr>
              <w:t>LEFCOL also commented that sound from the MSS can have impacts outside of the survey area.</w:t>
            </w:r>
          </w:p>
          <w:p w14:paraId="6F701BAA" w14:textId="77777777" w:rsidR="00A70030" w:rsidRDefault="00A70030" w:rsidP="00073385">
            <w:pPr>
              <w:spacing w:before="60" w:after="60" w:line="240" w:lineRule="auto"/>
              <w:ind w:left="0"/>
              <w:rPr>
                <w:rFonts w:cs="Arial"/>
                <w:sz w:val="20"/>
                <w:szCs w:val="20"/>
              </w:rPr>
            </w:pPr>
          </w:p>
          <w:p w14:paraId="12EE1B62" w14:textId="33AB715F" w:rsidR="00A70030" w:rsidRDefault="00A70030" w:rsidP="00073385">
            <w:pPr>
              <w:spacing w:before="60" w:after="60" w:line="240" w:lineRule="auto"/>
              <w:ind w:left="0"/>
              <w:rPr>
                <w:rFonts w:cs="Arial"/>
                <w:sz w:val="20"/>
                <w:szCs w:val="20"/>
              </w:rPr>
            </w:pPr>
            <w:r>
              <w:rPr>
                <w:rFonts w:cs="Arial"/>
                <w:sz w:val="20"/>
                <w:szCs w:val="20"/>
              </w:rPr>
              <w:t>CarbonNet stated that any local feedback or knowledge LEFCOL can provide would be helpful in refining the risk assessment for the EP.</w:t>
            </w:r>
          </w:p>
        </w:tc>
        <w:tc>
          <w:tcPr>
            <w:tcW w:w="3802" w:type="dxa"/>
            <w:tcBorders>
              <w:top w:val="single" w:sz="4" w:space="0" w:color="auto"/>
              <w:bottom w:val="single" w:sz="4" w:space="0" w:color="auto"/>
            </w:tcBorders>
            <w:shd w:val="clear" w:color="auto" w:fill="auto"/>
          </w:tcPr>
          <w:p w14:paraId="539D38BF" w14:textId="77777777" w:rsidR="00A70030" w:rsidRDefault="00A70030" w:rsidP="00073385">
            <w:pPr>
              <w:spacing w:before="60" w:after="60" w:line="240" w:lineRule="auto"/>
              <w:ind w:left="0"/>
              <w:rPr>
                <w:rFonts w:cs="Arial"/>
                <w:sz w:val="20"/>
                <w:szCs w:val="20"/>
              </w:rPr>
            </w:pPr>
            <w:r>
              <w:rPr>
                <w:rFonts w:cs="Arial"/>
                <w:sz w:val="20"/>
                <w:szCs w:val="20"/>
              </w:rPr>
              <w:t>CarbonNet has received fishing catch data from VFA indicating low rock lobster catch from the area.</w:t>
            </w:r>
          </w:p>
          <w:p w14:paraId="5196CF6D" w14:textId="77777777" w:rsidR="00A70030" w:rsidRDefault="00A70030" w:rsidP="00073385">
            <w:pPr>
              <w:spacing w:before="60" w:after="60" w:line="240" w:lineRule="auto"/>
              <w:ind w:left="0"/>
              <w:rPr>
                <w:rFonts w:cs="Arial"/>
                <w:sz w:val="20"/>
                <w:szCs w:val="20"/>
              </w:rPr>
            </w:pPr>
          </w:p>
          <w:p w14:paraId="21A072D9" w14:textId="77777777" w:rsidR="00A70030" w:rsidRDefault="00A70030" w:rsidP="00073385">
            <w:pPr>
              <w:spacing w:before="60" w:after="60" w:line="240" w:lineRule="auto"/>
              <w:ind w:left="0"/>
              <w:rPr>
                <w:rFonts w:cs="Arial"/>
                <w:sz w:val="20"/>
                <w:szCs w:val="20"/>
              </w:rPr>
            </w:pPr>
            <w:r>
              <w:rPr>
                <w:rFonts w:cs="Arial"/>
                <w:sz w:val="20"/>
                <w:szCs w:val="20"/>
              </w:rPr>
              <w:t>CarbonNet has not been contacted by any individual fishermen or received any specific information about the potential impacts on fishing activities. Based on all the available evidence, including catch effort from VFA,CarbonNet has assessed the risk to lobster fishing as low.</w:t>
            </w:r>
          </w:p>
          <w:p w14:paraId="2362B80A" w14:textId="77777777" w:rsidR="00A70030" w:rsidRDefault="00A70030" w:rsidP="00073385">
            <w:pPr>
              <w:spacing w:before="60" w:after="60" w:line="240" w:lineRule="auto"/>
              <w:ind w:left="0"/>
              <w:rPr>
                <w:rFonts w:cs="Arial"/>
                <w:sz w:val="20"/>
                <w:szCs w:val="20"/>
              </w:rPr>
            </w:pPr>
          </w:p>
          <w:p w14:paraId="1D3B1CDE" w14:textId="77777777" w:rsidR="00A70030" w:rsidRPr="00394009" w:rsidRDefault="00A70030" w:rsidP="00073385">
            <w:pPr>
              <w:spacing w:before="60" w:after="60" w:line="240" w:lineRule="auto"/>
              <w:ind w:left="0"/>
              <w:rPr>
                <w:rFonts w:cs="Arial"/>
                <w:sz w:val="20"/>
                <w:szCs w:val="20"/>
              </w:rPr>
            </w:pPr>
            <w:r w:rsidRPr="00394009">
              <w:rPr>
                <w:rFonts w:cs="Arial"/>
                <w:sz w:val="20"/>
                <w:szCs w:val="20"/>
              </w:rPr>
              <w:t>CarbonNet acknowledged that LEFCOL prefers to defer discussions on the MSS to SIV.</w:t>
            </w:r>
          </w:p>
          <w:p w14:paraId="7FCF4431" w14:textId="77777777" w:rsidR="00A70030" w:rsidRDefault="00A70030" w:rsidP="00073385">
            <w:pPr>
              <w:spacing w:before="60" w:after="60" w:line="240" w:lineRule="auto"/>
              <w:ind w:left="0"/>
              <w:rPr>
                <w:rFonts w:cs="Arial"/>
                <w:sz w:val="20"/>
                <w:szCs w:val="20"/>
              </w:rPr>
            </w:pPr>
            <w:r w:rsidRPr="00244D8F">
              <w:rPr>
                <w:rFonts w:cs="Arial"/>
                <w:sz w:val="20"/>
                <w:szCs w:val="20"/>
              </w:rPr>
              <w:t>CarbonNet will continue to give LEFCOL the opportunity to meet and discuss issues.</w:t>
            </w:r>
          </w:p>
        </w:tc>
      </w:tr>
      <w:tr w:rsidR="00A70030" w:rsidRPr="00FF0808" w14:paraId="2C710B2F" w14:textId="77777777" w:rsidTr="00CE3085">
        <w:trPr>
          <w:trHeight w:val="170"/>
        </w:trPr>
        <w:tc>
          <w:tcPr>
            <w:tcW w:w="1427" w:type="dxa"/>
            <w:tcBorders>
              <w:top w:val="nil"/>
              <w:bottom w:val="nil"/>
            </w:tcBorders>
            <w:shd w:val="clear" w:color="auto" w:fill="auto"/>
          </w:tcPr>
          <w:p w14:paraId="0EBC9335"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3680702"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8E1BEC0" w14:textId="77777777" w:rsidR="00A70030" w:rsidRDefault="00A70030" w:rsidP="00073385">
            <w:pPr>
              <w:spacing w:before="60" w:after="60" w:line="240" w:lineRule="auto"/>
              <w:ind w:left="0"/>
              <w:rPr>
                <w:rFonts w:cs="Arial"/>
                <w:sz w:val="20"/>
                <w:szCs w:val="20"/>
              </w:rPr>
            </w:pPr>
            <w:r>
              <w:rPr>
                <w:rFonts w:cs="Arial"/>
                <w:sz w:val="20"/>
                <w:szCs w:val="20"/>
              </w:rPr>
              <w:t>26/4/17</w:t>
            </w:r>
          </w:p>
        </w:tc>
        <w:tc>
          <w:tcPr>
            <w:tcW w:w="6335" w:type="dxa"/>
            <w:tcBorders>
              <w:top w:val="single" w:sz="4" w:space="0" w:color="auto"/>
              <w:bottom w:val="single" w:sz="4" w:space="0" w:color="auto"/>
            </w:tcBorders>
            <w:shd w:val="clear" w:color="auto" w:fill="auto"/>
          </w:tcPr>
          <w:p w14:paraId="075FC2AA" w14:textId="77777777" w:rsidR="00A70030" w:rsidRDefault="00A70030" w:rsidP="00073385">
            <w:pPr>
              <w:spacing w:before="60" w:after="60" w:line="240" w:lineRule="auto"/>
              <w:ind w:left="0"/>
              <w:rPr>
                <w:rFonts w:cs="Arial"/>
                <w:sz w:val="20"/>
                <w:szCs w:val="20"/>
              </w:rPr>
            </w:pPr>
            <w:r>
              <w:rPr>
                <w:rFonts w:cs="Arial"/>
                <w:sz w:val="20"/>
                <w:szCs w:val="20"/>
              </w:rPr>
              <w:t>CarbonNet met with LEFCOL in Lakes Entrance to provide an overview of the CarbonNet project, the MSS, the marine habitat assessment, and discuss any potential impacts.</w:t>
            </w:r>
          </w:p>
          <w:p w14:paraId="7FBBB16C" w14:textId="77777777" w:rsidR="00A70030" w:rsidRDefault="00A70030" w:rsidP="00073385">
            <w:pPr>
              <w:spacing w:before="60" w:after="60" w:line="240" w:lineRule="auto"/>
              <w:ind w:left="0"/>
              <w:rPr>
                <w:rFonts w:cs="Arial"/>
                <w:sz w:val="20"/>
                <w:szCs w:val="20"/>
              </w:rPr>
            </w:pPr>
          </w:p>
          <w:p w14:paraId="5E9268E1" w14:textId="77777777" w:rsidR="00A70030" w:rsidRDefault="00A70030" w:rsidP="00073385">
            <w:pPr>
              <w:spacing w:before="60" w:after="60" w:line="240" w:lineRule="auto"/>
              <w:ind w:left="0"/>
              <w:rPr>
                <w:rFonts w:cs="Arial"/>
                <w:sz w:val="20"/>
                <w:szCs w:val="20"/>
              </w:rPr>
            </w:pPr>
            <w:r>
              <w:rPr>
                <w:rFonts w:cs="Arial"/>
                <w:sz w:val="20"/>
                <w:szCs w:val="20"/>
              </w:rPr>
              <w:t>LEFCOL raised the following comments and issues:</w:t>
            </w:r>
          </w:p>
          <w:p w14:paraId="31CE681D" w14:textId="77777777" w:rsidR="00A70030" w:rsidRDefault="00A70030" w:rsidP="00073385">
            <w:pPr>
              <w:pStyle w:val="ListParagraph0"/>
              <w:numPr>
                <w:ilvl w:val="0"/>
                <w:numId w:val="457"/>
              </w:numPr>
              <w:spacing w:before="60" w:after="60" w:line="240" w:lineRule="auto"/>
              <w:rPr>
                <w:rFonts w:cs="Arial"/>
                <w:sz w:val="20"/>
                <w:szCs w:val="20"/>
              </w:rPr>
            </w:pPr>
            <w:r>
              <w:rPr>
                <w:rFonts w:cs="Arial"/>
                <w:sz w:val="20"/>
                <w:szCs w:val="20"/>
              </w:rPr>
              <w:t xml:space="preserve">The potential impacts on </w:t>
            </w:r>
            <w:r w:rsidRPr="000175EC">
              <w:rPr>
                <w:rFonts w:cs="Arial"/>
                <w:sz w:val="20"/>
                <w:szCs w:val="20"/>
              </w:rPr>
              <w:t>scallops and lobsters</w:t>
            </w:r>
            <w:r>
              <w:rPr>
                <w:rFonts w:cs="Arial"/>
                <w:sz w:val="20"/>
                <w:szCs w:val="20"/>
              </w:rPr>
              <w:t>, particularly in light of the Day et al (2016) study.</w:t>
            </w:r>
            <w:r w:rsidRPr="000175EC">
              <w:rPr>
                <w:rFonts w:cs="Arial"/>
                <w:sz w:val="20"/>
                <w:szCs w:val="20"/>
              </w:rPr>
              <w:t xml:space="preserve"> </w:t>
            </w:r>
          </w:p>
          <w:p w14:paraId="567CFB59" w14:textId="77777777" w:rsidR="00A70030" w:rsidRPr="000175EC" w:rsidRDefault="00A70030" w:rsidP="00073385">
            <w:pPr>
              <w:pStyle w:val="ListParagraph0"/>
              <w:numPr>
                <w:ilvl w:val="0"/>
                <w:numId w:val="457"/>
              </w:numPr>
              <w:spacing w:before="60" w:after="60" w:line="240" w:lineRule="auto"/>
              <w:rPr>
                <w:rFonts w:cs="Arial"/>
                <w:sz w:val="20"/>
                <w:szCs w:val="20"/>
              </w:rPr>
            </w:pPr>
            <w:r>
              <w:rPr>
                <w:rFonts w:cs="Arial"/>
                <w:sz w:val="20"/>
                <w:szCs w:val="20"/>
              </w:rPr>
              <w:t>The Victorian scallop</w:t>
            </w:r>
            <w:r w:rsidRPr="000175EC">
              <w:rPr>
                <w:rFonts w:cs="Arial"/>
                <w:sz w:val="20"/>
                <w:szCs w:val="20"/>
              </w:rPr>
              <w:t xml:space="preserve"> fishery has been dormant for a long time.</w:t>
            </w:r>
          </w:p>
          <w:p w14:paraId="13C364DE" w14:textId="77777777" w:rsidR="00A70030" w:rsidRPr="000175EC" w:rsidRDefault="00A70030" w:rsidP="00073385">
            <w:pPr>
              <w:pStyle w:val="ListParagraph0"/>
              <w:numPr>
                <w:ilvl w:val="0"/>
                <w:numId w:val="457"/>
              </w:numPr>
              <w:spacing w:before="60" w:after="60" w:line="240" w:lineRule="auto"/>
              <w:rPr>
                <w:rFonts w:cs="Arial"/>
                <w:sz w:val="20"/>
                <w:szCs w:val="20"/>
              </w:rPr>
            </w:pPr>
            <w:r>
              <w:rPr>
                <w:rFonts w:cs="Arial"/>
                <w:sz w:val="20"/>
                <w:szCs w:val="20"/>
              </w:rPr>
              <w:t>The lobster f</w:t>
            </w:r>
            <w:r w:rsidRPr="000175EC">
              <w:rPr>
                <w:rFonts w:cs="Arial"/>
                <w:sz w:val="20"/>
                <w:szCs w:val="20"/>
              </w:rPr>
              <w:t xml:space="preserve">ishery is nearshore </w:t>
            </w:r>
            <w:r>
              <w:rPr>
                <w:rFonts w:cs="Arial"/>
                <w:sz w:val="20"/>
                <w:szCs w:val="20"/>
              </w:rPr>
              <w:t xml:space="preserve">at </w:t>
            </w:r>
            <w:r w:rsidRPr="000175EC">
              <w:rPr>
                <w:rFonts w:cs="Arial"/>
                <w:sz w:val="20"/>
                <w:szCs w:val="20"/>
              </w:rPr>
              <w:t>Golden Beach.</w:t>
            </w:r>
            <w:r>
              <w:rPr>
                <w:rFonts w:cs="Arial"/>
                <w:sz w:val="20"/>
                <w:szCs w:val="20"/>
              </w:rPr>
              <w:t xml:space="preserve"> There are t</w:t>
            </w:r>
            <w:r w:rsidRPr="000175EC">
              <w:rPr>
                <w:rFonts w:cs="Arial"/>
                <w:sz w:val="20"/>
                <w:szCs w:val="20"/>
              </w:rPr>
              <w:t xml:space="preserve">wo lobster fishermen in the area – one in particular has </w:t>
            </w:r>
            <w:r>
              <w:rPr>
                <w:rFonts w:cs="Arial"/>
                <w:sz w:val="20"/>
                <w:szCs w:val="20"/>
              </w:rPr>
              <w:t>raised concerns with LEFCOL</w:t>
            </w:r>
            <w:r w:rsidRPr="000175EC">
              <w:rPr>
                <w:rFonts w:cs="Arial"/>
                <w:sz w:val="20"/>
                <w:szCs w:val="20"/>
              </w:rPr>
              <w:t>. He doesn’t take many lobsters because there’s not many left, but it’s enough to keep him going for the next 2-3 years.</w:t>
            </w:r>
          </w:p>
          <w:p w14:paraId="4A0162D4" w14:textId="77777777" w:rsidR="00A70030" w:rsidRPr="000175EC" w:rsidRDefault="00A70030" w:rsidP="00073385">
            <w:pPr>
              <w:pStyle w:val="ListParagraph0"/>
              <w:numPr>
                <w:ilvl w:val="0"/>
                <w:numId w:val="457"/>
              </w:numPr>
              <w:spacing w:before="60" w:after="60" w:line="240" w:lineRule="auto"/>
              <w:rPr>
                <w:rFonts w:cs="Arial"/>
                <w:sz w:val="20"/>
                <w:szCs w:val="20"/>
              </w:rPr>
            </w:pPr>
            <w:r w:rsidRPr="000175EC">
              <w:rPr>
                <w:rFonts w:cs="Arial"/>
                <w:sz w:val="20"/>
                <w:szCs w:val="20"/>
              </w:rPr>
              <w:t>Lobster fishermen will be happy to share info</w:t>
            </w:r>
            <w:r>
              <w:rPr>
                <w:rFonts w:cs="Arial"/>
                <w:sz w:val="20"/>
                <w:szCs w:val="20"/>
              </w:rPr>
              <w:t>rmation</w:t>
            </w:r>
            <w:r w:rsidRPr="000175EC">
              <w:rPr>
                <w:rFonts w:cs="Arial"/>
                <w:sz w:val="20"/>
                <w:szCs w:val="20"/>
              </w:rPr>
              <w:t xml:space="preserve"> on location and catch.</w:t>
            </w:r>
          </w:p>
          <w:p w14:paraId="3239321D" w14:textId="77777777" w:rsidR="00A70030" w:rsidRPr="000175EC" w:rsidRDefault="00A70030" w:rsidP="00073385">
            <w:pPr>
              <w:pStyle w:val="ListParagraph0"/>
              <w:numPr>
                <w:ilvl w:val="0"/>
                <w:numId w:val="457"/>
              </w:numPr>
              <w:spacing w:before="60" w:after="60" w:line="240" w:lineRule="auto"/>
              <w:rPr>
                <w:rFonts w:cs="Arial"/>
                <w:sz w:val="20"/>
                <w:szCs w:val="20"/>
              </w:rPr>
            </w:pPr>
            <w:r w:rsidRPr="000175EC">
              <w:rPr>
                <w:rFonts w:cs="Arial"/>
                <w:sz w:val="20"/>
                <w:szCs w:val="20"/>
              </w:rPr>
              <w:t>Seine fishers</w:t>
            </w:r>
            <w:r>
              <w:rPr>
                <w:rFonts w:cs="Arial"/>
                <w:sz w:val="20"/>
                <w:szCs w:val="20"/>
              </w:rPr>
              <w:t xml:space="preserve"> are unlikely to have objections to the MSS as they can move out of the way.</w:t>
            </w:r>
          </w:p>
          <w:p w14:paraId="7D633DA0" w14:textId="51426B6E" w:rsidR="00A70030" w:rsidRPr="00CE3085" w:rsidRDefault="00A70030" w:rsidP="00CE3085">
            <w:pPr>
              <w:pStyle w:val="ListParagraph0"/>
              <w:numPr>
                <w:ilvl w:val="0"/>
                <w:numId w:val="457"/>
              </w:numPr>
              <w:spacing w:before="60" w:after="60" w:line="240" w:lineRule="auto"/>
              <w:ind w:left="357" w:hanging="357"/>
              <w:rPr>
                <w:rFonts w:cs="Arial"/>
                <w:sz w:val="20"/>
                <w:szCs w:val="20"/>
              </w:rPr>
            </w:pPr>
            <w:r>
              <w:rPr>
                <w:rFonts w:cs="Arial"/>
                <w:sz w:val="20"/>
                <w:szCs w:val="20"/>
              </w:rPr>
              <w:t xml:space="preserve">The commercial fishing industry is sceptical of Victorian Government involvement as there is a perception government is trying to ban commercial fishing in the Gippsland Lakes. This is despite </w:t>
            </w:r>
            <w:r w:rsidRPr="000175EC">
              <w:rPr>
                <w:rFonts w:cs="Arial"/>
                <w:sz w:val="20"/>
                <w:szCs w:val="20"/>
              </w:rPr>
              <w:t xml:space="preserve">scientific studies </w:t>
            </w:r>
            <w:r>
              <w:rPr>
                <w:rFonts w:cs="Arial"/>
                <w:sz w:val="20"/>
                <w:szCs w:val="20"/>
              </w:rPr>
              <w:t>that have</w:t>
            </w:r>
            <w:r w:rsidRPr="000175EC">
              <w:rPr>
                <w:rFonts w:cs="Arial"/>
                <w:sz w:val="20"/>
                <w:szCs w:val="20"/>
              </w:rPr>
              <w:t xml:space="preserve"> found </w:t>
            </w:r>
            <w:r>
              <w:rPr>
                <w:rFonts w:cs="Arial"/>
                <w:sz w:val="20"/>
                <w:szCs w:val="20"/>
              </w:rPr>
              <w:t xml:space="preserve">positive impacts on the Lakes from </w:t>
            </w:r>
            <w:r w:rsidRPr="000175EC">
              <w:rPr>
                <w:rFonts w:cs="Arial"/>
                <w:sz w:val="20"/>
                <w:szCs w:val="20"/>
              </w:rPr>
              <w:t>commercial fishing</w:t>
            </w:r>
            <w:r>
              <w:rPr>
                <w:rFonts w:cs="Arial"/>
                <w:sz w:val="20"/>
                <w:szCs w:val="20"/>
              </w:rPr>
              <w:t>.</w:t>
            </w:r>
          </w:p>
        </w:tc>
        <w:tc>
          <w:tcPr>
            <w:tcW w:w="3802" w:type="dxa"/>
            <w:tcBorders>
              <w:top w:val="single" w:sz="4" w:space="0" w:color="auto"/>
              <w:bottom w:val="single" w:sz="4" w:space="0" w:color="auto"/>
            </w:tcBorders>
            <w:shd w:val="clear" w:color="auto" w:fill="auto"/>
          </w:tcPr>
          <w:p w14:paraId="63401F48" w14:textId="77777777" w:rsidR="00A70030" w:rsidRDefault="00A70030" w:rsidP="00073385">
            <w:pPr>
              <w:spacing w:before="60" w:after="60" w:line="240" w:lineRule="auto"/>
              <w:ind w:left="0"/>
              <w:rPr>
                <w:rFonts w:cs="Arial"/>
                <w:sz w:val="20"/>
                <w:szCs w:val="20"/>
              </w:rPr>
            </w:pPr>
            <w:r w:rsidRPr="000175EC">
              <w:rPr>
                <w:rFonts w:cs="Arial"/>
                <w:sz w:val="20"/>
                <w:szCs w:val="20"/>
              </w:rPr>
              <w:t xml:space="preserve">CarbonNet advised </w:t>
            </w:r>
            <w:r>
              <w:rPr>
                <w:rFonts w:cs="Arial"/>
                <w:sz w:val="20"/>
                <w:szCs w:val="20"/>
              </w:rPr>
              <w:t xml:space="preserve">LEFCOL during the meeting </w:t>
            </w:r>
            <w:r w:rsidRPr="000175EC">
              <w:rPr>
                <w:rFonts w:cs="Arial"/>
                <w:sz w:val="20"/>
                <w:szCs w:val="20"/>
              </w:rPr>
              <w:t xml:space="preserve">that the preliminary results from </w:t>
            </w:r>
            <w:r>
              <w:rPr>
                <w:rFonts w:cs="Arial"/>
                <w:sz w:val="20"/>
                <w:szCs w:val="20"/>
              </w:rPr>
              <w:t>the</w:t>
            </w:r>
            <w:r w:rsidRPr="000175EC">
              <w:rPr>
                <w:rFonts w:cs="Arial"/>
                <w:sz w:val="20"/>
                <w:szCs w:val="20"/>
              </w:rPr>
              <w:t xml:space="preserve"> marine environmental assessment indicated a limited number of scallops were observed in two of over sixty </w:t>
            </w:r>
            <w:r>
              <w:rPr>
                <w:rFonts w:cs="Arial"/>
                <w:sz w:val="20"/>
                <w:szCs w:val="20"/>
              </w:rPr>
              <w:t xml:space="preserve">sampling </w:t>
            </w:r>
            <w:r w:rsidRPr="000175EC">
              <w:rPr>
                <w:rFonts w:cs="Arial"/>
                <w:sz w:val="20"/>
                <w:szCs w:val="20"/>
              </w:rPr>
              <w:t xml:space="preserve">locations in the survey area, and </w:t>
            </w:r>
            <w:r>
              <w:rPr>
                <w:rFonts w:cs="Arial"/>
                <w:sz w:val="20"/>
                <w:szCs w:val="20"/>
              </w:rPr>
              <w:t>limited habitat for lobsters</w:t>
            </w:r>
            <w:r w:rsidRPr="000175EC">
              <w:rPr>
                <w:rFonts w:cs="Arial"/>
                <w:sz w:val="20"/>
                <w:szCs w:val="20"/>
              </w:rPr>
              <w:t xml:space="preserve"> w</w:t>
            </w:r>
            <w:r>
              <w:rPr>
                <w:rFonts w:cs="Arial"/>
                <w:sz w:val="20"/>
                <w:szCs w:val="20"/>
              </w:rPr>
              <w:t>as</w:t>
            </w:r>
            <w:r w:rsidRPr="000175EC">
              <w:rPr>
                <w:rFonts w:cs="Arial"/>
                <w:sz w:val="20"/>
                <w:szCs w:val="20"/>
              </w:rPr>
              <w:t xml:space="preserve"> observed.</w:t>
            </w:r>
            <w:r>
              <w:rPr>
                <w:rFonts w:cs="Arial"/>
                <w:sz w:val="20"/>
                <w:szCs w:val="20"/>
              </w:rPr>
              <w:t xml:space="preserve"> </w:t>
            </w:r>
          </w:p>
          <w:p w14:paraId="2DFCE63F" w14:textId="77777777" w:rsidR="00A70030" w:rsidRDefault="00A70030" w:rsidP="00073385">
            <w:pPr>
              <w:spacing w:before="60" w:after="60" w:line="240" w:lineRule="auto"/>
              <w:ind w:left="0"/>
              <w:rPr>
                <w:rFonts w:cs="Arial"/>
                <w:sz w:val="20"/>
                <w:szCs w:val="20"/>
              </w:rPr>
            </w:pPr>
          </w:p>
          <w:p w14:paraId="5A19D79A" w14:textId="77777777" w:rsidR="00A70030" w:rsidRDefault="00A70030" w:rsidP="00073385">
            <w:pPr>
              <w:spacing w:before="60" w:after="60" w:line="240" w:lineRule="auto"/>
              <w:ind w:left="0"/>
              <w:rPr>
                <w:rFonts w:cs="Arial"/>
                <w:sz w:val="20"/>
                <w:szCs w:val="20"/>
              </w:rPr>
            </w:pPr>
            <w:r>
              <w:rPr>
                <w:rFonts w:cs="Arial"/>
                <w:sz w:val="20"/>
                <w:szCs w:val="20"/>
              </w:rPr>
              <w:t>As per advice from LEFCOL, CarbonNet issued response to matters raised to SIV on 27/7 and 4/8.  CarbonNet is unaware of whether this correspondence has been shared with LEFCOL by SIV.</w:t>
            </w:r>
          </w:p>
        </w:tc>
      </w:tr>
      <w:tr w:rsidR="00A70030" w:rsidRPr="00FF0808" w14:paraId="0C5F9D8F" w14:textId="77777777" w:rsidTr="00CE3085">
        <w:trPr>
          <w:trHeight w:val="170"/>
        </w:trPr>
        <w:tc>
          <w:tcPr>
            <w:tcW w:w="1427" w:type="dxa"/>
            <w:tcBorders>
              <w:top w:val="nil"/>
              <w:bottom w:val="nil"/>
            </w:tcBorders>
            <w:shd w:val="clear" w:color="auto" w:fill="auto"/>
          </w:tcPr>
          <w:p w14:paraId="07C6D48F"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1D51430"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6747604" w14:textId="77777777" w:rsidR="00A70030" w:rsidRDefault="00A70030" w:rsidP="00073385">
            <w:pPr>
              <w:spacing w:before="60" w:after="60" w:line="240" w:lineRule="auto"/>
              <w:ind w:left="0"/>
              <w:rPr>
                <w:rFonts w:cs="Arial"/>
                <w:sz w:val="20"/>
                <w:szCs w:val="20"/>
              </w:rPr>
            </w:pPr>
            <w:r>
              <w:rPr>
                <w:rFonts w:cs="Arial"/>
                <w:sz w:val="20"/>
                <w:szCs w:val="20"/>
              </w:rPr>
              <w:t>2/5/17</w:t>
            </w:r>
          </w:p>
          <w:p w14:paraId="0CE0459B"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12DB1019" w14:textId="77777777" w:rsidR="00A70030" w:rsidRDefault="00A70030" w:rsidP="00073385">
            <w:pPr>
              <w:spacing w:before="60" w:after="60" w:line="240" w:lineRule="auto"/>
              <w:ind w:left="0"/>
              <w:rPr>
                <w:rFonts w:cs="Arial"/>
                <w:sz w:val="20"/>
                <w:szCs w:val="20"/>
              </w:rPr>
            </w:pPr>
            <w:r>
              <w:rPr>
                <w:rFonts w:cs="Arial"/>
                <w:sz w:val="20"/>
                <w:szCs w:val="20"/>
              </w:rPr>
              <w:t>CarbonNet emailed LEFCOL with:</w:t>
            </w:r>
          </w:p>
          <w:p w14:paraId="790538D0" w14:textId="77777777" w:rsidR="00A70030" w:rsidRDefault="00A70030" w:rsidP="00073385">
            <w:pPr>
              <w:pStyle w:val="ListParagraph0"/>
              <w:numPr>
                <w:ilvl w:val="0"/>
                <w:numId w:val="458"/>
              </w:numPr>
              <w:spacing w:before="60" w:after="60" w:line="240" w:lineRule="auto"/>
              <w:rPr>
                <w:rFonts w:cs="Arial"/>
                <w:sz w:val="20"/>
                <w:szCs w:val="20"/>
              </w:rPr>
            </w:pPr>
            <w:r>
              <w:rPr>
                <w:rFonts w:cs="Arial"/>
                <w:sz w:val="20"/>
                <w:szCs w:val="20"/>
              </w:rPr>
              <w:t>Information about CarbonNet.</w:t>
            </w:r>
          </w:p>
          <w:p w14:paraId="58618A6F" w14:textId="77777777" w:rsidR="00A70030" w:rsidRDefault="00A70030" w:rsidP="00073385">
            <w:pPr>
              <w:pStyle w:val="ListParagraph0"/>
              <w:numPr>
                <w:ilvl w:val="0"/>
                <w:numId w:val="458"/>
              </w:numPr>
              <w:spacing w:before="60" w:after="60" w:line="240" w:lineRule="auto"/>
              <w:rPr>
                <w:rFonts w:cs="Arial"/>
                <w:sz w:val="20"/>
                <w:szCs w:val="20"/>
              </w:rPr>
            </w:pPr>
            <w:r>
              <w:rPr>
                <w:rFonts w:cs="Arial"/>
                <w:sz w:val="20"/>
                <w:szCs w:val="20"/>
              </w:rPr>
              <w:t xml:space="preserve">A link to Geoscience Australia’s Final Report on the </w:t>
            </w:r>
            <w:r w:rsidRPr="000175EC">
              <w:rPr>
                <w:rFonts w:cs="Arial"/>
                <w:sz w:val="20"/>
                <w:szCs w:val="20"/>
              </w:rPr>
              <w:t>Gippsland Marine Environmental Monitoring Study</w:t>
            </w:r>
            <w:r>
              <w:rPr>
                <w:rFonts w:cs="Arial"/>
                <w:sz w:val="20"/>
                <w:szCs w:val="20"/>
              </w:rPr>
              <w:t>.</w:t>
            </w:r>
          </w:p>
          <w:p w14:paraId="32638609" w14:textId="0A94FCB2" w:rsidR="00A70030" w:rsidRPr="00CE3085" w:rsidRDefault="00A70030" w:rsidP="00CE3085">
            <w:pPr>
              <w:pStyle w:val="ListParagraph0"/>
              <w:numPr>
                <w:ilvl w:val="0"/>
                <w:numId w:val="458"/>
              </w:numPr>
              <w:spacing w:before="60" w:after="60" w:line="240" w:lineRule="auto"/>
              <w:rPr>
                <w:rFonts w:cs="Arial"/>
                <w:sz w:val="20"/>
                <w:szCs w:val="20"/>
              </w:rPr>
            </w:pPr>
            <w:r>
              <w:rPr>
                <w:rFonts w:cs="Arial"/>
                <w:sz w:val="20"/>
                <w:szCs w:val="20"/>
              </w:rPr>
              <w:t>Request to meet with the lobster fisherman referred to at the meeting on 26/4/17.</w:t>
            </w:r>
          </w:p>
        </w:tc>
        <w:tc>
          <w:tcPr>
            <w:tcW w:w="3802" w:type="dxa"/>
            <w:tcBorders>
              <w:top w:val="single" w:sz="4" w:space="0" w:color="auto"/>
              <w:bottom w:val="single" w:sz="4" w:space="0" w:color="auto"/>
            </w:tcBorders>
            <w:shd w:val="clear" w:color="auto" w:fill="auto"/>
          </w:tcPr>
          <w:p w14:paraId="2F19D07A"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6CBA001E" w14:textId="77777777" w:rsidTr="00CE3085">
        <w:trPr>
          <w:trHeight w:val="170"/>
        </w:trPr>
        <w:tc>
          <w:tcPr>
            <w:tcW w:w="1427" w:type="dxa"/>
            <w:tcBorders>
              <w:top w:val="nil"/>
              <w:bottom w:val="nil"/>
            </w:tcBorders>
            <w:shd w:val="clear" w:color="auto" w:fill="auto"/>
          </w:tcPr>
          <w:p w14:paraId="4B2C2421"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772F421"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00C96A5" w14:textId="77777777" w:rsidR="00A70030" w:rsidRDefault="00A70030" w:rsidP="00073385">
            <w:pPr>
              <w:spacing w:before="60" w:after="60" w:line="240" w:lineRule="auto"/>
              <w:ind w:left="0"/>
              <w:rPr>
                <w:rFonts w:cs="Arial"/>
                <w:sz w:val="20"/>
                <w:szCs w:val="20"/>
              </w:rPr>
            </w:pPr>
            <w:r>
              <w:rPr>
                <w:rFonts w:cs="Arial"/>
                <w:sz w:val="20"/>
                <w:szCs w:val="20"/>
              </w:rPr>
              <w:t>3/5/17</w:t>
            </w:r>
          </w:p>
        </w:tc>
        <w:tc>
          <w:tcPr>
            <w:tcW w:w="6335" w:type="dxa"/>
            <w:tcBorders>
              <w:top w:val="single" w:sz="4" w:space="0" w:color="auto"/>
              <w:bottom w:val="single" w:sz="4" w:space="0" w:color="auto"/>
            </w:tcBorders>
            <w:shd w:val="clear" w:color="auto" w:fill="auto"/>
          </w:tcPr>
          <w:p w14:paraId="4DFBE6C5" w14:textId="77777777" w:rsidR="00A70030" w:rsidRPr="00653AFA" w:rsidRDefault="00A70030" w:rsidP="00073385">
            <w:pPr>
              <w:spacing w:before="60" w:after="60" w:line="240" w:lineRule="auto"/>
              <w:ind w:left="0"/>
              <w:rPr>
                <w:rFonts w:cs="Arial"/>
                <w:sz w:val="20"/>
                <w:szCs w:val="20"/>
              </w:rPr>
            </w:pPr>
            <w:r w:rsidRPr="00653AFA">
              <w:rPr>
                <w:rFonts w:cs="Arial"/>
                <w:sz w:val="20"/>
                <w:szCs w:val="20"/>
              </w:rPr>
              <w:t xml:space="preserve">LEFCOL responded to CarbonNet’s email stating they will work closely with SIV and SETFIA on this issue to ensure issues are raised as a collective. </w:t>
            </w:r>
          </w:p>
          <w:p w14:paraId="53D1018F" w14:textId="77777777" w:rsidR="00A70030" w:rsidRPr="00653AFA" w:rsidRDefault="00A70030" w:rsidP="00073385">
            <w:pPr>
              <w:spacing w:before="60" w:after="60" w:line="240" w:lineRule="auto"/>
              <w:ind w:left="0"/>
              <w:rPr>
                <w:rFonts w:cs="Arial"/>
                <w:sz w:val="20"/>
                <w:szCs w:val="20"/>
              </w:rPr>
            </w:pPr>
          </w:p>
        </w:tc>
        <w:tc>
          <w:tcPr>
            <w:tcW w:w="3802" w:type="dxa"/>
            <w:tcBorders>
              <w:top w:val="single" w:sz="4" w:space="0" w:color="auto"/>
              <w:bottom w:val="single" w:sz="4" w:space="0" w:color="auto"/>
            </w:tcBorders>
            <w:shd w:val="clear" w:color="auto" w:fill="auto"/>
          </w:tcPr>
          <w:p w14:paraId="1435BDAB" w14:textId="77777777" w:rsidR="00A70030" w:rsidRPr="00653AFA" w:rsidRDefault="00A70030" w:rsidP="00073385">
            <w:pPr>
              <w:spacing w:before="60" w:after="60" w:line="240" w:lineRule="auto"/>
              <w:ind w:left="0"/>
              <w:rPr>
                <w:rFonts w:cs="Arial"/>
                <w:sz w:val="20"/>
                <w:szCs w:val="20"/>
              </w:rPr>
            </w:pPr>
            <w:r w:rsidRPr="00653AFA">
              <w:rPr>
                <w:rFonts w:cs="Arial"/>
                <w:sz w:val="20"/>
                <w:szCs w:val="20"/>
              </w:rPr>
              <w:t>CarbonNet respects LEFCOL’s previously stated wishes regarding communications to be channelled through SIV and will communicate with all groups on issues that are relevant to them.</w:t>
            </w:r>
          </w:p>
        </w:tc>
      </w:tr>
      <w:tr w:rsidR="00A70030" w:rsidRPr="00FF0808" w14:paraId="279FADE2" w14:textId="77777777" w:rsidTr="00891DE1">
        <w:trPr>
          <w:trHeight w:val="170"/>
        </w:trPr>
        <w:tc>
          <w:tcPr>
            <w:tcW w:w="1427" w:type="dxa"/>
            <w:tcBorders>
              <w:top w:val="nil"/>
              <w:bottom w:val="nil"/>
            </w:tcBorders>
            <w:shd w:val="clear" w:color="auto" w:fill="auto"/>
          </w:tcPr>
          <w:p w14:paraId="36A3652D"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56D46F1"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C474BFD" w14:textId="77777777" w:rsidR="00A70030" w:rsidRDefault="00A70030" w:rsidP="00073385">
            <w:pPr>
              <w:spacing w:before="60" w:after="60" w:line="240" w:lineRule="auto"/>
              <w:ind w:left="0"/>
              <w:rPr>
                <w:rFonts w:cs="Arial"/>
                <w:sz w:val="20"/>
                <w:szCs w:val="20"/>
              </w:rPr>
            </w:pPr>
            <w:r>
              <w:rPr>
                <w:rFonts w:cs="Arial"/>
                <w:sz w:val="20"/>
                <w:szCs w:val="20"/>
              </w:rPr>
              <w:t>11/5/17</w:t>
            </w:r>
          </w:p>
        </w:tc>
        <w:tc>
          <w:tcPr>
            <w:tcW w:w="6335" w:type="dxa"/>
            <w:tcBorders>
              <w:top w:val="single" w:sz="4" w:space="0" w:color="auto"/>
              <w:bottom w:val="single" w:sz="4" w:space="0" w:color="auto"/>
            </w:tcBorders>
            <w:shd w:val="clear" w:color="auto" w:fill="auto"/>
          </w:tcPr>
          <w:p w14:paraId="163B0AD8" w14:textId="77777777" w:rsidR="00A70030" w:rsidRDefault="00A70030" w:rsidP="00073385">
            <w:pPr>
              <w:spacing w:before="60" w:after="60" w:line="240" w:lineRule="auto"/>
              <w:ind w:left="0"/>
              <w:rPr>
                <w:rFonts w:cs="Arial"/>
                <w:sz w:val="20"/>
                <w:szCs w:val="20"/>
              </w:rPr>
            </w:pPr>
            <w:r>
              <w:rPr>
                <w:rFonts w:cs="Arial"/>
                <w:sz w:val="20"/>
                <w:szCs w:val="20"/>
              </w:rPr>
              <w:t>CarbonNet emailed LEFCOL with the following:</w:t>
            </w:r>
          </w:p>
          <w:p w14:paraId="721BC374" w14:textId="77777777" w:rsidR="00A70030" w:rsidRDefault="00A70030" w:rsidP="00073385">
            <w:pPr>
              <w:pStyle w:val="ListParagraph0"/>
              <w:numPr>
                <w:ilvl w:val="0"/>
                <w:numId w:val="459"/>
              </w:numPr>
              <w:spacing w:before="60" w:after="60" w:line="240" w:lineRule="auto"/>
              <w:rPr>
                <w:rFonts w:cs="Arial"/>
                <w:sz w:val="20"/>
                <w:szCs w:val="20"/>
              </w:rPr>
            </w:pPr>
            <w:r>
              <w:rPr>
                <w:rFonts w:cs="Arial"/>
                <w:sz w:val="20"/>
                <w:szCs w:val="20"/>
              </w:rPr>
              <w:t>Summary of field observations and a map showing where observations were taken.</w:t>
            </w:r>
          </w:p>
          <w:p w14:paraId="2E2621D1" w14:textId="77777777" w:rsidR="00A70030" w:rsidRDefault="00A70030" w:rsidP="00073385">
            <w:pPr>
              <w:pStyle w:val="ListParagraph0"/>
              <w:numPr>
                <w:ilvl w:val="0"/>
                <w:numId w:val="459"/>
              </w:numPr>
              <w:spacing w:before="60" w:after="60" w:line="240" w:lineRule="auto"/>
              <w:rPr>
                <w:rFonts w:cs="Arial"/>
                <w:sz w:val="20"/>
                <w:szCs w:val="20"/>
              </w:rPr>
            </w:pPr>
            <w:r>
              <w:rPr>
                <w:rFonts w:cs="Arial"/>
                <w:sz w:val="20"/>
                <w:szCs w:val="20"/>
              </w:rPr>
              <w:t>Request to clarify which groups represent which stakeholders.</w:t>
            </w:r>
          </w:p>
          <w:p w14:paraId="087A892C" w14:textId="7C204222" w:rsidR="00A70030" w:rsidRDefault="00A70030" w:rsidP="00CE3085">
            <w:pPr>
              <w:pStyle w:val="ListParagraph0"/>
              <w:numPr>
                <w:ilvl w:val="0"/>
                <w:numId w:val="459"/>
              </w:numPr>
              <w:spacing w:before="60" w:after="60" w:line="240" w:lineRule="auto"/>
              <w:rPr>
                <w:rFonts w:cs="Arial"/>
                <w:sz w:val="20"/>
                <w:szCs w:val="20"/>
              </w:rPr>
            </w:pPr>
            <w:r>
              <w:rPr>
                <w:rFonts w:cs="Arial"/>
                <w:sz w:val="20"/>
                <w:szCs w:val="20"/>
              </w:rPr>
              <w:t>Request for further information to inform the environmental impact assessment process.</w:t>
            </w:r>
          </w:p>
        </w:tc>
        <w:tc>
          <w:tcPr>
            <w:tcW w:w="3802" w:type="dxa"/>
            <w:tcBorders>
              <w:top w:val="single" w:sz="4" w:space="0" w:color="auto"/>
              <w:bottom w:val="single" w:sz="4" w:space="0" w:color="auto"/>
            </w:tcBorders>
            <w:shd w:val="clear" w:color="auto" w:fill="auto"/>
          </w:tcPr>
          <w:p w14:paraId="5FED248A"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DB67DCA" w14:textId="77777777" w:rsidTr="00891DE1">
        <w:trPr>
          <w:trHeight w:val="170"/>
        </w:trPr>
        <w:tc>
          <w:tcPr>
            <w:tcW w:w="1427" w:type="dxa"/>
            <w:tcBorders>
              <w:top w:val="nil"/>
              <w:bottom w:val="nil"/>
            </w:tcBorders>
            <w:shd w:val="clear" w:color="auto" w:fill="auto"/>
          </w:tcPr>
          <w:p w14:paraId="33DE7239"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7D0B43E"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C9FAFED" w14:textId="77777777" w:rsidR="00A70030" w:rsidRDefault="00A70030" w:rsidP="00073385">
            <w:pPr>
              <w:spacing w:before="60" w:after="60" w:line="240" w:lineRule="auto"/>
              <w:ind w:left="0"/>
              <w:rPr>
                <w:rFonts w:cs="Arial"/>
                <w:sz w:val="20"/>
                <w:szCs w:val="20"/>
              </w:rPr>
            </w:pPr>
            <w:r>
              <w:rPr>
                <w:rFonts w:cs="Arial"/>
                <w:sz w:val="20"/>
                <w:szCs w:val="20"/>
              </w:rPr>
              <w:t>19/5/17</w:t>
            </w:r>
          </w:p>
        </w:tc>
        <w:tc>
          <w:tcPr>
            <w:tcW w:w="6335" w:type="dxa"/>
            <w:tcBorders>
              <w:top w:val="single" w:sz="4" w:space="0" w:color="auto"/>
              <w:bottom w:val="single" w:sz="4" w:space="0" w:color="auto"/>
            </w:tcBorders>
            <w:shd w:val="clear" w:color="auto" w:fill="auto"/>
          </w:tcPr>
          <w:p w14:paraId="16638D09" w14:textId="77777777" w:rsidR="00A70030" w:rsidRDefault="00A70030" w:rsidP="00073385">
            <w:pPr>
              <w:spacing w:before="60" w:after="60" w:line="240" w:lineRule="auto"/>
              <w:ind w:left="0"/>
              <w:rPr>
                <w:rFonts w:cs="Arial"/>
                <w:sz w:val="20"/>
                <w:szCs w:val="20"/>
              </w:rPr>
            </w:pPr>
            <w:r>
              <w:rPr>
                <w:rFonts w:cs="Arial"/>
                <w:sz w:val="20"/>
                <w:szCs w:val="20"/>
              </w:rPr>
              <w:t xml:space="preserve">CarbonNet spoke to LEFCOL to advise that that it would be in Lakes Entrance the following week if they would like to meet. LEFCOL stated they had spoken to SIV about doing a separate stock assessment focusing on scallops and lobsters to ascertain whether those species are present in the proposed MSS area. </w:t>
            </w:r>
          </w:p>
          <w:p w14:paraId="4F9890A8" w14:textId="2501FB5F" w:rsidR="00A70030" w:rsidRDefault="00A70030" w:rsidP="00073385">
            <w:pPr>
              <w:spacing w:before="60" w:after="60" w:line="240" w:lineRule="auto"/>
              <w:ind w:left="0"/>
              <w:rPr>
                <w:rFonts w:cs="Arial"/>
                <w:sz w:val="20"/>
                <w:szCs w:val="20"/>
              </w:rPr>
            </w:pPr>
            <w:r>
              <w:rPr>
                <w:rFonts w:cs="Arial"/>
                <w:sz w:val="20"/>
                <w:szCs w:val="20"/>
              </w:rPr>
              <w:t>CarbonNet requested a formal proposal to progress this initiative. LEFCOL replied that it would come from SIV.</w:t>
            </w:r>
          </w:p>
        </w:tc>
        <w:tc>
          <w:tcPr>
            <w:tcW w:w="3802" w:type="dxa"/>
            <w:tcBorders>
              <w:top w:val="single" w:sz="4" w:space="0" w:color="auto"/>
              <w:bottom w:val="single" w:sz="4" w:space="0" w:color="auto"/>
            </w:tcBorders>
            <w:shd w:val="clear" w:color="auto" w:fill="auto"/>
          </w:tcPr>
          <w:p w14:paraId="2AF25513"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587660C" w14:textId="77777777" w:rsidTr="00CE3085">
        <w:trPr>
          <w:trHeight w:val="170"/>
        </w:trPr>
        <w:tc>
          <w:tcPr>
            <w:tcW w:w="1427" w:type="dxa"/>
            <w:tcBorders>
              <w:top w:val="nil"/>
              <w:bottom w:val="nil"/>
            </w:tcBorders>
            <w:shd w:val="clear" w:color="auto" w:fill="auto"/>
          </w:tcPr>
          <w:p w14:paraId="4D047796"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F6CA117"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56CC2E7" w14:textId="77777777" w:rsidR="00A70030" w:rsidRDefault="00A70030" w:rsidP="00073385">
            <w:pPr>
              <w:spacing w:before="60" w:after="60" w:line="240" w:lineRule="auto"/>
              <w:ind w:left="0"/>
              <w:rPr>
                <w:rFonts w:cs="Arial"/>
                <w:sz w:val="20"/>
                <w:szCs w:val="20"/>
              </w:rPr>
            </w:pPr>
            <w:r>
              <w:rPr>
                <w:rFonts w:cs="Arial"/>
                <w:sz w:val="20"/>
                <w:szCs w:val="20"/>
              </w:rPr>
              <w:t xml:space="preserve">19/5/17 </w:t>
            </w:r>
          </w:p>
          <w:p w14:paraId="787DDFB2"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45A7E89F" w14:textId="58152FC5" w:rsidR="00A70030" w:rsidRDefault="00A70030" w:rsidP="00073385">
            <w:pPr>
              <w:spacing w:before="60" w:after="60" w:line="240" w:lineRule="auto"/>
              <w:ind w:left="0"/>
              <w:rPr>
                <w:rFonts w:cs="Arial"/>
                <w:sz w:val="20"/>
                <w:szCs w:val="20"/>
              </w:rPr>
            </w:pPr>
            <w:r>
              <w:rPr>
                <w:rFonts w:cs="Arial"/>
                <w:sz w:val="20"/>
                <w:szCs w:val="20"/>
              </w:rPr>
              <w:t>CarbonNet emailed LEFCOL and SIV to enquire about the status of the aforementioned proposal .</w:t>
            </w:r>
          </w:p>
        </w:tc>
        <w:tc>
          <w:tcPr>
            <w:tcW w:w="3802" w:type="dxa"/>
            <w:tcBorders>
              <w:top w:val="single" w:sz="4" w:space="0" w:color="auto"/>
              <w:bottom w:val="single" w:sz="4" w:space="0" w:color="auto"/>
            </w:tcBorders>
            <w:shd w:val="clear" w:color="auto" w:fill="auto"/>
          </w:tcPr>
          <w:p w14:paraId="5593E364"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1C26B896" w14:textId="77777777" w:rsidTr="00CE3085">
        <w:trPr>
          <w:trHeight w:val="170"/>
        </w:trPr>
        <w:tc>
          <w:tcPr>
            <w:tcW w:w="1427" w:type="dxa"/>
            <w:tcBorders>
              <w:top w:val="nil"/>
              <w:bottom w:val="nil"/>
            </w:tcBorders>
            <w:shd w:val="clear" w:color="auto" w:fill="auto"/>
          </w:tcPr>
          <w:p w14:paraId="5662915B"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1E6F3657"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2B8458C3" w14:textId="77777777" w:rsidR="00A70030" w:rsidRPr="00FF0808" w:rsidRDefault="00A70030" w:rsidP="00073385">
            <w:pPr>
              <w:spacing w:before="60" w:after="60" w:line="240" w:lineRule="auto"/>
              <w:ind w:left="0"/>
              <w:rPr>
                <w:rFonts w:cs="Arial"/>
                <w:sz w:val="20"/>
                <w:szCs w:val="20"/>
              </w:rPr>
            </w:pPr>
            <w:r>
              <w:rPr>
                <w:rFonts w:cs="Arial"/>
                <w:sz w:val="20"/>
                <w:szCs w:val="20"/>
              </w:rPr>
              <w:t>27/6/17</w:t>
            </w:r>
          </w:p>
        </w:tc>
        <w:tc>
          <w:tcPr>
            <w:tcW w:w="6335" w:type="dxa"/>
            <w:tcBorders>
              <w:top w:val="single" w:sz="4" w:space="0" w:color="auto"/>
              <w:bottom w:val="single" w:sz="4" w:space="0" w:color="auto"/>
            </w:tcBorders>
            <w:shd w:val="clear" w:color="auto" w:fill="auto"/>
          </w:tcPr>
          <w:p w14:paraId="0F4DEA50" w14:textId="77777777" w:rsidR="00A70030" w:rsidRDefault="00A70030" w:rsidP="00073385">
            <w:pPr>
              <w:spacing w:before="60" w:after="60" w:line="240" w:lineRule="auto"/>
              <w:ind w:left="0"/>
              <w:rPr>
                <w:rFonts w:cs="Arial"/>
                <w:sz w:val="20"/>
                <w:szCs w:val="20"/>
              </w:rPr>
            </w:pPr>
            <w:r w:rsidRPr="00661FE0">
              <w:rPr>
                <w:rFonts w:cs="Arial"/>
                <w:sz w:val="20"/>
                <w:szCs w:val="20"/>
              </w:rPr>
              <w:t xml:space="preserve">CarbonNet sent an email to </w:t>
            </w:r>
            <w:r>
              <w:rPr>
                <w:rFonts w:cs="Arial"/>
                <w:sz w:val="20"/>
                <w:szCs w:val="20"/>
              </w:rPr>
              <w:t>LEFCOL</w:t>
            </w:r>
            <w:r w:rsidRPr="00661FE0">
              <w:rPr>
                <w:rFonts w:cs="Arial"/>
                <w:sz w:val="20"/>
                <w:szCs w:val="20"/>
              </w:rPr>
              <w:t xml:space="preserve"> with the summary of sound </w:t>
            </w:r>
            <w:r>
              <w:rPr>
                <w:rFonts w:cs="Arial"/>
                <w:sz w:val="20"/>
                <w:szCs w:val="20"/>
              </w:rPr>
              <w:t xml:space="preserve">transmission </w:t>
            </w:r>
            <w:r w:rsidRPr="00661FE0">
              <w:rPr>
                <w:rFonts w:cs="Arial"/>
                <w:sz w:val="20"/>
                <w:szCs w:val="20"/>
              </w:rPr>
              <w:t xml:space="preserve">modelling results, and requested </w:t>
            </w:r>
            <w:r>
              <w:rPr>
                <w:rFonts w:cs="Arial"/>
                <w:sz w:val="20"/>
                <w:szCs w:val="20"/>
              </w:rPr>
              <w:t>LEFCOL</w:t>
            </w:r>
            <w:r w:rsidRPr="00661FE0">
              <w:rPr>
                <w:rFonts w:cs="Arial"/>
                <w:sz w:val="20"/>
                <w:szCs w:val="20"/>
              </w:rPr>
              <w:t xml:space="preserve"> get in touch if they would like to discuss. The summary included an offer to make CarbonNet’s acoustic consultant available to discuss the results.</w:t>
            </w:r>
            <w:r>
              <w:rPr>
                <w:rFonts w:cs="Arial"/>
                <w:sz w:val="20"/>
                <w:szCs w:val="20"/>
              </w:rPr>
              <w:t xml:space="preserve"> CarbonNet also told LEFCOL that the results had been sent to SIV.</w:t>
            </w:r>
          </w:p>
          <w:p w14:paraId="3B22BEC1" w14:textId="77777777" w:rsidR="00A70030" w:rsidRPr="00FF0808" w:rsidRDefault="00A70030" w:rsidP="00073385">
            <w:pPr>
              <w:spacing w:before="60" w:after="60" w:line="240" w:lineRule="auto"/>
              <w:ind w:left="0"/>
              <w:rPr>
                <w:rFonts w:cs="Arial"/>
                <w:sz w:val="20"/>
                <w:szCs w:val="20"/>
              </w:rPr>
            </w:pPr>
            <w:r>
              <w:rPr>
                <w:rFonts w:cs="Arial"/>
                <w:sz w:val="20"/>
                <w:szCs w:val="20"/>
              </w:rPr>
              <w:t xml:space="preserve">There has been no response since this time. </w:t>
            </w:r>
          </w:p>
        </w:tc>
        <w:tc>
          <w:tcPr>
            <w:tcW w:w="3802" w:type="dxa"/>
            <w:tcBorders>
              <w:top w:val="single" w:sz="4" w:space="0" w:color="auto"/>
              <w:bottom w:val="single" w:sz="4" w:space="0" w:color="auto"/>
            </w:tcBorders>
            <w:shd w:val="clear" w:color="auto" w:fill="auto"/>
          </w:tcPr>
          <w:p w14:paraId="7FAE0966" w14:textId="77777777" w:rsidR="00A70030" w:rsidRDefault="00A70030" w:rsidP="00073385">
            <w:pPr>
              <w:spacing w:before="60" w:after="60" w:line="240" w:lineRule="auto"/>
              <w:ind w:left="0"/>
              <w:rPr>
                <w:rFonts w:cs="Arial"/>
                <w:sz w:val="20"/>
                <w:szCs w:val="20"/>
              </w:rPr>
            </w:pPr>
            <w:r>
              <w:rPr>
                <w:rFonts w:cs="Arial"/>
                <w:sz w:val="20"/>
                <w:szCs w:val="20"/>
              </w:rPr>
              <w:t>N/A</w:t>
            </w:r>
          </w:p>
          <w:p w14:paraId="52AB9958" w14:textId="77777777" w:rsidR="00A70030" w:rsidRPr="00244D8F" w:rsidRDefault="00A70030" w:rsidP="00073385">
            <w:pPr>
              <w:pStyle w:val="ListParagraph0"/>
              <w:spacing w:before="60" w:after="60" w:line="240" w:lineRule="auto"/>
              <w:ind w:left="360"/>
              <w:rPr>
                <w:rFonts w:cs="Arial"/>
                <w:b/>
                <w:sz w:val="20"/>
                <w:szCs w:val="20"/>
              </w:rPr>
            </w:pPr>
          </w:p>
        </w:tc>
      </w:tr>
      <w:tr w:rsidR="00A70030" w:rsidRPr="00FF0808" w14:paraId="0FC48B5F" w14:textId="77777777" w:rsidTr="00CE3085">
        <w:trPr>
          <w:trHeight w:val="170"/>
        </w:trPr>
        <w:tc>
          <w:tcPr>
            <w:tcW w:w="1427" w:type="dxa"/>
            <w:tcBorders>
              <w:top w:val="nil"/>
              <w:bottom w:val="nil"/>
            </w:tcBorders>
            <w:shd w:val="clear" w:color="auto" w:fill="auto"/>
          </w:tcPr>
          <w:p w14:paraId="14841063"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9755ACA"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628D366" w14:textId="77777777" w:rsidR="00A70030" w:rsidRDefault="00A70030" w:rsidP="00073385">
            <w:pPr>
              <w:spacing w:before="60" w:after="60" w:line="240" w:lineRule="auto"/>
              <w:ind w:left="0"/>
              <w:rPr>
                <w:rFonts w:cs="Arial"/>
                <w:sz w:val="20"/>
                <w:szCs w:val="20"/>
              </w:rPr>
            </w:pPr>
            <w:r>
              <w:rPr>
                <w:rFonts w:cs="Arial"/>
                <w:sz w:val="20"/>
                <w:szCs w:val="20"/>
              </w:rPr>
              <w:t>7/8/17</w:t>
            </w:r>
          </w:p>
        </w:tc>
        <w:tc>
          <w:tcPr>
            <w:tcW w:w="6335" w:type="dxa"/>
            <w:tcBorders>
              <w:top w:val="single" w:sz="4" w:space="0" w:color="auto"/>
              <w:bottom w:val="single" w:sz="4" w:space="0" w:color="auto"/>
            </w:tcBorders>
            <w:shd w:val="clear" w:color="auto" w:fill="auto"/>
          </w:tcPr>
          <w:p w14:paraId="3742A5A1" w14:textId="77777777" w:rsidR="00A70030" w:rsidRPr="00B866A1" w:rsidRDefault="00A70030" w:rsidP="00073385">
            <w:pPr>
              <w:spacing w:before="60" w:after="60" w:line="240" w:lineRule="auto"/>
              <w:ind w:left="0"/>
              <w:rPr>
                <w:rFonts w:cs="Arial"/>
                <w:sz w:val="20"/>
                <w:szCs w:val="20"/>
              </w:rPr>
            </w:pPr>
            <w:r w:rsidRPr="00B866A1">
              <w:rPr>
                <w:rFonts w:cs="Arial"/>
                <w:sz w:val="20"/>
                <w:szCs w:val="20"/>
              </w:rPr>
              <w:t xml:space="preserve">CarbonNet sent </w:t>
            </w:r>
            <w:r>
              <w:rPr>
                <w:rFonts w:cs="Arial"/>
                <w:sz w:val="20"/>
                <w:szCs w:val="20"/>
              </w:rPr>
              <w:t>LEFCOL</w:t>
            </w:r>
            <w:r w:rsidRPr="00B866A1">
              <w:rPr>
                <w:rFonts w:cs="Arial"/>
                <w:sz w:val="20"/>
                <w:szCs w:val="20"/>
              </w:rPr>
              <w:t xml:space="preserve"> an email advising that the operational area and duration of survey have now been refined, and that the EP will be submitted in mid-August.</w:t>
            </w:r>
          </w:p>
          <w:p w14:paraId="260DEF98" w14:textId="77777777" w:rsidR="00A70030" w:rsidRPr="00B866A1" w:rsidRDefault="00A70030" w:rsidP="00073385">
            <w:pPr>
              <w:spacing w:before="60" w:after="60" w:line="240" w:lineRule="auto"/>
              <w:ind w:left="0"/>
              <w:rPr>
                <w:rFonts w:cs="Arial"/>
                <w:sz w:val="20"/>
                <w:szCs w:val="20"/>
              </w:rPr>
            </w:pPr>
            <w:r w:rsidRPr="00B866A1">
              <w:rPr>
                <w:rFonts w:cs="Arial"/>
                <w:sz w:val="20"/>
                <w:szCs w:val="20"/>
              </w:rPr>
              <w:t>The email explained that the operational area is now larger due to vessel turns, and provided map with amended operational area, and acquisition area (which is unchanged).</w:t>
            </w:r>
          </w:p>
          <w:p w14:paraId="7FAD72EE" w14:textId="77777777" w:rsidR="00A70030" w:rsidRPr="00661FE0" w:rsidRDefault="00A70030" w:rsidP="00073385">
            <w:pPr>
              <w:spacing w:before="60" w:after="60" w:line="240" w:lineRule="auto"/>
              <w:ind w:left="0"/>
              <w:rPr>
                <w:rFonts w:cs="Arial"/>
                <w:sz w:val="20"/>
                <w:szCs w:val="20"/>
              </w:rPr>
            </w:pPr>
            <w:r w:rsidRPr="00B866A1">
              <w:rPr>
                <w:rFonts w:cs="Arial"/>
                <w:sz w:val="20"/>
                <w:szCs w:val="20"/>
              </w:rPr>
              <w:t>The survey duration is likely to be 13-16 days but could be up to 27 days depending on final vessel selection.</w:t>
            </w:r>
          </w:p>
        </w:tc>
        <w:tc>
          <w:tcPr>
            <w:tcW w:w="3802" w:type="dxa"/>
            <w:tcBorders>
              <w:top w:val="single" w:sz="4" w:space="0" w:color="auto"/>
              <w:bottom w:val="single" w:sz="4" w:space="0" w:color="auto"/>
            </w:tcBorders>
            <w:shd w:val="clear" w:color="auto" w:fill="auto"/>
          </w:tcPr>
          <w:p w14:paraId="3C1F1710" w14:textId="3FD6849D"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A58AF7B" w14:textId="77777777" w:rsidTr="00891DE1">
        <w:trPr>
          <w:trHeight w:val="170"/>
        </w:trPr>
        <w:tc>
          <w:tcPr>
            <w:tcW w:w="1427" w:type="dxa"/>
            <w:tcBorders>
              <w:top w:val="nil"/>
              <w:bottom w:val="nil"/>
            </w:tcBorders>
            <w:shd w:val="clear" w:color="auto" w:fill="auto"/>
          </w:tcPr>
          <w:p w14:paraId="022364BA"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2DBE34D"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68ABCF7F" w14:textId="77777777" w:rsidR="00A70030" w:rsidRDefault="00A70030" w:rsidP="00073385">
            <w:pPr>
              <w:spacing w:before="60" w:after="60" w:line="240" w:lineRule="auto"/>
              <w:ind w:left="0"/>
              <w:rPr>
                <w:rFonts w:cs="Arial"/>
                <w:sz w:val="20"/>
                <w:szCs w:val="20"/>
              </w:rPr>
            </w:pPr>
            <w:r>
              <w:rPr>
                <w:rFonts w:cs="Arial"/>
                <w:sz w:val="20"/>
                <w:szCs w:val="20"/>
              </w:rPr>
              <w:t>8/8/17</w:t>
            </w:r>
          </w:p>
        </w:tc>
        <w:tc>
          <w:tcPr>
            <w:tcW w:w="6335" w:type="dxa"/>
            <w:tcBorders>
              <w:top w:val="single" w:sz="4" w:space="0" w:color="auto"/>
              <w:bottom w:val="single" w:sz="4" w:space="0" w:color="auto"/>
            </w:tcBorders>
            <w:shd w:val="clear" w:color="auto" w:fill="auto"/>
          </w:tcPr>
          <w:p w14:paraId="224439C5" w14:textId="77777777" w:rsidR="00A70030" w:rsidRPr="00B866A1" w:rsidRDefault="00A70030" w:rsidP="00073385">
            <w:pPr>
              <w:spacing w:before="60" w:after="60" w:line="240" w:lineRule="auto"/>
              <w:ind w:left="0"/>
              <w:rPr>
                <w:rFonts w:cs="Arial"/>
                <w:sz w:val="20"/>
                <w:szCs w:val="20"/>
              </w:rPr>
            </w:pPr>
            <w:r>
              <w:rPr>
                <w:rFonts w:cs="Arial"/>
                <w:sz w:val="20"/>
                <w:szCs w:val="20"/>
              </w:rPr>
              <w:t>LEFCOL attended a meeting in Lakes Entrance with SIV, VFA and five scallop fishermen. See comments recorded under SIV.</w:t>
            </w:r>
          </w:p>
        </w:tc>
        <w:tc>
          <w:tcPr>
            <w:tcW w:w="3802" w:type="dxa"/>
            <w:tcBorders>
              <w:top w:val="single" w:sz="4" w:space="0" w:color="auto"/>
              <w:bottom w:val="single" w:sz="4" w:space="0" w:color="auto"/>
            </w:tcBorders>
            <w:shd w:val="clear" w:color="auto" w:fill="auto"/>
          </w:tcPr>
          <w:p w14:paraId="2E68ECFF" w14:textId="77777777" w:rsidR="00A70030" w:rsidRDefault="00A70030" w:rsidP="00073385">
            <w:pPr>
              <w:spacing w:before="60" w:after="60" w:line="240" w:lineRule="auto"/>
              <w:ind w:left="0"/>
              <w:rPr>
                <w:rFonts w:cs="Arial"/>
                <w:sz w:val="20"/>
                <w:szCs w:val="20"/>
              </w:rPr>
            </w:pPr>
            <w:r>
              <w:rPr>
                <w:rFonts w:cs="Arial"/>
                <w:sz w:val="20"/>
                <w:szCs w:val="20"/>
              </w:rPr>
              <w:t xml:space="preserve">CarbonNet offered to send draft extracts from the EP regarding scallops, which were sent to SIV in July, to all </w:t>
            </w:r>
            <w:r>
              <w:rPr>
                <w:rFonts w:cs="Arial"/>
                <w:sz w:val="20"/>
                <w:szCs w:val="20"/>
              </w:rPr>
              <w:lastRenderedPageBreak/>
              <w:t xml:space="preserve">stakeholders present on request. </w:t>
            </w:r>
          </w:p>
        </w:tc>
      </w:tr>
      <w:tr w:rsidR="00A70030" w:rsidRPr="00FF0808" w14:paraId="68043B9E" w14:textId="77777777" w:rsidTr="00CE3085">
        <w:trPr>
          <w:trHeight w:val="170"/>
        </w:trPr>
        <w:tc>
          <w:tcPr>
            <w:tcW w:w="1427" w:type="dxa"/>
            <w:tcBorders>
              <w:top w:val="nil"/>
              <w:bottom w:val="single" w:sz="4" w:space="0" w:color="auto"/>
            </w:tcBorders>
            <w:shd w:val="clear" w:color="auto" w:fill="auto"/>
          </w:tcPr>
          <w:p w14:paraId="1D0B8161"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single" w:sz="4" w:space="0" w:color="auto"/>
            </w:tcBorders>
            <w:shd w:val="clear" w:color="auto" w:fill="auto"/>
          </w:tcPr>
          <w:p w14:paraId="5D6F1FB5"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B2048CF" w14:textId="1C6F7124"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auto"/>
              <w:bottom w:val="single" w:sz="4" w:space="0" w:color="auto"/>
            </w:tcBorders>
            <w:shd w:val="clear" w:color="auto" w:fill="auto"/>
          </w:tcPr>
          <w:p w14:paraId="7095EFCF" w14:textId="7A543C41" w:rsidR="00A70030"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tcBorders>
              <w:top w:val="single" w:sz="4" w:space="0" w:color="auto"/>
              <w:bottom w:val="single" w:sz="4" w:space="0" w:color="auto"/>
            </w:tcBorders>
            <w:shd w:val="clear" w:color="auto" w:fill="auto"/>
          </w:tcPr>
          <w:p w14:paraId="431DC465" w14:textId="0C988313"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0F76980" w14:textId="77777777" w:rsidTr="00077C5F">
        <w:trPr>
          <w:trHeight w:val="664"/>
        </w:trPr>
        <w:tc>
          <w:tcPr>
            <w:tcW w:w="1427" w:type="dxa"/>
            <w:vMerge w:val="restart"/>
            <w:tcBorders>
              <w:top w:val="single" w:sz="4" w:space="0" w:color="auto"/>
            </w:tcBorders>
            <w:shd w:val="clear" w:color="auto" w:fill="auto"/>
          </w:tcPr>
          <w:p w14:paraId="0750C80C" w14:textId="77777777" w:rsidR="00A70030" w:rsidRPr="003E2F3C" w:rsidRDefault="00A70030" w:rsidP="00073385">
            <w:pPr>
              <w:spacing w:before="60" w:after="60" w:line="240" w:lineRule="auto"/>
              <w:ind w:left="0"/>
              <w:rPr>
                <w:rFonts w:cs="Arial"/>
                <w:sz w:val="20"/>
                <w:szCs w:val="20"/>
              </w:rPr>
            </w:pPr>
            <w:r w:rsidRPr="003E2F3C">
              <w:rPr>
                <w:rFonts w:cs="Arial"/>
                <w:sz w:val="20"/>
                <w:szCs w:val="20"/>
              </w:rPr>
              <w:t>Victorian Abalone Council</w:t>
            </w:r>
          </w:p>
        </w:tc>
        <w:tc>
          <w:tcPr>
            <w:tcW w:w="1629" w:type="dxa"/>
            <w:vMerge w:val="restart"/>
            <w:tcBorders>
              <w:top w:val="single" w:sz="4" w:space="0" w:color="auto"/>
            </w:tcBorders>
            <w:shd w:val="clear" w:color="auto" w:fill="auto"/>
          </w:tcPr>
          <w:p w14:paraId="411716FA" w14:textId="23AA5207" w:rsidR="00A70030" w:rsidRPr="00FF0808" w:rsidRDefault="00A70030" w:rsidP="00073385">
            <w:pPr>
              <w:spacing w:before="60" w:after="60" w:line="240" w:lineRule="auto"/>
              <w:ind w:left="0"/>
              <w:rPr>
                <w:rFonts w:cs="Arial"/>
                <w:sz w:val="20"/>
                <w:szCs w:val="20"/>
              </w:rPr>
            </w:pPr>
            <w:r>
              <w:rPr>
                <w:rFonts w:cs="Arial"/>
                <w:sz w:val="20"/>
                <w:szCs w:val="20"/>
              </w:rPr>
              <w:t>Represent Victorian Abalone fishermen who may have activities near the proposed acquisition area</w:t>
            </w:r>
          </w:p>
        </w:tc>
        <w:tc>
          <w:tcPr>
            <w:tcW w:w="1055" w:type="dxa"/>
            <w:tcBorders>
              <w:top w:val="single" w:sz="4" w:space="0" w:color="auto"/>
              <w:bottom w:val="single" w:sz="4" w:space="0" w:color="auto"/>
            </w:tcBorders>
          </w:tcPr>
          <w:p w14:paraId="2DD94B84" w14:textId="77777777" w:rsidR="00A70030" w:rsidRDefault="00A70030" w:rsidP="00073385">
            <w:pPr>
              <w:spacing w:before="60" w:after="60" w:line="240" w:lineRule="auto"/>
              <w:ind w:left="0"/>
              <w:rPr>
                <w:rFonts w:cs="Arial"/>
                <w:sz w:val="20"/>
                <w:szCs w:val="20"/>
              </w:rPr>
            </w:pPr>
            <w:r>
              <w:rPr>
                <w:rFonts w:cs="Arial"/>
                <w:sz w:val="20"/>
                <w:szCs w:val="20"/>
              </w:rPr>
              <w:t>21/3/17</w:t>
            </w:r>
          </w:p>
          <w:p w14:paraId="0432C081" w14:textId="77777777" w:rsidR="00A70030" w:rsidRDefault="00A70030" w:rsidP="00073385">
            <w:pPr>
              <w:spacing w:before="60" w:after="60" w:line="240" w:lineRule="auto"/>
              <w:ind w:left="0"/>
              <w:rPr>
                <w:rFonts w:cs="Arial"/>
                <w:sz w:val="20"/>
                <w:szCs w:val="20"/>
              </w:rPr>
            </w:pPr>
          </w:p>
          <w:p w14:paraId="2A0FB529" w14:textId="77777777" w:rsidR="00A70030" w:rsidRDefault="00A70030" w:rsidP="00073385">
            <w:pPr>
              <w:spacing w:before="60" w:after="60" w:line="240" w:lineRule="auto"/>
              <w:ind w:left="0"/>
              <w:rPr>
                <w:rFonts w:cs="Arial"/>
                <w:sz w:val="20"/>
                <w:szCs w:val="20"/>
              </w:rPr>
            </w:pPr>
          </w:p>
          <w:p w14:paraId="37A5A463" w14:textId="77777777" w:rsidR="00A70030" w:rsidRPr="00FF0808"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68A0302C" w14:textId="77777777" w:rsidR="00A70030" w:rsidRDefault="00A70030" w:rsidP="00073385">
            <w:pPr>
              <w:spacing w:before="60" w:after="60" w:line="240" w:lineRule="auto"/>
              <w:ind w:left="0"/>
              <w:rPr>
                <w:rFonts w:cs="Arial"/>
                <w:sz w:val="20"/>
                <w:szCs w:val="20"/>
              </w:rPr>
            </w:pPr>
            <w:r>
              <w:rPr>
                <w:rFonts w:cs="Arial"/>
                <w:sz w:val="20"/>
                <w:szCs w:val="20"/>
              </w:rPr>
              <w:t>CarbonNet contacted the Victorian Abalone Council via post with a letter that invited feedback and provided a fact sheet.</w:t>
            </w:r>
          </w:p>
          <w:p w14:paraId="6464E964" w14:textId="77777777" w:rsidR="00A70030" w:rsidRPr="00FF0808" w:rsidRDefault="00A70030" w:rsidP="00073385">
            <w:pPr>
              <w:spacing w:before="60" w:after="60" w:line="240" w:lineRule="auto"/>
              <w:ind w:left="0"/>
              <w:rPr>
                <w:rFonts w:cs="Arial"/>
                <w:sz w:val="20"/>
                <w:szCs w:val="20"/>
              </w:rPr>
            </w:pPr>
          </w:p>
        </w:tc>
        <w:tc>
          <w:tcPr>
            <w:tcW w:w="3802" w:type="dxa"/>
            <w:tcBorders>
              <w:top w:val="single" w:sz="4" w:space="0" w:color="auto"/>
              <w:bottom w:val="single" w:sz="4" w:space="0" w:color="auto"/>
            </w:tcBorders>
            <w:shd w:val="clear" w:color="auto" w:fill="auto"/>
          </w:tcPr>
          <w:p w14:paraId="0E5A8044" w14:textId="77777777" w:rsidR="00A70030" w:rsidRPr="0025303E"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C816C97" w14:textId="77777777" w:rsidTr="00891DE1">
        <w:trPr>
          <w:trHeight w:val="750"/>
        </w:trPr>
        <w:tc>
          <w:tcPr>
            <w:tcW w:w="1427" w:type="dxa"/>
            <w:vMerge/>
            <w:tcBorders>
              <w:bottom w:val="nil"/>
            </w:tcBorders>
            <w:shd w:val="clear" w:color="auto" w:fill="auto"/>
          </w:tcPr>
          <w:p w14:paraId="6E972133" w14:textId="77777777" w:rsidR="00A70030" w:rsidRPr="003E2F3C"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36E1893B"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55A5EE6" w14:textId="77777777" w:rsidR="00A70030" w:rsidRDefault="00A70030" w:rsidP="00073385">
            <w:pPr>
              <w:spacing w:before="60" w:after="60" w:line="240" w:lineRule="auto"/>
              <w:ind w:left="0"/>
              <w:rPr>
                <w:rFonts w:cs="Arial"/>
                <w:sz w:val="20"/>
                <w:szCs w:val="20"/>
              </w:rPr>
            </w:pPr>
            <w:r>
              <w:rPr>
                <w:rFonts w:cs="Arial"/>
                <w:sz w:val="20"/>
                <w:szCs w:val="20"/>
              </w:rPr>
              <w:t>18/5/17</w:t>
            </w:r>
          </w:p>
        </w:tc>
        <w:tc>
          <w:tcPr>
            <w:tcW w:w="6335" w:type="dxa"/>
            <w:tcBorders>
              <w:top w:val="single" w:sz="4" w:space="0" w:color="auto"/>
              <w:bottom w:val="single" w:sz="4" w:space="0" w:color="auto"/>
            </w:tcBorders>
            <w:shd w:val="clear" w:color="auto" w:fill="auto"/>
          </w:tcPr>
          <w:p w14:paraId="099609F4" w14:textId="56A9C18D" w:rsidR="00A70030" w:rsidRDefault="00A70030" w:rsidP="00CE3085">
            <w:pPr>
              <w:spacing w:before="60" w:after="60" w:line="240" w:lineRule="auto"/>
              <w:ind w:left="0"/>
              <w:rPr>
                <w:rFonts w:cs="Arial"/>
                <w:sz w:val="20"/>
                <w:szCs w:val="20"/>
              </w:rPr>
            </w:pPr>
            <w:r>
              <w:rPr>
                <w:rFonts w:cs="Arial"/>
                <w:sz w:val="20"/>
                <w:szCs w:val="20"/>
              </w:rPr>
              <w:t>CarbonNet phoned Victorian Abalone Council and was advised it no longer exists. CarbonNet was advised to speak to the Victorian Abalone Divers Association.</w:t>
            </w:r>
          </w:p>
        </w:tc>
        <w:tc>
          <w:tcPr>
            <w:tcW w:w="3802" w:type="dxa"/>
            <w:tcBorders>
              <w:top w:val="single" w:sz="4" w:space="0" w:color="auto"/>
              <w:bottom w:val="single" w:sz="4" w:space="0" w:color="auto"/>
            </w:tcBorders>
            <w:shd w:val="clear" w:color="auto" w:fill="auto"/>
          </w:tcPr>
          <w:p w14:paraId="5C087BC7" w14:textId="77777777" w:rsidR="00A70030" w:rsidRDefault="00A70030" w:rsidP="00073385">
            <w:pPr>
              <w:spacing w:before="60" w:after="60" w:line="240" w:lineRule="auto"/>
              <w:ind w:left="0"/>
              <w:rPr>
                <w:rFonts w:cs="Arial"/>
                <w:sz w:val="20"/>
                <w:szCs w:val="20"/>
              </w:rPr>
            </w:pPr>
            <w:r w:rsidRPr="00244D8F">
              <w:rPr>
                <w:rFonts w:cs="Arial"/>
                <w:sz w:val="20"/>
                <w:szCs w:val="20"/>
              </w:rPr>
              <w:t>CarbonNet consulted the Victorian Abalone Divers Association</w:t>
            </w:r>
            <w:r>
              <w:rPr>
                <w:rFonts w:cs="Arial"/>
                <w:sz w:val="20"/>
                <w:szCs w:val="20"/>
              </w:rPr>
              <w:t xml:space="preserve"> as directed</w:t>
            </w:r>
            <w:r w:rsidRPr="00244D8F">
              <w:rPr>
                <w:rFonts w:cs="Arial"/>
                <w:sz w:val="20"/>
                <w:szCs w:val="20"/>
              </w:rPr>
              <w:t>.</w:t>
            </w:r>
          </w:p>
        </w:tc>
      </w:tr>
      <w:tr w:rsidR="00A70030" w:rsidRPr="00FF0808" w14:paraId="6F1A8AF9" w14:textId="77777777" w:rsidTr="00891DE1">
        <w:trPr>
          <w:trHeight w:val="750"/>
        </w:trPr>
        <w:tc>
          <w:tcPr>
            <w:tcW w:w="1427" w:type="dxa"/>
            <w:tcBorders>
              <w:top w:val="nil"/>
              <w:bottom w:val="single" w:sz="4" w:space="0" w:color="auto"/>
            </w:tcBorders>
            <w:shd w:val="clear" w:color="auto" w:fill="auto"/>
          </w:tcPr>
          <w:p w14:paraId="6DA86C8D"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single" w:sz="4" w:space="0" w:color="auto"/>
            </w:tcBorders>
            <w:shd w:val="clear" w:color="auto" w:fill="auto"/>
          </w:tcPr>
          <w:p w14:paraId="71593FD3"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7F2835B" w14:textId="7EF8FE40"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auto"/>
              <w:bottom w:val="single" w:sz="4" w:space="0" w:color="auto"/>
            </w:tcBorders>
            <w:shd w:val="clear" w:color="auto" w:fill="auto"/>
          </w:tcPr>
          <w:p w14:paraId="7DA5FDB7" w14:textId="313ED2F7" w:rsidR="00A70030" w:rsidRDefault="00A70030" w:rsidP="00CE30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tcBorders>
              <w:top w:val="single" w:sz="4" w:space="0" w:color="auto"/>
              <w:bottom w:val="single" w:sz="4" w:space="0" w:color="auto"/>
            </w:tcBorders>
            <w:shd w:val="clear" w:color="auto" w:fill="auto"/>
          </w:tcPr>
          <w:p w14:paraId="64035681" w14:textId="52300EFE" w:rsidR="00A70030" w:rsidRPr="00244D8F" w:rsidRDefault="00A70030" w:rsidP="00073385">
            <w:pPr>
              <w:spacing w:before="60" w:after="60" w:line="240" w:lineRule="auto"/>
              <w:ind w:left="0"/>
              <w:rPr>
                <w:rFonts w:cs="Arial"/>
                <w:sz w:val="20"/>
                <w:szCs w:val="20"/>
              </w:rPr>
            </w:pPr>
            <w:r>
              <w:rPr>
                <w:rFonts w:cs="Arial"/>
                <w:sz w:val="20"/>
                <w:szCs w:val="20"/>
              </w:rPr>
              <w:t>N/A</w:t>
            </w:r>
          </w:p>
        </w:tc>
      </w:tr>
      <w:tr w:rsidR="004C6BC5" w:rsidRPr="00FF0808" w14:paraId="633CD87B" w14:textId="77777777" w:rsidTr="00CE3085">
        <w:trPr>
          <w:trHeight w:val="577"/>
        </w:trPr>
        <w:tc>
          <w:tcPr>
            <w:tcW w:w="1427" w:type="dxa"/>
            <w:vMerge w:val="restart"/>
            <w:tcBorders>
              <w:top w:val="single" w:sz="4" w:space="0" w:color="auto"/>
            </w:tcBorders>
            <w:shd w:val="clear" w:color="auto" w:fill="auto"/>
          </w:tcPr>
          <w:p w14:paraId="1C2FBAE5" w14:textId="77777777" w:rsidR="004C6BC5" w:rsidRPr="003E2F3C" w:rsidRDefault="004C6BC5" w:rsidP="00073385">
            <w:pPr>
              <w:spacing w:before="60" w:after="60" w:line="240" w:lineRule="auto"/>
              <w:ind w:left="0"/>
              <w:rPr>
                <w:rFonts w:cs="Arial"/>
                <w:sz w:val="20"/>
                <w:szCs w:val="20"/>
              </w:rPr>
            </w:pPr>
            <w:r w:rsidRPr="003E2F3C">
              <w:rPr>
                <w:rFonts w:cs="Arial"/>
                <w:sz w:val="20"/>
                <w:szCs w:val="20"/>
              </w:rPr>
              <w:t>Eastern Rock Lobster Industry Association</w:t>
            </w:r>
          </w:p>
        </w:tc>
        <w:tc>
          <w:tcPr>
            <w:tcW w:w="1629" w:type="dxa"/>
            <w:vMerge w:val="restart"/>
            <w:tcBorders>
              <w:top w:val="single" w:sz="4" w:space="0" w:color="auto"/>
            </w:tcBorders>
            <w:shd w:val="clear" w:color="auto" w:fill="auto"/>
          </w:tcPr>
          <w:p w14:paraId="6E219517" w14:textId="77777777" w:rsidR="004C6BC5" w:rsidRPr="00FF0808" w:rsidRDefault="004C6BC5" w:rsidP="00073385">
            <w:pPr>
              <w:spacing w:before="60" w:after="60" w:line="240" w:lineRule="auto"/>
              <w:ind w:left="0"/>
              <w:rPr>
                <w:rFonts w:cs="Arial"/>
                <w:sz w:val="20"/>
                <w:szCs w:val="20"/>
              </w:rPr>
            </w:pPr>
            <w:r>
              <w:rPr>
                <w:rFonts w:cs="Arial"/>
                <w:sz w:val="20"/>
                <w:szCs w:val="20"/>
              </w:rPr>
              <w:t>Represent Eastern Victorian rock lobster fishermen who may have activities near proposed acquisition area</w:t>
            </w:r>
          </w:p>
        </w:tc>
        <w:tc>
          <w:tcPr>
            <w:tcW w:w="1055" w:type="dxa"/>
            <w:tcBorders>
              <w:top w:val="single" w:sz="4" w:space="0" w:color="auto"/>
              <w:bottom w:val="single" w:sz="4" w:space="0" w:color="auto"/>
            </w:tcBorders>
          </w:tcPr>
          <w:p w14:paraId="19619283" w14:textId="77777777" w:rsidR="004C6BC5" w:rsidRDefault="004C6BC5" w:rsidP="00073385">
            <w:pPr>
              <w:spacing w:before="60" w:after="60" w:line="240" w:lineRule="auto"/>
              <w:ind w:left="0"/>
              <w:rPr>
                <w:rFonts w:cs="Arial"/>
                <w:sz w:val="20"/>
                <w:szCs w:val="20"/>
              </w:rPr>
            </w:pPr>
            <w:r>
              <w:rPr>
                <w:rFonts w:cs="Arial"/>
                <w:sz w:val="20"/>
                <w:szCs w:val="20"/>
              </w:rPr>
              <w:t>21/3/17</w:t>
            </w:r>
          </w:p>
          <w:p w14:paraId="4F3E6882" w14:textId="77777777" w:rsidR="004C6BC5" w:rsidRDefault="004C6BC5"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283C108E" w14:textId="77777777" w:rsidR="004C6BC5" w:rsidRDefault="004C6BC5" w:rsidP="00073385">
            <w:pPr>
              <w:spacing w:before="60" w:after="60" w:line="240" w:lineRule="auto"/>
              <w:ind w:left="0"/>
              <w:rPr>
                <w:rFonts w:cs="Arial"/>
                <w:sz w:val="20"/>
                <w:szCs w:val="20"/>
              </w:rPr>
            </w:pPr>
            <w:r>
              <w:rPr>
                <w:rFonts w:cs="Arial"/>
                <w:sz w:val="20"/>
                <w:szCs w:val="20"/>
              </w:rPr>
              <w:t>CarbonNet contacted Eastern Rock Lobster Industry Association via post with a letter that invited feedback and provided a fact sheet.</w:t>
            </w:r>
          </w:p>
        </w:tc>
        <w:tc>
          <w:tcPr>
            <w:tcW w:w="3802" w:type="dxa"/>
            <w:tcBorders>
              <w:top w:val="single" w:sz="4" w:space="0" w:color="auto"/>
              <w:bottom w:val="single" w:sz="4" w:space="0" w:color="auto"/>
            </w:tcBorders>
            <w:shd w:val="clear" w:color="auto" w:fill="auto"/>
          </w:tcPr>
          <w:p w14:paraId="2353DC72" w14:textId="497319EF" w:rsidR="004C6BC5" w:rsidRDefault="004C6BC5" w:rsidP="00073385">
            <w:pPr>
              <w:spacing w:before="60" w:after="60" w:line="240" w:lineRule="auto"/>
              <w:ind w:left="0"/>
              <w:rPr>
                <w:rFonts w:cs="Arial"/>
                <w:sz w:val="20"/>
                <w:szCs w:val="20"/>
              </w:rPr>
            </w:pPr>
            <w:r>
              <w:rPr>
                <w:rFonts w:cs="Arial"/>
                <w:sz w:val="20"/>
                <w:szCs w:val="20"/>
              </w:rPr>
              <w:t>N/A</w:t>
            </w:r>
          </w:p>
        </w:tc>
      </w:tr>
      <w:tr w:rsidR="004C6BC5" w:rsidRPr="00FF0808" w14:paraId="75D33A95" w14:textId="77777777" w:rsidTr="00BC6051">
        <w:trPr>
          <w:trHeight w:val="750"/>
        </w:trPr>
        <w:tc>
          <w:tcPr>
            <w:tcW w:w="1427" w:type="dxa"/>
            <w:vMerge/>
            <w:tcBorders>
              <w:bottom w:val="nil"/>
            </w:tcBorders>
            <w:shd w:val="clear" w:color="auto" w:fill="auto"/>
          </w:tcPr>
          <w:p w14:paraId="3049C312" w14:textId="77777777" w:rsidR="004C6BC5" w:rsidRPr="003E2F3C" w:rsidRDefault="004C6BC5" w:rsidP="00073385">
            <w:pPr>
              <w:spacing w:before="60" w:after="60" w:line="240" w:lineRule="auto"/>
              <w:ind w:left="0"/>
              <w:rPr>
                <w:rFonts w:cs="Arial"/>
                <w:sz w:val="20"/>
                <w:szCs w:val="20"/>
              </w:rPr>
            </w:pPr>
          </w:p>
        </w:tc>
        <w:tc>
          <w:tcPr>
            <w:tcW w:w="1629" w:type="dxa"/>
            <w:vMerge/>
            <w:shd w:val="clear" w:color="auto" w:fill="auto"/>
          </w:tcPr>
          <w:p w14:paraId="18CD61F5" w14:textId="77777777" w:rsidR="004C6BC5" w:rsidRPr="00FF0808" w:rsidRDefault="004C6BC5"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A33B45F" w14:textId="77777777" w:rsidR="004C6BC5" w:rsidRPr="00FF0808" w:rsidRDefault="004C6BC5" w:rsidP="00073385">
            <w:pPr>
              <w:spacing w:before="60" w:after="60" w:line="240" w:lineRule="auto"/>
              <w:ind w:left="0"/>
              <w:rPr>
                <w:rFonts w:cs="Arial"/>
                <w:sz w:val="20"/>
                <w:szCs w:val="20"/>
              </w:rPr>
            </w:pPr>
            <w:r>
              <w:rPr>
                <w:rFonts w:cs="Arial"/>
                <w:sz w:val="20"/>
                <w:szCs w:val="20"/>
              </w:rPr>
              <w:t>18/5/17</w:t>
            </w:r>
          </w:p>
        </w:tc>
        <w:tc>
          <w:tcPr>
            <w:tcW w:w="6335" w:type="dxa"/>
            <w:tcBorders>
              <w:top w:val="single" w:sz="4" w:space="0" w:color="auto"/>
              <w:bottom w:val="single" w:sz="4" w:space="0" w:color="auto"/>
            </w:tcBorders>
            <w:shd w:val="clear" w:color="auto" w:fill="auto"/>
          </w:tcPr>
          <w:p w14:paraId="4C9B551C" w14:textId="77777777" w:rsidR="004C6BC5" w:rsidRDefault="004C6BC5" w:rsidP="00073385">
            <w:pPr>
              <w:spacing w:before="60" w:after="60" w:line="240" w:lineRule="auto"/>
              <w:ind w:left="0"/>
              <w:rPr>
                <w:rFonts w:cs="Arial"/>
                <w:sz w:val="20"/>
                <w:szCs w:val="20"/>
              </w:rPr>
            </w:pPr>
            <w:r>
              <w:rPr>
                <w:rFonts w:cs="Arial"/>
                <w:sz w:val="20"/>
                <w:szCs w:val="20"/>
              </w:rPr>
              <w:t>CarbonNet tried to call but the telephone number is disconnected. A website and email listing was found. An email address was sent email but it bounced. The website no longer exists.</w:t>
            </w:r>
          </w:p>
          <w:p w14:paraId="7E1D00A3" w14:textId="77777777" w:rsidR="004C6BC5" w:rsidRPr="00FF0808" w:rsidRDefault="004C6BC5" w:rsidP="00073385">
            <w:pPr>
              <w:spacing w:before="60" w:after="60" w:line="240" w:lineRule="auto"/>
              <w:ind w:left="0"/>
              <w:rPr>
                <w:rFonts w:cs="Arial"/>
                <w:sz w:val="20"/>
                <w:szCs w:val="20"/>
              </w:rPr>
            </w:pPr>
          </w:p>
        </w:tc>
        <w:tc>
          <w:tcPr>
            <w:tcW w:w="3802" w:type="dxa"/>
            <w:tcBorders>
              <w:top w:val="single" w:sz="4" w:space="0" w:color="auto"/>
              <w:bottom w:val="single" w:sz="4" w:space="0" w:color="auto"/>
            </w:tcBorders>
            <w:shd w:val="clear" w:color="auto" w:fill="auto"/>
          </w:tcPr>
          <w:p w14:paraId="39AE7BE1" w14:textId="77777777" w:rsidR="004C6BC5" w:rsidRPr="00FF0808" w:rsidRDefault="004C6BC5" w:rsidP="00073385">
            <w:pPr>
              <w:spacing w:before="60" w:after="60" w:line="240" w:lineRule="auto"/>
              <w:ind w:left="0"/>
              <w:rPr>
                <w:rFonts w:cs="Arial"/>
                <w:sz w:val="20"/>
                <w:szCs w:val="20"/>
              </w:rPr>
            </w:pPr>
            <w:r>
              <w:rPr>
                <w:rFonts w:cs="Arial"/>
                <w:sz w:val="20"/>
                <w:szCs w:val="20"/>
              </w:rPr>
              <w:t>No response received – organisation appears to no longer exist.</w:t>
            </w:r>
          </w:p>
        </w:tc>
      </w:tr>
      <w:tr w:rsidR="004C6BC5" w:rsidRPr="00FF0808" w14:paraId="15DB943F" w14:textId="77777777" w:rsidTr="00BC6051">
        <w:trPr>
          <w:trHeight w:val="750"/>
        </w:trPr>
        <w:tc>
          <w:tcPr>
            <w:tcW w:w="1427" w:type="dxa"/>
            <w:tcBorders>
              <w:top w:val="nil"/>
              <w:bottom w:val="single" w:sz="4" w:space="0" w:color="auto"/>
            </w:tcBorders>
            <w:shd w:val="clear" w:color="auto" w:fill="auto"/>
          </w:tcPr>
          <w:p w14:paraId="7058888C" w14:textId="77777777" w:rsidR="004C6BC5" w:rsidRPr="003E2F3C" w:rsidRDefault="004C6BC5" w:rsidP="00073385">
            <w:pPr>
              <w:spacing w:before="60" w:after="60" w:line="240" w:lineRule="auto"/>
              <w:ind w:left="0"/>
              <w:rPr>
                <w:rFonts w:cs="Arial"/>
                <w:sz w:val="20"/>
                <w:szCs w:val="20"/>
              </w:rPr>
            </w:pPr>
          </w:p>
        </w:tc>
        <w:tc>
          <w:tcPr>
            <w:tcW w:w="1629" w:type="dxa"/>
            <w:vMerge/>
            <w:tcBorders>
              <w:bottom w:val="single" w:sz="4" w:space="0" w:color="auto"/>
            </w:tcBorders>
            <w:shd w:val="clear" w:color="auto" w:fill="auto"/>
          </w:tcPr>
          <w:p w14:paraId="0F7B49BD" w14:textId="77777777" w:rsidR="004C6BC5" w:rsidRPr="00FF0808" w:rsidRDefault="004C6BC5"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7C89A46" w14:textId="52920E96" w:rsidR="004C6BC5" w:rsidRDefault="004C6BC5"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auto"/>
              <w:bottom w:val="single" w:sz="4" w:space="0" w:color="auto"/>
            </w:tcBorders>
            <w:shd w:val="clear" w:color="auto" w:fill="auto"/>
          </w:tcPr>
          <w:p w14:paraId="3A6E4D3D" w14:textId="77777777" w:rsidR="004C6BC5" w:rsidRDefault="004C6BC5"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p w14:paraId="3495E83D" w14:textId="77777777" w:rsidR="004C6BC5" w:rsidRDefault="004C6BC5" w:rsidP="00073385">
            <w:pPr>
              <w:spacing w:before="60" w:after="60" w:line="240" w:lineRule="auto"/>
              <w:ind w:left="0"/>
              <w:rPr>
                <w:rFonts w:cs="Arial"/>
                <w:sz w:val="20"/>
                <w:szCs w:val="20"/>
              </w:rPr>
            </w:pPr>
          </w:p>
          <w:p w14:paraId="75FB4625" w14:textId="77777777" w:rsidR="004C6BC5" w:rsidRDefault="004C6BC5" w:rsidP="00073385">
            <w:pPr>
              <w:spacing w:before="60" w:after="60" w:line="240" w:lineRule="auto"/>
              <w:ind w:left="0"/>
              <w:rPr>
                <w:rFonts w:cs="Arial"/>
                <w:sz w:val="20"/>
                <w:szCs w:val="20"/>
              </w:rPr>
            </w:pPr>
          </w:p>
          <w:p w14:paraId="35D33544" w14:textId="48467EDD" w:rsidR="004C6BC5" w:rsidRDefault="004C6BC5" w:rsidP="00073385">
            <w:pPr>
              <w:spacing w:before="60" w:after="60" w:line="240" w:lineRule="auto"/>
              <w:ind w:left="0"/>
              <w:rPr>
                <w:rFonts w:cs="Arial"/>
                <w:sz w:val="20"/>
                <w:szCs w:val="20"/>
              </w:rPr>
            </w:pPr>
          </w:p>
        </w:tc>
        <w:tc>
          <w:tcPr>
            <w:tcW w:w="3802" w:type="dxa"/>
            <w:tcBorders>
              <w:top w:val="single" w:sz="4" w:space="0" w:color="auto"/>
              <w:bottom w:val="single" w:sz="4" w:space="0" w:color="auto"/>
            </w:tcBorders>
            <w:shd w:val="clear" w:color="auto" w:fill="auto"/>
          </w:tcPr>
          <w:p w14:paraId="02AF3046" w14:textId="537DAD1D" w:rsidR="004C6BC5" w:rsidRDefault="004C6BC5" w:rsidP="00073385">
            <w:pPr>
              <w:spacing w:before="60" w:after="60" w:line="240" w:lineRule="auto"/>
              <w:ind w:left="0"/>
              <w:rPr>
                <w:rFonts w:cs="Arial"/>
                <w:sz w:val="20"/>
                <w:szCs w:val="20"/>
              </w:rPr>
            </w:pPr>
            <w:r>
              <w:rPr>
                <w:rFonts w:cs="Arial"/>
                <w:sz w:val="20"/>
                <w:szCs w:val="20"/>
              </w:rPr>
              <w:t>N/A</w:t>
            </w:r>
          </w:p>
        </w:tc>
      </w:tr>
      <w:tr w:rsidR="00A70030" w:rsidRPr="00FF0808" w14:paraId="3E4C1BC6" w14:textId="77777777" w:rsidTr="00077C5F">
        <w:trPr>
          <w:trHeight w:val="620"/>
        </w:trPr>
        <w:tc>
          <w:tcPr>
            <w:tcW w:w="1427" w:type="dxa"/>
            <w:vMerge w:val="restart"/>
            <w:tcBorders>
              <w:top w:val="single" w:sz="4" w:space="0" w:color="auto"/>
            </w:tcBorders>
            <w:shd w:val="clear" w:color="auto" w:fill="auto"/>
          </w:tcPr>
          <w:p w14:paraId="437B49C9" w14:textId="77777777" w:rsidR="00A70030" w:rsidRPr="003E2F3C" w:rsidRDefault="00A70030" w:rsidP="00073385">
            <w:pPr>
              <w:spacing w:before="60" w:after="60" w:line="240" w:lineRule="auto"/>
              <w:ind w:left="0"/>
              <w:rPr>
                <w:rFonts w:cs="Arial"/>
                <w:sz w:val="20"/>
                <w:szCs w:val="20"/>
              </w:rPr>
            </w:pPr>
            <w:r w:rsidRPr="003E2F3C">
              <w:rPr>
                <w:rFonts w:cs="Arial"/>
                <w:sz w:val="20"/>
                <w:szCs w:val="20"/>
              </w:rPr>
              <w:lastRenderedPageBreak/>
              <w:t>Australian Southern Bluefin Tuna Industry Association (ASBTIA)</w:t>
            </w:r>
          </w:p>
        </w:tc>
        <w:tc>
          <w:tcPr>
            <w:tcW w:w="1629" w:type="dxa"/>
            <w:vMerge w:val="restart"/>
            <w:tcBorders>
              <w:top w:val="single" w:sz="4" w:space="0" w:color="auto"/>
            </w:tcBorders>
            <w:shd w:val="clear" w:color="auto" w:fill="auto"/>
          </w:tcPr>
          <w:p w14:paraId="6BCA6DD2" w14:textId="77777777" w:rsidR="00A70030" w:rsidRPr="00FF0808" w:rsidRDefault="00A70030" w:rsidP="00073385">
            <w:pPr>
              <w:spacing w:before="60" w:after="60" w:line="240" w:lineRule="auto"/>
              <w:ind w:left="0"/>
              <w:rPr>
                <w:rFonts w:cs="Arial"/>
                <w:sz w:val="20"/>
                <w:szCs w:val="20"/>
              </w:rPr>
            </w:pPr>
            <w:r>
              <w:rPr>
                <w:rFonts w:cs="Arial"/>
                <w:sz w:val="20"/>
                <w:szCs w:val="20"/>
              </w:rPr>
              <w:t>Represent fishermen who may have activities near proposed acquisition area</w:t>
            </w:r>
          </w:p>
        </w:tc>
        <w:tc>
          <w:tcPr>
            <w:tcW w:w="1055" w:type="dxa"/>
            <w:tcBorders>
              <w:top w:val="single" w:sz="4" w:space="0" w:color="auto"/>
              <w:bottom w:val="single" w:sz="4" w:space="0" w:color="auto"/>
            </w:tcBorders>
          </w:tcPr>
          <w:p w14:paraId="4FE40E45" w14:textId="77777777" w:rsidR="00A70030" w:rsidRDefault="00A70030" w:rsidP="00073385">
            <w:pPr>
              <w:spacing w:before="60" w:after="60" w:line="240" w:lineRule="auto"/>
              <w:ind w:left="0"/>
              <w:rPr>
                <w:rFonts w:cs="Arial"/>
                <w:sz w:val="20"/>
                <w:szCs w:val="20"/>
              </w:rPr>
            </w:pPr>
            <w:r>
              <w:rPr>
                <w:rFonts w:cs="Arial"/>
                <w:sz w:val="20"/>
                <w:szCs w:val="20"/>
              </w:rPr>
              <w:t>21/3/17</w:t>
            </w:r>
          </w:p>
          <w:p w14:paraId="7B044601"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6DFE8581" w14:textId="77777777" w:rsidR="00A70030" w:rsidRDefault="00A70030" w:rsidP="00073385">
            <w:pPr>
              <w:spacing w:before="60" w:after="60" w:line="240" w:lineRule="auto"/>
              <w:ind w:left="0"/>
              <w:rPr>
                <w:rFonts w:cs="Arial"/>
                <w:sz w:val="20"/>
                <w:szCs w:val="20"/>
              </w:rPr>
            </w:pPr>
            <w:r>
              <w:rPr>
                <w:rFonts w:cs="Arial"/>
                <w:sz w:val="20"/>
                <w:szCs w:val="20"/>
              </w:rPr>
              <w:t>CarbonNet contacted the ASBTIA via email with a letter that invited feedback and provided a fact sheet.</w:t>
            </w:r>
          </w:p>
        </w:tc>
        <w:tc>
          <w:tcPr>
            <w:tcW w:w="3802" w:type="dxa"/>
            <w:tcBorders>
              <w:top w:val="single" w:sz="4" w:space="0" w:color="auto"/>
              <w:bottom w:val="single" w:sz="4" w:space="0" w:color="auto"/>
            </w:tcBorders>
            <w:shd w:val="clear" w:color="auto" w:fill="auto"/>
          </w:tcPr>
          <w:p w14:paraId="58548A57"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6E72586C" w14:textId="77777777" w:rsidTr="00891DE1">
        <w:trPr>
          <w:trHeight w:val="1200"/>
        </w:trPr>
        <w:tc>
          <w:tcPr>
            <w:tcW w:w="1427" w:type="dxa"/>
            <w:vMerge/>
            <w:tcBorders>
              <w:bottom w:val="nil"/>
            </w:tcBorders>
            <w:shd w:val="clear" w:color="auto" w:fill="auto"/>
          </w:tcPr>
          <w:p w14:paraId="08D2518D" w14:textId="77777777" w:rsidR="00A70030" w:rsidRPr="003E2F3C"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078F40CE"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DB5C341" w14:textId="77777777" w:rsidR="00A70030" w:rsidRPr="00FF0808" w:rsidRDefault="00A70030" w:rsidP="00073385">
            <w:pPr>
              <w:spacing w:before="60" w:after="60" w:line="240" w:lineRule="auto"/>
              <w:ind w:left="0"/>
              <w:rPr>
                <w:rFonts w:cs="Arial"/>
                <w:sz w:val="20"/>
                <w:szCs w:val="20"/>
              </w:rPr>
            </w:pPr>
            <w:r>
              <w:rPr>
                <w:rFonts w:cs="Arial"/>
                <w:sz w:val="20"/>
                <w:szCs w:val="20"/>
              </w:rPr>
              <w:t>22/3/17</w:t>
            </w:r>
          </w:p>
        </w:tc>
        <w:tc>
          <w:tcPr>
            <w:tcW w:w="6335" w:type="dxa"/>
            <w:tcBorders>
              <w:top w:val="single" w:sz="4" w:space="0" w:color="auto"/>
              <w:bottom w:val="single" w:sz="4" w:space="0" w:color="auto"/>
            </w:tcBorders>
            <w:shd w:val="clear" w:color="auto" w:fill="auto"/>
          </w:tcPr>
          <w:p w14:paraId="611052BA" w14:textId="77777777" w:rsidR="00A70030" w:rsidRDefault="00A70030" w:rsidP="00073385">
            <w:pPr>
              <w:spacing w:before="60" w:after="60" w:line="240" w:lineRule="auto"/>
              <w:ind w:left="0"/>
              <w:rPr>
                <w:rFonts w:cs="Arial"/>
                <w:sz w:val="20"/>
                <w:szCs w:val="20"/>
              </w:rPr>
            </w:pPr>
            <w:r>
              <w:rPr>
                <w:rFonts w:cs="Arial"/>
                <w:sz w:val="20"/>
                <w:szCs w:val="20"/>
              </w:rPr>
              <w:t xml:space="preserve">CarbonNet received a response via email to advise the proposed survey is outside key areas for bluefin tuna fishing, so they have no objections to the timing or location of the survey. </w:t>
            </w:r>
          </w:p>
          <w:p w14:paraId="4A4299AA" w14:textId="77777777" w:rsidR="00A70030" w:rsidRDefault="00A70030" w:rsidP="00073385">
            <w:pPr>
              <w:spacing w:before="60" w:after="60" w:line="240" w:lineRule="auto"/>
              <w:ind w:left="0"/>
              <w:rPr>
                <w:rFonts w:cs="Arial"/>
                <w:sz w:val="20"/>
                <w:szCs w:val="20"/>
              </w:rPr>
            </w:pPr>
          </w:p>
          <w:p w14:paraId="780DDE67" w14:textId="77777777" w:rsidR="00A70030" w:rsidRPr="00FF0808" w:rsidRDefault="00A70030" w:rsidP="00073385">
            <w:pPr>
              <w:spacing w:before="60" w:after="60" w:line="240" w:lineRule="auto"/>
              <w:ind w:left="0"/>
              <w:rPr>
                <w:rFonts w:cs="Arial"/>
                <w:sz w:val="20"/>
                <w:szCs w:val="20"/>
              </w:rPr>
            </w:pPr>
            <w:r>
              <w:rPr>
                <w:rFonts w:cs="Arial"/>
                <w:sz w:val="20"/>
                <w:szCs w:val="20"/>
              </w:rPr>
              <w:t>They asked that CarbonNet also contact the Eastern Tuna and Billfish Fishery.</w:t>
            </w:r>
          </w:p>
        </w:tc>
        <w:tc>
          <w:tcPr>
            <w:tcW w:w="3802" w:type="dxa"/>
            <w:tcBorders>
              <w:top w:val="single" w:sz="4" w:space="0" w:color="auto"/>
              <w:bottom w:val="single" w:sz="4" w:space="0" w:color="auto"/>
            </w:tcBorders>
            <w:shd w:val="clear" w:color="auto" w:fill="auto"/>
          </w:tcPr>
          <w:p w14:paraId="471A18D8" w14:textId="77777777" w:rsidR="00A70030" w:rsidRDefault="00A70030" w:rsidP="00073385">
            <w:pPr>
              <w:spacing w:before="60" w:after="60" w:line="240" w:lineRule="auto"/>
              <w:ind w:left="0"/>
              <w:rPr>
                <w:rFonts w:cs="Arial"/>
                <w:sz w:val="20"/>
                <w:szCs w:val="20"/>
              </w:rPr>
            </w:pPr>
            <w:r>
              <w:rPr>
                <w:rFonts w:cs="Arial"/>
                <w:sz w:val="20"/>
                <w:szCs w:val="20"/>
              </w:rPr>
              <w:t>CarbonNet responded with thanks.</w:t>
            </w:r>
          </w:p>
          <w:p w14:paraId="4F37E0DF" w14:textId="77777777" w:rsidR="00A70030" w:rsidRDefault="00A70030" w:rsidP="00073385">
            <w:pPr>
              <w:spacing w:before="60" w:after="60" w:line="240" w:lineRule="auto"/>
              <w:ind w:left="0"/>
              <w:rPr>
                <w:rFonts w:cs="Arial"/>
                <w:sz w:val="20"/>
                <w:szCs w:val="20"/>
              </w:rPr>
            </w:pPr>
            <w:r>
              <w:rPr>
                <w:rFonts w:cs="Arial"/>
                <w:sz w:val="20"/>
                <w:szCs w:val="20"/>
              </w:rPr>
              <w:t>Fishing activity for this fishery is reflected in Section 5.6.3 of the EP.</w:t>
            </w:r>
          </w:p>
          <w:p w14:paraId="2DBAB303" w14:textId="17DD08FC" w:rsidR="00A70030" w:rsidRPr="00C83C0E" w:rsidRDefault="00A70030" w:rsidP="00CE3085">
            <w:pPr>
              <w:spacing w:before="60" w:after="60" w:line="240" w:lineRule="auto"/>
              <w:ind w:left="0"/>
              <w:rPr>
                <w:rFonts w:cs="Arial"/>
                <w:sz w:val="20"/>
                <w:szCs w:val="20"/>
              </w:rPr>
            </w:pPr>
            <w:r w:rsidRPr="00C83C0E">
              <w:rPr>
                <w:rFonts w:cs="Arial"/>
                <w:sz w:val="20"/>
                <w:szCs w:val="20"/>
              </w:rPr>
              <w:t xml:space="preserve">CarbonNet </w:t>
            </w:r>
            <w:r>
              <w:rPr>
                <w:rFonts w:cs="Arial"/>
                <w:sz w:val="20"/>
                <w:szCs w:val="20"/>
              </w:rPr>
              <w:t xml:space="preserve">has </w:t>
            </w:r>
            <w:r w:rsidRPr="00C83C0E">
              <w:rPr>
                <w:rFonts w:cs="Arial"/>
                <w:sz w:val="20"/>
                <w:szCs w:val="20"/>
              </w:rPr>
              <w:t xml:space="preserve">consulted </w:t>
            </w:r>
            <w:r>
              <w:rPr>
                <w:rFonts w:cs="Arial"/>
                <w:sz w:val="20"/>
                <w:szCs w:val="20"/>
              </w:rPr>
              <w:t xml:space="preserve">with </w:t>
            </w:r>
            <w:r w:rsidRPr="00C83C0E">
              <w:rPr>
                <w:rFonts w:cs="Arial"/>
                <w:sz w:val="20"/>
                <w:szCs w:val="20"/>
              </w:rPr>
              <w:t>the Eastern Tuna and Billfish Fishery</w:t>
            </w:r>
            <w:r>
              <w:rPr>
                <w:rFonts w:cs="Arial"/>
                <w:sz w:val="20"/>
                <w:szCs w:val="20"/>
              </w:rPr>
              <w:t xml:space="preserve"> as requested</w:t>
            </w:r>
            <w:r w:rsidRPr="00C83C0E">
              <w:rPr>
                <w:rFonts w:cs="Arial"/>
                <w:sz w:val="20"/>
                <w:szCs w:val="20"/>
              </w:rPr>
              <w:t>.</w:t>
            </w:r>
          </w:p>
        </w:tc>
      </w:tr>
      <w:tr w:rsidR="00A70030" w:rsidRPr="00FF0808" w14:paraId="23A9D2F5" w14:textId="77777777" w:rsidTr="00891DE1">
        <w:trPr>
          <w:trHeight w:val="1200"/>
        </w:trPr>
        <w:tc>
          <w:tcPr>
            <w:tcW w:w="1427" w:type="dxa"/>
            <w:tcBorders>
              <w:top w:val="nil"/>
              <w:bottom w:val="single" w:sz="4" w:space="0" w:color="auto"/>
            </w:tcBorders>
            <w:shd w:val="clear" w:color="auto" w:fill="auto"/>
          </w:tcPr>
          <w:p w14:paraId="20CE3650"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single" w:sz="4" w:space="0" w:color="auto"/>
            </w:tcBorders>
            <w:shd w:val="clear" w:color="auto" w:fill="auto"/>
          </w:tcPr>
          <w:p w14:paraId="2206507D"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674A9271" w14:textId="363639CA"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auto"/>
              <w:bottom w:val="single" w:sz="4" w:space="0" w:color="auto"/>
            </w:tcBorders>
            <w:shd w:val="clear" w:color="auto" w:fill="auto"/>
          </w:tcPr>
          <w:p w14:paraId="32E0DA62" w14:textId="5953CC81" w:rsidR="00A70030"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tcBorders>
              <w:top w:val="single" w:sz="4" w:space="0" w:color="auto"/>
              <w:bottom w:val="single" w:sz="4" w:space="0" w:color="auto"/>
            </w:tcBorders>
            <w:shd w:val="clear" w:color="auto" w:fill="auto"/>
          </w:tcPr>
          <w:p w14:paraId="7726B990" w14:textId="7ED94DB2"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77A843A6" w14:textId="77777777" w:rsidTr="00077C5F">
        <w:trPr>
          <w:trHeight w:val="670"/>
        </w:trPr>
        <w:tc>
          <w:tcPr>
            <w:tcW w:w="1427" w:type="dxa"/>
            <w:vMerge w:val="restart"/>
            <w:tcBorders>
              <w:top w:val="single" w:sz="4" w:space="0" w:color="auto"/>
            </w:tcBorders>
            <w:shd w:val="clear" w:color="auto" w:fill="auto"/>
          </w:tcPr>
          <w:p w14:paraId="24669DF8" w14:textId="77777777" w:rsidR="00A70030" w:rsidRDefault="00A70030" w:rsidP="00073385">
            <w:pPr>
              <w:spacing w:before="60" w:after="60"/>
              <w:ind w:left="0"/>
              <w:rPr>
                <w:rFonts w:cs="Arial"/>
                <w:sz w:val="20"/>
                <w:szCs w:val="20"/>
              </w:rPr>
            </w:pPr>
            <w:r w:rsidRPr="0039430A">
              <w:rPr>
                <w:rFonts w:cs="Arial"/>
                <w:sz w:val="20"/>
                <w:szCs w:val="20"/>
              </w:rPr>
              <w:t>Tuna Australia (E</w:t>
            </w:r>
            <w:r>
              <w:rPr>
                <w:rFonts w:cs="Arial"/>
                <w:sz w:val="20"/>
                <w:szCs w:val="20"/>
              </w:rPr>
              <w:t>astern Tuna and Billfish Fishery</w:t>
            </w:r>
            <w:r w:rsidRPr="0039430A">
              <w:rPr>
                <w:rFonts w:cs="Arial"/>
                <w:sz w:val="20"/>
                <w:szCs w:val="20"/>
              </w:rPr>
              <w:t xml:space="preserve"> Industry Association)</w:t>
            </w:r>
          </w:p>
          <w:p w14:paraId="0FC6F63C" w14:textId="77777777" w:rsidR="00A70030" w:rsidRDefault="00A70030" w:rsidP="00073385">
            <w:pPr>
              <w:spacing w:before="60" w:after="60"/>
              <w:ind w:left="0"/>
              <w:rPr>
                <w:rFonts w:cs="Arial"/>
                <w:sz w:val="20"/>
                <w:szCs w:val="20"/>
              </w:rPr>
            </w:pPr>
          </w:p>
          <w:p w14:paraId="33B71B60" w14:textId="77777777" w:rsidR="00A70030" w:rsidRPr="0039430A" w:rsidRDefault="00A70030" w:rsidP="00073385">
            <w:pPr>
              <w:spacing w:before="60" w:after="60"/>
              <w:ind w:left="0"/>
              <w:rPr>
                <w:rFonts w:cs="Arial"/>
                <w:sz w:val="20"/>
                <w:szCs w:val="20"/>
              </w:rPr>
            </w:pPr>
          </w:p>
        </w:tc>
        <w:tc>
          <w:tcPr>
            <w:tcW w:w="1629" w:type="dxa"/>
            <w:vMerge w:val="restart"/>
            <w:tcBorders>
              <w:top w:val="single" w:sz="4" w:space="0" w:color="auto"/>
            </w:tcBorders>
            <w:shd w:val="clear" w:color="auto" w:fill="auto"/>
          </w:tcPr>
          <w:p w14:paraId="12A1FA2F" w14:textId="77777777" w:rsidR="00A70030" w:rsidRPr="00FF0808" w:rsidRDefault="00A70030" w:rsidP="00073385">
            <w:pPr>
              <w:spacing w:before="60" w:after="60" w:line="240" w:lineRule="auto"/>
              <w:ind w:left="0"/>
              <w:rPr>
                <w:rFonts w:cs="Arial"/>
                <w:sz w:val="20"/>
                <w:szCs w:val="20"/>
              </w:rPr>
            </w:pPr>
            <w:r>
              <w:rPr>
                <w:rFonts w:cs="Arial"/>
                <w:sz w:val="20"/>
                <w:szCs w:val="20"/>
              </w:rPr>
              <w:t>Represent fishermen who may have activities near proposed acquisition area</w:t>
            </w:r>
          </w:p>
        </w:tc>
        <w:tc>
          <w:tcPr>
            <w:tcW w:w="1055" w:type="dxa"/>
            <w:tcBorders>
              <w:top w:val="single" w:sz="4" w:space="0" w:color="auto"/>
              <w:bottom w:val="single" w:sz="4" w:space="0" w:color="auto"/>
            </w:tcBorders>
          </w:tcPr>
          <w:p w14:paraId="6B079B6A" w14:textId="77777777" w:rsidR="00A70030" w:rsidRDefault="00A70030" w:rsidP="00073385">
            <w:pPr>
              <w:spacing w:before="60" w:after="60" w:line="240" w:lineRule="auto"/>
              <w:ind w:left="0"/>
              <w:rPr>
                <w:rFonts w:cs="Arial"/>
                <w:sz w:val="20"/>
                <w:szCs w:val="20"/>
              </w:rPr>
            </w:pPr>
            <w:r>
              <w:rPr>
                <w:rFonts w:cs="Arial"/>
                <w:sz w:val="20"/>
                <w:szCs w:val="20"/>
              </w:rPr>
              <w:t>24/3/17</w:t>
            </w:r>
          </w:p>
          <w:p w14:paraId="1DE21025"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74B4839F" w14:textId="5F719B7B" w:rsidR="00A70030" w:rsidRDefault="00A70030" w:rsidP="00073385">
            <w:pPr>
              <w:spacing w:before="60" w:after="60" w:line="240" w:lineRule="auto"/>
              <w:ind w:left="0"/>
              <w:rPr>
                <w:rFonts w:cs="Arial"/>
                <w:sz w:val="20"/>
                <w:szCs w:val="20"/>
              </w:rPr>
            </w:pPr>
            <w:r>
              <w:rPr>
                <w:rFonts w:cs="Arial"/>
                <w:sz w:val="20"/>
                <w:szCs w:val="20"/>
              </w:rPr>
              <w:t>CarbonNet contacted Tuna Australia via email with a letter that invited feedback and provided a fact sheet.</w:t>
            </w:r>
          </w:p>
        </w:tc>
        <w:tc>
          <w:tcPr>
            <w:tcW w:w="3802" w:type="dxa"/>
            <w:tcBorders>
              <w:top w:val="single" w:sz="4" w:space="0" w:color="auto"/>
              <w:bottom w:val="single" w:sz="4" w:space="0" w:color="auto"/>
            </w:tcBorders>
            <w:shd w:val="clear" w:color="auto" w:fill="auto"/>
          </w:tcPr>
          <w:p w14:paraId="4C2A7335" w14:textId="77777777" w:rsidR="00A70030" w:rsidRDefault="00A70030" w:rsidP="00073385">
            <w:pPr>
              <w:spacing w:before="60" w:after="60" w:line="240" w:lineRule="auto"/>
              <w:ind w:left="0"/>
              <w:rPr>
                <w:rFonts w:cs="Arial"/>
                <w:sz w:val="20"/>
                <w:szCs w:val="20"/>
              </w:rPr>
            </w:pPr>
            <w:r>
              <w:rPr>
                <w:rFonts w:cs="Arial"/>
                <w:sz w:val="20"/>
                <w:szCs w:val="20"/>
              </w:rPr>
              <w:t>N/A</w:t>
            </w:r>
          </w:p>
          <w:p w14:paraId="13928941" w14:textId="77777777" w:rsidR="00A70030" w:rsidRDefault="00A70030" w:rsidP="00073385">
            <w:pPr>
              <w:spacing w:before="60" w:after="60" w:line="240" w:lineRule="auto"/>
              <w:ind w:left="0"/>
              <w:rPr>
                <w:rFonts w:cs="Arial"/>
                <w:sz w:val="20"/>
                <w:szCs w:val="20"/>
              </w:rPr>
            </w:pPr>
          </w:p>
        </w:tc>
      </w:tr>
      <w:tr w:rsidR="00A70030" w:rsidRPr="00FF0808" w14:paraId="683D4A52" w14:textId="77777777" w:rsidTr="00891DE1">
        <w:trPr>
          <w:trHeight w:val="670"/>
        </w:trPr>
        <w:tc>
          <w:tcPr>
            <w:tcW w:w="1427" w:type="dxa"/>
            <w:vMerge/>
            <w:tcBorders>
              <w:bottom w:val="nil"/>
            </w:tcBorders>
            <w:shd w:val="clear" w:color="auto" w:fill="auto"/>
          </w:tcPr>
          <w:p w14:paraId="0D382A9F" w14:textId="77777777" w:rsidR="00A70030" w:rsidRPr="003E2F3C"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3EC7DE38"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4A4D6A0" w14:textId="77777777" w:rsidR="00A70030" w:rsidRDefault="00A70030" w:rsidP="00073385">
            <w:pPr>
              <w:spacing w:before="60" w:after="60" w:line="240" w:lineRule="auto"/>
              <w:ind w:left="0"/>
              <w:rPr>
                <w:rFonts w:cs="Arial"/>
                <w:sz w:val="20"/>
                <w:szCs w:val="20"/>
              </w:rPr>
            </w:pPr>
            <w:r>
              <w:rPr>
                <w:rFonts w:cs="Arial"/>
                <w:sz w:val="20"/>
                <w:szCs w:val="20"/>
              </w:rPr>
              <w:t>30/3/17</w:t>
            </w:r>
          </w:p>
        </w:tc>
        <w:tc>
          <w:tcPr>
            <w:tcW w:w="6335" w:type="dxa"/>
            <w:tcBorders>
              <w:top w:val="single" w:sz="4" w:space="0" w:color="auto"/>
              <w:bottom w:val="single" w:sz="4" w:space="0" w:color="auto"/>
            </w:tcBorders>
            <w:shd w:val="clear" w:color="auto" w:fill="auto"/>
          </w:tcPr>
          <w:p w14:paraId="12CA6828" w14:textId="77777777" w:rsidR="00A70030" w:rsidRDefault="00A70030" w:rsidP="00073385">
            <w:pPr>
              <w:spacing w:before="60" w:after="60" w:line="240" w:lineRule="auto"/>
              <w:ind w:left="0"/>
              <w:rPr>
                <w:rFonts w:cs="Arial"/>
                <w:sz w:val="20"/>
                <w:szCs w:val="20"/>
              </w:rPr>
            </w:pPr>
            <w:r>
              <w:rPr>
                <w:rFonts w:cs="Arial"/>
                <w:sz w:val="20"/>
                <w:szCs w:val="20"/>
              </w:rPr>
              <w:t>CarbonNet received a response via email to advise that the proposed survey location does not impact on fishing activity in the Eastern Tuna and Billfish Fishery.</w:t>
            </w:r>
          </w:p>
          <w:p w14:paraId="7A0A8A90" w14:textId="77777777" w:rsidR="00A70030" w:rsidRDefault="00A70030" w:rsidP="00073385">
            <w:pPr>
              <w:spacing w:before="60" w:after="60" w:line="240" w:lineRule="auto"/>
              <w:ind w:left="0"/>
              <w:rPr>
                <w:rFonts w:cs="Arial"/>
                <w:sz w:val="20"/>
                <w:szCs w:val="20"/>
              </w:rPr>
            </w:pPr>
          </w:p>
        </w:tc>
        <w:tc>
          <w:tcPr>
            <w:tcW w:w="3802" w:type="dxa"/>
            <w:tcBorders>
              <w:top w:val="single" w:sz="4" w:space="0" w:color="auto"/>
              <w:bottom w:val="single" w:sz="4" w:space="0" w:color="auto"/>
            </w:tcBorders>
            <w:shd w:val="clear" w:color="auto" w:fill="auto"/>
          </w:tcPr>
          <w:p w14:paraId="0172B3D2" w14:textId="77777777" w:rsidR="00A70030" w:rsidRDefault="00A70030" w:rsidP="00073385">
            <w:pPr>
              <w:spacing w:before="60" w:after="60" w:line="240" w:lineRule="auto"/>
              <w:ind w:left="0"/>
              <w:rPr>
                <w:rFonts w:cs="Arial"/>
                <w:sz w:val="20"/>
                <w:szCs w:val="20"/>
              </w:rPr>
            </w:pPr>
            <w:r>
              <w:rPr>
                <w:rFonts w:cs="Arial"/>
                <w:sz w:val="20"/>
                <w:szCs w:val="20"/>
              </w:rPr>
              <w:t>CarbonNet responded with thanks.</w:t>
            </w:r>
          </w:p>
          <w:p w14:paraId="28693C5B" w14:textId="77777777" w:rsidR="00A70030" w:rsidRDefault="00A70030" w:rsidP="00073385">
            <w:pPr>
              <w:spacing w:before="60" w:after="60" w:line="240" w:lineRule="auto"/>
              <w:ind w:left="0"/>
              <w:rPr>
                <w:rFonts w:cs="Arial"/>
                <w:sz w:val="20"/>
                <w:szCs w:val="20"/>
              </w:rPr>
            </w:pPr>
            <w:r>
              <w:rPr>
                <w:rFonts w:cs="Arial"/>
                <w:sz w:val="20"/>
                <w:szCs w:val="20"/>
              </w:rPr>
              <w:t>Fishing activity for this fishery is reflected in Section 5.6.3 of the EP.</w:t>
            </w:r>
          </w:p>
        </w:tc>
      </w:tr>
      <w:tr w:rsidR="00A70030" w:rsidRPr="00FF0808" w14:paraId="6C9DEECE" w14:textId="77777777" w:rsidTr="00891DE1">
        <w:trPr>
          <w:trHeight w:val="670"/>
        </w:trPr>
        <w:tc>
          <w:tcPr>
            <w:tcW w:w="1427" w:type="dxa"/>
            <w:tcBorders>
              <w:top w:val="nil"/>
              <w:bottom w:val="single" w:sz="4" w:space="0" w:color="auto"/>
            </w:tcBorders>
            <w:shd w:val="clear" w:color="auto" w:fill="auto"/>
          </w:tcPr>
          <w:p w14:paraId="270D98F2"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single" w:sz="4" w:space="0" w:color="auto"/>
            </w:tcBorders>
            <w:shd w:val="clear" w:color="auto" w:fill="auto"/>
          </w:tcPr>
          <w:p w14:paraId="4FB13C47"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5D624AC1" w14:textId="45CD32D9"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auto"/>
              <w:bottom w:val="single" w:sz="4" w:space="0" w:color="auto"/>
            </w:tcBorders>
            <w:shd w:val="clear" w:color="auto" w:fill="auto"/>
          </w:tcPr>
          <w:p w14:paraId="1EDABB96" w14:textId="6C2488F8" w:rsidR="00A70030"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tcBorders>
              <w:top w:val="single" w:sz="4" w:space="0" w:color="auto"/>
              <w:bottom w:val="single" w:sz="4" w:space="0" w:color="auto"/>
            </w:tcBorders>
            <w:shd w:val="clear" w:color="auto" w:fill="auto"/>
          </w:tcPr>
          <w:p w14:paraId="485B2B6E" w14:textId="50A77FA3"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A99BC57" w14:textId="77777777" w:rsidTr="00077C5F">
        <w:trPr>
          <w:trHeight w:val="824"/>
        </w:trPr>
        <w:tc>
          <w:tcPr>
            <w:tcW w:w="1427" w:type="dxa"/>
            <w:vMerge w:val="restart"/>
            <w:tcBorders>
              <w:top w:val="single" w:sz="4" w:space="0" w:color="auto"/>
            </w:tcBorders>
            <w:shd w:val="clear" w:color="auto" w:fill="auto"/>
          </w:tcPr>
          <w:p w14:paraId="12591A46" w14:textId="77777777" w:rsidR="00A70030" w:rsidRPr="003E2F3C" w:rsidRDefault="00A70030" w:rsidP="00073385">
            <w:pPr>
              <w:spacing w:before="60" w:after="60" w:line="240" w:lineRule="auto"/>
              <w:ind w:left="0"/>
              <w:rPr>
                <w:rFonts w:cs="Arial"/>
                <w:sz w:val="20"/>
                <w:szCs w:val="20"/>
              </w:rPr>
            </w:pPr>
            <w:r w:rsidRPr="003E2F3C">
              <w:rPr>
                <w:rFonts w:cs="Arial"/>
                <w:sz w:val="20"/>
                <w:szCs w:val="20"/>
              </w:rPr>
              <w:t xml:space="preserve">Southern Shark Industry </w:t>
            </w:r>
            <w:r w:rsidRPr="003E2F3C">
              <w:rPr>
                <w:rFonts w:cs="Arial"/>
                <w:sz w:val="20"/>
                <w:szCs w:val="20"/>
              </w:rPr>
              <w:lastRenderedPageBreak/>
              <w:t>Alliance (SSIA)</w:t>
            </w:r>
          </w:p>
        </w:tc>
        <w:tc>
          <w:tcPr>
            <w:tcW w:w="1629" w:type="dxa"/>
            <w:vMerge w:val="restart"/>
            <w:tcBorders>
              <w:top w:val="single" w:sz="4" w:space="0" w:color="auto"/>
            </w:tcBorders>
            <w:shd w:val="clear" w:color="auto" w:fill="auto"/>
          </w:tcPr>
          <w:p w14:paraId="7F51AF91" w14:textId="77777777" w:rsidR="00A70030" w:rsidRPr="00FF0808" w:rsidRDefault="00A70030" w:rsidP="00073385">
            <w:pPr>
              <w:spacing w:before="60" w:after="60" w:line="240" w:lineRule="auto"/>
              <w:ind w:left="0"/>
              <w:rPr>
                <w:rFonts w:cs="Arial"/>
                <w:sz w:val="20"/>
                <w:szCs w:val="20"/>
              </w:rPr>
            </w:pPr>
            <w:r>
              <w:rPr>
                <w:rFonts w:cs="Arial"/>
                <w:sz w:val="20"/>
                <w:szCs w:val="20"/>
              </w:rPr>
              <w:lastRenderedPageBreak/>
              <w:t xml:space="preserve">Represent fishermen who may have </w:t>
            </w:r>
            <w:r>
              <w:rPr>
                <w:rFonts w:cs="Arial"/>
                <w:sz w:val="20"/>
                <w:szCs w:val="20"/>
              </w:rPr>
              <w:lastRenderedPageBreak/>
              <w:t>activities near proposed acquisition area</w:t>
            </w:r>
          </w:p>
        </w:tc>
        <w:tc>
          <w:tcPr>
            <w:tcW w:w="1055" w:type="dxa"/>
            <w:tcBorders>
              <w:top w:val="single" w:sz="4" w:space="0" w:color="auto"/>
              <w:bottom w:val="single" w:sz="4" w:space="0" w:color="auto"/>
            </w:tcBorders>
          </w:tcPr>
          <w:p w14:paraId="7BC93A18" w14:textId="77777777" w:rsidR="00A70030" w:rsidRDefault="00A70030" w:rsidP="00073385">
            <w:pPr>
              <w:spacing w:before="60" w:after="60" w:line="240" w:lineRule="auto"/>
              <w:ind w:left="0"/>
              <w:rPr>
                <w:rFonts w:cs="Arial"/>
                <w:sz w:val="20"/>
                <w:szCs w:val="20"/>
              </w:rPr>
            </w:pPr>
            <w:r>
              <w:rPr>
                <w:rFonts w:cs="Arial"/>
                <w:sz w:val="20"/>
                <w:szCs w:val="20"/>
              </w:rPr>
              <w:lastRenderedPageBreak/>
              <w:t>21/3/17</w:t>
            </w:r>
          </w:p>
          <w:p w14:paraId="71C6A4A0" w14:textId="77777777" w:rsidR="00A70030" w:rsidRPr="00FF0808"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6CA67C58" w14:textId="77777777" w:rsidR="00A70030" w:rsidRDefault="00A70030" w:rsidP="00073385">
            <w:pPr>
              <w:spacing w:before="60" w:after="60" w:line="240" w:lineRule="auto"/>
              <w:ind w:left="0"/>
              <w:rPr>
                <w:rFonts w:cs="Arial"/>
                <w:sz w:val="20"/>
                <w:szCs w:val="20"/>
              </w:rPr>
            </w:pPr>
            <w:r>
              <w:rPr>
                <w:rFonts w:cs="Arial"/>
                <w:sz w:val="20"/>
                <w:szCs w:val="20"/>
              </w:rPr>
              <w:t>CarbonNet contacted SSIA via post with a letter that invited feedback and provided a fact sheet.</w:t>
            </w:r>
          </w:p>
          <w:p w14:paraId="49FD1D4D" w14:textId="77777777" w:rsidR="00A70030" w:rsidRPr="00FF0808" w:rsidRDefault="00A70030" w:rsidP="00073385">
            <w:pPr>
              <w:spacing w:before="60" w:after="60" w:line="240" w:lineRule="auto"/>
              <w:ind w:left="0"/>
              <w:rPr>
                <w:rFonts w:cs="Arial"/>
                <w:sz w:val="20"/>
                <w:szCs w:val="20"/>
              </w:rPr>
            </w:pPr>
          </w:p>
        </w:tc>
        <w:tc>
          <w:tcPr>
            <w:tcW w:w="3802" w:type="dxa"/>
            <w:tcBorders>
              <w:top w:val="single" w:sz="4" w:space="0" w:color="auto"/>
              <w:bottom w:val="single" w:sz="4" w:space="0" w:color="auto"/>
            </w:tcBorders>
            <w:shd w:val="clear" w:color="auto" w:fill="auto"/>
          </w:tcPr>
          <w:p w14:paraId="0E59EB04" w14:textId="77777777" w:rsidR="00A70030" w:rsidRPr="00FF0808"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6F2F9DF3" w14:textId="77777777" w:rsidTr="00077C5F">
        <w:trPr>
          <w:trHeight w:val="670"/>
        </w:trPr>
        <w:tc>
          <w:tcPr>
            <w:tcW w:w="1427" w:type="dxa"/>
            <w:vMerge/>
            <w:shd w:val="clear" w:color="auto" w:fill="auto"/>
          </w:tcPr>
          <w:p w14:paraId="66DB1ECF" w14:textId="77777777" w:rsidR="00A70030" w:rsidRPr="003E2F3C" w:rsidRDefault="00A70030" w:rsidP="00073385">
            <w:pPr>
              <w:spacing w:before="60" w:after="60" w:line="240" w:lineRule="auto"/>
              <w:ind w:left="0"/>
              <w:rPr>
                <w:rFonts w:cs="Arial"/>
                <w:sz w:val="20"/>
                <w:szCs w:val="20"/>
              </w:rPr>
            </w:pPr>
          </w:p>
        </w:tc>
        <w:tc>
          <w:tcPr>
            <w:tcW w:w="1629" w:type="dxa"/>
            <w:vMerge/>
            <w:shd w:val="clear" w:color="auto" w:fill="auto"/>
          </w:tcPr>
          <w:p w14:paraId="7F39D6CB"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68F223A7" w14:textId="77777777" w:rsidR="00A70030" w:rsidRDefault="00A70030" w:rsidP="00073385">
            <w:pPr>
              <w:spacing w:before="60" w:after="60" w:line="240" w:lineRule="auto"/>
              <w:ind w:left="0"/>
              <w:rPr>
                <w:rFonts w:cs="Arial"/>
                <w:sz w:val="20"/>
                <w:szCs w:val="20"/>
              </w:rPr>
            </w:pPr>
            <w:r>
              <w:rPr>
                <w:rFonts w:cs="Arial"/>
                <w:sz w:val="20"/>
                <w:szCs w:val="20"/>
              </w:rPr>
              <w:t>18/5/17</w:t>
            </w:r>
          </w:p>
          <w:p w14:paraId="2C4EABE4"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6432FE34" w14:textId="3D0B1E17" w:rsidR="00A70030" w:rsidRDefault="00A70030" w:rsidP="00073385">
            <w:pPr>
              <w:spacing w:before="60" w:after="60" w:line="240" w:lineRule="auto"/>
              <w:ind w:left="0"/>
              <w:rPr>
                <w:rFonts w:cs="Arial"/>
                <w:sz w:val="20"/>
                <w:szCs w:val="20"/>
              </w:rPr>
            </w:pPr>
            <w:r>
              <w:rPr>
                <w:rFonts w:cs="Arial"/>
                <w:sz w:val="20"/>
                <w:szCs w:val="20"/>
              </w:rPr>
              <w:t>CarbonNet tried to phone the number listed on the AFMA website, but it is disconnected. Found the website for SSIA online and sent an email using the ‘contact us’ form.</w:t>
            </w:r>
          </w:p>
          <w:p w14:paraId="57982232" w14:textId="79A3D2A7" w:rsidR="00A70030" w:rsidRDefault="00A70030" w:rsidP="00073385">
            <w:pPr>
              <w:spacing w:before="60" w:after="60" w:line="240" w:lineRule="auto"/>
              <w:ind w:left="0"/>
              <w:rPr>
                <w:rFonts w:cs="Arial"/>
                <w:sz w:val="20"/>
                <w:szCs w:val="20"/>
              </w:rPr>
            </w:pPr>
            <w:r>
              <w:rPr>
                <w:rFonts w:cs="Arial"/>
                <w:sz w:val="20"/>
                <w:szCs w:val="20"/>
              </w:rPr>
              <w:t>CarbonNet spoke to the former contact for the Small Pelagic Fishery Industry Association, who advised that the SSIA contact now looks after that group. They provided two contact email addresses and a mobile phone number for SSIA. CarbonNet left a voicemail for SSIA requesting a call back.</w:t>
            </w:r>
          </w:p>
        </w:tc>
        <w:tc>
          <w:tcPr>
            <w:tcW w:w="3802" w:type="dxa"/>
            <w:tcBorders>
              <w:top w:val="single" w:sz="4" w:space="0" w:color="auto"/>
              <w:bottom w:val="single" w:sz="4" w:space="0" w:color="auto"/>
            </w:tcBorders>
            <w:shd w:val="clear" w:color="auto" w:fill="auto"/>
          </w:tcPr>
          <w:p w14:paraId="0264C6EA" w14:textId="77777777" w:rsidR="00A70030" w:rsidRPr="00FF0808"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6320A6F" w14:textId="77777777" w:rsidTr="00CE3085">
        <w:trPr>
          <w:trHeight w:val="670"/>
        </w:trPr>
        <w:tc>
          <w:tcPr>
            <w:tcW w:w="1427" w:type="dxa"/>
            <w:vMerge/>
            <w:tcBorders>
              <w:bottom w:val="nil"/>
            </w:tcBorders>
            <w:shd w:val="clear" w:color="auto" w:fill="auto"/>
          </w:tcPr>
          <w:p w14:paraId="10CB7429" w14:textId="77777777" w:rsidR="00A70030" w:rsidRPr="003E2F3C"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6833FD1E"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2D8258E4" w14:textId="77777777" w:rsidR="00A70030" w:rsidRDefault="00A70030" w:rsidP="00073385">
            <w:pPr>
              <w:spacing w:before="60" w:after="60" w:line="240" w:lineRule="auto"/>
              <w:ind w:left="0"/>
              <w:rPr>
                <w:rFonts w:cs="Arial"/>
                <w:sz w:val="20"/>
                <w:szCs w:val="20"/>
              </w:rPr>
            </w:pPr>
            <w:r>
              <w:rPr>
                <w:rFonts w:cs="Arial"/>
                <w:sz w:val="20"/>
                <w:szCs w:val="20"/>
              </w:rPr>
              <w:t>6/6/17</w:t>
            </w:r>
          </w:p>
          <w:p w14:paraId="7C98F95E"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13A3837C" w14:textId="77777777" w:rsidR="00A70030" w:rsidRDefault="00A70030" w:rsidP="00073385">
            <w:pPr>
              <w:spacing w:before="60" w:after="60" w:line="240" w:lineRule="auto"/>
              <w:ind w:left="0"/>
              <w:rPr>
                <w:rFonts w:cs="Arial"/>
                <w:sz w:val="20"/>
                <w:szCs w:val="20"/>
              </w:rPr>
            </w:pPr>
            <w:r>
              <w:rPr>
                <w:rFonts w:cs="Arial"/>
                <w:sz w:val="20"/>
                <w:szCs w:val="20"/>
              </w:rPr>
              <w:t xml:space="preserve">CarbonNet sent an email to the two email addresses provided earlier to advise that the EP is nearly finished and to see if SSIA had any questions. </w:t>
            </w:r>
          </w:p>
          <w:p w14:paraId="7E62FA04" w14:textId="5DA776AD" w:rsidR="00A70030" w:rsidRDefault="00A70030" w:rsidP="00073385">
            <w:pPr>
              <w:spacing w:before="60" w:after="60" w:line="240" w:lineRule="auto"/>
              <w:ind w:left="0"/>
              <w:rPr>
                <w:rFonts w:cs="Arial"/>
                <w:sz w:val="20"/>
                <w:szCs w:val="20"/>
              </w:rPr>
            </w:pPr>
            <w:r>
              <w:rPr>
                <w:rFonts w:cs="Arial"/>
                <w:sz w:val="20"/>
                <w:szCs w:val="20"/>
              </w:rPr>
              <w:t xml:space="preserve">There has been no response since this time. </w:t>
            </w:r>
          </w:p>
        </w:tc>
        <w:tc>
          <w:tcPr>
            <w:tcW w:w="3802" w:type="dxa"/>
            <w:tcBorders>
              <w:top w:val="single" w:sz="4" w:space="0" w:color="auto"/>
              <w:bottom w:val="single" w:sz="4" w:space="0" w:color="auto"/>
            </w:tcBorders>
            <w:shd w:val="clear" w:color="auto" w:fill="auto"/>
          </w:tcPr>
          <w:p w14:paraId="361E5F12" w14:textId="77777777" w:rsidR="00A70030" w:rsidRPr="00FF0808" w:rsidRDefault="00A70030" w:rsidP="00073385">
            <w:pPr>
              <w:spacing w:before="60" w:after="60" w:line="240" w:lineRule="auto"/>
              <w:ind w:left="0"/>
              <w:rPr>
                <w:rFonts w:cs="Arial"/>
                <w:sz w:val="20"/>
                <w:szCs w:val="20"/>
              </w:rPr>
            </w:pPr>
            <w:r>
              <w:rPr>
                <w:rFonts w:cs="Arial"/>
                <w:sz w:val="20"/>
                <w:szCs w:val="20"/>
              </w:rPr>
              <w:t xml:space="preserve">Section 5.6.3 of the EP contains sufficient information regarding the shark fishery and is confident enough in this data that no follow up of this stakeholder is required.  </w:t>
            </w:r>
          </w:p>
        </w:tc>
      </w:tr>
      <w:tr w:rsidR="00A70030" w:rsidRPr="00FF0808" w14:paraId="4140CE86" w14:textId="77777777" w:rsidTr="00891DE1">
        <w:trPr>
          <w:trHeight w:val="490"/>
        </w:trPr>
        <w:tc>
          <w:tcPr>
            <w:tcW w:w="1427" w:type="dxa"/>
            <w:tcBorders>
              <w:top w:val="nil"/>
              <w:bottom w:val="nil"/>
            </w:tcBorders>
            <w:shd w:val="clear" w:color="auto" w:fill="auto"/>
          </w:tcPr>
          <w:p w14:paraId="08C71673"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8B4F040"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071A31D" w14:textId="77777777" w:rsidR="00A70030" w:rsidRDefault="00A70030" w:rsidP="00073385">
            <w:pPr>
              <w:spacing w:before="60" w:after="60" w:line="240" w:lineRule="auto"/>
              <w:ind w:left="0"/>
              <w:rPr>
                <w:rFonts w:cs="Arial"/>
                <w:sz w:val="20"/>
                <w:szCs w:val="20"/>
              </w:rPr>
            </w:pPr>
            <w:r>
              <w:rPr>
                <w:rFonts w:cs="Arial"/>
                <w:sz w:val="20"/>
                <w:szCs w:val="20"/>
              </w:rPr>
              <w:t>27/7/17</w:t>
            </w:r>
          </w:p>
        </w:tc>
        <w:tc>
          <w:tcPr>
            <w:tcW w:w="6335" w:type="dxa"/>
            <w:tcBorders>
              <w:top w:val="single" w:sz="4" w:space="0" w:color="auto"/>
              <w:bottom w:val="single" w:sz="4" w:space="0" w:color="auto"/>
            </w:tcBorders>
            <w:shd w:val="clear" w:color="auto" w:fill="auto"/>
          </w:tcPr>
          <w:p w14:paraId="128B5D8A" w14:textId="77777777" w:rsidR="00A70030" w:rsidRDefault="00A70030" w:rsidP="00073385">
            <w:pPr>
              <w:spacing w:before="60" w:after="60" w:line="240" w:lineRule="auto"/>
              <w:ind w:left="0"/>
              <w:rPr>
                <w:rFonts w:cs="Arial"/>
                <w:sz w:val="20"/>
                <w:szCs w:val="20"/>
              </w:rPr>
            </w:pPr>
            <w:r>
              <w:rPr>
                <w:rFonts w:cs="Arial"/>
                <w:sz w:val="20"/>
                <w:szCs w:val="20"/>
              </w:rPr>
              <w:t xml:space="preserve">CarbonNet received the final data report from SETFIA, which listed the SETFIA contact as the contact for SSIA. </w:t>
            </w:r>
          </w:p>
        </w:tc>
        <w:tc>
          <w:tcPr>
            <w:tcW w:w="3802" w:type="dxa"/>
            <w:tcBorders>
              <w:top w:val="single" w:sz="4" w:space="0" w:color="auto"/>
              <w:bottom w:val="single" w:sz="4" w:space="0" w:color="auto"/>
            </w:tcBorders>
            <w:shd w:val="clear" w:color="auto" w:fill="auto"/>
          </w:tcPr>
          <w:p w14:paraId="07902DFC" w14:textId="77777777" w:rsidR="00A70030" w:rsidRDefault="00A70030" w:rsidP="00073385">
            <w:pPr>
              <w:spacing w:before="60" w:after="60" w:line="240" w:lineRule="auto"/>
              <w:ind w:left="0"/>
              <w:rPr>
                <w:rFonts w:cs="Arial"/>
                <w:sz w:val="20"/>
                <w:szCs w:val="20"/>
              </w:rPr>
            </w:pPr>
            <w:r>
              <w:rPr>
                <w:rFonts w:cs="Arial"/>
                <w:sz w:val="20"/>
                <w:szCs w:val="20"/>
              </w:rPr>
              <w:t>As consultation with the SETFIA contact has been extensive and has covered sharks, this is sufficient for the SSIA.</w:t>
            </w:r>
          </w:p>
        </w:tc>
      </w:tr>
      <w:tr w:rsidR="00A70030" w:rsidRPr="00FF0808" w14:paraId="03F798BE" w14:textId="77777777" w:rsidTr="00CE3085">
        <w:trPr>
          <w:trHeight w:val="490"/>
        </w:trPr>
        <w:tc>
          <w:tcPr>
            <w:tcW w:w="1427" w:type="dxa"/>
            <w:tcBorders>
              <w:top w:val="nil"/>
              <w:bottom w:val="single" w:sz="4" w:space="0" w:color="auto"/>
            </w:tcBorders>
            <w:shd w:val="clear" w:color="auto" w:fill="auto"/>
          </w:tcPr>
          <w:p w14:paraId="1E27B106"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single" w:sz="4" w:space="0" w:color="auto"/>
            </w:tcBorders>
            <w:shd w:val="clear" w:color="auto" w:fill="auto"/>
          </w:tcPr>
          <w:p w14:paraId="73BEF03E"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F137C25" w14:textId="599B0B8F"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auto"/>
              <w:bottom w:val="single" w:sz="4" w:space="0" w:color="auto"/>
            </w:tcBorders>
            <w:shd w:val="clear" w:color="auto" w:fill="auto"/>
          </w:tcPr>
          <w:p w14:paraId="298EA0F0" w14:textId="2C17570D" w:rsidR="00A70030"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tcBorders>
              <w:top w:val="single" w:sz="4" w:space="0" w:color="auto"/>
              <w:bottom w:val="single" w:sz="4" w:space="0" w:color="auto"/>
            </w:tcBorders>
            <w:shd w:val="clear" w:color="auto" w:fill="auto"/>
          </w:tcPr>
          <w:p w14:paraId="5FC0D6A6" w14:textId="167348FE"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56DA6CCE" w14:textId="77777777" w:rsidTr="00077C5F">
        <w:trPr>
          <w:trHeight w:val="737"/>
        </w:trPr>
        <w:tc>
          <w:tcPr>
            <w:tcW w:w="1427" w:type="dxa"/>
            <w:vMerge w:val="restart"/>
            <w:tcBorders>
              <w:top w:val="single" w:sz="4" w:space="0" w:color="auto"/>
            </w:tcBorders>
            <w:shd w:val="clear" w:color="auto" w:fill="auto"/>
          </w:tcPr>
          <w:p w14:paraId="6E3FCA70" w14:textId="77777777" w:rsidR="00A70030" w:rsidRPr="003E2F3C" w:rsidRDefault="00A70030" w:rsidP="00073385">
            <w:pPr>
              <w:spacing w:before="60" w:after="60" w:line="240" w:lineRule="auto"/>
              <w:ind w:left="0"/>
              <w:rPr>
                <w:rFonts w:cs="Arial"/>
                <w:sz w:val="20"/>
                <w:szCs w:val="20"/>
              </w:rPr>
            </w:pPr>
            <w:r w:rsidRPr="003E2F3C">
              <w:rPr>
                <w:rFonts w:cs="Arial"/>
                <w:sz w:val="20"/>
                <w:szCs w:val="20"/>
              </w:rPr>
              <w:t>Small Pelagic Fishery</w:t>
            </w:r>
            <w:r>
              <w:rPr>
                <w:rFonts w:cs="Arial"/>
                <w:sz w:val="20"/>
                <w:szCs w:val="20"/>
              </w:rPr>
              <w:t xml:space="preserve"> Industry Association</w:t>
            </w:r>
          </w:p>
        </w:tc>
        <w:tc>
          <w:tcPr>
            <w:tcW w:w="1629" w:type="dxa"/>
            <w:vMerge w:val="restart"/>
            <w:tcBorders>
              <w:top w:val="single" w:sz="4" w:space="0" w:color="auto"/>
            </w:tcBorders>
            <w:shd w:val="clear" w:color="auto" w:fill="auto"/>
          </w:tcPr>
          <w:p w14:paraId="204609C6" w14:textId="77777777" w:rsidR="00A70030" w:rsidRPr="00FF0808" w:rsidRDefault="00A70030" w:rsidP="00073385">
            <w:pPr>
              <w:spacing w:before="60" w:after="60" w:line="240" w:lineRule="auto"/>
              <w:ind w:left="0"/>
              <w:rPr>
                <w:rFonts w:cs="Arial"/>
                <w:sz w:val="20"/>
                <w:szCs w:val="20"/>
              </w:rPr>
            </w:pPr>
            <w:r>
              <w:rPr>
                <w:rFonts w:cs="Arial"/>
                <w:sz w:val="20"/>
                <w:szCs w:val="20"/>
              </w:rPr>
              <w:t>Represent fishermen who may have activities near proposed acquisition area</w:t>
            </w:r>
          </w:p>
        </w:tc>
        <w:tc>
          <w:tcPr>
            <w:tcW w:w="1055" w:type="dxa"/>
            <w:tcBorders>
              <w:top w:val="single" w:sz="4" w:space="0" w:color="auto"/>
              <w:bottom w:val="single" w:sz="4" w:space="0" w:color="auto"/>
            </w:tcBorders>
          </w:tcPr>
          <w:p w14:paraId="39F1B7BD" w14:textId="77777777" w:rsidR="00A70030" w:rsidRDefault="00A70030" w:rsidP="00073385">
            <w:pPr>
              <w:spacing w:before="60" w:after="60" w:line="240" w:lineRule="auto"/>
              <w:ind w:left="0"/>
              <w:rPr>
                <w:rFonts w:cs="Arial"/>
                <w:sz w:val="20"/>
                <w:szCs w:val="20"/>
              </w:rPr>
            </w:pPr>
            <w:r>
              <w:rPr>
                <w:rFonts w:cs="Arial"/>
                <w:sz w:val="20"/>
                <w:szCs w:val="20"/>
              </w:rPr>
              <w:t>21/3/17</w:t>
            </w:r>
          </w:p>
          <w:p w14:paraId="09229A17" w14:textId="77777777" w:rsidR="00A70030" w:rsidRPr="00FF0808"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0F7E2253" w14:textId="77777777" w:rsidR="00A70030" w:rsidRPr="00FF0808" w:rsidRDefault="00A70030" w:rsidP="00073385">
            <w:pPr>
              <w:spacing w:before="60" w:after="60" w:line="240" w:lineRule="auto"/>
              <w:ind w:left="0"/>
              <w:rPr>
                <w:rFonts w:cs="Arial"/>
                <w:sz w:val="20"/>
                <w:szCs w:val="20"/>
              </w:rPr>
            </w:pPr>
            <w:r>
              <w:rPr>
                <w:rFonts w:cs="Arial"/>
                <w:sz w:val="20"/>
                <w:szCs w:val="20"/>
              </w:rPr>
              <w:t>CarbonNet contacted the Small Pelagic Fishery Industry Association via post and email with a letter that invited feedback and provided a fact sheet.</w:t>
            </w:r>
          </w:p>
        </w:tc>
        <w:tc>
          <w:tcPr>
            <w:tcW w:w="3802" w:type="dxa"/>
            <w:tcBorders>
              <w:top w:val="single" w:sz="4" w:space="0" w:color="auto"/>
              <w:bottom w:val="single" w:sz="4" w:space="0" w:color="auto"/>
            </w:tcBorders>
            <w:shd w:val="clear" w:color="auto" w:fill="auto"/>
          </w:tcPr>
          <w:p w14:paraId="74F785F1" w14:textId="77777777" w:rsidR="00A70030" w:rsidRPr="00FF0808"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1337715B" w14:textId="77777777" w:rsidTr="00077C5F">
        <w:trPr>
          <w:trHeight w:val="737"/>
        </w:trPr>
        <w:tc>
          <w:tcPr>
            <w:tcW w:w="1427" w:type="dxa"/>
            <w:vMerge/>
            <w:shd w:val="clear" w:color="auto" w:fill="auto"/>
          </w:tcPr>
          <w:p w14:paraId="148CF73A" w14:textId="77777777" w:rsidR="00A70030" w:rsidRPr="003E2F3C" w:rsidRDefault="00A70030" w:rsidP="00073385">
            <w:pPr>
              <w:spacing w:before="60" w:after="60" w:line="240" w:lineRule="auto"/>
              <w:ind w:left="0"/>
              <w:rPr>
                <w:rFonts w:cs="Arial"/>
                <w:sz w:val="20"/>
                <w:szCs w:val="20"/>
              </w:rPr>
            </w:pPr>
          </w:p>
        </w:tc>
        <w:tc>
          <w:tcPr>
            <w:tcW w:w="1629" w:type="dxa"/>
            <w:vMerge/>
            <w:shd w:val="clear" w:color="auto" w:fill="auto"/>
          </w:tcPr>
          <w:p w14:paraId="7EF51E1E"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C9171FE" w14:textId="77777777" w:rsidR="00A70030" w:rsidRDefault="00A70030" w:rsidP="00073385">
            <w:pPr>
              <w:spacing w:before="60" w:after="60" w:line="240" w:lineRule="auto"/>
              <w:ind w:left="0"/>
              <w:rPr>
                <w:rFonts w:cs="Arial"/>
                <w:sz w:val="20"/>
                <w:szCs w:val="20"/>
              </w:rPr>
            </w:pPr>
            <w:r>
              <w:rPr>
                <w:rFonts w:cs="Arial"/>
                <w:sz w:val="20"/>
                <w:szCs w:val="20"/>
              </w:rPr>
              <w:t>18/5/17</w:t>
            </w:r>
          </w:p>
          <w:p w14:paraId="12CED1F3"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2DFAD1E0" w14:textId="6DEA493A" w:rsidR="00A70030" w:rsidRDefault="00A70030" w:rsidP="00073385">
            <w:pPr>
              <w:spacing w:before="60" w:after="60" w:line="240" w:lineRule="auto"/>
              <w:ind w:left="0"/>
              <w:rPr>
                <w:rFonts w:cs="Arial"/>
                <w:sz w:val="20"/>
                <w:szCs w:val="20"/>
              </w:rPr>
            </w:pPr>
            <w:r>
              <w:rPr>
                <w:rFonts w:cs="Arial"/>
                <w:sz w:val="20"/>
                <w:szCs w:val="20"/>
              </w:rPr>
              <w:t>CarbonNet spoke to a listed contact who advised they no longer work for the association. This person provided two email addresses and a mobile phone number for the person who is now looking after the association, which is the same contact as the SSIA. CarbonNet left a voicemail for SSIA requesting a call back.</w:t>
            </w:r>
          </w:p>
        </w:tc>
        <w:tc>
          <w:tcPr>
            <w:tcW w:w="3802" w:type="dxa"/>
            <w:tcBorders>
              <w:top w:val="single" w:sz="4" w:space="0" w:color="auto"/>
              <w:bottom w:val="single" w:sz="4" w:space="0" w:color="auto"/>
            </w:tcBorders>
            <w:shd w:val="clear" w:color="auto" w:fill="auto"/>
          </w:tcPr>
          <w:p w14:paraId="0A525299"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DEC27E0" w14:textId="77777777" w:rsidTr="00891DE1">
        <w:trPr>
          <w:trHeight w:val="410"/>
        </w:trPr>
        <w:tc>
          <w:tcPr>
            <w:tcW w:w="1427" w:type="dxa"/>
            <w:vMerge/>
            <w:tcBorders>
              <w:bottom w:val="nil"/>
            </w:tcBorders>
            <w:shd w:val="clear" w:color="auto" w:fill="auto"/>
          </w:tcPr>
          <w:p w14:paraId="51046542" w14:textId="77777777" w:rsidR="00A70030" w:rsidRPr="003E2F3C"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30AD6D78"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84D5BEE" w14:textId="77777777" w:rsidR="00A70030" w:rsidRDefault="00A70030" w:rsidP="00073385">
            <w:pPr>
              <w:spacing w:before="60" w:after="60" w:line="240" w:lineRule="auto"/>
              <w:ind w:left="0"/>
              <w:rPr>
                <w:rFonts w:cs="Arial"/>
                <w:sz w:val="20"/>
                <w:szCs w:val="20"/>
              </w:rPr>
            </w:pPr>
            <w:r>
              <w:rPr>
                <w:rFonts w:cs="Arial"/>
                <w:sz w:val="20"/>
                <w:szCs w:val="20"/>
              </w:rPr>
              <w:t>6/6/17</w:t>
            </w:r>
          </w:p>
          <w:p w14:paraId="1ACC69F1"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2F090A09" w14:textId="77777777" w:rsidR="00A70030" w:rsidRDefault="00A70030" w:rsidP="00073385">
            <w:pPr>
              <w:spacing w:before="60" w:after="60" w:line="240" w:lineRule="auto"/>
              <w:ind w:left="0"/>
              <w:rPr>
                <w:rFonts w:cs="Arial"/>
                <w:sz w:val="20"/>
                <w:szCs w:val="20"/>
              </w:rPr>
            </w:pPr>
            <w:r>
              <w:rPr>
                <w:rFonts w:cs="Arial"/>
                <w:sz w:val="20"/>
                <w:szCs w:val="20"/>
              </w:rPr>
              <w:t>CarbonNet sent an email to the two email addresses provided earlier to advise that the EP is nearly finished and to see if the contact person had any questions. No response has been received to date.</w:t>
            </w:r>
          </w:p>
          <w:p w14:paraId="08D2B9B0" w14:textId="77777777" w:rsidR="00A70030" w:rsidRDefault="00A70030" w:rsidP="00073385">
            <w:pPr>
              <w:spacing w:before="60" w:after="60" w:line="240" w:lineRule="auto"/>
              <w:ind w:left="0"/>
              <w:rPr>
                <w:rFonts w:cs="Arial"/>
                <w:sz w:val="20"/>
                <w:szCs w:val="20"/>
              </w:rPr>
            </w:pPr>
          </w:p>
        </w:tc>
        <w:tc>
          <w:tcPr>
            <w:tcW w:w="3802" w:type="dxa"/>
            <w:tcBorders>
              <w:top w:val="single" w:sz="4" w:space="0" w:color="auto"/>
              <w:bottom w:val="single" w:sz="4" w:space="0" w:color="auto"/>
            </w:tcBorders>
            <w:shd w:val="clear" w:color="auto" w:fill="auto"/>
          </w:tcPr>
          <w:p w14:paraId="172A542E" w14:textId="77777777" w:rsidR="00A70030" w:rsidRDefault="00A70030" w:rsidP="00073385">
            <w:pPr>
              <w:spacing w:before="60" w:after="60" w:line="240" w:lineRule="auto"/>
              <w:ind w:left="0"/>
              <w:rPr>
                <w:rFonts w:cs="Arial"/>
                <w:sz w:val="20"/>
                <w:szCs w:val="20"/>
              </w:rPr>
            </w:pPr>
            <w:r>
              <w:rPr>
                <w:rFonts w:cs="Arial"/>
                <w:sz w:val="20"/>
                <w:szCs w:val="20"/>
              </w:rPr>
              <w:t xml:space="preserve">Section 5.6.3 of the EP contains sufficient information regarding the pelagic fisheries and is confident enough in this data that no follow up of this stakeholder is required.  </w:t>
            </w:r>
          </w:p>
        </w:tc>
      </w:tr>
      <w:tr w:rsidR="00A70030" w:rsidRPr="00FF0808" w14:paraId="66C54281" w14:textId="77777777" w:rsidTr="00891DE1">
        <w:trPr>
          <w:trHeight w:val="410"/>
        </w:trPr>
        <w:tc>
          <w:tcPr>
            <w:tcW w:w="1427" w:type="dxa"/>
            <w:tcBorders>
              <w:top w:val="nil"/>
              <w:bottom w:val="single" w:sz="4" w:space="0" w:color="auto"/>
            </w:tcBorders>
            <w:shd w:val="clear" w:color="auto" w:fill="auto"/>
          </w:tcPr>
          <w:p w14:paraId="09050859"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single" w:sz="4" w:space="0" w:color="auto"/>
            </w:tcBorders>
            <w:shd w:val="clear" w:color="auto" w:fill="auto"/>
          </w:tcPr>
          <w:p w14:paraId="211DEDEA"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43CEA99" w14:textId="726A91EC"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auto"/>
              <w:bottom w:val="single" w:sz="4" w:space="0" w:color="auto"/>
            </w:tcBorders>
            <w:shd w:val="clear" w:color="auto" w:fill="auto"/>
          </w:tcPr>
          <w:p w14:paraId="0000B917" w14:textId="7D6CF834" w:rsidR="00A70030"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tcBorders>
              <w:top w:val="single" w:sz="4" w:space="0" w:color="auto"/>
              <w:bottom w:val="single" w:sz="4" w:space="0" w:color="auto"/>
            </w:tcBorders>
            <w:shd w:val="clear" w:color="auto" w:fill="auto"/>
          </w:tcPr>
          <w:p w14:paraId="36C9621A" w14:textId="587ACB44"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754196D6" w14:textId="77777777" w:rsidTr="00646CD8">
        <w:trPr>
          <w:trHeight w:val="490"/>
        </w:trPr>
        <w:tc>
          <w:tcPr>
            <w:tcW w:w="1427" w:type="dxa"/>
            <w:vMerge w:val="restart"/>
            <w:tcBorders>
              <w:top w:val="single" w:sz="4" w:space="0" w:color="auto"/>
            </w:tcBorders>
            <w:shd w:val="clear" w:color="auto" w:fill="auto"/>
          </w:tcPr>
          <w:p w14:paraId="2A7BD4EC" w14:textId="77777777" w:rsidR="00A70030" w:rsidRPr="003E2F3C" w:rsidRDefault="00A70030" w:rsidP="00073385">
            <w:pPr>
              <w:spacing w:before="60" w:after="60" w:line="240" w:lineRule="auto"/>
              <w:ind w:left="0"/>
              <w:rPr>
                <w:rFonts w:cs="Arial"/>
                <w:sz w:val="20"/>
                <w:szCs w:val="20"/>
              </w:rPr>
            </w:pPr>
            <w:r w:rsidRPr="003E2F3C">
              <w:rPr>
                <w:rFonts w:cs="Arial"/>
                <w:sz w:val="20"/>
                <w:szCs w:val="20"/>
              </w:rPr>
              <w:t>Seafood Industry Victoria (SIV)</w:t>
            </w:r>
          </w:p>
        </w:tc>
        <w:tc>
          <w:tcPr>
            <w:tcW w:w="1629" w:type="dxa"/>
            <w:vMerge w:val="restart"/>
            <w:tcBorders>
              <w:top w:val="single" w:sz="4" w:space="0" w:color="auto"/>
            </w:tcBorders>
            <w:shd w:val="clear" w:color="auto" w:fill="auto"/>
          </w:tcPr>
          <w:p w14:paraId="6BA42159" w14:textId="77777777" w:rsidR="00A70030" w:rsidRPr="00FF0808" w:rsidRDefault="00A70030" w:rsidP="00073385">
            <w:pPr>
              <w:spacing w:before="60" w:after="60" w:line="240" w:lineRule="auto"/>
              <w:ind w:left="0"/>
              <w:rPr>
                <w:rFonts w:cs="Arial"/>
                <w:sz w:val="20"/>
                <w:szCs w:val="20"/>
              </w:rPr>
            </w:pPr>
            <w:r>
              <w:rPr>
                <w:rFonts w:cs="Arial"/>
                <w:sz w:val="20"/>
                <w:szCs w:val="20"/>
              </w:rPr>
              <w:t>Represent all Victorian fishing licence holders, including fishermen with catch and effort history within and around proposed acquisition area</w:t>
            </w:r>
          </w:p>
        </w:tc>
        <w:tc>
          <w:tcPr>
            <w:tcW w:w="1055" w:type="dxa"/>
            <w:tcBorders>
              <w:top w:val="single" w:sz="4" w:space="0" w:color="auto"/>
              <w:bottom w:val="single" w:sz="4" w:space="0" w:color="auto"/>
            </w:tcBorders>
          </w:tcPr>
          <w:p w14:paraId="12A03557" w14:textId="77777777" w:rsidR="00A70030" w:rsidRDefault="00A70030" w:rsidP="00073385">
            <w:pPr>
              <w:spacing w:before="60" w:after="60" w:line="240" w:lineRule="auto"/>
              <w:ind w:left="0"/>
              <w:rPr>
                <w:rFonts w:cs="Arial"/>
                <w:sz w:val="20"/>
                <w:szCs w:val="20"/>
              </w:rPr>
            </w:pPr>
            <w:r>
              <w:rPr>
                <w:rFonts w:cs="Arial"/>
                <w:sz w:val="20"/>
                <w:szCs w:val="20"/>
              </w:rPr>
              <w:t>21/3/17</w:t>
            </w:r>
          </w:p>
          <w:p w14:paraId="272B1490"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3AC09681" w14:textId="77777777" w:rsidR="00A70030" w:rsidRDefault="00A70030" w:rsidP="00073385">
            <w:pPr>
              <w:spacing w:before="60" w:after="60" w:line="240" w:lineRule="auto"/>
              <w:ind w:left="0"/>
              <w:rPr>
                <w:rFonts w:cs="Arial"/>
                <w:sz w:val="20"/>
                <w:szCs w:val="20"/>
              </w:rPr>
            </w:pPr>
            <w:r>
              <w:rPr>
                <w:rFonts w:cs="Arial"/>
                <w:sz w:val="20"/>
                <w:szCs w:val="20"/>
              </w:rPr>
              <w:t>CarbonNet contacted SIV via post and email with a letter that invited feedback, requested a meeting and provided a fact sheet.</w:t>
            </w:r>
          </w:p>
        </w:tc>
        <w:tc>
          <w:tcPr>
            <w:tcW w:w="3802" w:type="dxa"/>
            <w:tcBorders>
              <w:top w:val="single" w:sz="4" w:space="0" w:color="auto"/>
              <w:bottom w:val="single" w:sz="4" w:space="0" w:color="auto"/>
            </w:tcBorders>
            <w:shd w:val="clear" w:color="auto" w:fill="auto"/>
          </w:tcPr>
          <w:p w14:paraId="095AA391" w14:textId="77777777" w:rsidR="00A70030" w:rsidRPr="00244D8F"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5B1ED891" w14:textId="77777777" w:rsidTr="00646CD8">
        <w:trPr>
          <w:trHeight w:val="490"/>
        </w:trPr>
        <w:tc>
          <w:tcPr>
            <w:tcW w:w="1427" w:type="dxa"/>
            <w:vMerge/>
            <w:shd w:val="clear" w:color="auto" w:fill="auto"/>
          </w:tcPr>
          <w:p w14:paraId="7044938A" w14:textId="77777777" w:rsidR="00A70030" w:rsidRPr="003E2F3C" w:rsidRDefault="00A70030" w:rsidP="00073385">
            <w:pPr>
              <w:spacing w:before="60" w:after="60" w:line="240" w:lineRule="auto"/>
              <w:ind w:left="0"/>
              <w:rPr>
                <w:rFonts w:cs="Arial"/>
                <w:sz w:val="20"/>
                <w:szCs w:val="20"/>
              </w:rPr>
            </w:pPr>
          </w:p>
        </w:tc>
        <w:tc>
          <w:tcPr>
            <w:tcW w:w="1629" w:type="dxa"/>
            <w:vMerge/>
            <w:shd w:val="clear" w:color="auto" w:fill="auto"/>
          </w:tcPr>
          <w:p w14:paraId="11DD0275"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66B3F694" w14:textId="77777777" w:rsidR="00A70030" w:rsidRDefault="00A70030" w:rsidP="00073385">
            <w:pPr>
              <w:spacing w:before="60" w:after="60" w:line="240" w:lineRule="auto"/>
              <w:ind w:left="0"/>
              <w:rPr>
                <w:rFonts w:cs="Arial"/>
                <w:sz w:val="20"/>
                <w:szCs w:val="20"/>
              </w:rPr>
            </w:pPr>
            <w:r>
              <w:rPr>
                <w:rFonts w:cs="Arial"/>
                <w:sz w:val="20"/>
                <w:szCs w:val="20"/>
              </w:rPr>
              <w:t>27/3/17</w:t>
            </w:r>
          </w:p>
          <w:p w14:paraId="21076ED3"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35334D13" w14:textId="77777777" w:rsidR="00A70030" w:rsidRDefault="00A70030" w:rsidP="00073385">
            <w:pPr>
              <w:spacing w:before="60" w:after="60" w:line="240" w:lineRule="auto"/>
              <w:ind w:left="0"/>
              <w:rPr>
                <w:rFonts w:cs="Arial"/>
                <w:sz w:val="20"/>
                <w:szCs w:val="20"/>
              </w:rPr>
            </w:pPr>
            <w:r>
              <w:rPr>
                <w:rFonts w:cs="Arial"/>
                <w:sz w:val="20"/>
                <w:szCs w:val="20"/>
              </w:rPr>
              <w:t xml:space="preserve">SIV emailed CarbonNet to confirm receipt of email and requested a time to meet. </w:t>
            </w:r>
          </w:p>
        </w:tc>
        <w:tc>
          <w:tcPr>
            <w:tcW w:w="3802" w:type="dxa"/>
            <w:tcBorders>
              <w:top w:val="single" w:sz="4" w:space="0" w:color="auto"/>
              <w:bottom w:val="single" w:sz="4" w:space="0" w:color="auto"/>
            </w:tcBorders>
            <w:shd w:val="clear" w:color="auto" w:fill="auto"/>
          </w:tcPr>
          <w:p w14:paraId="0C20A321" w14:textId="77777777" w:rsidR="00A70030" w:rsidRPr="00244D8F"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C3D10A0" w14:textId="77777777" w:rsidTr="00CE3085">
        <w:trPr>
          <w:trHeight w:val="490"/>
        </w:trPr>
        <w:tc>
          <w:tcPr>
            <w:tcW w:w="1427" w:type="dxa"/>
            <w:vMerge/>
            <w:tcBorders>
              <w:bottom w:val="nil"/>
            </w:tcBorders>
            <w:shd w:val="clear" w:color="auto" w:fill="auto"/>
          </w:tcPr>
          <w:p w14:paraId="496719A1" w14:textId="77777777" w:rsidR="00A70030" w:rsidRPr="003E2F3C"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134EFEFF"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58993761" w14:textId="77777777" w:rsidR="00A70030" w:rsidRDefault="00A70030" w:rsidP="00073385">
            <w:pPr>
              <w:spacing w:before="60" w:after="60" w:line="240" w:lineRule="auto"/>
              <w:ind w:left="0"/>
              <w:rPr>
                <w:rFonts w:cs="Arial"/>
                <w:sz w:val="20"/>
                <w:szCs w:val="20"/>
              </w:rPr>
            </w:pPr>
            <w:r>
              <w:rPr>
                <w:rFonts w:cs="Arial"/>
                <w:sz w:val="20"/>
                <w:szCs w:val="20"/>
              </w:rPr>
              <w:t>30/3/17</w:t>
            </w:r>
          </w:p>
        </w:tc>
        <w:tc>
          <w:tcPr>
            <w:tcW w:w="6335" w:type="dxa"/>
            <w:tcBorders>
              <w:top w:val="single" w:sz="4" w:space="0" w:color="auto"/>
              <w:bottom w:val="single" w:sz="4" w:space="0" w:color="auto"/>
            </w:tcBorders>
            <w:shd w:val="clear" w:color="auto" w:fill="auto"/>
          </w:tcPr>
          <w:p w14:paraId="08EE6DAB" w14:textId="77777777" w:rsidR="00A70030" w:rsidRPr="00C83C0E" w:rsidRDefault="00A70030" w:rsidP="00073385">
            <w:pPr>
              <w:spacing w:before="60" w:after="60" w:line="240" w:lineRule="auto"/>
              <w:ind w:left="0"/>
              <w:rPr>
                <w:rFonts w:cs="Arial"/>
                <w:sz w:val="20"/>
                <w:szCs w:val="20"/>
                <w:highlight w:val="yellow"/>
              </w:rPr>
            </w:pPr>
            <w:r w:rsidRPr="008E57E7">
              <w:rPr>
                <w:rFonts w:cs="Arial"/>
                <w:sz w:val="20"/>
                <w:szCs w:val="20"/>
              </w:rPr>
              <w:t>CarbonNet met with SIV at their office in West Melbourne to provide overview of the project and the MSS. SIV raised some initial concerns and issues, including recent studies on the impacts of seismic surveys, compensation to fishers, fishers getting forced out of their fishing grounds, avoiding spawning seasons and sound modelling.</w:t>
            </w:r>
          </w:p>
          <w:p w14:paraId="029337D7" w14:textId="02D183E8" w:rsidR="00A70030" w:rsidRDefault="00A70030" w:rsidP="00CE3085">
            <w:pPr>
              <w:spacing w:before="60" w:after="60" w:line="240" w:lineRule="auto"/>
              <w:ind w:left="0"/>
              <w:rPr>
                <w:rFonts w:cs="Arial"/>
                <w:sz w:val="20"/>
                <w:szCs w:val="20"/>
              </w:rPr>
            </w:pPr>
            <w:r>
              <w:rPr>
                <w:rFonts w:cs="Arial"/>
                <w:sz w:val="20"/>
                <w:szCs w:val="20"/>
              </w:rPr>
              <w:t>CarbonNet offered to meet again in late April/early May to continue discussions, possibly in Lakes Entrance.</w:t>
            </w:r>
          </w:p>
        </w:tc>
        <w:tc>
          <w:tcPr>
            <w:tcW w:w="3802" w:type="dxa"/>
            <w:tcBorders>
              <w:top w:val="single" w:sz="4" w:space="0" w:color="auto"/>
              <w:bottom w:val="single" w:sz="4" w:space="0" w:color="auto"/>
            </w:tcBorders>
            <w:shd w:val="clear" w:color="auto" w:fill="auto"/>
          </w:tcPr>
          <w:p w14:paraId="64D1DC2A" w14:textId="6522C0B0" w:rsidR="00A70030" w:rsidRDefault="00A70030" w:rsidP="00073385">
            <w:pPr>
              <w:keepNext/>
              <w:tabs>
                <w:tab w:val="left" w:pos="720"/>
              </w:tabs>
              <w:spacing w:before="60" w:after="60" w:line="240" w:lineRule="auto"/>
              <w:ind w:left="0"/>
              <w:outlineLvl w:val="1"/>
              <w:rPr>
                <w:rFonts w:cs="Arial"/>
                <w:sz w:val="20"/>
                <w:szCs w:val="20"/>
              </w:rPr>
            </w:pPr>
            <w:bookmarkStart w:id="137" w:name="_Toc496019635"/>
            <w:r w:rsidRPr="008E57E7">
              <w:rPr>
                <w:rFonts w:cs="Arial"/>
                <w:sz w:val="20"/>
                <w:szCs w:val="20"/>
              </w:rPr>
              <w:t xml:space="preserve">CarbonNet responded to all issues raised by SIV </w:t>
            </w:r>
            <w:r w:rsidRPr="00653AFA">
              <w:rPr>
                <w:rFonts w:cs="Arial"/>
                <w:sz w:val="20"/>
                <w:szCs w:val="20"/>
              </w:rPr>
              <w:t>in discussions over several meetings and via email on 4/8.</w:t>
            </w:r>
            <w:r w:rsidRPr="008E57E7">
              <w:rPr>
                <w:rFonts w:cs="Arial"/>
                <w:sz w:val="20"/>
                <w:szCs w:val="20"/>
              </w:rPr>
              <w:t xml:space="preserve"> (see </w:t>
            </w:r>
            <w:r>
              <w:rPr>
                <w:rFonts w:cs="Arial"/>
                <w:sz w:val="20"/>
                <w:szCs w:val="20"/>
              </w:rPr>
              <w:t>later in this table</w:t>
            </w:r>
            <w:r w:rsidRPr="008E57E7">
              <w:rPr>
                <w:rFonts w:cs="Arial"/>
                <w:sz w:val="20"/>
                <w:szCs w:val="20"/>
              </w:rPr>
              <w:t>).</w:t>
            </w:r>
            <w:bookmarkEnd w:id="137"/>
          </w:p>
          <w:p w14:paraId="61F825C7" w14:textId="77777777" w:rsidR="00A70030" w:rsidRDefault="00A70030" w:rsidP="00073385">
            <w:pPr>
              <w:spacing w:before="60" w:after="60" w:line="240" w:lineRule="auto"/>
              <w:ind w:left="0"/>
              <w:rPr>
                <w:rFonts w:cs="Arial"/>
                <w:sz w:val="20"/>
                <w:szCs w:val="20"/>
              </w:rPr>
            </w:pPr>
          </w:p>
          <w:p w14:paraId="07CE3111" w14:textId="77777777" w:rsidR="00A70030" w:rsidRPr="00244D8F" w:rsidRDefault="00A70030" w:rsidP="00073385">
            <w:pPr>
              <w:spacing w:before="60" w:after="60" w:line="240" w:lineRule="auto"/>
              <w:ind w:left="0"/>
              <w:rPr>
                <w:rFonts w:cs="Arial"/>
                <w:sz w:val="20"/>
                <w:szCs w:val="20"/>
              </w:rPr>
            </w:pPr>
          </w:p>
        </w:tc>
      </w:tr>
      <w:tr w:rsidR="00A70030" w:rsidRPr="00FF0808" w14:paraId="1A1FBCBE" w14:textId="77777777" w:rsidTr="00CE3085">
        <w:trPr>
          <w:trHeight w:val="490"/>
        </w:trPr>
        <w:tc>
          <w:tcPr>
            <w:tcW w:w="1427" w:type="dxa"/>
            <w:tcBorders>
              <w:top w:val="nil"/>
              <w:bottom w:val="nil"/>
            </w:tcBorders>
            <w:shd w:val="clear" w:color="auto" w:fill="auto"/>
          </w:tcPr>
          <w:p w14:paraId="1DB38D7D"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C47B334"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5B28D9C" w14:textId="77777777" w:rsidR="00A70030" w:rsidRDefault="00A70030" w:rsidP="00073385">
            <w:pPr>
              <w:spacing w:before="60" w:after="60" w:line="240" w:lineRule="auto"/>
              <w:ind w:left="0"/>
              <w:rPr>
                <w:rFonts w:cs="Arial"/>
                <w:sz w:val="20"/>
                <w:szCs w:val="20"/>
              </w:rPr>
            </w:pPr>
            <w:r>
              <w:rPr>
                <w:rFonts w:cs="Arial"/>
                <w:sz w:val="20"/>
                <w:szCs w:val="20"/>
              </w:rPr>
              <w:t>18/4/17</w:t>
            </w:r>
          </w:p>
        </w:tc>
        <w:tc>
          <w:tcPr>
            <w:tcW w:w="6335" w:type="dxa"/>
            <w:tcBorders>
              <w:top w:val="single" w:sz="4" w:space="0" w:color="auto"/>
              <w:bottom w:val="single" w:sz="4" w:space="0" w:color="auto"/>
            </w:tcBorders>
            <w:shd w:val="clear" w:color="auto" w:fill="auto"/>
          </w:tcPr>
          <w:p w14:paraId="1DEF6A99" w14:textId="77777777" w:rsidR="00A70030" w:rsidRDefault="00A70030" w:rsidP="00073385">
            <w:pPr>
              <w:spacing w:before="60" w:after="60" w:line="240" w:lineRule="auto"/>
              <w:ind w:left="0"/>
              <w:rPr>
                <w:rFonts w:cs="Arial"/>
                <w:sz w:val="20"/>
                <w:szCs w:val="20"/>
              </w:rPr>
            </w:pPr>
            <w:r>
              <w:rPr>
                <w:rFonts w:cs="Arial"/>
                <w:sz w:val="20"/>
                <w:szCs w:val="20"/>
              </w:rPr>
              <w:t>CarbonNet emailed SIV to schedule next meeting.</w:t>
            </w:r>
          </w:p>
        </w:tc>
        <w:tc>
          <w:tcPr>
            <w:tcW w:w="3802" w:type="dxa"/>
            <w:tcBorders>
              <w:top w:val="single" w:sz="4" w:space="0" w:color="auto"/>
              <w:bottom w:val="single" w:sz="4" w:space="0" w:color="auto"/>
            </w:tcBorders>
            <w:shd w:val="clear" w:color="auto" w:fill="auto"/>
          </w:tcPr>
          <w:p w14:paraId="04D929A8" w14:textId="77777777" w:rsidR="00A70030" w:rsidRPr="00244D8F"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5C3ED69A" w14:textId="77777777" w:rsidTr="00CE3085">
        <w:trPr>
          <w:trHeight w:val="490"/>
        </w:trPr>
        <w:tc>
          <w:tcPr>
            <w:tcW w:w="1427" w:type="dxa"/>
            <w:tcBorders>
              <w:top w:val="nil"/>
              <w:bottom w:val="nil"/>
            </w:tcBorders>
            <w:shd w:val="clear" w:color="auto" w:fill="auto"/>
          </w:tcPr>
          <w:p w14:paraId="4E988D07"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D6734BC"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B5EFF6B" w14:textId="77777777" w:rsidR="00A70030" w:rsidRDefault="00A70030" w:rsidP="00073385">
            <w:pPr>
              <w:spacing w:before="60" w:after="60" w:line="240" w:lineRule="auto"/>
              <w:ind w:left="0"/>
              <w:rPr>
                <w:rFonts w:cs="Arial"/>
                <w:sz w:val="20"/>
                <w:szCs w:val="20"/>
              </w:rPr>
            </w:pPr>
            <w:r>
              <w:rPr>
                <w:rFonts w:cs="Arial"/>
                <w:sz w:val="20"/>
                <w:szCs w:val="20"/>
              </w:rPr>
              <w:t>19/4/17</w:t>
            </w:r>
          </w:p>
        </w:tc>
        <w:tc>
          <w:tcPr>
            <w:tcW w:w="6335" w:type="dxa"/>
            <w:tcBorders>
              <w:top w:val="single" w:sz="4" w:space="0" w:color="auto"/>
              <w:bottom w:val="single" w:sz="4" w:space="0" w:color="auto"/>
            </w:tcBorders>
            <w:shd w:val="clear" w:color="auto" w:fill="auto"/>
          </w:tcPr>
          <w:p w14:paraId="56796DA8" w14:textId="77777777" w:rsidR="00A70030" w:rsidRPr="0006381D" w:rsidRDefault="00A70030" w:rsidP="00073385">
            <w:pPr>
              <w:spacing w:before="60" w:after="60" w:line="240" w:lineRule="auto"/>
              <w:ind w:left="0"/>
              <w:rPr>
                <w:rFonts w:cs="Arial"/>
                <w:sz w:val="20"/>
                <w:szCs w:val="20"/>
              </w:rPr>
            </w:pPr>
            <w:r>
              <w:rPr>
                <w:rFonts w:cs="Arial"/>
                <w:sz w:val="20"/>
                <w:szCs w:val="20"/>
              </w:rPr>
              <w:t xml:space="preserve">CarbonNet received a phone call from SIV saying they are unavailable for a meeting until mid-May. SIV would like to convene a meeting in Lakes Entrance with all </w:t>
            </w:r>
            <w:r w:rsidRPr="0006381D">
              <w:rPr>
                <w:rFonts w:cs="Arial"/>
                <w:sz w:val="20"/>
                <w:szCs w:val="20"/>
              </w:rPr>
              <w:t>stakeholder groups (</w:t>
            </w:r>
            <w:r>
              <w:rPr>
                <w:rFonts w:cs="Arial"/>
                <w:sz w:val="20"/>
                <w:szCs w:val="20"/>
              </w:rPr>
              <w:t xml:space="preserve">including </w:t>
            </w:r>
            <w:r w:rsidRPr="0006381D">
              <w:rPr>
                <w:rFonts w:cs="Arial"/>
                <w:sz w:val="20"/>
                <w:szCs w:val="20"/>
              </w:rPr>
              <w:t xml:space="preserve">CFA, SETFIA and LEFCOL) to maintain an 'open and transparent' consultation process. </w:t>
            </w:r>
            <w:r>
              <w:rPr>
                <w:rFonts w:cs="Arial"/>
                <w:sz w:val="20"/>
                <w:szCs w:val="20"/>
              </w:rPr>
              <w:t>CarbonNet said it is consulting all relevant stakeholders and want to ensure everyone has the chance to have their say on issues relevant to them, so would not adopt this approach but willing to have SIV attend meetings with their members.</w:t>
            </w:r>
          </w:p>
          <w:p w14:paraId="0B70B24E" w14:textId="77777777" w:rsidR="00A70030" w:rsidRDefault="00A70030" w:rsidP="00073385">
            <w:pPr>
              <w:spacing w:before="60" w:after="60" w:line="240" w:lineRule="auto"/>
              <w:ind w:left="0"/>
              <w:rPr>
                <w:rFonts w:cs="Arial"/>
                <w:sz w:val="20"/>
                <w:szCs w:val="20"/>
              </w:rPr>
            </w:pPr>
            <w:r>
              <w:rPr>
                <w:rFonts w:cs="Arial"/>
                <w:sz w:val="20"/>
                <w:szCs w:val="20"/>
              </w:rPr>
              <w:t xml:space="preserve">SIV also mentioned it would need to run a </w:t>
            </w:r>
            <w:r w:rsidRPr="0006381D">
              <w:rPr>
                <w:rFonts w:cs="Arial"/>
                <w:sz w:val="20"/>
                <w:szCs w:val="20"/>
              </w:rPr>
              <w:t>consultation process with its members (</w:t>
            </w:r>
            <w:r>
              <w:rPr>
                <w:rFonts w:cs="Arial"/>
                <w:sz w:val="20"/>
                <w:szCs w:val="20"/>
              </w:rPr>
              <w:t xml:space="preserve">including </w:t>
            </w:r>
            <w:r w:rsidRPr="0006381D">
              <w:rPr>
                <w:rFonts w:cs="Arial"/>
                <w:sz w:val="20"/>
                <w:szCs w:val="20"/>
              </w:rPr>
              <w:t>those registered to fish for lobster/scallop in Victoria) on a fee-for-service basis</w:t>
            </w:r>
            <w:r>
              <w:rPr>
                <w:rFonts w:cs="Arial"/>
                <w:sz w:val="20"/>
                <w:szCs w:val="20"/>
              </w:rPr>
              <w:t xml:space="preserve"> from CarbonNet.</w:t>
            </w:r>
          </w:p>
          <w:p w14:paraId="7D751FDE" w14:textId="77777777" w:rsidR="00A70030" w:rsidRDefault="00A70030" w:rsidP="00073385">
            <w:pPr>
              <w:spacing w:before="60" w:after="60" w:line="240" w:lineRule="auto"/>
              <w:ind w:left="0"/>
              <w:rPr>
                <w:rFonts w:cs="Arial"/>
                <w:sz w:val="20"/>
                <w:szCs w:val="20"/>
              </w:rPr>
            </w:pPr>
            <w:r>
              <w:rPr>
                <w:rFonts w:cs="Arial"/>
                <w:sz w:val="20"/>
                <w:szCs w:val="20"/>
              </w:rPr>
              <w:t>SIV commented that they were unaware that CarbonNet was calling for formal responses to the MSS. CarbonNet said it is and is keen to obtain input from SIV.</w:t>
            </w:r>
          </w:p>
        </w:tc>
        <w:tc>
          <w:tcPr>
            <w:tcW w:w="3802" w:type="dxa"/>
            <w:tcBorders>
              <w:top w:val="single" w:sz="4" w:space="0" w:color="auto"/>
              <w:bottom w:val="single" w:sz="4" w:space="0" w:color="auto"/>
            </w:tcBorders>
            <w:shd w:val="clear" w:color="auto" w:fill="auto"/>
          </w:tcPr>
          <w:p w14:paraId="11547712" w14:textId="77777777" w:rsidR="00A70030" w:rsidRDefault="00A70030" w:rsidP="00073385">
            <w:pPr>
              <w:spacing w:before="60" w:after="60" w:line="240" w:lineRule="auto"/>
              <w:ind w:left="0"/>
              <w:rPr>
                <w:rFonts w:cs="Arial"/>
                <w:sz w:val="20"/>
                <w:szCs w:val="20"/>
              </w:rPr>
            </w:pPr>
            <w:r>
              <w:rPr>
                <w:rFonts w:cs="Arial"/>
                <w:sz w:val="20"/>
                <w:szCs w:val="20"/>
              </w:rPr>
              <w:t xml:space="preserve">CarbonNet stated it is consulting all fishing industry stakeholders and is willing to have SIV attend meetings with their members. </w:t>
            </w:r>
          </w:p>
          <w:p w14:paraId="7068A4E9" w14:textId="77777777" w:rsidR="00A70030" w:rsidRDefault="00A70030" w:rsidP="00073385">
            <w:pPr>
              <w:spacing w:before="60" w:after="60" w:line="240" w:lineRule="auto"/>
              <w:ind w:left="0"/>
              <w:rPr>
                <w:rFonts w:cs="Arial"/>
                <w:sz w:val="20"/>
                <w:szCs w:val="20"/>
              </w:rPr>
            </w:pPr>
          </w:p>
          <w:p w14:paraId="798B6166" w14:textId="77777777" w:rsidR="00A70030" w:rsidRDefault="00A70030" w:rsidP="00073385">
            <w:pPr>
              <w:spacing w:before="60" w:after="60" w:line="240" w:lineRule="auto"/>
              <w:ind w:left="0"/>
              <w:rPr>
                <w:rFonts w:cs="Arial"/>
                <w:sz w:val="20"/>
                <w:szCs w:val="20"/>
              </w:rPr>
            </w:pPr>
          </w:p>
          <w:p w14:paraId="73246F53" w14:textId="77777777" w:rsidR="00A70030" w:rsidRDefault="00A70030" w:rsidP="00073385">
            <w:pPr>
              <w:spacing w:before="60" w:after="60" w:line="240" w:lineRule="auto"/>
              <w:ind w:left="0"/>
              <w:rPr>
                <w:rFonts w:cs="Arial"/>
                <w:sz w:val="20"/>
                <w:szCs w:val="20"/>
              </w:rPr>
            </w:pPr>
            <w:r>
              <w:rPr>
                <w:rFonts w:cs="Arial"/>
                <w:sz w:val="20"/>
                <w:szCs w:val="20"/>
              </w:rPr>
              <w:t>CarbonNet declined to respond to the request from SIV to be paid to consult its members.</w:t>
            </w:r>
          </w:p>
          <w:p w14:paraId="57CFCB4C" w14:textId="77777777" w:rsidR="00A70030" w:rsidRDefault="00A70030" w:rsidP="00073385">
            <w:pPr>
              <w:spacing w:before="60" w:after="60" w:line="240" w:lineRule="auto"/>
              <w:ind w:left="0"/>
              <w:rPr>
                <w:rFonts w:cs="Arial"/>
                <w:sz w:val="20"/>
                <w:szCs w:val="20"/>
              </w:rPr>
            </w:pPr>
          </w:p>
          <w:p w14:paraId="59B6FE18" w14:textId="77777777" w:rsidR="00A70030" w:rsidRPr="0003651D" w:rsidRDefault="00A70030" w:rsidP="00073385">
            <w:pPr>
              <w:spacing w:before="60" w:after="60" w:line="240" w:lineRule="auto"/>
              <w:ind w:left="0"/>
              <w:rPr>
                <w:rFonts w:cs="Arial"/>
                <w:sz w:val="20"/>
                <w:szCs w:val="20"/>
              </w:rPr>
            </w:pPr>
          </w:p>
        </w:tc>
      </w:tr>
      <w:tr w:rsidR="00A70030" w:rsidRPr="00FF0808" w14:paraId="410D7424" w14:textId="77777777" w:rsidTr="00CE3085">
        <w:trPr>
          <w:trHeight w:val="490"/>
        </w:trPr>
        <w:tc>
          <w:tcPr>
            <w:tcW w:w="1427" w:type="dxa"/>
            <w:tcBorders>
              <w:top w:val="nil"/>
              <w:bottom w:val="nil"/>
            </w:tcBorders>
            <w:shd w:val="clear" w:color="auto" w:fill="auto"/>
          </w:tcPr>
          <w:p w14:paraId="71BBC3C2"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B51E64F"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FFD2FB4" w14:textId="77777777" w:rsidR="00A70030" w:rsidRDefault="00A70030" w:rsidP="00073385">
            <w:pPr>
              <w:spacing w:before="60" w:after="60" w:line="240" w:lineRule="auto"/>
              <w:ind w:left="0"/>
              <w:rPr>
                <w:rFonts w:cs="Arial"/>
                <w:sz w:val="20"/>
                <w:szCs w:val="20"/>
              </w:rPr>
            </w:pPr>
            <w:r>
              <w:rPr>
                <w:rFonts w:cs="Arial"/>
                <w:sz w:val="20"/>
                <w:szCs w:val="20"/>
              </w:rPr>
              <w:t>21/4/17</w:t>
            </w:r>
          </w:p>
        </w:tc>
        <w:tc>
          <w:tcPr>
            <w:tcW w:w="6335" w:type="dxa"/>
            <w:tcBorders>
              <w:top w:val="single" w:sz="4" w:space="0" w:color="auto"/>
              <w:bottom w:val="single" w:sz="4" w:space="0" w:color="auto"/>
            </w:tcBorders>
            <w:shd w:val="clear" w:color="auto" w:fill="auto"/>
          </w:tcPr>
          <w:p w14:paraId="4F1BDF69" w14:textId="77777777" w:rsidR="00A70030" w:rsidRDefault="00A70030" w:rsidP="00073385">
            <w:pPr>
              <w:spacing w:before="60" w:after="60" w:line="240" w:lineRule="auto"/>
              <w:ind w:left="0"/>
              <w:rPr>
                <w:rFonts w:cs="Arial"/>
                <w:sz w:val="20"/>
                <w:szCs w:val="20"/>
              </w:rPr>
            </w:pPr>
            <w:r>
              <w:rPr>
                <w:rFonts w:cs="Arial"/>
                <w:sz w:val="20"/>
                <w:szCs w:val="20"/>
              </w:rPr>
              <w:t xml:space="preserve">CarbonNet phoned SIV to confirm the next meeting in May. </w:t>
            </w:r>
          </w:p>
          <w:p w14:paraId="7B56A2DF" w14:textId="77777777" w:rsidR="00A70030" w:rsidRDefault="00A70030" w:rsidP="00073385">
            <w:pPr>
              <w:spacing w:before="60" w:after="60" w:line="240" w:lineRule="auto"/>
              <w:ind w:left="0"/>
              <w:rPr>
                <w:rFonts w:cs="Arial"/>
                <w:sz w:val="20"/>
                <w:szCs w:val="20"/>
              </w:rPr>
            </w:pPr>
            <w:r>
              <w:rPr>
                <w:rFonts w:cs="Arial"/>
                <w:sz w:val="20"/>
                <w:szCs w:val="20"/>
              </w:rPr>
              <w:t>SIV commented that without receiving funding to consult its members, the level of feedback will be ‘high level’, including:</w:t>
            </w:r>
          </w:p>
          <w:p w14:paraId="45B33C26" w14:textId="77777777" w:rsidR="00A70030" w:rsidRDefault="00A70030" w:rsidP="00073385">
            <w:pPr>
              <w:pStyle w:val="ListParagraph0"/>
              <w:numPr>
                <w:ilvl w:val="0"/>
                <w:numId w:val="471"/>
              </w:numPr>
              <w:spacing w:before="60" w:after="60" w:line="240" w:lineRule="auto"/>
              <w:rPr>
                <w:rFonts w:cs="Arial"/>
                <w:sz w:val="20"/>
                <w:szCs w:val="20"/>
              </w:rPr>
            </w:pPr>
            <w:r>
              <w:rPr>
                <w:rFonts w:cs="Arial"/>
                <w:sz w:val="20"/>
                <w:szCs w:val="20"/>
              </w:rPr>
              <w:t>Ensuring compensation is on the table as an option.</w:t>
            </w:r>
          </w:p>
          <w:p w14:paraId="0817504E" w14:textId="77777777" w:rsidR="00A70030" w:rsidRDefault="00A70030" w:rsidP="00073385">
            <w:pPr>
              <w:pStyle w:val="ListParagraph0"/>
              <w:numPr>
                <w:ilvl w:val="0"/>
                <w:numId w:val="471"/>
              </w:numPr>
              <w:spacing w:before="60" w:after="60" w:line="240" w:lineRule="auto"/>
              <w:rPr>
                <w:rFonts w:cs="Arial"/>
                <w:sz w:val="20"/>
                <w:szCs w:val="20"/>
              </w:rPr>
            </w:pPr>
            <w:r>
              <w:rPr>
                <w:rFonts w:cs="Arial"/>
                <w:sz w:val="20"/>
                <w:szCs w:val="20"/>
              </w:rPr>
              <w:t>Rebuilding strategies for impacted fisheries.</w:t>
            </w:r>
          </w:p>
          <w:p w14:paraId="0170734B" w14:textId="77777777" w:rsidR="00A70030" w:rsidRDefault="00A70030" w:rsidP="00073385">
            <w:pPr>
              <w:spacing w:before="60" w:after="60" w:line="240" w:lineRule="auto"/>
              <w:rPr>
                <w:rFonts w:cs="Arial"/>
                <w:sz w:val="20"/>
                <w:szCs w:val="20"/>
              </w:rPr>
            </w:pPr>
          </w:p>
          <w:p w14:paraId="5203A524" w14:textId="77777777" w:rsidR="00A70030" w:rsidRDefault="00A70030" w:rsidP="00073385">
            <w:pPr>
              <w:spacing w:before="60" w:after="60" w:line="240" w:lineRule="auto"/>
              <w:ind w:left="0"/>
              <w:rPr>
                <w:rFonts w:cs="Arial"/>
                <w:sz w:val="20"/>
                <w:szCs w:val="20"/>
              </w:rPr>
            </w:pPr>
            <w:r>
              <w:rPr>
                <w:rFonts w:cs="Arial"/>
                <w:sz w:val="20"/>
                <w:szCs w:val="20"/>
              </w:rPr>
              <w:t>CarbonNet also confirmed it is meeting LEFCOL and SETFIA in Lakes Entrance and will assess the need for further meetings (joint or one-on-one) after that time.</w:t>
            </w:r>
          </w:p>
        </w:tc>
        <w:tc>
          <w:tcPr>
            <w:tcW w:w="3802" w:type="dxa"/>
            <w:tcBorders>
              <w:top w:val="single" w:sz="4" w:space="0" w:color="auto"/>
              <w:bottom w:val="single" w:sz="4" w:space="0" w:color="auto"/>
            </w:tcBorders>
            <w:shd w:val="clear" w:color="auto" w:fill="auto"/>
          </w:tcPr>
          <w:p w14:paraId="70E325F3" w14:textId="3ABE040B" w:rsidR="00A70030" w:rsidRDefault="00A70030" w:rsidP="00073385">
            <w:pPr>
              <w:spacing w:before="60" w:after="60" w:line="240" w:lineRule="auto"/>
              <w:ind w:left="0"/>
              <w:rPr>
                <w:rFonts w:cs="Arial"/>
                <w:sz w:val="20"/>
                <w:szCs w:val="20"/>
              </w:rPr>
            </w:pPr>
            <w:r>
              <w:rPr>
                <w:rFonts w:cs="Arial"/>
                <w:sz w:val="20"/>
                <w:szCs w:val="20"/>
              </w:rPr>
              <w:t>N/A</w:t>
            </w:r>
          </w:p>
          <w:p w14:paraId="5533D8B5" w14:textId="77777777" w:rsidR="00A70030" w:rsidRPr="0003651D" w:rsidRDefault="00A70030" w:rsidP="00073385">
            <w:pPr>
              <w:spacing w:before="60" w:after="60" w:line="240" w:lineRule="auto"/>
              <w:ind w:left="0"/>
              <w:rPr>
                <w:rFonts w:cs="Arial"/>
                <w:sz w:val="20"/>
                <w:szCs w:val="20"/>
              </w:rPr>
            </w:pPr>
          </w:p>
        </w:tc>
      </w:tr>
      <w:tr w:rsidR="00A70030" w:rsidRPr="00FF0808" w14:paraId="722D5E42" w14:textId="77777777" w:rsidTr="00CE3085">
        <w:trPr>
          <w:trHeight w:val="490"/>
        </w:trPr>
        <w:tc>
          <w:tcPr>
            <w:tcW w:w="1427" w:type="dxa"/>
            <w:tcBorders>
              <w:top w:val="nil"/>
              <w:bottom w:val="nil"/>
            </w:tcBorders>
            <w:shd w:val="clear" w:color="auto" w:fill="auto"/>
          </w:tcPr>
          <w:p w14:paraId="3C2D617E"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4020580"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C99DA76" w14:textId="77777777" w:rsidR="00A70030" w:rsidRDefault="00A70030" w:rsidP="00073385">
            <w:pPr>
              <w:spacing w:before="60" w:after="60" w:line="240" w:lineRule="auto"/>
              <w:ind w:left="0"/>
              <w:rPr>
                <w:rFonts w:cs="Arial"/>
                <w:sz w:val="20"/>
                <w:szCs w:val="20"/>
              </w:rPr>
            </w:pPr>
            <w:r>
              <w:rPr>
                <w:rFonts w:cs="Arial"/>
                <w:sz w:val="20"/>
                <w:szCs w:val="20"/>
              </w:rPr>
              <w:t>3/5/17</w:t>
            </w:r>
          </w:p>
        </w:tc>
        <w:tc>
          <w:tcPr>
            <w:tcW w:w="6335" w:type="dxa"/>
            <w:tcBorders>
              <w:top w:val="single" w:sz="4" w:space="0" w:color="auto"/>
              <w:bottom w:val="single" w:sz="4" w:space="0" w:color="auto"/>
            </w:tcBorders>
            <w:shd w:val="clear" w:color="auto" w:fill="auto"/>
          </w:tcPr>
          <w:p w14:paraId="611EA18A" w14:textId="21EC9037" w:rsidR="00A70030" w:rsidRDefault="00A70030" w:rsidP="00073385">
            <w:pPr>
              <w:spacing w:before="60" w:after="60" w:line="240" w:lineRule="auto"/>
              <w:ind w:left="0"/>
              <w:rPr>
                <w:rFonts w:cs="Arial"/>
                <w:sz w:val="20"/>
                <w:szCs w:val="20"/>
              </w:rPr>
            </w:pPr>
            <w:r>
              <w:rPr>
                <w:rFonts w:cs="Arial"/>
                <w:sz w:val="20"/>
                <w:szCs w:val="20"/>
              </w:rPr>
              <w:t>SIV requested a map of the MSS area with the VFA catch and effort grid overlaid on it.</w:t>
            </w:r>
          </w:p>
        </w:tc>
        <w:tc>
          <w:tcPr>
            <w:tcW w:w="3802" w:type="dxa"/>
            <w:tcBorders>
              <w:top w:val="single" w:sz="4" w:space="0" w:color="auto"/>
              <w:bottom w:val="single" w:sz="4" w:space="0" w:color="auto"/>
            </w:tcBorders>
            <w:shd w:val="clear" w:color="auto" w:fill="auto"/>
          </w:tcPr>
          <w:p w14:paraId="6F282557" w14:textId="77777777" w:rsidR="00A70030" w:rsidRPr="0003651D" w:rsidRDefault="00A70030" w:rsidP="00073385">
            <w:pPr>
              <w:spacing w:before="60" w:after="60" w:line="240" w:lineRule="auto"/>
              <w:ind w:left="0"/>
              <w:rPr>
                <w:rFonts w:cs="Arial"/>
                <w:sz w:val="20"/>
                <w:szCs w:val="20"/>
              </w:rPr>
            </w:pPr>
            <w:r>
              <w:rPr>
                <w:rFonts w:cs="Arial"/>
                <w:sz w:val="20"/>
                <w:szCs w:val="20"/>
              </w:rPr>
              <w:t>CarbonNet issued this map on 3/5/17.</w:t>
            </w:r>
          </w:p>
        </w:tc>
      </w:tr>
      <w:tr w:rsidR="00A70030" w:rsidRPr="00FF0808" w14:paraId="01B69533" w14:textId="77777777" w:rsidTr="00CE3085">
        <w:trPr>
          <w:trHeight w:val="490"/>
        </w:trPr>
        <w:tc>
          <w:tcPr>
            <w:tcW w:w="1427" w:type="dxa"/>
            <w:tcBorders>
              <w:top w:val="nil"/>
              <w:bottom w:val="nil"/>
            </w:tcBorders>
            <w:shd w:val="clear" w:color="auto" w:fill="auto"/>
          </w:tcPr>
          <w:p w14:paraId="5185FA25"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1BDA3423"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D0EDC43" w14:textId="77777777" w:rsidR="00A70030" w:rsidRDefault="00A70030" w:rsidP="00073385">
            <w:pPr>
              <w:spacing w:before="60" w:after="60" w:line="240" w:lineRule="auto"/>
              <w:ind w:left="0"/>
              <w:rPr>
                <w:rFonts w:cs="Arial"/>
                <w:sz w:val="20"/>
                <w:szCs w:val="20"/>
              </w:rPr>
            </w:pPr>
            <w:r>
              <w:rPr>
                <w:rFonts w:cs="Arial"/>
                <w:sz w:val="20"/>
                <w:szCs w:val="20"/>
              </w:rPr>
              <w:t>11/5/17</w:t>
            </w:r>
          </w:p>
        </w:tc>
        <w:tc>
          <w:tcPr>
            <w:tcW w:w="6335" w:type="dxa"/>
            <w:tcBorders>
              <w:top w:val="single" w:sz="4" w:space="0" w:color="auto"/>
              <w:bottom w:val="single" w:sz="4" w:space="0" w:color="auto"/>
            </w:tcBorders>
            <w:shd w:val="clear" w:color="auto" w:fill="auto"/>
          </w:tcPr>
          <w:p w14:paraId="5E24BCFF" w14:textId="77777777" w:rsidR="00A70030" w:rsidRDefault="00A70030" w:rsidP="00073385">
            <w:pPr>
              <w:spacing w:before="60" w:after="60" w:line="240" w:lineRule="auto"/>
              <w:ind w:left="0"/>
              <w:rPr>
                <w:rFonts w:cs="Arial"/>
                <w:sz w:val="20"/>
                <w:szCs w:val="20"/>
              </w:rPr>
            </w:pPr>
            <w:r>
              <w:rPr>
                <w:rFonts w:cs="Arial"/>
                <w:sz w:val="20"/>
                <w:szCs w:val="20"/>
              </w:rPr>
              <w:t>CarbonNet sent SIV an email including:</w:t>
            </w:r>
          </w:p>
          <w:p w14:paraId="4273677E" w14:textId="77777777" w:rsidR="00A70030" w:rsidRPr="00D328F5" w:rsidRDefault="00A70030" w:rsidP="00073385">
            <w:pPr>
              <w:pStyle w:val="ListParagraph0"/>
              <w:numPr>
                <w:ilvl w:val="0"/>
                <w:numId w:val="472"/>
              </w:numPr>
              <w:spacing w:before="60" w:after="60" w:line="240" w:lineRule="auto"/>
              <w:rPr>
                <w:rFonts w:cs="Arial"/>
                <w:sz w:val="20"/>
                <w:szCs w:val="20"/>
              </w:rPr>
            </w:pPr>
            <w:r>
              <w:rPr>
                <w:rFonts w:cs="Arial"/>
                <w:sz w:val="20"/>
                <w:szCs w:val="20"/>
              </w:rPr>
              <w:t>S</w:t>
            </w:r>
            <w:r w:rsidRPr="00D328F5">
              <w:rPr>
                <w:rFonts w:cs="Arial"/>
                <w:sz w:val="20"/>
                <w:szCs w:val="20"/>
              </w:rPr>
              <w:t xml:space="preserve">ummary of </w:t>
            </w:r>
            <w:r>
              <w:rPr>
                <w:rFonts w:cs="Arial"/>
                <w:sz w:val="20"/>
                <w:szCs w:val="20"/>
              </w:rPr>
              <w:t>environmental habitat assessment study</w:t>
            </w:r>
            <w:r w:rsidRPr="00D328F5">
              <w:rPr>
                <w:rFonts w:cs="Arial"/>
                <w:sz w:val="20"/>
                <w:szCs w:val="20"/>
              </w:rPr>
              <w:t xml:space="preserve"> and map </w:t>
            </w:r>
            <w:r>
              <w:rPr>
                <w:rFonts w:cs="Arial"/>
                <w:sz w:val="20"/>
                <w:szCs w:val="20"/>
              </w:rPr>
              <w:t>of where observations were made.</w:t>
            </w:r>
          </w:p>
          <w:p w14:paraId="605612FB" w14:textId="77777777" w:rsidR="00A70030" w:rsidRPr="00D328F5" w:rsidRDefault="00A70030" w:rsidP="00073385">
            <w:pPr>
              <w:pStyle w:val="ListParagraph0"/>
              <w:numPr>
                <w:ilvl w:val="0"/>
                <w:numId w:val="472"/>
              </w:numPr>
              <w:spacing w:before="60" w:after="60" w:line="240" w:lineRule="auto"/>
              <w:rPr>
                <w:rFonts w:cs="Arial"/>
                <w:sz w:val="20"/>
                <w:szCs w:val="20"/>
              </w:rPr>
            </w:pPr>
            <w:r>
              <w:rPr>
                <w:rFonts w:cs="Arial"/>
                <w:sz w:val="20"/>
                <w:szCs w:val="20"/>
              </w:rPr>
              <w:t>R</w:t>
            </w:r>
            <w:r w:rsidRPr="00D328F5">
              <w:rPr>
                <w:rFonts w:cs="Arial"/>
                <w:sz w:val="20"/>
                <w:szCs w:val="20"/>
              </w:rPr>
              <w:t>equest to clarify which groups represent which stakeholders</w:t>
            </w:r>
            <w:r>
              <w:rPr>
                <w:rFonts w:cs="Arial"/>
                <w:sz w:val="20"/>
                <w:szCs w:val="20"/>
              </w:rPr>
              <w:t>.</w:t>
            </w:r>
            <w:r w:rsidRPr="00D328F5">
              <w:rPr>
                <w:rFonts w:cs="Arial"/>
                <w:sz w:val="20"/>
                <w:szCs w:val="20"/>
              </w:rPr>
              <w:t xml:space="preserve"> </w:t>
            </w:r>
          </w:p>
          <w:p w14:paraId="180D67CB" w14:textId="36C3CEF7" w:rsidR="00A70030" w:rsidRPr="00CE3085" w:rsidRDefault="00A70030" w:rsidP="00CE3085">
            <w:pPr>
              <w:pStyle w:val="ListParagraph0"/>
              <w:numPr>
                <w:ilvl w:val="0"/>
                <w:numId w:val="472"/>
              </w:numPr>
              <w:spacing w:before="60" w:after="60" w:line="240" w:lineRule="auto"/>
              <w:rPr>
                <w:rFonts w:cs="Arial"/>
                <w:sz w:val="20"/>
                <w:szCs w:val="20"/>
              </w:rPr>
            </w:pPr>
            <w:r>
              <w:rPr>
                <w:rFonts w:cs="Arial"/>
                <w:sz w:val="20"/>
                <w:szCs w:val="20"/>
              </w:rPr>
              <w:t>R</w:t>
            </w:r>
            <w:r w:rsidRPr="00D328F5">
              <w:rPr>
                <w:rFonts w:cs="Arial"/>
                <w:sz w:val="20"/>
                <w:szCs w:val="20"/>
              </w:rPr>
              <w:t>equest for further information to inform assessment process</w:t>
            </w:r>
            <w:r>
              <w:rPr>
                <w:rFonts w:cs="Arial"/>
                <w:sz w:val="20"/>
                <w:szCs w:val="20"/>
              </w:rPr>
              <w:t>.</w:t>
            </w:r>
          </w:p>
        </w:tc>
        <w:tc>
          <w:tcPr>
            <w:tcW w:w="3802" w:type="dxa"/>
            <w:tcBorders>
              <w:top w:val="single" w:sz="4" w:space="0" w:color="auto"/>
              <w:bottom w:val="single" w:sz="4" w:space="0" w:color="auto"/>
            </w:tcBorders>
            <w:shd w:val="clear" w:color="auto" w:fill="auto"/>
          </w:tcPr>
          <w:p w14:paraId="55538F8A" w14:textId="77777777" w:rsidR="00A70030" w:rsidRPr="0003651D"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72133611" w14:textId="77777777" w:rsidTr="00CE3085">
        <w:trPr>
          <w:trHeight w:val="490"/>
        </w:trPr>
        <w:tc>
          <w:tcPr>
            <w:tcW w:w="1427" w:type="dxa"/>
            <w:tcBorders>
              <w:top w:val="nil"/>
              <w:bottom w:val="nil"/>
            </w:tcBorders>
            <w:shd w:val="clear" w:color="auto" w:fill="auto"/>
          </w:tcPr>
          <w:p w14:paraId="548686DD"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7F0B51D"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860E86E" w14:textId="77777777" w:rsidR="00A70030" w:rsidRDefault="00A70030" w:rsidP="00073385">
            <w:pPr>
              <w:spacing w:before="60" w:after="60" w:line="240" w:lineRule="auto"/>
              <w:ind w:left="0"/>
              <w:rPr>
                <w:rFonts w:cs="Arial"/>
                <w:sz w:val="20"/>
                <w:szCs w:val="20"/>
              </w:rPr>
            </w:pPr>
            <w:r>
              <w:rPr>
                <w:rFonts w:cs="Arial"/>
                <w:sz w:val="20"/>
                <w:szCs w:val="20"/>
              </w:rPr>
              <w:t>11/5/17</w:t>
            </w:r>
          </w:p>
        </w:tc>
        <w:tc>
          <w:tcPr>
            <w:tcW w:w="6335" w:type="dxa"/>
            <w:tcBorders>
              <w:top w:val="single" w:sz="4" w:space="0" w:color="auto"/>
              <w:bottom w:val="single" w:sz="4" w:space="0" w:color="auto"/>
            </w:tcBorders>
            <w:shd w:val="clear" w:color="auto" w:fill="auto"/>
          </w:tcPr>
          <w:p w14:paraId="38C1CE6E" w14:textId="77777777" w:rsidR="00A70030" w:rsidRDefault="00A70030" w:rsidP="00073385">
            <w:pPr>
              <w:spacing w:before="60" w:after="60" w:line="240" w:lineRule="auto"/>
              <w:ind w:left="0"/>
              <w:rPr>
                <w:rFonts w:cs="Arial"/>
                <w:sz w:val="20"/>
                <w:szCs w:val="20"/>
              </w:rPr>
            </w:pPr>
            <w:r>
              <w:rPr>
                <w:rFonts w:cs="Arial"/>
                <w:sz w:val="20"/>
                <w:szCs w:val="20"/>
              </w:rPr>
              <w:t>CarbonNet received an email from SIV requesting any work that has been done to map the sound distribution of the survey, noting the sound does not go straight down. SIV also requested a map of the total impacted area.</w:t>
            </w:r>
          </w:p>
          <w:p w14:paraId="24CF3EE0" w14:textId="77777777" w:rsidR="00A70030" w:rsidRDefault="00A70030" w:rsidP="00073385">
            <w:pPr>
              <w:spacing w:before="60" w:after="60" w:line="240" w:lineRule="auto"/>
              <w:ind w:left="0"/>
              <w:rPr>
                <w:rFonts w:cs="Arial"/>
                <w:sz w:val="20"/>
                <w:szCs w:val="20"/>
              </w:rPr>
            </w:pPr>
            <w:r>
              <w:rPr>
                <w:rFonts w:cs="Arial"/>
                <w:sz w:val="20"/>
                <w:szCs w:val="20"/>
              </w:rPr>
              <w:t>CarbonNet responded to say it has contracted a specialist consultant in acoustic modelling to do this work and the results form this work will be sent to SIV when available.</w:t>
            </w:r>
          </w:p>
        </w:tc>
        <w:tc>
          <w:tcPr>
            <w:tcW w:w="3802" w:type="dxa"/>
            <w:tcBorders>
              <w:top w:val="single" w:sz="4" w:space="0" w:color="auto"/>
              <w:bottom w:val="single" w:sz="4" w:space="0" w:color="auto"/>
            </w:tcBorders>
            <w:shd w:val="clear" w:color="auto" w:fill="auto"/>
          </w:tcPr>
          <w:p w14:paraId="3DABCC33" w14:textId="77777777" w:rsidR="00A70030" w:rsidRDefault="00A70030" w:rsidP="00073385">
            <w:pPr>
              <w:spacing w:before="60" w:after="60" w:line="240" w:lineRule="auto"/>
              <w:ind w:left="0"/>
              <w:rPr>
                <w:rFonts w:cs="Arial"/>
                <w:sz w:val="20"/>
                <w:szCs w:val="20"/>
              </w:rPr>
            </w:pPr>
            <w:r w:rsidRPr="00E55D34">
              <w:rPr>
                <w:rFonts w:cs="Arial"/>
                <w:sz w:val="20"/>
                <w:szCs w:val="20"/>
              </w:rPr>
              <w:t xml:space="preserve">CarbonNet sent an email to </w:t>
            </w:r>
            <w:r>
              <w:rPr>
                <w:rFonts w:cs="Arial"/>
                <w:sz w:val="20"/>
                <w:szCs w:val="20"/>
              </w:rPr>
              <w:t>SIV</w:t>
            </w:r>
            <w:r w:rsidRPr="00E55D34">
              <w:rPr>
                <w:rFonts w:cs="Arial"/>
                <w:sz w:val="20"/>
                <w:szCs w:val="20"/>
              </w:rPr>
              <w:t xml:space="preserve"> </w:t>
            </w:r>
            <w:r>
              <w:rPr>
                <w:rFonts w:cs="Arial"/>
                <w:sz w:val="20"/>
                <w:szCs w:val="20"/>
              </w:rPr>
              <w:t xml:space="preserve">on 27/6/17 </w:t>
            </w:r>
            <w:r w:rsidRPr="00E55D34">
              <w:rPr>
                <w:rFonts w:cs="Arial"/>
                <w:sz w:val="20"/>
                <w:szCs w:val="20"/>
              </w:rPr>
              <w:t xml:space="preserve">with the summary of </w:t>
            </w:r>
            <w:r>
              <w:rPr>
                <w:rFonts w:cs="Arial"/>
                <w:sz w:val="20"/>
                <w:szCs w:val="20"/>
              </w:rPr>
              <w:t>the STLM</w:t>
            </w:r>
            <w:r w:rsidRPr="00E55D34">
              <w:rPr>
                <w:rFonts w:cs="Arial"/>
                <w:sz w:val="20"/>
                <w:szCs w:val="20"/>
              </w:rPr>
              <w:t xml:space="preserve"> results, and requested </w:t>
            </w:r>
            <w:r>
              <w:rPr>
                <w:rFonts w:cs="Arial"/>
                <w:sz w:val="20"/>
                <w:szCs w:val="20"/>
              </w:rPr>
              <w:t>SIV</w:t>
            </w:r>
            <w:r w:rsidRPr="00E55D34">
              <w:rPr>
                <w:rFonts w:cs="Arial"/>
                <w:sz w:val="20"/>
                <w:szCs w:val="20"/>
              </w:rPr>
              <w:t xml:space="preserve"> get in touch if they would like to discuss. The summary included an offer to make CarbonNet’s acoustic consultant available to discuss the results.</w:t>
            </w:r>
          </w:p>
          <w:p w14:paraId="02C59C8B" w14:textId="77777777" w:rsidR="00A70030" w:rsidRPr="0003651D" w:rsidRDefault="00A70030" w:rsidP="00073385">
            <w:pPr>
              <w:spacing w:before="60" w:after="60" w:line="240" w:lineRule="auto"/>
              <w:ind w:left="0"/>
              <w:rPr>
                <w:rFonts w:cs="Arial"/>
                <w:sz w:val="20"/>
                <w:szCs w:val="20"/>
              </w:rPr>
            </w:pPr>
          </w:p>
        </w:tc>
      </w:tr>
      <w:tr w:rsidR="00A70030" w:rsidRPr="00FF0808" w14:paraId="0DA5C4C5" w14:textId="77777777" w:rsidTr="00CE3085">
        <w:trPr>
          <w:trHeight w:val="490"/>
        </w:trPr>
        <w:tc>
          <w:tcPr>
            <w:tcW w:w="1427" w:type="dxa"/>
            <w:tcBorders>
              <w:top w:val="nil"/>
              <w:bottom w:val="nil"/>
            </w:tcBorders>
            <w:shd w:val="clear" w:color="auto" w:fill="auto"/>
          </w:tcPr>
          <w:p w14:paraId="660E2582"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7C1DC3F"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32B2590" w14:textId="77777777" w:rsidR="00A70030" w:rsidRDefault="00A70030" w:rsidP="00073385">
            <w:pPr>
              <w:spacing w:before="60" w:after="60" w:line="240" w:lineRule="auto"/>
              <w:ind w:left="0"/>
              <w:rPr>
                <w:rFonts w:cs="Arial"/>
                <w:sz w:val="20"/>
                <w:szCs w:val="20"/>
              </w:rPr>
            </w:pPr>
            <w:r>
              <w:rPr>
                <w:rFonts w:cs="Arial"/>
                <w:sz w:val="20"/>
                <w:szCs w:val="20"/>
              </w:rPr>
              <w:t>12/5/17</w:t>
            </w:r>
          </w:p>
        </w:tc>
        <w:tc>
          <w:tcPr>
            <w:tcW w:w="6335" w:type="dxa"/>
            <w:tcBorders>
              <w:top w:val="single" w:sz="4" w:space="0" w:color="auto"/>
              <w:bottom w:val="single" w:sz="4" w:space="0" w:color="auto"/>
            </w:tcBorders>
            <w:shd w:val="clear" w:color="auto" w:fill="auto"/>
          </w:tcPr>
          <w:p w14:paraId="594D0CDB" w14:textId="77777777" w:rsidR="00A70030" w:rsidRDefault="00A70030" w:rsidP="00073385">
            <w:pPr>
              <w:spacing w:before="60" w:after="60" w:line="240" w:lineRule="auto"/>
              <w:ind w:left="0"/>
              <w:rPr>
                <w:rFonts w:cs="Arial"/>
                <w:sz w:val="20"/>
                <w:szCs w:val="20"/>
              </w:rPr>
            </w:pPr>
            <w:r>
              <w:rPr>
                <w:rFonts w:cs="Arial"/>
                <w:sz w:val="20"/>
                <w:szCs w:val="20"/>
              </w:rPr>
              <w:t>CarbonNet met with SIV at their office in West Melbourne to progress discussions. The meeting focused on:</w:t>
            </w:r>
          </w:p>
          <w:p w14:paraId="7BF31E06" w14:textId="77777777" w:rsidR="00A70030" w:rsidRPr="00C83C0E" w:rsidRDefault="00A70030" w:rsidP="00073385">
            <w:pPr>
              <w:pStyle w:val="ListParagraph0"/>
              <w:numPr>
                <w:ilvl w:val="0"/>
                <w:numId w:val="473"/>
              </w:numPr>
              <w:spacing w:before="60" w:after="60" w:line="240" w:lineRule="auto"/>
              <w:rPr>
                <w:rFonts w:cs="Arial"/>
                <w:sz w:val="20"/>
                <w:szCs w:val="20"/>
              </w:rPr>
            </w:pPr>
            <w:r>
              <w:rPr>
                <w:rFonts w:cs="Arial"/>
                <w:sz w:val="20"/>
                <w:szCs w:val="20"/>
              </w:rPr>
              <w:t>Which groups represent which fishers/stakeholders, especially where multiple groups are representing the same individual/s.</w:t>
            </w:r>
          </w:p>
          <w:p w14:paraId="38D3BEAC" w14:textId="77777777" w:rsidR="00A70030" w:rsidRDefault="00A70030" w:rsidP="00073385">
            <w:pPr>
              <w:pStyle w:val="ListParagraph0"/>
              <w:numPr>
                <w:ilvl w:val="0"/>
                <w:numId w:val="473"/>
              </w:numPr>
              <w:spacing w:before="60" w:after="60" w:line="240" w:lineRule="auto"/>
              <w:rPr>
                <w:rFonts w:cs="Arial"/>
                <w:sz w:val="20"/>
                <w:szCs w:val="20"/>
              </w:rPr>
            </w:pPr>
            <w:r>
              <w:rPr>
                <w:rFonts w:cs="Arial"/>
                <w:sz w:val="20"/>
                <w:szCs w:val="20"/>
              </w:rPr>
              <w:t>The findings of CarbonNet’s environmental habitat assessment.</w:t>
            </w:r>
          </w:p>
          <w:p w14:paraId="2E4694F1" w14:textId="77777777" w:rsidR="00A70030" w:rsidRDefault="00A70030" w:rsidP="00073385">
            <w:pPr>
              <w:pStyle w:val="ListParagraph0"/>
              <w:numPr>
                <w:ilvl w:val="0"/>
                <w:numId w:val="473"/>
              </w:numPr>
              <w:spacing w:before="60" w:after="60" w:line="240" w:lineRule="auto"/>
              <w:rPr>
                <w:rFonts w:cs="Arial"/>
                <w:sz w:val="20"/>
                <w:szCs w:val="20"/>
              </w:rPr>
            </w:pPr>
            <w:r>
              <w:rPr>
                <w:rFonts w:cs="Arial"/>
                <w:sz w:val="20"/>
                <w:szCs w:val="20"/>
              </w:rPr>
              <w:t>How SIV will consult its members, which has not yet commenced.</w:t>
            </w:r>
          </w:p>
          <w:p w14:paraId="1B357469" w14:textId="77777777" w:rsidR="00A70030" w:rsidRDefault="00A70030" w:rsidP="00073385">
            <w:pPr>
              <w:spacing w:before="60" w:after="60" w:line="240" w:lineRule="auto"/>
              <w:ind w:left="0"/>
              <w:rPr>
                <w:rFonts w:cs="Arial"/>
                <w:sz w:val="20"/>
                <w:szCs w:val="20"/>
              </w:rPr>
            </w:pPr>
            <w:r>
              <w:rPr>
                <w:rFonts w:cs="Arial"/>
                <w:sz w:val="20"/>
                <w:szCs w:val="20"/>
              </w:rPr>
              <w:t xml:space="preserve">SIV clarified that it represents all Victorian licence holders. </w:t>
            </w:r>
            <w:r w:rsidRPr="00CE0C5B">
              <w:rPr>
                <w:rFonts w:cs="Arial"/>
                <w:sz w:val="20"/>
                <w:szCs w:val="20"/>
              </w:rPr>
              <w:lastRenderedPageBreak/>
              <w:t>CarbonNet asked SIV to confirm which fishers it is specifically representing</w:t>
            </w:r>
            <w:r>
              <w:rPr>
                <w:rFonts w:cs="Arial"/>
                <w:sz w:val="20"/>
                <w:szCs w:val="20"/>
              </w:rPr>
              <w:t xml:space="preserve"> for this MSS</w:t>
            </w:r>
            <w:r w:rsidRPr="00CE0C5B">
              <w:rPr>
                <w:rFonts w:cs="Arial"/>
                <w:sz w:val="20"/>
                <w:szCs w:val="20"/>
              </w:rPr>
              <w:t>.</w:t>
            </w:r>
          </w:p>
          <w:p w14:paraId="6CBFA42D" w14:textId="77777777" w:rsidR="00A70030" w:rsidRDefault="00A70030" w:rsidP="00073385">
            <w:pPr>
              <w:spacing w:before="60" w:after="60" w:line="240" w:lineRule="auto"/>
              <w:ind w:left="0"/>
              <w:rPr>
                <w:rFonts w:cs="Arial"/>
                <w:sz w:val="20"/>
                <w:szCs w:val="20"/>
              </w:rPr>
            </w:pPr>
            <w:r>
              <w:rPr>
                <w:rFonts w:cs="Arial"/>
                <w:sz w:val="20"/>
                <w:szCs w:val="20"/>
              </w:rPr>
              <w:t>SIV said it will contact the same fishers initially contacted by VFA (see ‘individual fishing licence holders’) and obtain their feedback.</w:t>
            </w:r>
          </w:p>
          <w:p w14:paraId="0F0A4FDB" w14:textId="77777777" w:rsidR="00A70030" w:rsidRDefault="00A70030" w:rsidP="00073385">
            <w:pPr>
              <w:spacing w:before="60" w:after="60" w:line="240" w:lineRule="auto"/>
              <w:ind w:left="0"/>
              <w:rPr>
                <w:rFonts w:cs="Arial"/>
                <w:sz w:val="20"/>
                <w:szCs w:val="20"/>
              </w:rPr>
            </w:pPr>
            <w:r>
              <w:rPr>
                <w:rFonts w:cs="Arial"/>
                <w:sz w:val="20"/>
                <w:szCs w:val="20"/>
              </w:rPr>
              <w:t>SIV said there has been one fisherman active in the Victorian scallop fishery for the last 3-4 years.</w:t>
            </w:r>
          </w:p>
          <w:p w14:paraId="4FA122F2" w14:textId="4A754A2C" w:rsidR="00A70030" w:rsidRDefault="00A70030" w:rsidP="00073385">
            <w:pPr>
              <w:spacing w:before="60" w:after="60" w:line="240" w:lineRule="auto"/>
              <w:ind w:left="0"/>
              <w:rPr>
                <w:rFonts w:cs="Arial"/>
                <w:sz w:val="20"/>
                <w:szCs w:val="20"/>
              </w:rPr>
            </w:pPr>
            <w:r>
              <w:rPr>
                <w:rFonts w:cs="Arial"/>
                <w:sz w:val="20"/>
                <w:szCs w:val="20"/>
              </w:rPr>
              <w:t>It was decided that the next meeting will be in either late May or mid-June, depending on how the consultation progresses.</w:t>
            </w:r>
          </w:p>
        </w:tc>
        <w:tc>
          <w:tcPr>
            <w:tcW w:w="3802" w:type="dxa"/>
            <w:tcBorders>
              <w:top w:val="single" w:sz="4" w:space="0" w:color="auto"/>
              <w:bottom w:val="single" w:sz="4" w:space="0" w:color="auto"/>
            </w:tcBorders>
            <w:shd w:val="clear" w:color="auto" w:fill="auto"/>
          </w:tcPr>
          <w:p w14:paraId="73C675BA" w14:textId="77777777" w:rsidR="00A70030" w:rsidRDefault="00A70030" w:rsidP="00073385">
            <w:pPr>
              <w:spacing w:before="60" w:after="60" w:line="240" w:lineRule="auto"/>
              <w:ind w:left="0"/>
              <w:rPr>
                <w:rFonts w:cs="Arial"/>
                <w:sz w:val="20"/>
                <w:szCs w:val="20"/>
              </w:rPr>
            </w:pPr>
            <w:r>
              <w:rPr>
                <w:rFonts w:cs="Arial"/>
                <w:sz w:val="20"/>
                <w:szCs w:val="20"/>
              </w:rPr>
              <w:lastRenderedPageBreak/>
              <w:t>Following the meeting, CarbonNet sent SIV:</w:t>
            </w:r>
          </w:p>
          <w:p w14:paraId="1F9F5C47" w14:textId="77777777" w:rsidR="00A70030" w:rsidRDefault="00A70030" w:rsidP="00073385">
            <w:pPr>
              <w:pStyle w:val="ListParagraph0"/>
              <w:numPr>
                <w:ilvl w:val="0"/>
                <w:numId w:val="474"/>
              </w:numPr>
              <w:spacing w:before="60" w:after="60" w:line="240" w:lineRule="auto"/>
              <w:rPr>
                <w:rFonts w:cs="Arial"/>
                <w:sz w:val="20"/>
                <w:szCs w:val="20"/>
              </w:rPr>
            </w:pPr>
            <w:r>
              <w:rPr>
                <w:rFonts w:cs="Arial"/>
                <w:sz w:val="20"/>
                <w:szCs w:val="20"/>
              </w:rPr>
              <w:t xml:space="preserve">The letter that was sent to individual fishing licence holders by VFA. </w:t>
            </w:r>
          </w:p>
          <w:p w14:paraId="3FA3E570" w14:textId="77777777" w:rsidR="00A70030" w:rsidRPr="0003651D" w:rsidRDefault="00A70030" w:rsidP="00073385">
            <w:pPr>
              <w:pStyle w:val="ListParagraph0"/>
              <w:numPr>
                <w:ilvl w:val="0"/>
                <w:numId w:val="474"/>
              </w:numPr>
              <w:spacing w:before="60" w:after="60" w:line="240" w:lineRule="auto"/>
              <w:rPr>
                <w:rFonts w:cs="Arial"/>
                <w:sz w:val="20"/>
                <w:szCs w:val="20"/>
              </w:rPr>
            </w:pPr>
            <w:r w:rsidRPr="00CE0C5B">
              <w:rPr>
                <w:rFonts w:cs="Arial"/>
                <w:sz w:val="20"/>
                <w:szCs w:val="20"/>
              </w:rPr>
              <w:t>Information on the company contracted to complete the STLM.</w:t>
            </w:r>
          </w:p>
        </w:tc>
      </w:tr>
      <w:tr w:rsidR="00A70030" w:rsidRPr="00FF0808" w14:paraId="44411EA1" w14:textId="77777777" w:rsidTr="00CE3085">
        <w:trPr>
          <w:trHeight w:val="490"/>
        </w:trPr>
        <w:tc>
          <w:tcPr>
            <w:tcW w:w="1427" w:type="dxa"/>
            <w:tcBorders>
              <w:top w:val="nil"/>
              <w:bottom w:val="nil"/>
            </w:tcBorders>
            <w:shd w:val="clear" w:color="auto" w:fill="auto"/>
          </w:tcPr>
          <w:p w14:paraId="2B7A6D32"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12BBD06A"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A371D4B" w14:textId="77777777" w:rsidR="00A70030" w:rsidRDefault="00A70030" w:rsidP="00073385">
            <w:pPr>
              <w:spacing w:before="60" w:after="60" w:line="240" w:lineRule="auto"/>
              <w:ind w:left="0"/>
              <w:rPr>
                <w:rFonts w:cs="Arial"/>
                <w:sz w:val="20"/>
                <w:szCs w:val="20"/>
              </w:rPr>
            </w:pPr>
            <w:r>
              <w:rPr>
                <w:rFonts w:cs="Arial"/>
                <w:sz w:val="20"/>
                <w:szCs w:val="20"/>
              </w:rPr>
              <w:t>17/5/17</w:t>
            </w:r>
          </w:p>
        </w:tc>
        <w:tc>
          <w:tcPr>
            <w:tcW w:w="6335" w:type="dxa"/>
            <w:tcBorders>
              <w:top w:val="single" w:sz="4" w:space="0" w:color="auto"/>
              <w:bottom w:val="single" w:sz="4" w:space="0" w:color="auto"/>
            </w:tcBorders>
            <w:shd w:val="clear" w:color="auto" w:fill="auto"/>
          </w:tcPr>
          <w:p w14:paraId="3F6B9539" w14:textId="77777777" w:rsidR="00A70030" w:rsidRDefault="00A70030" w:rsidP="00073385">
            <w:pPr>
              <w:spacing w:before="60" w:after="60" w:line="240" w:lineRule="auto"/>
              <w:ind w:left="0"/>
              <w:rPr>
                <w:rFonts w:cs="Arial"/>
                <w:sz w:val="20"/>
                <w:szCs w:val="20"/>
              </w:rPr>
            </w:pPr>
            <w:r>
              <w:rPr>
                <w:rFonts w:cs="Arial"/>
                <w:sz w:val="20"/>
                <w:szCs w:val="20"/>
              </w:rPr>
              <w:t xml:space="preserve">CarbonNet called SIV to organise the next meeting. </w:t>
            </w:r>
          </w:p>
          <w:p w14:paraId="1D48706B" w14:textId="77777777" w:rsidR="00A70030" w:rsidRDefault="00A70030" w:rsidP="00073385">
            <w:pPr>
              <w:spacing w:before="60" w:after="60" w:line="240" w:lineRule="auto"/>
              <w:ind w:left="0"/>
              <w:rPr>
                <w:rFonts w:cs="Arial"/>
                <w:sz w:val="20"/>
                <w:szCs w:val="20"/>
              </w:rPr>
            </w:pPr>
            <w:r>
              <w:rPr>
                <w:rFonts w:cs="Arial"/>
                <w:sz w:val="20"/>
                <w:szCs w:val="20"/>
              </w:rPr>
              <w:t xml:space="preserve">SIV called CarbonNet back. It will take around another week for SIV to run its consultation process with fishers. They stated that they could meet in late May, depending on how feedback is going. </w:t>
            </w:r>
          </w:p>
        </w:tc>
        <w:tc>
          <w:tcPr>
            <w:tcW w:w="3802" w:type="dxa"/>
            <w:tcBorders>
              <w:top w:val="single" w:sz="4" w:space="0" w:color="auto"/>
              <w:bottom w:val="single" w:sz="4" w:space="0" w:color="auto"/>
            </w:tcBorders>
            <w:shd w:val="clear" w:color="auto" w:fill="auto"/>
          </w:tcPr>
          <w:p w14:paraId="7F0D81FF" w14:textId="77777777" w:rsidR="00A70030" w:rsidRPr="0003651D" w:rsidRDefault="00A70030" w:rsidP="00073385">
            <w:pPr>
              <w:spacing w:before="60" w:after="60" w:line="240" w:lineRule="auto"/>
              <w:ind w:left="0"/>
              <w:rPr>
                <w:rFonts w:cs="Arial"/>
                <w:sz w:val="20"/>
                <w:szCs w:val="20"/>
              </w:rPr>
            </w:pPr>
            <w:r>
              <w:rPr>
                <w:rFonts w:cs="Arial"/>
                <w:sz w:val="20"/>
                <w:szCs w:val="20"/>
              </w:rPr>
              <w:t>CarbonNet replied that it will contact SIV next week to schedule a meeting to discuss.</w:t>
            </w:r>
          </w:p>
        </w:tc>
      </w:tr>
      <w:tr w:rsidR="00A70030" w:rsidRPr="00FF0808" w14:paraId="2A618579" w14:textId="77777777" w:rsidTr="00CE3085">
        <w:trPr>
          <w:trHeight w:val="490"/>
        </w:trPr>
        <w:tc>
          <w:tcPr>
            <w:tcW w:w="1427" w:type="dxa"/>
            <w:tcBorders>
              <w:top w:val="nil"/>
              <w:bottom w:val="nil"/>
            </w:tcBorders>
            <w:shd w:val="clear" w:color="auto" w:fill="auto"/>
          </w:tcPr>
          <w:p w14:paraId="1140DE3C"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09A4BD0"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A5B1DE4" w14:textId="77777777" w:rsidR="00A70030" w:rsidRDefault="00A70030" w:rsidP="00073385">
            <w:pPr>
              <w:spacing w:before="60" w:after="60" w:line="240" w:lineRule="auto"/>
              <w:ind w:left="0"/>
              <w:rPr>
                <w:rFonts w:cs="Arial"/>
                <w:sz w:val="20"/>
                <w:szCs w:val="20"/>
              </w:rPr>
            </w:pPr>
            <w:r>
              <w:rPr>
                <w:rFonts w:cs="Arial"/>
                <w:sz w:val="20"/>
                <w:szCs w:val="20"/>
              </w:rPr>
              <w:t>19/5/17</w:t>
            </w:r>
          </w:p>
          <w:p w14:paraId="54967790"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5EC9CD9A" w14:textId="10AB44B1" w:rsidR="00A70030" w:rsidRDefault="00A70030" w:rsidP="00073385">
            <w:pPr>
              <w:spacing w:before="60" w:after="60" w:line="240" w:lineRule="auto"/>
              <w:ind w:left="0"/>
              <w:rPr>
                <w:rFonts w:cs="Arial"/>
                <w:sz w:val="20"/>
                <w:szCs w:val="20"/>
              </w:rPr>
            </w:pPr>
            <w:r w:rsidRPr="00580A98">
              <w:rPr>
                <w:rFonts w:cs="Arial"/>
                <w:sz w:val="20"/>
                <w:szCs w:val="20"/>
              </w:rPr>
              <w:t xml:space="preserve">CarbonNet emailed LEFCOL and SIV to advise </w:t>
            </w:r>
            <w:r>
              <w:rPr>
                <w:rFonts w:cs="Arial"/>
                <w:sz w:val="20"/>
                <w:szCs w:val="20"/>
              </w:rPr>
              <w:t>it is</w:t>
            </w:r>
            <w:r w:rsidRPr="00580A98">
              <w:rPr>
                <w:rFonts w:cs="Arial"/>
                <w:sz w:val="20"/>
                <w:szCs w:val="20"/>
              </w:rPr>
              <w:t xml:space="preserve"> waiting on any questions or proposals from either organisation with relation to the MSS.</w:t>
            </w:r>
          </w:p>
        </w:tc>
        <w:tc>
          <w:tcPr>
            <w:tcW w:w="3802" w:type="dxa"/>
            <w:tcBorders>
              <w:top w:val="single" w:sz="4" w:space="0" w:color="auto"/>
              <w:bottom w:val="single" w:sz="4" w:space="0" w:color="auto"/>
            </w:tcBorders>
            <w:shd w:val="clear" w:color="auto" w:fill="auto"/>
          </w:tcPr>
          <w:p w14:paraId="7EE17564" w14:textId="77777777" w:rsidR="00A70030" w:rsidRPr="0003651D"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5BFC9DCE" w14:textId="77777777" w:rsidTr="00CE3085">
        <w:trPr>
          <w:trHeight w:val="490"/>
        </w:trPr>
        <w:tc>
          <w:tcPr>
            <w:tcW w:w="1427" w:type="dxa"/>
            <w:tcBorders>
              <w:top w:val="nil"/>
              <w:bottom w:val="nil"/>
            </w:tcBorders>
            <w:shd w:val="clear" w:color="auto" w:fill="auto"/>
          </w:tcPr>
          <w:p w14:paraId="7A4A4E71"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FB03CF0"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71E8EA3" w14:textId="77777777" w:rsidR="00A70030" w:rsidRDefault="00A70030" w:rsidP="00073385">
            <w:pPr>
              <w:spacing w:before="60" w:after="60" w:line="240" w:lineRule="auto"/>
              <w:ind w:left="0"/>
              <w:rPr>
                <w:rFonts w:cs="Arial"/>
                <w:sz w:val="20"/>
                <w:szCs w:val="20"/>
              </w:rPr>
            </w:pPr>
            <w:r>
              <w:rPr>
                <w:rFonts w:cs="Arial"/>
                <w:sz w:val="20"/>
                <w:szCs w:val="20"/>
              </w:rPr>
              <w:t>23/5/17</w:t>
            </w:r>
          </w:p>
        </w:tc>
        <w:tc>
          <w:tcPr>
            <w:tcW w:w="6335" w:type="dxa"/>
            <w:tcBorders>
              <w:top w:val="single" w:sz="4" w:space="0" w:color="auto"/>
              <w:bottom w:val="single" w:sz="4" w:space="0" w:color="auto"/>
            </w:tcBorders>
            <w:shd w:val="clear" w:color="auto" w:fill="auto"/>
          </w:tcPr>
          <w:p w14:paraId="6A53000B" w14:textId="77777777" w:rsidR="00A70030" w:rsidRDefault="00A70030" w:rsidP="00073385">
            <w:pPr>
              <w:spacing w:before="60" w:after="60" w:line="240" w:lineRule="auto"/>
              <w:ind w:left="0"/>
              <w:rPr>
                <w:rFonts w:cs="Arial"/>
                <w:sz w:val="20"/>
                <w:szCs w:val="20"/>
              </w:rPr>
            </w:pPr>
            <w:r>
              <w:rPr>
                <w:rFonts w:cs="Arial"/>
                <w:sz w:val="20"/>
                <w:szCs w:val="20"/>
              </w:rPr>
              <w:t>CarbonNet spoke to SIV who advised that VFA has just issued a letter to potentially affected licence holders. SIV advised that it cannot meet this week as it will not have spoken to their members and therefore has no feedback. It was agreed that the next meeting will be late June.</w:t>
            </w:r>
          </w:p>
        </w:tc>
        <w:tc>
          <w:tcPr>
            <w:tcW w:w="3802" w:type="dxa"/>
            <w:tcBorders>
              <w:top w:val="single" w:sz="4" w:space="0" w:color="auto"/>
              <w:bottom w:val="single" w:sz="4" w:space="0" w:color="auto"/>
            </w:tcBorders>
            <w:shd w:val="clear" w:color="auto" w:fill="auto"/>
          </w:tcPr>
          <w:p w14:paraId="0D35975E" w14:textId="77777777" w:rsidR="00A70030" w:rsidRPr="0003651D"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DBC2FF3" w14:textId="77777777" w:rsidTr="00CE3085">
        <w:trPr>
          <w:trHeight w:val="490"/>
        </w:trPr>
        <w:tc>
          <w:tcPr>
            <w:tcW w:w="1427" w:type="dxa"/>
            <w:tcBorders>
              <w:top w:val="nil"/>
              <w:bottom w:val="nil"/>
            </w:tcBorders>
            <w:shd w:val="clear" w:color="auto" w:fill="auto"/>
          </w:tcPr>
          <w:p w14:paraId="053ECB92"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5144A73"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678F047" w14:textId="77777777" w:rsidR="00A70030" w:rsidRDefault="00A70030" w:rsidP="00073385">
            <w:pPr>
              <w:spacing w:before="60" w:after="60" w:line="240" w:lineRule="auto"/>
              <w:ind w:left="0"/>
              <w:rPr>
                <w:rFonts w:cs="Arial"/>
                <w:sz w:val="20"/>
                <w:szCs w:val="20"/>
              </w:rPr>
            </w:pPr>
            <w:r>
              <w:rPr>
                <w:rFonts w:cs="Arial"/>
                <w:sz w:val="20"/>
                <w:szCs w:val="20"/>
              </w:rPr>
              <w:t>23/6/17</w:t>
            </w:r>
          </w:p>
        </w:tc>
        <w:tc>
          <w:tcPr>
            <w:tcW w:w="6335" w:type="dxa"/>
            <w:tcBorders>
              <w:top w:val="single" w:sz="4" w:space="0" w:color="auto"/>
              <w:bottom w:val="single" w:sz="4" w:space="0" w:color="auto"/>
            </w:tcBorders>
            <w:shd w:val="clear" w:color="auto" w:fill="auto"/>
          </w:tcPr>
          <w:p w14:paraId="68A686BE" w14:textId="77777777" w:rsidR="00A70030" w:rsidRDefault="00A70030" w:rsidP="00073385">
            <w:pPr>
              <w:spacing w:before="60" w:after="60" w:line="240" w:lineRule="auto"/>
              <w:ind w:left="0"/>
              <w:rPr>
                <w:rFonts w:cs="Arial"/>
                <w:sz w:val="20"/>
                <w:szCs w:val="20"/>
              </w:rPr>
            </w:pPr>
            <w:r>
              <w:rPr>
                <w:rFonts w:cs="Arial"/>
                <w:sz w:val="20"/>
                <w:szCs w:val="20"/>
              </w:rPr>
              <w:t xml:space="preserve">CarbonNet met with SIV at their office in West Melbourne to discuss feedback from their members on the MSS. It was confirmed that nine letters were sent to licence holders by VFA on behalf of SIV, and five responses were received. </w:t>
            </w:r>
          </w:p>
          <w:p w14:paraId="578C14A4" w14:textId="77777777" w:rsidR="00A70030" w:rsidRDefault="00A70030" w:rsidP="00073385">
            <w:pPr>
              <w:spacing w:before="60" w:after="60" w:line="240" w:lineRule="auto"/>
              <w:ind w:left="0"/>
              <w:rPr>
                <w:rFonts w:cs="Arial"/>
                <w:sz w:val="20"/>
                <w:szCs w:val="20"/>
              </w:rPr>
            </w:pPr>
            <w:r>
              <w:rPr>
                <w:rFonts w:cs="Arial"/>
                <w:sz w:val="20"/>
                <w:szCs w:val="20"/>
              </w:rPr>
              <w:t xml:space="preserve">SIV raised the recent study on </w:t>
            </w:r>
            <w:r w:rsidRPr="006F70B0">
              <w:rPr>
                <w:rFonts w:cs="Arial"/>
                <w:sz w:val="20"/>
                <w:szCs w:val="20"/>
              </w:rPr>
              <w:t xml:space="preserve">plankton published in </w:t>
            </w:r>
            <w:r>
              <w:rPr>
                <w:rFonts w:cs="Arial"/>
                <w:sz w:val="20"/>
                <w:szCs w:val="20"/>
              </w:rPr>
              <w:t xml:space="preserve">the </w:t>
            </w:r>
            <w:r w:rsidRPr="00C83C0E">
              <w:rPr>
                <w:rFonts w:cs="Arial"/>
                <w:i/>
                <w:sz w:val="20"/>
                <w:szCs w:val="20"/>
              </w:rPr>
              <w:t>Nature</w:t>
            </w:r>
            <w:r w:rsidRPr="006F70B0">
              <w:rPr>
                <w:rFonts w:cs="Arial"/>
                <w:sz w:val="20"/>
                <w:szCs w:val="20"/>
              </w:rPr>
              <w:t xml:space="preserve"> journal and </w:t>
            </w:r>
            <w:r>
              <w:rPr>
                <w:rFonts w:cs="Arial"/>
                <w:sz w:val="20"/>
                <w:szCs w:val="20"/>
              </w:rPr>
              <w:t>their concerns about long-term impacts on fisheries.</w:t>
            </w:r>
          </w:p>
          <w:p w14:paraId="3400CDD1" w14:textId="77777777" w:rsidR="00A70030" w:rsidRPr="006F70B0" w:rsidRDefault="00A70030" w:rsidP="00073385">
            <w:pPr>
              <w:spacing w:before="60" w:after="60" w:line="240" w:lineRule="auto"/>
              <w:ind w:left="0"/>
              <w:rPr>
                <w:rFonts w:cs="Arial"/>
                <w:sz w:val="20"/>
                <w:szCs w:val="20"/>
              </w:rPr>
            </w:pPr>
            <w:r>
              <w:rPr>
                <w:rFonts w:cs="Arial"/>
                <w:sz w:val="20"/>
                <w:szCs w:val="20"/>
              </w:rPr>
              <w:t xml:space="preserve">SIV also mentioned a </w:t>
            </w:r>
            <w:r w:rsidRPr="006F70B0">
              <w:rPr>
                <w:rFonts w:cs="Arial"/>
                <w:sz w:val="20"/>
                <w:szCs w:val="20"/>
              </w:rPr>
              <w:t>recent media article that q</w:t>
            </w:r>
            <w:r>
              <w:rPr>
                <w:rFonts w:cs="Arial"/>
                <w:sz w:val="20"/>
                <w:szCs w:val="20"/>
              </w:rPr>
              <w:t>uestioned the viability of CCS.</w:t>
            </w:r>
          </w:p>
          <w:p w14:paraId="1DE49688" w14:textId="77777777" w:rsidR="00A70030" w:rsidRDefault="00A70030" w:rsidP="00073385">
            <w:pPr>
              <w:spacing w:before="60" w:after="60" w:line="240" w:lineRule="auto"/>
              <w:ind w:left="0"/>
              <w:rPr>
                <w:rFonts w:cs="Arial"/>
                <w:sz w:val="20"/>
                <w:szCs w:val="20"/>
              </w:rPr>
            </w:pPr>
            <w:r w:rsidRPr="006F70B0">
              <w:rPr>
                <w:rFonts w:cs="Arial"/>
                <w:sz w:val="20"/>
                <w:szCs w:val="20"/>
              </w:rPr>
              <w:t>SIV would like to meet with CarbonNet and the individual fishers to progress discussions.</w:t>
            </w:r>
          </w:p>
          <w:p w14:paraId="656F9D72" w14:textId="77777777" w:rsidR="00A70030" w:rsidRPr="006F70B0" w:rsidRDefault="00A70030" w:rsidP="00073385">
            <w:pPr>
              <w:spacing w:before="60" w:after="60" w:line="240" w:lineRule="auto"/>
              <w:ind w:left="0"/>
              <w:rPr>
                <w:rFonts w:cs="Arial"/>
                <w:sz w:val="20"/>
                <w:szCs w:val="20"/>
              </w:rPr>
            </w:pPr>
            <w:r>
              <w:rPr>
                <w:rFonts w:cs="Arial"/>
                <w:sz w:val="20"/>
                <w:szCs w:val="20"/>
              </w:rPr>
              <w:t xml:space="preserve">In response to the plankton study, CarbonNet discussed a </w:t>
            </w:r>
            <w:r w:rsidRPr="006F70B0">
              <w:rPr>
                <w:rFonts w:cs="Arial"/>
                <w:sz w:val="20"/>
                <w:szCs w:val="20"/>
              </w:rPr>
              <w:t xml:space="preserve">CSIRO study that is yet to be published </w:t>
            </w:r>
            <w:r>
              <w:rPr>
                <w:rFonts w:cs="Arial"/>
                <w:sz w:val="20"/>
                <w:szCs w:val="20"/>
              </w:rPr>
              <w:t xml:space="preserve">which looked at the real-world impacts on plankton. CarbonNet will provide more information on </w:t>
            </w:r>
            <w:r>
              <w:rPr>
                <w:rFonts w:cs="Arial"/>
                <w:sz w:val="20"/>
                <w:szCs w:val="20"/>
              </w:rPr>
              <w:lastRenderedPageBreak/>
              <w:t>that study.</w:t>
            </w:r>
          </w:p>
          <w:p w14:paraId="17460CE8" w14:textId="77777777" w:rsidR="00A70030" w:rsidRPr="006F70B0" w:rsidRDefault="00A70030" w:rsidP="00073385">
            <w:pPr>
              <w:spacing w:before="60" w:after="60" w:line="240" w:lineRule="auto"/>
              <w:ind w:left="0"/>
              <w:rPr>
                <w:rFonts w:cs="Arial"/>
                <w:sz w:val="20"/>
                <w:szCs w:val="20"/>
              </w:rPr>
            </w:pPr>
            <w:r>
              <w:rPr>
                <w:rFonts w:cs="Arial"/>
                <w:sz w:val="20"/>
                <w:szCs w:val="20"/>
              </w:rPr>
              <w:t xml:space="preserve">CarbonNet </w:t>
            </w:r>
            <w:r w:rsidRPr="006F70B0">
              <w:rPr>
                <w:rFonts w:cs="Arial"/>
                <w:sz w:val="20"/>
                <w:szCs w:val="20"/>
              </w:rPr>
              <w:t xml:space="preserve">stated </w:t>
            </w:r>
            <w:r>
              <w:rPr>
                <w:rFonts w:cs="Arial"/>
                <w:sz w:val="20"/>
                <w:szCs w:val="20"/>
              </w:rPr>
              <w:t>that it is</w:t>
            </w:r>
            <w:r w:rsidRPr="006F70B0">
              <w:rPr>
                <w:rFonts w:cs="Arial"/>
                <w:sz w:val="20"/>
                <w:szCs w:val="20"/>
              </w:rPr>
              <w:t xml:space="preserve"> keen to talk to fishermen about </w:t>
            </w:r>
            <w:r>
              <w:rPr>
                <w:rFonts w:cs="Arial"/>
                <w:sz w:val="20"/>
                <w:szCs w:val="20"/>
              </w:rPr>
              <w:t xml:space="preserve">the potential for </w:t>
            </w:r>
            <w:r w:rsidRPr="006F70B0">
              <w:rPr>
                <w:rFonts w:cs="Arial"/>
                <w:sz w:val="20"/>
                <w:szCs w:val="20"/>
              </w:rPr>
              <w:t xml:space="preserve">disruption to </w:t>
            </w:r>
            <w:r>
              <w:rPr>
                <w:rFonts w:cs="Arial"/>
                <w:sz w:val="20"/>
                <w:szCs w:val="20"/>
              </w:rPr>
              <w:t xml:space="preserve">their </w:t>
            </w:r>
            <w:r w:rsidRPr="006F70B0">
              <w:rPr>
                <w:rFonts w:cs="Arial"/>
                <w:sz w:val="20"/>
                <w:szCs w:val="20"/>
              </w:rPr>
              <w:t>operations</w:t>
            </w:r>
            <w:r>
              <w:rPr>
                <w:rFonts w:cs="Arial"/>
                <w:sz w:val="20"/>
                <w:szCs w:val="20"/>
              </w:rPr>
              <w:t>.</w:t>
            </w:r>
            <w:r w:rsidRPr="006F70B0">
              <w:rPr>
                <w:rFonts w:cs="Arial"/>
                <w:sz w:val="20"/>
                <w:szCs w:val="20"/>
              </w:rPr>
              <w:t xml:space="preserve"> SIV </w:t>
            </w:r>
            <w:r>
              <w:rPr>
                <w:rFonts w:cs="Arial"/>
                <w:sz w:val="20"/>
                <w:szCs w:val="20"/>
              </w:rPr>
              <w:t xml:space="preserve">said it is </w:t>
            </w:r>
            <w:r w:rsidRPr="006F70B0">
              <w:rPr>
                <w:rFonts w:cs="Arial"/>
                <w:sz w:val="20"/>
                <w:szCs w:val="20"/>
              </w:rPr>
              <w:t xml:space="preserve">keen to go beyond that. </w:t>
            </w:r>
            <w:r>
              <w:rPr>
                <w:rFonts w:cs="Arial"/>
                <w:sz w:val="20"/>
                <w:szCs w:val="20"/>
              </w:rPr>
              <w:t xml:space="preserve">CarbonNet advised that it is not discussing compensation, but that it would </w:t>
            </w:r>
            <w:r w:rsidRPr="006F70B0">
              <w:rPr>
                <w:rFonts w:cs="Arial"/>
                <w:sz w:val="20"/>
                <w:szCs w:val="20"/>
              </w:rPr>
              <w:t xml:space="preserve">send </w:t>
            </w:r>
            <w:r>
              <w:rPr>
                <w:rFonts w:cs="Arial"/>
                <w:sz w:val="20"/>
                <w:szCs w:val="20"/>
              </w:rPr>
              <w:t xml:space="preserve">SIV the </w:t>
            </w:r>
            <w:r w:rsidRPr="006F70B0">
              <w:rPr>
                <w:rFonts w:cs="Arial"/>
                <w:sz w:val="20"/>
                <w:szCs w:val="20"/>
              </w:rPr>
              <w:t>collaboration p</w:t>
            </w:r>
            <w:r>
              <w:rPr>
                <w:rFonts w:cs="Arial"/>
                <w:sz w:val="20"/>
                <w:szCs w:val="20"/>
              </w:rPr>
              <w:t>roposals that were previously sent to VSFA and are also offered to SIV.</w:t>
            </w:r>
          </w:p>
          <w:p w14:paraId="785AC63B" w14:textId="77777777" w:rsidR="00A70030" w:rsidRPr="006F70B0" w:rsidRDefault="00A70030" w:rsidP="00073385">
            <w:pPr>
              <w:spacing w:before="60" w:after="60" w:line="240" w:lineRule="auto"/>
              <w:ind w:left="0"/>
              <w:rPr>
                <w:rFonts w:cs="Arial"/>
                <w:sz w:val="20"/>
                <w:szCs w:val="20"/>
              </w:rPr>
            </w:pPr>
            <w:r>
              <w:rPr>
                <w:rFonts w:cs="Arial"/>
                <w:sz w:val="20"/>
                <w:szCs w:val="20"/>
              </w:rPr>
              <w:t>CarbonNet is awaiting information from SIV to schedule meetings with fishermen.</w:t>
            </w:r>
          </w:p>
          <w:p w14:paraId="6CE7D62B" w14:textId="1576F173" w:rsidR="00A70030" w:rsidRDefault="00A70030" w:rsidP="00073385">
            <w:pPr>
              <w:spacing w:before="60" w:after="60" w:line="240" w:lineRule="auto"/>
              <w:ind w:left="0"/>
              <w:rPr>
                <w:rFonts w:cs="Arial"/>
                <w:sz w:val="20"/>
                <w:szCs w:val="20"/>
              </w:rPr>
            </w:pPr>
            <w:r>
              <w:rPr>
                <w:rFonts w:cs="Arial"/>
                <w:sz w:val="20"/>
                <w:szCs w:val="20"/>
              </w:rPr>
              <w:t xml:space="preserve">CarbonNet will </w:t>
            </w:r>
            <w:r w:rsidRPr="006F70B0">
              <w:rPr>
                <w:rFonts w:cs="Arial"/>
                <w:sz w:val="20"/>
                <w:szCs w:val="20"/>
              </w:rPr>
              <w:t xml:space="preserve">send information on the opportunity CCS represents for Gippsland. </w:t>
            </w:r>
          </w:p>
        </w:tc>
        <w:tc>
          <w:tcPr>
            <w:tcW w:w="3802" w:type="dxa"/>
            <w:tcBorders>
              <w:top w:val="single" w:sz="4" w:space="0" w:color="auto"/>
              <w:bottom w:val="single" w:sz="4" w:space="0" w:color="auto"/>
            </w:tcBorders>
            <w:shd w:val="clear" w:color="auto" w:fill="auto"/>
          </w:tcPr>
          <w:p w14:paraId="151015FA" w14:textId="77777777" w:rsidR="00A70030" w:rsidRPr="00E55D34" w:rsidRDefault="00A70030" w:rsidP="00073385">
            <w:pPr>
              <w:spacing w:before="60" w:after="60" w:line="240" w:lineRule="auto"/>
              <w:ind w:left="0"/>
              <w:rPr>
                <w:rFonts w:cs="Arial"/>
                <w:sz w:val="20"/>
                <w:szCs w:val="20"/>
              </w:rPr>
            </w:pPr>
            <w:r>
              <w:rPr>
                <w:rFonts w:cs="Arial"/>
                <w:sz w:val="20"/>
                <w:szCs w:val="20"/>
              </w:rPr>
              <w:lastRenderedPageBreak/>
              <w:t>On the same day, CarbonNet emailed SIV with:</w:t>
            </w:r>
          </w:p>
          <w:p w14:paraId="2527CFF2" w14:textId="77777777" w:rsidR="00A70030" w:rsidRPr="00E55D34" w:rsidRDefault="00A70030" w:rsidP="00073385">
            <w:pPr>
              <w:pStyle w:val="ListParagraph0"/>
              <w:numPr>
                <w:ilvl w:val="0"/>
                <w:numId w:val="480"/>
              </w:numPr>
              <w:spacing w:before="60" w:after="60" w:line="240" w:lineRule="auto"/>
              <w:rPr>
                <w:rFonts w:cs="Arial"/>
                <w:sz w:val="20"/>
                <w:szCs w:val="20"/>
              </w:rPr>
            </w:pPr>
            <w:r>
              <w:rPr>
                <w:rFonts w:cs="Arial"/>
                <w:sz w:val="20"/>
                <w:szCs w:val="20"/>
              </w:rPr>
              <w:t>Proposals for o</w:t>
            </w:r>
            <w:r w:rsidRPr="00E55D34">
              <w:rPr>
                <w:rFonts w:cs="Arial"/>
                <w:sz w:val="20"/>
                <w:szCs w:val="20"/>
              </w:rPr>
              <w:t>pportunities to collaborate, as sent to VSFA</w:t>
            </w:r>
            <w:r>
              <w:rPr>
                <w:rFonts w:cs="Arial"/>
                <w:sz w:val="20"/>
                <w:szCs w:val="20"/>
              </w:rPr>
              <w:t>.</w:t>
            </w:r>
            <w:r w:rsidRPr="00E55D34">
              <w:rPr>
                <w:rFonts w:cs="Arial"/>
                <w:sz w:val="20"/>
                <w:szCs w:val="20"/>
              </w:rPr>
              <w:t xml:space="preserve"> </w:t>
            </w:r>
          </w:p>
          <w:p w14:paraId="03612C44" w14:textId="77777777" w:rsidR="00A70030" w:rsidRPr="00E55D34" w:rsidRDefault="00A70030" w:rsidP="00073385">
            <w:pPr>
              <w:pStyle w:val="ListParagraph0"/>
              <w:numPr>
                <w:ilvl w:val="0"/>
                <w:numId w:val="480"/>
              </w:numPr>
              <w:spacing w:before="60" w:after="60" w:line="240" w:lineRule="auto"/>
              <w:rPr>
                <w:rFonts w:cs="Arial"/>
                <w:sz w:val="20"/>
                <w:szCs w:val="20"/>
              </w:rPr>
            </w:pPr>
            <w:r>
              <w:rPr>
                <w:rFonts w:cs="Arial"/>
                <w:sz w:val="20"/>
                <w:szCs w:val="20"/>
              </w:rPr>
              <w:t>I</w:t>
            </w:r>
            <w:r w:rsidRPr="00E55D34">
              <w:rPr>
                <w:rFonts w:cs="Arial"/>
                <w:sz w:val="20"/>
                <w:szCs w:val="20"/>
              </w:rPr>
              <w:t>nformation on the status of CCS, including the CarbonNet presentation previously provided to SIV</w:t>
            </w:r>
            <w:r>
              <w:rPr>
                <w:rFonts w:cs="Arial"/>
                <w:sz w:val="20"/>
                <w:szCs w:val="20"/>
              </w:rPr>
              <w:t>.</w:t>
            </w:r>
            <w:r w:rsidRPr="00E55D34">
              <w:rPr>
                <w:rFonts w:cs="Arial"/>
                <w:sz w:val="20"/>
                <w:szCs w:val="20"/>
              </w:rPr>
              <w:t xml:space="preserve"> </w:t>
            </w:r>
          </w:p>
          <w:p w14:paraId="41EBECC4" w14:textId="77777777" w:rsidR="00A70030" w:rsidRPr="00E55D34" w:rsidRDefault="00A70030" w:rsidP="00073385">
            <w:pPr>
              <w:pStyle w:val="ListParagraph0"/>
              <w:numPr>
                <w:ilvl w:val="0"/>
                <w:numId w:val="480"/>
              </w:numPr>
              <w:spacing w:before="60" w:after="60" w:line="240" w:lineRule="auto"/>
              <w:rPr>
                <w:rFonts w:cs="Arial"/>
                <w:sz w:val="20"/>
                <w:szCs w:val="20"/>
              </w:rPr>
            </w:pPr>
            <w:r w:rsidRPr="00E55D34">
              <w:rPr>
                <w:rFonts w:cs="Arial"/>
                <w:sz w:val="20"/>
                <w:szCs w:val="20"/>
              </w:rPr>
              <w:t>Request to meet with fi</w:t>
            </w:r>
            <w:r>
              <w:rPr>
                <w:rFonts w:cs="Arial"/>
                <w:sz w:val="20"/>
                <w:szCs w:val="20"/>
              </w:rPr>
              <w:t>shers on 4/5 July in Gippsland.</w:t>
            </w:r>
          </w:p>
          <w:p w14:paraId="12E700A9" w14:textId="77777777" w:rsidR="00A70030" w:rsidRPr="00E55D34" w:rsidRDefault="00A70030" w:rsidP="00073385">
            <w:pPr>
              <w:pStyle w:val="ListParagraph0"/>
              <w:numPr>
                <w:ilvl w:val="0"/>
                <w:numId w:val="480"/>
              </w:numPr>
              <w:spacing w:before="60" w:after="60" w:line="240" w:lineRule="auto"/>
              <w:rPr>
                <w:rFonts w:cs="Arial"/>
                <w:sz w:val="20"/>
                <w:szCs w:val="20"/>
              </w:rPr>
            </w:pPr>
            <w:r w:rsidRPr="00E55D34">
              <w:rPr>
                <w:rFonts w:cs="Arial"/>
                <w:sz w:val="20"/>
                <w:szCs w:val="20"/>
              </w:rPr>
              <w:t xml:space="preserve">Confirmation that </w:t>
            </w:r>
            <w:r>
              <w:rPr>
                <w:rFonts w:cs="Arial"/>
                <w:sz w:val="20"/>
                <w:szCs w:val="20"/>
              </w:rPr>
              <w:t>nine</w:t>
            </w:r>
            <w:r w:rsidRPr="00E55D34">
              <w:rPr>
                <w:rFonts w:cs="Arial"/>
                <w:sz w:val="20"/>
                <w:szCs w:val="20"/>
              </w:rPr>
              <w:t xml:space="preserve"> fishermen were sent a letter from </w:t>
            </w:r>
            <w:r>
              <w:rPr>
                <w:rFonts w:cs="Arial"/>
                <w:sz w:val="20"/>
                <w:szCs w:val="20"/>
              </w:rPr>
              <w:t>VFA</w:t>
            </w:r>
            <w:r w:rsidRPr="00E55D34">
              <w:rPr>
                <w:rFonts w:cs="Arial"/>
                <w:sz w:val="20"/>
                <w:szCs w:val="20"/>
              </w:rPr>
              <w:t xml:space="preserve"> and </w:t>
            </w:r>
            <w:r>
              <w:rPr>
                <w:rFonts w:cs="Arial"/>
                <w:sz w:val="20"/>
                <w:szCs w:val="20"/>
              </w:rPr>
              <w:t>seven</w:t>
            </w:r>
            <w:r w:rsidRPr="00E55D34">
              <w:rPr>
                <w:rFonts w:cs="Arial"/>
                <w:sz w:val="20"/>
                <w:szCs w:val="20"/>
              </w:rPr>
              <w:t xml:space="preserve"> were followed up by phone </w:t>
            </w:r>
            <w:r>
              <w:rPr>
                <w:rFonts w:cs="Arial"/>
                <w:sz w:val="20"/>
                <w:szCs w:val="20"/>
              </w:rPr>
              <w:lastRenderedPageBreak/>
              <w:t>(two</w:t>
            </w:r>
            <w:r w:rsidRPr="00E55D34">
              <w:rPr>
                <w:rFonts w:cs="Arial"/>
                <w:sz w:val="20"/>
                <w:szCs w:val="20"/>
              </w:rPr>
              <w:t xml:space="preserve"> no longer hold a licence</w:t>
            </w:r>
            <w:r>
              <w:rPr>
                <w:rFonts w:cs="Arial"/>
                <w:sz w:val="20"/>
                <w:szCs w:val="20"/>
              </w:rPr>
              <w:t>).</w:t>
            </w:r>
            <w:r w:rsidRPr="00E55D34">
              <w:rPr>
                <w:rFonts w:cs="Arial"/>
                <w:sz w:val="20"/>
                <w:szCs w:val="20"/>
              </w:rPr>
              <w:t xml:space="preserve"> </w:t>
            </w:r>
          </w:p>
          <w:p w14:paraId="4311049F" w14:textId="77777777" w:rsidR="00A70030" w:rsidRDefault="00A70030" w:rsidP="00073385">
            <w:pPr>
              <w:pStyle w:val="ListParagraph0"/>
              <w:numPr>
                <w:ilvl w:val="0"/>
                <w:numId w:val="480"/>
              </w:numPr>
              <w:spacing w:before="60" w:after="60" w:line="240" w:lineRule="auto"/>
              <w:rPr>
                <w:rFonts w:cs="Arial"/>
                <w:sz w:val="20"/>
                <w:szCs w:val="20"/>
              </w:rPr>
            </w:pPr>
            <w:r w:rsidRPr="00E55D34">
              <w:rPr>
                <w:rFonts w:cs="Arial"/>
                <w:sz w:val="20"/>
                <w:szCs w:val="20"/>
              </w:rPr>
              <w:t>Request for any further information SIV would like to formally provide to CarbonNet</w:t>
            </w:r>
            <w:r>
              <w:rPr>
                <w:rFonts w:cs="Arial"/>
                <w:sz w:val="20"/>
                <w:szCs w:val="20"/>
              </w:rPr>
              <w:t>.</w:t>
            </w:r>
          </w:p>
          <w:p w14:paraId="7EEB2E8F" w14:textId="77777777" w:rsidR="00A70030" w:rsidRDefault="00A70030" w:rsidP="00073385">
            <w:pPr>
              <w:spacing w:before="60" w:after="60" w:line="240" w:lineRule="auto"/>
              <w:ind w:left="0"/>
              <w:rPr>
                <w:rFonts w:cs="Arial"/>
                <w:sz w:val="20"/>
                <w:szCs w:val="20"/>
              </w:rPr>
            </w:pPr>
          </w:p>
          <w:p w14:paraId="1F662C3F" w14:textId="77777777" w:rsidR="00A70030" w:rsidRPr="0003651D" w:rsidRDefault="00A70030" w:rsidP="00073385">
            <w:pPr>
              <w:spacing w:before="60" w:after="60" w:line="240" w:lineRule="auto"/>
              <w:ind w:left="0"/>
              <w:rPr>
                <w:rFonts w:cs="Arial"/>
                <w:sz w:val="20"/>
                <w:szCs w:val="20"/>
              </w:rPr>
            </w:pPr>
          </w:p>
        </w:tc>
      </w:tr>
      <w:tr w:rsidR="00A70030" w:rsidRPr="00FF0808" w14:paraId="6AADC166" w14:textId="77777777" w:rsidTr="00CE3085">
        <w:trPr>
          <w:trHeight w:val="490"/>
        </w:trPr>
        <w:tc>
          <w:tcPr>
            <w:tcW w:w="1427" w:type="dxa"/>
            <w:tcBorders>
              <w:top w:val="nil"/>
              <w:bottom w:val="nil"/>
            </w:tcBorders>
            <w:shd w:val="clear" w:color="auto" w:fill="auto"/>
          </w:tcPr>
          <w:p w14:paraId="2788468F"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207A827"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6ACAAF97" w14:textId="77777777" w:rsidR="00A70030" w:rsidRDefault="00A70030" w:rsidP="00073385">
            <w:pPr>
              <w:spacing w:before="60" w:after="60" w:line="240" w:lineRule="auto"/>
              <w:ind w:left="0"/>
              <w:rPr>
                <w:rFonts w:cs="Arial"/>
                <w:sz w:val="20"/>
                <w:szCs w:val="20"/>
              </w:rPr>
            </w:pPr>
            <w:r>
              <w:rPr>
                <w:rFonts w:cs="Arial"/>
                <w:sz w:val="20"/>
                <w:szCs w:val="20"/>
              </w:rPr>
              <w:t>27/6/17</w:t>
            </w:r>
          </w:p>
        </w:tc>
        <w:tc>
          <w:tcPr>
            <w:tcW w:w="6335" w:type="dxa"/>
            <w:tcBorders>
              <w:top w:val="single" w:sz="4" w:space="0" w:color="auto"/>
              <w:bottom w:val="single" w:sz="4" w:space="0" w:color="auto"/>
            </w:tcBorders>
            <w:shd w:val="clear" w:color="auto" w:fill="auto"/>
          </w:tcPr>
          <w:p w14:paraId="7CBF225F" w14:textId="77777777" w:rsidR="00A70030" w:rsidRDefault="00A70030" w:rsidP="00073385">
            <w:pPr>
              <w:spacing w:before="60" w:after="60" w:line="240" w:lineRule="auto"/>
              <w:ind w:left="0"/>
              <w:rPr>
                <w:rFonts w:cs="Arial"/>
                <w:sz w:val="20"/>
                <w:szCs w:val="20"/>
              </w:rPr>
            </w:pPr>
            <w:r w:rsidRPr="003D08BC">
              <w:rPr>
                <w:rFonts w:cs="Arial"/>
                <w:sz w:val="20"/>
                <w:szCs w:val="20"/>
              </w:rPr>
              <w:t xml:space="preserve">CarbonNet sent </w:t>
            </w:r>
            <w:r>
              <w:rPr>
                <w:rFonts w:cs="Arial"/>
                <w:sz w:val="20"/>
                <w:szCs w:val="20"/>
              </w:rPr>
              <w:t>SIV</w:t>
            </w:r>
            <w:r w:rsidRPr="003D08BC">
              <w:rPr>
                <w:rFonts w:cs="Arial"/>
                <w:sz w:val="20"/>
                <w:szCs w:val="20"/>
              </w:rPr>
              <w:t xml:space="preserve"> a summary of the STLM results, including an offer to make the acoustic consultant available to discuss the results. CarbonNet requested </w:t>
            </w:r>
            <w:r>
              <w:rPr>
                <w:rFonts w:cs="Arial"/>
                <w:sz w:val="20"/>
                <w:szCs w:val="20"/>
              </w:rPr>
              <w:t>SIV</w:t>
            </w:r>
            <w:r w:rsidRPr="003D08BC">
              <w:rPr>
                <w:rFonts w:cs="Arial"/>
                <w:sz w:val="20"/>
                <w:szCs w:val="20"/>
              </w:rPr>
              <w:t xml:space="preserve"> get in touch with a</w:t>
            </w:r>
            <w:r>
              <w:rPr>
                <w:rFonts w:cs="Arial"/>
                <w:sz w:val="20"/>
                <w:szCs w:val="20"/>
              </w:rPr>
              <w:t>ny questions about the results.</w:t>
            </w:r>
          </w:p>
        </w:tc>
        <w:tc>
          <w:tcPr>
            <w:tcW w:w="3802" w:type="dxa"/>
            <w:tcBorders>
              <w:top w:val="single" w:sz="4" w:space="0" w:color="auto"/>
              <w:bottom w:val="single" w:sz="4" w:space="0" w:color="auto"/>
            </w:tcBorders>
            <w:shd w:val="clear" w:color="auto" w:fill="auto"/>
          </w:tcPr>
          <w:p w14:paraId="4B9693B7" w14:textId="12E908A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70EEBEA5" w14:textId="77777777" w:rsidTr="00CE3085">
        <w:trPr>
          <w:trHeight w:val="490"/>
        </w:trPr>
        <w:tc>
          <w:tcPr>
            <w:tcW w:w="1427" w:type="dxa"/>
            <w:tcBorders>
              <w:top w:val="nil"/>
              <w:bottom w:val="nil"/>
            </w:tcBorders>
            <w:shd w:val="clear" w:color="auto" w:fill="auto"/>
          </w:tcPr>
          <w:p w14:paraId="26E151CE"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D0C06F5"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173A48B" w14:textId="77777777" w:rsidR="00A70030" w:rsidRDefault="00A70030" w:rsidP="00073385">
            <w:pPr>
              <w:spacing w:before="60" w:after="60" w:line="240" w:lineRule="auto"/>
              <w:ind w:left="0"/>
              <w:rPr>
                <w:rFonts w:cs="Arial"/>
                <w:sz w:val="20"/>
                <w:szCs w:val="20"/>
              </w:rPr>
            </w:pPr>
            <w:r>
              <w:rPr>
                <w:rFonts w:cs="Arial"/>
                <w:sz w:val="20"/>
                <w:szCs w:val="20"/>
              </w:rPr>
              <w:t>27/6/17</w:t>
            </w:r>
          </w:p>
        </w:tc>
        <w:tc>
          <w:tcPr>
            <w:tcW w:w="6335" w:type="dxa"/>
            <w:tcBorders>
              <w:top w:val="single" w:sz="4" w:space="0" w:color="auto"/>
              <w:bottom w:val="single" w:sz="4" w:space="0" w:color="auto"/>
            </w:tcBorders>
            <w:shd w:val="clear" w:color="auto" w:fill="auto"/>
          </w:tcPr>
          <w:p w14:paraId="0C7C438A" w14:textId="77777777" w:rsidR="00A70030" w:rsidRDefault="00A70030" w:rsidP="00073385">
            <w:pPr>
              <w:spacing w:before="60" w:after="60" w:line="240" w:lineRule="auto"/>
              <w:ind w:left="0"/>
              <w:rPr>
                <w:rFonts w:cs="Arial"/>
                <w:sz w:val="20"/>
                <w:szCs w:val="20"/>
              </w:rPr>
            </w:pPr>
            <w:r w:rsidRPr="00AF6EC9">
              <w:rPr>
                <w:rFonts w:cs="Arial"/>
                <w:sz w:val="20"/>
                <w:szCs w:val="20"/>
              </w:rPr>
              <w:t xml:space="preserve">CarbonNet emailed SIV with a link to </w:t>
            </w:r>
            <w:r>
              <w:rPr>
                <w:rFonts w:cs="Arial"/>
                <w:sz w:val="20"/>
                <w:szCs w:val="20"/>
              </w:rPr>
              <w:t xml:space="preserve">a media release about </w:t>
            </w:r>
            <w:r w:rsidRPr="00AF6EC9">
              <w:rPr>
                <w:rFonts w:cs="Arial"/>
                <w:sz w:val="20"/>
                <w:szCs w:val="20"/>
              </w:rPr>
              <w:t>the CSIRO modelling work on plankton.</w:t>
            </w:r>
          </w:p>
        </w:tc>
        <w:tc>
          <w:tcPr>
            <w:tcW w:w="3802" w:type="dxa"/>
            <w:tcBorders>
              <w:top w:val="single" w:sz="4" w:space="0" w:color="auto"/>
              <w:bottom w:val="single" w:sz="4" w:space="0" w:color="auto"/>
            </w:tcBorders>
            <w:shd w:val="clear" w:color="auto" w:fill="auto"/>
          </w:tcPr>
          <w:p w14:paraId="1637ACD9" w14:textId="10FDB840"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1FDD6947" w14:textId="77777777" w:rsidTr="00CE3085">
        <w:trPr>
          <w:trHeight w:val="490"/>
        </w:trPr>
        <w:tc>
          <w:tcPr>
            <w:tcW w:w="1427" w:type="dxa"/>
            <w:tcBorders>
              <w:top w:val="nil"/>
              <w:bottom w:val="nil"/>
            </w:tcBorders>
            <w:shd w:val="clear" w:color="auto" w:fill="auto"/>
          </w:tcPr>
          <w:p w14:paraId="1214BA87"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04486D0"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FF4B521" w14:textId="77777777" w:rsidR="00A70030" w:rsidRDefault="00A70030" w:rsidP="00073385">
            <w:pPr>
              <w:spacing w:before="60" w:after="60" w:line="240" w:lineRule="auto"/>
              <w:ind w:left="0"/>
              <w:rPr>
                <w:rFonts w:cs="Arial"/>
                <w:sz w:val="20"/>
                <w:szCs w:val="20"/>
              </w:rPr>
            </w:pPr>
            <w:r>
              <w:rPr>
                <w:rFonts w:cs="Arial"/>
                <w:sz w:val="20"/>
                <w:szCs w:val="20"/>
              </w:rPr>
              <w:t>30/6/17</w:t>
            </w:r>
          </w:p>
        </w:tc>
        <w:tc>
          <w:tcPr>
            <w:tcW w:w="6335" w:type="dxa"/>
            <w:tcBorders>
              <w:top w:val="single" w:sz="4" w:space="0" w:color="auto"/>
              <w:bottom w:val="single" w:sz="4" w:space="0" w:color="auto"/>
            </w:tcBorders>
            <w:shd w:val="clear" w:color="auto" w:fill="auto"/>
          </w:tcPr>
          <w:p w14:paraId="09D5651E" w14:textId="77777777" w:rsidR="00A70030" w:rsidRDefault="00A70030" w:rsidP="00073385">
            <w:pPr>
              <w:spacing w:before="60" w:after="60" w:line="240" w:lineRule="auto"/>
              <w:ind w:left="0"/>
              <w:rPr>
                <w:rFonts w:cs="Arial"/>
                <w:sz w:val="20"/>
                <w:szCs w:val="20"/>
              </w:rPr>
            </w:pPr>
            <w:r>
              <w:rPr>
                <w:rFonts w:cs="Arial"/>
                <w:sz w:val="20"/>
                <w:szCs w:val="20"/>
              </w:rPr>
              <w:t xml:space="preserve">CarbonNet emailed and phoned SIV to clarify if meetings with fishers scheduled for 4/5 July was still progressing. SIV stated it is still trying to confirm the availability of fishers. </w:t>
            </w:r>
          </w:p>
        </w:tc>
        <w:tc>
          <w:tcPr>
            <w:tcW w:w="3802" w:type="dxa"/>
            <w:tcBorders>
              <w:top w:val="single" w:sz="4" w:space="0" w:color="auto"/>
              <w:bottom w:val="single" w:sz="4" w:space="0" w:color="auto"/>
            </w:tcBorders>
            <w:shd w:val="clear" w:color="auto" w:fill="auto"/>
          </w:tcPr>
          <w:p w14:paraId="5A94F73B" w14:textId="77777777" w:rsidR="00A70030" w:rsidRPr="0003651D" w:rsidRDefault="00A70030" w:rsidP="00073385">
            <w:pPr>
              <w:spacing w:before="60" w:after="60" w:line="240" w:lineRule="auto"/>
              <w:ind w:left="0"/>
              <w:rPr>
                <w:rFonts w:cs="Arial"/>
                <w:sz w:val="20"/>
                <w:szCs w:val="20"/>
              </w:rPr>
            </w:pPr>
            <w:r>
              <w:rPr>
                <w:rFonts w:cs="Arial"/>
                <w:sz w:val="20"/>
                <w:szCs w:val="20"/>
              </w:rPr>
              <w:t>CarbonNet offered to meet on 13 July in Sale as another option.</w:t>
            </w:r>
          </w:p>
        </w:tc>
      </w:tr>
      <w:tr w:rsidR="00A70030" w:rsidRPr="00FF0808" w14:paraId="5859EDFC" w14:textId="77777777" w:rsidTr="00CE3085">
        <w:trPr>
          <w:trHeight w:val="490"/>
        </w:trPr>
        <w:tc>
          <w:tcPr>
            <w:tcW w:w="1427" w:type="dxa"/>
            <w:tcBorders>
              <w:top w:val="nil"/>
              <w:bottom w:val="nil"/>
            </w:tcBorders>
            <w:shd w:val="clear" w:color="auto" w:fill="auto"/>
          </w:tcPr>
          <w:p w14:paraId="0C1C9047"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ED7B235"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3DC80DB" w14:textId="77777777" w:rsidR="00A70030" w:rsidRDefault="00A70030" w:rsidP="00073385">
            <w:pPr>
              <w:spacing w:before="60" w:after="60" w:line="240" w:lineRule="auto"/>
              <w:ind w:left="0"/>
              <w:rPr>
                <w:rFonts w:cs="Arial"/>
                <w:sz w:val="20"/>
                <w:szCs w:val="20"/>
              </w:rPr>
            </w:pPr>
            <w:r>
              <w:rPr>
                <w:rFonts w:cs="Arial"/>
                <w:sz w:val="20"/>
                <w:szCs w:val="20"/>
              </w:rPr>
              <w:t>3/7/17</w:t>
            </w:r>
          </w:p>
        </w:tc>
        <w:tc>
          <w:tcPr>
            <w:tcW w:w="6335" w:type="dxa"/>
            <w:tcBorders>
              <w:top w:val="single" w:sz="4" w:space="0" w:color="auto"/>
              <w:bottom w:val="single" w:sz="4" w:space="0" w:color="auto"/>
            </w:tcBorders>
            <w:shd w:val="clear" w:color="auto" w:fill="auto"/>
          </w:tcPr>
          <w:p w14:paraId="067625A1" w14:textId="63B46DC3" w:rsidR="00A70030" w:rsidRDefault="00A70030" w:rsidP="00073385">
            <w:pPr>
              <w:spacing w:before="60" w:after="60" w:line="240" w:lineRule="auto"/>
              <w:ind w:left="0"/>
              <w:rPr>
                <w:rFonts w:cs="Arial"/>
                <w:sz w:val="20"/>
                <w:szCs w:val="20"/>
              </w:rPr>
            </w:pPr>
            <w:r>
              <w:rPr>
                <w:rFonts w:cs="Arial"/>
                <w:sz w:val="20"/>
                <w:szCs w:val="20"/>
              </w:rPr>
              <w:t>CarbonNet emailed and left voicemail for SIV cancelling meetings on 4/5 July in Gippsland as no response had been received. CarbonNet requested confirmation of whether 13 July worked for meetings.</w:t>
            </w:r>
          </w:p>
        </w:tc>
        <w:tc>
          <w:tcPr>
            <w:tcW w:w="3802" w:type="dxa"/>
            <w:tcBorders>
              <w:top w:val="single" w:sz="4" w:space="0" w:color="auto"/>
              <w:bottom w:val="single" w:sz="4" w:space="0" w:color="auto"/>
            </w:tcBorders>
            <w:shd w:val="clear" w:color="auto" w:fill="auto"/>
          </w:tcPr>
          <w:p w14:paraId="7D8E54D8" w14:textId="709230F6" w:rsidR="00A70030" w:rsidRPr="0003651D"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15F425E" w14:textId="77777777" w:rsidTr="00CE3085">
        <w:trPr>
          <w:trHeight w:val="490"/>
        </w:trPr>
        <w:tc>
          <w:tcPr>
            <w:tcW w:w="1427" w:type="dxa"/>
            <w:tcBorders>
              <w:top w:val="nil"/>
              <w:bottom w:val="nil"/>
            </w:tcBorders>
            <w:shd w:val="clear" w:color="auto" w:fill="auto"/>
          </w:tcPr>
          <w:p w14:paraId="0D0BBEA2"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169CF76A"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nil"/>
            </w:tcBorders>
          </w:tcPr>
          <w:p w14:paraId="1ECC5794" w14:textId="77777777" w:rsidR="00A70030" w:rsidRDefault="00A70030" w:rsidP="00073385">
            <w:pPr>
              <w:spacing w:before="60" w:after="60" w:line="240" w:lineRule="auto"/>
              <w:ind w:left="0"/>
              <w:rPr>
                <w:rFonts w:cs="Arial"/>
                <w:sz w:val="20"/>
                <w:szCs w:val="20"/>
              </w:rPr>
            </w:pPr>
            <w:r>
              <w:rPr>
                <w:rFonts w:cs="Arial"/>
                <w:sz w:val="20"/>
                <w:szCs w:val="20"/>
              </w:rPr>
              <w:t>11/7/17</w:t>
            </w:r>
          </w:p>
        </w:tc>
        <w:tc>
          <w:tcPr>
            <w:tcW w:w="6335" w:type="dxa"/>
            <w:tcBorders>
              <w:top w:val="single" w:sz="4" w:space="0" w:color="auto"/>
              <w:bottom w:val="nil"/>
            </w:tcBorders>
            <w:shd w:val="clear" w:color="auto" w:fill="auto"/>
          </w:tcPr>
          <w:p w14:paraId="204899D7" w14:textId="77777777" w:rsidR="00A70030" w:rsidRDefault="00A70030" w:rsidP="00073385">
            <w:pPr>
              <w:spacing w:before="60" w:after="60" w:line="240" w:lineRule="auto"/>
              <w:ind w:left="0"/>
              <w:rPr>
                <w:rFonts w:cs="Arial"/>
                <w:sz w:val="20"/>
                <w:szCs w:val="20"/>
              </w:rPr>
            </w:pPr>
            <w:r>
              <w:rPr>
                <w:rFonts w:cs="Arial"/>
                <w:sz w:val="20"/>
                <w:szCs w:val="20"/>
              </w:rPr>
              <w:t>CarbonNet left a phone message for SIV to ask if they would like to meet on 13 July in Sale.</w:t>
            </w:r>
          </w:p>
        </w:tc>
        <w:tc>
          <w:tcPr>
            <w:tcW w:w="3802" w:type="dxa"/>
            <w:tcBorders>
              <w:top w:val="single" w:sz="4" w:space="0" w:color="auto"/>
              <w:bottom w:val="nil"/>
            </w:tcBorders>
            <w:shd w:val="clear" w:color="auto" w:fill="auto"/>
          </w:tcPr>
          <w:p w14:paraId="1C42951D" w14:textId="77777777" w:rsidR="00A70030" w:rsidRPr="0003651D"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F59C98F" w14:textId="77777777" w:rsidTr="00CE3085">
        <w:trPr>
          <w:trHeight w:val="490"/>
        </w:trPr>
        <w:tc>
          <w:tcPr>
            <w:tcW w:w="1427" w:type="dxa"/>
            <w:tcBorders>
              <w:top w:val="nil"/>
              <w:bottom w:val="nil"/>
            </w:tcBorders>
            <w:shd w:val="clear" w:color="auto" w:fill="auto"/>
          </w:tcPr>
          <w:p w14:paraId="7E81D8E6"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66AFE11" w14:textId="77777777" w:rsidR="00A70030" w:rsidRPr="00FF0808" w:rsidRDefault="00A70030" w:rsidP="00073385">
            <w:pPr>
              <w:spacing w:before="60" w:after="60" w:line="240" w:lineRule="auto"/>
              <w:ind w:left="0"/>
              <w:rPr>
                <w:rFonts w:cs="Arial"/>
                <w:sz w:val="20"/>
                <w:szCs w:val="20"/>
              </w:rPr>
            </w:pPr>
          </w:p>
        </w:tc>
        <w:tc>
          <w:tcPr>
            <w:tcW w:w="1055" w:type="dxa"/>
            <w:tcBorders>
              <w:top w:val="nil"/>
              <w:bottom w:val="nil"/>
            </w:tcBorders>
          </w:tcPr>
          <w:p w14:paraId="61A1BE72" w14:textId="77777777" w:rsidR="00A70030" w:rsidRDefault="00A70030" w:rsidP="00073385">
            <w:pPr>
              <w:spacing w:before="60" w:after="60" w:line="240" w:lineRule="auto"/>
              <w:ind w:left="0"/>
              <w:rPr>
                <w:rFonts w:cs="Arial"/>
                <w:sz w:val="20"/>
                <w:szCs w:val="20"/>
              </w:rPr>
            </w:pPr>
          </w:p>
        </w:tc>
        <w:tc>
          <w:tcPr>
            <w:tcW w:w="6335" w:type="dxa"/>
            <w:tcBorders>
              <w:top w:val="nil"/>
              <w:bottom w:val="nil"/>
            </w:tcBorders>
            <w:shd w:val="clear" w:color="auto" w:fill="auto"/>
          </w:tcPr>
          <w:p w14:paraId="15140750" w14:textId="77777777" w:rsidR="00A70030" w:rsidRDefault="00A70030" w:rsidP="00073385">
            <w:pPr>
              <w:spacing w:before="60" w:after="60" w:line="240" w:lineRule="auto"/>
              <w:ind w:left="0"/>
              <w:rPr>
                <w:rFonts w:cs="Arial"/>
                <w:sz w:val="20"/>
                <w:szCs w:val="20"/>
              </w:rPr>
            </w:pPr>
            <w:r>
              <w:rPr>
                <w:rFonts w:cs="Arial"/>
                <w:sz w:val="20"/>
                <w:szCs w:val="20"/>
              </w:rPr>
              <w:t>CarbonNet emailed SIV to confirm the meeting planned for 13 July will not proceed. CarbonNet explained that as it had not received a response to opportunities to meet, it will continue with EP preparation with the information available.</w:t>
            </w:r>
          </w:p>
        </w:tc>
        <w:tc>
          <w:tcPr>
            <w:tcW w:w="3802" w:type="dxa"/>
            <w:tcBorders>
              <w:top w:val="nil"/>
              <w:bottom w:val="nil"/>
            </w:tcBorders>
            <w:shd w:val="clear" w:color="auto" w:fill="auto"/>
          </w:tcPr>
          <w:p w14:paraId="3C69511E" w14:textId="77777777" w:rsidR="00A70030" w:rsidRPr="0003651D" w:rsidRDefault="00A70030" w:rsidP="00073385">
            <w:pPr>
              <w:spacing w:before="60" w:after="60" w:line="240" w:lineRule="auto"/>
              <w:ind w:left="0"/>
              <w:rPr>
                <w:rFonts w:cs="Arial"/>
                <w:sz w:val="20"/>
                <w:szCs w:val="20"/>
              </w:rPr>
            </w:pPr>
          </w:p>
        </w:tc>
      </w:tr>
      <w:tr w:rsidR="00A70030" w:rsidRPr="00FF0808" w14:paraId="0B3E7C45" w14:textId="77777777" w:rsidTr="00CE3085">
        <w:trPr>
          <w:trHeight w:val="490"/>
        </w:trPr>
        <w:tc>
          <w:tcPr>
            <w:tcW w:w="1427" w:type="dxa"/>
            <w:tcBorders>
              <w:top w:val="nil"/>
              <w:bottom w:val="nil"/>
            </w:tcBorders>
            <w:shd w:val="clear" w:color="auto" w:fill="auto"/>
          </w:tcPr>
          <w:p w14:paraId="22964EBD"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B576FB0" w14:textId="77777777" w:rsidR="00A70030" w:rsidRPr="00FF0808" w:rsidRDefault="00A70030" w:rsidP="00073385">
            <w:pPr>
              <w:spacing w:before="60" w:after="60" w:line="240" w:lineRule="auto"/>
              <w:ind w:left="0"/>
              <w:rPr>
                <w:rFonts w:cs="Arial"/>
                <w:sz w:val="20"/>
                <w:szCs w:val="20"/>
              </w:rPr>
            </w:pPr>
          </w:p>
        </w:tc>
        <w:tc>
          <w:tcPr>
            <w:tcW w:w="1055" w:type="dxa"/>
            <w:tcBorders>
              <w:top w:val="nil"/>
              <w:bottom w:val="single" w:sz="4" w:space="0" w:color="auto"/>
            </w:tcBorders>
          </w:tcPr>
          <w:p w14:paraId="6464BAA1" w14:textId="77777777" w:rsidR="00A70030" w:rsidRDefault="00A70030" w:rsidP="00073385">
            <w:pPr>
              <w:spacing w:before="60" w:after="60" w:line="240" w:lineRule="auto"/>
              <w:ind w:left="0"/>
              <w:rPr>
                <w:rFonts w:cs="Arial"/>
                <w:sz w:val="20"/>
                <w:szCs w:val="20"/>
              </w:rPr>
            </w:pPr>
          </w:p>
        </w:tc>
        <w:tc>
          <w:tcPr>
            <w:tcW w:w="6335" w:type="dxa"/>
            <w:tcBorders>
              <w:top w:val="nil"/>
              <w:bottom w:val="single" w:sz="4" w:space="0" w:color="auto"/>
            </w:tcBorders>
            <w:shd w:val="clear" w:color="auto" w:fill="auto"/>
          </w:tcPr>
          <w:p w14:paraId="70870513" w14:textId="0940B83F" w:rsidR="00A70030" w:rsidRDefault="00A70030" w:rsidP="00073385">
            <w:pPr>
              <w:spacing w:before="60" w:after="60" w:line="240" w:lineRule="auto"/>
              <w:ind w:left="0"/>
              <w:rPr>
                <w:rFonts w:cs="Arial"/>
                <w:sz w:val="20"/>
                <w:szCs w:val="20"/>
              </w:rPr>
            </w:pPr>
            <w:r>
              <w:rPr>
                <w:rFonts w:cs="Arial"/>
                <w:sz w:val="20"/>
                <w:szCs w:val="20"/>
              </w:rPr>
              <w:t xml:space="preserve">SIV emailed CarbonNet to say they can’t meet on 13 July as it has not received the information they want to be able to progress discussions. SIV would like to discuss some information on scallops with CarbonNet. </w:t>
            </w:r>
          </w:p>
        </w:tc>
        <w:tc>
          <w:tcPr>
            <w:tcW w:w="3802" w:type="dxa"/>
            <w:tcBorders>
              <w:top w:val="nil"/>
              <w:bottom w:val="single" w:sz="4" w:space="0" w:color="auto"/>
            </w:tcBorders>
            <w:shd w:val="clear" w:color="auto" w:fill="auto"/>
          </w:tcPr>
          <w:p w14:paraId="06DA9979" w14:textId="77777777" w:rsidR="00A70030" w:rsidRPr="0003651D" w:rsidRDefault="00A70030" w:rsidP="00073385">
            <w:pPr>
              <w:spacing w:before="60" w:after="60" w:line="240" w:lineRule="auto"/>
              <w:ind w:left="0"/>
              <w:rPr>
                <w:rFonts w:cs="Arial"/>
                <w:sz w:val="20"/>
                <w:szCs w:val="20"/>
              </w:rPr>
            </w:pPr>
          </w:p>
        </w:tc>
      </w:tr>
      <w:tr w:rsidR="00A70030" w:rsidRPr="00FF0808" w14:paraId="7A611EAD" w14:textId="77777777" w:rsidTr="00CE3085">
        <w:trPr>
          <w:trHeight w:val="490"/>
        </w:trPr>
        <w:tc>
          <w:tcPr>
            <w:tcW w:w="1427" w:type="dxa"/>
            <w:tcBorders>
              <w:top w:val="nil"/>
              <w:bottom w:val="nil"/>
            </w:tcBorders>
            <w:shd w:val="clear" w:color="auto" w:fill="auto"/>
          </w:tcPr>
          <w:p w14:paraId="77321737"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7B18301"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FFB981A" w14:textId="77777777" w:rsidR="00A70030" w:rsidRDefault="00A70030" w:rsidP="00073385">
            <w:pPr>
              <w:spacing w:before="60" w:after="60" w:line="240" w:lineRule="auto"/>
              <w:ind w:left="0"/>
              <w:rPr>
                <w:rFonts w:cs="Arial"/>
                <w:sz w:val="20"/>
                <w:szCs w:val="20"/>
              </w:rPr>
            </w:pPr>
            <w:r>
              <w:rPr>
                <w:rFonts w:cs="Arial"/>
                <w:sz w:val="20"/>
                <w:szCs w:val="20"/>
              </w:rPr>
              <w:t>12/7/17</w:t>
            </w:r>
          </w:p>
        </w:tc>
        <w:tc>
          <w:tcPr>
            <w:tcW w:w="6335" w:type="dxa"/>
            <w:tcBorders>
              <w:top w:val="single" w:sz="4" w:space="0" w:color="auto"/>
              <w:bottom w:val="single" w:sz="4" w:space="0" w:color="auto"/>
            </w:tcBorders>
            <w:shd w:val="clear" w:color="auto" w:fill="auto"/>
          </w:tcPr>
          <w:p w14:paraId="0206F604" w14:textId="77777777" w:rsidR="00A70030" w:rsidRDefault="00A70030" w:rsidP="00073385">
            <w:pPr>
              <w:spacing w:before="60" w:after="60" w:line="240" w:lineRule="auto"/>
              <w:ind w:left="0"/>
              <w:rPr>
                <w:rFonts w:cs="Arial"/>
                <w:sz w:val="20"/>
                <w:szCs w:val="20"/>
              </w:rPr>
            </w:pPr>
            <w:r>
              <w:rPr>
                <w:rFonts w:cs="Arial"/>
                <w:sz w:val="20"/>
                <w:szCs w:val="20"/>
              </w:rPr>
              <w:t>CarbonNet received an email from SIV including the following:</w:t>
            </w:r>
          </w:p>
          <w:p w14:paraId="60189F63" w14:textId="77777777" w:rsidR="00A70030" w:rsidRPr="00E55D34" w:rsidRDefault="00A70030" w:rsidP="00073385">
            <w:pPr>
              <w:pStyle w:val="ListParagraph0"/>
              <w:numPr>
                <w:ilvl w:val="0"/>
                <w:numId w:val="482"/>
              </w:numPr>
              <w:spacing w:before="60" w:after="60" w:line="240" w:lineRule="auto"/>
              <w:rPr>
                <w:rFonts w:cs="Arial"/>
                <w:sz w:val="20"/>
                <w:szCs w:val="20"/>
              </w:rPr>
            </w:pPr>
            <w:r>
              <w:rPr>
                <w:rFonts w:cs="Arial"/>
                <w:sz w:val="20"/>
                <w:szCs w:val="20"/>
              </w:rPr>
              <w:t>P</w:t>
            </w:r>
            <w:r w:rsidRPr="00E55D34">
              <w:rPr>
                <w:rFonts w:cs="Arial"/>
                <w:sz w:val="20"/>
                <w:szCs w:val="20"/>
              </w:rPr>
              <w:t xml:space="preserve">hotos </w:t>
            </w:r>
            <w:r>
              <w:rPr>
                <w:rFonts w:cs="Arial"/>
                <w:sz w:val="20"/>
                <w:szCs w:val="20"/>
              </w:rPr>
              <w:t xml:space="preserve">SIV claimed were </w:t>
            </w:r>
            <w:r w:rsidRPr="00E55D34">
              <w:rPr>
                <w:rFonts w:cs="Arial"/>
                <w:sz w:val="20"/>
                <w:szCs w:val="20"/>
              </w:rPr>
              <w:t xml:space="preserve">taken within the </w:t>
            </w:r>
            <w:r>
              <w:rPr>
                <w:rFonts w:cs="Arial"/>
                <w:sz w:val="20"/>
                <w:szCs w:val="20"/>
              </w:rPr>
              <w:t xml:space="preserve">proposed acquisition </w:t>
            </w:r>
            <w:r w:rsidRPr="00E55D34">
              <w:rPr>
                <w:rFonts w:cs="Arial"/>
                <w:sz w:val="20"/>
                <w:szCs w:val="20"/>
              </w:rPr>
              <w:t>area of significant quantities of scallops (80 mm</w:t>
            </w:r>
            <w:r>
              <w:rPr>
                <w:rFonts w:cs="Arial"/>
                <w:sz w:val="20"/>
                <w:szCs w:val="20"/>
              </w:rPr>
              <w:t xml:space="preserve"> in size</w:t>
            </w:r>
            <w:r w:rsidRPr="00E55D34">
              <w:rPr>
                <w:rFonts w:cs="Arial"/>
                <w:sz w:val="20"/>
                <w:szCs w:val="20"/>
              </w:rPr>
              <w:t xml:space="preserve">). </w:t>
            </w:r>
            <w:r>
              <w:rPr>
                <w:rFonts w:cs="Arial"/>
                <w:sz w:val="20"/>
                <w:szCs w:val="20"/>
              </w:rPr>
              <w:t xml:space="preserve">According to SIV, an </w:t>
            </w:r>
            <w:r w:rsidRPr="00E55D34">
              <w:rPr>
                <w:rFonts w:cs="Arial"/>
                <w:sz w:val="20"/>
                <w:szCs w:val="20"/>
              </w:rPr>
              <w:t xml:space="preserve">operator dragged </w:t>
            </w:r>
            <w:r>
              <w:rPr>
                <w:rFonts w:cs="Arial"/>
                <w:sz w:val="20"/>
                <w:szCs w:val="20"/>
              </w:rPr>
              <w:t>a</w:t>
            </w:r>
            <w:r w:rsidRPr="00E55D34">
              <w:rPr>
                <w:rFonts w:cs="Arial"/>
                <w:sz w:val="20"/>
                <w:szCs w:val="20"/>
              </w:rPr>
              <w:t xml:space="preserve"> dredge through a number of locations in the </w:t>
            </w:r>
            <w:r>
              <w:rPr>
                <w:rFonts w:cs="Arial"/>
                <w:sz w:val="20"/>
                <w:szCs w:val="20"/>
              </w:rPr>
              <w:t>proposed acquisition</w:t>
            </w:r>
            <w:r w:rsidRPr="00E55D34">
              <w:rPr>
                <w:rFonts w:cs="Arial"/>
                <w:sz w:val="20"/>
                <w:szCs w:val="20"/>
              </w:rPr>
              <w:t xml:space="preserve"> area</w:t>
            </w:r>
            <w:r>
              <w:rPr>
                <w:rFonts w:cs="Arial"/>
                <w:sz w:val="20"/>
                <w:szCs w:val="20"/>
              </w:rPr>
              <w:t>,</w:t>
            </w:r>
            <w:r w:rsidRPr="00E55D34">
              <w:rPr>
                <w:rFonts w:cs="Arial"/>
                <w:sz w:val="20"/>
                <w:szCs w:val="20"/>
              </w:rPr>
              <w:t xml:space="preserve"> all of which were abundant with scallops that were below the legal size limit </w:t>
            </w:r>
            <w:r>
              <w:rPr>
                <w:rFonts w:cs="Arial"/>
                <w:sz w:val="20"/>
                <w:szCs w:val="20"/>
              </w:rPr>
              <w:t>(</w:t>
            </w:r>
            <w:r w:rsidRPr="00E55D34">
              <w:rPr>
                <w:rFonts w:cs="Arial"/>
                <w:sz w:val="20"/>
                <w:szCs w:val="20"/>
              </w:rPr>
              <w:t xml:space="preserve">so </w:t>
            </w:r>
            <w:r>
              <w:rPr>
                <w:rFonts w:cs="Arial"/>
                <w:sz w:val="20"/>
                <w:szCs w:val="20"/>
              </w:rPr>
              <w:t xml:space="preserve">they were </w:t>
            </w:r>
            <w:r w:rsidRPr="00E55D34">
              <w:rPr>
                <w:rFonts w:cs="Arial"/>
                <w:sz w:val="20"/>
                <w:szCs w:val="20"/>
              </w:rPr>
              <w:t xml:space="preserve">returned to </w:t>
            </w:r>
            <w:r>
              <w:rPr>
                <w:rFonts w:cs="Arial"/>
                <w:sz w:val="20"/>
                <w:szCs w:val="20"/>
              </w:rPr>
              <w:t xml:space="preserve">the </w:t>
            </w:r>
            <w:r w:rsidRPr="00E55D34">
              <w:rPr>
                <w:rFonts w:cs="Arial"/>
                <w:sz w:val="20"/>
                <w:szCs w:val="20"/>
              </w:rPr>
              <w:t>water alive</w:t>
            </w:r>
            <w:r>
              <w:rPr>
                <w:rFonts w:cs="Arial"/>
                <w:sz w:val="20"/>
                <w:szCs w:val="20"/>
              </w:rPr>
              <w:t>)</w:t>
            </w:r>
            <w:r w:rsidRPr="00E55D34">
              <w:rPr>
                <w:rFonts w:cs="Arial"/>
                <w:sz w:val="20"/>
                <w:szCs w:val="20"/>
              </w:rPr>
              <w:t xml:space="preserve">. </w:t>
            </w:r>
            <w:r>
              <w:rPr>
                <w:rFonts w:cs="Arial"/>
                <w:sz w:val="20"/>
                <w:szCs w:val="20"/>
              </w:rPr>
              <w:t xml:space="preserve">SIV said it has </w:t>
            </w:r>
            <w:r w:rsidRPr="00E55D34">
              <w:rPr>
                <w:rFonts w:cs="Arial"/>
                <w:sz w:val="20"/>
                <w:szCs w:val="20"/>
              </w:rPr>
              <w:t>more photos and GPS points</w:t>
            </w:r>
            <w:r>
              <w:rPr>
                <w:rFonts w:cs="Arial"/>
                <w:sz w:val="20"/>
                <w:szCs w:val="20"/>
              </w:rPr>
              <w:t>, which were not attached.</w:t>
            </w:r>
          </w:p>
          <w:p w14:paraId="2BA7920E" w14:textId="77777777" w:rsidR="00A70030" w:rsidRPr="00E55D34" w:rsidRDefault="00A70030" w:rsidP="00073385">
            <w:pPr>
              <w:pStyle w:val="ListParagraph0"/>
              <w:numPr>
                <w:ilvl w:val="0"/>
                <w:numId w:val="482"/>
              </w:numPr>
              <w:spacing w:before="60" w:after="60" w:line="240" w:lineRule="auto"/>
              <w:rPr>
                <w:rFonts w:cs="Arial"/>
                <w:sz w:val="20"/>
                <w:szCs w:val="20"/>
              </w:rPr>
            </w:pPr>
            <w:r>
              <w:rPr>
                <w:rFonts w:cs="Arial"/>
                <w:sz w:val="20"/>
                <w:szCs w:val="20"/>
              </w:rPr>
              <w:t>N</w:t>
            </w:r>
            <w:r w:rsidRPr="00E55D34">
              <w:rPr>
                <w:rFonts w:cs="Arial"/>
                <w:sz w:val="20"/>
                <w:szCs w:val="20"/>
              </w:rPr>
              <w:t xml:space="preserve">oted a previous conversation on the viability of CCS and said the MSS could cause scallop deaths for something 'that will probably not work'. </w:t>
            </w:r>
          </w:p>
          <w:p w14:paraId="569ADB95" w14:textId="77777777" w:rsidR="00A70030" w:rsidRPr="00E55D34" w:rsidRDefault="00A70030" w:rsidP="00073385">
            <w:pPr>
              <w:pStyle w:val="ListParagraph0"/>
              <w:numPr>
                <w:ilvl w:val="0"/>
                <w:numId w:val="482"/>
              </w:numPr>
              <w:spacing w:before="60" w:after="60" w:line="240" w:lineRule="auto"/>
              <w:rPr>
                <w:rFonts w:cs="Arial"/>
                <w:sz w:val="20"/>
                <w:szCs w:val="20"/>
              </w:rPr>
            </w:pPr>
            <w:r>
              <w:rPr>
                <w:rFonts w:cs="Arial"/>
                <w:sz w:val="20"/>
                <w:szCs w:val="20"/>
              </w:rPr>
              <w:t>R</w:t>
            </w:r>
            <w:r w:rsidRPr="00E55D34">
              <w:rPr>
                <w:rFonts w:cs="Arial"/>
                <w:sz w:val="20"/>
                <w:szCs w:val="20"/>
              </w:rPr>
              <w:t xml:space="preserve">aised </w:t>
            </w:r>
            <w:r>
              <w:rPr>
                <w:rFonts w:cs="Arial"/>
                <w:sz w:val="20"/>
                <w:szCs w:val="20"/>
              </w:rPr>
              <w:t xml:space="preserve">the </w:t>
            </w:r>
            <w:r w:rsidRPr="00C83C0E">
              <w:rPr>
                <w:rFonts w:cs="Arial"/>
                <w:i/>
                <w:sz w:val="20"/>
                <w:szCs w:val="20"/>
              </w:rPr>
              <w:t>Nature</w:t>
            </w:r>
            <w:r w:rsidRPr="00E55D34">
              <w:rPr>
                <w:rFonts w:cs="Arial"/>
                <w:sz w:val="20"/>
                <w:szCs w:val="20"/>
              </w:rPr>
              <w:t xml:space="preserve"> journal article on plankton - one operator who fishes for pilchards, Australian salmon and other species is significantly concerned about the impact on these species in light of the plankton research. </w:t>
            </w:r>
          </w:p>
          <w:p w14:paraId="0DE6BB53" w14:textId="77777777" w:rsidR="00A70030" w:rsidRPr="00E55D34" w:rsidRDefault="00A70030" w:rsidP="00073385">
            <w:pPr>
              <w:pStyle w:val="ListParagraph0"/>
              <w:numPr>
                <w:ilvl w:val="0"/>
                <w:numId w:val="482"/>
              </w:numPr>
              <w:spacing w:before="60" w:after="60" w:line="240" w:lineRule="auto"/>
              <w:rPr>
                <w:rFonts w:cs="Arial"/>
                <w:sz w:val="20"/>
                <w:szCs w:val="20"/>
              </w:rPr>
            </w:pPr>
            <w:r>
              <w:rPr>
                <w:rFonts w:cs="Arial"/>
                <w:sz w:val="20"/>
                <w:szCs w:val="20"/>
              </w:rPr>
              <w:t xml:space="preserve">Asked </w:t>
            </w:r>
            <w:r w:rsidRPr="00E55D34">
              <w:rPr>
                <w:rFonts w:cs="Arial"/>
                <w:sz w:val="20"/>
                <w:szCs w:val="20"/>
              </w:rPr>
              <w:t xml:space="preserve">if </w:t>
            </w:r>
            <w:r>
              <w:rPr>
                <w:rFonts w:cs="Arial"/>
                <w:sz w:val="20"/>
                <w:szCs w:val="20"/>
              </w:rPr>
              <w:t xml:space="preserve">CarbonNet has </w:t>
            </w:r>
            <w:r w:rsidRPr="00E55D34">
              <w:rPr>
                <w:rFonts w:cs="Arial"/>
                <w:sz w:val="20"/>
                <w:szCs w:val="20"/>
              </w:rPr>
              <w:t>a bond in place to compensate on any future impacts to these fisheries</w:t>
            </w:r>
            <w:r>
              <w:rPr>
                <w:rFonts w:cs="Arial"/>
                <w:sz w:val="20"/>
                <w:szCs w:val="20"/>
              </w:rPr>
              <w:t>.</w:t>
            </w:r>
            <w:r w:rsidRPr="00E55D34">
              <w:rPr>
                <w:rFonts w:cs="Arial"/>
                <w:sz w:val="20"/>
                <w:szCs w:val="20"/>
              </w:rPr>
              <w:t xml:space="preserve"> </w:t>
            </w:r>
          </w:p>
          <w:p w14:paraId="67AD0A9C" w14:textId="77777777" w:rsidR="00A70030" w:rsidRPr="00E55D34" w:rsidRDefault="00A70030" w:rsidP="00073385">
            <w:pPr>
              <w:pStyle w:val="ListParagraph0"/>
              <w:numPr>
                <w:ilvl w:val="0"/>
                <w:numId w:val="482"/>
              </w:numPr>
              <w:spacing w:before="60" w:after="60" w:line="240" w:lineRule="auto"/>
              <w:rPr>
                <w:rFonts w:cs="Arial"/>
                <w:sz w:val="20"/>
                <w:szCs w:val="20"/>
              </w:rPr>
            </w:pPr>
            <w:r>
              <w:rPr>
                <w:rFonts w:cs="Arial"/>
                <w:sz w:val="20"/>
                <w:szCs w:val="20"/>
              </w:rPr>
              <w:t>A</w:t>
            </w:r>
            <w:r w:rsidRPr="00E55D34">
              <w:rPr>
                <w:rFonts w:cs="Arial"/>
                <w:sz w:val="20"/>
                <w:szCs w:val="20"/>
              </w:rPr>
              <w:t xml:space="preserve">sked if </w:t>
            </w:r>
            <w:r>
              <w:rPr>
                <w:rFonts w:cs="Arial"/>
                <w:sz w:val="20"/>
                <w:szCs w:val="20"/>
              </w:rPr>
              <w:t xml:space="preserve">CarbonNet </w:t>
            </w:r>
            <w:r w:rsidRPr="00E55D34">
              <w:rPr>
                <w:rFonts w:cs="Arial"/>
                <w:sz w:val="20"/>
                <w:szCs w:val="20"/>
              </w:rPr>
              <w:t>ha</w:t>
            </w:r>
            <w:r>
              <w:rPr>
                <w:rFonts w:cs="Arial"/>
                <w:sz w:val="20"/>
                <w:szCs w:val="20"/>
              </w:rPr>
              <w:t>s</w:t>
            </w:r>
            <w:r w:rsidRPr="00E55D34">
              <w:rPr>
                <w:rFonts w:cs="Arial"/>
                <w:sz w:val="20"/>
                <w:szCs w:val="20"/>
              </w:rPr>
              <w:t xml:space="preserve"> a future monitoring strategy in mind for potentially impacted species</w:t>
            </w:r>
            <w:r>
              <w:rPr>
                <w:rFonts w:cs="Arial"/>
                <w:sz w:val="20"/>
                <w:szCs w:val="20"/>
              </w:rPr>
              <w:t>.</w:t>
            </w:r>
            <w:r w:rsidRPr="00E55D34">
              <w:rPr>
                <w:rFonts w:cs="Arial"/>
                <w:sz w:val="20"/>
                <w:szCs w:val="20"/>
              </w:rPr>
              <w:t xml:space="preserve"> </w:t>
            </w:r>
          </w:p>
          <w:p w14:paraId="747CE9FF" w14:textId="77777777" w:rsidR="00A70030" w:rsidRPr="00E55D34" w:rsidRDefault="00A70030" w:rsidP="00073385">
            <w:pPr>
              <w:pStyle w:val="ListParagraph0"/>
              <w:numPr>
                <w:ilvl w:val="0"/>
                <w:numId w:val="482"/>
              </w:numPr>
              <w:spacing w:before="60" w:after="60" w:line="240" w:lineRule="auto"/>
              <w:rPr>
                <w:rFonts w:cs="Arial"/>
                <w:sz w:val="20"/>
                <w:szCs w:val="20"/>
              </w:rPr>
            </w:pPr>
            <w:r>
              <w:rPr>
                <w:rFonts w:cs="Arial"/>
                <w:sz w:val="20"/>
                <w:szCs w:val="20"/>
              </w:rPr>
              <w:t>C</w:t>
            </w:r>
            <w:r w:rsidRPr="00E55D34">
              <w:rPr>
                <w:rFonts w:cs="Arial"/>
                <w:sz w:val="20"/>
                <w:szCs w:val="20"/>
              </w:rPr>
              <w:t>ommented on CarbonNet's habitat assessment - said scallops live within the seabed and require a dredge to see/catch them, and that rock lobster lives in 'cryptic habitat'</w:t>
            </w:r>
            <w:r>
              <w:rPr>
                <w:rFonts w:cs="Arial"/>
                <w:sz w:val="20"/>
                <w:szCs w:val="20"/>
              </w:rPr>
              <w:t>,</w:t>
            </w:r>
            <w:r w:rsidRPr="00E55D34">
              <w:rPr>
                <w:rFonts w:cs="Arial"/>
                <w:sz w:val="20"/>
                <w:szCs w:val="20"/>
              </w:rPr>
              <w:t xml:space="preserve"> </w:t>
            </w:r>
            <w:r>
              <w:rPr>
                <w:rFonts w:cs="Arial"/>
                <w:sz w:val="20"/>
                <w:szCs w:val="20"/>
              </w:rPr>
              <w:t xml:space="preserve">which is why the </w:t>
            </w:r>
            <w:r w:rsidRPr="00E55D34">
              <w:rPr>
                <w:rFonts w:cs="Arial"/>
                <w:sz w:val="20"/>
                <w:szCs w:val="20"/>
              </w:rPr>
              <w:t xml:space="preserve">video did not detect them. </w:t>
            </w:r>
          </w:p>
          <w:p w14:paraId="7729C7FB" w14:textId="77777777" w:rsidR="00A70030" w:rsidRPr="00E55D34" w:rsidRDefault="00A70030" w:rsidP="00073385">
            <w:pPr>
              <w:pStyle w:val="ListParagraph0"/>
              <w:numPr>
                <w:ilvl w:val="0"/>
                <w:numId w:val="482"/>
              </w:numPr>
              <w:spacing w:before="60" w:after="60" w:line="240" w:lineRule="auto"/>
              <w:rPr>
                <w:rFonts w:cs="Arial"/>
                <w:sz w:val="20"/>
                <w:szCs w:val="20"/>
              </w:rPr>
            </w:pPr>
            <w:r>
              <w:rPr>
                <w:rFonts w:cs="Arial"/>
                <w:sz w:val="20"/>
                <w:szCs w:val="20"/>
              </w:rPr>
              <w:t>As</w:t>
            </w:r>
            <w:r w:rsidRPr="00E55D34">
              <w:rPr>
                <w:rFonts w:cs="Arial"/>
                <w:sz w:val="20"/>
                <w:szCs w:val="20"/>
              </w:rPr>
              <w:t>ked when the regulated 'precautionary principle’ appl</w:t>
            </w:r>
            <w:r>
              <w:rPr>
                <w:rFonts w:cs="Arial"/>
                <w:sz w:val="20"/>
                <w:szCs w:val="20"/>
              </w:rPr>
              <w:t>ies</w:t>
            </w:r>
            <w:r w:rsidRPr="00E55D34">
              <w:rPr>
                <w:rFonts w:cs="Arial"/>
                <w:sz w:val="20"/>
                <w:szCs w:val="20"/>
              </w:rPr>
              <w:t xml:space="preserve"> and how is it reported and considered in the EP</w:t>
            </w:r>
            <w:r>
              <w:rPr>
                <w:rFonts w:cs="Arial"/>
                <w:sz w:val="20"/>
                <w:szCs w:val="20"/>
              </w:rPr>
              <w:t>.</w:t>
            </w:r>
            <w:r w:rsidRPr="00E55D34">
              <w:rPr>
                <w:rFonts w:cs="Arial"/>
                <w:sz w:val="20"/>
                <w:szCs w:val="20"/>
              </w:rPr>
              <w:t xml:space="preserve"> </w:t>
            </w:r>
          </w:p>
          <w:p w14:paraId="18E9DB0D" w14:textId="77777777" w:rsidR="00A70030" w:rsidRDefault="00A70030" w:rsidP="00073385">
            <w:pPr>
              <w:pStyle w:val="ListParagraph0"/>
              <w:numPr>
                <w:ilvl w:val="0"/>
                <w:numId w:val="482"/>
              </w:numPr>
              <w:spacing w:before="60" w:after="60" w:line="240" w:lineRule="auto"/>
              <w:rPr>
                <w:rFonts w:cs="Arial"/>
                <w:sz w:val="20"/>
                <w:szCs w:val="20"/>
              </w:rPr>
            </w:pPr>
            <w:r>
              <w:rPr>
                <w:rFonts w:cs="Arial"/>
                <w:sz w:val="20"/>
                <w:szCs w:val="20"/>
              </w:rPr>
              <w:t>A</w:t>
            </w:r>
            <w:r w:rsidRPr="00E55D34">
              <w:rPr>
                <w:rFonts w:cs="Arial"/>
                <w:sz w:val="20"/>
                <w:szCs w:val="20"/>
              </w:rPr>
              <w:t xml:space="preserve">sked if </w:t>
            </w:r>
            <w:r>
              <w:rPr>
                <w:rFonts w:cs="Arial"/>
                <w:sz w:val="20"/>
                <w:szCs w:val="20"/>
              </w:rPr>
              <w:t xml:space="preserve">the </w:t>
            </w:r>
            <w:r w:rsidRPr="00E55D34">
              <w:rPr>
                <w:rFonts w:cs="Arial"/>
                <w:sz w:val="20"/>
                <w:szCs w:val="20"/>
              </w:rPr>
              <w:t>EP will be available to view publicly, so SIV can ensure it considers their co</w:t>
            </w:r>
            <w:r>
              <w:rPr>
                <w:rFonts w:cs="Arial"/>
                <w:sz w:val="20"/>
                <w:szCs w:val="20"/>
              </w:rPr>
              <w:t>ncerns prior to being submitted.</w:t>
            </w:r>
          </w:p>
          <w:p w14:paraId="5E8546BB" w14:textId="77777777" w:rsidR="00A70030" w:rsidRDefault="00A70030" w:rsidP="00073385">
            <w:pPr>
              <w:spacing w:before="60" w:after="60" w:line="240" w:lineRule="auto"/>
              <w:ind w:left="0"/>
              <w:rPr>
                <w:rFonts w:cs="Arial"/>
                <w:sz w:val="20"/>
                <w:szCs w:val="20"/>
              </w:rPr>
            </w:pPr>
          </w:p>
        </w:tc>
        <w:tc>
          <w:tcPr>
            <w:tcW w:w="3802" w:type="dxa"/>
            <w:tcBorders>
              <w:top w:val="single" w:sz="4" w:space="0" w:color="auto"/>
              <w:bottom w:val="single" w:sz="4" w:space="0" w:color="auto"/>
            </w:tcBorders>
            <w:shd w:val="clear" w:color="auto" w:fill="auto"/>
          </w:tcPr>
          <w:p w14:paraId="39F758F0" w14:textId="77777777" w:rsidR="00A70030" w:rsidRDefault="00A70030" w:rsidP="00073385">
            <w:pPr>
              <w:spacing w:before="60" w:after="60" w:line="240" w:lineRule="auto"/>
              <w:ind w:left="0"/>
              <w:rPr>
                <w:rFonts w:cs="Arial"/>
                <w:sz w:val="20"/>
                <w:szCs w:val="20"/>
              </w:rPr>
            </w:pPr>
            <w:r>
              <w:rPr>
                <w:rFonts w:cs="Arial"/>
                <w:sz w:val="20"/>
                <w:szCs w:val="20"/>
              </w:rPr>
              <w:t xml:space="preserve">In response to this email, CarbonNet undertook the following: </w:t>
            </w:r>
          </w:p>
          <w:p w14:paraId="611BC355" w14:textId="77777777" w:rsidR="00A70030" w:rsidRDefault="00A70030" w:rsidP="00073385">
            <w:pPr>
              <w:pStyle w:val="ListParagraph0"/>
              <w:numPr>
                <w:ilvl w:val="0"/>
                <w:numId w:val="483"/>
              </w:numPr>
              <w:spacing w:before="60" w:after="60" w:line="240" w:lineRule="auto"/>
              <w:ind w:left="461" w:hanging="284"/>
              <w:rPr>
                <w:rFonts w:cs="Arial"/>
                <w:sz w:val="20"/>
                <w:szCs w:val="20"/>
              </w:rPr>
            </w:pPr>
            <w:r>
              <w:rPr>
                <w:rFonts w:cs="Arial"/>
                <w:sz w:val="20"/>
                <w:szCs w:val="20"/>
              </w:rPr>
              <w:t>Followed up the scallop dredging locations with SIV and VFA, subsequently finding that all the dredge locations were outside the proposed acquisition area.</w:t>
            </w:r>
          </w:p>
          <w:p w14:paraId="01216D0C" w14:textId="77777777" w:rsidR="00A70030" w:rsidRPr="00C83C0E" w:rsidRDefault="00A70030" w:rsidP="00073385">
            <w:pPr>
              <w:pStyle w:val="ListParagraph0"/>
              <w:numPr>
                <w:ilvl w:val="0"/>
                <w:numId w:val="483"/>
              </w:numPr>
              <w:spacing w:before="60" w:after="60" w:line="240" w:lineRule="auto"/>
              <w:ind w:left="461" w:hanging="284"/>
              <w:rPr>
                <w:rFonts w:cs="Arial"/>
                <w:sz w:val="20"/>
                <w:szCs w:val="20"/>
              </w:rPr>
            </w:pPr>
            <w:r>
              <w:rPr>
                <w:rFonts w:cs="Arial"/>
                <w:sz w:val="20"/>
                <w:szCs w:val="20"/>
              </w:rPr>
              <w:t>Responses to other issues are detailed below (see over page). .</w:t>
            </w:r>
          </w:p>
        </w:tc>
      </w:tr>
      <w:tr w:rsidR="00A70030" w:rsidRPr="00FF0808" w14:paraId="1DA5D203" w14:textId="77777777" w:rsidTr="00CE3085">
        <w:trPr>
          <w:trHeight w:val="490"/>
        </w:trPr>
        <w:tc>
          <w:tcPr>
            <w:tcW w:w="1427" w:type="dxa"/>
            <w:tcBorders>
              <w:top w:val="nil"/>
              <w:bottom w:val="nil"/>
            </w:tcBorders>
            <w:shd w:val="clear" w:color="auto" w:fill="auto"/>
          </w:tcPr>
          <w:p w14:paraId="7AE2D153"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A8559E8"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8D703C2" w14:textId="77777777" w:rsidR="00A70030" w:rsidRDefault="00A70030" w:rsidP="00073385">
            <w:pPr>
              <w:spacing w:before="60" w:after="60" w:line="240" w:lineRule="auto"/>
              <w:ind w:left="0"/>
              <w:rPr>
                <w:rFonts w:cs="Arial"/>
                <w:sz w:val="20"/>
                <w:szCs w:val="20"/>
              </w:rPr>
            </w:pPr>
            <w:r>
              <w:rPr>
                <w:rFonts w:cs="Arial"/>
                <w:sz w:val="20"/>
                <w:szCs w:val="20"/>
              </w:rPr>
              <w:t>13/7/17</w:t>
            </w:r>
          </w:p>
        </w:tc>
        <w:tc>
          <w:tcPr>
            <w:tcW w:w="6335" w:type="dxa"/>
            <w:tcBorders>
              <w:top w:val="single" w:sz="4" w:space="0" w:color="auto"/>
              <w:bottom w:val="single" w:sz="4" w:space="0" w:color="auto"/>
            </w:tcBorders>
            <w:shd w:val="clear" w:color="auto" w:fill="auto"/>
          </w:tcPr>
          <w:p w14:paraId="284826F1" w14:textId="7F3DBA23" w:rsidR="00A70030" w:rsidRDefault="00A70030" w:rsidP="00073385">
            <w:pPr>
              <w:spacing w:before="60" w:after="60" w:line="240" w:lineRule="auto"/>
              <w:ind w:left="0"/>
              <w:rPr>
                <w:rFonts w:cs="Arial"/>
                <w:sz w:val="20"/>
                <w:szCs w:val="20"/>
              </w:rPr>
            </w:pPr>
            <w:r>
              <w:rPr>
                <w:rFonts w:cs="Arial"/>
                <w:sz w:val="20"/>
                <w:szCs w:val="20"/>
              </w:rPr>
              <w:t>CarbonNet sent SIV an email requesting they send through all the information they have regarding the presence of scallops in the proposed survey area, and asked if SIV can vertify the information.</w:t>
            </w:r>
          </w:p>
          <w:p w14:paraId="730AC038" w14:textId="77777777" w:rsidR="00A70030" w:rsidRDefault="00A70030" w:rsidP="00073385">
            <w:pPr>
              <w:spacing w:before="60" w:after="60" w:line="240" w:lineRule="auto"/>
              <w:ind w:left="0"/>
              <w:rPr>
                <w:rFonts w:cs="Arial"/>
                <w:sz w:val="20"/>
                <w:szCs w:val="20"/>
              </w:rPr>
            </w:pPr>
            <w:r>
              <w:rPr>
                <w:rFonts w:cs="Arial"/>
                <w:sz w:val="20"/>
                <w:szCs w:val="20"/>
              </w:rPr>
              <w:t>CarbonNet also said we may asked the VFA (VFA) to assist in the verification process.</w:t>
            </w:r>
          </w:p>
        </w:tc>
        <w:tc>
          <w:tcPr>
            <w:tcW w:w="3802" w:type="dxa"/>
            <w:tcBorders>
              <w:top w:val="single" w:sz="4" w:space="0" w:color="auto"/>
              <w:bottom w:val="single" w:sz="4" w:space="0" w:color="auto"/>
            </w:tcBorders>
            <w:shd w:val="clear" w:color="auto" w:fill="auto"/>
          </w:tcPr>
          <w:p w14:paraId="7E7D07EC" w14:textId="76785B7F"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8C70DDF" w14:textId="77777777" w:rsidTr="00CE3085">
        <w:trPr>
          <w:trHeight w:val="490"/>
        </w:trPr>
        <w:tc>
          <w:tcPr>
            <w:tcW w:w="1427" w:type="dxa"/>
            <w:tcBorders>
              <w:top w:val="nil"/>
              <w:bottom w:val="nil"/>
            </w:tcBorders>
            <w:shd w:val="clear" w:color="auto" w:fill="auto"/>
          </w:tcPr>
          <w:p w14:paraId="7D767881"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4F9EEA4"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344D422" w14:textId="77777777" w:rsidR="00A70030" w:rsidRDefault="00A70030" w:rsidP="00073385">
            <w:pPr>
              <w:spacing w:before="60" w:after="60" w:line="240" w:lineRule="auto"/>
              <w:ind w:left="0"/>
              <w:rPr>
                <w:rFonts w:cs="Arial"/>
                <w:sz w:val="20"/>
                <w:szCs w:val="20"/>
              </w:rPr>
            </w:pPr>
            <w:r>
              <w:rPr>
                <w:rFonts w:cs="Arial"/>
                <w:sz w:val="20"/>
                <w:szCs w:val="20"/>
              </w:rPr>
              <w:t>14/7/17</w:t>
            </w:r>
          </w:p>
        </w:tc>
        <w:tc>
          <w:tcPr>
            <w:tcW w:w="6335" w:type="dxa"/>
            <w:tcBorders>
              <w:top w:val="single" w:sz="4" w:space="0" w:color="auto"/>
              <w:bottom w:val="single" w:sz="4" w:space="0" w:color="auto"/>
            </w:tcBorders>
            <w:shd w:val="clear" w:color="auto" w:fill="auto"/>
          </w:tcPr>
          <w:p w14:paraId="6689B930" w14:textId="633B56A8" w:rsidR="00A70030" w:rsidRDefault="00A70030" w:rsidP="00073385">
            <w:pPr>
              <w:spacing w:before="60" w:after="60" w:line="240" w:lineRule="auto"/>
              <w:ind w:left="0"/>
              <w:rPr>
                <w:rFonts w:cs="Arial"/>
                <w:sz w:val="20"/>
                <w:szCs w:val="20"/>
              </w:rPr>
            </w:pPr>
            <w:r>
              <w:rPr>
                <w:rFonts w:cs="Arial"/>
                <w:sz w:val="20"/>
                <w:szCs w:val="20"/>
              </w:rPr>
              <w:t xml:space="preserve">CarbonNet sent SIV an email responding to the claim that CCS will </w:t>
            </w:r>
            <w:r>
              <w:rPr>
                <w:rFonts w:cs="Arial"/>
                <w:sz w:val="20"/>
                <w:szCs w:val="20"/>
              </w:rPr>
              <w:lastRenderedPageBreak/>
              <w:t>probably not work.</w:t>
            </w:r>
          </w:p>
          <w:p w14:paraId="4C925B53" w14:textId="77777777" w:rsidR="00A70030" w:rsidRDefault="00A70030" w:rsidP="00073385">
            <w:pPr>
              <w:spacing w:before="60" w:after="60" w:line="240" w:lineRule="auto"/>
              <w:ind w:left="0"/>
              <w:rPr>
                <w:rFonts w:cs="Arial"/>
                <w:sz w:val="20"/>
                <w:szCs w:val="20"/>
              </w:rPr>
            </w:pPr>
            <w:r>
              <w:rPr>
                <w:rFonts w:cs="Arial"/>
                <w:sz w:val="20"/>
                <w:szCs w:val="20"/>
              </w:rPr>
              <w:t xml:space="preserve">CarbonNet provided information on the need for CCS, its viability and the commitment from state and federal governments to pursue CCS. </w:t>
            </w:r>
          </w:p>
          <w:p w14:paraId="25C666C8" w14:textId="77777777" w:rsidR="00A70030" w:rsidRDefault="00A70030" w:rsidP="00073385">
            <w:pPr>
              <w:spacing w:before="60" w:after="60" w:line="240" w:lineRule="auto"/>
              <w:ind w:left="0"/>
              <w:rPr>
                <w:rFonts w:cs="Arial"/>
                <w:sz w:val="20"/>
                <w:szCs w:val="20"/>
              </w:rPr>
            </w:pPr>
          </w:p>
          <w:p w14:paraId="4761C226" w14:textId="77777777" w:rsidR="00A70030" w:rsidRDefault="00A70030" w:rsidP="00073385">
            <w:pPr>
              <w:spacing w:before="60" w:after="60" w:line="240" w:lineRule="auto"/>
              <w:ind w:left="0"/>
              <w:rPr>
                <w:rFonts w:cs="Arial"/>
                <w:sz w:val="20"/>
                <w:szCs w:val="20"/>
              </w:rPr>
            </w:pPr>
            <w:r>
              <w:rPr>
                <w:rFonts w:cs="Arial"/>
                <w:sz w:val="20"/>
                <w:szCs w:val="20"/>
              </w:rPr>
              <w:t>CarbonNet requested that discussions focus on the potential impacts of the MSS and not the merits of CCS and/or CarbonNet.</w:t>
            </w:r>
          </w:p>
        </w:tc>
        <w:tc>
          <w:tcPr>
            <w:tcW w:w="3802" w:type="dxa"/>
            <w:tcBorders>
              <w:top w:val="single" w:sz="4" w:space="0" w:color="auto"/>
              <w:bottom w:val="single" w:sz="4" w:space="0" w:color="auto"/>
            </w:tcBorders>
            <w:shd w:val="clear" w:color="auto" w:fill="auto"/>
          </w:tcPr>
          <w:p w14:paraId="0C620E30" w14:textId="025B09A2" w:rsidR="00A70030" w:rsidRDefault="00A70030" w:rsidP="00073385">
            <w:pPr>
              <w:spacing w:before="60" w:after="60" w:line="240" w:lineRule="auto"/>
              <w:ind w:left="0"/>
              <w:rPr>
                <w:rFonts w:cs="Arial"/>
                <w:sz w:val="20"/>
                <w:szCs w:val="20"/>
              </w:rPr>
            </w:pPr>
            <w:r>
              <w:rPr>
                <w:rFonts w:cs="Arial"/>
                <w:sz w:val="20"/>
                <w:szCs w:val="20"/>
              </w:rPr>
              <w:lastRenderedPageBreak/>
              <w:t>N/A</w:t>
            </w:r>
          </w:p>
        </w:tc>
      </w:tr>
      <w:tr w:rsidR="00A70030" w:rsidRPr="00FF0808" w14:paraId="1C0D1C71" w14:textId="77777777" w:rsidTr="00CE3085">
        <w:trPr>
          <w:trHeight w:val="490"/>
        </w:trPr>
        <w:tc>
          <w:tcPr>
            <w:tcW w:w="1427" w:type="dxa"/>
            <w:tcBorders>
              <w:top w:val="nil"/>
              <w:bottom w:val="nil"/>
            </w:tcBorders>
            <w:shd w:val="clear" w:color="auto" w:fill="auto"/>
          </w:tcPr>
          <w:p w14:paraId="776BF3F5"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37AF6F1"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F603579" w14:textId="77777777" w:rsidR="00A70030" w:rsidRDefault="00A70030" w:rsidP="00073385">
            <w:pPr>
              <w:spacing w:before="60" w:after="60" w:line="240" w:lineRule="auto"/>
              <w:ind w:left="0"/>
              <w:rPr>
                <w:rFonts w:cs="Arial"/>
                <w:sz w:val="20"/>
                <w:szCs w:val="20"/>
              </w:rPr>
            </w:pPr>
            <w:r>
              <w:rPr>
                <w:rFonts w:cs="Arial"/>
                <w:sz w:val="20"/>
                <w:szCs w:val="20"/>
              </w:rPr>
              <w:t>19/7/17</w:t>
            </w:r>
          </w:p>
        </w:tc>
        <w:tc>
          <w:tcPr>
            <w:tcW w:w="6335" w:type="dxa"/>
            <w:tcBorders>
              <w:top w:val="single" w:sz="4" w:space="0" w:color="auto"/>
              <w:bottom w:val="single" w:sz="4" w:space="0" w:color="auto"/>
            </w:tcBorders>
            <w:shd w:val="clear" w:color="auto" w:fill="auto"/>
          </w:tcPr>
          <w:p w14:paraId="48F02618" w14:textId="77777777" w:rsidR="00A70030" w:rsidRPr="00870577" w:rsidRDefault="00A70030" w:rsidP="00073385">
            <w:pPr>
              <w:spacing w:before="60" w:after="60" w:line="240" w:lineRule="auto"/>
              <w:ind w:left="0"/>
              <w:rPr>
                <w:rFonts w:cs="Arial"/>
                <w:sz w:val="20"/>
                <w:szCs w:val="20"/>
              </w:rPr>
            </w:pPr>
            <w:r>
              <w:rPr>
                <w:rFonts w:cs="Arial"/>
                <w:sz w:val="20"/>
                <w:szCs w:val="20"/>
              </w:rPr>
              <w:t xml:space="preserve">SIV emailed CarbonNet with some further information on the scallops that were allegedly dredged by an operator in MSS area. </w:t>
            </w:r>
            <w:r w:rsidRPr="00870577">
              <w:rPr>
                <w:rFonts w:cs="Arial"/>
                <w:sz w:val="20"/>
                <w:szCs w:val="20"/>
              </w:rPr>
              <w:t xml:space="preserve">SIV provided coordinates for </w:t>
            </w:r>
            <w:r w:rsidRPr="00C83C0E">
              <w:rPr>
                <w:rFonts w:cs="Arial"/>
                <w:sz w:val="20"/>
                <w:szCs w:val="20"/>
              </w:rPr>
              <w:t>two</w:t>
            </w:r>
            <w:r w:rsidRPr="00870577">
              <w:rPr>
                <w:rFonts w:cs="Arial"/>
                <w:sz w:val="20"/>
                <w:szCs w:val="20"/>
              </w:rPr>
              <w:t xml:space="preserve"> 'box</w:t>
            </w:r>
            <w:r w:rsidRPr="00C83C0E">
              <w:rPr>
                <w:rFonts w:cs="Arial"/>
                <w:sz w:val="20"/>
                <w:szCs w:val="20"/>
              </w:rPr>
              <w:t>es</w:t>
            </w:r>
            <w:r w:rsidRPr="00870577">
              <w:rPr>
                <w:rFonts w:cs="Arial"/>
                <w:sz w:val="20"/>
                <w:szCs w:val="20"/>
              </w:rPr>
              <w:t xml:space="preserve">' the operator dredged within. </w:t>
            </w:r>
          </w:p>
          <w:p w14:paraId="3FF236F8" w14:textId="77777777" w:rsidR="00A70030" w:rsidRPr="00870577" w:rsidRDefault="00A70030" w:rsidP="00073385">
            <w:pPr>
              <w:spacing w:before="60" w:after="60" w:line="240" w:lineRule="auto"/>
              <w:ind w:left="0"/>
              <w:rPr>
                <w:rFonts w:cs="Arial"/>
                <w:sz w:val="20"/>
                <w:szCs w:val="20"/>
              </w:rPr>
            </w:pPr>
            <w:r w:rsidRPr="00870577">
              <w:rPr>
                <w:rFonts w:cs="Arial"/>
                <w:sz w:val="20"/>
                <w:szCs w:val="20"/>
              </w:rPr>
              <w:t xml:space="preserve">SIV has photos of the plotter to confirm this information that they can show us, but cannot send </w:t>
            </w:r>
            <w:r w:rsidRPr="00C83C0E">
              <w:rPr>
                <w:rFonts w:cs="Arial"/>
                <w:sz w:val="20"/>
                <w:szCs w:val="20"/>
              </w:rPr>
              <w:t xml:space="preserve">via email </w:t>
            </w:r>
            <w:r w:rsidRPr="00870577">
              <w:rPr>
                <w:rFonts w:cs="Arial"/>
                <w:sz w:val="20"/>
                <w:szCs w:val="20"/>
              </w:rPr>
              <w:t xml:space="preserve">as the information was provided in confidence. </w:t>
            </w:r>
          </w:p>
          <w:p w14:paraId="4A33902D" w14:textId="77777777" w:rsidR="00A70030" w:rsidRDefault="00A70030" w:rsidP="00073385">
            <w:pPr>
              <w:spacing w:before="60" w:after="60" w:line="240" w:lineRule="auto"/>
              <w:ind w:left="0"/>
              <w:rPr>
                <w:rFonts w:cs="Arial"/>
                <w:sz w:val="20"/>
                <w:szCs w:val="20"/>
              </w:rPr>
            </w:pPr>
            <w:r w:rsidRPr="00870577">
              <w:rPr>
                <w:rFonts w:cs="Arial"/>
                <w:sz w:val="20"/>
                <w:szCs w:val="20"/>
              </w:rPr>
              <w:t>Shell size was 70 to 80 mm and the meat count was 90 to 100 with developing roe.</w:t>
            </w:r>
          </w:p>
        </w:tc>
        <w:tc>
          <w:tcPr>
            <w:tcW w:w="3802" w:type="dxa"/>
            <w:tcBorders>
              <w:top w:val="single" w:sz="4" w:space="0" w:color="auto"/>
              <w:bottom w:val="single" w:sz="4" w:space="0" w:color="auto"/>
            </w:tcBorders>
            <w:shd w:val="clear" w:color="auto" w:fill="auto"/>
          </w:tcPr>
          <w:p w14:paraId="372EDE26" w14:textId="798D2DF1"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67DB04FD" w14:textId="77777777" w:rsidTr="00CE3085">
        <w:trPr>
          <w:trHeight w:val="490"/>
        </w:trPr>
        <w:tc>
          <w:tcPr>
            <w:tcW w:w="1427" w:type="dxa"/>
            <w:tcBorders>
              <w:top w:val="nil"/>
              <w:bottom w:val="nil"/>
            </w:tcBorders>
            <w:shd w:val="clear" w:color="auto" w:fill="auto"/>
          </w:tcPr>
          <w:p w14:paraId="3E08DD37"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51B495D"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2DA7271" w14:textId="77777777" w:rsidR="00A70030" w:rsidRDefault="00A70030" w:rsidP="00073385">
            <w:pPr>
              <w:spacing w:before="60" w:after="60" w:line="240" w:lineRule="auto"/>
              <w:ind w:left="0"/>
              <w:rPr>
                <w:rFonts w:cs="Arial"/>
                <w:sz w:val="20"/>
                <w:szCs w:val="20"/>
              </w:rPr>
            </w:pPr>
            <w:r>
              <w:rPr>
                <w:rFonts w:cs="Arial"/>
                <w:sz w:val="20"/>
                <w:szCs w:val="20"/>
              </w:rPr>
              <w:t>20/7/17</w:t>
            </w:r>
          </w:p>
        </w:tc>
        <w:tc>
          <w:tcPr>
            <w:tcW w:w="6335" w:type="dxa"/>
            <w:tcBorders>
              <w:top w:val="single" w:sz="4" w:space="0" w:color="auto"/>
              <w:bottom w:val="single" w:sz="4" w:space="0" w:color="auto"/>
            </w:tcBorders>
            <w:shd w:val="clear" w:color="auto" w:fill="auto"/>
          </w:tcPr>
          <w:p w14:paraId="0165240F" w14:textId="77777777" w:rsidR="00A70030" w:rsidRDefault="00A70030" w:rsidP="00073385">
            <w:pPr>
              <w:spacing w:before="60" w:after="60" w:line="240" w:lineRule="auto"/>
              <w:ind w:left="0"/>
              <w:rPr>
                <w:rFonts w:cs="Arial"/>
                <w:sz w:val="20"/>
                <w:szCs w:val="20"/>
              </w:rPr>
            </w:pPr>
            <w:r>
              <w:rPr>
                <w:rFonts w:cs="Arial"/>
                <w:sz w:val="20"/>
                <w:szCs w:val="20"/>
              </w:rPr>
              <w:t xml:space="preserve">CarbonNet emailed SIV in response to the additional information on scallops to request they work with the VFA to obtain </w:t>
            </w:r>
            <w:r w:rsidRPr="00E42524">
              <w:rPr>
                <w:rFonts w:cs="Arial"/>
                <w:sz w:val="20"/>
                <w:szCs w:val="20"/>
              </w:rPr>
              <w:t>detailed information that can be verified and validated.</w:t>
            </w:r>
          </w:p>
          <w:p w14:paraId="4681EF8A" w14:textId="77777777" w:rsidR="00A70030" w:rsidRPr="00E42524" w:rsidRDefault="00A70030" w:rsidP="00073385">
            <w:pPr>
              <w:spacing w:before="60" w:after="60" w:line="240" w:lineRule="auto"/>
              <w:ind w:left="0"/>
              <w:rPr>
                <w:rFonts w:cs="Arial"/>
                <w:sz w:val="20"/>
                <w:szCs w:val="20"/>
              </w:rPr>
            </w:pPr>
            <w:r>
              <w:rPr>
                <w:rFonts w:cs="Arial"/>
                <w:sz w:val="20"/>
                <w:szCs w:val="20"/>
              </w:rPr>
              <w:t xml:space="preserve">CarbonNet wrote that our initial assessment is that the majority of the 10 coordinate points provided </w:t>
            </w:r>
            <w:r w:rsidRPr="00E42524">
              <w:rPr>
                <w:rFonts w:cs="Arial"/>
                <w:sz w:val="20"/>
                <w:szCs w:val="20"/>
              </w:rPr>
              <w:t xml:space="preserve">are outside of the MSS area with only two </w:t>
            </w:r>
            <w:r>
              <w:rPr>
                <w:rFonts w:cs="Arial"/>
                <w:sz w:val="20"/>
                <w:szCs w:val="20"/>
              </w:rPr>
              <w:t>close to (parallel with) the survey area.</w:t>
            </w:r>
          </w:p>
          <w:p w14:paraId="01CF5D69" w14:textId="77777777" w:rsidR="00A70030" w:rsidRPr="00E42524" w:rsidRDefault="00A70030" w:rsidP="00073385">
            <w:pPr>
              <w:spacing w:before="60" w:after="60" w:line="240" w:lineRule="auto"/>
              <w:ind w:left="0"/>
              <w:rPr>
                <w:rFonts w:cs="Arial"/>
                <w:sz w:val="20"/>
                <w:szCs w:val="20"/>
              </w:rPr>
            </w:pPr>
            <w:r w:rsidRPr="00E42524">
              <w:rPr>
                <w:rFonts w:cs="Arial"/>
                <w:sz w:val="20"/>
                <w:szCs w:val="20"/>
              </w:rPr>
              <w:t xml:space="preserve">It is not clear where the scallops were collected, with one of the 'boxes' extending well beyond </w:t>
            </w:r>
            <w:r>
              <w:rPr>
                <w:rFonts w:cs="Arial"/>
                <w:sz w:val="20"/>
                <w:szCs w:val="20"/>
              </w:rPr>
              <w:t xml:space="preserve">the MSS </w:t>
            </w:r>
            <w:r w:rsidRPr="00E42524">
              <w:rPr>
                <w:rFonts w:cs="Arial"/>
                <w:sz w:val="20"/>
                <w:szCs w:val="20"/>
              </w:rPr>
              <w:t xml:space="preserve">area. </w:t>
            </w:r>
          </w:p>
          <w:p w14:paraId="0B3F3FF7" w14:textId="77777777" w:rsidR="00A70030" w:rsidRDefault="00A70030" w:rsidP="00073385">
            <w:pPr>
              <w:spacing w:before="60" w:after="60" w:line="240" w:lineRule="auto"/>
              <w:ind w:left="0"/>
              <w:rPr>
                <w:rFonts w:cs="Arial"/>
                <w:sz w:val="20"/>
                <w:szCs w:val="20"/>
              </w:rPr>
            </w:pPr>
            <w:r w:rsidRPr="00E42524">
              <w:rPr>
                <w:rFonts w:cs="Arial"/>
                <w:sz w:val="20"/>
                <w:szCs w:val="20"/>
              </w:rPr>
              <w:t xml:space="preserve">CarbonNet requested verified and validated data </w:t>
            </w:r>
            <w:r>
              <w:rPr>
                <w:rFonts w:cs="Arial"/>
                <w:sz w:val="20"/>
                <w:szCs w:val="20"/>
              </w:rPr>
              <w:t xml:space="preserve">from SIV </w:t>
            </w:r>
            <w:r w:rsidRPr="00E42524">
              <w:rPr>
                <w:rFonts w:cs="Arial"/>
                <w:sz w:val="20"/>
                <w:szCs w:val="20"/>
              </w:rPr>
              <w:t>on a confidential basis.</w:t>
            </w:r>
          </w:p>
        </w:tc>
        <w:tc>
          <w:tcPr>
            <w:tcW w:w="3802" w:type="dxa"/>
            <w:tcBorders>
              <w:top w:val="single" w:sz="4" w:space="0" w:color="auto"/>
              <w:bottom w:val="single" w:sz="4" w:space="0" w:color="auto"/>
            </w:tcBorders>
            <w:shd w:val="clear" w:color="auto" w:fill="auto"/>
          </w:tcPr>
          <w:p w14:paraId="1485B0C4" w14:textId="38286932"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1AE9299" w14:textId="77777777" w:rsidTr="00CE3085">
        <w:trPr>
          <w:trHeight w:val="490"/>
        </w:trPr>
        <w:tc>
          <w:tcPr>
            <w:tcW w:w="1427" w:type="dxa"/>
            <w:tcBorders>
              <w:top w:val="nil"/>
              <w:bottom w:val="nil"/>
            </w:tcBorders>
            <w:shd w:val="clear" w:color="auto" w:fill="auto"/>
          </w:tcPr>
          <w:p w14:paraId="585B5EE6"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4547EE3"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894A26D" w14:textId="77777777" w:rsidR="00A70030" w:rsidRDefault="00A70030" w:rsidP="00073385">
            <w:pPr>
              <w:spacing w:before="60" w:after="60" w:line="240" w:lineRule="auto"/>
              <w:ind w:left="0"/>
              <w:rPr>
                <w:rFonts w:cs="Arial"/>
                <w:sz w:val="20"/>
                <w:szCs w:val="20"/>
              </w:rPr>
            </w:pPr>
            <w:r>
              <w:rPr>
                <w:rFonts w:cs="Arial"/>
                <w:sz w:val="20"/>
                <w:szCs w:val="20"/>
              </w:rPr>
              <w:t>21/7/17</w:t>
            </w:r>
          </w:p>
        </w:tc>
        <w:tc>
          <w:tcPr>
            <w:tcW w:w="6335" w:type="dxa"/>
            <w:tcBorders>
              <w:top w:val="single" w:sz="4" w:space="0" w:color="auto"/>
              <w:bottom w:val="single" w:sz="4" w:space="0" w:color="auto"/>
            </w:tcBorders>
            <w:shd w:val="clear" w:color="auto" w:fill="auto"/>
          </w:tcPr>
          <w:p w14:paraId="7928393D" w14:textId="77777777" w:rsidR="00A70030" w:rsidRDefault="00A70030" w:rsidP="00073385">
            <w:pPr>
              <w:spacing w:before="60" w:after="60" w:line="240" w:lineRule="auto"/>
              <w:ind w:left="0"/>
              <w:rPr>
                <w:rFonts w:cs="Arial"/>
                <w:sz w:val="20"/>
                <w:szCs w:val="20"/>
              </w:rPr>
            </w:pPr>
            <w:r w:rsidRPr="00E42524">
              <w:rPr>
                <w:rFonts w:cs="Arial"/>
                <w:sz w:val="20"/>
                <w:szCs w:val="20"/>
              </w:rPr>
              <w:t xml:space="preserve">CarbonNet attended a meeting in Melbourne called by and chaired by VSFA. SIV and VFA also attended. </w:t>
            </w:r>
            <w:r>
              <w:rPr>
                <w:rFonts w:cs="Arial"/>
                <w:sz w:val="20"/>
                <w:szCs w:val="20"/>
              </w:rPr>
              <w:t xml:space="preserve"> (See summary of meeting listed under VSFA.)</w:t>
            </w:r>
          </w:p>
          <w:p w14:paraId="291E15EA" w14:textId="01586A20" w:rsidR="00A70030" w:rsidRDefault="00A70030" w:rsidP="00CE3085">
            <w:pPr>
              <w:spacing w:before="60" w:after="60" w:line="240" w:lineRule="auto"/>
              <w:ind w:left="0"/>
              <w:rPr>
                <w:rFonts w:cs="Arial"/>
                <w:sz w:val="20"/>
                <w:szCs w:val="20"/>
              </w:rPr>
            </w:pPr>
            <w:r>
              <w:rPr>
                <w:rFonts w:cs="Arial"/>
                <w:sz w:val="20"/>
                <w:szCs w:val="20"/>
              </w:rPr>
              <w:t xml:space="preserve">Of particular note to SIV, they </w:t>
            </w:r>
            <w:r w:rsidRPr="00AE2510">
              <w:rPr>
                <w:rFonts w:cs="Arial"/>
                <w:sz w:val="20"/>
                <w:szCs w:val="20"/>
              </w:rPr>
              <w:t xml:space="preserve">requested further information from CarbonNet on why the project cannot support an invasive stock assessment method. </w:t>
            </w:r>
            <w:r>
              <w:rPr>
                <w:rFonts w:cs="Arial"/>
                <w:sz w:val="20"/>
                <w:szCs w:val="20"/>
              </w:rPr>
              <w:t xml:space="preserve">CarbonNet </w:t>
            </w:r>
            <w:r w:rsidRPr="00AE2510">
              <w:rPr>
                <w:rFonts w:cs="Arial"/>
                <w:sz w:val="20"/>
                <w:szCs w:val="20"/>
              </w:rPr>
              <w:t xml:space="preserve">noted that it is related to the legislation under which CarbonNet operates and committed to provide </w:t>
            </w:r>
            <w:r>
              <w:rPr>
                <w:rFonts w:cs="Arial"/>
                <w:sz w:val="20"/>
                <w:szCs w:val="20"/>
              </w:rPr>
              <w:t>further clarification on this</w:t>
            </w:r>
            <w:r w:rsidRPr="00AE2510">
              <w:rPr>
                <w:rFonts w:cs="Arial"/>
                <w:sz w:val="20"/>
                <w:szCs w:val="20"/>
              </w:rPr>
              <w:t xml:space="preserve"> by Monday 24 July. </w:t>
            </w:r>
          </w:p>
        </w:tc>
        <w:tc>
          <w:tcPr>
            <w:tcW w:w="3802" w:type="dxa"/>
            <w:tcBorders>
              <w:top w:val="single" w:sz="4" w:space="0" w:color="auto"/>
              <w:bottom w:val="single" w:sz="4" w:space="0" w:color="auto"/>
            </w:tcBorders>
            <w:shd w:val="clear" w:color="auto" w:fill="auto"/>
          </w:tcPr>
          <w:p w14:paraId="023B8AA7" w14:textId="77777777" w:rsidR="00A70030" w:rsidRDefault="00A70030" w:rsidP="00073385">
            <w:pPr>
              <w:spacing w:before="60" w:after="60" w:line="240" w:lineRule="auto"/>
              <w:ind w:left="0"/>
              <w:rPr>
                <w:rFonts w:cs="Arial"/>
                <w:sz w:val="20"/>
                <w:szCs w:val="20"/>
              </w:rPr>
            </w:pPr>
            <w:r w:rsidRPr="00AE2510">
              <w:rPr>
                <w:rFonts w:cs="Arial"/>
                <w:sz w:val="20"/>
                <w:szCs w:val="20"/>
              </w:rPr>
              <w:t xml:space="preserve">CarbonNet schedule </w:t>
            </w:r>
            <w:r>
              <w:rPr>
                <w:rFonts w:cs="Arial"/>
                <w:sz w:val="20"/>
                <w:szCs w:val="20"/>
              </w:rPr>
              <w:t xml:space="preserve">a follow up meeting </w:t>
            </w:r>
            <w:r w:rsidRPr="00AE2510">
              <w:rPr>
                <w:rFonts w:cs="Arial"/>
                <w:sz w:val="20"/>
                <w:szCs w:val="20"/>
              </w:rPr>
              <w:t>in Gippsland</w:t>
            </w:r>
            <w:r>
              <w:rPr>
                <w:rFonts w:cs="Arial"/>
                <w:sz w:val="20"/>
                <w:szCs w:val="20"/>
              </w:rPr>
              <w:t>.</w:t>
            </w:r>
          </w:p>
          <w:p w14:paraId="3C54F101" w14:textId="77777777" w:rsidR="00A70030" w:rsidRDefault="00A70030" w:rsidP="00073385">
            <w:pPr>
              <w:spacing w:before="60" w:after="60" w:line="240" w:lineRule="auto"/>
              <w:ind w:left="0"/>
              <w:rPr>
                <w:rFonts w:cs="Arial"/>
                <w:sz w:val="20"/>
                <w:szCs w:val="20"/>
              </w:rPr>
            </w:pPr>
            <w:r>
              <w:rPr>
                <w:rFonts w:cs="Arial"/>
                <w:sz w:val="20"/>
                <w:szCs w:val="20"/>
              </w:rPr>
              <w:t xml:space="preserve">CarbonNet provided further </w:t>
            </w:r>
            <w:r w:rsidRPr="00AE2510">
              <w:rPr>
                <w:rFonts w:cs="Arial"/>
                <w:sz w:val="20"/>
                <w:szCs w:val="20"/>
              </w:rPr>
              <w:t>information</w:t>
            </w:r>
            <w:r>
              <w:rPr>
                <w:rFonts w:cs="Arial"/>
                <w:sz w:val="20"/>
                <w:szCs w:val="20"/>
              </w:rPr>
              <w:t xml:space="preserve"> to meeting attendees</w:t>
            </w:r>
            <w:r w:rsidRPr="00AE2510">
              <w:rPr>
                <w:rFonts w:cs="Arial"/>
                <w:sz w:val="20"/>
                <w:szCs w:val="20"/>
              </w:rPr>
              <w:t xml:space="preserve"> on why </w:t>
            </w:r>
            <w:r>
              <w:rPr>
                <w:rFonts w:cs="Arial"/>
                <w:sz w:val="20"/>
                <w:szCs w:val="20"/>
              </w:rPr>
              <w:t>the</w:t>
            </w:r>
            <w:r w:rsidRPr="00AE2510">
              <w:rPr>
                <w:rFonts w:cs="Arial"/>
                <w:sz w:val="20"/>
                <w:szCs w:val="20"/>
              </w:rPr>
              <w:t xml:space="preserve"> use a dredging method for scallop stock assessment</w:t>
            </w:r>
            <w:r>
              <w:rPr>
                <w:rFonts w:cs="Arial"/>
                <w:sz w:val="20"/>
                <w:szCs w:val="20"/>
              </w:rPr>
              <w:t xml:space="preserve"> is inconsistent with CarbonNet’s approval for the MSS on 24/7/17.</w:t>
            </w:r>
          </w:p>
        </w:tc>
      </w:tr>
      <w:tr w:rsidR="00A70030" w:rsidRPr="00FF0808" w14:paraId="212A1393" w14:textId="77777777" w:rsidTr="00CE3085">
        <w:trPr>
          <w:trHeight w:val="490"/>
        </w:trPr>
        <w:tc>
          <w:tcPr>
            <w:tcW w:w="1427" w:type="dxa"/>
            <w:tcBorders>
              <w:top w:val="nil"/>
              <w:bottom w:val="nil"/>
            </w:tcBorders>
            <w:shd w:val="clear" w:color="auto" w:fill="auto"/>
          </w:tcPr>
          <w:p w14:paraId="413ACC40"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7BA96D5"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C392C38" w14:textId="77777777" w:rsidR="00A70030" w:rsidRDefault="00A70030" w:rsidP="00073385">
            <w:pPr>
              <w:spacing w:before="60" w:after="60" w:line="240" w:lineRule="auto"/>
              <w:ind w:left="0"/>
              <w:rPr>
                <w:rFonts w:cs="Arial"/>
                <w:sz w:val="20"/>
                <w:szCs w:val="20"/>
              </w:rPr>
            </w:pPr>
            <w:r>
              <w:rPr>
                <w:rFonts w:cs="Arial"/>
                <w:sz w:val="20"/>
                <w:szCs w:val="20"/>
              </w:rPr>
              <w:t>24/7/17</w:t>
            </w:r>
          </w:p>
        </w:tc>
        <w:tc>
          <w:tcPr>
            <w:tcW w:w="6335" w:type="dxa"/>
            <w:tcBorders>
              <w:top w:val="single" w:sz="4" w:space="0" w:color="auto"/>
              <w:bottom w:val="single" w:sz="4" w:space="0" w:color="auto"/>
            </w:tcBorders>
            <w:shd w:val="clear" w:color="auto" w:fill="auto"/>
          </w:tcPr>
          <w:p w14:paraId="586214B8" w14:textId="77777777" w:rsidR="00A70030" w:rsidRDefault="00A70030" w:rsidP="00073385">
            <w:pPr>
              <w:spacing w:before="60" w:after="60" w:line="240" w:lineRule="auto"/>
              <w:ind w:left="0"/>
              <w:rPr>
                <w:rFonts w:cs="Arial"/>
                <w:sz w:val="20"/>
                <w:szCs w:val="20"/>
              </w:rPr>
            </w:pPr>
            <w:r>
              <w:rPr>
                <w:rFonts w:cs="Arial"/>
                <w:sz w:val="20"/>
                <w:szCs w:val="20"/>
              </w:rPr>
              <w:t>CarbonNet emailed SIV, VSFA and VFA with further clarification on CarbonNet’s inability to fund a dredge-based survey. CarbonNet said</w:t>
            </w:r>
            <w:r>
              <w:t xml:space="preserve"> </w:t>
            </w:r>
            <w:r>
              <w:rPr>
                <w:rFonts w:cs="Arial"/>
                <w:sz w:val="20"/>
                <w:szCs w:val="20"/>
              </w:rPr>
              <w:t>a dredge-</w:t>
            </w:r>
            <w:r w:rsidRPr="00997B1E">
              <w:rPr>
                <w:rFonts w:cs="Arial"/>
                <w:sz w:val="20"/>
                <w:szCs w:val="20"/>
              </w:rPr>
              <w:t xml:space="preserve">based scallop stocktake assessment within the MSS area is inconsistent with the purpose and scope of the approvals under the OPGGS Act, and as such CarbonNet can not fund such an activity. </w:t>
            </w:r>
          </w:p>
          <w:p w14:paraId="32731D72" w14:textId="77777777" w:rsidR="00A70030" w:rsidRDefault="00A70030" w:rsidP="00073385">
            <w:pPr>
              <w:spacing w:before="60" w:after="60" w:line="240" w:lineRule="auto"/>
              <w:ind w:left="0"/>
              <w:rPr>
                <w:rFonts w:cs="Arial"/>
                <w:sz w:val="20"/>
                <w:szCs w:val="20"/>
              </w:rPr>
            </w:pPr>
            <w:r>
              <w:rPr>
                <w:rFonts w:cs="Arial"/>
                <w:sz w:val="20"/>
                <w:szCs w:val="20"/>
              </w:rPr>
              <w:t>Separately, CarbonNet also emailed SIV to invite them to the next meeting with VSFA in Gippsland. SIV responded to say they don’t have time to attend but would like to speak this week to discuss how to proceed.</w:t>
            </w:r>
          </w:p>
        </w:tc>
        <w:tc>
          <w:tcPr>
            <w:tcW w:w="3802" w:type="dxa"/>
            <w:tcBorders>
              <w:top w:val="single" w:sz="4" w:space="0" w:color="auto"/>
              <w:bottom w:val="single" w:sz="4" w:space="0" w:color="auto"/>
            </w:tcBorders>
            <w:shd w:val="clear" w:color="auto" w:fill="auto"/>
          </w:tcPr>
          <w:p w14:paraId="053D7124" w14:textId="77777777" w:rsidR="00A70030" w:rsidRDefault="00A70030" w:rsidP="00073385">
            <w:pPr>
              <w:spacing w:before="60" w:after="60" w:line="240" w:lineRule="auto"/>
              <w:ind w:left="0"/>
              <w:rPr>
                <w:rFonts w:cs="Arial"/>
                <w:sz w:val="20"/>
                <w:szCs w:val="20"/>
              </w:rPr>
            </w:pPr>
          </w:p>
        </w:tc>
      </w:tr>
      <w:tr w:rsidR="00A70030" w:rsidRPr="00FF0808" w14:paraId="0F1D0809" w14:textId="77777777" w:rsidTr="00CE3085">
        <w:trPr>
          <w:trHeight w:val="490"/>
        </w:trPr>
        <w:tc>
          <w:tcPr>
            <w:tcW w:w="1427" w:type="dxa"/>
            <w:tcBorders>
              <w:top w:val="nil"/>
              <w:bottom w:val="nil"/>
            </w:tcBorders>
            <w:shd w:val="clear" w:color="auto" w:fill="auto"/>
          </w:tcPr>
          <w:p w14:paraId="663DA94B"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694999B"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6DD5B6B5" w14:textId="77777777" w:rsidR="00A70030" w:rsidRDefault="00A70030" w:rsidP="00073385">
            <w:pPr>
              <w:spacing w:before="60" w:after="60" w:line="240" w:lineRule="auto"/>
              <w:ind w:left="0"/>
              <w:rPr>
                <w:rFonts w:cs="Arial"/>
                <w:sz w:val="20"/>
                <w:szCs w:val="20"/>
              </w:rPr>
            </w:pPr>
            <w:r>
              <w:rPr>
                <w:rFonts w:cs="Arial"/>
                <w:sz w:val="20"/>
                <w:szCs w:val="20"/>
              </w:rPr>
              <w:t>25/7/17</w:t>
            </w:r>
          </w:p>
        </w:tc>
        <w:tc>
          <w:tcPr>
            <w:tcW w:w="6335" w:type="dxa"/>
            <w:tcBorders>
              <w:top w:val="single" w:sz="4" w:space="0" w:color="auto"/>
              <w:bottom w:val="single" w:sz="4" w:space="0" w:color="auto"/>
            </w:tcBorders>
            <w:shd w:val="clear" w:color="auto" w:fill="auto"/>
          </w:tcPr>
          <w:p w14:paraId="3ACF3112" w14:textId="77777777" w:rsidR="00A70030" w:rsidRDefault="00A70030" w:rsidP="00073385">
            <w:pPr>
              <w:spacing w:before="60" w:after="60" w:line="240" w:lineRule="auto"/>
              <w:ind w:left="0"/>
              <w:rPr>
                <w:rFonts w:cs="Arial"/>
                <w:sz w:val="20"/>
                <w:szCs w:val="20"/>
              </w:rPr>
            </w:pPr>
            <w:r>
              <w:rPr>
                <w:rFonts w:cs="Arial"/>
                <w:sz w:val="20"/>
                <w:szCs w:val="20"/>
              </w:rPr>
              <w:t>CarbonNet spoke to SIV about the information that was provided by them about scallops claimed to be dredged in the MSS area.</w:t>
            </w:r>
          </w:p>
          <w:p w14:paraId="6EC8CDE9" w14:textId="74073336" w:rsidR="00A70030" w:rsidRDefault="00A70030" w:rsidP="00073385">
            <w:pPr>
              <w:spacing w:before="60" w:after="60" w:line="240" w:lineRule="auto"/>
              <w:ind w:left="0"/>
              <w:rPr>
                <w:rFonts w:cs="Arial"/>
                <w:sz w:val="20"/>
                <w:szCs w:val="20"/>
              </w:rPr>
            </w:pPr>
            <w:r>
              <w:rPr>
                <w:rFonts w:cs="Arial"/>
                <w:sz w:val="20"/>
                <w:szCs w:val="20"/>
              </w:rPr>
              <w:t xml:space="preserve">SIV said the </w:t>
            </w:r>
            <w:r w:rsidRPr="006C7C5A">
              <w:rPr>
                <w:rFonts w:cs="Arial"/>
                <w:sz w:val="20"/>
                <w:szCs w:val="20"/>
              </w:rPr>
              <w:t>fisherman was fishing when the scallops were observed, not undertaking a stock assessment</w:t>
            </w:r>
            <w:r>
              <w:rPr>
                <w:rFonts w:cs="Arial"/>
                <w:sz w:val="20"/>
                <w:szCs w:val="20"/>
              </w:rPr>
              <w:t>.</w:t>
            </w:r>
            <w:r w:rsidRPr="006C7C5A">
              <w:rPr>
                <w:rFonts w:cs="Arial"/>
                <w:sz w:val="20"/>
                <w:szCs w:val="20"/>
              </w:rPr>
              <w:t xml:space="preserve"> </w:t>
            </w:r>
            <w:r>
              <w:rPr>
                <w:rFonts w:cs="Arial"/>
                <w:sz w:val="20"/>
                <w:szCs w:val="20"/>
              </w:rPr>
              <w:t xml:space="preserve">SIV understands that VSFA also received the information via SIV. </w:t>
            </w:r>
          </w:p>
          <w:p w14:paraId="45CF1387" w14:textId="77777777" w:rsidR="00A70030" w:rsidRPr="006C7C5A" w:rsidRDefault="00A70030" w:rsidP="00073385">
            <w:pPr>
              <w:spacing w:before="60" w:after="60" w:line="240" w:lineRule="auto"/>
              <w:ind w:left="0"/>
              <w:rPr>
                <w:rFonts w:cs="Arial"/>
                <w:sz w:val="20"/>
                <w:szCs w:val="20"/>
              </w:rPr>
            </w:pPr>
            <w:r w:rsidRPr="006C7C5A">
              <w:rPr>
                <w:rFonts w:cs="Arial"/>
                <w:sz w:val="20"/>
                <w:szCs w:val="20"/>
              </w:rPr>
              <w:t xml:space="preserve">SIV tried to invite some fishermen to attend the meeting </w:t>
            </w:r>
            <w:r>
              <w:rPr>
                <w:rFonts w:cs="Arial"/>
                <w:sz w:val="20"/>
                <w:szCs w:val="20"/>
              </w:rPr>
              <w:t>on 21/7 but VSFA refused to allow this.</w:t>
            </w:r>
          </w:p>
          <w:p w14:paraId="342D0027" w14:textId="77777777" w:rsidR="00A70030" w:rsidRPr="006C7C5A" w:rsidRDefault="00A70030" w:rsidP="00073385">
            <w:pPr>
              <w:spacing w:before="60" w:after="60" w:line="240" w:lineRule="auto"/>
              <w:ind w:left="0"/>
              <w:rPr>
                <w:rFonts w:cs="Arial"/>
                <w:sz w:val="20"/>
                <w:szCs w:val="20"/>
              </w:rPr>
            </w:pPr>
            <w:r>
              <w:rPr>
                <w:rFonts w:cs="Arial"/>
                <w:sz w:val="20"/>
                <w:szCs w:val="20"/>
              </w:rPr>
              <w:t xml:space="preserve">Three </w:t>
            </w:r>
            <w:r w:rsidRPr="006C7C5A">
              <w:rPr>
                <w:rFonts w:cs="Arial"/>
                <w:sz w:val="20"/>
                <w:szCs w:val="20"/>
              </w:rPr>
              <w:t xml:space="preserve">other fishermen want to meet with us, including scallop fishermen and </w:t>
            </w:r>
            <w:r>
              <w:rPr>
                <w:rFonts w:cs="Arial"/>
                <w:sz w:val="20"/>
                <w:szCs w:val="20"/>
              </w:rPr>
              <w:t xml:space="preserve">a fishery company who fish for </w:t>
            </w:r>
            <w:r w:rsidRPr="006C7C5A">
              <w:rPr>
                <w:rFonts w:cs="Arial"/>
                <w:sz w:val="20"/>
                <w:szCs w:val="20"/>
              </w:rPr>
              <w:t xml:space="preserve">pilchard and small pelagic fish. LEFCOL </w:t>
            </w:r>
            <w:r>
              <w:rPr>
                <w:rFonts w:cs="Arial"/>
                <w:sz w:val="20"/>
                <w:szCs w:val="20"/>
              </w:rPr>
              <w:t xml:space="preserve">is also </w:t>
            </w:r>
            <w:r w:rsidRPr="006C7C5A">
              <w:rPr>
                <w:rFonts w:cs="Arial"/>
                <w:sz w:val="20"/>
                <w:szCs w:val="20"/>
              </w:rPr>
              <w:t xml:space="preserve">keen to </w:t>
            </w:r>
            <w:r>
              <w:rPr>
                <w:rFonts w:cs="Arial"/>
                <w:sz w:val="20"/>
                <w:szCs w:val="20"/>
              </w:rPr>
              <w:t>attend a meeting.</w:t>
            </w:r>
            <w:r w:rsidRPr="006C7C5A">
              <w:rPr>
                <w:rFonts w:cs="Arial"/>
                <w:sz w:val="20"/>
                <w:szCs w:val="20"/>
              </w:rPr>
              <w:t xml:space="preserve">. </w:t>
            </w:r>
          </w:p>
          <w:p w14:paraId="6867BF16" w14:textId="77777777" w:rsidR="00A70030" w:rsidRPr="006C7C5A" w:rsidRDefault="00A70030" w:rsidP="00073385">
            <w:pPr>
              <w:spacing w:before="60" w:after="60" w:line="240" w:lineRule="auto"/>
              <w:ind w:left="0"/>
              <w:rPr>
                <w:rFonts w:cs="Arial"/>
                <w:sz w:val="20"/>
                <w:szCs w:val="20"/>
              </w:rPr>
            </w:pPr>
            <w:r w:rsidRPr="006C7C5A">
              <w:rPr>
                <w:rFonts w:cs="Arial"/>
                <w:sz w:val="20"/>
                <w:szCs w:val="20"/>
              </w:rPr>
              <w:t xml:space="preserve">SIV does not think </w:t>
            </w:r>
            <w:r>
              <w:rPr>
                <w:rFonts w:cs="Arial"/>
                <w:sz w:val="20"/>
                <w:szCs w:val="20"/>
              </w:rPr>
              <w:t xml:space="preserve">we need to </w:t>
            </w:r>
            <w:r w:rsidRPr="006C7C5A">
              <w:rPr>
                <w:rFonts w:cs="Arial"/>
                <w:sz w:val="20"/>
                <w:szCs w:val="20"/>
              </w:rPr>
              <w:t xml:space="preserve">rush in reaching out to these fishermen for the first time and it can be after we have submitted our EP </w:t>
            </w:r>
          </w:p>
          <w:p w14:paraId="6975D43C" w14:textId="77777777" w:rsidR="00A70030" w:rsidRDefault="00A70030" w:rsidP="00073385">
            <w:pPr>
              <w:spacing w:before="60" w:after="60" w:line="240" w:lineRule="auto"/>
              <w:ind w:left="0"/>
              <w:rPr>
                <w:rFonts w:cs="Arial"/>
                <w:sz w:val="20"/>
                <w:szCs w:val="20"/>
              </w:rPr>
            </w:pPr>
            <w:r>
              <w:rPr>
                <w:rFonts w:cs="Arial"/>
                <w:sz w:val="20"/>
                <w:szCs w:val="20"/>
              </w:rPr>
              <w:t>SIV s</w:t>
            </w:r>
            <w:r w:rsidRPr="006C7C5A">
              <w:rPr>
                <w:rFonts w:cs="Arial"/>
                <w:sz w:val="20"/>
                <w:szCs w:val="20"/>
              </w:rPr>
              <w:t xml:space="preserve">uggested </w:t>
            </w:r>
            <w:r>
              <w:rPr>
                <w:rFonts w:cs="Arial"/>
                <w:sz w:val="20"/>
                <w:szCs w:val="20"/>
              </w:rPr>
              <w:t xml:space="preserve">the second </w:t>
            </w:r>
            <w:r w:rsidRPr="006C7C5A">
              <w:rPr>
                <w:rFonts w:cs="Arial"/>
                <w:sz w:val="20"/>
                <w:szCs w:val="20"/>
              </w:rPr>
              <w:t xml:space="preserve">week in August for </w:t>
            </w:r>
            <w:r>
              <w:rPr>
                <w:rFonts w:cs="Arial"/>
                <w:sz w:val="20"/>
                <w:szCs w:val="20"/>
              </w:rPr>
              <w:t xml:space="preserve">a </w:t>
            </w:r>
            <w:r w:rsidRPr="006C7C5A">
              <w:rPr>
                <w:rFonts w:cs="Arial"/>
                <w:sz w:val="20"/>
                <w:szCs w:val="20"/>
              </w:rPr>
              <w:t>meeting in Lakes Entrance</w:t>
            </w:r>
            <w:r>
              <w:rPr>
                <w:rFonts w:cs="Arial"/>
                <w:sz w:val="20"/>
                <w:szCs w:val="20"/>
              </w:rPr>
              <w:t>.</w:t>
            </w:r>
          </w:p>
          <w:p w14:paraId="2CE80A1F" w14:textId="77777777" w:rsidR="00A70030" w:rsidRDefault="00A70030" w:rsidP="00073385">
            <w:pPr>
              <w:spacing w:before="60" w:after="60" w:line="240" w:lineRule="auto"/>
              <w:ind w:left="0"/>
              <w:rPr>
                <w:rFonts w:cs="Arial"/>
                <w:sz w:val="20"/>
                <w:szCs w:val="20"/>
              </w:rPr>
            </w:pPr>
            <w:r>
              <w:rPr>
                <w:rFonts w:cs="Arial"/>
                <w:sz w:val="20"/>
                <w:szCs w:val="20"/>
              </w:rPr>
              <w:t>CarbonNet responded to request confirmation of meetings in Lakes Entrance on 8 and 9 August, and confirmed that we may submit our EP in the interim but that consultation will be ongoing.</w:t>
            </w:r>
          </w:p>
        </w:tc>
        <w:tc>
          <w:tcPr>
            <w:tcW w:w="3802" w:type="dxa"/>
            <w:tcBorders>
              <w:top w:val="single" w:sz="4" w:space="0" w:color="auto"/>
              <w:bottom w:val="single" w:sz="4" w:space="0" w:color="auto"/>
            </w:tcBorders>
            <w:shd w:val="clear" w:color="auto" w:fill="auto"/>
          </w:tcPr>
          <w:p w14:paraId="5CD9158F" w14:textId="77777777" w:rsidR="00A70030" w:rsidRDefault="00A70030" w:rsidP="00073385">
            <w:pPr>
              <w:spacing w:before="60" w:after="60" w:line="240" w:lineRule="auto"/>
              <w:ind w:left="0"/>
              <w:rPr>
                <w:rFonts w:cs="Arial"/>
                <w:sz w:val="20"/>
                <w:szCs w:val="20"/>
              </w:rPr>
            </w:pPr>
            <w:r>
              <w:rPr>
                <w:rFonts w:cs="Arial"/>
                <w:sz w:val="20"/>
                <w:szCs w:val="20"/>
              </w:rPr>
              <w:t>CarbonNet scheduled meetings in Lakes Entrace with invites to be coordinated by SIV.</w:t>
            </w:r>
          </w:p>
        </w:tc>
      </w:tr>
      <w:tr w:rsidR="00A70030" w:rsidRPr="00FF0808" w14:paraId="22C08BD9" w14:textId="77777777" w:rsidTr="00CE3085">
        <w:trPr>
          <w:trHeight w:val="490"/>
        </w:trPr>
        <w:tc>
          <w:tcPr>
            <w:tcW w:w="1427" w:type="dxa"/>
            <w:tcBorders>
              <w:top w:val="nil"/>
              <w:bottom w:val="nil"/>
            </w:tcBorders>
            <w:shd w:val="clear" w:color="auto" w:fill="auto"/>
          </w:tcPr>
          <w:p w14:paraId="67CA0920"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CCCF1E2"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6D683C19" w14:textId="77777777" w:rsidR="00A70030" w:rsidRDefault="00A70030" w:rsidP="00073385">
            <w:pPr>
              <w:spacing w:before="60" w:after="60" w:line="240" w:lineRule="auto"/>
              <w:ind w:left="0"/>
              <w:rPr>
                <w:rFonts w:cs="Arial"/>
                <w:sz w:val="20"/>
                <w:szCs w:val="20"/>
              </w:rPr>
            </w:pPr>
            <w:r>
              <w:rPr>
                <w:rFonts w:cs="Arial"/>
                <w:sz w:val="20"/>
                <w:szCs w:val="20"/>
              </w:rPr>
              <w:t>27/7/17</w:t>
            </w:r>
          </w:p>
        </w:tc>
        <w:tc>
          <w:tcPr>
            <w:tcW w:w="6335" w:type="dxa"/>
            <w:tcBorders>
              <w:top w:val="single" w:sz="4" w:space="0" w:color="auto"/>
              <w:bottom w:val="single" w:sz="4" w:space="0" w:color="auto"/>
            </w:tcBorders>
            <w:shd w:val="clear" w:color="auto" w:fill="auto"/>
          </w:tcPr>
          <w:p w14:paraId="52D6727B" w14:textId="77777777" w:rsidR="00A70030" w:rsidRPr="00CF78CA" w:rsidRDefault="00A70030" w:rsidP="00073385">
            <w:pPr>
              <w:spacing w:before="60" w:after="60"/>
              <w:ind w:left="0"/>
              <w:rPr>
                <w:rFonts w:cs="Arial"/>
                <w:sz w:val="20"/>
                <w:szCs w:val="20"/>
              </w:rPr>
            </w:pPr>
            <w:r w:rsidRPr="00CF78CA">
              <w:rPr>
                <w:rFonts w:cs="Arial"/>
                <w:sz w:val="20"/>
                <w:szCs w:val="20"/>
              </w:rPr>
              <w:t xml:space="preserve">CarbonNet emailed VSFA, SIV and VFA with the following: </w:t>
            </w:r>
          </w:p>
          <w:p w14:paraId="07F2CC01" w14:textId="77777777" w:rsidR="00A70030" w:rsidRPr="008602D0" w:rsidRDefault="00A70030" w:rsidP="00073385">
            <w:pPr>
              <w:pStyle w:val="ListParagraph0"/>
              <w:numPr>
                <w:ilvl w:val="0"/>
                <w:numId w:val="493"/>
              </w:numPr>
              <w:spacing w:before="60" w:after="60"/>
              <w:rPr>
                <w:rFonts w:cs="Arial"/>
                <w:sz w:val="20"/>
                <w:szCs w:val="20"/>
              </w:rPr>
            </w:pPr>
            <w:r w:rsidRPr="008602D0">
              <w:rPr>
                <w:rFonts w:cs="Arial"/>
                <w:sz w:val="20"/>
                <w:szCs w:val="20"/>
              </w:rPr>
              <w:t xml:space="preserve">Draft agenda for meeting in Traralgon on 28/7 </w:t>
            </w:r>
          </w:p>
          <w:p w14:paraId="0888E462" w14:textId="77777777" w:rsidR="00A70030" w:rsidRPr="008602D0" w:rsidRDefault="00A70030" w:rsidP="00073385">
            <w:pPr>
              <w:pStyle w:val="ListParagraph0"/>
              <w:numPr>
                <w:ilvl w:val="0"/>
                <w:numId w:val="493"/>
              </w:numPr>
              <w:spacing w:before="60" w:after="60"/>
              <w:rPr>
                <w:rFonts w:cs="Arial"/>
                <w:sz w:val="20"/>
                <w:szCs w:val="20"/>
              </w:rPr>
            </w:pPr>
            <w:r w:rsidRPr="008602D0">
              <w:rPr>
                <w:rFonts w:cs="Arial"/>
                <w:sz w:val="20"/>
                <w:szCs w:val="20"/>
              </w:rPr>
              <w:t xml:space="preserve">Draft scope for pre- and post-Environmental Assessment and Monitoring for discussion </w:t>
            </w:r>
          </w:p>
          <w:p w14:paraId="06AE48EA" w14:textId="77777777" w:rsidR="00A70030" w:rsidRPr="00C83C0E" w:rsidRDefault="00A70030" w:rsidP="00073385">
            <w:pPr>
              <w:pStyle w:val="ListParagraph0"/>
              <w:numPr>
                <w:ilvl w:val="0"/>
                <w:numId w:val="493"/>
              </w:numPr>
              <w:spacing w:before="60" w:after="60" w:line="240" w:lineRule="auto"/>
              <w:rPr>
                <w:rFonts w:cs="Arial"/>
                <w:bCs/>
                <w:iCs/>
                <w:color w:val="45508A"/>
                <w:sz w:val="20"/>
                <w:szCs w:val="20"/>
              </w:rPr>
            </w:pPr>
            <w:r w:rsidRPr="00C83C0E">
              <w:rPr>
                <w:rFonts w:cs="Arial"/>
                <w:sz w:val="20"/>
                <w:szCs w:val="20"/>
              </w:rPr>
              <w:t>Extracts from draft EP (at 27/7) with information on scallops.</w:t>
            </w:r>
          </w:p>
          <w:p w14:paraId="121F8377" w14:textId="77777777" w:rsidR="00A70030" w:rsidRDefault="00A70030" w:rsidP="00073385">
            <w:pPr>
              <w:spacing w:before="60" w:after="60" w:line="240" w:lineRule="auto"/>
              <w:ind w:left="0"/>
              <w:rPr>
                <w:rFonts w:cs="Arial"/>
                <w:sz w:val="20"/>
                <w:szCs w:val="20"/>
              </w:rPr>
            </w:pPr>
            <w:r>
              <w:rPr>
                <w:rFonts w:cs="Arial"/>
                <w:sz w:val="20"/>
                <w:szCs w:val="20"/>
              </w:rPr>
              <w:lastRenderedPageBreak/>
              <w:t>SIV responded to send apologies for meeting. SIV will</w:t>
            </w:r>
            <w:r w:rsidRPr="00077C24">
              <w:rPr>
                <w:rFonts w:cs="Arial"/>
                <w:sz w:val="20"/>
                <w:szCs w:val="20"/>
              </w:rPr>
              <w:t xml:space="preserve"> aim to provide insight on the draft risk and impact assessment information provided once he has sought broader industry comment.</w:t>
            </w:r>
          </w:p>
          <w:p w14:paraId="34AA018E" w14:textId="34D03A8C" w:rsidR="00A70030" w:rsidRDefault="00A70030" w:rsidP="00AC520F">
            <w:pPr>
              <w:spacing w:before="60" w:after="60" w:line="240" w:lineRule="auto"/>
              <w:ind w:left="0"/>
              <w:rPr>
                <w:rFonts w:cs="Arial"/>
                <w:sz w:val="20"/>
                <w:szCs w:val="20"/>
              </w:rPr>
            </w:pPr>
            <w:r>
              <w:rPr>
                <w:rFonts w:cs="Arial"/>
                <w:sz w:val="20"/>
                <w:szCs w:val="20"/>
              </w:rPr>
              <w:t>To date, SIV has not provided any feedback on the extracts from the draft EP.</w:t>
            </w:r>
          </w:p>
        </w:tc>
        <w:tc>
          <w:tcPr>
            <w:tcW w:w="3802" w:type="dxa"/>
            <w:tcBorders>
              <w:top w:val="single" w:sz="4" w:space="0" w:color="auto"/>
              <w:bottom w:val="single" w:sz="4" w:space="0" w:color="auto"/>
            </w:tcBorders>
            <w:shd w:val="clear" w:color="auto" w:fill="auto"/>
          </w:tcPr>
          <w:p w14:paraId="790A7F3F" w14:textId="07E18ED2" w:rsidR="00A70030" w:rsidRDefault="00A70030" w:rsidP="00073385">
            <w:pPr>
              <w:spacing w:before="60" w:after="60" w:line="240" w:lineRule="auto"/>
              <w:ind w:left="0"/>
              <w:rPr>
                <w:rFonts w:cs="Arial"/>
                <w:sz w:val="20"/>
                <w:szCs w:val="20"/>
              </w:rPr>
            </w:pPr>
            <w:r>
              <w:rPr>
                <w:rFonts w:cs="Arial"/>
                <w:sz w:val="20"/>
                <w:szCs w:val="20"/>
              </w:rPr>
              <w:lastRenderedPageBreak/>
              <w:t>N/A</w:t>
            </w:r>
          </w:p>
        </w:tc>
      </w:tr>
      <w:tr w:rsidR="00A70030" w:rsidRPr="00FF0808" w14:paraId="68DF401E" w14:textId="77777777" w:rsidTr="00CE3085">
        <w:trPr>
          <w:trHeight w:val="490"/>
        </w:trPr>
        <w:tc>
          <w:tcPr>
            <w:tcW w:w="1427" w:type="dxa"/>
            <w:tcBorders>
              <w:top w:val="nil"/>
              <w:bottom w:val="nil"/>
            </w:tcBorders>
            <w:shd w:val="clear" w:color="auto" w:fill="auto"/>
          </w:tcPr>
          <w:p w14:paraId="4FC1D654"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A482DD4"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E130BA3" w14:textId="77777777" w:rsidR="00A70030" w:rsidRDefault="00A70030" w:rsidP="00073385">
            <w:pPr>
              <w:spacing w:before="60" w:after="60" w:line="240" w:lineRule="auto"/>
              <w:ind w:left="0"/>
              <w:rPr>
                <w:rFonts w:cs="Arial"/>
                <w:sz w:val="20"/>
                <w:szCs w:val="20"/>
              </w:rPr>
            </w:pPr>
            <w:r>
              <w:rPr>
                <w:rFonts w:cs="Arial"/>
                <w:sz w:val="20"/>
                <w:szCs w:val="20"/>
              </w:rPr>
              <w:t>31/7/17</w:t>
            </w:r>
          </w:p>
        </w:tc>
        <w:tc>
          <w:tcPr>
            <w:tcW w:w="6335" w:type="dxa"/>
            <w:tcBorders>
              <w:top w:val="single" w:sz="4" w:space="0" w:color="auto"/>
              <w:bottom w:val="single" w:sz="4" w:space="0" w:color="auto"/>
            </w:tcBorders>
            <w:shd w:val="clear" w:color="auto" w:fill="auto"/>
          </w:tcPr>
          <w:p w14:paraId="5BB23C16" w14:textId="77777777" w:rsidR="00A70030" w:rsidRDefault="00A70030" w:rsidP="00073385">
            <w:pPr>
              <w:spacing w:before="60" w:after="60" w:line="240" w:lineRule="auto"/>
              <w:ind w:left="0"/>
              <w:rPr>
                <w:rFonts w:cs="Arial"/>
                <w:sz w:val="20"/>
                <w:szCs w:val="20"/>
              </w:rPr>
            </w:pPr>
            <w:r>
              <w:rPr>
                <w:rFonts w:cs="Arial"/>
                <w:sz w:val="20"/>
                <w:szCs w:val="20"/>
              </w:rPr>
              <w:t>SIV emailed CarbonNet with proposal to hold meetings in Lakes Entrance with the following:</w:t>
            </w:r>
          </w:p>
          <w:p w14:paraId="5FB809F5" w14:textId="77777777" w:rsidR="00A70030" w:rsidRPr="00C83C0E" w:rsidRDefault="00A70030" w:rsidP="00073385">
            <w:pPr>
              <w:pStyle w:val="ListParagraph0"/>
              <w:numPr>
                <w:ilvl w:val="0"/>
                <w:numId w:val="488"/>
              </w:numPr>
              <w:spacing w:before="60" w:after="60" w:line="240" w:lineRule="auto"/>
              <w:rPr>
                <w:rFonts w:cs="Arial"/>
                <w:sz w:val="20"/>
                <w:szCs w:val="20"/>
              </w:rPr>
            </w:pPr>
            <w:r w:rsidRPr="00C83C0E">
              <w:rPr>
                <w:rFonts w:cs="Arial"/>
                <w:sz w:val="20"/>
                <w:szCs w:val="20"/>
              </w:rPr>
              <w:t xml:space="preserve">The pilchard /small pelagic fishery </w:t>
            </w:r>
          </w:p>
          <w:p w14:paraId="3262E069" w14:textId="77777777" w:rsidR="00A70030" w:rsidRPr="00C83C0E" w:rsidRDefault="00A70030" w:rsidP="00073385">
            <w:pPr>
              <w:pStyle w:val="ListParagraph0"/>
              <w:numPr>
                <w:ilvl w:val="0"/>
                <w:numId w:val="488"/>
              </w:numPr>
              <w:spacing w:before="60" w:after="60" w:line="240" w:lineRule="auto"/>
              <w:rPr>
                <w:rFonts w:cs="Arial"/>
                <w:sz w:val="20"/>
                <w:szCs w:val="20"/>
              </w:rPr>
            </w:pPr>
            <w:r w:rsidRPr="00C83C0E">
              <w:rPr>
                <w:rFonts w:cs="Arial"/>
                <w:sz w:val="20"/>
                <w:szCs w:val="20"/>
              </w:rPr>
              <w:t xml:space="preserve">Scallop fishermen who have not previously engaged via VSFA </w:t>
            </w:r>
          </w:p>
          <w:p w14:paraId="1647DEE9" w14:textId="77777777" w:rsidR="00A70030" w:rsidRPr="00C83C0E" w:rsidRDefault="00A70030" w:rsidP="00073385">
            <w:pPr>
              <w:pStyle w:val="ListParagraph0"/>
              <w:numPr>
                <w:ilvl w:val="0"/>
                <w:numId w:val="488"/>
              </w:numPr>
              <w:spacing w:before="60" w:after="60" w:line="240" w:lineRule="auto"/>
              <w:rPr>
                <w:rFonts w:cs="Arial"/>
                <w:sz w:val="20"/>
                <w:szCs w:val="20"/>
              </w:rPr>
            </w:pPr>
            <w:r w:rsidRPr="00C83C0E">
              <w:rPr>
                <w:rFonts w:cs="Arial"/>
                <w:sz w:val="20"/>
                <w:szCs w:val="20"/>
              </w:rPr>
              <w:t xml:space="preserve">LEFCOL </w:t>
            </w:r>
          </w:p>
          <w:p w14:paraId="5E3F3E0D" w14:textId="77777777" w:rsidR="00A70030" w:rsidRDefault="00A70030" w:rsidP="00073385">
            <w:pPr>
              <w:pStyle w:val="ListParagraph0"/>
              <w:numPr>
                <w:ilvl w:val="0"/>
                <w:numId w:val="488"/>
              </w:numPr>
              <w:spacing w:before="60" w:after="60" w:line="240" w:lineRule="auto"/>
              <w:rPr>
                <w:rFonts w:cs="Arial"/>
                <w:sz w:val="20"/>
                <w:szCs w:val="20"/>
              </w:rPr>
            </w:pPr>
            <w:r w:rsidRPr="00C83C0E">
              <w:rPr>
                <w:rFonts w:cs="Arial"/>
                <w:sz w:val="20"/>
                <w:szCs w:val="20"/>
              </w:rPr>
              <w:t>Any other interested fishers</w:t>
            </w:r>
          </w:p>
          <w:p w14:paraId="14A56B13" w14:textId="77777777" w:rsidR="00A70030" w:rsidRPr="00C83C0E" w:rsidRDefault="00A70030" w:rsidP="00073385">
            <w:pPr>
              <w:spacing w:before="60" w:after="60" w:line="240" w:lineRule="auto"/>
              <w:ind w:left="0"/>
              <w:rPr>
                <w:rFonts w:cs="Arial"/>
                <w:sz w:val="20"/>
                <w:szCs w:val="20"/>
              </w:rPr>
            </w:pPr>
            <w:r>
              <w:rPr>
                <w:rFonts w:cs="Arial"/>
                <w:sz w:val="20"/>
                <w:szCs w:val="20"/>
              </w:rPr>
              <w:t>CarbonNet confirmed availability and requested confirmation of meeting times.</w:t>
            </w:r>
          </w:p>
        </w:tc>
        <w:tc>
          <w:tcPr>
            <w:tcW w:w="3802" w:type="dxa"/>
            <w:tcBorders>
              <w:top w:val="single" w:sz="4" w:space="0" w:color="auto"/>
              <w:bottom w:val="single" w:sz="4" w:space="0" w:color="auto"/>
            </w:tcBorders>
            <w:shd w:val="clear" w:color="auto" w:fill="auto"/>
          </w:tcPr>
          <w:p w14:paraId="290967C9" w14:textId="7330B7A6"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34AEE8F2" w14:textId="77777777" w:rsidTr="00CE3085">
        <w:trPr>
          <w:trHeight w:val="490"/>
        </w:trPr>
        <w:tc>
          <w:tcPr>
            <w:tcW w:w="1427" w:type="dxa"/>
            <w:tcBorders>
              <w:top w:val="nil"/>
              <w:bottom w:val="nil"/>
            </w:tcBorders>
            <w:shd w:val="clear" w:color="auto" w:fill="auto"/>
          </w:tcPr>
          <w:p w14:paraId="57AB9E48"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DE412C2"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61B09E2D" w14:textId="77777777" w:rsidR="00A70030" w:rsidRDefault="00A70030" w:rsidP="00073385">
            <w:pPr>
              <w:spacing w:before="60" w:after="60" w:line="240" w:lineRule="auto"/>
              <w:ind w:left="0"/>
              <w:rPr>
                <w:rFonts w:cs="Arial"/>
                <w:sz w:val="20"/>
                <w:szCs w:val="20"/>
              </w:rPr>
            </w:pPr>
            <w:r>
              <w:rPr>
                <w:rFonts w:cs="Arial"/>
                <w:sz w:val="20"/>
                <w:szCs w:val="20"/>
              </w:rPr>
              <w:t>2/8/17</w:t>
            </w:r>
          </w:p>
        </w:tc>
        <w:tc>
          <w:tcPr>
            <w:tcW w:w="6335" w:type="dxa"/>
            <w:tcBorders>
              <w:top w:val="single" w:sz="4" w:space="0" w:color="auto"/>
              <w:bottom w:val="single" w:sz="4" w:space="0" w:color="auto"/>
            </w:tcBorders>
            <w:shd w:val="clear" w:color="auto" w:fill="auto"/>
          </w:tcPr>
          <w:p w14:paraId="4FB10E5F" w14:textId="77777777" w:rsidR="00A70030" w:rsidRDefault="00A70030" w:rsidP="00073385">
            <w:pPr>
              <w:spacing w:before="60" w:after="60" w:line="240" w:lineRule="auto"/>
              <w:ind w:left="0"/>
              <w:rPr>
                <w:rFonts w:cs="Arial"/>
                <w:sz w:val="20"/>
                <w:szCs w:val="20"/>
              </w:rPr>
            </w:pPr>
            <w:r>
              <w:rPr>
                <w:rFonts w:cs="Arial"/>
                <w:sz w:val="20"/>
                <w:szCs w:val="20"/>
              </w:rPr>
              <w:t>CarbonNet received email confirmation from SIV confirming there will be 2 or 3 meetings on the afternoon fo 8 August at LEFCOL’s office in Lakes Entrance.</w:t>
            </w:r>
          </w:p>
        </w:tc>
        <w:tc>
          <w:tcPr>
            <w:tcW w:w="3802" w:type="dxa"/>
            <w:tcBorders>
              <w:top w:val="single" w:sz="4" w:space="0" w:color="auto"/>
              <w:bottom w:val="single" w:sz="4" w:space="0" w:color="auto"/>
            </w:tcBorders>
            <w:shd w:val="clear" w:color="auto" w:fill="auto"/>
          </w:tcPr>
          <w:p w14:paraId="56812D2D" w14:textId="77777777" w:rsidR="00A70030" w:rsidRDefault="00A70030" w:rsidP="00073385">
            <w:pPr>
              <w:spacing w:before="60" w:after="60" w:line="240" w:lineRule="auto"/>
              <w:ind w:left="0"/>
              <w:rPr>
                <w:rFonts w:cs="Arial"/>
                <w:sz w:val="20"/>
                <w:szCs w:val="20"/>
              </w:rPr>
            </w:pPr>
          </w:p>
        </w:tc>
      </w:tr>
      <w:tr w:rsidR="00A70030" w:rsidRPr="00FF0808" w14:paraId="1D2B4086" w14:textId="77777777" w:rsidTr="00CE3085">
        <w:trPr>
          <w:trHeight w:val="490"/>
        </w:trPr>
        <w:tc>
          <w:tcPr>
            <w:tcW w:w="1427" w:type="dxa"/>
            <w:tcBorders>
              <w:top w:val="nil"/>
              <w:bottom w:val="nil"/>
            </w:tcBorders>
            <w:shd w:val="clear" w:color="auto" w:fill="auto"/>
          </w:tcPr>
          <w:p w14:paraId="352B5E56"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BCEDB96"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29CAFB3C" w14:textId="77777777" w:rsidR="00A70030" w:rsidRDefault="00A70030" w:rsidP="00073385">
            <w:pPr>
              <w:spacing w:before="60" w:after="60" w:line="240" w:lineRule="auto"/>
              <w:ind w:left="0"/>
              <w:rPr>
                <w:rFonts w:cs="Arial"/>
                <w:sz w:val="20"/>
                <w:szCs w:val="20"/>
              </w:rPr>
            </w:pPr>
            <w:r>
              <w:rPr>
                <w:rFonts w:cs="Arial"/>
                <w:sz w:val="20"/>
                <w:szCs w:val="20"/>
              </w:rPr>
              <w:t>4/8/17</w:t>
            </w:r>
          </w:p>
        </w:tc>
        <w:tc>
          <w:tcPr>
            <w:tcW w:w="6335" w:type="dxa"/>
            <w:tcBorders>
              <w:top w:val="single" w:sz="4" w:space="0" w:color="auto"/>
              <w:bottom w:val="single" w:sz="4" w:space="0" w:color="auto"/>
            </w:tcBorders>
            <w:shd w:val="clear" w:color="auto" w:fill="auto"/>
          </w:tcPr>
          <w:p w14:paraId="6B14FC4B" w14:textId="77777777" w:rsidR="00A70030" w:rsidRDefault="00A70030" w:rsidP="00073385">
            <w:pPr>
              <w:spacing w:before="60" w:after="60" w:line="240" w:lineRule="auto"/>
              <w:ind w:left="0"/>
              <w:rPr>
                <w:rFonts w:cs="Arial"/>
                <w:sz w:val="20"/>
                <w:szCs w:val="20"/>
              </w:rPr>
            </w:pPr>
            <w:r>
              <w:rPr>
                <w:rFonts w:cs="Arial"/>
                <w:sz w:val="20"/>
                <w:szCs w:val="20"/>
              </w:rPr>
              <w:t>CarbonNet emailed SIV with the following remaining draft EP extracts:</w:t>
            </w:r>
          </w:p>
          <w:p w14:paraId="1F1FBEBC" w14:textId="77777777" w:rsidR="00A70030" w:rsidRPr="00C83C0E" w:rsidRDefault="00A70030" w:rsidP="00073385">
            <w:pPr>
              <w:pStyle w:val="ListParagraph0"/>
              <w:numPr>
                <w:ilvl w:val="0"/>
                <w:numId w:val="489"/>
              </w:numPr>
              <w:spacing w:before="60" w:after="60" w:line="240" w:lineRule="auto"/>
              <w:rPr>
                <w:rFonts w:cs="Arial"/>
                <w:sz w:val="20"/>
                <w:szCs w:val="20"/>
              </w:rPr>
            </w:pPr>
            <w:r w:rsidRPr="00C83C0E">
              <w:rPr>
                <w:rFonts w:cs="Arial"/>
                <w:sz w:val="20"/>
                <w:szCs w:val="20"/>
              </w:rPr>
              <w:t xml:space="preserve">Impacts to plankton </w:t>
            </w:r>
          </w:p>
          <w:p w14:paraId="1FE504F2" w14:textId="77777777" w:rsidR="00A70030" w:rsidRPr="00C83C0E" w:rsidRDefault="00A70030" w:rsidP="00073385">
            <w:pPr>
              <w:pStyle w:val="ListParagraph0"/>
              <w:numPr>
                <w:ilvl w:val="0"/>
                <w:numId w:val="489"/>
              </w:numPr>
              <w:spacing w:before="60" w:after="60" w:line="240" w:lineRule="auto"/>
              <w:rPr>
                <w:rFonts w:cs="Arial"/>
                <w:sz w:val="20"/>
                <w:szCs w:val="20"/>
              </w:rPr>
            </w:pPr>
            <w:r w:rsidRPr="00C83C0E">
              <w:rPr>
                <w:rFonts w:cs="Arial"/>
                <w:sz w:val="20"/>
                <w:szCs w:val="20"/>
              </w:rPr>
              <w:t xml:space="preserve">Impacts on fish </w:t>
            </w:r>
          </w:p>
          <w:p w14:paraId="2FFB78CE" w14:textId="77777777" w:rsidR="00A70030" w:rsidRPr="00C83C0E" w:rsidRDefault="00A70030" w:rsidP="00073385">
            <w:pPr>
              <w:pStyle w:val="ListParagraph0"/>
              <w:numPr>
                <w:ilvl w:val="0"/>
                <w:numId w:val="489"/>
              </w:numPr>
              <w:spacing w:before="60" w:after="60" w:line="240" w:lineRule="auto"/>
              <w:rPr>
                <w:rFonts w:cs="Arial"/>
                <w:sz w:val="20"/>
                <w:szCs w:val="20"/>
              </w:rPr>
            </w:pPr>
            <w:r w:rsidRPr="00C83C0E">
              <w:rPr>
                <w:rFonts w:cs="Arial"/>
                <w:sz w:val="20"/>
                <w:szCs w:val="20"/>
              </w:rPr>
              <w:t xml:space="preserve">Risks to fin fisheries </w:t>
            </w:r>
          </w:p>
          <w:p w14:paraId="5D5635D9" w14:textId="77777777" w:rsidR="00A70030" w:rsidRDefault="00A70030" w:rsidP="00073385">
            <w:pPr>
              <w:pStyle w:val="ListParagraph0"/>
              <w:numPr>
                <w:ilvl w:val="0"/>
                <w:numId w:val="489"/>
              </w:numPr>
              <w:spacing w:before="60" w:after="60" w:line="240" w:lineRule="auto"/>
              <w:rPr>
                <w:rFonts w:cs="Arial"/>
                <w:sz w:val="20"/>
                <w:szCs w:val="20"/>
              </w:rPr>
            </w:pPr>
            <w:r w:rsidRPr="00C83C0E">
              <w:rPr>
                <w:rFonts w:cs="Arial"/>
                <w:sz w:val="20"/>
                <w:szCs w:val="20"/>
              </w:rPr>
              <w:t>Risks to rock lobster fishery</w:t>
            </w:r>
          </w:p>
          <w:p w14:paraId="4F5CBCD1" w14:textId="77777777" w:rsidR="00A70030" w:rsidRDefault="00A70030" w:rsidP="00073385">
            <w:pPr>
              <w:spacing w:before="60" w:after="60" w:line="240" w:lineRule="auto"/>
              <w:ind w:left="0"/>
              <w:rPr>
                <w:rFonts w:cs="Arial"/>
                <w:sz w:val="20"/>
                <w:szCs w:val="20"/>
              </w:rPr>
            </w:pPr>
          </w:p>
          <w:p w14:paraId="33C488D9" w14:textId="77777777" w:rsidR="00A70030" w:rsidRDefault="00A70030" w:rsidP="00073385">
            <w:pPr>
              <w:spacing w:before="60" w:after="60" w:line="240" w:lineRule="auto"/>
              <w:ind w:left="0"/>
              <w:rPr>
                <w:rFonts w:cs="Arial"/>
                <w:sz w:val="20"/>
                <w:szCs w:val="20"/>
              </w:rPr>
            </w:pPr>
            <w:r>
              <w:rPr>
                <w:rFonts w:cs="Arial"/>
                <w:sz w:val="20"/>
                <w:szCs w:val="20"/>
              </w:rPr>
              <w:t>CarbonNet also sent SIV responses to concerns and questions raised in their email on 12/7:</w:t>
            </w:r>
          </w:p>
          <w:p w14:paraId="15C2CE64" w14:textId="77777777" w:rsidR="00A70030" w:rsidRPr="000B57F4" w:rsidRDefault="00A70030" w:rsidP="00073385">
            <w:pPr>
              <w:pStyle w:val="ListParagraph0"/>
              <w:numPr>
                <w:ilvl w:val="0"/>
                <w:numId w:val="491"/>
              </w:numPr>
              <w:spacing w:before="60" w:after="60" w:line="240" w:lineRule="auto"/>
              <w:rPr>
                <w:rFonts w:cs="Arial"/>
                <w:sz w:val="20"/>
                <w:szCs w:val="20"/>
              </w:rPr>
            </w:pPr>
            <w:r w:rsidRPr="000B57F4">
              <w:rPr>
                <w:rFonts w:cs="Arial"/>
                <w:sz w:val="20"/>
                <w:szCs w:val="20"/>
              </w:rPr>
              <w:t>Significant quantities of scallops were dredged by a fisherman within the survey area (two sets of GPS</w:t>
            </w:r>
            <w:r>
              <w:rPr>
                <w:rFonts w:cs="Arial"/>
                <w:sz w:val="20"/>
                <w:szCs w:val="20"/>
              </w:rPr>
              <w:t xml:space="preserve"> </w:t>
            </w:r>
            <w:r w:rsidRPr="000B57F4">
              <w:rPr>
                <w:rFonts w:cs="Arial"/>
                <w:sz w:val="20"/>
                <w:szCs w:val="20"/>
              </w:rPr>
              <w:t>coordinates and a photo provided to CarbonNet).</w:t>
            </w:r>
          </w:p>
          <w:p w14:paraId="6D7498D5" w14:textId="77777777" w:rsidR="00A70030" w:rsidRDefault="00A70030" w:rsidP="00073385">
            <w:pPr>
              <w:pStyle w:val="ListParagraph0"/>
              <w:numPr>
                <w:ilvl w:val="0"/>
                <w:numId w:val="491"/>
              </w:numPr>
              <w:spacing w:before="60" w:after="60" w:line="240" w:lineRule="auto"/>
              <w:rPr>
                <w:rFonts w:cs="Arial"/>
                <w:sz w:val="20"/>
                <w:szCs w:val="20"/>
              </w:rPr>
            </w:pPr>
            <w:r w:rsidRPr="000B57F4">
              <w:rPr>
                <w:rFonts w:cs="Arial"/>
                <w:sz w:val="20"/>
                <w:szCs w:val="20"/>
              </w:rPr>
              <w:t>The Victorian seafood industry fears that the fishing</w:t>
            </w:r>
            <w:r>
              <w:rPr>
                <w:rFonts w:cs="Arial"/>
                <w:sz w:val="20"/>
                <w:szCs w:val="20"/>
              </w:rPr>
              <w:t xml:space="preserve"> </w:t>
            </w:r>
            <w:r w:rsidRPr="000B57F4">
              <w:rPr>
                <w:rFonts w:cs="Arial"/>
                <w:sz w:val="20"/>
                <w:szCs w:val="20"/>
              </w:rPr>
              <w:t>industry will be forced to suffer the death of scallops</w:t>
            </w:r>
            <w:r>
              <w:rPr>
                <w:rFonts w:cs="Arial"/>
                <w:sz w:val="20"/>
                <w:szCs w:val="20"/>
              </w:rPr>
              <w:t xml:space="preserve"> </w:t>
            </w:r>
            <w:r w:rsidRPr="000B57F4">
              <w:rPr>
                <w:rFonts w:cs="Arial"/>
                <w:sz w:val="20"/>
                <w:szCs w:val="20"/>
              </w:rPr>
              <w:t>for something that will probably not work.</w:t>
            </w:r>
          </w:p>
          <w:p w14:paraId="2D1820A9" w14:textId="77777777" w:rsidR="00A70030" w:rsidRDefault="00A70030" w:rsidP="00073385">
            <w:pPr>
              <w:pStyle w:val="ListParagraph0"/>
              <w:numPr>
                <w:ilvl w:val="0"/>
                <w:numId w:val="491"/>
              </w:numPr>
              <w:spacing w:before="60" w:after="60" w:line="240" w:lineRule="auto"/>
              <w:rPr>
                <w:rFonts w:cs="Arial"/>
                <w:sz w:val="20"/>
                <w:szCs w:val="20"/>
              </w:rPr>
            </w:pPr>
            <w:r w:rsidRPr="000B57F4">
              <w:rPr>
                <w:rFonts w:cs="Arial"/>
                <w:sz w:val="20"/>
                <w:szCs w:val="20"/>
              </w:rPr>
              <w:t>As you are aware, there is extremely credible science produced in September last year that</w:t>
            </w:r>
            <w:r>
              <w:rPr>
                <w:rFonts w:cs="Arial"/>
                <w:sz w:val="20"/>
                <w:szCs w:val="20"/>
              </w:rPr>
              <w:t xml:space="preserve"> </w:t>
            </w:r>
            <w:r w:rsidRPr="000B57F4">
              <w:rPr>
                <w:rFonts w:cs="Arial"/>
                <w:sz w:val="20"/>
                <w:szCs w:val="20"/>
              </w:rPr>
              <w:t xml:space="preserve">identified the stress caused to </w:t>
            </w:r>
            <w:r w:rsidRPr="000B57F4">
              <w:rPr>
                <w:rFonts w:cs="Arial"/>
                <w:sz w:val="20"/>
                <w:szCs w:val="20"/>
              </w:rPr>
              <w:lastRenderedPageBreak/>
              <w:t>Scallops from seismic</w:t>
            </w:r>
            <w:r>
              <w:rPr>
                <w:rFonts w:cs="Arial"/>
                <w:sz w:val="20"/>
                <w:szCs w:val="20"/>
              </w:rPr>
              <w:t xml:space="preserve"> </w:t>
            </w:r>
            <w:r w:rsidRPr="000B57F4">
              <w:rPr>
                <w:rFonts w:cs="Arial"/>
                <w:sz w:val="20"/>
                <w:szCs w:val="20"/>
              </w:rPr>
              <w:t>exposure results in mortality</w:t>
            </w:r>
          </w:p>
          <w:p w14:paraId="11A9C1D9" w14:textId="77777777" w:rsidR="00A70030" w:rsidRDefault="00A70030" w:rsidP="00073385">
            <w:pPr>
              <w:pStyle w:val="ListParagraph0"/>
              <w:numPr>
                <w:ilvl w:val="0"/>
                <w:numId w:val="491"/>
              </w:numPr>
              <w:spacing w:before="60" w:after="60" w:line="240" w:lineRule="auto"/>
              <w:rPr>
                <w:rFonts w:cs="Arial"/>
                <w:sz w:val="20"/>
                <w:szCs w:val="20"/>
              </w:rPr>
            </w:pPr>
            <w:r w:rsidRPr="000B57F4">
              <w:rPr>
                <w:rFonts w:cs="Arial"/>
                <w:sz w:val="20"/>
                <w:szCs w:val="20"/>
              </w:rPr>
              <w:t>Australian research on seismic damage to zooplankton has found that the impact range is 100 times greater than previously assumed (from 10m to</w:t>
            </w:r>
            <w:r>
              <w:rPr>
                <w:rFonts w:cs="Arial"/>
                <w:sz w:val="20"/>
                <w:szCs w:val="20"/>
              </w:rPr>
              <w:t xml:space="preserve"> </w:t>
            </w:r>
            <w:r w:rsidRPr="000B57F4">
              <w:rPr>
                <w:rFonts w:cs="Arial"/>
                <w:sz w:val="20"/>
                <w:szCs w:val="20"/>
              </w:rPr>
              <w:t>1,200+m). And, there is a two to three fold increase</w:t>
            </w:r>
            <w:r>
              <w:rPr>
                <w:rFonts w:cs="Arial"/>
                <w:sz w:val="20"/>
                <w:szCs w:val="20"/>
              </w:rPr>
              <w:t xml:space="preserve"> </w:t>
            </w:r>
            <w:r w:rsidRPr="000B57F4">
              <w:rPr>
                <w:rFonts w:cs="Arial"/>
                <w:sz w:val="20"/>
                <w:szCs w:val="20"/>
              </w:rPr>
              <w:t>in mortality</w:t>
            </w:r>
          </w:p>
          <w:p w14:paraId="387E5C21" w14:textId="77777777" w:rsidR="00A70030" w:rsidRDefault="00A70030" w:rsidP="00073385">
            <w:pPr>
              <w:pStyle w:val="ListParagraph0"/>
              <w:numPr>
                <w:ilvl w:val="0"/>
                <w:numId w:val="491"/>
              </w:numPr>
              <w:spacing w:before="60" w:after="60" w:line="240" w:lineRule="auto"/>
              <w:rPr>
                <w:rFonts w:cs="Arial"/>
                <w:sz w:val="20"/>
                <w:szCs w:val="20"/>
              </w:rPr>
            </w:pPr>
            <w:r w:rsidRPr="000B57F4">
              <w:rPr>
                <w:rFonts w:cs="Arial"/>
                <w:sz w:val="20"/>
                <w:szCs w:val="20"/>
              </w:rPr>
              <w:t>Significant concerns about the implications of the Macauley study as they relate to species that spawn</w:t>
            </w:r>
            <w:r>
              <w:rPr>
                <w:rFonts w:cs="Arial"/>
                <w:sz w:val="20"/>
                <w:szCs w:val="20"/>
              </w:rPr>
              <w:t xml:space="preserve"> </w:t>
            </w:r>
            <w:r w:rsidRPr="000B57F4">
              <w:rPr>
                <w:rFonts w:cs="Arial"/>
                <w:sz w:val="20"/>
                <w:szCs w:val="20"/>
              </w:rPr>
              <w:t>year round – what happens if the survey knocks out</w:t>
            </w:r>
            <w:r>
              <w:rPr>
                <w:rFonts w:cs="Arial"/>
                <w:sz w:val="20"/>
                <w:szCs w:val="20"/>
              </w:rPr>
              <w:t xml:space="preserve"> </w:t>
            </w:r>
            <w:r w:rsidRPr="000B57F4">
              <w:rPr>
                <w:rFonts w:cs="Arial"/>
                <w:sz w:val="20"/>
                <w:szCs w:val="20"/>
              </w:rPr>
              <w:t>future recruitment to these fisheries?</w:t>
            </w:r>
          </w:p>
          <w:p w14:paraId="62A11D9A" w14:textId="77777777" w:rsidR="00A70030" w:rsidRDefault="00A70030" w:rsidP="00073385">
            <w:pPr>
              <w:pStyle w:val="ListParagraph0"/>
              <w:numPr>
                <w:ilvl w:val="0"/>
                <w:numId w:val="491"/>
              </w:numPr>
              <w:spacing w:before="60" w:after="60" w:line="240" w:lineRule="auto"/>
              <w:rPr>
                <w:rFonts w:cs="Arial"/>
                <w:sz w:val="20"/>
                <w:szCs w:val="20"/>
              </w:rPr>
            </w:pPr>
            <w:r w:rsidRPr="000B57F4">
              <w:rPr>
                <w:rFonts w:cs="Arial"/>
                <w:sz w:val="20"/>
                <w:szCs w:val="20"/>
              </w:rPr>
              <w:t>Do you have a Bond in place to compensate on future impacts to these fisheries? Do you have an</w:t>
            </w:r>
            <w:r>
              <w:rPr>
                <w:rFonts w:cs="Arial"/>
                <w:sz w:val="20"/>
                <w:szCs w:val="20"/>
              </w:rPr>
              <w:t xml:space="preserve"> </w:t>
            </w:r>
            <w:r w:rsidRPr="000B57F4">
              <w:rPr>
                <w:rFonts w:cs="Arial"/>
                <w:sz w:val="20"/>
                <w:szCs w:val="20"/>
              </w:rPr>
              <w:t>idea in mind of a future monitoring strategy for</w:t>
            </w:r>
            <w:r>
              <w:rPr>
                <w:rFonts w:cs="Arial"/>
                <w:sz w:val="20"/>
                <w:szCs w:val="20"/>
              </w:rPr>
              <w:t xml:space="preserve"> </w:t>
            </w:r>
            <w:r w:rsidRPr="000B57F4">
              <w:rPr>
                <w:rFonts w:cs="Arial"/>
                <w:sz w:val="20"/>
                <w:szCs w:val="20"/>
              </w:rPr>
              <w:t>potentially impacted species (which there are a few).</w:t>
            </w:r>
          </w:p>
          <w:p w14:paraId="59F97EF3" w14:textId="77777777" w:rsidR="00A70030" w:rsidRDefault="00A70030" w:rsidP="00073385">
            <w:pPr>
              <w:pStyle w:val="ListParagraph0"/>
              <w:numPr>
                <w:ilvl w:val="0"/>
                <w:numId w:val="491"/>
              </w:numPr>
              <w:spacing w:before="60" w:after="60" w:line="240" w:lineRule="auto"/>
              <w:rPr>
                <w:rFonts w:cs="Arial"/>
                <w:sz w:val="20"/>
                <w:szCs w:val="20"/>
              </w:rPr>
            </w:pPr>
            <w:r w:rsidRPr="000B57F4">
              <w:rPr>
                <w:rFonts w:cs="Arial"/>
                <w:sz w:val="20"/>
                <w:szCs w:val="20"/>
              </w:rPr>
              <w:t>I note that CarbonNet had your own assessment of the area undertaken (using the underwater camera vehicle) that states there is ‘no/minimal evidence’ of populations of Scallops and Rock Lobsters in the area. A few comments on this: A - Scallops live within the seabed (hence the use of dredges to catch them)- we wouldn’t expect you would see them, hence why stock surveys are undertaken they involve ‘catching’ the fish. B - Rock Lobster live hidden in cryptic habitat… So to industry, it is no</w:t>
            </w:r>
            <w:r>
              <w:rPr>
                <w:rFonts w:cs="Arial"/>
                <w:sz w:val="20"/>
                <w:szCs w:val="20"/>
              </w:rPr>
              <w:t xml:space="preserve"> </w:t>
            </w:r>
            <w:r w:rsidRPr="000B57F4">
              <w:rPr>
                <w:rFonts w:cs="Arial"/>
                <w:sz w:val="20"/>
                <w:szCs w:val="20"/>
              </w:rPr>
              <w:t>wonder a video underwater assessment at a number</w:t>
            </w:r>
            <w:r>
              <w:rPr>
                <w:rFonts w:cs="Arial"/>
                <w:sz w:val="20"/>
                <w:szCs w:val="20"/>
              </w:rPr>
              <w:t xml:space="preserve"> </w:t>
            </w:r>
            <w:r w:rsidRPr="000B57F4">
              <w:rPr>
                <w:rFonts w:cs="Arial"/>
                <w:sz w:val="20"/>
                <w:szCs w:val="20"/>
              </w:rPr>
              <w:t>of sites showed no signs of these species.</w:t>
            </w:r>
          </w:p>
          <w:p w14:paraId="53882098" w14:textId="77777777" w:rsidR="00A70030" w:rsidRPr="00C83C0E" w:rsidRDefault="00A70030" w:rsidP="00073385">
            <w:pPr>
              <w:pStyle w:val="ListParagraph0"/>
              <w:numPr>
                <w:ilvl w:val="0"/>
                <w:numId w:val="491"/>
              </w:numPr>
              <w:spacing w:before="60" w:after="60" w:line="240" w:lineRule="auto"/>
              <w:rPr>
                <w:rFonts w:cs="Arial"/>
                <w:sz w:val="20"/>
                <w:szCs w:val="20"/>
              </w:rPr>
            </w:pPr>
            <w:r w:rsidRPr="000B57F4">
              <w:rPr>
                <w:rFonts w:cs="Arial"/>
                <w:sz w:val="20"/>
                <w:szCs w:val="20"/>
              </w:rPr>
              <w:t>When does the regulated 'precautionary principle’ apply and how is it reported and considered in your EP? Will your EP be available to view publicly, so</w:t>
            </w:r>
            <w:r>
              <w:rPr>
                <w:rFonts w:cs="Arial"/>
                <w:sz w:val="20"/>
                <w:szCs w:val="20"/>
              </w:rPr>
              <w:t xml:space="preserve"> </w:t>
            </w:r>
            <w:r w:rsidRPr="000B57F4">
              <w:rPr>
                <w:rFonts w:cs="Arial"/>
                <w:sz w:val="20"/>
                <w:szCs w:val="20"/>
              </w:rPr>
              <w:t>we can ensure it considers our concerns prior to</w:t>
            </w:r>
            <w:r>
              <w:rPr>
                <w:rFonts w:cs="Arial"/>
                <w:sz w:val="20"/>
                <w:szCs w:val="20"/>
              </w:rPr>
              <w:t xml:space="preserve"> </w:t>
            </w:r>
            <w:r w:rsidRPr="000B57F4">
              <w:rPr>
                <w:rFonts w:cs="Arial"/>
                <w:sz w:val="20"/>
                <w:szCs w:val="20"/>
              </w:rPr>
              <w:t>being submitted?</w:t>
            </w:r>
          </w:p>
        </w:tc>
        <w:tc>
          <w:tcPr>
            <w:tcW w:w="3802" w:type="dxa"/>
            <w:tcBorders>
              <w:top w:val="single" w:sz="4" w:space="0" w:color="auto"/>
              <w:bottom w:val="single" w:sz="4" w:space="0" w:color="auto"/>
            </w:tcBorders>
            <w:shd w:val="clear" w:color="auto" w:fill="auto"/>
          </w:tcPr>
          <w:p w14:paraId="28574BC6" w14:textId="77777777" w:rsidR="00A70030" w:rsidRPr="00CE3085" w:rsidRDefault="00A70030" w:rsidP="00073385">
            <w:pPr>
              <w:pStyle w:val="ListParagraph0"/>
              <w:numPr>
                <w:ilvl w:val="0"/>
                <w:numId w:val="492"/>
              </w:numPr>
              <w:spacing w:before="60" w:after="60" w:line="240" w:lineRule="auto"/>
              <w:rPr>
                <w:rFonts w:cs="Arial"/>
                <w:sz w:val="20"/>
                <w:szCs w:val="20"/>
              </w:rPr>
            </w:pPr>
            <w:r w:rsidRPr="00CE3085">
              <w:rPr>
                <w:rFonts w:cs="Arial"/>
                <w:sz w:val="20"/>
                <w:szCs w:val="20"/>
              </w:rPr>
              <w:lastRenderedPageBreak/>
              <w:t>Based on the information available, CarbonNet understands that the area where scallops are claimed to have been found is outside the proposed MSS area, and in the case of the larger area many kilometres away. Therefore CarbonNet disagrees with the claim that there are ‘significant quantities’ of scallop ‘within the survey area’.</w:t>
            </w:r>
          </w:p>
          <w:p w14:paraId="3802BBA1" w14:textId="77777777" w:rsidR="00A70030" w:rsidRPr="00CE3085" w:rsidRDefault="00A70030" w:rsidP="00073385">
            <w:pPr>
              <w:pStyle w:val="ListParagraph0"/>
              <w:numPr>
                <w:ilvl w:val="0"/>
                <w:numId w:val="492"/>
              </w:numPr>
              <w:spacing w:before="60" w:after="60" w:line="240" w:lineRule="auto"/>
              <w:rPr>
                <w:rFonts w:cs="Arial"/>
                <w:sz w:val="20"/>
                <w:szCs w:val="20"/>
              </w:rPr>
            </w:pPr>
            <w:r w:rsidRPr="00CE3085">
              <w:rPr>
                <w:rFonts w:cs="Arial"/>
                <w:sz w:val="20"/>
                <w:szCs w:val="20"/>
              </w:rPr>
              <w:t xml:space="preserve">Refer to CarbonNet’s draft risk and impact assessments for scallops, which assessed the risk to the sustainability of the Victorian scallop fishery has been assessed as ‘low’. The merits and viability of CCS fall outside the scope of the EP for CarbonNet’s proposed MSS, however CarbonNet responded to </w:t>
            </w:r>
            <w:r w:rsidRPr="00CE3085">
              <w:rPr>
                <w:rFonts w:cs="Arial"/>
                <w:sz w:val="20"/>
                <w:szCs w:val="20"/>
              </w:rPr>
              <w:lastRenderedPageBreak/>
              <w:t>SIV on 14/7 on this point.</w:t>
            </w:r>
          </w:p>
          <w:p w14:paraId="5BE4DB04" w14:textId="77777777" w:rsidR="00A70030" w:rsidRPr="00CE3085" w:rsidRDefault="00A70030" w:rsidP="00073385">
            <w:pPr>
              <w:pStyle w:val="ListParagraph0"/>
              <w:numPr>
                <w:ilvl w:val="0"/>
                <w:numId w:val="492"/>
              </w:numPr>
              <w:spacing w:before="60" w:after="60" w:line="240" w:lineRule="auto"/>
              <w:rPr>
                <w:rFonts w:cs="Arial"/>
                <w:sz w:val="20"/>
                <w:szCs w:val="20"/>
              </w:rPr>
            </w:pPr>
            <w:r w:rsidRPr="00CE3085">
              <w:rPr>
                <w:rFonts w:cs="Arial"/>
                <w:sz w:val="20"/>
                <w:szCs w:val="20"/>
              </w:rPr>
              <w:t>Refer to CarbonNet’s draft risk and impact assessments for scallops, which examined all available science including the Day  et al (2016) study, which CarbonNet co-funded, in great detail.</w:t>
            </w:r>
          </w:p>
          <w:p w14:paraId="75B305E3" w14:textId="77777777" w:rsidR="00A70030" w:rsidRPr="00CE3085" w:rsidRDefault="00A70030" w:rsidP="00073385">
            <w:pPr>
              <w:pStyle w:val="ListParagraph0"/>
              <w:numPr>
                <w:ilvl w:val="0"/>
                <w:numId w:val="492"/>
              </w:numPr>
              <w:spacing w:before="60" w:after="60" w:line="240" w:lineRule="auto"/>
              <w:rPr>
                <w:rFonts w:cs="Arial"/>
                <w:sz w:val="20"/>
                <w:szCs w:val="20"/>
              </w:rPr>
            </w:pPr>
            <w:r w:rsidRPr="00CE3085">
              <w:rPr>
                <w:rFonts w:cs="Arial"/>
                <w:sz w:val="20"/>
                <w:szCs w:val="20"/>
              </w:rPr>
              <w:t>Refer to CarbonNet’s draft impact assessment for plankton provided</w:t>
            </w:r>
          </w:p>
          <w:p w14:paraId="6FF5C2B5" w14:textId="77777777" w:rsidR="00A70030" w:rsidRPr="00CE3085" w:rsidRDefault="00A70030" w:rsidP="00073385">
            <w:pPr>
              <w:pStyle w:val="ListParagraph0"/>
              <w:numPr>
                <w:ilvl w:val="0"/>
                <w:numId w:val="492"/>
              </w:numPr>
              <w:spacing w:before="60" w:after="60" w:line="240" w:lineRule="auto"/>
              <w:rPr>
                <w:rFonts w:cs="Arial"/>
                <w:sz w:val="20"/>
                <w:szCs w:val="20"/>
              </w:rPr>
            </w:pPr>
            <w:r w:rsidRPr="00CE3085">
              <w:rPr>
                <w:rFonts w:cs="Arial"/>
                <w:sz w:val="20"/>
                <w:szCs w:val="20"/>
              </w:rPr>
              <w:t>Refer to CarbonNet’s draft impact assessment for plankton and fish provided.</w:t>
            </w:r>
          </w:p>
          <w:p w14:paraId="423B9383" w14:textId="77777777" w:rsidR="00A70030" w:rsidRPr="00CE3085" w:rsidRDefault="00A70030" w:rsidP="00073385">
            <w:pPr>
              <w:pStyle w:val="ListParagraph0"/>
              <w:numPr>
                <w:ilvl w:val="0"/>
                <w:numId w:val="492"/>
              </w:numPr>
              <w:spacing w:before="60" w:after="60" w:line="240" w:lineRule="auto"/>
              <w:rPr>
                <w:rFonts w:cs="Arial"/>
                <w:sz w:val="20"/>
                <w:szCs w:val="20"/>
              </w:rPr>
            </w:pPr>
            <w:r w:rsidRPr="00CE3085">
              <w:rPr>
                <w:rFonts w:cs="Arial"/>
                <w:sz w:val="20"/>
                <w:szCs w:val="20"/>
              </w:rPr>
              <w:t xml:space="preserve">CarbonNet has assessed the potential for both impacts and risks, as presented in the draft EP for the approval of regulators. Under the regulatory regime CarbonNet is not required to provide a bond. </w:t>
            </w:r>
          </w:p>
          <w:p w14:paraId="0296E8E0" w14:textId="77777777" w:rsidR="00A70030" w:rsidRPr="00CE3085" w:rsidRDefault="00A70030" w:rsidP="00073385">
            <w:pPr>
              <w:pStyle w:val="ListParagraph0"/>
              <w:spacing w:before="60" w:after="60" w:line="240" w:lineRule="auto"/>
              <w:ind w:left="360"/>
              <w:rPr>
                <w:rFonts w:cs="Arial"/>
                <w:sz w:val="20"/>
                <w:szCs w:val="20"/>
              </w:rPr>
            </w:pPr>
            <w:r w:rsidRPr="00CE3085">
              <w:rPr>
                <w:rFonts w:cs="Arial"/>
                <w:sz w:val="20"/>
                <w:szCs w:val="20"/>
              </w:rPr>
              <w:br/>
              <w:t>CarbonNet is open to discussing monitoring strategies associated with the implementation of the MSS EP, and has put forward a proposal to industry, including SIV and VFA, to complete a pre- and post-habitat assessment survey. It is not the role of CarbonNet to provide monitoring strategies for the sustainability of fisheries.</w:t>
            </w:r>
          </w:p>
          <w:p w14:paraId="72709C82" w14:textId="0288B6E8" w:rsidR="00A70030" w:rsidRPr="00CE3085" w:rsidRDefault="00A70030" w:rsidP="00073385">
            <w:pPr>
              <w:pStyle w:val="ListParagraph0"/>
              <w:numPr>
                <w:ilvl w:val="0"/>
                <w:numId w:val="492"/>
              </w:numPr>
              <w:spacing w:before="60" w:after="60" w:line="240" w:lineRule="auto"/>
              <w:rPr>
                <w:rFonts w:cs="Arial"/>
                <w:sz w:val="20"/>
                <w:szCs w:val="20"/>
              </w:rPr>
            </w:pPr>
            <w:r w:rsidRPr="00CE3085">
              <w:rPr>
                <w:rFonts w:cs="Arial"/>
                <w:sz w:val="20"/>
                <w:szCs w:val="20"/>
              </w:rPr>
              <w:t>CarbonNet engaged highly qualified experts including leading marine biologists to design and undertake the environmental habitat assessment, details of which have been provided to SIV.</w:t>
            </w:r>
            <w:r w:rsidRPr="00CE3085">
              <w:rPr>
                <w:rFonts w:cs="Arial"/>
                <w:sz w:val="20"/>
                <w:szCs w:val="20"/>
              </w:rPr>
              <w:br/>
            </w:r>
            <w:r w:rsidRPr="00CE3085">
              <w:rPr>
                <w:rFonts w:cs="Arial"/>
                <w:sz w:val="20"/>
                <w:szCs w:val="20"/>
              </w:rPr>
              <w:br/>
              <w:t xml:space="preserve">CarbonNet is confident that the </w:t>
            </w:r>
            <w:r w:rsidRPr="00CE3085">
              <w:rPr>
                <w:rFonts w:cs="Arial"/>
                <w:sz w:val="20"/>
                <w:szCs w:val="20"/>
              </w:rPr>
              <w:lastRenderedPageBreak/>
              <w:t>survey methodology used (towed ROV) was appropriate for confirming the presence or absence of scallops, and habitats suitable for rock lobsters. For more detail</w:t>
            </w:r>
            <w:r>
              <w:rPr>
                <w:rFonts w:cs="Arial"/>
                <w:sz w:val="20"/>
                <w:szCs w:val="20"/>
              </w:rPr>
              <w:t>,</w:t>
            </w:r>
            <w:r w:rsidRPr="00CE3085">
              <w:rPr>
                <w:rFonts w:cs="Arial"/>
                <w:sz w:val="20"/>
                <w:szCs w:val="20"/>
              </w:rPr>
              <w:t xml:space="preserve"> see </w:t>
            </w:r>
            <w:r>
              <w:rPr>
                <w:rFonts w:cs="Arial"/>
                <w:sz w:val="20"/>
                <w:szCs w:val="20"/>
              </w:rPr>
              <w:t>Section 5.6.3 of the EP.</w:t>
            </w:r>
          </w:p>
          <w:p w14:paraId="65311DD7" w14:textId="77777777" w:rsidR="00A70030" w:rsidRPr="00CE3085" w:rsidRDefault="00A70030" w:rsidP="00073385">
            <w:pPr>
              <w:pStyle w:val="ListParagraph0"/>
              <w:numPr>
                <w:ilvl w:val="0"/>
                <w:numId w:val="492"/>
              </w:numPr>
              <w:spacing w:before="60" w:after="60" w:line="240" w:lineRule="auto"/>
              <w:rPr>
                <w:rFonts w:cs="Arial"/>
                <w:sz w:val="20"/>
                <w:szCs w:val="20"/>
              </w:rPr>
            </w:pPr>
            <w:r w:rsidRPr="00CE3085">
              <w:rPr>
                <w:rFonts w:cs="Arial"/>
                <w:sz w:val="20"/>
                <w:szCs w:val="20"/>
              </w:rPr>
              <w:t>CarbonNet has provided draft extracts of its EP that details how risks and impacts have been considered and applied, including ALARP which incorporates the precautionary principle.</w:t>
            </w:r>
          </w:p>
          <w:p w14:paraId="76E3D33A" w14:textId="77777777" w:rsidR="00A70030" w:rsidRPr="00CE3085" w:rsidRDefault="00A70030" w:rsidP="00073385">
            <w:pPr>
              <w:spacing w:before="60" w:after="60" w:line="240" w:lineRule="auto"/>
              <w:ind w:left="0"/>
              <w:rPr>
                <w:rFonts w:cs="Arial"/>
                <w:sz w:val="20"/>
                <w:szCs w:val="20"/>
              </w:rPr>
            </w:pPr>
            <w:r w:rsidRPr="00CE3085">
              <w:rPr>
                <w:rFonts w:cs="Arial"/>
                <w:sz w:val="20"/>
                <w:szCs w:val="20"/>
              </w:rPr>
              <w:t>Further to this, the OPGGS(E) does not stipulate that EPs are publicly released, but a summary of the EP will be.</w:t>
            </w:r>
          </w:p>
        </w:tc>
      </w:tr>
      <w:tr w:rsidR="00A70030" w:rsidRPr="00FF0808" w14:paraId="570AAC05" w14:textId="77777777" w:rsidTr="00CE3085">
        <w:trPr>
          <w:trHeight w:val="490"/>
        </w:trPr>
        <w:tc>
          <w:tcPr>
            <w:tcW w:w="1427" w:type="dxa"/>
            <w:tcBorders>
              <w:top w:val="nil"/>
              <w:bottom w:val="nil"/>
            </w:tcBorders>
            <w:shd w:val="clear" w:color="auto" w:fill="auto"/>
          </w:tcPr>
          <w:p w14:paraId="1F57101A"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A116A7E"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92F54B1" w14:textId="77777777" w:rsidR="00A70030" w:rsidRDefault="00A70030" w:rsidP="00073385">
            <w:pPr>
              <w:spacing w:before="60" w:after="60" w:line="240" w:lineRule="auto"/>
              <w:ind w:left="0"/>
              <w:rPr>
                <w:rFonts w:cs="Arial"/>
                <w:sz w:val="20"/>
                <w:szCs w:val="20"/>
              </w:rPr>
            </w:pPr>
            <w:r>
              <w:rPr>
                <w:rFonts w:cs="Arial"/>
                <w:sz w:val="20"/>
                <w:szCs w:val="20"/>
              </w:rPr>
              <w:t>7/8/17</w:t>
            </w:r>
          </w:p>
        </w:tc>
        <w:tc>
          <w:tcPr>
            <w:tcW w:w="6335" w:type="dxa"/>
            <w:tcBorders>
              <w:top w:val="single" w:sz="4" w:space="0" w:color="auto"/>
              <w:bottom w:val="single" w:sz="4" w:space="0" w:color="auto"/>
            </w:tcBorders>
            <w:shd w:val="clear" w:color="auto" w:fill="auto"/>
          </w:tcPr>
          <w:p w14:paraId="67D0D9DF" w14:textId="77777777" w:rsidR="00A70030" w:rsidRPr="007E22A1" w:rsidRDefault="00A70030" w:rsidP="00073385">
            <w:pPr>
              <w:spacing w:before="60" w:after="60" w:line="240" w:lineRule="auto"/>
              <w:ind w:left="0"/>
              <w:rPr>
                <w:rFonts w:cs="Arial"/>
                <w:sz w:val="20"/>
                <w:szCs w:val="20"/>
              </w:rPr>
            </w:pPr>
            <w:r w:rsidRPr="007E22A1">
              <w:rPr>
                <w:rFonts w:cs="Arial"/>
                <w:sz w:val="20"/>
                <w:szCs w:val="20"/>
              </w:rPr>
              <w:t xml:space="preserve">CarbonNet sent </w:t>
            </w:r>
            <w:r>
              <w:rPr>
                <w:rFonts w:cs="Arial"/>
                <w:sz w:val="20"/>
                <w:szCs w:val="20"/>
              </w:rPr>
              <w:t>SIV</w:t>
            </w:r>
            <w:r w:rsidRPr="007E22A1">
              <w:rPr>
                <w:rFonts w:cs="Arial"/>
                <w:sz w:val="20"/>
                <w:szCs w:val="20"/>
              </w:rPr>
              <w:t xml:space="preserve"> an email advising that the operational area and duration of survey have now been refined, and that the EP will be submitted in mid-August.</w:t>
            </w:r>
          </w:p>
          <w:p w14:paraId="52433C78" w14:textId="77777777" w:rsidR="00A70030" w:rsidRPr="007E22A1" w:rsidRDefault="00A70030" w:rsidP="00073385">
            <w:pPr>
              <w:spacing w:before="60" w:after="60" w:line="240" w:lineRule="auto"/>
              <w:ind w:left="0"/>
              <w:rPr>
                <w:rFonts w:cs="Arial"/>
                <w:sz w:val="20"/>
                <w:szCs w:val="20"/>
              </w:rPr>
            </w:pPr>
          </w:p>
          <w:p w14:paraId="7873961E" w14:textId="77777777" w:rsidR="00A70030" w:rsidRPr="007E22A1" w:rsidRDefault="00A70030" w:rsidP="00073385">
            <w:pPr>
              <w:spacing w:before="60" w:after="60" w:line="240" w:lineRule="auto"/>
              <w:ind w:left="0"/>
              <w:rPr>
                <w:rFonts w:cs="Arial"/>
                <w:sz w:val="20"/>
                <w:szCs w:val="20"/>
              </w:rPr>
            </w:pPr>
            <w:r w:rsidRPr="007E22A1">
              <w:rPr>
                <w:rFonts w:cs="Arial"/>
                <w:sz w:val="20"/>
                <w:szCs w:val="20"/>
              </w:rPr>
              <w:t>The email explained that the operational area is now larger due to vessel turns, and provided map with amended operational area, and acquisition area (which is unchanged).</w:t>
            </w:r>
          </w:p>
          <w:p w14:paraId="0552E487" w14:textId="77777777" w:rsidR="00A70030" w:rsidRDefault="00A70030" w:rsidP="00073385">
            <w:pPr>
              <w:spacing w:before="60" w:after="60" w:line="240" w:lineRule="auto"/>
              <w:ind w:left="0"/>
              <w:rPr>
                <w:rFonts w:cs="Arial"/>
                <w:sz w:val="20"/>
                <w:szCs w:val="20"/>
              </w:rPr>
            </w:pPr>
            <w:r w:rsidRPr="007E22A1">
              <w:rPr>
                <w:rFonts w:cs="Arial"/>
                <w:sz w:val="20"/>
                <w:szCs w:val="20"/>
              </w:rPr>
              <w:t>The survey duration is likely to be 13-16 days but could be up to 27 days depending on final vessel selection.</w:t>
            </w:r>
          </w:p>
        </w:tc>
        <w:tc>
          <w:tcPr>
            <w:tcW w:w="3802" w:type="dxa"/>
            <w:tcBorders>
              <w:top w:val="single" w:sz="4" w:space="0" w:color="auto"/>
              <w:bottom w:val="single" w:sz="4" w:space="0" w:color="auto"/>
            </w:tcBorders>
            <w:shd w:val="clear" w:color="auto" w:fill="auto"/>
          </w:tcPr>
          <w:p w14:paraId="5815CA9C" w14:textId="77777777" w:rsidR="00A70030" w:rsidRPr="00653AFA" w:rsidRDefault="00A70030" w:rsidP="00073385">
            <w:pPr>
              <w:spacing w:before="60" w:after="60" w:line="240" w:lineRule="auto"/>
              <w:ind w:left="0"/>
              <w:rPr>
                <w:rFonts w:cs="Arial"/>
                <w:sz w:val="20"/>
                <w:szCs w:val="20"/>
              </w:rPr>
            </w:pPr>
          </w:p>
        </w:tc>
      </w:tr>
      <w:tr w:rsidR="00A70030" w:rsidRPr="00FF0808" w:rsidDel="002937F4" w14:paraId="4D4E8200" w14:textId="77777777" w:rsidTr="00891DE1">
        <w:trPr>
          <w:trHeight w:val="490"/>
        </w:trPr>
        <w:tc>
          <w:tcPr>
            <w:tcW w:w="1427" w:type="dxa"/>
            <w:tcBorders>
              <w:top w:val="nil"/>
              <w:bottom w:val="nil"/>
            </w:tcBorders>
            <w:shd w:val="clear" w:color="auto" w:fill="auto"/>
          </w:tcPr>
          <w:p w14:paraId="4F76247E"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262C61A" w14:textId="77777777" w:rsidR="00A70030" w:rsidRPr="00FF0808" w:rsidDel="002937F4"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22567C22" w14:textId="77777777" w:rsidR="00A70030" w:rsidDel="002937F4" w:rsidRDefault="00A70030" w:rsidP="00073385">
            <w:pPr>
              <w:spacing w:before="60" w:after="60" w:line="240" w:lineRule="auto"/>
              <w:ind w:left="0"/>
              <w:rPr>
                <w:rFonts w:cs="Arial"/>
                <w:sz w:val="20"/>
                <w:szCs w:val="20"/>
              </w:rPr>
            </w:pPr>
            <w:r w:rsidRPr="00CE3085">
              <w:rPr>
                <w:rFonts w:cs="Arial"/>
                <w:sz w:val="20"/>
                <w:szCs w:val="20"/>
              </w:rPr>
              <w:t>8/8/17</w:t>
            </w:r>
          </w:p>
        </w:tc>
        <w:tc>
          <w:tcPr>
            <w:tcW w:w="6335" w:type="dxa"/>
            <w:tcBorders>
              <w:top w:val="single" w:sz="4" w:space="0" w:color="auto"/>
              <w:bottom w:val="single" w:sz="4" w:space="0" w:color="auto"/>
            </w:tcBorders>
            <w:shd w:val="clear" w:color="auto" w:fill="auto"/>
          </w:tcPr>
          <w:p w14:paraId="6AE4F007" w14:textId="77777777" w:rsidR="00A70030" w:rsidRPr="008E57E7" w:rsidRDefault="00A70030" w:rsidP="00073385">
            <w:pPr>
              <w:spacing w:before="60" w:after="60" w:line="240" w:lineRule="auto"/>
              <w:ind w:left="0"/>
              <w:rPr>
                <w:rFonts w:cs="Arial"/>
                <w:sz w:val="20"/>
                <w:szCs w:val="20"/>
              </w:rPr>
            </w:pPr>
            <w:r w:rsidRPr="008E57E7">
              <w:rPr>
                <w:rFonts w:cs="Arial"/>
                <w:sz w:val="20"/>
                <w:szCs w:val="20"/>
              </w:rPr>
              <w:t>CarbonNet attended two meetings with SIV in Lakes Entrance.</w:t>
            </w:r>
          </w:p>
          <w:p w14:paraId="084F9950" w14:textId="77777777" w:rsidR="00A70030" w:rsidRPr="008E57E7" w:rsidRDefault="00A70030" w:rsidP="00073385">
            <w:pPr>
              <w:spacing w:before="60" w:after="60" w:line="240" w:lineRule="auto"/>
              <w:ind w:left="0"/>
              <w:rPr>
                <w:rFonts w:cs="Arial"/>
                <w:sz w:val="20"/>
                <w:szCs w:val="20"/>
              </w:rPr>
            </w:pPr>
            <w:r w:rsidRPr="008E57E7">
              <w:rPr>
                <w:rFonts w:cs="Arial"/>
                <w:sz w:val="20"/>
                <w:szCs w:val="20"/>
              </w:rPr>
              <w:t xml:space="preserve">The first meeting was with SIV and the sole operator in the Victorian Ocean Purse Seine fishery. They stated November and December are bad timing for the MSS as fish are spawning at those times. </w:t>
            </w:r>
          </w:p>
          <w:p w14:paraId="70B940BD" w14:textId="77777777" w:rsidR="00A70030" w:rsidRPr="008E57E7" w:rsidRDefault="00A70030" w:rsidP="00073385">
            <w:pPr>
              <w:spacing w:before="60" w:after="60" w:line="240" w:lineRule="auto"/>
              <w:ind w:left="0"/>
              <w:rPr>
                <w:rFonts w:cs="Arial"/>
                <w:sz w:val="20"/>
                <w:szCs w:val="20"/>
              </w:rPr>
            </w:pPr>
            <w:r w:rsidRPr="008E57E7">
              <w:rPr>
                <w:rFonts w:cs="Arial"/>
                <w:sz w:val="20"/>
                <w:szCs w:val="20"/>
              </w:rPr>
              <w:t>The operator asked if how we will measure impact on fisheries, and what will happen if we kill all the fish. They suggested putting a $10 million bond in place, to which CarbonNet said there was no basis for a bond. The operator said they are specifically concerned about Australian salmon, pilchards and mackeral. At this meeting SIV requested to see the full STLM report.</w:t>
            </w:r>
          </w:p>
          <w:p w14:paraId="21FE8F3A" w14:textId="77777777" w:rsidR="00A70030" w:rsidRPr="008E57E7" w:rsidRDefault="00A70030" w:rsidP="00073385">
            <w:pPr>
              <w:spacing w:before="60" w:after="60" w:line="240" w:lineRule="auto"/>
              <w:ind w:left="0"/>
              <w:rPr>
                <w:rFonts w:cs="Arial"/>
                <w:sz w:val="20"/>
                <w:szCs w:val="20"/>
              </w:rPr>
            </w:pPr>
            <w:r w:rsidRPr="008E57E7">
              <w:rPr>
                <w:rFonts w:cs="Arial"/>
                <w:sz w:val="20"/>
                <w:szCs w:val="20"/>
              </w:rPr>
              <w:lastRenderedPageBreak/>
              <w:t xml:space="preserve">The second meeting was with SIV, LEFCOL, VFA and five individual scallop fishermen. Discussion was focused on potential impacts of seismic surveys to scallops and concerns that the MSS will wipe out local populations. </w:t>
            </w:r>
          </w:p>
          <w:p w14:paraId="3DC95A52" w14:textId="77777777" w:rsidR="00A70030" w:rsidRPr="008E57E7" w:rsidRDefault="00A70030" w:rsidP="00073385">
            <w:pPr>
              <w:spacing w:before="60" w:after="60" w:line="240" w:lineRule="auto"/>
              <w:ind w:left="0"/>
              <w:rPr>
                <w:rFonts w:cs="Arial"/>
                <w:sz w:val="20"/>
                <w:szCs w:val="20"/>
              </w:rPr>
            </w:pPr>
            <w:r w:rsidRPr="008E57E7">
              <w:rPr>
                <w:rFonts w:cs="Arial"/>
                <w:sz w:val="20"/>
                <w:szCs w:val="20"/>
              </w:rPr>
              <w:t xml:space="preserve">The fishermen asked whether there would be a need to do future seismic surveys, and CarbonNet explained that there are a range of monitoring techniques, including seismic. </w:t>
            </w:r>
          </w:p>
          <w:p w14:paraId="7C2DF3BF" w14:textId="77777777" w:rsidR="00A70030" w:rsidRPr="008E57E7" w:rsidRDefault="00A70030" w:rsidP="00073385">
            <w:pPr>
              <w:spacing w:before="60" w:after="60" w:line="240" w:lineRule="auto"/>
              <w:ind w:left="0"/>
              <w:rPr>
                <w:rFonts w:cs="Arial"/>
                <w:sz w:val="20"/>
                <w:szCs w:val="20"/>
              </w:rPr>
            </w:pPr>
            <w:r w:rsidRPr="008E57E7">
              <w:rPr>
                <w:rFonts w:cs="Arial"/>
                <w:sz w:val="20"/>
                <w:szCs w:val="20"/>
              </w:rPr>
              <w:t xml:space="preserve">The issue of dredge vs towed ROV as a methodology for stock assessments was also discussed at length, with the fishermen claiming scallops bury themselves and are not visible with a camera. All fishermen stated a dredge is needed to find them. </w:t>
            </w:r>
          </w:p>
          <w:p w14:paraId="60AD3CB9" w14:textId="77777777" w:rsidR="00A70030" w:rsidRPr="008E57E7" w:rsidRDefault="00A70030" w:rsidP="00073385">
            <w:pPr>
              <w:spacing w:before="60" w:after="60" w:line="240" w:lineRule="auto"/>
              <w:ind w:left="0"/>
              <w:rPr>
                <w:rFonts w:cs="Arial"/>
                <w:sz w:val="20"/>
                <w:szCs w:val="20"/>
              </w:rPr>
            </w:pPr>
            <w:r w:rsidRPr="008E57E7">
              <w:rPr>
                <w:rFonts w:cs="Arial"/>
                <w:sz w:val="20"/>
                <w:szCs w:val="20"/>
              </w:rPr>
              <w:t xml:space="preserve">One fisherman said he can guarantee there are scallops inside CarbonNet’s proposed MSS area. The scallop fishermen indicated they will do their own stock assessment and give us the information. </w:t>
            </w:r>
          </w:p>
          <w:p w14:paraId="0FA08487" w14:textId="77777777" w:rsidR="00A70030" w:rsidRPr="008E57E7" w:rsidRDefault="00A70030" w:rsidP="00073385">
            <w:pPr>
              <w:spacing w:before="60" w:after="60" w:line="240" w:lineRule="auto"/>
              <w:ind w:left="0"/>
              <w:rPr>
                <w:rFonts w:cs="Arial"/>
                <w:sz w:val="20"/>
                <w:szCs w:val="20"/>
              </w:rPr>
            </w:pPr>
            <w:r w:rsidRPr="008E57E7">
              <w:rPr>
                <w:rFonts w:cs="Arial"/>
                <w:sz w:val="20"/>
                <w:szCs w:val="20"/>
              </w:rPr>
              <w:t xml:space="preserve">SIV reitereated its request for the full STLM report and map of the area impacted by sound. SIV also requested the risk assessment for scallops, which was sent on 27/7. CarbonNet provided hard copies in the meeting. </w:t>
            </w:r>
          </w:p>
          <w:p w14:paraId="1B45E13C" w14:textId="77777777" w:rsidR="00A70030" w:rsidRPr="008E57E7" w:rsidRDefault="00A70030" w:rsidP="00073385">
            <w:pPr>
              <w:spacing w:before="60" w:after="60" w:line="240" w:lineRule="auto"/>
              <w:ind w:left="0"/>
              <w:rPr>
                <w:rFonts w:cs="Arial"/>
                <w:sz w:val="20"/>
                <w:szCs w:val="20"/>
              </w:rPr>
            </w:pPr>
            <w:r w:rsidRPr="008E57E7">
              <w:rPr>
                <w:rFonts w:cs="Arial"/>
                <w:sz w:val="20"/>
                <w:szCs w:val="20"/>
              </w:rPr>
              <w:t>SIV discussed the plankton study published in Nature journal and concerns about impacts on fisheries. CarbonNet said it has provided the draft extracts from the EP on plankton to SIV.</w:t>
            </w:r>
          </w:p>
          <w:p w14:paraId="0A3F04D9" w14:textId="77777777" w:rsidR="00A70030" w:rsidRPr="008E57E7" w:rsidRDefault="00A70030" w:rsidP="00073385">
            <w:pPr>
              <w:spacing w:before="60" w:after="60" w:line="240" w:lineRule="auto"/>
              <w:ind w:left="0"/>
              <w:rPr>
                <w:rFonts w:cs="Arial"/>
                <w:sz w:val="20"/>
                <w:szCs w:val="20"/>
              </w:rPr>
            </w:pPr>
            <w:r w:rsidRPr="008E57E7">
              <w:rPr>
                <w:rFonts w:cs="Arial"/>
                <w:sz w:val="20"/>
                <w:szCs w:val="20"/>
              </w:rPr>
              <w:t xml:space="preserve">SIV said spawning season for scallops is December to March. </w:t>
            </w:r>
          </w:p>
          <w:p w14:paraId="3CF6B360" w14:textId="77777777" w:rsidR="00A70030" w:rsidRPr="008E57E7" w:rsidRDefault="00A70030" w:rsidP="00073385">
            <w:pPr>
              <w:spacing w:before="60" w:after="60" w:line="240" w:lineRule="auto"/>
              <w:ind w:left="0"/>
              <w:rPr>
                <w:rFonts w:cs="Arial"/>
                <w:sz w:val="20"/>
                <w:szCs w:val="20"/>
              </w:rPr>
            </w:pPr>
            <w:r w:rsidRPr="008E57E7">
              <w:rPr>
                <w:rFonts w:cs="Arial"/>
                <w:sz w:val="20"/>
                <w:szCs w:val="20"/>
              </w:rPr>
              <w:t>SIV committed to talk to VFA and industry regarding the proposals CarbonNet has put forward to collaborate.</w:t>
            </w:r>
          </w:p>
          <w:p w14:paraId="08A3F9A0" w14:textId="2877811C" w:rsidR="00A70030" w:rsidRPr="008E57E7" w:rsidDel="002937F4" w:rsidRDefault="00A70030" w:rsidP="00073385">
            <w:pPr>
              <w:spacing w:before="60" w:after="60" w:line="240" w:lineRule="auto"/>
              <w:ind w:left="0"/>
              <w:rPr>
                <w:rFonts w:cs="Arial"/>
                <w:sz w:val="20"/>
                <w:szCs w:val="20"/>
              </w:rPr>
            </w:pPr>
            <w:r w:rsidRPr="008E57E7">
              <w:rPr>
                <w:rFonts w:cs="Arial"/>
                <w:sz w:val="20"/>
                <w:szCs w:val="20"/>
              </w:rPr>
              <w:t>VFA provided some historical data for the fishery, said catch rates have been very low since the early 90s.</w:t>
            </w:r>
          </w:p>
        </w:tc>
        <w:tc>
          <w:tcPr>
            <w:tcW w:w="3802" w:type="dxa"/>
            <w:tcBorders>
              <w:top w:val="single" w:sz="4" w:space="0" w:color="auto"/>
              <w:bottom w:val="single" w:sz="4" w:space="0" w:color="auto"/>
            </w:tcBorders>
            <w:shd w:val="clear" w:color="auto" w:fill="auto"/>
          </w:tcPr>
          <w:p w14:paraId="15AC2D65" w14:textId="77777777" w:rsidR="00A70030" w:rsidRDefault="00A70030" w:rsidP="00073385">
            <w:pPr>
              <w:spacing w:before="60" w:after="60" w:line="240" w:lineRule="auto"/>
              <w:ind w:left="0"/>
              <w:rPr>
                <w:rFonts w:cs="Arial"/>
                <w:sz w:val="20"/>
                <w:szCs w:val="20"/>
              </w:rPr>
            </w:pPr>
            <w:r>
              <w:rPr>
                <w:rFonts w:cs="Arial"/>
                <w:sz w:val="20"/>
                <w:szCs w:val="20"/>
              </w:rPr>
              <w:lastRenderedPageBreak/>
              <w:t>CarbonNet noted that draft EP extracts on fisheries have been provided to SIV. CarbonNet offered to send those to the operator as well, if they can provide their contact details. (To date this information has not been provided.)</w:t>
            </w:r>
          </w:p>
          <w:p w14:paraId="4A08FA0B" w14:textId="77777777" w:rsidR="00A70030" w:rsidRDefault="00A70030" w:rsidP="00073385">
            <w:pPr>
              <w:spacing w:before="60" w:after="60" w:line="240" w:lineRule="auto"/>
              <w:ind w:left="0"/>
              <w:rPr>
                <w:rFonts w:cs="Arial"/>
                <w:sz w:val="20"/>
                <w:szCs w:val="20"/>
              </w:rPr>
            </w:pPr>
            <w:r>
              <w:rPr>
                <w:rFonts w:cs="Arial"/>
                <w:sz w:val="20"/>
                <w:szCs w:val="20"/>
              </w:rPr>
              <w:t>CarbonNet has described  the fish species of conc</w:t>
            </w:r>
            <w:r w:rsidRPr="00E86BFB">
              <w:rPr>
                <w:rFonts w:cs="Arial"/>
                <w:sz w:val="20"/>
                <w:szCs w:val="20"/>
              </w:rPr>
              <w:t xml:space="preserve">ern in Section </w:t>
            </w:r>
            <w:r w:rsidRPr="00653AFA">
              <w:rPr>
                <w:rFonts w:cs="Arial"/>
                <w:sz w:val="20"/>
                <w:szCs w:val="20"/>
              </w:rPr>
              <w:t>5.4.4 of the EP.</w:t>
            </w:r>
          </w:p>
          <w:p w14:paraId="556D55CE" w14:textId="77777777" w:rsidR="00A70030" w:rsidRDefault="00A70030" w:rsidP="00073385">
            <w:pPr>
              <w:spacing w:before="60" w:after="60" w:line="240" w:lineRule="auto"/>
              <w:ind w:left="0"/>
              <w:rPr>
                <w:rFonts w:cs="Arial"/>
                <w:sz w:val="20"/>
                <w:szCs w:val="20"/>
              </w:rPr>
            </w:pPr>
          </w:p>
          <w:p w14:paraId="5E81A98F" w14:textId="77777777" w:rsidR="00A70030" w:rsidRDefault="00A70030" w:rsidP="00073385">
            <w:pPr>
              <w:spacing w:before="60" w:after="60" w:line="240" w:lineRule="auto"/>
              <w:ind w:left="0"/>
              <w:rPr>
                <w:rFonts w:cs="Arial"/>
                <w:sz w:val="20"/>
                <w:szCs w:val="20"/>
              </w:rPr>
            </w:pPr>
            <w:r>
              <w:rPr>
                <w:rFonts w:cs="Arial"/>
                <w:sz w:val="20"/>
                <w:szCs w:val="20"/>
              </w:rPr>
              <w:lastRenderedPageBreak/>
              <w:t xml:space="preserve">CarbonNet notes the preference for the MSS occurring outside of November and December. A discussion of MSS timing is provided at </w:t>
            </w:r>
            <w:r w:rsidRPr="00E86BFB">
              <w:rPr>
                <w:rFonts w:cs="Arial"/>
                <w:sz w:val="20"/>
                <w:szCs w:val="20"/>
              </w:rPr>
              <w:t xml:space="preserve">Section </w:t>
            </w:r>
            <w:r w:rsidRPr="00653AFA">
              <w:rPr>
                <w:rFonts w:cs="Arial"/>
                <w:sz w:val="20"/>
                <w:szCs w:val="20"/>
              </w:rPr>
              <w:t>2.2 of the EP</w:t>
            </w:r>
            <w:r w:rsidRPr="00E86BFB">
              <w:rPr>
                <w:rFonts w:cs="Arial"/>
                <w:sz w:val="20"/>
                <w:szCs w:val="20"/>
              </w:rPr>
              <w:t>.</w:t>
            </w:r>
          </w:p>
          <w:p w14:paraId="2F52B81B" w14:textId="77777777" w:rsidR="00A70030" w:rsidRDefault="00A70030" w:rsidP="00073385">
            <w:pPr>
              <w:spacing w:before="60" w:after="60" w:line="240" w:lineRule="auto"/>
              <w:ind w:left="0"/>
              <w:rPr>
                <w:rFonts w:cs="Arial"/>
                <w:sz w:val="20"/>
                <w:szCs w:val="20"/>
              </w:rPr>
            </w:pPr>
          </w:p>
          <w:p w14:paraId="136D9F88" w14:textId="77777777" w:rsidR="00A70030" w:rsidRDefault="00A70030" w:rsidP="00073385">
            <w:pPr>
              <w:spacing w:before="60" w:after="60" w:line="240" w:lineRule="auto"/>
              <w:ind w:left="0"/>
              <w:rPr>
                <w:rFonts w:cs="Arial"/>
                <w:sz w:val="20"/>
                <w:szCs w:val="20"/>
              </w:rPr>
            </w:pPr>
            <w:r>
              <w:rPr>
                <w:rFonts w:cs="Arial"/>
                <w:sz w:val="20"/>
                <w:szCs w:val="20"/>
              </w:rPr>
              <w:t>CarbonNet will consider whether and how to include fish species in its pre- and post-survey environmental habitat assessment.</w:t>
            </w:r>
          </w:p>
          <w:p w14:paraId="6F8DCEF7" w14:textId="77777777" w:rsidR="00A70030" w:rsidRDefault="00A70030" w:rsidP="00073385">
            <w:pPr>
              <w:spacing w:before="60" w:after="60" w:line="240" w:lineRule="auto"/>
              <w:ind w:left="0"/>
              <w:rPr>
                <w:rFonts w:cs="Arial"/>
                <w:sz w:val="20"/>
                <w:szCs w:val="20"/>
              </w:rPr>
            </w:pPr>
          </w:p>
          <w:p w14:paraId="2E49BA2A" w14:textId="7BAB3E7D" w:rsidR="00A70030" w:rsidRDefault="00A70030" w:rsidP="00073385">
            <w:pPr>
              <w:spacing w:before="60" w:after="60" w:line="240" w:lineRule="auto"/>
              <w:ind w:left="0"/>
              <w:rPr>
                <w:rFonts w:cs="Arial"/>
                <w:sz w:val="20"/>
                <w:szCs w:val="20"/>
              </w:rPr>
            </w:pPr>
            <w:r>
              <w:rPr>
                <w:rFonts w:cs="Arial"/>
                <w:sz w:val="20"/>
                <w:szCs w:val="20"/>
              </w:rPr>
              <w:t>Details regarding the spawning period for scallops is outlined in Section 5.4.1.</w:t>
            </w:r>
          </w:p>
          <w:p w14:paraId="5D77AE67" w14:textId="77777777" w:rsidR="00A70030" w:rsidRDefault="00A70030" w:rsidP="00073385">
            <w:pPr>
              <w:spacing w:before="60" w:after="60" w:line="240" w:lineRule="auto"/>
              <w:ind w:left="0"/>
              <w:rPr>
                <w:rFonts w:cs="Arial"/>
                <w:sz w:val="20"/>
                <w:szCs w:val="20"/>
              </w:rPr>
            </w:pPr>
          </w:p>
          <w:p w14:paraId="536A9AC1" w14:textId="77777777" w:rsidR="00A70030" w:rsidRDefault="00A70030" w:rsidP="00073385">
            <w:pPr>
              <w:spacing w:before="60" w:after="60" w:line="240" w:lineRule="auto"/>
              <w:ind w:left="0"/>
              <w:rPr>
                <w:rFonts w:cs="Arial"/>
                <w:sz w:val="20"/>
                <w:szCs w:val="20"/>
              </w:rPr>
            </w:pPr>
            <w:r>
              <w:rPr>
                <w:rFonts w:cs="Arial"/>
                <w:sz w:val="20"/>
                <w:szCs w:val="20"/>
              </w:rPr>
              <w:t>CarbonNet expressed to the meeting attendees that it is committed to ongoing consultation and will continue discussions and consider any new information as it comes to light.</w:t>
            </w:r>
          </w:p>
          <w:p w14:paraId="3BBFC930" w14:textId="77777777" w:rsidR="00A70030" w:rsidRDefault="00A70030" w:rsidP="00073385">
            <w:pPr>
              <w:spacing w:before="60" w:after="60" w:line="240" w:lineRule="auto"/>
              <w:ind w:left="0"/>
              <w:rPr>
                <w:rFonts w:cs="Arial"/>
                <w:sz w:val="20"/>
                <w:szCs w:val="20"/>
              </w:rPr>
            </w:pPr>
          </w:p>
          <w:p w14:paraId="4795FF91" w14:textId="77777777" w:rsidR="00A70030" w:rsidRDefault="00A70030" w:rsidP="00073385">
            <w:pPr>
              <w:spacing w:before="60" w:after="60" w:line="240" w:lineRule="auto"/>
              <w:ind w:left="0"/>
              <w:rPr>
                <w:rFonts w:cs="Arial"/>
                <w:sz w:val="20"/>
                <w:szCs w:val="20"/>
              </w:rPr>
            </w:pPr>
            <w:r>
              <w:rPr>
                <w:rFonts w:cs="Arial"/>
                <w:sz w:val="20"/>
                <w:szCs w:val="20"/>
              </w:rPr>
              <w:t>CarbonNet will resend the draft EP extracts that were already provided to SIV, and will provide them to any other stakeholders direct upon request.</w:t>
            </w:r>
          </w:p>
          <w:p w14:paraId="607A424E" w14:textId="77777777" w:rsidR="00A70030" w:rsidRPr="0003651D" w:rsidDel="002937F4" w:rsidRDefault="00A70030" w:rsidP="00073385">
            <w:pPr>
              <w:spacing w:before="60" w:after="60" w:line="240" w:lineRule="auto"/>
              <w:ind w:left="0"/>
              <w:rPr>
                <w:rFonts w:cs="Arial"/>
                <w:sz w:val="20"/>
                <w:szCs w:val="20"/>
              </w:rPr>
            </w:pPr>
          </w:p>
        </w:tc>
      </w:tr>
      <w:tr w:rsidR="00A70030" w:rsidRPr="00FF0808" w:rsidDel="002937F4" w14:paraId="1EF99A9A" w14:textId="77777777" w:rsidTr="00891DE1">
        <w:trPr>
          <w:trHeight w:val="490"/>
        </w:trPr>
        <w:tc>
          <w:tcPr>
            <w:tcW w:w="1427" w:type="dxa"/>
            <w:tcBorders>
              <w:top w:val="nil"/>
              <w:bottom w:val="nil"/>
            </w:tcBorders>
            <w:shd w:val="clear" w:color="auto" w:fill="auto"/>
          </w:tcPr>
          <w:p w14:paraId="57DE27C5"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0A88E61" w14:textId="77777777" w:rsidR="00A70030" w:rsidRPr="00FF0808" w:rsidDel="002937F4"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5D6AE299" w14:textId="77777777" w:rsidR="00A70030" w:rsidRDefault="00A70030" w:rsidP="00073385">
            <w:pPr>
              <w:spacing w:before="60" w:after="60" w:line="240" w:lineRule="auto"/>
              <w:ind w:left="0"/>
              <w:rPr>
                <w:rFonts w:cs="Arial"/>
                <w:sz w:val="20"/>
                <w:szCs w:val="20"/>
                <w:highlight w:val="yellow"/>
              </w:rPr>
            </w:pPr>
            <w:r w:rsidRPr="00653AFA">
              <w:rPr>
                <w:rFonts w:cs="Arial"/>
                <w:sz w:val="20"/>
                <w:szCs w:val="20"/>
              </w:rPr>
              <w:t>10/8/17</w:t>
            </w:r>
          </w:p>
        </w:tc>
        <w:tc>
          <w:tcPr>
            <w:tcW w:w="6335" w:type="dxa"/>
            <w:tcBorders>
              <w:top w:val="single" w:sz="4" w:space="0" w:color="auto"/>
              <w:bottom w:val="single" w:sz="4" w:space="0" w:color="auto"/>
            </w:tcBorders>
            <w:shd w:val="clear" w:color="auto" w:fill="auto"/>
          </w:tcPr>
          <w:p w14:paraId="6883ECBC" w14:textId="77777777" w:rsidR="00A70030" w:rsidRPr="00653AFA" w:rsidRDefault="00A70030" w:rsidP="00073385">
            <w:pPr>
              <w:spacing w:before="60" w:after="60" w:line="240" w:lineRule="auto"/>
              <w:ind w:left="0"/>
              <w:rPr>
                <w:rFonts w:cs="Arial"/>
                <w:sz w:val="20"/>
                <w:szCs w:val="20"/>
              </w:rPr>
            </w:pPr>
            <w:r w:rsidRPr="00653AFA">
              <w:rPr>
                <w:rFonts w:cs="Arial"/>
                <w:sz w:val="20"/>
                <w:szCs w:val="20"/>
              </w:rPr>
              <w:t>SIV emailed CarbonNet to express thanks for the meetings in Lakes Entrance and the good discussions that were held around unsuitable dates and opportunities.</w:t>
            </w:r>
          </w:p>
          <w:p w14:paraId="281DD5D8" w14:textId="0BA0CF04" w:rsidR="00A70030" w:rsidRPr="00653AFA" w:rsidDel="00FA23F7" w:rsidRDefault="00A70030" w:rsidP="00073385">
            <w:pPr>
              <w:spacing w:before="60" w:after="60" w:line="240" w:lineRule="auto"/>
              <w:ind w:left="0"/>
              <w:rPr>
                <w:rFonts w:cs="Arial"/>
                <w:sz w:val="20"/>
                <w:szCs w:val="20"/>
              </w:rPr>
            </w:pPr>
            <w:r w:rsidRPr="00653AFA">
              <w:rPr>
                <w:rFonts w:cs="Arial"/>
                <w:sz w:val="20"/>
                <w:szCs w:val="20"/>
              </w:rPr>
              <w:t xml:space="preserve">SIV requested a copy of the full STLM report including the methodology and results. </w:t>
            </w:r>
          </w:p>
        </w:tc>
        <w:tc>
          <w:tcPr>
            <w:tcW w:w="3802" w:type="dxa"/>
            <w:tcBorders>
              <w:top w:val="single" w:sz="4" w:space="0" w:color="auto"/>
              <w:bottom w:val="single" w:sz="4" w:space="0" w:color="auto"/>
            </w:tcBorders>
            <w:shd w:val="clear" w:color="auto" w:fill="auto"/>
          </w:tcPr>
          <w:p w14:paraId="1BA18860" w14:textId="77777777" w:rsidR="00A70030" w:rsidRPr="0003651D" w:rsidDel="002937F4" w:rsidRDefault="00A70030" w:rsidP="00073385">
            <w:pPr>
              <w:spacing w:before="60" w:after="60" w:line="240" w:lineRule="auto"/>
              <w:ind w:left="0"/>
              <w:rPr>
                <w:rFonts w:cs="Arial"/>
                <w:sz w:val="20"/>
                <w:szCs w:val="20"/>
              </w:rPr>
            </w:pPr>
          </w:p>
        </w:tc>
      </w:tr>
      <w:tr w:rsidR="00A70030" w:rsidRPr="00FF0808" w:rsidDel="002937F4" w14:paraId="56961EB9" w14:textId="77777777" w:rsidTr="00CE3085">
        <w:trPr>
          <w:trHeight w:val="490"/>
        </w:trPr>
        <w:tc>
          <w:tcPr>
            <w:tcW w:w="1427" w:type="dxa"/>
            <w:tcBorders>
              <w:top w:val="nil"/>
              <w:bottom w:val="nil"/>
            </w:tcBorders>
            <w:shd w:val="clear" w:color="auto" w:fill="auto"/>
          </w:tcPr>
          <w:p w14:paraId="68ACC39C"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6D92451" w14:textId="77777777" w:rsidR="00A70030" w:rsidRPr="00FF0808" w:rsidDel="002937F4"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3531FCE" w14:textId="77777777" w:rsidR="00A70030" w:rsidRPr="00C83C0E" w:rsidRDefault="00A70030" w:rsidP="00073385">
            <w:pPr>
              <w:spacing w:before="60" w:after="60" w:line="240" w:lineRule="auto"/>
              <w:ind w:left="0"/>
              <w:rPr>
                <w:rFonts w:cs="Arial"/>
                <w:sz w:val="20"/>
                <w:szCs w:val="20"/>
                <w:highlight w:val="yellow"/>
              </w:rPr>
            </w:pPr>
            <w:r w:rsidRPr="00653AFA">
              <w:rPr>
                <w:rFonts w:cs="Arial"/>
                <w:sz w:val="20"/>
                <w:szCs w:val="20"/>
              </w:rPr>
              <w:t>11/8/17</w:t>
            </w:r>
          </w:p>
        </w:tc>
        <w:tc>
          <w:tcPr>
            <w:tcW w:w="6335" w:type="dxa"/>
            <w:tcBorders>
              <w:top w:val="single" w:sz="4" w:space="0" w:color="auto"/>
              <w:bottom w:val="single" w:sz="4" w:space="0" w:color="auto"/>
            </w:tcBorders>
            <w:shd w:val="clear" w:color="auto" w:fill="auto"/>
          </w:tcPr>
          <w:p w14:paraId="76F7D648" w14:textId="77777777" w:rsidR="00A70030" w:rsidRPr="00653AFA" w:rsidRDefault="00A70030" w:rsidP="00073385">
            <w:pPr>
              <w:spacing w:before="60" w:after="60" w:line="240" w:lineRule="auto"/>
              <w:ind w:left="0"/>
              <w:rPr>
                <w:rFonts w:cs="Arial"/>
                <w:sz w:val="20"/>
                <w:szCs w:val="20"/>
              </w:rPr>
            </w:pPr>
            <w:r w:rsidRPr="00653AFA">
              <w:rPr>
                <w:rFonts w:cs="Arial"/>
                <w:sz w:val="20"/>
                <w:szCs w:val="20"/>
              </w:rPr>
              <w:t>CarbonNet emailed SIV to acknowledge discussions around MSS timing.</w:t>
            </w:r>
          </w:p>
          <w:p w14:paraId="072A7958" w14:textId="77777777" w:rsidR="00A70030" w:rsidRPr="00653AFA" w:rsidRDefault="00A70030" w:rsidP="00073385">
            <w:pPr>
              <w:spacing w:before="60" w:after="60" w:line="240" w:lineRule="auto"/>
              <w:ind w:left="0"/>
              <w:rPr>
                <w:rFonts w:cs="Arial"/>
                <w:sz w:val="20"/>
                <w:szCs w:val="20"/>
              </w:rPr>
            </w:pPr>
            <w:r w:rsidRPr="00653AFA">
              <w:rPr>
                <w:rFonts w:cs="Arial"/>
                <w:sz w:val="20"/>
                <w:szCs w:val="20"/>
              </w:rPr>
              <w:lastRenderedPageBreak/>
              <w:t>CarbonNet said the concerns raised by the individual fishers are addressed in the draft EP extracts provided to SIV (27/7 and 4/8) and it was unfortunate that the information had not been passed on or read.</w:t>
            </w:r>
          </w:p>
          <w:p w14:paraId="0DEDFEB4" w14:textId="77777777" w:rsidR="00A70030" w:rsidRPr="00653AFA" w:rsidRDefault="00A70030" w:rsidP="00073385">
            <w:pPr>
              <w:spacing w:before="60" w:after="60" w:line="240" w:lineRule="auto"/>
              <w:ind w:left="0"/>
              <w:rPr>
                <w:rFonts w:cs="Arial"/>
                <w:sz w:val="20"/>
                <w:szCs w:val="20"/>
              </w:rPr>
            </w:pPr>
            <w:r w:rsidRPr="00653AFA">
              <w:rPr>
                <w:rFonts w:cs="Arial"/>
                <w:sz w:val="20"/>
                <w:szCs w:val="20"/>
              </w:rPr>
              <w:t>With regards to the request for the full STLM report, CarbonNet noted:</w:t>
            </w:r>
          </w:p>
          <w:p w14:paraId="7E50E60D" w14:textId="77777777" w:rsidR="00A70030" w:rsidRPr="00653AFA" w:rsidRDefault="00A70030" w:rsidP="00073385">
            <w:pPr>
              <w:pStyle w:val="ListParagraph0"/>
              <w:numPr>
                <w:ilvl w:val="0"/>
                <w:numId w:val="518"/>
              </w:numPr>
              <w:spacing w:before="60" w:after="60" w:line="240" w:lineRule="auto"/>
              <w:rPr>
                <w:rFonts w:cs="Arial"/>
                <w:sz w:val="20"/>
                <w:szCs w:val="20"/>
              </w:rPr>
            </w:pPr>
            <w:r w:rsidRPr="00653AFA">
              <w:rPr>
                <w:rFonts w:cs="Arial"/>
                <w:sz w:val="20"/>
                <w:szCs w:val="20"/>
              </w:rPr>
              <w:t>CarbonNet agreed to provide the outcomes of the STLM report.</w:t>
            </w:r>
          </w:p>
          <w:p w14:paraId="00967670" w14:textId="77777777" w:rsidR="00A70030" w:rsidRPr="00653AFA" w:rsidRDefault="00A70030" w:rsidP="00073385">
            <w:pPr>
              <w:pStyle w:val="ListParagraph0"/>
              <w:numPr>
                <w:ilvl w:val="0"/>
                <w:numId w:val="518"/>
              </w:numPr>
              <w:spacing w:before="60" w:after="60" w:line="240" w:lineRule="auto"/>
              <w:rPr>
                <w:rFonts w:cs="Arial"/>
                <w:sz w:val="20"/>
                <w:szCs w:val="20"/>
              </w:rPr>
            </w:pPr>
            <w:r w:rsidRPr="00653AFA">
              <w:rPr>
                <w:rFonts w:cs="Arial"/>
                <w:sz w:val="20"/>
                <w:szCs w:val="20"/>
              </w:rPr>
              <w:t>CarbonNet provided the outcomes of the STLM report on 26/7, which was a summary prepared with the consultant JASCO</w:t>
            </w:r>
          </w:p>
          <w:p w14:paraId="274A67F4" w14:textId="77777777" w:rsidR="00A70030" w:rsidRPr="00653AFA" w:rsidRDefault="00A70030" w:rsidP="00073385">
            <w:pPr>
              <w:pStyle w:val="ListParagraph0"/>
              <w:numPr>
                <w:ilvl w:val="0"/>
                <w:numId w:val="518"/>
              </w:numPr>
              <w:spacing w:before="60" w:after="60" w:line="240" w:lineRule="auto"/>
              <w:rPr>
                <w:rFonts w:cs="Arial"/>
                <w:sz w:val="20"/>
                <w:szCs w:val="20"/>
              </w:rPr>
            </w:pPr>
            <w:r w:rsidRPr="00653AFA">
              <w:rPr>
                <w:rFonts w:cs="Arial"/>
                <w:sz w:val="20"/>
                <w:szCs w:val="20"/>
              </w:rPr>
              <w:t>At that time CarbonNet offered to make JACO available to discuss the results. This offer stands.</w:t>
            </w:r>
          </w:p>
          <w:p w14:paraId="6C82B722" w14:textId="77777777" w:rsidR="00A70030" w:rsidRPr="00653AFA" w:rsidRDefault="00A70030" w:rsidP="00073385">
            <w:pPr>
              <w:spacing w:before="60" w:after="60" w:line="240" w:lineRule="auto"/>
              <w:ind w:left="0"/>
              <w:rPr>
                <w:rFonts w:cs="Arial"/>
                <w:sz w:val="20"/>
                <w:szCs w:val="20"/>
              </w:rPr>
            </w:pPr>
            <w:r w:rsidRPr="00653AFA">
              <w:rPr>
                <w:rFonts w:cs="Arial"/>
                <w:sz w:val="20"/>
                <w:szCs w:val="20"/>
              </w:rPr>
              <w:t>It is CarbonNet’s belief that the modelling would be best understood if explained directly to SIV by JASCO.</w:t>
            </w:r>
          </w:p>
          <w:p w14:paraId="5A42AFD7" w14:textId="77777777" w:rsidR="00A70030" w:rsidRPr="00653AFA" w:rsidDel="00457729" w:rsidRDefault="00A70030" w:rsidP="00073385">
            <w:pPr>
              <w:spacing w:before="60" w:after="60" w:line="240" w:lineRule="auto"/>
              <w:ind w:left="0"/>
              <w:rPr>
                <w:rFonts w:cs="Arial"/>
                <w:sz w:val="20"/>
                <w:szCs w:val="20"/>
              </w:rPr>
            </w:pPr>
            <w:r w:rsidRPr="00653AFA">
              <w:rPr>
                <w:rFonts w:cs="Arial"/>
                <w:sz w:val="20"/>
                <w:szCs w:val="20"/>
              </w:rPr>
              <w:t>CarbonNet expressed hope that the collaboration opportunities it has tabled can be progressed.</w:t>
            </w:r>
          </w:p>
        </w:tc>
        <w:tc>
          <w:tcPr>
            <w:tcW w:w="3802" w:type="dxa"/>
            <w:tcBorders>
              <w:top w:val="single" w:sz="4" w:space="0" w:color="auto"/>
              <w:bottom w:val="single" w:sz="4" w:space="0" w:color="auto"/>
            </w:tcBorders>
            <w:shd w:val="clear" w:color="auto" w:fill="auto"/>
          </w:tcPr>
          <w:p w14:paraId="4B60AB3D" w14:textId="1D5E9125" w:rsidR="00A70030" w:rsidRPr="0003651D" w:rsidDel="002937F4" w:rsidRDefault="00A70030" w:rsidP="00073385">
            <w:pPr>
              <w:spacing w:before="60" w:after="60" w:line="240" w:lineRule="auto"/>
              <w:ind w:left="0"/>
              <w:rPr>
                <w:rFonts w:cs="Arial"/>
                <w:sz w:val="20"/>
                <w:szCs w:val="20"/>
              </w:rPr>
            </w:pPr>
            <w:r>
              <w:rPr>
                <w:rFonts w:cs="Arial"/>
                <w:sz w:val="20"/>
                <w:szCs w:val="20"/>
              </w:rPr>
              <w:lastRenderedPageBreak/>
              <w:t>N/A</w:t>
            </w:r>
          </w:p>
        </w:tc>
      </w:tr>
      <w:tr w:rsidR="00A70030" w:rsidRPr="00FF0808" w:rsidDel="002937F4" w14:paraId="14C636A4" w14:textId="77777777" w:rsidTr="00891DE1">
        <w:trPr>
          <w:trHeight w:val="490"/>
        </w:trPr>
        <w:tc>
          <w:tcPr>
            <w:tcW w:w="1427" w:type="dxa"/>
            <w:tcBorders>
              <w:top w:val="nil"/>
              <w:bottom w:val="nil"/>
            </w:tcBorders>
            <w:shd w:val="clear" w:color="auto" w:fill="auto"/>
          </w:tcPr>
          <w:p w14:paraId="582577B2"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06DD55C" w14:textId="77777777" w:rsidR="00A70030" w:rsidRPr="00FF0808" w:rsidDel="002937F4"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09F0145" w14:textId="77777777" w:rsidR="00A70030" w:rsidRDefault="00A70030" w:rsidP="00073385">
            <w:pPr>
              <w:spacing w:before="60" w:after="60" w:line="240" w:lineRule="auto"/>
              <w:ind w:left="0"/>
              <w:rPr>
                <w:rFonts w:cs="Arial"/>
                <w:sz w:val="20"/>
                <w:szCs w:val="20"/>
                <w:highlight w:val="yellow"/>
              </w:rPr>
            </w:pPr>
            <w:r w:rsidRPr="00653AFA">
              <w:rPr>
                <w:rFonts w:cs="Arial"/>
                <w:sz w:val="20"/>
                <w:szCs w:val="20"/>
              </w:rPr>
              <w:t>11/8/17</w:t>
            </w:r>
          </w:p>
        </w:tc>
        <w:tc>
          <w:tcPr>
            <w:tcW w:w="6335" w:type="dxa"/>
            <w:tcBorders>
              <w:top w:val="single" w:sz="4" w:space="0" w:color="auto"/>
              <w:bottom w:val="single" w:sz="4" w:space="0" w:color="auto"/>
            </w:tcBorders>
            <w:shd w:val="clear" w:color="auto" w:fill="auto"/>
          </w:tcPr>
          <w:p w14:paraId="6F00552F" w14:textId="77777777" w:rsidR="00A70030" w:rsidRPr="00653AFA" w:rsidRDefault="00A70030" w:rsidP="00073385">
            <w:pPr>
              <w:spacing w:before="60" w:after="60" w:line="240" w:lineRule="auto"/>
              <w:ind w:left="0"/>
              <w:rPr>
                <w:rFonts w:cs="Arial"/>
                <w:sz w:val="20"/>
                <w:szCs w:val="20"/>
              </w:rPr>
            </w:pPr>
            <w:r w:rsidRPr="00653AFA">
              <w:rPr>
                <w:rFonts w:cs="Arial"/>
                <w:sz w:val="20"/>
                <w:szCs w:val="20"/>
              </w:rPr>
              <w:t>SIV responded to CarbonNet to question why it would not provide the STLM results and requested a comprehensive copy of same and a map the identifies the spread of noise beyond the MSS acquisition and operational areas. SIV noted that sound does not travel straight up and down.</w:t>
            </w:r>
          </w:p>
          <w:p w14:paraId="37E92C43" w14:textId="77777777" w:rsidR="00A70030" w:rsidRPr="00653AFA" w:rsidRDefault="00A70030" w:rsidP="00073385">
            <w:pPr>
              <w:spacing w:before="60" w:after="60" w:line="240" w:lineRule="auto"/>
              <w:ind w:left="0"/>
              <w:rPr>
                <w:rFonts w:cs="Arial"/>
                <w:sz w:val="20"/>
                <w:szCs w:val="20"/>
              </w:rPr>
            </w:pPr>
            <w:r w:rsidRPr="00653AFA">
              <w:rPr>
                <w:rFonts w:cs="Arial"/>
                <w:sz w:val="20"/>
                <w:szCs w:val="20"/>
              </w:rPr>
              <w:t>SIV commented that they did not appreciate the tone of CarbonNet’s email and that a previous request for compensation to SIV to arrange meetings and distribute information was met with a blank face.</w:t>
            </w:r>
          </w:p>
          <w:p w14:paraId="385BCFEB" w14:textId="77777777" w:rsidR="00A70030" w:rsidRPr="00653AFA" w:rsidRDefault="00A70030" w:rsidP="00073385">
            <w:pPr>
              <w:spacing w:before="60" w:after="60" w:line="240" w:lineRule="auto"/>
              <w:ind w:left="0"/>
              <w:rPr>
                <w:rFonts w:cs="Arial"/>
                <w:sz w:val="20"/>
                <w:szCs w:val="20"/>
              </w:rPr>
            </w:pPr>
            <w:r w:rsidRPr="00653AFA">
              <w:rPr>
                <w:rFonts w:cs="Arial"/>
                <w:sz w:val="20"/>
                <w:szCs w:val="20"/>
              </w:rPr>
              <w:t>SIV said there will continue to be an ongoing discussion around the impacts of seismic.</w:t>
            </w:r>
          </w:p>
        </w:tc>
        <w:tc>
          <w:tcPr>
            <w:tcW w:w="3802" w:type="dxa"/>
            <w:tcBorders>
              <w:top w:val="single" w:sz="4" w:space="0" w:color="auto"/>
              <w:bottom w:val="single" w:sz="4" w:space="0" w:color="auto"/>
            </w:tcBorders>
            <w:shd w:val="clear" w:color="auto" w:fill="auto"/>
          </w:tcPr>
          <w:p w14:paraId="35443586" w14:textId="4FF30BFC" w:rsidR="00A70030" w:rsidRPr="0003651D" w:rsidDel="002937F4" w:rsidRDefault="00A70030" w:rsidP="00073385">
            <w:pPr>
              <w:spacing w:before="60" w:after="60" w:line="240" w:lineRule="auto"/>
              <w:ind w:left="0"/>
              <w:rPr>
                <w:rFonts w:cs="Arial"/>
                <w:sz w:val="20"/>
                <w:szCs w:val="20"/>
              </w:rPr>
            </w:pPr>
            <w:r>
              <w:rPr>
                <w:rFonts w:cs="Arial"/>
                <w:sz w:val="20"/>
                <w:szCs w:val="20"/>
              </w:rPr>
              <w:t>N/A</w:t>
            </w:r>
          </w:p>
        </w:tc>
      </w:tr>
      <w:tr w:rsidR="00A70030" w:rsidRPr="00FF0808" w:rsidDel="002937F4" w14:paraId="479F70DB" w14:textId="77777777" w:rsidTr="00891DE1">
        <w:trPr>
          <w:trHeight w:val="490"/>
        </w:trPr>
        <w:tc>
          <w:tcPr>
            <w:tcW w:w="1427" w:type="dxa"/>
            <w:tcBorders>
              <w:top w:val="nil"/>
              <w:bottom w:val="nil"/>
            </w:tcBorders>
            <w:shd w:val="clear" w:color="auto" w:fill="auto"/>
          </w:tcPr>
          <w:p w14:paraId="16B4B146"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D017930" w14:textId="77777777" w:rsidR="00A70030" w:rsidRPr="00FF0808" w:rsidDel="002937F4"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2C92E71A" w14:textId="5FA46D0A" w:rsidR="00A70030" w:rsidRPr="00653AFA" w:rsidRDefault="00A70030"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auto"/>
              <w:bottom w:val="single" w:sz="4" w:space="0" w:color="auto"/>
            </w:tcBorders>
            <w:shd w:val="clear" w:color="auto" w:fill="auto"/>
          </w:tcPr>
          <w:p w14:paraId="1AB8A0EC" w14:textId="41F80A00" w:rsidR="00A70030" w:rsidRPr="00653AFA"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NOPSEMA website for stakeholders to subscribe to updates, and committed to provide a revised fact sheet once a survey vessel has been contracted.</w:t>
            </w:r>
          </w:p>
        </w:tc>
        <w:tc>
          <w:tcPr>
            <w:tcW w:w="3802" w:type="dxa"/>
            <w:tcBorders>
              <w:top w:val="single" w:sz="4" w:space="0" w:color="auto"/>
              <w:bottom w:val="single" w:sz="4" w:space="0" w:color="auto"/>
            </w:tcBorders>
            <w:shd w:val="clear" w:color="auto" w:fill="auto"/>
          </w:tcPr>
          <w:p w14:paraId="3802345C" w14:textId="63048113"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rsidDel="002937F4" w14:paraId="7FEC6F2B" w14:textId="77777777" w:rsidTr="00891DE1">
        <w:trPr>
          <w:trHeight w:val="490"/>
        </w:trPr>
        <w:tc>
          <w:tcPr>
            <w:tcW w:w="1427" w:type="dxa"/>
            <w:tcBorders>
              <w:top w:val="nil"/>
              <w:bottom w:val="nil"/>
            </w:tcBorders>
            <w:shd w:val="clear" w:color="auto" w:fill="auto"/>
          </w:tcPr>
          <w:p w14:paraId="30E03F9B"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5F4FAE5" w14:textId="77777777" w:rsidR="00A70030" w:rsidRPr="00FF0808" w:rsidDel="002937F4"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249F803" w14:textId="63A48C06" w:rsidR="00A70030" w:rsidRPr="00653AFA" w:rsidRDefault="00A70030" w:rsidP="00073385">
            <w:pPr>
              <w:spacing w:before="60" w:after="60" w:line="240" w:lineRule="auto"/>
              <w:ind w:left="0"/>
              <w:rPr>
                <w:rFonts w:cs="Arial"/>
                <w:sz w:val="20"/>
                <w:szCs w:val="20"/>
              </w:rPr>
            </w:pPr>
            <w:r>
              <w:rPr>
                <w:rFonts w:cs="Arial"/>
                <w:sz w:val="20"/>
                <w:szCs w:val="20"/>
              </w:rPr>
              <w:t>18/9/17</w:t>
            </w:r>
          </w:p>
        </w:tc>
        <w:tc>
          <w:tcPr>
            <w:tcW w:w="6335" w:type="dxa"/>
            <w:tcBorders>
              <w:top w:val="single" w:sz="4" w:space="0" w:color="auto"/>
              <w:bottom w:val="single" w:sz="4" w:space="0" w:color="auto"/>
            </w:tcBorders>
            <w:shd w:val="clear" w:color="auto" w:fill="auto"/>
          </w:tcPr>
          <w:p w14:paraId="3A9C9CD8" w14:textId="187ED620" w:rsidR="00A70030" w:rsidRDefault="00A70030" w:rsidP="00C37E1C">
            <w:pPr>
              <w:spacing w:before="60" w:after="60" w:line="240" w:lineRule="auto"/>
              <w:ind w:left="0"/>
              <w:rPr>
                <w:rFonts w:cs="Arial"/>
                <w:sz w:val="20"/>
                <w:szCs w:val="20"/>
              </w:rPr>
            </w:pPr>
            <w:r>
              <w:rPr>
                <w:rFonts w:cs="Arial"/>
                <w:sz w:val="20"/>
                <w:szCs w:val="20"/>
              </w:rPr>
              <w:t>CarbonNet met with SIV and VFA in Melbourne to discuss progress on the EP, scallop stock assessment, pre- and post-MSS environmental habitat assessment and other issues.</w:t>
            </w:r>
          </w:p>
          <w:p w14:paraId="2539DC11" w14:textId="77777777" w:rsidR="00A70030" w:rsidRPr="00CE06DF" w:rsidRDefault="00A70030" w:rsidP="00C37E1C">
            <w:pPr>
              <w:spacing w:before="60" w:after="60" w:line="240" w:lineRule="auto"/>
              <w:ind w:left="0"/>
              <w:rPr>
                <w:rFonts w:cs="Arial"/>
                <w:sz w:val="20"/>
                <w:szCs w:val="20"/>
              </w:rPr>
            </w:pPr>
            <w:r w:rsidRPr="00CE06DF">
              <w:rPr>
                <w:rFonts w:cs="Arial"/>
                <w:sz w:val="20"/>
                <w:szCs w:val="20"/>
              </w:rPr>
              <w:t xml:space="preserve">SIV said CarbonNet's </w:t>
            </w:r>
            <w:r>
              <w:rPr>
                <w:rFonts w:cs="Arial"/>
                <w:sz w:val="20"/>
                <w:szCs w:val="20"/>
              </w:rPr>
              <w:t>commitment to provide funding</w:t>
            </w:r>
            <w:r w:rsidRPr="00CE06DF">
              <w:rPr>
                <w:rFonts w:cs="Arial"/>
                <w:sz w:val="20"/>
                <w:szCs w:val="20"/>
              </w:rPr>
              <w:t xml:space="preserve"> support </w:t>
            </w:r>
            <w:r>
              <w:rPr>
                <w:rFonts w:cs="Arial"/>
                <w:sz w:val="20"/>
                <w:szCs w:val="20"/>
              </w:rPr>
              <w:t xml:space="preserve">to VFA </w:t>
            </w:r>
            <w:r w:rsidRPr="00CE06DF">
              <w:rPr>
                <w:rFonts w:cs="Arial"/>
                <w:sz w:val="20"/>
                <w:szCs w:val="20"/>
              </w:rPr>
              <w:lastRenderedPageBreak/>
              <w:t xml:space="preserve">for </w:t>
            </w:r>
            <w:r>
              <w:rPr>
                <w:rFonts w:cs="Arial"/>
                <w:sz w:val="20"/>
                <w:szCs w:val="20"/>
              </w:rPr>
              <w:t>a Victorian scallop stock assessment</w:t>
            </w:r>
            <w:r w:rsidRPr="00CE06DF">
              <w:rPr>
                <w:rFonts w:cs="Arial"/>
                <w:sz w:val="20"/>
                <w:szCs w:val="20"/>
              </w:rPr>
              <w:t xml:space="preserve"> is </w:t>
            </w:r>
            <w:r>
              <w:rPr>
                <w:rFonts w:cs="Arial"/>
                <w:sz w:val="20"/>
                <w:szCs w:val="20"/>
              </w:rPr>
              <w:t>‘</w:t>
            </w:r>
            <w:r w:rsidRPr="00CE06DF">
              <w:rPr>
                <w:rFonts w:cs="Arial"/>
                <w:sz w:val="20"/>
                <w:szCs w:val="20"/>
              </w:rPr>
              <w:t>big win for industry</w:t>
            </w:r>
            <w:r>
              <w:rPr>
                <w:rFonts w:cs="Arial"/>
                <w:sz w:val="20"/>
                <w:szCs w:val="20"/>
              </w:rPr>
              <w:t>’.</w:t>
            </w:r>
          </w:p>
          <w:p w14:paraId="2ABC563F" w14:textId="37BC4A99" w:rsidR="00A70030" w:rsidRPr="00653AFA" w:rsidRDefault="00A70030" w:rsidP="00073385">
            <w:pPr>
              <w:spacing w:before="60" w:after="60" w:line="240" w:lineRule="auto"/>
              <w:ind w:left="0"/>
              <w:rPr>
                <w:rFonts w:cs="Arial"/>
                <w:sz w:val="20"/>
                <w:szCs w:val="20"/>
              </w:rPr>
            </w:pPr>
            <w:r w:rsidRPr="00CE06DF">
              <w:rPr>
                <w:rFonts w:cs="Arial"/>
                <w:sz w:val="20"/>
                <w:szCs w:val="20"/>
              </w:rPr>
              <w:t>SIV would like to review and provide feedback on pre and post environmental assessment scope</w:t>
            </w:r>
            <w:r>
              <w:rPr>
                <w:rFonts w:cs="Arial"/>
                <w:sz w:val="20"/>
                <w:szCs w:val="20"/>
              </w:rPr>
              <w:t xml:space="preserve">. </w:t>
            </w:r>
          </w:p>
        </w:tc>
        <w:tc>
          <w:tcPr>
            <w:tcW w:w="3802" w:type="dxa"/>
            <w:tcBorders>
              <w:top w:val="single" w:sz="4" w:space="0" w:color="auto"/>
              <w:bottom w:val="single" w:sz="4" w:space="0" w:color="auto"/>
            </w:tcBorders>
            <w:shd w:val="clear" w:color="auto" w:fill="auto"/>
          </w:tcPr>
          <w:p w14:paraId="1645697C" w14:textId="23F889BB" w:rsidR="00A70030" w:rsidRDefault="00A70030" w:rsidP="00073385">
            <w:pPr>
              <w:spacing w:before="60" w:after="60" w:line="240" w:lineRule="auto"/>
              <w:ind w:left="0"/>
              <w:rPr>
                <w:rFonts w:cs="Arial"/>
                <w:sz w:val="20"/>
                <w:szCs w:val="20"/>
              </w:rPr>
            </w:pPr>
            <w:r>
              <w:rPr>
                <w:rFonts w:cs="Arial"/>
                <w:sz w:val="20"/>
                <w:szCs w:val="20"/>
              </w:rPr>
              <w:lastRenderedPageBreak/>
              <w:t>N/A</w:t>
            </w:r>
          </w:p>
        </w:tc>
      </w:tr>
      <w:tr w:rsidR="00A70030" w:rsidRPr="00FF0808" w:rsidDel="002937F4" w14:paraId="366C2097" w14:textId="77777777" w:rsidTr="00891DE1">
        <w:trPr>
          <w:trHeight w:val="490"/>
        </w:trPr>
        <w:tc>
          <w:tcPr>
            <w:tcW w:w="1427" w:type="dxa"/>
            <w:tcBorders>
              <w:top w:val="nil"/>
              <w:bottom w:val="nil"/>
            </w:tcBorders>
            <w:shd w:val="clear" w:color="auto" w:fill="auto"/>
          </w:tcPr>
          <w:p w14:paraId="054D1DBC"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A7A5FB4" w14:textId="77777777" w:rsidR="00A70030" w:rsidRPr="00FF0808" w:rsidDel="002937F4"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3B67540" w14:textId="4D86A1ED" w:rsidR="00A70030" w:rsidRPr="00653AFA" w:rsidRDefault="00A70030" w:rsidP="00073385">
            <w:pPr>
              <w:spacing w:before="60" w:after="60" w:line="240" w:lineRule="auto"/>
              <w:ind w:left="0"/>
              <w:rPr>
                <w:rFonts w:cs="Arial"/>
                <w:sz w:val="20"/>
                <w:szCs w:val="20"/>
              </w:rPr>
            </w:pPr>
            <w:r>
              <w:rPr>
                <w:rFonts w:cs="Arial"/>
                <w:sz w:val="20"/>
                <w:szCs w:val="20"/>
              </w:rPr>
              <w:t>24/9/17</w:t>
            </w:r>
          </w:p>
        </w:tc>
        <w:tc>
          <w:tcPr>
            <w:tcW w:w="6335" w:type="dxa"/>
            <w:tcBorders>
              <w:top w:val="single" w:sz="4" w:space="0" w:color="auto"/>
              <w:bottom w:val="single" w:sz="4" w:space="0" w:color="auto"/>
            </w:tcBorders>
            <w:shd w:val="clear" w:color="auto" w:fill="auto"/>
          </w:tcPr>
          <w:p w14:paraId="40FEF2D7" w14:textId="77777777" w:rsidR="00A70030" w:rsidRDefault="00A70030" w:rsidP="00C37E1C">
            <w:pPr>
              <w:tabs>
                <w:tab w:val="left" w:pos="2032"/>
              </w:tabs>
              <w:spacing w:before="60" w:after="60" w:line="240" w:lineRule="auto"/>
              <w:ind w:left="0"/>
              <w:rPr>
                <w:rFonts w:cs="Arial"/>
                <w:sz w:val="20"/>
                <w:szCs w:val="20"/>
              </w:rPr>
            </w:pPr>
            <w:r>
              <w:rPr>
                <w:rFonts w:cs="Arial"/>
                <w:sz w:val="20"/>
                <w:szCs w:val="20"/>
              </w:rPr>
              <w:t>SIV emailed CarbonNet with an attachment ‘R</w:t>
            </w:r>
            <w:r w:rsidRPr="00EB0FDF">
              <w:rPr>
                <w:rFonts w:cs="Arial"/>
                <w:sz w:val="20"/>
                <w:szCs w:val="20"/>
              </w:rPr>
              <w:t>eproductive and Larval Disper</w:t>
            </w:r>
            <w:r>
              <w:rPr>
                <w:rFonts w:cs="Arial"/>
                <w:sz w:val="20"/>
                <w:szCs w:val="20"/>
              </w:rPr>
              <w:t>s</w:t>
            </w:r>
            <w:r w:rsidRPr="00EB0FDF">
              <w:rPr>
                <w:rFonts w:cs="Arial"/>
                <w:sz w:val="20"/>
                <w:szCs w:val="20"/>
              </w:rPr>
              <w:t>al periods for key fisher</w:t>
            </w:r>
            <w:r>
              <w:rPr>
                <w:rFonts w:cs="Arial"/>
                <w:sz w:val="20"/>
                <w:szCs w:val="20"/>
              </w:rPr>
              <w:t>y species off eastern Victoria’, which was prepared by VFA.</w:t>
            </w:r>
          </w:p>
          <w:p w14:paraId="0FB6F19C" w14:textId="77777777" w:rsidR="00A70030" w:rsidRPr="00EB0FDF" w:rsidRDefault="00A70030" w:rsidP="00C37E1C">
            <w:pPr>
              <w:tabs>
                <w:tab w:val="left" w:pos="2032"/>
              </w:tabs>
              <w:spacing w:before="60" w:after="60" w:line="240" w:lineRule="auto"/>
              <w:ind w:left="0"/>
              <w:rPr>
                <w:rFonts w:cs="Arial"/>
                <w:sz w:val="20"/>
                <w:szCs w:val="20"/>
              </w:rPr>
            </w:pPr>
            <w:r>
              <w:rPr>
                <w:rFonts w:cs="Arial"/>
                <w:sz w:val="20"/>
                <w:szCs w:val="20"/>
              </w:rPr>
              <w:t>SIV r</w:t>
            </w:r>
            <w:r w:rsidRPr="00EB0FDF">
              <w:rPr>
                <w:rFonts w:cs="Arial"/>
                <w:sz w:val="20"/>
                <w:szCs w:val="20"/>
              </w:rPr>
              <w:t xml:space="preserve">equested that the following </w:t>
            </w:r>
            <w:r>
              <w:rPr>
                <w:rFonts w:cs="Arial"/>
                <w:sz w:val="20"/>
                <w:szCs w:val="20"/>
              </w:rPr>
              <w:t>be included in the EP</w:t>
            </w:r>
            <w:r w:rsidRPr="00EB0FDF">
              <w:rPr>
                <w:rFonts w:cs="Arial"/>
                <w:sz w:val="20"/>
                <w:szCs w:val="20"/>
              </w:rPr>
              <w:t>:</w:t>
            </w:r>
          </w:p>
          <w:p w14:paraId="785F966E" w14:textId="77777777" w:rsidR="00A70030" w:rsidRPr="00EB0FDF" w:rsidRDefault="00A70030" w:rsidP="00C37E1C">
            <w:pPr>
              <w:tabs>
                <w:tab w:val="left" w:pos="2032"/>
              </w:tabs>
              <w:spacing w:before="60" w:after="60" w:line="240" w:lineRule="auto"/>
              <w:ind w:left="0"/>
              <w:rPr>
                <w:rFonts w:cs="Arial"/>
                <w:sz w:val="20"/>
                <w:szCs w:val="20"/>
              </w:rPr>
            </w:pPr>
            <w:r w:rsidRPr="00EB0FDF">
              <w:rPr>
                <w:rFonts w:cs="Arial"/>
                <w:sz w:val="20"/>
                <w:szCs w:val="20"/>
              </w:rPr>
              <w:t>"Of the thirteen species reviewed, the literature indicated that the spring-summer period, particularly November-January, is the most important period of the year for spawning and larval dispersal of most species."</w:t>
            </w:r>
          </w:p>
          <w:p w14:paraId="49BCF1A4" w14:textId="10C88947" w:rsidR="00A70030" w:rsidRPr="00653AFA" w:rsidRDefault="00A70030" w:rsidP="00891DE1">
            <w:pPr>
              <w:tabs>
                <w:tab w:val="left" w:pos="2032"/>
              </w:tabs>
              <w:spacing w:before="60" w:after="60" w:line="240" w:lineRule="auto"/>
              <w:ind w:left="0"/>
              <w:rPr>
                <w:rFonts w:cs="Arial"/>
                <w:sz w:val="20"/>
                <w:szCs w:val="20"/>
              </w:rPr>
            </w:pPr>
            <w:r>
              <w:rPr>
                <w:rFonts w:cs="Arial"/>
                <w:sz w:val="20"/>
                <w:szCs w:val="20"/>
              </w:rPr>
              <w:t>SIV a</w:t>
            </w:r>
            <w:r w:rsidRPr="00EB0FDF">
              <w:rPr>
                <w:rFonts w:cs="Arial"/>
                <w:sz w:val="20"/>
                <w:szCs w:val="20"/>
              </w:rPr>
              <w:t>lso requested to review documentation relating to fisheries resources prior to resubmitting EP.</w:t>
            </w:r>
          </w:p>
        </w:tc>
        <w:tc>
          <w:tcPr>
            <w:tcW w:w="3802" w:type="dxa"/>
            <w:tcBorders>
              <w:top w:val="single" w:sz="4" w:space="0" w:color="auto"/>
              <w:bottom w:val="single" w:sz="4" w:space="0" w:color="auto"/>
            </w:tcBorders>
            <w:shd w:val="clear" w:color="auto" w:fill="auto"/>
          </w:tcPr>
          <w:p w14:paraId="6214C35C" w14:textId="77777777" w:rsidR="00A70030" w:rsidRDefault="00A70030" w:rsidP="00073385">
            <w:pPr>
              <w:spacing w:before="60" w:after="60" w:line="240" w:lineRule="auto"/>
              <w:ind w:left="0"/>
              <w:rPr>
                <w:rFonts w:cs="Arial"/>
                <w:sz w:val="20"/>
                <w:szCs w:val="20"/>
              </w:rPr>
            </w:pPr>
            <w:r>
              <w:rPr>
                <w:rFonts w:cs="Arial"/>
                <w:sz w:val="20"/>
                <w:szCs w:val="20"/>
              </w:rPr>
              <w:t xml:space="preserve">The information provided by SIV has been considered with regard to refining the timing of the MSS to minimise potential impacts on commercial fishreis (see Chapter 2 and Section 7.2.7). </w:t>
            </w:r>
          </w:p>
          <w:p w14:paraId="708EEECD" w14:textId="729C9497" w:rsidR="00A70030" w:rsidRDefault="00A70030" w:rsidP="00A70030">
            <w:pPr>
              <w:spacing w:before="60" w:after="60" w:line="240" w:lineRule="auto"/>
              <w:ind w:left="0"/>
              <w:rPr>
                <w:rFonts w:cs="Arial"/>
                <w:sz w:val="20"/>
                <w:szCs w:val="20"/>
              </w:rPr>
            </w:pPr>
            <w:r>
              <w:rPr>
                <w:rFonts w:cs="Arial"/>
                <w:sz w:val="20"/>
                <w:szCs w:val="20"/>
              </w:rPr>
              <w:t xml:space="preserve">The impact and risk assessments from the submitted EP were provided to SIV at a meeting on 3/10/17 (see entry for this date). </w:t>
            </w:r>
          </w:p>
        </w:tc>
      </w:tr>
      <w:tr w:rsidR="00A70030" w:rsidRPr="00FF0808" w:rsidDel="002937F4" w14:paraId="54214CB3" w14:textId="77777777" w:rsidTr="00891DE1">
        <w:trPr>
          <w:trHeight w:val="490"/>
        </w:trPr>
        <w:tc>
          <w:tcPr>
            <w:tcW w:w="1427" w:type="dxa"/>
            <w:tcBorders>
              <w:top w:val="nil"/>
              <w:bottom w:val="nil"/>
            </w:tcBorders>
            <w:shd w:val="clear" w:color="auto" w:fill="auto"/>
          </w:tcPr>
          <w:p w14:paraId="69F2F8EA" w14:textId="51978533"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9441219" w14:textId="77777777" w:rsidR="00A70030" w:rsidRPr="00FF0808" w:rsidDel="002937F4"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377063A" w14:textId="52E7FB6B" w:rsidR="00A70030" w:rsidRPr="00653AFA" w:rsidRDefault="00A70030" w:rsidP="00073385">
            <w:pPr>
              <w:spacing w:before="60" w:after="60" w:line="240" w:lineRule="auto"/>
              <w:ind w:left="0"/>
              <w:rPr>
                <w:rFonts w:cs="Arial"/>
                <w:sz w:val="20"/>
                <w:szCs w:val="20"/>
              </w:rPr>
            </w:pPr>
            <w:r>
              <w:rPr>
                <w:rFonts w:cs="Arial"/>
                <w:sz w:val="20"/>
                <w:szCs w:val="20"/>
              </w:rPr>
              <w:t>26/9/17</w:t>
            </w:r>
          </w:p>
        </w:tc>
        <w:tc>
          <w:tcPr>
            <w:tcW w:w="6335" w:type="dxa"/>
            <w:tcBorders>
              <w:top w:val="single" w:sz="4" w:space="0" w:color="auto"/>
              <w:bottom w:val="single" w:sz="4" w:space="0" w:color="auto"/>
            </w:tcBorders>
            <w:shd w:val="clear" w:color="auto" w:fill="auto"/>
          </w:tcPr>
          <w:p w14:paraId="28A52438" w14:textId="2DB68AF5" w:rsidR="00A70030" w:rsidRPr="00EB0FDF" w:rsidRDefault="00A70030" w:rsidP="00C37E1C">
            <w:pPr>
              <w:tabs>
                <w:tab w:val="left" w:pos="2032"/>
              </w:tabs>
              <w:spacing w:before="60" w:after="60" w:line="240" w:lineRule="auto"/>
              <w:ind w:left="0"/>
              <w:rPr>
                <w:rFonts w:cs="Arial"/>
                <w:sz w:val="20"/>
                <w:szCs w:val="20"/>
              </w:rPr>
            </w:pPr>
            <w:r>
              <w:rPr>
                <w:rFonts w:cs="Arial"/>
                <w:sz w:val="20"/>
                <w:szCs w:val="20"/>
              </w:rPr>
              <w:t xml:space="preserve">CarbonNet spoke to SIV on the phone to confirm meeting in Werribee on 3/10/17. </w:t>
            </w:r>
            <w:r w:rsidRPr="00EB0FDF">
              <w:rPr>
                <w:rFonts w:cs="Arial"/>
                <w:sz w:val="20"/>
                <w:szCs w:val="20"/>
              </w:rPr>
              <w:t xml:space="preserve">SIV </w:t>
            </w:r>
            <w:r>
              <w:rPr>
                <w:rFonts w:cs="Arial"/>
                <w:sz w:val="20"/>
                <w:szCs w:val="20"/>
              </w:rPr>
              <w:t xml:space="preserve">said they are </w:t>
            </w:r>
            <w:r w:rsidRPr="00EB0FDF">
              <w:rPr>
                <w:rFonts w:cs="Arial"/>
                <w:sz w:val="20"/>
                <w:szCs w:val="20"/>
              </w:rPr>
              <w:t xml:space="preserve">meeting with VFA today to go through the request for quote for </w:t>
            </w:r>
            <w:r>
              <w:rPr>
                <w:rFonts w:cs="Arial"/>
                <w:sz w:val="20"/>
                <w:szCs w:val="20"/>
              </w:rPr>
              <w:t>VFA’s</w:t>
            </w:r>
            <w:r w:rsidRPr="00EB0FDF">
              <w:rPr>
                <w:rFonts w:cs="Arial"/>
                <w:sz w:val="20"/>
                <w:szCs w:val="20"/>
              </w:rPr>
              <w:t xml:space="preserve"> scallop stock assessment. SIV would like to have that meeting first before deciding who should attend the meeting on </w:t>
            </w:r>
            <w:r>
              <w:rPr>
                <w:rFonts w:cs="Arial"/>
                <w:sz w:val="20"/>
                <w:szCs w:val="20"/>
              </w:rPr>
              <w:t>3/10/17.</w:t>
            </w:r>
            <w:r w:rsidRPr="00EB0FDF">
              <w:rPr>
                <w:rFonts w:cs="Arial"/>
                <w:sz w:val="20"/>
                <w:szCs w:val="20"/>
              </w:rPr>
              <w:t xml:space="preserve"> </w:t>
            </w:r>
          </w:p>
          <w:p w14:paraId="78369AEF" w14:textId="2B1E8609" w:rsidR="00A70030" w:rsidRPr="00653AFA" w:rsidRDefault="00A70030" w:rsidP="00830BD0">
            <w:pPr>
              <w:spacing w:before="60" w:after="60" w:line="240" w:lineRule="auto"/>
              <w:ind w:left="0"/>
              <w:rPr>
                <w:rFonts w:cs="Arial"/>
                <w:sz w:val="20"/>
                <w:szCs w:val="20"/>
              </w:rPr>
            </w:pPr>
            <w:r w:rsidRPr="00EB0FDF">
              <w:rPr>
                <w:rFonts w:cs="Arial"/>
                <w:sz w:val="20"/>
                <w:szCs w:val="20"/>
              </w:rPr>
              <w:t xml:space="preserve">CarbonNet explained that </w:t>
            </w:r>
            <w:r>
              <w:rPr>
                <w:rFonts w:cs="Arial"/>
                <w:sz w:val="20"/>
                <w:szCs w:val="20"/>
              </w:rPr>
              <w:t>it</w:t>
            </w:r>
            <w:r w:rsidRPr="00EB0FDF">
              <w:rPr>
                <w:rFonts w:cs="Arial"/>
                <w:sz w:val="20"/>
                <w:szCs w:val="20"/>
              </w:rPr>
              <w:t xml:space="preserve"> will go ahead and arrange the meeting, including flying </w:t>
            </w:r>
            <w:r>
              <w:rPr>
                <w:rFonts w:cs="Arial"/>
                <w:sz w:val="20"/>
                <w:szCs w:val="20"/>
              </w:rPr>
              <w:t xml:space="preserve">its </w:t>
            </w:r>
            <w:r w:rsidRPr="00EB0FDF">
              <w:rPr>
                <w:rFonts w:cs="Arial"/>
                <w:sz w:val="20"/>
                <w:szCs w:val="20"/>
              </w:rPr>
              <w:t xml:space="preserve">acoustic consultant from </w:t>
            </w:r>
            <w:r>
              <w:rPr>
                <w:rFonts w:cs="Arial"/>
                <w:sz w:val="20"/>
                <w:szCs w:val="20"/>
              </w:rPr>
              <w:t>Queensland to Melbourne for the meeting to discuss the STLM results</w:t>
            </w:r>
            <w:r w:rsidRPr="00EB0FDF">
              <w:rPr>
                <w:rFonts w:cs="Arial"/>
                <w:sz w:val="20"/>
                <w:szCs w:val="20"/>
              </w:rPr>
              <w:t>.</w:t>
            </w:r>
          </w:p>
        </w:tc>
        <w:tc>
          <w:tcPr>
            <w:tcW w:w="3802" w:type="dxa"/>
            <w:tcBorders>
              <w:top w:val="single" w:sz="4" w:space="0" w:color="auto"/>
              <w:bottom w:val="single" w:sz="4" w:space="0" w:color="auto"/>
            </w:tcBorders>
            <w:shd w:val="clear" w:color="auto" w:fill="auto"/>
          </w:tcPr>
          <w:p w14:paraId="61E2C80C" w14:textId="46ACEE9A"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rsidDel="002937F4" w14:paraId="6AA2C944" w14:textId="77777777" w:rsidTr="00891DE1">
        <w:trPr>
          <w:trHeight w:val="490"/>
        </w:trPr>
        <w:tc>
          <w:tcPr>
            <w:tcW w:w="1427" w:type="dxa"/>
            <w:tcBorders>
              <w:top w:val="nil"/>
              <w:bottom w:val="nil"/>
            </w:tcBorders>
            <w:shd w:val="clear" w:color="auto" w:fill="auto"/>
          </w:tcPr>
          <w:p w14:paraId="197D1824"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F13D220" w14:textId="77777777" w:rsidR="00A70030" w:rsidRPr="00FF0808" w:rsidDel="002937F4"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6671068A" w14:textId="483CFDC4" w:rsidR="00A70030" w:rsidRPr="00653AFA" w:rsidRDefault="00A70030" w:rsidP="00073385">
            <w:pPr>
              <w:spacing w:before="60" w:after="60" w:line="240" w:lineRule="auto"/>
              <w:ind w:left="0"/>
              <w:rPr>
                <w:rFonts w:cs="Arial"/>
                <w:sz w:val="20"/>
                <w:szCs w:val="20"/>
              </w:rPr>
            </w:pPr>
            <w:r>
              <w:rPr>
                <w:rFonts w:cs="Arial"/>
                <w:sz w:val="20"/>
                <w:szCs w:val="20"/>
              </w:rPr>
              <w:t>3/10/17</w:t>
            </w:r>
          </w:p>
        </w:tc>
        <w:tc>
          <w:tcPr>
            <w:tcW w:w="6335" w:type="dxa"/>
            <w:tcBorders>
              <w:top w:val="single" w:sz="4" w:space="0" w:color="auto"/>
              <w:bottom w:val="single" w:sz="4" w:space="0" w:color="auto"/>
            </w:tcBorders>
            <w:shd w:val="clear" w:color="auto" w:fill="auto"/>
          </w:tcPr>
          <w:p w14:paraId="66E0263C" w14:textId="1B984877" w:rsidR="00A70030" w:rsidRDefault="00A70030" w:rsidP="00C37E1C">
            <w:pPr>
              <w:spacing w:before="60" w:after="60" w:line="240" w:lineRule="auto"/>
              <w:ind w:left="0"/>
              <w:rPr>
                <w:rFonts w:cs="Arial"/>
                <w:sz w:val="20"/>
                <w:szCs w:val="20"/>
              </w:rPr>
            </w:pPr>
            <w:r>
              <w:rPr>
                <w:rFonts w:cs="Arial"/>
                <w:sz w:val="20"/>
                <w:szCs w:val="20"/>
              </w:rPr>
              <w:t>CarbonNet met with representatives from</w:t>
            </w:r>
            <w:r>
              <w:t xml:space="preserve"> </w:t>
            </w:r>
            <w:r w:rsidRPr="00E92C5E">
              <w:rPr>
                <w:rFonts w:cs="Arial"/>
                <w:sz w:val="20"/>
                <w:szCs w:val="20"/>
              </w:rPr>
              <w:t xml:space="preserve">SIV and VFA </w:t>
            </w:r>
            <w:r>
              <w:rPr>
                <w:rFonts w:cs="Arial"/>
                <w:sz w:val="20"/>
                <w:szCs w:val="20"/>
              </w:rPr>
              <w:t xml:space="preserve">in Werribee </w:t>
            </w:r>
            <w:r w:rsidRPr="00E92C5E">
              <w:rPr>
                <w:rFonts w:cs="Arial"/>
                <w:sz w:val="20"/>
                <w:szCs w:val="20"/>
              </w:rPr>
              <w:t xml:space="preserve">with </w:t>
            </w:r>
            <w:r>
              <w:rPr>
                <w:rFonts w:cs="Arial"/>
                <w:sz w:val="20"/>
                <w:szCs w:val="20"/>
              </w:rPr>
              <w:t xml:space="preserve">its </w:t>
            </w:r>
            <w:r w:rsidRPr="00E92C5E">
              <w:rPr>
                <w:rFonts w:cs="Arial"/>
                <w:sz w:val="20"/>
                <w:szCs w:val="20"/>
              </w:rPr>
              <w:t>environmental and acoustic consultants to discuss sound modelling, pre</w:t>
            </w:r>
            <w:r>
              <w:rPr>
                <w:rFonts w:cs="Arial"/>
                <w:sz w:val="20"/>
                <w:szCs w:val="20"/>
              </w:rPr>
              <w:t>-</w:t>
            </w:r>
            <w:r w:rsidRPr="00E92C5E">
              <w:rPr>
                <w:rFonts w:cs="Arial"/>
                <w:sz w:val="20"/>
                <w:szCs w:val="20"/>
              </w:rPr>
              <w:t xml:space="preserve"> and post</w:t>
            </w:r>
            <w:r>
              <w:rPr>
                <w:rFonts w:cs="Arial"/>
                <w:sz w:val="20"/>
                <w:szCs w:val="20"/>
              </w:rPr>
              <w:t>-MSS</w:t>
            </w:r>
            <w:r w:rsidRPr="00E92C5E">
              <w:rPr>
                <w:rFonts w:cs="Arial"/>
                <w:sz w:val="20"/>
                <w:szCs w:val="20"/>
              </w:rPr>
              <w:t xml:space="preserve"> environmental habitat assessment, VFA's scallop </w:t>
            </w:r>
            <w:r>
              <w:rPr>
                <w:rFonts w:cs="Arial"/>
                <w:sz w:val="20"/>
                <w:szCs w:val="20"/>
              </w:rPr>
              <w:t xml:space="preserve">stock </w:t>
            </w:r>
            <w:r w:rsidRPr="00E92C5E">
              <w:rPr>
                <w:rFonts w:cs="Arial"/>
                <w:sz w:val="20"/>
                <w:szCs w:val="20"/>
              </w:rPr>
              <w:t>survey and the MSS EP.</w:t>
            </w:r>
          </w:p>
          <w:p w14:paraId="4027CA6D" w14:textId="0A2ACCBC" w:rsidR="00A70030" w:rsidRPr="00E92C5E" w:rsidRDefault="00A70030" w:rsidP="00C37E1C">
            <w:pPr>
              <w:spacing w:before="60" w:after="60" w:line="240" w:lineRule="auto"/>
              <w:ind w:left="0"/>
              <w:rPr>
                <w:rFonts w:cs="Arial"/>
                <w:sz w:val="20"/>
                <w:szCs w:val="20"/>
              </w:rPr>
            </w:pPr>
            <w:r w:rsidRPr="00E92C5E">
              <w:rPr>
                <w:rFonts w:cs="Arial"/>
                <w:sz w:val="20"/>
                <w:szCs w:val="20"/>
              </w:rPr>
              <w:t>CarbonNet</w:t>
            </w:r>
            <w:r>
              <w:rPr>
                <w:rFonts w:cs="Arial"/>
                <w:sz w:val="20"/>
                <w:szCs w:val="20"/>
              </w:rPr>
              <w:t>’s acoustic consultant</w:t>
            </w:r>
            <w:r w:rsidRPr="00E92C5E">
              <w:rPr>
                <w:rFonts w:cs="Arial"/>
                <w:sz w:val="20"/>
                <w:szCs w:val="20"/>
              </w:rPr>
              <w:t xml:space="preserve"> provided a</w:t>
            </w:r>
            <w:r>
              <w:rPr>
                <w:rFonts w:cs="Arial"/>
                <w:sz w:val="20"/>
                <w:szCs w:val="20"/>
              </w:rPr>
              <w:t xml:space="preserve"> </w:t>
            </w:r>
            <w:r w:rsidRPr="00E92C5E">
              <w:rPr>
                <w:rFonts w:cs="Arial"/>
                <w:sz w:val="20"/>
                <w:szCs w:val="20"/>
              </w:rPr>
              <w:t xml:space="preserve">presentation of sound modelling </w:t>
            </w:r>
            <w:r>
              <w:rPr>
                <w:rFonts w:cs="Arial"/>
                <w:sz w:val="20"/>
                <w:szCs w:val="20"/>
              </w:rPr>
              <w:t>thresholds and results for the project</w:t>
            </w:r>
            <w:r w:rsidRPr="00E92C5E">
              <w:rPr>
                <w:rFonts w:cs="Arial"/>
                <w:sz w:val="20"/>
                <w:szCs w:val="20"/>
              </w:rPr>
              <w:t>.</w:t>
            </w:r>
            <w:r>
              <w:rPr>
                <w:rFonts w:cs="Arial"/>
                <w:sz w:val="20"/>
                <w:szCs w:val="20"/>
              </w:rPr>
              <w:t xml:space="preserve"> In response, </w:t>
            </w:r>
            <w:r w:rsidRPr="00E92C5E">
              <w:rPr>
                <w:rFonts w:cs="Arial"/>
                <w:sz w:val="20"/>
                <w:szCs w:val="20"/>
              </w:rPr>
              <w:t>SIV requested a map of the 'sound reach'</w:t>
            </w:r>
            <w:r>
              <w:rPr>
                <w:rFonts w:cs="Arial"/>
                <w:sz w:val="20"/>
                <w:szCs w:val="20"/>
              </w:rPr>
              <w:t>. CarbonNet</w:t>
            </w:r>
            <w:r w:rsidRPr="00E92C5E">
              <w:rPr>
                <w:rFonts w:cs="Arial"/>
                <w:sz w:val="20"/>
                <w:szCs w:val="20"/>
              </w:rPr>
              <w:t xml:space="preserve"> discussed the difficulties and inaccuracies in doing this and the conservative distance of 1</w:t>
            </w:r>
            <w:r>
              <w:rPr>
                <w:rFonts w:cs="Arial"/>
                <w:sz w:val="20"/>
                <w:szCs w:val="20"/>
              </w:rPr>
              <w:t>,</w:t>
            </w:r>
            <w:r w:rsidRPr="00E92C5E">
              <w:rPr>
                <w:rFonts w:cs="Arial"/>
                <w:sz w:val="20"/>
                <w:szCs w:val="20"/>
              </w:rPr>
              <w:t>220 metres to no impact for scallops and lobsters.</w:t>
            </w:r>
          </w:p>
          <w:p w14:paraId="518D9063" w14:textId="7E5122BE" w:rsidR="00A70030" w:rsidRPr="00E92C5E" w:rsidRDefault="00A70030" w:rsidP="00C37E1C">
            <w:pPr>
              <w:spacing w:before="60" w:after="60" w:line="240" w:lineRule="auto"/>
              <w:ind w:left="0"/>
              <w:rPr>
                <w:rFonts w:cs="Arial"/>
                <w:sz w:val="20"/>
                <w:szCs w:val="20"/>
              </w:rPr>
            </w:pPr>
            <w:r w:rsidRPr="00E92C5E">
              <w:rPr>
                <w:rFonts w:cs="Arial"/>
                <w:sz w:val="20"/>
                <w:szCs w:val="20"/>
              </w:rPr>
              <w:t>CarbonNet provided an overvi</w:t>
            </w:r>
            <w:r>
              <w:rPr>
                <w:rFonts w:cs="Arial"/>
                <w:sz w:val="20"/>
                <w:szCs w:val="20"/>
              </w:rPr>
              <w:t xml:space="preserve">ew of how the EP is structured and gave SIV </w:t>
            </w:r>
            <w:r w:rsidRPr="00E92C5E">
              <w:rPr>
                <w:rFonts w:cs="Arial"/>
                <w:sz w:val="20"/>
                <w:szCs w:val="20"/>
              </w:rPr>
              <w:t>updated copies of sections 7.1 and 7.8 (impacts to biological receptions and fisheries)</w:t>
            </w:r>
            <w:r>
              <w:rPr>
                <w:rFonts w:cs="Arial"/>
                <w:sz w:val="20"/>
                <w:szCs w:val="20"/>
              </w:rPr>
              <w:t>,</w:t>
            </w:r>
            <w:r w:rsidRPr="00E92C5E">
              <w:rPr>
                <w:rFonts w:cs="Arial"/>
                <w:sz w:val="20"/>
                <w:szCs w:val="20"/>
              </w:rPr>
              <w:t xml:space="preserve"> which were previously provided </w:t>
            </w:r>
            <w:r>
              <w:rPr>
                <w:rFonts w:cs="Arial"/>
                <w:sz w:val="20"/>
                <w:szCs w:val="20"/>
              </w:rPr>
              <w:lastRenderedPageBreak/>
              <w:t>on the 27</w:t>
            </w:r>
            <w:r w:rsidRPr="00891DE1">
              <w:rPr>
                <w:rFonts w:cs="Arial"/>
                <w:sz w:val="20"/>
                <w:szCs w:val="20"/>
                <w:vertAlign w:val="superscript"/>
              </w:rPr>
              <w:t>th</w:t>
            </w:r>
            <w:r>
              <w:rPr>
                <w:rFonts w:cs="Arial"/>
                <w:sz w:val="20"/>
                <w:szCs w:val="20"/>
              </w:rPr>
              <w:t xml:space="preserve"> of</w:t>
            </w:r>
            <w:r w:rsidRPr="00E92C5E">
              <w:rPr>
                <w:rFonts w:cs="Arial"/>
                <w:sz w:val="20"/>
                <w:szCs w:val="20"/>
              </w:rPr>
              <w:t xml:space="preserve"> July.</w:t>
            </w:r>
          </w:p>
          <w:p w14:paraId="3EE9092C" w14:textId="0EE8679E" w:rsidR="00A70030" w:rsidRPr="00E92C5E" w:rsidRDefault="00A70030" w:rsidP="00C37E1C">
            <w:pPr>
              <w:spacing w:before="60" w:after="60" w:line="240" w:lineRule="auto"/>
              <w:ind w:left="0"/>
              <w:rPr>
                <w:rFonts w:cs="Arial"/>
                <w:sz w:val="20"/>
                <w:szCs w:val="20"/>
              </w:rPr>
            </w:pPr>
            <w:r w:rsidRPr="00E92C5E">
              <w:rPr>
                <w:rFonts w:cs="Arial"/>
                <w:sz w:val="20"/>
                <w:szCs w:val="20"/>
              </w:rPr>
              <w:t>CarbonNet discussed its proposal to conduct a pre</w:t>
            </w:r>
            <w:r>
              <w:rPr>
                <w:rFonts w:cs="Arial"/>
                <w:sz w:val="20"/>
                <w:szCs w:val="20"/>
              </w:rPr>
              <w:t>-</w:t>
            </w:r>
            <w:r w:rsidRPr="00E92C5E">
              <w:rPr>
                <w:rFonts w:cs="Arial"/>
                <w:sz w:val="20"/>
                <w:szCs w:val="20"/>
              </w:rPr>
              <w:t xml:space="preserve"> and post</w:t>
            </w:r>
            <w:r>
              <w:rPr>
                <w:rFonts w:cs="Arial"/>
                <w:sz w:val="20"/>
                <w:szCs w:val="20"/>
              </w:rPr>
              <w:t>-MSS</w:t>
            </w:r>
            <w:r w:rsidRPr="00E92C5E">
              <w:rPr>
                <w:rFonts w:cs="Arial"/>
                <w:sz w:val="20"/>
                <w:szCs w:val="20"/>
              </w:rPr>
              <w:t xml:space="preserve"> environmental habitat assessment</w:t>
            </w:r>
            <w:r>
              <w:rPr>
                <w:rFonts w:cs="Arial"/>
                <w:sz w:val="20"/>
                <w:szCs w:val="20"/>
              </w:rPr>
              <w:t xml:space="preserve">. </w:t>
            </w:r>
            <w:r w:rsidRPr="00E92C5E">
              <w:rPr>
                <w:rFonts w:cs="Arial"/>
                <w:sz w:val="20"/>
                <w:szCs w:val="20"/>
              </w:rPr>
              <w:t>SIV has not yet looked at the scope but will do so. SIV suggested using Danish Seine boats with cameras to view scallops.</w:t>
            </w:r>
          </w:p>
          <w:p w14:paraId="0D11A358" w14:textId="04DBC55C" w:rsidR="00A70030" w:rsidRPr="00E92C5E" w:rsidRDefault="00A70030" w:rsidP="00C37E1C">
            <w:pPr>
              <w:spacing w:before="60" w:after="60" w:line="240" w:lineRule="auto"/>
              <w:ind w:left="0"/>
              <w:rPr>
                <w:rFonts w:cs="Arial"/>
                <w:sz w:val="20"/>
                <w:szCs w:val="20"/>
              </w:rPr>
            </w:pPr>
            <w:r w:rsidRPr="00E92C5E">
              <w:rPr>
                <w:rFonts w:cs="Arial"/>
                <w:sz w:val="20"/>
                <w:szCs w:val="20"/>
              </w:rPr>
              <w:t xml:space="preserve">SIV said </w:t>
            </w:r>
            <w:r>
              <w:rPr>
                <w:rFonts w:cs="Arial"/>
                <w:sz w:val="20"/>
                <w:szCs w:val="20"/>
              </w:rPr>
              <w:t xml:space="preserve">the area near CarbonNet’s MSS area </w:t>
            </w:r>
            <w:r w:rsidRPr="00E92C5E">
              <w:rPr>
                <w:rFonts w:cs="Arial"/>
                <w:sz w:val="20"/>
                <w:szCs w:val="20"/>
              </w:rPr>
              <w:t>hasn't been fished in about 7</w:t>
            </w:r>
            <w:r>
              <w:rPr>
                <w:rFonts w:cs="Arial"/>
                <w:sz w:val="20"/>
                <w:szCs w:val="20"/>
              </w:rPr>
              <w:t>-8</w:t>
            </w:r>
            <w:r w:rsidRPr="00E92C5E">
              <w:rPr>
                <w:rFonts w:cs="Arial"/>
                <w:sz w:val="20"/>
                <w:szCs w:val="20"/>
              </w:rPr>
              <w:t xml:space="preserve"> years, but recent information provided by a fisherman to CarbonNet and from Danish Seine fishermen indicates some stock rebuilding has occurred.</w:t>
            </w:r>
          </w:p>
          <w:p w14:paraId="78B42FF2" w14:textId="4721ADFB" w:rsidR="00A70030" w:rsidRDefault="00A70030" w:rsidP="00C37E1C">
            <w:pPr>
              <w:spacing w:before="60" w:after="60" w:line="240" w:lineRule="auto"/>
              <w:ind w:left="0"/>
              <w:rPr>
                <w:rFonts w:cs="Arial"/>
                <w:sz w:val="20"/>
                <w:szCs w:val="20"/>
              </w:rPr>
            </w:pPr>
            <w:r w:rsidRPr="00E92C5E">
              <w:rPr>
                <w:rFonts w:cs="Arial"/>
                <w:sz w:val="20"/>
                <w:szCs w:val="20"/>
              </w:rPr>
              <w:t xml:space="preserve">VFA discussed the scallop stock </w:t>
            </w:r>
            <w:r>
              <w:rPr>
                <w:rFonts w:cs="Arial"/>
                <w:sz w:val="20"/>
                <w:szCs w:val="20"/>
              </w:rPr>
              <w:t>assessment</w:t>
            </w:r>
            <w:r w:rsidRPr="00E92C5E">
              <w:rPr>
                <w:rFonts w:cs="Arial"/>
                <w:sz w:val="20"/>
                <w:szCs w:val="20"/>
              </w:rPr>
              <w:t xml:space="preserve"> survey they are planning. They aim to go to market with a</w:t>
            </w:r>
            <w:r>
              <w:rPr>
                <w:rFonts w:cs="Arial"/>
                <w:sz w:val="20"/>
                <w:szCs w:val="20"/>
              </w:rPr>
              <w:t xml:space="preserve"> </w:t>
            </w:r>
            <w:r w:rsidRPr="00E92C5E">
              <w:rPr>
                <w:rFonts w:cs="Arial"/>
                <w:sz w:val="20"/>
                <w:szCs w:val="20"/>
              </w:rPr>
              <w:t>R</w:t>
            </w:r>
            <w:r>
              <w:rPr>
                <w:rFonts w:cs="Arial"/>
                <w:sz w:val="20"/>
                <w:szCs w:val="20"/>
              </w:rPr>
              <w:t xml:space="preserve">equest for Quote </w:t>
            </w:r>
            <w:r w:rsidRPr="00E92C5E">
              <w:rPr>
                <w:rFonts w:cs="Arial"/>
                <w:sz w:val="20"/>
                <w:szCs w:val="20"/>
              </w:rPr>
              <w:t xml:space="preserve"> (developed with </w:t>
            </w:r>
            <w:r>
              <w:rPr>
                <w:rFonts w:cs="Arial"/>
                <w:sz w:val="20"/>
                <w:szCs w:val="20"/>
              </w:rPr>
              <w:t xml:space="preserve">input from </w:t>
            </w:r>
            <w:r w:rsidRPr="00E92C5E">
              <w:rPr>
                <w:rFonts w:cs="Arial"/>
                <w:sz w:val="20"/>
                <w:szCs w:val="20"/>
              </w:rPr>
              <w:t>SIV and CarbonNet) soon with the survey to take place this summer.</w:t>
            </w:r>
          </w:p>
          <w:p w14:paraId="33A053F8" w14:textId="4F91034F" w:rsidR="00A70030" w:rsidRPr="00E92C5E" w:rsidRDefault="00A70030" w:rsidP="00C37E1C">
            <w:pPr>
              <w:spacing w:before="60" w:after="60" w:line="240" w:lineRule="auto"/>
              <w:ind w:left="0"/>
              <w:rPr>
                <w:rFonts w:cs="Arial"/>
                <w:sz w:val="20"/>
                <w:szCs w:val="20"/>
              </w:rPr>
            </w:pPr>
            <w:r>
              <w:rPr>
                <w:rFonts w:cs="Arial"/>
                <w:sz w:val="20"/>
                <w:szCs w:val="20"/>
              </w:rPr>
              <w:t xml:space="preserve">CarbonNet provided the extract from the EP regarding the impact assessment to biological receptors (crustaceans and molluscs) and risks to fisheries. While flicking through this material, </w:t>
            </w:r>
            <w:r w:rsidRPr="00E92C5E">
              <w:rPr>
                <w:rFonts w:cs="Arial"/>
                <w:sz w:val="20"/>
                <w:szCs w:val="20"/>
              </w:rPr>
              <w:t>SIV claimed CarbonNet is cherry picking data</w:t>
            </w:r>
            <w:r>
              <w:rPr>
                <w:rFonts w:cs="Arial"/>
                <w:sz w:val="20"/>
                <w:szCs w:val="20"/>
              </w:rPr>
              <w:t xml:space="preserve"> with regard to the impacts of MSS on scallops. </w:t>
            </w:r>
            <w:r w:rsidRPr="00E92C5E">
              <w:rPr>
                <w:rFonts w:cs="Arial"/>
                <w:sz w:val="20"/>
                <w:szCs w:val="20"/>
              </w:rPr>
              <w:t xml:space="preserve">CarbonNet explained that </w:t>
            </w:r>
            <w:r>
              <w:rPr>
                <w:rFonts w:cs="Arial"/>
                <w:sz w:val="20"/>
                <w:szCs w:val="20"/>
              </w:rPr>
              <w:t xml:space="preserve">this is not that case and that </w:t>
            </w:r>
            <w:r w:rsidRPr="00E92C5E">
              <w:rPr>
                <w:rFonts w:cs="Arial"/>
                <w:sz w:val="20"/>
                <w:szCs w:val="20"/>
              </w:rPr>
              <w:t>all relevant studies have been taken into consideration</w:t>
            </w:r>
            <w:r>
              <w:rPr>
                <w:rFonts w:cs="Arial"/>
                <w:sz w:val="20"/>
                <w:szCs w:val="20"/>
              </w:rPr>
              <w:t xml:space="preserve"> and presented in the EP</w:t>
            </w:r>
            <w:r w:rsidRPr="00E92C5E">
              <w:rPr>
                <w:rFonts w:cs="Arial"/>
                <w:sz w:val="20"/>
                <w:szCs w:val="20"/>
              </w:rPr>
              <w:t>, including a detailed examination of Day et al</w:t>
            </w:r>
            <w:r>
              <w:rPr>
                <w:rFonts w:cs="Arial"/>
                <w:sz w:val="20"/>
                <w:szCs w:val="20"/>
              </w:rPr>
              <w:t xml:space="preserve"> (2016)</w:t>
            </w:r>
            <w:r w:rsidRPr="00E92C5E">
              <w:rPr>
                <w:rFonts w:cs="Arial"/>
                <w:sz w:val="20"/>
                <w:szCs w:val="20"/>
              </w:rPr>
              <w:t xml:space="preserve"> and its implications for this MSS.</w:t>
            </w:r>
          </w:p>
          <w:p w14:paraId="28C23114" w14:textId="77777777" w:rsidR="00A70030" w:rsidRPr="00E92C5E" w:rsidRDefault="00A70030" w:rsidP="00C37E1C">
            <w:pPr>
              <w:spacing w:before="60" w:after="60" w:line="240" w:lineRule="auto"/>
              <w:ind w:left="0"/>
              <w:rPr>
                <w:rFonts w:cs="Arial"/>
                <w:sz w:val="20"/>
                <w:szCs w:val="20"/>
              </w:rPr>
            </w:pPr>
            <w:r w:rsidRPr="00E92C5E">
              <w:rPr>
                <w:rFonts w:cs="Arial"/>
                <w:sz w:val="20"/>
                <w:szCs w:val="20"/>
              </w:rPr>
              <w:t>SIV and VFA will work together to verify a video of scallops fished in the MSS area.</w:t>
            </w:r>
          </w:p>
          <w:p w14:paraId="7B36AC68" w14:textId="6B3D282C" w:rsidR="00A70030" w:rsidRDefault="00A70030" w:rsidP="00830BD0">
            <w:pPr>
              <w:spacing w:before="60" w:after="60" w:line="240" w:lineRule="auto"/>
              <w:ind w:left="0"/>
              <w:rPr>
                <w:rFonts w:cs="Arial"/>
                <w:sz w:val="20"/>
                <w:szCs w:val="20"/>
              </w:rPr>
            </w:pPr>
            <w:r>
              <w:rPr>
                <w:rFonts w:cs="Arial"/>
                <w:sz w:val="20"/>
                <w:szCs w:val="20"/>
              </w:rPr>
              <w:t xml:space="preserve">SIV asked when the EP was going to be resubmitted. </w:t>
            </w:r>
            <w:r w:rsidRPr="00E92C5E">
              <w:rPr>
                <w:rFonts w:cs="Arial"/>
                <w:sz w:val="20"/>
                <w:szCs w:val="20"/>
              </w:rPr>
              <w:t xml:space="preserve">CarbonNet said it </w:t>
            </w:r>
            <w:r>
              <w:rPr>
                <w:rFonts w:cs="Arial"/>
                <w:sz w:val="20"/>
                <w:szCs w:val="20"/>
              </w:rPr>
              <w:t>plans to</w:t>
            </w:r>
            <w:r w:rsidRPr="00E92C5E">
              <w:rPr>
                <w:rFonts w:cs="Arial"/>
                <w:sz w:val="20"/>
                <w:szCs w:val="20"/>
              </w:rPr>
              <w:t xml:space="preserve"> resubmit </w:t>
            </w:r>
            <w:r>
              <w:rPr>
                <w:rFonts w:cs="Arial"/>
                <w:sz w:val="20"/>
                <w:szCs w:val="20"/>
              </w:rPr>
              <w:t xml:space="preserve">the </w:t>
            </w:r>
            <w:r w:rsidRPr="00E92C5E">
              <w:rPr>
                <w:rFonts w:cs="Arial"/>
                <w:sz w:val="20"/>
                <w:szCs w:val="20"/>
              </w:rPr>
              <w:t>EP on 20 October.</w:t>
            </w:r>
            <w:r>
              <w:rPr>
                <w:rFonts w:cs="Arial"/>
                <w:sz w:val="20"/>
                <w:szCs w:val="20"/>
              </w:rPr>
              <w:t xml:space="preserve"> SIV said it would provide feedback on the EP material prior to 20 October. </w:t>
            </w:r>
          </w:p>
          <w:p w14:paraId="1914D226" w14:textId="4CE06E84" w:rsidR="00A70030" w:rsidRPr="00653AFA" w:rsidRDefault="00A70030" w:rsidP="00AC520F">
            <w:pPr>
              <w:spacing w:before="60" w:after="60" w:line="240" w:lineRule="auto"/>
              <w:ind w:left="0"/>
              <w:rPr>
                <w:rFonts w:cs="Arial"/>
                <w:sz w:val="20"/>
                <w:szCs w:val="20"/>
              </w:rPr>
            </w:pPr>
            <w:r>
              <w:rPr>
                <w:rFonts w:cs="Arial"/>
                <w:sz w:val="20"/>
                <w:szCs w:val="20"/>
              </w:rPr>
              <w:t>To date, SIV has not provided any feedback on the extracts from the submitted EP.</w:t>
            </w:r>
          </w:p>
        </w:tc>
        <w:tc>
          <w:tcPr>
            <w:tcW w:w="3802" w:type="dxa"/>
            <w:tcBorders>
              <w:top w:val="single" w:sz="4" w:space="0" w:color="auto"/>
              <w:bottom w:val="single" w:sz="4" w:space="0" w:color="auto"/>
            </w:tcBorders>
            <w:shd w:val="clear" w:color="auto" w:fill="auto"/>
          </w:tcPr>
          <w:p w14:paraId="4ECEB280" w14:textId="09AEC12C" w:rsidR="00A70030" w:rsidRDefault="00A70030" w:rsidP="00073385">
            <w:pPr>
              <w:spacing w:before="60" w:after="60" w:line="240" w:lineRule="auto"/>
              <w:ind w:left="0"/>
              <w:rPr>
                <w:rFonts w:cs="Arial"/>
                <w:sz w:val="20"/>
                <w:szCs w:val="20"/>
              </w:rPr>
            </w:pPr>
            <w:r>
              <w:rPr>
                <w:rFonts w:cs="Arial"/>
                <w:sz w:val="20"/>
                <w:szCs w:val="20"/>
              </w:rPr>
              <w:lastRenderedPageBreak/>
              <w:t>N/A</w:t>
            </w:r>
          </w:p>
        </w:tc>
      </w:tr>
      <w:tr w:rsidR="00A70030" w:rsidRPr="00FF0808" w:rsidDel="002937F4" w14:paraId="0D796025" w14:textId="77777777" w:rsidTr="006574EE">
        <w:trPr>
          <w:trHeight w:val="490"/>
        </w:trPr>
        <w:tc>
          <w:tcPr>
            <w:tcW w:w="1427" w:type="dxa"/>
            <w:tcBorders>
              <w:top w:val="nil"/>
              <w:bottom w:val="single" w:sz="4" w:space="0" w:color="auto"/>
            </w:tcBorders>
            <w:shd w:val="clear" w:color="auto" w:fill="auto"/>
          </w:tcPr>
          <w:p w14:paraId="1F0ECE71" w14:textId="77777777" w:rsidR="00A70030" w:rsidRPr="003E2F3C" w:rsidDel="000F2229" w:rsidRDefault="00A70030" w:rsidP="00073385">
            <w:pPr>
              <w:spacing w:before="60" w:after="60" w:line="240" w:lineRule="auto"/>
              <w:ind w:left="0"/>
              <w:rPr>
                <w:rFonts w:cs="Arial"/>
                <w:sz w:val="20"/>
                <w:szCs w:val="20"/>
              </w:rPr>
            </w:pPr>
          </w:p>
        </w:tc>
        <w:tc>
          <w:tcPr>
            <w:tcW w:w="1629" w:type="dxa"/>
            <w:tcBorders>
              <w:top w:val="nil"/>
              <w:bottom w:val="single" w:sz="4" w:space="0" w:color="auto"/>
            </w:tcBorders>
            <w:shd w:val="clear" w:color="auto" w:fill="auto"/>
          </w:tcPr>
          <w:p w14:paraId="1612886A" w14:textId="77777777" w:rsidR="00A70030" w:rsidRPr="00FF0808" w:rsidDel="002937F4"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6008094C" w14:textId="35D9A090" w:rsidR="00A70030" w:rsidRPr="00653AFA" w:rsidRDefault="00A70030" w:rsidP="00073385">
            <w:pPr>
              <w:spacing w:before="60" w:after="60" w:line="240" w:lineRule="auto"/>
              <w:ind w:left="0"/>
              <w:rPr>
                <w:rFonts w:cs="Arial"/>
                <w:sz w:val="20"/>
                <w:szCs w:val="20"/>
              </w:rPr>
            </w:pPr>
            <w:r>
              <w:rPr>
                <w:rFonts w:cs="Arial"/>
                <w:sz w:val="20"/>
                <w:szCs w:val="20"/>
              </w:rPr>
              <w:t>5/10/17</w:t>
            </w:r>
          </w:p>
        </w:tc>
        <w:tc>
          <w:tcPr>
            <w:tcW w:w="6335" w:type="dxa"/>
            <w:tcBorders>
              <w:top w:val="single" w:sz="4" w:space="0" w:color="auto"/>
              <w:bottom w:val="single" w:sz="4" w:space="0" w:color="auto"/>
            </w:tcBorders>
            <w:shd w:val="clear" w:color="auto" w:fill="auto"/>
          </w:tcPr>
          <w:p w14:paraId="2F598AB1" w14:textId="6C0C4781" w:rsidR="00A70030" w:rsidRPr="00653AFA" w:rsidRDefault="00A70030" w:rsidP="00830BD0">
            <w:pPr>
              <w:spacing w:before="60" w:after="60" w:line="240" w:lineRule="auto"/>
              <w:ind w:left="0"/>
              <w:rPr>
                <w:rFonts w:cs="Arial"/>
                <w:sz w:val="20"/>
                <w:szCs w:val="20"/>
              </w:rPr>
            </w:pPr>
            <w:r w:rsidRPr="006C3F14">
              <w:rPr>
                <w:rFonts w:cs="Arial"/>
                <w:sz w:val="20"/>
                <w:szCs w:val="20"/>
              </w:rPr>
              <w:t xml:space="preserve">Following on from discussions with the VFA regarding the MSS, CarbonNet has been exploring opportunities for collaborative arrangements to promote a better scientific understanding of the marine environment in which the fishing industry and project operates. In particular, discussion have focussed on a well-designed, scientifically robust, best practice, whole of fishery stock assessment </w:t>
            </w:r>
            <w:r>
              <w:rPr>
                <w:rFonts w:cs="Arial"/>
                <w:sz w:val="20"/>
                <w:szCs w:val="20"/>
              </w:rPr>
              <w:t>that</w:t>
            </w:r>
            <w:r w:rsidRPr="006C3F14">
              <w:rPr>
                <w:rFonts w:cs="Arial"/>
                <w:sz w:val="20"/>
                <w:szCs w:val="20"/>
              </w:rPr>
              <w:t xml:space="preserve"> would benefit all stakeholders and support the VFA in the </w:t>
            </w:r>
            <w:r w:rsidRPr="006C3F14">
              <w:rPr>
                <w:rFonts w:cs="Arial"/>
                <w:sz w:val="20"/>
                <w:szCs w:val="20"/>
              </w:rPr>
              <w:lastRenderedPageBreak/>
              <w:t>sustainable management of the scallop fishery. Accordingly, CarbonNet has formally offered (via letter) to contribute towards the VFA’s reasonable costs associated with the 2017/18 Eastern Victorian Scallop Stock Assessment, up to $200,000 (including GST). The VFA is currently considering this offer.</w:t>
            </w:r>
          </w:p>
        </w:tc>
        <w:tc>
          <w:tcPr>
            <w:tcW w:w="3802" w:type="dxa"/>
            <w:tcBorders>
              <w:top w:val="single" w:sz="4" w:space="0" w:color="auto"/>
              <w:bottom w:val="single" w:sz="4" w:space="0" w:color="auto"/>
            </w:tcBorders>
            <w:shd w:val="clear" w:color="auto" w:fill="auto"/>
          </w:tcPr>
          <w:p w14:paraId="192A793A" w14:textId="77777777" w:rsidR="00A70030" w:rsidRDefault="00A70030" w:rsidP="00073385">
            <w:pPr>
              <w:spacing w:before="60" w:after="60" w:line="240" w:lineRule="auto"/>
              <w:ind w:left="0"/>
              <w:rPr>
                <w:rFonts w:cs="Arial"/>
                <w:sz w:val="20"/>
                <w:szCs w:val="20"/>
              </w:rPr>
            </w:pPr>
          </w:p>
        </w:tc>
      </w:tr>
      <w:tr w:rsidR="00A70030" w:rsidRPr="00FF0808" w14:paraId="57DA0DA0" w14:textId="77777777" w:rsidTr="006574EE">
        <w:trPr>
          <w:trHeight w:val="977"/>
        </w:trPr>
        <w:tc>
          <w:tcPr>
            <w:tcW w:w="1427" w:type="dxa"/>
            <w:vMerge w:val="restart"/>
            <w:tcBorders>
              <w:top w:val="single" w:sz="4" w:space="0" w:color="auto"/>
              <w:bottom w:val="single" w:sz="4" w:space="0" w:color="auto"/>
            </w:tcBorders>
            <w:shd w:val="clear" w:color="auto" w:fill="auto"/>
          </w:tcPr>
          <w:p w14:paraId="132AE6B5" w14:textId="77777777" w:rsidR="00A70030" w:rsidRPr="003E2F3C" w:rsidRDefault="00A70030" w:rsidP="00073385">
            <w:pPr>
              <w:spacing w:before="60" w:after="60" w:line="240" w:lineRule="auto"/>
              <w:ind w:left="0"/>
              <w:rPr>
                <w:rFonts w:cs="Arial"/>
                <w:sz w:val="20"/>
                <w:szCs w:val="20"/>
              </w:rPr>
            </w:pPr>
            <w:r w:rsidRPr="003E2F3C">
              <w:rPr>
                <w:rFonts w:cs="Arial"/>
                <w:sz w:val="20"/>
                <w:szCs w:val="20"/>
              </w:rPr>
              <w:t>Eastern Zone Abalone Industry Association</w:t>
            </w:r>
          </w:p>
        </w:tc>
        <w:tc>
          <w:tcPr>
            <w:tcW w:w="1629" w:type="dxa"/>
            <w:vMerge w:val="restart"/>
            <w:tcBorders>
              <w:top w:val="single" w:sz="4" w:space="0" w:color="auto"/>
            </w:tcBorders>
            <w:shd w:val="clear" w:color="auto" w:fill="auto"/>
          </w:tcPr>
          <w:p w14:paraId="6FE158E9" w14:textId="77777777" w:rsidR="00A70030" w:rsidRPr="00FF0808" w:rsidRDefault="00A70030" w:rsidP="00073385">
            <w:pPr>
              <w:spacing w:before="60" w:after="60" w:line="240" w:lineRule="auto"/>
              <w:ind w:left="0"/>
              <w:rPr>
                <w:rFonts w:cs="Arial"/>
                <w:sz w:val="20"/>
                <w:szCs w:val="20"/>
              </w:rPr>
            </w:pPr>
            <w:r>
              <w:rPr>
                <w:rFonts w:cs="Arial"/>
                <w:sz w:val="20"/>
                <w:szCs w:val="20"/>
              </w:rPr>
              <w:t>Represent fishermen who may have activities near proposed acquisition area</w:t>
            </w:r>
          </w:p>
        </w:tc>
        <w:tc>
          <w:tcPr>
            <w:tcW w:w="1055" w:type="dxa"/>
            <w:tcBorders>
              <w:top w:val="single" w:sz="4" w:space="0" w:color="auto"/>
              <w:bottom w:val="single" w:sz="4" w:space="0" w:color="auto"/>
            </w:tcBorders>
          </w:tcPr>
          <w:p w14:paraId="331CD476" w14:textId="77777777" w:rsidR="00A70030" w:rsidRDefault="00A70030" w:rsidP="00073385">
            <w:pPr>
              <w:spacing w:before="60" w:after="60" w:line="240" w:lineRule="auto"/>
              <w:ind w:left="0"/>
              <w:rPr>
                <w:rFonts w:cs="Arial"/>
                <w:sz w:val="20"/>
                <w:szCs w:val="20"/>
              </w:rPr>
            </w:pPr>
            <w:r>
              <w:rPr>
                <w:rFonts w:cs="Arial"/>
                <w:sz w:val="20"/>
                <w:szCs w:val="20"/>
              </w:rPr>
              <w:t>21/3/17</w:t>
            </w:r>
          </w:p>
          <w:p w14:paraId="6188B030" w14:textId="77777777" w:rsidR="00A70030" w:rsidRPr="00FF0808"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53DC0B4F" w14:textId="77777777" w:rsidR="00A70030" w:rsidRDefault="00A70030" w:rsidP="00073385">
            <w:pPr>
              <w:spacing w:before="60" w:after="60" w:line="240" w:lineRule="auto"/>
              <w:ind w:left="0"/>
              <w:rPr>
                <w:rFonts w:cs="Arial"/>
                <w:sz w:val="20"/>
                <w:szCs w:val="20"/>
              </w:rPr>
            </w:pPr>
            <w:r>
              <w:rPr>
                <w:rFonts w:cs="Arial"/>
                <w:sz w:val="20"/>
                <w:szCs w:val="20"/>
              </w:rPr>
              <w:t>CarbonNet contacted the Eastern Zone Abalone Industry Association via post with a letter that invited feedback and provided a fact sheet.</w:t>
            </w:r>
          </w:p>
          <w:p w14:paraId="21E5C739" w14:textId="3A1FB0B1" w:rsidR="00A70030" w:rsidRPr="00FF0808" w:rsidRDefault="00A70030" w:rsidP="006574EE">
            <w:pPr>
              <w:spacing w:before="60" w:after="60" w:line="240" w:lineRule="auto"/>
              <w:ind w:left="0"/>
              <w:rPr>
                <w:rFonts w:cs="Arial"/>
                <w:sz w:val="20"/>
                <w:szCs w:val="20"/>
              </w:rPr>
            </w:pPr>
            <w:r>
              <w:rPr>
                <w:rFonts w:cs="Arial"/>
                <w:sz w:val="20"/>
                <w:szCs w:val="20"/>
              </w:rPr>
              <w:t>No response was received.</w:t>
            </w:r>
          </w:p>
        </w:tc>
        <w:tc>
          <w:tcPr>
            <w:tcW w:w="3802" w:type="dxa"/>
            <w:tcBorders>
              <w:top w:val="single" w:sz="4" w:space="0" w:color="auto"/>
              <w:bottom w:val="single" w:sz="4" w:space="0" w:color="auto"/>
            </w:tcBorders>
            <w:shd w:val="clear" w:color="auto" w:fill="auto"/>
          </w:tcPr>
          <w:p w14:paraId="0718A762" w14:textId="77777777" w:rsidR="00A70030" w:rsidRPr="00FF0808"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54CD7382" w14:textId="77777777" w:rsidTr="006574EE">
        <w:trPr>
          <w:trHeight w:val="790"/>
        </w:trPr>
        <w:tc>
          <w:tcPr>
            <w:tcW w:w="1427" w:type="dxa"/>
            <w:vMerge/>
            <w:tcBorders>
              <w:top w:val="single" w:sz="4" w:space="0" w:color="auto"/>
              <w:bottom w:val="single" w:sz="4" w:space="0" w:color="auto"/>
            </w:tcBorders>
            <w:shd w:val="clear" w:color="auto" w:fill="auto"/>
          </w:tcPr>
          <w:p w14:paraId="6349A7B6" w14:textId="77777777" w:rsidR="00A70030" w:rsidRPr="003E2F3C" w:rsidRDefault="00A70030" w:rsidP="00073385">
            <w:pPr>
              <w:spacing w:before="60" w:after="60" w:line="240" w:lineRule="auto"/>
              <w:ind w:left="0"/>
              <w:rPr>
                <w:rFonts w:cs="Arial"/>
                <w:sz w:val="20"/>
                <w:szCs w:val="20"/>
              </w:rPr>
            </w:pPr>
          </w:p>
        </w:tc>
        <w:tc>
          <w:tcPr>
            <w:tcW w:w="1629" w:type="dxa"/>
            <w:vMerge/>
            <w:shd w:val="clear" w:color="auto" w:fill="auto"/>
          </w:tcPr>
          <w:p w14:paraId="1BB3E33C"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5F2140C6" w14:textId="77777777" w:rsidR="00A70030" w:rsidRDefault="00A70030" w:rsidP="00073385">
            <w:pPr>
              <w:spacing w:before="60" w:after="60" w:line="240" w:lineRule="auto"/>
              <w:ind w:left="0"/>
              <w:rPr>
                <w:rFonts w:cs="Arial"/>
                <w:sz w:val="20"/>
                <w:szCs w:val="20"/>
              </w:rPr>
            </w:pPr>
            <w:r>
              <w:rPr>
                <w:rFonts w:cs="Arial"/>
                <w:sz w:val="20"/>
                <w:szCs w:val="20"/>
              </w:rPr>
              <w:t>18/5/17</w:t>
            </w:r>
          </w:p>
          <w:p w14:paraId="19BECCD1"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47C41C15" w14:textId="77777777" w:rsidR="00A70030" w:rsidRDefault="00A70030" w:rsidP="00073385">
            <w:pPr>
              <w:spacing w:before="60" w:after="60" w:line="240" w:lineRule="auto"/>
              <w:ind w:left="0"/>
              <w:rPr>
                <w:rFonts w:cs="Arial"/>
                <w:sz w:val="20"/>
                <w:szCs w:val="20"/>
              </w:rPr>
            </w:pPr>
            <w:r>
              <w:rPr>
                <w:rFonts w:cs="Arial"/>
                <w:sz w:val="20"/>
                <w:szCs w:val="20"/>
              </w:rPr>
              <w:t>CarbonNet called a mobile phone number and requested a call back. Also called a landline number listed but there was no answer.</w:t>
            </w:r>
          </w:p>
        </w:tc>
        <w:tc>
          <w:tcPr>
            <w:tcW w:w="3802" w:type="dxa"/>
            <w:tcBorders>
              <w:top w:val="single" w:sz="4" w:space="0" w:color="auto"/>
              <w:bottom w:val="single" w:sz="4" w:space="0" w:color="auto"/>
            </w:tcBorders>
            <w:shd w:val="clear" w:color="auto" w:fill="auto"/>
          </w:tcPr>
          <w:p w14:paraId="49762746"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66F1637" w14:textId="77777777" w:rsidTr="00891DE1">
        <w:trPr>
          <w:trHeight w:val="790"/>
        </w:trPr>
        <w:tc>
          <w:tcPr>
            <w:tcW w:w="1427" w:type="dxa"/>
            <w:vMerge/>
            <w:tcBorders>
              <w:top w:val="single" w:sz="4" w:space="0" w:color="auto"/>
              <w:bottom w:val="nil"/>
            </w:tcBorders>
            <w:shd w:val="clear" w:color="auto" w:fill="auto"/>
          </w:tcPr>
          <w:p w14:paraId="68D51C37" w14:textId="77777777" w:rsidR="00A70030" w:rsidRPr="003E2F3C"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52A84997"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D1BF701" w14:textId="77777777" w:rsidR="00A70030" w:rsidRDefault="00A70030" w:rsidP="00073385">
            <w:pPr>
              <w:spacing w:before="60" w:after="60" w:line="240" w:lineRule="auto"/>
              <w:ind w:left="0"/>
              <w:rPr>
                <w:rFonts w:cs="Arial"/>
                <w:sz w:val="20"/>
                <w:szCs w:val="20"/>
              </w:rPr>
            </w:pPr>
            <w:r>
              <w:rPr>
                <w:rFonts w:cs="Arial"/>
                <w:sz w:val="20"/>
                <w:szCs w:val="20"/>
              </w:rPr>
              <w:t>18/5/17</w:t>
            </w:r>
          </w:p>
        </w:tc>
        <w:tc>
          <w:tcPr>
            <w:tcW w:w="6335" w:type="dxa"/>
            <w:tcBorders>
              <w:top w:val="single" w:sz="4" w:space="0" w:color="auto"/>
              <w:bottom w:val="single" w:sz="4" w:space="0" w:color="auto"/>
            </w:tcBorders>
            <w:shd w:val="clear" w:color="auto" w:fill="auto"/>
          </w:tcPr>
          <w:p w14:paraId="54DFB056" w14:textId="77777777" w:rsidR="00A70030" w:rsidRDefault="00A70030" w:rsidP="00073385">
            <w:pPr>
              <w:spacing w:before="60" w:after="60" w:line="240" w:lineRule="auto"/>
              <w:ind w:left="0"/>
              <w:rPr>
                <w:rFonts w:cs="Arial"/>
                <w:sz w:val="20"/>
                <w:szCs w:val="20"/>
              </w:rPr>
            </w:pPr>
            <w:r>
              <w:rPr>
                <w:rFonts w:cs="Arial"/>
                <w:sz w:val="20"/>
                <w:szCs w:val="20"/>
              </w:rPr>
              <w:t xml:space="preserve">CarbonNet found an email address for the Eastern Zone Abalone Industry Association online and re-issued the original letter and fact sheet and asked whether the association has any questions or objections to the proposed survey. </w:t>
            </w:r>
          </w:p>
          <w:p w14:paraId="247CBE51" w14:textId="77777777" w:rsidR="00A70030" w:rsidRDefault="00A70030" w:rsidP="00073385">
            <w:pPr>
              <w:spacing w:before="60" w:after="60" w:line="240" w:lineRule="auto"/>
              <w:ind w:left="0"/>
              <w:rPr>
                <w:rFonts w:cs="Arial"/>
                <w:sz w:val="20"/>
                <w:szCs w:val="20"/>
              </w:rPr>
            </w:pPr>
            <w:r>
              <w:rPr>
                <w:rFonts w:cs="Arial"/>
                <w:sz w:val="20"/>
                <w:szCs w:val="20"/>
              </w:rPr>
              <w:t>CarbonNet explained that its</w:t>
            </w:r>
            <w:r w:rsidRPr="00686116">
              <w:rPr>
                <w:rFonts w:cs="Arial"/>
                <w:sz w:val="20"/>
                <w:szCs w:val="20"/>
              </w:rPr>
              <w:t xml:space="preserve"> un</w:t>
            </w:r>
            <w:r>
              <w:rPr>
                <w:rFonts w:cs="Arial"/>
                <w:sz w:val="20"/>
                <w:szCs w:val="20"/>
              </w:rPr>
              <w:t xml:space="preserve">derstanding of the survey area </w:t>
            </w:r>
            <w:r w:rsidRPr="00686116">
              <w:rPr>
                <w:rFonts w:cs="Arial"/>
                <w:sz w:val="20"/>
                <w:szCs w:val="20"/>
              </w:rPr>
              <w:t>is that abalone are unlikely to be present.</w:t>
            </w:r>
          </w:p>
        </w:tc>
        <w:tc>
          <w:tcPr>
            <w:tcW w:w="3802" w:type="dxa"/>
            <w:tcBorders>
              <w:top w:val="single" w:sz="4" w:space="0" w:color="auto"/>
              <w:bottom w:val="single" w:sz="4" w:space="0" w:color="auto"/>
            </w:tcBorders>
            <w:shd w:val="clear" w:color="auto" w:fill="auto"/>
          </w:tcPr>
          <w:p w14:paraId="609DF28E" w14:textId="77777777" w:rsidR="00A70030" w:rsidRDefault="00A70030" w:rsidP="00073385">
            <w:pPr>
              <w:spacing w:before="60" w:after="60" w:line="240" w:lineRule="auto"/>
              <w:ind w:left="0"/>
              <w:rPr>
                <w:rFonts w:cs="Arial"/>
                <w:sz w:val="20"/>
                <w:szCs w:val="20"/>
              </w:rPr>
            </w:pPr>
            <w:r>
              <w:rPr>
                <w:rFonts w:cs="Arial"/>
                <w:sz w:val="20"/>
                <w:szCs w:val="20"/>
              </w:rPr>
              <w:t xml:space="preserve">CarbonNet’s understanding is that abalone are commercially fished only in aquaculture leases in the eastern-most nearshore areas of Victoria. As such, further follow up is not warranted as the fishery is located well outside the proposed acquisition area. </w:t>
            </w:r>
          </w:p>
        </w:tc>
      </w:tr>
      <w:tr w:rsidR="00A70030" w:rsidRPr="00FF0808" w14:paraId="322F56C5" w14:textId="77777777" w:rsidTr="00891DE1">
        <w:trPr>
          <w:trHeight w:val="790"/>
        </w:trPr>
        <w:tc>
          <w:tcPr>
            <w:tcW w:w="1427" w:type="dxa"/>
            <w:tcBorders>
              <w:top w:val="nil"/>
              <w:bottom w:val="single" w:sz="4" w:space="0" w:color="auto"/>
            </w:tcBorders>
            <w:shd w:val="clear" w:color="auto" w:fill="auto"/>
          </w:tcPr>
          <w:p w14:paraId="4FBF508B"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single" w:sz="4" w:space="0" w:color="auto"/>
            </w:tcBorders>
            <w:shd w:val="clear" w:color="auto" w:fill="auto"/>
          </w:tcPr>
          <w:p w14:paraId="7981D64F"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5079189" w14:textId="088C46A6"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auto"/>
              <w:bottom w:val="single" w:sz="4" w:space="0" w:color="auto"/>
            </w:tcBorders>
            <w:shd w:val="clear" w:color="auto" w:fill="auto"/>
          </w:tcPr>
          <w:p w14:paraId="0E66D990" w14:textId="087F0BAD" w:rsidR="00A70030"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NOPSEMA website for stakeholders to subscribe to updates, and committed to provide a revised fact sheet once a survey vessel has been contracted.</w:t>
            </w:r>
          </w:p>
        </w:tc>
        <w:tc>
          <w:tcPr>
            <w:tcW w:w="3802" w:type="dxa"/>
            <w:tcBorders>
              <w:top w:val="single" w:sz="4" w:space="0" w:color="auto"/>
              <w:bottom w:val="single" w:sz="4" w:space="0" w:color="auto"/>
            </w:tcBorders>
            <w:shd w:val="clear" w:color="auto" w:fill="auto"/>
          </w:tcPr>
          <w:p w14:paraId="1AB523E9" w14:textId="0CEF9643"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8A1826E" w14:textId="77777777" w:rsidTr="006574EE">
        <w:trPr>
          <w:trHeight w:val="790"/>
        </w:trPr>
        <w:tc>
          <w:tcPr>
            <w:tcW w:w="1427" w:type="dxa"/>
            <w:vMerge w:val="restart"/>
            <w:tcBorders>
              <w:top w:val="single" w:sz="4" w:space="0" w:color="auto"/>
            </w:tcBorders>
            <w:shd w:val="clear" w:color="auto" w:fill="auto"/>
          </w:tcPr>
          <w:p w14:paraId="0EB413A6" w14:textId="77777777" w:rsidR="00A70030" w:rsidRPr="003E2F3C" w:rsidRDefault="00A70030" w:rsidP="00073385">
            <w:pPr>
              <w:spacing w:before="60" w:after="60" w:line="240" w:lineRule="auto"/>
              <w:ind w:left="0"/>
              <w:rPr>
                <w:rFonts w:cs="Arial"/>
                <w:sz w:val="20"/>
                <w:szCs w:val="20"/>
              </w:rPr>
            </w:pPr>
            <w:r w:rsidRPr="003E2F3C">
              <w:rPr>
                <w:rFonts w:cs="Arial"/>
                <w:sz w:val="20"/>
                <w:szCs w:val="20"/>
              </w:rPr>
              <w:t>Victorian Abalone Divers Association (VADA)</w:t>
            </w:r>
          </w:p>
        </w:tc>
        <w:tc>
          <w:tcPr>
            <w:tcW w:w="1629" w:type="dxa"/>
            <w:vMerge w:val="restart"/>
            <w:tcBorders>
              <w:top w:val="single" w:sz="4" w:space="0" w:color="auto"/>
            </w:tcBorders>
            <w:shd w:val="clear" w:color="auto" w:fill="auto"/>
          </w:tcPr>
          <w:p w14:paraId="2D628EB6" w14:textId="77777777" w:rsidR="00A70030" w:rsidRPr="00FF0808" w:rsidRDefault="00A70030" w:rsidP="00073385">
            <w:pPr>
              <w:spacing w:before="60" w:after="60" w:line="240" w:lineRule="auto"/>
              <w:ind w:left="0"/>
              <w:rPr>
                <w:rFonts w:cs="Arial"/>
                <w:sz w:val="20"/>
                <w:szCs w:val="20"/>
              </w:rPr>
            </w:pPr>
            <w:r>
              <w:rPr>
                <w:rFonts w:cs="Arial"/>
                <w:sz w:val="20"/>
                <w:szCs w:val="20"/>
              </w:rPr>
              <w:t>Represent fishermen who may have activities near proposed acquisition area</w:t>
            </w:r>
          </w:p>
        </w:tc>
        <w:tc>
          <w:tcPr>
            <w:tcW w:w="1055" w:type="dxa"/>
            <w:tcBorders>
              <w:top w:val="single" w:sz="4" w:space="0" w:color="auto"/>
              <w:bottom w:val="single" w:sz="4" w:space="0" w:color="auto"/>
            </w:tcBorders>
          </w:tcPr>
          <w:p w14:paraId="2D40CC22" w14:textId="2B9C74FF" w:rsidR="00A70030" w:rsidRPr="00FF0808" w:rsidRDefault="00A70030" w:rsidP="00073385">
            <w:pPr>
              <w:spacing w:before="60" w:after="60" w:line="240" w:lineRule="auto"/>
              <w:ind w:left="0"/>
              <w:rPr>
                <w:rFonts w:cs="Arial"/>
                <w:sz w:val="20"/>
                <w:szCs w:val="20"/>
              </w:rPr>
            </w:pPr>
            <w:r>
              <w:rPr>
                <w:rFonts w:cs="Arial"/>
                <w:sz w:val="20"/>
                <w:szCs w:val="20"/>
              </w:rPr>
              <w:t>21/3/17</w:t>
            </w:r>
          </w:p>
        </w:tc>
        <w:tc>
          <w:tcPr>
            <w:tcW w:w="6335" w:type="dxa"/>
            <w:tcBorders>
              <w:top w:val="single" w:sz="4" w:space="0" w:color="auto"/>
              <w:bottom w:val="single" w:sz="4" w:space="0" w:color="auto"/>
            </w:tcBorders>
            <w:shd w:val="clear" w:color="auto" w:fill="auto"/>
          </w:tcPr>
          <w:p w14:paraId="2BAB2EDD" w14:textId="2C413155" w:rsidR="00A70030" w:rsidRPr="00FF0808" w:rsidRDefault="00A70030" w:rsidP="00905C82">
            <w:pPr>
              <w:spacing w:before="60" w:after="60" w:line="240" w:lineRule="auto"/>
              <w:ind w:left="0"/>
              <w:rPr>
                <w:rFonts w:cs="Arial"/>
                <w:sz w:val="20"/>
                <w:szCs w:val="20"/>
              </w:rPr>
            </w:pPr>
            <w:r>
              <w:rPr>
                <w:rFonts w:cs="Arial"/>
                <w:sz w:val="20"/>
                <w:szCs w:val="20"/>
              </w:rPr>
              <w:t>CarbonNet contacted VADA via post and email with a letter that invited feedback and provided a fact sheet.</w:t>
            </w:r>
          </w:p>
        </w:tc>
        <w:tc>
          <w:tcPr>
            <w:tcW w:w="3802" w:type="dxa"/>
            <w:tcBorders>
              <w:top w:val="single" w:sz="4" w:space="0" w:color="auto"/>
              <w:bottom w:val="single" w:sz="4" w:space="0" w:color="auto"/>
            </w:tcBorders>
            <w:shd w:val="clear" w:color="auto" w:fill="auto"/>
          </w:tcPr>
          <w:p w14:paraId="6131A55B" w14:textId="77777777" w:rsidR="00A70030" w:rsidRPr="00FF0808"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CE19E3C" w14:textId="77777777" w:rsidTr="00891DE1">
        <w:trPr>
          <w:trHeight w:val="790"/>
        </w:trPr>
        <w:tc>
          <w:tcPr>
            <w:tcW w:w="1427" w:type="dxa"/>
            <w:vMerge/>
            <w:tcBorders>
              <w:bottom w:val="nil"/>
            </w:tcBorders>
            <w:shd w:val="clear" w:color="auto" w:fill="auto"/>
          </w:tcPr>
          <w:p w14:paraId="77157ECA" w14:textId="77777777" w:rsidR="00A70030" w:rsidRPr="003E2F3C"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0EADFA81"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36FE8BA" w14:textId="77777777" w:rsidR="00A70030" w:rsidRDefault="00A70030" w:rsidP="00073385">
            <w:pPr>
              <w:spacing w:before="60" w:after="60" w:line="240" w:lineRule="auto"/>
              <w:ind w:left="0"/>
              <w:rPr>
                <w:rFonts w:cs="Arial"/>
                <w:sz w:val="20"/>
                <w:szCs w:val="20"/>
              </w:rPr>
            </w:pPr>
            <w:r>
              <w:rPr>
                <w:rFonts w:cs="Arial"/>
                <w:sz w:val="20"/>
                <w:szCs w:val="20"/>
              </w:rPr>
              <w:t>18/5/17</w:t>
            </w:r>
          </w:p>
        </w:tc>
        <w:tc>
          <w:tcPr>
            <w:tcW w:w="6335" w:type="dxa"/>
            <w:tcBorders>
              <w:top w:val="single" w:sz="4" w:space="0" w:color="auto"/>
              <w:bottom w:val="single" w:sz="4" w:space="0" w:color="auto"/>
            </w:tcBorders>
            <w:shd w:val="clear" w:color="auto" w:fill="auto"/>
          </w:tcPr>
          <w:p w14:paraId="373FF473" w14:textId="77777777" w:rsidR="00A70030" w:rsidRDefault="00A70030" w:rsidP="00073385">
            <w:pPr>
              <w:spacing w:before="60" w:after="60" w:line="240" w:lineRule="auto"/>
              <w:ind w:left="0"/>
              <w:rPr>
                <w:rFonts w:cs="Arial"/>
                <w:sz w:val="20"/>
                <w:szCs w:val="20"/>
              </w:rPr>
            </w:pPr>
            <w:r>
              <w:rPr>
                <w:rFonts w:cs="Arial"/>
                <w:sz w:val="20"/>
                <w:szCs w:val="20"/>
              </w:rPr>
              <w:t>CarbonNet phoned VADA to follow up and was advised that there is no abalone fishing activity in the MSS area. VADA has no concerns and does not need to be consulted further.</w:t>
            </w:r>
          </w:p>
        </w:tc>
        <w:tc>
          <w:tcPr>
            <w:tcW w:w="3802" w:type="dxa"/>
            <w:tcBorders>
              <w:top w:val="single" w:sz="4" w:space="0" w:color="auto"/>
              <w:bottom w:val="single" w:sz="4" w:space="0" w:color="auto"/>
            </w:tcBorders>
            <w:shd w:val="clear" w:color="auto" w:fill="auto"/>
          </w:tcPr>
          <w:p w14:paraId="2B91A131" w14:textId="77777777" w:rsidR="00A70030" w:rsidRDefault="00A70030" w:rsidP="00073385">
            <w:pPr>
              <w:spacing w:before="60" w:after="60" w:line="240" w:lineRule="auto"/>
              <w:ind w:left="0"/>
              <w:rPr>
                <w:rFonts w:cs="Arial"/>
                <w:sz w:val="20"/>
                <w:szCs w:val="20"/>
              </w:rPr>
            </w:pPr>
            <w:r>
              <w:rPr>
                <w:rFonts w:cs="Arial"/>
                <w:sz w:val="20"/>
                <w:szCs w:val="20"/>
              </w:rPr>
              <w:t>CarbonNet will not make further contact with this stakeholder in accordance with their wishes.</w:t>
            </w:r>
          </w:p>
        </w:tc>
      </w:tr>
      <w:tr w:rsidR="00A70030" w:rsidRPr="00FF0808" w14:paraId="25625302" w14:textId="77777777" w:rsidTr="00891DE1">
        <w:trPr>
          <w:trHeight w:val="790"/>
        </w:trPr>
        <w:tc>
          <w:tcPr>
            <w:tcW w:w="1427" w:type="dxa"/>
            <w:tcBorders>
              <w:top w:val="nil"/>
              <w:bottom w:val="single" w:sz="4" w:space="0" w:color="auto"/>
            </w:tcBorders>
            <w:shd w:val="clear" w:color="auto" w:fill="auto"/>
          </w:tcPr>
          <w:p w14:paraId="5E02F467"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single" w:sz="4" w:space="0" w:color="auto"/>
            </w:tcBorders>
            <w:shd w:val="clear" w:color="auto" w:fill="auto"/>
          </w:tcPr>
          <w:p w14:paraId="3266F474"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2BCC23C" w14:textId="2F020B8B"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auto"/>
              <w:bottom w:val="single" w:sz="4" w:space="0" w:color="auto"/>
            </w:tcBorders>
            <w:shd w:val="clear" w:color="auto" w:fill="auto"/>
          </w:tcPr>
          <w:p w14:paraId="0E744533" w14:textId="7C81A17E" w:rsidR="00A70030"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NOPSEMA website for stakeholders to subscribe to updates, and committed to provide a revised fact sheet once a survey vessel has been contracted.</w:t>
            </w:r>
          </w:p>
        </w:tc>
        <w:tc>
          <w:tcPr>
            <w:tcW w:w="3802" w:type="dxa"/>
            <w:tcBorders>
              <w:top w:val="single" w:sz="4" w:space="0" w:color="auto"/>
              <w:bottom w:val="single" w:sz="4" w:space="0" w:color="auto"/>
            </w:tcBorders>
            <w:shd w:val="clear" w:color="auto" w:fill="auto"/>
          </w:tcPr>
          <w:p w14:paraId="1D8F815B" w14:textId="141D625A"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EDF63EB" w14:textId="77777777" w:rsidTr="00077C5F">
        <w:trPr>
          <w:trHeight w:val="590"/>
        </w:trPr>
        <w:tc>
          <w:tcPr>
            <w:tcW w:w="1427" w:type="dxa"/>
            <w:vMerge w:val="restart"/>
            <w:tcBorders>
              <w:top w:val="single" w:sz="4" w:space="0" w:color="auto"/>
            </w:tcBorders>
            <w:shd w:val="clear" w:color="auto" w:fill="auto"/>
          </w:tcPr>
          <w:p w14:paraId="46801792" w14:textId="77777777" w:rsidR="00A70030" w:rsidRPr="003E2F3C" w:rsidRDefault="00A70030" w:rsidP="00073385">
            <w:pPr>
              <w:spacing w:before="60" w:after="60" w:line="240" w:lineRule="auto"/>
              <w:ind w:left="0"/>
              <w:rPr>
                <w:rFonts w:cs="Arial"/>
                <w:sz w:val="20"/>
                <w:szCs w:val="20"/>
              </w:rPr>
            </w:pPr>
            <w:r w:rsidRPr="003E2F3C">
              <w:rPr>
                <w:rFonts w:cs="Arial"/>
                <w:sz w:val="20"/>
                <w:szCs w:val="20"/>
              </w:rPr>
              <w:lastRenderedPageBreak/>
              <w:t xml:space="preserve">Sustainable Shark Fishing </w:t>
            </w:r>
            <w:r>
              <w:rPr>
                <w:rFonts w:cs="Arial"/>
                <w:sz w:val="20"/>
                <w:szCs w:val="20"/>
              </w:rPr>
              <w:t>Association (SSFAssn)</w:t>
            </w:r>
          </w:p>
        </w:tc>
        <w:tc>
          <w:tcPr>
            <w:tcW w:w="1629" w:type="dxa"/>
            <w:vMerge w:val="restart"/>
            <w:tcBorders>
              <w:top w:val="single" w:sz="4" w:space="0" w:color="auto"/>
            </w:tcBorders>
            <w:shd w:val="clear" w:color="auto" w:fill="auto"/>
          </w:tcPr>
          <w:p w14:paraId="3B152996" w14:textId="77777777" w:rsidR="00A70030" w:rsidRPr="00FF0808" w:rsidRDefault="00A70030" w:rsidP="00073385">
            <w:pPr>
              <w:spacing w:before="60" w:after="60" w:line="240" w:lineRule="auto"/>
              <w:ind w:left="0"/>
              <w:rPr>
                <w:rFonts w:cs="Arial"/>
                <w:sz w:val="20"/>
                <w:szCs w:val="20"/>
              </w:rPr>
            </w:pPr>
            <w:r>
              <w:rPr>
                <w:rFonts w:cs="Arial"/>
                <w:sz w:val="20"/>
                <w:szCs w:val="20"/>
              </w:rPr>
              <w:t>Represent fishermen who may have activities near proposed acquisition area</w:t>
            </w:r>
          </w:p>
        </w:tc>
        <w:tc>
          <w:tcPr>
            <w:tcW w:w="1055" w:type="dxa"/>
            <w:tcBorders>
              <w:top w:val="single" w:sz="4" w:space="0" w:color="auto"/>
              <w:bottom w:val="single" w:sz="4" w:space="0" w:color="auto"/>
            </w:tcBorders>
          </w:tcPr>
          <w:p w14:paraId="35E92866" w14:textId="77777777" w:rsidR="00A70030" w:rsidRDefault="00A70030" w:rsidP="00073385">
            <w:pPr>
              <w:spacing w:before="60" w:after="60" w:line="240" w:lineRule="auto"/>
              <w:ind w:left="0"/>
              <w:rPr>
                <w:rFonts w:cs="Arial"/>
                <w:sz w:val="20"/>
                <w:szCs w:val="20"/>
              </w:rPr>
            </w:pPr>
            <w:r>
              <w:rPr>
                <w:rFonts w:cs="Arial"/>
                <w:sz w:val="20"/>
                <w:szCs w:val="20"/>
              </w:rPr>
              <w:t>21/3/17</w:t>
            </w:r>
          </w:p>
          <w:p w14:paraId="4CBFA0C7" w14:textId="77777777" w:rsidR="00A70030" w:rsidRPr="00FF0808"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6C35F46F" w14:textId="5C0E436C" w:rsidR="00A70030" w:rsidRPr="00FF0808" w:rsidRDefault="00A70030" w:rsidP="00073385">
            <w:pPr>
              <w:spacing w:before="60" w:after="60" w:line="240" w:lineRule="auto"/>
              <w:ind w:left="0"/>
              <w:rPr>
                <w:rFonts w:cs="Arial"/>
                <w:sz w:val="20"/>
                <w:szCs w:val="20"/>
              </w:rPr>
            </w:pPr>
            <w:r w:rsidRPr="00686116">
              <w:rPr>
                <w:rFonts w:cs="Arial"/>
                <w:sz w:val="20"/>
                <w:szCs w:val="20"/>
              </w:rPr>
              <w:t xml:space="preserve">CarbonNet contacted </w:t>
            </w:r>
            <w:r>
              <w:rPr>
                <w:rFonts w:cs="Arial"/>
                <w:sz w:val="20"/>
                <w:szCs w:val="20"/>
              </w:rPr>
              <w:t>SSFAssn</w:t>
            </w:r>
            <w:r w:rsidRPr="00686116">
              <w:rPr>
                <w:rFonts w:cs="Arial"/>
                <w:sz w:val="20"/>
                <w:szCs w:val="20"/>
              </w:rPr>
              <w:t xml:space="preserve"> via post and email with a letter that invited feedback and provided a fact sheet.</w:t>
            </w:r>
          </w:p>
        </w:tc>
        <w:tc>
          <w:tcPr>
            <w:tcW w:w="3802" w:type="dxa"/>
            <w:tcBorders>
              <w:top w:val="single" w:sz="4" w:space="0" w:color="auto"/>
              <w:bottom w:val="single" w:sz="4" w:space="0" w:color="auto"/>
            </w:tcBorders>
            <w:shd w:val="clear" w:color="auto" w:fill="auto"/>
          </w:tcPr>
          <w:p w14:paraId="6CEF2EB2" w14:textId="77777777" w:rsidR="00A70030" w:rsidRPr="00FF0808"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34B600B2" w14:textId="77777777" w:rsidTr="00077C5F">
        <w:trPr>
          <w:trHeight w:val="590"/>
        </w:trPr>
        <w:tc>
          <w:tcPr>
            <w:tcW w:w="1427" w:type="dxa"/>
            <w:vMerge/>
            <w:tcBorders>
              <w:top w:val="single" w:sz="4" w:space="0" w:color="auto"/>
            </w:tcBorders>
            <w:shd w:val="clear" w:color="auto" w:fill="auto"/>
          </w:tcPr>
          <w:p w14:paraId="4B08EE96" w14:textId="77777777" w:rsidR="00A70030" w:rsidRPr="003E2F3C" w:rsidRDefault="00A70030" w:rsidP="00073385">
            <w:pPr>
              <w:spacing w:before="60" w:after="60" w:line="240" w:lineRule="auto"/>
              <w:ind w:left="0"/>
              <w:rPr>
                <w:rFonts w:cs="Arial"/>
                <w:sz w:val="20"/>
                <w:szCs w:val="20"/>
              </w:rPr>
            </w:pPr>
          </w:p>
        </w:tc>
        <w:tc>
          <w:tcPr>
            <w:tcW w:w="1629" w:type="dxa"/>
            <w:vMerge/>
            <w:tcBorders>
              <w:top w:val="single" w:sz="4" w:space="0" w:color="auto"/>
            </w:tcBorders>
            <w:shd w:val="clear" w:color="auto" w:fill="auto"/>
          </w:tcPr>
          <w:p w14:paraId="30B5BD85"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73466AA" w14:textId="77777777" w:rsidR="00A70030" w:rsidRDefault="00A70030" w:rsidP="00073385">
            <w:pPr>
              <w:spacing w:before="60" w:after="60" w:line="240" w:lineRule="auto"/>
              <w:ind w:left="0"/>
              <w:rPr>
                <w:rFonts w:cs="Arial"/>
                <w:sz w:val="20"/>
                <w:szCs w:val="20"/>
              </w:rPr>
            </w:pPr>
            <w:r>
              <w:rPr>
                <w:rFonts w:cs="Arial"/>
                <w:sz w:val="20"/>
                <w:szCs w:val="20"/>
              </w:rPr>
              <w:t>18/5/17</w:t>
            </w:r>
          </w:p>
          <w:p w14:paraId="40536F4F"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5BE20496" w14:textId="77777777" w:rsidR="00A70030" w:rsidRPr="00686116" w:rsidRDefault="00A70030" w:rsidP="00073385">
            <w:pPr>
              <w:spacing w:before="60" w:after="60" w:line="240" w:lineRule="auto"/>
              <w:ind w:left="0"/>
              <w:rPr>
                <w:rFonts w:cs="Arial"/>
                <w:sz w:val="20"/>
                <w:szCs w:val="20"/>
              </w:rPr>
            </w:pPr>
            <w:r>
              <w:rPr>
                <w:rFonts w:cs="Arial"/>
                <w:sz w:val="20"/>
                <w:szCs w:val="20"/>
              </w:rPr>
              <w:t>CarbonNet called a mobile phone number and left a voicemail message requesting a call back. No response was received.</w:t>
            </w:r>
          </w:p>
        </w:tc>
        <w:tc>
          <w:tcPr>
            <w:tcW w:w="3802" w:type="dxa"/>
            <w:tcBorders>
              <w:top w:val="single" w:sz="4" w:space="0" w:color="auto"/>
              <w:bottom w:val="single" w:sz="4" w:space="0" w:color="auto"/>
            </w:tcBorders>
            <w:shd w:val="clear" w:color="auto" w:fill="auto"/>
          </w:tcPr>
          <w:p w14:paraId="08D6D4FF"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3039FF62" w14:textId="77777777" w:rsidTr="00077C5F">
        <w:trPr>
          <w:trHeight w:val="590"/>
        </w:trPr>
        <w:tc>
          <w:tcPr>
            <w:tcW w:w="1427" w:type="dxa"/>
            <w:vMerge/>
            <w:shd w:val="clear" w:color="auto" w:fill="auto"/>
          </w:tcPr>
          <w:p w14:paraId="45458022" w14:textId="77777777" w:rsidR="00A70030" w:rsidRPr="003E2F3C" w:rsidRDefault="00A70030" w:rsidP="00073385">
            <w:pPr>
              <w:spacing w:before="60" w:after="60" w:line="240" w:lineRule="auto"/>
              <w:ind w:left="0"/>
              <w:rPr>
                <w:rFonts w:cs="Arial"/>
                <w:sz w:val="20"/>
                <w:szCs w:val="20"/>
              </w:rPr>
            </w:pPr>
          </w:p>
        </w:tc>
        <w:tc>
          <w:tcPr>
            <w:tcW w:w="1629" w:type="dxa"/>
            <w:vMerge/>
            <w:shd w:val="clear" w:color="auto" w:fill="auto"/>
          </w:tcPr>
          <w:p w14:paraId="16517F88"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F963C74" w14:textId="77777777" w:rsidR="00A70030" w:rsidRDefault="00A70030" w:rsidP="00073385">
            <w:pPr>
              <w:spacing w:before="60" w:after="60" w:line="240" w:lineRule="auto"/>
              <w:ind w:left="0"/>
              <w:rPr>
                <w:rFonts w:cs="Arial"/>
                <w:sz w:val="20"/>
                <w:szCs w:val="20"/>
              </w:rPr>
            </w:pPr>
            <w:r>
              <w:rPr>
                <w:rFonts w:cs="Arial"/>
                <w:sz w:val="20"/>
                <w:szCs w:val="20"/>
              </w:rPr>
              <w:t>6/6/17</w:t>
            </w:r>
          </w:p>
        </w:tc>
        <w:tc>
          <w:tcPr>
            <w:tcW w:w="6335" w:type="dxa"/>
            <w:tcBorders>
              <w:top w:val="single" w:sz="4" w:space="0" w:color="auto"/>
              <w:bottom w:val="single" w:sz="4" w:space="0" w:color="auto"/>
            </w:tcBorders>
            <w:shd w:val="clear" w:color="auto" w:fill="auto"/>
          </w:tcPr>
          <w:p w14:paraId="519A02E2" w14:textId="77777777" w:rsidR="00A70030" w:rsidRPr="00686116" w:rsidRDefault="00A70030" w:rsidP="00073385">
            <w:pPr>
              <w:spacing w:before="60" w:after="60" w:line="240" w:lineRule="auto"/>
              <w:ind w:left="0"/>
              <w:rPr>
                <w:rFonts w:cs="Arial"/>
                <w:sz w:val="20"/>
                <w:szCs w:val="20"/>
              </w:rPr>
            </w:pPr>
            <w:r>
              <w:rPr>
                <w:rFonts w:cs="Arial"/>
                <w:sz w:val="20"/>
                <w:szCs w:val="20"/>
              </w:rPr>
              <w:t>CarbonNet re-issued the original letter and fact sheet via email, stating it is nearing the end of the EP preparation and have not received any response from SSFAssn.</w:t>
            </w:r>
          </w:p>
        </w:tc>
        <w:tc>
          <w:tcPr>
            <w:tcW w:w="3802" w:type="dxa"/>
            <w:tcBorders>
              <w:top w:val="single" w:sz="4" w:space="0" w:color="auto"/>
              <w:bottom w:val="single" w:sz="4" w:space="0" w:color="auto"/>
            </w:tcBorders>
            <w:shd w:val="clear" w:color="auto" w:fill="auto"/>
          </w:tcPr>
          <w:p w14:paraId="1C6D82A7" w14:textId="77777777" w:rsidR="00A70030" w:rsidRPr="00FF0808" w:rsidRDefault="00A70030" w:rsidP="00073385">
            <w:pPr>
              <w:spacing w:before="60" w:after="60" w:line="240" w:lineRule="auto"/>
              <w:ind w:left="0"/>
              <w:rPr>
                <w:rFonts w:cs="Arial"/>
                <w:sz w:val="20"/>
                <w:szCs w:val="20"/>
              </w:rPr>
            </w:pPr>
            <w:r>
              <w:rPr>
                <w:rFonts w:cs="Arial"/>
                <w:sz w:val="20"/>
                <w:szCs w:val="20"/>
              </w:rPr>
              <w:t xml:space="preserve">Section 5.6.3 of the EP contains sufficient information regarding the shark fishery and is confident enough in this data that no follow up of this stakeholder is required.  </w:t>
            </w:r>
          </w:p>
        </w:tc>
      </w:tr>
      <w:tr w:rsidR="00A70030" w:rsidRPr="00FF0808" w14:paraId="5E33D9FE" w14:textId="77777777" w:rsidTr="00905C82">
        <w:trPr>
          <w:trHeight w:val="590"/>
        </w:trPr>
        <w:tc>
          <w:tcPr>
            <w:tcW w:w="1427" w:type="dxa"/>
            <w:vMerge/>
            <w:tcBorders>
              <w:bottom w:val="nil"/>
            </w:tcBorders>
            <w:shd w:val="clear" w:color="auto" w:fill="auto"/>
          </w:tcPr>
          <w:p w14:paraId="3C072DB7" w14:textId="77777777" w:rsidR="00A70030" w:rsidRPr="003E2F3C"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7A719A85"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341E6BC" w14:textId="77777777" w:rsidR="00A70030" w:rsidRDefault="00A70030" w:rsidP="00073385">
            <w:pPr>
              <w:spacing w:before="60" w:after="60" w:line="240" w:lineRule="auto"/>
              <w:ind w:left="0"/>
              <w:rPr>
                <w:rFonts w:cs="Arial"/>
                <w:sz w:val="20"/>
                <w:szCs w:val="20"/>
              </w:rPr>
            </w:pPr>
            <w:r>
              <w:rPr>
                <w:rFonts w:cs="Arial"/>
                <w:sz w:val="20"/>
                <w:szCs w:val="20"/>
              </w:rPr>
              <w:t>14/6/17</w:t>
            </w:r>
          </w:p>
        </w:tc>
        <w:tc>
          <w:tcPr>
            <w:tcW w:w="6335" w:type="dxa"/>
            <w:tcBorders>
              <w:top w:val="single" w:sz="4" w:space="0" w:color="auto"/>
              <w:bottom w:val="single" w:sz="4" w:space="0" w:color="auto"/>
            </w:tcBorders>
            <w:shd w:val="clear" w:color="auto" w:fill="auto"/>
          </w:tcPr>
          <w:p w14:paraId="423DB541" w14:textId="77777777" w:rsidR="00A70030" w:rsidRDefault="00A70030" w:rsidP="00073385">
            <w:pPr>
              <w:spacing w:before="60" w:after="60" w:line="240" w:lineRule="auto"/>
              <w:ind w:left="0"/>
              <w:rPr>
                <w:rFonts w:cs="Arial"/>
                <w:sz w:val="20"/>
                <w:szCs w:val="20"/>
              </w:rPr>
            </w:pPr>
            <w:r>
              <w:rPr>
                <w:rFonts w:cs="Arial"/>
                <w:sz w:val="20"/>
                <w:szCs w:val="20"/>
              </w:rPr>
              <w:t>CarbonNet received a voicemail from SSFAssn indicating they had tried to email us previously but the email had bounced. On the same day, CarbonNet received an email from SSFAssn which objected to the MSS, on the following basis:</w:t>
            </w:r>
          </w:p>
          <w:p w14:paraId="545F5B4C" w14:textId="77777777" w:rsidR="00A70030" w:rsidRPr="00C83C0E" w:rsidRDefault="00A70030" w:rsidP="00073385">
            <w:pPr>
              <w:pStyle w:val="ListParagraph0"/>
              <w:numPr>
                <w:ilvl w:val="0"/>
                <w:numId w:val="484"/>
              </w:numPr>
              <w:spacing w:before="60" w:after="60" w:line="240" w:lineRule="auto"/>
              <w:rPr>
                <w:rFonts w:cs="Arial"/>
                <w:sz w:val="20"/>
                <w:szCs w:val="20"/>
              </w:rPr>
            </w:pPr>
            <w:r w:rsidRPr="00C83C0E">
              <w:rPr>
                <w:rFonts w:cs="Arial"/>
                <w:sz w:val="20"/>
                <w:szCs w:val="20"/>
              </w:rPr>
              <w:t xml:space="preserve">Information provided </w:t>
            </w:r>
            <w:r>
              <w:rPr>
                <w:rFonts w:cs="Arial"/>
                <w:sz w:val="20"/>
                <w:szCs w:val="20"/>
              </w:rPr>
              <w:t xml:space="preserve">by CarbonNet </w:t>
            </w:r>
            <w:r w:rsidRPr="00C83C0E">
              <w:rPr>
                <w:rFonts w:cs="Arial"/>
                <w:sz w:val="20"/>
                <w:szCs w:val="20"/>
              </w:rPr>
              <w:t xml:space="preserve">did not include sound modelling. </w:t>
            </w:r>
          </w:p>
          <w:p w14:paraId="693E66E5" w14:textId="77777777" w:rsidR="00A70030" w:rsidRPr="00C83C0E" w:rsidRDefault="00A70030" w:rsidP="00073385">
            <w:pPr>
              <w:pStyle w:val="ListParagraph0"/>
              <w:numPr>
                <w:ilvl w:val="0"/>
                <w:numId w:val="484"/>
              </w:numPr>
              <w:spacing w:before="60" w:after="60" w:line="240" w:lineRule="auto"/>
              <w:rPr>
                <w:rFonts w:cs="Arial"/>
                <w:sz w:val="20"/>
                <w:szCs w:val="20"/>
              </w:rPr>
            </w:pPr>
            <w:r>
              <w:rPr>
                <w:rFonts w:cs="Arial"/>
                <w:sz w:val="20"/>
                <w:szCs w:val="20"/>
              </w:rPr>
              <w:t>The MSS a</w:t>
            </w:r>
            <w:r w:rsidRPr="00C83C0E">
              <w:rPr>
                <w:rFonts w:cs="Arial"/>
                <w:sz w:val="20"/>
                <w:szCs w:val="20"/>
              </w:rPr>
              <w:t>rea is a possible pupping gr</w:t>
            </w:r>
            <w:r>
              <w:rPr>
                <w:rFonts w:cs="Arial"/>
                <w:sz w:val="20"/>
                <w:szCs w:val="20"/>
              </w:rPr>
              <w:t>ound for gummy and school shark.</w:t>
            </w:r>
          </w:p>
          <w:p w14:paraId="19FE5BCD" w14:textId="77777777" w:rsidR="00A70030" w:rsidRPr="00C83C0E" w:rsidRDefault="00A70030" w:rsidP="00073385">
            <w:pPr>
              <w:pStyle w:val="ListParagraph0"/>
              <w:numPr>
                <w:ilvl w:val="0"/>
                <w:numId w:val="484"/>
              </w:numPr>
              <w:spacing w:before="60" w:after="60" w:line="240" w:lineRule="auto"/>
              <w:rPr>
                <w:rFonts w:cs="Arial"/>
                <w:sz w:val="20"/>
                <w:szCs w:val="20"/>
              </w:rPr>
            </w:pPr>
            <w:r>
              <w:rPr>
                <w:rFonts w:cs="Arial"/>
                <w:sz w:val="20"/>
                <w:szCs w:val="20"/>
              </w:rPr>
              <w:t>The t</w:t>
            </w:r>
            <w:r w:rsidRPr="00C83C0E">
              <w:rPr>
                <w:rFonts w:cs="Arial"/>
                <w:sz w:val="20"/>
                <w:szCs w:val="20"/>
              </w:rPr>
              <w:t xml:space="preserve">iming of </w:t>
            </w:r>
            <w:r>
              <w:rPr>
                <w:rFonts w:cs="Arial"/>
                <w:sz w:val="20"/>
                <w:szCs w:val="20"/>
              </w:rPr>
              <w:t xml:space="preserve">the </w:t>
            </w:r>
            <w:r w:rsidRPr="00C83C0E">
              <w:rPr>
                <w:rFonts w:cs="Arial"/>
                <w:sz w:val="20"/>
                <w:szCs w:val="20"/>
              </w:rPr>
              <w:t>MSS falls into prime period for pupping and no science exists on impacts o</w:t>
            </w:r>
            <w:r>
              <w:rPr>
                <w:rFonts w:cs="Arial"/>
                <w:sz w:val="20"/>
                <w:szCs w:val="20"/>
              </w:rPr>
              <w:t>f seismic on breeding behaviour.</w:t>
            </w:r>
          </w:p>
          <w:p w14:paraId="4E147D92" w14:textId="77777777" w:rsidR="00A70030" w:rsidRPr="00C83C0E" w:rsidRDefault="00A70030" w:rsidP="00073385">
            <w:pPr>
              <w:pStyle w:val="ListParagraph0"/>
              <w:numPr>
                <w:ilvl w:val="0"/>
                <w:numId w:val="484"/>
              </w:numPr>
              <w:spacing w:before="60" w:after="60" w:line="240" w:lineRule="auto"/>
              <w:rPr>
                <w:rFonts w:cs="Arial"/>
                <w:sz w:val="20"/>
                <w:szCs w:val="20"/>
              </w:rPr>
            </w:pPr>
            <w:r w:rsidRPr="00C83C0E">
              <w:rPr>
                <w:rFonts w:cs="Arial"/>
                <w:sz w:val="20"/>
                <w:szCs w:val="20"/>
              </w:rPr>
              <w:t xml:space="preserve">Information provided </w:t>
            </w:r>
            <w:r>
              <w:rPr>
                <w:rFonts w:cs="Arial"/>
                <w:sz w:val="20"/>
                <w:szCs w:val="20"/>
              </w:rPr>
              <w:t xml:space="preserve">by CarbonNet </w:t>
            </w:r>
            <w:r w:rsidRPr="00C83C0E">
              <w:rPr>
                <w:rFonts w:cs="Arial"/>
                <w:sz w:val="20"/>
                <w:szCs w:val="20"/>
              </w:rPr>
              <w:t>does not state that the MSS will conform to best practice</w:t>
            </w:r>
            <w:r>
              <w:rPr>
                <w:rFonts w:cs="Arial"/>
                <w:sz w:val="20"/>
                <w:szCs w:val="20"/>
              </w:rPr>
              <w:t>.</w:t>
            </w:r>
          </w:p>
          <w:p w14:paraId="0322296D" w14:textId="77777777" w:rsidR="00A70030" w:rsidRPr="00C83C0E" w:rsidRDefault="00A70030" w:rsidP="00073385">
            <w:pPr>
              <w:pStyle w:val="ListParagraph0"/>
              <w:numPr>
                <w:ilvl w:val="0"/>
                <w:numId w:val="484"/>
              </w:numPr>
              <w:spacing w:before="60" w:after="60" w:line="240" w:lineRule="auto"/>
              <w:rPr>
                <w:rFonts w:cs="Arial"/>
                <w:sz w:val="20"/>
                <w:szCs w:val="20"/>
              </w:rPr>
            </w:pPr>
            <w:r>
              <w:rPr>
                <w:rFonts w:cs="Arial"/>
                <w:sz w:val="20"/>
                <w:szCs w:val="20"/>
              </w:rPr>
              <w:t>CarbonNet has</w:t>
            </w:r>
            <w:r w:rsidRPr="00C83C0E">
              <w:rPr>
                <w:rFonts w:cs="Arial"/>
                <w:sz w:val="20"/>
                <w:szCs w:val="20"/>
              </w:rPr>
              <w:t xml:space="preserve"> not included the subsequent a</w:t>
            </w:r>
            <w:r>
              <w:rPr>
                <w:rFonts w:cs="Arial"/>
                <w:sz w:val="20"/>
                <w:szCs w:val="20"/>
              </w:rPr>
              <w:t>c</w:t>
            </w:r>
            <w:r w:rsidRPr="00C83C0E">
              <w:rPr>
                <w:rFonts w:cs="Arial"/>
                <w:sz w:val="20"/>
                <w:szCs w:val="20"/>
              </w:rPr>
              <w:t>oustic modelling based</w:t>
            </w:r>
            <w:r>
              <w:rPr>
                <w:rFonts w:cs="Arial"/>
                <w:sz w:val="20"/>
                <w:szCs w:val="20"/>
              </w:rPr>
              <w:t xml:space="preserve"> on ISO standards that occurred. </w:t>
            </w:r>
            <w:r w:rsidRPr="00C83C0E">
              <w:rPr>
                <w:rFonts w:cs="Arial"/>
                <w:sz w:val="20"/>
                <w:szCs w:val="20"/>
              </w:rPr>
              <w:t>subsequent to the FRDC studies that permitted further seismic survey</w:t>
            </w:r>
            <w:r>
              <w:rPr>
                <w:rFonts w:cs="Arial"/>
                <w:sz w:val="20"/>
                <w:szCs w:val="20"/>
              </w:rPr>
              <w:t>s</w:t>
            </w:r>
            <w:r w:rsidRPr="00C83C0E">
              <w:rPr>
                <w:rFonts w:cs="Arial"/>
                <w:sz w:val="20"/>
                <w:szCs w:val="20"/>
              </w:rPr>
              <w:t xml:space="preserve"> to continue </w:t>
            </w:r>
            <w:r>
              <w:rPr>
                <w:rFonts w:cs="Arial"/>
                <w:sz w:val="20"/>
                <w:szCs w:val="20"/>
              </w:rPr>
              <w:t>in Bass Strait.</w:t>
            </w:r>
          </w:p>
          <w:p w14:paraId="0A597173" w14:textId="4C82E183" w:rsidR="00A70030" w:rsidRPr="00905C82" w:rsidRDefault="00A70030" w:rsidP="00905C82">
            <w:pPr>
              <w:pStyle w:val="ListParagraph0"/>
              <w:numPr>
                <w:ilvl w:val="0"/>
                <w:numId w:val="484"/>
              </w:numPr>
              <w:spacing w:before="60" w:after="60" w:line="240" w:lineRule="auto"/>
              <w:rPr>
                <w:rFonts w:cs="Arial"/>
                <w:sz w:val="20"/>
                <w:szCs w:val="20"/>
              </w:rPr>
            </w:pPr>
            <w:r>
              <w:rPr>
                <w:rFonts w:cs="Arial"/>
                <w:sz w:val="20"/>
                <w:szCs w:val="20"/>
              </w:rPr>
              <w:t xml:space="preserve">CarbonNet did not mention any </w:t>
            </w:r>
            <w:r w:rsidRPr="00C83C0E">
              <w:rPr>
                <w:rFonts w:cs="Arial"/>
                <w:sz w:val="20"/>
                <w:szCs w:val="20"/>
              </w:rPr>
              <w:t>'TEP species' such as sea horses.</w:t>
            </w:r>
          </w:p>
        </w:tc>
        <w:tc>
          <w:tcPr>
            <w:tcW w:w="3802" w:type="dxa"/>
            <w:tcBorders>
              <w:top w:val="single" w:sz="4" w:space="0" w:color="auto"/>
              <w:bottom w:val="single" w:sz="4" w:space="0" w:color="auto"/>
            </w:tcBorders>
            <w:shd w:val="clear" w:color="auto" w:fill="auto"/>
          </w:tcPr>
          <w:p w14:paraId="2461FD01" w14:textId="2A3D7342" w:rsidR="00A70030" w:rsidRPr="00FF0808"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8F05039" w14:textId="77777777" w:rsidTr="00905C82">
        <w:trPr>
          <w:trHeight w:val="590"/>
        </w:trPr>
        <w:tc>
          <w:tcPr>
            <w:tcW w:w="1427" w:type="dxa"/>
            <w:tcBorders>
              <w:top w:val="nil"/>
              <w:bottom w:val="nil"/>
            </w:tcBorders>
            <w:shd w:val="clear" w:color="auto" w:fill="auto"/>
          </w:tcPr>
          <w:p w14:paraId="063EBBD2"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FB812E6"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3B9D074" w14:textId="77777777" w:rsidR="00A70030" w:rsidDel="00F71E42" w:rsidRDefault="00A70030" w:rsidP="00073385">
            <w:pPr>
              <w:spacing w:before="60" w:after="60" w:line="240" w:lineRule="auto"/>
              <w:ind w:left="0"/>
              <w:rPr>
                <w:rFonts w:cs="Arial"/>
                <w:sz w:val="20"/>
                <w:szCs w:val="20"/>
              </w:rPr>
            </w:pPr>
            <w:r>
              <w:rPr>
                <w:rFonts w:cs="Arial"/>
                <w:sz w:val="20"/>
                <w:szCs w:val="20"/>
              </w:rPr>
              <w:t>23/6/17</w:t>
            </w:r>
          </w:p>
        </w:tc>
        <w:tc>
          <w:tcPr>
            <w:tcW w:w="6335" w:type="dxa"/>
            <w:tcBorders>
              <w:top w:val="single" w:sz="4" w:space="0" w:color="auto"/>
              <w:bottom w:val="single" w:sz="4" w:space="0" w:color="auto"/>
            </w:tcBorders>
            <w:shd w:val="clear" w:color="auto" w:fill="auto"/>
          </w:tcPr>
          <w:p w14:paraId="4A7ED63F" w14:textId="77777777" w:rsidR="00A70030" w:rsidRDefault="00A70030" w:rsidP="00073385">
            <w:pPr>
              <w:spacing w:before="60" w:after="60" w:line="240" w:lineRule="auto"/>
              <w:ind w:left="0"/>
              <w:rPr>
                <w:rFonts w:cs="Arial"/>
                <w:sz w:val="20"/>
                <w:szCs w:val="20"/>
              </w:rPr>
            </w:pPr>
            <w:r>
              <w:rPr>
                <w:rFonts w:cs="Arial"/>
                <w:sz w:val="20"/>
                <w:szCs w:val="20"/>
              </w:rPr>
              <w:t>CarbonNet emailed SSFAssn addressing the issues raised and requesting clarification on who the SSFAssn is representing.</w:t>
            </w:r>
          </w:p>
          <w:p w14:paraId="7EEDFC22" w14:textId="77777777" w:rsidR="00A70030" w:rsidRDefault="00A70030" w:rsidP="00073385">
            <w:pPr>
              <w:spacing w:before="60" w:after="60" w:line="240" w:lineRule="auto"/>
              <w:ind w:left="0"/>
              <w:rPr>
                <w:rFonts w:cs="Arial"/>
                <w:sz w:val="20"/>
                <w:szCs w:val="20"/>
              </w:rPr>
            </w:pPr>
            <w:r>
              <w:rPr>
                <w:rFonts w:cs="Arial"/>
                <w:sz w:val="20"/>
                <w:szCs w:val="20"/>
              </w:rPr>
              <w:t>CarbonNet’s response including the following points:</w:t>
            </w:r>
          </w:p>
          <w:p w14:paraId="0AEEAEF9" w14:textId="77777777" w:rsidR="00A70030" w:rsidRPr="00C83C0E" w:rsidRDefault="00A70030" w:rsidP="00073385">
            <w:pPr>
              <w:pStyle w:val="ListParagraph0"/>
              <w:numPr>
                <w:ilvl w:val="0"/>
                <w:numId w:val="485"/>
              </w:numPr>
              <w:spacing w:before="60" w:after="60" w:line="240" w:lineRule="auto"/>
              <w:ind w:left="360"/>
              <w:rPr>
                <w:rFonts w:cs="Arial"/>
                <w:sz w:val="20"/>
                <w:szCs w:val="20"/>
              </w:rPr>
            </w:pPr>
            <w:r w:rsidRPr="00C83C0E">
              <w:rPr>
                <w:rFonts w:cs="Arial"/>
                <w:sz w:val="20"/>
                <w:szCs w:val="20"/>
              </w:rPr>
              <w:t>CarbonNet has provided SIV, SETFIA and LEF</w:t>
            </w:r>
            <w:r>
              <w:rPr>
                <w:rFonts w:cs="Arial"/>
                <w:sz w:val="20"/>
                <w:szCs w:val="20"/>
              </w:rPr>
              <w:t>COL with the following, and offered to provide the same to the SSFAssn:</w:t>
            </w:r>
            <w:r w:rsidRPr="00C83C0E">
              <w:rPr>
                <w:rFonts w:cs="Arial"/>
                <w:sz w:val="20"/>
                <w:szCs w:val="20"/>
              </w:rPr>
              <w:t xml:space="preserve"> </w:t>
            </w:r>
          </w:p>
          <w:p w14:paraId="01BB3B49" w14:textId="77777777" w:rsidR="00A70030" w:rsidRPr="00C83C0E" w:rsidRDefault="00A70030" w:rsidP="00073385">
            <w:pPr>
              <w:pStyle w:val="ListParagraph0"/>
              <w:numPr>
                <w:ilvl w:val="0"/>
                <w:numId w:val="485"/>
              </w:numPr>
              <w:spacing w:before="60" w:after="60" w:line="240" w:lineRule="auto"/>
              <w:rPr>
                <w:rFonts w:cs="Arial"/>
                <w:sz w:val="20"/>
                <w:szCs w:val="20"/>
              </w:rPr>
            </w:pPr>
            <w:r>
              <w:rPr>
                <w:rFonts w:cs="Arial"/>
                <w:sz w:val="20"/>
                <w:szCs w:val="20"/>
              </w:rPr>
              <w:t>S</w:t>
            </w:r>
            <w:r w:rsidRPr="00C83C0E">
              <w:rPr>
                <w:rFonts w:cs="Arial"/>
                <w:sz w:val="20"/>
                <w:szCs w:val="20"/>
              </w:rPr>
              <w:t xml:space="preserve">ummary of environmental </w:t>
            </w:r>
            <w:r>
              <w:rPr>
                <w:rFonts w:cs="Arial"/>
                <w:sz w:val="20"/>
                <w:szCs w:val="20"/>
              </w:rPr>
              <w:t xml:space="preserve">habitat </w:t>
            </w:r>
            <w:r w:rsidRPr="00C83C0E">
              <w:rPr>
                <w:rFonts w:cs="Arial"/>
                <w:sz w:val="20"/>
                <w:szCs w:val="20"/>
              </w:rPr>
              <w:t xml:space="preserve">assessment </w:t>
            </w:r>
          </w:p>
          <w:p w14:paraId="06DE152C" w14:textId="77777777" w:rsidR="00A70030" w:rsidRDefault="00A70030" w:rsidP="00073385">
            <w:pPr>
              <w:pStyle w:val="ListParagraph0"/>
              <w:numPr>
                <w:ilvl w:val="0"/>
                <w:numId w:val="485"/>
              </w:numPr>
              <w:spacing w:before="60" w:after="60" w:line="240" w:lineRule="auto"/>
              <w:rPr>
                <w:rFonts w:cs="Arial"/>
                <w:sz w:val="20"/>
                <w:szCs w:val="20"/>
              </w:rPr>
            </w:pPr>
            <w:r>
              <w:rPr>
                <w:rFonts w:cs="Arial"/>
                <w:sz w:val="20"/>
                <w:szCs w:val="20"/>
              </w:rPr>
              <w:lastRenderedPageBreak/>
              <w:t>C</w:t>
            </w:r>
            <w:r w:rsidRPr="00C83C0E">
              <w:rPr>
                <w:rFonts w:cs="Arial"/>
                <w:sz w:val="20"/>
                <w:szCs w:val="20"/>
              </w:rPr>
              <w:t xml:space="preserve">ommitment to provide info on the </w:t>
            </w:r>
            <w:r>
              <w:rPr>
                <w:rFonts w:cs="Arial"/>
                <w:sz w:val="20"/>
                <w:szCs w:val="20"/>
              </w:rPr>
              <w:t>sound transmission modelling</w:t>
            </w:r>
            <w:r w:rsidRPr="00C83C0E">
              <w:rPr>
                <w:rFonts w:cs="Arial"/>
                <w:sz w:val="20"/>
                <w:szCs w:val="20"/>
              </w:rPr>
              <w:t xml:space="preserve"> </w:t>
            </w:r>
          </w:p>
          <w:p w14:paraId="10DEEE90" w14:textId="77777777" w:rsidR="00A70030" w:rsidRDefault="00A70030" w:rsidP="00073385">
            <w:pPr>
              <w:pStyle w:val="ListParagraph0"/>
              <w:numPr>
                <w:ilvl w:val="0"/>
                <w:numId w:val="485"/>
              </w:numPr>
              <w:spacing w:before="60" w:after="60" w:line="240" w:lineRule="auto"/>
              <w:rPr>
                <w:rFonts w:cs="Arial"/>
                <w:sz w:val="20"/>
                <w:szCs w:val="20"/>
              </w:rPr>
            </w:pPr>
            <w:r>
              <w:rPr>
                <w:rFonts w:cs="Arial"/>
                <w:sz w:val="20"/>
                <w:szCs w:val="20"/>
              </w:rPr>
              <w:t>Commitment to provide the relevant draft risk assessment</w:t>
            </w:r>
          </w:p>
          <w:p w14:paraId="5372CFE9" w14:textId="77777777" w:rsidR="00A70030" w:rsidRPr="00C83C0E" w:rsidRDefault="00A70030" w:rsidP="00073385">
            <w:pPr>
              <w:pStyle w:val="ListParagraph0"/>
              <w:numPr>
                <w:ilvl w:val="0"/>
                <w:numId w:val="485"/>
              </w:numPr>
              <w:spacing w:before="60" w:after="60" w:line="240" w:lineRule="auto"/>
              <w:ind w:left="360"/>
              <w:rPr>
                <w:rFonts w:cs="Arial"/>
                <w:sz w:val="20"/>
                <w:szCs w:val="20"/>
              </w:rPr>
            </w:pPr>
            <w:r>
              <w:rPr>
                <w:rFonts w:cs="Arial"/>
                <w:sz w:val="20"/>
                <w:szCs w:val="20"/>
              </w:rPr>
              <w:t xml:space="preserve">CarbonNet provided </w:t>
            </w:r>
            <w:r w:rsidRPr="00C83C0E">
              <w:rPr>
                <w:rFonts w:cs="Arial"/>
                <w:sz w:val="20"/>
                <w:szCs w:val="20"/>
              </w:rPr>
              <w:t>catch data for the MSS area including shark, and requested any further de</w:t>
            </w:r>
            <w:r>
              <w:rPr>
                <w:rFonts w:cs="Arial"/>
                <w:sz w:val="20"/>
                <w:szCs w:val="20"/>
              </w:rPr>
              <w:t>tailed info on fishing activity from SSFAssn.</w:t>
            </w:r>
          </w:p>
          <w:p w14:paraId="769F04C8" w14:textId="77777777" w:rsidR="00A70030" w:rsidRPr="00C83C0E" w:rsidRDefault="00A70030" w:rsidP="00073385">
            <w:pPr>
              <w:pStyle w:val="ListParagraph0"/>
              <w:numPr>
                <w:ilvl w:val="0"/>
                <w:numId w:val="485"/>
              </w:numPr>
              <w:spacing w:before="60" w:after="60" w:line="240" w:lineRule="auto"/>
              <w:ind w:left="360"/>
              <w:rPr>
                <w:rFonts w:cs="Arial"/>
                <w:sz w:val="20"/>
                <w:szCs w:val="20"/>
              </w:rPr>
            </w:pPr>
            <w:r>
              <w:rPr>
                <w:rFonts w:cs="Arial"/>
                <w:sz w:val="20"/>
                <w:szCs w:val="20"/>
              </w:rPr>
              <w:t xml:space="preserve">A </w:t>
            </w:r>
            <w:r w:rsidRPr="00C83C0E">
              <w:rPr>
                <w:rFonts w:cs="Arial"/>
                <w:sz w:val="20"/>
                <w:szCs w:val="20"/>
              </w:rPr>
              <w:t>discussion on impacts of seismic on sharks and breeding</w:t>
            </w:r>
            <w:r>
              <w:rPr>
                <w:rFonts w:cs="Arial"/>
                <w:sz w:val="20"/>
                <w:szCs w:val="20"/>
              </w:rPr>
              <w:t xml:space="preserve">. CarbonNet said </w:t>
            </w:r>
            <w:r w:rsidRPr="00C83C0E">
              <w:rPr>
                <w:rFonts w:cs="Arial"/>
                <w:sz w:val="20"/>
                <w:szCs w:val="20"/>
              </w:rPr>
              <w:t>it is not expected that shark breeding</w:t>
            </w:r>
            <w:r>
              <w:rPr>
                <w:rFonts w:cs="Arial"/>
                <w:sz w:val="20"/>
                <w:szCs w:val="20"/>
              </w:rPr>
              <w:t xml:space="preserve"> behaviour will be compromised.</w:t>
            </w:r>
          </w:p>
          <w:p w14:paraId="4D875ACD" w14:textId="77777777" w:rsidR="00A70030" w:rsidRPr="00C83C0E" w:rsidRDefault="00A70030" w:rsidP="00073385">
            <w:pPr>
              <w:pStyle w:val="ListParagraph0"/>
              <w:numPr>
                <w:ilvl w:val="0"/>
                <w:numId w:val="485"/>
              </w:numPr>
              <w:spacing w:before="60" w:after="60" w:line="240" w:lineRule="auto"/>
              <w:ind w:left="360"/>
              <w:rPr>
                <w:rFonts w:cs="Arial"/>
                <w:sz w:val="20"/>
                <w:szCs w:val="20"/>
              </w:rPr>
            </w:pPr>
            <w:r>
              <w:rPr>
                <w:rFonts w:cs="Arial"/>
                <w:sz w:val="20"/>
                <w:szCs w:val="20"/>
              </w:rPr>
              <w:t xml:space="preserve">CarbonNet detailed how </w:t>
            </w:r>
            <w:r w:rsidRPr="00C83C0E">
              <w:rPr>
                <w:rFonts w:cs="Arial"/>
                <w:sz w:val="20"/>
                <w:szCs w:val="20"/>
              </w:rPr>
              <w:t>the MSS will comply with best practice</w:t>
            </w:r>
            <w:r>
              <w:rPr>
                <w:rFonts w:cs="Arial"/>
                <w:sz w:val="20"/>
                <w:szCs w:val="20"/>
              </w:rPr>
              <w:t>,</w:t>
            </w:r>
            <w:r w:rsidRPr="00C83C0E">
              <w:rPr>
                <w:rFonts w:cs="Arial"/>
                <w:sz w:val="20"/>
                <w:szCs w:val="20"/>
              </w:rPr>
              <w:t xml:space="preserve"> </w:t>
            </w:r>
            <w:r>
              <w:rPr>
                <w:rFonts w:cs="Arial"/>
                <w:sz w:val="20"/>
                <w:szCs w:val="20"/>
              </w:rPr>
              <w:t xml:space="preserve">including </w:t>
            </w:r>
            <w:r w:rsidRPr="00C83C0E">
              <w:rPr>
                <w:rFonts w:cs="Arial"/>
                <w:sz w:val="20"/>
                <w:szCs w:val="20"/>
              </w:rPr>
              <w:t>relevant industry c</w:t>
            </w:r>
            <w:r>
              <w:rPr>
                <w:rFonts w:cs="Arial"/>
                <w:sz w:val="20"/>
                <w:szCs w:val="20"/>
              </w:rPr>
              <w:t>odes of practice and guidelines.</w:t>
            </w:r>
          </w:p>
          <w:p w14:paraId="5CB344C3" w14:textId="77777777" w:rsidR="00A70030" w:rsidRPr="00C83C0E" w:rsidRDefault="00A70030" w:rsidP="00073385">
            <w:pPr>
              <w:pStyle w:val="ListParagraph0"/>
              <w:numPr>
                <w:ilvl w:val="0"/>
                <w:numId w:val="485"/>
              </w:numPr>
              <w:spacing w:before="60" w:after="60" w:line="240" w:lineRule="auto"/>
              <w:ind w:left="360"/>
              <w:rPr>
                <w:rFonts w:cs="Arial"/>
                <w:sz w:val="20"/>
                <w:szCs w:val="20"/>
              </w:rPr>
            </w:pPr>
            <w:r>
              <w:rPr>
                <w:rFonts w:cs="Arial"/>
                <w:sz w:val="20"/>
                <w:szCs w:val="20"/>
              </w:rPr>
              <w:t>CarbonNet interprets ‘TEP species as ‘</w:t>
            </w:r>
            <w:r w:rsidRPr="00C83C0E">
              <w:rPr>
                <w:rFonts w:cs="Arial"/>
                <w:sz w:val="20"/>
                <w:szCs w:val="20"/>
              </w:rPr>
              <w:t>Threatened Ecological Communities</w:t>
            </w:r>
            <w:r>
              <w:rPr>
                <w:rFonts w:cs="Arial"/>
                <w:sz w:val="20"/>
                <w:szCs w:val="20"/>
              </w:rPr>
              <w:t xml:space="preserve"> (TEC)’. No TEC</w:t>
            </w:r>
            <w:r w:rsidRPr="00C83C0E">
              <w:rPr>
                <w:rFonts w:cs="Arial"/>
                <w:sz w:val="20"/>
                <w:szCs w:val="20"/>
              </w:rPr>
              <w:t xml:space="preserve"> occur in the </w:t>
            </w:r>
            <w:r>
              <w:rPr>
                <w:rFonts w:cs="Arial"/>
                <w:sz w:val="20"/>
                <w:szCs w:val="20"/>
              </w:rPr>
              <w:t>MSS area, and s</w:t>
            </w:r>
            <w:r w:rsidRPr="00C83C0E">
              <w:rPr>
                <w:rFonts w:cs="Arial"/>
                <w:sz w:val="20"/>
                <w:szCs w:val="20"/>
              </w:rPr>
              <w:t xml:space="preserve">uitable habitat for seahorses is scarce. </w:t>
            </w:r>
          </w:p>
          <w:p w14:paraId="6461C1F5" w14:textId="77777777" w:rsidR="00A70030" w:rsidRPr="00C83C0E" w:rsidRDefault="00A70030" w:rsidP="00073385">
            <w:pPr>
              <w:pStyle w:val="ListParagraph0"/>
              <w:numPr>
                <w:ilvl w:val="0"/>
                <w:numId w:val="485"/>
              </w:numPr>
              <w:spacing w:before="60" w:after="60" w:line="240" w:lineRule="auto"/>
              <w:ind w:left="360"/>
              <w:rPr>
                <w:rFonts w:cs="Arial"/>
                <w:sz w:val="20"/>
                <w:szCs w:val="20"/>
              </w:rPr>
            </w:pPr>
            <w:r>
              <w:rPr>
                <w:rFonts w:cs="Arial"/>
                <w:sz w:val="20"/>
                <w:szCs w:val="20"/>
              </w:rPr>
              <w:t xml:space="preserve">Carbonnet  </w:t>
            </w:r>
            <w:r w:rsidRPr="00C83C0E">
              <w:rPr>
                <w:rFonts w:cs="Arial"/>
                <w:sz w:val="20"/>
                <w:szCs w:val="20"/>
              </w:rPr>
              <w:t xml:space="preserve">sought clarification </w:t>
            </w:r>
            <w:r>
              <w:rPr>
                <w:rFonts w:cs="Arial"/>
                <w:sz w:val="20"/>
                <w:szCs w:val="20"/>
              </w:rPr>
              <w:t xml:space="preserve">from SSFAssn </w:t>
            </w:r>
            <w:r w:rsidRPr="00C83C0E">
              <w:rPr>
                <w:rFonts w:cs="Arial"/>
                <w:sz w:val="20"/>
                <w:szCs w:val="20"/>
              </w:rPr>
              <w:t xml:space="preserve">on </w:t>
            </w:r>
            <w:r>
              <w:rPr>
                <w:rFonts w:cs="Arial"/>
                <w:sz w:val="20"/>
                <w:szCs w:val="20"/>
              </w:rPr>
              <w:t xml:space="preserve">its </w:t>
            </w:r>
            <w:r w:rsidRPr="00C83C0E">
              <w:rPr>
                <w:rFonts w:cs="Arial"/>
                <w:sz w:val="20"/>
                <w:szCs w:val="20"/>
              </w:rPr>
              <w:t xml:space="preserve">point regarding acoustic modelling and </w:t>
            </w:r>
            <w:r>
              <w:rPr>
                <w:rFonts w:cs="Arial"/>
                <w:sz w:val="20"/>
                <w:szCs w:val="20"/>
              </w:rPr>
              <w:t>seismic surveys in Bass Strait – CarbonNet is not aware of what this refers to.</w:t>
            </w:r>
          </w:p>
          <w:p w14:paraId="155ABB09" w14:textId="77777777" w:rsidR="00A70030" w:rsidRPr="00C83C0E" w:rsidDel="00F71E42" w:rsidRDefault="00A70030" w:rsidP="00073385">
            <w:pPr>
              <w:pStyle w:val="ListParagraph0"/>
              <w:numPr>
                <w:ilvl w:val="0"/>
                <w:numId w:val="485"/>
              </w:numPr>
              <w:spacing w:before="60" w:after="60" w:line="240" w:lineRule="auto"/>
              <w:ind w:left="360"/>
              <w:rPr>
                <w:rFonts w:cs="Arial"/>
                <w:sz w:val="20"/>
                <w:szCs w:val="20"/>
              </w:rPr>
            </w:pPr>
            <w:r>
              <w:rPr>
                <w:rFonts w:cs="Arial"/>
                <w:sz w:val="20"/>
                <w:szCs w:val="20"/>
              </w:rPr>
              <w:t xml:space="preserve">CarbonNeted </w:t>
            </w:r>
            <w:r w:rsidRPr="00C83C0E">
              <w:rPr>
                <w:rFonts w:cs="Arial"/>
                <w:sz w:val="20"/>
                <w:szCs w:val="20"/>
              </w:rPr>
              <w:t xml:space="preserve">asked if SSFAssn's views were being represented via SIV, SETFIA and LEFCOL and if not sought </w:t>
            </w:r>
            <w:r>
              <w:rPr>
                <w:rFonts w:cs="Arial"/>
                <w:sz w:val="20"/>
                <w:szCs w:val="20"/>
              </w:rPr>
              <w:t xml:space="preserve">clarification on </w:t>
            </w:r>
            <w:r w:rsidRPr="00C83C0E">
              <w:rPr>
                <w:rFonts w:cs="Arial"/>
                <w:sz w:val="20"/>
                <w:szCs w:val="20"/>
              </w:rPr>
              <w:t xml:space="preserve">who </w:t>
            </w:r>
            <w:r>
              <w:rPr>
                <w:rFonts w:cs="Arial"/>
                <w:sz w:val="20"/>
                <w:szCs w:val="20"/>
              </w:rPr>
              <w:t xml:space="preserve">SSFAssn is representing. </w:t>
            </w:r>
          </w:p>
        </w:tc>
        <w:tc>
          <w:tcPr>
            <w:tcW w:w="3802" w:type="dxa"/>
            <w:tcBorders>
              <w:top w:val="single" w:sz="4" w:space="0" w:color="auto"/>
              <w:bottom w:val="single" w:sz="4" w:space="0" w:color="auto"/>
            </w:tcBorders>
            <w:shd w:val="clear" w:color="auto" w:fill="auto"/>
          </w:tcPr>
          <w:p w14:paraId="54C5F261" w14:textId="5412422B" w:rsidR="00A70030" w:rsidDel="00F71E42" w:rsidRDefault="00A70030" w:rsidP="00073385">
            <w:pPr>
              <w:spacing w:before="60" w:after="60" w:line="240" w:lineRule="auto"/>
              <w:ind w:left="0"/>
              <w:rPr>
                <w:rFonts w:cs="Arial"/>
                <w:sz w:val="20"/>
                <w:szCs w:val="20"/>
              </w:rPr>
            </w:pPr>
            <w:r>
              <w:rPr>
                <w:rFonts w:cs="Arial"/>
                <w:sz w:val="20"/>
                <w:szCs w:val="20"/>
              </w:rPr>
              <w:lastRenderedPageBreak/>
              <w:t>N/A</w:t>
            </w:r>
          </w:p>
        </w:tc>
      </w:tr>
      <w:tr w:rsidR="00A70030" w:rsidRPr="00FF0808" w14:paraId="4455B70D" w14:textId="77777777" w:rsidTr="00905C82">
        <w:trPr>
          <w:trHeight w:val="590"/>
        </w:trPr>
        <w:tc>
          <w:tcPr>
            <w:tcW w:w="1427" w:type="dxa"/>
            <w:tcBorders>
              <w:top w:val="nil"/>
              <w:bottom w:val="nil"/>
            </w:tcBorders>
            <w:shd w:val="clear" w:color="auto" w:fill="auto"/>
          </w:tcPr>
          <w:p w14:paraId="46428481"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0E234FD"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1178583" w14:textId="77777777" w:rsidR="00A70030" w:rsidDel="00F71E42" w:rsidRDefault="00A70030" w:rsidP="00073385">
            <w:pPr>
              <w:spacing w:before="60" w:after="60" w:line="240" w:lineRule="auto"/>
              <w:ind w:left="0"/>
              <w:rPr>
                <w:rFonts w:cs="Arial"/>
                <w:sz w:val="20"/>
                <w:szCs w:val="20"/>
              </w:rPr>
            </w:pPr>
            <w:r>
              <w:rPr>
                <w:rFonts w:cs="Arial"/>
                <w:sz w:val="20"/>
                <w:szCs w:val="20"/>
              </w:rPr>
              <w:t>29/6/17</w:t>
            </w:r>
          </w:p>
        </w:tc>
        <w:tc>
          <w:tcPr>
            <w:tcW w:w="6335" w:type="dxa"/>
            <w:tcBorders>
              <w:top w:val="single" w:sz="4" w:space="0" w:color="auto"/>
              <w:bottom w:val="single" w:sz="4" w:space="0" w:color="auto"/>
            </w:tcBorders>
            <w:shd w:val="clear" w:color="auto" w:fill="auto"/>
          </w:tcPr>
          <w:p w14:paraId="7E699D85" w14:textId="77777777" w:rsidR="00A70030" w:rsidRDefault="00A70030" w:rsidP="00073385">
            <w:pPr>
              <w:spacing w:before="60" w:after="60" w:line="240" w:lineRule="auto"/>
              <w:ind w:left="0"/>
              <w:rPr>
                <w:rFonts w:cs="Arial"/>
                <w:sz w:val="20"/>
                <w:szCs w:val="20"/>
              </w:rPr>
            </w:pPr>
            <w:r>
              <w:rPr>
                <w:rFonts w:cs="Arial"/>
                <w:sz w:val="20"/>
                <w:szCs w:val="20"/>
              </w:rPr>
              <w:t>CarbonNet received letter via email from SSFAssn which confirmed they are representing the Gillnet and Hook Shark Fishers.</w:t>
            </w:r>
          </w:p>
          <w:p w14:paraId="34CD0617" w14:textId="77777777" w:rsidR="00A70030" w:rsidRDefault="00A70030" w:rsidP="00073385">
            <w:pPr>
              <w:spacing w:before="60" w:after="60" w:line="240" w:lineRule="auto"/>
              <w:ind w:left="0"/>
              <w:rPr>
                <w:rFonts w:cs="Arial"/>
                <w:sz w:val="20"/>
                <w:szCs w:val="20"/>
              </w:rPr>
            </w:pPr>
            <w:r>
              <w:rPr>
                <w:rFonts w:cs="Arial"/>
                <w:sz w:val="20"/>
                <w:szCs w:val="20"/>
              </w:rPr>
              <w:t>The letter raised the following issues:</w:t>
            </w:r>
          </w:p>
          <w:p w14:paraId="386F7ACB" w14:textId="77777777" w:rsidR="00A70030" w:rsidRDefault="00A70030" w:rsidP="00073385">
            <w:pPr>
              <w:pStyle w:val="ListParagraph0"/>
              <w:numPr>
                <w:ilvl w:val="0"/>
                <w:numId w:val="500"/>
              </w:numPr>
              <w:spacing w:before="60" w:after="60" w:line="240" w:lineRule="auto"/>
              <w:rPr>
                <w:rFonts w:cs="Arial"/>
                <w:sz w:val="20"/>
                <w:szCs w:val="20"/>
              </w:rPr>
            </w:pPr>
            <w:r w:rsidRPr="00F71E42">
              <w:rPr>
                <w:rFonts w:cs="Arial"/>
                <w:sz w:val="20"/>
                <w:szCs w:val="20"/>
              </w:rPr>
              <w:t>The SSFAssn is concerned that an area identified collaboratively for stock recovery of sharks by</w:t>
            </w:r>
            <w:r>
              <w:rPr>
                <w:rFonts w:cs="Arial"/>
                <w:sz w:val="20"/>
                <w:szCs w:val="20"/>
              </w:rPr>
              <w:t xml:space="preserve"> </w:t>
            </w:r>
            <w:r w:rsidRPr="00F71E42">
              <w:rPr>
                <w:rFonts w:cs="Arial"/>
                <w:sz w:val="20"/>
                <w:szCs w:val="20"/>
              </w:rPr>
              <w:t xml:space="preserve">fisheries </w:t>
            </w:r>
            <w:r>
              <w:rPr>
                <w:rFonts w:cs="Arial"/>
                <w:sz w:val="20"/>
                <w:szCs w:val="20"/>
              </w:rPr>
              <w:t>management</w:t>
            </w:r>
            <w:r w:rsidRPr="00F71E42">
              <w:rPr>
                <w:rFonts w:cs="Arial"/>
                <w:sz w:val="20"/>
                <w:szCs w:val="20"/>
              </w:rPr>
              <w:t xml:space="preserve"> and the fishing sector is being</w:t>
            </w:r>
            <w:r>
              <w:rPr>
                <w:rFonts w:cs="Arial"/>
                <w:sz w:val="20"/>
                <w:szCs w:val="20"/>
              </w:rPr>
              <w:t xml:space="preserve"> </w:t>
            </w:r>
            <w:r w:rsidRPr="00F71E42">
              <w:rPr>
                <w:rFonts w:cs="Arial"/>
                <w:sz w:val="20"/>
                <w:szCs w:val="20"/>
              </w:rPr>
              <w:t>considered for a seismic survey.</w:t>
            </w:r>
          </w:p>
          <w:p w14:paraId="27C6A0CE" w14:textId="77777777" w:rsidR="00A70030" w:rsidRDefault="00A70030" w:rsidP="00073385">
            <w:pPr>
              <w:pStyle w:val="ListParagraph0"/>
              <w:numPr>
                <w:ilvl w:val="0"/>
                <w:numId w:val="500"/>
              </w:numPr>
              <w:spacing w:before="60" w:after="60" w:line="240" w:lineRule="auto"/>
              <w:rPr>
                <w:rFonts w:cs="Arial"/>
                <w:sz w:val="20"/>
                <w:szCs w:val="20"/>
              </w:rPr>
            </w:pPr>
            <w:r>
              <w:rPr>
                <w:rFonts w:cs="Arial"/>
                <w:sz w:val="20"/>
                <w:szCs w:val="20"/>
              </w:rPr>
              <w:t>The SSFAssn understands that sharks, crustaceans and bivalves are all sensititive to particle motion.</w:t>
            </w:r>
          </w:p>
          <w:p w14:paraId="0A13B743" w14:textId="77777777" w:rsidR="00A70030" w:rsidRDefault="00A70030" w:rsidP="00073385">
            <w:pPr>
              <w:pStyle w:val="ListParagraph0"/>
              <w:numPr>
                <w:ilvl w:val="0"/>
                <w:numId w:val="500"/>
              </w:numPr>
              <w:spacing w:before="60" w:after="60" w:line="240" w:lineRule="auto"/>
              <w:rPr>
                <w:rFonts w:cs="Arial"/>
                <w:sz w:val="20"/>
                <w:szCs w:val="20"/>
              </w:rPr>
            </w:pPr>
            <w:r>
              <w:rPr>
                <w:rFonts w:cs="Arial"/>
                <w:sz w:val="20"/>
                <w:szCs w:val="20"/>
              </w:rPr>
              <w:t>The SSFAssn believes that CarbonNet and the Victorian Government should display leading practice.</w:t>
            </w:r>
          </w:p>
          <w:p w14:paraId="316A3033" w14:textId="77777777" w:rsidR="00A70030" w:rsidRDefault="00A70030" w:rsidP="00073385">
            <w:pPr>
              <w:pStyle w:val="ListParagraph0"/>
              <w:numPr>
                <w:ilvl w:val="0"/>
                <w:numId w:val="500"/>
              </w:numPr>
              <w:spacing w:before="60" w:after="60" w:line="240" w:lineRule="auto"/>
              <w:rPr>
                <w:rFonts w:cs="Arial"/>
                <w:sz w:val="20"/>
                <w:szCs w:val="20"/>
              </w:rPr>
            </w:pPr>
            <w:r w:rsidRPr="00784697">
              <w:rPr>
                <w:rFonts w:cs="Arial"/>
                <w:sz w:val="20"/>
                <w:szCs w:val="20"/>
              </w:rPr>
              <w:t>The SSFAssn recommended CarbonNet adopt adopt methodology from the IUCN document ‘Effective planning strategies for managing environmental risk associated with</w:t>
            </w:r>
            <w:r>
              <w:rPr>
                <w:rFonts w:cs="Arial"/>
                <w:sz w:val="20"/>
                <w:szCs w:val="20"/>
              </w:rPr>
              <w:t xml:space="preserve"> </w:t>
            </w:r>
            <w:r w:rsidRPr="00784697">
              <w:rPr>
                <w:rFonts w:cs="Arial"/>
                <w:sz w:val="20"/>
                <w:szCs w:val="20"/>
              </w:rPr>
              <w:t>geophysical and other imaging surveys’ by Nowacek</w:t>
            </w:r>
            <w:r>
              <w:rPr>
                <w:rFonts w:cs="Arial"/>
                <w:sz w:val="20"/>
                <w:szCs w:val="20"/>
              </w:rPr>
              <w:t xml:space="preserve"> </w:t>
            </w:r>
            <w:r w:rsidRPr="00F71E42">
              <w:rPr>
                <w:rFonts w:cs="Arial"/>
                <w:sz w:val="20"/>
                <w:szCs w:val="20"/>
              </w:rPr>
              <w:t>and Southall (2016).</w:t>
            </w:r>
          </w:p>
          <w:p w14:paraId="51C7EA78" w14:textId="77777777" w:rsidR="00A70030" w:rsidRDefault="00A70030" w:rsidP="00073385">
            <w:pPr>
              <w:pStyle w:val="ListParagraph0"/>
              <w:numPr>
                <w:ilvl w:val="0"/>
                <w:numId w:val="500"/>
              </w:numPr>
              <w:spacing w:before="60" w:after="60" w:line="240" w:lineRule="auto"/>
              <w:rPr>
                <w:rFonts w:cs="Arial"/>
                <w:sz w:val="20"/>
                <w:szCs w:val="20"/>
              </w:rPr>
            </w:pPr>
            <w:r w:rsidRPr="00784697">
              <w:rPr>
                <w:rFonts w:cs="Arial"/>
                <w:sz w:val="20"/>
                <w:szCs w:val="20"/>
              </w:rPr>
              <w:t xml:space="preserve">The SSFAssn recommended CarbonNet conduct ‘validation’ or </w:t>
            </w:r>
            <w:r w:rsidRPr="00784697">
              <w:rPr>
                <w:rFonts w:cs="Arial"/>
                <w:sz w:val="20"/>
                <w:szCs w:val="20"/>
              </w:rPr>
              <w:lastRenderedPageBreak/>
              <w:t>‘ground truthing’ of sound from the survey, an analysis of catch rates and species abundance</w:t>
            </w:r>
            <w:r>
              <w:rPr>
                <w:rFonts w:cs="Arial"/>
                <w:sz w:val="20"/>
                <w:szCs w:val="20"/>
              </w:rPr>
              <w:t xml:space="preserve">, including </w:t>
            </w:r>
            <w:r w:rsidRPr="00784697">
              <w:rPr>
                <w:rFonts w:cs="Arial"/>
                <w:sz w:val="20"/>
                <w:szCs w:val="20"/>
              </w:rPr>
              <w:t>sharks tagged with acoustic tags.</w:t>
            </w:r>
            <w:r>
              <w:rPr>
                <w:rFonts w:cs="Arial"/>
                <w:sz w:val="20"/>
                <w:szCs w:val="20"/>
              </w:rPr>
              <w:t xml:space="preserve"> They also said while particle motion  and </w:t>
            </w:r>
            <w:r w:rsidRPr="00784697">
              <w:rPr>
                <w:rFonts w:cs="Arial"/>
                <w:sz w:val="20"/>
                <w:szCs w:val="20"/>
              </w:rPr>
              <w:t>acceleration may be</w:t>
            </w:r>
            <w:r>
              <w:rPr>
                <w:rFonts w:cs="Arial"/>
                <w:sz w:val="20"/>
                <w:szCs w:val="20"/>
              </w:rPr>
              <w:t xml:space="preserve"> </w:t>
            </w:r>
            <w:r w:rsidRPr="00784697">
              <w:rPr>
                <w:rFonts w:cs="Arial"/>
                <w:sz w:val="20"/>
                <w:szCs w:val="20"/>
              </w:rPr>
              <w:t>modelled, it must be measured directly.</w:t>
            </w:r>
          </w:p>
          <w:p w14:paraId="7D7AE48B" w14:textId="77777777" w:rsidR="00A70030" w:rsidRDefault="00A70030" w:rsidP="00073385">
            <w:pPr>
              <w:pStyle w:val="ListParagraph0"/>
              <w:numPr>
                <w:ilvl w:val="0"/>
                <w:numId w:val="500"/>
              </w:numPr>
              <w:spacing w:before="60" w:after="60" w:line="240" w:lineRule="auto"/>
              <w:rPr>
                <w:rFonts w:cs="Arial"/>
                <w:sz w:val="20"/>
                <w:szCs w:val="20"/>
              </w:rPr>
            </w:pPr>
            <w:r w:rsidRPr="00784697">
              <w:rPr>
                <w:rFonts w:cs="Arial"/>
                <w:sz w:val="20"/>
                <w:szCs w:val="20"/>
              </w:rPr>
              <w:t xml:space="preserve">The SSFAssn requested CarbonNet consider the recent work </w:t>
            </w:r>
            <w:r>
              <w:rPr>
                <w:rFonts w:cs="Arial"/>
                <w:sz w:val="20"/>
                <w:szCs w:val="20"/>
              </w:rPr>
              <w:t xml:space="preserve">on seismic surveys </w:t>
            </w:r>
            <w:r w:rsidRPr="00784697">
              <w:rPr>
                <w:rFonts w:cs="Arial"/>
                <w:sz w:val="20"/>
                <w:szCs w:val="20"/>
              </w:rPr>
              <w:t>completed by the NZ Department of Conservatio</w:t>
            </w:r>
            <w:r>
              <w:rPr>
                <w:rFonts w:cs="Arial"/>
                <w:sz w:val="20"/>
                <w:szCs w:val="20"/>
              </w:rPr>
              <w:t>n Technical Working Group (link to this work was provided).</w:t>
            </w:r>
          </w:p>
          <w:p w14:paraId="6E9E985D" w14:textId="77777777" w:rsidR="00A70030" w:rsidRDefault="00A70030" w:rsidP="00073385">
            <w:pPr>
              <w:pStyle w:val="ListParagraph0"/>
              <w:numPr>
                <w:ilvl w:val="0"/>
                <w:numId w:val="500"/>
              </w:numPr>
              <w:spacing w:before="60" w:after="60" w:line="240" w:lineRule="auto"/>
              <w:rPr>
                <w:rFonts w:cs="Arial"/>
                <w:sz w:val="20"/>
                <w:szCs w:val="20"/>
              </w:rPr>
            </w:pPr>
            <w:r w:rsidRPr="00784697">
              <w:rPr>
                <w:rFonts w:cs="Arial"/>
                <w:sz w:val="20"/>
                <w:szCs w:val="20"/>
              </w:rPr>
              <w:t>The SSFAssn notes seismic surveys are yet to be</w:t>
            </w:r>
            <w:r>
              <w:rPr>
                <w:rFonts w:cs="Arial"/>
                <w:sz w:val="20"/>
                <w:szCs w:val="20"/>
              </w:rPr>
              <w:t xml:space="preserve"> </w:t>
            </w:r>
            <w:r w:rsidRPr="00784697">
              <w:rPr>
                <w:rFonts w:cs="Arial"/>
                <w:sz w:val="20"/>
                <w:szCs w:val="20"/>
              </w:rPr>
              <w:t>eliminated as a potential cause of spinal damage in</w:t>
            </w:r>
            <w:r>
              <w:rPr>
                <w:rFonts w:cs="Arial"/>
                <w:sz w:val="20"/>
                <w:szCs w:val="20"/>
              </w:rPr>
              <w:t xml:space="preserve"> </w:t>
            </w:r>
            <w:r w:rsidRPr="00784697">
              <w:rPr>
                <w:rFonts w:cs="Arial"/>
                <w:sz w:val="20"/>
                <w:szCs w:val="20"/>
              </w:rPr>
              <w:t>sharks.</w:t>
            </w:r>
          </w:p>
          <w:p w14:paraId="554808F7" w14:textId="77777777" w:rsidR="00A70030" w:rsidRDefault="00A70030" w:rsidP="00073385">
            <w:pPr>
              <w:pStyle w:val="ListParagraph0"/>
              <w:numPr>
                <w:ilvl w:val="0"/>
                <w:numId w:val="500"/>
              </w:numPr>
              <w:spacing w:before="60" w:after="60" w:line="240" w:lineRule="auto"/>
              <w:rPr>
                <w:rFonts w:cs="Arial"/>
                <w:sz w:val="20"/>
                <w:szCs w:val="20"/>
              </w:rPr>
            </w:pPr>
            <w:r w:rsidRPr="00784697">
              <w:rPr>
                <w:rFonts w:cs="Arial"/>
                <w:sz w:val="20"/>
                <w:szCs w:val="20"/>
              </w:rPr>
              <w:t xml:space="preserve">The SSFAssn would like to know </w:t>
            </w:r>
            <w:r>
              <w:rPr>
                <w:rFonts w:cs="Arial"/>
                <w:sz w:val="20"/>
                <w:szCs w:val="20"/>
              </w:rPr>
              <w:t xml:space="preserve">whether </w:t>
            </w:r>
            <w:r w:rsidRPr="00784697">
              <w:rPr>
                <w:rFonts w:cs="Arial"/>
                <w:sz w:val="20"/>
                <w:szCs w:val="20"/>
              </w:rPr>
              <w:t>regional and</w:t>
            </w:r>
            <w:r>
              <w:rPr>
                <w:rFonts w:cs="Arial"/>
                <w:sz w:val="20"/>
                <w:szCs w:val="20"/>
              </w:rPr>
              <w:t xml:space="preserve"> </w:t>
            </w:r>
            <w:r w:rsidRPr="00784697">
              <w:rPr>
                <w:rFonts w:cs="Arial"/>
                <w:sz w:val="20"/>
                <w:szCs w:val="20"/>
              </w:rPr>
              <w:t xml:space="preserve">temporal cumulative noise impacts </w:t>
            </w:r>
            <w:r>
              <w:rPr>
                <w:rFonts w:cs="Arial"/>
                <w:sz w:val="20"/>
                <w:szCs w:val="20"/>
              </w:rPr>
              <w:t xml:space="preserve">will be </w:t>
            </w:r>
            <w:r w:rsidRPr="00784697">
              <w:rPr>
                <w:rFonts w:cs="Arial"/>
                <w:sz w:val="20"/>
                <w:szCs w:val="20"/>
              </w:rPr>
              <w:t>considered</w:t>
            </w:r>
            <w:r>
              <w:rPr>
                <w:rFonts w:cs="Arial"/>
                <w:sz w:val="20"/>
                <w:szCs w:val="20"/>
              </w:rPr>
              <w:t xml:space="preserve"> </w:t>
            </w:r>
            <w:r w:rsidRPr="00784697">
              <w:rPr>
                <w:rFonts w:cs="Arial"/>
                <w:sz w:val="20"/>
                <w:szCs w:val="20"/>
              </w:rPr>
              <w:t>and included in the modelling?</w:t>
            </w:r>
          </w:p>
          <w:p w14:paraId="478CDC33" w14:textId="77777777" w:rsidR="00A70030" w:rsidRPr="00C83C0E" w:rsidDel="00F71E42" w:rsidRDefault="00A70030" w:rsidP="00073385">
            <w:pPr>
              <w:pStyle w:val="ListParagraph0"/>
              <w:numPr>
                <w:ilvl w:val="0"/>
                <w:numId w:val="500"/>
              </w:numPr>
              <w:spacing w:before="60" w:after="60" w:line="240" w:lineRule="auto"/>
              <w:rPr>
                <w:rFonts w:cs="Arial"/>
                <w:sz w:val="20"/>
                <w:szCs w:val="20"/>
              </w:rPr>
            </w:pPr>
            <w:r>
              <w:rPr>
                <w:rFonts w:cs="Arial"/>
                <w:sz w:val="20"/>
                <w:szCs w:val="20"/>
              </w:rPr>
              <w:t>The SSFAssn asked whether CarbonNet will need to conduct future seismic surveys and how often they will occur. The SSFAssn stated this is a cumulative impact, which places responsibility on CarbonNet to display leading practice, detailing monitoring during the survey and evaluation post-survey.</w:t>
            </w:r>
          </w:p>
        </w:tc>
        <w:tc>
          <w:tcPr>
            <w:tcW w:w="3802" w:type="dxa"/>
            <w:tcBorders>
              <w:top w:val="single" w:sz="4" w:space="0" w:color="auto"/>
              <w:bottom w:val="single" w:sz="4" w:space="0" w:color="auto"/>
            </w:tcBorders>
            <w:shd w:val="clear" w:color="auto" w:fill="auto"/>
          </w:tcPr>
          <w:p w14:paraId="01E85CA9" w14:textId="77777777" w:rsidR="00A70030" w:rsidRDefault="00A70030" w:rsidP="00073385">
            <w:pPr>
              <w:spacing w:before="60" w:after="60" w:line="240" w:lineRule="auto"/>
              <w:ind w:left="0"/>
              <w:rPr>
                <w:rFonts w:cs="Arial"/>
                <w:sz w:val="20"/>
                <w:szCs w:val="20"/>
              </w:rPr>
            </w:pPr>
            <w:r>
              <w:rPr>
                <w:rFonts w:cs="Arial"/>
                <w:sz w:val="20"/>
                <w:szCs w:val="20"/>
              </w:rPr>
              <w:lastRenderedPageBreak/>
              <w:t>CarbonNet responded to concerns on 3/8/17:</w:t>
            </w:r>
          </w:p>
          <w:p w14:paraId="4A37617D" w14:textId="77777777" w:rsidR="00A70030" w:rsidRDefault="00A70030" w:rsidP="00073385">
            <w:pPr>
              <w:spacing w:before="60" w:after="60" w:line="240" w:lineRule="auto"/>
              <w:ind w:left="0"/>
              <w:rPr>
                <w:rFonts w:cs="Arial"/>
                <w:sz w:val="20"/>
                <w:szCs w:val="20"/>
              </w:rPr>
            </w:pPr>
          </w:p>
          <w:p w14:paraId="49A3C4B0" w14:textId="77777777" w:rsidR="00A70030" w:rsidRDefault="00A70030" w:rsidP="00073385">
            <w:pPr>
              <w:pStyle w:val="ListParagraph0"/>
              <w:numPr>
                <w:ilvl w:val="0"/>
                <w:numId w:val="499"/>
              </w:numPr>
              <w:spacing w:before="60" w:after="60" w:line="240" w:lineRule="auto"/>
              <w:rPr>
                <w:rFonts w:cs="Arial"/>
                <w:sz w:val="20"/>
                <w:szCs w:val="20"/>
              </w:rPr>
            </w:pPr>
            <w:r w:rsidRPr="00612C8F">
              <w:rPr>
                <w:rFonts w:cs="Arial"/>
                <w:sz w:val="20"/>
                <w:szCs w:val="20"/>
              </w:rPr>
              <w:t xml:space="preserve">CarbonNet has not been advised </w:t>
            </w:r>
            <w:r>
              <w:rPr>
                <w:rFonts w:cs="Arial"/>
                <w:sz w:val="20"/>
                <w:szCs w:val="20"/>
              </w:rPr>
              <w:t xml:space="preserve">by fishing regulators or associations </w:t>
            </w:r>
            <w:r w:rsidRPr="00612C8F">
              <w:rPr>
                <w:rFonts w:cs="Arial"/>
                <w:sz w:val="20"/>
                <w:szCs w:val="20"/>
              </w:rPr>
              <w:t>of any areas within the proposed MSS area is</w:t>
            </w:r>
            <w:r>
              <w:rPr>
                <w:rFonts w:cs="Arial"/>
                <w:sz w:val="20"/>
                <w:szCs w:val="20"/>
              </w:rPr>
              <w:t xml:space="preserve"> </w:t>
            </w:r>
            <w:r w:rsidRPr="00612C8F">
              <w:rPr>
                <w:rFonts w:cs="Arial"/>
                <w:sz w:val="20"/>
                <w:szCs w:val="20"/>
              </w:rPr>
              <w:t>nominated as an area of stock recovery for sharks</w:t>
            </w:r>
            <w:r>
              <w:rPr>
                <w:rFonts w:cs="Arial"/>
                <w:sz w:val="20"/>
                <w:szCs w:val="20"/>
              </w:rPr>
              <w:t>.</w:t>
            </w:r>
          </w:p>
          <w:p w14:paraId="2ABD8156" w14:textId="77777777" w:rsidR="00A70030" w:rsidRDefault="00A70030" w:rsidP="00073385">
            <w:pPr>
              <w:pStyle w:val="ListParagraph0"/>
              <w:numPr>
                <w:ilvl w:val="0"/>
                <w:numId w:val="499"/>
              </w:numPr>
              <w:spacing w:before="60" w:after="60" w:line="240" w:lineRule="auto"/>
              <w:rPr>
                <w:rFonts w:cs="Arial"/>
                <w:sz w:val="20"/>
                <w:szCs w:val="20"/>
              </w:rPr>
            </w:pPr>
            <w:r>
              <w:rPr>
                <w:rFonts w:cs="Arial"/>
                <w:sz w:val="20"/>
                <w:szCs w:val="20"/>
              </w:rPr>
              <w:t>Provided information from draft EP on the sensitivity of sharks to particle motion.</w:t>
            </w:r>
          </w:p>
          <w:p w14:paraId="43177B36" w14:textId="77777777" w:rsidR="00A70030" w:rsidRDefault="00A70030" w:rsidP="00073385">
            <w:pPr>
              <w:pStyle w:val="ListParagraph0"/>
              <w:numPr>
                <w:ilvl w:val="0"/>
                <w:numId w:val="499"/>
              </w:numPr>
              <w:spacing w:before="60" w:after="60" w:line="240" w:lineRule="auto"/>
              <w:rPr>
                <w:rFonts w:cs="Arial"/>
                <w:sz w:val="20"/>
                <w:szCs w:val="20"/>
              </w:rPr>
            </w:pPr>
            <w:r>
              <w:rPr>
                <w:rFonts w:cs="Arial"/>
                <w:sz w:val="20"/>
                <w:szCs w:val="20"/>
              </w:rPr>
              <w:t>CarbonNet agrees that we should follow best practice and belieives its environmental impact assessment is best practice.</w:t>
            </w:r>
          </w:p>
          <w:p w14:paraId="76DE9E94" w14:textId="77777777" w:rsidR="00A70030" w:rsidRDefault="00A70030" w:rsidP="00073385">
            <w:pPr>
              <w:pStyle w:val="ListParagraph0"/>
              <w:numPr>
                <w:ilvl w:val="0"/>
                <w:numId w:val="499"/>
              </w:numPr>
              <w:spacing w:before="60" w:after="60" w:line="240" w:lineRule="auto"/>
              <w:rPr>
                <w:rFonts w:cs="Arial"/>
                <w:sz w:val="20"/>
                <w:szCs w:val="20"/>
              </w:rPr>
            </w:pPr>
            <w:r>
              <w:rPr>
                <w:rFonts w:cs="Arial"/>
                <w:sz w:val="20"/>
                <w:szCs w:val="20"/>
              </w:rPr>
              <w:t xml:space="preserve">The IUCN document referenced </w:t>
            </w:r>
            <w:r>
              <w:rPr>
                <w:rFonts w:cs="Arial"/>
                <w:sz w:val="20"/>
                <w:szCs w:val="20"/>
              </w:rPr>
              <w:lastRenderedPageBreak/>
              <w:t>focuses on marine mammals. CarbonNet said we are adopting mitigation and monitoring measures and is committed to evaluating and improving environmental risk management.</w:t>
            </w:r>
          </w:p>
          <w:p w14:paraId="55769D68" w14:textId="77777777" w:rsidR="00A70030" w:rsidRDefault="00A70030" w:rsidP="00073385">
            <w:pPr>
              <w:pStyle w:val="ListParagraph0"/>
              <w:numPr>
                <w:ilvl w:val="0"/>
                <w:numId w:val="499"/>
              </w:numPr>
              <w:spacing w:before="60" w:after="60" w:line="240" w:lineRule="auto"/>
              <w:rPr>
                <w:rFonts w:cs="Arial"/>
                <w:sz w:val="20"/>
                <w:szCs w:val="20"/>
              </w:rPr>
            </w:pPr>
            <w:r w:rsidRPr="00612C8F">
              <w:rPr>
                <w:rFonts w:cs="Arial"/>
                <w:sz w:val="20"/>
                <w:szCs w:val="20"/>
              </w:rPr>
              <w:t>Given CarbonNet has a detailed understanding of the areas of ecological sensitivity and substrate types from our marine environmental assessment conducted in April 2017, and seafloor topography (Vic Gov LiDar) the need for such validation</w:t>
            </w:r>
            <w:r>
              <w:rPr>
                <w:rFonts w:cs="Arial"/>
                <w:sz w:val="20"/>
                <w:szCs w:val="20"/>
              </w:rPr>
              <w:t xml:space="preserve"> </w:t>
            </w:r>
            <w:r w:rsidRPr="00612C8F">
              <w:rPr>
                <w:rFonts w:cs="Arial"/>
                <w:sz w:val="20"/>
                <w:szCs w:val="20"/>
              </w:rPr>
              <w:t>is yet to be established. CarbonNet will continue to consider this as part of</w:t>
            </w:r>
            <w:r>
              <w:rPr>
                <w:rFonts w:cs="Arial"/>
                <w:sz w:val="20"/>
                <w:szCs w:val="20"/>
              </w:rPr>
              <w:t xml:space="preserve"> </w:t>
            </w:r>
            <w:r w:rsidRPr="00612C8F">
              <w:rPr>
                <w:rFonts w:cs="Arial"/>
                <w:sz w:val="20"/>
                <w:szCs w:val="20"/>
              </w:rPr>
              <w:t>preparations for the MSS.</w:t>
            </w:r>
          </w:p>
          <w:p w14:paraId="4281928C" w14:textId="77777777" w:rsidR="00A70030" w:rsidRDefault="00A70030" w:rsidP="00073385">
            <w:pPr>
              <w:pStyle w:val="ListParagraph0"/>
              <w:numPr>
                <w:ilvl w:val="0"/>
                <w:numId w:val="499"/>
              </w:numPr>
              <w:spacing w:before="60" w:after="60" w:line="240" w:lineRule="auto"/>
              <w:rPr>
                <w:rFonts w:cs="Arial"/>
                <w:sz w:val="20"/>
                <w:szCs w:val="20"/>
              </w:rPr>
            </w:pPr>
            <w:r w:rsidRPr="00612C8F">
              <w:rPr>
                <w:rFonts w:cs="Arial"/>
                <w:sz w:val="20"/>
                <w:szCs w:val="20"/>
              </w:rPr>
              <w:t>Due to the proposal to work outside the key migration periods for pygmy blue,</w:t>
            </w:r>
            <w:r>
              <w:rPr>
                <w:rFonts w:cs="Arial"/>
                <w:sz w:val="20"/>
                <w:szCs w:val="20"/>
              </w:rPr>
              <w:t xml:space="preserve"> </w:t>
            </w:r>
            <w:r w:rsidRPr="00612C8F">
              <w:rPr>
                <w:rFonts w:cs="Arial"/>
                <w:sz w:val="20"/>
                <w:szCs w:val="20"/>
              </w:rPr>
              <w:t>southern right and humpback whales, CarbonNet has determined that additional</w:t>
            </w:r>
            <w:r>
              <w:rPr>
                <w:rFonts w:cs="Arial"/>
                <w:sz w:val="20"/>
                <w:szCs w:val="20"/>
              </w:rPr>
              <w:t xml:space="preserve"> </w:t>
            </w:r>
            <w:r w:rsidRPr="00612C8F">
              <w:rPr>
                <w:rFonts w:cs="Arial"/>
                <w:sz w:val="20"/>
                <w:szCs w:val="20"/>
              </w:rPr>
              <w:t>controls, such as PAM, is not required for this survey.</w:t>
            </w:r>
          </w:p>
          <w:p w14:paraId="7FDFD0AF" w14:textId="77777777" w:rsidR="00A70030" w:rsidRDefault="00A70030" w:rsidP="00073385">
            <w:pPr>
              <w:pStyle w:val="ListParagraph0"/>
              <w:numPr>
                <w:ilvl w:val="0"/>
                <w:numId w:val="499"/>
              </w:numPr>
              <w:spacing w:before="60" w:after="60" w:line="240" w:lineRule="auto"/>
              <w:rPr>
                <w:rFonts w:cs="Arial"/>
                <w:sz w:val="20"/>
                <w:szCs w:val="20"/>
              </w:rPr>
            </w:pPr>
            <w:r w:rsidRPr="00612C8F">
              <w:rPr>
                <w:rFonts w:cs="Arial"/>
                <w:sz w:val="20"/>
                <w:szCs w:val="20"/>
              </w:rPr>
              <w:t>CarbonNet’s literature review has not found reports of such damage occurring.</w:t>
            </w:r>
          </w:p>
          <w:p w14:paraId="4855C2E2" w14:textId="77777777" w:rsidR="00A70030" w:rsidRDefault="00A70030" w:rsidP="00073385">
            <w:pPr>
              <w:pStyle w:val="ListParagraph0"/>
              <w:numPr>
                <w:ilvl w:val="0"/>
                <w:numId w:val="499"/>
              </w:numPr>
              <w:spacing w:before="60" w:after="60" w:line="240" w:lineRule="auto"/>
              <w:rPr>
                <w:rFonts w:cs="Arial"/>
                <w:sz w:val="20"/>
                <w:szCs w:val="20"/>
              </w:rPr>
            </w:pPr>
            <w:r w:rsidRPr="00612C8F">
              <w:rPr>
                <w:rFonts w:cs="Arial"/>
                <w:sz w:val="20"/>
                <w:szCs w:val="20"/>
              </w:rPr>
              <w:t>CarbonNet is not aware of any other surveys due to occur at the same time as</w:t>
            </w:r>
            <w:r>
              <w:rPr>
                <w:rFonts w:cs="Arial"/>
                <w:sz w:val="20"/>
                <w:szCs w:val="20"/>
              </w:rPr>
              <w:t xml:space="preserve"> </w:t>
            </w:r>
            <w:r w:rsidRPr="00612C8F">
              <w:rPr>
                <w:rFonts w:cs="Arial"/>
                <w:sz w:val="20"/>
                <w:szCs w:val="20"/>
              </w:rPr>
              <w:t>the proposed Pelican 3DMSS.</w:t>
            </w:r>
            <w:r>
              <w:rPr>
                <w:rFonts w:cs="Arial"/>
                <w:sz w:val="20"/>
                <w:szCs w:val="20"/>
              </w:rPr>
              <w:t xml:space="preserve"> Should one arise, CarbonNet has committed that at least a 40 km separation will be maintained.</w:t>
            </w:r>
          </w:p>
          <w:p w14:paraId="1D2234F1" w14:textId="77777777" w:rsidR="00A70030" w:rsidRPr="00C83C0E" w:rsidDel="00F71E42" w:rsidRDefault="00A70030" w:rsidP="00073385">
            <w:pPr>
              <w:pStyle w:val="ListParagraph0"/>
              <w:numPr>
                <w:ilvl w:val="0"/>
                <w:numId w:val="499"/>
              </w:numPr>
              <w:spacing w:before="60" w:after="60" w:line="240" w:lineRule="auto"/>
              <w:rPr>
                <w:rFonts w:cs="Arial"/>
                <w:sz w:val="20"/>
                <w:szCs w:val="20"/>
              </w:rPr>
            </w:pPr>
            <w:r w:rsidRPr="00612C8F">
              <w:rPr>
                <w:rFonts w:cs="Arial"/>
                <w:sz w:val="20"/>
                <w:szCs w:val="20"/>
              </w:rPr>
              <w:t>The use of</w:t>
            </w:r>
            <w:r>
              <w:rPr>
                <w:rFonts w:cs="Arial"/>
                <w:sz w:val="20"/>
                <w:szCs w:val="20"/>
              </w:rPr>
              <w:t xml:space="preserve"> </w:t>
            </w:r>
            <w:r w:rsidRPr="00612C8F">
              <w:rPr>
                <w:rFonts w:cs="Arial"/>
                <w:sz w:val="20"/>
                <w:szCs w:val="20"/>
              </w:rPr>
              <w:t>seismic surveys, along with many other monitoring techniques, are used by CCS</w:t>
            </w:r>
            <w:r>
              <w:rPr>
                <w:rFonts w:cs="Arial"/>
                <w:sz w:val="20"/>
                <w:szCs w:val="20"/>
              </w:rPr>
              <w:t xml:space="preserve"> </w:t>
            </w:r>
            <w:r w:rsidRPr="00612C8F">
              <w:rPr>
                <w:rFonts w:cs="Arial"/>
                <w:sz w:val="20"/>
                <w:szCs w:val="20"/>
              </w:rPr>
              <w:t>projects internationally.</w:t>
            </w:r>
          </w:p>
        </w:tc>
      </w:tr>
      <w:tr w:rsidR="00A70030" w:rsidRPr="00FF0808" w14:paraId="171AC11B" w14:textId="77777777" w:rsidTr="00905C82">
        <w:trPr>
          <w:trHeight w:val="590"/>
        </w:trPr>
        <w:tc>
          <w:tcPr>
            <w:tcW w:w="1427" w:type="dxa"/>
            <w:tcBorders>
              <w:top w:val="nil"/>
              <w:bottom w:val="nil"/>
            </w:tcBorders>
            <w:shd w:val="clear" w:color="auto" w:fill="auto"/>
          </w:tcPr>
          <w:p w14:paraId="275C3BBA"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186C056C"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318B237" w14:textId="77777777" w:rsidR="00A70030" w:rsidDel="00F71E42" w:rsidRDefault="00A70030" w:rsidP="00073385">
            <w:pPr>
              <w:spacing w:before="60" w:after="60" w:line="240" w:lineRule="auto"/>
              <w:ind w:left="0"/>
              <w:rPr>
                <w:rFonts w:cs="Arial"/>
                <w:sz w:val="20"/>
                <w:szCs w:val="20"/>
              </w:rPr>
            </w:pPr>
            <w:r>
              <w:rPr>
                <w:rFonts w:cs="Arial"/>
                <w:sz w:val="20"/>
                <w:szCs w:val="20"/>
              </w:rPr>
              <w:t>1/8/17</w:t>
            </w:r>
          </w:p>
        </w:tc>
        <w:tc>
          <w:tcPr>
            <w:tcW w:w="6335" w:type="dxa"/>
            <w:tcBorders>
              <w:top w:val="single" w:sz="4" w:space="0" w:color="auto"/>
              <w:bottom w:val="single" w:sz="4" w:space="0" w:color="auto"/>
            </w:tcBorders>
            <w:shd w:val="clear" w:color="auto" w:fill="auto"/>
          </w:tcPr>
          <w:p w14:paraId="6579A160" w14:textId="77777777" w:rsidR="00A70030" w:rsidDel="00F71E42" w:rsidRDefault="00A70030" w:rsidP="00073385">
            <w:pPr>
              <w:spacing w:before="60" w:after="60" w:line="240" w:lineRule="auto"/>
              <w:ind w:left="0"/>
              <w:rPr>
                <w:rFonts w:cs="Arial"/>
                <w:sz w:val="20"/>
                <w:szCs w:val="20"/>
              </w:rPr>
            </w:pPr>
            <w:r w:rsidRPr="00F336C9">
              <w:rPr>
                <w:rFonts w:cs="Arial"/>
                <w:sz w:val="20"/>
                <w:szCs w:val="20"/>
              </w:rPr>
              <w:t xml:space="preserve">CarbonNet sent </w:t>
            </w:r>
            <w:r>
              <w:rPr>
                <w:rFonts w:cs="Arial"/>
                <w:sz w:val="20"/>
                <w:szCs w:val="20"/>
              </w:rPr>
              <w:t>SSFAssn</w:t>
            </w:r>
            <w:r w:rsidRPr="00F336C9">
              <w:rPr>
                <w:rFonts w:cs="Arial"/>
                <w:sz w:val="20"/>
                <w:szCs w:val="20"/>
              </w:rPr>
              <w:t xml:space="preserve"> an email with the habitat assessment summary and STLM results, both of which were provided to other commercial fishing industry bodies.</w:t>
            </w:r>
          </w:p>
        </w:tc>
        <w:tc>
          <w:tcPr>
            <w:tcW w:w="3802" w:type="dxa"/>
            <w:tcBorders>
              <w:top w:val="single" w:sz="4" w:space="0" w:color="auto"/>
              <w:bottom w:val="single" w:sz="4" w:space="0" w:color="auto"/>
            </w:tcBorders>
            <w:shd w:val="clear" w:color="auto" w:fill="auto"/>
          </w:tcPr>
          <w:p w14:paraId="0630BEF7" w14:textId="5B8154D2" w:rsidR="00A70030" w:rsidDel="00F71E42"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3C841A1E" w14:textId="77777777" w:rsidTr="00905C82">
        <w:trPr>
          <w:trHeight w:val="590"/>
        </w:trPr>
        <w:tc>
          <w:tcPr>
            <w:tcW w:w="1427" w:type="dxa"/>
            <w:tcBorders>
              <w:top w:val="nil"/>
              <w:bottom w:val="nil"/>
            </w:tcBorders>
            <w:shd w:val="clear" w:color="auto" w:fill="auto"/>
          </w:tcPr>
          <w:p w14:paraId="786EE533"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15BBECD"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7B3A041" w14:textId="77777777" w:rsidR="00A70030" w:rsidRDefault="00A70030" w:rsidP="00073385">
            <w:pPr>
              <w:spacing w:before="60" w:after="60" w:line="240" w:lineRule="auto"/>
              <w:ind w:left="0"/>
              <w:rPr>
                <w:rFonts w:cs="Arial"/>
                <w:sz w:val="20"/>
                <w:szCs w:val="20"/>
              </w:rPr>
            </w:pPr>
            <w:r>
              <w:rPr>
                <w:rFonts w:cs="Arial"/>
                <w:sz w:val="20"/>
                <w:szCs w:val="20"/>
              </w:rPr>
              <w:t>3/8/17</w:t>
            </w:r>
          </w:p>
        </w:tc>
        <w:tc>
          <w:tcPr>
            <w:tcW w:w="6335" w:type="dxa"/>
            <w:tcBorders>
              <w:top w:val="single" w:sz="4" w:space="0" w:color="auto"/>
              <w:bottom w:val="single" w:sz="4" w:space="0" w:color="auto"/>
            </w:tcBorders>
            <w:shd w:val="clear" w:color="auto" w:fill="auto"/>
          </w:tcPr>
          <w:p w14:paraId="5117B906" w14:textId="77777777" w:rsidR="00A70030" w:rsidRDefault="00A70030" w:rsidP="00073385">
            <w:pPr>
              <w:spacing w:before="60" w:after="60" w:line="240" w:lineRule="auto"/>
              <w:ind w:left="0"/>
              <w:rPr>
                <w:rFonts w:cs="Arial"/>
                <w:sz w:val="20"/>
                <w:szCs w:val="20"/>
              </w:rPr>
            </w:pPr>
            <w:r>
              <w:rPr>
                <w:rFonts w:cs="Arial"/>
                <w:sz w:val="20"/>
                <w:szCs w:val="20"/>
              </w:rPr>
              <w:t xml:space="preserve">CarbonNet emailed SSFAssn with relevant extracts from </w:t>
            </w:r>
            <w:r w:rsidRPr="00F336C9">
              <w:rPr>
                <w:rFonts w:cs="Arial"/>
                <w:sz w:val="20"/>
                <w:szCs w:val="20"/>
              </w:rPr>
              <w:t xml:space="preserve">draft </w:t>
            </w:r>
            <w:r>
              <w:rPr>
                <w:rFonts w:cs="Arial"/>
                <w:sz w:val="20"/>
                <w:szCs w:val="20"/>
              </w:rPr>
              <w:t xml:space="preserve">EP </w:t>
            </w:r>
            <w:r w:rsidRPr="00F336C9">
              <w:rPr>
                <w:rFonts w:cs="Arial"/>
                <w:sz w:val="20"/>
                <w:szCs w:val="20"/>
              </w:rPr>
              <w:t xml:space="preserve">risk and impact assessment and responses to </w:t>
            </w:r>
            <w:r>
              <w:rPr>
                <w:rFonts w:cs="Arial"/>
                <w:sz w:val="20"/>
                <w:szCs w:val="20"/>
              </w:rPr>
              <w:t>questions raised (see notes against previous entry).</w:t>
            </w:r>
          </w:p>
          <w:p w14:paraId="3336EAA8" w14:textId="77777777" w:rsidR="00A70030" w:rsidRPr="00AC520F" w:rsidRDefault="00A70030" w:rsidP="00073385">
            <w:pPr>
              <w:spacing w:before="60" w:after="60" w:line="240" w:lineRule="auto"/>
              <w:ind w:left="0"/>
              <w:rPr>
                <w:rFonts w:cs="Arial"/>
                <w:sz w:val="20"/>
                <w:szCs w:val="20"/>
              </w:rPr>
            </w:pPr>
            <w:r w:rsidRPr="008A0C8C">
              <w:rPr>
                <w:rFonts w:cs="Arial"/>
                <w:sz w:val="20"/>
                <w:szCs w:val="20"/>
              </w:rPr>
              <w:t xml:space="preserve">Draft </w:t>
            </w:r>
            <w:r w:rsidRPr="00AC520F">
              <w:rPr>
                <w:rFonts w:cs="Arial"/>
                <w:sz w:val="20"/>
                <w:szCs w:val="20"/>
              </w:rPr>
              <w:t>excerpts provided:</w:t>
            </w:r>
          </w:p>
          <w:p w14:paraId="5CD5051F" w14:textId="77777777" w:rsidR="00A70030" w:rsidRPr="00891DE1" w:rsidRDefault="00A70030" w:rsidP="00073385">
            <w:pPr>
              <w:pStyle w:val="ListParagraph0"/>
              <w:numPr>
                <w:ilvl w:val="0"/>
                <w:numId w:val="498"/>
              </w:numPr>
              <w:spacing w:before="60" w:after="60" w:line="240" w:lineRule="auto"/>
              <w:rPr>
                <w:rFonts w:cs="Arial"/>
                <w:bCs/>
                <w:iCs/>
                <w:sz w:val="20"/>
                <w:szCs w:val="20"/>
              </w:rPr>
            </w:pPr>
            <w:r w:rsidRPr="00AC520F">
              <w:rPr>
                <w:rFonts w:cs="Arial"/>
                <w:sz w:val="20"/>
                <w:szCs w:val="20"/>
              </w:rPr>
              <w:t xml:space="preserve">Summary of Impacts on Marine Fauna </w:t>
            </w:r>
          </w:p>
          <w:p w14:paraId="73326B26" w14:textId="77777777" w:rsidR="00A70030" w:rsidRPr="00891DE1" w:rsidRDefault="00A70030" w:rsidP="00073385">
            <w:pPr>
              <w:pStyle w:val="ListParagraph0"/>
              <w:numPr>
                <w:ilvl w:val="0"/>
                <w:numId w:val="498"/>
              </w:numPr>
              <w:spacing w:before="60" w:after="60" w:line="240" w:lineRule="auto"/>
              <w:rPr>
                <w:rFonts w:cs="Arial"/>
                <w:bCs/>
                <w:iCs/>
                <w:sz w:val="20"/>
                <w:szCs w:val="20"/>
              </w:rPr>
            </w:pPr>
            <w:r w:rsidRPr="008A0C8C">
              <w:rPr>
                <w:rFonts w:cs="Arial"/>
                <w:sz w:val="20"/>
                <w:szCs w:val="20"/>
              </w:rPr>
              <w:t xml:space="preserve">Impacts on Fin Fish </w:t>
            </w:r>
          </w:p>
          <w:p w14:paraId="7045786E" w14:textId="77777777" w:rsidR="00A70030" w:rsidRPr="00891DE1" w:rsidRDefault="00A70030" w:rsidP="00073385">
            <w:pPr>
              <w:pStyle w:val="ListParagraph0"/>
              <w:numPr>
                <w:ilvl w:val="0"/>
                <w:numId w:val="498"/>
              </w:numPr>
              <w:spacing w:before="60" w:after="60" w:line="240" w:lineRule="auto"/>
              <w:rPr>
                <w:rFonts w:cs="Arial"/>
                <w:bCs/>
                <w:iCs/>
                <w:sz w:val="20"/>
                <w:szCs w:val="20"/>
              </w:rPr>
            </w:pPr>
            <w:r w:rsidRPr="008A0C8C">
              <w:rPr>
                <w:rFonts w:cs="Arial"/>
                <w:sz w:val="20"/>
                <w:szCs w:val="20"/>
              </w:rPr>
              <w:t xml:space="preserve">Summary of Risks to Commercial Fisheries </w:t>
            </w:r>
          </w:p>
          <w:p w14:paraId="3429F5E5" w14:textId="77777777" w:rsidR="00A70030" w:rsidRPr="00C83C0E" w:rsidRDefault="00A70030" w:rsidP="00073385">
            <w:pPr>
              <w:pStyle w:val="ListParagraph0"/>
              <w:numPr>
                <w:ilvl w:val="0"/>
                <w:numId w:val="498"/>
              </w:numPr>
              <w:spacing w:before="60" w:after="60" w:line="240" w:lineRule="auto"/>
              <w:rPr>
                <w:rFonts w:cs="Arial"/>
                <w:bCs/>
                <w:iCs/>
                <w:color w:val="45508A"/>
                <w:sz w:val="20"/>
                <w:szCs w:val="20"/>
              </w:rPr>
            </w:pPr>
            <w:r w:rsidRPr="008A0C8C">
              <w:rPr>
                <w:rFonts w:cs="Arial"/>
                <w:sz w:val="20"/>
                <w:szCs w:val="20"/>
              </w:rPr>
              <w:t xml:space="preserve">Risks to Fin </w:t>
            </w:r>
            <w:r w:rsidRPr="00C83C0E">
              <w:rPr>
                <w:rFonts w:cs="Arial"/>
                <w:sz w:val="20"/>
                <w:szCs w:val="20"/>
              </w:rPr>
              <w:t>Fisheries</w:t>
            </w:r>
          </w:p>
          <w:p w14:paraId="48CB1541" w14:textId="77777777" w:rsidR="00A70030" w:rsidRDefault="00A70030" w:rsidP="00073385">
            <w:pPr>
              <w:spacing w:before="60" w:after="60" w:line="240" w:lineRule="auto"/>
              <w:ind w:left="0"/>
              <w:rPr>
                <w:rFonts w:cs="Arial"/>
                <w:sz w:val="20"/>
                <w:szCs w:val="20"/>
              </w:rPr>
            </w:pPr>
          </w:p>
          <w:p w14:paraId="31FB27E5" w14:textId="205CF4AE" w:rsidR="00A70030" w:rsidRPr="00F336C9" w:rsidRDefault="00A70030" w:rsidP="00073385">
            <w:pPr>
              <w:spacing w:before="60" w:after="60" w:line="240" w:lineRule="auto"/>
              <w:ind w:left="0"/>
              <w:rPr>
                <w:rFonts w:cs="Arial"/>
                <w:sz w:val="20"/>
                <w:szCs w:val="20"/>
              </w:rPr>
            </w:pPr>
            <w:r>
              <w:rPr>
                <w:rFonts w:cs="Arial"/>
                <w:sz w:val="20"/>
                <w:szCs w:val="20"/>
              </w:rPr>
              <w:t xml:space="preserve">CarbonNet offered to meet with SSFAssn in Lakes Entrance on 9 August. No response was received. </w:t>
            </w:r>
          </w:p>
        </w:tc>
        <w:tc>
          <w:tcPr>
            <w:tcW w:w="3802" w:type="dxa"/>
            <w:tcBorders>
              <w:top w:val="single" w:sz="4" w:space="0" w:color="auto"/>
              <w:bottom w:val="single" w:sz="4" w:space="0" w:color="auto"/>
            </w:tcBorders>
            <w:shd w:val="clear" w:color="auto" w:fill="auto"/>
          </w:tcPr>
          <w:p w14:paraId="0B364866" w14:textId="0A56007A" w:rsidR="00A70030" w:rsidDel="00F71E42"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6DBFF46" w14:textId="77777777" w:rsidTr="00905C82">
        <w:trPr>
          <w:trHeight w:val="590"/>
        </w:trPr>
        <w:tc>
          <w:tcPr>
            <w:tcW w:w="1427" w:type="dxa"/>
            <w:tcBorders>
              <w:top w:val="nil"/>
              <w:bottom w:val="nil"/>
            </w:tcBorders>
            <w:shd w:val="clear" w:color="auto" w:fill="auto"/>
          </w:tcPr>
          <w:p w14:paraId="32EAB90E"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1CA24DA"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2F4A612" w14:textId="77777777" w:rsidR="00A70030" w:rsidRDefault="00A70030" w:rsidP="00073385">
            <w:pPr>
              <w:spacing w:before="60" w:after="60" w:line="240" w:lineRule="auto"/>
              <w:ind w:left="0"/>
              <w:rPr>
                <w:rFonts w:cs="Arial"/>
                <w:sz w:val="20"/>
                <w:szCs w:val="20"/>
              </w:rPr>
            </w:pPr>
            <w:r>
              <w:rPr>
                <w:rFonts w:cs="Arial"/>
                <w:sz w:val="20"/>
                <w:szCs w:val="20"/>
              </w:rPr>
              <w:t>7/8/17</w:t>
            </w:r>
          </w:p>
        </w:tc>
        <w:tc>
          <w:tcPr>
            <w:tcW w:w="6335" w:type="dxa"/>
            <w:tcBorders>
              <w:top w:val="single" w:sz="4" w:space="0" w:color="auto"/>
              <w:bottom w:val="single" w:sz="4" w:space="0" w:color="auto"/>
            </w:tcBorders>
            <w:shd w:val="clear" w:color="auto" w:fill="auto"/>
          </w:tcPr>
          <w:p w14:paraId="2E93E984" w14:textId="77777777" w:rsidR="00A70030" w:rsidRPr="007E22A1" w:rsidRDefault="00A70030" w:rsidP="00073385">
            <w:pPr>
              <w:spacing w:before="60" w:after="60" w:line="240" w:lineRule="auto"/>
              <w:ind w:left="0"/>
              <w:rPr>
                <w:rFonts w:cs="Arial"/>
                <w:sz w:val="20"/>
                <w:szCs w:val="20"/>
              </w:rPr>
            </w:pPr>
            <w:r w:rsidRPr="007E22A1">
              <w:rPr>
                <w:rFonts w:cs="Arial"/>
                <w:sz w:val="20"/>
                <w:szCs w:val="20"/>
              </w:rPr>
              <w:t xml:space="preserve">CarbonNet sent </w:t>
            </w:r>
            <w:r>
              <w:rPr>
                <w:rFonts w:cs="Arial"/>
                <w:sz w:val="20"/>
                <w:szCs w:val="20"/>
              </w:rPr>
              <w:t>SSFAssn</w:t>
            </w:r>
            <w:r w:rsidRPr="007E22A1">
              <w:rPr>
                <w:rFonts w:cs="Arial"/>
                <w:sz w:val="20"/>
                <w:szCs w:val="20"/>
              </w:rPr>
              <w:t xml:space="preserve"> an email advising that the operational area and duration of survey have now been refined, and that the EP will be submitted in mid-August.</w:t>
            </w:r>
          </w:p>
          <w:p w14:paraId="67160DD1" w14:textId="77777777" w:rsidR="00A70030" w:rsidRPr="007E22A1" w:rsidRDefault="00A70030" w:rsidP="00073385">
            <w:pPr>
              <w:spacing w:before="60" w:after="60" w:line="240" w:lineRule="auto"/>
              <w:ind w:left="0"/>
              <w:rPr>
                <w:rFonts w:cs="Arial"/>
                <w:sz w:val="20"/>
                <w:szCs w:val="20"/>
              </w:rPr>
            </w:pPr>
            <w:r w:rsidRPr="007E22A1">
              <w:rPr>
                <w:rFonts w:cs="Arial"/>
                <w:sz w:val="20"/>
                <w:szCs w:val="20"/>
              </w:rPr>
              <w:t>The email explained that the operational area is now larger due to vessel turns, and provided map with amended operational area, and acquisition area (which is unchanged).</w:t>
            </w:r>
          </w:p>
          <w:p w14:paraId="541CFA58" w14:textId="77777777" w:rsidR="00A70030" w:rsidRDefault="00A70030" w:rsidP="00073385">
            <w:pPr>
              <w:spacing w:before="60" w:after="60" w:line="240" w:lineRule="auto"/>
              <w:ind w:left="0"/>
              <w:rPr>
                <w:rFonts w:cs="Arial"/>
                <w:sz w:val="20"/>
                <w:szCs w:val="20"/>
              </w:rPr>
            </w:pPr>
            <w:r w:rsidRPr="007E22A1">
              <w:rPr>
                <w:rFonts w:cs="Arial"/>
                <w:sz w:val="20"/>
                <w:szCs w:val="20"/>
              </w:rPr>
              <w:t>The survey duration is likely to be 13-16 days but could be up to 27 days depending on final vessel selection.</w:t>
            </w:r>
          </w:p>
        </w:tc>
        <w:tc>
          <w:tcPr>
            <w:tcW w:w="3802" w:type="dxa"/>
            <w:tcBorders>
              <w:top w:val="single" w:sz="4" w:space="0" w:color="auto"/>
              <w:bottom w:val="single" w:sz="4" w:space="0" w:color="auto"/>
            </w:tcBorders>
            <w:shd w:val="clear" w:color="auto" w:fill="auto"/>
          </w:tcPr>
          <w:p w14:paraId="76BCDFA0" w14:textId="29237F12"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14FA9140" w14:textId="77777777" w:rsidTr="00891DE1">
        <w:trPr>
          <w:trHeight w:val="590"/>
        </w:trPr>
        <w:tc>
          <w:tcPr>
            <w:tcW w:w="1427" w:type="dxa"/>
            <w:tcBorders>
              <w:top w:val="nil"/>
              <w:bottom w:val="nil"/>
            </w:tcBorders>
            <w:shd w:val="clear" w:color="auto" w:fill="auto"/>
          </w:tcPr>
          <w:p w14:paraId="00DD0DE7"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B6B18DB"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6A55D68" w14:textId="77777777" w:rsidR="00A70030" w:rsidRDefault="00A70030" w:rsidP="00073385">
            <w:pPr>
              <w:spacing w:before="60" w:after="60" w:line="240" w:lineRule="auto"/>
              <w:ind w:left="0"/>
              <w:rPr>
                <w:rFonts w:cs="Arial"/>
                <w:sz w:val="20"/>
                <w:szCs w:val="20"/>
              </w:rPr>
            </w:pPr>
            <w:r>
              <w:rPr>
                <w:rFonts w:cs="Arial"/>
                <w:sz w:val="20"/>
                <w:szCs w:val="20"/>
              </w:rPr>
              <w:t>10/8/17</w:t>
            </w:r>
          </w:p>
        </w:tc>
        <w:tc>
          <w:tcPr>
            <w:tcW w:w="6335" w:type="dxa"/>
            <w:tcBorders>
              <w:top w:val="single" w:sz="4" w:space="0" w:color="auto"/>
              <w:bottom w:val="single" w:sz="4" w:space="0" w:color="auto"/>
            </w:tcBorders>
            <w:shd w:val="clear" w:color="auto" w:fill="auto"/>
          </w:tcPr>
          <w:p w14:paraId="60FD2789" w14:textId="77777777" w:rsidR="00A70030" w:rsidRPr="00987214" w:rsidRDefault="00A70030" w:rsidP="00073385">
            <w:pPr>
              <w:spacing w:before="60" w:after="60" w:line="240" w:lineRule="auto"/>
              <w:ind w:left="0"/>
              <w:rPr>
                <w:rFonts w:cs="Arial"/>
                <w:sz w:val="20"/>
                <w:szCs w:val="20"/>
              </w:rPr>
            </w:pPr>
            <w:r>
              <w:rPr>
                <w:rFonts w:cs="Arial"/>
                <w:sz w:val="20"/>
                <w:szCs w:val="20"/>
              </w:rPr>
              <w:t xml:space="preserve">CarbonNet received an email from SETFIA passing on some feedback from SSFAssn regarding shark fishing season. SSFAssn commented that </w:t>
            </w:r>
            <w:r w:rsidRPr="00987214">
              <w:rPr>
                <w:rFonts w:cs="Arial"/>
                <w:sz w:val="20"/>
                <w:szCs w:val="20"/>
              </w:rPr>
              <w:t>November-December would be the worst period</w:t>
            </w:r>
            <w:r>
              <w:rPr>
                <w:rFonts w:cs="Arial"/>
                <w:sz w:val="20"/>
                <w:szCs w:val="20"/>
              </w:rPr>
              <w:t xml:space="preserve"> for the MSS and </w:t>
            </w:r>
            <w:r w:rsidRPr="00987214">
              <w:rPr>
                <w:rFonts w:cs="Arial"/>
                <w:sz w:val="20"/>
                <w:szCs w:val="20"/>
              </w:rPr>
              <w:t>agreed that March would be ok.</w:t>
            </w:r>
          </w:p>
          <w:p w14:paraId="125E15A5" w14:textId="77777777" w:rsidR="00A70030" w:rsidRDefault="00A70030" w:rsidP="00073385">
            <w:pPr>
              <w:spacing w:before="60" w:after="60" w:line="240" w:lineRule="auto"/>
              <w:ind w:left="0"/>
              <w:rPr>
                <w:rFonts w:cs="Arial"/>
                <w:sz w:val="20"/>
                <w:szCs w:val="20"/>
              </w:rPr>
            </w:pPr>
            <w:r>
              <w:rPr>
                <w:rFonts w:cs="Arial"/>
                <w:sz w:val="20"/>
                <w:szCs w:val="20"/>
              </w:rPr>
              <w:t xml:space="preserve">SSFAssn </w:t>
            </w:r>
            <w:r w:rsidRPr="00987214">
              <w:rPr>
                <w:rFonts w:cs="Arial"/>
                <w:sz w:val="20"/>
                <w:szCs w:val="20"/>
              </w:rPr>
              <w:t xml:space="preserve">also made the point that </w:t>
            </w:r>
            <w:r>
              <w:rPr>
                <w:rFonts w:cs="Arial"/>
                <w:sz w:val="20"/>
                <w:szCs w:val="20"/>
              </w:rPr>
              <w:t xml:space="preserve">they believe </w:t>
            </w:r>
            <w:r w:rsidRPr="00987214">
              <w:rPr>
                <w:rFonts w:cs="Arial"/>
                <w:sz w:val="20"/>
                <w:szCs w:val="20"/>
              </w:rPr>
              <w:t xml:space="preserve">that seismic surveys have negative environmental consequences and </w:t>
            </w:r>
            <w:r>
              <w:rPr>
                <w:rFonts w:cs="Arial"/>
                <w:sz w:val="20"/>
                <w:szCs w:val="20"/>
              </w:rPr>
              <w:t>their</w:t>
            </w:r>
            <w:r w:rsidRPr="00987214">
              <w:rPr>
                <w:rFonts w:cs="Arial"/>
                <w:sz w:val="20"/>
                <w:szCs w:val="20"/>
              </w:rPr>
              <w:t xml:space="preserve"> preferred timing would be never.</w:t>
            </w:r>
          </w:p>
        </w:tc>
        <w:tc>
          <w:tcPr>
            <w:tcW w:w="3802" w:type="dxa"/>
            <w:tcBorders>
              <w:top w:val="single" w:sz="4" w:space="0" w:color="auto"/>
              <w:bottom w:val="single" w:sz="4" w:space="0" w:color="auto"/>
            </w:tcBorders>
            <w:shd w:val="clear" w:color="auto" w:fill="auto"/>
          </w:tcPr>
          <w:p w14:paraId="3E71208D" w14:textId="77777777" w:rsidR="00A70030" w:rsidRDefault="00A70030" w:rsidP="00073385">
            <w:pPr>
              <w:spacing w:before="60" w:after="60" w:line="240" w:lineRule="auto"/>
              <w:ind w:left="0"/>
              <w:rPr>
                <w:rFonts w:cs="Arial"/>
                <w:sz w:val="20"/>
                <w:szCs w:val="20"/>
              </w:rPr>
            </w:pPr>
            <w:r>
              <w:rPr>
                <w:rFonts w:cs="Arial"/>
                <w:sz w:val="20"/>
                <w:szCs w:val="20"/>
              </w:rPr>
              <w:t>CarbonNet thanked SETFIA for the feedback and advised we will feed the timing preference information in our EP and decision-making processes. CarbonNet offered for SSFAssn to call us to discuss.</w:t>
            </w:r>
          </w:p>
        </w:tc>
      </w:tr>
      <w:tr w:rsidR="00A70030" w:rsidRPr="00FF0808" w14:paraId="03ACB3B0" w14:textId="77777777" w:rsidTr="00905C82">
        <w:trPr>
          <w:trHeight w:val="590"/>
        </w:trPr>
        <w:tc>
          <w:tcPr>
            <w:tcW w:w="1427" w:type="dxa"/>
            <w:tcBorders>
              <w:top w:val="nil"/>
              <w:bottom w:val="single" w:sz="4" w:space="0" w:color="auto"/>
            </w:tcBorders>
            <w:shd w:val="clear" w:color="auto" w:fill="auto"/>
          </w:tcPr>
          <w:p w14:paraId="20AA9F81"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single" w:sz="4" w:space="0" w:color="auto"/>
            </w:tcBorders>
            <w:shd w:val="clear" w:color="auto" w:fill="auto"/>
          </w:tcPr>
          <w:p w14:paraId="4CB5D3A8"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685ABEB" w14:textId="39AA7DC1"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auto"/>
              <w:bottom w:val="single" w:sz="4" w:space="0" w:color="auto"/>
            </w:tcBorders>
            <w:shd w:val="clear" w:color="auto" w:fill="auto"/>
          </w:tcPr>
          <w:p w14:paraId="0121590D" w14:textId="5CA71DCB" w:rsidR="00A70030"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NOPSEMA website for stakeholders to subscribe to updates, and committed to provide a revised fact sheet once a survey vessel has been contracted.</w:t>
            </w:r>
          </w:p>
        </w:tc>
        <w:tc>
          <w:tcPr>
            <w:tcW w:w="3802" w:type="dxa"/>
            <w:tcBorders>
              <w:top w:val="single" w:sz="4" w:space="0" w:color="auto"/>
              <w:bottom w:val="single" w:sz="4" w:space="0" w:color="auto"/>
            </w:tcBorders>
            <w:shd w:val="clear" w:color="auto" w:fill="auto"/>
          </w:tcPr>
          <w:p w14:paraId="7761F2CE" w14:textId="122ED5EE"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175358CB" w14:textId="77777777" w:rsidTr="00905C82">
        <w:trPr>
          <w:trHeight w:val="742"/>
        </w:trPr>
        <w:tc>
          <w:tcPr>
            <w:tcW w:w="1427" w:type="dxa"/>
            <w:vMerge w:val="restart"/>
            <w:tcBorders>
              <w:top w:val="single" w:sz="4" w:space="0" w:color="auto"/>
            </w:tcBorders>
            <w:shd w:val="clear" w:color="auto" w:fill="auto"/>
          </w:tcPr>
          <w:p w14:paraId="6BA2F76C" w14:textId="77777777" w:rsidR="00A70030" w:rsidRPr="003E2F3C" w:rsidRDefault="00A70030" w:rsidP="00073385">
            <w:pPr>
              <w:spacing w:before="60" w:after="60" w:line="240" w:lineRule="auto"/>
              <w:ind w:left="0"/>
              <w:rPr>
                <w:rFonts w:cs="Arial"/>
                <w:sz w:val="20"/>
                <w:szCs w:val="20"/>
              </w:rPr>
            </w:pPr>
            <w:r w:rsidRPr="003E2F3C">
              <w:rPr>
                <w:rFonts w:cs="Arial"/>
                <w:sz w:val="20"/>
                <w:szCs w:val="20"/>
              </w:rPr>
              <w:lastRenderedPageBreak/>
              <w:t>Victorian Scallop Fisherman’s Association (VSFA)</w:t>
            </w:r>
          </w:p>
        </w:tc>
        <w:tc>
          <w:tcPr>
            <w:tcW w:w="1629" w:type="dxa"/>
            <w:vMerge w:val="restart"/>
            <w:tcBorders>
              <w:top w:val="single" w:sz="4" w:space="0" w:color="auto"/>
            </w:tcBorders>
            <w:shd w:val="clear" w:color="auto" w:fill="auto"/>
          </w:tcPr>
          <w:p w14:paraId="65FAECC2" w14:textId="77777777" w:rsidR="00A70030" w:rsidRPr="00FF0808" w:rsidRDefault="00A70030" w:rsidP="00073385">
            <w:pPr>
              <w:spacing w:before="60" w:after="60" w:line="240" w:lineRule="auto"/>
              <w:ind w:left="0"/>
              <w:rPr>
                <w:rFonts w:cs="Arial"/>
                <w:sz w:val="20"/>
                <w:szCs w:val="20"/>
              </w:rPr>
            </w:pPr>
            <w:r>
              <w:rPr>
                <w:rFonts w:cs="Arial"/>
                <w:sz w:val="20"/>
                <w:szCs w:val="20"/>
              </w:rPr>
              <w:t>Represent scallop fishermen who may have activities near proposed acquisition area</w:t>
            </w:r>
          </w:p>
        </w:tc>
        <w:tc>
          <w:tcPr>
            <w:tcW w:w="1055" w:type="dxa"/>
            <w:tcBorders>
              <w:top w:val="single" w:sz="4" w:space="0" w:color="auto"/>
              <w:bottom w:val="single" w:sz="4" w:space="0" w:color="auto"/>
            </w:tcBorders>
          </w:tcPr>
          <w:p w14:paraId="1B02216D" w14:textId="153C0DFD" w:rsidR="00A70030" w:rsidRDefault="00A70030" w:rsidP="00073385">
            <w:pPr>
              <w:spacing w:before="60" w:after="60" w:line="240" w:lineRule="auto"/>
              <w:ind w:left="0"/>
              <w:rPr>
                <w:rFonts w:cs="Arial"/>
                <w:sz w:val="20"/>
                <w:szCs w:val="20"/>
              </w:rPr>
            </w:pPr>
            <w:r>
              <w:rPr>
                <w:rFonts w:cs="Arial"/>
                <w:sz w:val="20"/>
                <w:szCs w:val="20"/>
              </w:rPr>
              <w:t>21/3/17</w:t>
            </w:r>
          </w:p>
        </w:tc>
        <w:tc>
          <w:tcPr>
            <w:tcW w:w="6335" w:type="dxa"/>
            <w:tcBorders>
              <w:top w:val="single" w:sz="4" w:space="0" w:color="auto"/>
              <w:bottom w:val="single" w:sz="4" w:space="0" w:color="auto"/>
            </w:tcBorders>
            <w:shd w:val="clear" w:color="auto" w:fill="auto"/>
          </w:tcPr>
          <w:p w14:paraId="3BC90613" w14:textId="77777777" w:rsidR="00A70030" w:rsidRDefault="00A70030" w:rsidP="00073385">
            <w:pPr>
              <w:spacing w:before="60" w:after="60" w:line="240" w:lineRule="auto"/>
              <w:ind w:left="0"/>
              <w:rPr>
                <w:rFonts w:cs="Arial"/>
                <w:sz w:val="20"/>
                <w:szCs w:val="20"/>
              </w:rPr>
            </w:pPr>
            <w:r>
              <w:rPr>
                <w:rFonts w:cs="Arial"/>
                <w:sz w:val="20"/>
                <w:szCs w:val="20"/>
              </w:rPr>
              <w:t>CarbonNet contacted VSFA via post and with letter that requested a meeting, invited feedback and provided a fact sheet.</w:t>
            </w:r>
          </w:p>
        </w:tc>
        <w:tc>
          <w:tcPr>
            <w:tcW w:w="3802" w:type="dxa"/>
            <w:tcBorders>
              <w:top w:val="single" w:sz="4" w:space="0" w:color="auto"/>
              <w:bottom w:val="single" w:sz="4" w:space="0" w:color="auto"/>
            </w:tcBorders>
            <w:shd w:val="clear" w:color="auto" w:fill="auto"/>
          </w:tcPr>
          <w:p w14:paraId="29FAD893"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D936B52" w14:textId="77777777" w:rsidTr="00646CD8">
        <w:trPr>
          <w:trHeight w:val="417"/>
        </w:trPr>
        <w:tc>
          <w:tcPr>
            <w:tcW w:w="1427" w:type="dxa"/>
            <w:vMerge/>
            <w:shd w:val="clear" w:color="auto" w:fill="auto"/>
          </w:tcPr>
          <w:p w14:paraId="738231F8" w14:textId="77777777" w:rsidR="00A70030" w:rsidRPr="003E2F3C" w:rsidRDefault="00A70030" w:rsidP="00073385">
            <w:pPr>
              <w:spacing w:before="60" w:after="60" w:line="240" w:lineRule="auto"/>
              <w:ind w:left="0"/>
              <w:rPr>
                <w:rFonts w:cs="Arial"/>
                <w:sz w:val="20"/>
                <w:szCs w:val="20"/>
              </w:rPr>
            </w:pPr>
          </w:p>
        </w:tc>
        <w:tc>
          <w:tcPr>
            <w:tcW w:w="1629" w:type="dxa"/>
            <w:vMerge/>
            <w:shd w:val="clear" w:color="auto" w:fill="auto"/>
          </w:tcPr>
          <w:p w14:paraId="64C3E935"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AD688AB" w14:textId="77777777" w:rsidR="00A70030" w:rsidRDefault="00A70030" w:rsidP="00073385">
            <w:pPr>
              <w:spacing w:before="60" w:after="60" w:line="240" w:lineRule="auto"/>
              <w:ind w:left="0"/>
              <w:rPr>
                <w:rFonts w:cs="Arial"/>
                <w:sz w:val="20"/>
                <w:szCs w:val="20"/>
              </w:rPr>
            </w:pPr>
            <w:r>
              <w:rPr>
                <w:rFonts w:cs="Arial"/>
                <w:sz w:val="20"/>
                <w:szCs w:val="20"/>
              </w:rPr>
              <w:t>3/4/17</w:t>
            </w:r>
          </w:p>
          <w:p w14:paraId="2345EFF9"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4D13F3DB" w14:textId="77777777" w:rsidR="00A70030" w:rsidRDefault="00A70030" w:rsidP="00073385">
            <w:pPr>
              <w:spacing w:before="60" w:after="60" w:line="240" w:lineRule="auto"/>
              <w:ind w:left="0"/>
              <w:rPr>
                <w:rFonts w:cs="Arial"/>
                <w:sz w:val="20"/>
                <w:szCs w:val="20"/>
              </w:rPr>
            </w:pPr>
            <w:r>
              <w:rPr>
                <w:rFonts w:cs="Arial"/>
                <w:sz w:val="20"/>
                <w:szCs w:val="20"/>
              </w:rPr>
              <w:t>CarbonNet tried to call number listed on AFMA website, phone rang out.</w:t>
            </w:r>
          </w:p>
        </w:tc>
        <w:tc>
          <w:tcPr>
            <w:tcW w:w="3802" w:type="dxa"/>
            <w:tcBorders>
              <w:top w:val="single" w:sz="4" w:space="0" w:color="auto"/>
              <w:bottom w:val="single" w:sz="4" w:space="0" w:color="auto"/>
            </w:tcBorders>
            <w:shd w:val="clear" w:color="auto" w:fill="auto"/>
          </w:tcPr>
          <w:p w14:paraId="117EEE94"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505B7EE2" w14:textId="77777777" w:rsidTr="00905C82">
        <w:trPr>
          <w:trHeight w:val="497"/>
        </w:trPr>
        <w:tc>
          <w:tcPr>
            <w:tcW w:w="1427" w:type="dxa"/>
            <w:vMerge/>
            <w:tcBorders>
              <w:bottom w:val="nil"/>
            </w:tcBorders>
            <w:shd w:val="clear" w:color="auto" w:fill="auto"/>
          </w:tcPr>
          <w:p w14:paraId="2B89148A" w14:textId="77777777" w:rsidR="00A70030" w:rsidRPr="003E2F3C"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44E5AD40"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A345627" w14:textId="77777777" w:rsidR="00A70030" w:rsidRDefault="00A70030" w:rsidP="00073385">
            <w:pPr>
              <w:spacing w:before="60" w:after="60" w:line="240" w:lineRule="auto"/>
              <w:ind w:left="0"/>
              <w:rPr>
                <w:rFonts w:cs="Arial"/>
                <w:sz w:val="20"/>
                <w:szCs w:val="20"/>
              </w:rPr>
            </w:pPr>
            <w:r>
              <w:rPr>
                <w:rFonts w:cs="Arial"/>
                <w:sz w:val="20"/>
                <w:szCs w:val="20"/>
              </w:rPr>
              <w:t>4/4/17</w:t>
            </w:r>
          </w:p>
          <w:p w14:paraId="04D9F136"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38074C54" w14:textId="77777777" w:rsidR="00A70030" w:rsidRDefault="00A70030" w:rsidP="00073385">
            <w:pPr>
              <w:spacing w:before="60" w:after="60" w:line="240" w:lineRule="auto"/>
              <w:ind w:left="0"/>
              <w:rPr>
                <w:rFonts w:cs="Arial"/>
                <w:sz w:val="20"/>
                <w:szCs w:val="20"/>
              </w:rPr>
            </w:pPr>
            <w:r>
              <w:rPr>
                <w:rFonts w:cs="Arial"/>
                <w:sz w:val="20"/>
                <w:szCs w:val="20"/>
              </w:rPr>
              <w:t>CarbonNet found email address for VSFA and sent letter and fact sheet via email.</w:t>
            </w:r>
          </w:p>
        </w:tc>
        <w:tc>
          <w:tcPr>
            <w:tcW w:w="3802" w:type="dxa"/>
            <w:tcBorders>
              <w:top w:val="single" w:sz="4" w:space="0" w:color="auto"/>
              <w:bottom w:val="single" w:sz="4" w:space="0" w:color="auto"/>
            </w:tcBorders>
            <w:shd w:val="clear" w:color="auto" w:fill="auto"/>
          </w:tcPr>
          <w:p w14:paraId="0B0816B3"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745C7D42" w14:textId="77777777" w:rsidTr="00905C82">
        <w:trPr>
          <w:trHeight w:val="717"/>
        </w:trPr>
        <w:tc>
          <w:tcPr>
            <w:tcW w:w="1427" w:type="dxa"/>
            <w:tcBorders>
              <w:top w:val="nil"/>
              <w:bottom w:val="nil"/>
            </w:tcBorders>
            <w:shd w:val="clear" w:color="auto" w:fill="auto"/>
          </w:tcPr>
          <w:p w14:paraId="611F843C"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1120CD5D"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2731AEA" w14:textId="77777777" w:rsidR="00A70030" w:rsidRDefault="00A70030" w:rsidP="00073385">
            <w:pPr>
              <w:spacing w:before="60" w:after="60" w:line="240" w:lineRule="auto"/>
              <w:ind w:left="0"/>
              <w:rPr>
                <w:rFonts w:cs="Arial"/>
                <w:sz w:val="20"/>
                <w:szCs w:val="20"/>
              </w:rPr>
            </w:pPr>
            <w:r>
              <w:rPr>
                <w:rFonts w:cs="Arial"/>
                <w:sz w:val="20"/>
                <w:szCs w:val="20"/>
              </w:rPr>
              <w:t>19/4/17</w:t>
            </w:r>
          </w:p>
        </w:tc>
        <w:tc>
          <w:tcPr>
            <w:tcW w:w="6335" w:type="dxa"/>
            <w:tcBorders>
              <w:top w:val="single" w:sz="4" w:space="0" w:color="auto"/>
              <w:bottom w:val="single" w:sz="4" w:space="0" w:color="auto"/>
            </w:tcBorders>
            <w:shd w:val="clear" w:color="auto" w:fill="auto"/>
          </w:tcPr>
          <w:p w14:paraId="04DC4A58" w14:textId="77777777" w:rsidR="00A70030" w:rsidRDefault="00A70030" w:rsidP="00073385">
            <w:pPr>
              <w:spacing w:before="60" w:after="60" w:line="240" w:lineRule="auto"/>
              <w:ind w:left="0"/>
              <w:rPr>
                <w:rFonts w:cs="Arial"/>
                <w:sz w:val="20"/>
                <w:szCs w:val="20"/>
              </w:rPr>
            </w:pPr>
            <w:r>
              <w:rPr>
                <w:rFonts w:cs="Arial"/>
                <w:sz w:val="20"/>
                <w:szCs w:val="20"/>
              </w:rPr>
              <w:t>CarbonNet attempted to call, phone number rang out and there was no message facility. Issued a follow up email requesting a meeting in Lakes Entrance.</w:t>
            </w:r>
          </w:p>
        </w:tc>
        <w:tc>
          <w:tcPr>
            <w:tcW w:w="3802" w:type="dxa"/>
            <w:tcBorders>
              <w:top w:val="single" w:sz="4" w:space="0" w:color="auto"/>
              <w:bottom w:val="single" w:sz="4" w:space="0" w:color="auto"/>
            </w:tcBorders>
            <w:shd w:val="clear" w:color="auto" w:fill="auto"/>
          </w:tcPr>
          <w:p w14:paraId="121CC273"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7A362901" w14:textId="77777777" w:rsidTr="00905C82">
        <w:trPr>
          <w:trHeight w:val="410"/>
        </w:trPr>
        <w:tc>
          <w:tcPr>
            <w:tcW w:w="1427" w:type="dxa"/>
            <w:tcBorders>
              <w:top w:val="nil"/>
              <w:bottom w:val="nil"/>
            </w:tcBorders>
            <w:shd w:val="clear" w:color="auto" w:fill="auto"/>
          </w:tcPr>
          <w:p w14:paraId="1B3E31C2"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C079ECB"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B6397E2" w14:textId="77777777" w:rsidR="00A70030" w:rsidRDefault="00A70030" w:rsidP="00073385">
            <w:pPr>
              <w:spacing w:before="60" w:after="60" w:line="240" w:lineRule="auto"/>
              <w:ind w:left="0"/>
              <w:rPr>
                <w:rFonts w:cs="Arial"/>
                <w:sz w:val="20"/>
                <w:szCs w:val="20"/>
              </w:rPr>
            </w:pPr>
            <w:r>
              <w:rPr>
                <w:rFonts w:cs="Arial"/>
                <w:sz w:val="20"/>
                <w:szCs w:val="20"/>
              </w:rPr>
              <w:t>19/4/17</w:t>
            </w:r>
          </w:p>
          <w:p w14:paraId="06C66D2E"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05573A68" w14:textId="77777777" w:rsidR="00A70030" w:rsidRDefault="00A70030" w:rsidP="00073385">
            <w:pPr>
              <w:spacing w:before="60" w:after="60" w:line="240" w:lineRule="auto"/>
              <w:ind w:left="0"/>
              <w:rPr>
                <w:rFonts w:cs="Arial"/>
                <w:sz w:val="20"/>
                <w:szCs w:val="20"/>
              </w:rPr>
            </w:pPr>
            <w:r>
              <w:rPr>
                <w:rFonts w:cs="Arial"/>
                <w:sz w:val="20"/>
                <w:szCs w:val="20"/>
              </w:rPr>
              <w:t>CarbonNet received a phone call from VSFA to arrange meeting in Lakes Entrance. VSFA would like to discuss:</w:t>
            </w:r>
          </w:p>
          <w:p w14:paraId="7E686033" w14:textId="77777777" w:rsidR="00A70030" w:rsidRDefault="00A70030" w:rsidP="00073385">
            <w:pPr>
              <w:pStyle w:val="ListParagraph0"/>
              <w:numPr>
                <w:ilvl w:val="0"/>
                <w:numId w:val="457"/>
              </w:numPr>
              <w:spacing w:before="60" w:after="60" w:line="240" w:lineRule="auto"/>
              <w:rPr>
                <w:rFonts w:cs="Arial"/>
                <w:sz w:val="20"/>
                <w:szCs w:val="20"/>
              </w:rPr>
            </w:pPr>
            <w:r>
              <w:rPr>
                <w:rFonts w:cs="Arial"/>
                <w:sz w:val="20"/>
                <w:szCs w:val="20"/>
              </w:rPr>
              <w:t>CarbonNet’s EP submission timeframes.</w:t>
            </w:r>
          </w:p>
          <w:p w14:paraId="053F7C1E" w14:textId="77777777" w:rsidR="00A70030" w:rsidRDefault="00A70030" w:rsidP="00073385">
            <w:pPr>
              <w:pStyle w:val="ListParagraph0"/>
              <w:numPr>
                <w:ilvl w:val="0"/>
                <w:numId w:val="457"/>
              </w:numPr>
              <w:spacing w:before="60" w:after="60" w:line="240" w:lineRule="auto"/>
              <w:rPr>
                <w:rFonts w:cs="Arial"/>
                <w:sz w:val="20"/>
                <w:szCs w:val="20"/>
              </w:rPr>
            </w:pPr>
            <w:r>
              <w:rPr>
                <w:rFonts w:cs="Arial"/>
                <w:sz w:val="20"/>
                <w:szCs w:val="20"/>
              </w:rPr>
              <w:t>Details on the seismic source – how many decibels.</w:t>
            </w:r>
          </w:p>
          <w:p w14:paraId="7E954145" w14:textId="798BF444" w:rsidR="00A70030" w:rsidRPr="00905C82" w:rsidRDefault="00A70030" w:rsidP="00905C82">
            <w:pPr>
              <w:pStyle w:val="ListParagraph0"/>
              <w:numPr>
                <w:ilvl w:val="0"/>
                <w:numId w:val="457"/>
              </w:numPr>
              <w:spacing w:before="60" w:after="60" w:line="240" w:lineRule="auto"/>
              <w:rPr>
                <w:rFonts w:cs="Arial"/>
                <w:sz w:val="20"/>
                <w:szCs w:val="20"/>
              </w:rPr>
            </w:pPr>
            <w:r>
              <w:rPr>
                <w:rFonts w:cs="Arial"/>
                <w:sz w:val="20"/>
                <w:szCs w:val="20"/>
              </w:rPr>
              <w:t>Juvenile scallop beds in MSS area.</w:t>
            </w:r>
          </w:p>
        </w:tc>
        <w:tc>
          <w:tcPr>
            <w:tcW w:w="3802" w:type="dxa"/>
            <w:tcBorders>
              <w:top w:val="single" w:sz="4" w:space="0" w:color="auto"/>
              <w:bottom w:val="single" w:sz="4" w:space="0" w:color="auto"/>
            </w:tcBorders>
            <w:shd w:val="clear" w:color="auto" w:fill="auto"/>
          </w:tcPr>
          <w:p w14:paraId="3EF5E3EF" w14:textId="0926DEA6"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1AF8DF07" w14:textId="77777777" w:rsidTr="00905C82">
        <w:trPr>
          <w:trHeight w:val="970"/>
        </w:trPr>
        <w:tc>
          <w:tcPr>
            <w:tcW w:w="1427" w:type="dxa"/>
            <w:tcBorders>
              <w:top w:val="nil"/>
              <w:bottom w:val="nil"/>
            </w:tcBorders>
            <w:shd w:val="clear" w:color="auto" w:fill="auto"/>
          </w:tcPr>
          <w:p w14:paraId="0ACFFBC2"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7FA06A2"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DDD67CA" w14:textId="77777777" w:rsidR="00A70030" w:rsidRDefault="00A70030" w:rsidP="00073385">
            <w:pPr>
              <w:spacing w:before="60" w:after="60" w:line="240" w:lineRule="auto"/>
              <w:ind w:left="0"/>
              <w:rPr>
                <w:rFonts w:cs="Arial"/>
                <w:sz w:val="20"/>
                <w:szCs w:val="20"/>
              </w:rPr>
            </w:pPr>
            <w:r>
              <w:rPr>
                <w:rFonts w:cs="Arial"/>
                <w:sz w:val="20"/>
                <w:szCs w:val="20"/>
              </w:rPr>
              <w:t>26/4/17</w:t>
            </w:r>
          </w:p>
        </w:tc>
        <w:tc>
          <w:tcPr>
            <w:tcW w:w="6335" w:type="dxa"/>
            <w:tcBorders>
              <w:top w:val="single" w:sz="4" w:space="0" w:color="auto"/>
              <w:bottom w:val="single" w:sz="4" w:space="0" w:color="auto"/>
            </w:tcBorders>
            <w:shd w:val="clear" w:color="auto" w:fill="auto"/>
          </w:tcPr>
          <w:p w14:paraId="31E3A2A6" w14:textId="77777777" w:rsidR="00A70030" w:rsidRPr="009B351D" w:rsidRDefault="00A70030" w:rsidP="00073385">
            <w:pPr>
              <w:spacing w:before="60" w:after="60" w:line="240" w:lineRule="auto"/>
              <w:ind w:left="0"/>
              <w:rPr>
                <w:rFonts w:cs="Arial"/>
                <w:sz w:val="20"/>
                <w:szCs w:val="20"/>
              </w:rPr>
            </w:pPr>
            <w:r>
              <w:rPr>
                <w:rFonts w:cs="Arial"/>
                <w:sz w:val="20"/>
                <w:szCs w:val="20"/>
              </w:rPr>
              <w:t xml:space="preserve">CarbonNet met with four members and representatives of VSFA in Lakes Entrance and provided an outline of the project and MSS. </w:t>
            </w:r>
            <w:r w:rsidRPr="009B351D">
              <w:rPr>
                <w:rFonts w:cs="Arial"/>
                <w:sz w:val="20"/>
                <w:szCs w:val="20"/>
              </w:rPr>
              <w:t>VSFA expressed a clear view</w:t>
            </w:r>
            <w:r>
              <w:rPr>
                <w:rFonts w:cs="Arial"/>
                <w:sz w:val="20"/>
                <w:szCs w:val="20"/>
              </w:rPr>
              <w:t xml:space="preserve"> </w:t>
            </w:r>
            <w:r w:rsidRPr="009B351D">
              <w:rPr>
                <w:rFonts w:cs="Arial"/>
                <w:sz w:val="20"/>
                <w:szCs w:val="20"/>
              </w:rPr>
              <w:t>that seismic surveys impact sca</w:t>
            </w:r>
            <w:r>
              <w:rPr>
                <w:rFonts w:cs="Arial"/>
                <w:sz w:val="20"/>
                <w:szCs w:val="20"/>
              </w:rPr>
              <w:t>llops and the scallop industry.</w:t>
            </w:r>
          </w:p>
          <w:p w14:paraId="04E3944C" w14:textId="77777777" w:rsidR="00A70030" w:rsidRPr="009B351D" w:rsidRDefault="00A70030" w:rsidP="00073385">
            <w:pPr>
              <w:spacing w:before="60" w:after="60" w:line="240" w:lineRule="auto"/>
              <w:ind w:left="0"/>
              <w:rPr>
                <w:rFonts w:cs="Arial"/>
                <w:sz w:val="20"/>
                <w:szCs w:val="20"/>
              </w:rPr>
            </w:pPr>
            <w:r w:rsidRPr="009B351D">
              <w:rPr>
                <w:rFonts w:cs="Arial"/>
                <w:sz w:val="20"/>
                <w:szCs w:val="20"/>
              </w:rPr>
              <w:t xml:space="preserve">VSFA stated that </w:t>
            </w:r>
            <w:r>
              <w:rPr>
                <w:rFonts w:cs="Arial"/>
                <w:sz w:val="20"/>
                <w:szCs w:val="20"/>
              </w:rPr>
              <w:t xml:space="preserve">it has developed and </w:t>
            </w:r>
            <w:r w:rsidRPr="009B351D">
              <w:rPr>
                <w:rFonts w:cs="Arial"/>
                <w:sz w:val="20"/>
                <w:szCs w:val="20"/>
              </w:rPr>
              <w:t>adopted a Scallop Management Plan</w:t>
            </w:r>
            <w:r>
              <w:rPr>
                <w:rFonts w:cs="Arial"/>
                <w:sz w:val="20"/>
                <w:szCs w:val="20"/>
              </w:rPr>
              <w:t xml:space="preserve"> (commercial-in-confidence)</w:t>
            </w:r>
            <w:r w:rsidRPr="009B351D">
              <w:rPr>
                <w:rFonts w:cs="Arial"/>
                <w:sz w:val="20"/>
                <w:szCs w:val="20"/>
              </w:rPr>
              <w:t>, which operates outs</w:t>
            </w:r>
            <w:r>
              <w:rPr>
                <w:rFonts w:cs="Arial"/>
                <w:sz w:val="20"/>
                <w:szCs w:val="20"/>
              </w:rPr>
              <w:t>ide of the regulatory framework.</w:t>
            </w:r>
          </w:p>
          <w:p w14:paraId="29BCE0DB" w14:textId="77777777" w:rsidR="00A70030" w:rsidRPr="009B351D" w:rsidRDefault="00A70030" w:rsidP="00073385">
            <w:pPr>
              <w:spacing w:before="60" w:after="60" w:line="240" w:lineRule="auto"/>
              <w:ind w:left="0"/>
              <w:rPr>
                <w:rFonts w:cs="Arial"/>
                <w:sz w:val="20"/>
                <w:szCs w:val="20"/>
              </w:rPr>
            </w:pPr>
            <w:r w:rsidRPr="009B351D">
              <w:rPr>
                <w:rFonts w:cs="Arial"/>
                <w:sz w:val="20"/>
                <w:szCs w:val="20"/>
              </w:rPr>
              <w:t>VSFA indicated that a significant scallop bed was in the area of the survey</w:t>
            </w:r>
            <w:r>
              <w:rPr>
                <w:rFonts w:cs="Arial"/>
                <w:sz w:val="20"/>
                <w:szCs w:val="20"/>
              </w:rPr>
              <w:t>,</w:t>
            </w:r>
            <w:r w:rsidRPr="009B351D">
              <w:rPr>
                <w:rFonts w:cs="Arial"/>
                <w:sz w:val="20"/>
                <w:szCs w:val="20"/>
              </w:rPr>
              <w:t xml:space="preserve"> which fishers are intending to harvest from next seaso</w:t>
            </w:r>
            <w:r>
              <w:rPr>
                <w:rFonts w:cs="Arial"/>
                <w:sz w:val="20"/>
                <w:szCs w:val="20"/>
              </w:rPr>
              <w:t>n (2018).</w:t>
            </w:r>
          </w:p>
          <w:p w14:paraId="1773A8BB" w14:textId="5083C862" w:rsidR="00A70030" w:rsidRDefault="00A70030" w:rsidP="00073385">
            <w:pPr>
              <w:spacing w:before="60" w:after="60" w:line="240" w:lineRule="auto"/>
              <w:ind w:left="0"/>
              <w:rPr>
                <w:rFonts w:cs="Arial"/>
                <w:sz w:val="20"/>
                <w:szCs w:val="20"/>
              </w:rPr>
            </w:pPr>
            <w:r w:rsidRPr="009B351D">
              <w:rPr>
                <w:rFonts w:cs="Arial"/>
                <w:sz w:val="20"/>
                <w:szCs w:val="20"/>
              </w:rPr>
              <w:t>VSFA expressed a willingness to work with CarbonNet to conduct a scallop stock assessment to determine where scallop beds are</w:t>
            </w:r>
            <w:r>
              <w:rPr>
                <w:rFonts w:cs="Arial"/>
                <w:sz w:val="20"/>
                <w:szCs w:val="20"/>
              </w:rPr>
              <w:t>.</w:t>
            </w:r>
          </w:p>
          <w:p w14:paraId="4B1CD2A4" w14:textId="77777777" w:rsidR="00A70030" w:rsidRPr="009B351D" w:rsidRDefault="00A70030" w:rsidP="00073385">
            <w:pPr>
              <w:spacing w:before="60" w:after="60" w:line="240" w:lineRule="auto"/>
              <w:ind w:left="0"/>
              <w:rPr>
                <w:rFonts w:cs="Arial"/>
                <w:sz w:val="20"/>
                <w:szCs w:val="20"/>
              </w:rPr>
            </w:pPr>
            <w:r>
              <w:rPr>
                <w:rFonts w:cs="Arial"/>
                <w:sz w:val="20"/>
                <w:szCs w:val="20"/>
              </w:rPr>
              <w:t xml:space="preserve">CarbonNet advised VSFA that </w:t>
            </w:r>
            <w:r w:rsidRPr="009B351D">
              <w:rPr>
                <w:rFonts w:cs="Arial"/>
                <w:sz w:val="20"/>
                <w:szCs w:val="20"/>
              </w:rPr>
              <w:t xml:space="preserve">the preliminary results from a marine environmental assessment </w:t>
            </w:r>
            <w:r>
              <w:rPr>
                <w:rFonts w:cs="Arial"/>
                <w:sz w:val="20"/>
                <w:szCs w:val="20"/>
              </w:rPr>
              <w:t xml:space="preserve">in the proposed acquisition area commissioned by CarbonNet </w:t>
            </w:r>
            <w:r w:rsidRPr="009B351D">
              <w:rPr>
                <w:rFonts w:cs="Arial"/>
                <w:sz w:val="20"/>
                <w:szCs w:val="20"/>
              </w:rPr>
              <w:t xml:space="preserve">indicated a limited number of scallops were observed in two of over sixty locations in the </w:t>
            </w:r>
            <w:r>
              <w:rPr>
                <w:rFonts w:cs="Arial"/>
                <w:sz w:val="20"/>
                <w:szCs w:val="20"/>
              </w:rPr>
              <w:t>habitat assessment</w:t>
            </w:r>
            <w:r w:rsidRPr="009B351D">
              <w:rPr>
                <w:rFonts w:cs="Arial"/>
                <w:sz w:val="20"/>
                <w:szCs w:val="20"/>
              </w:rPr>
              <w:t xml:space="preserve"> area</w:t>
            </w:r>
            <w:r>
              <w:rPr>
                <w:rFonts w:cs="Arial"/>
                <w:sz w:val="20"/>
                <w:szCs w:val="20"/>
              </w:rPr>
              <w:t>.</w:t>
            </w:r>
            <w:r w:rsidRPr="009B351D">
              <w:rPr>
                <w:rFonts w:cs="Arial"/>
                <w:sz w:val="20"/>
                <w:szCs w:val="20"/>
              </w:rPr>
              <w:t xml:space="preserve">  </w:t>
            </w:r>
          </w:p>
          <w:p w14:paraId="2BC9CD13" w14:textId="77777777" w:rsidR="00A70030" w:rsidRPr="009B351D" w:rsidRDefault="00A70030" w:rsidP="00073385">
            <w:pPr>
              <w:spacing w:before="60" w:after="60" w:line="240" w:lineRule="auto"/>
              <w:ind w:left="0"/>
              <w:rPr>
                <w:rFonts w:cs="Arial"/>
                <w:sz w:val="20"/>
                <w:szCs w:val="20"/>
              </w:rPr>
            </w:pPr>
            <w:r w:rsidRPr="009B351D">
              <w:rPr>
                <w:rFonts w:cs="Arial"/>
                <w:sz w:val="20"/>
                <w:szCs w:val="20"/>
              </w:rPr>
              <w:lastRenderedPageBreak/>
              <w:t xml:space="preserve">CarbonNet undertook to consider options to work collaboratively with VSFA and </w:t>
            </w:r>
            <w:r>
              <w:rPr>
                <w:rFonts w:cs="Arial"/>
                <w:sz w:val="20"/>
                <w:szCs w:val="20"/>
              </w:rPr>
              <w:t>present these for consideration.</w:t>
            </w:r>
          </w:p>
          <w:p w14:paraId="10F2194A" w14:textId="33384937" w:rsidR="00A70030" w:rsidRDefault="00A70030" w:rsidP="00073385">
            <w:pPr>
              <w:spacing w:before="60" w:after="60" w:line="240" w:lineRule="auto"/>
              <w:ind w:left="0"/>
              <w:rPr>
                <w:rFonts w:cs="Arial"/>
                <w:sz w:val="20"/>
                <w:szCs w:val="20"/>
              </w:rPr>
            </w:pPr>
            <w:r w:rsidRPr="009B351D">
              <w:rPr>
                <w:rFonts w:cs="Arial"/>
                <w:sz w:val="20"/>
                <w:szCs w:val="20"/>
              </w:rPr>
              <w:t xml:space="preserve">CarbonNet undertook to provide further information about the proposed </w:t>
            </w:r>
            <w:r>
              <w:rPr>
                <w:rFonts w:cs="Arial"/>
                <w:sz w:val="20"/>
                <w:szCs w:val="20"/>
              </w:rPr>
              <w:t>MSS</w:t>
            </w:r>
            <w:r w:rsidRPr="009B351D">
              <w:rPr>
                <w:rFonts w:cs="Arial"/>
                <w:sz w:val="20"/>
                <w:szCs w:val="20"/>
              </w:rPr>
              <w:t xml:space="preserve"> and </w:t>
            </w:r>
            <w:r>
              <w:rPr>
                <w:rFonts w:cs="Arial"/>
                <w:sz w:val="20"/>
                <w:szCs w:val="20"/>
              </w:rPr>
              <w:t xml:space="preserve">to </w:t>
            </w:r>
            <w:r w:rsidRPr="009B351D">
              <w:rPr>
                <w:rFonts w:cs="Arial"/>
                <w:sz w:val="20"/>
                <w:szCs w:val="20"/>
              </w:rPr>
              <w:t>meet again with the VSFA in May.</w:t>
            </w:r>
          </w:p>
        </w:tc>
        <w:tc>
          <w:tcPr>
            <w:tcW w:w="3802" w:type="dxa"/>
            <w:tcBorders>
              <w:top w:val="single" w:sz="4" w:space="0" w:color="auto"/>
              <w:bottom w:val="single" w:sz="4" w:space="0" w:color="auto"/>
            </w:tcBorders>
            <w:shd w:val="clear" w:color="auto" w:fill="auto"/>
          </w:tcPr>
          <w:p w14:paraId="32C0F34A" w14:textId="77777777" w:rsidR="00A70030" w:rsidRDefault="00A70030" w:rsidP="00073385">
            <w:pPr>
              <w:spacing w:before="60" w:after="60" w:line="240" w:lineRule="auto"/>
              <w:ind w:left="0"/>
              <w:rPr>
                <w:rFonts w:cs="Arial"/>
                <w:sz w:val="20"/>
                <w:szCs w:val="20"/>
              </w:rPr>
            </w:pPr>
            <w:r>
              <w:rPr>
                <w:rFonts w:cs="Arial"/>
                <w:sz w:val="20"/>
                <w:szCs w:val="20"/>
              </w:rPr>
              <w:lastRenderedPageBreak/>
              <w:t>CarbonNet has requested information from VSFA on the location of scallop beds within MSS area and no detailed information has been provided. CarbonNet’s habitat assessment of the MSS area did not find any evidence of a commercially significant number of scallops present. Based on the evidence available to CarbonNet, CarbonNet cannot validate this claim.</w:t>
            </w:r>
          </w:p>
          <w:p w14:paraId="2F423BB2" w14:textId="77777777" w:rsidR="00A70030" w:rsidRDefault="00A70030" w:rsidP="00073385">
            <w:pPr>
              <w:spacing w:before="60" w:after="60" w:line="240" w:lineRule="auto"/>
              <w:ind w:left="0"/>
              <w:rPr>
                <w:rFonts w:cs="Arial"/>
                <w:sz w:val="20"/>
                <w:szCs w:val="20"/>
              </w:rPr>
            </w:pPr>
            <w:r>
              <w:rPr>
                <w:rFonts w:cs="Arial"/>
                <w:sz w:val="20"/>
                <w:szCs w:val="20"/>
              </w:rPr>
              <w:t xml:space="preserve">Nonetheless, reference to this scallop bed is made in Section 5.6.3 of the EP. </w:t>
            </w:r>
          </w:p>
        </w:tc>
      </w:tr>
      <w:tr w:rsidR="00A70030" w:rsidRPr="00FF0808" w14:paraId="20D72D4C" w14:textId="77777777" w:rsidTr="00905C82">
        <w:trPr>
          <w:trHeight w:val="970"/>
        </w:trPr>
        <w:tc>
          <w:tcPr>
            <w:tcW w:w="1427" w:type="dxa"/>
            <w:tcBorders>
              <w:top w:val="nil"/>
              <w:bottom w:val="nil"/>
            </w:tcBorders>
            <w:shd w:val="clear" w:color="auto" w:fill="auto"/>
          </w:tcPr>
          <w:p w14:paraId="5890CE55"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64874F6"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64BBD24A" w14:textId="77777777" w:rsidR="00A70030" w:rsidRDefault="00A70030" w:rsidP="00073385">
            <w:pPr>
              <w:spacing w:before="60" w:after="60" w:line="240" w:lineRule="auto"/>
              <w:ind w:left="0"/>
              <w:rPr>
                <w:rFonts w:cs="Arial"/>
                <w:sz w:val="20"/>
                <w:szCs w:val="20"/>
              </w:rPr>
            </w:pPr>
            <w:r>
              <w:rPr>
                <w:rFonts w:cs="Arial"/>
                <w:sz w:val="20"/>
                <w:szCs w:val="20"/>
              </w:rPr>
              <w:t>2/5/17</w:t>
            </w:r>
          </w:p>
          <w:p w14:paraId="147F4152"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70F9917F" w14:textId="77777777" w:rsidR="00A70030" w:rsidRDefault="00A70030" w:rsidP="00073385">
            <w:pPr>
              <w:spacing w:before="60" w:after="60" w:line="240" w:lineRule="auto"/>
              <w:ind w:left="0"/>
              <w:rPr>
                <w:rFonts w:cs="Arial"/>
                <w:sz w:val="20"/>
                <w:szCs w:val="20"/>
              </w:rPr>
            </w:pPr>
            <w:r>
              <w:rPr>
                <w:rFonts w:cs="Arial"/>
                <w:sz w:val="20"/>
                <w:szCs w:val="20"/>
              </w:rPr>
              <w:t>CarbonNet emailed VSFA with the presentation distributed at the meeting on 26/4/17. CarbonNet committed to provide:</w:t>
            </w:r>
          </w:p>
          <w:p w14:paraId="314FA382" w14:textId="77777777" w:rsidR="00A70030" w:rsidRPr="009B351D" w:rsidRDefault="00A70030" w:rsidP="00073385">
            <w:pPr>
              <w:pStyle w:val="ListParagraph0"/>
              <w:numPr>
                <w:ilvl w:val="0"/>
                <w:numId w:val="457"/>
              </w:numPr>
              <w:spacing w:before="60" w:after="60" w:line="240" w:lineRule="auto"/>
              <w:rPr>
                <w:rFonts w:cs="Arial"/>
                <w:sz w:val="20"/>
                <w:szCs w:val="20"/>
              </w:rPr>
            </w:pPr>
            <w:r w:rsidRPr="009B351D">
              <w:rPr>
                <w:rFonts w:cs="Arial"/>
                <w:sz w:val="20"/>
                <w:szCs w:val="20"/>
              </w:rPr>
              <w:t>The results of the marine environmental assessment (reporting in progress)</w:t>
            </w:r>
            <w:r>
              <w:rPr>
                <w:rFonts w:cs="Arial"/>
                <w:sz w:val="20"/>
                <w:szCs w:val="20"/>
              </w:rPr>
              <w:t>.</w:t>
            </w:r>
            <w:r w:rsidRPr="009B351D">
              <w:rPr>
                <w:rFonts w:cs="Arial"/>
                <w:sz w:val="20"/>
                <w:szCs w:val="20"/>
              </w:rPr>
              <w:t xml:space="preserve"> </w:t>
            </w:r>
          </w:p>
          <w:p w14:paraId="57407B21" w14:textId="77777777" w:rsidR="00A70030" w:rsidRPr="009B351D" w:rsidRDefault="00A70030" w:rsidP="00073385">
            <w:pPr>
              <w:pStyle w:val="ListParagraph0"/>
              <w:numPr>
                <w:ilvl w:val="0"/>
                <w:numId w:val="457"/>
              </w:numPr>
              <w:spacing w:before="60" w:after="60" w:line="240" w:lineRule="auto"/>
              <w:rPr>
                <w:rFonts w:cs="Arial"/>
                <w:sz w:val="20"/>
                <w:szCs w:val="20"/>
              </w:rPr>
            </w:pPr>
            <w:r>
              <w:rPr>
                <w:rFonts w:cs="Arial"/>
                <w:sz w:val="20"/>
                <w:szCs w:val="20"/>
              </w:rPr>
              <w:t>T</w:t>
            </w:r>
            <w:r w:rsidRPr="009B351D">
              <w:rPr>
                <w:rFonts w:cs="Arial"/>
                <w:sz w:val="20"/>
                <w:szCs w:val="20"/>
              </w:rPr>
              <w:t>he results of sound modelling (currently underway)</w:t>
            </w:r>
            <w:r>
              <w:rPr>
                <w:rFonts w:cs="Arial"/>
                <w:sz w:val="20"/>
                <w:szCs w:val="20"/>
              </w:rPr>
              <w:t>.</w:t>
            </w:r>
            <w:r w:rsidRPr="009B351D">
              <w:rPr>
                <w:rFonts w:cs="Arial"/>
                <w:sz w:val="20"/>
                <w:szCs w:val="20"/>
              </w:rPr>
              <w:t xml:space="preserve">  </w:t>
            </w:r>
          </w:p>
          <w:p w14:paraId="5FC09713" w14:textId="77777777" w:rsidR="00A70030" w:rsidRPr="009B351D" w:rsidRDefault="00A70030" w:rsidP="00073385">
            <w:pPr>
              <w:pStyle w:val="ListParagraph0"/>
              <w:numPr>
                <w:ilvl w:val="0"/>
                <w:numId w:val="457"/>
              </w:numPr>
              <w:spacing w:before="60" w:after="60" w:line="240" w:lineRule="auto"/>
              <w:rPr>
                <w:rFonts w:cs="Arial"/>
                <w:sz w:val="20"/>
                <w:szCs w:val="20"/>
              </w:rPr>
            </w:pPr>
            <w:r w:rsidRPr="009B351D">
              <w:rPr>
                <w:rFonts w:cs="Arial"/>
                <w:sz w:val="20"/>
                <w:szCs w:val="20"/>
              </w:rPr>
              <w:t>Further concepts on how to work collaboratively with VSFA</w:t>
            </w:r>
            <w:r>
              <w:rPr>
                <w:rFonts w:cs="Arial"/>
                <w:sz w:val="20"/>
                <w:szCs w:val="20"/>
              </w:rPr>
              <w:t>.</w:t>
            </w:r>
            <w:r w:rsidRPr="009B351D">
              <w:rPr>
                <w:rFonts w:cs="Arial"/>
                <w:sz w:val="20"/>
                <w:szCs w:val="20"/>
              </w:rPr>
              <w:t xml:space="preserve">  </w:t>
            </w:r>
          </w:p>
          <w:p w14:paraId="4C81721B" w14:textId="77777777" w:rsidR="00A70030" w:rsidRPr="009B351D" w:rsidRDefault="00A70030" w:rsidP="00073385">
            <w:pPr>
              <w:spacing w:before="60" w:after="60" w:line="240" w:lineRule="auto"/>
              <w:ind w:left="0"/>
              <w:rPr>
                <w:rFonts w:cs="Arial"/>
                <w:sz w:val="20"/>
                <w:szCs w:val="20"/>
              </w:rPr>
            </w:pPr>
            <w:r>
              <w:rPr>
                <w:rFonts w:cs="Arial"/>
                <w:sz w:val="20"/>
                <w:szCs w:val="20"/>
              </w:rPr>
              <w:t>C</w:t>
            </w:r>
            <w:r w:rsidRPr="009B351D">
              <w:rPr>
                <w:rFonts w:cs="Arial"/>
                <w:sz w:val="20"/>
                <w:szCs w:val="20"/>
              </w:rPr>
              <w:t xml:space="preserve">arbonNet requested the following from VSFA: </w:t>
            </w:r>
          </w:p>
          <w:p w14:paraId="1D035E30" w14:textId="77777777" w:rsidR="00A70030" w:rsidRPr="009B351D" w:rsidRDefault="00A70030" w:rsidP="00073385">
            <w:pPr>
              <w:pStyle w:val="ListParagraph0"/>
              <w:numPr>
                <w:ilvl w:val="0"/>
                <w:numId w:val="457"/>
              </w:numPr>
              <w:spacing w:before="60" w:after="60" w:line="240" w:lineRule="auto"/>
              <w:rPr>
                <w:rFonts w:cs="Arial"/>
                <w:sz w:val="20"/>
                <w:szCs w:val="20"/>
              </w:rPr>
            </w:pPr>
            <w:r w:rsidRPr="009B351D">
              <w:rPr>
                <w:rFonts w:cs="Arial"/>
                <w:sz w:val="20"/>
                <w:szCs w:val="20"/>
              </w:rPr>
              <w:t>Information about the Scallop Management Plan adopted by VSFA</w:t>
            </w:r>
            <w:r>
              <w:rPr>
                <w:rFonts w:cs="Arial"/>
                <w:sz w:val="20"/>
                <w:szCs w:val="20"/>
              </w:rPr>
              <w:t>.</w:t>
            </w:r>
            <w:r w:rsidRPr="009B351D">
              <w:rPr>
                <w:rFonts w:cs="Arial"/>
                <w:sz w:val="20"/>
                <w:szCs w:val="20"/>
              </w:rPr>
              <w:t xml:space="preserve">  </w:t>
            </w:r>
          </w:p>
          <w:p w14:paraId="25410BE4" w14:textId="77777777" w:rsidR="00A70030" w:rsidRPr="009B351D" w:rsidRDefault="00A70030" w:rsidP="00073385">
            <w:pPr>
              <w:pStyle w:val="ListParagraph0"/>
              <w:numPr>
                <w:ilvl w:val="0"/>
                <w:numId w:val="457"/>
              </w:numPr>
              <w:spacing w:before="60" w:after="60" w:line="240" w:lineRule="auto"/>
              <w:rPr>
                <w:rFonts w:cs="Arial"/>
                <w:sz w:val="20"/>
                <w:szCs w:val="20"/>
              </w:rPr>
            </w:pPr>
            <w:r>
              <w:rPr>
                <w:rFonts w:cs="Arial"/>
                <w:sz w:val="20"/>
                <w:szCs w:val="20"/>
              </w:rPr>
              <w:t>I</w:t>
            </w:r>
            <w:r w:rsidRPr="009B351D">
              <w:rPr>
                <w:rFonts w:cs="Arial"/>
                <w:sz w:val="20"/>
                <w:szCs w:val="20"/>
              </w:rPr>
              <w:t xml:space="preserve">nformation on the location of the scallop beds  in the area of the proposed </w:t>
            </w:r>
            <w:r>
              <w:rPr>
                <w:rFonts w:cs="Arial"/>
                <w:sz w:val="20"/>
                <w:szCs w:val="20"/>
              </w:rPr>
              <w:t>MSS.</w:t>
            </w:r>
            <w:r w:rsidRPr="009B351D">
              <w:rPr>
                <w:rFonts w:cs="Arial"/>
                <w:sz w:val="20"/>
                <w:szCs w:val="20"/>
              </w:rPr>
              <w:t xml:space="preserve">  </w:t>
            </w:r>
          </w:p>
          <w:p w14:paraId="6B1E412D" w14:textId="7E70C58E" w:rsidR="00A70030" w:rsidRPr="00905C82" w:rsidRDefault="00A70030" w:rsidP="00905C82">
            <w:pPr>
              <w:pStyle w:val="ListParagraph0"/>
              <w:numPr>
                <w:ilvl w:val="0"/>
                <w:numId w:val="457"/>
              </w:numPr>
              <w:spacing w:before="60" w:after="60" w:line="240" w:lineRule="auto"/>
              <w:rPr>
                <w:rFonts w:cs="Arial"/>
                <w:sz w:val="20"/>
                <w:szCs w:val="20"/>
              </w:rPr>
            </w:pPr>
            <w:r w:rsidRPr="009B351D">
              <w:rPr>
                <w:rFonts w:cs="Arial"/>
                <w:sz w:val="20"/>
                <w:szCs w:val="20"/>
              </w:rPr>
              <w:t xml:space="preserve">A proposal to conduct a stock assessment, including a brief outline of </w:t>
            </w:r>
            <w:r>
              <w:rPr>
                <w:rFonts w:cs="Arial"/>
                <w:sz w:val="20"/>
                <w:szCs w:val="20"/>
              </w:rPr>
              <w:t>the</w:t>
            </w:r>
            <w:r w:rsidRPr="009B351D">
              <w:rPr>
                <w:rFonts w:cs="Arial"/>
                <w:sz w:val="20"/>
                <w:szCs w:val="20"/>
              </w:rPr>
              <w:t xml:space="preserve"> proposed survey methodology and any co-contribution being sought</w:t>
            </w:r>
            <w:r>
              <w:rPr>
                <w:rFonts w:cs="Arial"/>
                <w:sz w:val="20"/>
                <w:szCs w:val="20"/>
              </w:rPr>
              <w:t>.</w:t>
            </w:r>
            <w:r w:rsidRPr="009B351D">
              <w:rPr>
                <w:rFonts w:cs="Arial"/>
                <w:sz w:val="20"/>
                <w:szCs w:val="20"/>
              </w:rPr>
              <w:t xml:space="preserve">  </w:t>
            </w:r>
          </w:p>
        </w:tc>
        <w:tc>
          <w:tcPr>
            <w:tcW w:w="3802" w:type="dxa"/>
            <w:tcBorders>
              <w:top w:val="single" w:sz="4" w:space="0" w:color="auto"/>
              <w:bottom w:val="single" w:sz="4" w:space="0" w:color="auto"/>
            </w:tcBorders>
            <w:shd w:val="clear" w:color="auto" w:fill="auto"/>
          </w:tcPr>
          <w:p w14:paraId="02B754CF" w14:textId="77777777" w:rsidR="00A70030" w:rsidRDefault="00A70030" w:rsidP="00073385">
            <w:pPr>
              <w:spacing w:before="60" w:after="60" w:line="240" w:lineRule="auto"/>
              <w:ind w:left="0"/>
              <w:rPr>
                <w:rFonts w:cs="Arial"/>
                <w:sz w:val="20"/>
                <w:szCs w:val="20"/>
              </w:rPr>
            </w:pPr>
            <w:r>
              <w:rPr>
                <w:rFonts w:cs="Arial"/>
                <w:sz w:val="20"/>
                <w:szCs w:val="20"/>
              </w:rPr>
              <w:t>CarbonNet emailed VSFA on 11/5/17 with a summary of the environmental habitat assessment and a map showing where observations were taken.</w:t>
            </w:r>
          </w:p>
          <w:p w14:paraId="4E3D4D9C" w14:textId="77777777" w:rsidR="00A70030" w:rsidRDefault="00A70030" w:rsidP="00073385">
            <w:pPr>
              <w:spacing w:before="60" w:after="60" w:line="240" w:lineRule="auto"/>
              <w:ind w:left="0"/>
              <w:rPr>
                <w:rFonts w:cs="Arial"/>
                <w:sz w:val="20"/>
                <w:szCs w:val="20"/>
              </w:rPr>
            </w:pPr>
          </w:p>
        </w:tc>
      </w:tr>
      <w:tr w:rsidR="00A70030" w:rsidRPr="00FF0808" w14:paraId="6B94CBEE" w14:textId="77777777" w:rsidTr="00905C82">
        <w:trPr>
          <w:trHeight w:val="970"/>
        </w:trPr>
        <w:tc>
          <w:tcPr>
            <w:tcW w:w="1427" w:type="dxa"/>
            <w:tcBorders>
              <w:top w:val="nil"/>
              <w:bottom w:val="nil"/>
            </w:tcBorders>
            <w:shd w:val="clear" w:color="auto" w:fill="auto"/>
          </w:tcPr>
          <w:p w14:paraId="79F17BFF"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02ED91A"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604B90D6" w14:textId="77777777" w:rsidR="00A70030" w:rsidRDefault="00A70030" w:rsidP="00073385">
            <w:pPr>
              <w:spacing w:before="60" w:after="60" w:line="240" w:lineRule="auto"/>
              <w:ind w:left="0"/>
              <w:rPr>
                <w:rFonts w:cs="Arial"/>
                <w:sz w:val="20"/>
                <w:szCs w:val="20"/>
              </w:rPr>
            </w:pPr>
            <w:r>
              <w:rPr>
                <w:rFonts w:cs="Arial"/>
                <w:sz w:val="20"/>
                <w:szCs w:val="20"/>
              </w:rPr>
              <w:t>11/5/17</w:t>
            </w:r>
          </w:p>
        </w:tc>
        <w:tc>
          <w:tcPr>
            <w:tcW w:w="6335" w:type="dxa"/>
            <w:tcBorders>
              <w:top w:val="single" w:sz="4" w:space="0" w:color="auto"/>
              <w:bottom w:val="single" w:sz="4" w:space="0" w:color="auto"/>
            </w:tcBorders>
            <w:shd w:val="clear" w:color="auto" w:fill="auto"/>
          </w:tcPr>
          <w:p w14:paraId="4E004C24" w14:textId="77777777" w:rsidR="00A70030" w:rsidRDefault="00A70030" w:rsidP="00073385">
            <w:pPr>
              <w:spacing w:before="60" w:after="60" w:line="240" w:lineRule="auto"/>
              <w:ind w:left="0"/>
              <w:rPr>
                <w:rFonts w:cs="Arial"/>
                <w:sz w:val="20"/>
                <w:szCs w:val="20"/>
              </w:rPr>
            </w:pPr>
            <w:r>
              <w:rPr>
                <w:rFonts w:cs="Arial"/>
                <w:sz w:val="20"/>
                <w:szCs w:val="20"/>
              </w:rPr>
              <w:t>VSFA emailed CarbonNet confirming receipt of email. The VSFA Board has agreed to provide:</w:t>
            </w:r>
          </w:p>
          <w:p w14:paraId="7C75D837" w14:textId="77777777" w:rsidR="00A70030" w:rsidRPr="00423DE6" w:rsidRDefault="00A70030" w:rsidP="00073385">
            <w:pPr>
              <w:pStyle w:val="ListParagraph0"/>
              <w:numPr>
                <w:ilvl w:val="0"/>
                <w:numId w:val="457"/>
              </w:numPr>
              <w:spacing w:before="60" w:after="60" w:line="240" w:lineRule="auto"/>
              <w:rPr>
                <w:rFonts w:cs="Arial"/>
                <w:sz w:val="20"/>
                <w:szCs w:val="20"/>
              </w:rPr>
            </w:pPr>
            <w:r>
              <w:rPr>
                <w:rFonts w:cs="Arial"/>
                <w:sz w:val="20"/>
                <w:szCs w:val="20"/>
              </w:rPr>
              <w:t>A</w:t>
            </w:r>
            <w:r w:rsidRPr="00423DE6">
              <w:rPr>
                <w:rFonts w:cs="Arial"/>
                <w:sz w:val="20"/>
                <w:szCs w:val="20"/>
              </w:rPr>
              <w:t xml:space="preserve"> summary document of </w:t>
            </w:r>
            <w:r>
              <w:rPr>
                <w:rFonts w:cs="Arial"/>
                <w:sz w:val="20"/>
                <w:szCs w:val="20"/>
              </w:rPr>
              <w:t>VSFA’s stock</w:t>
            </w:r>
            <w:r w:rsidRPr="00423DE6">
              <w:rPr>
                <w:rFonts w:cs="Arial"/>
                <w:sz w:val="20"/>
                <w:szCs w:val="20"/>
              </w:rPr>
              <w:t xml:space="preserve"> </w:t>
            </w:r>
            <w:r>
              <w:rPr>
                <w:rFonts w:cs="Arial"/>
                <w:sz w:val="20"/>
                <w:szCs w:val="20"/>
              </w:rPr>
              <w:t>m</w:t>
            </w:r>
            <w:r w:rsidRPr="00423DE6">
              <w:rPr>
                <w:rFonts w:cs="Arial"/>
                <w:sz w:val="20"/>
                <w:szCs w:val="20"/>
              </w:rPr>
              <w:t xml:space="preserve">anagement </w:t>
            </w:r>
            <w:r>
              <w:rPr>
                <w:rFonts w:cs="Arial"/>
                <w:sz w:val="20"/>
                <w:szCs w:val="20"/>
              </w:rPr>
              <w:t>p</w:t>
            </w:r>
            <w:r w:rsidRPr="00423DE6">
              <w:rPr>
                <w:rFonts w:cs="Arial"/>
                <w:sz w:val="20"/>
                <w:szCs w:val="20"/>
              </w:rPr>
              <w:t>lan</w:t>
            </w:r>
            <w:r>
              <w:rPr>
                <w:rFonts w:cs="Arial"/>
                <w:sz w:val="20"/>
                <w:szCs w:val="20"/>
              </w:rPr>
              <w:t xml:space="preserve"> (commercial-in-confidence).</w:t>
            </w:r>
            <w:r w:rsidRPr="00423DE6">
              <w:rPr>
                <w:rFonts w:cs="Arial"/>
                <w:sz w:val="20"/>
                <w:szCs w:val="20"/>
              </w:rPr>
              <w:t xml:space="preserve"> </w:t>
            </w:r>
          </w:p>
          <w:p w14:paraId="7B6B0A52" w14:textId="7CDAE52A" w:rsidR="00A70030" w:rsidRPr="00905C82" w:rsidRDefault="00A70030" w:rsidP="00073385">
            <w:pPr>
              <w:pStyle w:val="ListParagraph0"/>
              <w:numPr>
                <w:ilvl w:val="0"/>
                <w:numId w:val="457"/>
              </w:numPr>
              <w:spacing w:before="60" w:after="60" w:line="240" w:lineRule="auto"/>
              <w:rPr>
                <w:rFonts w:cs="Arial"/>
                <w:sz w:val="20"/>
                <w:szCs w:val="20"/>
              </w:rPr>
            </w:pPr>
            <w:r w:rsidRPr="00905C82">
              <w:rPr>
                <w:rFonts w:cs="Arial"/>
                <w:sz w:val="20"/>
                <w:szCs w:val="20"/>
              </w:rPr>
              <w:t>A stock assessment proposal, including any co-contribution sought.</w:t>
            </w:r>
          </w:p>
          <w:p w14:paraId="5477D2E4" w14:textId="77777777" w:rsidR="00A70030" w:rsidRDefault="00A70030" w:rsidP="00073385">
            <w:pPr>
              <w:spacing w:before="60" w:after="60" w:line="240" w:lineRule="auto"/>
              <w:ind w:left="0"/>
              <w:rPr>
                <w:rFonts w:cs="Arial"/>
                <w:sz w:val="20"/>
                <w:szCs w:val="20"/>
              </w:rPr>
            </w:pPr>
            <w:r>
              <w:rPr>
                <w:rFonts w:cs="Arial"/>
                <w:sz w:val="20"/>
                <w:szCs w:val="20"/>
              </w:rPr>
              <w:t xml:space="preserve">VSFA requested to schedule a meeting in May. </w:t>
            </w:r>
          </w:p>
        </w:tc>
        <w:tc>
          <w:tcPr>
            <w:tcW w:w="3802" w:type="dxa"/>
            <w:tcBorders>
              <w:top w:val="single" w:sz="4" w:space="0" w:color="auto"/>
              <w:bottom w:val="single" w:sz="4" w:space="0" w:color="auto"/>
            </w:tcBorders>
            <w:shd w:val="clear" w:color="auto" w:fill="auto"/>
          </w:tcPr>
          <w:p w14:paraId="13E24C46"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377F00B2" w14:textId="77777777" w:rsidTr="00905C82">
        <w:trPr>
          <w:trHeight w:val="970"/>
        </w:trPr>
        <w:tc>
          <w:tcPr>
            <w:tcW w:w="1427" w:type="dxa"/>
            <w:tcBorders>
              <w:top w:val="nil"/>
              <w:bottom w:val="nil"/>
            </w:tcBorders>
            <w:shd w:val="clear" w:color="auto" w:fill="auto"/>
          </w:tcPr>
          <w:p w14:paraId="466053A2"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8755686"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885495E" w14:textId="77777777" w:rsidR="00A70030" w:rsidRDefault="00A70030" w:rsidP="00073385">
            <w:pPr>
              <w:spacing w:before="60" w:after="60" w:line="240" w:lineRule="auto"/>
              <w:ind w:left="0"/>
              <w:rPr>
                <w:rFonts w:cs="Arial"/>
                <w:sz w:val="20"/>
                <w:szCs w:val="20"/>
              </w:rPr>
            </w:pPr>
            <w:r>
              <w:rPr>
                <w:rFonts w:cs="Arial"/>
                <w:sz w:val="20"/>
                <w:szCs w:val="20"/>
              </w:rPr>
              <w:t>12/5/17</w:t>
            </w:r>
          </w:p>
        </w:tc>
        <w:tc>
          <w:tcPr>
            <w:tcW w:w="6335" w:type="dxa"/>
            <w:tcBorders>
              <w:top w:val="single" w:sz="4" w:space="0" w:color="auto"/>
              <w:bottom w:val="single" w:sz="4" w:space="0" w:color="auto"/>
            </w:tcBorders>
            <w:shd w:val="clear" w:color="auto" w:fill="auto"/>
          </w:tcPr>
          <w:p w14:paraId="3C5C6A33" w14:textId="77777777" w:rsidR="00A70030" w:rsidRDefault="00A70030" w:rsidP="00073385">
            <w:pPr>
              <w:spacing w:before="60" w:after="60" w:line="240" w:lineRule="auto"/>
              <w:ind w:left="0"/>
              <w:rPr>
                <w:rFonts w:cs="Arial"/>
                <w:sz w:val="20"/>
                <w:szCs w:val="20"/>
              </w:rPr>
            </w:pPr>
            <w:r>
              <w:rPr>
                <w:rFonts w:cs="Arial"/>
                <w:sz w:val="20"/>
                <w:szCs w:val="20"/>
              </w:rPr>
              <w:t>VSFA phoned CarbonNet seeking more information on the habitat assessment, including:</w:t>
            </w:r>
          </w:p>
          <w:p w14:paraId="4062F235" w14:textId="77777777" w:rsidR="00A70030" w:rsidRDefault="00A70030" w:rsidP="00073385">
            <w:pPr>
              <w:pStyle w:val="ListParagraph0"/>
              <w:numPr>
                <w:ilvl w:val="0"/>
                <w:numId w:val="457"/>
              </w:numPr>
              <w:spacing w:before="60" w:after="60" w:line="240" w:lineRule="auto"/>
              <w:rPr>
                <w:rFonts w:cs="Arial"/>
                <w:sz w:val="20"/>
                <w:szCs w:val="20"/>
              </w:rPr>
            </w:pPr>
            <w:r>
              <w:rPr>
                <w:rFonts w:cs="Arial"/>
                <w:sz w:val="20"/>
                <w:szCs w:val="20"/>
              </w:rPr>
              <w:t xml:space="preserve">Whether the survey used </w:t>
            </w:r>
            <w:r w:rsidRPr="00632A3A">
              <w:rPr>
                <w:rFonts w:cs="Arial"/>
                <w:sz w:val="20"/>
                <w:szCs w:val="20"/>
              </w:rPr>
              <w:t>towed ROV</w:t>
            </w:r>
            <w:r>
              <w:rPr>
                <w:rFonts w:cs="Arial"/>
                <w:sz w:val="20"/>
                <w:szCs w:val="20"/>
              </w:rPr>
              <w:t>.</w:t>
            </w:r>
          </w:p>
          <w:p w14:paraId="2EF2A044" w14:textId="77777777" w:rsidR="00A70030" w:rsidRPr="00632A3A" w:rsidRDefault="00A70030" w:rsidP="00073385">
            <w:pPr>
              <w:pStyle w:val="ListParagraph0"/>
              <w:numPr>
                <w:ilvl w:val="0"/>
                <w:numId w:val="457"/>
              </w:numPr>
              <w:spacing w:before="60" w:after="60" w:line="240" w:lineRule="auto"/>
              <w:rPr>
                <w:rFonts w:cs="Arial"/>
                <w:sz w:val="20"/>
                <w:szCs w:val="20"/>
              </w:rPr>
            </w:pPr>
            <w:r>
              <w:rPr>
                <w:rFonts w:cs="Arial"/>
                <w:sz w:val="20"/>
                <w:szCs w:val="20"/>
              </w:rPr>
              <w:t xml:space="preserve">The survey method – were </w:t>
            </w:r>
            <w:r w:rsidRPr="00632A3A">
              <w:rPr>
                <w:rFonts w:cs="Arial"/>
                <w:sz w:val="20"/>
                <w:szCs w:val="20"/>
              </w:rPr>
              <w:t>samples taken</w:t>
            </w:r>
            <w:r>
              <w:rPr>
                <w:rFonts w:cs="Arial"/>
                <w:sz w:val="20"/>
                <w:szCs w:val="20"/>
              </w:rPr>
              <w:t xml:space="preserve"> and was it </w:t>
            </w:r>
            <w:r w:rsidRPr="00632A3A">
              <w:rPr>
                <w:rFonts w:cs="Arial"/>
                <w:sz w:val="20"/>
                <w:szCs w:val="20"/>
              </w:rPr>
              <w:t>non-intrusive</w:t>
            </w:r>
            <w:r>
              <w:rPr>
                <w:rFonts w:cs="Arial"/>
                <w:sz w:val="20"/>
                <w:szCs w:val="20"/>
              </w:rPr>
              <w:t>.</w:t>
            </w:r>
            <w:r w:rsidRPr="00632A3A">
              <w:rPr>
                <w:rFonts w:cs="Arial"/>
                <w:sz w:val="20"/>
                <w:szCs w:val="20"/>
              </w:rPr>
              <w:t xml:space="preserve"> </w:t>
            </w:r>
          </w:p>
          <w:p w14:paraId="2CFB0F58" w14:textId="77777777" w:rsidR="00A70030" w:rsidRPr="00632A3A" w:rsidRDefault="00A70030" w:rsidP="00073385">
            <w:pPr>
              <w:pStyle w:val="ListParagraph0"/>
              <w:numPr>
                <w:ilvl w:val="0"/>
                <w:numId w:val="457"/>
              </w:numPr>
              <w:spacing w:before="60" w:after="60" w:line="240" w:lineRule="auto"/>
              <w:rPr>
                <w:rFonts w:cs="Arial"/>
                <w:sz w:val="20"/>
                <w:szCs w:val="20"/>
              </w:rPr>
            </w:pPr>
            <w:r>
              <w:rPr>
                <w:rFonts w:cs="Arial"/>
                <w:sz w:val="20"/>
                <w:szCs w:val="20"/>
              </w:rPr>
              <w:t xml:space="preserve">Was the survey conducted in </w:t>
            </w:r>
            <w:r w:rsidRPr="00632A3A">
              <w:rPr>
                <w:rFonts w:cs="Arial"/>
                <w:sz w:val="20"/>
                <w:szCs w:val="20"/>
              </w:rPr>
              <w:t>transects, tow</w:t>
            </w:r>
            <w:r>
              <w:rPr>
                <w:rFonts w:cs="Arial"/>
                <w:sz w:val="20"/>
                <w:szCs w:val="20"/>
              </w:rPr>
              <w:t>ed</w:t>
            </w:r>
            <w:r w:rsidRPr="00632A3A">
              <w:rPr>
                <w:rFonts w:cs="Arial"/>
                <w:sz w:val="20"/>
                <w:szCs w:val="20"/>
              </w:rPr>
              <w:t xml:space="preserve"> in a circle, straight line</w:t>
            </w:r>
            <w:r>
              <w:rPr>
                <w:rFonts w:cs="Arial"/>
                <w:sz w:val="20"/>
                <w:szCs w:val="20"/>
              </w:rPr>
              <w:t>,</w:t>
            </w:r>
            <w:r w:rsidRPr="00632A3A">
              <w:rPr>
                <w:rFonts w:cs="Arial"/>
                <w:sz w:val="20"/>
                <w:szCs w:val="20"/>
              </w:rPr>
              <w:t xml:space="preserve"> etc. </w:t>
            </w:r>
          </w:p>
          <w:p w14:paraId="3688771D" w14:textId="77777777" w:rsidR="00A70030" w:rsidRPr="00632A3A" w:rsidRDefault="00A70030" w:rsidP="00073385">
            <w:pPr>
              <w:pStyle w:val="ListParagraph0"/>
              <w:numPr>
                <w:ilvl w:val="0"/>
                <w:numId w:val="457"/>
              </w:numPr>
              <w:spacing w:before="60" w:after="60" w:line="240" w:lineRule="auto"/>
              <w:rPr>
                <w:rFonts w:cs="Arial"/>
                <w:sz w:val="20"/>
                <w:szCs w:val="20"/>
              </w:rPr>
            </w:pPr>
            <w:r>
              <w:rPr>
                <w:rFonts w:cs="Arial"/>
                <w:sz w:val="20"/>
                <w:szCs w:val="20"/>
              </w:rPr>
              <w:t xml:space="preserve">What was </w:t>
            </w:r>
            <w:r w:rsidRPr="00632A3A">
              <w:rPr>
                <w:rFonts w:cs="Arial"/>
                <w:sz w:val="20"/>
                <w:szCs w:val="20"/>
              </w:rPr>
              <w:t>the area covered at each site</w:t>
            </w:r>
            <w:r>
              <w:rPr>
                <w:rFonts w:cs="Arial"/>
                <w:sz w:val="20"/>
                <w:szCs w:val="20"/>
              </w:rPr>
              <w:t>.</w:t>
            </w:r>
            <w:r w:rsidRPr="00632A3A">
              <w:rPr>
                <w:rFonts w:cs="Arial"/>
                <w:sz w:val="20"/>
                <w:szCs w:val="20"/>
              </w:rPr>
              <w:t xml:space="preserve"> </w:t>
            </w:r>
          </w:p>
          <w:p w14:paraId="2C4E6CB4" w14:textId="77777777" w:rsidR="00A70030" w:rsidRDefault="00A70030" w:rsidP="00073385">
            <w:pPr>
              <w:pStyle w:val="ListParagraph0"/>
              <w:numPr>
                <w:ilvl w:val="0"/>
                <w:numId w:val="457"/>
              </w:numPr>
              <w:spacing w:before="60" w:after="60" w:line="240" w:lineRule="auto"/>
              <w:rPr>
                <w:rFonts w:cs="Arial"/>
                <w:sz w:val="20"/>
                <w:szCs w:val="20"/>
              </w:rPr>
            </w:pPr>
            <w:r>
              <w:rPr>
                <w:rFonts w:cs="Arial"/>
                <w:sz w:val="20"/>
                <w:szCs w:val="20"/>
              </w:rPr>
              <w:lastRenderedPageBreak/>
              <w:t>A</w:t>
            </w:r>
            <w:r w:rsidRPr="00632A3A">
              <w:rPr>
                <w:rFonts w:cs="Arial"/>
                <w:sz w:val="20"/>
                <w:szCs w:val="20"/>
              </w:rPr>
              <w:t>ny other parameters for how the data was collected</w:t>
            </w:r>
            <w:r>
              <w:rPr>
                <w:rFonts w:cs="Arial"/>
                <w:sz w:val="20"/>
                <w:szCs w:val="20"/>
              </w:rPr>
              <w:t>.</w:t>
            </w:r>
          </w:p>
          <w:p w14:paraId="57ACEEB6" w14:textId="77777777" w:rsidR="00A70030" w:rsidRDefault="00A70030" w:rsidP="00073385">
            <w:pPr>
              <w:spacing w:before="60" w:after="60" w:line="240" w:lineRule="auto"/>
              <w:rPr>
                <w:rFonts w:cs="Arial"/>
                <w:sz w:val="20"/>
                <w:szCs w:val="20"/>
              </w:rPr>
            </w:pPr>
          </w:p>
          <w:p w14:paraId="01998CA8" w14:textId="0F9D7523" w:rsidR="00A70030" w:rsidRDefault="00A70030" w:rsidP="00073385">
            <w:pPr>
              <w:spacing w:before="60" w:after="60" w:line="240" w:lineRule="auto"/>
              <w:ind w:left="0"/>
              <w:rPr>
                <w:rFonts w:cs="Arial"/>
                <w:sz w:val="20"/>
                <w:szCs w:val="20"/>
              </w:rPr>
            </w:pPr>
            <w:r>
              <w:rPr>
                <w:rFonts w:cs="Arial"/>
                <w:sz w:val="20"/>
                <w:szCs w:val="20"/>
              </w:rPr>
              <w:t>CarbonNet committed to send relevant excerpts on habitat assessment methodology to VSFA.</w:t>
            </w:r>
          </w:p>
        </w:tc>
        <w:tc>
          <w:tcPr>
            <w:tcW w:w="3802" w:type="dxa"/>
            <w:tcBorders>
              <w:top w:val="single" w:sz="4" w:space="0" w:color="auto"/>
              <w:bottom w:val="single" w:sz="4" w:space="0" w:color="auto"/>
            </w:tcBorders>
            <w:shd w:val="clear" w:color="auto" w:fill="auto"/>
          </w:tcPr>
          <w:p w14:paraId="7AB5A7C0" w14:textId="77777777" w:rsidR="00A70030" w:rsidRDefault="00A70030" w:rsidP="00073385">
            <w:pPr>
              <w:spacing w:before="60" w:after="60" w:line="240" w:lineRule="auto"/>
              <w:ind w:left="0"/>
              <w:rPr>
                <w:rFonts w:cs="Arial"/>
                <w:sz w:val="20"/>
                <w:szCs w:val="20"/>
              </w:rPr>
            </w:pPr>
            <w:r>
              <w:rPr>
                <w:rFonts w:cs="Arial"/>
                <w:sz w:val="20"/>
                <w:szCs w:val="20"/>
              </w:rPr>
              <w:lastRenderedPageBreak/>
              <w:t>CarbonNet sent VSFA an email on 18/5/17 containing further information on habitat assessment methodology.</w:t>
            </w:r>
          </w:p>
          <w:p w14:paraId="25F15CBA" w14:textId="77777777" w:rsidR="00A70030" w:rsidRDefault="00A70030" w:rsidP="00073385">
            <w:pPr>
              <w:spacing w:before="60" w:after="60" w:line="240" w:lineRule="auto"/>
              <w:ind w:left="0"/>
              <w:rPr>
                <w:rFonts w:cs="Arial"/>
                <w:sz w:val="20"/>
                <w:szCs w:val="20"/>
              </w:rPr>
            </w:pPr>
          </w:p>
        </w:tc>
      </w:tr>
      <w:tr w:rsidR="00A70030" w:rsidRPr="00FF0808" w14:paraId="7D1F12C3" w14:textId="77777777" w:rsidTr="00905C82">
        <w:trPr>
          <w:trHeight w:val="970"/>
        </w:trPr>
        <w:tc>
          <w:tcPr>
            <w:tcW w:w="1427" w:type="dxa"/>
            <w:tcBorders>
              <w:top w:val="nil"/>
              <w:bottom w:val="nil"/>
            </w:tcBorders>
            <w:shd w:val="clear" w:color="auto" w:fill="auto"/>
          </w:tcPr>
          <w:p w14:paraId="1E4A7E30"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AD7C2E4"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25C7B4C" w14:textId="77777777" w:rsidR="00A70030" w:rsidRDefault="00A70030" w:rsidP="00073385">
            <w:pPr>
              <w:spacing w:before="60" w:after="60" w:line="240" w:lineRule="auto"/>
              <w:ind w:left="0"/>
              <w:rPr>
                <w:rFonts w:cs="Arial"/>
                <w:sz w:val="20"/>
                <w:szCs w:val="20"/>
              </w:rPr>
            </w:pPr>
            <w:r>
              <w:rPr>
                <w:rFonts w:cs="Arial"/>
                <w:sz w:val="20"/>
                <w:szCs w:val="20"/>
              </w:rPr>
              <w:t>18/5/17</w:t>
            </w:r>
          </w:p>
        </w:tc>
        <w:tc>
          <w:tcPr>
            <w:tcW w:w="6335" w:type="dxa"/>
            <w:tcBorders>
              <w:top w:val="single" w:sz="4" w:space="0" w:color="auto"/>
              <w:bottom w:val="single" w:sz="4" w:space="0" w:color="auto"/>
            </w:tcBorders>
            <w:shd w:val="clear" w:color="auto" w:fill="auto"/>
          </w:tcPr>
          <w:p w14:paraId="20F2DD9D" w14:textId="77777777" w:rsidR="00A70030" w:rsidRDefault="00A70030" w:rsidP="00073385">
            <w:pPr>
              <w:spacing w:before="60" w:after="60" w:line="240" w:lineRule="auto"/>
              <w:ind w:left="0"/>
              <w:rPr>
                <w:rFonts w:cs="Arial"/>
                <w:sz w:val="20"/>
                <w:szCs w:val="20"/>
              </w:rPr>
            </w:pPr>
            <w:r>
              <w:rPr>
                <w:rFonts w:cs="Arial"/>
                <w:sz w:val="20"/>
                <w:szCs w:val="20"/>
              </w:rPr>
              <w:t>VSFA sent CarbonNet email with a letter that outlined VSFA’s views on MSS, a copy of VSFA’s stock management plan and stock assessment proposal for CarbonNet. The stock management plan was provided to CarbonNet on a commercial-in-confidence basis and is not for further distribution, beyond submission of CarbonNet’s EP to MSS regulators (NOPSEMA and ERR).</w:t>
            </w:r>
          </w:p>
          <w:p w14:paraId="202CA30F" w14:textId="77777777" w:rsidR="00A70030" w:rsidRDefault="00A70030" w:rsidP="00073385">
            <w:pPr>
              <w:spacing w:before="60" w:after="60" w:line="240" w:lineRule="auto"/>
              <w:ind w:left="0"/>
              <w:rPr>
                <w:rFonts w:cs="Arial"/>
                <w:sz w:val="20"/>
                <w:szCs w:val="20"/>
              </w:rPr>
            </w:pPr>
          </w:p>
          <w:p w14:paraId="6B7833D0" w14:textId="77777777" w:rsidR="00A70030" w:rsidRDefault="00A70030" w:rsidP="00073385">
            <w:pPr>
              <w:spacing w:before="60" w:after="60" w:line="240" w:lineRule="auto"/>
              <w:ind w:left="0"/>
              <w:rPr>
                <w:rFonts w:cs="Arial"/>
                <w:sz w:val="20"/>
                <w:szCs w:val="20"/>
              </w:rPr>
            </w:pPr>
            <w:r>
              <w:rPr>
                <w:rFonts w:cs="Arial"/>
                <w:sz w:val="20"/>
                <w:szCs w:val="20"/>
              </w:rPr>
              <w:t xml:space="preserve">VSFA’s letter stated that </w:t>
            </w:r>
            <w:r w:rsidRPr="00632A3A">
              <w:rPr>
                <w:rFonts w:cs="Arial"/>
                <w:sz w:val="20"/>
                <w:szCs w:val="20"/>
              </w:rPr>
              <w:t xml:space="preserve">the activity proposed will have a long lasting negative impact on </w:t>
            </w:r>
            <w:r>
              <w:rPr>
                <w:rFonts w:cs="Arial"/>
                <w:sz w:val="20"/>
                <w:szCs w:val="20"/>
              </w:rPr>
              <w:t>the VSFA’s</w:t>
            </w:r>
            <w:r w:rsidRPr="00632A3A">
              <w:rPr>
                <w:rFonts w:cs="Arial"/>
                <w:sz w:val="20"/>
                <w:szCs w:val="20"/>
              </w:rPr>
              <w:t xml:space="preserve"> functions, interests and</w:t>
            </w:r>
            <w:r>
              <w:rPr>
                <w:rFonts w:cs="Arial"/>
                <w:sz w:val="20"/>
                <w:szCs w:val="20"/>
              </w:rPr>
              <w:t xml:space="preserve"> activities within Bass Strait.</w:t>
            </w:r>
          </w:p>
          <w:p w14:paraId="33430A86" w14:textId="77777777" w:rsidR="00A70030" w:rsidRPr="00632A3A" w:rsidRDefault="00A70030" w:rsidP="00073385">
            <w:pPr>
              <w:spacing w:before="60" w:after="60" w:line="240" w:lineRule="auto"/>
              <w:ind w:left="0"/>
              <w:rPr>
                <w:rFonts w:cs="Arial"/>
                <w:sz w:val="20"/>
                <w:szCs w:val="20"/>
              </w:rPr>
            </w:pPr>
            <w:r>
              <w:rPr>
                <w:rFonts w:cs="Arial"/>
                <w:sz w:val="20"/>
                <w:szCs w:val="20"/>
              </w:rPr>
              <w:t>VSFA provided a map</w:t>
            </w:r>
            <w:r w:rsidRPr="00632A3A">
              <w:rPr>
                <w:rFonts w:cs="Arial"/>
                <w:sz w:val="20"/>
                <w:szCs w:val="20"/>
              </w:rPr>
              <w:t xml:space="preserve"> indicating that the area </w:t>
            </w:r>
            <w:r>
              <w:rPr>
                <w:rFonts w:cs="Arial"/>
                <w:sz w:val="20"/>
                <w:szCs w:val="20"/>
              </w:rPr>
              <w:t>from Marlo to Port Albert is a s</w:t>
            </w:r>
            <w:r w:rsidRPr="00632A3A">
              <w:rPr>
                <w:rFonts w:cs="Arial"/>
                <w:sz w:val="20"/>
                <w:szCs w:val="20"/>
              </w:rPr>
              <w:t xml:space="preserve">ignificant area for commercial </w:t>
            </w:r>
            <w:r>
              <w:rPr>
                <w:rFonts w:cs="Arial"/>
                <w:sz w:val="20"/>
                <w:szCs w:val="20"/>
              </w:rPr>
              <w:t xml:space="preserve">scallop fishing operations. </w:t>
            </w:r>
          </w:p>
          <w:p w14:paraId="2DF79012" w14:textId="77777777" w:rsidR="00A70030" w:rsidRDefault="00A70030" w:rsidP="00073385">
            <w:pPr>
              <w:spacing w:before="60" w:after="60" w:line="240" w:lineRule="auto"/>
              <w:ind w:left="0"/>
              <w:rPr>
                <w:rFonts w:cs="Arial"/>
                <w:sz w:val="20"/>
                <w:szCs w:val="20"/>
              </w:rPr>
            </w:pPr>
          </w:p>
          <w:p w14:paraId="0D5ED0C5" w14:textId="77777777" w:rsidR="00A70030" w:rsidRDefault="00A70030" w:rsidP="00073385">
            <w:pPr>
              <w:spacing w:before="60" w:after="60" w:line="240" w:lineRule="auto"/>
              <w:ind w:left="0"/>
              <w:rPr>
                <w:rFonts w:cs="Arial"/>
                <w:sz w:val="20"/>
                <w:szCs w:val="20"/>
              </w:rPr>
            </w:pPr>
            <w:r>
              <w:rPr>
                <w:rFonts w:cs="Arial"/>
                <w:sz w:val="20"/>
                <w:szCs w:val="20"/>
              </w:rPr>
              <w:t xml:space="preserve">VSFA stated the location of the proposed MSS </w:t>
            </w:r>
            <w:r w:rsidRPr="00560880">
              <w:rPr>
                <w:rFonts w:cs="Arial"/>
                <w:sz w:val="20"/>
                <w:szCs w:val="20"/>
              </w:rPr>
              <w:t>overlaps identified scallop beds earmarked as important to the long-term success of scalloping in southeast Australian waters.</w:t>
            </w:r>
            <w:r>
              <w:rPr>
                <w:rFonts w:cs="Arial"/>
                <w:sz w:val="20"/>
                <w:szCs w:val="20"/>
              </w:rPr>
              <w:t xml:space="preserve"> </w:t>
            </w:r>
            <w:r w:rsidRPr="00560880">
              <w:rPr>
                <w:rFonts w:cs="Arial"/>
                <w:sz w:val="20"/>
                <w:szCs w:val="20"/>
              </w:rPr>
              <w:t>The</w:t>
            </w:r>
            <w:r>
              <w:rPr>
                <w:rFonts w:cs="Arial"/>
                <w:sz w:val="20"/>
                <w:szCs w:val="20"/>
              </w:rPr>
              <w:t>y claimed that the</w:t>
            </w:r>
            <w:r w:rsidRPr="00560880">
              <w:rPr>
                <w:rFonts w:cs="Arial"/>
                <w:sz w:val="20"/>
                <w:szCs w:val="20"/>
              </w:rPr>
              <w:t xml:space="preserve"> MSS will disrupt the healthy adult scallops that contribute to the spawning biomass in these waters and surrounds in both the short- and long-term.</w:t>
            </w:r>
            <w:r>
              <w:rPr>
                <w:rFonts w:cs="Arial"/>
                <w:sz w:val="20"/>
                <w:szCs w:val="20"/>
              </w:rPr>
              <w:t xml:space="preserve"> </w:t>
            </w:r>
            <w:r w:rsidRPr="00560880">
              <w:rPr>
                <w:rFonts w:cs="Arial"/>
                <w:sz w:val="20"/>
                <w:szCs w:val="20"/>
              </w:rPr>
              <w:t>Stock losses and undue stress applied to rehabilitating stocks could significantly impact operators in the Victorian Zone, Bass Strait Central Zone and Tasmanian Zone as fishing effort is displaced to other areas.</w:t>
            </w:r>
          </w:p>
          <w:p w14:paraId="097BBAF6" w14:textId="77777777" w:rsidR="00A70030" w:rsidRDefault="00A70030" w:rsidP="00073385">
            <w:pPr>
              <w:spacing w:before="60" w:after="60" w:line="240" w:lineRule="auto"/>
              <w:ind w:left="0"/>
              <w:rPr>
                <w:rFonts w:cs="Arial"/>
                <w:sz w:val="20"/>
                <w:szCs w:val="20"/>
              </w:rPr>
            </w:pPr>
          </w:p>
          <w:p w14:paraId="6AC014FB" w14:textId="77777777" w:rsidR="00A70030" w:rsidRDefault="00A70030" w:rsidP="00073385">
            <w:pPr>
              <w:spacing w:before="60" w:after="60" w:line="240" w:lineRule="auto"/>
              <w:ind w:left="0"/>
              <w:rPr>
                <w:rFonts w:cs="Arial"/>
                <w:sz w:val="20"/>
                <w:szCs w:val="20"/>
              </w:rPr>
            </w:pPr>
            <w:r>
              <w:rPr>
                <w:rFonts w:cs="Arial"/>
                <w:sz w:val="20"/>
                <w:szCs w:val="20"/>
              </w:rPr>
              <w:t>VSFA stated the methods of CarbonNet’s habitat assessment were not designed to discover scallops, and that the survey was not conducted in an open or transparent manner as it did not take into account industry information.</w:t>
            </w:r>
          </w:p>
          <w:p w14:paraId="65F1C210" w14:textId="77777777" w:rsidR="00A70030" w:rsidRDefault="00A70030" w:rsidP="00073385">
            <w:pPr>
              <w:spacing w:before="60" w:after="60" w:line="240" w:lineRule="auto"/>
              <w:ind w:left="0"/>
              <w:rPr>
                <w:rFonts w:cs="Arial"/>
                <w:sz w:val="20"/>
                <w:szCs w:val="20"/>
              </w:rPr>
            </w:pPr>
          </w:p>
          <w:p w14:paraId="7D08B44E" w14:textId="749673C4" w:rsidR="00A70030" w:rsidRDefault="00A70030" w:rsidP="00073385">
            <w:pPr>
              <w:spacing w:before="60" w:after="60" w:line="240" w:lineRule="auto"/>
              <w:ind w:left="0"/>
              <w:rPr>
                <w:rFonts w:cs="Arial"/>
                <w:sz w:val="20"/>
                <w:szCs w:val="20"/>
              </w:rPr>
            </w:pPr>
            <w:r>
              <w:rPr>
                <w:rFonts w:cs="Arial"/>
                <w:sz w:val="20"/>
                <w:szCs w:val="20"/>
              </w:rPr>
              <w:t xml:space="preserve">VSFA </w:t>
            </w:r>
            <w:r w:rsidRPr="00632A3A">
              <w:rPr>
                <w:rFonts w:cs="Arial"/>
                <w:sz w:val="20"/>
                <w:szCs w:val="20"/>
              </w:rPr>
              <w:t xml:space="preserve">provided </w:t>
            </w:r>
            <w:r>
              <w:rPr>
                <w:rFonts w:cs="Arial"/>
                <w:sz w:val="20"/>
                <w:szCs w:val="20"/>
              </w:rPr>
              <w:t xml:space="preserve">a </w:t>
            </w:r>
            <w:r w:rsidRPr="00632A3A">
              <w:rPr>
                <w:rFonts w:cs="Arial"/>
                <w:sz w:val="20"/>
                <w:szCs w:val="20"/>
              </w:rPr>
              <w:t>proposal for a joint stock assessment</w:t>
            </w:r>
            <w:r>
              <w:rPr>
                <w:rFonts w:cs="Arial"/>
                <w:sz w:val="20"/>
                <w:szCs w:val="20"/>
              </w:rPr>
              <w:t>,</w:t>
            </w:r>
            <w:r w:rsidRPr="00632A3A">
              <w:rPr>
                <w:rFonts w:cs="Arial"/>
                <w:sz w:val="20"/>
                <w:szCs w:val="20"/>
              </w:rPr>
              <w:t xml:space="preserve"> with </w:t>
            </w:r>
            <w:r w:rsidRPr="00632A3A">
              <w:rPr>
                <w:rFonts w:cs="Arial"/>
                <w:sz w:val="20"/>
                <w:szCs w:val="20"/>
              </w:rPr>
              <w:lastRenderedPageBreak/>
              <w:t>CarbonNet to provide a 65-70% co-contribution.</w:t>
            </w:r>
          </w:p>
        </w:tc>
        <w:tc>
          <w:tcPr>
            <w:tcW w:w="3802" w:type="dxa"/>
            <w:tcBorders>
              <w:top w:val="single" w:sz="4" w:space="0" w:color="auto"/>
              <w:bottom w:val="single" w:sz="4" w:space="0" w:color="auto"/>
            </w:tcBorders>
            <w:shd w:val="clear" w:color="auto" w:fill="auto"/>
          </w:tcPr>
          <w:p w14:paraId="51FA05C7" w14:textId="77777777" w:rsidR="00A70030" w:rsidRDefault="00A70030" w:rsidP="00073385">
            <w:pPr>
              <w:spacing w:before="60" w:after="60" w:line="240" w:lineRule="auto"/>
              <w:ind w:left="0"/>
              <w:rPr>
                <w:rFonts w:cs="Arial"/>
                <w:sz w:val="20"/>
                <w:szCs w:val="20"/>
              </w:rPr>
            </w:pPr>
          </w:p>
          <w:p w14:paraId="7FBC7D47" w14:textId="77777777" w:rsidR="00A70030" w:rsidRDefault="00A70030" w:rsidP="00073385">
            <w:pPr>
              <w:spacing w:before="60" w:after="60" w:line="240" w:lineRule="auto"/>
              <w:ind w:left="0"/>
              <w:rPr>
                <w:rFonts w:cs="Arial"/>
                <w:sz w:val="20"/>
                <w:szCs w:val="20"/>
              </w:rPr>
            </w:pPr>
            <w:r>
              <w:rPr>
                <w:rFonts w:cs="Arial"/>
                <w:sz w:val="20"/>
                <w:szCs w:val="20"/>
              </w:rPr>
              <w:t>As noted below (see following pages) CarbonNet has met with VSFA on a number of occasions to work through these issues and sent VSFA relevant draft EP extracts regarding impacts and risks to scallops and scallop fisheries.</w:t>
            </w:r>
          </w:p>
        </w:tc>
      </w:tr>
      <w:tr w:rsidR="00A70030" w:rsidRPr="00FF0808" w14:paraId="00D26285" w14:textId="77777777" w:rsidTr="00905C82">
        <w:trPr>
          <w:trHeight w:val="970"/>
        </w:trPr>
        <w:tc>
          <w:tcPr>
            <w:tcW w:w="1427" w:type="dxa"/>
            <w:tcBorders>
              <w:top w:val="nil"/>
              <w:bottom w:val="nil"/>
            </w:tcBorders>
            <w:shd w:val="clear" w:color="auto" w:fill="auto"/>
          </w:tcPr>
          <w:p w14:paraId="2C1FBA5A"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83CDDBE"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213B411" w14:textId="77777777" w:rsidR="00A70030" w:rsidRDefault="00A70030" w:rsidP="00073385">
            <w:pPr>
              <w:spacing w:before="60" w:after="60" w:line="240" w:lineRule="auto"/>
              <w:ind w:left="0"/>
              <w:rPr>
                <w:rFonts w:cs="Arial"/>
                <w:sz w:val="20"/>
                <w:szCs w:val="20"/>
              </w:rPr>
            </w:pPr>
            <w:r>
              <w:rPr>
                <w:rFonts w:cs="Arial"/>
                <w:sz w:val="20"/>
                <w:szCs w:val="20"/>
              </w:rPr>
              <w:t>23/5/17</w:t>
            </w:r>
          </w:p>
        </w:tc>
        <w:tc>
          <w:tcPr>
            <w:tcW w:w="6335" w:type="dxa"/>
            <w:tcBorders>
              <w:top w:val="single" w:sz="4" w:space="0" w:color="auto"/>
              <w:bottom w:val="single" w:sz="4" w:space="0" w:color="auto"/>
            </w:tcBorders>
            <w:shd w:val="clear" w:color="auto" w:fill="auto"/>
          </w:tcPr>
          <w:p w14:paraId="38EFB52F" w14:textId="77777777" w:rsidR="00A70030" w:rsidRDefault="00A70030" w:rsidP="00073385">
            <w:pPr>
              <w:spacing w:before="60" w:after="60" w:line="240" w:lineRule="auto"/>
              <w:ind w:left="0"/>
              <w:rPr>
                <w:rFonts w:cs="Arial"/>
                <w:sz w:val="20"/>
                <w:szCs w:val="20"/>
              </w:rPr>
            </w:pPr>
            <w:r>
              <w:rPr>
                <w:rFonts w:cs="Arial"/>
                <w:sz w:val="20"/>
                <w:szCs w:val="20"/>
              </w:rPr>
              <w:t>CarbonNet met with VSFA in Lakes Entrance to discuss collaboration opportunities raised by VSFA, new collaboration opportunities proposed by CarbonNet, and scallop stock management.</w:t>
            </w:r>
          </w:p>
          <w:p w14:paraId="5F06B113" w14:textId="77777777" w:rsidR="00A70030" w:rsidRDefault="00A70030" w:rsidP="00073385">
            <w:pPr>
              <w:spacing w:before="60" w:after="60" w:line="240" w:lineRule="auto"/>
              <w:ind w:left="0"/>
              <w:rPr>
                <w:rFonts w:cs="Arial"/>
                <w:sz w:val="20"/>
                <w:szCs w:val="20"/>
              </w:rPr>
            </w:pPr>
          </w:p>
          <w:p w14:paraId="1EC4206A" w14:textId="77777777" w:rsidR="00A70030" w:rsidRDefault="00A70030" w:rsidP="00073385">
            <w:pPr>
              <w:spacing w:before="60" w:after="60" w:line="240" w:lineRule="auto"/>
              <w:ind w:left="0"/>
              <w:rPr>
                <w:rFonts w:cs="Arial"/>
                <w:sz w:val="20"/>
                <w:szCs w:val="20"/>
              </w:rPr>
            </w:pPr>
            <w:r>
              <w:rPr>
                <w:rFonts w:cs="Arial"/>
                <w:sz w:val="20"/>
                <w:szCs w:val="20"/>
              </w:rPr>
              <w:t>VSFA made the following points:</w:t>
            </w:r>
          </w:p>
          <w:p w14:paraId="651C354F" w14:textId="77777777" w:rsidR="00A70030" w:rsidRPr="009247FD" w:rsidRDefault="00A70030" w:rsidP="00073385">
            <w:pPr>
              <w:pStyle w:val="ListParagraph0"/>
              <w:numPr>
                <w:ilvl w:val="0"/>
                <w:numId w:val="457"/>
              </w:numPr>
              <w:spacing w:before="60" w:after="60" w:line="240" w:lineRule="auto"/>
              <w:rPr>
                <w:rFonts w:cs="Arial"/>
                <w:sz w:val="20"/>
                <w:szCs w:val="20"/>
              </w:rPr>
            </w:pPr>
            <w:r>
              <w:rPr>
                <w:rFonts w:cs="Arial"/>
                <w:sz w:val="20"/>
                <w:szCs w:val="20"/>
              </w:rPr>
              <w:t>R</w:t>
            </w:r>
            <w:r w:rsidRPr="009247FD">
              <w:rPr>
                <w:rFonts w:cs="Arial"/>
                <w:sz w:val="20"/>
                <w:szCs w:val="20"/>
              </w:rPr>
              <w:t xml:space="preserve">equested </w:t>
            </w:r>
            <w:r>
              <w:rPr>
                <w:rFonts w:cs="Arial"/>
                <w:sz w:val="20"/>
                <w:szCs w:val="20"/>
              </w:rPr>
              <w:t>CarbonNet</w:t>
            </w:r>
            <w:r w:rsidRPr="009247FD">
              <w:rPr>
                <w:rFonts w:cs="Arial"/>
                <w:sz w:val="20"/>
                <w:szCs w:val="20"/>
              </w:rPr>
              <w:t xml:space="preserve"> send through deta</w:t>
            </w:r>
            <w:r>
              <w:rPr>
                <w:rFonts w:cs="Arial"/>
                <w:sz w:val="20"/>
                <w:szCs w:val="20"/>
              </w:rPr>
              <w:t>ils of any new collaboration proposals via email for consideration.</w:t>
            </w:r>
          </w:p>
          <w:p w14:paraId="0635F763" w14:textId="77777777" w:rsidR="00A70030" w:rsidRPr="009247FD" w:rsidRDefault="00A70030" w:rsidP="00073385">
            <w:pPr>
              <w:pStyle w:val="ListParagraph0"/>
              <w:numPr>
                <w:ilvl w:val="0"/>
                <w:numId w:val="457"/>
              </w:numPr>
              <w:spacing w:before="60" w:after="60" w:line="240" w:lineRule="auto"/>
              <w:rPr>
                <w:rFonts w:cs="Arial"/>
                <w:sz w:val="20"/>
                <w:szCs w:val="20"/>
              </w:rPr>
            </w:pPr>
            <w:r>
              <w:rPr>
                <w:rFonts w:cs="Arial"/>
                <w:sz w:val="20"/>
                <w:szCs w:val="20"/>
              </w:rPr>
              <w:t>N</w:t>
            </w:r>
            <w:r w:rsidRPr="009247FD">
              <w:rPr>
                <w:rFonts w:cs="Arial"/>
                <w:sz w:val="20"/>
                <w:szCs w:val="20"/>
              </w:rPr>
              <w:t xml:space="preserve">ot interested in </w:t>
            </w:r>
            <w:r>
              <w:rPr>
                <w:rFonts w:cs="Arial"/>
                <w:sz w:val="20"/>
                <w:szCs w:val="20"/>
              </w:rPr>
              <w:t>working with VFA on a joint stock assessment.</w:t>
            </w:r>
          </w:p>
          <w:p w14:paraId="5F6042B7" w14:textId="77777777" w:rsidR="00A70030" w:rsidRPr="009247FD" w:rsidRDefault="00A70030" w:rsidP="00073385">
            <w:pPr>
              <w:pStyle w:val="ListParagraph0"/>
              <w:numPr>
                <w:ilvl w:val="0"/>
                <w:numId w:val="457"/>
              </w:numPr>
              <w:spacing w:before="60" w:after="60" w:line="240" w:lineRule="auto"/>
              <w:rPr>
                <w:rFonts w:cs="Arial"/>
                <w:sz w:val="20"/>
                <w:szCs w:val="20"/>
              </w:rPr>
            </w:pPr>
            <w:r>
              <w:rPr>
                <w:rFonts w:cs="Arial"/>
                <w:sz w:val="20"/>
                <w:szCs w:val="20"/>
              </w:rPr>
              <w:t>A</w:t>
            </w:r>
            <w:r w:rsidRPr="009247FD">
              <w:rPr>
                <w:rFonts w:cs="Arial"/>
                <w:sz w:val="20"/>
                <w:szCs w:val="20"/>
              </w:rPr>
              <w:t xml:space="preserve">lready knows where scallops are; does not need to complete </w:t>
            </w:r>
            <w:r>
              <w:rPr>
                <w:rFonts w:cs="Arial"/>
                <w:sz w:val="20"/>
                <w:szCs w:val="20"/>
              </w:rPr>
              <w:t>a stock assessment for themselves.</w:t>
            </w:r>
          </w:p>
          <w:p w14:paraId="0AEC57B3" w14:textId="77777777" w:rsidR="00A70030" w:rsidRPr="009247FD" w:rsidRDefault="00A70030" w:rsidP="00073385">
            <w:pPr>
              <w:pStyle w:val="ListParagraph0"/>
              <w:numPr>
                <w:ilvl w:val="0"/>
                <w:numId w:val="457"/>
              </w:numPr>
              <w:spacing w:before="60" w:after="60" w:line="240" w:lineRule="auto"/>
              <w:rPr>
                <w:rFonts w:cs="Arial"/>
                <w:sz w:val="20"/>
                <w:szCs w:val="20"/>
              </w:rPr>
            </w:pPr>
            <w:r>
              <w:rPr>
                <w:rFonts w:cs="Arial"/>
                <w:sz w:val="20"/>
                <w:szCs w:val="20"/>
              </w:rPr>
              <w:t xml:space="preserve">Their view is that </w:t>
            </w:r>
            <w:r w:rsidRPr="009247FD">
              <w:rPr>
                <w:rFonts w:cs="Arial"/>
                <w:sz w:val="20"/>
                <w:szCs w:val="20"/>
              </w:rPr>
              <w:t xml:space="preserve">non-intrusive survey methods are </w:t>
            </w:r>
            <w:r>
              <w:rPr>
                <w:rFonts w:cs="Arial"/>
                <w:sz w:val="20"/>
                <w:szCs w:val="20"/>
              </w:rPr>
              <w:t xml:space="preserve">not industry standard, whereas a </w:t>
            </w:r>
            <w:r w:rsidRPr="009247FD">
              <w:rPr>
                <w:rFonts w:cs="Arial"/>
                <w:sz w:val="20"/>
                <w:szCs w:val="20"/>
              </w:rPr>
              <w:t>dre</w:t>
            </w:r>
            <w:r>
              <w:rPr>
                <w:rFonts w:cs="Arial"/>
                <w:sz w:val="20"/>
                <w:szCs w:val="20"/>
              </w:rPr>
              <w:t>dging method is standard.</w:t>
            </w:r>
          </w:p>
          <w:p w14:paraId="27ED331D" w14:textId="77777777" w:rsidR="00A70030" w:rsidRPr="009247FD" w:rsidRDefault="00A70030" w:rsidP="00073385">
            <w:pPr>
              <w:pStyle w:val="ListParagraph0"/>
              <w:numPr>
                <w:ilvl w:val="0"/>
                <w:numId w:val="457"/>
              </w:numPr>
              <w:spacing w:before="60" w:after="60" w:line="240" w:lineRule="auto"/>
              <w:rPr>
                <w:rFonts w:cs="Arial"/>
                <w:sz w:val="20"/>
                <w:szCs w:val="20"/>
              </w:rPr>
            </w:pPr>
            <w:r>
              <w:rPr>
                <w:rFonts w:cs="Arial"/>
                <w:sz w:val="20"/>
                <w:szCs w:val="20"/>
              </w:rPr>
              <w:t>They are</w:t>
            </w:r>
            <w:r w:rsidRPr="009247FD">
              <w:rPr>
                <w:rFonts w:cs="Arial"/>
                <w:sz w:val="20"/>
                <w:szCs w:val="20"/>
              </w:rPr>
              <w:t xml:space="preserve"> proceeding with its own stock assessment regardless </w:t>
            </w:r>
            <w:r>
              <w:rPr>
                <w:rFonts w:cs="Arial"/>
                <w:sz w:val="20"/>
                <w:szCs w:val="20"/>
              </w:rPr>
              <w:t xml:space="preserve">of CarbonNet’s contribution or participation. </w:t>
            </w:r>
          </w:p>
          <w:p w14:paraId="51CEA525" w14:textId="77777777" w:rsidR="00A70030" w:rsidRPr="009247FD" w:rsidRDefault="00A70030" w:rsidP="00073385">
            <w:pPr>
              <w:pStyle w:val="ListParagraph0"/>
              <w:numPr>
                <w:ilvl w:val="0"/>
                <w:numId w:val="457"/>
              </w:numPr>
              <w:spacing w:before="60" w:after="60" w:line="240" w:lineRule="auto"/>
              <w:rPr>
                <w:rFonts w:cs="Arial"/>
                <w:sz w:val="20"/>
                <w:szCs w:val="20"/>
              </w:rPr>
            </w:pPr>
            <w:r>
              <w:rPr>
                <w:rFonts w:cs="Arial"/>
                <w:sz w:val="20"/>
                <w:szCs w:val="20"/>
              </w:rPr>
              <w:t>Raised</w:t>
            </w:r>
            <w:r w:rsidRPr="009247FD">
              <w:rPr>
                <w:rFonts w:cs="Arial"/>
                <w:sz w:val="20"/>
                <w:szCs w:val="20"/>
              </w:rPr>
              <w:t xml:space="preserve"> questions </w:t>
            </w:r>
            <w:r>
              <w:rPr>
                <w:rFonts w:cs="Arial"/>
                <w:sz w:val="20"/>
                <w:szCs w:val="20"/>
              </w:rPr>
              <w:t xml:space="preserve">about </w:t>
            </w:r>
            <w:r w:rsidRPr="009247FD">
              <w:rPr>
                <w:rFonts w:cs="Arial"/>
                <w:sz w:val="20"/>
                <w:szCs w:val="20"/>
              </w:rPr>
              <w:t xml:space="preserve">maritime safety and right of way laws should </w:t>
            </w:r>
            <w:r>
              <w:rPr>
                <w:rFonts w:cs="Arial"/>
                <w:sz w:val="20"/>
                <w:szCs w:val="20"/>
              </w:rPr>
              <w:t xml:space="preserve">the </w:t>
            </w:r>
            <w:r w:rsidRPr="009247FD">
              <w:rPr>
                <w:rFonts w:cs="Arial"/>
                <w:sz w:val="20"/>
                <w:szCs w:val="20"/>
              </w:rPr>
              <w:t xml:space="preserve">survey vessel encounter another </w:t>
            </w:r>
            <w:r>
              <w:rPr>
                <w:rFonts w:cs="Arial"/>
                <w:sz w:val="20"/>
                <w:szCs w:val="20"/>
              </w:rPr>
              <w:t>vessel.</w:t>
            </w:r>
            <w:r w:rsidRPr="009247FD">
              <w:rPr>
                <w:rFonts w:cs="Arial"/>
                <w:sz w:val="20"/>
                <w:szCs w:val="20"/>
              </w:rPr>
              <w:t xml:space="preserve"> </w:t>
            </w:r>
          </w:p>
          <w:p w14:paraId="7FA24C76" w14:textId="77777777" w:rsidR="00A70030" w:rsidRDefault="00A70030" w:rsidP="00073385">
            <w:pPr>
              <w:pStyle w:val="ListParagraph0"/>
              <w:numPr>
                <w:ilvl w:val="0"/>
                <w:numId w:val="457"/>
              </w:numPr>
              <w:spacing w:before="60" w:after="60" w:line="240" w:lineRule="auto"/>
              <w:rPr>
                <w:rFonts w:cs="Arial"/>
                <w:sz w:val="20"/>
                <w:szCs w:val="20"/>
              </w:rPr>
            </w:pPr>
            <w:r>
              <w:rPr>
                <w:rFonts w:cs="Arial"/>
                <w:sz w:val="20"/>
                <w:szCs w:val="20"/>
              </w:rPr>
              <w:t>R</w:t>
            </w:r>
            <w:r w:rsidRPr="009247FD">
              <w:rPr>
                <w:rFonts w:cs="Arial"/>
                <w:sz w:val="20"/>
                <w:szCs w:val="20"/>
              </w:rPr>
              <w:t xml:space="preserve">efused to provide any information on </w:t>
            </w:r>
            <w:r>
              <w:rPr>
                <w:rFonts w:cs="Arial"/>
                <w:sz w:val="20"/>
                <w:szCs w:val="20"/>
              </w:rPr>
              <w:t xml:space="preserve">the </w:t>
            </w:r>
            <w:r w:rsidRPr="009247FD">
              <w:rPr>
                <w:rFonts w:cs="Arial"/>
                <w:sz w:val="20"/>
                <w:szCs w:val="20"/>
              </w:rPr>
              <w:t>location of scallop beds in MSS area</w:t>
            </w:r>
            <w:r>
              <w:rPr>
                <w:rFonts w:cs="Arial"/>
                <w:sz w:val="20"/>
                <w:szCs w:val="20"/>
              </w:rPr>
              <w:t xml:space="preserve"> as that is commercial-in-confidence.</w:t>
            </w:r>
          </w:p>
          <w:p w14:paraId="105C4AC6" w14:textId="77777777" w:rsidR="00A70030" w:rsidRPr="009247FD" w:rsidRDefault="00A70030" w:rsidP="00073385">
            <w:pPr>
              <w:spacing w:before="60" w:after="60" w:line="240" w:lineRule="auto"/>
              <w:ind w:left="0"/>
              <w:rPr>
                <w:rFonts w:cs="Arial"/>
                <w:sz w:val="20"/>
                <w:szCs w:val="20"/>
              </w:rPr>
            </w:pPr>
          </w:p>
          <w:p w14:paraId="3FAD43CE" w14:textId="77777777" w:rsidR="00A70030" w:rsidRDefault="00A70030" w:rsidP="00073385">
            <w:pPr>
              <w:spacing w:before="60" w:after="60" w:line="240" w:lineRule="auto"/>
              <w:ind w:left="0"/>
              <w:rPr>
                <w:rFonts w:cs="Arial"/>
                <w:sz w:val="20"/>
                <w:szCs w:val="20"/>
              </w:rPr>
            </w:pPr>
            <w:r>
              <w:rPr>
                <w:rFonts w:cs="Arial"/>
                <w:sz w:val="20"/>
                <w:szCs w:val="20"/>
              </w:rPr>
              <w:t>CarbonNet commited to:</w:t>
            </w:r>
          </w:p>
          <w:p w14:paraId="750F0050" w14:textId="77777777" w:rsidR="00A70030" w:rsidRDefault="00A70030" w:rsidP="00073385">
            <w:pPr>
              <w:pStyle w:val="ListParagraph0"/>
              <w:numPr>
                <w:ilvl w:val="0"/>
                <w:numId w:val="457"/>
              </w:numPr>
              <w:spacing w:before="60" w:after="60" w:line="240" w:lineRule="auto"/>
              <w:rPr>
                <w:rFonts w:cs="Arial"/>
                <w:sz w:val="20"/>
                <w:szCs w:val="20"/>
              </w:rPr>
            </w:pPr>
            <w:r>
              <w:rPr>
                <w:rFonts w:cs="Arial"/>
                <w:sz w:val="20"/>
                <w:szCs w:val="20"/>
              </w:rPr>
              <w:t>Send VSFA a proposal that outlines possible collaboration opportunities.</w:t>
            </w:r>
          </w:p>
          <w:p w14:paraId="5B8BEC08" w14:textId="77777777" w:rsidR="00A70030" w:rsidRDefault="00A70030" w:rsidP="00073385">
            <w:pPr>
              <w:pStyle w:val="ListParagraph0"/>
              <w:numPr>
                <w:ilvl w:val="0"/>
                <w:numId w:val="457"/>
              </w:numPr>
              <w:spacing w:before="60" w:after="60" w:line="240" w:lineRule="auto"/>
              <w:rPr>
                <w:rFonts w:cs="Arial"/>
                <w:sz w:val="20"/>
                <w:szCs w:val="20"/>
              </w:rPr>
            </w:pPr>
            <w:r>
              <w:rPr>
                <w:rFonts w:cs="Arial"/>
                <w:sz w:val="20"/>
                <w:szCs w:val="20"/>
              </w:rPr>
              <w:t>Send VSFA information on the STLM when complete.</w:t>
            </w:r>
          </w:p>
          <w:p w14:paraId="21EAC932" w14:textId="77777777" w:rsidR="00A70030" w:rsidRDefault="00A70030" w:rsidP="00073385">
            <w:pPr>
              <w:pStyle w:val="ListParagraph0"/>
              <w:numPr>
                <w:ilvl w:val="0"/>
                <w:numId w:val="457"/>
              </w:numPr>
              <w:spacing w:before="60" w:after="60" w:line="240" w:lineRule="auto"/>
              <w:rPr>
                <w:rFonts w:cs="Arial"/>
                <w:sz w:val="20"/>
                <w:szCs w:val="20"/>
              </w:rPr>
            </w:pPr>
            <w:r>
              <w:rPr>
                <w:rFonts w:cs="Arial"/>
                <w:sz w:val="20"/>
                <w:szCs w:val="20"/>
              </w:rPr>
              <w:t>Send VSFA the assessment of impacts to the scallop fishery from the EP.</w:t>
            </w:r>
          </w:p>
          <w:p w14:paraId="47355848" w14:textId="77777777" w:rsidR="00A70030" w:rsidRDefault="00A70030" w:rsidP="00073385">
            <w:pPr>
              <w:pStyle w:val="ListParagraph0"/>
              <w:numPr>
                <w:ilvl w:val="0"/>
                <w:numId w:val="457"/>
              </w:numPr>
              <w:spacing w:before="60" w:after="60" w:line="240" w:lineRule="auto"/>
              <w:rPr>
                <w:rFonts w:cs="Arial"/>
                <w:sz w:val="20"/>
                <w:szCs w:val="20"/>
              </w:rPr>
            </w:pPr>
            <w:r>
              <w:rPr>
                <w:rFonts w:cs="Arial"/>
                <w:sz w:val="20"/>
                <w:szCs w:val="20"/>
              </w:rPr>
              <w:t>Hold another meeting with VSFA to discuss before submitting EP.</w:t>
            </w:r>
          </w:p>
          <w:p w14:paraId="6488A92E" w14:textId="77777777" w:rsidR="00A70030" w:rsidRDefault="00A70030" w:rsidP="00073385">
            <w:pPr>
              <w:spacing w:before="60" w:after="60" w:line="240" w:lineRule="auto"/>
              <w:ind w:left="0"/>
              <w:rPr>
                <w:rFonts w:cs="Arial"/>
                <w:sz w:val="20"/>
                <w:szCs w:val="20"/>
              </w:rPr>
            </w:pPr>
          </w:p>
        </w:tc>
        <w:tc>
          <w:tcPr>
            <w:tcW w:w="3802" w:type="dxa"/>
            <w:tcBorders>
              <w:top w:val="single" w:sz="4" w:space="0" w:color="auto"/>
              <w:bottom w:val="single" w:sz="4" w:space="0" w:color="auto"/>
            </w:tcBorders>
            <w:shd w:val="clear" w:color="auto" w:fill="auto"/>
          </w:tcPr>
          <w:p w14:paraId="69CF408C" w14:textId="77777777" w:rsidR="00A70030" w:rsidRDefault="00A70030" w:rsidP="00073385">
            <w:pPr>
              <w:spacing w:before="60" w:after="60" w:line="240" w:lineRule="auto"/>
              <w:ind w:left="0"/>
              <w:rPr>
                <w:rFonts w:cs="Arial"/>
                <w:sz w:val="20"/>
                <w:szCs w:val="20"/>
              </w:rPr>
            </w:pPr>
            <w:r>
              <w:rPr>
                <w:rFonts w:cs="Arial"/>
                <w:sz w:val="20"/>
                <w:szCs w:val="20"/>
              </w:rPr>
              <w:t>CarbonNet emailed VSFA on 31/5/17 with collaboration proposals for joint studies/stock assessments:</w:t>
            </w:r>
          </w:p>
          <w:p w14:paraId="4EEC17D8" w14:textId="77777777" w:rsidR="00A70030" w:rsidRPr="0006381D" w:rsidRDefault="00A70030" w:rsidP="00073385">
            <w:pPr>
              <w:pStyle w:val="ListParagraph0"/>
              <w:numPr>
                <w:ilvl w:val="0"/>
                <w:numId w:val="469"/>
              </w:numPr>
              <w:spacing w:before="60" w:after="60" w:line="240" w:lineRule="auto"/>
              <w:rPr>
                <w:rFonts w:cs="Arial"/>
                <w:sz w:val="20"/>
                <w:szCs w:val="20"/>
              </w:rPr>
            </w:pPr>
            <w:r>
              <w:rPr>
                <w:rFonts w:cs="Arial"/>
                <w:sz w:val="20"/>
                <w:szCs w:val="20"/>
              </w:rPr>
              <w:t>Conduct f</w:t>
            </w:r>
            <w:r w:rsidRPr="00C315E0">
              <w:rPr>
                <w:rFonts w:cs="Arial"/>
                <w:sz w:val="20"/>
                <w:szCs w:val="20"/>
              </w:rPr>
              <w:t>ield observations pre</w:t>
            </w:r>
            <w:r>
              <w:rPr>
                <w:rFonts w:cs="Arial"/>
                <w:sz w:val="20"/>
                <w:szCs w:val="20"/>
              </w:rPr>
              <w:t>-</w:t>
            </w:r>
            <w:r w:rsidRPr="00C315E0">
              <w:rPr>
                <w:rFonts w:cs="Arial"/>
                <w:sz w:val="20"/>
                <w:szCs w:val="20"/>
              </w:rPr>
              <w:t xml:space="preserve"> and post</w:t>
            </w:r>
            <w:r>
              <w:rPr>
                <w:rFonts w:cs="Arial"/>
                <w:sz w:val="20"/>
                <w:szCs w:val="20"/>
              </w:rPr>
              <w:t xml:space="preserve">-MSS </w:t>
            </w:r>
            <w:r w:rsidRPr="00C315E0">
              <w:rPr>
                <w:rFonts w:cs="Arial"/>
                <w:sz w:val="20"/>
                <w:szCs w:val="20"/>
              </w:rPr>
              <w:t xml:space="preserve">via non intrusive methods </w:t>
            </w:r>
            <w:r>
              <w:rPr>
                <w:rFonts w:cs="Arial"/>
                <w:sz w:val="20"/>
                <w:szCs w:val="20"/>
              </w:rPr>
              <w:t>(</w:t>
            </w:r>
            <w:r w:rsidRPr="00C315E0">
              <w:rPr>
                <w:rFonts w:cs="Arial"/>
                <w:sz w:val="20"/>
                <w:szCs w:val="20"/>
              </w:rPr>
              <w:t>e</w:t>
            </w:r>
            <w:r>
              <w:rPr>
                <w:rFonts w:cs="Arial"/>
                <w:sz w:val="20"/>
                <w:szCs w:val="20"/>
              </w:rPr>
              <w:t>.</w:t>
            </w:r>
            <w:r w:rsidRPr="00C315E0">
              <w:rPr>
                <w:rFonts w:cs="Arial"/>
                <w:sz w:val="20"/>
                <w:szCs w:val="20"/>
              </w:rPr>
              <w:t>g</w:t>
            </w:r>
            <w:r>
              <w:rPr>
                <w:rFonts w:cs="Arial"/>
                <w:sz w:val="20"/>
                <w:szCs w:val="20"/>
              </w:rPr>
              <w:t>.,</w:t>
            </w:r>
            <w:r w:rsidRPr="00C315E0">
              <w:rPr>
                <w:rFonts w:cs="Arial"/>
                <w:sz w:val="20"/>
                <w:szCs w:val="20"/>
              </w:rPr>
              <w:t xml:space="preserve"> video and diver inspection</w:t>
            </w:r>
            <w:r>
              <w:rPr>
                <w:rFonts w:cs="Arial"/>
                <w:sz w:val="20"/>
                <w:szCs w:val="20"/>
              </w:rPr>
              <w:t>)</w:t>
            </w:r>
            <w:r w:rsidRPr="00C315E0">
              <w:rPr>
                <w:rFonts w:cs="Arial"/>
                <w:sz w:val="20"/>
                <w:szCs w:val="20"/>
              </w:rPr>
              <w:t xml:space="preserve">, within and adjacent to CarbonNet's proposed </w:t>
            </w:r>
            <w:r>
              <w:rPr>
                <w:rFonts w:cs="Arial"/>
                <w:sz w:val="20"/>
                <w:szCs w:val="20"/>
              </w:rPr>
              <w:t>acquisition</w:t>
            </w:r>
            <w:r w:rsidRPr="00C315E0">
              <w:rPr>
                <w:rFonts w:cs="Arial"/>
                <w:sz w:val="20"/>
                <w:szCs w:val="20"/>
              </w:rPr>
              <w:t xml:space="preserve"> area, solely at CarbonNet's cost. The field observations </w:t>
            </w:r>
            <w:r>
              <w:rPr>
                <w:rFonts w:cs="Arial"/>
                <w:sz w:val="20"/>
                <w:szCs w:val="20"/>
              </w:rPr>
              <w:t xml:space="preserve">are </w:t>
            </w:r>
            <w:r w:rsidRPr="00C315E0">
              <w:rPr>
                <w:rFonts w:cs="Arial"/>
                <w:sz w:val="20"/>
                <w:szCs w:val="20"/>
              </w:rPr>
              <w:t>to be undertaken by qualified marine biologists. VSFA could participate in the design of the field observation methodology, along with other representatives, and be present during the observations. It may be possible to engage a VSFA vessel from which to take the field observations.</w:t>
            </w:r>
          </w:p>
          <w:p w14:paraId="525BA344" w14:textId="77777777" w:rsidR="00A70030" w:rsidRPr="0006381D" w:rsidRDefault="00A70030" w:rsidP="00073385">
            <w:pPr>
              <w:pStyle w:val="ListParagraph0"/>
              <w:numPr>
                <w:ilvl w:val="0"/>
                <w:numId w:val="469"/>
              </w:numPr>
              <w:spacing w:before="60" w:after="60" w:line="240" w:lineRule="auto"/>
              <w:rPr>
                <w:rFonts w:cs="Arial"/>
                <w:sz w:val="20"/>
                <w:szCs w:val="20"/>
              </w:rPr>
            </w:pPr>
            <w:r>
              <w:rPr>
                <w:rFonts w:cs="Arial"/>
                <w:sz w:val="20"/>
                <w:szCs w:val="20"/>
              </w:rPr>
              <w:t>C</w:t>
            </w:r>
            <w:r w:rsidRPr="00C315E0">
              <w:rPr>
                <w:rFonts w:cs="Arial"/>
                <w:sz w:val="20"/>
                <w:szCs w:val="20"/>
              </w:rPr>
              <w:t xml:space="preserve">arbonNet </w:t>
            </w:r>
            <w:r>
              <w:rPr>
                <w:rFonts w:cs="Arial"/>
                <w:sz w:val="20"/>
                <w:szCs w:val="20"/>
              </w:rPr>
              <w:t xml:space="preserve">could provide </w:t>
            </w:r>
            <w:r w:rsidRPr="00C315E0">
              <w:rPr>
                <w:rFonts w:cs="Arial"/>
                <w:sz w:val="20"/>
                <w:szCs w:val="20"/>
              </w:rPr>
              <w:t>a financial contribution to a scientifically</w:t>
            </w:r>
            <w:r>
              <w:rPr>
                <w:rFonts w:cs="Arial"/>
                <w:sz w:val="20"/>
                <w:szCs w:val="20"/>
              </w:rPr>
              <w:t>-</w:t>
            </w:r>
            <w:r w:rsidRPr="00C315E0">
              <w:rPr>
                <w:rFonts w:cs="Arial"/>
                <w:sz w:val="20"/>
                <w:szCs w:val="20"/>
              </w:rPr>
              <w:t>sound  Victorian Eastern Zone Scallop Fishery stock assessment undertaken by VSFA in conjunction with other industry groups (e</w:t>
            </w:r>
            <w:r>
              <w:rPr>
                <w:rFonts w:cs="Arial"/>
                <w:sz w:val="20"/>
                <w:szCs w:val="20"/>
              </w:rPr>
              <w:t>.</w:t>
            </w:r>
            <w:r w:rsidRPr="00C315E0">
              <w:rPr>
                <w:rFonts w:cs="Arial"/>
                <w:sz w:val="20"/>
                <w:szCs w:val="20"/>
              </w:rPr>
              <w:t>g</w:t>
            </w:r>
            <w:r>
              <w:rPr>
                <w:rFonts w:cs="Arial"/>
                <w:sz w:val="20"/>
                <w:szCs w:val="20"/>
              </w:rPr>
              <w:t>.,</w:t>
            </w:r>
            <w:r w:rsidRPr="00C315E0">
              <w:rPr>
                <w:rFonts w:cs="Arial"/>
                <w:sz w:val="20"/>
                <w:szCs w:val="20"/>
              </w:rPr>
              <w:t xml:space="preserve"> SIV) and regulators (e</w:t>
            </w:r>
            <w:r>
              <w:rPr>
                <w:rFonts w:cs="Arial"/>
                <w:sz w:val="20"/>
                <w:szCs w:val="20"/>
              </w:rPr>
              <w:t>.</w:t>
            </w:r>
            <w:r w:rsidRPr="00C315E0">
              <w:rPr>
                <w:rFonts w:cs="Arial"/>
                <w:sz w:val="20"/>
                <w:szCs w:val="20"/>
              </w:rPr>
              <w:t>g</w:t>
            </w:r>
            <w:r>
              <w:rPr>
                <w:rFonts w:cs="Arial"/>
                <w:sz w:val="20"/>
                <w:szCs w:val="20"/>
              </w:rPr>
              <w:t>.,</w:t>
            </w:r>
            <w:r w:rsidRPr="00C315E0">
              <w:rPr>
                <w:rFonts w:cs="Arial"/>
                <w:sz w:val="20"/>
                <w:szCs w:val="20"/>
              </w:rPr>
              <w:t xml:space="preserve"> </w:t>
            </w:r>
            <w:r>
              <w:rPr>
                <w:rFonts w:cs="Arial"/>
                <w:sz w:val="20"/>
                <w:szCs w:val="20"/>
              </w:rPr>
              <w:t>VFA</w:t>
            </w:r>
            <w:r w:rsidRPr="00C315E0">
              <w:rPr>
                <w:rFonts w:cs="Arial"/>
                <w:sz w:val="20"/>
                <w:szCs w:val="20"/>
              </w:rPr>
              <w:t>). Pending confirmation of the expected scope and total costs, CarbonNet could consider a contribution up to 10% or $200</w:t>
            </w:r>
            <w:r>
              <w:rPr>
                <w:rFonts w:cs="Arial"/>
                <w:sz w:val="20"/>
                <w:szCs w:val="20"/>
              </w:rPr>
              <w:t xml:space="preserve">,000, which ever is the greater. </w:t>
            </w:r>
          </w:p>
          <w:p w14:paraId="209353D4" w14:textId="77777777" w:rsidR="00A70030" w:rsidRPr="0006381D" w:rsidRDefault="00A70030" w:rsidP="00073385">
            <w:pPr>
              <w:pStyle w:val="ListParagraph0"/>
              <w:numPr>
                <w:ilvl w:val="0"/>
                <w:numId w:val="469"/>
              </w:numPr>
              <w:spacing w:before="60" w:after="60" w:line="240" w:lineRule="auto"/>
              <w:rPr>
                <w:rFonts w:cs="Arial"/>
                <w:sz w:val="20"/>
                <w:szCs w:val="20"/>
              </w:rPr>
            </w:pPr>
            <w:r>
              <w:rPr>
                <w:rFonts w:cs="Arial"/>
                <w:sz w:val="20"/>
                <w:szCs w:val="20"/>
              </w:rPr>
              <w:t>A</w:t>
            </w:r>
            <w:r w:rsidRPr="00C315E0">
              <w:rPr>
                <w:rFonts w:cs="Arial"/>
                <w:sz w:val="20"/>
                <w:szCs w:val="20"/>
              </w:rPr>
              <w:t xml:space="preserve"> financial contribution could be made towards equipment that the </w:t>
            </w:r>
            <w:r w:rsidRPr="00C315E0">
              <w:rPr>
                <w:rFonts w:cs="Arial"/>
                <w:sz w:val="20"/>
                <w:szCs w:val="20"/>
              </w:rPr>
              <w:lastRenderedPageBreak/>
              <w:t xml:space="preserve">VSFA considers would benefit the industry in terms of sustainability of the scallop fishery or the safe operations of scallop fishers at sea. Scope and value </w:t>
            </w:r>
            <w:r>
              <w:rPr>
                <w:rFonts w:cs="Arial"/>
                <w:sz w:val="20"/>
                <w:szCs w:val="20"/>
              </w:rPr>
              <w:t xml:space="preserve">are </w:t>
            </w:r>
            <w:r w:rsidRPr="00C315E0">
              <w:rPr>
                <w:rFonts w:cs="Arial"/>
                <w:sz w:val="20"/>
                <w:szCs w:val="20"/>
              </w:rPr>
              <w:t>subject to further discussion.</w:t>
            </w:r>
          </w:p>
          <w:p w14:paraId="4F03A39D" w14:textId="77777777" w:rsidR="00A70030" w:rsidRPr="00C315E0" w:rsidRDefault="00A70030" w:rsidP="00073385">
            <w:pPr>
              <w:pStyle w:val="ListParagraph0"/>
              <w:numPr>
                <w:ilvl w:val="0"/>
                <w:numId w:val="469"/>
              </w:numPr>
              <w:spacing w:before="60" w:after="60" w:line="240" w:lineRule="auto"/>
              <w:rPr>
                <w:rFonts w:cs="Arial"/>
                <w:sz w:val="20"/>
                <w:szCs w:val="20"/>
              </w:rPr>
            </w:pPr>
            <w:r>
              <w:rPr>
                <w:rFonts w:cs="Arial"/>
                <w:sz w:val="20"/>
                <w:szCs w:val="20"/>
              </w:rPr>
              <w:t>C</w:t>
            </w:r>
            <w:r w:rsidRPr="00C315E0">
              <w:rPr>
                <w:rFonts w:cs="Arial"/>
                <w:sz w:val="20"/>
                <w:szCs w:val="20"/>
              </w:rPr>
              <w:t xml:space="preserve">arbonNet offers to meet the reasonable costs of the VSFA in notifying its members as part of the operational phase of the </w:t>
            </w:r>
            <w:r>
              <w:rPr>
                <w:rFonts w:cs="Arial"/>
                <w:sz w:val="20"/>
                <w:szCs w:val="20"/>
              </w:rPr>
              <w:t>MSS</w:t>
            </w:r>
            <w:r w:rsidRPr="00C315E0">
              <w:rPr>
                <w:rFonts w:cs="Arial"/>
                <w:sz w:val="20"/>
                <w:szCs w:val="20"/>
              </w:rPr>
              <w:t>, should it be approved by regulators. Scope and value subject to further discussion.</w:t>
            </w:r>
          </w:p>
          <w:p w14:paraId="59A88F55" w14:textId="77777777" w:rsidR="00A70030" w:rsidRDefault="00A70030" w:rsidP="00073385">
            <w:pPr>
              <w:spacing w:before="60" w:after="60" w:line="240" w:lineRule="auto"/>
              <w:ind w:left="0"/>
              <w:rPr>
                <w:rFonts w:cs="Arial"/>
                <w:sz w:val="20"/>
                <w:szCs w:val="20"/>
              </w:rPr>
            </w:pPr>
          </w:p>
          <w:p w14:paraId="328F8CCB" w14:textId="77777777" w:rsidR="00A70030" w:rsidRPr="002C33FF" w:rsidRDefault="00A70030" w:rsidP="00073385">
            <w:pPr>
              <w:spacing w:before="60" w:after="60" w:line="240" w:lineRule="auto"/>
              <w:ind w:left="0"/>
              <w:rPr>
                <w:rFonts w:cs="Arial"/>
                <w:sz w:val="20"/>
                <w:szCs w:val="20"/>
              </w:rPr>
            </w:pPr>
            <w:r w:rsidRPr="002C33FF">
              <w:rPr>
                <w:rFonts w:cs="Arial"/>
                <w:sz w:val="20"/>
                <w:szCs w:val="20"/>
              </w:rPr>
              <w:t>CarbonNet noted that VSFA expressed an unwillingness to work with VFA, so requested feedback on these options. CarbonNet also said it is not in a position to fund an activity that is contrary to the scope of its proposed MSS under the relevant legislation.</w:t>
            </w:r>
          </w:p>
          <w:p w14:paraId="48190437" w14:textId="77777777" w:rsidR="00A70030" w:rsidRPr="002C33FF" w:rsidRDefault="00A70030" w:rsidP="00073385">
            <w:pPr>
              <w:spacing w:before="60" w:after="60" w:line="240" w:lineRule="auto"/>
              <w:ind w:left="0"/>
              <w:rPr>
                <w:rFonts w:cs="Arial"/>
                <w:sz w:val="20"/>
                <w:szCs w:val="20"/>
              </w:rPr>
            </w:pPr>
          </w:p>
          <w:p w14:paraId="02C37BDD" w14:textId="77777777" w:rsidR="00A70030" w:rsidRPr="002C33FF" w:rsidRDefault="00A70030" w:rsidP="00073385">
            <w:pPr>
              <w:spacing w:before="60" w:after="60" w:line="240" w:lineRule="auto"/>
              <w:ind w:left="0"/>
              <w:rPr>
                <w:rFonts w:cs="Arial"/>
                <w:sz w:val="20"/>
                <w:szCs w:val="20"/>
              </w:rPr>
            </w:pPr>
            <w:r w:rsidRPr="002C33FF">
              <w:rPr>
                <w:rFonts w:cs="Arial"/>
                <w:sz w:val="20"/>
                <w:szCs w:val="20"/>
              </w:rPr>
              <w:t>CarbonNet reiterated its commitment to provide the STLM results, when complete, and CarbonNet’s draft risk assessment addressing the concerns raised by VSFA.</w:t>
            </w:r>
          </w:p>
          <w:p w14:paraId="20738482" w14:textId="77777777" w:rsidR="00A70030" w:rsidRPr="002C33FF" w:rsidRDefault="00A70030" w:rsidP="00073385">
            <w:pPr>
              <w:spacing w:before="60" w:after="60" w:line="240" w:lineRule="auto"/>
              <w:ind w:left="0"/>
              <w:rPr>
                <w:rFonts w:cs="Arial"/>
                <w:sz w:val="20"/>
                <w:szCs w:val="20"/>
              </w:rPr>
            </w:pPr>
          </w:p>
          <w:p w14:paraId="0AAF440D" w14:textId="77777777" w:rsidR="00A70030" w:rsidRDefault="00A70030" w:rsidP="00073385">
            <w:pPr>
              <w:spacing w:before="60" w:after="60" w:line="240" w:lineRule="auto"/>
              <w:ind w:left="0"/>
              <w:rPr>
                <w:rFonts w:cs="Arial"/>
                <w:sz w:val="20"/>
                <w:szCs w:val="20"/>
              </w:rPr>
            </w:pPr>
            <w:r w:rsidRPr="002C33FF">
              <w:rPr>
                <w:rFonts w:cs="Arial"/>
                <w:sz w:val="20"/>
                <w:szCs w:val="20"/>
              </w:rPr>
              <w:t xml:space="preserve">CarbonNet again requested information on the location of any known scallop beds within and around the proposed MSS operational area.  CarbonNet confirmed it is considering a legal exclusion zone. CarbonNet also said it would provide further information on the law of the sea as part of operational </w:t>
            </w:r>
            <w:r w:rsidRPr="002C33FF">
              <w:rPr>
                <w:rFonts w:cs="Arial"/>
                <w:sz w:val="20"/>
                <w:szCs w:val="20"/>
              </w:rPr>
              <w:lastRenderedPageBreak/>
              <w:t>planning</w:t>
            </w:r>
          </w:p>
        </w:tc>
      </w:tr>
      <w:tr w:rsidR="00A70030" w:rsidRPr="00FF0808" w14:paraId="5C91F9B6" w14:textId="77777777" w:rsidTr="00905C82">
        <w:trPr>
          <w:trHeight w:val="970"/>
        </w:trPr>
        <w:tc>
          <w:tcPr>
            <w:tcW w:w="1427" w:type="dxa"/>
            <w:tcBorders>
              <w:top w:val="nil"/>
              <w:bottom w:val="nil"/>
            </w:tcBorders>
            <w:shd w:val="clear" w:color="auto" w:fill="auto"/>
          </w:tcPr>
          <w:p w14:paraId="221A39D9"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329EFC8"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5AE0A89A" w14:textId="77777777" w:rsidR="00A70030" w:rsidRDefault="00A70030" w:rsidP="00073385">
            <w:pPr>
              <w:spacing w:before="60" w:after="60" w:line="240" w:lineRule="auto"/>
              <w:ind w:left="0"/>
              <w:rPr>
                <w:rFonts w:cs="Arial"/>
                <w:sz w:val="20"/>
                <w:szCs w:val="20"/>
              </w:rPr>
            </w:pPr>
            <w:r>
              <w:rPr>
                <w:rFonts w:cs="Arial"/>
                <w:sz w:val="20"/>
                <w:szCs w:val="20"/>
              </w:rPr>
              <w:t>27/6/17</w:t>
            </w:r>
          </w:p>
          <w:p w14:paraId="77B1157A"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5F91DAFC" w14:textId="77777777" w:rsidR="00A70030" w:rsidRDefault="00A70030" w:rsidP="00073385">
            <w:pPr>
              <w:spacing w:before="60" w:after="60" w:line="240" w:lineRule="auto"/>
              <w:ind w:left="0"/>
              <w:rPr>
                <w:rFonts w:cs="Arial"/>
                <w:sz w:val="20"/>
                <w:szCs w:val="20"/>
              </w:rPr>
            </w:pPr>
            <w:r>
              <w:rPr>
                <w:rFonts w:cs="Arial"/>
                <w:sz w:val="20"/>
                <w:szCs w:val="20"/>
              </w:rPr>
              <w:t>CarbonNet sent the VSFA a summary of the STLM results, including an offer to make the acoustic consultant available to discuss the results. CarbonNet requested VSFA get in touch with any questions about the results.</w:t>
            </w:r>
          </w:p>
          <w:p w14:paraId="798AE483" w14:textId="77777777" w:rsidR="00A70030" w:rsidRDefault="00A70030" w:rsidP="00073385">
            <w:pPr>
              <w:spacing w:before="60" w:after="60" w:line="240" w:lineRule="auto"/>
              <w:ind w:left="0"/>
              <w:rPr>
                <w:rFonts w:cs="Arial"/>
                <w:sz w:val="20"/>
                <w:szCs w:val="20"/>
              </w:rPr>
            </w:pPr>
            <w:r>
              <w:rPr>
                <w:rFonts w:cs="Arial"/>
                <w:sz w:val="20"/>
                <w:szCs w:val="20"/>
              </w:rPr>
              <w:t xml:space="preserve">No response to this provision of data has been received to date. </w:t>
            </w:r>
          </w:p>
          <w:p w14:paraId="606D762A" w14:textId="77777777" w:rsidR="00A70030" w:rsidRDefault="00A70030" w:rsidP="00073385">
            <w:pPr>
              <w:spacing w:before="60" w:after="60" w:line="240" w:lineRule="auto"/>
              <w:ind w:left="0"/>
              <w:rPr>
                <w:rFonts w:cs="Arial"/>
                <w:sz w:val="20"/>
                <w:szCs w:val="20"/>
              </w:rPr>
            </w:pPr>
          </w:p>
        </w:tc>
        <w:tc>
          <w:tcPr>
            <w:tcW w:w="3802" w:type="dxa"/>
            <w:tcBorders>
              <w:top w:val="single" w:sz="4" w:space="0" w:color="auto"/>
              <w:bottom w:val="single" w:sz="4" w:space="0" w:color="auto"/>
            </w:tcBorders>
            <w:shd w:val="clear" w:color="auto" w:fill="auto"/>
          </w:tcPr>
          <w:p w14:paraId="625B1DC5"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1E10935" w14:textId="77777777" w:rsidTr="00891DE1">
        <w:trPr>
          <w:trHeight w:val="970"/>
        </w:trPr>
        <w:tc>
          <w:tcPr>
            <w:tcW w:w="1427" w:type="dxa"/>
            <w:tcBorders>
              <w:top w:val="nil"/>
              <w:bottom w:val="nil"/>
            </w:tcBorders>
            <w:shd w:val="clear" w:color="auto" w:fill="auto"/>
          </w:tcPr>
          <w:p w14:paraId="6725B194"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C1A5B46"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A2C6479" w14:textId="77777777" w:rsidR="00A70030" w:rsidRDefault="00A70030" w:rsidP="00073385">
            <w:pPr>
              <w:spacing w:before="60" w:after="60" w:line="240" w:lineRule="auto"/>
              <w:ind w:left="0"/>
              <w:rPr>
                <w:rFonts w:cs="Arial"/>
                <w:sz w:val="20"/>
                <w:szCs w:val="20"/>
              </w:rPr>
            </w:pPr>
            <w:r>
              <w:rPr>
                <w:rFonts w:cs="Arial"/>
                <w:sz w:val="20"/>
                <w:szCs w:val="20"/>
              </w:rPr>
              <w:t>5/7/17</w:t>
            </w:r>
          </w:p>
        </w:tc>
        <w:tc>
          <w:tcPr>
            <w:tcW w:w="6335" w:type="dxa"/>
            <w:tcBorders>
              <w:top w:val="single" w:sz="4" w:space="0" w:color="auto"/>
              <w:bottom w:val="single" w:sz="4" w:space="0" w:color="auto"/>
            </w:tcBorders>
            <w:shd w:val="clear" w:color="auto" w:fill="auto"/>
          </w:tcPr>
          <w:p w14:paraId="641739D7" w14:textId="77777777" w:rsidR="00A70030" w:rsidRDefault="00A70030" w:rsidP="00073385">
            <w:pPr>
              <w:spacing w:before="60" w:after="60" w:line="240" w:lineRule="auto"/>
              <w:ind w:left="0"/>
              <w:rPr>
                <w:rFonts w:cs="Arial"/>
                <w:sz w:val="20"/>
                <w:szCs w:val="20"/>
              </w:rPr>
            </w:pPr>
            <w:r>
              <w:rPr>
                <w:rFonts w:cs="Arial"/>
                <w:sz w:val="20"/>
                <w:szCs w:val="20"/>
              </w:rPr>
              <w:t>CarbonNet received an email from the VSFA requesting that CarbonNet consider the original proposal put forward by VSFA for a joint stock assessment. VSFA disputed CarbonNet’s email regarding the outcomes from the previous meeting, in particular  where VSFA stated they would not be willing to work with the VFA. VSFA stated they are willing to negotiate on their proposal and would like to meet to discuss.</w:t>
            </w:r>
          </w:p>
          <w:p w14:paraId="6A12DCAC" w14:textId="77777777" w:rsidR="00A70030" w:rsidRDefault="00A70030" w:rsidP="00073385">
            <w:pPr>
              <w:spacing w:before="60" w:after="60" w:line="240" w:lineRule="auto"/>
              <w:ind w:left="0"/>
              <w:rPr>
                <w:rFonts w:cs="Arial"/>
                <w:sz w:val="20"/>
                <w:szCs w:val="20"/>
              </w:rPr>
            </w:pPr>
          </w:p>
        </w:tc>
        <w:tc>
          <w:tcPr>
            <w:tcW w:w="3802" w:type="dxa"/>
            <w:tcBorders>
              <w:top w:val="single" w:sz="4" w:space="0" w:color="auto"/>
              <w:bottom w:val="single" w:sz="4" w:space="0" w:color="auto"/>
            </w:tcBorders>
            <w:shd w:val="clear" w:color="auto" w:fill="auto"/>
          </w:tcPr>
          <w:p w14:paraId="0FC55F2D" w14:textId="77777777" w:rsidR="00A70030" w:rsidRDefault="00A70030" w:rsidP="00073385">
            <w:pPr>
              <w:spacing w:before="60" w:after="60" w:line="240" w:lineRule="auto"/>
              <w:ind w:left="0"/>
              <w:rPr>
                <w:rFonts w:cs="Arial"/>
                <w:sz w:val="20"/>
                <w:szCs w:val="20"/>
              </w:rPr>
            </w:pPr>
            <w:r>
              <w:rPr>
                <w:rFonts w:cs="Arial"/>
                <w:sz w:val="20"/>
                <w:szCs w:val="20"/>
              </w:rPr>
              <w:t>While CarbonNet’s consultation record stands, it will progress discussions regarding proposals to collaborate with both VSFA and VFA.</w:t>
            </w:r>
          </w:p>
        </w:tc>
      </w:tr>
      <w:tr w:rsidR="00A70030" w:rsidRPr="00FF0808" w14:paraId="1B723E57" w14:textId="77777777" w:rsidTr="00891DE1">
        <w:trPr>
          <w:trHeight w:val="970"/>
        </w:trPr>
        <w:tc>
          <w:tcPr>
            <w:tcW w:w="1427" w:type="dxa"/>
            <w:tcBorders>
              <w:top w:val="nil"/>
              <w:bottom w:val="nil"/>
            </w:tcBorders>
            <w:shd w:val="clear" w:color="auto" w:fill="auto"/>
          </w:tcPr>
          <w:p w14:paraId="512AF126"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7720FCD"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6DD512DF" w14:textId="77777777" w:rsidR="00A70030" w:rsidRDefault="00A70030" w:rsidP="00073385">
            <w:pPr>
              <w:spacing w:before="60" w:after="60" w:line="240" w:lineRule="auto"/>
              <w:ind w:left="0"/>
              <w:rPr>
                <w:rFonts w:cs="Arial"/>
                <w:sz w:val="20"/>
                <w:szCs w:val="20"/>
              </w:rPr>
            </w:pPr>
            <w:r>
              <w:rPr>
                <w:rFonts w:cs="Arial"/>
                <w:sz w:val="20"/>
                <w:szCs w:val="20"/>
              </w:rPr>
              <w:t>10-11/7/17</w:t>
            </w:r>
          </w:p>
          <w:p w14:paraId="2241E854"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557AA6F8" w14:textId="77777777" w:rsidR="00A70030" w:rsidRDefault="00A70030" w:rsidP="00073385">
            <w:pPr>
              <w:spacing w:before="60" w:after="60" w:line="240" w:lineRule="auto"/>
              <w:ind w:left="0"/>
              <w:rPr>
                <w:rFonts w:cs="Arial"/>
                <w:sz w:val="20"/>
                <w:szCs w:val="20"/>
              </w:rPr>
            </w:pPr>
            <w:r>
              <w:rPr>
                <w:rFonts w:cs="Arial"/>
                <w:sz w:val="20"/>
                <w:szCs w:val="20"/>
              </w:rPr>
              <w:t>CarbonNet called and emailed the VSFA to offer to meet in Sale on 13/14 July.</w:t>
            </w:r>
          </w:p>
          <w:p w14:paraId="5D646ABC" w14:textId="77777777" w:rsidR="00A70030" w:rsidRDefault="00A70030" w:rsidP="00073385">
            <w:pPr>
              <w:spacing w:before="60" w:after="60" w:line="240" w:lineRule="auto"/>
              <w:ind w:left="0"/>
              <w:rPr>
                <w:rFonts w:cs="Arial"/>
                <w:sz w:val="20"/>
                <w:szCs w:val="20"/>
              </w:rPr>
            </w:pPr>
            <w:r>
              <w:rPr>
                <w:rFonts w:cs="Arial"/>
                <w:sz w:val="20"/>
                <w:szCs w:val="20"/>
              </w:rPr>
              <w:t>VSFA responded to set up meeting on 21 July in Melbourne.</w:t>
            </w:r>
          </w:p>
        </w:tc>
        <w:tc>
          <w:tcPr>
            <w:tcW w:w="3802" w:type="dxa"/>
            <w:tcBorders>
              <w:top w:val="single" w:sz="4" w:space="0" w:color="auto"/>
              <w:bottom w:val="single" w:sz="4" w:space="0" w:color="auto"/>
            </w:tcBorders>
            <w:shd w:val="clear" w:color="auto" w:fill="auto"/>
          </w:tcPr>
          <w:p w14:paraId="705F84B0"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2ECC663" w14:textId="77777777" w:rsidTr="00905C82">
        <w:trPr>
          <w:trHeight w:val="970"/>
        </w:trPr>
        <w:tc>
          <w:tcPr>
            <w:tcW w:w="1427" w:type="dxa"/>
            <w:tcBorders>
              <w:top w:val="nil"/>
              <w:bottom w:val="nil"/>
            </w:tcBorders>
            <w:shd w:val="clear" w:color="auto" w:fill="auto"/>
          </w:tcPr>
          <w:p w14:paraId="08CE4063"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B88D2F4"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B11D54C" w14:textId="77777777" w:rsidR="00A70030" w:rsidRDefault="00A70030" w:rsidP="00073385">
            <w:pPr>
              <w:spacing w:before="60" w:after="60" w:line="240" w:lineRule="auto"/>
              <w:ind w:left="0"/>
              <w:rPr>
                <w:rFonts w:cs="Arial"/>
                <w:sz w:val="20"/>
                <w:szCs w:val="20"/>
              </w:rPr>
            </w:pPr>
            <w:r>
              <w:rPr>
                <w:rFonts w:cs="Arial"/>
                <w:sz w:val="20"/>
                <w:szCs w:val="20"/>
              </w:rPr>
              <w:t>13/7/17</w:t>
            </w:r>
          </w:p>
          <w:p w14:paraId="7630ABC8"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443B1C81" w14:textId="77777777" w:rsidR="00A70030" w:rsidRDefault="00A70030" w:rsidP="00073385">
            <w:pPr>
              <w:spacing w:before="60" w:after="60" w:line="240" w:lineRule="auto"/>
              <w:ind w:left="0"/>
              <w:rPr>
                <w:rFonts w:cs="Arial"/>
                <w:sz w:val="20"/>
                <w:szCs w:val="20"/>
              </w:rPr>
            </w:pPr>
            <w:r>
              <w:rPr>
                <w:rFonts w:cs="Arial"/>
                <w:sz w:val="20"/>
                <w:szCs w:val="20"/>
              </w:rPr>
              <w:t>CarbonNet received an email from the VSFA confirming the meeting date of 21 July, requesting CarbonNet find a suitable venue in Melbourne and advising they would send through attendees shortly.</w:t>
            </w:r>
          </w:p>
          <w:p w14:paraId="2AC15CA7" w14:textId="77777777" w:rsidR="00A70030" w:rsidRDefault="00A70030" w:rsidP="00073385">
            <w:pPr>
              <w:spacing w:before="60" w:after="60" w:line="240" w:lineRule="auto"/>
              <w:ind w:left="0"/>
              <w:rPr>
                <w:rFonts w:cs="Arial"/>
                <w:sz w:val="20"/>
                <w:szCs w:val="20"/>
              </w:rPr>
            </w:pPr>
          </w:p>
        </w:tc>
        <w:tc>
          <w:tcPr>
            <w:tcW w:w="3802" w:type="dxa"/>
            <w:tcBorders>
              <w:top w:val="single" w:sz="4" w:space="0" w:color="auto"/>
              <w:bottom w:val="single" w:sz="4" w:space="0" w:color="auto"/>
            </w:tcBorders>
            <w:shd w:val="clear" w:color="auto" w:fill="auto"/>
          </w:tcPr>
          <w:p w14:paraId="0B0E695D" w14:textId="2C044827" w:rsidR="00A70030" w:rsidRDefault="00A70030" w:rsidP="00073385">
            <w:pPr>
              <w:spacing w:before="60" w:after="60" w:line="240" w:lineRule="auto"/>
              <w:ind w:left="0"/>
              <w:rPr>
                <w:rFonts w:cs="Arial"/>
                <w:sz w:val="20"/>
                <w:szCs w:val="20"/>
              </w:rPr>
            </w:pPr>
            <w:r>
              <w:rPr>
                <w:rFonts w:cs="Arial"/>
                <w:sz w:val="20"/>
                <w:szCs w:val="20"/>
              </w:rPr>
              <w:t>CarbonNet sent the VSFA an email on 17/7/17 confirming location of meeting, requesting any items to add to the agenda and requesting they confirm attendees.</w:t>
            </w:r>
          </w:p>
        </w:tc>
      </w:tr>
      <w:tr w:rsidR="00A70030" w:rsidRPr="00FF0808" w14:paraId="017159EF" w14:textId="77777777" w:rsidTr="00905C82">
        <w:trPr>
          <w:trHeight w:val="970"/>
        </w:trPr>
        <w:tc>
          <w:tcPr>
            <w:tcW w:w="1427" w:type="dxa"/>
            <w:tcBorders>
              <w:top w:val="nil"/>
              <w:bottom w:val="nil"/>
            </w:tcBorders>
            <w:shd w:val="clear" w:color="auto" w:fill="auto"/>
          </w:tcPr>
          <w:p w14:paraId="1083A740"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5B3E937"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206A7D8" w14:textId="0E931821" w:rsidR="00A70030" w:rsidRDefault="00A70030" w:rsidP="00073385">
            <w:pPr>
              <w:spacing w:before="60" w:after="60" w:line="240" w:lineRule="auto"/>
              <w:ind w:left="0"/>
              <w:rPr>
                <w:rFonts w:cs="Arial"/>
                <w:sz w:val="20"/>
                <w:szCs w:val="20"/>
              </w:rPr>
            </w:pPr>
            <w:r>
              <w:rPr>
                <w:rFonts w:cs="Arial"/>
                <w:sz w:val="20"/>
                <w:szCs w:val="20"/>
              </w:rPr>
              <w:t>17/7/17</w:t>
            </w:r>
          </w:p>
        </w:tc>
        <w:tc>
          <w:tcPr>
            <w:tcW w:w="6335" w:type="dxa"/>
            <w:tcBorders>
              <w:top w:val="single" w:sz="4" w:space="0" w:color="auto"/>
              <w:bottom w:val="single" w:sz="4" w:space="0" w:color="auto"/>
            </w:tcBorders>
            <w:shd w:val="clear" w:color="auto" w:fill="auto"/>
          </w:tcPr>
          <w:p w14:paraId="5461BA2C" w14:textId="77777777" w:rsidR="00A70030" w:rsidRDefault="00A70030" w:rsidP="00073385">
            <w:pPr>
              <w:spacing w:before="60" w:after="60" w:line="240" w:lineRule="auto"/>
              <w:ind w:left="0"/>
              <w:rPr>
                <w:rFonts w:cs="Arial"/>
                <w:sz w:val="20"/>
                <w:szCs w:val="20"/>
              </w:rPr>
            </w:pPr>
            <w:r>
              <w:rPr>
                <w:rFonts w:cs="Arial"/>
                <w:sz w:val="20"/>
                <w:szCs w:val="20"/>
              </w:rPr>
              <w:t>CarbonNet s</w:t>
            </w:r>
            <w:r w:rsidRPr="00997B1E">
              <w:rPr>
                <w:rFonts w:cs="Arial"/>
                <w:sz w:val="20"/>
                <w:szCs w:val="20"/>
              </w:rPr>
              <w:t xml:space="preserve">ent </w:t>
            </w:r>
            <w:r>
              <w:rPr>
                <w:rFonts w:cs="Arial"/>
                <w:sz w:val="20"/>
                <w:szCs w:val="20"/>
              </w:rPr>
              <w:t xml:space="preserve">VSFA </w:t>
            </w:r>
            <w:r w:rsidRPr="00997B1E">
              <w:rPr>
                <w:rFonts w:cs="Arial"/>
                <w:sz w:val="20"/>
                <w:szCs w:val="20"/>
              </w:rPr>
              <w:t xml:space="preserve">an email confirming location of meeting, </w:t>
            </w:r>
            <w:r>
              <w:rPr>
                <w:rFonts w:cs="Arial"/>
                <w:sz w:val="20"/>
                <w:szCs w:val="20"/>
              </w:rPr>
              <w:t xml:space="preserve">offering to discuss proposals put forward for collaboration, </w:t>
            </w:r>
            <w:r w:rsidRPr="00997B1E">
              <w:rPr>
                <w:rFonts w:cs="Arial"/>
                <w:sz w:val="20"/>
                <w:szCs w:val="20"/>
              </w:rPr>
              <w:t>requesting any items to add to the agenda and requesting VSFA confirm attendees.</w:t>
            </w:r>
          </w:p>
        </w:tc>
        <w:tc>
          <w:tcPr>
            <w:tcW w:w="3802" w:type="dxa"/>
            <w:tcBorders>
              <w:top w:val="single" w:sz="4" w:space="0" w:color="auto"/>
              <w:bottom w:val="single" w:sz="4" w:space="0" w:color="auto"/>
            </w:tcBorders>
            <w:shd w:val="clear" w:color="auto" w:fill="auto"/>
          </w:tcPr>
          <w:p w14:paraId="44300660" w14:textId="3C117511"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380938CD" w14:textId="77777777" w:rsidTr="00905C82">
        <w:trPr>
          <w:trHeight w:val="970"/>
        </w:trPr>
        <w:tc>
          <w:tcPr>
            <w:tcW w:w="1427" w:type="dxa"/>
            <w:tcBorders>
              <w:top w:val="nil"/>
              <w:bottom w:val="nil"/>
            </w:tcBorders>
            <w:shd w:val="clear" w:color="auto" w:fill="auto"/>
          </w:tcPr>
          <w:p w14:paraId="7493DD1E"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796CA0C"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ED22739" w14:textId="77777777" w:rsidR="00A70030" w:rsidRDefault="00A70030" w:rsidP="00073385">
            <w:pPr>
              <w:spacing w:before="60" w:after="60" w:line="240" w:lineRule="auto"/>
              <w:ind w:left="0"/>
              <w:rPr>
                <w:rFonts w:cs="Arial"/>
                <w:sz w:val="20"/>
                <w:szCs w:val="20"/>
              </w:rPr>
            </w:pPr>
            <w:r>
              <w:rPr>
                <w:rFonts w:cs="Arial"/>
                <w:sz w:val="20"/>
                <w:szCs w:val="20"/>
              </w:rPr>
              <w:t>20/7/17</w:t>
            </w:r>
          </w:p>
          <w:p w14:paraId="7F3768A8" w14:textId="77777777" w:rsidR="00A70030" w:rsidRDefault="00A70030" w:rsidP="00073385">
            <w:pPr>
              <w:spacing w:before="60" w:after="60" w:line="240" w:lineRule="auto"/>
              <w:ind w:left="0"/>
              <w:rPr>
                <w:rFonts w:cs="Arial"/>
                <w:sz w:val="20"/>
                <w:szCs w:val="20"/>
              </w:rPr>
            </w:pPr>
          </w:p>
          <w:p w14:paraId="0BB6E2A8" w14:textId="77777777" w:rsidR="00A70030" w:rsidRDefault="00A70030" w:rsidP="00073385">
            <w:pPr>
              <w:spacing w:before="60" w:after="60" w:line="240" w:lineRule="auto"/>
              <w:ind w:left="0"/>
              <w:rPr>
                <w:rFonts w:cs="Arial"/>
                <w:sz w:val="20"/>
                <w:szCs w:val="20"/>
              </w:rPr>
            </w:pPr>
          </w:p>
          <w:p w14:paraId="0221F09F" w14:textId="77777777" w:rsidR="00A70030" w:rsidRPr="00FF0808"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6B18AFF8" w14:textId="77777777" w:rsidR="00A70030" w:rsidRDefault="00A70030" w:rsidP="00073385">
            <w:pPr>
              <w:spacing w:before="60" w:after="60" w:line="240" w:lineRule="auto"/>
              <w:ind w:left="0"/>
              <w:rPr>
                <w:rFonts w:cs="Arial"/>
                <w:sz w:val="20"/>
                <w:szCs w:val="20"/>
              </w:rPr>
            </w:pPr>
            <w:r>
              <w:rPr>
                <w:rFonts w:cs="Arial"/>
                <w:sz w:val="20"/>
                <w:szCs w:val="20"/>
              </w:rPr>
              <w:t>CarbonNet received a text message with an agenda for meeting. The agenda purpose was stated as: ‘Meeting called by VSFA – Failure to give due consideration to VSFA scallop assessment proposal’.</w:t>
            </w:r>
          </w:p>
          <w:p w14:paraId="2D239D61" w14:textId="77777777" w:rsidR="00A70030" w:rsidRDefault="00A70030" w:rsidP="00073385">
            <w:pPr>
              <w:spacing w:before="60" w:after="60" w:line="240" w:lineRule="auto"/>
              <w:ind w:left="0"/>
              <w:rPr>
                <w:rFonts w:cs="Arial"/>
                <w:sz w:val="20"/>
                <w:szCs w:val="20"/>
              </w:rPr>
            </w:pPr>
            <w:r>
              <w:rPr>
                <w:rFonts w:cs="Arial"/>
                <w:sz w:val="20"/>
                <w:szCs w:val="20"/>
              </w:rPr>
              <w:t>CarbonNet responded via text to note CarbonNet has a difference of views on a number of topics and regarding previous discussions.</w:t>
            </w:r>
          </w:p>
          <w:p w14:paraId="639F8C6B" w14:textId="3F84B6CC" w:rsidR="00A70030" w:rsidRPr="004F6B2F" w:rsidRDefault="00A70030" w:rsidP="00073385">
            <w:pPr>
              <w:spacing w:before="60" w:after="60" w:line="240" w:lineRule="auto"/>
              <w:ind w:left="0"/>
              <w:rPr>
                <w:rFonts w:cs="Arial"/>
                <w:sz w:val="20"/>
                <w:szCs w:val="20"/>
              </w:rPr>
            </w:pPr>
            <w:r>
              <w:rPr>
                <w:rFonts w:cs="Arial"/>
                <w:sz w:val="20"/>
                <w:szCs w:val="20"/>
              </w:rPr>
              <w:t>CarbonNet requested any specific clarifations on the STLM results.</w:t>
            </w:r>
          </w:p>
        </w:tc>
        <w:tc>
          <w:tcPr>
            <w:tcW w:w="3802" w:type="dxa"/>
            <w:tcBorders>
              <w:top w:val="single" w:sz="4" w:space="0" w:color="auto"/>
              <w:bottom w:val="single" w:sz="4" w:space="0" w:color="auto"/>
            </w:tcBorders>
            <w:shd w:val="clear" w:color="auto" w:fill="auto"/>
          </w:tcPr>
          <w:p w14:paraId="7ADAD423" w14:textId="04C4E72B" w:rsidR="00A70030" w:rsidRPr="00C83C0E"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3E53A960" w14:textId="77777777" w:rsidTr="00905C82">
        <w:trPr>
          <w:trHeight w:val="970"/>
        </w:trPr>
        <w:tc>
          <w:tcPr>
            <w:tcW w:w="1427" w:type="dxa"/>
            <w:tcBorders>
              <w:top w:val="nil"/>
              <w:bottom w:val="nil"/>
            </w:tcBorders>
            <w:shd w:val="clear" w:color="auto" w:fill="auto"/>
          </w:tcPr>
          <w:p w14:paraId="54D4F480" w14:textId="77777777" w:rsidR="00A70030" w:rsidRPr="003E2F3C" w:rsidDel="00B73BC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8B4BF26"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915D6D2" w14:textId="77777777" w:rsidR="00A70030" w:rsidRDefault="00A70030" w:rsidP="00073385">
            <w:pPr>
              <w:spacing w:before="60" w:after="60" w:line="240" w:lineRule="auto"/>
              <w:ind w:left="0"/>
              <w:rPr>
                <w:rFonts w:cs="Arial"/>
                <w:sz w:val="20"/>
                <w:szCs w:val="20"/>
              </w:rPr>
            </w:pPr>
            <w:r>
              <w:rPr>
                <w:rFonts w:cs="Arial"/>
                <w:sz w:val="20"/>
                <w:szCs w:val="20"/>
              </w:rPr>
              <w:t>21/7/17</w:t>
            </w:r>
          </w:p>
        </w:tc>
        <w:tc>
          <w:tcPr>
            <w:tcW w:w="6335" w:type="dxa"/>
            <w:tcBorders>
              <w:top w:val="single" w:sz="4" w:space="0" w:color="auto"/>
              <w:bottom w:val="single" w:sz="4" w:space="0" w:color="auto"/>
            </w:tcBorders>
            <w:shd w:val="clear" w:color="auto" w:fill="auto"/>
          </w:tcPr>
          <w:p w14:paraId="75DEEABC" w14:textId="77777777" w:rsidR="00A70030" w:rsidRDefault="00A70030" w:rsidP="00073385">
            <w:pPr>
              <w:spacing w:before="60" w:after="60" w:line="240" w:lineRule="auto"/>
              <w:ind w:left="0"/>
              <w:rPr>
                <w:rFonts w:cs="Arial"/>
                <w:sz w:val="20"/>
                <w:szCs w:val="20"/>
              </w:rPr>
            </w:pPr>
            <w:r w:rsidRPr="00AE2510">
              <w:rPr>
                <w:rFonts w:cs="Arial"/>
                <w:sz w:val="20"/>
                <w:szCs w:val="20"/>
              </w:rPr>
              <w:t xml:space="preserve">CarbonNet </w:t>
            </w:r>
            <w:r w:rsidRPr="00C83C0E">
              <w:rPr>
                <w:rFonts w:cs="Arial"/>
                <w:sz w:val="20"/>
                <w:szCs w:val="20"/>
              </w:rPr>
              <w:t xml:space="preserve">attended a meeting in Melbourne called by </w:t>
            </w:r>
            <w:r>
              <w:rPr>
                <w:rFonts w:cs="Arial"/>
                <w:sz w:val="20"/>
                <w:szCs w:val="20"/>
              </w:rPr>
              <w:t xml:space="preserve">and chaired by VSFA. SIV and VFA also attended. </w:t>
            </w:r>
          </w:p>
          <w:p w14:paraId="03E03433" w14:textId="77777777" w:rsidR="00A70030" w:rsidRDefault="00A70030" w:rsidP="00073385">
            <w:pPr>
              <w:spacing w:before="60" w:after="60" w:line="240" w:lineRule="auto"/>
              <w:ind w:left="0"/>
              <w:rPr>
                <w:rFonts w:cs="Arial"/>
                <w:sz w:val="20"/>
                <w:szCs w:val="20"/>
              </w:rPr>
            </w:pPr>
            <w:r>
              <w:rPr>
                <w:rFonts w:cs="Arial"/>
                <w:sz w:val="20"/>
                <w:szCs w:val="20"/>
              </w:rPr>
              <w:t xml:space="preserve">At the meeting, </w:t>
            </w:r>
            <w:r w:rsidRPr="00AE2510">
              <w:rPr>
                <w:rFonts w:cs="Arial"/>
                <w:sz w:val="20"/>
                <w:szCs w:val="20"/>
              </w:rPr>
              <w:t xml:space="preserve">VSFA presented their version of consultation to date, including their perception that CarbonNet had failed to adequately address the VSFA's stock assessment proposal. </w:t>
            </w:r>
          </w:p>
          <w:p w14:paraId="5197DEEF" w14:textId="77777777" w:rsidR="00A70030" w:rsidRDefault="00A70030" w:rsidP="00073385">
            <w:pPr>
              <w:spacing w:before="60" w:after="60" w:line="240" w:lineRule="auto"/>
              <w:ind w:left="0"/>
              <w:rPr>
                <w:rFonts w:cs="Arial"/>
                <w:sz w:val="20"/>
                <w:szCs w:val="20"/>
              </w:rPr>
            </w:pPr>
            <w:r>
              <w:rPr>
                <w:rFonts w:cs="Arial"/>
                <w:sz w:val="20"/>
                <w:szCs w:val="20"/>
              </w:rPr>
              <w:t xml:space="preserve">CarbonNet </w:t>
            </w:r>
            <w:r w:rsidRPr="00AE2510">
              <w:rPr>
                <w:rFonts w:cs="Arial"/>
                <w:sz w:val="20"/>
                <w:szCs w:val="20"/>
              </w:rPr>
              <w:t xml:space="preserve">attempted to ask the meeting to note that CarbonNet has its own </w:t>
            </w:r>
            <w:r>
              <w:rPr>
                <w:rFonts w:cs="Arial"/>
                <w:sz w:val="20"/>
                <w:szCs w:val="20"/>
              </w:rPr>
              <w:t>records</w:t>
            </w:r>
            <w:r w:rsidRPr="00AE2510">
              <w:rPr>
                <w:rFonts w:cs="Arial"/>
                <w:sz w:val="20"/>
                <w:szCs w:val="20"/>
              </w:rPr>
              <w:t xml:space="preserve"> on the previous discussions which in some areas differ to that described by VSFA. VSFA noted that </w:t>
            </w:r>
            <w:r>
              <w:rPr>
                <w:rFonts w:cs="Arial"/>
                <w:sz w:val="20"/>
                <w:szCs w:val="20"/>
              </w:rPr>
              <w:t xml:space="preserve">the current </w:t>
            </w:r>
            <w:r w:rsidRPr="00AE2510">
              <w:rPr>
                <w:rFonts w:cs="Arial"/>
                <w:sz w:val="20"/>
                <w:szCs w:val="20"/>
              </w:rPr>
              <w:t>agenda item was for VSFA to summarise the previous</w:t>
            </w:r>
            <w:r>
              <w:rPr>
                <w:rFonts w:cs="Arial"/>
                <w:sz w:val="20"/>
                <w:szCs w:val="20"/>
              </w:rPr>
              <w:t xml:space="preserve"> consultation, not CarbonNet.</w:t>
            </w:r>
          </w:p>
          <w:p w14:paraId="081C0573" w14:textId="77777777" w:rsidR="00A70030" w:rsidRDefault="00A70030" w:rsidP="00073385">
            <w:pPr>
              <w:spacing w:before="60" w:after="60" w:line="240" w:lineRule="auto"/>
              <w:ind w:left="0"/>
              <w:rPr>
                <w:rFonts w:cs="Arial"/>
                <w:sz w:val="20"/>
                <w:szCs w:val="20"/>
              </w:rPr>
            </w:pPr>
            <w:r w:rsidRPr="00AE2510">
              <w:rPr>
                <w:rFonts w:cs="Arial"/>
                <w:sz w:val="20"/>
                <w:szCs w:val="20"/>
              </w:rPr>
              <w:t>VSFA stated non-invasive</w:t>
            </w:r>
            <w:r>
              <w:rPr>
                <w:rFonts w:cs="Arial"/>
                <w:sz w:val="20"/>
                <w:szCs w:val="20"/>
              </w:rPr>
              <w:t xml:space="preserve"> habitat assessment</w:t>
            </w:r>
            <w:r w:rsidRPr="00AE2510">
              <w:rPr>
                <w:rFonts w:cs="Arial"/>
                <w:sz w:val="20"/>
                <w:szCs w:val="20"/>
              </w:rPr>
              <w:t xml:space="preserve"> methods (e.g. </w:t>
            </w:r>
            <w:r>
              <w:rPr>
                <w:rFonts w:cs="Arial"/>
                <w:sz w:val="20"/>
                <w:szCs w:val="20"/>
              </w:rPr>
              <w:t>towed ROV camera</w:t>
            </w:r>
            <w:r w:rsidRPr="00AE2510">
              <w:rPr>
                <w:rFonts w:cs="Arial"/>
                <w:sz w:val="20"/>
                <w:szCs w:val="20"/>
              </w:rPr>
              <w:t xml:space="preserve">, divers) of observing scallop presence were not industry standard and therefore CarbonNet's environmental habitat assessment, which found very few scallops, is flawed and inaccurate. </w:t>
            </w:r>
          </w:p>
          <w:p w14:paraId="2D8EE164" w14:textId="333276A4" w:rsidR="00A70030" w:rsidRPr="00AE2510" w:rsidRDefault="00A70030" w:rsidP="00073385">
            <w:pPr>
              <w:spacing w:before="60" w:after="60" w:line="240" w:lineRule="auto"/>
              <w:ind w:left="0"/>
              <w:rPr>
                <w:rFonts w:cs="Arial"/>
                <w:sz w:val="20"/>
                <w:szCs w:val="20"/>
              </w:rPr>
            </w:pPr>
            <w:r>
              <w:rPr>
                <w:rFonts w:cs="Arial"/>
                <w:sz w:val="20"/>
                <w:szCs w:val="20"/>
              </w:rPr>
              <w:t xml:space="preserve">CarbonNet </w:t>
            </w:r>
            <w:r w:rsidRPr="00AE2510">
              <w:rPr>
                <w:rFonts w:cs="Arial"/>
                <w:sz w:val="20"/>
                <w:szCs w:val="20"/>
              </w:rPr>
              <w:t xml:space="preserve">attempted to ask the meeting to note that non invasive techniques have been used to assess the presence of scallops in other situations. </w:t>
            </w:r>
            <w:r>
              <w:rPr>
                <w:rFonts w:cs="Arial"/>
                <w:sz w:val="20"/>
                <w:szCs w:val="20"/>
              </w:rPr>
              <w:t xml:space="preserve">The meeting chair (VSFA) refused to allow this to be discussed. CarbonNet also attempted to </w:t>
            </w:r>
            <w:r w:rsidRPr="00AE2510">
              <w:rPr>
                <w:rFonts w:cs="Arial"/>
                <w:sz w:val="20"/>
                <w:szCs w:val="20"/>
              </w:rPr>
              <w:t>table other proposals that CarbonNet had previously put forward</w:t>
            </w:r>
            <w:r>
              <w:rPr>
                <w:rFonts w:cs="Arial"/>
                <w:sz w:val="20"/>
                <w:szCs w:val="20"/>
              </w:rPr>
              <w:t xml:space="preserve"> (via email to VSFA 31/5)</w:t>
            </w:r>
            <w:r w:rsidRPr="00AE2510">
              <w:rPr>
                <w:rFonts w:cs="Arial"/>
                <w:sz w:val="20"/>
                <w:szCs w:val="20"/>
              </w:rPr>
              <w:t>, including funding pre- and post-survey non-invasive habitat assessments, and/or supporting industry (incl</w:t>
            </w:r>
            <w:r>
              <w:rPr>
                <w:rFonts w:cs="Arial"/>
                <w:sz w:val="20"/>
                <w:szCs w:val="20"/>
              </w:rPr>
              <w:t xml:space="preserve">uding </w:t>
            </w:r>
            <w:r w:rsidRPr="00AE2510">
              <w:rPr>
                <w:rFonts w:cs="Arial"/>
                <w:sz w:val="20"/>
                <w:szCs w:val="20"/>
              </w:rPr>
              <w:t xml:space="preserve"> SIV and VFA) to conduct a region-wide scallop stock assessment. VSFA stated this meeting was to discuss their proposal and why CarbonNet was not willing to work or negotiate with VSFA. VSFA did not allow a discussion of other proposals. </w:t>
            </w:r>
          </w:p>
          <w:p w14:paraId="3667E87C" w14:textId="0489314F" w:rsidR="00A70030" w:rsidRDefault="00A70030" w:rsidP="00073385">
            <w:pPr>
              <w:spacing w:before="60" w:after="60" w:line="240" w:lineRule="auto"/>
              <w:ind w:left="0"/>
              <w:rPr>
                <w:rFonts w:cs="Arial"/>
                <w:sz w:val="20"/>
                <w:szCs w:val="20"/>
              </w:rPr>
            </w:pPr>
            <w:r>
              <w:rPr>
                <w:rFonts w:cs="Arial"/>
                <w:sz w:val="20"/>
                <w:szCs w:val="20"/>
              </w:rPr>
              <w:t xml:space="preserve">At the meeting, </w:t>
            </w:r>
            <w:r w:rsidRPr="00AE2510">
              <w:rPr>
                <w:rFonts w:cs="Arial"/>
                <w:sz w:val="20"/>
                <w:szCs w:val="20"/>
              </w:rPr>
              <w:t xml:space="preserve">the issue of dredging or invasive survey methods vs non-invasive </w:t>
            </w:r>
            <w:r>
              <w:rPr>
                <w:rFonts w:cs="Arial"/>
                <w:sz w:val="20"/>
                <w:szCs w:val="20"/>
              </w:rPr>
              <w:t xml:space="preserve">methords </w:t>
            </w:r>
            <w:r w:rsidRPr="00AE2510">
              <w:rPr>
                <w:rFonts w:cs="Arial"/>
                <w:sz w:val="20"/>
                <w:szCs w:val="20"/>
              </w:rPr>
              <w:t xml:space="preserve">dominated discussion. VSFA </w:t>
            </w:r>
            <w:r>
              <w:rPr>
                <w:rFonts w:cs="Arial"/>
                <w:sz w:val="20"/>
                <w:szCs w:val="20"/>
              </w:rPr>
              <w:t xml:space="preserve">expressed the view </w:t>
            </w:r>
            <w:r w:rsidRPr="00AE2510">
              <w:rPr>
                <w:rFonts w:cs="Arial"/>
                <w:sz w:val="20"/>
                <w:szCs w:val="20"/>
              </w:rPr>
              <w:t xml:space="preserve">that CarbonNet's inability to conduct an invasive stock </w:t>
            </w:r>
            <w:r w:rsidRPr="00AE2510">
              <w:rPr>
                <w:rFonts w:cs="Arial"/>
                <w:sz w:val="20"/>
                <w:szCs w:val="20"/>
              </w:rPr>
              <w:lastRenderedPageBreak/>
              <w:t xml:space="preserve">assessment means that CarbonNet is not willing to work with VSFA. </w:t>
            </w:r>
          </w:p>
          <w:p w14:paraId="22D41648" w14:textId="77777777" w:rsidR="00A70030" w:rsidRPr="00AE2510" w:rsidRDefault="00A70030" w:rsidP="00073385">
            <w:pPr>
              <w:spacing w:before="60" w:after="60" w:line="240" w:lineRule="auto"/>
              <w:ind w:left="0"/>
              <w:rPr>
                <w:rFonts w:cs="Arial"/>
                <w:sz w:val="20"/>
                <w:szCs w:val="20"/>
              </w:rPr>
            </w:pPr>
            <w:r>
              <w:rPr>
                <w:rFonts w:cs="Arial"/>
                <w:sz w:val="20"/>
                <w:szCs w:val="20"/>
              </w:rPr>
              <w:t xml:space="preserve">CarbonNet </w:t>
            </w:r>
            <w:r w:rsidRPr="00AE2510">
              <w:rPr>
                <w:rFonts w:cs="Arial"/>
                <w:sz w:val="20"/>
                <w:szCs w:val="20"/>
              </w:rPr>
              <w:t xml:space="preserve">stated that </w:t>
            </w:r>
            <w:r>
              <w:rPr>
                <w:rFonts w:cs="Arial"/>
                <w:sz w:val="20"/>
                <w:szCs w:val="20"/>
              </w:rPr>
              <w:t xml:space="preserve">it </w:t>
            </w:r>
            <w:r w:rsidRPr="00AE2510">
              <w:rPr>
                <w:rFonts w:cs="Arial"/>
                <w:sz w:val="20"/>
                <w:szCs w:val="20"/>
              </w:rPr>
              <w:t xml:space="preserve">is seeking to find a way to work collaboratively with VSFA, SIV and VFA in this </w:t>
            </w:r>
            <w:r>
              <w:rPr>
                <w:rFonts w:cs="Arial"/>
                <w:sz w:val="20"/>
                <w:szCs w:val="20"/>
              </w:rPr>
              <w:t>matter, and that there were non-</w:t>
            </w:r>
            <w:r w:rsidRPr="00AE2510">
              <w:rPr>
                <w:rFonts w:cs="Arial"/>
                <w:sz w:val="20"/>
                <w:szCs w:val="20"/>
              </w:rPr>
              <w:t xml:space="preserve">invasive </w:t>
            </w:r>
            <w:r>
              <w:rPr>
                <w:rFonts w:cs="Arial"/>
                <w:sz w:val="20"/>
                <w:szCs w:val="20"/>
              </w:rPr>
              <w:t xml:space="preserve">collaboration opportunities that had been tabled </w:t>
            </w:r>
            <w:r w:rsidRPr="00AE2510">
              <w:rPr>
                <w:rFonts w:cs="Arial"/>
                <w:sz w:val="20"/>
                <w:szCs w:val="20"/>
              </w:rPr>
              <w:t xml:space="preserve">by CarbonNet. </w:t>
            </w:r>
          </w:p>
          <w:p w14:paraId="47FE7081" w14:textId="1E3559E0" w:rsidR="00A70030" w:rsidRPr="00AE2510" w:rsidRDefault="00A70030" w:rsidP="00073385">
            <w:pPr>
              <w:spacing w:before="60" w:after="60" w:line="240" w:lineRule="auto"/>
              <w:ind w:left="0"/>
              <w:rPr>
                <w:rFonts w:cs="Arial"/>
                <w:sz w:val="20"/>
                <w:szCs w:val="20"/>
              </w:rPr>
            </w:pPr>
            <w:r w:rsidRPr="00AE2510">
              <w:rPr>
                <w:rFonts w:cs="Arial"/>
                <w:sz w:val="20"/>
                <w:szCs w:val="20"/>
              </w:rPr>
              <w:t xml:space="preserve">SIV requested further information from CarbonNet on why the project cannot support an invasive stock assessment method. </w:t>
            </w:r>
            <w:r>
              <w:rPr>
                <w:rFonts w:cs="Arial"/>
                <w:sz w:val="20"/>
                <w:szCs w:val="20"/>
              </w:rPr>
              <w:t xml:space="preserve">CarbonNet </w:t>
            </w:r>
            <w:r w:rsidRPr="00AE2510">
              <w:rPr>
                <w:rFonts w:cs="Arial"/>
                <w:sz w:val="20"/>
                <w:szCs w:val="20"/>
              </w:rPr>
              <w:t xml:space="preserve">noted that it is related to the legislation under which CarbonNet operates and committed to provide </w:t>
            </w:r>
            <w:r>
              <w:rPr>
                <w:rFonts w:cs="Arial"/>
                <w:sz w:val="20"/>
                <w:szCs w:val="20"/>
              </w:rPr>
              <w:t>further clarification on this</w:t>
            </w:r>
            <w:r w:rsidRPr="00AE2510">
              <w:rPr>
                <w:rFonts w:cs="Arial"/>
                <w:sz w:val="20"/>
                <w:szCs w:val="20"/>
              </w:rPr>
              <w:t xml:space="preserve"> by Monday 24 July. </w:t>
            </w:r>
            <w:r>
              <w:rPr>
                <w:rFonts w:cs="Arial"/>
                <w:sz w:val="20"/>
                <w:szCs w:val="20"/>
              </w:rPr>
              <w:t>(Note: see summary consultation records between CarbonNet and NOPTA).</w:t>
            </w:r>
          </w:p>
          <w:p w14:paraId="2B5EF9DC" w14:textId="77777777" w:rsidR="00A70030" w:rsidRPr="00AE2510" w:rsidRDefault="00A70030" w:rsidP="00073385">
            <w:pPr>
              <w:spacing w:before="60" w:after="60" w:line="240" w:lineRule="auto"/>
              <w:ind w:left="0"/>
              <w:rPr>
                <w:rFonts w:cs="Arial"/>
                <w:sz w:val="20"/>
                <w:szCs w:val="20"/>
              </w:rPr>
            </w:pPr>
            <w:r w:rsidRPr="00AE2510">
              <w:rPr>
                <w:rFonts w:cs="Arial"/>
                <w:sz w:val="20"/>
                <w:szCs w:val="20"/>
              </w:rPr>
              <w:t xml:space="preserve">VFA clarified that </w:t>
            </w:r>
            <w:r>
              <w:rPr>
                <w:rFonts w:cs="Arial"/>
                <w:sz w:val="20"/>
                <w:szCs w:val="20"/>
              </w:rPr>
              <w:t>its</w:t>
            </w:r>
            <w:r w:rsidRPr="00AE2510">
              <w:rPr>
                <w:rFonts w:cs="Arial"/>
                <w:sz w:val="20"/>
                <w:szCs w:val="20"/>
              </w:rPr>
              <w:t xml:space="preserve"> role is not to advocate for any parties or to play a regulatory role in this process. VFA will seek to ensure all parties have adequate, appropriate and validated information. </w:t>
            </w:r>
          </w:p>
          <w:p w14:paraId="26F95690" w14:textId="0DC933B4" w:rsidR="00A70030" w:rsidRDefault="00A70030" w:rsidP="00073385">
            <w:pPr>
              <w:spacing w:before="60" w:after="60" w:line="240" w:lineRule="auto"/>
              <w:ind w:left="0"/>
              <w:rPr>
                <w:rFonts w:cs="Arial"/>
                <w:sz w:val="20"/>
                <w:szCs w:val="20"/>
              </w:rPr>
            </w:pPr>
            <w:r w:rsidRPr="00AE2510">
              <w:rPr>
                <w:rFonts w:cs="Arial"/>
                <w:sz w:val="20"/>
                <w:szCs w:val="20"/>
              </w:rPr>
              <w:t>VFA will look at the information provided by SIV re scallops that are claimed to have been dredged from the survey area recently and validate this information, taking into account VMS/GPS logs and</w:t>
            </w:r>
            <w:r>
              <w:rPr>
                <w:rFonts w:cs="Arial"/>
                <w:sz w:val="20"/>
                <w:szCs w:val="20"/>
              </w:rPr>
              <w:t xml:space="preserve"> other data available to them. </w:t>
            </w:r>
          </w:p>
        </w:tc>
        <w:tc>
          <w:tcPr>
            <w:tcW w:w="3802" w:type="dxa"/>
            <w:tcBorders>
              <w:top w:val="single" w:sz="4" w:space="0" w:color="auto"/>
              <w:bottom w:val="single" w:sz="4" w:space="0" w:color="auto"/>
            </w:tcBorders>
            <w:shd w:val="clear" w:color="auto" w:fill="auto"/>
          </w:tcPr>
          <w:p w14:paraId="467A8C02" w14:textId="77777777" w:rsidR="00A70030" w:rsidRDefault="00A70030" w:rsidP="00073385">
            <w:pPr>
              <w:spacing w:before="60" w:after="60" w:line="240" w:lineRule="auto"/>
              <w:ind w:left="0"/>
              <w:rPr>
                <w:rFonts w:cs="Arial"/>
                <w:sz w:val="20"/>
                <w:szCs w:val="20"/>
              </w:rPr>
            </w:pPr>
            <w:r w:rsidRPr="00AE2510">
              <w:rPr>
                <w:rFonts w:cs="Arial"/>
                <w:sz w:val="20"/>
                <w:szCs w:val="20"/>
              </w:rPr>
              <w:lastRenderedPageBreak/>
              <w:t>CarbonNet schedule</w:t>
            </w:r>
            <w:r>
              <w:rPr>
                <w:rFonts w:cs="Arial"/>
                <w:sz w:val="20"/>
                <w:szCs w:val="20"/>
              </w:rPr>
              <w:t>d</w:t>
            </w:r>
            <w:r w:rsidRPr="00AE2510">
              <w:rPr>
                <w:rFonts w:cs="Arial"/>
                <w:sz w:val="20"/>
                <w:szCs w:val="20"/>
              </w:rPr>
              <w:t xml:space="preserve"> </w:t>
            </w:r>
            <w:r>
              <w:rPr>
                <w:rFonts w:cs="Arial"/>
                <w:sz w:val="20"/>
                <w:szCs w:val="20"/>
              </w:rPr>
              <w:t xml:space="preserve">a follow up meeting </w:t>
            </w:r>
            <w:r w:rsidRPr="00AE2510">
              <w:rPr>
                <w:rFonts w:cs="Arial"/>
                <w:sz w:val="20"/>
                <w:szCs w:val="20"/>
              </w:rPr>
              <w:t>in Gippsland</w:t>
            </w:r>
            <w:r>
              <w:rPr>
                <w:rFonts w:cs="Arial"/>
                <w:sz w:val="20"/>
                <w:szCs w:val="20"/>
              </w:rPr>
              <w:t>.</w:t>
            </w:r>
          </w:p>
          <w:p w14:paraId="6659FD52" w14:textId="77777777" w:rsidR="00A70030" w:rsidRDefault="00A70030" w:rsidP="00073385">
            <w:pPr>
              <w:spacing w:before="60" w:after="60" w:line="240" w:lineRule="auto"/>
              <w:ind w:left="0"/>
              <w:rPr>
                <w:rFonts w:cs="Arial"/>
                <w:sz w:val="20"/>
                <w:szCs w:val="20"/>
              </w:rPr>
            </w:pPr>
          </w:p>
          <w:p w14:paraId="25580F67" w14:textId="77777777" w:rsidR="00A70030" w:rsidDel="00F11E70" w:rsidRDefault="00A70030" w:rsidP="00073385">
            <w:pPr>
              <w:spacing w:before="60" w:after="60" w:line="240" w:lineRule="auto"/>
              <w:ind w:left="0"/>
              <w:rPr>
                <w:rFonts w:cs="Arial"/>
                <w:b/>
                <w:sz w:val="20"/>
                <w:szCs w:val="20"/>
              </w:rPr>
            </w:pPr>
            <w:r>
              <w:rPr>
                <w:rFonts w:cs="Arial"/>
                <w:sz w:val="20"/>
                <w:szCs w:val="20"/>
              </w:rPr>
              <w:t xml:space="preserve">CarbonNet provided further </w:t>
            </w:r>
            <w:r w:rsidRPr="00AE2510">
              <w:rPr>
                <w:rFonts w:cs="Arial"/>
                <w:sz w:val="20"/>
                <w:szCs w:val="20"/>
              </w:rPr>
              <w:t xml:space="preserve">information on why </w:t>
            </w:r>
            <w:r>
              <w:rPr>
                <w:rFonts w:cs="Arial"/>
                <w:sz w:val="20"/>
                <w:szCs w:val="20"/>
              </w:rPr>
              <w:t xml:space="preserve">a </w:t>
            </w:r>
            <w:r w:rsidRPr="00AE2510">
              <w:rPr>
                <w:rFonts w:cs="Arial"/>
                <w:sz w:val="20"/>
                <w:szCs w:val="20"/>
              </w:rPr>
              <w:t>dredging method for scallop stock assessment</w:t>
            </w:r>
            <w:r>
              <w:rPr>
                <w:rFonts w:cs="Arial"/>
                <w:sz w:val="20"/>
                <w:szCs w:val="20"/>
              </w:rPr>
              <w:t xml:space="preserve"> is inconsistent with CarbonNet’s approvals on 24/7/17.</w:t>
            </w:r>
          </w:p>
        </w:tc>
      </w:tr>
      <w:tr w:rsidR="00A70030" w:rsidRPr="00FF0808" w14:paraId="40580095" w14:textId="77777777" w:rsidTr="00905C82">
        <w:trPr>
          <w:trHeight w:val="970"/>
        </w:trPr>
        <w:tc>
          <w:tcPr>
            <w:tcW w:w="1427" w:type="dxa"/>
            <w:tcBorders>
              <w:top w:val="nil"/>
              <w:bottom w:val="nil"/>
            </w:tcBorders>
            <w:shd w:val="clear" w:color="auto" w:fill="auto"/>
          </w:tcPr>
          <w:p w14:paraId="2A95A23D" w14:textId="77777777" w:rsidR="00A70030" w:rsidRPr="003E2F3C" w:rsidDel="00B73BC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97DDA3F"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C2A85CA" w14:textId="77777777" w:rsidR="00A70030" w:rsidRDefault="00A70030" w:rsidP="00073385">
            <w:pPr>
              <w:spacing w:before="60" w:after="60" w:line="240" w:lineRule="auto"/>
              <w:ind w:left="0"/>
              <w:rPr>
                <w:rFonts w:cs="Arial"/>
                <w:sz w:val="20"/>
                <w:szCs w:val="20"/>
              </w:rPr>
            </w:pPr>
            <w:r>
              <w:rPr>
                <w:rFonts w:cs="Arial"/>
                <w:sz w:val="20"/>
                <w:szCs w:val="20"/>
              </w:rPr>
              <w:t>24/7/17</w:t>
            </w:r>
          </w:p>
        </w:tc>
        <w:tc>
          <w:tcPr>
            <w:tcW w:w="6335" w:type="dxa"/>
            <w:tcBorders>
              <w:top w:val="single" w:sz="4" w:space="0" w:color="auto"/>
              <w:bottom w:val="single" w:sz="4" w:space="0" w:color="auto"/>
            </w:tcBorders>
            <w:shd w:val="clear" w:color="auto" w:fill="auto"/>
          </w:tcPr>
          <w:p w14:paraId="065B8D99" w14:textId="77777777" w:rsidR="00A70030" w:rsidRDefault="00A70030" w:rsidP="00073385">
            <w:pPr>
              <w:spacing w:before="60" w:after="60" w:line="240" w:lineRule="auto"/>
              <w:ind w:left="0"/>
              <w:rPr>
                <w:rFonts w:cs="Arial"/>
                <w:sz w:val="20"/>
                <w:szCs w:val="20"/>
              </w:rPr>
            </w:pPr>
            <w:r>
              <w:rPr>
                <w:rFonts w:cs="Arial"/>
                <w:sz w:val="20"/>
                <w:szCs w:val="20"/>
              </w:rPr>
              <w:t>CarbonNet emailed VSFA, SIV and VFA  with further clarification on CarbonNet’s inability to fund a dredge-based survey. CarbonNet said</w:t>
            </w:r>
            <w:r>
              <w:t xml:space="preserve"> </w:t>
            </w:r>
            <w:r>
              <w:rPr>
                <w:rFonts w:cs="Arial"/>
                <w:sz w:val="20"/>
                <w:szCs w:val="20"/>
              </w:rPr>
              <w:t>a dredge-</w:t>
            </w:r>
            <w:r w:rsidRPr="00997B1E">
              <w:rPr>
                <w:rFonts w:cs="Arial"/>
                <w:sz w:val="20"/>
                <w:szCs w:val="20"/>
              </w:rPr>
              <w:t xml:space="preserve">based scallop stocktake assessment within the MSS area is inconsistent with the purpose and scope of the approvals under the OPGGS Act, and as such CarbonNet can not fund such an activity. </w:t>
            </w:r>
          </w:p>
          <w:p w14:paraId="08D5C3A4" w14:textId="77777777" w:rsidR="00A70030" w:rsidRPr="00AE2510" w:rsidDel="00AE2510" w:rsidRDefault="00A70030" w:rsidP="00073385">
            <w:pPr>
              <w:spacing w:before="60" w:after="60" w:line="240" w:lineRule="auto"/>
              <w:ind w:left="0"/>
              <w:rPr>
                <w:rFonts w:cs="Arial"/>
                <w:sz w:val="20"/>
                <w:szCs w:val="20"/>
              </w:rPr>
            </w:pPr>
            <w:r>
              <w:rPr>
                <w:rFonts w:cs="Arial"/>
                <w:sz w:val="20"/>
                <w:szCs w:val="20"/>
              </w:rPr>
              <w:t>CarbonNet also emailed VSFA to schedule next meeting, and received response to say they will confirm attendees soon.</w:t>
            </w:r>
          </w:p>
        </w:tc>
        <w:tc>
          <w:tcPr>
            <w:tcW w:w="3802" w:type="dxa"/>
            <w:tcBorders>
              <w:top w:val="single" w:sz="4" w:space="0" w:color="auto"/>
              <w:bottom w:val="single" w:sz="4" w:space="0" w:color="auto"/>
            </w:tcBorders>
            <w:shd w:val="clear" w:color="auto" w:fill="auto"/>
          </w:tcPr>
          <w:p w14:paraId="0BBF2E18" w14:textId="7AD14984" w:rsidR="00A70030" w:rsidRPr="00AE251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1F40277F" w14:textId="77777777" w:rsidTr="00905C82">
        <w:trPr>
          <w:trHeight w:val="970"/>
        </w:trPr>
        <w:tc>
          <w:tcPr>
            <w:tcW w:w="1427" w:type="dxa"/>
            <w:tcBorders>
              <w:top w:val="nil"/>
              <w:bottom w:val="nil"/>
            </w:tcBorders>
            <w:shd w:val="clear" w:color="auto" w:fill="auto"/>
          </w:tcPr>
          <w:p w14:paraId="0B1B3C9F" w14:textId="77777777" w:rsidR="00A70030" w:rsidRPr="003E2F3C" w:rsidDel="00B73BC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EF14B85"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9EB0A26" w14:textId="77777777" w:rsidR="00A70030" w:rsidRDefault="00A70030" w:rsidP="00073385">
            <w:pPr>
              <w:spacing w:before="60" w:after="60" w:line="240" w:lineRule="auto"/>
              <w:ind w:left="0"/>
              <w:rPr>
                <w:rFonts w:cs="Arial"/>
                <w:sz w:val="20"/>
                <w:szCs w:val="20"/>
              </w:rPr>
            </w:pPr>
            <w:r>
              <w:rPr>
                <w:rFonts w:cs="Arial"/>
                <w:sz w:val="20"/>
                <w:szCs w:val="20"/>
              </w:rPr>
              <w:t>26/7/17</w:t>
            </w:r>
          </w:p>
        </w:tc>
        <w:tc>
          <w:tcPr>
            <w:tcW w:w="6335" w:type="dxa"/>
            <w:tcBorders>
              <w:top w:val="single" w:sz="4" w:space="0" w:color="auto"/>
              <w:bottom w:val="single" w:sz="4" w:space="0" w:color="auto"/>
            </w:tcBorders>
            <w:shd w:val="clear" w:color="auto" w:fill="auto"/>
          </w:tcPr>
          <w:p w14:paraId="48F15608" w14:textId="77777777" w:rsidR="00A70030" w:rsidRDefault="00A70030" w:rsidP="00073385">
            <w:pPr>
              <w:spacing w:before="60" w:after="60" w:line="240" w:lineRule="auto"/>
              <w:ind w:left="0"/>
              <w:rPr>
                <w:rFonts w:cs="Arial"/>
                <w:sz w:val="20"/>
                <w:szCs w:val="20"/>
              </w:rPr>
            </w:pPr>
            <w:r>
              <w:rPr>
                <w:rFonts w:cs="Arial"/>
                <w:sz w:val="20"/>
                <w:szCs w:val="20"/>
              </w:rPr>
              <w:t>VSFA emailed CarbonNet requesting more information on its inability to fund a dredge-based survey, asking if it was prohibited and where in the OPGGS Act the information is located.</w:t>
            </w:r>
          </w:p>
        </w:tc>
        <w:tc>
          <w:tcPr>
            <w:tcW w:w="3802" w:type="dxa"/>
            <w:tcBorders>
              <w:top w:val="single" w:sz="4" w:space="0" w:color="auto"/>
              <w:bottom w:val="single" w:sz="4" w:space="0" w:color="auto"/>
            </w:tcBorders>
            <w:shd w:val="clear" w:color="auto" w:fill="auto"/>
          </w:tcPr>
          <w:p w14:paraId="6D7E3EE7" w14:textId="49FE57F2" w:rsidR="00A70030" w:rsidRPr="00AE251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03FAE35" w14:textId="77777777" w:rsidTr="00905C82">
        <w:trPr>
          <w:trHeight w:val="970"/>
        </w:trPr>
        <w:tc>
          <w:tcPr>
            <w:tcW w:w="1427" w:type="dxa"/>
            <w:tcBorders>
              <w:top w:val="nil"/>
              <w:bottom w:val="nil"/>
            </w:tcBorders>
            <w:shd w:val="clear" w:color="auto" w:fill="auto"/>
          </w:tcPr>
          <w:p w14:paraId="7B37E51C" w14:textId="77777777" w:rsidR="00A70030" w:rsidRPr="003E2F3C" w:rsidDel="00B73BC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A5D694C"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5C9D4154" w14:textId="77777777" w:rsidR="00A70030" w:rsidRDefault="00A70030" w:rsidP="00073385">
            <w:pPr>
              <w:spacing w:before="60" w:after="60" w:line="240" w:lineRule="auto"/>
              <w:ind w:left="0"/>
              <w:rPr>
                <w:rFonts w:cs="Arial"/>
                <w:sz w:val="20"/>
                <w:szCs w:val="20"/>
              </w:rPr>
            </w:pPr>
            <w:r>
              <w:rPr>
                <w:rFonts w:cs="Arial"/>
                <w:sz w:val="20"/>
                <w:szCs w:val="20"/>
              </w:rPr>
              <w:t>27/7/17</w:t>
            </w:r>
          </w:p>
        </w:tc>
        <w:tc>
          <w:tcPr>
            <w:tcW w:w="6335" w:type="dxa"/>
            <w:tcBorders>
              <w:top w:val="single" w:sz="4" w:space="0" w:color="auto"/>
              <w:bottom w:val="single" w:sz="4" w:space="0" w:color="auto"/>
            </w:tcBorders>
            <w:shd w:val="clear" w:color="auto" w:fill="auto"/>
          </w:tcPr>
          <w:p w14:paraId="17E0209D" w14:textId="77777777" w:rsidR="00A70030" w:rsidRPr="00997B1E" w:rsidRDefault="00A70030" w:rsidP="00073385">
            <w:pPr>
              <w:spacing w:before="60" w:after="60" w:line="240" w:lineRule="auto"/>
              <w:ind w:left="0"/>
              <w:rPr>
                <w:rFonts w:cs="Arial"/>
                <w:sz w:val="20"/>
                <w:szCs w:val="20"/>
              </w:rPr>
            </w:pPr>
            <w:r>
              <w:rPr>
                <w:rFonts w:cs="Arial"/>
                <w:sz w:val="20"/>
                <w:szCs w:val="20"/>
              </w:rPr>
              <w:t>CarbonNet</w:t>
            </w:r>
            <w:r w:rsidRPr="00997B1E">
              <w:rPr>
                <w:rFonts w:cs="Arial"/>
                <w:sz w:val="20"/>
                <w:szCs w:val="20"/>
              </w:rPr>
              <w:t xml:space="preserve"> emailed </w:t>
            </w:r>
            <w:r>
              <w:rPr>
                <w:rFonts w:cs="Arial"/>
                <w:sz w:val="20"/>
                <w:szCs w:val="20"/>
              </w:rPr>
              <w:t xml:space="preserve">VSFA, SIV and VFA </w:t>
            </w:r>
            <w:r w:rsidRPr="00997B1E">
              <w:rPr>
                <w:rFonts w:cs="Arial"/>
                <w:sz w:val="20"/>
                <w:szCs w:val="20"/>
              </w:rPr>
              <w:t xml:space="preserve">with the following: </w:t>
            </w:r>
          </w:p>
          <w:p w14:paraId="0C4FEC7F" w14:textId="77777777" w:rsidR="00A70030" w:rsidRPr="00C83C0E" w:rsidRDefault="00A70030" w:rsidP="00073385">
            <w:pPr>
              <w:pStyle w:val="ListParagraph0"/>
              <w:numPr>
                <w:ilvl w:val="0"/>
                <w:numId w:val="513"/>
              </w:numPr>
              <w:spacing w:before="60" w:after="60" w:line="240" w:lineRule="auto"/>
              <w:rPr>
                <w:rFonts w:cs="Arial"/>
                <w:sz w:val="20"/>
                <w:szCs w:val="20"/>
              </w:rPr>
            </w:pPr>
            <w:r w:rsidRPr="00C83C0E">
              <w:rPr>
                <w:rFonts w:cs="Arial"/>
                <w:sz w:val="20"/>
                <w:szCs w:val="20"/>
              </w:rPr>
              <w:t xml:space="preserve">Draft agenda for meeting in Traralgon on 28/7 </w:t>
            </w:r>
          </w:p>
          <w:p w14:paraId="71308639" w14:textId="77777777" w:rsidR="00A70030" w:rsidRPr="00C83C0E" w:rsidRDefault="00A70030" w:rsidP="00073385">
            <w:pPr>
              <w:pStyle w:val="ListParagraph0"/>
              <w:numPr>
                <w:ilvl w:val="0"/>
                <w:numId w:val="513"/>
              </w:numPr>
              <w:spacing w:before="60" w:after="60" w:line="240" w:lineRule="auto"/>
              <w:rPr>
                <w:rFonts w:cs="Arial"/>
                <w:sz w:val="20"/>
                <w:szCs w:val="20"/>
              </w:rPr>
            </w:pPr>
            <w:r w:rsidRPr="00C83C0E">
              <w:rPr>
                <w:rFonts w:cs="Arial"/>
                <w:sz w:val="20"/>
                <w:szCs w:val="20"/>
              </w:rPr>
              <w:t>Draft</w:t>
            </w:r>
            <w:r>
              <w:rPr>
                <w:rFonts w:cs="Arial"/>
                <w:sz w:val="20"/>
                <w:szCs w:val="20"/>
              </w:rPr>
              <w:t xml:space="preserve"> scope for pre- and post-MSS e</w:t>
            </w:r>
            <w:r w:rsidRPr="00C83C0E">
              <w:rPr>
                <w:rFonts w:cs="Arial"/>
                <w:sz w:val="20"/>
                <w:szCs w:val="20"/>
              </w:rPr>
              <w:t xml:space="preserve">nvironmental </w:t>
            </w:r>
            <w:r>
              <w:rPr>
                <w:rFonts w:cs="Arial"/>
                <w:sz w:val="20"/>
                <w:szCs w:val="20"/>
              </w:rPr>
              <w:t>a</w:t>
            </w:r>
            <w:r w:rsidRPr="00C83C0E">
              <w:rPr>
                <w:rFonts w:cs="Arial"/>
                <w:sz w:val="20"/>
                <w:szCs w:val="20"/>
              </w:rPr>
              <w:t xml:space="preserve">ssessment and </w:t>
            </w:r>
            <w:r>
              <w:rPr>
                <w:rFonts w:cs="Arial"/>
                <w:sz w:val="20"/>
                <w:szCs w:val="20"/>
              </w:rPr>
              <w:t>m</w:t>
            </w:r>
            <w:r w:rsidRPr="00C83C0E">
              <w:rPr>
                <w:rFonts w:cs="Arial"/>
                <w:sz w:val="20"/>
                <w:szCs w:val="20"/>
              </w:rPr>
              <w:t xml:space="preserve">onitoring for discussion </w:t>
            </w:r>
          </w:p>
          <w:p w14:paraId="6D9A1A7C" w14:textId="77777777" w:rsidR="00A70030" w:rsidRPr="00C83C0E" w:rsidRDefault="00A70030" w:rsidP="00073385">
            <w:pPr>
              <w:pStyle w:val="ListParagraph0"/>
              <w:numPr>
                <w:ilvl w:val="0"/>
                <w:numId w:val="513"/>
              </w:numPr>
              <w:spacing w:before="60" w:after="60" w:line="240" w:lineRule="auto"/>
              <w:rPr>
                <w:rFonts w:cs="Arial"/>
                <w:sz w:val="20"/>
                <w:szCs w:val="20"/>
              </w:rPr>
            </w:pPr>
            <w:r w:rsidRPr="00C83C0E">
              <w:rPr>
                <w:rFonts w:cs="Arial"/>
                <w:sz w:val="20"/>
                <w:szCs w:val="20"/>
              </w:rPr>
              <w:lastRenderedPageBreak/>
              <w:t>Extracts from draft EP (at 27/7) with information on scallops.</w:t>
            </w:r>
          </w:p>
          <w:p w14:paraId="5C8C1C45" w14:textId="77777777" w:rsidR="00A70030" w:rsidRDefault="00A70030" w:rsidP="00073385">
            <w:pPr>
              <w:spacing w:before="60" w:after="60" w:line="240" w:lineRule="auto"/>
              <w:ind w:left="0"/>
              <w:rPr>
                <w:rFonts w:cs="Arial"/>
                <w:sz w:val="20"/>
                <w:szCs w:val="20"/>
              </w:rPr>
            </w:pPr>
            <w:r>
              <w:rPr>
                <w:rFonts w:cs="Arial"/>
                <w:sz w:val="20"/>
                <w:szCs w:val="20"/>
              </w:rPr>
              <w:t>VSFA responded via email to confirm attendance at meeting.</w:t>
            </w:r>
          </w:p>
          <w:p w14:paraId="5F1D3126" w14:textId="41B3F3D3" w:rsidR="00A70030" w:rsidRDefault="00A70030" w:rsidP="00073385">
            <w:pPr>
              <w:spacing w:before="60" w:after="60" w:line="240" w:lineRule="auto"/>
              <w:ind w:left="0"/>
              <w:rPr>
                <w:rFonts w:cs="Arial"/>
                <w:sz w:val="20"/>
                <w:szCs w:val="20"/>
              </w:rPr>
            </w:pPr>
            <w:r>
              <w:rPr>
                <w:rFonts w:cs="Arial"/>
                <w:sz w:val="20"/>
                <w:szCs w:val="20"/>
              </w:rPr>
              <w:t xml:space="preserve">To date, SIV and the VSFA have not provided any feedback on the extracts from the draft EP. </w:t>
            </w:r>
          </w:p>
        </w:tc>
        <w:tc>
          <w:tcPr>
            <w:tcW w:w="3802" w:type="dxa"/>
            <w:tcBorders>
              <w:top w:val="single" w:sz="4" w:space="0" w:color="auto"/>
              <w:bottom w:val="single" w:sz="4" w:space="0" w:color="auto"/>
            </w:tcBorders>
            <w:shd w:val="clear" w:color="auto" w:fill="auto"/>
          </w:tcPr>
          <w:p w14:paraId="7DF37796" w14:textId="3D80B6A8" w:rsidR="00A70030" w:rsidRPr="00AE2510" w:rsidRDefault="00A70030" w:rsidP="00073385">
            <w:pPr>
              <w:spacing w:before="60" w:after="60" w:line="240" w:lineRule="auto"/>
              <w:ind w:left="0"/>
              <w:rPr>
                <w:rFonts w:cs="Arial"/>
                <w:sz w:val="20"/>
                <w:szCs w:val="20"/>
              </w:rPr>
            </w:pPr>
            <w:r>
              <w:rPr>
                <w:rFonts w:cs="Arial"/>
                <w:sz w:val="20"/>
                <w:szCs w:val="20"/>
              </w:rPr>
              <w:lastRenderedPageBreak/>
              <w:t>N/A</w:t>
            </w:r>
          </w:p>
        </w:tc>
      </w:tr>
      <w:tr w:rsidR="00A70030" w:rsidRPr="00FF0808" w14:paraId="60ADC105" w14:textId="77777777" w:rsidTr="00905C82">
        <w:trPr>
          <w:trHeight w:val="970"/>
        </w:trPr>
        <w:tc>
          <w:tcPr>
            <w:tcW w:w="1427" w:type="dxa"/>
            <w:tcBorders>
              <w:top w:val="nil"/>
              <w:bottom w:val="nil"/>
            </w:tcBorders>
            <w:shd w:val="clear" w:color="auto" w:fill="auto"/>
          </w:tcPr>
          <w:p w14:paraId="260ACC58" w14:textId="77777777" w:rsidR="00A70030" w:rsidRPr="003E2F3C" w:rsidDel="00B73BC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74E2271"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5B8BFC13" w14:textId="77777777" w:rsidR="00A70030" w:rsidRDefault="00A70030" w:rsidP="00073385">
            <w:pPr>
              <w:spacing w:before="60" w:after="60" w:line="240" w:lineRule="auto"/>
              <w:ind w:left="0"/>
              <w:rPr>
                <w:rFonts w:cs="Arial"/>
                <w:sz w:val="20"/>
                <w:szCs w:val="20"/>
              </w:rPr>
            </w:pPr>
            <w:r>
              <w:rPr>
                <w:rFonts w:cs="Arial"/>
                <w:sz w:val="20"/>
                <w:szCs w:val="20"/>
              </w:rPr>
              <w:t>27/7/17</w:t>
            </w:r>
          </w:p>
        </w:tc>
        <w:tc>
          <w:tcPr>
            <w:tcW w:w="6335" w:type="dxa"/>
            <w:tcBorders>
              <w:top w:val="single" w:sz="4" w:space="0" w:color="auto"/>
              <w:bottom w:val="single" w:sz="4" w:space="0" w:color="auto"/>
            </w:tcBorders>
            <w:shd w:val="clear" w:color="auto" w:fill="auto"/>
          </w:tcPr>
          <w:p w14:paraId="2452597E" w14:textId="31FE2F2C" w:rsidR="00A70030" w:rsidRDefault="00A70030" w:rsidP="008A0C8C">
            <w:pPr>
              <w:spacing w:before="60" w:after="60" w:line="240" w:lineRule="auto"/>
              <w:ind w:left="0"/>
              <w:rPr>
                <w:rFonts w:cs="Arial"/>
                <w:sz w:val="20"/>
                <w:szCs w:val="20"/>
              </w:rPr>
            </w:pPr>
            <w:r>
              <w:rPr>
                <w:rFonts w:cs="Arial"/>
                <w:sz w:val="20"/>
                <w:szCs w:val="20"/>
              </w:rPr>
              <w:t>CarbonNet emailed VSFA to provide further information on its approval and disturbance of the sea bed. CarbonNet explained that u</w:t>
            </w:r>
            <w:r w:rsidRPr="00997B1E">
              <w:rPr>
                <w:rFonts w:cs="Arial"/>
                <w:sz w:val="20"/>
                <w:szCs w:val="20"/>
              </w:rPr>
              <w:t xml:space="preserve">nder the OPGGS Act </w:t>
            </w:r>
            <w:r>
              <w:rPr>
                <w:rFonts w:cs="Arial"/>
                <w:sz w:val="20"/>
                <w:szCs w:val="20"/>
              </w:rPr>
              <w:t>the marine seismic survey</w:t>
            </w:r>
            <w:r w:rsidRPr="00997B1E">
              <w:rPr>
                <w:rFonts w:cs="Arial"/>
                <w:sz w:val="20"/>
                <w:szCs w:val="20"/>
              </w:rPr>
              <w:t xml:space="preserve"> is a key greenhouse gas operation for which an approval has been granted. The scope the approval for the marine seismic survey does not permit </w:t>
            </w:r>
            <w:r>
              <w:rPr>
                <w:rFonts w:cs="Arial"/>
                <w:sz w:val="20"/>
                <w:szCs w:val="20"/>
              </w:rPr>
              <w:t>CarbonNet</w:t>
            </w:r>
            <w:r w:rsidRPr="00997B1E">
              <w:rPr>
                <w:rFonts w:cs="Arial"/>
                <w:sz w:val="20"/>
                <w:szCs w:val="20"/>
              </w:rPr>
              <w:t xml:space="preserve"> to disturb the seabed.</w:t>
            </w:r>
          </w:p>
        </w:tc>
        <w:tc>
          <w:tcPr>
            <w:tcW w:w="3802" w:type="dxa"/>
            <w:tcBorders>
              <w:top w:val="single" w:sz="4" w:space="0" w:color="auto"/>
              <w:bottom w:val="single" w:sz="4" w:space="0" w:color="auto"/>
            </w:tcBorders>
            <w:shd w:val="clear" w:color="auto" w:fill="auto"/>
          </w:tcPr>
          <w:p w14:paraId="06400288" w14:textId="0DEC1969" w:rsidR="00A70030" w:rsidRPr="00AE251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D252247" w14:textId="77777777" w:rsidTr="00905C82">
        <w:trPr>
          <w:trHeight w:val="970"/>
        </w:trPr>
        <w:tc>
          <w:tcPr>
            <w:tcW w:w="1427" w:type="dxa"/>
            <w:tcBorders>
              <w:top w:val="nil"/>
              <w:bottom w:val="nil"/>
            </w:tcBorders>
            <w:shd w:val="clear" w:color="auto" w:fill="auto"/>
          </w:tcPr>
          <w:p w14:paraId="04D2BDB4" w14:textId="77777777" w:rsidR="00A70030" w:rsidRPr="003E2F3C" w:rsidDel="00B73BC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3C4508C"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D52E081" w14:textId="77777777" w:rsidR="00A70030" w:rsidRDefault="00A70030" w:rsidP="00073385">
            <w:pPr>
              <w:spacing w:before="60" w:after="60" w:line="240" w:lineRule="auto"/>
              <w:ind w:left="0"/>
              <w:rPr>
                <w:rFonts w:cs="Arial"/>
                <w:sz w:val="20"/>
                <w:szCs w:val="20"/>
              </w:rPr>
            </w:pPr>
            <w:r>
              <w:rPr>
                <w:rFonts w:cs="Arial"/>
                <w:sz w:val="20"/>
                <w:szCs w:val="20"/>
              </w:rPr>
              <w:t>28/7/17</w:t>
            </w:r>
          </w:p>
        </w:tc>
        <w:tc>
          <w:tcPr>
            <w:tcW w:w="6335" w:type="dxa"/>
            <w:tcBorders>
              <w:top w:val="single" w:sz="4" w:space="0" w:color="auto"/>
              <w:bottom w:val="single" w:sz="4" w:space="0" w:color="auto"/>
            </w:tcBorders>
            <w:shd w:val="clear" w:color="auto" w:fill="auto"/>
          </w:tcPr>
          <w:p w14:paraId="2F7B7FF1" w14:textId="77777777" w:rsidR="00A70030" w:rsidRDefault="00A70030" w:rsidP="00073385">
            <w:pPr>
              <w:spacing w:before="60" w:after="60" w:line="240" w:lineRule="auto"/>
              <w:ind w:left="0"/>
              <w:rPr>
                <w:rFonts w:cs="Arial"/>
                <w:sz w:val="20"/>
                <w:szCs w:val="20"/>
              </w:rPr>
            </w:pPr>
            <w:r>
              <w:rPr>
                <w:rFonts w:cs="Arial"/>
                <w:sz w:val="20"/>
                <w:szCs w:val="20"/>
              </w:rPr>
              <w:t>CarbonNet met with VSFA and VFA in Traralgon to discuss the collaboration proposals CarbonNet and VSFA had put forward. The fisherman who provided information on scallops claimed to be dredged near the MSS acquisition area also attended.</w:t>
            </w:r>
          </w:p>
          <w:p w14:paraId="2FE81A8A" w14:textId="77777777" w:rsidR="00A70030" w:rsidRDefault="00A70030" w:rsidP="00073385">
            <w:pPr>
              <w:spacing w:before="60" w:after="60" w:line="240" w:lineRule="auto"/>
              <w:ind w:left="0"/>
              <w:rPr>
                <w:rFonts w:cs="Arial"/>
                <w:sz w:val="20"/>
                <w:szCs w:val="20"/>
              </w:rPr>
            </w:pPr>
          </w:p>
          <w:p w14:paraId="764EFFBD" w14:textId="77777777" w:rsidR="00A70030" w:rsidRDefault="00A70030" w:rsidP="00073385">
            <w:pPr>
              <w:spacing w:before="60" w:after="60" w:line="240" w:lineRule="auto"/>
              <w:ind w:left="0"/>
              <w:rPr>
                <w:rFonts w:cs="Arial"/>
                <w:sz w:val="20"/>
                <w:szCs w:val="20"/>
              </w:rPr>
            </w:pPr>
            <w:r>
              <w:rPr>
                <w:rFonts w:cs="Arial"/>
                <w:sz w:val="20"/>
                <w:szCs w:val="20"/>
              </w:rPr>
              <w:t xml:space="preserve">CarbonNet provided an update on EP timing and said it plans to submit around Monday 14 August. Discussions with stakeholders will be ongoing between now and the MSS. </w:t>
            </w:r>
          </w:p>
          <w:p w14:paraId="4FB5ED2C" w14:textId="77777777" w:rsidR="00A70030" w:rsidRDefault="00A70030" w:rsidP="00073385">
            <w:pPr>
              <w:spacing w:before="60" w:after="60" w:line="240" w:lineRule="auto"/>
              <w:ind w:left="0"/>
              <w:rPr>
                <w:rFonts w:cs="Arial"/>
                <w:sz w:val="20"/>
                <w:szCs w:val="20"/>
              </w:rPr>
            </w:pPr>
          </w:p>
          <w:p w14:paraId="11588009" w14:textId="77777777" w:rsidR="00A70030" w:rsidRDefault="00A70030" w:rsidP="00073385">
            <w:pPr>
              <w:spacing w:before="60" w:after="60" w:line="240" w:lineRule="auto"/>
              <w:ind w:left="0"/>
              <w:rPr>
                <w:rFonts w:cs="Arial"/>
                <w:sz w:val="20"/>
                <w:szCs w:val="20"/>
              </w:rPr>
            </w:pPr>
            <w:r>
              <w:rPr>
                <w:rFonts w:cs="Arial"/>
                <w:sz w:val="20"/>
                <w:szCs w:val="20"/>
              </w:rPr>
              <w:t>VFA asked if stakeholders have an opportunity to make submissions to NOPSEMA or ERR after the EP has submitted, which CarbonNet said is a matter for stakeholders if they wish, but the EP submission is not the end of the dialogue. VSFA sought clarification on how any consultation post-EP submission is considered by NOPSEMA in their decision making, and CarbonNet said that is up to regulators.</w:t>
            </w:r>
          </w:p>
          <w:p w14:paraId="0B34A4F3" w14:textId="77777777" w:rsidR="00A70030" w:rsidRDefault="00A70030" w:rsidP="00073385">
            <w:pPr>
              <w:spacing w:before="60" w:after="60" w:line="240" w:lineRule="auto"/>
              <w:ind w:left="0"/>
              <w:rPr>
                <w:rFonts w:cs="Arial"/>
                <w:sz w:val="20"/>
                <w:szCs w:val="20"/>
              </w:rPr>
            </w:pPr>
          </w:p>
          <w:p w14:paraId="7DA8C348" w14:textId="77777777" w:rsidR="00A70030" w:rsidRDefault="00A70030" w:rsidP="00073385">
            <w:pPr>
              <w:spacing w:before="60" w:after="60" w:line="240" w:lineRule="auto"/>
              <w:ind w:left="0"/>
              <w:rPr>
                <w:rFonts w:cs="Arial"/>
                <w:sz w:val="20"/>
                <w:szCs w:val="20"/>
              </w:rPr>
            </w:pPr>
            <w:r>
              <w:rPr>
                <w:rFonts w:cs="Arial"/>
                <w:sz w:val="20"/>
                <w:szCs w:val="20"/>
              </w:rPr>
              <w:t xml:space="preserve">VSFA requested further detail on the legislation that prevents CarbonNet from dredging to assess presence of scallops. VSFA said they have spoken to NOPSEMA about the matter and their view is that it is not prohibited. VSFA restated their offer to collaborate with CarbonNet on a dredging stock assessment. CarbonNet said it has received expert advice from qualified marine scientists that video is a suitable method to determine the presence or absence of scallops, and it did not set out to conduct a stock assessment or abundance </w:t>
            </w:r>
            <w:r>
              <w:rPr>
                <w:rFonts w:cs="Arial"/>
                <w:sz w:val="20"/>
                <w:szCs w:val="20"/>
              </w:rPr>
              <w:lastRenderedPageBreak/>
              <w:t>survey.</w:t>
            </w:r>
          </w:p>
          <w:p w14:paraId="4E58AC86" w14:textId="77777777" w:rsidR="00A70030" w:rsidRDefault="00A70030" w:rsidP="00073385">
            <w:pPr>
              <w:spacing w:before="60" w:after="60" w:line="240" w:lineRule="auto"/>
              <w:ind w:left="0"/>
              <w:rPr>
                <w:rFonts w:cs="Arial"/>
                <w:sz w:val="20"/>
                <w:szCs w:val="20"/>
              </w:rPr>
            </w:pPr>
            <w:r>
              <w:rPr>
                <w:rFonts w:cs="Arial"/>
                <w:sz w:val="20"/>
                <w:szCs w:val="20"/>
              </w:rPr>
              <w:t>VSFA’s view is that CarbonNet currently has inaccurate baseline data from its environmental habitat assessment as scallops bury in 2 metres below the surface. VFA said dredging only goes about 10 – 20 cms below the surface.</w:t>
            </w:r>
          </w:p>
          <w:p w14:paraId="3ADF64D3" w14:textId="77777777" w:rsidR="00A70030" w:rsidRDefault="00A70030" w:rsidP="00073385">
            <w:pPr>
              <w:spacing w:before="60" w:after="60" w:line="240" w:lineRule="auto"/>
              <w:ind w:left="0"/>
              <w:rPr>
                <w:rFonts w:cs="Arial"/>
                <w:sz w:val="20"/>
                <w:szCs w:val="20"/>
              </w:rPr>
            </w:pPr>
            <w:r>
              <w:rPr>
                <w:rFonts w:cs="Arial"/>
                <w:sz w:val="20"/>
                <w:szCs w:val="20"/>
              </w:rPr>
              <w:t>VSFA asserted that CarbonNet doesn’t want to dredge because it doesn’t want to find scallops in the area.</w:t>
            </w:r>
          </w:p>
          <w:p w14:paraId="272BCBD2" w14:textId="77777777" w:rsidR="00A70030" w:rsidRDefault="00A70030" w:rsidP="00073385">
            <w:pPr>
              <w:spacing w:before="60" w:after="60" w:line="240" w:lineRule="auto"/>
              <w:ind w:left="0"/>
              <w:rPr>
                <w:rFonts w:cs="Arial"/>
                <w:sz w:val="20"/>
                <w:szCs w:val="20"/>
              </w:rPr>
            </w:pPr>
            <w:r>
              <w:rPr>
                <w:rFonts w:cs="Arial"/>
                <w:sz w:val="20"/>
                <w:szCs w:val="20"/>
              </w:rPr>
              <w:t xml:space="preserve">VSFA asked what CarbonNet needs to stop the MSS. </w:t>
            </w:r>
          </w:p>
          <w:p w14:paraId="5636F09C" w14:textId="77777777" w:rsidR="00A70030" w:rsidRDefault="00A70030" w:rsidP="00073385">
            <w:pPr>
              <w:spacing w:before="60" w:after="60" w:line="240" w:lineRule="auto"/>
              <w:ind w:left="0"/>
              <w:rPr>
                <w:rFonts w:cs="Arial"/>
                <w:sz w:val="20"/>
                <w:szCs w:val="20"/>
              </w:rPr>
            </w:pPr>
          </w:p>
          <w:p w14:paraId="14B968CA" w14:textId="77777777" w:rsidR="00A70030" w:rsidRDefault="00A70030" w:rsidP="00073385">
            <w:pPr>
              <w:spacing w:before="60" w:after="60" w:line="240" w:lineRule="auto"/>
              <w:ind w:left="0"/>
              <w:rPr>
                <w:rFonts w:cs="Arial"/>
                <w:sz w:val="20"/>
                <w:szCs w:val="20"/>
              </w:rPr>
            </w:pPr>
            <w:r>
              <w:rPr>
                <w:rFonts w:cs="Arial"/>
                <w:sz w:val="20"/>
                <w:szCs w:val="20"/>
              </w:rPr>
              <w:t>The fisherman who provided location information about scallop dredges provided the following information:</w:t>
            </w:r>
          </w:p>
          <w:p w14:paraId="27F5D83D" w14:textId="77777777" w:rsidR="00A70030" w:rsidRDefault="00A70030" w:rsidP="00073385">
            <w:pPr>
              <w:pStyle w:val="ListParagraph0"/>
              <w:numPr>
                <w:ilvl w:val="0"/>
                <w:numId w:val="515"/>
              </w:numPr>
              <w:spacing w:before="60" w:after="60" w:line="240" w:lineRule="auto"/>
              <w:rPr>
                <w:rFonts w:cs="Arial"/>
                <w:sz w:val="20"/>
                <w:szCs w:val="20"/>
              </w:rPr>
            </w:pPr>
            <w:r>
              <w:rPr>
                <w:rFonts w:cs="Arial"/>
                <w:sz w:val="20"/>
                <w:szCs w:val="20"/>
              </w:rPr>
              <w:t>H</w:t>
            </w:r>
            <w:r w:rsidRPr="00653AFA">
              <w:rPr>
                <w:rFonts w:cs="Arial"/>
                <w:sz w:val="20"/>
                <w:szCs w:val="20"/>
              </w:rPr>
              <w:t>e was fishing when he found juvenile scallops (50 mm)</w:t>
            </w:r>
          </w:p>
          <w:p w14:paraId="1D75613F" w14:textId="77777777" w:rsidR="00A70030" w:rsidRDefault="00A70030" w:rsidP="00073385">
            <w:pPr>
              <w:pStyle w:val="ListParagraph0"/>
              <w:numPr>
                <w:ilvl w:val="0"/>
                <w:numId w:val="515"/>
              </w:numPr>
              <w:spacing w:before="60" w:after="60" w:line="240" w:lineRule="auto"/>
              <w:rPr>
                <w:rFonts w:cs="Arial"/>
                <w:sz w:val="20"/>
                <w:szCs w:val="20"/>
              </w:rPr>
            </w:pPr>
            <w:r w:rsidRPr="00653AFA">
              <w:rPr>
                <w:rFonts w:cs="Arial"/>
                <w:sz w:val="20"/>
                <w:szCs w:val="20"/>
              </w:rPr>
              <w:t xml:space="preserve">He found many scallops from the Seahorse Buoy through the pipelines in an area about 6 miles long. </w:t>
            </w:r>
          </w:p>
          <w:p w14:paraId="3B20737F" w14:textId="77777777" w:rsidR="00A70030" w:rsidRDefault="00A70030" w:rsidP="00073385">
            <w:pPr>
              <w:pStyle w:val="ListParagraph0"/>
              <w:numPr>
                <w:ilvl w:val="0"/>
                <w:numId w:val="515"/>
              </w:numPr>
              <w:spacing w:before="60" w:after="60" w:line="240" w:lineRule="auto"/>
              <w:rPr>
                <w:rFonts w:cs="Arial"/>
                <w:sz w:val="20"/>
                <w:szCs w:val="20"/>
              </w:rPr>
            </w:pPr>
            <w:r w:rsidRPr="00653AFA">
              <w:rPr>
                <w:rFonts w:cs="Arial"/>
                <w:sz w:val="20"/>
                <w:szCs w:val="20"/>
              </w:rPr>
              <w:t xml:space="preserve">The photo that </w:t>
            </w:r>
            <w:r>
              <w:rPr>
                <w:rFonts w:cs="Arial"/>
                <w:sz w:val="20"/>
                <w:szCs w:val="20"/>
              </w:rPr>
              <w:t xml:space="preserve">was </w:t>
            </w:r>
            <w:r w:rsidRPr="00653AFA">
              <w:rPr>
                <w:rFonts w:cs="Arial"/>
                <w:sz w:val="20"/>
                <w:szCs w:val="20"/>
              </w:rPr>
              <w:t xml:space="preserve">provided was taken on the same day as the fishing logs (according to the time stamp). </w:t>
            </w:r>
          </w:p>
          <w:p w14:paraId="66FB9F28" w14:textId="77777777" w:rsidR="00A70030" w:rsidRDefault="00A70030" w:rsidP="00073385">
            <w:pPr>
              <w:pStyle w:val="ListParagraph0"/>
              <w:numPr>
                <w:ilvl w:val="0"/>
                <w:numId w:val="515"/>
              </w:numPr>
              <w:spacing w:before="60" w:after="60" w:line="240" w:lineRule="auto"/>
              <w:rPr>
                <w:rFonts w:cs="Arial"/>
                <w:sz w:val="20"/>
                <w:szCs w:val="20"/>
              </w:rPr>
            </w:pPr>
            <w:r>
              <w:rPr>
                <w:rFonts w:cs="Arial"/>
                <w:sz w:val="20"/>
                <w:szCs w:val="20"/>
              </w:rPr>
              <w:t>T</w:t>
            </w:r>
            <w:r w:rsidRPr="00653AFA">
              <w:rPr>
                <w:rFonts w:cs="Arial"/>
                <w:sz w:val="20"/>
                <w:szCs w:val="20"/>
              </w:rPr>
              <w:t>here are two scallop beds in the area, which correlate to the two sets of GPS points provided to VFA/SIV and CarbonNet</w:t>
            </w:r>
            <w:r>
              <w:rPr>
                <w:rFonts w:cs="Arial"/>
                <w:sz w:val="20"/>
                <w:szCs w:val="20"/>
              </w:rPr>
              <w:t xml:space="preserve">, with </w:t>
            </w:r>
            <w:r w:rsidRPr="00653AFA">
              <w:rPr>
                <w:rFonts w:cs="Arial"/>
                <w:sz w:val="20"/>
                <w:szCs w:val="20"/>
              </w:rPr>
              <w:t>a break between the two beds.</w:t>
            </w:r>
          </w:p>
          <w:p w14:paraId="5E15C16F" w14:textId="77777777" w:rsidR="00A70030" w:rsidRDefault="00A70030" w:rsidP="00073385">
            <w:pPr>
              <w:pStyle w:val="ListParagraph0"/>
              <w:numPr>
                <w:ilvl w:val="0"/>
                <w:numId w:val="515"/>
              </w:numPr>
              <w:spacing w:before="60" w:after="60" w:line="240" w:lineRule="auto"/>
              <w:rPr>
                <w:rFonts w:cs="Arial"/>
                <w:sz w:val="20"/>
                <w:szCs w:val="20"/>
              </w:rPr>
            </w:pPr>
            <w:r>
              <w:rPr>
                <w:rFonts w:cs="Arial"/>
                <w:sz w:val="20"/>
                <w:szCs w:val="20"/>
              </w:rPr>
              <w:t>There is a future there for scallop fishermen for five years.</w:t>
            </w:r>
          </w:p>
          <w:p w14:paraId="03AA9B7D" w14:textId="77777777" w:rsidR="00A70030" w:rsidRDefault="00A70030" w:rsidP="00073385">
            <w:pPr>
              <w:pStyle w:val="ListParagraph0"/>
              <w:numPr>
                <w:ilvl w:val="0"/>
                <w:numId w:val="515"/>
              </w:numPr>
              <w:spacing w:before="60" w:after="60" w:line="240" w:lineRule="auto"/>
              <w:rPr>
                <w:rFonts w:cs="Arial"/>
                <w:sz w:val="20"/>
                <w:szCs w:val="20"/>
              </w:rPr>
            </w:pPr>
            <w:r>
              <w:rPr>
                <w:rFonts w:cs="Arial"/>
                <w:sz w:val="20"/>
                <w:szCs w:val="20"/>
              </w:rPr>
              <w:t>Seine fishers are avoiding the area near the pipelines as their nets are getting stuck on scallops.</w:t>
            </w:r>
          </w:p>
          <w:p w14:paraId="431BCDEC" w14:textId="77777777" w:rsidR="00A70030" w:rsidRDefault="00A70030" w:rsidP="00073385">
            <w:pPr>
              <w:spacing w:before="60" w:after="60" w:line="240" w:lineRule="auto"/>
              <w:ind w:left="0"/>
              <w:rPr>
                <w:rFonts w:cs="Arial"/>
                <w:sz w:val="20"/>
                <w:szCs w:val="20"/>
              </w:rPr>
            </w:pPr>
          </w:p>
          <w:p w14:paraId="1CB7A377" w14:textId="77777777" w:rsidR="00A70030" w:rsidRDefault="00A70030" w:rsidP="00073385">
            <w:pPr>
              <w:spacing w:before="60" w:after="60" w:line="240" w:lineRule="auto"/>
              <w:ind w:left="0"/>
              <w:rPr>
                <w:rFonts w:cs="Arial"/>
                <w:sz w:val="20"/>
                <w:szCs w:val="20"/>
              </w:rPr>
            </w:pPr>
            <w:r>
              <w:rPr>
                <w:rFonts w:cs="Arial"/>
                <w:sz w:val="20"/>
                <w:szCs w:val="20"/>
              </w:rPr>
              <w:t>VFA confirmed that AFMA has stated the data is consistent with the fisherman’s explanation of events.</w:t>
            </w:r>
          </w:p>
          <w:p w14:paraId="4C06BFB5" w14:textId="77777777" w:rsidR="00A70030" w:rsidRDefault="00A70030" w:rsidP="00073385">
            <w:pPr>
              <w:spacing w:before="60" w:after="60" w:line="240" w:lineRule="auto"/>
              <w:ind w:left="0"/>
              <w:rPr>
                <w:rFonts w:cs="Arial"/>
                <w:sz w:val="20"/>
                <w:szCs w:val="20"/>
              </w:rPr>
            </w:pPr>
          </w:p>
          <w:p w14:paraId="13B4B2FD" w14:textId="35978479" w:rsidR="00A70030" w:rsidRDefault="00A70030" w:rsidP="00073385">
            <w:pPr>
              <w:spacing w:before="60" w:after="60" w:line="240" w:lineRule="auto"/>
              <w:ind w:left="0"/>
              <w:rPr>
                <w:rFonts w:cs="Arial"/>
                <w:sz w:val="20"/>
                <w:szCs w:val="20"/>
              </w:rPr>
            </w:pPr>
            <w:r>
              <w:rPr>
                <w:rFonts w:cs="Arial"/>
                <w:sz w:val="20"/>
                <w:szCs w:val="20"/>
              </w:rPr>
              <w:t xml:space="preserve">There was a discussion about doing some ground truthing </w:t>
            </w:r>
            <w:r w:rsidRPr="003C44D0">
              <w:rPr>
                <w:rFonts w:cs="Arial"/>
                <w:sz w:val="20"/>
                <w:szCs w:val="20"/>
              </w:rPr>
              <w:t xml:space="preserve">to verify whether or not there are scallops inside the </w:t>
            </w:r>
            <w:r>
              <w:rPr>
                <w:rFonts w:cs="Arial"/>
                <w:sz w:val="20"/>
                <w:szCs w:val="20"/>
              </w:rPr>
              <w:t xml:space="preserve">MSS operational </w:t>
            </w:r>
            <w:r w:rsidRPr="003C44D0">
              <w:rPr>
                <w:rFonts w:cs="Arial"/>
                <w:sz w:val="20"/>
                <w:szCs w:val="20"/>
              </w:rPr>
              <w:t xml:space="preserve">area. Evidence provided to date shows very few scallops inside area. </w:t>
            </w:r>
            <w:r>
              <w:rPr>
                <w:rFonts w:cs="Arial"/>
                <w:sz w:val="20"/>
                <w:szCs w:val="20"/>
              </w:rPr>
              <w:t xml:space="preserve">VFA </w:t>
            </w:r>
            <w:r w:rsidRPr="003C44D0">
              <w:rPr>
                <w:rFonts w:cs="Arial"/>
                <w:sz w:val="20"/>
                <w:szCs w:val="20"/>
              </w:rPr>
              <w:t xml:space="preserve">suggested </w:t>
            </w:r>
            <w:r>
              <w:rPr>
                <w:rFonts w:cs="Arial"/>
                <w:sz w:val="20"/>
                <w:szCs w:val="20"/>
              </w:rPr>
              <w:t>it</w:t>
            </w:r>
            <w:r w:rsidRPr="003C44D0">
              <w:rPr>
                <w:rFonts w:cs="Arial"/>
                <w:sz w:val="20"/>
                <w:szCs w:val="20"/>
              </w:rPr>
              <w:t xml:space="preserve"> could work with CarbonNet and VSFA to design a study to go back and do further field observations.</w:t>
            </w:r>
          </w:p>
        </w:tc>
        <w:tc>
          <w:tcPr>
            <w:tcW w:w="3802" w:type="dxa"/>
            <w:tcBorders>
              <w:top w:val="single" w:sz="4" w:space="0" w:color="auto"/>
              <w:bottom w:val="single" w:sz="4" w:space="0" w:color="auto"/>
            </w:tcBorders>
            <w:shd w:val="clear" w:color="auto" w:fill="auto"/>
          </w:tcPr>
          <w:p w14:paraId="16436223" w14:textId="77777777" w:rsidR="00A70030" w:rsidRDefault="00A70030" w:rsidP="00073385">
            <w:pPr>
              <w:spacing w:before="60" w:after="60" w:line="240" w:lineRule="auto"/>
              <w:ind w:left="0"/>
              <w:rPr>
                <w:rFonts w:cs="Arial"/>
                <w:sz w:val="20"/>
                <w:szCs w:val="20"/>
              </w:rPr>
            </w:pPr>
            <w:r>
              <w:rPr>
                <w:rFonts w:cs="Arial"/>
                <w:sz w:val="20"/>
                <w:szCs w:val="20"/>
              </w:rPr>
              <w:lastRenderedPageBreak/>
              <w:t>CarbonNet offered to have further discussions with VSFA and would consult both NOPSEMSA and NOPTA on dreding. CarbonNet explained that it has a permit to conduct the MSS from NOPTA and will provde further advice to VSFA on this matter.</w:t>
            </w:r>
          </w:p>
          <w:p w14:paraId="3218A478" w14:textId="77777777" w:rsidR="00A70030" w:rsidRDefault="00A70030" w:rsidP="00073385">
            <w:pPr>
              <w:spacing w:before="60" w:after="60" w:line="240" w:lineRule="auto"/>
              <w:ind w:left="0"/>
              <w:rPr>
                <w:rFonts w:cs="Arial"/>
                <w:sz w:val="20"/>
                <w:szCs w:val="20"/>
              </w:rPr>
            </w:pPr>
          </w:p>
          <w:p w14:paraId="766A5B91" w14:textId="77777777" w:rsidR="00A70030" w:rsidRDefault="00A70030" w:rsidP="00073385">
            <w:pPr>
              <w:spacing w:before="60" w:after="60" w:line="240" w:lineRule="auto"/>
              <w:ind w:left="0"/>
              <w:rPr>
                <w:rFonts w:cs="Arial"/>
                <w:sz w:val="20"/>
                <w:szCs w:val="20"/>
              </w:rPr>
            </w:pPr>
            <w:r>
              <w:rPr>
                <w:rFonts w:cs="Arial"/>
                <w:sz w:val="20"/>
                <w:szCs w:val="20"/>
              </w:rPr>
              <w:t>CarbonNet will continue to talk with VFA, VSFA, SIV and other interested parties regarding its proposal to co-design a pre- and post-MSS environmental habitat assessment study. CarbonNet’s offer to make a contribution to a whole-of-fishery scallop stock assessment coordinated by VFA also stands.</w:t>
            </w:r>
          </w:p>
          <w:p w14:paraId="6947D0EB" w14:textId="77777777" w:rsidR="00A70030" w:rsidRDefault="00A70030" w:rsidP="00073385">
            <w:pPr>
              <w:spacing w:before="60" w:after="60" w:line="240" w:lineRule="auto"/>
              <w:ind w:left="0"/>
              <w:rPr>
                <w:rFonts w:cs="Arial"/>
                <w:sz w:val="20"/>
                <w:szCs w:val="20"/>
              </w:rPr>
            </w:pPr>
          </w:p>
          <w:p w14:paraId="0326C255" w14:textId="77777777" w:rsidR="00A70030" w:rsidRDefault="00A70030" w:rsidP="00073385">
            <w:pPr>
              <w:spacing w:before="60" w:after="60" w:line="240" w:lineRule="auto"/>
              <w:ind w:left="0"/>
              <w:rPr>
                <w:rFonts w:cs="Arial"/>
                <w:sz w:val="20"/>
                <w:szCs w:val="20"/>
              </w:rPr>
            </w:pPr>
            <w:r>
              <w:rPr>
                <w:rFonts w:cs="Arial"/>
                <w:sz w:val="20"/>
                <w:szCs w:val="20"/>
              </w:rPr>
              <w:t xml:space="preserve">CarbonNet’s risk assessment for the Victorian scallop fishery is provided in </w:t>
            </w:r>
            <w:r w:rsidRPr="00905C82">
              <w:rPr>
                <w:rFonts w:cs="Arial"/>
                <w:sz w:val="20"/>
                <w:szCs w:val="20"/>
              </w:rPr>
              <w:t>Section 7.8.7 of the EP</w:t>
            </w:r>
            <w:r>
              <w:rPr>
                <w:rFonts w:cs="Arial"/>
                <w:sz w:val="20"/>
                <w:szCs w:val="20"/>
              </w:rPr>
              <w:t xml:space="preserve"> which has considered the presence of scallops in the vincity of the MSS operational area as indicated by the recent information </w:t>
            </w:r>
            <w:r>
              <w:rPr>
                <w:rFonts w:cs="Arial"/>
                <w:sz w:val="20"/>
                <w:szCs w:val="20"/>
              </w:rPr>
              <w:lastRenderedPageBreak/>
              <w:t xml:space="preserve">provided by a fisherman. </w:t>
            </w:r>
          </w:p>
          <w:p w14:paraId="00F9ED22" w14:textId="77777777" w:rsidR="00A70030" w:rsidRDefault="00A70030" w:rsidP="00073385">
            <w:pPr>
              <w:spacing w:before="60" w:after="60" w:line="240" w:lineRule="auto"/>
              <w:ind w:left="0"/>
              <w:rPr>
                <w:rFonts w:cs="Arial"/>
                <w:sz w:val="20"/>
                <w:szCs w:val="20"/>
              </w:rPr>
            </w:pPr>
          </w:p>
          <w:p w14:paraId="0F0AD1F3" w14:textId="77777777" w:rsidR="00A70030" w:rsidRPr="00AE2510" w:rsidRDefault="00A70030" w:rsidP="00073385">
            <w:pPr>
              <w:spacing w:before="60" w:after="60" w:line="240" w:lineRule="auto"/>
              <w:ind w:left="0"/>
              <w:rPr>
                <w:rFonts w:cs="Arial"/>
                <w:sz w:val="20"/>
                <w:szCs w:val="20"/>
              </w:rPr>
            </w:pPr>
          </w:p>
        </w:tc>
      </w:tr>
      <w:tr w:rsidR="00A70030" w:rsidRPr="00FF0808" w14:paraId="4FD996EE" w14:textId="77777777" w:rsidTr="00905C82">
        <w:trPr>
          <w:trHeight w:val="970"/>
        </w:trPr>
        <w:tc>
          <w:tcPr>
            <w:tcW w:w="1427" w:type="dxa"/>
            <w:tcBorders>
              <w:top w:val="nil"/>
              <w:bottom w:val="nil"/>
            </w:tcBorders>
            <w:shd w:val="clear" w:color="auto" w:fill="auto"/>
          </w:tcPr>
          <w:p w14:paraId="04A0BDB1" w14:textId="77777777" w:rsidR="00A70030" w:rsidRPr="003E2F3C" w:rsidDel="00B73BC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599E853"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C727466" w14:textId="77777777" w:rsidR="00A70030" w:rsidRDefault="00A70030" w:rsidP="00073385">
            <w:pPr>
              <w:spacing w:before="60" w:after="60" w:line="240" w:lineRule="auto"/>
              <w:ind w:left="0"/>
              <w:rPr>
                <w:rFonts w:cs="Arial"/>
                <w:sz w:val="20"/>
                <w:szCs w:val="20"/>
              </w:rPr>
            </w:pPr>
            <w:r>
              <w:rPr>
                <w:rFonts w:cs="Arial"/>
                <w:sz w:val="20"/>
                <w:szCs w:val="20"/>
              </w:rPr>
              <w:t>7/8/17</w:t>
            </w:r>
          </w:p>
        </w:tc>
        <w:tc>
          <w:tcPr>
            <w:tcW w:w="6335" w:type="dxa"/>
            <w:tcBorders>
              <w:top w:val="single" w:sz="4" w:space="0" w:color="auto"/>
              <w:bottom w:val="single" w:sz="4" w:space="0" w:color="auto"/>
            </w:tcBorders>
            <w:shd w:val="clear" w:color="auto" w:fill="auto"/>
          </w:tcPr>
          <w:p w14:paraId="6DE82207" w14:textId="77777777" w:rsidR="00A70030" w:rsidRDefault="00A70030" w:rsidP="00073385">
            <w:pPr>
              <w:spacing w:before="60" w:after="60" w:line="240" w:lineRule="auto"/>
              <w:ind w:left="0"/>
              <w:rPr>
                <w:rFonts w:cs="Arial"/>
                <w:sz w:val="20"/>
                <w:szCs w:val="20"/>
              </w:rPr>
            </w:pPr>
            <w:r w:rsidRPr="00653AFA">
              <w:rPr>
                <w:rFonts w:cs="Arial"/>
                <w:sz w:val="20"/>
                <w:szCs w:val="20"/>
              </w:rPr>
              <w:t xml:space="preserve">CarbonNet sent VSFA an email </w:t>
            </w:r>
            <w:r w:rsidRPr="007515D9">
              <w:rPr>
                <w:rFonts w:cs="Arial"/>
                <w:sz w:val="20"/>
                <w:szCs w:val="20"/>
              </w:rPr>
              <w:t>advising</w:t>
            </w:r>
            <w:r w:rsidRPr="001D00DE">
              <w:rPr>
                <w:rFonts w:cs="Arial"/>
                <w:sz w:val="20"/>
                <w:szCs w:val="20"/>
              </w:rPr>
              <w:t xml:space="preserve"> that </w:t>
            </w:r>
            <w:r>
              <w:rPr>
                <w:rFonts w:cs="Arial"/>
                <w:sz w:val="20"/>
                <w:szCs w:val="20"/>
              </w:rPr>
              <w:t xml:space="preserve">the operational </w:t>
            </w:r>
            <w:r w:rsidRPr="001D00DE">
              <w:rPr>
                <w:rFonts w:cs="Arial"/>
                <w:sz w:val="20"/>
                <w:szCs w:val="20"/>
              </w:rPr>
              <w:t xml:space="preserve">area and duration of survey have now been refined, and </w:t>
            </w:r>
            <w:r>
              <w:rPr>
                <w:rFonts w:cs="Arial"/>
                <w:sz w:val="20"/>
                <w:szCs w:val="20"/>
              </w:rPr>
              <w:t xml:space="preserve">that the </w:t>
            </w:r>
            <w:r w:rsidRPr="001D00DE">
              <w:rPr>
                <w:rFonts w:cs="Arial"/>
                <w:sz w:val="20"/>
                <w:szCs w:val="20"/>
              </w:rPr>
              <w:t xml:space="preserve">EP </w:t>
            </w:r>
            <w:r>
              <w:rPr>
                <w:rFonts w:cs="Arial"/>
                <w:sz w:val="20"/>
                <w:szCs w:val="20"/>
              </w:rPr>
              <w:t xml:space="preserve">will be submitted </w:t>
            </w:r>
            <w:r w:rsidRPr="001D00DE">
              <w:rPr>
                <w:rFonts w:cs="Arial"/>
                <w:sz w:val="20"/>
                <w:szCs w:val="20"/>
              </w:rPr>
              <w:t>in mid-August.</w:t>
            </w:r>
          </w:p>
          <w:p w14:paraId="0C12C579" w14:textId="77777777" w:rsidR="00A70030" w:rsidRPr="001D00DE" w:rsidRDefault="00A70030" w:rsidP="00073385">
            <w:pPr>
              <w:spacing w:before="60" w:after="60" w:line="240" w:lineRule="auto"/>
              <w:ind w:left="0"/>
              <w:rPr>
                <w:rFonts w:cs="Arial"/>
                <w:sz w:val="20"/>
                <w:szCs w:val="20"/>
              </w:rPr>
            </w:pPr>
            <w:r>
              <w:rPr>
                <w:rFonts w:cs="Arial"/>
                <w:sz w:val="20"/>
                <w:szCs w:val="20"/>
              </w:rPr>
              <w:t>The email explained that the operational</w:t>
            </w:r>
            <w:r w:rsidRPr="001D00DE">
              <w:rPr>
                <w:rFonts w:cs="Arial"/>
                <w:sz w:val="20"/>
                <w:szCs w:val="20"/>
              </w:rPr>
              <w:t xml:space="preserve"> area is now larger due to vessel turns</w:t>
            </w:r>
            <w:r>
              <w:rPr>
                <w:rFonts w:cs="Arial"/>
                <w:sz w:val="20"/>
                <w:szCs w:val="20"/>
              </w:rPr>
              <w:t xml:space="preserve">, and </w:t>
            </w:r>
            <w:r w:rsidRPr="001D00DE">
              <w:rPr>
                <w:rFonts w:cs="Arial"/>
                <w:sz w:val="20"/>
                <w:szCs w:val="20"/>
              </w:rPr>
              <w:t>provided map</w:t>
            </w:r>
            <w:r>
              <w:rPr>
                <w:rFonts w:cs="Arial"/>
                <w:sz w:val="20"/>
                <w:szCs w:val="20"/>
              </w:rPr>
              <w:t xml:space="preserve"> with amended operational area, and acquisition area (which is unchanged).</w:t>
            </w:r>
          </w:p>
          <w:p w14:paraId="472E6263" w14:textId="77777777" w:rsidR="00A70030" w:rsidRPr="00C83C0E" w:rsidDel="00F45D73" w:rsidRDefault="00A70030" w:rsidP="00073385">
            <w:pPr>
              <w:spacing w:before="60" w:after="60" w:line="240" w:lineRule="auto"/>
              <w:ind w:left="0"/>
              <w:rPr>
                <w:rFonts w:cs="Arial"/>
                <w:sz w:val="20"/>
                <w:szCs w:val="20"/>
                <w:highlight w:val="yellow"/>
              </w:rPr>
            </w:pPr>
            <w:r>
              <w:rPr>
                <w:rFonts w:cs="Arial"/>
                <w:sz w:val="20"/>
                <w:szCs w:val="20"/>
              </w:rPr>
              <w:t>The su</w:t>
            </w:r>
            <w:r w:rsidRPr="001D00DE">
              <w:rPr>
                <w:rFonts w:cs="Arial"/>
                <w:sz w:val="20"/>
                <w:szCs w:val="20"/>
              </w:rPr>
              <w:t>rvey duration is likely to be 13-16 days but could be up to 27 days depending on final vessel selection.</w:t>
            </w:r>
          </w:p>
        </w:tc>
        <w:tc>
          <w:tcPr>
            <w:tcW w:w="3802" w:type="dxa"/>
            <w:tcBorders>
              <w:top w:val="single" w:sz="4" w:space="0" w:color="auto"/>
              <w:bottom w:val="single" w:sz="4" w:space="0" w:color="auto"/>
            </w:tcBorders>
            <w:shd w:val="clear" w:color="auto" w:fill="auto"/>
          </w:tcPr>
          <w:p w14:paraId="598148FA" w14:textId="10C1D9B2"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2A55F26" w14:textId="77777777" w:rsidTr="00891DE1">
        <w:trPr>
          <w:trHeight w:val="970"/>
        </w:trPr>
        <w:tc>
          <w:tcPr>
            <w:tcW w:w="1427" w:type="dxa"/>
            <w:tcBorders>
              <w:top w:val="nil"/>
              <w:bottom w:val="nil"/>
            </w:tcBorders>
            <w:shd w:val="clear" w:color="auto" w:fill="auto"/>
          </w:tcPr>
          <w:p w14:paraId="698008D1" w14:textId="77777777" w:rsidR="00A70030" w:rsidRPr="003E2F3C" w:rsidDel="00B73BC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FDF2A64"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5F6A30D1" w14:textId="77777777" w:rsidR="00A70030" w:rsidRDefault="00A70030" w:rsidP="00073385">
            <w:pPr>
              <w:spacing w:before="60" w:after="60" w:line="240" w:lineRule="auto"/>
              <w:ind w:left="0"/>
              <w:rPr>
                <w:rFonts w:cs="Arial"/>
                <w:sz w:val="20"/>
                <w:szCs w:val="20"/>
              </w:rPr>
            </w:pPr>
            <w:r>
              <w:rPr>
                <w:rFonts w:cs="Arial"/>
                <w:sz w:val="20"/>
                <w:szCs w:val="20"/>
              </w:rPr>
              <w:t>8/8/17</w:t>
            </w:r>
          </w:p>
        </w:tc>
        <w:tc>
          <w:tcPr>
            <w:tcW w:w="6335" w:type="dxa"/>
            <w:tcBorders>
              <w:top w:val="single" w:sz="4" w:space="0" w:color="auto"/>
              <w:bottom w:val="single" w:sz="4" w:space="0" w:color="auto"/>
            </w:tcBorders>
            <w:shd w:val="clear" w:color="auto" w:fill="auto"/>
          </w:tcPr>
          <w:p w14:paraId="07DFB0C0" w14:textId="324BFA78" w:rsidR="00A70030" w:rsidRPr="00C83C0E" w:rsidDel="00F45D73" w:rsidRDefault="00A70030" w:rsidP="00905C82">
            <w:pPr>
              <w:spacing w:before="60" w:after="60" w:line="240" w:lineRule="auto"/>
              <w:ind w:left="0"/>
              <w:rPr>
                <w:rFonts w:cs="Arial"/>
                <w:sz w:val="20"/>
                <w:szCs w:val="20"/>
                <w:highlight w:val="yellow"/>
              </w:rPr>
            </w:pPr>
            <w:r w:rsidRPr="00653AFA">
              <w:rPr>
                <w:rFonts w:cs="Arial"/>
                <w:sz w:val="20"/>
                <w:szCs w:val="20"/>
              </w:rPr>
              <w:t xml:space="preserve">CarbonNet sent VSFA further clarification on CarbonNet’s approval and dredging. CarbonNet said NOPSEMA has confirmed that the approval of CarbonNet’s </w:t>
            </w:r>
            <w:r w:rsidRPr="007515D9">
              <w:rPr>
                <w:rFonts w:cs="Arial"/>
                <w:sz w:val="20"/>
                <w:szCs w:val="20"/>
              </w:rPr>
              <w:t xml:space="preserve">seismic survey as a key greenhouse gas operation is a matter for NOPTA under the OPGGS Act. </w:t>
            </w:r>
            <w:r>
              <w:rPr>
                <w:rFonts w:cs="Arial"/>
                <w:sz w:val="20"/>
                <w:szCs w:val="20"/>
              </w:rPr>
              <w:t xml:space="preserve">CarbonNet is </w:t>
            </w:r>
            <w:r w:rsidRPr="007515D9">
              <w:rPr>
                <w:rFonts w:cs="Arial"/>
                <w:sz w:val="20"/>
                <w:szCs w:val="20"/>
              </w:rPr>
              <w:t xml:space="preserve">continuing to consult NOPTA to confirm that a dredge-based activity </w:t>
            </w:r>
            <w:r>
              <w:rPr>
                <w:rFonts w:cs="Arial"/>
                <w:sz w:val="20"/>
                <w:szCs w:val="20"/>
              </w:rPr>
              <w:t>that</w:t>
            </w:r>
            <w:r w:rsidRPr="007515D9">
              <w:rPr>
                <w:rFonts w:cs="Arial"/>
                <w:sz w:val="20"/>
                <w:szCs w:val="20"/>
              </w:rPr>
              <w:t xml:space="preserve"> would disturb the seabed and be in proximity to oil and gas assets is inconsistent with </w:t>
            </w:r>
            <w:r>
              <w:rPr>
                <w:rFonts w:cs="Arial"/>
                <w:sz w:val="20"/>
                <w:szCs w:val="20"/>
              </w:rPr>
              <w:t>its</w:t>
            </w:r>
            <w:r w:rsidRPr="007515D9">
              <w:rPr>
                <w:rFonts w:cs="Arial"/>
                <w:sz w:val="20"/>
                <w:szCs w:val="20"/>
              </w:rPr>
              <w:t xml:space="preserve"> approval</w:t>
            </w:r>
            <w:r>
              <w:rPr>
                <w:rFonts w:cs="Arial"/>
                <w:sz w:val="20"/>
                <w:szCs w:val="20"/>
              </w:rPr>
              <w:t>.</w:t>
            </w:r>
          </w:p>
        </w:tc>
        <w:tc>
          <w:tcPr>
            <w:tcW w:w="3802" w:type="dxa"/>
            <w:tcBorders>
              <w:top w:val="single" w:sz="4" w:space="0" w:color="auto"/>
              <w:bottom w:val="single" w:sz="4" w:space="0" w:color="auto"/>
            </w:tcBorders>
            <w:shd w:val="clear" w:color="auto" w:fill="auto"/>
          </w:tcPr>
          <w:p w14:paraId="2B8C5BAA" w14:textId="27D48B56"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37E76BF8" w14:textId="77777777" w:rsidTr="00891DE1">
        <w:trPr>
          <w:trHeight w:val="970"/>
        </w:trPr>
        <w:tc>
          <w:tcPr>
            <w:tcW w:w="1427" w:type="dxa"/>
            <w:tcBorders>
              <w:top w:val="nil"/>
              <w:bottom w:val="nil"/>
            </w:tcBorders>
            <w:shd w:val="clear" w:color="auto" w:fill="auto"/>
          </w:tcPr>
          <w:p w14:paraId="50AB77D0" w14:textId="77777777" w:rsidR="00A70030" w:rsidRPr="003E2F3C" w:rsidDel="00B73BC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D203C94"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8C0E7B0" w14:textId="37FC10CB"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auto"/>
              <w:bottom w:val="single" w:sz="4" w:space="0" w:color="auto"/>
            </w:tcBorders>
            <w:shd w:val="clear" w:color="auto" w:fill="auto"/>
          </w:tcPr>
          <w:p w14:paraId="5B851052" w14:textId="5C1D0F5D" w:rsidR="00A70030" w:rsidRPr="00653AFA" w:rsidRDefault="00A70030" w:rsidP="00905C82">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NOPSEMA website for stakeholders to subscribe to updates, and committed to provide a revised fact sheet once a survey vessel has been contracted.</w:t>
            </w:r>
          </w:p>
        </w:tc>
        <w:tc>
          <w:tcPr>
            <w:tcW w:w="3802" w:type="dxa"/>
            <w:tcBorders>
              <w:top w:val="single" w:sz="4" w:space="0" w:color="auto"/>
              <w:bottom w:val="single" w:sz="4" w:space="0" w:color="auto"/>
            </w:tcBorders>
            <w:shd w:val="clear" w:color="auto" w:fill="auto"/>
          </w:tcPr>
          <w:p w14:paraId="1ACFFB46" w14:textId="61E357E5"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1BC378E3" w14:textId="77777777" w:rsidTr="00891DE1">
        <w:trPr>
          <w:trHeight w:val="970"/>
        </w:trPr>
        <w:tc>
          <w:tcPr>
            <w:tcW w:w="1427" w:type="dxa"/>
            <w:tcBorders>
              <w:top w:val="nil"/>
              <w:bottom w:val="nil"/>
            </w:tcBorders>
            <w:shd w:val="clear" w:color="auto" w:fill="auto"/>
          </w:tcPr>
          <w:p w14:paraId="293328A9" w14:textId="77777777" w:rsidR="00A70030" w:rsidRPr="003E2F3C" w:rsidDel="00B73BC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AABB443"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82F3227" w14:textId="6477EBFF" w:rsidR="00A70030" w:rsidRDefault="00A70030" w:rsidP="00073385">
            <w:pPr>
              <w:spacing w:before="60" w:after="60" w:line="240" w:lineRule="auto"/>
              <w:ind w:left="0"/>
              <w:rPr>
                <w:rFonts w:cs="Arial"/>
                <w:sz w:val="20"/>
                <w:szCs w:val="20"/>
              </w:rPr>
            </w:pPr>
            <w:r>
              <w:rPr>
                <w:rFonts w:cs="Arial"/>
                <w:sz w:val="20"/>
                <w:szCs w:val="20"/>
              </w:rPr>
              <w:t>27/9/17</w:t>
            </w:r>
          </w:p>
        </w:tc>
        <w:tc>
          <w:tcPr>
            <w:tcW w:w="6335" w:type="dxa"/>
            <w:tcBorders>
              <w:top w:val="single" w:sz="4" w:space="0" w:color="auto"/>
              <w:bottom w:val="single" w:sz="4" w:space="0" w:color="auto"/>
            </w:tcBorders>
            <w:shd w:val="clear" w:color="auto" w:fill="auto"/>
          </w:tcPr>
          <w:p w14:paraId="67A58E1F" w14:textId="793F390D" w:rsidR="00A70030" w:rsidRPr="00101622" w:rsidRDefault="00A70030" w:rsidP="00AF1C7F">
            <w:pPr>
              <w:spacing w:before="60" w:after="60" w:line="240" w:lineRule="auto"/>
              <w:ind w:left="0"/>
              <w:rPr>
                <w:rFonts w:cs="Arial"/>
                <w:sz w:val="20"/>
                <w:szCs w:val="20"/>
              </w:rPr>
            </w:pPr>
            <w:r>
              <w:rPr>
                <w:rFonts w:cs="Arial"/>
                <w:sz w:val="20"/>
                <w:szCs w:val="20"/>
              </w:rPr>
              <w:t xml:space="preserve">VSFA emailed </w:t>
            </w:r>
            <w:r w:rsidRPr="00101622">
              <w:rPr>
                <w:rFonts w:cs="Arial"/>
                <w:sz w:val="20"/>
                <w:szCs w:val="20"/>
              </w:rPr>
              <w:t xml:space="preserve">CarbonNet </w:t>
            </w:r>
            <w:r>
              <w:rPr>
                <w:rFonts w:cs="Arial"/>
                <w:sz w:val="20"/>
                <w:szCs w:val="20"/>
              </w:rPr>
              <w:t>to raise a number of issues. They:</w:t>
            </w:r>
          </w:p>
          <w:p w14:paraId="554A1819" w14:textId="24B61B3A" w:rsidR="00A70030" w:rsidRPr="00891DE1" w:rsidRDefault="00A70030" w:rsidP="00891DE1">
            <w:pPr>
              <w:pStyle w:val="ListParagraph0"/>
              <w:numPr>
                <w:ilvl w:val="0"/>
                <w:numId w:val="523"/>
              </w:numPr>
              <w:spacing w:before="60" w:after="60" w:line="240" w:lineRule="auto"/>
              <w:rPr>
                <w:rFonts w:cs="Arial"/>
                <w:sz w:val="20"/>
                <w:szCs w:val="20"/>
              </w:rPr>
            </w:pPr>
            <w:r>
              <w:rPr>
                <w:rFonts w:cs="Arial"/>
                <w:sz w:val="20"/>
                <w:szCs w:val="20"/>
              </w:rPr>
              <w:t>R</w:t>
            </w:r>
            <w:r w:rsidRPr="00891DE1">
              <w:rPr>
                <w:rFonts w:cs="Arial"/>
                <w:sz w:val="20"/>
                <w:szCs w:val="20"/>
              </w:rPr>
              <w:t>equested CarbonNet work with them on a dredge-based scallop survey.</w:t>
            </w:r>
          </w:p>
          <w:p w14:paraId="168B52F2" w14:textId="537D142C" w:rsidR="00A70030" w:rsidRPr="00891DE1" w:rsidRDefault="00A70030" w:rsidP="00891DE1">
            <w:pPr>
              <w:pStyle w:val="ListParagraph0"/>
              <w:numPr>
                <w:ilvl w:val="0"/>
                <w:numId w:val="523"/>
              </w:numPr>
              <w:spacing w:before="60" w:after="60" w:line="240" w:lineRule="auto"/>
              <w:rPr>
                <w:rFonts w:cs="Arial"/>
                <w:sz w:val="20"/>
                <w:szCs w:val="20"/>
              </w:rPr>
            </w:pPr>
            <w:r>
              <w:rPr>
                <w:rFonts w:cs="Arial"/>
                <w:sz w:val="20"/>
                <w:szCs w:val="20"/>
              </w:rPr>
              <w:t>R</w:t>
            </w:r>
            <w:r w:rsidRPr="00891DE1">
              <w:rPr>
                <w:rFonts w:cs="Arial"/>
                <w:sz w:val="20"/>
                <w:szCs w:val="20"/>
              </w:rPr>
              <w:t>equested information on CarbonNet's "regulated prohibition to be associated with, or contribute financially to, work of this nature”.</w:t>
            </w:r>
          </w:p>
          <w:p w14:paraId="79F9DBE9" w14:textId="0E6267F6" w:rsidR="00A70030" w:rsidRPr="00891DE1" w:rsidRDefault="00A70030" w:rsidP="00891DE1">
            <w:pPr>
              <w:pStyle w:val="ListParagraph0"/>
              <w:numPr>
                <w:ilvl w:val="0"/>
                <w:numId w:val="523"/>
              </w:numPr>
              <w:spacing w:before="60" w:after="60" w:line="240" w:lineRule="auto"/>
              <w:rPr>
                <w:rFonts w:cs="Arial"/>
                <w:sz w:val="20"/>
                <w:szCs w:val="20"/>
              </w:rPr>
            </w:pPr>
            <w:r>
              <w:rPr>
                <w:rFonts w:cs="Arial"/>
                <w:sz w:val="20"/>
                <w:szCs w:val="20"/>
              </w:rPr>
              <w:t>D</w:t>
            </w:r>
            <w:r w:rsidRPr="00891DE1">
              <w:rPr>
                <w:rFonts w:cs="Arial"/>
                <w:sz w:val="20"/>
                <w:szCs w:val="20"/>
              </w:rPr>
              <w:t>isputed CarbonNet's claim that there are a low number of scallops in the area.</w:t>
            </w:r>
          </w:p>
          <w:p w14:paraId="01767D39" w14:textId="2EA4A849" w:rsidR="00A70030" w:rsidRPr="00891DE1" w:rsidRDefault="00A70030" w:rsidP="00891DE1">
            <w:pPr>
              <w:pStyle w:val="ListParagraph0"/>
              <w:numPr>
                <w:ilvl w:val="0"/>
                <w:numId w:val="523"/>
              </w:numPr>
              <w:spacing w:before="60" w:after="60" w:line="240" w:lineRule="auto"/>
              <w:rPr>
                <w:rFonts w:cs="Arial"/>
                <w:sz w:val="20"/>
                <w:szCs w:val="20"/>
              </w:rPr>
            </w:pPr>
            <w:r>
              <w:rPr>
                <w:rFonts w:cs="Arial"/>
                <w:sz w:val="20"/>
                <w:szCs w:val="20"/>
              </w:rPr>
              <w:t>D</w:t>
            </w:r>
            <w:r w:rsidRPr="00891DE1">
              <w:rPr>
                <w:rFonts w:cs="Arial"/>
                <w:sz w:val="20"/>
                <w:szCs w:val="20"/>
              </w:rPr>
              <w:t xml:space="preserve">isagree that camera technology can assess </w:t>
            </w:r>
            <w:r>
              <w:rPr>
                <w:rFonts w:cs="Arial"/>
                <w:sz w:val="20"/>
                <w:szCs w:val="20"/>
              </w:rPr>
              <w:t>the abundance of</w:t>
            </w:r>
            <w:r w:rsidRPr="00891DE1">
              <w:rPr>
                <w:rFonts w:cs="Arial"/>
                <w:sz w:val="20"/>
                <w:szCs w:val="20"/>
              </w:rPr>
              <w:t xml:space="preserve"> scallops.</w:t>
            </w:r>
          </w:p>
          <w:p w14:paraId="39AEA5AF" w14:textId="16FD526D" w:rsidR="00A70030" w:rsidRPr="00891DE1" w:rsidRDefault="00A70030" w:rsidP="00891DE1">
            <w:pPr>
              <w:pStyle w:val="ListParagraph0"/>
              <w:numPr>
                <w:ilvl w:val="0"/>
                <w:numId w:val="523"/>
              </w:numPr>
              <w:spacing w:before="60" w:after="60" w:line="240" w:lineRule="auto"/>
              <w:rPr>
                <w:rFonts w:cs="Arial"/>
                <w:sz w:val="20"/>
                <w:szCs w:val="20"/>
              </w:rPr>
            </w:pPr>
            <w:r>
              <w:rPr>
                <w:rFonts w:cs="Arial"/>
                <w:sz w:val="20"/>
                <w:szCs w:val="20"/>
              </w:rPr>
              <w:t>C</w:t>
            </w:r>
            <w:r w:rsidRPr="00891DE1">
              <w:rPr>
                <w:rFonts w:cs="Arial"/>
                <w:sz w:val="20"/>
                <w:szCs w:val="20"/>
              </w:rPr>
              <w:t>laimed CarbonNet has said that the habitat is not suitable for scallops when it is prime scallop territory</w:t>
            </w:r>
            <w:r>
              <w:rPr>
                <w:rFonts w:cs="Arial"/>
                <w:sz w:val="20"/>
                <w:szCs w:val="20"/>
              </w:rPr>
              <w:t>.</w:t>
            </w:r>
          </w:p>
          <w:p w14:paraId="7C170A55" w14:textId="713D6F86" w:rsidR="00A70030" w:rsidRPr="00891DE1" w:rsidRDefault="00A70030" w:rsidP="00891DE1">
            <w:pPr>
              <w:pStyle w:val="ListParagraph0"/>
              <w:numPr>
                <w:ilvl w:val="0"/>
                <w:numId w:val="523"/>
              </w:numPr>
              <w:spacing w:before="60" w:after="60" w:line="240" w:lineRule="auto"/>
              <w:rPr>
                <w:rFonts w:cs="Arial"/>
                <w:sz w:val="20"/>
                <w:szCs w:val="20"/>
              </w:rPr>
            </w:pPr>
            <w:r>
              <w:rPr>
                <w:rFonts w:cs="Arial"/>
                <w:sz w:val="20"/>
                <w:szCs w:val="20"/>
              </w:rPr>
              <w:t>C</w:t>
            </w:r>
            <w:r w:rsidRPr="00891DE1">
              <w:rPr>
                <w:rFonts w:cs="Arial"/>
                <w:sz w:val="20"/>
                <w:szCs w:val="20"/>
              </w:rPr>
              <w:t>laimed CarbonNet is misrepresenting fisher's knowledge to NOPSEMA.</w:t>
            </w:r>
          </w:p>
          <w:p w14:paraId="1AF4496E" w14:textId="7AC562D0" w:rsidR="00A70030" w:rsidRPr="00891DE1" w:rsidRDefault="00A70030" w:rsidP="00891DE1">
            <w:pPr>
              <w:pStyle w:val="ListParagraph0"/>
              <w:numPr>
                <w:ilvl w:val="0"/>
                <w:numId w:val="523"/>
              </w:numPr>
              <w:spacing w:before="60" w:after="60" w:line="240" w:lineRule="auto"/>
              <w:rPr>
                <w:rFonts w:cs="Arial"/>
                <w:sz w:val="20"/>
                <w:szCs w:val="20"/>
              </w:rPr>
            </w:pPr>
            <w:r>
              <w:rPr>
                <w:rFonts w:cs="Arial"/>
                <w:sz w:val="20"/>
                <w:szCs w:val="20"/>
              </w:rPr>
              <w:t>P</w:t>
            </w:r>
            <w:r w:rsidRPr="00891DE1">
              <w:rPr>
                <w:rFonts w:cs="Arial"/>
                <w:sz w:val="20"/>
                <w:szCs w:val="20"/>
              </w:rPr>
              <w:t xml:space="preserve">resented a link to a video of a scallop boat with scallops on </w:t>
            </w:r>
            <w:r w:rsidRPr="00891DE1">
              <w:rPr>
                <w:rFonts w:cs="Arial"/>
                <w:sz w:val="20"/>
                <w:szCs w:val="20"/>
              </w:rPr>
              <w:lastRenderedPageBreak/>
              <w:t>board, as well as footage of the boat's GPS tracker that showed it is within the MSS area.</w:t>
            </w:r>
          </w:p>
          <w:p w14:paraId="28B1BFD4" w14:textId="378FCF63" w:rsidR="00A70030" w:rsidRPr="00891DE1" w:rsidRDefault="00A70030" w:rsidP="00891DE1">
            <w:pPr>
              <w:pStyle w:val="ListParagraph0"/>
              <w:numPr>
                <w:ilvl w:val="0"/>
                <w:numId w:val="523"/>
              </w:numPr>
              <w:spacing w:before="60" w:after="60" w:line="240" w:lineRule="auto"/>
              <w:rPr>
                <w:rFonts w:cs="Arial"/>
                <w:sz w:val="20"/>
                <w:szCs w:val="20"/>
              </w:rPr>
            </w:pPr>
            <w:r>
              <w:rPr>
                <w:rFonts w:cs="Arial"/>
                <w:sz w:val="20"/>
                <w:szCs w:val="20"/>
              </w:rPr>
              <w:t>Stated that</w:t>
            </w:r>
            <w:r w:rsidRPr="00891DE1">
              <w:rPr>
                <w:rFonts w:cs="Arial"/>
                <w:sz w:val="20"/>
                <w:szCs w:val="20"/>
              </w:rPr>
              <w:t xml:space="preserve"> "the scallops surveyed in the areas adjoining E38</w:t>
            </w:r>
            <w:r>
              <w:rPr>
                <w:rFonts w:cs="Arial"/>
                <w:sz w:val="20"/>
                <w:szCs w:val="20"/>
              </w:rPr>
              <w:t>°</w:t>
            </w:r>
            <w:r w:rsidRPr="00891DE1">
              <w:rPr>
                <w:rFonts w:cs="Arial"/>
                <w:sz w:val="20"/>
                <w:szCs w:val="20"/>
              </w:rPr>
              <w:t>14.873', S147</w:t>
            </w:r>
            <w:r>
              <w:rPr>
                <w:rFonts w:cs="Arial"/>
                <w:sz w:val="20"/>
                <w:szCs w:val="20"/>
              </w:rPr>
              <w:t>°</w:t>
            </w:r>
            <w:r w:rsidRPr="00891DE1">
              <w:rPr>
                <w:rFonts w:cs="Arial"/>
                <w:sz w:val="20"/>
                <w:szCs w:val="20"/>
              </w:rPr>
              <w:t xml:space="preserve"> 30.683' (video) range in size from small spat to commercial size".</w:t>
            </w:r>
          </w:p>
          <w:p w14:paraId="4618EAB4" w14:textId="2D0F6FA2" w:rsidR="00A70030" w:rsidRPr="00891DE1" w:rsidRDefault="00A70030" w:rsidP="00891DE1">
            <w:pPr>
              <w:pStyle w:val="ListParagraph0"/>
              <w:numPr>
                <w:ilvl w:val="0"/>
                <w:numId w:val="523"/>
              </w:numPr>
              <w:spacing w:before="60" w:after="60" w:line="240" w:lineRule="auto"/>
              <w:rPr>
                <w:rFonts w:cs="Arial"/>
                <w:sz w:val="20"/>
                <w:szCs w:val="20"/>
              </w:rPr>
            </w:pPr>
            <w:r>
              <w:rPr>
                <w:rFonts w:cs="Arial"/>
                <w:sz w:val="20"/>
                <w:szCs w:val="20"/>
              </w:rPr>
              <w:t>R</w:t>
            </w:r>
            <w:r w:rsidRPr="00891DE1">
              <w:rPr>
                <w:rFonts w:cs="Arial"/>
                <w:sz w:val="20"/>
                <w:szCs w:val="20"/>
              </w:rPr>
              <w:t>equested CarbonNet cease plans for the MSS until a dredge-based survey is completed with the VSFA.</w:t>
            </w:r>
          </w:p>
          <w:p w14:paraId="44F0C831" w14:textId="661C6EC3" w:rsidR="00A70030" w:rsidRPr="00891DE1" w:rsidRDefault="00A70030" w:rsidP="00891DE1">
            <w:pPr>
              <w:pStyle w:val="ListParagraph0"/>
              <w:numPr>
                <w:ilvl w:val="0"/>
                <w:numId w:val="523"/>
              </w:numPr>
              <w:spacing w:before="60" w:after="60" w:line="240" w:lineRule="auto"/>
              <w:rPr>
                <w:rFonts w:cs="Arial"/>
                <w:sz w:val="20"/>
                <w:szCs w:val="20"/>
              </w:rPr>
            </w:pPr>
            <w:r>
              <w:rPr>
                <w:rFonts w:cs="Arial"/>
                <w:sz w:val="20"/>
                <w:szCs w:val="20"/>
              </w:rPr>
              <w:t>Stated they are</w:t>
            </w:r>
            <w:r w:rsidRPr="00891DE1">
              <w:rPr>
                <w:rFonts w:cs="Arial"/>
                <w:sz w:val="20"/>
                <w:szCs w:val="20"/>
              </w:rPr>
              <w:t xml:space="preserve"> happy to discuss the establishment of an advisory body for this work.</w:t>
            </w:r>
          </w:p>
          <w:p w14:paraId="65A3C467" w14:textId="73CB9CDD" w:rsidR="00A70030" w:rsidRPr="00891DE1" w:rsidRDefault="00A70030" w:rsidP="00891DE1">
            <w:pPr>
              <w:pStyle w:val="ListParagraph0"/>
              <w:numPr>
                <w:ilvl w:val="0"/>
                <w:numId w:val="523"/>
              </w:numPr>
              <w:spacing w:before="60" w:after="60" w:line="240" w:lineRule="auto"/>
              <w:rPr>
                <w:rFonts w:cs="Arial"/>
                <w:sz w:val="20"/>
                <w:szCs w:val="20"/>
              </w:rPr>
            </w:pPr>
            <w:r>
              <w:rPr>
                <w:rFonts w:cs="Arial"/>
                <w:sz w:val="20"/>
                <w:szCs w:val="20"/>
              </w:rPr>
              <w:t>R</w:t>
            </w:r>
            <w:r w:rsidRPr="00891DE1">
              <w:rPr>
                <w:rFonts w:cs="Arial"/>
                <w:sz w:val="20"/>
                <w:szCs w:val="20"/>
              </w:rPr>
              <w:t>equested a copy of the full EP be forwarded for their reference including all research papers attached.</w:t>
            </w:r>
          </w:p>
        </w:tc>
        <w:tc>
          <w:tcPr>
            <w:tcW w:w="3802" w:type="dxa"/>
            <w:tcBorders>
              <w:top w:val="single" w:sz="4" w:space="0" w:color="auto"/>
              <w:bottom w:val="single" w:sz="4" w:space="0" w:color="auto"/>
            </w:tcBorders>
            <w:shd w:val="clear" w:color="auto" w:fill="auto"/>
          </w:tcPr>
          <w:p w14:paraId="654DAFA9" w14:textId="77777777" w:rsidR="00A70030" w:rsidRDefault="00A70030" w:rsidP="00073385">
            <w:pPr>
              <w:spacing w:before="60" w:after="60" w:line="240" w:lineRule="auto"/>
              <w:ind w:left="0"/>
              <w:rPr>
                <w:rFonts w:cs="Arial"/>
                <w:sz w:val="20"/>
                <w:szCs w:val="20"/>
              </w:rPr>
            </w:pPr>
            <w:r>
              <w:rPr>
                <w:rFonts w:cs="Arial"/>
                <w:sz w:val="20"/>
                <w:szCs w:val="20"/>
              </w:rPr>
              <w:lastRenderedPageBreak/>
              <w:t xml:space="preserve">CarbonNet responded to this email on 3/10/17 and provided information on advice received from NOPTA regarding dredging and requested that VSFA work with VFA to verify the information on scallop presence. </w:t>
            </w:r>
          </w:p>
          <w:p w14:paraId="56B29323" w14:textId="6CA97D97" w:rsidR="00A70030" w:rsidRDefault="00A70030" w:rsidP="00942FF6">
            <w:pPr>
              <w:spacing w:before="60" w:after="60" w:line="240" w:lineRule="auto"/>
              <w:ind w:left="0"/>
              <w:rPr>
                <w:rFonts w:cs="Arial"/>
                <w:sz w:val="20"/>
                <w:szCs w:val="20"/>
              </w:rPr>
            </w:pPr>
            <w:r>
              <w:rPr>
                <w:rFonts w:cs="Arial"/>
                <w:sz w:val="20"/>
                <w:szCs w:val="20"/>
              </w:rPr>
              <w:t>See also note.</w:t>
            </w:r>
          </w:p>
        </w:tc>
      </w:tr>
      <w:tr w:rsidR="00A70030" w:rsidRPr="00FF0808" w14:paraId="4208997B" w14:textId="77777777" w:rsidTr="00905C82">
        <w:trPr>
          <w:trHeight w:val="970"/>
        </w:trPr>
        <w:tc>
          <w:tcPr>
            <w:tcW w:w="1427" w:type="dxa"/>
            <w:tcBorders>
              <w:top w:val="nil"/>
              <w:bottom w:val="single" w:sz="4" w:space="0" w:color="auto"/>
            </w:tcBorders>
            <w:shd w:val="clear" w:color="auto" w:fill="auto"/>
          </w:tcPr>
          <w:p w14:paraId="541DF3A9" w14:textId="77777777" w:rsidR="00A70030" w:rsidRPr="003E2F3C" w:rsidDel="00B73BC8" w:rsidRDefault="00A70030" w:rsidP="00073385">
            <w:pPr>
              <w:spacing w:before="60" w:after="60" w:line="240" w:lineRule="auto"/>
              <w:ind w:left="0"/>
              <w:rPr>
                <w:rFonts w:cs="Arial"/>
                <w:sz w:val="20"/>
                <w:szCs w:val="20"/>
              </w:rPr>
            </w:pPr>
          </w:p>
        </w:tc>
        <w:tc>
          <w:tcPr>
            <w:tcW w:w="1629" w:type="dxa"/>
            <w:tcBorders>
              <w:top w:val="nil"/>
              <w:bottom w:val="single" w:sz="4" w:space="0" w:color="auto"/>
            </w:tcBorders>
            <w:shd w:val="clear" w:color="auto" w:fill="auto"/>
          </w:tcPr>
          <w:p w14:paraId="1C198339"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9CBD99B" w14:textId="1B39FA79" w:rsidR="00A70030" w:rsidRDefault="00A70030" w:rsidP="00073385">
            <w:pPr>
              <w:spacing w:before="60" w:after="60" w:line="240" w:lineRule="auto"/>
              <w:ind w:left="0"/>
              <w:rPr>
                <w:rFonts w:cs="Arial"/>
                <w:sz w:val="20"/>
                <w:szCs w:val="20"/>
              </w:rPr>
            </w:pPr>
            <w:r>
              <w:rPr>
                <w:rFonts w:cs="Arial"/>
                <w:sz w:val="20"/>
                <w:szCs w:val="20"/>
              </w:rPr>
              <w:t>2/10/17</w:t>
            </w:r>
          </w:p>
        </w:tc>
        <w:tc>
          <w:tcPr>
            <w:tcW w:w="6335" w:type="dxa"/>
            <w:tcBorders>
              <w:top w:val="single" w:sz="4" w:space="0" w:color="auto"/>
              <w:bottom w:val="single" w:sz="4" w:space="0" w:color="auto"/>
            </w:tcBorders>
            <w:shd w:val="clear" w:color="auto" w:fill="auto"/>
          </w:tcPr>
          <w:p w14:paraId="1A4ABEAA" w14:textId="3D43EA10" w:rsidR="00A70030" w:rsidRPr="00101622" w:rsidRDefault="00A70030" w:rsidP="00AF1C7F">
            <w:pPr>
              <w:spacing w:before="60" w:after="60" w:line="240" w:lineRule="auto"/>
              <w:ind w:left="0"/>
              <w:rPr>
                <w:rFonts w:cs="Arial"/>
                <w:sz w:val="20"/>
                <w:szCs w:val="20"/>
              </w:rPr>
            </w:pPr>
            <w:r w:rsidRPr="00101622">
              <w:rPr>
                <w:rFonts w:cs="Arial"/>
                <w:sz w:val="20"/>
                <w:szCs w:val="20"/>
              </w:rPr>
              <w:t>CarbonNet emailed VSFA in response to the queries raised on 27/9</w:t>
            </w:r>
            <w:r>
              <w:rPr>
                <w:rFonts w:cs="Arial"/>
                <w:sz w:val="20"/>
                <w:szCs w:val="20"/>
              </w:rPr>
              <w:t>/17. CarbonNet:</w:t>
            </w:r>
          </w:p>
          <w:p w14:paraId="408136E8" w14:textId="18A79F4A" w:rsidR="00A70030" w:rsidRPr="00891DE1" w:rsidRDefault="00A70030" w:rsidP="00891DE1">
            <w:pPr>
              <w:pStyle w:val="ListParagraph0"/>
              <w:numPr>
                <w:ilvl w:val="0"/>
                <w:numId w:val="524"/>
              </w:numPr>
              <w:spacing w:before="60" w:after="60" w:line="240" w:lineRule="auto"/>
              <w:rPr>
                <w:rFonts w:cs="Arial"/>
                <w:sz w:val="20"/>
                <w:szCs w:val="20"/>
              </w:rPr>
            </w:pPr>
            <w:r>
              <w:rPr>
                <w:rFonts w:cs="Arial"/>
                <w:sz w:val="20"/>
                <w:szCs w:val="20"/>
              </w:rPr>
              <w:t>N</w:t>
            </w:r>
            <w:r w:rsidRPr="00891DE1">
              <w:rPr>
                <w:rFonts w:cs="Arial"/>
                <w:sz w:val="20"/>
                <w:szCs w:val="20"/>
              </w:rPr>
              <w:t>oted that it has been requesting data on the location of scallops since March.</w:t>
            </w:r>
          </w:p>
          <w:p w14:paraId="38243022" w14:textId="18324E85" w:rsidR="00A70030" w:rsidRPr="00891DE1" w:rsidRDefault="00A70030" w:rsidP="00891DE1">
            <w:pPr>
              <w:pStyle w:val="ListParagraph0"/>
              <w:numPr>
                <w:ilvl w:val="0"/>
                <w:numId w:val="524"/>
              </w:numPr>
              <w:spacing w:before="60" w:after="60" w:line="240" w:lineRule="auto"/>
              <w:rPr>
                <w:rFonts w:cs="Arial"/>
                <w:sz w:val="20"/>
                <w:szCs w:val="20"/>
              </w:rPr>
            </w:pPr>
            <w:r>
              <w:rPr>
                <w:rFonts w:cs="Arial"/>
                <w:sz w:val="20"/>
                <w:szCs w:val="20"/>
              </w:rPr>
              <w:t>A</w:t>
            </w:r>
            <w:r w:rsidRPr="00891DE1">
              <w:rPr>
                <w:rFonts w:cs="Arial"/>
                <w:sz w:val="20"/>
                <w:szCs w:val="20"/>
              </w:rPr>
              <w:t>sked VSFA to work with VFA to verify the video information provided.</w:t>
            </w:r>
          </w:p>
          <w:p w14:paraId="5F5757A0" w14:textId="006C1743" w:rsidR="00A70030" w:rsidRPr="00891DE1" w:rsidRDefault="00A70030" w:rsidP="00891DE1">
            <w:pPr>
              <w:pStyle w:val="ListParagraph0"/>
              <w:numPr>
                <w:ilvl w:val="0"/>
                <w:numId w:val="524"/>
              </w:numPr>
              <w:spacing w:before="60" w:after="60" w:line="240" w:lineRule="auto"/>
              <w:rPr>
                <w:rFonts w:cs="Arial"/>
                <w:sz w:val="20"/>
                <w:szCs w:val="20"/>
              </w:rPr>
            </w:pPr>
            <w:r>
              <w:rPr>
                <w:rFonts w:cs="Arial"/>
                <w:sz w:val="20"/>
                <w:szCs w:val="20"/>
              </w:rPr>
              <w:t>S</w:t>
            </w:r>
            <w:r w:rsidRPr="00891DE1">
              <w:rPr>
                <w:rFonts w:cs="Arial"/>
                <w:sz w:val="20"/>
                <w:szCs w:val="20"/>
              </w:rPr>
              <w:t>aid NOPTA recently advised that conducting a dredge-based survey is inconsistent with CarbonNet's approval to undertake the Pelican MSS.</w:t>
            </w:r>
          </w:p>
          <w:p w14:paraId="34C975B5" w14:textId="44727D51" w:rsidR="00A70030" w:rsidRPr="00891DE1" w:rsidRDefault="00A70030" w:rsidP="00891DE1">
            <w:pPr>
              <w:pStyle w:val="ListParagraph0"/>
              <w:numPr>
                <w:ilvl w:val="0"/>
                <w:numId w:val="524"/>
              </w:numPr>
              <w:spacing w:before="60" w:after="60" w:line="240" w:lineRule="auto"/>
              <w:rPr>
                <w:rFonts w:cs="Arial"/>
                <w:sz w:val="20"/>
                <w:szCs w:val="20"/>
              </w:rPr>
            </w:pPr>
            <w:r>
              <w:rPr>
                <w:rFonts w:cs="Arial"/>
                <w:sz w:val="20"/>
                <w:szCs w:val="20"/>
              </w:rPr>
              <w:t>E</w:t>
            </w:r>
            <w:r w:rsidRPr="00891DE1">
              <w:rPr>
                <w:rFonts w:cs="Arial"/>
                <w:sz w:val="20"/>
                <w:szCs w:val="20"/>
              </w:rPr>
              <w:t>ncouraged VSFA to consult with VFA regarding the Victorian Ocean Scallop Stock Assessment that VFA is planning.</w:t>
            </w:r>
          </w:p>
          <w:p w14:paraId="2FB57FC4" w14:textId="25C4BA4D" w:rsidR="00A70030" w:rsidRPr="00891DE1" w:rsidRDefault="00A70030" w:rsidP="00891DE1">
            <w:pPr>
              <w:pStyle w:val="ListParagraph0"/>
              <w:numPr>
                <w:ilvl w:val="0"/>
                <w:numId w:val="524"/>
              </w:numPr>
              <w:spacing w:before="60" w:after="60" w:line="240" w:lineRule="auto"/>
              <w:rPr>
                <w:rFonts w:cs="Arial"/>
                <w:sz w:val="20"/>
                <w:szCs w:val="20"/>
              </w:rPr>
            </w:pPr>
            <w:r>
              <w:rPr>
                <w:rFonts w:cs="Arial"/>
                <w:sz w:val="20"/>
                <w:szCs w:val="20"/>
              </w:rPr>
              <w:t>E</w:t>
            </w:r>
            <w:r w:rsidRPr="00891DE1">
              <w:rPr>
                <w:rFonts w:cs="Arial"/>
                <w:sz w:val="20"/>
                <w:szCs w:val="20"/>
              </w:rPr>
              <w:t>ncouraged VSFA to participate in the pre</w:t>
            </w:r>
            <w:r>
              <w:rPr>
                <w:rFonts w:cs="Arial"/>
                <w:sz w:val="20"/>
                <w:szCs w:val="20"/>
              </w:rPr>
              <w:t>-</w:t>
            </w:r>
            <w:r w:rsidRPr="00891DE1">
              <w:rPr>
                <w:rFonts w:cs="Arial"/>
                <w:sz w:val="20"/>
                <w:szCs w:val="20"/>
              </w:rPr>
              <w:t xml:space="preserve"> and post</w:t>
            </w:r>
            <w:r>
              <w:rPr>
                <w:rFonts w:cs="Arial"/>
                <w:sz w:val="20"/>
                <w:szCs w:val="20"/>
              </w:rPr>
              <w:t>-</w:t>
            </w:r>
            <w:r w:rsidRPr="00891DE1">
              <w:rPr>
                <w:rFonts w:cs="Arial"/>
                <w:sz w:val="20"/>
                <w:szCs w:val="20"/>
              </w:rPr>
              <w:t>MSS habitat assessment along with SIV and VFA.</w:t>
            </w:r>
          </w:p>
          <w:p w14:paraId="60F341F7" w14:textId="413183AC" w:rsidR="00A70030" w:rsidRPr="00891DE1" w:rsidRDefault="00A70030" w:rsidP="00891DE1">
            <w:pPr>
              <w:pStyle w:val="ListParagraph0"/>
              <w:numPr>
                <w:ilvl w:val="0"/>
                <w:numId w:val="524"/>
              </w:numPr>
              <w:spacing w:before="60" w:after="60" w:line="240" w:lineRule="auto"/>
              <w:rPr>
                <w:rFonts w:cs="Arial"/>
                <w:sz w:val="20"/>
                <w:szCs w:val="20"/>
              </w:rPr>
            </w:pPr>
            <w:r>
              <w:rPr>
                <w:rFonts w:cs="Arial"/>
                <w:sz w:val="20"/>
                <w:szCs w:val="20"/>
              </w:rPr>
              <w:t>A</w:t>
            </w:r>
            <w:r w:rsidRPr="00891DE1">
              <w:rPr>
                <w:rFonts w:cs="Arial"/>
                <w:sz w:val="20"/>
                <w:szCs w:val="20"/>
              </w:rPr>
              <w:t>sked for any feedback on the draft EP extracts provided and any specific aspects VSFA would like to discuss.</w:t>
            </w:r>
          </w:p>
          <w:p w14:paraId="3C67D61E" w14:textId="03D8C28A" w:rsidR="00A70030" w:rsidRPr="00891DE1" w:rsidRDefault="00A70030" w:rsidP="00891DE1">
            <w:pPr>
              <w:pStyle w:val="ListParagraph0"/>
              <w:numPr>
                <w:ilvl w:val="0"/>
                <w:numId w:val="524"/>
              </w:numPr>
              <w:spacing w:before="60" w:after="60" w:line="240" w:lineRule="auto"/>
              <w:rPr>
                <w:rFonts w:cs="Arial"/>
                <w:sz w:val="20"/>
                <w:szCs w:val="20"/>
              </w:rPr>
            </w:pPr>
            <w:r>
              <w:rPr>
                <w:rFonts w:cs="Arial"/>
                <w:sz w:val="20"/>
                <w:szCs w:val="20"/>
              </w:rPr>
              <w:t>N</w:t>
            </w:r>
            <w:r w:rsidRPr="00891DE1">
              <w:rPr>
                <w:rFonts w:cs="Arial"/>
                <w:sz w:val="20"/>
                <w:szCs w:val="20"/>
              </w:rPr>
              <w:t>oted that the EP acknowledged all available science, research and industry data.</w:t>
            </w:r>
          </w:p>
        </w:tc>
        <w:tc>
          <w:tcPr>
            <w:tcW w:w="3802" w:type="dxa"/>
            <w:tcBorders>
              <w:top w:val="single" w:sz="4" w:space="0" w:color="auto"/>
              <w:bottom w:val="single" w:sz="4" w:space="0" w:color="auto"/>
            </w:tcBorders>
            <w:shd w:val="clear" w:color="auto" w:fill="auto"/>
          </w:tcPr>
          <w:p w14:paraId="768E0953" w14:textId="2DABE36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B9D687F" w14:textId="77777777" w:rsidTr="00077C5F">
        <w:trPr>
          <w:trHeight w:val="625"/>
        </w:trPr>
        <w:tc>
          <w:tcPr>
            <w:tcW w:w="1427" w:type="dxa"/>
            <w:vMerge w:val="restart"/>
            <w:tcBorders>
              <w:top w:val="single" w:sz="4" w:space="0" w:color="auto"/>
            </w:tcBorders>
            <w:shd w:val="clear" w:color="auto" w:fill="auto"/>
          </w:tcPr>
          <w:p w14:paraId="5D401F34" w14:textId="7F646A4C" w:rsidR="00A70030" w:rsidRPr="003E2F3C" w:rsidRDefault="00A70030" w:rsidP="00942FF6">
            <w:pPr>
              <w:spacing w:before="60" w:after="60" w:line="240" w:lineRule="auto"/>
              <w:ind w:left="0"/>
              <w:rPr>
                <w:rFonts w:cs="Arial"/>
                <w:sz w:val="20"/>
                <w:szCs w:val="20"/>
              </w:rPr>
            </w:pPr>
            <w:r w:rsidRPr="003E2F3C">
              <w:rPr>
                <w:rFonts w:cs="Arial"/>
                <w:sz w:val="20"/>
                <w:szCs w:val="20"/>
              </w:rPr>
              <w:t>Victorian Rock</w:t>
            </w:r>
            <w:r>
              <w:rPr>
                <w:rFonts w:cs="Arial"/>
                <w:sz w:val="20"/>
                <w:szCs w:val="20"/>
              </w:rPr>
              <w:t xml:space="preserve"> Lobster </w:t>
            </w:r>
            <w:r w:rsidRPr="003E2F3C">
              <w:rPr>
                <w:rFonts w:cs="Arial"/>
                <w:sz w:val="20"/>
                <w:szCs w:val="20"/>
              </w:rPr>
              <w:t xml:space="preserve">Association (VRLA) </w:t>
            </w:r>
          </w:p>
        </w:tc>
        <w:tc>
          <w:tcPr>
            <w:tcW w:w="1629" w:type="dxa"/>
            <w:vMerge w:val="restart"/>
            <w:tcBorders>
              <w:top w:val="single" w:sz="4" w:space="0" w:color="auto"/>
            </w:tcBorders>
            <w:shd w:val="clear" w:color="auto" w:fill="auto"/>
          </w:tcPr>
          <w:p w14:paraId="7FF9E507" w14:textId="77777777" w:rsidR="00A70030" w:rsidRPr="00FF0808" w:rsidRDefault="00A70030" w:rsidP="00073385">
            <w:pPr>
              <w:spacing w:before="60" w:after="60" w:line="240" w:lineRule="auto"/>
              <w:ind w:left="0"/>
              <w:rPr>
                <w:rFonts w:cs="Arial"/>
                <w:sz w:val="20"/>
                <w:szCs w:val="20"/>
              </w:rPr>
            </w:pPr>
            <w:r>
              <w:rPr>
                <w:rFonts w:cs="Arial"/>
                <w:sz w:val="20"/>
                <w:szCs w:val="20"/>
              </w:rPr>
              <w:t xml:space="preserve">Represent lobster fishermen who may have activities near </w:t>
            </w:r>
            <w:r>
              <w:rPr>
                <w:rFonts w:cs="Arial"/>
                <w:sz w:val="20"/>
                <w:szCs w:val="20"/>
              </w:rPr>
              <w:lastRenderedPageBreak/>
              <w:t>proposed acquisition area</w:t>
            </w:r>
          </w:p>
        </w:tc>
        <w:tc>
          <w:tcPr>
            <w:tcW w:w="1055" w:type="dxa"/>
            <w:tcBorders>
              <w:top w:val="single" w:sz="4" w:space="0" w:color="auto"/>
              <w:bottom w:val="single" w:sz="4" w:space="0" w:color="auto"/>
            </w:tcBorders>
          </w:tcPr>
          <w:p w14:paraId="30D44743" w14:textId="77777777" w:rsidR="00A70030" w:rsidRDefault="00A70030" w:rsidP="00073385">
            <w:pPr>
              <w:spacing w:before="60" w:after="60" w:line="240" w:lineRule="auto"/>
              <w:ind w:left="0"/>
              <w:rPr>
                <w:rFonts w:cs="Arial"/>
                <w:sz w:val="20"/>
                <w:szCs w:val="20"/>
              </w:rPr>
            </w:pPr>
            <w:r>
              <w:rPr>
                <w:rFonts w:cs="Arial"/>
                <w:sz w:val="20"/>
                <w:szCs w:val="20"/>
              </w:rPr>
              <w:lastRenderedPageBreak/>
              <w:t>21/3/17</w:t>
            </w:r>
          </w:p>
          <w:p w14:paraId="5ABEA9A2" w14:textId="77777777" w:rsidR="00A70030" w:rsidRPr="00FF0808"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5F7E92F4" w14:textId="77777777" w:rsidR="00A70030" w:rsidRPr="00FF0808" w:rsidRDefault="00A70030" w:rsidP="00073385">
            <w:pPr>
              <w:spacing w:before="60" w:after="60" w:line="240" w:lineRule="auto"/>
              <w:ind w:left="0"/>
              <w:rPr>
                <w:rFonts w:cs="Arial"/>
                <w:sz w:val="20"/>
                <w:szCs w:val="20"/>
              </w:rPr>
            </w:pPr>
            <w:r>
              <w:rPr>
                <w:rFonts w:cs="Arial"/>
                <w:sz w:val="20"/>
                <w:szCs w:val="20"/>
              </w:rPr>
              <w:t>C</w:t>
            </w:r>
            <w:r w:rsidRPr="00D654A8">
              <w:rPr>
                <w:rFonts w:cs="Arial"/>
                <w:sz w:val="20"/>
                <w:szCs w:val="20"/>
              </w:rPr>
              <w:t xml:space="preserve">arbonNet contacted the </w:t>
            </w:r>
            <w:r>
              <w:rPr>
                <w:rFonts w:cs="Arial"/>
                <w:sz w:val="20"/>
                <w:szCs w:val="20"/>
              </w:rPr>
              <w:t xml:space="preserve">VRLA </w:t>
            </w:r>
            <w:r w:rsidRPr="00D654A8">
              <w:rPr>
                <w:rFonts w:cs="Arial"/>
                <w:sz w:val="20"/>
                <w:szCs w:val="20"/>
              </w:rPr>
              <w:t>via post with a letter that invited feedback and provided a fact sheet.</w:t>
            </w:r>
          </w:p>
        </w:tc>
        <w:tc>
          <w:tcPr>
            <w:tcW w:w="3802" w:type="dxa"/>
            <w:tcBorders>
              <w:top w:val="single" w:sz="4" w:space="0" w:color="auto"/>
              <w:bottom w:val="single" w:sz="4" w:space="0" w:color="auto"/>
            </w:tcBorders>
            <w:shd w:val="clear" w:color="auto" w:fill="auto"/>
          </w:tcPr>
          <w:p w14:paraId="15D87216" w14:textId="77777777" w:rsidR="00A70030" w:rsidRPr="00FF0808"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59A1440" w14:textId="77777777" w:rsidTr="00077C5F">
        <w:trPr>
          <w:trHeight w:val="539"/>
        </w:trPr>
        <w:tc>
          <w:tcPr>
            <w:tcW w:w="1427" w:type="dxa"/>
            <w:vMerge/>
            <w:tcBorders>
              <w:top w:val="single" w:sz="4" w:space="0" w:color="auto"/>
            </w:tcBorders>
            <w:shd w:val="clear" w:color="auto" w:fill="auto"/>
          </w:tcPr>
          <w:p w14:paraId="50BE93F2" w14:textId="77777777" w:rsidR="00A70030" w:rsidRPr="003E2F3C" w:rsidRDefault="00A70030" w:rsidP="00073385">
            <w:pPr>
              <w:spacing w:before="60" w:after="60" w:line="240" w:lineRule="auto"/>
              <w:ind w:left="0"/>
              <w:rPr>
                <w:rFonts w:cs="Arial"/>
                <w:sz w:val="20"/>
                <w:szCs w:val="20"/>
              </w:rPr>
            </w:pPr>
          </w:p>
        </w:tc>
        <w:tc>
          <w:tcPr>
            <w:tcW w:w="1629" w:type="dxa"/>
            <w:vMerge/>
            <w:tcBorders>
              <w:top w:val="single" w:sz="4" w:space="0" w:color="auto"/>
            </w:tcBorders>
            <w:shd w:val="clear" w:color="auto" w:fill="auto"/>
          </w:tcPr>
          <w:p w14:paraId="3A3E9384"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DADF850" w14:textId="77777777" w:rsidR="00A70030" w:rsidRDefault="00A70030" w:rsidP="00073385">
            <w:pPr>
              <w:spacing w:before="60" w:after="60" w:line="240" w:lineRule="auto"/>
              <w:ind w:left="0"/>
              <w:rPr>
                <w:rFonts w:cs="Arial"/>
                <w:sz w:val="20"/>
                <w:szCs w:val="20"/>
              </w:rPr>
            </w:pPr>
            <w:r>
              <w:rPr>
                <w:rFonts w:cs="Arial"/>
                <w:sz w:val="20"/>
                <w:szCs w:val="20"/>
              </w:rPr>
              <w:t>18/5/17</w:t>
            </w:r>
          </w:p>
          <w:p w14:paraId="661BC1DE"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51E95350" w14:textId="77777777" w:rsidR="00A70030" w:rsidRDefault="00A70030" w:rsidP="00073385">
            <w:pPr>
              <w:spacing w:before="60" w:after="60" w:line="240" w:lineRule="auto"/>
              <w:ind w:left="0"/>
              <w:rPr>
                <w:rFonts w:cs="Arial"/>
                <w:sz w:val="20"/>
                <w:szCs w:val="20"/>
              </w:rPr>
            </w:pPr>
            <w:r>
              <w:rPr>
                <w:rFonts w:cs="Arial"/>
                <w:sz w:val="20"/>
                <w:szCs w:val="20"/>
              </w:rPr>
              <w:t>CarbonNet found an email address online for VRLA and re-issued the original letter and fact sheet.</w:t>
            </w:r>
          </w:p>
        </w:tc>
        <w:tc>
          <w:tcPr>
            <w:tcW w:w="3802" w:type="dxa"/>
            <w:tcBorders>
              <w:top w:val="single" w:sz="4" w:space="0" w:color="auto"/>
              <w:bottom w:val="single" w:sz="4" w:space="0" w:color="auto"/>
            </w:tcBorders>
            <w:shd w:val="clear" w:color="auto" w:fill="auto"/>
          </w:tcPr>
          <w:p w14:paraId="7F2E12F4"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364D208C" w14:textId="77777777" w:rsidTr="00077C5F">
        <w:trPr>
          <w:trHeight w:val="974"/>
        </w:trPr>
        <w:tc>
          <w:tcPr>
            <w:tcW w:w="1427" w:type="dxa"/>
            <w:vMerge/>
            <w:tcBorders>
              <w:top w:val="single" w:sz="4" w:space="0" w:color="auto"/>
            </w:tcBorders>
            <w:shd w:val="clear" w:color="auto" w:fill="auto"/>
          </w:tcPr>
          <w:p w14:paraId="2307AD99" w14:textId="77777777" w:rsidR="00A70030" w:rsidRPr="003E2F3C" w:rsidRDefault="00A70030" w:rsidP="00073385">
            <w:pPr>
              <w:spacing w:before="60" w:after="60" w:line="240" w:lineRule="auto"/>
              <w:ind w:left="0"/>
              <w:rPr>
                <w:rFonts w:cs="Arial"/>
                <w:sz w:val="20"/>
                <w:szCs w:val="20"/>
              </w:rPr>
            </w:pPr>
          </w:p>
        </w:tc>
        <w:tc>
          <w:tcPr>
            <w:tcW w:w="1629" w:type="dxa"/>
            <w:vMerge/>
            <w:tcBorders>
              <w:top w:val="single" w:sz="4" w:space="0" w:color="auto"/>
            </w:tcBorders>
            <w:shd w:val="clear" w:color="auto" w:fill="auto"/>
          </w:tcPr>
          <w:p w14:paraId="789B91F5"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33B59DF" w14:textId="77777777" w:rsidR="00A70030" w:rsidRDefault="00A70030" w:rsidP="00073385">
            <w:pPr>
              <w:spacing w:before="60" w:after="60" w:line="240" w:lineRule="auto"/>
              <w:ind w:left="0"/>
              <w:rPr>
                <w:rFonts w:cs="Arial"/>
                <w:sz w:val="20"/>
                <w:szCs w:val="20"/>
              </w:rPr>
            </w:pPr>
            <w:r>
              <w:rPr>
                <w:rFonts w:cs="Arial"/>
                <w:sz w:val="20"/>
                <w:szCs w:val="20"/>
              </w:rPr>
              <w:t>18/5/17</w:t>
            </w:r>
          </w:p>
          <w:p w14:paraId="16F368DA" w14:textId="77777777" w:rsidR="00A70030" w:rsidRDefault="00A70030" w:rsidP="00073385">
            <w:pPr>
              <w:spacing w:before="60" w:after="60" w:line="240" w:lineRule="auto"/>
              <w:ind w:left="0"/>
              <w:rPr>
                <w:rFonts w:cs="Arial"/>
                <w:sz w:val="20"/>
                <w:szCs w:val="20"/>
              </w:rPr>
            </w:pPr>
          </w:p>
        </w:tc>
        <w:tc>
          <w:tcPr>
            <w:tcW w:w="6335" w:type="dxa"/>
            <w:tcBorders>
              <w:top w:val="single" w:sz="4" w:space="0" w:color="auto"/>
              <w:bottom w:val="single" w:sz="4" w:space="0" w:color="auto"/>
            </w:tcBorders>
            <w:shd w:val="clear" w:color="auto" w:fill="auto"/>
          </w:tcPr>
          <w:p w14:paraId="130A2674" w14:textId="77777777" w:rsidR="00A70030" w:rsidRDefault="00A70030" w:rsidP="00073385">
            <w:pPr>
              <w:spacing w:before="60" w:after="60" w:line="240" w:lineRule="auto"/>
              <w:ind w:left="0"/>
              <w:rPr>
                <w:rFonts w:cs="Arial"/>
                <w:sz w:val="20"/>
                <w:szCs w:val="20"/>
              </w:rPr>
            </w:pPr>
            <w:r>
              <w:rPr>
                <w:rFonts w:cs="Arial"/>
                <w:sz w:val="20"/>
                <w:szCs w:val="20"/>
              </w:rPr>
              <w:t>CarbonNet received an email response from that VRLA stating that it has been providing advice and feedback to LEFCOL on this project and keeping across SIV’s engagement, so that will be sufficient from VRLA’s perspective.</w:t>
            </w:r>
          </w:p>
        </w:tc>
        <w:tc>
          <w:tcPr>
            <w:tcW w:w="3802" w:type="dxa"/>
            <w:tcBorders>
              <w:top w:val="single" w:sz="4" w:space="0" w:color="auto"/>
              <w:bottom w:val="single" w:sz="4" w:space="0" w:color="auto"/>
            </w:tcBorders>
            <w:shd w:val="clear" w:color="auto" w:fill="auto"/>
          </w:tcPr>
          <w:p w14:paraId="0771DD8D" w14:textId="77777777" w:rsidR="00A70030" w:rsidRDefault="00A70030" w:rsidP="00073385">
            <w:pPr>
              <w:spacing w:before="60" w:after="60" w:line="240" w:lineRule="auto"/>
              <w:ind w:left="0"/>
              <w:rPr>
                <w:rFonts w:cs="Arial"/>
                <w:sz w:val="20"/>
                <w:szCs w:val="20"/>
              </w:rPr>
            </w:pPr>
            <w:r>
              <w:rPr>
                <w:rFonts w:cs="Arial"/>
                <w:sz w:val="20"/>
                <w:szCs w:val="20"/>
              </w:rPr>
              <w:t>CarbonNet thanked VRLA for the advice and said they are welcome to ask questions.</w:t>
            </w:r>
          </w:p>
        </w:tc>
      </w:tr>
      <w:tr w:rsidR="00A70030" w:rsidRPr="00FF0808" w14:paraId="2E98460A" w14:textId="77777777" w:rsidTr="00077C5F">
        <w:trPr>
          <w:trHeight w:val="974"/>
        </w:trPr>
        <w:tc>
          <w:tcPr>
            <w:tcW w:w="1427" w:type="dxa"/>
            <w:vMerge/>
            <w:tcBorders>
              <w:top w:val="single" w:sz="4" w:space="0" w:color="auto"/>
            </w:tcBorders>
            <w:shd w:val="clear" w:color="auto" w:fill="auto"/>
          </w:tcPr>
          <w:p w14:paraId="47E668C9" w14:textId="77777777" w:rsidR="00A70030" w:rsidRPr="003E2F3C" w:rsidRDefault="00A70030" w:rsidP="00073385">
            <w:pPr>
              <w:spacing w:before="60" w:after="60" w:line="240" w:lineRule="auto"/>
              <w:ind w:left="0"/>
              <w:rPr>
                <w:rFonts w:cs="Arial"/>
                <w:sz w:val="20"/>
                <w:szCs w:val="20"/>
              </w:rPr>
            </w:pPr>
          </w:p>
        </w:tc>
        <w:tc>
          <w:tcPr>
            <w:tcW w:w="1629" w:type="dxa"/>
            <w:vMerge/>
            <w:tcBorders>
              <w:top w:val="single" w:sz="4" w:space="0" w:color="auto"/>
            </w:tcBorders>
            <w:shd w:val="clear" w:color="auto" w:fill="auto"/>
          </w:tcPr>
          <w:p w14:paraId="6D4EBD42"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0BF8FCE" w14:textId="77777777" w:rsidR="00A70030" w:rsidRDefault="00A70030" w:rsidP="00073385">
            <w:pPr>
              <w:spacing w:before="60" w:after="60" w:line="240" w:lineRule="auto"/>
              <w:ind w:left="0"/>
              <w:rPr>
                <w:rFonts w:cs="Arial"/>
                <w:sz w:val="20"/>
                <w:szCs w:val="20"/>
              </w:rPr>
            </w:pPr>
            <w:r>
              <w:rPr>
                <w:rFonts w:cs="Arial"/>
                <w:sz w:val="20"/>
                <w:szCs w:val="20"/>
              </w:rPr>
              <w:t>15/6/17</w:t>
            </w:r>
          </w:p>
        </w:tc>
        <w:tc>
          <w:tcPr>
            <w:tcW w:w="6335" w:type="dxa"/>
            <w:tcBorders>
              <w:top w:val="single" w:sz="4" w:space="0" w:color="auto"/>
              <w:bottom w:val="single" w:sz="4" w:space="0" w:color="auto"/>
            </w:tcBorders>
            <w:shd w:val="clear" w:color="auto" w:fill="auto"/>
          </w:tcPr>
          <w:p w14:paraId="4FFC8ADB" w14:textId="77777777" w:rsidR="00A70030" w:rsidRDefault="00A70030" w:rsidP="00073385">
            <w:pPr>
              <w:spacing w:before="60" w:after="60" w:line="240" w:lineRule="auto"/>
              <w:ind w:left="0"/>
              <w:rPr>
                <w:rFonts w:cs="Arial"/>
                <w:sz w:val="20"/>
                <w:szCs w:val="20"/>
              </w:rPr>
            </w:pPr>
            <w:r>
              <w:rPr>
                <w:rFonts w:cs="Arial"/>
                <w:sz w:val="20"/>
                <w:szCs w:val="20"/>
              </w:rPr>
              <w:t xml:space="preserve">CarbonNet received an email from VRLA claiming that the MSS may impact on the eastern zone rock lobster fishing grounds. </w:t>
            </w:r>
          </w:p>
          <w:p w14:paraId="2667D62B" w14:textId="77777777" w:rsidR="00A70030" w:rsidRPr="00E95878" w:rsidRDefault="00A70030" w:rsidP="00073385">
            <w:pPr>
              <w:spacing w:before="60" w:after="60" w:line="240" w:lineRule="auto"/>
              <w:ind w:left="0"/>
              <w:rPr>
                <w:rFonts w:cs="Arial"/>
                <w:sz w:val="20"/>
                <w:szCs w:val="20"/>
              </w:rPr>
            </w:pPr>
            <w:r>
              <w:rPr>
                <w:rFonts w:cs="Arial"/>
                <w:sz w:val="20"/>
                <w:szCs w:val="20"/>
              </w:rPr>
              <w:t xml:space="preserve">VRLA said the </w:t>
            </w:r>
            <w:r w:rsidRPr="00E95878">
              <w:rPr>
                <w:rFonts w:cs="Arial"/>
                <w:sz w:val="20"/>
                <w:szCs w:val="20"/>
              </w:rPr>
              <w:t>Day et. al. study states that seismic air-guns cause significant and permanent damag</w:t>
            </w:r>
            <w:r>
              <w:rPr>
                <w:rFonts w:cs="Arial"/>
                <w:sz w:val="20"/>
                <w:szCs w:val="20"/>
              </w:rPr>
              <w:t>e to rock lobster and scallops. VRLA said p</w:t>
            </w:r>
            <w:r w:rsidRPr="00E95878">
              <w:rPr>
                <w:rFonts w:cs="Arial"/>
                <w:sz w:val="20"/>
                <w:szCs w:val="20"/>
              </w:rPr>
              <w:t>recedent has been set for compensation fo</w:t>
            </w:r>
            <w:r>
              <w:rPr>
                <w:rFonts w:cs="Arial"/>
                <w:sz w:val="20"/>
                <w:szCs w:val="20"/>
              </w:rPr>
              <w:t>r impacted rock lobster fishers, and that c</w:t>
            </w:r>
            <w:r w:rsidRPr="00E95878">
              <w:rPr>
                <w:rFonts w:cs="Arial"/>
                <w:sz w:val="20"/>
                <w:szCs w:val="20"/>
              </w:rPr>
              <w:t xml:space="preserve">ompensation for long term damage (5-7 years) is being discussed at a round table with regulators (NOPSeMA </w:t>
            </w:r>
            <w:r>
              <w:rPr>
                <w:rFonts w:cs="Arial"/>
                <w:sz w:val="20"/>
                <w:szCs w:val="20"/>
              </w:rPr>
              <w:t>and</w:t>
            </w:r>
            <w:r w:rsidRPr="00E95878">
              <w:rPr>
                <w:rFonts w:cs="Arial"/>
                <w:sz w:val="20"/>
                <w:szCs w:val="20"/>
              </w:rPr>
              <w:t xml:space="preserve"> ERR), Origin Energy, </w:t>
            </w:r>
            <w:r>
              <w:rPr>
                <w:rFonts w:cs="Arial"/>
                <w:sz w:val="20"/>
                <w:szCs w:val="20"/>
              </w:rPr>
              <w:t>VFA, SIV and VRLA.</w:t>
            </w:r>
          </w:p>
          <w:p w14:paraId="44F95161" w14:textId="1FD6BCBC" w:rsidR="00A70030" w:rsidRDefault="00A70030" w:rsidP="00073385">
            <w:pPr>
              <w:spacing w:before="60" w:after="60" w:line="240" w:lineRule="auto"/>
              <w:ind w:left="0"/>
              <w:rPr>
                <w:rFonts w:cs="Arial"/>
                <w:sz w:val="20"/>
                <w:szCs w:val="20"/>
              </w:rPr>
            </w:pPr>
            <w:r>
              <w:rPr>
                <w:rFonts w:cs="Arial"/>
                <w:sz w:val="20"/>
                <w:szCs w:val="20"/>
              </w:rPr>
              <w:t>VRLA requested</w:t>
            </w:r>
            <w:r w:rsidRPr="00E95878">
              <w:rPr>
                <w:rFonts w:cs="Arial"/>
                <w:sz w:val="20"/>
                <w:szCs w:val="20"/>
              </w:rPr>
              <w:t xml:space="preserve"> that CarbonNet assess risk using the ISO 31000 risk </w:t>
            </w:r>
            <w:r>
              <w:rPr>
                <w:rFonts w:cs="Arial"/>
                <w:sz w:val="20"/>
                <w:szCs w:val="20"/>
              </w:rPr>
              <w:t>management</w:t>
            </w:r>
            <w:r w:rsidRPr="00E95878">
              <w:rPr>
                <w:rFonts w:cs="Arial"/>
                <w:sz w:val="20"/>
                <w:szCs w:val="20"/>
              </w:rPr>
              <w:t xml:space="preserve"> standards </w:t>
            </w:r>
            <w:r>
              <w:rPr>
                <w:rFonts w:cs="Arial"/>
                <w:sz w:val="20"/>
                <w:szCs w:val="20"/>
              </w:rPr>
              <w:t xml:space="preserve">with the impact measured as </w:t>
            </w:r>
            <w:r w:rsidRPr="00E95878">
              <w:rPr>
                <w:rFonts w:cs="Arial"/>
                <w:sz w:val="20"/>
                <w:szCs w:val="20"/>
              </w:rPr>
              <w:t>significant/permanent</w:t>
            </w:r>
            <w:r>
              <w:rPr>
                <w:rFonts w:cs="Arial"/>
                <w:sz w:val="20"/>
                <w:szCs w:val="20"/>
              </w:rPr>
              <w:t xml:space="preserve"> and </w:t>
            </w:r>
            <w:r w:rsidRPr="00E95878">
              <w:rPr>
                <w:rFonts w:cs="Arial"/>
                <w:sz w:val="20"/>
                <w:szCs w:val="20"/>
              </w:rPr>
              <w:t xml:space="preserve">likelihood </w:t>
            </w:r>
            <w:r>
              <w:rPr>
                <w:rFonts w:cs="Arial"/>
                <w:sz w:val="20"/>
                <w:szCs w:val="20"/>
              </w:rPr>
              <w:t xml:space="preserve">as certain. </w:t>
            </w:r>
          </w:p>
        </w:tc>
        <w:tc>
          <w:tcPr>
            <w:tcW w:w="3802" w:type="dxa"/>
            <w:tcBorders>
              <w:top w:val="single" w:sz="4" w:space="0" w:color="auto"/>
              <w:bottom w:val="single" w:sz="4" w:space="0" w:color="auto"/>
            </w:tcBorders>
            <w:shd w:val="clear" w:color="auto" w:fill="auto"/>
          </w:tcPr>
          <w:p w14:paraId="2BB3DFAA" w14:textId="44E52AFD" w:rsidR="00A70030" w:rsidRDefault="00A70030" w:rsidP="00073385">
            <w:pPr>
              <w:spacing w:before="60" w:after="60" w:line="240" w:lineRule="auto"/>
              <w:ind w:left="0"/>
              <w:rPr>
                <w:rFonts w:cs="Arial"/>
                <w:sz w:val="20"/>
                <w:szCs w:val="20"/>
              </w:rPr>
            </w:pPr>
            <w:r>
              <w:rPr>
                <w:rFonts w:cs="Arial"/>
                <w:sz w:val="20"/>
                <w:szCs w:val="20"/>
              </w:rPr>
              <w:t>See response dated 23/6.</w:t>
            </w:r>
          </w:p>
        </w:tc>
      </w:tr>
      <w:tr w:rsidR="00A70030" w:rsidRPr="00FF0808" w14:paraId="297EF052" w14:textId="77777777" w:rsidTr="00077C5F">
        <w:trPr>
          <w:trHeight w:val="974"/>
        </w:trPr>
        <w:tc>
          <w:tcPr>
            <w:tcW w:w="1427" w:type="dxa"/>
            <w:vMerge/>
            <w:shd w:val="clear" w:color="auto" w:fill="auto"/>
          </w:tcPr>
          <w:p w14:paraId="22C3B9D6" w14:textId="77777777" w:rsidR="00A70030" w:rsidRPr="003E2F3C" w:rsidRDefault="00A70030" w:rsidP="00073385">
            <w:pPr>
              <w:spacing w:before="60" w:after="60" w:line="240" w:lineRule="auto"/>
              <w:ind w:left="0"/>
              <w:rPr>
                <w:rFonts w:cs="Arial"/>
                <w:sz w:val="20"/>
                <w:szCs w:val="20"/>
              </w:rPr>
            </w:pPr>
          </w:p>
        </w:tc>
        <w:tc>
          <w:tcPr>
            <w:tcW w:w="1629" w:type="dxa"/>
            <w:vMerge/>
            <w:shd w:val="clear" w:color="auto" w:fill="auto"/>
          </w:tcPr>
          <w:p w14:paraId="49BD162A"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760837C6" w14:textId="77777777" w:rsidR="00A70030" w:rsidRDefault="00A70030" w:rsidP="00073385">
            <w:pPr>
              <w:spacing w:before="60" w:after="60" w:line="240" w:lineRule="auto"/>
              <w:ind w:left="0"/>
              <w:rPr>
                <w:rFonts w:cs="Arial"/>
                <w:sz w:val="20"/>
                <w:szCs w:val="20"/>
              </w:rPr>
            </w:pPr>
            <w:r>
              <w:rPr>
                <w:rFonts w:cs="Arial"/>
                <w:sz w:val="20"/>
                <w:szCs w:val="20"/>
              </w:rPr>
              <w:t>23/6/17</w:t>
            </w:r>
          </w:p>
        </w:tc>
        <w:tc>
          <w:tcPr>
            <w:tcW w:w="6335" w:type="dxa"/>
            <w:tcBorders>
              <w:top w:val="single" w:sz="4" w:space="0" w:color="auto"/>
              <w:bottom w:val="single" w:sz="4" w:space="0" w:color="auto"/>
            </w:tcBorders>
            <w:shd w:val="clear" w:color="auto" w:fill="auto"/>
          </w:tcPr>
          <w:p w14:paraId="3450A410" w14:textId="77777777" w:rsidR="00A70030" w:rsidRDefault="00A70030" w:rsidP="00073385">
            <w:pPr>
              <w:spacing w:before="60" w:after="60" w:line="240" w:lineRule="auto"/>
              <w:ind w:left="0"/>
              <w:rPr>
                <w:rFonts w:cs="Arial"/>
                <w:sz w:val="20"/>
                <w:szCs w:val="20"/>
              </w:rPr>
            </w:pPr>
            <w:r>
              <w:rPr>
                <w:rFonts w:cs="Arial"/>
                <w:sz w:val="20"/>
                <w:szCs w:val="20"/>
              </w:rPr>
              <w:t>CarbonNet responded to VRLA’s email on 15/6 outlining the consultation that has been completed to date and requesting confirmation of VRLA’s role in this process given previous advice.</w:t>
            </w:r>
          </w:p>
          <w:p w14:paraId="14B2BA54" w14:textId="77777777" w:rsidR="00A70030" w:rsidRPr="00E95878" w:rsidRDefault="00A70030" w:rsidP="00073385">
            <w:pPr>
              <w:spacing w:before="60" w:after="60" w:line="240" w:lineRule="auto"/>
              <w:ind w:left="0"/>
              <w:rPr>
                <w:rFonts w:cs="Arial"/>
                <w:sz w:val="20"/>
                <w:szCs w:val="20"/>
              </w:rPr>
            </w:pPr>
            <w:r>
              <w:rPr>
                <w:rFonts w:cs="Arial"/>
                <w:sz w:val="20"/>
                <w:szCs w:val="20"/>
              </w:rPr>
              <w:t>CarbonNet e</w:t>
            </w:r>
            <w:r w:rsidRPr="00E95878">
              <w:rPr>
                <w:rFonts w:cs="Arial"/>
                <w:sz w:val="20"/>
                <w:szCs w:val="20"/>
              </w:rPr>
              <w:t xml:space="preserve">xplained that we wrote to VRLA on 21/3/17 and received email </w:t>
            </w:r>
            <w:r>
              <w:rPr>
                <w:rFonts w:cs="Arial"/>
                <w:sz w:val="20"/>
                <w:szCs w:val="20"/>
              </w:rPr>
              <w:t xml:space="preserve">response on </w:t>
            </w:r>
            <w:r w:rsidRPr="00E95878">
              <w:rPr>
                <w:rFonts w:cs="Arial"/>
                <w:sz w:val="20"/>
                <w:szCs w:val="20"/>
              </w:rPr>
              <w:t xml:space="preserve">18/5/17 advising </w:t>
            </w:r>
            <w:r>
              <w:rPr>
                <w:rFonts w:cs="Arial"/>
                <w:sz w:val="20"/>
                <w:szCs w:val="20"/>
              </w:rPr>
              <w:t>VRLA was sp</w:t>
            </w:r>
            <w:r w:rsidRPr="00E95878">
              <w:rPr>
                <w:rFonts w:cs="Arial"/>
                <w:sz w:val="20"/>
                <w:szCs w:val="20"/>
              </w:rPr>
              <w:t xml:space="preserve">eaking to LEFCOL and SIV and that would be sufficient. </w:t>
            </w:r>
          </w:p>
          <w:p w14:paraId="27A2EB0E" w14:textId="77777777" w:rsidR="00A70030" w:rsidRDefault="00A70030" w:rsidP="00073385">
            <w:pPr>
              <w:spacing w:before="60" w:after="60" w:line="240" w:lineRule="auto"/>
              <w:ind w:left="0"/>
              <w:rPr>
                <w:rFonts w:cs="Arial"/>
                <w:sz w:val="20"/>
                <w:szCs w:val="20"/>
              </w:rPr>
            </w:pPr>
            <w:r>
              <w:rPr>
                <w:rFonts w:cs="Arial"/>
                <w:sz w:val="20"/>
                <w:szCs w:val="20"/>
              </w:rPr>
              <w:t xml:space="preserve">CarbonNet has </w:t>
            </w:r>
            <w:r w:rsidRPr="00E95878">
              <w:rPr>
                <w:rFonts w:cs="Arial"/>
                <w:sz w:val="20"/>
                <w:szCs w:val="20"/>
              </w:rPr>
              <w:t>provided outco</w:t>
            </w:r>
            <w:r>
              <w:rPr>
                <w:rFonts w:cs="Arial"/>
                <w:sz w:val="20"/>
                <w:szCs w:val="20"/>
              </w:rPr>
              <w:t>mes of environmental assessment, committed</w:t>
            </w:r>
            <w:r w:rsidRPr="00E95878">
              <w:rPr>
                <w:rFonts w:cs="Arial"/>
                <w:sz w:val="20"/>
                <w:szCs w:val="20"/>
              </w:rPr>
              <w:t xml:space="preserve"> to </w:t>
            </w:r>
            <w:r>
              <w:rPr>
                <w:rFonts w:cs="Arial"/>
                <w:sz w:val="20"/>
                <w:szCs w:val="20"/>
              </w:rPr>
              <w:t xml:space="preserve">share the STLM results and committed to share relevant parts of the </w:t>
            </w:r>
            <w:r w:rsidRPr="00E95878">
              <w:rPr>
                <w:rFonts w:cs="Arial"/>
                <w:sz w:val="20"/>
                <w:szCs w:val="20"/>
              </w:rPr>
              <w:t xml:space="preserve">draft risk assessment </w:t>
            </w:r>
            <w:r>
              <w:rPr>
                <w:rFonts w:cs="Arial"/>
                <w:sz w:val="20"/>
                <w:szCs w:val="20"/>
              </w:rPr>
              <w:t xml:space="preserve">to LEFCOL, SIV and others. CarbonNet is willing to </w:t>
            </w:r>
            <w:r w:rsidRPr="00E95878">
              <w:rPr>
                <w:rFonts w:cs="Arial"/>
                <w:sz w:val="20"/>
                <w:szCs w:val="20"/>
              </w:rPr>
              <w:t xml:space="preserve">provide this info to VRLA </w:t>
            </w:r>
            <w:r>
              <w:rPr>
                <w:rFonts w:cs="Arial"/>
                <w:sz w:val="20"/>
                <w:szCs w:val="20"/>
              </w:rPr>
              <w:t xml:space="preserve">also, but requested that VRLA </w:t>
            </w:r>
            <w:r w:rsidRPr="00E95878">
              <w:rPr>
                <w:rFonts w:cs="Arial"/>
                <w:sz w:val="20"/>
                <w:szCs w:val="20"/>
              </w:rPr>
              <w:t xml:space="preserve">clarify how </w:t>
            </w:r>
            <w:r>
              <w:rPr>
                <w:rFonts w:cs="Arial"/>
                <w:sz w:val="20"/>
                <w:szCs w:val="20"/>
              </w:rPr>
              <w:t xml:space="preserve">it </w:t>
            </w:r>
            <w:r w:rsidRPr="00E95878">
              <w:rPr>
                <w:rFonts w:cs="Arial"/>
                <w:sz w:val="20"/>
                <w:szCs w:val="20"/>
              </w:rPr>
              <w:t>intends to engage with CarbonNet given previous advice and status of consultations</w:t>
            </w:r>
            <w:r>
              <w:rPr>
                <w:rFonts w:cs="Arial"/>
                <w:sz w:val="20"/>
                <w:szCs w:val="20"/>
              </w:rPr>
              <w:t>.</w:t>
            </w:r>
          </w:p>
          <w:p w14:paraId="302036F4" w14:textId="77777777" w:rsidR="00A70030" w:rsidRDefault="00A70030" w:rsidP="00073385">
            <w:pPr>
              <w:spacing w:before="60" w:after="60" w:line="240" w:lineRule="auto"/>
              <w:ind w:left="0"/>
              <w:rPr>
                <w:rFonts w:cs="Arial"/>
                <w:sz w:val="20"/>
                <w:szCs w:val="20"/>
              </w:rPr>
            </w:pPr>
            <w:r>
              <w:rPr>
                <w:rFonts w:cs="Arial"/>
                <w:sz w:val="20"/>
                <w:szCs w:val="20"/>
              </w:rPr>
              <w:t>CarbonNet also said that the c</w:t>
            </w:r>
            <w:r w:rsidRPr="00E95878">
              <w:rPr>
                <w:rFonts w:cs="Arial"/>
                <w:sz w:val="20"/>
                <w:szCs w:val="20"/>
              </w:rPr>
              <w:t>atch data indicates a very low l</w:t>
            </w:r>
            <w:r>
              <w:rPr>
                <w:rFonts w:cs="Arial"/>
                <w:sz w:val="20"/>
                <w:szCs w:val="20"/>
              </w:rPr>
              <w:t xml:space="preserve">evel of lobster fishing in area, and that we are </w:t>
            </w:r>
            <w:r w:rsidRPr="00E95878">
              <w:rPr>
                <w:rFonts w:cs="Arial"/>
                <w:sz w:val="20"/>
                <w:szCs w:val="20"/>
              </w:rPr>
              <w:t>considering all availa</w:t>
            </w:r>
            <w:r>
              <w:rPr>
                <w:rFonts w:cs="Arial"/>
                <w:sz w:val="20"/>
                <w:szCs w:val="20"/>
              </w:rPr>
              <w:t xml:space="preserve">ble science including Day et. al. CarbonNet said our </w:t>
            </w:r>
            <w:r w:rsidRPr="00E95878">
              <w:rPr>
                <w:rFonts w:cs="Arial"/>
                <w:sz w:val="20"/>
                <w:szCs w:val="20"/>
              </w:rPr>
              <w:t xml:space="preserve">risk assessment is based on </w:t>
            </w:r>
            <w:r>
              <w:rPr>
                <w:rFonts w:cs="Arial"/>
                <w:sz w:val="20"/>
                <w:szCs w:val="20"/>
              </w:rPr>
              <w:t xml:space="preserve">the Department of Economic Development, Jobs, Transport and Resources’ </w:t>
            </w:r>
            <w:r w:rsidRPr="00E95878">
              <w:rPr>
                <w:rFonts w:cs="Arial"/>
                <w:sz w:val="20"/>
                <w:szCs w:val="20"/>
              </w:rPr>
              <w:t xml:space="preserve">system which is consistent with ISO AS/NZS 31000:2009.  </w:t>
            </w:r>
          </w:p>
        </w:tc>
        <w:tc>
          <w:tcPr>
            <w:tcW w:w="3802" w:type="dxa"/>
            <w:tcBorders>
              <w:top w:val="single" w:sz="4" w:space="0" w:color="auto"/>
              <w:bottom w:val="single" w:sz="4" w:space="0" w:color="auto"/>
            </w:tcBorders>
            <w:shd w:val="clear" w:color="auto" w:fill="auto"/>
          </w:tcPr>
          <w:p w14:paraId="5EE8F153" w14:textId="0C132DF3" w:rsidR="00A70030" w:rsidRPr="00FF0808"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D628241" w14:textId="77777777" w:rsidTr="00905C82">
        <w:trPr>
          <w:trHeight w:val="974"/>
        </w:trPr>
        <w:tc>
          <w:tcPr>
            <w:tcW w:w="1427" w:type="dxa"/>
            <w:vMerge/>
            <w:tcBorders>
              <w:bottom w:val="nil"/>
            </w:tcBorders>
            <w:shd w:val="clear" w:color="auto" w:fill="auto"/>
          </w:tcPr>
          <w:p w14:paraId="05D6343D" w14:textId="77777777" w:rsidR="00A70030" w:rsidRPr="003E2F3C"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059EAF5A"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3B9C319" w14:textId="77777777" w:rsidR="00A70030" w:rsidRDefault="00A70030" w:rsidP="00073385">
            <w:pPr>
              <w:spacing w:before="60" w:after="60" w:line="240" w:lineRule="auto"/>
              <w:ind w:left="0"/>
              <w:rPr>
                <w:rFonts w:cs="Arial"/>
                <w:sz w:val="20"/>
                <w:szCs w:val="20"/>
              </w:rPr>
            </w:pPr>
            <w:r>
              <w:rPr>
                <w:rFonts w:cs="Arial"/>
                <w:sz w:val="20"/>
                <w:szCs w:val="20"/>
              </w:rPr>
              <w:t>3/7/17</w:t>
            </w:r>
          </w:p>
        </w:tc>
        <w:tc>
          <w:tcPr>
            <w:tcW w:w="6335" w:type="dxa"/>
            <w:tcBorders>
              <w:top w:val="single" w:sz="4" w:space="0" w:color="auto"/>
              <w:bottom w:val="single" w:sz="4" w:space="0" w:color="auto"/>
            </w:tcBorders>
            <w:shd w:val="clear" w:color="auto" w:fill="auto"/>
          </w:tcPr>
          <w:p w14:paraId="787E60C8" w14:textId="77777777" w:rsidR="00A70030" w:rsidRDefault="00A70030" w:rsidP="00073385">
            <w:pPr>
              <w:spacing w:before="60" w:after="60" w:line="240" w:lineRule="auto"/>
              <w:ind w:left="0"/>
              <w:rPr>
                <w:rFonts w:cs="Arial"/>
                <w:sz w:val="20"/>
                <w:szCs w:val="20"/>
              </w:rPr>
            </w:pPr>
            <w:r>
              <w:rPr>
                <w:rFonts w:cs="Arial"/>
                <w:sz w:val="20"/>
                <w:szCs w:val="20"/>
              </w:rPr>
              <w:t>CarbonNet received an email response from VRLA requesting an update on both the risk appetite and the risk assessment on the impact to the marine ecosystem, including plankton.</w:t>
            </w:r>
          </w:p>
          <w:p w14:paraId="2353DC88" w14:textId="77777777" w:rsidR="00A70030" w:rsidRDefault="00A70030" w:rsidP="00073385">
            <w:pPr>
              <w:spacing w:before="60" w:after="60" w:line="240" w:lineRule="auto"/>
              <w:ind w:left="0"/>
              <w:rPr>
                <w:rFonts w:cs="Arial"/>
                <w:sz w:val="20"/>
                <w:szCs w:val="20"/>
              </w:rPr>
            </w:pPr>
            <w:r>
              <w:rPr>
                <w:rFonts w:cs="Arial"/>
                <w:sz w:val="20"/>
                <w:szCs w:val="20"/>
              </w:rPr>
              <w:t>VRLA confirmed that there is not expected to be displacement of rock lobster fishing effort during the MSS.</w:t>
            </w:r>
          </w:p>
        </w:tc>
        <w:tc>
          <w:tcPr>
            <w:tcW w:w="3802" w:type="dxa"/>
            <w:tcBorders>
              <w:top w:val="single" w:sz="4" w:space="0" w:color="auto"/>
              <w:bottom w:val="single" w:sz="4" w:space="0" w:color="auto"/>
            </w:tcBorders>
            <w:shd w:val="clear" w:color="auto" w:fill="auto"/>
          </w:tcPr>
          <w:p w14:paraId="63401B41" w14:textId="7CE71829" w:rsidR="00A70030" w:rsidRPr="00FF0808" w:rsidRDefault="00A70030" w:rsidP="00073385">
            <w:pPr>
              <w:spacing w:before="60" w:after="60" w:line="240" w:lineRule="auto"/>
              <w:ind w:left="0"/>
              <w:rPr>
                <w:rFonts w:cs="Arial"/>
                <w:sz w:val="20"/>
                <w:szCs w:val="20"/>
              </w:rPr>
            </w:pPr>
            <w:r>
              <w:rPr>
                <w:rFonts w:cs="Arial"/>
                <w:sz w:val="20"/>
                <w:szCs w:val="20"/>
              </w:rPr>
              <w:t>See responses dated 1/8 and 4/8.</w:t>
            </w:r>
          </w:p>
        </w:tc>
      </w:tr>
      <w:tr w:rsidR="00A70030" w:rsidRPr="00FF0808" w14:paraId="3FAB76B2" w14:textId="77777777" w:rsidTr="00905C82">
        <w:trPr>
          <w:trHeight w:val="974"/>
        </w:trPr>
        <w:tc>
          <w:tcPr>
            <w:tcW w:w="1427" w:type="dxa"/>
            <w:tcBorders>
              <w:top w:val="nil"/>
              <w:bottom w:val="nil"/>
            </w:tcBorders>
            <w:shd w:val="clear" w:color="auto" w:fill="auto"/>
          </w:tcPr>
          <w:p w14:paraId="372BB1D5"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2521764"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42581718" w14:textId="77777777" w:rsidR="00A70030" w:rsidRDefault="00A70030" w:rsidP="00073385">
            <w:pPr>
              <w:spacing w:before="60" w:after="60" w:line="240" w:lineRule="auto"/>
              <w:ind w:left="0"/>
              <w:rPr>
                <w:rFonts w:cs="Arial"/>
                <w:sz w:val="20"/>
                <w:szCs w:val="20"/>
              </w:rPr>
            </w:pPr>
            <w:r>
              <w:rPr>
                <w:rFonts w:cs="Arial"/>
                <w:sz w:val="20"/>
                <w:szCs w:val="20"/>
              </w:rPr>
              <w:t>14/7/17</w:t>
            </w:r>
          </w:p>
        </w:tc>
        <w:tc>
          <w:tcPr>
            <w:tcW w:w="6335" w:type="dxa"/>
            <w:tcBorders>
              <w:top w:val="single" w:sz="4" w:space="0" w:color="auto"/>
              <w:bottom w:val="single" w:sz="4" w:space="0" w:color="auto"/>
            </w:tcBorders>
            <w:shd w:val="clear" w:color="auto" w:fill="auto"/>
          </w:tcPr>
          <w:p w14:paraId="487ABD4C" w14:textId="77777777" w:rsidR="00A70030" w:rsidRPr="00715B98" w:rsidRDefault="00A70030" w:rsidP="00073385">
            <w:pPr>
              <w:spacing w:before="60" w:after="60" w:line="240" w:lineRule="auto"/>
              <w:ind w:left="0"/>
              <w:rPr>
                <w:rFonts w:cs="Arial"/>
                <w:sz w:val="20"/>
                <w:szCs w:val="20"/>
                <w:lang w:val="fr-FR"/>
              </w:rPr>
            </w:pPr>
            <w:r w:rsidRPr="00715B98">
              <w:rPr>
                <w:rFonts w:cs="Arial"/>
                <w:sz w:val="20"/>
                <w:szCs w:val="20"/>
                <w:lang w:val="fr-FR"/>
              </w:rPr>
              <w:t>VRLA sent CarbonNet an email requesting:</w:t>
            </w:r>
          </w:p>
          <w:p w14:paraId="27BCF4B0" w14:textId="77777777" w:rsidR="00A70030" w:rsidRPr="00C83C0E" w:rsidRDefault="00A70030" w:rsidP="00073385">
            <w:pPr>
              <w:pStyle w:val="ListParagraph0"/>
              <w:numPr>
                <w:ilvl w:val="0"/>
                <w:numId w:val="495"/>
              </w:numPr>
              <w:spacing w:before="60" w:after="60" w:line="240" w:lineRule="auto"/>
              <w:rPr>
                <w:rFonts w:cs="Arial"/>
                <w:sz w:val="20"/>
                <w:szCs w:val="20"/>
              </w:rPr>
            </w:pPr>
            <w:r>
              <w:rPr>
                <w:rFonts w:cs="Arial"/>
                <w:sz w:val="20"/>
                <w:szCs w:val="20"/>
              </w:rPr>
              <w:t>C</w:t>
            </w:r>
            <w:r w:rsidRPr="00C83C0E">
              <w:rPr>
                <w:rFonts w:cs="Arial"/>
                <w:sz w:val="20"/>
                <w:szCs w:val="20"/>
              </w:rPr>
              <w:t>atch data on rock lobster and who provided it</w:t>
            </w:r>
          </w:p>
          <w:p w14:paraId="1703C2E1" w14:textId="77777777" w:rsidR="00A70030" w:rsidRPr="00C83C0E" w:rsidRDefault="00A70030" w:rsidP="00073385">
            <w:pPr>
              <w:pStyle w:val="ListParagraph0"/>
              <w:numPr>
                <w:ilvl w:val="0"/>
                <w:numId w:val="495"/>
              </w:numPr>
              <w:spacing w:before="60" w:after="60" w:line="240" w:lineRule="auto"/>
              <w:rPr>
                <w:rFonts w:cs="Arial"/>
                <w:sz w:val="20"/>
                <w:szCs w:val="20"/>
              </w:rPr>
            </w:pPr>
            <w:r>
              <w:rPr>
                <w:rFonts w:cs="Arial"/>
                <w:sz w:val="20"/>
                <w:szCs w:val="20"/>
              </w:rPr>
              <w:t>W</w:t>
            </w:r>
            <w:r w:rsidRPr="00C83C0E">
              <w:rPr>
                <w:rFonts w:cs="Arial"/>
                <w:sz w:val="20"/>
                <w:szCs w:val="20"/>
              </w:rPr>
              <w:t>hat habitat assessment has been made (eg LIDAR)</w:t>
            </w:r>
          </w:p>
          <w:p w14:paraId="0657FB66" w14:textId="77777777" w:rsidR="00A70030" w:rsidRPr="00C83C0E" w:rsidRDefault="00A70030" w:rsidP="00073385">
            <w:pPr>
              <w:pStyle w:val="ListParagraph0"/>
              <w:numPr>
                <w:ilvl w:val="0"/>
                <w:numId w:val="495"/>
              </w:numPr>
              <w:spacing w:before="60" w:after="60" w:line="240" w:lineRule="auto"/>
              <w:rPr>
                <w:rFonts w:cs="Arial"/>
                <w:sz w:val="20"/>
                <w:szCs w:val="20"/>
              </w:rPr>
            </w:pPr>
            <w:r>
              <w:rPr>
                <w:rFonts w:cs="Arial"/>
                <w:sz w:val="20"/>
                <w:szCs w:val="20"/>
              </w:rPr>
              <w:t>Th</w:t>
            </w:r>
            <w:r w:rsidRPr="00C83C0E">
              <w:rPr>
                <w:rFonts w:cs="Arial"/>
                <w:sz w:val="20"/>
                <w:szCs w:val="20"/>
              </w:rPr>
              <w:t>e risk assessment for both lobster and plankton</w:t>
            </w:r>
          </w:p>
          <w:p w14:paraId="4D848FB1" w14:textId="77777777" w:rsidR="00A70030" w:rsidRDefault="00A70030" w:rsidP="00073385">
            <w:pPr>
              <w:spacing w:before="60" w:after="60" w:line="240" w:lineRule="auto"/>
              <w:ind w:left="0"/>
              <w:rPr>
                <w:rFonts w:cs="Arial"/>
                <w:sz w:val="20"/>
                <w:szCs w:val="20"/>
              </w:rPr>
            </w:pPr>
            <w:r w:rsidRPr="0071754F">
              <w:rPr>
                <w:rFonts w:cs="Arial"/>
                <w:sz w:val="20"/>
                <w:szCs w:val="20"/>
              </w:rPr>
              <w:t>VRLA has assessed impact to plankton as significant mortality, certain.</w:t>
            </w:r>
          </w:p>
        </w:tc>
        <w:tc>
          <w:tcPr>
            <w:tcW w:w="3802" w:type="dxa"/>
            <w:tcBorders>
              <w:top w:val="single" w:sz="4" w:space="0" w:color="auto"/>
              <w:bottom w:val="single" w:sz="4" w:space="0" w:color="auto"/>
            </w:tcBorders>
            <w:shd w:val="clear" w:color="auto" w:fill="auto"/>
          </w:tcPr>
          <w:p w14:paraId="718969C4" w14:textId="52C15CF3" w:rsidR="00A70030" w:rsidDel="00E95878" w:rsidRDefault="00A70030" w:rsidP="00073385">
            <w:pPr>
              <w:spacing w:before="60" w:after="60" w:line="240" w:lineRule="auto"/>
              <w:ind w:left="0"/>
              <w:rPr>
                <w:rFonts w:cs="Arial"/>
                <w:sz w:val="20"/>
                <w:szCs w:val="20"/>
              </w:rPr>
            </w:pPr>
            <w:r>
              <w:rPr>
                <w:rFonts w:cs="Arial"/>
                <w:sz w:val="20"/>
                <w:szCs w:val="20"/>
              </w:rPr>
              <w:t>See response on dated 4/8.</w:t>
            </w:r>
          </w:p>
        </w:tc>
      </w:tr>
      <w:tr w:rsidR="00A70030" w:rsidRPr="00FF0808" w14:paraId="5BA08407" w14:textId="77777777" w:rsidTr="00905C82">
        <w:trPr>
          <w:trHeight w:val="974"/>
        </w:trPr>
        <w:tc>
          <w:tcPr>
            <w:tcW w:w="1427" w:type="dxa"/>
            <w:tcBorders>
              <w:top w:val="nil"/>
              <w:bottom w:val="nil"/>
            </w:tcBorders>
            <w:shd w:val="clear" w:color="auto" w:fill="auto"/>
          </w:tcPr>
          <w:p w14:paraId="2FF5531F"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1829889"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3A22BC87" w14:textId="77777777" w:rsidR="00A70030" w:rsidRDefault="00A70030" w:rsidP="00073385">
            <w:pPr>
              <w:spacing w:before="60" w:after="60" w:line="240" w:lineRule="auto"/>
              <w:ind w:left="0"/>
              <w:rPr>
                <w:rFonts w:cs="Arial"/>
                <w:sz w:val="20"/>
                <w:szCs w:val="20"/>
              </w:rPr>
            </w:pPr>
            <w:r>
              <w:rPr>
                <w:rFonts w:cs="Arial"/>
                <w:sz w:val="20"/>
                <w:szCs w:val="20"/>
              </w:rPr>
              <w:t>1/8/17</w:t>
            </w:r>
          </w:p>
        </w:tc>
        <w:tc>
          <w:tcPr>
            <w:tcW w:w="6335" w:type="dxa"/>
            <w:tcBorders>
              <w:top w:val="single" w:sz="4" w:space="0" w:color="auto"/>
              <w:bottom w:val="single" w:sz="4" w:space="0" w:color="auto"/>
            </w:tcBorders>
            <w:shd w:val="clear" w:color="auto" w:fill="auto"/>
          </w:tcPr>
          <w:p w14:paraId="61A74B27" w14:textId="77777777" w:rsidR="00A70030" w:rsidRDefault="00A70030" w:rsidP="00073385">
            <w:pPr>
              <w:spacing w:before="60" w:after="60" w:line="240" w:lineRule="auto"/>
              <w:ind w:left="0"/>
              <w:rPr>
                <w:rFonts w:cs="Arial"/>
                <w:sz w:val="20"/>
                <w:szCs w:val="20"/>
              </w:rPr>
            </w:pPr>
            <w:r>
              <w:rPr>
                <w:rFonts w:cs="Arial"/>
                <w:sz w:val="20"/>
                <w:szCs w:val="20"/>
              </w:rPr>
              <w:t>CarbonNet sent VRLA an email with the habitat assessment summary and STLM results, both of which were provided to other commercial fishing industry bodies.</w:t>
            </w:r>
          </w:p>
        </w:tc>
        <w:tc>
          <w:tcPr>
            <w:tcW w:w="3802" w:type="dxa"/>
            <w:tcBorders>
              <w:top w:val="single" w:sz="4" w:space="0" w:color="auto"/>
              <w:bottom w:val="single" w:sz="4" w:space="0" w:color="auto"/>
            </w:tcBorders>
            <w:shd w:val="clear" w:color="auto" w:fill="auto"/>
          </w:tcPr>
          <w:p w14:paraId="69FAF547" w14:textId="5E901B1F" w:rsidR="00A70030" w:rsidDel="00E95878"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7745B9BF" w14:textId="77777777" w:rsidTr="00905C82">
        <w:trPr>
          <w:trHeight w:val="974"/>
        </w:trPr>
        <w:tc>
          <w:tcPr>
            <w:tcW w:w="1427" w:type="dxa"/>
            <w:tcBorders>
              <w:top w:val="nil"/>
              <w:bottom w:val="nil"/>
            </w:tcBorders>
            <w:shd w:val="clear" w:color="auto" w:fill="auto"/>
          </w:tcPr>
          <w:p w14:paraId="37F5D536"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D015C32"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683AD35C" w14:textId="77777777" w:rsidR="00A70030" w:rsidRDefault="00A70030" w:rsidP="00073385">
            <w:pPr>
              <w:spacing w:before="60" w:after="60" w:line="240" w:lineRule="auto"/>
              <w:ind w:left="0"/>
              <w:rPr>
                <w:rFonts w:cs="Arial"/>
                <w:sz w:val="20"/>
                <w:szCs w:val="20"/>
              </w:rPr>
            </w:pPr>
            <w:r>
              <w:rPr>
                <w:rFonts w:cs="Arial"/>
                <w:sz w:val="20"/>
                <w:szCs w:val="20"/>
              </w:rPr>
              <w:t>2/8/17</w:t>
            </w:r>
          </w:p>
        </w:tc>
        <w:tc>
          <w:tcPr>
            <w:tcW w:w="6335" w:type="dxa"/>
            <w:tcBorders>
              <w:top w:val="single" w:sz="4" w:space="0" w:color="auto"/>
              <w:bottom w:val="single" w:sz="4" w:space="0" w:color="auto"/>
            </w:tcBorders>
            <w:shd w:val="clear" w:color="auto" w:fill="auto"/>
          </w:tcPr>
          <w:p w14:paraId="33CB7186" w14:textId="77777777" w:rsidR="00A70030" w:rsidRDefault="00A70030" w:rsidP="00073385">
            <w:pPr>
              <w:spacing w:before="60" w:after="60" w:line="240" w:lineRule="auto"/>
              <w:ind w:left="0"/>
              <w:rPr>
                <w:rFonts w:cs="Arial"/>
                <w:sz w:val="20"/>
                <w:szCs w:val="20"/>
              </w:rPr>
            </w:pPr>
            <w:r>
              <w:rPr>
                <w:rFonts w:cs="Arial"/>
                <w:sz w:val="20"/>
                <w:szCs w:val="20"/>
              </w:rPr>
              <w:t>VRLA sent CarbonNet an email confirming receipt of habitat assessment summary and STLM results.</w:t>
            </w:r>
          </w:p>
          <w:p w14:paraId="1ECEFA3F" w14:textId="77777777" w:rsidR="00A70030" w:rsidRDefault="00A70030" w:rsidP="00073385">
            <w:pPr>
              <w:spacing w:before="60" w:after="60" w:line="240" w:lineRule="auto"/>
              <w:ind w:left="0"/>
              <w:rPr>
                <w:rFonts w:cs="Arial"/>
                <w:sz w:val="20"/>
                <w:szCs w:val="20"/>
              </w:rPr>
            </w:pPr>
            <w:r>
              <w:rPr>
                <w:rFonts w:cs="Arial"/>
                <w:sz w:val="20"/>
                <w:szCs w:val="20"/>
              </w:rPr>
              <w:t>VRLA said the sound modelling did not include impact to zooplankton, and asked if CarbonNet would be doing further modelling.</w:t>
            </w:r>
          </w:p>
          <w:p w14:paraId="05631131" w14:textId="77777777" w:rsidR="00A70030" w:rsidRDefault="00A70030" w:rsidP="00073385">
            <w:pPr>
              <w:spacing w:before="60" w:after="60" w:line="240" w:lineRule="auto"/>
              <w:ind w:left="0"/>
              <w:rPr>
                <w:rFonts w:cs="Arial"/>
                <w:sz w:val="20"/>
                <w:szCs w:val="20"/>
              </w:rPr>
            </w:pPr>
            <w:r>
              <w:rPr>
                <w:rFonts w:cs="Arial"/>
                <w:sz w:val="20"/>
                <w:szCs w:val="20"/>
              </w:rPr>
              <w:t>VRLA also requested the draft risk assessments for both rock lobster (which VRLA has assessed as significant, permanent damage) and plankton.</w:t>
            </w:r>
          </w:p>
        </w:tc>
        <w:tc>
          <w:tcPr>
            <w:tcW w:w="3802" w:type="dxa"/>
            <w:tcBorders>
              <w:top w:val="single" w:sz="4" w:space="0" w:color="auto"/>
              <w:bottom w:val="single" w:sz="4" w:space="0" w:color="auto"/>
            </w:tcBorders>
            <w:shd w:val="clear" w:color="auto" w:fill="auto"/>
          </w:tcPr>
          <w:p w14:paraId="44973129" w14:textId="596D5777" w:rsidR="00A70030" w:rsidDel="00E95878" w:rsidRDefault="00A70030" w:rsidP="00073385">
            <w:pPr>
              <w:spacing w:before="60" w:after="60" w:line="240" w:lineRule="auto"/>
              <w:ind w:left="0"/>
              <w:rPr>
                <w:rFonts w:cs="Arial"/>
                <w:sz w:val="20"/>
                <w:szCs w:val="20"/>
              </w:rPr>
            </w:pPr>
            <w:r>
              <w:rPr>
                <w:rFonts w:cs="Arial"/>
                <w:sz w:val="20"/>
                <w:szCs w:val="20"/>
              </w:rPr>
              <w:t>See response dated 4/8.</w:t>
            </w:r>
          </w:p>
        </w:tc>
      </w:tr>
      <w:tr w:rsidR="00A70030" w:rsidRPr="00FF0808" w14:paraId="635F48E3" w14:textId="77777777" w:rsidTr="00891DE1">
        <w:trPr>
          <w:trHeight w:val="974"/>
        </w:trPr>
        <w:tc>
          <w:tcPr>
            <w:tcW w:w="1427" w:type="dxa"/>
            <w:tcBorders>
              <w:top w:val="nil"/>
              <w:bottom w:val="nil"/>
            </w:tcBorders>
            <w:shd w:val="clear" w:color="auto" w:fill="auto"/>
          </w:tcPr>
          <w:p w14:paraId="48F3DC02"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E4C09B9"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561DE59B" w14:textId="77777777" w:rsidR="00A70030" w:rsidRDefault="00A70030" w:rsidP="00073385">
            <w:pPr>
              <w:spacing w:before="60" w:after="60" w:line="240" w:lineRule="auto"/>
              <w:ind w:left="0"/>
              <w:rPr>
                <w:rFonts w:cs="Arial"/>
                <w:sz w:val="20"/>
                <w:szCs w:val="20"/>
              </w:rPr>
            </w:pPr>
            <w:r>
              <w:rPr>
                <w:rFonts w:cs="Arial"/>
                <w:sz w:val="20"/>
                <w:szCs w:val="20"/>
              </w:rPr>
              <w:t>4/8/17</w:t>
            </w:r>
          </w:p>
        </w:tc>
        <w:tc>
          <w:tcPr>
            <w:tcW w:w="6335" w:type="dxa"/>
            <w:tcBorders>
              <w:top w:val="single" w:sz="4" w:space="0" w:color="auto"/>
              <w:bottom w:val="single" w:sz="4" w:space="0" w:color="auto"/>
            </w:tcBorders>
            <w:shd w:val="clear" w:color="auto" w:fill="auto"/>
          </w:tcPr>
          <w:p w14:paraId="53FE5E9F" w14:textId="77777777" w:rsidR="00A70030" w:rsidRDefault="00A70030" w:rsidP="00073385">
            <w:pPr>
              <w:spacing w:before="60" w:after="60" w:line="240" w:lineRule="auto"/>
              <w:ind w:left="0"/>
              <w:rPr>
                <w:rFonts w:cs="Arial"/>
                <w:sz w:val="20"/>
                <w:szCs w:val="20"/>
              </w:rPr>
            </w:pPr>
            <w:r>
              <w:rPr>
                <w:rFonts w:cs="Arial"/>
                <w:sz w:val="20"/>
                <w:szCs w:val="20"/>
              </w:rPr>
              <w:t>CarbonNet sent VRLA an email with the following excerpts from the draft EP that are relevant to their concerns:</w:t>
            </w:r>
          </w:p>
          <w:p w14:paraId="6080E881" w14:textId="77777777" w:rsidR="00A70030" w:rsidRPr="00C83C0E" w:rsidRDefault="00A70030" w:rsidP="00073385">
            <w:pPr>
              <w:pStyle w:val="ListParagraph0"/>
              <w:numPr>
                <w:ilvl w:val="0"/>
                <w:numId w:val="494"/>
              </w:numPr>
              <w:spacing w:before="60" w:after="60" w:line="240" w:lineRule="auto"/>
              <w:rPr>
                <w:rFonts w:cs="Arial"/>
                <w:sz w:val="20"/>
                <w:szCs w:val="20"/>
              </w:rPr>
            </w:pPr>
            <w:r w:rsidRPr="00C83C0E">
              <w:rPr>
                <w:rFonts w:cs="Arial"/>
                <w:sz w:val="20"/>
                <w:szCs w:val="20"/>
              </w:rPr>
              <w:t xml:space="preserve">Summary of Impacts on Marine Fauna </w:t>
            </w:r>
          </w:p>
          <w:p w14:paraId="4C648889" w14:textId="4A4ED21B" w:rsidR="00A70030" w:rsidRPr="00C83C0E" w:rsidRDefault="00A70030" w:rsidP="00073385">
            <w:pPr>
              <w:pStyle w:val="ListParagraph0"/>
              <w:numPr>
                <w:ilvl w:val="0"/>
                <w:numId w:val="494"/>
              </w:numPr>
              <w:spacing w:before="60" w:after="60" w:line="240" w:lineRule="auto"/>
              <w:rPr>
                <w:rFonts w:cs="Arial"/>
                <w:sz w:val="20"/>
                <w:szCs w:val="20"/>
              </w:rPr>
            </w:pPr>
            <w:r w:rsidRPr="00C83C0E">
              <w:rPr>
                <w:rFonts w:cs="Arial"/>
                <w:sz w:val="20"/>
                <w:szCs w:val="20"/>
              </w:rPr>
              <w:t xml:space="preserve">Impacts on Invertebrates </w:t>
            </w:r>
          </w:p>
          <w:p w14:paraId="47D6CA48" w14:textId="77777777" w:rsidR="00A70030" w:rsidRPr="00C83C0E" w:rsidRDefault="00A70030" w:rsidP="00073385">
            <w:pPr>
              <w:pStyle w:val="ListParagraph0"/>
              <w:numPr>
                <w:ilvl w:val="0"/>
                <w:numId w:val="494"/>
              </w:numPr>
              <w:spacing w:before="60" w:after="60" w:line="240" w:lineRule="auto"/>
              <w:rPr>
                <w:rFonts w:cs="Arial"/>
                <w:sz w:val="20"/>
                <w:szCs w:val="20"/>
              </w:rPr>
            </w:pPr>
            <w:r w:rsidRPr="00C83C0E">
              <w:rPr>
                <w:rFonts w:cs="Arial"/>
                <w:sz w:val="20"/>
                <w:szCs w:val="20"/>
              </w:rPr>
              <w:t xml:space="preserve">Impacts on Plankton </w:t>
            </w:r>
          </w:p>
          <w:p w14:paraId="161B162F" w14:textId="77777777" w:rsidR="00A70030" w:rsidRPr="00C83C0E" w:rsidRDefault="00A70030" w:rsidP="00073385">
            <w:pPr>
              <w:pStyle w:val="ListParagraph0"/>
              <w:numPr>
                <w:ilvl w:val="0"/>
                <w:numId w:val="494"/>
              </w:numPr>
              <w:spacing w:before="60" w:after="60" w:line="240" w:lineRule="auto"/>
              <w:rPr>
                <w:rFonts w:cs="Arial"/>
                <w:sz w:val="20"/>
                <w:szCs w:val="20"/>
              </w:rPr>
            </w:pPr>
            <w:r w:rsidRPr="00C83C0E">
              <w:rPr>
                <w:rFonts w:cs="Arial"/>
                <w:sz w:val="20"/>
                <w:szCs w:val="20"/>
              </w:rPr>
              <w:t xml:space="preserve">Summary of Risks to Commercial Fisheries </w:t>
            </w:r>
          </w:p>
          <w:p w14:paraId="282EBD60" w14:textId="77777777" w:rsidR="00A70030" w:rsidRDefault="00A70030" w:rsidP="00073385">
            <w:pPr>
              <w:pStyle w:val="ListParagraph0"/>
              <w:numPr>
                <w:ilvl w:val="0"/>
                <w:numId w:val="494"/>
              </w:numPr>
              <w:spacing w:before="60" w:after="60" w:line="240" w:lineRule="auto"/>
              <w:rPr>
                <w:rFonts w:cs="Arial"/>
                <w:sz w:val="20"/>
                <w:szCs w:val="20"/>
              </w:rPr>
            </w:pPr>
            <w:r w:rsidRPr="00C83C0E">
              <w:rPr>
                <w:rFonts w:cs="Arial"/>
                <w:sz w:val="20"/>
                <w:szCs w:val="20"/>
              </w:rPr>
              <w:t>Risks to Rock Lobsters</w:t>
            </w:r>
          </w:p>
          <w:p w14:paraId="2423DD79" w14:textId="77777777" w:rsidR="00A70030" w:rsidRDefault="00A70030" w:rsidP="00073385">
            <w:pPr>
              <w:spacing w:before="60" w:after="60" w:line="240" w:lineRule="auto"/>
              <w:ind w:left="0"/>
              <w:rPr>
                <w:rFonts w:cs="Arial"/>
                <w:sz w:val="20"/>
                <w:szCs w:val="20"/>
              </w:rPr>
            </w:pPr>
          </w:p>
          <w:p w14:paraId="0EF43D62" w14:textId="77777777" w:rsidR="00A70030" w:rsidRDefault="00A70030" w:rsidP="00073385">
            <w:pPr>
              <w:spacing w:before="60" w:after="60" w:line="240" w:lineRule="auto"/>
              <w:ind w:left="0"/>
              <w:rPr>
                <w:rFonts w:cs="Arial"/>
                <w:sz w:val="20"/>
                <w:szCs w:val="20"/>
              </w:rPr>
            </w:pPr>
            <w:r>
              <w:rPr>
                <w:rFonts w:cs="Arial"/>
                <w:sz w:val="20"/>
                <w:szCs w:val="20"/>
              </w:rPr>
              <w:t xml:space="preserve">CarbonNet also addressed the issues and concerns raised by </w:t>
            </w:r>
            <w:r w:rsidRPr="00F336C9">
              <w:rPr>
                <w:rFonts w:cs="Arial"/>
                <w:sz w:val="20"/>
                <w:szCs w:val="20"/>
              </w:rPr>
              <w:t xml:space="preserve">VRLA </w:t>
            </w:r>
            <w:r w:rsidRPr="00F336C9">
              <w:rPr>
                <w:rFonts w:cs="Arial"/>
                <w:sz w:val="20"/>
                <w:szCs w:val="20"/>
              </w:rPr>
              <w:lastRenderedPageBreak/>
              <w:t>on 3/7, 14/7 and 2/8, as</w:t>
            </w:r>
            <w:r>
              <w:rPr>
                <w:rFonts w:cs="Arial"/>
                <w:sz w:val="20"/>
                <w:szCs w:val="20"/>
              </w:rPr>
              <w:t xml:space="preserve"> follows:</w:t>
            </w:r>
          </w:p>
          <w:p w14:paraId="4AE38496" w14:textId="77777777" w:rsidR="00A70030" w:rsidRDefault="00A70030" w:rsidP="00073385">
            <w:pPr>
              <w:spacing w:before="60" w:after="60" w:line="240" w:lineRule="auto"/>
              <w:ind w:left="0"/>
              <w:rPr>
                <w:rFonts w:cs="Arial"/>
                <w:sz w:val="20"/>
                <w:szCs w:val="20"/>
              </w:rPr>
            </w:pPr>
          </w:p>
          <w:p w14:paraId="156239DF" w14:textId="77777777" w:rsidR="00A70030" w:rsidRDefault="00A70030" w:rsidP="00073385">
            <w:pPr>
              <w:pStyle w:val="ListParagraph0"/>
              <w:numPr>
                <w:ilvl w:val="0"/>
                <w:numId w:val="496"/>
              </w:numPr>
              <w:spacing w:before="60" w:after="60" w:line="240" w:lineRule="auto"/>
              <w:rPr>
                <w:rFonts w:cs="Arial"/>
                <w:sz w:val="20"/>
                <w:szCs w:val="20"/>
              </w:rPr>
            </w:pPr>
            <w:r>
              <w:rPr>
                <w:rFonts w:cs="Arial"/>
                <w:sz w:val="20"/>
                <w:szCs w:val="20"/>
              </w:rPr>
              <w:t>Risks to rock lobsters from the MSS</w:t>
            </w:r>
          </w:p>
          <w:p w14:paraId="7452EF82" w14:textId="77777777" w:rsidR="00A70030" w:rsidRDefault="00A70030" w:rsidP="00073385">
            <w:pPr>
              <w:pStyle w:val="ListParagraph0"/>
              <w:numPr>
                <w:ilvl w:val="0"/>
                <w:numId w:val="496"/>
              </w:numPr>
              <w:spacing w:before="60" w:after="60" w:line="240" w:lineRule="auto"/>
              <w:rPr>
                <w:rFonts w:cs="Arial"/>
                <w:sz w:val="20"/>
                <w:szCs w:val="20"/>
              </w:rPr>
            </w:pPr>
            <w:r>
              <w:rPr>
                <w:rFonts w:cs="Arial"/>
                <w:sz w:val="20"/>
                <w:szCs w:val="20"/>
              </w:rPr>
              <w:t>Concerns about impacts on zooplankton from the MSS</w:t>
            </w:r>
          </w:p>
          <w:p w14:paraId="2CBB43B7" w14:textId="77777777" w:rsidR="00A70030" w:rsidRDefault="00A70030" w:rsidP="00073385">
            <w:pPr>
              <w:pStyle w:val="ListParagraph0"/>
              <w:numPr>
                <w:ilvl w:val="0"/>
                <w:numId w:val="496"/>
              </w:numPr>
              <w:spacing w:before="60" w:after="60" w:line="240" w:lineRule="auto"/>
              <w:rPr>
                <w:rFonts w:cs="Arial"/>
                <w:sz w:val="20"/>
                <w:szCs w:val="20"/>
              </w:rPr>
            </w:pPr>
            <w:r>
              <w:rPr>
                <w:rFonts w:cs="Arial"/>
                <w:sz w:val="20"/>
                <w:szCs w:val="20"/>
              </w:rPr>
              <w:t>Application of the ISO 31000:2009 risk management framework and risk appetite</w:t>
            </w:r>
          </w:p>
          <w:p w14:paraId="27219621" w14:textId="77777777" w:rsidR="00A70030" w:rsidRDefault="00A70030" w:rsidP="00073385">
            <w:pPr>
              <w:pStyle w:val="ListParagraph0"/>
              <w:numPr>
                <w:ilvl w:val="0"/>
                <w:numId w:val="496"/>
              </w:numPr>
              <w:spacing w:before="60" w:after="60" w:line="240" w:lineRule="auto"/>
              <w:rPr>
                <w:rFonts w:cs="Arial"/>
                <w:sz w:val="20"/>
                <w:szCs w:val="20"/>
              </w:rPr>
            </w:pPr>
            <w:r>
              <w:rPr>
                <w:rFonts w:cs="Arial"/>
                <w:sz w:val="20"/>
                <w:szCs w:val="20"/>
              </w:rPr>
              <w:t>Fishery data supplied to CarbonNet by VFA</w:t>
            </w:r>
          </w:p>
          <w:p w14:paraId="4E8930E0" w14:textId="77777777" w:rsidR="00A70030" w:rsidRDefault="00A70030" w:rsidP="00073385">
            <w:pPr>
              <w:pStyle w:val="ListParagraph0"/>
              <w:numPr>
                <w:ilvl w:val="0"/>
                <w:numId w:val="496"/>
              </w:numPr>
              <w:spacing w:before="60" w:after="60" w:line="240" w:lineRule="auto"/>
              <w:rPr>
                <w:rFonts w:cs="Arial"/>
                <w:sz w:val="20"/>
                <w:szCs w:val="20"/>
              </w:rPr>
            </w:pPr>
            <w:r>
              <w:rPr>
                <w:rFonts w:cs="Arial"/>
                <w:sz w:val="20"/>
                <w:szCs w:val="20"/>
              </w:rPr>
              <w:t>Information on habitat assessment</w:t>
            </w:r>
          </w:p>
          <w:p w14:paraId="0024E6C2" w14:textId="77777777" w:rsidR="00A70030" w:rsidRDefault="00A70030" w:rsidP="00073385">
            <w:pPr>
              <w:pStyle w:val="ListParagraph0"/>
              <w:numPr>
                <w:ilvl w:val="0"/>
                <w:numId w:val="496"/>
              </w:numPr>
              <w:spacing w:before="60" w:after="60" w:line="240" w:lineRule="auto"/>
              <w:rPr>
                <w:rFonts w:cs="Arial"/>
                <w:sz w:val="20"/>
                <w:szCs w:val="20"/>
              </w:rPr>
            </w:pPr>
            <w:r>
              <w:rPr>
                <w:rFonts w:cs="Arial"/>
                <w:sz w:val="20"/>
                <w:szCs w:val="20"/>
              </w:rPr>
              <w:t>Risk assessment on the impacts to zooplankton and early life stages of rock lobster</w:t>
            </w:r>
          </w:p>
          <w:p w14:paraId="22B54ABD" w14:textId="77777777" w:rsidR="00A70030" w:rsidRDefault="00A70030" w:rsidP="00073385">
            <w:pPr>
              <w:pStyle w:val="ListParagraph0"/>
              <w:numPr>
                <w:ilvl w:val="0"/>
                <w:numId w:val="496"/>
              </w:numPr>
              <w:spacing w:before="60" w:after="60" w:line="240" w:lineRule="auto"/>
              <w:rPr>
                <w:rFonts w:cs="Arial"/>
                <w:sz w:val="20"/>
                <w:szCs w:val="20"/>
              </w:rPr>
            </w:pPr>
            <w:r>
              <w:rPr>
                <w:rFonts w:cs="Arial"/>
                <w:sz w:val="20"/>
                <w:szCs w:val="20"/>
              </w:rPr>
              <w:t>Scallop beds found in survey area</w:t>
            </w:r>
          </w:p>
          <w:p w14:paraId="2000F939" w14:textId="77777777" w:rsidR="00A70030" w:rsidRDefault="00A70030" w:rsidP="00073385">
            <w:pPr>
              <w:pStyle w:val="ListParagraph0"/>
              <w:numPr>
                <w:ilvl w:val="0"/>
                <w:numId w:val="496"/>
              </w:numPr>
              <w:spacing w:before="60" w:after="60" w:line="240" w:lineRule="auto"/>
              <w:rPr>
                <w:rFonts w:cs="Arial"/>
                <w:sz w:val="20"/>
                <w:szCs w:val="20"/>
              </w:rPr>
            </w:pPr>
            <w:r>
              <w:rPr>
                <w:rFonts w:cs="Arial"/>
                <w:sz w:val="20"/>
                <w:szCs w:val="20"/>
              </w:rPr>
              <w:t>Sound modelling does not include impacts to zooplankton</w:t>
            </w:r>
          </w:p>
          <w:p w14:paraId="6065C949" w14:textId="77777777" w:rsidR="00A70030" w:rsidRDefault="00A70030" w:rsidP="00073385">
            <w:pPr>
              <w:pStyle w:val="ListParagraph0"/>
              <w:numPr>
                <w:ilvl w:val="0"/>
                <w:numId w:val="496"/>
              </w:numPr>
              <w:spacing w:before="60" w:after="60" w:line="240" w:lineRule="auto"/>
              <w:rPr>
                <w:rFonts w:cs="Arial"/>
                <w:sz w:val="20"/>
                <w:szCs w:val="20"/>
              </w:rPr>
            </w:pPr>
            <w:r>
              <w:rPr>
                <w:rFonts w:cs="Arial"/>
                <w:sz w:val="20"/>
                <w:szCs w:val="20"/>
              </w:rPr>
              <w:t xml:space="preserve">CSIRO </w:t>
            </w:r>
            <w:r w:rsidRPr="007E0616">
              <w:rPr>
                <w:rFonts w:cs="Arial"/>
                <w:sz w:val="20"/>
                <w:szCs w:val="20"/>
              </w:rPr>
              <w:t>zooplankton modelling cannot be transferred</w:t>
            </w:r>
            <w:r>
              <w:rPr>
                <w:rFonts w:cs="Arial"/>
                <w:sz w:val="20"/>
                <w:szCs w:val="20"/>
              </w:rPr>
              <w:t xml:space="preserve"> </w:t>
            </w:r>
            <w:r w:rsidRPr="007E0616">
              <w:rPr>
                <w:rFonts w:cs="Arial"/>
                <w:sz w:val="20"/>
                <w:szCs w:val="20"/>
              </w:rPr>
              <w:t>to the southern ocean with any relevance</w:t>
            </w:r>
          </w:p>
          <w:p w14:paraId="3BE7DD98" w14:textId="77777777" w:rsidR="00A70030" w:rsidRDefault="00A70030" w:rsidP="00073385">
            <w:pPr>
              <w:pStyle w:val="ListParagraph0"/>
              <w:numPr>
                <w:ilvl w:val="0"/>
                <w:numId w:val="496"/>
              </w:numPr>
              <w:spacing w:before="60" w:after="60" w:line="240" w:lineRule="auto"/>
              <w:rPr>
                <w:rFonts w:cs="Arial"/>
                <w:sz w:val="20"/>
                <w:szCs w:val="20"/>
              </w:rPr>
            </w:pPr>
            <w:r w:rsidRPr="007E0616">
              <w:rPr>
                <w:rFonts w:cs="Arial"/>
                <w:sz w:val="20"/>
                <w:szCs w:val="20"/>
              </w:rPr>
              <w:t>Consideration of krill, tropical vs cool water plankton</w:t>
            </w:r>
            <w:r>
              <w:rPr>
                <w:rFonts w:cs="Arial"/>
                <w:sz w:val="20"/>
                <w:szCs w:val="20"/>
              </w:rPr>
              <w:t xml:space="preserve"> </w:t>
            </w:r>
            <w:r w:rsidRPr="007E0616">
              <w:rPr>
                <w:rFonts w:cs="Arial"/>
                <w:sz w:val="20"/>
                <w:szCs w:val="20"/>
              </w:rPr>
              <w:t>species, need for further modelling</w:t>
            </w:r>
          </w:p>
          <w:p w14:paraId="492CF586" w14:textId="77777777" w:rsidR="00A70030" w:rsidRPr="00C83C0E" w:rsidRDefault="00A70030" w:rsidP="00073385">
            <w:pPr>
              <w:pStyle w:val="ListParagraph0"/>
              <w:numPr>
                <w:ilvl w:val="0"/>
                <w:numId w:val="496"/>
              </w:numPr>
              <w:spacing w:before="60" w:after="60" w:line="240" w:lineRule="auto"/>
              <w:rPr>
                <w:rFonts w:cs="Arial"/>
                <w:sz w:val="20"/>
                <w:szCs w:val="20"/>
              </w:rPr>
            </w:pPr>
            <w:r>
              <w:rPr>
                <w:rFonts w:cs="Arial"/>
                <w:sz w:val="20"/>
                <w:szCs w:val="20"/>
              </w:rPr>
              <w:t>Request for the r</w:t>
            </w:r>
            <w:r w:rsidRPr="007E0616">
              <w:rPr>
                <w:rFonts w:cs="Arial"/>
                <w:sz w:val="20"/>
                <w:szCs w:val="20"/>
              </w:rPr>
              <w:t>isk assessment framework, risk appetite, not just selective elements like the risk matrix</w:t>
            </w:r>
          </w:p>
        </w:tc>
        <w:tc>
          <w:tcPr>
            <w:tcW w:w="3802" w:type="dxa"/>
            <w:tcBorders>
              <w:top w:val="single" w:sz="4" w:space="0" w:color="auto"/>
              <w:bottom w:val="single" w:sz="4" w:space="0" w:color="auto"/>
            </w:tcBorders>
            <w:shd w:val="clear" w:color="auto" w:fill="auto"/>
          </w:tcPr>
          <w:p w14:paraId="5CD3DF55" w14:textId="77777777" w:rsidR="00A70030" w:rsidRDefault="00A70030" w:rsidP="00073385">
            <w:pPr>
              <w:spacing w:before="60" w:after="60" w:line="240" w:lineRule="auto"/>
              <w:ind w:left="0"/>
              <w:rPr>
                <w:rFonts w:cs="Arial"/>
                <w:sz w:val="20"/>
                <w:szCs w:val="20"/>
              </w:rPr>
            </w:pPr>
            <w:r>
              <w:rPr>
                <w:rFonts w:cs="Arial"/>
                <w:sz w:val="20"/>
                <w:szCs w:val="20"/>
              </w:rPr>
              <w:lastRenderedPageBreak/>
              <w:t>CarbonNet provided the following responses to issues and concerns raised:</w:t>
            </w:r>
          </w:p>
          <w:p w14:paraId="472BAEEC" w14:textId="77777777" w:rsidR="00A70030" w:rsidRDefault="00A70030" w:rsidP="00073385">
            <w:pPr>
              <w:pStyle w:val="ListParagraph0"/>
              <w:numPr>
                <w:ilvl w:val="0"/>
                <w:numId w:val="497"/>
              </w:numPr>
              <w:spacing w:before="60" w:after="60" w:line="240" w:lineRule="auto"/>
              <w:rPr>
                <w:rFonts w:cs="Arial"/>
                <w:sz w:val="20"/>
                <w:szCs w:val="20"/>
              </w:rPr>
            </w:pPr>
            <w:r w:rsidRPr="00F336C9">
              <w:rPr>
                <w:rFonts w:cs="Arial"/>
                <w:sz w:val="20"/>
                <w:szCs w:val="20"/>
              </w:rPr>
              <w:t>Refer extract from draft EP impact and risk chapter, specifically impacts to rock</w:t>
            </w:r>
            <w:r>
              <w:rPr>
                <w:rFonts w:cs="Arial"/>
                <w:sz w:val="20"/>
                <w:szCs w:val="20"/>
              </w:rPr>
              <w:t xml:space="preserve"> </w:t>
            </w:r>
            <w:r w:rsidRPr="00F336C9">
              <w:rPr>
                <w:rFonts w:cs="Arial"/>
                <w:sz w:val="20"/>
                <w:szCs w:val="20"/>
              </w:rPr>
              <w:t>lobster and risks to rock lobster fishery</w:t>
            </w:r>
          </w:p>
          <w:p w14:paraId="71E274EA" w14:textId="77777777" w:rsidR="00A70030" w:rsidRDefault="00A70030" w:rsidP="00073385">
            <w:pPr>
              <w:pStyle w:val="ListParagraph0"/>
              <w:numPr>
                <w:ilvl w:val="0"/>
                <w:numId w:val="497"/>
              </w:numPr>
              <w:spacing w:before="60" w:after="60" w:line="240" w:lineRule="auto"/>
              <w:rPr>
                <w:rFonts w:cs="Arial"/>
                <w:sz w:val="20"/>
                <w:szCs w:val="20"/>
              </w:rPr>
            </w:pPr>
            <w:r w:rsidRPr="00F336C9">
              <w:rPr>
                <w:rFonts w:cs="Arial"/>
                <w:sz w:val="20"/>
                <w:szCs w:val="20"/>
              </w:rPr>
              <w:t>Refer extract from draft EP impact and risk chapter, specifically impacts to</w:t>
            </w:r>
            <w:r>
              <w:rPr>
                <w:rFonts w:cs="Arial"/>
                <w:sz w:val="20"/>
                <w:szCs w:val="20"/>
              </w:rPr>
              <w:t xml:space="preserve"> </w:t>
            </w:r>
            <w:r w:rsidRPr="00F336C9">
              <w:rPr>
                <w:rFonts w:cs="Arial"/>
                <w:sz w:val="20"/>
                <w:szCs w:val="20"/>
              </w:rPr>
              <w:t xml:space="preserve">plankton and risks to </w:t>
            </w:r>
            <w:r w:rsidRPr="00F336C9">
              <w:rPr>
                <w:rFonts w:cs="Arial"/>
                <w:sz w:val="20"/>
                <w:szCs w:val="20"/>
              </w:rPr>
              <w:lastRenderedPageBreak/>
              <w:t>fisheries</w:t>
            </w:r>
          </w:p>
          <w:p w14:paraId="17AC2567" w14:textId="77777777" w:rsidR="00A70030" w:rsidRDefault="00A70030" w:rsidP="00073385">
            <w:pPr>
              <w:pStyle w:val="ListParagraph0"/>
              <w:numPr>
                <w:ilvl w:val="0"/>
                <w:numId w:val="497"/>
              </w:numPr>
              <w:spacing w:before="60" w:after="60" w:line="240" w:lineRule="auto"/>
              <w:rPr>
                <w:rFonts w:cs="Arial"/>
                <w:sz w:val="20"/>
                <w:szCs w:val="20"/>
              </w:rPr>
            </w:pPr>
            <w:r w:rsidRPr="00F336C9">
              <w:rPr>
                <w:rFonts w:cs="Arial"/>
                <w:sz w:val="20"/>
                <w:szCs w:val="20"/>
              </w:rPr>
              <w:t>CarbonNet responded on 23/6/17 detailing DEDJTR’s risk management</w:t>
            </w:r>
            <w:r>
              <w:rPr>
                <w:rFonts w:cs="Arial"/>
                <w:sz w:val="20"/>
                <w:szCs w:val="20"/>
              </w:rPr>
              <w:t xml:space="preserve"> </w:t>
            </w:r>
            <w:r w:rsidRPr="00F336C9">
              <w:rPr>
                <w:rFonts w:cs="Arial"/>
                <w:sz w:val="20"/>
                <w:szCs w:val="20"/>
              </w:rPr>
              <w:t xml:space="preserve">framework and preparation of the </w:t>
            </w:r>
            <w:r>
              <w:rPr>
                <w:rFonts w:cs="Arial"/>
                <w:sz w:val="20"/>
                <w:szCs w:val="20"/>
              </w:rPr>
              <w:t xml:space="preserve">EP </w:t>
            </w:r>
            <w:r w:rsidRPr="00F336C9">
              <w:rPr>
                <w:rFonts w:cs="Arial"/>
                <w:sz w:val="20"/>
                <w:szCs w:val="20"/>
              </w:rPr>
              <w:t>consistent with regulatory</w:t>
            </w:r>
            <w:r>
              <w:rPr>
                <w:rFonts w:cs="Arial"/>
                <w:sz w:val="20"/>
                <w:szCs w:val="20"/>
              </w:rPr>
              <w:t xml:space="preserve"> </w:t>
            </w:r>
            <w:r w:rsidRPr="00F336C9">
              <w:rPr>
                <w:rFonts w:cs="Arial"/>
                <w:sz w:val="20"/>
                <w:szCs w:val="20"/>
              </w:rPr>
              <w:t>requirements. Extracts from the draft risk assessment have been provided.</w:t>
            </w:r>
          </w:p>
          <w:p w14:paraId="4223A594" w14:textId="77777777" w:rsidR="00A70030" w:rsidRDefault="00A70030" w:rsidP="00073385">
            <w:pPr>
              <w:pStyle w:val="ListParagraph0"/>
              <w:numPr>
                <w:ilvl w:val="0"/>
                <w:numId w:val="497"/>
              </w:numPr>
              <w:spacing w:before="60" w:after="60" w:line="240" w:lineRule="auto"/>
              <w:rPr>
                <w:rFonts w:cs="Arial"/>
                <w:sz w:val="20"/>
                <w:szCs w:val="20"/>
              </w:rPr>
            </w:pPr>
            <w:r>
              <w:rPr>
                <w:rFonts w:cs="Arial"/>
                <w:sz w:val="20"/>
                <w:szCs w:val="20"/>
              </w:rPr>
              <w:t>CarbonNet has received catch data consistent with VFA policies including confidentiality, therefore CarbonNet is not in a position to provide this information to VRLA. CarbonNet also engaged Fishwell Consulting via SETFIA to provide an analysis of all available fishery catch data relevant to the MSS area.</w:t>
            </w:r>
          </w:p>
          <w:p w14:paraId="6C93EB57" w14:textId="77777777" w:rsidR="00A70030" w:rsidRDefault="00A70030" w:rsidP="00073385">
            <w:pPr>
              <w:pStyle w:val="ListParagraph0"/>
              <w:numPr>
                <w:ilvl w:val="0"/>
                <w:numId w:val="497"/>
              </w:numPr>
              <w:spacing w:before="60" w:after="60" w:line="240" w:lineRule="auto"/>
              <w:rPr>
                <w:rFonts w:cs="Arial"/>
                <w:sz w:val="20"/>
                <w:szCs w:val="20"/>
              </w:rPr>
            </w:pPr>
            <w:r w:rsidRPr="00F336C9">
              <w:rPr>
                <w:rFonts w:cs="Arial"/>
                <w:sz w:val="20"/>
                <w:szCs w:val="20"/>
              </w:rPr>
              <w:t>CarbonNet has utilised all available information including the most recent Vic</w:t>
            </w:r>
            <w:r>
              <w:rPr>
                <w:rFonts w:cs="Arial"/>
                <w:sz w:val="20"/>
                <w:szCs w:val="20"/>
              </w:rPr>
              <w:t xml:space="preserve"> </w:t>
            </w:r>
            <w:r w:rsidRPr="00F336C9">
              <w:rPr>
                <w:rFonts w:cs="Arial"/>
                <w:sz w:val="20"/>
                <w:szCs w:val="20"/>
              </w:rPr>
              <w:t>Gov LiDar. CarbonNet has engaged qualified marine biologists to undertake a</w:t>
            </w:r>
            <w:r>
              <w:rPr>
                <w:rFonts w:cs="Arial"/>
                <w:sz w:val="20"/>
                <w:szCs w:val="20"/>
              </w:rPr>
              <w:t xml:space="preserve"> </w:t>
            </w:r>
            <w:r w:rsidRPr="00F336C9">
              <w:rPr>
                <w:rFonts w:cs="Arial"/>
                <w:sz w:val="20"/>
                <w:szCs w:val="20"/>
              </w:rPr>
              <w:t>comprehensive habitat assessment, the outcomes of which have been provided</w:t>
            </w:r>
            <w:r>
              <w:rPr>
                <w:rFonts w:cs="Arial"/>
                <w:sz w:val="20"/>
                <w:szCs w:val="20"/>
              </w:rPr>
              <w:t xml:space="preserve"> to VRLA.</w:t>
            </w:r>
          </w:p>
          <w:p w14:paraId="01B85AE0" w14:textId="77777777" w:rsidR="00A70030" w:rsidRDefault="00A70030" w:rsidP="00073385">
            <w:pPr>
              <w:pStyle w:val="ListParagraph0"/>
              <w:numPr>
                <w:ilvl w:val="0"/>
                <w:numId w:val="497"/>
              </w:numPr>
              <w:spacing w:before="60" w:after="60" w:line="240" w:lineRule="auto"/>
              <w:rPr>
                <w:rFonts w:cs="Arial"/>
                <w:sz w:val="20"/>
                <w:szCs w:val="20"/>
              </w:rPr>
            </w:pPr>
            <w:r w:rsidRPr="00F336C9">
              <w:rPr>
                <w:rFonts w:cs="Arial"/>
                <w:sz w:val="20"/>
                <w:szCs w:val="20"/>
              </w:rPr>
              <w:t>Refer extract from draft EP impact and risk chapter, specifically impacts to</w:t>
            </w:r>
            <w:r>
              <w:rPr>
                <w:rFonts w:cs="Arial"/>
                <w:sz w:val="20"/>
                <w:szCs w:val="20"/>
              </w:rPr>
              <w:t xml:space="preserve"> </w:t>
            </w:r>
            <w:r w:rsidRPr="00F336C9">
              <w:rPr>
                <w:rFonts w:cs="Arial"/>
                <w:sz w:val="20"/>
                <w:szCs w:val="20"/>
              </w:rPr>
              <w:t>plankton and risks to fisheries</w:t>
            </w:r>
            <w:r>
              <w:rPr>
                <w:rFonts w:cs="Arial"/>
                <w:sz w:val="20"/>
                <w:szCs w:val="20"/>
              </w:rPr>
              <w:t>.</w:t>
            </w:r>
          </w:p>
          <w:p w14:paraId="1882F701" w14:textId="77777777" w:rsidR="00A70030" w:rsidRDefault="00A70030" w:rsidP="00073385">
            <w:pPr>
              <w:pStyle w:val="ListParagraph0"/>
              <w:numPr>
                <w:ilvl w:val="0"/>
                <w:numId w:val="497"/>
              </w:numPr>
              <w:spacing w:before="60" w:after="60" w:line="240" w:lineRule="auto"/>
              <w:rPr>
                <w:rFonts w:cs="Arial"/>
                <w:sz w:val="20"/>
                <w:szCs w:val="20"/>
              </w:rPr>
            </w:pPr>
            <w:r w:rsidRPr="00F336C9">
              <w:rPr>
                <w:rFonts w:cs="Arial"/>
                <w:sz w:val="20"/>
                <w:szCs w:val="20"/>
              </w:rPr>
              <w:t>CarbonNet has not been provided any information indicating the presence of scallops inside our proposed survey area. We are working with SIV and VFA to verify some new information, the coordinates for which is</w:t>
            </w:r>
            <w:r>
              <w:rPr>
                <w:rFonts w:cs="Arial"/>
                <w:sz w:val="20"/>
                <w:szCs w:val="20"/>
              </w:rPr>
              <w:t xml:space="preserve"> </w:t>
            </w:r>
            <w:r w:rsidRPr="00F336C9">
              <w:rPr>
                <w:rFonts w:cs="Arial"/>
                <w:sz w:val="20"/>
                <w:szCs w:val="20"/>
              </w:rPr>
              <w:t xml:space="preserve">outside our survey area. The draft risk </w:t>
            </w:r>
            <w:r w:rsidRPr="00F336C9">
              <w:rPr>
                <w:rFonts w:cs="Arial"/>
                <w:sz w:val="20"/>
                <w:szCs w:val="20"/>
              </w:rPr>
              <w:lastRenderedPageBreak/>
              <w:t>assessment for impacts and risks to</w:t>
            </w:r>
            <w:r>
              <w:rPr>
                <w:rFonts w:cs="Arial"/>
                <w:sz w:val="20"/>
                <w:szCs w:val="20"/>
              </w:rPr>
              <w:t xml:space="preserve"> </w:t>
            </w:r>
            <w:r w:rsidRPr="00F336C9">
              <w:rPr>
                <w:rFonts w:cs="Arial"/>
                <w:sz w:val="20"/>
                <w:szCs w:val="20"/>
              </w:rPr>
              <w:t>scallops have been provided to the relevant stakeholders.</w:t>
            </w:r>
          </w:p>
          <w:p w14:paraId="734A9A9C" w14:textId="77777777" w:rsidR="00A70030" w:rsidRDefault="00A70030" w:rsidP="00073385">
            <w:pPr>
              <w:pStyle w:val="ListParagraph0"/>
              <w:numPr>
                <w:ilvl w:val="0"/>
                <w:numId w:val="497"/>
              </w:numPr>
              <w:spacing w:before="60" w:after="60" w:line="240" w:lineRule="auto"/>
              <w:rPr>
                <w:rFonts w:cs="Arial"/>
                <w:sz w:val="20"/>
                <w:szCs w:val="20"/>
              </w:rPr>
            </w:pPr>
            <w:r w:rsidRPr="00F336C9">
              <w:rPr>
                <w:rFonts w:cs="Arial"/>
                <w:sz w:val="20"/>
                <w:szCs w:val="20"/>
              </w:rPr>
              <w:t>Yes it does, refer to extracts from draft EP impact and risk assessment provided</w:t>
            </w:r>
          </w:p>
          <w:p w14:paraId="101A3AD3" w14:textId="77777777" w:rsidR="00A70030" w:rsidRDefault="00A70030" w:rsidP="00073385">
            <w:pPr>
              <w:pStyle w:val="ListParagraph0"/>
              <w:numPr>
                <w:ilvl w:val="0"/>
                <w:numId w:val="497"/>
              </w:numPr>
              <w:spacing w:before="60" w:after="60" w:line="240" w:lineRule="auto"/>
              <w:rPr>
                <w:rFonts w:cs="Arial"/>
                <w:sz w:val="20"/>
                <w:szCs w:val="20"/>
              </w:rPr>
            </w:pPr>
            <w:r w:rsidRPr="00F336C9">
              <w:rPr>
                <w:rFonts w:cs="Arial"/>
                <w:sz w:val="20"/>
                <w:szCs w:val="20"/>
              </w:rPr>
              <w:t>CarbonNet and its environmental scientists have prepared a draft EP impact and</w:t>
            </w:r>
            <w:r>
              <w:rPr>
                <w:rFonts w:cs="Arial"/>
                <w:sz w:val="20"/>
                <w:szCs w:val="20"/>
              </w:rPr>
              <w:t xml:space="preserve"> </w:t>
            </w:r>
            <w:r w:rsidRPr="00F336C9">
              <w:rPr>
                <w:rFonts w:cs="Arial"/>
                <w:sz w:val="20"/>
                <w:szCs w:val="20"/>
              </w:rPr>
              <w:t>risk assessment based on all available science, refer extracts from draft EP</w:t>
            </w:r>
            <w:r>
              <w:rPr>
                <w:rFonts w:cs="Arial"/>
                <w:sz w:val="20"/>
                <w:szCs w:val="20"/>
              </w:rPr>
              <w:t xml:space="preserve"> </w:t>
            </w:r>
            <w:r w:rsidRPr="00F336C9">
              <w:rPr>
                <w:rFonts w:cs="Arial"/>
                <w:sz w:val="20"/>
                <w:szCs w:val="20"/>
              </w:rPr>
              <w:t>impact and risk assessment provided</w:t>
            </w:r>
          </w:p>
          <w:p w14:paraId="594F768F" w14:textId="77777777" w:rsidR="00A70030" w:rsidRDefault="00A70030" w:rsidP="00073385">
            <w:pPr>
              <w:pStyle w:val="ListParagraph0"/>
              <w:numPr>
                <w:ilvl w:val="0"/>
                <w:numId w:val="497"/>
              </w:numPr>
              <w:spacing w:before="60" w:after="60" w:line="240" w:lineRule="auto"/>
              <w:rPr>
                <w:rFonts w:cs="Arial"/>
                <w:sz w:val="20"/>
                <w:szCs w:val="20"/>
              </w:rPr>
            </w:pPr>
            <w:r>
              <w:rPr>
                <w:rFonts w:cs="Arial"/>
                <w:sz w:val="20"/>
                <w:szCs w:val="20"/>
              </w:rPr>
              <w:t>CarbonNet</w:t>
            </w:r>
            <w:r w:rsidRPr="003A1AB6">
              <w:rPr>
                <w:rFonts w:cs="Arial"/>
                <w:sz w:val="20"/>
                <w:szCs w:val="20"/>
              </w:rPr>
              <w:t xml:space="preserve"> committed to investigating this matter and will provide information in due course</w:t>
            </w:r>
            <w:r>
              <w:rPr>
                <w:rFonts w:cs="Arial"/>
                <w:sz w:val="20"/>
                <w:szCs w:val="20"/>
              </w:rPr>
              <w:t>.</w:t>
            </w:r>
          </w:p>
          <w:p w14:paraId="588437D8" w14:textId="77777777" w:rsidR="00A70030" w:rsidRPr="00C83C0E" w:rsidDel="00E95878" w:rsidRDefault="00A70030" w:rsidP="00073385">
            <w:pPr>
              <w:pStyle w:val="ListParagraph0"/>
              <w:numPr>
                <w:ilvl w:val="0"/>
                <w:numId w:val="497"/>
              </w:numPr>
              <w:spacing w:before="60" w:after="60" w:line="240" w:lineRule="auto"/>
              <w:rPr>
                <w:rFonts w:cs="Arial"/>
                <w:sz w:val="20"/>
                <w:szCs w:val="20"/>
              </w:rPr>
            </w:pPr>
            <w:r w:rsidRPr="00F336C9">
              <w:rPr>
                <w:rFonts w:cs="Arial"/>
                <w:sz w:val="20"/>
                <w:szCs w:val="20"/>
              </w:rPr>
              <w:t xml:space="preserve">CarbonNet responded on 23/6/17 detailing DEDJTR’s risk management framework and preparation of the </w:t>
            </w:r>
            <w:r>
              <w:rPr>
                <w:rFonts w:cs="Arial"/>
                <w:sz w:val="20"/>
                <w:szCs w:val="20"/>
              </w:rPr>
              <w:t>EP</w:t>
            </w:r>
            <w:r w:rsidRPr="00F336C9">
              <w:rPr>
                <w:rFonts w:cs="Arial"/>
                <w:sz w:val="20"/>
                <w:szCs w:val="20"/>
              </w:rPr>
              <w:t xml:space="preserve"> consistent with regulatory</w:t>
            </w:r>
            <w:r>
              <w:rPr>
                <w:rFonts w:cs="Arial"/>
                <w:sz w:val="20"/>
                <w:szCs w:val="20"/>
              </w:rPr>
              <w:t xml:space="preserve"> </w:t>
            </w:r>
            <w:r w:rsidRPr="00F336C9">
              <w:rPr>
                <w:rFonts w:cs="Arial"/>
                <w:sz w:val="20"/>
                <w:szCs w:val="20"/>
              </w:rPr>
              <w:t>requirements. Extracts from the draft risk assessment have been provided,</w:t>
            </w:r>
            <w:r>
              <w:rPr>
                <w:rFonts w:cs="Arial"/>
                <w:sz w:val="20"/>
                <w:szCs w:val="20"/>
              </w:rPr>
              <w:t xml:space="preserve"> </w:t>
            </w:r>
            <w:r w:rsidRPr="00F336C9">
              <w:rPr>
                <w:rFonts w:cs="Arial"/>
                <w:sz w:val="20"/>
                <w:szCs w:val="20"/>
              </w:rPr>
              <w:t>including demonstration of ALARP</w:t>
            </w:r>
          </w:p>
        </w:tc>
      </w:tr>
      <w:tr w:rsidR="00A70030" w:rsidRPr="00FF0808" w14:paraId="102E36E3" w14:textId="77777777" w:rsidTr="00891DE1">
        <w:trPr>
          <w:trHeight w:val="974"/>
        </w:trPr>
        <w:tc>
          <w:tcPr>
            <w:tcW w:w="1427" w:type="dxa"/>
            <w:tcBorders>
              <w:top w:val="nil"/>
              <w:bottom w:val="nil"/>
            </w:tcBorders>
            <w:shd w:val="clear" w:color="auto" w:fill="auto"/>
          </w:tcPr>
          <w:p w14:paraId="597C0A20"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69D496A"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5B162E8A" w14:textId="77777777" w:rsidR="00A70030" w:rsidRDefault="00A70030" w:rsidP="00073385">
            <w:pPr>
              <w:spacing w:before="60" w:after="60" w:line="240" w:lineRule="auto"/>
              <w:ind w:left="0"/>
              <w:rPr>
                <w:rFonts w:cs="Arial"/>
                <w:sz w:val="20"/>
                <w:szCs w:val="20"/>
              </w:rPr>
            </w:pPr>
            <w:r>
              <w:rPr>
                <w:rFonts w:cs="Arial"/>
                <w:sz w:val="20"/>
                <w:szCs w:val="20"/>
              </w:rPr>
              <w:t>4/8/17</w:t>
            </w:r>
          </w:p>
        </w:tc>
        <w:tc>
          <w:tcPr>
            <w:tcW w:w="6335" w:type="dxa"/>
            <w:tcBorders>
              <w:top w:val="single" w:sz="4" w:space="0" w:color="auto"/>
              <w:bottom w:val="single" w:sz="4" w:space="0" w:color="auto"/>
            </w:tcBorders>
            <w:shd w:val="clear" w:color="auto" w:fill="auto"/>
          </w:tcPr>
          <w:p w14:paraId="7D044576" w14:textId="77777777" w:rsidR="00A70030" w:rsidRDefault="00A70030" w:rsidP="00073385">
            <w:pPr>
              <w:spacing w:before="60" w:after="60" w:line="240" w:lineRule="auto"/>
              <w:ind w:left="0"/>
              <w:rPr>
                <w:rFonts w:cs="Arial"/>
                <w:sz w:val="20"/>
                <w:szCs w:val="20"/>
              </w:rPr>
            </w:pPr>
            <w:r w:rsidRPr="001D00DE">
              <w:rPr>
                <w:rFonts w:cs="Arial"/>
                <w:sz w:val="20"/>
                <w:szCs w:val="20"/>
              </w:rPr>
              <w:t xml:space="preserve">VRLA emailed CarbonNet to </w:t>
            </w:r>
            <w:r>
              <w:rPr>
                <w:rFonts w:cs="Arial"/>
                <w:sz w:val="20"/>
                <w:szCs w:val="20"/>
              </w:rPr>
              <w:t>ask when is the</w:t>
            </w:r>
            <w:r w:rsidRPr="001D00DE">
              <w:rPr>
                <w:rFonts w:cs="Arial"/>
                <w:sz w:val="20"/>
                <w:szCs w:val="20"/>
              </w:rPr>
              <w:t xml:space="preserve"> deadline for stakeholder input to EP.</w:t>
            </w:r>
          </w:p>
          <w:p w14:paraId="27E9BE33" w14:textId="77777777" w:rsidR="00A70030" w:rsidRPr="001D00DE" w:rsidRDefault="00A70030" w:rsidP="00073385">
            <w:pPr>
              <w:spacing w:before="60" w:after="60" w:line="240" w:lineRule="auto"/>
              <w:ind w:left="0"/>
              <w:rPr>
                <w:rFonts w:cs="Arial"/>
                <w:sz w:val="20"/>
                <w:szCs w:val="20"/>
              </w:rPr>
            </w:pPr>
          </w:p>
          <w:p w14:paraId="4D326772" w14:textId="77777777" w:rsidR="00A70030" w:rsidRDefault="00A70030" w:rsidP="00073385">
            <w:pPr>
              <w:spacing w:before="60" w:after="60" w:line="240" w:lineRule="auto"/>
              <w:ind w:left="0"/>
              <w:rPr>
                <w:rFonts w:cs="Arial"/>
                <w:sz w:val="20"/>
                <w:szCs w:val="20"/>
              </w:rPr>
            </w:pPr>
            <w:r w:rsidRPr="001D00DE">
              <w:rPr>
                <w:rFonts w:cs="Arial"/>
                <w:sz w:val="20"/>
                <w:szCs w:val="20"/>
              </w:rPr>
              <w:t>Also requested a map showing the acquisition area, 'activation zone' (where seismic guns still running eg line turns) and 'affected area' where sound exposure reaches.</w:t>
            </w:r>
          </w:p>
        </w:tc>
        <w:tc>
          <w:tcPr>
            <w:tcW w:w="3802" w:type="dxa"/>
            <w:tcBorders>
              <w:top w:val="single" w:sz="4" w:space="0" w:color="auto"/>
              <w:bottom w:val="single" w:sz="4" w:space="0" w:color="auto"/>
            </w:tcBorders>
            <w:shd w:val="clear" w:color="auto" w:fill="auto"/>
          </w:tcPr>
          <w:p w14:paraId="21B74DBE" w14:textId="2E053B75" w:rsidR="00A70030" w:rsidDel="00E95878" w:rsidRDefault="00A70030" w:rsidP="00073385">
            <w:pPr>
              <w:spacing w:before="60" w:after="60" w:line="240" w:lineRule="auto"/>
              <w:ind w:left="0"/>
              <w:rPr>
                <w:rFonts w:cs="Arial"/>
                <w:sz w:val="20"/>
                <w:szCs w:val="20"/>
              </w:rPr>
            </w:pPr>
            <w:r>
              <w:rPr>
                <w:rFonts w:cs="Arial"/>
                <w:sz w:val="20"/>
                <w:szCs w:val="20"/>
              </w:rPr>
              <w:t>See response dated 11/8.</w:t>
            </w:r>
          </w:p>
        </w:tc>
      </w:tr>
      <w:tr w:rsidR="00A70030" w:rsidRPr="00FF0808" w14:paraId="369BF279" w14:textId="77777777" w:rsidTr="00891DE1">
        <w:trPr>
          <w:trHeight w:val="974"/>
        </w:trPr>
        <w:tc>
          <w:tcPr>
            <w:tcW w:w="1427" w:type="dxa"/>
            <w:tcBorders>
              <w:top w:val="nil"/>
              <w:bottom w:val="nil"/>
            </w:tcBorders>
            <w:shd w:val="clear" w:color="auto" w:fill="auto"/>
          </w:tcPr>
          <w:p w14:paraId="57FC532B"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60F7503"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1A08A625" w14:textId="77777777" w:rsidR="00A70030" w:rsidRDefault="00A70030" w:rsidP="00073385">
            <w:pPr>
              <w:spacing w:before="60" w:after="60" w:line="240" w:lineRule="auto"/>
              <w:ind w:left="0"/>
              <w:rPr>
                <w:rFonts w:cs="Arial"/>
                <w:sz w:val="20"/>
                <w:szCs w:val="20"/>
              </w:rPr>
            </w:pPr>
            <w:r>
              <w:rPr>
                <w:rFonts w:cs="Arial"/>
                <w:sz w:val="20"/>
                <w:szCs w:val="20"/>
              </w:rPr>
              <w:t>7/8/17</w:t>
            </w:r>
          </w:p>
        </w:tc>
        <w:tc>
          <w:tcPr>
            <w:tcW w:w="6335" w:type="dxa"/>
            <w:tcBorders>
              <w:top w:val="single" w:sz="4" w:space="0" w:color="auto"/>
              <w:bottom w:val="single" w:sz="4" w:space="0" w:color="auto"/>
            </w:tcBorders>
            <w:shd w:val="clear" w:color="auto" w:fill="auto"/>
          </w:tcPr>
          <w:p w14:paraId="58DA99CE" w14:textId="77777777" w:rsidR="00A70030" w:rsidRDefault="00A70030" w:rsidP="00073385">
            <w:pPr>
              <w:spacing w:before="60" w:after="60" w:line="240" w:lineRule="auto"/>
              <w:ind w:left="0"/>
              <w:rPr>
                <w:rFonts w:cs="Arial"/>
                <w:sz w:val="20"/>
                <w:szCs w:val="20"/>
              </w:rPr>
            </w:pPr>
            <w:r>
              <w:rPr>
                <w:rFonts w:cs="Arial"/>
                <w:sz w:val="20"/>
                <w:szCs w:val="20"/>
              </w:rPr>
              <w:t xml:space="preserve">CarbonNet emailed VRLA </w:t>
            </w:r>
            <w:r w:rsidRPr="001D00DE">
              <w:rPr>
                <w:rFonts w:cs="Arial"/>
                <w:sz w:val="20"/>
                <w:szCs w:val="20"/>
              </w:rPr>
              <w:t xml:space="preserve">advising that </w:t>
            </w:r>
            <w:r>
              <w:rPr>
                <w:rFonts w:cs="Arial"/>
                <w:sz w:val="20"/>
                <w:szCs w:val="20"/>
              </w:rPr>
              <w:t xml:space="preserve">the operational </w:t>
            </w:r>
            <w:r w:rsidRPr="001D00DE">
              <w:rPr>
                <w:rFonts w:cs="Arial"/>
                <w:sz w:val="20"/>
                <w:szCs w:val="20"/>
              </w:rPr>
              <w:t xml:space="preserve">area and duration of survey have now been refined, and </w:t>
            </w:r>
            <w:r>
              <w:rPr>
                <w:rFonts w:cs="Arial"/>
                <w:sz w:val="20"/>
                <w:szCs w:val="20"/>
              </w:rPr>
              <w:t xml:space="preserve">that the </w:t>
            </w:r>
            <w:r w:rsidRPr="001D00DE">
              <w:rPr>
                <w:rFonts w:cs="Arial"/>
                <w:sz w:val="20"/>
                <w:szCs w:val="20"/>
              </w:rPr>
              <w:t xml:space="preserve">EP </w:t>
            </w:r>
            <w:r>
              <w:rPr>
                <w:rFonts w:cs="Arial"/>
                <w:sz w:val="20"/>
                <w:szCs w:val="20"/>
              </w:rPr>
              <w:t xml:space="preserve">will be submitted </w:t>
            </w:r>
            <w:r w:rsidRPr="001D00DE">
              <w:rPr>
                <w:rFonts w:cs="Arial"/>
                <w:sz w:val="20"/>
                <w:szCs w:val="20"/>
              </w:rPr>
              <w:t>in mid-August.</w:t>
            </w:r>
          </w:p>
          <w:p w14:paraId="451AD594" w14:textId="77777777" w:rsidR="00A70030" w:rsidRPr="001D00DE" w:rsidRDefault="00A70030" w:rsidP="00073385">
            <w:pPr>
              <w:spacing w:before="60" w:after="60" w:line="240" w:lineRule="auto"/>
              <w:ind w:left="0"/>
              <w:rPr>
                <w:rFonts w:cs="Arial"/>
                <w:sz w:val="20"/>
                <w:szCs w:val="20"/>
              </w:rPr>
            </w:pPr>
            <w:r>
              <w:rPr>
                <w:rFonts w:cs="Arial"/>
                <w:sz w:val="20"/>
                <w:szCs w:val="20"/>
              </w:rPr>
              <w:t>The email explained that the operational</w:t>
            </w:r>
            <w:r w:rsidRPr="001D00DE">
              <w:rPr>
                <w:rFonts w:cs="Arial"/>
                <w:sz w:val="20"/>
                <w:szCs w:val="20"/>
              </w:rPr>
              <w:t xml:space="preserve"> area is now larger due to vessel turns</w:t>
            </w:r>
            <w:r>
              <w:rPr>
                <w:rFonts w:cs="Arial"/>
                <w:sz w:val="20"/>
                <w:szCs w:val="20"/>
              </w:rPr>
              <w:t xml:space="preserve">, and </w:t>
            </w:r>
            <w:r w:rsidRPr="001D00DE">
              <w:rPr>
                <w:rFonts w:cs="Arial"/>
                <w:sz w:val="20"/>
                <w:szCs w:val="20"/>
              </w:rPr>
              <w:t>provided map</w:t>
            </w:r>
            <w:r>
              <w:rPr>
                <w:rFonts w:cs="Arial"/>
                <w:sz w:val="20"/>
                <w:szCs w:val="20"/>
              </w:rPr>
              <w:t xml:space="preserve"> with amended operational area, and acquisition area (which is unchanged).</w:t>
            </w:r>
          </w:p>
          <w:p w14:paraId="31807711" w14:textId="77777777" w:rsidR="00A70030" w:rsidRDefault="00A70030" w:rsidP="00073385">
            <w:pPr>
              <w:spacing w:before="60" w:after="60" w:line="240" w:lineRule="auto"/>
              <w:ind w:left="0"/>
              <w:rPr>
                <w:rFonts w:cs="Arial"/>
                <w:sz w:val="20"/>
                <w:szCs w:val="20"/>
              </w:rPr>
            </w:pPr>
            <w:r>
              <w:rPr>
                <w:rFonts w:cs="Arial"/>
                <w:sz w:val="20"/>
                <w:szCs w:val="20"/>
              </w:rPr>
              <w:lastRenderedPageBreak/>
              <w:t>The su</w:t>
            </w:r>
            <w:r w:rsidRPr="001D00DE">
              <w:rPr>
                <w:rFonts w:cs="Arial"/>
                <w:sz w:val="20"/>
                <w:szCs w:val="20"/>
              </w:rPr>
              <w:t>rvey duration is likely to be 13-16 days but could be up to 27 days depending on final vessel selection.</w:t>
            </w:r>
          </w:p>
        </w:tc>
        <w:tc>
          <w:tcPr>
            <w:tcW w:w="3802" w:type="dxa"/>
            <w:tcBorders>
              <w:top w:val="single" w:sz="4" w:space="0" w:color="auto"/>
              <w:bottom w:val="single" w:sz="4" w:space="0" w:color="auto"/>
            </w:tcBorders>
            <w:shd w:val="clear" w:color="auto" w:fill="auto"/>
          </w:tcPr>
          <w:p w14:paraId="28649B06" w14:textId="77777777" w:rsidR="00A70030" w:rsidDel="00E95878" w:rsidRDefault="00A70030" w:rsidP="00073385">
            <w:pPr>
              <w:spacing w:before="60" w:after="60" w:line="240" w:lineRule="auto"/>
              <w:ind w:left="0"/>
              <w:rPr>
                <w:rFonts w:cs="Arial"/>
                <w:sz w:val="20"/>
                <w:szCs w:val="20"/>
              </w:rPr>
            </w:pPr>
          </w:p>
        </w:tc>
      </w:tr>
      <w:tr w:rsidR="00A70030" w:rsidRPr="00FF0808" w14:paraId="6B97B417" w14:textId="77777777" w:rsidTr="00891DE1">
        <w:trPr>
          <w:trHeight w:val="974"/>
        </w:trPr>
        <w:tc>
          <w:tcPr>
            <w:tcW w:w="1427" w:type="dxa"/>
            <w:tcBorders>
              <w:top w:val="nil"/>
              <w:bottom w:val="nil"/>
            </w:tcBorders>
            <w:shd w:val="clear" w:color="auto" w:fill="auto"/>
          </w:tcPr>
          <w:p w14:paraId="17B1D5C4" w14:textId="77777777" w:rsidR="00A70030" w:rsidRPr="003E2F3C"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1C627076"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auto"/>
              <w:bottom w:val="single" w:sz="4" w:space="0" w:color="auto"/>
            </w:tcBorders>
          </w:tcPr>
          <w:p w14:paraId="07811173" w14:textId="77777777" w:rsidR="00A70030" w:rsidRDefault="00A70030" w:rsidP="00073385">
            <w:pPr>
              <w:spacing w:before="60" w:after="60" w:line="240" w:lineRule="auto"/>
              <w:ind w:left="0"/>
              <w:rPr>
                <w:rFonts w:cs="Arial"/>
                <w:sz w:val="20"/>
                <w:szCs w:val="20"/>
              </w:rPr>
            </w:pPr>
            <w:r>
              <w:rPr>
                <w:rFonts w:cs="Arial"/>
                <w:sz w:val="20"/>
                <w:szCs w:val="20"/>
              </w:rPr>
              <w:t>10/8/17</w:t>
            </w:r>
          </w:p>
        </w:tc>
        <w:tc>
          <w:tcPr>
            <w:tcW w:w="6335" w:type="dxa"/>
            <w:tcBorders>
              <w:top w:val="single" w:sz="4" w:space="0" w:color="auto"/>
              <w:bottom w:val="single" w:sz="4" w:space="0" w:color="auto"/>
            </w:tcBorders>
            <w:shd w:val="clear" w:color="auto" w:fill="auto"/>
          </w:tcPr>
          <w:p w14:paraId="7D870D30" w14:textId="77777777" w:rsidR="00A70030" w:rsidRDefault="00A70030" w:rsidP="00073385">
            <w:pPr>
              <w:spacing w:before="60" w:after="60" w:line="240" w:lineRule="auto"/>
              <w:ind w:left="0"/>
              <w:rPr>
                <w:rFonts w:cs="Arial"/>
                <w:sz w:val="20"/>
                <w:szCs w:val="20"/>
              </w:rPr>
            </w:pPr>
            <w:r w:rsidRPr="001D00DE">
              <w:rPr>
                <w:rFonts w:cs="Arial"/>
                <w:sz w:val="20"/>
                <w:szCs w:val="20"/>
              </w:rPr>
              <w:t>VRLA sent CarbonNet an email requested a map that defines the 'outermost sound affected area' of the MSS with the VFA fishing grids.</w:t>
            </w:r>
          </w:p>
          <w:p w14:paraId="4111F548" w14:textId="77777777" w:rsidR="00A70030" w:rsidRPr="001D00DE" w:rsidRDefault="00A70030" w:rsidP="00073385">
            <w:pPr>
              <w:spacing w:before="60" w:after="60" w:line="240" w:lineRule="auto"/>
              <w:ind w:left="0"/>
              <w:rPr>
                <w:rFonts w:cs="Arial"/>
                <w:sz w:val="20"/>
                <w:szCs w:val="20"/>
              </w:rPr>
            </w:pPr>
          </w:p>
          <w:p w14:paraId="68FB94F5" w14:textId="77777777" w:rsidR="00A70030" w:rsidRDefault="00A70030" w:rsidP="00073385">
            <w:pPr>
              <w:spacing w:before="60" w:after="60" w:line="240" w:lineRule="auto"/>
              <w:ind w:left="0"/>
              <w:rPr>
                <w:rFonts w:cs="Arial"/>
                <w:sz w:val="20"/>
                <w:szCs w:val="20"/>
              </w:rPr>
            </w:pPr>
            <w:r>
              <w:rPr>
                <w:rFonts w:cs="Arial"/>
                <w:sz w:val="20"/>
                <w:szCs w:val="20"/>
              </w:rPr>
              <w:t>VRLA a</w:t>
            </w:r>
            <w:r w:rsidRPr="001D00DE">
              <w:rPr>
                <w:rFonts w:cs="Arial"/>
                <w:sz w:val="20"/>
                <w:szCs w:val="20"/>
              </w:rPr>
              <w:t xml:space="preserve">lso requested </w:t>
            </w:r>
            <w:r>
              <w:rPr>
                <w:rFonts w:cs="Arial"/>
                <w:sz w:val="20"/>
                <w:szCs w:val="20"/>
              </w:rPr>
              <w:t xml:space="preserve">the </w:t>
            </w:r>
            <w:r w:rsidRPr="001D00DE">
              <w:rPr>
                <w:rFonts w:cs="Arial"/>
                <w:sz w:val="20"/>
                <w:szCs w:val="20"/>
              </w:rPr>
              <w:t>deadline for input to EP</w:t>
            </w:r>
            <w:r>
              <w:rPr>
                <w:rFonts w:cs="Arial"/>
                <w:sz w:val="20"/>
                <w:szCs w:val="20"/>
              </w:rPr>
              <w:t xml:space="preserve"> again</w:t>
            </w:r>
            <w:r w:rsidRPr="001D00DE">
              <w:rPr>
                <w:rFonts w:cs="Arial"/>
                <w:sz w:val="20"/>
                <w:szCs w:val="20"/>
              </w:rPr>
              <w:t>.</w:t>
            </w:r>
          </w:p>
        </w:tc>
        <w:tc>
          <w:tcPr>
            <w:tcW w:w="3802" w:type="dxa"/>
            <w:tcBorders>
              <w:top w:val="single" w:sz="4" w:space="0" w:color="auto"/>
              <w:bottom w:val="single" w:sz="4" w:space="0" w:color="auto"/>
            </w:tcBorders>
            <w:shd w:val="clear" w:color="auto" w:fill="auto"/>
          </w:tcPr>
          <w:p w14:paraId="168E77FD" w14:textId="77777777" w:rsidR="00A70030" w:rsidRDefault="00A70030" w:rsidP="00073385">
            <w:pPr>
              <w:spacing w:before="60" w:after="60" w:line="240" w:lineRule="auto"/>
              <w:ind w:left="0"/>
              <w:rPr>
                <w:rFonts w:cs="Arial"/>
                <w:sz w:val="20"/>
                <w:szCs w:val="20"/>
              </w:rPr>
            </w:pPr>
            <w:r w:rsidRPr="001D00DE">
              <w:rPr>
                <w:rFonts w:cs="Arial"/>
                <w:sz w:val="20"/>
                <w:szCs w:val="20"/>
              </w:rPr>
              <w:t xml:space="preserve">CarbonNet explained </w:t>
            </w:r>
            <w:r>
              <w:rPr>
                <w:rFonts w:cs="Arial"/>
                <w:sz w:val="20"/>
                <w:szCs w:val="20"/>
              </w:rPr>
              <w:t xml:space="preserve">via email on 11/8 </w:t>
            </w:r>
            <w:r w:rsidRPr="001D00DE">
              <w:rPr>
                <w:rFonts w:cs="Arial"/>
                <w:sz w:val="20"/>
                <w:szCs w:val="20"/>
              </w:rPr>
              <w:t xml:space="preserve">that as per the STLM results sent on 1/8 and the draft risk and impact assessment information for lobsters, </w:t>
            </w:r>
            <w:r>
              <w:rPr>
                <w:rFonts w:cs="Arial"/>
                <w:sz w:val="20"/>
                <w:szCs w:val="20"/>
              </w:rPr>
              <w:t>it has</w:t>
            </w:r>
            <w:r w:rsidRPr="001D00DE">
              <w:rPr>
                <w:rFonts w:cs="Arial"/>
                <w:sz w:val="20"/>
                <w:szCs w:val="20"/>
              </w:rPr>
              <w:t xml:space="preserve"> conservatively used the 202 peak-peak pressure level threshold modelling in Payne et al (2007) and found that this level is reached at between 540 and 1220 metres from the sound source, depending on the location specific characteristics (depth, seabed). It is not straightforward to map this information as the distances vary depending on where the sound source is within the survey area.</w:t>
            </w:r>
          </w:p>
          <w:p w14:paraId="729DD77C" w14:textId="77777777" w:rsidR="00A70030" w:rsidRPr="001D00DE" w:rsidRDefault="00A70030" w:rsidP="00073385">
            <w:pPr>
              <w:spacing w:before="60" w:after="60" w:line="240" w:lineRule="auto"/>
              <w:ind w:left="0"/>
              <w:rPr>
                <w:rFonts w:cs="Arial"/>
                <w:sz w:val="20"/>
                <w:szCs w:val="20"/>
              </w:rPr>
            </w:pPr>
          </w:p>
          <w:p w14:paraId="2C60A131" w14:textId="77777777" w:rsidR="00A70030" w:rsidRPr="001D00DE" w:rsidRDefault="00A70030" w:rsidP="00073385">
            <w:pPr>
              <w:spacing w:before="60" w:after="60" w:line="240" w:lineRule="auto"/>
              <w:ind w:left="0"/>
              <w:rPr>
                <w:rFonts w:cs="Arial"/>
                <w:sz w:val="20"/>
                <w:szCs w:val="20"/>
              </w:rPr>
            </w:pPr>
            <w:r w:rsidRPr="001D00DE">
              <w:rPr>
                <w:rFonts w:cs="Arial"/>
                <w:sz w:val="20"/>
                <w:szCs w:val="20"/>
              </w:rPr>
              <w:t xml:space="preserve">CarbonNet </w:t>
            </w:r>
            <w:r>
              <w:rPr>
                <w:rFonts w:cs="Arial"/>
                <w:sz w:val="20"/>
                <w:szCs w:val="20"/>
              </w:rPr>
              <w:t xml:space="preserve">sent </w:t>
            </w:r>
            <w:r w:rsidRPr="001D00DE">
              <w:rPr>
                <w:rFonts w:cs="Arial"/>
                <w:sz w:val="20"/>
                <w:szCs w:val="20"/>
              </w:rPr>
              <w:t xml:space="preserve">VRLA </w:t>
            </w:r>
            <w:r>
              <w:rPr>
                <w:rFonts w:cs="Arial"/>
                <w:sz w:val="20"/>
                <w:szCs w:val="20"/>
              </w:rPr>
              <w:t xml:space="preserve">a map showing the </w:t>
            </w:r>
            <w:r w:rsidRPr="001D00DE">
              <w:rPr>
                <w:rFonts w:cs="Arial"/>
                <w:sz w:val="20"/>
                <w:szCs w:val="20"/>
              </w:rPr>
              <w:t xml:space="preserve">expanded operational area with VFA fishing grid cells overlaid. CarbonNet said </w:t>
            </w:r>
            <w:r>
              <w:rPr>
                <w:rFonts w:cs="Arial"/>
                <w:sz w:val="20"/>
                <w:szCs w:val="20"/>
              </w:rPr>
              <w:t>it has</w:t>
            </w:r>
            <w:r w:rsidRPr="001D00DE">
              <w:rPr>
                <w:rFonts w:cs="Arial"/>
                <w:sz w:val="20"/>
                <w:szCs w:val="20"/>
              </w:rPr>
              <w:t xml:space="preserve"> consulted VFA and no additional rock lobster fishers are impacted by this area.</w:t>
            </w:r>
          </w:p>
          <w:p w14:paraId="121492EB" w14:textId="77777777" w:rsidR="00A70030" w:rsidRDefault="00A70030" w:rsidP="00073385">
            <w:pPr>
              <w:spacing w:before="60" w:after="60" w:line="240" w:lineRule="auto"/>
              <w:ind w:left="0"/>
              <w:rPr>
                <w:rFonts w:cs="Arial"/>
                <w:sz w:val="20"/>
                <w:szCs w:val="20"/>
              </w:rPr>
            </w:pPr>
          </w:p>
          <w:p w14:paraId="3A550B1A" w14:textId="77777777" w:rsidR="00A70030" w:rsidDel="00E95878" w:rsidRDefault="00A70030" w:rsidP="00073385">
            <w:pPr>
              <w:spacing w:before="60" w:after="60" w:line="240" w:lineRule="auto"/>
              <w:ind w:left="0"/>
              <w:rPr>
                <w:rFonts w:cs="Arial"/>
                <w:sz w:val="20"/>
                <w:szCs w:val="20"/>
              </w:rPr>
            </w:pPr>
            <w:r>
              <w:rPr>
                <w:rFonts w:cs="Arial"/>
                <w:sz w:val="20"/>
                <w:szCs w:val="20"/>
              </w:rPr>
              <w:t>CarbonNet advised that it will submit the EP in the week commencing 14/8, but is committed to ongoing discussions. The draft extracts were provided as information and VRLA is welcome to make comment at any time.</w:t>
            </w:r>
          </w:p>
        </w:tc>
      </w:tr>
      <w:tr w:rsidR="00A70030" w:rsidRPr="00FF0808" w14:paraId="0545E294" w14:textId="77777777" w:rsidTr="00891DE1">
        <w:tc>
          <w:tcPr>
            <w:tcW w:w="1427" w:type="dxa"/>
            <w:tcBorders>
              <w:top w:val="nil"/>
              <w:bottom w:val="nil"/>
            </w:tcBorders>
            <w:shd w:val="clear" w:color="auto" w:fill="auto"/>
          </w:tcPr>
          <w:p w14:paraId="443CDDF0"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E1B239D" w14:textId="77777777" w:rsidR="00A70030" w:rsidRDefault="00A70030" w:rsidP="00073385">
            <w:pPr>
              <w:spacing w:before="60" w:after="60" w:line="240" w:lineRule="auto"/>
              <w:ind w:left="0"/>
              <w:rPr>
                <w:rFonts w:cs="Arial"/>
                <w:sz w:val="20"/>
                <w:szCs w:val="20"/>
              </w:rPr>
            </w:pPr>
          </w:p>
        </w:tc>
        <w:tc>
          <w:tcPr>
            <w:tcW w:w="1055" w:type="dxa"/>
          </w:tcPr>
          <w:p w14:paraId="22323FAA" w14:textId="36A7E992"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7CC11985" w14:textId="70D3EBE9" w:rsidR="00A70030" w:rsidRDefault="00A70030" w:rsidP="00073385">
            <w:pPr>
              <w:spacing w:before="60" w:after="60" w:line="240" w:lineRule="auto"/>
              <w:ind w:left="0"/>
              <w:rPr>
                <w:rFonts w:cs="Arial"/>
                <w:sz w:val="20"/>
                <w:szCs w:val="20"/>
              </w:rPr>
            </w:pPr>
            <w:r>
              <w:rPr>
                <w:rFonts w:cs="Arial"/>
                <w:sz w:val="20"/>
                <w:szCs w:val="20"/>
              </w:rPr>
              <w:t xml:space="preserve">CarbonNet emailed stakeholders to advise the EP was submitted on 18 August. CarbonNet provided links to the NOPSEMA website for </w:t>
            </w:r>
            <w:r>
              <w:rPr>
                <w:rFonts w:cs="Arial"/>
                <w:sz w:val="20"/>
                <w:szCs w:val="20"/>
              </w:rPr>
              <w:lastRenderedPageBreak/>
              <w:t>stakeholders to subscribe to updates, and committed to provide a revised fact sheet once a survey vessel has been contracted.</w:t>
            </w:r>
          </w:p>
        </w:tc>
        <w:tc>
          <w:tcPr>
            <w:tcW w:w="3802" w:type="dxa"/>
            <w:shd w:val="clear" w:color="auto" w:fill="auto"/>
          </w:tcPr>
          <w:p w14:paraId="16FD0F6F" w14:textId="7D904500" w:rsidR="00A70030" w:rsidRDefault="00A70030" w:rsidP="00073385">
            <w:pPr>
              <w:pStyle w:val="ListParagraph0"/>
              <w:spacing w:before="60" w:after="60" w:line="240" w:lineRule="auto"/>
              <w:ind w:left="36"/>
              <w:rPr>
                <w:rFonts w:cs="Arial"/>
                <w:sz w:val="20"/>
                <w:szCs w:val="20"/>
              </w:rPr>
            </w:pPr>
            <w:r>
              <w:rPr>
                <w:rFonts w:cs="Arial"/>
                <w:sz w:val="20"/>
                <w:szCs w:val="20"/>
              </w:rPr>
              <w:lastRenderedPageBreak/>
              <w:t>N/A</w:t>
            </w:r>
          </w:p>
        </w:tc>
      </w:tr>
      <w:tr w:rsidR="00A70030" w:rsidRPr="00FF0808" w14:paraId="5369C6AA" w14:textId="77777777" w:rsidTr="00891DE1">
        <w:tc>
          <w:tcPr>
            <w:tcW w:w="1427" w:type="dxa"/>
            <w:tcBorders>
              <w:top w:val="nil"/>
            </w:tcBorders>
            <w:shd w:val="clear" w:color="auto" w:fill="auto"/>
          </w:tcPr>
          <w:p w14:paraId="776C414A" w14:textId="77777777" w:rsidR="00A70030" w:rsidRDefault="00A70030" w:rsidP="00073385">
            <w:pPr>
              <w:spacing w:before="60" w:after="60" w:line="240" w:lineRule="auto"/>
              <w:ind w:left="0"/>
              <w:rPr>
                <w:rFonts w:cs="Arial"/>
                <w:sz w:val="20"/>
                <w:szCs w:val="20"/>
              </w:rPr>
            </w:pPr>
          </w:p>
        </w:tc>
        <w:tc>
          <w:tcPr>
            <w:tcW w:w="1629" w:type="dxa"/>
            <w:tcBorders>
              <w:top w:val="nil"/>
            </w:tcBorders>
            <w:shd w:val="clear" w:color="auto" w:fill="auto"/>
          </w:tcPr>
          <w:p w14:paraId="0F119A77" w14:textId="77777777" w:rsidR="00A70030" w:rsidRDefault="00A70030" w:rsidP="00073385">
            <w:pPr>
              <w:spacing w:before="60" w:after="60" w:line="240" w:lineRule="auto"/>
              <w:ind w:left="0"/>
              <w:rPr>
                <w:rFonts w:cs="Arial"/>
                <w:sz w:val="20"/>
                <w:szCs w:val="20"/>
              </w:rPr>
            </w:pPr>
          </w:p>
        </w:tc>
        <w:tc>
          <w:tcPr>
            <w:tcW w:w="1055" w:type="dxa"/>
          </w:tcPr>
          <w:p w14:paraId="315F6DF8" w14:textId="557CB555" w:rsidR="00A70030" w:rsidRDefault="00A70030" w:rsidP="00073385">
            <w:pPr>
              <w:spacing w:before="60" w:after="60" w:line="240" w:lineRule="auto"/>
              <w:ind w:left="0"/>
              <w:rPr>
                <w:rFonts w:cs="Arial"/>
                <w:sz w:val="20"/>
                <w:szCs w:val="20"/>
              </w:rPr>
            </w:pPr>
            <w:r>
              <w:rPr>
                <w:rFonts w:cs="Arial"/>
                <w:sz w:val="20"/>
                <w:szCs w:val="20"/>
              </w:rPr>
              <w:t>24/8/17</w:t>
            </w:r>
          </w:p>
        </w:tc>
        <w:tc>
          <w:tcPr>
            <w:tcW w:w="6335" w:type="dxa"/>
            <w:shd w:val="clear" w:color="auto" w:fill="auto"/>
          </w:tcPr>
          <w:p w14:paraId="350A996A" w14:textId="0D0E2A4E" w:rsidR="00A70030" w:rsidRDefault="00A70030" w:rsidP="00073385">
            <w:pPr>
              <w:spacing w:before="60" w:after="60" w:line="240" w:lineRule="auto"/>
              <w:ind w:left="0"/>
              <w:rPr>
                <w:rFonts w:cs="Arial"/>
                <w:sz w:val="20"/>
                <w:szCs w:val="20"/>
              </w:rPr>
            </w:pPr>
            <w:r>
              <w:rPr>
                <w:rFonts w:cs="Arial"/>
                <w:sz w:val="20"/>
                <w:szCs w:val="20"/>
              </w:rPr>
              <w:t xml:space="preserve">VRLA emailed CarbonNet to request </w:t>
            </w:r>
            <w:r w:rsidRPr="005B4DC1">
              <w:rPr>
                <w:rFonts w:cs="Arial"/>
                <w:sz w:val="20"/>
                <w:szCs w:val="20"/>
              </w:rPr>
              <w:t xml:space="preserve">follow up information on krill and cool water plankton species from </w:t>
            </w:r>
            <w:r>
              <w:rPr>
                <w:rFonts w:cs="Arial"/>
                <w:sz w:val="20"/>
                <w:szCs w:val="20"/>
              </w:rPr>
              <w:t xml:space="preserve">the </w:t>
            </w:r>
            <w:r w:rsidRPr="005B4DC1">
              <w:rPr>
                <w:rFonts w:cs="Arial"/>
                <w:sz w:val="20"/>
                <w:szCs w:val="20"/>
              </w:rPr>
              <w:t>EP</w:t>
            </w:r>
            <w:r>
              <w:rPr>
                <w:rFonts w:cs="Arial"/>
                <w:sz w:val="20"/>
                <w:szCs w:val="20"/>
              </w:rPr>
              <w:t>.</w:t>
            </w:r>
          </w:p>
        </w:tc>
        <w:tc>
          <w:tcPr>
            <w:tcW w:w="3802" w:type="dxa"/>
            <w:shd w:val="clear" w:color="auto" w:fill="auto"/>
          </w:tcPr>
          <w:p w14:paraId="72AC3492" w14:textId="287119A9" w:rsidR="00A70030" w:rsidRDefault="00A70030" w:rsidP="00073385">
            <w:pPr>
              <w:pStyle w:val="ListParagraph0"/>
              <w:spacing w:before="60" w:after="60" w:line="240" w:lineRule="auto"/>
              <w:ind w:left="36"/>
              <w:rPr>
                <w:rFonts w:cs="Arial"/>
                <w:sz w:val="20"/>
                <w:szCs w:val="20"/>
              </w:rPr>
            </w:pPr>
            <w:r>
              <w:rPr>
                <w:rFonts w:cs="Arial"/>
                <w:sz w:val="20"/>
                <w:szCs w:val="20"/>
              </w:rPr>
              <w:t xml:space="preserve">CarbonNet responded that it is chasing up the authors of the CSIRO paper regarding the impacts of MSS on plankton, and would provide a response when this information is available. </w:t>
            </w:r>
          </w:p>
        </w:tc>
      </w:tr>
      <w:tr w:rsidR="00A70030" w:rsidRPr="00FF0808" w14:paraId="315A4409" w14:textId="77777777" w:rsidTr="00077C5F">
        <w:tc>
          <w:tcPr>
            <w:tcW w:w="1427" w:type="dxa"/>
            <w:vMerge w:val="restart"/>
            <w:shd w:val="clear" w:color="auto" w:fill="auto"/>
          </w:tcPr>
          <w:p w14:paraId="35E4D9C8" w14:textId="77777777" w:rsidR="00A70030" w:rsidRPr="00FF0808" w:rsidRDefault="00A70030" w:rsidP="00073385">
            <w:pPr>
              <w:spacing w:before="60" w:after="60" w:line="240" w:lineRule="auto"/>
              <w:ind w:left="0"/>
              <w:rPr>
                <w:rFonts w:cs="Arial"/>
                <w:sz w:val="20"/>
                <w:szCs w:val="20"/>
              </w:rPr>
            </w:pPr>
            <w:r>
              <w:rPr>
                <w:rFonts w:cs="Arial"/>
                <w:sz w:val="20"/>
                <w:szCs w:val="20"/>
              </w:rPr>
              <w:t>VRFish</w:t>
            </w:r>
          </w:p>
        </w:tc>
        <w:tc>
          <w:tcPr>
            <w:tcW w:w="1629" w:type="dxa"/>
            <w:vMerge w:val="restart"/>
            <w:shd w:val="clear" w:color="auto" w:fill="auto"/>
          </w:tcPr>
          <w:p w14:paraId="27839810" w14:textId="77777777" w:rsidR="00A70030" w:rsidRPr="00FF0808" w:rsidRDefault="00A70030" w:rsidP="00073385">
            <w:pPr>
              <w:spacing w:before="60" w:after="60" w:line="240" w:lineRule="auto"/>
              <w:ind w:left="0"/>
              <w:rPr>
                <w:rFonts w:cs="Arial"/>
                <w:sz w:val="20"/>
                <w:szCs w:val="20"/>
              </w:rPr>
            </w:pPr>
            <w:r>
              <w:rPr>
                <w:rFonts w:cs="Arial"/>
                <w:sz w:val="20"/>
                <w:szCs w:val="20"/>
              </w:rPr>
              <w:t>Represent recreational fishermen who may have activities near proposed acquisition area</w:t>
            </w:r>
          </w:p>
        </w:tc>
        <w:tc>
          <w:tcPr>
            <w:tcW w:w="1055" w:type="dxa"/>
          </w:tcPr>
          <w:p w14:paraId="7E6D5F72" w14:textId="77777777" w:rsidR="00A70030" w:rsidRDefault="00A70030" w:rsidP="00073385">
            <w:pPr>
              <w:spacing w:before="60" w:after="60" w:line="240" w:lineRule="auto"/>
              <w:ind w:left="0"/>
              <w:rPr>
                <w:rFonts w:cs="Arial"/>
                <w:sz w:val="20"/>
                <w:szCs w:val="20"/>
              </w:rPr>
            </w:pPr>
            <w:r>
              <w:rPr>
                <w:rFonts w:cs="Arial"/>
                <w:sz w:val="20"/>
                <w:szCs w:val="20"/>
              </w:rPr>
              <w:t>21/3/17</w:t>
            </w:r>
          </w:p>
          <w:p w14:paraId="50DF2F63" w14:textId="77777777" w:rsidR="00A70030" w:rsidRPr="00FF0808" w:rsidRDefault="00A70030" w:rsidP="00073385">
            <w:pPr>
              <w:spacing w:before="60" w:after="60" w:line="240" w:lineRule="auto"/>
              <w:ind w:left="0"/>
              <w:rPr>
                <w:rFonts w:cs="Arial"/>
                <w:sz w:val="20"/>
                <w:szCs w:val="20"/>
              </w:rPr>
            </w:pPr>
          </w:p>
        </w:tc>
        <w:tc>
          <w:tcPr>
            <w:tcW w:w="6335" w:type="dxa"/>
            <w:shd w:val="clear" w:color="auto" w:fill="auto"/>
          </w:tcPr>
          <w:p w14:paraId="1D29B83E" w14:textId="77777777" w:rsidR="00A70030" w:rsidRPr="00FF0808" w:rsidRDefault="00A70030" w:rsidP="00073385">
            <w:pPr>
              <w:spacing w:before="60" w:after="60" w:line="240" w:lineRule="auto"/>
              <w:ind w:left="0"/>
              <w:rPr>
                <w:rFonts w:cs="Arial"/>
                <w:sz w:val="20"/>
                <w:szCs w:val="20"/>
              </w:rPr>
            </w:pPr>
            <w:r>
              <w:rPr>
                <w:rFonts w:cs="Arial"/>
                <w:sz w:val="20"/>
                <w:szCs w:val="20"/>
              </w:rPr>
              <w:t>CarbonNet contacted VRFish via post and email with a letter that invited feedback and provided a fact sheet.</w:t>
            </w:r>
          </w:p>
        </w:tc>
        <w:tc>
          <w:tcPr>
            <w:tcW w:w="3802" w:type="dxa"/>
            <w:shd w:val="clear" w:color="auto" w:fill="auto"/>
          </w:tcPr>
          <w:p w14:paraId="648DDCBE" w14:textId="77777777" w:rsidR="00A70030" w:rsidRPr="00661FE0" w:rsidRDefault="00A70030" w:rsidP="00073385">
            <w:pPr>
              <w:pStyle w:val="ListParagraph0"/>
              <w:spacing w:before="60" w:after="60" w:line="240" w:lineRule="auto"/>
              <w:ind w:left="36"/>
              <w:rPr>
                <w:rFonts w:cs="Arial"/>
                <w:sz w:val="20"/>
                <w:szCs w:val="20"/>
              </w:rPr>
            </w:pPr>
            <w:r>
              <w:rPr>
                <w:rFonts w:cs="Arial"/>
                <w:sz w:val="20"/>
                <w:szCs w:val="20"/>
              </w:rPr>
              <w:t>N/A</w:t>
            </w:r>
          </w:p>
        </w:tc>
      </w:tr>
      <w:tr w:rsidR="00A70030" w:rsidRPr="00FF0808" w14:paraId="4E77243A" w14:textId="77777777" w:rsidTr="00077C5F">
        <w:tc>
          <w:tcPr>
            <w:tcW w:w="1427" w:type="dxa"/>
            <w:vMerge/>
            <w:shd w:val="clear" w:color="auto" w:fill="auto"/>
          </w:tcPr>
          <w:p w14:paraId="6EF0CD08" w14:textId="77777777" w:rsidR="00A70030" w:rsidRDefault="00A70030" w:rsidP="00073385">
            <w:pPr>
              <w:spacing w:before="60" w:after="60" w:line="240" w:lineRule="auto"/>
              <w:ind w:left="0"/>
              <w:rPr>
                <w:rFonts w:cs="Arial"/>
                <w:sz w:val="20"/>
                <w:szCs w:val="20"/>
              </w:rPr>
            </w:pPr>
          </w:p>
        </w:tc>
        <w:tc>
          <w:tcPr>
            <w:tcW w:w="1629" w:type="dxa"/>
            <w:vMerge/>
            <w:shd w:val="clear" w:color="auto" w:fill="auto"/>
          </w:tcPr>
          <w:p w14:paraId="26F69BDA" w14:textId="77777777" w:rsidR="00A70030" w:rsidRPr="00FF0808" w:rsidRDefault="00A70030" w:rsidP="00073385">
            <w:pPr>
              <w:spacing w:before="60" w:after="60" w:line="240" w:lineRule="auto"/>
              <w:ind w:left="0"/>
              <w:rPr>
                <w:rFonts w:cs="Arial"/>
                <w:sz w:val="20"/>
                <w:szCs w:val="20"/>
              </w:rPr>
            </w:pPr>
          </w:p>
        </w:tc>
        <w:tc>
          <w:tcPr>
            <w:tcW w:w="1055" w:type="dxa"/>
          </w:tcPr>
          <w:p w14:paraId="5DC5BBE8" w14:textId="77777777" w:rsidR="00A70030" w:rsidRDefault="00A70030" w:rsidP="00073385">
            <w:pPr>
              <w:spacing w:before="60" w:after="60" w:line="240" w:lineRule="auto"/>
              <w:ind w:left="0"/>
              <w:rPr>
                <w:rFonts w:cs="Arial"/>
                <w:sz w:val="20"/>
                <w:szCs w:val="20"/>
              </w:rPr>
            </w:pPr>
            <w:r>
              <w:rPr>
                <w:rFonts w:cs="Arial"/>
                <w:sz w:val="20"/>
                <w:szCs w:val="20"/>
              </w:rPr>
              <w:t>19/4/17</w:t>
            </w:r>
          </w:p>
        </w:tc>
        <w:tc>
          <w:tcPr>
            <w:tcW w:w="6335" w:type="dxa"/>
            <w:shd w:val="clear" w:color="auto" w:fill="auto"/>
          </w:tcPr>
          <w:p w14:paraId="2ED87C26" w14:textId="4FE7C9E7" w:rsidR="00A70030" w:rsidRDefault="00A70030" w:rsidP="00905C82">
            <w:pPr>
              <w:spacing w:before="60" w:after="60" w:line="240" w:lineRule="auto"/>
              <w:ind w:left="0"/>
              <w:rPr>
                <w:rFonts w:cs="Arial"/>
                <w:sz w:val="20"/>
                <w:szCs w:val="20"/>
              </w:rPr>
            </w:pPr>
            <w:r>
              <w:rPr>
                <w:rFonts w:cs="Arial"/>
                <w:sz w:val="20"/>
                <w:szCs w:val="20"/>
              </w:rPr>
              <w:t>CarbonNet called and left voicemail requesting a call back, and sent a follow up email.</w:t>
            </w:r>
          </w:p>
        </w:tc>
        <w:tc>
          <w:tcPr>
            <w:tcW w:w="3802" w:type="dxa"/>
            <w:shd w:val="clear" w:color="auto" w:fill="auto"/>
          </w:tcPr>
          <w:p w14:paraId="421F867C" w14:textId="77777777" w:rsidR="00A70030" w:rsidDel="007402BF" w:rsidRDefault="00A70030" w:rsidP="00073385">
            <w:pPr>
              <w:spacing w:before="60" w:after="60" w:line="240" w:lineRule="auto"/>
              <w:ind w:left="36"/>
              <w:rPr>
                <w:rFonts w:cs="Arial"/>
                <w:sz w:val="20"/>
                <w:szCs w:val="20"/>
              </w:rPr>
            </w:pPr>
            <w:r>
              <w:rPr>
                <w:rFonts w:cs="Arial"/>
                <w:sz w:val="20"/>
                <w:szCs w:val="20"/>
              </w:rPr>
              <w:t>N/A</w:t>
            </w:r>
          </w:p>
        </w:tc>
      </w:tr>
      <w:tr w:rsidR="00A70030" w:rsidRPr="00FF0808" w14:paraId="5214A755" w14:textId="77777777" w:rsidTr="00905C82">
        <w:tc>
          <w:tcPr>
            <w:tcW w:w="1427" w:type="dxa"/>
            <w:vMerge/>
            <w:tcBorders>
              <w:bottom w:val="nil"/>
            </w:tcBorders>
            <w:shd w:val="clear" w:color="auto" w:fill="auto"/>
          </w:tcPr>
          <w:p w14:paraId="4BB5B576" w14:textId="77777777" w:rsidR="00A70030"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14FF5B64" w14:textId="77777777" w:rsidR="00A70030" w:rsidRPr="00FF0808" w:rsidRDefault="00A70030" w:rsidP="00073385">
            <w:pPr>
              <w:spacing w:before="60" w:after="60" w:line="240" w:lineRule="auto"/>
              <w:ind w:left="0"/>
              <w:rPr>
                <w:rFonts w:cs="Arial"/>
                <w:sz w:val="20"/>
                <w:szCs w:val="20"/>
              </w:rPr>
            </w:pPr>
          </w:p>
        </w:tc>
        <w:tc>
          <w:tcPr>
            <w:tcW w:w="1055" w:type="dxa"/>
          </w:tcPr>
          <w:p w14:paraId="2361D7E8" w14:textId="77777777" w:rsidR="00A70030" w:rsidRDefault="00A70030" w:rsidP="00073385">
            <w:pPr>
              <w:spacing w:before="60" w:after="60" w:line="240" w:lineRule="auto"/>
              <w:ind w:left="0"/>
              <w:rPr>
                <w:rFonts w:cs="Arial"/>
                <w:sz w:val="20"/>
                <w:szCs w:val="20"/>
              </w:rPr>
            </w:pPr>
            <w:r>
              <w:rPr>
                <w:rFonts w:cs="Arial"/>
                <w:sz w:val="20"/>
                <w:szCs w:val="20"/>
              </w:rPr>
              <w:t>16/5/17</w:t>
            </w:r>
          </w:p>
        </w:tc>
        <w:tc>
          <w:tcPr>
            <w:tcW w:w="6335" w:type="dxa"/>
            <w:shd w:val="clear" w:color="auto" w:fill="auto"/>
          </w:tcPr>
          <w:p w14:paraId="7BA4AB2E" w14:textId="77777777" w:rsidR="00A70030" w:rsidRDefault="00A70030" w:rsidP="00073385">
            <w:pPr>
              <w:spacing w:before="60" w:after="60" w:line="240" w:lineRule="auto"/>
              <w:ind w:left="0"/>
              <w:rPr>
                <w:rFonts w:cs="Arial"/>
                <w:sz w:val="20"/>
                <w:szCs w:val="20"/>
              </w:rPr>
            </w:pPr>
            <w:r>
              <w:rPr>
                <w:rFonts w:cs="Arial"/>
                <w:sz w:val="20"/>
                <w:szCs w:val="20"/>
              </w:rPr>
              <w:t>CarbonNet called and spoke to a VRFish representatve, who confirmed the letter had been received and they had some questions and areas of interest to discuss, including:</w:t>
            </w:r>
          </w:p>
          <w:p w14:paraId="774803FC" w14:textId="77777777" w:rsidR="00A70030" w:rsidRDefault="00A70030" w:rsidP="00073385">
            <w:pPr>
              <w:pStyle w:val="ListParagraph0"/>
              <w:numPr>
                <w:ilvl w:val="0"/>
                <w:numId w:val="460"/>
              </w:numPr>
              <w:spacing w:before="60" w:after="60" w:line="240" w:lineRule="auto"/>
              <w:rPr>
                <w:rFonts w:cs="Arial"/>
                <w:sz w:val="20"/>
                <w:szCs w:val="20"/>
              </w:rPr>
            </w:pPr>
            <w:r>
              <w:rPr>
                <w:rFonts w:cs="Arial"/>
                <w:sz w:val="20"/>
                <w:szCs w:val="20"/>
              </w:rPr>
              <w:t>Proximity of the survey to the shore, especially during summer (key recreational fishing time). CarbonNet explained that the survey’s closest point to the shore is 1 km.</w:t>
            </w:r>
          </w:p>
          <w:p w14:paraId="20CDD98D" w14:textId="77777777" w:rsidR="00A70030" w:rsidRDefault="00A70030" w:rsidP="00073385">
            <w:pPr>
              <w:pStyle w:val="ListParagraph0"/>
              <w:numPr>
                <w:ilvl w:val="0"/>
                <w:numId w:val="460"/>
              </w:numPr>
              <w:spacing w:before="60" w:after="60" w:line="240" w:lineRule="auto"/>
              <w:rPr>
                <w:rFonts w:cs="Arial"/>
                <w:sz w:val="20"/>
                <w:szCs w:val="20"/>
              </w:rPr>
            </w:pPr>
            <w:r>
              <w:rPr>
                <w:rFonts w:cs="Arial"/>
                <w:sz w:val="20"/>
                <w:szCs w:val="20"/>
              </w:rPr>
              <w:t>How the survey will be communicated to recreational fishers.</w:t>
            </w:r>
          </w:p>
          <w:p w14:paraId="141FCB92" w14:textId="77777777" w:rsidR="00A70030" w:rsidRDefault="00A70030" w:rsidP="00073385">
            <w:pPr>
              <w:pStyle w:val="ListParagraph0"/>
              <w:numPr>
                <w:ilvl w:val="0"/>
                <w:numId w:val="460"/>
              </w:numPr>
              <w:spacing w:before="60" w:after="60" w:line="240" w:lineRule="auto"/>
              <w:rPr>
                <w:rFonts w:cs="Arial"/>
                <w:sz w:val="20"/>
                <w:szCs w:val="20"/>
              </w:rPr>
            </w:pPr>
            <w:r>
              <w:rPr>
                <w:rFonts w:cs="Arial"/>
                <w:sz w:val="20"/>
                <w:szCs w:val="20"/>
              </w:rPr>
              <w:t>Exclusion zones that may apply.</w:t>
            </w:r>
          </w:p>
          <w:p w14:paraId="22D14F3F" w14:textId="77777777" w:rsidR="00A70030" w:rsidRDefault="00A70030" w:rsidP="00073385">
            <w:pPr>
              <w:pStyle w:val="ListParagraph0"/>
              <w:numPr>
                <w:ilvl w:val="0"/>
                <w:numId w:val="460"/>
              </w:numPr>
              <w:spacing w:before="60" w:after="60" w:line="240" w:lineRule="auto"/>
              <w:rPr>
                <w:rFonts w:cs="Arial"/>
                <w:sz w:val="20"/>
                <w:szCs w:val="20"/>
              </w:rPr>
            </w:pPr>
            <w:r>
              <w:rPr>
                <w:rFonts w:cs="Arial"/>
                <w:sz w:val="20"/>
                <w:szCs w:val="20"/>
              </w:rPr>
              <w:t>Impacts to fish, and in particular sessile marine invertebrates.</w:t>
            </w:r>
          </w:p>
          <w:p w14:paraId="0CA5FFC0" w14:textId="29F331F9" w:rsidR="00A70030" w:rsidRPr="00905C82" w:rsidRDefault="00A70030" w:rsidP="00905C82">
            <w:pPr>
              <w:pStyle w:val="ListParagraph0"/>
              <w:numPr>
                <w:ilvl w:val="0"/>
                <w:numId w:val="460"/>
              </w:numPr>
              <w:spacing w:before="60" w:after="60" w:line="240" w:lineRule="auto"/>
              <w:rPr>
                <w:rFonts w:cs="Arial"/>
                <w:sz w:val="20"/>
                <w:szCs w:val="20"/>
              </w:rPr>
            </w:pPr>
            <w:r>
              <w:rPr>
                <w:rFonts w:cs="Arial"/>
                <w:sz w:val="20"/>
                <w:szCs w:val="20"/>
              </w:rPr>
              <w:t>STLM.</w:t>
            </w:r>
          </w:p>
        </w:tc>
        <w:tc>
          <w:tcPr>
            <w:tcW w:w="3802" w:type="dxa"/>
            <w:shd w:val="clear" w:color="auto" w:fill="auto"/>
          </w:tcPr>
          <w:p w14:paraId="5751219F" w14:textId="77777777" w:rsidR="00A70030" w:rsidRDefault="00A70030" w:rsidP="00073385">
            <w:pPr>
              <w:spacing w:before="60" w:after="60" w:line="240" w:lineRule="auto"/>
              <w:ind w:left="0"/>
              <w:rPr>
                <w:rFonts w:cs="Arial"/>
                <w:sz w:val="20"/>
                <w:szCs w:val="20"/>
              </w:rPr>
            </w:pPr>
            <w:r>
              <w:rPr>
                <w:rFonts w:cs="Arial"/>
                <w:sz w:val="20"/>
                <w:szCs w:val="20"/>
              </w:rPr>
              <w:t>CarbonNet suggested a face-to-face meeting would be the best way to progress the discussion, and scheduled a meeting for the end of May.</w:t>
            </w:r>
          </w:p>
          <w:p w14:paraId="5E83A56E" w14:textId="77777777" w:rsidR="00A70030" w:rsidRDefault="00A70030" w:rsidP="00073385">
            <w:pPr>
              <w:spacing w:before="60" w:after="60" w:line="240" w:lineRule="auto"/>
              <w:ind w:left="36"/>
              <w:rPr>
                <w:rFonts w:cs="Arial"/>
                <w:sz w:val="20"/>
                <w:szCs w:val="20"/>
              </w:rPr>
            </w:pPr>
          </w:p>
          <w:p w14:paraId="7B6E508A" w14:textId="77777777" w:rsidR="00A70030" w:rsidDel="007402BF" w:rsidRDefault="00A70030" w:rsidP="00073385">
            <w:pPr>
              <w:spacing w:before="60" w:after="60" w:line="240" w:lineRule="auto"/>
              <w:ind w:left="36"/>
              <w:rPr>
                <w:rFonts w:cs="Arial"/>
                <w:sz w:val="20"/>
                <w:szCs w:val="20"/>
              </w:rPr>
            </w:pPr>
            <w:r>
              <w:rPr>
                <w:rFonts w:cs="Arial"/>
                <w:sz w:val="20"/>
                <w:szCs w:val="20"/>
              </w:rPr>
              <w:t>These issues were then discussed at meeting on 30/5 (see following row).</w:t>
            </w:r>
          </w:p>
        </w:tc>
      </w:tr>
      <w:tr w:rsidR="00A70030" w:rsidRPr="00FF0808" w14:paraId="4AAC9551" w14:textId="77777777" w:rsidTr="00905C82">
        <w:tc>
          <w:tcPr>
            <w:tcW w:w="1427" w:type="dxa"/>
            <w:tcBorders>
              <w:top w:val="nil"/>
              <w:bottom w:val="nil"/>
            </w:tcBorders>
            <w:shd w:val="clear" w:color="auto" w:fill="auto"/>
          </w:tcPr>
          <w:p w14:paraId="7D64429D"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A5C7FF8" w14:textId="77777777" w:rsidR="00A70030" w:rsidRPr="00FF0808" w:rsidRDefault="00A70030" w:rsidP="00073385">
            <w:pPr>
              <w:spacing w:before="60" w:after="60" w:line="240" w:lineRule="auto"/>
              <w:ind w:left="0"/>
              <w:rPr>
                <w:rFonts w:cs="Arial"/>
                <w:sz w:val="20"/>
                <w:szCs w:val="20"/>
              </w:rPr>
            </w:pPr>
          </w:p>
        </w:tc>
        <w:tc>
          <w:tcPr>
            <w:tcW w:w="1055" w:type="dxa"/>
          </w:tcPr>
          <w:p w14:paraId="19A5F508" w14:textId="77777777" w:rsidR="00A70030" w:rsidRDefault="00A70030" w:rsidP="00073385">
            <w:pPr>
              <w:spacing w:before="60" w:after="60" w:line="240" w:lineRule="auto"/>
              <w:ind w:left="0"/>
              <w:rPr>
                <w:rFonts w:cs="Arial"/>
                <w:sz w:val="20"/>
                <w:szCs w:val="20"/>
              </w:rPr>
            </w:pPr>
            <w:r>
              <w:rPr>
                <w:rFonts w:cs="Arial"/>
                <w:sz w:val="20"/>
                <w:szCs w:val="20"/>
              </w:rPr>
              <w:t>30/5/17</w:t>
            </w:r>
          </w:p>
        </w:tc>
        <w:tc>
          <w:tcPr>
            <w:tcW w:w="6335" w:type="dxa"/>
            <w:shd w:val="clear" w:color="auto" w:fill="auto"/>
          </w:tcPr>
          <w:p w14:paraId="0EB606A1" w14:textId="77777777" w:rsidR="00A70030" w:rsidRDefault="00A70030" w:rsidP="00073385">
            <w:pPr>
              <w:spacing w:before="60" w:after="60" w:line="240" w:lineRule="auto"/>
              <w:ind w:left="0"/>
              <w:rPr>
                <w:rFonts w:cs="Arial"/>
                <w:sz w:val="20"/>
                <w:szCs w:val="20"/>
              </w:rPr>
            </w:pPr>
            <w:r>
              <w:rPr>
                <w:rFonts w:cs="Arial"/>
                <w:sz w:val="20"/>
                <w:szCs w:val="20"/>
              </w:rPr>
              <w:t>CarbonNet met with VRFish in Melbourne, provided an overview of the CarbonNet project and discussed potential impacts to recreational fishers from the MSS. CarbonNet stated that all boats will need to avoid an area around the survey vessel for safety reasons, and explained that it will be requesting that the AHO issue a Notice to Mariners prior to the survey and that it will consult the local community to ensure people are aware the survey is happening.</w:t>
            </w:r>
          </w:p>
          <w:p w14:paraId="78291657" w14:textId="77777777" w:rsidR="00A70030" w:rsidRDefault="00A70030" w:rsidP="00073385">
            <w:pPr>
              <w:spacing w:before="60" w:after="60" w:line="240" w:lineRule="auto"/>
              <w:ind w:left="0"/>
              <w:rPr>
                <w:rFonts w:cs="Arial"/>
                <w:sz w:val="20"/>
                <w:szCs w:val="20"/>
              </w:rPr>
            </w:pPr>
          </w:p>
          <w:p w14:paraId="5B4B0F39" w14:textId="77777777" w:rsidR="00A70030" w:rsidRDefault="00A70030" w:rsidP="00073385">
            <w:pPr>
              <w:spacing w:before="60" w:after="60" w:line="240" w:lineRule="auto"/>
              <w:ind w:left="0"/>
              <w:rPr>
                <w:rFonts w:cs="Arial"/>
                <w:sz w:val="20"/>
                <w:szCs w:val="20"/>
              </w:rPr>
            </w:pPr>
            <w:r>
              <w:rPr>
                <w:rFonts w:cs="Arial"/>
                <w:sz w:val="20"/>
                <w:szCs w:val="20"/>
              </w:rPr>
              <w:t xml:space="preserve">VRFish stated that it can act as a conduit to local fishing associations and groups, and has an e-newsletter (next edition slated for November 2017) that could be used as a channel to reach recreational fishers. VRFish also recommended speaking to the local </w:t>
            </w:r>
            <w:r>
              <w:rPr>
                <w:rFonts w:cs="Arial"/>
                <w:sz w:val="20"/>
                <w:szCs w:val="20"/>
              </w:rPr>
              <w:lastRenderedPageBreak/>
              <w:t xml:space="preserve">bait shop to help get the message out closer to the time. </w:t>
            </w:r>
          </w:p>
          <w:p w14:paraId="6993F511" w14:textId="77777777" w:rsidR="00A70030" w:rsidRDefault="00A70030" w:rsidP="00073385">
            <w:pPr>
              <w:spacing w:before="60" w:after="60" w:line="240" w:lineRule="auto"/>
              <w:ind w:left="0"/>
              <w:rPr>
                <w:rFonts w:cs="Arial"/>
                <w:sz w:val="20"/>
                <w:szCs w:val="20"/>
              </w:rPr>
            </w:pPr>
          </w:p>
          <w:p w14:paraId="6C2D7493" w14:textId="77777777" w:rsidR="00A70030" w:rsidRDefault="00A70030" w:rsidP="00073385">
            <w:pPr>
              <w:spacing w:before="60" w:after="60" w:line="240" w:lineRule="auto"/>
              <w:ind w:left="0"/>
              <w:rPr>
                <w:rFonts w:cs="Arial"/>
                <w:sz w:val="20"/>
                <w:szCs w:val="20"/>
              </w:rPr>
            </w:pPr>
            <w:r>
              <w:rPr>
                <w:rFonts w:cs="Arial"/>
                <w:sz w:val="20"/>
                <w:szCs w:val="20"/>
              </w:rPr>
              <w:t>VRFish will contact some of the local fishing groups to see if there are any specific issues to discuss further. (No information has been forthcoming to date.)</w:t>
            </w:r>
          </w:p>
          <w:p w14:paraId="26DE1EB8" w14:textId="77777777" w:rsidR="00A70030" w:rsidRDefault="00A70030" w:rsidP="00073385">
            <w:pPr>
              <w:spacing w:before="60" w:after="60" w:line="240" w:lineRule="auto"/>
              <w:ind w:left="0"/>
              <w:rPr>
                <w:rFonts w:cs="Arial"/>
                <w:sz w:val="20"/>
                <w:szCs w:val="20"/>
              </w:rPr>
            </w:pPr>
          </w:p>
          <w:p w14:paraId="324D414D" w14:textId="77777777" w:rsidR="00A70030" w:rsidRDefault="00A70030" w:rsidP="00073385">
            <w:pPr>
              <w:spacing w:before="60" w:after="60" w:line="240" w:lineRule="auto"/>
              <w:ind w:left="0"/>
              <w:rPr>
                <w:rFonts w:cs="Arial"/>
                <w:sz w:val="20"/>
                <w:szCs w:val="20"/>
              </w:rPr>
            </w:pPr>
            <w:r>
              <w:rPr>
                <w:rFonts w:cs="Arial"/>
                <w:sz w:val="20"/>
                <w:szCs w:val="20"/>
              </w:rPr>
              <w:t xml:space="preserve">VRFish provided some information on the proposed acquisition area: </w:t>
            </w:r>
          </w:p>
          <w:p w14:paraId="58CEF340" w14:textId="77777777" w:rsidR="00A70030" w:rsidRDefault="00A70030" w:rsidP="00073385">
            <w:pPr>
              <w:pStyle w:val="ListParagraph0"/>
              <w:numPr>
                <w:ilvl w:val="0"/>
                <w:numId w:val="461"/>
              </w:numPr>
              <w:spacing w:before="60" w:after="60" w:line="240" w:lineRule="auto"/>
              <w:rPr>
                <w:rFonts w:cs="Arial"/>
                <w:sz w:val="20"/>
                <w:szCs w:val="20"/>
              </w:rPr>
            </w:pPr>
            <w:r>
              <w:rPr>
                <w:rFonts w:cs="Arial"/>
                <w:sz w:val="20"/>
                <w:szCs w:val="20"/>
              </w:rPr>
              <w:t>S</w:t>
            </w:r>
            <w:r w:rsidRPr="0001694A">
              <w:rPr>
                <w:rFonts w:cs="Arial"/>
                <w:sz w:val="20"/>
                <w:szCs w:val="20"/>
              </w:rPr>
              <w:t>mall boats are likely to</w:t>
            </w:r>
            <w:r>
              <w:rPr>
                <w:rFonts w:cs="Arial"/>
                <w:sz w:val="20"/>
                <w:szCs w:val="20"/>
              </w:rPr>
              <w:t xml:space="preserve"> </w:t>
            </w:r>
            <w:r w:rsidRPr="0001694A">
              <w:rPr>
                <w:rFonts w:cs="Arial"/>
                <w:sz w:val="20"/>
                <w:szCs w:val="20"/>
              </w:rPr>
              <w:t>be present close to shore near the known reef area, while larger game fishing boats are likely to be farther out and will launch from nearby ports/boat ramps.</w:t>
            </w:r>
          </w:p>
          <w:p w14:paraId="1656B4A5" w14:textId="77777777" w:rsidR="00A70030" w:rsidRDefault="00A70030" w:rsidP="00073385">
            <w:pPr>
              <w:pStyle w:val="ListParagraph0"/>
              <w:numPr>
                <w:ilvl w:val="0"/>
                <w:numId w:val="461"/>
              </w:numPr>
              <w:spacing w:before="60" w:after="60" w:line="240" w:lineRule="auto"/>
              <w:rPr>
                <w:rFonts w:cs="Arial"/>
                <w:sz w:val="20"/>
                <w:szCs w:val="20"/>
              </w:rPr>
            </w:pPr>
            <w:r>
              <w:rPr>
                <w:rFonts w:cs="Arial"/>
                <w:sz w:val="20"/>
                <w:szCs w:val="20"/>
              </w:rPr>
              <w:t>Busy times along the Gippsland Coast are between Christmas and the Australia Day weekend, but if the weather is good boats could be out anytime.</w:t>
            </w:r>
          </w:p>
          <w:p w14:paraId="175CE1FB" w14:textId="77777777" w:rsidR="00A70030" w:rsidRDefault="00A70030" w:rsidP="00073385">
            <w:pPr>
              <w:spacing w:before="60" w:after="60" w:line="240" w:lineRule="auto"/>
              <w:ind w:left="0"/>
              <w:rPr>
                <w:rFonts w:cs="Arial"/>
                <w:sz w:val="20"/>
                <w:szCs w:val="20"/>
              </w:rPr>
            </w:pPr>
          </w:p>
          <w:p w14:paraId="61560AF6" w14:textId="77777777" w:rsidR="00A70030" w:rsidRDefault="00A70030" w:rsidP="00073385">
            <w:pPr>
              <w:spacing w:before="60" w:after="60" w:line="240" w:lineRule="auto"/>
              <w:ind w:left="0"/>
              <w:rPr>
                <w:rFonts w:cs="Arial"/>
                <w:sz w:val="20"/>
                <w:szCs w:val="20"/>
              </w:rPr>
            </w:pPr>
            <w:r w:rsidRPr="0001694A">
              <w:rPr>
                <w:rFonts w:cs="Arial"/>
                <w:sz w:val="20"/>
                <w:szCs w:val="20"/>
              </w:rPr>
              <w:t xml:space="preserve">For ease of logistics, </w:t>
            </w:r>
            <w:r>
              <w:rPr>
                <w:rFonts w:cs="Arial"/>
                <w:sz w:val="20"/>
                <w:szCs w:val="20"/>
              </w:rPr>
              <w:t xml:space="preserve">VRFish’s </w:t>
            </w:r>
            <w:r w:rsidRPr="0001694A">
              <w:rPr>
                <w:rFonts w:cs="Arial"/>
                <w:sz w:val="20"/>
                <w:szCs w:val="20"/>
              </w:rPr>
              <w:t>preference is for the survey to work from the near shore – outwards</w:t>
            </w:r>
            <w:r>
              <w:rPr>
                <w:rFonts w:cs="Arial"/>
                <w:sz w:val="20"/>
                <w:szCs w:val="20"/>
              </w:rPr>
              <w:t>.</w:t>
            </w:r>
          </w:p>
          <w:p w14:paraId="3CEF62B9" w14:textId="77777777" w:rsidR="00A70030" w:rsidRDefault="00A70030" w:rsidP="00073385">
            <w:pPr>
              <w:spacing w:before="60" w:after="60" w:line="240" w:lineRule="auto"/>
              <w:ind w:left="0"/>
              <w:rPr>
                <w:rFonts w:cs="Arial"/>
                <w:sz w:val="20"/>
                <w:szCs w:val="20"/>
              </w:rPr>
            </w:pPr>
          </w:p>
          <w:p w14:paraId="46AB2780" w14:textId="77777777" w:rsidR="00A70030" w:rsidRPr="0001694A" w:rsidRDefault="00A70030" w:rsidP="00073385">
            <w:pPr>
              <w:spacing w:before="60" w:after="60" w:line="240" w:lineRule="auto"/>
              <w:ind w:left="0"/>
              <w:rPr>
                <w:rFonts w:cs="Arial"/>
                <w:sz w:val="20"/>
                <w:szCs w:val="20"/>
              </w:rPr>
            </w:pPr>
            <w:r>
              <w:rPr>
                <w:rFonts w:cs="Arial"/>
                <w:sz w:val="20"/>
                <w:szCs w:val="20"/>
              </w:rPr>
              <w:t>CarbonNet and VRFish discussed the potential impacts to marine invertebrates.</w:t>
            </w:r>
          </w:p>
          <w:p w14:paraId="2F17409A" w14:textId="77777777" w:rsidR="00A70030" w:rsidRDefault="00A70030" w:rsidP="00073385">
            <w:pPr>
              <w:spacing w:before="60" w:after="60" w:line="240" w:lineRule="auto"/>
              <w:ind w:left="0"/>
              <w:rPr>
                <w:rFonts w:cs="Arial"/>
                <w:sz w:val="20"/>
                <w:szCs w:val="20"/>
              </w:rPr>
            </w:pPr>
          </w:p>
          <w:p w14:paraId="2A162B63" w14:textId="77777777" w:rsidR="00A70030" w:rsidRDefault="00A70030" w:rsidP="00073385">
            <w:pPr>
              <w:spacing w:before="60" w:after="60" w:line="240" w:lineRule="auto"/>
              <w:ind w:left="0"/>
              <w:rPr>
                <w:rFonts w:cs="Arial"/>
                <w:sz w:val="20"/>
                <w:szCs w:val="20"/>
              </w:rPr>
            </w:pPr>
            <w:r>
              <w:rPr>
                <w:rFonts w:cs="Arial"/>
                <w:sz w:val="20"/>
                <w:szCs w:val="20"/>
              </w:rPr>
              <w:t>CarbonNet committed to send a summary of environmental assessment and STLM results (when available). CarbonNet will continue to liaise with VRFish closer to the time from an operational and safety perspective.</w:t>
            </w:r>
          </w:p>
          <w:p w14:paraId="2F8B4DD5" w14:textId="77777777" w:rsidR="00A70030" w:rsidRDefault="00A70030" w:rsidP="00073385">
            <w:pPr>
              <w:spacing w:before="60" w:after="60" w:line="240" w:lineRule="auto"/>
              <w:ind w:left="0"/>
              <w:rPr>
                <w:rFonts w:cs="Arial"/>
                <w:sz w:val="20"/>
                <w:szCs w:val="20"/>
              </w:rPr>
            </w:pPr>
          </w:p>
        </w:tc>
        <w:tc>
          <w:tcPr>
            <w:tcW w:w="3802" w:type="dxa"/>
            <w:shd w:val="clear" w:color="auto" w:fill="auto"/>
          </w:tcPr>
          <w:p w14:paraId="0E35A831" w14:textId="77777777" w:rsidR="00A70030" w:rsidRDefault="00A70030" w:rsidP="00073385">
            <w:pPr>
              <w:spacing w:before="60" w:after="60" w:line="240" w:lineRule="auto"/>
              <w:ind w:left="0"/>
              <w:rPr>
                <w:rFonts w:cs="Arial"/>
                <w:bCs/>
                <w:iCs/>
                <w:color w:val="45508A"/>
                <w:sz w:val="20"/>
                <w:szCs w:val="20"/>
              </w:rPr>
            </w:pPr>
            <w:r>
              <w:rPr>
                <w:rFonts w:cs="Arial"/>
                <w:sz w:val="20"/>
                <w:szCs w:val="20"/>
              </w:rPr>
              <w:lastRenderedPageBreak/>
              <w:t xml:space="preserve">Information about the presence of boats in the proposed acquisition area and busy times along Gippsland Coast have been included in Section 5.6.4 of the EP. </w:t>
            </w:r>
          </w:p>
          <w:p w14:paraId="3B82220A" w14:textId="77777777" w:rsidR="00A70030" w:rsidRPr="00C83C0E" w:rsidRDefault="00A70030" w:rsidP="00073385">
            <w:pPr>
              <w:spacing w:before="60" w:after="60" w:line="240" w:lineRule="auto"/>
              <w:ind w:left="0"/>
              <w:rPr>
                <w:rFonts w:cs="Arial"/>
                <w:sz w:val="20"/>
                <w:szCs w:val="20"/>
              </w:rPr>
            </w:pPr>
            <w:r w:rsidRPr="00C83C0E">
              <w:rPr>
                <w:rFonts w:cs="Arial"/>
                <w:sz w:val="20"/>
                <w:szCs w:val="20"/>
              </w:rPr>
              <w:t>Noted preference to start near the shore and work outwards.</w:t>
            </w:r>
          </w:p>
          <w:p w14:paraId="0A60A2FE" w14:textId="77777777" w:rsidR="00A70030" w:rsidRDefault="00A70030" w:rsidP="00073385">
            <w:pPr>
              <w:spacing w:before="60" w:after="60" w:line="240" w:lineRule="auto"/>
              <w:rPr>
                <w:rFonts w:cs="Arial"/>
                <w:sz w:val="20"/>
                <w:szCs w:val="20"/>
              </w:rPr>
            </w:pPr>
          </w:p>
          <w:p w14:paraId="38599715" w14:textId="77777777" w:rsidR="00A70030" w:rsidRDefault="00A70030" w:rsidP="00073385">
            <w:pPr>
              <w:spacing w:before="60" w:after="60"/>
              <w:ind w:left="0"/>
              <w:rPr>
                <w:sz w:val="20"/>
                <w:szCs w:val="20"/>
              </w:rPr>
            </w:pPr>
            <w:r w:rsidRPr="00C83C0E">
              <w:rPr>
                <w:sz w:val="20"/>
                <w:szCs w:val="20"/>
              </w:rPr>
              <w:t>CarbonNet will contact the local bait shop to disseminate information when operational dates are known.</w:t>
            </w:r>
          </w:p>
          <w:p w14:paraId="6005CBEE" w14:textId="77777777" w:rsidR="00A70030" w:rsidRPr="00C83C0E" w:rsidRDefault="00A70030" w:rsidP="00073385">
            <w:pPr>
              <w:spacing w:before="60" w:after="60"/>
              <w:ind w:left="0"/>
              <w:rPr>
                <w:sz w:val="20"/>
                <w:szCs w:val="20"/>
              </w:rPr>
            </w:pPr>
          </w:p>
          <w:p w14:paraId="596D585B" w14:textId="77777777" w:rsidR="00A70030" w:rsidRDefault="00A70030" w:rsidP="00073385">
            <w:pPr>
              <w:spacing w:before="60" w:after="60" w:line="240" w:lineRule="auto"/>
              <w:ind w:left="0"/>
              <w:rPr>
                <w:rFonts w:cs="Arial"/>
                <w:sz w:val="20"/>
                <w:szCs w:val="20"/>
              </w:rPr>
            </w:pPr>
            <w:r>
              <w:rPr>
                <w:rFonts w:cs="Arial"/>
                <w:sz w:val="20"/>
                <w:szCs w:val="20"/>
              </w:rPr>
              <w:t>CarbonNet will continue to liaise with VRFish to ensure communications are sent to recreational fishers.</w:t>
            </w:r>
          </w:p>
          <w:p w14:paraId="52E36E4E" w14:textId="77777777" w:rsidR="00A70030" w:rsidRDefault="00A70030" w:rsidP="00073385">
            <w:pPr>
              <w:spacing w:before="60" w:after="60" w:line="240" w:lineRule="auto"/>
              <w:ind w:left="0"/>
              <w:rPr>
                <w:rFonts w:cs="Arial"/>
                <w:sz w:val="20"/>
                <w:szCs w:val="20"/>
              </w:rPr>
            </w:pPr>
          </w:p>
          <w:p w14:paraId="7A0B789B" w14:textId="77777777" w:rsidR="00A70030" w:rsidRDefault="00A70030" w:rsidP="00073385">
            <w:pPr>
              <w:spacing w:before="60" w:after="60" w:line="240" w:lineRule="auto"/>
              <w:ind w:left="0"/>
              <w:rPr>
                <w:rFonts w:cs="Arial"/>
                <w:sz w:val="20"/>
                <w:szCs w:val="20"/>
              </w:rPr>
            </w:pPr>
            <w:r>
              <w:rPr>
                <w:rFonts w:cs="Arial"/>
                <w:sz w:val="20"/>
                <w:szCs w:val="20"/>
              </w:rPr>
              <w:t>CarbonNet sent an email to VRFish on 31/5/17 with the summary of environmental habitat assessment.</w:t>
            </w:r>
          </w:p>
          <w:p w14:paraId="251EBD15" w14:textId="77777777" w:rsidR="00A70030" w:rsidRDefault="00A70030" w:rsidP="00073385">
            <w:pPr>
              <w:spacing w:before="60" w:after="60" w:line="240" w:lineRule="auto"/>
              <w:ind w:left="0"/>
              <w:rPr>
                <w:rFonts w:cs="Arial"/>
                <w:sz w:val="20"/>
                <w:szCs w:val="20"/>
              </w:rPr>
            </w:pPr>
          </w:p>
          <w:p w14:paraId="2748A253" w14:textId="77777777" w:rsidR="00A70030" w:rsidRDefault="00A70030" w:rsidP="00073385">
            <w:pPr>
              <w:spacing w:before="60" w:after="60" w:line="240" w:lineRule="auto"/>
              <w:ind w:left="0"/>
              <w:rPr>
                <w:rFonts w:cs="Arial"/>
                <w:sz w:val="20"/>
                <w:szCs w:val="20"/>
              </w:rPr>
            </w:pPr>
            <w:r>
              <w:rPr>
                <w:rFonts w:cs="Arial"/>
                <w:sz w:val="20"/>
                <w:szCs w:val="20"/>
              </w:rPr>
              <w:t>CarbonNet sent an email to VRFish on 27/6/17 with the summary of the STLM results, and requested VRFish get in touch if they would like to discuss. The summary included an offer to make CarbonNet’s acoustic consultant available to discuss the results.</w:t>
            </w:r>
          </w:p>
          <w:p w14:paraId="28881FDF" w14:textId="77777777" w:rsidR="00A70030" w:rsidRDefault="00A70030" w:rsidP="00073385">
            <w:pPr>
              <w:spacing w:before="60" w:after="60" w:line="240" w:lineRule="auto"/>
              <w:ind w:left="0"/>
              <w:rPr>
                <w:rFonts w:cs="Arial"/>
                <w:sz w:val="20"/>
                <w:szCs w:val="20"/>
              </w:rPr>
            </w:pPr>
          </w:p>
          <w:p w14:paraId="093B8010" w14:textId="77777777" w:rsidR="00A70030" w:rsidDel="007402BF" w:rsidRDefault="00A70030" w:rsidP="00073385">
            <w:pPr>
              <w:spacing w:before="60" w:after="60" w:line="240" w:lineRule="auto"/>
              <w:ind w:left="0"/>
              <w:rPr>
                <w:rFonts w:cs="Arial"/>
                <w:sz w:val="20"/>
                <w:szCs w:val="20"/>
              </w:rPr>
            </w:pPr>
          </w:p>
        </w:tc>
      </w:tr>
      <w:tr w:rsidR="00A70030" w:rsidRPr="00FF0808" w14:paraId="53605849" w14:textId="77777777" w:rsidTr="00905C82">
        <w:tc>
          <w:tcPr>
            <w:tcW w:w="1427" w:type="dxa"/>
            <w:tcBorders>
              <w:top w:val="nil"/>
              <w:bottom w:val="nil"/>
            </w:tcBorders>
            <w:shd w:val="clear" w:color="auto" w:fill="auto"/>
          </w:tcPr>
          <w:p w14:paraId="59E92468"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0269DC5" w14:textId="77777777" w:rsidR="00A70030" w:rsidRPr="00FF0808" w:rsidRDefault="00A70030" w:rsidP="00073385">
            <w:pPr>
              <w:spacing w:before="60" w:after="60" w:line="240" w:lineRule="auto"/>
              <w:ind w:left="0"/>
              <w:rPr>
                <w:rFonts w:cs="Arial"/>
                <w:sz w:val="20"/>
                <w:szCs w:val="20"/>
              </w:rPr>
            </w:pPr>
          </w:p>
        </w:tc>
        <w:tc>
          <w:tcPr>
            <w:tcW w:w="1055" w:type="dxa"/>
          </w:tcPr>
          <w:p w14:paraId="447F6F4D" w14:textId="77777777" w:rsidR="00A70030" w:rsidRDefault="00A70030" w:rsidP="00073385">
            <w:pPr>
              <w:spacing w:before="60" w:after="60" w:line="240" w:lineRule="auto"/>
              <w:ind w:left="0"/>
              <w:rPr>
                <w:rFonts w:cs="Arial"/>
                <w:sz w:val="20"/>
                <w:szCs w:val="20"/>
              </w:rPr>
            </w:pPr>
            <w:r>
              <w:rPr>
                <w:rFonts w:cs="Arial"/>
                <w:sz w:val="20"/>
                <w:szCs w:val="20"/>
              </w:rPr>
              <w:t>27/6/17</w:t>
            </w:r>
          </w:p>
        </w:tc>
        <w:tc>
          <w:tcPr>
            <w:tcW w:w="6335" w:type="dxa"/>
            <w:shd w:val="clear" w:color="auto" w:fill="auto"/>
          </w:tcPr>
          <w:p w14:paraId="67DDA38E" w14:textId="77777777" w:rsidR="00A70030" w:rsidRDefault="00A70030" w:rsidP="00073385">
            <w:pPr>
              <w:spacing w:before="60" w:after="60" w:line="240" w:lineRule="auto"/>
              <w:ind w:left="0"/>
              <w:rPr>
                <w:rFonts w:cs="Arial"/>
                <w:sz w:val="20"/>
                <w:szCs w:val="20"/>
              </w:rPr>
            </w:pPr>
            <w:r>
              <w:rPr>
                <w:rFonts w:cs="Arial"/>
                <w:sz w:val="20"/>
                <w:szCs w:val="20"/>
              </w:rPr>
              <w:t>CarbonNet sent VRFish summary of STLM results and requested they get in touch with any questions.</w:t>
            </w:r>
          </w:p>
        </w:tc>
        <w:tc>
          <w:tcPr>
            <w:tcW w:w="3802" w:type="dxa"/>
            <w:shd w:val="clear" w:color="auto" w:fill="auto"/>
          </w:tcPr>
          <w:p w14:paraId="3CD85C79" w14:textId="71D0D606"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5DDBCCE0" w14:textId="77777777" w:rsidTr="00891DE1">
        <w:tc>
          <w:tcPr>
            <w:tcW w:w="1427" w:type="dxa"/>
            <w:tcBorders>
              <w:top w:val="nil"/>
              <w:bottom w:val="nil"/>
            </w:tcBorders>
            <w:shd w:val="clear" w:color="auto" w:fill="auto"/>
          </w:tcPr>
          <w:p w14:paraId="3227C98E"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B6C08AE" w14:textId="77777777" w:rsidR="00A70030" w:rsidRPr="00FF0808" w:rsidRDefault="00A70030" w:rsidP="00073385">
            <w:pPr>
              <w:spacing w:before="60" w:after="60" w:line="240" w:lineRule="auto"/>
              <w:ind w:left="0"/>
              <w:rPr>
                <w:rFonts w:cs="Arial"/>
                <w:sz w:val="20"/>
                <w:szCs w:val="20"/>
              </w:rPr>
            </w:pPr>
          </w:p>
        </w:tc>
        <w:tc>
          <w:tcPr>
            <w:tcW w:w="1055" w:type="dxa"/>
          </w:tcPr>
          <w:p w14:paraId="3A95C89D" w14:textId="77777777" w:rsidR="00A70030" w:rsidRDefault="00A70030" w:rsidP="00073385">
            <w:pPr>
              <w:spacing w:before="60" w:after="60" w:line="240" w:lineRule="auto"/>
              <w:ind w:left="0"/>
              <w:rPr>
                <w:rFonts w:cs="Arial"/>
                <w:sz w:val="20"/>
                <w:szCs w:val="20"/>
              </w:rPr>
            </w:pPr>
            <w:r>
              <w:rPr>
                <w:rFonts w:cs="Arial"/>
                <w:sz w:val="20"/>
                <w:szCs w:val="20"/>
              </w:rPr>
              <w:t>7/8/17</w:t>
            </w:r>
          </w:p>
        </w:tc>
        <w:tc>
          <w:tcPr>
            <w:tcW w:w="6335" w:type="dxa"/>
            <w:shd w:val="clear" w:color="auto" w:fill="auto"/>
          </w:tcPr>
          <w:p w14:paraId="1F3DFADD" w14:textId="77777777" w:rsidR="00A70030" w:rsidRPr="00A73CBA" w:rsidRDefault="00A70030" w:rsidP="00073385">
            <w:pPr>
              <w:spacing w:before="60" w:after="60" w:line="240" w:lineRule="auto"/>
              <w:ind w:left="0"/>
              <w:rPr>
                <w:rFonts w:cs="Arial"/>
                <w:sz w:val="20"/>
                <w:szCs w:val="20"/>
              </w:rPr>
            </w:pPr>
            <w:r w:rsidRPr="001D00DE">
              <w:rPr>
                <w:rFonts w:cs="Arial"/>
                <w:sz w:val="20"/>
                <w:szCs w:val="20"/>
              </w:rPr>
              <w:t xml:space="preserve">CarbonNet emailed </w:t>
            </w:r>
            <w:r>
              <w:rPr>
                <w:rFonts w:cs="Arial"/>
                <w:sz w:val="20"/>
                <w:szCs w:val="20"/>
              </w:rPr>
              <w:t>VRFish</w:t>
            </w:r>
            <w:r w:rsidRPr="001D00DE">
              <w:rPr>
                <w:rFonts w:cs="Arial"/>
                <w:sz w:val="20"/>
                <w:szCs w:val="20"/>
              </w:rPr>
              <w:t xml:space="preserve"> </w:t>
            </w:r>
            <w:r w:rsidRPr="00A73CBA">
              <w:rPr>
                <w:rFonts w:cs="Arial"/>
                <w:sz w:val="20"/>
                <w:szCs w:val="20"/>
              </w:rPr>
              <w:t xml:space="preserve">advising that </w:t>
            </w:r>
            <w:r>
              <w:rPr>
                <w:rFonts w:cs="Arial"/>
                <w:sz w:val="20"/>
                <w:szCs w:val="20"/>
              </w:rPr>
              <w:t xml:space="preserve">operational </w:t>
            </w:r>
            <w:r w:rsidRPr="00A73CBA">
              <w:rPr>
                <w:rFonts w:cs="Arial"/>
                <w:sz w:val="20"/>
                <w:szCs w:val="20"/>
              </w:rPr>
              <w:t>area and duration of survey have now been refined, and advising we will submit EP in mid-August.</w:t>
            </w:r>
          </w:p>
          <w:p w14:paraId="1BC78B33" w14:textId="77777777" w:rsidR="00A70030" w:rsidRPr="00A73CBA" w:rsidRDefault="00A70030" w:rsidP="00073385">
            <w:pPr>
              <w:spacing w:before="60" w:after="60" w:line="240" w:lineRule="auto"/>
              <w:ind w:left="0"/>
              <w:rPr>
                <w:rFonts w:cs="Arial"/>
                <w:sz w:val="20"/>
                <w:szCs w:val="20"/>
              </w:rPr>
            </w:pPr>
            <w:r w:rsidRPr="00A73CBA">
              <w:rPr>
                <w:rFonts w:cs="Arial"/>
                <w:sz w:val="20"/>
                <w:szCs w:val="20"/>
              </w:rPr>
              <w:t xml:space="preserve">The email explained that the survey area is now larger due to vessel turns, and provided map with amended operational area, and </w:t>
            </w:r>
            <w:r w:rsidRPr="00A73CBA">
              <w:rPr>
                <w:rFonts w:cs="Arial"/>
                <w:sz w:val="20"/>
                <w:szCs w:val="20"/>
              </w:rPr>
              <w:lastRenderedPageBreak/>
              <w:t>acquisition area (which is unchanged).</w:t>
            </w:r>
          </w:p>
          <w:p w14:paraId="5133D20F" w14:textId="77777777" w:rsidR="00A70030" w:rsidRDefault="00A70030" w:rsidP="00073385">
            <w:pPr>
              <w:spacing w:before="60" w:after="60" w:line="240" w:lineRule="auto"/>
              <w:ind w:left="0"/>
              <w:rPr>
                <w:rFonts w:cs="Arial"/>
                <w:sz w:val="20"/>
                <w:szCs w:val="20"/>
              </w:rPr>
            </w:pPr>
            <w:r w:rsidRPr="00A73CBA">
              <w:rPr>
                <w:rFonts w:cs="Arial"/>
                <w:sz w:val="20"/>
                <w:szCs w:val="20"/>
              </w:rPr>
              <w:t>The survey duration is likely to be 13-16 days but could be up to 27 days depending on final vessel selection.</w:t>
            </w:r>
          </w:p>
        </w:tc>
        <w:tc>
          <w:tcPr>
            <w:tcW w:w="3802" w:type="dxa"/>
            <w:shd w:val="clear" w:color="auto" w:fill="auto"/>
          </w:tcPr>
          <w:p w14:paraId="4C0E5B92" w14:textId="73AFA9B3" w:rsidR="00A70030" w:rsidRDefault="00A70030" w:rsidP="00073385">
            <w:pPr>
              <w:spacing w:before="60" w:after="60" w:line="240" w:lineRule="auto"/>
              <w:ind w:left="0"/>
              <w:rPr>
                <w:rFonts w:cs="Arial"/>
                <w:sz w:val="20"/>
                <w:szCs w:val="20"/>
              </w:rPr>
            </w:pPr>
            <w:r>
              <w:rPr>
                <w:rFonts w:cs="Arial"/>
                <w:sz w:val="20"/>
                <w:szCs w:val="20"/>
              </w:rPr>
              <w:lastRenderedPageBreak/>
              <w:t>N/A</w:t>
            </w:r>
          </w:p>
        </w:tc>
      </w:tr>
      <w:tr w:rsidR="00A70030" w:rsidRPr="00FF0808" w14:paraId="177369F6" w14:textId="77777777" w:rsidTr="00905C82">
        <w:tc>
          <w:tcPr>
            <w:tcW w:w="1427" w:type="dxa"/>
            <w:tcBorders>
              <w:top w:val="nil"/>
            </w:tcBorders>
            <w:shd w:val="clear" w:color="auto" w:fill="auto"/>
          </w:tcPr>
          <w:p w14:paraId="1E1C1172" w14:textId="77777777" w:rsidR="00A70030" w:rsidRDefault="00A70030" w:rsidP="00073385">
            <w:pPr>
              <w:spacing w:before="60" w:after="60" w:line="240" w:lineRule="auto"/>
              <w:ind w:left="0"/>
              <w:rPr>
                <w:rFonts w:cs="Arial"/>
                <w:sz w:val="20"/>
                <w:szCs w:val="20"/>
              </w:rPr>
            </w:pPr>
          </w:p>
        </w:tc>
        <w:tc>
          <w:tcPr>
            <w:tcW w:w="1629" w:type="dxa"/>
            <w:tcBorders>
              <w:top w:val="nil"/>
            </w:tcBorders>
            <w:shd w:val="clear" w:color="auto" w:fill="auto"/>
          </w:tcPr>
          <w:p w14:paraId="35D60CAB" w14:textId="77777777" w:rsidR="00A70030" w:rsidRPr="00FF0808" w:rsidRDefault="00A70030" w:rsidP="00073385">
            <w:pPr>
              <w:spacing w:before="60" w:after="60" w:line="240" w:lineRule="auto"/>
              <w:ind w:left="0"/>
              <w:rPr>
                <w:rFonts w:cs="Arial"/>
                <w:sz w:val="20"/>
                <w:szCs w:val="20"/>
              </w:rPr>
            </w:pPr>
          </w:p>
        </w:tc>
        <w:tc>
          <w:tcPr>
            <w:tcW w:w="1055" w:type="dxa"/>
          </w:tcPr>
          <w:p w14:paraId="6FB0D62F" w14:textId="19E098AB"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6E15AFA6" w14:textId="584D902B" w:rsidR="00A70030" w:rsidRPr="001D00DE"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510066C5" w14:textId="32A0965E"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143730CA" w14:textId="77777777" w:rsidTr="00077C5F">
        <w:tc>
          <w:tcPr>
            <w:tcW w:w="1427" w:type="dxa"/>
            <w:shd w:val="clear" w:color="auto" w:fill="auto"/>
          </w:tcPr>
          <w:p w14:paraId="544F893C" w14:textId="77777777" w:rsidR="00A70030" w:rsidRDefault="00A70030" w:rsidP="00073385">
            <w:pPr>
              <w:spacing w:before="60" w:after="60" w:line="240" w:lineRule="auto"/>
              <w:ind w:left="0"/>
              <w:rPr>
                <w:rFonts w:cs="Arial"/>
                <w:sz w:val="20"/>
                <w:szCs w:val="20"/>
              </w:rPr>
            </w:pPr>
            <w:r>
              <w:rPr>
                <w:rFonts w:cs="Arial"/>
                <w:sz w:val="20"/>
                <w:szCs w:val="20"/>
              </w:rPr>
              <w:t>Victorian Bays and Inlets Fisheries Association</w:t>
            </w:r>
          </w:p>
        </w:tc>
        <w:tc>
          <w:tcPr>
            <w:tcW w:w="1629" w:type="dxa"/>
            <w:shd w:val="clear" w:color="auto" w:fill="auto"/>
          </w:tcPr>
          <w:p w14:paraId="0A50B72A" w14:textId="77777777" w:rsidR="00A70030" w:rsidRPr="00FF0808" w:rsidRDefault="00A70030" w:rsidP="00073385">
            <w:pPr>
              <w:spacing w:before="60" w:after="60" w:line="240" w:lineRule="auto"/>
              <w:ind w:left="0"/>
              <w:rPr>
                <w:rFonts w:cs="Arial"/>
                <w:sz w:val="20"/>
                <w:szCs w:val="20"/>
              </w:rPr>
            </w:pPr>
            <w:r>
              <w:rPr>
                <w:rFonts w:cs="Arial"/>
                <w:sz w:val="20"/>
                <w:szCs w:val="20"/>
              </w:rPr>
              <w:t>Represent fishermen who may have activities near proposed acquisition area</w:t>
            </w:r>
          </w:p>
        </w:tc>
        <w:tc>
          <w:tcPr>
            <w:tcW w:w="1055" w:type="dxa"/>
          </w:tcPr>
          <w:p w14:paraId="558F7D1B" w14:textId="77777777" w:rsidR="00A70030" w:rsidRDefault="00A70030"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7CBF4D25" w14:textId="77777777" w:rsidR="00A70030" w:rsidRDefault="00A70030" w:rsidP="00073385">
            <w:pPr>
              <w:spacing w:before="60" w:after="60" w:line="240" w:lineRule="auto"/>
              <w:ind w:left="0"/>
              <w:rPr>
                <w:rFonts w:cs="Arial"/>
                <w:sz w:val="20"/>
                <w:szCs w:val="20"/>
              </w:rPr>
            </w:pPr>
            <w:r>
              <w:rPr>
                <w:rFonts w:cs="Arial"/>
                <w:sz w:val="20"/>
                <w:szCs w:val="20"/>
              </w:rPr>
              <w:t xml:space="preserve">CarbonNet contacted </w:t>
            </w:r>
            <w:r w:rsidRPr="00D654A8">
              <w:rPr>
                <w:rFonts w:cs="Arial"/>
                <w:sz w:val="20"/>
                <w:szCs w:val="20"/>
              </w:rPr>
              <w:t>Victorian Bays and Inlets Fisheries Association</w:t>
            </w:r>
            <w:r>
              <w:rPr>
                <w:rFonts w:cs="Arial"/>
                <w:sz w:val="20"/>
                <w:szCs w:val="20"/>
              </w:rPr>
              <w:t xml:space="preserve"> via post and email with a letter that invited feedback and provided a fact sheet.</w:t>
            </w:r>
          </w:p>
          <w:p w14:paraId="51FF8A90" w14:textId="77777777" w:rsidR="00A70030" w:rsidRDefault="00A70030" w:rsidP="00073385">
            <w:pPr>
              <w:spacing w:before="60" w:after="60" w:line="240" w:lineRule="auto"/>
              <w:ind w:left="0"/>
              <w:rPr>
                <w:rFonts w:cs="Arial"/>
                <w:sz w:val="20"/>
                <w:szCs w:val="20"/>
              </w:rPr>
            </w:pPr>
            <w:r>
              <w:rPr>
                <w:rFonts w:cs="Arial"/>
                <w:sz w:val="20"/>
                <w:szCs w:val="20"/>
              </w:rPr>
              <w:t xml:space="preserve">No response has been received to date. </w:t>
            </w:r>
          </w:p>
        </w:tc>
        <w:tc>
          <w:tcPr>
            <w:tcW w:w="3802" w:type="dxa"/>
            <w:shd w:val="clear" w:color="auto" w:fill="auto"/>
          </w:tcPr>
          <w:p w14:paraId="53739565" w14:textId="77777777" w:rsidR="00A70030" w:rsidRDefault="00A70030" w:rsidP="00073385">
            <w:pPr>
              <w:spacing w:before="60" w:after="60" w:line="240" w:lineRule="auto"/>
              <w:ind w:left="0"/>
              <w:rPr>
                <w:rFonts w:cs="Arial"/>
                <w:sz w:val="20"/>
                <w:szCs w:val="20"/>
              </w:rPr>
            </w:pPr>
            <w:r>
              <w:rPr>
                <w:rFonts w:cs="Arial"/>
                <w:sz w:val="20"/>
                <w:szCs w:val="20"/>
              </w:rPr>
              <w:t>Further attempts to engage this stakeholder are not required as the MSS is proposed for Bass Strait and won’t impact on any bays or inlets.</w:t>
            </w:r>
          </w:p>
        </w:tc>
      </w:tr>
      <w:tr w:rsidR="00A70030" w:rsidRPr="00FF0808" w14:paraId="03C9928D" w14:textId="77777777" w:rsidTr="00077C5F">
        <w:trPr>
          <w:trHeight w:val="1604"/>
        </w:trPr>
        <w:tc>
          <w:tcPr>
            <w:tcW w:w="1427" w:type="dxa"/>
            <w:vMerge w:val="restart"/>
            <w:shd w:val="clear" w:color="auto" w:fill="auto"/>
          </w:tcPr>
          <w:p w14:paraId="24577AD8" w14:textId="77777777" w:rsidR="00A70030" w:rsidRDefault="00A70030" w:rsidP="00073385">
            <w:pPr>
              <w:spacing w:before="60" w:after="60" w:line="240" w:lineRule="auto"/>
              <w:ind w:left="0"/>
              <w:rPr>
                <w:rFonts w:cs="Arial"/>
                <w:sz w:val="20"/>
                <w:szCs w:val="20"/>
              </w:rPr>
            </w:pPr>
            <w:r>
              <w:rPr>
                <w:rFonts w:cs="Arial"/>
                <w:sz w:val="20"/>
                <w:szCs w:val="20"/>
              </w:rPr>
              <w:t>Individual fishing licence holders</w:t>
            </w:r>
          </w:p>
        </w:tc>
        <w:tc>
          <w:tcPr>
            <w:tcW w:w="1629" w:type="dxa"/>
            <w:vMerge w:val="restart"/>
            <w:shd w:val="clear" w:color="auto" w:fill="auto"/>
          </w:tcPr>
          <w:p w14:paraId="4B10728E" w14:textId="77777777" w:rsidR="00A70030" w:rsidRPr="00FF0808" w:rsidRDefault="00A70030" w:rsidP="00073385">
            <w:pPr>
              <w:spacing w:before="60" w:after="60" w:line="240" w:lineRule="auto"/>
              <w:ind w:left="0"/>
              <w:rPr>
                <w:rFonts w:cs="Arial"/>
                <w:sz w:val="20"/>
                <w:szCs w:val="20"/>
              </w:rPr>
            </w:pPr>
            <w:r>
              <w:rPr>
                <w:rFonts w:cs="Arial"/>
                <w:sz w:val="20"/>
                <w:szCs w:val="20"/>
              </w:rPr>
              <w:t>Fishers who have catch and effort history within state waters in CarbonNet’s proposed operational area</w:t>
            </w:r>
          </w:p>
        </w:tc>
        <w:tc>
          <w:tcPr>
            <w:tcW w:w="1055" w:type="dxa"/>
          </w:tcPr>
          <w:p w14:paraId="5107935E" w14:textId="77777777" w:rsidR="00A70030" w:rsidRDefault="00A70030" w:rsidP="00073385">
            <w:pPr>
              <w:spacing w:before="60" w:after="60" w:line="240" w:lineRule="auto"/>
              <w:ind w:left="0"/>
              <w:rPr>
                <w:rFonts w:cs="Arial"/>
                <w:sz w:val="20"/>
                <w:szCs w:val="20"/>
              </w:rPr>
            </w:pPr>
            <w:r>
              <w:rPr>
                <w:rFonts w:cs="Arial"/>
                <w:sz w:val="20"/>
                <w:szCs w:val="20"/>
              </w:rPr>
              <w:t>21/3/17</w:t>
            </w:r>
          </w:p>
          <w:p w14:paraId="2AAD5890" w14:textId="77777777" w:rsidR="00A70030" w:rsidRDefault="00A70030" w:rsidP="00073385">
            <w:pPr>
              <w:spacing w:before="60" w:after="60" w:line="240" w:lineRule="auto"/>
              <w:ind w:left="0"/>
              <w:rPr>
                <w:rFonts w:cs="Arial"/>
                <w:sz w:val="20"/>
                <w:szCs w:val="20"/>
              </w:rPr>
            </w:pPr>
          </w:p>
          <w:p w14:paraId="572B56DD" w14:textId="77777777" w:rsidR="00A70030" w:rsidRDefault="00A70030" w:rsidP="00073385">
            <w:pPr>
              <w:spacing w:before="60" w:after="60" w:line="240" w:lineRule="auto"/>
              <w:ind w:left="0"/>
              <w:rPr>
                <w:rFonts w:cs="Arial"/>
                <w:sz w:val="20"/>
                <w:szCs w:val="20"/>
              </w:rPr>
            </w:pPr>
          </w:p>
        </w:tc>
        <w:tc>
          <w:tcPr>
            <w:tcW w:w="6335" w:type="dxa"/>
            <w:shd w:val="clear" w:color="auto" w:fill="auto"/>
          </w:tcPr>
          <w:p w14:paraId="34B05239" w14:textId="77777777" w:rsidR="00A70030" w:rsidRDefault="00A70030" w:rsidP="00073385">
            <w:pPr>
              <w:spacing w:before="60" w:after="60" w:line="240" w:lineRule="auto"/>
              <w:ind w:left="0"/>
              <w:rPr>
                <w:rFonts w:cs="Arial"/>
                <w:sz w:val="20"/>
                <w:szCs w:val="20"/>
              </w:rPr>
            </w:pPr>
            <w:r>
              <w:rPr>
                <w:rFonts w:cs="Arial"/>
                <w:sz w:val="20"/>
                <w:szCs w:val="20"/>
              </w:rPr>
              <w:t>CarbonNet sent a letter (via VFA) to nine fishing licence holders who were identified by VFA as having catch and effort history in the MSS area. Due to privacy reasons, CarbonNet is not privy to the identity or contact information for the individuals.</w:t>
            </w:r>
          </w:p>
          <w:p w14:paraId="5729C8FF" w14:textId="77777777" w:rsidR="00A70030" w:rsidRDefault="00A70030" w:rsidP="00073385">
            <w:pPr>
              <w:spacing w:before="60" w:after="60" w:line="240" w:lineRule="auto"/>
              <w:ind w:left="0"/>
              <w:rPr>
                <w:rFonts w:cs="Arial"/>
                <w:sz w:val="20"/>
                <w:szCs w:val="20"/>
              </w:rPr>
            </w:pPr>
            <w:r>
              <w:rPr>
                <w:rFonts w:cs="Arial"/>
                <w:sz w:val="20"/>
                <w:szCs w:val="20"/>
              </w:rPr>
              <w:t>The letter included a fact sheet and CarbonNet contact details for individuals to get in touch.</w:t>
            </w:r>
          </w:p>
        </w:tc>
        <w:tc>
          <w:tcPr>
            <w:tcW w:w="3802" w:type="dxa"/>
            <w:shd w:val="clear" w:color="auto" w:fill="auto"/>
          </w:tcPr>
          <w:p w14:paraId="1392DA33" w14:textId="55D5D826" w:rsidR="00A70030" w:rsidRPr="00905C82" w:rsidRDefault="00A70030" w:rsidP="00905C82">
            <w:pPr>
              <w:spacing w:before="60" w:after="60" w:line="240" w:lineRule="auto"/>
              <w:ind w:left="0"/>
              <w:rPr>
                <w:rFonts w:cs="Arial"/>
                <w:sz w:val="20"/>
                <w:szCs w:val="20"/>
              </w:rPr>
            </w:pPr>
            <w:r>
              <w:rPr>
                <w:rFonts w:cs="Arial"/>
                <w:sz w:val="20"/>
                <w:szCs w:val="20"/>
              </w:rPr>
              <w:t>N/A</w:t>
            </w:r>
          </w:p>
        </w:tc>
      </w:tr>
      <w:tr w:rsidR="00A70030" w:rsidRPr="00FF0808" w14:paraId="54C45AD1" w14:textId="77777777" w:rsidTr="00077C5F">
        <w:trPr>
          <w:trHeight w:val="1604"/>
        </w:trPr>
        <w:tc>
          <w:tcPr>
            <w:tcW w:w="1427" w:type="dxa"/>
            <w:vMerge/>
            <w:shd w:val="clear" w:color="auto" w:fill="auto"/>
          </w:tcPr>
          <w:p w14:paraId="6707CB4A" w14:textId="77777777" w:rsidR="00A70030" w:rsidRDefault="00A70030" w:rsidP="00073385">
            <w:pPr>
              <w:spacing w:before="60" w:after="60" w:line="240" w:lineRule="auto"/>
              <w:ind w:left="0"/>
              <w:rPr>
                <w:rFonts w:cs="Arial"/>
                <w:sz w:val="20"/>
                <w:szCs w:val="20"/>
              </w:rPr>
            </w:pPr>
          </w:p>
        </w:tc>
        <w:tc>
          <w:tcPr>
            <w:tcW w:w="1629" w:type="dxa"/>
            <w:vMerge/>
            <w:shd w:val="clear" w:color="auto" w:fill="auto"/>
          </w:tcPr>
          <w:p w14:paraId="310ECC32" w14:textId="77777777" w:rsidR="00A70030" w:rsidRDefault="00A70030" w:rsidP="00073385">
            <w:pPr>
              <w:spacing w:before="60" w:after="60" w:line="240" w:lineRule="auto"/>
              <w:ind w:left="0"/>
              <w:rPr>
                <w:rFonts w:cs="Arial"/>
                <w:sz w:val="20"/>
                <w:szCs w:val="20"/>
              </w:rPr>
            </w:pPr>
          </w:p>
        </w:tc>
        <w:tc>
          <w:tcPr>
            <w:tcW w:w="1055" w:type="dxa"/>
          </w:tcPr>
          <w:p w14:paraId="1FBC6CBD" w14:textId="77777777" w:rsidR="00A70030" w:rsidRDefault="00A70030" w:rsidP="00073385">
            <w:pPr>
              <w:spacing w:before="60" w:after="60" w:line="240" w:lineRule="auto"/>
              <w:ind w:left="0"/>
              <w:rPr>
                <w:rFonts w:cs="Arial"/>
                <w:sz w:val="20"/>
                <w:szCs w:val="20"/>
              </w:rPr>
            </w:pPr>
            <w:r>
              <w:rPr>
                <w:rFonts w:cs="Arial"/>
                <w:sz w:val="20"/>
                <w:szCs w:val="20"/>
              </w:rPr>
              <w:t>4/4/17</w:t>
            </w:r>
          </w:p>
          <w:p w14:paraId="1AA44895" w14:textId="77777777" w:rsidR="00A70030" w:rsidRDefault="00A70030" w:rsidP="00073385">
            <w:pPr>
              <w:spacing w:before="60" w:after="60" w:line="240" w:lineRule="auto"/>
              <w:ind w:left="0"/>
              <w:rPr>
                <w:rFonts w:cs="Arial"/>
                <w:sz w:val="20"/>
                <w:szCs w:val="20"/>
              </w:rPr>
            </w:pPr>
          </w:p>
        </w:tc>
        <w:tc>
          <w:tcPr>
            <w:tcW w:w="6335" w:type="dxa"/>
            <w:shd w:val="clear" w:color="auto" w:fill="auto"/>
          </w:tcPr>
          <w:p w14:paraId="2B813F44" w14:textId="77777777" w:rsidR="00A70030" w:rsidRPr="003F0792" w:rsidRDefault="00A70030" w:rsidP="00073385">
            <w:pPr>
              <w:spacing w:before="60" w:after="60" w:line="240" w:lineRule="auto"/>
              <w:ind w:left="0"/>
              <w:rPr>
                <w:rFonts w:cs="Arial"/>
                <w:sz w:val="20"/>
                <w:szCs w:val="20"/>
              </w:rPr>
            </w:pPr>
            <w:r>
              <w:rPr>
                <w:rFonts w:cs="Arial"/>
                <w:sz w:val="20"/>
                <w:szCs w:val="20"/>
              </w:rPr>
              <w:t xml:space="preserve">CarbonNet received an email from VFA, who confirmed they contacted </w:t>
            </w:r>
            <w:r w:rsidRPr="003F0792">
              <w:rPr>
                <w:rFonts w:cs="Arial"/>
                <w:sz w:val="20"/>
                <w:szCs w:val="20"/>
              </w:rPr>
              <w:t xml:space="preserve">all </w:t>
            </w:r>
            <w:r>
              <w:rPr>
                <w:rFonts w:cs="Arial"/>
                <w:sz w:val="20"/>
                <w:szCs w:val="20"/>
              </w:rPr>
              <w:t xml:space="preserve">the individual </w:t>
            </w:r>
            <w:r w:rsidRPr="003F0792">
              <w:rPr>
                <w:rFonts w:cs="Arial"/>
                <w:sz w:val="20"/>
                <w:szCs w:val="20"/>
              </w:rPr>
              <w:t>fishers except for one and confirmed that the letters were received.</w:t>
            </w:r>
          </w:p>
          <w:p w14:paraId="1864E3F4" w14:textId="77777777" w:rsidR="00A70030" w:rsidRPr="003F0792" w:rsidRDefault="00A70030" w:rsidP="00073385">
            <w:pPr>
              <w:spacing w:before="60" w:after="60" w:line="240" w:lineRule="auto"/>
              <w:ind w:left="0"/>
              <w:rPr>
                <w:rFonts w:cs="Arial"/>
                <w:sz w:val="20"/>
                <w:szCs w:val="20"/>
              </w:rPr>
            </w:pPr>
            <w:r>
              <w:rPr>
                <w:rFonts w:cs="Arial"/>
                <w:sz w:val="20"/>
                <w:szCs w:val="20"/>
              </w:rPr>
              <w:t xml:space="preserve">VFA </w:t>
            </w:r>
            <w:r w:rsidRPr="003F0792">
              <w:rPr>
                <w:rFonts w:cs="Arial"/>
                <w:sz w:val="20"/>
                <w:szCs w:val="20"/>
              </w:rPr>
              <w:t xml:space="preserve">will email the letter and fact sheet to the one fisher </w:t>
            </w:r>
            <w:r>
              <w:rPr>
                <w:rFonts w:cs="Arial"/>
                <w:sz w:val="20"/>
                <w:szCs w:val="20"/>
              </w:rPr>
              <w:t>who could not be reached</w:t>
            </w:r>
            <w:r w:rsidRPr="003F0792">
              <w:rPr>
                <w:rFonts w:cs="Arial"/>
                <w:sz w:val="20"/>
                <w:szCs w:val="20"/>
              </w:rPr>
              <w:t>.</w:t>
            </w:r>
          </w:p>
          <w:p w14:paraId="4EF2BC01" w14:textId="231E51DC" w:rsidR="00A70030" w:rsidRDefault="00A70030" w:rsidP="00073385">
            <w:pPr>
              <w:spacing w:before="60" w:after="60" w:line="240" w:lineRule="auto"/>
              <w:ind w:left="0"/>
              <w:rPr>
                <w:rFonts w:cs="Arial"/>
                <w:sz w:val="20"/>
                <w:szCs w:val="20"/>
              </w:rPr>
            </w:pPr>
            <w:r w:rsidRPr="003F0792">
              <w:rPr>
                <w:rFonts w:cs="Arial"/>
                <w:sz w:val="20"/>
                <w:szCs w:val="20"/>
              </w:rPr>
              <w:t xml:space="preserve">All fishers have been provided with </w:t>
            </w:r>
            <w:r>
              <w:rPr>
                <w:rFonts w:cs="Arial"/>
                <w:sz w:val="20"/>
                <w:szCs w:val="20"/>
              </w:rPr>
              <w:t>CarbonNet contact information.</w:t>
            </w:r>
          </w:p>
        </w:tc>
        <w:tc>
          <w:tcPr>
            <w:tcW w:w="3802" w:type="dxa"/>
            <w:shd w:val="clear" w:color="auto" w:fill="auto"/>
          </w:tcPr>
          <w:p w14:paraId="51235D6F"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6895894D" w14:textId="77777777" w:rsidTr="00077C5F">
        <w:tc>
          <w:tcPr>
            <w:tcW w:w="1427" w:type="dxa"/>
            <w:vMerge/>
            <w:shd w:val="clear" w:color="auto" w:fill="auto"/>
          </w:tcPr>
          <w:p w14:paraId="0BDCE88F" w14:textId="77777777" w:rsidR="00A70030" w:rsidRDefault="00A70030" w:rsidP="00073385">
            <w:pPr>
              <w:spacing w:before="60" w:after="60" w:line="240" w:lineRule="auto"/>
              <w:ind w:left="0"/>
              <w:rPr>
                <w:rFonts w:cs="Arial"/>
                <w:sz w:val="20"/>
                <w:szCs w:val="20"/>
              </w:rPr>
            </w:pPr>
          </w:p>
        </w:tc>
        <w:tc>
          <w:tcPr>
            <w:tcW w:w="1629" w:type="dxa"/>
            <w:vMerge/>
            <w:shd w:val="clear" w:color="auto" w:fill="auto"/>
          </w:tcPr>
          <w:p w14:paraId="34D26741" w14:textId="77777777" w:rsidR="00A70030" w:rsidRPr="00FF0808" w:rsidRDefault="00A70030" w:rsidP="00073385">
            <w:pPr>
              <w:spacing w:before="60" w:after="60" w:line="240" w:lineRule="auto"/>
              <w:ind w:left="0"/>
              <w:rPr>
                <w:rFonts w:cs="Arial"/>
                <w:sz w:val="20"/>
                <w:szCs w:val="20"/>
              </w:rPr>
            </w:pPr>
          </w:p>
        </w:tc>
        <w:tc>
          <w:tcPr>
            <w:tcW w:w="1055" w:type="dxa"/>
          </w:tcPr>
          <w:p w14:paraId="06CFF006" w14:textId="77777777" w:rsidR="00A70030" w:rsidRDefault="00A70030" w:rsidP="00073385">
            <w:pPr>
              <w:spacing w:before="60" w:after="60" w:line="240" w:lineRule="auto"/>
              <w:ind w:left="0"/>
              <w:rPr>
                <w:rFonts w:cs="Arial"/>
                <w:sz w:val="20"/>
                <w:szCs w:val="20"/>
              </w:rPr>
            </w:pPr>
            <w:r w:rsidRPr="00122460">
              <w:rPr>
                <w:rFonts w:cs="Arial"/>
                <w:sz w:val="20"/>
                <w:szCs w:val="20"/>
              </w:rPr>
              <w:t>12/4/17</w:t>
            </w:r>
          </w:p>
        </w:tc>
        <w:tc>
          <w:tcPr>
            <w:tcW w:w="6335" w:type="dxa"/>
            <w:shd w:val="clear" w:color="auto" w:fill="auto"/>
          </w:tcPr>
          <w:p w14:paraId="7237CDA0" w14:textId="77777777" w:rsidR="00A70030" w:rsidRDefault="00A70030" w:rsidP="00073385">
            <w:pPr>
              <w:spacing w:before="60" w:after="60" w:line="240" w:lineRule="auto"/>
              <w:ind w:left="0"/>
              <w:rPr>
                <w:rFonts w:cs="Arial"/>
                <w:sz w:val="20"/>
                <w:szCs w:val="20"/>
              </w:rPr>
            </w:pPr>
            <w:r>
              <w:rPr>
                <w:rFonts w:cs="Arial"/>
                <w:sz w:val="20"/>
                <w:szCs w:val="20"/>
              </w:rPr>
              <w:t xml:space="preserve">CarbonNet spoke to VFA to ask if any further feedback or follow up was received from any of the individual licence holders. </w:t>
            </w:r>
          </w:p>
          <w:p w14:paraId="61D85CD9" w14:textId="77777777" w:rsidR="00A70030" w:rsidRDefault="00A70030" w:rsidP="00073385">
            <w:pPr>
              <w:spacing w:before="60" w:after="60" w:line="240" w:lineRule="auto"/>
              <w:ind w:left="0"/>
              <w:rPr>
                <w:rFonts w:cs="Arial"/>
                <w:sz w:val="20"/>
                <w:szCs w:val="20"/>
              </w:rPr>
            </w:pPr>
            <w:r>
              <w:rPr>
                <w:rFonts w:cs="Arial"/>
                <w:sz w:val="20"/>
                <w:szCs w:val="20"/>
              </w:rPr>
              <w:t>VFA said all fishers confirmed they had received the letter (except one, who was sent the letter via email). One fisher commented he was not happy and would contact LEFCOL to discuss. The others did not express any specific concerns.</w:t>
            </w:r>
          </w:p>
        </w:tc>
        <w:tc>
          <w:tcPr>
            <w:tcW w:w="3802" w:type="dxa"/>
            <w:shd w:val="clear" w:color="auto" w:fill="auto"/>
          </w:tcPr>
          <w:p w14:paraId="446ED60F" w14:textId="77777777" w:rsidR="00A70030" w:rsidRDefault="00A70030" w:rsidP="00073385">
            <w:pPr>
              <w:spacing w:before="60" w:after="60" w:line="240" w:lineRule="auto"/>
              <w:ind w:left="0"/>
              <w:rPr>
                <w:rFonts w:cs="Arial"/>
                <w:sz w:val="20"/>
                <w:szCs w:val="20"/>
              </w:rPr>
            </w:pPr>
            <w:r>
              <w:rPr>
                <w:rFonts w:cs="Arial"/>
                <w:sz w:val="20"/>
                <w:szCs w:val="20"/>
              </w:rPr>
              <w:t>CarbonNet will continue to engage with LEFCOL and other fishing industry groups who represent individual fishers.</w:t>
            </w:r>
          </w:p>
          <w:p w14:paraId="6B16E67F" w14:textId="77777777" w:rsidR="00A70030" w:rsidRDefault="00A70030" w:rsidP="00073385">
            <w:pPr>
              <w:spacing w:before="60" w:after="60" w:line="240" w:lineRule="auto"/>
              <w:ind w:left="0"/>
              <w:rPr>
                <w:rFonts w:cs="Arial"/>
                <w:sz w:val="20"/>
                <w:szCs w:val="20"/>
              </w:rPr>
            </w:pPr>
          </w:p>
        </w:tc>
      </w:tr>
      <w:tr w:rsidR="00A70030" w:rsidRPr="00FF0808" w14:paraId="7C140EC5" w14:textId="77777777" w:rsidTr="00905C82">
        <w:tc>
          <w:tcPr>
            <w:tcW w:w="1427" w:type="dxa"/>
            <w:vMerge/>
            <w:tcBorders>
              <w:bottom w:val="nil"/>
            </w:tcBorders>
            <w:shd w:val="clear" w:color="auto" w:fill="auto"/>
          </w:tcPr>
          <w:p w14:paraId="4BC12FDB" w14:textId="77777777" w:rsidR="00A70030"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4D55B914" w14:textId="77777777" w:rsidR="00A70030" w:rsidRPr="00FF0808" w:rsidRDefault="00A70030" w:rsidP="00073385">
            <w:pPr>
              <w:spacing w:before="60" w:after="60" w:line="240" w:lineRule="auto"/>
              <w:ind w:left="0"/>
              <w:rPr>
                <w:rFonts w:cs="Arial"/>
                <w:sz w:val="20"/>
                <w:szCs w:val="20"/>
              </w:rPr>
            </w:pPr>
          </w:p>
        </w:tc>
        <w:tc>
          <w:tcPr>
            <w:tcW w:w="1055" w:type="dxa"/>
            <w:shd w:val="clear" w:color="auto" w:fill="auto"/>
          </w:tcPr>
          <w:p w14:paraId="6CAA09E8" w14:textId="77777777" w:rsidR="00A70030" w:rsidRDefault="00A70030" w:rsidP="00073385">
            <w:pPr>
              <w:spacing w:before="60" w:after="60" w:line="240" w:lineRule="auto"/>
              <w:ind w:left="0"/>
              <w:rPr>
                <w:rFonts w:cs="Arial"/>
                <w:sz w:val="20"/>
                <w:szCs w:val="20"/>
              </w:rPr>
            </w:pPr>
            <w:r>
              <w:rPr>
                <w:rFonts w:cs="Arial"/>
                <w:sz w:val="20"/>
                <w:szCs w:val="20"/>
              </w:rPr>
              <w:t>28/7/17</w:t>
            </w:r>
          </w:p>
        </w:tc>
        <w:tc>
          <w:tcPr>
            <w:tcW w:w="6335" w:type="dxa"/>
            <w:shd w:val="clear" w:color="auto" w:fill="auto"/>
          </w:tcPr>
          <w:p w14:paraId="524AFAB9" w14:textId="77777777" w:rsidR="00A70030" w:rsidRDefault="00A70030" w:rsidP="00073385">
            <w:pPr>
              <w:spacing w:before="60" w:after="60" w:line="240" w:lineRule="auto"/>
              <w:ind w:left="0"/>
              <w:rPr>
                <w:rFonts w:cs="Arial"/>
                <w:sz w:val="20"/>
                <w:szCs w:val="20"/>
              </w:rPr>
            </w:pPr>
            <w:r>
              <w:rPr>
                <w:rFonts w:cs="Arial"/>
                <w:sz w:val="20"/>
                <w:szCs w:val="20"/>
              </w:rPr>
              <w:t xml:space="preserve">A scallop fisherman (who does not hold a licence but fishes under </w:t>
            </w:r>
            <w:r>
              <w:rPr>
                <w:rFonts w:cs="Arial"/>
                <w:sz w:val="20"/>
                <w:szCs w:val="20"/>
              </w:rPr>
              <w:lastRenderedPageBreak/>
              <w:t>another licence) attended a meeting with VSFA in Traralgon. See notes under VSFA.</w:t>
            </w:r>
          </w:p>
        </w:tc>
        <w:tc>
          <w:tcPr>
            <w:tcW w:w="3802" w:type="dxa"/>
            <w:shd w:val="clear" w:color="auto" w:fill="auto"/>
          </w:tcPr>
          <w:p w14:paraId="21816533" w14:textId="5D372B34" w:rsidR="00A70030" w:rsidRDefault="00A70030" w:rsidP="00073385">
            <w:pPr>
              <w:spacing w:before="60" w:after="60" w:line="240" w:lineRule="auto"/>
              <w:ind w:left="0"/>
              <w:rPr>
                <w:rFonts w:cs="Arial"/>
                <w:sz w:val="20"/>
                <w:szCs w:val="20"/>
              </w:rPr>
            </w:pPr>
            <w:r>
              <w:rPr>
                <w:rFonts w:cs="Arial"/>
                <w:sz w:val="20"/>
                <w:szCs w:val="20"/>
              </w:rPr>
              <w:lastRenderedPageBreak/>
              <w:t>N/A</w:t>
            </w:r>
          </w:p>
        </w:tc>
      </w:tr>
      <w:tr w:rsidR="00A70030" w:rsidRPr="00FF0808" w14:paraId="167C5C9C" w14:textId="77777777" w:rsidTr="00891DE1">
        <w:tc>
          <w:tcPr>
            <w:tcW w:w="1427" w:type="dxa"/>
            <w:tcBorders>
              <w:top w:val="nil"/>
              <w:bottom w:val="nil"/>
            </w:tcBorders>
            <w:shd w:val="clear" w:color="auto" w:fill="auto"/>
          </w:tcPr>
          <w:p w14:paraId="28879314"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4223550" w14:textId="77777777" w:rsidR="00A70030" w:rsidRPr="00FF0808" w:rsidRDefault="00A70030" w:rsidP="00073385">
            <w:pPr>
              <w:spacing w:before="60" w:after="60" w:line="240" w:lineRule="auto"/>
              <w:ind w:left="0"/>
              <w:rPr>
                <w:rFonts w:cs="Arial"/>
                <w:sz w:val="20"/>
                <w:szCs w:val="20"/>
              </w:rPr>
            </w:pPr>
          </w:p>
        </w:tc>
        <w:tc>
          <w:tcPr>
            <w:tcW w:w="1055" w:type="dxa"/>
            <w:shd w:val="clear" w:color="auto" w:fill="auto"/>
          </w:tcPr>
          <w:p w14:paraId="5F64301A" w14:textId="77777777" w:rsidR="00A70030" w:rsidRDefault="00A70030" w:rsidP="00073385">
            <w:pPr>
              <w:spacing w:before="60" w:after="60" w:line="240" w:lineRule="auto"/>
              <w:ind w:left="0"/>
              <w:rPr>
                <w:rFonts w:cs="Arial"/>
                <w:sz w:val="20"/>
                <w:szCs w:val="20"/>
              </w:rPr>
            </w:pPr>
            <w:r>
              <w:rPr>
                <w:rFonts w:cs="Arial"/>
                <w:sz w:val="20"/>
                <w:szCs w:val="20"/>
              </w:rPr>
              <w:t>8/7/17</w:t>
            </w:r>
          </w:p>
        </w:tc>
        <w:tc>
          <w:tcPr>
            <w:tcW w:w="6335" w:type="dxa"/>
            <w:shd w:val="clear" w:color="auto" w:fill="auto"/>
          </w:tcPr>
          <w:p w14:paraId="043DD585" w14:textId="77777777" w:rsidR="00A70030" w:rsidRDefault="00A70030" w:rsidP="00073385">
            <w:pPr>
              <w:spacing w:before="60" w:after="60" w:line="240" w:lineRule="auto"/>
              <w:ind w:left="0"/>
              <w:rPr>
                <w:rFonts w:cs="Arial"/>
                <w:sz w:val="20"/>
                <w:szCs w:val="20"/>
              </w:rPr>
            </w:pPr>
            <w:r>
              <w:rPr>
                <w:rFonts w:cs="Arial"/>
                <w:sz w:val="20"/>
                <w:szCs w:val="20"/>
              </w:rPr>
              <w:t>SIV arranged two meetings in Lakes Entrance, once with the sole operator in the Victorian Ocean Purse Seine fishery and the second with five scallop fishers. See notes under SIV.</w:t>
            </w:r>
          </w:p>
          <w:p w14:paraId="5335087C" w14:textId="77777777" w:rsidR="00A70030" w:rsidRDefault="00A70030" w:rsidP="00073385">
            <w:pPr>
              <w:spacing w:before="60" w:after="60" w:line="240" w:lineRule="auto"/>
              <w:ind w:left="0"/>
              <w:rPr>
                <w:rFonts w:cs="Arial"/>
                <w:sz w:val="20"/>
                <w:szCs w:val="20"/>
              </w:rPr>
            </w:pPr>
          </w:p>
          <w:p w14:paraId="219640D2" w14:textId="77777777" w:rsidR="00A70030" w:rsidRDefault="00A70030" w:rsidP="00073385">
            <w:pPr>
              <w:spacing w:before="60" w:after="60" w:line="240" w:lineRule="auto"/>
              <w:ind w:left="0"/>
              <w:rPr>
                <w:rFonts w:cs="Arial"/>
                <w:sz w:val="20"/>
                <w:szCs w:val="20"/>
              </w:rPr>
            </w:pPr>
          </w:p>
        </w:tc>
        <w:tc>
          <w:tcPr>
            <w:tcW w:w="3802" w:type="dxa"/>
            <w:shd w:val="clear" w:color="auto" w:fill="auto"/>
          </w:tcPr>
          <w:p w14:paraId="1C4176EE" w14:textId="28815244"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370C18A" w14:textId="77777777" w:rsidTr="00905C82">
        <w:tc>
          <w:tcPr>
            <w:tcW w:w="1427" w:type="dxa"/>
            <w:tcBorders>
              <w:top w:val="nil"/>
            </w:tcBorders>
            <w:shd w:val="clear" w:color="auto" w:fill="auto"/>
          </w:tcPr>
          <w:p w14:paraId="25910F63" w14:textId="77777777" w:rsidR="00A70030" w:rsidRDefault="00A70030" w:rsidP="00073385">
            <w:pPr>
              <w:spacing w:before="60" w:after="60" w:line="240" w:lineRule="auto"/>
              <w:ind w:left="0"/>
              <w:rPr>
                <w:rFonts w:cs="Arial"/>
                <w:sz w:val="20"/>
                <w:szCs w:val="20"/>
              </w:rPr>
            </w:pPr>
          </w:p>
        </w:tc>
        <w:tc>
          <w:tcPr>
            <w:tcW w:w="1629" w:type="dxa"/>
            <w:tcBorders>
              <w:top w:val="nil"/>
            </w:tcBorders>
            <w:shd w:val="clear" w:color="auto" w:fill="auto"/>
          </w:tcPr>
          <w:p w14:paraId="4907FCF7" w14:textId="77777777" w:rsidR="00A70030" w:rsidRPr="00FF0808" w:rsidRDefault="00A70030" w:rsidP="00073385">
            <w:pPr>
              <w:spacing w:before="60" w:after="60" w:line="240" w:lineRule="auto"/>
              <w:ind w:left="0"/>
              <w:rPr>
                <w:rFonts w:cs="Arial"/>
                <w:sz w:val="20"/>
                <w:szCs w:val="20"/>
              </w:rPr>
            </w:pPr>
          </w:p>
        </w:tc>
        <w:tc>
          <w:tcPr>
            <w:tcW w:w="1055" w:type="dxa"/>
            <w:shd w:val="clear" w:color="auto" w:fill="auto"/>
          </w:tcPr>
          <w:p w14:paraId="52806BD1" w14:textId="4E0DFC72" w:rsidR="00A70030" w:rsidRDefault="00A70030" w:rsidP="00073385">
            <w:pPr>
              <w:spacing w:before="60" w:after="60" w:line="240" w:lineRule="auto"/>
              <w:ind w:left="0"/>
              <w:rPr>
                <w:rFonts w:cs="Arial"/>
                <w:sz w:val="20"/>
                <w:szCs w:val="20"/>
              </w:rPr>
            </w:pPr>
            <w:r>
              <w:rPr>
                <w:rFonts w:cs="Arial"/>
                <w:sz w:val="20"/>
                <w:szCs w:val="20"/>
              </w:rPr>
              <w:t>28/8/17</w:t>
            </w:r>
          </w:p>
        </w:tc>
        <w:tc>
          <w:tcPr>
            <w:tcW w:w="6335" w:type="dxa"/>
            <w:shd w:val="clear" w:color="auto" w:fill="auto"/>
          </w:tcPr>
          <w:p w14:paraId="346161C7" w14:textId="77777777" w:rsidR="00A70030" w:rsidRDefault="00A70030" w:rsidP="00B4290A">
            <w:pPr>
              <w:spacing w:before="60" w:after="60" w:line="240" w:lineRule="auto"/>
              <w:ind w:left="0"/>
              <w:rPr>
                <w:rFonts w:cs="Arial"/>
                <w:sz w:val="20"/>
                <w:szCs w:val="20"/>
              </w:rPr>
            </w:pPr>
            <w:r>
              <w:rPr>
                <w:rFonts w:cs="Arial"/>
                <w:sz w:val="20"/>
                <w:szCs w:val="20"/>
              </w:rPr>
              <w:t xml:space="preserve">After discovering that CarbonNet’s expanded operational area could impact on an additional fisherman (see notes under VFA), a letter was sent to that licence holder (via the VFA) including a fact sheet and CarbonNet’s contact details. </w:t>
            </w:r>
          </w:p>
          <w:p w14:paraId="23B513D5" w14:textId="2F5B3AFF" w:rsidR="00A70030" w:rsidRDefault="00A70030" w:rsidP="00B4290A">
            <w:pPr>
              <w:spacing w:before="60" w:after="60" w:line="240" w:lineRule="auto"/>
              <w:ind w:left="0"/>
              <w:rPr>
                <w:rFonts w:cs="Arial"/>
                <w:sz w:val="20"/>
                <w:szCs w:val="20"/>
              </w:rPr>
            </w:pPr>
            <w:r>
              <w:rPr>
                <w:rFonts w:cs="Arial"/>
                <w:sz w:val="20"/>
                <w:szCs w:val="20"/>
              </w:rPr>
              <w:t xml:space="preserve">No response has been received to date. </w:t>
            </w:r>
          </w:p>
        </w:tc>
        <w:tc>
          <w:tcPr>
            <w:tcW w:w="3802" w:type="dxa"/>
            <w:shd w:val="clear" w:color="auto" w:fill="auto"/>
          </w:tcPr>
          <w:p w14:paraId="74C6A339" w14:textId="0665FF11"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51AF2607" w14:textId="77777777" w:rsidTr="00646CD8">
        <w:tc>
          <w:tcPr>
            <w:tcW w:w="1427" w:type="dxa"/>
            <w:vMerge w:val="restart"/>
            <w:tcBorders>
              <w:top w:val="single" w:sz="4" w:space="0" w:color="808080"/>
              <w:left w:val="single" w:sz="4" w:space="0" w:color="808080"/>
              <w:right w:val="single" w:sz="4" w:space="0" w:color="808080"/>
            </w:tcBorders>
            <w:shd w:val="clear" w:color="auto" w:fill="auto"/>
          </w:tcPr>
          <w:p w14:paraId="3BF97F79" w14:textId="16F0CFA9" w:rsidR="00A70030" w:rsidRPr="0035703F" w:rsidRDefault="00A70030" w:rsidP="00073385">
            <w:pPr>
              <w:spacing w:before="60" w:after="60" w:line="240" w:lineRule="auto"/>
              <w:ind w:left="0"/>
              <w:rPr>
                <w:rFonts w:cs="Arial"/>
                <w:sz w:val="20"/>
                <w:szCs w:val="20"/>
              </w:rPr>
            </w:pPr>
            <w:r w:rsidRPr="0035703F">
              <w:rPr>
                <w:rFonts w:cs="Arial"/>
                <w:sz w:val="20"/>
                <w:szCs w:val="20"/>
              </w:rPr>
              <w:t>Petroleum tenement holders</w:t>
            </w:r>
          </w:p>
        </w:tc>
        <w:tc>
          <w:tcPr>
            <w:tcW w:w="1629" w:type="dxa"/>
            <w:vMerge w:val="restart"/>
            <w:tcBorders>
              <w:top w:val="single" w:sz="4" w:space="0" w:color="808080"/>
              <w:left w:val="single" w:sz="4" w:space="0" w:color="808080"/>
              <w:right w:val="single" w:sz="4" w:space="0" w:color="808080"/>
            </w:tcBorders>
            <w:shd w:val="clear" w:color="auto" w:fill="auto"/>
          </w:tcPr>
          <w:p w14:paraId="6D9C24A3" w14:textId="77777777" w:rsidR="00A70030" w:rsidRDefault="00A70030" w:rsidP="00073385">
            <w:pPr>
              <w:spacing w:before="60" w:after="60" w:line="240" w:lineRule="auto"/>
              <w:ind w:left="0"/>
              <w:rPr>
                <w:rFonts w:cs="Arial"/>
                <w:sz w:val="20"/>
                <w:szCs w:val="20"/>
              </w:rPr>
            </w:pPr>
            <w:r>
              <w:rPr>
                <w:rFonts w:cs="Arial"/>
                <w:sz w:val="20"/>
                <w:szCs w:val="20"/>
              </w:rPr>
              <w:t>Overlapping or adjacent tenement holders to the MSS area</w:t>
            </w:r>
          </w:p>
        </w:tc>
        <w:tc>
          <w:tcPr>
            <w:tcW w:w="1055" w:type="dxa"/>
            <w:tcBorders>
              <w:top w:val="single" w:sz="4" w:space="0" w:color="808080"/>
              <w:left w:val="single" w:sz="4" w:space="0" w:color="808080"/>
              <w:bottom w:val="single" w:sz="4" w:space="0" w:color="808080"/>
              <w:right w:val="single" w:sz="4" w:space="0" w:color="808080"/>
            </w:tcBorders>
          </w:tcPr>
          <w:p w14:paraId="1A367FB2" w14:textId="77777777" w:rsidR="00A70030" w:rsidRDefault="00A70030" w:rsidP="00073385">
            <w:pPr>
              <w:spacing w:before="60" w:after="60" w:line="240" w:lineRule="auto"/>
              <w:ind w:left="0"/>
              <w:rPr>
                <w:rFonts w:cs="Arial"/>
                <w:sz w:val="20"/>
                <w:szCs w:val="20"/>
              </w:rPr>
            </w:pPr>
            <w:r>
              <w:rPr>
                <w:rFonts w:cs="Arial"/>
                <w:sz w:val="20"/>
                <w:szCs w:val="20"/>
              </w:rPr>
              <w:t>2016 to 2017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37CD9A85" w14:textId="77777777" w:rsidR="00A70030" w:rsidRPr="00CC636C" w:rsidRDefault="00A70030" w:rsidP="00073385">
            <w:pPr>
              <w:spacing w:before="60" w:after="60" w:line="240" w:lineRule="auto"/>
              <w:ind w:left="0"/>
              <w:rPr>
                <w:rFonts w:cs="Arial"/>
                <w:sz w:val="20"/>
                <w:szCs w:val="20"/>
              </w:rPr>
            </w:pPr>
            <w:r>
              <w:rPr>
                <w:rFonts w:cs="Arial"/>
                <w:sz w:val="20"/>
                <w:szCs w:val="20"/>
              </w:rPr>
              <w:t>CarbonNet commenced consultation with a number of petroleum tenement holders in 2016 regarding its proposed 3D marine seismic survey. Over 2016 and 2017 a number of meetings were held to discuss the survey.</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65ADA566" w14:textId="57E2EDED"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11AF8EF0" w14:textId="77777777" w:rsidTr="00905C82">
        <w:tc>
          <w:tcPr>
            <w:tcW w:w="1427" w:type="dxa"/>
            <w:vMerge/>
            <w:tcBorders>
              <w:left w:val="single" w:sz="4" w:space="0" w:color="808080"/>
              <w:bottom w:val="nil"/>
              <w:right w:val="single" w:sz="4" w:space="0" w:color="808080"/>
            </w:tcBorders>
            <w:shd w:val="clear" w:color="auto" w:fill="auto"/>
          </w:tcPr>
          <w:p w14:paraId="4752AA91" w14:textId="77777777" w:rsidR="00A70030" w:rsidRPr="0035703F" w:rsidRDefault="00A70030" w:rsidP="00073385">
            <w:pPr>
              <w:spacing w:before="60" w:after="60" w:line="240" w:lineRule="auto"/>
              <w:ind w:left="0"/>
              <w:rPr>
                <w:rFonts w:cs="Arial"/>
                <w:sz w:val="20"/>
                <w:szCs w:val="20"/>
              </w:rPr>
            </w:pPr>
          </w:p>
        </w:tc>
        <w:tc>
          <w:tcPr>
            <w:tcW w:w="1629" w:type="dxa"/>
            <w:vMerge/>
            <w:tcBorders>
              <w:left w:val="single" w:sz="4" w:space="0" w:color="808080"/>
              <w:right w:val="single" w:sz="4" w:space="0" w:color="808080"/>
            </w:tcBorders>
            <w:shd w:val="clear" w:color="auto" w:fill="auto"/>
          </w:tcPr>
          <w:p w14:paraId="49665637"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76065824" w14:textId="77777777" w:rsidR="00A70030" w:rsidRDefault="00A70030" w:rsidP="00073385">
            <w:pPr>
              <w:spacing w:before="60" w:after="60" w:line="240" w:lineRule="auto"/>
              <w:ind w:left="0"/>
              <w:rPr>
                <w:rFonts w:cs="Arial"/>
                <w:sz w:val="20"/>
                <w:szCs w:val="20"/>
              </w:rPr>
            </w:pPr>
            <w:r>
              <w:rPr>
                <w:rFonts w:cs="Arial"/>
                <w:sz w:val="20"/>
                <w:szCs w:val="20"/>
              </w:rPr>
              <w:t>24/2/17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6C7046F3" w14:textId="77777777" w:rsidR="00A70030" w:rsidRDefault="00A70030" w:rsidP="00073385">
            <w:pPr>
              <w:spacing w:before="60" w:after="60" w:line="240" w:lineRule="auto"/>
              <w:ind w:left="0"/>
              <w:rPr>
                <w:rFonts w:cs="Arial"/>
                <w:sz w:val="20"/>
                <w:szCs w:val="20"/>
              </w:rPr>
            </w:pPr>
            <w:r>
              <w:rPr>
                <w:rFonts w:cs="Arial"/>
                <w:sz w:val="20"/>
                <w:szCs w:val="20"/>
              </w:rPr>
              <w:t>CarbonNet met with Esso Resources Australia to discuss the MSS and stakeholder engagement at a high level. Esso indicated they would be happy to provice advice and assist.</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2A5ECB72" w14:textId="37CE8D91"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3D6FBBF8" w14:textId="77777777" w:rsidTr="00905C82">
        <w:tc>
          <w:tcPr>
            <w:tcW w:w="1427" w:type="dxa"/>
            <w:tcBorders>
              <w:top w:val="nil"/>
              <w:left w:val="single" w:sz="4" w:space="0" w:color="808080"/>
              <w:bottom w:val="nil"/>
              <w:right w:val="single" w:sz="4" w:space="0" w:color="808080"/>
            </w:tcBorders>
            <w:shd w:val="clear" w:color="auto" w:fill="auto"/>
          </w:tcPr>
          <w:p w14:paraId="170B3B59" w14:textId="77777777" w:rsidR="00A70030" w:rsidRPr="0035703F" w:rsidRDefault="00A70030" w:rsidP="00073385">
            <w:pPr>
              <w:spacing w:before="60" w:after="60" w:line="240" w:lineRule="auto"/>
              <w:ind w:left="0"/>
              <w:rPr>
                <w:rFonts w:cs="Arial"/>
                <w:sz w:val="20"/>
                <w:szCs w:val="20"/>
              </w:rPr>
            </w:pPr>
          </w:p>
        </w:tc>
        <w:tc>
          <w:tcPr>
            <w:tcW w:w="1629" w:type="dxa"/>
            <w:vMerge/>
            <w:tcBorders>
              <w:left w:val="single" w:sz="4" w:space="0" w:color="808080"/>
              <w:bottom w:val="nil"/>
              <w:right w:val="single" w:sz="4" w:space="0" w:color="808080"/>
            </w:tcBorders>
            <w:shd w:val="clear" w:color="auto" w:fill="auto"/>
          </w:tcPr>
          <w:p w14:paraId="24F0749D"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7B6761D" w14:textId="77777777" w:rsidR="00A70030" w:rsidRDefault="00A70030" w:rsidP="00073385">
            <w:pPr>
              <w:spacing w:before="60" w:after="60" w:line="240" w:lineRule="auto"/>
              <w:ind w:left="0"/>
              <w:rPr>
                <w:rFonts w:cs="Arial"/>
                <w:sz w:val="20"/>
                <w:szCs w:val="20"/>
              </w:rPr>
            </w:pPr>
            <w:r>
              <w:rPr>
                <w:rFonts w:cs="Arial"/>
                <w:sz w:val="20"/>
                <w:szCs w:val="20"/>
              </w:rPr>
              <w:t>21/3/17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6DDE1086" w14:textId="77777777" w:rsidR="00A70030" w:rsidRDefault="00A70030" w:rsidP="00073385">
            <w:pPr>
              <w:spacing w:before="60" w:after="60" w:line="240" w:lineRule="auto"/>
              <w:ind w:left="0"/>
              <w:rPr>
                <w:rFonts w:cs="Arial"/>
                <w:sz w:val="20"/>
                <w:szCs w:val="20"/>
              </w:rPr>
            </w:pPr>
            <w:r>
              <w:rPr>
                <w:rFonts w:cs="Arial"/>
                <w:sz w:val="20"/>
                <w:szCs w:val="20"/>
              </w:rPr>
              <w:t>CarbonNet emailed the following tenement holders to confirm that consultation with stakeholders for the MSS has commenced and to provide a copy of the MSS fact sheet:</w:t>
            </w:r>
          </w:p>
          <w:p w14:paraId="7B2CC449" w14:textId="77777777" w:rsidR="00A70030" w:rsidRDefault="00A70030" w:rsidP="00073385">
            <w:pPr>
              <w:pStyle w:val="ListParagraph0"/>
              <w:numPr>
                <w:ilvl w:val="0"/>
                <w:numId w:val="514"/>
              </w:numPr>
              <w:spacing w:before="60" w:after="60" w:line="240" w:lineRule="auto"/>
              <w:rPr>
                <w:rFonts w:cs="Arial"/>
                <w:sz w:val="20"/>
                <w:szCs w:val="20"/>
              </w:rPr>
            </w:pPr>
            <w:r>
              <w:rPr>
                <w:rFonts w:cs="Arial"/>
                <w:sz w:val="20"/>
                <w:szCs w:val="20"/>
              </w:rPr>
              <w:t>Esso Resources Australia</w:t>
            </w:r>
          </w:p>
          <w:p w14:paraId="7F731C07" w14:textId="77777777" w:rsidR="00A70030" w:rsidRDefault="00A70030" w:rsidP="00073385">
            <w:pPr>
              <w:pStyle w:val="ListParagraph0"/>
              <w:numPr>
                <w:ilvl w:val="0"/>
                <w:numId w:val="514"/>
              </w:numPr>
              <w:spacing w:before="60" w:after="60" w:line="240" w:lineRule="auto"/>
              <w:rPr>
                <w:rFonts w:cs="Arial"/>
                <w:sz w:val="20"/>
                <w:szCs w:val="20"/>
              </w:rPr>
            </w:pPr>
            <w:r>
              <w:rPr>
                <w:rFonts w:cs="Arial"/>
                <w:sz w:val="20"/>
                <w:szCs w:val="20"/>
              </w:rPr>
              <w:t>Cape Energy</w:t>
            </w:r>
          </w:p>
          <w:p w14:paraId="7E072DF4" w14:textId="77777777" w:rsidR="00A70030" w:rsidRDefault="00A70030" w:rsidP="00073385">
            <w:pPr>
              <w:pStyle w:val="ListParagraph0"/>
              <w:numPr>
                <w:ilvl w:val="0"/>
                <w:numId w:val="514"/>
              </w:numPr>
              <w:spacing w:before="60" w:after="60" w:line="240" w:lineRule="auto"/>
              <w:rPr>
                <w:rFonts w:cs="Arial"/>
                <w:sz w:val="20"/>
                <w:szCs w:val="20"/>
              </w:rPr>
            </w:pPr>
            <w:r>
              <w:rPr>
                <w:rFonts w:cs="Arial"/>
                <w:sz w:val="20"/>
                <w:szCs w:val="20"/>
              </w:rPr>
              <w:t>Carnarvon Hibiscus and 3D Oil</w:t>
            </w:r>
          </w:p>
          <w:p w14:paraId="747ADBC1" w14:textId="77777777" w:rsidR="00A70030" w:rsidRDefault="00A70030" w:rsidP="00073385">
            <w:pPr>
              <w:pStyle w:val="ListParagraph0"/>
              <w:numPr>
                <w:ilvl w:val="0"/>
                <w:numId w:val="514"/>
              </w:numPr>
              <w:spacing w:before="60" w:after="60" w:line="240" w:lineRule="auto"/>
              <w:rPr>
                <w:rFonts w:cs="Arial"/>
                <w:sz w:val="20"/>
                <w:szCs w:val="20"/>
              </w:rPr>
            </w:pPr>
            <w:r>
              <w:rPr>
                <w:rFonts w:cs="Arial"/>
                <w:sz w:val="20"/>
                <w:szCs w:val="20"/>
              </w:rPr>
              <w:t>Lakes Oil (Petrotech)</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284D6D88" w14:textId="0A19BFCE"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791ABCDC" w14:textId="77777777" w:rsidTr="00905C82">
        <w:tc>
          <w:tcPr>
            <w:tcW w:w="1427" w:type="dxa"/>
            <w:tcBorders>
              <w:top w:val="nil"/>
              <w:left w:val="single" w:sz="4" w:space="0" w:color="808080"/>
              <w:bottom w:val="nil"/>
              <w:right w:val="single" w:sz="4" w:space="0" w:color="808080"/>
            </w:tcBorders>
            <w:shd w:val="clear" w:color="auto" w:fill="auto"/>
          </w:tcPr>
          <w:p w14:paraId="028AF077"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2737B0C4"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1E851724" w14:textId="77777777" w:rsidR="00A70030" w:rsidRDefault="00A70030" w:rsidP="00073385">
            <w:pPr>
              <w:spacing w:before="60" w:after="60" w:line="240" w:lineRule="auto"/>
              <w:ind w:left="0"/>
              <w:rPr>
                <w:rFonts w:cs="Arial"/>
                <w:sz w:val="20"/>
                <w:szCs w:val="20"/>
              </w:rPr>
            </w:pPr>
            <w:r>
              <w:rPr>
                <w:rFonts w:cs="Arial"/>
                <w:sz w:val="20"/>
                <w:szCs w:val="20"/>
              </w:rPr>
              <w:t>21/3/17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72D57294" w14:textId="77777777" w:rsidR="00A70030" w:rsidRDefault="00A70030" w:rsidP="00073385">
            <w:pPr>
              <w:spacing w:before="60" w:after="60" w:line="240" w:lineRule="auto"/>
              <w:ind w:left="0"/>
              <w:rPr>
                <w:rFonts w:cs="Arial"/>
                <w:sz w:val="20"/>
                <w:szCs w:val="20"/>
              </w:rPr>
            </w:pPr>
            <w:r w:rsidRPr="00402534">
              <w:rPr>
                <w:rFonts w:cs="Arial"/>
                <w:sz w:val="20"/>
                <w:szCs w:val="20"/>
              </w:rPr>
              <w:t>Esso Resources Australia</w:t>
            </w:r>
            <w:r>
              <w:rPr>
                <w:rFonts w:cs="Arial"/>
                <w:sz w:val="20"/>
                <w:szCs w:val="20"/>
              </w:rPr>
              <w:t xml:space="preserve"> emailed CarbonNet to acknowledge the notification.</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019981F1" w14:textId="18E00A4B"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A8664CA" w14:textId="77777777" w:rsidTr="00905C82">
        <w:tc>
          <w:tcPr>
            <w:tcW w:w="1427" w:type="dxa"/>
            <w:tcBorders>
              <w:top w:val="nil"/>
              <w:left w:val="single" w:sz="4" w:space="0" w:color="808080"/>
              <w:bottom w:val="nil"/>
              <w:right w:val="single" w:sz="4" w:space="0" w:color="808080"/>
            </w:tcBorders>
            <w:shd w:val="clear" w:color="auto" w:fill="auto"/>
          </w:tcPr>
          <w:p w14:paraId="11CC3A9D"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62F14D42"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5E2DCDF8" w14:textId="77777777" w:rsidR="00A70030" w:rsidRDefault="00A70030" w:rsidP="00073385">
            <w:pPr>
              <w:spacing w:before="60" w:after="60" w:line="240" w:lineRule="auto"/>
              <w:ind w:left="0"/>
              <w:rPr>
                <w:rFonts w:cs="Arial"/>
                <w:sz w:val="20"/>
                <w:szCs w:val="20"/>
              </w:rPr>
            </w:pPr>
            <w:r>
              <w:rPr>
                <w:rFonts w:cs="Arial"/>
                <w:sz w:val="20"/>
                <w:szCs w:val="20"/>
              </w:rPr>
              <w:t>31/3/17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1E4379A3" w14:textId="77777777" w:rsidR="00A70030" w:rsidRDefault="00A70030" w:rsidP="00073385">
            <w:pPr>
              <w:spacing w:before="60" w:after="60" w:line="240" w:lineRule="auto"/>
              <w:ind w:left="0"/>
              <w:rPr>
                <w:rFonts w:cs="Arial"/>
                <w:sz w:val="20"/>
                <w:szCs w:val="20"/>
              </w:rPr>
            </w:pPr>
            <w:r>
              <w:rPr>
                <w:rFonts w:cs="Arial"/>
                <w:sz w:val="20"/>
                <w:szCs w:val="20"/>
              </w:rPr>
              <w:t xml:space="preserve">CarbonNet emailed the following tenement holders to </w:t>
            </w:r>
            <w:r w:rsidRPr="002F1C38">
              <w:rPr>
                <w:rFonts w:cs="Arial"/>
                <w:sz w:val="20"/>
                <w:szCs w:val="20"/>
              </w:rPr>
              <w:t>advise</w:t>
            </w:r>
            <w:r>
              <w:rPr>
                <w:rFonts w:cs="Arial"/>
                <w:sz w:val="20"/>
                <w:szCs w:val="20"/>
              </w:rPr>
              <w:t xml:space="preserve"> that</w:t>
            </w:r>
            <w:r w:rsidRPr="002F1C38">
              <w:rPr>
                <w:rFonts w:cs="Arial"/>
                <w:sz w:val="20"/>
                <w:szCs w:val="20"/>
              </w:rPr>
              <w:t xml:space="preserve"> field observations would be taking place </w:t>
            </w:r>
            <w:r>
              <w:rPr>
                <w:rFonts w:cs="Arial"/>
                <w:sz w:val="20"/>
                <w:szCs w:val="20"/>
              </w:rPr>
              <w:t xml:space="preserve">in the </w:t>
            </w:r>
            <w:r w:rsidRPr="002F1C38">
              <w:rPr>
                <w:rFonts w:cs="Arial"/>
                <w:sz w:val="20"/>
                <w:szCs w:val="20"/>
              </w:rPr>
              <w:t xml:space="preserve">week </w:t>
            </w:r>
            <w:r>
              <w:rPr>
                <w:rFonts w:cs="Arial"/>
                <w:sz w:val="20"/>
                <w:szCs w:val="20"/>
              </w:rPr>
              <w:t>commencing</w:t>
            </w:r>
            <w:r w:rsidRPr="002F1C38">
              <w:rPr>
                <w:rFonts w:cs="Arial"/>
                <w:sz w:val="20"/>
                <w:szCs w:val="20"/>
              </w:rPr>
              <w:t xml:space="preserve"> 3/4</w:t>
            </w:r>
            <w:r>
              <w:rPr>
                <w:rFonts w:cs="Arial"/>
                <w:sz w:val="20"/>
                <w:szCs w:val="20"/>
              </w:rPr>
              <w:t>/17:</w:t>
            </w:r>
          </w:p>
          <w:p w14:paraId="1D9E3430" w14:textId="77777777" w:rsidR="00A70030" w:rsidRDefault="00A70030" w:rsidP="00073385">
            <w:pPr>
              <w:pStyle w:val="ListParagraph0"/>
              <w:numPr>
                <w:ilvl w:val="0"/>
                <w:numId w:val="514"/>
              </w:numPr>
              <w:spacing w:before="60" w:after="60" w:line="240" w:lineRule="auto"/>
              <w:rPr>
                <w:rFonts w:cs="Arial"/>
                <w:sz w:val="20"/>
                <w:szCs w:val="20"/>
              </w:rPr>
            </w:pPr>
            <w:r>
              <w:rPr>
                <w:rFonts w:cs="Arial"/>
                <w:sz w:val="20"/>
                <w:szCs w:val="20"/>
              </w:rPr>
              <w:t>Esso Resources Australia</w:t>
            </w:r>
          </w:p>
          <w:p w14:paraId="5944E456" w14:textId="77777777" w:rsidR="00A70030" w:rsidRDefault="00A70030" w:rsidP="00073385">
            <w:pPr>
              <w:pStyle w:val="ListParagraph0"/>
              <w:numPr>
                <w:ilvl w:val="0"/>
                <w:numId w:val="514"/>
              </w:numPr>
              <w:spacing w:before="60" w:after="60" w:line="240" w:lineRule="auto"/>
              <w:rPr>
                <w:rFonts w:cs="Arial"/>
                <w:sz w:val="20"/>
                <w:szCs w:val="20"/>
              </w:rPr>
            </w:pPr>
            <w:r>
              <w:rPr>
                <w:rFonts w:cs="Arial"/>
                <w:sz w:val="20"/>
                <w:szCs w:val="20"/>
              </w:rPr>
              <w:lastRenderedPageBreak/>
              <w:t>Cape Energy</w:t>
            </w:r>
          </w:p>
          <w:p w14:paraId="42F89B59" w14:textId="77777777" w:rsidR="00A70030" w:rsidRDefault="00A70030" w:rsidP="00073385">
            <w:pPr>
              <w:pStyle w:val="ListParagraph0"/>
              <w:numPr>
                <w:ilvl w:val="0"/>
                <w:numId w:val="514"/>
              </w:numPr>
              <w:spacing w:before="60" w:after="60" w:line="240" w:lineRule="auto"/>
              <w:rPr>
                <w:rFonts w:cs="Arial"/>
                <w:sz w:val="20"/>
                <w:szCs w:val="20"/>
              </w:rPr>
            </w:pPr>
            <w:r>
              <w:rPr>
                <w:rFonts w:cs="Arial"/>
                <w:sz w:val="20"/>
                <w:szCs w:val="20"/>
              </w:rPr>
              <w:t>Carnarvon Hibiscus and 3D Oil</w:t>
            </w:r>
          </w:p>
          <w:p w14:paraId="566C7295" w14:textId="77777777" w:rsidR="00A70030" w:rsidRDefault="00A70030" w:rsidP="00073385">
            <w:pPr>
              <w:pStyle w:val="ListParagraph0"/>
              <w:numPr>
                <w:ilvl w:val="0"/>
                <w:numId w:val="514"/>
              </w:numPr>
              <w:spacing w:before="60" w:after="60" w:line="240" w:lineRule="auto"/>
              <w:rPr>
                <w:rFonts w:cs="Arial"/>
                <w:sz w:val="20"/>
                <w:szCs w:val="20"/>
              </w:rPr>
            </w:pPr>
            <w:r>
              <w:rPr>
                <w:rFonts w:cs="Arial"/>
                <w:sz w:val="20"/>
                <w:szCs w:val="20"/>
              </w:rPr>
              <w:t>Lakes Oil (Petrotech)</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1974A263" w14:textId="65F7AB85" w:rsidR="00A70030" w:rsidRDefault="00A70030" w:rsidP="00073385">
            <w:pPr>
              <w:spacing w:before="60" w:after="60" w:line="240" w:lineRule="auto"/>
              <w:ind w:left="0"/>
              <w:rPr>
                <w:rFonts w:cs="Arial"/>
                <w:sz w:val="20"/>
                <w:szCs w:val="20"/>
              </w:rPr>
            </w:pPr>
            <w:r>
              <w:rPr>
                <w:rFonts w:cs="Arial"/>
                <w:sz w:val="20"/>
                <w:szCs w:val="20"/>
              </w:rPr>
              <w:lastRenderedPageBreak/>
              <w:t>N/A</w:t>
            </w:r>
          </w:p>
        </w:tc>
      </w:tr>
      <w:tr w:rsidR="00A70030" w:rsidRPr="00FF0808" w14:paraId="00218F48" w14:textId="77777777" w:rsidTr="00905C82">
        <w:tc>
          <w:tcPr>
            <w:tcW w:w="1427" w:type="dxa"/>
            <w:tcBorders>
              <w:top w:val="nil"/>
              <w:left w:val="single" w:sz="4" w:space="0" w:color="808080"/>
              <w:bottom w:val="nil"/>
              <w:right w:val="single" w:sz="4" w:space="0" w:color="808080"/>
            </w:tcBorders>
            <w:shd w:val="clear" w:color="auto" w:fill="auto"/>
          </w:tcPr>
          <w:p w14:paraId="00D57566"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18057FA2"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25FE1876" w14:textId="77777777" w:rsidR="00A70030" w:rsidRDefault="00A70030" w:rsidP="00073385">
            <w:pPr>
              <w:spacing w:before="60" w:after="60" w:line="240" w:lineRule="auto"/>
              <w:ind w:left="0"/>
              <w:rPr>
                <w:rFonts w:cs="Arial"/>
                <w:sz w:val="20"/>
                <w:szCs w:val="20"/>
              </w:rPr>
            </w:pPr>
            <w:r>
              <w:rPr>
                <w:rFonts w:cs="Arial"/>
                <w:sz w:val="20"/>
                <w:szCs w:val="20"/>
              </w:rPr>
              <w:t>3/4/17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1FFD2519" w14:textId="77777777" w:rsidR="00A70030" w:rsidRDefault="00A70030" w:rsidP="00073385">
            <w:pPr>
              <w:spacing w:before="60" w:after="60" w:line="240" w:lineRule="auto"/>
              <w:ind w:left="0"/>
              <w:rPr>
                <w:rFonts w:cs="Arial"/>
                <w:sz w:val="20"/>
                <w:szCs w:val="20"/>
              </w:rPr>
            </w:pPr>
            <w:r>
              <w:rPr>
                <w:rFonts w:cs="Arial"/>
                <w:sz w:val="20"/>
                <w:szCs w:val="20"/>
              </w:rPr>
              <w:t>Carnarvon Hibiscus emailed CarbonNet to acknowledge the notification.</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4D84F115" w14:textId="697C0A12"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33FF2671" w14:textId="77777777" w:rsidTr="00905C82">
        <w:tc>
          <w:tcPr>
            <w:tcW w:w="1427" w:type="dxa"/>
            <w:tcBorders>
              <w:top w:val="nil"/>
              <w:left w:val="single" w:sz="4" w:space="0" w:color="808080"/>
              <w:bottom w:val="nil"/>
              <w:right w:val="single" w:sz="4" w:space="0" w:color="808080"/>
            </w:tcBorders>
            <w:shd w:val="clear" w:color="auto" w:fill="auto"/>
          </w:tcPr>
          <w:p w14:paraId="22827475"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01BA61EF"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664BBCE1" w14:textId="77777777" w:rsidR="00A70030" w:rsidRDefault="00A70030" w:rsidP="00073385">
            <w:pPr>
              <w:spacing w:before="60" w:after="60" w:line="240" w:lineRule="auto"/>
              <w:ind w:left="0"/>
              <w:rPr>
                <w:rFonts w:cs="Arial"/>
                <w:sz w:val="20"/>
                <w:szCs w:val="20"/>
              </w:rPr>
            </w:pPr>
            <w:r>
              <w:rPr>
                <w:rFonts w:cs="Arial"/>
                <w:sz w:val="20"/>
                <w:szCs w:val="20"/>
              </w:rPr>
              <w:t>3/4/17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0299E048" w14:textId="77777777" w:rsidR="00A70030" w:rsidRDefault="00A70030" w:rsidP="00073385">
            <w:pPr>
              <w:spacing w:before="60" w:after="60" w:line="240" w:lineRule="auto"/>
              <w:ind w:left="0"/>
              <w:rPr>
                <w:rFonts w:cs="Arial"/>
                <w:sz w:val="20"/>
                <w:szCs w:val="20"/>
              </w:rPr>
            </w:pPr>
            <w:r w:rsidRPr="00402534">
              <w:rPr>
                <w:rFonts w:cs="Arial"/>
                <w:sz w:val="20"/>
                <w:szCs w:val="20"/>
              </w:rPr>
              <w:t>Esso Resources Australia</w:t>
            </w:r>
            <w:r>
              <w:rPr>
                <w:rFonts w:cs="Arial"/>
                <w:sz w:val="20"/>
                <w:szCs w:val="20"/>
              </w:rPr>
              <w:t xml:space="preserve"> emailed CarbonNet to acknowledge the notification and requested </w:t>
            </w:r>
            <w:r w:rsidRPr="0035703F">
              <w:rPr>
                <w:rFonts w:cs="Arial"/>
                <w:sz w:val="20"/>
                <w:szCs w:val="20"/>
              </w:rPr>
              <w:t>the emergency contact details for the vessel conducting the observations.</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643DDAC8" w14:textId="569B3EF0"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1BB6EAE6" w14:textId="77777777" w:rsidTr="00891DE1">
        <w:tc>
          <w:tcPr>
            <w:tcW w:w="1427" w:type="dxa"/>
            <w:tcBorders>
              <w:top w:val="nil"/>
              <w:left w:val="single" w:sz="4" w:space="0" w:color="808080"/>
              <w:bottom w:val="nil"/>
              <w:right w:val="single" w:sz="4" w:space="0" w:color="808080"/>
            </w:tcBorders>
            <w:shd w:val="clear" w:color="auto" w:fill="auto"/>
          </w:tcPr>
          <w:p w14:paraId="5E728A3A"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6B2DB05B"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52D3725E" w14:textId="77777777" w:rsidR="00A70030" w:rsidRDefault="00A70030" w:rsidP="00073385">
            <w:pPr>
              <w:spacing w:before="60" w:after="60" w:line="240" w:lineRule="auto"/>
              <w:ind w:left="0"/>
              <w:rPr>
                <w:rFonts w:cs="Arial"/>
                <w:sz w:val="20"/>
                <w:szCs w:val="20"/>
              </w:rPr>
            </w:pPr>
            <w:r>
              <w:rPr>
                <w:rFonts w:cs="Arial"/>
                <w:sz w:val="20"/>
                <w:szCs w:val="20"/>
              </w:rPr>
              <w:t>3/4/17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14D75BCA" w14:textId="4CDF303F" w:rsidR="00A70030" w:rsidRPr="00402534" w:rsidRDefault="00A70030" w:rsidP="00073385">
            <w:pPr>
              <w:spacing w:before="60" w:after="60" w:line="240" w:lineRule="auto"/>
              <w:ind w:left="0"/>
              <w:rPr>
                <w:rFonts w:cs="Arial"/>
                <w:sz w:val="20"/>
                <w:szCs w:val="20"/>
              </w:rPr>
            </w:pPr>
            <w:r w:rsidRPr="00F672D4">
              <w:rPr>
                <w:rFonts w:cs="Arial"/>
                <w:sz w:val="20"/>
                <w:szCs w:val="20"/>
              </w:rPr>
              <w:t xml:space="preserve">CarbonNet </w:t>
            </w:r>
            <w:r>
              <w:rPr>
                <w:rFonts w:cs="Arial"/>
                <w:sz w:val="20"/>
                <w:szCs w:val="20"/>
              </w:rPr>
              <w:t xml:space="preserve">emailed </w:t>
            </w:r>
            <w:r w:rsidRPr="00F672D4">
              <w:rPr>
                <w:rFonts w:cs="Arial"/>
                <w:sz w:val="20"/>
                <w:szCs w:val="20"/>
              </w:rPr>
              <w:t>Esso Resources Australia</w:t>
            </w:r>
            <w:r>
              <w:rPr>
                <w:rFonts w:cs="Arial"/>
                <w:sz w:val="20"/>
                <w:szCs w:val="20"/>
              </w:rPr>
              <w:t xml:space="preserve"> the contact details for the vessel.</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24E90D7B" w14:textId="1CCA5455"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72153F8E" w14:textId="77777777" w:rsidTr="00891DE1">
        <w:tc>
          <w:tcPr>
            <w:tcW w:w="1427" w:type="dxa"/>
            <w:tcBorders>
              <w:top w:val="nil"/>
              <w:left w:val="single" w:sz="4" w:space="0" w:color="808080"/>
              <w:bottom w:val="nil"/>
              <w:right w:val="single" w:sz="4" w:space="0" w:color="808080"/>
            </w:tcBorders>
            <w:shd w:val="clear" w:color="auto" w:fill="auto"/>
          </w:tcPr>
          <w:p w14:paraId="535E2A68"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5E8DC21A"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7F5C55FA" w14:textId="77777777" w:rsidR="00A70030" w:rsidRDefault="00A70030" w:rsidP="00073385">
            <w:pPr>
              <w:spacing w:before="60" w:after="60" w:line="240" w:lineRule="auto"/>
              <w:ind w:left="0"/>
              <w:rPr>
                <w:rFonts w:cs="Arial"/>
                <w:sz w:val="20"/>
                <w:szCs w:val="20"/>
              </w:rPr>
            </w:pPr>
            <w:r>
              <w:rPr>
                <w:rFonts w:cs="Arial"/>
                <w:sz w:val="20"/>
                <w:szCs w:val="20"/>
              </w:rPr>
              <w:t>7/4/17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145B65AA" w14:textId="77777777" w:rsidR="00A70030" w:rsidRDefault="00A70030" w:rsidP="00073385">
            <w:pPr>
              <w:spacing w:before="60" w:after="60" w:line="240" w:lineRule="auto"/>
              <w:ind w:left="0"/>
              <w:rPr>
                <w:rFonts w:cs="Arial"/>
                <w:sz w:val="20"/>
                <w:szCs w:val="20"/>
              </w:rPr>
            </w:pPr>
            <w:r w:rsidRPr="00F672D4">
              <w:rPr>
                <w:rFonts w:cs="Arial"/>
                <w:sz w:val="20"/>
                <w:szCs w:val="20"/>
              </w:rPr>
              <w:t>CarbonNet met with Esso Resources Australia</w:t>
            </w:r>
            <w:r>
              <w:rPr>
                <w:rFonts w:cs="Arial"/>
                <w:sz w:val="20"/>
                <w:szCs w:val="20"/>
              </w:rPr>
              <w:t xml:space="preserve"> to </w:t>
            </w:r>
            <w:r w:rsidRPr="00F672D4">
              <w:rPr>
                <w:rFonts w:cs="Arial"/>
                <w:sz w:val="20"/>
                <w:szCs w:val="20"/>
              </w:rPr>
              <w:t xml:space="preserve">discuss </w:t>
            </w:r>
            <w:r>
              <w:rPr>
                <w:rFonts w:cs="Arial"/>
                <w:sz w:val="20"/>
                <w:szCs w:val="20"/>
              </w:rPr>
              <w:t>simultaneous operations (</w:t>
            </w:r>
            <w:r w:rsidRPr="00F672D4">
              <w:rPr>
                <w:rFonts w:cs="Arial"/>
                <w:sz w:val="20"/>
                <w:szCs w:val="20"/>
              </w:rPr>
              <w:t>SIMOPS</w:t>
            </w:r>
            <w:r>
              <w:rPr>
                <w:rFonts w:cs="Arial"/>
                <w:sz w:val="20"/>
                <w:szCs w:val="20"/>
              </w:rPr>
              <w:t>) planning for oil and gas activities and the marine seismic survey in the Gippsland Basin.</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1157D864" w14:textId="1911FDE0"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59413B2" w14:textId="77777777" w:rsidTr="00905C82">
        <w:tc>
          <w:tcPr>
            <w:tcW w:w="1427" w:type="dxa"/>
            <w:tcBorders>
              <w:top w:val="nil"/>
              <w:left w:val="single" w:sz="4" w:space="0" w:color="808080"/>
              <w:bottom w:val="nil"/>
              <w:right w:val="single" w:sz="4" w:space="0" w:color="808080"/>
            </w:tcBorders>
            <w:shd w:val="clear" w:color="auto" w:fill="auto"/>
          </w:tcPr>
          <w:p w14:paraId="34341283"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4CB70308"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23FC22C6" w14:textId="77777777" w:rsidR="00A70030" w:rsidRDefault="00A70030" w:rsidP="00073385">
            <w:pPr>
              <w:spacing w:before="60" w:after="60" w:line="240" w:lineRule="auto"/>
              <w:ind w:left="0"/>
              <w:rPr>
                <w:rFonts w:cs="Arial"/>
                <w:sz w:val="20"/>
                <w:szCs w:val="20"/>
              </w:rPr>
            </w:pPr>
            <w:r>
              <w:rPr>
                <w:rFonts w:cs="Arial"/>
                <w:sz w:val="20"/>
                <w:szCs w:val="20"/>
              </w:rPr>
              <w:t>5/5/17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1ACEC9BE" w14:textId="77777777" w:rsidR="00A70030" w:rsidRDefault="00A70030" w:rsidP="00073385">
            <w:pPr>
              <w:spacing w:before="60" w:after="60" w:line="240" w:lineRule="auto"/>
              <w:ind w:left="0"/>
              <w:rPr>
                <w:rFonts w:cs="Arial"/>
                <w:sz w:val="20"/>
                <w:szCs w:val="20"/>
              </w:rPr>
            </w:pPr>
            <w:r>
              <w:rPr>
                <w:rFonts w:cs="Arial"/>
                <w:sz w:val="20"/>
                <w:szCs w:val="20"/>
              </w:rPr>
              <w:t xml:space="preserve">CarbonNet held its second </w:t>
            </w:r>
            <w:r w:rsidRPr="005E5FDE">
              <w:rPr>
                <w:rFonts w:cs="Arial"/>
                <w:sz w:val="20"/>
                <w:szCs w:val="20"/>
              </w:rPr>
              <w:t xml:space="preserve">SIMOPS meeting with </w:t>
            </w:r>
            <w:r w:rsidRPr="00F672D4">
              <w:rPr>
                <w:rFonts w:cs="Arial"/>
                <w:sz w:val="20"/>
                <w:szCs w:val="20"/>
              </w:rPr>
              <w:t>Esso Resources Australia</w:t>
            </w:r>
            <w:r>
              <w:rPr>
                <w:rFonts w:cs="Arial"/>
                <w:sz w:val="20"/>
                <w:szCs w:val="20"/>
              </w:rPr>
              <w:t xml:space="preserve"> to discuss planning for oil and gas activities and the marine seismic survey in the Gippsland Basin.</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0A1E4043" w14:textId="12281F71"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2C0CEC3" w14:textId="77777777" w:rsidTr="00905C82">
        <w:tc>
          <w:tcPr>
            <w:tcW w:w="1427" w:type="dxa"/>
            <w:tcBorders>
              <w:top w:val="nil"/>
              <w:left w:val="single" w:sz="4" w:space="0" w:color="808080"/>
              <w:bottom w:val="nil"/>
              <w:right w:val="single" w:sz="4" w:space="0" w:color="808080"/>
            </w:tcBorders>
            <w:shd w:val="clear" w:color="auto" w:fill="auto"/>
          </w:tcPr>
          <w:p w14:paraId="5CC466D5"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75A9EB0B"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12AAF3E5" w14:textId="77777777" w:rsidR="00A70030" w:rsidRDefault="00A70030" w:rsidP="00073385">
            <w:pPr>
              <w:spacing w:before="60" w:after="60" w:line="240" w:lineRule="auto"/>
              <w:ind w:left="0"/>
              <w:rPr>
                <w:rFonts w:cs="Arial"/>
                <w:sz w:val="20"/>
                <w:szCs w:val="20"/>
              </w:rPr>
            </w:pPr>
            <w:r>
              <w:rPr>
                <w:rFonts w:cs="Arial"/>
                <w:sz w:val="20"/>
                <w:szCs w:val="20"/>
              </w:rPr>
              <w:t>5/5/17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435B4513" w14:textId="77777777" w:rsidR="00A70030" w:rsidRDefault="00A70030" w:rsidP="00073385">
            <w:pPr>
              <w:spacing w:before="60" w:after="60" w:line="240" w:lineRule="auto"/>
              <w:ind w:left="0"/>
              <w:rPr>
                <w:rFonts w:cs="Arial"/>
                <w:sz w:val="20"/>
                <w:szCs w:val="20"/>
              </w:rPr>
            </w:pPr>
            <w:r>
              <w:rPr>
                <w:rFonts w:cs="Arial"/>
                <w:sz w:val="20"/>
                <w:szCs w:val="20"/>
              </w:rPr>
              <w:t>CarbonNet met with Esso Resources Australia to discuss its Stage 3 appraisal activities, including providing an update on its proposed 3D marine seismic survey.</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1F75BC2D" w14:textId="284AE321"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6A55D301" w14:textId="77777777" w:rsidTr="00905C82">
        <w:tc>
          <w:tcPr>
            <w:tcW w:w="1427" w:type="dxa"/>
            <w:tcBorders>
              <w:top w:val="nil"/>
              <w:left w:val="single" w:sz="4" w:space="0" w:color="808080"/>
              <w:bottom w:val="nil"/>
              <w:right w:val="single" w:sz="4" w:space="0" w:color="808080"/>
            </w:tcBorders>
            <w:shd w:val="clear" w:color="auto" w:fill="auto"/>
          </w:tcPr>
          <w:p w14:paraId="39C8BC19"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64E4D9D5"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A85AD8D" w14:textId="77777777" w:rsidR="00A70030" w:rsidRDefault="00A70030" w:rsidP="00073385">
            <w:pPr>
              <w:spacing w:before="60" w:after="60" w:line="240" w:lineRule="auto"/>
              <w:ind w:left="0"/>
              <w:rPr>
                <w:rFonts w:cs="Arial"/>
                <w:sz w:val="20"/>
                <w:szCs w:val="20"/>
              </w:rPr>
            </w:pPr>
            <w:r>
              <w:rPr>
                <w:rFonts w:cs="Arial"/>
                <w:sz w:val="20"/>
                <w:szCs w:val="20"/>
              </w:rPr>
              <w:t>8/5/17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355FC6A7" w14:textId="77777777" w:rsidR="00A70030" w:rsidRDefault="00A70030" w:rsidP="00073385">
            <w:pPr>
              <w:spacing w:before="60" w:after="60" w:line="240" w:lineRule="auto"/>
              <w:ind w:left="0"/>
              <w:rPr>
                <w:rFonts w:cs="Arial"/>
                <w:sz w:val="20"/>
                <w:szCs w:val="20"/>
              </w:rPr>
            </w:pPr>
            <w:r>
              <w:rPr>
                <w:rFonts w:cs="Arial"/>
                <w:sz w:val="20"/>
                <w:szCs w:val="20"/>
              </w:rPr>
              <w:t>CarbonNet met with Cape Energy to discuss its Stage 3 appraisal activities, including providing an update on its proposed 3D marine seismic survey.</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3654B2A2" w14:textId="5BF841DA"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7AD7F4AC" w14:textId="77777777" w:rsidTr="00905C82">
        <w:tc>
          <w:tcPr>
            <w:tcW w:w="1427" w:type="dxa"/>
            <w:tcBorders>
              <w:top w:val="nil"/>
              <w:left w:val="single" w:sz="4" w:space="0" w:color="808080"/>
              <w:bottom w:val="nil"/>
              <w:right w:val="single" w:sz="4" w:space="0" w:color="808080"/>
            </w:tcBorders>
            <w:shd w:val="clear" w:color="auto" w:fill="auto"/>
          </w:tcPr>
          <w:p w14:paraId="798CCB9D"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296C48B6"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A2E3F91" w14:textId="77777777" w:rsidR="00A70030" w:rsidRDefault="00A70030" w:rsidP="00073385">
            <w:pPr>
              <w:spacing w:before="60" w:after="60" w:line="240" w:lineRule="auto"/>
              <w:ind w:left="0"/>
              <w:rPr>
                <w:rFonts w:cs="Arial"/>
                <w:sz w:val="20"/>
                <w:szCs w:val="20"/>
              </w:rPr>
            </w:pPr>
            <w:r>
              <w:rPr>
                <w:rFonts w:cs="Arial"/>
                <w:sz w:val="20"/>
                <w:szCs w:val="20"/>
              </w:rPr>
              <w:t>9/5/17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1B49622A" w14:textId="77777777" w:rsidR="00A70030" w:rsidRDefault="00A70030" w:rsidP="00073385">
            <w:pPr>
              <w:spacing w:before="60" w:after="60" w:line="240" w:lineRule="auto"/>
              <w:ind w:left="0"/>
              <w:rPr>
                <w:rFonts w:cs="Arial"/>
                <w:sz w:val="20"/>
                <w:szCs w:val="20"/>
              </w:rPr>
            </w:pPr>
            <w:r>
              <w:rPr>
                <w:rFonts w:cs="Arial"/>
                <w:sz w:val="20"/>
                <w:szCs w:val="20"/>
              </w:rPr>
              <w:t xml:space="preserve">CarbonNet emailed Cape Energy with further information on its proposed 3D marine seismic survey following its meeting.  </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6947997B" w14:textId="5E03325E"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42F516F" w14:textId="77777777" w:rsidTr="00905C82">
        <w:tc>
          <w:tcPr>
            <w:tcW w:w="1427" w:type="dxa"/>
            <w:tcBorders>
              <w:top w:val="nil"/>
              <w:left w:val="single" w:sz="4" w:space="0" w:color="808080"/>
              <w:bottom w:val="nil"/>
              <w:right w:val="single" w:sz="4" w:space="0" w:color="808080"/>
            </w:tcBorders>
            <w:shd w:val="clear" w:color="auto" w:fill="auto"/>
          </w:tcPr>
          <w:p w14:paraId="49D26764"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27D53960"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A06EDBE" w14:textId="77777777" w:rsidR="00A70030" w:rsidRDefault="00A70030" w:rsidP="00073385">
            <w:pPr>
              <w:spacing w:before="60" w:after="60" w:line="240" w:lineRule="auto"/>
              <w:ind w:left="0"/>
              <w:rPr>
                <w:rFonts w:cs="Arial"/>
                <w:sz w:val="20"/>
                <w:szCs w:val="20"/>
              </w:rPr>
            </w:pPr>
            <w:r>
              <w:rPr>
                <w:rFonts w:cs="Arial"/>
                <w:sz w:val="20"/>
                <w:szCs w:val="20"/>
              </w:rPr>
              <w:t>18/5/17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36DB7202" w14:textId="77777777" w:rsidR="00A70030" w:rsidRDefault="00A70030" w:rsidP="00073385">
            <w:pPr>
              <w:spacing w:before="60" w:after="60" w:line="240" w:lineRule="auto"/>
              <w:ind w:left="0"/>
              <w:rPr>
                <w:rFonts w:cs="Arial"/>
                <w:sz w:val="20"/>
                <w:szCs w:val="20"/>
              </w:rPr>
            </w:pPr>
            <w:r>
              <w:rPr>
                <w:rFonts w:cs="Arial"/>
                <w:sz w:val="20"/>
                <w:szCs w:val="20"/>
              </w:rPr>
              <w:t>CarbonNet met with Carnarvon Hibsicus and 3D Oil to discuss its Stage 3 appraisal activities, including providing an update on its proposed 3D marine seismic survey.</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1BB1845B" w14:textId="3BB028C0"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1A2ADD6" w14:textId="77777777" w:rsidTr="00905C82">
        <w:tc>
          <w:tcPr>
            <w:tcW w:w="1427" w:type="dxa"/>
            <w:tcBorders>
              <w:top w:val="nil"/>
              <w:left w:val="single" w:sz="4" w:space="0" w:color="808080"/>
              <w:bottom w:val="nil"/>
              <w:right w:val="single" w:sz="4" w:space="0" w:color="808080"/>
            </w:tcBorders>
            <w:shd w:val="clear" w:color="auto" w:fill="auto"/>
          </w:tcPr>
          <w:p w14:paraId="2653AF8C"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73824561"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67AC8AEE" w14:textId="77777777" w:rsidR="00A70030" w:rsidRDefault="00A70030" w:rsidP="00073385">
            <w:pPr>
              <w:spacing w:before="60" w:after="60" w:line="240" w:lineRule="auto"/>
              <w:ind w:left="0"/>
              <w:rPr>
                <w:rFonts w:cs="Arial"/>
                <w:sz w:val="20"/>
                <w:szCs w:val="20"/>
              </w:rPr>
            </w:pPr>
            <w:r>
              <w:rPr>
                <w:rFonts w:cs="Arial"/>
                <w:sz w:val="20"/>
                <w:szCs w:val="20"/>
              </w:rPr>
              <w:t>25/5/17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615AAD7E" w14:textId="77777777" w:rsidR="00A70030" w:rsidRDefault="00A70030" w:rsidP="00073385">
            <w:pPr>
              <w:spacing w:before="60" w:after="60" w:line="240" w:lineRule="auto"/>
              <w:ind w:left="0"/>
              <w:rPr>
                <w:rFonts w:cs="Arial"/>
                <w:sz w:val="20"/>
                <w:szCs w:val="20"/>
              </w:rPr>
            </w:pPr>
            <w:r>
              <w:rPr>
                <w:rFonts w:cs="Arial"/>
                <w:sz w:val="20"/>
                <w:szCs w:val="20"/>
              </w:rPr>
              <w:t>CarbonNet met with Lakes Oil to discuss its Stage 3 appraisal activities, including providing an update on its proposed 3D marine seismic survey.</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6EBE9D3A" w14:textId="7018171A"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73544E71" w14:textId="77777777" w:rsidTr="00891DE1">
        <w:tc>
          <w:tcPr>
            <w:tcW w:w="1427" w:type="dxa"/>
            <w:tcBorders>
              <w:top w:val="nil"/>
              <w:left w:val="single" w:sz="4" w:space="0" w:color="808080"/>
              <w:bottom w:val="nil"/>
              <w:right w:val="single" w:sz="4" w:space="0" w:color="808080"/>
            </w:tcBorders>
            <w:shd w:val="clear" w:color="auto" w:fill="auto"/>
          </w:tcPr>
          <w:p w14:paraId="78F3B6A4"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38B2B1DB"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A5DF733" w14:textId="77777777" w:rsidR="00A70030" w:rsidRDefault="00A70030" w:rsidP="00073385">
            <w:pPr>
              <w:spacing w:before="60" w:after="60" w:line="240" w:lineRule="auto"/>
              <w:ind w:left="0"/>
              <w:rPr>
                <w:rFonts w:cs="Arial"/>
                <w:sz w:val="20"/>
                <w:szCs w:val="20"/>
              </w:rPr>
            </w:pPr>
            <w:r>
              <w:rPr>
                <w:rFonts w:cs="Arial"/>
                <w:sz w:val="20"/>
                <w:szCs w:val="20"/>
              </w:rPr>
              <w:t>7/8/2017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41E134CC" w14:textId="294AC3F2" w:rsidR="00A70030" w:rsidRDefault="00A70030" w:rsidP="00073385">
            <w:pPr>
              <w:spacing w:before="60" w:after="60" w:line="240" w:lineRule="auto"/>
              <w:ind w:left="0"/>
              <w:rPr>
                <w:rFonts w:cs="Arial"/>
                <w:sz w:val="20"/>
                <w:szCs w:val="20"/>
              </w:rPr>
            </w:pPr>
            <w:r>
              <w:rPr>
                <w:rFonts w:cs="Arial"/>
                <w:sz w:val="20"/>
                <w:szCs w:val="20"/>
              </w:rPr>
              <w:t xml:space="preserve">CarbonNet emailed the following tenement holders </w:t>
            </w:r>
            <w:r w:rsidRPr="001D00DE">
              <w:rPr>
                <w:rFonts w:cs="Arial"/>
                <w:sz w:val="20"/>
                <w:szCs w:val="20"/>
              </w:rPr>
              <w:t xml:space="preserve">advising that </w:t>
            </w:r>
            <w:r w:rsidRPr="001D00DE">
              <w:rPr>
                <w:rFonts w:cs="Arial"/>
                <w:sz w:val="20"/>
                <w:szCs w:val="20"/>
              </w:rPr>
              <w:lastRenderedPageBreak/>
              <w:t xml:space="preserve">area and duration of survey have now been refined, and advising </w:t>
            </w:r>
            <w:r>
              <w:rPr>
                <w:rFonts w:cs="Arial"/>
                <w:sz w:val="20"/>
                <w:szCs w:val="20"/>
              </w:rPr>
              <w:t>the EP will be submitted in mid-August:</w:t>
            </w:r>
          </w:p>
          <w:p w14:paraId="77B344B5" w14:textId="77777777" w:rsidR="00A70030" w:rsidRDefault="00A70030" w:rsidP="00073385">
            <w:pPr>
              <w:pStyle w:val="ListParagraph0"/>
              <w:numPr>
                <w:ilvl w:val="0"/>
                <w:numId w:val="514"/>
              </w:numPr>
              <w:spacing w:before="60" w:after="60" w:line="240" w:lineRule="auto"/>
              <w:rPr>
                <w:rFonts w:cs="Arial"/>
                <w:sz w:val="20"/>
                <w:szCs w:val="20"/>
              </w:rPr>
            </w:pPr>
            <w:r>
              <w:rPr>
                <w:rFonts w:cs="Arial"/>
                <w:sz w:val="20"/>
                <w:szCs w:val="20"/>
              </w:rPr>
              <w:t>Esso Resources Australia</w:t>
            </w:r>
          </w:p>
          <w:p w14:paraId="335FC259" w14:textId="77777777" w:rsidR="00A70030" w:rsidRDefault="00A70030" w:rsidP="00073385">
            <w:pPr>
              <w:pStyle w:val="ListParagraph0"/>
              <w:numPr>
                <w:ilvl w:val="0"/>
                <w:numId w:val="514"/>
              </w:numPr>
              <w:spacing w:before="60" w:after="60" w:line="240" w:lineRule="auto"/>
              <w:rPr>
                <w:rFonts w:cs="Arial"/>
                <w:sz w:val="20"/>
                <w:szCs w:val="20"/>
              </w:rPr>
            </w:pPr>
            <w:r>
              <w:rPr>
                <w:rFonts w:cs="Arial"/>
                <w:sz w:val="20"/>
                <w:szCs w:val="20"/>
              </w:rPr>
              <w:t>Cape Energy</w:t>
            </w:r>
          </w:p>
          <w:p w14:paraId="7BAFAE10" w14:textId="77777777" w:rsidR="00A70030" w:rsidRDefault="00A70030" w:rsidP="00073385">
            <w:pPr>
              <w:pStyle w:val="ListParagraph0"/>
              <w:numPr>
                <w:ilvl w:val="0"/>
                <w:numId w:val="514"/>
              </w:numPr>
              <w:spacing w:before="60" w:after="60" w:line="240" w:lineRule="auto"/>
              <w:rPr>
                <w:rFonts w:cs="Arial"/>
                <w:sz w:val="20"/>
                <w:szCs w:val="20"/>
              </w:rPr>
            </w:pPr>
            <w:r>
              <w:rPr>
                <w:rFonts w:cs="Arial"/>
                <w:sz w:val="20"/>
                <w:szCs w:val="20"/>
              </w:rPr>
              <w:t>Carnarvon Hibiscus and 3D Oil</w:t>
            </w:r>
          </w:p>
          <w:p w14:paraId="1DB5A4EF" w14:textId="77777777" w:rsidR="00A70030" w:rsidRPr="00B376ED" w:rsidRDefault="00A70030" w:rsidP="00073385">
            <w:pPr>
              <w:pStyle w:val="ListParagraph0"/>
              <w:numPr>
                <w:ilvl w:val="0"/>
                <w:numId w:val="514"/>
              </w:numPr>
              <w:spacing w:before="60" w:after="60" w:line="240" w:lineRule="auto"/>
              <w:rPr>
                <w:rFonts w:cs="Arial"/>
                <w:sz w:val="20"/>
                <w:szCs w:val="20"/>
              </w:rPr>
            </w:pPr>
            <w:r>
              <w:rPr>
                <w:rFonts w:cs="Arial"/>
                <w:sz w:val="20"/>
                <w:szCs w:val="20"/>
              </w:rPr>
              <w:t>Lakes Oil (Petrotech)</w:t>
            </w:r>
          </w:p>
          <w:p w14:paraId="7B523900" w14:textId="77777777" w:rsidR="00A70030" w:rsidRPr="001D00DE" w:rsidRDefault="00A70030" w:rsidP="00073385">
            <w:pPr>
              <w:spacing w:before="60" w:after="60" w:line="240" w:lineRule="auto"/>
              <w:ind w:left="0"/>
              <w:rPr>
                <w:rFonts w:cs="Arial"/>
                <w:sz w:val="20"/>
                <w:szCs w:val="20"/>
              </w:rPr>
            </w:pPr>
            <w:r>
              <w:rPr>
                <w:rFonts w:cs="Arial"/>
                <w:sz w:val="20"/>
                <w:szCs w:val="20"/>
              </w:rPr>
              <w:t>The email explained that the s</w:t>
            </w:r>
            <w:r w:rsidRPr="001D00DE">
              <w:rPr>
                <w:rFonts w:cs="Arial"/>
                <w:sz w:val="20"/>
                <w:szCs w:val="20"/>
              </w:rPr>
              <w:t>urvey area is now larger due to vessel turns</w:t>
            </w:r>
            <w:r>
              <w:rPr>
                <w:rFonts w:cs="Arial"/>
                <w:sz w:val="20"/>
                <w:szCs w:val="20"/>
              </w:rPr>
              <w:t xml:space="preserve">, and </w:t>
            </w:r>
            <w:r w:rsidRPr="001D00DE">
              <w:rPr>
                <w:rFonts w:cs="Arial"/>
                <w:sz w:val="20"/>
                <w:szCs w:val="20"/>
              </w:rPr>
              <w:t>provided map</w:t>
            </w:r>
            <w:r>
              <w:rPr>
                <w:rFonts w:cs="Arial"/>
                <w:sz w:val="20"/>
                <w:szCs w:val="20"/>
              </w:rPr>
              <w:t xml:space="preserve"> with amended operational area, and acquisition area (which is unchanged).</w:t>
            </w:r>
          </w:p>
          <w:p w14:paraId="1C61AFCF" w14:textId="77777777" w:rsidR="00A70030" w:rsidRDefault="00A70030" w:rsidP="00073385">
            <w:pPr>
              <w:spacing w:before="60" w:after="60" w:line="240" w:lineRule="auto"/>
              <w:ind w:left="0"/>
              <w:rPr>
                <w:rFonts w:cs="Arial"/>
                <w:sz w:val="20"/>
                <w:szCs w:val="20"/>
              </w:rPr>
            </w:pPr>
            <w:r>
              <w:rPr>
                <w:rFonts w:cs="Arial"/>
                <w:sz w:val="20"/>
                <w:szCs w:val="20"/>
              </w:rPr>
              <w:t>The su</w:t>
            </w:r>
            <w:r w:rsidRPr="001D00DE">
              <w:rPr>
                <w:rFonts w:cs="Arial"/>
                <w:sz w:val="20"/>
                <w:szCs w:val="20"/>
              </w:rPr>
              <w:t>rvey duration is likely to be 13-16 days but could be up to 27 days depending on final vessel selection.</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6AA266F2" w14:textId="673B39FA" w:rsidR="00A70030" w:rsidRDefault="00A70030" w:rsidP="00073385">
            <w:pPr>
              <w:spacing w:before="60" w:after="60" w:line="240" w:lineRule="auto"/>
              <w:ind w:left="0"/>
              <w:rPr>
                <w:rFonts w:cs="Arial"/>
                <w:sz w:val="20"/>
                <w:szCs w:val="20"/>
              </w:rPr>
            </w:pPr>
            <w:r>
              <w:rPr>
                <w:rFonts w:cs="Arial"/>
                <w:sz w:val="20"/>
                <w:szCs w:val="20"/>
              </w:rPr>
              <w:lastRenderedPageBreak/>
              <w:t>N/A</w:t>
            </w:r>
          </w:p>
        </w:tc>
      </w:tr>
      <w:tr w:rsidR="00A70030" w:rsidRPr="00FF0808" w14:paraId="4CFBE955" w14:textId="77777777" w:rsidTr="00891DE1">
        <w:tc>
          <w:tcPr>
            <w:tcW w:w="1427" w:type="dxa"/>
            <w:tcBorders>
              <w:top w:val="nil"/>
              <w:left w:val="single" w:sz="4" w:space="0" w:color="808080"/>
              <w:bottom w:val="nil"/>
              <w:right w:val="single" w:sz="4" w:space="0" w:color="808080"/>
            </w:tcBorders>
            <w:shd w:val="clear" w:color="auto" w:fill="auto"/>
          </w:tcPr>
          <w:p w14:paraId="2A627576"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1E40FEEB"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E80490D" w14:textId="062BD8FD"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5A7F3CBB" w14:textId="4F4FC4F7" w:rsidR="00A70030"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5E49B6EF" w14:textId="424422E1"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1E3477F2" w14:textId="77777777" w:rsidTr="00891DE1">
        <w:tc>
          <w:tcPr>
            <w:tcW w:w="1427" w:type="dxa"/>
            <w:tcBorders>
              <w:top w:val="nil"/>
              <w:left w:val="single" w:sz="4" w:space="0" w:color="808080"/>
              <w:bottom w:val="nil"/>
              <w:right w:val="single" w:sz="4" w:space="0" w:color="808080"/>
            </w:tcBorders>
            <w:shd w:val="clear" w:color="auto" w:fill="auto"/>
          </w:tcPr>
          <w:p w14:paraId="582ABEC5"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7AE57D3B"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51022F54" w14:textId="7CA22AA2" w:rsidR="00A70030" w:rsidRDefault="00A70030" w:rsidP="00073385">
            <w:pPr>
              <w:spacing w:before="60" w:after="60" w:line="240" w:lineRule="auto"/>
              <w:ind w:left="0"/>
              <w:rPr>
                <w:rFonts w:cs="Arial"/>
                <w:sz w:val="20"/>
                <w:szCs w:val="20"/>
              </w:rPr>
            </w:pPr>
            <w:r>
              <w:rPr>
                <w:rFonts w:cs="Arial"/>
                <w:sz w:val="20"/>
                <w:szCs w:val="20"/>
              </w:rPr>
              <w:t>31/08/17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5BDE7CC2" w14:textId="0B9BCE97" w:rsidR="00A70030" w:rsidRDefault="00A70030" w:rsidP="005A4657">
            <w:pPr>
              <w:spacing w:before="60" w:after="60" w:line="240" w:lineRule="auto"/>
              <w:ind w:left="0"/>
              <w:rPr>
                <w:rFonts w:cs="Arial"/>
                <w:sz w:val="20"/>
                <w:szCs w:val="20"/>
              </w:rPr>
            </w:pPr>
            <w:r>
              <w:rPr>
                <w:rFonts w:cs="Arial"/>
                <w:sz w:val="20"/>
                <w:szCs w:val="20"/>
              </w:rPr>
              <w:t xml:space="preserve">CarbonNet held its third </w:t>
            </w:r>
            <w:r w:rsidRPr="005E5FDE">
              <w:rPr>
                <w:rFonts w:cs="Arial"/>
                <w:sz w:val="20"/>
                <w:szCs w:val="20"/>
              </w:rPr>
              <w:t xml:space="preserve">SIMOPS meeting with </w:t>
            </w:r>
            <w:r w:rsidRPr="00F672D4">
              <w:rPr>
                <w:rFonts w:cs="Arial"/>
                <w:sz w:val="20"/>
                <w:szCs w:val="20"/>
              </w:rPr>
              <w:t>Esso Resources Australia</w:t>
            </w:r>
            <w:r>
              <w:rPr>
                <w:rFonts w:cs="Arial"/>
                <w:sz w:val="20"/>
                <w:szCs w:val="20"/>
              </w:rPr>
              <w:t xml:space="preserve"> to discuss planning for oil and gas activities and the MSS.</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0165171E" w14:textId="6C7B4425"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FD83682" w14:textId="77777777" w:rsidTr="00891DE1">
        <w:tc>
          <w:tcPr>
            <w:tcW w:w="1427" w:type="dxa"/>
            <w:tcBorders>
              <w:top w:val="nil"/>
              <w:left w:val="single" w:sz="4" w:space="0" w:color="808080"/>
              <w:bottom w:val="nil"/>
              <w:right w:val="single" w:sz="4" w:space="0" w:color="808080"/>
            </w:tcBorders>
            <w:shd w:val="clear" w:color="auto" w:fill="auto"/>
          </w:tcPr>
          <w:p w14:paraId="242B38A6"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29290DCD"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27032E9E" w14:textId="04D3CECF" w:rsidR="00A70030" w:rsidRPr="00A70030" w:rsidRDefault="00A70030" w:rsidP="00073385">
            <w:pPr>
              <w:spacing w:before="60" w:after="60" w:line="240" w:lineRule="auto"/>
              <w:ind w:left="0"/>
              <w:rPr>
                <w:rFonts w:cs="Arial"/>
                <w:sz w:val="20"/>
                <w:szCs w:val="20"/>
              </w:rPr>
            </w:pPr>
            <w:r w:rsidRPr="00891DE1">
              <w:rPr>
                <w:rFonts w:cs="Arial"/>
                <w:sz w:val="20"/>
                <w:szCs w:val="20"/>
              </w:rPr>
              <w:t>19/9/17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40201F44" w14:textId="53A9E9C9" w:rsidR="00A70030" w:rsidRPr="00A70030" w:rsidRDefault="00A70030" w:rsidP="005A4657">
            <w:pPr>
              <w:spacing w:before="60" w:after="60" w:line="240" w:lineRule="auto"/>
              <w:ind w:left="0"/>
              <w:rPr>
                <w:rFonts w:cs="Arial"/>
                <w:sz w:val="20"/>
                <w:szCs w:val="20"/>
              </w:rPr>
            </w:pPr>
            <w:r w:rsidRPr="00891DE1">
              <w:rPr>
                <w:rFonts w:cs="Arial"/>
                <w:sz w:val="20"/>
                <w:szCs w:val="20"/>
              </w:rPr>
              <w:t>CarbonNet emailed a request on 7/8/17 to Lakes Oil (Petro Tech) for permission to apply for a GHG special authority to allow seismic boat turns for the survey within the Petro Tech permit VIC/P43(V) and outside of the GGAP006386(V) assessment permit managed by CarbonNet.</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2B5C5290" w14:textId="77777777" w:rsidR="00A70030" w:rsidRDefault="00A70030" w:rsidP="00073385">
            <w:pPr>
              <w:spacing w:before="60" w:after="60" w:line="240" w:lineRule="auto"/>
              <w:ind w:left="0"/>
              <w:rPr>
                <w:rFonts w:cs="Arial"/>
                <w:sz w:val="20"/>
                <w:szCs w:val="20"/>
              </w:rPr>
            </w:pPr>
          </w:p>
        </w:tc>
      </w:tr>
      <w:tr w:rsidR="00A70030" w:rsidRPr="00FF0808" w14:paraId="39D38652" w14:textId="77777777" w:rsidTr="00891DE1">
        <w:tc>
          <w:tcPr>
            <w:tcW w:w="1427" w:type="dxa"/>
            <w:tcBorders>
              <w:top w:val="nil"/>
              <w:left w:val="single" w:sz="4" w:space="0" w:color="808080"/>
              <w:bottom w:val="nil"/>
              <w:right w:val="single" w:sz="4" w:space="0" w:color="808080"/>
            </w:tcBorders>
            <w:shd w:val="clear" w:color="auto" w:fill="auto"/>
          </w:tcPr>
          <w:p w14:paraId="005341E8"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151414E9"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3E72E7E4" w14:textId="4FF23574" w:rsidR="00A70030" w:rsidRDefault="00A70030" w:rsidP="00073385">
            <w:pPr>
              <w:spacing w:before="60" w:after="60" w:line="240" w:lineRule="auto"/>
              <w:ind w:left="0"/>
              <w:rPr>
                <w:rFonts w:cs="Arial"/>
                <w:sz w:val="20"/>
                <w:szCs w:val="20"/>
              </w:rPr>
            </w:pPr>
            <w:r>
              <w:rPr>
                <w:rFonts w:cs="Arial"/>
                <w:sz w:val="20"/>
                <w:szCs w:val="20"/>
              </w:rPr>
              <w:t>22/9/17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5936F557" w14:textId="386D627E" w:rsidR="00A70030" w:rsidRDefault="00A70030" w:rsidP="005A4657">
            <w:pPr>
              <w:spacing w:before="60" w:after="60" w:line="240" w:lineRule="auto"/>
              <w:ind w:left="0"/>
              <w:rPr>
                <w:rFonts w:cs="Arial"/>
                <w:sz w:val="20"/>
                <w:szCs w:val="20"/>
              </w:rPr>
            </w:pPr>
            <w:r>
              <w:rPr>
                <w:rFonts w:cs="Arial"/>
                <w:sz w:val="20"/>
                <w:szCs w:val="20"/>
              </w:rPr>
              <w:t xml:space="preserve">CarbonNet received a letter dated 22/9/17 via email from Lakes Oil (Petro Tech) consenting to a GHG special authority being granted to allow seismic vessel turns for the MSS within the Petro Tech permit VIC/P43(V) and outside of the GGAP006386(V) assessment permit.  </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2C6F0304" w14:textId="13BAF52B"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5F8B78F4" w14:textId="77777777" w:rsidTr="00891DE1">
        <w:tc>
          <w:tcPr>
            <w:tcW w:w="1427" w:type="dxa"/>
            <w:tcBorders>
              <w:top w:val="nil"/>
              <w:left w:val="single" w:sz="4" w:space="0" w:color="808080"/>
              <w:bottom w:val="nil"/>
              <w:right w:val="single" w:sz="4" w:space="0" w:color="808080"/>
            </w:tcBorders>
            <w:shd w:val="clear" w:color="auto" w:fill="auto"/>
          </w:tcPr>
          <w:p w14:paraId="1E695478"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nil"/>
              <w:right w:val="single" w:sz="4" w:space="0" w:color="808080"/>
            </w:tcBorders>
            <w:shd w:val="clear" w:color="auto" w:fill="auto"/>
          </w:tcPr>
          <w:p w14:paraId="49DA5310"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57B173FD" w14:textId="5C640326" w:rsidR="00A70030" w:rsidRDefault="00A70030" w:rsidP="00073385">
            <w:pPr>
              <w:spacing w:before="60" w:after="60" w:line="240" w:lineRule="auto"/>
              <w:ind w:left="0"/>
              <w:rPr>
                <w:rFonts w:cs="Arial"/>
                <w:sz w:val="20"/>
                <w:szCs w:val="20"/>
              </w:rPr>
            </w:pPr>
            <w:r>
              <w:rPr>
                <w:rFonts w:cs="Arial"/>
                <w:sz w:val="20"/>
                <w:szCs w:val="20"/>
              </w:rPr>
              <w:t>26/9/17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4DBB8F52" w14:textId="03D9A306" w:rsidR="00A70030" w:rsidRDefault="00A70030" w:rsidP="00073385">
            <w:pPr>
              <w:spacing w:before="60" w:after="60" w:line="240" w:lineRule="auto"/>
              <w:ind w:left="0"/>
              <w:rPr>
                <w:rFonts w:cs="Arial"/>
                <w:sz w:val="20"/>
                <w:szCs w:val="20"/>
              </w:rPr>
            </w:pPr>
            <w:r>
              <w:rPr>
                <w:rFonts w:cs="Arial"/>
                <w:sz w:val="20"/>
                <w:szCs w:val="20"/>
              </w:rPr>
              <w:t xml:space="preserve">CarbonNet met with </w:t>
            </w:r>
            <w:r w:rsidRPr="00EB0FDF">
              <w:rPr>
                <w:rFonts w:cs="Arial"/>
                <w:sz w:val="20"/>
                <w:szCs w:val="20"/>
              </w:rPr>
              <w:t xml:space="preserve">Cape Energy to update them on CarbonNet Stage 3 activities and to get an update on </w:t>
            </w:r>
            <w:r>
              <w:rPr>
                <w:rFonts w:cs="Arial"/>
                <w:sz w:val="20"/>
                <w:szCs w:val="20"/>
              </w:rPr>
              <w:t xml:space="preserve">their </w:t>
            </w:r>
            <w:r w:rsidRPr="00EB0FDF">
              <w:rPr>
                <w:rFonts w:cs="Arial"/>
                <w:sz w:val="20"/>
                <w:szCs w:val="20"/>
              </w:rPr>
              <w:t>current areas of focus.</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2F761189" w14:textId="4AFAE1D6"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8009627" w14:textId="77777777" w:rsidTr="00905C82">
        <w:tc>
          <w:tcPr>
            <w:tcW w:w="1427" w:type="dxa"/>
            <w:tcBorders>
              <w:top w:val="nil"/>
              <w:left w:val="single" w:sz="4" w:space="0" w:color="808080"/>
              <w:bottom w:val="single" w:sz="4" w:space="0" w:color="808080"/>
              <w:right w:val="single" w:sz="4" w:space="0" w:color="808080"/>
            </w:tcBorders>
            <w:shd w:val="clear" w:color="auto" w:fill="auto"/>
          </w:tcPr>
          <w:p w14:paraId="6173B751" w14:textId="77777777" w:rsidR="00A70030" w:rsidRPr="0035703F" w:rsidRDefault="00A70030" w:rsidP="00073385">
            <w:pPr>
              <w:spacing w:before="60" w:after="60" w:line="240" w:lineRule="auto"/>
              <w:ind w:left="0"/>
              <w:rPr>
                <w:rFonts w:cs="Arial"/>
                <w:sz w:val="20"/>
                <w:szCs w:val="20"/>
              </w:rPr>
            </w:pPr>
          </w:p>
        </w:tc>
        <w:tc>
          <w:tcPr>
            <w:tcW w:w="1629" w:type="dxa"/>
            <w:tcBorders>
              <w:top w:val="nil"/>
              <w:left w:val="single" w:sz="4" w:space="0" w:color="808080"/>
              <w:bottom w:val="single" w:sz="4" w:space="0" w:color="808080"/>
              <w:right w:val="single" w:sz="4" w:space="0" w:color="808080"/>
            </w:tcBorders>
            <w:shd w:val="clear" w:color="auto" w:fill="auto"/>
          </w:tcPr>
          <w:p w14:paraId="2F4C8BBF" w14:textId="77777777" w:rsidR="00A70030" w:rsidRPr="00FF0808" w:rsidRDefault="00A70030" w:rsidP="00073385">
            <w:pPr>
              <w:spacing w:before="60" w:after="60" w:line="240" w:lineRule="auto"/>
              <w:ind w:left="0"/>
              <w:rPr>
                <w:rFonts w:cs="Arial"/>
                <w:sz w:val="20"/>
                <w:szCs w:val="20"/>
              </w:rPr>
            </w:pPr>
          </w:p>
        </w:tc>
        <w:tc>
          <w:tcPr>
            <w:tcW w:w="1055" w:type="dxa"/>
            <w:tcBorders>
              <w:top w:val="single" w:sz="4" w:space="0" w:color="808080"/>
              <w:left w:val="single" w:sz="4" w:space="0" w:color="808080"/>
              <w:bottom w:val="single" w:sz="4" w:space="0" w:color="808080"/>
              <w:right w:val="single" w:sz="4" w:space="0" w:color="808080"/>
            </w:tcBorders>
          </w:tcPr>
          <w:p w14:paraId="2699F8C1" w14:textId="474D24A0" w:rsidR="00A70030" w:rsidRDefault="00A70030" w:rsidP="00073385">
            <w:pPr>
              <w:spacing w:before="60" w:after="60" w:line="240" w:lineRule="auto"/>
              <w:ind w:left="0"/>
              <w:rPr>
                <w:rFonts w:cs="Arial"/>
                <w:sz w:val="20"/>
                <w:szCs w:val="20"/>
              </w:rPr>
            </w:pPr>
            <w:r>
              <w:rPr>
                <w:rFonts w:cs="Arial"/>
                <w:sz w:val="20"/>
                <w:szCs w:val="20"/>
              </w:rPr>
              <w:t>13/10/17</w:t>
            </w:r>
          </w:p>
        </w:tc>
        <w:tc>
          <w:tcPr>
            <w:tcW w:w="6335" w:type="dxa"/>
            <w:tcBorders>
              <w:top w:val="single" w:sz="4" w:space="0" w:color="808080"/>
              <w:left w:val="single" w:sz="4" w:space="0" w:color="808080"/>
              <w:bottom w:val="single" w:sz="4" w:space="0" w:color="808080"/>
              <w:right w:val="single" w:sz="4" w:space="0" w:color="808080"/>
            </w:tcBorders>
            <w:shd w:val="clear" w:color="auto" w:fill="auto"/>
          </w:tcPr>
          <w:p w14:paraId="7BE8B9D5" w14:textId="0166763B" w:rsidR="00A70030" w:rsidRDefault="00A70030" w:rsidP="005A4657">
            <w:pPr>
              <w:spacing w:before="60" w:after="60" w:line="240" w:lineRule="auto"/>
              <w:ind w:left="0"/>
              <w:rPr>
                <w:rFonts w:cs="Arial"/>
                <w:sz w:val="20"/>
                <w:szCs w:val="20"/>
              </w:rPr>
            </w:pPr>
            <w:r>
              <w:rPr>
                <w:rFonts w:cs="Arial"/>
                <w:sz w:val="20"/>
                <w:szCs w:val="20"/>
              </w:rPr>
              <w:t xml:space="preserve">CarbonNet emailed  Lakes Oil (Petro Tech) advising that </w:t>
            </w:r>
            <w:r>
              <w:rPr>
                <w:rFonts w:ascii="Helv" w:eastAsiaTheme="minorHAnsi" w:hAnsi="Helv" w:cs="Helv"/>
                <w:color w:val="000000"/>
                <w:sz w:val="20"/>
                <w:szCs w:val="20"/>
                <w:lang w:eastAsia="en-US"/>
              </w:rPr>
              <w:t xml:space="preserve">Earth Resources Regulation has confirmed that no additional approvals are required in Victorian waters for seismic vessel movements outside of the GGAP006386(V) GHG permit area as long as data </w:t>
            </w:r>
            <w:r>
              <w:rPr>
                <w:rFonts w:ascii="Helv" w:eastAsiaTheme="minorHAnsi" w:hAnsi="Helv" w:cs="Helv"/>
                <w:color w:val="000000"/>
                <w:sz w:val="20"/>
                <w:szCs w:val="20"/>
                <w:lang w:eastAsia="en-US"/>
              </w:rPr>
              <w:lastRenderedPageBreak/>
              <w:t>acquisition and sampling occurs within the permit area.</w:t>
            </w:r>
          </w:p>
        </w:tc>
        <w:tc>
          <w:tcPr>
            <w:tcW w:w="3802" w:type="dxa"/>
            <w:tcBorders>
              <w:top w:val="single" w:sz="4" w:space="0" w:color="808080"/>
              <w:left w:val="single" w:sz="4" w:space="0" w:color="808080"/>
              <w:bottom w:val="single" w:sz="4" w:space="0" w:color="808080"/>
              <w:right w:val="single" w:sz="4" w:space="0" w:color="808080"/>
            </w:tcBorders>
            <w:shd w:val="clear" w:color="auto" w:fill="auto"/>
          </w:tcPr>
          <w:p w14:paraId="2A2E29A6" w14:textId="3BB32D43" w:rsidR="00A70030" w:rsidRDefault="00A70030" w:rsidP="00073385">
            <w:pPr>
              <w:spacing w:before="60" w:after="60" w:line="240" w:lineRule="auto"/>
              <w:ind w:left="0"/>
              <w:rPr>
                <w:rFonts w:cs="Arial"/>
                <w:sz w:val="20"/>
                <w:szCs w:val="20"/>
              </w:rPr>
            </w:pPr>
            <w:r>
              <w:rPr>
                <w:rFonts w:cs="Arial"/>
                <w:sz w:val="20"/>
                <w:szCs w:val="20"/>
              </w:rPr>
              <w:lastRenderedPageBreak/>
              <w:t>N/A</w:t>
            </w:r>
          </w:p>
        </w:tc>
      </w:tr>
      <w:tr w:rsidR="00A70030" w:rsidRPr="00FF0808" w14:paraId="0ADECAF0" w14:textId="77777777" w:rsidTr="00077C5F">
        <w:tc>
          <w:tcPr>
            <w:tcW w:w="1427" w:type="dxa"/>
            <w:vMerge w:val="restart"/>
            <w:shd w:val="clear" w:color="auto" w:fill="auto"/>
          </w:tcPr>
          <w:p w14:paraId="045240E9" w14:textId="77777777" w:rsidR="00A70030" w:rsidRPr="00FF0808" w:rsidRDefault="00A70030" w:rsidP="00073385">
            <w:pPr>
              <w:spacing w:before="60" w:after="60" w:line="240" w:lineRule="auto"/>
              <w:ind w:left="0"/>
              <w:rPr>
                <w:rFonts w:cs="Arial"/>
                <w:sz w:val="20"/>
                <w:szCs w:val="20"/>
              </w:rPr>
            </w:pPr>
            <w:r>
              <w:rPr>
                <w:rFonts w:cs="Arial"/>
                <w:sz w:val="20"/>
                <w:szCs w:val="20"/>
              </w:rPr>
              <w:t>Telstra</w:t>
            </w:r>
          </w:p>
        </w:tc>
        <w:tc>
          <w:tcPr>
            <w:tcW w:w="1629" w:type="dxa"/>
            <w:vMerge w:val="restart"/>
            <w:shd w:val="clear" w:color="auto" w:fill="auto"/>
          </w:tcPr>
          <w:p w14:paraId="6290E7DC" w14:textId="3045997A" w:rsidR="00A70030" w:rsidRPr="00FF0808" w:rsidRDefault="00A70030" w:rsidP="00073385">
            <w:pPr>
              <w:spacing w:before="60" w:after="60" w:line="240" w:lineRule="auto"/>
              <w:ind w:left="0"/>
              <w:rPr>
                <w:rFonts w:cs="Arial"/>
                <w:sz w:val="20"/>
                <w:szCs w:val="20"/>
              </w:rPr>
            </w:pPr>
            <w:r>
              <w:rPr>
                <w:rFonts w:cs="Arial"/>
                <w:sz w:val="20"/>
                <w:szCs w:val="20"/>
              </w:rPr>
              <w:t xml:space="preserve">Manager of telecommun-ications cables </w:t>
            </w:r>
          </w:p>
        </w:tc>
        <w:tc>
          <w:tcPr>
            <w:tcW w:w="1055" w:type="dxa"/>
          </w:tcPr>
          <w:p w14:paraId="6C1BCC1E" w14:textId="77777777" w:rsidR="00A70030" w:rsidRDefault="00A70030" w:rsidP="00073385">
            <w:pPr>
              <w:spacing w:before="60" w:after="60" w:line="240" w:lineRule="auto"/>
              <w:ind w:left="0"/>
              <w:rPr>
                <w:rFonts w:cs="Arial"/>
                <w:sz w:val="20"/>
                <w:szCs w:val="20"/>
              </w:rPr>
            </w:pPr>
            <w:r>
              <w:rPr>
                <w:rFonts w:cs="Arial"/>
                <w:sz w:val="20"/>
                <w:szCs w:val="20"/>
              </w:rPr>
              <w:t>21/3/17</w:t>
            </w:r>
          </w:p>
          <w:p w14:paraId="01729C01" w14:textId="77777777" w:rsidR="00A70030" w:rsidRPr="00FF0808" w:rsidRDefault="00A70030" w:rsidP="00073385">
            <w:pPr>
              <w:spacing w:before="60" w:after="60" w:line="240" w:lineRule="auto"/>
              <w:ind w:left="0"/>
              <w:rPr>
                <w:rFonts w:cs="Arial"/>
                <w:sz w:val="20"/>
                <w:szCs w:val="20"/>
              </w:rPr>
            </w:pPr>
          </w:p>
        </w:tc>
        <w:tc>
          <w:tcPr>
            <w:tcW w:w="6335" w:type="dxa"/>
            <w:shd w:val="clear" w:color="auto" w:fill="auto"/>
          </w:tcPr>
          <w:p w14:paraId="24D784A4" w14:textId="77777777" w:rsidR="00A70030" w:rsidRPr="00FF0808" w:rsidRDefault="00A70030" w:rsidP="00073385">
            <w:pPr>
              <w:spacing w:before="60" w:after="60" w:line="240" w:lineRule="auto"/>
              <w:ind w:left="0"/>
              <w:rPr>
                <w:rFonts w:cs="Arial"/>
                <w:sz w:val="20"/>
                <w:szCs w:val="20"/>
              </w:rPr>
            </w:pPr>
            <w:r>
              <w:rPr>
                <w:rFonts w:cs="Arial"/>
                <w:sz w:val="20"/>
                <w:szCs w:val="20"/>
              </w:rPr>
              <w:t>CarbonNet sent email notification to Telstra’s environment contact email address, including fact sheet and contact details.</w:t>
            </w:r>
          </w:p>
        </w:tc>
        <w:tc>
          <w:tcPr>
            <w:tcW w:w="3802" w:type="dxa"/>
            <w:shd w:val="clear" w:color="auto" w:fill="auto"/>
          </w:tcPr>
          <w:p w14:paraId="7B085CD8" w14:textId="77777777" w:rsidR="00A70030" w:rsidRPr="00FF0808"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7F565FAA" w14:textId="77777777" w:rsidTr="00077C5F">
        <w:tc>
          <w:tcPr>
            <w:tcW w:w="1427" w:type="dxa"/>
            <w:vMerge/>
            <w:shd w:val="clear" w:color="auto" w:fill="auto"/>
          </w:tcPr>
          <w:p w14:paraId="201C09AB" w14:textId="77777777" w:rsidR="00A70030" w:rsidRDefault="00A70030" w:rsidP="00073385">
            <w:pPr>
              <w:spacing w:before="60" w:after="60" w:line="240" w:lineRule="auto"/>
              <w:ind w:left="0"/>
              <w:rPr>
                <w:rFonts w:cs="Arial"/>
                <w:sz w:val="20"/>
                <w:szCs w:val="20"/>
              </w:rPr>
            </w:pPr>
          </w:p>
        </w:tc>
        <w:tc>
          <w:tcPr>
            <w:tcW w:w="1629" w:type="dxa"/>
            <w:vMerge/>
            <w:shd w:val="clear" w:color="auto" w:fill="auto"/>
          </w:tcPr>
          <w:p w14:paraId="6EABAC9A" w14:textId="77777777" w:rsidR="00A70030" w:rsidRPr="00FF0808" w:rsidRDefault="00A70030" w:rsidP="00073385">
            <w:pPr>
              <w:spacing w:before="60" w:after="60" w:line="240" w:lineRule="auto"/>
              <w:ind w:left="0"/>
              <w:rPr>
                <w:rFonts w:cs="Arial"/>
                <w:sz w:val="20"/>
                <w:szCs w:val="20"/>
              </w:rPr>
            </w:pPr>
          </w:p>
        </w:tc>
        <w:tc>
          <w:tcPr>
            <w:tcW w:w="1055" w:type="dxa"/>
          </w:tcPr>
          <w:p w14:paraId="4B0974B9" w14:textId="77777777" w:rsidR="00A70030" w:rsidRDefault="00A70030" w:rsidP="00073385">
            <w:pPr>
              <w:spacing w:before="60" w:after="60" w:line="240" w:lineRule="auto"/>
              <w:ind w:left="0"/>
              <w:rPr>
                <w:rFonts w:cs="Arial"/>
                <w:sz w:val="20"/>
                <w:szCs w:val="20"/>
              </w:rPr>
            </w:pPr>
            <w:r>
              <w:rPr>
                <w:rFonts w:cs="Arial"/>
                <w:sz w:val="20"/>
                <w:szCs w:val="20"/>
              </w:rPr>
              <w:t>6/4/17</w:t>
            </w:r>
          </w:p>
          <w:p w14:paraId="44CFC2E2" w14:textId="77777777" w:rsidR="00A70030" w:rsidRDefault="00A70030" w:rsidP="00073385">
            <w:pPr>
              <w:spacing w:before="60" w:after="60" w:line="240" w:lineRule="auto"/>
              <w:ind w:left="0"/>
              <w:rPr>
                <w:rFonts w:cs="Arial"/>
                <w:sz w:val="20"/>
                <w:szCs w:val="20"/>
              </w:rPr>
            </w:pPr>
          </w:p>
        </w:tc>
        <w:tc>
          <w:tcPr>
            <w:tcW w:w="6335" w:type="dxa"/>
            <w:shd w:val="clear" w:color="auto" w:fill="auto"/>
          </w:tcPr>
          <w:p w14:paraId="14787C06" w14:textId="227E9888" w:rsidR="00A70030" w:rsidRDefault="00A70030" w:rsidP="00073385">
            <w:pPr>
              <w:spacing w:before="60" w:after="60" w:line="240" w:lineRule="auto"/>
              <w:ind w:left="0"/>
              <w:rPr>
                <w:rFonts w:cs="Arial"/>
                <w:sz w:val="20"/>
                <w:szCs w:val="20"/>
              </w:rPr>
            </w:pPr>
            <w:r>
              <w:rPr>
                <w:rFonts w:cs="Arial"/>
                <w:sz w:val="20"/>
                <w:szCs w:val="20"/>
              </w:rPr>
              <w:t xml:space="preserve">CarbonNet attempted to call the environment team but couldn’t get through via </w:t>
            </w:r>
            <w:r w:rsidR="00D5774B">
              <w:rPr>
                <w:rFonts w:cs="Arial"/>
                <w:sz w:val="20"/>
                <w:szCs w:val="20"/>
              </w:rPr>
              <w:t xml:space="preserve">the </w:t>
            </w:r>
            <w:r>
              <w:rPr>
                <w:rFonts w:cs="Arial"/>
                <w:sz w:val="20"/>
                <w:szCs w:val="20"/>
              </w:rPr>
              <w:t>automated phone system. The original email was reissued and asked if Telstra has any questions.</w:t>
            </w:r>
          </w:p>
        </w:tc>
        <w:tc>
          <w:tcPr>
            <w:tcW w:w="3802" w:type="dxa"/>
            <w:shd w:val="clear" w:color="auto" w:fill="auto"/>
          </w:tcPr>
          <w:p w14:paraId="6D3AAEF2" w14:textId="77777777" w:rsidR="00A70030" w:rsidRPr="00FF0808"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08044EC" w14:textId="77777777" w:rsidTr="00891DE1">
        <w:tc>
          <w:tcPr>
            <w:tcW w:w="1427" w:type="dxa"/>
            <w:vMerge/>
            <w:tcBorders>
              <w:bottom w:val="nil"/>
            </w:tcBorders>
            <w:shd w:val="clear" w:color="auto" w:fill="auto"/>
          </w:tcPr>
          <w:p w14:paraId="2FA0F039" w14:textId="77777777" w:rsidR="00A70030"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4C2C9119" w14:textId="77777777" w:rsidR="00A70030" w:rsidRPr="00FF0808" w:rsidRDefault="00A70030" w:rsidP="00073385">
            <w:pPr>
              <w:spacing w:before="60" w:after="60" w:line="240" w:lineRule="auto"/>
              <w:ind w:left="0"/>
              <w:rPr>
                <w:rFonts w:cs="Arial"/>
                <w:sz w:val="20"/>
                <w:szCs w:val="20"/>
              </w:rPr>
            </w:pPr>
          </w:p>
        </w:tc>
        <w:tc>
          <w:tcPr>
            <w:tcW w:w="1055" w:type="dxa"/>
          </w:tcPr>
          <w:p w14:paraId="64C7567A" w14:textId="77777777" w:rsidR="00A70030" w:rsidRDefault="00A70030" w:rsidP="00073385">
            <w:pPr>
              <w:spacing w:before="60" w:after="60" w:line="240" w:lineRule="auto"/>
              <w:ind w:left="0"/>
              <w:rPr>
                <w:rFonts w:cs="Arial"/>
                <w:sz w:val="20"/>
                <w:szCs w:val="20"/>
              </w:rPr>
            </w:pPr>
            <w:r>
              <w:rPr>
                <w:rFonts w:cs="Arial"/>
                <w:sz w:val="20"/>
                <w:szCs w:val="20"/>
              </w:rPr>
              <w:t>18/5/17</w:t>
            </w:r>
          </w:p>
        </w:tc>
        <w:tc>
          <w:tcPr>
            <w:tcW w:w="6335" w:type="dxa"/>
            <w:shd w:val="clear" w:color="auto" w:fill="auto"/>
          </w:tcPr>
          <w:p w14:paraId="4E4D83D3" w14:textId="77777777" w:rsidR="00A70030" w:rsidRDefault="00A70030" w:rsidP="00073385">
            <w:pPr>
              <w:spacing w:before="60" w:after="60" w:line="240" w:lineRule="auto"/>
              <w:ind w:left="0"/>
              <w:rPr>
                <w:rFonts w:cs="Arial"/>
                <w:sz w:val="20"/>
                <w:szCs w:val="20"/>
              </w:rPr>
            </w:pPr>
            <w:r>
              <w:rPr>
                <w:rFonts w:cs="Arial"/>
                <w:sz w:val="20"/>
                <w:szCs w:val="20"/>
              </w:rPr>
              <w:t>CarbonNet sent another email to ask whether original email was received.</w:t>
            </w:r>
          </w:p>
          <w:p w14:paraId="0EC71903" w14:textId="77777777" w:rsidR="00A70030" w:rsidRDefault="00A70030" w:rsidP="00073385">
            <w:pPr>
              <w:spacing w:before="60" w:after="60" w:line="240" w:lineRule="auto"/>
              <w:ind w:left="0"/>
              <w:rPr>
                <w:rFonts w:cs="Arial"/>
                <w:sz w:val="20"/>
                <w:szCs w:val="20"/>
              </w:rPr>
            </w:pPr>
          </w:p>
        </w:tc>
        <w:tc>
          <w:tcPr>
            <w:tcW w:w="3802" w:type="dxa"/>
            <w:shd w:val="clear" w:color="auto" w:fill="auto"/>
          </w:tcPr>
          <w:p w14:paraId="07173606" w14:textId="344BD356" w:rsidR="00A70030" w:rsidRPr="00FF0808" w:rsidRDefault="00A70030" w:rsidP="00D5774B">
            <w:pPr>
              <w:spacing w:before="60" w:after="60" w:line="240" w:lineRule="auto"/>
              <w:ind w:left="0"/>
              <w:rPr>
                <w:rFonts w:cs="Arial"/>
                <w:sz w:val="20"/>
                <w:szCs w:val="20"/>
              </w:rPr>
            </w:pPr>
            <w:r>
              <w:rPr>
                <w:rFonts w:cs="Arial"/>
                <w:sz w:val="20"/>
                <w:szCs w:val="20"/>
              </w:rPr>
              <w:t xml:space="preserve">Section 5.6.9 of the EP describes the location of submarine telecommunications cables, which are located well west of the proposed acquisition area. As such, no follow up </w:t>
            </w:r>
            <w:r w:rsidR="00D5774B">
              <w:rPr>
                <w:rFonts w:cs="Arial"/>
                <w:sz w:val="20"/>
                <w:szCs w:val="20"/>
              </w:rPr>
              <w:t xml:space="preserve">with </w:t>
            </w:r>
            <w:r>
              <w:rPr>
                <w:rFonts w:cs="Arial"/>
                <w:sz w:val="20"/>
                <w:szCs w:val="20"/>
              </w:rPr>
              <w:t xml:space="preserve">this stakeholder is required.  </w:t>
            </w:r>
          </w:p>
        </w:tc>
      </w:tr>
      <w:tr w:rsidR="00A70030" w:rsidRPr="00FF0808" w14:paraId="218E7DAA" w14:textId="77777777" w:rsidTr="00891DE1">
        <w:tc>
          <w:tcPr>
            <w:tcW w:w="1427" w:type="dxa"/>
            <w:tcBorders>
              <w:top w:val="nil"/>
            </w:tcBorders>
            <w:shd w:val="clear" w:color="auto" w:fill="auto"/>
          </w:tcPr>
          <w:p w14:paraId="6986A7DD" w14:textId="77777777" w:rsidR="00A70030" w:rsidRDefault="00A70030" w:rsidP="00073385">
            <w:pPr>
              <w:spacing w:before="60" w:after="60" w:line="240" w:lineRule="auto"/>
              <w:ind w:left="0"/>
              <w:rPr>
                <w:rFonts w:cs="Arial"/>
                <w:sz w:val="20"/>
                <w:szCs w:val="20"/>
              </w:rPr>
            </w:pPr>
          </w:p>
        </w:tc>
        <w:tc>
          <w:tcPr>
            <w:tcW w:w="1629" w:type="dxa"/>
            <w:tcBorders>
              <w:top w:val="nil"/>
            </w:tcBorders>
            <w:shd w:val="clear" w:color="auto" w:fill="auto"/>
          </w:tcPr>
          <w:p w14:paraId="6DE2B807" w14:textId="77777777" w:rsidR="00A70030" w:rsidRPr="00FF0808" w:rsidRDefault="00A70030" w:rsidP="00073385">
            <w:pPr>
              <w:spacing w:before="60" w:after="60" w:line="240" w:lineRule="auto"/>
              <w:ind w:left="0"/>
              <w:rPr>
                <w:rFonts w:cs="Arial"/>
                <w:sz w:val="20"/>
                <w:szCs w:val="20"/>
              </w:rPr>
            </w:pPr>
          </w:p>
        </w:tc>
        <w:tc>
          <w:tcPr>
            <w:tcW w:w="1055" w:type="dxa"/>
          </w:tcPr>
          <w:p w14:paraId="2DBAD037" w14:textId="2EE7CAA0"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72D2A891" w14:textId="0D553392" w:rsidR="00A70030"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1699B3AC" w14:textId="18A81A8B"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50283681" w14:textId="77777777" w:rsidTr="00077C5F">
        <w:tc>
          <w:tcPr>
            <w:tcW w:w="1427" w:type="dxa"/>
            <w:vMerge w:val="restart"/>
            <w:shd w:val="clear" w:color="auto" w:fill="auto"/>
          </w:tcPr>
          <w:p w14:paraId="7EBC5155" w14:textId="77777777" w:rsidR="00A70030" w:rsidRDefault="00A70030" w:rsidP="00073385">
            <w:pPr>
              <w:spacing w:before="60" w:after="60" w:line="240" w:lineRule="auto"/>
              <w:ind w:left="0"/>
              <w:rPr>
                <w:rFonts w:cs="Arial"/>
                <w:sz w:val="20"/>
                <w:szCs w:val="20"/>
              </w:rPr>
            </w:pPr>
            <w:r>
              <w:rPr>
                <w:rFonts w:cs="Arial"/>
                <w:sz w:val="20"/>
                <w:szCs w:val="20"/>
              </w:rPr>
              <w:t>Basslink</w:t>
            </w:r>
          </w:p>
          <w:p w14:paraId="65BF6FC2" w14:textId="453E7789" w:rsidR="00A70030" w:rsidRDefault="00A70030" w:rsidP="00073385">
            <w:pPr>
              <w:spacing w:before="60" w:after="60" w:line="240" w:lineRule="auto"/>
              <w:ind w:left="0"/>
              <w:rPr>
                <w:rFonts w:cs="Arial"/>
                <w:sz w:val="20"/>
                <w:szCs w:val="20"/>
              </w:rPr>
            </w:pPr>
          </w:p>
        </w:tc>
        <w:tc>
          <w:tcPr>
            <w:tcW w:w="1629" w:type="dxa"/>
            <w:vMerge w:val="restart"/>
            <w:shd w:val="clear" w:color="auto" w:fill="auto"/>
          </w:tcPr>
          <w:p w14:paraId="7C2F4D19" w14:textId="791DA88C" w:rsidR="00A70030" w:rsidRDefault="00A70030" w:rsidP="00073385">
            <w:pPr>
              <w:spacing w:before="60" w:after="60" w:line="240" w:lineRule="auto"/>
              <w:ind w:left="0"/>
              <w:rPr>
                <w:rFonts w:cs="Arial"/>
                <w:sz w:val="20"/>
                <w:szCs w:val="20"/>
              </w:rPr>
            </w:pPr>
            <w:r>
              <w:rPr>
                <w:rFonts w:cs="Arial"/>
                <w:sz w:val="20"/>
                <w:szCs w:val="20"/>
              </w:rPr>
              <w:t>Manager of subsea electricity interconnector</w:t>
            </w:r>
          </w:p>
        </w:tc>
        <w:tc>
          <w:tcPr>
            <w:tcW w:w="1055" w:type="dxa"/>
          </w:tcPr>
          <w:p w14:paraId="3DADC04D" w14:textId="5849348B" w:rsidR="00A70030" w:rsidRDefault="00A70030" w:rsidP="00073385">
            <w:pPr>
              <w:spacing w:before="60" w:after="60" w:line="240" w:lineRule="auto"/>
              <w:ind w:left="0"/>
              <w:rPr>
                <w:rFonts w:cs="Arial"/>
                <w:sz w:val="20"/>
                <w:szCs w:val="20"/>
              </w:rPr>
            </w:pPr>
            <w:r w:rsidRPr="006C3F14">
              <w:rPr>
                <w:rFonts w:cs="Arial"/>
                <w:sz w:val="20"/>
                <w:szCs w:val="20"/>
              </w:rPr>
              <w:t>21/3/17</w:t>
            </w:r>
          </w:p>
        </w:tc>
        <w:tc>
          <w:tcPr>
            <w:tcW w:w="6335" w:type="dxa"/>
            <w:shd w:val="clear" w:color="auto" w:fill="auto"/>
          </w:tcPr>
          <w:p w14:paraId="4DB72C81" w14:textId="4EDF9511" w:rsidR="00A70030" w:rsidRDefault="00A70030" w:rsidP="00EF0F2E">
            <w:pPr>
              <w:spacing w:before="60" w:after="60" w:line="240" w:lineRule="auto"/>
              <w:ind w:left="0"/>
              <w:rPr>
                <w:rFonts w:cs="Arial"/>
                <w:sz w:val="20"/>
                <w:szCs w:val="20"/>
              </w:rPr>
            </w:pPr>
            <w:r w:rsidRPr="006C3F14">
              <w:rPr>
                <w:rFonts w:cs="Arial"/>
                <w:sz w:val="20"/>
                <w:szCs w:val="20"/>
              </w:rPr>
              <w:t>CarbonNet emailed Basslink with fact sheet and invitation to comment.</w:t>
            </w:r>
          </w:p>
        </w:tc>
        <w:tc>
          <w:tcPr>
            <w:tcW w:w="3802" w:type="dxa"/>
            <w:shd w:val="clear" w:color="auto" w:fill="auto"/>
          </w:tcPr>
          <w:p w14:paraId="0733253D" w14:textId="64955C42" w:rsidR="00A70030" w:rsidRDefault="00A70030" w:rsidP="00073385">
            <w:pPr>
              <w:spacing w:before="60" w:after="60" w:line="240" w:lineRule="auto"/>
              <w:ind w:left="0"/>
              <w:rPr>
                <w:rFonts w:cs="Arial"/>
                <w:sz w:val="20"/>
                <w:szCs w:val="20"/>
              </w:rPr>
            </w:pPr>
            <w:r w:rsidRPr="006C3F14">
              <w:rPr>
                <w:rFonts w:cs="Arial"/>
                <w:sz w:val="20"/>
                <w:szCs w:val="20"/>
              </w:rPr>
              <w:t>N/A</w:t>
            </w:r>
          </w:p>
        </w:tc>
      </w:tr>
      <w:tr w:rsidR="00A70030" w:rsidRPr="00FF0808" w14:paraId="789C927A" w14:textId="77777777" w:rsidTr="00077C5F">
        <w:tc>
          <w:tcPr>
            <w:tcW w:w="1427" w:type="dxa"/>
            <w:vMerge/>
            <w:shd w:val="clear" w:color="auto" w:fill="auto"/>
          </w:tcPr>
          <w:p w14:paraId="7D1BB0EE" w14:textId="77777777" w:rsidR="00A70030" w:rsidRDefault="00A70030" w:rsidP="00073385">
            <w:pPr>
              <w:spacing w:before="60" w:after="60" w:line="240" w:lineRule="auto"/>
              <w:ind w:left="0"/>
              <w:rPr>
                <w:rFonts w:cs="Arial"/>
                <w:sz w:val="20"/>
                <w:szCs w:val="20"/>
              </w:rPr>
            </w:pPr>
          </w:p>
        </w:tc>
        <w:tc>
          <w:tcPr>
            <w:tcW w:w="1629" w:type="dxa"/>
            <w:vMerge/>
            <w:shd w:val="clear" w:color="auto" w:fill="auto"/>
          </w:tcPr>
          <w:p w14:paraId="2A5F93EC" w14:textId="77777777" w:rsidR="00A70030" w:rsidRDefault="00A70030" w:rsidP="00073385">
            <w:pPr>
              <w:spacing w:before="60" w:after="60" w:line="240" w:lineRule="auto"/>
              <w:ind w:left="0"/>
              <w:rPr>
                <w:rFonts w:cs="Arial"/>
                <w:sz w:val="20"/>
                <w:szCs w:val="20"/>
              </w:rPr>
            </w:pPr>
          </w:p>
        </w:tc>
        <w:tc>
          <w:tcPr>
            <w:tcW w:w="1055" w:type="dxa"/>
          </w:tcPr>
          <w:p w14:paraId="2FBA8925" w14:textId="51013D4C" w:rsidR="00A70030" w:rsidRDefault="00A70030" w:rsidP="00073385">
            <w:pPr>
              <w:spacing w:before="60" w:after="60" w:line="240" w:lineRule="auto"/>
              <w:ind w:left="0"/>
              <w:rPr>
                <w:rFonts w:cs="Arial"/>
                <w:sz w:val="20"/>
                <w:szCs w:val="20"/>
              </w:rPr>
            </w:pPr>
            <w:r w:rsidRPr="006C3F14">
              <w:rPr>
                <w:rFonts w:cs="Arial"/>
                <w:sz w:val="20"/>
                <w:szCs w:val="20"/>
              </w:rPr>
              <w:t>22/3/17</w:t>
            </w:r>
          </w:p>
        </w:tc>
        <w:tc>
          <w:tcPr>
            <w:tcW w:w="6335" w:type="dxa"/>
            <w:shd w:val="clear" w:color="auto" w:fill="auto"/>
          </w:tcPr>
          <w:p w14:paraId="222C2410" w14:textId="379966F9" w:rsidR="00A70030" w:rsidRDefault="00A70030" w:rsidP="00073385">
            <w:pPr>
              <w:spacing w:before="60" w:after="60" w:line="240" w:lineRule="auto"/>
              <w:ind w:left="0"/>
              <w:rPr>
                <w:rFonts w:cs="Arial"/>
                <w:sz w:val="20"/>
                <w:szCs w:val="20"/>
              </w:rPr>
            </w:pPr>
            <w:r w:rsidRPr="006C3F14">
              <w:rPr>
                <w:rFonts w:cs="Arial"/>
                <w:sz w:val="20"/>
                <w:szCs w:val="20"/>
              </w:rPr>
              <w:t>CarbonNet received a phone call from Basslink to say they have no issue and nothing to add regarding CarbonNet’s proposed MSS as it is not in the vicinity of the Basslink cable.</w:t>
            </w:r>
          </w:p>
        </w:tc>
        <w:tc>
          <w:tcPr>
            <w:tcW w:w="3802" w:type="dxa"/>
            <w:shd w:val="clear" w:color="auto" w:fill="auto"/>
          </w:tcPr>
          <w:p w14:paraId="12704891" w14:textId="13103A8C" w:rsidR="00A70030" w:rsidRDefault="00A70030" w:rsidP="00073385">
            <w:pPr>
              <w:spacing w:before="60" w:after="60" w:line="240" w:lineRule="auto"/>
              <w:ind w:left="0"/>
              <w:rPr>
                <w:rFonts w:cs="Arial"/>
                <w:sz w:val="20"/>
                <w:szCs w:val="20"/>
              </w:rPr>
            </w:pPr>
            <w:r w:rsidRPr="006C3F14">
              <w:rPr>
                <w:rFonts w:cs="Arial"/>
                <w:sz w:val="20"/>
                <w:szCs w:val="20"/>
              </w:rPr>
              <w:t>N/A</w:t>
            </w:r>
          </w:p>
        </w:tc>
      </w:tr>
      <w:tr w:rsidR="00A70030" w:rsidRPr="00FF0808" w14:paraId="37782594" w14:textId="77777777" w:rsidTr="00077C5F">
        <w:tc>
          <w:tcPr>
            <w:tcW w:w="1427" w:type="dxa"/>
            <w:vMerge w:val="restart"/>
            <w:shd w:val="clear" w:color="auto" w:fill="auto"/>
          </w:tcPr>
          <w:p w14:paraId="73E0C2CF" w14:textId="77777777" w:rsidR="00A70030" w:rsidRDefault="00A70030" w:rsidP="00073385">
            <w:pPr>
              <w:spacing w:before="60" w:after="60" w:line="240" w:lineRule="auto"/>
              <w:ind w:left="0"/>
              <w:rPr>
                <w:rFonts w:cs="Arial"/>
                <w:sz w:val="20"/>
                <w:szCs w:val="20"/>
              </w:rPr>
            </w:pPr>
            <w:r>
              <w:rPr>
                <w:rFonts w:cs="Arial"/>
                <w:sz w:val="20"/>
                <w:szCs w:val="20"/>
              </w:rPr>
              <w:t>OSD Asset Services</w:t>
            </w:r>
          </w:p>
        </w:tc>
        <w:tc>
          <w:tcPr>
            <w:tcW w:w="1629" w:type="dxa"/>
            <w:vMerge w:val="restart"/>
            <w:shd w:val="clear" w:color="auto" w:fill="auto"/>
          </w:tcPr>
          <w:p w14:paraId="109E7E6E" w14:textId="77777777" w:rsidR="00A70030" w:rsidRPr="00FF0808" w:rsidRDefault="00A70030" w:rsidP="00073385">
            <w:pPr>
              <w:spacing w:before="60" w:after="60" w:line="240" w:lineRule="auto"/>
              <w:ind w:left="0"/>
              <w:rPr>
                <w:rFonts w:cs="Arial"/>
                <w:sz w:val="20"/>
                <w:szCs w:val="20"/>
              </w:rPr>
            </w:pPr>
            <w:r>
              <w:rPr>
                <w:rFonts w:cs="Arial"/>
                <w:sz w:val="20"/>
                <w:szCs w:val="20"/>
              </w:rPr>
              <w:t>Pipeline asset manager</w:t>
            </w:r>
          </w:p>
        </w:tc>
        <w:tc>
          <w:tcPr>
            <w:tcW w:w="1055" w:type="dxa"/>
          </w:tcPr>
          <w:p w14:paraId="2B6505C6" w14:textId="77777777" w:rsidR="00A70030" w:rsidRDefault="00A70030" w:rsidP="00073385">
            <w:pPr>
              <w:spacing w:before="60" w:after="60" w:line="240" w:lineRule="auto"/>
              <w:ind w:left="0"/>
              <w:rPr>
                <w:rFonts w:cs="Arial"/>
                <w:sz w:val="20"/>
                <w:szCs w:val="20"/>
              </w:rPr>
            </w:pPr>
            <w:r>
              <w:rPr>
                <w:rFonts w:cs="Arial"/>
                <w:sz w:val="20"/>
                <w:szCs w:val="20"/>
              </w:rPr>
              <w:t>21/3/17</w:t>
            </w:r>
          </w:p>
          <w:p w14:paraId="5D9B3F2A" w14:textId="77777777" w:rsidR="00A70030" w:rsidRDefault="00A70030" w:rsidP="00073385">
            <w:pPr>
              <w:spacing w:before="60" w:after="60" w:line="240" w:lineRule="auto"/>
              <w:ind w:left="0"/>
              <w:rPr>
                <w:rFonts w:cs="Arial"/>
                <w:sz w:val="20"/>
                <w:szCs w:val="20"/>
              </w:rPr>
            </w:pPr>
          </w:p>
        </w:tc>
        <w:tc>
          <w:tcPr>
            <w:tcW w:w="6335" w:type="dxa"/>
            <w:shd w:val="clear" w:color="auto" w:fill="auto"/>
          </w:tcPr>
          <w:p w14:paraId="27D31DFA" w14:textId="77777777" w:rsidR="00A70030" w:rsidRDefault="00A70030" w:rsidP="00073385">
            <w:pPr>
              <w:spacing w:before="60" w:after="60" w:line="240" w:lineRule="auto"/>
              <w:ind w:left="0"/>
              <w:rPr>
                <w:rFonts w:cs="Arial"/>
                <w:sz w:val="20"/>
                <w:szCs w:val="20"/>
              </w:rPr>
            </w:pPr>
            <w:r>
              <w:rPr>
                <w:rFonts w:cs="Arial"/>
                <w:sz w:val="20"/>
                <w:szCs w:val="20"/>
              </w:rPr>
              <w:t>CarbonNet sent email notification to OSD Asset Services, including fact sheet and contact details.</w:t>
            </w:r>
          </w:p>
        </w:tc>
        <w:tc>
          <w:tcPr>
            <w:tcW w:w="3802" w:type="dxa"/>
            <w:shd w:val="clear" w:color="auto" w:fill="auto"/>
          </w:tcPr>
          <w:p w14:paraId="6931D2FD"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5BCF0C22" w14:textId="77777777" w:rsidTr="00077C5F">
        <w:tc>
          <w:tcPr>
            <w:tcW w:w="1427" w:type="dxa"/>
            <w:vMerge/>
            <w:shd w:val="clear" w:color="auto" w:fill="auto"/>
          </w:tcPr>
          <w:p w14:paraId="1746674D" w14:textId="77777777" w:rsidR="00A70030" w:rsidRDefault="00A70030" w:rsidP="00073385">
            <w:pPr>
              <w:spacing w:before="60" w:after="60" w:line="240" w:lineRule="auto"/>
              <w:ind w:left="0"/>
              <w:rPr>
                <w:rFonts w:cs="Arial"/>
                <w:sz w:val="20"/>
                <w:szCs w:val="20"/>
              </w:rPr>
            </w:pPr>
          </w:p>
        </w:tc>
        <w:tc>
          <w:tcPr>
            <w:tcW w:w="1629" w:type="dxa"/>
            <w:vMerge/>
            <w:shd w:val="clear" w:color="auto" w:fill="auto"/>
          </w:tcPr>
          <w:p w14:paraId="02F5A1DC" w14:textId="77777777" w:rsidR="00A70030" w:rsidRPr="00FF0808" w:rsidRDefault="00A70030" w:rsidP="00073385">
            <w:pPr>
              <w:spacing w:before="60" w:after="60" w:line="240" w:lineRule="auto"/>
              <w:ind w:left="0"/>
              <w:rPr>
                <w:rFonts w:cs="Arial"/>
                <w:sz w:val="20"/>
                <w:szCs w:val="20"/>
              </w:rPr>
            </w:pPr>
          </w:p>
        </w:tc>
        <w:tc>
          <w:tcPr>
            <w:tcW w:w="1055" w:type="dxa"/>
          </w:tcPr>
          <w:p w14:paraId="244F20D5" w14:textId="77777777" w:rsidR="00A70030" w:rsidRDefault="00A70030" w:rsidP="00073385">
            <w:pPr>
              <w:spacing w:before="60" w:after="60" w:line="240" w:lineRule="auto"/>
              <w:ind w:left="0"/>
              <w:rPr>
                <w:rFonts w:cs="Arial"/>
                <w:sz w:val="20"/>
                <w:szCs w:val="20"/>
              </w:rPr>
            </w:pPr>
            <w:r>
              <w:rPr>
                <w:rFonts w:cs="Arial"/>
                <w:sz w:val="20"/>
                <w:szCs w:val="20"/>
              </w:rPr>
              <w:t>7/4/17</w:t>
            </w:r>
          </w:p>
          <w:p w14:paraId="0AAB4FCB" w14:textId="77777777" w:rsidR="00A70030" w:rsidRDefault="00A70030" w:rsidP="00073385">
            <w:pPr>
              <w:spacing w:before="60" w:after="60" w:line="240" w:lineRule="auto"/>
              <w:ind w:left="0"/>
              <w:rPr>
                <w:rFonts w:cs="Arial"/>
                <w:sz w:val="20"/>
                <w:szCs w:val="20"/>
              </w:rPr>
            </w:pPr>
          </w:p>
        </w:tc>
        <w:tc>
          <w:tcPr>
            <w:tcW w:w="6335" w:type="dxa"/>
            <w:shd w:val="clear" w:color="auto" w:fill="auto"/>
          </w:tcPr>
          <w:p w14:paraId="2DB18969" w14:textId="1E476A5D" w:rsidR="00A70030" w:rsidRDefault="00A70030" w:rsidP="00073385">
            <w:pPr>
              <w:spacing w:before="60" w:after="60" w:line="240" w:lineRule="auto"/>
              <w:ind w:left="0"/>
              <w:rPr>
                <w:rFonts w:cs="Arial"/>
                <w:sz w:val="20"/>
                <w:szCs w:val="20"/>
              </w:rPr>
            </w:pPr>
            <w:r>
              <w:rPr>
                <w:rFonts w:cs="Arial"/>
                <w:sz w:val="20"/>
                <w:szCs w:val="20"/>
              </w:rPr>
              <w:t>CarbonNet called to follow up. The original email was re-issued, which was forwarded to the relevant person.</w:t>
            </w:r>
          </w:p>
        </w:tc>
        <w:tc>
          <w:tcPr>
            <w:tcW w:w="3802" w:type="dxa"/>
            <w:shd w:val="clear" w:color="auto" w:fill="auto"/>
          </w:tcPr>
          <w:p w14:paraId="0EF15824" w14:textId="7777777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353AEB99" w14:textId="77777777" w:rsidTr="00891DE1">
        <w:tc>
          <w:tcPr>
            <w:tcW w:w="1427" w:type="dxa"/>
            <w:vMerge/>
            <w:tcBorders>
              <w:bottom w:val="nil"/>
            </w:tcBorders>
            <w:shd w:val="clear" w:color="auto" w:fill="auto"/>
          </w:tcPr>
          <w:p w14:paraId="311150E4" w14:textId="77777777" w:rsidR="00A70030"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0058FAD2" w14:textId="77777777" w:rsidR="00A70030" w:rsidRPr="00FF0808" w:rsidRDefault="00A70030" w:rsidP="00073385">
            <w:pPr>
              <w:spacing w:before="60" w:after="60" w:line="240" w:lineRule="auto"/>
              <w:ind w:left="0"/>
              <w:rPr>
                <w:rFonts w:cs="Arial"/>
                <w:sz w:val="20"/>
                <w:szCs w:val="20"/>
              </w:rPr>
            </w:pPr>
          </w:p>
        </w:tc>
        <w:tc>
          <w:tcPr>
            <w:tcW w:w="1055" w:type="dxa"/>
          </w:tcPr>
          <w:p w14:paraId="709B0268" w14:textId="77777777" w:rsidR="00A70030" w:rsidRDefault="00A70030" w:rsidP="00073385">
            <w:pPr>
              <w:spacing w:before="60" w:after="60" w:line="240" w:lineRule="auto"/>
              <w:ind w:left="0"/>
              <w:rPr>
                <w:rFonts w:cs="Arial"/>
                <w:sz w:val="20"/>
                <w:szCs w:val="20"/>
              </w:rPr>
            </w:pPr>
            <w:r>
              <w:rPr>
                <w:rFonts w:cs="Arial"/>
                <w:sz w:val="20"/>
                <w:szCs w:val="20"/>
              </w:rPr>
              <w:t>18/5/17</w:t>
            </w:r>
          </w:p>
        </w:tc>
        <w:tc>
          <w:tcPr>
            <w:tcW w:w="6335" w:type="dxa"/>
            <w:shd w:val="clear" w:color="auto" w:fill="auto"/>
          </w:tcPr>
          <w:p w14:paraId="05B851DD" w14:textId="77777777" w:rsidR="00A70030" w:rsidRDefault="00A70030" w:rsidP="00073385">
            <w:pPr>
              <w:spacing w:before="60" w:after="60" w:line="240" w:lineRule="auto"/>
              <w:ind w:left="0"/>
              <w:rPr>
                <w:rFonts w:cs="Arial"/>
                <w:sz w:val="20"/>
                <w:szCs w:val="20"/>
              </w:rPr>
            </w:pPr>
            <w:r>
              <w:rPr>
                <w:rFonts w:cs="Arial"/>
                <w:sz w:val="20"/>
                <w:szCs w:val="20"/>
              </w:rPr>
              <w:t>CarbonNet called again to follow up, left a message requesting a call back.</w:t>
            </w:r>
          </w:p>
          <w:p w14:paraId="0B293360" w14:textId="77777777" w:rsidR="00A70030" w:rsidRDefault="00A70030" w:rsidP="00073385">
            <w:pPr>
              <w:spacing w:before="60" w:after="60" w:line="240" w:lineRule="auto"/>
              <w:ind w:left="0"/>
              <w:rPr>
                <w:rFonts w:cs="Arial"/>
                <w:sz w:val="20"/>
                <w:szCs w:val="20"/>
              </w:rPr>
            </w:pPr>
          </w:p>
        </w:tc>
        <w:tc>
          <w:tcPr>
            <w:tcW w:w="3802" w:type="dxa"/>
            <w:shd w:val="clear" w:color="auto" w:fill="auto"/>
          </w:tcPr>
          <w:p w14:paraId="46A4A42B" w14:textId="77777777" w:rsidR="00A70030" w:rsidRDefault="00A70030" w:rsidP="00073385">
            <w:pPr>
              <w:spacing w:before="60" w:after="60" w:line="240" w:lineRule="auto"/>
              <w:ind w:left="0"/>
              <w:rPr>
                <w:rFonts w:cs="Arial"/>
                <w:sz w:val="20"/>
                <w:szCs w:val="20"/>
              </w:rPr>
            </w:pPr>
            <w:r>
              <w:rPr>
                <w:rFonts w:cs="Arial"/>
                <w:sz w:val="20"/>
                <w:szCs w:val="20"/>
              </w:rPr>
              <w:t xml:space="preserve">Section 5.6.6 of the EP describes the location of submarine petroleum pipelines. No OSD assets are located in or near the proposed acquisition area. As such, no follow up of this stakeholder is required.  </w:t>
            </w:r>
          </w:p>
        </w:tc>
      </w:tr>
      <w:tr w:rsidR="00A70030" w:rsidRPr="00FF0808" w14:paraId="42D2B643" w14:textId="77777777" w:rsidTr="00891DE1">
        <w:tc>
          <w:tcPr>
            <w:tcW w:w="1427" w:type="dxa"/>
            <w:tcBorders>
              <w:top w:val="nil"/>
            </w:tcBorders>
            <w:shd w:val="clear" w:color="auto" w:fill="auto"/>
          </w:tcPr>
          <w:p w14:paraId="626D645D" w14:textId="77777777" w:rsidR="00A70030" w:rsidRDefault="00A70030" w:rsidP="00073385">
            <w:pPr>
              <w:spacing w:before="60" w:after="60" w:line="240" w:lineRule="auto"/>
              <w:ind w:left="0"/>
              <w:rPr>
                <w:rFonts w:cs="Arial"/>
                <w:sz w:val="20"/>
                <w:szCs w:val="20"/>
              </w:rPr>
            </w:pPr>
          </w:p>
        </w:tc>
        <w:tc>
          <w:tcPr>
            <w:tcW w:w="1629" w:type="dxa"/>
            <w:tcBorders>
              <w:top w:val="nil"/>
            </w:tcBorders>
            <w:shd w:val="clear" w:color="auto" w:fill="auto"/>
          </w:tcPr>
          <w:p w14:paraId="19B02725" w14:textId="77777777" w:rsidR="00A70030" w:rsidRPr="00FF0808" w:rsidRDefault="00A70030" w:rsidP="00073385">
            <w:pPr>
              <w:spacing w:before="60" w:after="60" w:line="240" w:lineRule="auto"/>
              <w:ind w:left="0"/>
              <w:rPr>
                <w:rFonts w:cs="Arial"/>
                <w:sz w:val="20"/>
                <w:szCs w:val="20"/>
              </w:rPr>
            </w:pPr>
          </w:p>
        </w:tc>
        <w:tc>
          <w:tcPr>
            <w:tcW w:w="1055" w:type="dxa"/>
          </w:tcPr>
          <w:p w14:paraId="15DA6460" w14:textId="01A55675"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7649779C" w14:textId="3EF27C61" w:rsidR="00A70030"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7B7E9979" w14:textId="779A5FB7"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3A559A2" w14:textId="77777777" w:rsidTr="00891DE1">
        <w:tc>
          <w:tcPr>
            <w:tcW w:w="1427" w:type="dxa"/>
            <w:tcBorders>
              <w:bottom w:val="nil"/>
            </w:tcBorders>
            <w:shd w:val="clear" w:color="auto" w:fill="auto"/>
          </w:tcPr>
          <w:p w14:paraId="306D2E97" w14:textId="77777777" w:rsidR="00A70030" w:rsidRPr="00E65C57" w:rsidRDefault="00A70030" w:rsidP="00073385">
            <w:pPr>
              <w:spacing w:before="60" w:after="60" w:line="240" w:lineRule="auto"/>
              <w:ind w:left="0"/>
              <w:rPr>
                <w:rFonts w:cs="Arial"/>
                <w:sz w:val="20"/>
                <w:szCs w:val="20"/>
              </w:rPr>
            </w:pPr>
            <w:r>
              <w:rPr>
                <w:rFonts w:cs="Arial"/>
                <w:sz w:val="20"/>
                <w:szCs w:val="20"/>
              </w:rPr>
              <w:t>Ion Geophysical</w:t>
            </w:r>
          </w:p>
        </w:tc>
        <w:tc>
          <w:tcPr>
            <w:tcW w:w="1629" w:type="dxa"/>
            <w:tcBorders>
              <w:bottom w:val="nil"/>
            </w:tcBorders>
            <w:shd w:val="clear" w:color="auto" w:fill="auto"/>
          </w:tcPr>
          <w:p w14:paraId="67A120CF" w14:textId="77777777" w:rsidR="00A70030" w:rsidRPr="00FF0808" w:rsidRDefault="00A70030" w:rsidP="00073385">
            <w:pPr>
              <w:spacing w:before="60" w:after="60" w:line="240" w:lineRule="auto"/>
              <w:ind w:left="0"/>
              <w:rPr>
                <w:rFonts w:cs="Arial"/>
                <w:sz w:val="20"/>
                <w:szCs w:val="20"/>
              </w:rPr>
            </w:pPr>
            <w:r>
              <w:rPr>
                <w:rFonts w:cs="Arial"/>
                <w:sz w:val="20"/>
                <w:szCs w:val="20"/>
              </w:rPr>
              <w:t>Has an approved EP to conduct a MSS in Bass Strait</w:t>
            </w:r>
          </w:p>
        </w:tc>
        <w:tc>
          <w:tcPr>
            <w:tcW w:w="1055" w:type="dxa"/>
          </w:tcPr>
          <w:p w14:paraId="2B7489C1" w14:textId="77777777" w:rsidR="00A70030" w:rsidRDefault="00A70030" w:rsidP="00073385">
            <w:pPr>
              <w:spacing w:before="60" w:after="60" w:line="240" w:lineRule="auto"/>
              <w:ind w:left="0"/>
              <w:rPr>
                <w:rFonts w:cs="Arial"/>
                <w:sz w:val="20"/>
                <w:szCs w:val="20"/>
              </w:rPr>
            </w:pPr>
            <w:r>
              <w:rPr>
                <w:rFonts w:cs="Arial"/>
                <w:sz w:val="20"/>
                <w:szCs w:val="20"/>
              </w:rPr>
              <w:t>11/7/17</w:t>
            </w:r>
          </w:p>
        </w:tc>
        <w:tc>
          <w:tcPr>
            <w:tcW w:w="6335" w:type="dxa"/>
            <w:shd w:val="clear" w:color="auto" w:fill="auto"/>
          </w:tcPr>
          <w:p w14:paraId="30D581D0" w14:textId="77777777" w:rsidR="00A70030" w:rsidRDefault="00A70030" w:rsidP="00073385">
            <w:pPr>
              <w:spacing w:before="60" w:after="60" w:line="240" w:lineRule="auto"/>
              <w:ind w:left="0"/>
              <w:rPr>
                <w:rFonts w:cs="Arial"/>
                <w:sz w:val="20"/>
                <w:szCs w:val="20"/>
              </w:rPr>
            </w:pPr>
            <w:r>
              <w:rPr>
                <w:rFonts w:cs="Arial"/>
                <w:sz w:val="20"/>
                <w:szCs w:val="20"/>
              </w:rPr>
              <w:t>CarbonNet spoke to Ion Geophysical regarding the Otway Span MSS, which has an approved EP to operate in Bass Strait and was scheduled to commence in Q4 2015, according to the NOPSEMA website.</w:t>
            </w:r>
          </w:p>
          <w:p w14:paraId="09E1D418" w14:textId="77777777" w:rsidR="00A70030" w:rsidRDefault="00A70030" w:rsidP="00073385">
            <w:pPr>
              <w:spacing w:before="60" w:after="60" w:line="240" w:lineRule="auto"/>
              <w:ind w:left="0"/>
              <w:rPr>
                <w:rFonts w:cs="Arial"/>
                <w:sz w:val="20"/>
                <w:szCs w:val="20"/>
              </w:rPr>
            </w:pPr>
            <w:r>
              <w:rPr>
                <w:rFonts w:cs="Arial"/>
                <w:sz w:val="20"/>
                <w:szCs w:val="20"/>
              </w:rPr>
              <w:t>Ion Geophysical advised that the survey is not likely to proceed this summer. They will keep us advised if funding becomes available and the survey proceeds.</w:t>
            </w:r>
          </w:p>
        </w:tc>
        <w:tc>
          <w:tcPr>
            <w:tcW w:w="3802" w:type="dxa"/>
            <w:shd w:val="clear" w:color="auto" w:fill="auto"/>
          </w:tcPr>
          <w:p w14:paraId="379253CB" w14:textId="77777777" w:rsidR="00A70030" w:rsidRDefault="00A70030" w:rsidP="00073385">
            <w:pPr>
              <w:spacing w:before="60" w:after="60" w:line="240" w:lineRule="auto"/>
              <w:ind w:left="0"/>
              <w:rPr>
                <w:rFonts w:cs="Arial"/>
                <w:sz w:val="20"/>
                <w:szCs w:val="20"/>
              </w:rPr>
            </w:pPr>
            <w:r>
              <w:rPr>
                <w:rFonts w:cs="Arial"/>
                <w:sz w:val="20"/>
                <w:szCs w:val="20"/>
              </w:rPr>
              <w:t xml:space="preserve">The potential for SIMOPS is discussed in </w:t>
            </w:r>
            <w:r w:rsidRPr="0024586D">
              <w:rPr>
                <w:rFonts w:cs="Arial"/>
                <w:sz w:val="20"/>
                <w:szCs w:val="20"/>
              </w:rPr>
              <w:t>Section 2.6.7, Section 7.14 and Section 8.5.</w:t>
            </w:r>
          </w:p>
        </w:tc>
      </w:tr>
      <w:tr w:rsidR="00A70030" w:rsidRPr="00FF0808" w14:paraId="3C596FE4" w14:textId="77777777" w:rsidTr="00891DE1">
        <w:tc>
          <w:tcPr>
            <w:tcW w:w="1427" w:type="dxa"/>
            <w:tcBorders>
              <w:top w:val="nil"/>
              <w:bottom w:val="nil"/>
            </w:tcBorders>
            <w:shd w:val="clear" w:color="auto" w:fill="auto"/>
          </w:tcPr>
          <w:p w14:paraId="3F9A3D29"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1B2931A0" w14:textId="77777777" w:rsidR="00A70030" w:rsidRDefault="00A70030" w:rsidP="00073385">
            <w:pPr>
              <w:spacing w:before="60" w:after="60" w:line="240" w:lineRule="auto"/>
              <w:ind w:left="0"/>
              <w:rPr>
                <w:rFonts w:cs="Arial"/>
                <w:sz w:val="20"/>
                <w:szCs w:val="20"/>
              </w:rPr>
            </w:pPr>
          </w:p>
        </w:tc>
        <w:tc>
          <w:tcPr>
            <w:tcW w:w="1055" w:type="dxa"/>
          </w:tcPr>
          <w:p w14:paraId="166197E7" w14:textId="0363EEC5"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390D250D" w14:textId="2BCBB749" w:rsidR="00A70030"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48533D09" w14:textId="41433C71"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37841376" w14:textId="77777777" w:rsidTr="00891DE1">
        <w:tc>
          <w:tcPr>
            <w:tcW w:w="1427" w:type="dxa"/>
            <w:tcBorders>
              <w:top w:val="nil"/>
            </w:tcBorders>
            <w:shd w:val="clear" w:color="auto" w:fill="auto"/>
          </w:tcPr>
          <w:p w14:paraId="4358CFA1" w14:textId="77777777" w:rsidR="00A70030" w:rsidRDefault="00A70030" w:rsidP="00073385">
            <w:pPr>
              <w:spacing w:before="60" w:after="60" w:line="240" w:lineRule="auto"/>
              <w:ind w:left="0"/>
              <w:rPr>
                <w:rFonts w:cs="Arial"/>
                <w:sz w:val="20"/>
                <w:szCs w:val="20"/>
              </w:rPr>
            </w:pPr>
          </w:p>
        </w:tc>
        <w:tc>
          <w:tcPr>
            <w:tcW w:w="1629" w:type="dxa"/>
            <w:tcBorders>
              <w:top w:val="nil"/>
            </w:tcBorders>
            <w:shd w:val="clear" w:color="auto" w:fill="auto"/>
          </w:tcPr>
          <w:p w14:paraId="41221D4B" w14:textId="77777777" w:rsidR="00A70030" w:rsidRDefault="00A70030" w:rsidP="00073385">
            <w:pPr>
              <w:spacing w:before="60" w:after="60" w:line="240" w:lineRule="auto"/>
              <w:ind w:left="0"/>
              <w:rPr>
                <w:rFonts w:cs="Arial"/>
                <w:sz w:val="20"/>
                <w:szCs w:val="20"/>
              </w:rPr>
            </w:pPr>
          </w:p>
        </w:tc>
        <w:tc>
          <w:tcPr>
            <w:tcW w:w="1055" w:type="dxa"/>
          </w:tcPr>
          <w:p w14:paraId="54CA9CDD" w14:textId="4DEDC606"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7BF0A339" w14:textId="097AF83A" w:rsidR="00A70030" w:rsidRDefault="00A70030" w:rsidP="009466A1">
            <w:pPr>
              <w:spacing w:before="60" w:after="60" w:line="240" w:lineRule="auto"/>
              <w:ind w:left="0"/>
              <w:rPr>
                <w:rFonts w:cs="Arial"/>
                <w:sz w:val="20"/>
                <w:szCs w:val="20"/>
              </w:rPr>
            </w:pPr>
            <w:r>
              <w:rPr>
                <w:rFonts w:cs="Arial"/>
                <w:sz w:val="20"/>
                <w:szCs w:val="20"/>
              </w:rPr>
              <w:t>Ion Geophysical responded to CarbonNet to advise the OtwaySPAN survey will not proceed.</w:t>
            </w:r>
          </w:p>
        </w:tc>
        <w:tc>
          <w:tcPr>
            <w:tcW w:w="3802" w:type="dxa"/>
            <w:shd w:val="clear" w:color="auto" w:fill="auto"/>
          </w:tcPr>
          <w:p w14:paraId="59B2B2D9" w14:textId="4D91840A" w:rsidR="00A70030" w:rsidRDefault="00A70030" w:rsidP="00073385">
            <w:pPr>
              <w:spacing w:before="60" w:after="60" w:line="240" w:lineRule="auto"/>
              <w:ind w:left="0"/>
              <w:rPr>
                <w:rFonts w:cs="Arial"/>
                <w:sz w:val="20"/>
                <w:szCs w:val="20"/>
              </w:rPr>
            </w:pPr>
            <w:r>
              <w:rPr>
                <w:rFonts w:cs="Arial"/>
                <w:sz w:val="20"/>
                <w:szCs w:val="20"/>
              </w:rPr>
              <w:t>This information was included in Section 2.6.</w:t>
            </w:r>
          </w:p>
        </w:tc>
      </w:tr>
      <w:tr w:rsidR="00A70030" w:rsidRPr="00FF0808" w14:paraId="3DA09BD1" w14:textId="77777777" w:rsidTr="00077C5F">
        <w:tc>
          <w:tcPr>
            <w:tcW w:w="1427" w:type="dxa"/>
            <w:vMerge w:val="restart"/>
            <w:shd w:val="clear" w:color="auto" w:fill="auto"/>
          </w:tcPr>
          <w:p w14:paraId="796C48E1" w14:textId="77777777" w:rsidR="00A70030" w:rsidRDefault="00A70030" w:rsidP="00073385">
            <w:pPr>
              <w:spacing w:before="60" w:after="60" w:line="240" w:lineRule="auto"/>
              <w:ind w:left="0"/>
              <w:rPr>
                <w:rFonts w:cs="Arial"/>
                <w:sz w:val="20"/>
                <w:szCs w:val="20"/>
              </w:rPr>
            </w:pPr>
            <w:r w:rsidRPr="00E65C57">
              <w:rPr>
                <w:rFonts w:cs="Arial"/>
                <w:sz w:val="20"/>
                <w:szCs w:val="20"/>
              </w:rPr>
              <w:t>Gippsland Emergency Management Planning Committee</w:t>
            </w:r>
          </w:p>
        </w:tc>
        <w:tc>
          <w:tcPr>
            <w:tcW w:w="1629" w:type="dxa"/>
            <w:vMerge w:val="restart"/>
            <w:shd w:val="clear" w:color="auto" w:fill="auto"/>
          </w:tcPr>
          <w:p w14:paraId="4A34E64F" w14:textId="77777777" w:rsidR="00A70030" w:rsidRPr="00FF0808" w:rsidRDefault="00A70030" w:rsidP="00073385">
            <w:pPr>
              <w:spacing w:before="60" w:after="60" w:line="240" w:lineRule="auto"/>
              <w:ind w:left="0"/>
              <w:rPr>
                <w:rFonts w:cs="Arial"/>
                <w:sz w:val="20"/>
                <w:szCs w:val="20"/>
              </w:rPr>
            </w:pPr>
            <w:r>
              <w:rPr>
                <w:rFonts w:cs="Arial"/>
                <w:sz w:val="20"/>
                <w:szCs w:val="20"/>
              </w:rPr>
              <w:t>First responders and emergency coordination agencies</w:t>
            </w:r>
          </w:p>
        </w:tc>
        <w:tc>
          <w:tcPr>
            <w:tcW w:w="1055" w:type="dxa"/>
          </w:tcPr>
          <w:p w14:paraId="6A74473A" w14:textId="77777777" w:rsidR="00A70030" w:rsidRDefault="00A70030" w:rsidP="00073385">
            <w:pPr>
              <w:spacing w:before="60" w:after="60" w:line="240" w:lineRule="auto"/>
              <w:ind w:left="0"/>
              <w:rPr>
                <w:rFonts w:cs="Arial"/>
                <w:sz w:val="20"/>
                <w:szCs w:val="20"/>
              </w:rPr>
            </w:pPr>
            <w:r>
              <w:rPr>
                <w:rFonts w:cs="Arial"/>
                <w:sz w:val="20"/>
                <w:szCs w:val="20"/>
              </w:rPr>
              <w:t>28/3/17</w:t>
            </w:r>
          </w:p>
        </w:tc>
        <w:tc>
          <w:tcPr>
            <w:tcW w:w="6335" w:type="dxa"/>
            <w:shd w:val="clear" w:color="auto" w:fill="auto"/>
          </w:tcPr>
          <w:p w14:paraId="09DD76CE" w14:textId="77777777" w:rsidR="00A70030" w:rsidRDefault="00A70030" w:rsidP="00073385">
            <w:pPr>
              <w:spacing w:before="60" w:after="60" w:line="240" w:lineRule="auto"/>
              <w:ind w:left="0"/>
              <w:rPr>
                <w:rFonts w:cs="Arial"/>
                <w:sz w:val="20"/>
                <w:szCs w:val="20"/>
              </w:rPr>
            </w:pPr>
            <w:r>
              <w:rPr>
                <w:rFonts w:cs="Arial"/>
                <w:sz w:val="20"/>
                <w:szCs w:val="20"/>
              </w:rPr>
              <w:t>CarbonNet received an email from the Earth Resources Regulation office in Gippsland, which helps coordinate the Gippsland Regional Emergency Management Planning Committee. A briefing from CarbonNet was requested to this committee in June.</w:t>
            </w:r>
          </w:p>
        </w:tc>
        <w:tc>
          <w:tcPr>
            <w:tcW w:w="3802" w:type="dxa"/>
            <w:shd w:val="clear" w:color="auto" w:fill="auto"/>
          </w:tcPr>
          <w:p w14:paraId="1023848C" w14:textId="77777777" w:rsidR="00A70030" w:rsidRDefault="00A70030" w:rsidP="00073385">
            <w:pPr>
              <w:spacing w:before="60" w:after="60" w:line="240" w:lineRule="auto"/>
              <w:ind w:left="0"/>
              <w:rPr>
                <w:rFonts w:cs="Arial"/>
                <w:sz w:val="20"/>
                <w:szCs w:val="20"/>
              </w:rPr>
            </w:pPr>
            <w:r>
              <w:rPr>
                <w:rFonts w:cs="Arial"/>
                <w:sz w:val="20"/>
                <w:szCs w:val="20"/>
              </w:rPr>
              <w:t>CarbonNet met the relevant person in Gippsland and arranged the briefing for 1 June.</w:t>
            </w:r>
          </w:p>
        </w:tc>
      </w:tr>
      <w:tr w:rsidR="00A70030" w:rsidRPr="00FF0808" w14:paraId="56702B4E" w14:textId="77777777" w:rsidTr="00077C5F">
        <w:tc>
          <w:tcPr>
            <w:tcW w:w="1427" w:type="dxa"/>
            <w:vMerge/>
            <w:shd w:val="clear" w:color="auto" w:fill="auto"/>
          </w:tcPr>
          <w:p w14:paraId="55867A2A" w14:textId="77777777" w:rsidR="00A70030" w:rsidRPr="00E65C57" w:rsidRDefault="00A70030" w:rsidP="00073385">
            <w:pPr>
              <w:spacing w:before="60" w:after="60" w:line="240" w:lineRule="auto"/>
              <w:ind w:left="0"/>
              <w:rPr>
                <w:rFonts w:cs="Arial"/>
                <w:sz w:val="20"/>
                <w:szCs w:val="20"/>
              </w:rPr>
            </w:pPr>
          </w:p>
        </w:tc>
        <w:tc>
          <w:tcPr>
            <w:tcW w:w="1629" w:type="dxa"/>
            <w:vMerge/>
            <w:shd w:val="clear" w:color="auto" w:fill="auto"/>
          </w:tcPr>
          <w:p w14:paraId="230983E9" w14:textId="77777777" w:rsidR="00A70030" w:rsidRPr="00FF0808" w:rsidRDefault="00A70030" w:rsidP="00073385">
            <w:pPr>
              <w:spacing w:before="60" w:after="60" w:line="240" w:lineRule="auto"/>
              <w:ind w:left="0"/>
              <w:rPr>
                <w:rFonts w:cs="Arial"/>
                <w:sz w:val="20"/>
                <w:szCs w:val="20"/>
              </w:rPr>
            </w:pPr>
          </w:p>
        </w:tc>
        <w:tc>
          <w:tcPr>
            <w:tcW w:w="1055" w:type="dxa"/>
          </w:tcPr>
          <w:p w14:paraId="3F1655A4" w14:textId="77777777" w:rsidR="00A70030" w:rsidRDefault="00A70030" w:rsidP="00073385">
            <w:pPr>
              <w:spacing w:before="60" w:after="60" w:line="240" w:lineRule="auto"/>
              <w:ind w:left="0"/>
              <w:rPr>
                <w:rFonts w:cs="Arial"/>
                <w:sz w:val="20"/>
                <w:szCs w:val="20"/>
              </w:rPr>
            </w:pPr>
            <w:r>
              <w:rPr>
                <w:rFonts w:cs="Arial"/>
                <w:sz w:val="20"/>
                <w:szCs w:val="20"/>
              </w:rPr>
              <w:t>1/6/17</w:t>
            </w:r>
          </w:p>
          <w:p w14:paraId="56E03FCE" w14:textId="77777777" w:rsidR="00A70030" w:rsidRDefault="00A70030" w:rsidP="00073385">
            <w:pPr>
              <w:spacing w:before="60" w:after="60" w:line="240" w:lineRule="auto"/>
              <w:ind w:left="0"/>
              <w:rPr>
                <w:rFonts w:cs="Arial"/>
                <w:sz w:val="20"/>
                <w:szCs w:val="20"/>
              </w:rPr>
            </w:pPr>
          </w:p>
        </w:tc>
        <w:tc>
          <w:tcPr>
            <w:tcW w:w="6335" w:type="dxa"/>
            <w:shd w:val="clear" w:color="auto" w:fill="auto"/>
          </w:tcPr>
          <w:p w14:paraId="68E24426" w14:textId="7EFF395A" w:rsidR="00A70030" w:rsidRDefault="00A70030" w:rsidP="00073385">
            <w:pPr>
              <w:spacing w:before="60" w:after="60" w:line="240" w:lineRule="auto"/>
              <w:ind w:left="0"/>
              <w:rPr>
                <w:rFonts w:cs="Arial"/>
                <w:sz w:val="20"/>
                <w:szCs w:val="20"/>
              </w:rPr>
            </w:pPr>
            <w:r>
              <w:rPr>
                <w:rFonts w:cs="Arial"/>
                <w:sz w:val="20"/>
                <w:szCs w:val="20"/>
              </w:rPr>
              <w:t xml:space="preserve">CarbonNet provided a briefing to the </w:t>
            </w:r>
            <w:r w:rsidRPr="00E65C57">
              <w:rPr>
                <w:rFonts w:cs="Arial"/>
                <w:sz w:val="20"/>
                <w:szCs w:val="20"/>
              </w:rPr>
              <w:t>Gippsland Emergency Management Planning Committee</w:t>
            </w:r>
            <w:r>
              <w:rPr>
                <w:rFonts w:cs="Arial"/>
                <w:sz w:val="20"/>
                <w:szCs w:val="20"/>
              </w:rPr>
              <w:t xml:space="preserve"> on the project and MSS.</w:t>
            </w:r>
          </w:p>
        </w:tc>
        <w:tc>
          <w:tcPr>
            <w:tcW w:w="3802" w:type="dxa"/>
            <w:shd w:val="clear" w:color="auto" w:fill="auto"/>
          </w:tcPr>
          <w:p w14:paraId="4B5D5419" w14:textId="77777777" w:rsidR="00A70030" w:rsidRDefault="00A70030" w:rsidP="00073385">
            <w:pPr>
              <w:spacing w:before="60" w:after="60" w:line="240" w:lineRule="auto"/>
              <w:ind w:left="0"/>
              <w:rPr>
                <w:rFonts w:cs="Arial"/>
                <w:sz w:val="20"/>
                <w:szCs w:val="20"/>
              </w:rPr>
            </w:pPr>
            <w:r>
              <w:rPr>
                <w:rFonts w:cs="Arial"/>
                <w:sz w:val="20"/>
                <w:szCs w:val="20"/>
              </w:rPr>
              <w:t xml:space="preserve">N/A </w:t>
            </w:r>
          </w:p>
        </w:tc>
      </w:tr>
      <w:tr w:rsidR="00A70030" w:rsidRPr="00FF0808" w14:paraId="1A7498E5" w14:textId="77777777" w:rsidTr="00077C5F">
        <w:tc>
          <w:tcPr>
            <w:tcW w:w="1427" w:type="dxa"/>
            <w:vMerge/>
            <w:shd w:val="clear" w:color="auto" w:fill="auto"/>
          </w:tcPr>
          <w:p w14:paraId="283A4294" w14:textId="77777777" w:rsidR="00A70030" w:rsidRPr="00E65C57" w:rsidRDefault="00A70030" w:rsidP="00073385">
            <w:pPr>
              <w:spacing w:before="60" w:after="60" w:line="240" w:lineRule="auto"/>
              <w:ind w:left="0"/>
              <w:rPr>
                <w:rFonts w:cs="Arial"/>
                <w:sz w:val="20"/>
                <w:szCs w:val="20"/>
              </w:rPr>
            </w:pPr>
          </w:p>
        </w:tc>
        <w:tc>
          <w:tcPr>
            <w:tcW w:w="1629" w:type="dxa"/>
            <w:vMerge/>
            <w:shd w:val="clear" w:color="auto" w:fill="auto"/>
          </w:tcPr>
          <w:p w14:paraId="5E18E92D" w14:textId="77777777" w:rsidR="00A70030" w:rsidRPr="00FF0808" w:rsidRDefault="00A70030" w:rsidP="00073385">
            <w:pPr>
              <w:spacing w:before="60" w:after="60" w:line="240" w:lineRule="auto"/>
              <w:ind w:left="0"/>
              <w:rPr>
                <w:rFonts w:cs="Arial"/>
                <w:sz w:val="20"/>
                <w:szCs w:val="20"/>
              </w:rPr>
            </w:pPr>
          </w:p>
        </w:tc>
        <w:tc>
          <w:tcPr>
            <w:tcW w:w="1055" w:type="dxa"/>
          </w:tcPr>
          <w:p w14:paraId="7CB65323" w14:textId="77777777" w:rsidR="00A70030" w:rsidRDefault="00A70030" w:rsidP="00073385">
            <w:pPr>
              <w:spacing w:before="60" w:after="60" w:line="240" w:lineRule="auto"/>
              <w:ind w:left="0"/>
              <w:rPr>
                <w:rFonts w:cs="Arial"/>
                <w:sz w:val="20"/>
                <w:szCs w:val="20"/>
              </w:rPr>
            </w:pPr>
            <w:r>
              <w:rPr>
                <w:rFonts w:cs="Arial"/>
                <w:sz w:val="20"/>
                <w:szCs w:val="20"/>
              </w:rPr>
              <w:t>1/6/17</w:t>
            </w:r>
          </w:p>
        </w:tc>
        <w:tc>
          <w:tcPr>
            <w:tcW w:w="6335" w:type="dxa"/>
            <w:shd w:val="clear" w:color="auto" w:fill="auto"/>
          </w:tcPr>
          <w:p w14:paraId="79A06637" w14:textId="77777777" w:rsidR="00A70030" w:rsidRDefault="00A70030" w:rsidP="00073385">
            <w:pPr>
              <w:spacing w:before="60" w:after="60" w:line="240" w:lineRule="auto"/>
              <w:ind w:left="0"/>
              <w:rPr>
                <w:rFonts w:cs="Arial"/>
                <w:sz w:val="20"/>
                <w:szCs w:val="20"/>
              </w:rPr>
            </w:pPr>
            <w:r>
              <w:rPr>
                <w:rFonts w:cs="Arial"/>
                <w:sz w:val="20"/>
                <w:szCs w:val="20"/>
              </w:rPr>
              <w:t>CarbonNet received an email from the Committee confirming the information provided in the briefing was sufficient, and they will contact us if any questions or issues arise.</w:t>
            </w:r>
          </w:p>
        </w:tc>
        <w:tc>
          <w:tcPr>
            <w:tcW w:w="3802" w:type="dxa"/>
            <w:shd w:val="clear" w:color="auto" w:fill="auto"/>
          </w:tcPr>
          <w:p w14:paraId="197E399A" w14:textId="77777777" w:rsidR="00A70030" w:rsidRDefault="00A70030" w:rsidP="00073385">
            <w:pPr>
              <w:spacing w:before="60" w:after="60" w:line="240" w:lineRule="auto"/>
              <w:ind w:left="0"/>
              <w:rPr>
                <w:rFonts w:cs="Arial"/>
                <w:sz w:val="20"/>
                <w:szCs w:val="20"/>
              </w:rPr>
            </w:pPr>
            <w:r>
              <w:rPr>
                <w:rFonts w:cs="Arial"/>
                <w:sz w:val="20"/>
                <w:szCs w:val="20"/>
              </w:rPr>
              <w:t xml:space="preserve">CarbonNet will not provide further information unless requested. </w:t>
            </w:r>
          </w:p>
        </w:tc>
      </w:tr>
      <w:tr w:rsidR="00A70030" w:rsidRPr="00FF0808" w14:paraId="4D34297C" w14:textId="77777777" w:rsidTr="00891DE1">
        <w:tc>
          <w:tcPr>
            <w:tcW w:w="1427" w:type="dxa"/>
            <w:vMerge/>
            <w:tcBorders>
              <w:bottom w:val="nil"/>
            </w:tcBorders>
            <w:shd w:val="clear" w:color="auto" w:fill="auto"/>
          </w:tcPr>
          <w:p w14:paraId="061A5BC4" w14:textId="77777777" w:rsidR="00A70030" w:rsidRPr="00E65C57"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3C3F2820" w14:textId="77777777" w:rsidR="00A70030" w:rsidRPr="00FF0808" w:rsidRDefault="00A70030" w:rsidP="00073385">
            <w:pPr>
              <w:spacing w:before="60" w:after="60" w:line="240" w:lineRule="auto"/>
              <w:ind w:left="0"/>
              <w:rPr>
                <w:rFonts w:cs="Arial"/>
                <w:sz w:val="20"/>
                <w:szCs w:val="20"/>
              </w:rPr>
            </w:pPr>
          </w:p>
        </w:tc>
        <w:tc>
          <w:tcPr>
            <w:tcW w:w="1055" w:type="dxa"/>
          </w:tcPr>
          <w:p w14:paraId="5DF316C2" w14:textId="77777777" w:rsidR="00A70030" w:rsidRDefault="00A70030" w:rsidP="00073385">
            <w:pPr>
              <w:spacing w:before="60" w:after="60" w:line="240" w:lineRule="auto"/>
              <w:ind w:left="0"/>
              <w:rPr>
                <w:rFonts w:cs="Arial"/>
                <w:sz w:val="20"/>
                <w:szCs w:val="20"/>
              </w:rPr>
            </w:pPr>
            <w:r>
              <w:rPr>
                <w:rFonts w:cs="Arial"/>
                <w:sz w:val="20"/>
                <w:szCs w:val="20"/>
              </w:rPr>
              <w:t>7/8/17</w:t>
            </w:r>
          </w:p>
        </w:tc>
        <w:tc>
          <w:tcPr>
            <w:tcW w:w="6335" w:type="dxa"/>
            <w:shd w:val="clear" w:color="auto" w:fill="auto"/>
          </w:tcPr>
          <w:p w14:paraId="51BD0716" w14:textId="77777777" w:rsidR="00A70030" w:rsidRDefault="00A70030" w:rsidP="00073385">
            <w:pPr>
              <w:spacing w:before="60" w:after="60" w:line="240" w:lineRule="auto"/>
              <w:ind w:left="0"/>
              <w:rPr>
                <w:rFonts w:cs="Arial"/>
                <w:sz w:val="20"/>
                <w:szCs w:val="20"/>
              </w:rPr>
            </w:pPr>
            <w:r w:rsidRPr="00B866A1">
              <w:rPr>
                <w:rFonts w:cs="Arial"/>
                <w:sz w:val="20"/>
                <w:szCs w:val="20"/>
              </w:rPr>
              <w:t xml:space="preserve">CarbonNet sent </w:t>
            </w:r>
            <w:r>
              <w:rPr>
                <w:rFonts w:cs="Arial"/>
                <w:sz w:val="20"/>
                <w:szCs w:val="20"/>
              </w:rPr>
              <w:t xml:space="preserve">the </w:t>
            </w:r>
            <w:r w:rsidRPr="00E65C57">
              <w:rPr>
                <w:rFonts w:cs="Arial"/>
                <w:sz w:val="20"/>
                <w:szCs w:val="20"/>
              </w:rPr>
              <w:t>Gippsland Emergency Management Planning Committee</w:t>
            </w:r>
            <w:r w:rsidRPr="00B866A1">
              <w:rPr>
                <w:rFonts w:cs="Arial"/>
                <w:sz w:val="20"/>
                <w:szCs w:val="20"/>
              </w:rPr>
              <w:t xml:space="preserve"> an email advising that the operational area and duration of survey have now been refined, and that the EP will be submitted in mid-August.</w:t>
            </w:r>
          </w:p>
        </w:tc>
        <w:tc>
          <w:tcPr>
            <w:tcW w:w="3802" w:type="dxa"/>
            <w:shd w:val="clear" w:color="auto" w:fill="auto"/>
          </w:tcPr>
          <w:p w14:paraId="5BC5C56F" w14:textId="204824DD"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E674E0B" w14:textId="77777777" w:rsidTr="00891DE1">
        <w:tc>
          <w:tcPr>
            <w:tcW w:w="1427" w:type="dxa"/>
            <w:tcBorders>
              <w:top w:val="nil"/>
            </w:tcBorders>
            <w:shd w:val="clear" w:color="auto" w:fill="auto"/>
          </w:tcPr>
          <w:p w14:paraId="0D8610C5" w14:textId="77777777" w:rsidR="00A70030" w:rsidRPr="00E65C57" w:rsidRDefault="00A70030" w:rsidP="00073385">
            <w:pPr>
              <w:spacing w:before="60" w:after="60" w:line="240" w:lineRule="auto"/>
              <w:ind w:left="0"/>
              <w:rPr>
                <w:rFonts w:cs="Arial"/>
                <w:sz w:val="20"/>
                <w:szCs w:val="20"/>
              </w:rPr>
            </w:pPr>
          </w:p>
        </w:tc>
        <w:tc>
          <w:tcPr>
            <w:tcW w:w="1629" w:type="dxa"/>
            <w:tcBorders>
              <w:top w:val="nil"/>
            </w:tcBorders>
            <w:shd w:val="clear" w:color="auto" w:fill="auto"/>
          </w:tcPr>
          <w:p w14:paraId="6B3E0166" w14:textId="77777777" w:rsidR="00A70030" w:rsidRPr="00FF0808" w:rsidRDefault="00A70030" w:rsidP="00073385">
            <w:pPr>
              <w:spacing w:before="60" w:after="60" w:line="240" w:lineRule="auto"/>
              <w:ind w:left="0"/>
              <w:rPr>
                <w:rFonts w:cs="Arial"/>
                <w:sz w:val="20"/>
                <w:szCs w:val="20"/>
              </w:rPr>
            </w:pPr>
          </w:p>
        </w:tc>
        <w:tc>
          <w:tcPr>
            <w:tcW w:w="1055" w:type="dxa"/>
          </w:tcPr>
          <w:p w14:paraId="44C889DC" w14:textId="1D5A3CD8"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5C5D94A9" w14:textId="29DCDA5A" w:rsidR="00A70030" w:rsidRPr="00B866A1" w:rsidRDefault="00A70030" w:rsidP="00073385">
            <w:pPr>
              <w:spacing w:before="60" w:after="60" w:line="240" w:lineRule="auto"/>
              <w:ind w:left="0"/>
              <w:rPr>
                <w:rFonts w:cs="Arial"/>
                <w:sz w:val="20"/>
                <w:szCs w:val="20"/>
              </w:rPr>
            </w:pPr>
            <w:r>
              <w:rPr>
                <w:rFonts w:cs="Arial"/>
                <w:sz w:val="20"/>
                <w:szCs w:val="20"/>
              </w:rPr>
              <w:t xml:space="preserve">CarbonNet emailed stakeholders to advise the EP was submitted on 18 August. CarbonNet provided links to the NOPSEMA website for </w:t>
            </w:r>
            <w:r>
              <w:rPr>
                <w:rFonts w:cs="Arial"/>
                <w:sz w:val="20"/>
                <w:szCs w:val="20"/>
              </w:rPr>
              <w:lastRenderedPageBreak/>
              <w:t>stakeholders to subscribe to updates, and committed to provide a revised fact sheet once a survey vessel has been contracted.</w:t>
            </w:r>
          </w:p>
        </w:tc>
        <w:tc>
          <w:tcPr>
            <w:tcW w:w="3802" w:type="dxa"/>
            <w:shd w:val="clear" w:color="auto" w:fill="auto"/>
          </w:tcPr>
          <w:p w14:paraId="0D1D0C23" w14:textId="18B164CC" w:rsidR="00A70030" w:rsidRDefault="00A70030" w:rsidP="00073385">
            <w:pPr>
              <w:spacing w:before="60" w:after="60" w:line="240" w:lineRule="auto"/>
              <w:ind w:left="0"/>
              <w:rPr>
                <w:rFonts w:cs="Arial"/>
                <w:sz w:val="20"/>
                <w:szCs w:val="20"/>
              </w:rPr>
            </w:pPr>
            <w:r>
              <w:rPr>
                <w:rFonts w:cs="Arial"/>
                <w:sz w:val="20"/>
                <w:szCs w:val="20"/>
              </w:rPr>
              <w:lastRenderedPageBreak/>
              <w:t>N/A</w:t>
            </w:r>
          </w:p>
        </w:tc>
      </w:tr>
      <w:tr w:rsidR="00A70030" w:rsidRPr="00FF0808" w14:paraId="59B93F85" w14:textId="77777777" w:rsidTr="00077C5F">
        <w:tc>
          <w:tcPr>
            <w:tcW w:w="14248" w:type="dxa"/>
            <w:gridSpan w:val="5"/>
            <w:shd w:val="clear" w:color="auto" w:fill="D9D9D9"/>
          </w:tcPr>
          <w:p w14:paraId="6528650B" w14:textId="77777777" w:rsidR="00A70030" w:rsidRPr="00FF0808" w:rsidRDefault="00A70030" w:rsidP="00073385">
            <w:pPr>
              <w:spacing w:before="60" w:after="60" w:line="240" w:lineRule="auto"/>
              <w:ind w:left="0"/>
              <w:rPr>
                <w:rFonts w:cs="Arial"/>
                <w:sz w:val="20"/>
                <w:szCs w:val="20"/>
              </w:rPr>
            </w:pPr>
            <w:r w:rsidRPr="00FF0808">
              <w:rPr>
                <w:rFonts w:cs="Arial"/>
                <w:sz w:val="20"/>
                <w:szCs w:val="20"/>
              </w:rPr>
              <w:t>Any other person or organisation that the Titleholder considers relevant</w:t>
            </w:r>
          </w:p>
        </w:tc>
      </w:tr>
      <w:tr w:rsidR="00A70030" w:rsidRPr="00FF0808" w14:paraId="283CFB63" w14:textId="77777777" w:rsidTr="00077C5F">
        <w:tc>
          <w:tcPr>
            <w:tcW w:w="1427" w:type="dxa"/>
            <w:vMerge w:val="restart"/>
            <w:shd w:val="clear" w:color="auto" w:fill="auto"/>
          </w:tcPr>
          <w:p w14:paraId="32C6BA11" w14:textId="77777777" w:rsidR="00A70030" w:rsidRPr="00FF0808" w:rsidRDefault="00A70030" w:rsidP="00073385">
            <w:pPr>
              <w:spacing w:before="60" w:after="60" w:line="240" w:lineRule="auto"/>
              <w:ind w:left="0"/>
              <w:rPr>
                <w:rFonts w:cs="Arial"/>
                <w:sz w:val="20"/>
                <w:szCs w:val="20"/>
              </w:rPr>
            </w:pPr>
            <w:r>
              <w:rPr>
                <w:rFonts w:cs="Arial"/>
                <w:sz w:val="20"/>
                <w:szCs w:val="20"/>
              </w:rPr>
              <w:t>Gippsland Ports</w:t>
            </w:r>
          </w:p>
        </w:tc>
        <w:tc>
          <w:tcPr>
            <w:tcW w:w="1629" w:type="dxa"/>
            <w:vMerge w:val="restart"/>
            <w:shd w:val="clear" w:color="auto" w:fill="auto"/>
          </w:tcPr>
          <w:p w14:paraId="0CDCF578" w14:textId="77777777" w:rsidR="00A70030" w:rsidRPr="002630D3" w:rsidRDefault="00A70030" w:rsidP="00073385">
            <w:pPr>
              <w:spacing w:before="60" w:after="60"/>
              <w:ind w:left="0"/>
              <w:rPr>
                <w:rFonts w:cs="Arial"/>
                <w:sz w:val="20"/>
                <w:szCs w:val="20"/>
              </w:rPr>
            </w:pPr>
            <w:r w:rsidRPr="002630D3">
              <w:rPr>
                <w:rFonts w:cs="Arial"/>
                <w:sz w:val="20"/>
                <w:szCs w:val="20"/>
              </w:rPr>
              <w:t xml:space="preserve">Gippsland Ports is the local Authority responsible for the application of the </w:t>
            </w:r>
            <w:r w:rsidRPr="00653AFA">
              <w:rPr>
                <w:rFonts w:cs="Arial"/>
                <w:sz w:val="20"/>
                <w:szCs w:val="20"/>
              </w:rPr>
              <w:t xml:space="preserve">Marine Act </w:t>
            </w:r>
            <w:r w:rsidRPr="002630D3">
              <w:rPr>
                <w:rFonts w:cs="Arial"/>
                <w:sz w:val="20"/>
                <w:szCs w:val="20"/>
              </w:rPr>
              <w:t>and other related legislation for the five local ports and two waterways.</w:t>
            </w:r>
          </w:p>
          <w:p w14:paraId="13C1C786" w14:textId="77777777" w:rsidR="00A70030" w:rsidRPr="00FF0808" w:rsidRDefault="00A70030" w:rsidP="00073385">
            <w:pPr>
              <w:spacing w:before="60" w:after="60" w:line="240" w:lineRule="auto"/>
              <w:ind w:left="0"/>
              <w:rPr>
                <w:rFonts w:cs="Arial"/>
                <w:sz w:val="20"/>
                <w:szCs w:val="20"/>
              </w:rPr>
            </w:pPr>
            <w:r w:rsidRPr="002630D3">
              <w:rPr>
                <w:rFonts w:cs="Arial"/>
                <w:sz w:val="20"/>
                <w:szCs w:val="20"/>
              </w:rPr>
              <w:t>It is the Control Agency for level 1 hydrocarbon spills in State waters along the Gippsland Coast.</w:t>
            </w:r>
          </w:p>
        </w:tc>
        <w:tc>
          <w:tcPr>
            <w:tcW w:w="1055" w:type="dxa"/>
          </w:tcPr>
          <w:p w14:paraId="0C102BBC" w14:textId="77777777" w:rsidR="00A70030" w:rsidRDefault="00A70030" w:rsidP="00073385">
            <w:pPr>
              <w:spacing w:before="60" w:after="60" w:line="240" w:lineRule="auto"/>
              <w:ind w:left="0"/>
              <w:rPr>
                <w:rFonts w:cs="Arial"/>
                <w:sz w:val="20"/>
                <w:szCs w:val="20"/>
              </w:rPr>
            </w:pPr>
            <w:r>
              <w:rPr>
                <w:rFonts w:cs="Arial"/>
                <w:sz w:val="20"/>
                <w:szCs w:val="20"/>
              </w:rPr>
              <w:t>21/3/17</w:t>
            </w:r>
          </w:p>
          <w:p w14:paraId="636A8CC8" w14:textId="77777777" w:rsidR="00A70030" w:rsidRPr="00FF0808" w:rsidRDefault="00A70030" w:rsidP="00073385">
            <w:pPr>
              <w:spacing w:before="60" w:after="60" w:line="240" w:lineRule="auto"/>
              <w:ind w:left="0"/>
              <w:rPr>
                <w:rFonts w:cs="Arial"/>
                <w:sz w:val="20"/>
                <w:szCs w:val="20"/>
              </w:rPr>
            </w:pPr>
          </w:p>
        </w:tc>
        <w:tc>
          <w:tcPr>
            <w:tcW w:w="6335" w:type="dxa"/>
            <w:shd w:val="clear" w:color="auto" w:fill="auto"/>
          </w:tcPr>
          <w:p w14:paraId="09A7CB6C" w14:textId="77777777" w:rsidR="00A70030" w:rsidRPr="00FF0808" w:rsidRDefault="00A70030" w:rsidP="00073385">
            <w:pPr>
              <w:spacing w:before="60" w:after="60" w:line="240" w:lineRule="auto"/>
              <w:ind w:left="0"/>
              <w:rPr>
                <w:rFonts w:cs="Arial"/>
                <w:sz w:val="20"/>
                <w:szCs w:val="20"/>
              </w:rPr>
            </w:pPr>
            <w:r>
              <w:rPr>
                <w:rFonts w:cs="Arial"/>
                <w:sz w:val="20"/>
                <w:szCs w:val="20"/>
              </w:rPr>
              <w:t>CarbonNet contacted Gippsland Ports via post and email with a letter that invited feedback and provided a fact sheet .</w:t>
            </w:r>
            <w:r w:rsidDel="00F14C60">
              <w:rPr>
                <w:rFonts w:cs="Arial"/>
                <w:sz w:val="20"/>
                <w:szCs w:val="20"/>
              </w:rPr>
              <w:t xml:space="preserve"> </w:t>
            </w:r>
          </w:p>
        </w:tc>
        <w:tc>
          <w:tcPr>
            <w:tcW w:w="3802" w:type="dxa"/>
            <w:shd w:val="clear" w:color="auto" w:fill="auto"/>
          </w:tcPr>
          <w:p w14:paraId="05339DE5" w14:textId="0ABAECCF" w:rsidR="00A70030" w:rsidRPr="00C83C0E"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2F70821" w14:textId="77777777" w:rsidTr="0024586D">
        <w:tc>
          <w:tcPr>
            <w:tcW w:w="1427" w:type="dxa"/>
            <w:vMerge/>
            <w:tcBorders>
              <w:bottom w:val="nil"/>
            </w:tcBorders>
            <w:shd w:val="clear" w:color="auto" w:fill="auto"/>
          </w:tcPr>
          <w:p w14:paraId="4684CA59" w14:textId="77777777" w:rsidR="00A70030" w:rsidRPr="00FF0808" w:rsidRDefault="00A70030" w:rsidP="00073385">
            <w:pPr>
              <w:spacing w:before="60" w:after="60" w:line="240" w:lineRule="auto"/>
              <w:ind w:left="0"/>
              <w:rPr>
                <w:rFonts w:cs="Arial"/>
                <w:sz w:val="20"/>
                <w:szCs w:val="20"/>
              </w:rPr>
            </w:pPr>
          </w:p>
        </w:tc>
        <w:tc>
          <w:tcPr>
            <w:tcW w:w="1629" w:type="dxa"/>
            <w:vMerge/>
            <w:shd w:val="clear" w:color="auto" w:fill="auto"/>
          </w:tcPr>
          <w:p w14:paraId="6F5399D0" w14:textId="77777777" w:rsidR="00A70030" w:rsidRPr="00FF0808" w:rsidRDefault="00A70030" w:rsidP="00073385">
            <w:pPr>
              <w:spacing w:before="60" w:after="60" w:line="240" w:lineRule="auto"/>
              <w:ind w:left="0"/>
              <w:rPr>
                <w:rFonts w:cs="Arial"/>
                <w:sz w:val="20"/>
                <w:szCs w:val="20"/>
              </w:rPr>
            </w:pPr>
          </w:p>
        </w:tc>
        <w:tc>
          <w:tcPr>
            <w:tcW w:w="1055" w:type="dxa"/>
          </w:tcPr>
          <w:p w14:paraId="7540A676" w14:textId="77777777" w:rsidR="00A70030" w:rsidRDefault="00A70030" w:rsidP="00073385">
            <w:pPr>
              <w:spacing w:before="60" w:after="60" w:line="240" w:lineRule="auto"/>
              <w:ind w:left="0"/>
              <w:rPr>
                <w:rFonts w:cs="Arial"/>
                <w:sz w:val="20"/>
                <w:szCs w:val="20"/>
              </w:rPr>
            </w:pPr>
            <w:r>
              <w:rPr>
                <w:rFonts w:cs="Arial"/>
                <w:sz w:val="20"/>
                <w:szCs w:val="20"/>
              </w:rPr>
              <w:t>6/4/17</w:t>
            </w:r>
          </w:p>
        </w:tc>
        <w:tc>
          <w:tcPr>
            <w:tcW w:w="6335" w:type="dxa"/>
            <w:shd w:val="clear" w:color="auto" w:fill="auto"/>
          </w:tcPr>
          <w:p w14:paraId="4C3EFE45" w14:textId="77777777" w:rsidR="00A70030" w:rsidRDefault="00A70030" w:rsidP="00073385">
            <w:pPr>
              <w:spacing w:before="60" w:after="60" w:line="240" w:lineRule="auto"/>
              <w:ind w:left="0"/>
              <w:rPr>
                <w:rFonts w:cs="Arial"/>
                <w:sz w:val="20"/>
                <w:szCs w:val="20"/>
              </w:rPr>
            </w:pPr>
            <w:r>
              <w:rPr>
                <w:rFonts w:cs="Arial"/>
                <w:sz w:val="20"/>
                <w:szCs w:val="20"/>
              </w:rPr>
              <w:t>CarbonNet called to follow up letter and left contact details for Acting CEO to call back to discuss.</w:t>
            </w:r>
          </w:p>
        </w:tc>
        <w:tc>
          <w:tcPr>
            <w:tcW w:w="3802" w:type="dxa"/>
            <w:shd w:val="clear" w:color="auto" w:fill="auto"/>
          </w:tcPr>
          <w:p w14:paraId="27AD6B38" w14:textId="401B6F5B"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3770D9B" w14:textId="77777777" w:rsidTr="0024586D">
        <w:tc>
          <w:tcPr>
            <w:tcW w:w="1427" w:type="dxa"/>
            <w:tcBorders>
              <w:top w:val="nil"/>
              <w:bottom w:val="nil"/>
            </w:tcBorders>
            <w:shd w:val="clear" w:color="auto" w:fill="auto"/>
          </w:tcPr>
          <w:p w14:paraId="19FFAA17" w14:textId="77777777" w:rsidR="00A70030" w:rsidRPr="00FF0808" w:rsidRDefault="00A70030" w:rsidP="00073385">
            <w:pPr>
              <w:spacing w:before="60" w:after="60" w:line="240" w:lineRule="auto"/>
              <w:ind w:left="0"/>
              <w:rPr>
                <w:rFonts w:cs="Arial"/>
                <w:sz w:val="20"/>
                <w:szCs w:val="20"/>
              </w:rPr>
            </w:pPr>
          </w:p>
        </w:tc>
        <w:tc>
          <w:tcPr>
            <w:tcW w:w="1629" w:type="dxa"/>
            <w:vMerge/>
            <w:shd w:val="clear" w:color="auto" w:fill="auto"/>
          </w:tcPr>
          <w:p w14:paraId="002CEE81" w14:textId="77777777" w:rsidR="00A70030" w:rsidRPr="00FF0808" w:rsidRDefault="00A70030" w:rsidP="00073385">
            <w:pPr>
              <w:spacing w:before="60" w:after="60" w:line="240" w:lineRule="auto"/>
              <w:ind w:left="0"/>
              <w:rPr>
                <w:rFonts w:cs="Arial"/>
                <w:sz w:val="20"/>
                <w:szCs w:val="20"/>
              </w:rPr>
            </w:pPr>
          </w:p>
        </w:tc>
        <w:tc>
          <w:tcPr>
            <w:tcW w:w="1055" w:type="dxa"/>
          </w:tcPr>
          <w:p w14:paraId="56C67C8A" w14:textId="77777777" w:rsidR="00A70030" w:rsidRDefault="00A70030" w:rsidP="00073385">
            <w:pPr>
              <w:spacing w:before="60" w:after="60" w:line="240" w:lineRule="auto"/>
              <w:ind w:left="0"/>
              <w:rPr>
                <w:rFonts w:cs="Arial"/>
                <w:sz w:val="20"/>
                <w:szCs w:val="20"/>
              </w:rPr>
            </w:pPr>
            <w:r>
              <w:rPr>
                <w:rFonts w:cs="Arial"/>
                <w:sz w:val="20"/>
                <w:szCs w:val="20"/>
              </w:rPr>
              <w:t>19/4/17</w:t>
            </w:r>
          </w:p>
        </w:tc>
        <w:tc>
          <w:tcPr>
            <w:tcW w:w="6335" w:type="dxa"/>
            <w:shd w:val="clear" w:color="auto" w:fill="auto"/>
          </w:tcPr>
          <w:p w14:paraId="17A4A463" w14:textId="77777777" w:rsidR="00A70030" w:rsidRDefault="00A70030" w:rsidP="00073385">
            <w:pPr>
              <w:spacing w:before="60" w:after="60" w:line="240" w:lineRule="auto"/>
              <w:ind w:left="0"/>
              <w:rPr>
                <w:rFonts w:cs="Arial"/>
                <w:sz w:val="20"/>
                <w:szCs w:val="20"/>
              </w:rPr>
            </w:pPr>
            <w:r>
              <w:rPr>
                <w:rFonts w:cs="Arial"/>
                <w:sz w:val="20"/>
                <w:szCs w:val="20"/>
              </w:rPr>
              <w:t>CarbonNet called and spoke to the Acting CEO. The information was received, but they are unsure how it impacts on Gippsland Ports. They said that they will consult internally and get back to CarbonNet. CarbonNet offered a meeting in Lakes Entrance on 26/27 April, but those dates don’t work. Gippsland Ports may set up a teleconference if required.</w:t>
            </w:r>
          </w:p>
        </w:tc>
        <w:tc>
          <w:tcPr>
            <w:tcW w:w="3802" w:type="dxa"/>
            <w:shd w:val="clear" w:color="auto" w:fill="auto"/>
          </w:tcPr>
          <w:p w14:paraId="22431B32" w14:textId="778BCBB3"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9303300" w14:textId="77777777" w:rsidTr="0024586D">
        <w:tc>
          <w:tcPr>
            <w:tcW w:w="1427" w:type="dxa"/>
            <w:tcBorders>
              <w:top w:val="nil"/>
              <w:bottom w:val="nil"/>
            </w:tcBorders>
            <w:shd w:val="clear" w:color="auto" w:fill="auto"/>
          </w:tcPr>
          <w:p w14:paraId="0951AEE1" w14:textId="77777777" w:rsidR="00A70030" w:rsidRPr="00FF0808" w:rsidRDefault="00A70030" w:rsidP="00073385">
            <w:pPr>
              <w:spacing w:before="60" w:after="60" w:line="240" w:lineRule="auto"/>
              <w:ind w:left="0"/>
              <w:rPr>
                <w:rFonts w:cs="Arial"/>
                <w:sz w:val="20"/>
                <w:szCs w:val="20"/>
              </w:rPr>
            </w:pPr>
          </w:p>
        </w:tc>
        <w:tc>
          <w:tcPr>
            <w:tcW w:w="1629" w:type="dxa"/>
            <w:vMerge/>
            <w:shd w:val="clear" w:color="auto" w:fill="auto"/>
          </w:tcPr>
          <w:p w14:paraId="1DAEB0BA" w14:textId="77777777" w:rsidR="00A70030" w:rsidRPr="00FF0808" w:rsidRDefault="00A70030" w:rsidP="00073385">
            <w:pPr>
              <w:spacing w:before="60" w:after="60" w:line="240" w:lineRule="auto"/>
              <w:ind w:left="0"/>
              <w:rPr>
                <w:rFonts w:cs="Arial"/>
                <w:sz w:val="20"/>
                <w:szCs w:val="20"/>
              </w:rPr>
            </w:pPr>
          </w:p>
        </w:tc>
        <w:tc>
          <w:tcPr>
            <w:tcW w:w="1055" w:type="dxa"/>
          </w:tcPr>
          <w:p w14:paraId="51BE91E2" w14:textId="77777777" w:rsidR="00A70030" w:rsidRPr="00FF0808" w:rsidRDefault="00A70030" w:rsidP="00073385">
            <w:pPr>
              <w:spacing w:before="60" w:after="60" w:line="240" w:lineRule="auto"/>
              <w:ind w:left="0"/>
              <w:rPr>
                <w:rFonts w:cs="Arial"/>
                <w:sz w:val="20"/>
                <w:szCs w:val="20"/>
              </w:rPr>
            </w:pPr>
            <w:r>
              <w:rPr>
                <w:rFonts w:cs="Arial"/>
                <w:sz w:val="20"/>
                <w:szCs w:val="20"/>
              </w:rPr>
              <w:t>3/5/17</w:t>
            </w:r>
          </w:p>
        </w:tc>
        <w:tc>
          <w:tcPr>
            <w:tcW w:w="6335" w:type="dxa"/>
            <w:shd w:val="clear" w:color="auto" w:fill="auto"/>
          </w:tcPr>
          <w:p w14:paraId="16EF5B6D" w14:textId="77777777" w:rsidR="00A70030" w:rsidRDefault="00A70030" w:rsidP="00073385">
            <w:pPr>
              <w:spacing w:before="60" w:after="60" w:line="240" w:lineRule="auto"/>
              <w:ind w:left="0"/>
              <w:rPr>
                <w:rFonts w:cs="Arial"/>
                <w:sz w:val="20"/>
                <w:szCs w:val="20"/>
              </w:rPr>
            </w:pPr>
            <w:r>
              <w:rPr>
                <w:rFonts w:cs="Arial"/>
                <w:sz w:val="20"/>
                <w:szCs w:val="20"/>
              </w:rPr>
              <w:t>CarbonNet received email from Gippsland Ports that stated as the survey is being conducted outside of port waters under Gippsland Ports management, there are no foreseeable risks to waterway management and general vessel operation within those waterways.</w:t>
            </w:r>
          </w:p>
          <w:p w14:paraId="779333A5" w14:textId="77777777" w:rsidR="00A70030" w:rsidRPr="00FF0808" w:rsidRDefault="00A70030" w:rsidP="00073385">
            <w:pPr>
              <w:spacing w:before="60" w:after="60" w:line="240" w:lineRule="auto"/>
              <w:ind w:left="0"/>
              <w:rPr>
                <w:rFonts w:cs="Arial"/>
                <w:sz w:val="20"/>
                <w:szCs w:val="20"/>
              </w:rPr>
            </w:pPr>
            <w:r>
              <w:rPr>
                <w:rFonts w:cs="Arial"/>
                <w:sz w:val="20"/>
                <w:szCs w:val="20"/>
              </w:rPr>
              <w:t>Gippsland Ports provided contact details for vessels to gain access to ports.</w:t>
            </w:r>
          </w:p>
        </w:tc>
        <w:tc>
          <w:tcPr>
            <w:tcW w:w="3802" w:type="dxa"/>
            <w:shd w:val="clear" w:color="auto" w:fill="auto"/>
          </w:tcPr>
          <w:p w14:paraId="653132FB" w14:textId="77777777" w:rsidR="00A70030" w:rsidRDefault="00A70030" w:rsidP="00073385">
            <w:pPr>
              <w:spacing w:before="60" w:after="60" w:line="240" w:lineRule="auto"/>
              <w:ind w:left="0"/>
              <w:rPr>
                <w:rFonts w:cs="Arial"/>
                <w:sz w:val="20"/>
                <w:szCs w:val="20"/>
              </w:rPr>
            </w:pPr>
            <w:r>
              <w:rPr>
                <w:rFonts w:cs="Arial"/>
                <w:sz w:val="20"/>
                <w:szCs w:val="20"/>
              </w:rPr>
              <w:t>CarbonNet responded to Gippsland Ports thanking them for their reply.</w:t>
            </w:r>
          </w:p>
          <w:p w14:paraId="2B7DB28F" w14:textId="77777777" w:rsidR="00A70030" w:rsidRDefault="00A70030" w:rsidP="00073385">
            <w:pPr>
              <w:spacing w:before="60" w:after="60" w:line="240" w:lineRule="auto"/>
              <w:ind w:left="0"/>
              <w:rPr>
                <w:rFonts w:cs="Arial"/>
                <w:sz w:val="20"/>
                <w:szCs w:val="20"/>
              </w:rPr>
            </w:pPr>
          </w:p>
          <w:p w14:paraId="1037D698" w14:textId="77777777" w:rsidR="00A70030" w:rsidRPr="00FF0808" w:rsidRDefault="00A70030" w:rsidP="00073385">
            <w:pPr>
              <w:spacing w:before="60" w:after="60" w:line="240" w:lineRule="auto"/>
              <w:ind w:left="0"/>
              <w:rPr>
                <w:rFonts w:cs="Arial"/>
                <w:sz w:val="20"/>
                <w:szCs w:val="20"/>
              </w:rPr>
            </w:pPr>
            <w:r>
              <w:rPr>
                <w:rFonts w:cs="Arial"/>
                <w:sz w:val="20"/>
                <w:szCs w:val="20"/>
              </w:rPr>
              <w:t>CarbonNet noted the contact information for access to the ports.</w:t>
            </w:r>
          </w:p>
        </w:tc>
      </w:tr>
      <w:tr w:rsidR="00A70030" w:rsidRPr="00FF0808" w14:paraId="41EA25E4" w14:textId="77777777" w:rsidTr="00891DE1">
        <w:tc>
          <w:tcPr>
            <w:tcW w:w="1427" w:type="dxa"/>
            <w:tcBorders>
              <w:top w:val="nil"/>
              <w:bottom w:val="nil"/>
            </w:tcBorders>
            <w:shd w:val="clear" w:color="auto" w:fill="auto"/>
          </w:tcPr>
          <w:p w14:paraId="5921602A" w14:textId="77777777" w:rsidR="00A70030" w:rsidRPr="00FF0808"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70730AF0" w14:textId="77777777" w:rsidR="00A70030" w:rsidRPr="00FF0808" w:rsidRDefault="00A70030" w:rsidP="00073385">
            <w:pPr>
              <w:spacing w:before="60" w:after="60" w:line="240" w:lineRule="auto"/>
              <w:ind w:left="0"/>
              <w:rPr>
                <w:rFonts w:cs="Arial"/>
                <w:sz w:val="20"/>
                <w:szCs w:val="20"/>
              </w:rPr>
            </w:pPr>
          </w:p>
        </w:tc>
        <w:tc>
          <w:tcPr>
            <w:tcW w:w="1055" w:type="dxa"/>
          </w:tcPr>
          <w:p w14:paraId="087797AC" w14:textId="77777777" w:rsidR="00A70030" w:rsidRDefault="00A70030" w:rsidP="00073385">
            <w:pPr>
              <w:spacing w:before="60" w:after="60" w:line="240" w:lineRule="auto"/>
              <w:ind w:left="0"/>
              <w:rPr>
                <w:rFonts w:cs="Arial"/>
                <w:sz w:val="20"/>
                <w:szCs w:val="20"/>
              </w:rPr>
            </w:pPr>
            <w:r>
              <w:rPr>
                <w:rFonts w:cs="Arial"/>
                <w:sz w:val="20"/>
                <w:szCs w:val="20"/>
              </w:rPr>
              <w:t>21/6/</w:t>
            </w:r>
            <w:r w:rsidRPr="002630D3">
              <w:rPr>
                <w:rFonts w:cs="Arial"/>
                <w:sz w:val="20"/>
                <w:szCs w:val="20"/>
              </w:rPr>
              <w:t>17</w:t>
            </w:r>
          </w:p>
        </w:tc>
        <w:tc>
          <w:tcPr>
            <w:tcW w:w="6335" w:type="dxa"/>
            <w:shd w:val="clear" w:color="auto" w:fill="auto"/>
          </w:tcPr>
          <w:p w14:paraId="6F0245F9" w14:textId="77777777" w:rsidR="00A70030" w:rsidRDefault="00A70030" w:rsidP="00073385">
            <w:pPr>
              <w:spacing w:before="60" w:after="60" w:line="240" w:lineRule="auto"/>
              <w:ind w:left="0"/>
              <w:rPr>
                <w:rFonts w:cs="Arial"/>
                <w:sz w:val="20"/>
                <w:szCs w:val="20"/>
              </w:rPr>
            </w:pPr>
            <w:r w:rsidRPr="002630D3">
              <w:rPr>
                <w:rFonts w:cs="Arial"/>
                <w:sz w:val="20"/>
                <w:szCs w:val="20"/>
              </w:rPr>
              <w:t xml:space="preserve">CarbonNet had a telephone discussion with the </w:t>
            </w:r>
            <w:r>
              <w:rPr>
                <w:rFonts w:cs="Arial"/>
                <w:sz w:val="20"/>
                <w:szCs w:val="20"/>
              </w:rPr>
              <w:t xml:space="preserve">Marine Officer at </w:t>
            </w:r>
            <w:r w:rsidRPr="002630D3">
              <w:rPr>
                <w:rFonts w:cs="Arial"/>
                <w:sz w:val="20"/>
                <w:szCs w:val="20"/>
              </w:rPr>
              <w:t xml:space="preserve">Gippsland Ports to discuss oil spill response planning, which was followed up with an email to Gippsland Ports providing additional information about the oil spill modelling results and proposed response strategies. </w:t>
            </w:r>
          </w:p>
        </w:tc>
        <w:tc>
          <w:tcPr>
            <w:tcW w:w="3802" w:type="dxa"/>
            <w:shd w:val="clear" w:color="auto" w:fill="auto"/>
          </w:tcPr>
          <w:p w14:paraId="45434CE7" w14:textId="77777777" w:rsidR="00A70030" w:rsidRDefault="00A70030" w:rsidP="00073385">
            <w:pPr>
              <w:spacing w:before="60" w:after="60" w:line="240" w:lineRule="auto"/>
              <w:ind w:left="0"/>
              <w:rPr>
                <w:rFonts w:cs="Arial"/>
                <w:sz w:val="20"/>
                <w:szCs w:val="20"/>
              </w:rPr>
            </w:pPr>
            <w:r w:rsidRPr="002630D3">
              <w:rPr>
                <w:rFonts w:cs="Arial"/>
                <w:sz w:val="20"/>
                <w:szCs w:val="20"/>
              </w:rPr>
              <w:t>N/A</w:t>
            </w:r>
          </w:p>
        </w:tc>
      </w:tr>
      <w:tr w:rsidR="00A70030" w:rsidRPr="00FF0808" w14:paraId="01271B85" w14:textId="77777777" w:rsidTr="00891DE1">
        <w:tc>
          <w:tcPr>
            <w:tcW w:w="1427" w:type="dxa"/>
            <w:tcBorders>
              <w:top w:val="nil"/>
              <w:bottom w:val="nil"/>
            </w:tcBorders>
            <w:shd w:val="clear" w:color="auto" w:fill="auto"/>
          </w:tcPr>
          <w:p w14:paraId="4EBC6BDA" w14:textId="77777777" w:rsidR="00A70030" w:rsidRPr="00FF080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D8263BC" w14:textId="77777777" w:rsidR="00A70030" w:rsidRPr="00FF0808" w:rsidRDefault="00A70030" w:rsidP="00073385">
            <w:pPr>
              <w:spacing w:before="60" w:after="60" w:line="240" w:lineRule="auto"/>
              <w:ind w:left="0"/>
              <w:rPr>
                <w:rFonts w:cs="Arial"/>
                <w:sz w:val="20"/>
                <w:szCs w:val="20"/>
              </w:rPr>
            </w:pPr>
          </w:p>
        </w:tc>
        <w:tc>
          <w:tcPr>
            <w:tcW w:w="1055" w:type="dxa"/>
          </w:tcPr>
          <w:p w14:paraId="7E38FF75" w14:textId="77777777" w:rsidR="00A70030" w:rsidRDefault="00A70030" w:rsidP="00073385">
            <w:pPr>
              <w:spacing w:before="60" w:after="60" w:line="240" w:lineRule="auto"/>
              <w:ind w:left="0"/>
              <w:rPr>
                <w:rFonts w:cs="Arial"/>
                <w:sz w:val="20"/>
                <w:szCs w:val="20"/>
              </w:rPr>
            </w:pPr>
            <w:r>
              <w:rPr>
                <w:rFonts w:cs="Arial"/>
                <w:sz w:val="20"/>
                <w:szCs w:val="20"/>
              </w:rPr>
              <w:t>23/6/</w:t>
            </w:r>
            <w:r w:rsidRPr="002630D3">
              <w:rPr>
                <w:rFonts w:cs="Arial"/>
                <w:sz w:val="20"/>
                <w:szCs w:val="20"/>
              </w:rPr>
              <w:t>17</w:t>
            </w:r>
          </w:p>
        </w:tc>
        <w:tc>
          <w:tcPr>
            <w:tcW w:w="6335" w:type="dxa"/>
            <w:shd w:val="clear" w:color="auto" w:fill="auto"/>
          </w:tcPr>
          <w:p w14:paraId="6BAD1560" w14:textId="77777777" w:rsidR="00A70030" w:rsidRDefault="00A70030" w:rsidP="00073385">
            <w:pPr>
              <w:spacing w:before="60" w:after="60" w:line="240" w:lineRule="auto"/>
              <w:ind w:left="0"/>
              <w:rPr>
                <w:rFonts w:cs="Arial"/>
                <w:sz w:val="20"/>
                <w:szCs w:val="20"/>
              </w:rPr>
            </w:pPr>
            <w:r w:rsidRPr="002630D3">
              <w:rPr>
                <w:rFonts w:cs="Arial"/>
                <w:sz w:val="20"/>
                <w:szCs w:val="20"/>
              </w:rPr>
              <w:t xml:space="preserve">The </w:t>
            </w:r>
            <w:r>
              <w:rPr>
                <w:rFonts w:cs="Arial"/>
                <w:sz w:val="20"/>
                <w:szCs w:val="20"/>
              </w:rPr>
              <w:t>Marine Officer</w:t>
            </w:r>
            <w:r w:rsidRPr="002630D3">
              <w:rPr>
                <w:rFonts w:cs="Arial"/>
                <w:sz w:val="20"/>
                <w:szCs w:val="20"/>
              </w:rPr>
              <w:t xml:space="preserve"> of Gippsland Ports responded to CarbonNet via email outlining the resources and capacities it has to respond to hydrocarbon spills in its jurisdiction. </w:t>
            </w:r>
          </w:p>
        </w:tc>
        <w:tc>
          <w:tcPr>
            <w:tcW w:w="3802" w:type="dxa"/>
            <w:shd w:val="clear" w:color="auto" w:fill="auto"/>
          </w:tcPr>
          <w:p w14:paraId="6A19F70A" w14:textId="77777777" w:rsidR="00A70030" w:rsidRDefault="00A70030" w:rsidP="00073385">
            <w:pPr>
              <w:spacing w:before="60" w:after="60" w:line="240" w:lineRule="auto"/>
              <w:ind w:left="0"/>
              <w:rPr>
                <w:rFonts w:cs="Arial"/>
                <w:sz w:val="20"/>
                <w:szCs w:val="20"/>
              </w:rPr>
            </w:pPr>
            <w:r w:rsidRPr="002630D3">
              <w:rPr>
                <w:rFonts w:cs="Arial"/>
                <w:sz w:val="20"/>
                <w:szCs w:val="20"/>
              </w:rPr>
              <w:t>CarbonNet progressed the OPEP based on the information provided.</w:t>
            </w:r>
          </w:p>
        </w:tc>
      </w:tr>
      <w:tr w:rsidR="00A70030" w:rsidRPr="00FF0808" w14:paraId="425DD59B" w14:textId="77777777" w:rsidTr="00891DE1">
        <w:tc>
          <w:tcPr>
            <w:tcW w:w="1427" w:type="dxa"/>
            <w:tcBorders>
              <w:top w:val="nil"/>
              <w:bottom w:val="nil"/>
            </w:tcBorders>
            <w:shd w:val="clear" w:color="auto" w:fill="auto"/>
          </w:tcPr>
          <w:p w14:paraId="54576B79" w14:textId="77777777" w:rsidR="00A70030" w:rsidRPr="00FF080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8C2D69A" w14:textId="77777777" w:rsidR="00A70030" w:rsidRPr="00FF0808" w:rsidRDefault="00A70030" w:rsidP="00073385">
            <w:pPr>
              <w:spacing w:before="60" w:after="60" w:line="240" w:lineRule="auto"/>
              <w:ind w:left="0"/>
              <w:rPr>
                <w:rFonts w:cs="Arial"/>
                <w:sz w:val="20"/>
                <w:szCs w:val="20"/>
              </w:rPr>
            </w:pPr>
          </w:p>
        </w:tc>
        <w:tc>
          <w:tcPr>
            <w:tcW w:w="1055" w:type="dxa"/>
          </w:tcPr>
          <w:p w14:paraId="25AFA87D" w14:textId="77777777" w:rsidR="00A70030" w:rsidRDefault="00A70030" w:rsidP="00073385">
            <w:pPr>
              <w:spacing w:before="60" w:after="60" w:line="240" w:lineRule="auto"/>
              <w:ind w:left="0"/>
              <w:rPr>
                <w:rFonts w:cs="Arial"/>
                <w:sz w:val="20"/>
                <w:szCs w:val="20"/>
              </w:rPr>
            </w:pPr>
            <w:r>
              <w:rPr>
                <w:rFonts w:cs="Arial"/>
                <w:sz w:val="20"/>
                <w:szCs w:val="20"/>
              </w:rPr>
              <w:t>7/8/17</w:t>
            </w:r>
          </w:p>
        </w:tc>
        <w:tc>
          <w:tcPr>
            <w:tcW w:w="6335" w:type="dxa"/>
            <w:shd w:val="clear" w:color="auto" w:fill="auto"/>
          </w:tcPr>
          <w:p w14:paraId="5EDF9561" w14:textId="77777777" w:rsidR="00A70030" w:rsidRPr="00C83C0E" w:rsidRDefault="00A70030" w:rsidP="00073385">
            <w:pPr>
              <w:spacing w:before="60" w:after="60" w:line="240" w:lineRule="auto"/>
              <w:ind w:left="0"/>
              <w:rPr>
                <w:rFonts w:cs="Arial"/>
                <w:sz w:val="20"/>
                <w:szCs w:val="20"/>
                <w:highlight w:val="yellow"/>
              </w:rPr>
            </w:pPr>
            <w:r w:rsidRPr="00B866A1">
              <w:rPr>
                <w:rFonts w:cs="Arial"/>
                <w:sz w:val="20"/>
                <w:szCs w:val="20"/>
              </w:rPr>
              <w:t xml:space="preserve">CarbonNet sent </w:t>
            </w:r>
            <w:r>
              <w:rPr>
                <w:rFonts w:cs="Arial"/>
                <w:sz w:val="20"/>
                <w:szCs w:val="20"/>
              </w:rPr>
              <w:t>Gippsland Ports</w:t>
            </w:r>
            <w:r w:rsidRPr="00B866A1">
              <w:rPr>
                <w:rFonts w:cs="Arial"/>
                <w:sz w:val="20"/>
                <w:szCs w:val="20"/>
              </w:rPr>
              <w:t xml:space="preserve"> an email advising that the operational area and duration of survey have now been refined, and that the EP will be submitted in mid-August.</w:t>
            </w:r>
          </w:p>
        </w:tc>
        <w:tc>
          <w:tcPr>
            <w:tcW w:w="3802" w:type="dxa"/>
            <w:shd w:val="clear" w:color="auto" w:fill="auto"/>
          </w:tcPr>
          <w:p w14:paraId="42729F80" w14:textId="49128378"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599DE1D" w14:textId="77777777" w:rsidTr="00891DE1">
        <w:tc>
          <w:tcPr>
            <w:tcW w:w="1427" w:type="dxa"/>
            <w:tcBorders>
              <w:top w:val="nil"/>
            </w:tcBorders>
            <w:shd w:val="clear" w:color="auto" w:fill="auto"/>
          </w:tcPr>
          <w:p w14:paraId="199BA3F3" w14:textId="77777777" w:rsidR="00A70030" w:rsidRPr="00FF0808" w:rsidRDefault="00A70030" w:rsidP="00073385">
            <w:pPr>
              <w:spacing w:before="60" w:after="60" w:line="240" w:lineRule="auto"/>
              <w:ind w:left="0"/>
              <w:rPr>
                <w:rFonts w:cs="Arial"/>
                <w:sz w:val="20"/>
                <w:szCs w:val="20"/>
              </w:rPr>
            </w:pPr>
          </w:p>
        </w:tc>
        <w:tc>
          <w:tcPr>
            <w:tcW w:w="1629" w:type="dxa"/>
            <w:tcBorders>
              <w:top w:val="nil"/>
            </w:tcBorders>
            <w:shd w:val="clear" w:color="auto" w:fill="auto"/>
          </w:tcPr>
          <w:p w14:paraId="02ED7354" w14:textId="77777777" w:rsidR="00A70030" w:rsidRPr="00FF0808" w:rsidRDefault="00A70030" w:rsidP="00073385">
            <w:pPr>
              <w:spacing w:before="60" w:after="60" w:line="240" w:lineRule="auto"/>
              <w:ind w:left="0"/>
              <w:rPr>
                <w:rFonts w:cs="Arial"/>
                <w:sz w:val="20"/>
                <w:szCs w:val="20"/>
              </w:rPr>
            </w:pPr>
          </w:p>
        </w:tc>
        <w:tc>
          <w:tcPr>
            <w:tcW w:w="1055" w:type="dxa"/>
          </w:tcPr>
          <w:p w14:paraId="6A6E0D05" w14:textId="01D04F0B"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1AF658CE" w14:textId="2F7500B6" w:rsidR="00A70030" w:rsidRPr="00B866A1" w:rsidRDefault="00A70030" w:rsidP="00073385">
            <w:pPr>
              <w:spacing w:before="60" w:after="60" w:line="240" w:lineRule="auto"/>
              <w:ind w:left="0"/>
              <w:rPr>
                <w:rFonts w:cs="Arial"/>
                <w:sz w:val="20"/>
                <w:szCs w:val="20"/>
              </w:rPr>
            </w:pPr>
            <w:r>
              <w:rPr>
                <w:rFonts w:cs="Arial"/>
                <w:sz w:val="20"/>
                <w:szCs w:val="20"/>
              </w:rPr>
              <w:t xml:space="preserve">CarbonNet emailed stakeholders to advise the EP was submitted on 18 August. CarbonNet provided links to the NOPSEMA website for </w:t>
            </w:r>
            <w:r>
              <w:rPr>
                <w:rFonts w:cs="Arial"/>
                <w:sz w:val="20"/>
                <w:szCs w:val="20"/>
              </w:rPr>
              <w:lastRenderedPageBreak/>
              <w:t>stakeholders to subscribe to updates, and committed to provide a revised fact sheet once a survey vessel has been contracted.</w:t>
            </w:r>
          </w:p>
        </w:tc>
        <w:tc>
          <w:tcPr>
            <w:tcW w:w="3802" w:type="dxa"/>
            <w:shd w:val="clear" w:color="auto" w:fill="auto"/>
          </w:tcPr>
          <w:p w14:paraId="77B99519" w14:textId="36A903F0" w:rsidR="00A70030" w:rsidRDefault="00A70030" w:rsidP="00073385">
            <w:pPr>
              <w:spacing w:before="60" w:after="60" w:line="240" w:lineRule="auto"/>
              <w:ind w:left="0"/>
              <w:rPr>
                <w:rFonts w:cs="Arial"/>
                <w:sz w:val="20"/>
                <w:szCs w:val="20"/>
              </w:rPr>
            </w:pPr>
            <w:r>
              <w:rPr>
                <w:rFonts w:cs="Arial"/>
                <w:sz w:val="20"/>
                <w:szCs w:val="20"/>
              </w:rPr>
              <w:lastRenderedPageBreak/>
              <w:t>N/A</w:t>
            </w:r>
          </w:p>
        </w:tc>
      </w:tr>
      <w:tr w:rsidR="00A70030" w:rsidRPr="00FF0808" w14:paraId="4198D2FA" w14:textId="77777777" w:rsidTr="00077C5F">
        <w:tc>
          <w:tcPr>
            <w:tcW w:w="1427" w:type="dxa"/>
            <w:vMerge w:val="restart"/>
            <w:shd w:val="clear" w:color="auto" w:fill="auto"/>
          </w:tcPr>
          <w:p w14:paraId="03453F03" w14:textId="77777777" w:rsidR="00A70030" w:rsidRPr="00FF0808" w:rsidRDefault="00A70030" w:rsidP="00073385">
            <w:pPr>
              <w:spacing w:before="60" w:after="60" w:line="240" w:lineRule="auto"/>
              <w:ind w:left="0"/>
              <w:rPr>
                <w:rFonts w:cs="Arial"/>
                <w:sz w:val="20"/>
                <w:szCs w:val="20"/>
              </w:rPr>
            </w:pPr>
            <w:r>
              <w:rPr>
                <w:rFonts w:cs="Arial"/>
                <w:sz w:val="20"/>
                <w:szCs w:val="20"/>
              </w:rPr>
              <w:t>Lakes Entrance Coast Guard</w:t>
            </w:r>
          </w:p>
        </w:tc>
        <w:tc>
          <w:tcPr>
            <w:tcW w:w="1629" w:type="dxa"/>
            <w:vMerge w:val="restart"/>
            <w:shd w:val="clear" w:color="auto" w:fill="auto"/>
          </w:tcPr>
          <w:p w14:paraId="128F0872" w14:textId="77777777" w:rsidR="00A70030" w:rsidRPr="00FF0808" w:rsidRDefault="00A70030" w:rsidP="00073385">
            <w:pPr>
              <w:spacing w:before="60" w:after="60" w:line="240" w:lineRule="auto"/>
              <w:ind w:left="0"/>
              <w:rPr>
                <w:rFonts w:cs="Arial"/>
                <w:sz w:val="20"/>
                <w:szCs w:val="20"/>
              </w:rPr>
            </w:pPr>
            <w:r>
              <w:rPr>
                <w:rFonts w:cs="Arial"/>
                <w:sz w:val="20"/>
                <w:szCs w:val="20"/>
              </w:rPr>
              <w:t>Could be called upon in an emergency</w:t>
            </w:r>
          </w:p>
        </w:tc>
        <w:tc>
          <w:tcPr>
            <w:tcW w:w="1055" w:type="dxa"/>
          </w:tcPr>
          <w:p w14:paraId="1443B34B" w14:textId="77777777" w:rsidR="00A70030" w:rsidRPr="00FF0808" w:rsidRDefault="00A70030"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0441FF5E" w14:textId="77777777" w:rsidR="00A70030" w:rsidRPr="00FF0808" w:rsidRDefault="00A70030" w:rsidP="00073385">
            <w:pPr>
              <w:spacing w:before="60" w:after="60" w:line="240" w:lineRule="auto"/>
              <w:ind w:left="0"/>
              <w:rPr>
                <w:rFonts w:cs="Arial"/>
                <w:sz w:val="20"/>
                <w:szCs w:val="20"/>
              </w:rPr>
            </w:pPr>
            <w:r>
              <w:rPr>
                <w:rFonts w:cs="Arial"/>
                <w:sz w:val="20"/>
                <w:szCs w:val="20"/>
              </w:rPr>
              <w:t>CarbonNet contacted Lakes Entrance Coast Guard via post with a letter that invited feedback and provided a fact sheet .</w:t>
            </w:r>
          </w:p>
        </w:tc>
        <w:tc>
          <w:tcPr>
            <w:tcW w:w="3802" w:type="dxa"/>
            <w:shd w:val="clear" w:color="auto" w:fill="auto"/>
          </w:tcPr>
          <w:p w14:paraId="72EE78AF" w14:textId="62A769D4" w:rsidR="00A70030" w:rsidRPr="00FF0808"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368CE3F3" w14:textId="77777777" w:rsidTr="0024586D">
        <w:tc>
          <w:tcPr>
            <w:tcW w:w="1427" w:type="dxa"/>
            <w:vMerge/>
            <w:tcBorders>
              <w:bottom w:val="nil"/>
            </w:tcBorders>
            <w:shd w:val="clear" w:color="auto" w:fill="auto"/>
          </w:tcPr>
          <w:p w14:paraId="1EE28EF9" w14:textId="77777777" w:rsidR="00A70030" w:rsidRPr="00FF0808"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7493AB3D" w14:textId="77777777" w:rsidR="00A70030" w:rsidRPr="00FF0808" w:rsidRDefault="00A70030" w:rsidP="00073385">
            <w:pPr>
              <w:spacing w:before="60" w:after="60" w:line="240" w:lineRule="auto"/>
              <w:ind w:left="0"/>
              <w:rPr>
                <w:rFonts w:cs="Arial"/>
                <w:sz w:val="20"/>
                <w:szCs w:val="20"/>
              </w:rPr>
            </w:pPr>
          </w:p>
        </w:tc>
        <w:tc>
          <w:tcPr>
            <w:tcW w:w="1055" w:type="dxa"/>
          </w:tcPr>
          <w:p w14:paraId="601D399F" w14:textId="77777777" w:rsidR="00A70030" w:rsidRPr="00FF0808" w:rsidRDefault="00A70030" w:rsidP="00073385">
            <w:pPr>
              <w:spacing w:before="60" w:after="60" w:line="240" w:lineRule="auto"/>
              <w:ind w:left="0"/>
              <w:rPr>
                <w:rFonts w:cs="Arial"/>
                <w:sz w:val="20"/>
                <w:szCs w:val="20"/>
              </w:rPr>
            </w:pPr>
            <w:r>
              <w:rPr>
                <w:rFonts w:cs="Arial"/>
                <w:sz w:val="20"/>
                <w:szCs w:val="20"/>
              </w:rPr>
              <w:t>6/4/17</w:t>
            </w:r>
          </w:p>
        </w:tc>
        <w:tc>
          <w:tcPr>
            <w:tcW w:w="6335" w:type="dxa"/>
            <w:shd w:val="clear" w:color="auto" w:fill="auto"/>
          </w:tcPr>
          <w:p w14:paraId="5C386958" w14:textId="77777777" w:rsidR="00A70030" w:rsidRPr="00FF0808" w:rsidRDefault="00A70030" w:rsidP="00073385">
            <w:pPr>
              <w:spacing w:before="60" w:after="60" w:line="240" w:lineRule="auto"/>
              <w:ind w:left="0"/>
              <w:rPr>
                <w:rFonts w:cs="Arial"/>
                <w:sz w:val="20"/>
                <w:szCs w:val="20"/>
              </w:rPr>
            </w:pPr>
            <w:r>
              <w:rPr>
                <w:rFonts w:cs="Arial"/>
                <w:sz w:val="20"/>
                <w:szCs w:val="20"/>
              </w:rPr>
              <w:t>CarbonNet attemped to call to follow up but no answer. Sent an email via the Coast Guard website to check whether letter was received.</w:t>
            </w:r>
          </w:p>
        </w:tc>
        <w:tc>
          <w:tcPr>
            <w:tcW w:w="3802" w:type="dxa"/>
            <w:shd w:val="clear" w:color="auto" w:fill="auto"/>
          </w:tcPr>
          <w:p w14:paraId="7B2E33F9" w14:textId="4B93C7D3" w:rsidR="00A70030" w:rsidRPr="00FF0808"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44ABBCB" w14:textId="77777777" w:rsidTr="0024586D">
        <w:tc>
          <w:tcPr>
            <w:tcW w:w="1427" w:type="dxa"/>
            <w:tcBorders>
              <w:top w:val="nil"/>
              <w:bottom w:val="nil"/>
            </w:tcBorders>
            <w:shd w:val="clear" w:color="auto" w:fill="auto"/>
          </w:tcPr>
          <w:p w14:paraId="5611AAEE" w14:textId="77777777" w:rsidR="00A70030" w:rsidRPr="00FF080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ED75B80" w14:textId="77777777" w:rsidR="00A70030" w:rsidRPr="00FF0808" w:rsidRDefault="00A70030" w:rsidP="00073385">
            <w:pPr>
              <w:spacing w:before="60" w:after="60" w:line="240" w:lineRule="auto"/>
              <w:ind w:left="0"/>
              <w:rPr>
                <w:rFonts w:cs="Arial"/>
                <w:sz w:val="20"/>
                <w:szCs w:val="20"/>
              </w:rPr>
            </w:pPr>
          </w:p>
        </w:tc>
        <w:tc>
          <w:tcPr>
            <w:tcW w:w="1055" w:type="dxa"/>
          </w:tcPr>
          <w:p w14:paraId="26DE450C" w14:textId="77777777" w:rsidR="00A70030" w:rsidRDefault="00A70030" w:rsidP="00073385">
            <w:pPr>
              <w:spacing w:before="60" w:after="60" w:line="240" w:lineRule="auto"/>
              <w:ind w:left="0"/>
              <w:rPr>
                <w:rFonts w:cs="Arial"/>
                <w:sz w:val="20"/>
                <w:szCs w:val="20"/>
              </w:rPr>
            </w:pPr>
            <w:r>
              <w:rPr>
                <w:rFonts w:cs="Arial"/>
                <w:sz w:val="20"/>
                <w:szCs w:val="20"/>
              </w:rPr>
              <w:t>11/5/17</w:t>
            </w:r>
          </w:p>
        </w:tc>
        <w:tc>
          <w:tcPr>
            <w:tcW w:w="6335" w:type="dxa"/>
            <w:shd w:val="clear" w:color="auto" w:fill="auto"/>
          </w:tcPr>
          <w:p w14:paraId="380BA777" w14:textId="77777777" w:rsidR="00A70030" w:rsidRDefault="00A70030" w:rsidP="00073385">
            <w:pPr>
              <w:spacing w:before="60" w:after="60" w:line="240" w:lineRule="auto"/>
              <w:ind w:left="0"/>
              <w:rPr>
                <w:rFonts w:cs="Arial"/>
                <w:sz w:val="20"/>
                <w:szCs w:val="20"/>
              </w:rPr>
            </w:pPr>
            <w:r>
              <w:rPr>
                <w:rFonts w:cs="Arial"/>
                <w:sz w:val="20"/>
                <w:szCs w:val="20"/>
              </w:rPr>
              <w:t xml:space="preserve">CarbonNet spoke to Lakes Entrance Coast Guard to confirm information was received and how to communicate with them going forward. </w:t>
            </w:r>
          </w:p>
          <w:p w14:paraId="32244C5C" w14:textId="77777777" w:rsidR="00A70030" w:rsidRPr="00F14C60" w:rsidRDefault="00A70030" w:rsidP="00073385">
            <w:pPr>
              <w:spacing w:before="60" w:after="60" w:line="240" w:lineRule="auto"/>
              <w:ind w:left="0"/>
              <w:rPr>
                <w:rFonts w:cs="Arial"/>
                <w:sz w:val="20"/>
                <w:szCs w:val="20"/>
              </w:rPr>
            </w:pPr>
            <w:r>
              <w:rPr>
                <w:rFonts w:cs="Arial"/>
                <w:sz w:val="20"/>
                <w:szCs w:val="20"/>
              </w:rPr>
              <w:t xml:space="preserve">They have </w:t>
            </w:r>
            <w:r w:rsidRPr="00F14C60">
              <w:rPr>
                <w:rFonts w:cs="Arial"/>
                <w:sz w:val="20"/>
                <w:szCs w:val="20"/>
              </w:rPr>
              <w:t xml:space="preserve">received information and have no questions </w:t>
            </w:r>
          </w:p>
          <w:p w14:paraId="35922DE1" w14:textId="77777777" w:rsidR="00A70030" w:rsidRPr="00F14C60" w:rsidRDefault="00A70030" w:rsidP="00073385">
            <w:pPr>
              <w:spacing w:before="60" w:after="60" w:line="240" w:lineRule="auto"/>
              <w:ind w:left="0"/>
              <w:rPr>
                <w:rFonts w:cs="Arial"/>
                <w:sz w:val="20"/>
                <w:szCs w:val="20"/>
              </w:rPr>
            </w:pPr>
            <w:r>
              <w:rPr>
                <w:rFonts w:cs="Arial"/>
                <w:sz w:val="20"/>
                <w:szCs w:val="20"/>
              </w:rPr>
              <w:t xml:space="preserve">The </w:t>
            </w:r>
            <w:r w:rsidRPr="00F14C60">
              <w:rPr>
                <w:rFonts w:cs="Arial"/>
                <w:sz w:val="20"/>
                <w:szCs w:val="20"/>
              </w:rPr>
              <w:t>Lakes Entrance Coast Guard area goes down to Seaspray and overlaps the Port Albert Coast Guard</w:t>
            </w:r>
            <w:r>
              <w:rPr>
                <w:rFonts w:cs="Arial"/>
                <w:sz w:val="20"/>
                <w:szCs w:val="20"/>
              </w:rPr>
              <w:t xml:space="preserve">. </w:t>
            </w:r>
          </w:p>
          <w:p w14:paraId="43F6DD04" w14:textId="77777777" w:rsidR="00A70030" w:rsidRDefault="00A70030" w:rsidP="00073385">
            <w:pPr>
              <w:spacing w:before="60" w:after="60" w:line="240" w:lineRule="auto"/>
              <w:ind w:left="0"/>
              <w:rPr>
                <w:rFonts w:cs="Arial"/>
                <w:sz w:val="20"/>
                <w:szCs w:val="20"/>
              </w:rPr>
            </w:pPr>
            <w:r>
              <w:rPr>
                <w:rFonts w:cs="Arial"/>
                <w:sz w:val="20"/>
                <w:szCs w:val="20"/>
              </w:rPr>
              <w:t xml:space="preserve">The </w:t>
            </w:r>
            <w:r w:rsidRPr="00F14C60">
              <w:rPr>
                <w:rFonts w:cs="Arial"/>
                <w:sz w:val="20"/>
                <w:szCs w:val="20"/>
              </w:rPr>
              <w:t>Coast Guard gets tasked through Gippsland Water Police, so moving forward they are the primary contact</w:t>
            </w:r>
            <w:r>
              <w:rPr>
                <w:rFonts w:cs="Arial"/>
                <w:sz w:val="20"/>
                <w:szCs w:val="20"/>
              </w:rPr>
              <w:t>.</w:t>
            </w:r>
          </w:p>
          <w:p w14:paraId="7089B8D8" w14:textId="77777777" w:rsidR="00A70030" w:rsidRDefault="00A70030" w:rsidP="00073385">
            <w:pPr>
              <w:spacing w:before="60" w:after="60" w:line="240" w:lineRule="auto"/>
              <w:ind w:left="0"/>
              <w:rPr>
                <w:rFonts w:cs="Arial"/>
                <w:sz w:val="20"/>
                <w:szCs w:val="20"/>
              </w:rPr>
            </w:pPr>
            <w:r w:rsidRPr="00F14C60">
              <w:rPr>
                <w:rFonts w:cs="Arial"/>
                <w:sz w:val="20"/>
                <w:szCs w:val="20"/>
              </w:rPr>
              <w:t xml:space="preserve">However keep </w:t>
            </w:r>
            <w:r>
              <w:rPr>
                <w:rFonts w:cs="Arial"/>
                <w:sz w:val="20"/>
                <w:szCs w:val="20"/>
              </w:rPr>
              <w:t xml:space="preserve">Lakes Entrance </w:t>
            </w:r>
            <w:r w:rsidRPr="00F14C60">
              <w:rPr>
                <w:rFonts w:cs="Arial"/>
                <w:sz w:val="20"/>
                <w:szCs w:val="20"/>
              </w:rPr>
              <w:t>Coast Guard on email list for notifications.</w:t>
            </w:r>
          </w:p>
        </w:tc>
        <w:tc>
          <w:tcPr>
            <w:tcW w:w="3802" w:type="dxa"/>
            <w:shd w:val="clear" w:color="auto" w:fill="auto"/>
          </w:tcPr>
          <w:p w14:paraId="6E8520DD" w14:textId="77777777" w:rsidR="00A70030" w:rsidRPr="00FF0808" w:rsidRDefault="00A70030" w:rsidP="00073385">
            <w:pPr>
              <w:spacing w:before="60" w:after="60" w:line="240" w:lineRule="auto"/>
              <w:ind w:left="0"/>
              <w:rPr>
                <w:rFonts w:cs="Arial"/>
                <w:sz w:val="20"/>
                <w:szCs w:val="20"/>
              </w:rPr>
            </w:pPr>
            <w:r>
              <w:rPr>
                <w:rFonts w:cs="Arial"/>
                <w:sz w:val="20"/>
                <w:szCs w:val="20"/>
              </w:rPr>
              <w:t>CarbonNet thanked Lakes Entrance Coast Guard for discussion and will communicate with Gippsland Water Police in the first instance and keep Coast Guard on email notification list for updates.</w:t>
            </w:r>
          </w:p>
        </w:tc>
      </w:tr>
      <w:tr w:rsidR="00A70030" w:rsidRPr="00FF0808" w14:paraId="5FB0F760" w14:textId="77777777" w:rsidTr="00891DE1">
        <w:tc>
          <w:tcPr>
            <w:tcW w:w="1427" w:type="dxa"/>
            <w:tcBorders>
              <w:top w:val="nil"/>
              <w:bottom w:val="nil"/>
            </w:tcBorders>
            <w:shd w:val="clear" w:color="auto" w:fill="auto"/>
          </w:tcPr>
          <w:p w14:paraId="421317D0" w14:textId="77777777" w:rsidR="00A70030" w:rsidRPr="00FF0808"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18561D3" w14:textId="77777777" w:rsidR="00A70030" w:rsidRPr="00FF0808" w:rsidRDefault="00A70030" w:rsidP="00073385">
            <w:pPr>
              <w:spacing w:before="60" w:after="60" w:line="240" w:lineRule="auto"/>
              <w:ind w:left="0"/>
              <w:rPr>
                <w:rFonts w:cs="Arial"/>
                <w:sz w:val="20"/>
                <w:szCs w:val="20"/>
              </w:rPr>
            </w:pPr>
          </w:p>
        </w:tc>
        <w:tc>
          <w:tcPr>
            <w:tcW w:w="1055" w:type="dxa"/>
          </w:tcPr>
          <w:p w14:paraId="2506BEA2" w14:textId="77777777" w:rsidR="00A70030" w:rsidRDefault="00A70030" w:rsidP="00073385">
            <w:pPr>
              <w:spacing w:before="60" w:after="60" w:line="240" w:lineRule="auto"/>
              <w:ind w:left="0"/>
              <w:rPr>
                <w:rFonts w:cs="Arial"/>
                <w:sz w:val="20"/>
                <w:szCs w:val="20"/>
              </w:rPr>
            </w:pPr>
            <w:r>
              <w:rPr>
                <w:rFonts w:cs="Arial"/>
                <w:sz w:val="20"/>
                <w:szCs w:val="20"/>
              </w:rPr>
              <w:t>7/8/17</w:t>
            </w:r>
          </w:p>
        </w:tc>
        <w:tc>
          <w:tcPr>
            <w:tcW w:w="6335" w:type="dxa"/>
            <w:shd w:val="clear" w:color="auto" w:fill="auto"/>
          </w:tcPr>
          <w:p w14:paraId="0ECC24BF" w14:textId="77777777" w:rsidR="00A70030" w:rsidRPr="00A73CBA" w:rsidRDefault="00A70030" w:rsidP="00073385">
            <w:pPr>
              <w:spacing w:before="60" w:after="60" w:line="240" w:lineRule="auto"/>
              <w:ind w:left="0"/>
              <w:rPr>
                <w:rFonts w:cs="Arial"/>
                <w:sz w:val="20"/>
                <w:szCs w:val="20"/>
              </w:rPr>
            </w:pPr>
            <w:r w:rsidRPr="00A73CBA">
              <w:rPr>
                <w:rFonts w:cs="Arial"/>
                <w:sz w:val="20"/>
                <w:szCs w:val="20"/>
              </w:rPr>
              <w:t xml:space="preserve">CarbonNet emailed </w:t>
            </w:r>
            <w:r>
              <w:rPr>
                <w:rFonts w:cs="Arial"/>
                <w:sz w:val="20"/>
                <w:szCs w:val="20"/>
              </w:rPr>
              <w:t xml:space="preserve">Lakes Entrance Coast Guard </w:t>
            </w:r>
            <w:r w:rsidRPr="00A73CBA">
              <w:rPr>
                <w:rFonts w:cs="Arial"/>
                <w:sz w:val="20"/>
                <w:szCs w:val="20"/>
              </w:rPr>
              <w:t xml:space="preserve">advising that </w:t>
            </w:r>
            <w:r>
              <w:rPr>
                <w:rFonts w:cs="Arial"/>
                <w:sz w:val="20"/>
                <w:szCs w:val="20"/>
              </w:rPr>
              <w:t xml:space="preserve">the operational </w:t>
            </w:r>
            <w:r w:rsidRPr="00A73CBA">
              <w:rPr>
                <w:rFonts w:cs="Arial"/>
                <w:sz w:val="20"/>
                <w:szCs w:val="20"/>
              </w:rPr>
              <w:t xml:space="preserve">area and duration of survey have now been refined, and advising </w:t>
            </w:r>
            <w:r>
              <w:rPr>
                <w:rFonts w:cs="Arial"/>
                <w:sz w:val="20"/>
                <w:szCs w:val="20"/>
              </w:rPr>
              <w:t>CarbonNet</w:t>
            </w:r>
            <w:r w:rsidRPr="00A73CBA">
              <w:rPr>
                <w:rFonts w:cs="Arial"/>
                <w:sz w:val="20"/>
                <w:szCs w:val="20"/>
              </w:rPr>
              <w:t xml:space="preserve"> will submit EP in mid-August.</w:t>
            </w:r>
          </w:p>
          <w:p w14:paraId="48AA6956" w14:textId="77777777" w:rsidR="00A70030" w:rsidRPr="00A73CBA" w:rsidRDefault="00A70030" w:rsidP="00073385">
            <w:pPr>
              <w:spacing w:before="60" w:after="60" w:line="240" w:lineRule="auto"/>
              <w:ind w:left="0"/>
              <w:rPr>
                <w:rFonts w:cs="Arial"/>
                <w:sz w:val="20"/>
                <w:szCs w:val="20"/>
              </w:rPr>
            </w:pPr>
          </w:p>
          <w:p w14:paraId="4C97D9B0" w14:textId="77777777" w:rsidR="00A70030" w:rsidRPr="00A73CBA" w:rsidRDefault="00A70030" w:rsidP="00073385">
            <w:pPr>
              <w:spacing w:before="60" w:after="60" w:line="240" w:lineRule="auto"/>
              <w:ind w:left="0"/>
              <w:rPr>
                <w:rFonts w:cs="Arial"/>
                <w:sz w:val="20"/>
                <w:szCs w:val="20"/>
              </w:rPr>
            </w:pPr>
            <w:r w:rsidRPr="00A73CBA">
              <w:rPr>
                <w:rFonts w:cs="Arial"/>
                <w:sz w:val="20"/>
                <w:szCs w:val="20"/>
              </w:rPr>
              <w:t>The email explained that the survey area is now larger due to vessel turns, and provided map with amended operational area, and acquisition area (which is unchanged).</w:t>
            </w:r>
          </w:p>
          <w:p w14:paraId="7F65D35F" w14:textId="77777777" w:rsidR="00A70030" w:rsidRDefault="00A70030" w:rsidP="00073385">
            <w:pPr>
              <w:spacing w:before="60" w:after="60" w:line="240" w:lineRule="auto"/>
              <w:ind w:left="0"/>
              <w:rPr>
                <w:rFonts w:cs="Arial"/>
                <w:sz w:val="20"/>
                <w:szCs w:val="20"/>
              </w:rPr>
            </w:pPr>
            <w:r w:rsidRPr="00A73CBA">
              <w:rPr>
                <w:rFonts w:cs="Arial"/>
                <w:sz w:val="20"/>
                <w:szCs w:val="20"/>
              </w:rPr>
              <w:t>The survey duration is likely to be 13-16 days but could be up to 27 days depending on final vessel selection.</w:t>
            </w:r>
          </w:p>
          <w:p w14:paraId="78871FC8" w14:textId="77777777" w:rsidR="00A70030" w:rsidRDefault="00A70030" w:rsidP="00073385">
            <w:pPr>
              <w:spacing w:before="60" w:after="60" w:line="240" w:lineRule="auto"/>
              <w:ind w:left="0"/>
              <w:rPr>
                <w:rFonts w:cs="Arial"/>
                <w:sz w:val="20"/>
                <w:szCs w:val="20"/>
              </w:rPr>
            </w:pPr>
          </w:p>
        </w:tc>
        <w:tc>
          <w:tcPr>
            <w:tcW w:w="3802" w:type="dxa"/>
            <w:shd w:val="clear" w:color="auto" w:fill="auto"/>
          </w:tcPr>
          <w:p w14:paraId="72DB3C9B" w14:textId="77777777" w:rsidR="00A70030" w:rsidRDefault="00A70030" w:rsidP="00073385">
            <w:pPr>
              <w:spacing w:before="60" w:after="60" w:line="240" w:lineRule="auto"/>
              <w:ind w:left="0"/>
              <w:rPr>
                <w:rFonts w:cs="Arial"/>
                <w:sz w:val="20"/>
                <w:szCs w:val="20"/>
              </w:rPr>
            </w:pPr>
            <w:r>
              <w:rPr>
                <w:rFonts w:cs="Arial"/>
                <w:sz w:val="20"/>
                <w:szCs w:val="20"/>
              </w:rPr>
              <w:t>No response received.</w:t>
            </w:r>
          </w:p>
        </w:tc>
      </w:tr>
      <w:tr w:rsidR="00A70030" w:rsidRPr="00FF0808" w14:paraId="00490368" w14:textId="77777777" w:rsidTr="0024586D">
        <w:tc>
          <w:tcPr>
            <w:tcW w:w="1427" w:type="dxa"/>
            <w:tcBorders>
              <w:top w:val="nil"/>
            </w:tcBorders>
            <w:shd w:val="clear" w:color="auto" w:fill="auto"/>
          </w:tcPr>
          <w:p w14:paraId="3812B4CF" w14:textId="77777777" w:rsidR="00A70030" w:rsidRPr="00FF0808" w:rsidRDefault="00A70030" w:rsidP="00073385">
            <w:pPr>
              <w:spacing w:before="60" w:after="60" w:line="240" w:lineRule="auto"/>
              <w:ind w:left="0"/>
              <w:rPr>
                <w:rFonts w:cs="Arial"/>
                <w:sz w:val="20"/>
                <w:szCs w:val="20"/>
              </w:rPr>
            </w:pPr>
          </w:p>
        </w:tc>
        <w:tc>
          <w:tcPr>
            <w:tcW w:w="1629" w:type="dxa"/>
            <w:tcBorders>
              <w:top w:val="nil"/>
            </w:tcBorders>
            <w:shd w:val="clear" w:color="auto" w:fill="auto"/>
          </w:tcPr>
          <w:p w14:paraId="40AF3DDE" w14:textId="77777777" w:rsidR="00A70030" w:rsidRPr="00FF0808" w:rsidRDefault="00A70030" w:rsidP="00073385">
            <w:pPr>
              <w:spacing w:before="60" w:after="60" w:line="240" w:lineRule="auto"/>
              <w:ind w:left="0"/>
              <w:rPr>
                <w:rFonts w:cs="Arial"/>
                <w:sz w:val="20"/>
                <w:szCs w:val="20"/>
              </w:rPr>
            </w:pPr>
          </w:p>
        </w:tc>
        <w:tc>
          <w:tcPr>
            <w:tcW w:w="1055" w:type="dxa"/>
          </w:tcPr>
          <w:p w14:paraId="1DE5513B" w14:textId="295738FC"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016A0746" w14:textId="1231E428" w:rsidR="00A70030" w:rsidRPr="00A73CBA"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5BA5BCCE" w14:textId="1F0A8662"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497CBEBF" w14:textId="77777777" w:rsidTr="00077C5F">
        <w:tc>
          <w:tcPr>
            <w:tcW w:w="1427" w:type="dxa"/>
            <w:vMerge w:val="restart"/>
            <w:shd w:val="clear" w:color="auto" w:fill="auto"/>
          </w:tcPr>
          <w:p w14:paraId="230EFB76" w14:textId="77777777" w:rsidR="00A70030" w:rsidRPr="00FF0808" w:rsidRDefault="00A70030" w:rsidP="00073385">
            <w:pPr>
              <w:spacing w:before="60" w:after="60" w:line="240" w:lineRule="auto"/>
              <w:ind w:left="0"/>
              <w:rPr>
                <w:rFonts w:cs="Arial"/>
                <w:sz w:val="20"/>
                <w:szCs w:val="20"/>
              </w:rPr>
            </w:pPr>
            <w:r w:rsidRPr="008B77D8">
              <w:rPr>
                <w:rFonts w:cs="Arial"/>
                <w:sz w:val="20"/>
                <w:szCs w:val="20"/>
              </w:rPr>
              <w:lastRenderedPageBreak/>
              <w:t>Golden Paradise Beach Ratepayers Association</w:t>
            </w:r>
            <w:r>
              <w:rPr>
                <w:rFonts w:cs="Arial"/>
                <w:sz w:val="20"/>
                <w:szCs w:val="20"/>
              </w:rPr>
              <w:t xml:space="preserve"> (GPBRA)</w:t>
            </w:r>
          </w:p>
        </w:tc>
        <w:tc>
          <w:tcPr>
            <w:tcW w:w="1629" w:type="dxa"/>
            <w:vMerge w:val="restart"/>
            <w:shd w:val="clear" w:color="auto" w:fill="auto"/>
          </w:tcPr>
          <w:p w14:paraId="10D1B2B0" w14:textId="77777777" w:rsidR="00A70030" w:rsidRPr="00FF0808" w:rsidRDefault="00A70030" w:rsidP="00073385">
            <w:pPr>
              <w:spacing w:before="60" w:after="60" w:line="240" w:lineRule="auto"/>
              <w:ind w:left="0"/>
              <w:rPr>
                <w:rFonts w:cs="Arial"/>
                <w:sz w:val="20"/>
                <w:szCs w:val="20"/>
              </w:rPr>
            </w:pPr>
            <w:r>
              <w:rPr>
                <w:rFonts w:cs="Arial"/>
                <w:sz w:val="20"/>
                <w:szCs w:val="20"/>
              </w:rPr>
              <w:t>Representative group of local residents and holiday makers in Golden Beach community</w:t>
            </w:r>
          </w:p>
        </w:tc>
        <w:tc>
          <w:tcPr>
            <w:tcW w:w="1055" w:type="dxa"/>
          </w:tcPr>
          <w:p w14:paraId="57C0D517" w14:textId="77777777" w:rsidR="00A70030" w:rsidRDefault="00A70030"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1BBBB451" w14:textId="77777777" w:rsidR="00A70030" w:rsidRPr="00A73CBA" w:rsidRDefault="00A70030" w:rsidP="00073385">
            <w:pPr>
              <w:spacing w:before="60" w:after="60" w:line="240" w:lineRule="auto"/>
              <w:ind w:left="0"/>
              <w:rPr>
                <w:rFonts w:cs="Arial"/>
                <w:sz w:val="20"/>
                <w:szCs w:val="20"/>
              </w:rPr>
            </w:pPr>
            <w:r>
              <w:rPr>
                <w:rFonts w:cs="Arial"/>
                <w:sz w:val="20"/>
                <w:szCs w:val="20"/>
              </w:rPr>
              <w:t>CarbonNet contacted GPBRA via post with a letter that invited feedback and provided a fact sheet.</w:t>
            </w:r>
          </w:p>
        </w:tc>
        <w:tc>
          <w:tcPr>
            <w:tcW w:w="3802" w:type="dxa"/>
            <w:shd w:val="clear" w:color="auto" w:fill="auto"/>
          </w:tcPr>
          <w:p w14:paraId="0B013C8E" w14:textId="68C98134"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81027AB" w14:textId="77777777" w:rsidTr="00077C5F">
        <w:tc>
          <w:tcPr>
            <w:tcW w:w="1427" w:type="dxa"/>
            <w:vMerge/>
            <w:shd w:val="clear" w:color="auto" w:fill="auto"/>
          </w:tcPr>
          <w:p w14:paraId="51AE70D7" w14:textId="77777777" w:rsidR="00A70030" w:rsidRDefault="00A70030" w:rsidP="00073385">
            <w:pPr>
              <w:spacing w:before="60" w:after="60" w:line="240" w:lineRule="auto"/>
              <w:ind w:left="0"/>
              <w:rPr>
                <w:rFonts w:cs="Arial"/>
                <w:sz w:val="20"/>
                <w:szCs w:val="20"/>
              </w:rPr>
            </w:pPr>
          </w:p>
        </w:tc>
        <w:tc>
          <w:tcPr>
            <w:tcW w:w="1629" w:type="dxa"/>
            <w:vMerge/>
            <w:shd w:val="clear" w:color="auto" w:fill="auto"/>
          </w:tcPr>
          <w:p w14:paraId="2C2BBE93" w14:textId="77777777" w:rsidR="00A70030" w:rsidRPr="00FF0808" w:rsidRDefault="00A70030" w:rsidP="00073385">
            <w:pPr>
              <w:spacing w:before="60" w:after="60" w:line="240" w:lineRule="auto"/>
              <w:ind w:left="0"/>
              <w:rPr>
                <w:rFonts w:cs="Arial"/>
                <w:sz w:val="20"/>
                <w:szCs w:val="20"/>
              </w:rPr>
            </w:pPr>
          </w:p>
        </w:tc>
        <w:tc>
          <w:tcPr>
            <w:tcW w:w="1055" w:type="dxa"/>
          </w:tcPr>
          <w:p w14:paraId="253AD868" w14:textId="77777777" w:rsidR="00A70030" w:rsidRDefault="00A70030" w:rsidP="00073385">
            <w:pPr>
              <w:spacing w:before="60" w:after="60" w:line="240" w:lineRule="auto"/>
              <w:ind w:left="0"/>
              <w:rPr>
                <w:rFonts w:cs="Arial"/>
                <w:sz w:val="20"/>
                <w:szCs w:val="20"/>
              </w:rPr>
            </w:pPr>
            <w:r>
              <w:rPr>
                <w:rFonts w:cs="Arial"/>
                <w:sz w:val="20"/>
                <w:szCs w:val="20"/>
              </w:rPr>
              <w:t>18/5/17</w:t>
            </w:r>
          </w:p>
        </w:tc>
        <w:tc>
          <w:tcPr>
            <w:tcW w:w="6335" w:type="dxa"/>
            <w:shd w:val="clear" w:color="auto" w:fill="auto"/>
          </w:tcPr>
          <w:p w14:paraId="5D8CE0CD" w14:textId="77777777" w:rsidR="00A70030" w:rsidRPr="00A73CBA" w:rsidRDefault="00A70030" w:rsidP="00073385">
            <w:pPr>
              <w:spacing w:before="60" w:after="60" w:line="240" w:lineRule="auto"/>
              <w:ind w:left="0"/>
              <w:rPr>
                <w:rFonts w:cs="Arial"/>
                <w:sz w:val="20"/>
                <w:szCs w:val="20"/>
              </w:rPr>
            </w:pPr>
            <w:r>
              <w:rPr>
                <w:rFonts w:cs="Arial"/>
                <w:sz w:val="20"/>
                <w:szCs w:val="20"/>
              </w:rPr>
              <w:t>CarbonNet spoke to local real estate agent who is a committee member for the GPBRA. The contact information we have for the GPBRA is out of date so was not received. CarbonNet offered a meeting in Golden Beach on 23/5. They requested information be emailed to them and will call back with the email address as they didn’t have it on hand.</w:t>
            </w:r>
          </w:p>
        </w:tc>
        <w:tc>
          <w:tcPr>
            <w:tcW w:w="3802" w:type="dxa"/>
            <w:shd w:val="clear" w:color="auto" w:fill="auto"/>
          </w:tcPr>
          <w:p w14:paraId="0098FC35" w14:textId="5FDE28A1"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03E17D5B" w14:textId="77777777" w:rsidTr="0024586D">
        <w:tc>
          <w:tcPr>
            <w:tcW w:w="1427" w:type="dxa"/>
            <w:vMerge/>
            <w:tcBorders>
              <w:bottom w:val="nil"/>
            </w:tcBorders>
            <w:shd w:val="clear" w:color="auto" w:fill="auto"/>
          </w:tcPr>
          <w:p w14:paraId="6ECE7741" w14:textId="77777777" w:rsidR="00A70030" w:rsidRDefault="00A70030" w:rsidP="00073385">
            <w:pPr>
              <w:spacing w:before="60" w:after="60" w:line="240" w:lineRule="auto"/>
              <w:ind w:left="0"/>
              <w:rPr>
                <w:rFonts w:cs="Arial"/>
                <w:sz w:val="20"/>
                <w:szCs w:val="20"/>
              </w:rPr>
            </w:pPr>
          </w:p>
        </w:tc>
        <w:tc>
          <w:tcPr>
            <w:tcW w:w="1629" w:type="dxa"/>
            <w:vMerge/>
            <w:tcBorders>
              <w:bottom w:val="nil"/>
            </w:tcBorders>
            <w:shd w:val="clear" w:color="auto" w:fill="auto"/>
          </w:tcPr>
          <w:p w14:paraId="01C1DD6F" w14:textId="77777777" w:rsidR="00A70030" w:rsidRPr="00FF0808" w:rsidRDefault="00A70030" w:rsidP="00073385">
            <w:pPr>
              <w:spacing w:before="60" w:after="60" w:line="240" w:lineRule="auto"/>
              <w:ind w:left="0"/>
              <w:rPr>
                <w:rFonts w:cs="Arial"/>
                <w:sz w:val="20"/>
                <w:szCs w:val="20"/>
              </w:rPr>
            </w:pPr>
          </w:p>
        </w:tc>
        <w:tc>
          <w:tcPr>
            <w:tcW w:w="1055" w:type="dxa"/>
          </w:tcPr>
          <w:p w14:paraId="05589AE8" w14:textId="77777777" w:rsidR="00A70030" w:rsidRDefault="00A70030" w:rsidP="00073385">
            <w:pPr>
              <w:spacing w:before="60" w:after="60" w:line="240" w:lineRule="auto"/>
              <w:ind w:left="0"/>
              <w:rPr>
                <w:rFonts w:cs="Arial"/>
                <w:sz w:val="20"/>
                <w:szCs w:val="20"/>
              </w:rPr>
            </w:pPr>
            <w:r>
              <w:rPr>
                <w:rFonts w:cs="Arial"/>
                <w:sz w:val="20"/>
                <w:szCs w:val="20"/>
              </w:rPr>
              <w:t>22/5/17</w:t>
            </w:r>
          </w:p>
        </w:tc>
        <w:tc>
          <w:tcPr>
            <w:tcW w:w="6335" w:type="dxa"/>
            <w:shd w:val="clear" w:color="auto" w:fill="auto"/>
          </w:tcPr>
          <w:p w14:paraId="333B76DF" w14:textId="77777777" w:rsidR="00A70030" w:rsidRDefault="00A70030" w:rsidP="00073385">
            <w:pPr>
              <w:spacing w:before="60" w:after="60" w:line="240" w:lineRule="auto"/>
              <w:ind w:left="0"/>
              <w:rPr>
                <w:rFonts w:cs="Arial"/>
                <w:sz w:val="20"/>
                <w:szCs w:val="20"/>
              </w:rPr>
            </w:pPr>
            <w:r>
              <w:rPr>
                <w:rFonts w:cs="Arial"/>
                <w:sz w:val="20"/>
                <w:szCs w:val="20"/>
              </w:rPr>
              <w:t>CarbonNet spoke to real estate agent again to request the email address and schedule a meeting in Golden Beach on 23/5. GPBRA provided the email address and scheduled meeting at lunchtime when the GPBRA is holding a meeting at the Golden Beach Hall.</w:t>
            </w:r>
          </w:p>
        </w:tc>
        <w:tc>
          <w:tcPr>
            <w:tcW w:w="3802" w:type="dxa"/>
            <w:shd w:val="clear" w:color="auto" w:fill="auto"/>
          </w:tcPr>
          <w:p w14:paraId="0B4C2985" w14:textId="77777777" w:rsidR="00A70030" w:rsidRDefault="00A70030" w:rsidP="00073385">
            <w:pPr>
              <w:spacing w:before="60" w:after="60" w:line="240" w:lineRule="auto"/>
              <w:ind w:left="0"/>
              <w:rPr>
                <w:rFonts w:cs="Arial"/>
                <w:sz w:val="20"/>
                <w:szCs w:val="20"/>
              </w:rPr>
            </w:pPr>
            <w:r>
              <w:rPr>
                <w:rFonts w:cs="Arial"/>
                <w:sz w:val="20"/>
                <w:szCs w:val="20"/>
              </w:rPr>
              <w:t>CarbonNet sent fact sheet via email and made arrangements for meeting on 23/5.</w:t>
            </w:r>
          </w:p>
        </w:tc>
      </w:tr>
      <w:tr w:rsidR="00A70030" w:rsidRPr="00FF0808" w14:paraId="6ED7F1CE" w14:textId="77777777" w:rsidTr="0024586D">
        <w:tc>
          <w:tcPr>
            <w:tcW w:w="1427" w:type="dxa"/>
            <w:tcBorders>
              <w:top w:val="nil"/>
              <w:bottom w:val="nil"/>
            </w:tcBorders>
            <w:shd w:val="clear" w:color="auto" w:fill="auto"/>
          </w:tcPr>
          <w:p w14:paraId="7C92BBB6"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438230A" w14:textId="77777777" w:rsidR="00A70030" w:rsidRPr="00FF0808" w:rsidRDefault="00A70030" w:rsidP="00073385">
            <w:pPr>
              <w:spacing w:before="60" w:after="60" w:line="240" w:lineRule="auto"/>
              <w:ind w:left="0"/>
              <w:rPr>
                <w:rFonts w:cs="Arial"/>
                <w:sz w:val="20"/>
                <w:szCs w:val="20"/>
              </w:rPr>
            </w:pPr>
          </w:p>
        </w:tc>
        <w:tc>
          <w:tcPr>
            <w:tcW w:w="1055" w:type="dxa"/>
          </w:tcPr>
          <w:p w14:paraId="18A4FC18" w14:textId="77777777" w:rsidR="00A70030" w:rsidRDefault="00A70030" w:rsidP="00073385">
            <w:pPr>
              <w:spacing w:before="60" w:after="60" w:line="240" w:lineRule="auto"/>
              <w:ind w:left="0"/>
              <w:rPr>
                <w:rFonts w:cs="Arial"/>
                <w:sz w:val="20"/>
                <w:szCs w:val="20"/>
              </w:rPr>
            </w:pPr>
            <w:r>
              <w:rPr>
                <w:rFonts w:cs="Arial"/>
                <w:sz w:val="20"/>
                <w:szCs w:val="20"/>
              </w:rPr>
              <w:t>23/5/17</w:t>
            </w:r>
          </w:p>
        </w:tc>
        <w:tc>
          <w:tcPr>
            <w:tcW w:w="6335" w:type="dxa"/>
            <w:shd w:val="clear" w:color="auto" w:fill="auto"/>
          </w:tcPr>
          <w:p w14:paraId="0C67E6CF" w14:textId="77777777" w:rsidR="00A70030" w:rsidRDefault="00A70030" w:rsidP="00073385">
            <w:pPr>
              <w:spacing w:before="60" w:after="60" w:line="240" w:lineRule="auto"/>
              <w:ind w:left="0"/>
              <w:rPr>
                <w:rFonts w:cs="Arial"/>
                <w:sz w:val="20"/>
                <w:szCs w:val="20"/>
              </w:rPr>
            </w:pPr>
            <w:r>
              <w:rPr>
                <w:rFonts w:cs="Arial"/>
                <w:sz w:val="20"/>
                <w:szCs w:val="20"/>
              </w:rPr>
              <w:t>CarbonNet met with representatives of the GPBRA and p</w:t>
            </w:r>
            <w:r w:rsidRPr="00A73CBA">
              <w:rPr>
                <w:rFonts w:cs="Arial"/>
                <w:sz w:val="20"/>
                <w:szCs w:val="20"/>
              </w:rPr>
              <w:t xml:space="preserve">rovided </w:t>
            </w:r>
            <w:r>
              <w:rPr>
                <w:rFonts w:cs="Arial"/>
                <w:sz w:val="20"/>
                <w:szCs w:val="20"/>
              </w:rPr>
              <w:t xml:space="preserve">a </w:t>
            </w:r>
            <w:r w:rsidRPr="00A73CBA">
              <w:rPr>
                <w:rFonts w:cs="Arial"/>
                <w:sz w:val="20"/>
                <w:szCs w:val="20"/>
              </w:rPr>
              <w:t xml:space="preserve">CarbonNet project overview and discussed </w:t>
            </w:r>
            <w:r>
              <w:rPr>
                <w:rFonts w:cs="Arial"/>
                <w:sz w:val="20"/>
                <w:szCs w:val="20"/>
              </w:rPr>
              <w:t xml:space="preserve">the </w:t>
            </w:r>
            <w:r w:rsidRPr="00A73CBA">
              <w:rPr>
                <w:rFonts w:cs="Arial"/>
                <w:sz w:val="20"/>
                <w:szCs w:val="20"/>
              </w:rPr>
              <w:t>MSS</w:t>
            </w:r>
            <w:r>
              <w:rPr>
                <w:rFonts w:cs="Arial"/>
                <w:sz w:val="20"/>
                <w:szCs w:val="20"/>
              </w:rPr>
              <w:t>.</w:t>
            </w:r>
          </w:p>
          <w:p w14:paraId="04EADED1" w14:textId="77777777" w:rsidR="00A70030" w:rsidRDefault="00A70030" w:rsidP="00073385">
            <w:pPr>
              <w:spacing w:before="60" w:after="60" w:line="240" w:lineRule="auto"/>
              <w:ind w:left="0"/>
              <w:rPr>
                <w:rFonts w:cs="Arial"/>
                <w:sz w:val="20"/>
                <w:szCs w:val="20"/>
              </w:rPr>
            </w:pPr>
            <w:r>
              <w:rPr>
                <w:rFonts w:cs="Arial"/>
                <w:sz w:val="20"/>
                <w:szCs w:val="20"/>
              </w:rPr>
              <w:t>The GPBRA advised the following:</w:t>
            </w:r>
          </w:p>
          <w:p w14:paraId="41729C1E" w14:textId="77777777" w:rsidR="00A70030" w:rsidRPr="00C83C0E" w:rsidRDefault="00A70030" w:rsidP="00073385">
            <w:pPr>
              <w:pStyle w:val="ListParagraph0"/>
              <w:numPr>
                <w:ilvl w:val="0"/>
                <w:numId w:val="501"/>
              </w:numPr>
              <w:spacing w:before="60" w:after="60" w:line="240" w:lineRule="auto"/>
              <w:rPr>
                <w:rFonts w:cs="Arial"/>
                <w:sz w:val="20"/>
                <w:szCs w:val="20"/>
              </w:rPr>
            </w:pPr>
            <w:r>
              <w:rPr>
                <w:rFonts w:cs="Arial"/>
                <w:sz w:val="20"/>
                <w:szCs w:val="20"/>
              </w:rPr>
              <w:t xml:space="preserve">There are two fishing competitions in Golden Beach on Australia Day weekend and Easter weekend. </w:t>
            </w:r>
          </w:p>
          <w:p w14:paraId="64DBFA78" w14:textId="77777777" w:rsidR="00A70030" w:rsidRPr="00C83C0E" w:rsidRDefault="00A70030" w:rsidP="00073385">
            <w:pPr>
              <w:pStyle w:val="ListParagraph0"/>
              <w:numPr>
                <w:ilvl w:val="0"/>
                <w:numId w:val="501"/>
              </w:numPr>
              <w:spacing w:before="60" w:after="60" w:line="240" w:lineRule="auto"/>
              <w:rPr>
                <w:rFonts w:cs="Arial"/>
                <w:sz w:val="20"/>
                <w:szCs w:val="20"/>
              </w:rPr>
            </w:pPr>
            <w:r>
              <w:rPr>
                <w:rFonts w:cs="Arial"/>
                <w:sz w:val="20"/>
                <w:szCs w:val="20"/>
              </w:rPr>
              <w:t xml:space="preserve">Golden Beach </w:t>
            </w:r>
            <w:r w:rsidRPr="00C83C0E">
              <w:rPr>
                <w:rFonts w:cs="Arial"/>
                <w:sz w:val="20"/>
                <w:szCs w:val="20"/>
              </w:rPr>
              <w:t xml:space="preserve">is </w:t>
            </w:r>
            <w:r>
              <w:rPr>
                <w:rFonts w:cs="Arial"/>
                <w:sz w:val="20"/>
                <w:szCs w:val="20"/>
              </w:rPr>
              <w:t>very busy</w:t>
            </w:r>
            <w:r w:rsidRPr="00C83C0E">
              <w:rPr>
                <w:rFonts w:cs="Arial"/>
                <w:sz w:val="20"/>
                <w:szCs w:val="20"/>
              </w:rPr>
              <w:t xml:space="preserve"> </w:t>
            </w:r>
            <w:r>
              <w:rPr>
                <w:rFonts w:cs="Arial"/>
                <w:sz w:val="20"/>
                <w:szCs w:val="20"/>
              </w:rPr>
              <w:t xml:space="preserve">with tourists </w:t>
            </w:r>
            <w:r w:rsidRPr="00C83C0E">
              <w:rPr>
                <w:rFonts w:cs="Arial"/>
                <w:sz w:val="20"/>
                <w:szCs w:val="20"/>
              </w:rPr>
              <w:t xml:space="preserve">from Boxing </w:t>
            </w:r>
            <w:r>
              <w:rPr>
                <w:rFonts w:cs="Arial"/>
                <w:sz w:val="20"/>
                <w:szCs w:val="20"/>
              </w:rPr>
              <w:t xml:space="preserve">Day until Australia Day weekend. </w:t>
            </w:r>
          </w:p>
          <w:p w14:paraId="6624CA0C" w14:textId="77777777" w:rsidR="00A70030" w:rsidRPr="00C83C0E" w:rsidRDefault="00A70030" w:rsidP="00073385">
            <w:pPr>
              <w:pStyle w:val="ListParagraph0"/>
              <w:numPr>
                <w:ilvl w:val="0"/>
                <w:numId w:val="501"/>
              </w:numPr>
              <w:spacing w:before="60" w:after="60" w:line="240" w:lineRule="auto"/>
              <w:rPr>
                <w:rFonts w:cs="Arial"/>
                <w:sz w:val="20"/>
                <w:szCs w:val="20"/>
              </w:rPr>
            </w:pPr>
            <w:r w:rsidRPr="00A73CBA">
              <w:rPr>
                <w:rFonts w:cs="Arial"/>
                <w:sz w:val="20"/>
                <w:szCs w:val="20"/>
              </w:rPr>
              <w:t xml:space="preserve">The busy period extends until </w:t>
            </w:r>
            <w:r w:rsidRPr="00C83C0E">
              <w:rPr>
                <w:rFonts w:cs="Arial"/>
                <w:sz w:val="20"/>
                <w:szCs w:val="20"/>
              </w:rPr>
              <w:t>Easter</w:t>
            </w:r>
            <w:r>
              <w:rPr>
                <w:rFonts w:cs="Arial"/>
                <w:sz w:val="20"/>
                <w:szCs w:val="20"/>
              </w:rPr>
              <w:t>.</w:t>
            </w:r>
            <w:r w:rsidRPr="00C83C0E">
              <w:rPr>
                <w:rFonts w:cs="Arial"/>
                <w:sz w:val="20"/>
                <w:szCs w:val="20"/>
              </w:rPr>
              <w:t xml:space="preserve"> </w:t>
            </w:r>
          </w:p>
          <w:p w14:paraId="2C682340" w14:textId="77777777" w:rsidR="00A70030" w:rsidRPr="00C83C0E" w:rsidRDefault="00A70030" w:rsidP="00073385">
            <w:pPr>
              <w:pStyle w:val="ListParagraph0"/>
              <w:numPr>
                <w:ilvl w:val="0"/>
                <w:numId w:val="501"/>
              </w:numPr>
              <w:spacing w:before="60" w:after="60" w:line="240" w:lineRule="auto"/>
              <w:rPr>
                <w:rFonts w:cs="Arial"/>
                <w:sz w:val="20"/>
                <w:szCs w:val="20"/>
              </w:rPr>
            </w:pPr>
            <w:r>
              <w:rPr>
                <w:rFonts w:cs="Arial"/>
                <w:sz w:val="20"/>
                <w:szCs w:val="20"/>
              </w:rPr>
              <w:t>M</w:t>
            </w:r>
            <w:r w:rsidRPr="00C83C0E">
              <w:rPr>
                <w:rFonts w:cs="Arial"/>
                <w:sz w:val="20"/>
                <w:szCs w:val="20"/>
              </w:rPr>
              <w:t xml:space="preserve">any holidaymakers come from the Latrobe Valley </w:t>
            </w:r>
          </w:p>
          <w:p w14:paraId="321D0F84" w14:textId="77777777" w:rsidR="00A70030" w:rsidRPr="00C83C0E" w:rsidRDefault="00A70030" w:rsidP="00073385">
            <w:pPr>
              <w:pStyle w:val="ListParagraph0"/>
              <w:numPr>
                <w:ilvl w:val="0"/>
                <w:numId w:val="501"/>
              </w:numPr>
              <w:spacing w:before="60" w:after="60" w:line="240" w:lineRule="auto"/>
              <w:rPr>
                <w:rFonts w:cs="Arial"/>
                <w:sz w:val="20"/>
                <w:szCs w:val="20"/>
              </w:rPr>
            </w:pPr>
            <w:r>
              <w:rPr>
                <w:rFonts w:cs="Arial"/>
                <w:sz w:val="20"/>
                <w:szCs w:val="20"/>
              </w:rPr>
              <w:t xml:space="preserve">There are </w:t>
            </w:r>
            <w:r w:rsidRPr="00C83C0E">
              <w:rPr>
                <w:rFonts w:cs="Arial"/>
                <w:sz w:val="20"/>
                <w:szCs w:val="20"/>
              </w:rPr>
              <w:t>no caravan parks in</w:t>
            </w:r>
            <w:r>
              <w:rPr>
                <w:rFonts w:cs="Arial"/>
                <w:sz w:val="20"/>
                <w:szCs w:val="20"/>
              </w:rPr>
              <w:t xml:space="preserve"> Golden Beach or Paradise Beach – just the foreshore campground.</w:t>
            </w:r>
          </w:p>
          <w:p w14:paraId="1FE8F673" w14:textId="77777777" w:rsidR="00A70030" w:rsidRPr="00C83C0E" w:rsidRDefault="00A70030" w:rsidP="00073385">
            <w:pPr>
              <w:pStyle w:val="ListParagraph0"/>
              <w:numPr>
                <w:ilvl w:val="0"/>
                <w:numId w:val="501"/>
              </w:numPr>
              <w:spacing w:before="60" w:after="60" w:line="240" w:lineRule="auto"/>
              <w:rPr>
                <w:rFonts w:cs="Arial"/>
                <w:sz w:val="20"/>
                <w:szCs w:val="20"/>
              </w:rPr>
            </w:pPr>
            <w:r>
              <w:rPr>
                <w:rFonts w:cs="Arial"/>
                <w:sz w:val="20"/>
                <w:szCs w:val="20"/>
              </w:rPr>
              <w:t xml:space="preserve">Golden Beach has </w:t>
            </w:r>
            <w:r w:rsidRPr="00C83C0E">
              <w:rPr>
                <w:rFonts w:cs="Arial"/>
                <w:sz w:val="20"/>
                <w:szCs w:val="20"/>
              </w:rPr>
              <w:t xml:space="preserve">no </w:t>
            </w:r>
            <w:r>
              <w:rPr>
                <w:rFonts w:cs="Arial"/>
                <w:sz w:val="20"/>
                <w:szCs w:val="20"/>
              </w:rPr>
              <w:t xml:space="preserve">active </w:t>
            </w:r>
            <w:r w:rsidRPr="00C83C0E">
              <w:rPr>
                <w:rFonts w:cs="Arial"/>
                <w:sz w:val="20"/>
                <w:szCs w:val="20"/>
              </w:rPr>
              <w:t xml:space="preserve">surf club </w:t>
            </w:r>
            <w:r>
              <w:rPr>
                <w:rFonts w:cs="Arial"/>
                <w:sz w:val="20"/>
                <w:szCs w:val="20"/>
              </w:rPr>
              <w:t>–</w:t>
            </w:r>
            <w:r w:rsidRPr="00C83C0E">
              <w:rPr>
                <w:rFonts w:cs="Arial"/>
                <w:sz w:val="20"/>
                <w:szCs w:val="20"/>
              </w:rPr>
              <w:t xml:space="preserve"> </w:t>
            </w:r>
            <w:r>
              <w:rPr>
                <w:rFonts w:cs="Arial"/>
                <w:sz w:val="20"/>
                <w:szCs w:val="20"/>
              </w:rPr>
              <w:t xml:space="preserve">they are </w:t>
            </w:r>
            <w:r w:rsidRPr="00C83C0E">
              <w:rPr>
                <w:rFonts w:cs="Arial"/>
                <w:sz w:val="20"/>
                <w:szCs w:val="20"/>
              </w:rPr>
              <w:t>strugglin</w:t>
            </w:r>
            <w:r>
              <w:rPr>
                <w:rFonts w:cs="Arial"/>
                <w:sz w:val="20"/>
                <w:szCs w:val="20"/>
              </w:rPr>
              <w:t>g to become affiliated with Lifesaving Victoria.</w:t>
            </w:r>
          </w:p>
          <w:p w14:paraId="474355CB" w14:textId="77777777" w:rsidR="00A70030" w:rsidRPr="00C83C0E" w:rsidRDefault="00A70030" w:rsidP="00073385">
            <w:pPr>
              <w:pStyle w:val="ListParagraph0"/>
              <w:numPr>
                <w:ilvl w:val="0"/>
                <w:numId w:val="501"/>
              </w:numPr>
              <w:spacing w:before="60" w:after="60" w:line="240" w:lineRule="auto"/>
              <w:rPr>
                <w:rFonts w:cs="Arial"/>
                <w:sz w:val="20"/>
                <w:szCs w:val="20"/>
              </w:rPr>
            </w:pPr>
            <w:r>
              <w:rPr>
                <w:rFonts w:cs="Arial"/>
                <w:sz w:val="20"/>
                <w:szCs w:val="20"/>
              </w:rPr>
              <w:t xml:space="preserve">They </w:t>
            </w:r>
            <w:r w:rsidRPr="00C83C0E">
              <w:rPr>
                <w:rFonts w:cs="Arial"/>
                <w:sz w:val="20"/>
                <w:szCs w:val="20"/>
              </w:rPr>
              <w:t>recommended holding a community meeting with other interested groups/individuals, including the VMMR (reserve incorporating the golf club and bowls), art gallery, business owners, community.</w:t>
            </w:r>
          </w:p>
        </w:tc>
        <w:tc>
          <w:tcPr>
            <w:tcW w:w="3802" w:type="dxa"/>
            <w:shd w:val="clear" w:color="auto" w:fill="auto"/>
          </w:tcPr>
          <w:p w14:paraId="7D3F398A" w14:textId="77777777" w:rsidR="00A70030" w:rsidRDefault="00A70030" w:rsidP="00073385">
            <w:pPr>
              <w:spacing w:before="60" w:after="60" w:line="240" w:lineRule="auto"/>
              <w:ind w:left="0"/>
              <w:rPr>
                <w:rFonts w:cs="Arial"/>
                <w:sz w:val="20"/>
                <w:szCs w:val="20"/>
              </w:rPr>
            </w:pPr>
            <w:r>
              <w:rPr>
                <w:rFonts w:cs="Arial"/>
                <w:sz w:val="20"/>
                <w:szCs w:val="20"/>
              </w:rPr>
              <w:t xml:space="preserve">CarbonNet committed not to run the MSS over the Christmas – Australia Day long weekend to avoid peak tourist times. CarbonNet also committed to avoid the Easter long weekend. See </w:t>
            </w:r>
            <w:r w:rsidRPr="00653AFA">
              <w:rPr>
                <w:rFonts w:cs="Arial"/>
                <w:sz w:val="20"/>
                <w:szCs w:val="20"/>
              </w:rPr>
              <w:t>Section 2.2 and Section 7.9.7 of the EP.</w:t>
            </w:r>
          </w:p>
          <w:p w14:paraId="7D8F5971" w14:textId="77777777" w:rsidR="00A70030" w:rsidRDefault="00A70030" w:rsidP="00073385">
            <w:pPr>
              <w:spacing w:before="60" w:after="60" w:line="240" w:lineRule="auto"/>
              <w:ind w:left="0"/>
              <w:rPr>
                <w:rFonts w:cs="Arial"/>
                <w:sz w:val="20"/>
                <w:szCs w:val="20"/>
              </w:rPr>
            </w:pPr>
          </w:p>
          <w:p w14:paraId="7F673D0E" w14:textId="77777777" w:rsidR="00A70030" w:rsidRDefault="00A70030" w:rsidP="00073385">
            <w:pPr>
              <w:spacing w:before="60" w:after="60" w:line="240" w:lineRule="auto"/>
              <w:ind w:left="0"/>
              <w:rPr>
                <w:rFonts w:cs="Arial"/>
                <w:sz w:val="20"/>
                <w:szCs w:val="20"/>
              </w:rPr>
            </w:pPr>
            <w:r>
              <w:rPr>
                <w:rFonts w:cs="Arial"/>
                <w:sz w:val="20"/>
                <w:szCs w:val="20"/>
              </w:rPr>
              <w:t>CarbonNet will speak to Parks Victoria, which runs the foreshore campground.</w:t>
            </w:r>
          </w:p>
          <w:p w14:paraId="369E4FC7" w14:textId="77777777" w:rsidR="00A70030" w:rsidRDefault="00A70030" w:rsidP="00073385">
            <w:pPr>
              <w:spacing w:before="60" w:after="60" w:line="240" w:lineRule="auto"/>
              <w:ind w:left="0"/>
              <w:rPr>
                <w:rFonts w:cs="Arial"/>
                <w:sz w:val="20"/>
                <w:szCs w:val="20"/>
              </w:rPr>
            </w:pPr>
          </w:p>
          <w:p w14:paraId="72674B59" w14:textId="77777777" w:rsidR="00A70030" w:rsidRDefault="00A70030" w:rsidP="00073385">
            <w:pPr>
              <w:spacing w:before="60" w:after="60" w:line="240" w:lineRule="auto"/>
              <w:ind w:left="0"/>
              <w:rPr>
                <w:rFonts w:cs="Arial"/>
                <w:sz w:val="20"/>
                <w:szCs w:val="20"/>
              </w:rPr>
            </w:pPr>
            <w:r>
              <w:rPr>
                <w:rFonts w:cs="Arial"/>
                <w:sz w:val="20"/>
                <w:szCs w:val="20"/>
              </w:rPr>
              <w:t>CarbonNet will hold an ‘open day’ where community members can visit and ask questions.</w:t>
            </w:r>
          </w:p>
          <w:p w14:paraId="7FC28F29" w14:textId="77777777" w:rsidR="00A70030" w:rsidRDefault="00A70030" w:rsidP="00073385">
            <w:pPr>
              <w:spacing w:before="60" w:after="60" w:line="240" w:lineRule="auto"/>
              <w:ind w:left="0"/>
              <w:rPr>
                <w:rFonts w:cs="Arial"/>
                <w:sz w:val="20"/>
                <w:szCs w:val="20"/>
              </w:rPr>
            </w:pPr>
          </w:p>
          <w:p w14:paraId="65FB256F" w14:textId="77777777" w:rsidR="00A70030" w:rsidRDefault="00A70030" w:rsidP="00073385">
            <w:pPr>
              <w:spacing w:before="60" w:after="60" w:line="240" w:lineRule="auto"/>
              <w:ind w:left="0"/>
              <w:rPr>
                <w:rFonts w:cs="Arial"/>
                <w:sz w:val="20"/>
                <w:szCs w:val="20"/>
              </w:rPr>
            </w:pPr>
          </w:p>
        </w:tc>
      </w:tr>
      <w:tr w:rsidR="00A70030" w:rsidRPr="00FF0808" w14:paraId="70C02B20" w14:textId="77777777" w:rsidTr="00891DE1">
        <w:tc>
          <w:tcPr>
            <w:tcW w:w="1427" w:type="dxa"/>
            <w:tcBorders>
              <w:top w:val="nil"/>
              <w:bottom w:val="nil"/>
            </w:tcBorders>
            <w:shd w:val="clear" w:color="auto" w:fill="auto"/>
          </w:tcPr>
          <w:p w14:paraId="6D646DE9"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0D96A12" w14:textId="77777777" w:rsidR="00A70030" w:rsidRPr="00FF0808" w:rsidRDefault="00A70030" w:rsidP="00073385">
            <w:pPr>
              <w:spacing w:before="60" w:after="60" w:line="240" w:lineRule="auto"/>
              <w:ind w:left="0"/>
              <w:rPr>
                <w:rFonts w:cs="Arial"/>
                <w:sz w:val="20"/>
                <w:szCs w:val="20"/>
              </w:rPr>
            </w:pPr>
          </w:p>
        </w:tc>
        <w:tc>
          <w:tcPr>
            <w:tcW w:w="1055" w:type="dxa"/>
          </w:tcPr>
          <w:p w14:paraId="6FC71A10" w14:textId="77777777" w:rsidR="00A70030" w:rsidRDefault="00A70030" w:rsidP="00073385">
            <w:pPr>
              <w:spacing w:before="60" w:after="60" w:line="240" w:lineRule="auto"/>
              <w:ind w:left="0"/>
              <w:rPr>
                <w:rFonts w:cs="Arial"/>
                <w:sz w:val="20"/>
                <w:szCs w:val="20"/>
              </w:rPr>
            </w:pPr>
            <w:r>
              <w:rPr>
                <w:rFonts w:cs="Arial"/>
                <w:sz w:val="20"/>
                <w:szCs w:val="20"/>
              </w:rPr>
              <w:t>29/5/17</w:t>
            </w:r>
          </w:p>
        </w:tc>
        <w:tc>
          <w:tcPr>
            <w:tcW w:w="6335" w:type="dxa"/>
            <w:shd w:val="clear" w:color="auto" w:fill="auto"/>
          </w:tcPr>
          <w:p w14:paraId="443FDCBC" w14:textId="77777777" w:rsidR="00A70030" w:rsidRDefault="00A70030" w:rsidP="00073385">
            <w:pPr>
              <w:spacing w:before="60" w:after="60" w:line="240" w:lineRule="auto"/>
              <w:ind w:left="0"/>
              <w:rPr>
                <w:rFonts w:cs="Arial"/>
                <w:sz w:val="20"/>
                <w:szCs w:val="20"/>
              </w:rPr>
            </w:pPr>
            <w:r>
              <w:rPr>
                <w:rFonts w:cs="Arial"/>
                <w:sz w:val="20"/>
                <w:szCs w:val="20"/>
              </w:rPr>
              <w:t>CarbonNet spoke to GPBRA and advised we are working towards holding an open day for the community with research partners in July. Will be in touch when we have some dates.</w:t>
            </w:r>
          </w:p>
        </w:tc>
        <w:tc>
          <w:tcPr>
            <w:tcW w:w="3802" w:type="dxa"/>
            <w:shd w:val="clear" w:color="auto" w:fill="auto"/>
          </w:tcPr>
          <w:p w14:paraId="34454112" w14:textId="77777777" w:rsidR="00A70030" w:rsidRDefault="00A70030" w:rsidP="00073385">
            <w:pPr>
              <w:spacing w:before="60" w:after="60" w:line="240" w:lineRule="auto"/>
              <w:ind w:left="0"/>
              <w:rPr>
                <w:rFonts w:cs="Arial"/>
                <w:sz w:val="20"/>
                <w:szCs w:val="20"/>
              </w:rPr>
            </w:pPr>
            <w:r>
              <w:rPr>
                <w:rFonts w:cs="Arial"/>
                <w:sz w:val="20"/>
                <w:szCs w:val="20"/>
              </w:rPr>
              <w:t>CarbonNet subsequently set up open day for 12 July, which is during the school holiday period.</w:t>
            </w:r>
          </w:p>
          <w:p w14:paraId="6103FAFA" w14:textId="77777777" w:rsidR="00A70030" w:rsidRDefault="00A70030" w:rsidP="00073385">
            <w:pPr>
              <w:spacing w:before="60" w:after="60" w:line="240" w:lineRule="auto"/>
              <w:ind w:left="0"/>
              <w:rPr>
                <w:rFonts w:cs="Arial"/>
                <w:sz w:val="20"/>
                <w:szCs w:val="20"/>
              </w:rPr>
            </w:pPr>
          </w:p>
        </w:tc>
      </w:tr>
      <w:tr w:rsidR="00A70030" w:rsidRPr="00FF0808" w14:paraId="53566392" w14:textId="77777777" w:rsidTr="00891DE1">
        <w:tc>
          <w:tcPr>
            <w:tcW w:w="1427" w:type="dxa"/>
            <w:tcBorders>
              <w:top w:val="nil"/>
              <w:bottom w:val="nil"/>
            </w:tcBorders>
            <w:shd w:val="clear" w:color="auto" w:fill="auto"/>
          </w:tcPr>
          <w:p w14:paraId="17435075"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C72464A" w14:textId="77777777" w:rsidR="00A70030" w:rsidRPr="00FF0808" w:rsidRDefault="00A70030" w:rsidP="00073385">
            <w:pPr>
              <w:spacing w:before="60" w:after="60" w:line="240" w:lineRule="auto"/>
              <w:ind w:left="0"/>
              <w:rPr>
                <w:rFonts w:cs="Arial"/>
                <w:sz w:val="20"/>
                <w:szCs w:val="20"/>
              </w:rPr>
            </w:pPr>
          </w:p>
        </w:tc>
        <w:tc>
          <w:tcPr>
            <w:tcW w:w="1055" w:type="dxa"/>
          </w:tcPr>
          <w:p w14:paraId="16FF37B0" w14:textId="77777777" w:rsidR="00A70030" w:rsidRDefault="00A70030" w:rsidP="00073385">
            <w:pPr>
              <w:spacing w:before="60" w:after="60" w:line="240" w:lineRule="auto"/>
              <w:ind w:left="0"/>
              <w:rPr>
                <w:rFonts w:cs="Arial"/>
                <w:sz w:val="20"/>
                <w:szCs w:val="20"/>
              </w:rPr>
            </w:pPr>
            <w:r>
              <w:rPr>
                <w:rFonts w:cs="Arial"/>
                <w:sz w:val="20"/>
                <w:szCs w:val="20"/>
              </w:rPr>
              <w:t>4/7/17</w:t>
            </w:r>
          </w:p>
        </w:tc>
        <w:tc>
          <w:tcPr>
            <w:tcW w:w="6335" w:type="dxa"/>
            <w:shd w:val="clear" w:color="auto" w:fill="auto"/>
          </w:tcPr>
          <w:p w14:paraId="58081442" w14:textId="77777777" w:rsidR="00A70030" w:rsidRDefault="00A70030" w:rsidP="00073385">
            <w:pPr>
              <w:spacing w:before="60" w:after="60" w:line="240" w:lineRule="auto"/>
              <w:ind w:left="0"/>
              <w:rPr>
                <w:rFonts w:cs="Arial"/>
                <w:sz w:val="20"/>
                <w:szCs w:val="20"/>
              </w:rPr>
            </w:pPr>
            <w:r>
              <w:rPr>
                <w:rFonts w:cs="Arial"/>
                <w:sz w:val="20"/>
                <w:szCs w:val="20"/>
              </w:rPr>
              <w:t>CarbonNet emailed GPBRA with a flyer inviting local residents to the open day on 12 July. GPBRA agreed to distribute the flyer to community members via the local post office, who will do a letterbox drop to all homes. The GPBRA will also post the flyer in the windows of the community hall and local businesses.</w:t>
            </w:r>
          </w:p>
        </w:tc>
        <w:tc>
          <w:tcPr>
            <w:tcW w:w="3802" w:type="dxa"/>
            <w:shd w:val="clear" w:color="auto" w:fill="auto"/>
          </w:tcPr>
          <w:p w14:paraId="48FE0018" w14:textId="156E8421"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25BFB473" w14:textId="77777777" w:rsidTr="0024586D">
        <w:tc>
          <w:tcPr>
            <w:tcW w:w="1427" w:type="dxa"/>
            <w:tcBorders>
              <w:top w:val="nil"/>
              <w:bottom w:val="nil"/>
            </w:tcBorders>
            <w:shd w:val="clear" w:color="auto" w:fill="auto"/>
          </w:tcPr>
          <w:p w14:paraId="3436C37D"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3F65805" w14:textId="77777777" w:rsidR="00A70030" w:rsidRPr="00FF0808" w:rsidRDefault="00A70030" w:rsidP="00073385">
            <w:pPr>
              <w:spacing w:before="60" w:after="60" w:line="240" w:lineRule="auto"/>
              <w:ind w:left="0"/>
              <w:rPr>
                <w:rFonts w:cs="Arial"/>
                <w:sz w:val="20"/>
                <w:szCs w:val="20"/>
              </w:rPr>
            </w:pPr>
          </w:p>
        </w:tc>
        <w:tc>
          <w:tcPr>
            <w:tcW w:w="1055" w:type="dxa"/>
          </w:tcPr>
          <w:p w14:paraId="0C9B87D8" w14:textId="77777777" w:rsidR="00A70030" w:rsidRDefault="00A70030" w:rsidP="00073385">
            <w:pPr>
              <w:spacing w:before="60" w:after="60" w:line="240" w:lineRule="auto"/>
              <w:ind w:left="0"/>
              <w:rPr>
                <w:rFonts w:cs="Arial"/>
                <w:sz w:val="20"/>
                <w:szCs w:val="20"/>
              </w:rPr>
            </w:pPr>
            <w:r>
              <w:rPr>
                <w:rFonts w:cs="Arial"/>
                <w:sz w:val="20"/>
                <w:szCs w:val="20"/>
              </w:rPr>
              <w:t>12/7/17</w:t>
            </w:r>
          </w:p>
        </w:tc>
        <w:tc>
          <w:tcPr>
            <w:tcW w:w="6335" w:type="dxa"/>
            <w:shd w:val="clear" w:color="auto" w:fill="auto"/>
          </w:tcPr>
          <w:p w14:paraId="45B71CA5" w14:textId="77777777" w:rsidR="00A70030" w:rsidRDefault="00A70030" w:rsidP="00073385">
            <w:pPr>
              <w:spacing w:before="60" w:after="60" w:line="240" w:lineRule="auto"/>
              <w:ind w:left="0"/>
              <w:rPr>
                <w:rFonts w:cs="Arial"/>
                <w:sz w:val="20"/>
                <w:szCs w:val="20"/>
              </w:rPr>
            </w:pPr>
            <w:r>
              <w:rPr>
                <w:rFonts w:cs="Arial"/>
                <w:sz w:val="20"/>
                <w:szCs w:val="20"/>
              </w:rPr>
              <w:t>CarbonNet held a community open day at the Golden Beach Community Hall, and addressed a meeting of the GPBRA in the evening.</w:t>
            </w:r>
          </w:p>
          <w:p w14:paraId="1CD2C21B" w14:textId="77777777" w:rsidR="00A70030" w:rsidRPr="00FD6BC3" w:rsidRDefault="00A70030" w:rsidP="00073385">
            <w:pPr>
              <w:spacing w:before="60" w:after="60" w:line="240" w:lineRule="auto"/>
              <w:ind w:left="0"/>
              <w:rPr>
                <w:rFonts w:cs="Arial"/>
                <w:sz w:val="20"/>
                <w:szCs w:val="20"/>
              </w:rPr>
            </w:pPr>
            <w:r w:rsidRPr="00FD6BC3">
              <w:rPr>
                <w:rFonts w:cs="Arial"/>
                <w:sz w:val="20"/>
                <w:szCs w:val="20"/>
              </w:rPr>
              <w:t xml:space="preserve">Community members were interested in CarbonNet and the MSS, and asked lots of questions about the science of CCS and the impact of the MSS on the township.  </w:t>
            </w:r>
          </w:p>
          <w:p w14:paraId="67A29B83" w14:textId="77777777" w:rsidR="00A70030" w:rsidRPr="00FD6BC3" w:rsidRDefault="00A70030" w:rsidP="00073385">
            <w:pPr>
              <w:spacing w:before="60" w:after="60" w:line="240" w:lineRule="auto"/>
              <w:ind w:left="0"/>
              <w:rPr>
                <w:rFonts w:cs="Arial"/>
                <w:sz w:val="20"/>
                <w:szCs w:val="20"/>
              </w:rPr>
            </w:pPr>
            <w:r w:rsidRPr="00FD6BC3">
              <w:rPr>
                <w:rFonts w:cs="Arial"/>
                <w:sz w:val="20"/>
                <w:szCs w:val="20"/>
              </w:rPr>
              <w:t xml:space="preserve">Residents also informed CarbonNet: </w:t>
            </w:r>
          </w:p>
          <w:p w14:paraId="6434F0CA" w14:textId="77777777" w:rsidR="00A70030" w:rsidRPr="00C83C0E" w:rsidRDefault="00A70030" w:rsidP="00073385">
            <w:pPr>
              <w:pStyle w:val="ListParagraph0"/>
              <w:numPr>
                <w:ilvl w:val="0"/>
                <w:numId w:val="502"/>
              </w:numPr>
              <w:spacing w:before="60" w:after="60" w:line="240" w:lineRule="auto"/>
              <w:rPr>
                <w:rFonts w:cs="Arial"/>
                <w:sz w:val="20"/>
                <w:szCs w:val="20"/>
              </w:rPr>
            </w:pPr>
            <w:r>
              <w:rPr>
                <w:rFonts w:cs="Arial"/>
                <w:sz w:val="20"/>
                <w:szCs w:val="20"/>
              </w:rPr>
              <w:t>The m</w:t>
            </w:r>
            <w:r w:rsidRPr="00C83C0E">
              <w:rPr>
                <w:rFonts w:cs="Arial"/>
                <w:sz w:val="20"/>
                <w:szCs w:val="20"/>
              </w:rPr>
              <w:t xml:space="preserve">ain concern with </w:t>
            </w:r>
            <w:r>
              <w:rPr>
                <w:rFonts w:cs="Arial"/>
                <w:sz w:val="20"/>
                <w:szCs w:val="20"/>
              </w:rPr>
              <w:t xml:space="preserve">the </w:t>
            </w:r>
            <w:r w:rsidRPr="00C83C0E">
              <w:rPr>
                <w:rFonts w:cs="Arial"/>
                <w:sz w:val="20"/>
                <w:szCs w:val="20"/>
              </w:rPr>
              <w:t xml:space="preserve">MSS are the town's two fishing competitions; Australia Day weekend and Easter 2018. </w:t>
            </w:r>
          </w:p>
          <w:p w14:paraId="5E066D6B" w14:textId="77777777" w:rsidR="00A70030" w:rsidRPr="00C83C0E" w:rsidRDefault="00A70030" w:rsidP="00073385">
            <w:pPr>
              <w:pStyle w:val="ListParagraph0"/>
              <w:numPr>
                <w:ilvl w:val="0"/>
                <w:numId w:val="502"/>
              </w:numPr>
              <w:spacing w:before="60" w:after="60" w:line="240" w:lineRule="auto"/>
              <w:rPr>
                <w:rFonts w:cs="Arial"/>
                <w:sz w:val="20"/>
                <w:szCs w:val="20"/>
              </w:rPr>
            </w:pPr>
            <w:r w:rsidRPr="00C83C0E">
              <w:rPr>
                <w:rFonts w:cs="Arial"/>
                <w:sz w:val="20"/>
                <w:szCs w:val="20"/>
              </w:rPr>
              <w:t>Entrants in the fishing comp</w:t>
            </w:r>
            <w:r>
              <w:rPr>
                <w:rFonts w:cs="Arial"/>
                <w:sz w:val="20"/>
                <w:szCs w:val="20"/>
              </w:rPr>
              <w:t>etition</w:t>
            </w:r>
            <w:r w:rsidRPr="00C83C0E">
              <w:rPr>
                <w:rFonts w:cs="Arial"/>
                <w:sz w:val="20"/>
                <w:szCs w:val="20"/>
              </w:rPr>
              <w:t xml:space="preserve"> primarily fish from the beach. </w:t>
            </w:r>
          </w:p>
          <w:p w14:paraId="37A07B43" w14:textId="77777777" w:rsidR="00A70030" w:rsidRPr="00C83C0E" w:rsidRDefault="00A70030" w:rsidP="00073385">
            <w:pPr>
              <w:pStyle w:val="ListParagraph0"/>
              <w:numPr>
                <w:ilvl w:val="0"/>
                <w:numId w:val="502"/>
              </w:numPr>
              <w:spacing w:before="60" w:after="60" w:line="240" w:lineRule="auto"/>
              <w:rPr>
                <w:rFonts w:cs="Arial"/>
                <w:sz w:val="20"/>
                <w:szCs w:val="20"/>
              </w:rPr>
            </w:pPr>
            <w:r w:rsidRPr="00C83C0E">
              <w:rPr>
                <w:rFonts w:cs="Arial"/>
                <w:sz w:val="20"/>
                <w:szCs w:val="20"/>
              </w:rPr>
              <w:t xml:space="preserve">People </w:t>
            </w:r>
            <w:r>
              <w:rPr>
                <w:rFonts w:cs="Arial"/>
                <w:sz w:val="20"/>
                <w:szCs w:val="20"/>
              </w:rPr>
              <w:t xml:space="preserve">are interested in </w:t>
            </w:r>
            <w:r w:rsidRPr="00C83C0E">
              <w:rPr>
                <w:rFonts w:cs="Arial"/>
                <w:sz w:val="20"/>
                <w:szCs w:val="20"/>
              </w:rPr>
              <w:t xml:space="preserve">impacts on swimmers, but it is a very treacherous beach and not many people swim. </w:t>
            </w:r>
          </w:p>
          <w:p w14:paraId="434E916E" w14:textId="77777777" w:rsidR="00A70030" w:rsidRPr="00FD6BC3" w:rsidRDefault="00A70030" w:rsidP="00073385">
            <w:pPr>
              <w:spacing w:before="60" w:after="60" w:line="240" w:lineRule="auto"/>
              <w:ind w:left="0"/>
              <w:rPr>
                <w:rFonts w:cs="Arial"/>
                <w:sz w:val="20"/>
                <w:szCs w:val="20"/>
              </w:rPr>
            </w:pPr>
            <w:r>
              <w:rPr>
                <w:rFonts w:cs="Arial"/>
                <w:sz w:val="20"/>
                <w:szCs w:val="20"/>
              </w:rPr>
              <w:t xml:space="preserve">The GPBRA </w:t>
            </w:r>
            <w:r w:rsidRPr="00FD6BC3">
              <w:rPr>
                <w:rFonts w:cs="Arial"/>
                <w:sz w:val="20"/>
                <w:szCs w:val="20"/>
              </w:rPr>
              <w:t>said they were very pleased with how the day had gone and thanked CarbonNet for coming along.</w:t>
            </w:r>
          </w:p>
          <w:p w14:paraId="5116930F" w14:textId="4BCFB077" w:rsidR="00A70030" w:rsidRDefault="00A70030" w:rsidP="00073385">
            <w:pPr>
              <w:spacing w:before="60" w:after="60" w:line="240" w:lineRule="auto"/>
              <w:ind w:left="0"/>
              <w:rPr>
                <w:rFonts w:cs="Arial"/>
                <w:sz w:val="20"/>
                <w:szCs w:val="20"/>
              </w:rPr>
            </w:pPr>
            <w:r w:rsidRPr="009F367E">
              <w:rPr>
                <w:rFonts w:cs="Arial"/>
                <w:sz w:val="20"/>
                <w:szCs w:val="20"/>
              </w:rPr>
              <w:t xml:space="preserve">CarbonNet advised that </w:t>
            </w:r>
            <w:r>
              <w:rPr>
                <w:rFonts w:cs="Arial"/>
                <w:sz w:val="20"/>
                <w:szCs w:val="20"/>
              </w:rPr>
              <w:t>it</w:t>
            </w:r>
            <w:r w:rsidRPr="009F367E">
              <w:rPr>
                <w:rFonts w:cs="Arial"/>
                <w:sz w:val="20"/>
                <w:szCs w:val="20"/>
              </w:rPr>
              <w:t xml:space="preserve"> will be back to hold further session/s closer to the time of the MSS.</w:t>
            </w:r>
            <w:r w:rsidRPr="00FD6BC3">
              <w:rPr>
                <w:rFonts w:cs="Arial"/>
                <w:sz w:val="20"/>
                <w:szCs w:val="20"/>
              </w:rPr>
              <w:t xml:space="preserve">  </w:t>
            </w:r>
          </w:p>
        </w:tc>
        <w:tc>
          <w:tcPr>
            <w:tcW w:w="3802" w:type="dxa"/>
            <w:shd w:val="clear" w:color="auto" w:fill="auto"/>
          </w:tcPr>
          <w:p w14:paraId="6A147C17" w14:textId="77777777" w:rsidR="00A70030" w:rsidRDefault="00A70030" w:rsidP="00073385">
            <w:pPr>
              <w:spacing w:before="60" w:after="60" w:line="240" w:lineRule="auto"/>
              <w:ind w:left="0"/>
              <w:rPr>
                <w:rFonts w:cs="Arial"/>
                <w:sz w:val="20"/>
                <w:szCs w:val="20"/>
              </w:rPr>
            </w:pPr>
            <w:r>
              <w:rPr>
                <w:rFonts w:cs="Arial"/>
                <w:sz w:val="20"/>
                <w:szCs w:val="20"/>
              </w:rPr>
              <w:t>CarbonNet advised the GPBRA and attendees that we will not run the MSS over the Christmas – Australia Day long weekend to avoid peak tourist times. CarbonNet also committed to avoid the Easter long weekend.</w:t>
            </w:r>
          </w:p>
          <w:p w14:paraId="2EE96FCC" w14:textId="77777777" w:rsidR="00A70030" w:rsidRDefault="00A70030" w:rsidP="00073385">
            <w:pPr>
              <w:spacing w:before="60" w:after="60" w:line="240" w:lineRule="auto"/>
              <w:ind w:left="0"/>
              <w:rPr>
                <w:rFonts w:cs="Arial"/>
                <w:sz w:val="20"/>
                <w:szCs w:val="20"/>
              </w:rPr>
            </w:pPr>
          </w:p>
          <w:p w14:paraId="4C72BF19" w14:textId="77777777" w:rsidR="00A70030" w:rsidRDefault="00A70030" w:rsidP="00073385">
            <w:pPr>
              <w:spacing w:before="60" w:after="60" w:line="240" w:lineRule="auto"/>
              <w:ind w:left="0"/>
              <w:rPr>
                <w:rFonts w:cs="Arial"/>
                <w:sz w:val="20"/>
                <w:szCs w:val="20"/>
              </w:rPr>
            </w:pPr>
            <w:r>
              <w:rPr>
                <w:rFonts w:cs="Arial"/>
                <w:sz w:val="20"/>
                <w:szCs w:val="20"/>
              </w:rPr>
              <w:t>CarbonNet advised attendees that the MSS vessel will have an exclusion zone around it, and vessels, swimmers and divers will need to avoid an area near the vessel.</w:t>
            </w:r>
          </w:p>
          <w:p w14:paraId="691A01B0" w14:textId="77777777" w:rsidR="00A70030" w:rsidRDefault="00A70030" w:rsidP="00073385">
            <w:pPr>
              <w:spacing w:before="60" w:after="60" w:line="240" w:lineRule="auto"/>
              <w:ind w:left="0"/>
              <w:rPr>
                <w:rFonts w:cs="Arial"/>
                <w:sz w:val="20"/>
                <w:szCs w:val="20"/>
              </w:rPr>
            </w:pPr>
          </w:p>
        </w:tc>
      </w:tr>
      <w:tr w:rsidR="00A70030" w:rsidRPr="00FF0808" w14:paraId="3F11B7C6" w14:textId="77777777" w:rsidTr="0024586D">
        <w:tc>
          <w:tcPr>
            <w:tcW w:w="1427" w:type="dxa"/>
            <w:tcBorders>
              <w:top w:val="nil"/>
              <w:bottom w:val="nil"/>
            </w:tcBorders>
            <w:shd w:val="clear" w:color="auto" w:fill="auto"/>
          </w:tcPr>
          <w:p w14:paraId="467A6EC0"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1F7A6D2" w14:textId="77777777" w:rsidR="00A70030" w:rsidRPr="00FF0808" w:rsidRDefault="00A70030" w:rsidP="00073385">
            <w:pPr>
              <w:spacing w:before="60" w:after="60" w:line="240" w:lineRule="auto"/>
              <w:ind w:left="0"/>
              <w:rPr>
                <w:rFonts w:cs="Arial"/>
                <w:sz w:val="20"/>
                <w:szCs w:val="20"/>
              </w:rPr>
            </w:pPr>
          </w:p>
        </w:tc>
        <w:tc>
          <w:tcPr>
            <w:tcW w:w="1055" w:type="dxa"/>
          </w:tcPr>
          <w:p w14:paraId="74C7B5C8" w14:textId="77777777" w:rsidR="00A70030" w:rsidRDefault="00A70030" w:rsidP="00073385">
            <w:pPr>
              <w:spacing w:before="60" w:after="60" w:line="240" w:lineRule="auto"/>
              <w:ind w:left="0"/>
              <w:rPr>
                <w:rFonts w:cs="Arial"/>
                <w:sz w:val="20"/>
                <w:szCs w:val="20"/>
              </w:rPr>
            </w:pPr>
            <w:r>
              <w:rPr>
                <w:rFonts w:cs="Arial"/>
                <w:sz w:val="20"/>
                <w:szCs w:val="20"/>
              </w:rPr>
              <w:t>7/8/17</w:t>
            </w:r>
          </w:p>
        </w:tc>
        <w:tc>
          <w:tcPr>
            <w:tcW w:w="6335" w:type="dxa"/>
            <w:shd w:val="clear" w:color="auto" w:fill="auto"/>
          </w:tcPr>
          <w:p w14:paraId="2C959E49" w14:textId="77777777" w:rsidR="00A70030" w:rsidRPr="009F367E" w:rsidRDefault="00A70030" w:rsidP="00073385">
            <w:pPr>
              <w:spacing w:before="60" w:after="60" w:line="240" w:lineRule="auto"/>
              <w:ind w:left="0"/>
              <w:rPr>
                <w:rFonts w:cs="Arial"/>
                <w:sz w:val="20"/>
                <w:szCs w:val="20"/>
              </w:rPr>
            </w:pPr>
            <w:r w:rsidRPr="009F367E">
              <w:rPr>
                <w:rFonts w:cs="Arial"/>
                <w:sz w:val="20"/>
                <w:szCs w:val="20"/>
              </w:rPr>
              <w:t xml:space="preserve">CarbonNet emailed </w:t>
            </w:r>
            <w:r>
              <w:rPr>
                <w:rFonts w:cs="Arial"/>
                <w:sz w:val="20"/>
                <w:szCs w:val="20"/>
              </w:rPr>
              <w:t xml:space="preserve">GPBRA </w:t>
            </w:r>
            <w:r w:rsidRPr="009F367E">
              <w:rPr>
                <w:rFonts w:cs="Arial"/>
                <w:sz w:val="20"/>
                <w:szCs w:val="20"/>
              </w:rPr>
              <w:t>advising that area and duration of survey have now been refined, and advising we will submit EP in mid-August.</w:t>
            </w:r>
          </w:p>
          <w:p w14:paraId="53898EB7" w14:textId="77777777" w:rsidR="00A70030" w:rsidRPr="009F367E" w:rsidRDefault="00A70030" w:rsidP="00073385">
            <w:pPr>
              <w:spacing w:before="60" w:after="60" w:line="240" w:lineRule="auto"/>
              <w:ind w:left="0"/>
              <w:rPr>
                <w:rFonts w:cs="Arial"/>
                <w:sz w:val="20"/>
                <w:szCs w:val="20"/>
              </w:rPr>
            </w:pPr>
            <w:r w:rsidRPr="009F367E">
              <w:rPr>
                <w:rFonts w:cs="Arial"/>
                <w:sz w:val="20"/>
                <w:szCs w:val="20"/>
              </w:rPr>
              <w:t xml:space="preserve">The email explained that the survey </w:t>
            </w:r>
            <w:r>
              <w:rPr>
                <w:rFonts w:cs="Arial"/>
                <w:sz w:val="20"/>
                <w:szCs w:val="20"/>
              </w:rPr>
              <w:t xml:space="preserve">operational </w:t>
            </w:r>
            <w:r w:rsidRPr="009F367E">
              <w:rPr>
                <w:rFonts w:cs="Arial"/>
                <w:sz w:val="20"/>
                <w:szCs w:val="20"/>
              </w:rPr>
              <w:t>area is now larger due to vessel turns, and provided map with amended operational area, and acquisition area (which is unchanged).</w:t>
            </w:r>
          </w:p>
          <w:p w14:paraId="5F34DC2C" w14:textId="77777777" w:rsidR="00A70030" w:rsidRDefault="00A70030" w:rsidP="00073385">
            <w:pPr>
              <w:spacing w:before="60" w:after="60" w:line="240" w:lineRule="auto"/>
              <w:ind w:left="0"/>
              <w:rPr>
                <w:rFonts w:cs="Arial"/>
                <w:sz w:val="20"/>
                <w:szCs w:val="20"/>
              </w:rPr>
            </w:pPr>
            <w:r w:rsidRPr="009F367E">
              <w:rPr>
                <w:rFonts w:cs="Arial"/>
                <w:sz w:val="20"/>
                <w:szCs w:val="20"/>
              </w:rPr>
              <w:t>The survey duration is likely to be 13-16 days but could be up to 27 days depending on final vessel selection.</w:t>
            </w:r>
          </w:p>
        </w:tc>
        <w:tc>
          <w:tcPr>
            <w:tcW w:w="3802" w:type="dxa"/>
            <w:shd w:val="clear" w:color="auto" w:fill="auto"/>
          </w:tcPr>
          <w:p w14:paraId="09EF5EBA" w14:textId="315AE2BE"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6645ABA7" w14:textId="77777777" w:rsidTr="00891DE1">
        <w:tc>
          <w:tcPr>
            <w:tcW w:w="1427" w:type="dxa"/>
            <w:tcBorders>
              <w:top w:val="nil"/>
              <w:bottom w:val="nil"/>
            </w:tcBorders>
            <w:shd w:val="clear" w:color="auto" w:fill="auto"/>
          </w:tcPr>
          <w:p w14:paraId="25C3F53B"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9A3AB27" w14:textId="77777777" w:rsidR="00A70030" w:rsidRPr="00FF0808" w:rsidRDefault="00A70030" w:rsidP="00073385">
            <w:pPr>
              <w:spacing w:before="60" w:after="60" w:line="240" w:lineRule="auto"/>
              <w:ind w:left="0"/>
              <w:rPr>
                <w:rFonts w:cs="Arial"/>
                <w:sz w:val="20"/>
                <w:szCs w:val="20"/>
              </w:rPr>
            </w:pPr>
          </w:p>
        </w:tc>
        <w:tc>
          <w:tcPr>
            <w:tcW w:w="1055" w:type="dxa"/>
          </w:tcPr>
          <w:p w14:paraId="46E9E563" w14:textId="77777777" w:rsidR="00A70030" w:rsidRDefault="00A70030" w:rsidP="00073385">
            <w:pPr>
              <w:spacing w:before="60" w:after="60" w:line="240" w:lineRule="auto"/>
              <w:ind w:left="0"/>
              <w:rPr>
                <w:rFonts w:cs="Arial"/>
                <w:sz w:val="20"/>
                <w:szCs w:val="20"/>
              </w:rPr>
            </w:pPr>
            <w:r>
              <w:rPr>
                <w:rFonts w:cs="Arial"/>
                <w:sz w:val="20"/>
                <w:szCs w:val="20"/>
              </w:rPr>
              <w:t>15/8/17</w:t>
            </w:r>
          </w:p>
        </w:tc>
        <w:tc>
          <w:tcPr>
            <w:tcW w:w="6335" w:type="dxa"/>
            <w:shd w:val="clear" w:color="auto" w:fill="auto"/>
          </w:tcPr>
          <w:p w14:paraId="1611E83A" w14:textId="77777777" w:rsidR="00A70030" w:rsidRDefault="00A70030" w:rsidP="00073385">
            <w:pPr>
              <w:spacing w:before="60" w:after="60" w:line="240" w:lineRule="auto"/>
              <w:ind w:left="0"/>
              <w:rPr>
                <w:rFonts w:cs="Arial"/>
                <w:sz w:val="20"/>
                <w:szCs w:val="20"/>
              </w:rPr>
            </w:pPr>
            <w:r>
              <w:rPr>
                <w:rFonts w:cs="Arial"/>
                <w:sz w:val="20"/>
                <w:szCs w:val="20"/>
              </w:rPr>
              <w:t>CarbonNet spoke to the GPBRA contact (same as the Surf Club) about planning for the MSS, including impacts to swimmers (see notes under ‘Golden Beach Surf Club’).</w:t>
            </w:r>
          </w:p>
          <w:p w14:paraId="4806A3B4" w14:textId="77777777" w:rsidR="00A70030" w:rsidRDefault="00A70030" w:rsidP="00073385">
            <w:pPr>
              <w:spacing w:before="60" w:after="60" w:line="240" w:lineRule="auto"/>
              <w:ind w:left="0"/>
              <w:rPr>
                <w:rFonts w:cs="Arial"/>
                <w:sz w:val="20"/>
                <w:szCs w:val="20"/>
              </w:rPr>
            </w:pPr>
          </w:p>
          <w:p w14:paraId="41C317CB" w14:textId="77777777" w:rsidR="00A70030" w:rsidRPr="009F367E" w:rsidRDefault="00A70030" w:rsidP="00073385">
            <w:pPr>
              <w:spacing w:before="60" w:after="60" w:line="240" w:lineRule="auto"/>
              <w:ind w:left="0"/>
              <w:rPr>
                <w:rFonts w:cs="Arial"/>
                <w:sz w:val="20"/>
                <w:szCs w:val="20"/>
              </w:rPr>
            </w:pPr>
            <w:r>
              <w:rPr>
                <w:rFonts w:cs="Arial"/>
                <w:sz w:val="20"/>
                <w:szCs w:val="20"/>
              </w:rPr>
              <w:lastRenderedPageBreak/>
              <w:t>The GPBRA run the two annual fishing competitions, and the stakeholder expressed concern about the Easter fishing competition and requested we avoid the week prior. CarbonNet explained that we need a large window of time for the MSS to take place and that may not be possible, but that we will consider their feedback when planning for the MSS.</w:t>
            </w:r>
          </w:p>
        </w:tc>
        <w:tc>
          <w:tcPr>
            <w:tcW w:w="3802" w:type="dxa"/>
            <w:shd w:val="clear" w:color="auto" w:fill="auto"/>
          </w:tcPr>
          <w:p w14:paraId="747493B2" w14:textId="77777777" w:rsidR="00A70030" w:rsidRDefault="00A70030" w:rsidP="00073385">
            <w:pPr>
              <w:spacing w:before="60" w:after="60" w:line="240" w:lineRule="auto"/>
              <w:ind w:left="0"/>
              <w:rPr>
                <w:rFonts w:cs="Arial"/>
                <w:sz w:val="20"/>
                <w:szCs w:val="20"/>
              </w:rPr>
            </w:pPr>
            <w:r>
              <w:rPr>
                <w:rFonts w:cs="Arial"/>
                <w:sz w:val="20"/>
                <w:szCs w:val="20"/>
              </w:rPr>
              <w:lastRenderedPageBreak/>
              <w:t xml:space="preserve">CarbonNet reiterated commitment to avoid the Christmas – Australia Day weekend, and the Easter long weekend. See </w:t>
            </w:r>
            <w:r w:rsidRPr="00653AFA">
              <w:rPr>
                <w:rFonts w:cs="Arial"/>
                <w:sz w:val="20"/>
                <w:szCs w:val="20"/>
              </w:rPr>
              <w:t xml:space="preserve">Section 2.2 and Section 7.9.7 of the </w:t>
            </w:r>
            <w:r w:rsidRPr="00653AFA">
              <w:rPr>
                <w:rFonts w:cs="Arial"/>
                <w:sz w:val="20"/>
                <w:szCs w:val="20"/>
              </w:rPr>
              <w:lastRenderedPageBreak/>
              <w:t>EP.</w:t>
            </w:r>
          </w:p>
          <w:p w14:paraId="37530269" w14:textId="77777777" w:rsidR="00A70030" w:rsidRDefault="00A70030" w:rsidP="00073385">
            <w:pPr>
              <w:spacing w:before="60" w:after="60" w:line="240" w:lineRule="auto"/>
              <w:ind w:left="0"/>
              <w:rPr>
                <w:rFonts w:cs="Arial"/>
                <w:sz w:val="20"/>
                <w:szCs w:val="20"/>
              </w:rPr>
            </w:pPr>
          </w:p>
          <w:p w14:paraId="06903B75" w14:textId="77777777" w:rsidR="00A70030" w:rsidRDefault="00A70030" w:rsidP="00073385">
            <w:pPr>
              <w:spacing w:before="60" w:after="60" w:line="240" w:lineRule="auto"/>
              <w:ind w:left="0"/>
              <w:rPr>
                <w:rFonts w:cs="Arial"/>
                <w:sz w:val="20"/>
                <w:szCs w:val="20"/>
              </w:rPr>
            </w:pPr>
            <w:r>
              <w:rPr>
                <w:rFonts w:cs="Arial"/>
                <w:sz w:val="20"/>
                <w:szCs w:val="20"/>
              </w:rPr>
              <w:t>CarbonNet will be back in Golden Beach to meet with community members in September/October.</w:t>
            </w:r>
          </w:p>
        </w:tc>
      </w:tr>
      <w:tr w:rsidR="00A70030" w:rsidRPr="00FF0808" w14:paraId="7290ADC0" w14:textId="77777777" w:rsidTr="00891DE1">
        <w:tc>
          <w:tcPr>
            <w:tcW w:w="1427" w:type="dxa"/>
            <w:tcBorders>
              <w:top w:val="nil"/>
              <w:bottom w:val="nil"/>
            </w:tcBorders>
            <w:shd w:val="clear" w:color="auto" w:fill="auto"/>
          </w:tcPr>
          <w:p w14:paraId="65C61F9E"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CB7D8EC" w14:textId="77777777" w:rsidR="00A70030" w:rsidRPr="00FF0808" w:rsidRDefault="00A70030" w:rsidP="00073385">
            <w:pPr>
              <w:spacing w:before="60" w:after="60" w:line="240" w:lineRule="auto"/>
              <w:ind w:left="0"/>
              <w:rPr>
                <w:rFonts w:cs="Arial"/>
                <w:sz w:val="20"/>
                <w:szCs w:val="20"/>
              </w:rPr>
            </w:pPr>
          </w:p>
        </w:tc>
        <w:tc>
          <w:tcPr>
            <w:tcW w:w="1055" w:type="dxa"/>
          </w:tcPr>
          <w:p w14:paraId="3409BE7C" w14:textId="06E0540B" w:rsidR="00A70030" w:rsidRDefault="00A70030"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74DD727C" w14:textId="6704D65A" w:rsidR="00A70030" w:rsidRDefault="00A70030"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6E7DFE46" w14:textId="3FA028EA" w:rsidR="00A70030" w:rsidRDefault="00A70030" w:rsidP="00073385">
            <w:pPr>
              <w:spacing w:before="60" w:after="60" w:line="240" w:lineRule="auto"/>
              <w:ind w:left="0"/>
              <w:rPr>
                <w:rFonts w:cs="Arial"/>
                <w:sz w:val="20"/>
                <w:szCs w:val="20"/>
              </w:rPr>
            </w:pPr>
            <w:r>
              <w:rPr>
                <w:rFonts w:cs="Arial"/>
                <w:sz w:val="20"/>
                <w:szCs w:val="20"/>
              </w:rPr>
              <w:t>N/A</w:t>
            </w:r>
          </w:p>
        </w:tc>
      </w:tr>
      <w:tr w:rsidR="00A70030" w:rsidRPr="00FF0808" w14:paraId="5A697B02" w14:textId="77777777" w:rsidTr="00891DE1">
        <w:tc>
          <w:tcPr>
            <w:tcW w:w="1427" w:type="dxa"/>
            <w:tcBorders>
              <w:top w:val="nil"/>
              <w:bottom w:val="nil"/>
            </w:tcBorders>
            <w:shd w:val="clear" w:color="auto" w:fill="auto"/>
          </w:tcPr>
          <w:p w14:paraId="2328EC5A"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4000B7D" w14:textId="77777777" w:rsidR="00A70030" w:rsidRPr="00FF0808" w:rsidRDefault="00A70030" w:rsidP="00073385">
            <w:pPr>
              <w:spacing w:before="60" w:after="60" w:line="240" w:lineRule="auto"/>
              <w:ind w:left="0"/>
              <w:rPr>
                <w:rFonts w:cs="Arial"/>
                <w:sz w:val="20"/>
                <w:szCs w:val="20"/>
              </w:rPr>
            </w:pPr>
          </w:p>
        </w:tc>
        <w:tc>
          <w:tcPr>
            <w:tcW w:w="1055" w:type="dxa"/>
          </w:tcPr>
          <w:p w14:paraId="40C5AF99" w14:textId="5E023671" w:rsidR="00A70030" w:rsidRDefault="00A70030" w:rsidP="00073385">
            <w:pPr>
              <w:spacing w:before="60" w:after="60" w:line="240" w:lineRule="auto"/>
              <w:ind w:left="0"/>
              <w:rPr>
                <w:rFonts w:cs="Arial"/>
                <w:sz w:val="20"/>
                <w:szCs w:val="20"/>
              </w:rPr>
            </w:pPr>
            <w:r>
              <w:rPr>
                <w:rFonts w:cs="Arial"/>
                <w:sz w:val="20"/>
                <w:szCs w:val="20"/>
              </w:rPr>
              <w:t>31/8/17</w:t>
            </w:r>
          </w:p>
        </w:tc>
        <w:tc>
          <w:tcPr>
            <w:tcW w:w="6335" w:type="dxa"/>
            <w:shd w:val="clear" w:color="auto" w:fill="auto"/>
          </w:tcPr>
          <w:p w14:paraId="7AEE5DB7" w14:textId="15EF65B2" w:rsidR="00A70030" w:rsidRDefault="00A70030" w:rsidP="00073385">
            <w:pPr>
              <w:spacing w:before="60" w:after="60" w:line="240" w:lineRule="auto"/>
              <w:ind w:left="0"/>
              <w:rPr>
                <w:rFonts w:cs="Arial"/>
                <w:sz w:val="20"/>
                <w:szCs w:val="20"/>
              </w:rPr>
            </w:pPr>
            <w:r>
              <w:rPr>
                <w:rFonts w:cs="Arial"/>
                <w:sz w:val="20"/>
                <w:szCs w:val="20"/>
              </w:rPr>
              <w:t>GPBRA sent CarbonNet a letter outlining some concerns about the impacts of the MSS on their Easter long weekend fishing competition, as well as the impact on tourism of closing the beach to swimmers and divers.</w:t>
            </w:r>
          </w:p>
        </w:tc>
        <w:tc>
          <w:tcPr>
            <w:tcW w:w="3802" w:type="dxa"/>
            <w:shd w:val="clear" w:color="auto" w:fill="auto"/>
          </w:tcPr>
          <w:p w14:paraId="1C1D0C92" w14:textId="10AA29AC" w:rsidR="00A70030" w:rsidRDefault="00A70030" w:rsidP="00082694">
            <w:pPr>
              <w:spacing w:before="60" w:after="60" w:line="240" w:lineRule="auto"/>
              <w:ind w:left="0"/>
              <w:rPr>
                <w:rFonts w:cs="Arial"/>
                <w:sz w:val="20"/>
                <w:szCs w:val="20"/>
              </w:rPr>
            </w:pPr>
            <w:r>
              <w:rPr>
                <w:rFonts w:cs="Arial"/>
                <w:sz w:val="20"/>
                <w:szCs w:val="20"/>
              </w:rPr>
              <w:t>In parallel with the GPBRA sending this letter in the post, CarbonNet sent an email on 4/9/17 outlining the commitments made regarding timing for the MSS in response to concerns regarding the fishing competition and summer tourism, namely:</w:t>
            </w:r>
          </w:p>
          <w:p w14:paraId="21780BA4" w14:textId="77777777" w:rsidR="00A70030" w:rsidRPr="000D2A4E" w:rsidRDefault="00A70030" w:rsidP="00082694">
            <w:pPr>
              <w:pStyle w:val="ListParagraph0"/>
              <w:numPr>
                <w:ilvl w:val="0"/>
                <w:numId w:val="525"/>
              </w:numPr>
              <w:spacing w:before="60" w:after="60" w:line="240" w:lineRule="auto"/>
              <w:rPr>
                <w:rFonts w:cs="Arial"/>
                <w:sz w:val="20"/>
                <w:szCs w:val="20"/>
              </w:rPr>
            </w:pPr>
            <w:r w:rsidRPr="000D2A4E">
              <w:rPr>
                <w:rFonts w:cs="Arial"/>
                <w:sz w:val="20"/>
                <w:szCs w:val="20"/>
              </w:rPr>
              <w:t xml:space="preserve">Not undertaking the survey between the Christmas holiday period (24th December 2017 through to the Australia Day long weekend, ending 28th January 2018). </w:t>
            </w:r>
          </w:p>
          <w:p w14:paraId="258E2D38" w14:textId="15635AD0" w:rsidR="00A70030" w:rsidRPr="00891DE1" w:rsidRDefault="00A70030" w:rsidP="00891DE1">
            <w:pPr>
              <w:pStyle w:val="ListParagraph0"/>
              <w:numPr>
                <w:ilvl w:val="0"/>
                <w:numId w:val="525"/>
              </w:numPr>
              <w:spacing w:before="60" w:after="60" w:line="240" w:lineRule="auto"/>
              <w:rPr>
                <w:rFonts w:cs="Arial"/>
                <w:sz w:val="20"/>
                <w:szCs w:val="20"/>
              </w:rPr>
            </w:pPr>
            <w:r w:rsidRPr="00891DE1">
              <w:rPr>
                <w:rFonts w:cs="Arial"/>
                <w:sz w:val="20"/>
                <w:szCs w:val="20"/>
              </w:rPr>
              <w:t>Endeavouring to avoid survey acquisition during the Easter long weekend (30th March to 2nd April 2018).</w:t>
            </w:r>
          </w:p>
        </w:tc>
      </w:tr>
      <w:tr w:rsidR="00A70030" w:rsidRPr="00FF0808" w14:paraId="4764A238" w14:textId="77777777" w:rsidTr="00891DE1">
        <w:tc>
          <w:tcPr>
            <w:tcW w:w="1427" w:type="dxa"/>
            <w:tcBorders>
              <w:top w:val="nil"/>
              <w:bottom w:val="nil"/>
            </w:tcBorders>
            <w:shd w:val="clear" w:color="auto" w:fill="auto"/>
          </w:tcPr>
          <w:p w14:paraId="03E9C1C3"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9BB1A40" w14:textId="77777777" w:rsidR="00A70030" w:rsidRPr="00FF0808" w:rsidRDefault="00A70030" w:rsidP="00073385">
            <w:pPr>
              <w:spacing w:before="60" w:after="60" w:line="240" w:lineRule="auto"/>
              <w:ind w:left="0"/>
              <w:rPr>
                <w:rFonts w:cs="Arial"/>
                <w:sz w:val="20"/>
                <w:szCs w:val="20"/>
              </w:rPr>
            </w:pPr>
          </w:p>
        </w:tc>
        <w:tc>
          <w:tcPr>
            <w:tcW w:w="1055" w:type="dxa"/>
          </w:tcPr>
          <w:p w14:paraId="59EADCDE" w14:textId="1F9F94F0" w:rsidR="00A70030" w:rsidRDefault="00A70030" w:rsidP="00073385">
            <w:pPr>
              <w:spacing w:before="60" w:after="60" w:line="240" w:lineRule="auto"/>
              <w:ind w:left="0"/>
              <w:rPr>
                <w:rFonts w:cs="Arial"/>
                <w:sz w:val="20"/>
                <w:szCs w:val="20"/>
              </w:rPr>
            </w:pPr>
            <w:r>
              <w:rPr>
                <w:rFonts w:cs="Arial"/>
                <w:sz w:val="20"/>
                <w:szCs w:val="20"/>
              </w:rPr>
              <w:t>5/9/17</w:t>
            </w:r>
          </w:p>
        </w:tc>
        <w:tc>
          <w:tcPr>
            <w:tcW w:w="6335" w:type="dxa"/>
            <w:shd w:val="clear" w:color="auto" w:fill="auto"/>
          </w:tcPr>
          <w:p w14:paraId="48217794" w14:textId="3A84418F" w:rsidR="00A70030" w:rsidRDefault="00A70030" w:rsidP="00082694">
            <w:pPr>
              <w:spacing w:before="60" w:after="60" w:line="240" w:lineRule="auto"/>
              <w:ind w:left="0"/>
              <w:rPr>
                <w:rFonts w:cs="Arial"/>
                <w:sz w:val="20"/>
                <w:szCs w:val="20"/>
              </w:rPr>
            </w:pPr>
            <w:r>
              <w:rPr>
                <w:rFonts w:cs="Arial"/>
                <w:sz w:val="20"/>
                <w:szCs w:val="20"/>
              </w:rPr>
              <w:t>CarbonNet spoke to GPBRA on the phone following CarbonNet’s email of 4/9/17. GPBRA explained that they have written a letter to CarbonNet (dated 31/8/17) that outlines their concerns about the MSS, in particular the requirement for swimmers to stay out of the water and the impact on the Easter fishing competition.</w:t>
            </w:r>
          </w:p>
          <w:p w14:paraId="222825C3" w14:textId="46F5520A" w:rsidR="00A70030" w:rsidRDefault="00A70030" w:rsidP="00073385">
            <w:pPr>
              <w:spacing w:before="60" w:after="60" w:line="240" w:lineRule="auto"/>
              <w:ind w:left="0"/>
              <w:rPr>
                <w:rFonts w:cs="Arial"/>
                <w:sz w:val="20"/>
                <w:szCs w:val="20"/>
              </w:rPr>
            </w:pPr>
            <w:r>
              <w:rPr>
                <w:rFonts w:cs="Arial"/>
                <w:sz w:val="20"/>
                <w:szCs w:val="20"/>
              </w:rPr>
              <w:t xml:space="preserve">GPBRA’s view is that any time in March is unacceptable for the MSS to occur, as they believe following seismic activity fish are slow to return to the area and they wish for the Easter fishing competition at the end of March to be a success. The fishing competition is </w:t>
            </w:r>
            <w:r>
              <w:rPr>
                <w:rFonts w:cs="Arial"/>
                <w:sz w:val="20"/>
                <w:szCs w:val="20"/>
              </w:rPr>
              <w:lastRenderedPageBreak/>
              <w:t>celebrating its 60</w:t>
            </w:r>
            <w:r w:rsidRPr="000D2A4E">
              <w:rPr>
                <w:rFonts w:cs="Arial"/>
                <w:sz w:val="20"/>
                <w:szCs w:val="20"/>
                <w:vertAlign w:val="superscript"/>
              </w:rPr>
              <w:t>th</w:t>
            </w:r>
            <w:r>
              <w:rPr>
                <w:rFonts w:cs="Arial"/>
                <w:sz w:val="20"/>
                <w:szCs w:val="20"/>
              </w:rPr>
              <w:t xml:space="preserve"> anniversary in 2018 and businesses depend on the money they make at that time of year to see them through the winter months.</w:t>
            </w:r>
          </w:p>
        </w:tc>
        <w:tc>
          <w:tcPr>
            <w:tcW w:w="3802" w:type="dxa"/>
            <w:shd w:val="clear" w:color="auto" w:fill="auto"/>
          </w:tcPr>
          <w:p w14:paraId="4C592B57" w14:textId="77777777" w:rsidR="00A70030" w:rsidRDefault="00A70030" w:rsidP="00082694">
            <w:pPr>
              <w:spacing w:before="60" w:after="60" w:line="240" w:lineRule="auto"/>
              <w:ind w:left="0"/>
              <w:rPr>
                <w:rFonts w:cs="Arial"/>
                <w:sz w:val="20"/>
                <w:szCs w:val="20"/>
              </w:rPr>
            </w:pPr>
            <w:r>
              <w:rPr>
                <w:rFonts w:cs="Arial"/>
                <w:sz w:val="20"/>
                <w:szCs w:val="20"/>
              </w:rPr>
              <w:lastRenderedPageBreak/>
              <w:t>CarbonNet discussed the commitments made to avoid Christmas to Australia Day and the Easter long weekend.</w:t>
            </w:r>
          </w:p>
          <w:p w14:paraId="13E07D0D" w14:textId="469EDDF1" w:rsidR="00A70030" w:rsidRDefault="00A70030" w:rsidP="00082694">
            <w:pPr>
              <w:spacing w:before="60" w:after="60" w:line="240" w:lineRule="auto"/>
              <w:ind w:left="0"/>
              <w:rPr>
                <w:rFonts w:cs="Arial"/>
                <w:sz w:val="20"/>
                <w:szCs w:val="20"/>
              </w:rPr>
            </w:pPr>
            <w:r>
              <w:rPr>
                <w:rFonts w:cs="Arial"/>
                <w:sz w:val="20"/>
                <w:szCs w:val="20"/>
              </w:rPr>
              <w:t>CarbonNet explained that it can’t confirm exactly when the MSS will occur yet as several aspects are not within its control, including the weather, sea state and the availability of the services of a vessel.</w:t>
            </w:r>
          </w:p>
          <w:p w14:paraId="262A2A66" w14:textId="77777777" w:rsidR="00A70030" w:rsidRDefault="00A70030" w:rsidP="00082694">
            <w:pPr>
              <w:spacing w:before="60" w:after="60" w:line="240" w:lineRule="auto"/>
              <w:ind w:left="0"/>
              <w:rPr>
                <w:rFonts w:cs="Arial"/>
                <w:sz w:val="20"/>
                <w:szCs w:val="20"/>
              </w:rPr>
            </w:pPr>
            <w:r>
              <w:rPr>
                <w:rFonts w:cs="Arial"/>
                <w:sz w:val="20"/>
                <w:szCs w:val="20"/>
              </w:rPr>
              <w:lastRenderedPageBreak/>
              <w:t>CarbonNet discussed its willingness to work with the community on positive initiatives to ensure the fishing competition is a success.</w:t>
            </w:r>
          </w:p>
          <w:p w14:paraId="793D8001" w14:textId="3AA95A41" w:rsidR="00A70030" w:rsidRDefault="00A70030" w:rsidP="00073385">
            <w:pPr>
              <w:spacing w:before="60" w:after="60" w:line="240" w:lineRule="auto"/>
              <w:ind w:left="0"/>
              <w:rPr>
                <w:rFonts w:cs="Arial"/>
                <w:sz w:val="20"/>
                <w:szCs w:val="20"/>
              </w:rPr>
            </w:pPr>
            <w:r>
              <w:rPr>
                <w:rFonts w:cs="Arial"/>
                <w:sz w:val="20"/>
                <w:szCs w:val="20"/>
              </w:rPr>
              <w:t>CarbonNet will schedule a follow up meeting with the fishing competition organiser, as well as an operational planning meeting later in the year.</w:t>
            </w:r>
          </w:p>
        </w:tc>
      </w:tr>
      <w:tr w:rsidR="00A70030" w:rsidRPr="00FF0808" w14:paraId="46BEE64A" w14:textId="77777777" w:rsidTr="00891DE1">
        <w:tc>
          <w:tcPr>
            <w:tcW w:w="1427" w:type="dxa"/>
            <w:tcBorders>
              <w:top w:val="nil"/>
              <w:bottom w:val="nil"/>
            </w:tcBorders>
            <w:shd w:val="clear" w:color="auto" w:fill="auto"/>
          </w:tcPr>
          <w:p w14:paraId="29CE5CAD"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CC6341C" w14:textId="77777777" w:rsidR="00A70030" w:rsidRPr="00FF0808" w:rsidRDefault="00A70030" w:rsidP="00073385">
            <w:pPr>
              <w:spacing w:before="60" w:after="60" w:line="240" w:lineRule="auto"/>
              <w:ind w:left="0"/>
              <w:rPr>
                <w:rFonts w:cs="Arial"/>
                <w:sz w:val="20"/>
                <w:szCs w:val="20"/>
              </w:rPr>
            </w:pPr>
          </w:p>
        </w:tc>
        <w:tc>
          <w:tcPr>
            <w:tcW w:w="1055" w:type="dxa"/>
          </w:tcPr>
          <w:p w14:paraId="0AC9F928" w14:textId="59C370D8" w:rsidR="00A70030" w:rsidRDefault="00A70030" w:rsidP="00073385">
            <w:pPr>
              <w:spacing w:before="60" w:after="60" w:line="240" w:lineRule="auto"/>
              <w:ind w:left="0"/>
              <w:rPr>
                <w:rFonts w:cs="Arial"/>
                <w:sz w:val="20"/>
                <w:szCs w:val="20"/>
              </w:rPr>
            </w:pPr>
            <w:r>
              <w:rPr>
                <w:rFonts w:cs="Arial"/>
                <w:sz w:val="20"/>
                <w:szCs w:val="20"/>
              </w:rPr>
              <w:t>3/10/17</w:t>
            </w:r>
          </w:p>
        </w:tc>
        <w:tc>
          <w:tcPr>
            <w:tcW w:w="6335" w:type="dxa"/>
            <w:shd w:val="clear" w:color="auto" w:fill="auto"/>
          </w:tcPr>
          <w:p w14:paraId="01682510" w14:textId="39CCF0A0" w:rsidR="00A70030" w:rsidRDefault="00A70030" w:rsidP="00082694">
            <w:pPr>
              <w:spacing w:before="60" w:after="60" w:line="240" w:lineRule="auto"/>
              <w:ind w:left="0"/>
              <w:rPr>
                <w:rFonts w:cs="Arial"/>
                <w:sz w:val="20"/>
                <w:szCs w:val="20"/>
              </w:rPr>
            </w:pPr>
            <w:r>
              <w:rPr>
                <w:rFonts w:cs="Arial"/>
                <w:sz w:val="20"/>
                <w:szCs w:val="20"/>
              </w:rPr>
              <w:t>CarbonNet responded to GPBRA’s letter via post and email. The letter reconfirmed the commitments made regarding timing (to not undertake the survey between Christmas and Australia Day, and to avoid the Easter long weekend) and confirmed a meeting with the fishing competition organiser in Golden Beach.</w:t>
            </w:r>
          </w:p>
        </w:tc>
        <w:tc>
          <w:tcPr>
            <w:tcW w:w="3802" w:type="dxa"/>
            <w:shd w:val="clear" w:color="auto" w:fill="auto"/>
          </w:tcPr>
          <w:p w14:paraId="13628CC4" w14:textId="06380205" w:rsidR="00A70030" w:rsidRDefault="00A70030" w:rsidP="00082694">
            <w:pPr>
              <w:spacing w:before="60" w:after="60" w:line="240" w:lineRule="auto"/>
              <w:ind w:left="0"/>
              <w:rPr>
                <w:rFonts w:cs="Arial"/>
                <w:sz w:val="20"/>
                <w:szCs w:val="20"/>
              </w:rPr>
            </w:pPr>
            <w:r>
              <w:rPr>
                <w:rFonts w:cs="Arial"/>
                <w:sz w:val="20"/>
                <w:szCs w:val="20"/>
              </w:rPr>
              <w:t>N/A</w:t>
            </w:r>
          </w:p>
        </w:tc>
      </w:tr>
      <w:tr w:rsidR="00A70030" w:rsidRPr="00FF0808" w14:paraId="3506DB72" w14:textId="77777777" w:rsidTr="00891DE1">
        <w:tc>
          <w:tcPr>
            <w:tcW w:w="1427" w:type="dxa"/>
            <w:tcBorders>
              <w:top w:val="nil"/>
              <w:bottom w:val="nil"/>
            </w:tcBorders>
            <w:shd w:val="clear" w:color="auto" w:fill="auto"/>
          </w:tcPr>
          <w:p w14:paraId="6BBE1822"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6B0B653" w14:textId="77777777" w:rsidR="00A70030" w:rsidRPr="00FF0808" w:rsidRDefault="00A70030" w:rsidP="00073385">
            <w:pPr>
              <w:spacing w:before="60" w:after="60" w:line="240" w:lineRule="auto"/>
              <w:ind w:left="0"/>
              <w:rPr>
                <w:rFonts w:cs="Arial"/>
                <w:sz w:val="20"/>
                <w:szCs w:val="20"/>
              </w:rPr>
            </w:pPr>
          </w:p>
        </w:tc>
        <w:tc>
          <w:tcPr>
            <w:tcW w:w="1055" w:type="dxa"/>
          </w:tcPr>
          <w:p w14:paraId="744F9698" w14:textId="2DB22FC4" w:rsidR="00A70030" w:rsidRDefault="00A70030" w:rsidP="00073385">
            <w:pPr>
              <w:spacing w:before="60" w:after="60" w:line="240" w:lineRule="auto"/>
              <w:ind w:left="0"/>
              <w:rPr>
                <w:rFonts w:cs="Arial"/>
                <w:sz w:val="20"/>
                <w:szCs w:val="20"/>
              </w:rPr>
            </w:pPr>
            <w:r>
              <w:rPr>
                <w:rFonts w:cs="Arial"/>
                <w:sz w:val="20"/>
                <w:szCs w:val="20"/>
              </w:rPr>
              <w:t>4/10/17</w:t>
            </w:r>
          </w:p>
        </w:tc>
        <w:tc>
          <w:tcPr>
            <w:tcW w:w="6335" w:type="dxa"/>
            <w:shd w:val="clear" w:color="auto" w:fill="auto"/>
          </w:tcPr>
          <w:p w14:paraId="2C513C95" w14:textId="27DF43A7" w:rsidR="00A70030" w:rsidRDefault="00A70030" w:rsidP="00082694">
            <w:pPr>
              <w:spacing w:before="60" w:after="60" w:line="240" w:lineRule="auto"/>
              <w:ind w:left="0"/>
              <w:rPr>
                <w:rFonts w:cs="Arial"/>
                <w:sz w:val="20"/>
                <w:szCs w:val="20"/>
              </w:rPr>
            </w:pPr>
            <w:r>
              <w:rPr>
                <w:rFonts w:cs="Arial"/>
                <w:sz w:val="20"/>
                <w:szCs w:val="20"/>
              </w:rPr>
              <w:t xml:space="preserve">CarbonNet spoke to GPBRA on the phone to confirm the letter regarding timing commitments and future meetings was received via email, and to confirm a meeting in Golden Beach on 11/10/17 with the organiser of the fishing competition. </w:t>
            </w:r>
          </w:p>
        </w:tc>
        <w:tc>
          <w:tcPr>
            <w:tcW w:w="3802" w:type="dxa"/>
            <w:shd w:val="clear" w:color="auto" w:fill="auto"/>
          </w:tcPr>
          <w:p w14:paraId="438DE13E" w14:textId="3B332227" w:rsidR="00A70030" w:rsidRDefault="00A70030" w:rsidP="00082694">
            <w:pPr>
              <w:spacing w:before="60" w:after="60" w:line="240" w:lineRule="auto"/>
              <w:ind w:left="0"/>
              <w:rPr>
                <w:rFonts w:cs="Arial"/>
                <w:sz w:val="20"/>
                <w:szCs w:val="20"/>
              </w:rPr>
            </w:pPr>
            <w:r>
              <w:rPr>
                <w:rFonts w:cs="Arial"/>
                <w:sz w:val="20"/>
                <w:szCs w:val="20"/>
              </w:rPr>
              <w:t>GPBRA thanked CarbonNet for the letter.</w:t>
            </w:r>
          </w:p>
        </w:tc>
      </w:tr>
      <w:tr w:rsidR="00A70030" w:rsidRPr="00FF0808" w14:paraId="4AF5EF1B" w14:textId="77777777" w:rsidTr="00891DE1">
        <w:tc>
          <w:tcPr>
            <w:tcW w:w="1427" w:type="dxa"/>
            <w:tcBorders>
              <w:top w:val="nil"/>
              <w:bottom w:val="nil"/>
            </w:tcBorders>
            <w:shd w:val="clear" w:color="auto" w:fill="auto"/>
          </w:tcPr>
          <w:p w14:paraId="52890935" w14:textId="77777777" w:rsidR="00A70030" w:rsidRDefault="00A70030"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E332871" w14:textId="77777777" w:rsidR="00A70030" w:rsidRPr="00FF0808" w:rsidRDefault="00A70030" w:rsidP="00073385">
            <w:pPr>
              <w:spacing w:before="60" w:after="60" w:line="240" w:lineRule="auto"/>
              <w:ind w:left="0"/>
              <w:rPr>
                <w:rFonts w:cs="Arial"/>
                <w:sz w:val="20"/>
                <w:szCs w:val="20"/>
              </w:rPr>
            </w:pPr>
          </w:p>
        </w:tc>
        <w:tc>
          <w:tcPr>
            <w:tcW w:w="1055" w:type="dxa"/>
          </w:tcPr>
          <w:p w14:paraId="3BA3705C" w14:textId="57E2BC18" w:rsidR="00A70030" w:rsidRDefault="00A70030" w:rsidP="00073385">
            <w:pPr>
              <w:spacing w:before="60" w:after="60" w:line="240" w:lineRule="auto"/>
              <w:ind w:left="0"/>
              <w:rPr>
                <w:rFonts w:cs="Arial"/>
                <w:sz w:val="20"/>
                <w:szCs w:val="20"/>
              </w:rPr>
            </w:pPr>
            <w:r>
              <w:rPr>
                <w:rFonts w:cs="Arial"/>
                <w:sz w:val="20"/>
                <w:szCs w:val="20"/>
              </w:rPr>
              <w:t>11/10/17</w:t>
            </w:r>
          </w:p>
        </w:tc>
        <w:tc>
          <w:tcPr>
            <w:tcW w:w="6335" w:type="dxa"/>
            <w:shd w:val="clear" w:color="auto" w:fill="auto"/>
          </w:tcPr>
          <w:p w14:paraId="61A00338" w14:textId="77777777" w:rsidR="00A70030" w:rsidRDefault="00A70030" w:rsidP="004C5F45">
            <w:pPr>
              <w:spacing w:before="60" w:after="60" w:line="240" w:lineRule="auto"/>
              <w:ind w:left="0"/>
              <w:rPr>
                <w:rFonts w:cs="Arial"/>
                <w:sz w:val="20"/>
                <w:szCs w:val="20"/>
              </w:rPr>
            </w:pPr>
            <w:r>
              <w:rPr>
                <w:rFonts w:cs="Arial"/>
                <w:sz w:val="20"/>
                <w:szCs w:val="20"/>
              </w:rPr>
              <w:t>CarbonNet met with GPBRA and the fishing competition organisers in Golden Beach to discuss their concerns and how CarbonNet was seeking to address them. Key areas discussed included:</w:t>
            </w:r>
          </w:p>
          <w:p w14:paraId="52A86A50" w14:textId="5AE42A20" w:rsidR="00A70030" w:rsidRPr="00CC1BFF" w:rsidRDefault="00A70030" w:rsidP="005A4657">
            <w:pPr>
              <w:pStyle w:val="ListParagraph0"/>
              <w:numPr>
                <w:ilvl w:val="0"/>
                <w:numId w:val="537"/>
              </w:numPr>
              <w:spacing w:before="60" w:after="60" w:line="240" w:lineRule="auto"/>
              <w:rPr>
                <w:rFonts w:cs="Arial"/>
                <w:sz w:val="20"/>
                <w:szCs w:val="20"/>
              </w:rPr>
            </w:pPr>
            <w:r w:rsidRPr="00CC1BFF">
              <w:rPr>
                <w:rFonts w:cs="Arial"/>
                <w:sz w:val="20"/>
                <w:szCs w:val="20"/>
              </w:rPr>
              <w:t>Potential impacts on fish, in particular the time it may take fo</w:t>
            </w:r>
            <w:r>
              <w:rPr>
                <w:rFonts w:cs="Arial"/>
                <w:sz w:val="20"/>
                <w:szCs w:val="20"/>
              </w:rPr>
              <w:t>r fish to return to the area after the MSS;</w:t>
            </w:r>
            <w:r w:rsidRPr="00CC1BFF">
              <w:rPr>
                <w:rFonts w:cs="Arial"/>
                <w:sz w:val="20"/>
                <w:szCs w:val="20"/>
              </w:rPr>
              <w:t xml:space="preserve"> </w:t>
            </w:r>
          </w:p>
          <w:p w14:paraId="22035947" w14:textId="7E30FFE3" w:rsidR="00A70030" w:rsidRPr="00CC1BFF" w:rsidRDefault="00A70030" w:rsidP="005A4657">
            <w:pPr>
              <w:pStyle w:val="ListParagraph0"/>
              <w:numPr>
                <w:ilvl w:val="0"/>
                <w:numId w:val="537"/>
              </w:numPr>
              <w:spacing w:before="60" w:after="60" w:line="240" w:lineRule="auto"/>
              <w:rPr>
                <w:rFonts w:cs="Arial"/>
                <w:sz w:val="20"/>
                <w:szCs w:val="20"/>
              </w:rPr>
            </w:pPr>
            <w:r w:rsidRPr="00CC1BFF">
              <w:rPr>
                <w:rFonts w:cs="Arial"/>
                <w:sz w:val="20"/>
                <w:szCs w:val="20"/>
              </w:rPr>
              <w:t>Timing of the survey</w:t>
            </w:r>
            <w:r>
              <w:rPr>
                <w:rFonts w:cs="Arial"/>
                <w:sz w:val="20"/>
                <w:szCs w:val="20"/>
              </w:rPr>
              <w:t>; and</w:t>
            </w:r>
            <w:r w:rsidRPr="00CC1BFF">
              <w:rPr>
                <w:rFonts w:cs="Arial"/>
                <w:sz w:val="20"/>
                <w:szCs w:val="20"/>
              </w:rPr>
              <w:t xml:space="preserve"> </w:t>
            </w:r>
          </w:p>
          <w:p w14:paraId="7584C6F1" w14:textId="1039DB08" w:rsidR="00A70030" w:rsidRPr="00CC1BFF" w:rsidRDefault="00A70030" w:rsidP="005A4657">
            <w:pPr>
              <w:pStyle w:val="ListParagraph0"/>
              <w:numPr>
                <w:ilvl w:val="0"/>
                <w:numId w:val="537"/>
              </w:numPr>
              <w:spacing w:before="60" w:after="60" w:line="240" w:lineRule="auto"/>
              <w:rPr>
                <w:rFonts w:cs="Arial"/>
                <w:sz w:val="20"/>
                <w:szCs w:val="20"/>
              </w:rPr>
            </w:pPr>
            <w:r w:rsidRPr="00CC1BFF">
              <w:rPr>
                <w:rFonts w:cs="Arial"/>
                <w:sz w:val="20"/>
                <w:szCs w:val="20"/>
              </w:rPr>
              <w:t>Notifications to swimmers</w:t>
            </w:r>
            <w:r>
              <w:rPr>
                <w:rFonts w:cs="Arial"/>
                <w:sz w:val="20"/>
                <w:szCs w:val="20"/>
              </w:rPr>
              <w:t xml:space="preserve"> and</w:t>
            </w:r>
            <w:r w:rsidRPr="00CC1BFF">
              <w:rPr>
                <w:rFonts w:cs="Arial"/>
                <w:sz w:val="20"/>
                <w:szCs w:val="20"/>
              </w:rPr>
              <w:t xml:space="preserve"> impacts on holiday makers</w:t>
            </w:r>
            <w:r>
              <w:rPr>
                <w:rFonts w:cs="Arial"/>
                <w:sz w:val="20"/>
                <w:szCs w:val="20"/>
              </w:rPr>
              <w:t>.</w:t>
            </w:r>
          </w:p>
          <w:p w14:paraId="081A5643" w14:textId="0C907AAB" w:rsidR="004C6BC5" w:rsidRDefault="00A70030">
            <w:pPr>
              <w:spacing w:before="60" w:after="60" w:line="240" w:lineRule="auto"/>
              <w:ind w:left="0"/>
              <w:rPr>
                <w:rFonts w:cs="Arial"/>
                <w:sz w:val="20"/>
                <w:szCs w:val="20"/>
              </w:rPr>
            </w:pPr>
            <w:r>
              <w:rPr>
                <w:rFonts w:cs="Arial"/>
                <w:sz w:val="20"/>
                <w:szCs w:val="20"/>
              </w:rPr>
              <w:t>CarbonNet explained the rationale for the timing of the survey to meet the needs of many different stakeholders and undertook to provide further information about the assessment of impacts on fish and work with the fishing competition organisers to support the local community. Carbonnet also advised that once a vessel is contracted, it will also consult key stakeholder groups on operational planning aspects to minimise impacts or disruption to holiday makers.</w:t>
            </w:r>
            <w:r w:rsidR="002B4B0F">
              <w:rPr>
                <w:rFonts w:cs="Arial"/>
                <w:sz w:val="20"/>
                <w:szCs w:val="20"/>
              </w:rPr>
              <w:t xml:space="preserve"> CarbonNet also confirmed that its preference is for the MSS to be undertaken in February, subject to vessel availability and sea state conditions. </w:t>
            </w:r>
          </w:p>
        </w:tc>
        <w:tc>
          <w:tcPr>
            <w:tcW w:w="3802" w:type="dxa"/>
            <w:shd w:val="clear" w:color="auto" w:fill="auto"/>
          </w:tcPr>
          <w:p w14:paraId="48950120" w14:textId="53102EFB" w:rsidR="00A70030" w:rsidRDefault="00A70030" w:rsidP="004C5F45">
            <w:pPr>
              <w:spacing w:before="60" w:after="60" w:line="240" w:lineRule="auto"/>
              <w:ind w:left="0"/>
              <w:rPr>
                <w:rFonts w:cs="Arial"/>
                <w:sz w:val="20"/>
                <w:szCs w:val="20"/>
              </w:rPr>
            </w:pPr>
            <w:r>
              <w:rPr>
                <w:rFonts w:cs="Arial"/>
                <w:sz w:val="20"/>
                <w:szCs w:val="20"/>
              </w:rPr>
              <w:t xml:space="preserve">CarbonNet is seeking to address as many stakeholder preferences as possible regarding the timing of the MSS, and is focusing on February as the optimum outcome. </w:t>
            </w:r>
          </w:p>
          <w:p w14:paraId="17590923" w14:textId="77777777" w:rsidR="00A70030" w:rsidRDefault="00A70030" w:rsidP="004C5F45">
            <w:pPr>
              <w:spacing w:before="60" w:after="60" w:line="240" w:lineRule="auto"/>
              <w:ind w:left="0"/>
              <w:rPr>
                <w:rFonts w:cs="Arial"/>
                <w:sz w:val="20"/>
                <w:szCs w:val="20"/>
              </w:rPr>
            </w:pPr>
          </w:p>
          <w:p w14:paraId="756BFDD6" w14:textId="07CAD046" w:rsidR="00A70030" w:rsidRDefault="00A70030" w:rsidP="00082694">
            <w:pPr>
              <w:spacing w:before="60" w:after="60" w:line="240" w:lineRule="auto"/>
              <w:ind w:left="0"/>
              <w:rPr>
                <w:rFonts w:cs="Arial"/>
                <w:sz w:val="20"/>
                <w:szCs w:val="20"/>
              </w:rPr>
            </w:pPr>
            <w:r>
              <w:rPr>
                <w:rFonts w:cs="Arial"/>
                <w:sz w:val="20"/>
                <w:szCs w:val="20"/>
              </w:rPr>
              <w:t>CarbonNet made an offer to contribute to the fishing competition promotional aspects (advertising).</w:t>
            </w:r>
          </w:p>
        </w:tc>
      </w:tr>
      <w:tr w:rsidR="006B7941" w:rsidRPr="00FF0808" w14:paraId="6943298B" w14:textId="77777777" w:rsidTr="0024586D">
        <w:tc>
          <w:tcPr>
            <w:tcW w:w="1427" w:type="dxa"/>
            <w:tcBorders>
              <w:top w:val="nil"/>
            </w:tcBorders>
            <w:shd w:val="clear" w:color="auto" w:fill="auto"/>
          </w:tcPr>
          <w:p w14:paraId="7E3F41A5" w14:textId="77777777" w:rsidR="006B7941" w:rsidRDefault="006B7941" w:rsidP="00073385">
            <w:pPr>
              <w:spacing w:before="60" w:after="60" w:line="240" w:lineRule="auto"/>
              <w:ind w:left="0"/>
              <w:rPr>
                <w:rFonts w:cs="Arial"/>
                <w:sz w:val="20"/>
                <w:szCs w:val="20"/>
              </w:rPr>
            </w:pPr>
          </w:p>
        </w:tc>
        <w:tc>
          <w:tcPr>
            <w:tcW w:w="1629" w:type="dxa"/>
            <w:tcBorders>
              <w:top w:val="nil"/>
            </w:tcBorders>
            <w:shd w:val="clear" w:color="auto" w:fill="auto"/>
          </w:tcPr>
          <w:p w14:paraId="5BC64A7B" w14:textId="77777777" w:rsidR="006B7941" w:rsidRPr="00FF0808" w:rsidRDefault="006B7941" w:rsidP="00073385">
            <w:pPr>
              <w:spacing w:before="60" w:after="60" w:line="240" w:lineRule="auto"/>
              <w:ind w:left="0"/>
              <w:rPr>
                <w:rFonts w:cs="Arial"/>
                <w:sz w:val="20"/>
                <w:szCs w:val="20"/>
              </w:rPr>
            </w:pPr>
          </w:p>
        </w:tc>
        <w:tc>
          <w:tcPr>
            <w:tcW w:w="1055" w:type="dxa"/>
          </w:tcPr>
          <w:p w14:paraId="6CF1DD65" w14:textId="77777777" w:rsidR="006B7941" w:rsidRPr="00891DE1" w:rsidRDefault="006B7941" w:rsidP="007C6C71">
            <w:pPr>
              <w:numPr>
                <w:ilvl w:val="0"/>
                <w:numId w:val="2"/>
              </w:numPr>
              <w:spacing w:before="60" w:after="60" w:line="240" w:lineRule="auto"/>
              <w:ind w:left="0"/>
              <w:rPr>
                <w:rFonts w:cs="Arial"/>
                <w:sz w:val="20"/>
                <w:szCs w:val="20"/>
              </w:rPr>
            </w:pPr>
            <w:r w:rsidRPr="00891DE1">
              <w:rPr>
                <w:rFonts w:cs="Arial"/>
                <w:sz w:val="20"/>
                <w:szCs w:val="20"/>
              </w:rPr>
              <w:t>13/10/17</w:t>
            </w:r>
          </w:p>
          <w:p w14:paraId="15C765FA" w14:textId="77777777" w:rsidR="006B7941" w:rsidRPr="00891DE1" w:rsidRDefault="006B7941" w:rsidP="007C6C71">
            <w:pPr>
              <w:tabs>
                <w:tab w:val="left" w:pos="1620"/>
                <w:tab w:val="right" w:leader="dot" w:pos="8296"/>
              </w:tabs>
              <w:spacing w:before="60" w:after="60" w:line="240" w:lineRule="auto"/>
              <w:ind w:left="0" w:hanging="900"/>
              <w:rPr>
                <w:rFonts w:cs="Arial"/>
                <w:sz w:val="20"/>
                <w:szCs w:val="20"/>
              </w:rPr>
            </w:pPr>
          </w:p>
          <w:p w14:paraId="61242DF8" w14:textId="77777777" w:rsidR="006B7941" w:rsidRPr="00891DE1" w:rsidRDefault="006B7941" w:rsidP="00073385">
            <w:pPr>
              <w:tabs>
                <w:tab w:val="left" w:pos="1620"/>
                <w:tab w:val="right" w:leader="dot" w:pos="8296"/>
              </w:tabs>
              <w:spacing w:before="60" w:after="60" w:line="240" w:lineRule="auto"/>
              <w:ind w:left="0" w:hanging="900"/>
              <w:rPr>
                <w:rFonts w:cs="Arial"/>
                <w:b/>
                <w:sz w:val="20"/>
                <w:szCs w:val="20"/>
              </w:rPr>
            </w:pPr>
          </w:p>
        </w:tc>
        <w:tc>
          <w:tcPr>
            <w:tcW w:w="6335" w:type="dxa"/>
            <w:shd w:val="clear" w:color="auto" w:fill="auto"/>
          </w:tcPr>
          <w:p w14:paraId="44046267" w14:textId="62885568" w:rsidR="006B7941" w:rsidRPr="006B7941" w:rsidRDefault="006B7941">
            <w:pPr>
              <w:spacing w:before="60" w:after="60" w:line="240" w:lineRule="auto"/>
              <w:ind w:left="0"/>
              <w:rPr>
                <w:rFonts w:cs="Arial"/>
                <w:sz w:val="20"/>
                <w:szCs w:val="20"/>
              </w:rPr>
            </w:pPr>
            <w:r w:rsidRPr="00891DE1">
              <w:rPr>
                <w:rFonts w:cs="Arial"/>
                <w:sz w:val="20"/>
                <w:szCs w:val="20"/>
              </w:rPr>
              <w:t xml:space="preserve">CarbonNet sent emails/letter to GPBRA and fishing competition organisers following the meeting held on 11/10/17, providing a copy of extracts from the EP that assess the potential impacts on fish and plankton. CarbonNet advised that it is keen to work collaboratively with GPBRA, fishing competition organisers and the local community to minimise potential disruption and impact on the fishing competitions. CarbonNet also formally offered to contribute towards some local advertising in newspapers and signage to promote the upcoming fishing competitions. </w:t>
            </w:r>
          </w:p>
        </w:tc>
        <w:tc>
          <w:tcPr>
            <w:tcW w:w="3802" w:type="dxa"/>
            <w:shd w:val="clear" w:color="auto" w:fill="auto"/>
          </w:tcPr>
          <w:p w14:paraId="773FE50D" w14:textId="24922161" w:rsidR="006B7941" w:rsidRDefault="006B7941" w:rsidP="004C5F45">
            <w:pPr>
              <w:spacing w:before="60" w:after="60" w:line="240" w:lineRule="auto"/>
              <w:ind w:left="0"/>
              <w:rPr>
                <w:rFonts w:cs="Arial"/>
                <w:sz w:val="20"/>
                <w:szCs w:val="20"/>
              </w:rPr>
            </w:pPr>
            <w:r>
              <w:rPr>
                <w:rFonts w:cs="Arial"/>
                <w:sz w:val="20"/>
                <w:szCs w:val="20"/>
              </w:rPr>
              <w:t>N/A</w:t>
            </w:r>
          </w:p>
        </w:tc>
      </w:tr>
      <w:tr w:rsidR="006B7941" w:rsidRPr="00FF0808" w14:paraId="39A62889" w14:textId="77777777" w:rsidTr="00077C5F">
        <w:tc>
          <w:tcPr>
            <w:tcW w:w="1427" w:type="dxa"/>
            <w:vMerge w:val="restart"/>
            <w:shd w:val="clear" w:color="auto" w:fill="auto"/>
          </w:tcPr>
          <w:p w14:paraId="19D70FB2" w14:textId="77777777" w:rsidR="006B7941" w:rsidRDefault="006B7941" w:rsidP="00073385">
            <w:pPr>
              <w:spacing w:before="60" w:after="60" w:line="240" w:lineRule="auto"/>
              <w:ind w:left="0"/>
              <w:rPr>
                <w:rFonts w:cs="Arial"/>
                <w:sz w:val="20"/>
                <w:szCs w:val="20"/>
              </w:rPr>
            </w:pPr>
            <w:r>
              <w:rPr>
                <w:rFonts w:cs="Arial"/>
                <w:sz w:val="20"/>
                <w:szCs w:val="20"/>
              </w:rPr>
              <w:t>Golden Beach Surf Club</w:t>
            </w:r>
          </w:p>
        </w:tc>
        <w:tc>
          <w:tcPr>
            <w:tcW w:w="1629" w:type="dxa"/>
            <w:vMerge w:val="restart"/>
            <w:shd w:val="clear" w:color="auto" w:fill="auto"/>
          </w:tcPr>
          <w:p w14:paraId="6A81D3F6" w14:textId="77777777" w:rsidR="006B7941" w:rsidRPr="00FF0808" w:rsidRDefault="006B7941" w:rsidP="00073385">
            <w:pPr>
              <w:spacing w:before="60" w:after="60" w:line="240" w:lineRule="auto"/>
              <w:ind w:left="0"/>
              <w:rPr>
                <w:rFonts w:cs="Arial"/>
                <w:sz w:val="20"/>
                <w:szCs w:val="20"/>
              </w:rPr>
            </w:pPr>
            <w:r>
              <w:rPr>
                <w:rFonts w:cs="Arial"/>
                <w:sz w:val="20"/>
                <w:szCs w:val="20"/>
              </w:rPr>
              <w:t>Interest in beach activities at Golden Beach</w:t>
            </w:r>
          </w:p>
        </w:tc>
        <w:tc>
          <w:tcPr>
            <w:tcW w:w="1055" w:type="dxa"/>
          </w:tcPr>
          <w:p w14:paraId="11AD7C55" w14:textId="77777777" w:rsidR="006B7941" w:rsidRDefault="006B7941"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478774F0" w14:textId="77777777" w:rsidR="006B7941" w:rsidRDefault="006B7941" w:rsidP="00073385">
            <w:pPr>
              <w:spacing w:before="60" w:after="60" w:line="240" w:lineRule="auto"/>
              <w:ind w:left="0"/>
              <w:rPr>
                <w:rFonts w:cs="Arial"/>
                <w:sz w:val="20"/>
                <w:szCs w:val="20"/>
              </w:rPr>
            </w:pPr>
            <w:r>
              <w:rPr>
                <w:rFonts w:cs="Arial"/>
                <w:sz w:val="20"/>
                <w:szCs w:val="20"/>
              </w:rPr>
              <w:t>CarbonNet sent Golden Beach Surf Club a letter via email that invited feedback and provided a fact sheet.</w:t>
            </w:r>
          </w:p>
          <w:p w14:paraId="6FAE6C25" w14:textId="77777777" w:rsidR="006B7941" w:rsidRDefault="006B7941" w:rsidP="00073385">
            <w:pPr>
              <w:spacing w:before="60" w:after="60" w:line="240" w:lineRule="auto"/>
              <w:ind w:left="0"/>
              <w:rPr>
                <w:rFonts w:cs="Arial"/>
                <w:sz w:val="20"/>
                <w:szCs w:val="20"/>
              </w:rPr>
            </w:pPr>
            <w:r>
              <w:rPr>
                <w:rFonts w:cs="Arial"/>
                <w:sz w:val="20"/>
                <w:szCs w:val="20"/>
              </w:rPr>
              <w:t>Email bounced.</w:t>
            </w:r>
          </w:p>
        </w:tc>
        <w:tc>
          <w:tcPr>
            <w:tcW w:w="3802" w:type="dxa"/>
            <w:shd w:val="clear" w:color="auto" w:fill="auto"/>
          </w:tcPr>
          <w:p w14:paraId="1177BD4F" w14:textId="5FBBAAF3"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038101B6" w14:textId="77777777" w:rsidTr="0024586D">
        <w:tc>
          <w:tcPr>
            <w:tcW w:w="1427" w:type="dxa"/>
            <w:vMerge/>
            <w:tcBorders>
              <w:bottom w:val="nil"/>
            </w:tcBorders>
            <w:shd w:val="clear" w:color="auto" w:fill="auto"/>
          </w:tcPr>
          <w:p w14:paraId="366DE962" w14:textId="77777777" w:rsidR="006B7941" w:rsidRDefault="006B7941" w:rsidP="00073385">
            <w:pPr>
              <w:spacing w:before="60" w:after="60" w:line="240" w:lineRule="auto"/>
              <w:ind w:left="0"/>
              <w:rPr>
                <w:rFonts w:cs="Arial"/>
                <w:sz w:val="20"/>
                <w:szCs w:val="20"/>
              </w:rPr>
            </w:pPr>
          </w:p>
        </w:tc>
        <w:tc>
          <w:tcPr>
            <w:tcW w:w="1629" w:type="dxa"/>
            <w:vMerge/>
            <w:tcBorders>
              <w:bottom w:val="nil"/>
            </w:tcBorders>
            <w:shd w:val="clear" w:color="auto" w:fill="auto"/>
          </w:tcPr>
          <w:p w14:paraId="319F37BC" w14:textId="77777777" w:rsidR="006B7941" w:rsidRPr="00FF0808" w:rsidRDefault="006B7941" w:rsidP="00073385">
            <w:pPr>
              <w:spacing w:before="60" w:after="60" w:line="240" w:lineRule="auto"/>
              <w:ind w:left="0"/>
              <w:rPr>
                <w:rFonts w:cs="Arial"/>
                <w:sz w:val="20"/>
                <w:szCs w:val="20"/>
              </w:rPr>
            </w:pPr>
          </w:p>
        </w:tc>
        <w:tc>
          <w:tcPr>
            <w:tcW w:w="1055" w:type="dxa"/>
          </w:tcPr>
          <w:p w14:paraId="4429E6B0" w14:textId="77777777" w:rsidR="006B7941" w:rsidRDefault="006B7941" w:rsidP="00073385">
            <w:pPr>
              <w:spacing w:before="60" w:after="60" w:line="240" w:lineRule="auto"/>
              <w:ind w:left="0"/>
              <w:rPr>
                <w:rFonts w:cs="Arial"/>
                <w:sz w:val="20"/>
                <w:szCs w:val="20"/>
              </w:rPr>
            </w:pPr>
            <w:r>
              <w:rPr>
                <w:rFonts w:cs="Arial"/>
                <w:sz w:val="20"/>
                <w:szCs w:val="20"/>
              </w:rPr>
              <w:t>18/5/17</w:t>
            </w:r>
          </w:p>
        </w:tc>
        <w:tc>
          <w:tcPr>
            <w:tcW w:w="6335" w:type="dxa"/>
            <w:shd w:val="clear" w:color="auto" w:fill="auto"/>
          </w:tcPr>
          <w:p w14:paraId="1683BB0B" w14:textId="77777777" w:rsidR="006B7941" w:rsidRDefault="006B7941" w:rsidP="00073385">
            <w:pPr>
              <w:spacing w:before="60" w:after="60" w:line="240" w:lineRule="auto"/>
              <w:ind w:left="0"/>
              <w:rPr>
                <w:rFonts w:cs="Arial"/>
                <w:sz w:val="20"/>
                <w:szCs w:val="20"/>
              </w:rPr>
            </w:pPr>
            <w:r>
              <w:rPr>
                <w:rFonts w:cs="Arial"/>
                <w:sz w:val="20"/>
                <w:szCs w:val="20"/>
              </w:rPr>
              <w:t>CarbonNet tried to email but email bounced again. Tried a contact number listed but also a wrong number.</w:t>
            </w:r>
          </w:p>
        </w:tc>
        <w:tc>
          <w:tcPr>
            <w:tcW w:w="3802" w:type="dxa"/>
            <w:shd w:val="clear" w:color="auto" w:fill="auto"/>
          </w:tcPr>
          <w:p w14:paraId="56AB44F3" w14:textId="3D9A1A6C"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0661056B" w14:textId="77777777" w:rsidTr="0024586D">
        <w:tc>
          <w:tcPr>
            <w:tcW w:w="1427" w:type="dxa"/>
            <w:tcBorders>
              <w:top w:val="nil"/>
              <w:bottom w:val="nil"/>
            </w:tcBorders>
            <w:shd w:val="clear" w:color="auto" w:fill="auto"/>
          </w:tcPr>
          <w:p w14:paraId="072B5805" w14:textId="77777777" w:rsidR="006B7941" w:rsidRDefault="006B7941"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4DC746F" w14:textId="77777777" w:rsidR="006B7941" w:rsidRPr="00FF0808" w:rsidRDefault="006B7941" w:rsidP="00073385">
            <w:pPr>
              <w:spacing w:before="60" w:after="60" w:line="240" w:lineRule="auto"/>
              <w:ind w:left="0"/>
              <w:rPr>
                <w:rFonts w:cs="Arial"/>
                <w:sz w:val="20"/>
                <w:szCs w:val="20"/>
              </w:rPr>
            </w:pPr>
          </w:p>
        </w:tc>
        <w:tc>
          <w:tcPr>
            <w:tcW w:w="1055" w:type="dxa"/>
          </w:tcPr>
          <w:p w14:paraId="386B9E24" w14:textId="77777777" w:rsidR="006B7941" w:rsidRDefault="006B7941" w:rsidP="00073385">
            <w:pPr>
              <w:spacing w:before="60" w:after="60" w:line="240" w:lineRule="auto"/>
              <w:ind w:left="0"/>
              <w:rPr>
                <w:rFonts w:cs="Arial"/>
                <w:sz w:val="20"/>
                <w:szCs w:val="20"/>
              </w:rPr>
            </w:pPr>
            <w:r>
              <w:rPr>
                <w:rFonts w:cs="Arial"/>
                <w:sz w:val="20"/>
                <w:szCs w:val="20"/>
              </w:rPr>
              <w:t>23/5/17</w:t>
            </w:r>
          </w:p>
        </w:tc>
        <w:tc>
          <w:tcPr>
            <w:tcW w:w="6335" w:type="dxa"/>
            <w:shd w:val="clear" w:color="auto" w:fill="auto"/>
          </w:tcPr>
          <w:p w14:paraId="139EA06D" w14:textId="77777777" w:rsidR="006B7941" w:rsidRDefault="006B7941" w:rsidP="00073385">
            <w:pPr>
              <w:spacing w:before="60" w:after="60" w:line="240" w:lineRule="auto"/>
              <w:ind w:left="0"/>
              <w:rPr>
                <w:rFonts w:cs="Arial"/>
                <w:sz w:val="20"/>
                <w:szCs w:val="20"/>
              </w:rPr>
            </w:pPr>
            <w:r>
              <w:rPr>
                <w:rFonts w:cs="Arial"/>
                <w:sz w:val="20"/>
                <w:szCs w:val="20"/>
              </w:rPr>
              <w:t>CarbonNet met with GPBRA and learnt that one of the members is also the Surf Club contact. Provided information on the MSS.</w:t>
            </w:r>
          </w:p>
          <w:p w14:paraId="26F9B6F3" w14:textId="77777777" w:rsidR="006B7941" w:rsidRDefault="006B7941" w:rsidP="00073385">
            <w:pPr>
              <w:spacing w:before="60" w:after="60" w:line="240" w:lineRule="auto"/>
              <w:ind w:left="0"/>
              <w:rPr>
                <w:rFonts w:cs="Arial"/>
                <w:sz w:val="20"/>
                <w:szCs w:val="20"/>
              </w:rPr>
            </w:pPr>
            <w:r>
              <w:rPr>
                <w:rFonts w:cs="Arial"/>
                <w:sz w:val="20"/>
                <w:szCs w:val="20"/>
              </w:rPr>
              <w:t>Surf Club advised that they are currently not active or affiliated with Lifesaving Victoria. They need funding to become affiliated. The closest active Surf Club is at Seaspray.</w:t>
            </w:r>
          </w:p>
        </w:tc>
        <w:tc>
          <w:tcPr>
            <w:tcW w:w="3802" w:type="dxa"/>
            <w:shd w:val="clear" w:color="auto" w:fill="auto"/>
          </w:tcPr>
          <w:p w14:paraId="54EC4006" w14:textId="5BF47B86"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37C203BA" w14:textId="77777777" w:rsidTr="0024586D">
        <w:tc>
          <w:tcPr>
            <w:tcW w:w="1427" w:type="dxa"/>
            <w:tcBorders>
              <w:top w:val="nil"/>
              <w:bottom w:val="nil"/>
            </w:tcBorders>
            <w:shd w:val="clear" w:color="auto" w:fill="auto"/>
          </w:tcPr>
          <w:p w14:paraId="5319882D" w14:textId="77777777" w:rsidR="006B7941" w:rsidRDefault="006B7941"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158A09EE" w14:textId="77777777" w:rsidR="006B7941" w:rsidRPr="00FF0808" w:rsidRDefault="006B7941" w:rsidP="00073385">
            <w:pPr>
              <w:spacing w:before="60" w:after="60" w:line="240" w:lineRule="auto"/>
              <w:ind w:left="0"/>
              <w:rPr>
                <w:rFonts w:cs="Arial"/>
                <w:sz w:val="20"/>
                <w:szCs w:val="20"/>
              </w:rPr>
            </w:pPr>
          </w:p>
        </w:tc>
        <w:tc>
          <w:tcPr>
            <w:tcW w:w="1055" w:type="dxa"/>
          </w:tcPr>
          <w:p w14:paraId="6BABB24B" w14:textId="77777777" w:rsidR="006B7941" w:rsidRDefault="006B7941" w:rsidP="00073385">
            <w:pPr>
              <w:spacing w:before="60" w:after="60" w:line="240" w:lineRule="auto"/>
              <w:ind w:left="0"/>
              <w:rPr>
                <w:rFonts w:cs="Arial"/>
                <w:sz w:val="20"/>
                <w:szCs w:val="20"/>
              </w:rPr>
            </w:pPr>
            <w:r>
              <w:rPr>
                <w:rFonts w:cs="Arial"/>
                <w:sz w:val="20"/>
                <w:szCs w:val="20"/>
              </w:rPr>
              <w:t>12/7/17</w:t>
            </w:r>
          </w:p>
        </w:tc>
        <w:tc>
          <w:tcPr>
            <w:tcW w:w="6335" w:type="dxa"/>
            <w:shd w:val="clear" w:color="auto" w:fill="auto"/>
          </w:tcPr>
          <w:p w14:paraId="34E3E859" w14:textId="77777777" w:rsidR="006B7941" w:rsidRDefault="006B7941" w:rsidP="00073385">
            <w:pPr>
              <w:spacing w:before="60" w:after="60" w:line="240" w:lineRule="auto"/>
              <w:ind w:left="0"/>
              <w:rPr>
                <w:rFonts w:cs="Arial"/>
                <w:sz w:val="20"/>
                <w:szCs w:val="20"/>
              </w:rPr>
            </w:pPr>
            <w:r>
              <w:rPr>
                <w:rFonts w:cs="Arial"/>
                <w:sz w:val="20"/>
                <w:szCs w:val="20"/>
              </w:rPr>
              <w:t>Golden Beach Surf Club attended the community open day and GPBRA meeting in the evening.</w:t>
            </w:r>
          </w:p>
        </w:tc>
        <w:tc>
          <w:tcPr>
            <w:tcW w:w="3802" w:type="dxa"/>
            <w:shd w:val="clear" w:color="auto" w:fill="auto"/>
          </w:tcPr>
          <w:p w14:paraId="265576F9" w14:textId="77777777" w:rsidR="006B7941" w:rsidRDefault="006B7941" w:rsidP="00073385">
            <w:pPr>
              <w:spacing w:before="60" w:after="60" w:line="240" w:lineRule="auto"/>
              <w:ind w:left="0"/>
              <w:rPr>
                <w:rFonts w:cs="Arial"/>
                <w:sz w:val="20"/>
                <w:szCs w:val="20"/>
              </w:rPr>
            </w:pPr>
            <w:r>
              <w:rPr>
                <w:rFonts w:cs="Arial"/>
                <w:sz w:val="20"/>
                <w:szCs w:val="20"/>
              </w:rPr>
              <w:t>No specific issues raised.</w:t>
            </w:r>
          </w:p>
        </w:tc>
      </w:tr>
      <w:tr w:rsidR="006B7941" w:rsidRPr="00FF0808" w14:paraId="47F0891D" w14:textId="77777777" w:rsidTr="00891DE1">
        <w:tc>
          <w:tcPr>
            <w:tcW w:w="1427" w:type="dxa"/>
            <w:tcBorders>
              <w:top w:val="nil"/>
              <w:bottom w:val="nil"/>
            </w:tcBorders>
            <w:shd w:val="clear" w:color="auto" w:fill="auto"/>
          </w:tcPr>
          <w:p w14:paraId="2915C52C" w14:textId="77777777" w:rsidR="006B7941" w:rsidRDefault="006B7941"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4339F137" w14:textId="77777777" w:rsidR="006B7941" w:rsidRPr="00FF0808" w:rsidRDefault="006B7941" w:rsidP="00073385">
            <w:pPr>
              <w:spacing w:before="60" w:after="60" w:line="240" w:lineRule="auto"/>
              <w:ind w:left="0"/>
              <w:rPr>
                <w:rFonts w:cs="Arial"/>
                <w:sz w:val="20"/>
                <w:szCs w:val="20"/>
              </w:rPr>
            </w:pPr>
          </w:p>
        </w:tc>
        <w:tc>
          <w:tcPr>
            <w:tcW w:w="1055" w:type="dxa"/>
          </w:tcPr>
          <w:p w14:paraId="20E7A8B8" w14:textId="77777777" w:rsidR="006B7941" w:rsidRDefault="006B7941" w:rsidP="00073385">
            <w:pPr>
              <w:spacing w:before="60" w:after="60" w:line="240" w:lineRule="auto"/>
              <w:ind w:left="0"/>
              <w:rPr>
                <w:rFonts w:cs="Arial"/>
                <w:sz w:val="20"/>
                <w:szCs w:val="20"/>
              </w:rPr>
            </w:pPr>
            <w:r>
              <w:rPr>
                <w:rFonts w:cs="Arial"/>
                <w:sz w:val="20"/>
                <w:szCs w:val="20"/>
              </w:rPr>
              <w:t>15/8/17</w:t>
            </w:r>
          </w:p>
        </w:tc>
        <w:tc>
          <w:tcPr>
            <w:tcW w:w="6335" w:type="dxa"/>
            <w:shd w:val="clear" w:color="auto" w:fill="auto"/>
          </w:tcPr>
          <w:p w14:paraId="7240573C" w14:textId="77777777" w:rsidR="006B7941" w:rsidRDefault="006B7941" w:rsidP="00073385">
            <w:pPr>
              <w:spacing w:before="60" w:after="60" w:line="240" w:lineRule="auto"/>
              <w:ind w:left="0"/>
              <w:rPr>
                <w:rFonts w:cs="Arial"/>
                <w:sz w:val="20"/>
                <w:szCs w:val="20"/>
              </w:rPr>
            </w:pPr>
            <w:r>
              <w:rPr>
                <w:rFonts w:cs="Arial"/>
                <w:sz w:val="20"/>
                <w:szCs w:val="20"/>
              </w:rPr>
              <w:t xml:space="preserve">CarbonNet spoke to Golden Beach Surf Club regarding </w:t>
            </w:r>
            <w:r w:rsidRPr="00693844">
              <w:rPr>
                <w:rFonts w:cs="Arial"/>
                <w:sz w:val="20"/>
                <w:szCs w:val="20"/>
              </w:rPr>
              <w:t xml:space="preserve">regarding </w:t>
            </w:r>
            <w:r>
              <w:rPr>
                <w:rFonts w:cs="Arial"/>
                <w:sz w:val="20"/>
                <w:szCs w:val="20"/>
              </w:rPr>
              <w:t xml:space="preserve">impacts on swimmers during MSS and beach patrols. We </w:t>
            </w:r>
            <w:r w:rsidRPr="00693844">
              <w:rPr>
                <w:rFonts w:cs="Arial"/>
                <w:sz w:val="20"/>
                <w:szCs w:val="20"/>
              </w:rPr>
              <w:t>explained we are preparing our EP for submission this week, which includes details about having beach patrols to advise swimmers to stay out of the water</w:t>
            </w:r>
            <w:r>
              <w:rPr>
                <w:rFonts w:cs="Arial"/>
                <w:sz w:val="20"/>
                <w:szCs w:val="20"/>
              </w:rPr>
              <w:t xml:space="preserve"> when the survey vessel is close to shore during survey acquisition</w:t>
            </w:r>
            <w:r w:rsidRPr="00693844">
              <w:rPr>
                <w:rFonts w:cs="Arial"/>
                <w:sz w:val="20"/>
                <w:szCs w:val="20"/>
              </w:rPr>
              <w:t>.</w:t>
            </w:r>
            <w:r>
              <w:rPr>
                <w:rFonts w:cs="Arial"/>
                <w:sz w:val="20"/>
                <w:szCs w:val="20"/>
              </w:rPr>
              <w:t xml:space="preserve"> CarbonNet advised we are planning to have beach patrols and equired as to whether the Surf Club may be able to assist.</w:t>
            </w:r>
          </w:p>
          <w:p w14:paraId="500DCE52" w14:textId="77777777" w:rsidR="006B7941" w:rsidRPr="00693844" w:rsidRDefault="006B7941" w:rsidP="00073385">
            <w:pPr>
              <w:spacing w:before="60" w:after="60" w:line="240" w:lineRule="auto"/>
              <w:ind w:left="0"/>
              <w:rPr>
                <w:rFonts w:cs="Arial"/>
                <w:sz w:val="20"/>
                <w:szCs w:val="20"/>
              </w:rPr>
            </w:pPr>
            <w:r>
              <w:rPr>
                <w:rFonts w:cs="Arial"/>
                <w:sz w:val="20"/>
                <w:szCs w:val="20"/>
              </w:rPr>
              <w:t xml:space="preserve">The Golden Beach </w:t>
            </w:r>
            <w:r w:rsidRPr="00693844">
              <w:rPr>
                <w:rFonts w:cs="Arial"/>
                <w:sz w:val="20"/>
                <w:szCs w:val="20"/>
              </w:rPr>
              <w:t xml:space="preserve">Surf Club </w:t>
            </w:r>
            <w:r>
              <w:rPr>
                <w:rFonts w:cs="Arial"/>
                <w:sz w:val="20"/>
                <w:szCs w:val="20"/>
              </w:rPr>
              <w:t xml:space="preserve">advised that it </w:t>
            </w:r>
            <w:r w:rsidRPr="00693844">
              <w:rPr>
                <w:rFonts w:cs="Arial"/>
                <w:sz w:val="20"/>
                <w:szCs w:val="20"/>
              </w:rPr>
              <w:t xml:space="preserve">won't be up and running before Christmas as they have to do a coastal risk assessment before they can be accredited with Life Saving Victoria. </w:t>
            </w:r>
            <w:r>
              <w:rPr>
                <w:rFonts w:cs="Arial"/>
                <w:sz w:val="20"/>
                <w:szCs w:val="20"/>
              </w:rPr>
              <w:t>They m</w:t>
            </w:r>
            <w:r w:rsidRPr="00693844">
              <w:rPr>
                <w:rFonts w:cs="Arial"/>
                <w:sz w:val="20"/>
                <w:szCs w:val="20"/>
              </w:rPr>
              <w:t>ay be operating after Christmas</w:t>
            </w:r>
            <w:r>
              <w:rPr>
                <w:rFonts w:cs="Arial"/>
                <w:sz w:val="20"/>
                <w:szCs w:val="20"/>
              </w:rPr>
              <w:t xml:space="preserve">, and </w:t>
            </w:r>
            <w:r w:rsidRPr="00693844">
              <w:rPr>
                <w:rFonts w:cs="Arial"/>
                <w:sz w:val="20"/>
                <w:szCs w:val="20"/>
              </w:rPr>
              <w:t xml:space="preserve">life saving </w:t>
            </w:r>
            <w:r>
              <w:rPr>
                <w:rFonts w:cs="Arial"/>
                <w:sz w:val="20"/>
                <w:szCs w:val="20"/>
              </w:rPr>
              <w:t xml:space="preserve">operations finish after </w:t>
            </w:r>
            <w:r>
              <w:rPr>
                <w:rFonts w:cs="Arial"/>
                <w:sz w:val="20"/>
                <w:szCs w:val="20"/>
              </w:rPr>
              <w:lastRenderedPageBreak/>
              <w:t>Easter. Irrespective of the Life Saving Victoria accreditation, the S</w:t>
            </w:r>
            <w:r w:rsidRPr="00693844">
              <w:rPr>
                <w:rFonts w:cs="Arial"/>
                <w:sz w:val="20"/>
                <w:szCs w:val="20"/>
              </w:rPr>
              <w:t xml:space="preserve">urf </w:t>
            </w:r>
            <w:r>
              <w:rPr>
                <w:rFonts w:cs="Arial"/>
                <w:sz w:val="20"/>
                <w:szCs w:val="20"/>
              </w:rPr>
              <w:t>C</w:t>
            </w:r>
            <w:r w:rsidRPr="00693844">
              <w:rPr>
                <w:rFonts w:cs="Arial"/>
                <w:sz w:val="20"/>
                <w:szCs w:val="20"/>
              </w:rPr>
              <w:t>lub could have people available to assist with beach patrols</w:t>
            </w:r>
            <w:r>
              <w:rPr>
                <w:rFonts w:cs="Arial"/>
                <w:sz w:val="20"/>
                <w:szCs w:val="20"/>
              </w:rPr>
              <w:t xml:space="preserve"> as they have public liability insurance. They cannot go in the water or conduct rescue operations.</w:t>
            </w:r>
          </w:p>
          <w:p w14:paraId="6CA1C471" w14:textId="77777777" w:rsidR="006B7941" w:rsidRDefault="006B7941" w:rsidP="00073385">
            <w:pPr>
              <w:spacing w:before="60" w:after="60" w:line="240" w:lineRule="auto"/>
              <w:ind w:left="0"/>
              <w:rPr>
                <w:rFonts w:cs="Arial"/>
                <w:sz w:val="20"/>
                <w:szCs w:val="20"/>
              </w:rPr>
            </w:pPr>
            <w:r>
              <w:rPr>
                <w:rFonts w:cs="Arial"/>
                <w:sz w:val="20"/>
                <w:szCs w:val="20"/>
              </w:rPr>
              <w:t>They provided some additional information on beach activity o</w:t>
            </w:r>
            <w:r w:rsidRPr="00693844">
              <w:rPr>
                <w:rFonts w:cs="Arial"/>
                <w:sz w:val="20"/>
                <w:szCs w:val="20"/>
              </w:rPr>
              <w:t>ver summer</w:t>
            </w:r>
            <w:r>
              <w:rPr>
                <w:rFonts w:cs="Arial"/>
                <w:sz w:val="20"/>
                <w:szCs w:val="20"/>
              </w:rPr>
              <w:t>:</w:t>
            </w:r>
          </w:p>
          <w:p w14:paraId="14FA18FE" w14:textId="77777777" w:rsidR="006B7941" w:rsidRDefault="006B7941" w:rsidP="00073385">
            <w:pPr>
              <w:pStyle w:val="ListParagraph0"/>
              <w:numPr>
                <w:ilvl w:val="0"/>
                <w:numId w:val="511"/>
              </w:numPr>
              <w:spacing w:before="60" w:after="60" w:line="240" w:lineRule="auto"/>
              <w:rPr>
                <w:rFonts w:cs="Arial"/>
                <w:sz w:val="20"/>
                <w:szCs w:val="20"/>
              </w:rPr>
            </w:pPr>
            <w:r>
              <w:rPr>
                <w:rFonts w:cs="Arial"/>
                <w:sz w:val="20"/>
                <w:szCs w:val="20"/>
              </w:rPr>
              <w:t>T</w:t>
            </w:r>
            <w:r w:rsidRPr="00C83C0E">
              <w:rPr>
                <w:rFonts w:cs="Arial"/>
                <w:sz w:val="20"/>
                <w:szCs w:val="20"/>
              </w:rPr>
              <w:t xml:space="preserve">here could be 20-100 people at the main beach in </w:t>
            </w:r>
            <w:r>
              <w:rPr>
                <w:rFonts w:cs="Arial"/>
                <w:sz w:val="20"/>
                <w:szCs w:val="20"/>
              </w:rPr>
              <w:t>Golden Beach on a busy day in summer</w:t>
            </w:r>
            <w:r w:rsidRPr="00C83C0E">
              <w:rPr>
                <w:rFonts w:cs="Arial"/>
                <w:sz w:val="20"/>
                <w:szCs w:val="20"/>
              </w:rPr>
              <w:t xml:space="preserve">, but foreshore campers are spread out along </w:t>
            </w:r>
            <w:r>
              <w:rPr>
                <w:rFonts w:cs="Arial"/>
                <w:sz w:val="20"/>
                <w:szCs w:val="20"/>
              </w:rPr>
              <w:t xml:space="preserve">the </w:t>
            </w:r>
            <w:r w:rsidRPr="00C83C0E">
              <w:rPr>
                <w:rFonts w:cs="Arial"/>
                <w:sz w:val="20"/>
                <w:szCs w:val="20"/>
              </w:rPr>
              <w:t>coastline.</w:t>
            </w:r>
          </w:p>
          <w:p w14:paraId="599D7800" w14:textId="77777777" w:rsidR="006B7941" w:rsidRPr="00C83C0E" w:rsidRDefault="006B7941" w:rsidP="00073385">
            <w:pPr>
              <w:pStyle w:val="ListParagraph0"/>
              <w:numPr>
                <w:ilvl w:val="0"/>
                <w:numId w:val="511"/>
              </w:numPr>
              <w:spacing w:before="60" w:after="60" w:line="240" w:lineRule="auto"/>
              <w:rPr>
                <w:rFonts w:cs="Arial"/>
                <w:sz w:val="20"/>
                <w:szCs w:val="20"/>
              </w:rPr>
            </w:pPr>
            <w:r w:rsidRPr="00C83C0E">
              <w:rPr>
                <w:rFonts w:cs="Arial"/>
                <w:sz w:val="20"/>
                <w:szCs w:val="20"/>
              </w:rPr>
              <w:t xml:space="preserve">There are two </w:t>
            </w:r>
            <w:r>
              <w:rPr>
                <w:rFonts w:cs="Arial"/>
                <w:sz w:val="20"/>
                <w:szCs w:val="20"/>
              </w:rPr>
              <w:t>ship</w:t>
            </w:r>
            <w:r w:rsidRPr="00C83C0E">
              <w:rPr>
                <w:rFonts w:cs="Arial"/>
                <w:sz w:val="20"/>
                <w:szCs w:val="20"/>
              </w:rPr>
              <w:t xml:space="preserve">wrecks </w:t>
            </w:r>
            <w:r>
              <w:rPr>
                <w:rFonts w:cs="Arial"/>
                <w:sz w:val="20"/>
                <w:szCs w:val="20"/>
              </w:rPr>
              <w:t>on beaches near Golden Beach</w:t>
            </w:r>
            <w:r w:rsidRPr="00C83C0E">
              <w:rPr>
                <w:rFonts w:cs="Arial"/>
                <w:sz w:val="20"/>
                <w:szCs w:val="20"/>
              </w:rPr>
              <w:t>, but neither are submerged and no diving activities take place there</w:t>
            </w:r>
            <w:r>
              <w:rPr>
                <w:rFonts w:cs="Arial"/>
                <w:sz w:val="20"/>
                <w:szCs w:val="20"/>
              </w:rPr>
              <w:t xml:space="preserve"> or along the coast</w:t>
            </w:r>
            <w:r w:rsidRPr="00C83C0E">
              <w:rPr>
                <w:rFonts w:cs="Arial"/>
                <w:sz w:val="20"/>
                <w:szCs w:val="20"/>
              </w:rPr>
              <w:t>.</w:t>
            </w:r>
          </w:p>
        </w:tc>
        <w:tc>
          <w:tcPr>
            <w:tcW w:w="3802" w:type="dxa"/>
            <w:shd w:val="clear" w:color="auto" w:fill="auto"/>
          </w:tcPr>
          <w:p w14:paraId="09118CE4" w14:textId="77777777" w:rsidR="006B7941" w:rsidRDefault="006B7941" w:rsidP="00073385">
            <w:pPr>
              <w:spacing w:before="60" w:after="60" w:line="240" w:lineRule="auto"/>
              <w:ind w:left="0"/>
              <w:rPr>
                <w:rFonts w:cs="Arial"/>
                <w:sz w:val="20"/>
                <w:szCs w:val="20"/>
              </w:rPr>
            </w:pPr>
            <w:r>
              <w:rPr>
                <w:rFonts w:cs="Arial"/>
                <w:sz w:val="20"/>
                <w:szCs w:val="20"/>
              </w:rPr>
              <w:lastRenderedPageBreak/>
              <w:t>CarbonNet reiterated commitment to avoid the Christmas – Australia Day weekend, and the Easter long weekend.</w:t>
            </w:r>
          </w:p>
          <w:p w14:paraId="0156C818" w14:textId="77777777" w:rsidR="006B7941" w:rsidRDefault="006B7941" w:rsidP="00073385">
            <w:pPr>
              <w:spacing w:before="60" w:after="60" w:line="240" w:lineRule="auto"/>
              <w:ind w:left="0"/>
              <w:rPr>
                <w:rFonts w:cs="Arial"/>
                <w:sz w:val="20"/>
                <w:szCs w:val="20"/>
              </w:rPr>
            </w:pPr>
          </w:p>
          <w:p w14:paraId="7946FC35" w14:textId="77777777" w:rsidR="006B7941" w:rsidRDefault="006B7941" w:rsidP="00073385">
            <w:pPr>
              <w:spacing w:before="60" w:after="60" w:line="240" w:lineRule="auto"/>
              <w:ind w:left="0"/>
              <w:rPr>
                <w:rFonts w:cs="Arial"/>
                <w:sz w:val="20"/>
                <w:szCs w:val="20"/>
              </w:rPr>
            </w:pPr>
            <w:r>
              <w:rPr>
                <w:rFonts w:cs="Arial"/>
                <w:sz w:val="20"/>
                <w:szCs w:val="20"/>
              </w:rPr>
              <w:t>CarbonNet will meet with the Surf Club during the operational planning phase to discuss beach patrols and logistics.</w:t>
            </w:r>
          </w:p>
          <w:p w14:paraId="33468600" w14:textId="77777777" w:rsidR="006B7941" w:rsidRDefault="006B7941" w:rsidP="00073385">
            <w:pPr>
              <w:spacing w:before="60" w:after="60" w:line="240" w:lineRule="auto"/>
              <w:ind w:left="0"/>
              <w:rPr>
                <w:rFonts w:cs="Arial"/>
                <w:sz w:val="20"/>
                <w:szCs w:val="20"/>
              </w:rPr>
            </w:pPr>
          </w:p>
          <w:p w14:paraId="338F7FE6" w14:textId="77777777" w:rsidR="006B7941" w:rsidRDefault="006B7941" w:rsidP="00073385">
            <w:pPr>
              <w:spacing w:before="60" w:after="60" w:line="240" w:lineRule="auto"/>
              <w:ind w:left="0"/>
              <w:rPr>
                <w:rFonts w:cs="Arial"/>
                <w:sz w:val="20"/>
                <w:szCs w:val="20"/>
              </w:rPr>
            </w:pPr>
            <w:r>
              <w:rPr>
                <w:rFonts w:cs="Arial"/>
                <w:sz w:val="20"/>
                <w:szCs w:val="20"/>
              </w:rPr>
              <w:t xml:space="preserve">CarbonNet will continue to meet with Parks Victoria and GLaWAC, who jointly manage the campground areas, to </w:t>
            </w:r>
            <w:r>
              <w:rPr>
                <w:rFonts w:cs="Arial"/>
                <w:sz w:val="20"/>
                <w:szCs w:val="20"/>
              </w:rPr>
              <w:lastRenderedPageBreak/>
              <w:t>notify campers.</w:t>
            </w:r>
          </w:p>
          <w:p w14:paraId="232A627D" w14:textId="77777777" w:rsidR="006B7941" w:rsidRDefault="006B7941" w:rsidP="00073385">
            <w:pPr>
              <w:spacing w:before="60" w:after="60" w:line="240" w:lineRule="auto"/>
              <w:ind w:left="0"/>
              <w:rPr>
                <w:rFonts w:cs="Arial"/>
                <w:sz w:val="20"/>
                <w:szCs w:val="20"/>
              </w:rPr>
            </w:pPr>
          </w:p>
          <w:p w14:paraId="2C111746" w14:textId="77777777" w:rsidR="006B7941" w:rsidRDefault="006B7941" w:rsidP="00073385">
            <w:pPr>
              <w:spacing w:before="60" w:after="60" w:line="240" w:lineRule="auto"/>
              <w:ind w:left="0"/>
              <w:rPr>
                <w:rFonts w:cs="Arial"/>
                <w:sz w:val="20"/>
                <w:szCs w:val="20"/>
              </w:rPr>
            </w:pPr>
            <w:r>
              <w:rPr>
                <w:rFonts w:cs="Arial"/>
                <w:sz w:val="20"/>
                <w:szCs w:val="20"/>
              </w:rPr>
              <w:t xml:space="preserve">Tourism and recreational activities are addressed in </w:t>
            </w:r>
            <w:r w:rsidRPr="00653AFA">
              <w:rPr>
                <w:rFonts w:cs="Arial"/>
                <w:sz w:val="20"/>
                <w:szCs w:val="20"/>
              </w:rPr>
              <w:t>Section 5.6.4 and Section 5.6.5.</w:t>
            </w:r>
          </w:p>
          <w:p w14:paraId="752D9510" w14:textId="77777777" w:rsidR="006B7941" w:rsidRDefault="006B7941" w:rsidP="00073385">
            <w:pPr>
              <w:spacing w:before="60" w:after="60" w:line="240" w:lineRule="auto"/>
              <w:ind w:left="0"/>
              <w:rPr>
                <w:rFonts w:cs="Arial"/>
                <w:sz w:val="20"/>
                <w:szCs w:val="20"/>
              </w:rPr>
            </w:pPr>
          </w:p>
          <w:p w14:paraId="26B6A54F" w14:textId="0AD15FFD" w:rsidR="006B7941" w:rsidRDefault="006B7941" w:rsidP="00073385">
            <w:pPr>
              <w:spacing w:before="60" w:after="60" w:line="240" w:lineRule="auto"/>
              <w:ind w:left="0"/>
              <w:rPr>
                <w:rFonts w:cs="Arial"/>
                <w:sz w:val="20"/>
                <w:szCs w:val="20"/>
              </w:rPr>
            </w:pPr>
          </w:p>
        </w:tc>
      </w:tr>
      <w:tr w:rsidR="006B7941" w:rsidRPr="00FF0808" w14:paraId="7EED7D98" w14:textId="77777777" w:rsidTr="0024586D">
        <w:tc>
          <w:tcPr>
            <w:tcW w:w="1427" w:type="dxa"/>
            <w:tcBorders>
              <w:top w:val="nil"/>
            </w:tcBorders>
            <w:shd w:val="clear" w:color="auto" w:fill="auto"/>
          </w:tcPr>
          <w:p w14:paraId="7B2EB2B6" w14:textId="77777777" w:rsidR="006B7941" w:rsidRDefault="006B7941" w:rsidP="00073385">
            <w:pPr>
              <w:spacing w:before="60" w:after="60" w:line="240" w:lineRule="auto"/>
              <w:ind w:left="0"/>
              <w:rPr>
                <w:rFonts w:cs="Arial"/>
                <w:sz w:val="20"/>
                <w:szCs w:val="20"/>
              </w:rPr>
            </w:pPr>
          </w:p>
        </w:tc>
        <w:tc>
          <w:tcPr>
            <w:tcW w:w="1629" w:type="dxa"/>
            <w:tcBorders>
              <w:top w:val="nil"/>
            </w:tcBorders>
            <w:shd w:val="clear" w:color="auto" w:fill="auto"/>
          </w:tcPr>
          <w:p w14:paraId="498ADD96" w14:textId="77777777" w:rsidR="006B7941" w:rsidRPr="00FF0808" w:rsidRDefault="006B7941" w:rsidP="00073385">
            <w:pPr>
              <w:spacing w:before="60" w:after="60" w:line="240" w:lineRule="auto"/>
              <w:ind w:left="0"/>
              <w:rPr>
                <w:rFonts w:cs="Arial"/>
                <w:sz w:val="20"/>
                <w:szCs w:val="20"/>
              </w:rPr>
            </w:pPr>
          </w:p>
        </w:tc>
        <w:tc>
          <w:tcPr>
            <w:tcW w:w="1055" w:type="dxa"/>
          </w:tcPr>
          <w:p w14:paraId="6F63ABDD" w14:textId="7B37FC7D" w:rsidR="006B7941" w:rsidRDefault="006B7941"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5DC53E76" w14:textId="2DDE40CC" w:rsidR="006B7941" w:rsidRDefault="006B7941"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72FA1466" w14:textId="42688F7A"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61248C92" w14:textId="77777777" w:rsidTr="00077C5F">
        <w:tc>
          <w:tcPr>
            <w:tcW w:w="1427" w:type="dxa"/>
            <w:shd w:val="clear" w:color="auto" w:fill="auto"/>
          </w:tcPr>
          <w:p w14:paraId="71C8E6F6" w14:textId="77777777" w:rsidR="006B7941" w:rsidRDefault="006B7941" w:rsidP="00073385">
            <w:pPr>
              <w:spacing w:before="60" w:after="60" w:line="240" w:lineRule="auto"/>
              <w:ind w:left="0"/>
              <w:rPr>
                <w:rFonts w:cs="Arial"/>
                <w:sz w:val="20"/>
                <w:szCs w:val="20"/>
              </w:rPr>
            </w:pPr>
            <w:r>
              <w:rPr>
                <w:rFonts w:cs="Arial"/>
                <w:sz w:val="20"/>
                <w:szCs w:val="20"/>
              </w:rPr>
              <w:t>Committee for Gippsland</w:t>
            </w:r>
          </w:p>
        </w:tc>
        <w:tc>
          <w:tcPr>
            <w:tcW w:w="1629" w:type="dxa"/>
            <w:shd w:val="clear" w:color="auto" w:fill="auto"/>
          </w:tcPr>
          <w:p w14:paraId="43516BDF" w14:textId="77777777" w:rsidR="006B7941" w:rsidRPr="00FF0808" w:rsidRDefault="006B7941" w:rsidP="00073385">
            <w:pPr>
              <w:spacing w:before="60" w:after="60" w:line="240" w:lineRule="auto"/>
              <w:ind w:left="0"/>
              <w:rPr>
                <w:rFonts w:cs="Arial"/>
                <w:sz w:val="20"/>
                <w:szCs w:val="20"/>
              </w:rPr>
            </w:pPr>
            <w:r>
              <w:rPr>
                <w:rFonts w:cs="Arial"/>
                <w:sz w:val="20"/>
                <w:szCs w:val="20"/>
              </w:rPr>
              <w:t xml:space="preserve">Representative group of Gippsland businesses </w:t>
            </w:r>
          </w:p>
        </w:tc>
        <w:tc>
          <w:tcPr>
            <w:tcW w:w="1055" w:type="dxa"/>
          </w:tcPr>
          <w:p w14:paraId="25A41145" w14:textId="77777777" w:rsidR="006B7941" w:rsidRDefault="006B7941"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223753F1" w14:textId="77777777" w:rsidR="006B7941" w:rsidRPr="009F367E" w:rsidRDefault="006B7941" w:rsidP="00073385">
            <w:pPr>
              <w:spacing w:before="60" w:after="60" w:line="240" w:lineRule="auto"/>
              <w:ind w:left="0"/>
              <w:rPr>
                <w:rFonts w:cs="Arial"/>
                <w:sz w:val="20"/>
                <w:szCs w:val="20"/>
              </w:rPr>
            </w:pPr>
            <w:r>
              <w:rPr>
                <w:rFonts w:cs="Arial"/>
                <w:sz w:val="20"/>
                <w:szCs w:val="20"/>
              </w:rPr>
              <w:t>CarbonNet contacted Committee for Gippsland via post with a letter that invited feedback and provided a fact sheet.</w:t>
            </w:r>
          </w:p>
        </w:tc>
        <w:tc>
          <w:tcPr>
            <w:tcW w:w="3802" w:type="dxa"/>
            <w:shd w:val="clear" w:color="auto" w:fill="auto"/>
          </w:tcPr>
          <w:p w14:paraId="3F9C1027" w14:textId="40550C18" w:rsidR="006B7941" w:rsidRDefault="006B7941" w:rsidP="00073385">
            <w:pPr>
              <w:spacing w:before="60" w:after="60" w:line="240" w:lineRule="auto"/>
              <w:ind w:left="0"/>
              <w:rPr>
                <w:rFonts w:cs="Arial"/>
                <w:sz w:val="20"/>
                <w:szCs w:val="20"/>
              </w:rPr>
            </w:pPr>
            <w:r>
              <w:rPr>
                <w:rFonts w:cs="Arial"/>
                <w:sz w:val="20"/>
                <w:szCs w:val="20"/>
              </w:rPr>
              <w:t>CarbonNet is in ongoing discussions with Committee for Gippsland regarding the project and MSS, but it is not a relevant stakeholder to this activity.</w:t>
            </w:r>
          </w:p>
        </w:tc>
      </w:tr>
      <w:tr w:rsidR="006B7941" w:rsidRPr="00FF0808" w14:paraId="3F7D3038" w14:textId="77777777" w:rsidTr="00077C5F">
        <w:tc>
          <w:tcPr>
            <w:tcW w:w="1427" w:type="dxa"/>
            <w:vMerge w:val="restart"/>
            <w:shd w:val="clear" w:color="auto" w:fill="auto"/>
          </w:tcPr>
          <w:p w14:paraId="5231A62A" w14:textId="77777777" w:rsidR="006B7941" w:rsidRDefault="006B7941" w:rsidP="00073385">
            <w:pPr>
              <w:spacing w:before="60" w:after="60" w:line="240" w:lineRule="auto"/>
              <w:ind w:left="0"/>
              <w:rPr>
                <w:rFonts w:cs="Arial"/>
                <w:sz w:val="20"/>
                <w:szCs w:val="20"/>
              </w:rPr>
            </w:pPr>
            <w:r>
              <w:rPr>
                <w:rFonts w:cs="Arial"/>
                <w:sz w:val="20"/>
                <w:szCs w:val="20"/>
              </w:rPr>
              <w:t>Gunaikurnai Land and Waters Aboriginal Corporation (GLaWAC)</w:t>
            </w:r>
          </w:p>
        </w:tc>
        <w:tc>
          <w:tcPr>
            <w:tcW w:w="1629" w:type="dxa"/>
            <w:vMerge w:val="restart"/>
            <w:shd w:val="clear" w:color="auto" w:fill="auto"/>
          </w:tcPr>
          <w:p w14:paraId="55C06D07" w14:textId="77777777" w:rsidR="006B7941" w:rsidRPr="00FF0808" w:rsidRDefault="006B7941" w:rsidP="00073385">
            <w:pPr>
              <w:spacing w:before="60" w:after="60" w:line="240" w:lineRule="auto"/>
              <w:ind w:left="0"/>
              <w:rPr>
                <w:rFonts w:cs="Arial"/>
                <w:sz w:val="20"/>
                <w:szCs w:val="20"/>
              </w:rPr>
            </w:pPr>
            <w:r>
              <w:rPr>
                <w:rFonts w:cs="Arial"/>
                <w:sz w:val="20"/>
                <w:szCs w:val="20"/>
              </w:rPr>
              <w:t>Manager of the Gippsland Lakes Coastal Park (jointly managed with Parks Victoria)</w:t>
            </w:r>
          </w:p>
        </w:tc>
        <w:tc>
          <w:tcPr>
            <w:tcW w:w="1055" w:type="dxa"/>
          </w:tcPr>
          <w:p w14:paraId="5223823A" w14:textId="77777777" w:rsidR="006B7941" w:rsidRDefault="006B7941"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3747DF5C" w14:textId="77777777" w:rsidR="006B7941" w:rsidRDefault="006B7941" w:rsidP="00073385">
            <w:pPr>
              <w:spacing w:before="60" w:after="60" w:line="240" w:lineRule="auto"/>
              <w:ind w:left="0"/>
              <w:rPr>
                <w:rFonts w:cs="Arial"/>
                <w:sz w:val="20"/>
                <w:szCs w:val="20"/>
              </w:rPr>
            </w:pPr>
            <w:r>
              <w:rPr>
                <w:rFonts w:cs="Arial"/>
                <w:sz w:val="20"/>
                <w:szCs w:val="20"/>
              </w:rPr>
              <w:t>CarbonNet contacted GLaWAC via post with a letter that invited feedback and provided a fact sheet.</w:t>
            </w:r>
          </w:p>
        </w:tc>
        <w:tc>
          <w:tcPr>
            <w:tcW w:w="3802" w:type="dxa"/>
            <w:shd w:val="clear" w:color="auto" w:fill="auto"/>
          </w:tcPr>
          <w:p w14:paraId="5B50A2AA" w14:textId="67C97FCE"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046C1199" w14:textId="77777777" w:rsidTr="00077C5F">
        <w:tc>
          <w:tcPr>
            <w:tcW w:w="1427" w:type="dxa"/>
            <w:vMerge/>
            <w:shd w:val="clear" w:color="auto" w:fill="auto"/>
          </w:tcPr>
          <w:p w14:paraId="40AFB3BA" w14:textId="77777777" w:rsidR="006B7941" w:rsidRDefault="006B7941" w:rsidP="00073385">
            <w:pPr>
              <w:spacing w:before="60" w:after="60" w:line="240" w:lineRule="auto"/>
              <w:ind w:left="0"/>
              <w:rPr>
                <w:rFonts w:cs="Arial"/>
                <w:sz w:val="20"/>
                <w:szCs w:val="20"/>
              </w:rPr>
            </w:pPr>
          </w:p>
        </w:tc>
        <w:tc>
          <w:tcPr>
            <w:tcW w:w="1629" w:type="dxa"/>
            <w:vMerge/>
            <w:shd w:val="clear" w:color="auto" w:fill="auto"/>
          </w:tcPr>
          <w:p w14:paraId="2F8EC92D" w14:textId="77777777" w:rsidR="006B7941" w:rsidRPr="00FF0808" w:rsidRDefault="006B7941" w:rsidP="00073385">
            <w:pPr>
              <w:spacing w:before="60" w:after="60" w:line="240" w:lineRule="auto"/>
              <w:ind w:left="0"/>
              <w:rPr>
                <w:rFonts w:cs="Arial"/>
                <w:sz w:val="20"/>
                <w:szCs w:val="20"/>
              </w:rPr>
            </w:pPr>
          </w:p>
        </w:tc>
        <w:tc>
          <w:tcPr>
            <w:tcW w:w="1055" w:type="dxa"/>
          </w:tcPr>
          <w:p w14:paraId="13C89EB0" w14:textId="77777777" w:rsidR="006B7941" w:rsidRDefault="006B7941" w:rsidP="00073385">
            <w:pPr>
              <w:spacing w:before="60" w:after="60" w:line="240" w:lineRule="auto"/>
              <w:ind w:left="0"/>
              <w:rPr>
                <w:rFonts w:cs="Arial"/>
                <w:sz w:val="20"/>
                <w:szCs w:val="20"/>
              </w:rPr>
            </w:pPr>
            <w:r>
              <w:rPr>
                <w:rFonts w:cs="Arial"/>
                <w:sz w:val="20"/>
                <w:szCs w:val="20"/>
              </w:rPr>
              <w:t>11/5/17</w:t>
            </w:r>
          </w:p>
        </w:tc>
        <w:tc>
          <w:tcPr>
            <w:tcW w:w="6335" w:type="dxa"/>
            <w:shd w:val="clear" w:color="auto" w:fill="auto"/>
          </w:tcPr>
          <w:p w14:paraId="127C8987" w14:textId="77777777" w:rsidR="006B7941" w:rsidRDefault="006B7941" w:rsidP="00073385">
            <w:pPr>
              <w:spacing w:before="60" w:after="60" w:line="240" w:lineRule="auto"/>
              <w:ind w:left="0"/>
              <w:rPr>
                <w:rFonts w:cs="Arial"/>
                <w:sz w:val="20"/>
                <w:szCs w:val="20"/>
              </w:rPr>
            </w:pPr>
            <w:r>
              <w:rPr>
                <w:rFonts w:cs="Arial"/>
                <w:sz w:val="20"/>
                <w:szCs w:val="20"/>
              </w:rPr>
              <w:t>CarbonNet phoned and spoke to reception – not sure if letter was received. A new CEO has been appointed, CarbonNet forwarded the original email to the new CEO.</w:t>
            </w:r>
          </w:p>
        </w:tc>
        <w:tc>
          <w:tcPr>
            <w:tcW w:w="3802" w:type="dxa"/>
            <w:shd w:val="clear" w:color="auto" w:fill="auto"/>
          </w:tcPr>
          <w:p w14:paraId="4EB4AD60" w14:textId="3838E4AB"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2E6D46D0" w14:textId="77777777" w:rsidTr="0024586D">
        <w:tc>
          <w:tcPr>
            <w:tcW w:w="1427" w:type="dxa"/>
            <w:vMerge/>
            <w:tcBorders>
              <w:bottom w:val="nil"/>
            </w:tcBorders>
            <w:shd w:val="clear" w:color="auto" w:fill="auto"/>
          </w:tcPr>
          <w:p w14:paraId="40EBC644" w14:textId="77777777" w:rsidR="006B7941" w:rsidRDefault="006B7941" w:rsidP="00073385">
            <w:pPr>
              <w:spacing w:before="60" w:after="60" w:line="240" w:lineRule="auto"/>
              <w:ind w:left="0"/>
              <w:rPr>
                <w:rFonts w:cs="Arial"/>
                <w:sz w:val="20"/>
                <w:szCs w:val="20"/>
              </w:rPr>
            </w:pPr>
          </w:p>
        </w:tc>
        <w:tc>
          <w:tcPr>
            <w:tcW w:w="1629" w:type="dxa"/>
            <w:vMerge/>
            <w:tcBorders>
              <w:bottom w:val="nil"/>
            </w:tcBorders>
            <w:shd w:val="clear" w:color="auto" w:fill="auto"/>
          </w:tcPr>
          <w:p w14:paraId="3021F492" w14:textId="77777777" w:rsidR="006B7941" w:rsidRPr="00FF0808" w:rsidRDefault="006B7941" w:rsidP="00073385">
            <w:pPr>
              <w:spacing w:before="60" w:after="60" w:line="240" w:lineRule="auto"/>
              <w:ind w:left="0"/>
              <w:rPr>
                <w:rFonts w:cs="Arial"/>
                <w:sz w:val="20"/>
                <w:szCs w:val="20"/>
              </w:rPr>
            </w:pPr>
          </w:p>
        </w:tc>
        <w:tc>
          <w:tcPr>
            <w:tcW w:w="1055" w:type="dxa"/>
          </w:tcPr>
          <w:p w14:paraId="21B06506" w14:textId="77777777" w:rsidR="006B7941" w:rsidRDefault="006B7941" w:rsidP="00073385">
            <w:pPr>
              <w:spacing w:before="60" w:after="60" w:line="240" w:lineRule="auto"/>
              <w:ind w:left="0"/>
              <w:rPr>
                <w:rFonts w:cs="Arial"/>
                <w:sz w:val="20"/>
                <w:szCs w:val="20"/>
              </w:rPr>
            </w:pPr>
            <w:r>
              <w:rPr>
                <w:rFonts w:cs="Arial"/>
                <w:sz w:val="20"/>
                <w:szCs w:val="20"/>
              </w:rPr>
              <w:t>16/5/17</w:t>
            </w:r>
          </w:p>
        </w:tc>
        <w:tc>
          <w:tcPr>
            <w:tcW w:w="6335" w:type="dxa"/>
            <w:shd w:val="clear" w:color="auto" w:fill="auto"/>
          </w:tcPr>
          <w:p w14:paraId="072064CF" w14:textId="77777777" w:rsidR="006B7941" w:rsidRPr="008E7D93" w:rsidRDefault="006B7941" w:rsidP="00073385">
            <w:pPr>
              <w:spacing w:before="60" w:after="60" w:line="240" w:lineRule="auto"/>
              <w:ind w:left="0"/>
              <w:rPr>
                <w:rFonts w:cs="Arial"/>
                <w:sz w:val="20"/>
                <w:szCs w:val="20"/>
              </w:rPr>
            </w:pPr>
            <w:r>
              <w:rPr>
                <w:rFonts w:cs="Arial"/>
                <w:sz w:val="20"/>
                <w:szCs w:val="20"/>
              </w:rPr>
              <w:t>CarbonNet spoke to GLaWAC who confirmed the letter was received. GLaWAC are intested in whether there a</w:t>
            </w:r>
            <w:r w:rsidRPr="008E7D93">
              <w:rPr>
                <w:rFonts w:cs="Arial"/>
                <w:sz w:val="20"/>
                <w:szCs w:val="20"/>
              </w:rPr>
              <w:t>re any native titl</w:t>
            </w:r>
            <w:r>
              <w:rPr>
                <w:rFonts w:cs="Arial"/>
                <w:sz w:val="20"/>
                <w:szCs w:val="20"/>
              </w:rPr>
              <w:t xml:space="preserve">e or cultural heritage impacts, and what </w:t>
            </w:r>
            <w:r w:rsidRPr="008E7D93">
              <w:rPr>
                <w:rFonts w:cs="Arial"/>
                <w:sz w:val="20"/>
                <w:szCs w:val="20"/>
              </w:rPr>
              <w:t xml:space="preserve">partnership opportunities </w:t>
            </w:r>
            <w:r>
              <w:rPr>
                <w:rFonts w:cs="Arial"/>
                <w:sz w:val="20"/>
                <w:szCs w:val="20"/>
              </w:rPr>
              <w:t xml:space="preserve">exist </w:t>
            </w:r>
            <w:r w:rsidRPr="008E7D93">
              <w:rPr>
                <w:rFonts w:cs="Arial"/>
                <w:sz w:val="20"/>
                <w:szCs w:val="20"/>
              </w:rPr>
              <w:t>for longer-t</w:t>
            </w:r>
            <w:r>
              <w:rPr>
                <w:rFonts w:cs="Arial"/>
                <w:sz w:val="20"/>
                <w:szCs w:val="20"/>
              </w:rPr>
              <w:t>erm benefits for the community.</w:t>
            </w:r>
          </w:p>
          <w:p w14:paraId="16A38EA0" w14:textId="77777777" w:rsidR="006B7941" w:rsidRDefault="006B7941" w:rsidP="00073385">
            <w:pPr>
              <w:spacing w:before="60" w:after="60" w:line="240" w:lineRule="auto"/>
              <w:ind w:left="0"/>
              <w:rPr>
                <w:rFonts w:cs="Arial"/>
                <w:sz w:val="20"/>
                <w:szCs w:val="20"/>
              </w:rPr>
            </w:pPr>
            <w:r>
              <w:rPr>
                <w:rFonts w:cs="Arial"/>
                <w:sz w:val="20"/>
                <w:szCs w:val="20"/>
              </w:rPr>
              <w:t xml:space="preserve">GLaWAC confirmed that </w:t>
            </w:r>
            <w:r w:rsidRPr="008E7D93">
              <w:rPr>
                <w:rFonts w:cs="Arial"/>
                <w:sz w:val="20"/>
                <w:szCs w:val="20"/>
              </w:rPr>
              <w:t>native title does not apply if activity is occurring outside of 200 m</w:t>
            </w:r>
            <w:r>
              <w:rPr>
                <w:rFonts w:cs="Arial"/>
                <w:sz w:val="20"/>
                <w:szCs w:val="20"/>
              </w:rPr>
              <w:t xml:space="preserve">etres from the high water mark, but would like to discuss the project in more detail. </w:t>
            </w:r>
          </w:p>
        </w:tc>
        <w:tc>
          <w:tcPr>
            <w:tcW w:w="3802" w:type="dxa"/>
            <w:shd w:val="clear" w:color="auto" w:fill="auto"/>
          </w:tcPr>
          <w:p w14:paraId="1BA347A7" w14:textId="77777777" w:rsidR="006B7941" w:rsidRDefault="006B7941" w:rsidP="00073385">
            <w:pPr>
              <w:spacing w:before="60" w:after="60" w:line="240" w:lineRule="auto"/>
              <w:ind w:left="0"/>
              <w:rPr>
                <w:rFonts w:cs="Arial"/>
                <w:sz w:val="20"/>
                <w:szCs w:val="20"/>
              </w:rPr>
            </w:pPr>
            <w:r>
              <w:rPr>
                <w:rFonts w:cs="Arial"/>
                <w:sz w:val="20"/>
                <w:szCs w:val="20"/>
              </w:rPr>
              <w:t>CarbonNet scheduled meeting to brief GLaWAC on the MSS and project.</w:t>
            </w:r>
          </w:p>
          <w:p w14:paraId="62008122" w14:textId="77777777" w:rsidR="006B7941" w:rsidRDefault="006B7941" w:rsidP="00073385">
            <w:pPr>
              <w:spacing w:before="60" w:after="60" w:line="240" w:lineRule="auto"/>
              <w:ind w:left="0"/>
              <w:rPr>
                <w:rFonts w:cs="Arial"/>
                <w:sz w:val="20"/>
                <w:szCs w:val="20"/>
              </w:rPr>
            </w:pPr>
          </w:p>
          <w:p w14:paraId="4866E508" w14:textId="77777777" w:rsidR="006B7941" w:rsidRDefault="006B7941" w:rsidP="00073385">
            <w:pPr>
              <w:spacing w:before="60" w:after="60" w:line="240" w:lineRule="auto"/>
              <w:ind w:left="0"/>
              <w:rPr>
                <w:rFonts w:cs="Arial"/>
                <w:sz w:val="20"/>
                <w:szCs w:val="20"/>
              </w:rPr>
            </w:pPr>
            <w:r>
              <w:rPr>
                <w:rFonts w:cs="Arial"/>
                <w:sz w:val="20"/>
                <w:szCs w:val="20"/>
              </w:rPr>
              <w:t>As no Native Title applies, no further actions are required. CarbonNet will continue to inform GLaWAC of activities and look for opportunities to collaborate.</w:t>
            </w:r>
          </w:p>
        </w:tc>
      </w:tr>
      <w:tr w:rsidR="006B7941" w:rsidRPr="00FF0808" w14:paraId="6790292C" w14:textId="77777777" w:rsidTr="0024586D">
        <w:tc>
          <w:tcPr>
            <w:tcW w:w="1427" w:type="dxa"/>
            <w:tcBorders>
              <w:top w:val="nil"/>
              <w:bottom w:val="nil"/>
            </w:tcBorders>
            <w:shd w:val="clear" w:color="auto" w:fill="auto"/>
          </w:tcPr>
          <w:p w14:paraId="31426A69" w14:textId="77777777" w:rsidR="006B7941" w:rsidRDefault="006B7941"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5BF9179C" w14:textId="77777777" w:rsidR="006B7941" w:rsidRPr="00FF0808" w:rsidRDefault="006B7941" w:rsidP="00073385">
            <w:pPr>
              <w:spacing w:before="60" w:after="60" w:line="240" w:lineRule="auto"/>
              <w:ind w:left="0"/>
              <w:rPr>
                <w:rFonts w:cs="Arial"/>
                <w:sz w:val="20"/>
                <w:szCs w:val="20"/>
              </w:rPr>
            </w:pPr>
          </w:p>
        </w:tc>
        <w:tc>
          <w:tcPr>
            <w:tcW w:w="1055" w:type="dxa"/>
          </w:tcPr>
          <w:p w14:paraId="7E0B90DD" w14:textId="77777777" w:rsidR="006B7941" w:rsidRDefault="006B7941" w:rsidP="00073385">
            <w:pPr>
              <w:spacing w:before="60" w:after="60" w:line="240" w:lineRule="auto"/>
              <w:ind w:left="0"/>
              <w:rPr>
                <w:rFonts w:cs="Arial"/>
                <w:sz w:val="20"/>
                <w:szCs w:val="20"/>
              </w:rPr>
            </w:pPr>
            <w:r>
              <w:rPr>
                <w:rFonts w:cs="Arial"/>
                <w:sz w:val="20"/>
                <w:szCs w:val="20"/>
              </w:rPr>
              <w:t>23/5/17</w:t>
            </w:r>
          </w:p>
        </w:tc>
        <w:tc>
          <w:tcPr>
            <w:tcW w:w="6335" w:type="dxa"/>
            <w:shd w:val="clear" w:color="auto" w:fill="auto"/>
          </w:tcPr>
          <w:p w14:paraId="1CC15C48" w14:textId="77777777" w:rsidR="006B7941" w:rsidRDefault="006B7941" w:rsidP="00073385">
            <w:pPr>
              <w:spacing w:before="60" w:after="60" w:line="240" w:lineRule="auto"/>
              <w:ind w:left="0"/>
              <w:rPr>
                <w:rFonts w:cs="Arial"/>
                <w:sz w:val="20"/>
                <w:szCs w:val="20"/>
              </w:rPr>
            </w:pPr>
            <w:r>
              <w:rPr>
                <w:rFonts w:cs="Arial"/>
                <w:sz w:val="20"/>
                <w:szCs w:val="20"/>
              </w:rPr>
              <w:t>CarbonNet met with GLaWAC in Lakes Entrance. GLaWAC confirmed previous discussion that as the MSS is more than 200 metres offshore, it does not trigger Native Title processes.</w:t>
            </w:r>
          </w:p>
          <w:p w14:paraId="40FE0282" w14:textId="77777777" w:rsidR="006B7941" w:rsidRDefault="006B7941" w:rsidP="00073385">
            <w:pPr>
              <w:spacing w:before="60" w:after="60" w:line="240" w:lineRule="auto"/>
              <w:ind w:left="0"/>
              <w:rPr>
                <w:rFonts w:cs="Arial"/>
                <w:sz w:val="20"/>
                <w:szCs w:val="20"/>
              </w:rPr>
            </w:pPr>
            <w:r>
              <w:rPr>
                <w:rFonts w:cs="Arial"/>
                <w:sz w:val="20"/>
                <w:szCs w:val="20"/>
              </w:rPr>
              <w:t>GLaWAC provided the following information:</w:t>
            </w:r>
          </w:p>
          <w:p w14:paraId="6BB31296" w14:textId="77777777" w:rsidR="006B7941" w:rsidRPr="00C83C0E" w:rsidRDefault="006B7941" w:rsidP="00073385">
            <w:pPr>
              <w:pStyle w:val="ListParagraph0"/>
              <w:numPr>
                <w:ilvl w:val="0"/>
                <w:numId w:val="503"/>
              </w:numPr>
              <w:spacing w:before="60" w:after="60" w:line="240" w:lineRule="auto"/>
              <w:rPr>
                <w:rFonts w:cs="Arial"/>
                <w:sz w:val="20"/>
                <w:szCs w:val="20"/>
              </w:rPr>
            </w:pPr>
            <w:r w:rsidRPr="00C83C0E">
              <w:rPr>
                <w:rFonts w:cs="Arial"/>
                <w:sz w:val="20"/>
                <w:szCs w:val="20"/>
              </w:rPr>
              <w:t xml:space="preserve">Gippsland Lakes Coastal and National Parks are jointly managed with Parks Victoria </w:t>
            </w:r>
            <w:r>
              <w:rPr>
                <w:rFonts w:cs="Arial"/>
                <w:sz w:val="20"/>
                <w:szCs w:val="20"/>
              </w:rPr>
              <w:t xml:space="preserve">and if possible it’s best to meet with both organisations at the same time. </w:t>
            </w:r>
          </w:p>
          <w:p w14:paraId="4FDCEAC5" w14:textId="77777777" w:rsidR="006B7941" w:rsidRPr="00C83C0E" w:rsidRDefault="006B7941" w:rsidP="00073385">
            <w:pPr>
              <w:pStyle w:val="ListParagraph0"/>
              <w:numPr>
                <w:ilvl w:val="0"/>
                <w:numId w:val="503"/>
              </w:numPr>
              <w:spacing w:before="60" w:after="60" w:line="240" w:lineRule="auto"/>
              <w:rPr>
                <w:rFonts w:cs="Arial"/>
                <w:sz w:val="20"/>
                <w:szCs w:val="20"/>
              </w:rPr>
            </w:pPr>
            <w:r>
              <w:rPr>
                <w:rFonts w:cs="Arial"/>
                <w:sz w:val="20"/>
                <w:szCs w:val="20"/>
              </w:rPr>
              <w:t>GLaWAC</w:t>
            </w:r>
            <w:r w:rsidRPr="00C83C0E">
              <w:rPr>
                <w:rFonts w:cs="Arial"/>
                <w:sz w:val="20"/>
                <w:szCs w:val="20"/>
              </w:rPr>
              <w:t xml:space="preserve"> can assist with communications: via website, quarterly newsletter and providing info to Gunaikurnai rangers. </w:t>
            </w:r>
          </w:p>
          <w:p w14:paraId="69275F28" w14:textId="77777777" w:rsidR="006B7941" w:rsidRPr="00C83C0E" w:rsidRDefault="006B7941" w:rsidP="00073385">
            <w:pPr>
              <w:pStyle w:val="ListParagraph0"/>
              <w:numPr>
                <w:ilvl w:val="0"/>
                <w:numId w:val="503"/>
              </w:numPr>
              <w:spacing w:before="60" w:after="60" w:line="240" w:lineRule="auto"/>
              <w:rPr>
                <w:rFonts w:cs="Arial"/>
                <w:sz w:val="20"/>
                <w:szCs w:val="20"/>
              </w:rPr>
            </w:pPr>
            <w:r>
              <w:rPr>
                <w:rFonts w:cs="Arial"/>
                <w:sz w:val="20"/>
                <w:szCs w:val="20"/>
              </w:rPr>
              <w:t>GLaWAC re</w:t>
            </w:r>
            <w:r w:rsidRPr="00C83C0E">
              <w:rPr>
                <w:rFonts w:cs="Arial"/>
                <w:sz w:val="20"/>
                <w:szCs w:val="20"/>
              </w:rPr>
              <w:t xml:space="preserve">commended using Latrobe Valley media to target holidaymakers who visit Golden Beach </w:t>
            </w:r>
          </w:p>
          <w:p w14:paraId="410166CF" w14:textId="7C0AD8C4" w:rsidR="006B7941" w:rsidRPr="0024586D" w:rsidRDefault="006B7941" w:rsidP="0024586D">
            <w:pPr>
              <w:pStyle w:val="ListParagraph0"/>
              <w:numPr>
                <w:ilvl w:val="0"/>
                <w:numId w:val="503"/>
              </w:numPr>
              <w:spacing w:before="60" w:after="60" w:line="240" w:lineRule="auto"/>
              <w:rPr>
                <w:rFonts w:cs="Arial"/>
                <w:sz w:val="20"/>
                <w:szCs w:val="20"/>
              </w:rPr>
            </w:pPr>
            <w:r>
              <w:rPr>
                <w:rFonts w:cs="Arial"/>
                <w:sz w:val="20"/>
                <w:szCs w:val="20"/>
              </w:rPr>
              <w:t xml:space="preserve">GLaWAC </w:t>
            </w:r>
            <w:r w:rsidRPr="00C83C0E">
              <w:rPr>
                <w:rFonts w:cs="Arial"/>
                <w:sz w:val="20"/>
                <w:szCs w:val="20"/>
              </w:rPr>
              <w:t xml:space="preserve">recommended contacting local MPs </w:t>
            </w:r>
          </w:p>
        </w:tc>
        <w:tc>
          <w:tcPr>
            <w:tcW w:w="3802" w:type="dxa"/>
            <w:shd w:val="clear" w:color="auto" w:fill="auto"/>
          </w:tcPr>
          <w:p w14:paraId="6DD1FC8C" w14:textId="77777777" w:rsidR="006B7941" w:rsidRDefault="006B7941" w:rsidP="00073385">
            <w:pPr>
              <w:spacing w:before="60" w:after="60" w:line="240" w:lineRule="auto"/>
              <w:ind w:left="0"/>
              <w:rPr>
                <w:rFonts w:cs="Arial"/>
                <w:sz w:val="20"/>
                <w:szCs w:val="20"/>
              </w:rPr>
            </w:pPr>
            <w:r>
              <w:rPr>
                <w:rFonts w:cs="Arial"/>
                <w:sz w:val="20"/>
                <w:szCs w:val="20"/>
              </w:rPr>
              <w:t>CarbonNet will ensure Parks Victoria and GLaWAC are consulted jointly.</w:t>
            </w:r>
          </w:p>
          <w:p w14:paraId="2BD26F89" w14:textId="77777777" w:rsidR="006B7941" w:rsidRDefault="006B7941" w:rsidP="00073385">
            <w:pPr>
              <w:spacing w:before="60" w:after="60" w:line="240" w:lineRule="auto"/>
              <w:ind w:left="0"/>
              <w:rPr>
                <w:rFonts w:cs="Arial"/>
                <w:sz w:val="20"/>
                <w:szCs w:val="20"/>
              </w:rPr>
            </w:pPr>
          </w:p>
          <w:p w14:paraId="430DAB2B" w14:textId="77777777" w:rsidR="006B7941" w:rsidRDefault="006B7941" w:rsidP="00073385">
            <w:pPr>
              <w:spacing w:before="60" w:after="60" w:line="240" w:lineRule="auto"/>
              <w:ind w:left="0"/>
              <w:rPr>
                <w:rFonts w:cs="Arial"/>
                <w:sz w:val="20"/>
                <w:szCs w:val="20"/>
              </w:rPr>
            </w:pPr>
            <w:r>
              <w:rPr>
                <w:rFonts w:cs="Arial"/>
                <w:sz w:val="20"/>
                <w:szCs w:val="20"/>
              </w:rPr>
              <w:t>CarbonNet will contact GLaWAC closer to the operational period to arrange notices on website, newsletters and via park rangers.</w:t>
            </w:r>
          </w:p>
          <w:p w14:paraId="7E6C66A3" w14:textId="77777777" w:rsidR="006B7941" w:rsidRDefault="006B7941" w:rsidP="00073385">
            <w:pPr>
              <w:spacing w:before="60" w:after="60" w:line="240" w:lineRule="auto"/>
              <w:ind w:left="0"/>
              <w:rPr>
                <w:rFonts w:cs="Arial"/>
                <w:sz w:val="20"/>
                <w:szCs w:val="20"/>
              </w:rPr>
            </w:pPr>
          </w:p>
          <w:p w14:paraId="1FAA6923" w14:textId="77777777" w:rsidR="006B7941" w:rsidRDefault="006B7941" w:rsidP="00073385">
            <w:pPr>
              <w:spacing w:before="60" w:after="60" w:line="240" w:lineRule="auto"/>
              <w:ind w:left="0"/>
              <w:rPr>
                <w:rFonts w:cs="Arial"/>
                <w:sz w:val="20"/>
                <w:szCs w:val="20"/>
              </w:rPr>
            </w:pPr>
            <w:r>
              <w:rPr>
                <w:rFonts w:cs="Arial"/>
                <w:sz w:val="20"/>
                <w:szCs w:val="20"/>
              </w:rPr>
              <w:t>CarbonNet will consider using Latrobe Valley media and contacting local MPs.</w:t>
            </w:r>
          </w:p>
        </w:tc>
      </w:tr>
      <w:tr w:rsidR="006B7941" w:rsidRPr="00FF0808" w14:paraId="57A9210B" w14:textId="77777777" w:rsidTr="0024586D">
        <w:tc>
          <w:tcPr>
            <w:tcW w:w="1427" w:type="dxa"/>
            <w:tcBorders>
              <w:top w:val="nil"/>
              <w:bottom w:val="nil"/>
            </w:tcBorders>
            <w:shd w:val="clear" w:color="auto" w:fill="auto"/>
          </w:tcPr>
          <w:p w14:paraId="20886570" w14:textId="77777777" w:rsidR="006B7941" w:rsidRDefault="006B7941"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BA8351B" w14:textId="77777777" w:rsidR="006B7941" w:rsidRPr="00FF0808" w:rsidRDefault="006B7941" w:rsidP="00073385">
            <w:pPr>
              <w:spacing w:before="60" w:after="60" w:line="240" w:lineRule="auto"/>
              <w:ind w:left="0"/>
              <w:rPr>
                <w:rFonts w:cs="Arial"/>
                <w:sz w:val="20"/>
                <w:szCs w:val="20"/>
              </w:rPr>
            </w:pPr>
          </w:p>
        </w:tc>
        <w:tc>
          <w:tcPr>
            <w:tcW w:w="1055" w:type="dxa"/>
          </w:tcPr>
          <w:p w14:paraId="6F0A2838" w14:textId="77777777" w:rsidR="006B7941" w:rsidRDefault="006B7941" w:rsidP="00073385">
            <w:pPr>
              <w:spacing w:before="60" w:after="60" w:line="240" w:lineRule="auto"/>
              <w:ind w:left="0"/>
              <w:rPr>
                <w:rFonts w:cs="Arial"/>
                <w:sz w:val="20"/>
                <w:szCs w:val="20"/>
              </w:rPr>
            </w:pPr>
            <w:r>
              <w:rPr>
                <w:rFonts w:cs="Arial"/>
                <w:sz w:val="20"/>
                <w:szCs w:val="20"/>
              </w:rPr>
              <w:t>7/8/17</w:t>
            </w:r>
          </w:p>
        </w:tc>
        <w:tc>
          <w:tcPr>
            <w:tcW w:w="6335" w:type="dxa"/>
            <w:shd w:val="clear" w:color="auto" w:fill="auto"/>
          </w:tcPr>
          <w:p w14:paraId="73B5DD42" w14:textId="77777777" w:rsidR="006B7941" w:rsidRDefault="006B7941" w:rsidP="00073385">
            <w:pPr>
              <w:spacing w:before="60" w:after="60" w:line="240" w:lineRule="auto"/>
              <w:ind w:left="0"/>
              <w:rPr>
                <w:rFonts w:cs="Arial"/>
                <w:sz w:val="20"/>
                <w:szCs w:val="20"/>
              </w:rPr>
            </w:pPr>
            <w:r w:rsidRPr="00B866A1">
              <w:rPr>
                <w:rFonts w:cs="Arial"/>
                <w:sz w:val="20"/>
                <w:szCs w:val="20"/>
              </w:rPr>
              <w:t xml:space="preserve">CarbonNet sent </w:t>
            </w:r>
            <w:r>
              <w:rPr>
                <w:rFonts w:cs="Arial"/>
                <w:sz w:val="20"/>
                <w:szCs w:val="20"/>
              </w:rPr>
              <w:t>GLaWAC</w:t>
            </w:r>
            <w:r w:rsidRPr="00B866A1">
              <w:rPr>
                <w:rFonts w:cs="Arial"/>
                <w:sz w:val="20"/>
                <w:szCs w:val="20"/>
              </w:rPr>
              <w:t xml:space="preserve"> an email advising that the operational area and duration of survey have now been refined, and that the EP w</w:t>
            </w:r>
            <w:r>
              <w:rPr>
                <w:rFonts w:cs="Arial"/>
                <w:sz w:val="20"/>
                <w:szCs w:val="20"/>
              </w:rPr>
              <w:t>ill be submitted in mid-August.</w:t>
            </w:r>
          </w:p>
        </w:tc>
        <w:tc>
          <w:tcPr>
            <w:tcW w:w="3802" w:type="dxa"/>
            <w:shd w:val="clear" w:color="auto" w:fill="auto"/>
          </w:tcPr>
          <w:p w14:paraId="22F622FE" w14:textId="77777777" w:rsidR="006B7941" w:rsidRDefault="006B7941" w:rsidP="00073385">
            <w:pPr>
              <w:spacing w:before="60" w:after="60" w:line="240" w:lineRule="auto"/>
              <w:ind w:left="0"/>
              <w:rPr>
                <w:rFonts w:cs="Arial"/>
                <w:sz w:val="20"/>
                <w:szCs w:val="20"/>
              </w:rPr>
            </w:pPr>
          </w:p>
        </w:tc>
      </w:tr>
      <w:tr w:rsidR="006B7941" w:rsidRPr="00FF0808" w14:paraId="1E5B60DD" w14:textId="77777777" w:rsidTr="00891DE1">
        <w:tc>
          <w:tcPr>
            <w:tcW w:w="1427" w:type="dxa"/>
            <w:tcBorders>
              <w:top w:val="nil"/>
              <w:bottom w:val="nil"/>
            </w:tcBorders>
            <w:shd w:val="clear" w:color="auto" w:fill="auto"/>
          </w:tcPr>
          <w:p w14:paraId="0E659ABC" w14:textId="77777777" w:rsidR="006B7941" w:rsidRDefault="006B7941"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AEDDBD0" w14:textId="77777777" w:rsidR="006B7941" w:rsidRPr="00FF0808" w:rsidRDefault="006B7941" w:rsidP="00073385">
            <w:pPr>
              <w:spacing w:before="60" w:after="60" w:line="240" w:lineRule="auto"/>
              <w:ind w:left="0"/>
              <w:rPr>
                <w:rFonts w:cs="Arial"/>
                <w:sz w:val="20"/>
                <w:szCs w:val="20"/>
              </w:rPr>
            </w:pPr>
          </w:p>
        </w:tc>
        <w:tc>
          <w:tcPr>
            <w:tcW w:w="1055" w:type="dxa"/>
          </w:tcPr>
          <w:p w14:paraId="42169946" w14:textId="77777777" w:rsidR="006B7941" w:rsidRDefault="006B7941" w:rsidP="00073385">
            <w:pPr>
              <w:spacing w:before="60" w:after="60" w:line="240" w:lineRule="auto"/>
              <w:ind w:left="0"/>
              <w:rPr>
                <w:rFonts w:cs="Arial"/>
                <w:sz w:val="20"/>
                <w:szCs w:val="20"/>
              </w:rPr>
            </w:pPr>
            <w:r>
              <w:rPr>
                <w:rFonts w:cs="Arial"/>
                <w:sz w:val="20"/>
                <w:szCs w:val="20"/>
              </w:rPr>
              <w:t>9/8/17</w:t>
            </w:r>
          </w:p>
        </w:tc>
        <w:tc>
          <w:tcPr>
            <w:tcW w:w="6335" w:type="dxa"/>
            <w:shd w:val="clear" w:color="auto" w:fill="auto"/>
          </w:tcPr>
          <w:p w14:paraId="7802DCAE" w14:textId="77777777" w:rsidR="006B7941" w:rsidRDefault="006B7941" w:rsidP="00073385">
            <w:pPr>
              <w:spacing w:before="60" w:after="60" w:line="240" w:lineRule="auto"/>
              <w:ind w:left="0"/>
              <w:rPr>
                <w:rFonts w:cs="Arial"/>
                <w:sz w:val="20"/>
                <w:szCs w:val="20"/>
              </w:rPr>
            </w:pPr>
            <w:r>
              <w:rPr>
                <w:rFonts w:cs="Arial"/>
                <w:sz w:val="20"/>
                <w:szCs w:val="20"/>
              </w:rPr>
              <w:t>CarbonNet spoke to GLaWAC to provide briefing on MSS following meeting with Parks Victoria that they were unable to attend. GLaWAC provided the following operational and timing information:</w:t>
            </w:r>
          </w:p>
          <w:p w14:paraId="20D8FFA4" w14:textId="77777777" w:rsidR="006B7941" w:rsidRPr="00C83C0E" w:rsidRDefault="006B7941" w:rsidP="00073385">
            <w:pPr>
              <w:pStyle w:val="ListParagraph0"/>
              <w:numPr>
                <w:ilvl w:val="0"/>
                <w:numId w:val="504"/>
              </w:numPr>
              <w:spacing w:before="60" w:after="60" w:line="240" w:lineRule="auto"/>
              <w:rPr>
                <w:rFonts w:cs="Arial"/>
                <w:sz w:val="20"/>
                <w:szCs w:val="20"/>
              </w:rPr>
            </w:pPr>
            <w:r>
              <w:rPr>
                <w:rFonts w:cs="Arial"/>
                <w:sz w:val="20"/>
                <w:szCs w:val="20"/>
              </w:rPr>
              <w:t>Gunaik</w:t>
            </w:r>
            <w:r w:rsidRPr="00C83C0E">
              <w:rPr>
                <w:rFonts w:cs="Arial"/>
                <w:sz w:val="20"/>
                <w:szCs w:val="20"/>
              </w:rPr>
              <w:t>urnai rangers are generally at Golden Beach about 1 day</w:t>
            </w:r>
            <w:r>
              <w:rPr>
                <w:rFonts w:cs="Arial"/>
                <w:sz w:val="20"/>
                <w:szCs w:val="20"/>
              </w:rPr>
              <w:t xml:space="preserve"> per</w:t>
            </w:r>
            <w:r w:rsidRPr="00C83C0E">
              <w:rPr>
                <w:rFonts w:cs="Arial"/>
                <w:sz w:val="20"/>
                <w:szCs w:val="20"/>
              </w:rPr>
              <w:t xml:space="preserve"> fortnight (estimate) but can factor in more staff if needed. </w:t>
            </w:r>
          </w:p>
          <w:p w14:paraId="3FD3F6CB" w14:textId="77777777" w:rsidR="006B7941" w:rsidRPr="00C83C0E" w:rsidRDefault="006B7941" w:rsidP="00073385">
            <w:pPr>
              <w:pStyle w:val="ListParagraph0"/>
              <w:numPr>
                <w:ilvl w:val="0"/>
                <w:numId w:val="504"/>
              </w:numPr>
              <w:spacing w:before="60" w:after="60" w:line="240" w:lineRule="auto"/>
              <w:rPr>
                <w:rFonts w:cs="Arial"/>
                <w:sz w:val="20"/>
                <w:szCs w:val="20"/>
              </w:rPr>
            </w:pPr>
            <w:r>
              <w:rPr>
                <w:rFonts w:cs="Arial"/>
                <w:sz w:val="20"/>
                <w:szCs w:val="20"/>
              </w:rPr>
              <w:t>Gunaikurnai s</w:t>
            </w:r>
            <w:r w:rsidRPr="00C83C0E">
              <w:rPr>
                <w:rFonts w:cs="Arial"/>
                <w:sz w:val="20"/>
                <w:szCs w:val="20"/>
              </w:rPr>
              <w:t xml:space="preserve">taff availability can be difficult over summer as there are lots of tourists around and if there are fires rangers could get called away. </w:t>
            </w:r>
          </w:p>
          <w:p w14:paraId="41AF96C6" w14:textId="77777777" w:rsidR="006B7941" w:rsidRPr="00C83C0E" w:rsidRDefault="006B7941" w:rsidP="00073385">
            <w:pPr>
              <w:pStyle w:val="ListParagraph0"/>
              <w:numPr>
                <w:ilvl w:val="0"/>
                <w:numId w:val="504"/>
              </w:numPr>
              <w:spacing w:before="60" w:after="60" w:line="240" w:lineRule="auto"/>
              <w:rPr>
                <w:rFonts w:cs="Arial"/>
                <w:sz w:val="20"/>
                <w:szCs w:val="20"/>
              </w:rPr>
            </w:pPr>
            <w:r w:rsidRPr="00C83C0E">
              <w:rPr>
                <w:rFonts w:cs="Arial"/>
                <w:sz w:val="20"/>
                <w:szCs w:val="20"/>
              </w:rPr>
              <w:t xml:space="preserve">As early as possible would be best timing </w:t>
            </w:r>
            <w:r>
              <w:rPr>
                <w:rFonts w:cs="Arial"/>
                <w:sz w:val="20"/>
                <w:szCs w:val="20"/>
              </w:rPr>
              <w:t xml:space="preserve">for the MSS </w:t>
            </w:r>
            <w:r w:rsidRPr="00C83C0E">
              <w:rPr>
                <w:rFonts w:cs="Arial"/>
                <w:sz w:val="20"/>
                <w:szCs w:val="20"/>
              </w:rPr>
              <w:t>(Nov</w:t>
            </w:r>
            <w:r>
              <w:rPr>
                <w:rFonts w:cs="Arial"/>
                <w:sz w:val="20"/>
                <w:szCs w:val="20"/>
              </w:rPr>
              <w:t>ember</w:t>
            </w:r>
            <w:r w:rsidRPr="00C83C0E">
              <w:rPr>
                <w:rFonts w:cs="Arial"/>
                <w:sz w:val="20"/>
                <w:szCs w:val="20"/>
              </w:rPr>
              <w:t>)</w:t>
            </w:r>
            <w:r>
              <w:rPr>
                <w:rFonts w:cs="Arial"/>
                <w:sz w:val="20"/>
                <w:szCs w:val="20"/>
              </w:rPr>
              <w:t xml:space="preserve"> due to ranger availability</w:t>
            </w:r>
            <w:r w:rsidRPr="00C83C0E">
              <w:rPr>
                <w:rFonts w:cs="Arial"/>
                <w:sz w:val="20"/>
                <w:szCs w:val="20"/>
              </w:rPr>
              <w:t xml:space="preserve">, but they have no issue with other timing aside from their rangers being available. </w:t>
            </w:r>
          </w:p>
          <w:p w14:paraId="0837F948" w14:textId="77777777" w:rsidR="006B7941" w:rsidRPr="00C83C0E" w:rsidRDefault="006B7941" w:rsidP="00073385">
            <w:pPr>
              <w:pStyle w:val="ListParagraph0"/>
              <w:numPr>
                <w:ilvl w:val="0"/>
                <w:numId w:val="504"/>
              </w:numPr>
              <w:spacing w:before="60" w:after="60" w:line="240" w:lineRule="auto"/>
              <w:rPr>
                <w:rFonts w:cs="Arial"/>
                <w:sz w:val="20"/>
                <w:szCs w:val="20"/>
              </w:rPr>
            </w:pPr>
            <w:r w:rsidRPr="00C83C0E">
              <w:rPr>
                <w:rFonts w:cs="Arial"/>
                <w:sz w:val="20"/>
                <w:szCs w:val="20"/>
              </w:rPr>
              <w:t>Asked if there were many opportunities for Gunai</w:t>
            </w:r>
            <w:r>
              <w:rPr>
                <w:rFonts w:cs="Arial"/>
                <w:sz w:val="20"/>
                <w:szCs w:val="20"/>
              </w:rPr>
              <w:t>k</w:t>
            </w:r>
            <w:r w:rsidRPr="00C83C0E">
              <w:rPr>
                <w:rFonts w:cs="Arial"/>
                <w:sz w:val="20"/>
                <w:szCs w:val="20"/>
              </w:rPr>
              <w:t>urnai people to be involved in project - either big or small scale?</w:t>
            </w:r>
          </w:p>
        </w:tc>
        <w:tc>
          <w:tcPr>
            <w:tcW w:w="3802" w:type="dxa"/>
            <w:shd w:val="clear" w:color="auto" w:fill="auto"/>
          </w:tcPr>
          <w:p w14:paraId="66630058" w14:textId="77777777" w:rsidR="006B7941" w:rsidRDefault="006B7941" w:rsidP="00073385">
            <w:pPr>
              <w:spacing w:before="60" w:after="60" w:line="240" w:lineRule="auto"/>
              <w:ind w:left="0"/>
              <w:rPr>
                <w:rFonts w:cs="Arial"/>
                <w:sz w:val="20"/>
                <w:szCs w:val="20"/>
              </w:rPr>
            </w:pPr>
            <w:r>
              <w:rPr>
                <w:rFonts w:cs="Arial"/>
                <w:sz w:val="20"/>
                <w:szCs w:val="20"/>
              </w:rPr>
              <w:t xml:space="preserve">CarbonNet will </w:t>
            </w:r>
            <w:r w:rsidRPr="008E7D93">
              <w:rPr>
                <w:rFonts w:cs="Arial"/>
                <w:sz w:val="20"/>
                <w:szCs w:val="20"/>
              </w:rPr>
              <w:t xml:space="preserve">stay in touch and continue to discuss project opportunities. </w:t>
            </w:r>
            <w:r>
              <w:rPr>
                <w:rFonts w:cs="Arial"/>
                <w:sz w:val="20"/>
                <w:szCs w:val="20"/>
              </w:rPr>
              <w:t xml:space="preserve"> </w:t>
            </w:r>
          </w:p>
          <w:p w14:paraId="7F110ADA" w14:textId="77777777" w:rsidR="006B7941" w:rsidRDefault="006B7941" w:rsidP="00073385">
            <w:pPr>
              <w:spacing w:before="60" w:after="60" w:line="240" w:lineRule="auto"/>
              <w:ind w:left="0"/>
              <w:rPr>
                <w:rFonts w:cs="Arial"/>
                <w:sz w:val="20"/>
                <w:szCs w:val="20"/>
              </w:rPr>
            </w:pPr>
          </w:p>
          <w:p w14:paraId="4BDA5A0F" w14:textId="77777777" w:rsidR="006B7941" w:rsidRDefault="006B7941" w:rsidP="00073385">
            <w:pPr>
              <w:spacing w:before="60" w:after="60" w:line="240" w:lineRule="auto"/>
              <w:ind w:left="0"/>
              <w:rPr>
                <w:rFonts w:cs="Arial"/>
                <w:sz w:val="20"/>
                <w:szCs w:val="20"/>
              </w:rPr>
            </w:pPr>
            <w:r>
              <w:rPr>
                <w:rFonts w:cs="Arial"/>
                <w:sz w:val="20"/>
                <w:szCs w:val="20"/>
              </w:rPr>
              <w:t>CarbonNet will note preference for early timing, noting other stakeholders have requested for the MSS to avoid November.</w:t>
            </w:r>
          </w:p>
          <w:p w14:paraId="12BDDDE0" w14:textId="77777777" w:rsidR="006B7941" w:rsidRDefault="006B7941" w:rsidP="00073385">
            <w:pPr>
              <w:spacing w:before="60" w:after="60" w:line="240" w:lineRule="auto"/>
              <w:ind w:left="0"/>
              <w:rPr>
                <w:rFonts w:cs="Arial"/>
                <w:sz w:val="20"/>
                <w:szCs w:val="20"/>
              </w:rPr>
            </w:pPr>
          </w:p>
          <w:p w14:paraId="18F5877C" w14:textId="77777777" w:rsidR="006B7941" w:rsidRDefault="006B7941" w:rsidP="00073385">
            <w:pPr>
              <w:spacing w:before="60" w:after="60" w:line="240" w:lineRule="auto"/>
              <w:ind w:left="0"/>
              <w:rPr>
                <w:rFonts w:cs="Arial"/>
                <w:sz w:val="20"/>
                <w:szCs w:val="20"/>
              </w:rPr>
            </w:pPr>
            <w:r>
              <w:rPr>
                <w:rFonts w:cs="Arial"/>
                <w:sz w:val="20"/>
                <w:szCs w:val="20"/>
              </w:rPr>
              <w:t xml:space="preserve">CarbonNet will schedule an operational planning meeting with Parks Victoria later in the year and invite GLaWAC to attend. </w:t>
            </w:r>
          </w:p>
        </w:tc>
      </w:tr>
      <w:tr w:rsidR="006B7941" w:rsidRPr="00FF0808" w14:paraId="72D18DC1" w14:textId="77777777" w:rsidTr="00891DE1">
        <w:tc>
          <w:tcPr>
            <w:tcW w:w="1427" w:type="dxa"/>
            <w:tcBorders>
              <w:top w:val="nil"/>
              <w:bottom w:val="nil"/>
            </w:tcBorders>
            <w:shd w:val="clear" w:color="auto" w:fill="auto"/>
          </w:tcPr>
          <w:p w14:paraId="12D19690" w14:textId="77777777" w:rsidR="006B7941" w:rsidRDefault="006B7941"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D89D514" w14:textId="77777777" w:rsidR="006B7941" w:rsidRPr="00FF0808" w:rsidRDefault="006B7941" w:rsidP="00073385">
            <w:pPr>
              <w:spacing w:before="60" w:after="60" w:line="240" w:lineRule="auto"/>
              <w:ind w:left="0"/>
              <w:rPr>
                <w:rFonts w:cs="Arial"/>
                <w:sz w:val="20"/>
                <w:szCs w:val="20"/>
              </w:rPr>
            </w:pPr>
          </w:p>
        </w:tc>
        <w:tc>
          <w:tcPr>
            <w:tcW w:w="1055" w:type="dxa"/>
          </w:tcPr>
          <w:p w14:paraId="7BC00DAB" w14:textId="3CFFA5C0" w:rsidR="006B7941" w:rsidRDefault="006B7941"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11D95C2C" w14:textId="36869D7A" w:rsidR="006B7941" w:rsidRDefault="006B7941"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5AB1D1FC" w14:textId="65542C48"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22F10DFE" w14:textId="77777777" w:rsidTr="0024586D">
        <w:tc>
          <w:tcPr>
            <w:tcW w:w="1427" w:type="dxa"/>
            <w:tcBorders>
              <w:top w:val="nil"/>
            </w:tcBorders>
            <w:shd w:val="clear" w:color="auto" w:fill="auto"/>
          </w:tcPr>
          <w:p w14:paraId="18BBEA70" w14:textId="77777777" w:rsidR="006B7941" w:rsidRDefault="006B7941" w:rsidP="00073385">
            <w:pPr>
              <w:spacing w:before="60" w:after="60" w:line="240" w:lineRule="auto"/>
              <w:ind w:left="0"/>
              <w:rPr>
                <w:rFonts w:cs="Arial"/>
                <w:sz w:val="20"/>
                <w:szCs w:val="20"/>
              </w:rPr>
            </w:pPr>
          </w:p>
        </w:tc>
        <w:tc>
          <w:tcPr>
            <w:tcW w:w="1629" w:type="dxa"/>
            <w:tcBorders>
              <w:top w:val="nil"/>
            </w:tcBorders>
            <w:shd w:val="clear" w:color="auto" w:fill="auto"/>
          </w:tcPr>
          <w:p w14:paraId="7C1D9457" w14:textId="77777777" w:rsidR="006B7941" w:rsidRPr="00FF0808" w:rsidRDefault="006B7941" w:rsidP="00073385">
            <w:pPr>
              <w:spacing w:before="60" w:after="60" w:line="240" w:lineRule="auto"/>
              <w:ind w:left="0"/>
              <w:rPr>
                <w:rFonts w:cs="Arial"/>
                <w:sz w:val="20"/>
                <w:szCs w:val="20"/>
              </w:rPr>
            </w:pPr>
          </w:p>
        </w:tc>
        <w:tc>
          <w:tcPr>
            <w:tcW w:w="1055" w:type="dxa"/>
          </w:tcPr>
          <w:p w14:paraId="15D0BCA7" w14:textId="53810807" w:rsidR="006B7941" w:rsidRDefault="006B7941" w:rsidP="00073385">
            <w:pPr>
              <w:spacing w:before="60" w:after="60" w:line="240" w:lineRule="auto"/>
              <w:ind w:left="0"/>
              <w:rPr>
                <w:rFonts w:cs="Arial"/>
                <w:sz w:val="20"/>
                <w:szCs w:val="20"/>
              </w:rPr>
            </w:pPr>
            <w:r>
              <w:rPr>
                <w:rFonts w:cs="Arial"/>
                <w:sz w:val="20"/>
                <w:szCs w:val="20"/>
              </w:rPr>
              <w:t>23/8/17</w:t>
            </w:r>
          </w:p>
        </w:tc>
        <w:tc>
          <w:tcPr>
            <w:tcW w:w="6335" w:type="dxa"/>
            <w:shd w:val="clear" w:color="auto" w:fill="auto"/>
          </w:tcPr>
          <w:p w14:paraId="03E20DA4" w14:textId="181DDFEB" w:rsidR="006B7941" w:rsidRDefault="006B7941" w:rsidP="00073385">
            <w:pPr>
              <w:spacing w:before="60" w:after="60" w:line="240" w:lineRule="auto"/>
              <w:ind w:left="0"/>
              <w:rPr>
                <w:rFonts w:cs="Arial"/>
                <w:sz w:val="20"/>
                <w:szCs w:val="20"/>
              </w:rPr>
            </w:pPr>
            <w:r>
              <w:rPr>
                <w:rFonts w:cs="Arial"/>
                <w:sz w:val="20"/>
                <w:szCs w:val="20"/>
              </w:rPr>
              <w:t xml:space="preserve">CarbonNet emailed a different staff member at GLaWAC who is </w:t>
            </w:r>
            <w:r>
              <w:rPr>
                <w:rFonts w:cs="Arial"/>
                <w:sz w:val="20"/>
                <w:szCs w:val="20"/>
              </w:rPr>
              <w:lastRenderedPageBreak/>
              <w:t>more operations-focused with some background information on CarbonNet and the MSS. CarbonNet will include GLaWAC in an operational planning meeting ahead of the MSS.</w:t>
            </w:r>
          </w:p>
        </w:tc>
        <w:tc>
          <w:tcPr>
            <w:tcW w:w="3802" w:type="dxa"/>
            <w:shd w:val="clear" w:color="auto" w:fill="auto"/>
          </w:tcPr>
          <w:p w14:paraId="1231FE2F" w14:textId="4E8622F6" w:rsidR="006B7941" w:rsidRDefault="006B7941" w:rsidP="00073385">
            <w:pPr>
              <w:spacing w:before="60" w:after="60" w:line="240" w:lineRule="auto"/>
              <w:ind w:left="0"/>
              <w:rPr>
                <w:rFonts w:cs="Arial"/>
                <w:sz w:val="20"/>
                <w:szCs w:val="20"/>
              </w:rPr>
            </w:pPr>
            <w:r>
              <w:rPr>
                <w:rFonts w:cs="Arial"/>
                <w:sz w:val="20"/>
                <w:szCs w:val="20"/>
              </w:rPr>
              <w:lastRenderedPageBreak/>
              <w:t>N/A</w:t>
            </w:r>
          </w:p>
        </w:tc>
      </w:tr>
      <w:tr w:rsidR="006B7941" w:rsidRPr="00FF0808" w14:paraId="17A6ABD4" w14:textId="77777777" w:rsidTr="00077C5F">
        <w:tc>
          <w:tcPr>
            <w:tcW w:w="1427" w:type="dxa"/>
            <w:vMerge w:val="restart"/>
            <w:shd w:val="clear" w:color="auto" w:fill="auto"/>
          </w:tcPr>
          <w:p w14:paraId="329FB655" w14:textId="77777777" w:rsidR="006B7941" w:rsidRDefault="006B7941" w:rsidP="00073385">
            <w:pPr>
              <w:spacing w:before="60" w:after="60" w:line="240" w:lineRule="auto"/>
              <w:ind w:left="0"/>
              <w:rPr>
                <w:rFonts w:cs="Arial"/>
                <w:sz w:val="20"/>
                <w:szCs w:val="20"/>
              </w:rPr>
            </w:pPr>
            <w:r>
              <w:rPr>
                <w:rFonts w:cs="Arial"/>
                <w:sz w:val="20"/>
                <w:szCs w:val="20"/>
              </w:rPr>
              <w:t>Gippsland Water</w:t>
            </w:r>
          </w:p>
        </w:tc>
        <w:tc>
          <w:tcPr>
            <w:tcW w:w="1629" w:type="dxa"/>
            <w:vMerge w:val="restart"/>
            <w:shd w:val="clear" w:color="auto" w:fill="auto"/>
          </w:tcPr>
          <w:p w14:paraId="3422AFA0" w14:textId="77777777" w:rsidR="006B7941" w:rsidRPr="00FF0808" w:rsidRDefault="006B7941" w:rsidP="00073385">
            <w:pPr>
              <w:spacing w:before="60" w:after="60" w:line="240" w:lineRule="auto"/>
              <w:ind w:left="0"/>
              <w:rPr>
                <w:rFonts w:cs="Arial"/>
                <w:sz w:val="20"/>
                <w:szCs w:val="20"/>
              </w:rPr>
            </w:pPr>
            <w:r>
              <w:rPr>
                <w:rFonts w:cs="Arial"/>
                <w:sz w:val="20"/>
                <w:szCs w:val="20"/>
              </w:rPr>
              <w:t>Water infrastructure manager and employer of Golden Beach residents</w:t>
            </w:r>
          </w:p>
        </w:tc>
        <w:tc>
          <w:tcPr>
            <w:tcW w:w="1055" w:type="dxa"/>
          </w:tcPr>
          <w:p w14:paraId="31B85150" w14:textId="77777777" w:rsidR="006B7941" w:rsidRDefault="006B7941"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071428C8" w14:textId="77777777" w:rsidR="006B7941" w:rsidRDefault="006B7941" w:rsidP="00073385">
            <w:pPr>
              <w:spacing w:before="60" w:after="60" w:line="240" w:lineRule="auto"/>
              <w:ind w:left="0"/>
              <w:rPr>
                <w:rFonts w:cs="Arial"/>
                <w:sz w:val="20"/>
                <w:szCs w:val="20"/>
              </w:rPr>
            </w:pPr>
            <w:r>
              <w:rPr>
                <w:rFonts w:cs="Arial"/>
                <w:sz w:val="20"/>
                <w:szCs w:val="20"/>
              </w:rPr>
              <w:t>CarbonNet contacted Gippsland Water via email with letter that invited feedback and provided a fact sheet.</w:t>
            </w:r>
          </w:p>
        </w:tc>
        <w:tc>
          <w:tcPr>
            <w:tcW w:w="3802" w:type="dxa"/>
            <w:shd w:val="clear" w:color="auto" w:fill="auto"/>
          </w:tcPr>
          <w:p w14:paraId="2B6D3568" w14:textId="415EA5C3"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2C979C0B" w14:textId="77777777" w:rsidTr="00891DE1">
        <w:tc>
          <w:tcPr>
            <w:tcW w:w="1427" w:type="dxa"/>
            <w:vMerge/>
            <w:tcBorders>
              <w:bottom w:val="nil"/>
            </w:tcBorders>
            <w:shd w:val="clear" w:color="auto" w:fill="auto"/>
          </w:tcPr>
          <w:p w14:paraId="701A9DB5" w14:textId="77777777" w:rsidR="006B7941" w:rsidRDefault="006B7941" w:rsidP="00073385">
            <w:pPr>
              <w:spacing w:before="60" w:after="60" w:line="240" w:lineRule="auto"/>
              <w:ind w:left="0"/>
              <w:rPr>
                <w:rFonts w:cs="Arial"/>
                <w:sz w:val="20"/>
                <w:szCs w:val="20"/>
              </w:rPr>
            </w:pPr>
          </w:p>
        </w:tc>
        <w:tc>
          <w:tcPr>
            <w:tcW w:w="1629" w:type="dxa"/>
            <w:vMerge/>
            <w:tcBorders>
              <w:bottom w:val="nil"/>
            </w:tcBorders>
            <w:shd w:val="clear" w:color="auto" w:fill="auto"/>
          </w:tcPr>
          <w:p w14:paraId="482123B6" w14:textId="77777777" w:rsidR="006B7941" w:rsidRPr="00FF0808" w:rsidRDefault="006B7941" w:rsidP="00073385">
            <w:pPr>
              <w:spacing w:before="60" w:after="60" w:line="240" w:lineRule="auto"/>
              <w:ind w:left="0"/>
              <w:rPr>
                <w:rFonts w:cs="Arial"/>
                <w:sz w:val="20"/>
                <w:szCs w:val="20"/>
              </w:rPr>
            </w:pPr>
          </w:p>
        </w:tc>
        <w:tc>
          <w:tcPr>
            <w:tcW w:w="1055" w:type="dxa"/>
          </w:tcPr>
          <w:p w14:paraId="3A63D9CE" w14:textId="77777777" w:rsidR="006B7941" w:rsidRDefault="006B7941" w:rsidP="00073385">
            <w:pPr>
              <w:spacing w:before="60" w:after="60" w:line="240" w:lineRule="auto"/>
              <w:ind w:left="0"/>
              <w:rPr>
                <w:rFonts w:cs="Arial"/>
                <w:sz w:val="20"/>
                <w:szCs w:val="20"/>
              </w:rPr>
            </w:pPr>
            <w:r>
              <w:rPr>
                <w:rFonts w:cs="Arial"/>
                <w:sz w:val="20"/>
                <w:szCs w:val="20"/>
              </w:rPr>
              <w:t>28/3/17</w:t>
            </w:r>
          </w:p>
        </w:tc>
        <w:tc>
          <w:tcPr>
            <w:tcW w:w="6335" w:type="dxa"/>
            <w:shd w:val="clear" w:color="auto" w:fill="auto"/>
          </w:tcPr>
          <w:p w14:paraId="23A781C3" w14:textId="77777777" w:rsidR="006B7941" w:rsidRDefault="006B7941" w:rsidP="00073385">
            <w:pPr>
              <w:spacing w:before="60" w:after="60" w:line="240" w:lineRule="auto"/>
              <w:ind w:left="0"/>
              <w:rPr>
                <w:rFonts w:cs="Arial"/>
                <w:sz w:val="20"/>
                <w:szCs w:val="20"/>
              </w:rPr>
            </w:pPr>
            <w:r>
              <w:rPr>
                <w:rFonts w:cs="Arial"/>
                <w:sz w:val="20"/>
                <w:szCs w:val="20"/>
              </w:rPr>
              <w:t xml:space="preserve">CarbonNet met with Gippsland Water to discuss the MSS stakeholder consultation. Gippsland Water advised they employ some staff members who live at Golden Beach at the </w:t>
            </w:r>
            <w:r w:rsidRPr="00585E96">
              <w:rPr>
                <w:rFonts w:cs="Arial"/>
                <w:sz w:val="20"/>
                <w:szCs w:val="20"/>
              </w:rPr>
              <w:t>Soil and Organic Recycling Facility</w:t>
            </w:r>
            <w:r>
              <w:rPr>
                <w:rFonts w:cs="Arial"/>
                <w:sz w:val="20"/>
                <w:szCs w:val="20"/>
              </w:rPr>
              <w:t xml:space="preserve"> (SORF), which is located nearby at Dutson Downs and staff could be affected. Gippsland Water would be happy to facilitate a presentation to staff there.</w:t>
            </w:r>
          </w:p>
          <w:p w14:paraId="6C29EC14" w14:textId="77777777" w:rsidR="006B7941" w:rsidRDefault="006B7941" w:rsidP="00073385">
            <w:pPr>
              <w:spacing w:before="60" w:after="60" w:line="240" w:lineRule="auto"/>
              <w:ind w:left="0"/>
              <w:rPr>
                <w:rFonts w:cs="Arial"/>
                <w:sz w:val="20"/>
                <w:szCs w:val="20"/>
              </w:rPr>
            </w:pPr>
          </w:p>
          <w:p w14:paraId="1F52BE18" w14:textId="77777777" w:rsidR="006B7941" w:rsidRDefault="006B7941" w:rsidP="00073385">
            <w:pPr>
              <w:spacing w:before="60" w:after="60" w:line="240" w:lineRule="auto"/>
              <w:ind w:left="0"/>
              <w:rPr>
                <w:rFonts w:cs="Arial"/>
                <w:sz w:val="20"/>
                <w:szCs w:val="20"/>
              </w:rPr>
            </w:pPr>
            <w:r>
              <w:rPr>
                <w:rFonts w:cs="Arial"/>
                <w:sz w:val="20"/>
                <w:szCs w:val="20"/>
              </w:rPr>
              <w:t xml:space="preserve">Gippsland Water advised they will need to be </w:t>
            </w:r>
            <w:r w:rsidRPr="00585E96">
              <w:rPr>
                <w:rFonts w:cs="Arial"/>
                <w:sz w:val="20"/>
                <w:szCs w:val="20"/>
              </w:rPr>
              <w:t xml:space="preserve">consulted where </w:t>
            </w:r>
            <w:r>
              <w:rPr>
                <w:rFonts w:cs="Arial"/>
                <w:sz w:val="20"/>
                <w:szCs w:val="20"/>
              </w:rPr>
              <w:t xml:space="preserve">CarbonNet </w:t>
            </w:r>
            <w:r w:rsidRPr="00585E96">
              <w:rPr>
                <w:rFonts w:cs="Arial"/>
                <w:sz w:val="20"/>
                <w:szCs w:val="20"/>
              </w:rPr>
              <w:t>need</w:t>
            </w:r>
            <w:r>
              <w:rPr>
                <w:rFonts w:cs="Arial"/>
                <w:sz w:val="20"/>
                <w:szCs w:val="20"/>
              </w:rPr>
              <w:t>s</w:t>
            </w:r>
            <w:r w:rsidRPr="00585E96">
              <w:rPr>
                <w:rFonts w:cs="Arial"/>
                <w:sz w:val="20"/>
                <w:szCs w:val="20"/>
              </w:rPr>
              <w:t xml:space="preserve"> to access physical infrastructure/assets</w:t>
            </w:r>
            <w:r>
              <w:rPr>
                <w:rFonts w:cs="Arial"/>
                <w:sz w:val="20"/>
                <w:szCs w:val="20"/>
              </w:rPr>
              <w:t>, but otherwise they don’t have any concerns</w:t>
            </w:r>
            <w:r w:rsidRPr="00585E96">
              <w:rPr>
                <w:rFonts w:cs="Arial"/>
                <w:sz w:val="20"/>
                <w:szCs w:val="20"/>
              </w:rPr>
              <w:t>..</w:t>
            </w:r>
          </w:p>
        </w:tc>
        <w:tc>
          <w:tcPr>
            <w:tcW w:w="3802" w:type="dxa"/>
            <w:shd w:val="clear" w:color="auto" w:fill="auto"/>
          </w:tcPr>
          <w:p w14:paraId="445357BD" w14:textId="77777777" w:rsidR="006B7941" w:rsidRDefault="006B7941" w:rsidP="00073385">
            <w:pPr>
              <w:spacing w:before="60" w:after="60" w:line="240" w:lineRule="auto"/>
              <w:ind w:left="0"/>
              <w:rPr>
                <w:rFonts w:cs="Arial"/>
                <w:sz w:val="20"/>
                <w:szCs w:val="20"/>
              </w:rPr>
            </w:pPr>
            <w:r>
              <w:rPr>
                <w:rFonts w:cs="Arial"/>
                <w:sz w:val="20"/>
                <w:szCs w:val="20"/>
              </w:rPr>
              <w:t>CarbonNet will arrange a briefing to staff at the SORF.</w:t>
            </w:r>
          </w:p>
          <w:p w14:paraId="4C59D044" w14:textId="77777777" w:rsidR="006B7941" w:rsidRDefault="006B7941" w:rsidP="00073385">
            <w:pPr>
              <w:spacing w:before="60" w:after="60" w:line="240" w:lineRule="auto"/>
              <w:ind w:left="0"/>
              <w:rPr>
                <w:rFonts w:cs="Arial"/>
                <w:sz w:val="20"/>
                <w:szCs w:val="20"/>
              </w:rPr>
            </w:pPr>
          </w:p>
        </w:tc>
      </w:tr>
      <w:tr w:rsidR="006B7941" w:rsidRPr="00FF0808" w14:paraId="5A6011AB" w14:textId="77777777" w:rsidTr="00891DE1">
        <w:tc>
          <w:tcPr>
            <w:tcW w:w="1427" w:type="dxa"/>
            <w:tcBorders>
              <w:top w:val="nil"/>
              <w:bottom w:val="nil"/>
            </w:tcBorders>
            <w:shd w:val="clear" w:color="auto" w:fill="auto"/>
          </w:tcPr>
          <w:p w14:paraId="4F4A1595" w14:textId="77777777" w:rsidR="006B7941" w:rsidRDefault="006B7941"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82AC8D2" w14:textId="77777777" w:rsidR="006B7941" w:rsidRPr="00FF0808" w:rsidRDefault="006B7941" w:rsidP="00073385">
            <w:pPr>
              <w:spacing w:before="60" w:after="60" w:line="240" w:lineRule="auto"/>
              <w:ind w:left="0"/>
              <w:rPr>
                <w:rFonts w:cs="Arial"/>
                <w:sz w:val="20"/>
                <w:szCs w:val="20"/>
              </w:rPr>
            </w:pPr>
          </w:p>
        </w:tc>
        <w:tc>
          <w:tcPr>
            <w:tcW w:w="1055" w:type="dxa"/>
          </w:tcPr>
          <w:p w14:paraId="4C671C5F" w14:textId="77777777" w:rsidR="006B7941" w:rsidRDefault="006B7941" w:rsidP="00073385">
            <w:pPr>
              <w:spacing w:before="60" w:after="60" w:line="240" w:lineRule="auto"/>
              <w:ind w:left="0"/>
              <w:rPr>
                <w:rFonts w:cs="Arial"/>
                <w:sz w:val="20"/>
                <w:szCs w:val="20"/>
              </w:rPr>
            </w:pPr>
            <w:r>
              <w:rPr>
                <w:rFonts w:cs="Arial"/>
                <w:sz w:val="20"/>
                <w:szCs w:val="20"/>
              </w:rPr>
              <w:t>26/4/17</w:t>
            </w:r>
          </w:p>
        </w:tc>
        <w:tc>
          <w:tcPr>
            <w:tcW w:w="6335" w:type="dxa"/>
            <w:shd w:val="clear" w:color="auto" w:fill="auto"/>
          </w:tcPr>
          <w:p w14:paraId="2AB83A8F" w14:textId="77777777" w:rsidR="006B7941" w:rsidRDefault="006B7941" w:rsidP="00073385">
            <w:pPr>
              <w:spacing w:before="60" w:after="60" w:line="240" w:lineRule="auto"/>
              <w:ind w:left="0"/>
              <w:rPr>
                <w:rFonts w:cs="Arial"/>
                <w:sz w:val="20"/>
                <w:szCs w:val="20"/>
              </w:rPr>
            </w:pPr>
            <w:r>
              <w:rPr>
                <w:rFonts w:cs="Arial"/>
                <w:sz w:val="20"/>
                <w:szCs w:val="20"/>
              </w:rPr>
              <w:t>CarbonNet provided a briefing to staff at Gippsland Water’s SORF near Golden Beach. Some staff are Golden Beach residents. Staff were interested in the project and MSS but did not raise any specific concerns.</w:t>
            </w:r>
          </w:p>
        </w:tc>
        <w:tc>
          <w:tcPr>
            <w:tcW w:w="3802" w:type="dxa"/>
            <w:shd w:val="clear" w:color="auto" w:fill="auto"/>
          </w:tcPr>
          <w:p w14:paraId="78AB55D0" w14:textId="77777777" w:rsidR="006B7941" w:rsidRDefault="006B7941" w:rsidP="00073385">
            <w:pPr>
              <w:spacing w:before="60" w:after="60" w:line="240" w:lineRule="auto"/>
              <w:ind w:left="0"/>
              <w:rPr>
                <w:rFonts w:cs="Arial"/>
                <w:sz w:val="20"/>
                <w:szCs w:val="20"/>
              </w:rPr>
            </w:pPr>
            <w:r>
              <w:rPr>
                <w:rFonts w:cs="Arial"/>
                <w:sz w:val="20"/>
                <w:szCs w:val="20"/>
              </w:rPr>
              <w:t>CarbonNet offered to provide future briefings if staff are interested.</w:t>
            </w:r>
          </w:p>
          <w:p w14:paraId="30CA4259" w14:textId="77777777" w:rsidR="006B7941" w:rsidRDefault="006B7941" w:rsidP="00073385">
            <w:pPr>
              <w:spacing w:before="60" w:after="60" w:line="240" w:lineRule="auto"/>
              <w:ind w:left="0"/>
              <w:rPr>
                <w:rFonts w:cs="Arial"/>
                <w:sz w:val="20"/>
                <w:szCs w:val="20"/>
              </w:rPr>
            </w:pPr>
            <w:r>
              <w:rPr>
                <w:rFonts w:cs="Arial"/>
                <w:sz w:val="20"/>
                <w:szCs w:val="20"/>
              </w:rPr>
              <w:t>As no concerns have been raised, no further consultation required.</w:t>
            </w:r>
          </w:p>
        </w:tc>
      </w:tr>
      <w:tr w:rsidR="006B7941" w:rsidRPr="00FF0808" w14:paraId="2CCC59D9" w14:textId="77777777" w:rsidTr="00237813">
        <w:tc>
          <w:tcPr>
            <w:tcW w:w="1427" w:type="dxa"/>
            <w:tcBorders>
              <w:top w:val="nil"/>
            </w:tcBorders>
            <w:shd w:val="clear" w:color="auto" w:fill="auto"/>
          </w:tcPr>
          <w:p w14:paraId="20CE3329" w14:textId="77777777" w:rsidR="006B7941" w:rsidRDefault="006B7941" w:rsidP="00073385">
            <w:pPr>
              <w:spacing w:before="60" w:after="60" w:line="240" w:lineRule="auto"/>
              <w:ind w:left="0"/>
              <w:rPr>
                <w:rFonts w:cs="Arial"/>
                <w:sz w:val="20"/>
                <w:szCs w:val="20"/>
              </w:rPr>
            </w:pPr>
          </w:p>
        </w:tc>
        <w:tc>
          <w:tcPr>
            <w:tcW w:w="1629" w:type="dxa"/>
            <w:tcBorders>
              <w:top w:val="nil"/>
            </w:tcBorders>
            <w:shd w:val="clear" w:color="auto" w:fill="auto"/>
          </w:tcPr>
          <w:p w14:paraId="218D7FF7" w14:textId="77777777" w:rsidR="006B7941" w:rsidRPr="00FF0808" w:rsidRDefault="006B7941" w:rsidP="00073385">
            <w:pPr>
              <w:spacing w:before="60" w:after="60" w:line="240" w:lineRule="auto"/>
              <w:ind w:left="0"/>
              <w:rPr>
                <w:rFonts w:cs="Arial"/>
                <w:sz w:val="20"/>
                <w:szCs w:val="20"/>
              </w:rPr>
            </w:pPr>
          </w:p>
        </w:tc>
        <w:tc>
          <w:tcPr>
            <w:tcW w:w="1055" w:type="dxa"/>
          </w:tcPr>
          <w:p w14:paraId="4C72F8ED" w14:textId="7EFE03C5" w:rsidR="006B7941" w:rsidRDefault="006B7941"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71C47FE6" w14:textId="71E393A0" w:rsidR="006B7941" w:rsidRDefault="006B7941"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1A6B98A9" w14:textId="42A35317"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46BCF936" w14:textId="77777777" w:rsidTr="0024586D">
        <w:tc>
          <w:tcPr>
            <w:tcW w:w="1427" w:type="dxa"/>
            <w:tcBorders>
              <w:bottom w:val="nil"/>
            </w:tcBorders>
            <w:shd w:val="clear" w:color="auto" w:fill="auto"/>
          </w:tcPr>
          <w:p w14:paraId="3292B5F2" w14:textId="77777777" w:rsidR="006B7941" w:rsidRDefault="006B7941" w:rsidP="00073385">
            <w:pPr>
              <w:spacing w:before="60" w:after="60" w:line="240" w:lineRule="auto"/>
              <w:ind w:left="0"/>
              <w:rPr>
                <w:rFonts w:cs="Arial"/>
                <w:sz w:val="20"/>
                <w:szCs w:val="20"/>
              </w:rPr>
            </w:pPr>
            <w:r>
              <w:rPr>
                <w:rFonts w:cs="Arial"/>
                <w:sz w:val="20"/>
                <w:szCs w:val="20"/>
              </w:rPr>
              <w:t>Wellington Shire Council</w:t>
            </w:r>
          </w:p>
        </w:tc>
        <w:tc>
          <w:tcPr>
            <w:tcW w:w="1629" w:type="dxa"/>
            <w:tcBorders>
              <w:bottom w:val="nil"/>
            </w:tcBorders>
            <w:shd w:val="clear" w:color="auto" w:fill="auto"/>
          </w:tcPr>
          <w:p w14:paraId="415AE32D" w14:textId="77777777" w:rsidR="006B7941" w:rsidRPr="00FF0808" w:rsidRDefault="006B7941" w:rsidP="00073385">
            <w:pPr>
              <w:spacing w:before="60" w:after="60" w:line="240" w:lineRule="auto"/>
              <w:ind w:left="0"/>
              <w:rPr>
                <w:rFonts w:cs="Arial"/>
                <w:sz w:val="20"/>
                <w:szCs w:val="20"/>
              </w:rPr>
            </w:pPr>
            <w:r>
              <w:rPr>
                <w:rFonts w:cs="Arial"/>
                <w:sz w:val="20"/>
                <w:szCs w:val="20"/>
              </w:rPr>
              <w:t xml:space="preserve">Local council in MSS area </w:t>
            </w:r>
          </w:p>
        </w:tc>
        <w:tc>
          <w:tcPr>
            <w:tcW w:w="1055" w:type="dxa"/>
          </w:tcPr>
          <w:p w14:paraId="56C9FC27" w14:textId="77777777" w:rsidR="006B7941" w:rsidRDefault="006B7941" w:rsidP="00073385">
            <w:pPr>
              <w:spacing w:before="60" w:after="60" w:line="240" w:lineRule="auto"/>
              <w:ind w:left="0"/>
              <w:rPr>
                <w:rFonts w:cs="Arial"/>
                <w:sz w:val="20"/>
                <w:szCs w:val="20"/>
              </w:rPr>
            </w:pPr>
            <w:r>
              <w:rPr>
                <w:rFonts w:cs="Arial"/>
                <w:sz w:val="20"/>
                <w:szCs w:val="20"/>
              </w:rPr>
              <w:t>7/3/17</w:t>
            </w:r>
          </w:p>
        </w:tc>
        <w:tc>
          <w:tcPr>
            <w:tcW w:w="6335" w:type="dxa"/>
            <w:shd w:val="clear" w:color="auto" w:fill="auto"/>
          </w:tcPr>
          <w:p w14:paraId="1DDB56F6" w14:textId="77777777" w:rsidR="006B7941" w:rsidRDefault="006B7941" w:rsidP="00073385">
            <w:pPr>
              <w:spacing w:before="60" w:after="60" w:line="240" w:lineRule="auto"/>
              <w:ind w:left="0"/>
              <w:rPr>
                <w:rFonts w:cs="Arial"/>
                <w:sz w:val="20"/>
                <w:szCs w:val="20"/>
              </w:rPr>
            </w:pPr>
            <w:r>
              <w:rPr>
                <w:rFonts w:cs="Arial"/>
                <w:sz w:val="20"/>
                <w:szCs w:val="20"/>
              </w:rPr>
              <w:t>CarbonNet briefed Wellington Shire Council Councillors and Executive Team on CarbonNet.</w:t>
            </w:r>
          </w:p>
          <w:p w14:paraId="02A3D956" w14:textId="77777777" w:rsidR="006B7941" w:rsidRDefault="006B7941" w:rsidP="00073385">
            <w:pPr>
              <w:spacing w:before="60" w:after="60" w:line="240" w:lineRule="auto"/>
              <w:ind w:left="0"/>
              <w:rPr>
                <w:rFonts w:cs="Arial"/>
                <w:sz w:val="20"/>
                <w:szCs w:val="20"/>
              </w:rPr>
            </w:pPr>
          </w:p>
          <w:p w14:paraId="62D57408" w14:textId="77777777" w:rsidR="006B7941" w:rsidRDefault="006B7941" w:rsidP="00073385">
            <w:pPr>
              <w:spacing w:before="60" w:after="60" w:line="240" w:lineRule="auto"/>
              <w:ind w:left="0"/>
              <w:rPr>
                <w:rFonts w:cs="Arial"/>
                <w:sz w:val="20"/>
                <w:szCs w:val="20"/>
              </w:rPr>
            </w:pPr>
            <w:r>
              <w:rPr>
                <w:rFonts w:cs="Arial"/>
                <w:sz w:val="20"/>
                <w:szCs w:val="20"/>
              </w:rPr>
              <w:t xml:space="preserve">Wellington Shire Council recommended a ‘no surprises’ approach and advised CarbonNet to get out and talk to the community. </w:t>
            </w:r>
          </w:p>
        </w:tc>
        <w:tc>
          <w:tcPr>
            <w:tcW w:w="3802" w:type="dxa"/>
            <w:shd w:val="clear" w:color="auto" w:fill="auto"/>
          </w:tcPr>
          <w:p w14:paraId="31D1552A" w14:textId="77777777" w:rsidR="006B7941" w:rsidRDefault="006B7941" w:rsidP="00073385">
            <w:pPr>
              <w:spacing w:before="60" w:after="60" w:line="240" w:lineRule="auto"/>
              <w:ind w:left="0"/>
              <w:rPr>
                <w:rFonts w:cs="Arial"/>
                <w:sz w:val="20"/>
                <w:szCs w:val="20"/>
              </w:rPr>
            </w:pPr>
            <w:r>
              <w:rPr>
                <w:rFonts w:cs="Arial"/>
                <w:sz w:val="20"/>
                <w:szCs w:val="20"/>
              </w:rPr>
              <w:t>CarbonNet ran a community open day in Golden Beach on 12/7/17 and will continue to work with community groups in the area. As demonstrated throughout this table, consultation with relevant stakeholders has been extensive.</w:t>
            </w:r>
          </w:p>
        </w:tc>
      </w:tr>
      <w:tr w:rsidR="006B7941" w:rsidRPr="00FF0808" w14:paraId="0E48D620" w14:textId="77777777" w:rsidTr="0024586D">
        <w:tc>
          <w:tcPr>
            <w:tcW w:w="1427" w:type="dxa"/>
            <w:tcBorders>
              <w:top w:val="nil"/>
              <w:bottom w:val="nil"/>
            </w:tcBorders>
            <w:shd w:val="clear" w:color="auto" w:fill="auto"/>
          </w:tcPr>
          <w:p w14:paraId="5AB154FF" w14:textId="77777777" w:rsidR="006B7941" w:rsidRDefault="006B7941"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6016A64F" w14:textId="77777777" w:rsidR="006B7941" w:rsidRPr="00FF0808" w:rsidRDefault="006B7941" w:rsidP="00073385">
            <w:pPr>
              <w:spacing w:before="60" w:after="60" w:line="240" w:lineRule="auto"/>
              <w:ind w:left="0"/>
              <w:rPr>
                <w:rFonts w:cs="Arial"/>
                <w:sz w:val="20"/>
                <w:szCs w:val="20"/>
              </w:rPr>
            </w:pPr>
          </w:p>
        </w:tc>
        <w:tc>
          <w:tcPr>
            <w:tcW w:w="1055" w:type="dxa"/>
          </w:tcPr>
          <w:p w14:paraId="5FF6FF36" w14:textId="77777777" w:rsidR="006B7941" w:rsidRDefault="006B7941"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21A9A4A5" w14:textId="77777777" w:rsidR="006B7941" w:rsidRDefault="006B7941" w:rsidP="00073385">
            <w:pPr>
              <w:spacing w:before="60" w:after="60" w:line="240" w:lineRule="auto"/>
              <w:ind w:left="0"/>
              <w:rPr>
                <w:rFonts w:cs="Arial"/>
                <w:sz w:val="20"/>
                <w:szCs w:val="20"/>
              </w:rPr>
            </w:pPr>
            <w:r>
              <w:rPr>
                <w:rFonts w:cs="Arial"/>
                <w:sz w:val="20"/>
                <w:szCs w:val="20"/>
              </w:rPr>
              <w:t>CarbonNet sent Wellington Shire Council a letter via post and email inviting feedback and providing a fact sheet.</w:t>
            </w:r>
          </w:p>
        </w:tc>
        <w:tc>
          <w:tcPr>
            <w:tcW w:w="3802" w:type="dxa"/>
            <w:shd w:val="clear" w:color="auto" w:fill="auto"/>
          </w:tcPr>
          <w:p w14:paraId="041E023F" w14:textId="670A0DB8"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0502BE57" w14:textId="77777777" w:rsidTr="0024586D">
        <w:tc>
          <w:tcPr>
            <w:tcW w:w="1427" w:type="dxa"/>
            <w:tcBorders>
              <w:top w:val="nil"/>
              <w:bottom w:val="nil"/>
            </w:tcBorders>
            <w:shd w:val="clear" w:color="auto" w:fill="auto"/>
          </w:tcPr>
          <w:p w14:paraId="1B4B35AF" w14:textId="77777777" w:rsidR="006B7941" w:rsidRDefault="006B7941"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2F574CEC" w14:textId="77777777" w:rsidR="006B7941" w:rsidRPr="00FF0808" w:rsidRDefault="006B7941" w:rsidP="00073385">
            <w:pPr>
              <w:spacing w:before="60" w:after="60" w:line="240" w:lineRule="auto"/>
              <w:ind w:left="0"/>
              <w:rPr>
                <w:rFonts w:cs="Arial"/>
                <w:sz w:val="20"/>
                <w:szCs w:val="20"/>
              </w:rPr>
            </w:pPr>
          </w:p>
        </w:tc>
        <w:tc>
          <w:tcPr>
            <w:tcW w:w="1055" w:type="dxa"/>
          </w:tcPr>
          <w:p w14:paraId="432EC51D" w14:textId="77777777" w:rsidR="006B7941" w:rsidRDefault="006B7941" w:rsidP="00073385">
            <w:pPr>
              <w:spacing w:before="60" w:after="60" w:line="240" w:lineRule="auto"/>
              <w:ind w:left="0"/>
              <w:rPr>
                <w:rFonts w:cs="Arial"/>
                <w:sz w:val="20"/>
                <w:szCs w:val="20"/>
              </w:rPr>
            </w:pPr>
            <w:r>
              <w:rPr>
                <w:rFonts w:cs="Arial"/>
                <w:sz w:val="20"/>
                <w:szCs w:val="20"/>
              </w:rPr>
              <w:t>2/5/17</w:t>
            </w:r>
          </w:p>
        </w:tc>
        <w:tc>
          <w:tcPr>
            <w:tcW w:w="6335" w:type="dxa"/>
            <w:shd w:val="clear" w:color="auto" w:fill="auto"/>
          </w:tcPr>
          <w:p w14:paraId="744CB908" w14:textId="77777777" w:rsidR="006B7941" w:rsidRDefault="006B7941" w:rsidP="00073385">
            <w:pPr>
              <w:spacing w:before="60" w:after="60" w:line="240" w:lineRule="auto"/>
              <w:ind w:left="0"/>
              <w:rPr>
                <w:rFonts w:cs="Arial"/>
                <w:sz w:val="20"/>
                <w:szCs w:val="20"/>
              </w:rPr>
            </w:pPr>
            <w:r>
              <w:rPr>
                <w:rFonts w:cs="Arial"/>
                <w:sz w:val="20"/>
                <w:szCs w:val="20"/>
              </w:rPr>
              <w:t xml:space="preserve">CarbonNet provided an update to Wellington Shire Council </w:t>
            </w:r>
            <w:r>
              <w:rPr>
                <w:rFonts w:cs="Arial"/>
                <w:sz w:val="20"/>
                <w:szCs w:val="20"/>
              </w:rPr>
              <w:lastRenderedPageBreak/>
              <w:t>councillors and relevant staff on the MSS.</w:t>
            </w:r>
          </w:p>
        </w:tc>
        <w:tc>
          <w:tcPr>
            <w:tcW w:w="3802" w:type="dxa"/>
            <w:shd w:val="clear" w:color="auto" w:fill="auto"/>
          </w:tcPr>
          <w:p w14:paraId="3E635D65" w14:textId="77777777" w:rsidR="006B7941" w:rsidRDefault="006B7941" w:rsidP="00073385">
            <w:pPr>
              <w:spacing w:before="60" w:after="60" w:line="240" w:lineRule="auto"/>
              <w:ind w:left="0"/>
              <w:rPr>
                <w:rFonts w:cs="Arial"/>
                <w:sz w:val="20"/>
                <w:szCs w:val="20"/>
              </w:rPr>
            </w:pPr>
            <w:r>
              <w:rPr>
                <w:rFonts w:cs="Arial"/>
                <w:sz w:val="20"/>
                <w:szCs w:val="20"/>
              </w:rPr>
              <w:lastRenderedPageBreak/>
              <w:t>No issues of concern were raised.</w:t>
            </w:r>
          </w:p>
        </w:tc>
      </w:tr>
      <w:tr w:rsidR="006B7941" w:rsidRPr="00FF0808" w14:paraId="4176C3B3" w14:textId="77777777" w:rsidTr="00891DE1">
        <w:tc>
          <w:tcPr>
            <w:tcW w:w="1427" w:type="dxa"/>
            <w:tcBorders>
              <w:top w:val="nil"/>
              <w:bottom w:val="nil"/>
            </w:tcBorders>
            <w:shd w:val="clear" w:color="auto" w:fill="auto"/>
          </w:tcPr>
          <w:p w14:paraId="554CD07E" w14:textId="77777777" w:rsidR="006B7941" w:rsidRDefault="006B7941"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EE75726" w14:textId="77777777" w:rsidR="006B7941" w:rsidRPr="00FF0808" w:rsidRDefault="006B7941" w:rsidP="00073385">
            <w:pPr>
              <w:spacing w:before="60" w:after="60" w:line="240" w:lineRule="auto"/>
              <w:ind w:left="0"/>
              <w:rPr>
                <w:rFonts w:cs="Arial"/>
                <w:sz w:val="20"/>
                <w:szCs w:val="20"/>
              </w:rPr>
            </w:pPr>
          </w:p>
        </w:tc>
        <w:tc>
          <w:tcPr>
            <w:tcW w:w="1055" w:type="dxa"/>
          </w:tcPr>
          <w:p w14:paraId="0C0743CB" w14:textId="77777777" w:rsidR="006B7941" w:rsidRDefault="006B7941" w:rsidP="00073385">
            <w:pPr>
              <w:spacing w:before="60" w:after="60" w:line="240" w:lineRule="auto"/>
              <w:ind w:left="0"/>
              <w:rPr>
                <w:rFonts w:cs="Arial"/>
                <w:sz w:val="20"/>
                <w:szCs w:val="20"/>
              </w:rPr>
            </w:pPr>
            <w:r>
              <w:rPr>
                <w:rFonts w:cs="Arial"/>
                <w:sz w:val="20"/>
                <w:szCs w:val="20"/>
              </w:rPr>
              <w:t>7/8/17</w:t>
            </w:r>
          </w:p>
        </w:tc>
        <w:tc>
          <w:tcPr>
            <w:tcW w:w="6335" w:type="dxa"/>
            <w:shd w:val="clear" w:color="auto" w:fill="auto"/>
          </w:tcPr>
          <w:p w14:paraId="0DC0874F" w14:textId="77777777" w:rsidR="006B7941" w:rsidRDefault="006B7941" w:rsidP="00073385">
            <w:pPr>
              <w:spacing w:before="60" w:after="60" w:line="240" w:lineRule="auto"/>
              <w:ind w:left="0"/>
              <w:rPr>
                <w:rFonts w:cs="Arial"/>
                <w:sz w:val="20"/>
                <w:szCs w:val="20"/>
              </w:rPr>
            </w:pPr>
            <w:r>
              <w:rPr>
                <w:rFonts w:cs="Arial"/>
                <w:sz w:val="20"/>
                <w:szCs w:val="20"/>
              </w:rPr>
              <w:t xml:space="preserve">CarbonNet emailed Wellington Shire Council </w:t>
            </w:r>
            <w:r w:rsidRPr="00471350">
              <w:rPr>
                <w:rFonts w:cs="Arial"/>
                <w:sz w:val="20"/>
                <w:szCs w:val="20"/>
              </w:rPr>
              <w:t xml:space="preserve">advising that </w:t>
            </w:r>
            <w:r>
              <w:rPr>
                <w:rFonts w:cs="Arial"/>
                <w:sz w:val="20"/>
                <w:szCs w:val="20"/>
              </w:rPr>
              <w:t xml:space="preserve">operational </w:t>
            </w:r>
            <w:r w:rsidRPr="00471350">
              <w:rPr>
                <w:rFonts w:cs="Arial"/>
                <w:sz w:val="20"/>
                <w:szCs w:val="20"/>
              </w:rPr>
              <w:t>area and duration of survey have n</w:t>
            </w:r>
            <w:r>
              <w:rPr>
                <w:rFonts w:cs="Arial"/>
                <w:sz w:val="20"/>
                <w:szCs w:val="20"/>
              </w:rPr>
              <w:t>ow been refined, and advising it</w:t>
            </w:r>
            <w:r w:rsidRPr="00471350">
              <w:rPr>
                <w:rFonts w:cs="Arial"/>
                <w:sz w:val="20"/>
                <w:szCs w:val="20"/>
              </w:rPr>
              <w:t xml:space="preserve"> will submit EP in mid-August.</w:t>
            </w:r>
          </w:p>
        </w:tc>
        <w:tc>
          <w:tcPr>
            <w:tcW w:w="3802" w:type="dxa"/>
            <w:shd w:val="clear" w:color="auto" w:fill="auto"/>
          </w:tcPr>
          <w:p w14:paraId="2E139CE5" w14:textId="07BD2A8F"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6091BF65" w14:textId="77777777" w:rsidTr="00891DE1">
        <w:tc>
          <w:tcPr>
            <w:tcW w:w="1427" w:type="dxa"/>
            <w:tcBorders>
              <w:top w:val="nil"/>
              <w:bottom w:val="nil"/>
            </w:tcBorders>
            <w:shd w:val="clear" w:color="auto" w:fill="auto"/>
          </w:tcPr>
          <w:p w14:paraId="5C852EC0" w14:textId="77777777" w:rsidR="006B7941" w:rsidRDefault="006B7941"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7C5F51D7" w14:textId="77777777" w:rsidR="006B7941" w:rsidRPr="00FF0808" w:rsidRDefault="006B7941" w:rsidP="00073385">
            <w:pPr>
              <w:spacing w:before="60" w:after="60" w:line="240" w:lineRule="auto"/>
              <w:ind w:left="0"/>
              <w:rPr>
                <w:rFonts w:cs="Arial"/>
                <w:sz w:val="20"/>
                <w:szCs w:val="20"/>
              </w:rPr>
            </w:pPr>
          </w:p>
        </w:tc>
        <w:tc>
          <w:tcPr>
            <w:tcW w:w="1055" w:type="dxa"/>
          </w:tcPr>
          <w:p w14:paraId="6FD399FE" w14:textId="6B134F60" w:rsidR="006B7941" w:rsidRDefault="006B7941"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23C78CE7" w14:textId="5ED9115B" w:rsidR="006B7941" w:rsidRDefault="006B7941"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3975357D" w14:textId="487BB716"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7E9A48B3" w14:textId="77777777" w:rsidTr="0024586D">
        <w:tc>
          <w:tcPr>
            <w:tcW w:w="1427" w:type="dxa"/>
            <w:tcBorders>
              <w:top w:val="nil"/>
            </w:tcBorders>
            <w:shd w:val="clear" w:color="auto" w:fill="auto"/>
          </w:tcPr>
          <w:p w14:paraId="43AC0563" w14:textId="77777777" w:rsidR="006B7941" w:rsidRDefault="006B7941" w:rsidP="00073385">
            <w:pPr>
              <w:spacing w:before="60" w:after="60" w:line="240" w:lineRule="auto"/>
              <w:ind w:left="0"/>
              <w:rPr>
                <w:rFonts w:cs="Arial"/>
                <w:sz w:val="20"/>
                <w:szCs w:val="20"/>
              </w:rPr>
            </w:pPr>
          </w:p>
        </w:tc>
        <w:tc>
          <w:tcPr>
            <w:tcW w:w="1629" w:type="dxa"/>
            <w:tcBorders>
              <w:top w:val="nil"/>
            </w:tcBorders>
            <w:shd w:val="clear" w:color="auto" w:fill="auto"/>
          </w:tcPr>
          <w:p w14:paraId="39577B1C" w14:textId="77777777" w:rsidR="006B7941" w:rsidRPr="00FF0808" w:rsidRDefault="006B7941" w:rsidP="00073385">
            <w:pPr>
              <w:spacing w:before="60" w:after="60" w:line="240" w:lineRule="auto"/>
              <w:ind w:left="0"/>
              <w:rPr>
                <w:rFonts w:cs="Arial"/>
                <w:sz w:val="20"/>
                <w:szCs w:val="20"/>
              </w:rPr>
            </w:pPr>
          </w:p>
        </w:tc>
        <w:tc>
          <w:tcPr>
            <w:tcW w:w="1055" w:type="dxa"/>
          </w:tcPr>
          <w:p w14:paraId="6C1ABA56" w14:textId="781E0699" w:rsidR="006B7941" w:rsidRDefault="006B7941" w:rsidP="00073385">
            <w:pPr>
              <w:spacing w:before="60" w:after="60" w:line="240" w:lineRule="auto"/>
              <w:ind w:left="0"/>
              <w:rPr>
                <w:rFonts w:cs="Arial"/>
                <w:sz w:val="20"/>
                <w:szCs w:val="20"/>
              </w:rPr>
            </w:pPr>
            <w:r>
              <w:rPr>
                <w:rFonts w:cs="Arial"/>
                <w:sz w:val="20"/>
                <w:szCs w:val="20"/>
              </w:rPr>
              <w:t>1/9/17</w:t>
            </w:r>
          </w:p>
        </w:tc>
        <w:tc>
          <w:tcPr>
            <w:tcW w:w="6335" w:type="dxa"/>
            <w:shd w:val="clear" w:color="auto" w:fill="auto"/>
          </w:tcPr>
          <w:p w14:paraId="32F02048" w14:textId="77777777" w:rsidR="006B7941" w:rsidRDefault="006B7941" w:rsidP="00237813">
            <w:pPr>
              <w:spacing w:before="60" w:after="60" w:line="240" w:lineRule="auto"/>
              <w:ind w:left="0"/>
              <w:rPr>
                <w:rFonts w:cs="Arial"/>
                <w:sz w:val="20"/>
                <w:szCs w:val="20"/>
              </w:rPr>
            </w:pPr>
            <w:r>
              <w:rPr>
                <w:rFonts w:cs="Arial"/>
                <w:sz w:val="20"/>
                <w:szCs w:val="20"/>
              </w:rPr>
              <w:t>Wellington Shire Council contacted CarbonNet to discuss potential impacts of the MSS on the Golden Beach community. The GPBRA has contacted the council to express concerns about the impacts of the MSS on their two fishing competitions (Australia Day and Easter long weekends).</w:t>
            </w:r>
          </w:p>
          <w:p w14:paraId="586B54ED" w14:textId="41133802" w:rsidR="006B7941" w:rsidRDefault="006B7941" w:rsidP="00073385">
            <w:pPr>
              <w:spacing w:before="60" w:after="60" w:line="240" w:lineRule="auto"/>
              <w:ind w:left="0"/>
              <w:rPr>
                <w:rFonts w:cs="Arial"/>
                <w:sz w:val="20"/>
                <w:szCs w:val="20"/>
              </w:rPr>
            </w:pPr>
            <w:r>
              <w:rPr>
                <w:rFonts w:cs="Arial"/>
                <w:sz w:val="20"/>
                <w:szCs w:val="20"/>
              </w:rPr>
              <w:t>Wellington Shire Council asked if the MSS could run in winter, and asked to be kept in the loop regarding impacts on the Golden Beach community.</w:t>
            </w:r>
          </w:p>
        </w:tc>
        <w:tc>
          <w:tcPr>
            <w:tcW w:w="3802" w:type="dxa"/>
            <w:shd w:val="clear" w:color="auto" w:fill="auto"/>
          </w:tcPr>
          <w:p w14:paraId="19587401" w14:textId="77777777" w:rsidR="006B7941" w:rsidRDefault="006B7941" w:rsidP="00237813">
            <w:pPr>
              <w:spacing w:before="60" w:after="60" w:line="240" w:lineRule="auto"/>
              <w:ind w:left="0"/>
              <w:rPr>
                <w:rFonts w:cs="Arial"/>
                <w:sz w:val="20"/>
                <w:szCs w:val="20"/>
              </w:rPr>
            </w:pPr>
            <w:r>
              <w:rPr>
                <w:rFonts w:cs="Arial"/>
                <w:sz w:val="20"/>
                <w:szCs w:val="20"/>
              </w:rPr>
              <w:t>CarbonNet explained that a firm commitment has been made to avoid Christmas to Australia Day, and will seek to avoid the Easter long weekend.</w:t>
            </w:r>
          </w:p>
          <w:p w14:paraId="71670494" w14:textId="78895B0C" w:rsidR="006B7941" w:rsidRDefault="006B7941" w:rsidP="00237813">
            <w:pPr>
              <w:spacing w:before="60" w:after="60" w:line="240" w:lineRule="auto"/>
              <w:ind w:left="0"/>
              <w:rPr>
                <w:rFonts w:cs="Arial"/>
                <w:sz w:val="20"/>
                <w:szCs w:val="20"/>
              </w:rPr>
            </w:pPr>
            <w:r>
              <w:rPr>
                <w:rFonts w:cs="Arial"/>
                <w:sz w:val="20"/>
                <w:szCs w:val="20"/>
              </w:rPr>
              <w:t>CarbonNet explained that the MSS needs a calm sea state to operate, hence the summer operating window.</w:t>
            </w:r>
          </w:p>
          <w:p w14:paraId="1827A724" w14:textId="77777777" w:rsidR="006B7941" w:rsidRDefault="006B7941" w:rsidP="00237813">
            <w:pPr>
              <w:spacing w:before="60" w:after="60" w:line="240" w:lineRule="auto"/>
              <w:ind w:left="0"/>
              <w:rPr>
                <w:rFonts w:cs="Arial"/>
                <w:sz w:val="20"/>
                <w:szCs w:val="20"/>
              </w:rPr>
            </w:pPr>
            <w:r>
              <w:rPr>
                <w:rFonts w:cs="Arial"/>
                <w:sz w:val="20"/>
                <w:szCs w:val="20"/>
              </w:rPr>
              <w:t xml:space="preserve">CarbonNet will email the GPBRA to confirm the timing commitments that have been made in the EP. </w:t>
            </w:r>
          </w:p>
          <w:p w14:paraId="28A5E04A" w14:textId="4443CFD8" w:rsidR="006B7941" w:rsidRDefault="006B7941" w:rsidP="00073385">
            <w:pPr>
              <w:spacing w:before="60" w:after="60" w:line="240" w:lineRule="auto"/>
              <w:ind w:left="0"/>
              <w:rPr>
                <w:rFonts w:cs="Arial"/>
                <w:sz w:val="20"/>
                <w:szCs w:val="20"/>
              </w:rPr>
            </w:pPr>
            <w:r>
              <w:rPr>
                <w:rFonts w:cs="Arial"/>
                <w:sz w:val="20"/>
                <w:szCs w:val="20"/>
              </w:rPr>
              <w:t>CarbonNet will invite Wellington Shire Council to attend a planning meeting with operational stakeholders in Golden Beach later in the year.</w:t>
            </w:r>
          </w:p>
        </w:tc>
      </w:tr>
      <w:tr w:rsidR="006B7941" w:rsidRPr="00FF0808" w14:paraId="2B62E02E" w14:textId="77777777" w:rsidTr="00077C5F">
        <w:tc>
          <w:tcPr>
            <w:tcW w:w="1427" w:type="dxa"/>
            <w:vMerge w:val="restart"/>
            <w:shd w:val="clear" w:color="auto" w:fill="auto"/>
          </w:tcPr>
          <w:p w14:paraId="043E80F3" w14:textId="77777777" w:rsidR="006B7941" w:rsidRDefault="006B7941" w:rsidP="00073385">
            <w:pPr>
              <w:spacing w:before="60" w:after="60" w:line="240" w:lineRule="auto"/>
              <w:ind w:left="0"/>
              <w:rPr>
                <w:rFonts w:cs="Arial"/>
                <w:sz w:val="20"/>
                <w:szCs w:val="20"/>
              </w:rPr>
            </w:pPr>
            <w:r w:rsidRPr="009F367E">
              <w:rPr>
                <w:rFonts w:cs="Arial"/>
                <w:sz w:val="20"/>
                <w:szCs w:val="20"/>
              </w:rPr>
              <w:t>East Gippsland Catchment Management Authority</w:t>
            </w:r>
          </w:p>
        </w:tc>
        <w:tc>
          <w:tcPr>
            <w:tcW w:w="1629" w:type="dxa"/>
            <w:vMerge w:val="restart"/>
            <w:shd w:val="clear" w:color="auto" w:fill="auto"/>
          </w:tcPr>
          <w:p w14:paraId="6CE5925D" w14:textId="77777777" w:rsidR="006B7941" w:rsidRPr="00FF0808" w:rsidRDefault="006B7941" w:rsidP="00073385">
            <w:pPr>
              <w:spacing w:before="60" w:after="60" w:line="240" w:lineRule="auto"/>
              <w:ind w:left="0"/>
              <w:rPr>
                <w:rFonts w:cs="Arial"/>
                <w:sz w:val="20"/>
                <w:szCs w:val="20"/>
              </w:rPr>
            </w:pPr>
            <w:r>
              <w:rPr>
                <w:rFonts w:cs="Arial"/>
                <w:sz w:val="20"/>
                <w:szCs w:val="20"/>
              </w:rPr>
              <w:t>Manager of land and water resources in east Gippsland.</w:t>
            </w:r>
          </w:p>
        </w:tc>
        <w:tc>
          <w:tcPr>
            <w:tcW w:w="1055" w:type="dxa"/>
          </w:tcPr>
          <w:p w14:paraId="3E2CDA71" w14:textId="77777777" w:rsidR="006B7941" w:rsidRDefault="006B7941"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59C50707" w14:textId="77777777" w:rsidR="006B7941" w:rsidRDefault="006B7941" w:rsidP="00073385">
            <w:pPr>
              <w:spacing w:before="60" w:after="60" w:line="240" w:lineRule="auto"/>
              <w:ind w:left="0"/>
              <w:rPr>
                <w:rFonts w:cs="Arial"/>
                <w:sz w:val="20"/>
                <w:szCs w:val="20"/>
              </w:rPr>
            </w:pPr>
            <w:r>
              <w:rPr>
                <w:rFonts w:cs="Arial"/>
                <w:sz w:val="20"/>
                <w:szCs w:val="20"/>
              </w:rPr>
              <w:t xml:space="preserve">CarbonNet contacted </w:t>
            </w:r>
            <w:r w:rsidRPr="00870E25">
              <w:rPr>
                <w:rFonts w:cs="Arial"/>
                <w:sz w:val="20"/>
                <w:szCs w:val="20"/>
              </w:rPr>
              <w:t>East Gippsland Catchment Management Authority</w:t>
            </w:r>
            <w:r>
              <w:rPr>
                <w:rFonts w:cs="Arial"/>
                <w:sz w:val="20"/>
                <w:szCs w:val="20"/>
              </w:rPr>
              <w:t xml:space="preserve"> via email and post with a letter than invited feedback and provided a fact sheet.</w:t>
            </w:r>
          </w:p>
        </w:tc>
        <w:tc>
          <w:tcPr>
            <w:tcW w:w="3802" w:type="dxa"/>
            <w:shd w:val="clear" w:color="auto" w:fill="auto"/>
          </w:tcPr>
          <w:p w14:paraId="76AB798C" w14:textId="376D8E07"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1F109C0C" w14:textId="77777777" w:rsidTr="00891DE1">
        <w:tc>
          <w:tcPr>
            <w:tcW w:w="1427" w:type="dxa"/>
            <w:vMerge/>
            <w:tcBorders>
              <w:bottom w:val="nil"/>
            </w:tcBorders>
            <w:shd w:val="clear" w:color="auto" w:fill="auto"/>
          </w:tcPr>
          <w:p w14:paraId="0B3F02FB" w14:textId="77777777" w:rsidR="006B7941" w:rsidRPr="009F367E" w:rsidRDefault="006B7941" w:rsidP="00073385">
            <w:pPr>
              <w:spacing w:before="60" w:after="60" w:line="240" w:lineRule="auto"/>
              <w:ind w:left="0"/>
              <w:rPr>
                <w:rFonts w:cs="Arial"/>
                <w:sz w:val="20"/>
                <w:szCs w:val="20"/>
              </w:rPr>
            </w:pPr>
          </w:p>
        </w:tc>
        <w:tc>
          <w:tcPr>
            <w:tcW w:w="1629" w:type="dxa"/>
            <w:vMerge/>
            <w:tcBorders>
              <w:bottom w:val="nil"/>
            </w:tcBorders>
            <w:shd w:val="clear" w:color="auto" w:fill="auto"/>
          </w:tcPr>
          <w:p w14:paraId="0B62087D" w14:textId="77777777" w:rsidR="006B7941" w:rsidRPr="00FF0808" w:rsidRDefault="006B7941" w:rsidP="00073385">
            <w:pPr>
              <w:spacing w:before="60" w:after="60" w:line="240" w:lineRule="auto"/>
              <w:ind w:left="0"/>
              <w:rPr>
                <w:rFonts w:cs="Arial"/>
                <w:sz w:val="20"/>
                <w:szCs w:val="20"/>
              </w:rPr>
            </w:pPr>
          </w:p>
        </w:tc>
        <w:tc>
          <w:tcPr>
            <w:tcW w:w="1055" w:type="dxa"/>
          </w:tcPr>
          <w:p w14:paraId="4AEC6AD1" w14:textId="77777777" w:rsidR="006B7941" w:rsidRDefault="006B7941" w:rsidP="00073385">
            <w:pPr>
              <w:spacing w:before="60" w:after="60" w:line="240" w:lineRule="auto"/>
              <w:ind w:left="0"/>
              <w:rPr>
                <w:rFonts w:cs="Arial"/>
                <w:sz w:val="20"/>
                <w:szCs w:val="20"/>
              </w:rPr>
            </w:pPr>
            <w:r>
              <w:rPr>
                <w:rFonts w:cs="Arial"/>
                <w:sz w:val="20"/>
                <w:szCs w:val="20"/>
              </w:rPr>
              <w:t>6/6/17</w:t>
            </w:r>
          </w:p>
        </w:tc>
        <w:tc>
          <w:tcPr>
            <w:tcW w:w="6335" w:type="dxa"/>
            <w:shd w:val="clear" w:color="auto" w:fill="auto"/>
          </w:tcPr>
          <w:p w14:paraId="6ACAB1BC" w14:textId="77777777" w:rsidR="006B7941" w:rsidRDefault="006B7941" w:rsidP="00073385">
            <w:pPr>
              <w:spacing w:before="60" w:after="60" w:line="240" w:lineRule="auto"/>
              <w:ind w:left="0"/>
              <w:rPr>
                <w:rFonts w:cs="Arial"/>
                <w:sz w:val="20"/>
                <w:szCs w:val="20"/>
              </w:rPr>
            </w:pPr>
            <w:r>
              <w:rPr>
                <w:rFonts w:cs="Arial"/>
                <w:sz w:val="20"/>
                <w:szCs w:val="20"/>
              </w:rPr>
              <w:t>CarbonNet resent the original letter and fact sheet via email to follow up.</w:t>
            </w:r>
          </w:p>
        </w:tc>
        <w:tc>
          <w:tcPr>
            <w:tcW w:w="3802" w:type="dxa"/>
            <w:shd w:val="clear" w:color="auto" w:fill="auto"/>
          </w:tcPr>
          <w:p w14:paraId="7D116304" w14:textId="77777777" w:rsidR="006B7941" w:rsidRDefault="006B7941" w:rsidP="00073385">
            <w:pPr>
              <w:spacing w:before="60" w:after="60" w:line="240" w:lineRule="auto"/>
              <w:ind w:left="0"/>
              <w:rPr>
                <w:rFonts w:cs="Arial"/>
                <w:sz w:val="20"/>
                <w:szCs w:val="20"/>
              </w:rPr>
            </w:pPr>
            <w:r>
              <w:rPr>
                <w:rFonts w:cs="Arial"/>
                <w:sz w:val="20"/>
                <w:szCs w:val="20"/>
              </w:rPr>
              <w:t>No response received.</w:t>
            </w:r>
          </w:p>
        </w:tc>
      </w:tr>
      <w:tr w:rsidR="006B7941" w:rsidRPr="00FF0808" w14:paraId="02635FDA" w14:textId="77777777" w:rsidTr="00891DE1">
        <w:tc>
          <w:tcPr>
            <w:tcW w:w="1427" w:type="dxa"/>
            <w:tcBorders>
              <w:top w:val="nil"/>
            </w:tcBorders>
            <w:shd w:val="clear" w:color="auto" w:fill="auto"/>
          </w:tcPr>
          <w:p w14:paraId="7E83A8CF" w14:textId="77777777" w:rsidR="006B7941" w:rsidRPr="009F367E" w:rsidRDefault="006B7941" w:rsidP="00073385">
            <w:pPr>
              <w:spacing w:before="60" w:after="60" w:line="240" w:lineRule="auto"/>
              <w:ind w:left="0"/>
              <w:rPr>
                <w:rFonts w:cs="Arial"/>
                <w:sz w:val="20"/>
                <w:szCs w:val="20"/>
              </w:rPr>
            </w:pPr>
          </w:p>
        </w:tc>
        <w:tc>
          <w:tcPr>
            <w:tcW w:w="1629" w:type="dxa"/>
            <w:tcBorders>
              <w:top w:val="nil"/>
            </w:tcBorders>
            <w:shd w:val="clear" w:color="auto" w:fill="auto"/>
          </w:tcPr>
          <w:p w14:paraId="1BF00A7C" w14:textId="77777777" w:rsidR="006B7941" w:rsidRPr="00FF0808" w:rsidRDefault="006B7941" w:rsidP="00073385">
            <w:pPr>
              <w:spacing w:before="60" w:after="60" w:line="240" w:lineRule="auto"/>
              <w:ind w:left="0"/>
              <w:rPr>
                <w:rFonts w:cs="Arial"/>
                <w:sz w:val="20"/>
                <w:szCs w:val="20"/>
              </w:rPr>
            </w:pPr>
          </w:p>
        </w:tc>
        <w:tc>
          <w:tcPr>
            <w:tcW w:w="1055" w:type="dxa"/>
          </w:tcPr>
          <w:p w14:paraId="62CEF636" w14:textId="236BCD8E" w:rsidR="006B7941" w:rsidRDefault="006B7941"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38C8542D" w14:textId="79B9818C" w:rsidR="006B7941" w:rsidRDefault="006B7941"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78522506" w14:textId="5CABC434"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0DFA030A" w14:textId="77777777" w:rsidTr="00077C5F">
        <w:tc>
          <w:tcPr>
            <w:tcW w:w="1427" w:type="dxa"/>
            <w:vMerge w:val="restart"/>
            <w:shd w:val="clear" w:color="auto" w:fill="auto"/>
          </w:tcPr>
          <w:p w14:paraId="5B3F3B1F" w14:textId="77777777" w:rsidR="006B7941" w:rsidRPr="009F367E" w:rsidRDefault="006B7941" w:rsidP="00073385">
            <w:pPr>
              <w:spacing w:before="60" w:after="60" w:line="240" w:lineRule="auto"/>
              <w:ind w:left="0"/>
              <w:rPr>
                <w:rFonts w:cs="Arial"/>
                <w:sz w:val="20"/>
                <w:szCs w:val="20"/>
              </w:rPr>
            </w:pPr>
            <w:r w:rsidRPr="009F367E">
              <w:rPr>
                <w:rFonts w:cs="Arial"/>
                <w:sz w:val="20"/>
                <w:szCs w:val="20"/>
              </w:rPr>
              <w:t xml:space="preserve">National </w:t>
            </w:r>
            <w:r w:rsidRPr="009F367E">
              <w:rPr>
                <w:rFonts w:cs="Arial"/>
                <w:sz w:val="20"/>
                <w:szCs w:val="20"/>
              </w:rPr>
              <w:lastRenderedPageBreak/>
              <w:t>Native Title Tribunal</w:t>
            </w:r>
            <w:r>
              <w:rPr>
                <w:rFonts w:cs="Arial"/>
                <w:sz w:val="20"/>
                <w:szCs w:val="20"/>
              </w:rPr>
              <w:t xml:space="preserve"> (NNTT)</w:t>
            </w:r>
          </w:p>
        </w:tc>
        <w:tc>
          <w:tcPr>
            <w:tcW w:w="1629" w:type="dxa"/>
            <w:vMerge w:val="restart"/>
            <w:shd w:val="clear" w:color="auto" w:fill="auto"/>
          </w:tcPr>
          <w:p w14:paraId="23CBE809" w14:textId="59CEEFB6" w:rsidR="006B7941" w:rsidRPr="00FF0808" w:rsidRDefault="006B7941" w:rsidP="0024586D">
            <w:pPr>
              <w:spacing w:before="60" w:after="60" w:line="240" w:lineRule="auto"/>
              <w:ind w:left="0"/>
              <w:rPr>
                <w:rFonts w:cs="Arial"/>
                <w:sz w:val="20"/>
                <w:szCs w:val="20"/>
              </w:rPr>
            </w:pPr>
            <w:r>
              <w:rPr>
                <w:rFonts w:cs="Arial"/>
                <w:sz w:val="20"/>
                <w:szCs w:val="20"/>
              </w:rPr>
              <w:lastRenderedPageBreak/>
              <w:t xml:space="preserve">Commonwealth </w:t>
            </w:r>
            <w:r>
              <w:rPr>
                <w:rFonts w:cs="Arial"/>
                <w:sz w:val="20"/>
                <w:szCs w:val="20"/>
              </w:rPr>
              <w:lastRenderedPageBreak/>
              <w:t>agency that makes determinations on whether native title exists</w:t>
            </w:r>
          </w:p>
        </w:tc>
        <w:tc>
          <w:tcPr>
            <w:tcW w:w="1055" w:type="dxa"/>
          </w:tcPr>
          <w:p w14:paraId="60915797" w14:textId="77777777" w:rsidR="006B7941" w:rsidRDefault="006B7941" w:rsidP="00073385">
            <w:pPr>
              <w:spacing w:before="60" w:after="60" w:line="240" w:lineRule="auto"/>
              <w:ind w:left="0"/>
              <w:rPr>
                <w:rFonts w:cs="Arial"/>
                <w:sz w:val="20"/>
                <w:szCs w:val="20"/>
              </w:rPr>
            </w:pPr>
            <w:r>
              <w:rPr>
                <w:rFonts w:cs="Arial"/>
                <w:sz w:val="20"/>
                <w:szCs w:val="20"/>
              </w:rPr>
              <w:lastRenderedPageBreak/>
              <w:t>21/3/17</w:t>
            </w:r>
          </w:p>
        </w:tc>
        <w:tc>
          <w:tcPr>
            <w:tcW w:w="6335" w:type="dxa"/>
            <w:shd w:val="clear" w:color="auto" w:fill="auto"/>
          </w:tcPr>
          <w:p w14:paraId="42DA3025" w14:textId="77777777" w:rsidR="006B7941" w:rsidRDefault="006B7941" w:rsidP="00073385">
            <w:pPr>
              <w:spacing w:before="60" w:after="60" w:line="240" w:lineRule="auto"/>
              <w:ind w:left="0"/>
              <w:rPr>
                <w:rFonts w:cs="Arial"/>
                <w:sz w:val="20"/>
                <w:szCs w:val="20"/>
              </w:rPr>
            </w:pPr>
            <w:r>
              <w:rPr>
                <w:rFonts w:cs="Arial"/>
                <w:sz w:val="20"/>
                <w:szCs w:val="20"/>
              </w:rPr>
              <w:t xml:space="preserve">CarbonNet sent letter to NNTT via email inviting feedback and </w:t>
            </w:r>
            <w:r>
              <w:rPr>
                <w:rFonts w:cs="Arial"/>
                <w:sz w:val="20"/>
                <w:szCs w:val="20"/>
              </w:rPr>
              <w:lastRenderedPageBreak/>
              <w:t>providing a fact sheet.</w:t>
            </w:r>
          </w:p>
        </w:tc>
        <w:tc>
          <w:tcPr>
            <w:tcW w:w="3802" w:type="dxa"/>
            <w:shd w:val="clear" w:color="auto" w:fill="auto"/>
          </w:tcPr>
          <w:p w14:paraId="4775D1AF" w14:textId="1DC67482" w:rsidR="006B7941" w:rsidRDefault="006B7941" w:rsidP="00073385">
            <w:pPr>
              <w:spacing w:before="60" w:after="60" w:line="240" w:lineRule="auto"/>
              <w:ind w:left="0"/>
              <w:rPr>
                <w:rFonts w:cs="Arial"/>
                <w:sz w:val="20"/>
                <w:szCs w:val="20"/>
              </w:rPr>
            </w:pPr>
            <w:r>
              <w:rPr>
                <w:rFonts w:cs="Arial"/>
                <w:sz w:val="20"/>
                <w:szCs w:val="20"/>
              </w:rPr>
              <w:lastRenderedPageBreak/>
              <w:t>N/A</w:t>
            </w:r>
          </w:p>
        </w:tc>
      </w:tr>
      <w:tr w:rsidR="006B7941" w:rsidRPr="00FF0808" w14:paraId="782BE202" w14:textId="77777777" w:rsidTr="00077C5F">
        <w:tc>
          <w:tcPr>
            <w:tcW w:w="1427" w:type="dxa"/>
            <w:vMerge/>
            <w:shd w:val="clear" w:color="auto" w:fill="auto"/>
          </w:tcPr>
          <w:p w14:paraId="4B534FA7" w14:textId="77777777" w:rsidR="006B7941" w:rsidRPr="009F367E" w:rsidRDefault="006B7941" w:rsidP="00073385">
            <w:pPr>
              <w:spacing w:before="60" w:after="60" w:line="240" w:lineRule="auto"/>
              <w:ind w:left="0"/>
              <w:rPr>
                <w:rFonts w:cs="Arial"/>
                <w:sz w:val="20"/>
                <w:szCs w:val="20"/>
              </w:rPr>
            </w:pPr>
          </w:p>
        </w:tc>
        <w:tc>
          <w:tcPr>
            <w:tcW w:w="1629" w:type="dxa"/>
            <w:vMerge/>
            <w:shd w:val="clear" w:color="auto" w:fill="auto"/>
          </w:tcPr>
          <w:p w14:paraId="56239C46" w14:textId="77777777" w:rsidR="006B7941" w:rsidRPr="00FF0808" w:rsidRDefault="006B7941" w:rsidP="00073385">
            <w:pPr>
              <w:spacing w:before="60" w:after="60" w:line="240" w:lineRule="auto"/>
              <w:ind w:left="0"/>
              <w:rPr>
                <w:rFonts w:cs="Arial"/>
                <w:sz w:val="20"/>
                <w:szCs w:val="20"/>
              </w:rPr>
            </w:pPr>
          </w:p>
        </w:tc>
        <w:tc>
          <w:tcPr>
            <w:tcW w:w="1055" w:type="dxa"/>
          </w:tcPr>
          <w:p w14:paraId="2F2F04C5" w14:textId="77777777" w:rsidR="006B7941" w:rsidRDefault="006B7941" w:rsidP="00073385">
            <w:pPr>
              <w:spacing w:before="60" w:after="60" w:line="240" w:lineRule="auto"/>
              <w:ind w:left="0"/>
              <w:rPr>
                <w:rFonts w:cs="Arial"/>
                <w:sz w:val="20"/>
                <w:szCs w:val="20"/>
              </w:rPr>
            </w:pPr>
            <w:r>
              <w:rPr>
                <w:rFonts w:cs="Arial"/>
                <w:sz w:val="20"/>
                <w:szCs w:val="20"/>
              </w:rPr>
              <w:t>30/3/17</w:t>
            </w:r>
          </w:p>
        </w:tc>
        <w:tc>
          <w:tcPr>
            <w:tcW w:w="6335" w:type="dxa"/>
            <w:shd w:val="clear" w:color="auto" w:fill="auto"/>
          </w:tcPr>
          <w:p w14:paraId="39D6BD27" w14:textId="77777777" w:rsidR="006B7941" w:rsidRDefault="006B7941" w:rsidP="00073385">
            <w:pPr>
              <w:spacing w:before="60" w:after="60" w:line="240" w:lineRule="auto"/>
              <w:ind w:left="0"/>
              <w:rPr>
                <w:rFonts w:cs="Arial"/>
                <w:sz w:val="20"/>
                <w:szCs w:val="20"/>
              </w:rPr>
            </w:pPr>
            <w:r>
              <w:rPr>
                <w:rFonts w:cs="Arial"/>
                <w:sz w:val="20"/>
                <w:szCs w:val="20"/>
              </w:rPr>
              <w:t xml:space="preserve">NNTT emailed CarbonNet to say that as of 28/3/17 a </w:t>
            </w:r>
            <w:r w:rsidRPr="00870E25">
              <w:rPr>
                <w:rFonts w:cs="Arial"/>
                <w:sz w:val="20"/>
                <w:szCs w:val="20"/>
              </w:rPr>
              <w:t xml:space="preserve">geospatial analysis indicates that there are no overlapping native title determination applications over the proposed survey area. However, that does not preclude any application being filed prior to survey </w:t>
            </w:r>
            <w:r>
              <w:rPr>
                <w:rFonts w:cs="Arial"/>
                <w:sz w:val="20"/>
                <w:szCs w:val="20"/>
              </w:rPr>
              <w:t>commencing</w:t>
            </w:r>
            <w:r w:rsidRPr="00870E25">
              <w:rPr>
                <w:rFonts w:cs="Arial"/>
                <w:sz w:val="20"/>
                <w:szCs w:val="20"/>
              </w:rPr>
              <w:t xml:space="preserve">.  </w:t>
            </w:r>
          </w:p>
          <w:p w14:paraId="433048D1" w14:textId="77777777" w:rsidR="006B7941" w:rsidRDefault="006B7941" w:rsidP="00073385">
            <w:pPr>
              <w:spacing w:before="60" w:after="60" w:line="240" w:lineRule="auto"/>
              <w:ind w:left="0"/>
              <w:rPr>
                <w:rFonts w:cs="Arial"/>
                <w:sz w:val="20"/>
                <w:szCs w:val="20"/>
              </w:rPr>
            </w:pPr>
            <w:r w:rsidRPr="00870E25">
              <w:rPr>
                <w:rFonts w:cs="Arial"/>
                <w:sz w:val="20"/>
                <w:szCs w:val="20"/>
              </w:rPr>
              <w:t>It is not appropriate for the Tribunal to comment further on the proposed survey.</w:t>
            </w:r>
          </w:p>
          <w:p w14:paraId="2E665E8E" w14:textId="77777777" w:rsidR="006B7941" w:rsidRDefault="006B7941" w:rsidP="00073385">
            <w:pPr>
              <w:spacing w:before="60" w:after="60" w:line="240" w:lineRule="auto"/>
              <w:ind w:left="0"/>
              <w:rPr>
                <w:rFonts w:cs="Arial"/>
                <w:sz w:val="20"/>
                <w:szCs w:val="20"/>
              </w:rPr>
            </w:pPr>
          </w:p>
          <w:p w14:paraId="2C7B7801" w14:textId="77777777" w:rsidR="006B7941" w:rsidRDefault="006B7941" w:rsidP="00073385">
            <w:pPr>
              <w:spacing w:before="60" w:after="60" w:line="240" w:lineRule="auto"/>
              <w:ind w:left="0"/>
              <w:rPr>
                <w:rFonts w:cs="Arial"/>
                <w:sz w:val="20"/>
                <w:szCs w:val="20"/>
              </w:rPr>
            </w:pPr>
          </w:p>
        </w:tc>
        <w:tc>
          <w:tcPr>
            <w:tcW w:w="3802" w:type="dxa"/>
            <w:shd w:val="clear" w:color="auto" w:fill="auto"/>
          </w:tcPr>
          <w:p w14:paraId="17B7906A" w14:textId="77777777" w:rsidR="006B7941" w:rsidRDefault="006B7941" w:rsidP="00073385">
            <w:pPr>
              <w:spacing w:before="60" w:after="60" w:line="240" w:lineRule="auto"/>
              <w:ind w:left="0"/>
              <w:rPr>
                <w:rFonts w:cs="Arial"/>
                <w:sz w:val="20"/>
                <w:szCs w:val="20"/>
              </w:rPr>
            </w:pPr>
            <w:r>
              <w:rPr>
                <w:rFonts w:cs="Arial"/>
                <w:sz w:val="20"/>
                <w:szCs w:val="20"/>
              </w:rPr>
              <w:t>No further engagement required.</w:t>
            </w:r>
          </w:p>
        </w:tc>
      </w:tr>
      <w:tr w:rsidR="006B7941" w:rsidRPr="00FF0808" w14:paraId="6A3A4D09" w14:textId="77777777" w:rsidTr="00077C5F">
        <w:tc>
          <w:tcPr>
            <w:tcW w:w="1427" w:type="dxa"/>
            <w:vMerge w:val="restart"/>
            <w:shd w:val="clear" w:color="auto" w:fill="auto"/>
          </w:tcPr>
          <w:p w14:paraId="468A6D13" w14:textId="77777777" w:rsidR="006B7941" w:rsidRPr="009F367E" w:rsidRDefault="006B7941" w:rsidP="00073385">
            <w:pPr>
              <w:spacing w:before="60" w:after="60" w:line="240" w:lineRule="auto"/>
              <w:ind w:left="0"/>
              <w:rPr>
                <w:rFonts w:cs="Arial"/>
                <w:sz w:val="20"/>
                <w:szCs w:val="20"/>
              </w:rPr>
            </w:pPr>
            <w:r>
              <w:rPr>
                <w:rFonts w:cs="Arial"/>
                <w:sz w:val="20"/>
                <w:szCs w:val="20"/>
              </w:rPr>
              <w:t>Gippsland Coastal Board</w:t>
            </w:r>
          </w:p>
        </w:tc>
        <w:tc>
          <w:tcPr>
            <w:tcW w:w="1629" w:type="dxa"/>
            <w:vMerge w:val="restart"/>
            <w:shd w:val="clear" w:color="auto" w:fill="auto"/>
          </w:tcPr>
          <w:p w14:paraId="47873F9A" w14:textId="77777777" w:rsidR="006B7941" w:rsidRPr="00FF0808" w:rsidRDefault="006B7941" w:rsidP="00073385">
            <w:pPr>
              <w:spacing w:before="60" w:after="60" w:line="240" w:lineRule="auto"/>
              <w:ind w:left="0"/>
              <w:rPr>
                <w:rFonts w:cs="Arial"/>
                <w:sz w:val="20"/>
                <w:szCs w:val="20"/>
              </w:rPr>
            </w:pPr>
            <w:r>
              <w:rPr>
                <w:rFonts w:cs="Arial"/>
                <w:sz w:val="20"/>
                <w:szCs w:val="20"/>
              </w:rPr>
              <w:t>Provides advice to Victorian Government on coastal management</w:t>
            </w:r>
          </w:p>
        </w:tc>
        <w:tc>
          <w:tcPr>
            <w:tcW w:w="1055" w:type="dxa"/>
          </w:tcPr>
          <w:p w14:paraId="2A9FDEA6" w14:textId="77777777" w:rsidR="006B7941" w:rsidRDefault="006B7941"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522D48C4" w14:textId="77777777" w:rsidR="006B7941" w:rsidRDefault="006B7941" w:rsidP="00073385">
            <w:pPr>
              <w:spacing w:before="60" w:after="60" w:line="240" w:lineRule="auto"/>
              <w:ind w:left="0"/>
              <w:rPr>
                <w:rFonts w:cs="Arial"/>
                <w:sz w:val="20"/>
                <w:szCs w:val="20"/>
              </w:rPr>
            </w:pPr>
            <w:r>
              <w:rPr>
                <w:rFonts w:cs="Arial"/>
                <w:sz w:val="20"/>
                <w:szCs w:val="20"/>
              </w:rPr>
              <w:t>CarbonNet contacted Gippsland Coastal Board via email and post with a letter that invited feedback and provided a fact sheet.</w:t>
            </w:r>
          </w:p>
        </w:tc>
        <w:tc>
          <w:tcPr>
            <w:tcW w:w="3802" w:type="dxa"/>
            <w:shd w:val="clear" w:color="auto" w:fill="auto"/>
          </w:tcPr>
          <w:p w14:paraId="2E4D6577" w14:textId="77777777" w:rsidR="006B7941" w:rsidRDefault="006B7941" w:rsidP="00073385">
            <w:pPr>
              <w:spacing w:before="60" w:after="60" w:line="240" w:lineRule="auto"/>
              <w:ind w:left="0"/>
              <w:rPr>
                <w:rFonts w:cs="Arial"/>
                <w:sz w:val="20"/>
                <w:szCs w:val="20"/>
              </w:rPr>
            </w:pPr>
          </w:p>
        </w:tc>
      </w:tr>
      <w:tr w:rsidR="006B7941" w:rsidRPr="00FF0808" w14:paraId="1C5862C6" w14:textId="77777777" w:rsidTr="00077C5F">
        <w:tc>
          <w:tcPr>
            <w:tcW w:w="1427" w:type="dxa"/>
            <w:vMerge/>
            <w:shd w:val="clear" w:color="auto" w:fill="auto"/>
          </w:tcPr>
          <w:p w14:paraId="59AA450F" w14:textId="77777777" w:rsidR="006B7941" w:rsidRDefault="006B7941" w:rsidP="00073385">
            <w:pPr>
              <w:spacing w:before="60" w:after="60" w:line="240" w:lineRule="auto"/>
              <w:ind w:left="0"/>
              <w:rPr>
                <w:rFonts w:cs="Arial"/>
                <w:sz w:val="20"/>
                <w:szCs w:val="20"/>
              </w:rPr>
            </w:pPr>
          </w:p>
        </w:tc>
        <w:tc>
          <w:tcPr>
            <w:tcW w:w="1629" w:type="dxa"/>
            <w:vMerge/>
            <w:shd w:val="clear" w:color="auto" w:fill="auto"/>
          </w:tcPr>
          <w:p w14:paraId="742834C6" w14:textId="77777777" w:rsidR="006B7941" w:rsidRPr="00FF0808" w:rsidRDefault="006B7941" w:rsidP="00073385">
            <w:pPr>
              <w:spacing w:before="60" w:after="60" w:line="240" w:lineRule="auto"/>
              <w:ind w:left="0"/>
              <w:rPr>
                <w:rFonts w:cs="Arial"/>
                <w:sz w:val="20"/>
                <w:szCs w:val="20"/>
              </w:rPr>
            </w:pPr>
          </w:p>
        </w:tc>
        <w:tc>
          <w:tcPr>
            <w:tcW w:w="1055" w:type="dxa"/>
          </w:tcPr>
          <w:p w14:paraId="457D9873" w14:textId="77777777" w:rsidR="006B7941" w:rsidRDefault="006B7941" w:rsidP="00073385">
            <w:pPr>
              <w:spacing w:before="60" w:after="60" w:line="240" w:lineRule="auto"/>
              <w:ind w:left="0"/>
              <w:rPr>
                <w:rFonts w:cs="Arial"/>
                <w:sz w:val="20"/>
                <w:szCs w:val="20"/>
              </w:rPr>
            </w:pPr>
            <w:r>
              <w:rPr>
                <w:rFonts w:cs="Arial"/>
                <w:sz w:val="20"/>
                <w:szCs w:val="20"/>
              </w:rPr>
              <w:t>25/5/17</w:t>
            </w:r>
          </w:p>
        </w:tc>
        <w:tc>
          <w:tcPr>
            <w:tcW w:w="6335" w:type="dxa"/>
            <w:shd w:val="clear" w:color="auto" w:fill="auto"/>
          </w:tcPr>
          <w:p w14:paraId="7E4E4BAA" w14:textId="77777777" w:rsidR="006B7941" w:rsidRDefault="006B7941" w:rsidP="00073385">
            <w:pPr>
              <w:spacing w:before="60" w:after="60" w:line="240" w:lineRule="auto"/>
              <w:ind w:left="0"/>
              <w:rPr>
                <w:rFonts w:cs="Arial"/>
                <w:sz w:val="20"/>
                <w:szCs w:val="20"/>
              </w:rPr>
            </w:pPr>
            <w:r>
              <w:rPr>
                <w:rFonts w:cs="Arial"/>
                <w:sz w:val="20"/>
                <w:szCs w:val="20"/>
              </w:rPr>
              <w:t>Gippsland Coastal Board sent CarbonNet a written response acknowledging the MSS and advising no further consultation or correspondence is required.</w:t>
            </w:r>
          </w:p>
        </w:tc>
        <w:tc>
          <w:tcPr>
            <w:tcW w:w="3802" w:type="dxa"/>
            <w:shd w:val="clear" w:color="auto" w:fill="auto"/>
          </w:tcPr>
          <w:p w14:paraId="1CB9BB6F" w14:textId="77777777" w:rsidR="006B7941" w:rsidRDefault="006B7941" w:rsidP="00073385">
            <w:pPr>
              <w:spacing w:before="60" w:after="60" w:line="240" w:lineRule="auto"/>
              <w:ind w:left="0"/>
              <w:rPr>
                <w:rFonts w:cs="Arial"/>
                <w:sz w:val="20"/>
                <w:szCs w:val="20"/>
              </w:rPr>
            </w:pPr>
            <w:r>
              <w:rPr>
                <w:rFonts w:cs="Arial"/>
                <w:sz w:val="20"/>
                <w:szCs w:val="20"/>
              </w:rPr>
              <w:t>No further engagement required.</w:t>
            </w:r>
          </w:p>
        </w:tc>
      </w:tr>
      <w:tr w:rsidR="006B7941" w:rsidRPr="00FF0808" w14:paraId="0B07107C" w14:textId="77777777" w:rsidTr="00077C5F">
        <w:tc>
          <w:tcPr>
            <w:tcW w:w="1427" w:type="dxa"/>
            <w:vMerge w:val="restart"/>
            <w:shd w:val="clear" w:color="auto" w:fill="auto"/>
          </w:tcPr>
          <w:p w14:paraId="05D20A6B" w14:textId="77777777" w:rsidR="006B7941" w:rsidRDefault="006B7941" w:rsidP="00073385">
            <w:pPr>
              <w:spacing w:before="60" w:after="60" w:line="240" w:lineRule="auto"/>
              <w:ind w:left="0"/>
              <w:rPr>
                <w:rFonts w:cs="Arial"/>
                <w:sz w:val="20"/>
                <w:szCs w:val="20"/>
              </w:rPr>
            </w:pPr>
            <w:r>
              <w:rPr>
                <w:rFonts w:cs="Arial"/>
                <w:sz w:val="20"/>
                <w:szCs w:val="20"/>
              </w:rPr>
              <w:t>East Gippsland Shire Council</w:t>
            </w:r>
          </w:p>
        </w:tc>
        <w:tc>
          <w:tcPr>
            <w:tcW w:w="1629" w:type="dxa"/>
            <w:vMerge w:val="restart"/>
            <w:shd w:val="clear" w:color="auto" w:fill="auto"/>
          </w:tcPr>
          <w:p w14:paraId="65E65F18" w14:textId="77777777" w:rsidR="006B7941" w:rsidRPr="00FF0808" w:rsidRDefault="006B7941" w:rsidP="00073385">
            <w:pPr>
              <w:spacing w:before="60" w:after="60" w:line="240" w:lineRule="auto"/>
              <w:ind w:left="0"/>
              <w:rPr>
                <w:rFonts w:cs="Arial"/>
                <w:sz w:val="20"/>
                <w:szCs w:val="20"/>
              </w:rPr>
            </w:pPr>
            <w:r>
              <w:rPr>
                <w:rFonts w:cs="Arial"/>
                <w:sz w:val="20"/>
                <w:szCs w:val="20"/>
              </w:rPr>
              <w:t>Local council in neighbouring area to the north of MSS</w:t>
            </w:r>
          </w:p>
        </w:tc>
        <w:tc>
          <w:tcPr>
            <w:tcW w:w="1055" w:type="dxa"/>
          </w:tcPr>
          <w:p w14:paraId="51DB0CB6" w14:textId="77777777" w:rsidR="006B7941" w:rsidRDefault="006B7941"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5B8378A8" w14:textId="77777777" w:rsidR="006B7941" w:rsidRDefault="006B7941" w:rsidP="00073385">
            <w:pPr>
              <w:spacing w:before="60" w:after="60" w:line="240" w:lineRule="auto"/>
              <w:ind w:left="0"/>
              <w:rPr>
                <w:rFonts w:cs="Arial"/>
                <w:sz w:val="20"/>
                <w:szCs w:val="20"/>
              </w:rPr>
            </w:pPr>
            <w:r>
              <w:rPr>
                <w:rFonts w:cs="Arial"/>
                <w:sz w:val="20"/>
                <w:szCs w:val="20"/>
              </w:rPr>
              <w:t>CarbonNet contacted East Gippsland Shire Council via post and email with a letter that invited feedback and provided a fact sheet.</w:t>
            </w:r>
          </w:p>
          <w:p w14:paraId="13458E0D" w14:textId="77777777" w:rsidR="006B7941" w:rsidRDefault="006B7941" w:rsidP="00073385">
            <w:pPr>
              <w:spacing w:before="60" w:after="60" w:line="240" w:lineRule="auto"/>
              <w:ind w:left="0"/>
              <w:rPr>
                <w:rFonts w:cs="Arial"/>
                <w:sz w:val="20"/>
                <w:szCs w:val="20"/>
              </w:rPr>
            </w:pPr>
            <w:r>
              <w:rPr>
                <w:rFonts w:cs="Arial"/>
                <w:sz w:val="20"/>
                <w:szCs w:val="20"/>
              </w:rPr>
              <w:t>CarbonNet received an automatic reply acknowledging receipt of the MSS email.</w:t>
            </w:r>
          </w:p>
        </w:tc>
        <w:tc>
          <w:tcPr>
            <w:tcW w:w="3802" w:type="dxa"/>
            <w:shd w:val="clear" w:color="auto" w:fill="auto"/>
          </w:tcPr>
          <w:p w14:paraId="6E674676" w14:textId="37ED687D"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6A8C11DA" w14:textId="77777777" w:rsidTr="00891DE1">
        <w:tc>
          <w:tcPr>
            <w:tcW w:w="1427" w:type="dxa"/>
            <w:vMerge/>
            <w:tcBorders>
              <w:bottom w:val="nil"/>
            </w:tcBorders>
            <w:shd w:val="clear" w:color="auto" w:fill="auto"/>
          </w:tcPr>
          <w:p w14:paraId="29102304" w14:textId="77777777" w:rsidR="006B7941" w:rsidRDefault="006B7941" w:rsidP="00073385">
            <w:pPr>
              <w:spacing w:before="60" w:after="60" w:line="240" w:lineRule="auto"/>
              <w:ind w:left="0"/>
              <w:rPr>
                <w:rFonts w:cs="Arial"/>
                <w:sz w:val="20"/>
                <w:szCs w:val="20"/>
              </w:rPr>
            </w:pPr>
          </w:p>
        </w:tc>
        <w:tc>
          <w:tcPr>
            <w:tcW w:w="1629" w:type="dxa"/>
            <w:vMerge/>
            <w:tcBorders>
              <w:bottom w:val="nil"/>
            </w:tcBorders>
            <w:shd w:val="clear" w:color="auto" w:fill="auto"/>
          </w:tcPr>
          <w:p w14:paraId="6B1C0C3E" w14:textId="77777777" w:rsidR="006B7941" w:rsidRPr="00FF0808" w:rsidRDefault="006B7941" w:rsidP="00073385">
            <w:pPr>
              <w:spacing w:before="60" w:after="60" w:line="240" w:lineRule="auto"/>
              <w:ind w:left="0"/>
              <w:rPr>
                <w:rFonts w:cs="Arial"/>
                <w:sz w:val="20"/>
                <w:szCs w:val="20"/>
              </w:rPr>
            </w:pPr>
          </w:p>
        </w:tc>
        <w:tc>
          <w:tcPr>
            <w:tcW w:w="1055" w:type="dxa"/>
          </w:tcPr>
          <w:p w14:paraId="2E0EA4C7" w14:textId="77777777" w:rsidR="006B7941" w:rsidRDefault="006B7941" w:rsidP="00073385">
            <w:pPr>
              <w:spacing w:before="60" w:after="60" w:line="240" w:lineRule="auto"/>
              <w:ind w:left="0"/>
              <w:rPr>
                <w:rFonts w:cs="Arial"/>
                <w:sz w:val="20"/>
                <w:szCs w:val="20"/>
              </w:rPr>
            </w:pPr>
            <w:r>
              <w:rPr>
                <w:rFonts w:cs="Arial"/>
                <w:sz w:val="20"/>
                <w:szCs w:val="20"/>
              </w:rPr>
              <w:t>29/5/17</w:t>
            </w:r>
          </w:p>
        </w:tc>
        <w:tc>
          <w:tcPr>
            <w:tcW w:w="6335" w:type="dxa"/>
            <w:shd w:val="clear" w:color="auto" w:fill="auto"/>
          </w:tcPr>
          <w:p w14:paraId="02D442AF" w14:textId="77777777" w:rsidR="006B7941" w:rsidRDefault="006B7941" w:rsidP="00073385">
            <w:pPr>
              <w:spacing w:before="60" w:after="60" w:line="240" w:lineRule="auto"/>
              <w:ind w:left="0"/>
              <w:rPr>
                <w:rFonts w:cs="Arial"/>
                <w:sz w:val="20"/>
                <w:szCs w:val="20"/>
              </w:rPr>
            </w:pPr>
            <w:r>
              <w:rPr>
                <w:rFonts w:cs="Arial"/>
                <w:sz w:val="20"/>
                <w:szCs w:val="20"/>
              </w:rPr>
              <w:t>CarbonNet sent a follow up email and offered a briefing to Councillors and staff.</w:t>
            </w:r>
          </w:p>
        </w:tc>
        <w:tc>
          <w:tcPr>
            <w:tcW w:w="3802" w:type="dxa"/>
            <w:shd w:val="clear" w:color="auto" w:fill="auto"/>
          </w:tcPr>
          <w:p w14:paraId="240EE5A1" w14:textId="77777777" w:rsidR="006B7941" w:rsidRDefault="006B7941" w:rsidP="00073385">
            <w:pPr>
              <w:spacing w:before="60" w:after="60" w:line="240" w:lineRule="auto"/>
              <w:ind w:left="0"/>
              <w:rPr>
                <w:rFonts w:cs="Arial"/>
                <w:sz w:val="20"/>
                <w:szCs w:val="20"/>
              </w:rPr>
            </w:pPr>
            <w:r>
              <w:rPr>
                <w:rFonts w:cs="Arial"/>
                <w:sz w:val="20"/>
                <w:szCs w:val="20"/>
              </w:rPr>
              <w:t>No response received. MSS is outside council area so they are not a relevant stakeholder.</w:t>
            </w:r>
          </w:p>
        </w:tc>
      </w:tr>
      <w:tr w:rsidR="006B7941" w:rsidRPr="00FF0808" w14:paraId="1819CBF3" w14:textId="77777777" w:rsidTr="00891DE1">
        <w:tc>
          <w:tcPr>
            <w:tcW w:w="1427" w:type="dxa"/>
            <w:tcBorders>
              <w:top w:val="nil"/>
            </w:tcBorders>
            <w:shd w:val="clear" w:color="auto" w:fill="auto"/>
          </w:tcPr>
          <w:p w14:paraId="00C9BEB2" w14:textId="77777777" w:rsidR="006B7941" w:rsidRDefault="006B7941" w:rsidP="00073385">
            <w:pPr>
              <w:spacing w:before="60" w:after="60" w:line="240" w:lineRule="auto"/>
              <w:ind w:left="0"/>
              <w:rPr>
                <w:rFonts w:cs="Arial"/>
                <w:sz w:val="20"/>
                <w:szCs w:val="20"/>
              </w:rPr>
            </w:pPr>
          </w:p>
        </w:tc>
        <w:tc>
          <w:tcPr>
            <w:tcW w:w="1629" w:type="dxa"/>
            <w:tcBorders>
              <w:top w:val="nil"/>
            </w:tcBorders>
            <w:shd w:val="clear" w:color="auto" w:fill="auto"/>
          </w:tcPr>
          <w:p w14:paraId="56A55667" w14:textId="77777777" w:rsidR="006B7941" w:rsidRPr="00FF0808" w:rsidRDefault="006B7941" w:rsidP="00073385">
            <w:pPr>
              <w:spacing w:before="60" w:after="60" w:line="240" w:lineRule="auto"/>
              <w:ind w:left="0"/>
              <w:rPr>
                <w:rFonts w:cs="Arial"/>
                <w:sz w:val="20"/>
                <w:szCs w:val="20"/>
              </w:rPr>
            </w:pPr>
          </w:p>
        </w:tc>
        <w:tc>
          <w:tcPr>
            <w:tcW w:w="1055" w:type="dxa"/>
          </w:tcPr>
          <w:p w14:paraId="1FF09FE9" w14:textId="2D1F4D51" w:rsidR="006B7941" w:rsidRDefault="006B7941"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6D338190" w14:textId="24E5F2E5" w:rsidR="006B7941" w:rsidRDefault="006B7941"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6BFE5BEF" w14:textId="24A40632"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517226F4" w14:textId="77777777" w:rsidTr="00077C5F">
        <w:tc>
          <w:tcPr>
            <w:tcW w:w="1427" w:type="dxa"/>
            <w:vMerge w:val="restart"/>
            <w:shd w:val="clear" w:color="auto" w:fill="auto"/>
          </w:tcPr>
          <w:p w14:paraId="1A95CA2A" w14:textId="77777777" w:rsidR="006B7941" w:rsidRDefault="006B7941" w:rsidP="00073385">
            <w:pPr>
              <w:spacing w:before="60" w:after="60" w:line="240" w:lineRule="auto"/>
              <w:ind w:left="0"/>
              <w:rPr>
                <w:rFonts w:cs="Arial"/>
                <w:sz w:val="20"/>
                <w:szCs w:val="20"/>
              </w:rPr>
            </w:pPr>
            <w:r>
              <w:rPr>
                <w:rFonts w:cs="Arial"/>
                <w:sz w:val="20"/>
                <w:szCs w:val="20"/>
              </w:rPr>
              <w:t>South Gippsland Shire Council</w:t>
            </w:r>
          </w:p>
        </w:tc>
        <w:tc>
          <w:tcPr>
            <w:tcW w:w="1629" w:type="dxa"/>
            <w:vMerge w:val="restart"/>
            <w:shd w:val="clear" w:color="auto" w:fill="auto"/>
          </w:tcPr>
          <w:p w14:paraId="7F796B4B" w14:textId="77777777" w:rsidR="006B7941" w:rsidRPr="00FF0808" w:rsidRDefault="006B7941" w:rsidP="00073385">
            <w:pPr>
              <w:spacing w:before="60" w:after="60" w:line="240" w:lineRule="auto"/>
              <w:ind w:left="0"/>
              <w:rPr>
                <w:rFonts w:cs="Arial"/>
                <w:sz w:val="20"/>
                <w:szCs w:val="20"/>
              </w:rPr>
            </w:pPr>
            <w:r>
              <w:rPr>
                <w:rFonts w:cs="Arial"/>
                <w:sz w:val="20"/>
                <w:szCs w:val="20"/>
              </w:rPr>
              <w:t>Local council in neighbouring area to the south of MSS</w:t>
            </w:r>
          </w:p>
        </w:tc>
        <w:tc>
          <w:tcPr>
            <w:tcW w:w="1055" w:type="dxa"/>
          </w:tcPr>
          <w:p w14:paraId="70162BBB" w14:textId="77777777" w:rsidR="006B7941" w:rsidRDefault="006B7941"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1D989F25" w14:textId="77777777" w:rsidR="006B7941" w:rsidRDefault="006B7941" w:rsidP="00073385">
            <w:pPr>
              <w:spacing w:before="60" w:after="60" w:line="240" w:lineRule="auto"/>
              <w:ind w:left="0"/>
              <w:rPr>
                <w:rFonts w:cs="Arial"/>
                <w:sz w:val="20"/>
                <w:szCs w:val="20"/>
              </w:rPr>
            </w:pPr>
            <w:r>
              <w:rPr>
                <w:rFonts w:cs="Arial"/>
                <w:sz w:val="20"/>
                <w:szCs w:val="20"/>
              </w:rPr>
              <w:t>CarbonNet contacted South Gippsland Shire Council via email and post with a letter that invited feedback and provided a fact sheet.</w:t>
            </w:r>
          </w:p>
          <w:p w14:paraId="031E0BD0" w14:textId="77777777" w:rsidR="006B7941" w:rsidRDefault="006B7941" w:rsidP="00073385">
            <w:pPr>
              <w:spacing w:before="60" w:after="60" w:line="240" w:lineRule="auto"/>
              <w:ind w:left="0"/>
              <w:rPr>
                <w:rFonts w:cs="Arial"/>
                <w:sz w:val="20"/>
                <w:szCs w:val="20"/>
              </w:rPr>
            </w:pPr>
          </w:p>
        </w:tc>
        <w:tc>
          <w:tcPr>
            <w:tcW w:w="3802" w:type="dxa"/>
            <w:shd w:val="clear" w:color="auto" w:fill="auto"/>
          </w:tcPr>
          <w:p w14:paraId="32B7D4F9" w14:textId="068CE822"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37C3FACF" w14:textId="77777777" w:rsidTr="00891DE1">
        <w:tc>
          <w:tcPr>
            <w:tcW w:w="1427" w:type="dxa"/>
            <w:vMerge/>
            <w:tcBorders>
              <w:bottom w:val="nil"/>
            </w:tcBorders>
            <w:shd w:val="clear" w:color="auto" w:fill="auto"/>
          </w:tcPr>
          <w:p w14:paraId="234D4EF6" w14:textId="77777777" w:rsidR="006B7941" w:rsidRDefault="006B7941" w:rsidP="00073385">
            <w:pPr>
              <w:spacing w:before="60" w:after="60" w:line="240" w:lineRule="auto"/>
              <w:ind w:left="0"/>
              <w:rPr>
                <w:rFonts w:cs="Arial"/>
                <w:sz w:val="20"/>
                <w:szCs w:val="20"/>
              </w:rPr>
            </w:pPr>
          </w:p>
        </w:tc>
        <w:tc>
          <w:tcPr>
            <w:tcW w:w="1629" w:type="dxa"/>
            <w:vMerge/>
            <w:tcBorders>
              <w:bottom w:val="nil"/>
            </w:tcBorders>
            <w:shd w:val="clear" w:color="auto" w:fill="auto"/>
          </w:tcPr>
          <w:p w14:paraId="67DAF18E" w14:textId="77777777" w:rsidR="006B7941" w:rsidRPr="00FF0808" w:rsidRDefault="006B7941" w:rsidP="00073385">
            <w:pPr>
              <w:spacing w:before="60" w:after="60" w:line="240" w:lineRule="auto"/>
              <w:ind w:left="0"/>
              <w:rPr>
                <w:rFonts w:cs="Arial"/>
                <w:sz w:val="20"/>
                <w:szCs w:val="20"/>
              </w:rPr>
            </w:pPr>
          </w:p>
        </w:tc>
        <w:tc>
          <w:tcPr>
            <w:tcW w:w="1055" w:type="dxa"/>
          </w:tcPr>
          <w:p w14:paraId="5571CBA5" w14:textId="77777777" w:rsidR="006B7941" w:rsidRDefault="006B7941" w:rsidP="00073385">
            <w:pPr>
              <w:spacing w:before="60" w:after="60" w:line="240" w:lineRule="auto"/>
              <w:ind w:left="0"/>
              <w:rPr>
                <w:rFonts w:cs="Arial"/>
                <w:sz w:val="20"/>
                <w:szCs w:val="20"/>
              </w:rPr>
            </w:pPr>
            <w:r>
              <w:rPr>
                <w:rFonts w:cs="Arial"/>
                <w:sz w:val="20"/>
                <w:szCs w:val="20"/>
              </w:rPr>
              <w:t>7/4/17</w:t>
            </w:r>
          </w:p>
        </w:tc>
        <w:tc>
          <w:tcPr>
            <w:tcW w:w="6335" w:type="dxa"/>
            <w:shd w:val="clear" w:color="auto" w:fill="auto"/>
          </w:tcPr>
          <w:p w14:paraId="099E6AD6" w14:textId="77777777" w:rsidR="006B7941" w:rsidRDefault="006B7941" w:rsidP="00073385">
            <w:pPr>
              <w:spacing w:before="60" w:after="60" w:line="240" w:lineRule="auto"/>
              <w:ind w:left="0"/>
              <w:rPr>
                <w:rFonts w:cs="Arial"/>
                <w:sz w:val="20"/>
                <w:szCs w:val="20"/>
              </w:rPr>
            </w:pPr>
            <w:r>
              <w:rPr>
                <w:rFonts w:cs="Arial"/>
                <w:sz w:val="20"/>
                <w:szCs w:val="20"/>
              </w:rPr>
              <w:t>CarbonNet spoke to South Gippsland Shire Council who advised they don’t have any issues or feedback to the MSS.</w:t>
            </w:r>
          </w:p>
        </w:tc>
        <w:tc>
          <w:tcPr>
            <w:tcW w:w="3802" w:type="dxa"/>
            <w:shd w:val="clear" w:color="auto" w:fill="auto"/>
          </w:tcPr>
          <w:p w14:paraId="1D754AD1" w14:textId="77777777" w:rsidR="006B7941" w:rsidRDefault="006B7941" w:rsidP="00073385">
            <w:pPr>
              <w:spacing w:before="60" w:after="60" w:line="240" w:lineRule="auto"/>
              <w:ind w:left="0"/>
              <w:rPr>
                <w:rFonts w:cs="Arial"/>
                <w:sz w:val="20"/>
                <w:szCs w:val="20"/>
              </w:rPr>
            </w:pPr>
            <w:r>
              <w:rPr>
                <w:rFonts w:cs="Arial"/>
                <w:sz w:val="20"/>
                <w:szCs w:val="20"/>
              </w:rPr>
              <w:t xml:space="preserve">MSS is outside council area and no issues raised, so no further engagement </w:t>
            </w:r>
            <w:r>
              <w:rPr>
                <w:rFonts w:cs="Arial"/>
                <w:sz w:val="20"/>
                <w:szCs w:val="20"/>
              </w:rPr>
              <w:lastRenderedPageBreak/>
              <w:t>required.</w:t>
            </w:r>
          </w:p>
        </w:tc>
      </w:tr>
      <w:tr w:rsidR="006B7941" w:rsidRPr="00FF0808" w14:paraId="1948EBD2" w14:textId="77777777" w:rsidTr="00891DE1">
        <w:tc>
          <w:tcPr>
            <w:tcW w:w="1427" w:type="dxa"/>
            <w:tcBorders>
              <w:top w:val="nil"/>
            </w:tcBorders>
            <w:shd w:val="clear" w:color="auto" w:fill="auto"/>
          </w:tcPr>
          <w:p w14:paraId="72AFB283" w14:textId="77777777" w:rsidR="006B7941" w:rsidRDefault="006B7941" w:rsidP="00073385">
            <w:pPr>
              <w:spacing w:before="60" w:after="60" w:line="240" w:lineRule="auto"/>
              <w:ind w:left="0"/>
              <w:rPr>
                <w:rFonts w:cs="Arial"/>
                <w:sz w:val="20"/>
                <w:szCs w:val="20"/>
              </w:rPr>
            </w:pPr>
          </w:p>
        </w:tc>
        <w:tc>
          <w:tcPr>
            <w:tcW w:w="1629" w:type="dxa"/>
            <w:tcBorders>
              <w:top w:val="nil"/>
            </w:tcBorders>
            <w:shd w:val="clear" w:color="auto" w:fill="auto"/>
          </w:tcPr>
          <w:p w14:paraId="59604FB0" w14:textId="77777777" w:rsidR="006B7941" w:rsidRPr="00FF0808" w:rsidRDefault="006B7941" w:rsidP="00073385">
            <w:pPr>
              <w:spacing w:before="60" w:after="60" w:line="240" w:lineRule="auto"/>
              <w:ind w:left="0"/>
              <w:rPr>
                <w:rFonts w:cs="Arial"/>
                <w:sz w:val="20"/>
                <w:szCs w:val="20"/>
              </w:rPr>
            </w:pPr>
          </w:p>
        </w:tc>
        <w:tc>
          <w:tcPr>
            <w:tcW w:w="1055" w:type="dxa"/>
          </w:tcPr>
          <w:p w14:paraId="5EDDF5C4" w14:textId="1D0D8DF0" w:rsidR="006B7941" w:rsidRDefault="006B7941"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042A5073" w14:textId="2C0AF772" w:rsidR="006B7941" w:rsidRDefault="006B7941"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665D02FF" w14:textId="3BC3A04A"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0AC02334" w14:textId="77777777" w:rsidTr="00077C5F">
        <w:tc>
          <w:tcPr>
            <w:tcW w:w="1427" w:type="dxa"/>
            <w:vMerge w:val="restart"/>
            <w:shd w:val="clear" w:color="auto" w:fill="auto"/>
          </w:tcPr>
          <w:p w14:paraId="7479AA97" w14:textId="77777777" w:rsidR="006B7941" w:rsidRDefault="006B7941" w:rsidP="00073385">
            <w:pPr>
              <w:spacing w:before="60" w:after="60" w:line="240" w:lineRule="auto"/>
              <w:ind w:left="0"/>
              <w:rPr>
                <w:rFonts w:cs="Arial"/>
                <w:sz w:val="20"/>
                <w:szCs w:val="20"/>
              </w:rPr>
            </w:pPr>
            <w:r>
              <w:rPr>
                <w:rFonts w:cs="Arial"/>
                <w:sz w:val="20"/>
                <w:szCs w:val="20"/>
              </w:rPr>
              <w:t>Gippsland Water Police</w:t>
            </w:r>
          </w:p>
        </w:tc>
        <w:tc>
          <w:tcPr>
            <w:tcW w:w="1629" w:type="dxa"/>
            <w:vMerge w:val="restart"/>
            <w:shd w:val="clear" w:color="auto" w:fill="auto"/>
          </w:tcPr>
          <w:p w14:paraId="7A92696C" w14:textId="77777777" w:rsidR="006B7941" w:rsidRPr="00FF0808" w:rsidRDefault="006B7941" w:rsidP="00073385">
            <w:pPr>
              <w:spacing w:before="60" w:after="60" w:line="240" w:lineRule="auto"/>
              <w:ind w:left="0"/>
              <w:rPr>
                <w:rFonts w:cs="Arial"/>
                <w:sz w:val="20"/>
                <w:szCs w:val="20"/>
              </w:rPr>
            </w:pPr>
            <w:r>
              <w:rPr>
                <w:rFonts w:cs="Arial"/>
                <w:sz w:val="20"/>
                <w:szCs w:val="20"/>
              </w:rPr>
              <w:t>Branch of Victoria Police responsible for marine incidents</w:t>
            </w:r>
          </w:p>
        </w:tc>
        <w:tc>
          <w:tcPr>
            <w:tcW w:w="1055" w:type="dxa"/>
          </w:tcPr>
          <w:p w14:paraId="5DE35D20" w14:textId="77777777" w:rsidR="006B7941" w:rsidRDefault="006B7941"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76788F6E" w14:textId="77777777" w:rsidR="006B7941" w:rsidRDefault="006B7941" w:rsidP="00073385">
            <w:pPr>
              <w:spacing w:before="60" w:after="60" w:line="240" w:lineRule="auto"/>
              <w:ind w:left="0"/>
              <w:rPr>
                <w:rFonts w:cs="Arial"/>
                <w:sz w:val="20"/>
                <w:szCs w:val="20"/>
              </w:rPr>
            </w:pPr>
            <w:r>
              <w:rPr>
                <w:rFonts w:cs="Arial"/>
                <w:sz w:val="20"/>
                <w:szCs w:val="20"/>
              </w:rPr>
              <w:t>CarbonNet contacted Gippsland Water Police via post with a letter that invited feedback and provided a fact sheet</w:t>
            </w:r>
          </w:p>
        </w:tc>
        <w:tc>
          <w:tcPr>
            <w:tcW w:w="3802" w:type="dxa"/>
            <w:shd w:val="clear" w:color="auto" w:fill="auto"/>
          </w:tcPr>
          <w:p w14:paraId="0A236401" w14:textId="66B22116"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5B25CE26" w14:textId="77777777" w:rsidTr="00077C5F">
        <w:tc>
          <w:tcPr>
            <w:tcW w:w="1427" w:type="dxa"/>
            <w:vMerge/>
            <w:shd w:val="clear" w:color="auto" w:fill="auto"/>
          </w:tcPr>
          <w:p w14:paraId="08133525" w14:textId="77777777" w:rsidR="006B7941" w:rsidRDefault="006B7941" w:rsidP="00073385">
            <w:pPr>
              <w:spacing w:before="60" w:after="60" w:line="240" w:lineRule="auto"/>
              <w:ind w:left="0"/>
              <w:rPr>
                <w:rFonts w:cs="Arial"/>
                <w:sz w:val="20"/>
                <w:szCs w:val="20"/>
              </w:rPr>
            </w:pPr>
          </w:p>
        </w:tc>
        <w:tc>
          <w:tcPr>
            <w:tcW w:w="1629" w:type="dxa"/>
            <w:vMerge/>
            <w:shd w:val="clear" w:color="auto" w:fill="auto"/>
          </w:tcPr>
          <w:p w14:paraId="63EA8935" w14:textId="77777777" w:rsidR="006B7941" w:rsidRPr="00FF0808" w:rsidRDefault="006B7941" w:rsidP="00073385">
            <w:pPr>
              <w:spacing w:before="60" w:after="60" w:line="240" w:lineRule="auto"/>
              <w:ind w:left="0"/>
              <w:rPr>
                <w:rFonts w:cs="Arial"/>
                <w:sz w:val="20"/>
                <w:szCs w:val="20"/>
              </w:rPr>
            </w:pPr>
          </w:p>
        </w:tc>
        <w:tc>
          <w:tcPr>
            <w:tcW w:w="1055" w:type="dxa"/>
          </w:tcPr>
          <w:p w14:paraId="379E9C02" w14:textId="77777777" w:rsidR="006B7941" w:rsidRDefault="006B7941" w:rsidP="00073385">
            <w:pPr>
              <w:spacing w:before="60" w:after="60" w:line="240" w:lineRule="auto"/>
              <w:ind w:left="0"/>
              <w:rPr>
                <w:rFonts w:cs="Arial"/>
                <w:sz w:val="20"/>
                <w:szCs w:val="20"/>
              </w:rPr>
            </w:pPr>
            <w:r>
              <w:rPr>
                <w:rFonts w:cs="Arial"/>
                <w:sz w:val="20"/>
                <w:szCs w:val="20"/>
              </w:rPr>
              <w:t>28/3/17</w:t>
            </w:r>
          </w:p>
        </w:tc>
        <w:tc>
          <w:tcPr>
            <w:tcW w:w="6335" w:type="dxa"/>
            <w:shd w:val="clear" w:color="auto" w:fill="auto"/>
          </w:tcPr>
          <w:p w14:paraId="5AD3C5D4" w14:textId="77777777" w:rsidR="006B7941" w:rsidRDefault="006B7941" w:rsidP="00073385">
            <w:pPr>
              <w:spacing w:before="60" w:after="60" w:line="240" w:lineRule="auto"/>
              <w:ind w:left="0"/>
              <w:rPr>
                <w:rFonts w:cs="Arial"/>
                <w:sz w:val="20"/>
                <w:szCs w:val="20"/>
              </w:rPr>
            </w:pPr>
            <w:r>
              <w:rPr>
                <w:rFonts w:cs="Arial"/>
                <w:sz w:val="20"/>
                <w:szCs w:val="20"/>
              </w:rPr>
              <w:t>Gippsland Water Police phoned CarbonNet to ask:</w:t>
            </w:r>
          </w:p>
          <w:p w14:paraId="09592C56" w14:textId="77777777" w:rsidR="006B7941" w:rsidRDefault="006B7941" w:rsidP="00073385">
            <w:pPr>
              <w:pStyle w:val="ListParagraph0"/>
              <w:numPr>
                <w:ilvl w:val="0"/>
                <w:numId w:val="505"/>
              </w:numPr>
              <w:spacing w:before="60" w:after="60" w:line="240" w:lineRule="auto"/>
              <w:rPr>
                <w:rFonts w:cs="Arial"/>
                <w:sz w:val="20"/>
                <w:szCs w:val="20"/>
              </w:rPr>
            </w:pPr>
            <w:r>
              <w:rPr>
                <w:rFonts w:cs="Arial"/>
                <w:sz w:val="20"/>
                <w:szCs w:val="20"/>
              </w:rPr>
              <w:t>Will the streamers have any visible markers between the vessel and tail buoys?</w:t>
            </w:r>
          </w:p>
          <w:p w14:paraId="3D069C4F" w14:textId="77777777" w:rsidR="006B7941" w:rsidRDefault="006B7941" w:rsidP="00073385">
            <w:pPr>
              <w:pStyle w:val="ListParagraph0"/>
              <w:numPr>
                <w:ilvl w:val="0"/>
                <w:numId w:val="505"/>
              </w:numPr>
              <w:spacing w:before="60" w:after="60" w:line="240" w:lineRule="auto"/>
              <w:rPr>
                <w:rFonts w:cs="Arial"/>
                <w:sz w:val="20"/>
                <w:szCs w:val="20"/>
              </w:rPr>
            </w:pPr>
            <w:r>
              <w:rPr>
                <w:rFonts w:cs="Arial"/>
                <w:sz w:val="20"/>
                <w:szCs w:val="20"/>
              </w:rPr>
              <w:t>Will it pose any danger to 13 foot fishing boats (tinnies)?</w:t>
            </w:r>
          </w:p>
          <w:p w14:paraId="4CCC8959" w14:textId="77777777" w:rsidR="006B7941" w:rsidRPr="00C83C0E" w:rsidRDefault="006B7941" w:rsidP="00073385">
            <w:pPr>
              <w:spacing w:before="60" w:after="60" w:line="240" w:lineRule="auto"/>
              <w:ind w:left="0"/>
              <w:rPr>
                <w:rFonts w:cs="Arial"/>
                <w:sz w:val="20"/>
                <w:szCs w:val="20"/>
              </w:rPr>
            </w:pPr>
            <w:r>
              <w:rPr>
                <w:rFonts w:cs="Arial"/>
                <w:sz w:val="20"/>
                <w:szCs w:val="20"/>
              </w:rPr>
              <w:t xml:space="preserve">Gippsland Water Police advised </w:t>
            </w:r>
            <w:r w:rsidRPr="00D752AB">
              <w:rPr>
                <w:rFonts w:cs="Arial"/>
                <w:sz w:val="20"/>
                <w:szCs w:val="20"/>
              </w:rPr>
              <w:t>that in the Golden Beach area although there are no boat ramps, recreational fishers will often launch their boats off the beach and may not have sophisticated radio/GPS equipment to receive notifications.</w:t>
            </w:r>
          </w:p>
        </w:tc>
        <w:tc>
          <w:tcPr>
            <w:tcW w:w="3802" w:type="dxa"/>
            <w:shd w:val="clear" w:color="auto" w:fill="auto"/>
          </w:tcPr>
          <w:p w14:paraId="5DBDF326" w14:textId="77777777" w:rsidR="006B7941" w:rsidRDefault="006B7941" w:rsidP="00073385">
            <w:pPr>
              <w:spacing w:before="60" w:after="60" w:line="240" w:lineRule="auto"/>
              <w:ind w:left="0"/>
              <w:rPr>
                <w:rFonts w:cs="Arial"/>
                <w:sz w:val="20"/>
                <w:szCs w:val="20"/>
              </w:rPr>
            </w:pPr>
            <w:r>
              <w:rPr>
                <w:rFonts w:cs="Arial"/>
                <w:sz w:val="20"/>
                <w:szCs w:val="20"/>
              </w:rPr>
              <w:t>CarbonNet will get back to Gippsland Water Police with answers to questions.</w:t>
            </w:r>
          </w:p>
        </w:tc>
      </w:tr>
      <w:tr w:rsidR="006B7941" w:rsidRPr="00FF0808" w14:paraId="0E36252B" w14:textId="77777777" w:rsidTr="0024586D">
        <w:tc>
          <w:tcPr>
            <w:tcW w:w="1427" w:type="dxa"/>
            <w:vMerge/>
            <w:tcBorders>
              <w:bottom w:val="nil"/>
            </w:tcBorders>
            <w:shd w:val="clear" w:color="auto" w:fill="auto"/>
          </w:tcPr>
          <w:p w14:paraId="54625D5F" w14:textId="77777777" w:rsidR="006B7941" w:rsidRDefault="006B7941" w:rsidP="00073385">
            <w:pPr>
              <w:spacing w:before="60" w:after="60" w:line="240" w:lineRule="auto"/>
              <w:ind w:left="0"/>
              <w:rPr>
                <w:rFonts w:cs="Arial"/>
                <w:sz w:val="20"/>
                <w:szCs w:val="20"/>
              </w:rPr>
            </w:pPr>
          </w:p>
        </w:tc>
        <w:tc>
          <w:tcPr>
            <w:tcW w:w="1629" w:type="dxa"/>
            <w:vMerge/>
            <w:tcBorders>
              <w:bottom w:val="nil"/>
            </w:tcBorders>
            <w:shd w:val="clear" w:color="auto" w:fill="auto"/>
          </w:tcPr>
          <w:p w14:paraId="5CA4EFFC" w14:textId="77777777" w:rsidR="006B7941" w:rsidRPr="00FF0808" w:rsidRDefault="006B7941" w:rsidP="00073385">
            <w:pPr>
              <w:spacing w:before="60" w:after="60" w:line="240" w:lineRule="auto"/>
              <w:ind w:left="0"/>
              <w:rPr>
                <w:rFonts w:cs="Arial"/>
                <w:sz w:val="20"/>
                <w:szCs w:val="20"/>
              </w:rPr>
            </w:pPr>
          </w:p>
        </w:tc>
        <w:tc>
          <w:tcPr>
            <w:tcW w:w="1055" w:type="dxa"/>
          </w:tcPr>
          <w:p w14:paraId="3E9774A8" w14:textId="77777777" w:rsidR="006B7941" w:rsidRDefault="006B7941" w:rsidP="00073385">
            <w:pPr>
              <w:spacing w:before="60" w:after="60" w:line="240" w:lineRule="auto"/>
              <w:ind w:left="0"/>
              <w:rPr>
                <w:rFonts w:cs="Arial"/>
                <w:sz w:val="20"/>
                <w:szCs w:val="20"/>
              </w:rPr>
            </w:pPr>
            <w:r>
              <w:rPr>
                <w:rFonts w:cs="Arial"/>
                <w:sz w:val="20"/>
                <w:szCs w:val="20"/>
              </w:rPr>
              <w:t>29/3/17</w:t>
            </w:r>
          </w:p>
        </w:tc>
        <w:tc>
          <w:tcPr>
            <w:tcW w:w="6335" w:type="dxa"/>
            <w:shd w:val="clear" w:color="auto" w:fill="auto"/>
          </w:tcPr>
          <w:p w14:paraId="53633044" w14:textId="77777777" w:rsidR="006B7941" w:rsidRDefault="006B7941" w:rsidP="00073385">
            <w:pPr>
              <w:spacing w:before="60" w:after="60" w:line="240" w:lineRule="auto"/>
              <w:ind w:left="0"/>
              <w:rPr>
                <w:rFonts w:cs="Arial"/>
                <w:sz w:val="20"/>
                <w:szCs w:val="20"/>
              </w:rPr>
            </w:pPr>
            <w:r>
              <w:rPr>
                <w:rFonts w:cs="Arial"/>
                <w:sz w:val="20"/>
                <w:szCs w:val="20"/>
              </w:rPr>
              <w:t>CarbonNet phoned Gippsland Water Police and advised:</w:t>
            </w:r>
          </w:p>
          <w:p w14:paraId="1F3F7560" w14:textId="77777777" w:rsidR="006B7941" w:rsidRDefault="006B7941" w:rsidP="00073385">
            <w:pPr>
              <w:pStyle w:val="ListParagraph0"/>
              <w:numPr>
                <w:ilvl w:val="0"/>
                <w:numId w:val="505"/>
              </w:numPr>
              <w:spacing w:before="60" w:after="60" w:line="240" w:lineRule="auto"/>
              <w:rPr>
                <w:rFonts w:cs="Arial"/>
                <w:sz w:val="20"/>
                <w:szCs w:val="20"/>
              </w:rPr>
            </w:pPr>
            <w:r>
              <w:rPr>
                <w:rFonts w:cs="Arial"/>
                <w:sz w:val="20"/>
                <w:szCs w:val="20"/>
              </w:rPr>
              <w:t xml:space="preserve">The MSS vessel will have </w:t>
            </w:r>
            <w:r w:rsidRPr="00C83C0E">
              <w:rPr>
                <w:rFonts w:cs="Arial"/>
                <w:sz w:val="20"/>
                <w:szCs w:val="20"/>
              </w:rPr>
              <w:t xml:space="preserve">no visible markers along length of streamers, but </w:t>
            </w:r>
            <w:r>
              <w:rPr>
                <w:rFonts w:cs="Arial"/>
                <w:sz w:val="20"/>
                <w:szCs w:val="20"/>
              </w:rPr>
              <w:t xml:space="preserve">will have </w:t>
            </w:r>
            <w:r w:rsidRPr="00C83C0E">
              <w:rPr>
                <w:rFonts w:cs="Arial"/>
                <w:sz w:val="20"/>
                <w:szCs w:val="20"/>
              </w:rPr>
              <w:t>support vessel</w:t>
            </w:r>
            <w:r>
              <w:rPr>
                <w:rFonts w:cs="Arial"/>
                <w:sz w:val="20"/>
                <w:szCs w:val="20"/>
              </w:rPr>
              <w:t>s</w:t>
            </w:r>
            <w:r w:rsidRPr="00C83C0E">
              <w:rPr>
                <w:rFonts w:cs="Arial"/>
                <w:sz w:val="20"/>
                <w:szCs w:val="20"/>
              </w:rPr>
              <w:t xml:space="preserve"> in place, tail buoy and other safety measur</w:t>
            </w:r>
            <w:r>
              <w:rPr>
                <w:rFonts w:cs="Arial"/>
                <w:sz w:val="20"/>
                <w:szCs w:val="20"/>
              </w:rPr>
              <w:t>es including Notice to Mariners.</w:t>
            </w:r>
          </w:p>
          <w:p w14:paraId="27DED88E" w14:textId="05C0D2DC" w:rsidR="006B7941" w:rsidRPr="0024586D" w:rsidRDefault="006B7941" w:rsidP="00073385">
            <w:pPr>
              <w:pStyle w:val="ListParagraph0"/>
              <w:numPr>
                <w:ilvl w:val="0"/>
                <w:numId w:val="505"/>
              </w:numPr>
              <w:spacing w:before="60" w:after="60" w:line="240" w:lineRule="auto"/>
              <w:rPr>
                <w:rFonts w:cs="Arial"/>
                <w:sz w:val="20"/>
                <w:szCs w:val="20"/>
              </w:rPr>
            </w:pPr>
            <w:r w:rsidRPr="0024586D">
              <w:rPr>
                <w:rFonts w:cs="Arial"/>
                <w:sz w:val="20"/>
                <w:szCs w:val="20"/>
              </w:rPr>
              <w:t>As the equipment is submerged roughly 6 metres, a small tinny will not face a safety risk if they accidentally travel over a streamer.</w:t>
            </w:r>
          </w:p>
          <w:p w14:paraId="2B269A53" w14:textId="77777777" w:rsidR="006B7941" w:rsidRPr="00D752AB" w:rsidRDefault="006B7941" w:rsidP="00073385">
            <w:pPr>
              <w:spacing w:before="60" w:after="60" w:line="240" w:lineRule="auto"/>
              <w:ind w:left="0"/>
              <w:rPr>
                <w:rFonts w:cs="Arial"/>
                <w:sz w:val="20"/>
                <w:szCs w:val="20"/>
              </w:rPr>
            </w:pPr>
            <w:r>
              <w:rPr>
                <w:rFonts w:cs="Arial"/>
                <w:sz w:val="20"/>
                <w:szCs w:val="20"/>
              </w:rPr>
              <w:t>Gippsland Water Police advised they s</w:t>
            </w:r>
            <w:r w:rsidRPr="00D752AB">
              <w:rPr>
                <w:rFonts w:cs="Arial"/>
                <w:sz w:val="20"/>
                <w:szCs w:val="20"/>
              </w:rPr>
              <w:t xml:space="preserve">ee no issue with the activity from a safety perspective. </w:t>
            </w:r>
          </w:p>
          <w:p w14:paraId="02FB3AB9" w14:textId="77777777" w:rsidR="006B7941" w:rsidRDefault="006B7941" w:rsidP="00073385">
            <w:pPr>
              <w:spacing w:before="60" w:after="60" w:line="240" w:lineRule="auto"/>
              <w:ind w:left="0"/>
              <w:rPr>
                <w:rFonts w:cs="Arial"/>
                <w:sz w:val="20"/>
                <w:szCs w:val="20"/>
              </w:rPr>
            </w:pPr>
            <w:r w:rsidRPr="00D752AB">
              <w:rPr>
                <w:rFonts w:cs="Arial"/>
                <w:sz w:val="20"/>
                <w:szCs w:val="20"/>
              </w:rPr>
              <w:t>Would like to be kept in the loop closer to the time and Gippsland Water Police could be</w:t>
            </w:r>
            <w:r>
              <w:rPr>
                <w:rFonts w:cs="Arial"/>
                <w:sz w:val="20"/>
                <w:szCs w:val="20"/>
              </w:rPr>
              <w:t xml:space="preserve"> present if required to assist.</w:t>
            </w:r>
          </w:p>
        </w:tc>
        <w:tc>
          <w:tcPr>
            <w:tcW w:w="3802" w:type="dxa"/>
            <w:shd w:val="clear" w:color="auto" w:fill="auto"/>
          </w:tcPr>
          <w:p w14:paraId="7B087324" w14:textId="77777777" w:rsidR="006B7941" w:rsidRDefault="006B7941" w:rsidP="00073385">
            <w:pPr>
              <w:spacing w:before="60" w:after="60" w:line="240" w:lineRule="auto"/>
              <w:ind w:left="0"/>
              <w:rPr>
                <w:rFonts w:cs="Arial"/>
                <w:sz w:val="20"/>
                <w:szCs w:val="20"/>
              </w:rPr>
            </w:pPr>
            <w:r>
              <w:rPr>
                <w:rFonts w:cs="Arial"/>
                <w:sz w:val="20"/>
                <w:szCs w:val="20"/>
              </w:rPr>
              <w:t>CarbonNet advised we will phone them again roughly 4 weeks out from the survey to discuss the operational plan.</w:t>
            </w:r>
          </w:p>
        </w:tc>
      </w:tr>
      <w:tr w:rsidR="006B7941" w:rsidRPr="00FF0808" w14:paraId="41BAD102" w14:textId="77777777" w:rsidTr="00891DE1">
        <w:tc>
          <w:tcPr>
            <w:tcW w:w="1427" w:type="dxa"/>
            <w:tcBorders>
              <w:top w:val="nil"/>
              <w:bottom w:val="nil"/>
            </w:tcBorders>
            <w:shd w:val="clear" w:color="auto" w:fill="auto"/>
          </w:tcPr>
          <w:p w14:paraId="4E3C9B0B" w14:textId="77777777" w:rsidR="006B7941" w:rsidRDefault="006B7941"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0614C639" w14:textId="77777777" w:rsidR="006B7941" w:rsidRPr="00FF0808" w:rsidRDefault="006B7941" w:rsidP="00073385">
            <w:pPr>
              <w:spacing w:before="60" w:after="60" w:line="240" w:lineRule="auto"/>
              <w:ind w:left="0"/>
              <w:rPr>
                <w:rFonts w:cs="Arial"/>
                <w:sz w:val="20"/>
                <w:szCs w:val="20"/>
              </w:rPr>
            </w:pPr>
          </w:p>
        </w:tc>
        <w:tc>
          <w:tcPr>
            <w:tcW w:w="1055" w:type="dxa"/>
          </w:tcPr>
          <w:p w14:paraId="66052849" w14:textId="77777777" w:rsidR="006B7941" w:rsidRDefault="006B7941" w:rsidP="00073385">
            <w:pPr>
              <w:spacing w:before="60" w:after="60" w:line="240" w:lineRule="auto"/>
              <w:ind w:left="0"/>
              <w:rPr>
                <w:rFonts w:cs="Arial"/>
                <w:sz w:val="20"/>
                <w:szCs w:val="20"/>
              </w:rPr>
            </w:pPr>
            <w:r>
              <w:rPr>
                <w:rFonts w:cs="Arial"/>
                <w:sz w:val="20"/>
                <w:szCs w:val="20"/>
              </w:rPr>
              <w:t>10/8/17</w:t>
            </w:r>
          </w:p>
        </w:tc>
        <w:tc>
          <w:tcPr>
            <w:tcW w:w="6335" w:type="dxa"/>
            <w:shd w:val="clear" w:color="auto" w:fill="auto"/>
          </w:tcPr>
          <w:p w14:paraId="6EE75F78" w14:textId="77777777" w:rsidR="006B7941" w:rsidRDefault="006B7941" w:rsidP="00073385">
            <w:pPr>
              <w:spacing w:before="60" w:after="60" w:line="240" w:lineRule="auto"/>
              <w:ind w:left="0"/>
              <w:rPr>
                <w:rFonts w:cs="Arial"/>
                <w:sz w:val="20"/>
                <w:szCs w:val="20"/>
              </w:rPr>
            </w:pPr>
            <w:r>
              <w:rPr>
                <w:rFonts w:cs="Arial"/>
                <w:sz w:val="20"/>
                <w:szCs w:val="20"/>
              </w:rPr>
              <w:t xml:space="preserve">CarbonNet phoned Gippsland Water Police regarding the expanded operational area and amended duration estimate of up to 27 days. </w:t>
            </w:r>
          </w:p>
          <w:p w14:paraId="3D466E76" w14:textId="77777777" w:rsidR="006B7941" w:rsidRDefault="006B7941" w:rsidP="00073385">
            <w:pPr>
              <w:spacing w:before="60" w:after="60" w:line="240" w:lineRule="auto"/>
              <w:ind w:left="0"/>
              <w:rPr>
                <w:rFonts w:cs="Arial"/>
                <w:sz w:val="20"/>
                <w:szCs w:val="20"/>
              </w:rPr>
            </w:pPr>
          </w:p>
          <w:p w14:paraId="5208860C" w14:textId="77777777" w:rsidR="006B7941" w:rsidRDefault="006B7941" w:rsidP="00073385">
            <w:pPr>
              <w:spacing w:before="60" w:after="60" w:line="240" w:lineRule="auto"/>
              <w:ind w:left="0"/>
              <w:rPr>
                <w:rFonts w:cs="Arial"/>
                <w:sz w:val="20"/>
                <w:szCs w:val="20"/>
              </w:rPr>
            </w:pPr>
            <w:r>
              <w:rPr>
                <w:rFonts w:cs="Arial"/>
                <w:sz w:val="20"/>
                <w:szCs w:val="20"/>
              </w:rPr>
              <w:t>Gippsland Water Police requested we email the information so they can distribute internally for information.</w:t>
            </w:r>
          </w:p>
          <w:p w14:paraId="2C0B6AC1" w14:textId="77777777" w:rsidR="006B7941" w:rsidRDefault="006B7941" w:rsidP="00073385">
            <w:pPr>
              <w:spacing w:before="60" w:after="60" w:line="240" w:lineRule="auto"/>
              <w:ind w:left="0"/>
              <w:rPr>
                <w:rFonts w:cs="Arial"/>
                <w:sz w:val="20"/>
                <w:szCs w:val="20"/>
              </w:rPr>
            </w:pPr>
          </w:p>
        </w:tc>
        <w:tc>
          <w:tcPr>
            <w:tcW w:w="3802" w:type="dxa"/>
            <w:shd w:val="clear" w:color="auto" w:fill="auto"/>
          </w:tcPr>
          <w:p w14:paraId="4D0B3346" w14:textId="77777777" w:rsidR="006B7941" w:rsidRDefault="006B7941" w:rsidP="00073385">
            <w:pPr>
              <w:spacing w:before="60" w:after="60" w:line="240" w:lineRule="auto"/>
              <w:ind w:left="0"/>
              <w:rPr>
                <w:rFonts w:cs="Arial"/>
                <w:sz w:val="20"/>
                <w:szCs w:val="20"/>
              </w:rPr>
            </w:pPr>
            <w:r>
              <w:rPr>
                <w:rFonts w:cs="Arial"/>
                <w:sz w:val="20"/>
                <w:szCs w:val="20"/>
              </w:rPr>
              <w:t>CarbonNet emailed the expanded operational area map and duration information. Will follow up closer to the time with operational details.</w:t>
            </w:r>
          </w:p>
        </w:tc>
      </w:tr>
      <w:tr w:rsidR="006B7941" w:rsidRPr="00FF0808" w14:paraId="75D6C98C" w14:textId="77777777" w:rsidTr="0024586D">
        <w:tc>
          <w:tcPr>
            <w:tcW w:w="1427" w:type="dxa"/>
            <w:tcBorders>
              <w:top w:val="nil"/>
            </w:tcBorders>
            <w:shd w:val="clear" w:color="auto" w:fill="auto"/>
          </w:tcPr>
          <w:p w14:paraId="4A40A40D" w14:textId="77777777" w:rsidR="006B7941" w:rsidRDefault="006B7941" w:rsidP="00073385">
            <w:pPr>
              <w:spacing w:before="60" w:after="60" w:line="240" w:lineRule="auto"/>
              <w:ind w:left="0"/>
              <w:rPr>
                <w:rFonts w:cs="Arial"/>
                <w:sz w:val="20"/>
                <w:szCs w:val="20"/>
              </w:rPr>
            </w:pPr>
          </w:p>
        </w:tc>
        <w:tc>
          <w:tcPr>
            <w:tcW w:w="1629" w:type="dxa"/>
            <w:tcBorders>
              <w:top w:val="nil"/>
            </w:tcBorders>
            <w:shd w:val="clear" w:color="auto" w:fill="auto"/>
          </w:tcPr>
          <w:p w14:paraId="2CE25CF7" w14:textId="77777777" w:rsidR="006B7941" w:rsidRPr="00FF0808" w:rsidRDefault="006B7941" w:rsidP="00073385">
            <w:pPr>
              <w:spacing w:before="60" w:after="60" w:line="240" w:lineRule="auto"/>
              <w:ind w:left="0"/>
              <w:rPr>
                <w:rFonts w:cs="Arial"/>
                <w:sz w:val="20"/>
                <w:szCs w:val="20"/>
              </w:rPr>
            </w:pPr>
          </w:p>
        </w:tc>
        <w:tc>
          <w:tcPr>
            <w:tcW w:w="1055" w:type="dxa"/>
          </w:tcPr>
          <w:p w14:paraId="03154C32" w14:textId="40E530A6" w:rsidR="006B7941" w:rsidRDefault="006B7941"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6318D32F" w14:textId="33882C8B" w:rsidR="006B7941" w:rsidRDefault="006B7941"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4A6A94AF" w14:textId="0A219AFA"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482AF1A5" w14:textId="77777777" w:rsidTr="00077C5F">
        <w:tc>
          <w:tcPr>
            <w:tcW w:w="1427" w:type="dxa"/>
            <w:vMerge w:val="restart"/>
            <w:shd w:val="clear" w:color="auto" w:fill="auto"/>
          </w:tcPr>
          <w:p w14:paraId="36F105A1" w14:textId="77777777" w:rsidR="006B7941" w:rsidRDefault="006B7941" w:rsidP="00073385">
            <w:pPr>
              <w:spacing w:before="60" w:after="60" w:line="240" w:lineRule="auto"/>
              <w:ind w:left="0"/>
              <w:rPr>
                <w:rFonts w:cs="Arial"/>
                <w:sz w:val="20"/>
                <w:szCs w:val="20"/>
              </w:rPr>
            </w:pPr>
            <w:r>
              <w:rPr>
                <w:rFonts w:cs="Arial"/>
                <w:sz w:val="20"/>
                <w:szCs w:val="20"/>
              </w:rPr>
              <w:t>Latrobe City Council (LCC)</w:t>
            </w:r>
          </w:p>
        </w:tc>
        <w:tc>
          <w:tcPr>
            <w:tcW w:w="1629" w:type="dxa"/>
            <w:vMerge w:val="restart"/>
            <w:shd w:val="clear" w:color="auto" w:fill="auto"/>
          </w:tcPr>
          <w:p w14:paraId="5771CB67" w14:textId="77777777" w:rsidR="006B7941" w:rsidRPr="00FF0808" w:rsidRDefault="006B7941" w:rsidP="00073385">
            <w:pPr>
              <w:spacing w:before="60" w:after="60" w:line="240" w:lineRule="auto"/>
              <w:ind w:left="0"/>
              <w:rPr>
                <w:rFonts w:cs="Arial"/>
                <w:sz w:val="20"/>
                <w:szCs w:val="20"/>
              </w:rPr>
            </w:pPr>
            <w:r>
              <w:rPr>
                <w:rFonts w:cs="Arial"/>
                <w:sz w:val="20"/>
                <w:szCs w:val="20"/>
              </w:rPr>
              <w:t>Local council in neighbouring area to the east of MSS</w:t>
            </w:r>
          </w:p>
        </w:tc>
        <w:tc>
          <w:tcPr>
            <w:tcW w:w="1055" w:type="dxa"/>
          </w:tcPr>
          <w:p w14:paraId="4395070F" w14:textId="77777777" w:rsidR="006B7941" w:rsidRDefault="006B7941"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473C9FB8" w14:textId="77777777" w:rsidR="006B7941" w:rsidRDefault="006B7941" w:rsidP="00073385">
            <w:pPr>
              <w:spacing w:before="60" w:after="60" w:line="240" w:lineRule="auto"/>
              <w:ind w:left="0"/>
              <w:rPr>
                <w:rFonts w:cs="Arial"/>
                <w:sz w:val="20"/>
                <w:szCs w:val="20"/>
              </w:rPr>
            </w:pPr>
            <w:r>
              <w:rPr>
                <w:rFonts w:cs="Arial"/>
                <w:sz w:val="20"/>
                <w:szCs w:val="20"/>
              </w:rPr>
              <w:t>CarbonNet contacted Latrobe City Council via post and email with a letter that invited feedback and provided a fact sheet.</w:t>
            </w:r>
          </w:p>
        </w:tc>
        <w:tc>
          <w:tcPr>
            <w:tcW w:w="3802" w:type="dxa"/>
            <w:shd w:val="clear" w:color="auto" w:fill="auto"/>
          </w:tcPr>
          <w:p w14:paraId="7BC82471" w14:textId="77777777" w:rsidR="006B7941" w:rsidRDefault="006B7941" w:rsidP="00073385">
            <w:pPr>
              <w:spacing w:before="60" w:after="60" w:line="240" w:lineRule="auto"/>
              <w:ind w:left="0"/>
              <w:rPr>
                <w:rFonts w:cs="Arial"/>
                <w:sz w:val="20"/>
                <w:szCs w:val="20"/>
              </w:rPr>
            </w:pPr>
          </w:p>
        </w:tc>
      </w:tr>
      <w:tr w:rsidR="006B7941" w:rsidRPr="00FF0808" w14:paraId="33D39F0E" w14:textId="77777777" w:rsidTr="0024586D">
        <w:tc>
          <w:tcPr>
            <w:tcW w:w="1427" w:type="dxa"/>
            <w:vMerge/>
            <w:tcBorders>
              <w:bottom w:val="nil"/>
            </w:tcBorders>
            <w:shd w:val="clear" w:color="auto" w:fill="auto"/>
          </w:tcPr>
          <w:p w14:paraId="328524AE" w14:textId="77777777" w:rsidR="006B7941" w:rsidRDefault="006B7941" w:rsidP="00073385">
            <w:pPr>
              <w:spacing w:before="60" w:after="60" w:line="240" w:lineRule="auto"/>
              <w:ind w:left="0"/>
              <w:rPr>
                <w:rFonts w:cs="Arial"/>
                <w:sz w:val="20"/>
                <w:szCs w:val="20"/>
              </w:rPr>
            </w:pPr>
          </w:p>
        </w:tc>
        <w:tc>
          <w:tcPr>
            <w:tcW w:w="1629" w:type="dxa"/>
            <w:vMerge/>
            <w:tcBorders>
              <w:bottom w:val="nil"/>
            </w:tcBorders>
            <w:shd w:val="clear" w:color="auto" w:fill="auto"/>
          </w:tcPr>
          <w:p w14:paraId="38DCE39B" w14:textId="77777777" w:rsidR="006B7941" w:rsidRPr="00FF0808" w:rsidRDefault="006B7941" w:rsidP="00073385">
            <w:pPr>
              <w:spacing w:before="60" w:after="60" w:line="240" w:lineRule="auto"/>
              <w:ind w:left="0"/>
              <w:rPr>
                <w:rFonts w:cs="Arial"/>
                <w:sz w:val="20"/>
                <w:szCs w:val="20"/>
              </w:rPr>
            </w:pPr>
          </w:p>
        </w:tc>
        <w:tc>
          <w:tcPr>
            <w:tcW w:w="1055" w:type="dxa"/>
          </w:tcPr>
          <w:p w14:paraId="0D147439" w14:textId="77777777" w:rsidR="006B7941" w:rsidRDefault="006B7941" w:rsidP="00073385">
            <w:pPr>
              <w:spacing w:before="60" w:after="60" w:line="240" w:lineRule="auto"/>
              <w:ind w:left="0"/>
              <w:rPr>
                <w:rFonts w:cs="Arial"/>
                <w:sz w:val="20"/>
                <w:szCs w:val="20"/>
              </w:rPr>
            </w:pPr>
            <w:r>
              <w:rPr>
                <w:rFonts w:cs="Arial"/>
                <w:sz w:val="20"/>
                <w:szCs w:val="20"/>
              </w:rPr>
              <w:t>29/3/17</w:t>
            </w:r>
          </w:p>
        </w:tc>
        <w:tc>
          <w:tcPr>
            <w:tcW w:w="6335" w:type="dxa"/>
            <w:shd w:val="clear" w:color="auto" w:fill="auto"/>
          </w:tcPr>
          <w:p w14:paraId="64BB6A0C" w14:textId="77777777" w:rsidR="006B7941" w:rsidRDefault="006B7941" w:rsidP="00073385">
            <w:pPr>
              <w:spacing w:before="60" w:after="60" w:line="240" w:lineRule="auto"/>
              <w:ind w:left="0"/>
              <w:rPr>
                <w:rFonts w:cs="Arial"/>
                <w:sz w:val="20"/>
                <w:szCs w:val="20"/>
              </w:rPr>
            </w:pPr>
            <w:r>
              <w:rPr>
                <w:rFonts w:cs="Arial"/>
                <w:sz w:val="20"/>
                <w:szCs w:val="20"/>
              </w:rPr>
              <w:t>CarbonNet briefed LCC councillors and members of the executive team on CarbonNet and the MSS.</w:t>
            </w:r>
          </w:p>
          <w:p w14:paraId="2B63C54C" w14:textId="77777777" w:rsidR="006B7941" w:rsidRDefault="006B7941" w:rsidP="00073385">
            <w:pPr>
              <w:spacing w:before="60" w:after="60" w:line="240" w:lineRule="auto"/>
              <w:ind w:left="0"/>
              <w:rPr>
                <w:rFonts w:cs="Arial"/>
                <w:sz w:val="20"/>
                <w:szCs w:val="20"/>
              </w:rPr>
            </w:pPr>
            <w:r>
              <w:rPr>
                <w:rFonts w:cs="Arial"/>
                <w:sz w:val="20"/>
                <w:szCs w:val="20"/>
              </w:rPr>
              <w:t xml:space="preserve">LCC advised that community engagement will be very important, including making sure community members don’t confuse CCS with coal seam gas (CSG). </w:t>
            </w:r>
          </w:p>
          <w:p w14:paraId="3F28B5D0" w14:textId="77777777" w:rsidR="006B7941" w:rsidRDefault="006B7941" w:rsidP="00073385">
            <w:pPr>
              <w:spacing w:before="60" w:after="60" w:line="240" w:lineRule="auto"/>
              <w:ind w:left="0"/>
              <w:rPr>
                <w:rFonts w:cs="Arial"/>
                <w:sz w:val="20"/>
                <w:szCs w:val="20"/>
              </w:rPr>
            </w:pPr>
            <w:r>
              <w:rPr>
                <w:rFonts w:cs="Arial"/>
                <w:sz w:val="20"/>
                <w:szCs w:val="20"/>
              </w:rPr>
              <w:t>LCC advised that as the MSS is not in their council area it doesn’t affect them, but are interested in the project.</w:t>
            </w:r>
          </w:p>
        </w:tc>
        <w:tc>
          <w:tcPr>
            <w:tcW w:w="3802" w:type="dxa"/>
            <w:shd w:val="clear" w:color="auto" w:fill="auto"/>
          </w:tcPr>
          <w:p w14:paraId="17D3CFB2" w14:textId="77777777" w:rsidR="006B7941" w:rsidRDefault="006B7941" w:rsidP="00073385">
            <w:pPr>
              <w:spacing w:before="60" w:after="60" w:line="240" w:lineRule="auto"/>
              <w:ind w:left="0"/>
              <w:rPr>
                <w:rFonts w:cs="Arial"/>
                <w:sz w:val="20"/>
                <w:szCs w:val="20"/>
              </w:rPr>
            </w:pPr>
            <w:r>
              <w:rPr>
                <w:rFonts w:cs="Arial"/>
                <w:sz w:val="20"/>
                <w:szCs w:val="20"/>
              </w:rPr>
              <w:t>CarbonNet will continue to brief LCC on the project, but they are not a relevant stakeholder for the MSS.</w:t>
            </w:r>
          </w:p>
        </w:tc>
      </w:tr>
      <w:tr w:rsidR="006B7941" w:rsidRPr="00FF0808" w14:paraId="36A0FF52" w14:textId="77777777" w:rsidTr="00891DE1">
        <w:tc>
          <w:tcPr>
            <w:tcW w:w="1427" w:type="dxa"/>
            <w:tcBorders>
              <w:top w:val="nil"/>
              <w:bottom w:val="nil"/>
            </w:tcBorders>
            <w:shd w:val="clear" w:color="auto" w:fill="auto"/>
          </w:tcPr>
          <w:p w14:paraId="5889A930" w14:textId="77777777" w:rsidR="006B7941" w:rsidRDefault="006B7941"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42C6CC2" w14:textId="77777777" w:rsidR="006B7941" w:rsidRPr="00FF0808" w:rsidRDefault="006B7941" w:rsidP="00073385">
            <w:pPr>
              <w:spacing w:before="60" w:after="60" w:line="240" w:lineRule="auto"/>
              <w:ind w:left="0"/>
              <w:rPr>
                <w:rFonts w:cs="Arial"/>
                <w:sz w:val="20"/>
                <w:szCs w:val="20"/>
              </w:rPr>
            </w:pPr>
          </w:p>
        </w:tc>
        <w:tc>
          <w:tcPr>
            <w:tcW w:w="1055" w:type="dxa"/>
          </w:tcPr>
          <w:p w14:paraId="27550B8C" w14:textId="77777777" w:rsidR="006B7941" w:rsidRDefault="006B7941" w:rsidP="00073385">
            <w:pPr>
              <w:spacing w:before="60" w:after="60" w:line="240" w:lineRule="auto"/>
              <w:ind w:left="0"/>
              <w:rPr>
                <w:rFonts w:cs="Arial"/>
                <w:sz w:val="20"/>
                <w:szCs w:val="20"/>
              </w:rPr>
            </w:pPr>
            <w:r>
              <w:rPr>
                <w:rFonts w:cs="Arial"/>
                <w:sz w:val="20"/>
                <w:szCs w:val="20"/>
              </w:rPr>
              <w:t>7/8/17</w:t>
            </w:r>
          </w:p>
        </w:tc>
        <w:tc>
          <w:tcPr>
            <w:tcW w:w="6335" w:type="dxa"/>
            <w:shd w:val="clear" w:color="auto" w:fill="auto"/>
          </w:tcPr>
          <w:p w14:paraId="04A8AEC3" w14:textId="77777777" w:rsidR="006B7941" w:rsidRDefault="006B7941" w:rsidP="00073385">
            <w:pPr>
              <w:spacing w:before="60" w:after="60" w:line="240" w:lineRule="auto"/>
              <w:ind w:left="0"/>
              <w:rPr>
                <w:rFonts w:cs="Arial"/>
                <w:sz w:val="20"/>
                <w:szCs w:val="20"/>
              </w:rPr>
            </w:pPr>
            <w:r>
              <w:rPr>
                <w:rFonts w:cs="Arial"/>
                <w:sz w:val="20"/>
                <w:szCs w:val="20"/>
              </w:rPr>
              <w:t xml:space="preserve">CarbonNet </w:t>
            </w:r>
            <w:r w:rsidRPr="00585E96">
              <w:rPr>
                <w:rFonts w:cs="Arial"/>
                <w:sz w:val="20"/>
                <w:szCs w:val="20"/>
              </w:rPr>
              <w:t>email</w:t>
            </w:r>
            <w:r>
              <w:rPr>
                <w:rFonts w:cs="Arial"/>
                <w:sz w:val="20"/>
                <w:szCs w:val="20"/>
              </w:rPr>
              <w:t>ed LCC</w:t>
            </w:r>
            <w:r w:rsidRPr="00585E96">
              <w:rPr>
                <w:rFonts w:cs="Arial"/>
                <w:sz w:val="20"/>
                <w:szCs w:val="20"/>
              </w:rPr>
              <w:t xml:space="preserve"> advising that area and duration of survey have now been refined, and advising we will submit EP in mid-August.</w:t>
            </w:r>
          </w:p>
        </w:tc>
        <w:tc>
          <w:tcPr>
            <w:tcW w:w="3802" w:type="dxa"/>
            <w:shd w:val="clear" w:color="auto" w:fill="auto"/>
          </w:tcPr>
          <w:p w14:paraId="56452B75" w14:textId="77777777" w:rsidR="006B7941" w:rsidRDefault="006B7941" w:rsidP="00073385">
            <w:pPr>
              <w:spacing w:before="60" w:after="60" w:line="240" w:lineRule="auto"/>
              <w:ind w:left="0"/>
              <w:rPr>
                <w:rFonts w:cs="Arial"/>
                <w:sz w:val="20"/>
                <w:szCs w:val="20"/>
              </w:rPr>
            </w:pPr>
            <w:r>
              <w:rPr>
                <w:rFonts w:cs="Arial"/>
                <w:sz w:val="20"/>
                <w:szCs w:val="20"/>
              </w:rPr>
              <w:t>No response received.</w:t>
            </w:r>
          </w:p>
        </w:tc>
      </w:tr>
      <w:tr w:rsidR="006B7941" w:rsidRPr="00FF0808" w14:paraId="350265F2" w14:textId="77777777" w:rsidTr="0024586D">
        <w:tc>
          <w:tcPr>
            <w:tcW w:w="1427" w:type="dxa"/>
            <w:tcBorders>
              <w:top w:val="nil"/>
            </w:tcBorders>
            <w:shd w:val="clear" w:color="auto" w:fill="auto"/>
          </w:tcPr>
          <w:p w14:paraId="7A92AAFA" w14:textId="77777777" w:rsidR="006B7941" w:rsidRDefault="006B7941" w:rsidP="00073385">
            <w:pPr>
              <w:spacing w:before="60" w:after="60" w:line="240" w:lineRule="auto"/>
              <w:ind w:left="0"/>
              <w:rPr>
                <w:rFonts w:cs="Arial"/>
                <w:sz w:val="20"/>
                <w:szCs w:val="20"/>
              </w:rPr>
            </w:pPr>
          </w:p>
        </w:tc>
        <w:tc>
          <w:tcPr>
            <w:tcW w:w="1629" w:type="dxa"/>
            <w:tcBorders>
              <w:top w:val="nil"/>
            </w:tcBorders>
            <w:shd w:val="clear" w:color="auto" w:fill="auto"/>
          </w:tcPr>
          <w:p w14:paraId="67B63739" w14:textId="77777777" w:rsidR="006B7941" w:rsidRPr="00FF0808" w:rsidRDefault="006B7941" w:rsidP="00073385">
            <w:pPr>
              <w:spacing w:before="60" w:after="60" w:line="240" w:lineRule="auto"/>
              <w:ind w:left="0"/>
              <w:rPr>
                <w:rFonts w:cs="Arial"/>
                <w:sz w:val="20"/>
                <w:szCs w:val="20"/>
              </w:rPr>
            </w:pPr>
          </w:p>
        </w:tc>
        <w:tc>
          <w:tcPr>
            <w:tcW w:w="1055" w:type="dxa"/>
          </w:tcPr>
          <w:p w14:paraId="54717008" w14:textId="4D77827E" w:rsidR="006B7941" w:rsidRDefault="006B7941"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1EE3B315" w14:textId="7CD5F9CE" w:rsidR="006B7941" w:rsidRDefault="006B7941"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2059EDBE" w14:textId="37DD5277"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2A2B65AC" w14:textId="77777777" w:rsidTr="00A662E3">
        <w:tc>
          <w:tcPr>
            <w:tcW w:w="1427" w:type="dxa"/>
            <w:vMerge w:val="restart"/>
            <w:shd w:val="clear" w:color="auto" w:fill="auto"/>
          </w:tcPr>
          <w:p w14:paraId="596FC222" w14:textId="77777777" w:rsidR="006B7941" w:rsidRDefault="006B7941" w:rsidP="00073385">
            <w:pPr>
              <w:spacing w:before="60" w:after="60" w:line="240" w:lineRule="auto"/>
              <w:ind w:left="0"/>
              <w:rPr>
                <w:rFonts w:cs="Arial"/>
                <w:sz w:val="20"/>
                <w:szCs w:val="20"/>
              </w:rPr>
            </w:pPr>
            <w:r>
              <w:rPr>
                <w:rFonts w:cs="Arial"/>
                <w:sz w:val="20"/>
                <w:szCs w:val="20"/>
              </w:rPr>
              <w:t>Committee for Wellington</w:t>
            </w:r>
          </w:p>
        </w:tc>
        <w:tc>
          <w:tcPr>
            <w:tcW w:w="1629" w:type="dxa"/>
            <w:vMerge w:val="restart"/>
            <w:shd w:val="clear" w:color="auto" w:fill="auto"/>
          </w:tcPr>
          <w:p w14:paraId="2F7767EC" w14:textId="77777777" w:rsidR="006B7941" w:rsidRPr="00FF0808" w:rsidRDefault="006B7941" w:rsidP="00073385">
            <w:pPr>
              <w:spacing w:before="60" w:after="60" w:line="240" w:lineRule="auto"/>
              <w:ind w:left="0"/>
              <w:rPr>
                <w:rFonts w:cs="Arial"/>
                <w:sz w:val="20"/>
                <w:szCs w:val="20"/>
              </w:rPr>
            </w:pPr>
            <w:r>
              <w:rPr>
                <w:rFonts w:cs="Arial"/>
                <w:sz w:val="20"/>
                <w:szCs w:val="20"/>
              </w:rPr>
              <w:t>Representative group of businesses in Wellington Shire Council area</w:t>
            </w:r>
          </w:p>
        </w:tc>
        <w:tc>
          <w:tcPr>
            <w:tcW w:w="1055" w:type="dxa"/>
          </w:tcPr>
          <w:p w14:paraId="12DA8CD9" w14:textId="77777777" w:rsidR="006B7941" w:rsidRDefault="006B7941" w:rsidP="00073385">
            <w:pPr>
              <w:spacing w:before="60" w:after="60" w:line="240" w:lineRule="auto"/>
              <w:ind w:left="0"/>
              <w:rPr>
                <w:rFonts w:cs="Arial"/>
                <w:sz w:val="20"/>
                <w:szCs w:val="20"/>
              </w:rPr>
            </w:pPr>
            <w:r>
              <w:rPr>
                <w:rFonts w:cs="Arial"/>
                <w:sz w:val="20"/>
                <w:szCs w:val="20"/>
              </w:rPr>
              <w:t>24/3/17</w:t>
            </w:r>
          </w:p>
        </w:tc>
        <w:tc>
          <w:tcPr>
            <w:tcW w:w="6335" w:type="dxa"/>
            <w:shd w:val="clear" w:color="auto" w:fill="auto"/>
          </w:tcPr>
          <w:p w14:paraId="655A1894" w14:textId="77777777" w:rsidR="006B7941" w:rsidRDefault="006B7941" w:rsidP="00073385">
            <w:pPr>
              <w:spacing w:before="60" w:after="60" w:line="240" w:lineRule="auto"/>
              <w:ind w:left="0"/>
              <w:rPr>
                <w:rFonts w:cs="Arial"/>
                <w:sz w:val="20"/>
                <w:szCs w:val="20"/>
              </w:rPr>
            </w:pPr>
            <w:r>
              <w:rPr>
                <w:rFonts w:cs="Arial"/>
                <w:sz w:val="20"/>
                <w:szCs w:val="20"/>
              </w:rPr>
              <w:t>CarbonNet contact Committee for Wellington via email with a letter that invited feedback and provided a fact sheet.</w:t>
            </w:r>
          </w:p>
        </w:tc>
        <w:tc>
          <w:tcPr>
            <w:tcW w:w="3802" w:type="dxa"/>
            <w:shd w:val="clear" w:color="auto" w:fill="auto"/>
          </w:tcPr>
          <w:p w14:paraId="4C6DC500" w14:textId="5D9523F0"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39FA5C96" w14:textId="77777777" w:rsidTr="00A662E3">
        <w:tc>
          <w:tcPr>
            <w:tcW w:w="1427" w:type="dxa"/>
            <w:vMerge/>
            <w:tcBorders>
              <w:bottom w:val="nil"/>
            </w:tcBorders>
            <w:shd w:val="clear" w:color="auto" w:fill="auto"/>
          </w:tcPr>
          <w:p w14:paraId="5DE834B3" w14:textId="77777777" w:rsidR="006B7941" w:rsidRDefault="006B7941" w:rsidP="00073385">
            <w:pPr>
              <w:spacing w:before="60" w:after="60" w:line="240" w:lineRule="auto"/>
              <w:ind w:left="0"/>
              <w:rPr>
                <w:rFonts w:cs="Arial"/>
                <w:sz w:val="20"/>
                <w:szCs w:val="20"/>
              </w:rPr>
            </w:pPr>
          </w:p>
        </w:tc>
        <w:tc>
          <w:tcPr>
            <w:tcW w:w="1629" w:type="dxa"/>
            <w:vMerge/>
            <w:tcBorders>
              <w:bottom w:val="nil"/>
            </w:tcBorders>
            <w:shd w:val="clear" w:color="auto" w:fill="auto"/>
          </w:tcPr>
          <w:p w14:paraId="303AA03A" w14:textId="77777777" w:rsidR="006B7941" w:rsidRPr="00FF0808" w:rsidRDefault="006B7941" w:rsidP="00073385">
            <w:pPr>
              <w:spacing w:before="60" w:after="60" w:line="240" w:lineRule="auto"/>
              <w:ind w:left="0"/>
              <w:rPr>
                <w:rFonts w:cs="Arial"/>
                <w:sz w:val="20"/>
                <w:szCs w:val="20"/>
              </w:rPr>
            </w:pPr>
          </w:p>
        </w:tc>
        <w:tc>
          <w:tcPr>
            <w:tcW w:w="1055" w:type="dxa"/>
          </w:tcPr>
          <w:p w14:paraId="5421ABCF" w14:textId="77777777" w:rsidR="006B7941" w:rsidRDefault="006B7941" w:rsidP="00073385">
            <w:pPr>
              <w:spacing w:before="60" w:after="60" w:line="240" w:lineRule="auto"/>
              <w:ind w:left="0"/>
              <w:rPr>
                <w:rFonts w:cs="Arial"/>
                <w:sz w:val="20"/>
                <w:szCs w:val="20"/>
              </w:rPr>
            </w:pPr>
            <w:r>
              <w:rPr>
                <w:rFonts w:cs="Arial"/>
                <w:sz w:val="20"/>
                <w:szCs w:val="20"/>
              </w:rPr>
              <w:t>3/4/17</w:t>
            </w:r>
          </w:p>
        </w:tc>
        <w:tc>
          <w:tcPr>
            <w:tcW w:w="6335" w:type="dxa"/>
            <w:shd w:val="clear" w:color="auto" w:fill="auto"/>
          </w:tcPr>
          <w:p w14:paraId="2AC8FCC4" w14:textId="77777777" w:rsidR="006B7941" w:rsidRDefault="006B7941" w:rsidP="00073385">
            <w:pPr>
              <w:spacing w:before="60" w:after="60" w:line="240" w:lineRule="auto"/>
              <w:ind w:left="0"/>
              <w:rPr>
                <w:rFonts w:cs="Arial"/>
                <w:sz w:val="20"/>
                <w:szCs w:val="20"/>
              </w:rPr>
            </w:pPr>
            <w:r>
              <w:rPr>
                <w:rFonts w:cs="Arial"/>
                <w:sz w:val="20"/>
                <w:szCs w:val="20"/>
              </w:rPr>
              <w:t>Committee for Wellington emailed CarbonNet to say they will consider the information at a meeting on 6/4 and respond after that with any feedback.</w:t>
            </w:r>
          </w:p>
        </w:tc>
        <w:tc>
          <w:tcPr>
            <w:tcW w:w="3802" w:type="dxa"/>
            <w:shd w:val="clear" w:color="auto" w:fill="auto"/>
          </w:tcPr>
          <w:p w14:paraId="7B95B980" w14:textId="3D909B82" w:rsidR="006B7941" w:rsidRDefault="006B7941" w:rsidP="00073385">
            <w:pPr>
              <w:spacing w:before="60" w:after="60" w:line="240" w:lineRule="auto"/>
              <w:ind w:left="0"/>
              <w:rPr>
                <w:rFonts w:cs="Arial"/>
                <w:sz w:val="20"/>
                <w:szCs w:val="20"/>
              </w:rPr>
            </w:pPr>
            <w:r>
              <w:rPr>
                <w:rFonts w:cs="Arial"/>
                <w:sz w:val="20"/>
                <w:szCs w:val="20"/>
              </w:rPr>
              <w:t>N/A</w:t>
            </w:r>
          </w:p>
        </w:tc>
      </w:tr>
      <w:tr w:rsidR="006B7941" w:rsidRPr="00FF0808" w14:paraId="02047BBA" w14:textId="77777777" w:rsidTr="00891DE1">
        <w:tc>
          <w:tcPr>
            <w:tcW w:w="1427" w:type="dxa"/>
            <w:tcBorders>
              <w:top w:val="nil"/>
              <w:bottom w:val="nil"/>
            </w:tcBorders>
            <w:shd w:val="clear" w:color="auto" w:fill="auto"/>
          </w:tcPr>
          <w:p w14:paraId="54BEAE59" w14:textId="77777777" w:rsidR="006B7941" w:rsidRDefault="006B7941" w:rsidP="00073385">
            <w:pPr>
              <w:spacing w:before="60" w:after="60" w:line="240" w:lineRule="auto"/>
              <w:ind w:left="0"/>
              <w:rPr>
                <w:rFonts w:cs="Arial"/>
                <w:sz w:val="20"/>
                <w:szCs w:val="20"/>
              </w:rPr>
            </w:pPr>
          </w:p>
        </w:tc>
        <w:tc>
          <w:tcPr>
            <w:tcW w:w="1629" w:type="dxa"/>
            <w:tcBorders>
              <w:top w:val="nil"/>
              <w:bottom w:val="nil"/>
            </w:tcBorders>
            <w:shd w:val="clear" w:color="auto" w:fill="auto"/>
          </w:tcPr>
          <w:p w14:paraId="32336D97" w14:textId="77777777" w:rsidR="006B7941" w:rsidRPr="00FF0808" w:rsidRDefault="006B7941" w:rsidP="00073385">
            <w:pPr>
              <w:spacing w:before="60" w:after="60" w:line="240" w:lineRule="auto"/>
              <w:ind w:left="0"/>
              <w:rPr>
                <w:rFonts w:cs="Arial"/>
                <w:sz w:val="20"/>
                <w:szCs w:val="20"/>
              </w:rPr>
            </w:pPr>
          </w:p>
        </w:tc>
        <w:tc>
          <w:tcPr>
            <w:tcW w:w="1055" w:type="dxa"/>
          </w:tcPr>
          <w:p w14:paraId="7A000ADA" w14:textId="77777777" w:rsidR="006B7941" w:rsidRDefault="006B7941" w:rsidP="00073385">
            <w:pPr>
              <w:spacing w:before="60" w:after="60" w:line="240" w:lineRule="auto"/>
              <w:ind w:left="0"/>
              <w:rPr>
                <w:rFonts w:cs="Arial"/>
                <w:sz w:val="20"/>
                <w:szCs w:val="20"/>
              </w:rPr>
            </w:pPr>
            <w:r>
              <w:rPr>
                <w:rFonts w:cs="Arial"/>
                <w:sz w:val="20"/>
                <w:szCs w:val="20"/>
              </w:rPr>
              <w:t>23/4/17</w:t>
            </w:r>
          </w:p>
        </w:tc>
        <w:tc>
          <w:tcPr>
            <w:tcW w:w="6335" w:type="dxa"/>
            <w:shd w:val="clear" w:color="auto" w:fill="auto"/>
          </w:tcPr>
          <w:p w14:paraId="6EAD3498" w14:textId="77777777" w:rsidR="006B7941" w:rsidRDefault="006B7941" w:rsidP="00073385">
            <w:pPr>
              <w:spacing w:before="60" w:after="60" w:line="240" w:lineRule="auto"/>
              <w:ind w:left="0"/>
              <w:rPr>
                <w:rFonts w:cs="Arial"/>
                <w:sz w:val="20"/>
                <w:szCs w:val="20"/>
              </w:rPr>
            </w:pPr>
            <w:r>
              <w:rPr>
                <w:rFonts w:cs="Arial"/>
                <w:sz w:val="20"/>
                <w:szCs w:val="20"/>
              </w:rPr>
              <w:t>Committee for Wellington sent a letter to say they are happy with the information provided and would like to be kept informed as the project progresses.</w:t>
            </w:r>
          </w:p>
        </w:tc>
        <w:tc>
          <w:tcPr>
            <w:tcW w:w="3802" w:type="dxa"/>
            <w:shd w:val="clear" w:color="auto" w:fill="auto"/>
          </w:tcPr>
          <w:p w14:paraId="05C79E8A" w14:textId="77777777" w:rsidR="006B7941" w:rsidRDefault="006B7941" w:rsidP="00073385">
            <w:pPr>
              <w:spacing w:before="60" w:after="60" w:line="240" w:lineRule="auto"/>
              <w:ind w:left="0"/>
              <w:rPr>
                <w:rFonts w:cs="Arial"/>
                <w:sz w:val="20"/>
                <w:szCs w:val="20"/>
              </w:rPr>
            </w:pPr>
            <w:r>
              <w:rPr>
                <w:rFonts w:cs="Arial"/>
                <w:sz w:val="20"/>
                <w:szCs w:val="20"/>
              </w:rPr>
              <w:t>CarbonNet thanked Committee for Wellington for their letter and advised we will keep them up to date on the project as we progress.</w:t>
            </w:r>
          </w:p>
          <w:p w14:paraId="33709B59" w14:textId="77777777" w:rsidR="006B7941" w:rsidRDefault="006B7941" w:rsidP="00073385">
            <w:pPr>
              <w:spacing w:before="60" w:after="60" w:line="240" w:lineRule="auto"/>
              <w:ind w:left="0"/>
              <w:rPr>
                <w:rFonts w:cs="Arial"/>
                <w:sz w:val="20"/>
                <w:szCs w:val="20"/>
              </w:rPr>
            </w:pPr>
            <w:r>
              <w:rPr>
                <w:rFonts w:cs="Arial"/>
                <w:sz w:val="20"/>
                <w:szCs w:val="20"/>
              </w:rPr>
              <w:t>No concerns raised regarding the MSS.</w:t>
            </w:r>
          </w:p>
        </w:tc>
      </w:tr>
      <w:tr w:rsidR="006B7941" w:rsidRPr="00FF0808" w14:paraId="714CF15D" w14:textId="77777777" w:rsidTr="0024586D">
        <w:tc>
          <w:tcPr>
            <w:tcW w:w="1427" w:type="dxa"/>
            <w:tcBorders>
              <w:top w:val="nil"/>
            </w:tcBorders>
            <w:shd w:val="clear" w:color="auto" w:fill="auto"/>
          </w:tcPr>
          <w:p w14:paraId="59C06653" w14:textId="77777777" w:rsidR="006B7941" w:rsidRDefault="006B7941" w:rsidP="00073385">
            <w:pPr>
              <w:spacing w:before="60" w:after="60" w:line="240" w:lineRule="auto"/>
              <w:ind w:left="0"/>
              <w:rPr>
                <w:rFonts w:cs="Arial"/>
                <w:sz w:val="20"/>
                <w:szCs w:val="20"/>
              </w:rPr>
            </w:pPr>
          </w:p>
        </w:tc>
        <w:tc>
          <w:tcPr>
            <w:tcW w:w="1629" w:type="dxa"/>
            <w:tcBorders>
              <w:top w:val="nil"/>
            </w:tcBorders>
            <w:shd w:val="clear" w:color="auto" w:fill="auto"/>
          </w:tcPr>
          <w:p w14:paraId="452255D2" w14:textId="77777777" w:rsidR="006B7941" w:rsidRPr="00FF0808" w:rsidRDefault="006B7941" w:rsidP="00073385">
            <w:pPr>
              <w:spacing w:before="60" w:after="60" w:line="240" w:lineRule="auto"/>
              <w:ind w:left="0"/>
              <w:rPr>
                <w:rFonts w:cs="Arial"/>
                <w:sz w:val="20"/>
                <w:szCs w:val="20"/>
              </w:rPr>
            </w:pPr>
          </w:p>
        </w:tc>
        <w:tc>
          <w:tcPr>
            <w:tcW w:w="1055" w:type="dxa"/>
          </w:tcPr>
          <w:p w14:paraId="514320B2" w14:textId="1BF24D95" w:rsidR="006B7941" w:rsidRDefault="006B7941"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174A2A7A" w14:textId="39970A6C" w:rsidR="006B7941" w:rsidRDefault="006B7941" w:rsidP="00073385">
            <w:pPr>
              <w:spacing w:before="60" w:after="60" w:line="240" w:lineRule="auto"/>
              <w:ind w:left="0"/>
              <w:rPr>
                <w:rFonts w:cs="Arial"/>
                <w:sz w:val="20"/>
                <w:szCs w:val="20"/>
              </w:rPr>
            </w:pPr>
            <w:r>
              <w:rPr>
                <w:rFonts w:cs="Arial"/>
                <w:sz w:val="20"/>
                <w:szCs w:val="20"/>
              </w:rPr>
              <w:t xml:space="preserve">CarbonNet emailed stakeholders to advise the EP was submitted on </w:t>
            </w:r>
            <w:r>
              <w:rPr>
                <w:rFonts w:cs="Arial"/>
                <w:sz w:val="20"/>
                <w:szCs w:val="20"/>
              </w:rPr>
              <w:lastRenderedPageBreak/>
              <w:t>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134C4DAF" w14:textId="72779B09" w:rsidR="006B7941" w:rsidRDefault="006B7941" w:rsidP="00073385">
            <w:pPr>
              <w:spacing w:before="60" w:after="60" w:line="240" w:lineRule="auto"/>
              <w:ind w:left="0"/>
              <w:rPr>
                <w:rFonts w:cs="Arial"/>
                <w:sz w:val="20"/>
                <w:szCs w:val="20"/>
              </w:rPr>
            </w:pPr>
            <w:r>
              <w:rPr>
                <w:rFonts w:cs="Arial"/>
                <w:sz w:val="20"/>
                <w:szCs w:val="20"/>
              </w:rPr>
              <w:lastRenderedPageBreak/>
              <w:t>N/A</w:t>
            </w:r>
          </w:p>
        </w:tc>
      </w:tr>
      <w:tr w:rsidR="006B7941" w:rsidRPr="00FF0808" w14:paraId="1945988E" w14:textId="77777777" w:rsidTr="00891DE1">
        <w:tc>
          <w:tcPr>
            <w:tcW w:w="1427" w:type="dxa"/>
            <w:tcBorders>
              <w:bottom w:val="nil"/>
            </w:tcBorders>
            <w:shd w:val="clear" w:color="auto" w:fill="auto"/>
          </w:tcPr>
          <w:p w14:paraId="010B529C" w14:textId="77777777" w:rsidR="006B7941" w:rsidRDefault="006B7941" w:rsidP="00073385">
            <w:pPr>
              <w:spacing w:before="60" w:after="60" w:line="240" w:lineRule="auto"/>
              <w:ind w:left="0"/>
              <w:rPr>
                <w:rFonts w:cs="Arial"/>
                <w:sz w:val="20"/>
                <w:szCs w:val="20"/>
              </w:rPr>
            </w:pPr>
            <w:r w:rsidRPr="009F367E">
              <w:rPr>
                <w:rFonts w:cs="Arial"/>
                <w:sz w:val="20"/>
                <w:szCs w:val="20"/>
              </w:rPr>
              <w:t>Victorian National Parks Association</w:t>
            </w:r>
          </w:p>
        </w:tc>
        <w:tc>
          <w:tcPr>
            <w:tcW w:w="1629" w:type="dxa"/>
            <w:tcBorders>
              <w:bottom w:val="nil"/>
            </w:tcBorders>
            <w:shd w:val="clear" w:color="auto" w:fill="auto"/>
          </w:tcPr>
          <w:p w14:paraId="2A6CDB74" w14:textId="77777777" w:rsidR="006B7941" w:rsidRPr="00FF0808" w:rsidRDefault="006B7941" w:rsidP="00073385">
            <w:pPr>
              <w:spacing w:before="60" w:after="60" w:line="240" w:lineRule="auto"/>
              <w:ind w:left="0"/>
              <w:rPr>
                <w:rFonts w:cs="Arial"/>
                <w:sz w:val="20"/>
                <w:szCs w:val="20"/>
              </w:rPr>
            </w:pPr>
            <w:r>
              <w:rPr>
                <w:rFonts w:cs="Arial"/>
                <w:sz w:val="20"/>
                <w:szCs w:val="20"/>
              </w:rPr>
              <w:t>Interest in protection of national parks in Victoria</w:t>
            </w:r>
          </w:p>
        </w:tc>
        <w:tc>
          <w:tcPr>
            <w:tcW w:w="1055" w:type="dxa"/>
          </w:tcPr>
          <w:p w14:paraId="2D2BC522" w14:textId="77777777" w:rsidR="006B7941" w:rsidRDefault="006B7941" w:rsidP="00073385">
            <w:pPr>
              <w:spacing w:before="60" w:after="60" w:line="240" w:lineRule="auto"/>
              <w:ind w:left="0"/>
              <w:rPr>
                <w:rFonts w:cs="Arial"/>
                <w:sz w:val="20"/>
                <w:szCs w:val="20"/>
              </w:rPr>
            </w:pPr>
            <w:r>
              <w:rPr>
                <w:rFonts w:cs="Arial"/>
                <w:sz w:val="20"/>
                <w:szCs w:val="20"/>
              </w:rPr>
              <w:t>21/3/17</w:t>
            </w:r>
          </w:p>
        </w:tc>
        <w:tc>
          <w:tcPr>
            <w:tcW w:w="6335" w:type="dxa"/>
            <w:shd w:val="clear" w:color="auto" w:fill="auto"/>
          </w:tcPr>
          <w:p w14:paraId="0336617A" w14:textId="77777777" w:rsidR="006B7941" w:rsidRDefault="006B7941" w:rsidP="00073385">
            <w:pPr>
              <w:spacing w:before="60" w:after="60" w:line="240" w:lineRule="auto"/>
              <w:ind w:left="0"/>
              <w:rPr>
                <w:rFonts w:cs="Arial"/>
                <w:sz w:val="20"/>
                <w:szCs w:val="20"/>
              </w:rPr>
            </w:pPr>
            <w:r>
              <w:rPr>
                <w:rFonts w:cs="Arial"/>
                <w:sz w:val="20"/>
                <w:szCs w:val="20"/>
              </w:rPr>
              <w:t xml:space="preserve">CarbonNet contacted </w:t>
            </w:r>
            <w:r w:rsidRPr="009F367E">
              <w:rPr>
                <w:rFonts w:cs="Arial"/>
                <w:sz w:val="20"/>
                <w:szCs w:val="20"/>
              </w:rPr>
              <w:t>Victorian National Parks Association</w:t>
            </w:r>
            <w:r>
              <w:rPr>
                <w:rFonts w:cs="Arial"/>
                <w:sz w:val="20"/>
                <w:szCs w:val="20"/>
              </w:rPr>
              <w:t xml:space="preserve"> via email and post with a letter that invited feedback and provided a fact sheet.</w:t>
            </w:r>
          </w:p>
        </w:tc>
        <w:tc>
          <w:tcPr>
            <w:tcW w:w="3802" w:type="dxa"/>
            <w:shd w:val="clear" w:color="auto" w:fill="auto"/>
          </w:tcPr>
          <w:p w14:paraId="58463AAB" w14:textId="007910F2" w:rsidR="006B7941" w:rsidRDefault="006B7941" w:rsidP="00073385">
            <w:pPr>
              <w:spacing w:before="60" w:after="60" w:line="240" w:lineRule="auto"/>
              <w:ind w:left="0"/>
              <w:rPr>
                <w:rFonts w:cs="Arial"/>
                <w:sz w:val="20"/>
                <w:szCs w:val="20"/>
              </w:rPr>
            </w:pPr>
            <w:r>
              <w:rPr>
                <w:rFonts w:cs="Arial"/>
                <w:sz w:val="20"/>
                <w:szCs w:val="20"/>
              </w:rPr>
              <w:t>No response received. As CarbonNet’s proposed MSS operational area is not likely to have an impact on any national parks and it has consulted extensively with Parks Victoria, no further consultation is required.</w:t>
            </w:r>
          </w:p>
        </w:tc>
      </w:tr>
      <w:tr w:rsidR="006B7941" w:rsidRPr="00FF0808" w14:paraId="6E2331FF" w14:textId="77777777" w:rsidTr="00891DE1">
        <w:tc>
          <w:tcPr>
            <w:tcW w:w="1427" w:type="dxa"/>
            <w:tcBorders>
              <w:top w:val="nil"/>
            </w:tcBorders>
            <w:shd w:val="clear" w:color="auto" w:fill="auto"/>
          </w:tcPr>
          <w:p w14:paraId="3954DC40" w14:textId="77777777" w:rsidR="006B7941" w:rsidRPr="009F367E" w:rsidRDefault="006B7941" w:rsidP="00073385">
            <w:pPr>
              <w:spacing w:before="60" w:after="60" w:line="240" w:lineRule="auto"/>
              <w:ind w:left="0"/>
              <w:rPr>
                <w:rFonts w:cs="Arial"/>
                <w:sz w:val="20"/>
                <w:szCs w:val="20"/>
              </w:rPr>
            </w:pPr>
          </w:p>
        </w:tc>
        <w:tc>
          <w:tcPr>
            <w:tcW w:w="1629" w:type="dxa"/>
            <w:tcBorders>
              <w:top w:val="nil"/>
            </w:tcBorders>
            <w:shd w:val="clear" w:color="auto" w:fill="auto"/>
          </w:tcPr>
          <w:p w14:paraId="07925CCB" w14:textId="77777777" w:rsidR="006B7941" w:rsidRDefault="006B7941" w:rsidP="00073385">
            <w:pPr>
              <w:spacing w:before="60" w:after="60" w:line="240" w:lineRule="auto"/>
              <w:ind w:left="0"/>
              <w:rPr>
                <w:rFonts w:cs="Arial"/>
                <w:sz w:val="20"/>
                <w:szCs w:val="20"/>
              </w:rPr>
            </w:pPr>
          </w:p>
        </w:tc>
        <w:tc>
          <w:tcPr>
            <w:tcW w:w="1055" w:type="dxa"/>
          </w:tcPr>
          <w:p w14:paraId="14FE8D8C" w14:textId="2F41DF69" w:rsidR="006B7941" w:rsidRDefault="006B7941" w:rsidP="00073385">
            <w:pPr>
              <w:spacing w:before="60" w:after="60" w:line="240" w:lineRule="auto"/>
              <w:ind w:left="0"/>
              <w:rPr>
                <w:rFonts w:cs="Arial"/>
                <w:sz w:val="20"/>
                <w:szCs w:val="20"/>
              </w:rPr>
            </w:pPr>
            <w:r>
              <w:rPr>
                <w:rFonts w:cs="Arial"/>
                <w:sz w:val="20"/>
                <w:szCs w:val="20"/>
              </w:rPr>
              <w:t>22/8/17</w:t>
            </w:r>
          </w:p>
        </w:tc>
        <w:tc>
          <w:tcPr>
            <w:tcW w:w="6335" w:type="dxa"/>
            <w:shd w:val="clear" w:color="auto" w:fill="auto"/>
          </w:tcPr>
          <w:p w14:paraId="0488F760" w14:textId="0D2498FD" w:rsidR="006B7941" w:rsidRDefault="006B7941" w:rsidP="00073385">
            <w:pPr>
              <w:spacing w:before="60" w:after="60" w:line="240" w:lineRule="auto"/>
              <w:ind w:left="0"/>
              <w:rPr>
                <w:rFonts w:cs="Arial"/>
                <w:sz w:val="20"/>
                <w:szCs w:val="20"/>
              </w:rPr>
            </w:pPr>
            <w:r>
              <w:rPr>
                <w:rFonts w:cs="Arial"/>
                <w:sz w:val="20"/>
                <w:szCs w:val="20"/>
              </w:rPr>
              <w:t>CarbonNet emailed stakeholders to advise the EP was submitted on 18 August. CarbonNet provided links to the NOPSEMA website for stakeholders to subscribe to updates, and committed to provide a revised fact sheet once a survey vessel has been contracted.</w:t>
            </w:r>
          </w:p>
        </w:tc>
        <w:tc>
          <w:tcPr>
            <w:tcW w:w="3802" w:type="dxa"/>
            <w:shd w:val="clear" w:color="auto" w:fill="auto"/>
          </w:tcPr>
          <w:p w14:paraId="1586C43E" w14:textId="500DCD38" w:rsidR="006B7941" w:rsidRDefault="006B7941" w:rsidP="00073385">
            <w:pPr>
              <w:spacing w:before="60" w:after="60" w:line="240" w:lineRule="auto"/>
              <w:ind w:left="0"/>
              <w:rPr>
                <w:rFonts w:cs="Arial"/>
                <w:sz w:val="20"/>
                <w:szCs w:val="20"/>
              </w:rPr>
            </w:pPr>
            <w:r>
              <w:rPr>
                <w:rFonts w:cs="Arial"/>
                <w:sz w:val="20"/>
                <w:szCs w:val="20"/>
              </w:rPr>
              <w:t>N/A</w:t>
            </w:r>
          </w:p>
        </w:tc>
      </w:tr>
    </w:tbl>
    <w:p w14:paraId="1EF82A11" w14:textId="77777777" w:rsidR="001524CC" w:rsidRDefault="001524CC">
      <w:pPr>
        <w:spacing w:line="240" w:lineRule="auto"/>
        <w:ind w:left="0"/>
        <w:rPr>
          <w:rFonts w:ascii="Tahoma" w:hAnsi="Tahoma" w:cs="Tahoma"/>
          <w:bCs/>
          <w:color w:val="22058A"/>
          <w:kern w:val="32"/>
          <w:sz w:val="32"/>
          <w:szCs w:val="32"/>
        </w:rPr>
      </w:pPr>
    </w:p>
    <w:p w14:paraId="3DDC29A6" w14:textId="77777777" w:rsidR="00073385" w:rsidRDefault="00073385">
      <w:pPr>
        <w:spacing w:line="240" w:lineRule="auto"/>
        <w:ind w:left="0"/>
        <w:rPr>
          <w:rFonts w:ascii="Tahoma" w:hAnsi="Tahoma" w:cs="Tahoma"/>
          <w:bCs/>
          <w:color w:val="22058A"/>
          <w:kern w:val="32"/>
          <w:sz w:val="32"/>
          <w:szCs w:val="32"/>
        </w:rPr>
      </w:pPr>
    </w:p>
    <w:p w14:paraId="4236AC08" w14:textId="77777777" w:rsidR="00073385" w:rsidRDefault="00073385">
      <w:pPr>
        <w:spacing w:line="240" w:lineRule="auto"/>
        <w:ind w:left="0"/>
        <w:rPr>
          <w:rFonts w:ascii="Tahoma" w:hAnsi="Tahoma" w:cs="Tahoma"/>
          <w:bCs/>
          <w:color w:val="22058A"/>
          <w:kern w:val="32"/>
          <w:sz w:val="32"/>
          <w:szCs w:val="32"/>
        </w:rPr>
      </w:pPr>
    </w:p>
    <w:p w14:paraId="467289DE" w14:textId="75E9BD5F" w:rsidR="00073385" w:rsidRDefault="00073385">
      <w:pPr>
        <w:spacing w:line="240" w:lineRule="auto"/>
        <w:ind w:left="0"/>
        <w:rPr>
          <w:rFonts w:ascii="Tahoma" w:hAnsi="Tahoma" w:cs="Tahoma"/>
          <w:bCs/>
          <w:color w:val="22058A"/>
          <w:kern w:val="32"/>
          <w:sz w:val="32"/>
          <w:szCs w:val="32"/>
        </w:rPr>
        <w:sectPr w:rsidR="00073385" w:rsidSect="00073385">
          <w:headerReference w:type="even" r:id="rId30"/>
          <w:headerReference w:type="default" r:id="rId31"/>
          <w:footerReference w:type="default" r:id="rId32"/>
          <w:headerReference w:type="first" r:id="rId33"/>
          <w:pgSz w:w="16838" w:h="11906" w:orient="landscape" w:code="9"/>
          <w:pgMar w:top="1418" w:right="1930" w:bottom="1800" w:left="1440" w:header="994" w:footer="706" w:gutter="0"/>
          <w:cols w:space="708"/>
          <w:docGrid w:linePitch="360"/>
        </w:sectPr>
      </w:pPr>
    </w:p>
    <w:p w14:paraId="31728433" w14:textId="55A19EDE" w:rsidR="000A1581" w:rsidRPr="00D558AB" w:rsidRDefault="0009403B" w:rsidP="00D558AB">
      <w:pPr>
        <w:pStyle w:val="Heading1"/>
        <w:keepLines/>
        <w:numPr>
          <w:ilvl w:val="0"/>
          <w:numId w:val="1"/>
        </w:numPr>
        <w:tabs>
          <w:tab w:val="clear" w:pos="360"/>
        </w:tabs>
        <w:spacing w:before="520" w:after="480" w:line="240" w:lineRule="auto"/>
        <w:rPr>
          <w:rFonts w:cs="Times New Roman"/>
          <w:b/>
          <w:color w:val="064EA8"/>
          <w:kern w:val="0"/>
          <w:sz w:val="36"/>
          <w:lang w:eastAsia="en-US"/>
        </w:rPr>
      </w:pPr>
      <w:bookmarkStart w:id="138" w:name="_Ref475522036"/>
      <w:bookmarkStart w:id="139" w:name="_Toc375214534"/>
      <w:r w:rsidRPr="00D558AB">
        <w:rPr>
          <w:rFonts w:cs="Times New Roman"/>
          <w:b/>
          <w:color w:val="064EA8"/>
          <w:kern w:val="0"/>
          <w:sz w:val="36"/>
          <w:lang w:eastAsia="en-US"/>
        </w:rPr>
        <w:lastRenderedPageBreak/>
        <w:t xml:space="preserve">Description of </w:t>
      </w:r>
      <w:r w:rsidR="00AE2EA2">
        <w:rPr>
          <w:rFonts w:cs="Times New Roman"/>
          <w:b/>
          <w:color w:val="064EA8"/>
          <w:kern w:val="0"/>
          <w:sz w:val="36"/>
          <w:lang w:eastAsia="en-US"/>
        </w:rPr>
        <w:t xml:space="preserve">the </w:t>
      </w:r>
      <w:r w:rsidRPr="00D558AB">
        <w:rPr>
          <w:rFonts w:cs="Times New Roman"/>
          <w:b/>
          <w:color w:val="064EA8"/>
          <w:kern w:val="0"/>
          <w:sz w:val="36"/>
          <w:lang w:eastAsia="en-US"/>
        </w:rPr>
        <w:t xml:space="preserve">Existing </w:t>
      </w:r>
      <w:r w:rsidR="000A1581" w:rsidRPr="00D558AB">
        <w:rPr>
          <w:rFonts w:cs="Times New Roman"/>
          <w:b/>
          <w:color w:val="064EA8"/>
          <w:kern w:val="0"/>
          <w:sz w:val="36"/>
          <w:lang w:eastAsia="en-US"/>
        </w:rPr>
        <w:t>Environment</w:t>
      </w:r>
      <w:bookmarkEnd w:id="138"/>
      <w:bookmarkEnd w:id="139"/>
    </w:p>
    <w:p w14:paraId="114670F2" w14:textId="6E9E4B0B" w:rsidR="00DF19FA" w:rsidRPr="0032590F" w:rsidRDefault="00444E69" w:rsidP="00444E69">
      <w:pPr>
        <w:pStyle w:val="bodycopy"/>
        <w:rPr>
          <w:rFonts w:ascii="Arial" w:hAnsi="Arial"/>
          <w:sz w:val="22"/>
          <w:szCs w:val="22"/>
        </w:rPr>
      </w:pPr>
      <w:r>
        <w:rPr>
          <w:rFonts w:ascii="Arial" w:hAnsi="Arial"/>
          <w:sz w:val="22"/>
          <w:szCs w:val="22"/>
        </w:rPr>
        <w:t>T</w:t>
      </w:r>
      <w:r w:rsidR="00DF19FA" w:rsidRPr="0032590F">
        <w:rPr>
          <w:rFonts w:ascii="Arial" w:hAnsi="Arial"/>
          <w:sz w:val="22"/>
          <w:szCs w:val="22"/>
        </w:rPr>
        <w:t xml:space="preserve">he ‘environment that may be affected’ (EMBA) by the activity is described in this </w:t>
      </w:r>
      <w:r>
        <w:rPr>
          <w:rFonts w:ascii="Arial" w:hAnsi="Arial"/>
          <w:sz w:val="22"/>
          <w:szCs w:val="22"/>
        </w:rPr>
        <w:t>chapter</w:t>
      </w:r>
      <w:r w:rsidR="00DF19FA" w:rsidRPr="0032590F">
        <w:rPr>
          <w:rFonts w:ascii="Arial" w:hAnsi="Arial"/>
          <w:sz w:val="22"/>
          <w:szCs w:val="22"/>
        </w:rPr>
        <w:t xml:space="preserve">, together with its values and sensitivities. </w:t>
      </w:r>
      <w:r w:rsidR="00A73E32">
        <w:rPr>
          <w:rFonts w:ascii="Arial" w:hAnsi="Arial"/>
          <w:sz w:val="22"/>
          <w:szCs w:val="22"/>
        </w:rPr>
        <w:t xml:space="preserve">While each project hazard has its own unique EMBA, the largest one has been chosen for this chapter, which is that for the diesel spill hazard. </w:t>
      </w:r>
    </w:p>
    <w:p w14:paraId="2CD8BB94" w14:textId="4CFE76BD" w:rsidR="00DF19FA" w:rsidRPr="0032590F" w:rsidRDefault="00A73E32" w:rsidP="00DF19FA">
      <w:pPr>
        <w:pStyle w:val="bodycopy"/>
        <w:rPr>
          <w:rFonts w:ascii="Arial" w:hAnsi="Arial"/>
          <w:sz w:val="22"/>
          <w:szCs w:val="22"/>
        </w:rPr>
      </w:pPr>
      <w:r>
        <w:rPr>
          <w:rFonts w:ascii="Arial" w:hAnsi="Arial"/>
          <w:sz w:val="22"/>
          <w:szCs w:val="22"/>
        </w:rPr>
        <w:t>This</w:t>
      </w:r>
      <w:r w:rsidR="00DF19FA" w:rsidRPr="0032590F">
        <w:rPr>
          <w:rFonts w:ascii="Arial" w:hAnsi="Arial"/>
          <w:sz w:val="22"/>
          <w:szCs w:val="22"/>
        </w:rPr>
        <w:t xml:space="preserve"> </w:t>
      </w:r>
      <w:r w:rsidR="00FC40F6">
        <w:rPr>
          <w:rFonts w:ascii="Arial" w:hAnsi="Arial"/>
          <w:sz w:val="22"/>
          <w:szCs w:val="22"/>
        </w:rPr>
        <w:t xml:space="preserve">diesel spill </w:t>
      </w:r>
      <w:r w:rsidR="00DF19FA" w:rsidRPr="0032590F">
        <w:rPr>
          <w:rFonts w:ascii="Arial" w:hAnsi="Arial"/>
          <w:sz w:val="22"/>
          <w:szCs w:val="22"/>
        </w:rPr>
        <w:t xml:space="preserve">EMBA has been established through hydrocarbon spill modelling and is based upon the area that could be affected by the largest credible spill from the survey vessel (see </w:t>
      </w:r>
      <w:r w:rsidR="00DF19FA" w:rsidRPr="00FC40F6">
        <w:rPr>
          <w:rFonts w:ascii="Arial" w:hAnsi="Arial"/>
          <w:sz w:val="22"/>
          <w:szCs w:val="22"/>
        </w:rPr>
        <w:t xml:space="preserve">Section </w:t>
      </w:r>
      <w:r w:rsidR="007828CD">
        <w:rPr>
          <w:rFonts w:ascii="Arial" w:hAnsi="Arial"/>
          <w:sz w:val="22"/>
          <w:szCs w:val="22"/>
        </w:rPr>
        <w:t>7.16</w:t>
      </w:r>
      <w:r w:rsidR="00DF19FA" w:rsidRPr="0032590F">
        <w:rPr>
          <w:rFonts w:ascii="Arial" w:hAnsi="Arial"/>
          <w:sz w:val="22"/>
          <w:szCs w:val="22"/>
        </w:rPr>
        <w:t xml:space="preserve"> for spill scenario and modelling results). The EMBA </w:t>
      </w:r>
      <w:r w:rsidR="00EF70A5" w:rsidRPr="007828CD">
        <w:rPr>
          <w:rFonts w:ascii="Arial" w:hAnsi="Arial"/>
          <w:sz w:val="22"/>
          <w:szCs w:val="22"/>
        </w:rPr>
        <w:t xml:space="preserve">(Figure 5.1) </w:t>
      </w:r>
      <w:r w:rsidR="00DF19FA" w:rsidRPr="007828CD">
        <w:rPr>
          <w:rFonts w:ascii="Arial" w:hAnsi="Arial"/>
          <w:sz w:val="22"/>
          <w:szCs w:val="22"/>
        </w:rPr>
        <w:t>is</w:t>
      </w:r>
      <w:r w:rsidR="00DF19FA" w:rsidRPr="0032590F">
        <w:rPr>
          <w:rFonts w:ascii="Arial" w:hAnsi="Arial"/>
          <w:sz w:val="22"/>
          <w:szCs w:val="22"/>
        </w:rPr>
        <w:t xml:space="preserve"> therefore defined as:</w:t>
      </w:r>
    </w:p>
    <w:p w14:paraId="11A0F363" w14:textId="120F23C1" w:rsidR="00DF19FA" w:rsidRDefault="00DF19FA" w:rsidP="00A73E32">
      <w:pPr>
        <w:pStyle w:val="bodycopy"/>
        <w:spacing w:after="240"/>
        <w:ind w:left="567" w:right="651"/>
        <w:rPr>
          <w:rFonts w:ascii="Arial" w:hAnsi="Arial"/>
          <w:i/>
          <w:sz w:val="22"/>
          <w:szCs w:val="22"/>
        </w:rPr>
      </w:pPr>
      <w:r w:rsidRPr="0032590F">
        <w:rPr>
          <w:rFonts w:ascii="Arial" w:hAnsi="Arial"/>
          <w:i/>
          <w:sz w:val="22"/>
          <w:szCs w:val="22"/>
        </w:rPr>
        <w:t xml:space="preserve">The extent of low level hydrocarbon exposure to the sea surface </w:t>
      </w:r>
      <w:r w:rsidR="00A73E32">
        <w:rPr>
          <w:rFonts w:ascii="Arial" w:hAnsi="Arial"/>
          <w:i/>
          <w:sz w:val="22"/>
          <w:szCs w:val="22"/>
        </w:rPr>
        <w:br/>
      </w:r>
      <w:r w:rsidRPr="0032590F">
        <w:rPr>
          <w:rFonts w:ascii="Arial" w:hAnsi="Arial"/>
          <w:i/>
          <w:sz w:val="22"/>
          <w:szCs w:val="22"/>
        </w:rPr>
        <w:t>(1 µm), entrained in the water column (11,760 ppb.hrs Total Petroleum Hydrocarbons (TPH)), dissolved in the water column (576 ppb.hrs), and contact to shorelines (&gt;10-100g/m</w:t>
      </w:r>
      <w:r w:rsidRPr="0032590F">
        <w:rPr>
          <w:rFonts w:ascii="Arial" w:hAnsi="Arial"/>
          <w:i/>
          <w:sz w:val="22"/>
          <w:szCs w:val="22"/>
          <w:vertAlign w:val="superscript"/>
        </w:rPr>
        <w:t>2</w:t>
      </w:r>
      <w:r w:rsidRPr="0032590F">
        <w:rPr>
          <w:rFonts w:ascii="Arial" w:hAnsi="Arial"/>
          <w:i/>
          <w:sz w:val="22"/>
          <w:szCs w:val="22"/>
        </w:rPr>
        <w:t>) as a result of the loss of 306 m</w:t>
      </w:r>
      <w:r w:rsidRPr="0032590F">
        <w:rPr>
          <w:rFonts w:ascii="Arial" w:hAnsi="Arial"/>
          <w:i/>
          <w:sz w:val="22"/>
          <w:szCs w:val="22"/>
          <w:vertAlign w:val="superscript"/>
        </w:rPr>
        <w:t>3</w:t>
      </w:r>
      <w:r w:rsidRPr="0032590F">
        <w:rPr>
          <w:rFonts w:ascii="Arial" w:hAnsi="Arial"/>
          <w:i/>
          <w:sz w:val="22"/>
          <w:szCs w:val="22"/>
        </w:rPr>
        <w:t xml:space="preserve"> of marine diesel </w:t>
      </w:r>
      <w:r w:rsidR="00FC40F6">
        <w:rPr>
          <w:rFonts w:ascii="Arial" w:hAnsi="Arial"/>
          <w:i/>
          <w:sz w:val="22"/>
          <w:szCs w:val="22"/>
        </w:rPr>
        <w:t xml:space="preserve">oil </w:t>
      </w:r>
      <w:r w:rsidRPr="0032590F">
        <w:rPr>
          <w:rFonts w:ascii="Arial" w:hAnsi="Arial"/>
          <w:i/>
          <w:sz w:val="22"/>
          <w:szCs w:val="22"/>
        </w:rPr>
        <w:t xml:space="preserve">from a vessel within the proposed survey acquisition area during annualised metocean conditions. </w:t>
      </w:r>
    </w:p>
    <w:p w14:paraId="6AE0FEFB" w14:textId="05CDBA2A" w:rsidR="00A73E32" w:rsidRPr="0032590F" w:rsidRDefault="00A73E32" w:rsidP="00A73E32">
      <w:pPr>
        <w:pStyle w:val="bodycopy"/>
        <w:rPr>
          <w:rFonts w:ascii="Arial" w:hAnsi="Arial"/>
          <w:sz w:val="22"/>
          <w:szCs w:val="22"/>
        </w:rPr>
      </w:pPr>
      <w:r w:rsidRPr="0032590F">
        <w:rPr>
          <w:rFonts w:ascii="Arial" w:hAnsi="Arial"/>
          <w:sz w:val="22"/>
          <w:szCs w:val="22"/>
        </w:rPr>
        <w:t>Where appropriate, descriptions of the regional environment are provided for context.</w:t>
      </w:r>
      <w:r>
        <w:rPr>
          <w:rFonts w:ascii="Arial" w:hAnsi="Arial"/>
          <w:sz w:val="22"/>
          <w:szCs w:val="22"/>
        </w:rPr>
        <w:t xml:space="preserve"> </w:t>
      </w:r>
      <w:r w:rsidRPr="0032590F">
        <w:rPr>
          <w:rFonts w:ascii="Arial" w:hAnsi="Arial"/>
          <w:sz w:val="22"/>
          <w:szCs w:val="22"/>
        </w:rPr>
        <w:t>The ‘environment’ is defined in both sets of regulations as:</w:t>
      </w:r>
    </w:p>
    <w:p w14:paraId="54A2E509" w14:textId="77777777" w:rsidR="00A73E32" w:rsidRPr="0032590F" w:rsidRDefault="00A73E32" w:rsidP="00A73E32">
      <w:pPr>
        <w:pStyle w:val="bodycopy"/>
        <w:numPr>
          <w:ilvl w:val="0"/>
          <w:numId w:val="80"/>
        </w:numPr>
        <w:rPr>
          <w:rFonts w:ascii="Arial" w:hAnsi="Arial"/>
          <w:sz w:val="22"/>
          <w:szCs w:val="22"/>
        </w:rPr>
      </w:pPr>
      <w:r w:rsidRPr="0032590F">
        <w:rPr>
          <w:rFonts w:ascii="Arial" w:hAnsi="Arial"/>
          <w:sz w:val="22"/>
          <w:szCs w:val="22"/>
        </w:rPr>
        <w:t>Ecosystems and their constituent parts, including people and communities;</w:t>
      </w:r>
    </w:p>
    <w:p w14:paraId="08395BDF" w14:textId="77777777" w:rsidR="00A73E32" w:rsidRPr="0032590F" w:rsidRDefault="00A73E32" w:rsidP="00A73E32">
      <w:pPr>
        <w:pStyle w:val="bodycopy"/>
        <w:numPr>
          <w:ilvl w:val="0"/>
          <w:numId w:val="80"/>
        </w:numPr>
        <w:rPr>
          <w:rFonts w:ascii="Arial" w:hAnsi="Arial"/>
          <w:sz w:val="22"/>
          <w:szCs w:val="22"/>
        </w:rPr>
      </w:pPr>
      <w:r w:rsidRPr="0032590F">
        <w:rPr>
          <w:rFonts w:ascii="Arial" w:hAnsi="Arial"/>
          <w:sz w:val="22"/>
          <w:szCs w:val="22"/>
        </w:rPr>
        <w:t>Natural and physical resources;</w:t>
      </w:r>
    </w:p>
    <w:p w14:paraId="1B862612" w14:textId="77777777" w:rsidR="00A73E32" w:rsidRPr="0032590F" w:rsidRDefault="00A73E32" w:rsidP="00A73E32">
      <w:pPr>
        <w:pStyle w:val="bodycopy"/>
        <w:numPr>
          <w:ilvl w:val="0"/>
          <w:numId w:val="80"/>
        </w:numPr>
        <w:rPr>
          <w:rFonts w:ascii="Arial" w:hAnsi="Arial"/>
          <w:sz w:val="22"/>
          <w:szCs w:val="22"/>
        </w:rPr>
      </w:pPr>
      <w:r w:rsidRPr="0032590F">
        <w:rPr>
          <w:rFonts w:ascii="Arial" w:hAnsi="Arial"/>
          <w:sz w:val="22"/>
          <w:szCs w:val="22"/>
        </w:rPr>
        <w:t>The qualities and characteristics of locations, places and areas;</w:t>
      </w:r>
    </w:p>
    <w:p w14:paraId="046F52E4" w14:textId="77777777" w:rsidR="00A73E32" w:rsidRPr="0032590F" w:rsidRDefault="00A73E32" w:rsidP="00A73E32">
      <w:pPr>
        <w:pStyle w:val="bodycopy"/>
        <w:numPr>
          <w:ilvl w:val="0"/>
          <w:numId w:val="80"/>
        </w:numPr>
        <w:rPr>
          <w:rFonts w:ascii="Arial" w:hAnsi="Arial"/>
          <w:sz w:val="22"/>
          <w:szCs w:val="22"/>
        </w:rPr>
      </w:pPr>
      <w:r w:rsidRPr="0032590F">
        <w:rPr>
          <w:rFonts w:ascii="Arial" w:hAnsi="Arial"/>
          <w:sz w:val="22"/>
          <w:szCs w:val="22"/>
        </w:rPr>
        <w:t>The heritage value of places; and</w:t>
      </w:r>
    </w:p>
    <w:p w14:paraId="3DCB99D8" w14:textId="77777777" w:rsidR="00A73E32" w:rsidRPr="0032590F" w:rsidRDefault="00A73E32" w:rsidP="00A73E32">
      <w:pPr>
        <w:pStyle w:val="bodycopy"/>
        <w:numPr>
          <w:ilvl w:val="0"/>
          <w:numId w:val="80"/>
        </w:numPr>
        <w:spacing w:after="240"/>
        <w:rPr>
          <w:rFonts w:ascii="Arial" w:hAnsi="Arial"/>
          <w:sz w:val="22"/>
          <w:szCs w:val="22"/>
        </w:rPr>
      </w:pPr>
      <w:r w:rsidRPr="0032590F">
        <w:rPr>
          <w:rFonts w:ascii="Arial" w:hAnsi="Arial"/>
          <w:sz w:val="22"/>
          <w:szCs w:val="22"/>
        </w:rPr>
        <w:t>The social, economic and cultural features of these matters.</w:t>
      </w:r>
    </w:p>
    <w:p w14:paraId="5349BAA3" w14:textId="77777777" w:rsidR="00A73E32" w:rsidRPr="0032590F" w:rsidRDefault="00A73E32" w:rsidP="00A73E32">
      <w:pPr>
        <w:pStyle w:val="bodycopy"/>
        <w:rPr>
          <w:rFonts w:ascii="Arial" w:hAnsi="Arial"/>
          <w:sz w:val="22"/>
          <w:szCs w:val="22"/>
        </w:rPr>
      </w:pPr>
      <w:r w:rsidRPr="0032590F">
        <w:rPr>
          <w:rFonts w:ascii="Arial" w:hAnsi="Arial"/>
          <w:sz w:val="22"/>
          <w:szCs w:val="22"/>
        </w:rPr>
        <w:t>The key sources of information utilised in developing this chapter include the:</w:t>
      </w:r>
    </w:p>
    <w:p w14:paraId="4E89EF88" w14:textId="49B1CF52" w:rsidR="00A73E32" w:rsidRPr="0032590F" w:rsidRDefault="00A73E32" w:rsidP="00444E69">
      <w:pPr>
        <w:pStyle w:val="bodycopy"/>
        <w:numPr>
          <w:ilvl w:val="0"/>
          <w:numId w:val="81"/>
        </w:numPr>
        <w:rPr>
          <w:rFonts w:ascii="Arial" w:hAnsi="Arial"/>
          <w:sz w:val="22"/>
          <w:szCs w:val="22"/>
        </w:rPr>
      </w:pPr>
      <w:r w:rsidRPr="0032590F">
        <w:rPr>
          <w:rFonts w:ascii="Arial" w:hAnsi="Arial"/>
          <w:sz w:val="22"/>
          <w:szCs w:val="22"/>
        </w:rPr>
        <w:t>EPBC Act Protected Matters Search Tool (PMST) database (DoEE, 201</w:t>
      </w:r>
      <w:r w:rsidR="00840B30">
        <w:rPr>
          <w:rFonts w:ascii="Arial" w:hAnsi="Arial"/>
          <w:sz w:val="22"/>
          <w:szCs w:val="22"/>
        </w:rPr>
        <w:t>6</w:t>
      </w:r>
      <w:r w:rsidRPr="0032590F">
        <w:rPr>
          <w:rFonts w:ascii="Arial" w:hAnsi="Arial"/>
          <w:sz w:val="22"/>
          <w:szCs w:val="22"/>
        </w:rPr>
        <w:t>);</w:t>
      </w:r>
    </w:p>
    <w:p w14:paraId="1CB718F6" w14:textId="407740B7" w:rsidR="00A73E32" w:rsidRPr="0032590F" w:rsidRDefault="00A73E32" w:rsidP="00444E69">
      <w:pPr>
        <w:pStyle w:val="bodycopy"/>
        <w:numPr>
          <w:ilvl w:val="0"/>
          <w:numId w:val="81"/>
        </w:numPr>
        <w:rPr>
          <w:rFonts w:ascii="Arial" w:hAnsi="Arial"/>
          <w:sz w:val="22"/>
          <w:szCs w:val="22"/>
        </w:rPr>
      </w:pPr>
      <w:r w:rsidRPr="0032590F">
        <w:rPr>
          <w:rFonts w:ascii="Arial" w:hAnsi="Arial"/>
          <w:sz w:val="22"/>
          <w:szCs w:val="22"/>
        </w:rPr>
        <w:t>Victorian Biodiversity Atlas, VBA (DELWP, 2017);</w:t>
      </w:r>
    </w:p>
    <w:p w14:paraId="37456611" w14:textId="5B684CC5" w:rsidR="00A73E32" w:rsidRPr="0032590F" w:rsidRDefault="00A73E32" w:rsidP="00A73E32">
      <w:pPr>
        <w:pStyle w:val="bodycopy"/>
        <w:numPr>
          <w:ilvl w:val="0"/>
          <w:numId w:val="81"/>
        </w:numPr>
        <w:rPr>
          <w:rFonts w:ascii="Arial" w:hAnsi="Arial"/>
          <w:sz w:val="22"/>
          <w:szCs w:val="22"/>
        </w:rPr>
      </w:pPr>
      <w:r w:rsidRPr="0032590F">
        <w:rPr>
          <w:rFonts w:ascii="Arial" w:hAnsi="Arial"/>
          <w:sz w:val="22"/>
          <w:szCs w:val="22"/>
        </w:rPr>
        <w:t>South-east Marine Region Profile (DoE, 2015</w:t>
      </w:r>
      <w:r w:rsidR="00225AD2">
        <w:rPr>
          <w:rFonts w:ascii="Arial" w:hAnsi="Arial"/>
          <w:sz w:val="22"/>
          <w:szCs w:val="22"/>
        </w:rPr>
        <w:t>a</w:t>
      </w:r>
      <w:r w:rsidRPr="0032590F">
        <w:rPr>
          <w:rFonts w:ascii="Arial" w:hAnsi="Arial"/>
          <w:sz w:val="22"/>
          <w:szCs w:val="22"/>
        </w:rPr>
        <w:t>);</w:t>
      </w:r>
    </w:p>
    <w:p w14:paraId="7C6965B3" w14:textId="77777777" w:rsidR="00A73E32" w:rsidRPr="0032590F" w:rsidRDefault="00A73E32" w:rsidP="00A73E32">
      <w:pPr>
        <w:pStyle w:val="bodycopy"/>
        <w:numPr>
          <w:ilvl w:val="0"/>
          <w:numId w:val="81"/>
        </w:numPr>
        <w:rPr>
          <w:rFonts w:ascii="Arial" w:hAnsi="Arial"/>
          <w:sz w:val="22"/>
          <w:szCs w:val="22"/>
        </w:rPr>
      </w:pPr>
      <w:r w:rsidRPr="0032590F">
        <w:rPr>
          <w:rFonts w:ascii="Arial" w:hAnsi="Arial"/>
          <w:sz w:val="22"/>
          <w:szCs w:val="22"/>
        </w:rPr>
        <w:t>South-east Bioregional Plan (CoA, 2015);</w:t>
      </w:r>
    </w:p>
    <w:p w14:paraId="726F87D3" w14:textId="2922EFE2" w:rsidR="00A73E32" w:rsidRPr="0032590F" w:rsidRDefault="00A73E32" w:rsidP="00A73E32">
      <w:pPr>
        <w:pStyle w:val="bodycopy"/>
        <w:numPr>
          <w:ilvl w:val="0"/>
          <w:numId w:val="81"/>
        </w:numPr>
        <w:rPr>
          <w:rFonts w:ascii="Arial" w:hAnsi="Arial"/>
          <w:sz w:val="22"/>
          <w:szCs w:val="22"/>
        </w:rPr>
      </w:pPr>
      <w:r w:rsidRPr="0032590F">
        <w:rPr>
          <w:rFonts w:ascii="Arial" w:hAnsi="Arial"/>
          <w:sz w:val="22"/>
          <w:szCs w:val="22"/>
        </w:rPr>
        <w:t>Marine Natural Areas Values Study Vol 2: Marine Protected Areas of the Flinders and Twofold Shelf Bioregions (B</w:t>
      </w:r>
      <w:r w:rsidR="00BE6D0A">
        <w:rPr>
          <w:rFonts w:ascii="Arial" w:hAnsi="Arial"/>
          <w:sz w:val="22"/>
          <w:szCs w:val="22"/>
        </w:rPr>
        <w:t>a</w:t>
      </w:r>
      <w:r w:rsidRPr="0032590F">
        <w:rPr>
          <w:rFonts w:ascii="Arial" w:hAnsi="Arial"/>
          <w:sz w:val="22"/>
          <w:szCs w:val="22"/>
        </w:rPr>
        <w:t xml:space="preserve">rton </w:t>
      </w:r>
      <w:r w:rsidRPr="0032590F">
        <w:rPr>
          <w:rFonts w:ascii="Arial" w:hAnsi="Arial"/>
          <w:i/>
          <w:sz w:val="22"/>
          <w:szCs w:val="22"/>
        </w:rPr>
        <w:t>et al</w:t>
      </w:r>
      <w:r w:rsidRPr="0032590F">
        <w:rPr>
          <w:rFonts w:ascii="Arial" w:hAnsi="Arial"/>
          <w:sz w:val="22"/>
          <w:szCs w:val="22"/>
        </w:rPr>
        <w:t>., 2012);</w:t>
      </w:r>
    </w:p>
    <w:p w14:paraId="3BBA96F9" w14:textId="7DDCF88F" w:rsidR="00A73E32" w:rsidRPr="0032590F" w:rsidRDefault="00A73E32" w:rsidP="00A73E32">
      <w:pPr>
        <w:pStyle w:val="bodycopy"/>
        <w:numPr>
          <w:ilvl w:val="0"/>
          <w:numId w:val="81"/>
        </w:numPr>
        <w:rPr>
          <w:rFonts w:ascii="Arial" w:hAnsi="Arial"/>
          <w:sz w:val="22"/>
          <w:szCs w:val="22"/>
        </w:rPr>
      </w:pPr>
      <w:r w:rsidRPr="0032590F">
        <w:rPr>
          <w:rFonts w:ascii="Arial" w:hAnsi="Arial"/>
          <w:sz w:val="22"/>
          <w:szCs w:val="22"/>
        </w:rPr>
        <w:t>National Conservation Values Atlas (DoEE, 2017</w:t>
      </w:r>
      <w:r w:rsidR="007A1AB2">
        <w:rPr>
          <w:rFonts w:ascii="Arial" w:hAnsi="Arial"/>
          <w:sz w:val="22"/>
          <w:szCs w:val="22"/>
        </w:rPr>
        <w:t>a</w:t>
      </w:r>
      <w:r w:rsidRPr="0032590F">
        <w:rPr>
          <w:rFonts w:ascii="Arial" w:hAnsi="Arial"/>
          <w:sz w:val="22"/>
          <w:szCs w:val="22"/>
        </w:rPr>
        <w:t>);</w:t>
      </w:r>
    </w:p>
    <w:p w14:paraId="003EA8E6" w14:textId="4E3052EF" w:rsidR="00A73E32" w:rsidRPr="0032590F" w:rsidRDefault="00A73E32" w:rsidP="00A73E32">
      <w:pPr>
        <w:pStyle w:val="bodycopy"/>
        <w:numPr>
          <w:ilvl w:val="0"/>
          <w:numId w:val="81"/>
        </w:numPr>
        <w:rPr>
          <w:rFonts w:ascii="Arial" w:hAnsi="Arial"/>
          <w:sz w:val="22"/>
          <w:szCs w:val="22"/>
        </w:rPr>
      </w:pPr>
      <w:r w:rsidRPr="0032590F">
        <w:rPr>
          <w:rFonts w:ascii="Arial" w:hAnsi="Arial"/>
          <w:sz w:val="22"/>
          <w:szCs w:val="22"/>
        </w:rPr>
        <w:t>Victorian Oil Spill Response Atlas (OSRA) (D</w:t>
      </w:r>
      <w:r w:rsidR="00AA74CF">
        <w:rPr>
          <w:rFonts w:ascii="Arial" w:hAnsi="Arial"/>
          <w:sz w:val="22"/>
          <w:szCs w:val="22"/>
        </w:rPr>
        <w:t>EDJTR</w:t>
      </w:r>
      <w:r w:rsidRPr="0032590F">
        <w:rPr>
          <w:rFonts w:ascii="Arial" w:hAnsi="Arial"/>
          <w:sz w:val="22"/>
          <w:szCs w:val="22"/>
        </w:rPr>
        <w:t>, 201</w:t>
      </w:r>
      <w:r w:rsidR="00AA74CF">
        <w:rPr>
          <w:rFonts w:ascii="Arial" w:hAnsi="Arial"/>
          <w:sz w:val="22"/>
          <w:szCs w:val="22"/>
        </w:rPr>
        <w:t>7a</w:t>
      </w:r>
      <w:r w:rsidRPr="0032590F">
        <w:rPr>
          <w:rFonts w:ascii="Arial" w:hAnsi="Arial"/>
          <w:sz w:val="22"/>
          <w:szCs w:val="22"/>
        </w:rPr>
        <w:t>);</w:t>
      </w:r>
      <w:r>
        <w:rPr>
          <w:rFonts w:ascii="Arial" w:hAnsi="Arial"/>
          <w:sz w:val="22"/>
          <w:szCs w:val="22"/>
        </w:rPr>
        <w:t xml:space="preserve"> and</w:t>
      </w:r>
    </w:p>
    <w:p w14:paraId="7EE23C3E" w14:textId="0C501525" w:rsidR="00A73E32" w:rsidRPr="0032590F" w:rsidRDefault="00A73E32" w:rsidP="00A73E32">
      <w:pPr>
        <w:pStyle w:val="bodycopy"/>
        <w:numPr>
          <w:ilvl w:val="0"/>
          <w:numId w:val="81"/>
        </w:numPr>
        <w:spacing w:after="240"/>
        <w:rPr>
          <w:rFonts w:ascii="Arial" w:hAnsi="Arial"/>
          <w:sz w:val="22"/>
          <w:szCs w:val="22"/>
        </w:rPr>
      </w:pPr>
      <w:r>
        <w:rPr>
          <w:rFonts w:ascii="Arial" w:hAnsi="Arial"/>
          <w:sz w:val="22"/>
          <w:szCs w:val="22"/>
        </w:rPr>
        <w:t xml:space="preserve">Pelican Marine Seismic Survey Habitat Survey </w:t>
      </w:r>
      <w:r w:rsidRPr="0032590F">
        <w:rPr>
          <w:rFonts w:ascii="Arial" w:hAnsi="Arial"/>
          <w:sz w:val="22"/>
          <w:szCs w:val="22"/>
        </w:rPr>
        <w:t>(</w:t>
      </w:r>
      <w:r>
        <w:rPr>
          <w:rFonts w:ascii="Arial" w:hAnsi="Arial"/>
          <w:sz w:val="22"/>
          <w:szCs w:val="22"/>
        </w:rPr>
        <w:t xml:space="preserve">Advisian, 2017). </w:t>
      </w:r>
    </w:p>
    <w:p w14:paraId="5B8716D0" w14:textId="77777777" w:rsidR="00FC40F6" w:rsidRDefault="00FC40F6" w:rsidP="00F42DAD">
      <w:pPr>
        <w:pStyle w:val="bodycopy"/>
        <w:spacing w:after="240"/>
        <w:ind w:left="567" w:right="794"/>
        <w:rPr>
          <w:rFonts w:ascii="Arial" w:hAnsi="Arial"/>
          <w:i/>
          <w:sz w:val="22"/>
          <w:szCs w:val="22"/>
        </w:rPr>
        <w:sectPr w:rsidR="00FC40F6" w:rsidSect="00B4362B">
          <w:headerReference w:type="even" r:id="rId34"/>
          <w:headerReference w:type="default" r:id="rId35"/>
          <w:footerReference w:type="default" r:id="rId36"/>
          <w:headerReference w:type="first" r:id="rId37"/>
          <w:pgSz w:w="11906" w:h="16838" w:code="9"/>
          <w:pgMar w:top="1276" w:right="1800" w:bottom="1440" w:left="1800" w:header="994" w:footer="706" w:gutter="0"/>
          <w:cols w:space="708"/>
          <w:docGrid w:linePitch="360"/>
        </w:sectPr>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519"/>
      </w:tblGrid>
      <w:tr w:rsidR="00DF19FA" w14:paraId="66EAABE8" w14:textId="77777777" w:rsidTr="00FC40F6">
        <w:trPr>
          <w:trHeight w:val="7918"/>
          <w:jc w:val="center"/>
        </w:trPr>
        <w:tc>
          <w:tcPr>
            <w:tcW w:w="11519" w:type="dxa"/>
            <w:shd w:val="clear" w:color="auto" w:fill="auto"/>
          </w:tcPr>
          <w:p w14:paraId="0217D247" w14:textId="0A79F5B0" w:rsidR="00B4362B" w:rsidRDefault="00AD1C4D" w:rsidP="00FC40F6">
            <w:pPr>
              <w:pStyle w:val="bodycopy"/>
              <w:spacing w:after="0"/>
            </w:pPr>
            <w:r>
              <w:lastRenderedPageBreak/>
              <w:pict w14:anchorId="034CC0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4.25pt;height:391.2pt">
                  <v:imagedata r:id="rId38" o:title="05_EP_EMBA_Ecological" croptop="1675f" cropbottom="1899f" cropleft="1351f" cropright="868f"/>
                </v:shape>
              </w:pict>
            </w:r>
          </w:p>
        </w:tc>
      </w:tr>
    </w:tbl>
    <w:p w14:paraId="53D1D360" w14:textId="77777777" w:rsidR="00DF19FA" w:rsidRDefault="00DF19FA" w:rsidP="0032590F">
      <w:pPr>
        <w:pStyle w:val="bodycopy"/>
        <w:spacing w:before="120" w:after="240"/>
        <w:jc w:val="center"/>
        <w:rPr>
          <w:rFonts w:ascii="Arial" w:hAnsi="Arial"/>
          <w:b/>
          <w:sz w:val="20"/>
        </w:rPr>
      </w:pPr>
      <w:r w:rsidRPr="0032590F">
        <w:rPr>
          <w:rFonts w:ascii="Arial" w:hAnsi="Arial"/>
          <w:b/>
          <w:sz w:val="20"/>
        </w:rPr>
        <w:t>Figure 5.1</w:t>
      </w:r>
      <w:r w:rsidRPr="0032590F">
        <w:rPr>
          <w:rFonts w:ascii="Arial" w:hAnsi="Arial"/>
          <w:b/>
          <w:sz w:val="20"/>
        </w:rPr>
        <w:tab/>
      </w:r>
      <w:r w:rsidR="00F42DAD" w:rsidRPr="0032590F">
        <w:rPr>
          <w:rFonts w:ascii="Arial" w:hAnsi="Arial"/>
          <w:b/>
          <w:sz w:val="20"/>
        </w:rPr>
        <w:t xml:space="preserve">The </w:t>
      </w:r>
      <w:r w:rsidRPr="0032590F">
        <w:rPr>
          <w:rFonts w:ascii="Arial" w:hAnsi="Arial"/>
          <w:b/>
          <w:sz w:val="20"/>
        </w:rPr>
        <w:t>EMBA for the proposed Pelican 3DMSS</w:t>
      </w:r>
    </w:p>
    <w:p w14:paraId="14163FD7" w14:textId="77777777" w:rsidR="00FC40F6" w:rsidRDefault="00FC40F6" w:rsidP="0032590F">
      <w:pPr>
        <w:pStyle w:val="bodycopy"/>
        <w:spacing w:before="120" w:after="240"/>
        <w:jc w:val="center"/>
        <w:rPr>
          <w:rFonts w:ascii="Arial" w:hAnsi="Arial"/>
          <w:b/>
          <w:sz w:val="20"/>
        </w:rPr>
        <w:sectPr w:rsidR="00FC40F6" w:rsidSect="00FC40F6">
          <w:headerReference w:type="even" r:id="rId39"/>
          <w:headerReference w:type="default" r:id="rId40"/>
          <w:footerReference w:type="default" r:id="rId41"/>
          <w:headerReference w:type="first" r:id="rId42"/>
          <w:pgSz w:w="16838" w:h="11906" w:orient="landscape" w:code="9"/>
          <w:pgMar w:top="1800" w:right="1276" w:bottom="1800" w:left="1440" w:header="994" w:footer="706" w:gutter="0"/>
          <w:cols w:space="708"/>
          <w:docGrid w:linePitch="360"/>
        </w:sectPr>
      </w:pPr>
    </w:p>
    <w:p w14:paraId="41BCC183" w14:textId="436787FE" w:rsidR="00626C2A" w:rsidRPr="00891DE1" w:rsidRDefault="00626C2A" w:rsidP="00891DE1">
      <w:pPr>
        <w:pStyle w:val="bodycopy"/>
        <w:spacing w:after="240"/>
        <w:rPr>
          <w:sz w:val="22"/>
          <w:szCs w:val="22"/>
        </w:rPr>
      </w:pPr>
      <w:bookmarkStart w:id="140" w:name="_Toc320190750"/>
      <w:bookmarkStart w:id="141" w:name="_Ref475093754"/>
      <w:r>
        <w:rPr>
          <w:rFonts w:ascii="Arial" w:hAnsi="Arial"/>
          <w:sz w:val="22"/>
          <w:szCs w:val="22"/>
        </w:rPr>
        <w:lastRenderedPageBreak/>
        <w:t xml:space="preserve">Table 5.1 summarises the </w:t>
      </w:r>
      <w:r w:rsidR="002B19AD">
        <w:rPr>
          <w:rFonts w:ascii="Arial" w:hAnsi="Arial"/>
          <w:sz w:val="22"/>
          <w:szCs w:val="22"/>
        </w:rPr>
        <w:t xml:space="preserve">presence or absence of </w:t>
      </w:r>
      <w:r>
        <w:rPr>
          <w:rFonts w:ascii="Arial" w:hAnsi="Arial"/>
          <w:sz w:val="22"/>
          <w:szCs w:val="22"/>
        </w:rPr>
        <w:t xml:space="preserve">receptors and sensitivities within the proposed operational area </w:t>
      </w:r>
      <w:r w:rsidR="00375810">
        <w:rPr>
          <w:rFonts w:ascii="Arial" w:hAnsi="Arial"/>
          <w:sz w:val="22"/>
          <w:szCs w:val="22"/>
        </w:rPr>
        <w:t xml:space="preserve">(split between </w:t>
      </w:r>
      <w:r>
        <w:rPr>
          <w:rFonts w:ascii="Arial" w:hAnsi="Arial"/>
          <w:sz w:val="22"/>
          <w:szCs w:val="22"/>
        </w:rPr>
        <w:t>Commonwealth</w:t>
      </w:r>
      <w:r w:rsidR="00375810">
        <w:rPr>
          <w:rFonts w:ascii="Arial" w:hAnsi="Arial"/>
          <w:sz w:val="22"/>
          <w:szCs w:val="22"/>
        </w:rPr>
        <w:t xml:space="preserve"> waters, Victorian </w:t>
      </w:r>
      <w:r>
        <w:rPr>
          <w:rFonts w:ascii="Arial" w:hAnsi="Arial"/>
          <w:sz w:val="22"/>
          <w:szCs w:val="22"/>
        </w:rPr>
        <w:t>State waters</w:t>
      </w:r>
      <w:r w:rsidR="00375810">
        <w:rPr>
          <w:rFonts w:ascii="Arial" w:hAnsi="Arial"/>
          <w:sz w:val="22"/>
          <w:szCs w:val="22"/>
        </w:rPr>
        <w:t xml:space="preserve"> and the EMBA)</w:t>
      </w:r>
      <w:r>
        <w:rPr>
          <w:rFonts w:ascii="Arial" w:hAnsi="Arial"/>
          <w:sz w:val="22"/>
          <w:szCs w:val="22"/>
        </w:rPr>
        <w:t xml:space="preserve">.  </w:t>
      </w:r>
    </w:p>
    <w:p w14:paraId="2A8EED3E" w14:textId="3DBE62E8" w:rsidR="00626C2A" w:rsidRPr="00891DE1" w:rsidRDefault="00626C2A" w:rsidP="00891DE1">
      <w:pPr>
        <w:pStyle w:val="bodycopy"/>
        <w:jc w:val="center"/>
        <w:rPr>
          <w:b/>
          <w:sz w:val="20"/>
        </w:rPr>
      </w:pPr>
      <w:r w:rsidRPr="00891DE1">
        <w:rPr>
          <w:rFonts w:ascii="Arial" w:hAnsi="Arial"/>
          <w:b/>
          <w:sz w:val="20"/>
        </w:rPr>
        <w:t>Table 5.1</w:t>
      </w:r>
      <w:r w:rsidR="002B19AD" w:rsidRPr="00891DE1">
        <w:rPr>
          <w:rFonts w:ascii="Arial" w:hAnsi="Arial"/>
          <w:b/>
          <w:sz w:val="20"/>
        </w:rPr>
        <w:t>.</w:t>
      </w:r>
      <w:r w:rsidR="002B19AD" w:rsidRPr="00891DE1">
        <w:rPr>
          <w:rFonts w:ascii="Arial" w:hAnsi="Arial"/>
          <w:b/>
          <w:sz w:val="20"/>
        </w:rPr>
        <w:tab/>
        <w:t xml:space="preserve">Presence of receptors within Commonwealth and State waters </w:t>
      </w:r>
      <w:r w:rsidR="00B200B8">
        <w:rPr>
          <w:rFonts w:ascii="Arial" w:hAnsi="Arial"/>
          <w:b/>
          <w:sz w:val="20"/>
        </w:rPr>
        <w:t xml:space="preserve">of the proposed operational area </w:t>
      </w:r>
      <w:r w:rsidR="002B19AD" w:rsidRPr="00891DE1">
        <w:rPr>
          <w:rFonts w:ascii="Arial" w:hAnsi="Arial"/>
          <w:b/>
          <w:sz w:val="20"/>
        </w:rPr>
        <w:t>and the EMBA</w:t>
      </w:r>
    </w:p>
    <w:tbl>
      <w:tblPr>
        <w:tblStyle w:val="TableGrid"/>
        <w:tblW w:w="8516" w:type="dxa"/>
        <w:tblLook w:val="04A0" w:firstRow="1" w:lastRow="0" w:firstColumn="1" w:lastColumn="0" w:noHBand="0" w:noVBand="1"/>
      </w:tblPr>
      <w:tblGrid>
        <w:gridCol w:w="2504"/>
        <w:gridCol w:w="2140"/>
        <w:gridCol w:w="2186"/>
        <w:gridCol w:w="1686"/>
      </w:tblGrid>
      <w:tr w:rsidR="000159A6" w14:paraId="175640FD" w14:textId="77777777" w:rsidTr="00891DE1">
        <w:tc>
          <w:tcPr>
            <w:tcW w:w="2504" w:type="dxa"/>
            <w:vMerge w:val="restart"/>
            <w:shd w:val="clear" w:color="auto" w:fill="064EA8"/>
            <w:vAlign w:val="center"/>
          </w:tcPr>
          <w:p w14:paraId="0FA1DE4D" w14:textId="77777777" w:rsidR="000159A6" w:rsidRPr="00891DE1" w:rsidRDefault="000159A6" w:rsidP="00891DE1">
            <w:pPr>
              <w:spacing w:before="60" w:after="60" w:line="240" w:lineRule="auto"/>
              <w:ind w:hanging="578"/>
              <w:rPr>
                <w:color w:val="FFFFFF" w:themeColor="background1"/>
                <w:sz w:val="20"/>
                <w:szCs w:val="20"/>
              </w:rPr>
            </w:pPr>
            <w:r w:rsidRPr="00891DE1">
              <w:rPr>
                <w:color w:val="FFFFFF" w:themeColor="background1"/>
                <w:sz w:val="20"/>
                <w:szCs w:val="20"/>
              </w:rPr>
              <w:t>Receptor</w:t>
            </w:r>
          </w:p>
        </w:tc>
        <w:tc>
          <w:tcPr>
            <w:tcW w:w="4326" w:type="dxa"/>
            <w:gridSpan w:val="2"/>
            <w:shd w:val="clear" w:color="auto" w:fill="064EA8"/>
          </w:tcPr>
          <w:p w14:paraId="4FD9EE8A" w14:textId="04538FAD" w:rsidR="000159A6" w:rsidRPr="00891DE1" w:rsidRDefault="005858FE" w:rsidP="00891DE1">
            <w:pPr>
              <w:spacing w:before="60" w:after="60" w:line="240" w:lineRule="auto"/>
              <w:ind w:hanging="530"/>
              <w:jc w:val="center"/>
              <w:rPr>
                <w:color w:val="FFFFFF" w:themeColor="background1"/>
                <w:sz w:val="20"/>
                <w:szCs w:val="20"/>
              </w:rPr>
            </w:pPr>
            <w:r>
              <w:rPr>
                <w:color w:val="FFFFFF" w:themeColor="background1"/>
                <w:sz w:val="20"/>
                <w:szCs w:val="20"/>
              </w:rPr>
              <w:t>Proposed o</w:t>
            </w:r>
            <w:r w:rsidR="000159A6" w:rsidRPr="00891DE1">
              <w:rPr>
                <w:color w:val="FFFFFF" w:themeColor="background1"/>
                <w:sz w:val="20"/>
                <w:szCs w:val="20"/>
              </w:rPr>
              <w:t>perational area</w:t>
            </w:r>
          </w:p>
        </w:tc>
        <w:tc>
          <w:tcPr>
            <w:tcW w:w="1686" w:type="dxa"/>
            <w:vMerge w:val="restart"/>
            <w:shd w:val="clear" w:color="auto" w:fill="064EA8"/>
            <w:vAlign w:val="center"/>
          </w:tcPr>
          <w:p w14:paraId="76A0F14E" w14:textId="77777777" w:rsidR="000159A6" w:rsidRPr="00891DE1" w:rsidRDefault="000159A6" w:rsidP="00891DE1">
            <w:pPr>
              <w:spacing w:before="60" w:after="60" w:line="240" w:lineRule="auto"/>
              <w:ind w:hanging="645"/>
              <w:jc w:val="center"/>
              <w:rPr>
                <w:color w:val="FFFFFF" w:themeColor="background1"/>
                <w:sz w:val="20"/>
                <w:szCs w:val="20"/>
              </w:rPr>
            </w:pPr>
            <w:r w:rsidRPr="00891DE1">
              <w:rPr>
                <w:color w:val="FFFFFF" w:themeColor="background1"/>
                <w:sz w:val="20"/>
                <w:szCs w:val="20"/>
              </w:rPr>
              <w:t>EMBA</w:t>
            </w:r>
          </w:p>
        </w:tc>
      </w:tr>
      <w:tr w:rsidR="000159A6" w14:paraId="343122D4" w14:textId="77777777" w:rsidTr="00891DE1">
        <w:tc>
          <w:tcPr>
            <w:tcW w:w="2504" w:type="dxa"/>
            <w:vMerge/>
          </w:tcPr>
          <w:p w14:paraId="6307E2EE" w14:textId="77777777" w:rsidR="000159A6" w:rsidRPr="00891DE1" w:rsidRDefault="000159A6" w:rsidP="00891DE1">
            <w:pPr>
              <w:spacing w:before="60" w:after="60" w:line="240" w:lineRule="auto"/>
              <w:ind w:hanging="578"/>
              <w:rPr>
                <w:sz w:val="20"/>
                <w:szCs w:val="20"/>
              </w:rPr>
            </w:pPr>
          </w:p>
        </w:tc>
        <w:tc>
          <w:tcPr>
            <w:tcW w:w="2140" w:type="dxa"/>
            <w:shd w:val="clear" w:color="auto" w:fill="064EA8"/>
          </w:tcPr>
          <w:p w14:paraId="4099A711" w14:textId="77777777" w:rsidR="000159A6" w:rsidRPr="00891DE1" w:rsidRDefault="000159A6" w:rsidP="00891DE1">
            <w:pPr>
              <w:spacing w:before="60" w:after="60" w:line="240" w:lineRule="auto"/>
              <w:ind w:left="48"/>
              <w:jc w:val="center"/>
              <w:rPr>
                <w:color w:val="FFFFFF" w:themeColor="background1"/>
                <w:sz w:val="20"/>
                <w:szCs w:val="20"/>
              </w:rPr>
            </w:pPr>
            <w:r w:rsidRPr="00891DE1">
              <w:rPr>
                <w:color w:val="FFFFFF" w:themeColor="background1"/>
                <w:sz w:val="20"/>
                <w:szCs w:val="20"/>
              </w:rPr>
              <w:t>Commonwealth waters</w:t>
            </w:r>
          </w:p>
        </w:tc>
        <w:tc>
          <w:tcPr>
            <w:tcW w:w="2186" w:type="dxa"/>
            <w:shd w:val="clear" w:color="auto" w:fill="064EA8"/>
          </w:tcPr>
          <w:p w14:paraId="61AB1283" w14:textId="77777777" w:rsidR="000159A6" w:rsidRPr="00891DE1" w:rsidRDefault="000159A6" w:rsidP="00891DE1">
            <w:pPr>
              <w:spacing w:before="60" w:after="60" w:line="240" w:lineRule="auto"/>
              <w:ind w:hanging="828"/>
              <w:jc w:val="center"/>
              <w:rPr>
                <w:color w:val="FFFFFF" w:themeColor="background1"/>
                <w:sz w:val="20"/>
                <w:szCs w:val="20"/>
              </w:rPr>
            </w:pPr>
            <w:r w:rsidRPr="00891DE1">
              <w:rPr>
                <w:color w:val="FFFFFF" w:themeColor="background1"/>
                <w:sz w:val="20"/>
                <w:szCs w:val="20"/>
              </w:rPr>
              <w:t>State waters</w:t>
            </w:r>
          </w:p>
        </w:tc>
        <w:tc>
          <w:tcPr>
            <w:tcW w:w="1686" w:type="dxa"/>
            <w:vMerge/>
          </w:tcPr>
          <w:p w14:paraId="7AF21589" w14:textId="77777777" w:rsidR="000159A6" w:rsidRPr="00891DE1" w:rsidRDefault="000159A6" w:rsidP="00891DE1">
            <w:pPr>
              <w:spacing w:before="60" w:after="60" w:line="240" w:lineRule="auto"/>
              <w:jc w:val="center"/>
              <w:rPr>
                <w:sz w:val="20"/>
                <w:szCs w:val="20"/>
              </w:rPr>
            </w:pPr>
          </w:p>
        </w:tc>
      </w:tr>
      <w:tr w:rsidR="007B28DC" w14:paraId="31132891" w14:textId="77777777" w:rsidTr="00891DE1">
        <w:tc>
          <w:tcPr>
            <w:tcW w:w="8516" w:type="dxa"/>
            <w:gridSpan w:val="4"/>
            <w:shd w:val="clear" w:color="auto" w:fill="D9D9D9" w:themeFill="background1" w:themeFillShade="D9"/>
          </w:tcPr>
          <w:p w14:paraId="5B5A44ED" w14:textId="13CBB87F" w:rsidR="007B28DC" w:rsidRPr="00891DE1" w:rsidRDefault="007B28DC" w:rsidP="00891DE1">
            <w:pPr>
              <w:spacing w:before="60" w:after="60" w:line="240" w:lineRule="auto"/>
              <w:ind w:hanging="720"/>
              <w:rPr>
                <w:sz w:val="20"/>
                <w:szCs w:val="20"/>
              </w:rPr>
            </w:pPr>
            <w:r w:rsidRPr="00891DE1">
              <w:rPr>
                <w:sz w:val="20"/>
                <w:szCs w:val="20"/>
              </w:rPr>
              <w:t>Physical</w:t>
            </w:r>
          </w:p>
        </w:tc>
      </w:tr>
      <w:tr w:rsidR="000159A6" w14:paraId="56F2BDF0" w14:textId="77777777" w:rsidTr="00891DE1">
        <w:tc>
          <w:tcPr>
            <w:tcW w:w="2504" w:type="dxa"/>
          </w:tcPr>
          <w:p w14:paraId="47080ECE" w14:textId="77777777" w:rsidR="000159A6" w:rsidRPr="00891DE1" w:rsidRDefault="000159A6" w:rsidP="00891DE1">
            <w:pPr>
              <w:spacing w:before="60" w:after="60" w:line="240" w:lineRule="auto"/>
              <w:ind w:left="0"/>
              <w:rPr>
                <w:sz w:val="20"/>
                <w:szCs w:val="20"/>
              </w:rPr>
            </w:pPr>
            <w:r w:rsidRPr="00891DE1">
              <w:rPr>
                <w:sz w:val="20"/>
                <w:szCs w:val="20"/>
              </w:rPr>
              <w:t>Low profile reef</w:t>
            </w:r>
          </w:p>
        </w:tc>
        <w:tc>
          <w:tcPr>
            <w:tcW w:w="2140" w:type="dxa"/>
            <w:shd w:val="clear" w:color="auto" w:fill="CCFFCC"/>
          </w:tcPr>
          <w:p w14:paraId="1B2CBD4B" w14:textId="77777777" w:rsidR="000159A6" w:rsidRPr="00891DE1" w:rsidRDefault="000159A6" w:rsidP="00891DE1">
            <w:pPr>
              <w:spacing w:before="60" w:after="60" w:line="240" w:lineRule="auto"/>
              <w:ind w:hanging="565"/>
              <w:rPr>
                <w:sz w:val="20"/>
                <w:szCs w:val="20"/>
              </w:rPr>
            </w:pPr>
            <w:r w:rsidRPr="00891DE1">
              <w:rPr>
                <w:sz w:val="20"/>
                <w:szCs w:val="20"/>
              </w:rPr>
              <w:t>Patchy</w:t>
            </w:r>
          </w:p>
        </w:tc>
        <w:tc>
          <w:tcPr>
            <w:tcW w:w="2186" w:type="dxa"/>
            <w:shd w:val="clear" w:color="auto" w:fill="CCFFCC"/>
          </w:tcPr>
          <w:p w14:paraId="1E66B287" w14:textId="77777777" w:rsidR="000159A6" w:rsidRPr="00891DE1" w:rsidRDefault="000159A6" w:rsidP="00891DE1">
            <w:pPr>
              <w:spacing w:before="60" w:after="60" w:line="240" w:lineRule="auto"/>
              <w:ind w:left="74"/>
              <w:rPr>
                <w:sz w:val="20"/>
                <w:szCs w:val="20"/>
              </w:rPr>
            </w:pPr>
            <w:r w:rsidRPr="00891DE1">
              <w:rPr>
                <w:sz w:val="20"/>
                <w:szCs w:val="20"/>
              </w:rPr>
              <w:t>Patchy</w:t>
            </w:r>
          </w:p>
        </w:tc>
        <w:tc>
          <w:tcPr>
            <w:tcW w:w="1686" w:type="dxa"/>
            <w:shd w:val="clear" w:color="auto" w:fill="CCFFCC"/>
          </w:tcPr>
          <w:p w14:paraId="64DB9512" w14:textId="77777777" w:rsidR="000159A6" w:rsidRPr="00891DE1" w:rsidRDefault="000159A6" w:rsidP="00891DE1">
            <w:pPr>
              <w:spacing w:before="60" w:after="60" w:line="240" w:lineRule="auto"/>
              <w:ind w:left="172" w:hanging="56"/>
              <w:rPr>
                <w:sz w:val="20"/>
                <w:szCs w:val="20"/>
              </w:rPr>
            </w:pPr>
            <w:r w:rsidRPr="00891DE1">
              <w:rPr>
                <w:sz w:val="20"/>
                <w:szCs w:val="20"/>
              </w:rPr>
              <w:t>Patchy</w:t>
            </w:r>
          </w:p>
        </w:tc>
      </w:tr>
      <w:tr w:rsidR="000159A6" w14:paraId="0C8F7622" w14:textId="77777777" w:rsidTr="00891DE1">
        <w:tc>
          <w:tcPr>
            <w:tcW w:w="2504" w:type="dxa"/>
          </w:tcPr>
          <w:p w14:paraId="396D7754" w14:textId="77777777" w:rsidR="000159A6" w:rsidRPr="00891DE1" w:rsidRDefault="000159A6" w:rsidP="00891DE1">
            <w:pPr>
              <w:spacing w:before="60" w:after="60" w:line="240" w:lineRule="auto"/>
              <w:ind w:left="0"/>
              <w:rPr>
                <w:sz w:val="20"/>
                <w:szCs w:val="20"/>
              </w:rPr>
            </w:pPr>
            <w:r w:rsidRPr="00891DE1">
              <w:rPr>
                <w:sz w:val="20"/>
                <w:szCs w:val="20"/>
              </w:rPr>
              <w:t>Sponge garden</w:t>
            </w:r>
          </w:p>
        </w:tc>
        <w:tc>
          <w:tcPr>
            <w:tcW w:w="2140" w:type="dxa"/>
            <w:shd w:val="clear" w:color="auto" w:fill="CCFFCC"/>
          </w:tcPr>
          <w:p w14:paraId="3787B4DF" w14:textId="77777777" w:rsidR="000159A6" w:rsidRPr="00891DE1" w:rsidRDefault="000159A6" w:rsidP="00891DE1">
            <w:pPr>
              <w:spacing w:before="60" w:after="60" w:line="240" w:lineRule="auto"/>
              <w:ind w:hanging="565"/>
              <w:rPr>
                <w:sz w:val="20"/>
                <w:szCs w:val="20"/>
              </w:rPr>
            </w:pPr>
            <w:r w:rsidRPr="00891DE1">
              <w:rPr>
                <w:sz w:val="20"/>
                <w:szCs w:val="20"/>
              </w:rPr>
              <w:t>Patchy</w:t>
            </w:r>
          </w:p>
        </w:tc>
        <w:tc>
          <w:tcPr>
            <w:tcW w:w="2186" w:type="dxa"/>
            <w:shd w:val="clear" w:color="auto" w:fill="FF0000"/>
          </w:tcPr>
          <w:p w14:paraId="6C32A34E" w14:textId="77777777" w:rsidR="000159A6" w:rsidRPr="00891DE1" w:rsidRDefault="000159A6" w:rsidP="00891DE1">
            <w:pPr>
              <w:spacing w:before="60" w:after="60" w:line="240" w:lineRule="auto"/>
              <w:ind w:left="74"/>
              <w:rPr>
                <w:sz w:val="20"/>
                <w:szCs w:val="20"/>
              </w:rPr>
            </w:pPr>
          </w:p>
        </w:tc>
        <w:tc>
          <w:tcPr>
            <w:tcW w:w="1686" w:type="dxa"/>
            <w:shd w:val="clear" w:color="auto" w:fill="CCFFCC"/>
          </w:tcPr>
          <w:p w14:paraId="6DAFCE6F" w14:textId="77777777" w:rsidR="000159A6" w:rsidRPr="00891DE1" w:rsidRDefault="000159A6" w:rsidP="00891DE1">
            <w:pPr>
              <w:spacing w:before="60" w:after="60" w:line="240" w:lineRule="auto"/>
              <w:ind w:left="172" w:hanging="56"/>
              <w:rPr>
                <w:sz w:val="20"/>
                <w:szCs w:val="20"/>
              </w:rPr>
            </w:pPr>
            <w:r w:rsidRPr="00891DE1">
              <w:rPr>
                <w:sz w:val="20"/>
                <w:szCs w:val="20"/>
              </w:rPr>
              <w:t>Likely</w:t>
            </w:r>
          </w:p>
        </w:tc>
      </w:tr>
      <w:tr w:rsidR="007B28DC" w14:paraId="63D8FC21" w14:textId="77777777" w:rsidTr="00891DE1">
        <w:tc>
          <w:tcPr>
            <w:tcW w:w="8516" w:type="dxa"/>
            <w:gridSpan w:val="4"/>
            <w:shd w:val="clear" w:color="auto" w:fill="D9D9D9" w:themeFill="background1" w:themeFillShade="D9"/>
          </w:tcPr>
          <w:p w14:paraId="468B2A0D" w14:textId="27896351" w:rsidR="007B28DC" w:rsidRPr="00891DE1" w:rsidRDefault="007B28DC" w:rsidP="00891DE1">
            <w:pPr>
              <w:spacing w:before="60" w:after="60" w:line="240" w:lineRule="auto"/>
              <w:ind w:left="172" w:hanging="172"/>
              <w:rPr>
                <w:sz w:val="20"/>
                <w:szCs w:val="20"/>
              </w:rPr>
            </w:pPr>
            <w:r w:rsidRPr="00891DE1">
              <w:rPr>
                <w:sz w:val="20"/>
                <w:szCs w:val="20"/>
              </w:rPr>
              <w:t>Conservation values</w:t>
            </w:r>
          </w:p>
        </w:tc>
      </w:tr>
      <w:tr w:rsidR="000159A6" w14:paraId="179BE569" w14:textId="77777777" w:rsidTr="00891DE1">
        <w:tc>
          <w:tcPr>
            <w:tcW w:w="2504" w:type="dxa"/>
          </w:tcPr>
          <w:p w14:paraId="164D5BCD" w14:textId="77777777" w:rsidR="000159A6" w:rsidRPr="00891DE1" w:rsidRDefault="000159A6" w:rsidP="00891DE1">
            <w:pPr>
              <w:spacing w:before="60" w:after="60" w:line="240" w:lineRule="auto"/>
              <w:ind w:hanging="720"/>
              <w:rPr>
                <w:sz w:val="20"/>
                <w:szCs w:val="20"/>
              </w:rPr>
            </w:pPr>
            <w:r w:rsidRPr="00891DE1">
              <w:rPr>
                <w:sz w:val="20"/>
                <w:szCs w:val="20"/>
              </w:rPr>
              <w:t>CMRs</w:t>
            </w:r>
          </w:p>
        </w:tc>
        <w:tc>
          <w:tcPr>
            <w:tcW w:w="2140" w:type="dxa"/>
            <w:shd w:val="clear" w:color="auto" w:fill="FF0000"/>
          </w:tcPr>
          <w:p w14:paraId="30C78AD6" w14:textId="77777777" w:rsidR="000159A6" w:rsidRPr="00891DE1" w:rsidRDefault="000159A6" w:rsidP="00891DE1">
            <w:pPr>
              <w:spacing w:before="60" w:after="60" w:line="240" w:lineRule="auto"/>
              <w:ind w:hanging="565"/>
              <w:rPr>
                <w:sz w:val="20"/>
                <w:szCs w:val="20"/>
              </w:rPr>
            </w:pPr>
          </w:p>
        </w:tc>
        <w:tc>
          <w:tcPr>
            <w:tcW w:w="2186" w:type="dxa"/>
            <w:shd w:val="clear" w:color="auto" w:fill="FF0000"/>
          </w:tcPr>
          <w:p w14:paraId="7225F288" w14:textId="77777777" w:rsidR="000159A6" w:rsidRPr="00891DE1" w:rsidRDefault="000159A6" w:rsidP="00891DE1">
            <w:pPr>
              <w:spacing w:before="60" w:after="60" w:line="240" w:lineRule="auto"/>
              <w:ind w:left="74"/>
              <w:rPr>
                <w:sz w:val="20"/>
                <w:szCs w:val="20"/>
              </w:rPr>
            </w:pPr>
          </w:p>
        </w:tc>
        <w:tc>
          <w:tcPr>
            <w:tcW w:w="1686" w:type="dxa"/>
            <w:shd w:val="clear" w:color="auto" w:fill="CCFFCC"/>
          </w:tcPr>
          <w:p w14:paraId="34D62D7D" w14:textId="77777777" w:rsidR="000159A6" w:rsidRPr="00891DE1" w:rsidRDefault="000159A6" w:rsidP="00891DE1">
            <w:pPr>
              <w:spacing w:before="60" w:after="60" w:line="240" w:lineRule="auto"/>
              <w:ind w:left="0" w:hanging="26"/>
              <w:rPr>
                <w:sz w:val="20"/>
                <w:szCs w:val="20"/>
              </w:rPr>
            </w:pPr>
            <w:r w:rsidRPr="00891DE1">
              <w:rPr>
                <w:sz w:val="20"/>
                <w:szCs w:val="20"/>
              </w:rPr>
              <w:t>East Gippsland</w:t>
            </w:r>
          </w:p>
        </w:tc>
      </w:tr>
      <w:tr w:rsidR="000159A6" w14:paraId="0C0BAF60" w14:textId="77777777" w:rsidTr="00891DE1">
        <w:tc>
          <w:tcPr>
            <w:tcW w:w="2504" w:type="dxa"/>
          </w:tcPr>
          <w:p w14:paraId="52BCAE2E" w14:textId="77777777" w:rsidR="000159A6" w:rsidRPr="00891DE1" w:rsidRDefault="000159A6" w:rsidP="00891DE1">
            <w:pPr>
              <w:spacing w:before="60" w:after="60" w:line="240" w:lineRule="auto"/>
              <w:ind w:left="0"/>
              <w:rPr>
                <w:sz w:val="20"/>
                <w:szCs w:val="20"/>
              </w:rPr>
            </w:pPr>
            <w:r w:rsidRPr="00891DE1">
              <w:rPr>
                <w:sz w:val="20"/>
                <w:szCs w:val="20"/>
              </w:rPr>
              <w:t>World Heritage-listed properties</w:t>
            </w:r>
          </w:p>
        </w:tc>
        <w:tc>
          <w:tcPr>
            <w:tcW w:w="2140" w:type="dxa"/>
            <w:shd w:val="clear" w:color="auto" w:fill="FF0000"/>
          </w:tcPr>
          <w:p w14:paraId="2B730E07" w14:textId="77777777" w:rsidR="000159A6" w:rsidRPr="00891DE1" w:rsidRDefault="000159A6" w:rsidP="00891DE1">
            <w:pPr>
              <w:spacing w:before="60" w:after="60" w:line="240" w:lineRule="auto"/>
              <w:ind w:hanging="565"/>
              <w:rPr>
                <w:sz w:val="20"/>
                <w:szCs w:val="20"/>
              </w:rPr>
            </w:pPr>
          </w:p>
        </w:tc>
        <w:tc>
          <w:tcPr>
            <w:tcW w:w="2186" w:type="dxa"/>
            <w:shd w:val="clear" w:color="auto" w:fill="FF0000"/>
          </w:tcPr>
          <w:p w14:paraId="77EDEAEC" w14:textId="77777777" w:rsidR="000159A6" w:rsidRPr="00891DE1" w:rsidRDefault="000159A6" w:rsidP="00891DE1">
            <w:pPr>
              <w:spacing w:before="60" w:after="60" w:line="240" w:lineRule="auto"/>
              <w:ind w:left="74"/>
              <w:rPr>
                <w:sz w:val="20"/>
                <w:szCs w:val="20"/>
              </w:rPr>
            </w:pPr>
          </w:p>
        </w:tc>
        <w:tc>
          <w:tcPr>
            <w:tcW w:w="1686" w:type="dxa"/>
            <w:shd w:val="clear" w:color="auto" w:fill="FF0000"/>
          </w:tcPr>
          <w:p w14:paraId="7D5A4B67" w14:textId="77777777" w:rsidR="000159A6" w:rsidRPr="00891DE1" w:rsidRDefault="000159A6" w:rsidP="00891DE1">
            <w:pPr>
              <w:spacing w:before="60" w:after="60" w:line="240" w:lineRule="auto"/>
              <w:ind w:left="0" w:hanging="26"/>
              <w:rPr>
                <w:sz w:val="20"/>
                <w:szCs w:val="20"/>
              </w:rPr>
            </w:pPr>
          </w:p>
        </w:tc>
      </w:tr>
      <w:tr w:rsidR="000159A6" w14:paraId="021AD6A4" w14:textId="77777777" w:rsidTr="00891DE1">
        <w:tc>
          <w:tcPr>
            <w:tcW w:w="2504" w:type="dxa"/>
          </w:tcPr>
          <w:p w14:paraId="37539A37" w14:textId="77777777" w:rsidR="000159A6" w:rsidRPr="00891DE1" w:rsidRDefault="000159A6" w:rsidP="00891DE1">
            <w:pPr>
              <w:spacing w:before="60" w:after="60" w:line="240" w:lineRule="auto"/>
              <w:ind w:left="0"/>
              <w:rPr>
                <w:sz w:val="20"/>
                <w:szCs w:val="20"/>
              </w:rPr>
            </w:pPr>
            <w:r w:rsidRPr="00891DE1">
              <w:rPr>
                <w:sz w:val="20"/>
                <w:szCs w:val="20"/>
              </w:rPr>
              <w:t>National Heritage-listed properties</w:t>
            </w:r>
          </w:p>
        </w:tc>
        <w:tc>
          <w:tcPr>
            <w:tcW w:w="2140" w:type="dxa"/>
            <w:shd w:val="clear" w:color="auto" w:fill="FF0000"/>
          </w:tcPr>
          <w:p w14:paraId="1D500D7E" w14:textId="77777777" w:rsidR="000159A6" w:rsidRPr="00891DE1" w:rsidRDefault="000159A6" w:rsidP="00891DE1">
            <w:pPr>
              <w:spacing w:before="60" w:after="60" w:line="240" w:lineRule="auto"/>
              <w:ind w:hanging="565"/>
              <w:rPr>
                <w:sz w:val="20"/>
                <w:szCs w:val="20"/>
              </w:rPr>
            </w:pPr>
          </w:p>
        </w:tc>
        <w:tc>
          <w:tcPr>
            <w:tcW w:w="2186" w:type="dxa"/>
            <w:shd w:val="clear" w:color="auto" w:fill="FF0000"/>
          </w:tcPr>
          <w:p w14:paraId="232268A0" w14:textId="77777777" w:rsidR="000159A6" w:rsidRPr="00891DE1" w:rsidRDefault="000159A6" w:rsidP="00891DE1">
            <w:pPr>
              <w:spacing w:before="60" w:after="60" w:line="240" w:lineRule="auto"/>
              <w:ind w:left="74"/>
              <w:rPr>
                <w:sz w:val="20"/>
                <w:szCs w:val="20"/>
              </w:rPr>
            </w:pPr>
          </w:p>
        </w:tc>
        <w:tc>
          <w:tcPr>
            <w:tcW w:w="1686" w:type="dxa"/>
            <w:shd w:val="clear" w:color="auto" w:fill="CCFFCC"/>
          </w:tcPr>
          <w:p w14:paraId="7A149165" w14:textId="77777777" w:rsidR="000159A6" w:rsidRPr="00891DE1" w:rsidRDefault="000159A6" w:rsidP="00891DE1">
            <w:pPr>
              <w:spacing w:before="60" w:after="60" w:line="240" w:lineRule="auto"/>
              <w:ind w:left="0" w:hanging="26"/>
              <w:rPr>
                <w:sz w:val="20"/>
                <w:szCs w:val="20"/>
              </w:rPr>
            </w:pPr>
            <w:r w:rsidRPr="00891DE1">
              <w:rPr>
                <w:sz w:val="20"/>
                <w:szCs w:val="20"/>
              </w:rPr>
              <w:t>Gippsland Lakes &amp; Corner Inlet</w:t>
            </w:r>
          </w:p>
        </w:tc>
      </w:tr>
      <w:tr w:rsidR="000159A6" w14:paraId="2C85F178" w14:textId="77777777" w:rsidTr="00891DE1">
        <w:tc>
          <w:tcPr>
            <w:tcW w:w="2504" w:type="dxa"/>
          </w:tcPr>
          <w:p w14:paraId="5AA90A4C" w14:textId="77777777" w:rsidR="000159A6" w:rsidRPr="00891DE1" w:rsidRDefault="000159A6" w:rsidP="00891DE1">
            <w:pPr>
              <w:spacing w:before="60" w:after="60" w:line="240" w:lineRule="auto"/>
              <w:ind w:left="0"/>
              <w:rPr>
                <w:sz w:val="20"/>
                <w:szCs w:val="20"/>
              </w:rPr>
            </w:pPr>
            <w:r w:rsidRPr="00891DE1">
              <w:rPr>
                <w:sz w:val="20"/>
                <w:szCs w:val="20"/>
              </w:rPr>
              <w:t>Threatened Ecological Communities (TECs)</w:t>
            </w:r>
          </w:p>
        </w:tc>
        <w:tc>
          <w:tcPr>
            <w:tcW w:w="2140" w:type="dxa"/>
            <w:shd w:val="clear" w:color="auto" w:fill="FF0000"/>
          </w:tcPr>
          <w:p w14:paraId="21FCF2B6" w14:textId="77777777" w:rsidR="000159A6" w:rsidRPr="00891DE1" w:rsidRDefault="000159A6" w:rsidP="00891DE1">
            <w:pPr>
              <w:spacing w:before="60" w:after="60" w:line="240" w:lineRule="auto"/>
              <w:ind w:hanging="565"/>
              <w:rPr>
                <w:sz w:val="20"/>
                <w:szCs w:val="20"/>
              </w:rPr>
            </w:pPr>
          </w:p>
        </w:tc>
        <w:tc>
          <w:tcPr>
            <w:tcW w:w="2186" w:type="dxa"/>
            <w:shd w:val="clear" w:color="auto" w:fill="FF0000"/>
          </w:tcPr>
          <w:p w14:paraId="7FF7E636" w14:textId="77777777" w:rsidR="000159A6" w:rsidRPr="00891DE1" w:rsidRDefault="000159A6" w:rsidP="00891DE1">
            <w:pPr>
              <w:spacing w:before="60" w:after="60" w:line="240" w:lineRule="auto"/>
              <w:ind w:left="74"/>
              <w:rPr>
                <w:sz w:val="20"/>
                <w:szCs w:val="20"/>
              </w:rPr>
            </w:pPr>
          </w:p>
        </w:tc>
        <w:tc>
          <w:tcPr>
            <w:tcW w:w="1686" w:type="dxa"/>
            <w:shd w:val="clear" w:color="auto" w:fill="CCFFCC"/>
          </w:tcPr>
          <w:p w14:paraId="6447AB5D" w14:textId="77777777" w:rsidR="000159A6" w:rsidRPr="00891DE1" w:rsidRDefault="000159A6" w:rsidP="00891DE1">
            <w:pPr>
              <w:spacing w:before="60" w:after="60" w:line="240" w:lineRule="auto"/>
              <w:ind w:left="0" w:hanging="26"/>
              <w:rPr>
                <w:sz w:val="20"/>
                <w:szCs w:val="20"/>
              </w:rPr>
            </w:pPr>
            <w:r w:rsidRPr="00891DE1">
              <w:rPr>
                <w:sz w:val="20"/>
                <w:szCs w:val="20"/>
              </w:rPr>
              <w:t>Giant kelp forest</w:t>
            </w:r>
          </w:p>
        </w:tc>
      </w:tr>
      <w:tr w:rsidR="000159A6" w14:paraId="080CA818" w14:textId="77777777" w:rsidTr="00891DE1">
        <w:tc>
          <w:tcPr>
            <w:tcW w:w="2504" w:type="dxa"/>
          </w:tcPr>
          <w:p w14:paraId="298D448A" w14:textId="77777777" w:rsidR="000159A6" w:rsidRPr="00891DE1" w:rsidRDefault="000159A6" w:rsidP="00891DE1">
            <w:pPr>
              <w:spacing w:before="60" w:after="60" w:line="240" w:lineRule="auto"/>
              <w:ind w:left="0"/>
              <w:rPr>
                <w:sz w:val="20"/>
                <w:szCs w:val="20"/>
              </w:rPr>
            </w:pPr>
            <w:r w:rsidRPr="00891DE1">
              <w:rPr>
                <w:sz w:val="20"/>
                <w:szCs w:val="20"/>
              </w:rPr>
              <w:t>Key Ecological Features (KEFs)</w:t>
            </w:r>
          </w:p>
        </w:tc>
        <w:tc>
          <w:tcPr>
            <w:tcW w:w="2140" w:type="dxa"/>
            <w:shd w:val="clear" w:color="auto" w:fill="FF0000"/>
          </w:tcPr>
          <w:p w14:paraId="2B8B2199" w14:textId="77777777" w:rsidR="000159A6" w:rsidRPr="00891DE1" w:rsidRDefault="000159A6" w:rsidP="00891DE1">
            <w:pPr>
              <w:spacing w:before="60" w:after="60" w:line="240" w:lineRule="auto"/>
              <w:ind w:hanging="565"/>
              <w:rPr>
                <w:sz w:val="20"/>
                <w:szCs w:val="20"/>
              </w:rPr>
            </w:pPr>
          </w:p>
        </w:tc>
        <w:tc>
          <w:tcPr>
            <w:tcW w:w="2186" w:type="dxa"/>
            <w:shd w:val="clear" w:color="auto" w:fill="FF0000"/>
          </w:tcPr>
          <w:p w14:paraId="1394BEA8" w14:textId="77777777" w:rsidR="000159A6" w:rsidRPr="00891DE1" w:rsidRDefault="000159A6" w:rsidP="00891DE1">
            <w:pPr>
              <w:spacing w:before="60" w:after="60" w:line="240" w:lineRule="auto"/>
              <w:ind w:left="74"/>
              <w:rPr>
                <w:sz w:val="20"/>
                <w:szCs w:val="20"/>
              </w:rPr>
            </w:pPr>
          </w:p>
        </w:tc>
        <w:tc>
          <w:tcPr>
            <w:tcW w:w="1686" w:type="dxa"/>
            <w:shd w:val="clear" w:color="auto" w:fill="CCFFCC"/>
          </w:tcPr>
          <w:p w14:paraId="4C62DEDD" w14:textId="77777777" w:rsidR="000159A6" w:rsidRPr="00891DE1" w:rsidRDefault="000159A6" w:rsidP="00891DE1">
            <w:pPr>
              <w:spacing w:before="60" w:after="60" w:line="240" w:lineRule="auto"/>
              <w:ind w:left="0" w:hanging="26"/>
              <w:rPr>
                <w:sz w:val="20"/>
                <w:szCs w:val="20"/>
              </w:rPr>
            </w:pPr>
            <w:r w:rsidRPr="00891DE1">
              <w:rPr>
                <w:sz w:val="20"/>
                <w:szCs w:val="20"/>
              </w:rPr>
              <w:t>Upwelling East of Eden</w:t>
            </w:r>
          </w:p>
        </w:tc>
      </w:tr>
      <w:tr w:rsidR="000159A6" w14:paraId="4C0A9B30" w14:textId="77777777" w:rsidTr="00891DE1">
        <w:tc>
          <w:tcPr>
            <w:tcW w:w="2504" w:type="dxa"/>
          </w:tcPr>
          <w:p w14:paraId="68995218" w14:textId="77777777" w:rsidR="000159A6" w:rsidRPr="00891DE1" w:rsidRDefault="000159A6" w:rsidP="00891DE1">
            <w:pPr>
              <w:spacing w:before="60" w:after="60" w:line="240" w:lineRule="auto"/>
              <w:ind w:left="0"/>
              <w:rPr>
                <w:sz w:val="20"/>
                <w:szCs w:val="20"/>
              </w:rPr>
            </w:pPr>
            <w:r w:rsidRPr="00891DE1">
              <w:rPr>
                <w:sz w:val="20"/>
                <w:szCs w:val="20"/>
              </w:rPr>
              <w:t>Nationally Important Wetlands</w:t>
            </w:r>
          </w:p>
        </w:tc>
        <w:tc>
          <w:tcPr>
            <w:tcW w:w="2140" w:type="dxa"/>
            <w:shd w:val="clear" w:color="auto" w:fill="FF0000"/>
          </w:tcPr>
          <w:p w14:paraId="5CEF5775" w14:textId="77777777" w:rsidR="000159A6" w:rsidRPr="00891DE1" w:rsidRDefault="000159A6" w:rsidP="00891DE1">
            <w:pPr>
              <w:spacing w:before="60" w:after="60" w:line="240" w:lineRule="auto"/>
              <w:ind w:hanging="565"/>
              <w:rPr>
                <w:sz w:val="20"/>
                <w:szCs w:val="20"/>
              </w:rPr>
            </w:pPr>
          </w:p>
        </w:tc>
        <w:tc>
          <w:tcPr>
            <w:tcW w:w="2186" w:type="dxa"/>
            <w:shd w:val="clear" w:color="auto" w:fill="FF0000"/>
          </w:tcPr>
          <w:p w14:paraId="64FAFD31" w14:textId="77777777" w:rsidR="000159A6" w:rsidRPr="00891DE1" w:rsidRDefault="000159A6" w:rsidP="00891DE1">
            <w:pPr>
              <w:spacing w:before="60" w:after="60" w:line="240" w:lineRule="auto"/>
              <w:ind w:left="74"/>
              <w:rPr>
                <w:sz w:val="20"/>
                <w:szCs w:val="20"/>
              </w:rPr>
            </w:pPr>
          </w:p>
        </w:tc>
        <w:tc>
          <w:tcPr>
            <w:tcW w:w="1686" w:type="dxa"/>
            <w:shd w:val="clear" w:color="auto" w:fill="CCFFCC"/>
          </w:tcPr>
          <w:p w14:paraId="0BD02AE7" w14:textId="77777777" w:rsidR="000159A6" w:rsidRPr="00891DE1" w:rsidRDefault="000159A6" w:rsidP="00891DE1">
            <w:pPr>
              <w:spacing w:before="60" w:after="60" w:line="240" w:lineRule="auto"/>
              <w:ind w:left="0" w:hanging="26"/>
              <w:rPr>
                <w:sz w:val="20"/>
                <w:szCs w:val="20"/>
              </w:rPr>
            </w:pPr>
            <w:r w:rsidRPr="00891DE1">
              <w:rPr>
                <w:sz w:val="20"/>
                <w:szCs w:val="20"/>
              </w:rPr>
              <w:t>11 of them</w:t>
            </w:r>
          </w:p>
        </w:tc>
      </w:tr>
      <w:tr w:rsidR="000159A6" w14:paraId="4495C3C7" w14:textId="77777777" w:rsidTr="00891DE1">
        <w:tc>
          <w:tcPr>
            <w:tcW w:w="2504" w:type="dxa"/>
          </w:tcPr>
          <w:p w14:paraId="4DF04DEA" w14:textId="77777777" w:rsidR="000159A6" w:rsidRPr="00891DE1" w:rsidRDefault="000159A6" w:rsidP="00891DE1">
            <w:pPr>
              <w:spacing w:before="60" w:after="60" w:line="240" w:lineRule="auto"/>
              <w:ind w:left="0"/>
              <w:rPr>
                <w:sz w:val="20"/>
                <w:szCs w:val="20"/>
              </w:rPr>
            </w:pPr>
            <w:r w:rsidRPr="00891DE1">
              <w:rPr>
                <w:sz w:val="20"/>
                <w:szCs w:val="20"/>
              </w:rPr>
              <w:t>Victorian marine protected areas</w:t>
            </w:r>
          </w:p>
        </w:tc>
        <w:tc>
          <w:tcPr>
            <w:tcW w:w="2140" w:type="dxa"/>
            <w:shd w:val="clear" w:color="auto" w:fill="FF0000"/>
          </w:tcPr>
          <w:p w14:paraId="16E9DCCE" w14:textId="77777777" w:rsidR="000159A6" w:rsidRPr="00891DE1" w:rsidRDefault="000159A6" w:rsidP="00891DE1">
            <w:pPr>
              <w:spacing w:before="60" w:after="60" w:line="240" w:lineRule="auto"/>
              <w:ind w:hanging="565"/>
              <w:rPr>
                <w:sz w:val="20"/>
                <w:szCs w:val="20"/>
              </w:rPr>
            </w:pPr>
          </w:p>
        </w:tc>
        <w:tc>
          <w:tcPr>
            <w:tcW w:w="2186" w:type="dxa"/>
            <w:shd w:val="clear" w:color="auto" w:fill="FF0000"/>
          </w:tcPr>
          <w:p w14:paraId="24C899AA" w14:textId="77777777" w:rsidR="000159A6" w:rsidRPr="00891DE1" w:rsidRDefault="000159A6" w:rsidP="00891DE1">
            <w:pPr>
              <w:spacing w:before="60" w:after="60" w:line="240" w:lineRule="auto"/>
              <w:ind w:left="74"/>
              <w:rPr>
                <w:sz w:val="20"/>
                <w:szCs w:val="20"/>
              </w:rPr>
            </w:pPr>
          </w:p>
        </w:tc>
        <w:tc>
          <w:tcPr>
            <w:tcW w:w="1686" w:type="dxa"/>
            <w:shd w:val="clear" w:color="auto" w:fill="CCFFCC"/>
          </w:tcPr>
          <w:p w14:paraId="3EBBC588" w14:textId="171D1886" w:rsidR="000159A6" w:rsidRPr="00891DE1" w:rsidRDefault="000159A6" w:rsidP="00891DE1">
            <w:pPr>
              <w:spacing w:before="60" w:after="60" w:line="240" w:lineRule="auto"/>
              <w:ind w:left="0" w:hanging="26"/>
              <w:rPr>
                <w:sz w:val="20"/>
                <w:szCs w:val="20"/>
              </w:rPr>
            </w:pPr>
            <w:r w:rsidRPr="00891DE1">
              <w:rPr>
                <w:sz w:val="20"/>
                <w:szCs w:val="20"/>
              </w:rPr>
              <w:t xml:space="preserve">5 </w:t>
            </w:r>
            <w:r w:rsidR="00B0735B">
              <w:rPr>
                <w:sz w:val="20"/>
                <w:szCs w:val="20"/>
              </w:rPr>
              <w:t>protected areas</w:t>
            </w:r>
          </w:p>
        </w:tc>
      </w:tr>
      <w:tr w:rsidR="000159A6" w14:paraId="3AB6C6E7" w14:textId="77777777" w:rsidTr="00891DE1">
        <w:tc>
          <w:tcPr>
            <w:tcW w:w="2504" w:type="dxa"/>
          </w:tcPr>
          <w:p w14:paraId="40848D2C" w14:textId="77777777" w:rsidR="000159A6" w:rsidRPr="00891DE1" w:rsidRDefault="000159A6" w:rsidP="00891DE1">
            <w:pPr>
              <w:spacing w:before="60" w:after="60" w:line="240" w:lineRule="auto"/>
              <w:ind w:left="0"/>
              <w:rPr>
                <w:sz w:val="20"/>
                <w:szCs w:val="20"/>
              </w:rPr>
            </w:pPr>
            <w:r w:rsidRPr="00891DE1">
              <w:rPr>
                <w:sz w:val="20"/>
                <w:szCs w:val="20"/>
              </w:rPr>
              <w:t>Onshore protected areas</w:t>
            </w:r>
          </w:p>
        </w:tc>
        <w:tc>
          <w:tcPr>
            <w:tcW w:w="2140" w:type="dxa"/>
            <w:shd w:val="clear" w:color="auto" w:fill="FF0000"/>
          </w:tcPr>
          <w:p w14:paraId="3828AFB2" w14:textId="77777777" w:rsidR="000159A6" w:rsidRPr="00891DE1" w:rsidRDefault="000159A6" w:rsidP="00891DE1">
            <w:pPr>
              <w:spacing w:before="60" w:after="60" w:line="240" w:lineRule="auto"/>
              <w:ind w:hanging="565"/>
              <w:rPr>
                <w:sz w:val="20"/>
                <w:szCs w:val="20"/>
              </w:rPr>
            </w:pPr>
          </w:p>
        </w:tc>
        <w:tc>
          <w:tcPr>
            <w:tcW w:w="2186" w:type="dxa"/>
            <w:shd w:val="clear" w:color="auto" w:fill="FF0000"/>
          </w:tcPr>
          <w:p w14:paraId="0BE909EC" w14:textId="77777777" w:rsidR="000159A6" w:rsidRPr="00891DE1" w:rsidRDefault="000159A6" w:rsidP="00891DE1">
            <w:pPr>
              <w:spacing w:before="60" w:after="60" w:line="240" w:lineRule="auto"/>
              <w:ind w:left="74"/>
              <w:rPr>
                <w:sz w:val="20"/>
                <w:szCs w:val="20"/>
              </w:rPr>
            </w:pPr>
          </w:p>
        </w:tc>
        <w:tc>
          <w:tcPr>
            <w:tcW w:w="1686" w:type="dxa"/>
            <w:shd w:val="clear" w:color="auto" w:fill="CCFFCC"/>
          </w:tcPr>
          <w:p w14:paraId="062E5670" w14:textId="5FDEA64D" w:rsidR="000159A6" w:rsidRPr="00891DE1" w:rsidRDefault="000159A6" w:rsidP="00891DE1">
            <w:pPr>
              <w:spacing w:before="60" w:after="60" w:line="240" w:lineRule="auto"/>
              <w:ind w:left="0" w:hanging="26"/>
              <w:rPr>
                <w:sz w:val="20"/>
                <w:szCs w:val="20"/>
              </w:rPr>
            </w:pPr>
            <w:r w:rsidRPr="00891DE1">
              <w:rPr>
                <w:sz w:val="20"/>
                <w:szCs w:val="20"/>
              </w:rPr>
              <w:t xml:space="preserve">9 </w:t>
            </w:r>
            <w:r w:rsidR="00B0735B">
              <w:rPr>
                <w:sz w:val="20"/>
                <w:szCs w:val="20"/>
              </w:rPr>
              <w:t>protected areas</w:t>
            </w:r>
          </w:p>
        </w:tc>
      </w:tr>
      <w:tr w:rsidR="007B28DC" w14:paraId="2FB193FC" w14:textId="77777777" w:rsidTr="00891DE1">
        <w:tc>
          <w:tcPr>
            <w:tcW w:w="8516" w:type="dxa"/>
            <w:gridSpan w:val="4"/>
            <w:shd w:val="clear" w:color="auto" w:fill="D9D9D9" w:themeFill="background1" w:themeFillShade="D9"/>
          </w:tcPr>
          <w:p w14:paraId="457835B7" w14:textId="127747AF" w:rsidR="007B28DC" w:rsidRPr="00891DE1" w:rsidRDefault="007B28DC" w:rsidP="00891DE1">
            <w:pPr>
              <w:spacing w:before="60" w:after="60" w:line="240" w:lineRule="auto"/>
              <w:ind w:left="172" w:hanging="172"/>
              <w:rPr>
                <w:sz w:val="20"/>
                <w:szCs w:val="20"/>
              </w:rPr>
            </w:pPr>
            <w:r w:rsidRPr="00891DE1">
              <w:rPr>
                <w:sz w:val="20"/>
                <w:szCs w:val="20"/>
              </w:rPr>
              <w:t>Biological</w:t>
            </w:r>
            <w:r w:rsidR="00F524E0">
              <w:rPr>
                <w:sz w:val="20"/>
                <w:szCs w:val="20"/>
              </w:rPr>
              <w:t xml:space="preserve"> Environment</w:t>
            </w:r>
          </w:p>
        </w:tc>
      </w:tr>
      <w:tr w:rsidR="000159A6" w14:paraId="7B549F1B" w14:textId="77777777" w:rsidTr="00891DE1">
        <w:tc>
          <w:tcPr>
            <w:tcW w:w="2504" w:type="dxa"/>
          </w:tcPr>
          <w:p w14:paraId="4A86F09B" w14:textId="77777777" w:rsidR="000159A6" w:rsidRPr="00891DE1" w:rsidRDefault="000159A6" w:rsidP="00891DE1">
            <w:pPr>
              <w:spacing w:before="60" w:after="60" w:line="240" w:lineRule="auto"/>
              <w:ind w:hanging="720"/>
              <w:rPr>
                <w:sz w:val="20"/>
                <w:szCs w:val="20"/>
              </w:rPr>
            </w:pPr>
            <w:r w:rsidRPr="00891DE1">
              <w:rPr>
                <w:sz w:val="20"/>
                <w:szCs w:val="20"/>
              </w:rPr>
              <w:t>Plankton</w:t>
            </w:r>
          </w:p>
        </w:tc>
        <w:tc>
          <w:tcPr>
            <w:tcW w:w="2140" w:type="dxa"/>
            <w:shd w:val="clear" w:color="auto" w:fill="CCFFCC"/>
          </w:tcPr>
          <w:p w14:paraId="35C93DC8" w14:textId="77777777" w:rsidR="000159A6" w:rsidRPr="00891DE1" w:rsidRDefault="000159A6" w:rsidP="00891DE1">
            <w:pPr>
              <w:spacing w:before="60" w:after="60" w:line="240" w:lineRule="auto"/>
              <w:ind w:hanging="565"/>
              <w:rPr>
                <w:sz w:val="20"/>
                <w:szCs w:val="20"/>
              </w:rPr>
            </w:pPr>
          </w:p>
        </w:tc>
        <w:tc>
          <w:tcPr>
            <w:tcW w:w="2186" w:type="dxa"/>
            <w:shd w:val="clear" w:color="auto" w:fill="CCFFCC"/>
          </w:tcPr>
          <w:p w14:paraId="0453E279" w14:textId="77777777" w:rsidR="000159A6" w:rsidRPr="00891DE1" w:rsidRDefault="000159A6" w:rsidP="00891DE1">
            <w:pPr>
              <w:spacing w:before="60" w:after="60" w:line="240" w:lineRule="auto"/>
              <w:ind w:left="74"/>
              <w:rPr>
                <w:sz w:val="20"/>
                <w:szCs w:val="20"/>
              </w:rPr>
            </w:pPr>
          </w:p>
        </w:tc>
        <w:tc>
          <w:tcPr>
            <w:tcW w:w="1686" w:type="dxa"/>
            <w:shd w:val="clear" w:color="auto" w:fill="CCFFCC"/>
          </w:tcPr>
          <w:p w14:paraId="2123F401" w14:textId="77777777" w:rsidR="000159A6" w:rsidRPr="00891DE1" w:rsidRDefault="000159A6" w:rsidP="00891DE1">
            <w:pPr>
              <w:spacing w:before="60" w:after="60" w:line="240" w:lineRule="auto"/>
              <w:ind w:left="172"/>
              <w:rPr>
                <w:sz w:val="20"/>
                <w:szCs w:val="20"/>
              </w:rPr>
            </w:pPr>
          </w:p>
        </w:tc>
      </w:tr>
      <w:tr w:rsidR="000159A6" w14:paraId="3C5B6DCE" w14:textId="77777777" w:rsidTr="00891DE1">
        <w:tc>
          <w:tcPr>
            <w:tcW w:w="2504" w:type="dxa"/>
          </w:tcPr>
          <w:p w14:paraId="7868B95B" w14:textId="77777777" w:rsidR="000159A6" w:rsidRPr="00891DE1" w:rsidRDefault="000159A6" w:rsidP="00891DE1">
            <w:pPr>
              <w:spacing w:before="60" w:after="60" w:line="240" w:lineRule="auto"/>
              <w:ind w:hanging="720"/>
              <w:rPr>
                <w:sz w:val="20"/>
                <w:szCs w:val="20"/>
              </w:rPr>
            </w:pPr>
            <w:r w:rsidRPr="00891DE1">
              <w:rPr>
                <w:sz w:val="20"/>
                <w:szCs w:val="20"/>
              </w:rPr>
              <w:t>Benthic species:</w:t>
            </w:r>
          </w:p>
        </w:tc>
        <w:tc>
          <w:tcPr>
            <w:tcW w:w="2140" w:type="dxa"/>
            <w:shd w:val="clear" w:color="auto" w:fill="CCFFCC"/>
          </w:tcPr>
          <w:p w14:paraId="649BBD49" w14:textId="77777777" w:rsidR="000159A6" w:rsidRPr="00891DE1" w:rsidRDefault="000159A6" w:rsidP="00891DE1">
            <w:pPr>
              <w:spacing w:before="60" w:after="60" w:line="240" w:lineRule="auto"/>
              <w:ind w:hanging="565"/>
              <w:rPr>
                <w:sz w:val="20"/>
                <w:szCs w:val="20"/>
              </w:rPr>
            </w:pPr>
          </w:p>
        </w:tc>
        <w:tc>
          <w:tcPr>
            <w:tcW w:w="2186" w:type="dxa"/>
            <w:shd w:val="clear" w:color="auto" w:fill="CCFFCC"/>
          </w:tcPr>
          <w:p w14:paraId="45B982A5" w14:textId="77777777" w:rsidR="000159A6" w:rsidRPr="00891DE1" w:rsidRDefault="000159A6" w:rsidP="00891DE1">
            <w:pPr>
              <w:spacing w:before="60" w:after="60" w:line="240" w:lineRule="auto"/>
              <w:ind w:left="74"/>
              <w:rPr>
                <w:sz w:val="20"/>
                <w:szCs w:val="20"/>
              </w:rPr>
            </w:pPr>
          </w:p>
        </w:tc>
        <w:tc>
          <w:tcPr>
            <w:tcW w:w="1686" w:type="dxa"/>
            <w:shd w:val="clear" w:color="auto" w:fill="CCFFCC"/>
          </w:tcPr>
          <w:p w14:paraId="78D5C7B5" w14:textId="77777777" w:rsidR="000159A6" w:rsidRPr="00891DE1" w:rsidRDefault="000159A6" w:rsidP="00891DE1">
            <w:pPr>
              <w:spacing w:before="60" w:after="60" w:line="240" w:lineRule="auto"/>
              <w:ind w:left="172"/>
              <w:rPr>
                <w:sz w:val="20"/>
                <w:szCs w:val="20"/>
              </w:rPr>
            </w:pPr>
          </w:p>
        </w:tc>
      </w:tr>
      <w:tr w:rsidR="000159A6" w14:paraId="0DDEABCA" w14:textId="77777777" w:rsidTr="00891DE1">
        <w:tc>
          <w:tcPr>
            <w:tcW w:w="2504" w:type="dxa"/>
          </w:tcPr>
          <w:p w14:paraId="1A9045D7" w14:textId="5570A50E" w:rsidR="000159A6" w:rsidRPr="00891DE1" w:rsidRDefault="000159A6" w:rsidP="00891DE1">
            <w:pPr>
              <w:spacing w:before="60" w:after="60" w:line="240" w:lineRule="auto"/>
              <w:ind w:hanging="720"/>
              <w:rPr>
                <w:sz w:val="20"/>
                <w:szCs w:val="20"/>
              </w:rPr>
            </w:pPr>
            <w:r w:rsidRPr="00891DE1">
              <w:rPr>
                <w:sz w:val="20"/>
                <w:szCs w:val="20"/>
              </w:rPr>
              <w:t xml:space="preserve"> - </w:t>
            </w:r>
            <w:r w:rsidR="005858FE">
              <w:rPr>
                <w:sz w:val="20"/>
                <w:szCs w:val="20"/>
              </w:rPr>
              <w:t xml:space="preserve">commercial </w:t>
            </w:r>
            <w:r w:rsidRPr="00891DE1">
              <w:rPr>
                <w:sz w:val="20"/>
                <w:szCs w:val="20"/>
              </w:rPr>
              <w:t>scallops</w:t>
            </w:r>
          </w:p>
        </w:tc>
        <w:tc>
          <w:tcPr>
            <w:tcW w:w="2140" w:type="dxa"/>
            <w:shd w:val="clear" w:color="auto" w:fill="CCFFCC"/>
          </w:tcPr>
          <w:p w14:paraId="2BD3FFF4" w14:textId="77777777" w:rsidR="000159A6" w:rsidRPr="00891DE1" w:rsidRDefault="000159A6" w:rsidP="00891DE1">
            <w:pPr>
              <w:spacing w:before="60" w:after="60" w:line="240" w:lineRule="auto"/>
              <w:ind w:hanging="672"/>
              <w:rPr>
                <w:sz w:val="20"/>
                <w:szCs w:val="20"/>
              </w:rPr>
            </w:pPr>
            <w:r w:rsidRPr="00891DE1">
              <w:rPr>
                <w:sz w:val="20"/>
                <w:szCs w:val="20"/>
              </w:rPr>
              <w:t>Isolated individuals</w:t>
            </w:r>
          </w:p>
        </w:tc>
        <w:tc>
          <w:tcPr>
            <w:tcW w:w="2186" w:type="dxa"/>
            <w:shd w:val="clear" w:color="auto" w:fill="CCFFCC"/>
          </w:tcPr>
          <w:p w14:paraId="7F0F0BFA" w14:textId="77777777" w:rsidR="000159A6" w:rsidRPr="00891DE1" w:rsidRDefault="000159A6" w:rsidP="00891DE1">
            <w:pPr>
              <w:spacing w:before="60" w:after="60" w:line="240" w:lineRule="auto"/>
              <w:ind w:left="74" w:hanging="74"/>
              <w:rPr>
                <w:sz w:val="20"/>
                <w:szCs w:val="20"/>
              </w:rPr>
            </w:pPr>
            <w:r w:rsidRPr="00891DE1">
              <w:rPr>
                <w:sz w:val="20"/>
                <w:szCs w:val="20"/>
              </w:rPr>
              <w:t>Isolated individuals</w:t>
            </w:r>
          </w:p>
        </w:tc>
        <w:tc>
          <w:tcPr>
            <w:tcW w:w="1686" w:type="dxa"/>
            <w:shd w:val="clear" w:color="auto" w:fill="CCFFCC"/>
          </w:tcPr>
          <w:p w14:paraId="7F4B7BF0" w14:textId="0505B9B4" w:rsidR="000159A6" w:rsidRPr="00891DE1" w:rsidRDefault="00F524E0" w:rsidP="00891DE1">
            <w:pPr>
              <w:spacing w:before="60" w:after="60" w:line="240" w:lineRule="auto"/>
              <w:ind w:left="0"/>
              <w:rPr>
                <w:sz w:val="20"/>
                <w:szCs w:val="20"/>
              </w:rPr>
            </w:pPr>
            <w:r>
              <w:rPr>
                <w:sz w:val="20"/>
                <w:szCs w:val="20"/>
              </w:rPr>
              <w:t>Possible beds</w:t>
            </w:r>
          </w:p>
        </w:tc>
      </w:tr>
      <w:tr w:rsidR="000159A6" w14:paraId="16091838" w14:textId="77777777" w:rsidTr="00891DE1">
        <w:tc>
          <w:tcPr>
            <w:tcW w:w="2504" w:type="dxa"/>
          </w:tcPr>
          <w:p w14:paraId="327112C4" w14:textId="77777777" w:rsidR="000159A6" w:rsidRPr="00891DE1" w:rsidRDefault="000159A6" w:rsidP="00891DE1">
            <w:pPr>
              <w:spacing w:before="60" w:after="60" w:line="240" w:lineRule="auto"/>
              <w:ind w:hanging="720"/>
              <w:rPr>
                <w:sz w:val="20"/>
                <w:szCs w:val="20"/>
              </w:rPr>
            </w:pPr>
            <w:r w:rsidRPr="00891DE1">
              <w:rPr>
                <w:sz w:val="20"/>
                <w:szCs w:val="20"/>
              </w:rPr>
              <w:t xml:space="preserve"> - rock lobsters</w:t>
            </w:r>
          </w:p>
        </w:tc>
        <w:tc>
          <w:tcPr>
            <w:tcW w:w="2140" w:type="dxa"/>
            <w:shd w:val="clear" w:color="auto" w:fill="FF0000"/>
          </w:tcPr>
          <w:p w14:paraId="36E9AD64" w14:textId="77777777" w:rsidR="000159A6" w:rsidRPr="00891DE1" w:rsidRDefault="000159A6" w:rsidP="00891DE1">
            <w:pPr>
              <w:spacing w:before="60" w:after="60" w:line="240" w:lineRule="auto"/>
              <w:ind w:hanging="565"/>
              <w:rPr>
                <w:sz w:val="20"/>
                <w:szCs w:val="20"/>
              </w:rPr>
            </w:pPr>
          </w:p>
        </w:tc>
        <w:tc>
          <w:tcPr>
            <w:tcW w:w="2186" w:type="dxa"/>
            <w:shd w:val="clear" w:color="auto" w:fill="CCFFCC"/>
          </w:tcPr>
          <w:p w14:paraId="3DAD940B" w14:textId="77777777" w:rsidR="000159A6" w:rsidRPr="00891DE1" w:rsidRDefault="000159A6" w:rsidP="00891DE1">
            <w:pPr>
              <w:spacing w:before="60" w:after="60" w:line="240" w:lineRule="auto"/>
              <w:ind w:left="74" w:hanging="74"/>
              <w:rPr>
                <w:sz w:val="20"/>
                <w:szCs w:val="20"/>
              </w:rPr>
            </w:pPr>
            <w:r w:rsidRPr="00891DE1">
              <w:rPr>
                <w:sz w:val="20"/>
                <w:szCs w:val="20"/>
              </w:rPr>
              <w:t>Possible in patch reef</w:t>
            </w:r>
          </w:p>
        </w:tc>
        <w:tc>
          <w:tcPr>
            <w:tcW w:w="1686" w:type="dxa"/>
            <w:shd w:val="clear" w:color="auto" w:fill="CCFFCC"/>
          </w:tcPr>
          <w:p w14:paraId="4715451C" w14:textId="77777777" w:rsidR="000159A6" w:rsidRPr="00891DE1" w:rsidRDefault="000159A6" w:rsidP="00891DE1">
            <w:pPr>
              <w:spacing w:before="60" w:after="60" w:line="240" w:lineRule="auto"/>
              <w:ind w:left="0"/>
              <w:rPr>
                <w:sz w:val="20"/>
                <w:szCs w:val="20"/>
              </w:rPr>
            </w:pPr>
          </w:p>
        </w:tc>
      </w:tr>
      <w:tr w:rsidR="000159A6" w14:paraId="44D9C24C" w14:textId="77777777" w:rsidTr="00891DE1">
        <w:tc>
          <w:tcPr>
            <w:tcW w:w="2504" w:type="dxa"/>
          </w:tcPr>
          <w:p w14:paraId="75F2D609" w14:textId="77777777" w:rsidR="000159A6" w:rsidRPr="00891DE1" w:rsidRDefault="000159A6" w:rsidP="00891DE1">
            <w:pPr>
              <w:spacing w:before="60" w:after="60" w:line="240" w:lineRule="auto"/>
              <w:ind w:hanging="720"/>
              <w:rPr>
                <w:sz w:val="20"/>
                <w:szCs w:val="20"/>
              </w:rPr>
            </w:pPr>
            <w:r w:rsidRPr="00891DE1">
              <w:rPr>
                <w:sz w:val="20"/>
                <w:szCs w:val="20"/>
              </w:rPr>
              <w:t>Seagrass beds</w:t>
            </w:r>
          </w:p>
        </w:tc>
        <w:tc>
          <w:tcPr>
            <w:tcW w:w="2140" w:type="dxa"/>
            <w:shd w:val="clear" w:color="auto" w:fill="CCFFCC"/>
          </w:tcPr>
          <w:p w14:paraId="000A123B" w14:textId="77777777" w:rsidR="000159A6" w:rsidRPr="00891DE1" w:rsidRDefault="000159A6" w:rsidP="00891DE1">
            <w:pPr>
              <w:spacing w:before="60" w:after="60" w:line="240" w:lineRule="auto"/>
              <w:ind w:hanging="720"/>
              <w:rPr>
                <w:sz w:val="20"/>
                <w:szCs w:val="20"/>
              </w:rPr>
            </w:pPr>
            <w:r w:rsidRPr="00891DE1">
              <w:rPr>
                <w:sz w:val="20"/>
                <w:szCs w:val="20"/>
              </w:rPr>
              <w:t>Isolated &amp; sparse</w:t>
            </w:r>
          </w:p>
        </w:tc>
        <w:tc>
          <w:tcPr>
            <w:tcW w:w="2186" w:type="dxa"/>
            <w:shd w:val="clear" w:color="auto" w:fill="CCFFCC"/>
          </w:tcPr>
          <w:p w14:paraId="1D6A17C2" w14:textId="77777777" w:rsidR="000159A6" w:rsidRPr="00891DE1" w:rsidRDefault="000159A6" w:rsidP="00891DE1">
            <w:pPr>
              <w:spacing w:before="60" w:after="60" w:line="240" w:lineRule="auto"/>
              <w:ind w:left="74" w:hanging="74"/>
              <w:rPr>
                <w:sz w:val="20"/>
                <w:szCs w:val="20"/>
              </w:rPr>
            </w:pPr>
            <w:r w:rsidRPr="00891DE1">
              <w:rPr>
                <w:sz w:val="20"/>
                <w:szCs w:val="20"/>
              </w:rPr>
              <w:t>Isolated &amp; sparse</w:t>
            </w:r>
          </w:p>
        </w:tc>
        <w:tc>
          <w:tcPr>
            <w:tcW w:w="1686" w:type="dxa"/>
            <w:shd w:val="clear" w:color="auto" w:fill="CCFFCC"/>
          </w:tcPr>
          <w:p w14:paraId="0A1E3B68" w14:textId="77777777" w:rsidR="000159A6" w:rsidRPr="00891DE1" w:rsidRDefault="000159A6" w:rsidP="00891DE1">
            <w:pPr>
              <w:spacing w:before="60" w:after="60" w:line="240" w:lineRule="auto"/>
              <w:ind w:left="0"/>
              <w:rPr>
                <w:sz w:val="20"/>
                <w:szCs w:val="20"/>
              </w:rPr>
            </w:pPr>
          </w:p>
        </w:tc>
      </w:tr>
      <w:tr w:rsidR="000159A6" w14:paraId="50E5719C" w14:textId="77777777" w:rsidTr="00891DE1">
        <w:tc>
          <w:tcPr>
            <w:tcW w:w="2504" w:type="dxa"/>
          </w:tcPr>
          <w:p w14:paraId="70FFBC51" w14:textId="77777777" w:rsidR="000159A6" w:rsidRPr="00891DE1" w:rsidRDefault="000159A6" w:rsidP="00891DE1">
            <w:pPr>
              <w:spacing w:before="60" w:after="60" w:line="240" w:lineRule="auto"/>
              <w:ind w:hanging="720"/>
              <w:rPr>
                <w:sz w:val="20"/>
                <w:szCs w:val="20"/>
              </w:rPr>
            </w:pPr>
            <w:r w:rsidRPr="00891DE1">
              <w:rPr>
                <w:sz w:val="20"/>
                <w:szCs w:val="20"/>
              </w:rPr>
              <w:t>Fish:</w:t>
            </w:r>
          </w:p>
        </w:tc>
        <w:tc>
          <w:tcPr>
            <w:tcW w:w="2140" w:type="dxa"/>
            <w:shd w:val="clear" w:color="auto" w:fill="CCFFCC"/>
          </w:tcPr>
          <w:p w14:paraId="1DE8600C" w14:textId="77777777" w:rsidR="000159A6" w:rsidRPr="00891DE1" w:rsidRDefault="000159A6" w:rsidP="00891DE1">
            <w:pPr>
              <w:spacing w:before="60" w:after="60" w:line="240" w:lineRule="auto"/>
              <w:ind w:hanging="565"/>
              <w:rPr>
                <w:sz w:val="20"/>
                <w:szCs w:val="20"/>
              </w:rPr>
            </w:pPr>
          </w:p>
        </w:tc>
        <w:tc>
          <w:tcPr>
            <w:tcW w:w="2186" w:type="dxa"/>
            <w:shd w:val="clear" w:color="auto" w:fill="CCFFCC"/>
          </w:tcPr>
          <w:p w14:paraId="76B96022" w14:textId="77777777" w:rsidR="000159A6" w:rsidRPr="00891DE1" w:rsidRDefault="000159A6" w:rsidP="00891DE1">
            <w:pPr>
              <w:spacing w:before="60" w:after="60" w:line="240" w:lineRule="auto"/>
              <w:ind w:left="74"/>
              <w:rPr>
                <w:sz w:val="20"/>
                <w:szCs w:val="20"/>
              </w:rPr>
            </w:pPr>
          </w:p>
        </w:tc>
        <w:tc>
          <w:tcPr>
            <w:tcW w:w="1686" w:type="dxa"/>
            <w:shd w:val="clear" w:color="auto" w:fill="CCFFCC"/>
          </w:tcPr>
          <w:p w14:paraId="40A9E5E6" w14:textId="77777777" w:rsidR="000159A6" w:rsidRPr="00891DE1" w:rsidRDefault="000159A6" w:rsidP="00891DE1">
            <w:pPr>
              <w:spacing w:before="60" w:after="60" w:line="240" w:lineRule="auto"/>
              <w:ind w:left="0"/>
              <w:rPr>
                <w:sz w:val="20"/>
                <w:szCs w:val="20"/>
              </w:rPr>
            </w:pPr>
          </w:p>
        </w:tc>
      </w:tr>
      <w:tr w:rsidR="000159A6" w14:paraId="39C34D77" w14:textId="77777777" w:rsidTr="00891DE1">
        <w:tc>
          <w:tcPr>
            <w:tcW w:w="2504" w:type="dxa"/>
          </w:tcPr>
          <w:p w14:paraId="0D444B56" w14:textId="77777777" w:rsidR="000159A6" w:rsidRPr="00891DE1" w:rsidRDefault="000159A6" w:rsidP="00891DE1">
            <w:pPr>
              <w:spacing w:before="60" w:after="60" w:line="240" w:lineRule="auto"/>
              <w:ind w:left="142" w:hanging="142"/>
              <w:rPr>
                <w:sz w:val="20"/>
                <w:szCs w:val="20"/>
              </w:rPr>
            </w:pPr>
            <w:r w:rsidRPr="00891DE1">
              <w:rPr>
                <w:sz w:val="20"/>
                <w:szCs w:val="20"/>
              </w:rPr>
              <w:t xml:space="preserve"> - BIA for great white shark</w:t>
            </w:r>
          </w:p>
        </w:tc>
        <w:tc>
          <w:tcPr>
            <w:tcW w:w="2140" w:type="dxa"/>
            <w:shd w:val="clear" w:color="auto" w:fill="CCFFCC"/>
          </w:tcPr>
          <w:p w14:paraId="100AD7AB" w14:textId="77777777" w:rsidR="000159A6" w:rsidRPr="00891DE1" w:rsidRDefault="000159A6" w:rsidP="00891DE1">
            <w:pPr>
              <w:spacing w:before="60" w:after="60" w:line="240" w:lineRule="auto"/>
              <w:ind w:hanging="565"/>
              <w:rPr>
                <w:sz w:val="20"/>
                <w:szCs w:val="20"/>
              </w:rPr>
            </w:pPr>
          </w:p>
        </w:tc>
        <w:tc>
          <w:tcPr>
            <w:tcW w:w="2186" w:type="dxa"/>
            <w:shd w:val="clear" w:color="auto" w:fill="CCFFCC"/>
          </w:tcPr>
          <w:p w14:paraId="0B008228" w14:textId="77777777" w:rsidR="000159A6" w:rsidRPr="00891DE1" w:rsidRDefault="000159A6" w:rsidP="00891DE1">
            <w:pPr>
              <w:spacing w:before="60" w:after="60" w:line="240" w:lineRule="auto"/>
              <w:ind w:left="74"/>
              <w:rPr>
                <w:sz w:val="20"/>
                <w:szCs w:val="20"/>
              </w:rPr>
            </w:pPr>
          </w:p>
        </w:tc>
        <w:tc>
          <w:tcPr>
            <w:tcW w:w="1686" w:type="dxa"/>
            <w:shd w:val="clear" w:color="auto" w:fill="CCFFCC"/>
          </w:tcPr>
          <w:p w14:paraId="2D8DF380" w14:textId="77777777" w:rsidR="000159A6" w:rsidRPr="00891DE1" w:rsidRDefault="000159A6" w:rsidP="00891DE1">
            <w:pPr>
              <w:spacing w:before="60" w:after="60" w:line="240" w:lineRule="auto"/>
              <w:ind w:left="0"/>
              <w:rPr>
                <w:sz w:val="20"/>
                <w:szCs w:val="20"/>
              </w:rPr>
            </w:pPr>
          </w:p>
        </w:tc>
      </w:tr>
      <w:tr w:rsidR="000159A6" w14:paraId="3795DAE4" w14:textId="77777777" w:rsidTr="00891DE1">
        <w:tc>
          <w:tcPr>
            <w:tcW w:w="2504" w:type="dxa"/>
          </w:tcPr>
          <w:p w14:paraId="147FB183" w14:textId="77777777" w:rsidR="000159A6" w:rsidRPr="00891DE1" w:rsidRDefault="000159A6" w:rsidP="00891DE1">
            <w:pPr>
              <w:spacing w:before="60" w:after="60" w:line="240" w:lineRule="auto"/>
              <w:ind w:left="142" w:hanging="142"/>
              <w:rPr>
                <w:sz w:val="20"/>
                <w:szCs w:val="20"/>
              </w:rPr>
            </w:pPr>
            <w:r w:rsidRPr="00891DE1">
              <w:rPr>
                <w:sz w:val="20"/>
                <w:szCs w:val="20"/>
              </w:rPr>
              <w:t>Cetaceans:</w:t>
            </w:r>
          </w:p>
        </w:tc>
        <w:tc>
          <w:tcPr>
            <w:tcW w:w="2140" w:type="dxa"/>
            <w:shd w:val="clear" w:color="auto" w:fill="CCFFCC"/>
          </w:tcPr>
          <w:p w14:paraId="01C9BBEC" w14:textId="77777777" w:rsidR="000159A6" w:rsidRPr="00891DE1" w:rsidRDefault="000159A6" w:rsidP="00891DE1">
            <w:pPr>
              <w:spacing w:before="60" w:after="60" w:line="240" w:lineRule="auto"/>
              <w:ind w:hanging="565"/>
              <w:rPr>
                <w:sz w:val="20"/>
                <w:szCs w:val="20"/>
              </w:rPr>
            </w:pPr>
          </w:p>
        </w:tc>
        <w:tc>
          <w:tcPr>
            <w:tcW w:w="2186" w:type="dxa"/>
            <w:shd w:val="clear" w:color="auto" w:fill="CCFFCC"/>
          </w:tcPr>
          <w:p w14:paraId="333AEB3B" w14:textId="77777777" w:rsidR="000159A6" w:rsidRPr="00891DE1" w:rsidRDefault="000159A6" w:rsidP="00891DE1">
            <w:pPr>
              <w:spacing w:before="60" w:after="60" w:line="240" w:lineRule="auto"/>
              <w:ind w:left="74"/>
              <w:rPr>
                <w:sz w:val="20"/>
                <w:szCs w:val="20"/>
              </w:rPr>
            </w:pPr>
          </w:p>
        </w:tc>
        <w:tc>
          <w:tcPr>
            <w:tcW w:w="1686" w:type="dxa"/>
            <w:shd w:val="clear" w:color="auto" w:fill="CCFFCC"/>
          </w:tcPr>
          <w:p w14:paraId="765F0D80" w14:textId="77777777" w:rsidR="000159A6" w:rsidRPr="00891DE1" w:rsidRDefault="000159A6" w:rsidP="00891DE1">
            <w:pPr>
              <w:spacing w:before="60" w:after="60" w:line="240" w:lineRule="auto"/>
              <w:ind w:left="0"/>
              <w:rPr>
                <w:sz w:val="20"/>
                <w:szCs w:val="20"/>
              </w:rPr>
            </w:pPr>
          </w:p>
        </w:tc>
      </w:tr>
      <w:tr w:rsidR="000159A6" w14:paraId="3D54F5A5" w14:textId="77777777" w:rsidTr="00891DE1">
        <w:tc>
          <w:tcPr>
            <w:tcW w:w="2504" w:type="dxa"/>
          </w:tcPr>
          <w:p w14:paraId="0AFB2C2E" w14:textId="77777777" w:rsidR="000159A6" w:rsidRPr="00891DE1" w:rsidRDefault="000159A6" w:rsidP="00891DE1">
            <w:pPr>
              <w:spacing w:before="60" w:after="60" w:line="240" w:lineRule="auto"/>
              <w:ind w:left="142" w:hanging="142"/>
              <w:rPr>
                <w:sz w:val="20"/>
                <w:szCs w:val="20"/>
              </w:rPr>
            </w:pPr>
            <w:r w:rsidRPr="00891DE1">
              <w:rPr>
                <w:sz w:val="20"/>
                <w:szCs w:val="20"/>
              </w:rPr>
              <w:t xml:space="preserve"> - BIA for pygmy blue whale</w:t>
            </w:r>
          </w:p>
        </w:tc>
        <w:tc>
          <w:tcPr>
            <w:tcW w:w="2140" w:type="dxa"/>
            <w:shd w:val="clear" w:color="auto" w:fill="CCFFCC"/>
          </w:tcPr>
          <w:p w14:paraId="60DAA1E6" w14:textId="77777777" w:rsidR="000159A6" w:rsidRPr="00891DE1" w:rsidRDefault="000159A6" w:rsidP="00891DE1">
            <w:pPr>
              <w:spacing w:before="60" w:after="60" w:line="240" w:lineRule="auto"/>
              <w:ind w:hanging="565"/>
              <w:rPr>
                <w:sz w:val="20"/>
                <w:szCs w:val="20"/>
              </w:rPr>
            </w:pPr>
          </w:p>
        </w:tc>
        <w:tc>
          <w:tcPr>
            <w:tcW w:w="2186" w:type="dxa"/>
            <w:shd w:val="clear" w:color="auto" w:fill="CCFFCC"/>
          </w:tcPr>
          <w:p w14:paraId="3E81CF71" w14:textId="77777777" w:rsidR="000159A6" w:rsidRPr="00891DE1" w:rsidRDefault="000159A6" w:rsidP="00891DE1">
            <w:pPr>
              <w:spacing w:before="60" w:after="60" w:line="240" w:lineRule="auto"/>
              <w:ind w:left="74"/>
              <w:rPr>
                <w:sz w:val="20"/>
                <w:szCs w:val="20"/>
              </w:rPr>
            </w:pPr>
          </w:p>
        </w:tc>
        <w:tc>
          <w:tcPr>
            <w:tcW w:w="1686" w:type="dxa"/>
            <w:shd w:val="clear" w:color="auto" w:fill="CCFFCC"/>
          </w:tcPr>
          <w:p w14:paraId="1500088E" w14:textId="77777777" w:rsidR="000159A6" w:rsidRPr="00891DE1" w:rsidRDefault="000159A6" w:rsidP="00891DE1">
            <w:pPr>
              <w:spacing w:before="60" w:after="60" w:line="240" w:lineRule="auto"/>
              <w:ind w:left="0"/>
              <w:rPr>
                <w:sz w:val="20"/>
                <w:szCs w:val="20"/>
              </w:rPr>
            </w:pPr>
          </w:p>
        </w:tc>
      </w:tr>
      <w:tr w:rsidR="000159A6" w14:paraId="71E92581" w14:textId="77777777" w:rsidTr="00891DE1">
        <w:tc>
          <w:tcPr>
            <w:tcW w:w="2504" w:type="dxa"/>
          </w:tcPr>
          <w:p w14:paraId="7F608E68" w14:textId="77777777" w:rsidR="000159A6" w:rsidRPr="00891DE1" w:rsidRDefault="000159A6" w:rsidP="00891DE1">
            <w:pPr>
              <w:spacing w:before="60" w:after="60" w:line="240" w:lineRule="auto"/>
              <w:ind w:left="142" w:hanging="142"/>
              <w:rPr>
                <w:sz w:val="20"/>
                <w:szCs w:val="20"/>
              </w:rPr>
            </w:pPr>
            <w:r w:rsidRPr="00891DE1">
              <w:rPr>
                <w:sz w:val="20"/>
                <w:szCs w:val="20"/>
              </w:rPr>
              <w:t xml:space="preserve"> - BIA for southern right whale</w:t>
            </w:r>
          </w:p>
        </w:tc>
        <w:tc>
          <w:tcPr>
            <w:tcW w:w="2140" w:type="dxa"/>
            <w:shd w:val="clear" w:color="auto" w:fill="FF0000"/>
          </w:tcPr>
          <w:p w14:paraId="36443952" w14:textId="77777777" w:rsidR="000159A6" w:rsidRPr="00891DE1" w:rsidRDefault="000159A6" w:rsidP="00891DE1">
            <w:pPr>
              <w:spacing w:before="60" w:after="60" w:line="240" w:lineRule="auto"/>
              <w:ind w:hanging="565"/>
              <w:rPr>
                <w:sz w:val="20"/>
                <w:szCs w:val="20"/>
              </w:rPr>
            </w:pPr>
          </w:p>
        </w:tc>
        <w:tc>
          <w:tcPr>
            <w:tcW w:w="2186" w:type="dxa"/>
            <w:shd w:val="clear" w:color="auto" w:fill="CCFFCC"/>
          </w:tcPr>
          <w:p w14:paraId="7257DD45" w14:textId="77777777" w:rsidR="000159A6" w:rsidRPr="00891DE1" w:rsidRDefault="000159A6" w:rsidP="00891DE1">
            <w:pPr>
              <w:spacing w:before="60" w:after="60" w:line="240" w:lineRule="auto"/>
              <w:ind w:left="74"/>
              <w:rPr>
                <w:sz w:val="20"/>
                <w:szCs w:val="20"/>
              </w:rPr>
            </w:pPr>
          </w:p>
        </w:tc>
        <w:tc>
          <w:tcPr>
            <w:tcW w:w="1686" w:type="dxa"/>
            <w:shd w:val="clear" w:color="auto" w:fill="CCFFCC"/>
          </w:tcPr>
          <w:p w14:paraId="2FD0A225" w14:textId="77777777" w:rsidR="000159A6" w:rsidRPr="00891DE1" w:rsidRDefault="000159A6" w:rsidP="00891DE1">
            <w:pPr>
              <w:spacing w:before="60" w:after="60" w:line="240" w:lineRule="auto"/>
              <w:ind w:left="0"/>
              <w:rPr>
                <w:sz w:val="20"/>
                <w:szCs w:val="20"/>
              </w:rPr>
            </w:pPr>
            <w:r w:rsidRPr="00891DE1">
              <w:rPr>
                <w:sz w:val="20"/>
                <w:szCs w:val="20"/>
              </w:rPr>
              <w:t>State waters only</w:t>
            </w:r>
          </w:p>
        </w:tc>
      </w:tr>
      <w:tr w:rsidR="000159A6" w14:paraId="24E32341" w14:textId="77777777" w:rsidTr="00891DE1">
        <w:tc>
          <w:tcPr>
            <w:tcW w:w="2504" w:type="dxa"/>
          </w:tcPr>
          <w:p w14:paraId="1850AB52" w14:textId="77777777" w:rsidR="000159A6" w:rsidRPr="00891DE1" w:rsidRDefault="000159A6" w:rsidP="00891DE1">
            <w:pPr>
              <w:spacing w:before="60" w:after="60" w:line="240" w:lineRule="auto"/>
              <w:ind w:left="142" w:hanging="142"/>
              <w:rPr>
                <w:sz w:val="20"/>
                <w:szCs w:val="20"/>
              </w:rPr>
            </w:pPr>
            <w:r w:rsidRPr="00891DE1">
              <w:rPr>
                <w:sz w:val="20"/>
                <w:szCs w:val="20"/>
              </w:rPr>
              <w:t xml:space="preserve"> - BIA for humpback whale</w:t>
            </w:r>
          </w:p>
        </w:tc>
        <w:tc>
          <w:tcPr>
            <w:tcW w:w="2140" w:type="dxa"/>
            <w:shd w:val="clear" w:color="auto" w:fill="FF0000"/>
          </w:tcPr>
          <w:p w14:paraId="69C91A2A" w14:textId="77777777" w:rsidR="000159A6" w:rsidRPr="00891DE1" w:rsidRDefault="000159A6" w:rsidP="00891DE1">
            <w:pPr>
              <w:spacing w:before="60" w:after="60" w:line="240" w:lineRule="auto"/>
              <w:ind w:hanging="565"/>
              <w:rPr>
                <w:sz w:val="20"/>
                <w:szCs w:val="20"/>
              </w:rPr>
            </w:pPr>
          </w:p>
        </w:tc>
        <w:tc>
          <w:tcPr>
            <w:tcW w:w="2186" w:type="dxa"/>
            <w:shd w:val="clear" w:color="auto" w:fill="FF0000"/>
          </w:tcPr>
          <w:p w14:paraId="62FDB1FF" w14:textId="77777777" w:rsidR="000159A6" w:rsidRPr="00891DE1" w:rsidRDefault="000159A6" w:rsidP="00891DE1">
            <w:pPr>
              <w:spacing w:before="60" w:after="60" w:line="240" w:lineRule="auto"/>
              <w:ind w:left="74"/>
              <w:rPr>
                <w:sz w:val="20"/>
                <w:szCs w:val="20"/>
              </w:rPr>
            </w:pPr>
          </w:p>
        </w:tc>
        <w:tc>
          <w:tcPr>
            <w:tcW w:w="1686" w:type="dxa"/>
            <w:shd w:val="clear" w:color="auto" w:fill="CCFFCC"/>
          </w:tcPr>
          <w:p w14:paraId="39A25D54" w14:textId="77777777" w:rsidR="000159A6" w:rsidRPr="00891DE1" w:rsidRDefault="000159A6" w:rsidP="00891DE1">
            <w:pPr>
              <w:spacing w:before="60" w:after="60" w:line="240" w:lineRule="auto"/>
              <w:ind w:left="0"/>
              <w:rPr>
                <w:sz w:val="20"/>
                <w:szCs w:val="20"/>
              </w:rPr>
            </w:pPr>
            <w:r w:rsidRPr="00891DE1">
              <w:rPr>
                <w:sz w:val="20"/>
                <w:szCs w:val="20"/>
              </w:rPr>
              <w:t>NSW portion</w:t>
            </w:r>
          </w:p>
        </w:tc>
      </w:tr>
      <w:tr w:rsidR="000159A6" w14:paraId="0AD9C8DB" w14:textId="77777777" w:rsidTr="00891DE1">
        <w:tc>
          <w:tcPr>
            <w:tcW w:w="2504" w:type="dxa"/>
          </w:tcPr>
          <w:p w14:paraId="38CC2FE2" w14:textId="77777777" w:rsidR="000159A6" w:rsidRPr="00891DE1" w:rsidRDefault="000159A6" w:rsidP="00891DE1">
            <w:pPr>
              <w:spacing w:before="60" w:after="60" w:line="240" w:lineRule="auto"/>
              <w:ind w:hanging="720"/>
              <w:rPr>
                <w:sz w:val="20"/>
                <w:szCs w:val="20"/>
              </w:rPr>
            </w:pPr>
            <w:r w:rsidRPr="00891DE1">
              <w:rPr>
                <w:sz w:val="20"/>
                <w:szCs w:val="20"/>
              </w:rPr>
              <w:lastRenderedPageBreak/>
              <w:t>Pinnipeds</w:t>
            </w:r>
          </w:p>
        </w:tc>
        <w:tc>
          <w:tcPr>
            <w:tcW w:w="2140" w:type="dxa"/>
            <w:shd w:val="clear" w:color="auto" w:fill="CCFFCC"/>
          </w:tcPr>
          <w:p w14:paraId="0C55BE95" w14:textId="77777777" w:rsidR="000159A6" w:rsidRPr="00891DE1" w:rsidRDefault="000159A6" w:rsidP="00891DE1">
            <w:pPr>
              <w:spacing w:before="60" w:after="60" w:line="240" w:lineRule="auto"/>
              <w:ind w:hanging="720"/>
              <w:rPr>
                <w:sz w:val="20"/>
                <w:szCs w:val="20"/>
              </w:rPr>
            </w:pPr>
            <w:r w:rsidRPr="00891DE1">
              <w:rPr>
                <w:sz w:val="20"/>
                <w:szCs w:val="20"/>
              </w:rPr>
              <w:t>Foraging only</w:t>
            </w:r>
          </w:p>
        </w:tc>
        <w:tc>
          <w:tcPr>
            <w:tcW w:w="2186" w:type="dxa"/>
            <w:shd w:val="clear" w:color="auto" w:fill="CCFFCC"/>
          </w:tcPr>
          <w:p w14:paraId="507D0690" w14:textId="77777777" w:rsidR="000159A6" w:rsidRPr="00891DE1" w:rsidRDefault="000159A6" w:rsidP="00891DE1">
            <w:pPr>
              <w:spacing w:before="60" w:after="60" w:line="240" w:lineRule="auto"/>
              <w:ind w:left="74"/>
              <w:rPr>
                <w:sz w:val="20"/>
                <w:szCs w:val="20"/>
              </w:rPr>
            </w:pPr>
            <w:r w:rsidRPr="00891DE1">
              <w:rPr>
                <w:sz w:val="20"/>
                <w:szCs w:val="20"/>
              </w:rPr>
              <w:t>Foraging only</w:t>
            </w:r>
          </w:p>
        </w:tc>
        <w:tc>
          <w:tcPr>
            <w:tcW w:w="1686" w:type="dxa"/>
            <w:shd w:val="clear" w:color="auto" w:fill="CCFFCC"/>
          </w:tcPr>
          <w:p w14:paraId="67719123" w14:textId="77777777" w:rsidR="000159A6" w:rsidRPr="00891DE1" w:rsidRDefault="000159A6" w:rsidP="00891DE1">
            <w:pPr>
              <w:spacing w:before="60" w:after="60" w:line="240" w:lineRule="auto"/>
              <w:ind w:left="172"/>
              <w:rPr>
                <w:sz w:val="20"/>
                <w:szCs w:val="20"/>
              </w:rPr>
            </w:pPr>
          </w:p>
        </w:tc>
      </w:tr>
      <w:tr w:rsidR="000159A6" w14:paraId="1C23A15A" w14:textId="77777777" w:rsidTr="00891DE1">
        <w:tc>
          <w:tcPr>
            <w:tcW w:w="2504" w:type="dxa"/>
          </w:tcPr>
          <w:p w14:paraId="5FFB2491" w14:textId="77777777" w:rsidR="000159A6" w:rsidRPr="00891DE1" w:rsidRDefault="000159A6" w:rsidP="00891DE1">
            <w:pPr>
              <w:spacing w:before="60" w:after="60" w:line="240" w:lineRule="auto"/>
              <w:ind w:hanging="720"/>
              <w:rPr>
                <w:sz w:val="20"/>
                <w:szCs w:val="20"/>
              </w:rPr>
            </w:pPr>
            <w:r w:rsidRPr="00891DE1">
              <w:rPr>
                <w:sz w:val="20"/>
                <w:szCs w:val="20"/>
              </w:rPr>
              <w:t>Reptiles</w:t>
            </w:r>
          </w:p>
        </w:tc>
        <w:tc>
          <w:tcPr>
            <w:tcW w:w="2140" w:type="dxa"/>
            <w:shd w:val="clear" w:color="auto" w:fill="CCFFCC"/>
          </w:tcPr>
          <w:p w14:paraId="40B6B28E" w14:textId="77777777" w:rsidR="000159A6" w:rsidRPr="00891DE1" w:rsidRDefault="000159A6" w:rsidP="00891DE1">
            <w:pPr>
              <w:spacing w:before="60" w:after="60" w:line="240" w:lineRule="auto"/>
              <w:ind w:hanging="720"/>
              <w:rPr>
                <w:sz w:val="20"/>
                <w:szCs w:val="20"/>
              </w:rPr>
            </w:pPr>
            <w:r w:rsidRPr="00891DE1">
              <w:rPr>
                <w:sz w:val="20"/>
                <w:szCs w:val="20"/>
              </w:rPr>
              <w:t>Vagrants only</w:t>
            </w:r>
          </w:p>
        </w:tc>
        <w:tc>
          <w:tcPr>
            <w:tcW w:w="2186" w:type="dxa"/>
            <w:shd w:val="clear" w:color="auto" w:fill="CCFFCC"/>
          </w:tcPr>
          <w:p w14:paraId="3BECD04C" w14:textId="77777777" w:rsidR="000159A6" w:rsidRPr="00891DE1" w:rsidRDefault="000159A6" w:rsidP="00891DE1">
            <w:pPr>
              <w:spacing w:before="60" w:after="60" w:line="240" w:lineRule="auto"/>
              <w:ind w:hanging="634"/>
              <w:rPr>
                <w:sz w:val="20"/>
                <w:szCs w:val="20"/>
              </w:rPr>
            </w:pPr>
            <w:r w:rsidRPr="00891DE1">
              <w:rPr>
                <w:sz w:val="20"/>
                <w:szCs w:val="20"/>
              </w:rPr>
              <w:t>Vagrants only</w:t>
            </w:r>
          </w:p>
        </w:tc>
        <w:tc>
          <w:tcPr>
            <w:tcW w:w="1686" w:type="dxa"/>
            <w:shd w:val="clear" w:color="auto" w:fill="CCFFCC"/>
          </w:tcPr>
          <w:p w14:paraId="06FFBDDE" w14:textId="0CF3C1AE" w:rsidR="000159A6" w:rsidRPr="00891DE1" w:rsidRDefault="00F524E0" w:rsidP="00891DE1">
            <w:pPr>
              <w:spacing w:before="60" w:after="60" w:line="240" w:lineRule="auto"/>
              <w:ind w:left="172"/>
              <w:rPr>
                <w:sz w:val="20"/>
                <w:szCs w:val="20"/>
              </w:rPr>
            </w:pPr>
            <w:r w:rsidRPr="00504337">
              <w:rPr>
                <w:sz w:val="20"/>
                <w:szCs w:val="20"/>
              </w:rPr>
              <w:t>Vagrants only</w:t>
            </w:r>
          </w:p>
        </w:tc>
      </w:tr>
      <w:tr w:rsidR="000159A6" w14:paraId="100551D6" w14:textId="77777777" w:rsidTr="00891DE1">
        <w:tc>
          <w:tcPr>
            <w:tcW w:w="2504" w:type="dxa"/>
          </w:tcPr>
          <w:p w14:paraId="1DF1B9E9" w14:textId="2DD4F9C8" w:rsidR="000159A6" w:rsidRPr="00891DE1" w:rsidRDefault="00B200B8" w:rsidP="00891DE1">
            <w:pPr>
              <w:spacing w:before="60" w:after="60" w:line="240" w:lineRule="auto"/>
              <w:ind w:hanging="720"/>
              <w:rPr>
                <w:sz w:val="20"/>
                <w:szCs w:val="20"/>
              </w:rPr>
            </w:pPr>
            <w:r>
              <w:rPr>
                <w:sz w:val="20"/>
                <w:szCs w:val="20"/>
              </w:rPr>
              <w:t>Seabirds</w:t>
            </w:r>
          </w:p>
        </w:tc>
        <w:tc>
          <w:tcPr>
            <w:tcW w:w="6012" w:type="dxa"/>
            <w:gridSpan w:val="3"/>
            <w:shd w:val="clear" w:color="auto" w:fill="CCFFCC"/>
          </w:tcPr>
          <w:p w14:paraId="5D75ECAB" w14:textId="77777777" w:rsidR="000159A6" w:rsidRPr="00891DE1" w:rsidRDefault="000159A6" w:rsidP="00891DE1">
            <w:pPr>
              <w:spacing w:before="60" w:after="60" w:line="240" w:lineRule="auto"/>
              <w:jc w:val="center"/>
              <w:rPr>
                <w:sz w:val="20"/>
                <w:szCs w:val="20"/>
              </w:rPr>
            </w:pPr>
            <w:r w:rsidRPr="00891DE1">
              <w:rPr>
                <w:sz w:val="20"/>
                <w:szCs w:val="20"/>
              </w:rPr>
              <w:t>General foraging, flyovers, BIA for 7 species</w:t>
            </w:r>
          </w:p>
        </w:tc>
      </w:tr>
      <w:tr w:rsidR="00B200B8" w14:paraId="48758B17" w14:textId="77777777" w:rsidTr="00891DE1">
        <w:tc>
          <w:tcPr>
            <w:tcW w:w="2504" w:type="dxa"/>
          </w:tcPr>
          <w:p w14:paraId="1D931E5F" w14:textId="0141EA7A" w:rsidR="00B200B8" w:rsidRPr="00D221C8" w:rsidRDefault="00B200B8">
            <w:pPr>
              <w:spacing w:before="60" w:after="60" w:line="240" w:lineRule="auto"/>
              <w:ind w:hanging="720"/>
              <w:rPr>
                <w:sz w:val="20"/>
                <w:szCs w:val="20"/>
              </w:rPr>
            </w:pPr>
            <w:r>
              <w:rPr>
                <w:sz w:val="20"/>
                <w:szCs w:val="20"/>
              </w:rPr>
              <w:t>Shorebirds</w:t>
            </w:r>
          </w:p>
        </w:tc>
        <w:tc>
          <w:tcPr>
            <w:tcW w:w="2140" w:type="dxa"/>
            <w:shd w:val="clear" w:color="auto" w:fill="FF0000"/>
          </w:tcPr>
          <w:p w14:paraId="3000DF6E" w14:textId="77777777" w:rsidR="00B200B8" w:rsidRPr="00D97349" w:rsidRDefault="00B200B8">
            <w:pPr>
              <w:spacing w:before="60" w:after="60" w:line="240" w:lineRule="auto"/>
              <w:rPr>
                <w:sz w:val="20"/>
                <w:szCs w:val="20"/>
              </w:rPr>
            </w:pPr>
          </w:p>
        </w:tc>
        <w:tc>
          <w:tcPr>
            <w:tcW w:w="2186" w:type="dxa"/>
            <w:shd w:val="clear" w:color="auto" w:fill="FF0000"/>
          </w:tcPr>
          <w:p w14:paraId="2C884C4A" w14:textId="77777777" w:rsidR="00B200B8" w:rsidRPr="00D97349" w:rsidRDefault="00B200B8">
            <w:pPr>
              <w:spacing w:before="60" w:after="60" w:line="240" w:lineRule="auto"/>
              <w:rPr>
                <w:sz w:val="20"/>
                <w:szCs w:val="20"/>
              </w:rPr>
            </w:pPr>
          </w:p>
        </w:tc>
        <w:tc>
          <w:tcPr>
            <w:tcW w:w="1686" w:type="dxa"/>
            <w:shd w:val="clear" w:color="auto" w:fill="CCFFCC"/>
          </w:tcPr>
          <w:p w14:paraId="03E377BF" w14:textId="77777777" w:rsidR="00B200B8" w:rsidRPr="00D97349" w:rsidRDefault="00B200B8">
            <w:pPr>
              <w:spacing w:before="60" w:after="60" w:line="240" w:lineRule="auto"/>
              <w:rPr>
                <w:sz w:val="20"/>
                <w:szCs w:val="20"/>
              </w:rPr>
            </w:pPr>
          </w:p>
        </w:tc>
      </w:tr>
      <w:tr w:rsidR="000159A6" w14:paraId="5D9CCAF1" w14:textId="77777777" w:rsidTr="00891DE1">
        <w:tc>
          <w:tcPr>
            <w:tcW w:w="2504" w:type="dxa"/>
          </w:tcPr>
          <w:p w14:paraId="37213FEE" w14:textId="77777777" w:rsidR="000159A6" w:rsidRPr="00891DE1" w:rsidRDefault="000159A6" w:rsidP="00891DE1">
            <w:pPr>
              <w:spacing w:before="60" w:after="60" w:line="240" w:lineRule="auto"/>
              <w:ind w:hanging="720"/>
              <w:rPr>
                <w:sz w:val="20"/>
                <w:szCs w:val="20"/>
              </w:rPr>
            </w:pPr>
            <w:r w:rsidRPr="00891DE1">
              <w:rPr>
                <w:sz w:val="20"/>
                <w:szCs w:val="20"/>
              </w:rPr>
              <w:t>Marine pests</w:t>
            </w:r>
          </w:p>
        </w:tc>
        <w:tc>
          <w:tcPr>
            <w:tcW w:w="2140" w:type="dxa"/>
            <w:shd w:val="clear" w:color="auto" w:fill="CCFFCC"/>
          </w:tcPr>
          <w:p w14:paraId="119E685A" w14:textId="71B4EFE5" w:rsidR="000159A6" w:rsidRPr="00891DE1" w:rsidRDefault="00B200B8" w:rsidP="00891DE1">
            <w:pPr>
              <w:spacing w:before="60" w:after="60" w:line="240" w:lineRule="auto"/>
              <w:rPr>
                <w:sz w:val="20"/>
                <w:szCs w:val="20"/>
              </w:rPr>
            </w:pPr>
            <w:r>
              <w:rPr>
                <w:sz w:val="20"/>
                <w:szCs w:val="20"/>
              </w:rPr>
              <w:t>Possible</w:t>
            </w:r>
          </w:p>
        </w:tc>
        <w:tc>
          <w:tcPr>
            <w:tcW w:w="2186" w:type="dxa"/>
            <w:shd w:val="clear" w:color="auto" w:fill="CCFFCC"/>
          </w:tcPr>
          <w:p w14:paraId="051604D6" w14:textId="45640BAB" w:rsidR="000159A6" w:rsidRPr="00891DE1" w:rsidRDefault="00B200B8" w:rsidP="00891DE1">
            <w:pPr>
              <w:spacing w:before="60" w:after="60" w:line="240" w:lineRule="auto"/>
              <w:rPr>
                <w:sz w:val="20"/>
                <w:szCs w:val="20"/>
              </w:rPr>
            </w:pPr>
            <w:r>
              <w:rPr>
                <w:sz w:val="20"/>
                <w:szCs w:val="20"/>
              </w:rPr>
              <w:t>Possible</w:t>
            </w:r>
          </w:p>
        </w:tc>
        <w:tc>
          <w:tcPr>
            <w:tcW w:w="1686" w:type="dxa"/>
            <w:shd w:val="clear" w:color="auto" w:fill="CCFFCC"/>
          </w:tcPr>
          <w:p w14:paraId="38C44BCD" w14:textId="77777777" w:rsidR="000159A6" w:rsidRPr="00891DE1" w:rsidRDefault="000159A6" w:rsidP="00891DE1">
            <w:pPr>
              <w:spacing w:before="60" w:after="60" w:line="240" w:lineRule="auto"/>
              <w:rPr>
                <w:sz w:val="20"/>
                <w:szCs w:val="20"/>
              </w:rPr>
            </w:pPr>
          </w:p>
        </w:tc>
      </w:tr>
      <w:tr w:rsidR="007B28DC" w14:paraId="3BAC4505" w14:textId="77777777" w:rsidTr="00891DE1">
        <w:tc>
          <w:tcPr>
            <w:tcW w:w="8516" w:type="dxa"/>
            <w:gridSpan w:val="4"/>
            <w:shd w:val="clear" w:color="auto" w:fill="D9D9D9" w:themeFill="background1" w:themeFillShade="D9"/>
          </w:tcPr>
          <w:p w14:paraId="442ADEA5" w14:textId="0B52EA5F" w:rsidR="007B28DC" w:rsidRPr="00891DE1" w:rsidRDefault="007B28DC" w:rsidP="00891DE1">
            <w:pPr>
              <w:spacing w:before="60" w:after="60" w:line="240" w:lineRule="auto"/>
              <w:ind w:hanging="720"/>
              <w:rPr>
                <w:sz w:val="20"/>
                <w:szCs w:val="20"/>
              </w:rPr>
            </w:pPr>
            <w:r>
              <w:rPr>
                <w:sz w:val="20"/>
                <w:szCs w:val="20"/>
              </w:rPr>
              <w:t xml:space="preserve">Cultural </w:t>
            </w:r>
            <w:r w:rsidRPr="00891DE1">
              <w:rPr>
                <w:sz w:val="20"/>
                <w:szCs w:val="20"/>
              </w:rPr>
              <w:t>Heritage</w:t>
            </w:r>
            <w:r>
              <w:rPr>
                <w:sz w:val="20"/>
                <w:szCs w:val="20"/>
              </w:rPr>
              <w:t xml:space="preserve"> Values</w:t>
            </w:r>
          </w:p>
        </w:tc>
      </w:tr>
      <w:tr w:rsidR="000159A6" w14:paraId="101D46F2" w14:textId="77777777" w:rsidTr="00891DE1">
        <w:tc>
          <w:tcPr>
            <w:tcW w:w="2504" w:type="dxa"/>
          </w:tcPr>
          <w:p w14:paraId="5AE0ABEE" w14:textId="77777777" w:rsidR="000159A6" w:rsidRPr="00891DE1" w:rsidRDefault="000159A6" w:rsidP="00891DE1">
            <w:pPr>
              <w:spacing w:before="60" w:after="60" w:line="240" w:lineRule="auto"/>
              <w:ind w:hanging="720"/>
              <w:rPr>
                <w:sz w:val="20"/>
                <w:szCs w:val="20"/>
              </w:rPr>
            </w:pPr>
            <w:r w:rsidRPr="00891DE1">
              <w:rPr>
                <w:sz w:val="20"/>
                <w:szCs w:val="20"/>
              </w:rPr>
              <w:t>Shipwrecks</w:t>
            </w:r>
          </w:p>
        </w:tc>
        <w:tc>
          <w:tcPr>
            <w:tcW w:w="2140" w:type="dxa"/>
            <w:shd w:val="clear" w:color="auto" w:fill="FF0000"/>
          </w:tcPr>
          <w:p w14:paraId="78309E80" w14:textId="77777777" w:rsidR="000159A6" w:rsidRPr="00891DE1" w:rsidRDefault="000159A6" w:rsidP="00891DE1">
            <w:pPr>
              <w:spacing w:before="60" w:after="60" w:line="240" w:lineRule="auto"/>
              <w:ind w:hanging="720"/>
              <w:rPr>
                <w:sz w:val="20"/>
                <w:szCs w:val="20"/>
              </w:rPr>
            </w:pPr>
          </w:p>
        </w:tc>
        <w:tc>
          <w:tcPr>
            <w:tcW w:w="2186" w:type="dxa"/>
            <w:shd w:val="clear" w:color="auto" w:fill="FF0000"/>
          </w:tcPr>
          <w:p w14:paraId="7C3D9AEB" w14:textId="77777777" w:rsidR="000159A6" w:rsidRPr="00891DE1" w:rsidRDefault="000159A6" w:rsidP="00891DE1">
            <w:pPr>
              <w:spacing w:before="60" w:after="60" w:line="240" w:lineRule="auto"/>
              <w:ind w:hanging="720"/>
              <w:rPr>
                <w:sz w:val="20"/>
                <w:szCs w:val="20"/>
              </w:rPr>
            </w:pPr>
          </w:p>
        </w:tc>
        <w:tc>
          <w:tcPr>
            <w:tcW w:w="1686" w:type="dxa"/>
            <w:shd w:val="clear" w:color="auto" w:fill="CCFFCC"/>
          </w:tcPr>
          <w:p w14:paraId="626D247A" w14:textId="77777777" w:rsidR="000159A6" w:rsidRPr="00891DE1" w:rsidRDefault="000159A6" w:rsidP="00891DE1">
            <w:pPr>
              <w:spacing w:before="60" w:after="60" w:line="240" w:lineRule="auto"/>
              <w:ind w:hanging="720"/>
              <w:rPr>
                <w:sz w:val="20"/>
                <w:szCs w:val="20"/>
              </w:rPr>
            </w:pPr>
          </w:p>
        </w:tc>
      </w:tr>
      <w:tr w:rsidR="000159A6" w14:paraId="4E85C014" w14:textId="77777777" w:rsidTr="00891DE1">
        <w:tc>
          <w:tcPr>
            <w:tcW w:w="2504" w:type="dxa"/>
          </w:tcPr>
          <w:p w14:paraId="4E377799" w14:textId="77777777" w:rsidR="000159A6" w:rsidRPr="00891DE1" w:rsidRDefault="000159A6" w:rsidP="00891DE1">
            <w:pPr>
              <w:spacing w:before="60" w:after="60" w:line="240" w:lineRule="auto"/>
              <w:ind w:hanging="720"/>
              <w:rPr>
                <w:sz w:val="20"/>
                <w:szCs w:val="20"/>
              </w:rPr>
            </w:pPr>
            <w:r w:rsidRPr="00891DE1">
              <w:rPr>
                <w:sz w:val="20"/>
                <w:szCs w:val="20"/>
              </w:rPr>
              <w:t>Indigenous heritage</w:t>
            </w:r>
          </w:p>
        </w:tc>
        <w:tc>
          <w:tcPr>
            <w:tcW w:w="2140" w:type="dxa"/>
            <w:shd w:val="clear" w:color="auto" w:fill="FF0000"/>
          </w:tcPr>
          <w:p w14:paraId="40F3FF93" w14:textId="77777777" w:rsidR="000159A6" w:rsidRPr="00891DE1" w:rsidRDefault="000159A6" w:rsidP="00891DE1">
            <w:pPr>
              <w:spacing w:before="60" w:after="60" w:line="240" w:lineRule="auto"/>
              <w:ind w:hanging="720"/>
              <w:rPr>
                <w:sz w:val="20"/>
                <w:szCs w:val="20"/>
              </w:rPr>
            </w:pPr>
          </w:p>
        </w:tc>
        <w:tc>
          <w:tcPr>
            <w:tcW w:w="2186" w:type="dxa"/>
            <w:shd w:val="clear" w:color="auto" w:fill="FF0000"/>
          </w:tcPr>
          <w:p w14:paraId="6BA07FD1" w14:textId="77777777" w:rsidR="000159A6" w:rsidRPr="00891DE1" w:rsidRDefault="000159A6" w:rsidP="00891DE1">
            <w:pPr>
              <w:spacing w:before="60" w:after="60" w:line="240" w:lineRule="auto"/>
              <w:ind w:hanging="720"/>
              <w:rPr>
                <w:sz w:val="20"/>
                <w:szCs w:val="20"/>
              </w:rPr>
            </w:pPr>
          </w:p>
        </w:tc>
        <w:tc>
          <w:tcPr>
            <w:tcW w:w="1686" w:type="dxa"/>
            <w:shd w:val="clear" w:color="auto" w:fill="FF0000"/>
          </w:tcPr>
          <w:p w14:paraId="075477D4" w14:textId="77777777" w:rsidR="000159A6" w:rsidRPr="00891DE1" w:rsidRDefault="000159A6" w:rsidP="00891DE1">
            <w:pPr>
              <w:spacing w:before="60" w:after="60" w:line="240" w:lineRule="auto"/>
              <w:ind w:hanging="720"/>
              <w:rPr>
                <w:sz w:val="20"/>
                <w:szCs w:val="20"/>
              </w:rPr>
            </w:pPr>
          </w:p>
        </w:tc>
      </w:tr>
      <w:tr w:rsidR="007B28DC" w14:paraId="2DFCDAB3" w14:textId="77777777" w:rsidTr="00891DE1">
        <w:tc>
          <w:tcPr>
            <w:tcW w:w="8516" w:type="dxa"/>
            <w:gridSpan w:val="4"/>
            <w:shd w:val="clear" w:color="auto" w:fill="D9D9D9" w:themeFill="background1" w:themeFillShade="D9"/>
          </w:tcPr>
          <w:p w14:paraId="5F03C080" w14:textId="671B040D" w:rsidR="007B28DC" w:rsidRPr="00891DE1" w:rsidRDefault="007B28DC" w:rsidP="00891DE1">
            <w:pPr>
              <w:spacing w:before="60" w:after="60" w:line="240" w:lineRule="auto"/>
              <w:ind w:hanging="720"/>
              <w:rPr>
                <w:sz w:val="20"/>
                <w:szCs w:val="20"/>
              </w:rPr>
            </w:pPr>
            <w:r w:rsidRPr="00891DE1">
              <w:rPr>
                <w:sz w:val="20"/>
                <w:szCs w:val="20"/>
              </w:rPr>
              <w:t>Socio-economic</w:t>
            </w:r>
            <w:r w:rsidR="00F524E0">
              <w:rPr>
                <w:sz w:val="20"/>
                <w:szCs w:val="20"/>
              </w:rPr>
              <w:t xml:space="preserve"> Environment</w:t>
            </w:r>
          </w:p>
        </w:tc>
      </w:tr>
      <w:tr w:rsidR="000159A6" w14:paraId="1F8159A1" w14:textId="77777777" w:rsidTr="00891DE1">
        <w:tc>
          <w:tcPr>
            <w:tcW w:w="2504" w:type="dxa"/>
          </w:tcPr>
          <w:p w14:paraId="585EC397" w14:textId="77777777" w:rsidR="000159A6" w:rsidRPr="00891DE1" w:rsidRDefault="000159A6" w:rsidP="00891DE1">
            <w:pPr>
              <w:spacing w:before="60" w:after="60" w:line="240" w:lineRule="auto"/>
              <w:ind w:hanging="720"/>
              <w:rPr>
                <w:sz w:val="20"/>
                <w:szCs w:val="20"/>
              </w:rPr>
            </w:pPr>
            <w:r w:rsidRPr="00891DE1">
              <w:rPr>
                <w:sz w:val="20"/>
                <w:szCs w:val="20"/>
              </w:rPr>
              <w:t>Native Title</w:t>
            </w:r>
          </w:p>
        </w:tc>
        <w:tc>
          <w:tcPr>
            <w:tcW w:w="2140" w:type="dxa"/>
            <w:shd w:val="clear" w:color="auto" w:fill="FF0000"/>
          </w:tcPr>
          <w:p w14:paraId="46826B65" w14:textId="77777777" w:rsidR="000159A6" w:rsidRPr="00891DE1" w:rsidRDefault="000159A6" w:rsidP="00891DE1">
            <w:pPr>
              <w:spacing w:before="60" w:after="60" w:line="240" w:lineRule="auto"/>
              <w:rPr>
                <w:sz w:val="20"/>
                <w:szCs w:val="20"/>
              </w:rPr>
            </w:pPr>
          </w:p>
        </w:tc>
        <w:tc>
          <w:tcPr>
            <w:tcW w:w="2186" w:type="dxa"/>
            <w:shd w:val="clear" w:color="auto" w:fill="FF0000"/>
          </w:tcPr>
          <w:p w14:paraId="145EDEFB" w14:textId="77777777" w:rsidR="000159A6" w:rsidRPr="00891DE1" w:rsidRDefault="000159A6" w:rsidP="00891DE1">
            <w:pPr>
              <w:spacing w:before="60" w:after="60" w:line="240" w:lineRule="auto"/>
              <w:rPr>
                <w:sz w:val="20"/>
                <w:szCs w:val="20"/>
              </w:rPr>
            </w:pPr>
          </w:p>
        </w:tc>
        <w:tc>
          <w:tcPr>
            <w:tcW w:w="1686" w:type="dxa"/>
            <w:shd w:val="clear" w:color="auto" w:fill="FF0000"/>
          </w:tcPr>
          <w:p w14:paraId="169CFC22" w14:textId="77777777" w:rsidR="000159A6" w:rsidRPr="00891DE1" w:rsidRDefault="000159A6" w:rsidP="00891DE1">
            <w:pPr>
              <w:spacing w:before="60" w:after="60" w:line="240" w:lineRule="auto"/>
              <w:rPr>
                <w:sz w:val="20"/>
                <w:szCs w:val="20"/>
              </w:rPr>
            </w:pPr>
          </w:p>
        </w:tc>
      </w:tr>
      <w:tr w:rsidR="000159A6" w14:paraId="54483A06" w14:textId="77777777" w:rsidTr="00891DE1">
        <w:tc>
          <w:tcPr>
            <w:tcW w:w="2504" w:type="dxa"/>
          </w:tcPr>
          <w:p w14:paraId="40582E95" w14:textId="77777777" w:rsidR="000159A6" w:rsidRPr="00891DE1" w:rsidRDefault="000159A6" w:rsidP="00891DE1">
            <w:pPr>
              <w:spacing w:before="60" w:after="60" w:line="240" w:lineRule="auto"/>
              <w:ind w:hanging="720"/>
              <w:rPr>
                <w:sz w:val="20"/>
                <w:szCs w:val="20"/>
              </w:rPr>
            </w:pPr>
            <w:r w:rsidRPr="00891DE1">
              <w:rPr>
                <w:sz w:val="20"/>
                <w:szCs w:val="20"/>
              </w:rPr>
              <w:t>Tourism</w:t>
            </w:r>
          </w:p>
        </w:tc>
        <w:tc>
          <w:tcPr>
            <w:tcW w:w="2140" w:type="dxa"/>
            <w:shd w:val="clear" w:color="auto" w:fill="CCFFCC"/>
          </w:tcPr>
          <w:p w14:paraId="11FFF3B5" w14:textId="77777777" w:rsidR="000159A6" w:rsidRPr="00891DE1" w:rsidRDefault="000159A6" w:rsidP="00891DE1">
            <w:pPr>
              <w:spacing w:before="60" w:after="60" w:line="240" w:lineRule="auto"/>
              <w:ind w:left="0"/>
              <w:rPr>
                <w:sz w:val="20"/>
                <w:szCs w:val="20"/>
              </w:rPr>
            </w:pPr>
            <w:r w:rsidRPr="00891DE1">
              <w:rPr>
                <w:sz w:val="20"/>
                <w:szCs w:val="20"/>
              </w:rPr>
              <w:t>Possible game fishing</w:t>
            </w:r>
          </w:p>
        </w:tc>
        <w:tc>
          <w:tcPr>
            <w:tcW w:w="2186" w:type="dxa"/>
            <w:shd w:val="clear" w:color="auto" w:fill="CCFFCC"/>
          </w:tcPr>
          <w:p w14:paraId="2335179C" w14:textId="0AC22C3A" w:rsidR="000159A6" w:rsidRPr="00891DE1" w:rsidRDefault="000159A6" w:rsidP="00891DE1">
            <w:pPr>
              <w:spacing w:before="60" w:after="60" w:line="240" w:lineRule="auto"/>
              <w:ind w:hanging="686"/>
              <w:rPr>
                <w:sz w:val="20"/>
                <w:szCs w:val="20"/>
              </w:rPr>
            </w:pPr>
          </w:p>
        </w:tc>
        <w:tc>
          <w:tcPr>
            <w:tcW w:w="1686" w:type="dxa"/>
            <w:shd w:val="clear" w:color="auto" w:fill="CCFFCC"/>
          </w:tcPr>
          <w:p w14:paraId="46D77FA2" w14:textId="77777777" w:rsidR="000159A6" w:rsidRPr="00891DE1" w:rsidRDefault="000159A6" w:rsidP="00891DE1">
            <w:pPr>
              <w:spacing w:before="60" w:after="60" w:line="240" w:lineRule="auto"/>
              <w:ind w:hanging="631"/>
              <w:rPr>
                <w:sz w:val="20"/>
                <w:szCs w:val="20"/>
              </w:rPr>
            </w:pPr>
          </w:p>
        </w:tc>
      </w:tr>
      <w:tr w:rsidR="000159A6" w14:paraId="6DBEE4EF" w14:textId="77777777" w:rsidTr="00891DE1">
        <w:tc>
          <w:tcPr>
            <w:tcW w:w="2504" w:type="dxa"/>
          </w:tcPr>
          <w:p w14:paraId="71E6DFA7" w14:textId="77777777" w:rsidR="000159A6" w:rsidRPr="00891DE1" w:rsidRDefault="000159A6" w:rsidP="00891DE1">
            <w:pPr>
              <w:spacing w:before="60" w:after="60" w:line="240" w:lineRule="auto"/>
              <w:ind w:left="142" w:hanging="142"/>
              <w:rPr>
                <w:sz w:val="20"/>
                <w:szCs w:val="20"/>
              </w:rPr>
            </w:pPr>
            <w:r w:rsidRPr="00891DE1">
              <w:rPr>
                <w:sz w:val="20"/>
                <w:szCs w:val="20"/>
              </w:rPr>
              <w:t>Petroleum infrastructure</w:t>
            </w:r>
          </w:p>
        </w:tc>
        <w:tc>
          <w:tcPr>
            <w:tcW w:w="2140" w:type="dxa"/>
            <w:shd w:val="clear" w:color="auto" w:fill="CCFFCC"/>
          </w:tcPr>
          <w:p w14:paraId="411F03F4" w14:textId="77777777" w:rsidR="000159A6" w:rsidRPr="00891DE1" w:rsidRDefault="000159A6" w:rsidP="00891DE1">
            <w:pPr>
              <w:spacing w:before="60" w:after="60" w:line="240" w:lineRule="auto"/>
              <w:ind w:left="0"/>
              <w:rPr>
                <w:sz w:val="20"/>
                <w:szCs w:val="20"/>
              </w:rPr>
            </w:pPr>
          </w:p>
        </w:tc>
        <w:tc>
          <w:tcPr>
            <w:tcW w:w="2186" w:type="dxa"/>
            <w:shd w:val="clear" w:color="auto" w:fill="CCFFCC"/>
          </w:tcPr>
          <w:p w14:paraId="5DE76BE6" w14:textId="77777777" w:rsidR="000159A6" w:rsidRPr="00891DE1" w:rsidRDefault="000159A6" w:rsidP="00891DE1">
            <w:pPr>
              <w:spacing w:before="60" w:after="60" w:line="240" w:lineRule="auto"/>
              <w:rPr>
                <w:sz w:val="20"/>
                <w:szCs w:val="20"/>
              </w:rPr>
            </w:pPr>
          </w:p>
        </w:tc>
        <w:tc>
          <w:tcPr>
            <w:tcW w:w="1686" w:type="dxa"/>
            <w:shd w:val="clear" w:color="auto" w:fill="CCFFCC"/>
          </w:tcPr>
          <w:p w14:paraId="1223429B" w14:textId="77777777" w:rsidR="000159A6" w:rsidRPr="00891DE1" w:rsidRDefault="000159A6" w:rsidP="00891DE1">
            <w:pPr>
              <w:spacing w:before="60" w:after="60" w:line="240" w:lineRule="auto"/>
              <w:ind w:hanging="631"/>
              <w:rPr>
                <w:sz w:val="20"/>
                <w:szCs w:val="20"/>
              </w:rPr>
            </w:pPr>
          </w:p>
        </w:tc>
      </w:tr>
      <w:tr w:rsidR="000159A6" w14:paraId="38745325" w14:textId="77777777" w:rsidTr="00891DE1">
        <w:tc>
          <w:tcPr>
            <w:tcW w:w="2504" w:type="dxa"/>
          </w:tcPr>
          <w:p w14:paraId="4F61A09B" w14:textId="77777777" w:rsidR="000159A6" w:rsidRPr="00891DE1" w:rsidRDefault="000159A6" w:rsidP="00891DE1">
            <w:pPr>
              <w:spacing w:before="60" w:after="60" w:line="240" w:lineRule="auto"/>
              <w:ind w:hanging="720"/>
              <w:rPr>
                <w:sz w:val="20"/>
                <w:szCs w:val="20"/>
              </w:rPr>
            </w:pPr>
            <w:r w:rsidRPr="00891DE1">
              <w:rPr>
                <w:sz w:val="20"/>
                <w:szCs w:val="20"/>
              </w:rPr>
              <w:t>Commercial fishing</w:t>
            </w:r>
          </w:p>
        </w:tc>
        <w:tc>
          <w:tcPr>
            <w:tcW w:w="2140" w:type="dxa"/>
            <w:shd w:val="clear" w:color="auto" w:fill="CCFFCC"/>
          </w:tcPr>
          <w:p w14:paraId="6F5B36D8" w14:textId="77777777" w:rsidR="000159A6" w:rsidRPr="00891DE1" w:rsidRDefault="000159A6" w:rsidP="00891DE1">
            <w:pPr>
              <w:spacing w:before="60" w:after="60" w:line="240" w:lineRule="auto"/>
              <w:ind w:left="0"/>
              <w:rPr>
                <w:sz w:val="20"/>
                <w:szCs w:val="20"/>
              </w:rPr>
            </w:pPr>
            <w:r w:rsidRPr="00891DE1">
              <w:rPr>
                <w:sz w:val="20"/>
                <w:szCs w:val="20"/>
              </w:rPr>
              <w:t>Southern squid jig</w:t>
            </w:r>
          </w:p>
          <w:p w14:paraId="1953E2D3" w14:textId="77777777" w:rsidR="000159A6" w:rsidRPr="00891DE1" w:rsidRDefault="000159A6" w:rsidP="00891DE1">
            <w:pPr>
              <w:spacing w:before="60" w:after="60" w:line="240" w:lineRule="auto"/>
              <w:ind w:left="0"/>
              <w:rPr>
                <w:sz w:val="20"/>
                <w:szCs w:val="20"/>
              </w:rPr>
            </w:pPr>
            <w:r w:rsidRPr="00891DE1">
              <w:rPr>
                <w:sz w:val="20"/>
                <w:szCs w:val="20"/>
              </w:rPr>
              <w:t>Shark gillnet/hook</w:t>
            </w:r>
          </w:p>
          <w:p w14:paraId="423170EC" w14:textId="77777777" w:rsidR="000159A6" w:rsidRPr="00891DE1" w:rsidRDefault="000159A6" w:rsidP="00891DE1">
            <w:pPr>
              <w:spacing w:before="60" w:after="60" w:line="240" w:lineRule="auto"/>
              <w:ind w:left="0"/>
              <w:rPr>
                <w:sz w:val="20"/>
                <w:szCs w:val="20"/>
              </w:rPr>
            </w:pPr>
            <w:r w:rsidRPr="00891DE1">
              <w:rPr>
                <w:sz w:val="20"/>
                <w:szCs w:val="20"/>
              </w:rPr>
              <w:t>Trawl</w:t>
            </w:r>
          </w:p>
        </w:tc>
        <w:tc>
          <w:tcPr>
            <w:tcW w:w="2186" w:type="dxa"/>
            <w:shd w:val="clear" w:color="auto" w:fill="CCFFCC"/>
          </w:tcPr>
          <w:p w14:paraId="7DC5F761" w14:textId="77777777" w:rsidR="000159A6" w:rsidRPr="00891DE1" w:rsidRDefault="000159A6" w:rsidP="00891DE1">
            <w:pPr>
              <w:spacing w:before="60" w:after="60" w:line="240" w:lineRule="auto"/>
              <w:ind w:hanging="720"/>
              <w:rPr>
                <w:sz w:val="20"/>
                <w:szCs w:val="20"/>
              </w:rPr>
            </w:pPr>
            <w:r w:rsidRPr="00891DE1">
              <w:rPr>
                <w:sz w:val="20"/>
                <w:szCs w:val="20"/>
              </w:rPr>
              <w:t>Scallop</w:t>
            </w:r>
          </w:p>
          <w:p w14:paraId="2EB048CA" w14:textId="77777777" w:rsidR="000159A6" w:rsidRPr="00891DE1" w:rsidRDefault="000159A6" w:rsidP="00891DE1">
            <w:pPr>
              <w:spacing w:before="60" w:after="60" w:line="240" w:lineRule="auto"/>
              <w:ind w:hanging="720"/>
              <w:rPr>
                <w:sz w:val="20"/>
                <w:szCs w:val="20"/>
              </w:rPr>
            </w:pPr>
            <w:r w:rsidRPr="00891DE1">
              <w:rPr>
                <w:sz w:val="20"/>
                <w:szCs w:val="20"/>
              </w:rPr>
              <w:t>Rock lobster</w:t>
            </w:r>
          </w:p>
          <w:p w14:paraId="3BE52D4C" w14:textId="77777777" w:rsidR="000159A6" w:rsidRPr="00891DE1" w:rsidRDefault="000159A6" w:rsidP="00891DE1">
            <w:pPr>
              <w:spacing w:before="60" w:after="60" w:line="240" w:lineRule="auto"/>
              <w:ind w:hanging="720"/>
              <w:rPr>
                <w:sz w:val="20"/>
                <w:szCs w:val="20"/>
              </w:rPr>
            </w:pPr>
            <w:r w:rsidRPr="00891DE1">
              <w:rPr>
                <w:sz w:val="20"/>
                <w:szCs w:val="20"/>
              </w:rPr>
              <w:t>Ocean access</w:t>
            </w:r>
          </w:p>
          <w:p w14:paraId="62079420" w14:textId="77777777" w:rsidR="000159A6" w:rsidRPr="00891DE1" w:rsidRDefault="000159A6" w:rsidP="00891DE1">
            <w:pPr>
              <w:spacing w:before="60" w:after="60" w:line="240" w:lineRule="auto"/>
              <w:ind w:hanging="720"/>
              <w:rPr>
                <w:sz w:val="20"/>
                <w:szCs w:val="20"/>
              </w:rPr>
            </w:pPr>
            <w:r w:rsidRPr="00891DE1">
              <w:rPr>
                <w:sz w:val="20"/>
                <w:szCs w:val="20"/>
              </w:rPr>
              <w:t>Ocean purse seine</w:t>
            </w:r>
          </w:p>
          <w:p w14:paraId="57CA6F75" w14:textId="77777777" w:rsidR="000159A6" w:rsidRPr="00891DE1" w:rsidRDefault="000159A6" w:rsidP="00891DE1">
            <w:pPr>
              <w:spacing w:before="60" w:after="60" w:line="240" w:lineRule="auto"/>
              <w:ind w:hanging="720"/>
              <w:rPr>
                <w:sz w:val="20"/>
                <w:szCs w:val="20"/>
              </w:rPr>
            </w:pPr>
            <w:r w:rsidRPr="00891DE1">
              <w:rPr>
                <w:sz w:val="20"/>
                <w:szCs w:val="20"/>
              </w:rPr>
              <w:t>Inshore trawl</w:t>
            </w:r>
          </w:p>
        </w:tc>
        <w:tc>
          <w:tcPr>
            <w:tcW w:w="1686" w:type="dxa"/>
            <w:shd w:val="clear" w:color="auto" w:fill="CCFFCC"/>
          </w:tcPr>
          <w:p w14:paraId="0C22C18F" w14:textId="77777777" w:rsidR="000159A6" w:rsidRPr="00891DE1" w:rsidRDefault="000159A6" w:rsidP="00891DE1">
            <w:pPr>
              <w:spacing w:before="60" w:after="60" w:line="240" w:lineRule="auto"/>
              <w:ind w:left="0"/>
              <w:rPr>
                <w:sz w:val="20"/>
                <w:szCs w:val="20"/>
              </w:rPr>
            </w:pPr>
            <w:r w:rsidRPr="00891DE1">
              <w:rPr>
                <w:sz w:val="20"/>
                <w:szCs w:val="20"/>
              </w:rPr>
              <w:t>Scalefish hook</w:t>
            </w:r>
          </w:p>
          <w:p w14:paraId="2C684D90" w14:textId="77777777" w:rsidR="000159A6" w:rsidRPr="00891DE1" w:rsidRDefault="000159A6" w:rsidP="00891DE1">
            <w:pPr>
              <w:spacing w:before="60" w:after="60" w:line="240" w:lineRule="auto"/>
              <w:ind w:left="0"/>
              <w:rPr>
                <w:sz w:val="20"/>
                <w:szCs w:val="20"/>
              </w:rPr>
            </w:pPr>
            <w:r w:rsidRPr="00891DE1">
              <w:rPr>
                <w:sz w:val="20"/>
                <w:szCs w:val="20"/>
              </w:rPr>
              <w:t>Abalone</w:t>
            </w:r>
          </w:p>
        </w:tc>
      </w:tr>
      <w:tr w:rsidR="000159A6" w14:paraId="1DBA5018" w14:textId="77777777" w:rsidTr="00891DE1">
        <w:tc>
          <w:tcPr>
            <w:tcW w:w="2504" w:type="dxa"/>
          </w:tcPr>
          <w:p w14:paraId="61A6975E" w14:textId="77777777" w:rsidR="000159A6" w:rsidRPr="00891DE1" w:rsidRDefault="000159A6" w:rsidP="00891DE1">
            <w:pPr>
              <w:spacing w:before="60" w:after="60" w:line="240" w:lineRule="auto"/>
              <w:ind w:hanging="720"/>
              <w:rPr>
                <w:sz w:val="20"/>
                <w:szCs w:val="20"/>
              </w:rPr>
            </w:pPr>
            <w:r w:rsidRPr="00891DE1">
              <w:rPr>
                <w:sz w:val="20"/>
                <w:szCs w:val="20"/>
              </w:rPr>
              <w:t>Recreational fishing</w:t>
            </w:r>
          </w:p>
        </w:tc>
        <w:tc>
          <w:tcPr>
            <w:tcW w:w="2140" w:type="dxa"/>
            <w:shd w:val="clear" w:color="auto" w:fill="CCFFCC"/>
          </w:tcPr>
          <w:p w14:paraId="4F09E4B0" w14:textId="77777777" w:rsidR="000159A6" w:rsidRPr="00891DE1" w:rsidRDefault="000159A6" w:rsidP="00891DE1">
            <w:pPr>
              <w:spacing w:before="60" w:after="60" w:line="240" w:lineRule="auto"/>
              <w:ind w:left="0"/>
              <w:rPr>
                <w:sz w:val="20"/>
                <w:szCs w:val="20"/>
              </w:rPr>
            </w:pPr>
            <w:r w:rsidRPr="00891DE1">
              <w:rPr>
                <w:sz w:val="20"/>
                <w:szCs w:val="20"/>
              </w:rPr>
              <w:t>Possible game fishing</w:t>
            </w:r>
          </w:p>
        </w:tc>
        <w:tc>
          <w:tcPr>
            <w:tcW w:w="2186" w:type="dxa"/>
            <w:shd w:val="clear" w:color="auto" w:fill="CCFFCC"/>
          </w:tcPr>
          <w:p w14:paraId="49971139" w14:textId="56275395" w:rsidR="000159A6" w:rsidRPr="00891DE1" w:rsidRDefault="00B200B8" w:rsidP="00891DE1">
            <w:pPr>
              <w:spacing w:before="60" w:after="60" w:line="240" w:lineRule="auto"/>
              <w:ind w:hanging="720"/>
              <w:rPr>
                <w:sz w:val="20"/>
                <w:szCs w:val="20"/>
              </w:rPr>
            </w:pPr>
            <w:r>
              <w:rPr>
                <w:sz w:val="20"/>
                <w:szCs w:val="20"/>
              </w:rPr>
              <w:t>Mostly beach fishing</w:t>
            </w:r>
          </w:p>
        </w:tc>
        <w:tc>
          <w:tcPr>
            <w:tcW w:w="1686" w:type="dxa"/>
            <w:shd w:val="clear" w:color="auto" w:fill="CCFFCC"/>
          </w:tcPr>
          <w:p w14:paraId="437C9704" w14:textId="77777777" w:rsidR="000159A6" w:rsidRPr="00891DE1" w:rsidRDefault="000159A6" w:rsidP="00891DE1">
            <w:pPr>
              <w:spacing w:before="60" w:after="60" w:line="240" w:lineRule="auto"/>
              <w:ind w:hanging="631"/>
              <w:rPr>
                <w:sz w:val="20"/>
                <w:szCs w:val="20"/>
              </w:rPr>
            </w:pPr>
          </w:p>
        </w:tc>
      </w:tr>
      <w:tr w:rsidR="000159A6" w14:paraId="3FE5CA31" w14:textId="77777777" w:rsidTr="00891DE1">
        <w:tc>
          <w:tcPr>
            <w:tcW w:w="2504" w:type="dxa"/>
          </w:tcPr>
          <w:p w14:paraId="0F9F61D1" w14:textId="77777777" w:rsidR="000159A6" w:rsidRPr="00891DE1" w:rsidRDefault="000159A6" w:rsidP="00891DE1">
            <w:pPr>
              <w:spacing w:before="40" w:after="240" w:line="240" w:lineRule="auto"/>
              <w:ind w:hanging="720"/>
              <w:rPr>
                <w:sz w:val="20"/>
                <w:szCs w:val="20"/>
              </w:rPr>
            </w:pPr>
            <w:r w:rsidRPr="00891DE1">
              <w:rPr>
                <w:sz w:val="20"/>
                <w:szCs w:val="20"/>
              </w:rPr>
              <w:t>Commercial shipping</w:t>
            </w:r>
          </w:p>
        </w:tc>
        <w:tc>
          <w:tcPr>
            <w:tcW w:w="2140" w:type="dxa"/>
            <w:shd w:val="clear" w:color="auto" w:fill="CCFFCC"/>
          </w:tcPr>
          <w:p w14:paraId="70785222" w14:textId="77777777" w:rsidR="000159A6" w:rsidRPr="00891DE1" w:rsidRDefault="000159A6" w:rsidP="00891DE1">
            <w:pPr>
              <w:spacing w:before="40" w:after="240" w:line="240" w:lineRule="auto"/>
              <w:ind w:left="0"/>
              <w:rPr>
                <w:sz w:val="20"/>
                <w:szCs w:val="20"/>
              </w:rPr>
            </w:pPr>
          </w:p>
        </w:tc>
        <w:tc>
          <w:tcPr>
            <w:tcW w:w="2186" w:type="dxa"/>
            <w:shd w:val="clear" w:color="auto" w:fill="CCFFCC"/>
          </w:tcPr>
          <w:p w14:paraId="52F3DFEE" w14:textId="77777777" w:rsidR="000159A6" w:rsidRPr="00891DE1" w:rsidRDefault="000159A6" w:rsidP="00891DE1">
            <w:pPr>
              <w:spacing w:before="40" w:after="240" w:line="240" w:lineRule="auto"/>
              <w:ind w:hanging="686"/>
              <w:rPr>
                <w:sz w:val="20"/>
                <w:szCs w:val="20"/>
              </w:rPr>
            </w:pPr>
          </w:p>
        </w:tc>
        <w:tc>
          <w:tcPr>
            <w:tcW w:w="1686" w:type="dxa"/>
            <w:shd w:val="clear" w:color="auto" w:fill="CCFFCC"/>
          </w:tcPr>
          <w:p w14:paraId="70E297C8" w14:textId="77777777" w:rsidR="000159A6" w:rsidRPr="00891DE1" w:rsidRDefault="000159A6" w:rsidP="00891DE1">
            <w:pPr>
              <w:spacing w:before="40" w:after="240" w:line="240" w:lineRule="auto"/>
              <w:ind w:hanging="631"/>
              <w:rPr>
                <w:sz w:val="20"/>
                <w:szCs w:val="20"/>
              </w:rPr>
            </w:pPr>
          </w:p>
        </w:tc>
      </w:tr>
    </w:tbl>
    <w:p w14:paraId="7BB22158" w14:textId="71C1AA3F" w:rsidR="00626C2A" w:rsidRPr="00891DE1" w:rsidRDefault="005858FE" w:rsidP="00891DE1">
      <w:pPr>
        <w:spacing w:before="40" w:after="240" w:line="240" w:lineRule="auto"/>
        <w:ind w:hanging="720"/>
        <w:rPr>
          <w:iCs/>
        </w:rPr>
      </w:pPr>
      <w:r>
        <w:rPr>
          <w:i/>
          <w:sz w:val="16"/>
          <w:szCs w:val="16"/>
        </w:rPr>
        <w:t xml:space="preserve">Red shading denotes no presence, green shading denotes presence. </w:t>
      </w:r>
    </w:p>
    <w:p w14:paraId="64B32744" w14:textId="0A91AD87" w:rsidR="00F92BED" w:rsidRPr="00D558AB" w:rsidRDefault="00F92BED" w:rsidP="00D558AB">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142" w:name="_Toc375214535"/>
      <w:r w:rsidRPr="00D558AB">
        <w:rPr>
          <w:rFonts w:cs="Times New Roman"/>
          <w:iCs w:val="0"/>
          <w:color w:val="064EA8"/>
          <w:szCs w:val="26"/>
          <w:lang w:eastAsia="en-US"/>
        </w:rPr>
        <w:t>Regional Context</w:t>
      </w:r>
      <w:bookmarkEnd w:id="140"/>
      <w:bookmarkEnd w:id="141"/>
      <w:bookmarkEnd w:id="142"/>
    </w:p>
    <w:p w14:paraId="47F64AF9" w14:textId="4B560AB1" w:rsidR="00EF70A5" w:rsidRPr="003E7F11" w:rsidRDefault="00DF19FA" w:rsidP="0018170F">
      <w:pPr>
        <w:pStyle w:val="bodycopy"/>
        <w:rPr>
          <w:rFonts w:ascii="Arial" w:hAnsi="Arial"/>
          <w:sz w:val="22"/>
          <w:szCs w:val="22"/>
        </w:rPr>
      </w:pPr>
      <w:r w:rsidRPr="0032590F">
        <w:rPr>
          <w:rFonts w:ascii="Arial" w:hAnsi="Arial"/>
          <w:sz w:val="22"/>
          <w:szCs w:val="22"/>
        </w:rPr>
        <w:t xml:space="preserve">The </w:t>
      </w:r>
      <w:r w:rsidR="0018170F" w:rsidRPr="0032590F">
        <w:rPr>
          <w:rFonts w:ascii="Arial" w:hAnsi="Arial"/>
          <w:sz w:val="22"/>
          <w:szCs w:val="22"/>
        </w:rPr>
        <w:t>proposed Pelican 3DMSS acquisition area is</w:t>
      </w:r>
      <w:r w:rsidRPr="0032590F">
        <w:rPr>
          <w:rFonts w:ascii="Arial" w:hAnsi="Arial"/>
          <w:sz w:val="22"/>
          <w:szCs w:val="22"/>
        </w:rPr>
        <w:t xml:space="preserve"> located within the </w:t>
      </w:r>
      <w:r w:rsidR="0018170F" w:rsidRPr="0032590F">
        <w:rPr>
          <w:rFonts w:ascii="Arial" w:hAnsi="Arial"/>
          <w:sz w:val="22"/>
          <w:szCs w:val="22"/>
        </w:rPr>
        <w:t xml:space="preserve">Southeast Shelf </w:t>
      </w:r>
      <w:r w:rsidR="00517CF6" w:rsidRPr="0032590F">
        <w:rPr>
          <w:rFonts w:ascii="Arial" w:hAnsi="Arial"/>
          <w:sz w:val="22"/>
          <w:szCs w:val="22"/>
        </w:rPr>
        <w:t>T</w:t>
      </w:r>
      <w:r w:rsidR="0018170F" w:rsidRPr="0032590F">
        <w:rPr>
          <w:rFonts w:ascii="Arial" w:hAnsi="Arial"/>
          <w:sz w:val="22"/>
          <w:szCs w:val="22"/>
        </w:rPr>
        <w:t xml:space="preserve">ransition provincial bioregion </w:t>
      </w:r>
      <w:r w:rsidR="0078207F" w:rsidRPr="0032590F">
        <w:rPr>
          <w:rFonts w:ascii="Arial" w:hAnsi="Arial"/>
          <w:sz w:val="22"/>
          <w:szCs w:val="22"/>
        </w:rPr>
        <w:t>within th</w:t>
      </w:r>
      <w:r w:rsidR="0018170F" w:rsidRPr="0032590F">
        <w:rPr>
          <w:rFonts w:ascii="Arial" w:hAnsi="Arial"/>
          <w:sz w:val="22"/>
          <w:szCs w:val="22"/>
        </w:rPr>
        <w:t xml:space="preserve">e </w:t>
      </w:r>
      <w:r w:rsidRPr="0032590F">
        <w:rPr>
          <w:rFonts w:ascii="Arial" w:hAnsi="Arial"/>
          <w:sz w:val="22"/>
          <w:szCs w:val="22"/>
        </w:rPr>
        <w:t>South-east marine region</w:t>
      </w:r>
      <w:r w:rsidR="0018170F" w:rsidRPr="0032590F">
        <w:rPr>
          <w:rFonts w:ascii="Arial" w:hAnsi="Arial"/>
          <w:sz w:val="22"/>
          <w:szCs w:val="22"/>
        </w:rPr>
        <w:t xml:space="preserve"> (DoE, 2015</w:t>
      </w:r>
      <w:r w:rsidR="00225AD2">
        <w:rPr>
          <w:rFonts w:ascii="Arial" w:hAnsi="Arial"/>
          <w:sz w:val="22"/>
          <w:szCs w:val="22"/>
        </w:rPr>
        <w:t>a</w:t>
      </w:r>
      <w:r w:rsidR="0018170F" w:rsidRPr="0032590F">
        <w:rPr>
          <w:rFonts w:ascii="Arial" w:hAnsi="Arial"/>
          <w:sz w:val="22"/>
          <w:szCs w:val="22"/>
        </w:rPr>
        <w:t>)</w:t>
      </w:r>
      <w:r w:rsidRPr="0032590F">
        <w:rPr>
          <w:rFonts w:ascii="Arial" w:hAnsi="Arial"/>
          <w:sz w:val="22"/>
          <w:szCs w:val="22"/>
        </w:rPr>
        <w:t>. This region extends from east of Wilson’s Promontory to north of Tathra (NSW)</w:t>
      </w:r>
      <w:r w:rsidR="00F42DAD" w:rsidRPr="0032590F">
        <w:rPr>
          <w:rFonts w:ascii="Arial" w:hAnsi="Arial"/>
          <w:sz w:val="22"/>
          <w:szCs w:val="22"/>
        </w:rPr>
        <w:t xml:space="preserve"> </w:t>
      </w:r>
      <w:r w:rsidR="00F42DAD" w:rsidRPr="00D467EA">
        <w:rPr>
          <w:rFonts w:ascii="Arial" w:hAnsi="Arial"/>
          <w:sz w:val="22"/>
          <w:szCs w:val="22"/>
        </w:rPr>
        <w:t>(</w:t>
      </w:r>
      <w:r w:rsidR="00F42DAD" w:rsidRPr="003E7F11">
        <w:rPr>
          <w:rFonts w:ascii="Arial" w:hAnsi="Arial"/>
          <w:sz w:val="22"/>
          <w:szCs w:val="22"/>
        </w:rPr>
        <w:t>Figure 5.2)</w:t>
      </w:r>
      <w:r w:rsidRPr="003E7F11">
        <w:rPr>
          <w:rFonts w:ascii="Arial" w:hAnsi="Arial"/>
          <w:sz w:val="22"/>
          <w:szCs w:val="22"/>
        </w:rPr>
        <w:t xml:space="preserve">. </w:t>
      </w:r>
    </w:p>
    <w:p w14:paraId="4EA7022E" w14:textId="77777777" w:rsidR="00EF70A5" w:rsidRPr="0032590F" w:rsidRDefault="00EF70A5" w:rsidP="00EF70A5">
      <w:pPr>
        <w:pStyle w:val="bodycopy"/>
        <w:rPr>
          <w:rFonts w:ascii="Arial" w:hAnsi="Arial"/>
          <w:sz w:val="22"/>
          <w:szCs w:val="22"/>
        </w:rPr>
      </w:pPr>
      <w:r w:rsidRPr="003E7F11">
        <w:rPr>
          <w:rFonts w:ascii="Arial" w:hAnsi="Arial"/>
          <w:sz w:val="22"/>
          <w:szCs w:val="22"/>
        </w:rPr>
        <w:t xml:space="preserve">Victoria’s marine environment has been classified into five bioregions, with the proposed acquisition area located within the Twofold Shelf bioregion (Figure 5.2). </w:t>
      </w:r>
      <w:r w:rsidRPr="0032590F">
        <w:rPr>
          <w:rFonts w:ascii="Arial" w:hAnsi="Arial"/>
          <w:sz w:val="22"/>
          <w:szCs w:val="22"/>
        </w:rPr>
        <w:t xml:space="preserve">These bioregions are defined based on their distinct and unique habitats and biological communities, structured by a combination of physical, chemical and biological processes (Barton </w:t>
      </w:r>
      <w:r w:rsidRPr="0032590F">
        <w:rPr>
          <w:rFonts w:ascii="Arial" w:hAnsi="Arial"/>
          <w:i/>
          <w:sz w:val="22"/>
          <w:szCs w:val="22"/>
        </w:rPr>
        <w:t>et al</w:t>
      </w:r>
      <w:r w:rsidRPr="0032590F">
        <w:rPr>
          <w:rFonts w:ascii="Arial" w:hAnsi="Arial"/>
          <w:sz w:val="22"/>
          <w:szCs w:val="22"/>
        </w:rPr>
        <w:t>., 2012).</w:t>
      </w:r>
    </w:p>
    <w:p w14:paraId="780B82BD" w14:textId="77777777" w:rsidR="00F42DAD" w:rsidRPr="0032590F" w:rsidRDefault="00F42DAD" w:rsidP="00F42DAD">
      <w:pPr>
        <w:pStyle w:val="bodycopy"/>
        <w:rPr>
          <w:rFonts w:ascii="Arial" w:hAnsi="Arial"/>
          <w:sz w:val="22"/>
          <w:szCs w:val="22"/>
        </w:rPr>
      </w:pPr>
      <w:r w:rsidRPr="0032590F">
        <w:rPr>
          <w:rFonts w:ascii="Arial" w:hAnsi="Arial"/>
          <w:sz w:val="22"/>
          <w:szCs w:val="22"/>
        </w:rPr>
        <w:t xml:space="preserve">The coastline adjacent to the bioregions (as classified at the Commonwealth and state scales) is exposed with long sandy beaches broken by rocky headlands and numerous coastal lagoons. </w:t>
      </w:r>
    </w:p>
    <w:p w14:paraId="6CA3794E" w14:textId="77777777" w:rsidR="00F42DAD" w:rsidRPr="00524A3D" w:rsidRDefault="00F42DAD" w:rsidP="00F42DAD">
      <w:pPr>
        <w:pStyle w:val="Heading3"/>
      </w:pPr>
      <w:bookmarkStart w:id="143" w:name="_Toc474221986"/>
      <w:bookmarkStart w:id="144" w:name="_Toc375214536"/>
      <w:r w:rsidRPr="00E60028">
        <w:t>Climate</w:t>
      </w:r>
      <w:bookmarkEnd w:id="143"/>
      <w:bookmarkEnd w:id="144"/>
    </w:p>
    <w:p w14:paraId="56718DDC" w14:textId="77777777" w:rsidR="00F42DAD" w:rsidRPr="0032590F" w:rsidRDefault="00F42DAD" w:rsidP="00F42DAD">
      <w:pPr>
        <w:pStyle w:val="bodycopy"/>
        <w:rPr>
          <w:rFonts w:ascii="Arial" w:hAnsi="Arial"/>
          <w:sz w:val="22"/>
          <w:szCs w:val="22"/>
        </w:rPr>
      </w:pPr>
      <w:r w:rsidRPr="0032590F">
        <w:rPr>
          <w:rFonts w:ascii="Arial" w:hAnsi="Arial"/>
          <w:sz w:val="22"/>
          <w:szCs w:val="22"/>
        </w:rPr>
        <w:t xml:space="preserve">The region’s climate is moist cool temperate (Barton </w:t>
      </w:r>
      <w:r w:rsidRPr="0032590F">
        <w:rPr>
          <w:rFonts w:ascii="Arial" w:hAnsi="Arial"/>
          <w:i/>
          <w:sz w:val="22"/>
          <w:szCs w:val="22"/>
        </w:rPr>
        <w:t>et al</w:t>
      </w:r>
      <w:r w:rsidRPr="0032590F">
        <w:rPr>
          <w:rFonts w:ascii="Arial" w:hAnsi="Arial"/>
          <w:sz w:val="22"/>
          <w:szCs w:val="22"/>
        </w:rPr>
        <w:t xml:space="preserve">., 2012), with cool wet winters and cool summers. It is influenced by rain bearing cold fronts that move from south-west to north-east across the region, producing strong winds from the west, north-west and south-west. In winter, when the subtropical ridge moves northwards over the Australian continent, cold fronts generally create sustained west to south-westerly winds and frequent rainfall in the region (McInnes and Hubbert, 2003). In </w:t>
      </w:r>
      <w:r w:rsidRPr="0032590F">
        <w:rPr>
          <w:rFonts w:ascii="Arial" w:hAnsi="Arial"/>
          <w:sz w:val="22"/>
          <w:szCs w:val="22"/>
        </w:rPr>
        <w:lastRenderedPageBreak/>
        <w:t>summer, frontal systems are often more shallow and occur between two ridges of high pressure, bringing more variable winds and rainfall.</w:t>
      </w:r>
    </w:p>
    <w:p w14:paraId="5D5C19BF" w14:textId="77777777" w:rsidR="00F42DAD" w:rsidRPr="0032590F" w:rsidRDefault="00F42DAD" w:rsidP="00F42DAD">
      <w:pPr>
        <w:pStyle w:val="bodycopy"/>
        <w:rPr>
          <w:rFonts w:ascii="Arial" w:hAnsi="Arial"/>
          <w:b/>
          <w:sz w:val="22"/>
          <w:szCs w:val="22"/>
        </w:rPr>
      </w:pPr>
      <w:r w:rsidRPr="0032590F">
        <w:rPr>
          <w:rFonts w:ascii="Arial" w:hAnsi="Arial"/>
          <w:b/>
          <w:sz w:val="22"/>
          <w:szCs w:val="22"/>
        </w:rPr>
        <w:t>Temperature and Rainfall</w:t>
      </w:r>
    </w:p>
    <w:p w14:paraId="315492A6" w14:textId="51066CC1" w:rsidR="00F42DAD" w:rsidRPr="0032590F" w:rsidRDefault="00F42DAD" w:rsidP="00F42DAD">
      <w:pPr>
        <w:pStyle w:val="bodycopy"/>
        <w:rPr>
          <w:rFonts w:ascii="Arial" w:hAnsi="Arial"/>
          <w:sz w:val="22"/>
          <w:szCs w:val="22"/>
        </w:rPr>
      </w:pPr>
      <w:r w:rsidRPr="0032590F">
        <w:rPr>
          <w:rFonts w:ascii="Arial" w:hAnsi="Arial"/>
          <w:sz w:val="22"/>
          <w:szCs w:val="22"/>
        </w:rPr>
        <w:t xml:space="preserve">Average monthly air temperatures at Lakes Entrance (48 km northeast of the proposed acquisition area, but the closest coastal town with </w:t>
      </w:r>
      <w:r w:rsidR="003A371E">
        <w:rPr>
          <w:rFonts w:ascii="Arial" w:hAnsi="Arial"/>
          <w:sz w:val="22"/>
          <w:szCs w:val="22"/>
        </w:rPr>
        <w:t>a Bureau of Meteorology [</w:t>
      </w:r>
      <w:r w:rsidRPr="0032590F">
        <w:rPr>
          <w:rFonts w:ascii="Arial" w:hAnsi="Arial"/>
          <w:sz w:val="22"/>
          <w:szCs w:val="22"/>
        </w:rPr>
        <w:t>BoM</w:t>
      </w:r>
      <w:r w:rsidR="003A371E">
        <w:rPr>
          <w:rFonts w:ascii="Arial" w:hAnsi="Arial"/>
          <w:sz w:val="22"/>
          <w:szCs w:val="22"/>
        </w:rPr>
        <w:t>]</w:t>
      </w:r>
      <w:r w:rsidRPr="0032590F">
        <w:rPr>
          <w:rFonts w:ascii="Arial" w:hAnsi="Arial"/>
          <w:sz w:val="22"/>
          <w:szCs w:val="22"/>
        </w:rPr>
        <w:t xml:space="preserve"> weather station) range from 14.6ºC in July to 23.8ºC in February to (1965 to 2006) (BoM, 2017). Mean rainfall is 713 mm with the rainfall fairly evenly distributed throughout the year, with a mean minimum of 41.5 mm in February and a maximum of 71 mm in November (B</w:t>
      </w:r>
      <w:r w:rsidR="003A371E">
        <w:rPr>
          <w:rFonts w:ascii="Arial" w:hAnsi="Arial"/>
          <w:sz w:val="22"/>
          <w:szCs w:val="22"/>
        </w:rPr>
        <w:t>o</w:t>
      </w:r>
      <w:r w:rsidRPr="0032590F">
        <w:rPr>
          <w:rFonts w:ascii="Arial" w:hAnsi="Arial"/>
          <w:sz w:val="22"/>
          <w:szCs w:val="22"/>
        </w:rPr>
        <w:t>M, 2017).</w:t>
      </w:r>
    </w:p>
    <w:p w14:paraId="7CD849E8" w14:textId="77777777" w:rsidR="0032590F" w:rsidRPr="0032590F" w:rsidRDefault="0032590F" w:rsidP="0032590F">
      <w:pPr>
        <w:pStyle w:val="bodycopy"/>
        <w:rPr>
          <w:rFonts w:ascii="Arial" w:hAnsi="Arial"/>
          <w:b/>
          <w:sz w:val="22"/>
          <w:szCs w:val="22"/>
        </w:rPr>
      </w:pPr>
      <w:r w:rsidRPr="0032590F">
        <w:rPr>
          <w:rFonts w:ascii="Arial" w:hAnsi="Arial"/>
          <w:b/>
          <w:sz w:val="22"/>
          <w:szCs w:val="22"/>
        </w:rPr>
        <w:t>Winds</w:t>
      </w:r>
    </w:p>
    <w:p w14:paraId="10983422" w14:textId="77777777" w:rsidR="0032590F" w:rsidRPr="0032590F" w:rsidRDefault="0032590F" w:rsidP="0032590F">
      <w:pPr>
        <w:pStyle w:val="bodycopy"/>
        <w:rPr>
          <w:rFonts w:ascii="Arial" w:hAnsi="Arial"/>
          <w:sz w:val="22"/>
          <w:szCs w:val="22"/>
        </w:rPr>
      </w:pPr>
      <w:r w:rsidRPr="0032590F">
        <w:rPr>
          <w:rFonts w:ascii="Arial" w:hAnsi="Arial"/>
          <w:sz w:val="22"/>
          <w:szCs w:val="22"/>
        </w:rPr>
        <w:t>Bass Strait is located on the northern edge of the westerly wind belt known as the Roaring Forties. Occasionally, intense meso-scale low-pressure systems occur in the region, bringing very strong winds, heavy rain, and high seas. These events are unpredictable in occurrence, intensity and behaviour, but are most common between September and February (McInnes and Hubbert 2003).</w:t>
      </w:r>
    </w:p>
    <w:p w14:paraId="3A14B094" w14:textId="5BF75B77" w:rsidR="0032590F" w:rsidRDefault="0032590F" w:rsidP="003A532F">
      <w:pPr>
        <w:pStyle w:val="bodycopy"/>
        <w:spacing w:after="240"/>
        <w:rPr>
          <w:rFonts w:ascii="Arial" w:hAnsi="Arial"/>
          <w:sz w:val="22"/>
          <w:szCs w:val="22"/>
        </w:rPr>
      </w:pPr>
      <w:r>
        <w:rPr>
          <w:rFonts w:ascii="Arial" w:hAnsi="Arial"/>
          <w:sz w:val="22"/>
          <w:szCs w:val="22"/>
        </w:rPr>
        <w:t>RPS-</w:t>
      </w:r>
      <w:r w:rsidRPr="0032590F">
        <w:rPr>
          <w:rFonts w:ascii="Arial" w:hAnsi="Arial"/>
          <w:sz w:val="22"/>
          <w:szCs w:val="22"/>
        </w:rPr>
        <w:t xml:space="preserve">APASA (2016) acquired high-resolution wind data from 2011 to 2015 (inclusive) for the operational area from </w:t>
      </w:r>
      <w:r w:rsidRPr="00D467EA">
        <w:rPr>
          <w:rFonts w:ascii="Arial" w:hAnsi="Arial"/>
          <w:sz w:val="22"/>
          <w:szCs w:val="22"/>
        </w:rPr>
        <w:t xml:space="preserve">the National Centre for Environmental Prediction Climate Forecast System Reanalysis (CFSR). </w:t>
      </w:r>
      <w:r w:rsidRPr="003E7F11">
        <w:rPr>
          <w:rFonts w:ascii="Arial" w:hAnsi="Arial"/>
          <w:sz w:val="22"/>
          <w:szCs w:val="22"/>
        </w:rPr>
        <w:t>Table 5.</w:t>
      </w:r>
      <w:r w:rsidR="000E333A" w:rsidRPr="003E7F11">
        <w:rPr>
          <w:rFonts w:ascii="Arial" w:hAnsi="Arial"/>
          <w:sz w:val="22"/>
          <w:szCs w:val="22"/>
        </w:rPr>
        <w:t>2</w:t>
      </w:r>
      <w:r w:rsidRPr="003E7F11">
        <w:rPr>
          <w:rFonts w:ascii="Arial" w:hAnsi="Arial"/>
          <w:sz w:val="22"/>
          <w:szCs w:val="22"/>
        </w:rPr>
        <w:t xml:space="preserve"> lists</w:t>
      </w:r>
      <w:r w:rsidRPr="00D467EA">
        <w:rPr>
          <w:rFonts w:ascii="Arial" w:hAnsi="Arial"/>
          <w:sz w:val="22"/>
          <w:szCs w:val="22"/>
        </w:rPr>
        <w:t xml:space="preserve"> the monthly average and maximum winds derived from the CFSR station loca</w:t>
      </w:r>
      <w:r w:rsidR="00773B60">
        <w:rPr>
          <w:rFonts w:ascii="Arial" w:hAnsi="Arial"/>
          <w:sz w:val="22"/>
          <w:szCs w:val="22"/>
        </w:rPr>
        <w:t>ted within the operational area</w:t>
      </w:r>
      <w:r w:rsidRPr="00D467EA">
        <w:rPr>
          <w:rFonts w:ascii="Arial" w:hAnsi="Arial"/>
          <w:sz w:val="22"/>
          <w:szCs w:val="22"/>
        </w:rPr>
        <w:t xml:space="preserve">. </w:t>
      </w:r>
    </w:p>
    <w:p w14:paraId="63486DDD" w14:textId="3B7CBA2C" w:rsidR="003A532F" w:rsidRPr="0032590F" w:rsidRDefault="003A532F" w:rsidP="003A532F">
      <w:pPr>
        <w:pStyle w:val="bodycopy"/>
        <w:jc w:val="center"/>
        <w:rPr>
          <w:rFonts w:ascii="Arial" w:hAnsi="Arial"/>
          <w:b/>
          <w:sz w:val="20"/>
        </w:rPr>
      </w:pPr>
      <w:r w:rsidRPr="0032590F">
        <w:rPr>
          <w:rFonts w:ascii="Arial" w:hAnsi="Arial"/>
          <w:b/>
          <w:sz w:val="20"/>
        </w:rPr>
        <w:t>Table 5.</w:t>
      </w:r>
      <w:r w:rsidR="000E333A">
        <w:rPr>
          <w:rFonts w:ascii="Arial" w:hAnsi="Arial"/>
          <w:b/>
          <w:sz w:val="20"/>
        </w:rPr>
        <w:t>2</w:t>
      </w:r>
      <w:r w:rsidRPr="0032590F">
        <w:rPr>
          <w:rFonts w:ascii="Arial" w:hAnsi="Arial"/>
          <w:b/>
          <w:sz w:val="20"/>
        </w:rPr>
        <w:t>.</w:t>
      </w:r>
      <w:r w:rsidRPr="0032590F">
        <w:rPr>
          <w:rFonts w:ascii="Arial" w:hAnsi="Arial"/>
          <w:b/>
          <w:sz w:val="20"/>
        </w:rPr>
        <w:tab/>
        <w:t>Predicted average and maximum winds for the wind station within the operational area for 2011-15 (inclusive)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984"/>
        <w:gridCol w:w="2127"/>
        <w:gridCol w:w="2885"/>
      </w:tblGrid>
      <w:tr w:rsidR="003A532F" w:rsidRPr="0032590F" w14:paraId="112DDC38" w14:textId="77777777" w:rsidTr="003A532F">
        <w:tc>
          <w:tcPr>
            <w:tcW w:w="1526" w:type="dxa"/>
            <w:shd w:val="clear" w:color="auto" w:fill="064EA8"/>
          </w:tcPr>
          <w:p w14:paraId="6CABA44E" w14:textId="77777777" w:rsidR="003A532F" w:rsidRPr="0032590F" w:rsidRDefault="003A532F" w:rsidP="003A532F">
            <w:pPr>
              <w:pStyle w:val="bodycopy"/>
              <w:rPr>
                <w:rFonts w:ascii="Arial" w:hAnsi="Arial"/>
                <w:color w:val="FFFFFF" w:themeColor="background1"/>
                <w:sz w:val="20"/>
              </w:rPr>
            </w:pPr>
            <w:r w:rsidRPr="0032590F">
              <w:rPr>
                <w:rFonts w:ascii="Arial" w:hAnsi="Arial"/>
                <w:color w:val="FFFFFF" w:themeColor="background1"/>
                <w:sz w:val="20"/>
              </w:rPr>
              <w:t>Month</w:t>
            </w:r>
          </w:p>
        </w:tc>
        <w:tc>
          <w:tcPr>
            <w:tcW w:w="1984" w:type="dxa"/>
            <w:shd w:val="clear" w:color="auto" w:fill="064EA8"/>
          </w:tcPr>
          <w:p w14:paraId="0FCB2931" w14:textId="77777777" w:rsidR="003A532F" w:rsidRPr="0032590F" w:rsidRDefault="003A532F" w:rsidP="003A532F">
            <w:pPr>
              <w:pStyle w:val="bodycopy"/>
              <w:jc w:val="center"/>
              <w:rPr>
                <w:rFonts w:ascii="Arial" w:hAnsi="Arial"/>
                <w:color w:val="FFFFFF" w:themeColor="background1"/>
                <w:sz w:val="20"/>
              </w:rPr>
            </w:pPr>
            <w:r w:rsidRPr="0032590F">
              <w:rPr>
                <w:rFonts w:ascii="Arial" w:hAnsi="Arial"/>
                <w:color w:val="FFFFFF" w:themeColor="background1"/>
                <w:sz w:val="20"/>
              </w:rPr>
              <w:t>Average current speed (m/s)</w:t>
            </w:r>
          </w:p>
        </w:tc>
        <w:tc>
          <w:tcPr>
            <w:tcW w:w="2127" w:type="dxa"/>
            <w:shd w:val="clear" w:color="auto" w:fill="064EA8"/>
          </w:tcPr>
          <w:p w14:paraId="7FF80328" w14:textId="77777777" w:rsidR="003A532F" w:rsidRPr="0032590F" w:rsidRDefault="003A532F" w:rsidP="003A532F">
            <w:pPr>
              <w:pStyle w:val="bodycopy"/>
              <w:jc w:val="center"/>
              <w:rPr>
                <w:rFonts w:ascii="Arial" w:hAnsi="Arial"/>
                <w:color w:val="FFFFFF" w:themeColor="background1"/>
                <w:sz w:val="20"/>
              </w:rPr>
            </w:pPr>
            <w:r w:rsidRPr="0032590F">
              <w:rPr>
                <w:rFonts w:ascii="Arial" w:hAnsi="Arial"/>
                <w:color w:val="FFFFFF" w:themeColor="background1"/>
                <w:sz w:val="20"/>
              </w:rPr>
              <w:t>Maximum current speed (m/s)</w:t>
            </w:r>
          </w:p>
        </w:tc>
        <w:tc>
          <w:tcPr>
            <w:tcW w:w="2885" w:type="dxa"/>
            <w:shd w:val="clear" w:color="auto" w:fill="064EA8"/>
          </w:tcPr>
          <w:p w14:paraId="689E04DF" w14:textId="77777777" w:rsidR="003A532F" w:rsidRPr="0032590F" w:rsidRDefault="003A532F" w:rsidP="003A532F">
            <w:pPr>
              <w:pStyle w:val="bodycopy"/>
              <w:rPr>
                <w:rFonts w:ascii="Arial" w:hAnsi="Arial"/>
                <w:color w:val="FFFFFF" w:themeColor="background1"/>
                <w:sz w:val="20"/>
              </w:rPr>
            </w:pPr>
            <w:r w:rsidRPr="0032590F">
              <w:rPr>
                <w:rFonts w:ascii="Arial" w:hAnsi="Arial"/>
                <w:color w:val="FFFFFF" w:themeColor="background1"/>
                <w:sz w:val="20"/>
              </w:rPr>
              <w:t>General direction</w:t>
            </w:r>
          </w:p>
        </w:tc>
      </w:tr>
      <w:tr w:rsidR="003A532F" w:rsidRPr="0032590F" w14:paraId="53278AAA" w14:textId="77777777" w:rsidTr="003A532F">
        <w:tc>
          <w:tcPr>
            <w:tcW w:w="1526" w:type="dxa"/>
            <w:shd w:val="clear" w:color="auto" w:fill="auto"/>
          </w:tcPr>
          <w:p w14:paraId="276617D4" w14:textId="77777777" w:rsidR="003A532F" w:rsidRPr="0032590F" w:rsidRDefault="003A532F" w:rsidP="003A532F">
            <w:pPr>
              <w:pStyle w:val="bodycopy"/>
              <w:spacing w:before="60" w:after="60"/>
              <w:rPr>
                <w:rFonts w:ascii="Arial" w:hAnsi="Arial"/>
                <w:sz w:val="20"/>
              </w:rPr>
            </w:pPr>
            <w:r w:rsidRPr="0032590F">
              <w:rPr>
                <w:rFonts w:ascii="Arial" w:hAnsi="Arial"/>
                <w:sz w:val="20"/>
              </w:rPr>
              <w:t>January</w:t>
            </w:r>
          </w:p>
        </w:tc>
        <w:tc>
          <w:tcPr>
            <w:tcW w:w="1984" w:type="dxa"/>
            <w:shd w:val="clear" w:color="auto" w:fill="auto"/>
          </w:tcPr>
          <w:p w14:paraId="12ACDE6F" w14:textId="77777777" w:rsidR="003A532F" w:rsidRPr="0032590F" w:rsidRDefault="003A532F" w:rsidP="003A532F">
            <w:pPr>
              <w:spacing w:before="60" w:after="60" w:line="240" w:lineRule="auto"/>
              <w:ind w:hanging="720"/>
              <w:jc w:val="center"/>
              <w:rPr>
                <w:rFonts w:cs="Arial"/>
                <w:sz w:val="20"/>
                <w:szCs w:val="20"/>
              </w:rPr>
            </w:pPr>
            <w:r w:rsidRPr="0032590F">
              <w:rPr>
                <w:rFonts w:cs="Arial"/>
                <w:sz w:val="20"/>
                <w:szCs w:val="20"/>
              </w:rPr>
              <w:t>6.7</w:t>
            </w:r>
          </w:p>
        </w:tc>
        <w:tc>
          <w:tcPr>
            <w:tcW w:w="2127" w:type="dxa"/>
            <w:shd w:val="clear" w:color="auto" w:fill="auto"/>
          </w:tcPr>
          <w:p w14:paraId="0CDE0791" w14:textId="77777777" w:rsidR="003A532F" w:rsidRPr="0032590F" w:rsidRDefault="003A532F" w:rsidP="003A532F">
            <w:pPr>
              <w:pStyle w:val="bodycopy"/>
              <w:spacing w:before="60" w:after="60"/>
              <w:jc w:val="center"/>
              <w:rPr>
                <w:rFonts w:ascii="Arial" w:hAnsi="Arial"/>
                <w:sz w:val="20"/>
              </w:rPr>
            </w:pPr>
            <w:r w:rsidRPr="0032590F">
              <w:rPr>
                <w:rFonts w:ascii="Arial" w:hAnsi="Arial"/>
                <w:sz w:val="20"/>
              </w:rPr>
              <w:t>19.5</w:t>
            </w:r>
          </w:p>
        </w:tc>
        <w:tc>
          <w:tcPr>
            <w:tcW w:w="2885" w:type="dxa"/>
            <w:shd w:val="clear" w:color="auto" w:fill="auto"/>
          </w:tcPr>
          <w:p w14:paraId="3CD504D7" w14:textId="77777777" w:rsidR="003A532F" w:rsidRPr="0032590F" w:rsidRDefault="003A532F" w:rsidP="003A532F">
            <w:pPr>
              <w:pStyle w:val="bodycopy"/>
              <w:spacing w:before="60" w:after="60"/>
              <w:rPr>
                <w:rFonts w:ascii="Arial" w:hAnsi="Arial"/>
                <w:sz w:val="20"/>
              </w:rPr>
            </w:pPr>
            <w:r w:rsidRPr="0032590F">
              <w:rPr>
                <w:rFonts w:ascii="Arial" w:hAnsi="Arial"/>
                <w:sz w:val="20"/>
              </w:rPr>
              <w:t>East-west (variable)</w:t>
            </w:r>
          </w:p>
        </w:tc>
      </w:tr>
      <w:tr w:rsidR="003A532F" w:rsidRPr="0032590F" w14:paraId="2CF72527" w14:textId="77777777" w:rsidTr="003A532F">
        <w:tc>
          <w:tcPr>
            <w:tcW w:w="1526" w:type="dxa"/>
            <w:shd w:val="clear" w:color="auto" w:fill="auto"/>
          </w:tcPr>
          <w:p w14:paraId="2EFF7E71" w14:textId="77777777" w:rsidR="003A532F" w:rsidRPr="0032590F" w:rsidRDefault="003A532F" w:rsidP="003A532F">
            <w:pPr>
              <w:pStyle w:val="bodycopy"/>
              <w:spacing w:before="60" w:after="60"/>
              <w:rPr>
                <w:rFonts w:ascii="Arial" w:hAnsi="Arial"/>
                <w:sz w:val="20"/>
              </w:rPr>
            </w:pPr>
            <w:r w:rsidRPr="0032590F">
              <w:rPr>
                <w:rFonts w:ascii="Arial" w:hAnsi="Arial"/>
                <w:sz w:val="20"/>
              </w:rPr>
              <w:t>February</w:t>
            </w:r>
          </w:p>
        </w:tc>
        <w:tc>
          <w:tcPr>
            <w:tcW w:w="1984" w:type="dxa"/>
            <w:shd w:val="clear" w:color="auto" w:fill="auto"/>
          </w:tcPr>
          <w:p w14:paraId="1AA270FF" w14:textId="77777777" w:rsidR="003A532F" w:rsidRPr="0032590F" w:rsidRDefault="003A532F" w:rsidP="003A532F">
            <w:pPr>
              <w:spacing w:before="60" w:after="60" w:line="240" w:lineRule="auto"/>
              <w:rPr>
                <w:rFonts w:cs="Arial"/>
                <w:sz w:val="20"/>
                <w:szCs w:val="20"/>
              </w:rPr>
            </w:pPr>
            <w:r w:rsidRPr="0032590F">
              <w:rPr>
                <w:rFonts w:cs="Arial"/>
                <w:sz w:val="20"/>
                <w:szCs w:val="20"/>
              </w:rPr>
              <w:t>6.4</w:t>
            </w:r>
          </w:p>
        </w:tc>
        <w:tc>
          <w:tcPr>
            <w:tcW w:w="2127" w:type="dxa"/>
            <w:shd w:val="clear" w:color="auto" w:fill="auto"/>
          </w:tcPr>
          <w:p w14:paraId="64D5A619" w14:textId="77777777" w:rsidR="003A532F" w:rsidRPr="0032590F" w:rsidRDefault="003A532F" w:rsidP="003A532F">
            <w:pPr>
              <w:pStyle w:val="bodycopy"/>
              <w:spacing w:before="60" w:after="60"/>
              <w:jc w:val="center"/>
              <w:rPr>
                <w:rFonts w:ascii="Arial" w:hAnsi="Arial"/>
                <w:sz w:val="20"/>
              </w:rPr>
            </w:pPr>
            <w:r w:rsidRPr="0032590F">
              <w:rPr>
                <w:rFonts w:ascii="Arial" w:hAnsi="Arial"/>
                <w:sz w:val="20"/>
              </w:rPr>
              <w:t>21.9</w:t>
            </w:r>
          </w:p>
        </w:tc>
        <w:tc>
          <w:tcPr>
            <w:tcW w:w="2885" w:type="dxa"/>
            <w:shd w:val="clear" w:color="auto" w:fill="auto"/>
          </w:tcPr>
          <w:p w14:paraId="73520783" w14:textId="77777777" w:rsidR="003A532F" w:rsidRPr="0032590F" w:rsidRDefault="003A532F" w:rsidP="003A532F">
            <w:pPr>
              <w:pStyle w:val="bodycopy"/>
              <w:spacing w:before="60" w:after="60"/>
              <w:rPr>
                <w:rFonts w:ascii="Arial" w:hAnsi="Arial"/>
                <w:sz w:val="20"/>
              </w:rPr>
            </w:pPr>
            <w:r w:rsidRPr="0032590F">
              <w:rPr>
                <w:rFonts w:ascii="Arial" w:hAnsi="Arial"/>
                <w:sz w:val="20"/>
              </w:rPr>
              <w:t>East (variable)</w:t>
            </w:r>
          </w:p>
        </w:tc>
      </w:tr>
      <w:tr w:rsidR="003A532F" w:rsidRPr="0032590F" w14:paraId="2DF1AFDA" w14:textId="77777777" w:rsidTr="003A532F">
        <w:tc>
          <w:tcPr>
            <w:tcW w:w="1526" w:type="dxa"/>
            <w:shd w:val="clear" w:color="auto" w:fill="auto"/>
          </w:tcPr>
          <w:p w14:paraId="205906B0" w14:textId="77777777" w:rsidR="003A532F" w:rsidRPr="0032590F" w:rsidRDefault="003A532F" w:rsidP="003A532F">
            <w:pPr>
              <w:pStyle w:val="bodycopy"/>
              <w:spacing w:before="60" w:after="60"/>
              <w:rPr>
                <w:rFonts w:ascii="Arial" w:hAnsi="Arial"/>
                <w:sz w:val="20"/>
              </w:rPr>
            </w:pPr>
            <w:r w:rsidRPr="0032590F">
              <w:rPr>
                <w:rFonts w:ascii="Arial" w:hAnsi="Arial"/>
                <w:sz w:val="20"/>
              </w:rPr>
              <w:t>March</w:t>
            </w:r>
          </w:p>
        </w:tc>
        <w:tc>
          <w:tcPr>
            <w:tcW w:w="1984" w:type="dxa"/>
            <w:shd w:val="clear" w:color="auto" w:fill="auto"/>
          </w:tcPr>
          <w:p w14:paraId="12624649" w14:textId="77777777" w:rsidR="003A532F" w:rsidRPr="0032590F" w:rsidRDefault="003A532F" w:rsidP="003A532F">
            <w:pPr>
              <w:spacing w:before="60" w:after="60" w:line="240" w:lineRule="auto"/>
              <w:rPr>
                <w:rFonts w:cs="Arial"/>
                <w:sz w:val="20"/>
                <w:szCs w:val="20"/>
              </w:rPr>
            </w:pPr>
            <w:r w:rsidRPr="0032590F">
              <w:rPr>
                <w:rFonts w:cs="Arial"/>
                <w:sz w:val="20"/>
                <w:szCs w:val="20"/>
              </w:rPr>
              <w:t>6.0</w:t>
            </w:r>
          </w:p>
        </w:tc>
        <w:tc>
          <w:tcPr>
            <w:tcW w:w="2127" w:type="dxa"/>
            <w:shd w:val="clear" w:color="auto" w:fill="auto"/>
          </w:tcPr>
          <w:p w14:paraId="5F2F28C6" w14:textId="77777777" w:rsidR="003A532F" w:rsidRPr="0032590F" w:rsidRDefault="003A532F" w:rsidP="003A532F">
            <w:pPr>
              <w:pStyle w:val="bodycopy"/>
              <w:spacing w:before="60" w:after="60"/>
              <w:jc w:val="center"/>
              <w:rPr>
                <w:rFonts w:ascii="Arial" w:hAnsi="Arial"/>
                <w:sz w:val="20"/>
              </w:rPr>
            </w:pPr>
            <w:r w:rsidRPr="0032590F">
              <w:rPr>
                <w:rFonts w:ascii="Arial" w:hAnsi="Arial"/>
                <w:sz w:val="20"/>
              </w:rPr>
              <w:t>19.8</w:t>
            </w:r>
          </w:p>
        </w:tc>
        <w:tc>
          <w:tcPr>
            <w:tcW w:w="2885" w:type="dxa"/>
            <w:shd w:val="clear" w:color="auto" w:fill="auto"/>
          </w:tcPr>
          <w:p w14:paraId="2F3C0DFF" w14:textId="77777777" w:rsidR="003A532F" w:rsidRPr="0032590F" w:rsidRDefault="003A532F" w:rsidP="003A532F">
            <w:pPr>
              <w:pStyle w:val="bodycopy"/>
              <w:spacing w:before="60" w:after="60"/>
              <w:rPr>
                <w:rFonts w:ascii="Arial" w:hAnsi="Arial"/>
                <w:sz w:val="20"/>
              </w:rPr>
            </w:pPr>
            <w:r w:rsidRPr="0032590F">
              <w:rPr>
                <w:rFonts w:ascii="Arial" w:hAnsi="Arial"/>
                <w:sz w:val="20"/>
              </w:rPr>
              <w:t>East-west (variable)</w:t>
            </w:r>
          </w:p>
        </w:tc>
      </w:tr>
      <w:tr w:rsidR="003A532F" w:rsidRPr="0032590F" w14:paraId="2877B0F3" w14:textId="77777777" w:rsidTr="003A532F">
        <w:tc>
          <w:tcPr>
            <w:tcW w:w="1526" w:type="dxa"/>
            <w:shd w:val="clear" w:color="auto" w:fill="auto"/>
          </w:tcPr>
          <w:p w14:paraId="2BF40B39" w14:textId="77777777" w:rsidR="003A532F" w:rsidRPr="0032590F" w:rsidRDefault="003A532F" w:rsidP="003A532F">
            <w:pPr>
              <w:pStyle w:val="bodycopy"/>
              <w:spacing w:before="60" w:after="60"/>
              <w:rPr>
                <w:rFonts w:ascii="Arial" w:hAnsi="Arial"/>
                <w:sz w:val="20"/>
              </w:rPr>
            </w:pPr>
            <w:r w:rsidRPr="0032590F">
              <w:rPr>
                <w:rFonts w:ascii="Arial" w:hAnsi="Arial"/>
                <w:sz w:val="20"/>
              </w:rPr>
              <w:t>April</w:t>
            </w:r>
          </w:p>
        </w:tc>
        <w:tc>
          <w:tcPr>
            <w:tcW w:w="1984" w:type="dxa"/>
            <w:shd w:val="clear" w:color="auto" w:fill="auto"/>
          </w:tcPr>
          <w:p w14:paraId="4C5F590E" w14:textId="77777777" w:rsidR="003A532F" w:rsidRPr="0032590F" w:rsidRDefault="003A532F" w:rsidP="003A532F">
            <w:pPr>
              <w:spacing w:before="60" w:after="60" w:line="240" w:lineRule="auto"/>
              <w:rPr>
                <w:rFonts w:cs="Arial"/>
                <w:sz w:val="20"/>
                <w:szCs w:val="20"/>
              </w:rPr>
            </w:pPr>
            <w:r w:rsidRPr="0032590F">
              <w:rPr>
                <w:rFonts w:cs="Arial"/>
                <w:sz w:val="20"/>
                <w:szCs w:val="20"/>
              </w:rPr>
              <w:t>5.7</w:t>
            </w:r>
          </w:p>
        </w:tc>
        <w:tc>
          <w:tcPr>
            <w:tcW w:w="2127" w:type="dxa"/>
            <w:shd w:val="clear" w:color="auto" w:fill="auto"/>
          </w:tcPr>
          <w:p w14:paraId="00E855A4" w14:textId="77777777" w:rsidR="003A532F" w:rsidRPr="0032590F" w:rsidRDefault="003A532F" w:rsidP="003A532F">
            <w:pPr>
              <w:pStyle w:val="bodycopy"/>
              <w:spacing w:before="60" w:after="60"/>
              <w:jc w:val="center"/>
              <w:rPr>
                <w:rFonts w:ascii="Arial" w:hAnsi="Arial"/>
                <w:sz w:val="20"/>
              </w:rPr>
            </w:pPr>
            <w:r w:rsidRPr="0032590F">
              <w:rPr>
                <w:rFonts w:ascii="Arial" w:hAnsi="Arial"/>
                <w:sz w:val="20"/>
              </w:rPr>
              <w:t>17.9</w:t>
            </w:r>
          </w:p>
        </w:tc>
        <w:tc>
          <w:tcPr>
            <w:tcW w:w="2885" w:type="dxa"/>
            <w:shd w:val="clear" w:color="auto" w:fill="auto"/>
          </w:tcPr>
          <w:p w14:paraId="6C2A291A" w14:textId="77777777" w:rsidR="003A532F" w:rsidRPr="0032590F" w:rsidRDefault="003A532F" w:rsidP="003A532F">
            <w:pPr>
              <w:pStyle w:val="bodycopy"/>
              <w:spacing w:before="60" w:after="60"/>
              <w:rPr>
                <w:rFonts w:ascii="Arial" w:hAnsi="Arial"/>
                <w:sz w:val="20"/>
              </w:rPr>
            </w:pPr>
            <w:r w:rsidRPr="0032590F">
              <w:rPr>
                <w:rFonts w:ascii="Arial" w:hAnsi="Arial"/>
                <w:sz w:val="20"/>
              </w:rPr>
              <w:t>West (variable)</w:t>
            </w:r>
          </w:p>
        </w:tc>
      </w:tr>
      <w:tr w:rsidR="003A532F" w:rsidRPr="0032590F" w14:paraId="2BA662C0" w14:textId="77777777" w:rsidTr="003A532F">
        <w:tc>
          <w:tcPr>
            <w:tcW w:w="1526" w:type="dxa"/>
            <w:shd w:val="clear" w:color="auto" w:fill="auto"/>
          </w:tcPr>
          <w:p w14:paraId="12CC2BE1" w14:textId="77777777" w:rsidR="003A532F" w:rsidRPr="0032590F" w:rsidRDefault="003A532F" w:rsidP="003A532F">
            <w:pPr>
              <w:pStyle w:val="bodycopy"/>
              <w:spacing w:before="60" w:after="60"/>
              <w:rPr>
                <w:rFonts w:ascii="Arial" w:hAnsi="Arial"/>
                <w:sz w:val="20"/>
              </w:rPr>
            </w:pPr>
            <w:r w:rsidRPr="0032590F">
              <w:rPr>
                <w:rFonts w:ascii="Arial" w:hAnsi="Arial"/>
                <w:sz w:val="20"/>
              </w:rPr>
              <w:t>September</w:t>
            </w:r>
          </w:p>
        </w:tc>
        <w:tc>
          <w:tcPr>
            <w:tcW w:w="1984" w:type="dxa"/>
            <w:shd w:val="clear" w:color="auto" w:fill="auto"/>
          </w:tcPr>
          <w:p w14:paraId="3DBC02CC" w14:textId="77777777" w:rsidR="003A532F" w:rsidRPr="0032590F" w:rsidRDefault="003A532F" w:rsidP="003A532F">
            <w:pPr>
              <w:spacing w:before="60" w:after="60" w:line="240" w:lineRule="auto"/>
              <w:rPr>
                <w:rFonts w:cs="Arial"/>
                <w:sz w:val="20"/>
                <w:szCs w:val="20"/>
              </w:rPr>
            </w:pPr>
            <w:r w:rsidRPr="0032590F">
              <w:rPr>
                <w:rFonts w:cs="Arial"/>
                <w:sz w:val="20"/>
                <w:szCs w:val="20"/>
              </w:rPr>
              <w:t>6.9</w:t>
            </w:r>
          </w:p>
        </w:tc>
        <w:tc>
          <w:tcPr>
            <w:tcW w:w="2127" w:type="dxa"/>
            <w:shd w:val="clear" w:color="auto" w:fill="auto"/>
          </w:tcPr>
          <w:p w14:paraId="70C41E74" w14:textId="77777777" w:rsidR="003A532F" w:rsidRPr="0032590F" w:rsidRDefault="003A532F" w:rsidP="003A532F">
            <w:pPr>
              <w:pStyle w:val="bodycopy"/>
              <w:spacing w:before="60" w:after="60"/>
              <w:jc w:val="center"/>
              <w:rPr>
                <w:rFonts w:ascii="Arial" w:hAnsi="Arial"/>
                <w:sz w:val="20"/>
              </w:rPr>
            </w:pPr>
            <w:r w:rsidRPr="0032590F">
              <w:rPr>
                <w:rFonts w:ascii="Arial" w:hAnsi="Arial"/>
                <w:sz w:val="20"/>
              </w:rPr>
              <w:t>22.9</w:t>
            </w:r>
          </w:p>
        </w:tc>
        <w:tc>
          <w:tcPr>
            <w:tcW w:w="2885" w:type="dxa"/>
            <w:shd w:val="clear" w:color="auto" w:fill="auto"/>
          </w:tcPr>
          <w:p w14:paraId="2ED139E2" w14:textId="77777777" w:rsidR="003A532F" w:rsidRPr="0032590F" w:rsidRDefault="003A532F" w:rsidP="003A532F">
            <w:pPr>
              <w:pStyle w:val="bodycopy"/>
              <w:spacing w:before="60" w:after="60"/>
              <w:rPr>
                <w:rFonts w:ascii="Arial" w:hAnsi="Arial"/>
                <w:sz w:val="20"/>
              </w:rPr>
            </w:pPr>
            <w:r w:rsidRPr="0032590F">
              <w:rPr>
                <w:rFonts w:ascii="Arial" w:hAnsi="Arial"/>
                <w:sz w:val="20"/>
              </w:rPr>
              <w:t>West (variable)</w:t>
            </w:r>
          </w:p>
        </w:tc>
      </w:tr>
      <w:tr w:rsidR="003A532F" w:rsidRPr="0032590F" w14:paraId="44EA40D8" w14:textId="77777777" w:rsidTr="003A532F">
        <w:tc>
          <w:tcPr>
            <w:tcW w:w="1526" w:type="dxa"/>
            <w:shd w:val="clear" w:color="auto" w:fill="auto"/>
          </w:tcPr>
          <w:p w14:paraId="29273CD0" w14:textId="77777777" w:rsidR="003A532F" w:rsidRPr="0032590F" w:rsidRDefault="003A532F" w:rsidP="003A532F">
            <w:pPr>
              <w:pStyle w:val="bodycopy"/>
              <w:spacing w:before="60" w:after="60"/>
              <w:rPr>
                <w:rFonts w:ascii="Arial" w:hAnsi="Arial"/>
                <w:sz w:val="20"/>
              </w:rPr>
            </w:pPr>
            <w:r w:rsidRPr="0032590F">
              <w:rPr>
                <w:rFonts w:ascii="Arial" w:hAnsi="Arial"/>
                <w:sz w:val="20"/>
              </w:rPr>
              <w:t>October</w:t>
            </w:r>
          </w:p>
        </w:tc>
        <w:tc>
          <w:tcPr>
            <w:tcW w:w="1984" w:type="dxa"/>
            <w:shd w:val="clear" w:color="auto" w:fill="auto"/>
          </w:tcPr>
          <w:p w14:paraId="6154C1F7" w14:textId="77777777" w:rsidR="003A532F" w:rsidRPr="0032590F" w:rsidRDefault="003A532F" w:rsidP="003A532F">
            <w:pPr>
              <w:spacing w:before="60" w:after="60" w:line="240" w:lineRule="auto"/>
              <w:rPr>
                <w:rFonts w:cs="Arial"/>
                <w:sz w:val="20"/>
                <w:szCs w:val="20"/>
              </w:rPr>
            </w:pPr>
            <w:r w:rsidRPr="0032590F">
              <w:rPr>
                <w:rFonts w:cs="Arial"/>
                <w:sz w:val="20"/>
                <w:szCs w:val="20"/>
              </w:rPr>
              <w:t>6.6</w:t>
            </w:r>
          </w:p>
        </w:tc>
        <w:tc>
          <w:tcPr>
            <w:tcW w:w="2127" w:type="dxa"/>
            <w:shd w:val="clear" w:color="auto" w:fill="auto"/>
          </w:tcPr>
          <w:p w14:paraId="0BA208BC" w14:textId="77777777" w:rsidR="003A532F" w:rsidRPr="0032590F" w:rsidRDefault="003A532F" w:rsidP="003A532F">
            <w:pPr>
              <w:pStyle w:val="bodycopy"/>
              <w:spacing w:before="60" w:after="60"/>
              <w:jc w:val="center"/>
              <w:rPr>
                <w:rFonts w:ascii="Arial" w:hAnsi="Arial"/>
                <w:sz w:val="20"/>
              </w:rPr>
            </w:pPr>
            <w:r w:rsidRPr="0032590F">
              <w:rPr>
                <w:rFonts w:ascii="Arial" w:hAnsi="Arial"/>
                <w:sz w:val="20"/>
              </w:rPr>
              <w:t>18.4</w:t>
            </w:r>
          </w:p>
        </w:tc>
        <w:tc>
          <w:tcPr>
            <w:tcW w:w="2885" w:type="dxa"/>
            <w:shd w:val="clear" w:color="auto" w:fill="auto"/>
          </w:tcPr>
          <w:p w14:paraId="6235CC44" w14:textId="77777777" w:rsidR="003A532F" w:rsidRPr="0032590F" w:rsidRDefault="003A532F" w:rsidP="003A532F">
            <w:pPr>
              <w:pStyle w:val="bodycopy"/>
              <w:spacing w:before="60" w:after="60"/>
              <w:rPr>
                <w:rFonts w:ascii="Arial" w:hAnsi="Arial"/>
                <w:sz w:val="20"/>
              </w:rPr>
            </w:pPr>
            <w:r w:rsidRPr="0032590F">
              <w:rPr>
                <w:rFonts w:ascii="Arial" w:hAnsi="Arial"/>
                <w:sz w:val="20"/>
              </w:rPr>
              <w:t>West (variable)</w:t>
            </w:r>
          </w:p>
        </w:tc>
      </w:tr>
      <w:tr w:rsidR="003A532F" w:rsidRPr="0032590F" w14:paraId="602253CB" w14:textId="77777777" w:rsidTr="003A532F">
        <w:tc>
          <w:tcPr>
            <w:tcW w:w="1526" w:type="dxa"/>
            <w:shd w:val="clear" w:color="auto" w:fill="auto"/>
          </w:tcPr>
          <w:p w14:paraId="69C666C6" w14:textId="77777777" w:rsidR="003A532F" w:rsidRPr="0032590F" w:rsidRDefault="003A532F" w:rsidP="003A532F">
            <w:pPr>
              <w:pStyle w:val="bodycopy"/>
              <w:spacing w:before="60" w:after="60"/>
              <w:rPr>
                <w:rFonts w:ascii="Arial" w:hAnsi="Arial"/>
                <w:sz w:val="20"/>
              </w:rPr>
            </w:pPr>
            <w:r w:rsidRPr="0032590F">
              <w:rPr>
                <w:rFonts w:ascii="Arial" w:hAnsi="Arial"/>
                <w:sz w:val="20"/>
              </w:rPr>
              <w:t>November</w:t>
            </w:r>
          </w:p>
        </w:tc>
        <w:tc>
          <w:tcPr>
            <w:tcW w:w="1984" w:type="dxa"/>
            <w:shd w:val="clear" w:color="auto" w:fill="auto"/>
          </w:tcPr>
          <w:p w14:paraId="7B619EA1" w14:textId="77777777" w:rsidR="003A532F" w:rsidRPr="0032590F" w:rsidRDefault="003A532F" w:rsidP="003A532F">
            <w:pPr>
              <w:spacing w:before="60" w:after="60" w:line="240" w:lineRule="auto"/>
              <w:rPr>
                <w:rFonts w:cs="Arial"/>
                <w:sz w:val="20"/>
                <w:szCs w:val="20"/>
              </w:rPr>
            </w:pPr>
            <w:r w:rsidRPr="0032590F">
              <w:rPr>
                <w:rFonts w:cs="Arial"/>
                <w:sz w:val="20"/>
                <w:szCs w:val="20"/>
              </w:rPr>
              <w:t>6.6</w:t>
            </w:r>
          </w:p>
        </w:tc>
        <w:tc>
          <w:tcPr>
            <w:tcW w:w="2127" w:type="dxa"/>
            <w:shd w:val="clear" w:color="auto" w:fill="auto"/>
          </w:tcPr>
          <w:p w14:paraId="6B0F8B7C" w14:textId="77777777" w:rsidR="003A532F" w:rsidRPr="0032590F" w:rsidRDefault="003A532F" w:rsidP="003A532F">
            <w:pPr>
              <w:pStyle w:val="bodycopy"/>
              <w:spacing w:before="60" w:after="60"/>
              <w:jc w:val="center"/>
              <w:rPr>
                <w:rFonts w:ascii="Arial" w:hAnsi="Arial"/>
                <w:sz w:val="20"/>
              </w:rPr>
            </w:pPr>
            <w:r w:rsidRPr="0032590F">
              <w:rPr>
                <w:rFonts w:ascii="Arial" w:hAnsi="Arial"/>
                <w:sz w:val="20"/>
              </w:rPr>
              <w:t>18.7</w:t>
            </w:r>
          </w:p>
        </w:tc>
        <w:tc>
          <w:tcPr>
            <w:tcW w:w="2885" w:type="dxa"/>
            <w:tcBorders>
              <w:bottom w:val="single" w:sz="4" w:space="0" w:color="auto"/>
            </w:tcBorders>
            <w:shd w:val="clear" w:color="auto" w:fill="auto"/>
          </w:tcPr>
          <w:p w14:paraId="4E66FDC5" w14:textId="77777777" w:rsidR="003A532F" w:rsidRPr="0032590F" w:rsidRDefault="003A532F" w:rsidP="003A532F">
            <w:pPr>
              <w:pStyle w:val="bodycopy"/>
              <w:spacing w:before="60" w:after="60"/>
              <w:rPr>
                <w:rFonts w:ascii="Arial" w:hAnsi="Arial"/>
                <w:sz w:val="20"/>
              </w:rPr>
            </w:pPr>
            <w:r w:rsidRPr="0032590F">
              <w:rPr>
                <w:rFonts w:ascii="Arial" w:hAnsi="Arial"/>
                <w:sz w:val="20"/>
              </w:rPr>
              <w:t>East-west (variable)</w:t>
            </w:r>
          </w:p>
        </w:tc>
      </w:tr>
      <w:tr w:rsidR="003A532F" w:rsidRPr="0032590F" w14:paraId="25AD1712" w14:textId="77777777" w:rsidTr="003A532F">
        <w:tc>
          <w:tcPr>
            <w:tcW w:w="1526" w:type="dxa"/>
            <w:shd w:val="clear" w:color="auto" w:fill="auto"/>
          </w:tcPr>
          <w:p w14:paraId="1FF57BCC" w14:textId="77777777" w:rsidR="003A532F" w:rsidRPr="0032590F" w:rsidRDefault="003A532F" w:rsidP="003A532F">
            <w:pPr>
              <w:pStyle w:val="bodycopy"/>
              <w:spacing w:before="60" w:after="60"/>
              <w:rPr>
                <w:rFonts w:ascii="Arial" w:hAnsi="Arial"/>
                <w:sz w:val="20"/>
              </w:rPr>
            </w:pPr>
            <w:r w:rsidRPr="0032590F">
              <w:rPr>
                <w:rFonts w:ascii="Arial" w:hAnsi="Arial"/>
                <w:sz w:val="20"/>
              </w:rPr>
              <w:t>December</w:t>
            </w:r>
          </w:p>
        </w:tc>
        <w:tc>
          <w:tcPr>
            <w:tcW w:w="1984" w:type="dxa"/>
            <w:shd w:val="clear" w:color="auto" w:fill="auto"/>
          </w:tcPr>
          <w:p w14:paraId="279B0DEA" w14:textId="77777777" w:rsidR="003A532F" w:rsidRPr="0032590F" w:rsidRDefault="003A532F" w:rsidP="003A532F">
            <w:pPr>
              <w:spacing w:before="60" w:after="60" w:line="240" w:lineRule="auto"/>
              <w:rPr>
                <w:rFonts w:cs="Arial"/>
                <w:sz w:val="20"/>
                <w:szCs w:val="20"/>
              </w:rPr>
            </w:pPr>
            <w:r w:rsidRPr="0032590F">
              <w:rPr>
                <w:rFonts w:cs="Arial"/>
                <w:sz w:val="20"/>
                <w:szCs w:val="20"/>
              </w:rPr>
              <w:t>6.7</w:t>
            </w:r>
          </w:p>
        </w:tc>
        <w:tc>
          <w:tcPr>
            <w:tcW w:w="2127" w:type="dxa"/>
            <w:tcBorders>
              <w:bottom w:val="single" w:sz="4" w:space="0" w:color="auto"/>
            </w:tcBorders>
            <w:shd w:val="clear" w:color="auto" w:fill="auto"/>
          </w:tcPr>
          <w:p w14:paraId="02718475" w14:textId="77777777" w:rsidR="003A532F" w:rsidRPr="0032590F" w:rsidRDefault="003A532F" w:rsidP="003A532F">
            <w:pPr>
              <w:pStyle w:val="bodycopy"/>
              <w:spacing w:before="60" w:after="60"/>
              <w:jc w:val="center"/>
              <w:rPr>
                <w:rFonts w:ascii="Arial" w:hAnsi="Arial"/>
                <w:sz w:val="20"/>
              </w:rPr>
            </w:pPr>
            <w:r w:rsidRPr="0032590F">
              <w:rPr>
                <w:rFonts w:ascii="Arial" w:hAnsi="Arial"/>
                <w:sz w:val="20"/>
              </w:rPr>
              <w:t>19.0</w:t>
            </w:r>
          </w:p>
        </w:tc>
        <w:tc>
          <w:tcPr>
            <w:tcW w:w="2885" w:type="dxa"/>
            <w:tcBorders>
              <w:bottom w:val="single" w:sz="4" w:space="0" w:color="auto"/>
            </w:tcBorders>
            <w:shd w:val="clear" w:color="auto" w:fill="auto"/>
          </w:tcPr>
          <w:p w14:paraId="57F323B1" w14:textId="77777777" w:rsidR="003A532F" w:rsidRPr="0032590F" w:rsidRDefault="003A532F" w:rsidP="003A532F">
            <w:pPr>
              <w:pStyle w:val="bodycopy"/>
              <w:spacing w:before="60" w:after="60"/>
              <w:rPr>
                <w:rFonts w:ascii="Arial" w:hAnsi="Arial"/>
                <w:sz w:val="20"/>
              </w:rPr>
            </w:pPr>
            <w:r w:rsidRPr="0032590F">
              <w:rPr>
                <w:rFonts w:ascii="Arial" w:hAnsi="Arial"/>
                <w:sz w:val="20"/>
              </w:rPr>
              <w:t>East-west (variable)</w:t>
            </w:r>
          </w:p>
        </w:tc>
      </w:tr>
      <w:tr w:rsidR="003A532F" w:rsidRPr="0032590F" w14:paraId="52D33E99" w14:textId="77777777" w:rsidTr="003A532F">
        <w:tc>
          <w:tcPr>
            <w:tcW w:w="1526" w:type="dxa"/>
            <w:shd w:val="clear" w:color="auto" w:fill="D9D9D9"/>
          </w:tcPr>
          <w:p w14:paraId="7C5AC8E1" w14:textId="77777777" w:rsidR="003A532F" w:rsidRPr="0032590F" w:rsidRDefault="003A532F" w:rsidP="003A532F">
            <w:pPr>
              <w:pStyle w:val="bodycopy"/>
              <w:spacing w:before="60" w:after="60"/>
              <w:rPr>
                <w:rFonts w:ascii="Arial" w:hAnsi="Arial"/>
                <w:b/>
                <w:sz w:val="20"/>
              </w:rPr>
            </w:pPr>
            <w:r w:rsidRPr="0032590F">
              <w:rPr>
                <w:rFonts w:ascii="Arial" w:hAnsi="Arial"/>
                <w:b/>
                <w:sz w:val="20"/>
              </w:rPr>
              <w:t>Minimum</w:t>
            </w:r>
          </w:p>
        </w:tc>
        <w:tc>
          <w:tcPr>
            <w:tcW w:w="1984" w:type="dxa"/>
            <w:tcBorders>
              <w:right w:val="single" w:sz="4" w:space="0" w:color="auto"/>
            </w:tcBorders>
            <w:shd w:val="clear" w:color="auto" w:fill="D9D9D9"/>
          </w:tcPr>
          <w:p w14:paraId="41D95A8C" w14:textId="77777777" w:rsidR="003A532F" w:rsidRPr="0032590F" w:rsidRDefault="003A532F" w:rsidP="003A532F">
            <w:pPr>
              <w:spacing w:before="60" w:after="60" w:line="240" w:lineRule="auto"/>
              <w:rPr>
                <w:rFonts w:cs="Arial"/>
                <w:b/>
                <w:sz w:val="20"/>
                <w:szCs w:val="20"/>
              </w:rPr>
            </w:pPr>
            <w:r w:rsidRPr="0032590F">
              <w:rPr>
                <w:rFonts w:cs="Arial"/>
                <w:b/>
                <w:sz w:val="20"/>
                <w:szCs w:val="20"/>
              </w:rPr>
              <w:t>5.7</w:t>
            </w:r>
          </w:p>
        </w:tc>
        <w:tc>
          <w:tcPr>
            <w:tcW w:w="2127" w:type="dxa"/>
            <w:tcBorders>
              <w:left w:val="single" w:sz="4" w:space="0" w:color="auto"/>
              <w:right w:val="single" w:sz="4" w:space="0" w:color="auto"/>
            </w:tcBorders>
            <w:shd w:val="clear" w:color="auto" w:fill="D9D9D9"/>
          </w:tcPr>
          <w:p w14:paraId="4A737B9C" w14:textId="77777777" w:rsidR="003A532F" w:rsidRPr="0032590F" w:rsidRDefault="003A532F" w:rsidP="003A532F">
            <w:pPr>
              <w:pStyle w:val="bodycopy"/>
              <w:spacing w:before="60" w:after="60"/>
              <w:jc w:val="center"/>
              <w:rPr>
                <w:rFonts w:ascii="Arial" w:hAnsi="Arial"/>
                <w:b/>
                <w:sz w:val="20"/>
              </w:rPr>
            </w:pPr>
            <w:r w:rsidRPr="0032590F">
              <w:rPr>
                <w:rFonts w:ascii="Arial" w:hAnsi="Arial"/>
                <w:b/>
                <w:sz w:val="20"/>
              </w:rPr>
              <w:t>17.9</w:t>
            </w:r>
          </w:p>
        </w:tc>
        <w:tc>
          <w:tcPr>
            <w:tcW w:w="2885" w:type="dxa"/>
            <w:tcBorders>
              <w:top w:val="single" w:sz="4" w:space="0" w:color="auto"/>
              <w:left w:val="single" w:sz="4" w:space="0" w:color="auto"/>
              <w:bottom w:val="nil"/>
              <w:right w:val="nil"/>
            </w:tcBorders>
            <w:shd w:val="clear" w:color="auto" w:fill="auto"/>
          </w:tcPr>
          <w:p w14:paraId="4B59E5D7" w14:textId="77777777" w:rsidR="003A532F" w:rsidRPr="0032590F" w:rsidRDefault="003A532F" w:rsidP="003A532F">
            <w:pPr>
              <w:pStyle w:val="bodycopy"/>
              <w:spacing w:before="60" w:after="60"/>
              <w:rPr>
                <w:rFonts w:ascii="Arial" w:hAnsi="Arial"/>
                <w:sz w:val="20"/>
              </w:rPr>
            </w:pPr>
          </w:p>
        </w:tc>
      </w:tr>
      <w:tr w:rsidR="003A532F" w:rsidRPr="0032590F" w14:paraId="3B6B7E79" w14:textId="77777777" w:rsidTr="003A532F">
        <w:tc>
          <w:tcPr>
            <w:tcW w:w="1526" w:type="dxa"/>
            <w:shd w:val="clear" w:color="auto" w:fill="D9D9D9"/>
          </w:tcPr>
          <w:p w14:paraId="0D155717" w14:textId="77777777" w:rsidR="003A532F" w:rsidRPr="0032590F" w:rsidRDefault="003A532F" w:rsidP="003A532F">
            <w:pPr>
              <w:pStyle w:val="bodycopy"/>
              <w:spacing w:before="60" w:after="60"/>
              <w:rPr>
                <w:rFonts w:ascii="Arial" w:hAnsi="Arial"/>
                <w:b/>
                <w:sz w:val="20"/>
              </w:rPr>
            </w:pPr>
            <w:r w:rsidRPr="0032590F">
              <w:rPr>
                <w:rFonts w:ascii="Arial" w:hAnsi="Arial"/>
                <w:b/>
                <w:sz w:val="20"/>
              </w:rPr>
              <w:t>Maximum</w:t>
            </w:r>
          </w:p>
        </w:tc>
        <w:tc>
          <w:tcPr>
            <w:tcW w:w="1984" w:type="dxa"/>
            <w:tcBorders>
              <w:right w:val="single" w:sz="4" w:space="0" w:color="auto"/>
            </w:tcBorders>
            <w:shd w:val="clear" w:color="auto" w:fill="D9D9D9"/>
          </w:tcPr>
          <w:p w14:paraId="06BAC93A" w14:textId="77777777" w:rsidR="003A532F" w:rsidRPr="0032590F" w:rsidRDefault="003A532F" w:rsidP="003A532F">
            <w:pPr>
              <w:spacing w:before="60" w:after="60" w:line="240" w:lineRule="auto"/>
              <w:rPr>
                <w:rFonts w:cs="Arial"/>
                <w:b/>
                <w:sz w:val="20"/>
                <w:szCs w:val="20"/>
              </w:rPr>
            </w:pPr>
            <w:r w:rsidRPr="0032590F">
              <w:rPr>
                <w:rFonts w:cs="Arial"/>
                <w:b/>
                <w:sz w:val="20"/>
                <w:szCs w:val="20"/>
              </w:rPr>
              <w:t>6.9</w:t>
            </w:r>
          </w:p>
        </w:tc>
        <w:tc>
          <w:tcPr>
            <w:tcW w:w="2127" w:type="dxa"/>
            <w:tcBorders>
              <w:left w:val="single" w:sz="4" w:space="0" w:color="auto"/>
              <w:right w:val="single" w:sz="4" w:space="0" w:color="auto"/>
            </w:tcBorders>
            <w:shd w:val="clear" w:color="auto" w:fill="D9D9D9"/>
          </w:tcPr>
          <w:p w14:paraId="46C66E91" w14:textId="77777777" w:rsidR="003A532F" w:rsidRPr="0032590F" w:rsidRDefault="003A532F" w:rsidP="003A532F">
            <w:pPr>
              <w:pStyle w:val="bodycopy"/>
              <w:spacing w:before="60" w:after="60"/>
              <w:jc w:val="center"/>
              <w:rPr>
                <w:rFonts w:ascii="Arial" w:hAnsi="Arial"/>
                <w:b/>
                <w:sz w:val="20"/>
              </w:rPr>
            </w:pPr>
            <w:r w:rsidRPr="0032590F">
              <w:rPr>
                <w:rFonts w:ascii="Arial" w:hAnsi="Arial"/>
                <w:b/>
                <w:sz w:val="20"/>
              </w:rPr>
              <w:t>22.9</w:t>
            </w:r>
          </w:p>
        </w:tc>
        <w:tc>
          <w:tcPr>
            <w:tcW w:w="2885" w:type="dxa"/>
            <w:tcBorders>
              <w:top w:val="nil"/>
              <w:left w:val="single" w:sz="4" w:space="0" w:color="auto"/>
              <w:bottom w:val="nil"/>
              <w:right w:val="nil"/>
            </w:tcBorders>
            <w:shd w:val="clear" w:color="auto" w:fill="auto"/>
          </w:tcPr>
          <w:p w14:paraId="458C88DE" w14:textId="77777777" w:rsidR="003A532F" w:rsidRPr="0032590F" w:rsidRDefault="003A532F" w:rsidP="003A532F">
            <w:pPr>
              <w:pStyle w:val="bodycopy"/>
              <w:spacing w:before="60" w:after="60"/>
              <w:rPr>
                <w:rFonts w:ascii="Arial" w:hAnsi="Arial"/>
                <w:sz w:val="20"/>
              </w:rPr>
            </w:pPr>
          </w:p>
        </w:tc>
      </w:tr>
    </w:tbl>
    <w:p w14:paraId="25DFA8EC" w14:textId="77777777" w:rsidR="003A532F" w:rsidRPr="00AE43E5" w:rsidRDefault="003A532F" w:rsidP="003A532F">
      <w:pPr>
        <w:pStyle w:val="bodycopy"/>
        <w:rPr>
          <w:i/>
          <w:sz w:val="16"/>
          <w:szCs w:val="16"/>
        </w:rPr>
      </w:pPr>
      <w:r w:rsidRPr="00AE43E5">
        <w:rPr>
          <w:i/>
          <w:sz w:val="16"/>
          <w:szCs w:val="16"/>
        </w:rPr>
        <w:t xml:space="preserve">Source: </w:t>
      </w:r>
      <w:r>
        <w:rPr>
          <w:i/>
          <w:sz w:val="16"/>
          <w:szCs w:val="16"/>
        </w:rPr>
        <w:t>RPS APASA</w:t>
      </w:r>
      <w:r w:rsidRPr="00AE43E5">
        <w:rPr>
          <w:i/>
          <w:sz w:val="16"/>
          <w:szCs w:val="16"/>
        </w:rPr>
        <w:t xml:space="preserve"> (201</w:t>
      </w:r>
      <w:r>
        <w:rPr>
          <w:i/>
          <w:sz w:val="16"/>
          <w:szCs w:val="16"/>
        </w:rPr>
        <w:t>6</w:t>
      </w:r>
      <w:r w:rsidRPr="00AE43E5">
        <w:rPr>
          <w:i/>
          <w:sz w:val="16"/>
          <w:szCs w:val="16"/>
        </w:rPr>
        <w:t>).</w:t>
      </w:r>
    </w:p>
    <w:p w14:paraId="616688CB" w14:textId="77777777" w:rsidR="003A532F" w:rsidRDefault="003A532F" w:rsidP="003A532F">
      <w:pPr>
        <w:pStyle w:val="bodycopy"/>
        <w:spacing w:after="240"/>
        <w:rPr>
          <w:rFonts w:ascii="Arial" w:hAnsi="Arial"/>
          <w:sz w:val="22"/>
          <w:szCs w:val="22"/>
        </w:rPr>
      </w:pPr>
    </w:p>
    <w:p w14:paraId="10602BB8" w14:textId="77777777" w:rsidR="003A532F" w:rsidRDefault="003A532F" w:rsidP="003A532F">
      <w:pPr>
        <w:pStyle w:val="bodycopy"/>
        <w:spacing w:after="240"/>
        <w:rPr>
          <w:rFonts w:ascii="Arial" w:hAnsi="Arial"/>
          <w:sz w:val="22"/>
          <w:szCs w:val="22"/>
        </w:rPr>
      </w:pPr>
    </w:p>
    <w:p w14:paraId="5479FE58" w14:textId="77777777" w:rsidR="003A532F" w:rsidRDefault="003A532F" w:rsidP="003A532F">
      <w:pPr>
        <w:pStyle w:val="bodycopy"/>
        <w:spacing w:after="240"/>
        <w:rPr>
          <w:rFonts w:ascii="Arial" w:hAnsi="Arial"/>
          <w:sz w:val="22"/>
          <w:szCs w:val="22"/>
        </w:rPr>
      </w:pPr>
    </w:p>
    <w:p w14:paraId="671F6144" w14:textId="77777777" w:rsidR="003A532F" w:rsidRDefault="003A532F" w:rsidP="003A532F">
      <w:pPr>
        <w:pStyle w:val="bodycopy"/>
        <w:spacing w:after="240"/>
        <w:rPr>
          <w:rFonts w:ascii="Arial" w:hAnsi="Arial"/>
          <w:sz w:val="22"/>
          <w:szCs w:val="22"/>
        </w:rPr>
      </w:pPr>
    </w:p>
    <w:p w14:paraId="39E34BBD" w14:textId="77777777" w:rsidR="003A532F" w:rsidRDefault="003A532F" w:rsidP="003A532F">
      <w:pPr>
        <w:pStyle w:val="bodycopy"/>
        <w:spacing w:after="240"/>
        <w:rPr>
          <w:rFonts w:ascii="Arial" w:hAnsi="Arial"/>
          <w:sz w:val="22"/>
          <w:szCs w:val="22"/>
        </w:rPr>
      </w:pPr>
    </w:p>
    <w:p w14:paraId="5FDD69ED" w14:textId="77777777" w:rsidR="003A532F" w:rsidRDefault="003A532F" w:rsidP="003A532F">
      <w:pPr>
        <w:pStyle w:val="bodycopy"/>
        <w:spacing w:after="240"/>
        <w:rPr>
          <w:rFonts w:ascii="Arial" w:hAnsi="Arial"/>
          <w:sz w:val="22"/>
          <w:szCs w:val="22"/>
        </w:rPr>
      </w:pPr>
    </w:p>
    <w:p w14:paraId="4C3581E3" w14:textId="77777777" w:rsidR="003A532F" w:rsidRDefault="003A532F" w:rsidP="003A532F">
      <w:pPr>
        <w:pStyle w:val="bodycopy"/>
        <w:spacing w:after="240"/>
        <w:rPr>
          <w:rFonts w:ascii="Arial" w:hAnsi="Arial"/>
          <w:sz w:val="22"/>
          <w:szCs w:val="22"/>
        </w:rPr>
      </w:pP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8522"/>
      </w:tblGrid>
      <w:tr w:rsidR="00EF70A5" w14:paraId="3613A42E" w14:textId="77777777" w:rsidTr="00514376">
        <w:tc>
          <w:tcPr>
            <w:tcW w:w="8522" w:type="dxa"/>
            <w:shd w:val="clear" w:color="auto" w:fill="auto"/>
          </w:tcPr>
          <w:p w14:paraId="1055CEB3" w14:textId="3AFF10F0" w:rsidR="00EF70A5" w:rsidRDefault="00375810" w:rsidP="00514376">
            <w:pPr>
              <w:pStyle w:val="bodycopy"/>
              <w:spacing w:after="0"/>
            </w:pPr>
            <w:r>
              <w:rPr>
                <w:noProof/>
              </w:rPr>
              <w:drawing>
                <wp:inline distT="0" distB="0" distL="0" distR="0" wp14:anchorId="15192031" wp14:editId="7FF4A787">
                  <wp:extent cx="5278120" cy="3750310"/>
                  <wp:effectExtent l="0" t="0" r="5080" b="8890"/>
                  <wp:docPr id="15" name="Picture 15" descr="Screen%20Shot%202017-02-08%20at%2010.11.2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7-02-08%20at%2010.11.26%20am.pn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5278120" cy="3750310"/>
                          </a:xfrm>
                          <a:prstGeom prst="rect">
                            <a:avLst/>
                          </a:prstGeom>
                          <a:noFill/>
                          <a:ln>
                            <a:noFill/>
                          </a:ln>
                        </pic:spPr>
                      </pic:pic>
                    </a:graphicData>
                  </a:graphic>
                </wp:inline>
              </w:drawing>
            </w:r>
          </w:p>
          <w:p w14:paraId="72B227F0" w14:textId="039CB5AE" w:rsidR="00EF70A5" w:rsidRDefault="00EF70A5" w:rsidP="00514376">
            <w:pPr>
              <w:pStyle w:val="bodycopy"/>
              <w:spacing w:after="0"/>
              <w:rPr>
                <w:i/>
                <w:sz w:val="16"/>
                <w:szCs w:val="16"/>
              </w:rPr>
            </w:pPr>
            <w:r w:rsidRPr="00514376">
              <w:rPr>
                <w:i/>
                <w:sz w:val="16"/>
                <w:szCs w:val="16"/>
              </w:rPr>
              <w:t>Source: DoE (2015)</w:t>
            </w:r>
            <w:r w:rsidR="00C458B7">
              <w:rPr>
                <w:i/>
                <w:sz w:val="16"/>
                <w:szCs w:val="16"/>
              </w:rPr>
              <w:t>.</w:t>
            </w:r>
          </w:p>
          <w:p w14:paraId="46E764D2" w14:textId="77777777" w:rsidR="00EC3C5D" w:rsidRPr="00514376" w:rsidRDefault="00EC3C5D" w:rsidP="00514376">
            <w:pPr>
              <w:pStyle w:val="bodycopy"/>
              <w:spacing w:after="0"/>
              <w:rPr>
                <w:i/>
                <w:sz w:val="16"/>
                <w:szCs w:val="16"/>
              </w:rPr>
            </w:pPr>
          </w:p>
        </w:tc>
      </w:tr>
      <w:tr w:rsidR="00EF70A5" w14:paraId="61CC1CF9" w14:textId="77777777" w:rsidTr="00514376">
        <w:tc>
          <w:tcPr>
            <w:tcW w:w="8522" w:type="dxa"/>
            <w:shd w:val="clear" w:color="auto" w:fill="auto"/>
          </w:tcPr>
          <w:p w14:paraId="2A8E5506" w14:textId="663990B1" w:rsidR="00EF70A5" w:rsidRDefault="00375810" w:rsidP="00514376">
            <w:pPr>
              <w:pStyle w:val="bodycopy"/>
              <w:spacing w:after="0"/>
            </w:pPr>
            <w:r>
              <w:rPr>
                <w:noProof/>
              </w:rPr>
              <w:drawing>
                <wp:inline distT="0" distB="0" distL="0" distR="0" wp14:anchorId="154B9FF7" wp14:editId="114494BC">
                  <wp:extent cx="5278120" cy="2152650"/>
                  <wp:effectExtent l="0" t="0" r="5080" b="6350"/>
                  <wp:docPr id="16" name="Picture 16" descr="Screen%20Shot%202017-02-08%20at%2010.10.2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02-08%20at%2010.10.25%20am.pn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5278120" cy="2152650"/>
                          </a:xfrm>
                          <a:prstGeom prst="rect">
                            <a:avLst/>
                          </a:prstGeom>
                          <a:noFill/>
                          <a:ln>
                            <a:noFill/>
                          </a:ln>
                        </pic:spPr>
                      </pic:pic>
                    </a:graphicData>
                  </a:graphic>
                </wp:inline>
              </w:drawing>
            </w:r>
          </w:p>
          <w:p w14:paraId="316098A1" w14:textId="2D2BC7CC" w:rsidR="00EF70A5" w:rsidRDefault="00EF70A5" w:rsidP="00514376">
            <w:pPr>
              <w:pStyle w:val="bodycopy"/>
              <w:spacing w:after="0"/>
            </w:pPr>
            <w:r w:rsidRPr="00514376">
              <w:rPr>
                <w:i/>
                <w:sz w:val="16"/>
                <w:szCs w:val="16"/>
              </w:rPr>
              <w:t>Source: Barton et al (2012)</w:t>
            </w:r>
            <w:r w:rsidR="00C458B7">
              <w:rPr>
                <w:i/>
                <w:sz w:val="16"/>
                <w:szCs w:val="16"/>
              </w:rPr>
              <w:t>.</w:t>
            </w:r>
          </w:p>
        </w:tc>
      </w:tr>
    </w:tbl>
    <w:p w14:paraId="6E80570B" w14:textId="77777777" w:rsidR="00EF70A5" w:rsidRPr="0032590F" w:rsidRDefault="00EF70A5" w:rsidP="005A489A">
      <w:pPr>
        <w:pStyle w:val="bodycopy"/>
        <w:spacing w:before="120" w:after="240"/>
        <w:jc w:val="center"/>
        <w:rPr>
          <w:rFonts w:ascii="Arial" w:hAnsi="Arial"/>
          <w:b/>
          <w:sz w:val="20"/>
        </w:rPr>
      </w:pPr>
      <w:r w:rsidRPr="0032590F">
        <w:rPr>
          <w:rFonts w:ascii="Arial" w:hAnsi="Arial"/>
          <w:b/>
          <w:sz w:val="20"/>
        </w:rPr>
        <w:t>Figure 5.2.</w:t>
      </w:r>
      <w:r w:rsidRPr="0032590F">
        <w:rPr>
          <w:rFonts w:ascii="Arial" w:hAnsi="Arial"/>
          <w:b/>
          <w:sz w:val="20"/>
        </w:rPr>
        <w:tab/>
        <w:t>The Southeast Shelf Transition provincial bioregion (top) and the Twofold Shelf Victorian marine bioregion (bottom)</w:t>
      </w:r>
    </w:p>
    <w:p w14:paraId="4C9831FD" w14:textId="77777777" w:rsidR="00F42DAD" w:rsidRDefault="00F42DAD" w:rsidP="00F92BED">
      <w:pPr>
        <w:pStyle w:val="bodycopy"/>
        <w:rPr>
          <w:b/>
        </w:rPr>
      </w:pPr>
    </w:p>
    <w:p w14:paraId="1185E4ED" w14:textId="77777777" w:rsidR="0078207F" w:rsidRPr="00B850F7" w:rsidRDefault="0078207F" w:rsidP="00BC34AD">
      <w:pPr>
        <w:pStyle w:val="Heading3"/>
      </w:pPr>
      <w:bookmarkStart w:id="145" w:name="_Toc474221987"/>
      <w:bookmarkStart w:id="146" w:name="_Ref475443027"/>
      <w:bookmarkStart w:id="147" w:name="_Ref350173310"/>
      <w:bookmarkStart w:id="148" w:name="_Ref476661730"/>
      <w:bookmarkStart w:id="149" w:name="_Toc375214537"/>
      <w:r>
        <w:t>Physical Environment</w:t>
      </w:r>
      <w:bookmarkEnd w:id="145"/>
      <w:bookmarkEnd w:id="146"/>
      <w:bookmarkEnd w:id="147"/>
      <w:bookmarkEnd w:id="148"/>
      <w:bookmarkEnd w:id="149"/>
    </w:p>
    <w:p w14:paraId="58AC1B9B" w14:textId="77777777" w:rsidR="0078207F" w:rsidRPr="0032590F" w:rsidRDefault="0078207F" w:rsidP="0078207F">
      <w:pPr>
        <w:pStyle w:val="bodycopy"/>
        <w:rPr>
          <w:rFonts w:ascii="Arial" w:hAnsi="Arial"/>
          <w:b/>
          <w:sz w:val="22"/>
          <w:szCs w:val="22"/>
        </w:rPr>
      </w:pPr>
      <w:r w:rsidRPr="0032590F">
        <w:rPr>
          <w:rFonts w:ascii="Arial" w:hAnsi="Arial"/>
          <w:b/>
          <w:sz w:val="22"/>
          <w:szCs w:val="22"/>
        </w:rPr>
        <w:t>Geomorphology</w:t>
      </w:r>
    </w:p>
    <w:p w14:paraId="5DABFC66" w14:textId="3EE4FC12" w:rsidR="0078207F" w:rsidRDefault="0078207F" w:rsidP="0078207F">
      <w:pPr>
        <w:pStyle w:val="bodycopy"/>
        <w:rPr>
          <w:rFonts w:ascii="Arial" w:hAnsi="Arial"/>
          <w:sz w:val="22"/>
          <w:szCs w:val="22"/>
        </w:rPr>
      </w:pPr>
      <w:r w:rsidRPr="0032590F">
        <w:rPr>
          <w:rFonts w:ascii="Arial" w:hAnsi="Arial"/>
          <w:sz w:val="22"/>
          <w:szCs w:val="22"/>
        </w:rPr>
        <w:t xml:space="preserve">The proposed </w:t>
      </w:r>
      <w:r w:rsidR="00E07969" w:rsidRPr="0032590F">
        <w:rPr>
          <w:rFonts w:ascii="Arial" w:hAnsi="Arial"/>
          <w:sz w:val="22"/>
          <w:szCs w:val="22"/>
        </w:rPr>
        <w:t xml:space="preserve">Pelican 3DMSS </w:t>
      </w:r>
      <w:r w:rsidRPr="0032590F">
        <w:rPr>
          <w:rFonts w:ascii="Arial" w:hAnsi="Arial"/>
          <w:sz w:val="22"/>
          <w:szCs w:val="22"/>
        </w:rPr>
        <w:t xml:space="preserve">acquisition area overlaps </w:t>
      </w:r>
      <w:r w:rsidR="009019EC" w:rsidRPr="0032590F">
        <w:rPr>
          <w:rFonts w:ascii="Arial" w:hAnsi="Arial"/>
          <w:sz w:val="22"/>
          <w:szCs w:val="22"/>
        </w:rPr>
        <w:t xml:space="preserve">the </w:t>
      </w:r>
      <w:r w:rsidRPr="0032590F">
        <w:rPr>
          <w:rFonts w:ascii="Arial" w:hAnsi="Arial"/>
          <w:sz w:val="22"/>
          <w:szCs w:val="22"/>
        </w:rPr>
        <w:t xml:space="preserve">seafloor </w:t>
      </w:r>
      <w:r w:rsidR="009019EC" w:rsidRPr="0032590F">
        <w:rPr>
          <w:rFonts w:ascii="Arial" w:hAnsi="Arial"/>
          <w:sz w:val="22"/>
          <w:szCs w:val="22"/>
        </w:rPr>
        <w:t xml:space="preserve">‘slope’ </w:t>
      </w:r>
      <w:r w:rsidR="00433719" w:rsidRPr="0032590F">
        <w:rPr>
          <w:rFonts w:ascii="Arial" w:hAnsi="Arial"/>
          <w:sz w:val="22"/>
          <w:szCs w:val="22"/>
        </w:rPr>
        <w:t xml:space="preserve">geomorphic unit </w:t>
      </w:r>
      <w:r w:rsidR="009019EC" w:rsidRPr="0032590F">
        <w:rPr>
          <w:rFonts w:ascii="Arial" w:hAnsi="Arial"/>
          <w:sz w:val="22"/>
          <w:szCs w:val="22"/>
        </w:rPr>
        <w:t xml:space="preserve">as </w:t>
      </w:r>
      <w:r w:rsidRPr="0032590F">
        <w:rPr>
          <w:rFonts w:ascii="Arial" w:hAnsi="Arial"/>
          <w:sz w:val="22"/>
          <w:szCs w:val="22"/>
        </w:rPr>
        <w:t xml:space="preserve">classified </w:t>
      </w:r>
      <w:r w:rsidR="009019EC" w:rsidRPr="0032590F">
        <w:rPr>
          <w:rFonts w:ascii="Arial" w:hAnsi="Arial"/>
          <w:sz w:val="22"/>
          <w:szCs w:val="22"/>
        </w:rPr>
        <w:t xml:space="preserve">in the </w:t>
      </w:r>
      <w:r w:rsidRPr="0032590F">
        <w:rPr>
          <w:rFonts w:ascii="Arial" w:hAnsi="Arial"/>
          <w:sz w:val="22"/>
          <w:szCs w:val="22"/>
        </w:rPr>
        <w:t>South-east Marine Region Profile (DoE, 2015</w:t>
      </w:r>
      <w:r w:rsidR="00225AD2">
        <w:rPr>
          <w:rFonts w:ascii="Arial" w:hAnsi="Arial"/>
          <w:sz w:val="22"/>
          <w:szCs w:val="22"/>
        </w:rPr>
        <w:t>a</w:t>
      </w:r>
      <w:r w:rsidRPr="0032590F">
        <w:rPr>
          <w:rFonts w:ascii="Arial" w:hAnsi="Arial"/>
          <w:sz w:val="22"/>
          <w:szCs w:val="22"/>
        </w:rPr>
        <w:t>).</w:t>
      </w:r>
      <w:r w:rsidR="00517CF6" w:rsidRPr="0032590F">
        <w:rPr>
          <w:rFonts w:ascii="Arial" w:hAnsi="Arial"/>
          <w:sz w:val="22"/>
          <w:szCs w:val="22"/>
        </w:rPr>
        <w:t xml:space="preserve"> The wider EMBA also encompasses a small area of </w:t>
      </w:r>
      <w:r w:rsidR="00433719" w:rsidRPr="0032590F">
        <w:rPr>
          <w:rFonts w:ascii="Arial" w:hAnsi="Arial"/>
          <w:sz w:val="22"/>
          <w:szCs w:val="22"/>
        </w:rPr>
        <w:t>geomorphic unit</w:t>
      </w:r>
      <w:r w:rsidR="00517CF6" w:rsidRPr="0032590F">
        <w:rPr>
          <w:rFonts w:ascii="Arial" w:hAnsi="Arial"/>
          <w:sz w:val="22"/>
          <w:szCs w:val="22"/>
        </w:rPr>
        <w:t xml:space="preserve"> classified as ‘terrace’ in the far east. </w:t>
      </w:r>
    </w:p>
    <w:p w14:paraId="03DB09CE" w14:textId="77777777" w:rsidR="003E7F11" w:rsidRPr="0032590F" w:rsidRDefault="003E7F11" w:rsidP="0078207F">
      <w:pPr>
        <w:pStyle w:val="bodycopy"/>
        <w:rPr>
          <w:rFonts w:ascii="Arial" w:hAnsi="Arial"/>
          <w:b/>
          <w:sz w:val="22"/>
          <w:szCs w:val="22"/>
        </w:rPr>
      </w:pPr>
    </w:p>
    <w:p w14:paraId="29FEAEE5" w14:textId="77777777" w:rsidR="0078207F" w:rsidRPr="0032590F" w:rsidRDefault="0078207F" w:rsidP="0078207F">
      <w:pPr>
        <w:pStyle w:val="bodycopy"/>
        <w:rPr>
          <w:rFonts w:ascii="Arial" w:hAnsi="Arial"/>
          <w:b/>
          <w:sz w:val="22"/>
          <w:szCs w:val="22"/>
        </w:rPr>
      </w:pPr>
      <w:r w:rsidRPr="0032590F">
        <w:rPr>
          <w:rFonts w:ascii="Arial" w:hAnsi="Arial"/>
          <w:b/>
          <w:sz w:val="22"/>
          <w:szCs w:val="22"/>
        </w:rPr>
        <w:lastRenderedPageBreak/>
        <w:t>Seabed</w:t>
      </w:r>
    </w:p>
    <w:p w14:paraId="2A8858DD" w14:textId="77777777" w:rsidR="00083672" w:rsidRPr="0032590F" w:rsidRDefault="00083672" w:rsidP="00517CF6">
      <w:pPr>
        <w:pStyle w:val="bodycopy"/>
        <w:rPr>
          <w:rFonts w:ascii="Arial" w:hAnsi="Arial"/>
          <w:sz w:val="22"/>
          <w:szCs w:val="22"/>
          <w:u w:val="single"/>
        </w:rPr>
      </w:pPr>
      <w:r w:rsidRPr="0032590F">
        <w:rPr>
          <w:rFonts w:ascii="Arial" w:hAnsi="Arial"/>
          <w:sz w:val="22"/>
          <w:szCs w:val="22"/>
          <w:u w:val="single"/>
        </w:rPr>
        <w:t>Regional</w:t>
      </w:r>
    </w:p>
    <w:p w14:paraId="4BC5EFAD" w14:textId="77777777" w:rsidR="0078207F" w:rsidRPr="0032590F" w:rsidRDefault="0078207F" w:rsidP="00517CF6">
      <w:pPr>
        <w:pStyle w:val="bodycopy"/>
        <w:rPr>
          <w:rFonts w:ascii="Arial" w:hAnsi="Arial"/>
          <w:sz w:val="22"/>
          <w:szCs w:val="22"/>
        </w:rPr>
      </w:pPr>
      <w:r w:rsidRPr="0032590F">
        <w:rPr>
          <w:rFonts w:ascii="Arial" w:hAnsi="Arial"/>
          <w:sz w:val="22"/>
          <w:szCs w:val="22"/>
        </w:rPr>
        <w:t xml:space="preserve">Bass Strait is concave-shaped, with a shallower rim on the eastern and western entrances to the strait and a deeper centre. </w:t>
      </w:r>
    </w:p>
    <w:p w14:paraId="03888E14" w14:textId="77777777" w:rsidR="0078207F" w:rsidRPr="0032590F" w:rsidRDefault="0078207F" w:rsidP="00517CF6">
      <w:pPr>
        <w:pStyle w:val="bodycopy"/>
        <w:rPr>
          <w:rFonts w:ascii="Arial" w:hAnsi="Arial"/>
          <w:sz w:val="22"/>
          <w:szCs w:val="22"/>
        </w:rPr>
      </w:pPr>
      <w:r w:rsidRPr="0032590F">
        <w:rPr>
          <w:rFonts w:ascii="Arial" w:hAnsi="Arial"/>
          <w:sz w:val="22"/>
          <w:szCs w:val="22"/>
        </w:rPr>
        <w:t xml:space="preserve">The substrate across Bass Strait comprises a variety of sediment types related to tidal currents, with sediment grain size linked to wave energy, </w:t>
      </w:r>
      <w:r w:rsidR="00935243" w:rsidRPr="0032590F">
        <w:rPr>
          <w:rFonts w:ascii="Arial" w:hAnsi="Arial"/>
          <w:sz w:val="22"/>
          <w:szCs w:val="22"/>
        </w:rPr>
        <w:t xml:space="preserve">with sediments becoming </w:t>
      </w:r>
      <w:r w:rsidRPr="0032590F">
        <w:rPr>
          <w:rFonts w:ascii="Arial" w:hAnsi="Arial"/>
          <w:sz w:val="22"/>
          <w:szCs w:val="22"/>
        </w:rPr>
        <w:t xml:space="preserve">progressively finer with </w:t>
      </w:r>
      <w:r w:rsidR="001410F0" w:rsidRPr="0032590F">
        <w:rPr>
          <w:rFonts w:ascii="Arial" w:hAnsi="Arial"/>
          <w:sz w:val="22"/>
          <w:szCs w:val="22"/>
        </w:rPr>
        <w:t xml:space="preserve">increasing </w:t>
      </w:r>
      <w:r w:rsidRPr="0032590F">
        <w:rPr>
          <w:rFonts w:ascii="Arial" w:hAnsi="Arial"/>
          <w:sz w:val="22"/>
          <w:szCs w:val="22"/>
        </w:rPr>
        <w:t>distance from the shore, consisting of fine, muddy sands in the mid-shelf regions (</w:t>
      </w:r>
      <w:r w:rsidR="001410F0" w:rsidRPr="0032590F">
        <w:rPr>
          <w:rFonts w:ascii="Arial" w:hAnsi="Arial"/>
          <w:sz w:val="22"/>
          <w:szCs w:val="22"/>
        </w:rPr>
        <w:t xml:space="preserve">Harris and Heap, 2009; </w:t>
      </w:r>
      <w:r w:rsidRPr="0032590F">
        <w:rPr>
          <w:rFonts w:ascii="Arial" w:hAnsi="Arial"/>
          <w:sz w:val="22"/>
          <w:szCs w:val="22"/>
        </w:rPr>
        <w:t>Wilson and Poore, 1987).</w:t>
      </w:r>
      <w:r w:rsidR="001410F0" w:rsidRPr="0032590F">
        <w:rPr>
          <w:rFonts w:ascii="Arial" w:hAnsi="Arial"/>
          <w:sz w:val="22"/>
          <w:szCs w:val="22"/>
        </w:rPr>
        <w:t xml:space="preserve"> </w:t>
      </w:r>
    </w:p>
    <w:p w14:paraId="28BF3AA8" w14:textId="71D879F5" w:rsidR="001410F0" w:rsidRPr="0032590F" w:rsidRDefault="001410F0" w:rsidP="00517CF6">
      <w:pPr>
        <w:pStyle w:val="bodycopy"/>
        <w:rPr>
          <w:rFonts w:ascii="Arial" w:hAnsi="Arial"/>
          <w:sz w:val="22"/>
          <w:szCs w:val="22"/>
        </w:rPr>
      </w:pPr>
      <w:r w:rsidRPr="0032590F">
        <w:rPr>
          <w:rFonts w:ascii="Arial" w:hAnsi="Arial"/>
          <w:sz w:val="22"/>
          <w:szCs w:val="22"/>
        </w:rPr>
        <w:t xml:space="preserve">Inner shelf </w:t>
      </w:r>
      <w:r w:rsidR="0078207F" w:rsidRPr="0032590F">
        <w:rPr>
          <w:rFonts w:ascii="Arial" w:hAnsi="Arial"/>
          <w:sz w:val="22"/>
          <w:szCs w:val="22"/>
        </w:rPr>
        <w:t>sediments</w:t>
      </w:r>
      <w:r w:rsidRPr="0032590F">
        <w:rPr>
          <w:rFonts w:ascii="Arial" w:hAnsi="Arial"/>
          <w:sz w:val="22"/>
          <w:szCs w:val="22"/>
        </w:rPr>
        <w:t>, such as those of the proposed acquisition area,</w:t>
      </w:r>
      <w:r w:rsidR="0078207F" w:rsidRPr="0032590F">
        <w:rPr>
          <w:rFonts w:ascii="Arial" w:hAnsi="Arial"/>
          <w:sz w:val="22"/>
          <w:szCs w:val="22"/>
        </w:rPr>
        <w:t xml:space="preserve"> </w:t>
      </w:r>
      <w:r w:rsidRPr="0032590F">
        <w:rPr>
          <w:rFonts w:ascii="Arial" w:hAnsi="Arial"/>
          <w:sz w:val="22"/>
          <w:szCs w:val="22"/>
        </w:rPr>
        <w:t xml:space="preserve">generally </w:t>
      </w:r>
      <w:r w:rsidR="0078207F" w:rsidRPr="0032590F">
        <w:rPr>
          <w:rFonts w:ascii="Arial" w:hAnsi="Arial"/>
          <w:sz w:val="22"/>
          <w:szCs w:val="22"/>
        </w:rPr>
        <w:t xml:space="preserve">consist of </w:t>
      </w:r>
      <w:r w:rsidRPr="0032590F">
        <w:rPr>
          <w:rFonts w:ascii="Arial" w:hAnsi="Arial"/>
          <w:sz w:val="22"/>
          <w:szCs w:val="22"/>
        </w:rPr>
        <w:t xml:space="preserve">fine sands (Harris and Heap, 2009; </w:t>
      </w:r>
      <w:r w:rsidR="00AA74CF">
        <w:rPr>
          <w:rFonts w:ascii="Arial" w:hAnsi="Arial"/>
          <w:sz w:val="22"/>
          <w:szCs w:val="22"/>
        </w:rPr>
        <w:t>DEDJTR, 2017a</w:t>
      </w:r>
      <w:r w:rsidRPr="0032590F">
        <w:rPr>
          <w:rFonts w:ascii="Arial" w:hAnsi="Arial"/>
          <w:sz w:val="22"/>
          <w:szCs w:val="22"/>
        </w:rPr>
        <w:t>), with moderate and well-sorted sands confined to the nearshore zone (Harris and Heap, 2009)</w:t>
      </w:r>
      <w:r w:rsidR="0078207F" w:rsidRPr="0032590F">
        <w:rPr>
          <w:rFonts w:ascii="Arial" w:hAnsi="Arial"/>
          <w:sz w:val="22"/>
          <w:szCs w:val="22"/>
        </w:rPr>
        <w:t xml:space="preserve">. </w:t>
      </w:r>
      <w:r w:rsidRPr="0032590F">
        <w:rPr>
          <w:rFonts w:ascii="Arial" w:hAnsi="Arial"/>
          <w:sz w:val="22"/>
          <w:szCs w:val="22"/>
        </w:rPr>
        <w:t xml:space="preserve">Geoscience Australia’s seafloor sediments database (known as MARS) classifies the proposed acquisition area as having sediment grain sizes ranging in diameter from 0.2 to 0.5 mm, with isolated pockets within the EMBA having sediment diameters ups to 5 mm (Harris and Heap, 2009). </w:t>
      </w:r>
    </w:p>
    <w:p w14:paraId="034D3132" w14:textId="77777777" w:rsidR="00083672" w:rsidRPr="0032590F" w:rsidRDefault="00083672" w:rsidP="00517CF6">
      <w:pPr>
        <w:pStyle w:val="bodycopy"/>
        <w:rPr>
          <w:rFonts w:ascii="Arial" w:hAnsi="Arial"/>
          <w:sz w:val="22"/>
          <w:szCs w:val="22"/>
          <w:u w:val="single"/>
        </w:rPr>
      </w:pPr>
      <w:r w:rsidRPr="0032590F">
        <w:rPr>
          <w:rFonts w:ascii="Arial" w:hAnsi="Arial"/>
          <w:sz w:val="22"/>
          <w:szCs w:val="22"/>
          <w:u w:val="single"/>
        </w:rPr>
        <w:t>Local</w:t>
      </w:r>
    </w:p>
    <w:p w14:paraId="44B50EC4" w14:textId="41A59B48" w:rsidR="0032590F" w:rsidRPr="0032590F" w:rsidRDefault="0032590F" w:rsidP="0032590F">
      <w:pPr>
        <w:pStyle w:val="bodycopy"/>
        <w:rPr>
          <w:rFonts w:ascii="Arial" w:hAnsi="Arial"/>
          <w:sz w:val="22"/>
          <w:szCs w:val="22"/>
        </w:rPr>
      </w:pPr>
      <w:bookmarkStart w:id="150" w:name="OLE_LINK11"/>
      <w:bookmarkStart w:id="151" w:name="OLE_LINK12"/>
      <w:r w:rsidRPr="0032590F">
        <w:rPr>
          <w:rFonts w:ascii="Arial" w:hAnsi="Arial"/>
          <w:sz w:val="22"/>
          <w:szCs w:val="22"/>
        </w:rPr>
        <w:t xml:space="preserve">The gradient of the proposed survey acquisition area is </w:t>
      </w:r>
      <w:r w:rsidR="00F01AE4">
        <w:rPr>
          <w:rFonts w:ascii="Arial" w:hAnsi="Arial"/>
          <w:sz w:val="22"/>
          <w:szCs w:val="22"/>
        </w:rPr>
        <w:t xml:space="preserve">a very </w:t>
      </w:r>
      <w:r w:rsidR="00F01AE4" w:rsidRPr="00F01AE4">
        <w:rPr>
          <w:rFonts w:ascii="Arial" w:hAnsi="Arial"/>
          <w:sz w:val="22"/>
          <w:szCs w:val="22"/>
        </w:rPr>
        <w:t xml:space="preserve">flat </w:t>
      </w:r>
      <w:r w:rsidRPr="00F01AE4">
        <w:rPr>
          <w:rFonts w:ascii="Arial" w:hAnsi="Arial"/>
          <w:sz w:val="22"/>
          <w:szCs w:val="22"/>
        </w:rPr>
        <w:t>0.</w:t>
      </w:r>
      <w:r w:rsidR="00F01AE4" w:rsidRPr="00F01AE4">
        <w:rPr>
          <w:rFonts w:ascii="Arial" w:hAnsi="Arial"/>
          <w:sz w:val="22"/>
          <w:szCs w:val="22"/>
        </w:rPr>
        <w:t>2</w:t>
      </w:r>
      <w:r w:rsidRPr="00F01AE4">
        <w:rPr>
          <w:rFonts w:ascii="Arial" w:hAnsi="Arial"/>
          <w:sz w:val="22"/>
          <w:szCs w:val="22"/>
        </w:rPr>
        <w:t>°,</w:t>
      </w:r>
      <w:r w:rsidRPr="0032590F">
        <w:rPr>
          <w:rFonts w:ascii="Arial" w:hAnsi="Arial"/>
          <w:sz w:val="22"/>
          <w:szCs w:val="22"/>
        </w:rPr>
        <w:t xml:space="preserve"> with the seabed </w:t>
      </w:r>
      <w:r w:rsidR="00FD738C">
        <w:rPr>
          <w:rFonts w:ascii="Arial" w:hAnsi="Arial"/>
          <w:sz w:val="22"/>
          <w:szCs w:val="22"/>
        </w:rPr>
        <w:t xml:space="preserve">depth </w:t>
      </w:r>
      <w:r w:rsidR="00F01AE4">
        <w:rPr>
          <w:rFonts w:ascii="Arial" w:hAnsi="Arial"/>
          <w:sz w:val="22"/>
          <w:szCs w:val="22"/>
        </w:rPr>
        <w:t>difference being</w:t>
      </w:r>
      <w:r w:rsidR="00FD738C">
        <w:rPr>
          <w:rFonts w:ascii="Arial" w:hAnsi="Arial"/>
          <w:sz w:val="22"/>
          <w:szCs w:val="22"/>
        </w:rPr>
        <w:t xml:space="preserve"> 30 m </w:t>
      </w:r>
      <w:r w:rsidRPr="0032590F">
        <w:rPr>
          <w:rFonts w:ascii="Arial" w:hAnsi="Arial"/>
          <w:sz w:val="22"/>
          <w:szCs w:val="22"/>
        </w:rPr>
        <w:t xml:space="preserve">over a </w:t>
      </w:r>
      <w:r w:rsidRPr="00FD738C">
        <w:rPr>
          <w:rFonts w:ascii="Arial" w:hAnsi="Arial"/>
          <w:sz w:val="22"/>
          <w:szCs w:val="22"/>
        </w:rPr>
        <w:t xml:space="preserve">distance of </w:t>
      </w:r>
      <w:r w:rsidR="00FD738C" w:rsidRPr="00FD738C">
        <w:rPr>
          <w:rFonts w:ascii="Arial" w:hAnsi="Arial"/>
          <w:sz w:val="22"/>
          <w:szCs w:val="22"/>
        </w:rPr>
        <w:t>10</w:t>
      </w:r>
      <w:r w:rsidRPr="00FD738C">
        <w:rPr>
          <w:rFonts w:ascii="Arial" w:hAnsi="Arial"/>
          <w:sz w:val="22"/>
          <w:szCs w:val="22"/>
        </w:rPr>
        <w:t xml:space="preserve"> km</w:t>
      </w:r>
      <w:r w:rsidRPr="0032590F">
        <w:rPr>
          <w:rFonts w:ascii="Arial" w:hAnsi="Arial"/>
          <w:sz w:val="22"/>
          <w:szCs w:val="22"/>
        </w:rPr>
        <w:t xml:space="preserve"> perpendicular to the coast. </w:t>
      </w:r>
    </w:p>
    <w:p w14:paraId="7C3103F5" w14:textId="4970B768" w:rsidR="0032590F" w:rsidRDefault="00083672" w:rsidP="00083672">
      <w:pPr>
        <w:pStyle w:val="bodycopy"/>
        <w:rPr>
          <w:rFonts w:ascii="Arial" w:hAnsi="Arial"/>
          <w:sz w:val="22"/>
          <w:szCs w:val="22"/>
        </w:rPr>
      </w:pPr>
      <w:bookmarkStart w:id="152" w:name="OLE_LINK13"/>
      <w:bookmarkStart w:id="153" w:name="OLE_LINK14"/>
      <w:bookmarkEnd w:id="150"/>
      <w:bookmarkEnd w:id="151"/>
      <w:r w:rsidRPr="0032590F">
        <w:rPr>
          <w:rFonts w:ascii="Arial" w:hAnsi="Arial"/>
          <w:sz w:val="22"/>
          <w:szCs w:val="22"/>
        </w:rPr>
        <w:t>LiDAR (</w:t>
      </w:r>
      <w:r w:rsidR="001541B6" w:rsidRPr="0032590F">
        <w:rPr>
          <w:rFonts w:ascii="Arial" w:hAnsi="Arial"/>
          <w:sz w:val="22"/>
          <w:szCs w:val="22"/>
        </w:rPr>
        <w:t>Light Detection and Ranging</w:t>
      </w:r>
      <w:r w:rsidRPr="0032590F">
        <w:rPr>
          <w:rFonts w:ascii="Arial" w:hAnsi="Arial"/>
          <w:sz w:val="22"/>
          <w:szCs w:val="22"/>
        </w:rPr>
        <w:t xml:space="preserve">)-derived data on the sediments of the nearshore Victorian coastline was acquired in late 2008/early 2009 as part of the Victorian Government’s Future Coasts Program. This data indicates that the majority of the proposed survey area comprises sandy sediments. </w:t>
      </w:r>
      <w:r w:rsidR="00CB0CEB" w:rsidRPr="0032590F">
        <w:rPr>
          <w:rFonts w:ascii="Arial" w:hAnsi="Arial"/>
          <w:sz w:val="22"/>
          <w:szCs w:val="22"/>
        </w:rPr>
        <w:t xml:space="preserve">A series of sand waves running perpendicular to the coast are present. </w:t>
      </w:r>
    </w:p>
    <w:bookmarkEnd w:id="152"/>
    <w:bookmarkEnd w:id="153"/>
    <w:p w14:paraId="03A558EC" w14:textId="13FB33E2" w:rsidR="0032590F" w:rsidRPr="003E7F11" w:rsidRDefault="00CB0CEB" w:rsidP="002246AA">
      <w:pPr>
        <w:pStyle w:val="bodycopy"/>
        <w:rPr>
          <w:rFonts w:ascii="Arial" w:hAnsi="Arial"/>
          <w:sz w:val="22"/>
          <w:szCs w:val="22"/>
        </w:rPr>
      </w:pPr>
      <w:r w:rsidRPr="0032590F">
        <w:rPr>
          <w:rFonts w:ascii="Arial" w:hAnsi="Arial"/>
          <w:sz w:val="22"/>
          <w:szCs w:val="22"/>
        </w:rPr>
        <w:t>I</w:t>
      </w:r>
      <w:r w:rsidR="00083672" w:rsidRPr="0032590F">
        <w:rPr>
          <w:rFonts w:ascii="Arial" w:hAnsi="Arial"/>
          <w:sz w:val="22"/>
          <w:szCs w:val="22"/>
        </w:rPr>
        <w:t xml:space="preserve">ntermittent and very narrow areas of low profile reefs </w:t>
      </w:r>
      <w:r w:rsidR="00E97019">
        <w:rPr>
          <w:rFonts w:ascii="Arial" w:hAnsi="Arial"/>
          <w:sz w:val="22"/>
          <w:szCs w:val="22"/>
        </w:rPr>
        <w:t xml:space="preserve">(about 0.5 m to 1.5 m in height above the surrounding seabed) </w:t>
      </w:r>
      <w:r w:rsidRPr="0032590F">
        <w:rPr>
          <w:rFonts w:ascii="Arial" w:hAnsi="Arial"/>
          <w:sz w:val="22"/>
          <w:szCs w:val="22"/>
        </w:rPr>
        <w:t xml:space="preserve">running parallel to the coast </w:t>
      </w:r>
      <w:r w:rsidR="00083672" w:rsidRPr="0032590F">
        <w:rPr>
          <w:rFonts w:ascii="Arial" w:hAnsi="Arial"/>
          <w:sz w:val="22"/>
          <w:szCs w:val="22"/>
        </w:rPr>
        <w:t xml:space="preserve">are scattered through the nearshore sandy sediments along the Ninety Mile Beach. These reefs comprise calcarenite and occur immediately behind the surf zone, in water depths ranging from 7 to 25 m (Burton </w:t>
      </w:r>
      <w:r w:rsidR="00083672" w:rsidRPr="0032590F">
        <w:rPr>
          <w:rFonts w:ascii="Arial" w:hAnsi="Arial"/>
          <w:i/>
          <w:sz w:val="22"/>
          <w:szCs w:val="22"/>
        </w:rPr>
        <w:t>et al</w:t>
      </w:r>
      <w:r w:rsidR="00083672" w:rsidRPr="0032590F">
        <w:rPr>
          <w:rFonts w:ascii="Arial" w:hAnsi="Arial"/>
          <w:sz w:val="22"/>
          <w:szCs w:val="22"/>
        </w:rPr>
        <w:t>., 2012), and are likely to be often covered by mobile sand</w:t>
      </w:r>
      <w:r w:rsidR="0032590F">
        <w:rPr>
          <w:rFonts w:ascii="Arial" w:hAnsi="Arial"/>
          <w:sz w:val="22"/>
          <w:szCs w:val="22"/>
        </w:rPr>
        <w:t xml:space="preserve"> (</w:t>
      </w:r>
      <w:r w:rsidR="00773B60" w:rsidRPr="003E7F11">
        <w:rPr>
          <w:rFonts w:ascii="Arial" w:hAnsi="Arial"/>
          <w:sz w:val="22"/>
          <w:szCs w:val="22"/>
        </w:rPr>
        <w:t>Figure 5.3</w:t>
      </w:r>
      <w:r w:rsidR="0032590F" w:rsidRPr="003E7F11">
        <w:rPr>
          <w:rFonts w:ascii="Arial" w:hAnsi="Arial"/>
          <w:sz w:val="22"/>
          <w:szCs w:val="22"/>
        </w:rPr>
        <w:t>)</w:t>
      </w:r>
      <w:r w:rsidR="00083672" w:rsidRPr="003E7F11">
        <w:rPr>
          <w:rFonts w:ascii="Arial" w:hAnsi="Arial"/>
          <w:sz w:val="22"/>
          <w:szCs w:val="22"/>
        </w:rPr>
        <w:t>.</w:t>
      </w:r>
      <w:r w:rsidR="0032590F" w:rsidRPr="003E7F11">
        <w:rPr>
          <w:rFonts w:ascii="Arial" w:hAnsi="Arial"/>
          <w:sz w:val="22"/>
          <w:szCs w:val="22"/>
        </w:rPr>
        <w:t xml:space="preserve"> </w:t>
      </w:r>
    </w:p>
    <w:p w14:paraId="13E8B27F" w14:textId="67F9E534" w:rsidR="002246AA" w:rsidRPr="0032590F" w:rsidRDefault="0032590F" w:rsidP="002246AA">
      <w:pPr>
        <w:pStyle w:val="bodycopy"/>
        <w:rPr>
          <w:rFonts w:ascii="Arial" w:hAnsi="Arial"/>
          <w:sz w:val="22"/>
          <w:szCs w:val="22"/>
        </w:rPr>
      </w:pPr>
      <w:r w:rsidRPr="003E7F11">
        <w:rPr>
          <w:rFonts w:ascii="Arial" w:hAnsi="Arial"/>
          <w:sz w:val="22"/>
          <w:szCs w:val="22"/>
        </w:rPr>
        <w:t xml:space="preserve">As presented in </w:t>
      </w:r>
      <w:r w:rsidR="00AD0F55" w:rsidRPr="003E7F11">
        <w:rPr>
          <w:rFonts w:ascii="Arial" w:hAnsi="Arial"/>
          <w:sz w:val="22"/>
          <w:szCs w:val="22"/>
        </w:rPr>
        <w:t>Figure 5.</w:t>
      </w:r>
      <w:r w:rsidR="00773B60" w:rsidRPr="003E7F11">
        <w:rPr>
          <w:rFonts w:ascii="Arial" w:hAnsi="Arial"/>
          <w:sz w:val="22"/>
          <w:szCs w:val="22"/>
        </w:rPr>
        <w:t>4</w:t>
      </w:r>
      <w:r w:rsidR="00AD0F55" w:rsidRPr="00D467EA">
        <w:rPr>
          <w:rFonts w:ascii="Arial" w:hAnsi="Arial"/>
          <w:sz w:val="22"/>
          <w:szCs w:val="22"/>
        </w:rPr>
        <w:t xml:space="preserve">, </w:t>
      </w:r>
      <w:r w:rsidRPr="00D467EA">
        <w:rPr>
          <w:rFonts w:ascii="Arial" w:hAnsi="Arial"/>
          <w:sz w:val="22"/>
          <w:szCs w:val="22"/>
        </w:rPr>
        <w:t xml:space="preserve">Photo </w:t>
      </w:r>
      <w:r w:rsidR="003A532F" w:rsidRPr="00D467EA">
        <w:rPr>
          <w:rFonts w:ascii="Arial" w:hAnsi="Arial"/>
          <w:sz w:val="22"/>
          <w:szCs w:val="22"/>
        </w:rPr>
        <w:t>5.</w:t>
      </w:r>
      <w:r w:rsidRPr="00D467EA">
        <w:rPr>
          <w:rFonts w:ascii="Arial" w:hAnsi="Arial"/>
          <w:sz w:val="22"/>
          <w:szCs w:val="22"/>
        </w:rPr>
        <w:t xml:space="preserve">1, Photo </w:t>
      </w:r>
      <w:r w:rsidR="003A532F" w:rsidRPr="00D467EA">
        <w:rPr>
          <w:rFonts w:ascii="Arial" w:hAnsi="Arial"/>
          <w:sz w:val="22"/>
          <w:szCs w:val="22"/>
        </w:rPr>
        <w:t>5.</w:t>
      </w:r>
      <w:r w:rsidRPr="00D467EA">
        <w:rPr>
          <w:rFonts w:ascii="Arial" w:hAnsi="Arial"/>
          <w:sz w:val="22"/>
          <w:szCs w:val="22"/>
        </w:rPr>
        <w:t xml:space="preserve">2, Photo </w:t>
      </w:r>
      <w:r w:rsidR="003A532F" w:rsidRPr="00D467EA">
        <w:rPr>
          <w:rFonts w:ascii="Arial" w:hAnsi="Arial"/>
          <w:sz w:val="22"/>
          <w:szCs w:val="22"/>
        </w:rPr>
        <w:t>5.</w:t>
      </w:r>
      <w:r w:rsidRPr="00D467EA">
        <w:rPr>
          <w:rFonts w:ascii="Arial" w:hAnsi="Arial"/>
          <w:sz w:val="22"/>
          <w:szCs w:val="22"/>
        </w:rPr>
        <w:t xml:space="preserve">3, Photo </w:t>
      </w:r>
      <w:r w:rsidR="003A532F" w:rsidRPr="00D467EA">
        <w:rPr>
          <w:rFonts w:ascii="Arial" w:hAnsi="Arial"/>
          <w:sz w:val="22"/>
          <w:szCs w:val="22"/>
        </w:rPr>
        <w:t>5.</w:t>
      </w:r>
      <w:r w:rsidRPr="00D467EA">
        <w:rPr>
          <w:rFonts w:ascii="Arial" w:hAnsi="Arial"/>
          <w:sz w:val="22"/>
          <w:szCs w:val="22"/>
        </w:rPr>
        <w:t xml:space="preserve">4, the marine </w:t>
      </w:r>
      <w:r w:rsidR="00F01AE4" w:rsidRPr="00D467EA">
        <w:rPr>
          <w:rFonts w:ascii="Arial" w:hAnsi="Arial"/>
          <w:sz w:val="22"/>
          <w:szCs w:val="22"/>
        </w:rPr>
        <w:t>habitat</w:t>
      </w:r>
      <w:r w:rsidRPr="00D467EA">
        <w:rPr>
          <w:rFonts w:ascii="Arial" w:hAnsi="Arial"/>
          <w:sz w:val="22"/>
          <w:szCs w:val="22"/>
        </w:rPr>
        <w:t xml:space="preserve"> </w:t>
      </w:r>
      <w:r w:rsidR="00467CF0" w:rsidRPr="00D467EA">
        <w:rPr>
          <w:rFonts w:ascii="Arial" w:hAnsi="Arial"/>
          <w:sz w:val="22"/>
          <w:szCs w:val="22"/>
        </w:rPr>
        <w:t>assessment</w:t>
      </w:r>
      <w:r w:rsidR="00921DAC" w:rsidRPr="00D467EA">
        <w:rPr>
          <w:rFonts w:ascii="Arial" w:hAnsi="Arial"/>
          <w:sz w:val="22"/>
          <w:szCs w:val="22"/>
        </w:rPr>
        <w:t xml:space="preserve"> (using non-intrusive </w:t>
      </w:r>
      <w:r w:rsidRPr="00D467EA">
        <w:rPr>
          <w:rFonts w:ascii="Arial" w:hAnsi="Arial"/>
          <w:sz w:val="22"/>
          <w:szCs w:val="22"/>
        </w:rPr>
        <w:t>towed camera</w:t>
      </w:r>
      <w:r w:rsidR="00921DAC" w:rsidRPr="00D467EA">
        <w:rPr>
          <w:rFonts w:ascii="Arial" w:hAnsi="Arial"/>
          <w:sz w:val="22"/>
          <w:szCs w:val="22"/>
        </w:rPr>
        <w:t>)</w:t>
      </w:r>
      <w:r w:rsidRPr="00D467EA">
        <w:rPr>
          <w:rFonts w:ascii="Arial" w:hAnsi="Arial"/>
          <w:sz w:val="22"/>
          <w:szCs w:val="22"/>
        </w:rPr>
        <w:t xml:space="preserve"> </w:t>
      </w:r>
      <w:r w:rsidR="00E24D25" w:rsidRPr="00D467EA">
        <w:rPr>
          <w:rFonts w:ascii="Arial" w:hAnsi="Arial"/>
          <w:sz w:val="22"/>
          <w:szCs w:val="22"/>
        </w:rPr>
        <w:t>commissioned by CarbonNet</w:t>
      </w:r>
      <w:r w:rsidR="00E24D25">
        <w:rPr>
          <w:rFonts w:ascii="Arial" w:hAnsi="Arial"/>
          <w:sz w:val="22"/>
          <w:szCs w:val="22"/>
        </w:rPr>
        <w:t xml:space="preserve"> and </w:t>
      </w:r>
      <w:r>
        <w:rPr>
          <w:rFonts w:ascii="Arial" w:hAnsi="Arial"/>
          <w:sz w:val="22"/>
          <w:szCs w:val="22"/>
        </w:rPr>
        <w:t xml:space="preserve">conducted in early April 2017 </w:t>
      </w:r>
      <w:r w:rsidR="00E24D25">
        <w:rPr>
          <w:rFonts w:ascii="Arial" w:hAnsi="Arial"/>
          <w:sz w:val="22"/>
          <w:szCs w:val="22"/>
        </w:rPr>
        <w:t xml:space="preserve">by Advisian </w:t>
      </w:r>
      <w:r>
        <w:rPr>
          <w:rFonts w:ascii="Arial" w:hAnsi="Arial"/>
          <w:sz w:val="22"/>
          <w:szCs w:val="22"/>
        </w:rPr>
        <w:t xml:space="preserve">found that </w:t>
      </w:r>
      <w:r w:rsidR="003A532F">
        <w:rPr>
          <w:rFonts w:ascii="Arial" w:hAnsi="Arial"/>
          <w:sz w:val="22"/>
          <w:szCs w:val="22"/>
        </w:rPr>
        <w:t>the seabed throughout the proposed acquisition area is dominated by sand</w:t>
      </w:r>
      <w:r w:rsidR="00AD0F55">
        <w:rPr>
          <w:rFonts w:ascii="Arial" w:hAnsi="Arial"/>
          <w:sz w:val="22"/>
          <w:szCs w:val="22"/>
        </w:rPr>
        <w:t xml:space="preserve"> (fine, coarse and silty</w:t>
      </w:r>
      <w:r w:rsidR="00E24D25">
        <w:rPr>
          <w:rFonts w:ascii="Arial" w:hAnsi="Arial"/>
          <w:sz w:val="22"/>
          <w:szCs w:val="22"/>
        </w:rPr>
        <w:t>)</w:t>
      </w:r>
      <w:r w:rsidR="003A532F">
        <w:rPr>
          <w:rFonts w:ascii="Arial" w:hAnsi="Arial"/>
          <w:sz w:val="22"/>
          <w:szCs w:val="22"/>
        </w:rPr>
        <w:t xml:space="preserve">, with </w:t>
      </w:r>
      <w:r w:rsidR="00166B4D">
        <w:rPr>
          <w:rFonts w:ascii="Arial" w:hAnsi="Arial"/>
          <w:sz w:val="22"/>
          <w:szCs w:val="22"/>
        </w:rPr>
        <w:t>inshore reef present as discontinuous outcrops (not continuous reef as indicated by LiDAR mapping) and small isolated area of reef and rubble</w:t>
      </w:r>
      <w:r w:rsidR="00AD0F55">
        <w:rPr>
          <w:rFonts w:ascii="Arial" w:hAnsi="Arial"/>
          <w:sz w:val="22"/>
          <w:szCs w:val="22"/>
        </w:rPr>
        <w:t xml:space="preserve"> </w:t>
      </w:r>
      <w:r w:rsidR="00166B4D">
        <w:rPr>
          <w:rFonts w:ascii="Arial" w:hAnsi="Arial"/>
          <w:sz w:val="22"/>
          <w:szCs w:val="22"/>
        </w:rPr>
        <w:t>recorded further offshore</w:t>
      </w:r>
      <w:r w:rsidR="00AD0F55">
        <w:rPr>
          <w:rFonts w:ascii="Arial" w:hAnsi="Arial"/>
          <w:sz w:val="22"/>
          <w:szCs w:val="22"/>
        </w:rPr>
        <w:t xml:space="preserve">. </w:t>
      </w:r>
      <w:r w:rsidR="00791B7C">
        <w:rPr>
          <w:rFonts w:ascii="Arial" w:hAnsi="Arial"/>
          <w:sz w:val="22"/>
          <w:szCs w:val="22"/>
        </w:rPr>
        <w:t xml:space="preserve">No reef bommies were noted during this habitat assessment. </w:t>
      </w:r>
    </w:p>
    <w:p w14:paraId="6A0341BE" w14:textId="09CBAD4A" w:rsidR="00935243" w:rsidRDefault="00935243" w:rsidP="00517CF6">
      <w:pPr>
        <w:pStyle w:val="bodycopy"/>
        <w:rPr>
          <w:rFonts w:ascii="Arial" w:hAnsi="Arial"/>
          <w:sz w:val="22"/>
          <w:szCs w:val="22"/>
        </w:rPr>
      </w:pPr>
    </w:p>
    <w:tbl>
      <w:tblPr>
        <w:tblStyle w:val="TableGrid"/>
        <w:tblW w:w="0" w:type="auto"/>
        <w:tblLook w:val="04A0" w:firstRow="1" w:lastRow="0" w:firstColumn="1" w:lastColumn="0" w:noHBand="0" w:noVBand="1"/>
      </w:tblPr>
      <w:tblGrid>
        <w:gridCol w:w="8522"/>
      </w:tblGrid>
      <w:tr w:rsidR="00C6144F" w14:paraId="7DCAF611" w14:textId="77777777" w:rsidTr="002E5F63">
        <w:tc>
          <w:tcPr>
            <w:tcW w:w="8522" w:type="dxa"/>
          </w:tcPr>
          <w:p w14:paraId="15F1F183" w14:textId="0438FA36" w:rsidR="00C6144F" w:rsidRDefault="00375810" w:rsidP="002E5F63">
            <w:pPr>
              <w:pStyle w:val="bodycopy"/>
              <w:rPr>
                <w:rFonts w:ascii="Arial" w:hAnsi="Arial"/>
                <w:sz w:val="22"/>
                <w:szCs w:val="22"/>
              </w:rPr>
            </w:pPr>
            <w:r w:rsidRPr="00891DE1">
              <w:rPr>
                <w:rFonts w:ascii="Arial" w:hAnsi="Arial"/>
                <w:noProof/>
                <w:sz w:val="22"/>
                <w:szCs w:val="22"/>
              </w:rPr>
              <w:lastRenderedPageBreak/>
              <w:drawing>
                <wp:inline distT="0" distB="0" distL="0" distR="0" wp14:anchorId="2ED7CF5B" wp14:editId="283A996C">
                  <wp:extent cx="5275580" cy="7456170"/>
                  <wp:effectExtent l="0" t="0" r="7620" b="11430"/>
                  <wp:docPr id="22" name="Picture 22" descr="Macintosh HD:Users:Giulio:Desktop:MAP-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Giulio:Desktop:MAP-274-1.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5275580" cy="7456170"/>
                          </a:xfrm>
                          <a:prstGeom prst="rect">
                            <a:avLst/>
                          </a:prstGeom>
                          <a:noFill/>
                          <a:ln>
                            <a:noFill/>
                          </a:ln>
                        </pic:spPr>
                      </pic:pic>
                    </a:graphicData>
                  </a:graphic>
                </wp:inline>
              </w:drawing>
            </w:r>
          </w:p>
        </w:tc>
      </w:tr>
    </w:tbl>
    <w:p w14:paraId="741DEF14" w14:textId="77777777" w:rsidR="0085766F" w:rsidRPr="006F7761" w:rsidRDefault="0085766F" w:rsidP="0085766F">
      <w:pPr>
        <w:pStyle w:val="bodycopy"/>
        <w:rPr>
          <w:rFonts w:ascii="Arial" w:hAnsi="Arial"/>
          <w:i/>
          <w:sz w:val="16"/>
          <w:szCs w:val="16"/>
        </w:rPr>
      </w:pPr>
      <w:r w:rsidRPr="006F7761">
        <w:rPr>
          <w:rFonts w:ascii="Arial" w:hAnsi="Arial"/>
          <w:i/>
          <w:sz w:val="16"/>
          <w:szCs w:val="16"/>
        </w:rPr>
        <w:t xml:space="preserve">Source: </w:t>
      </w:r>
      <w:r>
        <w:rPr>
          <w:rFonts w:ascii="Arial" w:hAnsi="Arial"/>
          <w:i/>
          <w:sz w:val="16"/>
          <w:szCs w:val="16"/>
        </w:rPr>
        <w:t>DEDJTR</w:t>
      </w:r>
      <w:r w:rsidRPr="006F7761">
        <w:rPr>
          <w:rFonts w:ascii="Arial" w:hAnsi="Arial"/>
          <w:i/>
          <w:sz w:val="16"/>
          <w:szCs w:val="16"/>
        </w:rPr>
        <w:t xml:space="preserve"> (2017</w:t>
      </w:r>
      <w:r>
        <w:rPr>
          <w:rFonts w:ascii="Arial" w:hAnsi="Arial"/>
          <w:i/>
          <w:sz w:val="16"/>
          <w:szCs w:val="16"/>
        </w:rPr>
        <w:t>a</w:t>
      </w:r>
      <w:r w:rsidRPr="006F7761">
        <w:rPr>
          <w:rFonts w:ascii="Arial" w:hAnsi="Arial"/>
          <w:i/>
          <w:sz w:val="16"/>
          <w:szCs w:val="16"/>
        </w:rPr>
        <w:t>).</w:t>
      </w:r>
    </w:p>
    <w:p w14:paraId="43575947" w14:textId="19EB0F9C" w:rsidR="00AD0F55" w:rsidRDefault="00773B60" w:rsidP="00AD0F55">
      <w:pPr>
        <w:pStyle w:val="bodycopy"/>
        <w:spacing w:before="120" w:after="240"/>
        <w:jc w:val="center"/>
        <w:rPr>
          <w:rFonts w:ascii="Arial" w:hAnsi="Arial"/>
          <w:b/>
          <w:sz w:val="20"/>
          <w:highlight w:val="lightGray"/>
        </w:rPr>
        <w:sectPr w:rsidR="00AD0F55" w:rsidSect="00B4362B">
          <w:headerReference w:type="even" r:id="rId46"/>
          <w:headerReference w:type="default" r:id="rId47"/>
          <w:footerReference w:type="default" r:id="rId48"/>
          <w:headerReference w:type="first" r:id="rId49"/>
          <w:pgSz w:w="11906" w:h="16838" w:code="9"/>
          <w:pgMar w:top="1276" w:right="1800" w:bottom="1440" w:left="1800" w:header="994" w:footer="706" w:gutter="0"/>
          <w:cols w:space="708"/>
          <w:docGrid w:linePitch="360"/>
        </w:sectPr>
      </w:pPr>
      <w:r>
        <w:rPr>
          <w:rFonts w:ascii="Arial" w:hAnsi="Arial"/>
          <w:b/>
          <w:sz w:val="20"/>
        </w:rPr>
        <w:t>Figure 5.3</w:t>
      </w:r>
      <w:r w:rsidR="00C6144F" w:rsidRPr="0058465F">
        <w:rPr>
          <w:rFonts w:ascii="Arial" w:hAnsi="Arial"/>
          <w:b/>
          <w:sz w:val="20"/>
        </w:rPr>
        <w:t>.</w:t>
      </w:r>
      <w:r w:rsidR="00C6144F" w:rsidRPr="0058465F">
        <w:rPr>
          <w:rFonts w:ascii="Arial" w:hAnsi="Arial"/>
          <w:b/>
          <w:sz w:val="20"/>
        </w:rPr>
        <w:tab/>
      </w:r>
      <w:r w:rsidR="00263143">
        <w:rPr>
          <w:rFonts w:ascii="Arial" w:hAnsi="Arial"/>
          <w:b/>
          <w:sz w:val="20"/>
        </w:rPr>
        <w:t xml:space="preserve">Seabed and shoreline types and sensitivities </w:t>
      </w:r>
      <w:r w:rsidR="00C6144F" w:rsidRPr="0058465F">
        <w:rPr>
          <w:rFonts w:ascii="Arial" w:hAnsi="Arial"/>
          <w:b/>
          <w:sz w:val="20"/>
        </w:rPr>
        <w:t xml:space="preserve">in and around the proposed Pelican 3DMSS </w:t>
      </w:r>
      <w:r w:rsidR="00263143">
        <w:rPr>
          <w:rFonts w:ascii="Arial" w:hAnsi="Arial"/>
          <w:b/>
          <w:sz w:val="20"/>
        </w:rPr>
        <w:t>operational area</w:t>
      </w:r>
      <w:r w:rsidR="00AD0F55">
        <w:rPr>
          <w:rFonts w:ascii="Arial" w:hAnsi="Arial"/>
          <w:b/>
          <w:sz w:val="20"/>
        </w:rPr>
        <w:t xml:space="preserve"> </w:t>
      </w:r>
      <w:r w:rsidR="00AD0F55">
        <w:rPr>
          <w:rFonts w:ascii="Arial" w:hAnsi="Arial"/>
          <w:b/>
          <w:sz w:val="20"/>
        </w:rPr>
        <w:br/>
      </w:r>
    </w:p>
    <w:tbl>
      <w:tblPr>
        <w:tblStyle w:val="TableGrid"/>
        <w:tblW w:w="0" w:type="auto"/>
        <w:jc w:val="center"/>
        <w:tblLook w:val="04A0" w:firstRow="1" w:lastRow="0" w:firstColumn="1" w:lastColumn="0" w:noHBand="0" w:noVBand="1"/>
      </w:tblPr>
      <w:tblGrid>
        <w:gridCol w:w="11138"/>
      </w:tblGrid>
      <w:tr w:rsidR="00AD0F55" w14:paraId="6AD468AF" w14:textId="77777777" w:rsidTr="00EF5340">
        <w:trPr>
          <w:jc w:val="center"/>
        </w:trPr>
        <w:tc>
          <w:tcPr>
            <w:tcW w:w="10598" w:type="dxa"/>
          </w:tcPr>
          <w:p w14:paraId="0C2E648F" w14:textId="18E38C89" w:rsidR="00AD0F55" w:rsidRDefault="00375810" w:rsidP="00EF5340">
            <w:pPr>
              <w:pStyle w:val="bodycopy"/>
              <w:spacing w:after="0"/>
              <w:rPr>
                <w:rFonts w:ascii="Arial" w:hAnsi="Arial"/>
                <w:b/>
                <w:sz w:val="20"/>
              </w:rPr>
            </w:pPr>
            <w:r>
              <w:rPr>
                <w:noProof/>
              </w:rPr>
              <w:lastRenderedPageBreak/>
              <w:drawing>
                <wp:inline distT="0" distB="0" distL="0" distR="0" wp14:anchorId="306A0047" wp14:editId="6D9960DB">
                  <wp:extent cx="6935638" cy="488515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6942597" cy="4890052"/>
                          </a:xfrm>
                          <a:prstGeom prst="rect">
                            <a:avLst/>
                          </a:prstGeom>
                          <a:noFill/>
                          <a:ln>
                            <a:noFill/>
                          </a:ln>
                        </pic:spPr>
                      </pic:pic>
                    </a:graphicData>
                  </a:graphic>
                </wp:inline>
              </w:drawing>
            </w:r>
          </w:p>
        </w:tc>
      </w:tr>
    </w:tbl>
    <w:p w14:paraId="4CA42528" w14:textId="5D0E4734" w:rsidR="00AD0F55" w:rsidRPr="00AD0F55" w:rsidRDefault="00EF5340" w:rsidP="00EF5340">
      <w:pPr>
        <w:pStyle w:val="bodycopy"/>
        <w:ind w:left="720" w:firstLine="720"/>
        <w:rPr>
          <w:rFonts w:ascii="Arial" w:hAnsi="Arial"/>
          <w:i/>
          <w:sz w:val="16"/>
          <w:szCs w:val="16"/>
        </w:rPr>
      </w:pPr>
      <w:r>
        <w:rPr>
          <w:rFonts w:ascii="Arial" w:hAnsi="Arial"/>
          <w:i/>
          <w:sz w:val="16"/>
          <w:szCs w:val="16"/>
        </w:rPr>
        <w:t xml:space="preserve">     </w:t>
      </w:r>
      <w:r w:rsidR="00AD0F55" w:rsidRPr="00AD0F55">
        <w:rPr>
          <w:rFonts w:ascii="Arial" w:hAnsi="Arial"/>
          <w:i/>
          <w:sz w:val="16"/>
          <w:szCs w:val="16"/>
        </w:rPr>
        <w:t>Source: Advisian (2017).</w:t>
      </w:r>
    </w:p>
    <w:p w14:paraId="6E4EF551" w14:textId="6637D4F1" w:rsidR="00C6144F" w:rsidRPr="0058465F" w:rsidRDefault="00AD0F55" w:rsidP="00AD0F55">
      <w:pPr>
        <w:pStyle w:val="bodycopy"/>
        <w:spacing w:before="120" w:after="240"/>
        <w:jc w:val="center"/>
        <w:rPr>
          <w:rFonts w:ascii="Arial" w:hAnsi="Arial"/>
          <w:b/>
          <w:sz w:val="20"/>
        </w:rPr>
      </w:pPr>
      <w:r w:rsidRPr="0058465F">
        <w:rPr>
          <w:rFonts w:ascii="Arial" w:hAnsi="Arial"/>
          <w:b/>
          <w:sz w:val="20"/>
        </w:rPr>
        <w:t>Figure 5.</w:t>
      </w:r>
      <w:r w:rsidR="00773B60">
        <w:rPr>
          <w:rFonts w:ascii="Arial" w:hAnsi="Arial"/>
          <w:b/>
          <w:sz w:val="20"/>
        </w:rPr>
        <w:t>4</w:t>
      </w:r>
      <w:r w:rsidRPr="0058465F">
        <w:rPr>
          <w:rFonts w:ascii="Arial" w:hAnsi="Arial"/>
          <w:b/>
          <w:sz w:val="20"/>
        </w:rPr>
        <w:t>.</w:t>
      </w:r>
      <w:r w:rsidRPr="0058465F">
        <w:rPr>
          <w:rFonts w:ascii="Arial" w:hAnsi="Arial"/>
          <w:b/>
          <w:sz w:val="20"/>
        </w:rPr>
        <w:tab/>
      </w:r>
      <w:r w:rsidR="004F68CC">
        <w:rPr>
          <w:rFonts w:ascii="Arial" w:hAnsi="Arial"/>
          <w:b/>
          <w:sz w:val="20"/>
        </w:rPr>
        <w:t xml:space="preserve">Sampling locations for the marine environmental </w:t>
      </w:r>
      <w:r w:rsidR="00467CF0">
        <w:rPr>
          <w:rFonts w:ascii="Arial" w:hAnsi="Arial"/>
          <w:b/>
          <w:sz w:val="20"/>
        </w:rPr>
        <w:t>assessment</w:t>
      </w:r>
      <w:r w:rsidR="00C651B6">
        <w:rPr>
          <w:rFonts w:ascii="Arial" w:hAnsi="Arial"/>
          <w:b/>
          <w:sz w:val="20"/>
        </w:rPr>
        <w:t>, indicating</w:t>
      </w:r>
      <w:r w:rsidR="00FD738C">
        <w:rPr>
          <w:rFonts w:ascii="Arial" w:hAnsi="Arial"/>
          <w:b/>
          <w:sz w:val="20"/>
        </w:rPr>
        <w:t xml:space="preserve"> seabed types and habitat</w:t>
      </w:r>
      <w:r w:rsidR="001843D4">
        <w:rPr>
          <w:rFonts w:ascii="Arial" w:hAnsi="Arial"/>
          <w:b/>
          <w:sz w:val="20"/>
        </w:rPr>
        <w:t xml:space="preserve"> </w:t>
      </w:r>
      <w:r w:rsidR="001843D4">
        <w:rPr>
          <w:rFonts w:ascii="Arial" w:hAnsi="Arial"/>
          <w:b/>
          <w:sz w:val="20"/>
        </w:rPr>
        <w:br/>
        <w:t xml:space="preserve">(noting a superseded version of the operational area) </w:t>
      </w:r>
    </w:p>
    <w:p w14:paraId="5F20C5D5" w14:textId="77777777" w:rsidR="00AD0F55" w:rsidRDefault="00AD0F55" w:rsidP="00517CF6">
      <w:pPr>
        <w:pStyle w:val="bodycopy"/>
        <w:rPr>
          <w:rFonts w:ascii="Arial" w:hAnsi="Arial"/>
          <w:sz w:val="22"/>
          <w:szCs w:val="22"/>
        </w:rPr>
        <w:sectPr w:rsidR="00AD0F55" w:rsidSect="00533C26">
          <w:headerReference w:type="even" r:id="rId51"/>
          <w:headerReference w:type="default" r:id="rId52"/>
          <w:footerReference w:type="default" r:id="rId53"/>
          <w:headerReference w:type="first" r:id="rId54"/>
          <w:pgSz w:w="16838" w:h="11906" w:orient="landscape" w:code="9"/>
          <w:pgMar w:top="1418" w:right="1276" w:bottom="1800" w:left="1440" w:header="994" w:footer="706" w:gutter="0"/>
          <w:cols w:space="708"/>
          <w:docGrid w:linePitch="360"/>
        </w:sectPr>
      </w:pPr>
    </w:p>
    <w:p w14:paraId="489675D6" w14:textId="21BCB2B6" w:rsidR="0032590F" w:rsidRDefault="0032590F" w:rsidP="00517CF6">
      <w:pPr>
        <w:pStyle w:val="bodycopy"/>
        <w:rPr>
          <w:rFonts w:ascii="Arial" w:hAnsi="Arial"/>
          <w:sz w:val="22"/>
          <w:szCs w:val="22"/>
        </w:rPr>
      </w:pPr>
    </w:p>
    <w:tbl>
      <w:tblPr>
        <w:tblStyle w:val="TableGrid"/>
        <w:tblW w:w="0" w:type="auto"/>
        <w:tblLook w:val="04A0" w:firstRow="1" w:lastRow="0" w:firstColumn="1" w:lastColumn="0" w:noHBand="0" w:noVBand="1"/>
      </w:tblPr>
      <w:tblGrid>
        <w:gridCol w:w="8522"/>
      </w:tblGrid>
      <w:tr w:rsidR="0058465F" w14:paraId="2D4FFA3B" w14:textId="77777777" w:rsidTr="0058465F">
        <w:tc>
          <w:tcPr>
            <w:tcW w:w="8522" w:type="dxa"/>
          </w:tcPr>
          <w:p w14:paraId="2CD97450" w14:textId="6C932FF8" w:rsidR="0058465F" w:rsidRDefault="00375810" w:rsidP="00FD738C">
            <w:pPr>
              <w:pStyle w:val="bodycopy"/>
              <w:spacing w:before="40" w:after="40"/>
              <w:rPr>
                <w:rFonts w:ascii="Arial" w:hAnsi="Arial"/>
                <w:sz w:val="22"/>
                <w:szCs w:val="22"/>
              </w:rPr>
            </w:pPr>
            <w:r>
              <w:rPr>
                <w:noProof/>
              </w:rPr>
              <w:drawing>
                <wp:inline distT="0" distB="0" distL="0" distR="0" wp14:anchorId="2DF686CF" wp14:editId="659E8744">
                  <wp:extent cx="5238750" cy="3020535"/>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11a.png"/>
                          <pic:cNvPicPr/>
                        </pic:nvPicPr>
                        <pic:blipFill>
                          <a:blip r:embed="rId55" cstate="screen">
                            <a:extLst>
                              <a:ext uri="{28A0092B-C50C-407E-A947-70E740481C1C}">
                                <a14:useLocalDpi xmlns:a14="http://schemas.microsoft.com/office/drawing/2010/main"/>
                              </a:ext>
                            </a:extLst>
                          </a:blip>
                          <a:stretch>
                            <a:fillRect/>
                          </a:stretch>
                        </pic:blipFill>
                        <pic:spPr>
                          <a:xfrm>
                            <a:off x="0" y="0"/>
                            <a:ext cx="5239789" cy="3021134"/>
                          </a:xfrm>
                          <a:prstGeom prst="rect">
                            <a:avLst/>
                          </a:prstGeom>
                        </pic:spPr>
                      </pic:pic>
                    </a:graphicData>
                  </a:graphic>
                </wp:inline>
              </w:drawing>
            </w:r>
          </w:p>
        </w:tc>
      </w:tr>
    </w:tbl>
    <w:p w14:paraId="1D9E8ED8" w14:textId="66DAC025" w:rsidR="0058465F" w:rsidRPr="0058465F" w:rsidRDefault="0058465F" w:rsidP="0058465F">
      <w:pPr>
        <w:pStyle w:val="bodycopy"/>
        <w:spacing w:before="40"/>
        <w:rPr>
          <w:rFonts w:ascii="Arial" w:hAnsi="Arial"/>
          <w:i/>
          <w:sz w:val="16"/>
          <w:szCs w:val="16"/>
        </w:rPr>
      </w:pPr>
      <w:r w:rsidRPr="0058465F">
        <w:rPr>
          <w:rFonts w:ascii="Arial" w:hAnsi="Arial"/>
          <w:i/>
          <w:sz w:val="16"/>
          <w:szCs w:val="16"/>
        </w:rPr>
        <w:t>Source: Advisian (2017).</w:t>
      </w:r>
    </w:p>
    <w:p w14:paraId="0015D31C" w14:textId="5481A987" w:rsidR="0058465F" w:rsidRDefault="0058465F" w:rsidP="0058465F">
      <w:pPr>
        <w:pStyle w:val="bodycopy"/>
        <w:spacing w:before="120" w:after="240"/>
        <w:jc w:val="center"/>
        <w:rPr>
          <w:rFonts w:ascii="Arial" w:hAnsi="Arial"/>
          <w:sz w:val="22"/>
          <w:szCs w:val="22"/>
        </w:rPr>
      </w:pPr>
      <w:r w:rsidRPr="0058465F">
        <w:rPr>
          <w:rFonts w:ascii="Arial" w:hAnsi="Arial"/>
          <w:b/>
          <w:sz w:val="20"/>
        </w:rPr>
        <w:t xml:space="preserve">Photo </w:t>
      </w:r>
      <w:r w:rsidR="003A532F">
        <w:rPr>
          <w:rFonts w:ascii="Arial" w:hAnsi="Arial"/>
          <w:b/>
          <w:sz w:val="20"/>
        </w:rPr>
        <w:t>5.</w:t>
      </w:r>
      <w:r w:rsidRPr="0058465F">
        <w:rPr>
          <w:rFonts w:ascii="Arial" w:hAnsi="Arial"/>
          <w:b/>
          <w:sz w:val="20"/>
        </w:rPr>
        <w:t>1.</w:t>
      </w:r>
      <w:r w:rsidR="00533C26">
        <w:rPr>
          <w:rFonts w:ascii="Arial" w:hAnsi="Arial"/>
          <w:b/>
          <w:sz w:val="20"/>
        </w:rPr>
        <w:tab/>
      </w:r>
      <w:r w:rsidRPr="0058465F">
        <w:rPr>
          <w:rFonts w:ascii="Arial" w:hAnsi="Arial"/>
          <w:b/>
          <w:sz w:val="20"/>
        </w:rPr>
        <w:t xml:space="preserve">Example of </w:t>
      </w:r>
      <w:r w:rsidR="00FD738C">
        <w:rPr>
          <w:rFonts w:ascii="Arial" w:hAnsi="Arial"/>
          <w:b/>
          <w:sz w:val="20"/>
        </w:rPr>
        <w:t>fine sand with ripples</w:t>
      </w:r>
      <w:r w:rsidRPr="0058465F">
        <w:rPr>
          <w:rFonts w:ascii="Arial" w:hAnsi="Arial"/>
          <w:b/>
          <w:sz w:val="20"/>
        </w:rPr>
        <w:t xml:space="preserve"> within the proposed acquisition area</w:t>
      </w:r>
      <w:r w:rsidR="00FD738C">
        <w:rPr>
          <w:rFonts w:ascii="Arial" w:hAnsi="Arial"/>
          <w:b/>
          <w:sz w:val="20"/>
        </w:rPr>
        <w:t xml:space="preserve"> at a depth of 18 m</w:t>
      </w:r>
      <w:r w:rsidR="00F01AE4">
        <w:rPr>
          <w:rFonts w:ascii="Arial" w:hAnsi="Arial"/>
          <w:b/>
          <w:sz w:val="20"/>
        </w:rPr>
        <w:t xml:space="preserve"> (site 11)</w:t>
      </w:r>
    </w:p>
    <w:p w14:paraId="6050944A" w14:textId="77777777" w:rsidR="0058465F" w:rsidRDefault="0058465F" w:rsidP="00517CF6">
      <w:pPr>
        <w:pStyle w:val="bodycopy"/>
        <w:rPr>
          <w:rFonts w:ascii="Arial" w:hAnsi="Arial"/>
          <w:sz w:val="22"/>
          <w:szCs w:val="22"/>
        </w:rPr>
      </w:pPr>
    </w:p>
    <w:tbl>
      <w:tblPr>
        <w:tblStyle w:val="TableGrid"/>
        <w:tblW w:w="0" w:type="auto"/>
        <w:tblLook w:val="04A0" w:firstRow="1" w:lastRow="0" w:firstColumn="1" w:lastColumn="0" w:noHBand="0" w:noVBand="1"/>
      </w:tblPr>
      <w:tblGrid>
        <w:gridCol w:w="8522"/>
      </w:tblGrid>
      <w:tr w:rsidR="0058465F" w14:paraId="6C97CF30" w14:textId="77777777" w:rsidTr="00AD018E">
        <w:tc>
          <w:tcPr>
            <w:tcW w:w="8522" w:type="dxa"/>
          </w:tcPr>
          <w:p w14:paraId="41156385" w14:textId="65A432E1" w:rsidR="0058465F" w:rsidRDefault="00375810" w:rsidP="00F01AE4">
            <w:pPr>
              <w:pStyle w:val="bodycopy"/>
              <w:spacing w:before="40" w:after="40"/>
              <w:rPr>
                <w:rFonts w:ascii="Arial" w:hAnsi="Arial"/>
                <w:sz w:val="22"/>
                <w:szCs w:val="22"/>
              </w:rPr>
            </w:pPr>
            <w:r>
              <w:rPr>
                <w:noProof/>
              </w:rPr>
              <w:drawing>
                <wp:inline distT="0" distB="0" distL="0" distR="0" wp14:anchorId="24938035" wp14:editId="49AA3C7B">
                  <wp:extent cx="5305425" cy="3058978"/>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43_sandwaves.png"/>
                          <pic:cNvPicPr/>
                        </pic:nvPicPr>
                        <pic:blipFill>
                          <a:blip r:embed="rId56" cstate="screen">
                            <a:extLst>
                              <a:ext uri="{28A0092B-C50C-407E-A947-70E740481C1C}">
                                <a14:useLocalDpi xmlns:a14="http://schemas.microsoft.com/office/drawing/2010/main"/>
                              </a:ext>
                            </a:extLst>
                          </a:blip>
                          <a:stretch>
                            <a:fillRect/>
                          </a:stretch>
                        </pic:blipFill>
                        <pic:spPr>
                          <a:xfrm>
                            <a:off x="0" y="0"/>
                            <a:ext cx="5306478" cy="3059585"/>
                          </a:xfrm>
                          <a:prstGeom prst="rect">
                            <a:avLst/>
                          </a:prstGeom>
                        </pic:spPr>
                      </pic:pic>
                    </a:graphicData>
                  </a:graphic>
                </wp:inline>
              </w:drawing>
            </w:r>
          </w:p>
        </w:tc>
      </w:tr>
    </w:tbl>
    <w:p w14:paraId="337AD06C" w14:textId="77777777" w:rsidR="0058465F" w:rsidRPr="0058465F" w:rsidRDefault="0058465F" w:rsidP="0058465F">
      <w:pPr>
        <w:pStyle w:val="bodycopy"/>
        <w:spacing w:before="40"/>
        <w:rPr>
          <w:rFonts w:ascii="Arial" w:hAnsi="Arial"/>
          <w:i/>
          <w:sz w:val="16"/>
          <w:szCs w:val="16"/>
        </w:rPr>
      </w:pPr>
      <w:r w:rsidRPr="0058465F">
        <w:rPr>
          <w:rFonts w:ascii="Arial" w:hAnsi="Arial"/>
          <w:i/>
          <w:sz w:val="16"/>
          <w:szCs w:val="16"/>
        </w:rPr>
        <w:t>Source: Advisian (2017).</w:t>
      </w:r>
    </w:p>
    <w:p w14:paraId="16F45788" w14:textId="6645CC6D" w:rsidR="0058465F" w:rsidRDefault="0058465F" w:rsidP="0058465F">
      <w:pPr>
        <w:pStyle w:val="bodycopy"/>
        <w:spacing w:before="120" w:after="240"/>
        <w:jc w:val="center"/>
        <w:rPr>
          <w:rFonts w:ascii="Arial" w:hAnsi="Arial"/>
          <w:b/>
          <w:sz w:val="20"/>
        </w:rPr>
      </w:pPr>
      <w:r>
        <w:rPr>
          <w:rFonts w:ascii="Arial" w:hAnsi="Arial"/>
          <w:b/>
          <w:sz w:val="20"/>
        </w:rPr>
        <w:t xml:space="preserve">Photo </w:t>
      </w:r>
      <w:r w:rsidR="003A532F">
        <w:rPr>
          <w:rFonts w:ascii="Arial" w:hAnsi="Arial"/>
          <w:b/>
          <w:sz w:val="20"/>
        </w:rPr>
        <w:t>5.</w:t>
      </w:r>
      <w:r>
        <w:rPr>
          <w:rFonts w:ascii="Arial" w:hAnsi="Arial"/>
          <w:b/>
          <w:sz w:val="20"/>
        </w:rPr>
        <w:t>2</w:t>
      </w:r>
      <w:r w:rsidR="00533C26">
        <w:rPr>
          <w:rFonts w:ascii="Arial" w:hAnsi="Arial"/>
          <w:b/>
          <w:sz w:val="20"/>
        </w:rPr>
        <w:t>.</w:t>
      </w:r>
      <w:r w:rsidR="00533C26">
        <w:rPr>
          <w:rFonts w:ascii="Arial" w:hAnsi="Arial"/>
          <w:b/>
          <w:sz w:val="20"/>
        </w:rPr>
        <w:tab/>
      </w:r>
      <w:r w:rsidRPr="0058465F">
        <w:rPr>
          <w:rFonts w:ascii="Arial" w:hAnsi="Arial"/>
          <w:b/>
          <w:sz w:val="20"/>
        </w:rPr>
        <w:t xml:space="preserve">Example of </w:t>
      </w:r>
      <w:r w:rsidR="00F01AE4">
        <w:rPr>
          <w:rFonts w:ascii="Arial" w:hAnsi="Arial"/>
          <w:b/>
          <w:sz w:val="20"/>
        </w:rPr>
        <w:t>sand waves</w:t>
      </w:r>
      <w:r w:rsidRPr="0058465F">
        <w:rPr>
          <w:rFonts w:ascii="Arial" w:hAnsi="Arial"/>
          <w:b/>
          <w:sz w:val="20"/>
        </w:rPr>
        <w:t xml:space="preserve"> within the proposed acquisition area</w:t>
      </w:r>
      <w:r w:rsidR="00F01AE4">
        <w:rPr>
          <w:rFonts w:ascii="Arial" w:hAnsi="Arial"/>
          <w:b/>
          <w:sz w:val="20"/>
        </w:rPr>
        <w:t xml:space="preserve"> at a depth of 18 m (site 43)</w:t>
      </w:r>
    </w:p>
    <w:p w14:paraId="399FE8C2" w14:textId="77777777" w:rsidR="00C903F4" w:rsidRDefault="00C903F4" w:rsidP="0058465F">
      <w:pPr>
        <w:pStyle w:val="bodycopy"/>
        <w:spacing w:before="120" w:after="240"/>
        <w:jc w:val="center"/>
        <w:rPr>
          <w:rFonts w:ascii="Arial" w:hAnsi="Arial"/>
          <w:b/>
          <w:sz w:val="20"/>
        </w:rPr>
      </w:pPr>
    </w:p>
    <w:p w14:paraId="46B11A3E" w14:textId="77777777" w:rsidR="00C903F4" w:rsidRDefault="00C903F4" w:rsidP="0058465F">
      <w:pPr>
        <w:pStyle w:val="bodycopy"/>
        <w:spacing w:before="120" w:after="240"/>
        <w:jc w:val="center"/>
        <w:rPr>
          <w:rFonts w:ascii="Arial" w:hAnsi="Arial"/>
          <w:b/>
          <w:sz w:val="20"/>
        </w:rPr>
      </w:pPr>
    </w:p>
    <w:p w14:paraId="1348861B" w14:textId="77777777" w:rsidR="00C903F4" w:rsidRDefault="00C903F4" w:rsidP="0058465F">
      <w:pPr>
        <w:pStyle w:val="bodycopy"/>
        <w:spacing w:before="120" w:after="240"/>
        <w:jc w:val="center"/>
        <w:rPr>
          <w:rFonts w:ascii="Arial" w:hAnsi="Arial"/>
          <w:b/>
          <w:sz w:val="20"/>
        </w:rPr>
      </w:pPr>
    </w:p>
    <w:p w14:paraId="66260A1A" w14:textId="77777777" w:rsidR="00C6144F" w:rsidRDefault="00C6144F" w:rsidP="0058465F">
      <w:pPr>
        <w:pStyle w:val="bodycopy"/>
        <w:spacing w:before="120" w:after="240"/>
        <w:jc w:val="center"/>
        <w:rPr>
          <w:rFonts w:ascii="Arial" w:hAnsi="Arial"/>
          <w:sz w:val="22"/>
          <w:szCs w:val="22"/>
        </w:rPr>
      </w:pPr>
    </w:p>
    <w:tbl>
      <w:tblPr>
        <w:tblStyle w:val="TableGrid"/>
        <w:tblW w:w="0" w:type="auto"/>
        <w:tblLook w:val="04A0" w:firstRow="1" w:lastRow="0" w:firstColumn="1" w:lastColumn="0" w:noHBand="0" w:noVBand="1"/>
      </w:tblPr>
      <w:tblGrid>
        <w:gridCol w:w="8522"/>
      </w:tblGrid>
      <w:tr w:rsidR="0058465F" w14:paraId="323E42C6" w14:textId="77777777" w:rsidTr="00AD018E">
        <w:tc>
          <w:tcPr>
            <w:tcW w:w="8522" w:type="dxa"/>
          </w:tcPr>
          <w:p w14:paraId="36CEAFE2" w14:textId="6740D041" w:rsidR="0058465F" w:rsidRDefault="00375810" w:rsidP="00F01AE4">
            <w:pPr>
              <w:pStyle w:val="bodycopy"/>
              <w:spacing w:before="40" w:after="40"/>
              <w:rPr>
                <w:rFonts w:ascii="Arial" w:hAnsi="Arial"/>
                <w:sz w:val="22"/>
                <w:szCs w:val="22"/>
              </w:rPr>
            </w:pPr>
            <w:r w:rsidRPr="00891DE1">
              <w:rPr>
                <w:i/>
                <w:noProof/>
              </w:rPr>
              <w:drawing>
                <wp:inline distT="0" distB="0" distL="0" distR="0" wp14:anchorId="0D7706D4" wp14:editId="2A4DBE06">
                  <wp:extent cx="5302905" cy="305752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62_scallops.png"/>
                          <pic:cNvPicPr/>
                        </pic:nvPicPr>
                        <pic:blipFill>
                          <a:blip r:embed="rId57" cstate="screen">
                            <a:extLst>
                              <a:ext uri="{28A0092B-C50C-407E-A947-70E740481C1C}">
                                <a14:useLocalDpi xmlns:a14="http://schemas.microsoft.com/office/drawing/2010/main"/>
                              </a:ext>
                            </a:extLst>
                          </a:blip>
                          <a:stretch>
                            <a:fillRect/>
                          </a:stretch>
                        </pic:blipFill>
                        <pic:spPr>
                          <a:xfrm>
                            <a:off x="0" y="0"/>
                            <a:ext cx="5303957" cy="3058132"/>
                          </a:xfrm>
                          <a:prstGeom prst="rect">
                            <a:avLst/>
                          </a:prstGeom>
                        </pic:spPr>
                      </pic:pic>
                    </a:graphicData>
                  </a:graphic>
                </wp:inline>
              </w:drawing>
            </w:r>
          </w:p>
        </w:tc>
      </w:tr>
    </w:tbl>
    <w:p w14:paraId="07D30367" w14:textId="633846E6" w:rsidR="0058465F" w:rsidRPr="0058465F" w:rsidRDefault="0058465F" w:rsidP="0058465F">
      <w:pPr>
        <w:pStyle w:val="bodycopy"/>
        <w:spacing w:before="40"/>
        <w:rPr>
          <w:rFonts w:ascii="Arial" w:hAnsi="Arial"/>
          <w:i/>
          <w:sz w:val="16"/>
          <w:szCs w:val="16"/>
        </w:rPr>
      </w:pPr>
      <w:r w:rsidRPr="0058465F">
        <w:rPr>
          <w:rFonts w:ascii="Arial" w:hAnsi="Arial"/>
          <w:i/>
          <w:sz w:val="16"/>
          <w:szCs w:val="16"/>
        </w:rPr>
        <w:t>Source: Advisian (2017).</w:t>
      </w:r>
      <w:r w:rsidR="002340DC">
        <w:rPr>
          <w:rFonts w:ascii="Arial" w:hAnsi="Arial"/>
          <w:i/>
          <w:sz w:val="16"/>
          <w:szCs w:val="16"/>
        </w:rPr>
        <w:t xml:space="preserve"> * Note red dots are laser pointers used for size estimations. </w:t>
      </w:r>
    </w:p>
    <w:p w14:paraId="19947F52" w14:textId="064D823E" w:rsidR="0058465F" w:rsidRDefault="0058465F" w:rsidP="0058465F">
      <w:pPr>
        <w:pStyle w:val="bodycopy"/>
        <w:spacing w:before="120" w:after="240"/>
        <w:jc w:val="center"/>
        <w:rPr>
          <w:rFonts w:ascii="Arial" w:hAnsi="Arial"/>
          <w:b/>
          <w:sz w:val="20"/>
        </w:rPr>
      </w:pPr>
      <w:r>
        <w:rPr>
          <w:rFonts w:ascii="Arial" w:hAnsi="Arial"/>
          <w:b/>
          <w:sz w:val="20"/>
        </w:rPr>
        <w:t xml:space="preserve">Photo </w:t>
      </w:r>
      <w:r w:rsidR="003A532F">
        <w:rPr>
          <w:rFonts w:ascii="Arial" w:hAnsi="Arial"/>
          <w:b/>
          <w:sz w:val="20"/>
        </w:rPr>
        <w:t>5.</w:t>
      </w:r>
      <w:r>
        <w:rPr>
          <w:rFonts w:ascii="Arial" w:hAnsi="Arial"/>
          <w:b/>
          <w:sz w:val="20"/>
        </w:rPr>
        <w:t>3</w:t>
      </w:r>
      <w:r w:rsidR="00533C26">
        <w:rPr>
          <w:rFonts w:ascii="Arial" w:hAnsi="Arial"/>
          <w:b/>
          <w:sz w:val="20"/>
        </w:rPr>
        <w:t>.</w:t>
      </w:r>
      <w:r w:rsidR="00533C26">
        <w:rPr>
          <w:rFonts w:ascii="Arial" w:hAnsi="Arial"/>
          <w:b/>
          <w:sz w:val="20"/>
        </w:rPr>
        <w:tab/>
      </w:r>
      <w:r w:rsidRPr="0058465F">
        <w:rPr>
          <w:rFonts w:ascii="Arial" w:hAnsi="Arial"/>
          <w:b/>
          <w:sz w:val="20"/>
        </w:rPr>
        <w:t xml:space="preserve">Example of </w:t>
      </w:r>
      <w:r w:rsidR="00F01AE4">
        <w:rPr>
          <w:rFonts w:ascii="Arial" w:hAnsi="Arial"/>
          <w:b/>
          <w:sz w:val="20"/>
        </w:rPr>
        <w:t>coarse sediment with dead scallop shells</w:t>
      </w:r>
      <w:r w:rsidRPr="0058465F">
        <w:rPr>
          <w:rFonts w:ascii="Arial" w:hAnsi="Arial"/>
          <w:b/>
          <w:sz w:val="20"/>
        </w:rPr>
        <w:t xml:space="preserve"> within the proposed acquisition area</w:t>
      </w:r>
      <w:r w:rsidR="00F01AE4">
        <w:rPr>
          <w:rFonts w:ascii="Arial" w:hAnsi="Arial"/>
          <w:b/>
          <w:sz w:val="20"/>
        </w:rPr>
        <w:t xml:space="preserve"> at a depth of 23 m (site 62)</w:t>
      </w:r>
    </w:p>
    <w:p w14:paraId="604D7B85" w14:textId="77777777" w:rsidR="00C903F4" w:rsidRDefault="00C903F4" w:rsidP="0058465F">
      <w:pPr>
        <w:pStyle w:val="bodycopy"/>
        <w:spacing w:before="120" w:after="240"/>
        <w:jc w:val="center"/>
        <w:rPr>
          <w:rFonts w:ascii="Arial" w:hAnsi="Arial"/>
          <w:sz w:val="22"/>
          <w:szCs w:val="22"/>
        </w:rPr>
      </w:pPr>
    </w:p>
    <w:tbl>
      <w:tblPr>
        <w:tblStyle w:val="TableGrid"/>
        <w:tblW w:w="0" w:type="auto"/>
        <w:tblLook w:val="04A0" w:firstRow="1" w:lastRow="0" w:firstColumn="1" w:lastColumn="0" w:noHBand="0" w:noVBand="1"/>
      </w:tblPr>
      <w:tblGrid>
        <w:gridCol w:w="8522"/>
      </w:tblGrid>
      <w:tr w:rsidR="0058465F" w14:paraId="2515D435" w14:textId="77777777" w:rsidTr="00AD018E">
        <w:tc>
          <w:tcPr>
            <w:tcW w:w="8522" w:type="dxa"/>
          </w:tcPr>
          <w:p w14:paraId="70E53B03" w14:textId="3C824ABE" w:rsidR="0058465F" w:rsidRDefault="00375810" w:rsidP="00F01AE4">
            <w:pPr>
              <w:pStyle w:val="bodycopy"/>
              <w:spacing w:before="40" w:after="40"/>
              <w:rPr>
                <w:rFonts w:ascii="Arial" w:hAnsi="Arial"/>
                <w:sz w:val="22"/>
                <w:szCs w:val="22"/>
              </w:rPr>
            </w:pPr>
            <w:r>
              <w:rPr>
                <w:noProof/>
              </w:rPr>
              <w:drawing>
                <wp:inline distT="0" distB="0" distL="0" distR="0" wp14:anchorId="226AF426" wp14:editId="7C2511AB">
                  <wp:extent cx="5305425" cy="3058978"/>
                  <wp:effectExtent l="0" t="0" r="0" b="825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39 (2).png"/>
                          <pic:cNvPicPr/>
                        </pic:nvPicPr>
                        <pic:blipFill>
                          <a:blip r:embed="rId58" cstate="screen">
                            <a:extLst>
                              <a:ext uri="{28A0092B-C50C-407E-A947-70E740481C1C}">
                                <a14:useLocalDpi xmlns:a14="http://schemas.microsoft.com/office/drawing/2010/main"/>
                              </a:ext>
                            </a:extLst>
                          </a:blip>
                          <a:stretch>
                            <a:fillRect/>
                          </a:stretch>
                        </pic:blipFill>
                        <pic:spPr>
                          <a:xfrm>
                            <a:off x="0" y="0"/>
                            <a:ext cx="5306478" cy="3059585"/>
                          </a:xfrm>
                          <a:prstGeom prst="rect">
                            <a:avLst/>
                          </a:prstGeom>
                        </pic:spPr>
                      </pic:pic>
                    </a:graphicData>
                  </a:graphic>
                </wp:inline>
              </w:drawing>
            </w:r>
          </w:p>
        </w:tc>
      </w:tr>
    </w:tbl>
    <w:p w14:paraId="4ADF48CE" w14:textId="77777777" w:rsidR="0058465F" w:rsidRPr="0058465F" w:rsidRDefault="0058465F" w:rsidP="0058465F">
      <w:pPr>
        <w:pStyle w:val="bodycopy"/>
        <w:spacing w:before="40"/>
        <w:rPr>
          <w:rFonts w:ascii="Arial" w:hAnsi="Arial"/>
          <w:i/>
          <w:sz w:val="16"/>
          <w:szCs w:val="16"/>
        </w:rPr>
      </w:pPr>
      <w:r w:rsidRPr="0058465F">
        <w:rPr>
          <w:rFonts w:ascii="Arial" w:hAnsi="Arial"/>
          <w:i/>
          <w:sz w:val="16"/>
          <w:szCs w:val="16"/>
        </w:rPr>
        <w:t>Source: Advisian (2017).</w:t>
      </w:r>
    </w:p>
    <w:p w14:paraId="517AC14E" w14:textId="6268D3F1" w:rsidR="0058465F" w:rsidRDefault="0058465F" w:rsidP="0058465F">
      <w:pPr>
        <w:pStyle w:val="bodycopy"/>
        <w:spacing w:before="120" w:after="240"/>
        <w:jc w:val="center"/>
        <w:rPr>
          <w:rFonts w:ascii="Arial" w:hAnsi="Arial"/>
          <w:sz w:val="22"/>
          <w:szCs w:val="22"/>
        </w:rPr>
      </w:pPr>
      <w:r>
        <w:rPr>
          <w:rFonts w:ascii="Arial" w:hAnsi="Arial"/>
          <w:b/>
          <w:sz w:val="20"/>
        </w:rPr>
        <w:t xml:space="preserve">Photo </w:t>
      </w:r>
      <w:r w:rsidR="003A532F">
        <w:rPr>
          <w:rFonts w:ascii="Arial" w:hAnsi="Arial"/>
          <w:b/>
          <w:sz w:val="20"/>
        </w:rPr>
        <w:t>5.</w:t>
      </w:r>
      <w:r>
        <w:rPr>
          <w:rFonts w:ascii="Arial" w:hAnsi="Arial"/>
          <w:b/>
          <w:sz w:val="20"/>
        </w:rPr>
        <w:t>4</w:t>
      </w:r>
      <w:r w:rsidR="00533C26">
        <w:rPr>
          <w:rFonts w:ascii="Arial" w:hAnsi="Arial"/>
          <w:b/>
          <w:sz w:val="20"/>
        </w:rPr>
        <w:t>.</w:t>
      </w:r>
      <w:r w:rsidR="00533C26">
        <w:rPr>
          <w:rFonts w:ascii="Arial" w:hAnsi="Arial"/>
          <w:b/>
          <w:sz w:val="20"/>
        </w:rPr>
        <w:tab/>
      </w:r>
      <w:r w:rsidRPr="0058465F">
        <w:rPr>
          <w:rFonts w:ascii="Arial" w:hAnsi="Arial"/>
          <w:b/>
          <w:sz w:val="20"/>
        </w:rPr>
        <w:t xml:space="preserve">Example of </w:t>
      </w:r>
      <w:r w:rsidR="00F01AE4">
        <w:rPr>
          <w:rFonts w:ascii="Arial" w:hAnsi="Arial"/>
          <w:b/>
          <w:sz w:val="20"/>
        </w:rPr>
        <w:t>sponge habitat and doughboy scallops</w:t>
      </w:r>
      <w:r w:rsidRPr="0058465F">
        <w:rPr>
          <w:rFonts w:ascii="Arial" w:hAnsi="Arial"/>
          <w:b/>
          <w:sz w:val="20"/>
        </w:rPr>
        <w:t xml:space="preserve"> within the proposed acquisition area</w:t>
      </w:r>
      <w:r w:rsidR="00F01AE4">
        <w:rPr>
          <w:rFonts w:ascii="Arial" w:hAnsi="Arial"/>
          <w:b/>
          <w:sz w:val="20"/>
        </w:rPr>
        <w:t xml:space="preserve"> at a depth of 30 m (site 39)</w:t>
      </w:r>
    </w:p>
    <w:p w14:paraId="06424EB9" w14:textId="77777777" w:rsidR="00F01AE4" w:rsidRDefault="00F01AE4" w:rsidP="00517CF6">
      <w:pPr>
        <w:pStyle w:val="bodycopy"/>
        <w:rPr>
          <w:rFonts w:ascii="Arial" w:hAnsi="Arial"/>
          <w:sz w:val="22"/>
          <w:szCs w:val="22"/>
        </w:rPr>
      </w:pPr>
    </w:p>
    <w:p w14:paraId="11BABB89" w14:textId="77777777" w:rsidR="00C903F4" w:rsidRDefault="00C903F4" w:rsidP="00517CF6">
      <w:pPr>
        <w:pStyle w:val="bodycopy"/>
        <w:rPr>
          <w:rFonts w:ascii="Arial" w:hAnsi="Arial"/>
          <w:sz w:val="22"/>
          <w:szCs w:val="22"/>
        </w:rPr>
      </w:pPr>
    </w:p>
    <w:p w14:paraId="43B91FAE" w14:textId="77777777" w:rsidR="00C903F4" w:rsidRDefault="00C903F4" w:rsidP="00517CF6">
      <w:pPr>
        <w:pStyle w:val="bodycopy"/>
        <w:rPr>
          <w:rFonts w:ascii="Arial" w:hAnsi="Arial"/>
          <w:sz w:val="22"/>
          <w:szCs w:val="22"/>
        </w:rPr>
      </w:pPr>
    </w:p>
    <w:p w14:paraId="300136CB" w14:textId="77777777" w:rsidR="00C903F4" w:rsidRDefault="00C903F4" w:rsidP="00517CF6">
      <w:pPr>
        <w:pStyle w:val="bodycopy"/>
        <w:rPr>
          <w:rFonts w:ascii="Arial" w:hAnsi="Arial"/>
          <w:sz w:val="22"/>
          <w:szCs w:val="22"/>
        </w:rPr>
      </w:pPr>
    </w:p>
    <w:p w14:paraId="19FE0E5C" w14:textId="77777777" w:rsidR="00F92BED" w:rsidRPr="00B850F7" w:rsidRDefault="00F92BED" w:rsidP="00E60028">
      <w:pPr>
        <w:pStyle w:val="Heading3"/>
      </w:pPr>
      <w:bookmarkStart w:id="154" w:name="_Toc474221988"/>
      <w:bookmarkStart w:id="155" w:name="_Ref478044894"/>
      <w:bookmarkStart w:id="156" w:name="_Toc375214538"/>
      <w:r w:rsidRPr="00E60028">
        <w:t>Oceanography</w:t>
      </w:r>
      <w:bookmarkEnd w:id="154"/>
      <w:bookmarkEnd w:id="155"/>
      <w:bookmarkEnd w:id="156"/>
    </w:p>
    <w:p w14:paraId="4279AE52" w14:textId="77777777" w:rsidR="00F92BED" w:rsidRPr="0032590F" w:rsidRDefault="00F92BED" w:rsidP="00F92BED">
      <w:pPr>
        <w:pStyle w:val="bodycopy"/>
        <w:rPr>
          <w:rFonts w:ascii="Arial" w:hAnsi="Arial"/>
          <w:b/>
          <w:sz w:val="22"/>
          <w:szCs w:val="22"/>
        </w:rPr>
      </w:pPr>
      <w:r w:rsidRPr="0032590F">
        <w:rPr>
          <w:rFonts w:ascii="Arial" w:hAnsi="Arial"/>
          <w:b/>
          <w:sz w:val="22"/>
          <w:szCs w:val="22"/>
        </w:rPr>
        <w:t>Water depths</w:t>
      </w:r>
    </w:p>
    <w:p w14:paraId="512163E4" w14:textId="0E8A3772" w:rsidR="004A63B1" w:rsidRPr="00D467EA" w:rsidRDefault="004A63B1" w:rsidP="00F92BED">
      <w:pPr>
        <w:pStyle w:val="bodycopy"/>
        <w:rPr>
          <w:rFonts w:ascii="Arial" w:hAnsi="Arial"/>
          <w:sz w:val="22"/>
          <w:szCs w:val="22"/>
        </w:rPr>
      </w:pPr>
      <w:bookmarkStart w:id="157" w:name="OLE_LINK1"/>
      <w:bookmarkStart w:id="158" w:name="OLE_LINK2"/>
      <w:r w:rsidRPr="0032590F">
        <w:rPr>
          <w:rFonts w:ascii="Arial" w:hAnsi="Arial"/>
          <w:sz w:val="22"/>
          <w:szCs w:val="22"/>
        </w:rPr>
        <w:t xml:space="preserve">The proposed acquisition area is located in shallow water depths ranging from 15 </w:t>
      </w:r>
      <w:r w:rsidR="00773B60">
        <w:rPr>
          <w:rFonts w:ascii="Arial" w:hAnsi="Arial"/>
          <w:sz w:val="22"/>
          <w:szCs w:val="22"/>
        </w:rPr>
        <w:t xml:space="preserve">m </w:t>
      </w:r>
      <w:r w:rsidRPr="0032590F">
        <w:rPr>
          <w:rFonts w:ascii="Arial" w:hAnsi="Arial"/>
          <w:sz w:val="22"/>
          <w:szCs w:val="22"/>
        </w:rPr>
        <w:t xml:space="preserve">to </w:t>
      </w:r>
      <w:r w:rsidR="00773B60">
        <w:rPr>
          <w:rFonts w:ascii="Arial" w:hAnsi="Arial"/>
          <w:sz w:val="22"/>
          <w:szCs w:val="22"/>
        </w:rPr>
        <w:br/>
      </w:r>
      <w:r w:rsidRPr="0032590F">
        <w:rPr>
          <w:rFonts w:ascii="Arial" w:hAnsi="Arial"/>
          <w:sz w:val="22"/>
          <w:szCs w:val="22"/>
        </w:rPr>
        <w:t>40 m in the Gippsland Basin</w:t>
      </w:r>
      <w:r w:rsidRPr="00D467EA">
        <w:rPr>
          <w:rFonts w:ascii="Arial" w:hAnsi="Arial"/>
          <w:sz w:val="22"/>
          <w:szCs w:val="22"/>
        </w:rPr>
        <w:t xml:space="preserve">. The bathymetry contours run consistently parallel to the coast across the proposed acquisition area. </w:t>
      </w:r>
    </w:p>
    <w:bookmarkEnd w:id="157"/>
    <w:bookmarkEnd w:id="158"/>
    <w:p w14:paraId="09021572" w14:textId="77777777" w:rsidR="00F92BED" w:rsidRPr="00D467EA" w:rsidRDefault="004A63B1" w:rsidP="00F92BED">
      <w:pPr>
        <w:pStyle w:val="bodycopy"/>
        <w:rPr>
          <w:rFonts w:ascii="Arial" w:hAnsi="Arial"/>
          <w:b/>
          <w:sz w:val="22"/>
          <w:szCs w:val="22"/>
        </w:rPr>
      </w:pPr>
      <w:r w:rsidRPr="00D467EA">
        <w:rPr>
          <w:rFonts w:ascii="Arial" w:hAnsi="Arial"/>
          <w:b/>
          <w:sz w:val="22"/>
          <w:szCs w:val="22"/>
        </w:rPr>
        <w:t xml:space="preserve">Water </w:t>
      </w:r>
      <w:r w:rsidR="00F92BED" w:rsidRPr="00D467EA">
        <w:rPr>
          <w:rFonts w:ascii="Arial" w:hAnsi="Arial"/>
          <w:b/>
          <w:sz w:val="22"/>
          <w:szCs w:val="22"/>
        </w:rPr>
        <w:t>Currents</w:t>
      </w:r>
    </w:p>
    <w:p w14:paraId="2FFD744E" w14:textId="32CC4DFF" w:rsidR="002B720D" w:rsidRPr="00D467EA" w:rsidRDefault="0018170F" w:rsidP="004A63B1">
      <w:pPr>
        <w:pStyle w:val="bodycopy"/>
        <w:rPr>
          <w:rFonts w:ascii="Arial" w:hAnsi="Arial"/>
          <w:sz w:val="22"/>
          <w:szCs w:val="22"/>
        </w:rPr>
      </w:pPr>
      <w:bookmarkStart w:id="159" w:name="OLE_LINK3"/>
      <w:bookmarkStart w:id="160" w:name="OLE_LINK4"/>
      <w:r w:rsidRPr="00D467EA">
        <w:rPr>
          <w:rFonts w:ascii="Arial" w:hAnsi="Arial"/>
          <w:sz w:val="22"/>
          <w:szCs w:val="22"/>
        </w:rPr>
        <w:t>Currents within Bass Strait are primarily driven by tides, winds and density</w:t>
      </w:r>
      <w:r w:rsidR="002B720D" w:rsidRPr="00D467EA">
        <w:rPr>
          <w:rFonts w:ascii="Arial" w:hAnsi="Arial"/>
          <w:sz w:val="22"/>
          <w:szCs w:val="22"/>
        </w:rPr>
        <w:t>-</w:t>
      </w:r>
      <w:r w:rsidRPr="00D467EA">
        <w:rPr>
          <w:rFonts w:ascii="Arial" w:hAnsi="Arial"/>
          <w:sz w:val="22"/>
          <w:szCs w:val="22"/>
        </w:rPr>
        <w:t>driven flows</w:t>
      </w:r>
      <w:r w:rsidR="003F5EF3" w:rsidRPr="00D467EA">
        <w:rPr>
          <w:rFonts w:ascii="Arial" w:hAnsi="Arial"/>
          <w:sz w:val="22"/>
          <w:szCs w:val="22"/>
        </w:rPr>
        <w:t xml:space="preserve"> (RPS APASA, 2016)</w:t>
      </w:r>
      <w:r w:rsidRPr="00D467EA">
        <w:rPr>
          <w:rFonts w:ascii="Arial" w:hAnsi="Arial"/>
          <w:sz w:val="22"/>
          <w:szCs w:val="22"/>
        </w:rPr>
        <w:t>.</w:t>
      </w:r>
      <w:r w:rsidR="002B720D" w:rsidRPr="00D467EA">
        <w:rPr>
          <w:rFonts w:ascii="Arial" w:hAnsi="Arial"/>
          <w:sz w:val="22"/>
          <w:szCs w:val="22"/>
        </w:rPr>
        <w:t xml:space="preserve"> The region is oceanographically complex, with sub-tropical influences from the north and sub-polar influences from the south (DoE, 2015</w:t>
      </w:r>
      <w:r w:rsidR="00225AD2" w:rsidRPr="00D467EA">
        <w:rPr>
          <w:rFonts w:ascii="Arial" w:hAnsi="Arial"/>
          <w:sz w:val="22"/>
          <w:szCs w:val="22"/>
        </w:rPr>
        <w:t>a</w:t>
      </w:r>
      <w:r w:rsidR="002B720D" w:rsidRPr="00D467EA">
        <w:rPr>
          <w:rFonts w:ascii="Arial" w:hAnsi="Arial"/>
          <w:sz w:val="22"/>
          <w:szCs w:val="22"/>
        </w:rPr>
        <w:t xml:space="preserve">). </w:t>
      </w:r>
      <w:r w:rsidR="000443D8" w:rsidRPr="00D467EA">
        <w:rPr>
          <w:rFonts w:ascii="Arial" w:hAnsi="Arial"/>
          <w:sz w:val="22"/>
          <w:szCs w:val="22"/>
        </w:rPr>
        <w:t>There is a slow easterly flow of waters in Bass Strait and a large anti-clockwise circulation (DoE, 2015</w:t>
      </w:r>
      <w:r w:rsidR="00225AD2" w:rsidRPr="00D467EA">
        <w:rPr>
          <w:rFonts w:ascii="Arial" w:hAnsi="Arial"/>
          <w:sz w:val="22"/>
          <w:szCs w:val="22"/>
        </w:rPr>
        <w:t>a</w:t>
      </w:r>
      <w:r w:rsidR="000443D8" w:rsidRPr="00D467EA">
        <w:rPr>
          <w:rFonts w:ascii="Arial" w:hAnsi="Arial"/>
          <w:sz w:val="22"/>
          <w:szCs w:val="22"/>
        </w:rPr>
        <w:t xml:space="preserve">). </w:t>
      </w:r>
      <w:r w:rsidR="002B720D" w:rsidRPr="00D467EA">
        <w:rPr>
          <w:rFonts w:ascii="Arial" w:hAnsi="Arial"/>
          <w:sz w:val="22"/>
          <w:szCs w:val="22"/>
        </w:rPr>
        <w:t>Three key water currents influence Bass Strait:</w:t>
      </w:r>
    </w:p>
    <w:p w14:paraId="2963AF86" w14:textId="62D905E1" w:rsidR="002B720D" w:rsidRPr="00D467EA" w:rsidRDefault="002B720D" w:rsidP="00567567">
      <w:pPr>
        <w:pStyle w:val="bodycopy"/>
        <w:numPr>
          <w:ilvl w:val="0"/>
          <w:numId w:val="83"/>
        </w:numPr>
        <w:rPr>
          <w:rFonts w:ascii="Arial" w:hAnsi="Arial"/>
          <w:sz w:val="22"/>
          <w:szCs w:val="22"/>
        </w:rPr>
      </w:pPr>
      <w:r w:rsidRPr="00D467EA">
        <w:rPr>
          <w:rFonts w:ascii="Arial" w:hAnsi="Arial"/>
          <w:sz w:val="22"/>
          <w:szCs w:val="22"/>
        </w:rPr>
        <w:t>The Leeuwin Current transports warm, sub-tropical water southward along the Western Australian (WA) coast and then eastward into the Great Australian Bight (GAB), where it mixes with the cool waters from the Zeehan Current running along Tasmania’s west coast (DoE, 2015</w:t>
      </w:r>
      <w:r w:rsidR="00225AD2" w:rsidRPr="00D467EA">
        <w:rPr>
          <w:rFonts w:ascii="Arial" w:hAnsi="Arial"/>
          <w:sz w:val="22"/>
          <w:szCs w:val="22"/>
        </w:rPr>
        <w:t>a</w:t>
      </w:r>
      <w:r w:rsidRPr="00D467EA">
        <w:rPr>
          <w:rFonts w:ascii="Arial" w:hAnsi="Arial"/>
          <w:sz w:val="22"/>
          <w:szCs w:val="22"/>
        </w:rPr>
        <w:t xml:space="preserve">). </w:t>
      </w:r>
      <w:r w:rsidR="00A81D3A" w:rsidRPr="00D467EA">
        <w:rPr>
          <w:rFonts w:ascii="Arial" w:hAnsi="Arial"/>
          <w:sz w:val="22"/>
          <w:szCs w:val="22"/>
        </w:rPr>
        <w:t xml:space="preserve">The Leeuwin and Zeehan currents are stronger in winter than in summer, with the latter flowing into Bass Strait during winter. </w:t>
      </w:r>
    </w:p>
    <w:p w14:paraId="705183B0" w14:textId="3AC36533" w:rsidR="002B720D" w:rsidRPr="00D467EA" w:rsidRDefault="002B720D" w:rsidP="00567567">
      <w:pPr>
        <w:pStyle w:val="bodycopy"/>
        <w:numPr>
          <w:ilvl w:val="0"/>
          <w:numId w:val="83"/>
        </w:numPr>
        <w:rPr>
          <w:rFonts w:ascii="Arial" w:hAnsi="Arial"/>
          <w:sz w:val="22"/>
          <w:szCs w:val="22"/>
        </w:rPr>
      </w:pPr>
      <w:r w:rsidRPr="00D467EA">
        <w:rPr>
          <w:rFonts w:ascii="Arial" w:hAnsi="Arial"/>
          <w:sz w:val="22"/>
          <w:szCs w:val="22"/>
        </w:rPr>
        <w:t>The East Australian Current (EAC) is up to 500 m deep and 100 km wide, flows southwards adjacent to the coast of NSW and eastern Victoria, and carries with it warm equatorial waters</w:t>
      </w:r>
      <w:r w:rsidR="000443D8" w:rsidRPr="00D467EA">
        <w:rPr>
          <w:rFonts w:ascii="Arial" w:hAnsi="Arial"/>
          <w:sz w:val="22"/>
          <w:szCs w:val="22"/>
        </w:rPr>
        <w:t xml:space="preserve"> </w:t>
      </w:r>
      <w:r w:rsidRPr="00D467EA">
        <w:rPr>
          <w:rFonts w:ascii="Arial" w:hAnsi="Arial"/>
          <w:sz w:val="22"/>
          <w:szCs w:val="22"/>
        </w:rPr>
        <w:t>(DoE, 2015</w:t>
      </w:r>
      <w:r w:rsidR="00225AD2" w:rsidRPr="00D467EA">
        <w:rPr>
          <w:rFonts w:ascii="Arial" w:hAnsi="Arial"/>
          <w:sz w:val="22"/>
          <w:szCs w:val="22"/>
        </w:rPr>
        <w:t>a</w:t>
      </w:r>
      <w:r w:rsidRPr="00D467EA">
        <w:rPr>
          <w:rFonts w:ascii="Arial" w:hAnsi="Arial"/>
          <w:sz w:val="22"/>
          <w:szCs w:val="22"/>
        </w:rPr>
        <w:t>). The EAC is strongest in summer when it can flow at a speed of up to 5 knots, but flows more slowly (2-3 knots) in winter</w:t>
      </w:r>
      <w:r w:rsidR="00A81D3A" w:rsidRPr="00D467EA">
        <w:rPr>
          <w:rFonts w:ascii="Arial" w:hAnsi="Arial"/>
          <w:sz w:val="22"/>
          <w:szCs w:val="22"/>
        </w:rPr>
        <w:t xml:space="preserve"> where it remains at higher latitudes</w:t>
      </w:r>
      <w:r w:rsidRPr="00D467EA">
        <w:rPr>
          <w:rFonts w:ascii="Arial" w:hAnsi="Arial"/>
          <w:sz w:val="22"/>
          <w:szCs w:val="22"/>
        </w:rPr>
        <w:t xml:space="preserve">. </w:t>
      </w:r>
    </w:p>
    <w:p w14:paraId="0235F93E" w14:textId="750E34E8" w:rsidR="002B720D" w:rsidRPr="00D467EA" w:rsidRDefault="000443D8" w:rsidP="00567567">
      <w:pPr>
        <w:pStyle w:val="bodycopy"/>
        <w:numPr>
          <w:ilvl w:val="0"/>
          <w:numId w:val="83"/>
        </w:numPr>
        <w:rPr>
          <w:rFonts w:ascii="Arial" w:hAnsi="Arial"/>
          <w:sz w:val="22"/>
          <w:szCs w:val="22"/>
        </w:rPr>
      </w:pPr>
      <w:r w:rsidRPr="00D467EA">
        <w:rPr>
          <w:rFonts w:ascii="Arial" w:hAnsi="Arial"/>
          <w:sz w:val="22"/>
          <w:szCs w:val="22"/>
        </w:rPr>
        <w:t>The Bass Strait Cascade occurs during winter along the shelf break, which brings nutrient-rich waters to the surface as a result of the eastward flushing of the shallow waters of the strait over the continental shelf mixing with cooler, deeper nutrient-rich water (DoE, 2015</w:t>
      </w:r>
      <w:r w:rsidR="00225AD2" w:rsidRPr="00D467EA">
        <w:rPr>
          <w:rFonts w:ascii="Arial" w:hAnsi="Arial"/>
          <w:sz w:val="22"/>
          <w:szCs w:val="22"/>
        </w:rPr>
        <w:t>a</w:t>
      </w:r>
      <w:r w:rsidRPr="00D467EA">
        <w:rPr>
          <w:rFonts w:ascii="Arial" w:hAnsi="Arial"/>
          <w:sz w:val="22"/>
          <w:szCs w:val="22"/>
        </w:rPr>
        <w:t xml:space="preserve">). </w:t>
      </w:r>
    </w:p>
    <w:bookmarkEnd w:id="159"/>
    <w:bookmarkEnd w:id="160"/>
    <w:p w14:paraId="63BDA679" w14:textId="1D4CBD24" w:rsidR="00086A82" w:rsidRPr="0032590F" w:rsidRDefault="00585116" w:rsidP="00CB0CEB">
      <w:pPr>
        <w:pStyle w:val="bodycopy"/>
        <w:spacing w:after="240"/>
        <w:rPr>
          <w:rFonts w:ascii="Arial" w:hAnsi="Arial"/>
          <w:sz w:val="22"/>
          <w:szCs w:val="22"/>
        </w:rPr>
      </w:pPr>
      <w:r w:rsidRPr="003E7F11">
        <w:rPr>
          <w:rFonts w:ascii="Arial" w:hAnsi="Arial"/>
          <w:sz w:val="22"/>
          <w:szCs w:val="22"/>
        </w:rPr>
        <w:t>Figure 5.</w:t>
      </w:r>
      <w:r w:rsidR="00773B60" w:rsidRPr="003E7F11">
        <w:rPr>
          <w:rFonts w:ascii="Arial" w:hAnsi="Arial"/>
          <w:sz w:val="22"/>
          <w:szCs w:val="22"/>
        </w:rPr>
        <w:t>5</w:t>
      </w:r>
      <w:r w:rsidRPr="003E7F11">
        <w:rPr>
          <w:rFonts w:ascii="Arial" w:hAnsi="Arial"/>
          <w:sz w:val="22"/>
          <w:szCs w:val="22"/>
        </w:rPr>
        <w:t xml:space="preserve"> represents</w:t>
      </w:r>
      <w:r w:rsidRPr="00D467EA">
        <w:rPr>
          <w:rFonts w:ascii="Arial" w:hAnsi="Arial"/>
          <w:sz w:val="22"/>
          <w:szCs w:val="22"/>
        </w:rPr>
        <w:t xml:space="preserve"> the major ocean currents in south-eastern Australian waters during summer and winter.</w:t>
      </w:r>
      <w:r w:rsidR="00A81D3A" w:rsidRPr="00D467EA">
        <w:rPr>
          <w:rFonts w:ascii="Arial" w:hAnsi="Arial"/>
          <w:sz w:val="22"/>
          <w:szCs w:val="22"/>
        </w:rPr>
        <w:t xml:space="preserve"> </w:t>
      </w: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7136"/>
      </w:tblGrid>
      <w:tr w:rsidR="00585116" w14:paraId="3F0F4728" w14:textId="77777777" w:rsidTr="00514376">
        <w:trPr>
          <w:jc w:val="center"/>
        </w:trPr>
        <w:tc>
          <w:tcPr>
            <w:tcW w:w="7136" w:type="dxa"/>
            <w:shd w:val="clear" w:color="auto" w:fill="auto"/>
          </w:tcPr>
          <w:p w14:paraId="7DA85D46" w14:textId="6D7A41E6" w:rsidR="003F5EF3" w:rsidRDefault="00375810" w:rsidP="00A81D3A">
            <w:pPr>
              <w:pStyle w:val="bodycopy"/>
            </w:pPr>
            <w:r>
              <w:rPr>
                <w:noProof/>
              </w:rPr>
              <w:lastRenderedPageBreak/>
              <w:drawing>
                <wp:inline distT="0" distB="0" distL="0" distR="0" wp14:anchorId="1E33B7F9" wp14:editId="41259869">
                  <wp:extent cx="4391941" cy="3833438"/>
                  <wp:effectExtent l="0" t="0" r="2540" b="2540"/>
                  <wp:docPr id="452" name="Picture 452" descr="Screen%20Shot%202017-02-08%20at%2010.14.32%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7-02-08%20at%2010.14.32%20am.pn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4400780" cy="3841153"/>
                          </a:xfrm>
                          <a:prstGeom prst="rect">
                            <a:avLst/>
                          </a:prstGeom>
                          <a:noFill/>
                          <a:ln>
                            <a:noFill/>
                          </a:ln>
                        </pic:spPr>
                      </pic:pic>
                    </a:graphicData>
                  </a:graphic>
                </wp:inline>
              </w:drawing>
            </w:r>
          </w:p>
        </w:tc>
      </w:tr>
      <w:tr w:rsidR="00A81D3A" w14:paraId="00C9410D" w14:textId="77777777" w:rsidTr="00514376">
        <w:trPr>
          <w:jc w:val="center"/>
        </w:trPr>
        <w:tc>
          <w:tcPr>
            <w:tcW w:w="7136" w:type="dxa"/>
            <w:shd w:val="clear" w:color="auto" w:fill="auto"/>
          </w:tcPr>
          <w:p w14:paraId="4829A5C5" w14:textId="063EFD75" w:rsidR="003F5EF3" w:rsidRDefault="00375810" w:rsidP="00086A82">
            <w:pPr>
              <w:pStyle w:val="bodycopy"/>
            </w:pPr>
            <w:r>
              <w:rPr>
                <w:noProof/>
              </w:rPr>
              <w:drawing>
                <wp:inline distT="0" distB="0" distL="0" distR="0" wp14:anchorId="0B17FD87" wp14:editId="3265D113">
                  <wp:extent cx="4337545" cy="3538606"/>
                  <wp:effectExtent l="0" t="0" r="6350" b="0"/>
                  <wp:docPr id="453" name="Picture 453" descr="Screen%20Shot%202017-02-08%20at%2010.14.4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7-02-08%20at%2010.14.43%20am.pn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4348504" cy="3547547"/>
                          </a:xfrm>
                          <a:prstGeom prst="rect">
                            <a:avLst/>
                          </a:prstGeom>
                          <a:noFill/>
                          <a:ln>
                            <a:noFill/>
                          </a:ln>
                        </pic:spPr>
                      </pic:pic>
                    </a:graphicData>
                  </a:graphic>
                </wp:inline>
              </w:drawing>
            </w:r>
          </w:p>
        </w:tc>
      </w:tr>
    </w:tbl>
    <w:p w14:paraId="43D131F7" w14:textId="77777777" w:rsidR="00AE43E5" w:rsidRPr="00AE43E5" w:rsidRDefault="00086A82" w:rsidP="00AE43E5">
      <w:pPr>
        <w:pStyle w:val="bodycopy"/>
        <w:rPr>
          <w:i/>
          <w:sz w:val="16"/>
          <w:szCs w:val="16"/>
        </w:rPr>
      </w:pPr>
      <w:r>
        <w:rPr>
          <w:i/>
          <w:sz w:val="16"/>
          <w:szCs w:val="16"/>
        </w:rPr>
        <w:t xml:space="preserve">            </w:t>
      </w:r>
      <w:r w:rsidR="00AE43E5" w:rsidRPr="00AE43E5">
        <w:rPr>
          <w:i/>
          <w:sz w:val="16"/>
          <w:szCs w:val="16"/>
        </w:rPr>
        <w:t>Source: DoE (2015).</w:t>
      </w:r>
    </w:p>
    <w:p w14:paraId="4B76AAF2" w14:textId="4DDD0170" w:rsidR="00585116" w:rsidRPr="0058465F" w:rsidRDefault="00585116" w:rsidP="00585116">
      <w:pPr>
        <w:pStyle w:val="bodycopy"/>
        <w:jc w:val="center"/>
        <w:rPr>
          <w:rFonts w:ascii="Arial" w:hAnsi="Arial"/>
          <w:b/>
          <w:sz w:val="20"/>
        </w:rPr>
      </w:pPr>
      <w:r w:rsidRPr="0058465F">
        <w:rPr>
          <w:rFonts w:ascii="Arial" w:hAnsi="Arial"/>
          <w:b/>
          <w:sz w:val="20"/>
        </w:rPr>
        <w:t>Figure 5.</w:t>
      </w:r>
      <w:r w:rsidR="00773B60">
        <w:rPr>
          <w:rFonts w:ascii="Arial" w:hAnsi="Arial"/>
          <w:b/>
          <w:sz w:val="20"/>
        </w:rPr>
        <w:t>5</w:t>
      </w:r>
      <w:r w:rsidRPr="0058465F">
        <w:rPr>
          <w:rFonts w:ascii="Arial" w:hAnsi="Arial"/>
          <w:b/>
          <w:sz w:val="20"/>
        </w:rPr>
        <w:t>.</w:t>
      </w:r>
      <w:r w:rsidRPr="0058465F">
        <w:rPr>
          <w:rFonts w:ascii="Arial" w:hAnsi="Arial"/>
          <w:b/>
          <w:sz w:val="20"/>
        </w:rPr>
        <w:tab/>
        <w:t>Major ocean currents in south-eastern Australian waters during summer (top) and winter (bottom)</w:t>
      </w:r>
    </w:p>
    <w:p w14:paraId="2288DF88" w14:textId="77777777" w:rsidR="0018170F" w:rsidRDefault="0018170F" w:rsidP="00F92BED">
      <w:pPr>
        <w:pStyle w:val="bodycopy"/>
      </w:pPr>
    </w:p>
    <w:p w14:paraId="0513D01F" w14:textId="77777777" w:rsidR="003E7F11" w:rsidRDefault="003E7F11" w:rsidP="00F92BED">
      <w:pPr>
        <w:pStyle w:val="bodycopy"/>
      </w:pPr>
    </w:p>
    <w:p w14:paraId="6423F626" w14:textId="77777777" w:rsidR="003E7F11" w:rsidRDefault="003E7F11" w:rsidP="00F92BED">
      <w:pPr>
        <w:pStyle w:val="bodycopy"/>
      </w:pPr>
    </w:p>
    <w:p w14:paraId="7DE60954" w14:textId="77777777" w:rsidR="00F92BED" w:rsidRPr="0058465F" w:rsidRDefault="00F92BED" w:rsidP="00F92BED">
      <w:pPr>
        <w:pStyle w:val="bodycopy"/>
        <w:rPr>
          <w:rFonts w:ascii="Arial" w:hAnsi="Arial"/>
          <w:b/>
          <w:sz w:val="22"/>
          <w:szCs w:val="22"/>
        </w:rPr>
      </w:pPr>
      <w:r w:rsidRPr="0058465F">
        <w:rPr>
          <w:rFonts w:ascii="Arial" w:hAnsi="Arial"/>
          <w:b/>
          <w:sz w:val="22"/>
          <w:szCs w:val="22"/>
        </w:rPr>
        <w:lastRenderedPageBreak/>
        <w:t>Sea Temperature</w:t>
      </w:r>
    </w:p>
    <w:p w14:paraId="7D00D1C0" w14:textId="3D10B140" w:rsidR="00A81D3A" w:rsidRPr="0058465F" w:rsidRDefault="000443D8" w:rsidP="00A81D3A">
      <w:pPr>
        <w:pStyle w:val="bodycopy"/>
        <w:rPr>
          <w:rFonts w:ascii="Arial" w:hAnsi="Arial"/>
          <w:sz w:val="22"/>
          <w:szCs w:val="22"/>
        </w:rPr>
      </w:pPr>
      <w:r w:rsidRPr="0058465F">
        <w:rPr>
          <w:rFonts w:ascii="Arial" w:hAnsi="Arial"/>
          <w:sz w:val="22"/>
          <w:szCs w:val="22"/>
        </w:rPr>
        <w:t>The shallowness of Bass Strait means that its waters more rapidly warm in summer and cool in winter than waters of other nearby regions (DoE, 2015</w:t>
      </w:r>
      <w:r w:rsidR="00225AD2">
        <w:rPr>
          <w:rFonts w:ascii="Arial" w:hAnsi="Arial"/>
          <w:sz w:val="22"/>
          <w:szCs w:val="22"/>
        </w:rPr>
        <w:t>a</w:t>
      </w:r>
      <w:r w:rsidRPr="0058465F">
        <w:rPr>
          <w:rFonts w:ascii="Arial" w:hAnsi="Arial"/>
          <w:sz w:val="22"/>
          <w:szCs w:val="22"/>
        </w:rPr>
        <w:t xml:space="preserve">). </w:t>
      </w:r>
      <w:r w:rsidR="00A81D3A" w:rsidRPr="0058465F">
        <w:rPr>
          <w:rFonts w:ascii="Arial" w:hAnsi="Arial"/>
          <w:sz w:val="22"/>
          <w:szCs w:val="22"/>
        </w:rPr>
        <w:t>The sea surface temperatures in the area reflect the influence of warmer waters brought into Bass Strait by the EAC (IMCRA, 1998</w:t>
      </w:r>
      <w:r w:rsidR="00C77F63" w:rsidRPr="0058465F">
        <w:rPr>
          <w:rFonts w:ascii="Arial" w:hAnsi="Arial"/>
          <w:sz w:val="22"/>
          <w:szCs w:val="22"/>
        </w:rPr>
        <w:t xml:space="preserve">; Barton </w:t>
      </w:r>
      <w:r w:rsidR="00C77F63" w:rsidRPr="0058465F">
        <w:rPr>
          <w:rFonts w:ascii="Arial" w:hAnsi="Arial"/>
          <w:i/>
          <w:sz w:val="22"/>
          <w:szCs w:val="22"/>
        </w:rPr>
        <w:t>et al</w:t>
      </w:r>
      <w:r w:rsidR="00C77F63" w:rsidRPr="0058465F">
        <w:rPr>
          <w:rFonts w:ascii="Arial" w:hAnsi="Arial"/>
          <w:sz w:val="22"/>
          <w:szCs w:val="22"/>
        </w:rPr>
        <w:t>., 2012</w:t>
      </w:r>
      <w:r w:rsidR="00A81D3A" w:rsidRPr="0058465F">
        <w:rPr>
          <w:rFonts w:ascii="Arial" w:hAnsi="Arial"/>
          <w:sz w:val="22"/>
          <w:szCs w:val="22"/>
        </w:rPr>
        <w:t>).</w:t>
      </w:r>
    </w:p>
    <w:p w14:paraId="237BA4DE" w14:textId="328CF3C4" w:rsidR="00A81D3A" w:rsidRPr="0058465F" w:rsidRDefault="00A81D3A" w:rsidP="00A81D3A">
      <w:pPr>
        <w:pStyle w:val="bodycopy"/>
        <w:rPr>
          <w:rFonts w:ascii="Arial" w:hAnsi="Arial"/>
          <w:sz w:val="22"/>
          <w:szCs w:val="22"/>
        </w:rPr>
      </w:pPr>
      <w:r w:rsidRPr="0058465F">
        <w:rPr>
          <w:rFonts w:ascii="Arial" w:hAnsi="Arial"/>
          <w:sz w:val="22"/>
          <w:szCs w:val="22"/>
        </w:rPr>
        <w:t xml:space="preserve">Waters of eastern Bass Strait are generally well mixed, but surface warming sometimes causes weak stratification in calm summer conditions. During these times, mixing and interaction between varying water masses leads to variations in horizontal water temperature and a thermocline (temperature profile) develops. </w:t>
      </w:r>
    </w:p>
    <w:p w14:paraId="5970A4B3" w14:textId="77777777" w:rsidR="00A81D3A" w:rsidRPr="0058465F" w:rsidRDefault="00A81D3A" w:rsidP="000443D8">
      <w:pPr>
        <w:pStyle w:val="bodycopy"/>
        <w:rPr>
          <w:rFonts w:ascii="Arial" w:hAnsi="Arial"/>
          <w:sz w:val="22"/>
          <w:szCs w:val="22"/>
        </w:rPr>
      </w:pPr>
      <w:r w:rsidRPr="0058465F">
        <w:rPr>
          <w:rFonts w:ascii="Arial" w:hAnsi="Arial"/>
          <w:sz w:val="22"/>
          <w:szCs w:val="22"/>
        </w:rPr>
        <w:t>RPS APASA (2016) reports that sea surface temperature in the region (based on the National Oceanographic Data Centre) varies annually from a minimum of 12.6°C to a maximum of 18.4°C. The average sea surface temperature for the September to April period is assumed to be 15°C.</w:t>
      </w:r>
    </w:p>
    <w:p w14:paraId="516B4EE1" w14:textId="77777777" w:rsidR="00F92BED" w:rsidRPr="0058465F" w:rsidRDefault="00F92BED" w:rsidP="00F92BED">
      <w:pPr>
        <w:pStyle w:val="bodycopy"/>
        <w:rPr>
          <w:rFonts w:ascii="Arial" w:hAnsi="Arial"/>
          <w:b/>
          <w:sz w:val="22"/>
          <w:szCs w:val="22"/>
        </w:rPr>
      </w:pPr>
      <w:r w:rsidRPr="0058465F">
        <w:rPr>
          <w:rFonts w:ascii="Arial" w:hAnsi="Arial"/>
          <w:b/>
          <w:sz w:val="22"/>
          <w:szCs w:val="22"/>
        </w:rPr>
        <w:t>Tides</w:t>
      </w:r>
    </w:p>
    <w:p w14:paraId="1CBDDE24" w14:textId="77777777" w:rsidR="0018170F" w:rsidRPr="0058465F" w:rsidRDefault="0018170F" w:rsidP="00A81D3A">
      <w:pPr>
        <w:pStyle w:val="bodycopy"/>
        <w:rPr>
          <w:rFonts w:ascii="Arial" w:hAnsi="Arial"/>
          <w:sz w:val="22"/>
          <w:szCs w:val="22"/>
        </w:rPr>
      </w:pPr>
      <w:r w:rsidRPr="0058465F">
        <w:rPr>
          <w:rFonts w:ascii="Arial" w:hAnsi="Arial"/>
          <w:sz w:val="22"/>
          <w:szCs w:val="22"/>
        </w:rPr>
        <w:t>Bass Strait is a relatively shallow area of the continental shelf, connecting the southeast Indian Ocean with the Tasman Sea. Bass Strait has a reputation for high winds and strong tidal currents (</w:t>
      </w:r>
      <w:r w:rsidR="009E10E1" w:rsidRPr="0058465F">
        <w:rPr>
          <w:rFonts w:ascii="Arial" w:hAnsi="Arial"/>
          <w:sz w:val="22"/>
          <w:szCs w:val="22"/>
        </w:rPr>
        <w:t>RPS</w:t>
      </w:r>
      <w:r w:rsidRPr="0058465F">
        <w:rPr>
          <w:rFonts w:ascii="Arial" w:hAnsi="Arial"/>
          <w:sz w:val="22"/>
          <w:szCs w:val="22"/>
        </w:rPr>
        <w:t xml:space="preserve"> APASA, 201</w:t>
      </w:r>
      <w:r w:rsidR="009E10E1" w:rsidRPr="0058465F">
        <w:rPr>
          <w:rFonts w:ascii="Arial" w:hAnsi="Arial"/>
          <w:sz w:val="22"/>
          <w:szCs w:val="22"/>
        </w:rPr>
        <w:t>6</w:t>
      </w:r>
      <w:r w:rsidRPr="0058465F">
        <w:rPr>
          <w:rFonts w:ascii="Arial" w:hAnsi="Arial"/>
          <w:sz w:val="22"/>
          <w:szCs w:val="22"/>
        </w:rPr>
        <w:t xml:space="preserve">). </w:t>
      </w:r>
    </w:p>
    <w:p w14:paraId="3AFFBABC" w14:textId="77777777" w:rsidR="00FA17B0" w:rsidRPr="0058465F" w:rsidRDefault="00FA17B0" w:rsidP="00A81D3A">
      <w:pPr>
        <w:pStyle w:val="bodycopy"/>
        <w:rPr>
          <w:rFonts w:ascii="Arial" w:hAnsi="Arial"/>
          <w:sz w:val="22"/>
          <w:szCs w:val="22"/>
        </w:rPr>
      </w:pPr>
      <w:r w:rsidRPr="0058465F">
        <w:rPr>
          <w:rFonts w:ascii="Arial" w:hAnsi="Arial"/>
          <w:sz w:val="22"/>
          <w:szCs w:val="22"/>
        </w:rPr>
        <w:t xml:space="preserve">Tidal currents run parallel to the coast and follow a semi-diurnal pattern (Barton </w:t>
      </w:r>
      <w:r w:rsidRPr="0058465F">
        <w:rPr>
          <w:rFonts w:ascii="Arial" w:hAnsi="Arial"/>
          <w:i/>
          <w:sz w:val="22"/>
          <w:szCs w:val="22"/>
        </w:rPr>
        <w:t>et al</w:t>
      </w:r>
      <w:r w:rsidRPr="0058465F">
        <w:rPr>
          <w:rFonts w:ascii="Arial" w:hAnsi="Arial"/>
          <w:sz w:val="22"/>
          <w:szCs w:val="22"/>
        </w:rPr>
        <w:t xml:space="preserve">., 2012), </w:t>
      </w:r>
      <w:r w:rsidR="0018170F" w:rsidRPr="0058465F">
        <w:rPr>
          <w:rFonts w:ascii="Arial" w:hAnsi="Arial"/>
          <w:sz w:val="22"/>
          <w:szCs w:val="22"/>
        </w:rPr>
        <w:t>with some diurnal inequalities (Jones and Padman</w:t>
      </w:r>
      <w:r w:rsidR="009E10E1" w:rsidRPr="0058465F">
        <w:rPr>
          <w:rFonts w:ascii="Arial" w:hAnsi="Arial"/>
          <w:sz w:val="22"/>
          <w:szCs w:val="22"/>
        </w:rPr>
        <w:t>,</w:t>
      </w:r>
      <w:r w:rsidRPr="0058465F">
        <w:rPr>
          <w:rFonts w:ascii="Arial" w:hAnsi="Arial"/>
          <w:sz w:val="22"/>
          <w:szCs w:val="22"/>
        </w:rPr>
        <w:t xml:space="preserve"> 1983</w:t>
      </w:r>
      <w:r w:rsidR="0018170F" w:rsidRPr="0058465F">
        <w:rPr>
          <w:rFonts w:ascii="Arial" w:hAnsi="Arial"/>
          <w:sz w:val="22"/>
          <w:szCs w:val="22"/>
        </w:rPr>
        <w:t xml:space="preserve">), with speeds generally ranging from 0.1 to 2.5 m/s (Fandry, 1983). </w:t>
      </w:r>
      <w:r w:rsidRPr="0058465F">
        <w:rPr>
          <w:rFonts w:ascii="Arial" w:hAnsi="Arial"/>
          <w:sz w:val="22"/>
          <w:szCs w:val="22"/>
        </w:rPr>
        <w:t xml:space="preserve">However, Barton et al (2012) report that strong tidal currents (2 to 2.5 knots) are characteristic of the area. </w:t>
      </w:r>
      <w:r w:rsidR="007C54C5" w:rsidRPr="0058465F">
        <w:rPr>
          <w:rFonts w:ascii="Arial" w:hAnsi="Arial"/>
          <w:sz w:val="22"/>
          <w:szCs w:val="22"/>
        </w:rPr>
        <w:t xml:space="preserve">Tidal variation is 0.9 m for spring tides and 0.6 m for neap tides (Barton </w:t>
      </w:r>
      <w:r w:rsidR="007C54C5" w:rsidRPr="0058465F">
        <w:rPr>
          <w:rFonts w:ascii="Arial" w:hAnsi="Arial"/>
          <w:i/>
          <w:sz w:val="22"/>
          <w:szCs w:val="22"/>
        </w:rPr>
        <w:t>et al</w:t>
      </w:r>
      <w:r w:rsidR="007C54C5" w:rsidRPr="0058465F">
        <w:rPr>
          <w:rFonts w:ascii="Arial" w:hAnsi="Arial"/>
          <w:sz w:val="22"/>
          <w:szCs w:val="22"/>
        </w:rPr>
        <w:t>., 2012).</w:t>
      </w:r>
    </w:p>
    <w:p w14:paraId="7FAB85DA" w14:textId="64706404" w:rsidR="0018170F" w:rsidRPr="0058465F" w:rsidRDefault="0018170F" w:rsidP="00A81D3A">
      <w:pPr>
        <w:pStyle w:val="bodycopy"/>
        <w:rPr>
          <w:rFonts w:ascii="Arial" w:hAnsi="Arial"/>
          <w:sz w:val="22"/>
          <w:szCs w:val="22"/>
        </w:rPr>
      </w:pPr>
      <w:r w:rsidRPr="0058465F">
        <w:rPr>
          <w:rFonts w:ascii="Arial" w:hAnsi="Arial"/>
          <w:sz w:val="22"/>
          <w:szCs w:val="22"/>
        </w:rPr>
        <w:t>Tidal flows in Bass Strait come in from the east and west during a rising (flood) tide and flow out to the east and west during a falling (ebb) tide.</w:t>
      </w:r>
    </w:p>
    <w:p w14:paraId="723AE7F1" w14:textId="77777777" w:rsidR="00F92BED" w:rsidRPr="0058465F" w:rsidRDefault="00F92BED" w:rsidP="00F92BED">
      <w:pPr>
        <w:pStyle w:val="bodycopy"/>
        <w:rPr>
          <w:rFonts w:ascii="Arial" w:hAnsi="Arial"/>
          <w:b/>
          <w:sz w:val="22"/>
          <w:szCs w:val="22"/>
        </w:rPr>
      </w:pPr>
      <w:r w:rsidRPr="0058465F">
        <w:rPr>
          <w:rFonts w:ascii="Arial" w:hAnsi="Arial"/>
          <w:b/>
          <w:sz w:val="22"/>
          <w:szCs w:val="22"/>
        </w:rPr>
        <w:t>Waves</w:t>
      </w:r>
    </w:p>
    <w:p w14:paraId="4784DAA0" w14:textId="4C846FBA" w:rsidR="00A81D3A" w:rsidRDefault="0018170F" w:rsidP="00F92BED">
      <w:pPr>
        <w:pStyle w:val="bodycopy"/>
        <w:rPr>
          <w:rFonts w:ascii="Arial" w:hAnsi="Arial"/>
          <w:sz w:val="22"/>
          <w:szCs w:val="22"/>
        </w:rPr>
      </w:pPr>
      <w:r w:rsidRPr="0058465F">
        <w:rPr>
          <w:rFonts w:ascii="Arial" w:hAnsi="Arial"/>
          <w:sz w:val="22"/>
          <w:szCs w:val="22"/>
        </w:rPr>
        <w:t>Bass Strait is a high-energy environment exposed to frequent storms and significant wave heights</w:t>
      </w:r>
      <w:r w:rsidR="00BE58B3" w:rsidRPr="0058465F">
        <w:rPr>
          <w:rFonts w:ascii="Arial" w:hAnsi="Arial"/>
          <w:sz w:val="22"/>
          <w:szCs w:val="22"/>
        </w:rPr>
        <w:t xml:space="preserve"> (Jones, 1980)</w:t>
      </w:r>
      <w:r w:rsidR="00C77F63" w:rsidRPr="0058465F">
        <w:rPr>
          <w:rFonts w:ascii="Arial" w:hAnsi="Arial"/>
          <w:sz w:val="22"/>
          <w:szCs w:val="22"/>
        </w:rPr>
        <w:t>, though Barton et al (2012) report wave energy in the Twofold Shelf Bioregion as relatively low</w:t>
      </w:r>
      <w:r w:rsidRPr="0058465F">
        <w:rPr>
          <w:rFonts w:ascii="Arial" w:hAnsi="Arial"/>
          <w:sz w:val="22"/>
          <w:szCs w:val="22"/>
        </w:rPr>
        <w:t>. Storms may occur several times a month resulting in wave heights of 3 to 4 m or more.</w:t>
      </w:r>
    </w:p>
    <w:p w14:paraId="60D8CBA1" w14:textId="428B036C" w:rsidR="008B7EA1" w:rsidRPr="0058465F" w:rsidRDefault="008B7EA1" w:rsidP="008B7EA1">
      <w:pPr>
        <w:pStyle w:val="bodycopy"/>
        <w:rPr>
          <w:rFonts w:ascii="Arial" w:hAnsi="Arial"/>
          <w:b/>
          <w:sz w:val="22"/>
          <w:szCs w:val="22"/>
        </w:rPr>
      </w:pPr>
      <w:r>
        <w:rPr>
          <w:rFonts w:ascii="Arial" w:hAnsi="Arial"/>
          <w:b/>
          <w:sz w:val="22"/>
          <w:szCs w:val="22"/>
        </w:rPr>
        <w:t>Water Quality</w:t>
      </w:r>
    </w:p>
    <w:p w14:paraId="15FA33A9" w14:textId="116681A6" w:rsidR="008B7EA1" w:rsidRPr="0058465F" w:rsidRDefault="001843D4" w:rsidP="00F92BED">
      <w:pPr>
        <w:pStyle w:val="bodycopy"/>
        <w:rPr>
          <w:rFonts w:ascii="Arial" w:hAnsi="Arial"/>
          <w:sz w:val="22"/>
          <w:szCs w:val="22"/>
        </w:rPr>
      </w:pPr>
      <w:r w:rsidRPr="00C11BDA">
        <w:rPr>
          <w:rFonts w:ascii="Arial" w:hAnsi="Arial"/>
          <w:sz w:val="22"/>
          <w:szCs w:val="22"/>
        </w:rPr>
        <w:t xml:space="preserve">The Regional Outfall Sewer </w:t>
      </w:r>
      <w:r w:rsidR="006A3D28">
        <w:rPr>
          <w:rFonts w:ascii="Arial" w:hAnsi="Arial"/>
          <w:sz w:val="22"/>
          <w:szCs w:val="22"/>
        </w:rPr>
        <w:t>has</w:t>
      </w:r>
      <w:r w:rsidR="0088147E">
        <w:rPr>
          <w:rFonts w:ascii="Arial" w:hAnsi="Arial"/>
          <w:sz w:val="22"/>
          <w:szCs w:val="22"/>
        </w:rPr>
        <w:t xml:space="preserve"> a</w:t>
      </w:r>
      <w:r w:rsidR="006A3D28">
        <w:rPr>
          <w:rFonts w:ascii="Arial" w:hAnsi="Arial"/>
          <w:sz w:val="22"/>
          <w:szCs w:val="22"/>
        </w:rPr>
        <w:t xml:space="preserve"> discharge </w:t>
      </w:r>
      <w:r w:rsidR="0088147E">
        <w:rPr>
          <w:rFonts w:ascii="Arial" w:hAnsi="Arial"/>
          <w:sz w:val="22"/>
          <w:szCs w:val="22"/>
        </w:rPr>
        <w:t>point</w:t>
      </w:r>
      <w:r w:rsidRPr="00C11BDA">
        <w:rPr>
          <w:rFonts w:ascii="Arial" w:hAnsi="Arial"/>
          <w:sz w:val="22"/>
          <w:szCs w:val="22"/>
        </w:rPr>
        <w:t xml:space="preserve"> at Delray Beach </w:t>
      </w:r>
      <w:r w:rsidR="006A3D28">
        <w:rPr>
          <w:rFonts w:ascii="Arial" w:hAnsi="Arial"/>
          <w:sz w:val="22"/>
          <w:szCs w:val="22"/>
        </w:rPr>
        <w:t xml:space="preserve">that </w:t>
      </w:r>
      <w:r w:rsidRPr="00C11BDA">
        <w:rPr>
          <w:rFonts w:ascii="Arial" w:hAnsi="Arial"/>
          <w:sz w:val="22"/>
          <w:szCs w:val="22"/>
        </w:rPr>
        <w:t xml:space="preserve">extends into the </w:t>
      </w:r>
      <w:r w:rsidR="00B512D0">
        <w:rPr>
          <w:rFonts w:ascii="Arial" w:hAnsi="Arial"/>
          <w:sz w:val="22"/>
          <w:szCs w:val="22"/>
        </w:rPr>
        <w:t xml:space="preserve">western-most nearshore part of the </w:t>
      </w:r>
      <w:r w:rsidRPr="00C11BDA">
        <w:rPr>
          <w:rFonts w:ascii="Arial" w:hAnsi="Arial"/>
          <w:sz w:val="22"/>
          <w:szCs w:val="22"/>
        </w:rPr>
        <w:t xml:space="preserve">proposed acquisition area. While no data is </w:t>
      </w:r>
      <w:r w:rsidR="0088147E">
        <w:rPr>
          <w:rFonts w:ascii="Arial" w:hAnsi="Arial"/>
          <w:sz w:val="22"/>
          <w:szCs w:val="22"/>
        </w:rPr>
        <w:t xml:space="preserve">publicly </w:t>
      </w:r>
      <w:r w:rsidRPr="00C11BDA">
        <w:rPr>
          <w:rFonts w:ascii="Arial" w:hAnsi="Arial"/>
          <w:sz w:val="22"/>
          <w:szCs w:val="22"/>
        </w:rPr>
        <w:t xml:space="preserve">available regarding the water quality of this release, it is expected to result in increased turbidity and nutrient levels </w:t>
      </w:r>
      <w:r w:rsidR="00C11BDA">
        <w:rPr>
          <w:rFonts w:ascii="Arial" w:hAnsi="Arial"/>
          <w:sz w:val="22"/>
          <w:szCs w:val="22"/>
        </w:rPr>
        <w:t xml:space="preserve">(particularly nitrogen and phosphorous) </w:t>
      </w:r>
      <w:r w:rsidR="00C11BDA" w:rsidRPr="00C11BDA">
        <w:rPr>
          <w:rFonts w:ascii="Arial" w:hAnsi="Arial"/>
          <w:sz w:val="22"/>
          <w:szCs w:val="22"/>
        </w:rPr>
        <w:t>within a mixing zone</w:t>
      </w:r>
      <w:r w:rsidR="00B512D0">
        <w:rPr>
          <w:rFonts w:ascii="Arial" w:hAnsi="Arial"/>
          <w:sz w:val="22"/>
          <w:szCs w:val="22"/>
        </w:rPr>
        <w:t xml:space="preserve"> around the discharge point</w:t>
      </w:r>
      <w:r w:rsidR="00C11BDA" w:rsidRPr="00C11BDA">
        <w:rPr>
          <w:rFonts w:ascii="Arial" w:hAnsi="Arial"/>
          <w:sz w:val="22"/>
          <w:szCs w:val="22"/>
        </w:rPr>
        <w:t xml:space="preserve">. </w:t>
      </w:r>
    </w:p>
    <w:p w14:paraId="4EC405E3" w14:textId="77777777" w:rsidR="00F92BED" w:rsidRPr="00B83483" w:rsidRDefault="00F92BED" w:rsidP="00B83483">
      <w:pPr>
        <w:pStyle w:val="Heading3"/>
      </w:pPr>
      <w:bookmarkStart w:id="161" w:name="_Toc474221989"/>
      <w:bookmarkStart w:id="162" w:name="_Ref353714744"/>
      <w:bookmarkStart w:id="163" w:name="_Toc375214539"/>
      <w:r w:rsidRPr="00B83483">
        <w:t>Ambient Ocean Sound</w:t>
      </w:r>
      <w:bookmarkEnd w:id="161"/>
      <w:bookmarkEnd w:id="162"/>
      <w:bookmarkEnd w:id="163"/>
    </w:p>
    <w:p w14:paraId="5122C688" w14:textId="77777777" w:rsidR="0018170F" w:rsidRPr="0058465F" w:rsidRDefault="0018170F" w:rsidP="007C54C5">
      <w:pPr>
        <w:pStyle w:val="bodycopy"/>
        <w:rPr>
          <w:rFonts w:ascii="Arial" w:hAnsi="Arial"/>
          <w:sz w:val="22"/>
          <w:szCs w:val="22"/>
        </w:rPr>
      </w:pPr>
      <w:r w:rsidRPr="0058465F">
        <w:rPr>
          <w:rFonts w:ascii="Arial" w:hAnsi="Arial"/>
          <w:sz w:val="22"/>
          <w:szCs w:val="22"/>
        </w:rPr>
        <w:t>Physical and biological processes contribute to natural background sound. Physical processes include that of wind</w:t>
      </w:r>
      <w:r w:rsidR="005A43D4" w:rsidRPr="0058465F">
        <w:rPr>
          <w:rFonts w:ascii="Arial" w:hAnsi="Arial"/>
          <w:sz w:val="22"/>
          <w:szCs w:val="22"/>
        </w:rPr>
        <w:t>,</w:t>
      </w:r>
      <w:r w:rsidRPr="0058465F">
        <w:rPr>
          <w:rFonts w:ascii="Arial" w:hAnsi="Arial"/>
          <w:sz w:val="22"/>
          <w:szCs w:val="22"/>
        </w:rPr>
        <w:t xml:space="preserve"> waves</w:t>
      </w:r>
      <w:r w:rsidR="005A43D4" w:rsidRPr="0058465F">
        <w:rPr>
          <w:rFonts w:ascii="Arial" w:hAnsi="Arial"/>
          <w:sz w:val="22"/>
          <w:szCs w:val="22"/>
        </w:rPr>
        <w:t xml:space="preserve">, rain and earthquakes, </w:t>
      </w:r>
      <w:r w:rsidRPr="0058465F">
        <w:rPr>
          <w:rFonts w:ascii="Arial" w:hAnsi="Arial"/>
          <w:sz w:val="22"/>
          <w:szCs w:val="22"/>
        </w:rPr>
        <w:t xml:space="preserve">whilst biological noise sources include vocalisations of marine mammals and other marine species. </w:t>
      </w:r>
    </w:p>
    <w:p w14:paraId="3E272CEB" w14:textId="77777777" w:rsidR="000567EC" w:rsidRPr="0058465F" w:rsidRDefault="0018170F" w:rsidP="007C54C5">
      <w:pPr>
        <w:pStyle w:val="bodycopy"/>
        <w:rPr>
          <w:rFonts w:ascii="Arial" w:hAnsi="Arial"/>
          <w:sz w:val="22"/>
          <w:szCs w:val="22"/>
        </w:rPr>
      </w:pPr>
      <w:r w:rsidRPr="0058465F">
        <w:rPr>
          <w:rFonts w:ascii="Arial" w:hAnsi="Arial"/>
          <w:sz w:val="22"/>
          <w:szCs w:val="22"/>
        </w:rPr>
        <w:t>Iceberg calving, shoaling and disintegration has recently been identified as a dominant source of low frequency (&lt;100 Hz) noise in the Southern Ocean. Wind is also a major contributor to noise between 100 Hz</w:t>
      </w:r>
      <w:r w:rsidR="000567EC" w:rsidRPr="0058465F">
        <w:rPr>
          <w:rFonts w:ascii="Arial" w:hAnsi="Arial"/>
          <w:sz w:val="22"/>
          <w:szCs w:val="22"/>
        </w:rPr>
        <w:t xml:space="preserve"> and </w:t>
      </w:r>
      <w:r w:rsidRPr="0058465F">
        <w:rPr>
          <w:rFonts w:ascii="Arial" w:hAnsi="Arial"/>
          <w:sz w:val="22"/>
          <w:szCs w:val="22"/>
        </w:rPr>
        <w:t>30 kHz and can reach 85-95 dB re 1µPa</w:t>
      </w:r>
      <w:r w:rsidRPr="0058465F">
        <w:rPr>
          <w:rFonts w:ascii="Arial" w:hAnsi="Arial"/>
          <w:sz w:val="22"/>
          <w:szCs w:val="22"/>
          <w:vertAlign w:val="superscript"/>
        </w:rPr>
        <w:t>2</w:t>
      </w:r>
      <w:r w:rsidRPr="0058465F">
        <w:rPr>
          <w:rFonts w:ascii="Arial" w:hAnsi="Arial"/>
          <w:sz w:val="22"/>
          <w:szCs w:val="22"/>
        </w:rPr>
        <w:t>/Hz under extreme conditions (WDCS, 2004). Rain may produce short periods of high underwater sound with a flat frequency spectra to levels of 80 dB re 1µPa</w:t>
      </w:r>
      <w:r w:rsidRPr="0058465F">
        <w:rPr>
          <w:rFonts w:ascii="Arial" w:hAnsi="Arial"/>
          <w:sz w:val="22"/>
          <w:szCs w:val="22"/>
          <w:vertAlign w:val="superscript"/>
        </w:rPr>
        <w:t>2</w:t>
      </w:r>
      <w:r w:rsidRPr="0058465F">
        <w:rPr>
          <w:rFonts w:ascii="Arial" w:hAnsi="Arial"/>
          <w:sz w:val="22"/>
          <w:szCs w:val="22"/>
        </w:rPr>
        <w:t>/Hz and magnitude 4 earthquakes have been reported to have spectral levels reaching 119 dB re 1µPa</w:t>
      </w:r>
      <w:r w:rsidRPr="0058465F">
        <w:rPr>
          <w:rFonts w:ascii="Arial" w:hAnsi="Arial"/>
          <w:sz w:val="22"/>
          <w:szCs w:val="22"/>
          <w:vertAlign w:val="superscript"/>
        </w:rPr>
        <w:t>2</w:t>
      </w:r>
      <w:r w:rsidRPr="0058465F">
        <w:rPr>
          <w:rFonts w:ascii="Arial" w:hAnsi="Arial"/>
          <w:sz w:val="22"/>
          <w:szCs w:val="22"/>
        </w:rPr>
        <w:t xml:space="preserve">/Hz at frequency ranges 5-15 Hz. It is noted that earthquakes of this magnitude are relatively frequent along Australia’s continental </w:t>
      </w:r>
      <w:r w:rsidRPr="0058465F">
        <w:rPr>
          <w:rFonts w:ascii="Arial" w:hAnsi="Arial"/>
          <w:sz w:val="22"/>
          <w:szCs w:val="22"/>
        </w:rPr>
        <w:lastRenderedPageBreak/>
        <w:t xml:space="preserve">shelf in the southern margin (i.e. tens of small earthquakes per year) (McCauley &amp; Duncan, 2001). </w:t>
      </w:r>
    </w:p>
    <w:p w14:paraId="7FF30138" w14:textId="46B9E809" w:rsidR="00B83483" w:rsidRPr="00D467EA" w:rsidRDefault="00B83483" w:rsidP="00B83483">
      <w:pPr>
        <w:pStyle w:val="bodycopy"/>
        <w:rPr>
          <w:rFonts w:ascii="Arial" w:hAnsi="Arial"/>
          <w:sz w:val="22"/>
          <w:szCs w:val="22"/>
        </w:rPr>
      </w:pPr>
      <w:r w:rsidRPr="0058465F">
        <w:rPr>
          <w:rFonts w:ascii="Arial" w:hAnsi="Arial"/>
          <w:sz w:val="22"/>
          <w:szCs w:val="22"/>
        </w:rPr>
        <w:t>Turnpenny and Nedwell (1994) found that in some species continuous ambient sound alone resulted in auditory masking, and that sound had to be 20 dB above ambient sound to be audible</w:t>
      </w:r>
      <w:r w:rsidRPr="00D467EA">
        <w:rPr>
          <w:rFonts w:ascii="Arial" w:hAnsi="Arial"/>
          <w:sz w:val="22"/>
          <w:szCs w:val="22"/>
        </w:rPr>
        <w:t xml:space="preserve">. </w:t>
      </w:r>
    </w:p>
    <w:p w14:paraId="2882B6FC" w14:textId="049ED442" w:rsidR="00EF7E2B" w:rsidRPr="00D467EA" w:rsidRDefault="00EF7E2B" w:rsidP="00B83483">
      <w:pPr>
        <w:pStyle w:val="bodycopy"/>
        <w:rPr>
          <w:rFonts w:ascii="Arial" w:hAnsi="Arial"/>
          <w:sz w:val="22"/>
          <w:szCs w:val="22"/>
        </w:rPr>
      </w:pPr>
      <w:r w:rsidRPr="00D467EA">
        <w:rPr>
          <w:rFonts w:ascii="Arial" w:hAnsi="Arial"/>
          <w:sz w:val="22"/>
          <w:szCs w:val="22"/>
        </w:rPr>
        <w:t xml:space="preserve">In the Gippsland Basin specifically, underwater sound was measured in May 2008 at a range of locations offshore from the then proposed (and now operational) Victorian Desalination Project, located </w:t>
      </w:r>
      <w:r w:rsidR="0025617F" w:rsidRPr="00D467EA">
        <w:rPr>
          <w:rFonts w:ascii="Arial" w:hAnsi="Arial"/>
          <w:sz w:val="22"/>
          <w:szCs w:val="22"/>
        </w:rPr>
        <w:t>160</w:t>
      </w:r>
      <w:r w:rsidRPr="00D467EA">
        <w:rPr>
          <w:rFonts w:ascii="Arial" w:hAnsi="Arial"/>
          <w:sz w:val="22"/>
          <w:szCs w:val="22"/>
        </w:rPr>
        <w:t xml:space="preserve"> km west</w:t>
      </w:r>
      <w:r w:rsidR="0025617F" w:rsidRPr="00D467EA">
        <w:rPr>
          <w:rFonts w:ascii="Arial" w:hAnsi="Arial"/>
          <w:sz w:val="22"/>
          <w:szCs w:val="22"/>
        </w:rPr>
        <w:t>-southwest</w:t>
      </w:r>
      <w:r w:rsidRPr="00D467EA">
        <w:rPr>
          <w:rFonts w:ascii="Arial" w:hAnsi="Arial"/>
          <w:sz w:val="22"/>
          <w:szCs w:val="22"/>
        </w:rPr>
        <w:t xml:space="preserve"> of the proposed acquisition area. This monitoring found that in water depths of 18 m (</w:t>
      </w:r>
      <w:r w:rsidR="00666FD5" w:rsidRPr="00D467EA">
        <w:rPr>
          <w:rFonts w:ascii="Arial" w:hAnsi="Arial"/>
          <w:sz w:val="22"/>
          <w:szCs w:val="22"/>
        </w:rPr>
        <w:t xml:space="preserve">with measurements taken at </w:t>
      </w:r>
      <w:r w:rsidR="00773B60">
        <w:rPr>
          <w:rFonts w:ascii="Arial" w:hAnsi="Arial"/>
          <w:sz w:val="22"/>
          <w:szCs w:val="22"/>
        </w:rPr>
        <w:br/>
      </w:r>
      <w:r w:rsidR="00666FD5" w:rsidRPr="00D467EA">
        <w:rPr>
          <w:rFonts w:ascii="Arial" w:hAnsi="Arial"/>
          <w:sz w:val="22"/>
          <w:szCs w:val="22"/>
        </w:rPr>
        <w:t>7 m below the sea surface), the overall underwater ambient sound level was 117 dB between the frequencies of 20 Hz and 10 kHz. This sound level was unlikely to have been influenced by shipping traffic (shipping lanes are located 20 km to the south) and there were no other underwater marine sound sources generated by human activities (</w:t>
      </w:r>
      <w:r w:rsidR="005A43D4" w:rsidRPr="00D467EA">
        <w:rPr>
          <w:rFonts w:ascii="Arial" w:hAnsi="Arial"/>
          <w:sz w:val="22"/>
          <w:szCs w:val="22"/>
        </w:rPr>
        <w:t xml:space="preserve">DSE, 2008). This level of ambient underwater sound is ikely to be broadly similar to that expected within the proposed acquisition area. </w:t>
      </w:r>
      <w:r w:rsidRPr="00D467EA">
        <w:rPr>
          <w:rFonts w:ascii="Arial" w:hAnsi="Arial"/>
          <w:sz w:val="22"/>
          <w:szCs w:val="22"/>
        </w:rPr>
        <w:t xml:space="preserve"> </w:t>
      </w:r>
    </w:p>
    <w:p w14:paraId="19FC3F43" w14:textId="77777777" w:rsidR="002E5F63" w:rsidRPr="00D467EA" w:rsidRDefault="002E5F63" w:rsidP="002E5F63">
      <w:pPr>
        <w:pStyle w:val="bodycopy"/>
        <w:rPr>
          <w:rFonts w:ascii="Arial" w:hAnsi="Arial"/>
          <w:b/>
          <w:sz w:val="22"/>
          <w:szCs w:val="22"/>
        </w:rPr>
      </w:pPr>
      <w:r w:rsidRPr="00D467EA">
        <w:rPr>
          <w:rFonts w:ascii="Arial" w:hAnsi="Arial"/>
          <w:b/>
          <w:sz w:val="22"/>
          <w:szCs w:val="22"/>
        </w:rPr>
        <w:t>Shoreline Sound</w:t>
      </w:r>
    </w:p>
    <w:p w14:paraId="4FF932C7" w14:textId="028986DA" w:rsidR="00B83483" w:rsidRPr="0058465F" w:rsidRDefault="002E5F63" w:rsidP="00E50F05">
      <w:pPr>
        <w:pStyle w:val="bodycopy"/>
        <w:rPr>
          <w:rFonts w:ascii="Arial" w:hAnsi="Arial"/>
          <w:sz w:val="22"/>
          <w:szCs w:val="22"/>
        </w:rPr>
      </w:pPr>
      <w:r w:rsidRPr="00D467EA">
        <w:rPr>
          <w:rFonts w:ascii="Arial" w:hAnsi="Arial"/>
          <w:sz w:val="22"/>
          <w:szCs w:val="22"/>
        </w:rPr>
        <w:t>As the proposed survey will be carried out close to (1 km) the shoreline where there is significant surf, ambient sound levels will be significantly influenced by this mechanism. Wilson et al (1985; cited in Parsons &amp; Duncan, 2009) showed that surf breaking onto beaches, parallel to the direction of wave front, can generate sound that propagates many kilometres seaward.</w:t>
      </w:r>
      <w:r w:rsidR="00773B60">
        <w:rPr>
          <w:rFonts w:ascii="Arial" w:hAnsi="Arial"/>
          <w:sz w:val="22"/>
          <w:szCs w:val="22"/>
        </w:rPr>
        <w:t xml:space="preserve"> T</w:t>
      </w:r>
      <w:r w:rsidR="00E50F05" w:rsidRPr="0058465F">
        <w:rPr>
          <w:rFonts w:ascii="Arial" w:hAnsi="Arial"/>
          <w:sz w:val="22"/>
          <w:szCs w:val="22"/>
        </w:rPr>
        <w:t>he nearshore coastal environment of the proposed acquisition area is likely to be characterised by a significant ambient sound footprint.</w:t>
      </w:r>
      <w:r w:rsidR="0058465F">
        <w:rPr>
          <w:rFonts w:ascii="Arial" w:hAnsi="Arial"/>
          <w:sz w:val="22"/>
          <w:szCs w:val="22"/>
        </w:rPr>
        <w:t xml:space="preserve"> </w:t>
      </w:r>
    </w:p>
    <w:p w14:paraId="261DCBA5" w14:textId="77777777" w:rsidR="00F92BED" w:rsidRPr="00D558AB" w:rsidRDefault="00F92BED" w:rsidP="00D558AB">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164" w:name="_Toc320190752"/>
      <w:bookmarkStart w:id="165" w:name="_Toc375214540"/>
      <w:r w:rsidRPr="00D558AB">
        <w:rPr>
          <w:rFonts w:cs="Times New Roman"/>
          <w:iCs w:val="0"/>
          <w:color w:val="064EA8"/>
          <w:szCs w:val="26"/>
          <w:lang w:eastAsia="en-US"/>
        </w:rPr>
        <w:t>Conservation Values and Sensitivities</w:t>
      </w:r>
      <w:bookmarkEnd w:id="164"/>
      <w:bookmarkEnd w:id="165"/>
    </w:p>
    <w:p w14:paraId="0FEC8F22" w14:textId="398E305F" w:rsidR="00D84AA8" w:rsidRDefault="004F0BB8" w:rsidP="00F92BED">
      <w:pPr>
        <w:pStyle w:val="bodycopy"/>
        <w:rPr>
          <w:b/>
          <w:sz w:val="18"/>
          <w:szCs w:val="18"/>
        </w:rPr>
      </w:pPr>
      <w:r w:rsidRPr="00D84AA8">
        <w:rPr>
          <w:rFonts w:ascii="Arial" w:hAnsi="Arial"/>
          <w:sz w:val="22"/>
          <w:szCs w:val="22"/>
        </w:rPr>
        <w:t xml:space="preserve">The conservation values and sensitivities in and around the proposed survey acquisition area particularly, but also within the EMBA, are described in this section, with </w:t>
      </w:r>
      <w:r w:rsidRPr="003E7F11">
        <w:rPr>
          <w:rFonts w:ascii="Arial" w:hAnsi="Arial"/>
          <w:sz w:val="22"/>
          <w:szCs w:val="22"/>
        </w:rPr>
        <w:t>Table 5.</w:t>
      </w:r>
      <w:r w:rsidR="00773B60" w:rsidRPr="003E7F11">
        <w:rPr>
          <w:rFonts w:ascii="Arial" w:hAnsi="Arial"/>
          <w:sz w:val="22"/>
          <w:szCs w:val="22"/>
        </w:rPr>
        <w:t>3</w:t>
      </w:r>
      <w:r w:rsidRPr="003E7F11">
        <w:rPr>
          <w:rFonts w:ascii="Arial" w:hAnsi="Arial"/>
          <w:sz w:val="22"/>
          <w:szCs w:val="22"/>
        </w:rPr>
        <w:t xml:space="preserve"> providing</w:t>
      </w:r>
      <w:r w:rsidRPr="00D84AA8">
        <w:rPr>
          <w:rFonts w:ascii="Arial" w:hAnsi="Arial"/>
          <w:sz w:val="22"/>
          <w:szCs w:val="22"/>
        </w:rPr>
        <w:t xml:space="preserve"> an outline of the conservation categories includes.</w:t>
      </w:r>
    </w:p>
    <w:p w14:paraId="6934DEE0" w14:textId="1EE26F33" w:rsidR="00F92BED" w:rsidRPr="002E5F63" w:rsidRDefault="00F92BED" w:rsidP="00840CFE">
      <w:pPr>
        <w:pStyle w:val="bodycopy"/>
        <w:jc w:val="center"/>
        <w:rPr>
          <w:rFonts w:ascii="Arial" w:hAnsi="Arial"/>
          <w:sz w:val="20"/>
        </w:rPr>
      </w:pPr>
      <w:r w:rsidRPr="002E5F63">
        <w:rPr>
          <w:rFonts w:ascii="Arial" w:hAnsi="Arial"/>
          <w:b/>
          <w:sz w:val="20"/>
        </w:rPr>
        <w:t xml:space="preserve">Table </w:t>
      </w:r>
      <w:r w:rsidR="00B83483" w:rsidRPr="002E5F63">
        <w:rPr>
          <w:rFonts w:ascii="Arial" w:hAnsi="Arial"/>
          <w:b/>
          <w:sz w:val="20"/>
        </w:rPr>
        <w:t>5.</w:t>
      </w:r>
      <w:r w:rsidR="00773B60">
        <w:rPr>
          <w:rFonts w:ascii="Arial" w:hAnsi="Arial"/>
          <w:b/>
          <w:sz w:val="20"/>
        </w:rPr>
        <w:t>3</w:t>
      </w:r>
      <w:r w:rsidRPr="002E5F63">
        <w:rPr>
          <w:rFonts w:ascii="Arial" w:hAnsi="Arial"/>
          <w:b/>
          <w:sz w:val="20"/>
        </w:rPr>
        <w:t>.</w:t>
      </w:r>
      <w:r w:rsidRPr="002E5F63">
        <w:rPr>
          <w:rFonts w:ascii="Arial" w:hAnsi="Arial"/>
          <w:b/>
          <w:sz w:val="20"/>
        </w:rPr>
        <w:tab/>
        <w:t xml:space="preserve">Conservation values in the </w:t>
      </w:r>
      <w:r w:rsidR="00840CFE" w:rsidRPr="002E5F63">
        <w:rPr>
          <w:rFonts w:ascii="Arial" w:hAnsi="Arial"/>
          <w:b/>
          <w:sz w:val="20"/>
        </w:rPr>
        <w:t>E</w:t>
      </w:r>
      <w:r w:rsidRPr="002E5F63">
        <w:rPr>
          <w:rFonts w:ascii="Arial" w:hAnsi="Arial"/>
          <w:b/>
          <w:sz w:val="20"/>
        </w:rPr>
        <w:t xml:space="preserve">MBA </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4820"/>
        <w:gridCol w:w="2551"/>
      </w:tblGrid>
      <w:tr w:rsidR="00F92BED" w:rsidRPr="00956CA4" w14:paraId="2B097BF2" w14:textId="77777777" w:rsidTr="00956CA4">
        <w:trPr>
          <w:trHeight w:val="324"/>
          <w:tblHeader/>
        </w:trPr>
        <w:tc>
          <w:tcPr>
            <w:tcW w:w="1701" w:type="dxa"/>
            <w:vMerge w:val="restart"/>
            <w:shd w:val="clear" w:color="auto" w:fill="064EA8"/>
          </w:tcPr>
          <w:p w14:paraId="2C571DE1" w14:textId="77777777" w:rsidR="00F92BED" w:rsidRPr="002E5F63" w:rsidRDefault="00F92BED" w:rsidP="00F92BED">
            <w:pPr>
              <w:spacing w:before="60" w:after="60"/>
              <w:ind w:left="34"/>
              <w:rPr>
                <w:rFonts w:cs="Tahoma"/>
                <w:color w:val="FFFFFF" w:themeColor="background1"/>
                <w:sz w:val="20"/>
                <w:szCs w:val="20"/>
              </w:rPr>
            </w:pPr>
            <w:r w:rsidRPr="002E5F63">
              <w:rPr>
                <w:rFonts w:cs="Tahoma"/>
                <w:color w:val="FFFFFF" w:themeColor="background1"/>
                <w:sz w:val="20"/>
                <w:szCs w:val="20"/>
              </w:rPr>
              <w:t>Category</w:t>
            </w:r>
          </w:p>
        </w:tc>
        <w:tc>
          <w:tcPr>
            <w:tcW w:w="4820" w:type="dxa"/>
            <w:vMerge w:val="restart"/>
            <w:shd w:val="clear" w:color="auto" w:fill="064EA8"/>
          </w:tcPr>
          <w:p w14:paraId="252206CC" w14:textId="77777777" w:rsidR="00F92BED" w:rsidRPr="002E5F63" w:rsidRDefault="00F92BED" w:rsidP="00F92BED">
            <w:pPr>
              <w:spacing w:before="60" w:after="60"/>
              <w:ind w:hanging="544"/>
              <w:rPr>
                <w:rFonts w:cs="Tahoma"/>
                <w:color w:val="FFFFFF" w:themeColor="background1"/>
                <w:sz w:val="20"/>
                <w:szCs w:val="20"/>
              </w:rPr>
            </w:pPr>
            <w:r w:rsidRPr="002E5F63">
              <w:rPr>
                <w:rFonts w:cs="Tahoma"/>
                <w:color w:val="FFFFFF" w:themeColor="background1"/>
                <w:sz w:val="20"/>
                <w:szCs w:val="20"/>
              </w:rPr>
              <w:t>Conservation classification</w:t>
            </w:r>
          </w:p>
        </w:tc>
        <w:tc>
          <w:tcPr>
            <w:tcW w:w="2551" w:type="dxa"/>
            <w:vMerge w:val="restart"/>
            <w:shd w:val="clear" w:color="auto" w:fill="064EA8"/>
          </w:tcPr>
          <w:p w14:paraId="256B9395" w14:textId="77777777" w:rsidR="00F92BED" w:rsidRPr="002E5F63" w:rsidRDefault="00F92BED" w:rsidP="00956CA4">
            <w:pPr>
              <w:spacing w:before="60" w:after="60"/>
              <w:ind w:hanging="686"/>
              <w:rPr>
                <w:rFonts w:cs="Tahoma"/>
                <w:color w:val="FFFFFF" w:themeColor="background1"/>
                <w:sz w:val="20"/>
                <w:szCs w:val="20"/>
              </w:rPr>
            </w:pPr>
            <w:r w:rsidRPr="002E5F63">
              <w:rPr>
                <w:rFonts w:cs="Tahoma"/>
                <w:color w:val="FFFFFF" w:themeColor="background1"/>
                <w:sz w:val="20"/>
                <w:szCs w:val="20"/>
              </w:rPr>
              <w:t>Section</w:t>
            </w:r>
          </w:p>
        </w:tc>
      </w:tr>
      <w:tr w:rsidR="00F92BED" w:rsidRPr="00956CA4" w14:paraId="533DB7EC" w14:textId="77777777" w:rsidTr="00956CA4">
        <w:trPr>
          <w:trHeight w:val="410"/>
          <w:tblHeader/>
        </w:trPr>
        <w:tc>
          <w:tcPr>
            <w:tcW w:w="1701" w:type="dxa"/>
            <w:vMerge/>
            <w:shd w:val="clear" w:color="auto" w:fill="064EA8"/>
          </w:tcPr>
          <w:p w14:paraId="25E4AAF6" w14:textId="77777777" w:rsidR="00F92BED" w:rsidRPr="002E5F63" w:rsidRDefault="00F92BED" w:rsidP="00F92BED">
            <w:pPr>
              <w:spacing w:before="60" w:after="60"/>
              <w:rPr>
                <w:rFonts w:cs="Tahoma"/>
                <w:sz w:val="20"/>
                <w:szCs w:val="20"/>
              </w:rPr>
            </w:pPr>
          </w:p>
        </w:tc>
        <w:tc>
          <w:tcPr>
            <w:tcW w:w="4820" w:type="dxa"/>
            <w:vMerge/>
            <w:shd w:val="clear" w:color="auto" w:fill="064EA8"/>
          </w:tcPr>
          <w:p w14:paraId="507F741C" w14:textId="77777777" w:rsidR="00F92BED" w:rsidRPr="002E5F63" w:rsidRDefault="00F92BED" w:rsidP="00F92BED">
            <w:pPr>
              <w:spacing w:before="60" w:after="60"/>
              <w:rPr>
                <w:rFonts w:cs="Tahoma"/>
                <w:sz w:val="20"/>
                <w:szCs w:val="20"/>
              </w:rPr>
            </w:pPr>
          </w:p>
        </w:tc>
        <w:tc>
          <w:tcPr>
            <w:tcW w:w="2551" w:type="dxa"/>
            <w:vMerge/>
            <w:shd w:val="clear" w:color="auto" w:fill="064EA8"/>
          </w:tcPr>
          <w:p w14:paraId="449640B8" w14:textId="77777777" w:rsidR="00F92BED" w:rsidRPr="002E5F63" w:rsidRDefault="00F92BED" w:rsidP="00F92BED">
            <w:pPr>
              <w:spacing w:before="60" w:after="60"/>
              <w:rPr>
                <w:rFonts w:cs="Tahoma"/>
                <w:sz w:val="20"/>
                <w:szCs w:val="20"/>
              </w:rPr>
            </w:pPr>
          </w:p>
        </w:tc>
      </w:tr>
      <w:tr w:rsidR="00F92BED" w:rsidRPr="00956CA4" w14:paraId="1DC6FAEC" w14:textId="77777777" w:rsidTr="00956CA4">
        <w:tc>
          <w:tcPr>
            <w:tcW w:w="1701" w:type="dxa"/>
            <w:vMerge w:val="restart"/>
            <w:shd w:val="clear" w:color="auto" w:fill="auto"/>
          </w:tcPr>
          <w:p w14:paraId="01C5B3DA" w14:textId="77777777" w:rsidR="00F92BED" w:rsidRPr="002E5F63" w:rsidRDefault="00F92BED" w:rsidP="00F92BED">
            <w:pPr>
              <w:pStyle w:val="TableText"/>
              <w:rPr>
                <w:rFonts w:cs="Tahoma"/>
                <w:sz w:val="20"/>
                <w:szCs w:val="20"/>
              </w:rPr>
            </w:pPr>
            <w:r w:rsidRPr="002E5F63">
              <w:rPr>
                <w:rFonts w:cs="Tahoma"/>
                <w:sz w:val="20"/>
                <w:szCs w:val="20"/>
              </w:rPr>
              <w:t>Matters of NES under the EPBC Act</w:t>
            </w:r>
          </w:p>
        </w:tc>
        <w:tc>
          <w:tcPr>
            <w:tcW w:w="4820" w:type="dxa"/>
            <w:shd w:val="clear" w:color="auto" w:fill="auto"/>
            <w:vAlign w:val="center"/>
          </w:tcPr>
          <w:p w14:paraId="189160E1" w14:textId="77777777" w:rsidR="00F92BED" w:rsidRPr="002E5F63" w:rsidRDefault="00F92BED" w:rsidP="004F0BB8">
            <w:pPr>
              <w:pStyle w:val="TableText"/>
              <w:rPr>
                <w:rFonts w:cs="Tahoma"/>
                <w:sz w:val="20"/>
                <w:szCs w:val="20"/>
              </w:rPr>
            </w:pPr>
            <w:r w:rsidRPr="002E5F63">
              <w:rPr>
                <w:rFonts w:cs="Tahoma"/>
                <w:sz w:val="20"/>
                <w:szCs w:val="20"/>
              </w:rPr>
              <w:t>Commonwealth marine areas (incl</w:t>
            </w:r>
            <w:r w:rsidR="004F0BB8" w:rsidRPr="002E5F63">
              <w:rPr>
                <w:rFonts w:cs="Tahoma"/>
                <w:sz w:val="20"/>
                <w:szCs w:val="20"/>
              </w:rPr>
              <w:t>uding</w:t>
            </w:r>
            <w:r w:rsidRPr="002E5F63">
              <w:rPr>
                <w:rFonts w:cs="Tahoma"/>
                <w:sz w:val="20"/>
                <w:szCs w:val="20"/>
              </w:rPr>
              <w:t xml:space="preserve"> CMRs)</w:t>
            </w:r>
          </w:p>
        </w:tc>
        <w:tc>
          <w:tcPr>
            <w:tcW w:w="2551" w:type="dxa"/>
            <w:shd w:val="clear" w:color="auto" w:fill="auto"/>
          </w:tcPr>
          <w:p w14:paraId="1C3E5170" w14:textId="575F9C1B" w:rsidR="00F92BED" w:rsidRPr="00C903F4" w:rsidRDefault="00F92BED" w:rsidP="00D06E59">
            <w:pPr>
              <w:pStyle w:val="TableText"/>
              <w:rPr>
                <w:rFonts w:cs="Tahoma"/>
                <w:sz w:val="20"/>
                <w:szCs w:val="20"/>
              </w:rPr>
            </w:pPr>
            <w:r w:rsidRPr="00C903F4">
              <w:rPr>
                <w:rFonts w:cs="Tahoma"/>
                <w:sz w:val="20"/>
                <w:szCs w:val="20"/>
              </w:rPr>
              <w:t xml:space="preserve">Section </w:t>
            </w:r>
            <w:r w:rsidR="00D06E59" w:rsidRPr="00C903F4">
              <w:rPr>
                <w:rFonts w:cs="Tahoma"/>
                <w:sz w:val="20"/>
                <w:szCs w:val="20"/>
              </w:rPr>
              <w:fldChar w:fldCharType="begin"/>
            </w:r>
            <w:r w:rsidR="00D06E59" w:rsidRPr="00C903F4">
              <w:rPr>
                <w:rFonts w:cs="Tahoma"/>
                <w:sz w:val="20"/>
                <w:szCs w:val="20"/>
              </w:rPr>
              <w:instrText xml:space="preserve"> REF _Ref475092455 \r \h </w:instrText>
            </w:r>
            <w:r w:rsidR="00956CA4" w:rsidRPr="00C903F4">
              <w:rPr>
                <w:rFonts w:cs="Tahoma"/>
                <w:sz w:val="20"/>
                <w:szCs w:val="20"/>
              </w:rPr>
              <w:instrText xml:space="preserve"> \* MERGEFORMAT </w:instrText>
            </w:r>
            <w:r w:rsidR="00D06E59" w:rsidRPr="00C903F4">
              <w:rPr>
                <w:rFonts w:cs="Tahoma"/>
                <w:sz w:val="20"/>
                <w:szCs w:val="20"/>
              </w:rPr>
            </w:r>
            <w:r w:rsidR="00D06E59" w:rsidRPr="00C903F4">
              <w:rPr>
                <w:rFonts w:cs="Tahoma"/>
                <w:sz w:val="20"/>
                <w:szCs w:val="20"/>
              </w:rPr>
              <w:fldChar w:fldCharType="separate"/>
            </w:r>
            <w:r w:rsidR="007C0ECD">
              <w:rPr>
                <w:rFonts w:cs="Tahoma"/>
                <w:sz w:val="20"/>
                <w:szCs w:val="20"/>
              </w:rPr>
              <w:t>5.2.1</w:t>
            </w:r>
            <w:r w:rsidR="00D06E59" w:rsidRPr="00C903F4">
              <w:rPr>
                <w:rFonts w:cs="Tahoma"/>
                <w:sz w:val="20"/>
                <w:szCs w:val="20"/>
              </w:rPr>
              <w:fldChar w:fldCharType="end"/>
            </w:r>
          </w:p>
        </w:tc>
      </w:tr>
      <w:tr w:rsidR="002F30D7" w:rsidRPr="00956CA4" w14:paraId="44B5B241" w14:textId="77777777" w:rsidTr="00956CA4">
        <w:tc>
          <w:tcPr>
            <w:tcW w:w="1701" w:type="dxa"/>
            <w:vMerge/>
            <w:shd w:val="clear" w:color="auto" w:fill="auto"/>
            <w:vAlign w:val="center"/>
          </w:tcPr>
          <w:p w14:paraId="75950347" w14:textId="77777777" w:rsidR="002F30D7" w:rsidRPr="002E5F63" w:rsidRDefault="002F30D7" w:rsidP="00F92BED">
            <w:pPr>
              <w:pStyle w:val="TableText"/>
              <w:rPr>
                <w:rFonts w:cs="Tahoma"/>
                <w:sz w:val="20"/>
                <w:szCs w:val="20"/>
              </w:rPr>
            </w:pPr>
          </w:p>
        </w:tc>
        <w:tc>
          <w:tcPr>
            <w:tcW w:w="4820" w:type="dxa"/>
            <w:shd w:val="clear" w:color="auto" w:fill="auto"/>
            <w:vAlign w:val="center"/>
          </w:tcPr>
          <w:p w14:paraId="70ABA8EF" w14:textId="77777777" w:rsidR="002F30D7" w:rsidRPr="002E5F63" w:rsidRDefault="002F30D7" w:rsidP="00F92BED">
            <w:pPr>
              <w:pStyle w:val="TableText"/>
              <w:rPr>
                <w:rFonts w:cs="Tahoma"/>
                <w:sz w:val="20"/>
                <w:szCs w:val="20"/>
              </w:rPr>
            </w:pPr>
            <w:r w:rsidRPr="002E5F63">
              <w:rPr>
                <w:rFonts w:cs="Tahoma"/>
                <w:sz w:val="20"/>
                <w:szCs w:val="20"/>
              </w:rPr>
              <w:t>World Heritage</w:t>
            </w:r>
            <w:r w:rsidR="001C61CE" w:rsidRPr="002E5F63">
              <w:rPr>
                <w:rFonts w:cs="Tahoma"/>
                <w:sz w:val="20"/>
                <w:szCs w:val="20"/>
              </w:rPr>
              <w:t>-listed</w:t>
            </w:r>
            <w:r w:rsidRPr="002E5F63">
              <w:rPr>
                <w:rFonts w:cs="Tahoma"/>
                <w:sz w:val="20"/>
                <w:szCs w:val="20"/>
              </w:rPr>
              <w:t xml:space="preserve"> properties</w:t>
            </w:r>
          </w:p>
        </w:tc>
        <w:tc>
          <w:tcPr>
            <w:tcW w:w="2551" w:type="dxa"/>
            <w:shd w:val="clear" w:color="auto" w:fill="auto"/>
          </w:tcPr>
          <w:p w14:paraId="047CD9A1" w14:textId="09F4AA27" w:rsidR="002F30D7" w:rsidRPr="00C903F4" w:rsidRDefault="00D06E59" w:rsidP="00F92BED">
            <w:pPr>
              <w:pStyle w:val="TableText"/>
              <w:rPr>
                <w:rFonts w:cs="Tahoma"/>
                <w:sz w:val="20"/>
                <w:szCs w:val="20"/>
              </w:rPr>
            </w:pPr>
            <w:r w:rsidRPr="00C903F4">
              <w:rPr>
                <w:rFonts w:cs="Tahoma"/>
                <w:sz w:val="20"/>
                <w:szCs w:val="20"/>
              </w:rPr>
              <w:t xml:space="preserve">Section </w:t>
            </w:r>
            <w:r w:rsidRPr="00C903F4">
              <w:rPr>
                <w:rFonts w:cs="Tahoma"/>
                <w:sz w:val="20"/>
                <w:szCs w:val="20"/>
              </w:rPr>
              <w:fldChar w:fldCharType="begin"/>
            </w:r>
            <w:r w:rsidRPr="00C903F4">
              <w:rPr>
                <w:rFonts w:cs="Tahoma"/>
                <w:sz w:val="20"/>
                <w:szCs w:val="20"/>
              </w:rPr>
              <w:instrText xml:space="preserve"> REF _Ref475092462 \r \h </w:instrText>
            </w:r>
            <w:r w:rsidR="00956CA4" w:rsidRPr="00C903F4">
              <w:rPr>
                <w:rFonts w:cs="Tahoma"/>
                <w:sz w:val="20"/>
                <w:szCs w:val="20"/>
              </w:rPr>
              <w:instrText xml:space="preserve"> \* MERGEFORMAT </w:instrText>
            </w:r>
            <w:r w:rsidRPr="00C903F4">
              <w:rPr>
                <w:rFonts w:cs="Tahoma"/>
                <w:sz w:val="20"/>
                <w:szCs w:val="20"/>
              </w:rPr>
            </w:r>
            <w:r w:rsidRPr="00C903F4">
              <w:rPr>
                <w:rFonts w:cs="Tahoma"/>
                <w:sz w:val="20"/>
                <w:szCs w:val="20"/>
              </w:rPr>
              <w:fldChar w:fldCharType="separate"/>
            </w:r>
            <w:r w:rsidR="007C0ECD">
              <w:rPr>
                <w:rFonts w:cs="Tahoma"/>
                <w:sz w:val="20"/>
                <w:szCs w:val="20"/>
              </w:rPr>
              <w:t>5.2.2</w:t>
            </w:r>
            <w:r w:rsidRPr="00C903F4">
              <w:rPr>
                <w:rFonts w:cs="Tahoma"/>
                <w:sz w:val="20"/>
                <w:szCs w:val="20"/>
              </w:rPr>
              <w:fldChar w:fldCharType="end"/>
            </w:r>
          </w:p>
        </w:tc>
      </w:tr>
      <w:tr w:rsidR="002F30D7" w:rsidRPr="00956CA4" w14:paraId="47E6F31B" w14:textId="77777777" w:rsidTr="00956CA4">
        <w:tc>
          <w:tcPr>
            <w:tcW w:w="1701" w:type="dxa"/>
            <w:vMerge/>
            <w:shd w:val="clear" w:color="auto" w:fill="auto"/>
            <w:vAlign w:val="center"/>
          </w:tcPr>
          <w:p w14:paraId="09844D5F" w14:textId="77777777" w:rsidR="002F30D7" w:rsidRPr="002E5F63" w:rsidRDefault="002F30D7" w:rsidP="00F92BED">
            <w:pPr>
              <w:pStyle w:val="TableText"/>
              <w:rPr>
                <w:rFonts w:cs="Tahoma"/>
                <w:sz w:val="20"/>
                <w:szCs w:val="20"/>
              </w:rPr>
            </w:pPr>
          </w:p>
        </w:tc>
        <w:tc>
          <w:tcPr>
            <w:tcW w:w="4820" w:type="dxa"/>
            <w:shd w:val="clear" w:color="auto" w:fill="auto"/>
            <w:vAlign w:val="center"/>
          </w:tcPr>
          <w:p w14:paraId="3398DC40" w14:textId="77777777" w:rsidR="002F30D7" w:rsidRPr="002E5F63" w:rsidRDefault="002F30D7" w:rsidP="00F92BED">
            <w:pPr>
              <w:pStyle w:val="TableText"/>
              <w:rPr>
                <w:rFonts w:cs="Tahoma"/>
                <w:sz w:val="20"/>
                <w:szCs w:val="20"/>
              </w:rPr>
            </w:pPr>
            <w:r w:rsidRPr="002E5F63">
              <w:rPr>
                <w:rFonts w:cs="Tahoma"/>
                <w:sz w:val="20"/>
                <w:szCs w:val="20"/>
              </w:rPr>
              <w:t>National Heritage</w:t>
            </w:r>
            <w:r w:rsidR="001C61CE" w:rsidRPr="002E5F63">
              <w:rPr>
                <w:rFonts w:cs="Tahoma"/>
                <w:sz w:val="20"/>
                <w:szCs w:val="20"/>
              </w:rPr>
              <w:t>-listed</w:t>
            </w:r>
            <w:r w:rsidRPr="002E5F63">
              <w:rPr>
                <w:rFonts w:cs="Tahoma"/>
                <w:sz w:val="20"/>
                <w:szCs w:val="20"/>
              </w:rPr>
              <w:t xml:space="preserve"> places</w:t>
            </w:r>
          </w:p>
        </w:tc>
        <w:tc>
          <w:tcPr>
            <w:tcW w:w="2551" w:type="dxa"/>
            <w:shd w:val="clear" w:color="auto" w:fill="auto"/>
          </w:tcPr>
          <w:p w14:paraId="0A465992" w14:textId="0A3054B1" w:rsidR="002F30D7" w:rsidRPr="00C903F4" w:rsidRDefault="00D06E59" w:rsidP="00F92BED">
            <w:pPr>
              <w:pStyle w:val="TableText"/>
              <w:rPr>
                <w:rFonts w:cs="Tahoma"/>
                <w:sz w:val="20"/>
                <w:szCs w:val="20"/>
              </w:rPr>
            </w:pPr>
            <w:r w:rsidRPr="00C903F4">
              <w:rPr>
                <w:rFonts w:cs="Tahoma"/>
                <w:sz w:val="20"/>
                <w:szCs w:val="20"/>
              </w:rPr>
              <w:t xml:space="preserve">Section </w:t>
            </w:r>
            <w:r w:rsidRPr="00C903F4">
              <w:rPr>
                <w:rFonts w:cs="Tahoma"/>
                <w:sz w:val="20"/>
                <w:szCs w:val="20"/>
              </w:rPr>
              <w:fldChar w:fldCharType="begin"/>
            </w:r>
            <w:r w:rsidRPr="00C903F4">
              <w:rPr>
                <w:rFonts w:cs="Tahoma"/>
                <w:sz w:val="20"/>
                <w:szCs w:val="20"/>
              </w:rPr>
              <w:instrText xml:space="preserve"> REF _Ref475092471 \r \h </w:instrText>
            </w:r>
            <w:r w:rsidR="00956CA4" w:rsidRPr="00C903F4">
              <w:rPr>
                <w:rFonts w:cs="Tahoma"/>
                <w:sz w:val="20"/>
                <w:szCs w:val="20"/>
              </w:rPr>
              <w:instrText xml:space="preserve"> \* MERGEFORMAT </w:instrText>
            </w:r>
            <w:r w:rsidRPr="00C903F4">
              <w:rPr>
                <w:rFonts w:cs="Tahoma"/>
                <w:sz w:val="20"/>
                <w:szCs w:val="20"/>
              </w:rPr>
            </w:r>
            <w:r w:rsidRPr="00C903F4">
              <w:rPr>
                <w:rFonts w:cs="Tahoma"/>
                <w:sz w:val="20"/>
                <w:szCs w:val="20"/>
              </w:rPr>
              <w:fldChar w:fldCharType="separate"/>
            </w:r>
            <w:r w:rsidR="007C0ECD">
              <w:rPr>
                <w:rFonts w:cs="Tahoma"/>
                <w:sz w:val="20"/>
                <w:szCs w:val="20"/>
              </w:rPr>
              <w:t>5.2.3</w:t>
            </w:r>
            <w:r w:rsidRPr="00C903F4">
              <w:rPr>
                <w:rFonts w:cs="Tahoma"/>
                <w:sz w:val="20"/>
                <w:szCs w:val="20"/>
              </w:rPr>
              <w:fldChar w:fldCharType="end"/>
            </w:r>
          </w:p>
        </w:tc>
      </w:tr>
      <w:tr w:rsidR="002F30D7" w:rsidRPr="00956CA4" w14:paraId="5EB8D5B2" w14:textId="77777777" w:rsidTr="00956CA4">
        <w:tc>
          <w:tcPr>
            <w:tcW w:w="1701" w:type="dxa"/>
            <w:vMerge/>
            <w:shd w:val="clear" w:color="auto" w:fill="auto"/>
            <w:vAlign w:val="center"/>
          </w:tcPr>
          <w:p w14:paraId="02092E13" w14:textId="77777777" w:rsidR="002F30D7" w:rsidRPr="002E5F63" w:rsidRDefault="002F30D7" w:rsidP="00F92BED">
            <w:pPr>
              <w:pStyle w:val="TableText"/>
              <w:rPr>
                <w:rFonts w:cs="Tahoma"/>
                <w:sz w:val="20"/>
                <w:szCs w:val="20"/>
              </w:rPr>
            </w:pPr>
          </w:p>
        </w:tc>
        <w:tc>
          <w:tcPr>
            <w:tcW w:w="4820" w:type="dxa"/>
            <w:shd w:val="clear" w:color="auto" w:fill="auto"/>
            <w:vAlign w:val="center"/>
          </w:tcPr>
          <w:p w14:paraId="35394B85" w14:textId="77777777" w:rsidR="002F30D7" w:rsidRPr="002E5F63" w:rsidRDefault="002F30D7" w:rsidP="00F92BED">
            <w:pPr>
              <w:pStyle w:val="TableText"/>
              <w:rPr>
                <w:rFonts w:cs="Tahoma"/>
                <w:sz w:val="20"/>
                <w:szCs w:val="20"/>
              </w:rPr>
            </w:pPr>
            <w:r w:rsidRPr="002E5F63">
              <w:rPr>
                <w:rFonts w:cs="Tahoma"/>
                <w:sz w:val="20"/>
                <w:szCs w:val="20"/>
              </w:rPr>
              <w:t>Wetlands of international importance</w:t>
            </w:r>
          </w:p>
        </w:tc>
        <w:tc>
          <w:tcPr>
            <w:tcW w:w="2551" w:type="dxa"/>
            <w:shd w:val="clear" w:color="auto" w:fill="auto"/>
          </w:tcPr>
          <w:p w14:paraId="72130522" w14:textId="7B2DB874" w:rsidR="002F30D7" w:rsidRPr="00C903F4" w:rsidRDefault="002F30D7" w:rsidP="00F92BED">
            <w:pPr>
              <w:pStyle w:val="TableText"/>
              <w:rPr>
                <w:rFonts w:cs="Tahoma"/>
                <w:sz w:val="20"/>
                <w:szCs w:val="20"/>
              </w:rPr>
            </w:pPr>
            <w:r w:rsidRPr="00C903F4">
              <w:rPr>
                <w:rFonts w:cs="Tahoma"/>
                <w:sz w:val="20"/>
                <w:szCs w:val="20"/>
              </w:rPr>
              <w:t>Sec</w:t>
            </w:r>
            <w:r w:rsidR="00D06E59" w:rsidRPr="00C903F4">
              <w:rPr>
                <w:rFonts w:cs="Tahoma"/>
                <w:sz w:val="20"/>
                <w:szCs w:val="20"/>
              </w:rPr>
              <w:t xml:space="preserve">tion </w:t>
            </w:r>
            <w:r w:rsidR="00D06E59" w:rsidRPr="00C903F4">
              <w:rPr>
                <w:rFonts w:cs="Tahoma"/>
                <w:sz w:val="20"/>
                <w:szCs w:val="20"/>
              </w:rPr>
              <w:fldChar w:fldCharType="begin"/>
            </w:r>
            <w:r w:rsidR="00D06E59" w:rsidRPr="00C903F4">
              <w:rPr>
                <w:rFonts w:cs="Tahoma"/>
                <w:sz w:val="20"/>
                <w:szCs w:val="20"/>
              </w:rPr>
              <w:instrText xml:space="preserve"> REF _Ref475092480 \r \h </w:instrText>
            </w:r>
            <w:r w:rsidR="00956CA4" w:rsidRPr="00C903F4">
              <w:rPr>
                <w:rFonts w:cs="Tahoma"/>
                <w:sz w:val="20"/>
                <w:szCs w:val="20"/>
              </w:rPr>
              <w:instrText xml:space="preserve"> \* MERGEFORMAT </w:instrText>
            </w:r>
            <w:r w:rsidR="00D06E59" w:rsidRPr="00C903F4">
              <w:rPr>
                <w:rFonts w:cs="Tahoma"/>
                <w:sz w:val="20"/>
                <w:szCs w:val="20"/>
              </w:rPr>
            </w:r>
            <w:r w:rsidR="00D06E59" w:rsidRPr="00C903F4">
              <w:rPr>
                <w:rFonts w:cs="Tahoma"/>
                <w:sz w:val="20"/>
                <w:szCs w:val="20"/>
              </w:rPr>
              <w:fldChar w:fldCharType="separate"/>
            </w:r>
            <w:r w:rsidR="007C0ECD">
              <w:rPr>
                <w:rFonts w:cs="Tahoma"/>
                <w:sz w:val="20"/>
                <w:szCs w:val="20"/>
              </w:rPr>
              <w:t>5.2.4</w:t>
            </w:r>
            <w:r w:rsidR="00D06E59" w:rsidRPr="00C903F4">
              <w:rPr>
                <w:rFonts w:cs="Tahoma"/>
                <w:sz w:val="20"/>
                <w:szCs w:val="20"/>
              </w:rPr>
              <w:fldChar w:fldCharType="end"/>
            </w:r>
          </w:p>
        </w:tc>
      </w:tr>
      <w:tr w:rsidR="00F92BED" w:rsidRPr="00956CA4" w14:paraId="4E228CFD" w14:textId="77777777" w:rsidTr="00956CA4">
        <w:tc>
          <w:tcPr>
            <w:tcW w:w="1701" w:type="dxa"/>
            <w:vMerge/>
            <w:shd w:val="clear" w:color="auto" w:fill="auto"/>
            <w:vAlign w:val="center"/>
          </w:tcPr>
          <w:p w14:paraId="73EB00AD" w14:textId="77777777" w:rsidR="00F92BED" w:rsidRPr="002E5F63" w:rsidRDefault="00F92BED" w:rsidP="00F92BED">
            <w:pPr>
              <w:pStyle w:val="TableText"/>
              <w:rPr>
                <w:rFonts w:cs="Tahoma"/>
                <w:sz w:val="20"/>
                <w:szCs w:val="20"/>
              </w:rPr>
            </w:pPr>
          </w:p>
        </w:tc>
        <w:tc>
          <w:tcPr>
            <w:tcW w:w="4820" w:type="dxa"/>
            <w:shd w:val="clear" w:color="auto" w:fill="auto"/>
            <w:vAlign w:val="center"/>
          </w:tcPr>
          <w:p w14:paraId="1985E616" w14:textId="77777777" w:rsidR="00F92BED" w:rsidRPr="002E5F63" w:rsidRDefault="00F92BED" w:rsidP="007717D4">
            <w:pPr>
              <w:pStyle w:val="TableText"/>
              <w:rPr>
                <w:rFonts w:cs="Tahoma"/>
                <w:sz w:val="20"/>
                <w:szCs w:val="20"/>
              </w:rPr>
            </w:pPr>
            <w:r w:rsidRPr="002E5F63">
              <w:rPr>
                <w:rFonts w:cs="Tahoma"/>
                <w:sz w:val="20"/>
                <w:szCs w:val="20"/>
              </w:rPr>
              <w:t xml:space="preserve">Nationally threatened species and </w:t>
            </w:r>
            <w:r w:rsidR="007717D4" w:rsidRPr="002E5F63">
              <w:rPr>
                <w:rFonts w:cs="Tahoma"/>
                <w:sz w:val="20"/>
                <w:szCs w:val="20"/>
              </w:rPr>
              <w:t xml:space="preserve">threatened </w:t>
            </w:r>
            <w:r w:rsidRPr="002E5F63">
              <w:rPr>
                <w:rFonts w:cs="Tahoma"/>
                <w:sz w:val="20"/>
                <w:szCs w:val="20"/>
              </w:rPr>
              <w:t>ecological communities</w:t>
            </w:r>
            <w:r w:rsidR="004F0BB8" w:rsidRPr="002E5F63">
              <w:rPr>
                <w:rFonts w:cs="Tahoma"/>
                <w:sz w:val="20"/>
                <w:szCs w:val="20"/>
              </w:rPr>
              <w:t xml:space="preserve"> </w:t>
            </w:r>
          </w:p>
        </w:tc>
        <w:tc>
          <w:tcPr>
            <w:tcW w:w="2551" w:type="dxa"/>
            <w:shd w:val="clear" w:color="auto" w:fill="auto"/>
          </w:tcPr>
          <w:p w14:paraId="40D88992" w14:textId="36CC1AF5" w:rsidR="00F92BED" w:rsidRPr="00C903F4" w:rsidRDefault="007717D4" w:rsidP="007717D4">
            <w:pPr>
              <w:pStyle w:val="TableText"/>
              <w:rPr>
                <w:rFonts w:cs="Tahoma"/>
                <w:sz w:val="20"/>
                <w:szCs w:val="20"/>
              </w:rPr>
            </w:pPr>
            <w:r w:rsidRPr="00C903F4">
              <w:rPr>
                <w:rFonts w:cs="Tahoma"/>
                <w:sz w:val="20"/>
                <w:szCs w:val="20"/>
              </w:rPr>
              <w:t xml:space="preserve">Section </w:t>
            </w:r>
            <w:r w:rsidRPr="00C903F4">
              <w:rPr>
                <w:rFonts w:cs="Tahoma"/>
                <w:sz w:val="20"/>
                <w:szCs w:val="20"/>
              </w:rPr>
              <w:fldChar w:fldCharType="begin"/>
            </w:r>
            <w:r w:rsidRPr="00C903F4">
              <w:rPr>
                <w:rFonts w:cs="Tahoma"/>
                <w:sz w:val="20"/>
                <w:szCs w:val="20"/>
              </w:rPr>
              <w:instrText xml:space="preserve"> REF _Ref475092962 \r \h </w:instrText>
            </w:r>
            <w:r w:rsidR="00956CA4" w:rsidRPr="00C903F4">
              <w:rPr>
                <w:rFonts w:cs="Tahoma"/>
                <w:sz w:val="20"/>
                <w:szCs w:val="20"/>
              </w:rPr>
              <w:instrText xml:space="preserve"> \* MERGEFORMAT </w:instrText>
            </w:r>
            <w:r w:rsidRPr="00C903F4">
              <w:rPr>
                <w:rFonts w:cs="Tahoma"/>
                <w:sz w:val="20"/>
                <w:szCs w:val="20"/>
              </w:rPr>
            </w:r>
            <w:r w:rsidRPr="00C903F4">
              <w:rPr>
                <w:rFonts w:cs="Tahoma"/>
                <w:sz w:val="20"/>
                <w:szCs w:val="20"/>
              </w:rPr>
              <w:fldChar w:fldCharType="separate"/>
            </w:r>
            <w:r w:rsidR="007C0ECD">
              <w:rPr>
                <w:rFonts w:cs="Tahoma"/>
                <w:sz w:val="20"/>
                <w:szCs w:val="20"/>
              </w:rPr>
              <w:t>5.2.5</w:t>
            </w:r>
            <w:r w:rsidRPr="00C903F4">
              <w:rPr>
                <w:rFonts w:cs="Tahoma"/>
                <w:sz w:val="20"/>
                <w:szCs w:val="20"/>
              </w:rPr>
              <w:fldChar w:fldCharType="end"/>
            </w:r>
            <w:r w:rsidRPr="00C903F4">
              <w:rPr>
                <w:rFonts w:cs="Tahoma"/>
                <w:sz w:val="20"/>
                <w:szCs w:val="20"/>
              </w:rPr>
              <w:t xml:space="preserve"> and t</w:t>
            </w:r>
            <w:r w:rsidR="00F92BED" w:rsidRPr="00C903F4">
              <w:rPr>
                <w:rFonts w:cs="Tahoma"/>
                <w:sz w:val="20"/>
                <w:szCs w:val="20"/>
              </w:rPr>
              <w:t xml:space="preserve">hroughout </w:t>
            </w:r>
            <w:r w:rsidR="00D06E59" w:rsidRPr="00C903F4">
              <w:rPr>
                <w:rFonts w:cs="Tahoma"/>
                <w:sz w:val="20"/>
                <w:szCs w:val="20"/>
              </w:rPr>
              <w:t xml:space="preserve">Section </w:t>
            </w:r>
            <w:r w:rsidR="00D06E59" w:rsidRPr="00C903F4">
              <w:rPr>
                <w:rFonts w:cs="Tahoma"/>
                <w:sz w:val="20"/>
                <w:szCs w:val="20"/>
              </w:rPr>
              <w:fldChar w:fldCharType="begin"/>
            </w:r>
            <w:r w:rsidR="00D06E59" w:rsidRPr="00C903F4">
              <w:rPr>
                <w:rFonts w:cs="Tahoma"/>
                <w:sz w:val="20"/>
                <w:szCs w:val="20"/>
              </w:rPr>
              <w:instrText xml:space="preserve"> REF _Ref319851259 \r \h </w:instrText>
            </w:r>
            <w:r w:rsidR="00956CA4" w:rsidRPr="00C903F4">
              <w:rPr>
                <w:rFonts w:cs="Tahoma"/>
                <w:sz w:val="20"/>
                <w:szCs w:val="20"/>
              </w:rPr>
              <w:instrText xml:space="preserve"> \* MERGEFORMAT </w:instrText>
            </w:r>
            <w:r w:rsidR="00D06E59" w:rsidRPr="00C903F4">
              <w:rPr>
                <w:rFonts w:cs="Tahoma"/>
                <w:sz w:val="20"/>
                <w:szCs w:val="20"/>
              </w:rPr>
            </w:r>
            <w:r w:rsidR="00D06E59" w:rsidRPr="00C903F4">
              <w:rPr>
                <w:rFonts w:cs="Tahoma"/>
                <w:sz w:val="20"/>
                <w:szCs w:val="20"/>
              </w:rPr>
              <w:fldChar w:fldCharType="separate"/>
            </w:r>
            <w:r w:rsidR="007C0ECD">
              <w:rPr>
                <w:rFonts w:cs="Tahoma"/>
                <w:sz w:val="20"/>
                <w:szCs w:val="20"/>
              </w:rPr>
              <w:t>5.4</w:t>
            </w:r>
            <w:r w:rsidR="00D06E59" w:rsidRPr="00C903F4">
              <w:rPr>
                <w:rFonts w:cs="Tahoma"/>
                <w:sz w:val="20"/>
                <w:szCs w:val="20"/>
              </w:rPr>
              <w:fldChar w:fldCharType="end"/>
            </w:r>
            <w:r w:rsidR="00F92BED" w:rsidRPr="00C903F4">
              <w:rPr>
                <w:rFonts w:cs="Tahoma"/>
                <w:sz w:val="20"/>
                <w:szCs w:val="20"/>
              </w:rPr>
              <w:t xml:space="preserve"> </w:t>
            </w:r>
          </w:p>
        </w:tc>
      </w:tr>
      <w:tr w:rsidR="00F92BED" w:rsidRPr="00956CA4" w14:paraId="588575F6" w14:textId="77777777" w:rsidTr="00956CA4">
        <w:tc>
          <w:tcPr>
            <w:tcW w:w="1701" w:type="dxa"/>
            <w:vMerge/>
            <w:shd w:val="clear" w:color="auto" w:fill="auto"/>
            <w:vAlign w:val="center"/>
          </w:tcPr>
          <w:p w14:paraId="1E87B5C8" w14:textId="77777777" w:rsidR="00F92BED" w:rsidRPr="002E5F63" w:rsidRDefault="00F92BED" w:rsidP="00F92BED">
            <w:pPr>
              <w:pStyle w:val="TableText"/>
              <w:rPr>
                <w:rFonts w:cs="Tahoma"/>
                <w:sz w:val="20"/>
                <w:szCs w:val="20"/>
              </w:rPr>
            </w:pPr>
          </w:p>
        </w:tc>
        <w:tc>
          <w:tcPr>
            <w:tcW w:w="4820" w:type="dxa"/>
            <w:shd w:val="clear" w:color="auto" w:fill="auto"/>
            <w:vAlign w:val="center"/>
          </w:tcPr>
          <w:p w14:paraId="57557466" w14:textId="77777777" w:rsidR="00F92BED" w:rsidRPr="002E5F63" w:rsidRDefault="00F92BED" w:rsidP="00F92BED">
            <w:pPr>
              <w:pStyle w:val="TableText"/>
              <w:rPr>
                <w:rFonts w:cs="Tahoma"/>
                <w:sz w:val="20"/>
                <w:szCs w:val="20"/>
              </w:rPr>
            </w:pPr>
            <w:r w:rsidRPr="002E5F63">
              <w:rPr>
                <w:rFonts w:cs="Tahoma"/>
                <w:sz w:val="20"/>
                <w:szCs w:val="20"/>
              </w:rPr>
              <w:t>Migratory species</w:t>
            </w:r>
          </w:p>
        </w:tc>
        <w:tc>
          <w:tcPr>
            <w:tcW w:w="2551" w:type="dxa"/>
            <w:shd w:val="clear" w:color="auto" w:fill="auto"/>
          </w:tcPr>
          <w:p w14:paraId="045F567C" w14:textId="4F3309F6" w:rsidR="00F92BED" w:rsidRPr="00C903F4" w:rsidRDefault="00F92BED" w:rsidP="00F92BED">
            <w:pPr>
              <w:pStyle w:val="TableText"/>
              <w:rPr>
                <w:rFonts w:cs="Tahoma"/>
                <w:sz w:val="20"/>
                <w:szCs w:val="20"/>
              </w:rPr>
            </w:pPr>
            <w:r w:rsidRPr="00C903F4">
              <w:rPr>
                <w:rFonts w:cs="Tahoma"/>
                <w:sz w:val="20"/>
                <w:szCs w:val="20"/>
              </w:rPr>
              <w:t xml:space="preserve">Throughout </w:t>
            </w:r>
            <w:r w:rsidR="00D06E59" w:rsidRPr="00C903F4">
              <w:rPr>
                <w:rFonts w:cs="Tahoma"/>
                <w:sz w:val="20"/>
                <w:szCs w:val="20"/>
              </w:rPr>
              <w:t xml:space="preserve">Section </w:t>
            </w:r>
            <w:r w:rsidR="00D06E59" w:rsidRPr="00C903F4">
              <w:rPr>
                <w:rFonts w:cs="Tahoma"/>
                <w:sz w:val="20"/>
                <w:szCs w:val="20"/>
              </w:rPr>
              <w:fldChar w:fldCharType="begin"/>
            </w:r>
            <w:r w:rsidR="00D06E59" w:rsidRPr="00C903F4">
              <w:rPr>
                <w:rFonts w:cs="Tahoma"/>
                <w:sz w:val="20"/>
                <w:szCs w:val="20"/>
              </w:rPr>
              <w:instrText xml:space="preserve"> REF _Ref319851259 \r \h </w:instrText>
            </w:r>
            <w:r w:rsidR="00956CA4" w:rsidRPr="00C903F4">
              <w:rPr>
                <w:rFonts w:cs="Tahoma"/>
                <w:sz w:val="20"/>
                <w:szCs w:val="20"/>
              </w:rPr>
              <w:instrText xml:space="preserve"> \* MERGEFORMAT </w:instrText>
            </w:r>
            <w:r w:rsidR="00D06E59" w:rsidRPr="00C903F4">
              <w:rPr>
                <w:rFonts w:cs="Tahoma"/>
                <w:sz w:val="20"/>
                <w:szCs w:val="20"/>
              </w:rPr>
            </w:r>
            <w:r w:rsidR="00D06E59" w:rsidRPr="00C903F4">
              <w:rPr>
                <w:rFonts w:cs="Tahoma"/>
                <w:sz w:val="20"/>
                <w:szCs w:val="20"/>
              </w:rPr>
              <w:fldChar w:fldCharType="separate"/>
            </w:r>
            <w:r w:rsidR="007C0ECD">
              <w:rPr>
                <w:rFonts w:cs="Tahoma"/>
                <w:sz w:val="20"/>
                <w:szCs w:val="20"/>
              </w:rPr>
              <w:t>5.4</w:t>
            </w:r>
            <w:r w:rsidR="00D06E59" w:rsidRPr="00C903F4">
              <w:rPr>
                <w:rFonts w:cs="Tahoma"/>
                <w:sz w:val="20"/>
                <w:szCs w:val="20"/>
              </w:rPr>
              <w:fldChar w:fldCharType="end"/>
            </w:r>
          </w:p>
        </w:tc>
      </w:tr>
      <w:tr w:rsidR="00F92BED" w:rsidRPr="00956CA4" w14:paraId="095D1F8D" w14:textId="77777777" w:rsidTr="00956CA4">
        <w:tc>
          <w:tcPr>
            <w:tcW w:w="1701" w:type="dxa"/>
            <w:vMerge/>
            <w:shd w:val="clear" w:color="auto" w:fill="auto"/>
            <w:vAlign w:val="center"/>
          </w:tcPr>
          <w:p w14:paraId="130B50F0" w14:textId="77777777" w:rsidR="00F92BED" w:rsidRPr="002E5F63" w:rsidRDefault="00F92BED" w:rsidP="00F92BED">
            <w:pPr>
              <w:pStyle w:val="TableText"/>
              <w:rPr>
                <w:rFonts w:cs="Tahoma"/>
                <w:sz w:val="20"/>
                <w:szCs w:val="20"/>
              </w:rPr>
            </w:pPr>
          </w:p>
        </w:tc>
        <w:tc>
          <w:tcPr>
            <w:tcW w:w="4820" w:type="dxa"/>
            <w:shd w:val="clear" w:color="auto" w:fill="auto"/>
            <w:vAlign w:val="center"/>
          </w:tcPr>
          <w:p w14:paraId="342CB040" w14:textId="77777777" w:rsidR="00F92BED" w:rsidRPr="002E5F63" w:rsidRDefault="00F92BED" w:rsidP="00F92BED">
            <w:pPr>
              <w:pStyle w:val="TableText"/>
              <w:rPr>
                <w:rFonts w:cs="Tahoma"/>
                <w:sz w:val="20"/>
                <w:szCs w:val="20"/>
              </w:rPr>
            </w:pPr>
            <w:r w:rsidRPr="002E5F63">
              <w:rPr>
                <w:rFonts w:cs="Tahoma"/>
                <w:sz w:val="20"/>
                <w:szCs w:val="20"/>
              </w:rPr>
              <w:t>Commonwealth marine areas</w:t>
            </w:r>
          </w:p>
        </w:tc>
        <w:tc>
          <w:tcPr>
            <w:tcW w:w="2551" w:type="dxa"/>
            <w:shd w:val="clear" w:color="auto" w:fill="auto"/>
          </w:tcPr>
          <w:p w14:paraId="31724F68" w14:textId="7411FDDA" w:rsidR="00F92BED" w:rsidRPr="00C903F4" w:rsidRDefault="00F92BED" w:rsidP="00D06E59">
            <w:pPr>
              <w:pStyle w:val="TableText"/>
              <w:rPr>
                <w:rFonts w:cs="Tahoma"/>
                <w:sz w:val="20"/>
                <w:szCs w:val="20"/>
              </w:rPr>
            </w:pPr>
            <w:r w:rsidRPr="00C903F4">
              <w:rPr>
                <w:rFonts w:cs="Tahoma"/>
                <w:sz w:val="20"/>
                <w:szCs w:val="20"/>
              </w:rPr>
              <w:t xml:space="preserve">Throughout </w:t>
            </w:r>
            <w:r w:rsidR="00D06E59" w:rsidRPr="00C903F4">
              <w:rPr>
                <w:rFonts w:cs="Tahoma"/>
                <w:sz w:val="20"/>
                <w:szCs w:val="20"/>
              </w:rPr>
              <w:t xml:space="preserve">Section </w:t>
            </w:r>
            <w:r w:rsidR="00D06E59" w:rsidRPr="00C903F4">
              <w:rPr>
                <w:rFonts w:cs="Tahoma"/>
                <w:sz w:val="20"/>
                <w:szCs w:val="20"/>
              </w:rPr>
              <w:fldChar w:fldCharType="begin"/>
            </w:r>
            <w:r w:rsidR="00D06E59" w:rsidRPr="00C903F4">
              <w:rPr>
                <w:rFonts w:cs="Tahoma"/>
                <w:sz w:val="20"/>
                <w:szCs w:val="20"/>
              </w:rPr>
              <w:instrText xml:space="preserve"> REF _Ref319851259 \r \h </w:instrText>
            </w:r>
            <w:r w:rsidR="00956CA4" w:rsidRPr="00C903F4">
              <w:rPr>
                <w:rFonts w:cs="Tahoma"/>
                <w:sz w:val="20"/>
                <w:szCs w:val="20"/>
              </w:rPr>
              <w:instrText xml:space="preserve"> \* MERGEFORMAT </w:instrText>
            </w:r>
            <w:r w:rsidR="00D06E59" w:rsidRPr="00C903F4">
              <w:rPr>
                <w:rFonts w:cs="Tahoma"/>
                <w:sz w:val="20"/>
                <w:szCs w:val="20"/>
              </w:rPr>
            </w:r>
            <w:r w:rsidR="00D06E59" w:rsidRPr="00C903F4">
              <w:rPr>
                <w:rFonts w:cs="Tahoma"/>
                <w:sz w:val="20"/>
                <w:szCs w:val="20"/>
              </w:rPr>
              <w:fldChar w:fldCharType="separate"/>
            </w:r>
            <w:r w:rsidR="007C0ECD">
              <w:rPr>
                <w:rFonts w:cs="Tahoma"/>
                <w:sz w:val="20"/>
                <w:szCs w:val="20"/>
              </w:rPr>
              <w:t>5.4</w:t>
            </w:r>
            <w:r w:rsidR="00D06E59" w:rsidRPr="00C903F4">
              <w:rPr>
                <w:rFonts w:cs="Tahoma"/>
                <w:sz w:val="20"/>
                <w:szCs w:val="20"/>
              </w:rPr>
              <w:fldChar w:fldCharType="end"/>
            </w:r>
          </w:p>
        </w:tc>
      </w:tr>
      <w:tr w:rsidR="00F92BED" w:rsidRPr="00956CA4" w14:paraId="39E90D61" w14:textId="77777777" w:rsidTr="00956CA4">
        <w:tc>
          <w:tcPr>
            <w:tcW w:w="1701" w:type="dxa"/>
            <w:vMerge/>
            <w:shd w:val="clear" w:color="auto" w:fill="auto"/>
            <w:vAlign w:val="center"/>
          </w:tcPr>
          <w:p w14:paraId="549024BC" w14:textId="77777777" w:rsidR="00F92BED" w:rsidRPr="002E5F63" w:rsidRDefault="00F92BED" w:rsidP="00F92BED">
            <w:pPr>
              <w:pStyle w:val="TableText"/>
              <w:rPr>
                <w:rFonts w:cs="Tahoma"/>
                <w:sz w:val="20"/>
                <w:szCs w:val="20"/>
              </w:rPr>
            </w:pPr>
          </w:p>
        </w:tc>
        <w:tc>
          <w:tcPr>
            <w:tcW w:w="4820" w:type="dxa"/>
            <w:shd w:val="clear" w:color="auto" w:fill="auto"/>
            <w:vAlign w:val="center"/>
          </w:tcPr>
          <w:p w14:paraId="38DE2932" w14:textId="77777777" w:rsidR="00F92BED" w:rsidRPr="002E5F63" w:rsidRDefault="00F92BED" w:rsidP="00F92BED">
            <w:pPr>
              <w:pStyle w:val="TableText"/>
              <w:rPr>
                <w:rFonts w:cs="Tahoma"/>
                <w:sz w:val="20"/>
                <w:szCs w:val="20"/>
              </w:rPr>
            </w:pPr>
            <w:r w:rsidRPr="002E5F63">
              <w:rPr>
                <w:rFonts w:cs="Tahoma"/>
                <w:sz w:val="20"/>
                <w:szCs w:val="20"/>
              </w:rPr>
              <w:t>Great Barrier Reef Marine Park</w:t>
            </w:r>
          </w:p>
        </w:tc>
        <w:tc>
          <w:tcPr>
            <w:tcW w:w="2551" w:type="dxa"/>
            <w:shd w:val="clear" w:color="auto" w:fill="auto"/>
            <w:vAlign w:val="center"/>
          </w:tcPr>
          <w:p w14:paraId="3DDF4865" w14:textId="77777777" w:rsidR="00F92BED" w:rsidRPr="00C903F4" w:rsidRDefault="00F92BED" w:rsidP="00F92BED">
            <w:pPr>
              <w:pStyle w:val="TableText"/>
              <w:rPr>
                <w:rFonts w:cs="Tahoma"/>
                <w:sz w:val="20"/>
                <w:szCs w:val="20"/>
              </w:rPr>
            </w:pPr>
            <w:r w:rsidRPr="00C903F4">
              <w:rPr>
                <w:rFonts w:cs="Tahoma"/>
                <w:sz w:val="20"/>
                <w:szCs w:val="20"/>
              </w:rPr>
              <w:t>Not applicable.</w:t>
            </w:r>
          </w:p>
        </w:tc>
      </w:tr>
      <w:tr w:rsidR="00F92BED" w:rsidRPr="00956CA4" w14:paraId="4A39E4B6" w14:textId="77777777" w:rsidTr="00956CA4">
        <w:tc>
          <w:tcPr>
            <w:tcW w:w="1701" w:type="dxa"/>
            <w:vMerge/>
            <w:shd w:val="clear" w:color="auto" w:fill="auto"/>
            <w:vAlign w:val="center"/>
          </w:tcPr>
          <w:p w14:paraId="3CB30F0A" w14:textId="77777777" w:rsidR="00F92BED" w:rsidRPr="002E5F63" w:rsidRDefault="00F92BED" w:rsidP="00F92BED">
            <w:pPr>
              <w:pStyle w:val="TableText"/>
              <w:rPr>
                <w:rFonts w:cs="Tahoma"/>
                <w:sz w:val="20"/>
                <w:szCs w:val="20"/>
              </w:rPr>
            </w:pPr>
          </w:p>
        </w:tc>
        <w:tc>
          <w:tcPr>
            <w:tcW w:w="4820" w:type="dxa"/>
            <w:shd w:val="clear" w:color="auto" w:fill="auto"/>
            <w:vAlign w:val="center"/>
          </w:tcPr>
          <w:p w14:paraId="3C54D371" w14:textId="77777777" w:rsidR="00F92BED" w:rsidRPr="002E5F63" w:rsidRDefault="00F92BED" w:rsidP="00F92BED">
            <w:pPr>
              <w:pStyle w:val="TableText"/>
              <w:rPr>
                <w:rFonts w:cs="Tahoma"/>
                <w:sz w:val="20"/>
                <w:szCs w:val="20"/>
              </w:rPr>
            </w:pPr>
            <w:r w:rsidRPr="002E5F63">
              <w:rPr>
                <w:rFonts w:cs="Tahoma"/>
                <w:sz w:val="20"/>
                <w:szCs w:val="20"/>
              </w:rPr>
              <w:t>Nuclear actions</w:t>
            </w:r>
          </w:p>
        </w:tc>
        <w:tc>
          <w:tcPr>
            <w:tcW w:w="2551" w:type="dxa"/>
            <w:shd w:val="clear" w:color="auto" w:fill="auto"/>
            <w:vAlign w:val="center"/>
          </w:tcPr>
          <w:p w14:paraId="1D40639B" w14:textId="77777777" w:rsidR="00F92BED" w:rsidRPr="00C903F4" w:rsidRDefault="00F92BED" w:rsidP="00F92BED">
            <w:pPr>
              <w:pStyle w:val="TableText"/>
              <w:rPr>
                <w:rFonts w:cs="Tahoma"/>
                <w:sz w:val="20"/>
                <w:szCs w:val="20"/>
              </w:rPr>
            </w:pPr>
            <w:r w:rsidRPr="00C903F4">
              <w:rPr>
                <w:rFonts w:cs="Tahoma"/>
                <w:sz w:val="20"/>
                <w:szCs w:val="20"/>
              </w:rPr>
              <w:t>Not applicable.</w:t>
            </w:r>
          </w:p>
        </w:tc>
      </w:tr>
      <w:tr w:rsidR="00F92BED" w:rsidRPr="00956CA4" w14:paraId="53A41E6D" w14:textId="77777777" w:rsidTr="00956CA4">
        <w:tc>
          <w:tcPr>
            <w:tcW w:w="1701" w:type="dxa"/>
            <w:vMerge/>
            <w:shd w:val="clear" w:color="auto" w:fill="auto"/>
            <w:vAlign w:val="center"/>
          </w:tcPr>
          <w:p w14:paraId="2A07E4D3" w14:textId="77777777" w:rsidR="00F92BED" w:rsidRPr="002E5F63" w:rsidRDefault="00F92BED" w:rsidP="00F92BED">
            <w:pPr>
              <w:pStyle w:val="TableText"/>
              <w:rPr>
                <w:rFonts w:cs="Tahoma"/>
                <w:sz w:val="20"/>
                <w:szCs w:val="20"/>
              </w:rPr>
            </w:pPr>
          </w:p>
        </w:tc>
        <w:tc>
          <w:tcPr>
            <w:tcW w:w="4820" w:type="dxa"/>
            <w:shd w:val="clear" w:color="auto" w:fill="auto"/>
            <w:vAlign w:val="center"/>
          </w:tcPr>
          <w:p w14:paraId="0BE229CE" w14:textId="77777777" w:rsidR="00F92BED" w:rsidRPr="002E5F63" w:rsidRDefault="00F92BED" w:rsidP="00F92BED">
            <w:pPr>
              <w:pStyle w:val="TableText"/>
              <w:rPr>
                <w:rFonts w:cs="Tahoma"/>
                <w:sz w:val="20"/>
                <w:szCs w:val="20"/>
              </w:rPr>
            </w:pPr>
            <w:r w:rsidRPr="002E5F63">
              <w:rPr>
                <w:rFonts w:cs="Tahoma"/>
                <w:sz w:val="20"/>
                <w:szCs w:val="20"/>
              </w:rPr>
              <w:t>A water resource, in relation to coal seam gas development and large coal mining development</w:t>
            </w:r>
          </w:p>
        </w:tc>
        <w:tc>
          <w:tcPr>
            <w:tcW w:w="2551" w:type="dxa"/>
            <w:shd w:val="clear" w:color="auto" w:fill="auto"/>
            <w:vAlign w:val="center"/>
          </w:tcPr>
          <w:p w14:paraId="7E6A6B52" w14:textId="77777777" w:rsidR="00F92BED" w:rsidRPr="00C903F4" w:rsidRDefault="00F92BED" w:rsidP="00F92BED">
            <w:pPr>
              <w:pStyle w:val="TableText"/>
              <w:rPr>
                <w:rFonts w:cs="Tahoma"/>
                <w:sz w:val="20"/>
                <w:szCs w:val="20"/>
              </w:rPr>
            </w:pPr>
            <w:r w:rsidRPr="00C903F4">
              <w:rPr>
                <w:rFonts w:cs="Tahoma"/>
                <w:sz w:val="20"/>
                <w:szCs w:val="20"/>
              </w:rPr>
              <w:t xml:space="preserve">Not applicable. </w:t>
            </w:r>
          </w:p>
        </w:tc>
      </w:tr>
      <w:tr w:rsidR="00F92BED" w:rsidRPr="00956CA4" w14:paraId="4499F972" w14:textId="77777777" w:rsidTr="00956CA4">
        <w:tc>
          <w:tcPr>
            <w:tcW w:w="1701" w:type="dxa"/>
            <w:vMerge w:val="restart"/>
            <w:shd w:val="clear" w:color="auto" w:fill="auto"/>
          </w:tcPr>
          <w:p w14:paraId="5A301C54" w14:textId="77777777" w:rsidR="00F92BED" w:rsidRPr="002E5F63" w:rsidRDefault="00F92BED" w:rsidP="00F92BED">
            <w:pPr>
              <w:pStyle w:val="TableText"/>
              <w:rPr>
                <w:rFonts w:cs="Tahoma"/>
                <w:sz w:val="20"/>
                <w:szCs w:val="20"/>
              </w:rPr>
            </w:pPr>
            <w:r w:rsidRPr="002E5F63">
              <w:rPr>
                <w:rFonts w:cs="Tahoma"/>
                <w:sz w:val="20"/>
                <w:szCs w:val="20"/>
              </w:rPr>
              <w:lastRenderedPageBreak/>
              <w:t>Other areas of national importance</w:t>
            </w:r>
          </w:p>
        </w:tc>
        <w:tc>
          <w:tcPr>
            <w:tcW w:w="4820" w:type="dxa"/>
            <w:shd w:val="clear" w:color="auto" w:fill="auto"/>
            <w:vAlign w:val="center"/>
          </w:tcPr>
          <w:p w14:paraId="02BBAF77" w14:textId="77777777" w:rsidR="00F92BED" w:rsidRPr="002E5F63" w:rsidRDefault="00F92BED" w:rsidP="00F92BED">
            <w:pPr>
              <w:pStyle w:val="TableText"/>
              <w:rPr>
                <w:rFonts w:cs="Tahoma"/>
                <w:sz w:val="20"/>
                <w:szCs w:val="20"/>
              </w:rPr>
            </w:pPr>
            <w:r w:rsidRPr="002E5F63">
              <w:rPr>
                <w:rFonts w:cs="Tahoma"/>
                <w:sz w:val="20"/>
                <w:szCs w:val="20"/>
              </w:rPr>
              <w:t>Commonwealth heritage</w:t>
            </w:r>
            <w:r w:rsidR="001C61CE" w:rsidRPr="002E5F63">
              <w:rPr>
                <w:rFonts w:cs="Tahoma"/>
                <w:sz w:val="20"/>
                <w:szCs w:val="20"/>
              </w:rPr>
              <w:t>-listed</w:t>
            </w:r>
            <w:r w:rsidRPr="002E5F63">
              <w:rPr>
                <w:rFonts w:cs="Tahoma"/>
                <w:sz w:val="20"/>
                <w:szCs w:val="20"/>
              </w:rPr>
              <w:t xml:space="preserve"> places</w:t>
            </w:r>
          </w:p>
        </w:tc>
        <w:tc>
          <w:tcPr>
            <w:tcW w:w="2551" w:type="dxa"/>
            <w:shd w:val="clear" w:color="auto" w:fill="auto"/>
          </w:tcPr>
          <w:p w14:paraId="75471FC0" w14:textId="71448C14" w:rsidR="00F92BED" w:rsidRPr="00C903F4" w:rsidRDefault="00D06E59" w:rsidP="007717D4">
            <w:pPr>
              <w:pStyle w:val="TableText"/>
              <w:rPr>
                <w:rFonts w:cs="Tahoma"/>
                <w:sz w:val="20"/>
                <w:szCs w:val="20"/>
              </w:rPr>
            </w:pPr>
            <w:r w:rsidRPr="00C903F4">
              <w:rPr>
                <w:rFonts w:cs="Tahoma"/>
                <w:sz w:val="20"/>
                <w:szCs w:val="20"/>
              </w:rPr>
              <w:t xml:space="preserve">Section </w:t>
            </w:r>
            <w:r w:rsidR="007717D4" w:rsidRPr="00C903F4">
              <w:rPr>
                <w:rFonts w:cs="Tahoma"/>
                <w:sz w:val="20"/>
                <w:szCs w:val="20"/>
              </w:rPr>
              <w:fldChar w:fldCharType="begin"/>
            </w:r>
            <w:r w:rsidR="007717D4" w:rsidRPr="00C903F4">
              <w:rPr>
                <w:rFonts w:cs="Tahoma"/>
                <w:sz w:val="20"/>
                <w:szCs w:val="20"/>
              </w:rPr>
              <w:instrText xml:space="preserve"> REF _Ref475092978 \r \h </w:instrText>
            </w:r>
            <w:r w:rsidR="00956CA4" w:rsidRPr="00C903F4">
              <w:rPr>
                <w:rFonts w:cs="Tahoma"/>
                <w:sz w:val="20"/>
                <w:szCs w:val="20"/>
              </w:rPr>
              <w:instrText xml:space="preserve"> \* MERGEFORMAT </w:instrText>
            </w:r>
            <w:r w:rsidR="007717D4" w:rsidRPr="00C903F4">
              <w:rPr>
                <w:rFonts w:cs="Tahoma"/>
                <w:sz w:val="20"/>
                <w:szCs w:val="20"/>
              </w:rPr>
            </w:r>
            <w:r w:rsidR="007717D4" w:rsidRPr="00C903F4">
              <w:rPr>
                <w:rFonts w:cs="Tahoma"/>
                <w:sz w:val="20"/>
                <w:szCs w:val="20"/>
              </w:rPr>
              <w:fldChar w:fldCharType="separate"/>
            </w:r>
            <w:r w:rsidR="007C0ECD">
              <w:rPr>
                <w:rFonts w:cs="Tahoma"/>
                <w:sz w:val="20"/>
                <w:szCs w:val="20"/>
              </w:rPr>
              <w:t>5.2.6</w:t>
            </w:r>
            <w:r w:rsidR="007717D4" w:rsidRPr="00C903F4">
              <w:rPr>
                <w:rFonts w:cs="Tahoma"/>
                <w:sz w:val="20"/>
                <w:szCs w:val="20"/>
              </w:rPr>
              <w:fldChar w:fldCharType="end"/>
            </w:r>
          </w:p>
        </w:tc>
      </w:tr>
      <w:tr w:rsidR="00F92BED" w:rsidRPr="00956CA4" w14:paraId="2FF222F9" w14:textId="77777777" w:rsidTr="00956CA4">
        <w:tc>
          <w:tcPr>
            <w:tcW w:w="1701" w:type="dxa"/>
            <w:vMerge/>
            <w:shd w:val="clear" w:color="auto" w:fill="auto"/>
          </w:tcPr>
          <w:p w14:paraId="62035C29" w14:textId="77777777" w:rsidR="00F92BED" w:rsidRPr="002E5F63" w:rsidRDefault="00F92BED" w:rsidP="00F92BED">
            <w:pPr>
              <w:pStyle w:val="TableText"/>
              <w:rPr>
                <w:rFonts w:cs="Tahoma"/>
                <w:sz w:val="20"/>
                <w:szCs w:val="20"/>
              </w:rPr>
            </w:pPr>
          </w:p>
        </w:tc>
        <w:tc>
          <w:tcPr>
            <w:tcW w:w="4820" w:type="dxa"/>
            <w:shd w:val="clear" w:color="auto" w:fill="auto"/>
            <w:vAlign w:val="center"/>
          </w:tcPr>
          <w:p w14:paraId="35F37141" w14:textId="77777777" w:rsidR="00F92BED" w:rsidRPr="002E5F63" w:rsidRDefault="00F92BED" w:rsidP="00F92BED">
            <w:pPr>
              <w:pStyle w:val="TableText"/>
              <w:rPr>
                <w:rFonts w:cs="Tahoma"/>
                <w:sz w:val="20"/>
                <w:szCs w:val="20"/>
              </w:rPr>
            </w:pPr>
            <w:r w:rsidRPr="002E5F63">
              <w:rPr>
                <w:rFonts w:cs="Tahoma"/>
                <w:sz w:val="20"/>
                <w:szCs w:val="20"/>
              </w:rPr>
              <w:t>Key Ecological Features</w:t>
            </w:r>
          </w:p>
        </w:tc>
        <w:tc>
          <w:tcPr>
            <w:tcW w:w="2551" w:type="dxa"/>
            <w:shd w:val="clear" w:color="auto" w:fill="auto"/>
            <w:vAlign w:val="center"/>
          </w:tcPr>
          <w:p w14:paraId="574C94B7" w14:textId="6DBECD14" w:rsidR="00F92BED" w:rsidRPr="00C903F4" w:rsidRDefault="00F92BED" w:rsidP="007717D4">
            <w:pPr>
              <w:pStyle w:val="TableText"/>
              <w:rPr>
                <w:rFonts w:cs="Tahoma"/>
                <w:sz w:val="20"/>
                <w:szCs w:val="20"/>
              </w:rPr>
            </w:pPr>
            <w:r w:rsidRPr="00C903F4">
              <w:rPr>
                <w:rFonts w:cs="Tahoma"/>
                <w:sz w:val="20"/>
                <w:szCs w:val="20"/>
              </w:rPr>
              <w:t xml:space="preserve">Section </w:t>
            </w:r>
            <w:r w:rsidR="007717D4" w:rsidRPr="00C903F4">
              <w:rPr>
                <w:rFonts w:cs="Tahoma"/>
                <w:sz w:val="20"/>
                <w:szCs w:val="20"/>
              </w:rPr>
              <w:fldChar w:fldCharType="begin"/>
            </w:r>
            <w:r w:rsidR="007717D4" w:rsidRPr="00C903F4">
              <w:rPr>
                <w:rFonts w:cs="Tahoma"/>
                <w:sz w:val="20"/>
                <w:szCs w:val="20"/>
              </w:rPr>
              <w:instrText xml:space="preserve"> REF _Ref475092983 \r \h </w:instrText>
            </w:r>
            <w:r w:rsidR="00956CA4" w:rsidRPr="00C903F4">
              <w:rPr>
                <w:rFonts w:cs="Tahoma"/>
                <w:sz w:val="20"/>
                <w:szCs w:val="20"/>
              </w:rPr>
              <w:instrText xml:space="preserve"> \* MERGEFORMAT </w:instrText>
            </w:r>
            <w:r w:rsidR="007717D4" w:rsidRPr="00C903F4">
              <w:rPr>
                <w:rFonts w:cs="Tahoma"/>
                <w:sz w:val="20"/>
                <w:szCs w:val="20"/>
              </w:rPr>
            </w:r>
            <w:r w:rsidR="007717D4" w:rsidRPr="00C903F4">
              <w:rPr>
                <w:rFonts w:cs="Tahoma"/>
                <w:sz w:val="20"/>
                <w:szCs w:val="20"/>
              </w:rPr>
              <w:fldChar w:fldCharType="separate"/>
            </w:r>
            <w:r w:rsidR="007C0ECD">
              <w:rPr>
                <w:rFonts w:cs="Tahoma"/>
                <w:sz w:val="20"/>
                <w:szCs w:val="20"/>
              </w:rPr>
              <w:t>5.2.7</w:t>
            </w:r>
            <w:r w:rsidR="007717D4" w:rsidRPr="00C903F4">
              <w:rPr>
                <w:rFonts w:cs="Tahoma"/>
                <w:sz w:val="20"/>
                <w:szCs w:val="20"/>
              </w:rPr>
              <w:fldChar w:fldCharType="end"/>
            </w:r>
          </w:p>
        </w:tc>
      </w:tr>
      <w:tr w:rsidR="00F92BED" w:rsidRPr="00956CA4" w14:paraId="4F1041C9" w14:textId="77777777" w:rsidTr="00956CA4">
        <w:tc>
          <w:tcPr>
            <w:tcW w:w="1701" w:type="dxa"/>
            <w:vMerge/>
            <w:shd w:val="clear" w:color="auto" w:fill="auto"/>
            <w:vAlign w:val="center"/>
          </w:tcPr>
          <w:p w14:paraId="773472E9" w14:textId="77777777" w:rsidR="00F92BED" w:rsidRPr="002E5F63" w:rsidRDefault="00F92BED" w:rsidP="00F92BED">
            <w:pPr>
              <w:pStyle w:val="TableText"/>
              <w:rPr>
                <w:rFonts w:cs="Tahoma"/>
                <w:sz w:val="20"/>
                <w:szCs w:val="20"/>
              </w:rPr>
            </w:pPr>
          </w:p>
        </w:tc>
        <w:tc>
          <w:tcPr>
            <w:tcW w:w="4820" w:type="dxa"/>
            <w:shd w:val="clear" w:color="auto" w:fill="auto"/>
            <w:vAlign w:val="center"/>
          </w:tcPr>
          <w:p w14:paraId="32294749" w14:textId="77777777" w:rsidR="00F92BED" w:rsidRPr="002E5F63" w:rsidRDefault="00F92BED" w:rsidP="00F92BED">
            <w:pPr>
              <w:pStyle w:val="TableText"/>
              <w:rPr>
                <w:rFonts w:cs="Tahoma"/>
                <w:sz w:val="20"/>
                <w:szCs w:val="20"/>
              </w:rPr>
            </w:pPr>
            <w:r w:rsidRPr="002E5F63">
              <w:rPr>
                <w:rFonts w:cs="Tahoma"/>
                <w:sz w:val="20"/>
                <w:szCs w:val="20"/>
              </w:rPr>
              <w:t>Nationally important wetlands</w:t>
            </w:r>
          </w:p>
        </w:tc>
        <w:tc>
          <w:tcPr>
            <w:tcW w:w="2551" w:type="dxa"/>
            <w:shd w:val="clear" w:color="auto" w:fill="auto"/>
            <w:vAlign w:val="center"/>
          </w:tcPr>
          <w:p w14:paraId="74A0920F" w14:textId="4BCE752C" w:rsidR="00F92BED" w:rsidRPr="00C903F4" w:rsidRDefault="00F92BED" w:rsidP="007717D4">
            <w:pPr>
              <w:pStyle w:val="TableText"/>
              <w:rPr>
                <w:rFonts w:cs="Tahoma"/>
                <w:sz w:val="20"/>
                <w:szCs w:val="20"/>
              </w:rPr>
            </w:pPr>
            <w:r w:rsidRPr="00C903F4">
              <w:rPr>
                <w:rFonts w:cs="Tahoma"/>
                <w:sz w:val="20"/>
                <w:szCs w:val="20"/>
              </w:rPr>
              <w:t xml:space="preserve">Section </w:t>
            </w:r>
            <w:r w:rsidR="007717D4" w:rsidRPr="00C903F4">
              <w:rPr>
                <w:rFonts w:cs="Tahoma"/>
                <w:sz w:val="20"/>
                <w:szCs w:val="20"/>
              </w:rPr>
              <w:fldChar w:fldCharType="begin"/>
            </w:r>
            <w:r w:rsidR="007717D4" w:rsidRPr="00C903F4">
              <w:rPr>
                <w:rFonts w:cs="Tahoma"/>
                <w:sz w:val="20"/>
                <w:szCs w:val="20"/>
              </w:rPr>
              <w:instrText xml:space="preserve"> REF _Ref475092988 \r \h </w:instrText>
            </w:r>
            <w:r w:rsidR="00956CA4" w:rsidRPr="00C903F4">
              <w:rPr>
                <w:rFonts w:cs="Tahoma"/>
                <w:sz w:val="20"/>
                <w:szCs w:val="20"/>
              </w:rPr>
              <w:instrText xml:space="preserve"> \* MERGEFORMAT </w:instrText>
            </w:r>
            <w:r w:rsidR="007717D4" w:rsidRPr="00C903F4">
              <w:rPr>
                <w:rFonts w:cs="Tahoma"/>
                <w:sz w:val="20"/>
                <w:szCs w:val="20"/>
              </w:rPr>
            </w:r>
            <w:r w:rsidR="007717D4" w:rsidRPr="00C903F4">
              <w:rPr>
                <w:rFonts w:cs="Tahoma"/>
                <w:sz w:val="20"/>
                <w:szCs w:val="20"/>
              </w:rPr>
              <w:fldChar w:fldCharType="separate"/>
            </w:r>
            <w:r w:rsidR="007C0ECD">
              <w:rPr>
                <w:rFonts w:cs="Tahoma"/>
                <w:sz w:val="20"/>
                <w:szCs w:val="20"/>
              </w:rPr>
              <w:t>5.2.8</w:t>
            </w:r>
            <w:r w:rsidR="007717D4" w:rsidRPr="00C903F4">
              <w:rPr>
                <w:rFonts w:cs="Tahoma"/>
                <w:sz w:val="20"/>
                <w:szCs w:val="20"/>
              </w:rPr>
              <w:fldChar w:fldCharType="end"/>
            </w:r>
          </w:p>
        </w:tc>
      </w:tr>
      <w:tr w:rsidR="004F0BB8" w:rsidRPr="00956CA4" w14:paraId="3942EBC6" w14:textId="77777777" w:rsidTr="00956CA4">
        <w:tc>
          <w:tcPr>
            <w:tcW w:w="1701" w:type="dxa"/>
            <w:vMerge w:val="restart"/>
            <w:shd w:val="clear" w:color="auto" w:fill="auto"/>
            <w:vAlign w:val="center"/>
          </w:tcPr>
          <w:p w14:paraId="3DB88B12" w14:textId="77777777" w:rsidR="004F0BB8" w:rsidRPr="002E5F63" w:rsidRDefault="004F0BB8" w:rsidP="00F92BED">
            <w:pPr>
              <w:pStyle w:val="TableText"/>
              <w:rPr>
                <w:rFonts w:cs="Tahoma"/>
                <w:sz w:val="20"/>
                <w:szCs w:val="20"/>
              </w:rPr>
            </w:pPr>
            <w:r w:rsidRPr="002E5F63">
              <w:rPr>
                <w:rFonts w:cs="Tahoma"/>
                <w:sz w:val="20"/>
                <w:szCs w:val="20"/>
              </w:rPr>
              <w:t>Victorian protected areas</w:t>
            </w:r>
          </w:p>
        </w:tc>
        <w:tc>
          <w:tcPr>
            <w:tcW w:w="4820" w:type="dxa"/>
            <w:shd w:val="clear" w:color="auto" w:fill="auto"/>
            <w:vAlign w:val="center"/>
          </w:tcPr>
          <w:p w14:paraId="6BBBFD37" w14:textId="77777777" w:rsidR="004F0BB8" w:rsidRPr="002E5F63" w:rsidRDefault="004F0BB8" w:rsidP="004F0BB8">
            <w:pPr>
              <w:pStyle w:val="TableText"/>
              <w:rPr>
                <w:rFonts w:cs="Tahoma"/>
                <w:sz w:val="20"/>
                <w:szCs w:val="20"/>
              </w:rPr>
            </w:pPr>
            <w:r w:rsidRPr="002E5F63">
              <w:rPr>
                <w:rFonts w:cs="Tahoma"/>
                <w:sz w:val="20"/>
                <w:szCs w:val="20"/>
              </w:rPr>
              <w:t>Marine National Parks</w:t>
            </w:r>
            <w:r w:rsidR="00D06E59" w:rsidRPr="002E5F63">
              <w:rPr>
                <w:rFonts w:cs="Tahoma"/>
                <w:sz w:val="20"/>
                <w:szCs w:val="20"/>
              </w:rPr>
              <w:t xml:space="preserve"> and Sanctuaries</w:t>
            </w:r>
          </w:p>
        </w:tc>
        <w:tc>
          <w:tcPr>
            <w:tcW w:w="2551" w:type="dxa"/>
            <w:shd w:val="clear" w:color="auto" w:fill="auto"/>
            <w:vAlign w:val="center"/>
          </w:tcPr>
          <w:p w14:paraId="25EE125B" w14:textId="4A71EB08" w:rsidR="004F0BB8" w:rsidRPr="00C903F4" w:rsidRDefault="00D06E59" w:rsidP="007717D4">
            <w:pPr>
              <w:pStyle w:val="TableText"/>
              <w:rPr>
                <w:rFonts w:cs="Tahoma"/>
                <w:sz w:val="20"/>
                <w:szCs w:val="20"/>
              </w:rPr>
            </w:pPr>
            <w:r w:rsidRPr="00C903F4">
              <w:rPr>
                <w:rFonts w:cs="Tahoma"/>
                <w:sz w:val="20"/>
                <w:szCs w:val="20"/>
              </w:rPr>
              <w:t xml:space="preserve">Section </w:t>
            </w:r>
            <w:r w:rsidR="007717D4" w:rsidRPr="00C903F4">
              <w:rPr>
                <w:rFonts w:cs="Tahoma"/>
                <w:sz w:val="20"/>
                <w:szCs w:val="20"/>
              </w:rPr>
              <w:fldChar w:fldCharType="begin"/>
            </w:r>
            <w:r w:rsidR="007717D4" w:rsidRPr="00C903F4">
              <w:rPr>
                <w:rFonts w:cs="Tahoma"/>
                <w:sz w:val="20"/>
                <w:szCs w:val="20"/>
              </w:rPr>
              <w:instrText xml:space="preserve"> REF _Ref475092994 \r \h </w:instrText>
            </w:r>
            <w:r w:rsidR="00956CA4" w:rsidRPr="00C903F4">
              <w:rPr>
                <w:rFonts w:cs="Tahoma"/>
                <w:sz w:val="20"/>
                <w:szCs w:val="20"/>
              </w:rPr>
              <w:instrText xml:space="preserve"> \* MERGEFORMAT </w:instrText>
            </w:r>
            <w:r w:rsidR="007717D4" w:rsidRPr="00C903F4">
              <w:rPr>
                <w:rFonts w:cs="Tahoma"/>
                <w:sz w:val="20"/>
                <w:szCs w:val="20"/>
              </w:rPr>
            </w:r>
            <w:r w:rsidR="007717D4" w:rsidRPr="00C903F4">
              <w:rPr>
                <w:rFonts w:cs="Tahoma"/>
                <w:sz w:val="20"/>
                <w:szCs w:val="20"/>
              </w:rPr>
              <w:fldChar w:fldCharType="separate"/>
            </w:r>
            <w:r w:rsidR="007C0ECD">
              <w:rPr>
                <w:rFonts w:cs="Tahoma"/>
                <w:sz w:val="20"/>
                <w:szCs w:val="20"/>
              </w:rPr>
              <w:t>5.2.9</w:t>
            </w:r>
            <w:r w:rsidR="007717D4" w:rsidRPr="00C903F4">
              <w:rPr>
                <w:rFonts w:cs="Tahoma"/>
                <w:sz w:val="20"/>
                <w:szCs w:val="20"/>
              </w:rPr>
              <w:fldChar w:fldCharType="end"/>
            </w:r>
          </w:p>
        </w:tc>
      </w:tr>
      <w:tr w:rsidR="004F0BB8" w:rsidRPr="00956CA4" w14:paraId="5822EF0B" w14:textId="77777777" w:rsidTr="00956CA4">
        <w:tc>
          <w:tcPr>
            <w:tcW w:w="1701" w:type="dxa"/>
            <w:vMerge/>
            <w:shd w:val="clear" w:color="auto" w:fill="auto"/>
            <w:vAlign w:val="center"/>
          </w:tcPr>
          <w:p w14:paraId="575BE60B" w14:textId="77777777" w:rsidR="004F0BB8" w:rsidRPr="002E5F63" w:rsidRDefault="004F0BB8" w:rsidP="00F92BED">
            <w:pPr>
              <w:pStyle w:val="TableText"/>
              <w:rPr>
                <w:rFonts w:cs="Tahoma"/>
                <w:sz w:val="20"/>
                <w:szCs w:val="20"/>
              </w:rPr>
            </w:pPr>
          </w:p>
        </w:tc>
        <w:tc>
          <w:tcPr>
            <w:tcW w:w="4820" w:type="dxa"/>
            <w:shd w:val="clear" w:color="auto" w:fill="auto"/>
            <w:vAlign w:val="center"/>
          </w:tcPr>
          <w:p w14:paraId="7B950909" w14:textId="77777777" w:rsidR="004F0BB8" w:rsidRPr="002E5F63" w:rsidRDefault="004F0BB8" w:rsidP="00D06E59">
            <w:pPr>
              <w:pStyle w:val="TableText"/>
              <w:rPr>
                <w:rFonts w:cs="Tahoma"/>
                <w:sz w:val="20"/>
                <w:szCs w:val="20"/>
              </w:rPr>
            </w:pPr>
            <w:r w:rsidRPr="002E5F63">
              <w:rPr>
                <w:rFonts w:cs="Tahoma"/>
                <w:sz w:val="20"/>
                <w:szCs w:val="20"/>
              </w:rPr>
              <w:t>Coastal (onshore)</w:t>
            </w:r>
            <w:r w:rsidR="00D06E59" w:rsidRPr="002E5F63">
              <w:rPr>
                <w:rFonts w:cs="Tahoma"/>
                <w:sz w:val="20"/>
                <w:szCs w:val="20"/>
              </w:rPr>
              <w:t xml:space="preserve"> conservation reserves</w:t>
            </w:r>
          </w:p>
        </w:tc>
        <w:tc>
          <w:tcPr>
            <w:tcW w:w="2551" w:type="dxa"/>
            <w:shd w:val="clear" w:color="auto" w:fill="auto"/>
            <w:vAlign w:val="center"/>
          </w:tcPr>
          <w:p w14:paraId="1F88A4B1" w14:textId="0F5267C7" w:rsidR="004F0BB8" w:rsidRPr="00773B60" w:rsidRDefault="00D06E59" w:rsidP="007717D4">
            <w:pPr>
              <w:pStyle w:val="TableText"/>
              <w:rPr>
                <w:rFonts w:cs="Tahoma"/>
                <w:sz w:val="20"/>
                <w:szCs w:val="20"/>
                <w:highlight w:val="yellow"/>
              </w:rPr>
            </w:pPr>
            <w:r w:rsidRPr="00C903F4">
              <w:rPr>
                <w:rFonts w:cs="Tahoma"/>
                <w:sz w:val="20"/>
                <w:szCs w:val="20"/>
              </w:rPr>
              <w:t xml:space="preserve">Section </w:t>
            </w:r>
            <w:r w:rsidR="007717D4" w:rsidRPr="00C903F4">
              <w:rPr>
                <w:rFonts w:cs="Tahoma"/>
                <w:sz w:val="20"/>
                <w:szCs w:val="20"/>
              </w:rPr>
              <w:fldChar w:fldCharType="begin"/>
            </w:r>
            <w:r w:rsidR="007717D4" w:rsidRPr="00C903F4">
              <w:rPr>
                <w:rFonts w:cs="Tahoma"/>
                <w:sz w:val="20"/>
                <w:szCs w:val="20"/>
              </w:rPr>
              <w:instrText xml:space="preserve"> REF _Ref475092998 \r \h </w:instrText>
            </w:r>
            <w:r w:rsidR="00956CA4" w:rsidRPr="00C903F4">
              <w:rPr>
                <w:rFonts w:cs="Tahoma"/>
                <w:sz w:val="20"/>
                <w:szCs w:val="20"/>
              </w:rPr>
              <w:instrText xml:space="preserve"> \* MERGEFORMAT </w:instrText>
            </w:r>
            <w:r w:rsidR="007717D4" w:rsidRPr="00C903F4">
              <w:rPr>
                <w:rFonts w:cs="Tahoma"/>
                <w:sz w:val="20"/>
                <w:szCs w:val="20"/>
              </w:rPr>
            </w:r>
            <w:r w:rsidR="007717D4" w:rsidRPr="00C903F4">
              <w:rPr>
                <w:rFonts w:cs="Tahoma"/>
                <w:sz w:val="20"/>
                <w:szCs w:val="20"/>
              </w:rPr>
              <w:fldChar w:fldCharType="separate"/>
            </w:r>
            <w:r w:rsidR="007C0ECD">
              <w:rPr>
                <w:rFonts w:cs="Tahoma"/>
                <w:sz w:val="20"/>
                <w:szCs w:val="20"/>
              </w:rPr>
              <w:t>5.2.10</w:t>
            </w:r>
            <w:r w:rsidR="007717D4" w:rsidRPr="00C903F4">
              <w:rPr>
                <w:rFonts w:cs="Tahoma"/>
                <w:sz w:val="20"/>
                <w:szCs w:val="20"/>
              </w:rPr>
              <w:fldChar w:fldCharType="end"/>
            </w:r>
          </w:p>
        </w:tc>
      </w:tr>
    </w:tbl>
    <w:p w14:paraId="4F39638B" w14:textId="77777777" w:rsidR="00F92BED" w:rsidRDefault="00F92BED" w:rsidP="00F92BED">
      <w:pPr>
        <w:ind w:left="0"/>
      </w:pPr>
    </w:p>
    <w:p w14:paraId="67ACB092" w14:textId="77777777" w:rsidR="00F92BED" w:rsidRPr="00F71A07" w:rsidRDefault="00F92BED" w:rsidP="00E60028">
      <w:pPr>
        <w:pStyle w:val="Heading3"/>
      </w:pPr>
      <w:bookmarkStart w:id="166" w:name="_Toc474221991"/>
      <w:bookmarkStart w:id="167" w:name="_Ref475092455"/>
      <w:bookmarkStart w:id="168" w:name="_Ref476563669"/>
      <w:bookmarkStart w:id="169" w:name="_Ref476570380"/>
      <w:bookmarkStart w:id="170" w:name="_Ref352845726"/>
      <w:bookmarkStart w:id="171" w:name="_Toc375214541"/>
      <w:r w:rsidRPr="00F71A07">
        <w:t>Commonwealth Marine Reserves</w:t>
      </w:r>
      <w:bookmarkEnd w:id="166"/>
      <w:bookmarkEnd w:id="167"/>
      <w:bookmarkEnd w:id="168"/>
      <w:bookmarkEnd w:id="169"/>
      <w:bookmarkEnd w:id="170"/>
      <w:bookmarkEnd w:id="171"/>
    </w:p>
    <w:p w14:paraId="66FED283" w14:textId="38EFDABA" w:rsidR="00F92BED" w:rsidRPr="00D84AA8" w:rsidRDefault="004F0BB8" w:rsidP="00F92BED">
      <w:pPr>
        <w:pStyle w:val="bodycopy"/>
        <w:rPr>
          <w:rFonts w:ascii="Arial" w:hAnsi="Arial"/>
          <w:sz w:val="22"/>
          <w:szCs w:val="22"/>
        </w:rPr>
      </w:pPr>
      <w:r w:rsidRPr="00D84AA8">
        <w:rPr>
          <w:rFonts w:ascii="Arial" w:hAnsi="Arial"/>
          <w:sz w:val="22"/>
          <w:szCs w:val="22"/>
        </w:rPr>
        <w:t xml:space="preserve">The Beagle Commonwealth Marine Reserve (CMR) and East Gippsland CMR are located 88 km </w:t>
      </w:r>
      <w:r w:rsidR="00211265">
        <w:rPr>
          <w:rFonts w:ascii="Arial" w:hAnsi="Arial"/>
          <w:sz w:val="22"/>
          <w:szCs w:val="22"/>
        </w:rPr>
        <w:t xml:space="preserve">southwest </w:t>
      </w:r>
      <w:r w:rsidRPr="00D84AA8">
        <w:rPr>
          <w:rFonts w:ascii="Arial" w:hAnsi="Arial"/>
          <w:sz w:val="22"/>
          <w:szCs w:val="22"/>
        </w:rPr>
        <w:t xml:space="preserve">and 207 </w:t>
      </w:r>
      <w:r w:rsidR="00211265">
        <w:rPr>
          <w:rFonts w:ascii="Arial" w:hAnsi="Arial"/>
          <w:sz w:val="22"/>
          <w:szCs w:val="22"/>
        </w:rPr>
        <w:t xml:space="preserve">km </w:t>
      </w:r>
      <w:r w:rsidRPr="00D84AA8">
        <w:rPr>
          <w:rFonts w:ascii="Arial" w:hAnsi="Arial"/>
          <w:sz w:val="22"/>
          <w:szCs w:val="22"/>
        </w:rPr>
        <w:t>east of the proposed Pelican 3DMSS acquisition area, respectively. Only the latter is included with the EMBA</w:t>
      </w:r>
      <w:r w:rsidR="003968AF" w:rsidRPr="00D84AA8">
        <w:rPr>
          <w:rFonts w:ascii="Arial" w:hAnsi="Arial"/>
          <w:sz w:val="22"/>
          <w:szCs w:val="22"/>
        </w:rPr>
        <w:t>, so this CMR is described below.</w:t>
      </w:r>
    </w:p>
    <w:p w14:paraId="58DEE6FF" w14:textId="77777777" w:rsidR="003968AF" w:rsidRPr="00D84AA8" w:rsidRDefault="003968AF" w:rsidP="00F92BED">
      <w:pPr>
        <w:pStyle w:val="bodycopy"/>
        <w:rPr>
          <w:rFonts w:ascii="Arial" w:hAnsi="Arial"/>
          <w:b/>
          <w:sz w:val="22"/>
          <w:szCs w:val="22"/>
        </w:rPr>
      </w:pPr>
      <w:r w:rsidRPr="00D84AA8">
        <w:rPr>
          <w:rFonts w:ascii="Arial" w:hAnsi="Arial"/>
          <w:b/>
          <w:sz w:val="22"/>
          <w:szCs w:val="22"/>
        </w:rPr>
        <w:t>East Gippsland CMR</w:t>
      </w:r>
    </w:p>
    <w:p w14:paraId="7A50A4B1" w14:textId="1E5FB436" w:rsidR="003968AF" w:rsidRPr="00D84AA8" w:rsidRDefault="003968AF" w:rsidP="003968AF">
      <w:pPr>
        <w:pStyle w:val="bodycopy"/>
        <w:rPr>
          <w:rFonts w:ascii="Arial" w:hAnsi="Arial"/>
          <w:sz w:val="22"/>
          <w:szCs w:val="22"/>
        </w:rPr>
      </w:pPr>
      <w:r w:rsidRPr="00D84AA8">
        <w:rPr>
          <w:rFonts w:ascii="Arial" w:hAnsi="Arial"/>
          <w:sz w:val="22"/>
          <w:szCs w:val="22"/>
        </w:rPr>
        <w:t>The East Gippsland Commonwealth Marine Reserve covers 4,137 km</w:t>
      </w:r>
      <w:r w:rsidRPr="00D84AA8">
        <w:rPr>
          <w:rFonts w:ascii="Arial" w:hAnsi="Arial"/>
          <w:sz w:val="22"/>
          <w:szCs w:val="22"/>
          <w:vertAlign w:val="superscript"/>
        </w:rPr>
        <w:t>2</w:t>
      </w:r>
      <w:r w:rsidRPr="00D84AA8">
        <w:rPr>
          <w:rFonts w:ascii="Arial" w:hAnsi="Arial"/>
          <w:sz w:val="22"/>
          <w:szCs w:val="22"/>
        </w:rPr>
        <w:t xml:space="preserve"> of Commonwealth ocean territory and contains representative samples of an extensive network of canyons, continental slope, and escarpment in depths from 600 m to deeper than 4,000 m (</w:t>
      </w:r>
      <w:r w:rsidR="001108A0">
        <w:rPr>
          <w:rFonts w:ascii="Arial" w:hAnsi="Arial"/>
          <w:sz w:val="22"/>
          <w:szCs w:val="22"/>
        </w:rPr>
        <w:t>DNP, 2013</w:t>
      </w:r>
      <w:r w:rsidRPr="00D84AA8">
        <w:rPr>
          <w:rFonts w:ascii="Arial" w:hAnsi="Arial"/>
          <w:sz w:val="22"/>
          <w:szCs w:val="22"/>
        </w:rPr>
        <w:t>). The CMR is zoned entirely as Multiple Use (IUCN Category VI)</w:t>
      </w:r>
      <w:r w:rsidR="00B17D22" w:rsidRPr="00D84AA8">
        <w:rPr>
          <w:rFonts w:ascii="Arial" w:hAnsi="Arial"/>
          <w:sz w:val="22"/>
          <w:szCs w:val="22"/>
        </w:rPr>
        <w:t xml:space="preserve"> </w:t>
      </w:r>
      <w:r w:rsidR="00B17D22" w:rsidRPr="003E7F11">
        <w:rPr>
          <w:rFonts w:ascii="Arial" w:hAnsi="Arial"/>
          <w:sz w:val="22"/>
          <w:szCs w:val="22"/>
        </w:rPr>
        <w:t>(Figure 5.</w:t>
      </w:r>
      <w:r w:rsidR="00773B60" w:rsidRPr="003E7F11">
        <w:rPr>
          <w:rFonts w:ascii="Arial" w:hAnsi="Arial"/>
          <w:sz w:val="22"/>
          <w:szCs w:val="22"/>
        </w:rPr>
        <w:t>6</w:t>
      </w:r>
      <w:r w:rsidR="00B17D22" w:rsidRPr="003E7F11">
        <w:rPr>
          <w:rFonts w:ascii="Arial" w:hAnsi="Arial"/>
          <w:sz w:val="22"/>
          <w:szCs w:val="22"/>
        </w:rPr>
        <w:t>, see also Figure 5.1 for</w:t>
      </w:r>
      <w:r w:rsidR="00B17D22" w:rsidRPr="00D84AA8">
        <w:rPr>
          <w:rFonts w:ascii="Arial" w:hAnsi="Arial"/>
          <w:color w:val="000000"/>
          <w:sz w:val="22"/>
          <w:szCs w:val="22"/>
        </w:rPr>
        <w:t xml:space="preserve"> location of the CMR in relation to the proposed acquisition area</w:t>
      </w:r>
      <w:r w:rsidR="00B17D22" w:rsidRPr="00D84AA8">
        <w:rPr>
          <w:rFonts w:ascii="Arial" w:hAnsi="Arial"/>
          <w:sz w:val="22"/>
          <w:szCs w:val="22"/>
        </w:rPr>
        <w:t>)</w:t>
      </w:r>
      <w:r w:rsidRPr="00D84AA8">
        <w:rPr>
          <w:rFonts w:ascii="Arial" w:hAnsi="Arial"/>
          <w:sz w:val="22"/>
          <w:szCs w:val="22"/>
        </w:rPr>
        <w:t>.</w:t>
      </w:r>
    </w:p>
    <w:p w14:paraId="02CB1543" w14:textId="6432A5FD" w:rsidR="003968AF" w:rsidRPr="00D84AA8" w:rsidRDefault="003968AF" w:rsidP="003968AF">
      <w:pPr>
        <w:pStyle w:val="bodycopy"/>
        <w:rPr>
          <w:rFonts w:ascii="Arial" w:hAnsi="Arial"/>
          <w:sz w:val="22"/>
          <w:szCs w:val="22"/>
        </w:rPr>
      </w:pPr>
      <w:r w:rsidRPr="00D84AA8">
        <w:rPr>
          <w:rFonts w:ascii="Arial" w:hAnsi="Arial"/>
          <w:sz w:val="22"/>
          <w:szCs w:val="22"/>
        </w:rPr>
        <w:t>The area includes both warm and temperate waters brought about by seasonality changes in oceanographic patterns that influence biodiversity and local productivity. There are summertime incursions of the warm EAC and a wintertime cascade of cold water from Bass Strait that sinks along the upper slope and forms a temperature front that can account for a 5°C temperature difference (</w:t>
      </w:r>
      <w:r w:rsidR="001108A0">
        <w:rPr>
          <w:rFonts w:ascii="Arial" w:hAnsi="Arial"/>
          <w:sz w:val="22"/>
          <w:szCs w:val="22"/>
        </w:rPr>
        <w:t>DNP, 2013</w:t>
      </w:r>
      <w:r w:rsidRPr="00D84AA8">
        <w:rPr>
          <w:rFonts w:ascii="Arial" w:hAnsi="Arial"/>
          <w:sz w:val="22"/>
          <w:szCs w:val="22"/>
        </w:rPr>
        <w:t>). This cold front helps nutrients come to the surface and in turn supports a diverse phytoplankton community and other sea life.</w:t>
      </w:r>
    </w:p>
    <w:p w14:paraId="43FB61AA" w14:textId="77777777" w:rsidR="003968AF" w:rsidRPr="00D84AA8" w:rsidRDefault="003968AF" w:rsidP="003968AF">
      <w:pPr>
        <w:pStyle w:val="bodycopy"/>
        <w:rPr>
          <w:rFonts w:ascii="Arial" w:hAnsi="Arial"/>
          <w:sz w:val="22"/>
          <w:szCs w:val="22"/>
        </w:rPr>
      </w:pPr>
      <w:r w:rsidRPr="00D84AA8">
        <w:rPr>
          <w:rFonts w:ascii="Arial" w:hAnsi="Arial"/>
          <w:sz w:val="22"/>
          <w:szCs w:val="22"/>
        </w:rPr>
        <w:t xml:space="preserve">The key values of the East Gippsland CMR are listed as: </w:t>
      </w:r>
    </w:p>
    <w:p w14:paraId="1DDE84B0" w14:textId="77777777" w:rsidR="003968AF" w:rsidRPr="00D84AA8" w:rsidRDefault="003968AF" w:rsidP="00567567">
      <w:pPr>
        <w:pStyle w:val="bodycopy"/>
        <w:numPr>
          <w:ilvl w:val="0"/>
          <w:numId w:val="90"/>
        </w:numPr>
        <w:autoSpaceDE w:val="0"/>
        <w:autoSpaceDN w:val="0"/>
        <w:adjustRightInd w:val="0"/>
        <w:rPr>
          <w:rFonts w:ascii="Arial" w:hAnsi="Arial"/>
          <w:sz w:val="22"/>
          <w:szCs w:val="22"/>
        </w:rPr>
      </w:pPr>
      <w:r w:rsidRPr="00D84AA8">
        <w:rPr>
          <w:rFonts w:ascii="Arial" w:hAnsi="Arial"/>
          <w:sz w:val="22"/>
          <w:szCs w:val="22"/>
        </w:rPr>
        <w:t>Examples of ecosystems, habitats and communities associated with the Southeast Transition and associated with the sea-floor features, these being abyssal plain/deep ocean floor, canyon, escarpment and knoll/abyssal hillslope;</w:t>
      </w:r>
    </w:p>
    <w:p w14:paraId="7C951AD1" w14:textId="77777777" w:rsidR="003968AF" w:rsidRPr="00D84AA8" w:rsidRDefault="003968AF" w:rsidP="00567567">
      <w:pPr>
        <w:pStyle w:val="bodycopy"/>
        <w:numPr>
          <w:ilvl w:val="0"/>
          <w:numId w:val="90"/>
        </w:numPr>
        <w:autoSpaceDE w:val="0"/>
        <w:autoSpaceDN w:val="0"/>
        <w:adjustRightInd w:val="0"/>
        <w:rPr>
          <w:rFonts w:ascii="Arial" w:hAnsi="Arial"/>
          <w:sz w:val="22"/>
          <w:szCs w:val="22"/>
        </w:rPr>
      </w:pPr>
      <w:r w:rsidRPr="00D84AA8">
        <w:rPr>
          <w:rFonts w:ascii="Arial" w:hAnsi="Arial"/>
          <w:sz w:val="22"/>
          <w:szCs w:val="22"/>
        </w:rPr>
        <w:t xml:space="preserve">Features with high biodiversity and productivity, being the Bass Cascade and upwelling east of Eden; </w:t>
      </w:r>
    </w:p>
    <w:p w14:paraId="7F32BDAE" w14:textId="77777777" w:rsidR="003968AF" w:rsidRPr="00D84AA8" w:rsidRDefault="003968AF" w:rsidP="00567567">
      <w:pPr>
        <w:pStyle w:val="bodycopy"/>
        <w:numPr>
          <w:ilvl w:val="0"/>
          <w:numId w:val="90"/>
        </w:numPr>
        <w:autoSpaceDE w:val="0"/>
        <w:autoSpaceDN w:val="0"/>
        <w:adjustRightInd w:val="0"/>
        <w:rPr>
          <w:rFonts w:ascii="Arial" w:hAnsi="Arial"/>
          <w:sz w:val="22"/>
          <w:szCs w:val="22"/>
        </w:rPr>
      </w:pPr>
      <w:r w:rsidRPr="00D84AA8">
        <w:rPr>
          <w:rFonts w:ascii="Arial" w:hAnsi="Arial"/>
          <w:sz w:val="22"/>
          <w:szCs w:val="22"/>
        </w:rPr>
        <w:t>Important foraging area for wandering, black-browed, yellow-nosed and shy albatrosses, great-winged petrel, wedge-tailed shearwater, and cape petrel; and</w:t>
      </w:r>
    </w:p>
    <w:p w14:paraId="58A3C2DB" w14:textId="7FBA7352" w:rsidR="003968AF" w:rsidRPr="00D84AA8" w:rsidRDefault="003968AF" w:rsidP="00567567">
      <w:pPr>
        <w:pStyle w:val="bodycopy"/>
        <w:numPr>
          <w:ilvl w:val="0"/>
          <w:numId w:val="90"/>
        </w:numPr>
        <w:autoSpaceDE w:val="0"/>
        <w:autoSpaceDN w:val="0"/>
        <w:adjustRightInd w:val="0"/>
        <w:rPr>
          <w:rFonts w:ascii="Arial" w:hAnsi="Arial"/>
          <w:sz w:val="22"/>
          <w:szCs w:val="22"/>
        </w:rPr>
      </w:pPr>
      <w:r w:rsidRPr="00D84AA8">
        <w:rPr>
          <w:rFonts w:ascii="Arial" w:hAnsi="Arial"/>
          <w:sz w:val="22"/>
          <w:szCs w:val="22"/>
        </w:rPr>
        <w:t>Important migration area for the humpback whale (D</w:t>
      </w:r>
      <w:r w:rsidR="00B2414F">
        <w:rPr>
          <w:rFonts w:ascii="Arial" w:hAnsi="Arial"/>
          <w:sz w:val="22"/>
          <w:szCs w:val="22"/>
        </w:rPr>
        <w:t xml:space="preserve">NP, </w:t>
      </w:r>
      <w:r w:rsidRPr="00D84AA8">
        <w:rPr>
          <w:rFonts w:ascii="Arial" w:hAnsi="Arial"/>
          <w:sz w:val="22"/>
          <w:szCs w:val="22"/>
        </w:rPr>
        <w:t>201</w:t>
      </w:r>
      <w:r w:rsidR="00B2414F">
        <w:rPr>
          <w:rFonts w:ascii="Arial" w:hAnsi="Arial"/>
          <w:sz w:val="22"/>
          <w:szCs w:val="22"/>
        </w:rPr>
        <w:t>3</w:t>
      </w:r>
      <w:r w:rsidRPr="00D84AA8">
        <w:rPr>
          <w:rFonts w:ascii="Arial" w:hAnsi="Arial"/>
          <w:sz w:val="22"/>
          <w:szCs w:val="22"/>
        </w:rPr>
        <w:t>).</w:t>
      </w:r>
    </w:p>
    <w:p w14:paraId="1D773523" w14:textId="301CFEC4" w:rsidR="00B17D22" w:rsidRDefault="00B17D22" w:rsidP="00B17D22">
      <w:pPr>
        <w:pStyle w:val="bodycopy"/>
        <w:autoSpaceDE w:val="0"/>
        <w:autoSpaceDN w:val="0"/>
        <w:adjustRightInd w:val="0"/>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5152"/>
      </w:tblGrid>
      <w:tr w:rsidR="00B17D22" w14:paraId="49DA1500" w14:textId="77777777" w:rsidTr="00514376">
        <w:trPr>
          <w:jc w:val="center"/>
        </w:trPr>
        <w:tc>
          <w:tcPr>
            <w:tcW w:w="5152" w:type="dxa"/>
            <w:shd w:val="clear" w:color="auto" w:fill="auto"/>
          </w:tcPr>
          <w:p w14:paraId="013E3092" w14:textId="6FD0C454" w:rsidR="00B17D22" w:rsidRPr="00514376" w:rsidRDefault="00C458B7" w:rsidP="00891DE1">
            <w:pPr>
              <w:pStyle w:val="bodycopy"/>
              <w:spacing w:before="60" w:after="60"/>
              <w:rPr>
                <w:lang w:val="en"/>
              </w:rPr>
            </w:pPr>
            <w:r>
              <w:rPr>
                <w:noProof/>
              </w:rPr>
              <w:lastRenderedPageBreak/>
              <w:drawing>
                <wp:inline distT="0" distB="0" distL="0" distR="0" wp14:anchorId="41D5154D" wp14:editId="269EFDB2">
                  <wp:extent cx="3134641" cy="4333091"/>
                  <wp:effectExtent l="0" t="0" r="0" b="10795"/>
                  <wp:docPr id="461" name="Picture 461" descr="Screen%20Shot%202017-02-08%20at%2010.39.4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7-02-08%20at%2010.39.47%20am.pn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3136348" cy="4335451"/>
                          </a:xfrm>
                          <a:prstGeom prst="rect">
                            <a:avLst/>
                          </a:prstGeom>
                          <a:noFill/>
                          <a:ln>
                            <a:noFill/>
                          </a:ln>
                        </pic:spPr>
                      </pic:pic>
                    </a:graphicData>
                  </a:graphic>
                </wp:inline>
              </w:drawing>
            </w:r>
          </w:p>
        </w:tc>
      </w:tr>
    </w:tbl>
    <w:p w14:paraId="4E64712D" w14:textId="77777777" w:rsidR="00B17D22" w:rsidRPr="00966FFB" w:rsidRDefault="00B17D22" w:rsidP="00B17D22">
      <w:pPr>
        <w:pStyle w:val="bodycopy"/>
        <w:rPr>
          <w:rFonts w:ascii="Arial" w:hAnsi="Arial"/>
          <w:i/>
          <w:sz w:val="16"/>
          <w:szCs w:val="16"/>
        </w:rPr>
      </w:pPr>
      <w:r>
        <w:rPr>
          <w:i/>
          <w:sz w:val="16"/>
          <w:szCs w:val="16"/>
        </w:rPr>
        <w:tab/>
      </w:r>
      <w:r>
        <w:rPr>
          <w:i/>
          <w:sz w:val="16"/>
          <w:szCs w:val="16"/>
        </w:rPr>
        <w:tab/>
        <w:t xml:space="preserve">   </w:t>
      </w:r>
      <w:r w:rsidRPr="00966FFB">
        <w:rPr>
          <w:rFonts w:ascii="Arial" w:hAnsi="Arial"/>
          <w:i/>
          <w:sz w:val="16"/>
          <w:szCs w:val="16"/>
        </w:rPr>
        <w:t>Source: DoEE (2017).</w:t>
      </w:r>
    </w:p>
    <w:p w14:paraId="7E5697EC" w14:textId="6AD71F36" w:rsidR="00B17D22" w:rsidRPr="00966FFB" w:rsidRDefault="00B17D22" w:rsidP="00B17D22">
      <w:pPr>
        <w:pStyle w:val="bodycopy"/>
        <w:spacing w:after="240"/>
        <w:jc w:val="center"/>
        <w:rPr>
          <w:rFonts w:ascii="Arial" w:hAnsi="Arial"/>
          <w:b/>
          <w:sz w:val="20"/>
        </w:rPr>
      </w:pPr>
      <w:r w:rsidRPr="00966FFB">
        <w:rPr>
          <w:rFonts w:ascii="Arial" w:hAnsi="Arial"/>
          <w:b/>
          <w:sz w:val="20"/>
        </w:rPr>
        <w:t>Figure 5.</w:t>
      </w:r>
      <w:r w:rsidR="00773B60">
        <w:rPr>
          <w:rFonts w:ascii="Arial" w:hAnsi="Arial"/>
          <w:b/>
          <w:sz w:val="20"/>
        </w:rPr>
        <w:t>6</w:t>
      </w:r>
      <w:r w:rsidRPr="00966FFB">
        <w:rPr>
          <w:rFonts w:ascii="Arial" w:hAnsi="Arial"/>
          <w:b/>
          <w:sz w:val="20"/>
        </w:rPr>
        <w:t>.</w:t>
      </w:r>
      <w:r w:rsidRPr="00966FFB">
        <w:rPr>
          <w:rFonts w:ascii="Arial" w:hAnsi="Arial"/>
          <w:b/>
          <w:sz w:val="20"/>
        </w:rPr>
        <w:tab/>
        <w:t>The East Gippsland CMR</w:t>
      </w:r>
    </w:p>
    <w:p w14:paraId="5B0F2B00" w14:textId="77777777" w:rsidR="00F92BED" w:rsidRPr="00F71A07" w:rsidRDefault="00F92BED" w:rsidP="00F92BED">
      <w:pPr>
        <w:pStyle w:val="Heading3"/>
      </w:pPr>
      <w:bookmarkStart w:id="172" w:name="_Toc474221992"/>
      <w:bookmarkStart w:id="173" w:name="_Ref475092462"/>
      <w:bookmarkStart w:id="174" w:name="_Toc375214542"/>
      <w:r w:rsidRPr="00F71A07">
        <w:t>World Heritage</w:t>
      </w:r>
      <w:r w:rsidR="00B3465C">
        <w:t xml:space="preserve">-Listed </w:t>
      </w:r>
      <w:r w:rsidRPr="00F71A07">
        <w:t>Properties</w:t>
      </w:r>
      <w:bookmarkEnd w:id="172"/>
      <w:bookmarkEnd w:id="173"/>
      <w:bookmarkEnd w:id="174"/>
    </w:p>
    <w:p w14:paraId="6FF178FC" w14:textId="6BF1D6D2" w:rsidR="003968AF" w:rsidRPr="00435ED5" w:rsidRDefault="004401FF" w:rsidP="00F92BED">
      <w:pPr>
        <w:pStyle w:val="bodycopy"/>
        <w:rPr>
          <w:rFonts w:ascii="Arial" w:hAnsi="Arial"/>
          <w:sz w:val="22"/>
          <w:szCs w:val="22"/>
        </w:rPr>
      </w:pPr>
      <w:r w:rsidRPr="00435ED5">
        <w:rPr>
          <w:rFonts w:ascii="Arial" w:hAnsi="Arial"/>
          <w:sz w:val="22"/>
          <w:szCs w:val="22"/>
        </w:rPr>
        <w:t>World Heritage Listed-properties are examples of sites that represent the best examples of the world’s cultural and heritage, of which Australia has 19 properties (DoEE, 2017</w:t>
      </w:r>
      <w:r w:rsidR="00E670EA">
        <w:rPr>
          <w:rFonts w:ascii="Arial" w:hAnsi="Arial"/>
          <w:sz w:val="22"/>
          <w:szCs w:val="22"/>
        </w:rPr>
        <w:t>b</w:t>
      </w:r>
      <w:r w:rsidRPr="00435ED5">
        <w:rPr>
          <w:rFonts w:ascii="Arial" w:hAnsi="Arial"/>
          <w:sz w:val="22"/>
          <w:szCs w:val="22"/>
        </w:rPr>
        <w:t xml:space="preserve">). </w:t>
      </w:r>
      <w:r w:rsidR="00B3465C" w:rsidRPr="00435ED5">
        <w:rPr>
          <w:rFonts w:ascii="Arial" w:hAnsi="Arial"/>
          <w:sz w:val="22"/>
          <w:szCs w:val="22"/>
        </w:rPr>
        <w:t xml:space="preserve">In Australia, these properties are protected under Chapter 5, Part 15 of the EPBC Act. </w:t>
      </w:r>
    </w:p>
    <w:p w14:paraId="1DBB6185" w14:textId="59D55C9E" w:rsidR="003968AF" w:rsidRPr="00435ED5" w:rsidRDefault="004401FF" w:rsidP="00F92BED">
      <w:pPr>
        <w:pStyle w:val="bodycopy"/>
        <w:rPr>
          <w:rFonts w:ascii="Arial" w:hAnsi="Arial"/>
          <w:sz w:val="22"/>
          <w:szCs w:val="22"/>
        </w:rPr>
      </w:pPr>
      <w:r w:rsidRPr="00435ED5">
        <w:rPr>
          <w:rFonts w:ascii="Arial" w:hAnsi="Arial"/>
          <w:sz w:val="22"/>
          <w:szCs w:val="22"/>
        </w:rPr>
        <w:t xml:space="preserve">No properties on the World Heritage List occur within the EMBA. The nearest site is the Royal Exhibition Building and Carlton </w:t>
      </w:r>
      <w:r w:rsidR="008228C7">
        <w:rPr>
          <w:rFonts w:ascii="Arial" w:hAnsi="Arial"/>
          <w:sz w:val="22"/>
          <w:szCs w:val="22"/>
        </w:rPr>
        <w:t>G</w:t>
      </w:r>
      <w:r w:rsidRPr="00435ED5">
        <w:rPr>
          <w:rFonts w:ascii="Arial" w:hAnsi="Arial"/>
          <w:sz w:val="22"/>
          <w:szCs w:val="22"/>
        </w:rPr>
        <w:t xml:space="preserve">ardens in Melbourne, </w:t>
      </w:r>
      <w:r w:rsidR="008228C7">
        <w:rPr>
          <w:rFonts w:ascii="Arial" w:hAnsi="Arial"/>
          <w:sz w:val="22"/>
          <w:szCs w:val="22"/>
        </w:rPr>
        <w:t xml:space="preserve">an onshore property located </w:t>
      </w:r>
      <w:r w:rsidRPr="00435ED5">
        <w:rPr>
          <w:rFonts w:ascii="Arial" w:hAnsi="Arial"/>
          <w:sz w:val="22"/>
          <w:szCs w:val="22"/>
        </w:rPr>
        <w:t xml:space="preserve">216 km to the northwest of the proposed acquisition area. </w:t>
      </w:r>
    </w:p>
    <w:p w14:paraId="3898FC77" w14:textId="77777777" w:rsidR="00F92BED" w:rsidRPr="00F71A07" w:rsidRDefault="00F92BED" w:rsidP="00657154">
      <w:pPr>
        <w:pStyle w:val="Heading3"/>
      </w:pPr>
      <w:bookmarkStart w:id="175" w:name="_Toc474221993"/>
      <w:bookmarkStart w:id="176" w:name="_Ref475092471"/>
      <w:bookmarkStart w:id="177" w:name="_Toc375214543"/>
      <w:r w:rsidRPr="00F71A07">
        <w:t>National Heritage</w:t>
      </w:r>
      <w:r w:rsidR="00B3465C">
        <w:t>-Listed</w:t>
      </w:r>
      <w:r w:rsidRPr="00F71A07">
        <w:t xml:space="preserve"> P</w:t>
      </w:r>
      <w:r w:rsidR="00B3465C">
        <w:t>laces</w:t>
      </w:r>
      <w:bookmarkEnd w:id="175"/>
      <w:bookmarkEnd w:id="176"/>
      <w:bookmarkEnd w:id="177"/>
      <w:r w:rsidR="00B3465C">
        <w:t xml:space="preserve"> </w:t>
      </w:r>
    </w:p>
    <w:p w14:paraId="601A3034" w14:textId="7552F0AF" w:rsidR="00B3465C" w:rsidRPr="00435ED5" w:rsidRDefault="00B3465C" w:rsidP="00B3465C">
      <w:pPr>
        <w:pStyle w:val="bodycopy"/>
        <w:rPr>
          <w:rFonts w:ascii="Arial" w:hAnsi="Arial"/>
          <w:sz w:val="22"/>
          <w:szCs w:val="22"/>
        </w:rPr>
      </w:pPr>
      <w:r w:rsidRPr="00435ED5">
        <w:rPr>
          <w:rFonts w:ascii="Arial" w:hAnsi="Arial"/>
          <w:sz w:val="22"/>
          <w:szCs w:val="22"/>
        </w:rPr>
        <w:t>The National Heritage List is Australia’s list of natural, historic and Indigenous places of outstanding significance to the nation (DoEE, 2017</w:t>
      </w:r>
      <w:r w:rsidR="00E670EA">
        <w:rPr>
          <w:rFonts w:ascii="Arial" w:hAnsi="Arial"/>
          <w:sz w:val="22"/>
          <w:szCs w:val="22"/>
        </w:rPr>
        <w:t>c</w:t>
      </w:r>
      <w:r w:rsidRPr="00435ED5">
        <w:rPr>
          <w:rFonts w:ascii="Arial" w:hAnsi="Arial"/>
          <w:sz w:val="22"/>
          <w:szCs w:val="22"/>
        </w:rPr>
        <w:t>). These places are protected under Chapter 5, Part 15 of the EPBC Act.</w:t>
      </w:r>
    </w:p>
    <w:p w14:paraId="67B825F6" w14:textId="77777777" w:rsidR="00B3465C" w:rsidRPr="00435ED5" w:rsidRDefault="00B3465C" w:rsidP="00B3465C">
      <w:pPr>
        <w:pStyle w:val="bodycopy"/>
        <w:rPr>
          <w:rFonts w:ascii="Arial" w:hAnsi="Arial"/>
          <w:sz w:val="22"/>
          <w:szCs w:val="22"/>
        </w:rPr>
      </w:pPr>
      <w:r w:rsidRPr="00435ED5">
        <w:rPr>
          <w:rFonts w:ascii="Arial" w:hAnsi="Arial"/>
          <w:sz w:val="22"/>
          <w:szCs w:val="22"/>
        </w:rPr>
        <w:t xml:space="preserve">There are no National Heritage-listed places in Bass Strait, with the nearest places all located onshore (Australian Alps National Parks and Reserves and the Point Nepean Defence Sites and Quarantine Station Area). </w:t>
      </w:r>
    </w:p>
    <w:p w14:paraId="1E953DDD" w14:textId="77777777" w:rsidR="00F92BED" w:rsidRPr="00F71A07" w:rsidRDefault="00F92BED" w:rsidP="00F92BED">
      <w:pPr>
        <w:pStyle w:val="Heading3"/>
      </w:pPr>
      <w:bookmarkStart w:id="178" w:name="_Toc474221994"/>
      <w:bookmarkStart w:id="179" w:name="_Ref475092480"/>
      <w:bookmarkStart w:id="180" w:name="_Ref349218353"/>
      <w:bookmarkStart w:id="181" w:name="_Toc375214544"/>
      <w:r w:rsidRPr="00F71A07">
        <w:t>Wetlands of International Importance</w:t>
      </w:r>
      <w:bookmarkEnd w:id="178"/>
      <w:bookmarkEnd w:id="179"/>
      <w:bookmarkEnd w:id="180"/>
      <w:bookmarkEnd w:id="181"/>
    </w:p>
    <w:p w14:paraId="5E73058D" w14:textId="77777777" w:rsidR="00002D5B" w:rsidRPr="00435ED5" w:rsidRDefault="00002D5B" w:rsidP="00002D5B">
      <w:pPr>
        <w:pStyle w:val="bodycopy"/>
        <w:rPr>
          <w:rFonts w:ascii="Arial" w:hAnsi="Arial"/>
          <w:sz w:val="22"/>
          <w:szCs w:val="22"/>
        </w:rPr>
      </w:pPr>
      <w:r w:rsidRPr="00435ED5">
        <w:rPr>
          <w:rFonts w:ascii="Arial" w:hAnsi="Arial"/>
          <w:sz w:val="22"/>
          <w:szCs w:val="22"/>
          <w:lang w:val="en"/>
        </w:rPr>
        <w:t xml:space="preserve">Australia has 65 Ramsar wetlands (as of January 2017) that cover more than 8.3 million hectares. Ramsar wetlands are those that are representative, rare or unique wetlands, or are important for conserving biological diversity, and are included on the List of Wetlands of International Importance developed under the Ramsar </w:t>
      </w:r>
      <w:r w:rsidRPr="00435ED5">
        <w:rPr>
          <w:rFonts w:ascii="Arial" w:hAnsi="Arial"/>
          <w:sz w:val="22"/>
          <w:szCs w:val="22"/>
          <w:lang w:val="en"/>
        </w:rPr>
        <w:lastRenderedPageBreak/>
        <w:t xml:space="preserve">Convention. </w:t>
      </w:r>
      <w:r w:rsidRPr="00435ED5">
        <w:rPr>
          <w:rFonts w:ascii="Arial" w:hAnsi="Arial"/>
          <w:sz w:val="22"/>
          <w:szCs w:val="22"/>
        </w:rPr>
        <w:t>These wetlands are protected under Chapter 5, Part 15 of the EPBC Act.</w:t>
      </w:r>
    </w:p>
    <w:p w14:paraId="7DA8C9E3" w14:textId="36D00076" w:rsidR="00002D5B" w:rsidRPr="00435ED5" w:rsidRDefault="00002D5B" w:rsidP="00002D5B">
      <w:pPr>
        <w:pStyle w:val="bodycopy"/>
        <w:rPr>
          <w:rFonts w:ascii="Arial" w:hAnsi="Arial"/>
          <w:sz w:val="22"/>
          <w:szCs w:val="22"/>
        </w:rPr>
      </w:pPr>
      <w:r w:rsidRPr="00435ED5">
        <w:rPr>
          <w:rFonts w:ascii="Arial" w:hAnsi="Arial"/>
          <w:sz w:val="22"/>
          <w:szCs w:val="22"/>
        </w:rPr>
        <w:t xml:space="preserve">Within the EMBA are two wetlands of international importance, these being the ‘Gippsland Lakes’ and ‘Corner </w:t>
      </w:r>
      <w:r w:rsidRPr="003A23B8">
        <w:rPr>
          <w:rFonts w:ascii="Arial" w:hAnsi="Arial"/>
          <w:sz w:val="22"/>
          <w:szCs w:val="22"/>
        </w:rPr>
        <w:t>Inlet’</w:t>
      </w:r>
      <w:r w:rsidR="00211265" w:rsidRPr="003A23B8">
        <w:rPr>
          <w:rFonts w:ascii="Arial" w:hAnsi="Arial"/>
          <w:sz w:val="22"/>
          <w:szCs w:val="22"/>
        </w:rPr>
        <w:t xml:space="preserve"> (</w:t>
      </w:r>
      <w:r w:rsidR="00211265" w:rsidRPr="003E7F11">
        <w:rPr>
          <w:rFonts w:ascii="Arial" w:hAnsi="Arial"/>
          <w:sz w:val="22"/>
          <w:szCs w:val="22"/>
        </w:rPr>
        <w:t>Figure 5.</w:t>
      </w:r>
      <w:r w:rsidR="00773B60" w:rsidRPr="003E7F11">
        <w:rPr>
          <w:rFonts w:ascii="Arial" w:hAnsi="Arial"/>
          <w:sz w:val="22"/>
          <w:szCs w:val="22"/>
        </w:rPr>
        <w:t>7</w:t>
      </w:r>
      <w:r w:rsidR="00211265" w:rsidRPr="003E7F11">
        <w:rPr>
          <w:rFonts w:ascii="Arial" w:hAnsi="Arial"/>
          <w:sz w:val="22"/>
          <w:szCs w:val="22"/>
        </w:rPr>
        <w:t>)</w:t>
      </w:r>
      <w:r w:rsidRPr="003E7F11">
        <w:rPr>
          <w:rFonts w:ascii="Arial" w:hAnsi="Arial"/>
          <w:sz w:val="22"/>
          <w:szCs w:val="22"/>
        </w:rPr>
        <w:t>,</w:t>
      </w:r>
      <w:r w:rsidRPr="00435ED5">
        <w:rPr>
          <w:rFonts w:ascii="Arial" w:hAnsi="Arial"/>
          <w:sz w:val="22"/>
          <w:szCs w:val="22"/>
        </w:rPr>
        <w:t xml:space="preserve"> described below.</w:t>
      </w:r>
    </w:p>
    <w:p w14:paraId="4F55F73C" w14:textId="77777777" w:rsidR="00002D5B" w:rsidRPr="00435ED5" w:rsidRDefault="00002D5B" w:rsidP="00002D5B">
      <w:pPr>
        <w:pStyle w:val="bodycopy"/>
        <w:rPr>
          <w:rFonts w:ascii="Arial" w:hAnsi="Arial"/>
          <w:b/>
          <w:sz w:val="22"/>
          <w:szCs w:val="22"/>
        </w:rPr>
      </w:pPr>
      <w:r w:rsidRPr="00435ED5">
        <w:rPr>
          <w:rFonts w:ascii="Arial" w:hAnsi="Arial"/>
          <w:b/>
          <w:sz w:val="22"/>
          <w:szCs w:val="22"/>
        </w:rPr>
        <w:t>Gippsland Lakes</w:t>
      </w:r>
    </w:p>
    <w:p w14:paraId="2FFA96AF" w14:textId="357A7725" w:rsidR="00002D5B" w:rsidRPr="00435ED5" w:rsidRDefault="00002D5B" w:rsidP="00002D5B">
      <w:pPr>
        <w:pStyle w:val="bodycopy"/>
        <w:rPr>
          <w:rFonts w:ascii="Arial" w:hAnsi="Arial"/>
          <w:sz w:val="22"/>
          <w:szCs w:val="22"/>
        </w:rPr>
      </w:pPr>
      <w:r w:rsidRPr="00435ED5">
        <w:rPr>
          <w:rFonts w:ascii="Arial" w:hAnsi="Arial"/>
          <w:sz w:val="22"/>
          <w:szCs w:val="22"/>
        </w:rPr>
        <w:t>The Gippsland Lakes Ramsar site is a system of lakes and swamps extending eastward from Sale to Lake Tyers, in some areas extending to the high</w:t>
      </w:r>
      <w:r w:rsidR="006C4257" w:rsidRPr="00435ED5">
        <w:rPr>
          <w:rFonts w:ascii="Arial" w:hAnsi="Arial"/>
          <w:sz w:val="22"/>
          <w:szCs w:val="22"/>
        </w:rPr>
        <w:t>-</w:t>
      </w:r>
      <w:r w:rsidRPr="00435ED5">
        <w:rPr>
          <w:rFonts w:ascii="Arial" w:hAnsi="Arial"/>
          <w:sz w:val="22"/>
          <w:szCs w:val="22"/>
        </w:rPr>
        <w:t xml:space="preserve">water mark of the ocean and cover </w:t>
      </w:r>
      <w:r w:rsidR="00CA6960" w:rsidRPr="00435ED5">
        <w:rPr>
          <w:rFonts w:ascii="Arial" w:hAnsi="Arial"/>
          <w:sz w:val="22"/>
          <w:szCs w:val="22"/>
        </w:rPr>
        <w:t xml:space="preserve">58,824 </w:t>
      </w:r>
      <w:r w:rsidR="00340C92" w:rsidRPr="00435ED5">
        <w:rPr>
          <w:rFonts w:ascii="Arial" w:hAnsi="Arial"/>
          <w:sz w:val="22"/>
          <w:szCs w:val="22"/>
        </w:rPr>
        <w:t xml:space="preserve">ha </w:t>
      </w:r>
      <w:r w:rsidRPr="00435ED5">
        <w:rPr>
          <w:rFonts w:ascii="Arial" w:hAnsi="Arial"/>
          <w:sz w:val="22"/>
          <w:szCs w:val="22"/>
        </w:rPr>
        <w:t>(</w:t>
      </w:r>
      <w:r w:rsidR="00CA6960" w:rsidRPr="00435ED5">
        <w:rPr>
          <w:rFonts w:ascii="Arial" w:hAnsi="Arial"/>
          <w:sz w:val="22"/>
          <w:szCs w:val="22"/>
        </w:rPr>
        <w:t>ParksVic, 2003</w:t>
      </w:r>
      <w:r w:rsidRPr="00435ED5">
        <w:rPr>
          <w:rFonts w:ascii="Arial" w:hAnsi="Arial"/>
          <w:sz w:val="22"/>
          <w:szCs w:val="22"/>
        </w:rPr>
        <w:t xml:space="preserve">). The site </w:t>
      </w:r>
      <w:r w:rsidR="006A31B4" w:rsidRPr="00435ED5">
        <w:rPr>
          <w:rFonts w:ascii="Arial" w:hAnsi="Arial"/>
          <w:sz w:val="22"/>
          <w:szCs w:val="22"/>
        </w:rPr>
        <w:t xml:space="preserve">is about 70 km long and 10 km wide (at its widest point) and </w:t>
      </w:r>
      <w:r w:rsidRPr="00435ED5">
        <w:rPr>
          <w:rFonts w:ascii="Arial" w:hAnsi="Arial"/>
          <w:sz w:val="22"/>
          <w:szCs w:val="22"/>
        </w:rPr>
        <w:t>was designated in 1982.</w:t>
      </w:r>
      <w:r w:rsidR="00441FE3" w:rsidRPr="00435ED5">
        <w:rPr>
          <w:rFonts w:ascii="Arial" w:hAnsi="Arial"/>
          <w:sz w:val="22"/>
          <w:szCs w:val="22"/>
        </w:rPr>
        <w:t xml:space="preserve"> At its nearest point, the Gippsland Lakes Ramsar site is located </w:t>
      </w:r>
      <w:r w:rsidR="00C469FC" w:rsidRPr="00435ED5">
        <w:rPr>
          <w:rFonts w:ascii="Arial" w:hAnsi="Arial"/>
          <w:sz w:val="22"/>
          <w:szCs w:val="22"/>
        </w:rPr>
        <w:t>2.75</w:t>
      </w:r>
      <w:r w:rsidR="00441FE3" w:rsidRPr="00435ED5">
        <w:rPr>
          <w:rFonts w:ascii="Arial" w:hAnsi="Arial"/>
          <w:sz w:val="22"/>
          <w:szCs w:val="22"/>
        </w:rPr>
        <w:t xml:space="preserve"> km north of the proposed survey acquisition area. </w:t>
      </w:r>
    </w:p>
    <w:p w14:paraId="63153572" w14:textId="1F0464F2" w:rsidR="00A7042A" w:rsidRPr="00435ED5" w:rsidRDefault="00A7042A" w:rsidP="00A7042A">
      <w:pPr>
        <w:pStyle w:val="bodycopy"/>
        <w:rPr>
          <w:rFonts w:ascii="Arial" w:hAnsi="Arial"/>
          <w:sz w:val="22"/>
          <w:szCs w:val="22"/>
          <w:lang w:val="en"/>
        </w:rPr>
      </w:pPr>
      <w:r w:rsidRPr="00435ED5">
        <w:rPr>
          <w:rFonts w:ascii="Arial" w:hAnsi="Arial"/>
          <w:sz w:val="22"/>
          <w:szCs w:val="22"/>
          <w:lang w:val="en"/>
        </w:rPr>
        <w:t xml:space="preserve">Approximately one-third of the Gippsland Lakes Ramsar site is located within the Lakes National Park (2,390 ha) and Gippsland Lakes Coastal Park (17,584 ha), which are proclaimed under the </w:t>
      </w:r>
      <w:r w:rsidRPr="00435ED5">
        <w:rPr>
          <w:rFonts w:ascii="Arial" w:hAnsi="Arial"/>
          <w:i/>
          <w:sz w:val="22"/>
          <w:szCs w:val="22"/>
          <w:lang w:val="en"/>
        </w:rPr>
        <w:t>National Parks Act 1975</w:t>
      </w:r>
      <w:r w:rsidRPr="00435ED5">
        <w:rPr>
          <w:rFonts w:ascii="Arial" w:hAnsi="Arial"/>
          <w:sz w:val="22"/>
          <w:szCs w:val="22"/>
          <w:lang w:val="en"/>
        </w:rPr>
        <w:t xml:space="preserve"> (Vic).</w:t>
      </w:r>
    </w:p>
    <w:p w14:paraId="6D874F06" w14:textId="7C89303F" w:rsidR="00211265" w:rsidRDefault="00002D5B" w:rsidP="00002D5B">
      <w:pPr>
        <w:pStyle w:val="bodycopy"/>
        <w:rPr>
          <w:rFonts w:ascii="Arial" w:hAnsi="Arial"/>
          <w:sz w:val="22"/>
          <w:szCs w:val="22"/>
          <w:lang w:val="en"/>
        </w:rPr>
      </w:pPr>
      <w:r w:rsidRPr="00435ED5">
        <w:rPr>
          <w:rFonts w:ascii="Arial" w:hAnsi="Arial"/>
          <w:sz w:val="22"/>
          <w:szCs w:val="22"/>
          <w:lang w:val="en"/>
        </w:rPr>
        <w:t>The Gippsland Lakes are separated from the sea by sand dunes and fringed on the seaward side by the Ninety Mile Beach. The Gippsland Lakes form the largest navigable inland waterway in Australia. These features create a distinctive regional landscape of wetlands and flat coastal plains that is of considerable environmental significance in terms of its landforms, vegetation and fauna (DoEE, 2017</w:t>
      </w:r>
      <w:r w:rsidR="00E670EA">
        <w:rPr>
          <w:rFonts w:ascii="Arial" w:hAnsi="Arial"/>
          <w:sz w:val="22"/>
          <w:szCs w:val="22"/>
          <w:lang w:val="en"/>
        </w:rPr>
        <w:t>d</w:t>
      </w:r>
      <w:r w:rsidRPr="00435ED5">
        <w:rPr>
          <w:rFonts w:ascii="Arial" w:hAnsi="Arial"/>
          <w:sz w:val="22"/>
          <w:szCs w:val="22"/>
          <w:lang w:val="en"/>
        </w:rPr>
        <w:t xml:space="preserve">). The lakes are linked to the sea by an artificial entrance at its eastern end, being Lakes Entrance. </w:t>
      </w:r>
    </w:p>
    <w:p w14:paraId="6601940A" w14:textId="77777777" w:rsidR="00290AA9" w:rsidRPr="00435ED5" w:rsidRDefault="00290AA9" w:rsidP="00290AA9">
      <w:pPr>
        <w:pStyle w:val="bodycopy"/>
        <w:rPr>
          <w:rFonts w:ascii="Arial" w:hAnsi="Arial"/>
          <w:sz w:val="22"/>
          <w:szCs w:val="22"/>
        </w:rPr>
      </w:pPr>
      <w:r w:rsidRPr="00435ED5">
        <w:rPr>
          <w:rFonts w:ascii="Arial" w:hAnsi="Arial"/>
          <w:sz w:val="22"/>
          <w:szCs w:val="22"/>
        </w:rPr>
        <w:t xml:space="preserve">The Gippsland Lakes Ramsar site contains three main habitat types; </w:t>
      </w:r>
      <w:r>
        <w:rPr>
          <w:rFonts w:ascii="Arial" w:hAnsi="Arial"/>
          <w:sz w:val="22"/>
          <w:szCs w:val="22"/>
        </w:rPr>
        <w:t>permanent saline/brackish po</w:t>
      </w:r>
      <w:r w:rsidRPr="00435ED5">
        <w:rPr>
          <w:rFonts w:ascii="Arial" w:hAnsi="Arial"/>
          <w:sz w:val="22"/>
          <w:szCs w:val="22"/>
        </w:rPr>
        <w:t xml:space="preserve">ols, coastal brackish/saline lagoons and permanent freshwater marshes (ParksVic, 2003). A significant quantity of threatened, endangered, vulnerable or rare native fish communities, mammal, amphibian, and plant species exist within these habitats. </w:t>
      </w:r>
    </w:p>
    <w:p w14:paraId="65993047" w14:textId="77777777" w:rsidR="00290AA9" w:rsidRPr="00435ED5" w:rsidRDefault="00290AA9" w:rsidP="00290AA9">
      <w:pPr>
        <w:pStyle w:val="bodycopy"/>
        <w:rPr>
          <w:rFonts w:ascii="Arial" w:hAnsi="Arial"/>
          <w:sz w:val="22"/>
          <w:szCs w:val="22"/>
        </w:rPr>
      </w:pPr>
      <w:r w:rsidRPr="00435ED5">
        <w:rPr>
          <w:rFonts w:ascii="Arial" w:hAnsi="Arial"/>
          <w:sz w:val="22"/>
          <w:szCs w:val="22"/>
        </w:rPr>
        <w:t xml:space="preserve">The permanence of the main lakes and the relatively regular flooding of the adjacent wetlands mean that this wetland system is an important drought refuge for many waterfowl. The lakes and their associated swamps and morasses regularly support an estimated 40,000 to 50,000 ducks, swans, coots and other waterfowl. </w:t>
      </w:r>
    </w:p>
    <w:p w14:paraId="40DDFC2B" w14:textId="77777777" w:rsidR="00290AA9" w:rsidRPr="00435ED5" w:rsidRDefault="00290AA9" w:rsidP="00290AA9">
      <w:pPr>
        <w:pStyle w:val="bodycopy"/>
        <w:rPr>
          <w:rFonts w:ascii="Arial" w:hAnsi="Arial"/>
          <w:sz w:val="22"/>
          <w:szCs w:val="22"/>
        </w:rPr>
      </w:pPr>
      <w:r w:rsidRPr="00435ED5">
        <w:rPr>
          <w:rFonts w:ascii="Arial" w:hAnsi="Arial"/>
          <w:sz w:val="22"/>
          <w:szCs w:val="22"/>
        </w:rPr>
        <w:t>Most of the wetlands of the Gippsland Lakes are bordered by emergent reed beds dominated by common reed (</w:t>
      </w:r>
      <w:r w:rsidRPr="00435ED5">
        <w:rPr>
          <w:rFonts w:ascii="Arial" w:hAnsi="Arial"/>
          <w:i/>
          <w:sz w:val="22"/>
          <w:szCs w:val="22"/>
        </w:rPr>
        <w:t>Phragmites australis</w:t>
      </w:r>
      <w:r w:rsidRPr="00435ED5">
        <w:rPr>
          <w:rFonts w:ascii="Arial" w:hAnsi="Arial"/>
          <w:sz w:val="22"/>
          <w:szCs w:val="22"/>
        </w:rPr>
        <w:t>) or saltmarsh communities, with characteristic saltmarsh species including beaded glasswort (</w:t>
      </w:r>
      <w:r w:rsidRPr="00435ED5">
        <w:rPr>
          <w:rFonts w:ascii="Arial" w:hAnsi="Arial"/>
          <w:i/>
          <w:sz w:val="22"/>
          <w:szCs w:val="22"/>
        </w:rPr>
        <w:t>Sarcocornia quinqueflora</w:t>
      </w:r>
      <w:r w:rsidRPr="00435ED5">
        <w:rPr>
          <w:rFonts w:ascii="Arial" w:hAnsi="Arial"/>
          <w:sz w:val="22"/>
          <w:szCs w:val="22"/>
        </w:rPr>
        <w:t>) and sea rush (</w:t>
      </w:r>
      <w:r w:rsidRPr="00435ED5">
        <w:rPr>
          <w:rFonts w:ascii="Arial" w:hAnsi="Arial"/>
          <w:i/>
          <w:sz w:val="22"/>
          <w:szCs w:val="22"/>
        </w:rPr>
        <w:t>Juncus kraussii</w:t>
      </w:r>
      <w:r w:rsidRPr="00435ED5">
        <w:rPr>
          <w:rFonts w:ascii="Arial" w:hAnsi="Arial"/>
          <w:sz w:val="22"/>
          <w:szCs w:val="22"/>
        </w:rPr>
        <w:t>) (ParksVic, 2003).</w:t>
      </w:r>
    </w:p>
    <w:p w14:paraId="1F1FD870" w14:textId="77777777" w:rsidR="00290AA9" w:rsidRPr="00435ED5" w:rsidRDefault="00290AA9" w:rsidP="00290AA9">
      <w:pPr>
        <w:pStyle w:val="bodycopy"/>
        <w:rPr>
          <w:rFonts w:ascii="Arial" w:hAnsi="Arial"/>
          <w:sz w:val="22"/>
          <w:szCs w:val="22"/>
        </w:rPr>
      </w:pPr>
      <w:r w:rsidRPr="00435ED5">
        <w:rPr>
          <w:rFonts w:ascii="Arial" w:hAnsi="Arial"/>
          <w:sz w:val="22"/>
          <w:szCs w:val="22"/>
        </w:rPr>
        <w:t>There is a high concentration of archaeological sites in the Gippsland Lakes area including artefact scatters, shell middens, scarred trees, occupation sites, burials and axe-grinding grooves (ParksVic, 2003).</w:t>
      </w:r>
    </w:p>
    <w:p w14:paraId="23BEF9DC" w14:textId="77777777" w:rsidR="00290AA9" w:rsidRPr="00435ED5" w:rsidRDefault="00290AA9" w:rsidP="00290AA9">
      <w:pPr>
        <w:pStyle w:val="bodycopy"/>
        <w:rPr>
          <w:rFonts w:ascii="Arial" w:hAnsi="Arial"/>
          <w:sz w:val="22"/>
          <w:szCs w:val="22"/>
        </w:rPr>
      </w:pPr>
      <w:r w:rsidRPr="00435ED5">
        <w:rPr>
          <w:rFonts w:ascii="Arial" w:hAnsi="Arial"/>
          <w:sz w:val="22"/>
          <w:szCs w:val="22"/>
        </w:rPr>
        <w:t>Parts of the Lakes system are heavily used for commercial and recreational fisheries and for other water-based recreation, while the immediate hinterland has been developed for agricultural uses and limited residential and tourism purposes (ParksVic, 2003).</w:t>
      </w:r>
    </w:p>
    <w:p w14:paraId="23C209E0" w14:textId="77777777" w:rsidR="00290AA9" w:rsidRDefault="00290AA9" w:rsidP="00002D5B">
      <w:pPr>
        <w:pStyle w:val="bodycopy"/>
        <w:rPr>
          <w:rFonts w:ascii="Arial" w:hAnsi="Arial"/>
          <w:sz w:val="22"/>
          <w:szCs w:val="22"/>
          <w:lang w:val="en"/>
        </w:rPr>
        <w:sectPr w:rsidR="00290AA9" w:rsidSect="00B4362B">
          <w:headerReference w:type="even" r:id="rId62"/>
          <w:headerReference w:type="default" r:id="rId63"/>
          <w:footerReference w:type="default" r:id="rId64"/>
          <w:headerReference w:type="first" r:id="rId65"/>
          <w:pgSz w:w="11906" w:h="16838" w:code="9"/>
          <w:pgMar w:top="1276" w:right="1800" w:bottom="1440" w:left="1800" w:header="994" w:footer="706" w:gutter="0"/>
          <w:cols w:space="708"/>
          <w:docGrid w:linePitch="360"/>
        </w:sectPr>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2015"/>
      </w:tblGrid>
      <w:tr w:rsidR="00211265" w14:paraId="0934CEA0" w14:textId="77777777" w:rsidTr="005127F3">
        <w:trPr>
          <w:jc w:val="center"/>
        </w:trPr>
        <w:tc>
          <w:tcPr>
            <w:tcW w:w="12015" w:type="dxa"/>
            <w:shd w:val="clear" w:color="auto" w:fill="auto"/>
          </w:tcPr>
          <w:p w14:paraId="555717B1" w14:textId="019CA0A1" w:rsidR="00211265" w:rsidRPr="00514376" w:rsidRDefault="00AD1C4D" w:rsidP="005127F3">
            <w:pPr>
              <w:pStyle w:val="bodycopy"/>
              <w:spacing w:after="0"/>
              <w:rPr>
                <w:lang w:val="en"/>
              </w:rPr>
            </w:pPr>
            <w:r>
              <w:rPr>
                <w:lang w:val="en"/>
              </w:rPr>
              <w:lastRenderedPageBreak/>
              <w:pict w14:anchorId="4F87334C">
                <v:shape id="_x0000_i1026" type="#_x0000_t75" style="width:585.35pt;height:405.5pt">
                  <v:imagedata r:id="rId66" o:title="29_EP_Ramsar_Areas - East Gippsland" croptop="1611f"/>
                </v:shape>
              </w:pict>
            </w:r>
          </w:p>
        </w:tc>
      </w:tr>
    </w:tbl>
    <w:p w14:paraId="51C49BB6" w14:textId="24E5CD5E" w:rsidR="00211265" w:rsidRPr="00435ED5" w:rsidRDefault="00211265" w:rsidP="005127F3">
      <w:pPr>
        <w:pStyle w:val="bodycopy"/>
        <w:spacing w:before="120" w:after="0"/>
        <w:jc w:val="center"/>
        <w:rPr>
          <w:rFonts w:ascii="Arial" w:hAnsi="Arial"/>
          <w:b/>
          <w:sz w:val="20"/>
        </w:rPr>
      </w:pPr>
      <w:r w:rsidRPr="00435ED5">
        <w:rPr>
          <w:rFonts w:ascii="Arial" w:hAnsi="Arial"/>
          <w:b/>
          <w:sz w:val="20"/>
        </w:rPr>
        <w:t>Figure 5.</w:t>
      </w:r>
      <w:r w:rsidR="00773B60">
        <w:rPr>
          <w:rFonts w:ascii="Arial" w:hAnsi="Arial"/>
          <w:b/>
          <w:sz w:val="20"/>
        </w:rPr>
        <w:t>7</w:t>
      </w:r>
      <w:r w:rsidRPr="00435ED5">
        <w:rPr>
          <w:rFonts w:ascii="Arial" w:hAnsi="Arial"/>
          <w:b/>
          <w:sz w:val="20"/>
        </w:rPr>
        <w:t>.</w:t>
      </w:r>
      <w:r w:rsidRPr="00435ED5">
        <w:rPr>
          <w:rFonts w:ascii="Arial" w:hAnsi="Arial"/>
          <w:b/>
          <w:sz w:val="20"/>
        </w:rPr>
        <w:tab/>
        <w:t xml:space="preserve">The Gippsland Lakes </w:t>
      </w:r>
      <w:r>
        <w:rPr>
          <w:rFonts w:ascii="Arial" w:hAnsi="Arial"/>
          <w:b/>
          <w:sz w:val="20"/>
        </w:rPr>
        <w:t xml:space="preserve">and Corner Inlet </w:t>
      </w:r>
      <w:r w:rsidRPr="00435ED5">
        <w:rPr>
          <w:rFonts w:ascii="Arial" w:hAnsi="Arial"/>
          <w:b/>
          <w:sz w:val="20"/>
        </w:rPr>
        <w:t xml:space="preserve">Ramsar </w:t>
      </w:r>
      <w:r>
        <w:rPr>
          <w:rFonts w:ascii="Arial" w:hAnsi="Arial"/>
          <w:b/>
          <w:sz w:val="20"/>
        </w:rPr>
        <w:t>s</w:t>
      </w:r>
      <w:r w:rsidRPr="00435ED5">
        <w:rPr>
          <w:rFonts w:ascii="Arial" w:hAnsi="Arial"/>
          <w:b/>
          <w:sz w:val="20"/>
        </w:rPr>
        <w:t>ite</w:t>
      </w:r>
      <w:r>
        <w:rPr>
          <w:rFonts w:ascii="Arial" w:hAnsi="Arial"/>
          <w:b/>
          <w:sz w:val="20"/>
        </w:rPr>
        <w:t>s</w:t>
      </w:r>
    </w:p>
    <w:p w14:paraId="54D096DD" w14:textId="77777777" w:rsidR="00211265" w:rsidRDefault="00211265" w:rsidP="00002D5B">
      <w:pPr>
        <w:pStyle w:val="bodycopy"/>
        <w:rPr>
          <w:rFonts w:ascii="Arial" w:hAnsi="Arial"/>
          <w:sz w:val="22"/>
          <w:szCs w:val="22"/>
        </w:rPr>
        <w:sectPr w:rsidR="00211265" w:rsidSect="005127F3">
          <w:headerReference w:type="even" r:id="rId67"/>
          <w:headerReference w:type="default" r:id="rId68"/>
          <w:footerReference w:type="default" r:id="rId69"/>
          <w:headerReference w:type="first" r:id="rId70"/>
          <w:pgSz w:w="16838" w:h="11906" w:orient="landscape" w:code="9"/>
          <w:pgMar w:top="1409" w:right="1276" w:bottom="1800" w:left="1440" w:header="994" w:footer="706" w:gutter="0"/>
          <w:cols w:space="708"/>
          <w:docGrid w:linePitch="360"/>
        </w:sectPr>
      </w:pPr>
    </w:p>
    <w:p w14:paraId="6A14B6E6" w14:textId="77777777" w:rsidR="00002D5B" w:rsidRPr="00435ED5" w:rsidRDefault="00002D5B" w:rsidP="00002D5B">
      <w:pPr>
        <w:pStyle w:val="bodycopy"/>
        <w:rPr>
          <w:rFonts w:ascii="Arial" w:hAnsi="Arial"/>
          <w:b/>
          <w:sz w:val="22"/>
          <w:szCs w:val="22"/>
        </w:rPr>
      </w:pPr>
      <w:r w:rsidRPr="00435ED5">
        <w:rPr>
          <w:rFonts w:ascii="Arial" w:hAnsi="Arial"/>
          <w:b/>
          <w:sz w:val="22"/>
          <w:szCs w:val="22"/>
        </w:rPr>
        <w:lastRenderedPageBreak/>
        <w:t xml:space="preserve">Corner Inlet </w:t>
      </w:r>
    </w:p>
    <w:p w14:paraId="37B9917D" w14:textId="24F49606" w:rsidR="00C01C49" w:rsidRPr="00435ED5" w:rsidRDefault="00441FE3" w:rsidP="00441FE3">
      <w:pPr>
        <w:pStyle w:val="bodycopy"/>
        <w:rPr>
          <w:rFonts w:ascii="Arial" w:hAnsi="Arial"/>
          <w:sz w:val="22"/>
          <w:szCs w:val="22"/>
        </w:rPr>
      </w:pPr>
      <w:r w:rsidRPr="00435ED5">
        <w:rPr>
          <w:rFonts w:ascii="Arial" w:hAnsi="Arial"/>
          <w:sz w:val="22"/>
          <w:szCs w:val="22"/>
        </w:rPr>
        <w:t xml:space="preserve">The Corner Inlet Ramsar site </w:t>
      </w:r>
      <w:r w:rsidR="0005595F" w:rsidRPr="00435ED5">
        <w:rPr>
          <w:rFonts w:ascii="Arial" w:hAnsi="Arial"/>
          <w:sz w:val="22"/>
          <w:szCs w:val="22"/>
        </w:rPr>
        <w:t>includes a chain of barrier islands, multiple beach ridges, lagoons and swamps, tidal creeks, tidal deltas and tidal washovers (DoEE, 2017</w:t>
      </w:r>
      <w:r w:rsidR="00E670EA">
        <w:rPr>
          <w:rFonts w:ascii="Arial" w:hAnsi="Arial"/>
          <w:sz w:val="22"/>
          <w:szCs w:val="22"/>
        </w:rPr>
        <w:t>d</w:t>
      </w:r>
      <w:r w:rsidR="0005595F" w:rsidRPr="00435ED5">
        <w:rPr>
          <w:rFonts w:ascii="Arial" w:hAnsi="Arial"/>
          <w:sz w:val="22"/>
          <w:szCs w:val="22"/>
        </w:rPr>
        <w:t xml:space="preserve">) on the west Gippsland coast, </w:t>
      </w:r>
      <w:r w:rsidR="006C7D3A" w:rsidRPr="00435ED5">
        <w:rPr>
          <w:rFonts w:ascii="Arial" w:hAnsi="Arial"/>
          <w:sz w:val="22"/>
          <w:szCs w:val="22"/>
        </w:rPr>
        <w:t>47</w:t>
      </w:r>
      <w:r w:rsidR="0005595F" w:rsidRPr="00435ED5">
        <w:rPr>
          <w:rFonts w:ascii="Arial" w:hAnsi="Arial"/>
          <w:sz w:val="22"/>
          <w:szCs w:val="22"/>
        </w:rPr>
        <w:t xml:space="preserve"> km </w:t>
      </w:r>
      <w:r w:rsidR="006C7D3A" w:rsidRPr="00435ED5">
        <w:rPr>
          <w:rFonts w:ascii="Arial" w:hAnsi="Arial"/>
          <w:sz w:val="22"/>
          <w:szCs w:val="22"/>
        </w:rPr>
        <w:t>south</w:t>
      </w:r>
      <w:r w:rsidR="0005595F" w:rsidRPr="00435ED5">
        <w:rPr>
          <w:rFonts w:ascii="Arial" w:hAnsi="Arial"/>
          <w:sz w:val="22"/>
          <w:szCs w:val="22"/>
        </w:rPr>
        <w:t>west of the proposed acquisition area</w:t>
      </w:r>
      <w:r w:rsidR="00C01C49" w:rsidRPr="00435ED5">
        <w:rPr>
          <w:rFonts w:ascii="Arial" w:hAnsi="Arial"/>
          <w:sz w:val="22"/>
          <w:szCs w:val="22"/>
        </w:rPr>
        <w:t xml:space="preserve"> (</w:t>
      </w:r>
      <w:r w:rsidR="00211265" w:rsidRPr="003A23B8">
        <w:rPr>
          <w:rFonts w:ascii="Arial" w:hAnsi="Arial"/>
          <w:sz w:val="22"/>
          <w:szCs w:val="22"/>
        </w:rPr>
        <w:t xml:space="preserve">see </w:t>
      </w:r>
      <w:r w:rsidR="00C01C49" w:rsidRPr="00290AA9">
        <w:rPr>
          <w:rFonts w:ascii="Arial" w:hAnsi="Arial"/>
          <w:sz w:val="22"/>
          <w:szCs w:val="22"/>
        </w:rPr>
        <w:t>Figure 5.</w:t>
      </w:r>
      <w:r w:rsidR="00773B60" w:rsidRPr="00290AA9">
        <w:rPr>
          <w:rFonts w:ascii="Arial" w:hAnsi="Arial"/>
          <w:sz w:val="22"/>
          <w:szCs w:val="22"/>
        </w:rPr>
        <w:t>7</w:t>
      </w:r>
      <w:r w:rsidR="00C01C49" w:rsidRPr="003A23B8">
        <w:rPr>
          <w:rFonts w:ascii="Arial" w:hAnsi="Arial"/>
          <w:sz w:val="22"/>
          <w:szCs w:val="22"/>
        </w:rPr>
        <w:t>)</w:t>
      </w:r>
      <w:r w:rsidR="0005595F" w:rsidRPr="003A23B8">
        <w:rPr>
          <w:rFonts w:ascii="Arial" w:hAnsi="Arial"/>
          <w:sz w:val="22"/>
          <w:szCs w:val="22"/>
        </w:rPr>
        <w:t>.</w:t>
      </w:r>
      <w:r w:rsidR="00340C92" w:rsidRPr="00435ED5">
        <w:rPr>
          <w:rFonts w:ascii="Arial" w:hAnsi="Arial"/>
          <w:sz w:val="22"/>
          <w:szCs w:val="22"/>
        </w:rPr>
        <w:t xml:space="preserve"> The site was declared in 1982 and covers 67,192 ha. It represents the southern-most marine embayment and tidal mudflat system on mainland Australia (ParksVic, 2002). </w:t>
      </w:r>
    </w:p>
    <w:p w14:paraId="41B16DDD" w14:textId="6A7B40A1" w:rsidR="00790B98" w:rsidRPr="00435ED5" w:rsidRDefault="00790B98" w:rsidP="00790B98">
      <w:pPr>
        <w:pStyle w:val="bodycopy"/>
        <w:rPr>
          <w:rFonts w:ascii="Arial" w:hAnsi="Arial"/>
          <w:sz w:val="22"/>
          <w:szCs w:val="22"/>
        </w:rPr>
      </w:pPr>
      <w:r w:rsidRPr="00435ED5">
        <w:rPr>
          <w:rFonts w:ascii="Arial" w:hAnsi="Arial"/>
          <w:sz w:val="22"/>
          <w:szCs w:val="22"/>
        </w:rPr>
        <w:t>Most of the Corner Inlet Ramsar site is included wit</w:t>
      </w:r>
      <w:r w:rsidR="008153A6">
        <w:rPr>
          <w:rFonts w:ascii="Arial" w:hAnsi="Arial"/>
          <w:sz w:val="22"/>
          <w:szCs w:val="22"/>
        </w:rPr>
        <w:t>h</w:t>
      </w:r>
      <w:r w:rsidRPr="00435ED5">
        <w:rPr>
          <w:rFonts w:ascii="Arial" w:hAnsi="Arial"/>
          <w:sz w:val="22"/>
          <w:szCs w:val="22"/>
        </w:rPr>
        <w:t xml:space="preserve">in the Nooramunga and Corner Inlet Marine and Coastal Parks, declared and managed under the </w:t>
      </w:r>
      <w:r w:rsidRPr="00435ED5">
        <w:rPr>
          <w:rFonts w:ascii="Arial" w:hAnsi="Arial"/>
          <w:i/>
          <w:sz w:val="22"/>
          <w:szCs w:val="22"/>
        </w:rPr>
        <w:t>National Parks Act 1975</w:t>
      </w:r>
      <w:r w:rsidRPr="00435ED5">
        <w:rPr>
          <w:rFonts w:ascii="Arial" w:hAnsi="Arial"/>
          <w:sz w:val="22"/>
          <w:szCs w:val="22"/>
        </w:rPr>
        <w:t xml:space="preserve"> (Vic), with various islands included in the Wilsons Promontory National Park (ParksVic, 2002).</w:t>
      </w:r>
      <w:r w:rsidRPr="00435ED5">
        <w:rPr>
          <w:rFonts w:ascii="Arial" w:hAnsi="Arial"/>
          <w:sz w:val="22"/>
          <w:szCs w:val="22"/>
        </w:rPr>
        <w:tab/>
        <w:t xml:space="preserve"> </w:t>
      </w:r>
    </w:p>
    <w:p w14:paraId="4ED082D0" w14:textId="78419629" w:rsidR="00790B98" w:rsidRPr="00435ED5" w:rsidRDefault="00790B98" w:rsidP="00790B98">
      <w:pPr>
        <w:pStyle w:val="bodycopy"/>
        <w:rPr>
          <w:rFonts w:ascii="Arial" w:hAnsi="Arial"/>
          <w:sz w:val="22"/>
          <w:szCs w:val="22"/>
        </w:rPr>
      </w:pPr>
      <w:r w:rsidRPr="00435ED5">
        <w:rPr>
          <w:rFonts w:ascii="Arial" w:hAnsi="Arial"/>
          <w:sz w:val="22"/>
          <w:szCs w:val="22"/>
        </w:rPr>
        <w:t>The mainland coast and several sandy islands are covered with mangroves, saltmarshes, sandy beaches and very extensive intertidal mudflats. The area contains the only extensive meadows of broad-leafed seagrass (</w:t>
      </w:r>
      <w:r w:rsidRPr="00435ED5">
        <w:rPr>
          <w:rFonts w:ascii="Arial" w:hAnsi="Arial"/>
          <w:i/>
          <w:sz w:val="22"/>
          <w:szCs w:val="22"/>
        </w:rPr>
        <w:t>Posidonia australis</w:t>
      </w:r>
      <w:r w:rsidRPr="00435ED5">
        <w:rPr>
          <w:rFonts w:ascii="Arial" w:hAnsi="Arial"/>
          <w:sz w:val="22"/>
          <w:szCs w:val="22"/>
        </w:rPr>
        <w:t>) in Victoria (DoEE, 2017</w:t>
      </w:r>
      <w:r w:rsidR="00E670EA">
        <w:rPr>
          <w:rFonts w:ascii="Arial" w:hAnsi="Arial"/>
          <w:sz w:val="22"/>
          <w:szCs w:val="22"/>
        </w:rPr>
        <w:t>d</w:t>
      </w:r>
      <w:r w:rsidRPr="00435ED5">
        <w:rPr>
          <w:rFonts w:ascii="Arial" w:hAnsi="Arial"/>
          <w:sz w:val="22"/>
          <w:szCs w:val="22"/>
        </w:rPr>
        <w:t xml:space="preserve">; ParksVic, 2002; O’Hara </w:t>
      </w:r>
      <w:r w:rsidRPr="00435ED5">
        <w:rPr>
          <w:rFonts w:ascii="Arial" w:hAnsi="Arial"/>
          <w:i/>
          <w:sz w:val="22"/>
          <w:szCs w:val="22"/>
        </w:rPr>
        <w:t>et al</w:t>
      </w:r>
      <w:r w:rsidRPr="00435ED5">
        <w:rPr>
          <w:rFonts w:ascii="Arial" w:hAnsi="Arial"/>
          <w:sz w:val="22"/>
          <w:szCs w:val="22"/>
        </w:rPr>
        <w:t>, 2002), though four species of seagrass occur within Corner Inlet (ParksVic, 2002). The saltmarsh and mangrove communities are of very limited distribution (DoEE, 2017</w:t>
      </w:r>
      <w:r w:rsidR="00E670EA">
        <w:rPr>
          <w:rFonts w:ascii="Arial" w:hAnsi="Arial"/>
          <w:sz w:val="22"/>
          <w:szCs w:val="22"/>
        </w:rPr>
        <w:t>d</w:t>
      </w:r>
      <w:r w:rsidRPr="00435ED5">
        <w:rPr>
          <w:rFonts w:ascii="Arial" w:hAnsi="Arial"/>
          <w:sz w:val="22"/>
          <w:szCs w:val="22"/>
        </w:rPr>
        <w:t>).</w:t>
      </w:r>
    </w:p>
    <w:p w14:paraId="30374300" w14:textId="562C2464" w:rsidR="009909E3" w:rsidRPr="00435ED5" w:rsidRDefault="0005595F" w:rsidP="00441FE3">
      <w:pPr>
        <w:pStyle w:val="bodycopy"/>
        <w:rPr>
          <w:rFonts w:ascii="Arial" w:hAnsi="Arial"/>
          <w:sz w:val="22"/>
          <w:szCs w:val="22"/>
        </w:rPr>
      </w:pPr>
      <w:r w:rsidRPr="00435ED5">
        <w:rPr>
          <w:rFonts w:ascii="Arial" w:hAnsi="Arial"/>
          <w:sz w:val="22"/>
          <w:szCs w:val="22"/>
        </w:rPr>
        <w:t>Corner Inlet supports more than 390 species of marine invertebrates and 390 species of native flora</w:t>
      </w:r>
      <w:r w:rsidR="009909E3" w:rsidRPr="00435ED5">
        <w:rPr>
          <w:rFonts w:ascii="Arial" w:hAnsi="Arial"/>
          <w:sz w:val="22"/>
          <w:szCs w:val="22"/>
        </w:rPr>
        <w:t xml:space="preserve"> (DoEE, 2017</w:t>
      </w:r>
      <w:r w:rsidR="00E670EA">
        <w:rPr>
          <w:rFonts w:ascii="Arial" w:hAnsi="Arial"/>
          <w:sz w:val="22"/>
          <w:szCs w:val="22"/>
        </w:rPr>
        <w:t>d</w:t>
      </w:r>
      <w:r w:rsidR="009909E3" w:rsidRPr="00435ED5">
        <w:rPr>
          <w:rFonts w:ascii="Arial" w:hAnsi="Arial"/>
          <w:sz w:val="22"/>
          <w:szCs w:val="22"/>
        </w:rPr>
        <w:t>; ParksVic, 2002)</w:t>
      </w:r>
      <w:r w:rsidRPr="00435ED5">
        <w:rPr>
          <w:rFonts w:ascii="Arial" w:hAnsi="Arial"/>
          <w:sz w:val="22"/>
          <w:szCs w:val="22"/>
        </w:rPr>
        <w:t xml:space="preserve">. </w:t>
      </w:r>
    </w:p>
    <w:p w14:paraId="53121DE2" w14:textId="767D03B7" w:rsidR="00002D5B" w:rsidRPr="00435ED5" w:rsidRDefault="0005595F" w:rsidP="00840CFE">
      <w:pPr>
        <w:pStyle w:val="bodycopy"/>
        <w:rPr>
          <w:rFonts w:ascii="Arial" w:hAnsi="Arial"/>
          <w:sz w:val="22"/>
          <w:szCs w:val="22"/>
        </w:rPr>
      </w:pPr>
      <w:r w:rsidRPr="00435ED5">
        <w:rPr>
          <w:rFonts w:ascii="Arial" w:hAnsi="Arial"/>
          <w:sz w:val="22"/>
          <w:szCs w:val="22"/>
        </w:rPr>
        <w:t xml:space="preserve">The Ramsar site also has a high diversity of bird species with </w:t>
      </w:r>
      <w:r w:rsidR="009909E3" w:rsidRPr="00435ED5">
        <w:rPr>
          <w:rFonts w:ascii="Arial" w:hAnsi="Arial"/>
          <w:sz w:val="22"/>
          <w:szCs w:val="22"/>
        </w:rPr>
        <w:t xml:space="preserve">32 </w:t>
      </w:r>
      <w:r w:rsidRPr="00435ED5">
        <w:rPr>
          <w:rFonts w:ascii="Arial" w:hAnsi="Arial"/>
          <w:sz w:val="22"/>
          <w:szCs w:val="22"/>
        </w:rPr>
        <w:t>wader species recorded. Corner Inlet provides extensive tidal flats that are exposed at low tide, which are important feeding areas for waders. It is estimated that nearly 50</w:t>
      </w:r>
      <w:r w:rsidR="009909E3" w:rsidRPr="00435ED5">
        <w:rPr>
          <w:rFonts w:ascii="Arial" w:hAnsi="Arial"/>
          <w:sz w:val="22"/>
          <w:szCs w:val="22"/>
        </w:rPr>
        <w:t>%</w:t>
      </w:r>
      <w:r w:rsidRPr="00435ED5">
        <w:rPr>
          <w:rFonts w:ascii="Arial" w:hAnsi="Arial"/>
          <w:sz w:val="22"/>
          <w:szCs w:val="22"/>
        </w:rPr>
        <w:t xml:space="preserve"> of the overwintering migratory waders in Victoria occur in Corner Inlet.</w:t>
      </w:r>
      <w:r w:rsidR="009909E3" w:rsidRPr="00435ED5">
        <w:rPr>
          <w:rFonts w:ascii="Arial" w:hAnsi="Arial"/>
          <w:sz w:val="22"/>
          <w:szCs w:val="22"/>
        </w:rPr>
        <w:t xml:space="preserve"> ParksVic (2002) report that 24 bird species listed under JAMBA and 26 species listed under CAMBA have been recorded at the lakes.</w:t>
      </w:r>
      <w:r w:rsidR="001C61CE" w:rsidRPr="00435ED5">
        <w:rPr>
          <w:rFonts w:ascii="Arial" w:hAnsi="Arial"/>
          <w:sz w:val="22"/>
          <w:szCs w:val="22"/>
        </w:rPr>
        <w:t xml:space="preserve"> Important breeding habitat for the fairy tern (</w:t>
      </w:r>
      <w:r w:rsidR="001C61CE" w:rsidRPr="00435ED5">
        <w:rPr>
          <w:rFonts w:ascii="Arial" w:hAnsi="Arial"/>
          <w:i/>
          <w:sz w:val="22"/>
          <w:szCs w:val="22"/>
        </w:rPr>
        <w:t>Sternula nereis</w:t>
      </w:r>
      <w:r w:rsidR="001C61CE" w:rsidRPr="00435ED5">
        <w:rPr>
          <w:rFonts w:ascii="Arial" w:hAnsi="Arial"/>
          <w:sz w:val="22"/>
          <w:szCs w:val="22"/>
        </w:rPr>
        <w:t>), crested tern (</w:t>
      </w:r>
      <w:r w:rsidR="001C61CE" w:rsidRPr="00435ED5">
        <w:rPr>
          <w:rFonts w:ascii="Arial" w:hAnsi="Arial"/>
          <w:i/>
          <w:sz w:val="22"/>
          <w:szCs w:val="22"/>
        </w:rPr>
        <w:t>Thalasseus bergii</w:t>
      </w:r>
      <w:r w:rsidR="001C61CE" w:rsidRPr="00435ED5">
        <w:rPr>
          <w:rFonts w:ascii="Arial" w:hAnsi="Arial"/>
          <w:sz w:val="22"/>
          <w:szCs w:val="22"/>
        </w:rPr>
        <w:t>) and Caspian terns (</w:t>
      </w:r>
      <w:r w:rsidR="001C61CE" w:rsidRPr="00435ED5">
        <w:rPr>
          <w:rFonts w:ascii="Arial" w:hAnsi="Arial"/>
          <w:i/>
          <w:sz w:val="22"/>
          <w:szCs w:val="22"/>
        </w:rPr>
        <w:t>Hydroprogne caspia</w:t>
      </w:r>
      <w:r w:rsidR="001C61CE" w:rsidRPr="00435ED5">
        <w:rPr>
          <w:rFonts w:ascii="Arial" w:hAnsi="Arial"/>
          <w:sz w:val="22"/>
          <w:szCs w:val="22"/>
        </w:rPr>
        <w:t>) occurs along the shoreline of Corner Inlet, as well as being an important breeding and non-breeding site for pied oystercatchers (</w:t>
      </w:r>
      <w:r w:rsidR="001C61CE" w:rsidRPr="00435ED5">
        <w:rPr>
          <w:rFonts w:ascii="Arial" w:hAnsi="Arial"/>
          <w:i/>
          <w:sz w:val="22"/>
          <w:szCs w:val="22"/>
        </w:rPr>
        <w:t>Haematopus longirostris</w:t>
      </w:r>
      <w:r w:rsidR="001C61CE" w:rsidRPr="00435ED5">
        <w:rPr>
          <w:rFonts w:ascii="Arial" w:hAnsi="Arial"/>
          <w:sz w:val="22"/>
          <w:szCs w:val="22"/>
        </w:rPr>
        <w:t xml:space="preserve">) (ParksVic, 2002). </w:t>
      </w:r>
    </w:p>
    <w:p w14:paraId="79113A7E" w14:textId="77777777" w:rsidR="00D06E59" w:rsidRDefault="00D06E59" w:rsidP="00F92BED">
      <w:pPr>
        <w:pStyle w:val="Heading3"/>
      </w:pPr>
      <w:bookmarkStart w:id="182" w:name="_Ref475092962"/>
      <w:bookmarkStart w:id="183" w:name="_Toc375214545"/>
      <w:bookmarkStart w:id="184" w:name="_Toc474221995"/>
      <w:bookmarkStart w:id="185" w:name="_Ref475092582"/>
      <w:r>
        <w:t>Threatened Ecological Communities</w:t>
      </w:r>
      <w:bookmarkEnd w:id="182"/>
      <w:bookmarkEnd w:id="183"/>
    </w:p>
    <w:p w14:paraId="24FDFA59" w14:textId="27AA1B75" w:rsidR="00D06E59" w:rsidRPr="00435ED5" w:rsidRDefault="00D06E59" w:rsidP="00D06E59">
      <w:pPr>
        <w:pStyle w:val="bodycopy"/>
        <w:rPr>
          <w:rFonts w:ascii="Arial" w:hAnsi="Arial"/>
          <w:sz w:val="22"/>
          <w:szCs w:val="22"/>
        </w:rPr>
      </w:pPr>
      <w:r w:rsidRPr="00435ED5">
        <w:rPr>
          <w:rFonts w:ascii="Arial" w:hAnsi="Arial"/>
          <w:sz w:val="22"/>
          <w:szCs w:val="22"/>
        </w:rPr>
        <w:t xml:space="preserve">Threatened Ecological Communities (TECs) provide wildlife corridors and/or habitat refuges for many plant and animal species, and listing a TEC provides a form of landscape or systems-level conservation (including threatened species). The </w:t>
      </w:r>
      <w:r w:rsidRPr="00435ED5">
        <w:rPr>
          <w:rFonts w:ascii="Arial" w:hAnsi="Arial"/>
          <w:i/>
          <w:sz w:val="22"/>
          <w:szCs w:val="22"/>
        </w:rPr>
        <w:t>Giant Kelp Marine Forests of South East Australia</w:t>
      </w:r>
      <w:r w:rsidRPr="00435ED5">
        <w:rPr>
          <w:rFonts w:ascii="Arial" w:hAnsi="Arial"/>
          <w:sz w:val="22"/>
          <w:szCs w:val="22"/>
        </w:rPr>
        <w:t xml:space="preserve"> is mapped as possibly occurring within </w:t>
      </w:r>
      <w:r w:rsidRPr="003A23B8">
        <w:rPr>
          <w:rFonts w:ascii="Arial" w:hAnsi="Arial"/>
          <w:sz w:val="22"/>
          <w:szCs w:val="22"/>
        </w:rPr>
        <w:t>the nearshore eastern parts of the EMBA (not within the proposed survey acquisition area) (</w:t>
      </w:r>
      <w:r w:rsidRPr="00290AA9">
        <w:rPr>
          <w:rFonts w:ascii="Arial" w:hAnsi="Arial"/>
          <w:sz w:val="22"/>
          <w:szCs w:val="22"/>
        </w:rPr>
        <w:t>Figure 5.</w:t>
      </w:r>
      <w:r w:rsidR="00773B60" w:rsidRPr="00290AA9">
        <w:rPr>
          <w:rFonts w:ascii="Arial" w:hAnsi="Arial"/>
          <w:sz w:val="22"/>
          <w:szCs w:val="22"/>
        </w:rPr>
        <w:t>8</w:t>
      </w:r>
      <w:r w:rsidRPr="00290AA9">
        <w:rPr>
          <w:rFonts w:ascii="Arial" w:hAnsi="Arial"/>
          <w:sz w:val="22"/>
          <w:szCs w:val="22"/>
        </w:rPr>
        <w:t>),</w:t>
      </w:r>
      <w:r w:rsidRPr="00435ED5">
        <w:rPr>
          <w:rFonts w:ascii="Arial" w:hAnsi="Arial"/>
          <w:sz w:val="22"/>
          <w:szCs w:val="22"/>
        </w:rPr>
        <w:t xml:space="preserve"> and is protected as a matter of NES under the EPBC Act. </w:t>
      </w:r>
    </w:p>
    <w:p w14:paraId="3E79E480" w14:textId="467BFA79" w:rsidR="00D06E59" w:rsidRPr="00435ED5" w:rsidRDefault="00D06E59" w:rsidP="00D06E59">
      <w:pPr>
        <w:pStyle w:val="bodycopy"/>
        <w:rPr>
          <w:rFonts w:ascii="Arial" w:hAnsi="Arial"/>
          <w:sz w:val="22"/>
          <w:szCs w:val="22"/>
        </w:rPr>
      </w:pPr>
      <w:r w:rsidRPr="00435ED5">
        <w:rPr>
          <w:rFonts w:ascii="Arial" w:hAnsi="Arial"/>
          <w:sz w:val="22"/>
          <w:szCs w:val="22"/>
        </w:rPr>
        <w:t>Giant kelp (</w:t>
      </w:r>
      <w:r w:rsidRPr="00435ED5">
        <w:rPr>
          <w:rFonts w:ascii="Arial" w:hAnsi="Arial"/>
          <w:i/>
          <w:sz w:val="22"/>
          <w:szCs w:val="22"/>
        </w:rPr>
        <w:t>Macrocystis pyrifera</w:t>
      </w:r>
      <w:r w:rsidRPr="00435ED5">
        <w:rPr>
          <w:rFonts w:ascii="Arial" w:hAnsi="Arial"/>
          <w:sz w:val="22"/>
          <w:szCs w:val="22"/>
        </w:rPr>
        <w:t>) is a large brown algae that grows on rocky reefs from the sea floor 8 m below sea level and deeper. Its fronds grow vertically toward the water surface, in cold temperate waters off southeast Australia. It is the foundation species of this TEC in shallow coastal marine ecological communities. The kelp species itself is not protected, rather, it is communities of closed or semi-closed giant kelp canopy at or below the sea surface that are protected (DSEWPC, 2012</w:t>
      </w:r>
      <w:r w:rsidR="00C51487">
        <w:rPr>
          <w:rFonts w:ascii="Arial" w:hAnsi="Arial"/>
          <w:sz w:val="22"/>
          <w:szCs w:val="22"/>
        </w:rPr>
        <w:t>a</w:t>
      </w:r>
      <w:r w:rsidRPr="00435ED5">
        <w:rPr>
          <w:rFonts w:ascii="Arial" w:hAnsi="Arial"/>
          <w:sz w:val="22"/>
          <w:szCs w:val="22"/>
        </w:rPr>
        <w:t xml:space="preserve">). </w:t>
      </w:r>
    </w:p>
    <w:p w14:paraId="653FD6DE" w14:textId="1D44C4E2" w:rsidR="00D06E59" w:rsidRPr="00435ED5" w:rsidRDefault="00D06E59" w:rsidP="00D06E59">
      <w:pPr>
        <w:pStyle w:val="bodycopy"/>
        <w:rPr>
          <w:rFonts w:ascii="Arial" w:hAnsi="Arial"/>
          <w:sz w:val="22"/>
          <w:szCs w:val="22"/>
        </w:rPr>
      </w:pPr>
      <w:r w:rsidRPr="00435ED5">
        <w:rPr>
          <w:rFonts w:ascii="Arial" w:hAnsi="Arial"/>
          <w:sz w:val="22"/>
          <w:szCs w:val="22"/>
        </w:rPr>
        <w:t xml:space="preserve">Giant kelp is the largest and fastest growing marine plant. Its presence on a rocky reef adds vertical structure to the marine environment that creates significant habitat for marine fauna, increasing local marine biodiversity. Species known to shelter within the kelp forests include weedy sea dragons </w:t>
      </w:r>
      <w:r w:rsidRPr="00435ED5">
        <w:rPr>
          <w:rFonts w:ascii="Arial" w:hAnsi="Arial"/>
          <w:i/>
          <w:sz w:val="22"/>
          <w:szCs w:val="22"/>
        </w:rPr>
        <w:t>(Phyllopteryx taeniolatus</w:t>
      </w:r>
      <w:r w:rsidRPr="00435ED5">
        <w:rPr>
          <w:rFonts w:ascii="Arial" w:hAnsi="Arial"/>
          <w:sz w:val="22"/>
          <w:szCs w:val="22"/>
        </w:rPr>
        <w:t>), six-spined leather jacket (</w:t>
      </w:r>
      <w:r w:rsidRPr="00435ED5">
        <w:rPr>
          <w:rFonts w:ascii="Arial" w:hAnsi="Arial"/>
          <w:i/>
          <w:sz w:val="22"/>
          <w:szCs w:val="22"/>
        </w:rPr>
        <w:t>Mesuchenia freycineti</w:t>
      </w:r>
      <w:r w:rsidRPr="00435ED5">
        <w:rPr>
          <w:rFonts w:ascii="Arial" w:hAnsi="Arial"/>
          <w:sz w:val="22"/>
          <w:szCs w:val="22"/>
        </w:rPr>
        <w:t>), brittle star (</w:t>
      </w:r>
      <w:r w:rsidRPr="00435ED5">
        <w:rPr>
          <w:rFonts w:ascii="Arial" w:hAnsi="Arial"/>
          <w:i/>
          <w:sz w:val="22"/>
          <w:szCs w:val="22"/>
        </w:rPr>
        <w:t>Ophiuroid</w:t>
      </w:r>
      <w:r w:rsidRPr="00435ED5">
        <w:rPr>
          <w:rFonts w:ascii="Arial" w:hAnsi="Arial"/>
          <w:sz w:val="22"/>
          <w:szCs w:val="22"/>
        </w:rPr>
        <w:t xml:space="preserve"> sp), urchins, sponges, blacklip abalone (</w:t>
      </w:r>
      <w:r w:rsidRPr="00435ED5">
        <w:rPr>
          <w:rFonts w:ascii="Arial" w:hAnsi="Arial"/>
          <w:i/>
          <w:sz w:val="22"/>
          <w:szCs w:val="22"/>
        </w:rPr>
        <w:t>Tosia</w:t>
      </w:r>
      <w:r w:rsidRPr="00435ED5">
        <w:rPr>
          <w:rFonts w:ascii="Arial" w:hAnsi="Arial"/>
          <w:sz w:val="22"/>
          <w:szCs w:val="22"/>
        </w:rPr>
        <w:t xml:space="preserve"> spp) and southern rock lobster (</w:t>
      </w:r>
      <w:r w:rsidRPr="00435ED5">
        <w:rPr>
          <w:rFonts w:ascii="Arial" w:hAnsi="Arial"/>
          <w:i/>
          <w:sz w:val="22"/>
          <w:szCs w:val="22"/>
        </w:rPr>
        <w:t>Jasus edwardsii</w:t>
      </w:r>
      <w:r w:rsidRPr="00435ED5">
        <w:rPr>
          <w:rFonts w:ascii="Arial" w:hAnsi="Arial"/>
          <w:sz w:val="22"/>
          <w:szCs w:val="22"/>
        </w:rPr>
        <w:t xml:space="preserve">). The large biomass and productivity of the giant kelp plants also provides a range of </w:t>
      </w:r>
      <w:r w:rsidRPr="00435ED5">
        <w:rPr>
          <w:rFonts w:ascii="Arial" w:hAnsi="Arial"/>
          <w:sz w:val="22"/>
          <w:szCs w:val="22"/>
        </w:rPr>
        <w:lastRenderedPageBreak/>
        <w:t>ecosystem services to the coastal environment. Giant kelp is a cold water species and as sea surface temperatures have risen on the east coast of Australia over the last 40 years, it has been progressively lost from its historical range (DSEWPC, 2012</w:t>
      </w:r>
      <w:r w:rsidR="00C51487">
        <w:rPr>
          <w:rFonts w:ascii="Arial" w:hAnsi="Arial"/>
          <w:sz w:val="22"/>
          <w:szCs w:val="22"/>
        </w:rPr>
        <w:t>a</w:t>
      </w:r>
      <w:r w:rsidRPr="00435ED5">
        <w:rPr>
          <w:rFonts w:ascii="Arial" w:hAnsi="Arial"/>
          <w:sz w:val="22"/>
          <w:szCs w:val="22"/>
        </w:rPr>
        <w:t>).</w:t>
      </w:r>
    </w:p>
    <w:p w14:paraId="5D22F0B7" w14:textId="5B3A419E" w:rsidR="00D06E59" w:rsidRDefault="00D06E59" w:rsidP="00D06E59">
      <w:pPr>
        <w:pStyle w:val="bodycopy"/>
        <w:rPr>
          <w:rFonts w:ascii="Arial" w:hAnsi="Arial"/>
          <w:sz w:val="22"/>
          <w:szCs w:val="22"/>
        </w:rPr>
      </w:pPr>
      <w:r w:rsidRPr="00435ED5">
        <w:rPr>
          <w:rFonts w:ascii="Arial" w:hAnsi="Arial"/>
          <w:sz w:val="22"/>
          <w:szCs w:val="22"/>
        </w:rPr>
        <w:t>Giant kelp requires clear, shallow water no deeper than approximately 35 m below sea level (D</w:t>
      </w:r>
      <w:r w:rsidR="00406141">
        <w:rPr>
          <w:rFonts w:ascii="Arial" w:hAnsi="Arial"/>
          <w:sz w:val="22"/>
          <w:szCs w:val="22"/>
        </w:rPr>
        <w:t>SEWPC</w:t>
      </w:r>
      <w:r w:rsidRPr="00435ED5">
        <w:rPr>
          <w:rFonts w:ascii="Arial" w:hAnsi="Arial"/>
          <w:sz w:val="22"/>
          <w:szCs w:val="22"/>
        </w:rPr>
        <w:t>, 2012</w:t>
      </w:r>
      <w:r w:rsidR="00406141">
        <w:rPr>
          <w:rFonts w:ascii="Arial" w:hAnsi="Arial"/>
          <w:sz w:val="22"/>
          <w:szCs w:val="22"/>
        </w:rPr>
        <w:t>a</w:t>
      </w:r>
      <w:r w:rsidRPr="00435ED5">
        <w:rPr>
          <w:rFonts w:ascii="Arial" w:hAnsi="Arial"/>
          <w:sz w:val="22"/>
          <w:szCs w:val="22"/>
        </w:rPr>
        <w:t xml:space="preserve">). </w:t>
      </w:r>
    </w:p>
    <w:p w14:paraId="3373CF9E" w14:textId="1E709C5E" w:rsidR="00435ED5" w:rsidRPr="00435ED5" w:rsidRDefault="00435ED5" w:rsidP="00435ED5">
      <w:pPr>
        <w:pStyle w:val="bodycopy"/>
        <w:rPr>
          <w:rFonts w:ascii="Arial" w:hAnsi="Arial"/>
          <w:sz w:val="22"/>
          <w:szCs w:val="22"/>
        </w:rPr>
      </w:pPr>
      <w:r w:rsidRPr="00435ED5">
        <w:rPr>
          <w:rFonts w:ascii="Arial" w:hAnsi="Arial"/>
          <w:sz w:val="22"/>
          <w:szCs w:val="22"/>
        </w:rPr>
        <w:t xml:space="preserve">Some </w:t>
      </w:r>
      <w:r w:rsidRPr="00290AA9">
        <w:rPr>
          <w:rFonts w:ascii="Arial" w:hAnsi="Arial"/>
          <w:sz w:val="22"/>
          <w:szCs w:val="22"/>
        </w:rPr>
        <w:t>patches may occur within the eastern extent of the EMBA, east of Cape Conran (see Figure 5.</w:t>
      </w:r>
      <w:r w:rsidR="00B521E4" w:rsidRPr="00290AA9">
        <w:rPr>
          <w:rFonts w:ascii="Arial" w:hAnsi="Arial"/>
          <w:sz w:val="22"/>
          <w:szCs w:val="22"/>
        </w:rPr>
        <w:t>8</w:t>
      </w:r>
      <w:r w:rsidRPr="00290AA9">
        <w:rPr>
          <w:rFonts w:ascii="Arial" w:hAnsi="Arial"/>
          <w:sz w:val="22"/>
          <w:szCs w:val="22"/>
        </w:rPr>
        <w:t>).</w:t>
      </w:r>
      <w:r w:rsidRPr="00435ED5">
        <w:rPr>
          <w:rFonts w:ascii="Arial" w:hAnsi="Arial"/>
          <w:sz w:val="22"/>
          <w:szCs w:val="22"/>
        </w:rPr>
        <w:t xml:space="preserve"> Barton et al (2012) report that giant kelp (not forest) occurs within Point Hicks Marine National Park.</w:t>
      </w:r>
    </w:p>
    <w:p w14:paraId="2079962B" w14:textId="0ECEC76F" w:rsidR="00D06E59" w:rsidRDefault="00966FFB" w:rsidP="00D06E59">
      <w:pPr>
        <w:pStyle w:val="bodycopy"/>
      </w:pPr>
      <w:r>
        <w:rPr>
          <w:rFonts w:ascii="Arial" w:hAnsi="Arial"/>
          <w:sz w:val="22"/>
          <w:szCs w:val="22"/>
        </w:rPr>
        <w:t>T</w:t>
      </w:r>
      <w:r w:rsidR="00435ED5" w:rsidRPr="00435ED5">
        <w:rPr>
          <w:rFonts w:ascii="Arial" w:hAnsi="Arial"/>
          <w:sz w:val="22"/>
          <w:szCs w:val="22"/>
        </w:rPr>
        <w:t xml:space="preserve">he proposed Pelican 3DMSS acquisition area comprises </w:t>
      </w:r>
      <w:r>
        <w:rPr>
          <w:rFonts w:ascii="Arial" w:hAnsi="Arial"/>
          <w:sz w:val="22"/>
          <w:szCs w:val="22"/>
        </w:rPr>
        <w:t xml:space="preserve">mostly </w:t>
      </w:r>
      <w:r w:rsidR="00435ED5" w:rsidRPr="00435ED5">
        <w:rPr>
          <w:rFonts w:ascii="Arial" w:hAnsi="Arial"/>
          <w:sz w:val="22"/>
          <w:szCs w:val="22"/>
        </w:rPr>
        <w:t>sandy seabed</w:t>
      </w:r>
      <w:r>
        <w:rPr>
          <w:rFonts w:ascii="Arial" w:hAnsi="Arial"/>
          <w:sz w:val="22"/>
          <w:szCs w:val="22"/>
        </w:rPr>
        <w:t>, which is not a</w:t>
      </w:r>
      <w:r w:rsidR="00435ED5" w:rsidRPr="00435ED5">
        <w:rPr>
          <w:rFonts w:ascii="Arial" w:hAnsi="Arial"/>
          <w:sz w:val="22"/>
          <w:szCs w:val="22"/>
        </w:rPr>
        <w:t xml:space="preserve"> unsuitable substrate for giant kelp to attach to</w:t>
      </w:r>
      <w:r>
        <w:rPr>
          <w:rFonts w:ascii="Arial" w:hAnsi="Arial"/>
          <w:sz w:val="22"/>
          <w:szCs w:val="22"/>
        </w:rPr>
        <w:t xml:space="preserve">. The environmental </w:t>
      </w:r>
      <w:r w:rsidR="00467CF0">
        <w:rPr>
          <w:rFonts w:ascii="Arial" w:hAnsi="Arial"/>
          <w:sz w:val="22"/>
          <w:szCs w:val="22"/>
        </w:rPr>
        <w:t>habitat assessment</w:t>
      </w:r>
      <w:r>
        <w:rPr>
          <w:rFonts w:ascii="Arial" w:hAnsi="Arial"/>
          <w:sz w:val="22"/>
          <w:szCs w:val="22"/>
        </w:rPr>
        <w:t xml:space="preserve"> commissioned by CarbonNet and conducted by Advisian did not observe any giant kelp within the </w:t>
      </w:r>
      <w:r w:rsidR="00B521E4">
        <w:rPr>
          <w:rFonts w:ascii="Arial" w:hAnsi="Arial"/>
          <w:sz w:val="22"/>
          <w:szCs w:val="22"/>
        </w:rPr>
        <w:t>proposed acquisition</w:t>
      </w:r>
      <w:r>
        <w:rPr>
          <w:rFonts w:ascii="Arial" w:hAnsi="Arial"/>
          <w:sz w:val="22"/>
          <w:szCs w:val="22"/>
        </w:rPr>
        <w:t xml:space="preserve"> area</w:t>
      </w:r>
      <w:r w:rsidR="00435ED5" w:rsidRPr="00435ED5">
        <w:rPr>
          <w:rFonts w:ascii="Arial" w:hAnsi="Arial"/>
          <w:sz w:val="22"/>
          <w:szCs w:val="22"/>
        </w:rPr>
        <w:t xml:space="preserve">. </w:t>
      </w:r>
    </w:p>
    <w:p w14:paraId="77FE4377" w14:textId="77777777" w:rsidR="00F92BED" w:rsidRPr="00F71A07" w:rsidRDefault="00F92BED" w:rsidP="00F92BED">
      <w:pPr>
        <w:pStyle w:val="Heading3"/>
      </w:pPr>
      <w:bookmarkStart w:id="186" w:name="_Ref475092978"/>
      <w:bookmarkStart w:id="187" w:name="_Toc375214546"/>
      <w:r w:rsidRPr="00F71A07">
        <w:t>Commonwealth Heritage</w:t>
      </w:r>
      <w:r w:rsidR="001C61CE">
        <w:t>-listed</w:t>
      </w:r>
      <w:r w:rsidRPr="00F71A07">
        <w:t xml:space="preserve"> Places</w:t>
      </w:r>
      <w:bookmarkEnd w:id="184"/>
      <w:bookmarkEnd w:id="185"/>
      <w:bookmarkEnd w:id="186"/>
      <w:bookmarkEnd w:id="187"/>
    </w:p>
    <w:p w14:paraId="706F1B1F" w14:textId="7F93660F" w:rsidR="001C61CE" w:rsidRPr="00435ED5" w:rsidRDefault="001C61CE" w:rsidP="001C61CE">
      <w:pPr>
        <w:pStyle w:val="bodycopy"/>
        <w:rPr>
          <w:rFonts w:ascii="Arial" w:hAnsi="Arial"/>
          <w:sz w:val="22"/>
          <w:szCs w:val="22"/>
        </w:rPr>
      </w:pPr>
      <w:r w:rsidRPr="00435ED5">
        <w:rPr>
          <w:rFonts w:ascii="Arial" w:hAnsi="Arial"/>
          <w:sz w:val="22"/>
          <w:szCs w:val="22"/>
        </w:rPr>
        <w:t>Commonwealth Heritage-listed places are natural, indigenous and historic heritage places owned or controlled by the Commonwealth (DoEE, 2017</w:t>
      </w:r>
      <w:r w:rsidR="0061115A">
        <w:rPr>
          <w:rFonts w:ascii="Arial" w:hAnsi="Arial"/>
          <w:sz w:val="22"/>
          <w:szCs w:val="22"/>
        </w:rPr>
        <w:t>e</w:t>
      </w:r>
      <w:r w:rsidRPr="00435ED5">
        <w:rPr>
          <w:rFonts w:ascii="Arial" w:hAnsi="Arial"/>
          <w:sz w:val="22"/>
          <w:szCs w:val="22"/>
        </w:rPr>
        <w:t xml:space="preserve">). In Australia, these properties are protected under Chapter 5, Part 15 of the EPBC Act. </w:t>
      </w:r>
    </w:p>
    <w:p w14:paraId="71706DDE" w14:textId="2DC5AF7D" w:rsidR="001C61CE" w:rsidRPr="00435ED5" w:rsidRDefault="001C61CE" w:rsidP="00F92BED">
      <w:pPr>
        <w:pStyle w:val="bodycopy"/>
        <w:rPr>
          <w:rFonts w:ascii="Arial" w:hAnsi="Arial"/>
          <w:sz w:val="22"/>
          <w:szCs w:val="22"/>
        </w:rPr>
      </w:pPr>
      <w:r w:rsidRPr="00435ED5">
        <w:rPr>
          <w:rFonts w:ascii="Arial" w:hAnsi="Arial"/>
          <w:sz w:val="22"/>
          <w:szCs w:val="22"/>
        </w:rPr>
        <w:t xml:space="preserve">No properties on the </w:t>
      </w:r>
      <w:r w:rsidR="00CA18B4" w:rsidRPr="00435ED5">
        <w:rPr>
          <w:rFonts w:ascii="Arial" w:hAnsi="Arial"/>
          <w:sz w:val="22"/>
          <w:szCs w:val="22"/>
        </w:rPr>
        <w:t>Commonwealth</w:t>
      </w:r>
      <w:r w:rsidRPr="00435ED5">
        <w:rPr>
          <w:rFonts w:ascii="Arial" w:hAnsi="Arial"/>
          <w:sz w:val="22"/>
          <w:szCs w:val="22"/>
        </w:rPr>
        <w:t xml:space="preserve"> Heritage List occur within the EMBA. The nearest </w:t>
      </w:r>
      <w:r w:rsidR="00CA18B4" w:rsidRPr="00435ED5">
        <w:rPr>
          <w:rFonts w:ascii="Arial" w:hAnsi="Arial"/>
          <w:sz w:val="22"/>
          <w:szCs w:val="22"/>
        </w:rPr>
        <w:t>places are the Wilsons Promontory Lighthouse (</w:t>
      </w:r>
      <w:r w:rsidR="00DF30CE" w:rsidRPr="00435ED5">
        <w:rPr>
          <w:rFonts w:ascii="Arial" w:hAnsi="Arial"/>
          <w:sz w:val="22"/>
          <w:szCs w:val="22"/>
        </w:rPr>
        <w:t>120</w:t>
      </w:r>
      <w:r w:rsidR="00CA18B4" w:rsidRPr="00435ED5">
        <w:rPr>
          <w:rFonts w:ascii="Arial" w:hAnsi="Arial"/>
          <w:sz w:val="22"/>
          <w:szCs w:val="22"/>
        </w:rPr>
        <w:t xml:space="preserve"> km </w:t>
      </w:r>
      <w:r w:rsidR="00DF30CE" w:rsidRPr="00435ED5">
        <w:rPr>
          <w:rFonts w:ascii="Arial" w:hAnsi="Arial"/>
          <w:sz w:val="22"/>
          <w:szCs w:val="22"/>
        </w:rPr>
        <w:t>south</w:t>
      </w:r>
      <w:r w:rsidR="00CA18B4" w:rsidRPr="00435ED5">
        <w:rPr>
          <w:rFonts w:ascii="Arial" w:hAnsi="Arial"/>
          <w:sz w:val="22"/>
          <w:szCs w:val="22"/>
        </w:rPr>
        <w:t xml:space="preserve">west of the proposed acquisition area) and the Gabo Island Lighthouse (215 km northeast of the proposed acquisition area). Though Gabo Island is located within the EMBA, as the lighthouse is located high above the waterline, the lighthouse itself is not considered part of the EMBA. </w:t>
      </w:r>
      <w:r w:rsidRPr="00435ED5">
        <w:rPr>
          <w:rFonts w:ascii="Arial" w:hAnsi="Arial"/>
          <w:sz w:val="22"/>
          <w:szCs w:val="22"/>
        </w:rPr>
        <w:t xml:space="preserve"> </w:t>
      </w:r>
    </w:p>
    <w:p w14:paraId="0133D65D" w14:textId="77777777" w:rsidR="00F92BED" w:rsidRPr="00F71A07" w:rsidRDefault="00F92BED" w:rsidP="00657154">
      <w:pPr>
        <w:pStyle w:val="Heading3"/>
      </w:pPr>
      <w:r w:rsidRPr="00F71A07">
        <w:tab/>
      </w:r>
      <w:bookmarkStart w:id="188" w:name="_Toc474221996"/>
      <w:bookmarkStart w:id="189" w:name="_Ref475092590"/>
      <w:bookmarkStart w:id="190" w:name="_Ref475092983"/>
      <w:bookmarkStart w:id="191" w:name="_Ref476570317"/>
      <w:bookmarkStart w:id="192" w:name="_Ref363387691"/>
      <w:bookmarkStart w:id="193" w:name="_Toc375214547"/>
      <w:r w:rsidRPr="00F71A07">
        <w:t>Key Ecological Features</w:t>
      </w:r>
      <w:bookmarkEnd w:id="188"/>
      <w:bookmarkEnd w:id="189"/>
      <w:bookmarkEnd w:id="190"/>
      <w:bookmarkEnd w:id="191"/>
      <w:bookmarkEnd w:id="192"/>
      <w:bookmarkEnd w:id="193"/>
    </w:p>
    <w:p w14:paraId="3CB352E0" w14:textId="346ED552" w:rsidR="00CA18B4" w:rsidRPr="00435ED5" w:rsidRDefault="00CA18B4" w:rsidP="00CA18B4">
      <w:pPr>
        <w:pStyle w:val="bodycopy"/>
        <w:rPr>
          <w:rFonts w:ascii="Arial" w:hAnsi="Arial"/>
          <w:sz w:val="22"/>
          <w:szCs w:val="22"/>
        </w:rPr>
      </w:pPr>
      <w:r w:rsidRPr="00435ED5">
        <w:rPr>
          <w:rFonts w:ascii="Arial" w:hAnsi="Arial"/>
          <w:sz w:val="22"/>
          <w:szCs w:val="22"/>
        </w:rPr>
        <w:t>Key Ecological Features (KEFs) are elements of the Commonwealth marine environment that based on current scientific understanding, are considered to be of regional importance for either the region's biodiversity or ecosystem function and integrity.</w:t>
      </w:r>
      <w:r w:rsidR="00101AE9" w:rsidRPr="00435ED5">
        <w:rPr>
          <w:rFonts w:ascii="Arial" w:hAnsi="Arial"/>
          <w:sz w:val="22"/>
          <w:szCs w:val="22"/>
        </w:rPr>
        <w:t xml:space="preserve"> KEFs have no legal status in decision-making under the EPBC Act</w:t>
      </w:r>
      <w:r w:rsidR="00E051AD" w:rsidRPr="00435ED5">
        <w:rPr>
          <w:rFonts w:ascii="Arial" w:hAnsi="Arial"/>
          <w:sz w:val="22"/>
          <w:szCs w:val="22"/>
        </w:rPr>
        <w:t>, but may be considered as part of the Commonwealth marine area</w:t>
      </w:r>
      <w:r w:rsidR="00101AE9" w:rsidRPr="00435ED5">
        <w:rPr>
          <w:rFonts w:ascii="Arial" w:hAnsi="Arial"/>
          <w:sz w:val="22"/>
          <w:szCs w:val="22"/>
        </w:rPr>
        <w:t xml:space="preserve"> (DoEE, 2017</w:t>
      </w:r>
      <w:r w:rsidR="0061115A">
        <w:rPr>
          <w:rFonts w:ascii="Arial" w:hAnsi="Arial"/>
          <w:sz w:val="22"/>
          <w:szCs w:val="22"/>
        </w:rPr>
        <w:t>f</w:t>
      </w:r>
      <w:r w:rsidR="00101AE9" w:rsidRPr="00435ED5">
        <w:rPr>
          <w:rFonts w:ascii="Arial" w:hAnsi="Arial"/>
          <w:sz w:val="22"/>
          <w:szCs w:val="22"/>
        </w:rPr>
        <w:t xml:space="preserve">). </w:t>
      </w:r>
    </w:p>
    <w:p w14:paraId="467F31D8" w14:textId="3290C56E" w:rsidR="00101AE9" w:rsidRDefault="00CA18B4" w:rsidP="00101AE9">
      <w:pPr>
        <w:pStyle w:val="bodycopy"/>
        <w:spacing w:after="240"/>
        <w:rPr>
          <w:rFonts w:ascii="Arial" w:hAnsi="Arial"/>
          <w:sz w:val="22"/>
          <w:szCs w:val="22"/>
        </w:rPr>
      </w:pPr>
      <w:r w:rsidRPr="00435ED5">
        <w:rPr>
          <w:rFonts w:ascii="Arial" w:hAnsi="Arial"/>
          <w:sz w:val="22"/>
          <w:szCs w:val="22"/>
        </w:rPr>
        <w:t xml:space="preserve">The National Conservation Values Atlas indicates that the EMBA intersects the </w:t>
      </w:r>
      <w:r w:rsidR="00101AE9" w:rsidRPr="00435ED5">
        <w:rPr>
          <w:rFonts w:ascii="Arial" w:hAnsi="Arial"/>
          <w:sz w:val="22"/>
          <w:szCs w:val="22"/>
        </w:rPr>
        <w:t>‘Upwelling East of Eden’</w:t>
      </w:r>
      <w:r w:rsidR="00A67454" w:rsidRPr="00435ED5">
        <w:rPr>
          <w:rFonts w:ascii="Arial" w:hAnsi="Arial"/>
          <w:sz w:val="22"/>
          <w:szCs w:val="22"/>
        </w:rPr>
        <w:t xml:space="preserve"> KEF</w:t>
      </w:r>
      <w:r w:rsidR="005A3F1D" w:rsidRPr="00435ED5">
        <w:rPr>
          <w:rFonts w:ascii="Arial" w:hAnsi="Arial"/>
          <w:sz w:val="22"/>
          <w:szCs w:val="22"/>
        </w:rPr>
        <w:t xml:space="preserve">, located 37 km to the east of the proposed survey acquisition area </w:t>
      </w:r>
      <w:r w:rsidR="005A3F1D" w:rsidRPr="00290AA9">
        <w:rPr>
          <w:rFonts w:ascii="Arial" w:hAnsi="Arial"/>
          <w:sz w:val="22"/>
          <w:szCs w:val="22"/>
        </w:rPr>
        <w:t>(Figure 5.</w:t>
      </w:r>
      <w:r w:rsidR="00B521E4" w:rsidRPr="00290AA9">
        <w:rPr>
          <w:rFonts w:ascii="Arial" w:hAnsi="Arial"/>
          <w:sz w:val="22"/>
          <w:szCs w:val="22"/>
        </w:rPr>
        <w:t>9</w:t>
      </w:r>
      <w:r w:rsidR="005A3F1D" w:rsidRPr="003A23B8">
        <w:rPr>
          <w:rFonts w:ascii="Arial" w:hAnsi="Arial"/>
          <w:sz w:val="22"/>
          <w:szCs w:val="22"/>
        </w:rPr>
        <w:t>)</w:t>
      </w:r>
      <w:r w:rsidR="00A67454" w:rsidRPr="003A23B8">
        <w:rPr>
          <w:rFonts w:ascii="Arial" w:hAnsi="Arial"/>
          <w:sz w:val="22"/>
          <w:szCs w:val="22"/>
        </w:rPr>
        <w:t>.</w:t>
      </w:r>
      <w:r w:rsidR="00101AE9" w:rsidRPr="00435ED5">
        <w:rPr>
          <w:rFonts w:ascii="Arial" w:hAnsi="Arial"/>
          <w:sz w:val="22"/>
          <w:szCs w:val="22"/>
        </w:rPr>
        <w:t xml:space="preserve"> </w:t>
      </w:r>
      <w:r w:rsidR="00A67454" w:rsidRPr="00435ED5">
        <w:rPr>
          <w:rFonts w:ascii="Arial" w:hAnsi="Arial"/>
          <w:sz w:val="22"/>
          <w:szCs w:val="22"/>
        </w:rPr>
        <w:t xml:space="preserve">The </w:t>
      </w:r>
      <w:r w:rsidR="005A3F1D" w:rsidRPr="00435ED5">
        <w:rPr>
          <w:rFonts w:ascii="Arial" w:hAnsi="Arial"/>
          <w:sz w:val="22"/>
          <w:szCs w:val="22"/>
        </w:rPr>
        <w:t>‘Big Horseshow Canyon’ KEF, located 148 km east of the proposed survey acquisition area</w:t>
      </w:r>
      <w:r w:rsidR="00DF30CE" w:rsidRPr="00435ED5">
        <w:rPr>
          <w:rFonts w:ascii="Arial" w:hAnsi="Arial"/>
          <w:sz w:val="22"/>
          <w:szCs w:val="22"/>
        </w:rPr>
        <w:t>,</w:t>
      </w:r>
      <w:r w:rsidR="005A3F1D" w:rsidRPr="00435ED5">
        <w:rPr>
          <w:rFonts w:ascii="Arial" w:hAnsi="Arial"/>
          <w:sz w:val="22"/>
          <w:szCs w:val="22"/>
        </w:rPr>
        <w:t xml:space="preserve"> is not intersected by the EMBA</w:t>
      </w:r>
      <w:r w:rsidRPr="00435ED5">
        <w:rPr>
          <w:rFonts w:ascii="Arial" w:hAnsi="Arial"/>
          <w:sz w:val="22"/>
          <w:szCs w:val="22"/>
        </w:rPr>
        <w:t xml:space="preserve">. </w:t>
      </w:r>
    </w:p>
    <w:p w14:paraId="25E2FE5A" w14:textId="77777777" w:rsidR="006044E1" w:rsidRPr="00435ED5" w:rsidRDefault="006044E1" w:rsidP="006044E1">
      <w:pPr>
        <w:pStyle w:val="bodycopy"/>
        <w:rPr>
          <w:rFonts w:ascii="Arial" w:hAnsi="Arial"/>
          <w:b/>
          <w:sz w:val="22"/>
          <w:szCs w:val="22"/>
        </w:rPr>
      </w:pPr>
      <w:r w:rsidRPr="00435ED5">
        <w:rPr>
          <w:rFonts w:ascii="Arial" w:hAnsi="Arial"/>
          <w:b/>
          <w:sz w:val="22"/>
          <w:szCs w:val="22"/>
        </w:rPr>
        <w:t>Upwelling east of Eden</w:t>
      </w:r>
    </w:p>
    <w:p w14:paraId="10447D98" w14:textId="2228E477" w:rsidR="006044E1" w:rsidRPr="00435ED5" w:rsidRDefault="006044E1" w:rsidP="006044E1">
      <w:pPr>
        <w:pStyle w:val="bodycopy"/>
        <w:rPr>
          <w:rFonts w:ascii="Arial" w:hAnsi="Arial"/>
          <w:sz w:val="22"/>
          <w:szCs w:val="22"/>
        </w:rPr>
      </w:pPr>
      <w:r w:rsidRPr="00435ED5">
        <w:rPr>
          <w:rFonts w:ascii="Arial" w:hAnsi="Arial"/>
          <w:sz w:val="22"/>
          <w:szCs w:val="22"/>
        </w:rPr>
        <w:t>Dynamic eddies of the EAC cause episodic productivity events when they interact with the continental shelf and headlands. The episodic mixing and nutrient enrichment events drive phytoplankton blooms that are the basis of productive food chains including zooplankton, copepods, krill and small pelagic fish (DoE, 2015</w:t>
      </w:r>
      <w:r w:rsidR="00225AD2">
        <w:rPr>
          <w:rFonts w:ascii="Arial" w:hAnsi="Arial"/>
          <w:sz w:val="22"/>
          <w:szCs w:val="22"/>
        </w:rPr>
        <w:t>a</w:t>
      </w:r>
      <w:r w:rsidRPr="00435ED5">
        <w:rPr>
          <w:rFonts w:ascii="Arial" w:hAnsi="Arial"/>
          <w:sz w:val="22"/>
          <w:szCs w:val="22"/>
        </w:rPr>
        <w:t xml:space="preserve">). </w:t>
      </w:r>
      <w:r w:rsidR="00B521E4">
        <w:rPr>
          <w:rFonts w:ascii="Arial" w:hAnsi="Arial"/>
          <w:sz w:val="22"/>
          <w:szCs w:val="22"/>
        </w:rPr>
        <w:t>T</w:t>
      </w:r>
      <w:r w:rsidRPr="00435ED5">
        <w:rPr>
          <w:rFonts w:ascii="Arial" w:hAnsi="Arial"/>
          <w:sz w:val="22"/>
          <w:szCs w:val="22"/>
        </w:rPr>
        <w:t xml:space="preserve">he key value </w:t>
      </w:r>
      <w:r w:rsidR="00B521E4">
        <w:rPr>
          <w:rFonts w:ascii="Arial" w:hAnsi="Arial"/>
          <w:sz w:val="22"/>
          <w:szCs w:val="22"/>
        </w:rPr>
        <w:t>of</w:t>
      </w:r>
      <w:r w:rsidRPr="00435ED5">
        <w:rPr>
          <w:rFonts w:ascii="Arial" w:hAnsi="Arial"/>
          <w:sz w:val="22"/>
          <w:szCs w:val="22"/>
        </w:rPr>
        <w:t xml:space="preserve"> the KEF is its high productivity and aggregations of marine life.</w:t>
      </w:r>
    </w:p>
    <w:p w14:paraId="52E2C498" w14:textId="77777777" w:rsidR="006044E1" w:rsidRDefault="006044E1" w:rsidP="00101AE9">
      <w:pPr>
        <w:pStyle w:val="bodycopy"/>
        <w:spacing w:after="240"/>
        <w:rPr>
          <w:rFonts w:ascii="Arial" w:hAnsi="Arial"/>
          <w:sz w:val="22"/>
          <w:szCs w:val="22"/>
        </w:rPr>
        <w:sectPr w:rsidR="006044E1" w:rsidSect="00B4362B">
          <w:headerReference w:type="even" r:id="rId71"/>
          <w:headerReference w:type="default" r:id="rId72"/>
          <w:footerReference w:type="default" r:id="rId73"/>
          <w:headerReference w:type="first" r:id="rId74"/>
          <w:pgSz w:w="11906" w:h="16838" w:code="9"/>
          <w:pgMar w:top="1276" w:right="1800" w:bottom="1440" w:left="1800" w:header="994" w:footer="706" w:gutter="0"/>
          <w:cols w:space="708"/>
          <w:docGrid w:linePitch="360"/>
        </w:sectPr>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721"/>
      </w:tblGrid>
      <w:tr w:rsidR="006044E1" w14:paraId="379AB30B" w14:textId="77777777" w:rsidTr="005127F3">
        <w:trPr>
          <w:jc w:val="center"/>
        </w:trPr>
        <w:tc>
          <w:tcPr>
            <w:tcW w:w="11199" w:type="dxa"/>
            <w:shd w:val="clear" w:color="auto" w:fill="auto"/>
          </w:tcPr>
          <w:p w14:paraId="0AC80CAB" w14:textId="0320F704" w:rsidR="006044E1" w:rsidRDefault="00AD1C4D" w:rsidP="005127F3">
            <w:pPr>
              <w:pStyle w:val="bodycopy"/>
              <w:spacing w:after="0"/>
            </w:pPr>
            <w:r>
              <w:lastRenderedPageBreak/>
              <w:pict w14:anchorId="75383A43">
                <v:shape id="_x0000_i1027" type="#_x0000_t75" style="width:575.2pt;height:397.75pt">
                  <v:imagedata r:id="rId75" o:title="33_EP_Giant Kelp Distribution" croptop="1484f" cropbottom="1827f" cropleft="1444f" cropright="756f"/>
                </v:shape>
              </w:pict>
            </w:r>
          </w:p>
        </w:tc>
      </w:tr>
    </w:tbl>
    <w:p w14:paraId="44D38C4E" w14:textId="58691DE4" w:rsidR="006044E1" w:rsidRPr="00966FFB" w:rsidRDefault="006044E1" w:rsidP="006044E1">
      <w:pPr>
        <w:pStyle w:val="bodycopy"/>
        <w:spacing w:before="120"/>
        <w:jc w:val="center"/>
        <w:rPr>
          <w:rFonts w:ascii="Arial" w:hAnsi="Arial"/>
          <w:b/>
          <w:sz w:val="20"/>
        </w:rPr>
      </w:pPr>
      <w:r w:rsidRPr="00966FFB">
        <w:rPr>
          <w:rFonts w:ascii="Arial" w:hAnsi="Arial"/>
          <w:b/>
          <w:sz w:val="20"/>
        </w:rPr>
        <w:t>Figure 5.</w:t>
      </w:r>
      <w:r w:rsidR="00B521E4">
        <w:rPr>
          <w:rFonts w:ascii="Arial" w:hAnsi="Arial"/>
          <w:b/>
          <w:sz w:val="20"/>
        </w:rPr>
        <w:t>8</w:t>
      </w:r>
      <w:r w:rsidRPr="00966FFB">
        <w:rPr>
          <w:rFonts w:ascii="Arial" w:hAnsi="Arial"/>
          <w:b/>
          <w:sz w:val="20"/>
        </w:rPr>
        <w:t>.</w:t>
      </w:r>
      <w:r w:rsidRPr="00966FFB">
        <w:rPr>
          <w:rFonts w:ascii="Arial" w:hAnsi="Arial"/>
          <w:b/>
          <w:sz w:val="20"/>
        </w:rPr>
        <w:tab/>
        <w:t>Occurrence of the Giant Kelp Marine Forests of South East Australia TEC within the EMBA</w:t>
      </w:r>
    </w:p>
    <w:p w14:paraId="7F77C626" w14:textId="77777777" w:rsidR="006044E1" w:rsidRDefault="006044E1" w:rsidP="00020A7B">
      <w:pPr>
        <w:pStyle w:val="bodycopy"/>
        <w:rPr>
          <w:rFonts w:ascii="Arial" w:hAnsi="Arial"/>
          <w:sz w:val="22"/>
          <w:szCs w:val="22"/>
        </w:rPr>
        <w:sectPr w:rsidR="006044E1" w:rsidSect="005127F3">
          <w:headerReference w:type="even" r:id="rId76"/>
          <w:headerReference w:type="default" r:id="rId77"/>
          <w:footerReference w:type="default" r:id="rId78"/>
          <w:headerReference w:type="first" r:id="rId79"/>
          <w:pgSz w:w="16838" w:h="11906" w:orient="landscape" w:code="9"/>
          <w:pgMar w:top="1267" w:right="1276" w:bottom="1800" w:left="1440" w:header="994" w:footer="706" w:gutter="0"/>
          <w:cols w:space="708"/>
          <w:docGrid w:linePitch="360"/>
        </w:sectPr>
      </w:pPr>
    </w:p>
    <w:tbl>
      <w:tblPr>
        <w:tblStyle w:val="TableGrid"/>
        <w:tblW w:w="0" w:type="auto"/>
        <w:tblLook w:val="04A0" w:firstRow="1" w:lastRow="0" w:firstColumn="1" w:lastColumn="0" w:noHBand="0" w:noVBand="1"/>
      </w:tblPr>
      <w:tblGrid>
        <w:gridCol w:w="8522"/>
      </w:tblGrid>
      <w:tr w:rsidR="005127F3" w14:paraId="5A07E1F9" w14:textId="77777777" w:rsidTr="005127F3">
        <w:tc>
          <w:tcPr>
            <w:tcW w:w="8522" w:type="dxa"/>
          </w:tcPr>
          <w:p w14:paraId="645989C9" w14:textId="3708AB53" w:rsidR="005127F3" w:rsidRDefault="00C458B7" w:rsidP="00020A7B">
            <w:pPr>
              <w:pStyle w:val="bodycopy"/>
              <w:rPr>
                <w:rFonts w:ascii="Arial" w:hAnsi="Arial"/>
                <w:sz w:val="22"/>
                <w:szCs w:val="22"/>
              </w:rPr>
            </w:pPr>
            <w:r w:rsidRPr="00891DE1">
              <w:rPr>
                <w:rFonts w:ascii="Arial" w:hAnsi="Arial"/>
                <w:noProof/>
                <w:sz w:val="22"/>
                <w:szCs w:val="22"/>
              </w:rPr>
              <w:lastRenderedPageBreak/>
              <w:drawing>
                <wp:inline distT="0" distB="0" distL="0" distR="0" wp14:anchorId="45414EFB" wp14:editId="757FCF1E">
                  <wp:extent cx="5270661" cy="7159924"/>
                  <wp:effectExtent l="0" t="0" r="6350" b="3175"/>
                  <wp:docPr id="467" name="Picture 467" descr="C:\Users\vic83nm\AppData\Local\Microsoft\Windows\Temporary Internet Files\Content.Word\25_EP_Key_Ecological_Featu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vic83nm\AppData\Local\Microsoft\Windows\Temporary Internet Files\Content.Word\25_EP_Key_Ecological_Features.png"/>
                          <pic:cNvPicPr>
                            <a:picLocks noChangeAspect="1" noChangeArrowheads="1"/>
                          </pic:cNvPicPr>
                        </pic:nvPicPr>
                        <pic:blipFill rotWithShape="1">
                          <a:blip r:embed="rId80" cstate="screen">
                            <a:extLst>
                              <a:ext uri="{28A0092B-C50C-407E-A947-70E740481C1C}">
                                <a14:useLocalDpi xmlns:a14="http://schemas.microsoft.com/office/drawing/2010/main"/>
                              </a:ext>
                            </a:extLst>
                          </a:blip>
                          <a:srcRect/>
                          <a:stretch/>
                        </pic:blipFill>
                        <pic:spPr bwMode="auto">
                          <a:xfrm>
                            <a:off x="0" y="0"/>
                            <a:ext cx="5270500" cy="71597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C4CAC7A" w14:textId="16DC7348" w:rsidR="005127F3" w:rsidRPr="00966FFB" w:rsidRDefault="005127F3" w:rsidP="005127F3">
      <w:pPr>
        <w:pStyle w:val="bodycopy"/>
        <w:spacing w:before="120" w:after="240"/>
        <w:jc w:val="center"/>
        <w:rPr>
          <w:rFonts w:ascii="Arial" w:hAnsi="Arial"/>
          <w:b/>
          <w:sz w:val="20"/>
        </w:rPr>
      </w:pPr>
      <w:r w:rsidRPr="00966FFB">
        <w:rPr>
          <w:rFonts w:ascii="Arial" w:hAnsi="Arial"/>
          <w:b/>
          <w:sz w:val="20"/>
        </w:rPr>
        <w:t>Figure 5.</w:t>
      </w:r>
      <w:r w:rsidR="00B521E4">
        <w:rPr>
          <w:rFonts w:ascii="Arial" w:hAnsi="Arial"/>
          <w:b/>
          <w:sz w:val="20"/>
        </w:rPr>
        <w:t>9</w:t>
      </w:r>
      <w:r w:rsidRPr="00966FFB">
        <w:rPr>
          <w:rFonts w:ascii="Arial" w:hAnsi="Arial"/>
          <w:b/>
          <w:sz w:val="20"/>
        </w:rPr>
        <w:t>.</w:t>
      </w:r>
      <w:r w:rsidRPr="00966FFB">
        <w:rPr>
          <w:rFonts w:ascii="Arial" w:hAnsi="Arial"/>
          <w:b/>
          <w:sz w:val="20"/>
        </w:rPr>
        <w:tab/>
        <w:t>KEFs intersected by the EMBA</w:t>
      </w:r>
    </w:p>
    <w:p w14:paraId="4F56BF47" w14:textId="1E65C073" w:rsidR="00020A7B" w:rsidRPr="00435ED5" w:rsidRDefault="00020A7B" w:rsidP="00020A7B">
      <w:pPr>
        <w:pStyle w:val="bodycopy"/>
        <w:rPr>
          <w:rFonts w:ascii="Arial" w:hAnsi="Arial"/>
          <w:sz w:val="22"/>
          <w:szCs w:val="22"/>
        </w:rPr>
      </w:pPr>
      <w:r w:rsidRPr="00435ED5">
        <w:rPr>
          <w:rFonts w:ascii="Arial" w:hAnsi="Arial"/>
          <w:sz w:val="22"/>
          <w:szCs w:val="22"/>
        </w:rPr>
        <w:t>The upwelling supports regionally high primary productivity that supports fisheries and biodiversity, including top order predators, marine mammals and seabirds. This area is one of two feeding areas for blue whales and humpback whales, known to arrive when significant krill aggregations form. The area is also important for seals, other cetaceans, sharks and seabirds</w:t>
      </w:r>
      <w:r w:rsidR="00E051AD" w:rsidRPr="00435ED5">
        <w:rPr>
          <w:rFonts w:ascii="Arial" w:hAnsi="Arial"/>
          <w:sz w:val="22"/>
          <w:szCs w:val="22"/>
        </w:rPr>
        <w:t xml:space="preserve"> (DoE, 2015</w:t>
      </w:r>
      <w:r w:rsidR="00225AD2">
        <w:rPr>
          <w:rFonts w:ascii="Arial" w:hAnsi="Arial"/>
          <w:sz w:val="22"/>
          <w:szCs w:val="22"/>
        </w:rPr>
        <w:t>a</w:t>
      </w:r>
      <w:r w:rsidR="00E051AD" w:rsidRPr="00435ED5">
        <w:rPr>
          <w:rFonts w:ascii="Arial" w:hAnsi="Arial"/>
          <w:sz w:val="22"/>
          <w:szCs w:val="22"/>
        </w:rPr>
        <w:t>)</w:t>
      </w:r>
      <w:r w:rsidRPr="00435ED5">
        <w:rPr>
          <w:rFonts w:ascii="Arial" w:hAnsi="Arial"/>
          <w:sz w:val="22"/>
          <w:szCs w:val="22"/>
        </w:rPr>
        <w:t xml:space="preserve">. </w:t>
      </w:r>
    </w:p>
    <w:p w14:paraId="4DF4E50D" w14:textId="77777777" w:rsidR="00F92BED" w:rsidRPr="00F71A07" w:rsidRDefault="00F92BED" w:rsidP="00657154">
      <w:pPr>
        <w:pStyle w:val="Heading3"/>
      </w:pPr>
      <w:bookmarkStart w:id="194" w:name="_Toc474221997"/>
      <w:bookmarkStart w:id="195" w:name="_Ref475092596"/>
      <w:bookmarkStart w:id="196" w:name="_Ref475092988"/>
      <w:bookmarkStart w:id="197" w:name="_Ref349218365"/>
      <w:bookmarkStart w:id="198" w:name="_Ref476570325"/>
      <w:bookmarkStart w:id="199" w:name="_Toc375214548"/>
      <w:r w:rsidRPr="00F71A07">
        <w:lastRenderedPageBreak/>
        <w:t>Nationally Important Wetlands</w:t>
      </w:r>
      <w:bookmarkEnd w:id="194"/>
      <w:bookmarkEnd w:id="195"/>
      <w:bookmarkEnd w:id="196"/>
      <w:bookmarkEnd w:id="197"/>
      <w:bookmarkEnd w:id="198"/>
      <w:bookmarkEnd w:id="199"/>
    </w:p>
    <w:p w14:paraId="470410E5" w14:textId="1F861CE9" w:rsidR="009F510B" w:rsidRPr="00435ED5" w:rsidRDefault="009F510B" w:rsidP="001E35E7">
      <w:pPr>
        <w:pStyle w:val="bodycopy"/>
        <w:rPr>
          <w:rFonts w:ascii="Arial" w:hAnsi="Arial"/>
          <w:sz w:val="22"/>
          <w:szCs w:val="22"/>
        </w:rPr>
      </w:pPr>
      <w:r w:rsidRPr="00435ED5">
        <w:rPr>
          <w:rFonts w:ascii="Arial" w:hAnsi="Arial"/>
          <w:sz w:val="22"/>
          <w:szCs w:val="22"/>
        </w:rPr>
        <w:t>Nationally important wetlands are considered important for a variety of reasons, including their importance for maintaining ecological and hydrological roles in wetland systems, providing important habitat for animals at a vulnerable stage in their life cycle, supporting 1% or more of the national population of nay native plant or animal taxa or for its outstanding historical or cultural significance (DoEE, 2017</w:t>
      </w:r>
      <w:r w:rsidR="0061115A">
        <w:rPr>
          <w:rFonts w:ascii="Arial" w:hAnsi="Arial"/>
          <w:sz w:val="22"/>
          <w:szCs w:val="22"/>
        </w:rPr>
        <w:t>g</w:t>
      </w:r>
      <w:r w:rsidRPr="00435ED5">
        <w:rPr>
          <w:rFonts w:ascii="Arial" w:hAnsi="Arial"/>
          <w:sz w:val="22"/>
          <w:szCs w:val="22"/>
        </w:rPr>
        <w:t xml:space="preserve">). </w:t>
      </w:r>
    </w:p>
    <w:p w14:paraId="0208ED9F" w14:textId="77777777" w:rsidR="009F510B" w:rsidRPr="00435ED5" w:rsidRDefault="009F510B" w:rsidP="001E35E7">
      <w:pPr>
        <w:pStyle w:val="bodycopy"/>
        <w:rPr>
          <w:rFonts w:ascii="Arial" w:hAnsi="Arial"/>
          <w:sz w:val="22"/>
          <w:szCs w:val="22"/>
        </w:rPr>
      </w:pPr>
      <w:r w:rsidRPr="00435ED5">
        <w:rPr>
          <w:rFonts w:ascii="Arial" w:hAnsi="Arial"/>
          <w:sz w:val="22"/>
          <w:szCs w:val="22"/>
        </w:rPr>
        <w:t xml:space="preserve">In Victoria, management of wetlands is regulated under various legislation, including the </w:t>
      </w:r>
      <w:r w:rsidRPr="008228C7">
        <w:rPr>
          <w:rFonts w:ascii="Arial" w:hAnsi="Arial"/>
          <w:sz w:val="22"/>
          <w:szCs w:val="22"/>
        </w:rPr>
        <w:t>EPBC Act 1999</w:t>
      </w:r>
      <w:r w:rsidR="001E35E7" w:rsidRPr="00435ED5">
        <w:rPr>
          <w:rFonts w:ascii="Arial" w:hAnsi="Arial"/>
          <w:sz w:val="22"/>
          <w:szCs w:val="22"/>
        </w:rPr>
        <w:t xml:space="preserve"> (Cth)</w:t>
      </w:r>
      <w:r w:rsidRPr="00435ED5">
        <w:rPr>
          <w:rFonts w:ascii="Arial" w:hAnsi="Arial"/>
          <w:sz w:val="22"/>
          <w:szCs w:val="22"/>
        </w:rPr>
        <w:t xml:space="preserve">, </w:t>
      </w:r>
      <w:r w:rsidRPr="008228C7">
        <w:rPr>
          <w:rFonts w:ascii="Arial" w:hAnsi="Arial"/>
          <w:sz w:val="22"/>
          <w:szCs w:val="22"/>
        </w:rPr>
        <w:t>FFG Act 1988</w:t>
      </w:r>
      <w:r w:rsidRPr="00435ED5">
        <w:rPr>
          <w:rFonts w:ascii="Arial" w:hAnsi="Arial"/>
          <w:sz w:val="22"/>
          <w:szCs w:val="22"/>
        </w:rPr>
        <w:t xml:space="preserve">, </w:t>
      </w:r>
      <w:r w:rsidRPr="00435ED5">
        <w:rPr>
          <w:rFonts w:ascii="Arial" w:hAnsi="Arial"/>
          <w:i/>
          <w:sz w:val="22"/>
          <w:szCs w:val="22"/>
        </w:rPr>
        <w:t>Planning and Environment Act 1987</w:t>
      </w:r>
      <w:r w:rsidRPr="00435ED5">
        <w:rPr>
          <w:rFonts w:ascii="Arial" w:hAnsi="Arial"/>
          <w:sz w:val="22"/>
          <w:szCs w:val="22"/>
        </w:rPr>
        <w:t xml:space="preserve">, </w:t>
      </w:r>
      <w:r w:rsidRPr="00435ED5">
        <w:rPr>
          <w:rFonts w:ascii="Arial" w:hAnsi="Arial"/>
          <w:i/>
          <w:sz w:val="22"/>
          <w:szCs w:val="22"/>
        </w:rPr>
        <w:t>Catchment and Land Protection Act 1994</w:t>
      </w:r>
      <w:r w:rsidRPr="00435ED5">
        <w:rPr>
          <w:rFonts w:ascii="Arial" w:hAnsi="Arial"/>
          <w:sz w:val="22"/>
          <w:szCs w:val="22"/>
        </w:rPr>
        <w:t xml:space="preserve"> and </w:t>
      </w:r>
      <w:r w:rsidRPr="00435ED5">
        <w:rPr>
          <w:rFonts w:ascii="Arial" w:hAnsi="Arial"/>
          <w:i/>
          <w:sz w:val="22"/>
          <w:szCs w:val="22"/>
        </w:rPr>
        <w:t>Water Act 1989</w:t>
      </w:r>
      <w:r w:rsidRPr="00435ED5">
        <w:rPr>
          <w:rFonts w:ascii="Arial" w:hAnsi="Arial"/>
          <w:sz w:val="22"/>
          <w:szCs w:val="22"/>
        </w:rPr>
        <w:t xml:space="preserve">. </w:t>
      </w:r>
    </w:p>
    <w:p w14:paraId="2B90AABB" w14:textId="62A15CB4" w:rsidR="009F510B" w:rsidRPr="003A23B8" w:rsidRDefault="009F510B" w:rsidP="001E35E7">
      <w:pPr>
        <w:pStyle w:val="bodycopy"/>
        <w:rPr>
          <w:rFonts w:ascii="Arial" w:hAnsi="Arial"/>
          <w:sz w:val="22"/>
          <w:szCs w:val="22"/>
        </w:rPr>
      </w:pPr>
      <w:r w:rsidRPr="00435ED5">
        <w:rPr>
          <w:rFonts w:ascii="Arial" w:hAnsi="Arial"/>
          <w:sz w:val="22"/>
          <w:szCs w:val="22"/>
        </w:rPr>
        <w:t>Several nationally important wetlands occur along the coast of the EMBA</w:t>
      </w:r>
      <w:r w:rsidR="00FE7769" w:rsidRPr="00435ED5">
        <w:rPr>
          <w:rFonts w:ascii="Arial" w:hAnsi="Arial"/>
          <w:sz w:val="22"/>
          <w:szCs w:val="22"/>
        </w:rPr>
        <w:t xml:space="preserve">, which </w:t>
      </w:r>
      <w:r w:rsidR="00F03783" w:rsidRPr="00435ED5">
        <w:rPr>
          <w:rFonts w:ascii="Arial" w:hAnsi="Arial"/>
          <w:sz w:val="22"/>
          <w:szCs w:val="22"/>
        </w:rPr>
        <w:t xml:space="preserve">are </w:t>
      </w:r>
      <w:r w:rsidR="00FE7769" w:rsidRPr="00435ED5">
        <w:rPr>
          <w:rFonts w:ascii="Arial" w:hAnsi="Arial"/>
          <w:sz w:val="22"/>
          <w:szCs w:val="22"/>
        </w:rPr>
        <w:t xml:space="preserve">shown </w:t>
      </w:r>
      <w:r w:rsidR="00FE7769" w:rsidRPr="003A03BA">
        <w:rPr>
          <w:rFonts w:ascii="Arial" w:hAnsi="Arial"/>
          <w:sz w:val="22"/>
          <w:szCs w:val="22"/>
        </w:rPr>
        <w:t>in Figure 5.1</w:t>
      </w:r>
      <w:r w:rsidR="00B521E4" w:rsidRPr="003A03BA">
        <w:rPr>
          <w:rFonts w:ascii="Arial" w:hAnsi="Arial"/>
          <w:sz w:val="22"/>
          <w:szCs w:val="22"/>
        </w:rPr>
        <w:t>0</w:t>
      </w:r>
      <w:r w:rsidR="00FE7769" w:rsidRPr="003A03BA">
        <w:rPr>
          <w:rFonts w:ascii="Arial" w:hAnsi="Arial"/>
          <w:sz w:val="22"/>
          <w:szCs w:val="22"/>
        </w:rPr>
        <w:t xml:space="preserve"> and </w:t>
      </w:r>
      <w:r w:rsidR="00F03783" w:rsidRPr="003A03BA">
        <w:rPr>
          <w:rFonts w:ascii="Arial" w:hAnsi="Arial"/>
          <w:sz w:val="22"/>
          <w:szCs w:val="22"/>
        </w:rPr>
        <w:t>listed and described in Table 5.</w:t>
      </w:r>
      <w:r w:rsidR="00B521E4" w:rsidRPr="003A03BA">
        <w:rPr>
          <w:rFonts w:ascii="Arial" w:hAnsi="Arial"/>
          <w:sz w:val="22"/>
          <w:szCs w:val="22"/>
        </w:rPr>
        <w:t>4</w:t>
      </w:r>
      <w:r w:rsidR="00F03783" w:rsidRPr="003A03BA">
        <w:rPr>
          <w:rFonts w:ascii="Arial" w:hAnsi="Arial"/>
          <w:sz w:val="22"/>
          <w:szCs w:val="22"/>
        </w:rPr>
        <w:t>.</w:t>
      </w:r>
      <w:r w:rsidR="00F03783" w:rsidRPr="003A23B8">
        <w:rPr>
          <w:rFonts w:ascii="Arial" w:hAnsi="Arial"/>
          <w:sz w:val="22"/>
          <w:szCs w:val="22"/>
        </w:rPr>
        <w:t xml:space="preserve"> </w:t>
      </w:r>
    </w:p>
    <w:p w14:paraId="67F283BA" w14:textId="77777777" w:rsidR="0053197F" w:rsidRPr="00435ED5" w:rsidRDefault="0053197F" w:rsidP="001E35E7">
      <w:pPr>
        <w:pStyle w:val="bodycopy"/>
        <w:rPr>
          <w:rFonts w:ascii="Arial" w:hAnsi="Arial"/>
          <w:sz w:val="22"/>
          <w:szCs w:val="22"/>
        </w:rPr>
        <w:sectPr w:rsidR="0053197F" w:rsidRPr="00435ED5" w:rsidSect="00B4362B">
          <w:headerReference w:type="even" r:id="rId81"/>
          <w:headerReference w:type="default" r:id="rId82"/>
          <w:footerReference w:type="default" r:id="rId83"/>
          <w:headerReference w:type="first" r:id="rId84"/>
          <w:pgSz w:w="11906" w:h="16838" w:code="9"/>
          <w:pgMar w:top="1276" w:right="1800" w:bottom="1440" w:left="1800" w:header="994" w:footer="706" w:gutter="0"/>
          <w:cols w:space="708"/>
          <w:docGrid w:linePitch="360"/>
        </w:sectPr>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957"/>
      </w:tblGrid>
      <w:tr w:rsidR="00FE7769" w14:paraId="1E666F98" w14:textId="77777777" w:rsidTr="005127F3">
        <w:trPr>
          <w:jc w:val="center"/>
        </w:trPr>
        <w:tc>
          <w:tcPr>
            <w:tcW w:w="11957" w:type="dxa"/>
            <w:shd w:val="clear" w:color="auto" w:fill="auto"/>
          </w:tcPr>
          <w:p w14:paraId="6CA55979" w14:textId="492A370A" w:rsidR="00FE7769" w:rsidRPr="005127F3" w:rsidRDefault="00AD1C4D" w:rsidP="005127F3">
            <w:pPr>
              <w:pStyle w:val="bodycopy"/>
              <w:spacing w:after="0"/>
              <w:rPr>
                <w:lang w:val="en"/>
              </w:rPr>
            </w:pPr>
            <w:r>
              <w:rPr>
                <w:lang w:val="en"/>
              </w:rPr>
              <w:lastRenderedPageBreak/>
              <w:pict w14:anchorId="69848FB3">
                <v:shape id="_x0000_i1028" type="#_x0000_t75" style="width:583.65pt;height:397.15pt">
                  <v:imagedata r:id="rId85" o:title="31_EP_Nationally_Important_Wetlands" croptop="1500f" cropbottom="2677f" cropleft="1066f" cropright="1133f"/>
                </v:shape>
              </w:pict>
            </w:r>
          </w:p>
        </w:tc>
      </w:tr>
    </w:tbl>
    <w:p w14:paraId="0D1659DA" w14:textId="30E6025D" w:rsidR="00FE7769" w:rsidRPr="00435ED5" w:rsidRDefault="00FE7769" w:rsidP="005127F3">
      <w:pPr>
        <w:pStyle w:val="bodycopy"/>
        <w:spacing w:before="120" w:after="240"/>
        <w:jc w:val="center"/>
        <w:rPr>
          <w:rFonts w:ascii="Arial" w:hAnsi="Arial"/>
          <w:b/>
          <w:sz w:val="20"/>
        </w:rPr>
      </w:pPr>
      <w:r w:rsidRPr="00435ED5">
        <w:rPr>
          <w:rFonts w:ascii="Arial" w:hAnsi="Arial"/>
          <w:b/>
          <w:sz w:val="20"/>
        </w:rPr>
        <w:t>Figure 5.1</w:t>
      </w:r>
      <w:r w:rsidR="00B521E4">
        <w:rPr>
          <w:rFonts w:ascii="Arial" w:hAnsi="Arial"/>
          <w:b/>
          <w:sz w:val="20"/>
        </w:rPr>
        <w:t>0</w:t>
      </w:r>
      <w:r w:rsidRPr="00435ED5">
        <w:rPr>
          <w:rFonts w:ascii="Arial" w:hAnsi="Arial"/>
          <w:b/>
          <w:sz w:val="20"/>
        </w:rPr>
        <w:t>.</w:t>
      </w:r>
      <w:r w:rsidRPr="00435ED5">
        <w:rPr>
          <w:rFonts w:ascii="Arial" w:hAnsi="Arial"/>
          <w:b/>
          <w:sz w:val="20"/>
        </w:rPr>
        <w:tab/>
        <w:t>Nationally important wetlands located within the EMBA</w:t>
      </w:r>
    </w:p>
    <w:p w14:paraId="66B0BE4E" w14:textId="636E3F27" w:rsidR="00F03783" w:rsidRPr="00435ED5" w:rsidRDefault="00F03783" w:rsidP="00F03783">
      <w:pPr>
        <w:pStyle w:val="bodycopy"/>
        <w:jc w:val="center"/>
        <w:rPr>
          <w:rFonts w:ascii="Arial" w:hAnsi="Arial"/>
          <w:sz w:val="20"/>
        </w:rPr>
      </w:pPr>
      <w:r w:rsidRPr="00435ED5">
        <w:rPr>
          <w:rFonts w:ascii="Arial" w:hAnsi="Arial"/>
          <w:b/>
          <w:sz w:val="20"/>
        </w:rPr>
        <w:lastRenderedPageBreak/>
        <w:t>Table 5.</w:t>
      </w:r>
      <w:r w:rsidR="00B521E4">
        <w:rPr>
          <w:rFonts w:ascii="Arial" w:hAnsi="Arial"/>
          <w:b/>
          <w:sz w:val="20"/>
        </w:rPr>
        <w:t>4</w:t>
      </w:r>
      <w:r w:rsidRPr="00435ED5">
        <w:rPr>
          <w:rFonts w:ascii="Arial" w:hAnsi="Arial"/>
          <w:b/>
          <w:sz w:val="20"/>
        </w:rPr>
        <w:t>.</w:t>
      </w:r>
      <w:r w:rsidRPr="00435ED5">
        <w:rPr>
          <w:rFonts w:ascii="Arial" w:hAnsi="Arial"/>
          <w:b/>
          <w:sz w:val="20"/>
        </w:rPr>
        <w:tab/>
        <w:t xml:space="preserve">Nationally important wetlands in the EMBA </w:t>
      </w:r>
    </w:p>
    <w:tbl>
      <w:tblPr>
        <w:tblW w:w="1385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2235"/>
        <w:gridCol w:w="1701"/>
        <w:gridCol w:w="9922"/>
      </w:tblGrid>
      <w:tr w:rsidR="005747A2" w:rsidRPr="00435ED5" w14:paraId="5EBFFD8C" w14:textId="77777777" w:rsidTr="00EB78E5">
        <w:trPr>
          <w:tblHeader/>
        </w:trPr>
        <w:tc>
          <w:tcPr>
            <w:tcW w:w="2235" w:type="dxa"/>
            <w:shd w:val="clear" w:color="auto" w:fill="064EA8"/>
          </w:tcPr>
          <w:p w14:paraId="2581AB27" w14:textId="77777777" w:rsidR="005747A2" w:rsidRPr="00435ED5" w:rsidRDefault="005747A2" w:rsidP="00435ED5">
            <w:pPr>
              <w:pStyle w:val="bodycopy"/>
              <w:spacing w:before="40" w:after="40"/>
              <w:rPr>
                <w:rFonts w:ascii="Arial" w:hAnsi="Arial"/>
                <w:color w:val="FFFFFF" w:themeColor="background1"/>
                <w:sz w:val="20"/>
              </w:rPr>
            </w:pPr>
            <w:r w:rsidRPr="00435ED5">
              <w:rPr>
                <w:rFonts w:ascii="Arial" w:hAnsi="Arial"/>
                <w:color w:val="FFFFFF" w:themeColor="background1"/>
                <w:sz w:val="20"/>
              </w:rPr>
              <w:t>Wetland name, identification and distance from survey area</w:t>
            </w:r>
          </w:p>
        </w:tc>
        <w:tc>
          <w:tcPr>
            <w:tcW w:w="1701" w:type="dxa"/>
            <w:shd w:val="clear" w:color="auto" w:fill="064EA8"/>
          </w:tcPr>
          <w:p w14:paraId="7A8FB175" w14:textId="77777777" w:rsidR="005747A2" w:rsidRPr="00435ED5" w:rsidRDefault="005747A2" w:rsidP="00435ED5">
            <w:pPr>
              <w:pStyle w:val="bodycopy"/>
              <w:spacing w:before="40" w:after="40"/>
              <w:rPr>
                <w:rFonts w:ascii="Arial" w:hAnsi="Arial"/>
                <w:color w:val="FFFFFF" w:themeColor="background1"/>
                <w:sz w:val="20"/>
              </w:rPr>
            </w:pPr>
            <w:r w:rsidRPr="00435ED5">
              <w:rPr>
                <w:rFonts w:ascii="Arial" w:hAnsi="Arial"/>
                <w:color w:val="FFFFFF" w:themeColor="background1"/>
                <w:sz w:val="20"/>
              </w:rPr>
              <w:t>Connection to the sea</w:t>
            </w:r>
          </w:p>
        </w:tc>
        <w:tc>
          <w:tcPr>
            <w:tcW w:w="9922" w:type="dxa"/>
            <w:shd w:val="clear" w:color="auto" w:fill="064EA8"/>
          </w:tcPr>
          <w:p w14:paraId="7597E1D7" w14:textId="77777777" w:rsidR="005747A2" w:rsidRPr="00435ED5" w:rsidRDefault="005747A2" w:rsidP="00435ED5">
            <w:pPr>
              <w:pStyle w:val="bodycopy"/>
              <w:spacing w:before="40" w:after="40"/>
              <w:rPr>
                <w:rFonts w:ascii="Arial" w:hAnsi="Arial"/>
                <w:color w:val="FFFFFF" w:themeColor="background1"/>
                <w:sz w:val="20"/>
              </w:rPr>
            </w:pPr>
            <w:r w:rsidRPr="00435ED5">
              <w:rPr>
                <w:rFonts w:ascii="Arial" w:hAnsi="Arial"/>
                <w:color w:val="FFFFFF" w:themeColor="background1"/>
                <w:sz w:val="20"/>
              </w:rPr>
              <w:t>Brief description of significance and criteria for selection*</w:t>
            </w:r>
          </w:p>
        </w:tc>
      </w:tr>
      <w:tr w:rsidR="005747A2" w:rsidRPr="00435ED5" w14:paraId="08F6A638" w14:textId="77777777" w:rsidTr="00514376">
        <w:tc>
          <w:tcPr>
            <w:tcW w:w="2235" w:type="dxa"/>
            <w:shd w:val="clear" w:color="auto" w:fill="auto"/>
          </w:tcPr>
          <w:p w14:paraId="066EDB39" w14:textId="77777777" w:rsidR="005747A2" w:rsidRPr="00435ED5" w:rsidRDefault="005747A2" w:rsidP="00435ED5">
            <w:pPr>
              <w:pStyle w:val="bodycopy"/>
              <w:spacing w:before="40" w:after="40"/>
              <w:rPr>
                <w:rFonts w:ascii="Arial" w:hAnsi="Arial"/>
                <w:b/>
                <w:sz w:val="20"/>
              </w:rPr>
            </w:pPr>
            <w:r w:rsidRPr="00435ED5">
              <w:rPr>
                <w:rFonts w:ascii="Arial" w:hAnsi="Arial"/>
                <w:b/>
                <w:sz w:val="20"/>
              </w:rPr>
              <w:t>Corner Inlet (VIC066)</w:t>
            </w:r>
          </w:p>
          <w:p w14:paraId="65DCDABE" w14:textId="77777777" w:rsidR="005747A2" w:rsidRPr="00435ED5" w:rsidRDefault="000640CA" w:rsidP="00435ED5">
            <w:pPr>
              <w:pStyle w:val="bodycopy"/>
              <w:spacing w:before="40" w:after="40"/>
              <w:rPr>
                <w:rFonts w:ascii="Arial" w:hAnsi="Arial"/>
                <w:i/>
                <w:sz w:val="20"/>
              </w:rPr>
            </w:pPr>
            <w:r w:rsidRPr="00435ED5">
              <w:rPr>
                <w:rFonts w:ascii="Arial" w:hAnsi="Arial"/>
                <w:i/>
                <w:sz w:val="20"/>
              </w:rPr>
              <w:t>47</w:t>
            </w:r>
            <w:r w:rsidR="005747A2" w:rsidRPr="00435ED5">
              <w:rPr>
                <w:rFonts w:ascii="Arial" w:hAnsi="Arial"/>
                <w:i/>
                <w:sz w:val="20"/>
              </w:rPr>
              <w:t xml:space="preserve"> km</w:t>
            </w:r>
            <w:r w:rsidRPr="00435ED5">
              <w:rPr>
                <w:rFonts w:ascii="Arial" w:hAnsi="Arial"/>
                <w:i/>
                <w:sz w:val="20"/>
              </w:rPr>
              <w:t xml:space="preserve"> south</w:t>
            </w:r>
            <w:r w:rsidR="005747A2" w:rsidRPr="00435ED5">
              <w:rPr>
                <w:rFonts w:ascii="Arial" w:hAnsi="Arial"/>
                <w:i/>
                <w:sz w:val="20"/>
              </w:rPr>
              <w:t xml:space="preserve">west of </w:t>
            </w:r>
            <w:r w:rsidR="006E7C56" w:rsidRPr="00435ED5">
              <w:rPr>
                <w:rFonts w:ascii="Arial" w:hAnsi="Arial"/>
                <w:i/>
                <w:sz w:val="20"/>
              </w:rPr>
              <w:t xml:space="preserve">proposed </w:t>
            </w:r>
            <w:r w:rsidR="005747A2" w:rsidRPr="00435ED5">
              <w:rPr>
                <w:rFonts w:ascii="Arial" w:hAnsi="Arial"/>
                <w:i/>
                <w:sz w:val="20"/>
              </w:rPr>
              <w:t>acquisition area</w:t>
            </w:r>
            <w:r w:rsidR="00E96055" w:rsidRPr="00435ED5">
              <w:rPr>
                <w:rFonts w:ascii="Arial" w:hAnsi="Arial"/>
                <w:i/>
                <w:sz w:val="20"/>
              </w:rPr>
              <w:t xml:space="preserve"> (to the eastern-most boundary)</w:t>
            </w:r>
          </w:p>
        </w:tc>
        <w:tc>
          <w:tcPr>
            <w:tcW w:w="1701" w:type="dxa"/>
            <w:shd w:val="clear" w:color="auto" w:fill="auto"/>
          </w:tcPr>
          <w:p w14:paraId="64C09E56" w14:textId="77777777" w:rsidR="005747A2" w:rsidRPr="00435ED5" w:rsidRDefault="005747A2" w:rsidP="00435ED5">
            <w:pPr>
              <w:pStyle w:val="bodycopy"/>
              <w:spacing w:before="40" w:after="40"/>
              <w:rPr>
                <w:rFonts w:ascii="Arial" w:hAnsi="Arial"/>
                <w:sz w:val="20"/>
              </w:rPr>
            </w:pPr>
            <w:r w:rsidRPr="00435ED5">
              <w:rPr>
                <w:rFonts w:ascii="Arial" w:hAnsi="Arial"/>
                <w:sz w:val="20"/>
              </w:rPr>
              <w:t>Permanent, tidal.</w:t>
            </w:r>
          </w:p>
        </w:tc>
        <w:tc>
          <w:tcPr>
            <w:tcW w:w="9922" w:type="dxa"/>
            <w:shd w:val="clear" w:color="auto" w:fill="auto"/>
          </w:tcPr>
          <w:p w14:paraId="4C8737FC" w14:textId="213798EB" w:rsidR="005747A2" w:rsidRPr="00435ED5" w:rsidRDefault="005747A2" w:rsidP="00435ED5">
            <w:pPr>
              <w:pStyle w:val="bodycopy"/>
              <w:spacing w:before="40" w:after="40"/>
              <w:rPr>
                <w:rFonts w:ascii="Arial" w:hAnsi="Arial"/>
                <w:sz w:val="20"/>
              </w:rPr>
            </w:pPr>
            <w:r w:rsidRPr="00435ED5">
              <w:rPr>
                <w:rFonts w:ascii="Arial" w:hAnsi="Arial"/>
                <w:sz w:val="20"/>
              </w:rPr>
              <w:t>Criteria f</w:t>
            </w:r>
            <w:r w:rsidR="00EB78E5">
              <w:rPr>
                <w:rFonts w:ascii="Arial" w:hAnsi="Arial"/>
                <w:sz w:val="20"/>
              </w:rPr>
              <w:t>or selection: 1, 3, 4, 5 (see the selection criteria at the end of this table).</w:t>
            </w:r>
          </w:p>
          <w:p w14:paraId="7A7BAA37" w14:textId="77777777" w:rsidR="005747A2" w:rsidRPr="00435ED5" w:rsidRDefault="005747A2" w:rsidP="00435ED5">
            <w:pPr>
              <w:pStyle w:val="bodycopy"/>
              <w:spacing w:before="40" w:after="40"/>
              <w:rPr>
                <w:rFonts w:ascii="Arial" w:hAnsi="Arial"/>
                <w:sz w:val="20"/>
              </w:rPr>
            </w:pPr>
            <w:r w:rsidRPr="00435ED5">
              <w:rPr>
                <w:rFonts w:ascii="Arial" w:hAnsi="Arial"/>
                <w:sz w:val="20"/>
              </w:rPr>
              <w:t xml:space="preserve">Covers an area of 51,500 ha in water depths from 0 – 10 m. </w:t>
            </w:r>
          </w:p>
          <w:p w14:paraId="753E00DB" w14:textId="1788829F" w:rsidR="005747A2" w:rsidRPr="00435ED5" w:rsidRDefault="005747A2" w:rsidP="00435ED5">
            <w:pPr>
              <w:pStyle w:val="bodycopy"/>
              <w:spacing w:before="40" w:after="40"/>
              <w:rPr>
                <w:rFonts w:ascii="Arial" w:hAnsi="Arial"/>
                <w:sz w:val="20"/>
              </w:rPr>
            </w:pPr>
            <w:r w:rsidRPr="00435ED5">
              <w:rPr>
                <w:rFonts w:ascii="Arial" w:hAnsi="Arial"/>
                <w:sz w:val="20"/>
              </w:rPr>
              <w:t>The site is of international zoological significance due to its geographical position and of national geomorphological significance as an example of barrier island formation. Corner Inlet is the best example of a wetland enclosed by barrier islands in Victoria and it contains the most extensive intertidal flats in Victoria, which provide large feeding grounds for many waterfowl and wader species.</w:t>
            </w:r>
          </w:p>
          <w:p w14:paraId="66B3BB95" w14:textId="50C0A9D0" w:rsidR="005747A2" w:rsidRPr="00435ED5" w:rsidRDefault="005747A2" w:rsidP="00435ED5">
            <w:pPr>
              <w:pStyle w:val="bodycopy"/>
              <w:spacing w:before="40" w:after="40"/>
              <w:rPr>
                <w:rFonts w:ascii="Arial" w:hAnsi="Arial"/>
                <w:sz w:val="20"/>
              </w:rPr>
            </w:pPr>
            <w:r w:rsidRPr="00435ED5">
              <w:rPr>
                <w:rFonts w:ascii="Arial" w:hAnsi="Arial"/>
                <w:sz w:val="20"/>
              </w:rPr>
              <w:t>Corner Inlet contains the most southerly occurrence of white mangrove (</w:t>
            </w:r>
            <w:r w:rsidRPr="00435ED5">
              <w:rPr>
                <w:rFonts w:ascii="Arial" w:hAnsi="Arial"/>
                <w:i/>
                <w:sz w:val="20"/>
              </w:rPr>
              <w:t>Avicennia marina</w:t>
            </w:r>
            <w:r w:rsidRPr="00435ED5">
              <w:rPr>
                <w:rFonts w:ascii="Arial" w:hAnsi="Arial"/>
                <w:sz w:val="20"/>
              </w:rPr>
              <w:t>) in the world and the only extensive bed of the b</w:t>
            </w:r>
            <w:r w:rsidR="008153A6">
              <w:rPr>
                <w:rFonts w:ascii="Arial" w:hAnsi="Arial"/>
                <w:sz w:val="20"/>
              </w:rPr>
              <w:t>r</w:t>
            </w:r>
            <w:r w:rsidRPr="00435ED5">
              <w:rPr>
                <w:rFonts w:ascii="Arial" w:hAnsi="Arial"/>
                <w:sz w:val="20"/>
              </w:rPr>
              <w:t>oad-leafed seagrass (</w:t>
            </w:r>
            <w:r w:rsidRPr="00435ED5">
              <w:rPr>
                <w:rFonts w:ascii="Arial" w:hAnsi="Arial"/>
                <w:i/>
                <w:sz w:val="20"/>
              </w:rPr>
              <w:t>Posidonia australis</w:t>
            </w:r>
            <w:r w:rsidRPr="00435ED5">
              <w:rPr>
                <w:rFonts w:ascii="Arial" w:hAnsi="Arial"/>
                <w:sz w:val="20"/>
              </w:rPr>
              <w:t>) in Victoria.</w:t>
            </w:r>
          </w:p>
          <w:p w14:paraId="18301DDF" w14:textId="77777777" w:rsidR="005747A2" w:rsidRPr="00435ED5" w:rsidRDefault="005747A2" w:rsidP="00435ED5">
            <w:pPr>
              <w:pStyle w:val="bodycopy"/>
              <w:spacing w:before="40" w:after="40"/>
              <w:rPr>
                <w:rFonts w:ascii="Arial" w:hAnsi="Arial"/>
                <w:sz w:val="20"/>
              </w:rPr>
            </w:pPr>
            <w:r w:rsidRPr="00435ED5">
              <w:rPr>
                <w:rFonts w:ascii="Arial" w:hAnsi="Arial"/>
                <w:sz w:val="20"/>
              </w:rPr>
              <w:t>Sixty-one waterbird species have been recorded in Corner Inlet, with the white-bellied sea-eagle (</w:t>
            </w:r>
            <w:r w:rsidRPr="00435ED5">
              <w:rPr>
                <w:rFonts w:ascii="Arial" w:hAnsi="Arial"/>
                <w:i/>
                <w:sz w:val="20"/>
              </w:rPr>
              <w:t>Haliaeetus leucogaster</w:t>
            </w:r>
            <w:r w:rsidRPr="00435ED5">
              <w:rPr>
                <w:rFonts w:ascii="Arial" w:hAnsi="Arial"/>
                <w:sz w:val="20"/>
              </w:rPr>
              <w:t>) nesting on Islands off Port Albert and the orange-bellied parrot (</w:t>
            </w:r>
            <w:r w:rsidRPr="00435ED5">
              <w:rPr>
                <w:rFonts w:ascii="Arial" w:hAnsi="Arial"/>
                <w:i/>
                <w:sz w:val="20"/>
              </w:rPr>
              <w:t>Neophema chrysogaster</w:t>
            </w:r>
            <w:r w:rsidRPr="00435ED5">
              <w:rPr>
                <w:rFonts w:ascii="Arial" w:hAnsi="Arial"/>
                <w:sz w:val="20"/>
              </w:rPr>
              <w:t>) feeding in small numbers on the islands off Yanakie. The hooded plover (</w:t>
            </w:r>
            <w:r w:rsidRPr="00435ED5">
              <w:rPr>
                <w:rFonts w:ascii="Arial" w:hAnsi="Arial"/>
                <w:i/>
                <w:sz w:val="20"/>
              </w:rPr>
              <w:t>Thinornis rubricollis</w:t>
            </w:r>
            <w:r w:rsidRPr="00435ED5">
              <w:rPr>
                <w:rFonts w:ascii="Arial" w:hAnsi="Arial"/>
                <w:sz w:val="20"/>
              </w:rPr>
              <w:t>), little tern (</w:t>
            </w:r>
            <w:r w:rsidRPr="00435ED5">
              <w:rPr>
                <w:rFonts w:ascii="Arial" w:hAnsi="Arial"/>
                <w:i/>
                <w:sz w:val="20"/>
              </w:rPr>
              <w:t>Sterna albifrons</w:t>
            </w:r>
            <w:r w:rsidRPr="00435ED5">
              <w:rPr>
                <w:rFonts w:ascii="Arial" w:hAnsi="Arial"/>
                <w:sz w:val="20"/>
              </w:rPr>
              <w:t>) and fairy tern (</w:t>
            </w:r>
            <w:r w:rsidRPr="00435ED5">
              <w:rPr>
                <w:rFonts w:ascii="Arial" w:hAnsi="Arial"/>
                <w:i/>
                <w:sz w:val="20"/>
              </w:rPr>
              <w:t>S. nereis</w:t>
            </w:r>
            <w:r w:rsidRPr="00435ED5">
              <w:rPr>
                <w:rFonts w:ascii="Arial" w:hAnsi="Arial"/>
                <w:sz w:val="20"/>
              </w:rPr>
              <w:t>) have been recorded in Corner Inlet. Corner Inlet regularly has supported over 20% of the total known Victorian wader population and an estimated 50% of the over-wintering Victorian population of migratory wader species, and has supported more than 1% of the national wader population and may contain 15% of the world population of eastern curlew (</w:t>
            </w:r>
            <w:r w:rsidRPr="00435ED5">
              <w:rPr>
                <w:rFonts w:ascii="Arial" w:hAnsi="Arial"/>
                <w:i/>
                <w:sz w:val="20"/>
              </w:rPr>
              <w:t>Numenius madagascariensis</w:t>
            </w:r>
            <w:r w:rsidRPr="00435ED5">
              <w:rPr>
                <w:rFonts w:ascii="Arial" w:hAnsi="Arial"/>
                <w:sz w:val="20"/>
              </w:rPr>
              <w:t>).</w:t>
            </w:r>
          </w:p>
        </w:tc>
      </w:tr>
      <w:tr w:rsidR="005747A2" w:rsidRPr="00435ED5" w14:paraId="5D9E7AD1" w14:textId="77777777" w:rsidTr="00514376">
        <w:tc>
          <w:tcPr>
            <w:tcW w:w="2235" w:type="dxa"/>
            <w:shd w:val="clear" w:color="auto" w:fill="auto"/>
          </w:tcPr>
          <w:p w14:paraId="79535A47" w14:textId="77777777" w:rsidR="005747A2" w:rsidRPr="00435ED5" w:rsidRDefault="005747A2" w:rsidP="00435ED5">
            <w:pPr>
              <w:pStyle w:val="bodycopy"/>
              <w:spacing w:before="40" w:after="40"/>
              <w:rPr>
                <w:rFonts w:ascii="Arial" w:hAnsi="Arial"/>
                <w:b/>
                <w:sz w:val="20"/>
              </w:rPr>
            </w:pPr>
            <w:r w:rsidRPr="00435ED5">
              <w:rPr>
                <w:rFonts w:ascii="Arial" w:hAnsi="Arial"/>
                <w:b/>
                <w:sz w:val="20"/>
              </w:rPr>
              <w:t>Jack Smith Lake (VIC069)</w:t>
            </w:r>
          </w:p>
          <w:p w14:paraId="0DBB4EE1" w14:textId="77777777" w:rsidR="005747A2" w:rsidRPr="00435ED5" w:rsidRDefault="00AB40B5" w:rsidP="00435ED5">
            <w:pPr>
              <w:pStyle w:val="bodycopy"/>
              <w:spacing w:before="40" w:after="40"/>
              <w:rPr>
                <w:rFonts w:ascii="Arial" w:hAnsi="Arial"/>
                <w:i/>
                <w:sz w:val="20"/>
              </w:rPr>
            </w:pPr>
            <w:r w:rsidRPr="00435ED5">
              <w:rPr>
                <w:rFonts w:ascii="Arial" w:hAnsi="Arial"/>
                <w:i/>
                <w:sz w:val="20"/>
              </w:rPr>
              <w:t>26</w:t>
            </w:r>
            <w:r w:rsidR="006E7C56" w:rsidRPr="00435ED5">
              <w:rPr>
                <w:rFonts w:ascii="Arial" w:hAnsi="Arial"/>
                <w:i/>
                <w:sz w:val="20"/>
              </w:rPr>
              <w:t xml:space="preserve"> km </w:t>
            </w:r>
            <w:r w:rsidR="000640CA" w:rsidRPr="00435ED5">
              <w:rPr>
                <w:rFonts w:ascii="Arial" w:hAnsi="Arial"/>
                <w:i/>
                <w:sz w:val="20"/>
              </w:rPr>
              <w:t>south</w:t>
            </w:r>
            <w:r w:rsidR="006E7C56" w:rsidRPr="00435ED5">
              <w:rPr>
                <w:rFonts w:ascii="Arial" w:hAnsi="Arial"/>
                <w:i/>
                <w:sz w:val="20"/>
              </w:rPr>
              <w:t>west of proposed acquisition area</w:t>
            </w:r>
            <w:r w:rsidR="001039D1" w:rsidRPr="00435ED5">
              <w:rPr>
                <w:rFonts w:ascii="Arial" w:hAnsi="Arial"/>
                <w:i/>
                <w:sz w:val="20"/>
              </w:rPr>
              <w:t xml:space="preserve"> (</w:t>
            </w:r>
            <w:r w:rsidR="00E96055" w:rsidRPr="00435ED5">
              <w:rPr>
                <w:rFonts w:ascii="Arial" w:hAnsi="Arial"/>
                <w:i/>
                <w:sz w:val="20"/>
              </w:rPr>
              <w:t xml:space="preserve">to the </w:t>
            </w:r>
            <w:r w:rsidR="001039D1" w:rsidRPr="00435ED5">
              <w:rPr>
                <w:rFonts w:ascii="Arial" w:hAnsi="Arial"/>
                <w:i/>
                <w:sz w:val="20"/>
              </w:rPr>
              <w:t>ea</w:t>
            </w:r>
            <w:r w:rsidR="00E96055" w:rsidRPr="00435ED5">
              <w:rPr>
                <w:rFonts w:ascii="Arial" w:hAnsi="Arial"/>
                <w:i/>
                <w:sz w:val="20"/>
              </w:rPr>
              <w:t>stern-most boundary</w:t>
            </w:r>
            <w:r w:rsidR="001039D1" w:rsidRPr="00435ED5">
              <w:rPr>
                <w:rFonts w:ascii="Arial" w:hAnsi="Arial"/>
                <w:i/>
                <w:sz w:val="20"/>
              </w:rPr>
              <w:t>)</w:t>
            </w:r>
          </w:p>
        </w:tc>
        <w:tc>
          <w:tcPr>
            <w:tcW w:w="1701" w:type="dxa"/>
            <w:shd w:val="clear" w:color="auto" w:fill="auto"/>
          </w:tcPr>
          <w:p w14:paraId="65CDD598" w14:textId="77777777" w:rsidR="005747A2" w:rsidRPr="00435ED5" w:rsidRDefault="00C34B67" w:rsidP="00435ED5">
            <w:pPr>
              <w:pStyle w:val="bodycopy"/>
              <w:spacing w:before="40" w:after="40"/>
              <w:rPr>
                <w:rFonts w:ascii="Arial" w:hAnsi="Arial"/>
                <w:sz w:val="20"/>
              </w:rPr>
            </w:pPr>
            <w:r w:rsidRPr="00435ED5">
              <w:rPr>
                <w:rFonts w:ascii="Arial" w:hAnsi="Arial"/>
                <w:sz w:val="20"/>
              </w:rPr>
              <w:t>Intermittently open.</w:t>
            </w:r>
          </w:p>
          <w:p w14:paraId="2488097A" w14:textId="77777777" w:rsidR="005747A2" w:rsidRPr="00435ED5" w:rsidRDefault="005747A2" w:rsidP="00435ED5">
            <w:pPr>
              <w:pStyle w:val="bodycopy"/>
              <w:spacing w:before="40" w:after="40"/>
              <w:rPr>
                <w:rFonts w:ascii="Arial" w:hAnsi="Arial"/>
                <w:sz w:val="20"/>
              </w:rPr>
            </w:pPr>
            <w:r w:rsidRPr="00435ED5">
              <w:rPr>
                <w:rFonts w:ascii="Arial" w:hAnsi="Arial"/>
                <w:sz w:val="20"/>
              </w:rPr>
              <w:t>A drop board regulator acts as a control structure on an artificial ocean outlet to prevent flooding.</w:t>
            </w:r>
          </w:p>
        </w:tc>
        <w:tc>
          <w:tcPr>
            <w:tcW w:w="9922" w:type="dxa"/>
            <w:shd w:val="clear" w:color="auto" w:fill="auto"/>
          </w:tcPr>
          <w:p w14:paraId="11E05E52" w14:textId="77777777" w:rsidR="005747A2" w:rsidRPr="00435ED5" w:rsidRDefault="005747A2" w:rsidP="00435ED5">
            <w:pPr>
              <w:pStyle w:val="bodycopy"/>
              <w:spacing w:before="40" w:after="40"/>
              <w:rPr>
                <w:rFonts w:ascii="Arial" w:hAnsi="Arial"/>
                <w:sz w:val="20"/>
              </w:rPr>
            </w:pPr>
            <w:r w:rsidRPr="00435ED5">
              <w:rPr>
                <w:rFonts w:ascii="Arial" w:hAnsi="Arial"/>
                <w:sz w:val="20"/>
              </w:rPr>
              <w:t>Criteria for selection: 1, 3, 4, 5.</w:t>
            </w:r>
          </w:p>
          <w:p w14:paraId="678F30D3" w14:textId="77777777" w:rsidR="005747A2" w:rsidRPr="00435ED5" w:rsidRDefault="005747A2" w:rsidP="00435ED5">
            <w:pPr>
              <w:pStyle w:val="bodycopy"/>
              <w:spacing w:before="40" w:after="40"/>
              <w:rPr>
                <w:rFonts w:ascii="Arial" w:hAnsi="Arial"/>
                <w:sz w:val="20"/>
              </w:rPr>
            </w:pPr>
            <w:r w:rsidRPr="00435ED5">
              <w:rPr>
                <w:rFonts w:ascii="Arial" w:hAnsi="Arial"/>
                <w:sz w:val="20"/>
              </w:rPr>
              <w:t xml:space="preserve">Covers an area of 2,730 ha in water depths from 0 – 5 m. </w:t>
            </w:r>
          </w:p>
          <w:p w14:paraId="7B5101F7" w14:textId="7782BE8D" w:rsidR="005747A2" w:rsidRPr="00435ED5" w:rsidRDefault="005747A2" w:rsidP="00435ED5">
            <w:pPr>
              <w:pStyle w:val="bodycopy"/>
              <w:spacing w:before="40" w:after="40"/>
              <w:rPr>
                <w:rFonts w:ascii="Arial" w:hAnsi="Arial"/>
                <w:sz w:val="20"/>
              </w:rPr>
            </w:pPr>
            <w:r w:rsidRPr="00435ED5">
              <w:rPr>
                <w:rFonts w:ascii="Arial" w:hAnsi="Arial"/>
                <w:sz w:val="20"/>
              </w:rPr>
              <w:t>Remnants of manna gum (</w:t>
            </w:r>
            <w:r w:rsidRPr="00435ED5">
              <w:rPr>
                <w:rFonts w:ascii="Arial" w:hAnsi="Arial"/>
                <w:i/>
                <w:sz w:val="20"/>
              </w:rPr>
              <w:t>Eucalyptus viminalis</w:t>
            </w:r>
            <w:r w:rsidRPr="00435ED5">
              <w:rPr>
                <w:rFonts w:ascii="Arial" w:hAnsi="Arial"/>
                <w:sz w:val="20"/>
              </w:rPr>
              <w:t xml:space="preserve">) open forest occur on the sandier soils with associated </w:t>
            </w:r>
            <w:r w:rsidRPr="00435ED5">
              <w:rPr>
                <w:rFonts w:ascii="Arial" w:hAnsi="Arial"/>
                <w:i/>
                <w:sz w:val="20"/>
              </w:rPr>
              <w:t>Banksia</w:t>
            </w:r>
            <w:r w:rsidRPr="00435ED5">
              <w:rPr>
                <w:rFonts w:ascii="Arial" w:hAnsi="Arial"/>
                <w:sz w:val="20"/>
              </w:rPr>
              <w:t xml:space="preserve"> spp. The coastal vegetation communities have been cleared and grazed, although small patches of coast banksia (</w:t>
            </w:r>
            <w:r w:rsidRPr="00435ED5">
              <w:rPr>
                <w:rFonts w:ascii="Arial" w:hAnsi="Arial"/>
                <w:i/>
                <w:sz w:val="20"/>
              </w:rPr>
              <w:t>Banksia integrifolia</w:t>
            </w:r>
            <w:r w:rsidRPr="00435ED5">
              <w:rPr>
                <w:rFonts w:ascii="Arial" w:hAnsi="Arial"/>
                <w:sz w:val="20"/>
              </w:rPr>
              <w:t>) and saw banksia (</w:t>
            </w:r>
            <w:r w:rsidRPr="00435ED5">
              <w:rPr>
                <w:rFonts w:ascii="Arial" w:hAnsi="Arial"/>
                <w:i/>
                <w:sz w:val="20"/>
              </w:rPr>
              <w:t>B. serrata</w:t>
            </w:r>
            <w:r w:rsidRPr="00435ED5">
              <w:rPr>
                <w:rFonts w:ascii="Arial" w:hAnsi="Arial"/>
                <w:sz w:val="20"/>
              </w:rPr>
              <w:t>) still occur along the primary and secondary dune system. Extensive saltmarsh areas mainly comprise coast saw-sedge (</w:t>
            </w:r>
            <w:r w:rsidRPr="00435ED5">
              <w:rPr>
                <w:rFonts w:ascii="Arial" w:hAnsi="Arial"/>
                <w:i/>
                <w:sz w:val="20"/>
              </w:rPr>
              <w:t>Gahnia filum</w:t>
            </w:r>
            <w:r w:rsidRPr="00435ED5">
              <w:rPr>
                <w:rFonts w:ascii="Arial" w:hAnsi="Arial"/>
                <w:sz w:val="20"/>
              </w:rPr>
              <w:t>) and beaded glasswort (</w:t>
            </w:r>
            <w:r w:rsidRPr="00435ED5">
              <w:rPr>
                <w:rFonts w:ascii="Arial" w:hAnsi="Arial"/>
                <w:i/>
                <w:sz w:val="20"/>
              </w:rPr>
              <w:t>Sarcocornia quinqueflora</w:t>
            </w:r>
            <w:r w:rsidRPr="00435ED5">
              <w:rPr>
                <w:rFonts w:ascii="Arial" w:hAnsi="Arial"/>
                <w:sz w:val="20"/>
              </w:rPr>
              <w:t xml:space="preserve">). </w:t>
            </w:r>
          </w:p>
          <w:p w14:paraId="4586C0C7" w14:textId="36C46302" w:rsidR="005747A2" w:rsidRPr="00435ED5" w:rsidRDefault="00E45E72" w:rsidP="00435ED5">
            <w:pPr>
              <w:pStyle w:val="bodycopy"/>
              <w:spacing w:before="40" w:after="40"/>
              <w:rPr>
                <w:rFonts w:ascii="Arial" w:hAnsi="Arial"/>
                <w:sz w:val="20"/>
              </w:rPr>
            </w:pPr>
            <w:r w:rsidRPr="00435ED5">
              <w:rPr>
                <w:rFonts w:ascii="Arial" w:hAnsi="Arial"/>
                <w:sz w:val="20"/>
              </w:rPr>
              <w:t xml:space="preserve">There have been </w:t>
            </w:r>
            <w:r w:rsidR="005747A2" w:rsidRPr="00435ED5">
              <w:rPr>
                <w:rFonts w:ascii="Arial" w:hAnsi="Arial"/>
                <w:sz w:val="20"/>
              </w:rPr>
              <w:t>117 bird species</w:t>
            </w:r>
            <w:r w:rsidRPr="00435ED5">
              <w:rPr>
                <w:rFonts w:ascii="Arial" w:hAnsi="Arial"/>
                <w:sz w:val="20"/>
              </w:rPr>
              <w:t>,</w:t>
            </w:r>
            <w:r w:rsidR="005747A2" w:rsidRPr="00435ED5">
              <w:rPr>
                <w:rFonts w:ascii="Arial" w:hAnsi="Arial"/>
                <w:sz w:val="20"/>
              </w:rPr>
              <w:t xml:space="preserve"> including 45 waterbird species</w:t>
            </w:r>
            <w:r w:rsidRPr="00435ED5">
              <w:rPr>
                <w:rFonts w:ascii="Arial" w:hAnsi="Arial"/>
                <w:sz w:val="20"/>
              </w:rPr>
              <w:t>,</w:t>
            </w:r>
            <w:r w:rsidR="005747A2" w:rsidRPr="00435ED5">
              <w:rPr>
                <w:rFonts w:ascii="Arial" w:hAnsi="Arial"/>
                <w:sz w:val="20"/>
              </w:rPr>
              <w:t xml:space="preserve"> recorded</w:t>
            </w:r>
            <w:r w:rsidRPr="00435ED5">
              <w:rPr>
                <w:rFonts w:ascii="Arial" w:hAnsi="Arial"/>
                <w:sz w:val="20"/>
              </w:rPr>
              <w:t xml:space="preserve"> at the site</w:t>
            </w:r>
            <w:r w:rsidR="005747A2" w:rsidRPr="00435ED5">
              <w:rPr>
                <w:rFonts w:ascii="Arial" w:hAnsi="Arial"/>
                <w:sz w:val="20"/>
              </w:rPr>
              <w:t xml:space="preserve">. </w:t>
            </w:r>
            <w:r w:rsidRPr="00435ED5">
              <w:rPr>
                <w:rFonts w:ascii="Arial" w:hAnsi="Arial"/>
                <w:sz w:val="20"/>
              </w:rPr>
              <w:t>This includes the</w:t>
            </w:r>
            <w:r w:rsidR="005747A2" w:rsidRPr="00435ED5">
              <w:rPr>
                <w:rFonts w:ascii="Arial" w:hAnsi="Arial"/>
                <w:sz w:val="20"/>
              </w:rPr>
              <w:t xml:space="preserve"> </w:t>
            </w:r>
            <w:r w:rsidRPr="00435ED5">
              <w:rPr>
                <w:rFonts w:ascii="Arial" w:hAnsi="Arial"/>
                <w:sz w:val="20"/>
              </w:rPr>
              <w:t>o</w:t>
            </w:r>
            <w:r w:rsidR="005747A2" w:rsidRPr="00435ED5">
              <w:rPr>
                <w:rFonts w:ascii="Arial" w:hAnsi="Arial"/>
                <w:sz w:val="20"/>
              </w:rPr>
              <w:t xml:space="preserve">range-bellied </w:t>
            </w:r>
            <w:r w:rsidRPr="00435ED5">
              <w:rPr>
                <w:rFonts w:ascii="Arial" w:hAnsi="Arial"/>
                <w:sz w:val="20"/>
              </w:rPr>
              <w:t>p</w:t>
            </w:r>
            <w:r w:rsidR="005747A2" w:rsidRPr="00435ED5">
              <w:rPr>
                <w:rFonts w:ascii="Arial" w:hAnsi="Arial"/>
                <w:sz w:val="20"/>
              </w:rPr>
              <w:t xml:space="preserve">arrot </w:t>
            </w:r>
            <w:r w:rsidRPr="00435ED5">
              <w:rPr>
                <w:rFonts w:ascii="Arial" w:hAnsi="Arial"/>
                <w:sz w:val="20"/>
              </w:rPr>
              <w:t>(</w:t>
            </w:r>
            <w:r w:rsidR="005747A2" w:rsidRPr="00435ED5">
              <w:rPr>
                <w:rFonts w:ascii="Arial" w:hAnsi="Arial"/>
                <w:sz w:val="20"/>
              </w:rPr>
              <w:t>sighted in 1980 and 1983</w:t>
            </w:r>
            <w:r w:rsidRPr="00435ED5">
              <w:rPr>
                <w:rFonts w:ascii="Arial" w:hAnsi="Arial"/>
                <w:sz w:val="20"/>
              </w:rPr>
              <w:t>)</w:t>
            </w:r>
            <w:r w:rsidR="005747A2" w:rsidRPr="00435ED5">
              <w:rPr>
                <w:rFonts w:ascii="Arial" w:hAnsi="Arial"/>
                <w:sz w:val="20"/>
              </w:rPr>
              <w:t xml:space="preserve"> and records of the </w:t>
            </w:r>
            <w:r w:rsidRPr="00435ED5">
              <w:rPr>
                <w:rFonts w:ascii="Arial" w:hAnsi="Arial"/>
                <w:sz w:val="20"/>
              </w:rPr>
              <w:t>h</w:t>
            </w:r>
            <w:r w:rsidR="005747A2" w:rsidRPr="00435ED5">
              <w:rPr>
                <w:rFonts w:ascii="Arial" w:hAnsi="Arial"/>
                <w:sz w:val="20"/>
              </w:rPr>
              <w:t xml:space="preserve">ooded </w:t>
            </w:r>
            <w:r w:rsidRPr="00435ED5">
              <w:rPr>
                <w:rFonts w:ascii="Arial" w:hAnsi="Arial"/>
                <w:sz w:val="20"/>
              </w:rPr>
              <w:t>p</w:t>
            </w:r>
            <w:r w:rsidR="005747A2" w:rsidRPr="00435ED5">
              <w:rPr>
                <w:rFonts w:ascii="Arial" w:hAnsi="Arial"/>
                <w:sz w:val="20"/>
              </w:rPr>
              <w:t xml:space="preserve">lover </w:t>
            </w:r>
            <w:r w:rsidRPr="00435ED5">
              <w:rPr>
                <w:rFonts w:ascii="Arial" w:hAnsi="Arial"/>
                <w:sz w:val="20"/>
              </w:rPr>
              <w:t xml:space="preserve">that </w:t>
            </w:r>
            <w:r w:rsidR="005747A2" w:rsidRPr="00435ED5">
              <w:rPr>
                <w:rFonts w:ascii="Arial" w:hAnsi="Arial"/>
                <w:sz w:val="20"/>
              </w:rPr>
              <w:t>breeds on the nearby beach</w:t>
            </w:r>
            <w:r w:rsidRPr="00435ED5">
              <w:rPr>
                <w:rFonts w:ascii="Arial" w:hAnsi="Arial"/>
                <w:sz w:val="20"/>
              </w:rPr>
              <w:t>.</w:t>
            </w:r>
            <w:r w:rsidR="005747A2" w:rsidRPr="00435ED5">
              <w:rPr>
                <w:rFonts w:ascii="Arial" w:hAnsi="Arial"/>
                <w:sz w:val="20"/>
              </w:rPr>
              <w:t xml:space="preserve"> Up to 10</w:t>
            </w:r>
            <w:r w:rsidRPr="00435ED5">
              <w:rPr>
                <w:rFonts w:ascii="Arial" w:hAnsi="Arial"/>
                <w:sz w:val="20"/>
              </w:rPr>
              <w:t>,</w:t>
            </w:r>
            <w:r w:rsidR="005747A2" w:rsidRPr="00435ED5">
              <w:rPr>
                <w:rFonts w:ascii="Arial" w:hAnsi="Arial"/>
                <w:sz w:val="20"/>
              </w:rPr>
              <w:t xml:space="preserve"> </w:t>
            </w:r>
            <w:r w:rsidRPr="00435ED5">
              <w:rPr>
                <w:rFonts w:ascii="Arial" w:hAnsi="Arial"/>
                <w:sz w:val="20"/>
              </w:rPr>
              <w:t>0</w:t>
            </w:r>
            <w:r w:rsidR="005747A2" w:rsidRPr="00435ED5">
              <w:rPr>
                <w:rFonts w:ascii="Arial" w:hAnsi="Arial"/>
                <w:sz w:val="20"/>
              </w:rPr>
              <w:t>00 unidentified teal, 4</w:t>
            </w:r>
            <w:r w:rsidRPr="00435ED5">
              <w:rPr>
                <w:rFonts w:ascii="Arial" w:hAnsi="Arial"/>
                <w:sz w:val="20"/>
              </w:rPr>
              <w:t>,</w:t>
            </w:r>
            <w:r w:rsidR="005747A2" w:rsidRPr="00435ED5">
              <w:rPr>
                <w:rFonts w:ascii="Arial" w:hAnsi="Arial"/>
                <w:sz w:val="20"/>
              </w:rPr>
              <w:t xml:space="preserve">740 </w:t>
            </w:r>
            <w:r w:rsidRPr="00435ED5">
              <w:rPr>
                <w:rFonts w:ascii="Arial" w:hAnsi="Arial"/>
                <w:sz w:val="20"/>
              </w:rPr>
              <w:t>p</w:t>
            </w:r>
            <w:r w:rsidR="005747A2" w:rsidRPr="00435ED5">
              <w:rPr>
                <w:rFonts w:ascii="Arial" w:hAnsi="Arial"/>
                <w:sz w:val="20"/>
              </w:rPr>
              <w:t xml:space="preserve">acific </w:t>
            </w:r>
            <w:r w:rsidRPr="00435ED5">
              <w:rPr>
                <w:rFonts w:ascii="Arial" w:hAnsi="Arial"/>
                <w:sz w:val="20"/>
              </w:rPr>
              <w:t>b</w:t>
            </w:r>
            <w:r w:rsidR="005747A2" w:rsidRPr="00435ED5">
              <w:rPr>
                <w:rFonts w:ascii="Arial" w:hAnsi="Arial"/>
                <w:sz w:val="20"/>
              </w:rPr>
              <w:t xml:space="preserve">lack </w:t>
            </w:r>
            <w:r w:rsidRPr="00435ED5">
              <w:rPr>
                <w:rFonts w:ascii="Arial" w:hAnsi="Arial"/>
                <w:sz w:val="20"/>
              </w:rPr>
              <w:t>d</w:t>
            </w:r>
            <w:r w:rsidR="005747A2" w:rsidRPr="00435ED5">
              <w:rPr>
                <w:rFonts w:ascii="Arial" w:hAnsi="Arial"/>
                <w:sz w:val="20"/>
              </w:rPr>
              <w:t xml:space="preserve">uck </w:t>
            </w:r>
            <w:r w:rsidRPr="00435ED5">
              <w:rPr>
                <w:rFonts w:ascii="Arial" w:hAnsi="Arial"/>
                <w:sz w:val="20"/>
              </w:rPr>
              <w:t>(</w:t>
            </w:r>
            <w:r w:rsidR="005747A2" w:rsidRPr="00435ED5">
              <w:rPr>
                <w:rFonts w:ascii="Arial" w:hAnsi="Arial"/>
                <w:i/>
                <w:sz w:val="20"/>
              </w:rPr>
              <w:t>Anas superciliosa</w:t>
            </w:r>
            <w:r w:rsidRPr="00435ED5">
              <w:rPr>
                <w:rFonts w:ascii="Arial" w:hAnsi="Arial"/>
                <w:sz w:val="20"/>
              </w:rPr>
              <w:t>)</w:t>
            </w:r>
            <w:r w:rsidR="005747A2" w:rsidRPr="00435ED5">
              <w:rPr>
                <w:rFonts w:ascii="Arial" w:hAnsi="Arial"/>
                <w:sz w:val="20"/>
              </w:rPr>
              <w:t>, 2</w:t>
            </w:r>
            <w:r w:rsidRPr="00435ED5">
              <w:rPr>
                <w:rFonts w:ascii="Arial" w:hAnsi="Arial"/>
                <w:sz w:val="20"/>
              </w:rPr>
              <w:t>,</w:t>
            </w:r>
            <w:r w:rsidR="005747A2" w:rsidRPr="00435ED5">
              <w:rPr>
                <w:rFonts w:ascii="Arial" w:hAnsi="Arial"/>
                <w:sz w:val="20"/>
              </w:rPr>
              <w:t xml:space="preserve">900 </w:t>
            </w:r>
            <w:r w:rsidRPr="00435ED5">
              <w:rPr>
                <w:rFonts w:ascii="Arial" w:hAnsi="Arial"/>
                <w:sz w:val="20"/>
              </w:rPr>
              <w:t>g</w:t>
            </w:r>
            <w:r w:rsidR="005747A2" w:rsidRPr="00435ED5">
              <w:rPr>
                <w:rFonts w:ascii="Arial" w:hAnsi="Arial"/>
                <w:sz w:val="20"/>
              </w:rPr>
              <w:t xml:space="preserve">rey </w:t>
            </w:r>
            <w:r w:rsidRPr="00435ED5">
              <w:rPr>
                <w:rFonts w:ascii="Arial" w:hAnsi="Arial"/>
                <w:sz w:val="20"/>
              </w:rPr>
              <w:t>t</w:t>
            </w:r>
            <w:r w:rsidR="005747A2" w:rsidRPr="00435ED5">
              <w:rPr>
                <w:rFonts w:ascii="Arial" w:hAnsi="Arial"/>
                <w:sz w:val="20"/>
              </w:rPr>
              <w:t xml:space="preserve">eal </w:t>
            </w:r>
            <w:r w:rsidRPr="00435ED5">
              <w:rPr>
                <w:rFonts w:ascii="Arial" w:hAnsi="Arial"/>
                <w:sz w:val="20"/>
              </w:rPr>
              <w:t>(</w:t>
            </w:r>
            <w:r w:rsidR="005747A2" w:rsidRPr="00435ED5">
              <w:rPr>
                <w:rFonts w:ascii="Arial" w:hAnsi="Arial"/>
                <w:i/>
                <w:sz w:val="20"/>
              </w:rPr>
              <w:t>A. gibberifrons</w:t>
            </w:r>
            <w:r w:rsidRPr="00435ED5">
              <w:rPr>
                <w:rFonts w:ascii="Arial" w:hAnsi="Arial"/>
                <w:sz w:val="20"/>
              </w:rPr>
              <w:t>)</w:t>
            </w:r>
            <w:r w:rsidR="005747A2" w:rsidRPr="00435ED5">
              <w:rPr>
                <w:rFonts w:ascii="Arial" w:hAnsi="Arial"/>
                <w:sz w:val="20"/>
              </w:rPr>
              <w:t>, 2</w:t>
            </w:r>
            <w:r w:rsidRPr="00435ED5">
              <w:rPr>
                <w:rFonts w:ascii="Arial" w:hAnsi="Arial"/>
                <w:sz w:val="20"/>
              </w:rPr>
              <w:t>,</w:t>
            </w:r>
            <w:r w:rsidR="005747A2" w:rsidRPr="00435ED5">
              <w:rPr>
                <w:rFonts w:ascii="Arial" w:hAnsi="Arial"/>
                <w:sz w:val="20"/>
              </w:rPr>
              <w:t xml:space="preserve">500 </w:t>
            </w:r>
            <w:r w:rsidRPr="00435ED5">
              <w:rPr>
                <w:rFonts w:ascii="Arial" w:hAnsi="Arial"/>
                <w:sz w:val="20"/>
              </w:rPr>
              <w:t>c</w:t>
            </w:r>
            <w:r w:rsidR="005747A2" w:rsidRPr="00435ED5">
              <w:rPr>
                <w:rFonts w:ascii="Arial" w:hAnsi="Arial"/>
                <w:sz w:val="20"/>
              </w:rPr>
              <w:t xml:space="preserve">hestnut </w:t>
            </w:r>
            <w:r w:rsidRPr="00435ED5">
              <w:rPr>
                <w:rFonts w:ascii="Arial" w:hAnsi="Arial"/>
                <w:sz w:val="20"/>
              </w:rPr>
              <w:t>t</w:t>
            </w:r>
            <w:r w:rsidR="005747A2" w:rsidRPr="00435ED5">
              <w:rPr>
                <w:rFonts w:ascii="Arial" w:hAnsi="Arial"/>
                <w:sz w:val="20"/>
              </w:rPr>
              <w:t xml:space="preserve">eal </w:t>
            </w:r>
            <w:r w:rsidRPr="00435ED5">
              <w:rPr>
                <w:rFonts w:ascii="Arial" w:hAnsi="Arial"/>
                <w:sz w:val="20"/>
              </w:rPr>
              <w:t>(</w:t>
            </w:r>
            <w:r w:rsidR="005747A2" w:rsidRPr="00435ED5">
              <w:rPr>
                <w:rFonts w:ascii="Arial" w:hAnsi="Arial"/>
                <w:i/>
                <w:sz w:val="20"/>
              </w:rPr>
              <w:t>A. castanea</w:t>
            </w:r>
            <w:r w:rsidRPr="00435ED5">
              <w:rPr>
                <w:rFonts w:ascii="Arial" w:hAnsi="Arial"/>
                <w:sz w:val="20"/>
              </w:rPr>
              <w:t>)</w:t>
            </w:r>
            <w:r w:rsidR="005747A2" w:rsidRPr="00435ED5">
              <w:rPr>
                <w:rFonts w:ascii="Arial" w:hAnsi="Arial"/>
                <w:sz w:val="20"/>
              </w:rPr>
              <w:t xml:space="preserve">, 950 Australasian </w:t>
            </w:r>
            <w:r w:rsidRPr="00435ED5">
              <w:rPr>
                <w:rFonts w:ascii="Arial" w:hAnsi="Arial"/>
                <w:sz w:val="20"/>
              </w:rPr>
              <w:t>s</w:t>
            </w:r>
            <w:r w:rsidR="005747A2" w:rsidRPr="00435ED5">
              <w:rPr>
                <w:rFonts w:ascii="Arial" w:hAnsi="Arial"/>
                <w:sz w:val="20"/>
              </w:rPr>
              <w:t xml:space="preserve">hoveler </w:t>
            </w:r>
            <w:r w:rsidRPr="00435ED5">
              <w:rPr>
                <w:rFonts w:ascii="Arial" w:hAnsi="Arial"/>
                <w:sz w:val="20"/>
              </w:rPr>
              <w:t>(</w:t>
            </w:r>
            <w:r w:rsidR="005747A2" w:rsidRPr="00435ED5">
              <w:rPr>
                <w:rFonts w:ascii="Arial" w:hAnsi="Arial"/>
                <w:i/>
                <w:sz w:val="20"/>
              </w:rPr>
              <w:t>A. rhynchotis</w:t>
            </w:r>
            <w:r w:rsidRPr="00435ED5">
              <w:rPr>
                <w:rFonts w:ascii="Arial" w:hAnsi="Arial"/>
                <w:sz w:val="20"/>
              </w:rPr>
              <w:t>)</w:t>
            </w:r>
            <w:r w:rsidR="005747A2" w:rsidRPr="00435ED5">
              <w:rPr>
                <w:rFonts w:ascii="Arial" w:hAnsi="Arial"/>
                <w:sz w:val="20"/>
              </w:rPr>
              <w:t xml:space="preserve"> and 1</w:t>
            </w:r>
            <w:r w:rsidRPr="00435ED5">
              <w:rPr>
                <w:rFonts w:ascii="Arial" w:hAnsi="Arial"/>
                <w:sz w:val="20"/>
              </w:rPr>
              <w:t>,</w:t>
            </w:r>
            <w:r w:rsidR="005747A2" w:rsidRPr="00435ED5">
              <w:rPr>
                <w:rFonts w:ascii="Arial" w:hAnsi="Arial"/>
                <w:sz w:val="20"/>
              </w:rPr>
              <w:t xml:space="preserve">600 Eurasian </w:t>
            </w:r>
            <w:r w:rsidRPr="00435ED5">
              <w:rPr>
                <w:rFonts w:ascii="Arial" w:hAnsi="Arial"/>
                <w:sz w:val="20"/>
              </w:rPr>
              <w:t>c</w:t>
            </w:r>
            <w:r w:rsidR="005747A2" w:rsidRPr="00435ED5">
              <w:rPr>
                <w:rFonts w:ascii="Arial" w:hAnsi="Arial"/>
                <w:sz w:val="20"/>
              </w:rPr>
              <w:t xml:space="preserve">oot </w:t>
            </w:r>
            <w:r w:rsidRPr="00435ED5">
              <w:rPr>
                <w:rFonts w:ascii="Arial" w:hAnsi="Arial"/>
                <w:sz w:val="20"/>
              </w:rPr>
              <w:t>(</w:t>
            </w:r>
            <w:r w:rsidR="005747A2" w:rsidRPr="00435ED5">
              <w:rPr>
                <w:rFonts w:ascii="Arial" w:hAnsi="Arial"/>
                <w:i/>
                <w:sz w:val="20"/>
              </w:rPr>
              <w:t>Fulica atra</w:t>
            </w:r>
            <w:r w:rsidRPr="00435ED5">
              <w:rPr>
                <w:rFonts w:ascii="Arial" w:hAnsi="Arial"/>
                <w:sz w:val="20"/>
              </w:rPr>
              <w:t>)</w:t>
            </w:r>
            <w:r w:rsidR="005747A2" w:rsidRPr="00435ED5">
              <w:rPr>
                <w:rFonts w:ascii="Arial" w:hAnsi="Arial"/>
                <w:sz w:val="20"/>
              </w:rPr>
              <w:t xml:space="preserve"> have been counted. Sixteen species listed under the JAMBA and/or CAMBA have been recorded at the lake</w:t>
            </w:r>
            <w:r w:rsidRPr="00435ED5">
              <w:rPr>
                <w:rFonts w:ascii="Arial" w:hAnsi="Arial"/>
                <w:sz w:val="20"/>
              </w:rPr>
              <w:t>.</w:t>
            </w:r>
          </w:p>
        </w:tc>
      </w:tr>
      <w:tr w:rsidR="00D1428D" w:rsidRPr="00435ED5" w14:paraId="2832485A" w14:textId="77777777" w:rsidTr="00514376">
        <w:tc>
          <w:tcPr>
            <w:tcW w:w="2235" w:type="dxa"/>
            <w:shd w:val="clear" w:color="auto" w:fill="auto"/>
          </w:tcPr>
          <w:p w14:paraId="23DA8CAD" w14:textId="77777777" w:rsidR="00D1428D" w:rsidRPr="00435ED5" w:rsidRDefault="00D1428D" w:rsidP="00435ED5">
            <w:pPr>
              <w:pStyle w:val="bodycopy"/>
              <w:spacing w:before="40" w:after="40"/>
              <w:rPr>
                <w:rFonts w:ascii="Arial" w:hAnsi="Arial"/>
                <w:b/>
                <w:sz w:val="20"/>
              </w:rPr>
            </w:pPr>
            <w:r w:rsidRPr="00435ED5">
              <w:rPr>
                <w:rFonts w:ascii="Arial" w:hAnsi="Arial"/>
                <w:b/>
                <w:sz w:val="20"/>
              </w:rPr>
              <w:lastRenderedPageBreak/>
              <w:t>Lake King Wetlands (VIC071)</w:t>
            </w:r>
          </w:p>
          <w:p w14:paraId="1253A024" w14:textId="77777777" w:rsidR="006E7C56" w:rsidRPr="00435ED5" w:rsidRDefault="001039D1" w:rsidP="00435ED5">
            <w:pPr>
              <w:pStyle w:val="bodycopy"/>
              <w:spacing w:before="40" w:after="40"/>
              <w:rPr>
                <w:rFonts w:ascii="Arial" w:hAnsi="Arial"/>
                <w:i/>
                <w:sz w:val="20"/>
              </w:rPr>
            </w:pPr>
            <w:r w:rsidRPr="00435ED5">
              <w:rPr>
                <w:rFonts w:ascii="Arial" w:hAnsi="Arial"/>
                <w:i/>
                <w:sz w:val="20"/>
              </w:rPr>
              <w:t>50</w:t>
            </w:r>
            <w:r w:rsidR="006E7C56" w:rsidRPr="00435ED5">
              <w:rPr>
                <w:rFonts w:ascii="Arial" w:hAnsi="Arial"/>
                <w:i/>
                <w:sz w:val="20"/>
              </w:rPr>
              <w:t xml:space="preserve"> km </w:t>
            </w:r>
            <w:r w:rsidRPr="00435ED5">
              <w:rPr>
                <w:rFonts w:ascii="Arial" w:hAnsi="Arial"/>
                <w:i/>
                <w:sz w:val="20"/>
              </w:rPr>
              <w:t>northeast</w:t>
            </w:r>
            <w:r w:rsidR="006E7C56" w:rsidRPr="00435ED5">
              <w:rPr>
                <w:rFonts w:ascii="Arial" w:hAnsi="Arial"/>
                <w:i/>
                <w:sz w:val="20"/>
              </w:rPr>
              <w:t xml:space="preserve"> of proposed acquisition area</w:t>
            </w:r>
            <w:r w:rsidRPr="00435ED5">
              <w:rPr>
                <w:rFonts w:ascii="Arial" w:hAnsi="Arial"/>
                <w:i/>
                <w:sz w:val="20"/>
              </w:rPr>
              <w:t xml:space="preserve"> </w:t>
            </w:r>
            <w:r w:rsidR="00E96055" w:rsidRPr="00435ED5">
              <w:rPr>
                <w:rFonts w:ascii="Arial" w:hAnsi="Arial"/>
                <w:i/>
                <w:sz w:val="20"/>
              </w:rPr>
              <w:t>(to the entrance)</w:t>
            </w:r>
          </w:p>
        </w:tc>
        <w:tc>
          <w:tcPr>
            <w:tcW w:w="1701" w:type="dxa"/>
            <w:shd w:val="clear" w:color="auto" w:fill="auto"/>
          </w:tcPr>
          <w:p w14:paraId="2D335002" w14:textId="77777777" w:rsidR="00D1428D" w:rsidRPr="00435ED5" w:rsidRDefault="00D1428D" w:rsidP="00435ED5">
            <w:pPr>
              <w:pStyle w:val="bodycopy"/>
              <w:spacing w:before="40" w:after="40"/>
              <w:rPr>
                <w:rFonts w:ascii="Arial" w:hAnsi="Arial"/>
                <w:sz w:val="20"/>
              </w:rPr>
            </w:pPr>
            <w:r w:rsidRPr="00435ED5">
              <w:rPr>
                <w:rFonts w:ascii="Arial" w:hAnsi="Arial"/>
                <w:sz w:val="20"/>
              </w:rPr>
              <w:t>Via the artificial entrance, Lakes Entrance.</w:t>
            </w:r>
          </w:p>
        </w:tc>
        <w:tc>
          <w:tcPr>
            <w:tcW w:w="9922" w:type="dxa"/>
            <w:shd w:val="clear" w:color="auto" w:fill="auto"/>
          </w:tcPr>
          <w:p w14:paraId="249128C8" w14:textId="77777777" w:rsidR="00D1428D" w:rsidRPr="00435ED5" w:rsidRDefault="00D1428D" w:rsidP="00435ED5">
            <w:pPr>
              <w:pStyle w:val="bodycopy"/>
              <w:spacing w:before="40" w:after="40"/>
              <w:rPr>
                <w:rFonts w:ascii="Arial" w:hAnsi="Arial"/>
                <w:sz w:val="20"/>
              </w:rPr>
            </w:pPr>
            <w:r w:rsidRPr="00435ED5">
              <w:rPr>
                <w:rFonts w:ascii="Arial" w:hAnsi="Arial"/>
                <w:sz w:val="20"/>
              </w:rPr>
              <w:t>Criteria for selection: 1, 2, 3, 4, 5.</w:t>
            </w:r>
          </w:p>
          <w:p w14:paraId="6FD64224" w14:textId="77777777" w:rsidR="00D1428D" w:rsidRPr="00435ED5" w:rsidRDefault="00D1428D" w:rsidP="00435ED5">
            <w:pPr>
              <w:pStyle w:val="bodycopy"/>
              <w:spacing w:before="40" w:after="40"/>
              <w:rPr>
                <w:rFonts w:ascii="Arial" w:hAnsi="Arial"/>
                <w:sz w:val="20"/>
              </w:rPr>
            </w:pPr>
            <w:r w:rsidRPr="00435ED5">
              <w:rPr>
                <w:rFonts w:ascii="Arial" w:hAnsi="Arial"/>
                <w:sz w:val="20"/>
              </w:rPr>
              <w:t xml:space="preserve">Covers an area of 7,100 ha in water depths from 0 – 2 m. </w:t>
            </w:r>
          </w:p>
          <w:p w14:paraId="09B455D8" w14:textId="77777777" w:rsidR="00D1428D" w:rsidRPr="00435ED5" w:rsidRDefault="00D1428D" w:rsidP="00435ED5">
            <w:pPr>
              <w:pStyle w:val="bodycopy"/>
              <w:spacing w:before="40" w:after="40"/>
              <w:rPr>
                <w:rFonts w:ascii="Arial" w:hAnsi="Arial"/>
                <w:sz w:val="20"/>
              </w:rPr>
            </w:pPr>
            <w:r w:rsidRPr="00435ED5">
              <w:rPr>
                <w:rFonts w:ascii="Arial" w:hAnsi="Arial"/>
                <w:sz w:val="20"/>
              </w:rPr>
              <w:t>The Lake King Wetlands are fine examples of a large coastal lagoon system and contain two sites of geological/ geomorphological significance: the Mitchell River silt jetties (international) and the Tambo River Delta (state). The Mitchell River Delta silt jetties are one of the finest examples of a digitate delta in the world; these silt jetties almost separate Jones Bay from Lake King. The Tambo River Delta is a major example of the processes of delta growth.</w:t>
            </w:r>
          </w:p>
          <w:p w14:paraId="56DE460D" w14:textId="27170750" w:rsidR="00D1428D" w:rsidRPr="00435ED5" w:rsidRDefault="00D1428D" w:rsidP="000726DF">
            <w:pPr>
              <w:pStyle w:val="bodycopy"/>
              <w:spacing w:before="40" w:after="40"/>
              <w:rPr>
                <w:rFonts w:ascii="Arial" w:hAnsi="Arial"/>
                <w:sz w:val="20"/>
              </w:rPr>
            </w:pPr>
            <w:r w:rsidRPr="00435ED5">
              <w:rPr>
                <w:rFonts w:ascii="Arial" w:hAnsi="Arial"/>
                <w:sz w:val="20"/>
              </w:rPr>
              <w:t>Forty-six waterbird species have been recorded in Lake King, including little tern, fairy terns, eastern curlews, and white-bellied sea-eagles. Lake King has supported 1% of the national population of the little tern, 5% of the state population of common tern (</w:t>
            </w:r>
            <w:r w:rsidRPr="00435ED5">
              <w:rPr>
                <w:rFonts w:ascii="Arial" w:hAnsi="Arial"/>
                <w:i/>
                <w:sz w:val="20"/>
              </w:rPr>
              <w:t>Sterna hirundo</w:t>
            </w:r>
            <w:r w:rsidRPr="00435ED5">
              <w:rPr>
                <w:rFonts w:ascii="Arial" w:hAnsi="Arial"/>
                <w:sz w:val="20"/>
              </w:rPr>
              <w:t xml:space="preserve">), and 10% of the regional population of </w:t>
            </w:r>
            <w:r w:rsidR="006E7C56" w:rsidRPr="00435ED5">
              <w:rPr>
                <w:rFonts w:ascii="Arial" w:hAnsi="Arial"/>
                <w:sz w:val="20"/>
              </w:rPr>
              <w:t>b</w:t>
            </w:r>
            <w:r w:rsidRPr="00435ED5">
              <w:rPr>
                <w:rFonts w:ascii="Arial" w:hAnsi="Arial"/>
                <w:sz w:val="20"/>
              </w:rPr>
              <w:t xml:space="preserve">lack </w:t>
            </w:r>
            <w:r w:rsidR="006E7C56" w:rsidRPr="00435ED5">
              <w:rPr>
                <w:rFonts w:ascii="Arial" w:hAnsi="Arial"/>
                <w:sz w:val="20"/>
              </w:rPr>
              <w:t>s</w:t>
            </w:r>
            <w:r w:rsidRPr="00435ED5">
              <w:rPr>
                <w:rFonts w:ascii="Arial" w:hAnsi="Arial"/>
                <w:sz w:val="20"/>
              </w:rPr>
              <w:t xml:space="preserve">wan </w:t>
            </w:r>
            <w:r w:rsidR="006E7C56" w:rsidRPr="00435ED5">
              <w:rPr>
                <w:rFonts w:ascii="Arial" w:hAnsi="Arial"/>
                <w:sz w:val="20"/>
              </w:rPr>
              <w:t>(</w:t>
            </w:r>
            <w:r w:rsidRPr="00435ED5">
              <w:rPr>
                <w:rFonts w:ascii="Arial" w:hAnsi="Arial"/>
                <w:i/>
                <w:sz w:val="20"/>
              </w:rPr>
              <w:t>Cygnus atratus</w:t>
            </w:r>
            <w:r w:rsidR="006E7C56" w:rsidRPr="00435ED5">
              <w:rPr>
                <w:rFonts w:ascii="Arial" w:hAnsi="Arial"/>
                <w:sz w:val="20"/>
              </w:rPr>
              <w:t>)</w:t>
            </w:r>
            <w:r w:rsidRPr="00435ED5">
              <w:rPr>
                <w:rFonts w:ascii="Arial" w:hAnsi="Arial"/>
                <w:sz w:val="20"/>
              </w:rPr>
              <w:t xml:space="preserve"> (up to 10</w:t>
            </w:r>
            <w:r w:rsidR="006E7C56" w:rsidRPr="00435ED5">
              <w:rPr>
                <w:rFonts w:ascii="Arial" w:hAnsi="Arial"/>
                <w:sz w:val="20"/>
              </w:rPr>
              <w:t>,</w:t>
            </w:r>
            <w:r w:rsidRPr="00435ED5">
              <w:rPr>
                <w:rFonts w:ascii="Arial" w:hAnsi="Arial"/>
                <w:sz w:val="20"/>
              </w:rPr>
              <w:t xml:space="preserve">000). </w:t>
            </w:r>
          </w:p>
        </w:tc>
      </w:tr>
      <w:tr w:rsidR="00D1428D" w:rsidRPr="00435ED5" w14:paraId="65E043C9" w14:textId="77777777" w:rsidTr="00514376">
        <w:tc>
          <w:tcPr>
            <w:tcW w:w="2235" w:type="dxa"/>
            <w:shd w:val="clear" w:color="auto" w:fill="auto"/>
          </w:tcPr>
          <w:p w14:paraId="2C0E6031" w14:textId="77777777" w:rsidR="00D1428D" w:rsidRPr="00435ED5" w:rsidRDefault="00D1428D" w:rsidP="00435ED5">
            <w:pPr>
              <w:pStyle w:val="bodycopy"/>
              <w:spacing w:before="40" w:after="40"/>
              <w:rPr>
                <w:rFonts w:ascii="Arial" w:hAnsi="Arial"/>
                <w:b/>
                <w:sz w:val="20"/>
              </w:rPr>
            </w:pPr>
            <w:r w:rsidRPr="00435ED5">
              <w:rPr>
                <w:rFonts w:ascii="Arial" w:hAnsi="Arial"/>
                <w:b/>
                <w:sz w:val="20"/>
              </w:rPr>
              <w:t>Lake Tyers (VIC086)</w:t>
            </w:r>
          </w:p>
          <w:p w14:paraId="3E8CF3D2" w14:textId="77777777" w:rsidR="006E7C56" w:rsidRPr="00435ED5" w:rsidRDefault="009C077B" w:rsidP="00435ED5">
            <w:pPr>
              <w:pStyle w:val="bodycopy"/>
              <w:spacing w:before="40" w:after="40"/>
              <w:rPr>
                <w:rFonts w:ascii="Arial" w:hAnsi="Arial"/>
                <w:i/>
                <w:sz w:val="20"/>
              </w:rPr>
            </w:pPr>
            <w:r w:rsidRPr="00435ED5">
              <w:rPr>
                <w:rFonts w:ascii="Arial" w:hAnsi="Arial"/>
                <w:i/>
                <w:sz w:val="20"/>
              </w:rPr>
              <w:t>58</w:t>
            </w:r>
            <w:r w:rsidR="006E7C56" w:rsidRPr="00435ED5">
              <w:rPr>
                <w:rFonts w:ascii="Arial" w:hAnsi="Arial"/>
                <w:i/>
                <w:sz w:val="20"/>
              </w:rPr>
              <w:t xml:space="preserve"> km </w:t>
            </w:r>
            <w:r w:rsidRPr="00435ED5">
              <w:rPr>
                <w:rFonts w:ascii="Arial" w:hAnsi="Arial"/>
                <w:i/>
                <w:sz w:val="20"/>
              </w:rPr>
              <w:t>north</w:t>
            </w:r>
            <w:r w:rsidR="006E7C56" w:rsidRPr="00435ED5">
              <w:rPr>
                <w:rFonts w:ascii="Arial" w:hAnsi="Arial"/>
                <w:i/>
                <w:sz w:val="20"/>
              </w:rPr>
              <w:t>east of proposed acquisition area</w:t>
            </w:r>
            <w:r w:rsidR="00E96055" w:rsidRPr="00435ED5">
              <w:rPr>
                <w:rFonts w:ascii="Arial" w:hAnsi="Arial"/>
                <w:i/>
                <w:sz w:val="20"/>
              </w:rPr>
              <w:t xml:space="preserve"> (to the mouth)</w:t>
            </w:r>
          </w:p>
        </w:tc>
        <w:tc>
          <w:tcPr>
            <w:tcW w:w="1701" w:type="dxa"/>
            <w:shd w:val="clear" w:color="auto" w:fill="auto"/>
          </w:tcPr>
          <w:p w14:paraId="407285B9" w14:textId="77777777" w:rsidR="00D1428D" w:rsidRPr="00435ED5" w:rsidRDefault="00DE30F9" w:rsidP="00435ED5">
            <w:pPr>
              <w:pStyle w:val="bodycopy"/>
              <w:spacing w:before="40" w:after="40"/>
              <w:rPr>
                <w:rFonts w:ascii="Arial" w:hAnsi="Arial"/>
                <w:sz w:val="20"/>
              </w:rPr>
            </w:pPr>
            <w:r w:rsidRPr="00435ED5">
              <w:rPr>
                <w:rFonts w:ascii="Arial" w:hAnsi="Arial"/>
                <w:sz w:val="20"/>
              </w:rPr>
              <w:t>Tidal delta, occasionally open to the sea.</w:t>
            </w:r>
          </w:p>
        </w:tc>
        <w:tc>
          <w:tcPr>
            <w:tcW w:w="9922" w:type="dxa"/>
            <w:shd w:val="clear" w:color="auto" w:fill="auto"/>
          </w:tcPr>
          <w:p w14:paraId="0480DA29" w14:textId="77777777" w:rsidR="00DE30F9" w:rsidRPr="00435ED5" w:rsidRDefault="00DE30F9" w:rsidP="00435ED5">
            <w:pPr>
              <w:pStyle w:val="bodycopy"/>
              <w:spacing w:before="40" w:after="40"/>
              <w:rPr>
                <w:rFonts w:ascii="Arial" w:hAnsi="Arial"/>
                <w:sz w:val="20"/>
              </w:rPr>
            </w:pPr>
            <w:r w:rsidRPr="00435ED5">
              <w:rPr>
                <w:rFonts w:ascii="Arial" w:hAnsi="Arial"/>
                <w:sz w:val="20"/>
              </w:rPr>
              <w:t xml:space="preserve">Criteria for selection: 1, 3, 5. Part of the Gippsland Lakes Ramsar site. </w:t>
            </w:r>
          </w:p>
          <w:p w14:paraId="5E3E031A" w14:textId="77777777" w:rsidR="00DE30F9" w:rsidRPr="00435ED5" w:rsidRDefault="00DE30F9" w:rsidP="00435ED5">
            <w:pPr>
              <w:pStyle w:val="bodycopy"/>
              <w:spacing w:before="40" w:after="40"/>
              <w:rPr>
                <w:rFonts w:ascii="Arial" w:hAnsi="Arial"/>
                <w:sz w:val="20"/>
              </w:rPr>
            </w:pPr>
            <w:r w:rsidRPr="00435ED5">
              <w:rPr>
                <w:rFonts w:ascii="Arial" w:hAnsi="Arial"/>
                <w:sz w:val="20"/>
              </w:rPr>
              <w:t xml:space="preserve">Covers an area of 1,186 ha in water depths from 0 – 2 m. </w:t>
            </w:r>
          </w:p>
          <w:p w14:paraId="0C09DCBB" w14:textId="77777777" w:rsidR="00D1428D" w:rsidRPr="00435ED5" w:rsidRDefault="00DE30F9" w:rsidP="00435ED5">
            <w:pPr>
              <w:pStyle w:val="bodycopy"/>
              <w:spacing w:before="40" w:after="40"/>
              <w:rPr>
                <w:rFonts w:ascii="Arial" w:hAnsi="Arial"/>
                <w:sz w:val="20"/>
              </w:rPr>
            </w:pPr>
            <w:r w:rsidRPr="00435ED5">
              <w:rPr>
                <w:rFonts w:ascii="Arial" w:hAnsi="Arial"/>
                <w:sz w:val="20"/>
              </w:rPr>
              <w:t xml:space="preserve">"Moss balls", small spheres comprising densely interwoven filaments of a green alga </w:t>
            </w:r>
            <w:r w:rsidRPr="00435ED5">
              <w:rPr>
                <w:rFonts w:ascii="Arial" w:hAnsi="Arial"/>
                <w:i/>
                <w:sz w:val="20"/>
              </w:rPr>
              <w:t>Cladophora echinis</w:t>
            </w:r>
            <w:r w:rsidRPr="00435ED5">
              <w:rPr>
                <w:rFonts w:ascii="Arial" w:hAnsi="Arial"/>
                <w:sz w:val="20"/>
              </w:rPr>
              <w:t>, are thought to only occur at this site and Mullacky Swamp in Australia.</w:t>
            </w:r>
          </w:p>
          <w:p w14:paraId="7165B511" w14:textId="39805BC2" w:rsidR="00DE30F9" w:rsidRPr="00435ED5" w:rsidRDefault="00DE30F9" w:rsidP="000726DF">
            <w:pPr>
              <w:pStyle w:val="bodycopy"/>
              <w:spacing w:before="40" w:after="40"/>
              <w:rPr>
                <w:rFonts w:ascii="Arial" w:hAnsi="Arial"/>
                <w:sz w:val="20"/>
              </w:rPr>
            </w:pPr>
            <w:r w:rsidRPr="00435ED5">
              <w:rPr>
                <w:rFonts w:ascii="Arial" w:hAnsi="Arial"/>
                <w:sz w:val="20"/>
              </w:rPr>
              <w:t>Fifty-four waterbird species have been recorded at Lake Tyers, including little tern, fairy tern, hooded plover, blue-billed duck (</w:t>
            </w:r>
            <w:r w:rsidRPr="00435ED5">
              <w:rPr>
                <w:rFonts w:ascii="Arial" w:hAnsi="Arial"/>
                <w:i/>
                <w:sz w:val="20"/>
              </w:rPr>
              <w:t>Oxyura australis</w:t>
            </w:r>
            <w:r w:rsidRPr="00435ED5">
              <w:rPr>
                <w:rFonts w:ascii="Arial" w:hAnsi="Arial"/>
                <w:sz w:val="20"/>
              </w:rPr>
              <w:t>), white-bellied sea-eagle and Australasian bittern (</w:t>
            </w:r>
            <w:r w:rsidRPr="00435ED5">
              <w:rPr>
                <w:rFonts w:ascii="Arial" w:hAnsi="Arial"/>
                <w:i/>
                <w:sz w:val="20"/>
              </w:rPr>
              <w:t>Botaurus poiciloptilus</w:t>
            </w:r>
            <w:r w:rsidRPr="00435ED5">
              <w:rPr>
                <w:rFonts w:ascii="Arial" w:hAnsi="Arial"/>
                <w:sz w:val="20"/>
              </w:rPr>
              <w:t>). Up to 4,000 black swans (</w:t>
            </w:r>
            <w:r w:rsidRPr="00435ED5">
              <w:rPr>
                <w:rFonts w:ascii="Arial" w:hAnsi="Arial"/>
                <w:i/>
                <w:sz w:val="20"/>
              </w:rPr>
              <w:t>Cygnus atratus</w:t>
            </w:r>
            <w:r w:rsidRPr="00435ED5">
              <w:rPr>
                <w:rFonts w:ascii="Arial" w:hAnsi="Arial"/>
                <w:sz w:val="20"/>
              </w:rPr>
              <w:t>), 50 white-fronted terns (</w:t>
            </w:r>
            <w:r w:rsidRPr="00435ED5">
              <w:rPr>
                <w:rFonts w:ascii="Arial" w:hAnsi="Arial"/>
                <w:i/>
                <w:sz w:val="20"/>
              </w:rPr>
              <w:t>Sterna striata</w:t>
            </w:r>
            <w:r w:rsidRPr="00435ED5">
              <w:rPr>
                <w:rFonts w:ascii="Arial" w:hAnsi="Arial"/>
                <w:sz w:val="20"/>
              </w:rPr>
              <w:t xml:space="preserve">) and 140 little terns have been recorded at the lake. </w:t>
            </w:r>
          </w:p>
        </w:tc>
      </w:tr>
      <w:tr w:rsidR="00D1428D" w:rsidRPr="00435ED5" w14:paraId="168431C5" w14:textId="77777777" w:rsidTr="00514376">
        <w:tc>
          <w:tcPr>
            <w:tcW w:w="2235" w:type="dxa"/>
            <w:shd w:val="clear" w:color="auto" w:fill="auto"/>
          </w:tcPr>
          <w:p w14:paraId="67956489" w14:textId="77777777" w:rsidR="00E456C7" w:rsidRPr="00435ED5" w:rsidRDefault="00D1428D" w:rsidP="00435ED5">
            <w:pPr>
              <w:pStyle w:val="bodycopy"/>
              <w:spacing w:before="40" w:after="40"/>
              <w:rPr>
                <w:rFonts w:ascii="Arial" w:hAnsi="Arial"/>
                <w:b/>
                <w:sz w:val="20"/>
              </w:rPr>
            </w:pPr>
            <w:r w:rsidRPr="00435ED5">
              <w:rPr>
                <w:rFonts w:ascii="Arial" w:hAnsi="Arial"/>
                <w:b/>
                <w:sz w:val="20"/>
              </w:rPr>
              <w:t xml:space="preserve">Ewing’s Marsh </w:t>
            </w:r>
            <w:r w:rsidR="00E456C7" w:rsidRPr="00435ED5">
              <w:rPr>
                <w:rFonts w:ascii="Arial" w:hAnsi="Arial"/>
                <w:b/>
                <w:sz w:val="20"/>
              </w:rPr>
              <w:t xml:space="preserve">(Morass) </w:t>
            </w:r>
            <w:r w:rsidRPr="00435ED5">
              <w:rPr>
                <w:rFonts w:ascii="Arial" w:hAnsi="Arial"/>
                <w:b/>
                <w:sz w:val="20"/>
              </w:rPr>
              <w:t xml:space="preserve">(VIC132) </w:t>
            </w:r>
          </w:p>
          <w:p w14:paraId="693ED8E6" w14:textId="77777777" w:rsidR="006E7C56" w:rsidRPr="00435ED5" w:rsidRDefault="009C077B" w:rsidP="00435ED5">
            <w:pPr>
              <w:pStyle w:val="bodycopy"/>
              <w:spacing w:before="40" w:after="40"/>
              <w:rPr>
                <w:rFonts w:ascii="Arial" w:hAnsi="Arial"/>
                <w:i/>
                <w:sz w:val="20"/>
              </w:rPr>
            </w:pPr>
            <w:r w:rsidRPr="00435ED5">
              <w:rPr>
                <w:rFonts w:ascii="Arial" w:hAnsi="Arial"/>
                <w:i/>
                <w:sz w:val="20"/>
              </w:rPr>
              <w:t>84</w:t>
            </w:r>
            <w:r w:rsidR="006E7C56" w:rsidRPr="00435ED5">
              <w:rPr>
                <w:rFonts w:ascii="Arial" w:hAnsi="Arial"/>
                <w:i/>
                <w:sz w:val="20"/>
              </w:rPr>
              <w:t xml:space="preserve"> km </w:t>
            </w:r>
            <w:r w:rsidRPr="00435ED5">
              <w:rPr>
                <w:rFonts w:ascii="Arial" w:hAnsi="Arial"/>
                <w:i/>
                <w:sz w:val="20"/>
              </w:rPr>
              <w:t>north</w:t>
            </w:r>
            <w:r w:rsidR="006E7C56" w:rsidRPr="00435ED5">
              <w:rPr>
                <w:rFonts w:ascii="Arial" w:hAnsi="Arial"/>
                <w:i/>
                <w:sz w:val="20"/>
              </w:rPr>
              <w:t>east of proposed acquisition area</w:t>
            </w:r>
            <w:r w:rsidR="00181578" w:rsidRPr="00435ED5">
              <w:rPr>
                <w:rFonts w:ascii="Arial" w:hAnsi="Arial"/>
                <w:i/>
                <w:sz w:val="20"/>
              </w:rPr>
              <w:t xml:space="preserve"> (to the western-most boundary)</w:t>
            </w:r>
          </w:p>
        </w:tc>
        <w:tc>
          <w:tcPr>
            <w:tcW w:w="1701" w:type="dxa"/>
            <w:shd w:val="clear" w:color="auto" w:fill="auto"/>
          </w:tcPr>
          <w:p w14:paraId="2B13D66F" w14:textId="77777777" w:rsidR="00D1428D" w:rsidRPr="00435ED5" w:rsidRDefault="00E456C7" w:rsidP="00435ED5">
            <w:pPr>
              <w:pStyle w:val="bodycopy"/>
              <w:spacing w:before="40" w:after="40"/>
              <w:rPr>
                <w:rFonts w:ascii="Arial" w:hAnsi="Arial"/>
                <w:sz w:val="20"/>
              </w:rPr>
            </w:pPr>
            <w:r w:rsidRPr="00435ED5">
              <w:rPr>
                <w:rFonts w:ascii="Arial" w:hAnsi="Arial"/>
                <w:sz w:val="20"/>
              </w:rPr>
              <w:t>Formerly an open lagoon supplied with seawater and fresh water floods, but now virtually enclosed within a barrier.</w:t>
            </w:r>
          </w:p>
        </w:tc>
        <w:tc>
          <w:tcPr>
            <w:tcW w:w="9922" w:type="dxa"/>
            <w:shd w:val="clear" w:color="auto" w:fill="auto"/>
          </w:tcPr>
          <w:p w14:paraId="331622DD" w14:textId="77777777" w:rsidR="00E456C7" w:rsidRPr="00435ED5" w:rsidRDefault="00E456C7" w:rsidP="00435ED5">
            <w:pPr>
              <w:pStyle w:val="bodycopy"/>
              <w:spacing w:before="40" w:after="40"/>
              <w:rPr>
                <w:rFonts w:ascii="Arial" w:hAnsi="Arial"/>
                <w:sz w:val="20"/>
              </w:rPr>
            </w:pPr>
            <w:r w:rsidRPr="00435ED5">
              <w:rPr>
                <w:rFonts w:ascii="Arial" w:hAnsi="Arial"/>
                <w:sz w:val="20"/>
              </w:rPr>
              <w:t xml:space="preserve">Criteria for selection: 1, 3, 5. Part of the Gippsland Lakes Ramsar site. </w:t>
            </w:r>
          </w:p>
          <w:p w14:paraId="73443726" w14:textId="77777777" w:rsidR="00E456C7" w:rsidRPr="00435ED5" w:rsidRDefault="00E456C7" w:rsidP="00435ED5">
            <w:pPr>
              <w:pStyle w:val="bodycopy"/>
              <w:spacing w:before="40" w:after="40"/>
              <w:rPr>
                <w:rFonts w:ascii="Arial" w:hAnsi="Arial"/>
                <w:sz w:val="20"/>
              </w:rPr>
            </w:pPr>
            <w:r w:rsidRPr="00435ED5">
              <w:rPr>
                <w:rFonts w:ascii="Arial" w:hAnsi="Arial"/>
                <w:sz w:val="20"/>
              </w:rPr>
              <w:t xml:space="preserve">Covers an area of 1,326 ha in water depths from 0 – 2 m. </w:t>
            </w:r>
          </w:p>
          <w:p w14:paraId="1B0495DB" w14:textId="0C4CF733" w:rsidR="00E456C7" w:rsidRPr="00435ED5" w:rsidRDefault="00E456C7" w:rsidP="00435ED5">
            <w:pPr>
              <w:pStyle w:val="bodycopy"/>
              <w:spacing w:before="40" w:after="40"/>
              <w:rPr>
                <w:rFonts w:ascii="Arial" w:hAnsi="Arial"/>
                <w:sz w:val="20"/>
              </w:rPr>
            </w:pPr>
            <w:r w:rsidRPr="00435ED5">
              <w:rPr>
                <w:rFonts w:ascii="Arial" w:hAnsi="Arial"/>
                <w:sz w:val="20"/>
              </w:rPr>
              <w:t xml:space="preserve">The creeks entering the </w:t>
            </w:r>
            <w:r w:rsidR="00A2663F" w:rsidRPr="00435ED5">
              <w:rPr>
                <w:rFonts w:ascii="Arial" w:hAnsi="Arial"/>
                <w:sz w:val="20"/>
              </w:rPr>
              <w:t>m</w:t>
            </w:r>
            <w:r w:rsidRPr="00435ED5">
              <w:rPr>
                <w:rFonts w:ascii="Arial" w:hAnsi="Arial"/>
                <w:sz w:val="20"/>
              </w:rPr>
              <w:t>arsh differ from others in East Gippsland in that they are completely enclosed by the barrier and have no tidal connection to estuaries at Lake Tyers or the lower Snowy River.</w:t>
            </w:r>
          </w:p>
          <w:p w14:paraId="19F5BF83" w14:textId="62628D46" w:rsidR="00E456C7" w:rsidRPr="00435ED5" w:rsidRDefault="00A2663F" w:rsidP="00435ED5">
            <w:pPr>
              <w:pStyle w:val="bodycopy"/>
              <w:spacing w:before="40" w:after="40"/>
              <w:rPr>
                <w:rFonts w:ascii="Arial" w:hAnsi="Arial"/>
                <w:sz w:val="20"/>
              </w:rPr>
            </w:pPr>
            <w:r w:rsidRPr="00435ED5">
              <w:rPr>
                <w:rFonts w:ascii="Arial" w:hAnsi="Arial"/>
                <w:sz w:val="20"/>
              </w:rPr>
              <w:t xml:space="preserve">The marsh has </w:t>
            </w:r>
            <w:r w:rsidR="00E456C7" w:rsidRPr="00435ED5">
              <w:rPr>
                <w:rFonts w:ascii="Arial" w:hAnsi="Arial"/>
                <w:sz w:val="20"/>
              </w:rPr>
              <w:t>443 plant taxa (including 43 introduced) recorded</w:t>
            </w:r>
            <w:r w:rsidRPr="00435ED5">
              <w:rPr>
                <w:rFonts w:ascii="Arial" w:hAnsi="Arial"/>
                <w:sz w:val="20"/>
              </w:rPr>
              <w:t xml:space="preserve">, which </w:t>
            </w:r>
            <w:r w:rsidR="00E456C7" w:rsidRPr="00435ED5">
              <w:rPr>
                <w:rFonts w:ascii="Arial" w:hAnsi="Arial"/>
                <w:sz w:val="20"/>
              </w:rPr>
              <w:t>consists of four vegetation classes</w:t>
            </w:r>
            <w:r w:rsidRPr="00435ED5">
              <w:rPr>
                <w:rFonts w:ascii="Arial" w:hAnsi="Arial"/>
                <w:sz w:val="20"/>
              </w:rPr>
              <w:t>;</w:t>
            </w:r>
            <w:r w:rsidR="000726DF">
              <w:rPr>
                <w:rFonts w:ascii="Arial" w:hAnsi="Arial"/>
                <w:sz w:val="20"/>
              </w:rPr>
              <w:t xml:space="preserve"> </w:t>
            </w:r>
            <w:r w:rsidRPr="00435ED5">
              <w:rPr>
                <w:rFonts w:ascii="Arial" w:hAnsi="Arial"/>
                <w:sz w:val="20"/>
              </w:rPr>
              <w:t>W</w:t>
            </w:r>
            <w:r w:rsidR="00E456C7" w:rsidRPr="00435ED5">
              <w:rPr>
                <w:rFonts w:ascii="Arial" w:hAnsi="Arial"/>
                <w:sz w:val="20"/>
              </w:rPr>
              <w:t>et Swale Herbland/Sed</w:t>
            </w:r>
            <w:r w:rsidRPr="00435ED5">
              <w:rPr>
                <w:rFonts w:ascii="Arial" w:hAnsi="Arial"/>
                <w:sz w:val="20"/>
              </w:rPr>
              <w:t>geland (endemic to this wetland</w:t>
            </w:r>
            <w:r w:rsidR="00E456C7" w:rsidRPr="00435ED5">
              <w:rPr>
                <w:rFonts w:ascii="Arial" w:hAnsi="Arial"/>
                <w:sz w:val="20"/>
              </w:rPr>
              <w:t>), Coastal Lagoon Wetland (includ</w:t>
            </w:r>
            <w:r w:rsidRPr="00435ED5">
              <w:rPr>
                <w:rFonts w:ascii="Arial" w:hAnsi="Arial"/>
                <w:sz w:val="20"/>
              </w:rPr>
              <w:t>ing Aquatic Sedgeland/Grassland</w:t>
            </w:r>
            <w:r w:rsidR="00E456C7" w:rsidRPr="00435ED5">
              <w:rPr>
                <w:rFonts w:ascii="Arial" w:hAnsi="Arial"/>
                <w:sz w:val="20"/>
              </w:rPr>
              <w:t>), Riparian Scrub Complex and Coast Saltmarsh.</w:t>
            </w:r>
          </w:p>
          <w:p w14:paraId="79D28F11" w14:textId="77777777" w:rsidR="00D1428D" w:rsidRDefault="00E456C7" w:rsidP="000726DF">
            <w:pPr>
              <w:pStyle w:val="bodycopy"/>
              <w:spacing w:before="40" w:after="40"/>
              <w:rPr>
                <w:rFonts w:ascii="Arial" w:hAnsi="Arial"/>
                <w:sz w:val="20"/>
              </w:rPr>
            </w:pPr>
            <w:r w:rsidRPr="00435ED5">
              <w:rPr>
                <w:rFonts w:ascii="Arial" w:hAnsi="Arial"/>
                <w:sz w:val="20"/>
              </w:rPr>
              <w:t>Part of the Ewing's Marsh wetland is within the 'Hospital Creek and Dinner Creek areas (Ewing's Marsh)' listing of State zoological significance. Forty-three waterbird species have been recorded at Ewing's Marsh.</w:t>
            </w:r>
          </w:p>
          <w:p w14:paraId="1DC77ACF" w14:textId="77777777" w:rsidR="000726DF" w:rsidRDefault="000726DF" w:rsidP="000726DF">
            <w:pPr>
              <w:pStyle w:val="bodycopy"/>
              <w:spacing w:before="40" w:after="40"/>
              <w:rPr>
                <w:rFonts w:ascii="Arial" w:hAnsi="Arial"/>
                <w:sz w:val="20"/>
              </w:rPr>
            </w:pPr>
          </w:p>
          <w:p w14:paraId="03C0CCF9" w14:textId="7FB40B35" w:rsidR="000726DF" w:rsidRPr="00435ED5" w:rsidRDefault="000726DF" w:rsidP="000726DF">
            <w:pPr>
              <w:pStyle w:val="bodycopy"/>
              <w:spacing w:before="40" w:after="40"/>
              <w:rPr>
                <w:rFonts w:ascii="Arial" w:hAnsi="Arial"/>
                <w:sz w:val="20"/>
              </w:rPr>
            </w:pPr>
          </w:p>
        </w:tc>
      </w:tr>
      <w:tr w:rsidR="00E456C7" w:rsidRPr="00435ED5" w14:paraId="471B1045" w14:textId="77777777" w:rsidTr="00514376">
        <w:tc>
          <w:tcPr>
            <w:tcW w:w="2235" w:type="dxa"/>
            <w:shd w:val="clear" w:color="auto" w:fill="auto"/>
          </w:tcPr>
          <w:p w14:paraId="687606B7" w14:textId="77777777" w:rsidR="00E456C7" w:rsidRPr="00435ED5" w:rsidRDefault="00E456C7" w:rsidP="00435ED5">
            <w:pPr>
              <w:pStyle w:val="bodycopy"/>
              <w:spacing w:before="40" w:after="40"/>
              <w:rPr>
                <w:rFonts w:ascii="Arial" w:hAnsi="Arial"/>
                <w:sz w:val="20"/>
              </w:rPr>
            </w:pPr>
            <w:r w:rsidRPr="00435ED5">
              <w:rPr>
                <w:rFonts w:ascii="Arial" w:hAnsi="Arial"/>
                <w:b/>
                <w:sz w:val="20"/>
              </w:rPr>
              <w:lastRenderedPageBreak/>
              <w:t>Lower Snowy River Wetlands System (VIC087)</w:t>
            </w:r>
            <w:r w:rsidRPr="00435ED5">
              <w:rPr>
                <w:rFonts w:ascii="Arial" w:hAnsi="Arial"/>
                <w:sz w:val="20"/>
              </w:rPr>
              <w:t xml:space="preserve"> (connected to Ewing’s Marsh)</w:t>
            </w:r>
          </w:p>
          <w:p w14:paraId="12EC8482" w14:textId="77777777" w:rsidR="00E456C7" w:rsidRPr="00435ED5" w:rsidRDefault="00181578" w:rsidP="00435ED5">
            <w:pPr>
              <w:pStyle w:val="bodycopy"/>
              <w:spacing w:before="40" w:after="40"/>
              <w:rPr>
                <w:rFonts w:ascii="Arial" w:hAnsi="Arial"/>
                <w:sz w:val="20"/>
              </w:rPr>
            </w:pPr>
            <w:r w:rsidRPr="00435ED5">
              <w:rPr>
                <w:rFonts w:ascii="Arial" w:hAnsi="Arial"/>
                <w:i/>
                <w:sz w:val="20"/>
              </w:rPr>
              <w:t>95</w:t>
            </w:r>
            <w:r w:rsidR="00E456C7" w:rsidRPr="00435ED5">
              <w:rPr>
                <w:rFonts w:ascii="Arial" w:hAnsi="Arial"/>
                <w:i/>
                <w:sz w:val="20"/>
              </w:rPr>
              <w:t xml:space="preserve"> km </w:t>
            </w:r>
            <w:r w:rsidRPr="00435ED5">
              <w:rPr>
                <w:rFonts w:ascii="Arial" w:hAnsi="Arial"/>
                <w:i/>
                <w:sz w:val="20"/>
              </w:rPr>
              <w:t>north</w:t>
            </w:r>
            <w:r w:rsidR="00E456C7" w:rsidRPr="00435ED5">
              <w:rPr>
                <w:rFonts w:ascii="Arial" w:hAnsi="Arial"/>
                <w:i/>
                <w:sz w:val="20"/>
              </w:rPr>
              <w:t>east of proposed acquisition</w:t>
            </w:r>
            <w:r w:rsidR="00E456C7" w:rsidRPr="00435ED5">
              <w:rPr>
                <w:rFonts w:ascii="Arial" w:hAnsi="Arial"/>
                <w:sz w:val="20"/>
              </w:rPr>
              <w:t xml:space="preserve"> </w:t>
            </w:r>
            <w:r w:rsidR="00E456C7" w:rsidRPr="00435ED5">
              <w:rPr>
                <w:rFonts w:ascii="Arial" w:hAnsi="Arial"/>
                <w:i/>
                <w:sz w:val="20"/>
              </w:rPr>
              <w:t>area</w:t>
            </w:r>
            <w:r w:rsidRPr="00435ED5">
              <w:rPr>
                <w:rFonts w:ascii="Arial" w:hAnsi="Arial"/>
                <w:sz w:val="20"/>
              </w:rPr>
              <w:t xml:space="preserve"> </w:t>
            </w:r>
            <w:r w:rsidRPr="00435ED5">
              <w:rPr>
                <w:rFonts w:ascii="Arial" w:hAnsi="Arial"/>
                <w:i/>
                <w:sz w:val="20"/>
              </w:rPr>
              <w:t>(to the mouth)</w:t>
            </w:r>
          </w:p>
        </w:tc>
        <w:tc>
          <w:tcPr>
            <w:tcW w:w="1701" w:type="dxa"/>
            <w:shd w:val="clear" w:color="auto" w:fill="auto"/>
          </w:tcPr>
          <w:p w14:paraId="16A42388" w14:textId="6217BD32" w:rsidR="00E456C7" w:rsidRPr="00EB78E5" w:rsidRDefault="00EB78E5" w:rsidP="00435ED5">
            <w:pPr>
              <w:pStyle w:val="bodycopy"/>
              <w:spacing w:before="40" w:after="40"/>
              <w:rPr>
                <w:rFonts w:ascii="Arial" w:hAnsi="Arial"/>
                <w:sz w:val="20"/>
              </w:rPr>
            </w:pPr>
            <w:r w:rsidRPr="00EB78E5">
              <w:rPr>
                <w:rFonts w:ascii="Arial" w:hAnsi="Arial"/>
                <w:sz w:val="20"/>
              </w:rPr>
              <w:t>Periodically closed due to variations in river flows.</w:t>
            </w:r>
          </w:p>
        </w:tc>
        <w:tc>
          <w:tcPr>
            <w:tcW w:w="9922" w:type="dxa"/>
            <w:shd w:val="clear" w:color="auto" w:fill="auto"/>
          </w:tcPr>
          <w:p w14:paraId="31F3C3A4" w14:textId="77777777" w:rsidR="009E2134" w:rsidRPr="00435ED5" w:rsidRDefault="009E2134" w:rsidP="00435ED5">
            <w:pPr>
              <w:pStyle w:val="bodycopy"/>
              <w:spacing w:before="40" w:after="40"/>
              <w:rPr>
                <w:rFonts w:ascii="Arial" w:hAnsi="Arial"/>
                <w:sz w:val="20"/>
              </w:rPr>
            </w:pPr>
            <w:r w:rsidRPr="00435ED5">
              <w:rPr>
                <w:rFonts w:ascii="Arial" w:hAnsi="Arial"/>
                <w:sz w:val="20"/>
              </w:rPr>
              <w:t xml:space="preserve">Criteria for selection: 1, 2, 3, 5. </w:t>
            </w:r>
          </w:p>
          <w:p w14:paraId="6FA53CFF" w14:textId="77777777" w:rsidR="009E2134" w:rsidRPr="00435ED5" w:rsidRDefault="009E2134" w:rsidP="00435ED5">
            <w:pPr>
              <w:pStyle w:val="bodycopy"/>
              <w:spacing w:before="40" w:after="40"/>
              <w:rPr>
                <w:rFonts w:ascii="Arial" w:hAnsi="Arial"/>
                <w:sz w:val="20"/>
              </w:rPr>
            </w:pPr>
            <w:r w:rsidRPr="00435ED5">
              <w:rPr>
                <w:rFonts w:ascii="Arial" w:hAnsi="Arial"/>
                <w:sz w:val="20"/>
              </w:rPr>
              <w:t xml:space="preserve">Covers an area of ~2,000 ha in water depths from 0 – 4 m. </w:t>
            </w:r>
          </w:p>
          <w:p w14:paraId="3121FB59" w14:textId="5B58A2C9" w:rsidR="009E2134" w:rsidRPr="00435ED5" w:rsidRDefault="009E2134" w:rsidP="00435ED5">
            <w:pPr>
              <w:pStyle w:val="bodycopy"/>
              <w:spacing w:before="40" w:after="40"/>
              <w:rPr>
                <w:rFonts w:ascii="Arial" w:hAnsi="Arial"/>
                <w:sz w:val="20"/>
              </w:rPr>
            </w:pPr>
            <w:r w:rsidRPr="00435ED5">
              <w:rPr>
                <w:rFonts w:ascii="Arial" w:hAnsi="Arial"/>
                <w:sz w:val="20"/>
              </w:rPr>
              <w:t xml:space="preserve">The wetlands consist of extensive saltmarsh flats and reed beds, paperbark thicket, mud flats and seagrass beds and thus supports a diverse faunal assemblage. </w:t>
            </w:r>
          </w:p>
          <w:p w14:paraId="7FB450C8" w14:textId="77777777" w:rsidR="009E2134" w:rsidRPr="00435ED5" w:rsidRDefault="009E2134" w:rsidP="00435ED5">
            <w:pPr>
              <w:pStyle w:val="bodycopy"/>
              <w:spacing w:before="40" w:after="40"/>
              <w:rPr>
                <w:rFonts w:ascii="Arial" w:hAnsi="Arial"/>
                <w:sz w:val="20"/>
              </w:rPr>
            </w:pPr>
            <w:r w:rsidRPr="00435ED5">
              <w:rPr>
                <w:rFonts w:ascii="Arial" w:hAnsi="Arial"/>
                <w:sz w:val="20"/>
              </w:rPr>
              <w:t>The wetlands are an excellent example of a floodplain system consisting of a diverse range of habitats and contain extensive areas of swamp paperbark (</w:t>
            </w:r>
            <w:r w:rsidRPr="00435ED5">
              <w:rPr>
                <w:rFonts w:ascii="Arial" w:hAnsi="Arial"/>
                <w:i/>
                <w:sz w:val="20"/>
              </w:rPr>
              <w:t>Melaleuca ericifolia</w:t>
            </w:r>
            <w:r w:rsidRPr="00435ED5">
              <w:rPr>
                <w:rFonts w:ascii="Arial" w:hAnsi="Arial"/>
                <w:sz w:val="20"/>
              </w:rPr>
              <w:t>), reed beds, salt marsh and mudflats that have been cleared or badly degraded elsewhere throughout the Snowy River floodplain.</w:t>
            </w:r>
          </w:p>
          <w:p w14:paraId="6DBB5790" w14:textId="3DCC0A73" w:rsidR="00AD08AE" w:rsidRPr="00435ED5" w:rsidRDefault="009E2134" w:rsidP="00BF281F">
            <w:pPr>
              <w:pStyle w:val="bodycopy"/>
              <w:spacing w:before="40" w:after="40"/>
              <w:rPr>
                <w:rFonts w:ascii="Arial" w:hAnsi="Arial"/>
                <w:sz w:val="20"/>
              </w:rPr>
            </w:pPr>
            <w:r w:rsidRPr="00435ED5">
              <w:rPr>
                <w:rFonts w:ascii="Arial" w:hAnsi="Arial"/>
                <w:sz w:val="20"/>
              </w:rPr>
              <w:t>Lake Corringle provides important spawning ground and nursery habitat for fish such as Australian bass (</w:t>
            </w:r>
            <w:r w:rsidRPr="00435ED5">
              <w:rPr>
                <w:rFonts w:ascii="Arial" w:hAnsi="Arial"/>
                <w:i/>
                <w:sz w:val="20"/>
              </w:rPr>
              <w:t>Macquaria novemaculeuta</w:t>
            </w:r>
            <w:r w:rsidRPr="00435ED5">
              <w:rPr>
                <w:rFonts w:ascii="Arial" w:hAnsi="Arial"/>
                <w:sz w:val="20"/>
              </w:rPr>
              <w:t>), which migrate between marine, estuarine and freshwater environments (Koehn &amp; O'Connor 1990). The hooded plover, ground parrot (</w:t>
            </w:r>
            <w:r w:rsidRPr="00435ED5">
              <w:rPr>
                <w:rFonts w:ascii="Arial" w:hAnsi="Arial"/>
                <w:i/>
                <w:sz w:val="20"/>
              </w:rPr>
              <w:t>Pezoporus wallicus</w:t>
            </w:r>
            <w:r w:rsidRPr="00435ED5">
              <w:rPr>
                <w:rFonts w:ascii="Arial" w:hAnsi="Arial"/>
                <w:sz w:val="20"/>
              </w:rPr>
              <w:t>), white-bellied sea-eagle, eastern curlew, Australian grayling (</w:t>
            </w:r>
            <w:r w:rsidRPr="00435ED5">
              <w:rPr>
                <w:rFonts w:ascii="Arial" w:hAnsi="Arial"/>
                <w:i/>
                <w:sz w:val="20"/>
              </w:rPr>
              <w:t>Prototroctes maraena</w:t>
            </w:r>
            <w:r w:rsidRPr="00435ED5">
              <w:rPr>
                <w:rFonts w:ascii="Arial" w:hAnsi="Arial"/>
                <w:sz w:val="20"/>
              </w:rPr>
              <w:t>), spotted galaxias (</w:t>
            </w:r>
            <w:r w:rsidRPr="00435ED5">
              <w:rPr>
                <w:rFonts w:ascii="Arial" w:hAnsi="Arial"/>
                <w:i/>
                <w:sz w:val="20"/>
              </w:rPr>
              <w:t>Galaxias truttaceus</w:t>
            </w:r>
            <w:r w:rsidRPr="00435ED5">
              <w:rPr>
                <w:rFonts w:ascii="Arial" w:hAnsi="Arial"/>
                <w:sz w:val="20"/>
              </w:rPr>
              <w:t>) and striped gudgeon (</w:t>
            </w:r>
            <w:r w:rsidRPr="00435ED5">
              <w:rPr>
                <w:rFonts w:ascii="Arial" w:hAnsi="Arial"/>
                <w:i/>
                <w:sz w:val="20"/>
              </w:rPr>
              <w:t>Gobiomorphus australis</w:t>
            </w:r>
            <w:r w:rsidRPr="00435ED5">
              <w:rPr>
                <w:rFonts w:ascii="Arial" w:hAnsi="Arial"/>
                <w:sz w:val="20"/>
              </w:rPr>
              <w:t>) have been recorded in the wetlands.</w:t>
            </w:r>
            <w:r w:rsidR="00BF281F">
              <w:rPr>
                <w:rFonts w:ascii="Arial" w:hAnsi="Arial"/>
                <w:sz w:val="20"/>
              </w:rPr>
              <w:t xml:space="preserve"> </w:t>
            </w:r>
            <w:r w:rsidR="00FD4DB9" w:rsidRPr="00435ED5">
              <w:rPr>
                <w:rFonts w:ascii="Arial" w:hAnsi="Arial"/>
                <w:sz w:val="20"/>
              </w:rPr>
              <w:t>T</w:t>
            </w:r>
            <w:r w:rsidR="00576751" w:rsidRPr="00435ED5">
              <w:rPr>
                <w:rFonts w:ascii="Arial" w:hAnsi="Arial"/>
                <w:sz w:val="20"/>
              </w:rPr>
              <w:t>en bird species protected under the JAMBA and CAMBA</w:t>
            </w:r>
            <w:r w:rsidR="00FD4DB9" w:rsidRPr="00435ED5">
              <w:rPr>
                <w:rFonts w:ascii="Arial" w:hAnsi="Arial"/>
                <w:sz w:val="20"/>
              </w:rPr>
              <w:t xml:space="preserve"> use the wetlands. </w:t>
            </w:r>
          </w:p>
        </w:tc>
      </w:tr>
      <w:tr w:rsidR="00D1428D" w:rsidRPr="00435ED5" w14:paraId="4046E573" w14:textId="77777777" w:rsidTr="00514376">
        <w:tc>
          <w:tcPr>
            <w:tcW w:w="2235" w:type="dxa"/>
            <w:shd w:val="clear" w:color="auto" w:fill="auto"/>
          </w:tcPr>
          <w:p w14:paraId="744C02B3" w14:textId="77777777" w:rsidR="00D1428D" w:rsidRPr="00435ED5" w:rsidRDefault="00D1428D" w:rsidP="00435ED5">
            <w:pPr>
              <w:pStyle w:val="bodycopy"/>
              <w:spacing w:before="40" w:after="40"/>
              <w:rPr>
                <w:rFonts w:ascii="Arial" w:hAnsi="Arial"/>
                <w:b/>
                <w:sz w:val="20"/>
              </w:rPr>
            </w:pPr>
            <w:r w:rsidRPr="00435ED5">
              <w:rPr>
                <w:rFonts w:ascii="Arial" w:hAnsi="Arial"/>
                <w:b/>
                <w:sz w:val="20"/>
              </w:rPr>
              <w:t>Sydenham Inlet Wetlands (VIC134)</w:t>
            </w:r>
          </w:p>
          <w:p w14:paraId="231092DA" w14:textId="77777777" w:rsidR="006E7C56" w:rsidRPr="00435ED5" w:rsidRDefault="00181578" w:rsidP="00435ED5">
            <w:pPr>
              <w:pStyle w:val="bodycopy"/>
              <w:spacing w:before="40" w:after="40"/>
              <w:rPr>
                <w:rFonts w:ascii="Arial" w:hAnsi="Arial"/>
                <w:i/>
                <w:sz w:val="20"/>
              </w:rPr>
            </w:pPr>
            <w:r w:rsidRPr="00435ED5">
              <w:rPr>
                <w:rFonts w:ascii="Arial" w:hAnsi="Arial"/>
                <w:i/>
                <w:sz w:val="20"/>
              </w:rPr>
              <w:t>134</w:t>
            </w:r>
            <w:r w:rsidR="006E7C56" w:rsidRPr="00435ED5">
              <w:rPr>
                <w:rFonts w:ascii="Arial" w:hAnsi="Arial"/>
                <w:i/>
                <w:sz w:val="20"/>
              </w:rPr>
              <w:t xml:space="preserve"> km </w:t>
            </w:r>
            <w:r w:rsidRPr="00435ED5">
              <w:rPr>
                <w:rFonts w:ascii="Arial" w:hAnsi="Arial"/>
                <w:i/>
                <w:sz w:val="20"/>
              </w:rPr>
              <w:t>north</w:t>
            </w:r>
            <w:r w:rsidR="006E7C56" w:rsidRPr="00435ED5">
              <w:rPr>
                <w:rFonts w:ascii="Arial" w:hAnsi="Arial"/>
                <w:i/>
                <w:sz w:val="20"/>
              </w:rPr>
              <w:t>east of proposed acquisition area</w:t>
            </w:r>
            <w:r w:rsidRPr="00435ED5">
              <w:rPr>
                <w:rFonts w:ascii="Arial" w:hAnsi="Arial"/>
                <w:i/>
                <w:sz w:val="20"/>
              </w:rPr>
              <w:t xml:space="preserve"> (to the mouth)</w:t>
            </w:r>
          </w:p>
        </w:tc>
        <w:tc>
          <w:tcPr>
            <w:tcW w:w="1701" w:type="dxa"/>
            <w:shd w:val="clear" w:color="auto" w:fill="auto"/>
          </w:tcPr>
          <w:p w14:paraId="4DDE788E" w14:textId="2BF570EF" w:rsidR="00D1428D" w:rsidRPr="00EB78E5" w:rsidRDefault="00EB78E5" w:rsidP="00435ED5">
            <w:pPr>
              <w:pStyle w:val="bodycopy"/>
              <w:spacing w:before="40" w:after="40"/>
              <w:rPr>
                <w:rFonts w:ascii="Arial" w:hAnsi="Arial"/>
                <w:sz w:val="20"/>
              </w:rPr>
            </w:pPr>
            <w:r w:rsidRPr="00EB78E5">
              <w:rPr>
                <w:rFonts w:ascii="Arial" w:hAnsi="Arial"/>
                <w:sz w:val="20"/>
              </w:rPr>
              <w:t>Closes frequently, between one and four occasions annually.</w:t>
            </w:r>
          </w:p>
        </w:tc>
        <w:tc>
          <w:tcPr>
            <w:tcW w:w="9922" w:type="dxa"/>
            <w:shd w:val="clear" w:color="auto" w:fill="auto"/>
          </w:tcPr>
          <w:p w14:paraId="6AC3C4BD" w14:textId="77777777" w:rsidR="00FD4DB9" w:rsidRPr="00435ED5" w:rsidRDefault="00FD4DB9" w:rsidP="00435ED5">
            <w:pPr>
              <w:pStyle w:val="bodycopy"/>
              <w:spacing w:before="40" w:after="40"/>
              <w:rPr>
                <w:rFonts w:ascii="Arial" w:hAnsi="Arial"/>
                <w:sz w:val="20"/>
              </w:rPr>
            </w:pPr>
            <w:r w:rsidRPr="00435ED5">
              <w:rPr>
                <w:rFonts w:ascii="Arial" w:hAnsi="Arial"/>
                <w:sz w:val="20"/>
              </w:rPr>
              <w:t xml:space="preserve">Criteria for selection: 1, 3, 5. </w:t>
            </w:r>
          </w:p>
          <w:p w14:paraId="735F68BD" w14:textId="57B9B943" w:rsidR="00FD4DB9" w:rsidRPr="00435ED5" w:rsidRDefault="00FD4DB9" w:rsidP="00435ED5">
            <w:pPr>
              <w:pStyle w:val="bodycopy"/>
              <w:spacing w:before="40" w:after="40"/>
              <w:rPr>
                <w:rFonts w:ascii="Arial" w:hAnsi="Arial"/>
                <w:sz w:val="20"/>
              </w:rPr>
            </w:pPr>
            <w:r w:rsidRPr="00435ED5">
              <w:rPr>
                <w:rFonts w:ascii="Arial" w:hAnsi="Arial"/>
                <w:sz w:val="20"/>
              </w:rPr>
              <w:t xml:space="preserve">Comprises Sydenham Inlet, Mud Lake and Swan Lake, covering an area of 1,216 ha in water depths from </w:t>
            </w:r>
            <w:r w:rsidRPr="00435ED5">
              <w:rPr>
                <w:rFonts w:ascii="Arial" w:hAnsi="Arial"/>
                <w:sz w:val="20"/>
              </w:rPr>
              <w:br/>
              <w:t xml:space="preserve">0 – 25 m, with 7 km of river channel. </w:t>
            </w:r>
            <w:r w:rsidR="00773369" w:rsidRPr="00435ED5">
              <w:rPr>
                <w:rFonts w:ascii="Arial" w:hAnsi="Arial"/>
                <w:sz w:val="20"/>
              </w:rPr>
              <w:t xml:space="preserve">Located within Sydenham Inlet - Cape Conran Coastal Park. </w:t>
            </w:r>
          </w:p>
          <w:p w14:paraId="37B75159" w14:textId="77777777" w:rsidR="00FD4DB9" w:rsidRPr="00435ED5" w:rsidRDefault="00FD4DB9" w:rsidP="00435ED5">
            <w:pPr>
              <w:pStyle w:val="bodycopy"/>
              <w:spacing w:before="40" w:after="40"/>
              <w:rPr>
                <w:rFonts w:ascii="Arial" w:hAnsi="Arial"/>
                <w:sz w:val="20"/>
              </w:rPr>
            </w:pPr>
            <w:r w:rsidRPr="00435ED5">
              <w:rPr>
                <w:rFonts w:ascii="Arial" w:hAnsi="Arial"/>
                <w:sz w:val="20"/>
              </w:rPr>
              <w:t>Two hundred and sixty-six (266) plant taxa have been recorded in the Sydenham Inlet area, including a significant seagrass meadow community consisting of dwarf grass-wrack (</w:t>
            </w:r>
            <w:r w:rsidRPr="00435ED5">
              <w:rPr>
                <w:rFonts w:ascii="Arial" w:hAnsi="Arial"/>
                <w:i/>
                <w:sz w:val="20"/>
              </w:rPr>
              <w:t>Zostera muelleri</w:t>
            </w:r>
            <w:r w:rsidRPr="00435ED5">
              <w:rPr>
                <w:rFonts w:ascii="Arial" w:hAnsi="Arial"/>
                <w:sz w:val="20"/>
              </w:rPr>
              <w:t>) and eel-grass (</w:t>
            </w:r>
            <w:r w:rsidRPr="00435ED5">
              <w:rPr>
                <w:rFonts w:ascii="Arial" w:hAnsi="Arial"/>
                <w:i/>
                <w:sz w:val="20"/>
              </w:rPr>
              <w:t>Vallisneria americana</w:t>
            </w:r>
            <w:r w:rsidRPr="00435ED5">
              <w:rPr>
                <w:rFonts w:ascii="Arial" w:hAnsi="Arial"/>
                <w:sz w:val="20"/>
              </w:rPr>
              <w:t>).</w:t>
            </w:r>
          </w:p>
          <w:p w14:paraId="0EB89468" w14:textId="0304DA14" w:rsidR="00FD4DB9" w:rsidRPr="00435ED5" w:rsidRDefault="0004602F" w:rsidP="00435ED5">
            <w:pPr>
              <w:pStyle w:val="bodycopy"/>
              <w:spacing w:before="40" w:after="40"/>
              <w:rPr>
                <w:rFonts w:ascii="Arial" w:hAnsi="Arial"/>
                <w:sz w:val="20"/>
              </w:rPr>
            </w:pPr>
            <w:r w:rsidRPr="00435ED5">
              <w:rPr>
                <w:rFonts w:ascii="Arial" w:hAnsi="Arial"/>
                <w:sz w:val="20"/>
              </w:rPr>
              <w:t>The</w:t>
            </w:r>
            <w:r w:rsidR="00FD4DB9" w:rsidRPr="00435ED5">
              <w:rPr>
                <w:rFonts w:ascii="Arial" w:hAnsi="Arial"/>
                <w:sz w:val="20"/>
              </w:rPr>
              <w:t xml:space="preserve"> </w:t>
            </w:r>
            <w:r w:rsidRPr="00435ED5">
              <w:rPr>
                <w:rFonts w:ascii="Arial" w:hAnsi="Arial"/>
                <w:sz w:val="20"/>
              </w:rPr>
              <w:t>i</w:t>
            </w:r>
            <w:r w:rsidR="00FD4DB9" w:rsidRPr="00435ED5">
              <w:rPr>
                <w:rFonts w:ascii="Arial" w:hAnsi="Arial"/>
                <w:sz w:val="20"/>
              </w:rPr>
              <w:t>nlet is listed as being of local and scientific interest for zoology</w:t>
            </w:r>
            <w:r w:rsidRPr="00435ED5">
              <w:rPr>
                <w:rFonts w:ascii="Arial" w:hAnsi="Arial"/>
                <w:sz w:val="20"/>
              </w:rPr>
              <w:t>, comprising</w:t>
            </w:r>
            <w:r w:rsidR="00FD4DB9" w:rsidRPr="00435ED5">
              <w:rPr>
                <w:rFonts w:ascii="Arial" w:hAnsi="Arial"/>
                <w:sz w:val="20"/>
              </w:rPr>
              <w:t xml:space="preserve"> </w:t>
            </w:r>
            <w:r w:rsidRPr="00435ED5">
              <w:rPr>
                <w:rFonts w:ascii="Arial" w:hAnsi="Arial"/>
                <w:sz w:val="20"/>
              </w:rPr>
              <w:t xml:space="preserve">57 </w:t>
            </w:r>
            <w:r w:rsidR="00FD4DB9" w:rsidRPr="00435ED5">
              <w:rPr>
                <w:rFonts w:ascii="Arial" w:hAnsi="Arial"/>
                <w:sz w:val="20"/>
              </w:rPr>
              <w:t>waterbird species, 39 fish species</w:t>
            </w:r>
            <w:r w:rsidRPr="00435ED5">
              <w:rPr>
                <w:rFonts w:ascii="Arial" w:hAnsi="Arial"/>
                <w:sz w:val="20"/>
              </w:rPr>
              <w:t xml:space="preserve">, </w:t>
            </w:r>
            <w:r w:rsidR="00FD4DB9" w:rsidRPr="00435ED5">
              <w:rPr>
                <w:rFonts w:ascii="Arial" w:hAnsi="Arial"/>
                <w:sz w:val="20"/>
              </w:rPr>
              <w:t xml:space="preserve">including </w:t>
            </w:r>
            <w:r w:rsidRPr="00435ED5">
              <w:rPr>
                <w:rFonts w:ascii="Arial" w:hAnsi="Arial"/>
                <w:sz w:val="20"/>
              </w:rPr>
              <w:t>c</w:t>
            </w:r>
            <w:r w:rsidR="00FD4DB9" w:rsidRPr="00435ED5">
              <w:rPr>
                <w:rFonts w:ascii="Arial" w:hAnsi="Arial"/>
                <w:sz w:val="20"/>
              </w:rPr>
              <w:t xml:space="preserve">ommon </w:t>
            </w:r>
            <w:r w:rsidRPr="00435ED5">
              <w:rPr>
                <w:rFonts w:ascii="Arial" w:hAnsi="Arial"/>
                <w:sz w:val="20"/>
              </w:rPr>
              <w:t>g</w:t>
            </w:r>
            <w:r w:rsidR="00FD4DB9" w:rsidRPr="00435ED5">
              <w:rPr>
                <w:rFonts w:ascii="Arial" w:hAnsi="Arial"/>
                <w:sz w:val="20"/>
              </w:rPr>
              <w:t xml:space="preserve">alaxias </w:t>
            </w:r>
            <w:r w:rsidRPr="00435ED5">
              <w:rPr>
                <w:rFonts w:ascii="Arial" w:hAnsi="Arial"/>
                <w:sz w:val="20"/>
              </w:rPr>
              <w:t>(</w:t>
            </w:r>
            <w:r w:rsidR="00FD4DB9" w:rsidRPr="00435ED5">
              <w:rPr>
                <w:rFonts w:ascii="Arial" w:hAnsi="Arial"/>
                <w:i/>
                <w:sz w:val="20"/>
              </w:rPr>
              <w:t>Galaxias maculatus</w:t>
            </w:r>
            <w:r w:rsidRPr="00435ED5">
              <w:rPr>
                <w:rFonts w:ascii="Arial" w:hAnsi="Arial"/>
                <w:sz w:val="20"/>
              </w:rPr>
              <w:t>)</w:t>
            </w:r>
            <w:r w:rsidR="00FD4DB9" w:rsidRPr="00435ED5">
              <w:rPr>
                <w:rFonts w:ascii="Arial" w:hAnsi="Arial"/>
                <w:sz w:val="20"/>
              </w:rPr>
              <w:t xml:space="preserve">, </w:t>
            </w:r>
            <w:r w:rsidRPr="00435ED5">
              <w:rPr>
                <w:rFonts w:ascii="Arial" w:hAnsi="Arial"/>
                <w:sz w:val="20"/>
              </w:rPr>
              <w:t>s</w:t>
            </w:r>
            <w:r w:rsidR="00FD4DB9" w:rsidRPr="00435ED5">
              <w:rPr>
                <w:rFonts w:ascii="Arial" w:hAnsi="Arial"/>
                <w:sz w:val="20"/>
              </w:rPr>
              <w:t xml:space="preserve">outhern </w:t>
            </w:r>
            <w:r w:rsidRPr="00435ED5">
              <w:rPr>
                <w:rFonts w:ascii="Arial" w:hAnsi="Arial"/>
                <w:sz w:val="20"/>
              </w:rPr>
              <w:t>p</w:t>
            </w:r>
            <w:r w:rsidR="00FD4DB9" w:rsidRPr="00435ED5">
              <w:rPr>
                <w:rFonts w:ascii="Arial" w:hAnsi="Arial"/>
                <w:sz w:val="20"/>
              </w:rPr>
              <w:t xml:space="preserve">ygmy </w:t>
            </w:r>
            <w:r w:rsidRPr="00435ED5">
              <w:rPr>
                <w:rFonts w:ascii="Arial" w:hAnsi="Arial"/>
                <w:sz w:val="20"/>
              </w:rPr>
              <w:t>p</w:t>
            </w:r>
            <w:r w:rsidR="00FD4DB9" w:rsidRPr="00435ED5">
              <w:rPr>
                <w:rFonts w:ascii="Arial" w:hAnsi="Arial"/>
                <w:sz w:val="20"/>
              </w:rPr>
              <w:t xml:space="preserve">erch </w:t>
            </w:r>
            <w:r w:rsidRPr="00435ED5">
              <w:rPr>
                <w:rFonts w:ascii="Arial" w:hAnsi="Arial"/>
                <w:sz w:val="20"/>
              </w:rPr>
              <w:t>(</w:t>
            </w:r>
            <w:r w:rsidR="00FD4DB9" w:rsidRPr="00435ED5">
              <w:rPr>
                <w:rFonts w:ascii="Arial" w:hAnsi="Arial"/>
                <w:i/>
                <w:sz w:val="20"/>
              </w:rPr>
              <w:t>Nannoperca australis</w:t>
            </w:r>
            <w:r w:rsidRPr="00435ED5">
              <w:rPr>
                <w:rFonts w:ascii="Arial" w:hAnsi="Arial"/>
                <w:sz w:val="20"/>
              </w:rPr>
              <w:t>)</w:t>
            </w:r>
            <w:r w:rsidR="00FD4DB9" w:rsidRPr="00435ED5">
              <w:rPr>
                <w:rFonts w:ascii="Arial" w:hAnsi="Arial"/>
                <w:sz w:val="20"/>
              </w:rPr>
              <w:t xml:space="preserve">, </w:t>
            </w:r>
            <w:r w:rsidRPr="00435ED5">
              <w:rPr>
                <w:rFonts w:ascii="Arial" w:hAnsi="Arial"/>
                <w:sz w:val="20"/>
              </w:rPr>
              <w:t>b</w:t>
            </w:r>
            <w:r w:rsidR="00FD4DB9" w:rsidRPr="00435ED5">
              <w:rPr>
                <w:rFonts w:ascii="Arial" w:hAnsi="Arial"/>
                <w:sz w:val="20"/>
              </w:rPr>
              <w:t xml:space="preserve">lack </w:t>
            </w:r>
            <w:r w:rsidRPr="00435ED5">
              <w:rPr>
                <w:rFonts w:ascii="Arial" w:hAnsi="Arial"/>
                <w:sz w:val="20"/>
              </w:rPr>
              <w:t>b</w:t>
            </w:r>
            <w:r w:rsidR="00FD4DB9" w:rsidRPr="00435ED5">
              <w:rPr>
                <w:rFonts w:ascii="Arial" w:hAnsi="Arial"/>
                <w:sz w:val="20"/>
              </w:rPr>
              <w:t xml:space="preserve">ream </w:t>
            </w:r>
            <w:r w:rsidRPr="00435ED5">
              <w:rPr>
                <w:rFonts w:ascii="Arial" w:hAnsi="Arial"/>
                <w:sz w:val="20"/>
              </w:rPr>
              <w:t>(</w:t>
            </w:r>
            <w:r w:rsidR="00FD4DB9" w:rsidRPr="00435ED5">
              <w:rPr>
                <w:rFonts w:ascii="Arial" w:hAnsi="Arial"/>
                <w:i/>
                <w:sz w:val="20"/>
              </w:rPr>
              <w:t>Acanthopagrus butcheri</w:t>
            </w:r>
            <w:r w:rsidRPr="00435ED5">
              <w:rPr>
                <w:rFonts w:ascii="Arial" w:hAnsi="Arial"/>
                <w:sz w:val="20"/>
              </w:rPr>
              <w:t>)</w:t>
            </w:r>
            <w:r w:rsidR="00FD4DB9" w:rsidRPr="00435ED5">
              <w:rPr>
                <w:rFonts w:ascii="Arial" w:hAnsi="Arial"/>
                <w:sz w:val="20"/>
              </w:rPr>
              <w:t xml:space="preserve">, Tamar River </w:t>
            </w:r>
            <w:r w:rsidRPr="00435ED5">
              <w:rPr>
                <w:rFonts w:ascii="Arial" w:hAnsi="Arial"/>
                <w:sz w:val="20"/>
              </w:rPr>
              <w:t>g</w:t>
            </w:r>
            <w:r w:rsidR="00FD4DB9" w:rsidRPr="00435ED5">
              <w:rPr>
                <w:rFonts w:ascii="Arial" w:hAnsi="Arial"/>
                <w:sz w:val="20"/>
              </w:rPr>
              <w:t xml:space="preserve">oby </w:t>
            </w:r>
            <w:r w:rsidRPr="00435ED5">
              <w:rPr>
                <w:rFonts w:ascii="Arial" w:hAnsi="Arial"/>
                <w:sz w:val="20"/>
              </w:rPr>
              <w:t>(</w:t>
            </w:r>
            <w:r w:rsidR="00FD4DB9" w:rsidRPr="00435ED5">
              <w:rPr>
                <w:rFonts w:ascii="Arial" w:hAnsi="Arial"/>
                <w:i/>
                <w:sz w:val="20"/>
              </w:rPr>
              <w:t>Favonigobius tamarensis</w:t>
            </w:r>
            <w:r w:rsidRPr="00435ED5">
              <w:rPr>
                <w:rFonts w:ascii="Arial" w:hAnsi="Arial"/>
                <w:sz w:val="20"/>
              </w:rPr>
              <w:t>)</w:t>
            </w:r>
            <w:r w:rsidR="00FD4DB9" w:rsidRPr="00435ED5">
              <w:rPr>
                <w:rFonts w:ascii="Arial" w:hAnsi="Arial"/>
                <w:sz w:val="20"/>
              </w:rPr>
              <w:t xml:space="preserve">, Port Jackson </w:t>
            </w:r>
            <w:r w:rsidRPr="00435ED5">
              <w:rPr>
                <w:rFonts w:ascii="Arial" w:hAnsi="Arial"/>
                <w:sz w:val="20"/>
              </w:rPr>
              <w:t>g</w:t>
            </w:r>
            <w:r w:rsidR="00FD4DB9" w:rsidRPr="00435ED5">
              <w:rPr>
                <w:rFonts w:ascii="Arial" w:hAnsi="Arial"/>
                <w:sz w:val="20"/>
              </w:rPr>
              <w:t xml:space="preserve">lassfish </w:t>
            </w:r>
            <w:r w:rsidRPr="00435ED5">
              <w:rPr>
                <w:rFonts w:ascii="Arial" w:hAnsi="Arial"/>
                <w:sz w:val="20"/>
              </w:rPr>
              <w:t>(</w:t>
            </w:r>
            <w:r w:rsidR="00FD4DB9" w:rsidRPr="00435ED5">
              <w:rPr>
                <w:rFonts w:ascii="Arial" w:hAnsi="Arial"/>
                <w:i/>
                <w:sz w:val="20"/>
              </w:rPr>
              <w:t>Ambassis jacksoniensis</w:t>
            </w:r>
            <w:r w:rsidRPr="00435ED5">
              <w:rPr>
                <w:rFonts w:ascii="Arial" w:hAnsi="Arial"/>
                <w:sz w:val="20"/>
              </w:rPr>
              <w:t>)</w:t>
            </w:r>
            <w:r w:rsidR="00FD4DB9" w:rsidRPr="00435ED5">
              <w:rPr>
                <w:rFonts w:ascii="Arial" w:hAnsi="Arial"/>
                <w:sz w:val="20"/>
              </w:rPr>
              <w:t xml:space="preserve">, </w:t>
            </w:r>
            <w:r w:rsidRPr="00435ED5">
              <w:rPr>
                <w:rFonts w:ascii="Arial" w:hAnsi="Arial"/>
                <w:sz w:val="20"/>
              </w:rPr>
              <w:t>and g</w:t>
            </w:r>
            <w:r w:rsidR="00FD4DB9" w:rsidRPr="00435ED5">
              <w:rPr>
                <w:rFonts w:ascii="Arial" w:hAnsi="Arial"/>
                <w:sz w:val="20"/>
              </w:rPr>
              <w:t xml:space="preserve">reen-back </w:t>
            </w:r>
            <w:r w:rsidRPr="00435ED5">
              <w:rPr>
                <w:rFonts w:ascii="Arial" w:hAnsi="Arial"/>
                <w:sz w:val="20"/>
              </w:rPr>
              <w:t>f</w:t>
            </w:r>
            <w:r w:rsidR="00FD4DB9" w:rsidRPr="00435ED5">
              <w:rPr>
                <w:rFonts w:ascii="Arial" w:hAnsi="Arial"/>
                <w:sz w:val="20"/>
              </w:rPr>
              <w:t xml:space="preserve">lounder </w:t>
            </w:r>
            <w:r w:rsidRPr="00435ED5">
              <w:rPr>
                <w:rFonts w:ascii="Arial" w:hAnsi="Arial"/>
                <w:sz w:val="20"/>
              </w:rPr>
              <w:t>(</w:t>
            </w:r>
            <w:r w:rsidR="00FD4DB9" w:rsidRPr="00435ED5">
              <w:rPr>
                <w:rFonts w:ascii="Arial" w:hAnsi="Arial"/>
                <w:i/>
                <w:sz w:val="20"/>
              </w:rPr>
              <w:t>Rhombosolea tapirina</w:t>
            </w:r>
            <w:r w:rsidRPr="00435ED5">
              <w:rPr>
                <w:rFonts w:ascii="Arial" w:hAnsi="Arial"/>
                <w:sz w:val="20"/>
              </w:rPr>
              <w:t>)</w:t>
            </w:r>
            <w:r w:rsidR="00FD4DB9" w:rsidRPr="00435ED5">
              <w:rPr>
                <w:rFonts w:ascii="Arial" w:hAnsi="Arial"/>
                <w:sz w:val="20"/>
              </w:rPr>
              <w:t>, two mammal species, seven reptile species and seven amphibian species</w:t>
            </w:r>
            <w:r w:rsidRPr="00435ED5">
              <w:rPr>
                <w:rFonts w:ascii="Arial" w:hAnsi="Arial"/>
                <w:sz w:val="20"/>
              </w:rPr>
              <w:t>.</w:t>
            </w:r>
          </w:p>
          <w:p w14:paraId="5A2221C9" w14:textId="77777777" w:rsidR="00FD4DB9" w:rsidRPr="00435ED5" w:rsidRDefault="00FD4DB9" w:rsidP="00435ED5">
            <w:pPr>
              <w:pStyle w:val="bodycopy"/>
              <w:spacing w:before="40" w:after="40"/>
              <w:rPr>
                <w:rFonts w:ascii="Arial" w:hAnsi="Arial"/>
                <w:sz w:val="20"/>
              </w:rPr>
            </w:pPr>
            <w:r w:rsidRPr="00435ED5">
              <w:rPr>
                <w:rFonts w:ascii="Arial" w:hAnsi="Arial"/>
                <w:sz w:val="20"/>
              </w:rPr>
              <w:t>Large numbers of water</w:t>
            </w:r>
            <w:r w:rsidR="0004602F" w:rsidRPr="00435ED5">
              <w:rPr>
                <w:rFonts w:ascii="Arial" w:hAnsi="Arial"/>
                <w:sz w:val="20"/>
              </w:rPr>
              <w:t>birds have been recorded including</w:t>
            </w:r>
            <w:r w:rsidRPr="00435ED5">
              <w:rPr>
                <w:rFonts w:ascii="Arial" w:hAnsi="Arial"/>
                <w:sz w:val="20"/>
              </w:rPr>
              <w:t xml:space="preserve"> 1</w:t>
            </w:r>
            <w:r w:rsidR="0004602F" w:rsidRPr="00435ED5">
              <w:rPr>
                <w:rFonts w:ascii="Arial" w:hAnsi="Arial"/>
                <w:sz w:val="20"/>
              </w:rPr>
              <w:t>,</w:t>
            </w:r>
            <w:r w:rsidRPr="00435ED5">
              <w:rPr>
                <w:rFonts w:ascii="Arial" w:hAnsi="Arial"/>
                <w:sz w:val="20"/>
              </w:rPr>
              <w:t>960 unidentified teal, 400 unidentified grebes, 2</w:t>
            </w:r>
            <w:r w:rsidR="0004602F" w:rsidRPr="00435ED5">
              <w:rPr>
                <w:rFonts w:ascii="Arial" w:hAnsi="Arial"/>
                <w:sz w:val="20"/>
              </w:rPr>
              <w:t>,</w:t>
            </w:r>
            <w:r w:rsidRPr="00435ED5">
              <w:rPr>
                <w:rFonts w:ascii="Arial" w:hAnsi="Arial"/>
                <w:sz w:val="20"/>
              </w:rPr>
              <w:t xml:space="preserve">300 </w:t>
            </w:r>
            <w:r w:rsidR="0004602F" w:rsidRPr="00435ED5">
              <w:rPr>
                <w:rFonts w:ascii="Arial" w:hAnsi="Arial"/>
                <w:sz w:val="20"/>
              </w:rPr>
              <w:t>b</w:t>
            </w:r>
            <w:r w:rsidRPr="00435ED5">
              <w:rPr>
                <w:rFonts w:ascii="Arial" w:hAnsi="Arial"/>
                <w:sz w:val="20"/>
              </w:rPr>
              <w:t xml:space="preserve">lack </w:t>
            </w:r>
            <w:r w:rsidR="0004602F" w:rsidRPr="00435ED5">
              <w:rPr>
                <w:rFonts w:ascii="Arial" w:hAnsi="Arial"/>
                <w:sz w:val="20"/>
              </w:rPr>
              <w:t>s</w:t>
            </w:r>
            <w:r w:rsidRPr="00435ED5">
              <w:rPr>
                <w:rFonts w:ascii="Arial" w:hAnsi="Arial"/>
                <w:sz w:val="20"/>
              </w:rPr>
              <w:t xml:space="preserve">wans, 656 Pacific </w:t>
            </w:r>
            <w:r w:rsidR="0004602F" w:rsidRPr="00435ED5">
              <w:rPr>
                <w:rFonts w:ascii="Arial" w:hAnsi="Arial"/>
                <w:sz w:val="20"/>
              </w:rPr>
              <w:t>b</w:t>
            </w:r>
            <w:r w:rsidRPr="00435ED5">
              <w:rPr>
                <w:rFonts w:ascii="Arial" w:hAnsi="Arial"/>
                <w:sz w:val="20"/>
              </w:rPr>
              <w:t xml:space="preserve">lack </w:t>
            </w:r>
            <w:r w:rsidR="0004602F" w:rsidRPr="00435ED5">
              <w:rPr>
                <w:rFonts w:ascii="Arial" w:hAnsi="Arial"/>
                <w:sz w:val="20"/>
              </w:rPr>
              <w:t>d</w:t>
            </w:r>
            <w:r w:rsidRPr="00435ED5">
              <w:rPr>
                <w:rFonts w:ascii="Arial" w:hAnsi="Arial"/>
                <w:sz w:val="20"/>
              </w:rPr>
              <w:t xml:space="preserve">ucks, 100 Arctic </w:t>
            </w:r>
            <w:r w:rsidR="0004602F" w:rsidRPr="00435ED5">
              <w:rPr>
                <w:rFonts w:ascii="Arial" w:hAnsi="Arial"/>
                <w:sz w:val="20"/>
              </w:rPr>
              <w:t>t</w:t>
            </w:r>
            <w:r w:rsidRPr="00435ED5">
              <w:rPr>
                <w:rFonts w:ascii="Arial" w:hAnsi="Arial"/>
                <w:sz w:val="20"/>
              </w:rPr>
              <w:t xml:space="preserve">erns </w:t>
            </w:r>
            <w:r w:rsidR="0004602F" w:rsidRPr="00435ED5">
              <w:rPr>
                <w:rFonts w:ascii="Arial" w:hAnsi="Arial"/>
                <w:sz w:val="20"/>
              </w:rPr>
              <w:t>(</w:t>
            </w:r>
            <w:r w:rsidRPr="00435ED5">
              <w:rPr>
                <w:rFonts w:ascii="Arial" w:hAnsi="Arial"/>
                <w:i/>
                <w:sz w:val="20"/>
              </w:rPr>
              <w:t xml:space="preserve">Sterna </w:t>
            </w:r>
            <w:r w:rsidR="0004602F" w:rsidRPr="00435ED5">
              <w:rPr>
                <w:rFonts w:ascii="Arial" w:hAnsi="Arial"/>
                <w:i/>
                <w:sz w:val="20"/>
              </w:rPr>
              <w:t>paradisea</w:t>
            </w:r>
            <w:r w:rsidR="0004602F" w:rsidRPr="00435ED5">
              <w:rPr>
                <w:rFonts w:ascii="Arial" w:hAnsi="Arial"/>
                <w:sz w:val="20"/>
              </w:rPr>
              <w:t>)</w:t>
            </w:r>
            <w:r w:rsidRPr="00435ED5">
              <w:rPr>
                <w:rFonts w:ascii="Arial" w:hAnsi="Arial"/>
                <w:sz w:val="20"/>
              </w:rPr>
              <w:t xml:space="preserve"> and 80 </w:t>
            </w:r>
            <w:r w:rsidR="0004602F" w:rsidRPr="00435ED5">
              <w:rPr>
                <w:rFonts w:ascii="Arial" w:hAnsi="Arial"/>
                <w:sz w:val="20"/>
              </w:rPr>
              <w:t>l</w:t>
            </w:r>
            <w:r w:rsidRPr="00435ED5">
              <w:rPr>
                <w:rFonts w:ascii="Arial" w:hAnsi="Arial"/>
                <w:sz w:val="20"/>
              </w:rPr>
              <w:t xml:space="preserve">ittle </w:t>
            </w:r>
            <w:r w:rsidR="0004602F" w:rsidRPr="00435ED5">
              <w:rPr>
                <w:rFonts w:ascii="Arial" w:hAnsi="Arial"/>
                <w:sz w:val="20"/>
              </w:rPr>
              <w:t>t</w:t>
            </w:r>
            <w:r w:rsidRPr="00435ED5">
              <w:rPr>
                <w:rFonts w:ascii="Arial" w:hAnsi="Arial"/>
                <w:sz w:val="20"/>
              </w:rPr>
              <w:t xml:space="preserve">erns. </w:t>
            </w:r>
          </w:p>
          <w:p w14:paraId="2600764A" w14:textId="77777777" w:rsidR="00773369" w:rsidRDefault="00FD4DB9" w:rsidP="00BF281F">
            <w:pPr>
              <w:pStyle w:val="bodycopy"/>
              <w:spacing w:before="40" w:after="40"/>
              <w:rPr>
                <w:rFonts w:ascii="Arial" w:hAnsi="Arial"/>
                <w:sz w:val="20"/>
              </w:rPr>
            </w:pPr>
            <w:r w:rsidRPr="00435ED5">
              <w:rPr>
                <w:rFonts w:ascii="Arial" w:hAnsi="Arial"/>
                <w:sz w:val="20"/>
              </w:rPr>
              <w:t>Seventeen threatened waterbird species occur in heathlands adjacent to the wetland area</w:t>
            </w:r>
            <w:r w:rsidR="0004602F" w:rsidRPr="00435ED5">
              <w:rPr>
                <w:rFonts w:ascii="Arial" w:hAnsi="Arial"/>
                <w:sz w:val="20"/>
              </w:rPr>
              <w:t>, and five waterbird species including the Australasian bittern, white-bellied sea-eagle and little tern have been noted as breeding in the area.</w:t>
            </w:r>
            <w:r w:rsidR="00BF281F">
              <w:rPr>
                <w:rFonts w:ascii="Arial" w:hAnsi="Arial"/>
                <w:sz w:val="20"/>
              </w:rPr>
              <w:t xml:space="preserve"> </w:t>
            </w:r>
            <w:r w:rsidR="00773369" w:rsidRPr="00435ED5">
              <w:rPr>
                <w:rFonts w:ascii="Arial" w:hAnsi="Arial"/>
                <w:sz w:val="20"/>
              </w:rPr>
              <w:t>Ten bird species protected under the JAMBA and CAMBA use the wetlands.</w:t>
            </w:r>
          </w:p>
          <w:p w14:paraId="73F605BC" w14:textId="5CAE4E58" w:rsidR="00BF281F" w:rsidRPr="00435ED5" w:rsidRDefault="00BF281F" w:rsidP="00BF281F">
            <w:pPr>
              <w:pStyle w:val="bodycopy"/>
              <w:spacing w:before="40" w:after="40"/>
              <w:rPr>
                <w:rFonts w:ascii="Arial" w:hAnsi="Arial"/>
                <w:sz w:val="20"/>
              </w:rPr>
            </w:pPr>
          </w:p>
        </w:tc>
      </w:tr>
      <w:tr w:rsidR="00D1428D" w:rsidRPr="00435ED5" w14:paraId="58A8E924" w14:textId="77777777" w:rsidTr="00514376">
        <w:tc>
          <w:tcPr>
            <w:tcW w:w="2235" w:type="dxa"/>
            <w:shd w:val="clear" w:color="auto" w:fill="auto"/>
          </w:tcPr>
          <w:p w14:paraId="7ADD32D5" w14:textId="77777777" w:rsidR="00D1428D" w:rsidRPr="00435ED5" w:rsidRDefault="00D1428D" w:rsidP="00435ED5">
            <w:pPr>
              <w:pStyle w:val="bodycopy"/>
              <w:spacing w:before="40" w:after="40"/>
              <w:rPr>
                <w:rFonts w:ascii="Arial" w:hAnsi="Arial"/>
                <w:b/>
                <w:sz w:val="20"/>
              </w:rPr>
            </w:pPr>
            <w:r w:rsidRPr="00435ED5">
              <w:rPr>
                <w:rFonts w:ascii="Arial" w:hAnsi="Arial"/>
                <w:b/>
                <w:sz w:val="20"/>
              </w:rPr>
              <w:lastRenderedPageBreak/>
              <w:t>Tamboon Inlet Wetlands (VIC135)</w:t>
            </w:r>
          </w:p>
          <w:p w14:paraId="12F40F37" w14:textId="77777777" w:rsidR="006E7C56" w:rsidRPr="00435ED5" w:rsidRDefault="00D060EB" w:rsidP="00435ED5">
            <w:pPr>
              <w:pStyle w:val="bodycopy"/>
              <w:spacing w:before="40" w:after="40"/>
              <w:rPr>
                <w:rFonts w:ascii="Arial" w:hAnsi="Arial"/>
                <w:i/>
                <w:sz w:val="20"/>
              </w:rPr>
            </w:pPr>
            <w:r w:rsidRPr="00435ED5">
              <w:rPr>
                <w:rFonts w:ascii="Arial" w:hAnsi="Arial"/>
                <w:i/>
                <w:sz w:val="20"/>
              </w:rPr>
              <w:t>145</w:t>
            </w:r>
            <w:r w:rsidR="006E7C56" w:rsidRPr="00435ED5">
              <w:rPr>
                <w:rFonts w:ascii="Arial" w:hAnsi="Arial"/>
                <w:i/>
                <w:sz w:val="20"/>
              </w:rPr>
              <w:t xml:space="preserve"> km east</w:t>
            </w:r>
            <w:r w:rsidRPr="00435ED5">
              <w:rPr>
                <w:rFonts w:ascii="Arial" w:hAnsi="Arial"/>
                <w:i/>
                <w:sz w:val="20"/>
              </w:rPr>
              <w:t>-northeast</w:t>
            </w:r>
            <w:r w:rsidR="006E7C56" w:rsidRPr="00435ED5">
              <w:rPr>
                <w:rFonts w:ascii="Arial" w:hAnsi="Arial"/>
                <w:i/>
                <w:sz w:val="20"/>
              </w:rPr>
              <w:t xml:space="preserve"> of proposed acquisition area</w:t>
            </w:r>
            <w:r w:rsidRPr="00435ED5">
              <w:rPr>
                <w:rFonts w:ascii="Arial" w:hAnsi="Arial"/>
                <w:i/>
                <w:sz w:val="20"/>
              </w:rPr>
              <w:t xml:space="preserve"> (to the mouth)</w:t>
            </w:r>
          </w:p>
        </w:tc>
        <w:tc>
          <w:tcPr>
            <w:tcW w:w="1701" w:type="dxa"/>
            <w:shd w:val="clear" w:color="auto" w:fill="auto"/>
          </w:tcPr>
          <w:p w14:paraId="37F871F2" w14:textId="7AD78515" w:rsidR="00D1428D" w:rsidRPr="00435ED5" w:rsidRDefault="00773369" w:rsidP="00435ED5">
            <w:pPr>
              <w:pStyle w:val="bodycopy"/>
              <w:spacing w:before="40" w:after="40"/>
              <w:rPr>
                <w:rFonts w:ascii="Arial" w:hAnsi="Arial"/>
                <w:sz w:val="20"/>
              </w:rPr>
            </w:pPr>
            <w:r w:rsidRPr="00435ED5">
              <w:rPr>
                <w:rFonts w:ascii="Arial" w:hAnsi="Arial"/>
                <w:sz w:val="20"/>
              </w:rPr>
              <w:t>Intermittently open to the ocean</w:t>
            </w:r>
            <w:r w:rsidR="00EB78E5">
              <w:rPr>
                <w:rFonts w:ascii="Arial" w:hAnsi="Arial"/>
                <w:sz w:val="20"/>
              </w:rPr>
              <w:t>, normally separated from the sea by a sand barrier</w:t>
            </w:r>
            <w:r w:rsidRPr="00435ED5">
              <w:rPr>
                <w:rFonts w:ascii="Arial" w:hAnsi="Arial"/>
                <w:sz w:val="20"/>
              </w:rPr>
              <w:t xml:space="preserve">. </w:t>
            </w:r>
          </w:p>
          <w:p w14:paraId="513816E5" w14:textId="1F1C1022" w:rsidR="003D4238" w:rsidRPr="00435ED5" w:rsidRDefault="003D4238" w:rsidP="00EB78E5">
            <w:pPr>
              <w:pStyle w:val="bodycopy"/>
              <w:spacing w:before="40" w:after="40"/>
              <w:rPr>
                <w:rFonts w:ascii="Arial" w:hAnsi="Arial"/>
                <w:sz w:val="20"/>
              </w:rPr>
            </w:pPr>
          </w:p>
        </w:tc>
        <w:tc>
          <w:tcPr>
            <w:tcW w:w="9922" w:type="dxa"/>
            <w:shd w:val="clear" w:color="auto" w:fill="auto"/>
          </w:tcPr>
          <w:p w14:paraId="6FD3420E" w14:textId="77777777" w:rsidR="00773369" w:rsidRPr="00435ED5" w:rsidRDefault="00773369" w:rsidP="00435ED5">
            <w:pPr>
              <w:pStyle w:val="bodycopy"/>
              <w:spacing w:before="40" w:after="40"/>
              <w:rPr>
                <w:rFonts w:ascii="Arial" w:hAnsi="Arial"/>
                <w:sz w:val="20"/>
              </w:rPr>
            </w:pPr>
            <w:r w:rsidRPr="00435ED5">
              <w:rPr>
                <w:rFonts w:ascii="Arial" w:hAnsi="Arial"/>
                <w:sz w:val="20"/>
              </w:rPr>
              <w:t xml:space="preserve">Criteria for selection: 1, 3, 5. </w:t>
            </w:r>
          </w:p>
          <w:p w14:paraId="1699FE63" w14:textId="2E8AFE1D" w:rsidR="00773369" w:rsidRPr="00435ED5" w:rsidRDefault="00773369" w:rsidP="00435ED5">
            <w:pPr>
              <w:pStyle w:val="bodycopy"/>
              <w:spacing w:before="40" w:after="40"/>
              <w:rPr>
                <w:rFonts w:ascii="Arial" w:hAnsi="Arial"/>
                <w:sz w:val="20"/>
              </w:rPr>
            </w:pPr>
            <w:r w:rsidRPr="00435ED5">
              <w:rPr>
                <w:rFonts w:ascii="Arial" w:hAnsi="Arial"/>
                <w:sz w:val="20"/>
              </w:rPr>
              <w:t xml:space="preserve">Covers an area of 669 ha (including the inlet and Lake Furnell) in water depths from 0 – 5 m, with 17 km of river channel. </w:t>
            </w:r>
          </w:p>
          <w:p w14:paraId="7C83EC7A" w14:textId="288A8B41" w:rsidR="00773369" w:rsidRPr="00435ED5" w:rsidRDefault="00773369" w:rsidP="00435ED5">
            <w:pPr>
              <w:pStyle w:val="bodycopy"/>
              <w:spacing w:before="40" w:after="40"/>
              <w:rPr>
                <w:rFonts w:ascii="Arial" w:hAnsi="Arial"/>
                <w:sz w:val="20"/>
              </w:rPr>
            </w:pPr>
            <w:r w:rsidRPr="00435ED5">
              <w:rPr>
                <w:rFonts w:ascii="Arial" w:hAnsi="Arial"/>
                <w:sz w:val="20"/>
              </w:rPr>
              <w:t>Ninety-six</w:t>
            </w:r>
            <w:r w:rsidR="003D4238" w:rsidRPr="00435ED5">
              <w:rPr>
                <w:rFonts w:ascii="Arial" w:hAnsi="Arial"/>
                <w:sz w:val="20"/>
              </w:rPr>
              <w:t xml:space="preserve"> (96)</w:t>
            </w:r>
            <w:r w:rsidRPr="00435ED5">
              <w:rPr>
                <w:rFonts w:ascii="Arial" w:hAnsi="Arial"/>
                <w:sz w:val="20"/>
              </w:rPr>
              <w:t xml:space="preserve"> plant taxa have been recorded in the Tamboon Inlet area</w:t>
            </w:r>
            <w:r w:rsidR="003D4238" w:rsidRPr="00435ED5">
              <w:rPr>
                <w:rFonts w:ascii="Arial" w:hAnsi="Arial"/>
                <w:sz w:val="20"/>
              </w:rPr>
              <w:t>, and the i</w:t>
            </w:r>
            <w:r w:rsidRPr="00435ED5">
              <w:rPr>
                <w:rFonts w:ascii="Arial" w:hAnsi="Arial"/>
                <w:sz w:val="20"/>
              </w:rPr>
              <w:t xml:space="preserve">nlet is fringed by Riparian Scrub Complex and Coast Saltmarsh. </w:t>
            </w:r>
          </w:p>
          <w:p w14:paraId="6C140379" w14:textId="30209EC4" w:rsidR="00773369" w:rsidRPr="00435ED5" w:rsidRDefault="00773369" w:rsidP="00435ED5">
            <w:pPr>
              <w:pStyle w:val="bodycopy"/>
              <w:spacing w:before="40" w:after="40"/>
              <w:rPr>
                <w:rFonts w:ascii="Arial" w:hAnsi="Arial"/>
                <w:sz w:val="20"/>
              </w:rPr>
            </w:pPr>
            <w:r w:rsidRPr="00435ED5">
              <w:rPr>
                <w:rFonts w:ascii="Arial" w:hAnsi="Arial"/>
                <w:sz w:val="20"/>
              </w:rPr>
              <w:t xml:space="preserve">Tamboon Inlet is listed as of local and scientific interest for zoology. Forty-five </w:t>
            </w:r>
            <w:r w:rsidR="003D4238" w:rsidRPr="00435ED5">
              <w:rPr>
                <w:rFonts w:ascii="Arial" w:hAnsi="Arial"/>
                <w:sz w:val="20"/>
              </w:rPr>
              <w:t xml:space="preserve">(45) </w:t>
            </w:r>
            <w:r w:rsidRPr="00435ED5">
              <w:rPr>
                <w:rFonts w:ascii="Arial" w:hAnsi="Arial"/>
                <w:sz w:val="20"/>
              </w:rPr>
              <w:t>waterbird species have been recorded in the Inlet</w:t>
            </w:r>
            <w:r w:rsidR="003D4238" w:rsidRPr="00435ED5">
              <w:rPr>
                <w:rFonts w:ascii="Arial" w:hAnsi="Arial"/>
                <w:sz w:val="20"/>
              </w:rPr>
              <w:t>, along with</w:t>
            </w:r>
            <w:r w:rsidRPr="00435ED5">
              <w:rPr>
                <w:rFonts w:ascii="Arial" w:hAnsi="Arial"/>
                <w:sz w:val="20"/>
              </w:rPr>
              <w:t xml:space="preserve"> 54 native fish (including 48 estuarine or marine species such as the Australian </w:t>
            </w:r>
            <w:r w:rsidR="003D4238" w:rsidRPr="00435ED5">
              <w:rPr>
                <w:rFonts w:ascii="Arial" w:hAnsi="Arial"/>
                <w:sz w:val="20"/>
              </w:rPr>
              <w:t>a</w:t>
            </w:r>
            <w:r w:rsidRPr="00435ED5">
              <w:rPr>
                <w:rFonts w:ascii="Arial" w:hAnsi="Arial"/>
                <w:sz w:val="20"/>
              </w:rPr>
              <w:t xml:space="preserve">nchovy </w:t>
            </w:r>
            <w:r w:rsidR="003D4238" w:rsidRPr="00435ED5">
              <w:rPr>
                <w:rFonts w:ascii="Arial" w:hAnsi="Arial"/>
                <w:sz w:val="20"/>
              </w:rPr>
              <w:t>(</w:t>
            </w:r>
            <w:r w:rsidRPr="00435ED5">
              <w:rPr>
                <w:rFonts w:ascii="Arial" w:hAnsi="Arial"/>
                <w:i/>
                <w:sz w:val="20"/>
              </w:rPr>
              <w:t>Engraulis australis</w:t>
            </w:r>
            <w:r w:rsidR="003D4238" w:rsidRPr="00435ED5">
              <w:rPr>
                <w:rFonts w:ascii="Arial" w:hAnsi="Arial"/>
                <w:sz w:val="20"/>
              </w:rPr>
              <w:t>)</w:t>
            </w:r>
            <w:r w:rsidRPr="00435ED5">
              <w:rPr>
                <w:rFonts w:ascii="Arial" w:hAnsi="Arial"/>
                <w:sz w:val="20"/>
              </w:rPr>
              <w:t xml:space="preserve">, </w:t>
            </w:r>
            <w:r w:rsidR="003D4238" w:rsidRPr="00435ED5">
              <w:rPr>
                <w:rFonts w:ascii="Arial" w:hAnsi="Arial"/>
                <w:sz w:val="20"/>
              </w:rPr>
              <w:t>r</w:t>
            </w:r>
            <w:r w:rsidRPr="00435ED5">
              <w:rPr>
                <w:rFonts w:ascii="Arial" w:hAnsi="Arial"/>
                <w:sz w:val="20"/>
              </w:rPr>
              <w:t xml:space="preserve">iver </w:t>
            </w:r>
            <w:r w:rsidR="003D4238" w:rsidRPr="00435ED5">
              <w:rPr>
                <w:rFonts w:ascii="Arial" w:hAnsi="Arial"/>
                <w:sz w:val="20"/>
              </w:rPr>
              <w:t>g</w:t>
            </w:r>
            <w:r w:rsidRPr="00435ED5">
              <w:rPr>
                <w:rFonts w:ascii="Arial" w:hAnsi="Arial"/>
                <w:sz w:val="20"/>
              </w:rPr>
              <w:t xml:space="preserve">arfish </w:t>
            </w:r>
            <w:r w:rsidR="003D4238" w:rsidRPr="00435ED5">
              <w:rPr>
                <w:rFonts w:ascii="Arial" w:hAnsi="Arial"/>
                <w:sz w:val="20"/>
              </w:rPr>
              <w:t>(</w:t>
            </w:r>
            <w:r w:rsidRPr="00435ED5">
              <w:rPr>
                <w:rFonts w:ascii="Arial" w:hAnsi="Arial"/>
                <w:i/>
                <w:sz w:val="20"/>
              </w:rPr>
              <w:t>Hyporhamphus regularis</w:t>
            </w:r>
            <w:r w:rsidR="003D4238" w:rsidRPr="00435ED5">
              <w:rPr>
                <w:rFonts w:ascii="Arial" w:hAnsi="Arial"/>
                <w:sz w:val="20"/>
              </w:rPr>
              <w:t>)</w:t>
            </w:r>
            <w:r w:rsidRPr="00435ED5">
              <w:rPr>
                <w:rFonts w:ascii="Arial" w:hAnsi="Arial"/>
                <w:sz w:val="20"/>
              </w:rPr>
              <w:t xml:space="preserve">, </w:t>
            </w:r>
            <w:r w:rsidR="003D4238" w:rsidRPr="00435ED5">
              <w:rPr>
                <w:rFonts w:ascii="Arial" w:hAnsi="Arial"/>
                <w:sz w:val="20"/>
              </w:rPr>
              <w:t>t</w:t>
            </w:r>
            <w:r w:rsidRPr="00435ED5">
              <w:rPr>
                <w:rFonts w:ascii="Arial" w:hAnsi="Arial"/>
                <w:sz w:val="20"/>
              </w:rPr>
              <w:t xml:space="preserve">upong </w:t>
            </w:r>
            <w:r w:rsidR="003D4238" w:rsidRPr="00435ED5">
              <w:rPr>
                <w:rFonts w:ascii="Arial" w:hAnsi="Arial"/>
                <w:sz w:val="20"/>
              </w:rPr>
              <w:t>(</w:t>
            </w:r>
            <w:r w:rsidRPr="00435ED5">
              <w:rPr>
                <w:rFonts w:ascii="Arial" w:hAnsi="Arial"/>
                <w:i/>
                <w:sz w:val="20"/>
              </w:rPr>
              <w:t>Pseudaphritis urvillii</w:t>
            </w:r>
            <w:r w:rsidR="003D4238" w:rsidRPr="00435ED5">
              <w:rPr>
                <w:rFonts w:ascii="Arial" w:hAnsi="Arial"/>
                <w:sz w:val="20"/>
              </w:rPr>
              <w:t>)</w:t>
            </w:r>
            <w:r w:rsidRPr="00435ED5">
              <w:rPr>
                <w:rFonts w:ascii="Arial" w:hAnsi="Arial"/>
                <w:sz w:val="20"/>
              </w:rPr>
              <w:t xml:space="preserve">, </w:t>
            </w:r>
            <w:r w:rsidR="003D4238" w:rsidRPr="00435ED5">
              <w:rPr>
                <w:rFonts w:ascii="Arial" w:hAnsi="Arial"/>
                <w:sz w:val="20"/>
              </w:rPr>
              <w:t>e</w:t>
            </w:r>
            <w:r w:rsidRPr="00435ED5">
              <w:rPr>
                <w:rFonts w:ascii="Arial" w:hAnsi="Arial"/>
                <w:sz w:val="20"/>
              </w:rPr>
              <w:t xml:space="preserve">stuary </w:t>
            </w:r>
            <w:r w:rsidR="003D4238" w:rsidRPr="00435ED5">
              <w:rPr>
                <w:rFonts w:ascii="Arial" w:hAnsi="Arial"/>
                <w:sz w:val="20"/>
              </w:rPr>
              <w:t>p</w:t>
            </w:r>
            <w:r w:rsidRPr="00435ED5">
              <w:rPr>
                <w:rFonts w:ascii="Arial" w:hAnsi="Arial"/>
                <w:sz w:val="20"/>
              </w:rPr>
              <w:t xml:space="preserve">erch </w:t>
            </w:r>
            <w:r w:rsidR="003D4238" w:rsidRPr="00435ED5">
              <w:rPr>
                <w:rFonts w:ascii="Arial" w:hAnsi="Arial"/>
                <w:sz w:val="20"/>
              </w:rPr>
              <w:t>(</w:t>
            </w:r>
            <w:r w:rsidRPr="00435ED5">
              <w:rPr>
                <w:rFonts w:ascii="Arial" w:hAnsi="Arial"/>
                <w:i/>
                <w:sz w:val="20"/>
              </w:rPr>
              <w:t>Macquaria colonorum</w:t>
            </w:r>
            <w:r w:rsidR="003D4238" w:rsidRPr="00435ED5">
              <w:rPr>
                <w:rFonts w:ascii="Arial" w:hAnsi="Arial"/>
                <w:sz w:val="20"/>
              </w:rPr>
              <w:t>) and</w:t>
            </w:r>
            <w:r w:rsidRPr="00435ED5">
              <w:rPr>
                <w:rFonts w:ascii="Arial" w:hAnsi="Arial"/>
                <w:sz w:val="20"/>
              </w:rPr>
              <w:t xml:space="preserve"> </w:t>
            </w:r>
            <w:r w:rsidR="003D4238" w:rsidRPr="00435ED5">
              <w:rPr>
                <w:rFonts w:ascii="Arial" w:hAnsi="Arial"/>
                <w:sz w:val="20"/>
              </w:rPr>
              <w:t>b</w:t>
            </w:r>
            <w:r w:rsidRPr="00435ED5">
              <w:rPr>
                <w:rFonts w:ascii="Arial" w:hAnsi="Arial"/>
                <w:sz w:val="20"/>
              </w:rPr>
              <w:t xml:space="preserve">lack </w:t>
            </w:r>
            <w:r w:rsidR="003D4238" w:rsidRPr="00435ED5">
              <w:rPr>
                <w:rFonts w:ascii="Arial" w:hAnsi="Arial"/>
                <w:sz w:val="20"/>
              </w:rPr>
              <w:t>s</w:t>
            </w:r>
            <w:r w:rsidRPr="00435ED5">
              <w:rPr>
                <w:rFonts w:ascii="Arial" w:hAnsi="Arial"/>
                <w:sz w:val="20"/>
              </w:rPr>
              <w:t xml:space="preserve">ole </w:t>
            </w:r>
            <w:r w:rsidR="003D4238" w:rsidRPr="00435ED5">
              <w:rPr>
                <w:rFonts w:ascii="Arial" w:hAnsi="Arial"/>
                <w:sz w:val="20"/>
              </w:rPr>
              <w:t>(</w:t>
            </w:r>
            <w:r w:rsidRPr="00435ED5">
              <w:rPr>
                <w:rFonts w:ascii="Arial" w:hAnsi="Arial"/>
                <w:i/>
                <w:sz w:val="20"/>
              </w:rPr>
              <w:t>Synaptura nigra</w:t>
            </w:r>
            <w:r w:rsidR="003D4238" w:rsidRPr="00435ED5">
              <w:rPr>
                <w:rFonts w:ascii="Arial" w:hAnsi="Arial"/>
                <w:sz w:val="20"/>
              </w:rPr>
              <w:t>)</w:t>
            </w:r>
            <w:r w:rsidRPr="00435ED5">
              <w:rPr>
                <w:rFonts w:ascii="Arial" w:hAnsi="Arial"/>
                <w:sz w:val="20"/>
              </w:rPr>
              <w:t>), two genera of freshwater crayfish, one species of freshwater shrimp, six mammal species, six reptile species and nine amphibian species</w:t>
            </w:r>
            <w:r w:rsidR="00994DC1">
              <w:rPr>
                <w:rFonts w:ascii="Arial" w:hAnsi="Arial"/>
                <w:sz w:val="20"/>
              </w:rPr>
              <w:t>.</w:t>
            </w:r>
          </w:p>
          <w:p w14:paraId="6F061D8F" w14:textId="79E74B29" w:rsidR="00773369" w:rsidRPr="00435ED5" w:rsidRDefault="00773369" w:rsidP="00994DC1">
            <w:pPr>
              <w:pStyle w:val="bodycopy"/>
              <w:spacing w:before="40" w:after="40"/>
              <w:rPr>
                <w:rFonts w:ascii="Arial" w:hAnsi="Arial"/>
                <w:sz w:val="20"/>
              </w:rPr>
            </w:pPr>
            <w:r w:rsidRPr="00435ED5">
              <w:rPr>
                <w:rFonts w:ascii="Arial" w:hAnsi="Arial"/>
                <w:sz w:val="20"/>
              </w:rPr>
              <w:t xml:space="preserve">Small to moderate numbers of </w:t>
            </w:r>
            <w:r w:rsidR="003D4238" w:rsidRPr="00435ED5">
              <w:rPr>
                <w:rFonts w:ascii="Arial" w:hAnsi="Arial"/>
                <w:sz w:val="20"/>
              </w:rPr>
              <w:t>l</w:t>
            </w:r>
            <w:r w:rsidRPr="00435ED5">
              <w:rPr>
                <w:rFonts w:ascii="Arial" w:hAnsi="Arial"/>
                <w:sz w:val="20"/>
              </w:rPr>
              <w:t xml:space="preserve">ittle </w:t>
            </w:r>
            <w:r w:rsidR="003D4238" w:rsidRPr="00435ED5">
              <w:rPr>
                <w:rFonts w:ascii="Arial" w:hAnsi="Arial"/>
                <w:sz w:val="20"/>
              </w:rPr>
              <w:t>t</w:t>
            </w:r>
            <w:r w:rsidRPr="00435ED5">
              <w:rPr>
                <w:rFonts w:ascii="Arial" w:hAnsi="Arial"/>
                <w:sz w:val="20"/>
              </w:rPr>
              <w:t>erns have nested on the ocean and inlet beaches in several seasons since at least the early 1970s</w:t>
            </w:r>
            <w:r w:rsidR="003D4238" w:rsidRPr="00435ED5">
              <w:rPr>
                <w:rFonts w:ascii="Arial" w:hAnsi="Arial"/>
                <w:sz w:val="20"/>
              </w:rPr>
              <w:t>.</w:t>
            </w:r>
            <w:r w:rsidR="00994DC1">
              <w:rPr>
                <w:rFonts w:ascii="Arial" w:hAnsi="Arial"/>
                <w:sz w:val="20"/>
              </w:rPr>
              <w:t xml:space="preserve"> </w:t>
            </w:r>
            <w:r w:rsidRPr="00435ED5">
              <w:rPr>
                <w:rFonts w:ascii="Arial" w:hAnsi="Arial"/>
                <w:sz w:val="20"/>
              </w:rPr>
              <w:t>Ten bird species protected under the JAMBA and CAMBA use the wetlands.</w:t>
            </w:r>
          </w:p>
        </w:tc>
      </w:tr>
      <w:tr w:rsidR="00D1428D" w:rsidRPr="00435ED5" w14:paraId="1A8A3FC3" w14:textId="77777777" w:rsidTr="00514376">
        <w:tc>
          <w:tcPr>
            <w:tcW w:w="2235" w:type="dxa"/>
            <w:shd w:val="clear" w:color="auto" w:fill="auto"/>
          </w:tcPr>
          <w:p w14:paraId="6304DD06" w14:textId="77777777" w:rsidR="00D1428D" w:rsidRPr="00435ED5" w:rsidRDefault="00D1428D" w:rsidP="00435ED5">
            <w:pPr>
              <w:pStyle w:val="bodycopy"/>
              <w:spacing w:before="40" w:after="40"/>
              <w:rPr>
                <w:rFonts w:ascii="Arial" w:hAnsi="Arial"/>
                <w:b/>
                <w:sz w:val="20"/>
              </w:rPr>
            </w:pPr>
            <w:r w:rsidRPr="00435ED5">
              <w:rPr>
                <w:rFonts w:ascii="Arial" w:hAnsi="Arial"/>
                <w:b/>
                <w:sz w:val="20"/>
              </w:rPr>
              <w:t>Thurra River (VIC155)</w:t>
            </w:r>
          </w:p>
          <w:p w14:paraId="4CA00BF1" w14:textId="77777777" w:rsidR="006E7C56" w:rsidRPr="00435ED5" w:rsidRDefault="00D060EB" w:rsidP="00435ED5">
            <w:pPr>
              <w:pStyle w:val="bodycopy"/>
              <w:spacing w:before="40" w:after="40"/>
              <w:rPr>
                <w:rFonts w:ascii="Arial" w:hAnsi="Arial"/>
                <w:i/>
                <w:sz w:val="20"/>
              </w:rPr>
            </w:pPr>
            <w:r w:rsidRPr="00435ED5">
              <w:rPr>
                <w:rFonts w:ascii="Arial" w:hAnsi="Arial"/>
                <w:i/>
                <w:sz w:val="20"/>
              </w:rPr>
              <w:t>160</w:t>
            </w:r>
            <w:r w:rsidR="006E7C56" w:rsidRPr="00435ED5">
              <w:rPr>
                <w:rFonts w:ascii="Arial" w:hAnsi="Arial"/>
                <w:i/>
                <w:sz w:val="20"/>
              </w:rPr>
              <w:t xml:space="preserve"> km east</w:t>
            </w:r>
            <w:r w:rsidRPr="00435ED5">
              <w:rPr>
                <w:rFonts w:ascii="Arial" w:hAnsi="Arial"/>
                <w:i/>
                <w:sz w:val="20"/>
              </w:rPr>
              <w:t>-northeast</w:t>
            </w:r>
            <w:r w:rsidR="006E7C56" w:rsidRPr="00435ED5">
              <w:rPr>
                <w:rFonts w:ascii="Arial" w:hAnsi="Arial"/>
                <w:i/>
                <w:sz w:val="20"/>
              </w:rPr>
              <w:t xml:space="preserve"> of proposed acquisition area</w:t>
            </w:r>
            <w:r w:rsidRPr="00435ED5">
              <w:rPr>
                <w:rFonts w:ascii="Arial" w:hAnsi="Arial"/>
                <w:i/>
                <w:sz w:val="20"/>
              </w:rPr>
              <w:t xml:space="preserve"> (to the mouth)</w:t>
            </w:r>
          </w:p>
        </w:tc>
        <w:tc>
          <w:tcPr>
            <w:tcW w:w="1701" w:type="dxa"/>
            <w:shd w:val="clear" w:color="auto" w:fill="auto"/>
          </w:tcPr>
          <w:p w14:paraId="32F6F172" w14:textId="4B5CA168" w:rsidR="00D1428D" w:rsidRPr="00B471C3" w:rsidRDefault="00B471C3" w:rsidP="00435ED5">
            <w:pPr>
              <w:pStyle w:val="bodycopy"/>
              <w:spacing w:before="40" w:after="40"/>
              <w:rPr>
                <w:rFonts w:ascii="Arial" w:hAnsi="Arial"/>
                <w:sz w:val="20"/>
              </w:rPr>
            </w:pPr>
            <w:r w:rsidRPr="00B471C3">
              <w:rPr>
                <w:rFonts w:ascii="Arial" w:hAnsi="Arial"/>
                <w:sz w:val="20"/>
              </w:rPr>
              <w:t>Likely to be open to the sea for most of the year.</w:t>
            </w:r>
          </w:p>
        </w:tc>
        <w:tc>
          <w:tcPr>
            <w:tcW w:w="9922" w:type="dxa"/>
            <w:shd w:val="clear" w:color="auto" w:fill="auto"/>
          </w:tcPr>
          <w:p w14:paraId="46997489" w14:textId="77777777" w:rsidR="00B94D5D" w:rsidRPr="00435ED5" w:rsidRDefault="00B94D5D" w:rsidP="00435ED5">
            <w:pPr>
              <w:pStyle w:val="bodycopy"/>
              <w:spacing w:before="40" w:after="40"/>
              <w:rPr>
                <w:rFonts w:ascii="Arial" w:hAnsi="Arial"/>
                <w:sz w:val="20"/>
              </w:rPr>
            </w:pPr>
            <w:r w:rsidRPr="00435ED5">
              <w:rPr>
                <w:rFonts w:ascii="Arial" w:hAnsi="Arial"/>
                <w:sz w:val="20"/>
              </w:rPr>
              <w:t xml:space="preserve">Criteria for selection: 1, 3, 5. </w:t>
            </w:r>
          </w:p>
          <w:p w14:paraId="0818889C" w14:textId="393B6E96" w:rsidR="00B94D5D" w:rsidRPr="00435ED5" w:rsidRDefault="00B94D5D" w:rsidP="00435ED5">
            <w:pPr>
              <w:pStyle w:val="bodycopy"/>
              <w:spacing w:before="40" w:after="40"/>
              <w:rPr>
                <w:rFonts w:ascii="Arial" w:hAnsi="Arial"/>
                <w:sz w:val="20"/>
              </w:rPr>
            </w:pPr>
            <w:r w:rsidRPr="00435ED5">
              <w:rPr>
                <w:rFonts w:ascii="Arial" w:hAnsi="Arial"/>
                <w:sz w:val="20"/>
              </w:rPr>
              <w:t xml:space="preserve">Covers an area of 2,920 ha with 73 km of reach (and 200 m wide corridor either side of the reach). </w:t>
            </w:r>
          </w:p>
          <w:p w14:paraId="303D7E2C" w14:textId="77777777" w:rsidR="00B94D5D" w:rsidRPr="00435ED5" w:rsidRDefault="00B94D5D" w:rsidP="00435ED5">
            <w:pPr>
              <w:pStyle w:val="bodycopy"/>
              <w:spacing w:before="40" w:after="40"/>
              <w:rPr>
                <w:rFonts w:ascii="Arial" w:hAnsi="Arial"/>
                <w:sz w:val="20"/>
              </w:rPr>
            </w:pPr>
            <w:r w:rsidRPr="00435ED5">
              <w:rPr>
                <w:rFonts w:ascii="Arial" w:hAnsi="Arial"/>
                <w:sz w:val="20"/>
              </w:rPr>
              <w:t>The Thurra River Estuary, lower reach and Point Hicks region is classified as a site of state geological and geomorphological significance. The river is in a near-pristine condition with the dominant plant community of the reach being lowland sclerophyll forest and riparian forest.</w:t>
            </w:r>
          </w:p>
          <w:p w14:paraId="421E2BFC" w14:textId="77777777" w:rsidR="00D1428D" w:rsidRPr="00435ED5" w:rsidRDefault="00B94D5D" w:rsidP="00435ED5">
            <w:pPr>
              <w:pStyle w:val="bodycopy"/>
              <w:spacing w:before="40" w:after="40"/>
              <w:rPr>
                <w:rFonts w:ascii="Arial" w:hAnsi="Arial"/>
                <w:sz w:val="20"/>
              </w:rPr>
            </w:pPr>
            <w:r w:rsidRPr="00435ED5">
              <w:rPr>
                <w:rFonts w:ascii="Arial" w:hAnsi="Arial"/>
                <w:sz w:val="20"/>
              </w:rPr>
              <w:t xml:space="preserve">There are 29 threatened flora species </w:t>
            </w:r>
            <w:r w:rsidR="00E37A69" w:rsidRPr="00435ED5">
              <w:rPr>
                <w:rFonts w:ascii="Arial" w:hAnsi="Arial"/>
                <w:sz w:val="20"/>
              </w:rPr>
              <w:t xml:space="preserve">and 37 fauna species </w:t>
            </w:r>
            <w:r w:rsidRPr="00435ED5">
              <w:rPr>
                <w:rFonts w:ascii="Arial" w:hAnsi="Arial"/>
                <w:sz w:val="20"/>
              </w:rPr>
              <w:t>within the West Thurra River reach and its associated corridor</w:t>
            </w:r>
            <w:r w:rsidR="00E37A69" w:rsidRPr="00435ED5">
              <w:rPr>
                <w:rFonts w:ascii="Arial" w:hAnsi="Arial"/>
                <w:sz w:val="20"/>
              </w:rPr>
              <w:t xml:space="preserve">. </w:t>
            </w:r>
            <w:r w:rsidRPr="00435ED5">
              <w:rPr>
                <w:rFonts w:ascii="Arial" w:hAnsi="Arial"/>
                <w:sz w:val="20"/>
              </w:rPr>
              <w:t xml:space="preserve">Significant fauna species include the </w:t>
            </w:r>
            <w:r w:rsidR="00E37A69" w:rsidRPr="00435ED5">
              <w:rPr>
                <w:rFonts w:ascii="Arial" w:hAnsi="Arial"/>
                <w:sz w:val="20"/>
              </w:rPr>
              <w:t>g</w:t>
            </w:r>
            <w:r w:rsidRPr="00435ED5">
              <w:rPr>
                <w:rFonts w:ascii="Arial" w:hAnsi="Arial"/>
                <w:sz w:val="20"/>
              </w:rPr>
              <w:t xml:space="preserve">reen and </w:t>
            </w:r>
            <w:r w:rsidR="00E37A69" w:rsidRPr="00435ED5">
              <w:rPr>
                <w:rFonts w:ascii="Arial" w:hAnsi="Arial"/>
                <w:sz w:val="20"/>
              </w:rPr>
              <w:t>g</w:t>
            </w:r>
            <w:r w:rsidRPr="00435ED5">
              <w:rPr>
                <w:rFonts w:ascii="Arial" w:hAnsi="Arial"/>
                <w:sz w:val="20"/>
              </w:rPr>
              <w:t xml:space="preserve">olden </w:t>
            </w:r>
            <w:r w:rsidR="00E37A69" w:rsidRPr="00435ED5">
              <w:rPr>
                <w:rFonts w:ascii="Arial" w:hAnsi="Arial"/>
                <w:sz w:val="20"/>
              </w:rPr>
              <w:t>g</w:t>
            </w:r>
            <w:r w:rsidRPr="00435ED5">
              <w:rPr>
                <w:rFonts w:ascii="Arial" w:hAnsi="Arial"/>
                <w:sz w:val="20"/>
              </w:rPr>
              <w:t xml:space="preserve">rass </w:t>
            </w:r>
            <w:r w:rsidR="00E37A69" w:rsidRPr="00435ED5">
              <w:rPr>
                <w:rFonts w:ascii="Arial" w:hAnsi="Arial"/>
                <w:sz w:val="20"/>
              </w:rPr>
              <w:t>f</w:t>
            </w:r>
            <w:r w:rsidRPr="00435ED5">
              <w:rPr>
                <w:rFonts w:ascii="Arial" w:hAnsi="Arial"/>
                <w:sz w:val="20"/>
              </w:rPr>
              <w:t xml:space="preserve">rog and the Australian </w:t>
            </w:r>
            <w:r w:rsidR="00E37A69" w:rsidRPr="00435ED5">
              <w:rPr>
                <w:rFonts w:ascii="Arial" w:hAnsi="Arial"/>
                <w:sz w:val="20"/>
              </w:rPr>
              <w:t>g</w:t>
            </w:r>
            <w:r w:rsidRPr="00435ED5">
              <w:rPr>
                <w:rFonts w:ascii="Arial" w:hAnsi="Arial"/>
                <w:sz w:val="20"/>
              </w:rPr>
              <w:t>rayling</w:t>
            </w:r>
            <w:r w:rsidR="00E37A69" w:rsidRPr="00435ED5">
              <w:rPr>
                <w:rFonts w:ascii="Arial" w:hAnsi="Arial"/>
                <w:sz w:val="20"/>
              </w:rPr>
              <w:t>.</w:t>
            </w:r>
          </w:p>
        </w:tc>
      </w:tr>
      <w:tr w:rsidR="00D1428D" w:rsidRPr="00435ED5" w14:paraId="05ADABAB" w14:textId="77777777" w:rsidTr="00514376">
        <w:tc>
          <w:tcPr>
            <w:tcW w:w="2235" w:type="dxa"/>
            <w:shd w:val="clear" w:color="auto" w:fill="auto"/>
          </w:tcPr>
          <w:p w14:paraId="44BCCDD1" w14:textId="77777777" w:rsidR="00D1428D" w:rsidRPr="00435ED5" w:rsidRDefault="00D1428D" w:rsidP="00435ED5">
            <w:pPr>
              <w:pStyle w:val="bodycopy"/>
              <w:spacing w:before="40" w:after="40"/>
              <w:rPr>
                <w:rFonts w:ascii="Arial" w:hAnsi="Arial"/>
                <w:b/>
                <w:sz w:val="20"/>
              </w:rPr>
            </w:pPr>
            <w:r w:rsidRPr="00435ED5">
              <w:rPr>
                <w:rFonts w:ascii="Arial" w:hAnsi="Arial"/>
                <w:b/>
                <w:sz w:val="20"/>
              </w:rPr>
              <w:t>Benedore River (VIC154)</w:t>
            </w:r>
          </w:p>
          <w:p w14:paraId="1A30AAB0" w14:textId="77777777" w:rsidR="006E7C56" w:rsidRPr="00435ED5" w:rsidRDefault="005040CC" w:rsidP="00435ED5">
            <w:pPr>
              <w:pStyle w:val="bodycopy"/>
              <w:spacing w:before="40" w:after="40"/>
              <w:rPr>
                <w:rFonts w:ascii="Arial" w:hAnsi="Arial"/>
                <w:i/>
                <w:sz w:val="20"/>
              </w:rPr>
            </w:pPr>
            <w:r w:rsidRPr="00435ED5">
              <w:rPr>
                <w:rFonts w:ascii="Arial" w:hAnsi="Arial"/>
                <w:i/>
                <w:sz w:val="20"/>
              </w:rPr>
              <w:t>177</w:t>
            </w:r>
            <w:r w:rsidR="006E7C56" w:rsidRPr="00435ED5">
              <w:rPr>
                <w:rFonts w:ascii="Arial" w:hAnsi="Arial"/>
                <w:i/>
                <w:sz w:val="20"/>
              </w:rPr>
              <w:t xml:space="preserve"> km east</w:t>
            </w:r>
            <w:r w:rsidRPr="00435ED5">
              <w:rPr>
                <w:rFonts w:ascii="Arial" w:hAnsi="Arial"/>
                <w:i/>
                <w:sz w:val="20"/>
              </w:rPr>
              <w:t>-northeast</w:t>
            </w:r>
            <w:r w:rsidR="006E7C56" w:rsidRPr="00435ED5">
              <w:rPr>
                <w:rFonts w:ascii="Arial" w:hAnsi="Arial"/>
                <w:i/>
                <w:sz w:val="20"/>
              </w:rPr>
              <w:t xml:space="preserve"> of proposed acquisition area</w:t>
            </w:r>
            <w:r w:rsidRPr="00435ED5">
              <w:rPr>
                <w:rFonts w:ascii="Arial" w:hAnsi="Arial"/>
                <w:i/>
                <w:sz w:val="20"/>
              </w:rPr>
              <w:t xml:space="preserve"> (to the mouth)</w:t>
            </w:r>
          </w:p>
        </w:tc>
        <w:tc>
          <w:tcPr>
            <w:tcW w:w="1701" w:type="dxa"/>
            <w:shd w:val="clear" w:color="auto" w:fill="auto"/>
          </w:tcPr>
          <w:p w14:paraId="5810DAA8" w14:textId="09520BB5" w:rsidR="00D1428D" w:rsidRPr="00435ED5" w:rsidRDefault="00B471C3" w:rsidP="00B471C3">
            <w:pPr>
              <w:pStyle w:val="bodycopy"/>
              <w:spacing w:before="40" w:after="40"/>
              <w:rPr>
                <w:rFonts w:ascii="Arial" w:hAnsi="Arial"/>
                <w:sz w:val="20"/>
                <w:highlight w:val="lightGray"/>
              </w:rPr>
            </w:pPr>
            <w:r w:rsidRPr="00B471C3">
              <w:rPr>
                <w:rFonts w:ascii="Arial" w:hAnsi="Arial"/>
                <w:sz w:val="20"/>
              </w:rPr>
              <w:t>River mouth is often dammed by beach sand.</w:t>
            </w:r>
          </w:p>
        </w:tc>
        <w:tc>
          <w:tcPr>
            <w:tcW w:w="9922" w:type="dxa"/>
            <w:shd w:val="clear" w:color="auto" w:fill="auto"/>
          </w:tcPr>
          <w:p w14:paraId="19A14C21" w14:textId="77777777" w:rsidR="00DA5F63" w:rsidRPr="00435ED5" w:rsidRDefault="00DA5F63" w:rsidP="00435ED5">
            <w:pPr>
              <w:pStyle w:val="bodycopy"/>
              <w:spacing w:before="40" w:after="40"/>
              <w:rPr>
                <w:rFonts w:ascii="Arial" w:hAnsi="Arial"/>
                <w:sz w:val="20"/>
              </w:rPr>
            </w:pPr>
            <w:r w:rsidRPr="00435ED5">
              <w:rPr>
                <w:rFonts w:ascii="Arial" w:hAnsi="Arial"/>
                <w:sz w:val="20"/>
              </w:rPr>
              <w:t xml:space="preserve">Criteria for selection: 1, 2, 3, 4, 5. </w:t>
            </w:r>
          </w:p>
          <w:p w14:paraId="5BF25372" w14:textId="380E52B9" w:rsidR="00DA5F63" w:rsidRPr="00435ED5" w:rsidRDefault="00DA5F63" w:rsidP="00435ED5">
            <w:pPr>
              <w:pStyle w:val="bodycopy"/>
              <w:spacing w:before="40" w:after="40"/>
              <w:rPr>
                <w:rFonts w:ascii="Arial" w:hAnsi="Arial"/>
                <w:sz w:val="20"/>
              </w:rPr>
            </w:pPr>
            <w:r w:rsidRPr="00435ED5">
              <w:rPr>
                <w:rFonts w:ascii="Arial" w:hAnsi="Arial"/>
                <w:sz w:val="20"/>
              </w:rPr>
              <w:t xml:space="preserve">Covers an area of 3,360 ha with 13 km of reach (with an average corridor width of 400 m). </w:t>
            </w:r>
          </w:p>
          <w:p w14:paraId="7A7824DC" w14:textId="77777777" w:rsidR="00DA5F63" w:rsidRPr="00435ED5" w:rsidRDefault="00DA5F63" w:rsidP="00435ED5">
            <w:pPr>
              <w:pStyle w:val="bodycopy"/>
              <w:spacing w:before="40" w:after="40"/>
              <w:rPr>
                <w:rFonts w:ascii="Arial" w:hAnsi="Arial"/>
                <w:sz w:val="20"/>
              </w:rPr>
            </w:pPr>
            <w:r w:rsidRPr="00435ED5">
              <w:rPr>
                <w:rFonts w:ascii="Arial" w:hAnsi="Arial"/>
                <w:sz w:val="20"/>
              </w:rPr>
              <w:t xml:space="preserve">The Benedore River is unregulated, contains no artificial barriers to fish movement and is considered to be in pristine condition. Its catchment classified as a site of regional geological and geomorphological significance due to its relatively undisturbed condition. </w:t>
            </w:r>
          </w:p>
          <w:p w14:paraId="6E2B1410" w14:textId="77656A6B" w:rsidR="00D1428D" w:rsidRPr="00435ED5" w:rsidRDefault="00DA5F63" w:rsidP="00884326">
            <w:pPr>
              <w:pStyle w:val="bodycopy"/>
              <w:spacing w:before="40" w:after="40"/>
              <w:rPr>
                <w:rFonts w:ascii="Arial" w:hAnsi="Arial"/>
                <w:sz w:val="20"/>
              </w:rPr>
            </w:pPr>
            <w:r w:rsidRPr="00435ED5">
              <w:rPr>
                <w:rFonts w:ascii="Arial" w:hAnsi="Arial"/>
                <w:sz w:val="20"/>
              </w:rPr>
              <w:t>The dominant floral community of the corridor is lowland sclerophyll forest. The upper reach has warm temperate rainforest in the riparian zone, and the lower reach is riparian forest. There are 16 threatened flora species within the Benedore River and its associated corridor, and 25 threatened fauna species, including the little tern.</w:t>
            </w:r>
          </w:p>
        </w:tc>
      </w:tr>
      <w:tr w:rsidR="00D1428D" w:rsidRPr="00435ED5" w14:paraId="136D3F40" w14:textId="77777777" w:rsidTr="00514376">
        <w:tc>
          <w:tcPr>
            <w:tcW w:w="2235" w:type="dxa"/>
            <w:tcBorders>
              <w:bottom w:val="single" w:sz="4" w:space="0" w:color="808080"/>
            </w:tcBorders>
            <w:shd w:val="clear" w:color="auto" w:fill="auto"/>
          </w:tcPr>
          <w:p w14:paraId="729F6A5A" w14:textId="77777777" w:rsidR="00D1428D" w:rsidRPr="00435ED5" w:rsidRDefault="00D1428D" w:rsidP="00435ED5">
            <w:pPr>
              <w:pStyle w:val="bodycopy"/>
              <w:spacing w:before="40" w:after="40"/>
              <w:rPr>
                <w:rFonts w:ascii="Arial" w:hAnsi="Arial"/>
                <w:b/>
                <w:sz w:val="20"/>
              </w:rPr>
            </w:pPr>
            <w:r w:rsidRPr="00435ED5">
              <w:rPr>
                <w:rFonts w:ascii="Arial" w:hAnsi="Arial"/>
                <w:b/>
                <w:sz w:val="20"/>
              </w:rPr>
              <w:lastRenderedPageBreak/>
              <w:t>Mallacoota Inlet Wetlands (VIC133)</w:t>
            </w:r>
          </w:p>
          <w:p w14:paraId="68BFF77A" w14:textId="77777777" w:rsidR="006E7C56" w:rsidRPr="00435ED5" w:rsidRDefault="005040CC" w:rsidP="00435ED5">
            <w:pPr>
              <w:pStyle w:val="bodycopy"/>
              <w:spacing w:before="40" w:after="40"/>
              <w:rPr>
                <w:rFonts w:ascii="Arial" w:hAnsi="Arial"/>
                <w:i/>
                <w:sz w:val="20"/>
              </w:rPr>
            </w:pPr>
            <w:r w:rsidRPr="00435ED5">
              <w:rPr>
                <w:rFonts w:ascii="Arial" w:hAnsi="Arial"/>
                <w:i/>
                <w:sz w:val="20"/>
              </w:rPr>
              <w:t>206</w:t>
            </w:r>
            <w:r w:rsidR="006E7C56" w:rsidRPr="00435ED5">
              <w:rPr>
                <w:rFonts w:ascii="Arial" w:hAnsi="Arial"/>
                <w:i/>
                <w:sz w:val="20"/>
              </w:rPr>
              <w:t xml:space="preserve"> km east</w:t>
            </w:r>
            <w:r w:rsidRPr="00435ED5">
              <w:rPr>
                <w:rFonts w:ascii="Arial" w:hAnsi="Arial"/>
                <w:i/>
                <w:sz w:val="20"/>
              </w:rPr>
              <w:t>-northeast</w:t>
            </w:r>
            <w:r w:rsidR="006E7C56" w:rsidRPr="00435ED5">
              <w:rPr>
                <w:rFonts w:ascii="Arial" w:hAnsi="Arial"/>
                <w:i/>
                <w:sz w:val="20"/>
              </w:rPr>
              <w:t xml:space="preserve"> of proposed acquisition area</w:t>
            </w:r>
            <w:r w:rsidRPr="00435ED5">
              <w:rPr>
                <w:rFonts w:ascii="Arial" w:hAnsi="Arial"/>
                <w:i/>
                <w:sz w:val="20"/>
              </w:rPr>
              <w:t xml:space="preserve"> (to the entrance)</w:t>
            </w:r>
          </w:p>
        </w:tc>
        <w:tc>
          <w:tcPr>
            <w:tcW w:w="1701" w:type="dxa"/>
            <w:tcBorders>
              <w:bottom w:val="single" w:sz="4" w:space="0" w:color="808080"/>
            </w:tcBorders>
            <w:shd w:val="clear" w:color="auto" w:fill="auto"/>
          </w:tcPr>
          <w:p w14:paraId="2785FC08" w14:textId="77777777" w:rsidR="00D1428D" w:rsidRPr="00435ED5" w:rsidRDefault="00E2672F" w:rsidP="00435ED5">
            <w:pPr>
              <w:pStyle w:val="bodycopy"/>
              <w:spacing w:before="40" w:after="40"/>
              <w:rPr>
                <w:rFonts w:ascii="Arial" w:hAnsi="Arial"/>
                <w:sz w:val="20"/>
              </w:rPr>
            </w:pPr>
            <w:r w:rsidRPr="00435ED5">
              <w:rPr>
                <w:rFonts w:ascii="Arial" w:hAnsi="Arial"/>
                <w:sz w:val="20"/>
              </w:rPr>
              <w:t>Tidal movement at the entrance, but probably impeded by the very shallow entrance channel. The entrance is rarely blocked.</w:t>
            </w:r>
          </w:p>
        </w:tc>
        <w:tc>
          <w:tcPr>
            <w:tcW w:w="9922" w:type="dxa"/>
            <w:tcBorders>
              <w:bottom w:val="single" w:sz="4" w:space="0" w:color="808080"/>
            </w:tcBorders>
            <w:shd w:val="clear" w:color="auto" w:fill="auto"/>
          </w:tcPr>
          <w:p w14:paraId="5A228A48" w14:textId="77777777" w:rsidR="00E72BE6" w:rsidRPr="00435ED5" w:rsidRDefault="00E72BE6" w:rsidP="00435ED5">
            <w:pPr>
              <w:pStyle w:val="bodycopy"/>
              <w:spacing w:before="40" w:after="40"/>
              <w:rPr>
                <w:rFonts w:ascii="Arial" w:hAnsi="Arial"/>
                <w:sz w:val="20"/>
              </w:rPr>
            </w:pPr>
            <w:r w:rsidRPr="00435ED5">
              <w:rPr>
                <w:rFonts w:ascii="Arial" w:hAnsi="Arial"/>
                <w:sz w:val="20"/>
              </w:rPr>
              <w:t xml:space="preserve">Criteria for selection: 1, 3, 5, 6. </w:t>
            </w:r>
          </w:p>
          <w:p w14:paraId="7A1FE204" w14:textId="08B07739" w:rsidR="00E72BE6" w:rsidRPr="00435ED5" w:rsidRDefault="00E72BE6" w:rsidP="00435ED5">
            <w:pPr>
              <w:pStyle w:val="bodycopy"/>
              <w:spacing w:before="40" w:after="40"/>
              <w:rPr>
                <w:rFonts w:ascii="Arial" w:hAnsi="Arial"/>
                <w:sz w:val="20"/>
              </w:rPr>
            </w:pPr>
            <w:r w:rsidRPr="00435ED5">
              <w:rPr>
                <w:rFonts w:ascii="Arial" w:hAnsi="Arial"/>
                <w:sz w:val="20"/>
              </w:rPr>
              <w:t>Covers an area of 3,797 ha, comprising Mallacoota Inlet, Lake Barracoota and Howe Flat, with 20 km of river channel.</w:t>
            </w:r>
            <w:r w:rsidR="00E2672F" w:rsidRPr="00435ED5">
              <w:rPr>
                <w:rFonts w:ascii="Arial" w:hAnsi="Arial"/>
                <w:sz w:val="20"/>
              </w:rPr>
              <w:t xml:space="preserve"> </w:t>
            </w:r>
          </w:p>
          <w:p w14:paraId="7D13F831" w14:textId="60CEC9C7" w:rsidR="00E2672F" w:rsidRPr="00435ED5" w:rsidRDefault="00E2672F" w:rsidP="00435ED5">
            <w:pPr>
              <w:pStyle w:val="bodycopy"/>
              <w:spacing w:before="40" w:after="40"/>
              <w:rPr>
                <w:rFonts w:ascii="Arial" w:hAnsi="Arial"/>
                <w:sz w:val="20"/>
              </w:rPr>
            </w:pPr>
            <w:r w:rsidRPr="00435ED5">
              <w:rPr>
                <w:rFonts w:ascii="Arial" w:hAnsi="Arial"/>
                <w:sz w:val="20"/>
              </w:rPr>
              <w:t>Mallacoota Inlet is fringed by Lowland Forest, a variety of other forest and woodland types, cleared land and small patches of Riparian Scrub Complex, Coast Saltmarsh and Estuarine Wetland.</w:t>
            </w:r>
          </w:p>
          <w:p w14:paraId="02257D6B" w14:textId="77777777" w:rsidR="00E2672F" w:rsidRPr="00435ED5" w:rsidRDefault="00E2672F" w:rsidP="00435ED5">
            <w:pPr>
              <w:pStyle w:val="bodycopy"/>
              <w:spacing w:before="40" w:after="40"/>
              <w:rPr>
                <w:rFonts w:ascii="Arial" w:hAnsi="Arial"/>
                <w:sz w:val="20"/>
              </w:rPr>
            </w:pPr>
            <w:r w:rsidRPr="00435ED5">
              <w:rPr>
                <w:rFonts w:ascii="Arial" w:hAnsi="Arial"/>
                <w:sz w:val="20"/>
              </w:rPr>
              <w:t>Eighty-nine (89) waterbird species have been recorded in the Mallacoota Inlet area, including up to 2,400 black swans, 700 chestnut teal, 36 banded lapwings (</w:t>
            </w:r>
            <w:r w:rsidRPr="00435ED5">
              <w:rPr>
                <w:rFonts w:ascii="Arial" w:hAnsi="Arial"/>
                <w:i/>
                <w:sz w:val="20"/>
              </w:rPr>
              <w:t>Vanellus tricolor</w:t>
            </w:r>
            <w:r w:rsidRPr="00435ED5">
              <w:rPr>
                <w:rFonts w:ascii="Arial" w:hAnsi="Arial"/>
                <w:sz w:val="20"/>
              </w:rPr>
              <w:t xml:space="preserve">), 150 greenshanks, 100 Pacific gulls, 35 Caspian terns and 80 little terns. </w:t>
            </w:r>
          </w:p>
          <w:p w14:paraId="73493108" w14:textId="77777777" w:rsidR="00E2672F" w:rsidRPr="00435ED5" w:rsidRDefault="00E2672F" w:rsidP="00435ED5">
            <w:pPr>
              <w:pStyle w:val="bodycopy"/>
              <w:spacing w:before="40" w:after="40"/>
              <w:rPr>
                <w:rFonts w:ascii="Arial" w:hAnsi="Arial"/>
                <w:sz w:val="20"/>
              </w:rPr>
            </w:pPr>
            <w:r w:rsidRPr="00435ED5">
              <w:rPr>
                <w:rFonts w:ascii="Arial" w:hAnsi="Arial"/>
                <w:sz w:val="20"/>
              </w:rPr>
              <w:t xml:space="preserve">Twenty-six threatened (26) waterbird species </w:t>
            </w:r>
            <w:r w:rsidR="003E599E" w:rsidRPr="00435ED5">
              <w:rPr>
                <w:rFonts w:ascii="Arial" w:hAnsi="Arial"/>
                <w:sz w:val="20"/>
              </w:rPr>
              <w:t xml:space="preserve">have been recorded from the Inlet and lower Genoa River </w:t>
            </w:r>
            <w:r w:rsidRPr="00435ED5">
              <w:rPr>
                <w:rFonts w:ascii="Arial" w:hAnsi="Arial"/>
                <w:sz w:val="20"/>
              </w:rPr>
              <w:t>including the great egret (</w:t>
            </w:r>
            <w:r w:rsidRPr="00435ED5">
              <w:rPr>
                <w:rFonts w:ascii="Arial" w:hAnsi="Arial"/>
                <w:i/>
                <w:sz w:val="20"/>
              </w:rPr>
              <w:t>Ardea alba</w:t>
            </w:r>
            <w:r w:rsidRPr="00435ED5">
              <w:rPr>
                <w:rFonts w:ascii="Arial" w:hAnsi="Arial"/>
                <w:sz w:val="20"/>
              </w:rPr>
              <w:t>), intermediate egret (</w:t>
            </w:r>
            <w:r w:rsidRPr="00435ED5">
              <w:rPr>
                <w:rFonts w:ascii="Arial" w:hAnsi="Arial"/>
                <w:i/>
                <w:sz w:val="20"/>
              </w:rPr>
              <w:t>Ardea intermedia</w:t>
            </w:r>
            <w:r w:rsidRPr="00435ED5">
              <w:rPr>
                <w:rFonts w:ascii="Arial" w:hAnsi="Arial"/>
                <w:sz w:val="20"/>
              </w:rPr>
              <w:t>), little egret (</w:t>
            </w:r>
            <w:r w:rsidRPr="00435ED5">
              <w:rPr>
                <w:rFonts w:ascii="Arial" w:hAnsi="Arial"/>
                <w:i/>
                <w:sz w:val="20"/>
              </w:rPr>
              <w:t>Egretta garzetta</w:t>
            </w:r>
            <w:r w:rsidRPr="00435ED5">
              <w:rPr>
                <w:rFonts w:ascii="Arial" w:hAnsi="Arial"/>
                <w:sz w:val="20"/>
              </w:rPr>
              <w:t>), Australasian bittern, black bittern (</w:t>
            </w:r>
            <w:r w:rsidRPr="00435ED5">
              <w:rPr>
                <w:rFonts w:ascii="Arial" w:hAnsi="Arial"/>
                <w:i/>
                <w:sz w:val="20"/>
              </w:rPr>
              <w:t>Ixobrychus flavicollis</w:t>
            </w:r>
            <w:r w:rsidRPr="00435ED5">
              <w:rPr>
                <w:rFonts w:ascii="Arial" w:hAnsi="Arial"/>
                <w:sz w:val="20"/>
              </w:rPr>
              <w:t xml:space="preserve">) Cape Barren </w:t>
            </w:r>
            <w:r w:rsidR="003E599E" w:rsidRPr="00435ED5">
              <w:rPr>
                <w:rFonts w:ascii="Arial" w:hAnsi="Arial"/>
                <w:sz w:val="20"/>
              </w:rPr>
              <w:t>g</w:t>
            </w:r>
            <w:r w:rsidRPr="00435ED5">
              <w:rPr>
                <w:rFonts w:ascii="Arial" w:hAnsi="Arial"/>
                <w:sz w:val="20"/>
              </w:rPr>
              <w:t xml:space="preserve">oose </w:t>
            </w:r>
            <w:r w:rsidR="003E599E" w:rsidRPr="00435ED5">
              <w:rPr>
                <w:rFonts w:ascii="Arial" w:hAnsi="Arial"/>
                <w:sz w:val="20"/>
              </w:rPr>
              <w:t>(</w:t>
            </w:r>
            <w:r w:rsidRPr="00435ED5">
              <w:rPr>
                <w:rFonts w:ascii="Arial" w:hAnsi="Arial"/>
                <w:sz w:val="20"/>
              </w:rPr>
              <w:t>Cereopsis novaehollandiae</w:t>
            </w:r>
            <w:r w:rsidR="003E599E" w:rsidRPr="00435ED5">
              <w:rPr>
                <w:rFonts w:ascii="Arial" w:hAnsi="Arial"/>
                <w:sz w:val="20"/>
              </w:rPr>
              <w:t>)</w:t>
            </w:r>
            <w:r w:rsidRPr="00435ED5">
              <w:rPr>
                <w:rFonts w:ascii="Arial" w:hAnsi="Arial"/>
                <w:sz w:val="20"/>
              </w:rPr>
              <w:t xml:space="preserve">, </w:t>
            </w:r>
            <w:r w:rsidR="003E599E" w:rsidRPr="00435ED5">
              <w:rPr>
                <w:rFonts w:ascii="Arial" w:hAnsi="Arial"/>
                <w:sz w:val="20"/>
              </w:rPr>
              <w:t>w</w:t>
            </w:r>
            <w:r w:rsidRPr="00435ED5">
              <w:rPr>
                <w:rFonts w:ascii="Arial" w:hAnsi="Arial"/>
                <w:sz w:val="20"/>
              </w:rPr>
              <w:t xml:space="preserve">hite-bellied </w:t>
            </w:r>
            <w:r w:rsidR="003E599E" w:rsidRPr="00435ED5">
              <w:rPr>
                <w:rFonts w:ascii="Arial" w:hAnsi="Arial"/>
                <w:sz w:val="20"/>
              </w:rPr>
              <w:t>s</w:t>
            </w:r>
            <w:r w:rsidRPr="00435ED5">
              <w:rPr>
                <w:rFonts w:ascii="Arial" w:hAnsi="Arial"/>
                <w:sz w:val="20"/>
              </w:rPr>
              <w:t xml:space="preserve">ea-eagle, </w:t>
            </w:r>
            <w:r w:rsidR="003E599E" w:rsidRPr="00435ED5">
              <w:rPr>
                <w:rFonts w:ascii="Arial" w:hAnsi="Arial"/>
                <w:sz w:val="20"/>
              </w:rPr>
              <w:t>p</w:t>
            </w:r>
            <w:r w:rsidRPr="00435ED5">
              <w:rPr>
                <w:rFonts w:ascii="Arial" w:hAnsi="Arial"/>
                <w:sz w:val="20"/>
              </w:rPr>
              <w:t xml:space="preserve">ainted </w:t>
            </w:r>
            <w:r w:rsidR="003E599E" w:rsidRPr="00435ED5">
              <w:rPr>
                <w:rFonts w:ascii="Arial" w:hAnsi="Arial"/>
                <w:sz w:val="20"/>
              </w:rPr>
              <w:t>s</w:t>
            </w:r>
            <w:r w:rsidRPr="00435ED5">
              <w:rPr>
                <w:rFonts w:ascii="Arial" w:hAnsi="Arial"/>
                <w:sz w:val="20"/>
              </w:rPr>
              <w:t xml:space="preserve">nipe </w:t>
            </w:r>
            <w:r w:rsidR="003E599E" w:rsidRPr="00435ED5">
              <w:rPr>
                <w:rFonts w:ascii="Arial" w:hAnsi="Arial"/>
                <w:sz w:val="20"/>
              </w:rPr>
              <w:t>(</w:t>
            </w:r>
            <w:r w:rsidRPr="00435ED5">
              <w:rPr>
                <w:rFonts w:ascii="Arial" w:hAnsi="Arial"/>
                <w:sz w:val="20"/>
              </w:rPr>
              <w:t xml:space="preserve">Rostratula benghalensis), </w:t>
            </w:r>
            <w:r w:rsidR="003E599E" w:rsidRPr="00435ED5">
              <w:rPr>
                <w:rFonts w:ascii="Arial" w:hAnsi="Arial"/>
                <w:sz w:val="20"/>
              </w:rPr>
              <w:t>h</w:t>
            </w:r>
            <w:r w:rsidRPr="00435ED5">
              <w:rPr>
                <w:rFonts w:ascii="Arial" w:hAnsi="Arial"/>
                <w:sz w:val="20"/>
              </w:rPr>
              <w:t xml:space="preserve">ooded </w:t>
            </w:r>
            <w:r w:rsidR="003E599E" w:rsidRPr="00435ED5">
              <w:rPr>
                <w:rFonts w:ascii="Arial" w:hAnsi="Arial"/>
                <w:sz w:val="20"/>
              </w:rPr>
              <w:t>p</w:t>
            </w:r>
            <w:r w:rsidRPr="00435ED5">
              <w:rPr>
                <w:rFonts w:ascii="Arial" w:hAnsi="Arial"/>
                <w:sz w:val="20"/>
              </w:rPr>
              <w:t xml:space="preserve">lover, </w:t>
            </w:r>
            <w:r w:rsidR="003E599E" w:rsidRPr="00435ED5">
              <w:rPr>
                <w:rFonts w:ascii="Arial" w:hAnsi="Arial"/>
                <w:sz w:val="20"/>
              </w:rPr>
              <w:t>e</w:t>
            </w:r>
            <w:r w:rsidRPr="00435ED5">
              <w:rPr>
                <w:rFonts w:ascii="Arial" w:hAnsi="Arial"/>
                <w:sz w:val="20"/>
              </w:rPr>
              <w:t xml:space="preserve">astern </w:t>
            </w:r>
            <w:r w:rsidR="003E599E" w:rsidRPr="00435ED5">
              <w:rPr>
                <w:rFonts w:ascii="Arial" w:hAnsi="Arial"/>
                <w:sz w:val="20"/>
              </w:rPr>
              <w:t>c</w:t>
            </w:r>
            <w:r w:rsidRPr="00435ED5">
              <w:rPr>
                <w:rFonts w:ascii="Arial" w:hAnsi="Arial"/>
                <w:sz w:val="20"/>
              </w:rPr>
              <w:t xml:space="preserve">urlew, </w:t>
            </w:r>
            <w:r w:rsidR="003E599E" w:rsidRPr="00435ED5">
              <w:rPr>
                <w:rFonts w:ascii="Arial" w:hAnsi="Arial"/>
                <w:sz w:val="20"/>
              </w:rPr>
              <w:t>f</w:t>
            </w:r>
            <w:r w:rsidRPr="00435ED5">
              <w:rPr>
                <w:rFonts w:ascii="Arial" w:hAnsi="Arial"/>
                <w:sz w:val="20"/>
              </w:rPr>
              <w:t xml:space="preserve">airy </w:t>
            </w:r>
            <w:r w:rsidR="003E599E" w:rsidRPr="00435ED5">
              <w:rPr>
                <w:rFonts w:ascii="Arial" w:hAnsi="Arial"/>
                <w:sz w:val="20"/>
              </w:rPr>
              <w:t>t</w:t>
            </w:r>
            <w:r w:rsidRPr="00435ED5">
              <w:rPr>
                <w:rFonts w:ascii="Arial" w:hAnsi="Arial"/>
                <w:sz w:val="20"/>
              </w:rPr>
              <w:t>ern</w:t>
            </w:r>
            <w:r w:rsidR="003E599E" w:rsidRPr="00435ED5">
              <w:rPr>
                <w:rFonts w:ascii="Arial" w:hAnsi="Arial"/>
                <w:sz w:val="20"/>
              </w:rPr>
              <w:t xml:space="preserve"> and l</w:t>
            </w:r>
            <w:r w:rsidRPr="00435ED5">
              <w:rPr>
                <w:rFonts w:ascii="Arial" w:hAnsi="Arial"/>
                <w:sz w:val="20"/>
              </w:rPr>
              <w:t xml:space="preserve">ittle </w:t>
            </w:r>
            <w:r w:rsidR="003E599E" w:rsidRPr="00435ED5">
              <w:rPr>
                <w:rFonts w:ascii="Arial" w:hAnsi="Arial"/>
                <w:sz w:val="20"/>
              </w:rPr>
              <w:t>t</w:t>
            </w:r>
            <w:r w:rsidRPr="00435ED5">
              <w:rPr>
                <w:rFonts w:ascii="Arial" w:hAnsi="Arial"/>
                <w:sz w:val="20"/>
              </w:rPr>
              <w:t>ern.</w:t>
            </w:r>
          </w:p>
          <w:p w14:paraId="59EB04D5" w14:textId="77777777" w:rsidR="003E599E" w:rsidRPr="00435ED5" w:rsidRDefault="00E2672F" w:rsidP="00435ED5">
            <w:pPr>
              <w:pStyle w:val="bodycopy"/>
              <w:spacing w:before="40" w:after="40"/>
              <w:rPr>
                <w:rFonts w:ascii="Arial" w:hAnsi="Arial"/>
                <w:sz w:val="20"/>
              </w:rPr>
            </w:pPr>
            <w:r w:rsidRPr="00435ED5">
              <w:rPr>
                <w:rFonts w:ascii="Arial" w:hAnsi="Arial"/>
                <w:sz w:val="20"/>
              </w:rPr>
              <w:t xml:space="preserve">Threatened fish and crustacea </w:t>
            </w:r>
            <w:r w:rsidR="003E599E" w:rsidRPr="00435ED5">
              <w:rPr>
                <w:rFonts w:ascii="Arial" w:hAnsi="Arial"/>
                <w:sz w:val="20"/>
              </w:rPr>
              <w:t xml:space="preserve">recorded in the area </w:t>
            </w:r>
            <w:r w:rsidRPr="00435ED5">
              <w:rPr>
                <w:rFonts w:ascii="Arial" w:hAnsi="Arial"/>
                <w:sz w:val="20"/>
              </w:rPr>
              <w:t xml:space="preserve">include the </w:t>
            </w:r>
            <w:r w:rsidR="003E599E" w:rsidRPr="00435ED5">
              <w:rPr>
                <w:rFonts w:ascii="Arial" w:hAnsi="Arial"/>
                <w:sz w:val="20"/>
              </w:rPr>
              <w:t>f</w:t>
            </w:r>
            <w:r w:rsidRPr="00435ED5">
              <w:rPr>
                <w:rFonts w:ascii="Arial" w:hAnsi="Arial"/>
                <w:sz w:val="20"/>
              </w:rPr>
              <w:t xml:space="preserve">reshwater </w:t>
            </w:r>
            <w:r w:rsidR="003E599E" w:rsidRPr="00435ED5">
              <w:rPr>
                <w:rFonts w:ascii="Arial" w:hAnsi="Arial"/>
                <w:sz w:val="20"/>
              </w:rPr>
              <w:t>h</w:t>
            </w:r>
            <w:r w:rsidRPr="00435ED5">
              <w:rPr>
                <w:rFonts w:ascii="Arial" w:hAnsi="Arial"/>
                <w:sz w:val="20"/>
              </w:rPr>
              <w:t xml:space="preserve">erring </w:t>
            </w:r>
            <w:r w:rsidR="003E599E" w:rsidRPr="00435ED5">
              <w:rPr>
                <w:rFonts w:ascii="Arial" w:hAnsi="Arial"/>
                <w:sz w:val="20"/>
              </w:rPr>
              <w:t>(</w:t>
            </w:r>
            <w:r w:rsidRPr="00435ED5">
              <w:rPr>
                <w:rFonts w:ascii="Arial" w:hAnsi="Arial"/>
                <w:i/>
                <w:sz w:val="20"/>
              </w:rPr>
              <w:t>Potamalosa richmondia</w:t>
            </w:r>
            <w:r w:rsidR="003E599E" w:rsidRPr="00435ED5">
              <w:rPr>
                <w:rFonts w:ascii="Arial" w:hAnsi="Arial"/>
                <w:sz w:val="20"/>
              </w:rPr>
              <w:t>),</w:t>
            </w:r>
            <w:r w:rsidRPr="00435ED5">
              <w:rPr>
                <w:rFonts w:ascii="Arial" w:hAnsi="Arial"/>
                <w:sz w:val="20"/>
              </w:rPr>
              <w:t xml:space="preserve"> Australian </w:t>
            </w:r>
            <w:r w:rsidR="003E599E" w:rsidRPr="00435ED5">
              <w:rPr>
                <w:rFonts w:ascii="Arial" w:hAnsi="Arial"/>
                <w:sz w:val="20"/>
              </w:rPr>
              <w:t>b</w:t>
            </w:r>
            <w:r w:rsidRPr="00435ED5">
              <w:rPr>
                <w:rFonts w:ascii="Arial" w:hAnsi="Arial"/>
                <w:sz w:val="20"/>
              </w:rPr>
              <w:t xml:space="preserve">ass </w:t>
            </w:r>
            <w:r w:rsidR="003E599E" w:rsidRPr="00435ED5">
              <w:rPr>
                <w:rFonts w:ascii="Arial" w:hAnsi="Arial"/>
                <w:sz w:val="20"/>
              </w:rPr>
              <w:t>(</w:t>
            </w:r>
            <w:r w:rsidRPr="00435ED5">
              <w:rPr>
                <w:rFonts w:ascii="Arial" w:hAnsi="Arial"/>
                <w:i/>
                <w:sz w:val="20"/>
              </w:rPr>
              <w:t>Macquaria novemaculeata</w:t>
            </w:r>
            <w:r w:rsidRPr="00435ED5">
              <w:rPr>
                <w:rFonts w:ascii="Arial" w:hAnsi="Arial"/>
                <w:sz w:val="20"/>
              </w:rPr>
              <w:t xml:space="preserve">), </w:t>
            </w:r>
            <w:r w:rsidR="003E599E" w:rsidRPr="00435ED5">
              <w:rPr>
                <w:rFonts w:ascii="Arial" w:hAnsi="Arial"/>
                <w:sz w:val="20"/>
              </w:rPr>
              <w:t>s</w:t>
            </w:r>
            <w:r w:rsidRPr="00435ED5">
              <w:rPr>
                <w:rFonts w:ascii="Arial" w:hAnsi="Arial"/>
                <w:sz w:val="20"/>
              </w:rPr>
              <w:t xml:space="preserve">triped </w:t>
            </w:r>
            <w:r w:rsidR="003E599E" w:rsidRPr="00435ED5">
              <w:rPr>
                <w:rFonts w:ascii="Arial" w:hAnsi="Arial"/>
                <w:sz w:val="20"/>
              </w:rPr>
              <w:t>g</w:t>
            </w:r>
            <w:r w:rsidRPr="00435ED5">
              <w:rPr>
                <w:rFonts w:ascii="Arial" w:hAnsi="Arial"/>
                <w:sz w:val="20"/>
              </w:rPr>
              <w:t>udgeon</w:t>
            </w:r>
            <w:r w:rsidR="003E599E" w:rsidRPr="00435ED5">
              <w:rPr>
                <w:rFonts w:ascii="Arial" w:hAnsi="Arial"/>
                <w:sz w:val="20"/>
              </w:rPr>
              <w:t>,</w:t>
            </w:r>
            <w:r w:rsidRPr="00435ED5">
              <w:rPr>
                <w:rFonts w:ascii="Arial" w:hAnsi="Arial"/>
                <w:sz w:val="20"/>
              </w:rPr>
              <w:t xml:space="preserve"> </w:t>
            </w:r>
            <w:r w:rsidR="003E599E" w:rsidRPr="00435ED5">
              <w:rPr>
                <w:rFonts w:ascii="Arial" w:hAnsi="Arial"/>
                <w:sz w:val="20"/>
              </w:rPr>
              <w:t>e</w:t>
            </w:r>
            <w:r w:rsidRPr="00435ED5">
              <w:rPr>
                <w:rFonts w:ascii="Arial" w:hAnsi="Arial"/>
                <w:sz w:val="20"/>
              </w:rPr>
              <w:t xml:space="preserve">mpire </w:t>
            </w:r>
            <w:r w:rsidR="003E599E" w:rsidRPr="00435ED5">
              <w:rPr>
                <w:rFonts w:ascii="Arial" w:hAnsi="Arial"/>
                <w:sz w:val="20"/>
              </w:rPr>
              <w:t>g</w:t>
            </w:r>
            <w:r w:rsidRPr="00435ED5">
              <w:rPr>
                <w:rFonts w:ascii="Arial" w:hAnsi="Arial"/>
                <w:sz w:val="20"/>
              </w:rPr>
              <w:t xml:space="preserve">udgeon </w:t>
            </w:r>
            <w:r w:rsidR="003E599E" w:rsidRPr="00435ED5">
              <w:rPr>
                <w:rFonts w:ascii="Arial" w:hAnsi="Arial"/>
                <w:sz w:val="20"/>
              </w:rPr>
              <w:t>(</w:t>
            </w:r>
            <w:r w:rsidRPr="00435ED5">
              <w:rPr>
                <w:rFonts w:ascii="Arial" w:hAnsi="Arial"/>
                <w:i/>
                <w:sz w:val="20"/>
              </w:rPr>
              <w:t>Hypseleotris compressa</w:t>
            </w:r>
            <w:r w:rsidRPr="00435ED5">
              <w:rPr>
                <w:rFonts w:ascii="Arial" w:hAnsi="Arial"/>
                <w:sz w:val="20"/>
              </w:rPr>
              <w:t xml:space="preserve">) and the Mallacoota </w:t>
            </w:r>
            <w:r w:rsidR="003E599E" w:rsidRPr="00435ED5">
              <w:rPr>
                <w:rFonts w:ascii="Arial" w:hAnsi="Arial"/>
                <w:sz w:val="20"/>
              </w:rPr>
              <w:t>b</w:t>
            </w:r>
            <w:r w:rsidRPr="00435ED5">
              <w:rPr>
                <w:rFonts w:ascii="Arial" w:hAnsi="Arial"/>
                <w:sz w:val="20"/>
              </w:rPr>
              <w:t xml:space="preserve">urrowing </w:t>
            </w:r>
            <w:r w:rsidR="003E599E" w:rsidRPr="00435ED5">
              <w:rPr>
                <w:rFonts w:ascii="Arial" w:hAnsi="Arial"/>
                <w:sz w:val="20"/>
              </w:rPr>
              <w:t>c</w:t>
            </w:r>
            <w:r w:rsidRPr="00435ED5">
              <w:rPr>
                <w:rFonts w:ascii="Arial" w:hAnsi="Arial"/>
                <w:sz w:val="20"/>
              </w:rPr>
              <w:t xml:space="preserve">rayfish. </w:t>
            </w:r>
          </w:p>
          <w:p w14:paraId="3619B623" w14:textId="7A6DE881" w:rsidR="00BD61AD" w:rsidRPr="00435ED5" w:rsidRDefault="00E2672F" w:rsidP="00884326">
            <w:pPr>
              <w:pStyle w:val="bodycopy"/>
              <w:spacing w:before="40" w:after="40"/>
              <w:rPr>
                <w:rFonts w:ascii="Arial" w:hAnsi="Arial"/>
                <w:sz w:val="20"/>
              </w:rPr>
            </w:pPr>
            <w:r w:rsidRPr="00435ED5">
              <w:rPr>
                <w:rFonts w:ascii="Arial" w:hAnsi="Arial"/>
                <w:sz w:val="20"/>
              </w:rPr>
              <w:t xml:space="preserve">The Australian </w:t>
            </w:r>
            <w:r w:rsidR="003E599E" w:rsidRPr="00435ED5">
              <w:rPr>
                <w:rFonts w:ascii="Arial" w:hAnsi="Arial"/>
                <w:sz w:val="20"/>
              </w:rPr>
              <w:t>p</w:t>
            </w:r>
            <w:r w:rsidRPr="00435ED5">
              <w:rPr>
                <w:rFonts w:ascii="Arial" w:hAnsi="Arial"/>
                <w:sz w:val="20"/>
              </w:rPr>
              <w:t xml:space="preserve">elican, </w:t>
            </w:r>
            <w:r w:rsidR="003E599E" w:rsidRPr="00435ED5">
              <w:rPr>
                <w:rFonts w:ascii="Arial" w:hAnsi="Arial"/>
                <w:sz w:val="20"/>
              </w:rPr>
              <w:t>b</w:t>
            </w:r>
            <w:r w:rsidRPr="00435ED5">
              <w:rPr>
                <w:rFonts w:ascii="Arial" w:hAnsi="Arial"/>
                <w:sz w:val="20"/>
              </w:rPr>
              <w:t xml:space="preserve">lack </w:t>
            </w:r>
            <w:r w:rsidR="003E599E" w:rsidRPr="00435ED5">
              <w:rPr>
                <w:rFonts w:ascii="Arial" w:hAnsi="Arial"/>
                <w:sz w:val="20"/>
              </w:rPr>
              <w:t>s</w:t>
            </w:r>
            <w:r w:rsidRPr="00435ED5">
              <w:rPr>
                <w:rFonts w:ascii="Arial" w:hAnsi="Arial"/>
                <w:sz w:val="20"/>
              </w:rPr>
              <w:t xml:space="preserve">wan, </w:t>
            </w:r>
            <w:r w:rsidR="003E599E" w:rsidRPr="00435ED5">
              <w:rPr>
                <w:rFonts w:ascii="Arial" w:hAnsi="Arial"/>
                <w:sz w:val="20"/>
              </w:rPr>
              <w:t>w</w:t>
            </w:r>
            <w:r w:rsidRPr="00435ED5">
              <w:rPr>
                <w:rFonts w:ascii="Arial" w:hAnsi="Arial"/>
                <w:sz w:val="20"/>
              </w:rPr>
              <w:t xml:space="preserve">hite-bellied </w:t>
            </w:r>
            <w:r w:rsidR="003E599E" w:rsidRPr="00435ED5">
              <w:rPr>
                <w:rFonts w:ascii="Arial" w:hAnsi="Arial"/>
                <w:sz w:val="20"/>
              </w:rPr>
              <w:t>s</w:t>
            </w:r>
            <w:r w:rsidRPr="00435ED5">
              <w:rPr>
                <w:rFonts w:ascii="Arial" w:hAnsi="Arial"/>
                <w:sz w:val="20"/>
              </w:rPr>
              <w:t xml:space="preserve">ea-eagle, </w:t>
            </w:r>
            <w:r w:rsidR="003E599E" w:rsidRPr="00435ED5">
              <w:rPr>
                <w:rFonts w:ascii="Arial" w:hAnsi="Arial"/>
                <w:sz w:val="20"/>
              </w:rPr>
              <w:t>b</w:t>
            </w:r>
            <w:r w:rsidRPr="00435ED5">
              <w:rPr>
                <w:rFonts w:ascii="Arial" w:hAnsi="Arial"/>
                <w:sz w:val="20"/>
              </w:rPr>
              <w:t xml:space="preserve">lack </w:t>
            </w:r>
            <w:r w:rsidR="003E599E" w:rsidRPr="00435ED5">
              <w:rPr>
                <w:rFonts w:ascii="Arial" w:hAnsi="Arial"/>
                <w:sz w:val="20"/>
              </w:rPr>
              <w:t>b</w:t>
            </w:r>
            <w:r w:rsidRPr="00435ED5">
              <w:rPr>
                <w:rFonts w:ascii="Arial" w:hAnsi="Arial"/>
                <w:sz w:val="20"/>
              </w:rPr>
              <w:t xml:space="preserve">ittern, </w:t>
            </w:r>
            <w:r w:rsidR="003E599E" w:rsidRPr="00435ED5">
              <w:rPr>
                <w:rFonts w:ascii="Arial" w:hAnsi="Arial"/>
                <w:sz w:val="20"/>
              </w:rPr>
              <w:t>p</w:t>
            </w:r>
            <w:r w:rsidRPr="00435ED5">
              <w:rPr>
                <w:rFonts w:ascii="Arial" w:hAnsi="Arial"/>
                <w:sz w:val="20"/>
              </w:rPr>
              <w:t xml:space="preserve">ied </w:t>
            </w:r>
            <w:r w:rsidR="003E599E" w:rsidRPr="00435ED5">
              <w:rPr>
                <w:rFonts w:ascii="Arial" w:hAnsi="Arial"/>
                <w:sz w:val="20"/>
              </w:rPr>
              <w:t>o</w:t>
            </w:r>
            <w:r w:rsidRPr="00435ED5">
              <w:rPr>
                <w:rFonts w:ascii="Arial" w:hAnsi="Arial"/>
                <w:sz w:val="20"/>
              </w:rPr>
              <w:t xml:space="preserve">ystercatcher </w:t>
            </w:r>
            <w:r w:rsidR="003E599E" w:rsidRPr="00435ED5">
              <w:rPr>
                <w:rFonts w:ascii="Arial" w:hAnsi="Arial"/>
                <w:sz w:val="20"/>
              </w:rPr>
              <w:t>(</w:t>
            </w:r>
            <w:r w:rsidRPr="00435ED5">
              <w:rPr>
                <w:rFonts w:ascii="Arial" w:hAnsi="Arial"/>
                <w:i/>
                <w:sz w:val="20"/>
              </w:rPr>
              <w:t>Haematopus longirostris</w:t>
            </w:r>
            <w:r w:rsidR="003E599E" w:rsidRPr="00435ED5">
              <w:rPr>
                <w:rFonts w:ascii="Arial" w:hAnsi="Arial"/>
                <w:sz w:val="20"/>
              </w:rPr>
              <w:t>)</w:t>
            </w:r>
            <w:r w:rsidRPr="00435ED5">
              <w:rPr>
                <w:rFonts w:ascii="Arial" w:hAnsi="Arial"/>
                <w:sz w:val="20"/>
              </w:rPr>
              <w:t xml:space="preserve">, </w:t>
            </w:r>
            <w:r w:rsidR="003E599E" w:rsidRPr="00435ED5">
              <w:rPr>
                <w:rFonts w:ascii="Arial" w:hAnsi="Arial"/>
                <w:sz w:val="20"/>
              </w:rPr>
              <w:t>r</w:t>
            </w:r>
            <w:r w:rsidRPr="00435ED5">
              <w:rPr>
                <w:rFonts w:ascii="Arial" w:hAnsi="Arial"/>
                <w:sz w:val="20"/>
              </w:rPr>
              <w:t xml:space="preserve">ed-capped </w:t>
            </w:r>
            <w:r w:rsidR="003E599E" w:rsidRPr="00435ED5">
              <w:rPr>
                <w:rFonts w:ascii="Arial" w:hAnsi="Arial"/>
                <w:sz w:val="20"/>
              </w:rPr>
              <w:t>p</w:t>
            </w:r>
            <w:r w:rsidRPr="00435ED5">
              <w:rPr>
                <w:rFonts w:ascii="Arial" w:hAnsi="Arial"/>
                <w:sz w:val="20"/>
              </w:rPr>
              <w:t xml:space="preserve">lover </w:t>
            </w:r>
            <w:r w:rsidR="003E599E" w:rsidRPr="00435ED5">
              <w:rPr>
                <w:rFonts w:ascii="Arial" w:hAnsi="Arial"/>
                <w:sz w:val="20"/>
              </w:rPr>
              <w:t>(</w:t>
            </w:r>
            <w:r w:rsidRPr="00435ED5">
              <w:rPr>
                <w:rFonts w:ascii="Arial" w:hAnsi="Arial"/>
                <w:i/>
                <w:sz w:val="20"/>
              </w:rPr>
              <w:t>Charadrius ruficollis</w:t>
            </w:r>
            <w:r w:rsidR="003E599E" w:rsidRPr="00435ED5">
              <w:rPr>
                <w:rFonts w:ascii="Arial" w:hAnsi="Arial"/>
                <w:sz w:val="20"/>
              </w:rPr>
              <w:t>)</w:t>
            </w:r>
            <w:r w:rsidRPr="00435ED5">
              <w:rPr>
                <w:rFonts w:ascii="Arial" w:hAnsi="Arial"/>
                <w:sz w:val="20"/>
              </w:rPr>
              <w:t xml:space="preserve">, </w:t>
            </w:r>
            <w:r w:rsidR="003E599E" w:rsidRPr="00435ED5">
              <w:rPr>
                <w:rFonts w:ascii="Arial" w:hAnsi="Arial"/>
                <w:sz w:val="20"/>
              </w:rPr>
              <w:t xml:space="preserve">and the </w:t>
            </w:r>
            <w:r w:rsidRPr="00435ED5">
              <w:rPr>
                <w:rFonts w:ascii="Arial" w:hAnsi="Arial"/>
                <w:sz w:val="20"/>
              </w:rPr>
              <w:t xml:space="preserve">Caspian, </w:t>
            </w:r>
            <w:r w:rsidR="003E599E" w:rsidRPr="00435ED5">
              <w:rPr>
                <w:rFonts w:ascii="Arial" w:hAnsi="Arial"/>
                <w:sz w:val="20"/>
              </w:rPr>
              <w:t>l</w:t>
            </w:r>
            <w:r w:rsidRPr="00435ED5">
              <w:rPr>
                <w:rFonts w:ascii="Arial" w:hAnsi="Arial"/>
                <w:sz w:val="20"/>
              </w:rPr>
              <w:t xml:space="preserve">ittle, </w:t>
            </w:r>
            <w:r w:rsidR="003E599E" w:rsidRPr="00435ED5">
              <w:rPr>
                <w:rFonts w:ascii="Arial" w:hAnsi="Arial"/>
                <w:sz w:val="20"/>
              </w:rPr>
              <w:t>f</w:t>
            </w:r>
            <w:r w:rsidRPr="00435ED5">
              <w:rPr>
                <w:rFonts w:ascii="Arial" w:hAnsi="Arial"/>
                <w:sz w:val="20"/>
              </w:rPr>
              <w:t xml:space="preserve">airy and </w:t>
            </w:r>
            <w:r w:rsidR="003E599E" w:rsidRPr="00435ED5">
              <w:rPr>
                <w:rFonts w:ascii="Arial" w:hAnsi="Arial"/>
                <w:sz w:val="20"/>
              </w:rPr>
              <w:t>c</w:t>
            </w:r>
            <w:r w:rsidRPr="00435ED5">
              <w:rPr>
                <w:rFonts w:ascii="Arial" w:hAnsi="Arial"/>
                <w:sz w:val="20"/>
              </w:rPr>
              <w:t xml:space="preserve">rested </w:t>
            </w:r>
            <w:r w:rsidR="003E599E" w:rsidRPr="00435ED5">
              <w:rPr>
                <w:rFonts w:ascii="Arial" w:hAnsi="Arial"/>
                <w:sz w:val="20"/>
              </w:rPr>
              <w:t>t</w:t>
            </w:r>
            <w:r w:rsidRPr="00435ED5">
              <w:rPr>
                <w:rFonts w:ascii="Arial" w:hAnsi="Arial"/>
                <w:sz w:val="20"/>
              </w:rPr>
              <w:t>ern</w:t>
            </w:r>
            <w:r w:rsidR="003E599E" w:rsidRPr="00435ED5">
              <w:rPr>
                <w:rFonts w:ascii="Arial" w:hAnsi="Arial"/>
                <w:sz w:val="20"/>
              </w:rPr>
              <w:t>s</w:t>
            </w:r>
            <w:r w:rsidRPr="00435ED5">
              <w:rPr>
                <w:rFonts w:ascii="Arial" w:hAnsi="Arial"/>
                <w:sz w:val="20"/>
              </w:rPr>
              <w:t xml:space="preserve"> have been recorded breeding in the Inlet. </w:t>
            </w:r>
            <w:r w:rsidR="00BD61AD" w:rsidRPr="00435ED5">
              <w:rPr>
                <w:rFonts w:ascii="Arial" w:hAnsi="Arial"/>
                <w:sz w:val="20"/>
              </w:rPr>
              <w:t>Thirteeen bird species protected under the JAMBA and CAMBA use the wetlands.</w:t>
            </w:r>
          </w:p>
        </w:tc>
      </w:tr>
      <w:tr w:rsidR="002002EF" w:rsidRPr="00435ED5" w14:paraId="29B533AF" w14:textId="77777777" w:rsidTr="00514376">
        <w:tc>
          <w:tcPr>
            <w:tcW w:w="13858" w:type="dxa"/>
            <w:gridSpan w:val="3"/>
            <w:tcBorders>
              <w:bottom w:val="nil"/>
            </w:tcBorders>
            <w:shd w:val="clear" w:color="auto" w:fill="auto"/>
          </w:tcPr>
          <w:p w14:paraId="61202841" w14:textId="77777777" w:rsidR="002002EF" w:rsidRPr="00435ED5" w:rsidRDefault="002002EF" w:rsidP="00435ED5">
            <w:pPr>
              <w:pStyle w:val="bodycopy"/>
              <w:spacing w:before="40" w:after="40"/>
              <w:rPr>
                <w:rFonts w:ascii="Arial" w:hAnsi="Arial"/>
                <w:sz w:val="20"/>
              </w:rPr>
            </w:pPr>
            <w:r w:rsidRPr="00435ED5">
              <w:rPr>
                <w:rFonts w:ascii="Arial" w:hAnsi="Arial"/>
                <w:sz w:val="20"/>
              </w:rPr>
              <w:t>*</w:t>
            </w:r>
            <w:r w:rsidRPr="00435ED5">
              <w:rPr>
                <w:rFonts w:ascii="Arial" w:hAnsi="Arial"/>
                <w:sz w:val="20"/>
                <w:u w:val="single"/>
              </w:rPr>
              <w:t xml:space="preserve"> Key to criteria for selection</w:t>
            </w:r>
          </w:p>
        </w:tc>
      </w:tr>
      <w:tr w:rsidR="0053197F" w:rsidRPr="00435ED5" w14:paraId="114F590E" w14:textId="77777777" w:rsidTr="00514376">
        <w:tc>
          <w:tcPr>
            <w:tcW w:w="13858" w:type="dxa"/>
            <w:gridSpan w:val="3"/>
            <w:tcBorders>
              <w:top w:val="nil"/>
            </w:tcBorders>
            <w:shd w:val="clear" w:color="auto" w:fill="auto"/>
          </w:tcPr>
          <w:p w14:paraId="278C93E5" w14:textId="77777777" w:rsidR="0053197F" w:rsidRPr="00435ED5" w:rsidRDefault="0053197F" w:rsidP="00435ED5">
            <w:pPr>
              <w:pStyle w:val="bodycopy"/>
              <w:numPr>
                <w:ilvl w:val="0"/>
                <w:numId w:val="92"/>
              </w:numPr>
              <w:spacing w:before="40" w:after="40"/>
              <w:ind w:left="426" w:hanging="426"/>
              <w:rPr>
                <w:rFonts w:ascii="Arial" w:hAnsi="Arial"/>
                <w:sz w:val="20"/>
              </w:rPr>
            </w:pPr>
            <w:r w:rsidRPr="00435ED5">
              <w:rPr>
                <w:rFonts w:ascii="Arial" w:hAnsi="Arial"/>
                <w:sz w:val="20"/>
              </w:rPr>
              <w:t>It is a good example of a wetland type occurring within a biogeographic region in Australia.</w:t>
            </w:r>
          </w:p>
          <w:p w14:paraId="5712916E" w14:textId="77777777" w:rsidR="0053197F" w:rsidRPr="00435ED5" w:rsidRDefault="0053197F" w:rsidP="00435ED5">
            <w:pPr>
              <w:pStyle w:val="bodycopy"/>
              <w:numPr>
                <w:ilvl w:val="0"/>
                <w:numId w:val="92"/>
              </w:numPr>
              <w:spacing w:before="40" w:after="40"/>
              <w:ind w:left="426" w:hanging="426"/>
              <w:rPr>
                <w:rFonts w:ascii="Arial" w:hAnsi="Arial"/>
                <w:sz w:val="20"/>
              </w:rPr>
            </w:pPr>
            <w:r w:rsidRPr="00435ED5">
              <w:rPr>
                <w:rFonts w:ascii="Arial" w:hAnsi="Arial"/>
                <w:sz w:val="20"/>
              </w:rPr>
              <w:t xml:space="preserve">It is a wetland </w:t>
            </w:r>
            <w:r w:rsidR="00B94D5D" w:rsidRPr="00435ED5">
              <w:rPr>
                <w:rFonts w:ascii="Arial" w:hAnsi="Arial"/>
                <w:sz w:val="20"/>
              </w:rPr>
              <w:t>that</w:t>
            </w:r>
            <w:r w:rsidRPr="00435ED5">
              <w:rPr>
                <w:rFonts w:ascii="Arial" w:hAnsi="Arial"/>
                <w:sz w:val="20"/>
              </w:rPr>
              <w:t xml:space="preserve"> plays an important ecological or hydrological role in the natural functioning of a major wetland system/complex.</w:t>
            </w:r>
          </w:p>
          <w:p w14:paraId="7E620F9C" w14:textId="77777777" w:rsidR="0053197F" w:rsidRPr="00435ED5" w:rsidRDefault="0053197F" w:rsidP="00435ED5">
            <w:pPr>
              <w:pStyle w:val="bodycopy"/>
              <w:numPr>
                <w:ilvl w:val="0"/>
                <w:numId w:val="92"/>
              </w:numPr>
              <w:spacing w:before="40" w:after="40"/>
              <w:ind w:left="426" w:hanging="426"/>
              <w:rPr>
                <w:rFonts w:ascii="Arial" w:hAnsi="Arial"/>
                <w:sz w:val="20"/>
              </w:rPr>
            </w:pPr>
            <w:r w:rsidRPr="00435ED5">
              <w:rPr>
                <w:rFonts w:ascii="Arial" w:hAnsi="Arial"/>
                <w:sz w:val="20"/>
              </w:rPr>
              <w:t xml:space="preserve">It is a wetland </w:t>
            </w:r>
            <w:r w:rsidR="00B94D5D" w:rsidRPr="00435ED5">
              <w:rPr>
                <w:rFonts w:ascii="Arial" w:hAnsi="Arial"/>
                <w:sz w:val="20"/>
              </w:rPr>
              <w:t>that</w:t>
            </w:r>
            <w:r w:rsidRPr="00435ED5">
              <w:rPr>
                <w:rFonts w:ascii="Arial" w:hAnsi="Arial"/>
                <w:sz w:val="20"/>
              </w:rPr>
              <w:t xml:space="preserve"> is important as the habitat for animal taxa at a vulnerable stage in their life cycles, or provides a refuge when adverse conditions such as drought prevail.</w:t>
            </w:r>
          </w:p>
          <w:p w14:paraId="12FDCE08" w14:textId="77777777" w:rsidR="0053197F" w:rsidRPr="00435ED5" w:rsidRDefault="0053197F" w:rsidP="00435ED5">
            <w:pPr>
              <w:pStyle w:val="bodycopy"/>
              <w:numPr>
                <w:ilvl w:val="0"/>
                <w:numId w:val="92"/>
              </w:numPr>
              <w:spacing w:before="40" w:after="40"/>
              <w:ind w:left="426" w:hanging="426"/>
              <w:rPr>
                <w:rFonts w:ascii="Arial" w:hAnsi="Arial"/>
                <w:sz w:val="20"/>
              </w:rPr>
            </w:pPr>
            <w:r w:rsidRPr="00435ED5">
              <w:rPr>
                <w:rFonts w:ascii="Arial" w:hAnsi="Arial"/>
                <w:sz w:val="20"/>
              </w:rPr>
              <w:t>The wetland supports 1% or more of the national populations of any native plant or animal taxa.</w:t>
            </w:r>
          </w:p>
          <w:p w14:paraId="2DD5D436" w14:textId="77777777" w:rsidR="0053197F" w:rsidRPr="00435ED5" w:rsidRDefault="0053197F" w:rsidP="00435ED5">
            <w:pPr>
              <w:pStyle w:val="bodycopy"/>
              <w:numPr>
                <w:ilvl w:val="0"/>
                <w:numId w:val="92"/>
              </w:numPr>
              <w:spacing w:before="40" w:after="40"/>
              <w:ind w:left="426" w:hanging="426"/>
              <w:rPr>
                <w:rFonts w:ascii="Arial" w:hAnsi="Arial"/>
                <w:sz w:val="20"/>
              </w:rPr>
            </w:pPr>
            <w:r w:rsidRPr="00435ED5">
              <w:rPr>
                <w:rFonts w:ascii="Arial" w:hAnsi="Arial"/>
                <w:sz w:val="20"/>
              </w:rPr>
              <w:t xml:space="preserve">The wetland supports native plant or animal taxa or communities </w:t>
            </w:r>
            <w:r w:rsidR="00B94D5D" w:rsidRPr="00435ED5">
              <w:rPr>
                <w:rFonts w:ascii="Arial" w:hAnsi="Arial"/>
                <w:sz w:val="20"/>
              </w:rPr>
              <w:t>that</w:t>
            </w:r>
            <w:r w:rsidRPr="00435ED5">
              <w:rPr>
                <w:rFonts w:ascii="Arial" w:hAnsi="Arial"/>
                <w:sz w:val="20"/>
              </w:rPr>
              <w:t xml:space="preserve"> are considered endangered or vulnerable at the national level.</w:t>
            </w:r>
          </w:p>
          <w:p w14:paraId="7F3AE425" w14:textId="77777777" w:rsidR="0053197F" w:rsidRPr="00435ED5" w:rsidRDefault="0053197F" w:rsidP="00435ED5">
            <w:pPr>
              <w:pStyle w:val="bodycopy"/>
              <w:numPr>
                <w:ilvl w:val="0"/>
                <w:numId w:val="92"/>
              </w:numPr>
              <w:spacing w:before="40" w:after="40"/>
              <w:ind w:left="426" w:hanging="426"/>
              <w:rPr>
                <w:rFonts w:ascii="Arial" w:hAnsi="Arial"/>
                <w:sz w:val="20"/>
              </w:rPr>
            </w:pPr>
            <w:r w:rsidRPr="00435ED5">
              <w:rPr>
                <w:rFonts w:ascii="Arial" w:hAnsi="Arial"/>
                <w:sz w:val="20"/>
              </w:rPr>
              <w:t>The wetland is of outstanding historical or cultural significance.</w:t>
            </w:r>
          </w:p>
        </w:tc>
      </w:tr>
    </w:tbl>
    <w:p w14:paraId="2C181A12" w14:textId="245A1809" w:rsidR="0053197F" w:rsidRDefault="00DE30F9" w:rsidP="001E35E7">
      <w:pPr>
        <w:pStyle w:val="bodycopy"/>
        <w:rPr>
          <w:i/>
          <w:sz w:val="16"/>
          <w:szCs w:val="16"/>
        </w:rPr>
      </w:pPr>
      <w:r w:rsidRPr="00DE30F9">
        <w:rPr>
          <w:i/>
          <w:sz w:val="16"/>
          <w:szCs w:val="16"/>
        </w:rPr>
        <w:t>Source: DoEE</w:t>
      </w:r>
      <w:r w:rsidR="00225481">
        <w:rPr>
          <w:i/>
          <w:sz w:val="16"/>
          <w:szCs w:val="16"/>
        </w:rPr>
        <w:t xml:space="preserve"> (</w:t>
      </w:r>
      <w:r w:rsidRPr="00DE30F9">
        <w:rPr>
          <w:i/>
          <w:sz w:val="16"/>
          <w:szCs w:val="16"/>
        </w:rPr>
        <w:t>2017</w:t>
      </w:r>
      <w:r w:rsidR="0061115A">
        <w:rPr>
          <w:i/>
          <w:sz w:val="16"/>
          <w:szCs w:val="16"/>
        </w:rPr>
        <w:t>g</w:t>
      </w:r>
      <w:r w:rsidR="00225481">
        <w:rPr>
          <w:i/>
          <w:sz w:val="16"/>
          <w:szCs w:val="16"/>
        </w:rPr>
        <w:t>)</w:t>
      </w:r>
      <w:r w:rsidRPr="00DE30F9">
        <w:rPr>
          <w:i/>
          <w:sz w:val="16"/>
          <w:szCs w:val="16"/>
        </w:rPr>
        <w:t>.</w:t>
      </w:r>
    </w:p>
    <w:p w14:paraId="33ACEFEB" w14:textId="77777777" w:rsidR="00DE30F9" w:rsidRDefault="00DE30F9" w:rsidP="001E35E7">
      <w:pPr>
        <w:pStyle w:val="bodycopy"/>
        <w:rPr>
          <w:i/>
          <w:sz w:val="16"/>
          <w:szCs w:val="16"/>
        </w:rPr>
      </w:pPr>
    </w:p>
    <w:p w14:paraId="0C7CD9E0" w14:textId="77777777" w:rsidR="00DE30F9" w:rsidRPr="00DE30F9" w:rsidRDefault="00DE30F9" w:rsidP="001E35E7">
      <w:pPr>
        <w:pStyle w:val="bodycopy"/>
        <w:rPr>
          <w:i/>
          <w:sz w:val="16"/>
          <w:szCs w:val="16"/>
        </w:rPr>
        <w:sectPr w:rsidR="00DE30F9" w:rsidRPr="00DE30F9" w:rsidSect="005127F3">
          <w:headerReference w:type="even" r:id="rId86"/>
          <w:headerReference w:type="default" r:id="rId87"/>
          <w:footerReference w:type="default" r:id="rId88"/>
          <w:headerReference w:type="first" r:id="rId89"/>
          <w:pgSz w:w="16838" w:h="11906" w:orient="landscape" w:code="9"/>
          <w:pgMar w:top="1183" w:right="1930" w:bottom="1800" w:left="1440" w:header="994" w:footer="706" w:gutter="0"/>
          <w:cols w:space="708"/>
          <w:docGrid w:linePitch="360"/>
        </w:sectPr>
      </w:pPr>
    </w:p>
    <w:p w14:paraId="38B4845D" w14:textId="77777777" w:rsidR="00F92BED" w:rsidRPr="00F71A07" w:rsidRDefault="00EE55B5" w:rsidP="00657154">
      <w:pPr>
        <w:pStyle w:val="Heading3"/>
      </w:pPr>
      <w:bookmarkStart w:id="200" w:name="_Toc474221998"/>
      <w:bookmarkStart w:id="201" w:name="_Ref475092620"/>
      <w:bookmarkStart w:id="202" w:name="_Ref475092994"/>
      <w:bookmarkStart w:id="203" w:name="_Ref475095262"/>
      <w:bookmarkStart w:id="204" w:name="_Ref475095623"/>
      <w:bookmarkStart w:id="205" w:name="_Ref349214289"/>
      <w:bookmarkStart w:id="206" w:name="_Ref349218386"/>
      <w:bookmarkStart w:id="207" w:name="_Ref476563689"/>
      <w:bookmarkStart w:id="208" w:name="_Ref476570336"/>
      <w:bookmarkStart w:id="209" w:name="_Ref352845755"/>
      <w:bookmarkStart w:id="210" w:name="_Toc375214549"/>
      <w:r>
        <w:lastRenderedPageBreak/>
        <w:t xml:space="preserve">Victorian Marine </w:t>
      </w:r>
      <w:r w:rsidR="00177F58">
        <w:t>Protected Areas</w:t>
      </w:r>
      <w:bookmarkEnd w:id="200"/>
      <w:bookmarkEnd w:id="201"/>
      <w:bookmarkEnd w:id="202"/>
      <w:bookmarkEnd w:id="203"/>
      <w:bookmarkEnd w:id="204"/>
      <w:bookmarkEnd w:id="205"/>
      <w:bookmarkEnd w:id="206"/>
      <w:bookmarkEnd w:id="207"/>
      <w:bookmarkEnd w:id="208"/>
      <w:bookmarkEnd w:id="209"/>
      <w:bookmarkEnd w:id="210"/>
    </w:p>
    <w:p w14:paraId="0046A4AD" w14:textId="77777777" w:rsidR="003569D9" w:rsidRPr="00435ED5" w:rsidRDefault="00F54B8A" w:rsidP="00EE55B5">
      <w:pPr>
        <w:pStyle w:val="bodycopy"/>
        <w:rPr>
          <w:rFonts w:ascii="Arial" w:hAnsi="Arial"/>
          <w:sz w:val="22"/>
          <w:szCs w:val="22"/>
        </w:rPr>
      </w:pPr>
      <w:r w:rsidRPr="00435ED5">
        <w:rPr>
          <w:rFonts w:ascii="Arial" w:hAnsi="Arial"/>
          <w:sz w:val="22"/>
          <w:szCs w:val="22"/>
        </w:rPr>
        <w:t>Victoria has 24 marine national parks and sanctuaries</w:t>
      </w:r>
      <w:r w:rsidR="00177F58" w:rsidRPr="00435ED5">
        <w:rPr>
          <w:rFonts w:ascii="Arial" w:hAnsi="Arial"/>
          <w:sz w:val="22"/>
          <w:szCs w:val="22"/>
        </w:rPr>
        <w:t xml:space="preserve"> that were established, are protected and managed under the </w:t>
      </w:r>
      <w:r w:rsidR="00177F58" w:rsidRPr="00435ED5">
        <w:rPr>
          <w:rFonts w:ascii="Arial" w:hAnsi="Arial"/>
          <w:i/>
          <w:sz w:val="22"/>
          <w:szCs w:val="22"/>
        </w:rPr>
        <w:t xml:space="preserve">National Parks Act 1982 </w:t>
      </w:r>
      <w:r w:rsidR="00177F58" w:rsidRPr="00435ED5">
        <w:rPr>
          <w:rFonts w:ascii="Arial" w:hAnsi="Arial"/>
          <w:sz w:val="22"/>
          <w:szCs w:val="22"/>
        </w:rPr>
        <w:t>(Vic)</w:t>
      </w:r>
      <w:r w:rsidR="00064C04" w:rsidRPr="00435ED5">
        <w:rPr>
          <w:rFonts w:ascii="Arial" w:hAnsi="Arial"/>
          <w:sz w:val="22"/>
          <w:szCs w:val="22"/>
        </w:rPr>
        <w:t xml:space="preserve"> by Parks Victoria</w:t>
      </w:r>
      <w:r w:rsidRPr="00435ED5">
        <w:rPr>
          <w:rFonts w:ascii="Arial" w:hAnsi="Arial"/>
          <w:sz w:val="22"/>
          <w:szCs w:val="22"/>
        </w:rPr>
        <w:t xml:space="preserve">. </w:t>
      </w:r>
    </w:p>
    <w:p w14:paraId="31283FDD" w14:textId="1779AC3D" w:rsidR="00EE55B5" w:rsidRPr="003A03BA" w:rsidRDefault="003569D9" w:rsidP="00EE55B5">
      <w:pPr>
        <w:pStyle w:val="bodycopy"/>
        <w:rPr>
          <w:rFonts w:ascii="Arial" w:hAnsi="Arial"/>
          <w:sz w:val="22"/>
          <w:szCs w:val="22"/>
        </w:rPr>
      </w:pPr>
      <w:r w:rsidRPr="00435ED5">
        <w:rPr>
          <w:rFonts w:ascii="Arial" w:hAnsi="Arial"/>
          <w:sz w:val="22"/>
          <w:szCs w:val="22"/>
        </w:rPr>
        <w:t>The</w:t>
      </w:r>
      <w:r w:rsidR="00AD08AE">
        <w:rPr>
          <w:rFonts w:ascii="Arial" w:hAnsi="Arial"/>
          <w:sz w:val="22"/>
          <w:szCs w:val="22"/>
        </w:rPr>
        <w:t xml:space="preserve"> </w:t>
      </w:r>
      <w:r w:rsidRPr="00435ED5">
        <w:rPr>
          <w:rFonts w:ascii="Arial" w:hAnsi="Arial"/>
          <w:sz w:val="22"/>
          <w:szCs w:val="22"/>
        </w:rPr>
        <w:t>five marine</w:t>
      </w:r>
      <w:r w:rsidR="00EE55B5" w:rsidRPr="00435ED5">
        <w:rPr>
          <w:rFonts w:ascii="Arial" w:hAnsi="Arial"/>
          <w:sz w:val="22"/>
          <w:szCs w:val="22"/>
        </w:rPr>
        <w:t xml:space="preserve"> protected areas located in the EMBA are </w:t>
      </w:r>
      <w:r w:rsidR="00FE7769" w:rsidRPr="00435ED5">
        <w:rPr>
          <w:rFonts w:ascii="Arial" w:hAnsi="Arial"/>
          <w:sz w:val="22"/>
          <w:szCs w:val="22"/>
        </w:rPr>
        <w:t xml:space="preserve">shown </w:t>
      </w:r>
      <w:r w:rsidR="00FE7769" w:rsidRPr="003A23B8">
        <w:rPr>
          <w:rFonts w:ascii="Arial" w:hAnsi="Arial"/>
          <w:sz w:val="22"/>
          <w:szCs w:val="22"/>
        </w:rPr>
        <w:t xml:space="preserve">in </w:t>
      </w:r>
      <w:r w:rsidR="00FE7769" w:rsidRPr="003A03BA">
        <w:rPr>
          <w:rFonts w:ascii="Arial" w:hAnsi="Arial"/>
          <w:sz w:val="22"/>
          <w:szCs w:val="22"/>
        </w:rPr>
        <w:t>Figure 5.1</w:t>
      </w:r>
      <w:r w:rsidR="00B521E4" w:rsidRPr="003A03BA">
        <w:rPr>
          <w:rFonts w:ascii="Arial" w:hAnsi="Arial"/>
          <w:sz w:val="22"/>
          <w:szCs w:val="22"/>
        </w:rPr>
        <w:t>1</w:t>
      </w:r>
      <w:r w:rsidR="00FE7769" w:rsidRPr="003A03BA">
        <w:rPr>
          <w:rFonts w:ascii="Arial" w:hAnsi="Arial"/>
          <w:sz w:val="22"/>
          <w:szCs w:val="22"/>
        </w:rPr>
        <w:t xml:space="preserve"> and </w:t>
      </w:r>
      <w:r w:rsidR="00EE55B5" w:rsidRPr="003A03BA">
        <w:rPr>
          <w:rFonts w:ascii="Arial" w:hAnsi="Arial"/>
          <w:sz w:val="22"/>
          <w:szCs w:val="22"/>
        </w:rPr>
        <w:t>described in Table 5.</w:t>
      </w:r>
      <w:r w:rsidR="00B521E4" w:rsidRPr="003A03BA">
        <w:rPr>
          <w:rFonts w:ascii="Arial" w:hAnsi="Arial"/>
          <w:sz w:val="22"/>
          <w:szCs w:val="22"/>
        </w:rPr>
        <w:t>5</w:t>
      </w:r>
      <w:r w:rsidR="00EE55B5" w:rsidRPr="003A03BA">
        <w:rPr>
          <w:rFonts w:ascii="Arial" w:hAnsi="Arial"/>
          <w:sz w:val="22"/>
          <w:szCs w:val="22"/>
        </w:rPr>
        <w:t xml:space="preserve">, moving west to east along the coast. </w:t>
      </w:r>
    </w:p>
    <w:p w14:paraId="5379816B" w14:textId="5148E00A" w:rsidR="00BE1B7D" w:rsidRPr="00435ED5" w:rsidRDefault="00BE1B7D" w:rsidP="00EE55B5">
      <w:pPr>
        <w:pStyle w:val="bodycopy"/>
        <w:rPr>
          <w:rFonts w:ascii="Arial" w:hAnsi="Arial"/>
          <w:sz w:val="22"/>
          <w:szCs w:val="22"/>
        </w:rPr>
      </w:pPr>
      <w:r>
        <w:rPr>
          <w:rFonts w:ascii="Arial" w:hAnsi="Arial"/>
          <w:sz w:val="22"/>
          <w:szCs w:val="22"/>
        </w:rPr>
        <w:t xml:space="preserve">There are no marine parks in the NSW coastal waters of the EMBA. </w:t>
      </w:r>
    </w:p>
    <w:p w14:paraId="7026D1E8" w14:textId="2E5DDC74" w:rsidR="00FE7769" w:rsidRDefault="00FE7769" w:rsidP="00AF1C70">
      <w:pPr>
        <w:pStyle w:val="Heading3"/>
      </w:pPr>
      <w:bookmarkStart w:id="211" w:name="_Toc474221999"/>
      <w:bookmarkStart w:id="212" w:name="_Ref475092650"/>
      <w:bookmarkStart w:id="213" w:name="_Ref475092998"/>
      <w:bookmarkStart w:id="214" w:name="_Ref475095276"/>
      <w:bookmarkStart w:id="215" w:name="_Ref349218439"/>
      <w:bookmarkStart w:id="216" w:name="_Ref476570343"/>
      <w:bookmarkStart w:id="217" w:name="_Toc375214550"/>
      <w:r>
        <w:t>Onshore Protected Areas</w:t>
      </w:r>
      <w:bookmarkEnd w:id="211"/>
      <w:bookmarkEnd w:id="212"/>
      <w:bookmarkEnd w:id="213"/>
      <w:bookmarkEnd w:id="214"/>
      <w:bookmarkEnd w:id="215"/>
      <w:bookmarkEnd w:id="216"/>
      <w:bookmarkEnd w:id="217"/>
    </w:p>
    <w:p w14:paraId="102AE323" w14:textId="58585D33" w:rsidR="00BE1B7D" w:rsidRPr="00BE1B7D" w:rsidRDefault="00BE1B7D" w:rsidP="00FE7769">
      <w:pPr>
        <w:pStyle w:val="bodycopy"/>
        <w:rPr>
          <w:rFonts w:ascii="Arial" w:hAnsi="Arial"/>
          <w:b/>
          <w:sz w:val="22"/>
          <w:szCs w:val="22"/>
        </w:rPr>
      </w:pPr>
      <w:r w:rsidRPr="00BE1B7D">
        <w:rPr>
          <w:rFonts w:ascii="Arial" w:hAnsi="Arial"/>
          <w:b/>
          <w:sz w:val="22"/>
          <w:szCs w:val="22"/>
        </w:rPr>
        <w:t>Victoria</w:t>
      </w:r>
    </w:p>
    <w:p w14:paraId="1C4FAA98" w14:textId="77777777" w:rsidR="003569D9" w:rsidRDefault="00064C04" w:rsidP="00FE7769">
      <w:pPr>
        <w:pStyle w:val="bodycopy"/>
        <w:rPr>
          <w:rFonts w:ascii="Arial" w:hAnsi="Arial"/>
          <w:sz w:val="22"/>
          <w:szCs w:val="22"/>
        </w:rPr>
      </w:pPr>
      <w:r w:rsidRPr="00435ED5">
        <w:rPr>
          <w:rFonts w:ascii="Arial" w:hAnsi="Arial"/>
          <w:sz w:val="22"/>
          <w:szCs w:val="22"/>
        </w:rPr>
        <w:t xml:space="preserve">Victoria has </w:t>
      </w:r>
      <w:r w:rsidR="003569D9" w:rsidRPr="00435ED5">
        <w:rPr>
          <w:rFonts w:ascii="Arial" w:hAnsi="Arial"/>
          <w:sz w:val="22"/>
          <w:szCs w:val="22"/>
        </w:rPr>
        <w:t>45</w:t>
      </w:r>
      <w:r w:rsidRPr="00435ED5">
        <w:rPr>
          <w:rFonts w:ascii="Arial" w:hAnsi="Arial"/>
          <w:sz w:val="22"/>
          <w:szCs w:val="22"/>
        </w:rPr>
        <w:t xml:space="preserve"> national </w:t>
      </w:r>
      <w:r w:rsidR="003569D9" w:rsidRPr="00435ED5">
        <w:rPr>
          <w:rFonts w:ascii="Arial" w:hAnsi="Arial"/>
          <w:sz w:val="22"/>
          <w:szCs w:val="22"/>
        </w:rPr>
        <w:t xml:space="preserve">parks and 26 </w:t>
      </w:r>
      <w:r w:rsidRPr="00435ED5">
        <w:rPr>
          <w:rFonts w:ascii="Arial" w:hAnsi="Arial"/>
          <w:sz w:val="22"/>
          <w:szCs w:val="22"/>
        </w:rPr>
        <w:t xml:space="preserve">state parks that were established, are protected and managed under the </w:t>
      </w:r>
      <w:r w:rsidRPr="00435ED5">
        <w:rPr>
          <w:rFonts w:ascii="Arial" w:hAnsi="Arial"/>
          <w:i/>
          <w:sz w:val="22"/>
          <w:szCs w:val="22"/>
        </w:rPr>
        <w:t xml:space="preserve">National Parks Act 1982 </w:t>
      </w:r>
      <w:r w:rsidRPr="00435ED5">
        <w:rPr>
          <w:rFonts w:ascii="Arial" w:hAnsi="Arial"/>
          <w:sz w:val="22"/>
          <w:szCs w:val="22"/>
        </w:rPr>
        <w:t>(Vic)</w:t>
      </w:r>
      <w:r w:rsidR="003569D9" w:rsidRPr="00435ED5">
        <w:rPr>
          <w:rFonts w:ascii="Arial" w:hAnsi="Arial"/>
          <w:sz w:val="22"/>
          <w:szCs w:val="22"/>
        </w:rPr>
        <w:t>,</w:t>
      </w:r>
      <w:r w:rsidRPr="00435ED5">
        <w:rPr>
          <w:rFonts w:ascii="Arial" w:hAnsi="Arial"/>
          <w:sz w:val="22"/>
          <w:szCs w:val="22"/>
        </w:rPr>
        <w:t xml:space="preserve"> </w:t>
      </w:r>
      <w:r w:rsidR="003569D9" w:rsidRPr="00435ED5">
        <w:rPr>
          <w:rFonts w:ascii="Arial" w:hAnsi="Arial"/>
          <w:i/>
          <w:sz w:val="22"/>
          <w:szCs w:val="22"/>
        </w:rPr>
        <w:t>Crown Lands (Reserves) Act</w:t>
      </w:r>
      <w:r w:rsidR="003569D9" w:rsidRPr="00435ED5">
        <w:rPr>
          <w:rFonts w:ascii="Arial" w:hAnsi="Arial"/>
          <w:sz w:val="22"/>
          <w:szCs w:val="22"/>
        </w:rPr>
        <w:t xml:space="preserve"> 1978 (Vic) and </w:t>
      </w:r>
      <w:r w:rsidR="003569D9" w:rsidRPr="00435ED5">
        <w:rPr>
          <w:rFonts w:ascii="Arial" w:hAnsi="Arial"/>
          <w:i/>
          <w:sz w:val="22"/>
          <w:szCs w:val="22"/>
        </w:rPr>
        <w:t>Parks Victoria Act 1998</w:t>
      </w:r>
      <w:r w:rsidR="003569D9" w:rsidRPr="00435ED5">
        <w:rPr>
          <w:rFonts w:ascii="Arial" w:hAnsi="Arial"/>
          <w:sz w:val="22"/>
          <w:szCs w:val="22"/>
        </w:rPr>
        <w:t xml:space="preserve"> (Vic) </w:t>
      </w:r>
      <w:r w:rsidRPr="00435ED5">
        <w:rPr>
          <w:rFonts w:ascii="Arial" w:hAnsi="Arial"/>
          <w:sz w:val="22"/>
          <w:szCs w:val="22"/>
        </w:rPr>
        <w:t xml:space="preserve">by Parks Victoria. </w:t>
      </w:r>
    </w:p>
    <w:p w14:paraId="44D98256" w14:textId="31D1574F" w:rsidR="00BE1B7D" w:rsidRPr="003A23B8" w:rsidRDefault="00BE1B7D" w:rsidP="00FE7769">
      <w:pPr>
        <w:pStyle w:val="bodycopy"/>
        <w:rPr>
          <w:rFonts w:ascii="Arial" w:hAnsi="Arial"/>
          <w:sz w:val="22"/>
          <w:szCs w:val="22"/>
        </w:rPr>
      </w:pPr>
      <w:r w:rsidRPr="00435ED5">
        <w:rPr>
          <w:rFonts w:ascii="Arial" w:hAnsi="Arial"/>
          <w:sz w:val="22"/>
          <w:szCs w:val="22"/>
        </w:rPr>
        <w:t xml:space="preserve">There are </w:t>
      </w:r>
      <w:r w:rsidRPr="00E4443B">
        <w:rPr>
          <w:rFonts w:ascii="Arial" w:hAnsi="Arial"/>
          <w:sz w:val="22"/>
          <w:szCs w:val="22"/>
        </w:rPr>
        <w:t>seven</w:t>
      </w:r>
      <w:r w:rsidRPr="00435ED5">
        <w:rPr>
          <w:rFonts w:ascii="Arial" w:hAnsi="Arial"/>
          <w:sz w:val="22"/>
          <w:szCs w:val="22"/>
        </w:rPr>
        <w:t xml:space="preserve"> onshore protected areas located in the </w:t>
      </w:r>
      <w:r w:rsidR="00C00849">
        <w:rPr>
          <w:rFonts w:ascii="Arial" w:hAnsi="Arial"/>
          <w:sz w:val="22"/>
          <w:szCs w:val="22"/>
        </w:rPr>
        <w:t xml:space="preserve">Victorian portion of the </w:t>
      </w:r>
      <w:r w:rsidRPr="00435ED5">
        <w:rPr>
          <w:rFonts w:ascii="Arial" w:hAnsi="Arial"/>
          <w:sz w:val="22"/>
          <w:szCs w:val="22"/>
        </w:rPr>
        <w:t>EMBA</w:t>
      </w:r>
      <w:r>
        <w:rPr>
          <w:rFonts w:ascii="Arial" w:hAnsi="Arial"/>
          <w:sz w:val="22"/>
          <w:szCs w:val="22"/>
        </w:rPr>
        <w:t xml:space="preserve">, which are </w:t>
      </w:r>
      <w:r w:rsidRPr="00435ED5">
        <w:rPr>
          <w:rFonts w:ascii="Arial" w:hAnsi="Arial"/>
          <w:sz w:val="22"/>
          <w:szCs w:val="22"/>
        </w:rPr>
        <w:t xml:space="preserve">shown </w:t>
      </w:r>
      <w:r w:rsidRPr="003A03BA">
        <w:rPr>
          <w:rFonts w:ascii="Arial" w:hAnsi="Arial"/>
          <w:sz w:val="22"/>
          <w:szCs w:val="22"/>
        </w:rPr>
        <w:t>in Figure 5.1</w:t>
      </w:r>
      <w:r w:rsidR="00B521E4" w:rsidRPr="003A03BA">
        <w:rPr>
          <w:rFonts w:ascii="Arial" w:hAnsi="Arial"/>
          <w:sz w:val="22"/>
          <w:szCs w:val="22"/>
        </w:rPr>
        <w:t>1</w:t>
      </w:r>
      <w:r w:rsidRPr="003A03BA">
        <w:rPr>
          <w:rFonts w:ascii="Arial" w:hAnsi="Arial"/>
          <w:sz w:val="22"/>
          <w:szCs w:val="22"/>
        </w:rPr>
        <w:t>. These are described in Table 5.</w:t>
      </w:r>
      <w:r w:rsidR="00B521E4" w:rsidRPr="003A03BA">
        <w:rPr>
          <w:rFonts w:ascii="Arial" w:hAnsi="Arial"/>
          <w:sz w:val="22"/>
          <w:szCs w:val="22"/>
        </w:rPr>
        <w:t>6</w:t>
      </w:r>
      <w:r w:rsidRPr="003A03BA">
        <w:rPr>
          <w:rFonts w:ascii="Arial" w:hAnsi="Arial"/>
          <w:sz w:val="22"/>
          <w:szCs w:val="22"/>
        </w:rPr>
        <w:t>, moving</w:t>
      </w:r>
      <w:r w:rsidRPr="003A23B8">
        <w:rPr>
          <w:rFonts w:ascii="Arial" w:hAnsi="Arial"/>
          <w:sz w:val="22"/>
          <w:szCs w:val="22"/>
        </w:rPr>
        <w:t xml:space="preserve"> west to east along the coast. They are briefly described here because their boundaries extend to the low water mark of the coastline. </w:t>
      </w:r>
    </w:p>
    <w:p w14:paraId="50FC632A" w14:textId="7D7522D6" w:rsidR="00BE1B7D" w:rsidRPr="003A23B8" w:rsidRDefault="00BE1B7D" w:rsidP="00FE7769">
      <w:pPr>
        <w:pStyle w:val="bodycopy"/>
        <w:rPr>
          <w:rFonts w:ascii="Arial" w:hAnsi="Arial"/>
          <w:b/>
          <w:sz w:val="22"/>
          <w:szCs w:val="22"/>
        </w:rPr>
      </w:pPr>
      <w:r w:rsidRPr="003A23B8">
        <w:rPr>
          <w:rFonts w:ascii="Arial" w:hAnsi="Arial"/>
          <w:b/>
          <w:sz w:val="22"/>
          <w:szCs w:val="22"/>
        </w:rPr>
        <w:t>NSW</w:t>
      </w:r>
    </w:p>
    <w:p w14:paraId="37503FB1" w14:textId="470F3F8D" w:rsidR="00FE7769" w:rsidRDefault="00476844" w:rsidP="00FE7769">
      <w:pPr>
        <w:pStyle w:val="bodycopy"/>
        <w:rPr>
          <w:rFonts w:ascii="Arial" w:hAnsi="Arial"/>
          <w:sz w:val="22"/>
          <w:szCs w:val="22"/>
        </w:rPr>
      </w:pPr>
      <w:r w:rsidRPr="003A23B8">
        <w:rPr>
          <w:rFonts w:ascii="Arial" w:hAnsi="Arial"/>
          <w:sz w:val="22"/>
          <w:szCs w:val="22"/>
        </w:rPr>
        <w:t xml:space="preserve">The diesel spill EMBA extends into the southern coast of New South Wales (NSW), and is predicted to make isolated contact with the shoreline of the Ben Boyd National Park and Nadgee Nature Reserve, shown </w:t>
      </w:r>
      <w:r w:rsidRPr="003A03BA">
        <w:rPr>
          <w:rFonts w:ascii="Arial" w:hAnsi="Arial"/>
          <w:sz w:val="22"/>
          <w:szCs w:val="22"/>
        </w:rPr>
        <w:t>in Figure 5.1</w:t>
      </w:r>
      <w:r w:rsidR="00B521E4" w:rsidRPr="003A03BA">
        <w:rPr>
          <w:rFonts w:ascii="Arial" w:hAnsi="Arial"/>
          <w:sz w:val="22"/>
          <w:szCs w:val="22"/>
        </w:rPr>
        <w:t>1</w:t>
      </w:r>
      <w:r w:rsidRPr="003A03BA">
        <w:rPr>
          <w:rFonts w:ascii="Arial" w:hAnsi="Arial"/>
          <w:sz w:val="22"/>
          <w:szCs w:val="22"/>
        </w:rPr>
        <w:t xml:space="preserve"> and described in Table 5.</w:t>
      </w:r>
      <w:r w:rsidR="00B521E4" w:rsidRPr="003A03BA">
        <w:rPr>
          <w:rFonts w:ascii="Arial" w:hAnsi="Arial"/>
          <w:sz w:val="22"/>
          <w:szCs w:val="22"/>
        </w:rPr>
        <w:t>6</w:t>
      </w:r>
      <w:r w:rsidRPr="003A03BA">
        <w:rPr>
          <w:rFonts w:ascii="Arial" w:hAnsi="Arial"/>
          <w:sz w:val="22"/>
          <w:szCs w:val="22"/>
        </w:rPr>
        <w:t xml:space="preserve">. </w:t>
      </w:r>
      <w:r w:rsidR="00FE7769" w:rsidRPr="003A03BA">
        <w:rPr>
          <w:rFonts w:ascii="Arial" w:hAnsi="Arial"/>
          <w:sz w:val="22"/>
          <w:szCs w:val="22"/>
        </w:rPr>
        <w:t>The</w:t>
      </w:r>
      <w:r w:rsidR="00C00849" w:rsidRPr="003A03BA">
        <w:rPr>
          <w:rFonts w:ascii="Arial" w:hAnsi="Arial"/>
          <w:sz w:val="22"/>
          <w:szCs w:val="22"/>
        </w:rPr>
        <w:t xml:space="preserve">se parks </w:t>
      </w:r>
      <w:r w:rsidR="00FE7769" w:rsidRPr="003A03BA">
        <w:rPr>
          <w:rFonts w:ascii="Arial" w:hAnsi="Arial"/>
          <w:sz w:val="22"/>
          <w:szCs w:val="22"/>
        </w:rPr>
        <w:t xml:space="preserve">are briefly described here because their boundaries </w:t>
      </w:r>
      <w:r w:rsidR="00064C04" w:rsidRPr="003A03BA">
        <w:rPr>
          <w:rFonts w:ascii="Arial" w:hAnsi="Arial"/>
          <w:sz w:val="22"/>
          <w:szCs w:val="22"/>
        </w:rPr>
        <w:t>extend to the low</w:t>
      </w:r>
      <w:r w:rsidR="00064C04" w:rsidRPr="00435ED5">
        <w:rPr>
          <w:rFonts w:ascii="Arial" w:hAnsi="Arial"/>
          <w:sz w:val="22"/>
          <w:szCs w:val="22"/>
        </w:rPr>
        <w:t xml:space="preserve"> water mark of the coastline. </w:t>
      </w:r>
      <w:r w:rsidR="000042F9">
        <w:rPr>
          <w:rFonts w:ascii="Arial" w:hAnsi="Arial"/>
          <w:sz w:val="22"/>
          <w:szCs w:val="22"/>
        </w:rPr>
        <w:t xml:space="preserve">The EMBA intersects: </w:t>
      </w:r>
    </w:p>
    <w:p w14:paraId="2099690D" w14:textId="7BEF15A7" w:rsidR="000042F9" w:rsidRDefault="000042F9" w:rsidP="000042F9">
      <w:pPr>
        <w:pStyle w:val="bodycopy"/>
        <w:numPr>
          <w:ilvl w:val="0"/>
          <w:numId w:val="413"/>
        </w:numPr>
        <w:rPr>
          <w:rFonts w:ascii="Arial" w:hAnsi="Arial"/>
          <w:sz w:val="22"/>
          <w:szCs w:val="22"/>
        </w:rPr>
      </w:pPr>
      <w:r>
        <w:rPr>
          <w:rFonts w:ascii="Arial" w:hAnsi="Arial"/>
          <w:sz w:val="22"/>
          <w:szCs w:val="22"/>
        </w:rPr>
        <w:t xml:space="preserve">Nadgee Nature Reserve – southern most </w:t>
      </w:r>
      <w:r w:rsidR="00C00849">
        <w:rPr>
          <w:rFonts w:ascii="Arial" w:hAnsi="Arial"/>
          <w:sz w:val="22"/>
          <w:szCs w:val="22"/>
        </w:rPr>
        <w:t>part</w:t>
      </w:r>
      <w:r w:rsidR="00476844">
        <w:rPr>
          <w:rFonts w:ascii="Arial" w:hAnsi="Arial"/>
          <w:sz w:val="22"/>
          <w:szCs w:val="22"/>
        </w:rPr>
        <w:t xml:space="preserve"> near the Victorian border, with the coastline dominated by rocky cliffs and platforms with isolated sandy beaches</w:t>
      </w:r>
      <w:r>
        <w:rPr>
          <w:rFonts w:ascii="Arial" w:hAnsi="Arial"/>
          <w:sz w:val="22"/>
          <w:szCs w:val="22"/>
        </w:rPr>
        <w:t>.</w:t>
      </w:r>
    </w:p>
    <w:p w14:paraId="0288A662" w14:textId="45C88FF6" w:rsidR="000042F9" w:rsidRDefault="000042F9" w:rsidP="000042F9">
      <w:pPr>
        <w:pStyle w:val="bodycopy"/>
        <w:numPr>
          <w:ilvl w:val="0"/>
          <w:numId w:val="413"/>
        </w:numPr>
        <w:rPr>
          <w:rFonts w:ascii="Arial" w:hAnsi="Arial"/>
          <w:sz w:val="22"/>
          <w:szCs w:val="22"/>
        </w:rPr>
      </w:pPr>
      <w:r>
        <w:rPr>
          <w:rFonts w:ascii="Arial" w:hAnsi="Arial"/>
          <w:sz w:val="22"/>
          <w:szCs w:val="22"/>
        </w:rPr>
        <w:t xml:space="preserve">Ben Boyd National Park – Green Cape (exclusively rocky cliffs and platforms). </w:t>
      </w:r>
    </w:p>
    <w:p w14:paraId="5D5FA496" w14:textId="77777777" w:rsidR="00BE1B7D" w:rsidRPr="00435ED5" w:rsidRDefault="00BE1B7D" w:rsidP="00FE7769">
      <w:pPr>
        <w:pStyle w:val="bodycopy"/>
        <w:rPr>
          <w:rFonts w:ascii="Arial" w:hAnsi="Arial"/>
          <w:sz w:val="22"/>
          <w:szCs w:val="22"/>
        </w:rPr>
      </w:pPr>
    </w:p>
    <w:p w14:paraId="1CA8452A" w14:textId="77777777" w:rsidR="003569D9" w:rsidRDefault="003569D9" w:rsidP="00FE7769">
      <w:pPr>
        <w:pStyle w:val="bodycopy"/>
      </w:pPr>
    </w:p>
    <w:p w14:paraId="29F984D3" w14:textId="77777777" w:rsidR="00FE7769" w:rsidRDefault="00FE7769" w:rsidP="00EE55B5">
      <w:pPr>
        <w:pStyle w:val="bodycopy"/>
        <w:jc w:val="center"/>
        <w:rPr>
          <w:b/>
        </w:rPr>
      </w:pPr>
    </w:p>
    <w:p w14:paraId="6469587C" w14:textId="77777777" w:rsidR="00FE7769" w:rsidRDefault="00FE7769" w:rsidP="00EE55B5">
      <w:pPr>
        <w:pStyle w:val="bodycopy"/>
        <w:jc w:val="center"/>
        <w:rPr>
          <w:b/>
        </w:rPr>
        <w:sectPr w:rsidR="00FE7769" w:rsidSect="00AD08AE">
          <w:headerReference w:type="even" r:id="rId90"/>
          <w:headerReference w:type="default" r:id="rId91"/>
          <w:footerReference w:type="default" r:id="rId92"/>
          <w:headerReference w:type="first" r:id="rId93"/>
          <w:pgSz w:w="11906" w:h="16838" w:code="9"/>
          <w:pgMar w:top="1418" w:right="1800" w:bottom="1440" w:left="1800" w:header="994" w:footer="706" w:gutter="0"/>
          <w:cols w:space="708"/>
          <w:docGrid w:linePitch="360"/>
        </w:sectPr>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732"/>
      </w:tblGrid>
      <w:tr w:rsidR="006044E1" w14:paraId="55DC84FB" w14:textId="77777777" w:rsidTr="00AD08AE">
        <w:trPr>
          <w:jc w:val="center"/>
        </w:trPr>
        <w:tc>
          <w:tcPr>
            <w:tcW w:w="11732" w:type="dxa"/>
            <w:shd w:val="clear" w:color="auto" w:fill="auto"/>
          </w:tcPr>
          <w:p w14:paraId="2890CB85" w14:textId="68F13F8F" w:rsidR="006044E1" w:rsidRDefault="00AD1C4D" w:rsidP="006044E1">
            <w:pPr>
              <w:pStyle w:val="bodycopy"/>
              <w:rPr>
                <w:noProof/>
              </w:rPr>
            </w:pPr>
            <w:r>
              <w:rPr>
                <w:noProof/>
              </w:rPr>
              <w:lastRenderedPageBreak/>
              <w:pict w14:anchorId="08D2E19B">
                <v:shape id="_x0000_i1029" type="#_x0000_t75" style="width:570.15pt;height:397.15pt">
                  <v:imagedata r:id="rId94" o:title="32_EP_Vic_Marine_Protected_Areas" croptop="1570f" cropbottom="1173f" cropleft="1039f" cropright="764f"/>
                </v:shape>
              </w:pict>
            </w:r>
          </w:p>
        </w:tc>
      </w:tr>
    </w:tbl>
    <w:p w14:paraId="30A13474" w14:textId="6E436673" w:rsidR="006044E1" w:rsidRPr="00B471C3" w:rsidRDefault="006044E1" w:rsidP="00AD08AE">
      <w:pPr>
        <w:pStyle w:val="bodycopy"/>
        <w:spacing w:before="120" w:after="0"/>
        <w:jc w:val="center"/>
        <w:rPr>
          <w:rFonts w:ascii="Arial" w:hAnsi="Arial"/>
          <w:b/>
          <w:sz w:val="20"/>
        </w:rPr>
      </w:pPr>
      <w:r w:rsidRPr="00B471C3">
        <w:rPr>
          <w:rFonts w:ascii="Arial" w:hAnsi="Arial"/>
          <w:b/>
          <w:sz w:val="20"/>
        </w:rPr>
        <w:t>Figure 5.1</w:t>
      </w:r>
      <w:r w:rsidR="00B521E4">
        <w:rPr>
          <w:rFonts w:ascii="Arial" w:hAnsi="Arial"/>
          <w:b/>
          <w:sz w:val="20"/>
        </w:rPr>
        <w:t>1</w:t>
      </w:r>
      <w:r w:rsidRPr="00B471C3">
        <w:rPr>
          <w:rFonts w:ascii="Arial" w:hAnsi="Arial"/>
          <w:b/>
          <w:sz w:val="20"/>
        </w:rPr>
        <w:t>.</w:t>
      </w:r>
      <w:r w:rsidRPr="00B471C3">
        <w:rPr>
          <w:rFonts w:ascii="Arial" w:hAnsi="Arial"/>
          <w:b/>
          <w:sz w:val="20"/>
        </w:rPr>
        <w:tab/>
      </w:r>
      <w:r w:rsidR="00AD08AE">
        <w:rPr>
          <w:rFonts w:ascii="Arial" w:hAnsi="Arial"/>
          <w:b/>
          <w:sz w:val="20"/>
        </w:rPr>
        <w:t>State</w:t>
      </w:r>
      <w:r w:rsidRPr="00B471C3">
        <w:rPr>
          <w:rFonts w:ascii="Arial" w:hAnsi="Arial"/>
          <w:b/>
          <w:sz w:val="20"/>
        </w:rPr>
        <w:t xml:space="preserve"> onshore and marine protected areas within the EMBA</w:t>
      </w:r>
    </w:p>
    <w:p w14:paraId="71E80CE2" w14:textId="77777777" w:rsidR="006044E1" w:rsidRDefault="006044E1" w:rsidP="00EE55B5">
      <w:pPr>
        <w:pStyle w:val="bodycopy"/>
        <w:jc w:val="center"/>
        <w:rPr>
          <w:b/>
          <w:sz w:val="18"/>
          <w:szCs w:val="18"/>
        </w:rPr>
      </w:pPr>
    </w:p>
    <w:p w14:paraId="387471FA" w14:textId="2F05D380" w:rsidR="00EE55B5" w:rsidRPr="00AD08AE" w:rsidRDefault="00EE55B5" w:rsidP="00EE55B5">
      <w:pPr>
        <w:pStyle w:val="bodycopy"/>
        <w:jc w:val="center"/>
        <w:rPr>
          <w:rFonts w:ascii="Arial" w:hAnsi="Arial"/>
          <w:b/>
          <w:sz w:val="20"/>
        </w:rPr>
      </w:pPr>
      <w:r w:rsidRPr="00AD08AE">
        <w:rPr>
          <w:rFonts w:ascii="Arial" w:hAnsi="Arial"/>
          <w:b/>
          <w:sz w:val="20"/>
        </w:rPr>
        <w:lastRenderedPageBreak/>
        <w:t>Table 5.</w:t>
      </w:r>
      <w:r w:rsidR="00B521E4">
        <w:rPr>
          <w:rFonts w:ascii="Arial" w:hAnsi="Arial"/>
          <w:b/>
          <w:sz w:val="20"/>
        </w:rPr>
        <w:t>5</w:t>
      </w:r>
      <w:r w:rsidRPr="00AD08AE">
        <w:rPr>
          <w:rFonts w:ascii="Arial" w:hAnsi="Arial"/>
          <w:b/>
          <w:sz w:val="20"/>
        </w:rPr>
        <w:t>.</w:t>
      </w:r>
      <w:r w:rsidRPr="00AD08AE">
        <w:rPr>
          <w:rFonts w:ascii="Arial" w:hAnsi="Arial"/>
          <w:b/>
          <w:sz w:val="20"/>
        </w:rPr>
        <w:tab/>
      </w:r>
      <w:r w:rsidR="003569D9" w:rsidRPr="00AD08AE">
        <w:rPr>
          <w:rFonts w:ascii="Arial" w:hAnsi="Arial"/>
          <w:b/>
          <w:sz w:val="20"/>
        </w:rPr>
        <w:t>Victorian marine</w:t>
      </w:r>
      <w:r w:rsidRPr="00AD08AE">
        <w:rPr>
          <w:rFonts w:ascii="Arial" w:hAnsi="Arial"/>
          <w:b/>
          <w:sz w:val="20"/>
        </w:rPr>
        <w:t xml:space="preserve"> protected areas within the EMBA</w:t>
      </w:r>
      <w:r w:rsidR="00746686" w:rsidRPr="00AD08AE">
        <w:rPr>
          <w:rFonts w:ascii="Arial" w:hAnsi="Arial"/>
          <w:b/>
          <w:sz w:val="20"/>
        </w:rPr>
        <w:t xml:space="preserve"> </w:t>
      </w:r>
    </w:p>
    <w:tbl>
      <w:tblPr>
        <w:tblW w:w="13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2049"/>
      </w:tblGrid>
      <w:tr w:rsidR="00EE55B5" w:rsidRPr="00435ED5" w14:paraId="3A0BF40B" w14:textId="77777777" w:rsidTr="00956CA4">
        <w:trPr>
          <w:trHeight w:val="324"/>
          <w:tblHeader/>
        </w:trPr>
        <w:tc>
          <w:tcPr>
            <w:tcW w:w="1701" w:type="dxa"/>
            <w:vMerge w:val="restart"/>
            <w:shd w:val="clear" w:color="auto" w:fill="064EA8"/>
          </w:tcPr>
          <w:p w14:paraId="664550FF" w14:textId="77777777" w:rsidR="00EE55B5" w:rsidRPr="00E4443B" w:rsidRDefault="00EE55B5" w:rsidP="00FE48D1">
            <w:pPr>
              <w:spacing w:before="60" w:after="60"/>
              <w:ind w:left="34"/>
              <w:rPr>
                <w:rFonts w:cs="Arial"/>
                <w:color w:val="FFFFFF" w:themeColor="background1"/>
                <w:sz w:val="20"/>
                <w:szCs w:val="20"/>
              </w:rPr>
            </w:pPr>
            <w:r w:rsidRPr="00E4443B">
              <w:rPr>
                <w:rFonts w:cs="Arial"/>
                <w:color w:val="FFFFFF" w:themeColor="background1"/>
                <w:sz w:val="20"/>
                <w:szCs w:val="20"/>
              </w:rPr>
              <w:t xml:space="preserve">Conservation area </w:t>
            </w:r>
          </w:p>
        </w:tc>
        <w:tc>
          <w:tcPr>
            <w:tcW w:w="12049" w:type="dxa"/>
            <w:vMerge w:val="restart"/>
            <w:shd w:val="clear" w:color="auto" w:fill="064EA8"/>
          </w:tcPr>
          <w:p w14:paraId="0C4123ED" w14:textId="77777777" w:rsidR="00EE55B5" w:rsidRPr="00E4443B" w:rsidRDefault="00EE55B5" w:rsidP="00FE48D1">
            <w:pPr>
              <w:spacing w:before="60" w:after="60"/>
              <w:ind w:hanging="686"/>
              <w:rPr>
                <w:rFonts w:cs="Arial"/>
                <w:color w:val="FFFFFF" w:themeColor="background1"/>
                <w:sz w:val="20"/>
                <w:szCs w:val="20"/>
              </w:rPr>
            </w:pPr>
            <w:r w:rsidRPr="00E4443B">
              <w:rPr>
                <w:rFonts w:cs="Arial"/>
                <w:color w:val="FFFFFF" w:themeColor="background1"/>
                <w:sz w:val="20"/>
                <w:szCs w:val="20"/>
              </w:rPr>
              <w:t xml:space="preserve">General description </w:t>
            </w:r>
          </w:p>
        </w:tc>
      </w:tr>
      <w:tr w:rsidR="00EE55B5" w:rsidRPr="00435ED5" w14:paraId="42B79B6C" w14:textId="77777777" w:rsidTr="00956CA4">
        <w:trPr>
          <w:trHeight w:val="380"/>
          <w:tblHeader/>
        </w:trPr>
        <w:tc>
          <w:tcPr>
            <w:tcW w:w="1701" w:type="dxa"/>
            <w:vMerge/>
            <w:shd w:val="clear" w:color="auto" w:fill="064EA8"/>
          </w:tcPr>
          <w:p w14:paraId="779E25A1" w14:textId="77777777" w:rsidR="00EE55B5" w:rsidRPr="00435ED5" w:rsidRDefault="00EE55B5" w:rsidP="00FE48D1">
            <w:pPr>
              <w:spacing w:before="60" w:after="60"/>
              <w:rPr>
                <w:rFonts w:cs="Arial"/>
                <w:sz w:val="20"/>
                <w:szCs w:val="20"/>
              </w:rPr>
            </w:pPr>
          </w:p>
        </w:tc>
        <w:tc>
          <w:tcPr>
            <w:tcW w:w="12049" w:type="dxa"/>
            <w:vMerge/>
            <w:shd w:val="clear" w:color="auto" w:fill="064EA8"/>
          </w:tcPr>
          <w:p w14:paraId="09169750" w14:textId="77777777" w:rsidR="00EE55B5" w:rsidRPr="00435ED5" w:rsidRDefault="00EE55B5" w:rsidP="00FE48D1">
            <w:pPr>
              <w:spacing w:before="60" w:after="60"/>
              <w:rPr>
                <w:rFonts w:cs="Arial"/>
                <w:sz w:val="20"/>
                <w:szCs w:val="20"/>
              </w:rPr>
            </w:pPr>
          </w:p>
        </w:tc>
      </w:tr>
      <w:tr w:rsidR="00EE55B5" w:rsidRPr="00435ED5" w14:paraId="76A6EBB5" w14:textId="77777777" w:rsidTr="00024545">
        <w:tc>
          <w:tcPr>
            <w:tcW w:w="1701" w:type="dxa"/>
            <w:shd w:val="clear" w:color="auto" w:fill="auto"/>
          </w:tcPr>
          <w:p w14:paraId="18D26364" w14:textId="77777777" w:rsidR="003E59E2" w:rsidRPr="00435ED5" w:rsidRDefault="00EE55B5" w:rsidP="00FE48D1">
            <w:pPr>
              <w:pStyle w:val="TableText"/>
              <w:rPr>
                <w:rFonts w:cs="Arial"/>
                <w:b/>
                <w:sz w:val="20"/>
                <w:szCs w:val="20"/>
              </w:rPr>
            </w:pPr>
            <w:r w:rsidRPr="00435ED5">
              <w:rPr>
                <w:rFonts w:cs="Arial"/>
                <w:b/>
                <w:sz w:val="20"/>
                <w:szCs w:val="20"/>
              </w:rPr>
              <w:t>Nooramunga Marine and Coastal Park</w:t>
            </w:r>
          </w:p>
          <w:p w14:paraId="5A3BAF0B" w14:textId="77777777" w:rsidR="003E59E2" w:rsidRPr="00435ED5" w:rsidRDefault="003E59E2" w:rsidP="00FE48D1">
            <w:pPr>
              <w:pStyle w:val="TableText"/>
              <w:rPr>
                <w:rFonts w:cs="Arial"/>
                <w:sz w:val="20"/>
                <w:szCs w:val="20"/>
              </w:rPr>
            </w:pPr>
          </w:p>
          <w:p w14:paraId="3EB73048" w14:textId="77777777" w:rsidR="00EE55B5" w:rsidRPr="00435ED5" w:rsidRDefault="003763FE" w:rsidP="00FE48D1">
            <w:pPr>
              <w:pStyle w:val="TableText"/>
              <w:rPr>
                <w:rFonts w:cs="Arial"/>
                <w:i/>
                <w:sz w:val="20"/>
                <w:szCs w:val="20"/>
              </w:rPr>
            </w:pPr>
            <w:r w:rsidRPr="00435ED5">
              <w:rPr>
                <w:rFonts w:cs="Arial"/>
                <w:i/>
                <w:sz w:val="20"/>
                <w:szCs w:val="20"/>
              </w:rPr>
              <w:t>46</w:t>
            </w:r>
            <w:r w:rsidR="00EE55B5" w:rsidRPr="00435ED5">
              <w:rPr>
                <w:rFonts w:cs="Arial"/>
                <w:i/>
                <w:sz w:val="20"/>
                <w:szCs w:val="20"/>
              </w:rPr>
              <w:t xml:space="preserve"> km west of proposed acquisition area</w:t>
            </w:r>
          </w:p>
          <w:p w14:paraId="14C41A98" w14:textId="77777777" w:rsidR="003763FE" w:rsidRPr="00435ED5" w:rsidRDefault="003763FE" w:rsidP="00FE48D1">
            <w:pPr>
              <w:pStyle w:val="TableText"/>
              <w:rPr>
                <w:rFonts w:cs="Arial"/>
                <w:i/>
                <w:sz w:val="20"/>
                <w:szCs w:val="20"/>
              </w:rPr>
            </w:pPr>
          </w:p>
          <w:p w14:paraId="423CE3EE" w14:textId="744F552A" w:rsidR="003763FE" w:rsidRPr="00435ED5" w:rsidRDefault="003763FE" w:rsidP="00FE48D1">
            <w:pPr>
              <w:pStyle w:val="TableText"/>
              <w:rPr>
                <w:rFonts w:cs="Arial"/>
                <w:sz w:val="20"/>
                <w:szCs w:val="20"/>
              </w:rPr>
            </w:pPr>
            <w:r w:rsidRPr="00B471C3">
              <w:rPr>
                <w:rFonts w:cs="Arial"/>
                <w:sz w:val="20"/>
                <w:szCs w:val="20"/>
              </w:rPr>
              <w:t xml:space="preserve">IUCN Category </w:t>
            </w:r>
            <w:r w:rsidR="00B471C3">
              <w:rPr>
                <w:rFonts w:cs="Arial"/>
                <w:sz w:val="20"/>
                <w:szCs w:val="20"/>
              </w:rPr>
              <w:t>VI</w:t>
            </w:r>
          </w:p>
          <w:p w14:paraId="3500E978" w14:textId="77777777" w:rsidR="003E59E2" w:rsidRPr="00435ED5" w:rsidRDefault="003E59E2" w:rsidP="00FE48D1">
            <w:pPr>
              <w:pStyle w:val="TableText"/>
              <w:rPr>
                <w:rFonts w:cs="Arial"/>
                <w:sz w:val="20"/>
                <w:szCs w:val="20"/>
              </w:rPr>
            </w:pPr>
          </w:p>
          <w:p w14:paraId="7F09696C" w14:textId="77777777" w:rsidR="003E59E2" w:rsidRPr="00435ED5" w:rsidRDefault="003E59E2" w:rsidP="00FE48D1">
            <w:pPr>
              <w:pStyle w:val="TableText"/>
              <w:rPr>
                <w:rFonts w:cs="Arial"/>
                <w:sz w:val="20"/>
                <w:szCs w:val="20"/>
              </w:rPr>
            </w:pPr>
            <w:r w:rsidRPr="00435ED5">
              <w:rPr>
                <w:rFonts w:cs="Arial"/>
                <w:sz w:val="20"/>
                <w:szCs w:val="20"/>
              </w:rPr>
              <w:t>No ParksVictoria Management Plan in place</w:t>
            </w:r>
          </w:p>
          <w:p w14:paraId="271E435B" w14:textId="08F7EE3D" w:rsidR="005513CC" w:rsidRPr="00435ED5" w:rsidRDefault="005513CC" w:rsidP="00FE48D1">
            <w:pPr>
              <w:pStyle w:val="TableText"/>
              <w:rPr>
                <w:rFonts w:cs="Arial"/>
                <w:i/>
                <w:sz w:val="20"/>
                <w:szCs w:val="20"/>
              </w:rPr>
            </w:pPr>
          </w:p>
        </w:tc>
        <w:tc>
          <w:tcPr>
            <w:tcW w:w="12049" w:type="dxa"/>
            <w:shd w:val="clear" w:color="auto" w:fill="auto"/>
          </w:tcPr>
          <w:p w14:paraId="4F0ABBEC" w14:textId="77777777" w:rsidR="00176136" w:rsidRPr="00435ED5" w:rsidRDefault="00176136" w:rsidP="00176136">
            <w:pPr>
              <w:pStyle w:val="TableText"/>
              <w:spacing w:before="60" w:after="60"/>
              <w:rPr>
                <w:rFonts w:cs="Arial"/>
                <w:b/>
                <w:sz w:val="20"/>
                <w:szCs w:val="20"/>
              </w:rPr>
            </w:pPr>
            <w:r w:rsidRPr="00435ED5">
              <w:rPr>
                <w:rFonts w:cs="Arial"/>
                <w:b/>
                <w:sz w:val="20"/>
                <w:szCs w:val="20"/>
              </w:rPr>
              <w:t>Location and area</w:t>
            </w:r>
          </w:p>
          <w:p w14:paraId="69D8199C" w14:textId="77777777" w:rsidR="00176136" w:rsidRPr="00435ED5" w:rsidRDefault="00EE55B5" w:rsidP="00FE48D1">
            <w:pPr>
              <w:pStyle w:val="TableText"/>
              <w:spacing w:before="60" w:after="60"/>
              <w:rPr>
                <w:rFonts w:cs="Arial"/>
                <w:sz w:val="20"/>
                <w:szCs w:val="20"/>
              </w:rPr>
            </w:pPr>
            <w:r w:rsidRPr="00435ED5">
              <w:rPr>
                <w:rFonts w:cs="Arial"/>
                <w:sz w:val="20"/>
                <w:szCs w:val="20"/>
              </w:rPr>
              <w:t xml:space="preserve">Nooramunga Marine and Coastal Park </w:t>
            </w:r>
            <w:r w:rsidR="004D5D82" w:rsidRPr="00435ED5">
              <w:rPr>
                <w:rFonts w:cs="Arial"/>
                <w:sz w:val="20"/>
                <w:szCs w:val="20"/>
              </w:rPr>
              <w:t xml:space="preserve">covers an area of </w:t>
            </w:r>
            <w:r w:rsidRPr="00435ED5">
              <w:rPr>
                <w:rFonts w:cs="Arial"/>
                <w:sz w:val="20"/>
                <w:szCs w:val="20"/>
              </w:rPr>
              <w:t>30,170 h</w:t>
            </w:r>
            <w:r w:rsidR="004D5D82" w:rsidRPr="00435ED5">
              <w:rPr>
                <w:rFonts w:cs="Arial"/>
                <w:sz w:val="20"/>
                <w:szCs w:val="20"/>
              </w:rPr>
              <w:t>a</w:t>
            </w:r>
            <w:r w:rsidR="00036E12" w:rsidRPr="00435ED5">
              <w:rPr>
                <w:rFonts w:cs="Arial"/>
                <w:sz w:val="20"/>
                <w:szCs w:val="20"/>
              </w:rPr>
              <w:t xml:space="preserve"> in Corner Inlet</w:t>
            </w:r>
            <w:r w:rsidR="003E59E2" w:rsidRPr="00435ED5">
              <w:rPr>
                <w:rFonts w:cs="Arial"/>
                <w:sz w:val="20"/>
                <w:szCs w:val="20"/>
              </w:rPr>
              <w:t>. The park is also protected as a Ramsar wetland (see Section 5.2.4).</w:t>
            </w:r>
          </w:p>
          <w:p w14:paraId="225B5D73" w14:textId="77777777" w:rsidR="003E59E2" w:rsidRPr="00435ED5" w:rsidRDefault="003E59E2" w:rsidP="003E59E2">
            <w:pPr>
              <w:pStyle w:val="TableText"/>
              <w:spacing w:before="60" w:after="60"/>
              <w:rPr>
                <w:rFonts w:cs="Arial"/>
                <w:b/>
                <w:sz w:val="20"/>
                <w:szCs w:val="20"/>
              </w:rPr>
            </w:pPr>
            <w:r w:rsidRPr="00435ED5">
              <w:rPr>
                <w:rFonts w:cs="Arial"/>
                <w:b/>
                <w:sz w:val="20"/>
                <w:szCs w:val="20"/>
              </w:rPr>
              <w:t>Physical attributes</w:t>
            </w:r>
          </w:p>
          <w:p w14:paraId="261CCE35" w14:textId="77777777" w:rsidR="003E59E2" w:rsidRPr="00435ED5" w:rsidRDefault="003E59E2" w:rsidP="00FE48D1">
            <w:pPr>
              <w:pStyle w:val="TableText"/>
              <w:spacing w:before="60" w:after="60"/>
              <w:rPr>
                <w:rFonts w:cs="Arial"/>
                <w:sz w:val="20"/>
                <w:szCs w:val="20"/>
              </w:rPr>
            </w:pPr>
            <w:r w:rsidRPr="00435ED5">
              <w:rPr>
                <w:rFonts w:cs="Arial"/>
                <w:sz w:val="20"/>
                <w:szCs w:val="20"/>
              </w:rPr>
              <w:t xml:space="preserve">The park </w:t>
            </w:r>
            <w:r w:rsidR="00EE55B5" w:rsidRPr="00435ED5">
              <w:rPr>
                <w:rFonts w:cs="Arial"/>
                <w:sz w:val="20"/>
                <w:szCs w:val="20"/>
              </w:rPr>
              <w:t>consist</w:t>
            </w:r>
            <w:r w:rsidR="00E53110" w:rsidRPr="00435ED5">
              <w:rPr>
                <w:rFonts w:cs="Arial"/>
                <w:sz w:val="20"/>
                <w:szCs w:val="20"/>
              </w:rPr>
              <w:t>s</w:t>
            </w:r>
            <w:r w:rsidR="00EE55B5" w:rsidRPr="00435ED5">
              <w:rPr>
                <w:rFonts w:cs="Arial"/>
                <w:sz w:val="20"/>
                <w:szCs w:val="20"/>
              </w:rPr>
              <w:t xml:space="preserve"> of shallow marine waters, intertidal mudflats and a series of over forty sand islands</w:t>
            </w:r>
            <w:r w:rsidRPr="00435ED5">
              <w:rPr>
                <w:rFonts w:cs="Arial"/>
                <w:sz w:val="20"/>
                <w:szCs w:val="20"/>
              </w:rPr>
              <w:t>.</w:t>
            </w:r>
          </w:p>
          <w:p w14:paraId="3A1FA165" w14:textId="77777777" w:rsidR="003E59E2" w:rsidRPr="00435ED5" w:rsidRDefault="003E59E2" w:rsidP="00FE48D1">
            <w:pPr>
              <w:pStyle w:val="TableText"/>
              <w:spacing w:before="60" w:after="60"/>
              <w:rPr>
                <w:rFonts w:cs="Arial"/>
                <w:b/>
                <w:sz w:val="20"/>
                <w:szCs w:val="20"/>
              </w:rPr>
            </w:pPr>
            <w:r w:rsidRPr="00435ED5">
              <w:rPr>
                <w:rFonts w:cs="Arial"/>
                <w:b/>
                <w:sz w:val="20"/>
                <w:szCs w:val="20"/>
              </w:rPr>
              <w:t>Habitats</w:t>
            </w:r>
          </w:p>
          <w:p w14:paraId="6A7F66DF" w14:textId="77777777" w:rsidR="00EE55B5" w:rsidRPr="00435ED5" w:rsidRDefault="003E59E2" w:rsidP="00FE48D1">
            <w:pPr>
              <w:pStyle w:val="TableText"/>
              <w:spacing w:before="60" w:after="60"/>
              <w:rPr>
                <w:rFonts w:cs="Arial"/>
                <w:sz w:val="20"/>
                <w:szCs w:val="20"/>
              </w:rPr>
            </w:pPr>
            <w:r w:rsidRPr="00435ED5">
              <w:rPr>
                <w:rFonts w:cs="Arial"/>
                <w:sz w:val="20"/>
                <w:szCs w:val="20"/>
              </w:rPr>
              <w:t>The Nooramunga Marine and Coastal Park</w:t>
            </w:r>
            <w:r w:rsidR="00EE55B5" w:rsidRPr="00435ED5">
              <w:rPr>
                <w:rFonts w:cs="Arial"/>
                <w:sz w:val="20"/>
                <w:szCs w:val="20"/>
              </w:rPr>
              <w:t xml:space="preserve">, </w:t>
            </w:r>
            <w:r w:rsidRPr="00435ED5">
              <w:rPr>
                <w:rFonts w:cs="Arial"/>
                <w:sz w:val="20"/>
                <w:szCs w:val="20"/>
              </w:rPr>
              <w:t xml:space="preserve">along with the Corner Inlet Marine and Coastal Park to its west, contain </w:t>
            </w:r>
            <w:r w:rsidR="00EE55B5" w:rsidRPr="00435ED5">
              <w:rPr>
                <w:rFonts w:cs="Arial"/>
                <w:sz w:val="20"/>
                <w:szCs w:val="20"/>
              </w:rPr>
              <w:t>the largest stands of white mangrove and saltmarsh areas in Victoria. The saltmarshes are dominated by beaded and shrubby glassworts.</w:t>
            </w:r>
            <w:r w:rsidRPr="00435ED5">
              <w:rPr>
                <w:rFonts w:cs="Arial"/>
                <w:sz w:val="20"/>
                <w:szCs w:val="20"/>
              </w:rPr>
              <w:t xml:space="preserve"> Seagrass meadows also occur throughout the park. </w:t>
            </w:r>
          </w:p>
          <w:p w14:paraId="349A6848" w14:textId="77777777" w:rsidR="00EE55B5" w:rsidRPr="00435ED5" w:rsidRDefault="00EE55B5" w:rsidP="003E59E2">
            <w:pPr>
              <w:pStyle w:val="TableText"/>
              <w:spacing w:before="60" w:after="60"/>
              <w:rPr>
                <w:rFonts w:cs="Arial"/>
                <w:sz w:val="20"/>
                <w:szCs w:val="20"/>
              </w:rPr>
            </w:pPr>
            <w:r w:rsidRPr="00435ED5">
              <w:rPr>
                <w:rFonts w:cs="Arial"/>
                <w:sz w:val="20"/>
                <w:szCs w:val="20"/>
              </w:rPr>
              <w:t xml:space="preserve">Seaward of the mangroves are extensive areas of intertidal mud and sand flats. An immense range of marine plants and invertebrates can be found here </w:t>
            </w:r>
            <w:r w:rsidR="003E59E2" w:rsidRPr="00435ED5">
              <w:rPr>
                <w:rFonts w:cs="Arial"/>
                <w:sz w:val="20"/>
                <w:szCs w:val="20"/>
              </w:rPr>
              <w:t>that</w:t>
            </w:r>
            <w:r w:rsidRPr="00435ED5">
              <w:rPr>
                <w:rFonts w:cs="Arial"/>
                <w:sz w:val="20"/>
                <w:szCs w:val="20"/>
              </w:rPr>
              <w:t xml:space="preserve"> provide food for the thousands of migratory wading birds that arrive each year from their northern hemisphere breeding grounds.</w:t>
            </w:r>
          </w:p>
          <w:p w14:paraId="229F61E2" w14:textId="77777777" w:rsidR="00A4767D" w:rsidRPr="00435ED5" w:rsidRDefault="003E59E2" w:rsidP="00FE48D1">
            <w:pPr>
              <w:autoSpaceDE w:val="0"/>
              <w:autoSpaceDN w:val="0"/>
              <w:adjustRightInd w:val="0"/>
              <w:spacing w:before="60" w:after="60" w:line="240" w:lineRule="auto"/>
              <w:ind w:left="0"/>
              <w:rPr>
                <w:rFonts w:cs="Arial"/>
                <w:b/>
                <w:sz w:val="20"/>
                <w:szCs w:val="20"/>
              </w:rPr>
            </w:pPr>
            <w:r w:rsidRPr="00435ED5">
              <w:rPr>
                <w:rFonts w:cs="Arial"/>
                <w:b/>
                <w:sz w:val="20"/>
                <w:szCs w:val="20"/>
              </w:rPr>
              <w:t>Marine biodiversity</w:t>
            </w:r>
          </w:p>
          <w:p w14:paraId="577AD8C4" w14:textId="77777777" w:rsidR="003E59E2" w:rsidRPr="00435ED5" w:rsidRDefault="003E59E2" w:rsidP="003E59E2">
            <w:pPr>
              <w:autoSpaceDE w:val="0"/>
              <w:autoSpaceDN w:val="0"/>
              <w:adjustRightInd w:val="0"/>
              <w:spacing w:before="60" w:after="60" w:line="240" w:lineRule="auto"/>
              <w:ind w:left="0"/>
              <w:rPr>
                <w:rFonts w:cs="Arial"/>
                <w:sz w:val="20"/>
                <w:szCs w:val="20"/>
              </w:rPr>
            </w:pPr>
            <w:r w:rsidRPr="00435ED5">
              <w:rPr>
                <w:rFonts w:cs="Arial"/>
                <w:sz w:val="20"/>
                <w:szCs w:val="20"/>
              </w:rPr>
              <w:t>The seagrass meadows provide habitat to over 300 marine invertebrates, including a range of large crabs, seastars, sea snails, iridescent squid and many fish including pipefish, stingarees, flathead, whiting and flounder.</w:t>
            </w:r>
            <w:r w:rsidR="005513CC" w:rsidRPr="00435ED5">
              <w:rPr>
                <w:rFonts w:cs="Arial"/>
                <w:sz w:val="20"/>
                <w:szCs w:val="20"/>
              </w:rPr>
              <w:t xml:space="preserve"> Finfish such as s</w:t>
            </w:r>
            <w:r w:rsidRPr="00435ED5">
              <w:rPr>
                <w:rFonts w:cs="Arial"/>
                <w:sz w:val="20"/>
                <w:szCs w:val="20"/>
              </w:rPr>
              <w:t xml:space="preserve">napper, King George </w:t>
            </w:r>
            <w:r w:rsidR="005513CC" w:rsidRPr="00435ED5">
              <w:rPr>
                <w:rFonts w:cs="Arial"/>
                <w:sz w:val="20"/>
                <w:szCs w:val="20"/>
              </w:rPr>
              <w:t>w</w:t>
            </w:r>
            <w:r w:rsidRPr="00435ED5">
              <w:rPr>
                <w:rFonts w:cs="Arial"/>
                <w:sz w:val="20"/>
                <w:szCs w:val="20"/>
              </w:rPr>
              <w:t xml:space="preserve">hiting, flathead, </w:t>
            </w:r>
            <w:r w:rsidR="005513CC" w:rsidRPr="00435ED5">
              <w:rPr>
                <w:rFonts w:cs="Arial"/>
                <w:sz w:val="20"/>
                <w:szCs w:val="20"/>
              </w:rPr>
              <w:t>g</w:t>
            </w:r>
            <w:r w:rsidRPr="00435ED5">
              <w:rPr>
                <w:rFonts w:cs="Arial"/>
                <w:sz w:val="20"/>
                <w:szCs w:val="20"/>
              </w:rPr>
              <w:t>arfish</w:t>
            </w:r>
            <w:r w:rsidR="005513CC" w:rsidRPr="00435ED5">
              <w:rPr>
                <w:rFonts w:cs="Arial"/>
                <w:sz w:val="20"/>
                <w:szCs w:val="20"/>
              </w:rPr>
              <w:t xml:space="preserve"> and</w:t>
            </w:r>
            <w:r w:rsidRPr="00435ED5">
              <w:rPr>
                <w:rFonts w:cs="Arial"/>
                <w:sz w:val="20"/>
                <w:szCs w:val="20"/>
              </w:rPr>
              <w:t xml:space="preserve"> </w:t>
            </w:r>
            <w:r w:rsidR="005513CC" w:rsidRPr="00435ED5">
              <w:rPr>
                <w:rFonts w:cs="Arial"/>
                <w:sz w:val="20"/>
                <w:szCs w:val="20"/>
              </w:rPr>
              <w:t>s</w:t>
            </w:r>
            <w:r w:rsidRPr="00435ED5">
              <w:rPr>
                <w:rFonts w:cs="Arial"/>
                <w:sz w:val="20"/>
                <w:szCs w:val="20"/>
              </w:rPr>
              <w:t xml:space="preserve">almon </w:t>
            </w:r>
            <w:r w:rsidR="005513CC" w:rsidRPr="00435ED5">
              <w:rPr>
                <w:rFonts w:cs="Arial"/>
                <w:sz w:val="20"/>
                <w:szCs w:val="20"/>
              </w:rPr>
              <w:t xml:space="preserve">are caught by recreational fishers. </w:t>
            </w:r>
          </w:p>
          <w:p w14:paraId="1EDAC3DA" w14:textId="77777777" w:rsidR="003E59E2" w:rsidRPr="00435ED5" w:rsidRDefault="003E59E2" w:rsidP="00FE48D1">
            <w:pPr>
              <w:autoSpaceDE w:val="0"/>
              <w:autoSpaceDN w:val="0"/>
              <w:adjustRightInd w:val="0"/>
              <w:spacing w:before="60" w:after="60" w:line="240" w:lineRule="auto"/>
              <w:ind w:left="0"/>
              <w:rPr>
                <w:rFonts w:cs="Arial"/>
                <w:b/>
                <w:sz w:val="20"/>
                <w:szCs w:val="20"/>
              </w:rPr>
            </w:pPr>
            <w:r w:rsidRPr="00435ED5">
              <w:rPr>
                <w:rFonts w:cs="Arial"/>
                <w:b/>
                <w:sz w:val="20"/>
                <w:szCs w:val="20"/>
              </w:rPr>
              <w:t>Shoreline biodiversity</w:t>
            </w:r>
          </w:p>
          <w:p w14:paraId="49984435" w14:textId="77777777" w:rsidR="003E59E2" w:rsidRPr="00435ED5" w:rsidRDefault="003E59E2" w:rsidP="005513CC">
            <w:pPr>
              <w:pStyle w:val="TableText"/>
              <w:spacing w:before="60" w:after="60"/>
              <w:rPr>
                <w:rFonts w:cs="Arial"/>
                <w:sz w:val="20"/>
                <w:szCs w:val="20"/>
              </w:rPr>
            </w:pPr>
            <w:r w:rsidRPr="00435ED5">
              <w:rPr>
                <w:rFonts w:cs="Arial"/>
                <w:sz w:val="20"/>
                <w:szCs w:val="20"/>
              </w:rPr>
              <w:t>Thirty</w:t>
            </w:r>
            <w:r w:rsidR="005513CC" w:rsidRPr="00435ED5">
              <w:rPr>
                <w:rFonts w:cs="Arial"/>
                <w:sz w:val="20"/>
                <w:szCs w:val="20"/>
              </w:rPr>
              <w:t>-</w:t>
            </w:r>
            <w:r w:rsidRPr="00435ED5">
              <w:rPr>
                <w:rFonts w:cs="Arial"/>
                <w:sz w:val="20"/>
                <w:szCs w:val="20"/>
              </w:rPr>
              <w:t xml:space="preserve">two </w:t>
            </w:r>
            <w:r w:rsidR="005513CC" w:rsidRPr="00435ED5">
              <w:rPr>
                <w:rFonts w:cs="Arial"/>
                <w:sz w:val="20"/>
                <w:szCs w:val="20"/>
              </w:rPr>
              <w:t xml:space="preserve">(32) </w:t>
            </w:r>
            <w:r w:rsidRPr="00435ED5">
              <w:rPr>
                <w:rFonts w:cs="Arial"/>
                <w:sz w:val="20"/>
                <w:szCs w:val="20"/>
              </w:rPr>
              <w:t>migratory wader</w:t>
            </w:r>
            <w:r w:rsidR="005513CC" w:rsidRPr="00435ED5">
              <w:rPr>
                <w:rFonts w:cs="Arial"/>
                <w:sz w:val="20"/>
                <w:szCs w:val="20"/>
              </w:rPr>
              <w:t xml:space="preserve"> specie</w:t>
            </w:r>
            <w:r w:rsidRPr="00435ED5">
              <w:rPr>
                <w:rFonts w:cs="Arial"/>
                <w:sz w:val="20"/>
                <w:szCs w:val="20"/>
              </w:rPr>
              <w:t>s have been recorded</w:t>
            </w:r>
            <w:r w:rsidR="005513CC" w:rsidRPr="00435ED5">
              <w:rPr>
                <w:rFonts w:cs="Arial"/>
                <w:sz w:val="20"/>
                <w:szCs w:val="20"/>
              </w:rPr>
              <w:t xml:space="preserve"> in the park</w:t>
            </w:r>
            <w:r w:rsidRPr="00435ED5">
              <w:rPr>
                <w:rFonts w:cs="Arial"/>
                <w:sz w:val="20"/>
                <w:szCs w:val="20"/>
              </w:rPr>
              <w:t xml:space="preserve">, including the largest concentrations of </w:t>
            </w:r>
            <w:r w:rsidR="005513CC" w:rsidRPr="00435ED5">
              <w:rPr>
                <w:rFonts w:cs="Arial"/>
                <w:sz w:val="20"/>
                <w:szCs w:val="20"/>
              </w:rPr>
              <w:t>b</w:t>
            </w:r>
            <w:r w:rsidRPr="00435ED5">
              <w:rPr>
                <w:rFonts w:cs="Arial"/>
                <w:sz w:val="20"/>
                <w:szCs w:val="20"/>
              </w:rPr>
              <w:t xml:space="preserve">ar </w:t>
            </w:r>
            <w:r w:rsidR="005513CC" w:rsidRPr="00435ED5">
              <w:rPr>
                <w:rFonts w:cs="Arial"/>
                <w:sz w:val="20"/>
                <w:szCs w:val="20"/>
              </w:rPr>
              <w:t>t</w:t>
            </w:r>
            <w:r w:rsidRPr="00435ED5">
              <w:rPr>
                <w:rFonts w:cs="Arial"/>
                <w:sz w:val="20"/>
                <w:szCs w:val="20"/>
              </w:rPr>
              <w:t xml:space="preserve">ailed </w:t>
            </w:r>
            <w:r w:rsidR="005513CC" w:rsidRPr="00435ED5">
              <w:rPr>
                <w:rFonts w:cs="Arial"/>
                <w:sz w:val="20"/>
                <w:szCs w:val="20"/>
              </w:rPr>
              <w:t>g</w:t>
            </w:r>
            <w:r w:rsidRPr="00435ED5">
              <w:rPr>
                <w:rFonts w:cs="Arial"/>
                <w:sz w:val="20"/>
                <w:szCs w:val="20"/>
              </w:rPr>
              <w:t xml:space="preserve">odwit </w:t>
            </w:r>
            <w:r w:rsidR="005513CC" w:rsidRPr="00435ED5">
              <w:rPr>
                <w:rFonts w:cs="Arial"/>
                <w:sz w:val="20"/>
                <w:szCs w:val="20"/>
              </w:rPr>
              <w:t>(</w:t>
            </w:r>
            <w:r w:rsidR="005513CC" w:rsidRPr="00435ED5">
              <w:rPr>
                <w:rFonts w:cs="Arial"/>
                <w:i/>
                <w:sz w:val="20"/>
                <w:szCs w:val="20"/>
              </w:rPr>
              <w:t>Limosa lapponica</w:t>
            </w:r>
            <w:r w:rsidR="005513CC" w:rsidRPr="00435ED5">
              <w:rPr>
                <w:rFonts w:cs="Arial"/>
                <w:sz w:val="20"/>
                <w:szCs w:val="20"/>
              </w:rPr>
              <w:t xml:space="preserve">) </w:t>
            </w:r>
            <w:r w:rsidRPr="00435ED5">
              <w:rPr>
                <w:rFonts w:cs="Arial"/>
                <w:sz w:val="20"/>
                <w:szCs w:val="20"/>
              </w:rPr>
              <w:t xml:space="preserve">and </w:t>
            </w:r>
            <w:r w:rsidR="005513CC" w:rsidRPr="00435ED5">
              <w:rPr>
                <w:rFonts w:cs="Arial"/>
                <w:sz w:val="20"/>
                <w:szCs w:val="20"/>
              </w:rPr>
              <w:t>g</w:t>
            </w:r>
            <w:r w:rsidRPr="00435ED5">
              <w:rPr>
                <w:rFonts w:cs="Arial"/>
                <w:sz w:val="20"/>
                <w:szCs w:val="20"/>
              </w:rPr>
              <w:t xml:space="preserve">reat </w:t>
            </w:r>
            <w:r w:rsidR="005513CC" w:rsidRPr="00435ED5">
              <w:rPr>
                <w:rFonts w:cs="Arial"/>
                <w:sz w:val="20"/>
                <w:szCs w:val="20"/>
              </w:rPr>
              <w:t>k</w:t>
            </w:r>
            <w:r w:rsidRPr="00435ED5">
              <w:rPr>
                <w:rFonts w:cs="Arial"/>
                <w:sz w:val="20"/>
                <w:szCs w:val="20"/>
              </w:rPr>
              <w:t xml:space="preserve">not </w:t>
            </w:r>
            <w:r w:rsidR="005513CC" w:rsidRPr="00435ED5">
              <w:rPr>
                <w:rFonts w:cs="Arial"/>
                <w:sz w:val="20"/>
                <w:szCs w:val="20"/>
              </w:rPr>
              <w:t>(</w:t>
            </w:r>
            <w:r w:rsidR="005513CC" w:rsidRPr="00435ED5">
              <w:rPr>
                <w:rFonts w:cs="Arial"/>
                <w:i/>
                <w:sz w:val="20"/>
                <w:szCs w:val="20"/>
              </w:rPr>
              <w:t>Calidris tenuirostris</w:t>
            </w:r>
            <w:r w:rsidR="005513CC" w:rsidRPr="00435ED5">
              <w:rPr>
                <w:rFonts w:cs="Arial"/>
                <w:sz w:val="20"/>
                <w:szCs w:val="20"/>
              </w:rPr>
              <w:t xml:space="preserve">) </w:t>
            </w:r>
            <w:r w:rsidRPr="00435ED5">
              <w:rPr>
                <w:rFonts w:cs="Arial"/>
                <w:sz w:val="20"/>
                <w:szCs w:val="20"/>
              </w:rPr>
              <w:t>in south</w:t>
            </w:r>
            <w:r w:rsidR="00C57C25" w:rsidRPr="00435ED5">
              <w:rPr>
                <w:rFonts w:cs="Arial"/>
                <w:sz w:val="20"/>
                <w:szCs w:val="20"/>
              </w:rPr>
              <w:t>-</w:t>
            </w:r>
            <w:r w:rsidRPr="00435ED5">
              <w:rPr>
                <w:rFonts w:cs="Arial"/>
                <w:sz w:val="20"/>
                <w:szCs w:val="20"/>
              </w:rPr>
              <w:t xml:space="preserve">eastern Australia. </w:t>
            </w:r>
            <w:r w:rsidR="005513CC" w:rsidRPr="00435ED5">
              <w:rPr>
                <w:rFonts w:cs="Arial"/>
                <w:sz w:val="20"/>
                <w:szCs w:val="20"/>
              </w:rPr>
              <w:t>T</w:t>
            </w:r>
            <w:r w:rsidRPr="00435ED5">
              <w:rPr>
                <w:rFonts w:cs="Arial"/>
                <w:sz w:val="20"/>
                <w:szCs w:val="20"/>
              </w:rPr>
              <w:t>hese birds feed over the mudflats</w:t>
            </w:r>
            <w:r w:rsidR="005513CC" w:rsidRPr="00435ED5">
              <w:rPr>
                <w:rFonts w:cs="Arial"/>
                <w:sz w:val="20"/>
                <w:szCs w:val="20"/>
              </w:rPr>
              <w:t xml:space="preserve"> at low tide</w:t>
            </w:r>
            <w:r w:rsidRPr="00435ED5">
              <w:rPr>
                <w:rFonts w:cs="Arial"/>
                <w:sz w:val="20"/>
                <w:szCs w:val="20"/>
              </w:rPr>
              <w:t>. At high tide</w:t>
            </w:r>
            <w:r w:rsidR="005513CC" w:rsidRPr="00435ED5">
              <w:rPr>
                <w:rFonts w:cs="Arial"/>
                <w:sz w:val="20"/>
                <w:szCs w:val="20"/>
              </w:rPr>
              <w:t>, large</w:t>
            </w:r>
            <w:r w:rsidRPr="00435ED5">
              <w:rPr>
                <w:rFonts w:cs="Arial"/>
                <w:sz w:val="20"/>
                <w:szCs w:val="20"/>
              </w:rPr>
              <w:t xml:space="preserve"> flocks of waders congregate on the sand spits at the ends of the barrier islands. </w:t>
            </w:r>
          </w:p>
          <w:p w14:paraId="717D8010" w14:textId="77777777" w:rsidR="003E59E2" w:rsidRPr="00435ED5" w:rsidRDefault="003E59E2" w:rsidP="005513CC">
            <w:pPr>
              <w:pStyle w:val="TableText"/>
              <w:spacing w:before="60" w:after="60"/>
              <w:rPr>
                <w:rFonts w:cs="Arial"/>
                <w:sz w:val="20"/>
                <w:szCs w:val="20"/>
              </w:rPr>
            </w:pPr>
            <w:r w:rsidRPr="00435ED5">
              <w:rPr>
                <w:rFonts w:cs="Arial"/>
                <w:sz w:val="20"/>
                <w:szCs w:val="20"/>
              </w:rPr>
              <w:t xml:space="preserve">In summer the ocean beaches and sand </w:t>
            </w:r>
            <w:r w:rsidR="005513CC" w:rsidRPr="00435ED5">
              <w:rPr>
                <w:rFonts w:cs="Arial"/>
                <w:sz w:val="20"/>
                <w:szCs w:val="20"/>
              </w:rPr>
              <w:t>provide</w:t>
            </w:r>
            <w:r w:rsidRPr="00435ED5">
              <w:rPr>
                <w:rFonts w:cs="Arial"/>
                <w:sz w:val="20"/>
                <w:szCs w:val="20"/>
              </w:rPr>
              <w:t xml:space="preserve"> nesting </w:t>
            </w:r>
            <w:r w:rsidR="005513CC" w:rsidRPr="00435ED5">
              <w:rPr>
                <w:rFonts w:cs="Arial"/>
                <w:sz w:val="20"/>
                <w:szCs w:val="20"/>
              </w:rPr>
              <w:t>habitat for p</w:t>
            </w:r>
            <w:r w:rsidRPr="00435ED5">
              <w:rPr>
                <w:rFonts w:cs="Arial"/>
                <w:sz w:val="20"/>
                <w:szCs w:val="20"/>
              </w:rPr>
              <w:t xml:space="preserve">ied </w:t>
            </w:r>
            <w:r w:rsidR="005513CC" w:rsidRPr="00435ED5">
              <w:rPr>
                <w:rFonts w:cs="Arial"/>
                <w:sz w:val="20"/>
                <w:szCs w:val="20"/>
              </w:rPr>
              <w:t>o</w:t>
            </w:r>
            <w:r w:rsidRPr="00435ED5">
              <w:rPr>
                <w:rFonts w:cs="Arial"/>
                <w:sz w:val="20"/>
                <w:szCs w:val="20"/>
              </w:rPr>
              <w:t>yster</w:t>
            </w:r>
            <w:r w:rsidR="005513CC" w:rsidRPr="00435ED5">
              <w:rPr>
                <w:rFonts w:cs="Arial"/>
                <w:sz w:val="20"/>
                <w:szCs w:val="20"/>
              </w:rPr>
              <w:t>catchers</w:t>
            </w:r>
            <w:r w:rsidRPr="00435ED5">
              <w:rPr>
                <w:rFonts w:cs="Arial"/>
                <w:sz w:val="20"/>
                <w:szCs w:val="20"/>
              </w:rPr>
              <w:t xml:space="preserve">, </w:t>
            </w:r>
            <w:r w:rsidR="005513CC" w:rsidRPr="00435ED5">
              <w:rPr>
                <w:rFonts w:cs="Arial"/>
                <w:sz w:val="20"/>
                <w:szCs w:val="20"/>
              </w:rPr>
              <w:t>c</w:t>
            </w:r>
            <w:r w:rsidRPr="00435ED5">
              <w:rPr>
                <w:rFonts w:cs="Arial"/>
                <w:sz w:val="20"/>
                <w:szCs w:val="20"/>
              </w:rPr>
              <w:t xml:space="preserve">rested </w:t>
            </w:r>
            <w:r w:rsidR="005513CC" w:rsidRPr="00435ED5">
              <w:rPr>
                <w:rFonts w:cs="Arial"/>
                <w:sz w:val="20"/>
                <w:szCs w:val="20"/>
              </w:rPr>
              <w:t>t</w:t>
            </w:r>
            <w:r w:rsidRPr="00435ED5">
              <w:rPr>
                <w:rFonts w:cs="Arial"/>
                <w:sz w:val="20"/>
                <w:szCs w:val="20"/>
              </w:rPr>
              <w:t>ern</w:t>
            </w:r>
            <w:r w:rsidR="005513CC" w:rsidRPr="00435ED5">
              <w:rPr>
                <w:rFonts w:cs="Arial"/>
                <w:sz w:val="20"/>
                <w:szCs w:val="20"/>
              </w:rPr>
              <w:t>s</w:t>
            </w:r>
            <w:r w:rsidRPr="00435ED5">
              <w:rPr>
                <w:rFonts w:cs="Arial"/>
                <w:sz w:val="20"/>
                <w:szCs w:val="20"/>
              </w:rPr>
              <w:t xml:space="preserve">, Caspian </w:t>
            </w:r>
            <w:r w:rsidR="005513CC" w:rsidRPr="00435ED5">
              <w:rPr>
                <w:rFonts w:cs="Arial"/>
                <w:sz w:val="20"/>
                <w:szCs w:val="20"/>
              </w:rPr>
              <w:t>t</w:t>
            </w:r>
            <w:r w:rsidRPr="00435ED5">
              <w:rPr>
                <w:rFonts w:cs="Arial"/>
                <w:sz w:val="20"/>
                <w:szCs w:val="20"/>
              </w:rPr>
              <w:t>ern</w:t>
            </w:r>
            <w:r w:rsidR="005513CC" w:rsidRPr="00435ED5">
              <w:rPr>
                <w:rFonts w:cs="Arial"/>
                <w:sz w:val="20"/>
                <w:szCs w:val="20"/>
              </w:rPr>
              <w:t>s</w:t>
            </w:r>
            <w:r w:rsidRPr="00435ED5">
              <w:rPr>
                <w:rFonts w:cs="Arial"/>
                <w:sz w:val="20"/>
                <w:szCs w:val="20"/>
              </w:rPr>
              <w:t xml:space="preserve">, </w:t>
            </w:r>
            <w:r w:rsidR="005513CC" w:rsidRPr="00435ED5">
              <w:rPr>
                <w:rFonts w:cs="Arial"/>
                <w:sz w:val="20"/>
                <w:szCs w:val="20"/>
              </w:rPr>
              <w:t>f</w:t>
            </w:r>
            <w:r w:rsidRPr="00435ED5">
              <w:rPr>
                <w:rFonts w:cs="Arial"/>
                <w:sz w:val="20"/>
                <w:szCs w:val="20"/>
              </w:rPr>
              <w:t xml:space="preserve">airy </w:t>
            </w:r>
            <w:r w:rsidR="005513CC" w:rsidRPr="00435ED5">
              <w:rPr>
                <w:rFonts w:cs="Arial"/>
                <w:sz w:val="20"/>
                <w:szCs w:val="20"/>
              </w:rPr>
              <w:t>t</w:t>
            </w:r>
            <w:r w:rsidRPr="00435ED5">
              <w:rPr>
                <w:rFonts w:cs="Arial"/>
                <w:sz w:val="20"/>
                <w:szCs w:val="20"/>
              </w:rPr>
              <w:t>ern</w:t>
            </w:r>
            <w:r w:rsidR="005513CC" w:rsidRPr="00435ED5">
              <w:rPr>
                <w:rFonts w:cs="Arial"/>
                <w:sz w:val="20"/>
                <w:szCs w:val="20"/>
              </w:rPr>
              <w:t>s</w:t>
            </w:r>
            <w:r w:rsidRPr="00435ED5">
              <w:rPr>
                <w:rFonts w:cs="Arial"/>
                <w:sz w:val="20"/>
                <w:szCs w:val="20"/>
              </w:rPr>
              <w:t xml:space="preserve"> and the </w:t>
            </w:r>
            <w:r w:rsidR="005513CC" w:rsidRPr="00435ED5">
              <w:rPr>
                <w:rFonts w:cs="Arial"/>
                <w:sz w:val="20"/>
                <w:szCs w:val="20"/>
              </w:rPr>
              <w:t>h</w:t>
            </w:r>
            <w:r w:rsidRPr="00435ED5">
              <w:rPr>
                <w:rFonts w:cs="Arial"/>
                <w:sz w:val="20"/>
                <w:szCs w:val="20"/>
              </w:rPr>
              <w:t xml:space="preserve">ooded </w:t>
            </w:r>
            <w:r w:rsidR="005513CC" w:rsidRPr="00435ED5">
              <w:rPr>
                <w:rFonts w:cs="Arial"/>
                <w:sz w:val="20"/>
                <w:szCs w:val="20"/>
              </w:rPr>
              <w:t>p</w:t>
            </w:r>
            <w:r w:rsidRPr="00435ED5">
              <w:rPr>
                <w:rFonts w:cs="Arial"/>
                <w:sz w:val="20"/>
                <w:szCs w:val="20"/>
              </w:rPr>
              <w:t>lover</w:t>
            </w:r>
            <w:r w:rsidR="005513CC" w:rsidRPr="00435ED5">
              <w:rPr>
                <w:rFonts w:cs="Arial"/>
                <w:sz w:val="20"/>
                <w:szCs w:val="20"/>
              </w:rPr>
              <w:t>s.</w:t>
            </w:r>
          </w:p>
        </w:tc>
      </w:tr>
      <w:tr w:rsidR="00EE55B5" w:rsidRPr="00435ED5" w14:paraId="70813374" w14:textId="77777777" w:rsidTr="00024545">
        <w:tc>
          <w:tcPr>
            <w:tcW w:w="1701" w:type="dxa"/>
            <w:shd w:val="clear" w:color="auto" w:fill="auto"/>
          </w:tcPr>
          <w:p w14:paraId="7CAD6F5E" w14:textId="77777777" w:rsidR="003E59E2" w:rsidRPr="00435ED5" w:rsidRDefault="00EE55B5" w:rsidP="00FE48D1">
            <w:pPr>
              <w:pStyle w:val="TableText"/>
              <w:rPr>
                <w:rFonts w:cs="Arial"/>
                <w:b/>
                <w:sz w:val="20"/>
                <w:szCs w:val="20"/>
              </w:rPr>
            </w:pPr>
            <w:r w:rsidRPr="00435ED5">
              <w:rPr>
                <w:rFonts w:cs="Arial"/>
                <w:b/>
                <w:sz w:val="20"/>
                <w:szCs w:val="20"/>
              </w:rPr>
              <w:t>Nin</w:t>
            </w:r>
            <w:r w:rsidR="00FE7769" w:rsidRPr="00435ED5">
              <w:rPr>
                <w:rFonts w:cs="Arial"/>
                <w:b/>
                <w:sz w:val="20"/>
                <w:szCs w:val="20"/>
              </w:rPr>
              <w:t>e</w:t>
            </w:r>
            <w:r w:rsidRPr="00435ED5">
              <w:rPr>
                <w:rFonts w:cs="Arial"/>
                <w:b/>
                <w:sz w:val="20"/>
                <w:szCs w:val="20"/>
              </w:rPr>
              <w:t xml:space="preserve">ty Mile Beach </w:t>
            </w:r>
            <w:r w:rsidR="00820A21" w:rsidRPr="00435ED5">
              <w:rPr>
                <w:rFonts w:cs="Arial"/>
                <w:b/>
                <w:sz w:val="20"/>
                <w:szCs w:val="20"/>
              </w:rPr>
              <w:t>Marine National Park</w:t>
            </w:r>
          </w:p>
          <w:p w14:paraId="249669A7" w14:textId="77777777" w:rsidR="003E59E2" w:rsidRPr="00435ED5" w:rsidRDefault="003E59E2" w:rsidP="00FE48D1">
            <w:pPr>
              <w:pStyle w:val="TableText"/>
              <w:rPr>
                <w:rFonts w:cs="Arial"/>
                <w:sz w:val="20"/>
                <w:szCs w:val="20"/>
              </w:rPr>
            </w:pPr>
          </w:p>
          <w:p w14:paraId="395FF2ED" w14:textId="77777777" w:rsidR="00EE55B5" w:rsidRPr="00435ED5" w:rsidRDefault="003763FE" w:rsidP="00FE48D1">
            <w:pPr>
              <w:pStyle w:val="TableText"/>
              <w:rPr>
                <w:rFonts w:cs="Arial"/>
                <w:i/>
                <w:sz w:val="20"/>
                <w:szCs w:val="20"/>
              </w:rPr>
            </w:pPr>
            <w:r w:rsidRPr="00435ED5">
              <w:rPr>
                <w:rFonts w:cs="Arial"/>
                <w:i/>
                <w:sz w:val="20"/>
                <w:szCs w:val="20"/>
              </w:rPr>
              <w:lastRenderedPageBreak/>
              <w:t>14.5</w:t>
            </w:r>
            <w:r w:rsidR="00EE55B5" w:rsidRPr="00435ED5">
              <w:rPr>
                <w:rFonts w:cs="Arial"/>
                <w:i/>
                <w:sz w:val="20"/>
                <w:szCs w:val="20"/>
              </w:rPr>
              <w:t xml:space="preserve"> km west of proposed acquisition area</w:t>
            </w:r>
          </w:p>
          <w:p w14:paraId="30F73DF9" w14:textId="77777777" w:rsidR="0018371A" w:rsidRPr="00435ED5" w:rsidRDefault="0018371A" w:rsidP="00FE48D1">
            <w:pPr>
              <w:pStyle w:val="TableText"/>
              <w:rPr>
                <w:rFonts w:cs="Arial"/>
                <w:i/>
                <w:sz w:val="20"/>
                <w:szCs w:val="20"/>
              </w:rPr>
            </w:pPr>
          </w:p>
          <w:p w14:paraId="18114510" w14:textId="77777777" w:rsidR="0018371A" w:rsidRPr="00435ED5" w:rsidRDefault="0018371A" w:rsidP="00FE48D1">
            <w:pPr>
              <w:pStyle w:val="TableText"/>
              <w:rPr>
                <w:rFonts w:cs="Arial"/>
                <w:sz w:val="20"/>
                <w:szCs w:val="20"/>
              </w:rPr>
            </w:pPr>
            <w:r w:rsidRPr="00435ED5">
              <w:rPr>
                <w:rFonts w:cs="Arial"/>
                <w:sz w:val="20"/>
                <w:szCs w:val="20"/>
              </w:rPr>
              <w:t>IUCN Category II</w:t>
            </w:r>
          </w:p>
          <w:p w14:paraId="699334DA" w14:textId="77777777" w:rsidR="003E59E2" w:rsidRPr="00435ED5" w:rsidRDefault="003E59E2" w:rsidP="00FE48D1">
            <w:pPr>
              <w:pStyle w:val="TableText"/>
              <w:rPr>
                <w:rFonts w:cs="Arial"/>
                <w:sz w:val="20"/>
                <w:szCs w:val="20"/>
              </w:rPr>
            </w:pPr>
          </w:p>
          <w:p w14:paraId="4F5F7852" w14:textId="13524136" w:rsidR="003E59E2" w:rsidRPr="00435ED5" w:rsidRDefault="003E59E2" w:rsidP="00FE48D1">
            <w:pPr>
              <w:pStyle w:val="TableText"/>
              <w:rPr>
                <w:rFonts w:cs="Arial"/>
                <w:i/>
                <w:sz w:val="20"/>
                <w:szCs w:val="20"/>
              </w:rPr>
            </w:pPr>
            <w:r w:rsidRPr="00435ED5">
              <w:rPr>
                <w:rFonts w:cs="Arial"/>
                <w:sz w:val="20"/>
                <w:szCs w:val="20"/>
              </w:rPr>
              <w:t>ParksVictoria Management Plan in place</w:t>
            </w:r>
            <w:r w:rsidR="00C34B67" w:rsidRPr="00435ED5">
              <w:rPr>
                <w:rFonts w:cs="Arial"/>
                <w:sz w:val="20"/>
                <w:szCs w:val="20"/>
              </w:rPr>
              <w:t xml:space="preserve"> (2006)</w:t>
            </w:r>
          </w:p>
        </w:tc>
        <w:tc>
          <w:tcPr>
            <w:tcW w:w="12049" w:type="dxa"/>
            <w:shd w:val="clear" w:color="auto" w:fill="auto"/>
          </w:tcPr>
          <w:p w14:paraId="1C97B590" w14:textId="77777777" w:rsidR="00FE7769" w:rsidRPr="00435ED5" w:rsidRDefault="00FE7769" w:rsidP="00EE55B5">
            <w:pPr>
              <w:pStyle w:val="TableText"/>
              <w:spacing w:before="60" w:after="60"/>
              <w:rPr>
                <w:rFonts w:cs="Arial"/>
                <w:b/>
                <w:sz w:val="20"/>
                <w:szCs w:val="20"/>
              </w:rPr>
            </w:pPr>
            <w:r w:rsidRPr="00435ED5">
              <w:rPr>
                <w:rFonts w:cs="Arial"/>
                <w:b/>
                <w:sz w:val="20"/>
                <w:szCs w:val="20"/>
              </w:rPr>
              <w:lastRenderedPageBreak/>
              <w:t>Location and area</w:t>
            </w:r>
          </w:p>
          <w:p w14:paraId="031D0BA4" w14:textId="6FA916DA" w:rsidR="00EE55B5" w:rsidRPr="00435ED5" w:rsidRDefault="00EE55B5" w:rsidP="00EE55B5">
            <w:pPr>
              <w:pStyle w:val="TableText"/>
              <w:spacing w:before="60" w:after="60"/>
              <w:rPr>
                <w:rFonts w:cs="Arial"/>
                <w:sz w:val="20"/>
                <w:szCs w:val="20"/>
              </w:rPr>
            </w:pPr>
            <w:r w:rsidRPr="00435ED5">
              <w:rPr>
                <w:rFonts w:cs="Arial"/>
                <w:sz w:val="20"/>
                <w:szCs w:val="20"/>
              </w:rPr>
              <w:t xml:space="preserve">The Ninety Mile Beach Marine National Park </w:t>
            </w:r>
            <w:r w:rsidR="006B62EF">
              <w:rPr>
                <w:rFonts w:cs="Arial"/>
                <w:sz w:val="20"/>
                <w:szCs w:val="20"/>
              </w:rPr>
              <w:t xml:space="preserve">(MNP) </w:t>
            </w:r>
            <w:r w:rsidRPr="00435ED5">
              <w:rPr>
                <w:rFonts w:cs="Arial"/>
                <w:sz w:val="20"/>
                <w:szCs w:val="20"/>
              </w:rPr>
              <w:t>covers an area of 2,750 ha, and extends along approximately 5 km of coastline and offshore for 5 km</w:t>
            </w:r>
            <w:r w:rsidR="00500DED" w:rsidRPr="00435ED5">
              <w:rPr>
                <w:rFonts w:cs="Arial"/>
                <w:sz w:val="20"/>
                <w:szCs w:val="20"/>
              </w:rPr>
              <w:t xml:space="preserve"> from the high water mark</w:t>
            </w:r>
            <w:r w:rsidRPr="00435ED5">
              <w:rPr>
                <w:rFonts w:cs="Arial"/>
                <w:sz w:val="20"/>
                <w:szCs w:val="20"/>
              </w:rPr>
              <w:t>.</w:t>
            </w:r>
            <w:r w:rsidR="00500DED" w:rsidRPr="00435ED5">
              <w:rPr>
                <w:rFonts w:cs="Arial"/>
                <w:sz w:val="20"/>
                <w:szCs w:val="20"/>
              </w:rPr>
              <w:t xml:space="preserve"> </w:t>
            </w:r>
            <w:r w:rsidRPr="00435ED5">
              <w:rPr>
                <w:rFonts w:cs="Arial"/>
                <w:sz w:val="20"/>
                <w:szCs w:val="20"/>
              </w:rPr>
              <w:t xml:space="preserve">The park protects an internationally significant sandy environment, recognised for its exceptionally high diversity of marine invertebrates. </w:t>
            </w:r>
          </w:p>
          <w:p w14:paraId="0C543A25" w14:textId="77777777" w:rsidR="00FE7769" w:rsidRPr="00435ED5" w:rsidRDefault="00FE7769" w:rsidP="0018371A">
            <w:pPr>
              <w:pStyle w:val="TableText"/>
              <w:spacing w:before="60" w:after="60"/>
              <w:rPr>
                <w:rFonts w:cs="Arial"/>
                <w:b/>
                <w:sz w:val="20"/>
                <w:szCs w:val="20"/>
              </w:rPr>
            </w:pPr>
            <w:r w:rsidRPr="00435ED5">
              <w:rPr>
                <w:rFonts w:cs="Arial"/>
                <w:b/>
                <w:sz w:val="20"/>
                <w:szCs w:val="20"/>
              </w:rPr>
              <w:lastRenderedPageBreak/>
              <w:t>Key natural values</w:t>
            </w:r>
          </w:p>
          <w:p w14:paraId="16474D53" w14:textId="77777777" w:rsidR="0018371A" w:rsidRPr="00435ED5" w:rsidRDefault="0018371A" w:rsidP="0018371A">
            <w:pPr>
              <w:pStyle w:val="TableText"/>
              <w:spacing w:before="60" w:after="60"/>
              <w:rPr>
                <w:rFonts w:cs="Arial"/>
                <w:sz w:val="20"/>
                <w:szCs w:val="20"/>
              </w:rPr>
            </w:pPr>
            <w:r w:rsidRPr="00435ED5">
              <w:rPr>
                <w:rFonts w:cs="Arial"/>
                <w:sz w:val="20"/>
                <w:szCs w:val="20"/>
              </w:rPr>
              <w:t xml:space="preserve">The park’s key natural values are listed as: </w:t>
            </w:r>
          </w:p>
          <w:p w14:paraId="486E363E" w14:textId="77777777" w:rsidR="0018371A" w:rsidRPr="00435ED5" w:rsidRDefault="0018371A" w:rsidP="00567567">
            <w:pPr>
              <w:pStyle w:val="TableText"/>
              <w:numPr>
                <w:ilvl w:val="0"/>
                <w:numId w:val="93"/>
              </w:numPr>
              <w:spacing w:before="60" w:after="60"/>
              <w:rPr>
                <w:rFonts w:cs="Arial"/>
                <w:sz w:val="20"/>
                <w:szCs w:val="20"/>
              </w:rPr>
            </w:pPr>
            <w:r w:rsidRPr="00435ED5">
              <w:rPr>
                <w:rFonts w:cs="Arial"/>
                <w:sz w:val="20"/>
                <w:szCs w:val="20"/>
              </w:rPr>
              <w:t xml:space="preserve">Very high diversity of marine invertebrates, including the large endemic southern Australia seastar </w:t>
            </w:r>
            <w:r w:rsidRPr="00435ED5">
              <w:rPr>
                <w:rFonts w:cs="Arial"/>
                <w:i/>
                <w:sz w:val="20"/>
                <w:szCs w:val="20"/>
              </w:rPr>
              <w:t>Coscinasterias muricata</w:t>
            </w:r>
            <w:r w:rsidRPr="00435ED5">
              <w:rPr>
                <w:rFonts w:cs="Arial"/>
                <w:sz w:val="20"/>
                <w:szCs w:val="20"/>
              </w:rPr>
              <w:t xml:space="preserve"> and the soft coral </w:t>
            </w:r>
            <w:r w:rsidRPr="00435ED5">
              <w:rPr>
                <w:rFonts w:cs="Arial"/>
                <w:i/>
                <w:sz w:val="20"/>
                <w:szCs w:val="20"/>
              </w:rPr>
              <w:t>Pseudogorgia godeffroyi</w:t>
            </w:r>
            <w:r w:rsidRPr="00435ED5">
              <w:rPr>
                <w:rFonts w:cs="Arial"/>
                <w:sz w:val="20"/>
                <w:szCs w:val="20"/>
              </w:rPr>
              <w:t>;</w:t>
            </w:r>
          </w:p>
          <w:p w14:paraId="4723D5F5" w14:textId="77777777" w:rsidR="0018371A" w:rsidRPr="00435ED5" w:rsidRDefault="0018371A" w:rsidP="00567567">
            <w:pPr>
              <w:pStyle w:val="TableText"/>
              <w:numPr>
                <w:ilvl w:val="0"/>
                <w:numId w:val="93"/>
              </w:numPr>
              <w:spacing w:before="60" w:after="60"/>
              <w:rPr>
                <w:rFonts w:cs="Arial"/>
                <w:sz w:val="20"/>
                <w:szCs w:val="20"/>
              </w:rPr>
            </w:pPr>
            <w:r w:rsidRPr="00435ED5">
              <w:rPr>
                <w:rFonts w:cs="Arial"/>
                <w:sz w:val="20"/>
                <w:szCs w:val="20"/>
              </w:rPr>
              <w:t>Scattered low calcarenite reefs providing habitat for a distinctive marine invertebrate fauna, especially sponges</w:t>
            </w:r>
            <w:r w:rsidR="00F54B8A" w:rsidRPr="00435ED5">
              <w:rPr>
                <w:rFonts w:cs="Arial"/>
                <w:sz w:val="20"/>
                <w:szCs w:val="20"/>
              </w:rPr>
              <w:t>, with sparse flora communities of small red algae</w:t>
            </w:r>
            <w:r w:rsidRPr="00435ED5">
              <w:rPr>
                <w:rFonts w:cs="Arial"/>
                <w:sz w:val="20"/>
                <w:szCs w:val="20"/>
              </w:rPr>
              <w:t>; and</w:t>
            </w:r>
          </w:p>
          <w:p w14:paraId="44D3E9AD" w14:textId="77777777" w:rsidR="0018371A" w:rsidRPr="00435ED5" w:rsidRDefault="0018371A" w:rsidP="00567567">
            <w:pPr>
              <w:pStyle w:val="TableText"/>
              <w:numPr>
                <w:ilvl w:val="0"/>
                <w:numId w:val="93"/>
              </w:numPr>
              <w:spacing w:before="60" w:after="60"/>
              <w:rPr>
                <w:rFonts w:cs="Arial"/>
                <w:sz w:val="20"/>
                <w:szCs w:val="20"/>
              </w:rPr>
            </w:pPr>
            <w:r w:rsidRPr="00435ED5">
              <w:rPr>
                <w:rFonts w:cs="Arial"/>
                <w:sz w:val="20"/>
                <w:szCs w:val="20"/>
              </w:rPr>
              <w:t>Important habitat for threatened shorebird species, including species listed under international migratory bird agreements.</w:t>
            </w:r>
          </w:p>
          <w:p w14:paraId="10B86B3E" w14:textId="77777777" w:rsidR="00FE7769" w:rsidRPr="00435ED5" w:rsidRDefault="00FE7769" w:rsidP="00EE55B5">
            <w:pPr>
              <w:pStyle w:val="TableText"/>
              <w:spacing w:before="60" w:after="60"/>
              <w:rPr>
                <w:rFonts w:cs="Arial"/>
                <w:b/>
                <w:sz w:val="20"/>
                <w:szCs w:val="20"/>
              </w:rPr>
            </w:pPr>
            <w:r w:rsidRPr="00435ED5">
              <w:rPr>
                <w:rFonts w:cs="Arial"/>
                <w:b/>
                <w:sz w:val="20"/>
                <w:szCs w:val="20"/>
              </w:rPr>
              <w:t>Physical attributes</w:t>
            </w:r>
          </w:p>
          <w:p w14:paraId="0DF6D164" w14:textId="77777777" w:rsidR="00EE55B5" w:rsidRPr="00435ED5" w:rsidRDefault="00EE55B5" w:rsidP="00EE55B5">
            <w:pPr>
              <w:pStyle w:val="TableText"/>
              <w:spacing w:before="60" w:after="60"/>
              <w:rPr>
                <w:rFonts w:cs="Arial"/>
                <w:sz w:val="20"/>
                <w:szCs w:val="20"/>
              </w:rPr>
            </w:pPr>
            <w:r w:rsidRPr="00435ED5">
              <w:rPr>
                <w:rFonts w:cs="Arial"/>
                <w:sz w:val="20"/>
                <w:szCs w:val="20"/>
              </w:rPr>
              <w:t xml:space="preserve">The low </w:t>
            </w:r>
            <w:r w:rsidR="00FE7769" w:rsidRPr="00435ED5">
              <w:rPr>
                <w:rFonts w:cs="Arial"/>
                <w:sz w:val="20"/>
                <w:szCs w:val="20"/>
              </w:rPr>
              <w:t xml:space="preserve">subtidal </w:t>
            </w:r>
            <w:r w:rsidRPr="00435ED5">
              <w:rPr>
                <w:rFonts w:cs="Arial"/>
                <w:sz w:val="20"/>
                <w:szCs w:val="20"/>
              </w:rPr>
              <w:t>calcarenite reefs scattered throughout the park support a unique invertebrate biota, including colourful sponge gardens. The long sandy beach (the area between the high water and low water marks are included in the park) provide extensive habitat for shorebirds, including international migratory waders and the threatened hooded plover.</w:t>
            </w:r>
          </w:p>
          <w:p w14:paraId="50CB8EB7" w14:textId="77777777" w:rsidR="00FE7769" w:rsidRPr="00435ED5" w:rsidRDefault="00FE7769" w:rsidP="00FE7769">
            <w:pPr>
              <w:pStyle w:val="TableText"/>
              <w:spacing w:before="60" w:after="60"/>
              <w:rPr>
                <w:rFonts w:cs="Arial"/>
                <w:b/>
                <w:sz w:val="20"/>
                <w:szCs w:val="20"/>
              </w:rPr>
            </w:pPr>
            <w:r w:rsidRPr="00435ED5">
              <w:rPr>
                <w:rFonts w:cs="Arial"/>
                <w:b/>
                <w:sz w:val="20"/>
                <w:szCs w:val="20"/>
              </w:rPr>
              <w:t>Habitats</w:t>
            </w:r>
          </w:p>
          <w:p w14:paraId="2C2EF4D3" w14:textId="77777777" w:rsidR="00FE7769" w:rsidRPr="00435ED5" w:rsidRDefault="00FE7769" w:rsidP="00FE7769">
            <w:pPr>
              <w:pStyle w:val="TableText"/>
              <w:spacing w:before="60" w:after="60"/>
              <w:rPr>
                <w:rFonts w:cs="Arial"/>
                <w:sz w:val="20"/>
                <w:szCs w:val="20"/>
              </w:rPr>
            </w:pPr>
            <w:r w:rsidRPr="00435ED5">
              <w:rPr>
                <w:rFonts w:cs="Arial"/>
                <w:sz w:val="20"/>
                <w:szCs w:val="20"/>
              </w:rPr>
              <w:t xml:space="preserve">The Ninety Mile Beach Marine National Park supports four distinct marine ecological communities; these being intertidal sandy beach, subtidal sandy sediment, subtidal reef and open waters. </w:t>
            </w:r>
          </w:p>
          <w:p w14:paraId="2072FD2C" w14:textId="77777777" w:rsidR="00FE7769" w:rsidRPr="00435ED5" w:rsidRDefault="00FE7769" w:rsidP="00EE55B5">
            <w:pPr>
              <w:pStyle w:val="TableText"/>
              <w:spacing w:before="60" w:after="60"/>
              <w:rPr>
                <w:rFonts w:cs="Arial"/>
                <w:b/>
                <w:sz w:val="20"/>
                <w:szCs w:val="20"/>
              </w:rPr>
            </w:pPr>
            <w:r w:rsidRPr="00435ED5">
              <w:rPr>
                <w:rFonts w:cs="Arial"/>
                <w:b/>
                <w:sz w:val="20"/>
                <w:szCs w:val="20"/>
              </w:rPr>
              <w:t xml:space="preserve">Marine </w:t>
            </w:r>
            <w:r w:rsidR="00C372CE" w:rsidRPr="00435ED5">
              <w:rPr>
                <w:rFonts w:cs="Arial"/>
                <w:b/>
                <w:sz w:val="20"/>
                <w:szCs w:val="20"/>
              </w:rPr>
              <w:t>b</w:t>
            </w:r>
            <w:r w:rsidRPr="00435ED5">
              <w:rPr>
                <w:rFonts w:cs="Arial"/>
                <w:b/>
                <w:sz w:val="20"/>
                <w:szCs w:val="20"/>
              </w:rPr>
              <w:t>iodiversity</w:t>
            </w:r>
          </w:p>
          <w:p w14:paraId="76675580" w14:textId="77777777" w:rsidR="00EE55B5" w:rsidRPr="00435ED5" w:rsidRDefault="00EE55B5" w:rsidP="00EE55B5">
            <w:pPr>
              <w:pStyle w:val="TableText"/>
              <w:spacing w:before="60" w:after="60"/>
              <w:rPr>
                <w:rFonts w:cs="Arial"/>
                <w:sz w:val="20"/>
                <w:szCs w:val="20"/>
              </w:rPr>
            </w:pPr>
            <w:r w:rsidRPr="00435ED5">
              <w:rPr>
                <w:rFonts w:cs="Arial"/>
                <w:sz w:val="20"/>
                <w:szCs w:val="20"/>
              </w:rPr>
              <w:t>More than 800 different species were found within 10 m</w:t>
            </w:r>
            <w:r w:rsidRPr="00435ED5">
              <w:rPr>
                <w:rFonts w:cs="Arial"/>
                <w:sz w:val="20"/>
                <w:szCs w:val="20"/>
                <w:vertAlign w:val="superscript"/>
              </w:rPr>
              <w:t>2</w:t>
            </w:r>
            <w:r w:rsidRPr="00435ED5">
              <w:rPr>
                <w:rFonts w:cs="Arial"/>
                <w:sz w:val="20"/>
                <w:szCs w:val="20"/>
              </w:rPr>
              <w:t xml:space="preserve"> of Ninety Mile Beach sand</w:t>
            </w:r>
            <w:r w:rsidR="0018371A" w:rsidRPr="00435ED5">
              <w:rPr>
                <w:rFonts w:cs="Arial"/>
                <w:sz w:val="20"/>
                <w:szCs w:val="20"/>
              </w:rPr>
              <w:t xml:space="preserve"> (compared to 300-400 per 10 m</w:t>
            </w:r>
            <w:r w:rsidR="0018371A" w:rsidRPr="00435ED5">
              <w:rPr>
                <w:rFonts w:cs="Arial"/>
                <w:sz w:val="20"/>
                <w:szCs w:val="20"/>
                <w:vertAlign w:val="superscript"/>
              </w:rPr>
              <w:t>2</w:t>
            </w:r>
            <w:r w:rsidR="0018371A" w:rsidRPr="00435ED5">
              <w:rPr>
                <w:rFonts w:cs="Arial"/>
                <w:sz w:val="20"/>
                <w:szCs w:val="20"/>
              </w:rPr>
              <w:t xml:space="preserve"> in comparable habitats)</w:t>
            </w:r>
            <w:r w:rsidRPr="00435ED5">
              <w:rPr>
                <w:rFonts w:cs="Arial"/>
                <w:sz w:val="20"/>
                <w:szCs w:val="20"/>
              </w:rPr>
              <w:t>,</w:t>
            </w:r>
            <w:r w:rsidR="0018371A" w:rsidRPr="00435ED5">
              <w:rPr>
                <w:rFonts w:cs="Arial"/>
                <w:sz w:val="20"/>
                <w:szCs w:val="20"/>
              </w:rPr>
              <w:t xml:space="preserve"> </w:t>
            </w:r>
            <w:r w:rsidRPr="00435ED5">
              <w:rPr>
                <w:rFonts w:cs="Arial"/>
                <w:sz w:val="20"/>
                <w:szCs w:val="20"/>
              </w:rPr>
              <w:t>making it one of the most biologically diverse</w:t>
            </w:r>
            <w:r w:rsidR="0018371A" w:rsidRPr="00435ED5">
              <w:rPr>
                <w:rFonts w:cs="Arial"/>
                <w:sz w:val="20"/>
                <w:szCs w:val="20"/>
              </w:rPr>
              <w:t xml:space="preserve"> </w:t>
            </w:r>
            <w:r w:rsidRPr="00435ED5">
              <w:rPr>
                <w:rFonts w:cs="Arial"/>
                <w:sz w:val="20"/>
                <w:szCs w:val="20"/>
              </w:rPr>
              <w:t>marine environments in the world.</w:t>
            </w:r>
          </w:p>
          <w:p w14:paraId="75480B81" w14:textId="77777777" w:rsidR="0018371A" w:rsidRPr="00435ED5" w:rsidRDefault="0018371A" w:rsidP="0018371A">
            <w:pPr>
              <w:pStyle w:val="TableText"/>
              <w:spacing w:before="60" w:after="60"/>
              <w:rPr>
                <w:rFonts w:cs="Arial"/>
                <w:sz w:val="20"/>
                <w:szCs w:val="20"/>
              </w:rPr>
            </w:pPr>
            <w:r w:rsidRPr="00435ED5">
              <w:rPr>
                <w:rFonts w:cs="Arial"/>
                <w:sz w:val="20"/>
                <w:szCs w:val="20"/>
              </w:rPr>
              <w:t>Intertidal sand communities along the Ninety Mile Beach are species-poor, which is typical of coarse-grained, steep-faced, high-energy beaches</w:t>
            </w:r>
            <w:r w:rsidR="004E2083" w:rsidRPr="00435ED5">
              <w:rPr>
                <w:rFonts w:cs="Arial"/>
                <w:sz w:val="20"/>
                <w:szCs w:val="20"/>
              </w:rPr>
              <w:t>.</w:t>
            </w:r>
            <w:r w:rsidRPr="00435ED5">
              <w:rPr>
                <w:rFonts w:cs="Arial"/>
                <w:sz w:val="20"/>
                <w:szCs w:val="20"/>
              </w:rPr>
              <w:t xml:space="preserve"> </w:t>
            </w:r>
          </w:p>
          <w:p w14:paraId="67EE4561" w14:textId="77777777" w:rsidR="00EE55B5" w:rsidRPr="00435ED5" w:rsidRDefault="0018371A" w:rsidP="00F54B8A">
            <w:pPr>
              <w:pStyle w:val="TableText"/>
              <w:spacing w:before="60" w:after="60"/>
              <w:rPr>
                <w:rFonts w:cs="Arial"/>
                <w:sz w:val="20"/>
                <w:szCs w:val="20"/>
              </w:rPr>
            </w:pPr>
            <w:r w:rsidRPr="00435ED5">
              <w:rPr>
                <w:rFonts w:cs="Arial"/>
                <w:sz w:val="20"/>
                <w:szCs w:val="20"/>
              </w:rPr>
              <w:t>The subtidal reefs support a community dominated by invertebrates, particularly sponges and sea squirts. Seaweeds are largely absent, possibly because of frequent scouring by shifting sand. The reefs themselves are likely to be periodically covered and uncovered by sand.</w:t>
            </w:r>
          </w:p>
          <w:p w14:paraId="3AE87B45" w14:textId="77777777" w:rsidR="00F54B8A" w:rsidRPr="00435ED5" w:rsidRDefault="00F54B8A" w:rsidP="00500DED">
            <w:pPr>
              <w:pStyle w:val="TableText"/>
              <w:spacing w:before="60" w:after="60"/>
              <w:rPr>
                <w:rFonts w:cs="Arial"/>
                <w:sz w:val="20"/>
                <w:szCs w:val="20"/>
              </w:rPr>
            </w:pPr>
            <w:r w:rsidRPr="00435ED5">
              <w:rPr>
                <w:rFonts w:cs="Arial"/>
                <w:sz w:val="20"/>
                <w:szCs w:val="20"/>
              </w:rPr>
              <w:t>The waters of the park have aggregations of juvenile white shark (</w:t>
            </w:r>
            <w:r w:rsidRPr="00435ED5">
              <w:rPr>
                <w:rFonts w:cs="Arial"/>
                <w:i/>
                <w:sz w:val="20"/>
                <w:szCs w:val="20"/>
              </w:rPr>
              <w:t>Carcharodon carcharias</w:t>
            </w:r>
            <w:r w:rsidRPr="00435ED5">
              <w:rPr>
                <w:rFonts w:cs="Arial"/>
                <w:sz w:val="20"/>
                <w:szCs w:val="20"/>
              </w:rPr>
              <w:t>), snapper (</w:t>
            </w:r>
            <w:r w:rsidRPr="00435ED5">
              <w:rPr>
                <w:rFonts w:cs="Arial"/>
                <w:i/>
                <w:sz w:val="20"/>
                <w:szCs w:val="20"/>
              </w:rPr>
              <w:t>Pagrus auratus</w:t>
            </w:r>
            <w:r w:rsidRPr="00435ED5">
              <w:rPr>
                <w:rFonts w:cs="Arial"/>
                <w:sz w:val="20"/>
                <w:szCs w:val="20"/>
              </w:rPr>
              <w:t>), Australian salmon (</w:t>
            </w:r>
            <w:r w:rsidRPr="00435ED5">
              <w:rPr>
                <w:rFonts w:cs="Arial"/>
                <w:i/>
                <w:sz w:val="20"/>
                <w:szCs w:val="20"/>
              </w:rPr>
              <w:t>Arripis</w:t>
            </w:r>
            <w:r w:rsidRPr="00435ED5">
              <w:rPr>
                <w:rFonts w:cs="Arial"/>
                <w:sz w:val="20"/>
                <w:szCs w:val="20"/>
              </w:rPr>
              <w:t xml:space="preserve"> spp.), long-finned pike (</w:t>
            </w:r>
            <w:r w:rsidRPr="00435ED5">
              <w:rPr>
                <w:rFonts w:cs="Arial"/>
                <w:i/>
                <w:sz w:val="20"/>
                <w:szCs w:val="20"/>
              </w:rPr>
              <w:t>Dinolestes lewini</w:t>
            </w:r>
            <w:r w:rsidRPr="00435ED5">
              <w:rPr>
                <w:rFonts w:cs="Arial"/>
                <w:sz w:val="20"/>
                <w:szCs w:val="20"/>
              </w:rPr>
              <w:t>) and short-finned pike (</w:t>
            </w:r>
            <w:r w:rsidRPr="00435ED5">
              <w:rPr>
                <w:rFonts w:cs="Arial"/>
                <w:i/>
                <w:sz w:val="20"/>
                <w:szCs w:val="20"/>
              </w:rPr>
              <w:t>Sphyaena novaehollandiae</w:t>
            </w:r>
            <w:r w:rsidRPr="00435ED5">
              <w:rPr>
                <w:rFonts w:cs="Arial"/>
                <w:sz w:val="20"/>
                <w:szCs w:val="20"/>
              </w:rPr>
              <w:t>).</w:t>
            </w:r>
            <w:r w:rsidR="00A4767D" w:rsidRPr="00435ED5">
              <w:rPr>
                <w:rFonts w:cs="Arial"/>
                <w:sz w:val="20"/>
                <w:szCs w:val="20"/>
              </w:rPr>
              <w:t xml:space="preserve"> The southern right whale, Australian fur seals and New Zealand fur-seals are known to frequent the park.</w:t>
            </w:r>
          </w:p>
          <w:p w14:paraId="03CDE887" w14:textId="77777777" w:rsidR="00FE7769" w:rsidRPr="00435ED5" w:rsidRDefault="00FE7769" w:rsidP="00500DED">
            <w:pPr>
              <w:pStyle w:val="TableText"/>
              <w:spacing w:before="60" w:after="60"/>
              <w:rPr>
                <w:rFonts w:cs="Arial"/>
                <w:b/>
                <w:sz w:val="20"/>
                <w:szCs w:val="20"/>
              </w:rPr>
            </w:pPr>
            <w:r w:rsidRPr="00435ED5">
              <w:rPr>
                <w:rFonts w:cs="Arial"/>
                <w:b/>
                <w:sz w:val="20"/>
                <w:szCs w:val="20"/>
              </w:rPr>
              <w:t>Shoreline biodiversity</w:t>
            </w:r>
          </w:p>
          <w:p w14:paraId="0D5E2A16" w14:textId="77777777" w:rsidR="00FE7769" w:rsidRPr="00435ED5" w:rsidRDefault="00FE7769" w:rsidP="00FE7769">
            <w:pPr>
              <w:pStyle w:val="TableText"/>
              <w:spacing w:before="60" w:after="60"/>
              <w:rPr>
                <w:rFonts w:cs="Arial"/>
                <w:sz w:val="20"/>
                <w:szCs w:val="20"/>
              </w:rPr>
            </w:pPr>
            <w:r w:rsidRPr="00435ED5">
              <w:rPr>
                <w:rFonts w:cs="Arial"/>
                <w:sz w:val="20"/>
                <w:szCs w:val="20"/>
              </w:rPr>
              <w:t xml:space="preserve">The Ninety Mile Beach is a potentially important area for the endangered hooded plover (listed as vulnerable in Victoria). However, </w:t>
            </w:r>
            <w:r w:rsidRPr="00435ED5">
              <w:rPr>
                <w:rFonts w:cs="Arial"/>
                <w:sz w:val="20"/>
                <w:szCs w:val="20"/>
              </w:rPr>
              <w:lastRenderedPageBreak/>
              <w:t>their numbers between McLoughlins Point and Seaspray on biannual counts between 2000 and 2006 declined markedly from 40 to three, with none observed during the 2004 and 2006 survey. The loss of roosting and nesting areas due to beach erosion may be a major factor. The area is also used by other threatened shorebirds, including crested terns, Caspian terns, pied oystercatchers and sanderlings.</w:t>
            </w:r>
          </w:p>
        </w:tc>
      </w:tr>
      <w:tr w:rsidR="0008399F" w:rsidRPr="00435ED5" w14:paraId="376EF7A5" w14:textId="77777777" w:rsidTr="00024545">
        <w:tc>
          <w:tcPr>
            <w:tcW w:w="1701" w:type="dxa"/>
            <w:shd w:val="clear" w:color="auto" w:fill="auto"/>
          </w:tcPr>
          <w:p w14:paraId="279FE274" w14:textId="77777777" w:rsidR="0008399F" w:rsidRPr="00435ED5" w:rsidRDefault="00976EBA" w:rsidP="00FE48D1">
            <w:pPr>
              <w:pStyle w:val="TableText"/>
              <w:rPr>
                <w:rFonts w:cs="Arial"/>
                <w:b/>
                <w:sz w:val="20"/>
                <w:szCs w:val="20"/>
              </w:rPr>
            </w:pPr>
            <w:r w:rsidRPr="00435ED5">
              <w:rPr>
                <w:rFonts w:cs="Arial"/>
                <w:b/>
                <w:sz w:val="20"/>
                <w:szCs w:val="20"/>
              </w:rPr>
              <w:lastRenderedPageBreak/>
              <w:t xml:space="preserve">Beware Reef </w:t>
            </w:r>
            <w:r w:rsidR="008464D5" w:rsidRPr="00435ED5">
              <w:rPr>
                <w:rFonts w:cs="Arial"/>
                <w:b/>
                <w:sz w:val="20"/>
                <w:szCs w:val="20"/>
              </w:rPr>
              <w:t>Marine Sanctuary</w:t>
            </w:r>
          </w:p>
          <w:p w14:paraId="3BBF329D" w14:textId="77777777" w:rsidR="008464D5" w:rsidRPr="00435ED5" w:rsidRDefault="004F2F19" w:rsidP="008464D5">
            <w:pPr>
              <w:pStyle w:val="TableText"/>
              <w:rPr>
                <w:rFonts w:cs="Arial"/>
                <w:i/>
                <w:sz w:val="20"/>
                <w:szCs w:val="20"/>
              </w:rPr>
            </w:pPr>
            <w:r w:rsidRPr="00435ED5">
              <w:rPr>
                <w:rFonts w:cs="Arial"/>
                <w:i/>
                <w:sz w:val="20"/>
                <w:szCs w:val="20"/>
              </w:rPr>
              <w:t>115</w:t>
            </w:r>
            <w:r w:rsidR="008464D5" w:rsidRPr="00435ED5">
              <w:rPr>
                <w:rFonts w:cs="Arial"/>
                <w:i/>
                <w:sz w:val="20"/>
                <w:szCs w:val="20"/>
              </w:rPr>
              <w:t xml:space="preserve"> km east</w:t>
            </w:r>
            <w:r w:rsidRPr="00435ED5">
              <w:rPr>
                <w:rFonts w:cs="Arial"/>
                <w:i/>
                <w:sz w:val="20"/>
                <w:szCs w:val="20"/>
              </w:rPr>
              <w:t>-northeast</w:t>
            </w:r>
            <w:r w:rsidR="008464D5" w:rsidRPr="00435ED5">
              <w:rPr>
                <w:rFonts w:cs="Arial"/>
                <w:i/>
                <w:sz w:val="20"/>
                <w:szCs w:val="20"/>
              </w:rPr>
              <w:t xml:space="preserve"> of proposed acquisition area</w:t>
            </w:r>
          </w:p>
          <w:p w14:paraId="31058CE6" w14:textId="77777777" w:rsidR="008464D5" w:rsidRPr="00435ED5" w:rsidRDefault="008464D5" w:rsidP="008464D5">
            <w:pPr>
              <w:pStyle w:val="TableText"/>
              <w:rPr>
                <w:rFonts w:cs="Arial"/>
                <w:sz w:val="20"/>
                <w:szCs w:val="20"/>
              </w:rPr>
            </w:pPr>
          </w:p>
          <w:p w14:paraId="3CFB218E" w14:textId="77777777" w:rsidR="008464D5" w:rsidRPr="00435ED5" w:rsidRDefault="008464D5" w:rsidP="008464D5">
            <w:pPr>
              <w:pStyle w:val="TableText"/>
              <w:rPr>
                <w:rFonts w:cs="Arial"/>
                <w:sz w:val="20"/>
                <w:szCs w:val="20"/>
              </w:rPr>
            </w:pPr>
            <w:r w:rsidRPr="00435ED5">
              <w:rPr>
                <w:rFonts w:cs="Arial"/>
                <w:sz w:val="20"/>
                <w:szCs w:val="20"/>
              </w:rPr>
              <w:t>IUCN Category II</w:t>
            </w:r>
          </w:p>
          <w:p w14:paraId="094321CD" w14:textId="77777777" w:rsidR="008464D5" w:rsidRPr="00435ED5" w:rsidRDefault="008464D5" w:rsidP="008464D5">
            <w:pPr>
              <w:pStyle w:val="TableText"/>
              <w:rPr>
                <w:rFonts w:cs="Arial"/>
                <w:sz w:val="20"/>
                <w:szCs w:val="20"/>
              </w:rPr>
            </w:pPr>
          </w:p>
          <w:p w14:paraId="6F746772" w14:textId="2DB1A6A1" w:rsidR="008464D5" w:rsidRPr="00435ED5" w:rsidRDefault="008464D5" w:rsidP="004B4476">
            <w:pPr>
              <w:pStyle w:val="TableText"/>
              <w:rPr>
                <w:rFonts w:cs="Arial"/>
                <w:sz w:val="20"/>
                <w:szCs w:val="20"/>
              </w:rPr>
            </w:pPr>
            <w:r w:rsidRPr="00435ED5">
              <w:rPr>
                <w:rFonts w:cs="Arial"/>
                <w:sz w:val="20"/>
                <w:szCs w:val="20"/>
              </w:rPr>
              <w:t>ParksVictoria Management Plan in place (200</w:t>
            </w:r>
            <w:r w:rsidR="004B4476" w:rsidRPr="00435ED5">
              <w:rPr>
                <w:rFonts w:cs="Arial"/>
                <w:sz w:val="20"/>
                <w:szCs w:val="20"/>
              </w:rPr>
              <w:t>6</w:t>
            </w:r>
            <w:r w:rsidRPr="00435ED5">
              <w:rPr>
                <w:rFonts w:cs="Arial"/>
                <w:sz w:val="20"/>
                <w:szCs w:val="20"/>
              </w:rPr>
              <w:t>)</w:t>
            </w:r>
          </w:p>
        </w:tc>
        <w:tc>
          <w:tcPr>
            <w:tcW w:w="12049" w:type="dxa"/>
            <w:shd w:val="clear" w:color="auto" w:fill="auto"/>
          </w:tcPr>
          <w:p w14:paraId="5FB18689" w14:textId="77777777" w:rsidR="008464D5" w:rsidRPr="00435ED5" w:rsidRDefault="008464D5" w:rsidP="008464D5">
            <w:pPr>
              <w:pStyle w:val="TableText"/>
              <w:spacing w:before="60" w:after="60"/>
              <w:rPr>
                <w:rFonts w:cs="Arial"/>
                <w:b/>
                <w:sz w:val="20"/>
                <w:szCs w:val="20"/>
              </w:rPr>
            </w:pPr>
            <w:r w:rsidRPr="00435ED5">
              <w:rPr>
                <w:rFonts w:cs="Arial"/>
                <w:b/>
                <w:sz w:val="20"/>
                <w:szCs w:val="20"/>
              </w:rPr>
              <w:t>Location and area</w:t>
            </w:r>
          </w:p>
          <w:p w14:paraId="38831501" w14:textId="77777777" w:rsidR="008464D5" w:rsidRPr="00435ED5" w:rsidRDefault="008464D5" w:rsidP="008464D5">
            <w:pPr>
              <w:pStyle w:val="TableText"/>
              <w:rPr>
                <w:rFonts w:cs="Arial"/>
                <w:sz w:val="20"/>
                <w:szCs w:val="20"/>
              </w:rPr>
            </w:pPr>
            <w:r w:rsidRPr="00435ED5">
              <w:rPr>
                <w:rFonts w:cs="Arial"/>
                <w:sz w:val="20"/>
                <w:szCs w:val="20"/>
              </w:rPr>
              <w:t xml:space="preserve">The Beware Reef Marine Sanctuary covers 220 ha and lies 5 km offshore southeast of Cape Conran, in water depths ranging </w:t>
            </w:r>
            <w:r w:rsidR="005C2A64" w:rsidRPr="00435ED5">
              <w:rPr>
                <w:rFonts w:cs="Arial"/>
                <w:sz w:val="20"/>
                <w:szCs w:val="20"/>
              </w:rPr>
              <w:t xml:space="preserve">0 and </w:t>
            </w:r>
            <w:r w:rsidR="005C2A64" w:rsidRPr="00435ED5">
              <w:rPr>
                <w:rFonts w:cs="Arial"/>
                <w:sz w:val="20"/>
                <w:szCs w:val="20"/>
              </w:rPr>
              <w:br/>
              <w:t>40 m.</w:t>
            </w:r>
          </w:p>
          <w:p w14:paraId="17C99C09" w14:textId="77777777" w:rsidR="008464D5" w:rsidRPr="00435ED5" w:rsidRDefault="008464D5" w:rsidP="008464D5">
            <w:pPr>
              <w:pStyle w:val="TableText"/>
              <w:spacing w:before="60" w:after="60"/>
              <w:rPr>
                <w:rFonts w:cs="Arial"/>
                <w:b/>
                <w:sz w:val="20"/>
                <w:szCs w:val="20"/>
              </w:rPr>
            </w:pPr>
            <w:r w:rsidRPr="00435ED5">
              <w:rPr>
                <w:rFonts w:cs="Arial"/>
                <w:b/>
                <w:sz w:val="20"/>
                <w:szCs w:val="20"/>
              </w:rPr>
              <w:t>Key natural values</w:t>
            </w:r>
          </w:p>
          <w:p w14:paraId="2C73C27D" w14:textId="77777777" w:rsidR="008464D5" w:rsidRPr="00435ED5" w:rsidRDefault="008464D5" w:rsidP="008464D5">
            <w:pPr>
              <w:pStyle w:val="TableText"/>
              <w:spacing w:before="60" w:after="60"/>
              <w:rPr>
                <w:rFonts w:cs="Arial"/>
                <w:sz w:val="20"/>
                <w:szCs w:val="20"/>
              </w:rPr>
            </w:pPr>
            <w:r w:rsidRPr="00435ED5">
              <w:rPr>
                <w:rFonts w:cs="Arial"/>
                <w:sz w:val="20"/>
                <w:szCs w:val="20"/>
              </w:rPr>
              <w:t xml:space="preserve">The park’s key natural values are listed as: </w:t>
            </w:r>
          </w:p>
          <w:p w14:paraId="6FF8F83E" w14:textId="77777777" w:rsidR="008464D5" w:rsidRPr="00435ED5" w:rsidRDefault="005C2A64" w:rsidP="00567567">
            <w:pPr>
              <w:pStyle w:val="TableText"/>
              <w:numPr>
                <w:ilvl w:val="0"/>
                <w:numId w:val="93"/>
              </w:numPr>
              <w:spacing w:before="60" w:after="60"/>
              <w:rPr>
                <w:rFonts w:cs="Arial"/>
                <w:sz w:val="20"/>
                <w:szCs w:val="20"/>
              </w:rPr>
            </w:pPr>
            <w:r w:rsidRPr="00435ED5">
              <w:rPr>
                <w:rFonts w:cs="Arial"/>
                <w:sz w:val="20"/>
                <w:szCs w:val="20"/>
              </w:rPr>
              <w:t>A</w:t>
            </w:r>
            <w:r w:rsidR="008464D5" w:rsidRPr="00435ED5">
              <w:rPr>
                <w:rFonts w:cs="Arial"/>
                <w:sz w:val="20"/>
                <w:szCs w:val="20"/>
              </w:rPr>
              <w:t xml:space="preserve"> diversity of habitats, including subtidal</w:t>
            </w:r>
            <w:r w:rsidRPr="00435ED5">
              <w:rPr>
                <w:rFonts w:cs="Arial"/>
                <w:sz w:val="20"/>
                <w:szCs w:val="20"/>
              </w:rPr>
              <w:t xml:space="preserve"> </w:t>
            </w:r>
            <w:r w:rsidR="008464D5" w:rsidRPr="00435ED5">
              <w:rPr>
                <w:rFonts w:cs="Arial"/>
                <w:sz w:val="20"/>
                <w:szCs w:val="20"/>
              </w:rPr>
              <w:t>and intertidal reefs, exposed reefs and</w:t>
            </w:r>
            <w:r w:rsidRPr="00435ED5">
              <w:rPr>
                <w:rFonts w:cs="Arial"/>
                <w:sz w:val="20"/>
                <w:szCs w:val="20"/>
              </w:rPr>
              <w:t xml:space="preserve"> </w:t>
            </w:r>
            <w:r w:rsidR="008464D5" w:rsidRPr="00435ED5">
              <w:rPr>
                <w:rFonts w:cs="Arial"/>
                <w:sz w:val="20"/>
                <w:szCs w:val="20"/>
              </w:rPr>
              <w:t>subtidal soft sediment</w:t>
            </w:r>
            <w:r w:rsidRPr="00435ED5">
              <w:rPr>
                <w:rFonts w:cs="Arial"/>
                <w:sz w:val="20"/>
                <w:szCs w:val="20"/>
              </w:rPr>
              <w:t>.</w:t>
            </w:r>
          </w:p>
          <w:p w14:paraId="3D5863A0" w14:textId="77777777" w:rsidR="008464D5" w:rsidRPr="00435ED5" w:rsidRDefault="005C2A64" w:rsidP="00567567">
            <w:pPr>
              <w:pStyle w:val="TableText"/>
              <w:numPr>
                <w:ilvl w:val="0"/>
                <w:numId w:val="93"/>
              </w:numPr>
              <w:spacing w:before="60" w:after="60"/>
              <w:rPr>
                <w:rFonts w:cs="Arial"/>
                <w:sz w:val="20"/>
                <w:szCs w:val="20"/>
              </w:rPr>
            </w:pPr>
            <w:r w:rsidRPr="00435ED5">
              <w:rPr>
                <w:rFonts w:cs="Arial"/>
                <w:sz w:val="20"/>
                <w:szCs w:val="20"/>
              </w:rPr>
              <w:t>A</w:t>
            </w:r>
            <w:r w:rsidR="008464D5" w:rsidRPr="00435ED5">
              <w:rPr>
                <w:rFonts w:cs="Arial"/>
                <w:sz w:val="20"/>
                <w:szCs w:val="20"/>
              </w:rPr>
              <w:t xml:space="preserve"> haul-out area for Australian Fur Seals</w:t>
            </w:r>
            <w:r w:rsidRPr="00435ED5">
              <w:rPr>
                <w:rFonts w:cs="Arial"/>
                <w:sz w:val="20"/>
                <w:szCs w:val="20"/>
              </w:rPr>
              <w:t xml:space="preserve"> </w:t>
            </w:r>
            <w:r w:rsidR="008464D5" w:rsidRPr="00435ED5">
              <w:rPr>
                <w:rFonts w:cs="Arial"/>
                <w:sz w:val="20"/>
                <w:szCs w:val="20"/>
              </w:rPr>
              <w:t>and New Zealand Fur Seals</w:t>
            </w:r>
            <w:r w:rsidRPr="00435ED5">
              <w:rPr>
                <w:rFonts w:cs="Arial"/>
                <w:sz w:val="20"/>
                <w:szCs w:val="20"/>
              </w:rPr>
              <w:t>.</w:t>
            </w:r>
          </w:p>
          <w:p w14:paraId="02F2C9C5" w14:textId="77777777" w:rsidR="008464D5" w:rsidRPr="00435ED5" w:rsidRDefault="005C2A64" w:rsidP="00567567">
            <w:pPr>
              <w:pStyle w:val="TableText"/>
              <w:numPr>
                <w:ilvl w:val="0"/>
                <w:numId w:val="93"/>
              </w:numPr>
              <w:spacing w:before="60" w:after="60"/>
              <w:rPr>
                <w:rFonts w:cs="Arial"/>
                <w:sz w:val="20"/>
                <w:szCs w:val="20"/>
              </w:rPr>
            </w:pPr>
            <w:r w:rsidRPr="00435ED5">
              <w:rPr>
                <w:rFonts w:cs="Arial"/>
                <w:sz w:val="20"/>
                <w:szCs w:val="20"/>
              </w:rPr>
              <w:t>A</w:t>
            </w:r>
            <w:r w:rsidR="008464D5" w:rsidRPr="00435ED5">
              <w:rPr>
                <w:rFonts w:cs="Arial"/>
                <w:sz w:val="20"/>
                <w:szCs w:val="20"/>
              </w:rPr>
              <w:t xml:space="preserve"> diversity of invertebrates and fish species</w:t>
            </w:r>
            <w:r w:rsidRPr="00435ED5">
              <w:rPr>
                <w:rFonts w:cs="Arial"/>
                <w:sz w:val="20"/>
                <w:szCs w:val="20"/>
              </w:rPr>
              <w:t>.</w:t>
            </w:r>
          </w:p>
          <w:p w14:paraId="37333979" w14:textId="77777777" w:rsidR="008464D5" w:rsidRPr="00435ED5" w:rsidRDefault="005C2A64" w:rsidP="00567567">
            <w:pPr>
              <w:pStyle w:val="TableText"/>
              <w:numPr>
                <w:ilvl w:val="0"/>
                <w:numId w:val="93"/>
              </w:numPr>
              <w:spacing w:before="60" w:after="60"/>
              <w:rPr>
                <w:rFonts w:cs="Arial"/>
                <w:sz w:val="20"/>
                <w:szCs w:val="20"/>
              </w:rPr>
            </w:pPr>
            <w:r w:rsidRPr="00435ED5">
              <w:rPr>
                <w:rFonts w:cs="Arial"/>
                <w:sz w:val="20"/>
                <w:szCs w:val="20"/>
              </w:rPr>
              <w:t>A</w:t>
            </w:r>
            <w:r w:rsidR="008464D5" w:rsidRPr="00435ED5">
              <w:rPr>
                <w:rFonts w:cs="Arial"/>
                <w:sz w:val="20"/>
                <w:szCs w:val="20"/>
              </w:rPr>
              <w:t xml:space="preserve"> reef environment, including shipwrecks,</w:t>
            </w:r>
            <w:r w:rsidRPr="00435ED5">
              <w:rPr>
                <w:rFonts w:cs="Arial"/>
                <w:sz w:val="20"/>
                <w:szCs w:val="20"/>
              </w:rPr>
              <w:t xml:space="preserve"> </w:t>
            </w:r>
            <w:r w:rsidR="008464D5" w:rsidRPr="00435ED5">
              <w:rPr>
                <w:rFonts w:cs="Arial"/>
                <w:sz w:val="20"/>
                <w:szCs w:val="20"/>
              </w:rPr>
              <w:t>rich in marine biota</w:t>
            </w:r>
            <w:r w:rsidRPr="00435ED5">
              <w:rPr>
                <w:rFonts w:cs="Arial"/>
                <w:sz w:val="20"/>
                <w:szCs w:val="20"/>
              </w:rPr>
              <w:t>.</w:t>
            </w:r>
          </w:p>
          <w:p w14:paraId="4330A58F" w14:textId="77777777" w:rsidR="008464D5" w:rsidRPr="00435ED5" w:rsidRDefault="005C2A64" w:rsidP="00567567">
            <w:pPr>
              <w:pStyle w:val="TableText"/>
              <w:numPr>
                <w:ilvl w:val="0"/>
                <w:numId w:val="93"/>
              </w:numPr>
              <w:spacing w:before="60" w:after="60"/>
              <w:rPr>
                <w:rFonts w:cs="Arial"/>
                <w:sz w:val="20"/>
                <w:szCs w:val="20"/>
              </w:rPr>
            </w:pPr>
            <w:r w:rsidRPr="00435ED5">
              <w:rPr>
                <w:rFonts w:cs="Arial"/>
                <w:sz w:val="20"/>
                <w:szCs w:val="20"/>
              </w:rPr>
              <w:t>T</w:t>
            </w:r>
            <w:r w:rsidR="008464D5" w:rsidRPr="00435ED5">
              <w:rPr>
                <w:rFonts w:cs="Arial"/>
                <w:sz w:val="20"/>
                <w:szCs w:val="20"/>
              </w:rPr>
              <w:t>hreatened fauna, including several bird</w:t>
            </w:r>
            <w:r w:rsidRPr="00435ED5">
              <w:rPr>
                <w:rFonts w:cs="Arial"/>
                <w:sz w:val="20"/>
                <w:szCs w:val="20"/>
              </w:rPr>
              <w:t xml:space="preserve"> </w:t>
            </w:r>
            <w:r w:rsidR="008464D5" w:rsidRPr="00435ED5">
              <w:rPr>
                <w:rFonts w:cs="Arial"/>
                <w:sz w:val="20"/>
                <w:szCs w:val="20"/>
              </w:rPr>
              <w:t>species and marine mammals</w:t>
            </w:r>
            <w:r w:rsidRPr="00435ED5">
              <w:rPr>
                <w:rFonts w:cs="Arial"/>
                <w:sz w:val="20"/>
                <w:szCs w:val="20"/>
              </w:rPr>
              <w:t>.</w:t>
            </w:r>
          </w:p>
          <w:p w14:paraId="3C4C3E2F" w14:textId="77777777" w:rsidR="008464D5" w:rsidRPr="00435ED5" w:rsidRDefault="005C2A64" w:rsidP="00567567">
            <w:pPr>
              <w:pStyle w:val="TableText"/>
              <w:numPr>
                <w:ilvl w:val="0"/>
                <w:numId w:val="93"/>
              </w:numPr>
              <w:spacing w:before="60" w:after="60"/>
              <w:rPr>
                <w:rFonts w:cs="Arial"/>
                <w:sz w:val="20"/>
                <w:szCs w:val="20"/>
              </w:rPr>
            </w:pPr>
            <w:r w:rsidRPr="00435ED5">
              <w:rPr>
                <w:rFonts w:cs="Arial"/>
                <w:sz w:val="20"/>
                <w:szCs w:val="20"/>
              </w:rPr>
              <w:t>O</w:t>
            </w:r>
            <w:r w:rsidR="008464D5" w:rsidRPr="00435ED5">
              <w:rPr>
                <w:rFonts w:cs="Arial"/>
                <w:sz w:val="20"/>
                <w:szCs w:val="20"/>
              </w:rPr>
              <w:t>utstanding landscapes, seascapes and</w:t>
            </w:r>
            <w:r w:rsidRPr="00435ED5">
              <w:rPr>
                <w:rFonts w:cs="Arial"/>
                <w:sz w:val="20"/>
                <w:szCs w:val="20"/>
              </w:rPr>
              <w:t xml:space="preserve"> </w:t>
            </w:r>
            <w:r w:rsidR="008464D5" w:rsidRPr="00435ED5">
              <w:rPr>
                <w:rFonts w:cs="Arial"/>
                <w:sz w:val="20"/>
                <w:szCs w:val="20"/>
              </w:rPr>
              <w:t>spectacular underwater scenery</w:t>
            </w:r>
            <w:r w:rsidRPr="00435ED5">
              <w:rPr>
                <w:rFonts w:cs="Arial"/>
                <w:sz w:val="20"/>
                <w:szCs w:val="20"/>
              </w:rPr>
              <w:t>.</w:t>
            </w:r>
          </w:p>
          <w:p w14:paraId="53FA65BE" w14:textId="77777777" w:rsidR="008464D5" w:rsidRPr="00435ED5" w:rsidRDefault="005C2A64" w:rsidP="00567567">
            <w:pPr>
              <w:pStyle w:val="TableText"/>
              <w:numPr>
                <w:ilvl w:val="0"/>
                <w:numId w:val="93"/>
              </w:numPr>
              <w:spacing w:before="60" w:after="60"/>
              <w:rPr>
                <w:rFonts w:cs="Arial"/>
                <w:sz w:val="20"/>
                <w:szCs w:val="20"/>
              </w:rPr>
            </w:pPr>
            <w:r w:rsidRPr="00435ED5">
              <w:rPr>
                <w:rFonts w:cs="Arial"/>
                <w:sz w:val="20"/>
                <w:szCs w:val="20"/>
              </w:rPr>
              <w:t>E</w:t>
            </w:r>
            <w:r w:rsidR="008464D5" w:rsidRPr="00435ED5">
              <w:rPr>
                <w:rFonts w:cs="Arial"/>
                <w:sz w:val="20"/>
                <w:szCs w:val="20"/>
              </w:rPr>
              <w:t>xcellent opportunities for scientific</w:t>
            </w:r>
            <w:r w:rsidRPr="00435ED5">
              <w:rPr>
                <w:rFonts w:cs="Arial"/>
                <w:sz w:val="20"/>
                <w:szCs w:val="20"/>
              </w:rPr>
              <w:t xml:space="preserve"> </w:t>
            </w:r>
            <w:r w:rsidR="008464D5" w:rsidRPr="00435ED5">
              <w:rPr>
                <w:rFonts w:cs="Arial"/>
                <w:sz w:val="20"/>
                <w:szCs w:val="20"/>
              </w:rPr>
              <w:t>investigation and learning</w:t>
            </w:r>
            <w:r w:rsidRPr="00435ED5">
              <w:rPr>
                <w:rFonts w:cs="Arial"/>
                <w:sz w:val="20"/>
                <w:szCs w:val="20"/>
              </w:rPr>
              <w:t>.</w:t>
            </w:r>
          </w:p>
          <w:p w14:paraId="481E0D9A" w14:textId="77777777" w:rsidR="008464D5" w:rsidRPr="00435ED5" w:rsidRDefault="005C2A64" w:rsidP="00567567">
            <w:pPr>
              <w:pStyle w:val="TableText"/>
              <w:numPr>
                <w:ilvl w:val="0"/>
                <w:numId w:val="93"/>
              </w:numPr>
              <w:spacing w:before="60" w:after="60"/>
              <w:rPr>
                <w:rFonts w:cs="Arial"/>
                <w:sz w:val="20"/>
                <w:szCs w:val="20"/>
              </w:rPr>
            </w:pPr>
            <w:r w:rsidRPr="00435ED5">
              <w:rPr>
                <w:rFonts w:cs="Arial"/>
                <w:sz w:val="20"/>
                <w:szCs w:val="20"/>
              </w:rPr>
              <w:t>O</w:t>
            </w:r>
            <w:r w:rsidR="008464D5" w:rsidRPr="00435ED5">
              <w:rPr>
                <w:rFonts w:cs="Arial"/>
                <w:sz w:val="20"/>
                <w:szCs w:val="20"/>
              </w:rPr>
              <w:t>pportunities to build knowledge of</w:t>
            </w:r>
            <w:r w:rsidRPr="00435ED5">
              <w:rPr>
                <w:rFonts w:cs="Arial"/>
                <w:sz w:val="20"/>
                <w:szCs w:val="20"/>
              </w:rPr>
              <w:t xml:space="preserve"> </w:t>
            </w:r>
            <w:r w:rsidR="008464D5" w:rsidRPr="00435ED5">
              <w:rPr>
                <w:rFonts w:cs="Arial"/>
                <w:sz w:val="20"/>
                <w:szCs w:val="20"/>
              </w:rPr>
              <w:t>marine protected areas and their</w:t>
            </w:r>
            <w:r w:rsidRPr="00435ED5">
              <w:rPr>
                <w:rFonts w:cs="Arial"/>
                <w:sz w:val="20"/>
                <w:szCs w:val="20"/>
              </w:rPr>
              <w:t xml:space="preserve"> </w:t>
            </w:r>
            <w:r w:rsidR="008464D5" w:rsidRPr="00435ED5">
              <w:rPr>
                <w:rFonts w:cs="Arial"/>
                <w:sz w:val="20"/>
                <w:szCs w:val="20"/>
              </w:rPr>
              <w:t>management and to further understand</w:t>
            </w:r>
            <w:r w:rsidRPr="00435ED5">
              <w:rPr>
                <w:rFonts w:cs="Arial"/>
                <w:sz w:val="20"/>
                <w:szCs w:val="20"/>
              </w:rPr>
              <w:t xml:space="preserve"> </w:t>
            </w:r>
            <w:r w:rsidR="008464D5" w:rsidRPr="00435ED5">
              <w:rPr>
                <w:rFonts w:cs="Arial"/>
                <w:sz w:val="20"/>
                <w:szCs w:val="20"/>
              </w:rPr>
              <w:t>marine ecological function and changes</w:t>
            </w:r>
            <w:r w:rsidRPr="00435ED5">
              <w:rPr>
                <w:rFonts w:cs="Arial"/>
                <w:sz w:val="20"/>
                <w:szCs w:val="20"/>
              </w:rPr>
              <w:t xml:space="preserve"> </w:t>
            </w:r>
            <w:r w:rsidR="008464D5" w:rsidRPr="00435ED5">
              <w:rPr>
                <w:rFonts w:cs="Arial"/>
                <w:sz w:val="20"/>
                <w:szCs w:val="20"/>
              </w:rPr>
              <w:t>over time.</w:t>
            </w:r>
          </w:p>
          <w:p w14:paraId="43FCB625" w14:textId="77777777" w:rsidR="008464D5" w:rsidRPr="00435ED5" w:rsidRDefault="008464D5" w:rsidP="008464D5">
            <w:pPr>
              <w:pStyle w:val="TableText"/>
              <w:spacing w:before="60" w:after="60"/>
              <w:rPr>
                <w:rFonts w:cs="Arial"/>
                <w:b/>
                <w:sz w:val="20"/>
                <w:szCs w:val="20"/>
              </w:rPr>
            </w:pPr>
            <w:r w:rsidRPr="00435ED5">
              <w:rPr>
                <w:rFonts w:cs="Arial"/>
                <w:b/>
                <w:sz w:val="20"/>
                <w:szCs w:val="20"/>
              </w:rPr>
              <w:t>Physical attributes</w:t>
            </w:r>
          </w:p>
          <w:p w14:paraId="50E4842E" w14:textId="77777777" w:rsidR="005C2A64" w:rsidRPr="00435ED5" w:rsidRDefault="008464D5" w:rsidP="008464D5">
            <w:pPr>
              <w:pStyle w:val="TableText"/>
              <w:rPr>
                <w:rFonts w:cs="Arial"/>
                <w:sz w:val="20"/>
                <w:szCs w:val="20"/>
              </w:rPr>
            </w:pPr>
            <w:r w:rsidRPr="00435ED5">
              <w:rPr>
                <w:rFonts w:cs="Arial"/>
                <w:sz w:val="20"/>
                <w:szCs w:val="20"/>
              </w:rPr>
              <w:t xml:space="preserve">It is composed of a </w:t>
            </w:r>
            <w:r w:rsidR="001F7672" w:rsidRPr="00435ED5">
              <w:rPr>
                <w:rFonts w:cs="Arial"/>
                <w:sz w:val="20"/>
                <w:szCs w:val="20"/>
              </w:rPr>
              <w:t xml:space="preserve">permanently exposed </w:t>
            </w:r>
            <w:r w:rsidRPr="00435ED5">
              <w:rPr>
                <w:rFonts w:cs="Arial"/>
                <w:sz w:val="20"/>
                <w:szCs w:val="20"/>
              </w:rPr>
              <w:t xml:space="preserve">granite </w:t>
            </w:r>
            <w:r w:rsidR="001F7672" w:rsidRPr="00435ED5">
              <w:rPr>
                <w:rFonts w:cs="Arial"/>
                <w:sz w:val="20"/>
                <w:szCs w:val="20"/>
              </w:rPr>
              <w:t>reef</w:t>
            </w:r>
            <w:r w:rsidRPr="00435ED5">
              <w:rPr>
                <w:rFonts w:cs="Arial"/>
                <w:sz w:val="20"/>
                <w:szCs w:val="20"/>
              </w:rPr>
              <w:t xml:space="preserve"> that emerges from the sandy floor approximately 28</w:t>
            </w:r>
            <w:r w:rsidR="001F7672" w:rsidRPr="00435ED5">
              <w:rPr>
                <w:rFonts w:cs="Arial"/>
                <w:sz w:val="20"/>
                <w:szCs w:val="20"/>
              </w:rPr>
              <w:t xml:space="preserve"> </w:t>
            </w:r>
            <w:r w:rsidRPr="00435ED5">
              <w:rPr>
                <w:rFonts w:cs="Arial"/>
                <w:sz w:val="20"/>
                <w:szCs w:val="20"/>
              </w:rPr>
              <w:t>m deep. The reef is 70m long above water and continues for 1</w:t>
            </w:r>
            <w:r w:rsidR="001F7672" w:rsidRPr="00435ED5">
              <w:rPr>
                <w:rFonts w:cs="Arial"/>
                <w:sz w:val="20"/>
                <w:szCs w:val="20"/>
              </w:rPr>
              <w:t xml:space="preserve"> </w:t>
            </w:r>
            <w:r w:rsidRPr="00435ED5">
              <w:rPr>
                <w:rFonts w:cs="Arial"/>
                <w:sz w:val="20"/>
                <w:szCs w:val="20"/>
              </w:rPr>
              <w:t xml:space="preserve">km below the water to the southeast. </w:t>
            </w:r>
            <w:r w:rsidR="001F7672" w:rsidRPr="00435ED5">
              <w:rPr>
                <w:rFonts w:cs="Arial"/>
                <w:sz w:val="20"/>
                <w:szCs w:val="20"/>
              </w:rPr>
              <w:t>The reef is characterised by numerous bisecting subtidal gutters.</w:t>
            </w:r>
          </w:p>
          <w:p w14:paraId="69AFB146" w14:textId="77777777" w:rsidR="008464D5" w:rsidRPr="00435ED5" w:rsidRDefault="008464D5" w:rsidP="008464D5">
            <w:pPr>
              <w:pStyle w:val="TableText"/>
              <w:rPr>
                <w:rFonts w:cs="Arial"/>
                <w:sz w:val="20"/>
                <w:szCs w:val="20"/>
              </w:rPr>
            </w:pPr>
            <w:r w:rsidRPr="00435ED5">
              <w:rPr>
                <w:rFonts w:cs="Arial"/>
                <w:sz w:val="20"/>
                <w:szCs w:val="20"/>
              </w:rPr>
              <w:t>There are also three shipwrecks within the park.</w:t>
            </w:r>
          </w:p>
          <w:p w14:paraId="1430BF19" w14:textId="77777777" w:rsidR="008464D5" w:rsidRPr="00435ED5" w:rsidRDefault="008464D5" w:rsidP="008464D5">
            <w:pPr>
              <w:pStyle w:val="TableText"/>
              <w:rPr>
                <w:rFonts w:cs="Arial"/>
                <w:b/>
                <w:sz w:val="20"/>
                <w:szCs w:val="20"/>
              </w:rPr>
            </w:pPr>
            <w:r w:rsidRPr="00435ED5">
              <w:rPr>
                <w:rFonts w:cs="Arial"/>
                <w:b/>
                <w:sz w:val="20"/>
                <w:szCs w:val="20"/>
              </w:rPr>
              <w:t>Habitats</w:t>
            </w:r>
          </w:p>
          <w:p w14:paraId="2D1FCE71" w14:textId="77777777" w:rsidR="005C2A64" w:rsidRPr="00435ED5" w:rsidRDefault="005C2A64" w:rsidP="005C2A64">
            <w:pPr>
              <w:pStyle w:val="TableText"/>
              <w:rPr>
                <w:rFonts w:cs="Arial"/>
                <w:sz w:val="20"/>
                <w:szCs w:val="20"/>
              </w:rPr>
            </w:pPr>
            <w:r w:rsidRPr="00435ED5">
              <w:rPr>
                <w:rFonts w:cs="Arial"/>
                <w:sz w:val="20"/>
                <w:szCs w:val="20"/>
              </w:rPr>
              <w:t xml:space="preserve">Beware Reef Marine Sanctuary supports five known marine ecological communities, these being subtidal soft sediment, subtidal reef, intertidal reef, exposed reef and pelagic communities. The substrate relief is high profile reef, with a substrate texture consisting of </w:t>
            </w:r>
            <w:r w:rsidRPr="00435ED5">
              <w:rPr>
                <w:rFonts w:cs="Arial"/>
                <w:sz w:val="20"/>
                <w:szCs w:val="20"/>
              </w:rPr>
              <w:lastRenderedPageBreak/>
              <w:t>broken reef, gutters, outcrops, coarse sand, medium sand, shell rubble and grit.</w:t>
            </w:r>
          </w:p>
          <w:p w14:paraId="383F8CE8" w14:textId="77777777" w:rsidR="008464D5" w:rsidRPr="00435ED5" w:rsidRDefault="008464D5" w:rsidP="008464D5">
            <w:pPr>
              <w:pStyle w:val="TableText"/>
              <w:rPr>
                <w:rFonts w:cs="Arial"/>
                <w:b/>
                <w:sz w:val="20"/>
                <w:szCs w:val="20"/>
              </w:rPr>
            </w:pPr>
            <w:r w:rsidRPr="00435ED5">
              <w:rPr>
                <w:rFonts w:cs="Arial"/>
                <w:b/>
                <w:sz w:val="20"/>
                <w:szCs w:val="20"/>
              </w:rPr>
              <w:t>Marine biodiversity</w:t>
            </w:r>
            <w:r w:rsidR="005C2A64" w:rsidRPr="00435ED5">
              <w:rPr>
                <w:rFonts w:cs="Arial"/>
                <w:b/>
                <w:sz w:val="20"/>
                <w:szCs w:val="20"/>
              </w:rPr>
              <w:t xml:space="preserve"> </w:t>
            </w:r>
          </w:p>
          <w:p w14:paraId="790D8189" w14:textId="77777777" w:rsidR="001F7672" w:rsidRPr="00435ED5" w:rsidRDefault="001F7672" w:rsidP="008464D5">
            <w:pPr>
              <w:pStyle w:val="TableText"/>
              <w:rPr>
                <w:rFonts w:cs="Arial"/>
                <w:sz w:val="20"/>
                <w:szCs w:val="20"/>
              </w:rPr>
            </w:pPr>
            <w:r w:rsidRPr="00435ED5">
              <w:rPr>
                <w:rFonts w:cs="Arial"/>
                <w:sz w:val="20"/>
                <w:szCs w:val="20"/>
              </w:rPr>
              <w:t xml:space="preserve">Subtidal soft sediment communities are the most widespread within the sanctuary, likely to support (though unconfirmed through surveys) various polychaete, isopod, amphipod, cumacean and cephalopod species. Species such as spotted stingaree, gurnard, flathead, common gurnard perch, banded stingaree and school whiting may have a seasonal presence in and around the sanctuary. </w:t>
            </w:r>
          </w:p>
          <w:p w14:paraId="162F5C22" w14:textId="77777777" w:rsidR="001F7672" w:rsidRPr="00435ED5" w:rsidRDefault="001F7672" w:rsidP="008464D5">
            <w:pPr>
              <w:pStyle w:val="TableText"/>
              <w:rPr>
                <w:rFonts w:cs="Arial"/>
                <w:sz w:val="20"/>
                <w:szCs w:val="20"/>
              </w:rPr>
            </w:pPr>
            <w:r w:rsidRPr="00435ED5">
              <w:rPr>
                <w:rFonts w:cs="Arial"/>
                <w:sz w:val="20"/>
                <w:szCs w:val="20"/>
              </w:rPr>
              <w:t>Thick stands of bull kelp dominate lower intertidal reef communities of the sanctuary, with the cunjevoi sea squirt (</w:t>
            </w:r>
            <w:r w:rsidRPr="00435ED5">
              <w:rPr>
                <w:rFonts w:cs="Arial"/>
                <w:i/>
                <w:sz w:val="20"/>
                <w:szCs w:val="20"/>
              </w:rPr>
              <w:t>Pyura stolonifera</w:t>
            </w:r>
            <w:r w:rsidRPr="00435ED5">
              <w:rPr>
                <w:rFonts w:cs="Arial"/>
                <w:sz w:val="20"/>
                <w:szCs w:val="20"/>
              </w:rPr>
              <w:t xml:space="preserve">) being the dominant invertebrate on the intertidal reef. </w:t>
            </w:r>
          </w:p>
          <w:p w14:paraId="31EE4577" w14:textId="77777777" w:rsidR="001F7672" w:rsidRPr="00435ED5" w:rsidRDefault="001F7672" w:rsidP="001F7672">
            <w:pPr>
              <w:pStyle w:val="TableText"/>
              <w:rPr>
                <w:rFonts w:cs="Arial"/>
                <w:sz w:val="20"/>
                <w:szCs w:val="20"/>
              </w:rPr>
            </w:pPr>
            <w:r w:rsidRPr="00435ED5">
              <w:rPr>
                <w:rFonts w:cs="Arial"/>
                <w:sz w:val="20"/>
                <w:szCs w:val="20"/>
              </w:rPr>
              <w:t xml:space="preserve">A variety of brown algae occupy waters less than 10 m deep, along with red coralline turf algae and </w:t>
            </w:r>
            <w:r w:rsidR="000811C6" w:rsidRPr="00435ED5">
              <w:rPr>
                <w:rFonts w:cs="Arial"/>
                <w:sz w:val="20"/>
                <w:szCs w:val="20"/>
              </w:rPr>
              <w:t>b</w:t>
            </w:r>
            <w:r w:rsidRPr="00435ED5">
              <w:rPr>
                <w:rFonts w:cs="Arial"/>
                <w:sz w:val="20"/>
                <w:szCs w:val="20"/>
              </w:rPr>
              <w:t xml:space="preserve">ull </w:t>
            </w:r>
            <w:r w:rsidR="000811C6" w:rsidRPr="00435ED5">
              <w:rPr>
                <w:rFonts w:cs="Arial"/>
                <w:sz w:val="20"/>
                <w:szCs w:val="20"/>
              </w:rPr>
              <w:t>k</w:t>
            </w:r>
            <w:r w:rsidRPr="00435ED5">
              <w:rPr>
                <w:rFonts w:cs="Arial"/>
                <w:sz w:val="20"/>
                <w:szCs w:val="20"/>
              </w:rPr>
              <w:t>elp on the edges of the reef. In deeper waters (13–20 m)</w:t>
            </w:r>
            <w:r w:rsidR="000811C6" w:rsidRPr="00435ED5">
              <w:rPr>
                <w:rFonts w:cs="Arial"/>
                <w:sz w:val="20"/>
                <w:szCs w:val="20"/>
              </w:rPr>
              <w:t>,</w:t>
            </w:r>
            <w:r w:rsidRPr="00435ED5">
              <w:rPr>
                <w:rFonts w:cs="Arial"/>
                <w:sz w:val="20"/>
                <w:szCs w:val="20"/>
              </w:rPr>
              <w:t xml:space="preserve"> </w:t>
            </w:r>
            <w:r w:rsidR="000811C6" w:rsidRPr="00435ED5">
              <w:rPr>
                <w:rFonts w:cs="Arial"/>
                <w:sz w:val="20"/>
                <w:szCs w:val="20"/>
              </w:rPr>
              <w:t>l</w:t>
            </w:r>
            <w:r w:rsidRPr="00435ED5">
              <w:rPr>
                <w:rFonts w:cs="Arial"/>
                <w:sz w:val="20"/>
                <w:szCs w:val="20"/>
              </w:rPr>
              <w:t xml:space="preserve">ong </w:t>
            </w:r>
            <w:r w:rsidR="000811C6" w:rsidRPr="00435ED5">
              <w:rPr>
                <w:rFonts w:cs="Arial"/>
                <w:sz w:val="20"/>
                <w:szCs w:val="20"/>
              </w:rPr>
              <w:t>s</w:t>
            </w:r>
            <w:r w:rsidRPr="00435ED5">
              <w:rPr>
                <w:rFonts w:cs="Arial"/>
                <w:sz w:val="20"/>
                <w:szCs w:val="20"/>
              </w:rPr>
              <w:t xml:space="preserve">triped </w:t>
            </w:r>
            <w:r w:rsidRPr="00435ED5">
              <w:rPr>
                <w:rFonts w:cs="Arial"/>
                <w:i/>
                <w:sz w:val="20"/>
                <w:szCs w:val="20"/>
              </w:rPr>
              <w:t>Ecklonia</w:t>
            </w:r>
            <w:r w:rsidRPr="00435ED5">
              <w:rPr>
                <w:rFonts w:cs="Arial"/>
                <w:sz w:val="20"/>
                <w:szCs w:val="20"/>
              </w:rPr>
              <w:t xml:space="preserve"> dominates the flora. There are mixed stands of the canopy</w:t>
            </w:r>
            <w:r w:rsidR="000811C6" w:rsidRPr="00435ED5">
              <w:rPr>
                <w:rFonts w:cs="Arial"/>
                <w:sz w:val="20"/>
                <w:szCs w:val="20"/>
              </w:rPr>
              <w:t>-</w:t>
            </w:r>
            <w:r w:rsidRPr="00435ED5">
              <w:rPr>
                <w:rFonts w:cs="Arial"/>
                <w:sz w:val="20"/>
                <w:szCs w:val="20"/>
              </w:rPr>
              <w:t xml:space="preserve">forming brown algae </w:t>
            </w:r>
            <w:r w:rsidR="000811C6" w:rsidRPr="00435ED5">
              <w:rPr>
                <w:rFonts w:cs="Arial"/>
                <w:sz w:val="20"/>
                <w:szCs w:val="20"/>
              </w:rPr>
              <w:t>c</w:t>
            </w:r>
            <w:r w:rsidRPr="00435ED5">
              <w:rPr>
                <w:rFonts w:cs="Arial"/>
                <w:sz w:val="20"/>
                <w:szCs w:val="20"/>
              </w:rPr>
              <w:t xml:space="preserve">rayweed and </w:t>
            </w:r>
            <w:r w:rsidR="000811C6" w:rsidRPr="00435ED5">
              <w:rPr>
                <w:rFonts w:cs="Arial"/>
                <w:sz w:val="20"/>
                <w:szCs w:val="20"/>
              </w:rPr>
              <w:t>c</w:t>
            </w:r>
            <w:r w:rsidRPr="00435ED5">
              <w:rPr>
                <w:rFonts w:cs="Arial"/>
                <w:sz w:val="20"/>
                <w:szCs w:val="20"/>
              </w:rPr>
              <w:t xml:space="preserve">ommon </w:t>
            </w:r>
            <w:r w:rsidR="000811C6" w:rsidRPr="00435ED5">
              <w:rPr>
                <w:rFonts w:cs="Arial"/>
                <w:sz w:val="20"/>
                <w:szCs w:val="20"/>
              </w:rPr>
              <w:t>k</w:t>
            </w:r>
            <w:r w:rsidRPr="00435ED5">
              <w:rPr>
                <w:rFonts w:cs="Arial"/>
                <w:sz w:val="20"/>
                <w:szCs w:val="20"/>
              </w:rPr>
              <w:t>elp. An abundant and diverse assemblage of invertebrates is occup</w:t>
            </w:r>
            <w:r w:rsidR="0087112D" w:rsidRPr="00435ED5">
              <w:rPr>
                <w:rFonts w:cs="Arial"/>
                <w:sz w:val="20"/>
                <w:szCs w:val="20"/>
              </w:rPr>
              <w:t>y</w:t>
            </w:r>
            <w:r w:rsidRPr="00435ED5">
              <w:rPr>
                <w:rFonts w:cs="Arial"/>
                <w:sz w:val="20"/>
                <w:szCs w:val="20"/>
              </w:rPr>
              <w:t xml:space="preserve"> the subtidal reef area,</w:t>
            </w:r>
            <w:r w:rsidR="000811C6" w:rsidRPr="00435ED5">
              <w:rPr>
                <w:rFonts w:cs="Arial"/>
                <w:sz w:val="20"/>
                <w:szCs w:val="20"/>
              </w:rPr>
              <w:t xml:space="preserve"> </w:t>
            </w:r>
            <w:r w:rsidRPr="00435ED5">
              <w:rPr>
                <w:rFonts w:cs="Arial"/>
                <w:sz w:val="20"/>
                <w:szCs w:val="20"/>
              </w:rPr>
              <w:t>including anemones, encrusting sponges, large</w:t>
            </w:r>
            <w:r w:rsidR="000811C6" w:rsidRPr="00435ED5">
              <w:rPr>
                <w:rFonts w:cs="Arial"/>
                <w:sz w:val="20"/>
                <w:szCs w:val="20"/>
              </w:rPr>
              <w:t xml:space="preserve"> </w:t>
            </w:r>
            <w:r w:rsidRPr="00435ED5">
              <w:rPr>
                <w:rFonts w:cs="Arial"/>
                <w:sz w:val="20"/>
                <w:szCs w:val="20"/>
              </w:rPr>
              <w:t>finger sponges, colonial and stalked ascidians,</w:t>
            </w:r>
            <w:r w:rsidR="000811C6" w:rsidRPr="00435ED5">
              <w:rPr>
                <w:rFonts w:cs="Arial"/>
                <w:sz w:val="20"/>
                <w:szCs w:val="20"/>
              </w:rPr>
              <w:t xml:space="preserve"> </w:t>
            </w:r>
            <w:r w:rsidRPr="00435ED5">
              <w:rPr>
                <w:rFonts w:cs="Arial"/>
                <w:sz w:val="20"/>
                <w:szCs w:val="20"/>
              </w:rPr>
              <w:t xml:space="preserve">urchins, </w:t>
            </w:r>
            <w:r w:rsidR="000811C6" w:rsidRPr="00435ED5">
              <w:rPr>
                <w:rFonts w:cs="Arial"/>
                <w:sz w:val="20"/>
                <w:szCs w:val="20"/>
              </w:rPr>
              <w:t>b</w:t>
            </w:r>
            <w:r w:rsidRPr="00435ED5">
              <w:rPr>
                <w:rFonts w:cs="Arial"/>
                <w:sz w:val="20"/>
                <w:szCs w:val="20"/>
              </w:rPr>
              <w:t xml:space="preserve">lacklip </w:t>
            </w:r>
            <w:r w:rsidR="000811C6" w:rsidRPr="00435ED5">
              <w:rPr>
                <w:rFonts w:cs="Arial"/>
                <w:sz w:val="20"/>
                <w:szCs w:val="20"/>
              </w:rPr>
              <w:t>a</w:t>
            </w:r>
            <w:r w:rsidRPr="00435ED5">
              <w:rPr>
                <w:rFonts w:cs="Arial"/>
                <w:sz w:val="20"/>
                <w:szCs w:val="20"/>
              </w:rPr>
              <w:t xml:space="preserve">balone, sea whips and </w:t>
            </w:r>
            <w:r w:rsidR="000811C6" w:rsidRPr="00435ED5">
              <w:rPr>
                <w:rFonts w:cs="Arial"/>
                <w:sz w:val="20"/>
                <w:szCs w:val="20"/>
              </w:rPr>
              <w:t>r</w:t>
            </w:r>
            <w:r w:rsidRPr="00435ED5">
              <w:rPr>
                <w:rFonts w:cs="Arial"/>
                <w:sz w:val="20"/>
                <w:szCs w:val="20"/>
              </w:rPr>
              <w:t>ed</w:t>
            </w:r>
            <w:r w:rsidR="000811C6" w:rsidRPr="00435ED5">
              <w:rPr>
                <w:rFonts w:cs="Arial"/>
                <w:sz w:val="20"/>
                <w:szCs w:val="20"/>
              </w:rPr>
              <w:t xml:space="preserve"> b</w:t>
            </w:r>
            <w:r w:rsidRPr="00435ED5">
              <w:rPr>
                <w:rFonts w:cs="Arial"/>
                <w:sz w:val="20"/>
                <w:szCs w:val="20"/>
              </w:rPr>
              <w:t xml:space="preserve">ait </w:t>
            </w:r>
            <w:r w:rsidR="000811C6" w:rsidRPr="00435ED5">
              <w:rPr>
                <w:rFonts w:cs="Arial"/>
                <w:sz w:val="20"/>
                <w:szCs w:val="20"/>
              </w:rPr>
              <w:t>c</w:t>
            </w:r>
            <w:r w:rsidRPr="00435ED5">
              <w:rPr>
                <w:rFonts w:cs="Arial"/>
                <w:sz w:val="20"/>
                <w:szCs w:val="20"/>
              </w:rPr>
              <w:t>rabs. There are high densities of the</w:t>
            </w:r>
            <w:r w:rsidR="000811C6" w:rsidRPr="00435ED5">
              <w:rPr>
                <w:rFonts w:cs="Arial"/>
                <w:sz w:val="20"/>
                <w:szCs w:val="20"/>
              </w:rPr>
              <w:t xml:space="preserve"> </w:t>
            </w:r>
            <w:r w:rsidRPr="00435ED5">
              <w:rPr>
                <w:rFonts w:cs="Arial"/>
                <w:sz w:val="20"/>
                <w:szCs w:val="20"/>
              </w:rPr>
              <w:t xml:space="preserve">suspension feeding feather star </w:t>
            </w:r>
            <w:r w:rsidRPr="00435ED5">
              <w:rPr>
                <w:rFonts w:cs="Arial"/>
                <w:i/>
                <w:sz w:val="20"/>
                <w:szCs w:val="20"/>
              </w:rPr>
              <w:t>Cenolia</w:t>
            </w:r>
            <w:r w:rsidR="000811C6" w:rsidRPr="00435ED5">
              <w:rPr>
                <w:rFonts w:cs="Arial"/>
                <w:i/>
                <w:sz w:val="20"/>
                <w:szCs w:val="20"/>
              </w:rPr>
              <w:t xml:space="preserve"> </w:t>
            </w:r>
            <w:r w:rsidRPr="00435ED5">
              <w:rPr>
                <w:rFonts w:cs="Arial"/>
                <w:i/>
                <w:sz w:val="20"/>
                <w:szCs w:val="20"/>
              </w:rPr>
              <w:t>trichoptera</w:t>
            </w:r>
            <w:r w:rsidRPr="00435ED5">
              <w:rPr>
                <w:rFonts w:cs="Arial"/>
                <w:sz w:val="20"/>
                <w:szCs w:val="20"/>
              </w:rPr>
              <w:t xml:space="preserve">. Butterfly </w:t>
            </w:r>
            <w:r w:rsidR="000811C6" w:rsidRPr="00435ED5">
              <w:rPr>
                <w:rFonts w:cs="Arial"/>
                <w:sz w:val="20"/>
                <w:szCs w:val="20"/>
              </w:rPr>
              <w:t>p</w:t>
            </w:r>
            <w:r w:rsidRPr="00435ED5">
              <w:rPr>
                <w:rFonts w:cs="Arial"/>
                <w:sz w:val="20"/>
                <w:szCs w:val="20"/>
              </w:rPr>
              <w:t xml:space="preserve">erch </w:t>
            </w:r>
            <w:r w:rsidR="000811C6" w:rsidRPr="00435ED5">
              <w:rPr>
                <w:rFonts w:cs="Arial"/>
                <w:sz w:val="20"/>
                <w:szCs w:val="20"/>
              </w:rPr>
              <w:t>(</w:t>
            </w:r>
            <w:r w:rsidR="000811C6" w:rsidRPr="00435ED5">
              <w:rPr>
                <w:rFonts w:cs="Arial"/>
                <w:i/>
                <w:sz w:val="20"/>
                <w:szCs w:val="20"/>
              </w:rPr>
              <w:t>Caesioperca lepidoptera</w:t>
            </w:r>
            <w:r w:rsidR="000811C6" w:rsidRPr="00435ED5">
              <w:rPr>
                <w:rFonts w:cs="Arial"/>
                <w:sz w:val="20"/>
                <w:szCs w:val="20"/>
              </w:rPr>
              <w:t>) occurs in high numbers in the sanctuary, with o</w:t>
            </w:r>
            <w:r w:rsidRPr="00435ED5">
              <w:rPr>
                <w:rFonts w:cs="Arial"/>
                <w:sz w:val="20"/>
                <w:szCs w:val="20"/>
              </w:rPr>
              <w:t>ther fish</w:t>
            </w:r>
            <w:r w:rsidR="000811C6" w:rsidRPr="00435ED5">
              <w:rPr>
                <w:rFonts w:cs="Arial"/>
                <w:sz w:val="20"/>
                <w:szCs w:val="20"/>
              </w:rPr>
              <w:t xml:space="preserve"> </w:t>
            </w:r>
            <w:r w:rsidRPr="00435ED5">
              <w:rPr>
                <w:rFonts w:cs="Arial"/>
                <w:sz w:val="20"/>
                <w:szCs w:val="20"/>
              </w:rPr>
              <w:t>species</w:t>
            </w:r>
            <w:r w:rsidR="000811C6" w:rsidRPr="00435ED5">
              <w:rPr>
                <w:rFonts w:cs="Arial"/>
                <w:sz w:val="20"/>
                <w:szCs w:val="20"/>
              </w:rPr>
              <w:t xml:space="preserve"> present</w:t>
            </w:r>
            <w:r w:rsidRPr="00435ED5">
              <w:rPr>
                <w:rFonts w:cs="Arial"/>
                <w:sz w:val="20"/>
                <w:szCs w:val="20"/>
              </w:rPr>
              <w:t xml:space="preserve"> include </w:t>
            </w:r>
            <w:r w:rsidR="000811C6" w:rsidRPr="00435ED5">
              <w:rPr>
                <w:rFonts w:cs="Arial"/>
                <w:sz w:val="20"/>
                <w:szCs w:val="20"/>
              </w:rPr>
              <w:t>b</w:t>
            </w:r>
            <w:r w:rsidRPr="00435ED5">
              <w:rPr>
                <w:rFonts w:cs="Arial"/>
                <w:sz w:val="20"/>
                <w:szCs w:val="20"/>
              </w:rPr>
              <w:t xml:space="preserve">lue </w:t>
            </w:r>
            <w:r w:rsidR="000811C6" w:rsidRPr="00435ED5">
              <w:rPr>
                <w:rFonts w:cs="Arial"/>
                <w:sz w:val="20"/>
                <w:szCs w:val="20"/>
              </w:rPr>
              <w:t>t</w:t>
            </w:r>
            <w:r w:rsidRPr="00435ED5">
              <w:rPr>
                <w:rFonts w:cs="Arial"/>
                <w:sz w:val="20"/>
                <w:szCs w:val="20"/>
              </w:rPr>
              <w:t xml:space="preserve">hroat </w:t>
            </w:r>
            <w:r w:rsidR="000811C6" w:rsidRPr="00435ED5">
              <w:rPr>
                <w:rFonts w:cs="Arial"/>
                <w:sz w:val="20"/>
                <w:szCs w:val="20"/>
              </w:rPr>
              <w:t>w</w:t>
            </w:r>
            <w:r w:rsidRPr="00435ED5">
              <w:rPr>
                <w:rFonts w:cs="Arial"/>
                <w:sz w:val="20"/>
                <w:szCs w:val="20"/>
              </w:rPr>
              <w:t>rasse,</w:t>
            </w:r>
            <w:r w:rsidR="000811C6" w:rsidRPr="00435ED5">
              <w:rPr>
                <w:rFonts w:cs="Arial"/>
                <w:sz w:val="20"/>
                <w:szCs w:val="20"/>
              </w:rPr>
              <w:t xml:space="preserve"> p</w:t>
            </w:r>
            <w:r w:rsidRPr="00435ED5">
              <w:rPr>
                <w:rFonts w:cs="Arial"/>
                <w:sz w:val="20"/>
                <w:szCs w:val="20"/>
              </w:rPr>
              <w:t xml:space="preserve">urple </w:t>
            </w:r>
            <w:r w:rsidR="000811C6" w:rsidRPr="00435ED5">
              <w:rPr>
                <w:rFonts w:cs="Arial"/>
                <w:sz w:val="20"/>
                <w:szCs w:val="20"/>
              </w:rPr>
              <w:t>w</w:t>
            </w:r>
            <w:r w:rsidRPr="00435ED5">
              <w:rPr>
                <w:rFonts w:cs="Arial"/>
                <w:sz w:val="20"/>
                <w:szCs w:val="20"/>
              </w:rPr>
              <w:t xml:space="preserve">rasse, Maori </w:t>
            </w:r>
            <w:r w:rsidR="000811C6" w:rsidRPr="00435ED5">
              <w:rPr>
                <w:rFonts w:cs="Arial"/>
                <w:sz w:val="20"/>
                <w:szCs w:val="20"/>
              </w:rPr>
              <w:t>w</w:t>
            </w:r>
            <w:r w:rsidRPr="00435ED5">
              <w:rPr>
                <w:rFonts w:cs="Arial"/>
                <w:sz w:val="20"/>
                <w:szCs w:val="20"/>
              </w:rPr>
              <w:t>rasse, Port Jackson</w:t>
            </w:r>
            <w:r w:rsidR="000811C6" w:rsidRPr="00435ED5">
              <w:rPr>
                <w:rFonts w:cs="Arial"/>
                <w:sz w:val="20"/>
                <w:szCs w:val="20"/>
              </w:rPr>
              <w:t xml:space="preserve"> s</w:t>
            </w:r>
            <w:r w:rsidRPr="00435ED5">
              <w:rPr>
                <w:rFonts w:cs="Arial"/>
                <w:sz w:val="20"/>
                <w:szCs w:val="20"/>
              </w:rPr>
              <w:t xml:space="preserve">hark, </w:t>
            </w:r>
            <w:r w:rsidR="000811C6" w:rsidRPr="00435ED5">
              <w:rPr>
                <w:rFonts w:cs="Arial"/>
                <w:sz w:val="20"/>
                <w:szCs w:val="20"/>
              </w:rPr>
              <w:t>w</w:t>
            </w:r>
            <w:r w:rsidRPr="00435ED5">
              <w:rPr>
                <w:rFonts w:cs="Arial"/>
                <w:sz w:val="20"/>
                <w:szCs w:val="20"/>
              </w:rPr>
              <w:t xml:space="preserve">obbegong </w:t>
            </w:r>
            <w:r w:rsidR="000811C6" w:rsidRPr="00435ED5">
              <w:rPr>
                <w:rFonts w:cs="Arial"/>
                <w:sz w:val="20"/>
                <w:szCs w:val="20"/>
              </w:rPr>
              <w:t>s</w:t>
            </w:r>
            <w:r w:rsidRPr="00435ED5">
              <w:rPr>
                <w:rFonts w:cs="Arial"/>
                <w:sz w:val="20"/>
                <w:szCs w:val="20"/>
              </w:rPr>
              <w:t xml:space="preserve">hark and </w:t>
            </w:r>
            <w:r w:rsidR="000811C6" w:rsidRPr="00435ED5">
              <w:rPr>
                <w:rFonts w:cs="Arial"/>
                <w:sz w:val="20"/>
                <w:szCs w:val="20"/>
              </w:rPr>
              <w:t>w</w:t>
            </w:r>
            <w:r w:rsidRPr="00435ED5">
              <w:rPr>
                <w:rFonts w:cs="Arial"/>
                <w:sz w:val="20"/>
                <w:szCs w:val="20"/>
              </w:rPr>
              <w:t xml:space="preserve">eedy </w:t>
            </w:r>
            <w:r w:rsidR="000811C6" w:rsidRPr="00435ED5">
              <w:rPr>
                <w:rFonts w:cs="Arial"/>
                <w:sz w:val="20"/>
                <w:szCs w:val="20"/>
              </w:rPr>
              <w:t>s</w:t>
            </w:r>
            <w:r w:rsidRPr="00435ED5">
              <w:rPr>
                <w:rFonts w:cs="Arial"/>
                <w:sz w:val="20"/>
                <w:szCs w:val="20"/>
              </w:rPr>
              <w:t>ea</w:t>
            </w:r>
            <w:r w:rsidR="000811C6" w:rsidRPr="00435ED5">
              <w:rPr>
                <w:rFonts w:cs="Arial"/>
                <w:sz w:val="20"/>
                <w:szCs w:val="20"/>
              </w:rPr>
              <w:t xml:space="preserve"> d</w:t>
            </w:r>
            <w:r w:rsidRPr="00435ED5">
              <w:rPr>
                <w:rFonts w:cs="Arial"/>
                <w:sz w:val="20"/>
                <w:szCs w:val="20"/>
              </w:rPr>
              <w:t>ragon.</w:t>
            </w:r>
          </w:p>
          <w:p w14:paraId="1CEBBA27" w14:textId="77777777" w:rsidR="001F7672" w:rsidRPr="00435ED5" w:rsidRDefault="001F7672" w:rsidP="001F7672">
            <w:pPr>
              <w:pStyle w:val="TableText"/>
              <w:rPr>
                <w:rFonts w:cs="Arial"/>
                <w:sz w:val="20"/>
                <w:szCs w:val="20"/>
              </w:rPr>
            </w:pPr>
            <w:r w:rsidRPr="00435ED5">
              <w:rPr>
                <w:rFonts w:cs="Arial"/>
                <w:sz w:val="20"/>
                <w:szCs w:val="20"/>
              </w:rPr>
              <w:t xml:space="preserve">Australian </w:t>
            </w:r>
            <w:r w:rsidR="000811C6" w:rsidRPr="00435ED5">
              <w:rPr>
                <w:rFonts w:cs="Arial"/>
                <w:sz w:val="20"/>
                <w:szCs w:val="20"/>
              </w:rPr>
              <w:t>f</w:t>
            </w:r>
            <w:r w:rsidRPr="00435ED5">
              <w:rPr>
                <w:rFonts w:cs="Arial"/>
                <w:sz w:val="20"/>
                <w:szCs w:val="20"/>
              </w:rPr>
              <w:t xml:space="preserve">ur </w:t>
            </w:r>
            <w:r w:rsidR="000811C6" w:rsidRPr="00435ED5">
              <w:rPr>
                <w:rFonts w:cs="Arial"/>
                <w:sz w:val="20"/>
                <w:szCs w:val="20"/>
              </w:rPr>
              <w:t>s</w:t>
            </w:r>
            <w:r w:rsidRPr="00435ED5">
              <w:rPr>
                <w:rFonts w:cs="Arial"/>
                <w:sz w:val="20"/>
                <w:szCs w:val="20"/>
              </w:rPr>
              <w:t>eals and New Zealand</w:t>
            </w:r>
            <w:r w:rsidR="000811C6" w:rsidRPr="00435ED5">
              <w:rPr>
                <w:rFonts w:cs="Arial"/>
                <w:sz w:val="20"/>
                <w:szCs w:val="20"/>
              </w:rPr>
              <w:t xml:space="preserve"> f</w:t>
            </w:r>
            <w:r w:rsidRPr="00435ED5">
              <w:rPr>
                <w:rFonts w:cs="Arial"/>
                <w:sz w:val="20"/>
                <w:szCs w:val="20"/>
              </w:rPr>
              <w:t xml:space="preserve">ur </w:t>
            </w:r>
            <w:r w:rsidR="000811C6" w:rsidRPr="00435ED5">
              <w:rPr>
                <w:rFonts w:cs="Arial"/>
                <w:sz w:val="20"/>
                <w:szCs w:val="20"/>
              </w:rPr>
              <w:t>s</w:t>
            </w:r>
            <w:r w:rsidRPr="00435ED5">
              <w:rPr>
                <w:rFonts w:cs="Arial"/>
                <w:sz w:val="20"/>
                <w:szCs w:val="20"/>
              </w:rPr>
              <w:t xml:space="preserve">eals use the </w:t>
            </w:r>
            <w:r w:rsidR="000811C6" w:rsidRPr="00435ED5">
              <w:rPr>
                <w:rFonts w:cs="Arial"/>
                <w:sz w:val="20"/>
                <w:szCs w:val="20"/>
              </w:rPr>
              <w:t xml:space="preserve">reef </w:t>
            </w:r>
            <w:r w:rsidRPr="00435ED5">
              <w:rPr>
                <w:rFonts w:cs="Arial"/>
                <w:sz w:val="20"/>
                <w:szCs w:val="20"/>
              </w:rPr>
              <w:t>platform as a haul-out site for</w:t>
            </w:r>
            <w:r w:rsidR="000811C6" w:rsidRPr="00435ED5">
              <w:rPr>
                <w:rFonts w:cs="Arial"/>
                <w:sz w:val="20"/>
                <w:szCs w:val="20"/>
              </w:rPr>
              <w:t xml:space="preserve"> </w:t>
            </w:r>
            <w:r w:rsidRPr="00435ED5">
              <w:rPr>
                <w:rFonts w:cs="Arial"/>
                <w:sz w:val="20"/>
                <w:szCs w:val="20"/>
              </w:rPr>
              <w:t xml:space="preserve">most of the year. Little </w:t>
            </w:r>
            <w:r w:rsidR="000811C6" w:rsidRPr="00435ED5">
              <w:rPr>
                <w:rFonts w:cs="Arial"/>
                <w:sz w:val="20"/>
                <w:szCs w:val="20"/>
              </w:rPr>
              <w:t>p</w:t>
            </w:r>
            <w:r w:rsidRPr="00435ED5">
              <w:rPr>
                <w:rFonts w:cs="Arial"/>
                <w:sz w:val="20"/>
                <w:szCs w:val="20"/>
              </w:rPr>
              <w:t>enguins rest on the</w:t>
            </w:r>
            <w:r w:rsidR="000811C6" w:rsidRPr="00435ED5">
              <w:rPr>
                <w:rFonts w:cs="Arial"/>
                <w:sz w:val="20"/>
                <w:szCs w:val="20"/>
              </w:rPr>
              <w:t xml:space="preserve"> </w:t>
            </w:r>
            <w:r w:rsidRPr="00435ED5">
              <w:rPr>
                <w:rFonts w:cs="Arial"/>
                <w:sz w:val="20"/>
                <w:szCs w:val="20"/>
              </w:rPr>
              <w:t>platform throughout the year, and it is a</w:t>
            </w:r>
            <w:r w:rsidR="000811C6" w:rsidRPr="00435ED5">
              <w:rPr>
                <w:rFonts w:cs="Arial"/>
                <w:sz w:val="20"/>
                <w:szCs w:val="20"/>
              </w:rPr>
              <w:t xml:space="preserve"> </w:t>
            </w:r>
            <w:r w:rsidRPr="00435ED5">
              <w:rPr>
                <w:rFonts w:cs="Arial"/>
                <w:sz w:val="20"/>
                <w:szCs w:val="20"/>
              </w:rPr>
              <w:t>common roosting and feeding area for seabirds, particularly cormorants.</w:t>
            </w:r>
          </w:p>
          <w:p w14:paraId="1A512E6E" w14:textId="77777777" w:rsidR="0008399F" w:rsidRPr="00435ED5" w:rsidRDefault="000811C6" w:rsidP="000811C6">
            <w:pPr>
              <w:pStyle w:val="TableText"/>
              <w:rPr>
                <w:rFonts w:cs="Arial"/>
                <w:sz w:val="20"/>
                <w:szCs w:val="20"/>
              </w:rPr>
            </w:pPr>
            <w:r w:rsidRPr="00435ED5">
              <w:rPr>
                <w:rFonts w:cs="Arial"/>
                <w:sz w:val="20"/>
                <w:szCs w:val="20"/>
              </w:rPr>
              <w:t xml:space="preserve">Marine </w:t>
            </w:r>
            <w:r w:rsidR="001F7672" w:rsidRPr="00435ED5">
              <w:rPr>
                <w:rFonts w:cs="Arial"/>
                <w:sz w:val="20"/>
                <w:szCs w:val="20"/>
              </w:rPr>
              <w:t xml:space="preserve">mammals such as </w:t>
            </w:r>
            <w:r w:rsidRPr="00435ED5">
              <w:rPr>
                <w:rFonts w:cs="Arial"/>
                <w:sz w:val="20"/>
                <w:szCs w:val="20"/>
              </w:rPr>
              <w:t>s</w:t>
            </w:r>
            <w:r w:rsidR="001F7672" w:rsidRPr="00435ED5">
              <w:rPr>
                <w:rFonts w:cs="Arial"/>
                <w:sz w:val="20"/>
                <w:szCs w:val="20"/>
              </w:rPr>
              <w:t xml:space="preserve">outhern </w:t>
            </w:r>
            <w:r w:rsidRPr="00435ED5">
              <w:rPr>
                <w:rFonts w:cs="Arial"/>
                <w:sz w:val="20"/>
                <w:szCs w:val="20"/>
              </w:rPr>
              <w:t>r</w:t>
            </w:r>
            <w:r w:rsidR="001F7672" w:rsidRPr="00435ED5">
              <w:rPr>
                <w:rFonts w:cs="Arial"/>
                <w:sz w:val="20"/>
                <w:szCs w:val="20"/>
              </w:rPr>
              <w:t xml:space="preserve">ight </w:t>
            </w:r>
            <w:r w:rsidRPr="00435ED5">
              <w:rPr>
                <w:rFonts w:cs="Arial"/>
                <w:sz w:val="20"/>
                <w:szCs w:val="20"/>
              </w:rPr>
              <w:t>w</w:t>
            </w:r>
            <w:r w:rsidR="001F7672" w:rsidRPr="00435ED5">
              <w:rPr>
                <w:rFonts w:cs="Arial"/>
                <w:sz w:val="20"/>
                <w:szCs w:val="20"/>
              </w:rPr>
              <w:t xml:space="preserve">hales, </w:t>
            </w:r>
            <w:r w:rsidRPr="00435ED5">
              <w:rPr>
                <w:rFonts w:cs="Arial"/>
                <w:sz w:val="20"/>
                <w:szCs w:val="20"/>
              </w:rPr>
              <w:t>h</w:t>
            </w:r>
            <w:r w:rsidR="001F7672" w:rsidRPr="00435ED5">
              <w:rPr>
                <w:rFonts w:cs="Arial"/>
                <w:sz w:val="20"/>
                <w:szCs w:val="20"/>
              </w:rPr>
              <w:t>umpback</w:t>
            </w:r>
            <w:r w:rsidRPr="00435ED5">
              <w:rPr>
                <w:rFonts w:cs="Arial"/>
                <w:sz w:val="20"/>
                <w:szCs w:val="20"/>
              </w:rPr>
              <w:t xml:space="preserve"> w</w:t>
            </w:r>
            <w:r w:rsidR="001F7672" w:rsidRPr="00435ED5">
              <w:rPr>
                <w:rFonts w:cs="Arial"/>
                <w:sz w:val="20"/>
                <w:szCs w:val="20"/>
              </w:rPr>
              <w:t xml:space="preserve">hales, </w:t>
            </w:r>
            <w:r w:rsidRPr="00435ED5">
              <w:rPr>
                <w:rFonts w:cs="Arial"/>
                <w:sz w:val="20"/>
                <w:szCs w:val="20"/>
              </w:rPr>
              <w:t>k</w:t>
            </w:r>
            <w:r w:rsidR="001F7672" w:rsidRPr="00435ED5">
              <w:rPr>
                <w:rFonts w:cs="Arial"/>
                <w:sz w:val="20"/>
                <w:szCs w:val="20"/>
              </w:rPr>
              <w:t xml:space="preserve">iller </w:t>
            </w:r>
            <w:r w:rsidRPr="00435ED5">
              <w:rPr>
                <w:rFonts w:cs="Arial"/>
                <w:sz w:val="20"/>
                <w:szCs w:val="20"/>
              </w:rPr>
              <w:t>w</w:t>
            </w:r>
            <w:r w:rsidR="001F7672" w:rsidRPr="00435ED5">
              <w:rPr>
                <w:rFonts w:cs="Arial"/>
                <w:sz w:val="20"/>
                <w:szCs w:val="20"/>
              </w:rPr>
              <w:t xml:space="preserve">hales, </w:t>
            </w:r>
            <w:r w:rsidRPr="00435ED5">
              <w:rPr>
                <w:rFonts w:cs="Arial"/>
                <w:sz w:val="20"/>
                <w:szCs w:val="20"/>
              </w:rPr>
              <w:t>b</w:t>
            </w:r>
            <w:r w:rsidR="001F7672" w:rsidRPr="00435ED5">
              <w:rPr>
                <w:rFonts w:cs="Arial"/>
                <w:sz w:val="20"/>
                <w:szCs w:val="20"/>
              </w:rPr>
              <w:t>ottlenose</w:t>
            </w:r>
            <w:r w:rsidRPr="00435ED5">
              <w:rPr>
                <w:rFonts w:cs="Arial"/>
                <w:sz w:val="20"/>
                <w:szCs w:val="20"/>
              </w:rPr>
              <w:t xml:space="preserve"> d</w:t>
            </w:r>
            <w:r w:rsidR="001F7672" w:rsidRPr="00435ED5">
              <w:rPr>
                <w:rFonts w:cs="Arial"/>
                <w:sz w:val="20"/>
                <w:szCs w:val="20"/>
              </w:rPr>
              <w:t xml:space="preserve">olphins and </w:t>
            </w:r>
            <w:r w:rsidRPr="00435ED5">
              <w:rPr>
                <w:rFonts w:cs="Arial"/>
                <w:sz w:val="20"/>
                <w:szCs w:val="20"/>
              </w:rPr>
              <w:t>c</w:t>
            </w:r>
            <w:r w:rsidR="001F7672" w:rsidRPr="00435ED5">
              <w:rPr>
                <w:rFonts w:cs="Arial"/>
                <w:sz w:val="20"/>
                <w:szCs w:val="20"/>
              </w:rPr>
              <w:t xml:space="preserve">ommon </w:t>
            </w:r>
            <w:r w:rsidRPr="00435ED5">
              <w:rPr>
                <w:rFonts w:cs="Arial"/>
                <w:sz w:val="20"/>
                <w:szCs w:val="20"/>
              </w:rPr>
              <w:t>d</w:t>
            </w:r>
            <w:r w:rsidR="001F7672" w:rsidRPr="00435ED5">
              <w:rPr>
                <w:rFonts w:cs="Arial"/>
                <w:sz w:val="20"/>
                <w:szCs w:val="20"/>
              </w:rPr>
              <w:t xml:space="preserve">olphins are transient visitors to the sanctuary. </w:t>
            </w:r>
          </w:p>
        </w:tc>
      </w:tr>
      <w:tr w:rsidR="00EE55B5" w:rsidRPr="00435ED5" w14:paraId="38BED076" w14:textId="77777777" w:rsidTr="00024545">
        <w:tc>
          <w:tcPr>
            <w:tcW w:w="1701" w:type="dxa"/>
            <w:shd w:val="clear" w:color="auto" w:fill="auto"/>
          </w:tcPr>
          <w:p w14:paraId="371F4BEF" w14:textId="77777777" w:rsidR="003E59E2" w:rsidRPr="00435ED5" w:rsidRDefault="00EE55B5" w:rsidP="00FE48D1">
            <w:pPr>
              <w:pStyle w:val="TableText"/>
              <w:rPr>
                <w:rFonts w:cs="Arial"/>
                <w:b/>
                <w:sz w:val="20"/>
                <w:szCs w:val="20"/>
              </w:rPr>
            </w:pPr>
            <w:r w:rsidRPr="00435ED5">
              <w:rPr>
                <w:rFonts w:cs="Arial"/>
                <w:b/>
                <w:sz w:val="20"/>
                <w:szCs w:val="20"/>
              </w:rPr>
              <w:lastRenderedPageBreak/>
              <w:t>Point Hicks</w:t>
            </w:r>
            <w:r w:rsidR="00820A21" w:rsidRPr="00435ED5">
              <w:rPr>
                <w:rFonts w:cs="Arial"/>
                <w:b/>
                <w:sz w:val="20"/>
                <w:szCs w:val="20"/>
              </w:rPr>
              <w:t xml:space="preserve"> Marine National Park</w:t>
            </w:r>
          </w:p>
          <w:p w14:paraId="46B0E53E" w14:textId="77777777" w:rsidR="003E59E2" w:rsidRPr="00435ED5" w:rsidRDefault="003E59E2" w:rsidP="00FE48D1">
            <w:pPr>
              <w:pStyle w:val="TableText"/>
              <w:rPr>
                <w:rFonts w:cs="Arial"/>
                <w:sz w:val="20"/>
                <w:szCs w:val="20"/>
              </w:rPr>
            </w:pPr>
          </w:p>
          <w:p w14:paraId="0B575810" w14:textId="77777777" w:rsidR="00EE55B5" w:rsidRPr="00435ED5" w:rsidRDefault="003763FE" w:rsidP="00FE48D1">
            <w:pPr>
              <w:pStyle w:val="TableText"/>
              <w:rPr>
                <w:rFonts w:cs="Arial"/>
                <w:i/>
                <w:sz w:val="20"/>
                <w:szCs w:val="20"/>
              </w:rPr>
            </w:pPr>
            <w:r w:rsidRPr="00435ED5">
              <w:rPr>
                <w:rFonts w:cs="Arial"/>
                <w:i/>
                <w:sz w:val="20"/>
                <w:szCs w:val="20"/>
              </w:rPr>
              <w:t>1</w:t>
            </w:r>
            <w:r w:rsidR="004F2F19" w:rsidRPr="00435ED5">
              <w:rPr>
                <w:rFonts w:cs="Arial"/>
                <w:i/>
                <w:sz w:val="20"/>
                <w:szCs w:val="20"/>
              </w:rPr>
              <w:t>51</w:t>
            </w:r>
            <w:r w:rsidR="00EE55B5" w:rsidRPr="00435ED5">
              <w:rPr>
                <w:rFonts w:cs="Arial"/>
                <w:i/>
                <w:sz w:val="20"/>
                <w:szCs w:val="20"/>
              </w:rPr>
              <w:t xml:space="preserve"> km east</w:t>
            </w:r>
            <w:r w:rsidR="004F2F19" w:rsidRPr="00435ED5">
              <w:rPr>
                <w:rFonts w:cs="Arial"/>
                <w:i/>
                <w:sz w:val="20"/>
                <w:szCs w:val="20"/>
              </w:rPr>
              <w:t>-northeast</w:t>
            </w:r>
            <w:r w:rsidR="00EE55B5" w:rsidRPr="00435ED5">
              <w:rPr>
                <w:rFonts w:cs="Arial"/>
                <w:i/>
                <w:sz w:val="20"/>
                <w:szCs w:val="20"/>
              </w:rPr>
              <w:t xml:space="preserve"> of proposed acquisition area</w:t>
            </w:r>
          </w:p>
          <w:p w14:paraId="30DA1DCD" w14:textId="77777777" w:rsidR="003E59E2" w:rsidRPr="00435ED5" w:rsidRDefault="003E59E2" w:rsidP="00820A21">
            <w:pPr>
              <w:pStyle w:val="TableText"/>
              <w:rPr>
                <w:rFonts w:cs="Arial"/>
                <w:sz w:val="20"/>
                <w:szCs w:val="20"/>
              </w:rPr>
            </w:pPr>
          </w:p>
          <w:p w14:paraId="3AB61FF5" w14:textId="77777777" w:rsidR="003763FE" w:rsidRPr="00435ED5" w:rsidRDefault="003763FE" w:rsidP="00820A21">
            <w:pPr>
              <w:pStyle w:val="TableText"/>
              <w:rPr>
                <w:rFonts w:cs="Arial"/>
                <w:sz w:val="20"/>
                <w:szCs w:val="20"/>
              </w:rPr>
            </w:pPr>
            <w:r w:rsidRPr="00435ED5">
              <w:rPr>
                <w:rFonts w:cs="Arial"/>
                <w:sz w:val="20"/>
                <w:szCs w:val="20"/>
              </w:rPr>
              <w:lastRenderedPageBreak/>
              <w:t xml:space="preserve">IUCN Category </w:t>
            </w:r>
            <w:r w:rsidR="00820A21" w:rsidRPr="00435ED5">
              <w:rPr>
                <w:rFonts w:cs="Arial"/>
                <w:sz w:val="20"/>
                <w:szCs w:val="20"/>
              </w:rPr>
              <w:t>II</w:t>
            </w:r>
          </w:p>
          <w:p w14:paraId="77F4D5B7" w14:textId="77777777" w:rsidR="003E59E2" w:rsidRPr="00435ED5" w:rsidRDefault="003E59E2" w:rsidP="00820A21">
            <w:pPr>
              <w:pStyle w:val="TableText"/>
              <w:rPr>
                <w:rFonts w:cs="Arial"/>
                <w:sz w:val="20"/>
                <w:szCs w:val="20"/>
              </w:rPr>
            </w:pPr>
          </w:p>
          <w:p w14:paraId="06B7B3E9" w14:textId="77777777" w:rsidR="003E59E2" w:rsidRPr="00435ED5" w:rsidRDefault="003E59E2" w:rsidP="00820A21">
            <w:pPr>
              <w:pStyle w:val="TableText"/>
              <w:rPr>
                <w:rFonts w:cs="Arial"/>
                <w:b/>
                <w:i/>
                <w:sz w:val="20"/>
                <w:szCs w:val="20"/>
              </w:rPr>
            </w:pPr>
            <w:r w:rsidRPr="00435ED5">
              <w:rPr>
                <w:rFonts w:cs="Arial"/>
                <w:sz w:val="20"/>
                <w:szCs w:val="20"/>
              </w:rPr>
              <w:t>ParksVictoria Management Plan in place</w:t>
            </w:r>
            <w:r w:rsidR="00C34B67" w:rsidRPr="00435ED5">
              <w:rPr>
                <w:rFonts w:cs="Arial"/>
                <w:sz w:val="20"/>
                <w:szCs w:val="20"/>
              </w:rPr>
              <w:t xml:space="preserve"> (2006)</w:t>
            </w:r>
          </w:p>
        </w:tc>
        <w:tc>
          <w:tcPr>
            <w:tcW w:w="12049" w:type="dxa"/>
            <w:shd w:val="clear" w:color="auto" w:fill="auto"/>
          </w:tcPr>
          <w:p w14:paraId="507DB0CF" w14:textId="77777777" w:rsidR="00FE7769" w:rsidRPr="00435ED5" w:rsidRDefault="00FE7769" w:rsidP="00FE7769">
            <w:pPr>
              <w:pStyle w:val="TableText"/>
              <w:spacing w:before="60" w:after="60"/>
              <w:rPr>
                <w:rFonts w:cs="Arial"/>
                <w:b/>
                <w:sz w:val="20"/>
                <w:szCs w:val="20"/>
              </w:rPr>
            </w:pPr>
            <w:r w:rsidRPr="00435ED5">
              <w:rPr>
                <w:rFonts w:cs="Arial"/>
                <w:b/>
                <w:sz w:val="20"/>
                <w:szCs w:val="20"/>
              </w:rPr>
              <w:lastRenderedPageBreak/>
              <w:t>Location and area</w:t>
            </w:r>
          </w:p>
          <w:p w14:paraId="00F4D3C3" w14:textId="17E8EF21" w:rsidR="00EE55B5" w:rsidRPr="00435ED5" w:rsidRDefault="00820A21" w:rsidP="00820A21">
            <w:pPr>
              <w:pStyle w:val="TableText"/>
              <w:rPr>
                <w:rFonts w:cs="Arial"/>
                <w:sz w:val="20"/>
                <w:szCs w:val="20"/>
              </w:rPr>
            </w:pPr>
            <w:r w:rsidRPr="00435ED5">
              <w:rPr>
                <w:rFonts w:cs="Arial"/>
                <w:sz w:val="20"/>
                <w:szCs w:val="20"/>
              </w:rPr>
              <w:t xml:space="preserve">The Point Hicks </w:t>
            </w:r>
            <w:r w:rsidR="006B62EF">
              <w:rPr>
                <w:rFonts w:cs="Arial"/>
                <w:sz w:val="20"/>
                <w:szCs w:val="20"/>
              </w:rPr>
              <w:t>MNP</w:t>
            </w:r>
            <w:r w:rsidRPr="00435ED5">
              <w:rPr>
                <w:rFonts w:cs="Arial"/>
                <w:sz w:val="20"/>
                <w:szCs w:val="20"/>
              </w:rPr>
              <w:t xml:space="preserve"> covers </w:t>
            </w:r>
            <w:r w:rsidR="00D438E9" w:rsidRPr="00435ED5">
              <w:rPr>
                <w:rFonts w:cs="Arial"/>
                <w:sz w:val="20"/>
                <w:szCs w:val="20"/>
              </w:rPr>
              <w:t>3</w:t>
            </w:r>
            <w:r w:rsidRPr="00435ED5">
              <w:rPr>
                <w:rFonts w:cs="Arial"/>
                <w:sz w:val="20"/>
                <w:szCs w:val="20"/>
              </w:rPr>
              <w:t>,</w:t>
            </w:r>
            <w:r w:rsidR="00D438E9" w:rsidRPr="00435ED5">
              <w:rPr>
                <w:rFonts w:cs="Arial"/>
                <w:sz w:val="20"/>
                <w:szCs w:val="20"/>
              </w:rPr>
              <w:t>81</w:t>
            </w:r>
            <w:r w:rsidRPr="00435ED5">
              <w:rPr>
                <w:rFonts w:cs="Arial"/>
                <w:sz w:val="20"/>
                <w:szCs w:val="20"/>
              </w:rPr>
              <w:t>0 ha and extends along 9.6 km of coastline and offshore from the high water mark to the 3 nm state waters limits</w:t>
            </w:r>
            <w:r w:rsidR="00D438E9" w:rsidRPr="00435ED5">
              <w:rPr>
                <w:rFonts w:cs="Arial"/>
                <w:sz w:val="20"/>
                <w:szCs w:val="20"/>
              </w:rPr>
              <w:t xml:space="preserve"> to water depths of 88 m</w:t>
            </w:r>
            <w:r w:rsidRPr="00435ED5">
              <w:rPr>
                <w:rFonts w:cs="Arial"/>
                <w:sz w:val="20"/>
                <w:szCs w:val="20"/>
              </w:rPr>
              <w:t>.</w:t>
            </w:r>
          </w:p>
          <w:p w14:paraId="4B6C9C28" w14:textId="77777777" w:rsidR="00FE7769" w:rsidRPr="00435ED5" w:rsidRDefault="00FE7769" w:rsidP="00FE7769">
            <w:pPr>
              <w:pStyle w:val="TableText"/>
              <w:spacing w:before="60" w:after="60"/>
              <w:rPr>
                <w:rFonts w:cs="Arial"/>
                <w:b/>
                <w:sz w:val="20"/>
                <w:szCs w:val="20"/>
              </w:rPr>
            </w:pPr>
            <w:r w:rsidRPr="00435ED5">
              <w:rPr>
                <w:rFonts w:cs="Arial"/>
                <w:b/>
                <w:sz w:val="20"/>
                <w:szCs w:val="20"/>
              </w:rPr>
              <w:t>Key natural values</w:t>
            </w:r>
          </w:p>
          <w:p w14:paraId="20AF8CD7" w14:textId="77777777" w:rsidR="00820A21" w:rsidRPr="00435ED5" w:rsidRDefault="00820A21" w:rsidP="00820A21">
            <w:pPr>
              <w:pStyle w:val="TableText"/>
              <w:spacing w:before="60" w:after="60"/>
              <w:rPr>
                <w:rFonts w:cs="Arial"/>
                <w:sz w:val="20"/>
                <w:szCs w:val="20"/>
              </w:rPr>
            </w:pPr>
            <w:r w:rsidRPr="00435ED5">
              <w:rPr>
                <w:rFonts w:cs="Arial"/>
                <w:sz w:val="20"/>
                <w:szCs w:val="20"/>
              </w:rPr>
              <w:t xml:space="preserve">The park’s key natural values are listed as: </w:t>
            </w:r>
          </w:p>
          <w:p w14:paraId="09BADF0A" w14:textId="77777777" w:rsidR="00820A21" w:rsidRPr="00435ED5" w:rsidRDefault="00820A21" w:rsidP="00567567">
            <w:pPr>
              <w:pStyle w:val="TableText"/>
              <w:numPr>
                <w:ilvl w:val="0"/>
                <w:numId w:val="93"/>
              </w:numPr>
              <w:spacing w:before="60" w:after="60"/>
              <w:rPr>
                <w:rFonts w:cs="Arial"/>
                <w:sz w:val="20"/>
                <w:szCs w:val="20"/>
              </w:rPr>
            </w:pPr>
            <w:r w:rsidRPr="00435ED5">
              <w:rPr>
                <w:rFonts w:cs="Arial"/>
                <w:sz w:val="20"/>
                <w:szCs w:val="20"/>
              </w:rPr>
              <w:t>A diversity of habitats, including subtidal and intertidal reefs, subtidal soft sediment and sandy beaches;</w:t>
            </w:r>
          </w:p>
          <w:p w14:paraId="610B2852" w14:textId="77777777" w:rsidR="00820A21" w:rsidRPr="00435ED5" w:rsidRDefault="00820A21" w:rsidP="00567567">
            <w:pPr>
              <w:pStyle w:val="TableText"/>
              <w:numPr>
                <w:ilvl w:val="0"/>
                <w:numId w:val="93"/>
              </w:numPr>
              <w:spacing w:before="60" w:after="60"/>
              <w:rPr>
                <w:rFonts w:cs="Arial"/>
                <w:sz w:val="20"/>
                <w:szCs w:val="20"/>
              </w:rPr>
            </w:pPr>
            <w:r w:rsidRPr="00435ED5">
              <w:rPr>
                <w:rFonts w:cs="Arial"/>
                <w:sz w:val="20"/>
                <w:szCs w:val="20"/>
              </w:rPr>
              <w:t>A very high diversity of fauna, including intertidal and subtidal invertebrates;</w:t>
            </w:r>
          </w:p>
          <w:p w14:paraId="0416B9A5" w14:textId="77777777" w:rsidR="00820A21" w:rsidRPr="00435ED5" w:rsidRDefault="00820A21" w:rsidP="00567567">
            <w:pPr>
              <w:pStyle w:val="TableText"/>
              <w:numPr>
                <w:ilvl w:val="0"/>
                <w:numId w:val="93"/>
              </w:numPr>
              <w:spacing w:before="60" w:after="60"/>
              <w:rPr>
                <w:rFonts w:cs="Arial"/>
                <w:sz w:val="20"/>
                <w:szCs w:val="20"/>
              </w:rPr>
            </w:pPr>
            <w:r w:rsidRPr="00435ED5">
              <w:rPr>
                <w:rFonts w:cs="Arial"/>
                <w:sz w:val="20"/>
                <w:szCs w:val="20"/>
              </w:rPr>
              <w:t xml:space="preserve">Co-occurrence of eastern temperate, southern cosmopolitan and temperate species, as a result of the mixing of warm </w:t>
            </w:r>
            <w:r w:rsidRPr="00435ED5">
              <w:rPr>
                <w:rFonts w:cs="Arial"/>
                <w:sz w:val="20"/>
                <w:szCs w:val="20"/>
              </w:rPr>
              <w:lastRenderedPageBreak/>
              <w:t>eastern and cool southern waters;</w:t>
            </w:r>
          </w:p>
          <w:p w14:paraId="76DC98F9" w14:textId="77777777" w:rsidR="00820A21" w:rsidRPr="00435ED5" w:rsidRDefault="00820A21" w:rsidP="00567567">
            <w:pPr>
              <w:pStyle w:val="TableText"/>
              <w:numPr>
                <w:ilvl w:val="0"/>
                <w:numId w:val="93"/>
              </w:numPr>
              <w:spacing w:before="60" w:after="60"/>
              <w:rPr>
                <w:rFonts w:cs="Arial"/>
                <w:sz w:val="20"/>
                <w:szCs w:val="20"/>
              </w:rPr>
            </w:pPr>
            <w:r w:rsidRPr="00435ED5">
              <w:rPr>
                <w:rFonts w:cs="Arial"/>
                <w:sz w:val="20"/>
                <w:szCs w:val="20"/>
              </w:rPr>
              <w:t>A range of rocky habitats;</w:t>
            </w:r>
          </w:p>
          <w:p w14:paraId="07E584D7" w14:textId="77777777" w:rsidR="00820A21" w:rsidRPr="00435ED5" w:rsidRDefault="00820A21" w:rsidP="00567567">
            <w:pPr>
              <w:pStyle w:val="TableText"/>
              <w:numPr>
                <w:ilvl w:val="0"/>
                <w:numId w:val="93"/>
              </w:numPr>
              <w:spacing w:before="60" w:after="60"/>
              <w:rPr>
                <w:rFonts w:cs="Arial"/>
                <w:sz w:val="20"/>
                <w:szCs w:val="20"/>
              </w:rPr>
            </w:pPr>
            <w:r w:rsidRPr="00435ED5">
              <w:rPr>
                <w:rFonts w:cs="Arial"/>
                <w:sz w:val="20"/>
                <w:szCs w:val="20"/>
              </w:rPr>
              <w:t>Mammal mammals such as dolphins, whales and fur seals;</w:t>
            </w:r>
          </w:p>
          <w:p w14:paraId="0B25F3AA" w14:textId="77777777" w:rsidR="00820A21" w:rsidRPr="00435ED5" w:rsidRDefault="00820A21" w:rsidP="00567567">
            <w:pPr>
              <w:pStyle w:val="TableText"/>
              <w:numPr>
                <w:ilvl w:val="0"/>
                <w:numId w:val="93"/>
              </w:numPr>
              <w:spacing w:before="60" w:after="60"/>
              <w:rPr>
                <w:rFonts w:cs="Arial"/>
                <w:sz w:val="20"/>
                <w:szCs w:val="20"/>
              </w:rPr>
            </w:pPr>
            <w:r w:rsidRPr="00435ED5">
              <w:rPr>
                <w:rFonts w:cs="Arial"/>
                <w:sz w:val="20"/>
                <w:szCs w:val="20"/>
              </w:rPr>
              <w:t>Transient reptiles from northern waters, including turtles and sea snakes;</w:t>
            </w:r>
          </w:p>
          <w:p w14:paraId="4A018624" w14:textId="77777777" w:rsidR="00820A21" w:rsidRPr="00435ED5" w:rsidRDefault="00820A21" w:rsidP="00567567">
            <w:pPr>
              <w:pStyle w:val="TableText"/>
              <w:numPr>
                <w:ilvl w:val="0"/>
                <w:numId w:val="93"/>
              </w:numPr>
              <w:spacing w:before="60" w:after="60"/>
              <w:rPr>
                <w:rFonts w:cs="Arial"/>
                <w:sz w:val="20"/>
                <w:szCs w:val="20"/>
              </w:rPr>
            </w:pPr>
            <w:r w:rsidRPr="00435ED5">
              <w:rPr>
                <w:rFonts w:cs="Arial"/>
                <w:sz w:val="20"/>
                <w:szCs w:val="20"/>
              </w:rPr>
              <w:t>Threatened fauna, including whales and several bird species;</w:t>
            </w:r>
          </w:p>
          <w:p w14:paraId="3783F490" w14:textId="77777777" w:rsidR="00820A21" w:rsidRPr="00435ED5" w:rsidRDefault="00820A21" w:rsidP="00567567">
            <w:pPr>
              <w:pStyle w:val="TableText"/>
              <w:numPr>
                <w:ilvl w:val="0"/>
                <w:numId w:val="93"/>
              </w:numPr>
              <w:spacing w:before="60" w:after="60"/>
              <w:rPr>
                <w:rFonts w:cs="Arial"/>
                <w:sz w:val="20"/>
                <w:szCs w:val="20"/>
              </w:rPr>
            </w:pPr>
            <w:r w:rsidRPr="00435ED5">
              <w:rPr>
                <w:rFonts w:cs="Arial"/>
                <w:sz w:val="20"/>
                <w:szCs w:val="20"/>
              </w:rPr>
              <w:t>Outstanding landscapes, seascapes and underwater scenery;</w:t>
            </w:r>
          </w:p>
          <w:p w14:paraId="5C49F7DA" w14:textId="77777777" w:rsidR="00820A21" w:rsidRPr="00435ED5" w:rsidRDefault="00820A21" w:rsidP="00567567">
            <w:pPr>
              <w:pStyle w:val="TableText"/>
              <w:numPr>
                <w:ilvl w:val="0"/>
                <w:numId w:val="93"/>
              </w:numPr>
              <w:spacing w:before="60" w:after="60"/>
              <w:rPr>
                <w:rFonts w:cs="Arial"/>
                <w:sz w:val="20"/>
                <w:szCs w:val="20"/>
              </w:rPr>
            </w:pPr>
            <w:r w:rsidRPr="00435ED5">
              <w:rPr>
                <w:rFonts w:cs="Arial"/>
                <w:sz w:val="20"/>
                <w:szCs w:val="20"/>
              </w:rPr>
              <w:t>Outstanding active coastal landforms, such as granite reefs and mobile sand dunes;</w:t>
            </w:r>
          </w:p>
          <w:p w14:paraId="1CB6413C" w14:textId="77777777" w:rsidR="00820A21" w:rsidRPr="00435ED5" w:rsidRDefault="00820A21" w:rsidP="00567567">
            <w:pPr>
              <w:pStyle w:val="TableText"/>
              <w:numPr>
                <w:ilvl w:val="0"/>
                <w:numId w:val="93"/>
              </w:numPr>
              <w:spacing w:before="60" w:after="60"/>
              <w:rPr>
                <w:rFonts w:cs="Arial"/>
                <w:sz w:val="20"/>
                <w:szCs w:val="20"/>
              </w:rPr>
            </w:pPr>
            <w:r w:rsidRPr="00435ED5">
              <w:rPr>
                <w:rFonts w:cs="Arial"/>
                <w:sz w:val="20"/>
                <w:szCs w:val="20"/>
              </w:rPr>
              <w:t>Excellent opportunities for scientific investigation and learning; and</w:t>
            </w:r>
          </w:p>
          <w:p w14:paraId="16F168E0" w14:textId="77777777" w:rsidR="00820A21" w:rsidRPr="00435ED5" w:rsidRDefault="00820A21" w:rsidP="00567567">
            <w:pPr>
              <w:pStyle w:val="TableText"/>
              <w:numPr>
                <w:ilvl w:val="0"/>
                <w:numId w:val="93"/>
              </w:numPr>
              <w:spacing w:before="60" w:after="60"/>
              <w:rPr>
                <w:rFonts w:cs="Arial"/>
                <w:sz w:val="20"/>
                <w:szCs w:val="20"/>
              </w:rPr>
            </w:pPr>
            <w:r w:rsidRPr="00435ED5">
              <w:rPr>
                <w:rFonts w:cs="Arial"/>
                <w:sz w:val="20"/>
                <w:szCs w:val="20"/>
              </w:rPr>
              <w:t>Outstanding opportunities to build knowledge of marine protected areas and their management and to further understand marine ecological function and changes over time.</w:t>
            </w:r>
          </w:p>
          <w:p w14:paraId="46511731" w14:textId="77777777" w:rsidR="00FE7769" w:rsidRPr="00435ED5" w:rsidRDefault="00FE7769" w:rsidP="00FE7769">
            <w:pPr>
              <w:pStyle w:val="TableText"/>
              <w:spacing w:before="60" w:after="60"/>
              <w:rPr>
                <w:rFonts w:cs="Arial"/>
                <w:b/>
                <w:sz w:val="20"/>
                <w:szCs w:val="20"/>
              </w:rPr>
            </w:pPr>
            <w:r w:rsidRPr="00435ED5">
              <w:rPr>
                <w:rFonts w:cs="Arial"/>
                <w:b/>
                <w:sz w:val="20"/>
                <w:szCs w:val="20"/>
              </w:rPr>
              <w:t>Physical attributes</w:t>
            </w:r>
          </w:p>
          <w:p w14:paraId="2FF38706" w14:textId="35AB08DB" w:rsidR="005925E7" w:rsidRPr="00435ED5" w:rsidRDefault="005925E7" w:rsidP="005925E7">
            <w:pPr>
              <w:pStyle w:val="TableText"/>
              <w:rPr>
                <w:rFonts w:cs="Arial"/>
                <w:sz w:val="20"/>
                <w:szCs w:val="20"/>
              </w:rPr>
            </w:pPr>
            <w:r w:rsidRPr="00435ED5">
              <w:rPr>
                <w:rFonts w:cs="Arial"/>
                <w:sz w:val="20"/>
                <w:szCs w:val="20"/>
              </w:rPr>
              <w:t xml:space="preserve">Point Hicks </w:t>
            </w:r>
            <w:r w:rsidR="006B62EF">
              <w:rPr>
                <w:rFonts w:cs="Arial"/>
                <w:sz w:val="20"/>
                <w:szCs w:val="20"/>
              </w:rPr>
              <w:t>MNP</w:t>
            </w:r>
            <w:r w:rsidRPr="00435ED5">
              <w:rPr>
                <w:rFonts w:cs="Arial"/>
                <w:sz w:val="20"/>
                <w:szCs w:val="20"/>
              </w:rPr>
              <w:t xml:space="preserve"> contains various rocky habitats, ranging from large boulders up to 6 m tall to clusters of small rocks and stones comprised of basalt, granite and calcarenite. The reefs directly below Point Hicks, Whaleback Rock and Satisfaction Reef are the best-known geological features of the park. Point Hicks itself is a granite headland with a wide rocky and bouldery shore formed up to 10,000 years ago.</w:t>
            </w:r>
          </w:p>
          <w:p w14:paraId="2C8FAAF3" w14:textId="77777777" w:rsidR="00FE7769" w:rsidRPr="00435ED5" w:rsidRDefault="00FE7769" w:rsidP="00D73870">
            <w:pPr>
              <w:pStyle w:val="TableText"/>
              <w:rPr>
                <w:rFonts w:cs="Arial"/>
                <w:b/>
                <w:sz w:val="20"/>
                <w:szCs w:val="20"/>
              </w:rPr>
            </w:pPr>
            <w:r w:rsidRPr="00435ED5">
              <w:rPr>
                <w:rFonts w:cs="Arial"/>
                <w:b/>
                <w:sz w:val="20"/>
                <w:szCs w:val="20"/>
              </w:rPr>
              <w:t>Habitats</w:t>
            </w:r>
          </w:p>
          <w:p w14:paraId="1E9E07D8" w14:textId="76D392A1" w:rsidR="00820A21" w:rsidRPr="00435ED5" w:rsidRDefault="00D73870" w:rsidP="00D73870">
            <w:pPr>
              <w:pStyle w:val="TableText"/>
              <w:rPr>
                <w:rFonts w:cs="Arial"/>
                <w:sz w:val="20"/>
                <w:szCs w:val="20"/>
              </w:rPr>
            </w:pPr>
            <w:r w:rsidRPr="00435ED5">
              <w:rPr>
                <w:rFonts w:cs="Arial"/>
                <w:sz w:val="20"/>
                <w:szCs w:val="20"/>
              </w:rPr>
              <w:t xml:space="preserve">Point Hicks </w:t>
            </w:r>
            <w:r w:rsidR="006B62EF">
              <w:rPr>
                <w:rFonts w:cs="Arial"/>
                <w:sz w:val="20"/>
                <w:szCs w:val="20"/>
              </w:rPr>
              <w:t>MNP</w:t>
            </w:r>
            <w:r w:rsidRPr="00435ED5">
              <w:rPr>
                <w:rFonts w:cs="Arial"/>
                <w:sz w:val="20"/>
                <w:szCs w:val="20"/>
              </w:rPr>
              <w:t xml:space="preserve"> supports five known marine ecological communities, these being subtidal soft sediment, subtidal reef, intertidal reef, sandy beaches and, pelagic communities</w:t>
            </w:r>
            <w:r w:rsidR="004E2083" w:rsidRPr="00435ED5">
              <w:rPr>
                <w:rFonts w:cs="Arial"/>
                <w:sz w:val="20"/>
                <w:szCs w:val="20"/>
              </w:rPr>
              <w:t>.</w:t>
            </w:r>
            <w:r w:rsidRPr="00435ED5">
              <w:rPr>
                <w:rFonts w:cs="Arial"/>
                <w:sz w:val="20"/>
                <w:szCs w:val="20"/>
              </w:rPr>
              <w:t xml:space="preserve"> </w:t>
            </w:r>
          </w:p>
          <w:p w14:paraId="2F9F9B99" w14:textId="77777777" w:rsidR="00FE7769" w:rsidRPr="00435ED5" w:rsidRDefault="00FE7769" w:rsidP="00D73870">
            <w:pPr>
              <w:pStyle w:val="TableText"/>
              <w:rPr>
                <w:rFonts w:cs="Arial"/>
                <w:b/>
                <w:sz w:val="20"/>
                <w:szCs w:val="20"/>
              </w:rPr>
            </w:pPr>
            <w:r w:rsidRPr="00435ED5">
              <w:rPr>
                <w:rFonts w:cs="Arial"/>
                <w:b/>
                <w:sz w:val="20"/>
                <w:szCs w:val="20"/>
              </w:rPr>
              <w:t xml:space="preserve">Marine </w:t>
            </w:r>
            <w:r w:rsidR="00C372CE" w:rsidRPr="00435ED5">
              <w:rPr>
                <w:rFonts w:cs="Arial"/>
                <w:b/>
                <w:sz w:val="20"/>
                <w:szCs w:val="20"/>
              </w:rPr>
              <w:t>b</w:t>
            </w:r>
            <w:r w:rsidRPr="00435ED5">
              <w:rPr>
                <w:rFonts w:cs="Arial"/>
                <w:b/>
                <w:sz w:val="20"/>
                <w:szCs w:val="20"/>
              </w:rPr>
              <w:t>iodiversity</w:t>
            </w:r>
          </w:p>
          <w:p w14:paraId="192103EB" w14:textId="77777777" w:rsidR="00D73870" w:rsidRPr="00435ED5" w:rsidRDefault="00D73870" w:rsidP="00D73870">
            <w:pPr>
              <w:pStyle w:val="TableText"/>
              <w:rPr>
                <w:rFonts w:cs="Arial"/>
                <w:sz w:val="20"/>
                <w:szCs w:val="20"/>
              </w:rPr>
            </w:pPr>
            <w:r w:rsidRPr="00435ED5">
              <w:rPr>
                <w:rFonts w:cs="Arial"/>
                <w:sz w:val="20"/>
                <w:szCs w:val="20"/>
              </w:rPr>
              <w:t>Subtidal soft sediment areas within the park are unvegetated, although large numbers of cerith molluscs have been observed in waters shallower than 46 m, in contrast to the absence of macrofauna at depths of 62–83 m. Most subtidal reef areas are close to the shore, although significant reefs occur at Whaleback Rock near the eastern boundary and Satisfaction Reef near the western boundary</w:t>
            </w:r>
            <w:r w:rsidR="004E2083" w:rsidRPr="00435ED5">
              <w:rPr>
                <w:rFonts w:cs="Arial"/>
                <w:sz w:val="20"/>
                <w:szCs w:val="20"/>
              </w:rPr>
              <w:t>.</w:t>
            </w:r>
          </w:p>
          <w:p w14:paraId="229FFEDA" w14:textId="77777777" w:rsidR="00D73870" w:rsidRPr="00435ED5" w:rsidRDefault="00D73870" w:rsidP="00D73870">
            <w:pPr>
              <w:pStyle w:val="TableText"/>
              <w:rPr>
                <w:rFonts w:cs="Arial"/>
                <w:sz w:val="20"/>
                <w:szCs w:val="20"/>
              </w:rPr>
            </w:pPr>
            <w:r w:rsidRPr="00435ED5">
              <w:rPr>
                <w:rFonts w:cs="Arial"/>
                <w:sz w:val="20"/>
                <w:szCs w:val="20"/>
              </w:rPr>
              <w:t>A prominent biological component of the subtidal reef areas is kelp and other seaweeds. Large species of brown algae, such as common kelp and crayweed, are present along the open coast in dense stands. Giant species of seaweeds such as string kelp and bull kelp also occur</w:t>
            </w:r>
            <w:r w:rsidR="004E2083" w:rsidRPr="00435ED5">
              <w:rPr>
                <w:rFonts w:cs="Arial"/>
                <w:sz w:val="20"/>
                <w:szCs w:val="20"/>
              </w:rPr>
              <w:t xml:space="preserve"> (ParksVic, 2006). The front reefs and Whaleback Reef, which have high relief gutters of up to 15 m have high </w:t>
            </w:r>
            <w:r w:rsidR="004E2083" w:rsidRPr="00435ED5">
              <w:rPr>
                <w:rFonts w:cs="Arial"/>
                <w:sz w:val="20"/>
                <w:szCs w:val="20"/>
              </w:rPr>
              <w:lastRenderedPageBreak/>
              <w:t>sessile invertebrate diversity and abundance on the vertical walls.</w:t>
            </w:r>
          </w:p>
          <w:p w14:paraId="6F00B8AD" w14:textId="77777777" w:rsidR="00D73870" w:rsidRPr="00435ED5" w:rsidRDefault="00D73870" w:rsidP="00D73870">
            <w:pPr>
              <w:pStyle w:val="TableText"/>
              <w:rPr>
                <w:rFonts w:cs="Arial"/>
                <w:sz w:val="20"/>
                <w:szCs w:val="20"/>
              </w:rPr>
            </w:pPr>
            <w:r w:rsidRPr="00435ED5">
              <w:rPr>
                <w:rFonts w:cs="Arial"/>
                <w:sz w:val="20"/>
                <w:szCs w:val="20"/>
              </w:rPr>
              <w:t>A diverse assemblage of sessile invertebrates inhabits these subtidal reef areas, including sponges, bryozoans, corals, gorgonians and octocorals. A survey within the holdfasts of common kelp just outside the park found a rich assemblage of bryozoans and hydroids, and between the holdfasts numerous species of sponges and ascidians were present. Also recorded were large invertebrates including sea stars, several ophiuroids, crinoids, gastropods, fan worms and nudibranchs</w:t>
            </w:r>
            <w:r w:rsidR="004E2083" w:rsidRPr="00435ED5">
              <w:rPr>
                <w:rFonts w:cs="Arial"/>
                <w:sz w:val="20"/>
                <w:szCs w:val="20"/>
              </w:rPr>
              <w:t>.</w:t>
            </w:r>
            <w:r w:rsidRPr="00435ED5">
              <w:rPr>
                <w:rFonts w:cs="Arial"/>
                <w:sz w:val="20"/>
                <w:szCs w:val="20"/>
              </w:rPr>
              <w:t xml:space="preserve"> </w:t>
            </w:r>
          </w:p>
          <w:p w14:paraId="09B9A9A1" w14:textId="77777777" w:rsidR="004E2083" w:rsidRPr="00435ED5" w:rsidRDefault="004E2083" w:rsidP="004E2083">
            <w:pPr>
              <w:pStyle w:val="TableText"/>
              <w:rPr>
                <w:rFonts w:cs="Arial"/>
                <w:sz w:val="20"/>
                <w:szCs w:val="20"/>
              </w:rPr>
            </w:pPr>
            <w:r w:rsidRPr="00435ED5">
              <w:rPr>
                <w:rFonts w:cs="Arial"/>
                <w:sz w:val="20"/>
                <w:szCs w:val="20"/>
              </w:rPr>
              <w:t xml:space="preserve">An important characteristic of Point Hicks MNP is its canopy-forming algae (a mixture of crayweed </w:t>
            </w:r>
            <w:r w:rsidRPr="00435ED5">
              <w:rPr>
                <w:rFonts w:cs="Arial"/>
                <w:i/>
                <w:sz w:val="20"/>
                <w:szCs w:val="20"/>
              </w:rPr>
              <w:t>Phyllospora comosa</w:t>
            </w:r>
            <w:r w:rsidRPr="00435ED5">
              <w:rPr>
                <w:rFonts w:cs="Arial"/>
                <w:sz w:val="20"/>
                <w:szCs w:val="20"/>
              </w:rPr>
              <w:t xml:space="preserve"> and common kelp </w:t>
            </w:r>
            <w:r w:rsidRPr="00435ED5">
              <w:rPr>
                <w:rFonts w:cs="Arial"/>
                <w:i/>
                <w:sz w:val="20"/>
                <w:szCs w:val="20"/>
              </w:rPr>
              <w:t>Ecklonia radiata</w:t>
            </w:r>
            <w:r w:rsidRPr="00435ED5">
              <w:rPr>
                <w:rFonts w:cs="Arial"/>
                <w:sz w:val="20"/>
                <w:szCs w:val="20"/>
              </w:rPr>
              <w:t>) and small understorey algae. The reef beneath the canopy varies from encrusting and erect sponges to small fleshy red algae. The invertebrate community includes moderate abundances of blacklip abalone (</w:t>
            </w:r>
            <w:r w:rsidRPr="00435ED5">
              <w:rPr>
                <w:rFonts w:cs="Arial"/>
                <w:i/>
                <w:sz w:val="20"/>
                <w:szCs w:val="20"/>
              </w:rPr>
              <w:t>Haliotis rubra</w:t>
            </w:r>
            <w:r w:rsidRPr="00435ED5">
              <w:rPr>
                <w:rFonts w:cs="Arial"/>
                <w:sz w:val="20"/>
                <w:szCs w:val="20"/>
              </w:rPr>
              <w:t>) and the red bait crab (</w:t>
            </w:r>
            <w:r w:rsidRPr="00435ED5">
              <w:rPr>
                <w:rFonts w:cs="Arial"/>
                <w:i/>
                <w:sz w:val="20"/>
                <w:szCs w:val="20"/>
              </w:rPr>
              <w:t>Plagusia chabrus</w:t>
            </w:r>
            <w:r w:rsidRPr="00435ED5">
              <w:rPr>
                <w:rFonts w:cs="Arial"/>
                <w:sz w:val="20"/>
                <w:szCs w:val="20"/>
              </w:rPr>
              <w:t>).</w:t>
            </w:r>
          </w:p>
          <w:p w14:paraId="32AD44CE" w14:textId="77777777" w:rsidR="004E2083" w:rsidRPr="00435ED5" w:rsidRDefault="00D73870" w:rsidP="00D73870">
            <w:pPr>
              <w:pStyle w:val="TableText"/>
              <w:rPr>
                <w:rFonts w:cs="Arial"/>
                <w:sz w:val="20"/>
                <w:szCs w:val="20"/>
              </w:rPr>
            </w:pPr>
            <w:r w:rsidRPr="00435ED5">
              <w:rPr>
                <w:rFonts w:cs="Arial"/>
                <w:sz w:val="20"/>
                <w:szCs w:val="20"/>
              </w:rPr>
              <w:t xml:space="preserve">Fish assemblages are dominated by blue-throat wrasse and purple wrasse. Other common species include rock cale, herring cale, banded morwong, zebra fish and Port Jackson sharks. </w:t>
            </w:r>
            <w:r w:rsidR="00A21DE4" w:rsidRPr="00435ED5">
              <w:rPr>
                <w:rFonts w:cs="Arial"/>
                <w:sz w:val="20"/>
                <w:szCs w:val="20"/>
              </w:rPr>
              <w:t>Pelagic fish, including school whiting, sparsely spotted stingaree, piked dog shark, gummy sharks, salmon and tailor are believed to feed in subtidal soft sediment areas within the park.</w:t>
            </w:r>
            <w:r w:rsidR="004E2083" w:rsidRPr="00435ED5">
              <w:rPr>
                <w:rFonts w:cs="Arial"/>
                <w:sz w:val="20"/>
                <w:szCs w:val="20"/>
              </w:rPr>
              <w:t xml:space="preserve"> </w:t>
            </w:r>
            <w:r w:rsidR="00A21DE4" w:rsidRPr="00435ED5">
              <w:rPr>
                <w:rFonts w:cs="Arial"/>
                <w:sz w:val="20"/>
                <w:szCs w:val="20"/>
              </w:rPr>
              <w:t>T</w:t>
            </w:r>
            <w:r w:rsidRPr="00435ED5">
              <w:rPr>
                <w:rFonts w:cs="Arial"/>
                <w:sz w:val="20"/>
                <w:szCs w:val="20"/>
              </w:rPr>
              <w:t xml:space="preserve">ransient mammals such as </w:t>
            </w:r>
            <w:r w:rsidR="00A21DE4" w:rsidRPr="00435ED5">
              <w:rPr>
                <w:rFonts w:cs="Arial"/>
                <w:sz w:val="20"/>
                <w:szCs w:val="20"/>
              </w:rPr>
              <w:t>s</w:t>
            </w:r>
            <w:r w:rsidRPr="00435ED5">
              <w:rPr>
                <w:rFonts w:cs="Arial"/>
                <w:sz w:val="20"/>
                <w:szCs w:val="20"/>
              </w:rPr>
              <w:t xml:space="preserve">outhern </w:t>
            </w:r>
            <w:r w:rsidR="00A21DE4" w:rsidRPr="00435ED5">
              <w:rPr>
                <w:rFonts w:cs="Arial"/>
                <w:sz w:val="20"/>
                <w:szCs w:val="20"/>
              </w:rPr>
              <w:t>r</w:t>
            </w:r>
            <w:r w:rsidRPr="00435ED5">
              <w:rPr>
                <w:rFonts w:cs="Arial"/>
                <w:sz w:val="20"/>
                <w:szCs w:val="20"/>
              </w:rPr>
              <w:t xml:space="preserve">ight </w:t>
            </w:r>
            <w:r w:rsidR="00A21DE4" w:rsidRPr="00435ED5">
              <w:rPr>
                <w:rFonts w:cs="Arial"/>
                <w:sz w:val="20"/>
                <w:szCs w:val="20"/>
              </w:rPr>
              <w:t>w</w:t>
            </w:r>
            <w:r w:rsidRPr="00435ED5">
              <w:rPr>
                <w:rFonts w:cs="Arial"/>
                <w:sz w:val="20"/>
                <w:szCs w:val="20"/>
              </w:rPr>
              <w:t xml:space="preserve">hales, </w:t>
            </w:r>
            <w:r w:rsidR="00A21DE4" w:rsidRPr="00435ED5">
              <w:rPr>
                <w:rFonts w:cs="Arial"/>
                <w:sz w:val="20"/>
                <w:szCs w:val="20"/>
              </w:rPr>
              <w:t>h</w:t>
            </w:r>
            <w:r w:rsidRPr="00435ED5">
              <w:rPr>
                <w:rFonts w:cs="Arial"/>
                <w:sz w:val="20"/>
                <w:szCs w:val="20"/>
              </w:rPr>
              <w:t xml:space="preserve">umpback </w:t>
            </w:r>
            <w:r w:rsidR="00A21DE4" w:rsidRPr="00435ED5">
              <w:rPr>
                <w:rFonts w:cs="Arial"/>
                <w:sz w:val="20"/>
                <w:szCs w:val="20"/>
              </w:rPr>
              <w:t>w</w:t>
            </w:r>
            <w:r w:rsidRPr="00435ED5">
              <w:rPr>
                <w:rFonts w:cs="Arial"/>
                <w:sz w:val="20"/>
                <w:szCs w:val="20"/>
              </w:rPr>
              <w:t>hales,</w:t>
            </w:r>
            <w:r w:rsidR="00A21DE4" w:rsidRPr="00435ED5">
              <w:rPr>
                <w:rFonts w:cs="Arial"/>
                <w:sz w:val="20"/>
                <w:szCs w:val="20"/>
              </w:rPr>
              <w:t xml:space="preserve"> k</w:t>
            </w:r>
            <w:r w:rsidRPr="00435ED5">
              <w:rPr>
                <w:rFonts w:cs="Arial"/>
                <w:sz w:val="20"/>
                <w:szCs w:val="20"/>
              </w:rPr>
              <w:t xml:space="preserve">iller </w:t>
            </w:r>
            <w:r w:rsidR="00A21DE4" w:rsidRPr="00435ED5">
              <w:rPr>
                <w:rFonts w:cs="Arial"/>
                <w:sz w:val="20"/>
                <w:szCs w:val="20"/>
              </w:rPr>
              <w:t>w</w:t>
            </w:r>
            <w:r w:rsidRPr="00435ED5">
              <w:rPr>
                <w:rFonts w:cs="Arial"/>
                <w:sz w:val="20"/>
                <w:szCs w:val="20"/>
              </w:rPr>
              <w:t xml:space="preserve">hales, Australian </w:t>
            </w:r>
            <w:r w:rsidR="00A21DE4" w:rsidRPr="00435ED5">
              <w:rPr>
                <w:rFonts w:cs="Arial"/>
                <w:sz w:val="20"/>
                <w:szCs w:val="20"/>
              </w:rPr>
              <w:t>f</w:t>
            </w:r>
            <w:r w:rsidRPr="00435ED5">
              <w:rPr>
                <w:rFonts w:cs="Arial"/>
                <w:sz w:val="20"/>
                <w:szCs w:val="20"/>
              </w:rPr>
              <w:t xml:space="preserve">ur </w:t>
            </w:r>
            <w:r w:rsidR="00A21DE4" w:rsidRPr="00435ED5">
              <w:rPr>
                <w:rFonts w:cs="Arial"/>
                <w:sz w:val="20"/>
                <w:szCs w:val="20"/>
              </w:rPr>
              <w:t>s</w:t>
            </w:r>
            <w:r w:rsidRPr="00435ED5">
              <w:rPr>
                <w:rFonts w:cs="Arial"/>
                <w:sz w:val="20"/>
                <w:szCs w:val="20"/>
              </w:rPr>
              <w:t>eals,</w:t>
            </w:r>
            <w:r w:rsidR="00A21DE4" w:rsidRPr="00435ED5">
              <w:rPr>
                <w:rFonts w:cs="Arial"/>
                <w:sz w:val="20"/>
                <w:szCs w:val="20"/>
              </w:rPr>
              <w:t xml:space="preserve"> </w:t>
            </w:r>
            <w:r w:rsidRPr="00435ED5">
              <w:rPr>
                <w:rFonts w:cs="Arial"/>
                <w:sz w:val="20"/>
                <w:szCs w:val="20"/>
              </w:rPr>
              <w:t xml:space="preserve">New Zealand </w:t>
            </w:r>
            <w:r w:rsidR="00A21DE4" w:rsidRPr="00435ED5">
              <w:rPr>
                <w:rFonts w:cs="Arial"/>
                <w:sz w:val="20"/>
                <w:szCs w:val="20"/>
              </w:rPr>
              <w:t>f</w:t>
            </w:r>
            <w:r w:rsidRPr="00435ED5">
              <w:rPr>
                <w:rFonts w:cs="Arial"/>
                <w:sz w:val="20"/>
                <w:szCs w:val="20"/>
              </w:rPr>
              <w:t xml:space="preserve">ur </w:t>
            </w:r>
            <w:r w:rsidR="00A21DE4" w:rsidRPr="00435ED5">
              <w:rPr>
                <w:rFonts w:cs="Arial"/>
                <w:sz w:val="20"/>
                <w:szCs w:val="20"/>
              </w:rPr>
              <w:t>s</w:t>
            </w:r>
            <w:r w:rsidRPr="00435ED5">
              <w:rPr>
                <w:rFonts w:cs="Arial"/>
                <w:sz w:val="20"/>
                <w:szCs w:val="20"/>
              </w:rPr>
              <w:t xml:space="preserve">eals, </w:t>
            </w:r>
            <w:r w:rsidR="00A21DE4" w:rsidRPr="00435ED5">
              <w:rPr>
                <w:rFonts w:cs="Arial"/>
                <w:sz w:val="20"/>
                <w:szCs w:val="20"/>
              </w:rPr>
              <w:t>b</w:t>
            </w:r>
            <w:r w:rsidRPr="00435ED5">
              <w:rPr>
                <w:rFonts w:cs="Arial"/>
                <w:sz w:val="20"/>
                <w:szCs w:val="20"/>
              </w:rPr>
              <w:t xml:space="preserve">ottlenose </w:t>
            </w:r>
            <w:r w:rsidR="00A21DE4" w:rsidRPr="00435ED5">
              <w:rPr>
                <w:rFonts w:cs="Arial"/>
                <w:sz w:val="20"/>
                <w:szCs w:val="20"/>
              </w:rPr>
              <w:t>d</w:t>
            </w:r>
            <w:r w:rsidRPr="00435ED5">
              <w:rPr>
                <w:rFonts w:cs="Arial"/>
                <w:sz w:val="20"/>
                <w:szCs w:val="20"/>
              </w:rPr>
              <w:t>olphins</w:t>
            </w:r>
            <w:r w:rsidR="00A21DE4" w:rsidRPr="00435ED5">
              <w:rPr>
                <w:rFonts w:cs="Arial"/>
                <w:sz w:val="20"/>
                <w:szCs w:val="20"/>
              </w:rPr>
              <w:t xml:space="preserve"> </w:t>
            </w:r>
            <w:r w:rsidRPr="00435ED5">
              <w:rPr>
                <w:rFonts w:cs="Arial"/>
                <w:sz w:val="20"/>
                <w:szCs w:val="20"/>
              </w:rPr>
              <w:t xml:space="preserve">and </w:t>
            </w:r>
            <w:r w:rsidR="00A21DE4" w:rsidRPr="00435ED5">
              <w:rPr>
                <w:rFonts w:cs="Arial"/>
                <w:sz w:val="20"/>
                <w:szCs w:val="20"/>
              </w:rPr>
              <w:t>c</w:t>
            </w:r>
            <w:r w:rsidRPr="00435ED5">
              <w:rPr>
                <w:rFonts w:cs="Arial"/>
                <w:sz w:val="20"/>
                <w:szCs w:val="20"/>
              </w:rPr>
              <w:t xml:space="preserve">ommon </w:t>
            </w:r>
            <w:r w:rsidR="00A21DE4" w:rsidRPr="00435ED5">
              <w:rPr>
                <w:rFonts w:cs="Arial"/>
                <w:sz w:val="20"/>
                <w:szCs w:val="20"/>
              </w:rPr>
              <w:t>d</w:t>
            </w:r>
            <w:r w:rsidRPr="00435ED5">
              <w:rPr>
                <w:rFonts w:cs="Arial"/>
                <w:sz w:val="20"/>
                <w:szCs w:val="20"/>
              </w:rPr>
              <w:t>olphins are transient visitors to</w:t>
            </w:r>
            <w:r w:rsidR="00A21DE4" w:rsidRPr="00435ED5">
              <w:rPr>
                <w:rFonts w:cs="Arial"/>
                <w:sz w:val="20"/>
                <w:szCs w:val="20"/>
              </w:rPr>
              <w:t xml:space="preserve"> </w:t>
            </w:r>
            <w:r w:rsidRPr="00435ED5">
              <w:rPr>
                <w:rFonts w:cs="Arial"/>
                <w:sz w:val="20"/>
                <w:szCs w:val="20"/>
              </w:rPr>
              <w:t>the park</w:t>
            </w:r>
            <w:r w:rsidR="004E2083" w:rsidRPr="00435ED5">
              <w:rPr>
                <w:rFonts w:cs="Arial"/>
                <w:sz w:val="20"/>
                <w:szCs w:val="20"/>
              </w:rPr>
              <w:t>.</w:t>
            </w:r>
          </w:p>
          <w:p w14:paraId="3C3558F8" w14:textId="77777777" w:rsidR="00FE7769" w:rsidRPr="00435ED5" w:rsidRDefault="00FE7769" w:rsidP="004E2083">
            <w:pPr>
              <w:pStyle w:val="TableText"/>
              <w:rPr>
                <w:rFonts w:cs="Arial"/>
                <w:b/>
                <w:sz w:val="20"/>
                <w:szCs w:val="20"/>
              </w:rPr>
            </w:pPr>
            <w:r w:rsidRPr="00435ED5">
              <w:rPr>
                <w:rFonts w:cs="Arial"/>
                <w:b/>
                <w:sz w:val="20"/>
                <w:szCs w:val="20"/>
              </w:rPr>
              <w:t>Shoreline biodiversity</w:t>
            </w:r>
          </w:p>
          <w:p w14:paraId="65A2FC88" w14:textId="77777777" w:rsidR="00820A21" w:rsidRPr="00435ED5" w:rsidRDefault="00FE7769" w:rsidP="00A21DE4">
            <w:pPr>
              <w:pStyle w:val="TableText"/>
              <w:rPr>
                <w:rFonts w:cs="Arial"/>
                <w:sz w:val="20"/>
                <w:szCs w:val="20"/>
              </w:rPr>
            </w:pPr>
            <w:r w:rsidRPr="00435ED5">
              <w:rPr>
                <w:rFonts w:cs="Arial"/>
                <w:sz w:val="20"/>
                <w:szCs w:val="20"/>
              </w:rPr>
              <w:t>The marine park provides important feeding and roosting habitat for several threatened bird species such as the hooded plover, little egret and fairy tern.</w:t>
            </w:r>
            <w:r w:rsidR="00820A21" w:rsidRPr="00435ED5">
              <w:rPr>
                <w:rFonts w:cs="Arial"/>
                <w:sz w:val="20"/>
                <w:szCs w:val="20"/>
              </w:rPr>
              <w:t xml:space="preserve"> </w:t>
            </w:r>
          </w:p>
        </w:tc>
      </w:tr>
      <w:tr w:rsidR="00EE55B5" w:rsidRPr="00435ED5" w14:paraId="10B9423C" w14:textId="77777777" w:rsidTr="00024545">
        <w:tc>
          <w:tcPr>
            <w:tcW w:w="1701" w:type="dxa"/>
            <w:shd w:val="clear" w:color="auto" w:fill="auto"/>
          </w:tcPr>
          <w:p w14:paraId="0B501DA8" w14:textId="77777777" w:rsidR="003E59E2" w:rsidRPr="00435ED5" w:rsidRDefault="00EE55B5" w:rsidP="00FE48D1">
            <w:pPr>
              <w:pStyle w:val="TableText"/>
              <w:rPr>
                <w:rFonts w:cs="Arial"/>
                <w:b/>
                <w:sz w:val="20"/>
                <w:szCs w:val="20"/>
              </w:rPr>
            </w:pPr>
            <w:r w:rsidRPr="00435ED5">
              <w:rPr>
                <w:rFonts w:cs="Arial"/>
                <w:b/>
                <w:sz w:val="20"/>
                <w:szCs w:val="20"/>
              </w:rPr>
              <w:lastRenderedPageBreak/>
              <w:t>Cape Howe</w:t>
            </w:r>
            <w:r w:rsidR="00D438E9" w:rsidRPr="00435ED5">
              <w:rPr>
                <w:rFonts w:cs="Arial"/>
                <w:b/>
                <w:sz w:val="20"/>
                <w:szCs w:val="20"/>
              </w:rPr>
              <w:t xml:space="preserve"> Marine National Park</w:t>
            </w:r>
          </w:p>
          <w:p w14:paraId="1B8E60E5" w14:textId="77777777" w:rsidR="003E59E2" w:rsidRPr="00435ED5" w:rsidRDefault="003E59E2" w:rsidP="00FE48D1">
            <w:pPr>
              <w:pStyle w:val="TableText"/>
              <w:rPr>
                <w:rFonts w:cs="Arial"/>
                <w:sz w:val="20"/>
                <w:szCs w:val="20"/>
              </w:rPr>
            </w:pPr>
          </w:p>
          <w:p w14:paraId="4027E0C5" w14:textId="77777777" w:rsidR="00EE55B5" w:rsidRPr="00435ED5" w:rsidRDefault="004F2F19" w:rsidP="00FE48D1">
            <w:pPr>
              <w:pStyle w:val="TableText"/>
              <w:rPr>
                <w:rFonts w:cs="Arial"/>
                <w:i/>
                <w:sz w:val="20"/>
                <w:szCs w:val="20"/>
              </w:rPr>
            </w:pPr>
            <w:r w:rsidRPr="00435ED5">
              <w:rPr>
                <w:rFonts w:cs="Arial"/>
                <w:i/>
                <w:sz w:val="20"/>
                <w:szCs w:val="20"/>
              </w:rPr>
              <w:t>222</w:t>
            </w:r>
            <w:r w:rsidR="00EE55B5" w:rsidRPr="00435ED5">
              <w:rPr>
                <w:rFonts w:cs="Arial"/>
                <w:i/>
                <w:sz w:val="20"/>
                <w:szCs w:val="20"/>
              </w:rPr>
              <w:t xml:space="preserve"> km east</w:t>
            </w:r>
            <w:r w:rsidRPr="00435ED5">
              <w:rPr>
                <w:rFonts w:cs="Arial"/>
                <w:i/>
                <w:sz w:val="20"/>
                <w:szCs w:val="20"/>
              </w:rPr>
              <w:t>-northeast</w:t>
            </w:r>
            <w:r w:rsidR="00EE55B5" w:rsidRPr="00435ED5">
              <w:rPr>
                <w:rFonts w:cs="Arial"/>
                <w:i/>
                <w:sz w:val="20"/>
                <w:szCs w:val="20"/>
              </w:rPr>
              <w:t xml:space="preserve"> of proposed acquisition area</w:t>
            </w:r>
          </w:p>
          <w:p w14:paraId="54E6CC84" w14:textId="77777777" w:rsidR="003E59E2" w:rsidRPr="00435ED5" w:rsidRDefault="003E59E2" w:rsidP="00FE48D1">
            <w:pPr>
              <w:pStyle w:val="TableText"/>
              <w:rPr>
                <w:rFonts w:cs="Arial"/>
                <w:sz w:val="20"/>
                <w:szCs w:val="20"/>
              </w:rPr>
            </w:pPr>
          </w:p>
          <w:p w14:paraId="3540D3D2" w14:textId="77777777" w:rsidR="003763FE" w:rsidRPr="00435ED5" w:rsidRDefault="00D22BF1" w:rsidP="00FE48D1">
            <w:pPr>
              <w:pStyle w:val="TableText"/>
              <w:rPr>
                <w:rFonts w:cs="Arial"/>
                <w:sz w:val="20"/>
                <w:szCs w:val="20"/>
              </w:rPr>
            </w:pPr>
            <w:r w:rsidRPr="00435ED5">
              <w:rPr>
                <w:rFonts w:cs="Arial"/>
                <w:sz w:val="20"/>
                <w:szCs w:val="20"/>
              </w:rPr>
              <w:t xml:space="preserve">IUCN Category </w:t>
            </w:r>
            <w:r w:rsidRPr="00435ED5">
              <w:rPr>
                <w:rFonts w:cs="Arial"/>
                <w:sz w:val="20"/>
                <w:szCs w:val="20"/>
              </w:rPr>
              <w:lastRenderedPageBreak/>
              <w:t>II</w:t>
            </w:r>
          </w:p>
          <w:p w14:paraId="130B0066" w14:textId="77777777" w:rsidR="003E59E2" w:rsidRPr="00435ED5" w:rsidRDefault="003E59E2" w:rsidP="00FE48D1">
            <w:pPr>
              <w:pStyle w:val="TableText"/>
              <w:rPr>
                <w:rFonts w:cs="Arial"/>
                <w:sz w:val="20"/>
                <w:szCs w:val="20"/>
              </w:rPr>
            </w:pPr>
          </w:p>
          <w:p w14:paraId="281B0C1E" w14:textId="77777777" w:rsidR="003E59E2" w:rsidRPr="00435ED5" w:rsidRDefault="003E59E2" w:rsidP="00FE48D1">
            <w:pPr>
              <w:pStyle w:val="TableText"/>
              <w:rPr>
                <w:rFonts w:cs="Arial"/>
                <w:sz w:val="20"/>
                <w:szCs w:val="20"/>
              </w:rPr>
            </w:pPr>
            <w:r w:rsidRPr="00435ED5">
              <w:rPr>
                <w:rFonts w:cs="Arial"/>
                <w:sz w:val="20"/>
                <w:szCs w:val="20"/>
              </w:rPr>
              <w:t>ParksVictoria Management Plan in place</w:t>
            </w:r>
            <w:r w:rsidR="00C34B67" w:rsidRPr="00435ED5">
              <w:rPr>
                <w:rFonts w:cs="Arial"/>
                <w:sz w:val="20"/>
                <w:szCs w:val="20"/>
              </w:rPr>
              <w:t xml:space="preserve"> (2006)</w:t>
            </w:r>
          </w:p>
        </w:tc>
        <w:tc>
          <w:tcPr>
            <w:tcW w:w="12049" w:type="dxa"/>
            <w:shd w:val="clear" w:color="auto" w:fill="auto"/>
          </w:tcPr>
          <w:p w14:paraId="30ACA42E" w14:textId="77777777" w:rsidR="00C372CE" w:rsidRPr="00435ED5" w:rsidRDefault="00C372CE" w:rsidP="00D438E9">
            <w:pPr>
              <w:pStyle w:val="TableText"/>
              <w:rPr>
                <w:rFonts w:cs="Arial"/>
                <w:b/>
                <w:sz w:val="20"/>
                <w:szCs w:val="20"/>
              </w:rPr>
            </w:pPr>
            <w:r w:rsidRPr="00435ED5">
              <w:rPr>
                <w:rFonts w:cs="Arial"/>
                <w:b/>
                <w:sz w:val="20"/>
                <w:szCs w:val="20"/>
              </w:rPr>
              <w:lastRenderedPageBreak/>
              <w:t>Location and area</w:t>
            </w:r>
          </w:p>
          <w:p w14:paraId="6A2344E9" w14:textId="005460AB" w:rsidR="00D438E9" w:rsidRPr="00435ED5" w:rsidRDefault="00D438E9" w:rsidP="00D438E9">
            <w:pPr>
              <w:pStyle w:val="TableText"/>
              <w:rPr>
                <w:rFonts w:cs="Arial"/>
                <w:sz w:val="20"/>
                <w:szCs w:val="20"/>
              </w:rPr>
            </w:pPr>
            <w:r w:rsidRPr="00435ED5">
              <w:rPr>
                <w:rFonts w:cs="Arial"/>
                <w:sz w:val="20"/>
                <w:szCs w:val="20"/>
              </w:rPr>
              <w:t xml:space="preserve">The Cape Howe </w:t>
            </w:r>
            <w:r w:rsidR="006B62EF">
              <w:rPr>
                <w:rFonts w:cs="Arial"/>
                <w:sz w:val="20"/>
                <w:szCs w:val="20"/>
              </w:rPr>
              <w:t>MNP</w:t>
            </w:r>
            <w:r w:rsidRPr="00435ED5">
              <w:rPr>
                <w:rFonts w:cs="Arial"/>
                <w:sz w:val="20"/>
                <w:szCs w:val="20"/>
              </w:rPr>
              <w:t xml:space="preserve"> covers 4,060 ha and extends along 4.8 km of coastline and offshore from the high water mark to the 3 nm state waters limit to water depths of 10</w:t>
            </w:r>
            <w:r w:rsidR="00746686" w:rsidRPr="00435ED5">
              <w:rPr>
                <w:rFonts w:cs="Arial"/>
                <w:sz w:val="20"/>
                <w:szCs w:val="20"/>
              </w:rPr>
              <w:t>5</w:t>
            </w:r>
            <w:r w:rsidRPr="00435ED5">
              <w:rPr>
                <w:rFonts w:cs="Arial"/>
                <w:sz w:val="20"/>
                <w:szCs w:val="20"/>
              </w:rPr>
              <w:t xml:space="preserve"> m</w:t>
            </w:r>
            <w:r w:rsidR="00500DED" w:rsidRPr="00435ED5">
              <w:rPr>
                <w:rFonts w:cs="Arial"/>
                <w:sz w:val="20"/>
                <w:szCs w:val="20"/>
              </w:rPr>
              <w:t>.</w:t>
            </w:r>
          </w:p>
          <w:p w14:paraId="6617946E" w14:textId="77777777" w:rsidR="00C372CE" w:rsidRPr="00435ED5" w:rsidRDefault="00C372CE" w:rsidP="00C372CE">
            <w:pPr>
              <w:pStyle w:val="TableText"/>
              <w:spacing w:before="60" w:after="60"/>
              <w:rPr>
                <w:rFonts w:cs="Arial"/>
                <w:b/>
                <w:sz w:val="20"/>
                <w:szCs w:val="20"/>
              </w:rPr>
            </w:pPr>
            <w:r w:rsidRPr="00435ED5">
              <w:rPr>
                <w:rFonts w:cs="Arial"/>
                <w:b/>
                <w:sz w:val="20"/>
                <w:szCs w:val="20"/>
              </w:rPr>
              <w:t>Key natural values</w:t>
            </w:r>
          </w:p>
          <w:p w14:paraId="31A62E7B" w14:textId="77777777" w:rsidR="00D438E9" w:rsidRPr="00435ED5" w:rsidRDefault="00D438E9" w:rsidP="00D438E9">
            <w:pPr>
              <w:pStyle w:val="TableText"/>
              <w:spacing w:before="60" w:after="60"/>
              <w:rPr>
                <w:rFonts w:cs="Arial"/>
                <w:sz w:val="20"/>
                <w:szCs w:val="20"/>
              </w:rPr>
            </w:pPr>
            <w:r w:rsidRPr="00435ED5">
              <w:rPr>
                <w:rFonts w:cs="Arial"/>
                <w:sz w:val="20"/>
                <w:szCs w:val="20"/>
              </w:rPr>
              <w:t xml:space="preserve">The park’s key natural values are listed as: </w:t>
            </w:r>
          </w:p>
          <w:p w14:paraId="4F51FB73" w14:textId="77777777" w:rsidR="00D438E9" w:rsidRPr="00435ED5" w:rsidRDefault="004F3487" w:rsidP="00567567">
            <w:pPr>
              <w:pStyle w:val="TableText"/>
              <w:numPr>
                <w:ilvl w:val="0"/>
                <w:numId w:val="93"/>
              </w:numPr>
              <w:spacing w:before="60" w:after="60"/>
              <w:rPr>
                <w:rFonts w:cs="Arial"/>
                <w:sz w:val="20"/>
                <w:szCs w:val="20"/>
              </w:rPr>
            </w:pPr>
            <w:r w:rsidRPr="00435ED5">
              <w:rPr>
                <w:rFonts w:cs="Arial"/>
                <w:sz w:val="20"/>
                <w:szCs w:val="20"/>
              </w:rPr>
              <w:t>D</w:t>
            </w:r>
            <w:r w:rsidR="00D438E9" w:rsidRPr="00435ED5">
              <w:rPr>
                <w:rFonts w:cs="Arial"/>
                <w:sz w:val="20"/>
                <w:szCs w:val="20"/>
              </w:rPr>
              <w:t>iversity of habitats including subtidal and</w:t>
            </w:r>
            <w:r w:rsidRPr="00435ED5">
              <w:rPr>
                <w:rFonts w:cs="Arial"/>
                <w:sz w:val="20"/>
                <w:szCs w:val="20"/>
              </w:rPr>
              <w:t xml:space="preserve"> </w:t>
            </w:r>
            <w:r w:rsidR="00D438E9" w:rsidRPr="00435ED5">
              <w:rPr>
                <w:rFonts w:cs="Arial"/>
                <w:sz w:val="20"/>
                <w:szCs w:val="20"/>
              </w:rPr>
              <w:t>intertidal reefs, subtidal soft sediment and</w:t>
            </w:r>
            <w:r w:rsidRPr="00435ED5">
              <w:rPr>
                <w:rFonts w:cs="Arial"/>
                <w:sz w:val="20"/>
                <w:szCs w:val="20"/>
              </w:rPr>
              <w:t xml:space="preserve"> </w:t>
            </w:r>
            <w:r w:rsidR="00D438E9" w:rsidRPr="00435ED5">
              <w:rPr>
                <w:rFonts w:cs="Arial"/>
                <w:sz w:val="20"/>
                <w:szCs w:val="20"/>
              </w:rPr>
              <w:t>sandy beaches</w:t>
            </w:r>
            <w:r w:rsidRPr="00435ED5">
              <w:rPr>
                <w:rFonts w:cs="Arial"/>
                <w:sz w:val="20"/>
                <w:szCs w:val="20"/>
              </w:rPr>
              <w:t>;</w:t>
            </w:r>
          </w:p>
          <w:p w14:paraId="172851A8" w14:textId="77777777" w:rsidR="00D438E9" w:rsidRPr="00435ED5" w:rsidRDefault="00D438E9" w:rsidP="00567567">
            <w:pPr>
              <w:pStyle w:val="TableText"/>
              <w:numPr>
                <w:ilvl w:val="0"/>
                <w:numId w:val="93"/>
              </w:numPr>
              <w:spacing w:before="60" w:after="60"/>
              <w:rPr>
                <w:rFonts w:cs="Arial"/>
                <w:sz w:val="20"/>
                <w:szCs w:val="20"/>
              </w:rPr>
            </w:pPr>
            <w:r w:rsidRPr="00435ED5">
              <w:rPr>
                <w:rFonts w:cs="Arial"/>
                <w:sz w:val="20"/>
                <w:szCs w:val="20"/>
              </w:rPr>
              <w:t>Co-occurrence of eastern temperate,</w:t>
            </w:r>
            <w:r w:rsidR="004F3487" w:rsidRPr="00435ED5">
              <w:rPr>
                <w:rFonts w:cs="Arial"/>
                <w:sz w:val="20"/>
                <w:szCs w:val="20"/>
              </w:rPr>
              <w:t xml:space="preserve"> </w:t>
            </w:r>
            <w:r w:rsidRPr="00435ED5">
              <w:rPr>
                <w:rFonts w:cs="Arial"/>
                <w:sz w:val="20"/>
                <w:szCs w:val="20"/>
              </w:rPr>
              <w:t>southern cosmopolitan and temperate</w:t>
            </w:r>
            <w:r w:rsidR="004F3487" w:rsidRPr="00435ED5">
              <w:rPr>
                <w:rFonts w:cs="Arial"/>
                <w:sz w:val="20"/>
                <w:szCs w:val="20"/>
              </w:rPr>
              <w:t xml:space="preserve"> </w:t>
            </w:r>
            <w:r w:rsidRPr="00435ED5">
              <w:rPr>
                <w:rFonts w:cs="Arial"/>
                <w:sz w:val="20"/>
                <w:szCs w:val="20"/>
              </w:rPr>
              <w:t>species, as a result of the mixing of warm</w:t>
            </w:r>
            <w:r w:rsidR="004F3487" w:rsidRPr="00435ED5">
              <w:rPr>
                <w:rFonts w:cs="Arial"/>
                <w:sz w:val="20"/>
                <w:szCs w:val="20"/>
              </w:rPr>
              <w:t xml:space="preserve"> </w:t>
            </w:r>
            <w:r w:rsidRPr="00435ED5">
              <w:rPr>
                <w:rFonts w:cs="Arial"/>
                <w:sz w:val="20"/>
                <w:szCs w:val="20"/>
              </w:rPr>
              <w:t>eastern and cool southern waters</w:t>
            </w:r>
            <w:r w:rsidR="004F3487" w:rsidRPr="00435ED5">
              <w:rPr>
                <w:rFonts w:cs="Arial"/>
                <w:sz w:val="20"/>
                <w:szCs w:val="20"/>
              </w:rPr>
              <w:t>;</w:t>
            </w:r>
          </w:p>
          <w:p w14:paraId="00D15C92" w14:textId="77777777" w:rsidR="00D438E9" w:rsidRPr="00435ED5" w:rsidRDefault="004F3487" w:rsidP="00567567">
            <w:pPr>
              <w:pStyle w:val="TableText"/>
              <w:numPr>
                <w:ilvl w:val="0"/>
                <w:numId w:val="93"/>
              </w:numPr>
              <w:spacing w:before="60" w:after="60"/>
              <w:rPr>
                <w:rFonts w:cs="Arial"/>
                <w:sz w:val="20"/>
                <w:szCs w:val="20"/>
              </w:rPr>
            </w:pPr>
            <w:r w:rsidRPr="00435ED5">
              <w:rPr>
                <w:rFonts w:cs="Arial"/>
                <w:sz w:val="20"/>
                <w:szCs w:val="20"/>
              </w:rPr>
              <w:t>M</w:t>
            </w:r>
            <w:r w:rsidR="00D438E9" w:rsidRPr="00435ED5">
              <w:rPr>
                <w:rFonts w:cs="Arial"/>
                <w:sz w:val="20"/>
                <w:szCs w:val="20"/>
              </w:rPr>
              <w:t>arine mammals such as whales, dolphins,</w:t>
            </w:r>
            <w:r w:rsidRPr="00435ED5">
              <w:rPr>
                <w:rFonts w:cs="Arial"/>
                <w:sz w:val="20"/>
                <w:szCs w:val="20"/>
              </w:rPr>
              <w:t xml:space="preserve"> </w:t>
            </w:r>
            <w:r w:rsidR="00D438E9" w:rsidRPr="00435ED5">
              <w:rPr>
                <w:rFonts w:cs="Arial"/>
                <w:sz w:val="20"/>
                <w:szCs w:val="20"/>
              </w:rPr>
              <w:t xml:space="preserve">Australian </w:t>
            </w:r>
            <w:r w:rsidRPr="00435ED5">
              <w:rPr>
                <w:rFonts w:cs="Arial"/>
                <w:sz w:val="20"/>
                <w:szCs w:val="20"/>
              </w:rPr>
              <w:t>f</w:t>
            </w:r>
            <w:r w:rsidR="00D438E9" w:rsidRPr="00435ED5">
              <w:rPr>
                <w:rFonts w:cs="Arial"/>
                <w:sz w:val="20"/>
                <w:szCs w:val="20"/>
              </w:rPr>
              <w:t xml:space="preserve">ur </w:t>
            </w:r>
            <w:r w:rsidRPr="00435ED5">
              <w:rPr>
                <w:rFonts w:cs="Arial"/>
                <w:sz w:val="20"/>
                <w:szCs w:val="20"/>
              </w:rPr>
              <w:t>s</w:t>
            </w:r>
            <w:r w:rsidR="00D438E9" w:rsidRPr="00435ED5">
              <w:rPr>
                <w:rFonts w:cs="Arial"/>
                <w:sz w:val="20"/>
                <w:szCs w:val="20"/>
              </w:rPr>
              <w:t xml:space="preserve">eals and New Zealand </w:t>
            </w:r>
            <w:r w:rsidRPr="00435ED5">
              <w:rPr>
                <w:rFonts w:cs="Arial"/>
                <w:sz w:val="20"/>
                <w:szCs w:val="20"/>
              </w:rPr>
              <w:t>f</w:t>
            </w:r>
            <w:r w:rsidR="00D438E9" w:rsidRPr="00435ED5">
              <w:rPr>
                <w:rFonts w:cs="Arial"/>
                <w:sz w:val="20"/>
                <w:szCs w:val="20"/>
              </w:rPr>
              <w:t>ur</w:t>
            </w:r>
            <w:r w:rsidRPr="00435ED5">
              <w:rPr>
                <w:rFonts w:cs="Arial"/>
                <w:sz w:val="20"/>
                <w:szCs w:val="20"/>
              </w:rPr>
              <w:t xml:space="preserve"> s</w:t>
            </w:r>
            <w:r w:rsidR="00D438E9" w:rsidRPr="00435ED5">
              <w:rPr>
                <w:rFonts w:cs="Arial"/>
                <w:sz w:val="20"/>
                <w:szCs w:val="20"/>
              </w:rPr>
              <w:t>eals</w:t>
            </w:r>
            <w:r w:rsidRPr="00435ED5">
              <w:rPr>
                <w:rFonts w:cs="Arial"/>
                <w:sz w:val="20"/>
                <w:szCs w:val="20"/>
              </w:rPr>
              <w:t>;</w:t>
            </w:r>
          </w:p>
          <w:p w14:paraId="7AD90BE7" w14:textId="77777777" w:rsidR="00EE55B5" w:rsidRPr="00435ED5" w:rsidRDefault="004F3487" w:rsidP="00567567">
            <w:pPr>
              <w:pStyle w:val="TableText"/>
              <w:numPr>
                <w:ilvl w:val="0"/>
                <w:numId w:val="93"/>
              </w:numPr>
              <w:spacing w:before="60" w:after="60"/>
              <w:rPr>
                <w:rFonts w:cs="Arial"/>
                <w:sz w:val="20"/>
                <w:szCs w:val="20"/>
              </w:rPr>
            </w:pPr>
            <w:r w:rsidRPr="00435ED5">
              <w:rPr>
                <w:rFonts w:cs="Arial"/>
                <w:sz w:val="20"/>
                <w:szCs w:val="20"/>
              </w:rPr>
              <w:lastRenderedPageBreak/>
              <w:t>T</w:t>
            </w:r>
            <w:r w:rsidR="00D438E9" w:rsidRPr="00435ED5">
              <w:rPr>
                <w:rFonts w:cs="Arial"/>
                <w:sz w:val="20"/>
                <w:szCs w:val="20"/>
              </w:rPr>
              <w:t xml:space="preserve">ransient reptiles such as </w:t>
            </w:r>
            <w:r w:rsidRPr="00435ED5">
              <w:rPr>
                <w:rFonts w:cs="Arial"/>
                <w:sz w:val="20"/>
                <w:szCs w:val="20"/>
              </w:rPr>
              <w:t>g</w:t>
            </w:r>
            <w:r w:rsidR="00D438E9" w:rsidRPr="00435ED5">
              <w:rPr>
                <w:rFonts w:cs="Arial"/>
                <w:sz w:val="20"/>
                <w:szCs w:val="20"/>
              </w:rPr>
              <w:t xml:space="preserve">reen </w:t>
            </w:r>
            <w:r w:rsidRPr="00435ED5">
              <w:rPr>
                <w:rFonts w:cs="Arial"/>
                <w:sz w:val="20"/>
                <w:szCs w:val="20"/>
              </w:rPr>
              <w:t>t</w:t>
            </w:r>
            <w:r w:rsidR="00D438E9" w:rsidRPr="00435ED5">
              <w:rPr>
                <w:rFonts w:cs="Arial"/>
                <w:sz w:val="20"/>
                <w:szCs w:val="20"/>
              </w:rPr>
              <w:t>urtles</w:t>
            </w:r>
            <w:r w:rsidRPr="00435ED5">
              <w:rPr>
                <w:rFonts w:cs="Arial"/>
                <w:sz w:val="20"/>
                <w:szCs w:val="20"/>
              </w:rPr>
              <w:t xml:space="preserve"> </w:t>
            </w:r>
            <w:r w:rsidR="00D438E9" w:rsidRPr="00435ED5">
              <w:rPr>
                <w:rFonts w:cs="Arial"/>
                <w:sz w:val="20"/>
                <w:szCs w:val="20"/>
              </w:rPr>
              <w:t>from northern waters</w:t>
            </w:r>
            <w:r w:rsidRPr="00435ED5">
              <w:rPr>
                <w:rFonts w:cs="Arial"/>
                <w:sz w:val="20"/>
                <w:szCs w:val="20"/>
              </w:rPr>
              <w:t>;</w:t>
            </w:r>
            <w:r w:rsidR="00D438E9" w:rsidRPr="00435ED5">
              <w:rPr>
                <w:rFonts w:cs="Arial"/>
                <w:sz w:val="20"/>
                <w:szCs w:val="20"/>
              </w:rPr>
              <w:t xml:space="preserve"> </w:t>
            </w:r>
          </w:p>
          <w:p w14:paraId="73AA85F7" w14:textId="77777777" w:rsidR="00D438E9" w:rsidRPr="00435ED5" w:rsidRDefault="004F3487" w:rsidP="00567567">
            <w:pPr>
              <w:pStyle w:val="TableText"/>
              <w:numPr>
                <w:ilvl w:val="0"/>
                <w:numId w:val="93"/>
              </w:numPr>
              <w:spacing w:before="60" w:after="60"/>
              <w:rPr>
                <w:rFonts w:cs="Arial"/>
                <w:sz w:val="20"/>
                <w:szCs w:val="20"/>
              </w:rPr>
            </w:pPr>
            <w:r w:rsidRPr="00435ED5">
              <w:rPr>
                <w:rFonts w:cs="Arial"/>
                <w:sz w:val="20"/>
                <w:szCs w:val="20"/>
              </w:rPr>
              <w:t>T</w:t>
            </w:r>
            <w:r w:rsidR="00D438E9" w:rsidRPr="00435ED5">
              <w:rPr>
                <w:rFonts w:cs="Arial"/>
                <w:sz w:val="20"/>
                <w:szCs w:val="20"/>
              </w:rPr>
              <w:t>hreatened fauna including whales and</w:t>
            </w:r>
            <w:r w:rsidRPr="00435ED5">
              <w:rPr>
                <w:rFonts w:cs="Arial"/>
                <w:sz w:val="20"/>
                <w:szCs w:val="20"/>
              </w:rPr>
              <w:t xml:space="preserve"> </w:t>
            </w:r>
            <w:r w:rsidR="00D438E9" w:rsidRPr="00435ED5">
              <w:rPr>
                <w:rFonts w:cs="Arial"/>
                <w:sz w:val="20"/>
                <w:szCs w:val="20"/>
              </w:rPr>
              <w:t>birds</w:t>
            </w:r>
            <w:r w:rsidRPr="00435ED5">
              <w:rPr>
                <w:rFonts w:cs="Arial"/>
                <w:sz w:val="20"/>
                <w:szCs w:val="20"/>
              </w:rPr>
              <w:t>;</w:t>
            </w:r>
          </w:p>
          <w:p w14:paraId="6FE2536E" w14:textId="77777777" w:rsidR="00D438E9" w:rsidRPr="00435ED5" w:rsidRDefault="004F3487" w:rsidP="00567567">
            <w:pPr>
              <w:pStyle w:val="TableText"/>
              <w:numPr>
                <w:ilvl w:val="0"/>
                <w:numId w:val="93"/>
              </w:numPr>
              <w:spacing w:before="60" w:after="60"/>
              <w:rPr>
                <w:rFonts w:cs="Arial"/>
                <w:sz w:val="20"/>
                <w:szCs w:val="20"/>
              </w:rPr>
            </w:pPr>
            <w:r w:rsidRPr="00435ED5">
              <w:rPr>
                <w:rFonts w:cs="Arial"/>
                <w:sz w:val="20"/>
                <w:szCs w:val="20"/>
              </w:rPr>
              <w:t>F</w:t>
            </w:r>
            <w:r w:rsidR="00D438E9" w:rsidRPr="00435ED5">
              <w:rPr>
                <w:rFonts w:cs="Arial"/>
                <w:sz w:val="20"/>
                <w:szCs w:val="20"/>
              </w:rPr>
              <w:t>oraging area for a significant breeding</w:t>
            </w:r>
            <w:r w:rsidRPr="00435ED5">
              <w:rPr>
                <w:rFonts w:cs="Arial"/>
                <w:sz w:val="20"/>
                <w:szCs w:val="20"/>
              </w:rPr>
              <w:t xml:space="preserve"> </w:t>
            </w:r>
            <w:r w:rsidR="00D438E9" w:rsidRPr="00435ED5">
              <w:rPr>
                <w:rFonts w:cs="Arial"/>
                <w:sz w:val="20"/>
                <w:szCs w:val="20"/>
              </w:rPr>
              <w:t>colony of Little Penguins from</w:t>
            </w:r>
            <w:r w:rsidRPr="00435ED5">
              <w:rPr>
                <w:rFonts w:cs="Arial"/>
                <w:sz w:val="20"/>
                <w:szCs w:val="20"/>
              </w:rPr>
              <w:t xml:space="preserve"> </w:t>
            </w:r>
            <w:r w:rsidR="00D438E9" w:rsidRPr="00435ED5">
              <w:rPr>
                <w:rFonts w:cs="Arial"/>
                <w:sz w:val="20"/>
                <w:szCs w:val="20"/>
              </w:rPr>
              <w:t>neighbouring Gabo Island</w:t>
            </w:r>
            <w:r w:rsidRPr="00435ED5">
              <w:rPr>
                <w:rFonts w:cs="Arial"/>
                <w:sz w:val="20"/>
                <w:szCs w:val="20"/>
              </w:rPr>
              <w:t>;</w:t>
            </w:r>
          </w:p>
          <w:p w14:paraId="58A7A928" w14:textId="77777777" w:rsidR="00D438E9" w:rsidRPr="00435ED5" w:rsidRDefault="004F3487" w:rsidP="00567567">
            <w:pPr>
              <w:pStyle w:val="TableText"/>
              <w:numPr>
                <w:ilvl w:val="0"/>
                <w:numId w:val="93"/>
              </w:numPr>
              <w:spacing w:before="60" w:after="60"/>
              <w:rPr>
                <w:rFonts w:cs="Arial"/>
                <w:sz w:val="20"/>
                <w:szCs w:val="20"/>
              </w:rPr>
            </w:pPr>
            <w:r w:rsidRPr="00435ED5">
              <w:rPr>
                <w:rFonts w:cs="Arial"/>
                <w:sz w:val="20"/>
                <w:szCs w:val="20"/>
              </w:rPr>
              <w:t>O</w:t>
            </w:r>
            <w:r w:rsidR="00D438E9" w:rsidRPr="00435ED5">
              <w:rPr>
                <w:rFonts w:cs="Arial"/>
                <w:sz w:val="20"/>
                <w:szCs w:val="20"/>
              </w:rPr>
              <w:t>utstanding active coastal landforms</w:t>
            </w:r>
            <w:r w:rsidRPr="00435ED5">
              <w:rPr>
                <w:rFonts w:cs="Arial"/>
                <w:sz w:val="20"/>
                <w:szCs w:val="20"/>
              </w:rPr>
              <w:t xml:space="preserve"> </w:t>
            </w:r>
            <w:r w:rsidR="00D438E9" w:rsidRPr="00435ED5">
              <w:rPr>
                <w:rFonts w:cs="Arial"/>
                <w:sz w:val="20"/>
                <w:szCs w:val="20"/>
              </w:rPr>
              <w:t>within and adjoining the park, such as</w:t>
            </w:r>
            <w:r w:rsidRPr="00435ED5">
              <w:rPr>
                <w:rFonts w:cs="Arial"/>
                <w:sz w:val="20"/>
                <w:szCs w:val="20"/>
              </w:rPr>
              <w:t xml:space="preserve"> </w:t>
            </w:r>
            <w:r w:rsidR="00D438E9" w:rsidRPr="00435ED5">
              <w:rPr>
                <w:rFonts w:cs="Arial"/>
                <w:sz w:val="20"/>
                <w:szCs w:val="20"/>
              </w:rPr>
              <w:t>granite and sandstone reefs</w:t>
            </w:r>
            <w:r w:rsidRPr="00435ED5">
              <w:rPr>
                <w:rFonts w:cs="Arial"/>
                <w:sz w:val="20"/>
                <w:szCs w:val="20"/>
              </w:rPr>
              <w:t>;</w:t>
            </w:r>
          </w:p>
          <w:p w14:paraId="331149A9" w14:textId="77777777" w:rsidR="00D438E9" w:rsidRPr="00435ED5" w:rsidRDefault="004F3487" w:rsidP="00567567">
            <w:pPr>
              <w:pStyle w:val="TableText"/>
              <w:numPr>
                <w:ilvl w:val="0"/>
                <w:numId w:val="93"/>
              </w:numPr>
              <w:spacing w:before="60" w:after="60"/>
              <w:rPr>
                <w:rFonts w:cs="Arial"/>
                <w:sz w:val="20"/>
                <w:szCs w:val="20"/>
              </w:rPr>
            </w:pPr>
            <w:r w:rsidRPr="00435ED5">
              <w:rPr>
                <w:rFonts w:cs="Arial"/>
                <w:sz w:val="20"/>
                <w:szCs w:val="20"/>
              </w:rPr>
              <w:t>O</w:t>
            </w:r>
            <w:r w:rsidR="00D438E9" w:rsidRPr="00435ED5">
              <w:rPr>
                <w:rFonts w:cs="Arial"/>
                <w:sz w:val="20"/>
                <w:szCs w:val="20"/>
              </w:rPr>
              <w:t>utstanding landscapes, seascapes and</w:t>
            </w:r>
            <w:r w:rsidRPr="00435ED5">
              <w:rPr>
                <w:rFonts w:cs="Arial"/>
                <w:sz w:val="20"/>
                <w:szCs w:val="20"/>
              </w:rPr>
              <w:t xml:space="preserve"> </w:t>
            </w:r>
            <w:r w:rsidR="00D438E9" w:rsidRPr="00435ED5">
              <w:rPr>
                <w:rFonts w:cs="Arial"/>
                <w:sz w:val="20"/>
                <w:szCs w:val="20"/>
              </w:rPr>
              <w:t>spectacular underwater scenery</w:t>
            </w:r>
            <w:r w:rsidRPr="00435ED5">
              <w:rPr>
                <w:rFonts w:cs="Arial"/>
                <w:sz w:val="20"/>
                <w:szCs w:val="20"/>
              </w:rPr>
              <w:t>;</w:t>
            </w:r>
          </w:p>
          <w:p w14:paraId="3943A1FA" w14:textId="77777777" w:rsidR="00D438E9" w:rsidRPr="00435ED5" w:rsidRDefault="00D438E9" w:rsidP="00567567">
            <w:pPr>
              <w:pStyle w:val="TableText"/>
              <w:numPr>
                <w:ilvl w:val="0"/>
                <w:numId w:val="93"/>
              </w:numPr>
              <w:spacing w:before="60" w:after="60"/>
              <w:rPr>
                <w:rFonts w:cs="Arial"/>
                <w:sz w:val="20"/>
                <w:szCs w:val="20"/>
              </w:rPr>
            </w:pPr>
            <w:r w:rsidRPr="00435ED5">
              <w:rPr>
                <w:rFonts w:cs="Arial"/>
                <w:sz w:val="20"/>
                <w:szCs w:val="20"/>
              </w:rPr>
              <w:t>Victoria’s most easterly Marine National</w:t>
            </w:r>
            <w:r w:rsidR="004F3487" w:rsidRPr="00435ED5">
              <w:rPr>
                <w:rFonts w:cs="Arial"/>
                <w:sz w:val="20"/>
                <w:szCs w:val="20"/>
              </w:rPr>
              <w:t xml:space="preserve"> </w:t>
            </w:r>
            <w:r w:rsidRPr="00435ED5">
              <w:rPr>
                <w:rFonts w:cs="Arial"/>
                <w:sz w:val="20"/>
                <w:szCs w:val="20"/>
              </w:rPr>
              <w:t>Park abutting one of only three wilderness</w:t>
            </w:r>
            <w:r w:rsidR="004F3487" w:rsidRPr="00435ED5">
              <w:rPr>
                <w:rFonts w:cs="Arial"/>
                <w:sz w:val="20"/>
                <w:szCs w:val="20"/>
              </w:rPr>
              <w:t xml:space="preserve"> </w:t>
            </w:r>
            <w:r w:rsidRPr="00435ED5">
              <w:rPr>
                <w:rFonts w:cs="Arial"/>
                <w:sz w:val="20"/>
                <w:szCs w:val="20"/>
              </w:rPr>
              <w:t>zones on the Victorian coast</w:t>
            </w:r>
          </w:p>
          <w:p w14:paraId="72A9B588" w14:textId="77777777" w:rsidR="00D438E9" w:rsidRPr="00435ED5" w:rsidRDefault="004F3487" w:rsidP="00567567">
            <w:pPr>
              <w:pStyle w:val="TableText"/>
              <w:numPr>
                <w:ilvl w:val="0"/>
                <w:numId w:val="93"/>
              </w:numPr>
              <w:spacing w:before="60" w:after="60"/>
              <w:rPr>
                <w:rFonts w:cs="Arial"/>
                <w:sz w:val="20"/>
                <w:szCs w:val="20"/>
              </w:rPr>
            </w:pPr>
            <w:r w:rsidRPr="00435ED5">
              <w:rPr>
                <w:rFonts w:cs="Arial"/>
                <w:sz w:val="20"/>
                <w:szCs w:val="20"/>
              </w:rPr>
              <w:t>E</w:t>
            </w:r>
            <w:r w:rsidR="00D438E9" w:rsidRPr="00435ED5">
              <w:rPr>
                <w:rFonts w:cs="Arial"/>
                <w:sz w:val="20"/>
                <w:szCs w:val="20"/>
              </w:rPr>
              <w:t>xcellent opportunities for scientific</w:t>
            </w:r>
            <w:r w:rsidRPr="00435ED5">
              <w:rPr>
                <w:rFonts w:cs="Arial"/>
                <w:sz w:val="20"/>
                <w:szCs w:val="20"/>
              </w:rPr>
              <w:t xml:space="preserve"> </w:t>
            </w:r>
            <w:r w:rsidR="00D438E9" w:rsidRPr="00435ED5">
              <w:rPr>
                <w:rFonts w:cs="Arial"/>
                <w:sz w:val="20"/>
                <w:szCs w:val="20"/>
              </w:rPr>
              <w:t>investigation and learning</w:t>
            </w:r>
            <w:r w:rsidRPr="00435ED5">
              <w:rPr>
                <w:rFonts w:cs="Arial"/>
                <w:sz w:val="20"/>
                <w:szCs w:val="20"/>
              </w:rPr>
              <w:t>; and</w:t>
            </w:r>
          </w:p>
          <w:p w14:paraId="73A607B5" w14:textId="77777777" w:rsidR="00D438E9" w:rsidRPr="00435ED5" w:rsidRDefault="004F3487" w:rsidP="00567567">
            <w:pPr>
              <w:pStyle w:val="TableText"/>
              <w:numPr>
                <w:ilvl w:val="0"/>
                <w:numId w:val="93"/>
              </w:numPr>
              <w:spacing w:before="60" w:after="120"/>
              <w:rPr>
                <w:rFonts w:cs="Arial"/>
                <w:sz w:val="20"/>
                <w:szCs w:val="20"/>
              </w:rPr>
            </w:pPr>
            <w:r w:rsidRPr="00435ED5">
              <w:rPr>
                <w:rFonts w:cs="Arial"/>
                <w:sz w:val="20"/>
                <w:szCs w:val="20"/>
              </w:rPr>
              <w:t>O</w:t>
            </w:r>
            <w:r w:rsidR="00D438E9" w:rsidRPr="00435ED5">
              <w:rPr>
                <w:rFonts w:cs="Arial"/>
                <w:sz w:val="20"/>
                <w:szCs w:val="20"/>
              </w:rPr>
              <w:t>utstanding opportunities to build</w:t>
            </w:r>
            <w:r w:rsidRPr="00435ED5">
              <w:rPr>
                <w:rFonts w:cs="Arial"/>
                <w:sz w:val="20"/>
                <w:szCs w:val="20"/>
              </w:rPr>
              <w:t xml:space="preserve"> </w:t>
            </w:r>
            <w:r w:rsidR="00D438E9" w:rsidRPr="00435ED5">
              <w:rPr>
                <w:rFonts w:cs="Arial"/>
                <w:sz w:val="20"/>
                <w:szCs w:val="20"/>
              </w:rPr>
              <w:t>knowledge of marine protected areas and</w:t>
            </w:r>
            <w:r w:rsidRPr="00435ED5">
              <w:rPr>
                <w:rFonts w:cs="Arial"/>
                <w:sz w:val="20"/>
                <w:szCs w:val="20"/>
              </w:rPr>
              <w:t xml:space="preserve"> </w:t>
            </w:r>
            <w:r w:rsidR="00D438E9" w:rsidRPr="00435ED5">
              <w:rPr>
                <w:rFonts w:cs="Arial"/>
                <w:sz w:val="20"/>
                <w:szCs w:val="20"/>
              </w:rPr>
              <w:t>their management, and to further</w:t>
            </w:r>
            <w:r w:rsidRPr="00435ED5">
              <w:rPr>
                <w:rFonts w:cs="Arial"/>
                <w:sz w:val="20"/>
                <w:szCs w:val="20"/>
              </w:rPr>
              <w:t xml:space="preserve"> </w:t>
            </w:r>
            <w:r w:rsidR="00D438E9" w:rsidRPr="00435ED5">
              <w:rPr>
                <w:rFonts w:cs="Arial"/>
                <w:sz w:val="20"/>
                <w:szCs w:val="20"/>
              </w:rPr>
              <w:t>understand marine ecological function and</w:t>
            </w:r>
            <w:r w:rsidRPr="00435ED5">
              <w:rPr>
                <w:rFonts w:cs="Arial"/>
                <w:sz w:val="20"/>
                <w:szCs w:val="20"/>
              </w:rPr>
              <w:t xml:space="preserve"> </w:t>
            </w:r>
            <w:r w:rsidR="00D438E9" w:rsidRPr="00435ED5">
              <w:rPr>
                <w:rFonts w:cs="Arial"/>
                <w:sz w:val="20"/>
                <w:szCs w:val="20"/>
              </w:rPr>
              <w:t>changes over time</w:t>
            </w:r>
            <w:r w:rsidR="00500DED" w:rsidRPr="00435ED5">
              <w:rPr>
                <w:rFonts w:cs="Arial"/>
                <w:sz w:val="20"/>
                <w:szCs w:val="20"/>
              </w:rPr>
              <w:t>.</w:t>
            </w:r>
          </w:p>
          <w:p w14:paraId="43829AC6" w14:textId="77777777" w:rsidR="00C372CE" w:rsidRPr="00435ED5" w:rsidRDefault="00C372CE" w:rsidP="00C372CE">
            <w:pPr>
              <w:autoSpaceDE w:val="0"/>
              <w:autoSpaceDN w:val="0"/>
              <w:adjustRightInd w:val="0"/>
              <w:spacing w:after="120" w:line="240" w:lineRule="auto"/>
              <w:ind w:left="0"/>
              <w:rPr>
                <w:rFonts w:cs="Arial"/>
                <w:b/>
                <w:sz w:val="20"/>
                <w:szCs w:val="20"/>
              </w:rPr>
            </w:pPr>
            <w:r w:rsidRPr="00435ED5">
              <w:rPr>
                <w:rFonts w:cs="Arial"/>
                <w:b/>
                <w:sz w:val="20"/>
                <w:szCs w:val="20"/>
              </w:rPr>
              <w:t>Physical attributes</w:t>
            </w:r>
          </w:p>
          <w:p w14:paraId="047866B0" w14:textId="7B16777A" w:rsidR="00D22BF1" w:rsidRPr="00435ED5" w:rsidRDefault="00D22BF1" w:rsidP="00D22BF1">
            <w:pPr>
              <w:pStyle w:val="TableText"/>
              <w:rPr>
                <w:rFonts w:cs="Arial"/>
                <w:sz w:val="20"/>
                <w:szCs w:val="20"/>
              </w:rPr>
            </w:pPr>
            <w:r w:rsidRPr="00435ED5">
              <w:rPr>
                <w:rFonts w:cs="Arial"/>
                <w:sz w:val="20"/>
                <w:szCs w:val="20"/>
              </w:rPr>
              <w:t xml:space="preserve">The Croajingolong National Park, which adjoins the Cape Howe </w:t>
            </w:r>
            <w:r w:rsidR="006B62EF">
              <w:rPr>
                <w:rFonts w:cs="Arial"/>
                <w:sz w:val="20"/>
                <w:szCs w:val="20"/>
              </w:rPr>
              <w:t>MNP</w:t>
            </w:r>
            <w:r w:rsidRPr="00435ED5">
              <w:rPr>
                <w:rFonts w:cs="Arial"/>
                <w:sz w:val="20"/>
                <w:szCs w:val="20"/>
              </w:rPr>
              <w:t>, is one of the most significant conservation reserves in Victoria for protecting an outstanding variety of coastal landform features and examples of active geomorphic processes</w:t>
            </w:r>
          </w:p>
          <w:p w14:paraId="1A082FBA" w14:textId="77777777" w:rsidR="00C372CE" w:rsidRPr="00435ED5" w:rsidRDefault="00C372CE" w:rsidP="00C372CE">
            <w:pPr>
              <w:pStyle w:val="TableText"/>
              <w:rPr>
                <w:rFonts w:cs="Arial"/>
                <w:sz w:val="20"/>
                <w:szCs w:val="20"/>
              </w:rPr>
            </w:pPr>
            <w:r w:rsidRPr="00435ED5">
              <w:rPr>
                <w:rFonts w:cs="Arial"/>
                <w:sz w:val="20"/>
                <w:szCs w:val="20"/>
              </w:rPr>
              <w:t xml:space="preserve">The </w:t>
            </w:r>
            <w:r w:rsidR="005925E7" w:rsidRPr="00435ED5">
              <w:rPr>
                <w:rFonts w:cs="Arial"/>
                <w:sz w:val="20"/>
                <w:szCs w:val="20"/>
              </w:rPr>
              <w:t xml:space="preserve">waters of the </w:t>
            </w:r>
            <w:r w:rsidRPr="00435ED5">
              <w:rPr>
                <w:rFonts w:cs="Arial"/>
                <w:sz w:val="20"/>
                <w:szCs w:val="20"/>
              </w:rPr>
              <w:t xml:space="preserve">park contain both high-profile granite and low-profile sandstone reefs. </w:t>
            </w:r>
          </w:p>
          <w:p w14:paraId="471BB87A" w14:textId="77777777" w:rsidR="00C372CE" w:rsidRPr="00435ED5" w:rsidRDefault="00C372CE" w:rsidP="00216F97">
            <w:pPr>
              <w:autoSpaceDE w:val="0"/>
              <w:autoSpaceDN w:val="0"/>
              <w:adjustRightInd w:val="0"/>
              <w:spacing w:line="240" w:lineRule="auto"/>
              <w:ind w:left="0"/>
              <w:rPr>
                <w:rFonts w:cs="Arial"/>
                <w:sz w:val="20"/>
                <w:szCs w:val="20"/>
              </w:rPr>
            </w:pPr>
          </w:p>
          <w:p w14:paraId="0D810C38" w14:textId="77777777" w:rsidR="00C372CE" w:rsidRPr="00435ED5" w:rsidRDefault="00C372CE" w:rsidP="00C372CE">
            <w:pPr>
              <w:autoSpaceDE w:val="0"/>
              <w:autoSpaceDN w:val="0"/>
              <w:adjustRightInd w:val="0"/>
              <w:spacing w:after="120" w:line="240" w:lineRule="auto"/>
              <w:ind w:left="0"/>
              <w:rPr>
                <w:rFonts w:cs="Arial"/>
                <w:b/>
                <w:sz w:val="20"/>
                <w:szCs w:val="20"/>
              </w:rPr>
            </w:pPr>
            <w:r w:rsidRPr="00435ED5">
              <w:rPr>
                <w:rFonts w:cs="Arial"/>
                <w:b/>
                <w:sz w:val="20"/>
                <w:szCs w:val="20"/>
              </w:rPr>
              <w:t>Habitats</w:t>
            </w:r>
          </w:p>
          <w:p w14:paraId="2ABE8967" w14:textId="5223E581" w:rsidR="00216F97" w:rsidRPr="00435ED5" w:rsidRDefault="00216F97" w:rsidP="00C372CE">
            <w:pPr>
              <w:pStyle w:val="TableText"/>
              <w:rPr>
                <w:rFonts w:cs="Arial"/>
                <w:sz w:val="20"/>
                <w:szCs w:val="20"/>
              </w:rPr>
            </w:pPr>
            <w:r w:rsidRPr="00435ED5">
              <w:rPr>
                <w:rFonts w:cs="Arial"/>
                <w:sz w:val="20"/>
                <w:szCs w:val="20"/>
              </w:rPr>
              <w:t xml:space="preserve">Cape Howe </w:t>
            </w:r>
            <w:r w:rsidR="006B62EF">
              <w:rPr>
                <w:rFonts w:cs="Arial"/>
                <w:sz w:val="20"/>
                <w:szCs w:val="20"/>
              </w:rPr>
              <w:t>MNP</w:t>
            </w:r>
            <w:r w:rsidRPr="00435ED5">
              <w:rPr>
                <w:rFonts w:cs="Arial"/>
                <w:sz w:val="20"/>
                <w:szCs w:val="20"/>
              </w:rPr>
              <w:t xml:space="preserve"> supports five known marine ecological communities, these being subtidal soft sediment, subtidal reef, intertidal reef, sandy beaches and pelagic communities.</w:t>
            </w:r>
          </w:p>
          <w:p w14:paraId="6AA9EBB6" w14:textId="77777777" w:rsidR="00216F97" w:rsidRPr="00435ED5" w:rsidRDefault="00216F97" w:rsidP="00216F97">
            <w:pPr>
              <w:autoSpaceDE w:val="0"/>
              <w:autoSpaceDN w:val="0"/>
              <w:adjustRightInd w:val="0"/>
              <w:spacing w:line="240" w:lineRule="auto"/>
              <w:ind w:left="0"/>
              <w:rPr>
                <w:rFonts w:cs="Arial"/>
                <w:sz w:val="20"/>
                <w:szCs w:val="20"/>
              </w:rPr>
            </w:pPr>
          </w:p>
          <w:p w14:paraId="13C4A745" w14:textId="77777777" w:rsidR="00C372CE" w:rsidRPr="00435ED5" w:rsidRDefault="00C372CE" w:rsidP="00C372CE">
            <w:pPr>
              <w:autoSpaceDE w:val="0"/>
              <w:autoSpaceDN w:val="0"/>
              <w:adjustRightInd w:val="0"/>
              <w:spacing w:after="120" w:line="240" w:lineRule="auto"/>
              <w:ind w:left="0"/>
              <w:rPr>
                <w:rFonts w:cs="Arial"/>
                <w:b/>
                <w:sz w:val="20"/>
                <w:szCs w:val="20"/>
              </w:rPr>
            </w:pPr>
            <w:r w:rsidRPr="00435ED5">
              <w:rPr>
                <w:rFonts w:cs="Arial"/>
                <w:b/>
                <w:sz w:val="20"/>
                <w:szCs w:val="20"/>
              </w:rPr>
              <w:t>Marine biodiversity</w:t>
            </w:r>
          </w:p>
          <w:p w14:paraId="7A51C918" w14:textId="77777777" w:rsidR="00216F97" w:rsidRPr="00435ED5" w:rsidRDefault="00216F97" w:rsidP="00C372CE">
            <w:pPr>
              <w:pStyle w:val="TableText"/>
              <w:rPr>
                <w:rFonts w:cs="Arial"/>
                <w:sz w:val="20"/>
                <w:szCs w:val="20"/>
              </w:rPr>
            </w:pPr>
            <w:r w:rsidRPr="00435ED5">
              <w:rPr>
                <w:rFonts w:cs="Arial"/>
                <w:sz w:val="20"/>
                <w:szCs w:val="20"/>
              </w:rPr>
              <w:t>The long-spined black sea urchin, found at Cape Howe in high abundances, grazes on erect algae species such as bubble</w:t>
            </w:r>
            <w:r w:rsidR="00C372CE" w:rsidRPr="00435ED5">
              <w:rPr>
                <w:rFonts w:cs="Arial"/>
                <w:sz w:val="20"/>
                <w:szCs w:val="20"/>
              </w:rPr>
              <w:t xml:space="preserve"> </w:t>
            </w:r>
            <w:r w:rsidRPr="00435ED5">
              <w:rPr>
                <w:rFonts w:cs="Arial"/>
                <w:sz w:val="20"/>
                <w:szCs w:val="20"/>
              </w:rPr>
              <w:t>weed, creating barren habitats where encrusting coralline algae flourish. The herring cale inhabits the subtidal reefs of the park where it feeds on</w:t>
            </w:r>
            <w:r w:rsidR="00C372CE" w:rsidRPr="00435ED5">
              <w:rPr>
                <w:rFonts w:cs="Arial"/>
                <w:sz w:val="20"/>
                <w:szCs w:val="20"/>
              </w:rPr>
              <w:t xml:space="preserve"> </w:t>
            </w:r>
            <w:r w:rsidRPr="00435ED5">
              <w:rPr>
                <w:rFonts w:cs="Arial"/>
                <w:sz w:val="20"/>
                <w:szCs w:val="20"/>
              </w:rPr>
              <w:t>kelp and can influence the structure of algal</w:t>
            </w:r>
            <w:r w:rsidR="00500DED" w:rsidRPr="00435ED5">
              <w:rPr>
                <w:rFonts w:cs="Arial"/>
                <w:sz w:val="20"/>
                <w:szCs w:val="20"/>
              </w:rPr>
              <w:t xml:space="preserve"> species growing in the area. </w:t>
            </w:r>
          </w:p>
          <w:p w14:paraId="2E9CA56A" w14:textId="77777777" w:rsidR="00746686" w:rsidRPr="00435ED5" w:rsidRDefault="00216F97" w:rsidP="00C372CE">
            <w:pPr>
              <w:pStyle w:val="TableText"/>
              <w:rPr>
                <w:rFonts w:cs="Arial"/>
                <w:sz w:val="20"/>
                <w:szCs w:val="20"/>
              </w:rPr>
            </w:pPr>
            <w:r w:rsidRPr="00435ED5">
              <w:rPr>
                <w:rFonts w:cs="Arial"/>
                <w:sz w:val="20"/>
                <w:szCs w:val="20"/>
              </w:rPr>
              <w:t>Subtidal soft sediment communities are the</w:t>
            </w:r>
            <w:r w:rsidR="00500DED" w:rsidRPr="00435ED5">
              <w:rPr>
                <w:rFonts w:cs="Arial"/>
                <w:sz w:val="20"/>
                <w:szCs w:val="20"/>
              </w:rPr>
              <w:t xml:space="preserve"> </w:t>
            </w:r>
            <w:r w:rsidRPr="00435ED5">
              <w:rPr>
                <w:rFonts w:cs="Arial"/>
                <w:sz w:val="20"/>
                <w:szCs w:val="20"/>
              </w:rPr>
              <w:t xml:space="preserve">most widespread </w:t>
            </w:r>
            <w:r w:rsidR="00500DED" w:rsidRPr="00435ED5">
              <w:rPr>
                <w:rFonts w:cs="Arial"/>
                <w:sz w:val="20"/>
                <w:szCs w:val="20"/>
              </w:rPr>
              <w:t>c</w:t>
            </w:r>
            <w:r w:rsidRPr="00435ED5">
              <w:rPr>
                <w:rFonts w:cs="Arial"/>
                <w:sz w:val="20"/>
                <w:szCs w:val="20"/>
              </w:rPr>
              <w:t>ommunities in the park</w:t>
            </w:r>
            <w:r w:rsidR="00500DED" w:rsidRPr="00435ED5">
              <w:rPr>
                <w:rFonts w:cs="Arial"/>
                <w:sz w:val="20"/>
                <w:szCs w:val="20"/>
              </w:rPr>
              <w:t>, with</w:t>
            </w:r>
            <w:r w:rsidRPr="00435ED5">
              <w:rPr>
                <w:rFonts w:cs="Arial"/>
                <w:sz w:val="20"/>
                <w:szCs w:val="20"/>
              </w:rPr>
              <w:t xml:space="preserve"> the diversity of</w:t>
            </w:r>
            <w:r w:rsidR="00500DED" w:rsidRPr="00435ED5">
              <w:rPr>
                <w:rFonts w:cs="Arial"/>
                <w:sz w:val="20"/>
                <w:szCs w:val="20"/>
              </w:rPr>
              <w:t xml:space="preserve"> </w:t>
            </w:r>
            <w:r w:rsidRPr="00435ED5">
              <w:rPr>
                <w:rFonts w:cs="Arial"/>
                <w:sz w:val="20"/>
                <w:szCs w:val="20"/>
              </w:rPr>
              <w:t xml:space="preserve">invertebrates </w:t>
            </w:r>
            <w:r w:rsidR="00500DED" w:rsidRPr="00435ED5">
              <w:rPr>
                <w:rFonts w:cs="Arial"/>
                <w:sz w:val="20"/>
                <w:szCs w:val="20"/>
              </w:rPr>
              <w:t xml:space="preserve">expected to </w:t>
            </w:r>
            <w:r w:rsidRPr="00435ED5">
              <w:rPr>
                <w:rFonts w:cs="Arial"/>
                <w:sz w:val="20"/>
                <w:szCs w:val="20"/>
              </w:rPr>
              <w:t>be high.</w:t>
            </w:r>
            <w:r w:rsidR="00500DED" w:rsidRPr="00435ED5">
              <w:rPr>
                <w:rFonts w:cs="Arial"/>
                <w:sz w:val="20"/>
                <w:szCs w:val="20"/>
              </w:rPr>
              <w:t xml:space="preserve"> </w:t>
            </w:r>
            <w:r w:rsidR="00746686" w:rsidRPr="00435ED5">
              <w:rPr>
                <w:rFonts w:cs="Arial"/>
                <w:sz w:val="20"/>
                <w:szCs w:val="20"/>
              </w:rPr>
              <w:t>The shallow subtidal reef is dominated by a mixture</w:t>
            </w:r>
            <w:r w:rsidR="00C372CE" w:rsidRPr="00435ED5">
              <w:rPr>
                <w:rFonts w:cs="Arial"/>
                <w:sz w:val="20"/>
                <w:szCs w:val="20"/>
              </w:rPr>
              <w:t xml:space="preserve"> </w:t>
            </w:r>
            <w:r w:rsidR="00746686" w:rsidRPr="00435ED5">
              <w:rPr>
                <w:rFonts w:cs="Arial"/>
                <w:sz w:val="20"/>
                <w:szCs w:val="20"/>
              </w:rPr>
              <w:t>of crayweed (</w:t>
            </w:r>
            <w:r w:rsidR="00746686" w:rsidRPr="00435ED5">
              <w:rPr>
                <w:rFonts w:cs="Arial"/>
                <w:i/>
                <w:sz w:val="20"/>
                <w:szCs w:val="20"/>
              </w:rPr>
              <w:t>Phyllospora comosa</w:t>
            </w:r>
            <w:r w:rsidR="00746686" w:rsidRPr="00435ED5">
              <w:rPr>
                <w:rFonts w:cs="Arial"/>
                <w:sz w:val="20"/>
                <w:szCs w:val="20"/>
              </w:rPr>
              <w:t>) and bull kelp (</w:t>
            </w:r>
            <w:r w:rsidR="00746686" w:rsidRPr="00435ED5">
              <w:rPr>
                <w:rFonts w:cs="Arial"/>
                <w:i/>
                <w:sz w:val="20"/>
                <w:szCs w:val="20"/>
              </w:rPr>
              <w:t>Durvillaea potatorum</w:t>
            </w:r>
            <w:r w:rsidR="00746686" w:rsidRPr="00435ED5">
              <w:rPr>
                <w:rFonts w:cs="Arial"/>
                <w:sz w:val="20"/>
                <w:szCs w:val="20"/>
              </w:rPr>
              <w:t xml:space="preserve">), the reef further offshore tends to be dominated by </w:t>
            </w:r>
            <w:r w:rsidR="00746686" w:rsidRPr="00435ED5">
              <w:rPr>
                <w:rFonts w:cs="Arial"/>
                <w:i/>
                <w:sz w:val="20"/>
                <w:szCs w:val="20"/>
              </w:rPr>
              <w:t>P. comosa</w:t>
            </w:r>
            <w:r w:rsidR="00746686" w:rsidRPr="00435ED5">
              <w:rPr>
                <w:rFonts w:cs="Arial"/>
                <w:sz w:val="20"/>
                <w:szCs w:val="20"/>
              </w:rPr>
              <w:t>.</w:t>
            </w:r>
          </w:p>
          <w:p w14:paraId="4A82AB8C" w14:textId="77777777" w:rsidR="00500DED" w:rsidRPr="00435ED5" w:rsidRDefault="00216F97" w:rsidP="00C372CE">
            <w:pPr>
              <w:pStyle w:val="TableText"/>
              <w:rPr>
                <w:rFonts w:cs="Arial"/>
                <w:sz w:val="20"/>
                <w:szCs w:val="20"/>
              </w:rPr>
            </w:pPr>
            <w:r w:rsidRPr="00435ED5">
              <w:rPr>
                <w:rFonts w:cs="Arial"/>
                <w:sz w:val="20"/>
                <w:szCs w:val="20"/>
              </w:rPr>
              <w:t>Intertidal rocky platforms occur along the</w:t>
            </w:r>
            <w:r w:rsidR="00500DED" w:rsidRPr="00435ED5">
              <w:rPr>
                <w:rFonts w:cs="Arial"/>
                <w:sz w:val="20"/>
                <w:szCs w:val="20"/>
              </w:rPr>
              <w:t xml:space="preserve"> </w:t>
            </w:r>
            <w:r w:rsidRPr="00435ED5">
              <w:rPr>
                <w:rFonts w:cs="Arial"/>
                <w:sz w:val="20"/>
                <w:szCs w:val="20"/>
              </w:rPr>
              <w:t>eastern section of the park’s coastline.</w:t>
            </w:r>
            <w:r w:rsidR="00500DED" w:rsidRPr="00435ED5">
              <w:rPr>
                <w:rFonts w:cs="Arial"/>
                <w:sz w:val="20"/>
                <w:szCs w:val="20"/>
              </w:rPr>
              <w:t xml:space="preserve"> </w:t>
            </w:r>
            <w:r w:rsidRPr="00435ED5">
              <w:rPr>
                <w:rFonts w:cs="Arial"/>
                <w:sz w:val="20"/>
                <w:szCs w:val="20"/>
              </w:rPr>
              <w:t xml:space="preserve">Dominant algae species such as </w:t>
            </w:r>
            <w:r w:rsidR="00500DED" w:rsidRPr="00435ED5">
              <w:rPr>
                <w:rFonts w:cs="Arial"/>
                <w:sz w:val="20"/>
                <w:szCs w:val="20"/>
              </w:rPr>
              <w:t>s</w:t>
            </w:r>
            <w:r w:rsidRPr="00435ED5">
              <w:rPr>
                <w:rFonts w:cs="Arial"/>
                <w:sz w:val="20"/>
                <w:szCs w:val="20"/>
              </w:rPr>
              <w:t xml:space="preserve">ea </w:t>
            </w:r>
            <w:r w:rsidR="00500DED" w:rsidRPr="00435ED5">
              <w:rPr>
                <w:rFonts w:cs="Arial"/>
                <w:sz w:val="20"/>
                <w:szCs w:val="20"/>
              </w:rPr>
              <w:t>l</w:t>
            </w:r>
            <w:r w:rsidRPr="00435ED5">
              <w:rPr>
                <w:rFonts w:cs="Arial"/>
                <w:sz w:val="20"/>
                <w:szCs w:val="20"/>
              </w:rPr>
              <w:t>ettuce,</w:t>
            </w:r>
            <w:r w:rsidR="00500DED" w:rsidRPr="00435ED5">
              <w:rPr>
                <w:rFonts w:cs="Arial"/>
                <w:sz w:val="20"/>
                <w:szCs w:val="20"/>
              </w:rPr>
              <w:t xml:space="preserve"> </w:t>
            </w:r>
            <w:r w:rsidRPr="00435ED5">
              <w:rPr>
                <w:rFonts w:cs="Arial"/>
                <w:sz w:val="20"/>
                <w:szCs w:val="20"/>
              </w:rPr>
              <w:lastRenderedPageBreak/>
              <w:t>Neptune’</w:t>
            </w:r>
            <w:r w:rsidR="00500DED" w:rsidRPr="00435ED5">
              <w:rPr>
                <w:rFonts w:cs="Arial"/>
                <w:sz w:val="20"/>
                <w:szCs w:val="20"/>
              </w:rPr>
              <w:t>s n</w:t>
            </w:r>
            <w:r w:rsidRPr="00435ED5">
              <w:rPr>
                <w:rFonts w:cs="Arial"/>
                <w:sz w:val="20"/>
                <w:szCs w:val="20"/>
              </w:rPr>
              <w:t>ecklace and various coralline red</w:t>
            </w:r>
            <w:r w:rsidR="00500DED" w:rsidRPr="00435ED5">
              <w:rPr>
                <w:rFonts w:cs="Arial"/>
                <w:sz w:val="20"/>
                <w:szCs w:val="20"/>
              </w:rPr>
              <w:t xml:space="preserve"> </w:t>
            </w:r>
            <w:r w:rsidRPr="00435ED5">
              <w:rPr>
                <w:rFonts w:cs="Arial"/>
                <w:sz w:val="20"/>
                <w:szCs w:val="20"/>
              </w:rPr>
              <w:t>algae are present. Bull</w:t>
            </w:r>
            <w:r w:rsidR="00500DED" w:rsidRPr="00435ED5">
              <w:rPr>
                <w:rFonts w:cs="Arial"/>
                <w:sz w:val="20"/>
                <w:szCs w:val="20"/>
              </w:rPr>
              <w:t xml:space="preserve"> k</w:t>
            </w:r>
            <w:r w:rsidRPr="00435ED5">
              <w:rPr>
                <w:rFonts w:cs="Arial"/>
                <w:sz w:val="20"/>
                <w:szCs w:val="20"/>
              </w:rPr>
              <w:t>elp occurs on the intertidal fringe. Upper</w:t>
            </w:r>
            <w:r w:rsidR="00500DED" w:rsidRPr="00435ED5">
              <w:rPr>
                <w:rFonts w:cs="Arial"/>
                <w:sz w:val="20"/>
                <w:szCs w:val="20"/>
              </w:rPr>
              <w:t xml:space="preserve"> </w:t>
            </w:r>
            <w:r w:rsidRPr="00435ED5">
              <w:rPr>
                <w:rFonts w:cs="Arial"/>
                <w:sz w:val="20"/>
                <w:szCs w:val="20"/>
              </w:rPr>
              <w:t>intertidal rocks are unvegetated. A range of</w:t>
            </w:r>
            <w:r w:rsidR="00C372CE" w:rsidRPr="00435ED5">
              <w:rPr>
                <w:rFonts w:cs="Arial"/>
                <w:sz w:val="20"/>
                <w:szCs w:val="20"/>
              </w:rPr>
              <w:t xml:space="preserve"> </w:t>
            </w:r>
            <w:r w:rsidRPr="00435ED5">
              <w:rPr>
                <w:rFonts w:cs="Arial"/>
                <w:sz w:val="20"/>
                <w:szCs w:val="20"/>
              </w:rPr>
              <w:t>invertebrate species dominate the area,</w:t>
            </w:r>
            <w:r w:rsidR="00500DED" w:rsidRPr="00435ED5">
              <w:rPr>
                <w:rFonts w:cs="Arial"/>
                <w:sz w:val="20"/>
                <w:szCs w:val="20"/>
              </w:rPr>
              <w:t xml:space="preserve"> </w:t>
            </w:r>
            <w:r w:rsidRPr="00435ED5">
              <w:rPr>
                <w:rFonts w:cs="Arial"/>
                <w:sz w:val="20"/>
                <w:szCs w:val="20"/>
              </w:rPr>
              <w:t xml:space="preserve">including barnacles, sea stars and </w:t>
            </w:r>
            <w:r w:rsidR="00500DED" w:rsidRPr="00435ED5">
              <w:rPr>
                <w:rFonts w:cs="Arial"/>
                <w:sz w:val="20"/>
                <w:szCs w:val="20"/>
              </w:rPr>
              <w:t>e</w:t>
            </w:r>
            <w:r w:rsidRPr="00435ED5">
              <w:rPr>
                <w:rFonts w:cs="Arial"/>
                <w:sz w:val="20"/>
                <w:szCs w:val="20"/>
              </w:rPr>
              <w:t>lephant</w:t>
            </w:r>
            <w:r w:rsidR="00500DED" w:rsidRPr="00435ED5">
              <w:rPr>
                <w:rFonts w:cs="Arial"/>
                <w:sz w:val="20"/>
                <w:szCs w:val="20"/>
              </w:rPr>
              <w:t xml:space="preserve"> s</w:t>
            </w:r>
            <w:r w:rsidRPr="00435ED5">
              <w:rPr>
                <w:rFonts w:cs="Arial"/>
                <w:sz w:val="20"/>
                <w:szCs w:val="20"/>
              </w:rPr>
              <w:t>nails</w:t>
            </w:r>
            <w:r w:rsidR="00500DED" w:rsidRPr="00435ED5">
              <w:rPr>
                <w:rFonts w:cs="Arial"/>
                <w:sz w:val="20"/>
                <w:szCs w:val="20"/>
              </w:rPr>
              <w:t xml:space="preserve">. </w:t>
            </w:r>
          </w:p>
          <w:p w14:paraId="11FC041C" w14:textId="77777777" w:rsidR="00746686" w:rsidRPr="00435ED5" w:rsidRDefault="00216F97" w:rsidP="00C372CE">
            <w:pPr>
              <w:pStyle w:val="TableText"/>
              <w:rPr>
                <w:rFonts w:cs="Arial"/>
                <w:sz w:val="20"/>
                <w:szCs w:val="20"/>
              </w:rPr>
            </w:pPr>
            <w:r w:rsidRPr="00435ED5">
              <w:rPr>
                <w:rFonts w:cs="Arial"/>
                <w:sz w:val="20"/>
                <w:szCs w:val="20"/>
              </w:rPr>
              <w:t>The subtidal reefs are</w:t>
            </w:r>
            <w:r w:rsidR="00500DED" w:rsidRPr="00435ED5">
              <w:rPr>
                <w:rFonts w:cs="Arial"/>
                <w:sz w:val="20"/>
                <w:szCs w:val="20"/>
              </w:rPr>
              <w:t xml:space="preserve"> </w:t>
            </w:r>
            <w:r w:rsidRPr="00435ED5">
              <w:rPr>
                <w:rFonts w:cs="Arial"/>
                <w:sz w:val="20"/>
                <w:szCs w:val="20"/>
              </w:rPr>
              <w:t>dominated by warm temperate species that are</w:t>
            </w:r>
            <w:r w:rsidR="00500DED" w:rsidRPr="00435ED5">
              <w:rPr>
                <w:rFonts w:cs="Arial"/>
                <w:sz w:val="20"/>
                <w:szCs w:val="20"/>
              </w:rPr>
              <w:t xml:space="preserve"> </w:t>
            </w:r>
            <w:r w:rsidRPr="00435ED5">
              <w:rPr>
                <w:rFonts w:cs="Arial"/>
                <w:sz w:val="20"/>
                <w:szCs w:val="20"/>
              </w:rPr>
              <w:t>common in southern NSW but rare elsewhere</w:t>
            </w:r>
            <w:r w:rsidR="00500DED" w:rsidRPr="00435ED5">
              <w:rPr>
                <w:rFonts w:cs="Arial"/>
                <w:sz w:val="20"/>
                <w:szCs w:val="20"/>
              </w:rPr>
              <w:t xml:space="preserve"> </w:t>
            </w:r>
            <w:r w:rsidRPr="00435ED5">
              <w:rPr>
                <w:rFonts w:cs="Arial"/>
                <w:sz w:val="20"/>
                <w:szCs w:val="20"/>
              </w:rPr>
              <w:t>in Victoria</w:t>
            </w:r>
            <w:r w:rsidR="00500DED" w:rsidRPr="00435ED5">
              <w:rPr>
                <w:rFonts w:cs="Arial"/>
                <w:sz w:val="20"/>
                <w:szCs w:val="20"/>
              </w:rPr>
              <w:t xml:space="preserve">. </w:t>
            </w:r>
            <w:r w:rsidRPr="00435ED5">
              <w:rPr>
                <w:rFonts w:cs="Arial"/>
                <w:sz w:val="20"/>
                <w:szCs w:val="20"/>
              </w:rPr>
              <w:t xml:space="preserve">The brown algae </w:t>
            </w:r>
            <w:r w:rsidR="00500DED" w:rsidRPr="00435ED5">
              <w:rPr>
                <w:rFonts w:cs="Arial"/>
                <w:sz w:val="20"/>
                <w:szCs w:val="20"/>
              </w:rPr>
              <w:t>b</w:t>
            </w:r>
            <w:r w:rsidRPr="00435ED5">
              <w:rPr>
                <w:rFonts w:cs="Arial"/>
                <w:sz w:val="20"/>
                <w:szCs w:val="20"/>
              </w:rPr>
              <w:t xml:space="preserve">ubble </w:t>
            </w:r>
            <w:r w:rsidR="00500DED" w:rsidRPr="00435ED5">
              <w:rPr>
                <w:rFonts w:cs="Arial"/>
                <w:sz w:val="20"/>
                <w:szCs w:val="20"/>
              </w:rPr>
              <w:t>w</w:t>
            </w:r>
            <w:r w:rsidRPr="00435ED5">
              <w:rPr>
                <w:rFonts w:cs="Arial"/>
                <w:sz w:val="20"/>
                <w:szCs w:val="20"/>
              </w:rPr>
              <w:t>eed forms</w:t>
            </w:r>
            <w:r w:rsidR="00500DED" w:rsidRPr="00435ED5">
              <w:rPr>
                <w:rFonts w:cs="Arial"/>
                <w:sz w:val="20"/>
                <w:szCs w:val="20"/>
              </w:rPr>
              <w:t xml:space="preserve"> </w:t>
            </w:r>
            <w:r w:rsidRPr="00435ED5">
              <w:rPr>
                <w:rFonts w:cs="Arial"/>
                <w:sz w:val="20"/>
                <w:szCs w:val="20"/>
              </w:rPr>
              <w:t>monospecific stands and dominates the granite</w:t>
            </w:r>
            <w:r w:rsidR="00500DED" w:rsidRPr="00435ED5">
              <w:rPr>
                <w:rFonts w:cs="Arial"/>
                <w:sz w:val="20"/>
                <w:szCs w:val="20"/>
              </w:rPr>
              <w:t xml:space="preserve"> </w:t>
            </w:r>
            <w:r w:rsidRPr="00435ED5">
              <w:rPr>
                <w:rFonts w:cs="Arial"/>
                <w:sz w:val="20"/>
                <w:szCs w:val="20"/>
              </w:rPr>
              <w:t>reefs at 5–12 m depth. Barren habitats with</w:t>
            </w:r>
            <w:r w:rsidR="00500DED" w:rsidRPr="00435ED5">
              <w:rPr>
                <w:rFonts w:cs="Arial"/>
                <w:sz w:val="20"/>
                <w:szCs w:val="20"/>
              </w:rPr>
              <w:t xml:space="preserve"> </w:t>
            </w:r>
            <w:r w:rsidRPr="00435ED5">
              <w:rPr>
                <w:rFonts w:cs="Arial"/>
                <w:sz w:val="20"/>
                <w:szCs w:val="20"/>
              </w:rPr>
              <w:t>unvegetated substrates and encrusting coralline</w:t>
            </w:r>
            <w:r w:rsidR="00500DED" w:rsidRPr="00435ED5">
              <w:rPr>
                <w:rFonts w:cs="Arial"/>
                <w:sz w:val="20"/>
                <w:szCs w:val="20"/>
              </w:rPr>
              <w:t xml:space="preserve"> </w:t>
            </w:r>
            <w:r w:rsidRPr="00435ED5">
              <w:rPr>
                <w:rFonts w:cs="Arial"/>
                <w:sz w:val="20"/>
                <w:szCs w:val="20"/>
              </w:rPr>
              <w:t>algae dominate, particularly along the eastern</w:t>
            </w:r>
            <w:r w:rsidR="00500DED" w:rsidRPr="00435ED5">
              <w:rPr>
                <w:rFonts w:cs="Arial"/>
                <w:sz w:val="20"/>
                <w:szCs w:val="20"/>
              </w:rPr>
              <w:t xml:space="preserve"> </w:t>
            </w:r>
            <w:r w:rsidRPr="00435ED5">
              <w:rPr>
                <w:rFonts w:cs="Arial"/>
                <w:sz w:val="20"/>
                <w:szCs w:val="20"/>
              </w:rPr>
              <w:t>boundary of the park. In</w:t>
            </w:r>
            <w:r w:rsidR="00500DED" w:rsidRPr="00435ED5">
              <w:rPr>
                <w:rFonts w:cs="Arial"/>
                <w:sz w:val="20"/>
                <w:szCs w:val="20"/>
              </w:rPr>
              <w:t xml:space="preserve"> </w:t>
            </w:r>
            <w:r w:rsidRPr="00435ED5">
              <w:rPr>
                <w:rFonts w:cs="Arial"/>
                <w:sz w:val="20"/>
                <w:szCs w:val="20"/>
              </w:rPr>
              <w:t>waters deeper than 34 metres, no macroflora</w:t>
            </w:r>
            <w:r w:rsidR="00500DED" w:rsidRPr="00435ED5">
              <w:rPr>
                <w:rFonts w:cs="Arial"/>
                <w:sz w:val="20"/>
                <w:szCs w:val="20"/>
              </w:rPr>
              <w:t xml:space="preserve"> </w:t>
            </w:r>
            <w:r w:rsidRPr="00435ED5">
              <w:rPr>
                <w:rFonts w:cs="Arial"/>
                <w:sz w:val="20"/>
                <w:szCs w:val="20"/>
              </w:rPr>
              <w:t>grows but sparse red algae grows on low</w:t>
            </w:r>
            <w:r w:rsidR="00500DED" w:rsidRPr="00435ED5">
              <w:rPr>
                <w:rFonts w:cs="Arial"/>
                <w:sz w:val="20"/>
                <w:szCs w:val="20"/>
              </w:rPr>
              <w:t>-</w:t>
            </w:r>
            <w:r w:rsidRPr="00435ED5">
              <w:rPr>
                <w:rFonts w:cs="Arial"/>
                <w:sz w:val="20"/>
                <w:szCs w:val="20"/>
              </w:rPr>
              <w:t>profile</w:t>
            </w:r>
            <w:r w:rsidR="00500DED" w:rsidRPr="00435ED5">
              <w:rPr>
                <w:rFonts w:cs="Arial"/>
                <w:sz w:val="20"/>
                <w:szCs w:val="20"/>
              </w:rPr>
              <w:t xml:space="preserve"> </w:t>
            </w:r>
            <w:r w:rsidRPr="00435ED5">
              <w:rPr>
                <w:rFonts w:cs="Arial"/>
                <w:sz w:val="20"/>
                <w:szCs w:val="20"/>
              </w:rPr>
              <w:t>sandstone reefs</w:t>
            </w:r>
            <w:r w:rsidR="00500DED" w:rsidRPr="00435ED5">
              <w:rPr>
                <w:rFonts w:cs="Arial"/>
                <w:sz w:val="20"/>
                <w:szCs w:val="20"/>
              </w:rPr>
              <w:t xml:space="preserve">. </w:t>
            </w:r>
          </w:p>
          <w:p w14:paraId="0C366F61" w14:textId="77777777" w:rsidR="00746686" w:rsidRPr="00435ED5" w:rsidRDefault="00746686" w:rsidP="00C372CE">
            <w:pPr>
              <w:pStyle w:val="TableText"/>
              <w:rPr>
                <w:rFonts w:cs="Arial"/>
                <w:sz w:val="20"/>
                <w:szCs w:val="20"/>
              </w:rPr>
            </w:pPr>
            <w:r w:rsidRPr="00435ED5">
              <w:rPr>
                <w:rFonts w:cs="Arial"/>
                <w:sz w:val="20"/>
                <w:szCs w:val="20"/>
              </w:rPr>
              <w:t>Common fish are herring cale (</w:t>
            </w:r>
            <w:r w:rsidRPr="00435ED5">
              <w:rPr>
                <w:rFonts w:cs="Arial"/>
                <w:i/>
                <w:sz w:val="20"/>
                <w:szCs w:val="20"/>
              </w:rPr>
              <w:t>Odax cyanomelas</w:t>
            </w:r>
            <w:r w:rsidRPr="00435ED5">
              <w:rPr>
                <w:rFonts w:cs="Arial"/>
                <w:sz w:val="20"/>
                <w:szCs w:val="20"/>
              </w:rPr>
              <w:t>), the leatherjacket (</w:t>
            </w:r>
            <w:r w:rsidRPr="00435ED5">
              <w:rPr>
                <w:rFonts w:cs="Arial"/>
                <w:i/>
                <w:sz w:val="20"/>
                <w:szCs w:val="20"/>
              </w:rPr>
              <w:t>Meuschenia freycineti</w:t>
            </w:r>
            <w:r w:rsidRPr="00435ED5">
              <w:rPr>
                <w:rFonts w:cs="Arial"/>
                <w:sz w:val="20"/>
                <w:szCs w:val="20"/>
              </w:rPr>
              <w:t>), striped mado (</w:t>
            </w:r>
            <w:r w:rsidRPr="00435ED5">
              <w:rPr>
                <w:rFonts w:cs="Arial"/>
                <w:i/>
                <w:sz w:val="20"/>
                <w:szCs w:val="20"/>
              </w:rPr>
              <w:t>Atypichthys strigatus</w:t>
            </w:r>
            <w:r w:rsidRPr="00435ED5">
              <w:rPr>
                <w:rFonts w:cs="Arial"/>
                <w:sz w:val="20"/>
                <w:szCs w:val="20"/>
              </w:rPr>
              <w:t>), banded morwong (</w:t>
            </w:r>
            <w:r w:rsidRPr="00435ED5">
              <w:rPr>
                <w:rFonts w:cs="Arial"/>
                <w:i/>
                <w:sz w:val="20"/>
                <w:szCs w:val="20"/>
              </w:rPr>
              <w:t>Cheilodactylus spectabilis</w:t>
            </w:r>
            <w:r w:rsidRPr="00435ED5">
              <w:rPr>
                <w:rFonts w:cs="Arial"/>
                <w:sz w:val="20"/>
                <w:szCs w:val="20"/>
              </w:rPr>
              <w:t xml:space="preserve">) and the damselfishes </w:t>
            </w:r>
            <w:r w:rsidRPr="00435ED5">
              <w:rPr>
                <w:rFonts w:cs="Arial"/>
                <w:i/>
                <w:sz w:val="20"/>
                <w:szCs w:val="20"/>
              </w:rPr>
              <w:t>Parma microlepis</w:t>
            </w:r>
            <w:r w:rsidRPr="00435ED5">
              <w:rPr>
                <w:rFonts w:cs="Arial"/>
                <w:sz w:val="20"/>
                <w:szCs w:val="20"/>
              </w:rPr>
              <w:t xml:space="preserve"> and </w:t>
            </w:r>
            <w:r w:rsidRPr="00435ED5">
              <w:rPr>
                <w:rFonts w:cs="Arial"/>
                <w:i/>
                <w:sz w:val="20"/>
                <w:szCs w:val="20"/>
              </w:rPr>
              <w:t>Chromis hypsilepis</w:t>
            </w:r>
            <w:r w:rsidRPr="00435ED5">
              <w:rPr>
                <w:rFonts w:cs="Arial"/>
                <w:sz w:val="20"/>
                <w:szCs w:val="20"/>
              </w:rPr>
              <w:t>. Its deep (30 to 50 m) sandstone reefs are heavily covered with a diverse array of sponges, ascidians and gorgonians.</w:t>
            </w:r>
          </w:p>
          <w:p w14:paraId="1F5BA179" w14:textId="77777777" w:rsidR="00216F97" w:rsidRPr="00435ED5" w:rsidRDefault="00216F97" w:rsidP="00C372CE">
            <w:pPr>
              <w:pStyle w:val="TableText"/>
              <w:rPr>
                <w:rFonts w:cs="Arial"/>
                <w:sz w:val="20"/>
                <w:szCs w:val="20"/>
              </w:rPr>
            </w:pPr>
            <w:r w:rsidRPr="00435ED5">
              <w:rPr>
                <w:rFonts w:cs="Arial"/>
                <w:sz w:val="20"/>
                <w:szCs w:val="20"/>
              </w:rPr>
              <w:t>Transient mammals such as southern right whales, humpback whales,</w:t>
            </w:r>
            <w:r w:rsidR="00746686" w:rsidRPr="00435ED5">
              <w:rPr>
                <w:rFonts w:cs="Arial"/>
                <w:sz w:val="20"/>
                <w:szCs w:val="20"/>
              </w:rPr>
              <w:t xml:space="preserve"> </w:t>
            </w:r>
            <w:r w:rsidRPr="00435ED5">
              <w:rPr>
                <w:rFonts w:cs="Arial"/>
                <w:sz w:val="20"/>
                <w:szCs w:val="20"/>
              </w:rPr>
              <w:t>killer whales, Australian fur seals, New Zealand fur seals, bottlenose</w:t>
            </w:r>
            <w:r w:rsidR="00746686" w:rsidRPr="00435ED5">
              <w:rPr>
                <w:rFonts w:cs="Arial"/>
                <w:sz w:val="20"/>
                <w:szCs w:val="20"/>
              </w:rPr>
              <w:t xml:space="preserve"> </w:t>
            </w:r>
            <w:r w:rsidRPr="00435ED5">
              <w:rPr>
                <w:rFonts w:cs="Arial"/>
                <w:sz w:val="20"/>
                <w:szCs w:val="20"/>
              </w:rPr>
              <w:t>dolphins and common dolphins are transient visitors to the park</w:t>
            </w:r>
            <w:r w:rsidR="00500DED" w:rsidRPr="00435ED5">
              <w:rPr>
                <w:rFonts w:cs="Arial"/>
                <w:sz w:val="20"/>
                <w:szCs w:val="20"/>
              </w:rPr>
              <w:t>.</w:t>
            </w:r>
          </w:p>
          <w:p w14:paraId="194E7281" w14:textId="77777777" w:rsidR="00C372CE" w:rsidRPr="00435ED5" w:rsidRDefault="00C372CE" w:rsidP="00C372CE">
            <w:pPr>
              <w:pStyle w:val="TableText"/>
              <w:rPr>
                <w:rFonts w:cs="Arial"/>
                <w:b/>
                <w:sz w:val="20"/>
                <w:szCs w:val="20"/>
              </w:rPr>
            </w:pPr>
            <w:r w:rsidRPr="00435ED5">
              <w:rPr>
                <w:rFonts w:cs="Arial"/>
                <w:b/>
                <w:sz w:val="20"/>
                <w:szCs w:val="20"/>
              </w:rPr>
              <w:t>Shoreline biodiversity</w:t>
            </w:r>
          </w:p>
          <w:p w14:paraId="718B86A4" w14:textId="77777777" w:rsidR="00216F97" w:rsidRPr="00435ED5" w:rsidRDefault="00216F97" w:rsidP="00C372CE">
            <w:pPr>
              <w:pStyle w:val="TableText"/>
              <w:rPr>
                <w:rFonts w:cs="Arial"/>
                <w:sz w:val="20"/>
                <w:szCs w:val="20"/>
              </w:rPr>
            </w:pPr>
            <w:r w:rsidRPr="00435ED5">
              <w:rPr>
                <w:rFonts w:cs="Arial"/>
                <w:sz w:val="20"/>
                <w:szCs w:val="20"/>
              </w:rPr>
              <w:t>The park contains foraging areas for</w:t>
            </w:r>
            <w:r w:rsidR="00500DED" w:rsidRPr="00435ED5">
              <w:rPr>
                <w:rFonts w:cs="Arial"/>
                <w:sz w:val="20"/>
                <w:szCs w:val="20"/>
              </w:rPr>
              <w:t xml:space="preserve"> l</w:t>
            </w:r>
            <w:r w:rsidRPr="00435ED5">
              <w:rPr>
                <w:rFonts w:cs="Arial"/>
                <w:sz w:val="20"/>
                <w:szCs w:val="20"/>
              </w:rPr>
              <w:t xml:space="preserve">ittle </w:t>
            </w:r>
            <w:r w:rsidR="00500DED" w:rsidRPr="00435ED5">
              <w:rPr>
                <w:rFonts w:cs="Arial"/>
                <w:sz w:val="20"/>
                <w:szCs w:val="20"/>
              </w:rPr>
              <w:t>p</w:t>
            </w:r>
            <w:r w:rsidRPr="00435ED5">
              <w:rPr>
                <w:rFonts w:cs="Arial"/>
                <w:sz w:val="20"/>
                <w:szCs w:val="20"/>
              </w:rPr>
              <w:t>enguins from neighbouring Gabo</w:t>
            </w:r>
            <w:r w:rsidR="00500DED" w:rsidRPr="00435ED5">
              <w:rPr>
                <w:rFonts w:cs="Arial"/>
                <w:sz w:val="20"/>
                <w:szCs w:val="20"/>
              </w:rPr>
              <w:t xml:space="preserve"> </w:t>
            </w:r>
            <w:r w:rsidRPr="00435ED5">
              <w:rPr>
                <w:rFonts w:cs="Arial"/>
                <w:sz w:val="20"/>
                <w:szCs w:val="20"/>
              </w:rPr>
              <w:t>Island, which supports a significant breeding</w:t>
            </w:r>
            <w:r w:rsidR="00500DED" w:rsidRPr="00435ED5">
              <w:rPr>
                <w:rFonts w:cs="Arial"/>
                <w:sz w:val="20"/>
                <w:szCs w:val="20"/>
              </w:rPr>
              <w:t xml:space="preserve"> </w:t>
            </w:r>
            <w:r w:rsidRPr="00435ED5">
              <w:rPr>
                <w:rFonts w:cs="Arial"/>
                <w:sz w:val="20"/>
                <w:szCs w:val="20"/>
              </w:rPr>
              <w:t>colony with an estimated 35</w:t>
            </w:r>
            <w:r w:rsidR="00500DED" w:rsidRPr="00435ED5">
              <w:rPr>
                <w:rFonts w:cs="Arial"/>
                <w:sz w:val="20"/>
                <w:szCs w:val="20"/>
              </w:rPr>
              <w:t>,</w:t>
            </w:r>
            <w:r w:rsidRPr="00435ED5">
              <w:rPr>
                <w:rFonts w:cs="Arial"/>
                <w:sz w:val="20"/>
                <w:szCs w:val="20"/>
              </w:rPr>
              <w:t>000 breeding</w:t>
            </w:r>
            <w:r w:rsidR="00500DED" w:rsidRPr="00435ED5">
              <w:rPr>
                <w:rFonts w:cs="Arial"/>
                <w:sz w:val="20"/>
                <w:szCs w:val="20"/>
              </w:rPr>
              <w:t xml:space="preserve"> </w:t>
            </w:r>
            <w:r w:rsidRPr="00435ED5">
              <w:rPr>
                <w:rFonts w:cs="Arial"/>
                <w:sz w:val="20"/>
                <w:szCs w:val="20"/>
              </w:rPr>
              <w:t xml:space="preserve">pairs. Hooded </w:t>
            </w:r>
            <w:r w:rsidR="00500DED" w:rsidRPr="00435ED5">
              <w:rPr>
                <w:rFonts w:cs="Arial"/>
                <w:sz w:val="20"/>
                <w:szCs w:val="20"/>
              </w:rPr>
              <w:t>p</w:t>
            </w:r>
            <w:r w:rsidRPr="00435ED5">
              <w:rPr>
                <w:rFonts w:cs="Arial"/>
                <w:sz w:val="20"/>
                <w:szCs w:val="20"/>
              </w:rPr>
              <w:t>lovers</w:t>
            </w:r>
            <w:r w:rsidR="00500DED" w:rsidRPr="00435ED5">
              <w:rPr>
                <w:rFonts w:cs="Arial"/>
                <w:sz w:val="20"/>
                <w:szCs w:val="20"/>
              </w:rPr>
              <w:t xml:space="preserve"> </w:t>
            </w:r>
            <w:r w:rsidRPr="00435ED5">
              <w:rPr>
                <w:rFonts w:cs="Arial"/>
                <w:sz w:val="20"/>
                <w:szCs w:val="20"/>
              </w:rPr>
              <w:t>have been observed along the shoreline of the</w:t>
            </w:r>
            <w:r w:rsidR="00500DED" w:rsidRPr="00435ED5">
              <w:rPr>
                <w:rFonts w:cs="Arial"/>
                <w:sz w:val="20"/>
                <w:szCs w:val="20"/>
              </w:rPr>
              <w:t xml:space="preserve"> </w:t>
            </w:r>
            <w:r w:rsidRPr="00435ED5">
              <w:rPr>
                <w:rFonts w:cs="Arial"/>
                <w:sz w:val="20"/>
                <w:szCs w:val="20"/>
              </w:rPr>
              <w:t>park</w:t>
            </w:r>
            <w:r w:rsidR="00500DED" w:rsidRPr="00435ED5">
              <w:rPr>
                <w:rFonts w:cs="Arial"/>
                <w:sz w:val="20"/>
                <w:szCs w:val="20"/>
              </w:rPr>
              <w:t xml:space="preserve">, and </w:t>
            </w:r>
            <w:r w:rsidRPr="00435ED5">
              <w:rPr>
                <w:rFonts w:cs="Arial"/>
                <w:sz w:val="20"/>
                <w:szCs w:val="20"/>
              </w:rPr>
              <w:t>other threatened birds recorded in the</w:t>
            </w:r>
            <w:r w:rsidR="00500DED" w:rsidRPr="00435ED5">
              <w:rPr>
                <w:rFonts w:cs="Arial"/>
                <w:sz w:val="20"/>
                <w:szCs w:val="20"/>
              </w:rPr>
              <w:t xml:space="preserve"> </w:t>
            </w:r>
            <w:r w:rsidRPr="00435ED5">
              <w:rPr>
                <w:rFonts w:cs="Arial"/>
                <w:sz w:val="20"/>
                <w:szCs w:val="20"/>
              </w:rPr>
              <w:t xml:space="preserve">area include </w:t>
            </w:r>
            <w:r w:rsidR="00500DED" w:rsidRPr="00435ED5">
              <w:rPr>
                <w:rFonts w:cs="Arial"/>
                <w:sz w:val="20"/>
                <w:szCs w:val="20"/>
              </w:rPr>
              <w:t>w</w:t>
            </w:r>
            <w:r w:rsidRPr="00435ED5">
              <w:rPr>
                <w:rFonts w:cs="Arial"/>
                <w:sz w:val="20"/>
                <w:szCs w:val="20"/>
              </w:rPr>
              <w:t xml:space="preserve">hite-bellied </w:t>
            </w:r>
            <w:r w:rsidR="00500DED" w:rsidRPr="00435ED5">
              <w:rPr>
                <w:rFonts w:cs="Arial"/>
                <w:sz w:val="20"/>
                <w:szCs w:val="20"/>
              </w:rPr>
              <w:t>s</w:t>
            </w:r>
            <w:r w:rsidRPr="00435ED5">
              <w:rPr>
                <w:rFonts w:cs="Arial"/>
                <w:sz w:val="20"/>
                <w:szCs w:val="20"/>
              </w:rPr>
              <w:t xml:space="preserve">ea </w:t>
            </w:r>
            <w:r w:rsidR="00500DED" w:rsidRPr="00435ED5">
              <w:rPr>
                <w:rFonts w:cs="Arial"/>
                <w:sz w:val="20"/>
                <w:szCs w:val="20"/>
              </w:rPr>
              <w:t>e</w:t>
            </w:r>
            <w:r w:rsidRPr="00435ED5">
              <w:rPr>
                <w:rFonts w:cs="Arial"/>
                <w:sz w:val="20"/>
                <w:szCs w:val="20"/>
              </w:rPr>
              <w:t>agle,</w:t>
            </w:r>
            <w:r w:rsidR="00500DED" w:rsidRPr="00435ED5">
              <w:rPr>
                <w:rFonts w:cs="Arial"/>
                <w:sz w:val="20"/>
                <w:szCs w:val="20"/>
              </w:rPr>
              <w:t xml:space="preserve"> </w:t>
            </w:r>
            <w:r w:rsidRPr="00435ED5">
              <w:rPr>
                <w:rFonts w:cs="Arial"/>
                <w:sz w:val="20"/>
                <w:szCs w:val="20"/>
              </w:rPr>
              <w:t xml:space="preserve">Australasian </w:t>
            </w:r>
            <w:r w:rsidR="00500DED" w:rsidRPr="00435ED5">
              <w:rPr>
                <w:rFonts w:cs="Arial"/>
                <w:sz w:val="20"/>
                <w:szCs w:val="20"/>
              </w:rPr>
              <w:t>g</w:t>
            </w:r>
            <w:r w:rsidRPr="00435ED5">
              <w:rPr>
                <w:rFonts w:cs="Arial"/>
                <w:sz w:val="20"/>
                <w:szCs w:val="20"/>
              </w:rPr>
              <w:t xml:space="preserve">annet, Caspian </w:t>
            </w:r>
            <w:r w:rsidR="00500DED" w:rsidRPr="00435ED5">
              <w:rPr>
                <w:rFonts w:cs="Arial"/>
                <w:sz w:val="20"/>
                <w:szCs w:val="20"/>
              </w:rPr>
              <w:t>t</w:t>
            </w:r>
            <w:r w:rsidRPr="00435ED5">
              <w:rPr>
                <w:rFonts w:cs="Arial"/>
                <w:sz w:val="20"/>
                <w:szCs w:val="20"/>
              </w:rPr>
              <w:t xml:space="preserve">ern and </w:t>
            </w:r>
            <w:r w:rsidR="00500DED" w:rsidRPr="00435ED5">
              <w:rPr>
                <w:rFonts w:cs="Arial"/>
                <w:sz w:val="20"/>
                <w:szCs w:val="20"/>
              </w:rPr>
              <w:t>l</w:t>
            </w:r>
            <w:r w:rsidRPr="00435ED5">
              <w:rPr>
                <w:rFonts w:cs="Arial"/>
                <w:sz w:val="20"/>
                <w:szCs w:val="20"/>
              </w:rPr>
              <w:t>ittle</w:t>
            </w:r>
            <w:r w:rsidR="00500DED" w:rsidRPr="00435ED5">
              <w:rPr>
                <w:rFonts w:cs="Arial"/>
                <w:sz w:val="20"/>
                <w:szCs w:val="20"/>
              </w:rPr>
              <w:t xml:space="preserve"> t</w:t>
            </w:r>
            <w:r w:rsidRPr="00435ED5">
              <w:rPr>
                <w:rFonts w:cs="Arial"/>
                <w:sz w:val="20"/>
                <w:szCs w:val="20"/>
              </w:rPr>
              <w:t xml:space="preserve">ern. </w:t>
            </w:r>
          </w:p>
        </w:tc>
      </w:tr>
      <w:tr w:rsidR="00EE55B5" w:rsidRPr="00435ED5" w14:paraId="7F180F9C" w14:textId="77777777" w:rsidTr="00FE7769">
        <w:tc>
          <w:tcPr>
            <w:tcW w:w="13750" w:type="dxa"/>
            <w:gridSpan w:val="2"/>
            <w:shd w:val="clear" w:color="auto" w:fill="auto"/>
          </w:tcPr>
          <w:p w14:paraId="2E2EA6A1" w14:textId="77777777" w:rsidR="00EE55B5" w:rsidRPr="00435ED5" w:rsidRDefault="00EE55B5" w:rsidP="00FE48D1">
            <w:pPr>
              <w:pStyle w:val="TableText"/>
              <w:rPr>
                <w:rFonts w:cs="Arial"/>
                <w:sz w:val="20"/>
                <w:szCs w:val="20"/>
                <w:u w:val="single"/>
              </w:rPr>
            </w:pPr>
            <w:r w:rsidRPr="00435ED5">
              <w:rPr>
                <w:rFonts w:cs="Arial"/>
                <w:sz w:val="20"/>
                <w:szCs w:val="20"/>
                <w:u w:val="single"/>
              </w:rPr>
              <w:lastRenderedPageBreak/>
              <w:t>IUCN categories</w:t>
            </w:r>
          </w:p>
          <w:p w14:paraId="4EBB361F" w14:textId="77777777" w:rsidR="00EE55B5" w:rsidRPr="00435ED5" w:rsidRDefault="00EE55B5" w:rsidP="00FE48D1">
            <w:pPr>
              <w:pStyle w:val="TableText"/>
              <w:rPr>
                <w:rFonts w:cs="Arial"/>
                <w:sz w:val="20"/>
                <w:szCs w:val="20"/>
              </w:rPr>
            </w:pPr>
            <w:r w:rsidRPr="00435ED5">
              <w:rPr>
                <w:rFonts w:cs="Arial"/>
                <w:b/>
                <w:sz w:val="20"/>
                <w:szCs w:val="20"/>
              </w:rPr>
              <w:t>I</w:t>
            </w:r>
            <w:r w:rsidR="00176136" w:rsidRPr="00435ED5">
              <w:rPr>
                <w:rFonts w:cs="Arial"/>
                <w:b/>
                <w:sz w:val="20"/>
                <w:szCs w:val="20"/>
              </w:rPr>
              <w:t>a</w:t>
            </w:r>
            <w:r w:rsidRPr="00435ED5">
              <w:rPr>
                <w:rFonts w:cs="Arial"/>
                <w:b/>
                <w:sz w:val="20"/>
                <w:szCs w:val="20"/>
              </w:rPr>
              <w:t xml:space="preserve"> –</w:t>
            </w:r>
            <w:r w:rsidR="00176136" w:rsidRPr="00435ED5">
              <w:rPr>
                <w:rFonts w:cs="Arial"/>
                <w:b/>
                <w:sz w:val="20"/>
                <w:szCs w:val="20"/>
              </w:rPr>
              <w:t xml:space="preserve"> Strict nature reserve</w:t>
            </w:r>
            <w:r w:rsidR="00176136" w:rsidRPr="00435ED5">
              <w:rPr>
                <w:rFonts w:cs="Arial"/>
                <w:sz w:val="20"/>
                <w:szCs w:val="20"/>
              </w:rPr>
              <w:t>. Protected areas that are strictly set aside to protect biodiversity and also possibly geological/geomorphological features, where human visitation, use and impacts are strictly controlled and limited to ensure protection of the conservation values. Such protected areas can serve as indispensable reference areas for scientific research and monitoring.</w:t>
            </w:r>
            <w:r w:rsidR="003763FE" w:rsidRPr="00435ED5">
              <w:rPr>
                <w:rFonts w:cs="Arial"/>
                <w:sz w:val="20"/>
                <w:szCs w:val="20"/>
              </w:rPr>
              <w:t xml:space="preserve"> </w:t>
            </w:r>
          </w:p>
        </w:tc>
      </w:tr>
      <w:tr w:rsidR="00176136" w:rsidRPr="00435ED5" w14:paraId="1C23241F" w14:textId="77777777" w:rsidTr="00FE7769">
        <w:tc>
          <w:tcPr>
            <w:tcW w:w="13750" w:type="dxa"/>
            <w:gridSpan w:val="2"/>
            <w:shd w:val="clear" w:color="auto" w:fill="auto"/>
          </w:tcPr>
          <w:p w14:paraId="591BD765" w14:textId="77777777" w:rsidR="00176136" w:rsidRPr="00435ED5" w:rsidRDefault="004D5D82" w:rsidP="00FE48D1">
            <w:pPr>
              <w:pStyle w:val="TableText"/>
              <w:rPr>
                <w:rFonts w:cs="Arial"/>
                <w:sz w:val="20"/>
                <w:szCs w:val="20"/>
              </w:rPr>
            </w:pPr>
            <w:r w:rsidRPr="00435ED5">
              <w:rPr>
                <w:rFonts w:cs="Arial"/>
                <w:b/>
                <w:sz w:val="20"/>
                <w:szCs w:val="20"/>
              </w:rPr>
              <w:t>Ib – Wilderness area</w:t>
            </w:r>
            <w:r w:rsidRPr="00435ED5">
              <w:rPr>
                <w:rFonts w:cs="Arial"/>
                <w:sz w:val="20"/>
                <w:szCs w:val="20"/>
              </w:rPr>
              <w:t xml:space="preserve">. </w:t>
            </w:r>
            <w:r w:rsidR="00176136" w:rsidRPr="00435ED5">
              <w:rPr>
                <w:rFonts w:cs="Arial"/>
                <w:sz w:val="20"/>
                <w:szCs w:val="20"/>
              </w:rPr>
              <w:t>Protected areas that are usually large</w:t>
            </w:r>
            <w:r w:rsidRPr="00435ED5">
              <w:rPr>
                <w:rFonts w:cs="Arial"/>
                <w:sz w:val="20"/>
                <w:szCs w:val="20"/>
              </w:rPr>
              <w:t>,</w:t>
            </w:r>
            <w:r w:rsidR="00176136" w:rsidRPr="00435ED5">
              <w:rPr>
                <w:rFonts w:cs="Arial"/>
                <w:sz w:val="20"/>
                <w:szCs w:val="20"/>
              </w:rPr>
              <w:t xml:space="preserve"> unmodified or slightly modified areas, retaining their natural character and influence, without permanent or significant human habitation, which are protected and managed so as to preserve their natural condition.</w:t>
            </w:r>
          </w:p>
        </w:tc>
      </w:tr>
      <w:tr w:rsidR="00176136" w:rsidRPr="00435ED5" w14:paraId="6A6EEC49" w14:textId="77777777" w:rsidTr="00FE7769">
        <w:tc>
          <w:tcPr>
            <w:tcW w:w="13750" w:type="dxa"/>
            <w:gridSpan w:val="2"/>
            <w:shd w:val="clear" w:color="auto" w:fill="auto"/>
          </w:tcPr>
          <w:p w14:paraId="0B2D785B" w14:textId="77777777" w:rsidR="00176136" w:rsidRPr="00435ED5" w:rsidRDefault="004D5D82" w:rsidP="004D5D82">
            <w:pPr>
              <w:pStyle w:val="TableText"/>
              <w:rPr>
                <w:rFonts w:cs="Arial"/>
                <w:sz w:val="20"/>
                <w:szCs w:val="20"/>
              </w:rPr>
            </w:pPr>
            <w:r w:rsidRPr="00435ED5">
              <w:rPr>
                <w:rFonts w:cs="Arial"/>
                <w:b/>
                <w:sz w:val="20"/>
                <w:szCs w:val="20"/>
              </w:rPr>
              <w:t>II - National Park</w:t>
            </w:r>
            <w:r w:rsidRPr="00435ED5">
              <w:rPr>
                <w:rFonts w:cs="Arial"/>
                <w:sz w:val="20"/>
                <w:szCs w:val="20"/>
              </w:rPr>
              <w:t>. Protected areas are large natural or near natural areas set aside to protect large-scale ecological processes, along with the complement of species and ecosystems characteristic of the area, which also provide a foundation for environmentally and culturally compatible, spiritual, scientific, educational, recreational, and visitor opportunities.</w:t>
            </w:r>
          </w:p>
        </w:tc>
      </w:tr>
      <w:tr w:rsidR="00176136" w:rsidRPr="00435ED5" w14:paraId="05FF92B9" w14:textId="77777777" w:rsidTr="00FE7769">
        <w:tc>
          <w:tcPr>
            <w:tcW w:w="13750" w:type="dxa"/>
            <w:gridSpan w:val="2"/>
            <w:shd w:val="clear" w:color="auto" w:fill="auto"/>
          </w:tcPr>
          <w:p w14:paraId="3C6B9352" w14:textId="77777777" w:rsidR="00176136" w:rsidRPr="00435ED5" w:rsidRDefault="004D5D82" w:rsidP="004D5D82">
            <w:pPr>
              <w:pStyle w:val="TableText"/>
              <w:rPr>
                <w:rFonts w:cs="Arial"/>
                <w:sz w:val="20"/>
                <w:szCs w:val="20"/>
              </w:rPr>
            </w:pPr>
            <w:r w:rsidRPr="00435ED5">
              <w:rPr>
                <w:rFonts w:cs="Arial"/>
                <w:b/>
                <w:sz w:val="20"/>
                <w:szCs w:val="20"/>
              </w:rPr>
              <w:t>III - Natural Monument or Feature</w:t>
            </w:r>
            <w:r w:rsidRPr="00435ED5">
              <w:rPr>
                <w:rFonts w:cs="Arial"/>
                <w:sz w:val="20"/>
                <w:szCs w:val="20"/>
              </w:rPr>
              <w:t xml:space="preserve">. Protected areas are set aside to protect a specific natural monument, which can be a landform, sea mount, submarine cavern, geological feature such as a cave or even a living feature such as an ancient grove. They are generally quite small protected areas </w:t>
            </w:r>
            <w:r w:rsidRPr="00435ED5">
              <w:rPr>
                <w:rFonts w:cs="Arial"/>
                <w:sz w:val="20"/>
                <w:szCs w:val="20"/>
              </w:rPr>
              <w:lastRenderedPageBreak/>
              <w:t>and often have high visitor value.</w:t>
            </w:r>
          </w:p>
        </w:tc>
      </w:tr>
      <w:tr w:rsidR="00176136" w:rsidRPr="00435ED5" w14:paraId="4DA4EE7A" w14:textId="77777777" w:rsidTr="00FE7769">
        <w:tc>
          <w:tcPr>
            <w:tcW w:w="13750" w:type="dxa"/>
            <w:gridSpan w:val="2"/>
            <w:shd w:val="clear" w:color="auto" w:fill="auto"/>
          </w:tcPr>
          <w:p w14:paraId="38AC8632" w14:textId="77777777" w:rsidR="00176136" w:rsidRPr="00435ED5" w:rsidRDefault="004D5D82" w:rsidP="004D5D82">
            <w:pPr>
              <w:pStyle w:val="TableText"/>
              <w:rPr>
                <w:rFonts w:cs="Arial"/>
                <w:sz w:val="20"/>
                <w:szCs w:val="20"/>
              </w:rPr>
            </w:pPr>
            <w:r w:rsidRPr="00435ED5">
              <w:rPr>
                <w:rFonts w:cs="Arial"/>
                <w:b/>
                <w:sz w:val="20"/>
                <w:szCs w:val="20"/>
              </w:rPr>
              <w:lastRenderedPageBreak/>
              <w:t>IV - Habitat/Species Management Area</w:t>
            </w:r>
            <w:r w:rsidRPr="00435ED5">
              <w:rPr>
                <w:rFonts w:cs="Arial"/>
                <w:sz w:val="20"/>
                <w:szCs w:val="20"/>
              </w:rPr>
              <w:t>. Protected areas aim to protect particular species or habitats and management reflects this priority. Many Category IV protected areas will need regular, active interventions to address the requirements of particular species or to maintain habitats, but this is not a requirement of the category.</w:t>
            </w:r>
          </w:p>
        </w:tc>
      </w:tr>
      <w:tr w:rsidR="00176136" w:rsidRPr="00435ED5" w14:paraId="5F361EFD" w14:textId="77777777" w:rsidTr="00FE7769">
        <w:tc>
          <w:tcPr>
            <w:tcW w:w="13750" w:type="dxa"/>
            <w:gridSpan w:val="2"/>
            <w:shd w:val="clear" w:color="auto" w:fill="auto"/>
          </w:tcPr>
          <w:p w14:paraId="4B5D8EA5" w14:textId="77777777" w:rsidR="00176136" w:rsidRPr="00435ED5" w:rsidRDefault="004D5D82" w:rsidP="004D5D82">
            <w:pPr>
              <w:pStyle w:val="TableText"/>
              <w:rPr>
                <w:rFonts w:cs="Arial"/>
                <w:sz w:val="20"/>
                <w:szCs w:val="20"/>
              </w:rPr>
            </w:pPr>
            <w:r w:rsidRPr="00435ED5">
              <w:rPr>
                <w:rFonts w:cs="Arial"/>
                <w:b/>
                <w:sz w:val="20"/>
                <w:szCs w:val="20"/>
              </w:rPr>
              <w:t>V - Protected Landscape/Seascape</w:t>
            </w:r>
            <w:r w:rsidRPr="00435ED5">
              <w:rPr>
                <w:rFonts w:cs="Arial"/>
                <w:sz w:val="20"/>
                <w:szCs w:val="20"/>
              </w:rPr>
              <w:t>. A protected area where the interaction of people and nature over time has produced an area of distinct character with significant, ecological, biological, cultural and scenic value, and where safeguarding the integrity of this interaction is vital to protecting and sustaining the area and its associated nature conservation and other values</w:t>
            </w:r>
          </w:p>
        </w:tc>
      </w:tr>
      <w:tr w:rsidR="00176136" w:rsidRPr="00435ED5" w14:paraId="20D072A7" w14:textId="77777777" w:rsidTr="00FE7769">
        <w:tc>
          <w:tcPr>
            <w:tcW w:w="13750" w:type="dxa"/>
            <w:gridSpan w:val="2"/>
            <w:shd w:val="clear" w:color="auto" w:fill="auto"/>
          </w:tcPr>
          <w:p w14:paraId="3A4FC1F4" w14:textId="77777777" w:rsidR="00176136" w:rsidRPr="00435ED5" w:rsidRDefault="004D5D82" w:rsidP="004D5D82">
            <w:pPr>
              <w:pStyle w:val="TableText"/>
              <w:rPr>
                <w:rFonts w:cs="Arial"/>
                <w:sz w:val="20"/>
                <w:szCs w:val="20"/>
              </w:rPr>
            </w:pPr>
            <w:r w:rsidRPr="00435ED5">
              <w:rPr>
                <w:rFonts w:cs="Arial"/>
                <w:b/>
                <w:sz w:val="20"/>
                <w:szCs w:val="20"/>
              </w:rPr>
              <w:t>VI - Protected area with sustainable use of natural resources</w:t>
            </w:r>
            <w:r w:rsidRPr="00435ED5">
              <w:rPr>
                <w:rFonts w:cs="Arial"/>
                <w:sz w:val="20"/>
                <w:szCs w:val="20"/>
              </w:rPr>
              <w:t>. Protected areas conserve ecosystems and habitats together with associated cultural values and traditional natural resource management systems. They are generally large, with most of the area in a natural condition, where a proportion is under sustainable natural resource management and where low-level non-industrial use of natural resources compatible with nature conservation is seen as one of the main aims of the area </w:t>
            </w:r>
          </w:p>
        </w:tc>
      </w:tr>
    </w:tbl>
    <w:p w14:paraId="77CB2F4E" w14:textId="46FD0F24" w:rsidR="00EE55B5" w:rsidRPr="00AC6DAC" w:rsidRDefault="00500DED" w:rsidP="00F92BED">
      <w:pPr>
        <w:pStyle w:val="bodycopy"/>
        <w:rPr>
          <w:i/>
          <w:sz w:val="16"/>
          <w:szCs w:val="16"/>
          <w:lang w:val="fr-FR"/>
        </w:rPr>
      </w:pPr>
      <w:r w:rsidRPr="00AC6DAC">
        <w:rPr>
          <w:i/>
          <w:sz w:val="16"/>
          <w:szCs w:val="16"/>
          <w:lang w:val="fr-FR"/>
        </w:rPr>
        <w:t>Sources: ParksVic (2006</w:t>
      </w:r>
      <w:r w:rsidR="00ED0D56" w:rsidRPr="00AC6DAC">
        <w:rPr>
          <w:i/>
          <w:sz w:val="16"/>
          <w:szCs w:val="16"/>
          <w:lang w:val="fr-FR"/>
        </w:rPr>
        <w:t>a</w:t>
      </w:r>
      <w:r w:rsidR="003E59E2" w:rsidRPr="00AC6DAC">
        <w:rPr>
          <w:i/>
          <w:sz w:val="16"/>
          <w:szCs w:val="16"/>
          <w:lang w:val="fr-FR"/>
        </w:rPr>
        <w:t>;</w:t>
      </w:r>
      <w:r w:rsidR="00ED0D56" w:rsidRPr="00AC6DAC">
        <w:rPr>
          <w:i/>
          <w:sz w:val="16"/>
          <w:szCs w:val="16"/>
          <w:lang w:val="fr-FR"/>
        </w:rPr>
        <w:t>b;</w:t>
      </w:r>
      <w:r w:rsidR="00D71A7C" w:rsidRPr="00AC6DAC">
        <w:rPr>
          <w:i/>
          <w:sz w:val="16"/>
          <w:szCs w:val="16"/>
          <w:lang w:val="fr-FR"/>
        </w:rPr>
        <w:t>c;d</w:t>
      </w:r>
      <w:r w:rsidRPr="00AC6DAC">
        <w:rPr>
          <w:i/>
          <w:sz w:val="16"/>
          <w:szCs w:val="16"/>
          <w:lang w:val="fr-FR"/>
        </w:rPr>
        <w:t>), B</w:t>
      </w:r>
      <w:r w:rsidR="004D5D82" w:rsidRPr="00AC6DAC">
        <w:rPr>
          <w:i/>
          <w:sz w:val="16"/>
          <w:szCs w:val="16"/>
          <w:lang w:val="fr-FR"/>
        </w:rPr>
        <w:t>arton et al (2012), IUCN (2017).</w:t>
      </w:r>
    </w:p>
    <w:p w14:paraId="5CA58D38" w14:textId="77777777" w:rsidR="00656C86" w:rsidRPr="00AC6DAC" w:rsidRDefault="00656C86" w:rsidP="00840CFE">
      <w:pPr>
        <w:pStyle w:val="bodycopy"/>
        <w:jc w:val="center"/>
        <w:rPr>
          <w:b/>
          <w:sz w:val="18"/>
          <w:szCs w:val="18"/>
          <w:lang w:val="fr-FR"/>
        </w:rPr>
      </w:pPr>
    </w:p>
    <w:p w14:paraId="679B13B5" w14:textId="77777777" w:rsidR="00CE059F" w:rsidRPr="00AC6DAC" w:rsidRDefault="00CE059F" w:rsidP="00840CFE">
      <w:pPr>
        <w:pStyle w:val="bodycopy"/>
        <w:jc w:val="center"/>
        <w:rPr>
          <w:b/>
          <w:sz w:val="18"/>
          <w:szCs w:val="18"/>
          <w:lang w:val="fr-FR"/>
        </w:rPr>
      </w:pPr>
      <w:r w:rsidRPr="00AC6DAC">
        <w:rPr>
          <w:b/>
          <w:sz w:val="18"/>
          <w:szCs w:val="18"/>
          <w:lang w:val="fr-FR"/>
        </w:rPr>
        <w:br w:type="page"/>
      </w:r>
    </w:p>
    <w:p w14:paraId="534E6668" w14:textId="0D8F8FB9" w:rsidR="00F92BED" w:rsidRPr="00392A57" w:rsidRDefault="00F92BED" w:rsidP="00840CFE">
      <w:pPr>
        <w:pStyle w:val="bodycopy"/>
        <w:jc w:val="center"/>
        <w:rPr>
          <w:rFonts w:ascii="Arial" w:hAnsi="Arial"/>
          <w:b/>
          <w:sz w:val="20"/>
        </w:rPr>
      </w:pPr>
      <w:r w:rsidRPr="00392A57">
        <w:rPr>
          <w:rFonts w:ascii="Arial" w:hAnsi="Arial"/>
          <w:b/>
          <w:sz w:val="20"/>
        </w:rPr>
        <w:lastRenderedPageBreak/>
        <w:t xml:space="preserve">Table </w:t>
      </w:r>
      <w:r w:rsidR="0028768B" w:rsidRPr="00392A57">
        <w:rPr>
          <w:rFonts w:ascii="Arial" w:hAnsi="Arial"/>
          <w:b/>
          <w:sz w:val="20"/>
        </w:rPr>
        <w:t>5.</w:t>
      </w:r>
      <w:r w:rsidR="00B521E4">
        <w:rPr>
          <w:rFonts w:ascii="Arial" w:hAnsi="Arial"/>
          <w:b/>
          <w:sz w:val="20"/>
        </w:rPr>
        <w:t>6</w:t>
      </w:r>
      <w:r w:rsidRPr="00392A57">
        <w:rPr>
          <w:rFonts w:ascii="Arial" w:hAnsi="Arial"/>
          <w:b/>
          <w:sz w:val="20"/>
        </w:rPr>
        <w:t>.</w:t>
      </w:r>
      <w:r w:rsidRPr="00392A57">
        <w:rPr>
          <w:rFonts w:ascii="Arial" w:hAnsi="Arial"/>
          <w:b/>
          <w:sz w:val="20"/>
        </w:rPr>
        <w:tab/>
        <w:t xml:space="preserve">Coastal </w:t>
      </w:r>
      <w:r w:rsidR="00C863C1" w:rsidRPr="00392A57">
        <w:rPr>
          <w:rFonts w:ascii="Arial" w:hAnsi="Arial"/>
          <w:b/>
          <w:sz w:val="20"/>
        </w:rPr>
        <w:t xml:space="preserve">(onshore) </w:t>
      </w:r>
      <w:r w:rsidRPr="00392A57">
        <w:rPr>
          <w:rFonts w:ascii="Arial" w:hAnsi="Arial"/>
          <w:b/>
          <w:sz w:val="20"/>
        </w:rPr>
        <w:t xml:space="preserve">protected areas within the </w:t>
      </w:r>
      <w:r w:rsidR="00840CFE" w:rsidRPr="00392A57">
        <w:rPr>
          <w:rFonts w:ascii="Arial" w:hAnsi="Arial"/>
          <w:b/>
          <w:sz w:val="20"/>
        </w:rPr>
        <w:t>E</w:t>
      </w:r>
      <w:r w:rsidRPr="00392A57">
        <w:rPr>
          <w:rFonts w:ascii="Arial" w:hAnsi="Arial"/>
          <w:b/>
          <w:sz w:val="20"/>
        </w:rPr>
        <w:t>MBA</w:t>
      </w:r>
    </w:p>
    <w:tbl>
      <w:tblPr>
        <w:tblW w:w="13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2049"/>
      </w:tblGrid>
      <w:tr w:rsidR="00A815A6" w:rsidRPr="008855E9" w14:paraId="58F54E3E" w14:textId="77777777" w:rsidTr="00956CA4">
        <w:trPr>
          <w:trHeight w:val="324"/>
          <w:tblHeader/>
        </w:trPr>
        <w:tc>
          <w:tcPr>
            <w:tcW w:w="1701" w:type="dxa"/>
            <w:vMerge w:val="restart"/>
            <w:shd w:val="clear" w:color="auto" w:fill="064EA8"/>
          </w:tcPr>
          <w:p w14:paraId="01BB77C8" w14:textId="77777777" w:rsidR="00A815A6" w:rsidRPr="008855E9" w:rsidRDefault="00A815A6" w:rsidP="00F92BED">
            <w:pPr>
              <w:spacing w:before="60" w:after="60"/>
              <w:ind w:left="34"/>
              <w:rPr>
                <w:rFonts w:cs="Arial"/>
                <w:color w:val="FFFFFF" w:themeColor="background1"/>
                <w:sz w:val="20"/>
                <w:szCs w:val="20"/>
              </w:rPr>
            </w:pPr>
            <w:r w:rsidRPr="008855E9">
              <w:rPr>
                <w:rFonts w:cs="Arial"/>
                <w:color w:val="FFFFFF" w:themeColor="background1"/>
                <w:sz w:val="20"/>
                <w:szCs w:val="20"/>
              </w:rPr>
              <w:t xml:space="preserve">Conservation area </w:t>
            </w:r>
          </w:p>
        </w:tc>
        <w:tc>
          <w:tcPr>
            <w:tcW w:w="12049" w:type="dxa"/>
            <w:vMerge w:val="restart"/>
            <w:shd w:val="clear" w:color="auto" w:fill="064EA8"/>
          </w:tcPr>
          <w:p w14:paraId="0FEED886" w14:textId="77777777" w:rsidR="00A815A6" w:rsidRPr="008855E9" w:rsidRDefault="00A815A6" w:rsidP="004165F5">
            <w:pPr>
              <w:spacing w:before="60" w:after="60"/>
              <w:ind w:hanging="686"/>
              <w:rPr>
                <w:rFonts w:cs="Arial"/>
                <w:color w:val="FFFFFF" w:themeColor="background1"/>
                <w:sz w:val="20"/>
                <w:szCs w:val="20"/>
              </w:rPr>
            </w:pPr>
            <w:r w:rsidRPr="008855E9">
              <w:rPr>
                <w:rFonts w:cs="Arial"/>
                <w:color w:val="FFFFFF" w:themeColor="background1"/>
                <w:sz w:val="20"/>
                <w:szCs w:val="20"/>
              </w:rPr>
              <w:t xml:space="preserve">General description </w:t>
            </w:r>
          </w:p>
        </w:tc>
      </w:tr>
      <w:tr w:rsidR="00A815A6" w:rsidRPr="008855E9" w14:paraId="188A9EF0" w14:textId="77777777" w:rsidTr="00956CA4">
        <w:trPr>
          <w:trHeight w:val="380"/>
          <w:tblHeader/>
        </w:trPr>
        <w:tc>
          <w:tcPr>
            <w:tcW w:w="1701" w:type="dxa"/>
            <w:vMerge/>
            <w:shd w:val="clear" w:color="auto" w:fill="064EA8"/>
          </w:tcPr>
          <w:p w14:paraId="55C78EE4" w14:textId="77777777" w:rsidR="00A815A6" w:rsidRPr="008855E9" w:rsidRDefault="00A815A6" w:rsidP="00F92BED">
            <w:pPr>
              <w:spacing w:before="60" w:after="60"/>
              <w:rPr>
                <w:rFonts w:cs="Arial"/>
                <w:sz w:val="20"/>
                <w:szCs w:val="20"/>
              </w:rPr>
            </w:pPr>
          </w:p>
        </w:tc>
        <w:tc>
          <w:tcPr>
            <w:tcW w:w="12049" w:type="dxa"/>
            <w:vMerge/>
            <w:shd w:val="clear" w:color="auto" w:fill="064EA8"/>
          </w:tcPr>
          <w:p w14:paraId="63C1B005" w14:textId="77777777" w:rsidR="00A815A6" w:rsidRPr="008855E9" w:rsidRDefault="00A815A6" w:rsidP="00F92BED">
            <w:pPr>
              <w:spacing w:before="60" w:after="60"/>
              <w:rPr>
                <w:rFonts w:cs="Arial"/>
                <w:sz w:val="20"/>
                <w:szCs w:val="20"/>
              </w:rPr>
            </w:pPr>
          </w:p>
        </w:tc>
      </w:tr>
      <w:tr w:rsidR="00B15557" w:rsidRPr="008855E9" w14:paraId="5F4B2728" w14:textId="77777777" w:rsidTr="00B15557">
        <w:tc>
          <w:tcPr>
            <w:tcW w:w="13750" w:type="dxa"/>
            <w:gridSpan w:val="2"/>
            <w:shd w:val="clear" w:color="auto" w:fill="D9D9D9" w:themeFill="background1" w:themeFillShade="D9"/>
          </w:tcPr>
          <w:p w14:paraId="61A3ADB0" w14:textId="6E8F91C9" w:rsidR="00B15557" w:rsidRPr="00B15557" w:rsidRDefault="00B15557" w:rsidP="00B15557">
            <w:pPr>
              <w:pStyle w:val="TableText"/>
              <w:spacing w:before="60" w:after="60" w:line="240" w:lineRule="auto"/>
              <w:rPr>
                <w:rFonts w:cs="Arial"/>
                <w:b/>
                <w:sz w:val="20"/>
                <w:szCs w:val="20"/>
              </w:rPr>
            </w:pPr>
            <w:r w:rsidRPr="00B15557">
              <w:rPr>
                <w:rFonts w:cs="Arial"/>
                <w:b/>
                <w:sz w:val="20"/>
                <w:szCs w:val="20"/>
              </w:rPr>
              <w:t>Victoria</w:t>
            </w:r>
          </w:p>
        </w:tc>
      </w:tr>
      <w:tr w:rsidR="00C34B67" w:rsidRPr="008855E9" w14:paraId="57C0A67A" w14:textId="77777777" w:rsidTr="00024545">
        <w:tc>
          <w:tcPr>
            <w:tcW w:w="1701" w:type="dxa"/>
            <w:shd w:val="clear" w:color="auto" w:fill="auto"/>
          </w:tcPr>
          <w:p w14:paraId="19001EFA" w14:textId="77777777" w:rsidR="00C34B67" w:rsidRPr="008855E9" w:rsidRDefault="00C34B67" w:rsidP="00F92BED">
            <w:pPr>
              <w:pStyle w:val="TableText"/>
              <w:rPr>
                <w:rFonts w:cs="Arial"/>
                <w:b/>
                <w:sz w:val="20"/>
                <w:szCs w:val="20"/>
              </w:rPr>
            </w:pPr>
            <w:r w:rsidRPr="008855E9">
              <w:rPr>
                <w:rFonts w:cs="Arial"/>
                <w:b/>
                <w:sz w:val="20"/>
                <w:szCs w:val="20"/>
              </w:rPr>
              <w:t>McLoughlins Beach – Seaspray Coastal Reserve</w:t>
            </w:r>
          </w:p>
          <w:p w14:paraId="34B122BB" w14:textId="77777777" w:rsidR="00C34B67" w:rsidRPr="008855E9" w:rsidRDefault="00C34B67" w:rsidP="00F92BED">
            <w:pPr>
              <w:pStyle w:val="TableText"/>
              <w:rPr>
                <w:rFonts w:cs="Arial"/>
                <w:sz w:val="20"/>
                <w:szCs w:val="20"/>
              </w:rPr>
            </w:pPr>
          </w:p>
          <w:p w14:paraId="0A8E2578" w14:textId="77777777" w:rsidR="00C34B67" w:rsidRPr="008855E9" w:rsidRDefault="000524EF" w:rsidP="00C34B67">
            <w:pPr>
              <w:pStyle w:val="TableText"/>
              <w:rPr>
                <w:rFonts w:cs="Arial"/>
                <w:i/>
                <w:sz w:val="20"/>
                <w:szCs w:val="20"/>
              </w:rPr>
            </w:pPr>
            <w:r w:rsidRPr="008855E9">
              <w:rPr>
                <w:rFonts w:cs="Arial"/>
                <w:i/>
                <w:sz w:val="20"/>
                <w:szCs w:val="20"/>
              </w:rPr>
              <w:t>15</w:t>
            </w:r>
            <w:r w:rsidR="00C34B67" w:rsidRPr="008855E9">
              <w:rPr>
                <w:rFonts w:cs="Arial"/>
                <w:i/>
                <w:sz w:val="20"/>
                <w:szCs w:val="20"/>
              </w:rPr>
              <w:t xml:space="preserve"> km </w:t>
            </w:r>
            <w:r w:rsidRPr="008855E9">
              <w:rPr>
                <w:rFonts w:cs="Arial"/>
                <w:i/>
                <w:sz w:val="20"/>
                <w:szCs w:val="20"/>
              </w:rPr>
              <w:t>southwest</w:t>
            </w:r>
            <w:r w:rsidR="00C34B67" w:rsidRPr="008855E9">
              <w:rPr>
                <w:rFonts w:cs="Arial"/>
                <w:i/>
                <w:sz w:val="20"/>
                <w:szCs w:val="20"/>
              </w:rPr>
              <w:t xml:space="preserve"> of proposed acquisition area</w:t>
            </w:r>
          </w:p>
          <w:p w14:paraId="0A4035A7" w14:textId="77777777" w:rsidR="00C34B67" w:rsidRPr="008855E9" w:rsidRDefault="00C34B67" w:rsidP="00C34B67">
            <w:pPr>
              <w:pStyle w:val="TableText"/>
              <w:rPr>
                <w:rFonts w:cs="Arial"/>
                <w:i/>
                <w:sz w:val="20"/>
                <w:szCs w:val="20"/>
              </w:rPr>
            </w:pPr>
          </w:p>
          <w:p w14:paraId="1F2C265A" w14:textId="16053D43" w:rsidR="00C34B67" w:rsidRPr="008855E9" w:rsidRDefault="00C34B67" w:rsidP="001E2F71">
            <w:pPr>
              <w:pStyle w:val="TableText"/>
              <w:rPr>
                <w:rFonts w:cs="Arial"/>
                <w:sz w:val="20"/>
                <w:szCs w:val="20"/>
              </w:rPr>
            </w:pPr>
            <w:r w:rsidRPr="008855E9">
              <w:rPr>
                <w:rFonts w:cs="Arial"/>
                <w:sz w:val="20"/>
                <w:szCs w:val="20"/>
              </w:rPr>
              <w:t>IUCN Category VI</w:t>
            </w:r>
          </w:p>
        </w:tc>
        <w:tc>
          <w:tcPr>
            <w:tcW w:w="12049" w:type="dxa"/>
            <w:shd w:val="clear" w:color="auto" w:fill="auto"/>
          </w:tcPr>
          <w:p w14:paraId="7BC805A9" w14:textId="6FF8A248" w:rsidR="001E2F71" w:rsidRDefault="00B471C3" w:rsidP="001E2F71">
            <w:pPr>
              <w:pStyle w:val="TableText"/>
              <w:rPr>
                <w:rFonts w:cs="Arial"/>
                <w:sz w:val="20"/>
                <w:szCs w:val="20"/>
              </w:rPr>
            </w:pPr>
            <w:r>
              <w:rPr>
                <w:rFonts w:cs="Arial"/>
                <w:sz w:val="20"/>
                <w:szCs w:val="20"/>
              </w:rPr>
              <w:t xml:space="preserve">This park encompasses </w:t>
            </w:r>
            <w:r w:rsidR="002A5F6D">
              <w:rPr>
                <w:rFonts w:cs="Arial"/>
                <w:sz w:val="20"/>
                <w:szCs w:val="20"/>
              </w:rPr>
              <w:t>the foreshore</w:t>
            </w:r>
            <w:r>
              <w:rPr>
                <w:rFonts w:cs="Arial"/>
                <w:sz w:val="20"/>
                <w:szCs w:val="20"/>
              </w:rPr>
              <w:t xml:space="preserve"> between McLoughlins Beach and Seaspray, </w:t>
            </w:r>
            <w:r w:rsidR="002A5F6D">
              <w:rPr>
                <w:rFonts w:cs="Arial"/>
                <w:sz w:val="20"/>
                <w:szCs w:val="20"/>
              </w:rPr>
              <w:t>including</w:t>
            </w:r>
            <w:r>
              <w:rPr>
                <w:rFonts w:cs="Arial"/>
                <w:sz w:val="20"/>
                <w:szCs w:val="20"/>
              </w:rPr>
              <w:t xml:space="preserve"> a narrow portion of the sea. </w:t>
            </w:r>
          </w:p>
          <w:p w14:paraId="3076A243" w14:textId="1CAAD855" w:rsidR="002A5F6D" w:rsidRDefault="002A5F6D" w:rsidP="001E2F71">
            <w:pPr>
              <w:pStyle w:val="TableText"/>
              <w:rPr>
                <w:rFonts w:cs="Arial"/>
                <w:sz w:val="20"/>
                <w:szCs w:val="20"/>
              </w:rPr>
            </w:pPr>
            <w:r>
              <w:rPr>
                <w:rFonts w:cs="Arial"/>
                <w:sz w:val="20"/>
                <w:szCs w:val="20"/>
              </w:rPr>
              <w:t xml:space="preserve">There is no management plan for this coastal reserve and a paucity of information about the reserve’s values. It was known to be an area of importance for hooded plover nesting, and is popular with recreational fishers (with salmon, flathead, snapper and tailor being the main catch species). </w:t>
            </w:r>
          </w:p>
          <w:p w14:paraId="4026AFAB" w14:textId="272E0D7D" w:rsidR="000C69A6" w:rsidRPr="008855E9" w:rsidRDefault="000C69A6" w:rsidP="001E2F71">
            <w:pPr>
              <w:pStyle w:val="TableText"/>
              <w:rPr>
                <w:rFonts w:cs="Arial"/>
                <w:sz w:val="20"/>
                <w:szCs w:val="20"/>
              </w:rPr>
            </w:pPr>
            <w:r>
              <w:rPr>
                <w:rFonts w:cs="Arial"/>
                <w:sz w:val="20"/>
                <w:szCs w:val="20"/>
              </w:rPr>
              <w:t xml:space="preserve">There is no management plan in place for this reserve. </w:t>
            </w:r>
          </w:p>
          <w:p w14:paraId="438E22B9" w14:textId="77777777" w:rsidR="001E2F71" w:rsidRPr="008855E9" w:rsidRDefault="001E2F71" w:rsidP="00C34B67">
            <w:pPr>
              <w:pStyle w:val="TableText"/>
              <w:rPr>
                <w:rFonts w:cs="Arial"/>
                <w:b/>
                <w:sz w:val="20"/>
                <w:szCs w:val="20"/>
                <w:highlight w:val="lightGray"/>
              </w:rPr>
            </w:pPr>
          </w:p>
          <w:p w14:paraId="3ED6F6A3" w14:textId="77777777" w:rsidR="00C34B67" w:rsidRPr="008855E9" w:rsidRDefault="00C34B67" w:rsidP="00C34B67">
            <w:pPr>
              <w:pStyle w:val="TableText"/>
              <w:rPr>
                <w:rFonts w:cs="Arial"/>
                <w:b/>
                <w:sz w:val="20"/>
                <w:szCs w:val="20"/>
              </w:rPr>
            </w:pPr>
          </w:p>
        </w:tc>
      </w:tr>
      <w:tr w:rsidR="00A815A6" w:rsidRPr="008855E9" w14:paraId="532F59F9" w14:textId="77777777" w:rsidTr="00024545">
        <w:tc>
          <w:tcPr>
            <w:tcW w:w="1701" w:type="dxa"/>
            <w:shd w:val="clear" w:color="auto" w:fill="auto"/>
          </w:tcPr>
          <w:p w14:paraId="14BF794E" w14:textId="77777777" w:rsidR="00A815A6" w:rsidRPr="008855E9" w:rsidRDefault="00A815A6" w:rsidP="00F92BED">
            <w:pPr>
              <w:pStyle w:val="TableText"/>
              <w:rPr>
                <w:rFonts w:cs="Arial"/>
                <w:b/>
                <w:sz w:val="20"/>
                <w:szCs w:val="20"/>
              </w:rPr>
            </w:pPr>
            <w:r w:rsidRPr="008855E9">
              <w:rPr>
                <w:rFonts w:cs="Arial"/>
                <w:b/>
                <w:sz w:val="20"/>
                <w:szCs w:val="20"/>
              </w:rPr>
              <w:t>Gippsland Lakes Coastal Park</w:t>
            </w:r>
          </w:p>
          <w:p w14:paraId="109D56CB" w14:textId="457F2855" w:rsidR="00A815A6" w:rsidRPr="008855E9" w:rsidRDefault="002A5F6D" w:rsidP="005513CC">
            <w:pPr>
              <w:pStyle w:val="TableText"/>
              <w:rPr>
                <w:rFonts w:cs="Arial"/>
                <w:i/>
                <w:sz w:val="20"/>
                <w:szCs w:val="20"/>
              </w:rPr>
            </w:pPr>
            <w:r>
              <w:rPr>
                <w:rFonts w:cs="Arial"/>
                <w:i/>
                <w:sz w:val="20"/>
                <w:szCs w:val="20"/>
              </w:rPr>
              <w:t>1 k</w:t>
            </w:r>
            <w:r w:rsidR="00A815A6" w:rsidRPr="008855E9">
              <w:rPr>
                <w:rFonts w:cs="Arial"/>
                <w:i/>
                <w:sz w:val="20"/>
                <w:szCs w:val="20"/>
              </w:rPr>
              <w:t xml:space="preserve">m </w:t>
            </w:r>
            <w:r w:rsidR="005513CC" w:rsidRPr="008855E9">
              <w:rPr>
                <w:rFonts w:cs="Arial"/>
                <w:i/>
                <w:sz w:val="20"/>
                <w:szCs w:val="20"/>
              </w:rPr>
              <w:t>north</w:t>
            </w:r>
            <w:r w:rsidR="00A815A6" w:rsidRPr="008855E9">
              <w:rPr>
                <w:rFonts w:cs="Arial"/>
                <w:i/>
                <w:sz w:val="20"/>
                <w:szCs w:val="20"/>
              </w:rPr>
              <w:t xml:space="preserve"> of proposed acquisition area</w:t>
            </w:r>
            <w:r w:rsidR="000524EF" w:rsidRPr="008855E9">
              <w:rPr>
                <w:rFonts w:cs="Arial"/>
                <w:i/>
                <w:sz w:val="20"/>
                <w:szCs w:val="20"/>
              </w:rPr>
              <w:t xml:space="preserve"> </w:t>
            </w:r>
          </w:p>
          <w:p w14:paraId="7F1758B9" w14:textId="77777777" w:rsidR="005513CC" w:rsidRPr="008855E9" w:rsidRDefault="005513CC" w:rsidP="005513CC">
            <w:pPr>
              <w:pStyle w:val="TableText"/>
              <w:rPr>
                <w:rFonts w:cs="Arial"/>
                <w:i/>
                <w:sz w:val="20"/>
                <w:szCs w:val="20"/>
              </w:rPr>
            </w:pPr>
          </w:p>
          <w:p w14:paraId="3DB3AD24" w14:textId="77777777" w:rsidR="005513CC" w:rsidRPr="008855E9" w:rsidRDefault="005513CC" w:rsidP="005513CC">
            <w:pPr>
              <w:pStyle w:val="TableText"/>
              <w:rPr>
                <w:rFonts w:cs="Arial"/>
                <w:sz w:val="20"/>
                <w:szCs w:val="20"/>
              </w:rPr>
            </w:pPr>
            <w:r w:rsidRPr="008855E9">
              <w:rPr>
                <w:rFonts w:cs="Arial"/>
                <w:sz w:val="20"/>
                <w:szCs w:val="20"/>
              </w:rPr>
              <w:t>IUCN Category VI</w:t>
            </w:r>
          </w:p>
          <w:p w14:paraId="31060257" w14:textId="77777777" w:rsidR="00C34B67" w:rsidRPr="008855E9" w:rsidRDefault="00C34B67" w:rsidP="005513CC">
            <w:pPr>
              <w:pStyle w:val="TableText"/>
              <w:rPr>
                <w:rFonts w:cs="Arial"/>
                <w:sz w:val="20"/>
                <w:szCs w:val="20"/>
              </w:rPr>
            </w:pPr>
          </w:p>
          <w:p w14:paraId="4E94894A" w14:textId="77777777" w:rsidR="00C34B67" w:rsidRPr="008855E9" w:rsidRDefault="00C34B67" w:rsidP="005513CC">
            <w:pPr>
              <w:pStyle w:val="TableText"/>
              <w:rPr>
                <w:rFonts w:cs="Arial"/>
                <w:sz w:val="20"/>
                <w:szCs w:val="20"/>
              </w:rPr>
            </w:pPr>
            <w:r w:rsidRPr="008855E9">
              <w:rPr>
                <w:rFonts w:cs="Arial"/>
                <w:sz w:val="20"/>
                <w:szCs w:val="20"/>
              </w:rPr>
              <w:t xml:space="preserve">ParksVictoria </w:t>
            </w:r>
            <w:r w:rsidRPr="008855E9">
              <w:rPr>
                <w:rFonts w:cs="Arial"/>
                <w:sz w:val="20"/>
                <w:szCs w:val="20"/>
              </w:rPr>
              <w:lastRenderedPageBreak/>
              <w:t>Management Plan in place (1998)</w:t>
            </w:r>
          </w:p>
        </w:tc>
        <w:tc>
          <w:tcPr>
            <w:tcW w:w="12049" w:type="dxa"/>
            <w:shd w:val="clear" w:color="auto" w:fill="auto"/>
          </w:tcPr>
          <w:p w14:paraId="3363B2E0" w14:textId="77777777" w:rsidR="005513CC" w:rsidRPr="008855E9" w:rsidRDefault="005513CC" w:rsidP="005513CC">
            <w:pPr>
              <w:pStyle w:val="TableText"/>
              <w:rPr>
                <w:rFonts w:cs="Arial"/>
                <w:b/>
                <w:sz w:val="20"/>
                <w:szCs w:val="20"/>
              </w:rPr>
            </w:pPr>
            <w:r w:rsidRPr="008855E9">
              <w:rPr>
                <w:rFonts w:cs="Arial"/>
                <w:b/>
                <w:sz w:val="20"/>
                <w:szCs w:val="20"/>
              </w:rPr>
              <w:lastRenderedPageBreak/>
              <w:t>Location and area</w:t>
            </w:r>
          </w:p>
          <w:p w14:paraId="12D210CC" w14:textId="6FA612E3" w:rsidR="00A815A6" w:rsidRPr="008855E9" w:rsidRDefault="00A815A6" w:rsidP="005513CC">
            <w:pPr>
              <w:pStyle w:val="TableText"/>
              <w:rPr>
                <w:rFonts w:cs="Arial"/>
                <w:sz w:val="20"/>
                <w:szCs w:val="20"/>
              </w:rPr>
            </w:pPr>
            <w:r w:rsidRPr="008855E9">
              <w:rPr>
                <w:rFonts w:cs="Arial"/>
                <w:sz w:val="20"/>
                <w:szCs w:val="20"/>
              </w:rPr>
              <w:t>This park is a narrow coastal reserve</w:t>
            </w:r>
            <w:r w:rsidR="00C863C1" w:rsidRPr="008855E9">
              <w:rPr>
                <w:rFonts w:cs="Arial"/>
                <w:sz w:val="20"/>
                <w:szCs w:val="20"/>
              </w:rPr>
              <w:t>, covering 17,584 ha</w:t>
            </w:r>
            <w:r w:rsidRPr="008855E9">
              <w:rPr>
                <w:rFonts w:cs="Arial"/>
                <w:sz w:val="20"/>
                <w:szCs w:val="20"/>
              </w:rPr>
              <w:t xml:space="preserve"> along </w:t>
            </w:r>
            <w:r w:rsidR="002A5F6D">
              <w:rPr>
                <w:rFonts w:cs="Arial"/>
                <w:sz w:val="20"/>
                <w:szCs w:val="20"/>
              </w:rPr>
              <w:t>the</w:t>
            </w:r>
            <w:r w:rsidRPr="008855E9">
              <w:rPr>
                <w:rFonts w:cs="Arial"/>
                <w:sz w:val="20"/>
                <w:szCs w:val="20"/>
              </w:rPr>
              <w:t xml:space="preserve"> Ninety Mile Beach</w:t>
            </w:r>
            <w:r w:rsidR="002A5F6D">
              <w:rPr>
                <w:rFonts w:cs="Arial"/>
                <w:sz w:val="20"/>
                <w:szCs w:val="20"/>
              </w:rPr>
              <w:t xml:space="preserve"> (including the beach itself, assumed to be to the low water mark)</w:t>
            </w:r>
            <w:r w:rsidR="00C863C1" w:rsidRPr="008855E9">
              <w:rPr>
                <w:rFonts w:cs="Arial"/>
                <w:sz w:val="20"/>
                <w:szCs w:val="20"/>
              </w:rPr>
              <w:t xml:space="preserve"> from</w:t>
            </w:r>
            <w:r w:rsidRPr="008855E9">
              <w:rPr>
                <w:rFonts w:cs="Arial"/>
                <w:sz w:val="20"/>
                <w:szCs w:val="20"/>
              </w:rPr>
              <w:t xml:space="preserve"> Seaspray to Lakes Entrance. </w:t>
            </w:r>
          </w:p>
          <w:p w14:paraId="1FDB1849" w14:textId="77777777" w:rsidR="00A815A6" w:rsidRPr="008855E9" w:rsidRDefault="005513CC" w:rsidP="005513CC">
            <w:pPr>
              <w:pStyle w:val="TableText"/>
              <w:rPr>
                <w:rFonts w:cs="Arial"/>
                <w:b/>
                <w:sz w:val="20"/>
                <w:szCs w:val="20"/>
              </w:rPr>
            </w:pPr>
            <w:r w:rsidRPr="008855E9">
              <w:rPr>
                <w:rFonts w:cs="Arial"/>
                <w:b/>
                <w:sz w:val="20"/>
                <w:szCs w:val="20"/>
              </w:rPr>
              <w:t>Key natural values</w:t>
            </w:r>
          </w:p>
          <w:p w14:paraId="333F6882" w14:textId="77777777" w:rsidR="00C863C1" w:rsidRPr="008855E9" w:rsidRDefault="00C863C1" w:rsidP="00C863C1">
            <w:pPr>
              <w:pStyle w:val="TableText"/>
              <w:spacing w:before="60" w:after="60"/>
              <w:ind w:left="360" w:hanging="327"/>
              <w:rPr>
                <w:rFonts w:cs="Arial"/>
                <w:sz w:val="20"/>
                <w:szCs w:val="20"/>
              </w:rPr>
            </w:pPr>
            <w:r w:rsidRPr="008855E9">
              <w:rPr>
                <w:rFonts w:cs="Arial"/>
                <w:sz w:val="20"/>
                <w:szCs w:val="20"/>
              </w:rPr>
              <w:t>The park’s key natural values are listed as</w:t>
            </w:r>
            <w:r w:rsidR="00815BBE" w:rsidRPr="008855E9">
              <w:rPr>
                <w:rFonts w:cs="Arial"/>
                <w:sz w:val="20"/>
                <w:szCs w:val="20"/>
              </w:rPr>
              <w:t xml:space="preserve"> (use of the term ‘parks’ in this section references the adjacent Lakes National Park):</w:t>
            </w:r>
            <w:r w:rsidRPr="008855E9">
              <w:rPr>
                <w:rFonts w:cs="Arial"/>
                <w:sz w:val="20"/>
                <w:szCs w:val="20"/>
              </w:rPr>
              <w:t xml:space="preserve"> </w:t>
            </w:r>
          </w:p>
          <w:p w14:paraId="229921B7" w14:textId="77777777" w:rsidR="00C863C1" w:rsidRPr="008855E9" w:rsidRDefault="00C863C1" w:rsidP="00567567">
            <w:pPr>
              <w:pStyle w:val="TableText"/>
              <w:numPr>
                <w:ilvl w:val="0"/>
                <w:numId w:val="93"/>
              </w:numPr>
              <w:spacing w:before="60" w:after="60"/>
              <w:rPr>
                <w:rFonts w:cs="Arial"/>
                <w:sz w:val="20"/>
                <w:szCs w:val="20"/>
              </w:rPr>
            </w:pPr>
            <w:r w:rsidRPr="008855E9">
              <w:rPr>
                <w:rFonts w:cs="Arial"/>
                <w:sz w:val="20"/>
                <w:szCs w:val="20"/>
              </w:rPr>
              <w:t>Supports valuable remnants of vegetation communities that have been disturbed throughout much of their range, including Coast Banksia Woodland, Heath Tea-tree Heathland and Hairy Spinifex Grassland.</w:t>
            </w:r>
          </w:p>
          <w:p w14:paraId="67AF1ED4" w14:textId="77777777" w:rsidR="00C863C1" w:rsidRPr="008855E9" w:rsidRDefault="00C863C1" w:rsidP="00567567">
            <w:pPr>
              <w:pStyle w:val="TableText"/>
              <w:numPr>
                <w:ilvl w:val="0"/>
                <w:numId w:val="93"/>
              </w:numPr>
              <w:spacing w:before="60" w:after="60"/>
              <w:rPr>
                <w:rFonts w:cs="Arial"/>
                <w:sz w:val="20"/>
                <w:szCs w:val="20"/>
              </w:rPr>
            </w:pPr>
            <w:r w:rsidRPr="008855E9">
              <w:rPr>
                <w:rFonts w:cs="Arial"/>
                <w:sz w:val="20"/>
                <w:szCs w:val="20"/>
              </w:rPr>
              <w:t>Lake Reeve is of international significance and is a site of special scientific interest. This long, shallow lagoon is fringed by salt marsh with a number of plant species ‘relatively uncommon in Victoria east of Seaspray.’</w:t>
            </w:r>
          </w:p>
          <w:p w14:paraId="443E9171" w14:textId="77777777" w:rsidR="00C863C1" w:rsidRPr="008855E9" w:rsidRDefault="00C863C1" w:rsidP="00567567">
            <w:pPr>
              <w:pStyle w:val="TableText"/>
              <w:numPr>
                <w:ilvl w:val="0"/>
                <w:numId w:val="93"/>
              </w:numPr>
              <w:spacing w:before="60" w:after="60"/>
              <w:rPr>
                <w:rFonts w:cs="Arial"/>
                <w:sz w:val="20"/>
                <w:szCs w:val="20"/>
              </w:rPr>
            </w:pPr>
            <w:r w:rsidRPr="008855E9">
              <w:rPr>
                <w:rFonts w:cs="Arial"/>
                <w:sz w:val="20"/>
                <w:szCs w:val="20"/>
              </w:rPr>
              <w:t>Six significant flora and over 20 significant fauna species have been recorded within the Parks.</w:t>
            </w:r>
          </w:p>
          <w:p w14:paraId="2F5E8181" w14:textId="77777777" w:rsidR="00C863C1" w:rsidRPr="008855E9" w:rsidRDefault="00C863C1" w:rsidP="00567567">
            <w:pPr>
              <w:pStyle w:val="TableText"/>
              <w:numPr>
                <w:ilvl w:val="0"/>
                <w:numId w:val="93"/>
              </w:numPr>
              <w:spacing w:before="60" w:after="60"/>
              <w:rPr>
                <w:rFonts w:cs="Arial"/>
                <w:sz w:val="20"/>
                <w:szCs w:val="20"/>
              </w:rPr>
            </w:pPr>
            <w:r w:rsidRPr="008855E9">
              <w:rPr>
                <w:rFonts w:cs="Arial"/>
                <w:sz w:val="20"/>
                <w:szCs w:val="20"/>
              </w:rPr>
              <w:t xml:space="preserve">Lake Reeve provides important breeding habitat for a number of waterfowl species and is one of Victoria’s five most </w:t>
            </w:r>
            <w:r w:rsidRPr="008855E9">
              <w:rPr>
                <w:rFonts w:cs="Arial"/>
                <w:sz w:val="20"/>
                <w:szCs w:val="20"/>
              </w:rPr>
              <w:lastRenderedPageBreak/>
              <w:t>important areas for waders.</w:t>
            </w:r>
          </w:p>
          <w:p w14:paraId="579B0974" w14:textId="77777777" w:rsidR="00C863C1" w:rsidRPr="008855E9" w:rsidRDefault="00C863C1" w:rsidP="00567567">
            <w:pPr>
              <w:pStyle w:val="TableText"/>
              <w:numPr>
                <w:ilvl w:val="0"/>
                <w:numId w:val="93"/>
              </w:numPr>
              <w:spacing w:before="60" w:after="60"/>
              <w:rPr>
                <w:rFonts w:cs="Arial"/>
                <w:sz w:val="20"/>
                <w:szCs w:val="20"/>
              </w:rPr>
            </w:pPr>
            <w:r w:rsidRPr="008855E9">
              <w:rPr>
                <w:rFonts w:cs="Arial"/>
                <w:sz w:val="20"/>
                <w:szCs w:val="20"/>
              </w:rPr>
              <w:t>The wetlands are important nursery areas for many fish species.</w:t>
            </w:r>
          </w:p>
          <w:p w14:paraId="71C68DF1" w14:textId="77777777" w:rsidR="00C863C1" w:rsidRPr="008855E9" w:rsidRDefault="00C863C1" w:rsidP="00567567">
            <w:pPr>
              <w:pStyle w:val="TableText"/>
              <w:numPr>
                <w:ilvl w:val="0"/>
                <w:numId w:val="93"/>
              </w:numPr>
              <w:spacing w:before="60" w:after="60"/>
              <w:rPr>
                <w:rFonts w:cs="Arial"/>
                <w:sz w:val="20"/>
                <w:szCs w:val="20"/>
              </w:rPr>
            </w:pPr>
            <w:r w:rsidRPr="008855E9">
              <w:rPr>
                <w:rFonts w:cs="Arial"/>
                <w:sz w:val="20"/>
                <w:szCs w:val="20"/>
              </w:rPr>
              <w:t>The Parks contain sites of National, State and regional geological and geomorphological significance mainly associated with the evolution of the barrier system that formed the Gippsland Lakes.</w:t>
            </w:r>
          </w:p>
          <w:p w14:paraId="6940387B" w14:textId="77777777" w:rsidR="00C863C1" w:rsidRPr="008855E9" w:rsidRDefault="00C863C1" w:rsidP="00567567">
            <w:pPr>
              <w:pStyle w:val="TableText"/>
              <w:numPr>
                <w:ilvl w:val="0"/>
                <w:numId w:val="93"/>
              </w:numPr>
              <w:spacing w:before="60" w:after="60"/>
              <w:rPr>
                <w:rFonts w:cs="Arial"/>
                <w:sz w:val="20"/>
                <w:szCs w:val="20"/>
              </w:rPr>
            </w:pPr>
            <w:r w:rsidRPr="008855E9">
              <w:rPr>
                <w:rFonts w:cs="Arial"/>
                <w:sz w:val="20"/>
                <w:szCs w:val="20"/>
              </w:rPr>
              <w:t>The Gippsland Lakes area, which includes the Parks, is recorded as a significant regional landscape by the National Trust of Australia.</w:t>
            </w:r>
          </w:p>
          <w:p w14:paraId="5FC3B01B" w14:textId="77777777" w:rsidR="00A815A6" w:rsidRPr="008855E9" w:rsidRDefault="005513CC" w:rsidP="005513CC">
            <w:pPr>
              <w:pStyle w:val="TableText"/>
              <w:rPr>
                <w:rFonts w:cs="Arial"/>
                <w:b/>
                <w:sz w:val="20"/>
                <w:szCs w:val="20"/>
              </w:rPr>
            </w:pPr>
            <w:r w:rsidRPr="008855E9">
              <w:rPr>
                <w:rFonts w:cs="Arial"/>
                <w:b/>
                <w:sz w:val="20"/>
                <w:szCs w:val="20"/>
              </w:rPr>
              <w:t>Physical attributes</w:t>
            </w:r>
          </w:p>
          <w:p w14:paraId="7147EB73" w14:textId="77777777" w:rsidR="00C863C1" w:rsidRPr="008855E9" w:rsidRDefault="00C863C1" w:rsidP="00C863C1">
            <w:pPr>
              <w:pStyle w:val="TableText"/>
              <w:rPr>
                <w:rFonts w:cs="Arial"/>
                <w:sz w:val="20"/>
                <w:szCs w:val="20"/>
              </w:rPr>
            </w:pPr>
            <w:r w:rsidRPr="008855E9">
              <w:rPr>
                <w:rFonts w:cs="Arial"/>
                <w:sz w:val="20"/>
                <w:szCs w:val="20"/>
              </w:rPr>
              <w:t xml:space="preserve">Gippsland Lakes Coastal Park takes in extensive coastal dune systems, woodlands and heathlands, as well as water bodies such as Lake Reeve and Bunga Arm. These water bodies (listed as Ramsar wetlands, see Section 5.2.4) are protected from ocean processes via the dune barrier system that range in height between 5 and 8 m. </w:t>
            </w:r>
          </w:p>
          <w:p w14:paraId="6F208D57" w14:textId="77777777" w:rsidR="005513CC" w:rsidRPr="008855E9" w:rsidRDefault="005513CC" w:rsidP="005513CC">
            <w:pPr>
              <w:pStyle w:val="TableText"/>
              <w:rPr>
                <w:rFonts w:cs="Arial"/>
                <w:b/>
                <w:sz w:val="20"/>
                <w:szCs w:val="20"/>
              </w:rPr>
            </w:pPr>
            <w:r w:rsidRPr="008855E9">
              <w:rPr>
                <w:rFonts w:cs="Arial"/>
                <w:b/>
                <w:sz w:val="20"/>
                <w:szCs w:val="20"/>
              </w:rPr>
              <w:t>Habitats</w:t>
            </w:r>
          </w:p>
          <w:p w14:paraId="4EDB3878" w14:textId="77777777" w:rsidR="00A815A6" w:rsidRPr="008855E9" w:rsidRDefault="00C863C1" w:rsidP="005513CC">
            <w:pPr>
              <w:pStyle w:val="TableText"/>
              <w:rPr>
                <w:rFonts w:cs="Arial"/>
                <w:sz w:val="20"/>
                <w:szCs w:val="20"/>
              </w:rPr>
            </w:pPr>
            <w:r w:rsidRPr="008855E9">
              <w:rPr>
                <w:rFonts w:cs="Arial"/>
                <w:sz w:val="20"/>
                <w:szCs w:val="20"/>
              </w:rPr>
              <w:t>The c</w:t>
            </w:r>
            <w:r w:rsidR="00A815A6" w:rsidRPr="008855E9">
              <w:rPr>
                <w:rFonts w:cs="Arial"/>
                <w:sz w:val="20"/>
                <w:szCs w:val="20"/>
              </w:rPr>
              <w:t>oastal vegetation strip is identified as containing Littoral Rainforest and Coastal Vine Thickets of Eastern Australia.</w:t>
            </w:r>
          </w:p>
          <w:p w14:paraId="4B1222CB" w14:textId="77777777" w:rsidR="00A815A6" w:rsidRPr="008855E9" w:rsidRDefault="005513CC" w:rsidP="005513CC">
            <w:pPr>
              <w:pStyle w:val="TableText"/>
              <w:rPr>
                <w:rFonts w:cs="Arial"/>
                <w:b/>
                <w:sz w:val="20"/>
                <w:szCs w:val="20"/>
              </w:rPr>
            </w:pPr>
            <w:r w:rsidRPr="008855E9">
              <w:rPr>
                <w:rFonts w:cs="Arial"/>
                <w:b/>
                <w:sz w:val="20"/>
                <w:szCs w:val="20"/>
              </w:rPr>
              <w:t>Shoreline biodiversity</w:t>
            </w:r>
          </w:p>
          <w:p w14:paraId="11CD9F5D" w14:textId="77777777" w:rsidR="00A815A6" w:rsidRPr="008855E9" w:rsidRDefault="00C863C1" w:rsidP="00C863C1">
            <w:pPr>
              <w:pStyle w:val="TableText"/>
              <w:rPr>
                <w:rFonts w:cs="Arial"/>
                <w:sz w:val="20"/>
                <w:szCs w:val="20"/>
              </w:rPr>
            </w:pPr>
            <w:r w:rsidRPr="008855E9">
              <w:rPr>
                <w:rFonts w:cs="Arial"/>
                <w:sz w:val="20"/>
                <w:szCs w:val="20"/>
              </w:rPr>
              <w:t>More than 190 species of</w:t>
            </w:r>
            <w:r w:rsidR="00815BBE" w:rsidRPr="008855E9">
              <w:rPr>
                <w:rFonts w:cs="Arial"/>
                <w:sz w:val="20"/>
                <w:szCs w:val="20"/>
              </w:rPr>
              <w:t xml:space="preserve"> </w:t>
            </w:r>
            <w:r w:rsidRPr="008855E9">
              <w:rPr>
                <w:rFonts w:cs="Arial"/>
                <w:sz w:val="20"/>
                <w:szCs w:val="20"/>
              </w:rPr>
              <w:t>birds have been recorded on Sperm Whale</w:t>
            </w:r>
            <w:r w:rsidR="00815BBE" w:rsidRPr="008855E9">
              <w:rPr>
                <w:rFonts w:cs="Arial"/>
                <w:sz w:val="20"/>
                <w:szCs w:val="20"/>
              </w:rPr>
              <w:t xml:space="preserve"> </w:t>
            </w:r>
            <w:r w:rsidRPr="008855E9">
              <w:rPr>
                <w:rFonts w:cs="Arial"/>
                <w:sz w:val="20"/>
                <w:szCs w:val="20"/>
              </w:rPr>
              <w:t>Head. Although there have been few dedicated</w:t>
            </w:r>
            <w:r w:rsidR="00815BBE" w:rsidRPr="008855E9">
              <w:rPr>
                <w:rFonts w:cs="Arial"/>
                <w:sz w:val="20"/>
                <w:szCs w:val="20"/>
              </w:rPr>
              <w:t xml:space="preserve"> </w:t>
            </w:r>
            <w:r w:rsidRPr="008855E9">
              <w:rPr>
                <w:rFonts w:cs="Arial"/>
                <w:sz w:val="20"/>
                <w:szCs w:val="20"/>
              </w:rPr>
              <w:t>fauna surveys, 26 species of native mammals,</w:t>
            </w:r>
            <w:r w:rsidR="00815BBE" w:rsidRPr="008855E9">
              <w:rPr>
                <w:rFonts w:cs="Arial"/>
                <w:sz w:val="20"/>
                <w:szCs w:val="20"/>
              </w:rPr>
              <w:t xml:space="preserve"> </w:t>
            </w:r>
            <w:r w:rsidRPr="008855E9">
              <w:rPr>
                <w:rFonts w:cs="Arial"/>
                <w:sz w:val="20"/>
                <w:szCs w:val="20"/>
              </w:rPr>
              <w:t>17 of reptiles and 11 of amphibians have been</w:t>
            </w:r>
            <w:r w:rsidR="00815BBE" w:rsidRPr="008855E9">
              <w:rPr>
                <w:rFonts w:cs="Arial"/>
                <w:sz w:val="20"/>
                <w:szCs w:val="20"/>
              </w:rPr>
              <w:t xml:space="preserve"> </w:t>
            </w:r>
            <w:r w:rsidRPr="008855E9">
              <w:rPr>
                <w:rFonts w:cs="Arial"/>
                <w:sz w:val="20"/>
                <w:szCs w:val="20"/>
              </w:rPr>
              <w:t>recorded in the Parks.</w:t>
            </w:r>
            <w:r w:rsidR="00815BBE" w:rsidRPr="008855E9">
              <w:rPr>
                <w:rFonts w:cs="Arial"/>
                <w:sz w:val="20"/>
                <w:szCs w:val="20"/>
              </w:rPr>
              <w:t xml:space="preserve"> </w:t>
            </w:r>
            <w:r w:rsidRPr="008855E9">
              <w:rPr>
                <w:rFonts w:cs="Arial"/>
                <w:sz w:val="20"/>
                <w:szCs w:val="20"/>
              </w:rPr>
              <w:t>Gippsland Lakes</w:t>
            </w:r>
            <w:r w:rsidR="00815BBE" w:rsidRPr="008855E9">
              <w:rPr>
                <w:rFonts w:cs="Arial"/>
                <w:sz w:val="20"/>
                <w:szCs w:val="20"/>
              </w:rPr>
              <w:t xml:space="preserve"> </w:t>
            </w:r>
            <w:r w:rsidRPr="008855E9">
              <w:rPr>
                <w:rFonts w:cs="Arial"/>
                <w:sz w:val="20"/>
                <w:szCs w:val="20"/>
              </w:rPr>
              <w:t>Coastal Park is considered the most important</w:t>
            </w:r>
            <w:r w:rsidR="00815BBE" w:rsidRPr="008855E9">
              <w:rPr>
                <w:rFonts w:cs="Arial"/>
                <w:sz w:val="20"/>
                <w:szCs w:val="20"/>
              </w:rPr>
              <w:t xml:space="preserve"> </w:t>
            </w:r>
            <w:r w:rsidRPr="008855E9">
              <w:rPr>
                <w:rFonts w:cs="Arial"/>
                <w:sz w:val="20"/>
                <w:szCs w:val="20"/>
              </w:rPr>
              <w:t>site in Victoria for the endangered New Holland</w:t>
            </w:r>
            <w:r w:rsidR="00815BBE" w:rsidRPr="008855E9">
              <w:rPr>
                <w:rFonts w:cs="Arial"/>
                <w:sz w:val="20"/>
                <w:szCs w:val="20"/>
              </w:rPr>
              <w:t xml:space="preserve"> m</w:t>
            </w:r>
            <w:r w:rsidRPr="008855E9">
              <w:rPr>
                <w:rFonts w:cs="Arial"/>
                <w:sz w:val="20"/>
                <w:szCs w:val="20"/>
              </w:rPr>
              <w:t>ouse</w:t>
            </w:r>
            <w:r w:rsidR="00815BBE" w:rsidRPr="008855E9">
              <w:rPr>
                <w:rFonts w:cs="Arial"/>
                <w:sz w:val="20"/>
                <w:szCs w:val="20"/>
              </w:rPr>
              <w:t xml:space="preserve"> (</w:t>
            </w:r>
            <w:r w:rsidR="004738B8" w:rsidRPr="008855E9">
              <w:rPr>
                <w:rFonts w:cs="Arial"/>
                <w:i/>
                <w:sz w:val="20"/>
                <w:szCs w:val="20"/>
              </w:rPr>
              <w:t>Pseudomys novaehollandiae</w:t>
            </w:r>
            <w:r w:rsidR="00815BBE" w:rsidRPr="008855E9">
              <w:rPr>
                <w:rFonts w:cs="Arial"/>
                <w:sz w:val="20"/>
                <w:szCs w:val="20"/>
              </w:rPr>
              <w:t>)</w:t>
            </w:r>
            <w:r w:rsidRPr="008855E9">
              <w:rPr>
                <w:rFonts w:cs="Arial"/>
                <w:sz w:val="20"/>
                <w:szCs w:val="20"/>
              </w:rPr>
              <w:t>. As its optimum habitat appears to be</w:t>
            </w:r>
            <w:r w:rsidR="00815BBE" w:rsidRPr="008855E9">
              <w:rPr>
                <w:rFonts w:cs="Arial"/>
                <w:sz w:val="20"/>
                <w:szCs w:val="20"/>
              </w:rPr>
              <w:t xml:space="preserve"> </w:t>
            </w:r>
            <w:r w:rsidRPr="008855E9">
              <w:rPr>
                <w:rFonts w:cs="Arial"/>
                <w:sz w:val="20"/>
                <w:szCs w:val="20"/>
              </w:rPr>
              <w:t>heathy woodland actively regenerating after</w:t>
            </w:r>
            <w:r w:rsidR="00815BBE" w:rsidRPr="008855E9">
              <w:rPr>
                <w:rFonts w:cs="Arial"/>
                <w:sz w:val="20"/>
                <w:szCs w:val="20"/>
              </w:rPr>
              <w:t xml:space="preserve"> </w:t>
            </w:r>
            <w:r w:rsidRPr="008855E9">
              <w:rPr>
                <w:rFonts w:cs="Arial"/>
                <w:sz w:val="20"/>
                <w:szCs w:val="20"/>
              </w:rPr>
              <w:t>burning, careful long-term management using</w:t>
            </w:r>
            <w:r w:rsidR="00815BBE" w:rsidRPr="008855E9">
              <w:rPr>
                <w:rFonts w:cs="Arial"/>
                <w:sz w:val="20"/>
                <w:szCs w:val="20"/>
              </w:rPr>
              <w:t xml:space="preserve"> </w:t>
            </w:r>
            <w:r w:rsidRPr="008855E9">
              <w:rPr>
                <w:rFonts w:cs="Arial"/>
                <w:sz w:val="20"/>
                <w:szCs w:val="20"/>
              </w:rPr>
              <w:t>fire to create a mosaic of different age-classes</w:t>
            </w:r>
            <w:r w:rsidR="00815BBE" w:rsidRPr="008855E9">
              <w:rPr>
                <w:rFonts w:cs="Arial"/>
                <w:sz w:val="20"/>
                <w:szCs w:val="20"/>
              </w:rPr>
              <w:t xml:space="preserve"> </w:t>
            </w:r>
            <w:r w:rsidRPr="008855E9">
              <w:rPr>
                <w:rFonts w:cs="Arial"/>
                <w:sz w:val="20"/>
                <w:szCs w:val="20"/>
              </w:rPr>
              <w:t>of vegetation is an important objective.</w:t>
            </w:r>
          </w:p>
          <w:p w14:paraId="5DC19852" w14:textId="77777777" w:rsidR="00A815A6" w:rsidRDefault="00C863C1" w:rsidP="005513CC">
            <w:pPr>
              <w:pStyle w:val="TableText"/>
              <w:rPr>
                <w:rFonts w:cs="Arial"/>
                <w:sz w:val="20"/>
                <w:szCs w:val="20"/>
              </w:rPr>
            </w:pPr>
            <w:r w:rsidRPr="008855E9">
              <w:rPr>
                <w:rFonts w:cs="Arial"/>
                <w:sz w:val="20"/>
                <w:szCs w:val="20"/>
              </w:rPr>
              <w:t>Lake Reeve attracts the largest concentration of</w:t>
            </w:r>
            <w:r w:rsidR="00815BBE" w:rsidRPr="008855E9">
              <w:rPr>
                <w:rFonts w:cs="Arial"/>
                <w:sz w:val="20"/>
                <w:szCs w:val="20"/>
              </w:rPr>
              <w:t xml:space="preserve"> </w:t>
            </w:r>
            <w:r w:rsidRPr="008855E9">
              <w:rPr>
                <w:rFonts w:cs="Arial"/>
                <w:sz w:val="20"/>
                <w:szCs w:val="20"/>
              </w:rPr>
              <w:t>migratory waders in East Gippsland and is one</w:t>
            </w:r>
            <w:r w:rsidR="00815BBE" w:rsidRPr="008855E9">
              <w:rPr>
                <w:rFonts w:cs="Arial"/>
                <w:sz w:val="20"/>
                <w:szCs w:val="20"/>
              </w:rPr>
              <w:t xml:space="preserve"> </w:t>
            </w:r>
            <w:r w:rsidRPr="008855E9">
              <w:rPr>
                <w:rFonts w:cs="Arial"/>
                <w:sz w:val="20"/>
                <w:szCs w:val="20"/>
              </w:rPr>
              <w:t>of the five most important areas for waders in</w:t>
            </w:r>
            <w:r w:rsidR="00815BBE" w:rsidRPr="008855E9">
              <w:rPr>
                <w:rFonts w:cs="Arial"/>
                <w:sz w:val="20"/>
                <w:szCs w:val="20"/>
              </w:rPr>
              <w:t xml:space="preserve"> </w:t>
            </w:r>
            <w:r w:rsidRPr="008855E9">
              <w:rPr>
                <w:rFonts w:cs="Arial"/>
                <w:sz w:val="20"/>
                <w:szCs w:val="20"/>
              </w:rPr>
              <w:t>Victoria. The</w:t>
            </w:r>
            <w:r w:rsidR="00815BBE" w:rsidRPr="008855E9">
              <w:rPr>
                <w:rFonts w:cs="Arial"/>
                <w:sz w:val="20"/>
                <w:szCs w:val="20"/>
              </w:rPr>
              <w:t xml:space="preserve"> l</w:t>
            </w:r>
            <w:r w:rsidRPr="008855E9">
              <w:rPr>
                <w:rFonts w:cs="Arial"/>
                <w:sz w:val="20"/>
                <w:szCs w:val="20"/>
              </w:rPr>
              <w:t>akes and surrounding wetlands are an</w:t>
            </w:r>
            <w:r w:rsidR="00815BBE" w:rsidRPr="008855E9">
              <w:rPr>
                <w:rFonts w:cs="Arial"/>
                <w:sz w:val="20"/>
                <w:szCs w:val="20"/>
              </w:rPr>
              <w:t xml:space="preserve"> </w:t>
            </w:r>
            <w:r w:rsidRPr="008855E9">
              <w:rPr>
                <w:rFonts w:cs="Arial"/>
                <w:sz w:val="20"/>
                <w:szCs w:val="20"/>
              </w:rPr>
              <w:t>important drought refuge for many species of</w:t>
            </w:r>
            <w:r w:rsidR="00815BBE" w:rsidRPr="008855E9">
              <w:rPr>
                <w:rFonts w:cs="Arial"/>
                <w:sz w:val="20"/>
                <w:szCs w:val="20"/>
              </w:rPr>
              <w:t xml:space="preserve"> </w:t>
            </w:r>
            <w:r w:rsidRPr="008855E9">
              <w:rPr>
                <w:rFonts w:cs="Arial"/>
                <w:sz w:val="20"/>
                <w:szCs w:val="20"/>
              </w:rPr>
              <w:t>waterbirds in south-eastern Australia, and are</w:t>
            </w:r>
            <w:r w:rsidR="00815BBE" w:rsidRPr="008855E9">
              <w:rPr>
                <w:rFonts w:cs="Arial"/>
                <w:sz w:val="20"/>
                <w:szCs w:val="20"/>
              </w:rPr>
              <w:t xml:space="preserve"> </w:t>
            </w:r>
            <w:r w:rsidRPr="008855E9">
              <w:rPr>
                <w:rFonts w:cs="Arial"/>
                <w:sz w:val="20"/>
                <w:szCs w:val="20"/>
              </w:rPr>
              <w:t>of international significance for waterbird</w:t>
            </w:r>
            <w:r w:rsidR="00815BBE" w:rsidRPr="008855E9">
              <w:rPr>
                <w:rFonts w:cs="Arial"/>
                <w:sz w:val="20"/>
                <w:szCs w:val="20"/>
              </w:rPr>
              <w:t xml:space="preserve"> </w:t>
            </w:r>
            <w:r w:rsidRPr="008855E9">
              <w:rPr>
                <w:rFonts w:cs="Arial"/>
                <w:sz w:val="20"/>
                <w:szCs w:val="20"/>
              </w:rPr>
              <w:t>habitat. Both Parks contain important breeding,</w:t>
            </w:r>
            <w:r w:rsidR="00815BBE" w:rsidRPr="008855E9">
              <w:rPr>
                <w:rFonts w:cs="Arial"/>
                <w:sz w:val="20"/>
                <w:szCs w:val="20"/>
              </w:rPr>
              <w:t xml:space="preserve"> </w:t>
            </w:r>
            <w:r w:rsidRPr="008855E9">
              <w:rPr>
                <w:rFonts w:cs="Arial"/>
                <w:sz w:val="20"/>
                <w:szCs w:val="20"/>
              </w:rPr>
              <w:t>feeding and roosting sites for many significant</w:t>
            </w:r>
            <w:r w:rsidR="00815BBE" w:rsidRPr="008855E9">
              <w:rPr>
                <w:rFonts w:cs="Arial"/>
                <w:sz w:val="20"/>
                <w:szCs w:val="20"/>
              </w:rPr>
              <w:t xml:space="preserve"> </w:t>
            </w:r>
            <w:r w:rsidRPr="008855E9">
              <w:rPr>
                <w:rFonts w:cs="Arial"/>
                <w:sz w:val="20"/>
                <w:szCs w:val="20"/>
              </w:rPr>
              <w:t>species</w:t>
            </w:r>
            <w:r w:rsidR="00815BBE" w:rsidRPr="008855E9">
              <w:rPr>
                <w:rFonts w:cs="Arial"/>
                <w:sz w:val="20"/>
                <w:szCs w:val="20"/>
              </w:rPr>
              <w:t xml:space="preserve">, including the hooded plover. </w:t>
            </w:r>
          </w:p>
          <w:p w14:paraId="18676F8E" w14:textId="77777777" w:rsidR="003A23B8" w:rsidRPr="008855E9" w:rsidRDefault="003A23B8" w:rsidP="005513CC">
            <w:pPr>
              <w:pStyle w:val="TableText"/>
              <w:rPr>
                <w:rFonts w:cs="Arial"/>
                <w:sz w:val="20"/>
                <w:szCs w:val="20"/>
              </w:rPr>
            </w:pPr>
          </w:p>
        </w:tc>
      </w:tr>
      <w:tr w:rsidR="00A815A6" w:rsidRPr="008855E9" w14:paraId="461D917A" w14:textId="77777777" w:rsidTr="00024545">
        <w:tc>
          <w:tcPr>
            <w:tcW w:w="1701" w:type="dxa"/>
            <w:shd w:val="clear" w:color="auto" w:fill="auto"/>
          </w:tcPr>
          <w:p w14:paraId="5A9B98EC" w14:textId="77777777" w:rsidR="00A815A6" w:rsidRPr="008855E9" w:rsidRDefault="00A815A6" w:rsidP="00F92BED">
            <w:pPr>
              <w:pStyle w:val="TableText"/>
              <w:rPr>
                <w:rFonts w:cs="Arial"/>
                <w:b/>
                <w:sz w:val="20"/>
                <w:szCs w:val="20"/>
              </w:rPr>
            </w:pPr>
            <w:r w:rsidRPr="008855E9">
              <w:rPr>
                <w:rFonts w:cs="Arial"/>
                <w:b/>
                <w:sz w:val="20"/>
                <w:szCs w:val="20"/>
              </w:rPr>
              <w:lastRenderedPageBreak/>
              <w:t>Lake Tyers</w:t>
            </w:r>
            <w:r w:rsidR="00C34B67" w:rsidRPr="008855E9">
              <w:rPr>
                <w:rFonts w:cs="Arial"/>
                <w:b/>
                <w:sz w:val="20"/>
                <w:szCs w:val="20"/>
              </w:rPr>
              <w:t xml:space="preserve"> State Park</w:t>
            </w:r>
          </w:p>
          <w:p w14:paraId="1E466C0E" w14:textId="77777777" w:rsidR="00A815A6" w:rsidRPr="008855E9" w:rsidRDefault="000524EF" w:rsidP="00F92BED">
            <w:pPr>
              <w:pStyle w:val="TableText"/>
              <w:rPr>
                <w:rFonts w:cs="Arial"/>
                <w:i/>
                <w:sz w:val="20"/>
                <w:szCs w:val="20"/>
              </w:rPr>
            </w:pPr>
            <w:r w:rsidRPr="008855E9">
              <w:rPr>
                <w:rFonts w:cs="Arial"/>
                <w:i/>
                <w:sz w:val="20"/>
                <w:szCs w:val="20"/>
              </w:rPr>
              <w:t>60</w:t>
            </w:r>
            <w:r w:rsidR="00A815A6" w:rsidRPr="008855E9">
              <w:rPr>
                <w:rFonts w:cs="Arial"/>
                <w:i/>
                <w:sz w:val="20"/>
                <w:szCs w:val="20"/>
              </w:rPr>
              <w:t xml:space="preserve"> km </w:t>
            </w:r>
            <w:r w:rsidRPr="008855E9">
              <w:rPr>
                <w:rFonts w:cs="Arial"/>
                <w:i/>
                <w:sz w:val="20"/>
                <w:szCs w:val="20"/>
              </w:rPr>
              <w:t>north</w:t>
            </w:r>
            <w:r w:rsidR="00A815A6" w:rsidRPr="008855E9">
              <w:rPr>
                <w:rFonts w:cs="Arial"/>
                <w:i/>
                <w:sz w:val="20"/>
                <w:szCs w:val="20"/>
              </w:rPr>
              <w:t xml:space="preserve">east </w:t>
            </w:r>
            <w:r w:rsidR="00A815A6" w:rsidRPr="008855E9">
              <w:rPr>
                <w:rFonts w:cs="Arial"/>
                <w:i/>
                <w:sz w:val="20"/>
                <w:szCs w:val="20"/>
              </w:rPr>
              <w:lastRenderedPageBreak/>
              <w:t>of proposed acquisition area</w:t>
            </w:r>
          </w:p>
          <w:p w14:paraId="0EAC1228" w14:textId="77777777" w:rsidR="001E6D09" w:rsidRPr="008855E9" w:rsidRDefault="000B05C2" w:rsidP="00F92BED">
            <w:pPr>
              <w:pStyle w:val="TableText"/>
              <w:rPr>
                <w:rFonts w:cs="Arial"/>
                <w:sz w:val="20"/>
                <w:szCs w:val="20"/>
              </w:rPr>
            </w:pPr>
            <w:r w:rsidRPr="008855E9">
              <w:rPr>
                <w:rFonts w:cs="Arial"/>
                <w:sz w:val="20"/>
                <w:szCs w:val="20"/>
              </w:rPr>
              <w:t>IUCN Category - unknown</w:t>
            </w:r>
          </w:p>
          <w:p w14:paraId="7A413D6D" w14:textId="77777777" w:rsidR="001E6D09" w:rsidRPr="008855E9" w:rsidRDefault="001E6D09" w:rsidP="001E6D09">
            <w:pPr>
              <w:pStyle w:val="TableText"/>
              <w:rPr>
                <w:rFonts w:cs="Arial"/>
                <w:i/>
                <w:sz w:val="20"/>
                <w:szCs w:val="20"/>
              </w:rPr>
            </w:pPr>
            <w:r w:rsidRPr="008855E9">
              <w:rPr>
                <w:rFonts w:cs="Arial"/>
                <w:sz w:val="20"/>
                <w:szCs w:val="20"/>
              </w:rPr>
              <w:t>Beach Foreshore Management Plan in place (</w:t>
            </w:r>
            <w:r w:rsidR="000B05C2" w:rsidRPr="008855E9">
              <w:rPr>
                <w:rFonts w:cs="Arial"/>
                <w:sz w:val="20"/>
                <w:szCs w:val="20"/>
              </w:rPr>
              <w:t xml:space="preserve">East Gippsland Shire Council, </w:t>
            </w:r>
            <w:r w:rsidRPr="008855E9">
              <w:rPr>
                <w:rFonts w:cs="Arial"/>
                <w:sz w:val="20"/>
                <w:szCs w:val="20"/>
              </w:rPr>
              <w:t>2015)</w:t>
            </w:r>
          </w:p>
        </w:tc>
        <w:tc>
          <w:tcPr>
            <w:tcW w:w="12049" w:type="dxa"/>
            <w:shd w:val="clear" w:color="auto" w:fill="auto"/>
          </w:tcPr>
          <w:p w14:paraId="7B120070" w14:textId="77777777" w:rsidR="00A815A6" w:rsidRPr="008855E9" w:rsidRDefault="001E6D09" w:rsidP="00F92BED">
            <w:pPr>
              <w:pStyle w:val="TableText"/>
              <w:rPr>
                <w:rFonts w:cs="Arial"/>
                <w:b/>
                <w:sz w:val="20"/>
                <w:szCs w:val="20"/>
              </w:rPr>
            </w:pPr>
            <w:r w:rsidRPr="008855E9">
              <w:rPr>
                <w:rFonts w:cs="Arial"/>
                <w:b/>
                <w:sz w:val="20"/>
                <w:szCs w:val="20"/>
              </w:rPr>
              <w:lastRenderedPageBreak/>
              <w:t>Location and area</w:t>
            </w:r>
          </w:p>
          <w:p w14:paraId="7CA7CB5C" w14:textId="77777777" w:rsidR="001E6D09" w:rsidRPr="008855E9" w:rsidRDefault="001E6D09" w:rsidP="00F92BED">
            <w:pPr>
              <w:pStyle w:val="TableText"/>
              <w:rPr>
                <w:rFonts w:cs="Arial"/>
                <w:sz w:val="20"/>
                <w:szCs w:val="20"/>
              </w:rPr>
            </w:pPr>
            <w:r w:rsidRPr="008855E9">
              <w:rPr>
                <w:rFonts w:cs="Arial"/>
                <w:sz w:val="20"/>
                <w:szCs w:val="20"/>
              </w:rPr>
              <w:t xml:space="preserve">Lake Tyers State Park extends from Lake Tyers Beach to Mount Nowa Nowa. The beach area </w:t>
            </w:r>
            <w:r w:rsidR="005E31C6" w:rsidRPr="008855E9">
              <w:rPr>
                <w:rFonts w:cs="Arial"/>
                <w:sz w:val="20"/>
                <w:szCs w:val="20"/>
              </w:rPr>
              <w:t xml:space="preserve">and dunes </w:t>
            </w:r>
            <w:r w:rsidRPr="008855E9">
              <w:rPr>
                <w:rFonts w:cs="Arial"/>
                <w:sz w:val="20"/>
                <w:szCs w:val="20"/>
              </w:rPr>
              <w:t xml:space="preserve">runs adjacent to the town of Lake Tyers.  </w:t>
            </w:r>
            <w:r w:rsidR="005E31C6" w:rsidRPr="008855E9">
              <w:rPr>
                <w:rFonts w:cs="Arial"/>
                <w:sz w:val="20"/>
                <w:szCs w:val="20"/>
              </w:rPr>
              <w:t xml:space="preserve">The beach is located at the mouth of the Lake Tyers estuary, and is part of the Gippsland Lakes Ramsar site (see </w:t>
            </w:r>
            <w:r w:rsidR="005E31C6" w:rsidRPr="008855E9">
              <w:rPr>
                <w:rFonts w:cs="Arial"/>
                <w:sz w:val="20"/>
                <w:szCs w:val="20"/>
              </w:rPr>
              <w:lastRenderedPageBreak/>
              <w:t>Section 5.2.4).</w:t>
            </w:r>
          </w:p>
          <w:p w14:paraId="4C31803B" w14:textId="77777777" w:rsidR="005E31C6" w:rsidRPr="008855E9" w:rsidRDefault="005E31C6" w:rsidP="005E31C6">
            <w:pPr>
              <w:pStyle w:val="TableText"/>
              <w:rPr>
                <w:rFonts w:cs="Arial"/>
                <w:b/>
                <w:sz w:val="20"/>
                <w:szCs w:val="20"/>
              </w:rPr>
            </w:pPr>
            <w:r w:rsidRPr="008855E9">
              <w:rPr>
                <w:rFonts w:cs="Arial"/>
                <w:b/>
                <w:sz w:val="20"/>
                <w:szCs w:val="20"/>
              </w:rPr>
              <w:t>Key natural values</w:t>
            </w:r>
          </w:p>
          <w:p w14:paraId="2211425C" w14:textId="77777777" w:rsidR="005E31C6" w:rsidRPr="008855E9" w:rsidRDefault="005E31C6" w:rsidP="00F92BED">
            <w:pPr>
              <w:pStyle w:val="TableText"/>
              <w:rPr>
                <w:rFonts w:cs="Arial"/>
                <w:sz w:val="20"/>
                <w:szCs w:val="20"/>
              </w:rPr>
            </w:pPr>
            <w:r w:rsidRPr="008855E9">
              <w:rPr>
                <w:rFonts w:cs="Arial"/>
                <w:sz w:val="20"/>
                <w:szCs w:val="20"/>
              </w:rPr>
              <w:t>Lake Tyers beach provides important estuarine habitat for a broad range of flora and fauna species</w:t>
            </w:r>
            <w:r w:rsidR="000B05C2" w:rsidRPr="008855E9">
              <w:rPr>
                <w:rFonts w:cs="Arial"/>
                <w:sz w:val="20"/>
                <w:szCs w:val="20"/>
              </w:rPr>
              <w:t xml:space="preserve"> and </w:t>
            </w:r>
            <w:r w:rsidRPr="008855E9">
              <w:rPr>
                <w:rFonts w:cs="Arial"/>
                <w:sz w:val="20"/>
                <w:szCs w:val="20"/>
              </w:rPr>
              <w:t>is listed on the Directory of Important Wetlands in Australia</w:t>
            </w:r>
            <w:r w:rsidR="000B05C2" w:rsidRPr="008855E9">
              <w:rPr>
                <w:rFonts w:cs="Arial"/>
                <w:sz w:val="20"/>
                <w:szCs w:val="20"/>
              </w:rPr>
              <w:t xml:space="preserve"> (see Section 5.2.7). </w:t>
            </w:r>
            <w:r w:rsidRPr="008855E9">
              <w:rPr>
                <w:rFonts w:cs="Arial"/>
                <w:sz w:val="20"/>
                <w:szCs w:val="20"/>
              </w:rPr>
              <w:t>Seagrass beds are important nursery habitat for estuarine fish species. Nationally listed Littoral Rainforest communities, shoreline vegetation, fringing wetlands and the coastal barrier dunes between the estuary and Bass Strait are of particular ecological and geomorphological significance.</w:t>
            </w:r>
          </w:p>
          <w:p w14:paraId="0B2B7E9E" w14:textId="77777777" w:rsidR="001E6D09" w:rsidRPr="008855E9" w:rsidRDefault="001E6D09" w:rsidP="00F92BED">
            <w:pPr>
              <w:pStyle w:val="TableText"/>
              <w:rPr>
                <w:rFonts w:cs="Arial"/>
                <w:b/>
                <w:sz w:val="20"/>
                <w:szCs w:val="20"/>
              </w:rPr>
            </w:pPr>
            <w:r w:rsidRPr="008855E9">
              <w:rPr>
                <w:rFonts w:cs="Arial"/>
                <w:b/>
                <w:sz w:val="20"/>
                <w:szCs w:val="20"/>
              </w:rPr>
              <w:t>Physical attributes</w:t>
            </w:r>
          </w:p>
          <w:p w14:paraId="1EA539E9" w14:textId="77777777" w:rsidR="001E6D09" w:rsidRPr="008855E9" w:rsidRDefault="001E6D09" w:rsidP="00F92BED">
            <w:pPr>
              <w:pStyle w:val="TableText"/>
              <w:rPr>
                <w:rFonts w:cs="Arial"/>
                <w:sz w:val="20"/>
                <w:szCs w:val="20"/>
              </w:rPr>
            </w:pPr>
            <w:r w:rsidRPr="008855E9">
              <w:rPr>
                <w:rFonts w:cs="Arial"/>
                <w:sz w:val="20"/>
                <w:szCs w:val="20"/>
              </w:rPr>
              <w:t>A thin sand spit divides the lake from the ocean, with tall eucalypt forests surround the northern shores of Lake Tyers.</w:t>
            </w:r>
          </w:p>
          <w:p w14:paraId="43AB5033" w14:textId="77777777" w:rsidR="001E6D09" w:rsidRPr="008855E9" w:rsidRDefault="001E6D09" w:rsidP="001E6D09">
            <w:pPr>
              <w:pStyle w:val="TableText"/>
              <w:rPr>
                <w:rFonts w:cs="Arial"/>
                <w:b/>
                <w:sz w:val="20"/>
                <w:szCs w:val="20"/>
              </w:rPr>
            </w:pPr>
            <w:r w:rsidRPr="008855E9">
              <w:rPr>
                <w:rFonts w:cs="Arial"/>
                <w:b/>
                <w:sz w:val="20"/>
                <w:szCs w:val="20"/>
              </w:rPr>
              <w:t>Shoreline biodiversity</w:t>
            </w:r>
          </w:p>
          <w:p w14:paraId="1E3082FB" w14:textId="77777777" w:rsidR="001E6D09" w:rsidRPr="008855E9" w:rsidRDefault="001E6D09" w:rsidP="000B05C2">
            <w:pPr>
              <w:pStyle w:val="TableText"/>
              <w:rPr>
                <w:rFonts w:cs="Arial"/>
                <w:sz w:val="20"/>
                <w:szCs w:val="20"/>
              </w:rPr>
            </w:pPr>
            <w:r w:rsidRPr="008855E9">
              <w:rPr>
                <w:rFonts w:cs="Arial"/>
                <w:sz w:val="20"/>
                <w:szCs w:val="20"/>
              </w:rPr>
              <w:t>Shoreline birds found in the park include the rufous night-heron and the Australasian Bittern.</w:t>
            </w:r>
          </w:p>
        </w:tc>
      </w:tr>
      <w:tr w:rsidR="00C34B67" w:rsidRPr="008855E9" w14:paraId="14890C0C" w14:textId="77777777" w:rsidTr="00024545">
        <w:tc>
          <w:tcPr>
            <w:tcW w:w="1701" w:type="dxa"/>
            <w:shd w:val="clear" w:color="auto" w:fill="auto"/>
          </w:tcPr>
          <w:p w14:paraId="7762DB4B" w14:textId="77777777" w:rsidR="00C34B67" w:rsidRPr="008855E9" w:rsidRDefault="00C34B67" w:rsidP="00F965CD">
            <w:pPr>
              <w:pStyle w:val="TableText"/>
              <w:rPr>
                <w:rFonts w:cs="Arial"/>
                <w:b/>
                <w:sz w:val="20"/>
                <w:szCs w:val="20"/>
              </w:rPr>
            </w:pPr>
            <w:r w:rsidRPr="008855E9">
              <w:rPr>
                <w:rFonts w:cs="Arial"/>
                <w:b/>
                <w:sz w:val="20"/>
                <w:szCs w:val="20"/>
              </w:rPr>
              <w:lastRenderedPageBreak/>
              <w:t>Ewing Morass Wildlife Reserve</w:t>
            </w:r>
          </w:p>
          <w:p w14:paraId="2683D49E" w14:textId="77777777" w:rsidR="00C34B67" w:rsidRPr="008855E9" w:rsidRDefault="000524EF" w:rsidP="00F92BED">
            <w:pPr>
              <w:pStyle w:val="TableText"/>
              <w:rPr>
                <w:rFonts w:cs="Arial"/>
                <w:i/>
                <w:sz w:val="20"/>
                <w:szCs w:val="20"/>
              </w:rPr>
            </w:pPr>
            <w:r w:rsidRPr="008855E9">
              <w:rPr>
                <w:rFonts w:cs="Arial"/>
                <w:i/>
                <w:sz w:val="20"/>
                <w:szCs w:val="20"/>
              </w:rPr>
              <w:t>69</w:t>
            </w:r>
            <w:r w:rsidR="00C34B67" w:rsidRPr="008855E9">
              <w:rPr>
                <w:rFonts w:cs="Arial"/>
                <w:i/>
                <w:sz w:val="20"/>
                <w:szCs w:val="20"/>
              </w:rPr>
              <w:t xml:space="preserve"> km </w:t>
            </w:r>
            <w:r w:rsidRPr="008855E9">
              <w:rPr>
                <w:rFonts w:cs="Arial"/>
                <w:i/>
                <w:sz w:val="20"/>
                <w:szCs w:val="20"/>
              </w:rPr>
              <w:t>north</w:t>
            </w:r>
            <w:r w:rsidR="00C34B67" w:rsidRPr="008855E9">
              <w:rPr>
                <w:rFonts w:cs="Arial"/>
                <w:i/>
                <w:sz w:val="20"/>
                <w:szCs w:val="20"/>
              </w:rPr>
              <w:t>east of proposed acquisition area</w:t>
            </w:r>
          </w:p>
          <w:p w14:paraId="2A807B5B" w14:textId="77777777" w:rsidR="001E2F71" w:rsidRPr="008855E9" w:rsidRDefault="001E2F71" w:rsidP="00F92BED">
            <w:pPr>
              <w:pStyle w:val="TableText"/>
              <w:rPr>
                <w:rFonts w:cs="Arial"/>
                <w:i/>
                <w:sz w:val="20"/>
                <w:szCs w:val="20"/>
              </w:rPr>
            </w:pPr>
          </w:p>
          <w:p w14:paraId="1E091040" w14:textId="77777777" w:rsidR="001E2F71" w:rsidRPr="008855E9" w:rsidRDefault="001E2F71" w:rsidP="00F92BED">
            <w:pPr>
              <w:pStyle w:val="TableText"/>
              <w:rPr>
                <w:rFonts w:cs="Arial"/>
                <w:sz w:val="20"/>
                <w:szCs w:val="20"/>
              </w:rPr>
            </w:pPr>
            <w:r w:rsidRPr="008855E9">
              <w:rPr>
                <w:rFonts w:cs="Arial"/>
                <w:sz w:val="20"/>
                <w:szCs w:val="20"/>
              </w:rPr>
              <w:t>No Management Plan in place</w:t>
            </w:r>
          </w:p>
        </w:tc>
        <w:tc>
          <w:tcPr>
            <w:tcW w:w="12049" w:type="dxa"/>
            <w:shd w:val="clear" w:color="auto" w:fill="auto"/>
          </w:tcPr>
          <w:p w14:paraId="7B8C30CD" w14:textId="77777777" w:rsidR="000B05C2" w:rsidRPr="008855E9" w:rsidRDefault="000B05C2" w:rsidP="000B05C2">
            <w:pPr>
              <w:pStyle w:val="TableText"/>
              <w:rPr>
                <w:rFonts w:cs="Arial"/>
                <w:b/>
                <w:sz w:val="20"/>
                <w:szCs w:val="20"/>
              </w:rPr>
            </w:pPr>
            <w:r w:rsidRPr="008855E9">
              <w:rPr>
                <w:rFonts w:cs="Arial"/>
                <w:b/>
                <w:sz w:val="20"/>
                <w:szCs w:val="20"/>
              </w:rPr>
              <w:t>Location and area</w:t>
            </w:r>
          </w:p>
          <w:p w14:paraId="4C392C45" w14:textId="77777777" w:rsidR="000B05C2" w:rsidRPr="008855E9" w:rsidRDefault="000B05C2" w:rsidP="000B05C2">
            <w:pPr>
              <w:pStyle w:val="TableText"/>
              <w:rPr>
                <w:rFonts w:cs="Arial"/>
                <w:sz w:val="20"/>
                <w:szCs w:val="20"/>
              </w:rPr>
            </w:pPr>
            <w:r w:rsidRPr="008855E9">
              <w:rPr>
                <w:rFonts w:cs="Arial"/>
                <w:sz w:val="20"/>
                <w:szCs w:val="20"/>
              </w:rPr>
              <w:t xml:space="preserve">The Ewing Morass Wildlife Reserve adjoins the Lake Tyers State Park and extends from Pettman Road to Corringle Creek, extending from the high water mark north into heavily forested hinterland, half way between the coastline and the Princes Highway. </w:t>
            </w:r>
          </w:p>
          <w:p w14:paraId="48644063" w14:textId="77777777" w:rsidR="000B05C2" w:rsidRPr="008855E9" w:rsidRDefault="000B05C2" w:rsidP="000B05C2">
            <w:pPr>
              <w:pStyle w:val="TableText"/>
              <w:rPr>
                <w:rFonts w:cs="Arial"/>
                <w:b/>
                <w:sz w:val="20"/>
                <w:szCs w:val="20"/>
              </w:rPr>
            </w:pPr>
            <w:r w:rsidRPr="008855E9">
              <w:rPr>
                <w:rFonts w:cs="Arial"/>
                <w:b/>
                <w:sz w:val="20"/>
                <w:szCs w:val="20"/>
              </w:rPr>
              <w:t>Key natural values</w:t>
            </w:r>
          </w:p>
          <w:p w14:paraId="4906F054" w14:textId="522B0062" w:rsidR="000B05C2" w:rsidRPr="008855E9" w:rsidRDefault="00E32DF7" w:rsidP="000B05C2">
            <w:pPr>
              <w:pStyle w:val="TableText"/>
              <w:rPr>
                <w:rFonts w:cs="Arial"/>
                <w:sz w:val="20"/>
                <w:szCs w:val="20"/>
              </w:rPr>
            </w:pPr>
            <w:r>
              <w:rPr>
                <w:rFonts w:cs="Arial"/>
                <w:sz w:val="20"/>
                <w:szCs w:val="20"/>
              </w:rPr>
              <w:t xml:space="preserve">This reserve is primarily reserved for the purposes of duck hunting, with the species normally present including the Pacific black duck, grey teal, mountain duck and chestnut teal. </w:t>
            </w:r>
          </w:p>
          <w:p w14:paraId="2A3EA29B" w14:textId="77777777" w:rsidR="000B05C2" w:rsidRPr="008855E9" w:rsidRDefault="000B05C2" w:rsidP="000B05C2">
            <w:pPr>
              <w:pStyle w:val="TableText"/>
              <w:rPr>
                <w:rFonts w:cs="Arial"/>
                <w:b/>
                <w:sz w:val="20"/>
                <w:szCs w:val="20"/>
              </w:rPr>
            </w:pPr>
            <w:r w:rsidRPr="008855E9">
              <w:rPr>
                <w:rFonts w:cs="Arial"/>
                <w:b/>
                <w:sz w:val="20"/>
                <w:szCs w:val="20"/>
              </w:rPr>
              <w:t>Physical attributes</w:t>
            </w:r>
          </w:p>
          <w:p w14:paraId="3FF0D0DA" w14:textId="77777777" w:rsidR="000B05C2" w:rsidRPr="008855E9" w:rsidRDefault="005C3F9C" w:rsidP="005C3F9C">
            <w:pPr>
              <w:pStyle w:val="TableText"/>
              <w:rPr>
                <w:rFonts w:cs="Arial"/>
                <w:sz w:val="20"/>
                <w:szCs w:val="20"/>
              </w:rPr>
            </w:pPr>
            <w:r w:rsidRPr="008855E9">
              <w:rPr>
                <w:rFonts w:cs="Arial"/>
                <w:sz w:val="20"/>
                <w:szCs w:val="20"/>
              </w:rPr>
              <w:t>The shoreline of this park consists of wide sandy beaches, part of the Ninety Mile Beach.</w:t>
            </w:r>
          </w:p>
        </w:tc>
      </w:tr>
      <w:tr w:rsidR="00C34B67" w:rsidRPr="008855E9" w14:paraId="0044792C" w14:textId="77777777" w:rsidTr="00024545">
        <w:tc>
          <w:tcPr>
            <w:tcW w:w="1701" w:type="dxa"/>
            <w:shd w:val="clear" w:color="auto" w:fill="auto"/>
          </w:tcPr>
          <w:p w14:paraId="689FDB75" w14:textId="77777777" w:rsidR="00C34B67" w:rsidRPr="008855E9" w:rsidRDefault="00C34B67" w:rsidP="00F92BED">
            <w:pPr>
              <w:pStyle w:val="TableText"/>
              <w:rPr>
                <w:rFonts w:cs="Arial"/>
                <w:sz w:val="20"/>
                <w:szCs w:val="20"/>
                <w:highlight w:val="lightGray"/>
              </w:rPr>
            </w:pPr>
            <w:r w:rsidRPr="008855E9">
              <w:rPr>
                <w:rFonts w:cs="Arial"/>
                <w:b/>
                <w:sz w:val="20"/>
                <w:szCs w:val="20"/>
              </w:rPr>
              <w:t>Marlo Coastal Reserve</w:t>
            </w:r>
          </w:p>
          <w:p w14:paraId="57B3130F" w14:textId="77777777" w:rsidR="004738B8" w:rsidRPr="008855E9" w:rsidRDefault="00F54679" w:rsidP="004738B8">
            <w:pPr>
              <w:pStyle w:val="TableText"/>
              <w:rPr>
                <w:rFonts w:cs="Arial"/>
                <w:i/>
                <w:sz w:val="20"/>
                <w:szCs w:val="20"/>
              </w:rPr>
            </w:pPr>
            <w:r w:rsidRPr="008855E9">
              <w:rPr>
                <w:rFonts w:cs="Arial"/>
                <w:i/>
                <w:sz w:val="20"/>
                <w:szCs w:val="20"/>
              </w:rPr>
              <w:t>89</w:t>
            </w:r>
            <w:r w:rsidR="004738B8" w:rsidRPr="008855E9">
              <w:rPr>
                <w:rFonts w:cs="Arial"/>
                <w:i/>
                <w:sz w:val="20"/>
                <w:szCs w:val="20"/>
              </w:rPr>
              <w:t xml:space="preserve"> km east</w:t>
            </w:r>
            <w:r w:rsidRPr="008855E9">
              <w:rPr>
                <w:rFonts w:cs="Arial"/>
                <w:i/>
                <w:sz w:val="20"/>
                <w:szCs w:val="20"/>
              </w:rPr>
              <w:t>-northeast</w:t>
            </w:r>
            <w:r w:rsidR="004738B8" w:rsidRPr="008855E9">
              <w:rPr>
                <w:rFonts w:cs="Arial"/>
                <w:i/>
                <w:sz w:val="20"/>
                <w:szCs w:val="20"/>
              </w:rPr>
              <w:t xml:space="preserve"> of proposed acquisition area</w:t>
            </w:r>
          </w:p>
          <w:p w14:paraId="0BEF1473" w14:textId="77777777" w:rsidR="004738B8" w:rsidRPr="008855E9" w:rsidRDefault="004738B8" w:rsidP="004738B8">
            <w:pPr>
              <w:pStyle w:val="TableText"/>
              <w:rPr>
                <w:rFonts w:cs="Arial"/>
                <w:i/>
                <w:sz w:val="20"/>
                <w:szCs w:val="20"/>
              </w:rPr>
            </w:pPr>
          </w:p>
          <w:p w14:paraId="764053BD" w14:textId="34827118" w:rsidR="004738B8" w:rsidRPr="008855E9" w:rsidRDefault="004738B8" w:rsidP="001E2F71">
            <w:pPr>
              <w:pStyle w:val="TableText"/>
              <w:rPr>
                <w:rFonts w:cs="Arial"/>
                <w:sz w:val="20"/>
                <w:szCs w:val="20"/>
              </w:rPr>
            </w:pPr>
            <w:r w:rsidRPr="008855E9">
              <w:rPr>
                <w:rFonts w:cs="Arial"/>
                <w:sz w:val="20"/>
                <w:szCs w:val="20"/>
              </w:rPr>
              <w:lastRenderedPageBreak/>
              <w:t xml:space="preserve">IUCN Category </w:t>
            </w:r>
            <w:r w:rsidR="00AB42B0">
              <w:rPr>
                <w:rFonts w:cs="Arial"/>
                <w:sz w:val="20"/>
                <w:szCs w:val="20"/>
              </w:rPr>
              <w:t>–</w:t>
            </w:r>
            <w:r w:rsidRPr="008855E9">
              <w:rPr>
                <w:rFonts w:cs="Arial"/>
                <w:sz w:val="20"/>
                <w:szCs w:val="20"/>
              </w:rPr>
              <w:t xml:space="preserve"> </w:t>
            </w:r>
            <w:r w:rsidR="00AB42B0">
              <w:rPr>
                <w:rFonts w:cs="Arial"/>
                <w:sz w:val="20"/>
                <w:szCs w:val="20"/>
              </w:rPr>
              <w:t>unlikely to be classified.</w:t>
            </w:r>
          </w:p>
        </w:tc>
        <w:tc>
          <w:tcPr>
            <w:tcW w:w="12049" w:type="dxa"/>
            <w:shd w:val="clear" w:color="auto" w:fill="auto"/>
          </w:tcPr>
          <w:p w14:paraId="650FBDFB" w14:textId="77777777" w:rsidR="00AB42B0" w:rsidRDefault="00E32DF7" w:rsidP="005C3F9C">
            <w:pPr>
              <w:pStyle w:val="TableText"/>
              <w:rPr>
                <w:rFonts w:cs="Arial"/>
                <w:sz w:val="20"/>
                <w:szCs w:val="20"/>
              </w:rPr>
            </w:pPr>
            <w:r>
              <w:rPr>
                <w:rFonts w:cs="Arial"/>
                <w:sz w:val="20"/>
                <w:szCs w:val="20"/>
              </w:rPr>
              <w:lastRenderedPageBreak/>
              <w:t xml:space="preserve">There is no publicly available formal written information regarding the Marlo Coastal Reserve. </w:t>
            </w:r>
          </w:p>
          <w:p w14:paraId="1CD95F1E" w14:textId="27F828B7" w:rsidR="005C3F9C" w:rsidRPr="008855E9" w:rsidRDefault="00E32DF7" w:rsidP="005C3F9C">
            <w:pPr>
              <w:pStyle w:val="TableText"/>
              <w:rPr>
                <w:rFonts w:cs="Arial"/>
                <w:sz w:val="20"/>
                <w:szCs w:val="20"/>
              </w:rPr>
            </w:pPr>
            <w:r>
              <w:rPr>
                <w:rFonts w:cs="Arial"/>
                <w:sz w:val="20"/>
                <w:szCs w:val="20"/>
              </w:rPr>
              <w:t xml:space="preserve">Information from the Draft Marlo Foreshore Management Plan </w:t>
            </w:r>
            <w:r w:rsidR="00AB42B0">
              <w:rPr>
                <w:rFonts w:cs="Arial"/>
                <w:sz w:val="20"/>
                <w:szCs w:val="20"/>
              </w:rPr>
              <w:t xml:space="preserve">(DSE, 2013) indicates that the reserve covers the Marlo River and adjacent banks, extending seawards only so far as the sand dunes. </w:t>
            </w:r>
          </w:p>
          <w:p w14:paraId="5A22B346" w14:textId="620BDDD3" w:rsidR="00C34B67" w:rsidRPr="008855E9" w:rsidRDefault="000C69A6" w:rsidP="004738B8">
            <w:pPr>
              <w:autoSpaceDE w:val="0"/>
              <w:autoSpaceDN w:val="0"/>
              <w:adjustRightInd w:val="0"/>
              <w:spacing w:line="240" w:lineRule="auto"/>
              <w:ind w:left="0"/>
              <w:rPr>
                <w:rFonts w:cs="Arial"/>
                <w:sz w:val="20"/>
                <w:szCs w:val="20"/>
              </w:rPr>
            </w:pPr>
            <w:r>
              <w:rPr>
                <w:rFonts w:cs="Arial"/>
                <w:sz w:val="20"/>
                <w:szCs w:val="20"/>
              </w:rPr>
              <w:t xml:space="preserve">There is no management plan in place for this reserve. </w:t>
            </w:r>
          </w:p>
        </w:tc>
      </w:tr>
      <w:tr w:rsidR="00C34B67" w:rsidRPr="008855E9" w14:paraId="13CE60BE" w14:textId="77777777" w:rsidTr="00024545">
        <w:tc>
          <w:tcPr>
            <w:tcW w:w="1701" w:type="dxa"/>
            <w:shd w:val="clear" w:color="auto" w:fill="auto"/>
          </w:tcPr>
          <w:p w14:paraId="5DE9404F" w14:textId="77777777" w:rsidR="00C34B67" w:rsidRPr="008855E9" w:rsidRDefault="00C34B67" w:rsidP="00F92BED">
            <w:pPr>
              <w:pStyle w:val="TableText"/>
              <w:rPr>
                <w:rFonts w:cs="Arial"/>
                <w:b/>
                <w:sz w:val="20"/>
                <w:szCs w:val="20"/>
              </w:rPr>
            </w:pPr>
            <w:r w:rsidRPr="008855E9">
              <w:rPr>
                <w:rFonts w:cs="Arial"/>
                <w:b/>
                <w:sz w:val="20"/>
                <w:szCs w:val="20"/>
              </w:rPr>
              <w:t>Cape Conran Coastal Park</w:t>
            </w:r>
          </w:p>
          <w:p w14:paraId="585500CC" w14:textId="77777777" w:rsidR="00C34B67" w:rsidRPr="008855E9" w:rsidRDefault="00F54679" w:rsidP="00F92BED">
            <w:pPr>
              <w:pStyle w:val="TableText"/>
              <w:rPr>
                <w:rFonts w:cs="Arial"/>
                <w:i/>
                <w:sz w:val="20"/>
                <w:szCs w:val="20"/>
              </w:rPr>
            </w:pPr>
            <w:r w:rsidRPr="008855E9">
              <w:rPr>
                <w:rFonts w:cs="Arial"/>
                <w:i/>
                <w:sz w:val="20"/>
                <w:szCs w:val="20"/>
              </w:rPr>
              <w:t>89</w:t>
            </w:r>
            <w:r w:rsidR="00C34B67" w:rsidRPr="008855E9">
              <w:rPr>
                <w:rFonts w:cs="Arial"/>
                <w:i/>
                <w:sz w:val="20"/>
                <w:szCs w:val="20"/>
              </w:rPr>
              <w:t xml:space="preserve"> km east</w:t>
            </w:r>
            <w:r w:rsidRPr="008855E9">
              <w:rPr>
                <w:rFonts w:cs="Arial"/>
                <w:i/>
                <w:sz w:val="20"/>
                <w:szCs w:val="20"/>
              </w:rPr>
              <w:t>-northeast</w:t>
            </w:r>
            <w:r w:rsidR="00C34B67" w:rsidRPr="008855E9">
              <w:rPr>
                <w:rFonts w:cs="Arial"/>
                <w:i/>
                <w:sz w:val="20"/>
                <w:szCs w:val="20"/>
              </w:rPr>
              <w:t xml:space="preserve"> of proposed acquisition area</w:t>
            </w:r>
          </w:p>
          <w:p w14:paraId="500C8220" w14:textId="77777777" w:rsidR="004B4476" w:rsidRPr="008855E9" w:rsidRDefault="004B4476" w:rsidP="001E2F71">
            <w:pPr>
              <w:pStyle w:val="TableText"/>
              <w:rPr>
                <w:rFonts w:cs="Arial"/>
                <w:sz w:val="20"/>
                <w:szCs w:val="20"/>
              </w:rPr>
            </w:pPr>
          </w:p>
          <w:p w14:paraId="0AE8F4AC" w14:textId="77777777" w:rsidR="001E2F71" w:rsidRPr="008855E9" w:rsidRDefault="001E2F71" w:rsidP="001E2F71">
            <w:pPr>
              <w:pStyle w:val="TableText"/>
              <w:rPr>
                <w:rFonts w:cs="Arial"/>
                <w:sz w:val="20"/>
                <w:szCs w:val="20"/>
              </w:rPr>
            </w:pPr>
            <w:r w:rsidRPr="008855E9">
              <w:rPr>
                <w:rFonts w:cs="Arial"/>
                <w:sz w:val="20"/>
                <w:szCs w:val="20"/>
              </w:rPr>
              <w:t xml:space="preserve">IUCN Category </w:t>
            </w:r>
            <w:r w:rsidR="0008399F" w:rsidRPr="008855E9">
              <w:rPr>
                <w:rFonts w:cs="Arial"/>
                <w:sz w:val="20"/>
                <w:szCs w:val="20"/>
              </w:rPr>
              <w:t>II</w:t>
            </w:r>
          </w:p>
          <w:p w14:paraId="25FF254E" w14:textId="77777777" w:rsidR="001E2F71" w:rsidRPr="008855E9" w:rsidRDefault="001E2F71" w:rsidP="00F92BED">
            <w:pPr>
              <w:pStyle w:val="TableText"/>
              <w:rPr>
                <w:rFonts w:cs="Arial"/>
                <w:i/>
                <w:sz w:val="20"/>
                <w:szCs w:val="20"/>
              </w:rPr>
            </w:pPr>
          </w:p>
          <w:p w14:paraId="4846EB5D" w14:textId="77777777" w:rsidR="001E2F71" w:rsidRPr="008855E9" w:rsidRDefault="001E2F71" w:rsidP="00F92BED">
            <w:pPr>
              <w:pStyle w:val="TableText"/>
              <w:rPr>
                <w:rFonts w:cs="Arial"/>
                <w:i/>
                <w:sz w:val="20"/>
                <w:szCs w:val="20"/>
              </w:rPr>
            </w:pPr>
            <w:r w:rsidRPr="008855E9">
              <w:rPr>
                <w:rFonts w:cs="Arial"/>
                <w:sz w:val="20"/>
                <w:szCs w:val="20"/>
              </w:rPr>
              <w:t>ParksVic Management Plan in place (2005)</w:t>
            </w:r>
          </w:p>
        </w:tc>
        <w:tc>
          <w:tcPr>
            <w:tcW w:w="12049" w:type="dxa"/>
            <w:shd w:val="clear" w:color="auto" w:fill="auto"/>
          </w:tcPr>
          <w:p w14:paraId="63C03A4E" w14:textId="77777777" w:rsidR="005D6A1E" w:rsidRPr="008855E9" w:rsidRDefault="005D6A1E" w:rsidP="005D6A1E">
            <w:pPr>
              <w:pStyle w:val="TableText"/>
              <w:rPr>
                <w:rFonts w:cs="Arial"/>
                <w:b/>
                <w:sz w:val="20"/>
                <w:szCs w:val="20"/>
              </w:rPr>
            </w:pPr>
            <w:r w:rsidRPr="008855E9">
              <w:rPr>
                <w:rFonts w:cs="Arial"/>
                <w:b/>
                <w:sz w:val="20"/>
                <w:szCs w:val="20"/>
              </w:rPr>
              <w:t>Location and area</w:t>
            </w:r>
          </w:p>
          <w:p w14:paraId="6089B546" w14:textId="77777777" w:rsidR="005D6A1E" w:rsidRPr="008855E9" w:rsidRDefault="005D6A1E" w:rsidP="005D6A1E">
            <w:pPr>
              <w:pStyle w:val="TableText"/>
              <w:rPr>
                <w:rFonts w:cs="Arial"/>
                <w:sz w:val="20"/>
                <w:szCs w:val="20"/>
              </w:rPr>
            </w:pPr>
            <w:r w:rsidRPr="008855E9">
              <w:rPr>
                <w:rFonts w:cs="Arial"/>
                <w:sz w:val="20"/>
                <w:szCs w:val="20"/>
              </w:rPr>
              <w:t>Cape Conran Coastal Park covers an area of 11,700 ha</w:t>
            </w:r>
            <w:r w:rsidR="00F965CD" w:rsidRPr="008855E9">
              <w:rPr>
                <w:rFonts w:cs="Arial"/>
                <w:sz w:val="20"/>
                <w:szCs w:val="20"/>
              </w:rPr>
              <w:t xml:space="preserve"> and is bounded by Marlo Coastal Reserve to the west, Croajingolong National Park to the east (eastern shore of Sydenham Inlet), State forest and private property to the north, and the Tasman Sea, at low water mark, to the south. It includes Sydenham Inlet but excludes the foreshore reserve. The park forms </w:t>
            </w:r>
            <w:r w:rsidRPr="008855E9">
              <w:rPr>
                <w:rFonts w:cs="Arial"/>
                <w:sz w:val="20"/>
                <w:szCs w:val="20"/>
              </w:rPr>
              <w:t>part of the Gippsland Lakes Ramsar site (see Section 5.2.4).</w:t>
            </w:r>
          </w:p>
          <w:p w14:paraId="1DFC30B3" w14:textId="77777777" w:rsidR="005D6A1E" w:rsidRPr="008855E9" w:rsidRDefault="005D6A1E" w:rsidP="005D6A1E">
            <w:pPr>
              <w:pStyle w:val="TableText"/>
              <w:rPr>
                <w:rFonts w:cs="Arial"/>
                <w:b/>
                <w:sz w:val="20"/>
                <w:szCs w:val="20"/>
              </w:rPr>
            </w:pPr>
            <w:r w:rsidRPr="008855E9">
              <w:rPr>
                <w:rFonts w:cs="Arial"/>
                <w:b/>
                <w:sz w:val="20"/>
                <w:szCs w:val="20"/>
              </w:rPr>
              <w:t>Key natural values</w:t>
            </w:r>
          </w:p>
          <w:p w14:paraId="6EE4F693" w14:textId="77777777" w:rsidR="005D6A1E" w:rsidRPr="008855E9" w:rsidRDefault="00F965CD" w:rsidP="005D6A1E">
            <w:pPr>
              <w:pStyle w:val="TableText"/>
              <w:rPr>
                <w:rFonts w:cs="Arial"/>
                <w:sz w:val="20"/>
                <w:szCs w:val="20"/>
              </w:rPr>
            </w:pPr>
            <w:r w:rsidRPr="008855E9">
              <w:rPr>
                <w:rFonts w:cs="Arial"/>
                <w:sz w:val="20"/>
                <w:szCs w:val="20"/>
              </w:rPr>
              <w:t>The park’s key natural values are listed as:</w:t>
            </w:r>
          </w:p>
          <w:p w14:paraId="60D46467" w14:textId="77777777" w:rsidR="00F965CD" w:rsidRPr="008855E9" w:rsidRDefault="00F965CD" w:rsidP="00567567">
            <w:pPr>
              <w:pStyle w:val="TableText"/>
              <w:numPr>
                <w:ilvl w:val="0"/>
                <w:numId w:val="93"/>
              </w:numPr>
              <w:spacing w:before="60" w:after="60"/>
              <w:rPr>
                <w:rFonts w:cs="Arial"/>
                <w:sz w:val="20"/>
                <w:szCs w:val="20"/>
              </w:rPr>
            </w:pPr>
            <w:r w:rsidRPr="008855E9">
              <w:rPr>
                <w:rFonts w:cs="Arial"/>
                <w:sz w:val="20"/>
                <w:szCs w:val="20"/>
              </w:rPr>
              <w:t>Rich and diverse vegetation, including damp and lowland forest, woodlands, various types of heathland, swamp, coastal and riparian communities.</w:t>
            </w:r>
          </w:p>
          <w:p w14:paraId="4F1CBF20" w14:textId="77777777" w:rsidR="00F965CD" w:rsidRPr="008855E9" w:rsidRDefault="00F965CD" w:rsidP="00567567">
            <w:pPr>
              <w:pStyle w:val="TableText"/>
              <w:numPr>
                <w:ilvl w:val="0"/>
                <w:numId w:val="93"/>
              </w:numPr>
              <w:spacing w:before="60" w:after="60"/>
              <w:rPr>
                <w:rFonts w:cs="Arial"/>
                <w:sz w:val="20"/>
                <w:szCs w:val="20"/>
              </w:rPr>
            </w:pPr>
            <w:r w:rsidRPr="008855E9">
              <w:rPr>
                <w:rFonts w:cs="Arial"/>
                <w:sz w:val="20"/>
                <w:szCs w:val="20"/>
              </w:rPr>
              <w:t>The Dock Inlet catchment, a pristine example of a coastal stream system with Cape Conran Coastal Park and associated wetlands terminating in a freshwater coastal lagoon.</w:t>
            </w:r>
          </w:p>
          <w:p w14:paraId="1CDD0432" w14:textId="77777777" w:rsidR="00F965CD" w:rsidRPr="008855E9" w:rsidRDefault="00F965CD" w:rsidP="00567567">
            <w:pPr>
              <w:pStyle w:val="TableText"/>
              <w:numPr>
                <w:ilvl w:val="0"/>
                <w:numId w:val="93"/>
              </w:numPr>
              <w:spacing w:before="60" w:after="60"/>
              <w:rPr>
                <w:rFonts w:cs="Arial"/>
                <w:sz w:val="20"/>
                <w:szCs w:val="20"/>
              </w:rPr>
            </w:pPr>
            <w:r w:rsidRPr="008855E9">
              <w:rPr>
                <w:rFonts w:cs="Arial"/>
                <w:sz w:val="20"/>
                <w:szCs w:val="20"/>
              </w:rPr>
              <w:t>The undisturbed Yeerung River supporting predominantly native fish is one of only two entirely lowland rivers in the region draining directly to the sea.</w:t>
            </w:r>
          </w:p>
          <w:p w14:paraId="65F6B646" w14:textId="77777777" w:rsidR="00F965CD" w:rsidRPr="008855E9" w:rsidRDefault="00F965CD" w:rsidP="00567567">
            <w:pPr>
              <w:pStyle w:val="TableText"/>
              <w:numPr>
                <w:ilvl w:val="0"/>
                <w:numId w:val="93"/>
              </w:numPr>
              <w:spacing w:before="60" w:after="60"/>
              <w:rPr>
                <w:rFonts w:cs="Arial"/>
                <w:sz w:val="20"/>
                <w:szCs w:val="20"/>
              </w:rPr>
            </w:pPr>
            <w:r w:rsidRPr="008855E9">
              <w:rPr>
                <w:rFonts w:cs="Arial"/>
                <w:sz w:val="20"/>
                <w:szCs w:val="20"/>
              </w:rPr>
              <w:t>Almost 50 species of threatened fauna including six endangered nationally, and 14 bird species listed under international migratory bird agreements.</w:t>
            </w:r>
          </w:p>
          <w:p w14:paraId="44BB798A" w14:textId="77777777" w:rsidR="00F965CD" w:rsidRPr="008855E9" w:rsidRDefault="00F965CD" w:rsidP="00567567">
            <w:pPr>
              <w:pStyle w:val="TableText"/>
              <w:numPr>
                <w:ilvl w:val="0"/>
                <w:numId w:val="93"/>
              </w:numPr>
              <w:spacing w:before="60" w:after="60"/>
              <w:rPr>
                <w:rFonts w:cs="Arial"/>
                <w:sz w:val="20"/>
                <w:szCs w:val="20"/>
              </w:rPr>
            </w:pPr>
            <w:r w:rsidRPr="008855E9">
              <w:rPr>
                <w:rFonts w:cs="Arial"/>
                <w:sz w:val="20"/>
                <w:szCs w:val="20"/>
              </w:rPr>
              <w:t>At least 40 species of threatened flora, including the Bonnet Orchid and Leafless Tongue-orchid which are both vulnerable nationally.</w:t>
            </w:r>
          </w:p>
          <w:p w14:paraId="6732825D" w14:textId="77777777" w:rsidR="00F965CD" w:rsidRDefault="00F965CD" w:rsidP="00567567">
            <w:pPr>
              <w:pStyle w:val="TableText"/>
              <w:numPr>
                <w:ilvl w:val="0"/>
                <w:numId w:val="93"/>
              </w:numPr>
              <w:spacing w:before="60" w:after="60"/>
              <w:rPr>
                <w:rFonts w:cs="Arial"/>
                <w:sz w:val="20"/>
                <w:szCs w:val="20"/>
              </w:rPr>
            </w:pPr>
            <w:r w:rsidRPr="008855E9">
              <w:rPr>
                <w:rFonts w:cs="Arial"/>
                <w:sz w:val="20"/>
                <w:szCs w:val="20"/>
              </w:rPr>
              <w:t>Extensive heathland areas in excellent condition harbouring populations of threatened fauna, including the Ground Parrot and Smoky Mouse.</w:t>
            </w:r>
          </w:p>
          <w:p w14:paraId="17C024D2" w14:textId="77777777" w:rsidR="00F965CD" w:rsidRPr="008855E9" w:rsidRDefault="00F965CD" w:rsidP="00567567">
            <w:pPr>
              <w:pStyle w:val="TableText"/>
              <w:numPr>
                <w:ilvl w:val="0"/>
                <w:numId w:val="93"/>
              </w:numPr>
              <w:spacing w:before="60" w:after="60"/>
              <w:rPr>
                <w:rFonts w:cs="Arial"/>
                <w:sz w:val="20"/>
                <w:szCs w:val="20"/>
              </w:rPr>
            </w:pPr>
            <w:r w:rsidRPr="008855E9">
              <w:rPr>
                <w:rFonts w:cs="Arial"/>
                <w:sz w:val="20"/>
                <w:szCs w:val="20"/>
              </w:rPr>
              <w:t>Sydenham Inlet, part of the Bemm Heritage River corridor, supporting expansive seagrass meadows that provide important habitat for fish and waterbirds.</w:t>
            </w:r>
          </w:p>
          <w:p w14:paraId="41514981" w14:textId="77777777" w:rsidR="00F965CD" w:rsidRPr="008855E9" w:rsidRDefault="00F965CD" w:rsidP="00567567">
            <w:pPr>
              <w:pStyle w:val="TableText"/>
              <w:numPr>
                <w:ilvl w:val="0"/>
                <w:numId w:val="93"/>
              </w:numPr>
              <w:spacing w:before="60" w:after="60"/>
              <w:rPr>
                <w:rFonts w:cs="Arial"/>
                <w:sz w:val="20"/>
                <w:szCs w:val="20"/>
              </w:rPr>
            </w:pPr>
            <w:r w:rsidRPr="008855E9">
              <w:rPr>
                <w:rFonts w:cs="Arial"/>
                <w:sz w:val="20"/>
                <w:szCs w:val="20"/>
              </w:rPr>
              <w:t>High scenic values associated with the diverse geological formations of the park’s headlands, its coastal estuaries and heathy plains.</w:t>
            </w:r>
          </w:p>
          <w:p w14:paraId="667DC310" w14:textId="77777777" w:rsidR="00F965CD" w:rsidRPr="008855E9" w:rsidRDefault="00F965CD" w:rsidP="00567567">
            <w:pPr>
              <w:pStyle w:val="TableText"/>
              <w:numPr>
                <w:ilvl w:val="0"/>
                <w:numId w:val="93"/>
              </w:numPr>
              <w:spacing w:before="60" w:after="60"/>
              <w:rPr>
                <w:rFonts w:cs="Arial"/>
                <w:sz w:val="20"/>
                <w:szCs w:val="20"/>
              </w:rPr>
            </w:pPr>
            <w:r w:rsidRPr="008855E9">
              <w:rPr>
                <w:rFonts w:cs="Arial"/>
                <w:sz w:val="20"/>
                <w:szCs w:val="20"/>
              </w:rPr>
              <w:lastRenderedPageBreak/>
              <w:t>Excellent examples of coastal dynamics such as sand movement, wave action and river outflows.</w:t>
            </w:r>
          </w:p>
          <w:p w14:paraId="01B1178E" w14:textId="77777777" w:rsidR="005D6A1E" w:rsidRPr="008855E9" w:rsidRDefault="005D6A1E" w:rsidP="005D6A1E">
            <w:pPr>
              <w:pStyle w:val="TableText"/>
              <w:rPr>
                <w:rFonts w:cs="Arial"/>
                <w:b/>
                <w:sz w:val="20"/>
                <w:szCs w:val="20"/>
              </w:rPr>
            </w:pPr>
            <w:r w:rsidRPr="008855E9">
              <w:rPr>
                <w:rFonts w:cs="Arial"/>
                <w:b/>
                <w:sz w:val="20"/>
                <w:szCs w:val="20"/>
              </w:rPr>
              <w:t>Physical attributes</w:t>
            </w:r>
          </w:p>
          <w:p w14:paraId="01E154CB" w14:textId="77777777" w:rsidR="0008399F" w:rsidRPr="008855E9" w:rsidRDefault="00BF6806" w:rsidP="0008399F">
            <w:pPr>
              <w:pStyle w:val="TableText"/>
              <w:rPr>
                <w:rFonts w:cs="Arial"/>
                <w:sz w:val="20"/>
                <w:szCs w:val="20"/>
              </w:rPr>
            </w:pPr>
            <w:r w:rsidRPr="008855E9">
              <w:rPr>
                <w:rFonts w:cs="Arial"/>
                <w:sz w:val="20"/>
                <w:szCs w:val="20"/>
              </w:rPr>
              <w:t>The coastal environs of the park are typified by dunes, lagoons and swamps, with some sections of rocky shorelines at Cape Conran and Pearl Point. There are a number of landforms of geomorphological significance, including the Dock Inlet catchment, a pristine coastal stream system terminating in a freshwater coastal lagoon.</w:t>
            </w:r>
            <w:r w:rsidR="0008399F" w:rsidRPr="008855E9">
              <w:rPr>
                <w:rFonts w:cs="Arial"/>
                <w:sz w:val="20"/>
                <w:szCs w:val="20"/>
              </w:rPr>
              <w:t xml:space="preserve"> The rocky headland protrusions of Cape Conran, Point Ricardo and Pearl Point break the continuity of a long expanse of vegetated dune-backed sandy coastline. </w:t>
            </w:r>
          </w:p>
          <w:p w14:paraId="3C7E97B0" w14:textId="77777777" w:rsidR="00BF6806" w:rsidRPr="008855E9" w:rsidRDefault="00BF6806" w:rsidP="00BF6806">
            <w:pPr>
              <w:pStyle w:val="TableText"/>
              <w:rPr>
                <w:rFonts w:cs="Arial"/>
                <w:b/>
                <w:sz w:val="20"/>
                <w:szCs w:val="20"/>
              </w:rPr>
            </w:pPr>
            <w:r w:rsidRPr="008855E9">
              <w:rPr>
                <w:rFonts w:cs="Arial"/>
                <w:b/>
                <w:sz w:val="20"/>
                <w:szCs w:val="20"/>
              </w:rPr>
              <w:t>Habitats</w:t>
            </w:r>
          </w:p>
          <w:p w14:paraId="5F8DFE4B" w14:textId="77777777" w:rsidR="00BF6806" w:rsidRPr="008855E9" w:rsidRDefault="008464D5" w:rsidP="008464D5">
            <w:pPr>
              <w:autoSpaceDE w:val="0"/>
              <w:autoSpaceDN w:val="0"/>
              <w:adjustRightInd w:val="0"/>
              <w:spacing w:line="240" w:lineRule="auto"/>
              <w:ind w:left="0"/>
              <w:rPr>
                <w:rFonts w:cs="Arial"/>
                <w:sz w:val="20"/>
                <w:szCs w:val="20"/>
              </w:rPr>
            </w:pPr>
            <w:r w:rsidRPr="008855E9">
              <w:rPr>
                <w:rFonts w:cs="Arial"/>
                <w:sz w:val="20"/>
                <w:szCs w:val="20"/>
              </w:rPr>
              <w:t>The coastal shoreline of the park comprises wide sandy beaches, with dense</w:t>
            </w:r>
            <w:r w:rsidR="00BF6806" w:rsidRPr="008855E9">
              <w:rPr>
                <w:rFonts w:cs="Arial"/>
                <w:sz w:val="20"/>
                <w:szCs w:val="20"/>
              </w:rPr>
              <w:t xml:space="preserve"> forest vegetation</w:t>
            </w:r>
            <w:r w:rsidRPr="008855E9">
              <w:rPr>
                <w:rFonts w:cs="Arial"/>
                <w:sz w:val="20"/>
                <w:szCs w:val="20"/>
              </w:rPr>
              <w:t xml:space="preserve"> in the foredunes, with the small area of Cape Conran comprising steep rocky cliff face.</w:t>
            </w:r>
          </w:p>
          <w:p w14:paraId="656160C1" w14:textId="77777777" w:rsidR="00BF6806" w:rsidRPr="008855E9" w:rsidRDefault="00BF6806" w:rsidP="00BF6806">
            <w:pPr>
              <w:pStyle w:val="TableText"/>
              <w:rPr>
                <w:rFonts w:cs="Arial"/>
                <w:b/>
                <w:sz w:val="20"/>
                <w:szCs w:val="20"/>
              </w:rPr>
            </w:pPr>
            <w:r w:rsidRPr="008855E9">
              <w:rPr>
                <w:rFonts w:cs="Arial"/>
                <w:b/>
                <w:sz w:val="20"/>
                <w:szCs w:val="20"/>
              </w:rPr>
              <w:t>Marine biodiversity</w:t>
            </w:r>
          </w:p>
          <w:p w14:paraId="63C9C053" w14:textId="77777777" w:rsidR="00BF6806" w:rsidRPr="008855E9" w:rsidRDefault="00BF6806" w:rsidP="00BF6806">
            <w:pPr>
              <w:pStyle w:val="TableText"/>
              <w:rPr>
                <w:rFonts w:cs="Arial"/>
                <w:sz w:val="20"/>
                <w:szCs w:val="20"/>
              </w:rPr>
            </w:pPr>
            <w:r w:rsidRPr="008855E9">
              <w:rPr>
                <w:rFonts w:cs="Arial"/>
                <w:sz w:val="20"/>
                <w:szCs w:val="20"/>
              </w:rPr>
              <w:t>The seagrass beds within Sydenham Inlet sustain a diverse range of native fish, and are critical to the maintenance of regional fish populations. The decline of seagrass beds elsewhere due to factors including sedimentation and boating activity indicates the importance of monitoring the Sydenham Inlet seagrass as a basis for long-term protection of these values.</w:t>
            </w:r>
          </w:p>
          <w:p w14:paraId="4DE425CA" w14:textId="77777777" w:rsidR="005D6A1E" w:rsidRPr="008855E9" w:rsidRDefault="005D6A1E" w:rsidP="005D6A1E">
            <w:pPr>
              <w:pStyle w:val="TableText"/>
              <w:rPr>
                <w:rFonts w:cs="Arial"/>
                <w:b/>
                <w:sz w:val="20"/>
                <w:szCs w:val="20"/>
              </w:rPr>
            </w:pPr>
            <w:r w:rsidRPr="008855E9">
              <w:rPr>
                <w:rFonts w:cs="Arial"/>
                <w:b/>
                <w:sz w:val="20"/>
                <w:szCs w:val="20"/>
              </w:rPr>
              <w:t>Shoreline biodiversity</w:t>
            </w:r>
          </w:p>
          <w:p w14:paraId="448A96F7" w14:textId="77777777" w:rsidR="00C34B67" w:rsidRPr="008855E9" w:rsidRDefault="0008399F" w:rsidP="0008399F">
            <w:pPr>
              <w:pStyle w:val="TableText"/>
              <w:rPr>
                <w:rFonts w:cs="Arial"/>
                <w:sz w:val="20"/>
                <w:szCs w:val="20"/>
              </w:rPr>
            </w:pPr>
            <w:r w:rsidRPr="008855E9">
              <w:rPr>
                <w:rFonts w:cs="Arial"/>
                <w:sz w:val="20"/>
                <w:szCs w:val="20"/>
              </w:rPr>
              <w:t xml:space="preserve">A total of 170 species of birds, including 33 threatened species, have been recorded within the park (mostly forest species). Fourteen species of migratory birds, recorded in the park, are listed under international migratory bird agreements. The white-bellied sea-eagle frequents the coast and estuaries, and hooded plovers and little terns nest on the ocean beaches. </w:t>
            </w:r>
          </w:p>
        </w:tc>
      </w:tr>
      <w:tr w:rsidR="00000377" w:rsidRPr="008855E9" w14:paraId="1003AD2E" w14:textId="77777777" w:rsidTr="00024545">
        <w:tc>
          <w:tcPr>
            <w:tcW w:w="1701" w:type="dxa"/>
            <w:shd w:val="clear" w:color="auto" w:fill="auto"/>
          </w:tcPr>
          <w:p w14:paraId="6F6218C9" w14:textId="77777777" w:rsidR="00000377" w:rsidRPr="008855E9" w:rsidRDefault="00000377" w:rsidP="00F965CD">
            <w:pPr>
              <w:pStyle w:val="TableText"/>
              <w:rPr>
                <w:rFonts w:cs="Arial"/>
                <w:b/>
                <w:sz w:val="20"/>
                <w:szCs w:val="20"/>
              </w:rPr>
            </w:pPr>
            <w:r w:rsidRPr="008855E9">
              <w:rPr>
                <w:rFonts w:cs="Arial"/>
                <w:b/>
                <w:sz w:val="20"/>
                <w:szCs w:val="20"/>
              </w:rPr>
              <w:lastRenderedPageBreak/>
              <w:t>Croajingolong National Park</w:t>
            </w:r>
          </w:p>
          <w:p w14:paraId="215DC6F7" w14:textId="77777777" w:rsidR="004B4476" w:rsidRPr="008855E9" w:rsidRDefault="004B4476" w:rsidP="00F965CD">
            <w:pPr>
              <w:pStyle w:val="TableText"/>
              <w:rPr>
                <w:rFonts w:cs="Arial"/>
                <w:sz w:val="20"/>
                <w:szCs w:val="20"/>
              </w:rPr>
            </w:pPr>
          </w:p>
          <w:p w14:paraId="25A6B398" w14:textId="77777777" w:rsidR="00000377" w:rsidRPr="008855E9" w:rsidRDefault="00F54679" w:rsidP="00F92BED">
            <w:pPr>
              <w:pStyle w:val="TableText"/>
              <w:rPr>
                <w:rFonts w:cs="Arial"/>
                <w:i/>
                <w:sz w:val="20"/>
                <w:szCs w:val="20"/>
              </w:rPr>
            </w:pPr>
            <w:r w:rsidRPr="008855E9">
              <w:rPr>
                <w:rFonts w:cs="Arial"/>
                <w:i/>
                <w:sz w:val="20"/>
                <w:szCs w:val="20"/>
              </w:rPr>
              <w:t>137</w:t>
            </w:r>
            <w:r w:rsidR="00000377" w:rsidRPr="008855E9">
              <w:rPr>
                <w:rFonts w:cs="Arial"/>
                <w:i/>
                <w:sz w:val="20"/>
                <w:szCs w:val="20"/>
              </w:rPr>
              <w:t xml:space="preserve"> km east</w:t>
            </w:r>
            <w:r w:rsidRPr="008855E9">
              <w:rPr>
                <w:rFonts w:cs="Arial"/>
                <w:i/>
                <w:sz w:val="20"/>
                <w:szCs w:val="20"/>
              </w:rPr>
              <w:t>-northeast</w:t>
            </w:r>
            <w:r w:rsidR="00000377" w:rsidRPr="008855E9">
              <w:rPr>
                <w:rFonts w:cs="Arial"/>
                <w:i/>
                <w:sz w:val="20"/>
                <w:szCs w:val="20"/>
              </w:rPr>
              <w:t xml:space="preserve"> of proposed acquisition area</w:t>
            </w:r>
          </w:p>
          <w:p w14:paraId="07449B19" w14:textId="77777777" w:rsidR="004B4476" w:rsidRPr="008855E9" w:rsidRDefault="004B4476" w:rsidP="00F92BED">
            <w:pPr>
              <w:pStyle w:val="TableText"/>
              <w:rPr>
                <w:rFonts w:cs="Arial"/>
                <w:sz w:val="20"/>
                <w:szCs w:val="20"/>
              </w:rPr>
            </w:pPr>
          </w:p>
          <w:p w14:paraId="6DFECF7E" w14:textId="77777777" w:rsidR="004B4476" w:rsidRPr="008855E9" w:rsidRDefault="004B4476" w:rsidP="004B4476">
            <w:pPr>
              <w:pStyle w:val="TableText"/>
              <w:rPr>
                <w:rFonts w:cs="Arial"/>
                <w:sz w:val="20"/>
                <w:szCs w:val="20"/>
              </w:rPr>
            </w:pPr>
            <w:r w:rsidRPr="008855E9">
              <w:rPr>
                <w:rFonts w:cs="Arial"/>
                <w:sz w:val="20"/>
                <w:szCs w:val="20"/>
              </w:rPr>
              <w:t xml:space="preserve">IUCN Category </w:t>
            </w:r>
            <w:r w:rsidRPr="008855E9">
              <w:rPr>
                <w:rFonts w:cs="Arial"/>
                <w:sz w:val="20"/>
                <w:szCs w:val="20"/>
              </w:rPr>
              <w:lastRenderedPageBreak/>
              <w:t>II</w:t>
            </w:r>
          </w:p>
          <w:p w14:paraId="636B0491" w14:textId="77777777" w:rsidR="004B4476" w:rsidRPr="008855E9" w:rsidRDefault="004B4476" w:rsidP="00F92BED">
            <w:pPr>
              <w:pStyle w:val="TableText"/>
              <w:rPr>
                <w:rFonts w:cs="Arial"/>
                <w:sz w:val="20"/>
                <w:szCs w:val="20"/>
              </w:rPr>
            </w:pPr>
          </w:p>
          <w:p w14:paraId="1B9B08D1" w14:textId="77777777" w:rsidR="004B4476" w:rsidRPr="008855E9" w:rsidRDefault="004B4476" w:rsidP="00F92BED">
            <w:pPr>
              <w:pStyle w:val="TableText"/>
              <w:rPr>
                <w:rFonts w:cs="Arial"/>
                <w:i/>
                <w:sz w:val="20"/>
                <w:szCs w:val="20"/>
              </w:rPr>
            </w:pPr>
            <w:r w:rsidRPr="008855E9">
              <w:rPr>
                <w:rFonts w:cs="Arial"/>
                <w:sz w:val="20"/>
                <w:szCs w:val="20"/>
              </w:rPr>
              <w:t>ParksVictoria Management Plan in place (1996)</w:t>
            </w:r>
          </w:p>
        </w:tc>
        <w:tc>
          <w:tcPr>
            <w:tcW w:w="12049" w:type="dxa"/>
            <w:shd w:val="clear" w:color="auto" w:fill="auto"/>
          </w:tcPr>
          <w:p w14:paraId="25AE011C" w14:textId="77777777" w:rsidR="00000377" w:rsidRPr="008855E9" w:rsidRDefault="00000377" w:rsidP="00AF1C70">
            <w:pPr>
              <w:pStyle w:val="TableText"/>
              <w:rPr>
                <w:rFonts w:cs="Arial"/>
                <w:b/>
                <w:sz w:val="20"/>
                <w:szCs w:val="20"/>
              </w:rPr>
            </w:pPr>
            <w:r w:rsidRPr="008855E9">
              <w:rPr>
                <w:rFonts w:cs="Arial"/>
                <w:b/>
                <w:sz w:val="20"/>
                <w:szCs w:val="20"/>
              </w:rPr>
              <w:lastRenderedPageBreak/>
              <w:t>Location and area</w:t>
            </w:r>
          </w:p>
          <w:p w14:paraId="1F6D5814" w14:textId="77777777" w:rsidR="00000377" w:rsidRPr="008855E9" w:rsidRDefault="00000377" w:rsidP="00AF1C70">
            <w:pPr>
              <w:pStyle w:val="TableText"/>
              <w:rPr>
                <w:rFonts w:cs="Arial"/>
                <w:sz w:val="20"/>
                <w:szCs w:val="20"/>
                <w:highlight w:val="lightGray"/>
              </w:rPr>
            </w:pPr>
            <w:r w:rsidRPr="008855E9">
              <w:rPr>
                <w:rFonts w:cs="Arial"/>
                <w:sz w:val="20"/>
                <w:szCs w:val="20"/>
              </w:rPr>
              <w:t xml:space="preserve">Croajingolong National Park covers an area of 88,355 ha and </w:t>
            </w:r>
            <w:r w:rsidR="004A434D" w:rsidRPr="008855E9">
              <w:rPr>
                <w:rFonts w:cs="Arial"/>
                <w:sz w:val="20"/>
                <w:szCs w:val="20"/>
              </w:rPr>
              <w:t>extends along 100 km of the coast, from Sydenham Inlet in the west to the NSW border in the east</w:t>
            </w:r>
            <w:r w:rsidR="005A7480" w:rsidRPr="008855E9">
              <w:rPr>
                <w:rFonts w:cs="Arial"/>
                <w:sz w:val="20"/>
                <w:szCs w:val="20"/>
              </w:rPr>
              <w:t>, with the mean low water mark of the coast forming the park’s southern boundary</w:t>
            </w:r>
            <w:r w:rsidR="004A434D" w:rsidRPr="008855E9">
              <w:rPr>
                <w:rFonts w:cs="Arial"/>
                <w:sz w:val="20"/>
                <w:szCs w:val="20"/>
              </w:rPr>
              <w:t>.</w:t>
            </w:r>
          </w:p>
          <w:p w14:paraId="40D8C6FD" w14:textId="77777777" w:rsidR="00000377" w:rsidRPr="008855E9" w:rsidRDefault="00000377" w:rsidP="00AF1C70">
            <w:pPr>
              <w:pStyle w:val="TableText"/>
              <w:rPr>
                <w:rFonts w:cs="Arial"/>
                <w:b/>
                <w:sz w:val="20"/>
                <w:szCs w:val="20"/>
              </w:rPr>
            </w:pPr>
            <w:r w:rsidRPr="008855E9">
              <w:rPr>
                <w:rFonts w:cs="Arial"/>
                <w:b/>
                <w:sz w:val="20"/>
                <w:szCs w:val="20"/>
              </w:rPr>
              <w:t>Key natural values</w:t>
            </w:r>
          </w:p>
          <w:p w14:paraId="5756BBF0" w14:textId="77777777" w:rsidR="00000377" w:rsidRPr="008855E9" w:rsidRDefault="00000377" w:rsidP="00AF1C70">
            <w:pPr>
              <w:pStyle w:val="TableText"/>
              <w:rPr>
                <w:rFonts w:cs="Arial"/>
                <w:sz w:val="20"/>
                <w:szCs w:val="20"/>
              </w:rPr>
            </w:pPr>
            <w:r w:rsidRPr="008855E9">
              <w:rPr>
                <w:rFonts w:cs="Arial"/>
                <w:sz w:val="20"/>
                <w:szCs w:val="20"/>
              </w:rPr>
              <w:t>The park’s key natural values are listed as:</w:t>
            </w:r>
          </w:p>
          <w:p w14:paraId="3574D2D6" w14:textId="77777777" w:rsidR="005A7480" w:rsidRPr="008855E9" w:rsidRDefault="005A7480" w:rsidP="00567567">
            <w:pPr>
              <w:pStyle w:val="TableText"/>
              <w:numPr>
                <w:ilvl w:val="0"/>
                <w:numId w:val="93"/>
              </w:numPr>
              <w:spacing w:before="60" w:after="60"/>
              <w:rPr>
                <w:rFonts w:cs="Arial"/>
                <w:sz w:val="20"/>
                <w:szCs w:val="20"/>
              </w:rPr>
            </w:pPr>
            <w:r w:rsidRPr="008855E9">
              <w:rPr>
                <w:rFonts w:cs="Arial"/>
                <w:sz w:val="20"/>
                <w:szCs w:val="20"/>
              </w:rPr>
              <w:t>A wide variety of highly significant coastal landforms including tidal inlets, estuaries and lagoons, dune-blocked lake and swamp systems, freshwater interdune lakes, extensive sand dunes and sand sheets, and prominent rocky cliffs.</w:t>
            </w:r>
          </w:p>
          <w:p w14:paraId="5DC91DC1" w14:textId="77777777" w:rsidR="005A7480" w:rsidRPr="008855E9" w:rsidRDefault="005A7480" w:rsidP="00567567">
            <w:pPr>
              <w:pStyle w:val="TableText"/>
              <w:numPr>
                <w:ilvl w:val="0"/>
                <w:numId w:val="93"/>
              </w:numPr>
              <w:spacing w:before="60" w:after="60"/>
              <w:rPr>
                <w:rFonts w:cs="Arial"/>
                <w:sz w:val="20"/>
                <w:szCs w:val="20"/>
              </w:rPr>
            </w:pPr>
            <w:r w:rsidRPr="008855E9">
              <w:rPr>
                <w:rFonts w:cs="Arial"/>
                <w:sz w:val="20"/>
                <w:szCs w:val="20"/>
              </w:rPr>
              <w:t>Many sites recognised for their geological and geomorphological significance.</w:t>
            </w:r>
          </w:p>
          <w:p w14:paraId="07874FEE" w14:textId="77777777" w:rsidR="005A7480" w:rsidRPr="008855E9" w:rsidRDefault="005A7480" w:rsidP="00567567">
            <w:pPr>
              <w:pStyle w:val="TableText"/>
              <w:numPr>
                <w:ilvl w:val="0"/>
                <w:numId w:val="93"/>
              </w:numPr>
              <w:spacing w:before="60" w:after="60"/>
              <w:rPr>
                <w:rFonts w:cs="Arial"/>
                <w:sz w:val="20"/>
                <w:szCs w:val="20"/>
              </w:rPr>
            </w:pPr>
            <w:r w:rsidRPr="008855E9">
              <w:rPr>
                <w:rFonts w:cs="Arial"/>
                <w:sz w:val="20"/>
                <w:szCs w:val="20"/>
              </w:rPr>
              <w:t xml:space="preserve">Habitats supporting over 1,000 recorded native plant species, 87 of which are listed as threatened in Victoria and have their </w:t>
            </w:r>
            <w:r w:rsidRPr="008855E9">
              <w:rPr>
                <w:rFonts w:cs="Arial"/>
                <w:sz w:val="20"/>
                <w:szCs w:val="20"/>
              </w:rPr>
              <w:lastRenderedPageBreak/>
              <w:t>primary stronghold in the Park.</w:t>
            </w:r>
          </w:p>
          <w:p w14:paraId="6D1216A1" w14:textId="77777777" w:rsidR="005A7480" w:rsidRPr="008855E9" w:rsidRDefault="005A7480" w:rsidP="00567567">
            <w:pPr>
              <w:pStyle w:val="TableText"/>
              <w:numPr>
                <w:ilvl w:val="0"/>
                <w:numId w:val="93"/>
              </w:numPr>
              <w:spacing w:before="60" w:after="60"/>
              <w:rPr>
                <w:rFonts w:cs="Arial"/>
                <w:sz w:val="20"/>
                <w:szCs w:val="20"/>
              </w:rPr>
            </w:pPr>
            <w:r w:rsidRPr="008855E9">
              <w:rPr>
                <w:rFonts w:cs="Arial"/>
                <w:sz w:val="20"/>
                <w:szCs w:val="20"/>
              </w:rPr>
              <w:t>Ninety species of orchids, including all five of Australia’s lithophytic and epiphytic orchids.</w:t>
            </w:r>
          </w:p>
          <w:p w14:paraId="69FB0F07" w14:textId="77777777" w:rsidR="005A7480" w:rsidRPr="008855E9" w:rsidRDefault="005A7480" w:rsidP="00567567">
            <w:pPr>
              <w:pStyle w:val="TableText"/>
              <w:numPr>
                <w:ilvl w:val="0"/>
                <w:numId w:val="93"/>
              </w:numPr>
              <w:spacing w:before="60" w:after="60"/>
              <w:rPr>
                <w:rFonts w:cs="Arial"/>
                <w:sz w:val="20"/>
                <w:szCs w:val="20"/>
              </w:rPr>
            </w:pPr>
            <w:r w:rsidRPr="008855E9">
              <w:rPr>
                <w:rFonts w:cs="Arial"/>
                <w:sz w:val="20"/>
                <w:szCs w:val="20"/>
              </w:rPr>
              <w:t>Significant and well-developed sites of Warm Temperate Rainforest in the lower reaches of a number of rivers - of note Wau Wauka Creek, Harrisons Creek and Dowell Creek.</w:t>
            </w:r>
          </w:p>
          <w:p w14:paraId="5F7C7926" w14:textId="77777777" w:rsidR="005A7480" w:rsidRPr="008855E9" w:rsidRDefault="005A7480" w:rsidP="00567567">
            <w:pPr>
              <w:pStyle w:val="TableText"/>
              <w:numPr>
                <w:ilvl w:val="0"/>
                <w:numId w:val="93"/>
              </w:numPr>
              <w:spacing w:before="60" w:after="60"/>
              <w:rPr>
                <w:rFonts w:cs="Arial"/>
                <w:sz w:val="20"/>
                <w:szCs w:val="20"/>
              </w:rPr>
            </w:pPr>
            <w:r w:rsidRPr="008855E9">
              <w:rPr>
                <w:rFonts w:cs="Arial"/>
                <w:sz w:val="20"/>
                <w:szCs w:val="20"/>
              </w:rPr>
              <w:t>Coastal Heathland, a community considered to be extremely species rich, and covering up to 10% of the park.</w:t>
            </w:r>
          </w:p>
          <w:p w14:paraId="45409F70" w14:textId="77777777" w:rsidR="005A7480" w:rsidRPr="008855E9" w:rsidRDefault="005A7480" w:rsidP="00567567">
            <w:pPr>
              <w:pStyle w:val="TableText"/>
              <w:numPr>
                <w:ilvl w:val="0"/>
                <w:numId w:val="93"/>
              </w:numPr>
              <w:spacing w:before="60" w:after="60"/>
              <w:rPr>
                <w:rFonts w:cs="Arial"/>
                <w:sz w:val="20"/>
                <w:szCs w:val="20"/>
              </w:rPr>
            </w:pPr>
            <w:r w:rsidRPr="008855E9">
              <w:rPr>
                <w:rFonts w:cs="Arial"/>
                <w:sz w:val="20"/>
                <w:szCs w:val="20"/>
              </w:rPr>
              <w:t>Habitats supporting 43 species of threatened native fauna, including the little tern, ground parrot, eastern bristle-bird, eastern broad-nosed bat, and Australian fur seal.</w:t>
            </w:r>
          </w:p>
          <w:p w14:paraId="5B317675" w14:textId="77777777" w:rsidR="005A7480" w:rsidRPr="008855E9" w:rsidRDefault="005A7480" w:rsidP="00567567">
            <w:pPr>
              <w:pStyle w:val="TableText"/>
              <w:numPr>
                <w:ilvl w:val="0"/>
                <w:numId w:val="93"/>
              </w:numPr>
              <w:spacing w:before="60" w:after="60"/>
              <w:rPr>
                <w:rFonts w:cs="Arial"/>
                <w:sz w:val="20"/>
                <w:szCs w:val="20"/>
              </w:rPr>
            </w:pPr>
            <w:r w:rsidRPr="008855E9">
              <w:rPr>
                <w:rFonts w:cs="Arial"/>
                <w:sz w:val="20"/>
                <w:szCs w:val="20"/>
              </w:rPr>
              <w:t>The Skerries, one of only four Australian Fur Seal colonies in the State and an important breeding site for penguins and other seabirds.</w:t>
            </w:r>
          </w:p>
          <w:p w14:paraId="139A607D" w14:textId="77777777" w:rsidR="005A7480" w:rsidRPr="008855E9" w:rsidRDefault="005A7480" w:rsidP="00567567">
            <w:pPr>
              <w:pStyle w:val="TableText"/>
              <w:numPr>
                <w:ilvl w:val="0"/>
                <w:numId w:val="93"/>
              </w:numPr>
              <w:spacing w:before="60" w:after="60"/>
              <w:rPr>
                <w:rFonts w:cs="Arial"/>
                <w:sz w:val="20"/>
                <w:szCs w:val="20"/>
              </w:rPr>
            </w:pPr>
            <w:r w:rsidRPr="008855E9">
              <w:rPr>
                <w:rFonts w:cs="Arial"/>
                <w:sz w:val="20"/>
                <w:szCs w:val="20"/>
              </w:rPr>
              <w:t>Records for the Park of one third of Victoria’s, and one quarter of Australia’s, bird species.</w:t>
            </w:r>
          </w:p>
          <w:p w14:paraId="24746A29" w14:textId="77777777" w:rsidR="005A7480" w:rsidRPr="008855E9" w:rsidRDefault="005A7480" w:rsidP="00567567">
            <w:pPr>
              <w:pStyle w:val="TableText"/>
              <w:numPr>
                <w:ilvl w:val="0"/>
                <w:numId w:val="93"/>
              </w:numPr>
              <w:spacing w:before="60" w:after="60"/>
              <w:rPr>
                <w:rFonts w:cs="Arial"/>
                <w:sz w:val="20"/>
                <w:szCs w:val="20"/>
              </w:rPr>
            </w:pPr>
            <w:r w:rsidRPr="008855E9">
              <w:rPr>
                <w:rFonts w:cs="Arial"/>
                <w:sz w:val="20"/>
                <w:szCs w:val="20"/>
              </w:rPr>
              <w:t>Some of the richest amphibian habitats in Victoria.</w:t>
            </w:r>
          </w:p>
          <w:p w14:paraId="21197D10" w14:textId="77777777" w:rsidR="005A7480" w:rsidRPr="008855E9" w:rsidRDefault="005A7480" w:rsidP="00567567">
            <w:pPr>
              <w:pStyle w:val="TableText"/>
              <w:numPr>
                <w:ilvl w:val="0"/>
                <w:numId w:val="93"/>
              </w:numPr>
              <w:spacing w:before="60" w:after="60"/>
              <w:rPr>
                <w:rFonts w:cs="Arial"/>
                <w:sz w:val="20"/>
                <w:szCs w:val="20"/>
              </w:rPr>
            </w:pPr>
            <w:r w:rsidRPr="008855E9">
              <w:rPr>
                <w:rFonts w:cs="Arial"/>
                <w:sz w:val="20"/>
                <w:szCs w:val="20"/>
              </w:rPr>
              <w:t>Highly significant coastal streams and catchments which are relatively undisturbed, with an absence of introduced fish species and good populations of native fish species.</w:t>
            </w:r>
          </w:p>
          <w:p w14:paraId="69DFA44E" w14:textId="77777777" w:rsidR="005A7480" w:rsidRPr="008855E9" w:rsidRDefault="005A7480" w:rsidP="00567567">
            <w:pPr>
              <w:pStyle w:val="TableText"/>
              <w:numPr>
                <w:ilvl w:val="0"/>
                <w:numId w:val="93"/>
              </w:numPr>
              <w:spacing w:before="60" w:after="60"/>
              <w:rPr>
                <w:rFonts w:cs="Arial"/>
                <w:sz w:val="20"/>
                <w:szCs w:val="20"/>
              </w:rPr>
            </w:pPr>
            <w:r w:rsidRPr="008855E9">
              <w:rPr>
                <w:rFonts w:cs="Arial"/>
                <w:sz w:val="20"/>
                <w:szCs w:val="20"/>
              </w:rPr>
              <w:t>Localities with among the highest wilderness quality in the State, outside the Mallee, and two of the three coastal wilderness areas in Victoria.</w:t>
            </w:r>
          </w:p>
          <w:p w14:paraId="43AF27D7" w14:textId="77777777" w:rsidR="00000377" w:rsidRPr="008855E9" w:rsidRDefault="00000377" w:rsidP="00AF1C70">
            <w:pPr>
              <w:pStyle w:val="TableText"/>
              <w:rPr>
                <w:rFonts w:cs="Arial"/>
                <w:b/>
                <w:sz w:val="20"/>
                <w:szCs w:val="20"/>
              </w:rPr>
            </w:pPr>
            <w:r w:rsidRPr="008855E9">
              <w:rPr>
                <w:rFonts w:cs="Arial"/>
                <w:b/>
                <w:sz w:val="20"/>
                <w:szCs w:val="20"/>
              </w:rPr>
              <w:t>Physical attributes</w:t>
            </w:r>
          </w:p>
          <w:p w14:paraId="31984556" w14:textId="77777777" w:rsidR="00131E35" w:rsidRPr="008855E9" w:rsidRDefault="00131E35" w:rsidP="00131E35">
            <w:pPr>
              <w:autoSpaceDE w:val="0"/>
              <w:autoSpaceDN w:val="0"/>
              <w:adjustRightInd w:val="0"/>
              <w:spacing w:line="240" w:lineRule="auto"/>
              <w:ind w:left="0"/>
              <w:rPr>
                <w:rFonts w:cs="Arial"/>
                <w:sz w:val="20"/>
                <w:szCs w:val="20"/>
              </w:rPr>
            </w:pPr>
            <w:r w:rsidRPr="008855E9">
              <w:rPr>
                <w:rFonts w:cs="Arial"/>
                <w:sz w:val="20"/>
                <w:szCs w:val="20"/>
              </w:rPr>
              <w:t>The park protects a variety of coastal landform features and examples of active geomorphic processes. The topography of the Park is</w:t>
            </w:r>
          </w:p>
          <w:p w14:paraId="39A8D31A" w14:textId="77777777" w:rsidR="00131E35" w:rsidRPr="008855E9" w:rsidRDefault="00131E35" w:rsidP="00131E35">
            <w:pPr>
              <w:autoSpaceDE w:val="0"/>
              <w:autoSpaceDN w:val="0"/>
              <w:adjustRightInd w:val="0"/>
              <w:spacing w:line="240" w:lineRule="auto"/>
              <w:ind w:left="0"/>
              <w:rPr>
                <w:rFonts w:cs="Arial"/>
                <w:sz w:val="20"/>
                <w:szCs w:val="20"/>
              </w:rPr>
            </w:pPr>
            <w:r w:rsidRPr="008855E9">
              <w:rPr>
                <w:rFonts w:cs="Arial"/>
                <w:sz w:val="20"/>
                <w:szCs w:val="20"/>
              </w:rPr>
              <w:t xml:space="preserve">generally flat, most being less than 300 m, and a substantial area less than 150 m above sea level. Two major physiographic units are represented in the Park, these being coastal tablelands and coast dune complexes (some vegetated and some mobile). </w:t>
            </w:r>
          </w:p>
          <w:p w14:paraId="1CB764A3" w14:textId="77777777" w:rsidR="00000377" w:rsidRPr="008855E9" w:rsidRDefault="00000377" w:rsidP="00AF1C70">
            <w:pPr>
              <w:pStyle w:val="TableText"/>
              <w:rPr>
                <w:rFonts w:cs="Arial"/>
                <w:b/>
                <w:sz w:val="20"/>
                <w:szCs w:val="20"/>
              </w:rPr>
            </w:pPr>
            <w:r w:rsidRPr="008855E9">
              <w:rPr>
                <w:rFonts w:cs="Arial"/>
                <w:b/>
                <w:sz w:val="20"/>
                <w:szCs w:val="20"/>
              </w:rPr>
              <w:t>Habitats</w:t>
            </w:r>
          </w:p>
          <w:p w14:paraId="429C9309" w14:textId="77777777" w:rsidR="009C7BF7" w:rsidRPr="008855E9" w:rsidRDefault="009C7BF7" w:rsidP="00AF1C70">
            <w:pPr>
              <w:autoSpaceDE w:val="0"/>
              <w:autoSpaceDN w:val="0"/>
              <w:adjustRightInd w:val="0"/>
              <w:spacing w:line="240" w:lineRule="auto"/>
              <w:ind w:left="0"/>
              <w:rPr>
                <w:rFonts w:cs="Arial"/>
                <w:sz w:val="20"/>
                <w:szCs w:val="20"/>
              </w:rPr>
            </w:pPr>
            <w:r w:rsidRPr="008855E9">
              <w:rPr>
                <w:rFonts w:cs="Arial"/>
                <w:sz w:val="20"/>
                <w:szCs w:val="20"/>
              </w:rPr>
              <w:t xml:space="preserve">Cool Temperate Rainforest, Warm Temperate Rainforest and Coastal Heathland are the key habitats of the park. </w:t>
            </w:r>
          </w:p>
          <w:p w14:paraId="0BC1A799" w14:textId="77777777" w:rsidR="00000377" w:rsidRPr="008855E9" w:rsidRDefault="00000377" w:rsidP="00AF1C70">
            <w:pPr>
              <w:pStyle w:val="TableText"/>
              <w:rPr>
                <w:rFonts w:cs="Arial"/>
                <w:b/>
                <w:sz w:val="20"/>
                <w:szCs w:val="20"/>
              </w:rPr>
            </w:pPr>
            <w:r w:rsidRPr="008855E9">
              <w:rPr>
                <w:rFonts w:cs="Arial"/>
                <w:b/>
                <w:sz w:val="20"/>
                <w:szCs w:val="20"/>
              </w:rPr>
              <w:t>Shoreline biodiversity</w:t>
            </w:r>
          </w:p>
          <w:p w14:paraId="0B396D6E" w14:textId="77777777" w:rsidR="009C7BF7" w:rsidRDefault="009C7BF7" w:rsidP="002E0266">
            <w:pPr>
              <w:autoSpaceDE w:val="0"/>
              <w:autoSpaceDN w:val="0"/>
              <w:adjustRightInd w:val="0"/>
              <w:spacing w:line="240" w:lineRule="auto"/>
              <w:ind w:left="0"/>
              <w:rPr>
                <w:rFonts w:cs="Arial"/>
                <w:sz w:val="20"/>
                <w:szCs w:val="20"/>
              </w:rPr>
            </w:pPr>
            <w:r w:rsidRPr="008855E9">
              <w:rPr>
                <w:rFonts w:cs="Arial"/>
                <w:sz w:val="20"/>
                <w:szCs w:val="20"/>
              </w:rPr>
              <w:t xml:space="preserve">The ocean beaches </w:t>
            </w:r>
            <w:r w:rsidR="002E0266" w:rsidRPr="008855E9">
              <w:rPr>
                <w:rFonts w:cs="Arial"/>
                <w:sz w:val="20"/>
                <w:szCs w:val="20"/>
              </w:rPr>
              <w:t xml:space="preserve">of the park </w:t>
            </w:r>
            <w:r w:rsidRPr="008855E9">
              <w:rPr>
                <w:rFonts w:cs="Arial"/>
                <w:sz w:val="20"/>
                <w:szCs w:val="20"/>
              </w:rPr>
              <w:t xml:space="preserve">attract migratory seabirds and waders, </w:t>
            </w:r>
            <w:r w:rsidR="002E0266" w:rsidRPr="008855E9">
              <w:rPr>
                <w:rFonts w:cs="Arial"/>
                <w:sz w:val="20"/>
                <w:szCs w:val="20"/>
              </w:rPr>
              <w:t xml:space="preserve">including little, crested and fairy terns and the hooded plover, while </w:t>
            </w:r>
            <w:r w:rsidRPr="008855E9">
              <w:rPr>
                <w:rFonts w:cs="Arial"/>
                <w:sz w:val="20"/>
                <w:szCs w:val="20"/>
              </w:rPr>
              <w:t xml:space="preserve">the wetlands </w:t>
            </w:r>
            <w:r w:rsidR="002E0266" w:rsidRPr="008855E9">
              <w:rPr>
                <w:rFonts w:cs="Arial"/>
                <w:sz w:val="20"/>
                <w:szCs w:val="20"/>
              </w:rPr>
              <w:t>provide</w:t>
            </w:r>
            <w:r w:rsidRPr="008855E9">
              <w:rPr>
                <w:rFonts w:cs="Arial"/>
                <w:sz w:val="20"/>
                <w:szCs w:val="20"/>
              </w:rPr>
              <w:t xml:space="preserve"> habitat for a rich assemblage of waterfowl</w:t>
            </w:r>
            <w:r w:rsidR="002E0266" w:rsidRPr="008855E9">
              <w:rPr>
                <w:rFonts w:cs="Arial"/>
                <w:sz w:val="20"/>
                <w:szCs w:val="20"/>
              </w:rPr>
              <w:t xml:space="preserve"> and native fish such as spotted galaxias, gudgeon, bass and the Australian grayling</w:t>
            </w:r>
            <w:r w:rsidRPr="008855E9">
              <w:rPr>
                <w:rFonts w:cs="Arial"/>
                <w:sz w:val="20"/>
                <w:szCs w:val="20"/>
              </w:rPr>
              <w:t>.</w:t>
            </w:r>
          </w:p>
          <w:p w14:paraId="3527C1EB" w14:textId="77777777" w:rsidR="000C69A6" w:rsidRDefault="000C69A6" w:rsidP="002E0266">
            <w:pPr>
              <w:autoSpaceDE w:val="0"/>
              <w:autoSpaceDN w:val="0"/>
              <w:adjustRightInd w:val="0"/>
              <w:spacing w:line="240" w:lineRule="auto"/>
              <w:ind w:left="0"/>
              <w:rPr>
                <w:rFonts w:cs="Arial"/>
                <w:sz w:val="20"/>
                <w:szCs w:val="20"/>
              </w:rPr>
            </w:pPr>
          </w:p>
          <w:p w14:paraId="1F475E91" w14:textId="77777777" w:rsidR="000C69A6" w:rsidRPr="008855E9" w:rsidRDefault="000C69A6" w:rsidP="002E0266">
            <w:pPr>
              <w:autoSpaceDE w:val="0"/>
              <w:autoSpaceDN w:val="0"/>
              <w:adjustRightInd w:val="0"/>
              <w:spacing w:line="240" w:lineRule="auto"/>
              <w:ind w:left="0"/>
              <w:rPr>
                <w:rFonts w:cs="Arial"/>
                <w:sz w:val="20"/>
                <w:szCs w:val="20"/>
                <w:highlight w:val="lightGray"/>
              </w:rPr>
            </w:pPr>
          </w:p>
        </w:tc>
      </w:tr>
      <w:tr w:rsidR="00B15557" w:rsidRPr="008855E9" w14:paraId="728437C1" w14:textId="77777777" w:rsidTr="00B15557">
        <w:tc>
          <w:tcPr>
            <w:tcW w:w="13750" w:type="dxa"/>
            <w:gridSpan w:val="2"/>
            <w:shd w:val="clear" w:color="auto" w:fill="D9D9D9" w:themeFill="background1" w:themeFillShade="D9"/>
          </w:tcPr>
          <w:p w14:paraId="5EF184E5" w14:textId="689DB164" w:rsidR="00B15557" w:rsidRPr="008855E9" w:rsidRDefault="00B15557" w:rsidP="00BF1E59">
            <w:pPr>
              <w:pStyle w:val="TableText"/>
              <w:spacing w:before="60" w:after="60" w:line="240" w:lineRule="auto"/>
              <w:rPr>
                <w:rFonts w:cs="Arial"/>
                <w:b/>
                <w:sz w:val="20"/>
                <w:szCs w:val="20"/>
              </w:rPr>
            </w:pPr>
            <w:r>
              <w:rPr>
                <w:rFonts w:cs="Arial"/>
                <w:b/>
                <w:sz w:val="20"/>
                <w:szCs w:val="20"/>
              </w:rPr>
              <w:lastRenderedPageBreak/>
              <w:t>NSW</w:t>
            </w:r>
          </w:p>
        </w:tc>
      </w:tr>
      <w:tr w:rsidR="00B15557" w:rsidRPr="008855E9" w14:paraId="5BB8CE9C" w14:textId="77777777" w:rsidTr="00024545">
        <w:tc>
          <w:tcPr>
            <w:tcW w:w="1701" w:type="dxa"/>
            <w:shd w:val="clear" w:color="auto" w:fill="auto"/>
          </w:tcPr>
          <w:p w14:paraId="5C827EC8" w14:textId="77777777" w:rsidR="00B15557" w:rsidRDefault="00B15557" w:rsidP="00F965CD">
            <w:pPr>
              <w:pStyle w:val="TableText"/>
              <w:rPr>
                <w:rFonts w:cs="Arial"/>
                <w:b/>
                <w:sz w:val="20"/>
                <w:szCs w:val="20"/>
              </w:rPr>
            </w:pPr>
            <w:r>
              <w:rPr>
                <w:rFonts w:cs="Arial"/>
                <w:b/>
                <w:sz w:val="20"/>
                <w:szCs w:val="20"/>
              </w:rPr>
              <w:t>Nadgee Nature Reserve</w:t>
            </w:r>
          </w:p>
          <w:p w14:paraId="1546A9CE" w14:textId="77777777" w:rsidR="00CC7F99" w:rsidRDefault="00CC7F99" w:rsidP="00F965CD">
            <w:pPr>
              <w:pStyle w:val="TableText"/>
              <w:rPr>
                <w:rFonts w:cs="Arial"/>
                <w:b/>
                <w:sz w:val="20"/>
                <w:szCs w:val="20"/>
              </w:rPr>
            </w:pPr>
          </w:p>
          <w:p w14:paraId="52ED13EF" w14:textId="19327293" w:rsidR="00CC7F99" w:rsidRPr="008855E9" w:rsidRDefault="00C00849" w:rsidP="00CC7F99">
            <w:pPr>
              <w:pStyle w:val="TableText"/>
              <w:rPr>
                <w:rFonts w:cs="Arial"/>
                <w:i/>
                <w:sz w:val="20"/>
                <w:szCs w:val="20"/>
              </w:rPr>
            </w:pPr>
            <w:r>
              <w:rPr>
                <w:rFonts w:cs="Arial"/>
                <w:i/>
                <w:sz w:val="20"/>
                <w:szCs w:val="20"/>
              </w:rPr>
              <w:t>225</w:t>
            </w:r>
            <w:r w:rsidR="00CC7F99" w:rsidRPr="008855E9">
              <w:rPr>
                <w:rFonts w:cs="Arial"/>
                <w:i/>
                <w:sz w:val="20"/>
                <w:szCs w:val="20"/>
              </w:rPr>
              <w:t xml:space="preserve"> km </w:t>
            </w:r>
            <w:r>
              <w:rPr>
                <w:rFonts w:cs="Arial"/>
                <w:i/>
                <w:sz w:val="20"/>
                <w:szCs w:val="20"/>
              </w:rPr>
              <w:t>n</w:t>
            </w:r>
            <w:r w:rsidR="00CC7F99" w:rsidRPr="008855E9">
              <w:rPr>
                <w:rFonts w:cs="Arial"/>
                <w:i/>
                <w:sz w:val="20"/>
                <w:szCs w:val="20"/>
              </w:rPr>
              <w:t>ortheast of proposed acquisition area</w:t>
            </w:r>
          </w:p>
          <w:p w14:paraId="6C229854" w14:textId="77777777" w:rsidR="00CC7F99" w:rsidRPr="008855E9" w:rsidRDefault="00CC7F99" w:rsidP="00CC7F99">
            <w:pPr>
              <w:pStyle w:val="TableText"/>
              <w:rPr>
                <w:rFonts w:cs="Arial"/>
                <w:sz w:val="20"/>
                <w:szCs w:val="20"/>
              </w:rPr>
            </w:pPr>
          </w:p>
          <w:p w14:paraId="063ACCEC" w14:textId="4AF4EA6E" w:rsidR="00CC7F99" w:rsidRPr="008855E9" w:rsidRDefault="00CC7F99" w:rsidP="00CC7F99">
            <w:pPr>
              <w:pStyle w:val="TableText"/>
              <w:rPr>
                <w:rFonts w:cs="Arial"/>
                <w:sz w:val="20"/>
                <w:szCs w:val="20"/>
              </w:rPr>
            </w:pPr>
            <w:r w:rsidRPr="008855E9">
              <w:rPr>
                <w:rFonts w:cs="Arial"/>
                <w:sz w:val="20"/>
                <w:szCs w:val="20"/>
              </w:rPr>
              <w:t xml:space="preserve">IUCN </w:t>
            </w:r>
            <w:r w:rsidR="00417D39" w:rsidRPr="00417D39">
              <w:rPr>
                <w:rFonts w:cs="Arial"/>
                <w:sz w:val="20"/>
                <w:szCs w:val="20"/>
              </w:rPr>
              <w:t xml:space="preserve">Category </w:t>
            </w:r>
            <w:r w:rsidR="00F121AF">
              <w:rPr>
                <w:rFonts w:cs="Arial"/>
                <w:sz w:val="20"/>
                <w:szCs w:val="20"/>
              </w:rPr>
              <w:t>Ia</w:t>
            </w:r>
          </w:p>
          <w:p w14:paraId="18D43DB2" w14:textId="77777777" w:rsidR="00CC7F99" w:rsidRPr="008855E9" w:rsidRDefault="00CC7F99" w:rsidP="00CC7F99">
            <w:pPr>
              <w:pStyle w:val="TableText"/>
              <w:rPr>
                <w:rFonts w:cs="Arial"/>
                <w:sz w:val="20"/>
                <w:szCs w:val="20"/>
              </w:rPr>
            </w:pPr>
          </w:p>
          <w:p w14:paraId="7EF779AA" w14:textId="2E7D0230" w:rsidR="00CC7F99" w:rsidRPr="008855E9" w:rsidRDefault="00CC7F99" w:rsidP="00CC7F99">
            <w:pPr>
              <w:pStyle w:val="TableText"/>
              <w:rPr>
                <w:rFonts w:cs="Arial"/>
                <w:b/>
                <w:sz w:val="20"/>
                <w:szCs w:val="20"/>
              </w:rPr>
            </w:pPr>
            <w:r>
              <w:rPr>
                <w:rFonts w:cs="Arial"/>
                <w:sz w:val="20"/>
                <w:szCs w:val="20"/>
              </w:rPr>
              <w:t>NSW NPW</w:t>
            </w:r>
            <w:r w:rsidR="00D10F48">
              <w:rPr>
                <w:rFonts w:cs="Arial"/>
                <w:sz w:val="20"/>
                <w:szCs w:val="20"/>
              </w:rPr>
              <w:t>S</w:t>
            </w:r>
            <w:r>
              <w:rPr>
                <w:rFonts w:cs="Arial"/>
                <w:sz w:val="20"/>
                <w:szCs w:val="20"/>
              </w:rPr>
              <w:t xml:space="preserve"> Management Plan in place (2003</w:t>
            </w:r>
            <w:r w:rsidRPr="008855E9">
              <w:rPr>
                <w:rFonts w:cs="Arial"/>
                <w:sz w:val="20"/>
                <w:szCs w:val="20"/>
              </w:rPr>
              <w:t>)</w:t>
            </w:r>
          </w:p>
        </w:tc>
        <w:tc>
          <w:tcPr>
            <w:tcW w:w="12049" w:type="dxa"/>
            <w:shd w:val="clear" w:color="auto" w:fill="auto"/>
          </w:tcPr>
          <w:p w14:paraId="6D9FE8E7" w14:textId="77777777" w:rsidR="00BA588B" w:rsidRPr="008855E9" w:rsidRDefault="00BA588B" w:rsidP="00BA588B">
            <w:pPr>
              <w:pStyle w:val="TableText"/>
              <w:rPr>
                <w:rFonts w:cs="Arial"/>
                <w:b/>
                <w:sz w:val="20"/>
                <w:szCs w:val="20"/>
              </w:rPr>
            </w:pPr>
            <w:r w:rsidRPr="008855E9">
              <w:rPr>
                <w:rFonts w:cs="Arial"/>
                <w:b/>
                <w:sz w:val="20"/>
                <w:szCs w:val="20"/>
              </w:rPr>
              <w:t>Key natural values</w:t>
            </w:r>
          </w:p>
          <w:p w14:paraId="2AB6DD35" w14:textId="77777777" w:rsidR="00BA588B" w:rsidRPr="008855E9" w:rsidRDefault="00BA588B" w:rsidP="00BA588B">
            <w:pPr>
              <w:pStyle w:val="TableText"/>
              <w:rPr>
                <w:rFonts w:cs="Arial"/>
                <w:sz w:val="20"/>
                <w:szCs w:val="20"/>
              </w:rPr>
            </w:pPr>
            <w:r w:rsidRPr="008855E9">
              <w:rPr>
                <w:rFonts w:cs="Arial"/>
                <w:sz w:val="20"/>
                <w:szCs w:val="20"/>
              </w:rPr>
              <w:t>The park’s key natural values are listed as:</w:t>
            </w:r>
          </w:p>
          <w:p w14:paraId="0E3769F6" w14:textId="7EE8C1D4" w:rsidR="00E46CF1" w:rsidRDefault="00E46CF1" w:rsidP="00BA588B">
            <w:pPr>
              <w:pStyle w:val="TableText"/>
              <w:numPr>
                <w:ilvl w:val="0"/>
                <w:numId w:val="93"/>
              </w:numPr>
              <w:spacing w:before="60" w:after="60"/>
              <w:rPr>
                <w:rFonts w:cs="Arial"/>
                <w:sz w:val="20"/>
                <w:szCs w:val="20"/>
              </w:rPr>
            </w:pPr>
            <w:r>
              <w:rPr>
                <w:rFonts w:cs="Arial"/>
                <w:sz w:val="20"/>
                <w:szCs w:val="20"/>
              </w:rPr>
              <w:t>The only coastal wilderness area in NSW.</w:t>
            </w:r>
          </w:p>
          <w:p w14:paraId="0402DCAA" w14:textId="77777777" w:rsidR="003C2A4D" w:rsidRDefault="00BA588B" w:rsidP="00BA588B">
            <w:pPr>
              <w:pStyle w:val="TableText"/>
              <w:numPr>
                <w:ilvl w:val="0"/>
                <w:numId w:val="93"/>
              </w:numPr>
              <w:spacing w:before="60" w:after="60"/>
              <w:rPr>
                <w:rFonts w:cs="Arial"/>
                <w:sz w:val="20"/>
                <w:szCs w:val="20"/>
              </w:rPr>
            </w:pPr>
            <w:r w:rsidRPr="008855E9">
              <w:rPr>
                <w:rFonts w:cs="Arial"/>
                <w:sz w:val="20"/>
                <w:szCs w:val="20"/>
              </w:rPr>
              <w:t xml:space="preserve">A </w:t>
            </w:r>
            <w:r w:rsidR="00CC7F99">
              <w:rPr>
                <w:rFonts w:cs="Arial"/>
                <w:sz w:val="20"/>
                <w:szCs w:val="20"/>
              </w:rPr>
              <w:t>variety of coastal landforms, including dissected low tablelands, coastal plain, estuaries and lagoons, cliffs</w:t>
            </w:r>
            <w:r w:rsidR="003C2A4D">
              <w:rPr>
                <w:rFonts w:cs="Arial"/>
                <w:sz w:val="20"/>
                <w:szCs w:val="20"/>
              </w:rPr>
              <w:t xml:space="preserve"> and sea caves</w:t>
            </w:r>
            <w:r w:rsidR="00CC7F99">
              <w:rPr>
                <w:rFonts w:cs="Arial"/>
                <w:sz w:val="20"/>
                <w:szCs w:val="20"/>
              </w:rPr>
              <w:t>.</w:t>
            </w:r>
          </w:p>
          <w:p w14:paraId="07C5F610" w14:textId="77777777" w:rsidR="003C2A4D" w:rsidRDefault="003C2A4D" w:rsidP="00BA588B">
            <w:pPr>
              <w:pStyle w:val="TableText"/>
              <w:numPr>
                <w:ilvl w:val="0"/>
                <w:numId w:val="93"/>
              </w:numPr>
              <w:spacing w:before="60" w:after="60"/>
              <w:rPr>
                <w:rFonts w:cs="Arial"/>
                <w:sz w:val="20"/>
                <w:szCs w:val="20"/>
              </w:rPr>
            </w:pPr>
            <w:r>
              <w:rPr>
                <w:rFonts w:cs="Arial"/>
                <w:sz w:val="20"/>
                <w:szCs w:val="20"/>
              </w:rPr>
              <w:t xml:space="preserve">Coastline has national significance for its diversity of geology and geomorphological features. </w:t>
            </w:r>
          </w:p>
          <w:p w14:paraId="4450F453" w14:textId="760BBDEF" w:rsidR="00BA588B" w:rsidRPr="008855E9" w:rsidRDefault="003C2A4D" w:rsidP="00BA588B">
            <w:pPr>
              <w:pStyle w:val="TableText"/>
              <w:numPr>
                <w:ilvl w:val="0"/>
                <w:numId w:val="93"/>
              </w:numPr>
              <w:spacing w:before="60" w:after="60"/>
              <w:rPr>
                <w:rFonts w:cs="Arial"/>
                <w:sz w:val="20"/>
                <w:szCs w:val="20"/>
              </w:rPr>
            </w:pPr>
            <w:r>
              <w:rPr>
                <w:rFonts w:cs="Arial"/>
                <w:sz w:val="20"/>
                <w:szCs w:val="20"/>
              </w:rPr>
              <w:t>The catchments of all creeks and rivers are contained wholly in the reserve (except for a small area).</w:t>
            </w:r>
            <w:r w:rsidR="00CC7F99">
              <w:rPr>
                <w:rFonts w:cs="Arial"/>
                <w:sz w:val="20"/>
                <w:szCs w:val="20"/>
              </w:rPr>
              <w:t xml:space="preserve"> </w:t>
            </w:r>
          </w:p>
          <w:p w14:paraId="70B9E539" w14:textId="612DD788" w:rsidR="00BA588B" w:rsidRDefault="003C2A4D" w:rsidP="00BA588B">
            <w:pPr>
              <w:pStyle w:val="TableText"/>
              <w:numPr>
                <w:ilvl w:val="0"/>
                <w:numId w:val="93"/>
              </w:numPr>
              <w:spacing w:before="60" w:after="60"/>
              <w:rPr>
                <w:rFonts w:cs="Arial"/>
                <w:sz w:val="20"/>
                <w:szCs w:val="20"/>
              </w:rPr>
            </w:pPr>
            <w:r>
              <w:rPr>
                <w:rFonts w:cs="Arial"/>
                <w:sz w:val="20"/>
                <w:szCs w:val="20"/>
              </w:rPr>
              <w:t xml:space="preserve">Features a complex variety of plant communities, including rainforest, tall open forest, woodland, coastal scrib and estuarine wetlands. </w:t>
            </w:r>
          </w:p>
          <w:p w14:paraId="406935DC" w14:textId="7BBCB5EC" w:rsidR="00B173D0" w:rsidRPr="008855E9" w:rsidRDefault="00B173D0" w:rsidP="00BA588B">
            <w:pPr>
              <w:pStyle w:val="TableText"/>
              <w:numPr>
                <w:ilvl w:val="0"/>
                <w:numId w:val="93"/>
              </w:numPr>
              <w:spacing w:before="60" w:after="60"/>
              <w:rPr>
                <w:rFonts w:cs="Arial"/>
                <w:sz w:val="20"/>
                <w:szCs w:val="20"/>
              </w:rPr>
            </w:pPr>
            <w:r>
              <w:rPr>
                <w:rFonts w:cs="Arial"/>
                <w:sz w:val="20"/>
                <w:szCs w:val="20"/>
              </w:rPr>
              <w:t xml:space="preserve">Contains several threatened plant species listed under the NSW </w:t>
            </w:r>
            <w:r w:rsidRPr="00143702">
              <w:rPr>
                <w:rFonts w:cs="Arial"/>
                <w:i/>
                <w:sz w:val="20"/>
                <w:szCs w:val="20"/>
              </w:rPr>
              <w:t>Threatened Species Conservation Act 1995</w:t>
            </w:r>
            <w:r>
              <w:rPr>
                <w:rFonts w:cs="Arial"/>
                <w:sz w:val="20"/>
                <w:szCs w:val="20"/>
              </w:rPr>
              <w:t xml:space="preserve">, and provide security for another 54 species of conservation significance. </w:t>
            </w:r>
            <w:r w:rsidR="00640F10">
              <w:rPr>
                <w:rFonts w:cs="Arial"/>
                <w:sz w:val="20"/>
                <w:szCs w:val="20"/>
              </w:rPr>
              <w:t xml:space="preserve">Also supports 11 vegetation types considered to be rare or vulnerable. </w:t>
            </w:r>
          </w:p>
          <w:p w14:paraId="269BAA14" w14:textId="2DBD6A8A" w:rsidR="00BA588B" w:rsidRDefault="00640F10" w:rsidP="00BA588B">
            <w:pPr>
              <w:pStyle w:val="TableText"/>
              <w:numPr>
                <w:ilvl w:val="0"/>
                <w:numId w:val="93"/>
              </w:numPr>
              <w:spacing w:before="60" w:after="60"/>
              <w:rPr>
                <w:rFonts w:cs="Arial"/>
                <w:sz w:val="20"/>
                <w:szCs w:val="20"/>
              </w:rPr>
            </w:pPr>
            <w:r>
              <w:rPr>
                <w:rFonts w:cs="Arial"/>
                <w:sz w:val="20"/>
                <w:szCs w:val="20"/>
              </w:rPr>
              <w:t xml:space="preserve">Contains 48 species of native mammal, 216 bird species, 28 reptile species and 16 amphibians. </w:t>
            </w:r>
          </w:p>
          <w:p w14:paraId="56ACF777" w14:textId="4D95FDD3" w:rsidR="00640F10" w:rsidRDefault="00640F10" w:rsidP="00BA588B">
            <w:pPr>
              <w:pStyle w:val="TableText"/>
              <w:numPr>
                <w:ilvl w:val="0"/>
                <w:numId w:val="93"/>
              </w:numPr>
              <w:spacing w:before="60" w:after="60"/>
              <w:rPr>
                <w:rFonts w:cs="Arial"/>
                <w:sz w:val="20"/>
                <w:szCs w:val="20"/>
              </w:rPr>
            </w:pPr>
            <w:r>
              <w:rPr>
                <w:rFonts w:cs="Arial"/>
                <w:sz w:val="20"/>
                <w:szCs w:val="20"/>
              </w:rPr>
              <w:t>Intertidal r</w:t>
            </w:r>
            <w:r w:rsidR="00E46CF1">
              <w:rPr>
                <w:rFonts w:cs="Arial"/>
                <w:sz w:val="20"/>
                <w:szCs w:val="20"/>
              </w:rPr>
              <w:t>ock platforms have a rich, well-</w:t>
            </w:r>
            <w:r>
              <w:rPr>
                <w:rFonts w:cs="Arial"/>
                <w:sz w:val="20"/>
                <w:szCs w:val="20"/>
              </w:rPr>
              <w:t xml:space="preserve">developed littoral fauna and Nadgee Point/Black Head has the most diverse biota of any headland in NSW south of Narooma. </w:t>
            </w:r>
          </w:p>
          <w:p w14:paraId="310CD5D8" w14:textId="54747EA2" w:rsidR="00E46CF1" w:rsidRPr="008855E9" w:rsidRDefault="00E46CF1" w:rsidP="00BA588B">
            <w:pPr>
              <w:pStyle w:val="TableText"/>
              <w:numPr>
                <w:ilvl w:val="0"/>
                <w:numId w:val="93"/>
              </w:numPr>
              <w:spacing w:before="60" w:after="60"/>
              <w:rPr>
                <w:rFonts w:cs="Arial"/>
                <w:sz w:val="20"/>
                <w:szCs w:val="20"/>
              </w:rPr>
            </w:pPr>
            <w:r>
              <w:rPr>
                <w:rFonts w:cs="Arial"/>
                <w:sz w:val="20"/>
                <w:szCs w:val="20"/>
              </w:rPr>
              <w:t>Contains some extensive Aboriginal shell middens in sand dunes.</w:t>
            </w:r>
          </w:p>
          <w:p w14:paraId="06DC0821" w14:textId="77777777" w:rsidR="00BA588B" w:rsidRPr="008855E9" w:rsidRDefault="00BA588B" w:rsidP="00BA588B">
            <w:pPr>
              <w:pStyle w:val="TableText"/>
              <w:rPr>
                <w:rFonts w:cs="Arial"/>
                <w:b/>
                <w:sz w:val="20"/>
                <w:szCs w:val="20"/>
              </w:rPr>
            </w:pPr>
            <w:r w:rsidRPr="008855E9">
              <w:rPr>
                <w:rFonts w:cs="Arial"/>
                <w:b/>
                <w:sz w:val="20"/>
                <w:szCs w:val="20"/>
              </w:rPr>
              <w:t>Shoreline biodiversity</w:t>
            </w:r>
          </w:p>
          <w:p w14:paraId="77037BFF" w14:textId="03D393FA" w:rsidR="00B15557" w:rsidRPr="008855E9" w:rsidRDefault="006018F5" w:rsidP="00BA588B">
            <w:pPr>
              <w:pStyle w:val="TableText"/>
              <w:rPr>
                <w:rFonts w:cs="Arial"/>
                <w:b/>
                <w:sz w:val="20"/>
                <w:szCs w:val="20"/>
              </w:rPr>
            </w:pPr>
            <w:r>
              <w:rPr>
                <w:rFonts w:cs="Arial"/>
                <w:sz w:val="20"/>
                <w:szCs w:val="20"/>
              </w:rPr>
              <w:t>Seabirds reported as using the rock platforms and beaches include short-tailed shearwater, crested and little terns, hooded plover, pied oystercatcher and gannet.</w:t>
            </w:r>
            <w:r w:rsidR="00417D39">
              <w:rPr>
                <w:rFonts w:cs="Arial"/>
                <w:sz w:val="20"/>
                <w:szCs w:val="20"/>
              </w:rPr>
              <w:t xml:space="preserve"> No records of fish species living adjacent to the reserve, with no commercial fishing taking place in the reserve’s lakes and estuaries. </w:t>
            </w:r>
          </w:p>
        </w:tc>
      </w:tr>
      <w:tr w:rsidR="00B15557" w:rsidRPr="008855E9" w14:paraId="3A407EEC" w14:textId="77777777" w:rsidTr="00024545">
        <w:tc>
          <w:tcPr>
            <w:tcW w:w="1701" w:type="dxa"/>
            <w:shd w:val="clear" w:color="auto" w:fill="auto"/>
          </w:tcPr>
          <w:p w14:paraId="4FE61F48" w14:textId="507D6801" w:rsidR="00B15557" w:rsidRDefault="00B15557" w:rsidP="00F965CD">
            <w:pPr>
              <w:pStyle w:val="TableText"/>
              <w:rPr>
                <w:rFonts w:cs="Arial"/>
                <w:b/>
                <w:sz w:val="20"/>
                <w:szCs w:val="20"/>
              </w:rPr>
            </w:pPr>
            <w:r>
              <w:rPr>
                <w:rFonts w:cs="Arial"/>
                <w:b/>
                <w:sz w:val="20"/>
                <w:szCs w:val="20"/>
              </w:rPr>
              <w:t>Ben Boyd National Park</w:t>
            </w:r>
          </w:p>
          <w:p w14:paraId="4A4AF070" w14:textId="77777777" w:rsidR="00CC7F99" w:rsidRDefault="00CC7F99" w:rsidP="00F965CD">
            <w:pPr>
              <w:pStyle w:val="TableText"/>
              <w:rPr>
                <w:rFonts w:cs="Arial"/>
                <w:b/>
                <w:sz w:val="20"/>
                <w:szCs w:val="20"/>
              </w:rPr>
            </w:pPr>
          </w:p>
          <w:p w14:paraId="37F6C604" w14:textId="470544EF" w:rsidR="00CC7F99" w:rsidRPr="008855E9" w:rsidRDefault="00C00849" w:rsidP="00CC7F99">
            <w:pPr>
              <w:pStyle w:val="TableText"/>
              <w:rPr>
                <w:rFonts w:cs="Arial"/>
                <w:i/>
                <w:sz w:val="20"/>
                <w:szCs w:val="20"/>
              </w:rPr>
            </w:pPr>
            <w:r>
              <w:rPr>
                <w:rFonts w:cs="Arial"/>
                <w:i/>
                <w:sz w:val="20"/>
                <w:szCs w:val="20"/>
              </w:rPr>
              <w:t>240</w:t>
            </w:r>
            <w:r w:rsidR="00CC7F99" w:rsidRPr="008855E9">
              <w:rPr>
                <w:rFonts w:cs="Arial"/>
                <w:i/>
                <w:sz w:val="20"/>
                <w:szCs w:val="20"/>
              </w:rPr>
              <w:t xml:space="preserve"> km northeast of </w:t>
            </w:r>
            <w:r w:rsidR="00CC7F99" w:rsidRPr="008855E9">
              <w:rPr>
                <w:rFonts w:cs="Arial"/>
                <w:i/>
                <w:sz w:val="20"/>
                <w:szCs w:val="20"/>
              </w:rPr>
              <w:lastRenderedPageBreak/>
              <w:t>proposed acquisition area</w:t>
            </w:r>
          </w:p>
          <w:p w14:paraId="11174C51" w14:textId="77777777" w:rsidR="00CC7F99" w:rsidRPr="008855E9" w:rsidRDefault="00CC7F99" w:rsidP="00CC7F99">
            <w:pPr>
              <w:pStyle w:val="TableText"/>
              <w:rPr>
                <w:rFonts w:cs="Arial"/>
                <w:sz w:val="20"/>
                <w:szCs w:val="20"/>
              </w:rPr>
            </w:pPr>
          </w:p>
          <w:p w14:paraId="45D77021" w14:textId="77777777" w:rsidR="00CC7F99" w:rsidRPr="008855E9" w:rsidRDefault="00CC7F99" w:rsidP="00CC7F99">
            <w:pPr>
              <w:pStyle w:val="TableText"/>
              <w:rPr>
                <w:rFonts w:cs="Arial"/>
                <w:sz w:val="20"/>
                <w:szCs w:val="20"/>
              </w:rPr>
            </w:pPr>
            <w:r w:rsidRPr="008855E9">
              <w:rPr>
                <w:rFonts w:cs="Arial"/>
                <w:sz w:val="20"/>
                <w:szCs w:val="20"/>
              </w:rPr>
              <w:t xml:space="preserve">IUCN </w:t>
            </w:r>
            <w:r w:rsidRPr="00F121AF">
              <w:rPr>
                <w:rFonts w:cs="Arial"/>
                <w:sz w:val="20"/>
                <w:szCs w:val="20"/>
              </w:rPr>
              <w:t>Category II</w:t>
            </w:r>
          </w:p>
          <w:p w14:paraId="74F57E5F" w14:textId="77777777" w:rsidR="00CC7F99" w:rsidRPr="008855E9" w:rsidRDefault="00CC7F99" w:rsidP="00CC7F99">
            <w:pPr>
              <w:pStyle w:val="TableText"/>
              <w:rPr>
                <w:rFonts w:cs="Arial"/>
                <w:sz w:val="20"/>
                <w:szCs w:val="20"/>
              </w:rPr>
            </w:pPr>
          </w:p>
          <w:p w14:paraId="086BFBD6" w14:textId="552CB087" w:rsidR="00CC7F99" w:rsidRPr="008855E9" w:rsidRDefault="00CC7F99" w:rsidP="00CC7F99">
            <w:pPr>
              <w:pStyle w:val="TableText"/>
              <w:rPr>
                <w:rFonts w:cs="Arial"/>
                <w:b/>
                <w:sz w:val="20"/>
                <w:szCs w:val="20"/>
              </w:rPr>
            </w:pPr>
            <w:r>
              <w:rPr>
                <w:rFonts w:cs="Arial"/>
                <w:sz w:val="20"/>
                <w:szCs w:val="20"/>
              </w:rPr>
              <w:t>NSW NP</w:t>
            </w:r>
            <w:r w:rsidR="00D10F48">
              <w:rPr>
                <w:rFonts w:cs="Arial"/>
                <w:sz w:val="20"/>
                <w:szCs w:val="20"/>
              </w:rPr>
              <w:t>WS Management Plan in place (2010</w:t>
            </w:r>
            <w:r w:rsidRPr="008855E9">
              <w:rPr>
                <w:rFonts w:cs="Arial"/>
                <w:sz w:val="20"/>
                <w:szCs w:val="20"/>
              </w:rPr>
              <w:t>)</w:t>
            </w:r>
          </w:p>
        </w:tc>
        <w:tc>
          <w:tcPr>
            <w:tcW w:w="12049" w:type="dxa"/>
            <w:shd w:val="clear" w:color="auto" w:fill="auto"/>
          </w:tcPr>
          <w:p w14:paraId="31146447" w14:textId="77777777" w:rsidR="00D10F48" w:rsidRPr="008855E9" w:rsidRDefault="00D10F48" w:rsidP="00D10F48">
            <w:pPr>
              <w:pStyle w:val="TableText"/>
              <w:rPr>
                <w:rFonts w:cs="Arial"/>
                <w:b/>
                <w:sz w:val="20"/>
                <w:szCs w:val="20"/>
              </w:rPr>
            </w:pPr>
            <w:r w:rsidRPr="008855E9">
              <w:rPr>
                <w:rFonts w:cs="Arial"/>
                <w:b/>
                <w:sz w:val="20"/>
                <w:szCs w:val="20"/>
              </w:rPr>
              <w:lastRenderedPageBreak/>
              <w:t>Key natural values</w:t>
            </w:r>
          </w:p>
          <w:p w14:paraId="7657BC0D" w14:textId="77777777" w:rsidR="00D10F48" w:rsidRPr="008855E9" w:rsidRDefault="00D10F48" w:rsidP="00D10F48">
            <w:pPr>
              <w:pStyle w:val="TableText"/>
              <w:rPr>
                <w:rFonts w:cs="Arial"/>
                <w:sz w:val="20"/>
                <w:szCs w:val="20"/>
              </w:rPr>
            </w:pPr>
            <w:r w:rsidRPr="008855E9">
              <w:rPr>
                <w:rFonts w:cs="Arial"/>
                <w:sz w:val="20"/>
                <w:szCs w:val="20"/>
              </w:rPr>
              <w:t>The park’s key natural values are listed as:</w:t>
            </w:r>
          </w:p>
          <w:p w14:paraId="1ED62AC6" w14:textId="2EB8C9C6" w:rsidR="00D10F48" w:rsidRDefault="00357F9A" w:rsidP="00D10F48">
            <w:pPr>
              <w:pStyle w:val="TableText"/>
              <w:numPr>
                <w:ilvl w:val="0"/>
                <w:numId w:val="93"/>
              </w:numPr>
              <w:spacing w:before="60" w:after="60"/>
              <w:rPr>
                <w:rFonts w:cs="Arial"/>
                <w:sz w:val="20"/>
                <w:szCs w:val="20"/>
              </w:rPr>
            </w:pPr>
            <w:r>
              <w:rPr>
                <w:rFonts w:cs="Arial"/>
                <w:sz w:val="20"/>
                <w:szCs w:val="20"/>
              </w:rPr>
              <w:t>Superb coastal scenery</w:t>
            </w:r>
            <w:r w:rsidR="00D10F48">
              <w:rPr>
                <w:rFonts w:cs="Arial"/>
                <w:sz w:val="20"/>
                <w:szCs w:val="20"/>
              </w:rPr>
              <w:t>.</w:t>
            </w:r>
          </w:p>
          <w:p w14:paraId="19339EB6" w14:textId="15BA168E" w:rsidR="00D10F48" w:rsidRDefault="00357F9A" w:rsidP="00D10F48">
            <w:pPr>
              <w:pStyle w:val="TableText"/>
              <w:numPr>
                <w:ilvl w:val="0"/>
                <w:numId w:val="93"/>
              </w:numPr>
              <w:spacing w:before="60" w:after="60"/>
              <w:rPr>
                <w:rFonts w:cs="Arial"/>
                <w:sz w:val="20"/>
                <w:szCs w:val="20"/>
              </w:rPr>
            </w:pPr>
            <w:r>
              <w:rPr>
                <w:rFonts w:cs="Arial"/>
                <w:sz w:val="20"/>
                <w:szCs w:val="20"/>
              </w:rPr>
              <w:t>Contains some of th</w:t>
            </w:r>
            <w:r w:rsidR="004E6FFE">
              <w:rPr>
                <w:rFonts w:cs="Arial"/>
                <w:sz w:val="20"/>
                <w:szCs w:val="20"/>
              </w:rPr>
              <w:t>e oldest rocks on the NSW coast</w:t>
            </w:r>
            <w:r>
              <w:rPr>
                <w:rFonts w:cs="Arial"/>
                <w:sz w:val="20"/>
                <w:szCs w:val="20"/>
              </w:rPr>
              <w:t xml:space="preserve">. The barrier sand in Merimbula Bay in the northern section of the park are regionally significant as one of only four major stationary barriers in southern NSW. </w:t>
            </w:r>
          </w:p>
          <w:p w14:paraId="6C5C691B" w14:textId="1EFFFF82" w:rsidR="00D10F48" w:rsidRDefault="00357F9A" w:rsidP="00D10F48">
            <w:pPr>
              <w:pStyle w:val="TableText"/>
              <w:numPr>
                <w:ilvl w:val="0"/>
                <w:numId w:val="93"/>
              </w:numPr>
              <w:spacing w:before="60" w:after="60"/>
              <w:rPr>
                <w:rFonts w:cs="Arial"/>
                <w:sz w:val="20"/>
                <w:szCs w:val="20"/>
              </w:rPr>
            </w:pPr>
            <w:r>
              <w:rPr>
                <w:rFonts w:cs="Arial"/>
                <w:sz w:val="20"/>
                <w:szCs w:val="20"/>
              </w:rPr>
              <w:lastRenderedPageBreak/>
              <w:t>A diverse array of coastal habitats including forest, woodland, heathland, sandy and rocky coastline and estuaries</w:t>
            </w:r>
            <w:r w:rsidR="00143702">
              <w:rPr>
                <w:rFonts w:cs="Arial"/>
                <w:sz w:val="20"/>
                <w:szCs w:val="20"/>
              </w:rPr>
              <w:t xml:space="preserve">. A concentration of significant species occurs at Saltwater Creek. </w:t>
            </w:r>
            <w:r w:rsidR="004E6FFE">
              <w:rPr>
                <w:rFonts w:cs="Arial"/>
                <w:sz w:val="20"/>
                <w:szCs w:val="20"/>
              </w:rPr>
              <w:t xml:space="preserve">Slatmarsh and mangrove woodland are also present in the estuaries. </w:t>
            </w:r>
          </w:p>
          <w:p w14:paraId="2BD08331" w14:textId="2B77E818" w:rsidR="00D10F48" w:rsidRPr="008855E9" w:rsidRDefault="00D10F48" w:rsidP="00D10F48">
            <w:pPr>
              <w:pStyle w:val="TableText"/>
              <w:numPr>
                <w:ilvl w:val="0"/>
                <w:numId w:val="93"/>
              </w:numPr>
              <w:spacing w:before="60" w:after="60"/>
              <w:rPr>
                <w:rFonts w:cs="Arial"/>
                <w:sz w:val="20"/>
                <w:szCs w:val="20"/>
              </w:rPr>
            </w:pPr>
            <w:r>
              <w:rPr>
                <w:rFonts w:cs="Arial"/>
                <w:sz w:val="20"/>
                <w:szCs w:val="20"/>
              </w:rPr>
              <w:t xml:space="preserve">Contains </w:t>
            </w:r>
            <w:r w:rsidR="00143702">
              <w:rPr>
                <w:rFonts w:cs="Arial"/>
                <w:sz w:val="20"/>
                <w:szCs w:val="20"/>
              </w:rPr>
              <w:t>30</w:t>
            </w:r>
            <w:r>
              <w:rPr>
                <w:rFonts w:cs="Arial"/>
                <w:sz w:val="20"/>
                <w:szCs w:val="20"/>
              </w:rPr>
              <w:t xml:space="preserve"> threatened </w:t>
            </w:r>
            <w:r w:rsidR="00143702">
              <w:rPr>
                <w:rFonts w:cs="Arial"/>
                <w:sz w:val="20"/>
                <w:szCs w:val="20"/>
              </w:rPr>
              <w:t>fauna species, including the hooded plover</w:t>
            </w:r>
            <w:r>
              <w:rPr>
                <w:rFonts w:cs="Arial"/>
                <w:sz w:val="20"/>
                <w:szCs w:val="20"/>
              </w:rPr>
              <w:t xml:space="preserve">. </w:t>
            </w:r>
            <w:r w:rsidR="004E6FFE">
              <w:rPr>
                <w:rFonts w:cs="Arial"/>
                <w:sz w:val="20"/>
                <w:szCs w:val="20"/>
              </w:rPr>
              <w:t xml:space="preserve">Nearly 150 bird species have been recorded, with 48 of these being waterbirds. </w:t>
            </w:r>
          </w:p>
          <w:p w14:paraId="2E68093A" w14:textId="07A4C255" w:rsidR="00D10F48" w:rsidRPr="008855E9" w:rsidRDefault="00D10F48" w:rsidP="00D10F48">
            <w:pPr>
              <w:pStyle w:val="TableText"/>
              <w:numPr>
                <w:ilvl w:val="0"/>
                <w:numId w:val="93"/>
              </w:numPr>
              <w:spacing w:before="60" w:after="60"/>
              <w:rPr>
                <w:rFonts w:cs="Arial"/>
                <w:sz w:val="20"/>
                <w:szCs w:val="20"/>
              </w:rPr>
            </w:pPr>
            <w:r>
              <w:rPr>
                <w:rFonts w:cs="Arial"/>
                <w:sz w:val="20"/>
                <w:szCs w:val="20"/>
              </w:rPr>
              <w:t xml:space="preserve">Contains </w:t>
            </w:r>
            <w:r w:rsidR="000F1CF0">
              <w:rPr>
                <w:rFonts w:cs="Arial"/>
                <w:sz w:val="20"/>
                <w:szCs w:val="20"/>
              </w:rPr>
              <w:t>more than 50</w:t>
            </w:r>
            <w:r>
              <w:rPr>
                <w:rFonts w:cs="Arial"/>
                <w:sz w:val="20"/>
                <w:szCs w:val="20"/>
              </w:rPr>
              <w:t xml:space="preserve"> Aboriginal </w:t>
            </w:r>
            <w:r w:rsidR="000F1CF0">
              <w:rPr>
                <w:rFonts w:cs="Arial"/>
                <w:sz w:val="20"/>
                <w:szCs w:val="20"/>
              </w:rPr>
              <w:t xml:space="preserve">sites, mostly </w:t>
            </w:r>
            <w:r>
              <w:rPr>
                <w:rFonts w:cs="Arial"/>
                <w:sz w:val="20"/>
                <w:szCs w:val="20"/>
              </w:rPr>
              <w:t>shell middens.</w:t>
            </w:r>
          </w:p>
          <w:p w14:paraId="6836B8C1" w14:textId="77777777" w:rsidR="00D10F48" w:rsidRPr="008855E9" w:rsidRDefault="00D10F48" w:rsidP="00D10F48">
            <w:pPr>
              <w:pStyle w:val="TableText"/>
              <w:rPr>
                <w:rFonts w:cs="Arial"/>
                <w:b/>
                <w:sz w:val="20"/>
                <w:szCs w:val="20"/>
              </w:rPr>
            </w:pPr>
            <w:r w:rsidRPr="008855E9">
              <w:rPr>
                <w:rFonts w:cs="Arial"/>
                <w:b/>
                <w:sz w:val="20"/>
                <w:szCs w:val="20"/>
              </w:rPr>
              <w:t>Shoreline biodiversity</w:t>
            </w:r>
          </w:p>
          <w:p w14:paraId="31A8F80B" w14:textId="05EABC1A" w:rsidR="00B15557" w:rsidRPr="008855E9" w:rsidRDefault="00D10F48" w:rsidP="00BF1E59">
            <w:pPr>
              <w:pStyle w:val="TableText"/>
              <w:rPr>
                <w:rFonts w:cs="Arial"/>
                <w:b/>
                <w:sz w:val="20"/>
                <w:szCs w:val="20"/>
              </w:rPr>
            </w:pPr>
            <w:r>
              <w:rPr>
                <w:rFonts w:cs="Arial"/>
                <w:sz w:val="20"/>
                <w:szCs w:val="20"/>
              </w:rPr>
              <w:t xml:space="preserve">Seabirds reported as using the </w:t>
            </w:r>
            <w:r w:rsidR="000F1CF0">
              <w:rPr>
                <w:rFonts w:cs="Arial"/>
                <w:sz w:val="20"/>
                <w:szCs w:val="20"/>
              </w:rPr>
              <w:t>coastline of the park</w:t>
            </w:r>
            <w:r>
              <w:rPr>
                <w:rFonts w:cs="Arial"/>
                <w:sz w:val="20"/>
                <w:szCs w:val="20"/>
              </w:rPr>
              <w:t xml:space="preserve"> include </w:t>
            </w:r>
            <w:r w:rsidR="000F1CF0">
              <w:rPr>
                <w:rFonts w:cs="Arial"/>
                <w:sz w:val="20"/>
                <w:szCs w:val="20"/>
              </w:rPr>
              <w:t>fleshy-footed</w:t>
            </w:r>
            <w:r>
              <w:rPr>
                <w:rFonts w:cs="Arial"/>
                <w:sz w:val="20"/>
                <w:szCs w:val="20"/>
              </w:rPr>
              <w:t xml:space="preserve"> shearwater, </w:t>
            </w:r>
            <w:r w:rsidR="000F1CF0">
              <w:rPr>
                <w:rFonts w:cs="Arial"/>
                <w:sz w:val="20"/>
                <w:szCs w:val="20"/>
              </w:rPr>
              <w:t>pied and sooty oystercatchers and hooded plover</w:t>
            </w:r>
            <w:r>
              <w:rPr>
                <w:rFonts w:cs="Arial"/>
                <w:sz w:val="20"/>
                <w:szCs w:val="20"/>
              </w:rPr>
              <w:t xml:space="preserve">. </w:t>
            </w:r>
          </w:p>
        </w:tc>
      </w:tr>
      <w:tr w:rsidR="00000377" w:rsidRPr="008855E9" w14:paraId="2FB33C29" w14:textId="77777777" w:rsidTr="00F965CD">
        <w:tc>
          <w:tcPr>
            <w:tcW w:w="13750" w:type="dxa"/>
            <w:gridSpan w:val="2"/>
            <w:shd w:val="clear" w:color="auto" w:fill="auto"/>
          </w:tcPr>
          <w:p w14:paraId="781782A4" w14:textId="77777777" w:rsidR="00000377" w:rsidRPr="008855E9" w:rsidRDefault="00000377" w:rsidP="00F965CD">
            <w:pPr>
              <w:pStyle w:val="TableText"/>
              <w:rPr>
                <w:rFonts w:cs="Arial"/>
                <w:sz w:val="20"/>
                <w:szCs w:val="20"/>
                <w:u w:val="single"/>
              </w:rPr>
            </w:pPr>
            <w:r w:rsidRPr="008855E9">
              <w:rPr>
                <w:rFonts w:cs="Arial"/>
                <w:sz w:val="20"/>
                <w:szCs w:val="20"/>
                <w:u w:val="single"/>
              </w:rPr>
              <w:lastRenderedPageBreak/>
              <w:t>IUCN categories</w:t>
            </w:r>
          </w:p>
          <w:p w14:paraId="38FBD1FA" w14:textId="77777777" w:rsidR="00000377" w:rsidRPr="008855E9" w:rsidRDefault="00000377" w:rsidP="00F965CD">
            <w:pPr>
              <w:pStyle w:val="TableText"/>
              <w:rPr>
                <w:rFonts w:cs="Arial"/>
                <w:sz w:val="20"/>
                <w:szCs w:val="20"/>
              </w:rPr>
            </w:pPr>
            <w:r w:rsidRPr="008855E9">
              <w:rPr>
                <w:rFonts w:cs="Arial"/>
                <w:b/>
                <w:sz w:val="20"/>
                <w:szCs w:val="20"/>
              </w:rPr>
              <w:t>Ia – Strict nature reserve</w:t>
            </w:r>
            <w:r w:rsidRPr="008855E9">
              <w:rPr>
                <w:rFonts w:cs="Arial"/>
                <w:sz w:val="20"/>
                <w:szCs w:val="20"/>
              </w:rPr>
              <w:t xml:space="preserve">. Protected areas that are strictly set aside to protect biodiversity and also possibly geological/geomorphological features, where human visitation, use and impacts are strictly controlled and limited to ensure protection of the conservation values. Such protected areas can serve as indispensable reference areas for scientific research and monitoring. </w:t>
            </w:r>
          </w:p>
        </w:tc>
      </w:tr>
      <w:tr w:rsidR="00000377" w:rsidRPr="008855E9" w14:paraId="4EAC75C0" w14:textId="77777777" w:rsidTr="00F965CD">
        <w:tc>
          <w:tcPr>
            <w:tcW w:w="13750" w:type="dxa"/>
            <w:gridSpan w:val="2"/>
            <w:shd w:val="clear" w:color="auto" w:fill="auto"/>
          </w:tcPr>
          <w:p w14:paraId="0A17D0A8" w14:textId="77777777" w:rsidR="00000377" w:rsidRPr="008855E9" w:rsidRDefault="00000377" w:rsidP="00F965CD">
            <w:pPr>
              <w:pStyle w:val="TableText"/>
              <w:rPr>
                <w:rFonts w:cs="Arial"/>
                <w:sz w:val="20"/>
                <w:szCs w:val="20"/>
              </w:rPr>
            </w:pPr>
            <w:r w:rsidRPr="008855E9">
              <w:rPr>
                <w:rFonts w:cs="Arial"/>
                <w:b/>
                <w:sz w:val="20"/>
                <w:szCs w:val="20"/>
              </w:rPr>
              <w:t>Ib – Wilderness area</w:t>
            </w:r>
            <w:r w:rsidRPr="008855E9">
              <w:rPr>
                <w:rFonts w:cs="Arial"/>
                <w:sz w:val="20"/>
                <w:szCs w:val="20"/>
              </w:rPr>
              <w:t>. Protected areas that are usually large, unmodified or slightly modified areas, retaining their natural character and influence, without permanent or significant human habitation, which are protected and managed so as to preserve their natural condition.</w:t>
            </w:r>
          </w:p>
        </w:tc>
      </w:tr>
      <w:tr w:rsidR="00000377" w:rsidRPr="008855E9" w14:paraId="0C87D14B" w14:textId="77777777" w:rsidTr="00F965CD">
        <w:tc>
          <w:tcPr>
            <w:tcW w:w="13750" w:type="dxa"/>
            <w:gridSpan w:val="2"/>
            <w:shd w:val="clear" w:color="auto" w:fill="auto"/>
          </w:tcPr>
          <w:p w14:paraId="492E33D8" w14:textId="77777777" w:rsidR="00000377" w:rsidRPr="008855E9" w:rsidRDefault="00000377" w:rsidP="00F965CD">
            <w:pPr>
              <w:pStyle w:val="TableText"/>
              <w:rPr>
                <w:rFonts w:cs="Arial"/>
                <w:sz w:val="20"/>
                <w:szCs w:val="20"/>
              </w:rPr>
            </w:pPr>
            <w:r w:rsidRPr="008855E9">
              <w:rPr>
                <w:rFonts w:cs="Arial"/>
                <w:b/>
                <w:sz w:val="20"/>
                <w:szCs w:val="20"/>
              </w:rPr>
              <w:t>II - National Park</w:t>
            </w:r>
            <w:r w:rsidRPr="008855E9">
              <w:rPr>
                <w:rFonts w:cs="Arial"/>
                <w:sz w:val="20"/>
                <w:szCs w:val="20"/>
              </w:rPr>
              <w:t>. Protected areas are large natural or near natural areas set aside to protect large-scale ecological processes, along with the complement of species and ecosystems characteristic of the area, which also provide a foundation for environmentally and culturally compatible, spiritual, scientific, educational, recreational, and visitor opportunities.</w:t>
            </w:r>
          </w:p>
        </w:tc>
      </w:tr>
      <w:tr w:rsidR="00000377" w:rsidRPr="008855E9" w14:paraId="0D9B5AAA" w14:textId="77777777" w:rsidTr="00F965CD">
        <w:tc>
          <w:tcPr>
            <w:tcW w:w="13750" w:type="dxa"/>
            <w:gridSpan w:val="2"/>
            <w:shd w:val="clear" w:color="auto" w:fill="auto"/>
          </w:tcPr>
          <w:p w14:paraId="5174EC55" w14:textId="77777777" w:rsidR="00000377" w:rsidRPr="008855E9" w:rsidRDefault="00000377" w:rsidP="00F965CD">
            <w:pPr>
              <w:pStyle w:val="TableText"/>
              <w:rPr>
                <w:rFonts w:cs="Arial"/>
                <w:sz w:val="20"/>
                <w:szCs w:val="20"/>
              </w:rPr>
            </w:pPr>
            <w:r w:rsidRPr="008855E9">
              <w:rPr>
                <w:rFonts w:cs="Arial"/>
                <w:b/>
                <w:sz w:val="20"/>
                <w:szCs w:val="20"/>
              </w:rPr>
              <w:t>III - Natural Monument or Feature</w:t>
            </w:r>
            <w:r w:rsidRPr="008855E9">
              <w:rPr>
                <w:rFonts w:cs="Arial"/>
                <w:sz w:val="20"/>
                <w:szCs w:val="20"/>
              </w:rPr>
              <w:t>. Protected areas are set aside to protect a specific natural monument, which can be a landform, sea mount, submarine cavern, geological feature such as a cave or even a living feature such as an ancient grove. They are generally quite small protected areas and often have high visitor value.</w:t>
            </w:r>
          </w:p>
        </w:tc>
      </w:tr>
      <w:tr w:rsidR="00000377" w:rsidRPr="008855E9" w14:paraId="294A2FC1" w14:textId="77777777" w:rsidTr="00F965CD">
        <w:tc>
          <w:tcPr>
            <w:tcW w:w="13750" w:type="dxa"/>
            <w:gridSpan w:val="2"/>
            <w:shd w:val="clear" w:color="auto" w:fill="auto"/>
          </w:tcPr>
          <w:p w14:paraId="1BF1E0CF" w14:textId="77777777" w:rsidR="00000377" w:rsidRPr="008855E9" w:rsidRDefault="00000377" w:rsidP="00F965CD">
            <w:pPr>
              <w:pStyle w:val="TableText"/>
              <w:rPr>
                <w:rFonts w:cs="Arial"/>
                <w:sz w:val="20"/>
                <w:szCs w:val="20"/>
              </w:rPr>
            </w:pPr>
            <w:r w:rsidRPr="008855E9">
              <w:rPr>
                <w:rFonts w:cs="Arial"/>
                <w:b/>
                <w:sz w:val="20"/>
                <w:szCs w:val="20"/>
              </w:rPr>
              <w:t>IV - Habitat/Species Management Area</w:t>
            </w:r>
            <w:r w:rsidRPr="008855E9">
              <w:rPr>
                <w:rFonts w:cs="Arial"/>
                <w:sz w:val="20"/>
                <w:szCs w:val="20"/>
              </w:rPr>
              <w:t>. Protected areas aim to protect particular species or habitats and management reflects this priority. Many Category IV protected areas will need regular, active interventions to address the requirements of particular species or to maintain habitats, but this is not a requirement of the category.</w:t>
            </w:r>
          </w:p>
        </w:tc>
      </w:tr>
    </w:tbl>
    <w:p w14:paraId="1C808923" w14:textId="1C77320A" w:rsidR="00880E19" w:rsidRPr="006C63E2" w:rsidRDefault="002C76AE" w:rsidP="00611D58">
      <w:pPr>
        <w:pStyle w:val="bodycopy"/>
        <w:rPr>
          <w:i/>
          <w:sz w:val="16"/>
          <w:szCs w:val="16"/>
        </w:rPr>
        <w:sectPr w:rsidR="00880E19" w:rsidRPr="006C63E2" w:rsidSect="002E2A06">
          <w:headerReference w:type="even" r:id="rId95"/>
          <w:headerReference w:type="default" r:id="rId96"/>
          <w:headerReference w:type="first" r:id="rId97"/>
          <w:pgSz w:w="16838" w:h="11906" w:orient="landscape" w:code="9"/>
          <w:pgMar w:top="1002" w:right="1930" w:bottom="1800" w:left="1440" w:header="994" w:footer="706" w:gutter="0"/>
          <w:cols w:space="708"/>
          <w:docGrid w:linePitch="360"/>
        </w:sectPr>
      </w:pPr>
      <w:r w:rsidRPr="00500DED">
        <w:rPr>
          <w:i/>
          <w:sz w:val="16"/>
          <w:szCs w:val="16"/>
        </w:rPr>
        <w:t xml:space="preserve">Sources: </w:t>
      </w:r>
      <w:r w:rsidR="00880E19">
        <w:rPr>
          <w:i/>
          <w:sz w:val="16"/>
          <w:szCs w:val="16"/>
        </w:rPr>
        <w:t xml:space="preserve">ParksVic (1998), </w:t>
      </w:r>
      <w:r w:rsidR="00350608" w:rsidRPr="00350608">
        <w:rPr>
          <w:i/>
          <w:sz w:val="16"/>
          <w:szCs w:val="16"/>
        </w:rPr>
        <w:t>East Gippsland Shire Council (2015)</w:t>
      </w:r>
      <w:r w:rsidR="00350608">
        <w:rPr>
          <w:i/>
          <w:sz w:val="16"/>
          <w:szCs w:val="16"/>
        </w:rPr>
        <w:t xml:space="preserve">, </w:t>
      </w:r>
      <w:r w:rsidR="008647D3">
        <w:rPr>
          <w:i/>
          <w:sz w:val="16"/>
          <w:szCs w:val="16"/>
        </w:rPr>
        <w:t xml:space="preserve">ParksVic (2005), </w:t>
      </w:r>
      <w:r w:rsidR="0053379E">
        <w:rPr>
          <w:i/>
          <w:sz w:val="16"/>
          <w:szCs w:val="16"/>
        </w:rPr>
        <w:t>DNRE</w:t>
      </w:r>
      <w:r w:rsidR="008647D3">
        <w:rPr>
          <w:i/>
          <w:sz w:val="16"/>
          <w:szCs w:val="16"/>
        </w:rPr>
        <w:t xml:space="preserve"> (1996), </w:t>
      </w:r>
      <w:r w:rsidR="00A6731D" w:rsidRPr="006C63E2">
        <w:rPr>
          <w:i/>
          <w:sz w:val="16"/>
          <w:szCs w:val="16"/>
        </w:rPr>
        <w:t>NSW NPWS (2003), NWS NPWS (2010)</w:t>
      </w:r>
      <w:r w:rsidR="008647D3">
        <w:rPr>
          <w:i/>
          <w:sz w:val="16"/>
          <w:szCs w:val="16"/>
        </w:rPr>
        <w:t>.</w:t>
      </w:r>
    </w:p>
    <w:p w14:paraId="6C040C07" w14:textId="77777777" w:rsidR="00F92BED" w:rsidRPr="00D84AA8" w:rsidRDefault="00F92BED" w:rsidP="00D84AA8">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218" w:name="_Toc320190753"/>
      <w:bookmarkStart w:id="219" w:name="_Ref478654811"/>
      <w:bookmarkStart w:id="220" w:name="_Toc375214551"/>
      <w:r w:rsidRPr="00D84AA8">
        <w:rPr>
          <w:rFonts w:cs="Times New Roman"/>
          <w:iCs w:val="0"/>
          <w:color w:val="064EA8"/>
          <w:szCs w:val="26"/>
          <w:lang w:eastAsia="en-US"/>
        </w:rPr>
        <w:lastRenderedPageBreak/>
        <w:t>Coastal Environment</w:t>
      </w:r>
      <w:bookmarkEnd w:id="218"/>
      <w:bookmarkEnd w:id="219"/>
      <w:bookmarkEnd w:id="220"/>
    </w:p>
    <w:p w14:paraId="724E5D6E" w14:textId="59A27A6B" w:rsidR="00F92BED" w:rsidRPr="00392A57" w:rsidRDefault="00F92BED" w:rsidP="00F92BED">
      <w:pPr>
        <w:pStyle w:val="bodycopy"/>
        <w:rPr>
          <w:rFonts w:ascii="Arial" w:hAnsi="Arial"/>
          <w:sz w:val="22"/>
          <w:szCs w:val="22"/>
        </w:rPr>
      </w:pPr>
      <w:r w:rsidRPr="00D84AA8">
        <w:rPr>
          <w:rFonts w:ascii="Arial" w:hAnsi="Arial"/>
          <w:sz w:val="22"/>
          <w:szCs w:val="22"/>
        </w:rPr>
        <w:t>The physical coastal environment described in this section is d</w:t>
      </w:r>
      <w:r w:rsidR="005320D7">
        <w:rPr>
          <w:rFonts w:ascii="Arial" w:hAnsi="Arial"/>
          <w:sz w:val="22"/>
          <w:szCs w:val="22"/>
        </w:rPr>
        <w:t>efined by the extent of the E</w:t>
      </w:r>
      <w:r w:rsidRPr="00D84AA8">
        <w:rPr>
          <w:rFonts w:ascii="Arial" w:hAnsi="Arial"/>
          <w:sz w:val="22"/>
          <w:szCs w:val="22"/>
        </w:rPr>
        <w:t xml:space="preserve">MBA. This stretches from McLoughlins Beach (the eastern extent of Corner Inlet) east to the Victorian/New South Wales (NSW) border, with some contact at Cape Green in southern NSW. </w:t>
      </w:r>
    </w:p>
    <w:p w14:paraId="43632C96" w14:textId="598ED37D" w:rsidR="005E53C1" w:rsidRPr="00D84AA8" w:rsidRDefault="005E53C1" w:rsidP="00F92BED">
      <w:pPr>
        <w:pStyle w:val="bodycopy"/>
        <w:rPr>
          <w:rFonts w:ascii="Arial" w:hAnsi="Arial"/>
          <w:sz w:val="22"/>
          <w:szCs w:val="22"/>
        </w:rPr>
      </w:pPr>
      <w:r w:rsidRPr="00392A57">
        <w:rPr>
          <w:rFonts w:ascii="Arial" w:hAnsi="Arial"/>
          <w:sz w:val="22"/>
          <w:szCs w:val="22"/>
        </w:rPr>
        <w:t xml:space="preserve">The environmental features of the coast immediately adjacent to the proposed survey acquisition area are illustrated in </w:t>
      </w:r>
      <w:r w:rsidRPr="003A03BA">
        <w:rPr>
          <w:rFonts w:ascii="Arial" w:hAnsi="Arial"/>
          <w:sz w:val="22"/>
          <w:szCs w:val="22"/>
        </w:rPr>
        <w:t>Figure 5.</w:t>
      </w:r>
      <w:r w:rsidR="0034491B" w:rsidRPr="003A03BA">
        <w:rPr>
          <w:rFonts w:ascii="Arial" w:hAnsi="Arial"/>
          <w:sz w:val="22"/>
          <w:szCs w:val="22"/>
        </w:rPr>
        <w:t>3</w:t>
      </w:r>
      <w:r w:rsidRPr="00FC2209">
        <w:rPr>
          <w:rFonts w:ascii="Arial" w:hAnsi="Arial"/>
          <w:sz w:val="22"/>
          <w:szCs w:val="22"/>
        </w:rPr>
        <w:t xml:space="preserve">, which shows that the seabed in the state waters portion of the survey area is dominated by sandy sediment with sparse reef (likely to be low-profile carbonate reef, see Section </w:t>
      </w:r>
      <w:r w:rsidR="00B26ACD" w:rsidRPr="00FC2209">
        <w:rPr>
          <w:rFonts w:ascii="Arial" w:hAnsi="Arial"/>
          <w:sz w:val="22"/>
          <w:szCs w:val="22"/>
        </w:rPr>
        <w:t>5.1</w:t>
      </w:r>
      <w:r w:rsidRPr="00FC2209">
        <w:rPr>
          <w:rFonts w:ascii="Arial" w:hAnsi="Arial"/>
          <w:sz w:val="22"/>
          <w:szCs w:val="22"/>
        </w:rPr>
        <w:t xml:space="preserve">). </w:t>
      </w:r>
    </w:p>
    <w:p w14:paraId="63440CCD" w14:textId="77777777" w:rsidR="00F92BED" w:rsidRPr="00F71A07" w:rsidRDefault="00F92BED" w:rsidP="00657154">
      <w:pPr>
        <w:pStyle w:val="Heading3"/>
      </w:pPr>
      <w:bookmarkStart w:id="221" w:name="_Toc474222002"/>
      <w:bookmarkStart w:id="222" w:name="_Toc375214552"/>
      <w:r>
        <w:t>Shoreline</w:t>
      </w:r>
      <w:r w:rsidR="006D0E9E">
        <w:t xml:space="preserve"> Type</w:t>
      </w:r>
      <w:r>
        <w:t>s</w:t>
      </w:r>
      <w:bookmarkEnd w:id="221"/>
      <w:bookmarkEnd w:id="222"/>
      <w:r>
        <w:t xml:space="preserve"> </w:t>
      </w:r>
    </w:p>
    <w:p w14:paraId="44AC0B29" w14:textId="665E0E6E" w:rsidR="00F92BED" w:rsidRPr="008855E9" w:rsidRDefault="009148F6" w:rsidP="00F92BED">
      <w:pPr>
        <w:pStyle w:val="bodycopy"/>
        <w:rPr>
          <w:rFonts w:ascii="Arial" w:hAnsi="Arial"/>
          <w:sz w:val="22"/>
          <w:szCs w:val="22"/>
        </w:rPr>
      </w:pPr>
      <w:r w:rsidRPr="008855E9">
        <w:rPr>
          <w:rFonts w:ascii="Arial" w:hAnsi="Arial"/>
          <w:sz w:val="22"/>
          <w:szCs w:val="22"/>
        </w:rPr>
        <w:t>The</w:t>
      </w:r>
      <w:r w:rsidR="00F92BED" w:rsidRPr="008855E9">
        <w:rPr>
          <w:rFonts w:ascii="Arial" w:hAnsi="Arial"/>
          <w:sz w:val="22"/>
          <w:szCs w:val="22"/>
        </w:rPr>
        <w:t xml:space="preserve"> western part of th</w:t>
      </w:r>
      <w:r w:rsidRPr="008855E9">
        <w:rPr>
          <w:rFonts w:ascii="Arial" w:hAnsi="Arial"/>
          <w:sz w:val="22"/>
          <w:szCs w:val="22"/>
        </w:rPr>
        <w:t>e</w:t>
      </w:r>
      <w:r w:rsidR="00F92BED" w:rsidRPr="008855E9">
        <w:rPr>
          <w:rFonts w:ascii="Arial" w:hAnsi="Arial"/>
          <w:sz w:val="22"/>
          <w:szCs w:val="22"/>
        </w:rPr>
        <w:t xml:space="preserve"> coastline </w:t>
      </w:r>
      <w:r w:rsidRPr="008855E9">
        <w:rPr>
          <w:rFonts w:ascii="Arial" w:hAnsi="Arial"/>
          <w:sz w:val="22"/>
          <w:szCs w:val="22"/>
        </w:rPr>
        <w:t xml:space="preserve">within the EMBA </w:t>
      </w:r>
      <w:r w:rsidR="00F92BED" w:rsidRPr="008855E9">
        <w:rPr>
          <w:rFonts w:ascii="Arial" w:hAnsi="Arial"/>
          <w:sz w:val="22"/>
          <w:szCs w:val="22"/>
        </w:rPr>
        <w:t xml:space="preserve">is dominated by the Ninety Mile Beach, a </w:t>
      </w:r>
      <w:r w:rsidR="00602082">
        <w:rPr>
          <w:rFonts w:ascii="Arial" w:hAnsi="Arial"/>
          <w:sz w:val="22"/>
          <w:szCs w:val="22"/>
        </w:rPr>
        <w:t>90</w:t>
      </w:r>
      <w:r w:rsidR="00656C86">
        <w:rPr>
          <w:rFonts w:ascii="Arial" w:hAnsi="Arial"/>
          <w:sz w:val="22"/>
          <w:szCs w:val="22"/>
        </w:rPr>
        <w:t xml:space="preserve"> </w:t>
      </w:r>
      <w:r w:rsidR="00190C62" w:rsidRPr="008855E9">
        <w:rPr>
          <w:rFonts w:ascii="Arial" w:hAnsi="Arial"/>
          <w:sz w:val="22"/>
          <w:szCs w:val="22"/>
        </w:rPr>
        <w:t xml:space="preserve">mile (145 </w:t>
      </w:r>
      <w:r w:rsidR="00F92BED" w:rsidRPr="008855E9">
        <w:rPr>
          <w:rFonts w:ascii="Arial" w:hAnsi="Arial"/>
          <w:sz w:val="22"/>
          <w:szCs w:val="22"/>
        </w:rPr>
        <w:t>km</w:t>
      </w:r>
      <w:r w:rsidR="00190C62" w:rsidRPr="008855E9">
        <w:rPr>
          <w:rFonts w:ascii="Arial" w:hAnsi="Arial"/>
          <w:sz w:val="22"/>
          <w:szCs w:val="22"/>
        </w:rPr>
        <w:t>)</w:t>
      </w:r>
      <w:r w:rsidR="00F92BED" w:rsidRPr="008855E9">
        <w:rPr>
          <w:rFonts w:ascii="Arial" w:hAnsi="Arial"/>
          <w:sz w:val="22"/>
          <w:szCs w:val="22"/>
        </w:rPr>
        <w:t xml:space="preserve"> </w:t>
      </w:r>
      <w:r w:rsidR="00190C62" w:rsidRPr="008855E9">
        <w:rPr>
          <w:rFonts w:ascii="Arial" w:hAnsi="Arial"/>
          <w:sz w:val="22"/>
          <w:szCs w:val="22"/>
        </w:rPr>
        <w:t xml:space="preserve">long </w:t>
      </w:r>
      <w:r w:rsidR="00F92BED" w:rsidRPr="008855E9">
        <w:rPr>
          <w:rFonts w:ascii="Arial" w:hAnsi="Arial"/>
          <w:sz w:val="22"/>
          <w:szCs w:val="22"/>
        </w:rPr>
        <w:t>stretch of sandy beach on the seaward side of a narrow, tall, vegetated sand dune system. These sand dunes provide important habitat for hooded plovers (see Section</w:t>
      </w:r>
      <w:r w:rsidR="008855E9">
        <w:rPr>
          <w:rFonts w:ascii="Arial" w:hAnsi="Arial"/>
          <w:sz w:val="22"/>
          <w:szCs w:val="22"/>
        </w:rPr>
        <w:t xml:space="preserve"> </w:t>
      </w:r>
      <w:r w:rsidR="008855E9">
        <w:rPr>
          <w:rFonts w:ascii="Arial" w:hAnsi="Arial"/>
          <w:sz w:val="22"/>
          <w:szCs w:val="22"/>
        </w:rPr>
        <w:fldChar w:fldCharType="begin"/>
      </w:r>
      <w:r w:rsidR="008855E9">
        <w:rPr>
          <w:rFonts w:ascii="Arial" w:hAnsi="Arial"/>
          <w:sz w:val="22"/>
          <w:szCs w:val="22"/>
        </w:rPr>
        <w:instrText xml:space="preserve"> REF _Ref476148105 \r \h </w:instrText>
      </w:r>
      <w:r w:rsidR="008855E9">
        <w:rPr>
          <w:rFonts w:ascii="Arial" w:hAnsi="Arial"/>
          <w:sz w:val="22"/>
          <w:szCs w:val="22"/>
        </w:rPr>
      </w:r>
      <w:r w:rsidR="008855E9">
        <w:rPr>
          <w:rFonts w:ascii="Arial" w:hAnsi="Arial"/>
          <w:sz w:val="22"/>
          <w:szCs w:val="22"/>
        </w:rPr>
        <w:fldChar w:fldCharType="separate"/>
      </w:r>
      <w:r w:rsidR="007C0ECD">
        <w:rPr>
          <w:rFonts w:ascii="Arial" w:hAnsi="Arial"/>
          <w:sz w:val="22"/>
          <w:szCs w:val="22"/>
        </w:rPr>
        <w:t>5.4.8</w:t>
      </w:r>
      <w:r w:rsidR="008855E9">
        <w:rPr>
          <w:rFonts w:ascii="Arial" w:hAnsi="Arial"/>
          <w:sz w:val="22"/>
          <w:szCs w:val="22"/>
        </w:rPr>
        <w:fldChar w:fldCharType="end"/>
      </w:r>
      <w:r w:rsidR="00F92BED" w:rsidRPr="008855E9">
        <w:rPr>
          <w:rFonts w:ascii="Arial" w:hAnsi="Arial"/>
          <w:sz w:val="22"/>
          <w:szCs w:val="22"/>
        </w:rPr>
        <w:t xml:space="preserve">) and roosting sites for other shorebird species. </w:t>
      </w:r>
    </w:p>
    <w:p w14:paraId="1734F2F2" w14:textId="77777777" w:rsidR="00F92BED" w:rsidRPr="008855E9" w:rsidRDefault="00F92BED" w:rsidP="00F92BED">
      <w:pPr>
        <w:pStyle w:val="bodycopy"/>
        <w:rPr>
          <w:rFonts w:ascii="Arial" w:hAnsi="Arial"/>
          <w:sz w:val="22"/>
          <w:szCs w:val="22"/>
        </w:rPr>
      </w:pPr>
      <w:r w:rsidRPr="008855E9">
        <w:rPr>
          <w:rFonts w:ascii="Arial" w:hAnsi="Arial"/>
          <w:sz w:val="22"/>
          <w:szCs w:val="22"/>
        </w:rPr>
        <w:t xml:space="preserve">Around the Lake Tyers area, the coastline is intermittently interspersed with short sections of mixed sand/shore platforms. </w:t>
      </w:r>
    </w:p>
    <w:p w14:paraId="6558F997" w14:textId="77777777" w:rsidR="00F92BED" w:rsidRPr="00F71A07" w:rsidRDefault="00F92BED" w:rsidP="00657154">
      <w:pPr>
        <w:pStyle w:val="Heading3"/>
      </w:pPr>
      <w:bookmarkStart w:id="223" w:name="_Toc474222003"/>
      <w:bookmarkStart w:id="224" w:name="_Toc375214553"/>
      <w:r>
        <w:t>Estuaries</w:t>
      </w:r>
      <w:bookmarkEnd w:id="223"/>
      <w:bookmarkEnd w:id="224"/>
      <w:r>
        <w:t xml:space="preserve"> </w:t>
      </w:r>
    </w:p>
    <w:p w14:paraId="216C013B" w14:textId="77777777" w:rsidR="00F92BED" w:rsidRPr="008855E9" w:rsidRDefault="009148F6" w:rsidP="00F92BED">
      <w:pPr>
        <w:pStyle w:val="bodycopy"/>
        <w:rPr>
          <w:rFonts w:ascii="Arial" w:hAnsi="Arial"/>
          <w:sz w:val="22"/>
          <w:szCs w:val="22"/>
        </w:rPr>
      </w:pPr>
      <w:r w:rsidRPr="008855E9">
        <w:rPr>
          <w:rFonts w:ascii="Arial" w:hAnsi="Arial"/>
          <w:sz w:val="22"/>
          <w:szCs w:val="22"/>
        </w:rPr>
        <w:t>There are 21 e</w:t>
      </w:r>
      <w:r w:rsidR="00F92BED" w:rsidRPr="008855E9">
        <w:rPr>
          <w:rFonts w:ascii="Arial" w:hAnsi="Arial"/>
          <w:sz w:val="22"/>
          <w:szCs w:val="22"/>
        </w:rPr>
        <w:t>stuaries along the coastline</w:t>
      </w:r>
      <w:r w:rsidR="00FD0300" w:rsidRPr="008855E9">
        <w:rPr>
          <w:rFonts w:ascii="Arial" w:hAnsi="Arial"/>
          <w:sz w:val="22"/>
          <w:szCs w:val="22"/>
        </w:rPr>
        <w:t xml:space="preserve"> of the EMBA. M</w:t>
      </w:r>
      <w:r w:rsidR="00F92BED" w:rsidRPr="008855E9">
        <w:rPr>
          <w:rFonts w:ascii="Arial" w:hAnsi="Arial"/>
          <w:sz w:val="22"/>
          <w:szCs w:val="22"/>
        </w:rPr>
        <w:t>oving from west to east</w:t>
      </w:r>
      <w:r w:rsidR="00FD0300" w:rsidRPr="008855E9">
        <w:rPr>
          <w:rFonts w:ascii="Arial" w:hAnsi="Arial"/>
          <w:sz w:val="22"/>
          <w:szCs w:val="22"/>
        </w:rPr>
        <w:t>, these</w:t>
      </w:r>
      <w:r w:rsidR="00F92BED" w:rsidRPr="008855E9">
        <w:rPr>
          <w:rFonts w:ascii="Arial" w:hAnsi="Arial"/>
          <w:sz w:val="22"/>
          <w:szCs w:val="22"/>
        </w:rPr>
        <w:t xml:space="preserve"> are: </w:t>
      </w:r>
    </w:p>
    <w:p w14:paraId="4777F313"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Jack Smith Lake</w:t>
      </w:r>
      <w:r w:rsidR="007B5841" w:rsidRPr="008855E9">
        <w:rPr>
          <w:rFonts w:ascii="Arial" w:hAnsi="Arial"/>
          <w:sz w:val="22"/>
          <w:szCs w:val="22"/>
        </w:rPr>
        <w:t xml:space="preserve"> estuary – intermittently open</w:t>
      </w:r>
      <w:r w:rsidRPr="008855E9">
        <w:rPr>
          <w:rFonts w:ascii="Arial" w:hAnsi="Arial"/>
          <w:sz w:val="22"/>
          <w:szCs w:val="22"/>
        </w:rPr>
        <w:t xml:space="preserve">; </w:t>
      </w:r>
    </w:p>
    <w:p w14:paraId="5FB4F40C" w14:textId="77777777" w:rsidR="007B5841" w:rsidRPr="008855E9" w:rsidRDefault="007B5841" w:rsidP="002E4E3A">
      <w:pPr>
        <w:pStyle w:val="bodycopy"/>
        <w:numPr>
          <w:ilvl w:val="0"/>
          <w:numId w:val="21"/>
        </w:numPr>
        <w:rPr>
          <w:rFonts w:ascii="Arial" w:hAnsi="Arial"/>
          <w:sz w:val="22"/>
          <w:szCs w:val="22"/>
        </w:rPr>
      </w:pPr>
      <w:r w:rsidRPr="008855E9">
        <w:rPr>
          <w:rFonts w:ascii="Arial" w:hAnsi="Arial"/>
          <w:sz w:val="22"/>
          <w:szCs w:val="22"/>
        </w:rPr>
        <w:t>Lake Dennison estuary – intermittently open;</w:t>
      </w:r>
    </w:p>
    <w:p w14:paraId="3C034986"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Merriman Creek</w:t>
      </w:r>
      <w:r w:rsidR="007B5841" w:rsidRPr="008855E9">
        <w:rPr>
          <w:rFonts w:ascii="Arial" w:hAnsi="Arial"/>
          <w:sz w:val="22"/>
          <w:szCs w:val="22"/>
        </w:rPr>
        <w:t xml:space="preserve"> estuary – intermittently open</w:t>
      </w:r>
      <w:r w:rsidRPr="008855E9">
        <w:rPr>
          <w:rFonts w:ascii="Arial" w:hAnsi="Arial"/>
          <w:sz w:val="22"/>
          <w:szCs w:val="22"/>
        </w:rPr>
        <w:t xml:space="preserve">; </w:t>
      </w:r>
    </w:p>
    <w:p w14:paraId="6528795C"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Lakes Entrance</w:t>
      </w:r>
      <w:r w:rsidR="007B5841" w:rsidRPr="008855E9">
        <w:rPr>
          <w:rFonts w:ascii="Arial" w:hAnsi="Arial"/>
          <w:sz w:val="22"/>
          <w:szCs w:val="22"/>
        </w:rPr>
        <w:t xml:space="preserve"> – permanently open</w:t>
      </w:r>
      <w:r w:rsidRPr="008855E9">
        <w:rPr>
          <w:rFonts w:ascii="Arial" w:hAnsi="Arial"/>
          <w:sz w:val="22"/>
          <w:szCs w:val="22"/>
        </w:rPr>
        <w:t>;</w:t>
      </w:r>
    </w:p>
    <w:p w14:paraId="5CC4BCE6"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Bun</w:t>
      </w:r>
      <w:r w:rsidR="004601F6" w:rsidRPr="008855E9">
        <w:rPr>
          <w:rFonts w:ascii="Arial" w:hAnsi="Arial"/>
          <w:sz w:val="22"/>
          <w:szCs w:val="22"/>
        </w:rPr>
        <w:t>g</w:t>
      </w:r>
      <w:r w:rsidRPr="008855E9">
        <w:rPr>
          <w:rFonts w:ascii="Arial" w:hAnsi="Arial"/>
          <w:sz w:val="22"/>
          <w:szCs w:val="22"/>
        </w:rPr>
        <w:t>a River</w:t>
      </w:r>
      <w:r w:rsidR="004601F6" w:rsidRPr="008855E9">
        <w:rPr>
          <w:rFonts w:ascii="Arial" w:hAnsi="Arial"/>
          <w:sz w:val="22"/>
          <w:szCs w:val="22"/>
        </w:rPr>
        <w:t xml:space="preserve"> – intermittently open</w:t>
      </w:r>
      <w:r w:rsidRPr="008855E9">
        <w:rPr>
          <w:rFonts w:ascii="Arial" w:hAnsi="Arial"/>
          <w:sz w:val="22"/>
          <w:szCs w:val="22"/>
        </w:rPr>
        <w:t xml:space="preserve">; </w:t>
      </w:r>
    </w:p>
    <w:p w14:paraId="028FB4C7"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Lake Tyers</w:t>
      </w:r>
      <w:r w:rsidR="004601F6" w:rsidRPr="008855E9">
        <w:rPr>
          <w:rFonts w:ascii="Arial" w:hAnsi="Arial"/>
          <w:sz w:val="22"/>
          <w:szCs w:val="22"/>
        </w:rPr>
        <w:t xml:space="preserve"> – intermittently open</w:t>
      </w:r>
      <w:r w:rsidRPr="008855E9">
        <w:rPr>
          <w:rFonts w:ascii="Arial" w:hAnsi="Arial"/>
          <w:sz w:val="22"/>
          <w:szCs w:val="22"/>
        </w:rPr>
        <w:t xml:space="preserve">; </w:t>
      </w:r>
    </w:p>
    <w:p w14:paraId="5E16D503"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 xml:space="preserve">Snowy River </w:t>
      </w:r>
      <w:r w:rsidR="004601F6" w:rsidRPr="008855E9">
        <w:rPr>
          <w:rFonts w:ascii="Arial" w:hAnsi="Arial"/>
          <w:sz w:val="22"/>
          <w:szCs w:val="22"/>
        </w:rPr>
        <w:t>– permanently open</w:t>
      </w:r>
      <w:r w:rsidRPr="008855E9">
        <w:rPr>
          <w:rFonts w:ascii="Arial" w:hAnsi="Arial"/>
          <w:sz w:val="22"/>
          <w:szCs w:val="22"/>
        </w:rPr>
        <w:t>;</w:t>
      </w:r>
    </w:p>
    <w:p w14:paraId="2CF6C011"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Yeerung River</w:t>
      </w:r>
      <w:r w:rsidR="00DD28EF" w:rsidRPr="008855E9">
        <w:rPr>
          <w:rFonts w:ascii="Arial" w:hAnsi="Arial"/>
          <w:sz w:val="22"/>
          <w:szCs w:val="22"/>
        </w:rPr>
        <w:t xml:space="preserve"> – intermittently open</w:t>
      </w:r>
      <w:r w:rsidRPr="008855E9">
        <w:rPr>
          <w:rFonts w:ascii="Arial" w:hAnsi="Arial"/>
          <w:sz w:val="22"/>
          <w:szCs w:val="22"/>
        </w:rPr>
        <w:t xml:space="preserve">; </w:t>
      </w:r>
    </w:p>
    <w:p w14:paraId="11330CD8"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Sydenham Inlet</w:t>
      </w:r>
      <w:r w:rsidR="00DD28EF" w:rsidRPr="008855E9">
        <w:rPr>
          <w:rFonts w:ascii="Arial" w:hAnsi="Arial"/>
          <w:sz w:val="22"/>
          <w:szCs w:val="22"/>
        </w:rPr>
        <w:t xml:space="preserve"> – intermittently open</w:t>
      </w:r>
      <w:r w:rsidRPr="008855E9">
        <w:rPr>
          <w:rFonts w:ascii="Arial" w:hAnsi="Arial"/>
          <w:sz w:val="22"/>
          <w:szCs w:val="22"/>
        </w:rPr>
        <w:t>;</w:t>
      </w:r>
    </w:p>
    <w:p w14:paraId="6E806493"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Tamboon Inlet</w:t>
      </w:r>
      <w:r w:rsidR="00DD28EF" w:rsidRPr="008855E9">
        <w:rPr>
          <w:rFonts w:ascii="Arial" w:hAnsi="Arial"/>
          <w:sz w:val="22"/>
          <w:szCs w:val="22"/>
        </w:rPr>
        <w:t xml:space="preserve"> – intermittently open</w:t>
      </w:r>
      <w:r w:rsidRPr="008855E9">
        <w:rPr>
          <w:rFonts w:ascii="Arial" w:hAnsi="Arial"/>
          <w:sz w:val="22"/>
          <w:szCs w:val="22"/>
        </w:rPr>
        <w:t>;</w:t>
      </w:r>
    </w:p>
    <w:p w14:paraId="4E9F5EC0"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Thurra River</w:t>
      </w:r>
      <w:r w:rsidR="00DD28EF" w:rsidRPr="008855E9">
        <w:rPr>
          <w:rFonts w:ascii="Arial" w:hAnsi="Arial"/>
          <w:sz w:val="22"/>
          <w:szCs w:val="22"/>
        </w:rPr>
        <w:t xml:space="preserve"> – intermittently open</w:t>
      </w:r>
      <w:r w:rsidRPr="008855E9">
        <w:rPr>
          <w:rFonts w:ascii="Arial" w:hAnsi="Arial"/>
          <w:sz w:val="22"/>
          <w:szCs w:val="22"/>
        </w:rPr>
        <w:t>;</w:t>
      </w:r>
    </w:p>
    <w:p w14:paraId="5302D59F"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Mueller River</w:t>
      </w:r>
      <w:r w:rsidR="00DD28EF" w:rsidRPr="008855E9">
        <w:rPr>
          <w:rFonts w:ascii="Arial" w:hAnsi="Arial"/>
          <w:sz w:val="22"/>
          <w:szCs w:val="22"/>
        </w:rPr>
        <w:t xml:space="preserve"> – intermittently open</w:t>
      </w:r>
      <w:r w:rsidRPr="008855E9">
        <w:rPr>
          <w:rFonts w:ascii="Arial" w:hAnsi="Arial"/>
          <w:sz w:val="22"/>
          <w:szCs w:val="22"/>
        </w:rPr>
        <w:t xml:space="preserve">; </w:t>
      </w:r>
    </w:p>
    <w:p w14:paraId="2ECA27DA"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Wingan Inlet</w:t>
      </w:r>
      <w:r w:rsidR="00DD28EF" w:rsidRPr="008855E9">
        <w:rPr>
          <w:rFonts w:ascii="Arial" w:hAnsi="Arial"/>
          <w:sz w:val="22"/>
          <w:szCs w:val="22"/>
        </w:rPr>
        <w:t xml:space="preserve"> – permanently open</w:t>
      </w:r>
      <w:r w:rsidRPr="008855E9">
        <w:rPr>
          <w:rFonts w:ascii="Arial" w:hAnsi="Arial"/>
          <w:sz w:val="22"/>
          <w:szCs w:val="22"/>
        </w:rPr>
        <w:t xml:space="preserve">; </w:t>
      </w:r>
    </w:p>
    <w:p w14:paraId="1C67B009"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Easby Creek</w:t>
      </w:r>
      <w:r w:rsidR="00DD28EF" w:rsidRPr="008855E9">
        <w:rPr>
          <w:rFonts w:ascii="Arial" w:hAnsi="Arial"/>
          <w:sz w:val="22"/>
          <w:szCs w:val="22"/>
        </w:rPr>
        <w:t xml:space="preserve"> – intermittently open</w:t>
      </w:r>
      <w:r w:rsidRPr="008855E9">
        <w:rPr>
          <w:rFonts w:ascii="Arial" w:hAnsi="Arial"/>
          <w:sz w:val="22"/>
          <w:szCs w:val="22"/>
        </w:rPr>
        <w:t xml:space="preserve">; </w:t>
      </w:r>
    </w:p>
    <w:p w14:paraId="50D91AF1"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Red River</w:t>
      </w:r>
      <w:r w:rsidR="00DD28EF" w:rsidRPr="008855E9">
        <w:rPr>
          <w:rFonts w:ascii="Arial" w:hAnsi="Arial"/>
          <w:sz w:val="22"/>
          <w:szCs w:val="22"/>
        </w:rPr>
        <w:t xml:space="preserve"> – intermittently open</w:t>
      </w:r>
      <w:r w:rsidRPr="008855E9">
        <w:rPr>
          <w:rFonts w:ascii="Arial" w:hAnsi="Arial"/>
          <w:sz w:val="22"/>
          <w:szCs w:val="22"/>
        </w:rPr>
        <w:t xml:space="preserve">; </w:t>
      </w:r>
    </w:p>
    <w:p w14:paraId="33EB68F1"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Benadore River</w:t>
      </w:r>
      <w:r w:rsidR="00381B9B" w:rsidRPr="008855E9">
        <w:rPr>
          <w:rFonts w:ascii="Arial" w:hAnsi="Arial"/>
          <w:sz w:val="22"/>
          <w:szCs w:val="22"/>
        </w:rPr>
        <w:t xml:space="preserve"> – intermittently open</w:t>
      </w:r>
      <w:r w:rsidRPr="008855E9">
        <w:rPr>
          <w:rFonts w:ascii="Arial" w:hAnsi="Arial"/>
          <w:sz w:val="22"/>
          <w:szCs w:val="22"/>
        </w:rPr>
        <w:t xml:space="preserve">; </w:t>
      </w:r>
    </w:p>
    <w:p w14:paraId="6925B3C6"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Seal Creek</w:t>
      </w:r>
      <w:r w:rsidR="00381B9B" w:rsidRPr="008855E9">
        <w:rPr>
          <w:rFonts w:ascii="Arial" w:hAnsi="Arial"/>
          <w:sz w:val="22"/>
          <w:szCs w:val="22"/>
        </w:rPr>
        <w:t xml:space="preserve"> – intermittently open</w:t>
      </w:r>
      <w:r w:rsidRPr="008855E9">
        <w:rPr>
          <w:rFonts w:ascii="Arial" w:hAnsi="Arial"/>
          <w:sz w:val="22"/>
          <w:szCs w:val="22"/>
        </w:rPr>
        <w:t xml:space="preserve">; </w:t>
      </w:r>
    </w:p>
    <w:p w14:paraId="666EA50B"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Shipwreck Creek</w:t>
      </w:r>
      <w:r w:rsidR="00381B9B" w:rsidRPr="008855E9">
        <w:rPr>
          <w:rFonts w:ascii="Arial" w:hAnsi="Arial"/>
          <w:sz w:val="22"/>
          <w:szCs w:val="22"/>
        </w:rPr>
        <w:t xml:space="preserve"> – intermittently open</w:t>
      </w:r>
      <w:r w:rsidRPr="008855E9">
        <w:rPr>
          <w:rFonts w:ascii="Arial" w:hAnsi="Arial"/>
          <w:sz w:val="22"/>
          <w:szCs w:val="22"/>
        </w:rPr>
        <w:t xml:space="preserve">; </w:t>
      </w:r>
    </w:p>
    <w:p w14:paraId="3DBE8956"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lastRenderedPageBreak/>
        <w:t>Betka River</w:t>
      </w:r>
      <w:r w:rsidR="00381B9B" w:rsidRPr="008855E9">
        <w:rPr>
          <w:rFonts w:ascii="Arial" w:hAnsi="Arial"/>
          <w:sz w:val="22"/>
          <w:szCs w:val="22"/>
        </w:rPr>
        <w:t xml:space="preserve"> – intermittently open</w:t>
      </w:r>
      <w:r w:rsidRPr="008855E9">
        <w:rPr>
          <w:rFonts w:ascii="Arial" w:hAnsi="Arial"/>
          <w:sz w:val="22"/>
          <w:szCs w:val="22"/>
        </w:rPr>
        <w:t xml:space="preserve">; </w:t>
      </w:r>
    </w:p>
    <w:p w14:paraId="51A78920" w14:textId="77777777" w:rsidR="00F92BED" w:rsidRPr="008855E9" w:rsidRDefault="00F92BED" w:rsidP="002E4E3A">
      <w:pPr>
        <w:pStyle w:val="bodycopy"/>
        <w:numPr>
          <w:ilvl w:val="0"/>
          <w:numId w:val="21"/>
        </w:numPr>
        <w:rPr>
          <w:rFonts w:ascii="Arial" w:hAnsi="Arial"/>
          <w:sz w:val="22"/>
          <w:szCs w:val="22"/>
        </w:rPr>
      </w:pPr>
      <w:r w:rsidRPr="008855E9">
        <w:rPr>
          <w:rFonts w:ascii="Arial" w:hAnsi="Arial"/>
          <w:sz w:val="22"/>
          <w:szCs w:val="22"/>
        </w:rPr>
        <w:t>Davis Creek</w:t>
      </w:r>
      <w:r w:rsidR="00381B9B" w:rsidRPr="008855E9">
        <w:rPr>
          <w:rFonts w:ascii="Arial" w:hAnsi="Arial"/>
          <w:sz w:val="22"/>
          <w:szCs w:val="22"/>
        </w:rPr>
        <w:t xml:space="preserve"> – intermittently open</w:t>
      </w:r>
      <w:r w:rsidRPr="008855E9">
        <w:rPr>
          <w:rFonts w:ascii="Arial" w:hAnsi="Arial"/>
          <w:sz w:val="22"/>
          <w:szCs w:val="22"/>
        </w:rPr>
        <w:t xml:space="preserve">; and </w:t>
      </w:r>
    </w:p>
    <w:p w14:paraId="23446525" w14:textId="77777777" w:rsidR="00F92BED" w:rsidRPr="008855E9" w:rsidRDefault="00F92BED" w:rsidP="002E4E3A">
      <w:pPr>
        <w:pStyle w:val="bodycopy"/>
        <w:numPr>
          <w:ilvl w:val="0"/>
          <w:numId w:val="21"/>
        </w:numPr>
        <w:spacing w:after="240"/>
        <w:ind w:left="714" w:hanging="357"/>
        <w:rPr>
          <w:rFonts w:ascii="Arial" w:hAnsi="Arial"/>
          <w:sz w:val="22"/>
          <w:szCs w:val="22"/>
        </w:rPr>
      </w:pPr>
      <w:r w:rsidRPr="008855E9">
        <w:rPr>
          <w:rFonts w:ascii="Arial" w:hAnsi="Arial"/>
          <w:sz w:val="22"/>
          <w:szCs w:val="22"/>
        </w:rPr>
        <w:t>Mallacoota Inlet</w:t>
      </w:r>
      <w:r w:rsidR="00381B9B" w:rsidRPr="008855E9">
        <w:rPr>
          <w:rFonts w:ascii="Arial" w:hAnsi="Arial"/>
          <w:sz w:val="22"/>
          <w:szCs w:val="22"/>
        </w:rPr>
        <w:t xml:space="preserve"> – permanently open</w:t>
      </w:r>
      <w:r w:rsidRPr="008855E9">
        <w:rPr>
          <w:rFonts w:ascii="Arial" w:hAnsi="Arial"/>
          <w:sz w:val="22"/>
          <w:szCs w:val="22"/>
        </w:rPr>
        <w:t xml:space="preserve">. </w:t>
      </w:r>
    </w:p>
    <w:p w14:paraId="11E91216" w14:textId="77777777" w:rsidR="00F92BED" w:rsidRPr="008855E9" w:rsidRDefault="00F92BED" w:rsidP="00F92BED">
      <w:pPr>
        <w:pStyle w:val="bodycopy"/>
        <w:rPr>
          <w:rFonts w:ascii="Arial" w:hAnsi="Arial"/>
          <w:sz w:val="22"/>
          <w:szCs w:val="22"/>
        </w:rPr>
      </w:pPr>
      <w:r w:rsidRPr="008855E9">
        <w:rPr>
          <w:rFonts w:ascii="Arial" w:hAnsi="Arial"/>
          <w:sz w:val="22"/>
          <w:szCs w:val="22"/>
        </w:rPr>
        <w:t xml:space="preserve">Many of these estuary entrances open only during spring flooding as a result of snow melts upstream, and provide nesting, roosting and feeding sites for colonies of several shorebird species, including the hooded plover and little tern. </w:t>
      </w:r>
      <w:r w:rsidR="009148F6" w:rsidRPr="008855E9">
        <w:rPr>
          <w:rFonts w:ascii="Arial" w:hAnsi="Arial"/>
          <w:sz w:val="22"/>
          <w:szCs w:val="22"/>
        </w:rPr>
        <w:t xml:space="preserve">Only four estuaries are permanently open, these being </w:t>
      </w:r>
      <w:r w:rsidRPr="008855E9">
        <w:rPr>
          <w:rFonts w:ascii="Arial" w:hAnsi="Arial"/>
          <w:sz w:val="22"/>
          <w:szCs w:val="22"/>
        </w:rPr>
        <w:t>Lakes Entrance, Snowy River</w:t>
      </w:r>
      <w:r w:rsidR="009148F6" w:rsidRPr="008855E9">
        <w:rPr>
          <w:rFonts w:ascii="Arial" w:hAnsi="Arial"/>
          <w:sz w:val="22"/>
          <w:szCs w:val="22"/>
        </w:rPr>
        <w:t>, Wingan Inlet and Mallacoota Inlet</w:t>
      </w:r>
      <w:r w:rsidRPr="008855E9">
        <w:rPr>
          <w:rFonts w:ascii="Arial" w:hAnsi="Arial"/>
          <w:sz w:val="22"/>
          <w:szCs w:val="22"/>
        </w:rPr>
        <w:t xml:space="preserve">. </w:t>
      </w:r>
    </w:p>
    <w:p w14:paraId="3567A112" w14:textId="77777777" w:rsidR="00F92BED" w:rsidRPr="00F71A07" w:rsidRDefault="00F92BED" w:rsidP="00657154">
      <w:pPr>
        <w:pStyle w:val="Heading3"/>
      </w:pPr>
      <w:bookmarkStart w:id="225" w:name="_Toc474222004"/>
      <w:bookmarkStart w:id="226" w:name="_Ref352835685"/>
      <w:bookmarkStart w:id="227" w:name="_Toc375214554"/>
      <w:r>
        <w:t>Intertidal Habitats</w:t>
      </w:r>
      <w:bookmarkEnd w:id="225"/>
      <w:bookmarkEnd w:id="226"/>
      <w:bookmarkEnd w:id="227"/>
      <w:r>
        <w:t xml:space="preserve"> </w:t>
      </w:r>
    </w:p>
    <w:p w14:paraId="639B0987" w14:textId="77777777" w:rsidR="00FD0300" w:rsidRPr="008855E9" w:rsidRDefault="00F92BED" w:rsidP="00F92BED">
      <w:pPr>
        <w:pStyle w:val="bodycopy"/>
        <w:rPr>
          <w:rFonts w:ascii="Arial" w:hAnsi="Arial"/>
          <w:sz w:val="22"/>
          <w:szCs w:val="22"/>
        </w:rPr>
      </w:pPr>
      <w:r w:rsidRPr="008855E9">
        <w:rPr>
          <w:rFonts w:ascii="Arial" w:hAnsi="Arial"/>
          <w:sz w:val="22"/>
          <w:szCs w:val="22"/>
        </w:rPr>
        <w:t xml:space="preserve">Sand is the dominant intertidal substrate within the </w:t>
      </w:r>
      <w:r w:rsidR="00AF1C70" w:rsidRPr="008855E9">
        <w:rPr>
          <w:rFonts w:ascii="Arial" w:hAnsi="Arial"/>
          <w:sz w:val="22"/>
          <w:szCs w:val="22"/>
        </w:rPr>
        <w:t>E</w:t>
      </w:r>
      <w:r w:rsidRPr="008855E9">
        <w:rPr>
          <w:rFonts w:ascii="Arial" w:hAnsi="Arial"/>
          <w:sz w:val="22"/>
          <w:szCs w:val="22"/>
        </w:rPr>
        <w:t xml:space="preserve">MBA. </w:t>
      </w:r>
    </w:p>
    <w:p w14:paraId="4DC95FA7" w14:textId="595849BA" w:rsidR="00F92BED" w:rsidRPr="008855E9" w:rsidRDefault="00F92BED" w:rsidP="00F92BED">
      <w:pPr>
        <w:pStyle w:val="bodycopy"/>
        <w:rPr>
          <w:rFonts w:ascii="Arial" w:hAnsi="Arial"/>
          <w:sz w:val="22"/>
          <w:szCs w:val="22"/>
        </w:rPr>
      </w:pPr>
      <w:r w:rsidRPr="008855E9">
        <w:rPr>
          <w:rFonts w:ascii="Arial" w:hAnsi="Arial"/>
          <w:sz w:val="22"/>
          <w:szCs w:val="22"/>
        </w:rPr>
        <w:t xml:space="preserve">Intertidal shore platforms are intermittently found along the coastline at Cape Conran, Clinton Rocks, Point Hicks, Petrel Point, Rame Head, Wingan Point, Sandpatch Point and the coastline of Gabo Island. </w:t>
      </w:r>
    </w:p>
    <w:p w14:paraId="41675AD1" w14:textId="77777777" w:rsidR="00F92BED" w:rsidRPr="008855E9" w:rsidRDefault="00F92BED" w:rsidP="00F92BED">
      <w:pPr>
        <w:pStyle w:val="bodycopy"/>
        <w:rPr>
          <w:rFonts w:ascii="Arial" w:hAnsi="Arial"/>
          <w:sz w:val="22"/>
          <w:szCs w:val="22"/>
        </w:rPr>
      </w:pPr>
      <w:r w:rsidRPr="008855E9">
        <w:rPr>
          <w:rFonts w:ascii="Arial" w:hAnsi="Arial"/>
          <w:sz w:val="22"/>
          <w:szCs w:val="22"/>
        </w:rPr>
        <w:t>Intertidal and subtidal rock reefs are intermittently found along the coastline, becoming intermittent subtidal features just east of the Snowy River estuary. Rocky reef substrates mapped along the Gippsland coastline, moving from west to east</w:t>
      </w:r>
      <w:r w:rsidR="0025132E" w:rsidRPr="008855E9">
        <w:rPr>
          <w:rFonts w:ascii="Arial" w:hAnsi="Arial"/>
          <w:sz w:val="22"/>
          <w:szCs w:val="22"/>
        </w:rPr>
        <w:t xml:space="preserve"> along the EMBA</w:t>
      </w:r>
      <w:r w:rsidRPr="008855E9">
        <w:rPr>
          <w:rFonts w:ascii="Arial" w:hAnsi="Arial"/>
          <w:sz w:val="22"/>
          <w:szCs w:val="22"/>
        </w:rPr>
        <w:t xml:space="preserve">, are located at: </w:t>
      </w:r>
    </w:p>
    <w:p w14:paraId="3513D2E7" w14:textId="77777777" w:rsidR="00F92BED" w:rsidRPr="008855E9" w:rsidRDefault="00F92BED" w:rsidP="002E4E3A">
      <w:pPr>
        <w:pStyle w:val="bodycopy"/>
        <w:numPr>
          <w:ilvl w:val="0"/>
          <w:numId w:val="22"/>
        </w:numPr>
        <w:rPr>
          <w:rFonts w:ascii="Arial" w:hAnsi="Arial"/>
          <w:sz w:val="22"/>
          <w:szCs w:val="22"/>
        </w:rPr>
      </w:pPr>
      <w:r w:rsidRPr="008855E9">
        <w:rPr>
          <w:rFonts w:ascii="Arial" w:hAnsi="Arial"/>
          <w:sz w:val="22"/>
          <w:szCs w:val="22"/>
        </w:rPr>
        <w:t>Ricardo Beach (west of Cape Conran);</w:t>
      </w:r>
    </w:p>
    <w:p w14:paraId="548EACA0" w14:textId="77777777" w:rsidR="00F92BED" w:rsidRPr="008855E9" w:rsidRDefault="00F92BED" w:rsidP="002E4E3A">
      <w:pPr>
        <w:pStyle w:val="bodycopy"/>
        <w:numPr>
          <w:ilvl w:val="0"/>
          <w:numId w:val="22"/>
        </w:numPr>
        <w:rPr>
          <w:rFonts w:ascii="Arial" w:hAnsi="Arial"/>
          <w:sz w:val="22"/>
          <w:szCs w:val="22"/>
        </w:rPr>
      </w:pPr>
      <w:r w:rsidRPr="008855E9">
        <w:rPr>
          <w:rFonts w:ascii="Arial" w:hAnsi="Arial"/>
          <w:sz w:val="22"/>
          <w:szCs w:val="22"/>
        </w:rPr>
        <w:t>Cape Conran and East Cape;</w:t>
      </w:r>
    </w:p>
    <w:p w14:paraId="0081659F" w14:textId="77777777" w:rsidR="00F92BED" w:rsidRPr="008855E9" w:rsidRDefault="00F92BED" w:rsidP="002E4E3A">
      <w:pPr>
        <w:pStyle w:val="bodycopy"/>
        <w:numPr>
          <w:ilvl w:val="0"/>
          <w:numId w:val="22"/>
        </w:numPr>
        <w:rPr>
          <w:rFonts w:ascii="Arial" w:hAnsi="Arial"/>
          <w:sz w:val="22"/>
          <w:szCs w:val="22"/>
        </w:rPr>
      </w:pPr>
      <w:r w:rsidRPr="008855E9">
        <w:rPr>
          <w:rFonts w:ascii="Arial" w:hAnsi="Arial"/>
          <w:sz w:val="22"/>
          <w:szCs w:val="22"/>
        </w:rPr>
        <w:t>Off Yeerung River;</w:t>
      </w:r>
    </w:p>
    <w:p w14:paraId="7F244306" w14:textId="77777777" w:rsidR="00F92BED" w:rsidRPr="008855E9" w:rsidRDefault="00F92BED" w:rsidP="002E4E3A">
      <w:pPr>
        <w:pStyle w:val="bodycopy"/>
        <w:numPr>
          <w:ilvl w:val="0"/>
          <w:numId w:val="22"/>
        </w:numPr>
        <w:rPr>
          <w:rFonts w:ascii="Arial" w:hAnsi="Arial"/>
          <w:sz w:val="22"/>
          <w:szCs w:val="22"/>
        </w:rPr>
      </w:pPr>
      <w:r w:rsidRPr="008855E9">
        <w:rPr>
          <w:rFonts w:ascii="Arial" w:hAnsi="Arial"/>
          <w:sz w:val="22"/>
          <w:szCs w:val="22"/>
        </w:rPr>
        <w:t>Beware Reef (reef and reef sediment);</w:t>
      </w:r>
    </w:p>
    <w:p w14:paraId="2D2C3B36" w14:textId="77777777" w:rsidR="00F92BED" w:rsidRPr="008855E9" w:rsidRDefault="00F92BED" w:rsidP="002E4E3A">
      <w:pPr>
        <w:pStyle w:val="bodycopy"/>
        <w:numPr>
          <w:ilvl w:val="0"/>
          <w:numId w:val="22"/>
        </w:numPr>
        <w:rPr>
          <w:rFonts w:ascii="Arial" w:hAnsi="Arial"/>
          <w:sz w:val="22"/>
          <w:szCs w:val="22"/>
        </w:rPr>
      </w:pPr>
      <w:r w:rsidRPr="008855E9">
        <w:rPr>
          <w:rFonts w:ascii="Arial" w:hAnsi="Arial"/>
          <w:sz w:val="22"/>
          <w:szCs w:val="22"/>
        </w:rPr>
        <w:t>Pearl Point;</w:t>
      </w:r>
    </w:p>
    <w:p w14:paraId="14E85991" w14:textId="77777777" w:rsidR="00F92BED" w:rsidRPr="008855E9" w:rsidRDefault="00F92BED" w:rsidP="002E4E3A">
      <w:pPr>
        <w:pStyle w:val="bodycopy"/>
        <w:numPr>
          <w:ilvl w:val="0"/>
          <w:numId w:val="22"/>
        </w:numPr>
        <w:rPr>
          <w:rFonts w:ascii="Arial" w:hAnsi="Arial"/>
          <w:sz w:val="22"/>
          <w:szCs w:val="22"/>
        </w:rPr>
      </w:pPr>
      <w:r w:rsidRPr="008855E9">
        <w:rPr>
          <w:rFonts w:ascii="Arial" w:hAnsi="Arial"/>
          <w:sz w:val="22"/>
          <w:szCs w:val="22"/>
        </w:rPr>
        <w:t>Point Hicks area;</w:t>
      </w:r>
    </w:p>
    <w:p w14:paraId="30C0C613" w14:textId="77777777" w:rsidR="00F92BED" w:rsidRPr="008855E9" w:rsidRDefault="00F92BED" w:rsidP="002E4E3A">
      <w:pPr>
        <w:pStyle w:val="bodycopy"/>
        <w:numPr>
          <w:ilvl w:val="0"/>
          <w:numId w:val="22"/>
        </w:numPr>
        <w:rPr>
          <w:rFonts w:ascii="Arial" w:hAnsi="Arial"/>
          <w:sz w:val="22"/>
          <w:szCs w:val="22"/>
        </w:rPr>
      </w:pPr>
      <w:r w:rsidRPr="008855E9">
        <w:rPr>
          <w:rFonts w:ascii="Arial" w:hAnsi="Arial"/>
          <w:sz w:val="22"/>
          <w:szCs w:val="22"/>
        </w:rPr>
        <w:t>Off Mueller River;</w:t>
      </w:r>
    </w:p>
    <w:p w14:paraId="6E7B9BCB" w14:textId="77777777" w:rsidR="00F92BED" w:rsidRPr="008855E9" w:rsidRDefault="00F92BED" w:rsidP="002E4E3A">
      <w:pPr>
        <w:pStyle w:val="bodycopy"/>
        <w:numPr>
          <w:ilvl w:val="0"/>
          <w:numId w:val="22"/>
        </w:numPr>
        <w:rPr>
          <w:rFonts w:ascii="Arial" w:hAnsi="Arial"/>
          <w:sz w:val="22"/>
          <w:szCs w:val="22"/>
        </w:rPr>
      </w:pPr>
      <w:r w:rsidRPr="008855E9">
        <w:rPr>
          <w:rFonts w:ascii="Arial" w:hAnsi="Arial"/>
          <w:sz w:val="22"/>
          <w:szCs w:val="22"/>
        </w:rPr>
        <w:t>Croajingalong Reefs;</w:t>
      </w:r>
    </w:p>
    <w:p w14:paraId="1714B33C" w14:textId="77777777" w:rsidR="00F92BED" w:rsidRPr="008855E9" w:rsidRDefault="00F92BED" w:rsidP="002E4E3A">
      <w:pPr>
        <w:pStyle w:val="bodycopy"/>
        <w:numPr>
          <w:ilvl w:val="0"/>
          <w:numId w:val="22"/>
        </w:numPr>
        <w:rPr>
          <w:rFonts w:ascii="Arial" w:hAnsi="Arial"/>
          <w:sz w:val="22"/>
          <w:szCs w:val="22"/>
        </w:rPr>
      </w:pPr>
      <w:r w:rsidRPr="008855E9">
        <w:rPr>
          <w:rFonts w:ascii="Arial" w:hAnsi="Arial"/>
          <w:sz w:val="22"/>
          <w:szCs w:val="22"/>
        </w:rPr>
        <w:t xml:space="preserve">Petrel Point; </w:t>
      </w:r>
    </w:p>
    <w:p w14:paraId="102CBB46" w14:textId="77777777" w:rsidR="00F92BED" w:rsidRPr="008855E9" w:rsidRDefault="00F92BED" w:rsidP="002E4E3A">
      <w:pPr>
        <w:pStyle w:val="bodycopy"/>
        <w:numPr>
          <w:ilvl w:val="0"/>
          <w:numId w:val="22"/>
        </w:numPr>
        <w:rPr>
          <w:rFonts w:ascii="Arial" w:hAnsi="Arial"/>
          <w:sz w:val="22"/>
          <w:szCs w:val="22"/>
        </w:rPr>
      </w:pPr>
      <w:r w:rsidRPr="008855E9">
        <w:rPr>
          <w:rFonts w:ascii="Arial" w:hAnsi="Arial"/>
          <w:sz w:val="22"/>
          <w:szCs w:val="22"/>
        </w:rPr>
        <w:t>Rame Head;</w:t>
      </w:r>
    </w:p>
    <w:p w14:paraId="1F1921EE" w14:textId="77777777" w:rsidR="00F92BED" w:rsidRPr="008855E9" w:rsidRDefault="00F92BED" w:rsidP="002E4E3A">
      <w:pPr>
        <w:pStyle w:val="bodycopy"/>
        <w:numPr>
          <w:ilvl w:val="0"/>
          <w:numId w:val="22"/>
        </w:numPr>
        <w:rPr>
          <w:rFonts w:ascii="Arial" w:hAnsi="Arial"/>
          <w:sz w:val="22"/>
          <w:szCs w:val="22"/>
        </w:rPr>
      </w:pPr>
      <w:r w:rsidRPr="008855E9">
        <w:rPr>
          <w:rFonts w:ascii="Arial" w:hAnsi="Arial"/>
          <w:sz w:val="22"/>
          <w:szCs w:val="22"/>
        </w:rPr>
        <w:t>Sandpatch Point;</w:t>
      </w:r>
    </w:p>
    <w:p w14:paraId="22377577" w14:textId="77777777" w:rsidR="00F92BED" w:rsidRPr="008855E9" w:rsidRDefault="00F92BED" w:rsidP="002E4E3A">
      <w:pPr>
        <w:pStyle w:val="bodycopy"/>
        <w:numPr>
          <w:ilvl w:val="0"/>
          <w:numId w:val="22"/>
        </w:numPr>
        <w:rPr>
          <w:rFonts w:ascii="Arial" w:hAnsi="Arial"/>
          <w:sz w:val="22"/>
          <w:szCs w:val="22"/>
        </w:rPr>
      </w:pPr>
      <w:r w:rsidRPr="008855E9">
        <w:rPr>
          <w:rFonts w:ascii="Arial" w:hAnsi="Arial"/>
          <w:sz w:val="22"/>
          <w:szCs w:val="22"/>
        </w:rPr>
        <w:t xml:space="preserve">Extensive patch reef and reef sediment from the Red River estuary east to the Victorian/NSW border, up to 30 m deep. </w:t>
      </w:r>
    </w:p>
    <w:p w14:paraId="79325344" w14:textId="77777777" w:rsidR="00E1616A" w:rsidRDefault="006D0E9E" w:rsidP="00F92BED">
      <w:pPr>
        <w:pStyle w:val="bodycopy"/>
        <w:rPr>
          <w:rFonts w:ascii="Arial" w:hAnsi="Arial"/>
          <w:sz w:val="22"/>
          <w:szCs w:val="22"/>
        </w:rPr>
        <w:sectPr w:rsidR="00E1616A" w:rsidSect="008855E9">
          <w:headerReference w:type="even" r:id="rId98"/>
          <w:headerReference w:type="default" r:id="rId99"/>
          <w:footerReference w:type="default" r:id="rId100"/>
          <w:headerReference w:type="first" r:id="rId101"/>
          <w:pgSz w:w="11906" w:h="16838" w:code="9"/>
          <w:pgMar w:top="1524" w:right="1800" w:bottom="1440" w:left="1800" w:header="994" w:footer="706" w:gutter="0"/>
          <w:cols w:space="708"/>
          <w:docGrid w:linePitch="360"/>
        </w:sectPr>
      </w:pPr>
      <w:r w:rsidRPr="008855E9">
        <w:rPr>
          <w:rFonts w:ascii="Arial" w:hAnsi="Arial"/>
          <w:sz w:val="22"/>
          <w:szCs w:val="22"/>
        </w:rPr>
        <w:t xml:space="preserve"> </w:t>
      </w:r>
    </w:p>
    <w:p w14:paraId="09930B55" w14:textId="0CB45764" w:rsidR="006F7761" w:rsidRDefault="006F7761" w:rsidP="000C69A6">
      <w:pPr>
        <w:pStyle w:val="Heading3"/>
      </w:pPr>
      <w:bookmarkStart w:id="228" w:name="_Toc474222005"/>
      <w:bookmarkStart w:id="229" w:name="_Ref349218455"/>
      <w:bookmarkStart w:id="230" w:name="_Toc375214555"/>
      <w:r>
        <w:lastRenderedPageBreak/>
        <w:t>Offshore Islands</w:t>
      </w:r>
      <w:bookmarkEnd w:id="228"/>
      <w:bookmarkEnd w:id="229"/>
      <w:bookmarkEnd w:id="230"/>
    </w:p>
    <w:p w14:paraId="77F28ADE" w14:textId="1E303C32" w:rsidR="006F7761" w:rsidRDefault="006F7761" w:rsidP="006F7761">
      <w:pPr>
        <w:pStyle w:val="bodycopy"/>
        <w:rPr>
          <w:rFonts w:ascii="Arial" w:hAnsi="Arial"/>
          <w:b/>
          <w:sz w:val="22"/>
          <w:szCs w:val="22"/>
        </w:rPr>
      </w:pPr>
      <w:r w:rsidRPr="008855E9">
        <w:rPr>
          <w:rFonts w:ascii="Arial" w:hAnsi="Arial"/>
          <w:sz w:val="22"/>
          <w:szCs w:val="22"/>
        </w:rPr>
        <w:t>Three offshore islands occur in the eastern-most part of the EMBA. Their environmental values are described herein</w:t>
      </w:r>
      <w:r w:rsidRPr="0087662D">
        <w:rPr>
          <w:rFonts w:ascii="Arial" w:hAnsi="Arial"/>
          <w:sz w:val="22"/>
          <w:szCs w:val="22"/>
        </w:rPr>
        <w:t>.</w:t>
      </w:r>
    </w:p>
    <w:p w14:paraId="6364FC3B" w14:textId="2EC6540C" w:rsidR="0025132E" w:rsidRPr="008855E9" w:rsidRDefault="0025132E" w:rsidP="00F92BED">
      <w:pPr>
        <w:pStyle w:val="bodycopy"/>
        <w:rPr>
          <w:rFonts w:ascii="Arial" w:hAnsi="Arial"/>
          <w:b/>
          <w:sz w:val="22"/>
          <w:szCs w:val="22"/>
        </w:rPr>
      </w:pPr>
      <w:r w:rsidRPr="008855E9">
        <w:rPr>
          <w:rFonts w:ascii="Arial" w:hAnsi="Arial"/>
          <w:b/>
          <w:sz w:val="22"/>
          <w:szCs w:val="22"/>
        </w:rPr>
        <w:t>The Skerries</w:t>
      </w:r>
    </w:p>
    <w:p w14:paraId="342D5B52" w14:textId="50E47AF9" w:rsidR="0025132E" w:rsidRPr="008855E9" w:rsidRDefault="006D0E9E" w:rsidP="00F92BED">
      <w:pPr>
        <w:pStyle w:val="bodycopy"/>
        <w:rPr>
          <w:rFonts w:ascii="Arial" w:hAnsi="Arial"/>
          <w:sz w:val="22"/>
          <w:szCs w:val="22"/>
        </w:rPr>
      </w:pPr>
      <w:r w:rsidRPr="008855E9">
        <w:rPr>
          <w:rFonts w:ascii="Arial" w:hAnsi="Arial"/>
          <w:sz w:val="22"/>
          <w:szCs w:val="22"/>
        </w:rPr>
        <w:t xml:space="preserve">The Skerries </w:t>
      </w:r>
      <w:r w:rsidR="0039776F" w:rsidRPr="008855E9">
        <w:rPr>
          <w:rFonts w:ascii="Arial" w:hAnsi="Arial"/>
          <w:sz w:val="22"/>
          <w:szCs w:val="22"/>
        </w:rPr>
        <w:t>are a granite outcrop located opposite Wingan Inlet (</w:t>
      </w:r>
      <w:r w:rsidR="009D0267" w:rsidRPr="008855E9">
        <w:rPr>
          <w:rFonts w:ascii="Arial" w:hAnsi="Arial"/>
          <w:sz w:val="22"/>
          <w:szCs w:val="22"/>
        </w:rPr>
        <w:t>177</w:t>
      </w:r>
      <w:r w:rsidR="0039776F" w:rsidRPr="008855E9">
        <w:rPr>
          <w:rFonts w:ascii="Arial" w:hAnsi="Arial"/>
          <w:sz w:val="22"/>
          <w:szCs w:val="22"/>
        </w:rPr>
        <w:t xml:space="preserve"> km northeast of the proposed acquisition area). This outcrop forms the basis of </w:t>
      </w:r>
      <w:r w:rsidR="0025132E" w:rsidRPr="008855E9">
        <w:rPr>
          <w:rFonts w:ascii="Arial" w:hAnsi="Arial"/>
          <w:sz w:val="22"/>
          <w:szCs w:val="22"/>
        </w:rPr>
        <w:t xml:space="preserve">the </w:t>
      </w:r>
      <w:r w:rsidR="0042652A" w:rsidRPr="008855E9">
        <w:rPr>
          <w:rFonts w:ascii="Arial" w:hAnsi="Arial"/>
          <w:sz w:val="22"/>
          <w:szCs w:val="22"/>
        </w:rPr>
        <w:t xml:space="preserve">formerly </w:t>
      </w:r>
      <w:r w:rsidR="0025132E" w:rsidRPr="008855E9">
        <w:rPr>
          <w:rFonts w:ascii="Arial" w:hAnsi="Arial"/>
          <w:sz w:val="22"/>
          <w:szCs w:val="22"/>
        </w:rPr>
        <w:t xml:space="preserve">proposed </w:t>
      </w:r>
      <w:r w:rsidR="0039776F" w:rsidRPr="008855E9">
        <w:rPr>
          <w:rFonts w:ascii="Arial" w:hAnsi="Arial"/>
          <w:sz w:val="22"/>
          <w:szCs w:val="22"/>
        </w:rPr>
        <w:t>Skerries Special Management Area (SMA), an area of 50 ha that includes waters 200 m offshore from the outcrops</w:t>
      </w:r>
      <w:r w:rsidR="00654577" w:rsidRPr="008855E9">
        <w:rPr>
          <w:rFonts w:ascii="Arial" w:hAnsi="Arial"/>
          <w:sz w:val="22"/>
          <w:szCs w:val="22"/>
        </w:rPr>
        <w:t xml:space="preserve"> (ECC, 2000)</w:t>
      </w:r>
      <w:r w:rsidR="0039776F" w:rsidRPr="008855E9">
        <w:rPr>
          <w:rFonts w:ascii="Arial" w:hAnsi="Arial"/>
          <w:sz w:val="22"/>
          <w:szCs w:val="22"/>
        </w:rPr>
        <w:t>. They form part of the Cro</w:t>
      </w:r>
      <w:r w:rsidR="009B69BD" w:rsidRPr="008855E9">
        <w:rPr>
          <w:rFonts w:ascii="Arial" w:hAnsi="Arial"/>
          <w:sz w:val="22"/>
          <w:szCs w:val="22"/>
        </w:rPr>
        <w:t>a</w:t>
      </w:r>
      <w:r w:rsidR="0039776F" w:rsidRPr="008855E9">
        <w:rPr>
          <w:rFonts w:ascii="Arial" w:hAnsi="Arial"/>
          <w:sz w:val="22"/>
          <w:szCs w:val="22"/>
        </w:rPr>
        <w:t>jin</w:t>
      </w:r>
      <w:r w:rsidR="009B69BD" w:rsidRPr="008855E9">
        <w:rPr>
          <w:rFonts w:ascii="Arial" w:hAnsi="Arial"/>
          <w:sz w:val="22"/>
          <w:szCs w:val="22"/>
        </w:rPr>
        <w:t>g</w:t>
      </w:r>
      <w:r w:rsidR="0039776F" w:rsidRPr="008855E9">
        <w:rPr>
          <w:rFonts w:ascii="Arial" w:hAnsi="Arial"/>
          <w:sz w:val="22"/>
          <w:szCs w:val="22"/>
        </w:rPr>
        <w:t>olong National Park. The Skerries are an important breeding habitat for Australian fur seals (~11,500 individuals) and New Zealand fur seals (~300 individuals), with the breeding season being mid-October to late December. It also provides breeding habitat for crested terns</w:t>
      </w:r>
      <w:r w:rsidR="00654577" w:rsidRPr="008855E9">
        <w:rPr>
          <w:rFonts w:ascii="Arial" w:hAnsi="Arial"/>
          <w:sz w:val="22"/>
          <w:szCs w:val="22"/>
        </w:rPr>
        <w:t xml:space="preserve"> (ECC, 2000; </w:t>
      </w:r>
      <w:r w:rsidR="00AA74CF">
        <w:rPr>
          <w:rFonts w:ascii="Arial" w:hAnsi="Arial"/>
          <w:sz w:val="22"/>
          <w:szCs w:val="22"/>
        </w:rPr>
        <w:t>DEDJTR, 2017</w:t>
      </w:r>
      <w:r w:rsidR="0085766F">
        <w:rPr>
          <w:rFonts w:ascii="Arial" w:hAnsi="Arial"/>
          <w:sz w:val="22"/>
          <w:szCs w:val="22"/>
        </w:rPr>
        <w:t>a</w:t>
      </w:r>
      <w:r w:rsidR="00654577" w:rsidRPr="008855E9">
        <w:rPr>
          <w:rFonts w:ascii="Arial" w:hAnsi="Arial"/>
          <w:sz w:val="22"/>
          <w:szCs w:val="22"/>
        </w:rPr>
        <w:t>)</w:t>
      </w:r>
      <w:r w:rsidR="0039776F" w:rsidRPr="008855E9">
        <w:rPr>
          <w:rFonts w:ascii="Arial" w:hAnsi="Arial"/>
          <w:sz w:val="22"/>
          <w:szCs w:val="22"/>
        </w:rPr>
        <w:t xml:space="preserve">. </w:t>
      </w:r>
    </w:p>
    <w:p w14:paraId="4B15243E" w14:textId="77777777" w:rsidR="006D0E9E" w:rsidRPr="008855E9" w:rsidRDefault="0025132E" w:rsidP="00F92BED">
      <w:pPr>
        <w:pStyle w:val="bodycopy"/>
        <w:rPr>
          <w:rFonts w:ascii="Arial" w:hAnsi="Arial"/>
          <w:sz w:val="22"/>
          <w:szCs w:val="22"/>
        </w:rPr>
      </w:pPr>
      <w:r w:rsidRPr="008855E9">
        <w:rPr>
          <w:rFonts w:ascii="Arial" w:hAnsi="Arial"/>
          <w:sz w:val="22"/>
          <w:szCs w:val="22"/>
        </w:rPr>
        <w:t xml:space="preserve">Special Management Areas </w:t>
      </w:r>
      <w:r w:rsidR="0042652A" w:rsidRPr="008855E9">
        <w:rPr>
          <w:rFonts w:ascii="Arial" w:hAnsi="Arial"/>
          <w:sz w:val="22"/>
          <w:szCs w:val="22"/>
        </w:rPr>
        <w:t xml:space="preserve">have no legislation, and were proposed as part of the Environment Conservation Council 2000 review of Victoria’s marine, coastal and estuarine areas. </w:t>
      </w:r>
      <w:r w:rsidR="006D0E9E" w:rsidRPr="008855E9">
        <w:rPr>
          <w:rFonts w:ascii="Arial" w:hAnsi="Arial"/>
          <w:sz w:val="22"/>
          <w:szCs w:val="22"/>
        </w:rPr>
        <w:t xml:space="preserve"> </w:t>
      </w:r>
    </w:p>
    <w:p w14:paraId="051C34FF" w14:textId="77777777" w:rsidR="0025132E" w:rsidRPr="008855E9" w:rsidRDefault="0025132E" w:rsidP="00F92BED">
      <w:pPr>
        <w:pStyle w:val="bodycopy"/>
        <w:rPr>
          <w:rFonts w:ascii="Arial" w:hAnsi="Arial"/>
          <w:b/>
          <w:sz w:val="22"/>
          <w:szCs w:val="22"/>
        </w:rPr>
      </w:pPr>
      <w:r w:rsidRPr="008855E9">
        <w:rPr>
          <w:rFonts w:ascii="Arial" w:hAnsi="Arial"/>
          <w:b/>
          <w:sz w:val="22"/>
          <w:szCs w:val="22"/>
        </w:rPr>
        <w:t>Tullaberga Island</w:t>
      </w:r>
    </w:p>
    <w:p w14:paraId="2629BF47" w14:textId="4EEF99D9" w:rsidR="00654577" w:rsidRPr="008855E9" w:rsidRDefault="00654577" w:rsidP="00F92BED">
      <w:pPr>
        <w:pStyle w:val="bodycopy"/>
        <w:rPr>
          <w:rFonts w:ascii="Arial" w:hAnsi="Arial"/>
          <w:sz w:val="22"/>
          <w:szCs w:val="22"/>
        </w:rPr>
      </w:pPr>
      <w:r w:rsidRPr="008855E9">
        <w:rPr>
          <w:rFonts w:ascii="Arial" w:hAnsi="Arial"/>
          <w:sz w:val="22"/>
          <w:szCs w:val="22"/>
        </w:rPr>
        <w:t xml:space="preserve">Tullaberga Island is a small granitic outcrop located 7 km to the east of Mallacoota Inlet and 1 km offshore, </w:t>
      </w:r>
      <w:r w:rsidR="00C72740" w:rsidRPr="008855E9">
        <w:rPr>
          <w:rFonts w:ascii="Arial" w:hAnsi="Arial"/>
          <w:sz w:val="22"/>
          <w:szCs w:val="22"/>
        </w:rPr>
        <w:t>214</w:t>
      </w:r>
      <w:r w:rsidRPr="008855E9">
        <w:rPr>
          <w:rFonts w:ascii="Arial" w:hAnsi="Arial"/>
          <w:sz w:val="22"/>
          <w:szCs w:val="22"/>
        </w:rPr>
        <w:t xml:space="preserve"> km </w:t>
      </w:r>
      <w:r w:rsidR="00C72740" w:rsidRPr="008855E9">
        <w:rPr>
          <w:rFonts w:ascii="Arial" w:hAnsi="Arial"/>
          <w:sz w:val="22"/>
          <w:szCs w:val="22"/>
        </w:rPr>
        <w:t>east-</w:t>
      </w:r>
      <w:r w:rsidRPr="008855E9">
        <w:rPr>
          <w:rFonts w:ascii="Arial" w:hAnsi="Arial"/>
          <w:sz w:val="22"/>
          <w:szCs w:val="22"/>
        </w:rPr>
        <w:t xml:space="preserve">northeast of the proposed acquisition area. It rises </w:t>
      </w:r>
      <w:r w:rsidR="00EA6CCD">
        <w:rPr>
          <w:rFonts w:ascii="Arial" w:hAnsi="Arial"/>
          <w:sz w:val="22"/>
          <w:szCs w:val="22"/>
        </w:rPr>
        <w:br/>
      </w:r>
      <w:r w:rsidRPr="008855E9">
        <w:rPr>
          <w:rFonts w:ascii="Arial" w:hAnsi="Arial"/>
          <w:sz w:val="22"/>
          <w:szCs w:val="22"/>
        </w:rPr>
        <w:t>10-15 m above sea level and is surrounded by a rocky platform, with small areas covered thinly by beach and sand dunes (VRO, 2017). The island provides important habitat for little penguins, with about 900 breeding penguins nesting on the island from May to January. It also provides seabird breeding habitat (</w:t>
      </w:r>
      <w:r w:rsidR="00AA74CF">
        <w:rPr>
          <w:rFonts w:ascii="Arial" w:hAnsi="Arial"/>
          <w:sz w:val="22"/>
          <w:szCs w:val="22"/>
        </w:rPr>
        <w:t>DEDJTR, 2017</w:t>
      </w:r>
      <w:r w:rsidR="0085766F">
        <w:rPr>
          <w:rFonts w:ascii="Arial" w:hAnsi="Arial"/>
          <w:sz w:val="22"/>
          <w:szCs w:val="22"/>
        </w:rPr>
        <w:t>a</w:t>
      </w:r>
      <w:r w:rsidRPr="008855E9">
        <w:rPr>
          <w:rFonts w:ascii="Arial" w:hAnsi="Arial"/>
          <w:sz w:val="22"/>
          <w:szCs w:val="22"/>
        </w:rPr>
        <w:t>).</w:t>
      </w:r>
    </w:p>
    <w:p w14:paraId="2A9BD9D1" w14:textId="77777777" w:rsidR="0025132E" w:rsidRPr="008855E9" w:rsidRDefault="0025132E" w:rsidP="0025132E">
      <w:pPr>
        <w:pStyle w:val="bodycopy"/>
        <w:rPr>
          <w:rFonts w:ascii="Arial" w:hAnsi="Arial"/>
          <w:b/>
          <w:sz w:val="22"/>
          <w:szCs w:val="22"/>
        </w:rPr>
      </w:pPr>
      <w:r w:rsidRPr="008855E9">
        <w:rPr>
          <w:rFonts w:ascii="Arial" w:hAnsi="Arial"/>
          <w:b/>
          <w:sz w:val="22"/>
          <w:szCs w:val="22"/>
        </w:rPr>
        <w:t>Gabo Island</w:t>
      </w:r>
    </w:p>
    <w:p w14:paraId="37FFE44B" w14:textId="3D47CC89" w:rsidR="0039776F" w:rsidRPr="008855E9" w:rsidRDefault="0039776F" w:rsidP="00555958">
      <w:pPr>
        <w:pStyle w:val="bodycopy"/>
        <w:spacing w:after="240"/>
        <w:rPr>
          <w:rFonts w:ascii="Arial" w:hAnsi="Arial"/>
          <w:sz w:val="22"/>
          <w:szCs w:val="22"/>
        </w:rPr>
      </w:pPr>
      <w:r w:rsidRPr="008855E9">
        <w:rPr>
          <w:rFonts w:ascii="Arial" w:hAnsi="Arial"/>
          <w:sz w:val="22"/>
          <w:szCs w:val="22"/>
        </w:rPr>
        <w:t xml:space="preserve">Gabo Island </w:t>
      </w:r>
      <w:r w:rsidR="00D44BCF" w:rsidRPr="008855E9">
        <w:rPr>
          <w:rFonts w:ascii="Arial" w:hAnsi="Arial"/>
          <w:sz w:val="22"/>
          <w:szCs w:val="22"/>
        </w:rPr>
        <w:t xml:space="preserve">is the eastern-most island in the EMBA, </w:t>
      </w:r>
      <w:r w:rsidR="003963FC" w:rsidRPr="008855E9">
        <w:rPr>
          <w:rFonts w:ascii="Arial" w:hAnsi="Arial"/>
          <w:sz w:val="22"/>
          <w:szCs w:val="22"/>
        </w:rPr>
        <w:t xml:space="preserve">comprising pink granite and </w:t>
      </w:r>
      <w:r w:rsidR="00D44BCF" w:rsidRPr="008855E9">
        <w:rPr>
          <w:rFonts w:ascii="Arial" w:hAnsi="Arial"/>
          <w:sz w:val="22"/>
          <w:szCs w:val="22"/>
        </w:rPr>
        <w:t>covering an area of 154 ha</w:t>
      </w:r>
      <w:r w:rsidR="003963FC" w:rsidRPr="008855E9">
        <w:rPr>
          <w:rFonts w:ascii="Arial" w:hAnsi="Arial"/>
          <w:sz w:val="22"/>
          <w:szCs w:val="22"/>
        </w:rPr>
        <w:t xml:space="preserve">, located 500 m off the coast (ParksVic, 2012). The island is considered to be of state zoological significance due to the presence of what is thought to be the largest breeding colony of little penguins in the world at 35,000 individuals (ParksVic, 2012; </w:t>
      </w:r>
      <w:r w:rsidR="0085766F">
        <w:rPr>
          <w:rFonts w:ascii="Arial" w:hAnsi="Arial"/>
          <w:sz w:val="22"/>
          <w:szCs w:val="22"/>
        </w:rPr>
        <w:t>DEDJTRA, 2017a</w:t>
      </w:r>
      <w:r w:rsidR="003963FC" w:rsidRPr="008855E9">
        <w:rPr>
          <w:rFonts w:ascii="Arial" w:hAnsi="Arial"/>
          <w:sz w:val="22"/>
          <w:szCs w:val="22"/>
        </w:rPr>
        <w:t xml:space="preserve">). Large seabird populations, including short-tailed shearwaters, provide a source of food for raptors such as white-bellied sea-eagles, whistling kites, marsh harriers and brown falcons (ParksVic, 2012). The rocky shore platform provides haul-out sites for Australian fur seals (~30-50 individuals) and New Zealand fur seals (ParksVic, 2012; </w:t>
      </w:r>
      <w:r w:rsidR="0085766F">
        <w:rPr>
          <w:rFonts w:ascii="Arial" w:hAnsi="Arial"/>
          <w:sz w:val="22"/>
          <w:szCs w:val="22"/>
        </w:rPr>
        <w:t>DEDJTR, 2017a</w:t>
      </w:r>
      <w:r w:rsidR="003963FC" w:rsidRPr="008855E9">
        <w:rPr>
          <w:rFonts w:ascii="Arial" w:hAnsi="Arial"/>
          <w:sz w:val="22"/>
          <w:szCs w:val="22"/>
        </w:rPr>
        <w:t xml:space="preserve">). The </w:t>
      </w:r>
      <w:r w:rsidR="0042652A" w:rsidRPr="008855E9">
        <w:rPr>
          <w:rFonts w:ascii="Arial" w:hAnsi="Arial"/>
          <w:sz w:val="22"/>
          <w:szCs w:val="22"/>
        </w:rPr>
        <w:t xml:space="preserve">proposed </w:t>
      </w:r>
      <w:r w:rsidR="003963FC" w:rsidRPr="008855E9">
        <w:rPr>
          <w:rFonts w:ascii="Arial" w:hAnsi="Arial"/>
          <w:sz w:val="22"/>
          <w:szCs w:val="22"/>
        </w:rPr>
        <w:t>Gabo Island SMA is located on the northwest side of the island, covering 23 ha of water</w:t>
      </w:r>
      <w:r w:rsidR="0042652A" w:rsidRPr="008855E9">
        <w:rPr>
          <w:rFonts w:ascii="Arial" w:hAnsi="Arial"/>
          <w:sz w:val="22"/>
          <w:szCs w:val="22"/>
        </w:rPr>
        <w:t xml:space="preserve">, </w:t>
      </w:r>
      <w:r w:rsidR="003963FC" w:rsidRPr="008855E9">
        <w:rPr>
          <w:rFonts w:ascii="Arial" w:hAnsi="Arial"/>
          <w:sz w:val="22"/>
          <w:szCs w:val="22"/>
        </w:rPr>
        <w:t xml:space="preserve">in recognition of the little penguin colony, and the temperate reef communities that surround natural reef and a shipwreck within the harbour (ECC, 2000). </w:t>
      </w:r>
    </w:p>
    <w:p w14:paraId="6EE5E204" w14:textId="6B331722" w:rsidR="00CB418E" w:rsidRDefault="0025132E" w:rsidP="000C69A6">
      <w:pPr>
        <w:pStyle w:val="Heading3"/>
      </w:pPr>
      <w:bookmarkStart w:id="231" w:name="_Toc375214556"/>
      <w:r>
        <w:t>Proposed Special Management Areas</w:t>
      </w:r>
      <w:bookmarkEnd w:id="231"/>
      <w:r w:rsidR="00E62C45">
        <w:t xml:space="preserve"> </w:t>
      </w:r>
    </w:p>
    <w:p w14:paraId="5B0B5273" w14:textId="026A20F1" w:rsidR="00CB418E" w:rsidRPr="008855E9" w:rsidRDefault="00CB418E" w:rsidP="00CB418E">
      <w:pPr>
        <w:pStyle w:val="bodycopy"/>
        <w:spacing w:after="240"/>
        <w:rPr>
          <w:rFonts w:ascii="Arial" w:hAnsi="Arial"/>
          <w:sz w:val="22"/>
          <w:szCs w:val="22"/>
        </w:rPr>
      </w:pPr>
      <w:r w:rsidRPr="008855E9">
        <w:rPr>
          <w:rFonts w:ascii="Arial" w:hAnsi="Arial"/>
          <w:sz w:val="22"/>
          <w:szCs w:val="22"/>
        </w:rPr>
        <w:t xml:space="preserve">Two of the three </w:t>
      </w:r>
      <w:r w:rsidR="0042652A" w:rsidRPr="008855E9">
        <w:rPr>
          <w:rFonts w:ascii="Arial" w:hAnsi="Arial"/>
          <w:sz w:val="22"/>
          <w:szCs w:val="22"/>
        </w:rPr>
        <w:t xml:space="preserve">proposed </w:t>
      </w:r>
      <w:r w:rsidRPr="008855E9">
        <w:rPr>
          <w:rFonts w:ascii="Arial" w:hAnsi="Arial"/>
          <w:sz w:val="22"/>
          <w:szCs w:val="22"/>
        </w:rPr>
        <w:t xml:space="preserve">SMAs present in the EMBA are described in Section 5.3.4. The </w:t>
      </w:r>
      <w:r w:rsidR="0042652A" w:rsidRPr="008855E9">
        <w:rPr>
          <w:rFonts w:ascii="Arial" w:hAnsi="Arial"/>
          <w:sz w:val="22"/>
          <w:szCs w:val="22"/>
        </w:rPr>
        <w:t xml:space="preserve">proposed </w:t>
      </w:r>
      <w:r w:rsidRPr="008855E9">
        <w:rPr>
          <w:rFonts w:ascii="Arial" w:hAnsi="Arial"/>
          <w:sz w:val="22"/>
          <w:szCs w:val="22"/>
        </w:rPr>
        <w:t xml:space="preserve">Mallacoota Inlet SMA is a </w:t>
      </w:r>
      <w:r w:rsidR="00E62C45" w:rsidRPr="008855E9">
        <w:rPr>
          <w:rFonts w:ascii="Arial" w:hAnsi="Arial"/>
          <w:sz w:val="22"/>
          <w:szCs w:val="22"/>
        </w:rPr>
        <w:t>340-ha</w:t>
      </w:r>
      <w:r w:rsidRPr="008855E9">
        <w:rPr>
          <w:rFonts w:ascii="Arial" w:hAnsi="Arial"/>
          <w:sz w:val="22"/>
          <w:szCs w:val="22"/>
        </w:rPr>
        <w:t xml:space="preserve"> area that includes the tidal delta area at the entrance to the inlet, and the </w:t>
      </w:r>
      <w:r w:rsidRPr="0087662D">
        <w:rPr>
          <w:rFonts w:ascii="Arial" w:hAnsi="Arial"/>
          <w:sz w:val="22"/>
          <w:szCs w:val="22"/>
        </w:rPr>
        <w:t>Goodwin Sands.</w:t>
      </w:r>
      <w:r w:rsidRPr="008855E9">
        <w:rPr>
          <w:rFonts w:ascii="Arial" w:hAnsi="Arial"/>
          <w:sz w:val="22"/>
          <w:szCs w:val="22"/>
        </w:rPr>
        <w:t xml:space="preserve"> Mallacoota Inlet is the largest estuarine lagoon system in south-eastern Australia (ECC, 2000). The inlet includes three seagrass species, with </w:t>
      </w:r>
      <w:r w:rsidRPr="008855E9">
        <w:rPr>
          <w:rFonts w:ascii="Arial" w:hAnsi="Arial"/>
          <w:i/>
          <w:sz w:val="22"/>
          <w:szCs w:val="22"/>
        </w:rPr>
        <w:t>Zostera muelleri</w:t>
      </w:r>
      <w:r w:rsidRPr="008855E9">
        <w:rPr>
          <w:rFonts w:ascii="Arial" w:hAnsi="Arial"/>
          <w:sz w:val="22"/>
          <w:szCs w:val="22"/>
        </w:rPr>
        <w:t xml:space="preserve"> being the dominant subtidal vegetation. A variety of shorebirds breed in the area, including Caspian, little, fairy and crested terns (ECC, 2000).</w:t>
      </w:r>
    </w:p>
    <w:p w14:paraId="2AE16217" w14:textId="77777777" w:rsidR="00F92BED" w:rsidRPr="008855E9" w:rsidRDefault="009148F6" w:rsidP="008855E9">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232" w:name="_Ref319851259"/>
      <w:bookmarkStart w:id="233" w:name="_Toc320190754"/>
      <w:bookmarkStart w:id="234" w:name="_Toc375214557"/>
      <w:r w:rsidRPr="008855E9">
        <w:rPr>
          <w:rFonts w:cs="Times New Roman"/>
          <w:iCs w:val="0"/>
          <w:color w:val="064EA8"/>
          <w:szCs w:val="26"/>
          <w:lang w:eastAsia="en-US"/>
        </w:rPr>
        <w:lastRenderedPageBreak/>
        <w:t>Bio</w:t>
      </w:r>
      <w:r w:rsidR="00F92BED" w:rsidRPr="008855E9">
        <w:rPr>
          <w:rFonts w:cs="Times New Roman"/>
          <w:iCs w:val="0"/>
          <w:color w:val="064EA8"/>
          <w:szCs w:val="26"/>
          <w:lang w:eastAsia="en-US"/>
        </w:rPr>
        <w:t>logical Environment</w:t>
      </w:r>
      <w:bookmarkEnd w:id="232"/>
      <w:bookmarkEnd w:id="233"/>
      <w:bookmarkEnd w:id="234"/>
    </w:p>
    <w:p w14:paraId="4642F911" w14:textId="15244753" w:rsidR="00F92BED" w:rsidRPr="008855E9" w:rsidRDefault="00F92BED" w:rsidP="00F92BED">
      <w:pPr>
        <w:pStyle w:val="bodycopy"/>
        <w:rPr>
          <w:rFonts w:ascii="Arial" w:hAnsi="Arial"/>
          <w:sz w:val="22"/>
          <w:szCs w:val="22"/>
        </w:rPr>
      </w:pPr>
      <w:r w:rsidRPr="008855E9">
        <w:rPr>
          <w:rFonts w:ascii="Arial" w:hAnsi="Arial"/>
          <w:sz w:val="22"/>
          <w:szCs w:val="22"/>
        </w:rPr>
        <w:t>The results of the</w:t>
      </w:r>
      <w:r w:rsidR="0058338D">
        <w:rPr>
          <w:rFonts w:ascii="Arial" w:hAnsi="Arial"/>
          <w:sz w:val="22"/>
          <w:szCs w:val="22"/>
        </w:rPr>
        <w:t xml:space="preserve"> PMST and VBA databa</w:t>
      </w:r>
      <w:r w:rsidRPr="008855E9">
        <w:rPr>
          <w:rFonts w:ascii="Arial" w:hAnsi="Arial"/>
          <w:sz w:val="22"/>
          <w:szCs w:val="22"/>
        </w:rPr>
        <w:t xml:space="preserve">se searches provide the key means by which species are identified for the area, and are discussed in this section.  </w:t>
      </w:r>
    </w:p>
    <w:p w14:paraId="1259D878" w14:textId="5DC4F15C" w:rsidR="00F92BED" w:rsidRPr="008855E9" w:rsidRDefault="00F92BED" w:rsidP="00F92BED">
      <w:pPr>
        <w:pStyle w:val="bodycopy"/>
        <w:rPr>
          <w:rFonts w:ascii="Arial" w:hAnsi="Arial"/>
          <w:sz w:val="22"/>
          <w:szCs w:val="22"/>
        </w:rPr>
      </w:pPr>
      <w:r w:rsidRPr="008855E9">
        <w:rPr>
          <w:rFonts w:ascii="Arial" w:hAnsi="Arial"/>
          <w:sz w:val="22"/>
          <w:szCs w:val="22"/>
        </w:rPr>
        <w:t xml:space="preserve">Additionally, Biologically Important Areas (BIAs) are identified for those species that may occur within the survey area and </w:t>
      </w:r>
      <w:r w:rsidR="00F019C3" w:rsidRPr="008855E9">
        <w:rPr>
          <w:rFonts w:ascii="Arial" w:hAnsi="Arial"/>
          <w:sz w:val="22"/>
          <w:szCs w:val="22"/>
        </w:rPr>
        <w:t>E</w:t>
      </w:r>
      <w:r w:rsidRPr="008855E9">
        <w:rPr>
          <w:rFonts w:ascii="Arial" w:hAnsi="Arial"/>
          <w:sz w:val="22"/>
          <w:szCs w:val="22"/>
        </w:rPr>
        <w:t>MBA. BIAs are spatially defined areas, defined by the Do</w:t>
      </w:r>
      <w:r w:rsidR="00F019C3" w:rsidRPr="008855E9">
        <w:rPr>
          <w:rFonts w:ascii="Arial" w:hAnsi="Arial"/>
          <w:sz w:val="22"/>
          <w:szCs w:val="22"/>
        </w:rPr>
        <w:t>E</w:t>
      </w:r>
      <w:r w:rsidRPr="008855E9">
        <w:rPr>
          <w:rFonts w:ascii="Arial" w:hAnsi="Arial"/>
          <w:sz w:val="22"/>
          <w:szCs w:val="22"/>
        </w:rPr>
        <w:t>E based on expert scientific knowledge, where aggregations of individuals of a species are known to display biologically important behaviour such as breeding, foraging, resting or migration (Do</w:t>
      </w:r>
      <w:r w:rsidR="00F019C3" w:rsidRPr="008855E9">
        <w:rPr>
          <w:rFonts w:ascii="Arial" w:hAnsi="Arial"/>
          <w:sz w:val="22"/>
          <w:szCs w:val="22"/>
        </w:rPr>
        <w:t>E</w:t>
      </w:r>
      <w:r w:rsidRPr="008855E9">
        <w:rPr>
          <w:rFonts w:ascii="Arial" w:hAnsi="Arial"/>
          <w:sz w:val="22"/>
          <w:szCs w:val="22"/>
        </w:rPr>
        <w:t>E, 201</w:t>
      </w:r>
      <w:r w:rsidR="00F019C3" w:rsidRPr="008855E9">
        <w:rPr>
          <w:rFonts w:ascii="Arial" w:hAnsi="Arial"/>
          <w:sz w:val="22"/>
          <w:szCs w:val="22"/>
        </w:rPr>
        <w:t>7</w:t>
      </w:r>
      <w:r w:rsidR="00225481">
        <w:rPr>
          <w:rFonts w:ascii="Arial" w:hAnsi="Arial"/>
          <w:sz w:val="22"/>
          <w:szCs w:val="22"/>
        </w:rPr>
        <w:t>h</w:t>
      </w:r>
      <w:r w:rsidRPr="008855E9">
        <w:rPr>
          <w:rFonts w:ascii="Arial" w:hAnsi="Arial"/>
          <w:sz w:val="22"/>
          <w:szCs w:val="22"/>
        </w:rPr>
        <w:t xml:space="preserve">). The BIAs do not represent a species’ full distribution range. </w:t>
      </w:r>
    </w:p>
    <w:p w14:paraId="1BD23E86" w14:textId="77777777" w:rsidR="00F92BED" w:rsidRDefault="00F92BED" w:rsidP="00657154">
      <w:pPr>
        <w:pStyle w:val="Heading3"/>
      </w:pPr>
      <w:bookmarkStart w:id="235" w:name="_Toc474222008"/>
      <w:bookmarkStart w:id="236" w:name="_Ref478044913"/>
      <w:bookmarkStart w:id="237" w:name="_Ref478632782"/>
      <w:bookmarkStart w:id="238" w:name="_Ref481754284"/>
      <w:bookmarkStart w:id="239" w:name="_Ref489879069"/>
      <w:bookmarkStart w:id="240" w:name="_Toc375214558"/>
      <w:r>
        <w:t>Benthic Assemblages</w:t>
      </w:r>
      <w:bookmarkEnd w:id="235"/>
      <w:bookmarkEnd w:id="236"/>
      <w:bookmarkEnd w:id="237"/>
      <w:bookmarkEnd w:id="238"/>
      <w:bookmarkEnd w:id="239"/>
      <w:bookmarkEnd w:id="240"/>
    </w:p>
    <w:p w14:paraId="5ACCA8CA" w14:textId="7874463D" w:rsidR="00701AEF" w:rsidRPr="00701AEF" w:rsidRDefault="00701AEF" w:rsidP="00F92BED">
      <w:pPr>
        <w:pStyle w:val="bodycopy"/>
        <w:rPr>
          <w:rFonts w:ascii="Arial" w:hAnsi="Arial"/>
          <w:b/>
          <w:sz w:val="22"/>
          <w:szCs w:val="22"/>
        </w:rPr>
      </w:pPr>
      <w:r w:rsidRPr="00701AEF">
        <w:rPr>
          <w:rFonts w:ascii="Arial" w:hAnsi="Arial"/>
          <w:b/>
          <w:sz w:val="22"/>
          <w:szCs w:val="22"/>
        </w:rPr>
        <w:t>Regional knowledge</w:t>
      </w:r>
    </w:p>
    <w:p w14:paraId="6BB566BB" w14:textId="72700AF2" w:rsidR="00F92BED" w:rsidRPr="0058338D" w:rsidRDefault="00F92BED" w:rsidP="00F92BED">
      <w:pPr>
        <w:pStyle w:val="bodycopy"/>
        <w:rPr>
          <w:rFonts w:ascii="Arial" w:hAnsi="Arial"/>
          <w:sz w:val="22"/>
          <w:szCs w:val="22"/>
        </w:rPr>
      </w:pPr>
      <w:bookmarkStart w:id="241" w:name="OLE_LINK5"/>
      <w:bookmarkStart w:id="242" w:name="OLE_LINK6"/>
      <w:r w:rsidRPr="0058338D">
        <w:rPr>
          <w:rFonts w:ascii="Arial" w:hAnsi="Arial"/>
          <w:sz w:val="22"/>
          <w:szCs w:val="22"/>
        </w:rPr>
        <w:t>The seascape of the region is composed of a series of massive sediment flats, interspersed with small patches of reef, bedrock and consolidated sediment (Wilson and Poore, 1987). OSRA</w:t>
      </w:r>
      <w:r w:rsidR="008228C7">
        <w:rPr>
          <w:rFonts w:ascii="Arial" w:hAnsi="Arial"/>
          <w:sz w:val="22"/>
          <w:szCs w:val="22"/>
        </w:rPr>
        <w:t xml:space="preserve"> </w:t>
      </w:r>
      <w:r w:rsidRPr="0058338D">
        <w:rPr>
          <w:rFonts w:ascii="Arial" w:hAnsi="Arial"/>
          <w:sz w:val="22"/>
          <w:szCs w:val="22"/>
        </w:rPr>
        <w:t xml:space="preserve">mapping for the Ninety Mile Beach indicates that there is an absence of hard substrate or emergent reefs in the region. </w:t>
      </w:r>
    </w:p>
    <w:p w14:paraId="2932FBC9" w14:textId="77777777" w:rsidR="00F92BED" w:rsidRPr="0058338D" w:rsidRDefault="00F92BED" w:rsidP="00F92BED">
      <w:pPr>
        <w:pStyle w:val="bodycopy"/>
        <w:rPr>
          <w:rFonts w:ascii="Arial" w:hAnsi="Arial"/>
          <w:sz w:val="22"/>
          <w:szCs w:val="22"/>
        </w:rPr>
      </w:pPr>
      <w:r w:rsidRPr="0058338D">
        <w:rPr>
          <w:rFonts w:ascii="Arial" w:hAnsi="Arial"/>
          <w:sz w:val="22"/>
          <w:szCs w:val="22"/>
        </w:rPr>
        <w:t>The sediment flats are generally devoid of emergent fauna but benthic invertebrates such as polychaetes, bivalves, molluscs and echinoderms are present (Wilson and Poore, 1987). There are also a number of burrowing species, which inhabit the soft seabed, including tubeworms, small crustaceans, nematodes, nemerteans and seapens (PBEES, 2001).</w:t>
      </w:r>
    </w:p>
    <w:p w14:paraId="554439EE" w14:textId="356F3CBF" w:rsidR="00701AEF" w:rsidRPr="00701AEF" w:rsidRDefault="00701AEF" w:rsidP="00F92BED">
      <w:pPr>
        <w:pStyle w:val="bodycopy"/>
        <w:rPr>
          <w:rFonts w:ascii="Arial" w:hAnsi="Arial"/>
          <w:sz w:val="22"/>
          <w:szCs w:val="22"/>
          <w:u w:val="single"/>
        </w:rPr>
      </w:pPr>
      <w:r w:rsidRPr="00701AEF">
        <w:rPr>
          <w:rFonts w:ascii="Arial" w:hAnsi="Arial"/>
          <w:sz w:val="22"/>
          <w:szCs w:val="22"/>
          <w:u w:val="single"/>
        </w:rPr>
        <w:t>Bass Strait</w:t>
      </w:r>
    </w:p>
    <w:p w14:paraId="23F21E92" w14:textId="77777777" w:rsidR="00F92BED" w:rsidRPr="0058338D" w:rsidRDefault="00F92BED" w:rsidP="00F92BED">
      <w:pPr>
        <w:pStyle w:val="bodycopy"/>
        <w:rPr>
          <w:rFonts w:ascii="Arial" w:hAnsi="Arial"/>
          <w:sz w:val="22"/>
          <w:szCs w:val="22"/>
        </w:rPr>
      </w:pPr>
      <w:r w:rsidRPr="0058338D">
        <w:rPr>
          <w:rFonts w:ascii="Arial" w:hAnsi="Arial"/>
          <w:sz w:val="22"/>
          <w:szCs w:val="22"/>
        </w:rPr>
        <w:t xml:space="preserve">Surveys of benthic invertebrates in Bass Strait (Poore </w:t>
      </w:r>
      <w:r w:rsidRPr="0058338D">
        <w:rPr>
          <w:rFonts w:ascii="Arial" w:hAnsi="Arial"/>
          <w:i/>
          <w:sz w:val="22"/>
          <w:szCs w:val="22"/>
        </w:rPr>
        <w:t>et al</w:t>
      </w:r>
      <w:r w:rsidRPr="0058338D">
        <w:rPr>
          <w:rFonts w:ascii="Arial" w:hAnsi="Arial"/>
          <w:sz w:val="22"/>
          <w:szCs w:val="22"/>
        </w:rPr>
        <w:t xml:space="preserve">., 1985; Wilson and Poore, 1987) have shown: </w:t>
      </w:r>
    </w:p>
    <w:p w14:paraId="1A8B84A2" w14:textId="77777777" w:rsidR="00F92BED" w:rsidRPr="0058338D" w:rsidRDefault="00F92BED" w:rsidP="0058338D">
      <w:pPr>
        <w:pStyle w:val="bodycopy"/>
        <w:numPr>
          <w:ilvl w:val="0"/>
          <w:numId w:val="361"/>
        </w:numPr>
        <w:rPr>
          <w:rFonts w:ascii="Arial" w:hAnsi="Arial"/>
          <w:sz w:val="22"/>
          <w:szCs w:val="22"/>
        </w:rPr>
      </w:pPr>
      <w:r w:rsidRPr="0058338D">
        <w:rPr>
          <w:rFonts w:ascii="Arial" w:hAnsi="Arial"/>
          <w:sz w:val="22"/>
          <w:szCs w:val="22"/>
        </w:rPr>
        <w:t>Crustaceans and polychaetes dominate the infaunal communities, many of which are unknown species.</w:t>
      </w:r>
    </w:p>
    <w:p w14:paraId="756BFA2A" w14:textId="77777777" w:rsidR="00F92BED" w:rsidRPr="0058338D" w:rsidRDefault="00F92BED" w:rsidP="0058338D">
      <w:pPr>
        <w:pStyle w:val="bodycopy"/>
        <w:numPr>
          <w:ilvl w:val="0"/>
          <w:numId w:val="361"/>
        </w:numPr>
        <w:rPr>
          <w:rFonts w:ascii="Arial" w:hAnsi="Arial"/>
          <w:sz w:val="22"/>
          <w:szCs w:val="22"/>
        </w:rPr>
      </w:pPr>
      <w:r w:rsidRPr="0058338D">
        <w:rPr>
          <w:rFonts w:ascii="Arial" w:hAnsi="Arial"/>
          <w:sz w:val="22"/>
          <w:szCs w:val="22"/>
        </w:rPr>
        <w:t>The high diversity of a wide range of invertebrate groups has been a recurrent observation of all surveys in Bass Strait and diversity is high compared with equivalent areas of the northern hemisphere.</w:t>
      </w:r>
    </w:p>
    <w:p w14:paraId="4A6909C1" w14:textId="77777777" w:rsidR="00F92BED" w:rsidRPr="0058338D" w:rsidRDefault="00F92BED" w:rsidP="0058338D">
      <w:pPr>
        <w:pStyle w:val="bodycopy"/>
        <w:numPr>
          <w:ilvl w:val="0"/>
          <w:numId w:val="361"/>
        </w:numPr>
        <w:rPr>
          <w:rFonts w:ascii="Arial" w:hAnsi="Arial"/>
          <w:sz w:val="22"/>
          <w:szCs w:val="22"/>
        </w:rPr>
      </w:pPr>
      <w:r w:rsidRPr="0058338D">
        <w:rPr>
          <w:rFonts w:ascii="Arial" w:hAnsi="Arial"/>
          <w:sz w:val="22"/>
          <w:szCs w:val="22"/>
        </w:rPr>
        <w:t>Many species are widely distributed across the Strait, suggesting heterogeneous sediments and many microhabitats.</w:t>
      </w:r>
    </w:p>
    <w:p w14:paraId="3AA80B8D" w14:textId="77777777" w:rsidR="00F92BED" w:rsidRPr="0058338D" w:rsidRDefault="00F92BED" w:rsidP="0058338D">
      <w:pPr>
        <w:pStyle w:val="bodycopy"/>
        <w:numPr>
          <w:ilvl w:val="0"/>
          <w:numId w:val="361"/>
        </w:numPr>
        <w:rPr>
          <w:rFonts w:ascii="Arial" w:hAnsi="Arial"/>
          <w:sz w:val="22"/>
          <w:szCs w:val="22"/>
        </w:rPr>
      </w:pPr>
      <w:r w:rsidRPr="0058338D">
        <w:rPr>
          <w:rFonts w:ascii="Arial" w:hAnsi="Arial"/>
          <w:sz w:val="22"/>
          <w:szCs w:val="22"/>
        </w:rPr>
        <w:t>Some invertebrate groups are allied with fauna from Antarctic seas. In winter, when the east coast of Tasmania is supplied with water from the sub-Antarctic, the overlap with the East Australia current contributes to the high diversity.</w:t>
      </w:r>
    </w:p>
    <w:p w14:paraId="5BD00347" w14:textId="77777777" w:rsidR="00F92BED" w:rsidRDefault="00F92BED" w:rsidP="00F92BED">
      <w:pPr>
        <w:pStyle w:val="bodycopy"/>
        <w:rPr>
          <w:rFonts w:ascii="Arial" w:hAnsi="Arial"/>
          <w:sz w:val="22"/>
          <w:szCs w:val="22"/>
        </w:rPr>
      </w:pPr>
      <w:r w:rsidRPr="0058338D">
        <w:rPr>
          <w:rFonts w:ascii="Arial" w:hAnsi="Arial"/>
          <w:sz w:val="22"/>
          <w:szCs w:val="22"/>
        </w:rPr>
        <w:t xml:space="preserve">Parry et al (1990) also found high diversity and patchiness of benthos sampled off Lakes Entrance, where a total of 353 species of infauna was recorded. Crustaceans (53%), polychaetes (32%) and molluscs (9%) dominated sample results. </w:t>
      </w:r>
    </w:p>
    <w:p w14:paraId="78511CD9" w14:textId="4648C17E" w:rsidR="00701AEF" w:rsidRPr="0058338D" w:rsidRDefault="00701AEF" w:rsidP="00701AEF">
      <w:pPr>
        <w:pStyle w:val="bodycopy"/>
        <w:rPr>
          <w:rFonts w:ascii="Arial" w:hAnsi="Arial"/>
          <w:sz w:val="22"/>
          <w:szCs w:val="22"/>
        </w:rPr>
      </w:pPr>
      <w:r w:rsidRPr="0058338D">
        <w:rPr>
          <w:rFonts w:ascii="Arial" w:hAnsi="Arial"/>
          <w:sz w:val="22"/>
          <w:szCs w:val="22"/>
        </w:rPr>
        <w:t>Barton et al (2012) report that in the Ninety Mile Beach Marine National Park (14.5 km west of the proposed acquisition area), reefs are dominated by invertebrates, including sponges, ascidians (sea squirts) and smaller bryozoans (resembling coral) and hydroids (colonies of tiny jellies attached to a feather-like base). Given the park’s proximity, this may be expected to be representative of invertebrates present within rocky reefs in the proposed acquisition area.</w:t>
      </w:r>
    </w:p>
    <w:bookmarkEnd w:id="241"/>
    <w:bookmarkEnd w:id="242"/>
    <w:p w14:paraId="561A9994" w14:textId="77777777" w:rsidR="003B6839" w:rsidRDefault="003B6839" w:rsidP="003B6839">
      <w:pPr>
        <w:pStyle w:val="bodycopy"/>
        <w:rPr>
          <w:rFonts w:ascii="Arial" w:hAnsi="Arial"/>
          <w:sz w:val="22"/>
          <w:szCs w:val="22"/>
        </w:rPr>
      </w:pPr>
      <w:r w:rsidRPr="0058338D">
        <w:rPr>
          <w:rFonts w:ascii="Arial" w:hAnsi="Arial"/>
          <w:sz w:val="22"/>
          <w:szCs w:val="22"/>
        </w:rPr>
        <w:t xml:space="preserve">A search of the VBA database indicates that 30 benthic fauna species have been recorded in the EMBA. These species comprise sea snails, sea stars, sea urchins, sea slugs, rock lobsters and limpets. None of these species are listed as threatened under the FFG Act. </w:t>
      </w:r>
    </w:p>
    <w:p w14:paraId="0975101C" w14:textId="77777777" w:rsidR="00E62C45" w:rsidRPr="0058338D" w:rsidRDefault="00E62C45" w:rsidP="00E62C45">
      <w:pPr>
        <w:pStyle w:val="bodycopy"/>
        <w:rPr>
          <w:rFonts w:ascii="Arial" w:hAnsi="Arial"/>
          <w:sz w:val="22"/>
          <w:szCs w:val="22"/>
        </w:rPr>
      </w:pPr>
      <w:r w:rsidRPr="0058338D">
        <w:rPr>
          <w:rFonts w:ascii="Arial" w:hAnsi="Arial"/>
          <w:sz w:val="22"/>
          <w:szCs w:val="22"/>
        </w:rPr>
        <w:lastRenderedPageBreak/>
        <w:t xml:space="preserve">Benthic fauna studies (i.e., dredge samples) were undertaken for the area offshore from Ninety Mile Beach at Seaspray for the Tasmanian Gas Pipeline (2000) (12 km west of the proposed acquisition area) in similar sandy substrates to those which have been observed at the survey area. In water depths from 17-20 m (similar to </w:t>
      </w:r>
      <w:r>
        <w:rPr>
          <w:rFonts w:ascii="Arial" w:hAnsi="Arial"/>
          <w:sz w:val="22"/>
          <w:szCs w:val="22"/>
        </w:rPr>
        <w:t xml:space="preserve">parts of </w:t>
      </w:r>
      <w:r w:rsidRPr="0058338D">
        <w:rPr>
          <w:rFonts w:ascii="Arial" w:hAnsi="Arial"/>
          <w:sz w:val="22"/>
          <w:szCs w:val="22"/>
        </w:rPr>
        <w:t xml:space="preserve">the proposed </w:t>
      </w:r>
      <w:r>
        <w:rPr>
          <w:rFonts w:ascii="Arial" w:hAnsi="Arial"/>
          <w:sz w:val="22"/>
          <w:szCs w:val="22"/>
        </w:rPr>
        <w:t>acquisition</w:t>
      </w:r>
      <w:r w:rsidRPr="0058338D">
        <w:rPr>
          <w:rFonts w:ascii="Arial" w:hAnsi="Arial"/>
          <w:sz w:val="22"/>
          <w:szCs w:val="22"/>
        </w:rPr>
        <w:t xml:space="preserve"> area), it was found that there were mobile sands with irregular ripples that contained a variety of small mobile animals such as crustaceans, bivalves, sponges, worm tubes and polychaete worms. </w:t>
      </w:r>
    </w:p>
    <w:p w14:paraId="077A4AB3" w14:textId="79906A4C" w:rsidR="00701AEF" w:rsidRPr="00701AEF" w:rsidRDefault="00701AEF" w:rsidP="003B6839">
      <w:pPr>
        <w:pStyle w:val="bodycopy"/>
        <w:rPr>
          <w:rFonts w:ascii="Arial" w:hAnsi="Arial"/>
          <w:sz w:val="22"/>
          <w:szCs w:val="22"/>
          <w:u w:val="single"/>
        </w:rPr>
      </w:pPr>
      <w:r w:rsidRPr="00701AEF">
        <w:rPr>
          <w:rFonts w:ascii="Arial" w:hAnsi="Arial"/>
          <w:sz w:val="22"/>
          <w:szCs w:val="22"/>
          <w:u w:val="single"/>
        </w:rPr>
        <w:t>Proposed acquisition area</w:t>
      </w:r>
    </w:p>
    <w:p w14:paraId="4F067B70" w14:textId="4796A931" w:rsidR="0058338D" w:rsidRDefault="0058338D" w:rsidP="003B6839">
      <w:pPr>
        <w:pStyle w:val="bodycopy"/>
        <w:rPr>
          <w:rFonts w:ascii="Arial" w:hAnsi="Arial"/>
          <w:sz w:val="22"/>
          <w:szCs w:val="22"/>
        </w:rPr>
      </w:pPr>
      <w:bookmarkStart w:id="243" w:name="OLE_LINK7"/>
      <w:bookmarkStart w:id="244" w:name="OLE_LINK8"/>
      <w:r>
        <w:rPr>
          <w:rFonts w:ascii="Arial" w:hAnsi="Arial"/>
          <w:sz w:val="22"/>
          <w:szCs w:val="22"/>
        </w:rPr>
        <w:t xml:space="preserve">The marine </w:t>
      </w:r>
      <w:r w:rsidR="00C473BB">
        <w:rPr>
          <w:rFonts w:ascii="Arial" w:hAnsi="Arial"/>
          <w:sz w:val="22"/>
          <w:szCs w:val="22"/>
        </w:rPr>
        <w:t>habitat</w:t>
      </w:r>
      <w:r>
        <w:rPr>
          <w:rFonts w:ascii="Arial" w:hAnsi="Arial"/>
          <w:sz w:val="22"/>
          <w:szCs w:val="22"/>
        </w:rPr>
        <w:t xml:space="preserve"> </w:t>
      </w:r>
      <w:r w:rsidR="00467CF0">
        <w:rPr>
          <w:rFonts w:ascii="Arial" w:hAnsi="Arial"/>
          <w:sz w:val="22"/>
          <w:szCs w:val="22"/>
        </w:rPr>
        <w:t>assessment</w:t>
      </w:r>
      <w:r>
        <w:rPr>
          <w:rFonts w:ascii="Arial" w:hAnsi="Arial"/>
          <w:sz w:val="22"/>
          <w:szCs w:val="22"/>
        </w:rPr>
        <w:t xml:space="preserve"> commissioned by CarbonNet and undertaken by Advisian in early April 2017 found the following benthic assemblages within the proposed acquisition area: </w:t>
      </w:r>
    </w:p>
    <w:p w14:paraId="7177FB63" w14:textId="32741753" w:rsidR="0058338D" w:rsidRPr="008E22DD" w:rsidRDefault="00AB42B0" w:rsidP="0058338D">
      <w:pPr>
        <w:pStyle w:val="bodycopy"/>
        <w:numPr>
          <w:ilvl w:val="0"/>
          <w:numId w:val="361"/>
        </w:numPr>
        <w:rPr>
          <w:rFonts w:ascii="Arial" w:hAnsi="Arial"/>
          <w:sz w:val="22"/>
          <w:szCs w:val="22"/>
        </w:rPr>
      </w:pPr>
      <w:r w:rsidRPr="00AB42B0">
        <w:rPr>
          <w:rFonts w:ascii="Arial" w:hAnsi="Arial"/>
          <w:sz w:val="22"/>
          <w:szCs w:val="22"/>
        </w:rPr>
        <w:t>Isolated and sparse seagrass beds (sampling sites 4, 13, 16, 44 and 60)</w:t>
      </w:r>
      <w:r w:rsidR="00F519D4">
        <w:rPr>
          <w:rFonts w:ascii="Arial" w:hAnsi="Arial"/>
          <w:sz w:val="22"/>
          <w:szCs w:val="22"/>
        </w:rPr>
        <w:t xml:space="preserve"> (example shown </w:t>
      </w:r>
      <w:r w:rsidR="00F519D4" w:rsidRPr="0087662D">
        <w:rPr>
          <w:rFonts w:ascii="Arial" w:hAnsi="Arial"/>
          <w:sz w:val="22"/>
          <w:szCs w:val="22"/>
        </w:rPr>
        <w:t xml:space="preserve">in </w:t>
      </w:r>
      <w:r w:rsidR="00F519D4" w:rsidRPr="008E22DD">
        <w:rPr>
          <w:rFonts w:ascii="Arial" w:hAnsi="Arial"/>
          <w:sz w:val="22"/>
          <w:szCs w:val="22"/>
        </w:rPr>
        <w:t>Photo 5.</w:t>
      </w:r>
      <w:r w:rsidR="00C473BB" w:rsidRPr="008E22DD">
        <w:rPr>
          <w:rFonts w:ascii="Arial" w:hAnsi="Arial"/>
          <w:sz w:val="22"/>
          <w:szCs w:val="22"/>
        </w:rPr>
        <w:t>5</w:t>
      </w:r>
      <w:r w:rsidR="00F519D4" w:rsidRPr="008E22DD">
        <w:rPr>
          <w:rFonts w:ascii="Arial" w:hAnsi="Arial"/>
          <w:sz w:val="22"/>
          <w:szCs w:val="22"/>
        </w:rPr>
        <w:t>)</w:t>
      </w:r>
      <w:r w:rsidRPr="008E22DD">
        <w:rPr>
          <w:rFonts w:ascii="Arial" w:hAnsi="Arial"/>
          <w:sz w:val="22"/>
          <w:szCs w:val="22"/>
        </w:rPr>
        <w:t>;</w:t>
      </w:r>
    </w:p>
    <w:p w14:paraId="60E46AF3" w14:textId="7C2147CE" w:rsidR="00AB42B0" w:rsidRPr="008E22DD" w:rsidRDefault="00AB42B0" w:rsidP="0058338D">
      <w:pPr>
        <w:pStyle w:val="bodycopy"/>
        <w:numPr>
          <w:ilvl w:val="0"/>
          <w:numId w:val="361"/>
        </w:numPr>
        <w:rPr>
          <w:rFonts w:ascii="Arial" w:hAnsi="Arial"/>
          <w:sz w:val="22"/>
          <w:szCs w:val="22"/>
        </w:rPr>
      </w:pPr>
      <w:r w:rsidRPr="008E22DD">
        <w:rPr>
          <w:rFonts w:ascii="Arial" w:hAnsi="Arial"/>
          <w:sz w:val="22"/>
          <w:szCs w:val="22"/>
        </w:rPr>
        <w:t>Isolated occurences of sponge gardens (sampling sites 28</w:t>
      </w:r>
      <w:r w:rsidR="009862E3" w:rsidRPr="008E22DD">
        <w:rPr>
          <w:rFonts w:ascii="Arial" w:hAnsi="Arial"/>
          <w:sz w:val="22"/>
          <w:szCs w:val="22"/>
        </w:rPr>
        <w:t>-30</w:t>
      </w:r>
      <w:r w:rsidR="00C473BB" w:rsidRPr="008E22DD">
        <w:rPr>
          <w:rFonts w:ascii="Arial" w:hAnsi="Arial"/>
          <w:sz w:val="22"/>
          <w:szCs w:val="22"/>
        </w:rPr>
        <w:t xml:space="preserve">, </w:t>
      </w:r>
      <w:r w:rsidRPr="008E22DD">
        <w:rPr>
          <w:rFonts w:ascii="Arial" w:hAnsi="Arial"/>
          <w:sz w:val="22"/>
          <w:szCs w:val="22"/>
        </w:rPr>
        <w:t>40, 58</w:t>
      </w:r>
      <w:r w:rsidR="009862E3" w:rsidRPr="008E22DD">
        <w:rPr>
          <w:rFonts w:ascii="Arial" w:hAnsi="Arial"/>
          <w:sz w:val="22"/>
          <w:szCs w:val="22"/>
        </w:rPr>
        <w:t>, 69</w:t>
      </w:r>
      <w:r w:rsidRPr="008E22DD">
        <w:rPr>
          <w:rFonts w:ascii="Arial" w:hAnsi="Arial"/>
          <w:sz w:val="22"/>
          <w:szCs w:val="22"/>
        </w:rPr>
        <w:t>)</w:t>
      </w:r>
      <w:r w:rsidR="00F519D4" w:rsidRPr="008E22DD">
        <w:rPr>
          <w:rFonts w:ascii="Arial" w:hAnsi="Arial"/>
          <w:sz w:val="22"/>
          <w:szCs w:val="22"/>
        </w:rPr>
        <w:t xml:space="preserve"> (example shown in Photo 5.</w:t>
      </w:r>
      <w:r w:rsidR="00C473BB" w:rsidRPr="008E22DD">
        <w:rPr>
          <w:rFonts w:ascii="Arial" w:hAnsi="Arial"/>
          <w:sz w:val="22"/>
          <w:szCs w:val="22"/>
        </w:rPr>
        <w:t>6</w:t>
      </w:r>
      <w:r w:rsidR="00F519D4" w:rsidRPr="008E22DD">
        <w:rPr>
          <w:rFonts w:ascii="Arial" w:hAnsi="Arial"/>
          <w:sz w:val="22"/>
          <w:szCs w:val="22"/>
        </w:rPr>
        <w:t>)</w:t>
      </w:r>
      <w:r w:rsidRPr="008E22DD">
        <w:rPr>
          <w:rFonts w:ascii="Arial" w:hAnsi="Arial"/>
          <w:sz w:val="22"/>
          <w:szCs w:val="22"/>
        </w:rPr>
        <w:t>.</w:t>
      </w:r>
    </w:p>
    <w:p w14:paraId="51716841" w14:textId="03A331B9" w:rsidR="00AB42B0" w:rsidRPr="008E22DD" w:rsidRDefault="00AB42B0" w:rsidP="0058338D">
      <w:pPr>
        <w:pStyle w:val="bodycopy"/>
        <w:numPr>
          <w:ilvl w:val="0"/>
          <w:numId w:val="361"/>
        </w:numPr>
        <w:rPr>
          <w:rFonts w:ascii="Arial" w:hAnsi="Arial"/>
          <w:sz w:val="22"/>
          <w:szCs w:val="22"/>
        </w:rPr>
      </w:pPr>
      <w:r w:rsidRPr="008E22DD">
        <w:rPr>
          <w:rFonts w:ascii="Arial" w:hAnsi="Arial"/>
          <w:sz w:val="22"/>
          <w:szCs w:val="22"/>
        </w:rPr>
        <w:t xml:space="preserve">Isolated occurenced of </w:t>
      </w:r>
      <w:r w:rsidRPr="008E22DD">
        <w:rPr>
          <w:rFonts w:ascii="Arial" w:hAnsi="Arial"/>
          <w:i/>
          <w:sz w:val="22"/>
          <w:szCs w:val="22"/>
        </w:rPr>
        <w:t>Pseudogorgia godeffroyi</w:t>
      </w:r>
      <w:r w:rsidR="00492845" w:rsidRPr="008E22DD">
        <w:rPr>
          <w:rFonts w:ascii="Arial" w:hAnsi="Arial"/>
          <w:sz w:val="22"/>
          <w:szCs w:val="22"/>
        </w:rPr>
        <w:t xml:space="preserve"> (sampling sites 27, 32, 34, 50 and 51)</w:t>
      </w:r>
      <w:r w:rsidRPr="008E22DD">
        <w:rPr>
          <w:rFonts w:ascii="Arial" w:hAnsi="Arial"/>
          <w:sz w:val="22"/>
          <w:szCs w:val="22"/>
        </w:rPr>
        <w:t xml:space="preserve">, an </w:t>
      </w:r>
      <w:r w:rsidR="00C473BB" w:rsidRPr="008E22DD">
        <w:rPr>
          <w:rFonts w:ascii="Arial" w:hAnsi="Arial"/>
          <w:sz w:val="22"/>
          <w:szCs w:val="22"/>
        </w:rPr>
        <w:t>un</w:t>
      </w:r>
      <w:r w:rsidRPr="008E22DD">
        <w:rPr>
          <w:rFonts w:ascii="Arial" w:hAnsi="Arial"/>
          <w:sz w:val="22"/>
          <w:szCs w:val="22"/>
        </w:rPr>
        <w:t>usual soft coral found only in Victoria between McGaurans Beach and Delray Beach (ECC, 2000)</w:t>
      </w:r>
      <w:r w:rsidR="00F519D4" w:rsidRPr="008E22DD">
        <w:rPr>
          <w:rFonts w:ascii="Arial" w:hAnsi="Arial"/>
          <w:sz w:val="22"/>
          <w:szCs w:val="22"/>
        </w:rPr>
        <w:t xml:space="preserve"> (example shown in Photo 5.</w:t>
      </w:r>
      <w:r w:rsidR="00472C74" w:rsidRPr="008E22DD">
        <w:rPr>
          <w:rFonts w:ascii="Arial" w:hAnsi="Arial"/>
          <w:sz w:val="22"/>
          <w:szCs w:val="22"/>
        </w:rPr>
        <w:t>7</w:t>
      </w:r>
      <w:r w:rsidR="00F519D4" w:rsidRPr="008E22DD">
        <w:rPr>
          <w:rFonts w:ascii="Arial" w:hAnsi="Arial"/>
          <w:sz w:val="22"/>
          <w:szCs w:val="22"/>
        </w:rPr>
        <w:t>)</w:t>
      </w:r>
      <w:r w:rsidRPr="008E22DD">
        <w:rPr>
          <w:rFonts w:ascii="Arial" w:hAnsi="Arial"/>
          <w:sz w:val="22"/>
          <w:szCs w:val="22"/>
        </w:rPr>
        <w:t>.</w:t>
      </w:r>
      <w:r w:rsidR="00F519D4" w:rsidRPr="008E22DD">
        <w:rPr>
          <w:rFonts w:ascii="Arial" w:hAnsi="Arial"/>
          <w:sz w:val="22"/>
          <w:szCs w:val="22"/>
        </w:rPr>
        <w:t xml:space="preserve"> </w:t>
      </w:r>
    </w:p>
    <w:p w14:paraId="3849872B" w14:textId="793335E2" w:rsidR="0058338D" w:rsidRPr="008E22DD" w:rsidRDefault="0058338D" w:rsidP="0058338D">
      <w:pPr>
        <w:pStyle w:val="bodycopy"/>
        <w:numPr>
          <w:ilvl w:val="0"/>
          <w:numId w:val="361"/>
        </w:numPr>
        <w:rPr>
          <w:rFonts w:ascii="Arial" w:hAnsi="Arial"/>
          <w:sz w:val="22"/>
          <w:szCs w:val="22"/>
        </w:rPr>
      </w:pPr>
      <w:r w:rsidRPr="008E22DD">
        <w:rPr>
          <w:rFonts w:ascii="Arial" w:hAnsi="Arial"/>
          <w:sz w:val="22"/>
          <w:szCs w:val="22"/>
        </w:rPr>
        <w:t xml:space="preserve">A small patch of unmapped, flat low profile offshore reef with no ledges or crevices, located between sampling locations 29 and 30 (immediately seaward of the 30 m isobath and on the western side of Esso’s Bream to shore gas pipeline). This reef is dominated by sponges and ascidians (such as stalked ascidian </w:t>
      </w:r>
      <w:r w:rsidRPr="008E22DD">
        <w:rPr>
          <w:rFonts w:ascii="Arial" w:hAnsi="Arial"/>
          <w:i/>
          <w:sz w:val="22"/>
          <w:szCs w:val="22"/>
        </w:rPr>
        <w:t>Pyura spinifera</w:t>
      </w:r>
      <w:r w:rsidRPr="008E22DD">
        <w:rPr>
          <w:rFonts w:ascii="Arial" w:hAnsi="Arial"/>
          <w:sz w:val="22"/>
          <w:szCs w:val="22"/>
        </w:rPr>
        <w:t xml:space="preserve">) and smaller bryozoans, hydroids and the odd clump of red algae, with the occasional </w:t>
      </w:r>
      <w:r w:rsidRPr="008E22DD">
        <w:rPr>
          <w:rFonts w:ascii="Arial" w:hAnsi="Arial"/>
          <w:i/>
          <w:sz w:val="22"/>
          <w:szCs w:val="22"/>
        </w:rPr>
        <w:t>Chlamys</w:t>
      </w:r>
      <w:r w:rsidRPr="008E22DD">
        <w:rPr>
          <w:rFonts w:ascii="Arial" w:hAnsi="Arial"/>
          <w:sz w:val="22"/>
          <w:szCs w:val="22"/>
        </w:rPr>
        <w:t xml:space="preserve"> scallop attached to the reef (not commercial scallops)</w:t>
      </w:r>
      <w:r w:rsidR="00D52190" w:rsidRPr="008E22DD">
        <w:rPr>
          <w:rFonts w:ascii="Arial" w:hAnsi="Arial"/>
          <w:sz w:val="22"/>
          <w:szCs w:val="22"/>
        </w:rPr>
        <w:t xml:space="preserve"> </w:t>
      </w:r>
      <w:r w:rsidR="00F519D4" w:rsidRPr="008E22DD">
        <w:rPr>
          <w:rFonts w:ascii="Arial" w:hAnsi="Arial"/>
          <w:sz w:val="22"/>
          <w:szCs w:val="22"/>
        </w:rPr>
        <w:t>(example shown in Photo 5.</w:t>
      </w:r>
      <w:r w:rsidR="00472C74" w:rsidRPr="008E22DD">
        <w:rPr>
          <w:rFonts w:ascii="Arial" w:hAnsi="Arial"/>
          <w:sz w:val="22"/>
          <w:szCs w:val="22"/>
        </w:rPr>
        <w:t>8</w:t>
      </w:r>
      <w:r w:rsidR="00F519D4" w:rsidRPr="008E22DD">
        <w:rPr>
          <w:rFonts w:ascii="Arial" w:hAnsi="Arial"/>
          <w:sz w:val="22"/>
          <w:szCs w:val="22"/>
        </w:rPr>
        <w:t>)</w:t>
      </w:r>
      <w:r w:rsidRPr="008E22DD">
        <w:rPr>
          <w:rFonts w:ascii="Arial" w:hAnsi="Arial"/>
          <w:sz w:val="22"/>
          <w:szCs w:val="22"/>
        </w:rPr>
        <w:t>.</w:t>
      </w:r>
      <w:r w:rsidR="00D8347D" w:rsidRPr="008E22DD">
        <w:rPr>
          <w:rFonts w:ascii="Arial" w:hAnsi="Arial"/>
          <w:sz w:val="22"/>
          <w:szCs w:val="22"/>
        </w:rPr>
        <w:t xml:space="preserve"> The offshore reefs at</w:t>
      </w:r>
      <w:r w:rsidR="004B5097" w:rsidRPr="008E22DD">
        <w:rPr>
          <w:rFonts w:ascii="Arial" w:hAnsi="Arial"/>
          <w:sz w:val="22"/>
          <w:szCs w:val="22"/>
        </w:rPr>
        <w:t xml:space="preserve"> sites 61, 66 and 68 are described as being less than 50 cm in height</w:t>
      </w:r>
      <w:r w:rsidR="00880F3F" w:rsidRPr="008E22DD">
        <w:rPr>
          <w:rFonts w:ascii="Arial" w:hAnsi="Arial"/>
          <w:sz w:val="22"/>
          <w:szCs w:val="22"/>
        </w:rPr>
        <w:t xml:space="preserve"> above the surrounding seabed</w:t>
      </w:r>
      <w:r w:rsidR="004B5097" w:rsidRPr="008E22DD">
        <w:rPr>
          <w:rFonts w:ascii="Arial" w:hAnsi="Arial"/>
          <w:sz w:val="22"/>
          <w:szCs w:val="22"/>
        </w:rPr>
        <w:t xml:space="preserve">, while the inshore reefs at sites 64, 65 and 67 are described as being about 0.5 m to 1.5 m in height above the surrounding seabed. </w:t>
      </w:r>
      <w:r w:rsidR="00D8347D" w:rsidRPr="008E22DD">
        <w:rPr>
          <w:rFonts w:ascii="Arial" w:hAnsi="Arial"/>
          <w:sz w:val="22"/>
          <w:szCs w:val="22"/>
        </w:rPr>
        <w:t xml:space="preserve"> </w:t>
      </w:r>
    </w:p>
    <w:bookmarkEnd w:id="243"/>
    <w:bookmarkEnd w:id="244"/>
    <w:p w14:paraId="3F59CCCD" w14:textId="5AE7C571" w:rsidR="0058338D" w:rsidRPr="008E22DD" w:rsidRDefault="00F519D4" w:rsidP="0058338D">
      <w:pPr>
        <w:pStyle w:val="bodycopy"/>
        <w:numPr>
          <w:ilvl w:val="0"/>
          <w:numId w:val="361"/>
        </w:numPr>
        <w:rPr>
          <w:rFonts w:ascii="Arial" w:hAnsi="Arial"/>
          <w:sz w:val="22"/>
          <w:szCs w:val="22"/>
        </w:rPr>
      </w:pPr>
      <w:r w:rsidRPr="008E22DD">
        <w:rPr>
          <w:rFonts w:ascii="Arial" w:hAnsi="Arial"/>
          <w:sz w:val="22"/>
          <w:szCs w:val="22"/>
        </w:rPr>
        <w:t>Live commercial scallops (</w:t>
      </w:r>
      <w:r w:rsidRPr="008E22DD">
        <w:rPr>
          <w:rFonts w:ascii="Arial" w:hAnsi="Arial"/>
          <w:i/>
          <w:sz w:val="22"/>
          <w:szCs w:val="22"/>
        </w:rPr>
        <w:t>Pecten fumatus</w:t>
      </w:r>
      <w:r w:rsidRPr="008E22DD">
        <w:rPr>
          <w:rFonts w:ascii="Arial" w:hAnsi="Arial"/>
          <w:sz w:val="22"/>
          <w:szCs w:val="22"/>
        </w:rPr>
        <w:t xml:space="preserve">) were noted in low abundance (non-commercial beds) at site </w:t>
      </w:r>
      <w:r w:rsidR="009862E3" w:rsidRPr="008E22DD">
        <w:rPr>
          <w:rFonts w:ascii="Arial" w:hAnsi="Arial"/>
          <w:sz w:val="22"/>
          <w:szCs w:val="22"/>
        </w:rPr>
        <w:t>1</w:t>
      </w:r>
      <w:r w:rsidRPr="008E22DD">
        <w:rPr>
          <w:rFonts w:ascii="Arial" w:hAnsi="Arial"/>
          <w:sz w:val="22"/>
          <w:szCs w:val="22"/>
        </w:rPr>
        <w:t xml:space="preserve"> </w:t>
      </w:r>
      <w:r w:rsidR="00472C74" w:rsidRPr="008E22DD">
        <w:rPr>
          <w:rFonts w:ascii="Arial" w:hAnsi="Arial"/>
          <w:sz w:val="22"/>
          <w:szCs w:val="22"/>
        </w:rPr>
        <w:t>(</w:t>
      </w:r>
      <w:r w:rsidR="009862E3" w:rsidRPr="008E22DD">
        <w:rPr>
          <w:rFonts w:ascii="Arial" w:hAnsi="Arial"/>
          <w:sz w:val="22"/>
          <w:szCs w:val="22"/>
        </w:rPr>
        <w:t>3</w:t>
      </w:r>
      <w:r w:rsidRPr="008E22DD">
        <w:rPr>
          <w:rFonts w:ascii="Arial" w:hAnsi="Arial"/>
          <w:sz w:val="22"/>
          <w:szCs w:val="22"/>
        </w:rPr>
        <w:t>2 m water depth</w:t>
      </w:r>
      <w:r w:rsidR="00472C74" w:rsidRPr="008E22DD">
        <w:rPr>
          <w:rFonts w:ascii="Arial" w:hAnsi="Arial"/>
          <w:sz w:val="22"/>
          <w:szCs w:val="22"/>
        </w:rPr>
        <w:t>)</w:t>
      </w:r>
      <w:r w:rsidRPr="008E22DD">
        <w:rPr>
          <w:rFonts w:ascii="Arial" w:hAnsi="Arial"/>
          <w:sz w:val="22"/>
          <w:szCs w:val="22"/>
        </w:rPr>
        <w:t xml:space="preserve"> with dead scallops observed at site </w:t>
      </w:r>
      <w:r w:rsidR="009862E3" w:rsidRPr="008E22DD">
        <w:rPr>
          <w:rFonts w:ascii="Arial" w:hAnsi="Arial"/>
          <w:sz w:val="22"/>
          <w:szCs w:val="22"/>
        </w:rPr>
        <w:t>62</w:t>
      </w:r>
      <w:r w:rsidRPr="008E22DD">
        <w:rPr>
          <w:rFonts w:ascii="Arial" w:hAnsi="Arial"/>
          <w:sz w:val="22"/>
          <w:szCs w:val="22"/>
        </w:rPr>
        <w:t xml:space="preserve"> (</w:t>
      </w:r>
      <w:r w:rsidR="009862E3" w:rsidRPr="008E22DD">
        <w:rPr>
          <w:rFonts w:ascii="Arial" w:hAnsi="Arial"/>
          <w:sz w:val="22"/>
          <w:szCs w:val="22"/>
        </w:rPr>
        <w:t>2</w:t>
      </w:r>
      <w:r w:rsidRPr="008E22DD">
        <w:rPr>
          <w:rFonts w:ascii="Arial" w:hAnsi="Arial"/>
          <w:sz w:val="22"/>
          <w:szCs w:val="22"/>
        </w:rPr>
        <w:t>3 m water depth) (example shown in Photo 5.</w:t>
      </w:r>
      <w:r w:rsidR="00472C74" w:rsidRPr="008E22DD">
        <w:rPr>
          <w:rFonts w:ascii="Arial" w:hAnsi="Arial"/>
          <w:sz w:val="22"/>
          <w:szCs w:val="22"/>
        </w:rPr>
        <w:t>9</w:t>
      </w:r>
      <w:r w:rsidRPr="008E22DD">
        <w:rPr>
          <w:rFonts w:ascii="Arial" w:hAnsi="Arial"/>
          <w:sz w:val="22"/>
          <w:szCs w:val="22"/>
        </w:rPr>
        <w:t>).</w:t>
      </w:r>
    </w:p>
    <w:p w14:paraId="427D5569" w14:textId="3848B378" w:rsidR="0058338D" w:rsidRPr="00492845" w:rsidRDefault="00F519D4" w:rsidP="00891DE1">
      <w:pPr>
        <w:pStyle w:val="bodycopy"/>
        <w:numPr>
          <w:ilvl w:val="0"/>
          <w:numId w:val="361"/>
        </w:numPr>
        <w:spacing w:after="240"/>
        <w:ind w:left="714" w:hanging="357"/>
        <w:rPr>
          <w:rFonts w:ascii="Arial" w:hAnsi="Arial"/>
          <w:sz w:val="22"/>
          <w:szCs w:val="22"/>
        </w:rPr>
      </w:pPr>
      <w:r w:rsidRPr="00492845">
        <w:rPr>
          <w:rFonts w:ascii="Arial" w:hAnsi="Arial"/>
          <w:sz w:val="22"/>
          <w:szCs w:val="22"/>
        </w:rPr>
        <w:t xml:space="preserve">Southern rock lobsters </w:t>
      </w:r>
      <w:r w:rsidR="00492845">
        <w:rPr>
          <w:rFonts w:ascii="Arial" w:hAnsi="Arial"/>
          <w:sz w:val="22"/>
          <w:szCs w:val="22"/>
        </w:rPr>
        <w:t>(</w:t>
      </w:r>
      <w:r w:rsidR="00492845" w:rsidRPr="00492845">
        <w:rPr>
          <w:rFonts w:ascii="Arial" w:hAnsi="Arial"/>
          <w:i/>
          <w:sz w:val="22"/>
          <w:szCs w:val="22"/>
        </w:rPr>
        <w:t>Jasus edwardsii</w:t>
      </w:r>
      <w:r w:rsidR="00492845">
        <w:rPr>
          <w:rFonts w:ascii="Arial" w:hAnsi="Arial"/>
          <w:sz w:val="22"/>
          <w:szCs w:val="22"/>
        </w:rPr>
        <w:t xml:space="preserve">) </w:t>
      </w:r>
      <w:r w:rsidRPr="00492845">
        <w:rPr>
          <w:rFonts w:ascii="Arial" w:hAnsi="Arial"/>
          <w:sz w:val="22"/>
          <w:szCs w:val="22"/>
        </w:rPr>
        <w:t>were not observed at all, even in areas of mapped reef (sites</w:t>
      </w:r>
      <w:r w:rsidR="00492845" w:rsidRPr="00492845">
        <w:rPr>
          <w:rFonts w:ascii="Arial" w:hAnsi="Arial"/>
          <w:sz w:val="22"/>
          <w:szCs w:val="22"/>
        </w:rPr>
        <w:t xml:space="preserve"> 31, 41, 51, 52</w:t>
      </w:r>
      <w:r w:rsidR="009862E3">
        <w:rPr>
          <w:rFonts w:ascii="Arial" w:hAnsi="Arial"/>
          <w:sz w:val="22"/>
          <w:szCs w:val="22"/>
        </w:rPr>
        <w:t>, 67</w:t>
      </w:r>
      <w:r w:rsidR="00492845" w:rsidRPr="00492845">
        <w:rPr>
          <w:rFonts w:ascii="Arial" w:hAnsi="Arial"/>
          <w:sz w:val="22"/>
          <w:szCs w:val="22"/>
        </w:rPr>
        <w:t>) and unmapped areas of reef observed during the survey (at sites 15, 16, 32, 58, 64</w:t>
      </w:r>
      <w:r w:rsidR="009862E3">
        <w:rPr>
          <w:rFonts w:ascii="Arial" w:hAnsi="Arial"/>
          <w:sz w:val="22"/>
          <w:szCs w:val="22"/>
        </w:rPr>
        <w:t>-66, 68</w:t>
      </w:r>
      <w:r w:rsidR="00492845" w:rsidRPr="00492845">
        <w:rPr>
          <w:rFonts w:ascii="Arial" w:hAnsi="Arial"/>
          <w:sz w:val="22"/>
          <w:szCs w:val="22"/>
        </w:rPr>
        <w:t>).</w:t>
      </w:r>
    </w:p>
    <w:p w14:paraId="46BA53ED" w14:textId="6BF8D8F4" w:rsidR="0058338D" w:rsidRDefault="007646F0" w:rsidP="003B6839">
      <w:pPr>
        <w:pStyle w:val="bodycopy"/>
        <w:rPr>
          <w:rFonts w:ascii="Arial" w:hAnsi="Arial"/>
          <w:sz w:val="22"/>
          <w:szCs w:val="22"/>
        </w:rPr>
      </w:pPr>
      <w:bookmarkStart w:id="245" w:name="OLE_LINK9"/>
      <w:bookmarkStart w:id="246" w:name="OLE_LINK10"/>
      <w:r>
        <w:rPr>
          <w:rFonts w:ascii="Arial" w:hAnsi="Arial"/>
          <w:sz w:val="22"/>
          <w:szCs w:val="22"/>
        </w:rPr>
        <w:t>Of the 71 sites sampled in the marine habitat assessment, 5</w:t>
      </w:r>
      <w:r w:rsidR="00A66F34">
        <w:rPr>
          <w:rFonts w:ascii="Arial" w:hAnsi="Arial"/>
          <w:sz w:val="22"/>
          <w:szCs w:val="22"/>
        </w:rPr>
        <w:t>8 of them (82</w:t>
      </w:r>
      <w:r>
        <w:rPr>
          <w:rFonts w:ascii="Arial" w:hAnsi="Arial"/>
          <w:sz w:val="22"/>
          <w:szCs w:val="22"/>
        </w:rPr>
        <w:t>%)</w:t>
      </w:r>
      <w:r w:rsidR="00D8347D">
        <w:rPr>
          <w:rFonts w:ascii="Arial" w:hAnsi="Arial"/>
          <w:sz w:val="22"/>
          <w:szCs w:val="22"/>
        </w:rPr>
        <w:t xml:space="preserve"> are classified as soft sediment (</w:t>
      </w:r>
      <w:r w:rsidR="00C535FB">
        <w:rPr>
          <w:rFonts w:ascii="Arial" w:hAnsi="Arial"/>
          <w:sz w:val="22"/>
          <w:szCs w:val="22"/>
        </w:rPr>
        <w:t xml:space="preserve">fine </w:t>
      </w:r>
      <w:r w:rsidR="00880F3F">
        <w:rPr>
          <w:rFonts w:ascii="Arial" w:hAnsi="Arial"/>
          <w:sz w:val="22"/>
          <w:szCs w:val="22"/>
        </w:rPr>
        <w:t xml:space="preserve">to coarse </w:t>
      </w:r>
      <w:r w:rsidR="00D8347D">
        <w:rPr>
          <w:rFonts w:ascii="Arial" w:hAnsi="Arial"/>
          <w:sz w:val="22"/>
          <w:szCs w:val="22"/>
        </w:rPr>
        <w:t>sand</w:t>
      </w:r>
      <w:r w:rsidR="00880F3F">
        <w:rPr>
          <w:rFonts w:ascii="Arial" w:hAnsi="Arial"/>
          <w:sz w:val="22"/>
          <w:szCs w:val="22"/>
        </w:rPr>
        <w:t xml:space="preserve"> and gravels/shell</w:t>
      </w:r>
      <w:r w:rsidR="00D8347D">
        <w:rPr>
          <w:rFonts w:ascii="Arial" w:hAnsi="Arial"/>
          <w:sz w:val="22"/>
          <w:szCs w:val="22"/>
        </w:rPr>
        <w:t>)</w:t>
      </w:r>
      <w:r w:rsidR="00880F3F">
        <w:rPr>
          <w:rFonts w:ascii="Arial" w:hAnsi="Arial"/>
          <w:sz w:val="22"/>
          <w:szCs w:val="22"/>
        </w:rPr>
        <w:t xml:space="preserve"> (Advisian</w:t>
      </w:r>
      <w:r w:rsidR="00CD3ABF">
        <w:rPr>
          <w:rFonts w:ascii="Arial" w:hAnsi="Arial"/>
          <w:sz w:val="22"/>
          <w:szCs w:val="22"/>
        </w:rPr>
        <w:t xml:space="preserve">, 2017), so it is reasonable to conclude that the majority of the proposed acquisition area has a sandy seabed. </w:t>
      </w:r>
    </w:p>
    <w:bookmarkEnd w:id="245"/>
    <w:bookmarkEnd w:id="246"/>
    <w:p w14:paraId="3B8AB777" w14:textId="77777777" w:rsidR="00472C74" w:rsidRDefault="00472C74" w:rsidP="003B6839">
      <w:pPr>
        <w:pStyle w:val="bodycopy"/>
        <w:rPr>
          <w:rFonts w:ascii="Arial" w:hAnsi="Arial"/>
          <w:sz w:val="22"/>
          <w:szCs w:val="22"/>
        </w:rPr>
      </w:pPr>
    </w:p>
    <w:p w14:paraId="53AD141D" w14:textId="77777777" w:rsidR="00472C74" w:rsidRDefault="00472C74" w:rsidP="003B6839">
      <w:pPr>
        <w:pStyle w:val="bodycopy"/>
        <w:rPr>
          <w:rFonts w:ascii="Arial" w:hAnsi="Arial"/>
          <w:sz w:val="22"/>
          <w:szCs w:val="22"/>
        </w:rPr>
      </w:pPr>
    </w:p>
    <w:p w14:paraId="31E98C1B" w14:textId="77777777" w:rsidR="00472C74" w:rsidRDefault="00472C74" w:rsidP="003B6839">
      <w:pPr>
        <w:pStyle w:val="bodycopy"/>
        <w:rPr>
          <w:rFonts w:ascii="Arial" w:hAnsi="Arial"/>
          <w:sz w:val="22"/>
          <w:szCs w:val="22"/>
        </w:rPr>
      </w:pPr>
    </w:p>
    <w:p w14:paraId="67B0AD0A" w14:textId="77777777" w:rsidR="00472C74" w:rsidRDefault="00472C74" w:rsidP="003B6839">
      <w:pPr>
        <w:pStyle w:val="bodycopy"/>
        <w:rPr>
          <w:rFonts w:ascii="Arial" w:hAnsi="Arial"/>
          <w:sz w:val="22"/>
          <w:szCs w:val="22"/>
        </w:rPr>
      </w:pPr>
    </w:p>
    <w:p w14:paraId="7FEB528A" w14:textId="77777777" w:rsidR="00472C74" w:rsidRDefault="00472C74" w:rsidP="003B6839">
      <w:pPr>
        <w:pStyle w:val="bodycopy"/>
        <w:rPr>
          <w:rFonts w:ascii="Arial" w:hAnsi="Arial"/>
          <w:sz w:val="22"/>
          <w:szCs w:val="22"/>
        </w:rPr>
      </w:pPr>
    </w:p>
    <w:p w14:paraId="01CA6648" w14:textId="77777777" w:rsidR="00472C74" w:rsidRDefault="00472C74" w:rsidP="003B6839">
      <w:pPr>
        <w:pStyle w:val="bodycopy"/>
        <w:rPr>
          <w:rFonts w:ascii="Arial" w:hAnsi="Arial"/>
          <w:sz w:val="22"/>
          <w:szCs w:val="22"/>
        </w:rPr>
      </w:pPr>
    </w:p>
    <w:p w14:paraId="4CC28C15" w14:textId="77777777" w:rsidR="00472C74" w:rsidRDefault="00472C74" w:rsidP="003B6839">
      <w:pPr>
        <w:pStyle w:val="bodycopy"/>
        <w:rPr>
          <w:rFonts w:ascii="Arial" w:hAnsi="Arial"/>
          <w:sz w:val="22"/>
          <w:szCs w:val="22"/>
        </w:rPr>
      </w:pPr>
    </w:p>
    <w:p w14:paraId="5E84D6C0" w14:textId="77777777" w:rsidR="00472C74" w:rsidRDefault="00472C74" w:rsidP="003B6839">
      <w:pPr>
        <w:pStyle w:val="bodycopy"/>
        <w:rPr>
          <w:rFonts w:ascii="Arial" w:hAnsi="Arial"/>
          <w:sz w:val="22"/>
          <w:szCs w:val="22"/>
        </w:rPr>
      </w:pPr>
    </w:p>
    <w:p w14:paraId="292F5B6B" w14:textId="77777777" w:rsidR="00472C74" w:rsidRDefault="00472C74" w:rsidP="003B6839">
      <w:pPr>
        <w:pStyle w:val="bodycopy"/>
        <w:rPr>
          <w:rFonts w:ascii="Arial" w:hAnsi="Arial"/>
          <w:sz w:val="22"/>
          <w:szCs w:val="22"/>
        </w:rPr>
      </w:pPr>
    </w:p>
    <w:p w14:paraId="18D2DF48" w14:textId="77777777" w:rsidR="00472C74" w:rsidRDefault="00472C74" w:rsidP="003B6839">
      <w:pPr>
        <w:pStyle w:val="bodycopy"/>
        <w:rPr>
          <w:rFonts w:ascii="Arial" w:hAnsi="Arial"/>
          <w:sz w:val="22"/>
          <w:szCs w:val="22"/>
        </w:rPr>
      </w:pPr>
    </w:p>
    <w:tbl>
      <w:tblPr>
        <w:tblStyle w:val="TableGrid"/>
        <w:tblW w:w="0" w:type="auto"/>
        <w:tblLook w:val="04A0" w:firstRow="1" w:lastRow="0" w:firstColumn="1" w:lastColumn="0" w:noHBand="0" w:noVBand="1"/>
      </w:tblPr>
      <w:tblGrid>
        <w:gridCol w:w="8522"/>
      </w:tblGrid>
      <w:tr w:rsidR="00D52190" w14:paraId="559F55B8" w14:textId="77777777" w:rsidTr="00D52190">
        <w:tc>
          <w:tcPr>
            <w:tcW w:w="8522" w:type="dxa"/>
          </w:tcPr>
          <w:p w14:paraId="5C7D7FDE" w14:textId="578964DA" w:rsidR="00D52190" w:rsidRDefault="009725BE" w:rsidP="00C473BB">
            <w:pPr>
              <w:pStyle w:val="bodycopy"/>
              <w:spacing w:before="40" w:after="40"/>
              <w:rPr>
                <w:rFonts w:ascii="Arial" w:hAnsi="Arial"/>
                <w:sz w:val="22"/>
                <w:szCs w:val="22"/>
              </w:rPr>
            </w:pPr>
            <w:r>
              <w:rPr>
                <w:noProof/>
              </w:rPr>
              <w:drawing>
                <wp:inline distT="0" distB="0" distL="0" distR="0" wp14:anchorId="16B4635C" wp14:editId="21547792">
                  <wp:extent cx="5295900" cy="3053486"/>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44_SG.png"/>
                          <pic:cNvPicPr/>
                        </pic:nvPicPr>
                        <pic:blipFill>
                          <a:blip r:embed="rId102" cstate="screen">
                            <a:extLst>
                              <a:ext uri="{28A0092B-C50C-407E-A947-70E740481C1C}">
                                <a14:useLocalDpi xmlns:a14="http://schemas.microsoft.com/office/drawing/2010/main"/>
                              </a:ext>
                            </a:extLst>
                          </a:blip>
                          <a:stretch>
                            <a:fillRect/>
                          </a:stretch>
                        </pic:blipFill>
                        <pic:spPr>
                          <a:xfrm>
                            <a:off x="0" y="0"/>
                            <a:ext cx="5299005" cy="3055276"/>
                          </a:xfrm>
                          <a:prstGeom prst="rect">
                            <a:avLst/>
                          </a:prstGeom>
                        </pic:spPr>
                      </pic:pic>
                    </a:graphicData>
                  </a:graphic>
                </wp:inline>
              </w:drawing>
            </w:r>
          </w:p>
        </w:tc>
      </w:tr>
    </w:tbl>
    <w:p w14:paraId="160B3F4F" w14:textId="3EBEEF7F" w:rsidR="00D52190" w:rsidRPr="00D52190" w:rsidRDefault="00D52190" w:rsidP="00D52190">
      <w:pPr>
        <w:pStyle w:val="bodycopy"/>
        <w:spacing w:after="60"/>
        <w:rPr>
          <w:rFonts w:ascii="Arial" w:hAnsi="Arial"/>
          <w:i/>
          <w:sz w:val="16"/>
          <w:szCs w:val="16"/>
        </w:rPr>
      </w:pPr>
      <w:r w:rsidRPr="00D52190">
        <w:rPr>
          <w:rFonts w:ascii="Arial" w:hAnsi="Arial"/>
          <w:i/>
          <w:sz w:val="16"/>
          <w:szCs w:val="16"/>
        </w:rPr>
        <w:t>Source: Advisian (2017).</w:t>
      </w:r>
    </w:p>
    <w:p w14:paraId="5CA8472A" w14:textId="448769C5" w:rsidR="00D52190" w:rsidRPr="00D52190" w:rsidRDefault="00D52190" w:rsidP="00D52190">
      <w:pPr>
        <w:pStyle w:val="bodycopy"/>
        <w:jc w:val="center"/>
        <w:rPr>
          <w:rFonts w:ascii="Arial" w:hAnsi="Arial"/>
          <w:b/>
          <w:sz w:val="20"/>
        </w:rPr>
      </w:pPr>
      <w:r w:rsidRPr="00D52190">
        <w:rPr>
          <w:rFonts w:ascii="Arial" w:hAnsi="Arial"/>
          <w:b/>
          <w:sz w:val="20"/>
        </w:rPr>
        <w:t>Photo 5.</w:t>
      </w:r>
      <w:r w:rsidR="00C473BB">
        <w:rPr>
          <w:rFonts w:ascii="Arial" w:hAnsi="Arial"/>
          <w:b/>
          <w:sz w:val="20"/>
        </w:rPr>
        <w:t>5</w:t>
      </w:r>
      <w:r w:rsidRPr="00D52190">
        <w:rPr>
          <w:rFonts w:ascii="Arial" w:hAnsi="Arial"/>
          <w:b/>
          <w:sz w:val="20"/>
        </w:rPr>
        <w:t>.</w:t>
      </w:r>
      <w:r w:rsidRPr="00D52190">
        <w:rPr>
          <w:rFonts w:ascii="Arial" w:hAnsi="Arial"/>
          <w:b/>
          <w:sz w:val="20"/>
        </w:rPr>
        <w:tab/>
        <w:t>Examples of benthic assemblages found within the proposed acquisition area</w:t>
      </w:r>
      <w:r w:rsidR="00AB42B0">
        <w:rPr>
          <w:rFonts w:ascii="Arial" w:hAnsi="Arial"/>
          <w:b/>
          <w:sz w:val="20"/>
        </w:rPr>
        <w:t xml:space="preserve"> – sparse seagrass beds</w:t>
      </w:r>
      <w:r w:rsidR="00472C74">
        <w:rPr>
          <w:rFonts w:ascii="Arial" w:hAnsi="Arial"/>
          <w:b/>
          <w:sz w:val="20"/>
        </w:rPr>
        <w:t xml:space="preserve"> (water depth of 20 m, site 44)</w:t>
      </w:r>
    </w:p>
    <w:p w14:paraId="48887C16" w14:textId="77777777" w:rsidR="00D52190" w:rsidRDefault="00D52190" w:rsidP="003B6839">
      <w:pPr>
        <w:pStyle w:val="bodycopy"/>
        <w:rPr>
          <w:rFonts w:ascii="Arial" w:hAnsi="Arial"/>
          <w:sz w:val="22"/>
          <w:szCs w:val="22"/>
        </w:rPr>
      </w:pPr>
    </w:p>
    <w:p w14:paraId="370D2F49" w14:textId="77777777" w:rsidR="00D52190" w:rsidRDefault="00D52190" w:rsidP="003B6839">
      <w:pPr>
        <w:pStyle w:val="bodycopy"/>
        <w:rPr>
          <w:rFonts w:ascii="Arial" w:hAnsi="Arial"/>
          <w:sz w:val="22"/>
          <w:szCs w:val="22"/>
        </w:rPr>
      </w:pPr>
    </w:p>
    <w:tbl>
      <w:tblPr>
        <w:tblStyle w:val="TableGrid"/>
        <w:tblW w:w="0" w:type="auto"/>
        <w:tblLook w:val="04A0" w:firstRow="1" w:lastRow="0" w:firstColumn="1" w:lastColumn="0" w:noHBand="0" w:noVBand="1"/>
      </w:tblPr>
      <w:tblGrid>
        <w:gridCol w:w="8522"/>
      </w:tblGrid>
      <w:tr w:rsidR="00D52190" w14:paraId="4EEEFA82" w14:textId="77777777" w:rsidTr="00FF13D4">
        <w:tc>
          <w:tcPr>
            <w:tcW w:w="8522" w:type="dxa"/>
          </w:tcPr>
          <w:p w14:paraId="7104599E" w14:textId="4CEEE552" w:rsidR="00D52190" w:rsidRDefault="009725BE" w:rsidP="00C473BB">
            <w:pPr>
              <w:pStyle w:val="bodycopy"/>
              <w:spacing w:before="40" w:after="40"/>
              <w:rPr>
                <w:rFonts w:ascii="Arial" w:hAnsi="Arial"/>
                <w:sz w:val="22"/>
                <w:szCs w:val="22"/>
              </w:rPr>
            </w:pPr>
            <w:r>
              <w:rPr>
                <w:noProof/>
              </w:rPr>
              <w:drawing>
                <wp:inline distT="0" distB="0" distL="0" distR="0" wp14:anchorId="2FBC2F16" wp14:editId="61673815">
                  <wp:extent cx="5295900" cy="3053486"/>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28.png"/>
                          <pic:cNvPicPr/>
                        </pic:nvPicPr>
                        <pic:blipFill>
                          <a:blip r:embed="rId103" cstate="screen">
                            <a:extLst>
                              <a:ext uri="{28A0092B-C50C-407E-A947-70E740481C1C}">
                                <a14:useLocalDpi xmlns:a14="http://schemas.microsoft.com/office/drawing/2010/main"/>
                              </a:ext>
                            </a:extLst>
                          </a:blip>
                          <a:stretch>
                            <a:fillRect/>
                          </a:stretch>
                        </pic:blipFill>
                        <pic:spPr>
                          <a:xfrm>
                            <a:off x="0" y="0"/>
                            <a:ext cx="5295900" cy="3053486"/>
                          </a:xfrm>
                          <a:prstGeom prst="rect">
                            <a:avLst/>
                          </a:prstGeom>
                        </pic:spPr>
                      </pic:pic>
                    </a:graphicData>
                  </a:graphic>
                </wp:inline>
              </w:drawing>
            </w:r>
          </w:p>
        </w:tc>
      </w:tr>
    </w:tbl>
    <w:p w14:paraId="410D2DA9" w14:textId="77777777" w:rsidR="00D52190" w:rsidRPr="00D52190" w:rsidRDefault="00D52190" w:rsidP="00D52190">
      <w:pPr>
        <w:pStyle w:val="bodycopy"/>
        <w:spacing w:after="60"/>
        <w:rPr>
          <w:rFonts w:ascii="Arial" w:hAnsi="Arial"/>
          <w:i/>
          <w:sz w:val="16"/>
          <w:szCs w:val="16"/>
        </w:rPr>
      </w:pPr>
      <w:r w:rsidRPr="00D52190">
        <w:rPr>
          <w:rFonts w:ascii="Arial" w:hAnsi="Arial"/>
          <w:i/>
          <w:sz w:val="16"/>
          <w:szCs w:val="16"/>
        </w:rPr>
        <w:t>Source: Advisian (2017).</w:t>
      </w:r>
    </w:p>
    <w:p w14:paraId="319D7D78" w14:textId="6B7DDB58" w:rsidR="00D52190" w:rsidRDefault="00D52190" w:rsidP="00D52190">
      <w:pPr>
        <w:pStyle w:val="bodycopy"/>
        <w:jc w:val="center"/>
        <w:rPr>
          <w:rFonts w:ascii="Arial" w:hAnsi="Arial"/>
          <w:b/>
          <w:sz w:val="20"/>
        </w:rPr>
      </w:pPr>
      <w:r w:rsidRPr="00D52190">
        <w:rPr>
          <w:rFonts w:ascii="Arial" w:hAnsi="Arial"/>
          <w:b/>
          <w:sz w:val="20"/>
        </w:rPr>
        <w:t>Photo 5.</w:t>
      </w:r>
      <w:r w:rsidR="00472C74">
        <w:rPr>
          <w:rFonts w:ascii="Arial" w:hAnsi="Arial"/>
          <w:b/>
          <w:sz w:val="20"/>
        </w:rPr>
        <w:t>6</w:t>
      </w:r>
      <w:r w:rsidRPr="00D52190">
        <w:rPr>
          <w:rFonts w:ascii="Arial" w:hAnsi="Arial"/>
          <w:b/>
          <w:sz w:val="20"/>
        </w:rPr>
        <w:t>.</w:t>
      </w:r>
      <w:r w:rsidRPr="00D52190">
        <w:rPr>
          <w:rFonts w:ascii="Arial" w:hAnsi="Arial"/>
          <w:b/>
          <w:sz w:val="20"/>
        </w:rPr>
        <w:tab/>
        <w:t>Examples of benthic assemblages found within the proposed acquisition area</w:t>
      </w:r>
      <w:r w:rsidR="00472C74">
        <w:rPr>
          <w:rFonts w:ascii="Arial" w:hAnsi="Arial"/>
          <w:b/>
          <w:sz w:val="20"/>
        </w:rPr>
        <w:t xml:space="preserve"> – sponge garden (water depth of 27 m, site 28)</w:t>
      </w:r>
    </w:p>
    <w:p w14:paraId="2BE766F1" w14:textId="77777777" w:rsidR="00B26ACD" w:rsidRDefault="00B26ACD" w:rsidP="00D52190">
      <w:pPr>
        <w:pStyle w:val="bodycopy"/>
        <w:jc w:val="center"/>
        <w:rPr>
          <w:rFonts w:ascii="Arial" w:hAnsi="Arial"/>
          <w:b/>
          <w:sz w:val="20"/>
        </w:rPr>
      </w:pPr>
    </w:p>
    <w:p w14:paraId="676507A3" w14:textId="77777777" w:rsidR="00B26ACD" w:rsidRPr="00D52190" w:rsidRDefault="00B26ACD" w:rsidP="00D52190">
      <w:pPr>
        <w:pStyle w:val="bodycopy"/>
        <w:jc w:val="center"/>
        <w:rPr>
          <w:rFonts w:ascii="Arial" w:hAnsi="Arial"/>
          <w:b/>
          <w:sz w:val="20"/>
        </w:rPr>
      </w:pPr>
    </w:p>
    <w:p w14:paraId="76B758AF" w14:textId="77777777" w:rsidR="00D52190" w:rsidRDefault="00D52190" w:rsidP="003B6839">
      <w:pPr>
        <w:pStyle w:val="bodycopy"/>
        <w:rPr>
          <w:rFonts w:ascii="Arial" w:hAnsi="Arial"/>
          <w:sz w:val="22"/>
          <w:szCs w:val="22"/>
        </w:rPr>
      </w:pPr>
    </w:p>
    <w:p w14:paraId="49DBD354" w14:textId="77777777" w:rsidR="00472C74" w:rsidRDefault="00472C74" w:rsidP="003B6839">
      <w:pPr>
        <w:pStyle w:val="bodycopy"/>
        <w:rPr>
          <w:rFonts w:ascii="Arial" w:hAnsi="Arial"/>
          <w:sz w:val="22"/>
          <w:szCs w:val="22"/>
        </w:rPr>
      </w:pPr>
    </w:p>
    <w:p w14:paraId="114718DB" w14:textId="77777777" w:rsidR="00472C74" w:rsidRDefault="00472C74" w:rsidP="003B6839">
      <w:pPr>
        <w:pStyle w:val="bodycopy"/>
        <w:rPr>
          <w:rFonts w:ascii="Arial" w:hAnsi="Arial"/>
          <w:sz w:val="22"/>
          <w:szCs w:val="22"/>
        </w:rPr>
      </w:pPr>
    </w:p>
    <w:tbl>
      <w:tblPr>
        <w:tblStyle w:val="TableGrid"/>
        <w:tblW w:w="0" w:type="auto"/>
        <w:tblLook w:val="04A0" w:firstRow="1" w:lastRow="0" w:firstColumn="1" w:lastColumn="0" w:noHBand="0" w:noVBand="1"/>
      </w:tblPr>
      <w:tblGrid>
        <w:gridCol w:w="8522"/>
      </w:tblGrid>
      <w:tr w:rsidR="00D52190" w14:paraId="570C859D" w14:textId="77777777" w:rsidTr="00FF13D4">
        <w:tc>
          <w:tcPr>
            <w:tcW w:w="8522" w:type="dxa"/>
          </w:tcPr>
          <w:p w14:paraId="2ECF0556" w14:textId="03E06ABC" w:rsidR="00D52190" w:rsidRDefault="009725BE" w:rsidP="00472C74">
            <w:pPr>
              <w:pStyle w:val="bodycopy"/>
              <w:spacing w:before="40" w:after="40"/>
              <w:rPr>
                <w:rFonts w:ascii="Arial" w:hAnsi="Arial"/>
                <w:sz w:val="22"/>
                <w:szCs w:val="22"/>
              </w:rPr>
            </w:pPr>
            <w:r>
              <w:rPr>
                <w:noProof/>
              </w:rPr>
              <w:drawing>
                <wp:inline distT="0" distB="0" distL="0" distR="0" wp14:anchorId="455514DB" wp14:editId="6C0DE102">
                  <wp:extent cx="5302905" cy="305752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51_P.g.png"/>
                          <pic:cNvPicPr/>
                        </pic:nvPicPr>
                        <pic:blipFill>
                          <a:blip r:embed="rId104" cstate="screen">
                            <a:extLst>
                              <a:ext uri="{28A0092B-C50C-407E-A947-70E740481C1C}">
                                <a14:useLocalDpi xmlns:a14="http://schemas.microsoft.com/office/drawing/2010/main"/>
                              </a:ext>
                            </a:extLst>
                          </a:blip>
                          <a:stretch>
                            <a:fillRect/>
                          </a:stretch>
                        </pic:blipFill>
                        <pic:spPr>
                          <a:xfrm>
                            <a:off x="0" y="0"/>
                            <a:ext cx="5303957" cy="3058132"/>
                          </a:xfrm>
                          <a:prstGeom prst="rect">
                            <a:avLst/>
                          </a:prstGeom>
                        </pic:spPr>
                      </pic:pic>
                    </a:graphicData>
                  </a:graphic>
                </wp:inline>
              </w:drawing>
            </w:r>
          </w:p>
        </w:tc>
      </w:tr>
    </w:tbl>
    <w:p w14:paraId="166EBBEB" w14:textId="77777777" w:rsidR="00D52190" w:rsidRPr="00D52190" w:rsidRDefault="00D52190" w:rsidP="00D52190">
      <w:pPr>
        <w:pStyle w:val="bodycopy"/>
        <w:spacing w:after="60"/>
        <w:rPr>
          <w:rFonts w:ascii="Arial" w:hAnsi="Arial"/>
          <w:i/>
          <w:sz w:val="16"/>
          <w:szCs w:val="16"/>
        </w:rPr>
      </w:pPr>
      <w:r w:rsidRPr="00D52190">
        <w:rPr>
          <w:rFonts w:ascii="Arial" w:hAnsi="Arial"/>
          <w:i/>
          <w:sz w:val="16"/>
          <w:szCs w:val="16"/>
        </w:rPr>
        <w:t>Source: Advisian (2017).</w:t>
      </w:r>
    </w:p>
    <w:p w14:paraId="312BDEB8" w14:textId="37B5A3A8" w:rsidR="00D52190" w:rsidRPr="00D52190" w:rsidRDefault="00D52190" w:rsidP="00D52190">
      <w:pPr>
        <w:pStyle w:val="bodycopy"/>
        <w:jc w:val="center"/>
        <w:rPr>
          <w:rFonts w:ascii="Arial" w:hAnsi="Arial"/>
          <w:b/>
          <w:sz w:val="20"/>
        </w:rPr>
      </w:pPr>
      <w:r w:rsidRPr="00D52190">
        <w:rPr>
          <w:rFonts w:ascii="Arial" w:hAnsi="Arial"/>
          <w:b/>
          <w:sz w:val="20"/>
        </w:rPr>
        <w:t>Photo 5.</w:t>
      </w:r>
      <w:r w:rsidR="00472C74">
        <w:rPr>
          <w:rFonts w:ascii="Arial" w:hAnsi="Arial"/>
          <w:b/>
          <w:sz w:val="20"/>
        </w:rPr>
        <w:t>7</w:t>
      </w:r>
      <w:r w:rsidRPr="00D52190">
        <w:rPr>
          <w:rFonts w:ascii="Arial" w:hAnsi="Arial"/>
          <w:b/>
          <w:sz w:val="20"/>
        </w:rPr>
        <w:t>.</w:t>
      </w:r>
      <w:r w:rsidRPr="00D52190">
        <w:rPr>
          <w:rFonts w:ascii="Arial" w:hAnsi="Arial"/>
          <w:b/>
          <w:sz w:val="20"/>
        </w:rPr>
        <w:tab/>
        <w:t>Examples of benthic assemblages found within the proposed acquisition area</w:t>
      </w:r>
      <w:r w:rsidR="00472C74">
        <w:rPr>
          <w:rFonts w:ascii="Arial" w:hAnsi="Arial"/>
          <w:b/>
          <w:sz w:val="20"/>
        </w:rPr>
        <w:t xml:space="preserve"> – soft coral </w:t>
      </w:r>
      <w:r w:rsidR="00472C74" w:rsidRPr="00472C74">
        <w:rPr>
          <w:rFonts w:ascii="Arial" w:hAnsi="Arial"/>
          <w:b/>
          <w:i/>
          <w:sz w:val="20"/>
        </w:rPr>
        <w:t>Pseudorgorgia godeffroyi</w:t>
      </w:r>
      <w:r w:rsidR="00472C74">
        <w:rPr>
          <w:rFonts w:ascii="Arial" w:hAnsi="Arial"/>
          <w:b/>
          <w:sz w:val="20"/>
        </w:rPr>
        <w:t xml:space="preserve"> (in foreground) (water depth of 15 m, site 51)</w:t>
      </w:r>
    </w:p>
    <w:p w14:paraId="01E32C9B" w14:textId="77777777" w:rsidR="00D52190" w:rsidRDefault="00D52190" w:rsidP="003B6839">
      <w:pPr>
        <w:pStyle w:val="bodycopy"/>
        <w:rPr>
          <w:rFonts w:ascii="Arial" w:hAnsi="Arial"/>
          <w:sz w:val="22"/>
          <w:szCs w:val="22"/>
        </w:rPr>
      </w:pPr>
    </w:p>
    <w:tbl>
      <w:tblPr>
        <w:tblStyle w:val="TableGrid"/>
        <w:tblW w:w="0" w:type="auto"/>
        <w:tblLook w:val="04A0" w:firstRow="1" w:lastRow="0" w:firstColumn="1" w:lastColumn="0" w:noHBand="0" w:noVBand="1"/>
      </w:tblPr>
      <w:tblGrid>
        <w:gridCol w:w="8522"/>
      </w:tblGrid>
      <w:tr w:rsidR="00D52190" w14:paraId="0190A322" w14:textId="77777777" w:rsidTr="00FF13D4">
        <w:tc>
          <w:tcPr>
            <w:tcW w:w="8522" w:type="dxa"/>
          </w:tcPr>
          <w:p w14:paraId="64C55667" w14:textId="536B7002" w:rsidR="00D52190" w:rsidRDefault="009725BE" w:rsidP="00472C74">
            <w:pPr>
              <w:pStyle w:val="bodycopy"/>
              <w:spacing w:before="40" w:after="40"/>
              <w:rPr>
                <w:rFonts w:ascii="Arial" w:hAnsi="Arial"/>
                <w:sz w:val="22"/>
                <w:szCs w:val="22"/>
              </w:rPr>
            </w:pPr>
            <w:r>
              <w:rPr>
                <w:noProof/>
              </w:rPr>
              <w:drawing>
                <wp:inline distT="0" distB="0" distL="0" distR="0" wp14:anchorId="732476ED" wp14:editId="58F35F14">
                  <wp:extent cx="5295900" cy="3053486"/>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29.png"/>
                          <pic:cNvPicPr/>
                        </pic:nvPicPr>
                        <pic:blipFill>
                          <a:blip r:embed="rId105" cstate="screen">
                            <a:extLst>
                              <a:ext uri="{28A0092B-C50C-407E-A947-70E740481C1C}">
                                <a14:useLocalDpi xmlns:a14="http://schemas.microsoft.com/office/drawing/2010/main"/>
                              </a:ext>
                            </a:extLst>
                          </a:blip>
                          <a:stretch>
                            <a:fillRect/>
                          </a:stretch>
                        </pic:blipFill>
                        <pic:spPr>
                          <a:xfrm>
                            <a:off x="0" y="0"/>
                            <a:ext cx="5296951" cy="3054092"/>
                          </a:xfrm>
                          <a:prstGeom prst="rect">
                            <a:avLst/>
                          </a:prstGeom>
                        </pic:spPr>
                      </pic:pic>
                    </a:graphicData>
                  </a:graphic>
                </wp:inline>
              </w:drawing>
            </w:r>
          </w:p>
        </w:tc>
      </w:tr>
    </w:tbl>
    <w:p w14:paraId="24CF108B" w14:textId="77777777" w:rsidR="00D52190" w:rsidRPr="00D52190" w:rsidRDefault="00D52190" w:rsidP="00D52190">
      <w:pPr>
        <w:pStyle w:val="bodycopy"/>
        <w:spacing w:after="60"/>
        <w:rPr>
          <w:rFonts w:ascii="Arial" w:hAnsi="Arial"/>
          <w:i/>
          <w:sz w:val="16"/>
          <w:szCs w:val="16"/>
        </w:rPr>
      </w:pPr>
      <w:r w:rsidRPr="00D52190">
        <w:rPr>
          <w:rFonts w:ascii="Arial" w:hAnsi="Arial"/>
          <w:i/>
          <w:sz w:val="16"/>
          <w:szCs w:val="16"/>
        </w:rPr>
        <w:t>Source: Advisian (2017).</w:t>
      </w:r>
    </w:p>
    <w:p w14:paraId="36BA5906" w14:textId="49DAE0E7" w:rsidR="00D52190" w:rsidRPr="00D52190" w:rsidRDefault="00D52190" w:rsidP="00D52190">
      <w:pPr>
        <w:pStyle w:val="bodycopy"/>
        <w:jc w:val="center"/>
        <w:rPr>
          <w:rFonts w:ascii="Arial" w:hAnsi="Arial"/>
          <w:b/>
          <w:sz w:val="20"/>
        </w:rPr>
      </w:pPr>
      <w:r w:rsidRPr="00D52190">
        <w:rPr>
          <w:rFonts w:ascii="Arial" w:hAnsi="Arial"/>
          <w:b/>
          <w:sz w:val="20"/>
        </w:rPr>
        <w:t>Photo 5.</w:t>
      </w:r>
      <w:r w:rsidR="00472C74">
        <w:rPr>
          <w:rFonts w:ascii="Arial" w:hAnsi="Arial"/>
          <w:b/>
          <w:sz w:val="20"/>
        </w:rPr>
        <w:t>8</w:t>
      </w:r>
      <w:r w:rsidRPr="00D52190">
        <w:rPr>
          <w:rFonts w:ascii="Arial" w:hAnsi="Arial"/>
          <w:b/>
          <w:sz w:val="20"/>
        </w:rPr>
        <w:t>.</w:t>
      </w:r>
      <w:r w:rsidRPr="00D52190">
        <w:rPr>
          <w:rFonts w:ascii="Arial" w:hAnsi="Arial"/>
          <w:b/>
          <w:sz w:val="20"/>
        </w:rPr>
        <w:tab/>
        <w:t>Examples of benthic assemblages found within the proposed acquisition area</w:t>
      </w:r>
      <w:r w:rsidR="00472C74">
        <w:rPr>
          <w:rFonts w:ascii="Arial" w:hAnsi="Arial"/>
          <w:b/>
          <w:sz w:val="20"/>
        </w:rPr>
        <w:t xml:space="preserve"> – flat low profile reef (water depth of 29 m, site 29)</w:t>
      </w:r>
    </w:p>
    <w:p w14:paraId="7B0C0318" w14:textId="77777777" w:rsidR="00D52190" w:rsidRDefault="00D52190" w:rsidP="003B6839">
      <w:pPr>
        <w:pStyle w:val="bodycopy"/>
        <w:rPr>
          <w:rFonts w:ascii="Arial" w:hAnsi="Arial"/>
          <w:sz w:val="22"/>
          <w:szCs w:val="22"/>
        </w:rPr>
      </w:pPr>
    </w:p>
    <w:p w14:paraId="14AF8C41" w14:textId="77777777" w:rsidR="00472C74" w:rsidRDefault="00472C74" w:rsidP="003B6839">
      <w:pPr>
        <w:pStyle w:val="bodycopy"/>
        <w:rPr>
          <w:rFonts w:ascii="Arial" w:hAnsi="Arial"/>
          <w:sz w:val="22"/>
          <w:szCs w:val="22"/>
        </w:rPr>
      </w:pPr>
    </w:p>
    <w:p w14:paraId="2DA4613F" w14:textId="77777777" w:rsidR="00472C74" w:rsidRDefault="00472C74" w:rsidP="003B6839">
      <w:pPr>
        <w:pStyle w:val="bodycopy"/>
        <w:rPr>
          <w:rFonts w:ascii="Arial" w:hAnsi="Arial"/>
          <w:sz w:val="22"/>
          <w:szCs w:val="22"/>
        </w:rPr>
      </w:pPr>
    </w:p>
    <w:p w14:paraId="16337A3E" w14:textId="77777777" w:rsidR="00472C74" w:rsidRDefault="00472C74" w:rsidP="003B6839">
      <w:pPr>
        <w:pStyle w:val="bodycopy"/>
        <w:rPr>
          <w:rFonts w:ascii="Arial" w:hAnsi="Arial"/>
          <w:sz w:val="22"/>
          <w:szCs w:val="22"/>
        </w:rPr>
      </w:pPr>
    </w:p>
    <w:p w14:paraId="4FE55385" w14:textId="77777777" w:rsidR="00472C74" w:rsidRDefault="00472C74" w:rsidP="003B6839">
      <w:pPr>
        <w:pStyle w:val="bodycopy"/>
        <w:rPr>
          <w:rFonts w:ascii="Arial" w:hAnsi="Arial"/>
          <w:sz w:val="22"/>
          <w:szCs w:val="22"/>
        </w:rPr>
      </w:pPr>
    </w:p>
    <w:tbl>
      <w:tblPr>
        <w:tblStyle w:val="TableGrid"/>
        <w:tblW w:w="0" w:type="auto"/>
        <w:tblLook w:val="04A0" w:firstRow="1" w:lastRow="0" w:firstColumn="1" w:lastColumn="0" w:noHBand="0" w:noVBand="1"/>
      </w:tblPr>
      <w:tblGrid>
        <w:gridCol w:w="8522"/>
      </w:tblGrid>
      <w:tr w:rsidR="00472C74" w14:paraId="1BF2926F" w14:textId="77777777" w:rsidTr="009B28D0">
        <w:tc>
          <w:tcPr>
            <w:tcW w:w="8522" w:type="dxa"/>
          </w:tcPr>
          <w:p w14:paraId="10A16D80" w14:textId="5BB4E207" w:rsidR="00472C74" w:rsidRDefault="00472C74" w:rsidP="009B28D0">
            <w:pPr>
              <w:pStyle w:val="bodycopy"/>
              <w:spacing w:before="40" w:after="40"/>
              <w:rPr>
                <w:rFonts w:ascii="Arial" w:hAnsi="Arial"/>
                <w:sz w:val="22"/>
                <w:szCs w:val="22"/>
              </w:rPr>
            </w:pPr>
            <w:r>
              <w:rPr>
                <w:noProof/>
              </w:rPr>
              <mc:AlternateContent>
                <mc:Choice Requires="wps">
                  <w:drawing>
                    <wp:anchor distT="0" distB="0" distL="114300" distR="114300" simplePos="0" relativeHeight="251668480" behindDoc="0" locked="0" layoutInCell="1" allowOverlap="1" wp14:anchorId="097FB27B" wp14:editId="6A1C80CD">
                      <wp:simplePos x="0" y="0"/>
                      <wp:positionH relativeFrom="column">
                        <wp:posOffset>628650</wp:posOffset>
                      </wp:positionH>
                      <wp:positionV relativeFrom="paragraph">
                        <wp:posOffset>2017395</wp:posOffset>
                      </wp:positionV>
                      <wp:extent cx="990600" cy="838200"/>
                      <wp:effectExtent l="0" t="0" r="19050" b="19050"/>
                      <wp:wrapNone/>
                      <wp:docPr id="721" name="Oval 721"/>
                      <wp:cNvGraphicFramePr/>
                      <a:graphic xmlns:a="http://schemas.openxmlformats.org/drawingml/2006/main">
                        <a:graphicData uri="http://schemas.microsoft.com/office/word/2010/wordprocessingShape">
                          <wps:wsp>
                            <wps:cNvSpPr/>
                            <wps:spPr>
                              <a:xfrm>
                                <a:off x="0" y="0"/>
                                <a:ext cx="990600" cy="838200"/>
                              </a:xfrm>
                              <a:prstGeom prst="ellipse">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3ADB129" id="Oval 721" o:spid="_x0000_s1026" style="position:absolute;margin-left:49.5pt;margin-top:158.85pt;width:78pt;height:66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" filled="f" strokecolor="#243f60 [1604]" strokeweight="1.5pt"/>
                  </w:pict>
                </mc:Fallback>
              </mc:AlternateContent>
            </w:r>
            <w:r w:rsidR="009725BE">
              <w:rPr>
                <w:noProof/>
              </w:rPr>
              <w:drawing>
                <wp:inline distT="0" distB="0" distL="0" distR="0" wp14:anchorId="4E52ED89" wp14:editId="5E6F84DF">
                  <wp:extent cx="5305425" cy="3058978"/>
                  <wp:effectExtent l="0" t="0" r="0" b="825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1 Scallop.png"/>
                          <pic:cNvPicPr/>
                        </pic:nvPicPr>
                        <pic:blipFill>
                          <a:blip r:embed="rId106" cstate="screen">
                            <a:extLst>
                              <a:ext uri="{28A0092B-C50C-407E-A947-70E740481C1C}">
                                <a14:useLocalDpi xmlns:a14="http://schemas.microsoft.com/office/drawing/2010/main"/>
                              </a:ext>
                            </a:extLst>
                          </a:blip>
                          <a:stretch>
                            <a:fillRect/>
                          </a:stretch>
                        </pic:blipFill>
                        <pic:spPr>
                          <a:xfrm>
                            <a:off x="0" y="0"/>
                            <a:ext cx="5306478" cy="3059585"/>
                          </a:xfrm>
                          <a:prstGeom prst="rect">
                            <a:avLst/>
                          </a:prstGeom>
                        </pic:spPr>
                      </pic:pic>
                    </a:graphicData>
                  </a:graphic>
                </wp:inline>
              </w:drawing>
            </w:r>
          </w:p>
        </w:tc>
      </w:tr>
    </w:tbl>
    <w:p w14:paraId="43E85D84" w14:textId="77777777" w:rsidR="00472C74" w:rsidRPr="00D52190" w:rsidRDefault="00472C74" w:rsidP="00472C74">
      <w:pPr>
        <w:pStyle w:val="bodycopy"/>
        <w:spacing w:after="60"/>
        <w:rPr>
          <w:rFonts w:ascii="Arial" w:hAnsi="Arial"/>
          <w:i/>
          <w:sz w:val="16"/>
          <w:szCs w:val="16"/>
        </w:rPr>
      </w:pPr>
      <w:r w:rsidRPr="00D52190">
        <w:rPr>
          <w:rFonts w:ascii="Arial" w:hAnsi="Arial"/>
          <w:i/>
          <w:sz w:val="16"/>
          <w:szCs w:val="16"/>
        </w:rPr>
        <w:t>Source: Advisian (2017).</w:t>
      </w:r>
    </w:p>
    <w:p w14:paraId="44586117" w14:textId="77316B9B" w:rsidR="00472C74" w:rsidRPr="00D52190" w:rsidRDefault="00472C74" w:rsidP="00472C74">
      <w:pPr>
        <w:pStyle w:val="bodycopy"/>
        <w:jc w:val="center"/>
        <w:rPr>
          <w:rFonts w:ascii="Arial" w:hAnsi="Arial"/>
          <w:b/>
          <w:sz w:val="20"/>
        </w:rPr>
      </w:pPr>
      <w:r w:rsidRPr="00D52190">
        <w:rPr>
          <w:rFonts w:ascii="Arial" w:hAnsi="Arial"/>
          <w:b/>
          <w:sz w:val="20"/>
        </w:rPr>
        <w:t>Photo 5.</w:t>
      </w:r>
      <w:r>
        <w:rPr>
          <w:rFonts w:ascii="Arial" w:hAnsi="Arial"/>
          <w:b/>
          <w:sz w:val="20"/>
        </w:rPr>
        <w:t>9</w:t>
      </w:r>
      <w:r w:rsidRPr="00D52190">
        <w:rPr>
          <w:rFonts w:ascii="Arial" w:hAnsi="Arial"/>
          <w:b/>
          <w:sz w:val="20"/>
        </w:rPr>
        <w:t>.</w:t>
      </w:r>
      <w:r w:rsidRPr="00D52190">
        <w:rPr>
          <w:rFonts w:ascii="Arial" w:hAnsi="Arial"/>
          <w:b/>
          <w:sz w:val="20"/>
        </w:rPr>
        <w:tab/>
        <w:t>Examples of benthic assemblages found within the proposed acquisition area</w:t>
      </w:r>
      <w:r>
        <w:rPr>
          <w:rFonts w:ascii="Arial" w:hAnsi="Arial"/>
          <w:b/>
          <w:sz w:val="20"/>
        </w:rPr>
        <w:t xml:space="preserve"> – sparse </w:t>
      </w:r>
      <w:r w:rsidR="006B62EF">
        <w:rPr>
          <w:rFonts w:ascii="Arial" w:hAnsi="Arial"/>
          <w:b/>
          <w:sz w:val="20"/>
        </w:rPr>
        <w:t>presence of commercial scallops, as circled</w:t>
      </w:r>
      <w:r>
        <w:rPr>
          <w:rFonts w:ascii="Arial" w:hAnsi="Arial"/>
          <w:b/>
          <w:sz w:val="20"/>
        </w:rPr>
        <w:t xml:space="preserve"> </w:t>
      </w:r>
      <w:r w:rsidR="0087662D">
        <w:rPr>
          <w:rFonts w:ascii="Arial" w:hAnsi="Arial"/>
          <w:b/>
          <w:sz w:val="20"/>
        </w:rPr>
        <w:br/>
      </w:r>
      <w:r>
        <w:rPr>
          <w:rFonts w:ascii="Arial" w:hAnsi="Arial"/>
          <w:b/>
          <w:sz w:val="20"/>
        </w:rPr>
        <w:t>(water depth of 32 m, site 1)</w:t>
      </w:r>
    </w:p>
    <w:p w14:paraId="007481BA" w14:textId="77777777" w:rsidR="00472C74" w:rsidRDefault="00472C74" w:rsidP="003B6839">
      <w:pPr>
        <w:pStyle w:val="bodycopy"/>
        <w:rPr>
          <w:rFonts w:ascii="Arial" w:hAnsi="Arial"/>
          <w:sz w:val="22"/>
          <w:szCs w:val="22"/>
        </w:rPr>
      </w:pPr>
    </w:p>
    <w:p w14:paraId="1CC0390C" w14:textId="77777777" w:rsidR="0057679E" w:rsidRPr="0058338D" w:rsidRDefault="0057679E" w:rsidP="00F92BED">
      <w:pPr>
        <w:pStyle w:val="bodycopy"/>
        <w:rPr>
          <w:rFonts w:ascii="Arial" w:hAnsi="Arial"/>
          <w:b/>
          <w:sz w:val="22"/>
          <w:szCs w:val="22"/>
        </w:rPr>
      </w:pPr>
      <w:r w:rsidRPr="0058338D">
        <w:rPr>
          <w:rFonts w:ascii="Arial" w:hAnsi="Arial"/>
          <w:b/>
          <w:sz w:val="22"/>
          <w:szCs w:val="22"/>
        </w:rPr>
        <w:t>Scallops</w:t>
      </w:r>
    </w:p>
    <w:p w14:paraId="155949E5" w14:textId="28032C4C" w:rsidR="00700E68" w:rsidRPr="0058338D" w:rsidRDefault="0057679E" w:rsidP="00F92BED">
      <w:pPr>
        <w:pStyle w:val="bodycopy"/>
        <w:rPr>
          <w:rFonts w:ascii="Arial" w:hAnsi="Arial"/>
          <w:sz w:val="22"/>
          <w:szCs w:val="22"/>
        </w:rPr>
      </w:pPr>
      <w:r w:rsidRPr="0058338D">
        <w:rPr>
          <w:rFonts w:ascii="Arial" w:hAnsi="Arial"/>
          <w:sz w:val="22"/>
          <w:szCs w:val="22"/>
        </w:rPr>
        <w:t>Commercial scallop</w:t>
      </w:r>
      <w:r w:rsidR="00700E68" w:rsidRPr="0058338D">
        <w:rPr>
          <w:rFonts w:ascii="Arial" w:hAnsi="Arial"/>
          <w:sz w:val="22"/>
          <w:szCs w:val="22"/>
        </w:rPr>
        <w:t>s</w:t>
      </w:r>
      <w:r w:rsidRPr="0058338D">
        <w:rPr>
          <w:rFonts w:ascii="Arial" w:hAnsi="Arial"/>
          <w:sz w:val="22"/>
          <w:szCs w:val="22"/>
        </w:rPr>
        <w:t xml:space="preserve"> (</w:t>
      </w:r>
      <w:r w:rsidRPr="0058338D">
        <w:rPr>
          <w:rFonts w:ascii="Arial" w:hAnsi="Arial"/>
          <w:i/>
          <w:sz w:val="22"/>
          <w:szCs w:val="22"/>
        </w:rPr>
        <w:t>Pecten fumatus</w:t>
      </w:r>
      <w:r w:rsidRPr="0058338D">
        <w:rPr>
          <w:rFonts w:ascii="Arial" w:hAnsi="Arial"/>
          <w:sz w:val="22"/>
          <w:szCs w:val="22"/>
        </w:rPr>
        <w:t xml:space="preserve">) </w:t>
      </w:r>
      <w:r w:rsidR="00700E68" w:rsidRPr="0058338D">
        <w:rPr>
          <w:rFonts w:ascii="Arial" w:hAnsi="Arial"/>
          <w:sz w:val="22"/>
          <w:szCs w:val="22"/>
        </w:rPr>
        <w:t>are present throughout Bass Strait</w:t>
      </w:r>
      <w:r w:rsidR="00D221C8">
        <w:rPr>
          <w:rFonts w:ascii="Arial" w:hAnsi="Arial"/>
          <w:sz w:val="22"/>
          <w:szCs w:val="22"/>
        </w:rPr>
        <w:t>, with a distribution along the southeast Australian coast from central NSW, Victoria, SA and Tasmania</w:t>
      </w:r>
      <w:r w:rsidR="00700E68" w:rsidRPr="0058338D">
        <w:rPr>
          <w:rFonts w:ascii="Arial" w:hAnsi="Arial"/>
          <w:sz w:val="22"/>
          <w:szCs w:val="22"/>
        </w:rPr>
        <w:t xml:space="preserve">. They are found </w:t>
      </w:r>
      <w:r w:rsidR="00D2419C">
        <w:rPr>
          <w:rFonts w:ascii="Arial" w:hAnsi="Arial"/>
          <w:sz w:val="22"/>
          <w:szCs w:val="22"/>
        </w:rPr>
        <w:t xml:space="preserve">partially </w:t>
      </w:r>
      <w:r w:rsidR="00700E68" w:rsidRPr="0058338D">
        <w:rPr>
          <w:rFonts w:ascii="Arial" w:hAnsi="Arial"/>
          <w:sz w:val="22"/>
          <w:szCs w:val="22"/>
        </w:rPr>
        <w:t>buried in soft sediment ranging from mud to coarse sand. Scallops aggregate into bed</w:t>
      </w:r>
      <w:r w:rsidR="00700E68" w:rsidRPr="003B2A42">
        <w:rPr>
          <w:rFonts w:ascii="Arial" w:hAnsi="Arial"/>
          <w:sz w:val="22"/>
          <w:szCs w:val="22"/>
        </w:rPr>
        <w:t>s</w:t>
      </w:r>
      <w:r w:rsidR="00F5107D" w:rsidRPr="003B2A42">
        <w:rPr>
          <w:rFonts w:ascii="Arial" w:hAnsi="Arial"/>
          <w:sz w:val="22"/>
          <w:szCs w:val="22"/>
        </w:rPr>
        <w:t>, with healthy scallops recessing their convex right valve beneath the sediment such that the flat left valve is level or slightly below the sediment surface</w:t>
      </w:r>
      <w:r w:rsidR="003B2A42">
        <w:rPr>
          <w:rFonts w:ascii="Arial" w:hAnsi="Arial"/>
          <w:sz w:val="22"/>
          <w:szCs w:val="22"/>
        </w:rPr>
        <w:t xml:space="preserve"> (AFMA, 2017</w:t>
      </w:r>
      <w:r w:rsidR="00EE5673">
        <w:rPr>
          <w:rFonts w:ascii="Arial" w:hAnsi="Arial"/>
          <w:sz w:val="22"/>
          <w:szCs w:val="22"/>
        </w:rPr>
        <w:t>a</w:t>
      </w:r>
      <w:r w:rsidR="003B2A42">
        <w:rPr>
          <w:rFonts w:ascii="Arial" w:hAnsi="Arial"/>
          <w:sz w:val="22"/>
          <w:szCs w:val="22"/>
        </w:rPr>
        <w:t xml:space="preserve">; </w:t>
      </w:r>
      <w:r w:rsidR="003B2A42" w:rsidRPr="003B2A42">
        <w:rPr>
          <w:rFonts w:ascii="Arial" w:hAnsi="Arial"/>
          <w:sz w:val="22"/>
          <w:szCs w:val="22"/>
        </w:rPr>
        <w:t xml:space="preserve">Przeslawski </w:t>
      </w:r>
      <w:r w:rsidR="003B2A42" w:rsidRPr="003B2A42">
        <w:rPr>
          <w:rFonts w:ascii="Arial" w:hAnsi="Arial"/>
          <w:i/>
          <w:sz w:val="22"/>
          <w:szCs w:val="22"/>
        </w:rPr>
        <w:t>et al</w:t>
      </w:r>
      <w:r w:rsidR="003B2A42" w:rsidRPr="003B2A42">
        <w:rPr>
          <w:rFonts w:ascii="Arial" w:hAnsi="Arial"/>
          <w:sz w:val="22"/>
          <w:szCs w:val="22"/>
        </w:rPr>
        <w:t>., 2016b</w:t>
      </w:r>
      <w:r w:rsidR="003B2A42">
        <w:rPr>
          <w:rFonts w:ascii="Arial" w:hAnsi="Arial"/>
          <w:sz w:val="22"/>
          <w:szCs w:val="22"/>
        </w:rPr>
        <w:t xml:space="preserve">). </w:t>
      </w:r>
      <w:r w:rsidR="00700E68" w:rsidRPr="0058338D">
        <w:rPr>
          <w:rFonts w:ascii="Arial" w:hAnsi="Arial"/>
          <w:sz w:val="22"/>
          <w:szCs w:val="22"/>
        </w:rPr>
        <w:t>Commercial scallops are mainly found at depths of 10-20 m</w:t>
      </w:r>
      <w:r w:rsidR="005C7335" w:rsidRPr="0058338D">
        <w:rPr>
          <w:rFonts w:ascii="Arial" w:hAnsi="Arial"/>
          <w:sz w:val="22"/>
          <w:szCs w:val="22"/>
        </w:rPr>
        <w:t xml:space="preserve"> </w:t>
      </w:r>
      <w:r w:rsidR="00700E68" w:rsidRPr="0058338D">
        <w:rPr>
          <w:rFonts w:ascii="Arial" w:hAnsi="Arial"/>
          <w:sz w:val="22"/>
          <w:szCs w:val="22"/>
        </w:rPr>
        <w:t xml:space="preserve">but may also occur to </w:t>
      </w:r>
      <w:r w:rsidR="003B2A42">
        <w:rPr>
          <w:rFonts w:ascii="Arial" w:hAnsi="Arial"/>
          <w:sz w:val="22"/>
          <w:szCs w:val="22"/>
        </w:rPr>
        <w:t xml:space="preserve">depths of </w:t>
      </w:r>
      <w:r w:rsidR="00700E68" w:rsidRPr="0058338D">
        <w:rPr>
          <w:rFonts w:ascii="Arial" w:hAnsi="Arial"/>
          <w:sz w:val="22"/>
          <w:szCs w:val="22"/>
        </w:rPr>
        <w:t>120 m. While mainly sedentary, scallops can swim by rapidly opening and closing their shells, usually when disturbed by predators</w:t>
      </w:r>
      <w:r w:rsidR="005C7335" w:rsidRPr="0058338D">
        <w:rPr>
          <w:rFonts w:ascii="Arial" w:hAnsi="Arial"/>
          <w:sz w:val="22"/>
          <w:szCs w:val="22"/>
        </w:rPr>
        <w:t xml:space="preserve"> (AFMA, 2017</w:t>
      </w:r>
      <w:r w:rsidR="00EE5673">
        <w:rPr>
          <w:rFonts w:ascii="Arial" w:hAnsi="Arial"/>
          <w:sz w:val="22"/>
          <w:szCs w:val="22"/>
        </w:rPr>
        <w:t>a</w:t>
      </w:r>
      <w:r w:rsidR="005C7335" w:rsidRPr="0058338D">
        <w:rPr>
          <w:rFonts w:ascii="Arial" w:hAnsi="Arial"/>
          <w:sz w:val="22"/>
          <w:szCs w:val="22"/>
        </w:rPr>
        <w:t>). Scallops feed on prey and detritus, while they are prey for starfish, whelks and octopus (AFMA, 2017</w:t>
      </w:r>
      <w:r w:rsidR="00EE5673">
        <w:rPr>
          <w:rFonts w:ascii="Arial" w:hAnsi="Arial"/>
          <w:sz w:val="22"/>
          <w:szCs w:val="22"/>
        </w:rPr>
        <w:t>a</w:t>
      </w:r>
      <w:r w:rsidR="005C7335" w:rsidRPr="0058338D">
        <w:rPr>
          <w:rFonts w:ascii="Arial" w:hAnsi="Arial"/>
          <w:sz w:val="22"/>
          <w:szCs w:val="22"/>
        </w:rPr>
        <w:t>).</w:t>
      </w:r>
    </w:p>
    <w:p w14:paraId="1D748313" w14:textId="6A0C8988" w:rsidR="00700E68" w:rsidRDefault="00700E68" w:rsidP="00177D97">
      <w:pPr>
        <w:spacing w:after="120" w:line="240" w:lineRule="auto"/>
        <w:ind w:left="0"/>
        <w:rPr>
          <w:rFonts w:cs="Arial"/>
          <w:sz w:val="22"/>
          <w:szCs w:val="22"/>
        </w:rPr>
      </w:pPr>
      <w:r w:rsidRPr="0058338D">
        <w:rPr>
          <w:rFonts w:cs="Arial"/>
          <w:sz w:val="22"/>
          <w:szCs w:val="22"/>
        </w:rPr>
        <w:t xml:space="preserve">Scallops </w:t>
      </w:r>
      <w:r w:rsidR="00795832">
        <w:rPr>
          <w:rFonts w:cs="Arial"/>
          <w:sz w:val="22"/>
          <w:szCs w:val="22"/>
        </w:rPr>
        <w:t xml:space="preserve">reach reproductive </w:t>
      </w:r>
      <w:r w:rsidRPr="0058338D">
        <w:rPr>
          <w:rFonts w:cs="Arial"/>
          <w:sz w:val="22"/>
          <w:szCs w:val="22"/>
        </w:rPr>
        <w:t>matur</w:t>
      </w:r>
      <w:r w:rsidR="00795832">
        <w:rPr>
          <w:rFonts w:cs="Arial"/>
          <w:sz w:val="22"/>
          <w:szCs w:val="22"/>
        </w:rPr>
        <w:t>ity</w:t>
      </w:r>
      <w:r w:rsidRPr="0058338D">
        <w:rPr>
          <w:rFonts w:cs="Arial"/>
          <w:sz w:val="22"/>
          <w:szCs w:val="22"/>
        </w:rPr>
        <w:t xml:space="preserve"> after one year but do not spawn until the second year</w:t>
      </w:r>
      <w:r w:rsidR="00795832">
        <w:rPr>
          <w:rFonts w:cs="Arial"/>
          <w:sz w:val="22"/>
          <w:szCs w:val="22"/>
        </w:rPr>
        <w:t>.</w:t>
      </w:r>
      <w:r w:rsidR="00716BBD">
        <w:rPr>
          <w:rFonts w:cs="Arial"/>
          <w:sz w:val="22"/>
          <w:szCs w:val="22"/>
        </w:rPr>
        <w:t xml:space="preserve"> </w:t>
      </w:r>
      <w:r w:rsidR="00795832">
        <w:rPr>
          <w:rFonts w:cs="Arial"/>
          <w:sz w:val="22"/>
          <w:szCs w:val="22"/>
        </w:rPr>
        <w:t>Commercial scallops usually have a life span of less than 7 years, but wild populations have been known to die off rapidly after 3-5 years (AFMA, 2017</w:t>
      </w:r>
      <w:r w:rsidR="00EE5673">
        <w:rPr>
          <w:rFonts w:cs="Arial"/>
          <w:sz w:val="22"/>
          <w:szCs w:val="22"/>
        </w:rPr>
        <w:t>a</w:t>
      </w:r>
      <w:r w:rsidR="00795832">
        <w:rPr>
          <w:rFonts w:cs="Arial"/>
          <w:sz w:val="22"/>
          <w:szCs w:val="22"/>
        </w:rPr>
        <w:t xml:space="preserve">). </w:t>
      </w:r>
      <w:r w:rsidRPr="0058338D">
        <w:rPr>
          <w:rFonts w:cs="Arial"/>
          <w:sz w:val="22"/>
          <w:szCs w:val="22"/>
        </w:rPr>
        <w:t xml:space="preserve">Adult scallops normally spawn </w:t>
      </w:r>
      <w:r w:rsidR="00182814">
        <w:rPr>
          <w:rFonts w:cs="Arial"/>
          <w:sz w:val="22"/>
          <w:szCs w:val="22"/>
        </w:rPr>
        <w:t xml:space="preserve">over an extenced period </w:t>
      </w:r>
      <w:r w:rsidRPr="0058338D">
        <w:rPr>
          <w:rFonts w:cs="Arial"/>
          <w:sz w:val="22"/>
          <w:szCs w:val="22"/>
        </w:rPr>
        <w:t xml:space="preserve">between </w:t>
      </w:r>
      <w:r w:rsidR="000A5923">
        <w:rPr>
          <w:rFonts w:cs="Arial"/>
          <w:sz w:val="22"/>
          <w:szCs w:val="22"/>
        </w:rPr>
        <w:t>June and November</w:t>
      </w:r>
      <w:r w:rsidR="005C7335" w:rsidRPr="0058338D">
        <w:rPr>
          <w:rFonts w:cs="Arial"/>
          <w:sz w:val="22"/>
          <w:szCs w:val="22"/>
        </w:rPr>
        <w:t xml:space="preserve"> (a sudden increase in water temperature is thought to trigger spawning)</w:t>
      </w:r>
      <w:r w:rsidR="00182814">
        <w:rPr>
          <w:rFonts w:cs="Arial"/>
          <w:sz w:val="22"/>
          <w:szCs w:val="22"/>
        </w:rPr>
        <w:t>, with individuals producing up to one million eggs</w:t>
      </w:r>
      <w:r w:rsidR="005C7335" w:rsidRPr="0058338D">
        <w:rPr>
          <w:rFonts w:cs="Arial"/>
          <w:sz w:val="22"/>
          <w:szCs w:val="22"/>
        </w:rPr>
        <w:t xml:space="preserve"> (AFMA, 2017</w:t>
      </w:r>
      <w:r w:rsidR="00EE5673">
        <w:rPr>
          <w:rFonts w:cs="Arial"/>
          <w:sz w:val="22"/>
          <w:szCs w:val="22"/>
        </w:rPr>
        <w:t>a</w:t>
      </w:r>
      <w:r w:rsidR="005C7335" w:rsidRPr="0058338D">
        <w:rPr>
          <w:rFonts w:cs="Arial"/>
          <w:sz w:val="22"/>
          <w:szCs w:val="22"/>
        </w:rPr>
        <w:t>)</w:t>
      </w:r>
      <w:r w:rsidRPr="0058338D">
        <w:rPr>
          <w:rFonts w:cs="Arial"/>
          <w:sz w:val="22"/>
          <w:szCs w:val="22"/>
        </w:rPr>
        <w:t xml:space="preserve">. </w:t>
      </w:r>
      <w:r w:rsidR="00182814">
        <w:rPr>
          <w:rFonts w:cs="Arial"/>
          <w:sz w:val="22"/>
          <w:szCs w:val="22"/>
        </w:rPr>
        <w:t>In Victoria, a</w:t>
      </w:r>
      <w:r w:rsidR="00D221C8">
        <w:rPr>
          <w:rFonts w:cs="Arial"/>
          <w:sz w:val="22"/>
          <w:szCs w:val="22"/>
        </w:rPr>
        <w:t xml:space="preserve"> spawning peak appears to take place in spring (September, October and November) (DPI, 2005). </w:t>
      </w:r>
      <w:r w:rsidR="00A96C7C">
        <w:rPr>
          <w:sz w:val="22"/>
          <w:szCs w:val="22"/>
        </w:rPr>
        <w:t xml:space="preserve">Information provided by SIV indicates spawning occurs from </w:t>
      </w:r>
      <w:r w:rsidR="00F91407">
        <w:rPr>
          <w:sz w:val="22"/>
          <w:szCs w:val="22"/>
        </w:rPr>
        <w:t xml:space="preserve">September to </w:t>
      </w:r>
      <w:r w:rsidR="00A96C7C">
        <w:rPr>
          <w:sz w:val="22"/>
          <w:szCs w:val="22"/>
        </w:rPr>
        <w:t xml:space="preserve">December. </w:t>
      </w:r>
      <w:r w:rsidRPr="0058338D">
        <w:rPr>
          <w:rFonts w:cs="Arial"/>
          <w:sz w:val="22"/>
          <w:szCs w:val="22"/>
        </w:rPr>
        <w:t>Larval scallops drift as plankton for up to six weeks before first settlement</w:t>
      </w:r>
      <w:r w:rsidR="00735989">
        <w:rPr>
          <w:rFonts w:cs="Arial"/>
          <w:sz w:val="22"/>
          <w:szCs w:val="22"/>
        </w:rPr>
        <w:t>, with peak settlement occurring in mid-late September (</w:t>
      </w:r>
      <w:r w:rsidR="00716BBD" w:rsidRPr="0058338D">
        <w:rPr>
          <w:rFonts w:cs="Arial"/>
          <w:sz w:val="22"/>
          <w:szCs w:val="22"/>
        </w:rPr>
        <w:t>AFMA, 2017</w:t>
      </w:r>
      <w:r w:rsidR="00EE5673">
        <w:rPr>
          <w:rFonts w:cs="Arial"/>
          <w:sz w:val="22"/>
          <w:szCs w:val="22"/>
        </w:rPr>
        <w:t>a</w:t>
      </w:r>
      <w:r w:rsidR="00716BBD">
        <w:rPr>
          <w:rFonts w:cs="Arial"/>
          <w:sz w:val="22"/>
          <w:szCs w:val="22"/>
        </w:rPr>
        <w:t xml:space="preserve">; </w:t>
      </w:r>
      <w:r w:rsidR="00735989" w:rsidRPr="00C87AAC">
        <w:rPr>
          <w:rFonts w:cs="Arial"/>
          <w:sz w:val="22"/>
          <w:szCs w:val="22"/>
        </w:rPr>
        <w:t xml:space="preserve">Przeslawski </w:t>
      </w:r>
      <w:r w:rsidR="00735989" w:rsidRPr="00735989">
        <w:rPr>
          <w:rFonts w:cs="Arial"/>
          <w:i/>
          <w:sz w:val="22"/>
          <w:szCs w:val="22"/>
        </w:rPr>
        <w:t>et al</w:t>
      </w:r>
      <w:r w:rsidR="00735989">
        <w:rPr>
          <w:rFonts w:cs="Arial"/>
          <w:sz w:val="22"/>
          <w:szCs w:val="22"/>
        </w:rPr>
        <w:t>., 2016b)</w:t>
      </w:r>
      <w:r w:rsidRPr="0058338D">
        <w:rPr>
          <w:rFonts w:cs="Arial"/>
          <w:sz w:val="22"/>
          <w:szCs w:val="22"/>
        </w:rPr>
        <w:t xml:space="preserve">. They attach to a hard surface such as seaweed or mussel and oyster shells and remain attached until reaching around 6 mm in length. The small scallops then detach themselves and settle into sediments and bury in so that </w:t>
      </w:r>
      <w:r w:rsidRPr="0058338D">
        <w:rPr>
          <w:rFonts w:cs="Arial"/>
          <w:sz w:val="22"/>
          <w:szCs w:val="22"/>
        </w:rPr>
        <w:lastRenderedPageBreak/>
        <w:t>only the top flat shell is visible. The juvenile scallops grow quickly and reach marketable size within 18 months (</w:t>
      </w:r>
      <w:r w:rsidR="00FF65E1">
        <w:rPr>
          <w:rFonts w:cs="Arial"/>
          <w:sz w:val="22"/>
          <w:szCs w:val="22"/>
        </w:rPr>
        <w:t>VFA</w:t>
      </w:r>
      <w:r w:rsidRPr="0058338D">
        <w:rPr>
          <w:rFonts w:cs="Arial"/>
          <w:sz w:val="22"/>
          <w:szCs w:val="22"/>
        </w:rPr>
        <w:t>, 2017).</w:t>
      </w:r>
      <w:r w:rsidR="00BE3490">
        <w:rPr>
          <w:rFonts w:cs="Arial"/>
          <w:sz w:val="22"/>
          <w:szCs w:val="22"/>
        </w:rPr>
        <w:t xml:space="preserve"> Scallop settlement is highly variable both temporally and spatially </w:t>
      </w:r>
      <w:r w:rsidR="00BE3490" w:rsidRPr="0058338D">
        <w:rPr>
          <w:rFonts w:cs="Arial"/>
          <w:sz w:val="22"/>
          <w:szCs w:val="22"/>
        </w:rPr>
        <w:t>(</w:t>
      </w:r>
      <w:r w:rsidR="00BE3490">
        <w:rPr>
          <w:rFonts w:cs="Arial"/>
          <w:sz w:val="22"/>
          <w:szCs w:val="22"/>
        </w:rPr>
        <w:t>VFA</w:t>
      </w:r>
      <w:r w:rsidR="00BE3490" w:rsidRPr="0058338D">
        <w:rPr>
          <w:rFonts w:cs="Arial"/>
          <w:sz w:val="22"/>
          <w:szCs w:val="22"/>
        </w:rPr>
        <w:t>, 2017)</w:t>
      </w:r>
      <w:r w:rsidR="00BE3490">
        <w:rPr>
          <w:rFonts w:cs="Arial"/>
          <w:sz w:val="22"/>
          <w:szCs w:val="22"/>
        </w:rPr>
        <w:t>.</w:t>
      </w:r>
    </w:p>
    <w:p w14:paraId="3A21130B" w14:textId="4847852A" w:rsidR="00F00A3B" w:rsidRPr="0058338D" w:rsidRDefault="00F00A3B" w:rsidP="00177D97">
      <w:pPr>
        <w:spacing w:after="120" w:line="240" w:lineRule="auto"/>
        <w:ind w:left="0"/>
        <w:rPr>
          <w:rFonts w:cs="Arial"/>
          <w:sz w:val="22"/>
          <w:szCs w:val="22"/>
        </w:rPr>
      </w:pPr>
      <w:r>
        <w:rPr>
          <w:rFonts w:cs="Arial"/>
          <w:sz w:val="22"/>
          <w:szCs w:val="22"/>
        </w:rPr>
        <w:t xml:space="preserve">Natural mortality for commercial scallops is variable, with a study from Port Phillip Bay indicating </w:t>
      </w:r>
      <w:r w:rsidR="00251D5B">
        <w:rPr>
          <w:rFonts w:cs="Arial"/>
          <w:sz w:val="22"/>
          <w:szCs w:val="22"/>
        </w:rPr>
        <w:t>an annual mortality rate of 40%</w:t>
      </w:r>
      <w:r>
        <w:rPr>
          <w:rFonts w:cs="Arial"/>
          <w:sz w:val="22"/>
          <w:szCs w:val="22"/>
        </w:rPr>
        <w:t>, with other studies in the 1980s indicating a mortality rate of 11-51%</w:t>
      </w:r>
      <w:r w:rsidR="00182814">
        <w:rPr>
          <w:rFonts w:cs="Arial"/>
          <w:sz w:val="22"/>
          <w:szCs w:val="22"/>
        </w:rPr>
        <w:t xml:space="preserve"> </w:t>
      </w:r>
      <w:r w:rsidR="00D561E0">
        <w:rPr>
          <w:rFonts w:cs="Arial"/>
          <w:sz w:val="22"/>
          <w:szCs w:val="22"/>
        </w:rPr>
        <w:t xml:space="preserve">(DPI, 2005). </w:t>
      </w:r>
    </w:p>
    <w:p w14:paraId="35A99451" w14:textId="7E0511ED" w:rsidR="00A374DB" w:rsidRDefault="00FF65E1" w:rsidP="00177D97">
      <w:pPr>
        <w:pStyle w:val="bodycopy"/>
        <w:spacing w:after="240"/>
        <w:rPr>
          <w:rFonts w:ascii="Arial" w:hAnsi="Arial"/>
          <w:sz w:val="22"/>
          <w:szCs w:val="22"/>
        </w:rPr>
      </w:pPr>
      <w:r>
        <w:rPr>
          <w:rFonts w:ascii="Arial" w:hAnsi="Arial"/>
          <w:sz w:val="22"/>
          <w:szCs w:val="22"/>
        </w:rPr>
        <w:t xml:space="preserve">The VFA </w:t>
      </w:r>
      <w:r w:rsidR="00FB6911" w:rsidRPr="0058338D">
        <w:rPr>
          <w:rFonts w:ascii="Arial" w:hAnsi="Arial"/>
          <w:sz w:val="22"/>
          <w:szCs w:val="22"/>
        </w:rPr>
        <w:t>has advised CarbonNet that very little commercial fishing for scallops has been undertaken in the proposed acquisition area in the last five years (see Section</w:t>
      </w:r>
      <w:r w:rsidR="00B26ACD">
        <w:rPr>
          <w:rFonts w:ascii="Arial" w:hAnsi="Arial"/>
          <w:sz w:val="22"/>
          <w:szCs w:val="22"/>
        </w:rPr>
        <w:t xml:space="preserve"> 5.6.3</w:t>
      </w:r>
      <w:r w:rsidR="00FB6911" w:rsidRPr="0058338D">
        <w:rPr>
          <w:rFonts w:ascii="Arial" w:hAnsi="Arial"/>
          <w:sz w:val="22"/>
          <w:szCs w:val="22"/>
        </w:rPr>
        <w:t>)</w:t>
      </w:r>
      <w:r w:rsidR="0076254B">
        <w:rPr>
          <w:rFonts w:ascii="Arial" w:hAnsi="Arial"/>
          <w:sz w:val="22"/>
          <w:szCs w:val="22"/>
        </w:rPr>
        <w:t xml:space="preserve">, with SIV indicating that no scallop harvesting has occurred over the last 7-8 years. </w:t>
      </w:r>
      <w:r w:rsidR="00177D97" w:rsidRPr="0058338D">
        <w:rPr>
          <w:rFonts w:ascii="Arial" w:hAnsi="Arial"/>
          <w:sz w:val="22"/>
          <w:szCs w:val="22"/>
        </w:rPr>
        <w:t xml:space="preserve">While the dominance of sandy sediments throughout the proposed acquisition area </w:t>
      </w:r>
      <w:r w:rsidR="00D221C8">
        <w:rPr>
          <w:rFonts w:ascii="Arial" w:hAnsi="Arial"/>
          <w:sz w:val="22"/>
          <w:szCs w:val="22"/>
        </w:rPr>
        <w:t xml:space="preserve">provides abundant suitable scallop habitat and </w:t>
      </w:r>
      <w:r w:rsidR="00177D97" w:rsidRPr="0058338D">
        <w:rPr>
          <w:rFonts w:ascii="Arial" w:hAnsi="Arial"/>
          <w:sz w:val="22"/>
          <w:szCs w:val="22"/>
        </w:rPr>
        <w:t xml:space="preserve">makes it </w:t>
      </w:r>
      <w:r w:rsidR="00D2419C">
        <w:rPr>
          <w:rFonts w:ascii="Arial" w:hAnsi="Arial"/>
          <w:sz w:val="22"/>
          <w:szCs w:val="22"/>
        </w:rPr>
        <w:t>possible</w:t>
      </w:r>
      <w:r w:rsidR="00177D97" w:rsidRPr="0058338D">
        <w:rPr>
          <w:rFonts w:ascii="Arial" w:hAnsi="Arial"/>
          <w:sz w:val="22"/>
          <w:szCs w:val="22"/>
        </w:rPr>
        <w:t xml:space="preserve"> that scallops occur, it is unlikely that commercially viable beds of scallops are present</w:t>
      </w:r>
      <w:r w:rsidR="00D2419C">
        <w:rPr>
          <w:rFonts w:ascii="Arial" w:hAnsi="Arial"/>
          <w:sz w:val="22"/>
          <w:szCs w:val="22"/>
        </w:rPr>
        <w:t xml:space="preserve"> based on the available data</w:t>
      </w:r>
      <w:r w:rsidR="00FB6911" w:rsidRPr="0058338D">
        <w:rPr>
          <w:rFonts w:ascii="Arial" w:hAnsi="Arial"/>
          <w:sz w:val="22"/>
          <w:szCs w:val="22"/>
        </w:rPr>
        <w:t>.</w:t>
      </w:r>
      <w:r w:rsidR="00177D97" w:rsidRPr="0058338D">
        <w:rPr>
          <w:rFonts w:ascii="Arial" w:hAnsi="Arial"/>
          <w:sz w:val="22"/>
          <w:szCs w:val="22"/>
        </w:rPr>
        <w:t xml:space="preserve"> </w:t>
      </w:r>
    </w:p>
    <w:p w14:paraId="0155C198" w14:textId="77777777" w:rsidR="00F147C3" w:rsidRDefault="00492845" w:rsidP="00CE1AAD">
      <w:pPr>
        <w:pStyle w:val="bodycopy"/>
        <w:spacing w:after="240"/>
        <w:rPr>
          <w:rFonts w:ascii="Arial" w:hAnsi="Arial"/>
          <w:sz w:val="22"/>
          <w:szCs w:val="22"/>
        </w:rPr>
      </w:pPr>
      <w:r>
        <w:rPr>
          <w:rFonts w:ascii="Arial" w:hAnsi="Arial"/>
          <w:sz w:val="22"/>
          <w:szCs w:val="22"/>
        </w:rPr>
        <w:t xml:space="preserve">As noted earlier in this section, the CarbonNet-commissioned marine </w:t>
      </w:r>
      <w:r w:rsidR="009862E3">
        <w:rPr>
          <w:rFonts w:ascii="Arial" w:hAnsi="Arial"/>
          <w:sz w:val="22"/>
          <w:szCs w:val="22"/>
        </w:rPr>
        <w:t>habitat</w:t>
      </w:r>
      <w:r>
        <w:rPr>
          <w:rFonts w:ascii="Arial" w:hAnsi="Arial"/>
          <w:sz w:val="22"/>
          <w:szCs w:val="22"/>
        </w:rPr>
        <w:t xml:space="preserve"> </w:t>
      </w:r>
      <w:r w:rsidR="00735989">
        <w:rPr>
          <w:rFonts w:ascii="Arial" w:hAnsi="Arial"/>
          <w:sz w:val="22"/>
          <w:szCs w:val="22"/>
        </w:rPr>
        <w:t>assessment</w:t>
      </w:r>
      <w:r>
        <w:rPr>
          <w:rFonts w:ascii="Arial" w:hAnsi="Arial"/>
          <w:sz w:val="22"/>
          <w:szCs w:val="22"/>
        </w:rPr>
        <w:t xml:space="preserve"> observed only </w:t>
      </w:r>
      <w:r w:rsidR="009862E3">
        <w:rPr>
          <w:rFonts w:ascii="Arial" w:hAnsi="Arial"/>
          <w:sz w:val="22"/>
          <w:szCs w:val="22"/>
        </w:rPr>
        <w:t>one</w:t>
      </w:r>
      <w:r>
        <w:rPr>
          <w:rFonts w:ascii="Arial" w:hAnsi="Arial"/>
          <w:sz w:val="22"/>
          <w:szCs w:val="22"/>
        </w:rPr>
        <w:t xml:space="preserve"> </w:t>
      </w:r>
      <w:r w:rsidR="009862E3">
        <w:rPr>
          <w:rFonts w:ascii="Arial" w:hAnsi="Arial"/>
          <w:sz w:val="22"/>
          <w:szCs w:val="22"/>
        </w:rPr>
        <w:t xml:space="preserve">location </w:t>
      </w:r>
      <w:r w:rsidR="004D22B9">
        <w:rPr>
          <w:rFonts w:ascii="Arial" w:hAnsi="Arial"/>
          <w:sz w:val="22"/>
          <w:szCs w:val="22"/>
        </w:rPr>
        <w:t xml:space="preserve">within the proposed acquisition area </w:t>
      </w:r>
      <w:r w:rsidR="00A374DB">
        <w:rPr>
          <w:rFonts w:ascii="Arial" w:hAnsi="Arial"/>
          <w:sz w:val="22"/>
          <w:szCs w:val="22"/>
        </w:rPr>
        <w:t>where</w:t>
      </w:r>
      <w:r w:rsidR="009862E3">
        <w:rPr>
          <w:rFonts w:ascii="Arial" w:hAnsi="Arial"/>
          <w:sz w:val="22"/>
          <w:szCs w:val="22"/>
        </w:rPr>
        <w:t xml:space="preserve"> </w:t>
      </w:r>
      <w:r>
        <w:rPr>
          <w:rFonts w:ascii="Arial" w:hAnsi="Arial"/>
          <w:sz w:val="22"/>
          <w:szCs w:val="22"/>
        </w:rPr>
        <w:t>commercial scallops</w:t>
      </w:r>
      <w:r w:rsidR="009862E3">
        <w:rPr>
          <w:rFonts w:ascii="Arial" w:hAnsi="Arial"/>
          <w:sz w:val="22"/>
          <w:szCs w:val="22"/>
        </w:rPr>
        <w:t xml:space="preserve"> </w:t>
      </w:r>
      <w:r w:rsidR="00A374DB">
        <w:rPr>
          <w:rFonts w:ascii="Arial" w:hAnsi="Arial"/>
          <w:sz w:val="22"/>
          <w:szCs w:val="22"/>
        </w:rPr>
        <w:t xml:space="preserve">were </w:t>
      </w:r>
      <w:r w:rsidR="009862E3">
        <w:rPr>
          <w:rFonts w:ascii="Arial" w:hAnsi="Arial"/>
          <w:sz w:val="22"/>
          <w:szCs w:val="22"/>
        </w:rPr>
        <w:t>present (</w:t>
      </w:r>
      <w:r w:rsidR="00A374DB">
        <w:rPr>
          <w:rFonts w:ascii="Arial" w:hAnsi="Arial"/>
          <w:sz w:val="22"/>
          <w:szCs w:val="22"/>
        </w:rPr>
        <w:t xml:space="preserve">with </w:t>
      </w:r>
      <w:r w:rsidR="009862E3">
        <w:rPr>
          <w:rFonts w:ascii="Arial" w:hAnsi="Arial"/>
          <w:sz w:val="22"/>
          <w:szCs w:val="22"/>
        </w:rPr>
        <w:t>doughboy scallops present in two locations)</w:t>
      </w:r>
      <w:r>
        <w:rPr>
          <w:rFonts w:ascii="Arial" w:hAnsi="Arial"/>
          <w:sz w:val="22"/>
          <w:szCs w:val="22"/>
        </w:rPr>
        <w:t>, and in</w:t>
      </w:r>
      <w:r w:rsidR="009862E3">
        <w:rPr>
          <w:rFonts w:ascii="Arial" w:hAnsi="Arial"/>
          <w:sz w:val="22"/>
          <w:szCs w:val="22"/>
        </w:rPr>
        <w:t xml:space="preserve"> very low</w:t>
      </w:r>
      <w:r>
        <w:rPr>
          <w:rFonts w:ascii="Arial" w:hAnsi="Arial"/>
          <w:sz w:val="22"/>
          <w:szCs w:val="22"/>
        </w:rPr>
        <w:t xml:space="preserve"> abundance</w:t>
      </w:r>
      <w:r w:rsidR="009862E3">
        <w:rPr>
          <w:rFonts w:ascii="Arial" w:hAnsi="Arial"/>
          <w:sz w:val="22"/>
          <w:szCs w:val="22"/>
        </w:rPr>
        <w:t xml:space="preserve"> that would not be considered a commercial bed for fishing purposes</w:t>
      </w:r>
      <w:r>
        <w:rPr>
          <w:rFonts w:ascii="Arial" w:hAnsi="Arial"/>
          <w:sz w:val="22"/>
          <w:szCs w:val="22"/>
        </w:rPr>
        <w:t xml:space="preserve">. </w:t>
      </w:r>
    </w:p>
    <w:p w14:paraId="7EF50ECC" w14:textId="1F673FCF" w:rsidR="00CE1AAD" w:rsidRDefault="00CE1AAD" w:rsidP="00CE1AAD">
      <w:pPr>
        <w:pStyle w:val="bodycopy"/>
        <w:spacing w:after="240"/>
        <w:rPr>
          <w:rFonts w:ascii="Arial" w:hAnsi="Arial"/>
          <w:sz w:val="22"/>
          <w:szCs w:val="22"/>
        </w:rPr>
      </w:pPr>
      <w:r>
        <w:rPr>
          <w:rFonts w:ascii="Arial" w:hAnsi="Arial"/>
          <w:sz w:val="22"/>
          <w:szCs w:val="22"/>
        </w:rPr>
        <w:t xml:space="preserve">The VSFA and SIV have advised CarbonNet that scallop beds, important to the continued sustainability of the fishery, are </w:t>
      </w:r>
      <w:r w:rsidR="00F23C43">
        <w:rPr>
          <w:rFonts w:ascii="Arial" w:hAnsi="Arial"/>
          <w:sz w:val="22"/>
          <w:szCs w:val="22"/>
        </w:rPr>
        <w:t>believed</w:t>
      </w:r>
      <w:r>
        <w:rPr>
          <w:rFonts w:ascii="Arial" w:hAnsi="Arial"/>
          <w:sz w:val="22"/>
          <w:szCs w:val="22"/>
        </w:rPr>
        <w:t xml:space="preserve"> to </w:t>
      </w:r>
      <w:r w:rsidR="00F23C43">
        <w:rPr>
          <w:rFonts w:ascii="Arial" w:hAnsi="Arial"/>
          <w:sz w:val="22"/>
          <w:szCs w:val="22"/>
        </w:rPr>
        <w:t xml:space="preserve">currently </w:t>
      </w:r>
      <w:r>
        <w:rPr>
          <w:rFonts w:ascii="Arial" w:hAnsi="Arial"/>
          <w:sz w:val="22"/>
          <w:szCs w:val="22"/>
        </w:rPr>
        <w:t xml:space="preserve">occur within the proposed acquisition area (see also ‘Victorian managed fisheries’ in Section 5.6.3). </w:t>
      </w:r>
    </w:p>
    <w:p w14:paraId="6F35C997" w14:textId="0503D534" w:rsidR="00F147C3" w:rsidRDefault="00F147C3" w:rsidP="00F147C3">
      <w:pPr>
        <w:pStyle w:val="bodycopy"/>
        <w:spacing w:after="240"/>
        <w:rPr>
          <w:rFonts w:ascii="Arial" w:hAnsi="Arial"/>
          <w:sz w:val="22"/>
          <w:szCs w:val="22"/>
        </w:rPr>
      </w:pPr>
      <w:r>
        <w:rPr>
          <w:rFonts w:ascii="Arial" w:hAnsi="Arial"/>
          <w:sz w:val="22"/>
          <w:szCs w:val="22"/>
        </w:rPr>
        <w:t xml:space="preserve">To address the uncertainty as to the </w:t>
      </w:r>
      <w:r w:rsidR="00116F21">
        <w:rPr>
          <w:rFonts w:ascii="Arial" w:hAnsi="Arial"/>
          <w:sz w:val="22"/>
          <w:szCs w:val="22"/>
        </w:rPr>
        <w:t xml:space="preserve">presence and </w:t>
      </w:r>
      <w:r>
        <w:rPr>
          <w:rFonts w:ascii="Arial" w:hAnsi="Arial"/>
          <w:sz w:val="22"/>
          <w:szCs w:val="22"/>
        </w:rPr>
        <w:t>extent of scallops in and around the survey area, CarbonNet has committed to a pre</w:t>
      </w:r>
      <w:r w:rsidR="00116F21">
        <w:rPr>
          <w:rFonts w:ascii="Arial" w:hAnsi="Arial"/>
          <w:sz w:val="22"/>
          <w:szCs w:val="22"/>
        </w:rPr>
        <w:t>-</w:t>
      </w:r>
      <w:r>
        <w:rPr>
          <w:rFonts w:ascii="Arial" w:hAnsi="Arial"/>
          <w:sz w:val="22"/>
          <w:szCs w:val="22"/>
        </w:rPr>
        <w:t xml:space="preserve"> and post</w:t>
      </w:r>
      <w:r w:rsidR="00116F21">
        <w:rPr>
          <w:rFonts w:ascii="Arial" w:hAnsi="Arial"/>
          <w:sz w:val="22"/>
          <w:szCs w:val="22"/>
        </w:rPr>
        <w:t>-MSS</w:t>
      </w:r>
      <w:r>
        <w:rPr>
          <w:rFonts w:ascii="Arial" w:hAnsi="Arial"/>
          <w:sz w:val="22"/>
          <w:szCs w:val="22"/>
        </w:rPr>
        <w:t xml:space="preserve"> habitat assessment, and is contributing to a </w:t>
      </w:r>
      <w:r w:rsidR="00F23C43">
        <w:rPr>
          <w:rFonts w:ascii="Arial" w:hAnsi="Arial"/>
          <w:sz w:val="22"/>
          <w:szCs w:val="22"/>
        </w:rPr>
        <w:t xml:space="preserve">whole of scallop fishery </w:t>
      </w:r>
      <w:r>
        <w:rPr>
          <w:rFonts w:ascii="Arial" w:hAnsi="Arial"/>
          <w:sz w:val="22"/>
          <w:szCs w:val="22"/>
        </w:rPr>
        <w:t>stock assessment</w:t>
      </w:r>
      <w:r w:rsidR="00F23C43">
        <w:rPr>
          <w:rFonts w:ascii="Arial" w:hAnsi="Arial"/>
          <w:sz w:val="22"/>
          <w:szCs w:val="22"/>
        </w:rPr>
        <w:t xml:space="preserve"> being undertaken by the VFA</w:t>
      </w:r>
      <w:r>
        <w:rPr>
          <w:rFonts w:ascii="Arial" w:hAnsi="Arial"/>
          <w:sz w:val="22"/>
          <w:szCs w:val="22"/>
        </w:rPr>
        <w:t>.</w:t>
      </w:r>
    </w:p>
    <w:p w14:paraId="2B6644D5" w14:textId="5707A9FC" w:rsidR="00F147C3" w:rsidRDefault="00F147C3" w:rsidP="00F147C3">
      <w:pPr>
        <w:pStyle w:val="bodycopy"/>
        <w:spacing w:after="240"/>
        <w:rPr>
          <w:rFonts w:ascii="Arial" w:hAnsi="Arial"/>
          <w:sz w:val="22"/>
          <w:szCs w:val="22"/>
        </w:rPr>
      </w:pPr>
      <w:r>
        <w:rPr>
          <w:rFonts w:ascii="Arial" w:hAnsi="Arial"/>
          <w:sz w:val="22"/>
          <w:szCs w:val="22"/>
        </w:rPr>
        <w:t xml:space="preserve">The </w:t>
      </w:r>
      <w:r w:rsidR="00116F21">
        <w:rPr>
          <w:rFonts w:ascii="Arial" w:hAnsi="Arial"/>
          <w:sz w:val="22"/>
          <w:szCs w:val="22"/>
        </w:rPr>
        <w:t>EIA</w:t>
      </w:r>
      <w:r>
        <w:rPr>
          <w:rFonts w:ascii="Arial" w:hAnsi="Arial"/>
          <w:sz w:val="22"/>
          <w:szCs w:val="22"/>
        </w:rPr>
        <w:t xml:space="preserve"> in Chapter 7 addresses this uncertainty by taking a precautionary approach to the existence of scallops and predicts impact as if scallops were present at </w:t>
      </w:r>
      <w:r w:rsidR="00376FA0">
        <w:rPr>
          <w:rFonts w:ascii="Arial" w:hAnsi="Arial"/>
          <w:sz w:val="22"/>
          <w:szCs w:val="22"/>
        </w:rPr>
        <w:t>abundances</w:t>
      </w:r>
      <w:r>
        <w:rPr>
          <w:rFonts w:ascii="Arial" w:hAnsi="Arial"/>
          <w:sz w:val="22"/>
          <w:szCs w:val="22"/>
        </w:rPr>
        <w:t xml:space="preserve"> caught during the 1998-2003 period</w:t>
      </w:r>
      <w:r w:rsidR="00376FA0">
        <w:rPr>
          <w:rFonts w:ascii="Arial" w:hAnsi="Arial"/>
          <w:sz w:val="22"/>
          <w:szCs w:val="22"/>
        </w:rPr>
        <w:t xml:space="preserve"> </w:t>
      </w:r>
      <w:r w:rsidR="005C65C9">
        <w:rPr>
          <w:rFonts w:ascii="Arial" w:hAnsi="Arial"/>
          <w:sz w:val="22"/>
          <w:szCs w:val="22"/>
        </w:rPr>
        <w:t>(see also ‘Victorian managed fisheries’ in Section 5.6.3)</w:t>
      </w:r>
      <w:r>
        <w:rPr>
          <w:rFonts w:ascii="Arial" w:hAnsi="Arial"/>
          <w:sz w:val="22"/>
          <w:szCs w:val="22"/>
        </w:rPr>
        <w:t xml:space="preserve"> </w:t>
      </w:r>
      <w:r w:rsidR="00376FA0">
        <w:rPr>
          <w:rFonts w:ascii="Arial" w:hAnsi="Arial"/>
          <w:sz w:val="22"/>
          <w:szCs w:val="22"/>
        </w:rPr>
        <w:t xml:space="preserve">and is thus </w:t>
      </w:r>
      <w:r w:rsidR="00F0019C">
        <w:rPr>
          <w:rFonts w:ascii="Arial" w:hAnsi="Arial"/>
          <w:sz w:val="22"/>
          <w:szCs w:val="22"/>
        </w:rPr>
        <w:t xml:space="preserve">considered </w:t>
      </w:r>
      <w:r>
        <w:rPr>
          <w:rFonts w:ascii="Arial" w:hAnsi="Arial"/>
          <w:sz w:val="22"/>
          <w:szCs w:val="22"/>
        </w:rPr>
        <w:t>a conservative approach</w:t>
      </w:r>
      <w:r w:rsidR="00F0019C">
        <w:rPr>
          <w:rFonts w:ascii="Arial" w:hAnsi="Arial"/>
          <w:sz w:val="22"/>
          <w:szCs w:val="22"/>
        </w:rPr>
        <w:t xml:space="preserve"> when considering impacts</w:t>
      </w:r>
      <w:r>
        <w:rPr>
          <w:rFonts w:ascii="Arial" w:hAnsi="Arial"/>
          <w:sz w:val="22"/>
          <w:szCs w:val="22"/>
        </w:rPr>
        <w:t>.</w:t>
      </w:r>
    </w:p>
    <w:p w14:paraId="25587CC2" w14:textId="77777777" w:rsidR="0057679E" w:rsidRPr="00701AEF" w:rsidRDefault="005C7335" w:rsidP="00F92BED">
      <w:pPr>
        <w:pStyle w:val="bodycopy"/>
        <w:rPr>
          <w:rFonts w:ascii="Arial" w:hAnsi="Arial"/>
          <w:b/>
          <w:sz w:val="22"/>
          <w:szCs w:val="22"/>
        </w:rPr>
      </w:pPr>
      <w:r w:rsidRPr="00701AEF">
        <w:rPr>
          <w:rFonts w:ascii="Arial" w:hAnsi="Arial"/>
          <w:b/>
          <w:sz w:val="22"/>
          <w:szCs w:val="22"/>
        </w:rPr>
        <w:t>Southern r</w:t>
      </w:r>
      <w:r w:rsidR="0057679E" w:rsidRPr="00701AEF">
        <w:rPr>
          <w:rFonts w:ascii="Arial" w:hAnsi="Arial"/>
          <w:b/>
          <w:sz w:val="22"/>
          <w:szCs w:val="22"/>
        </w:rPr>
        <w:t>ock lobster</w:t>
      </w:r>
    </w:p>
    <w:p w14:paraId="4EB6F219" w14:textId="523AFCD9" w:rsidR="0057679E" w:rsidRPr="00701AEF" w:rsidRDefault="0057679E" w:rsidP="0057679E">
      <w:pPr>
        <w:pStyle w:val="bodycopy"/>
        <w:rPr>
          <w:rFonts w:ascii="Arial" w:hAnsi="Arial"/>
          <w:sz w:val="22"/>
          <w:szCs w:val="22"/>
        </w:rPr>
      </w:pPr>
      <w:r w:rsidRPr="00701AEF">
        <w:rPr>
          <w:rFonts w:ascii="Arial" w:hAnsi="Arial"/>
          <w:sz w:val="22"/>
          <w:szCs w:val="22"/>
        </w:rPr>
        <w:t>The southern rock lobster (</w:t>
      </w:r>
      <w:r w:rsidRPr="00701AEF">
        <w:rPr>
          <w:rFonts w:ascii="Arial" w:hAnsi="Arial"/>
          <w:i/>
          <w:sz w:val="22"/>
          <w:szCs w:val="22"/>
        </w:rPr>
        <w:t>Jasus edwardsii</w:t>
      </w:r>
      <w:r w:rsidRPr="00701AEF">
        <w:rPr>
          <w:rFonts w:ascii="Arial" w:hAnsi="Arial"/>
          <w:sz w:val="22"/>
          <w:szCs w:val="22"/>
        </w:rPr>
        <w:t>) is found on coastal reefs from the south-west coast of Western Australia to the south coast of New South Wales, including Tasmania and the New Zealand coastline. Southern rock lobsters are found to depths of 150 m</w:t>
      </w:r>
      <w:r w:rsidR="00940BE5" w:rsidRPr="00701AEF">
        <w:rPr>
          <w:rFonts w:ascii="Arial" w:hAnsi="Arial"/>
          <w:sz w:val="22"/>
          <w:szCs w:val="22"/>
        </w:rPr>
        <w:t xml:space="preserve"> (</w:t>
      </w:r>
      <w:r w:rsidR="00700E68" w:rsidRPr="00701AEF">
        <w:rPr>
          <w:rFonts w:ascii="Arial" w:hAnsi="Arial"/>
          <w:sz w:val="22"/>
          <w:szCs w:val="22"/>
        </w:rPr>
        <w:t>DPI</w:t>
      </w:r>
      <w:r w:rsidR="00940BE5" w:rsidRPr="00701AEF">
        <w:rPr>
          <w:rFonts w:ascii="Arial" w:hAnsi="Arial"/>
          <w:sz w:val="22"/>
          <w:szCs w:val="22"/>
        </w:rPr>
        <w:t>, 2009)</w:t>
      </w:r>
      <w:r w:rsidRPr="00701AEF">
        <w:rPr>
          <w:rFonts w:ascii="Arial" w:hAnsi="Arial"/>
          <w:sz w:val="22"/>
          <w:szCs w:val="22"/>
        </w:rPr>
        <w:t>.</w:t>
      </w:r>
      <w:r w:rsidR="006420A2">
        <w:rPr>
          <w:rFonts w:ascii="Arial" w:hAnsi="Arial"/>
          <w:sz w:val="22"/>
          <w:szCs w:val="22"/>
        </w:rPr>
        <w:t xml:space="preserve"> In the Gippsland region, southern rock lobster habitat occurs as patchy, discontinuous low-profile reef running parallel to the coast.</w:t>
      </w:r>
    </w:p>
    <w:p w14:paraId="5B7277D5" w14:textId="77777777" w:rsidR="0057679E" w:rsidRPr="00701AEF" w:rsidRDefault="0057679E" w:rsidP="0057679E">
      <w:pPr>
        <w:pStyle w:val="bodycopy"/>
        <w:rPr>
          <w:rFonts w:ascii="Arial" w:hAnsi="Arial"/>
          <w:sz w:val="22"/>
          <w:szCs w:val="22"/>
        </w:rPr>
      </w:pPr>
      <w:r w:rsidRPr="00701AEF">
        <w:rPr>
          <w:rFonts w:ascii="Arial" w:hAnsi="Arial"/>
          <w:sz w:val="22"/>
          <w:szCs w:val="22"/>
        </w:rPr>
        <w:t>The life cycle of the rock lobster is complex. After mating in autumn, fertilised eggs are carried under the tail of the female for approximately three months before being released, typically between September and November. Once released, rock lobster larvae, or phyllosoma, live in the plankton and undergo eleven developmental stages over a period of one to two years while being carried by ocean currents. During metamorphosis, juvenile rock lobster shift from a planktonic to a benthic existence</w:t>
      </w:r>
      <w:r w:rsidR="00940BE5" w:rsidRPr="00701AEF">
        <w:rPr>
          <w:rFonts w:ascii="Arial" w:hAnsi="Arial"/>
          <w:sz w:val="22"/>
          <w:szCs w:val="22"/>
        </w:rPr>
        <w:t xml:space="preserve"> (</w:t>
      </w:r>
      <w:r w:rsidR="00700E68" w:rsidRPr="00701AEF">
        <w:rPr>
          <w:rFonts w:ascii="Arial" w:hAnsi="Arial"/>
          <w:sz w:val="22"/>
          <w:szCs w:val="22"/>
        </w:rPr>
        <w:t>DPI</w:t>
      </w:r>
      <w:r w:rsidR="00940BE5" w:rsidRPr="00701AEF">
        <w:rPr>
          <w:rFonts w:ascii="Arial" w:hAnsi="Arial"/>
          <w:sz w:val="22"/>
          <w:szCs w:val="22"/>
        </w:rPr>
        <w:t>, 2009)</w:t>
      </w:r>
      <w:r w:rsidRPr="00701AEF">
        <w:rPr>
          <w:rFonts w:ascii="Arial" w:hAnsi="Arial"/>
          <w:sz w:val="22"/>
          <w:szCs w:val="22"/>
        </w:rPr>
        <w:t>.</w:t>
      </w:r>
    </w:p>
    <w:p w14:paraId="516BFC8C" w14:textId="77777777" w:rsidR="0057679E" w:rsidRPr="00701AEF" w:rsidRDefault="0057679E" w:rsidP="0057679E">
      <w:pPr>
        <w:pStyle w:val="bodycopy"/>
        <w:rPr>
          <w:rFonts w:ascii="Arial" w:hAnsi="Arial"/>
          <w:sz w:val="22"/>
          <w:szCs w:val="22"/>
        </w:rPr>
      </w:pPr>
      <w:r w:rsidRPr="00701AEF">
        <w:rPr>
          <w:rFonts w:ascii="Arial" w:hAnsi="Arial"/>
          <w:sz w:val="22"/>
          <w:szCs w:val="22"/>
        </w:rPr>
        <w:t>Rock lobsters grow by moulting or shedding their exoskeleton. The frequency of the moulting cycle declines with age from five moults a year for newly settled juveniles to once a year for mature adults. Males grow faster and larger than females</w:t>
      </w:r>
      <w:r w:rsidR="00940BE5" w:rsidRPr="00701AEF">
        <w:rPr>
          <w:rFonts w:ascii="Arial" w:hAnsi="Arial"/>
          <w:sz w:val="22"/>
          <w:szCs w:val="22"/>
        </w:rPr>
        <w:t>,</w:t>
      </w:r>
      <w:r w:rsidRPr="00701AEF">
        <w:rPr>
          <w:rFonts w:ascii="Arial" w:hAnsi="Arial"/>
          <w:sz w:val="22"/>
          <w:szCs w:val="22"/>
        </w:rPr>
        <w:t xml:space="preserve"> reaching 160 m</w:t>
      </w:r>
      <w:r w:rsidR="00940BE5" w:rsidRPr="00701AEF">
        <w:rPr>
          <w:rFonts w:ascii="Arial" w:hAnsi="Arial"/>
          <w:sz w:val="22"/>
          <w:szCs w:val="22"/>
        </w:rPr>
        <w:t xml:space="preserve">m </w:t>
      </w:r>
      <w:r w:rsidRPr="00701AEF">
        <w:rPr>
          <w:rFonts w:ascii="Arial" w:hAnsi="Arial"/>
          <w:sz w:val="22"/>
          <w:szCs w:val="22"/>
        </w:rPr>
        <w:t xml:space="preserve">in carapace length after ten years. Females generally reach 120 </w:t>
      </w:r>
      <w:r w:rsidR="00940BE5" w:rsidRPr="00701AEF">
        <w:rPr>
          <w:rFonts w:ascii="Arial" w:hAnsi="Arial"/>
          <w:sz w:val="22"/>
          <w:szCs w:val="22"/>
        </w:rPr>
        <w:t>m</w:t>
      </w:r>
      <w:r w:rsidRPr="00701AEF">
        <w:rPr>
          <w:rFonts w:ascii="Arial" w:hAnsi="Arial"/>
          <w:sz w:val="22"/>
          <w:szCs w:val="22"/>
        </w:rPr>
        <w:t>m</w:t>
      </w:r>
      <w:r w:rsidR="00940BE5" w:rsidRPr="00701AEF">
        <w:rPr>
          <w:rFonts w:ascii="Arial" w:hAnsi="Arial"/>
          <w:sz w:val="22"/>
          <w:szCs w:val="22"/>
        </w:rPr>
        <w:t xml:space="preserve"> </w:t>
      </w:r>
      <w:r w:rsidRPr="00701AEF">
        <w:rPr>
          <w:rFonts w:ascii="Arial" w:hAnsi="Arial"/>
          <w:sz w:val="22"/>
          <w:szCs w:val="22"/>
        </w:rPr>
        <w:t xml:space="preserve">in the </w:t>
      </w:r>
      <w:r w:rsidRPr="00701AEF">
        <w:rPr>
          <w:rFonts w:ascii="Arial" w:hAnsi="Arial"/>
          <w:sz w:val="22"/>
          <w:szCs w:val="22"/>
        </w:rPr>
        <w:lastRenderedPageBreak/>
        <w:t>same period. Growth rates also vary spatially, with growth faster in the east than in the west</w:t>
      </w:r>
      <w:r w:rsidR="00940BE5" w:rsidRPr="00701AEF">
        <w:rPr>
          <w:rFonts w:ascii="Arial" w:hAnsi="Arial"/>
          <w:sz w:val="22"/>
          <w:szCs w:val="22"/>
        </w:rPr>
        <w:t xml:space="preserve"> (</w:t>
      </w:r>
      <w:r w:rsidR="00700E68" w:rsidRPr="00701AEF">
        <w:rPr>
          <w:rFonts w:ascii="Arial" w:hAnsi="Arial"/>
          <w:sz w:val="22"/>
          <w:szCs w:val="22"/>
        </w:rPr>
        <w:t>DPI</w:t>
      </w:r>
      <w:r w:rsidR="00940BE5" w:rsidRPr="00701AEF">
        <w:rPr>
          <w:rFonts w:ascii="Arial" w:hAnsi="Arial"/>
          <w:sz w:val="22"/>
          <w:szCs w:val="22"/>
        </w:rPr>
        <w:t>, 2009)</w:t>
      </w:r>
      <w:r w:rsidRPr="00701AEF">
        <w:rPr>
          <w:rFonts w:ascii="Arial" w:hAnsi="Arial"/>
          <w:sz w:val="22"/>
          <w:szCs w:val="22"/>
        </w:rPr>
        <w:t xml:space="preserve">. </w:t>
      </w:r>
    </w:p>
    <w:p w14:paraId="36C45C5A" w14:textId="4FD0F984" w:rsidR="0057679E" w:rsidRPr="0087662D" w:rsidRDefault="0057679E" w:rsidP="0057679E">
      <w:pPr>
        <w:pStyle w:val="bodycopy"/>
        <w:rPr>
          <w:rFonts w:ascii="Arial" w:hAnsi="Arial"/>
          <w:sz w:val="22"/>
          <w:szCs w:val="22"/>
        </w:rPr>
      </w:pPr>
      <w:r w:rsidRPr="00701AEF">
        <w:rPr>
          <w:rFonts w:ascii="Arial" w:hAnsi="Arial"/>
          <w:sz w:val="22"/>
          <w:szCs w:val="22"/>
        </w:rPr>
        <w:t>Adult rock lobster</w:t>
      </w:r>
      <w:r w:rsidR="009B122D">
        <w:rPr>
          <w:rFonts w:ascii="Arial" w:hAnsi="Arial"/>
          <w:sz w:val="22"/>
          <w:szCs w:val="22"/>
        </w:rPr>
        <w:t>s</w:t>
      </w:r>
      <w:r w:rsidRPr="00701AEF">
        <w:rPr>
          <w:rFonts w:ascii="Arial" w:hAnsi="Arial"/>
          <w:sz w:val="22"/>
          <w:szCs w:val="22"/>
        </w:rPr>
        <w:t xml:space="preserve"> are carnivorous and feed mostly at night on a variety of bottom dwelling invertebrates such as molluscs, crustaceans and echinoderms. Major predators include octopus and various large fish and sharks. In Victoria, the abundance of rock lobster decreases from west to east reflecting a decreasing area of suitable rocky reef habitat</w:t>
      </w:r>
      <w:r w:rsidR="00940BE5" w:rsidRPr="00701AEF">
        <w:rPr>
          <w:rFonts w:ascii="Arial" w:hAnsi="Arial"/>
          <w:sz w:val="22"/>
          <w:szCs w:val="22"/>
        </w:rPr>
        <w:t xml:space="preserve"> (</w:t>
      </w:r>
      <w:r w:rsidR="00700E68" w:rsidRPr="00701AEF">
        <w:rPr>
          <w:rFonts w:ascii="Arial" w:hAnsi="Arial"/>
          <w:sz w:val="22"/>
          <w:szCs w:val="22"/>
        </w:rPr>
        <w:t>DPI</w:t>
      </w:r>
      <w:r w:rsidR="00940BE5" w:rsidRPr="00701AEF">
        <w:rPr>
          <w:rFonts w:ascii="Arial" w:hAnsi="Arial"/>
          <w:sz w:val="22"/>
          <w:szCs w:val="22"/>
        </w:rPr>
        <w:t xml:space="preserve">, 2009). </w:t>
      </w:r>
      <w:r w:rsidR="00177D97" w:rsidRPr="00701AEF">
        <w:rPr>
          <w:rFonts w:ascii="Arial" w:hAnsi="Arial"/>
          <w:sz w:val="22"/>
          <w:szCs w:val="22"/>
        </w:rPr>
        <w:t>R</w:t>
      </w:r>
      <w:r w:rsidR="00940BE5" w:rsidRPr="00701AEF">
        <w:rPr>
          <w:rFonts w:ascii="Arial" w:hAnsi="Arial"/>
          <w:sz w:val="22"/>
          <w:szCs w:val="22"/>
        </w:rPr>
        <w:t xml:space="preserve">ocky reef </w:t>
      </w:r>
      <w:r w:rsidR="00177D97" w:rsidRPr="00701AEF">
        <w:rPr>
          <w:rFonts w:ascii="Arial" w:hAnsi="Arial"/>
          <w:sz w:val="22"/>
          <w:szCs w:val="22"/>
        </w:rPr>
        <w:t xml:space="preserve">is </w:t>
      </w:r>
      <w:r w:rsidR="00940BE5" w:rsidRPr="00701AEF">
        <w:rPr>
          <w:rFonts w:ascii="Arial" w:hAnsi="Arial"/>
          <w:sz w:val="22"/>
          <w:szCs w:val="22"/>
        </w:rPr>
        <w:t xml:space="preserve">present </w:t>
      </w:r>
      <w:r w:rsidR="00177D97" w:rsidRPr="00701AEF">
        <w:rPr>
          <w:rFonts w:ascii="Arial" w:hAnsi="Arial"/>
          <w:sz w:val="22"/>
          <w:szCs w:val="22"/>
        </w:rPr>
        <w:t xml:space="preserve">as scattered patches in and around the operational area in waters less than 20 m (see Section </w:t>
      </w:r>
      <w:r w:rsidR="00B26ACD">
        <w:rPr>
          <w:rFonts w:ascii="Arial" w:hAnsi="Arial"/>
          <w:sz w:val="22"/>
          <w:szCs w:val="22"/>
        </w:rPr>
        <w:t>5.1.2</w:t>
      </w:r>
      <w:r w:rsidR="00177D97" w:rsidRPr="00701AEF">
        <w:rPr>
          <w:rFonts w:ascii="Arial" w:hAnsi="Arial"/>
          <w:sz w:val="22"/>
          <w:szCs w:val="22"/>
        </w:rPr>
        <w:t xml:space="preserve">), so it is possible that southern rock lobsters </w:t>
      </w:r>
      <w:r w:rsidR="00701AEF">
        <w:rPr>
          <w:rFonts w:ascii="Arial" w:hAnsi="Arial"/>
          <w:sz w:val="22"/>
          <w:szCs w:val="22"/>
        </w:rPr>
        <w:t>occur</w:t>
      </w:r>
      <w:r w:rsidR="00177D97" w:rsidRPr="00701AEF">
        <w:rPr>
          <w:rFonts w:ascii="Arial" w:hAnsi="Arial"/>
          <w:sz w:val="22"/>
          <w:szCs w:val="22"/>
        </w:rPr>
        <w:t xml:space="preserve"> in this habitat </w:t>
      </w:r>
      <w:r w:rsidR="00940BE5" w:rsidRPr="00701AEF">
        <w:rPr>
          <w:rFonts w:ascii="Arial" w:hAnsi="Arial"/>
          <w:sz w:val="22"/>
          <w:szCs w:val="22"/>
        </w:rPr>
        <w:t xml:space="preserve">(see </w:t>
      </w:r>
      <w:r w:rsidR="00940BE5" w:rsidRPr="0087662D">
        <w:rPr>
          <w:rFonts w:ascii="Arial" w:hAnsi="Arial"/>
          <w:sz w:val="22"/>
          <w:szCs w:val="22"/>
        </w:rPr>
        <w:t>Figure 5.</w:t>
      </w:r>
      <w:r w:rsidR="00AC0402" w:rsidRPr="0087662D">
        <w:rPr>
          <w:rFonts w:ascii="Arial" w:hAnsi="Arial"/>
          <w:sz w:val="22"/>
          <w:szCs w:val="22"/>
        </w:rPr>
        <w:t>5</w:t>
      </w:r>
      <w:r w:rsidR="00940BE5" w:rsidRPr="0087662D">
        <w:rPr>
          <w:rFonts w:ascii="Arial" w:hAnsi="Arial"/>
          <w:sz w:val="22"/>
          <w:szCs w:val="22"/>
        </w:rPr>
        <w:t>).</w:t>
      </w:r>
    </w:p>
    <w:p w14:paraId="20D97BD1" w14:textId="21B5FA61" w:rsidR="00492845" w:rsidRPr="00701AEF" w:rsidRDefault="00492845" w:rsidP="00891DE1">
      <w:pPr>
        <w:pStyle w:val="bodycopy"/>
        <w:spacing w:after="240"/>
        <w:rPr>
          <w:rFonts w:ascii="Arial" w:hAnsi="Arial"/>
          <w:sz w:val="22"/>
          <w:szCs w:val="22"/>
        </w:rPr>
      </w:pPr>
      <w:r>
        <w:rPr>
          <w:rFonts w:ascii="Arial" w:hAnsi="Arial"/>
          <w:sz w:val="22"/>
          <w:szCs w:val="22"/>
        </w:rPr>
        <w:t xml:space="preserve">As noted earlier in this section, the CarbonNet-commissioned marine </w:t>
      </w:r>
      <w:r w:rsidR="009862E3">
        <w:rPr>
          <w:rFonts w:ascii="Arial" w:hAnsi="Arial"/>
          <w:sz w:val="22"/>
          <w:szCs w:val="22"/>
        </w:rPr>
        <w:t>habitat</w:t>
      </w:r>
      <w:r>
        <w:rPr>
          <w:rFonts w:ascii="Arial" w:hAnsi="Arial"/>
          <w:sz w:val="22"/>
          <w:szCs w:val="22"/>
        </w:rPr>
        <w:t xml:space="preserve"> survey did not observe any southern rock lobsters</w:t>
      </w:r>
      <w:r w:rsidR="009862E3">
        <w:rPr>
          <w:rFonts w:ascii="Arial" w:hAnsi="Arial"/>
          <w:sz w:val="22"/>
          <w:szCs w:val="22"/>
        </w:rPr>
        <w:t xml:space="preserve"> in any </w:t>
      </w:r>
      <w:r>
        <w:rPr>
          <w:rFonts w:ascii="Arial" w:hAnsi="Arial"/>
          <w:sz w:val="22"/>
          <w:szCs w:val="22"/>
        </w:rPr>
        <w:t>reef</w:t>
      </w:r>
      <w:r w:rsidR="009862E3">
        <w:rPr>
          <w:rFonts w:ascii="Arial" w:hAnsi="Arial"/>
          <w:sz w:val="22"/>
          <w:szCs w:val="22"/>
        </w:rPr>
        <w:t xml:space="preserve"> areas</w:t>
      </w:r>
      <w:r w:rsidR="009B122D">
        <w:rPr>
          <w:rFonts w:ascii="Arial" w:hAnsi="Arial"/>
          <w:sz w:val="22"/>
          <w:szCs w:val="22"/>
        </w:rPr>
        <w:t xml:space="preserve"> (noting that they are a cryptic species that takes shelter in rocky crevices </w:t>
      </w:r>
      <w:r w:rsidR="00AC0402">
        <w:rPr>
          <w:rFonts w:ascii="Arial" w:hAnsi="Arial"/>
          <w:sz w:val="22"/>
          <w:szCs w:val="22"/>
        </w:rPr>
        <w:t>when not feeding</w:t>
      </w:r>
      <w:r w:rsidR="006420A2">
        <w:rPr>
          <w:rFonts w:ascii="Arial" w:hAnsi="Arial"/>
          <w:sz w:val="22"/>
          <w:szCs w:val="22"/>
        </w:rPr>
        <w:t xml:space="preserve"> at night</w:t>
      </w:r>
      <w:r w:rsidR="009B122D">
        <w:rPr>
          <w:rFonts w:ascii="Arial" w:hAnsi="Arial"/>
          <w:sz w:val="22"/>
          <w:szCs w:val="22"/>
        </w:rPr>
        <w:t>)</w:t>
      </w:r>
      <w:r>
        <w:rPr>
          <w:rFonts w:ascii="Arial" w:hAnsi="Arial"/>
          <w:sz w:val="22"/>
          <w:szCs w:val="22"/>
        </w:rPr>
        <w:t>.</w:t>
      </w:r>
      <w:r w:rsidR="00251D5B">
        <w:rPr>
          <w:rFonts w:ascii="Arial" w:hAnsi="Arial"/>
          <w:sz w:val="22"/>
          <w:szCs w:val="22"/>
        </w:rPr>
        <w:t xml:space="preserve"> However, anecdotal information provided from the commercial fishing industry </w:t>
      </w:r>
      <w:r w:rsidR="009B0433">
        <w:rPr>
          <w:rFonts w:ascii="Arial" w:hAnsi="Arial"/>
          <w:sz w:val="22"/>
          <w:szCs w:val="22"/>
        </w:rPr>
        <w:t xml:space="preserve">and the VFA </w:t>
      </w:r>
      <w:r w:rsidR="00251D5B">
        <w:rPr>
          <w:rFonts w:ascii="Arial" w:hAnsi="Arial"/>
          <w:sz w:val="22"/>
          <w:szCs w:val="22"/>
        </w:rPr>
        <w:t xml:space="preserve">indicates that </w:t>
      </w:r>
      <w:r w:rsidR="009B0433">
        <w:rPr>
          <w:rFonts w:ascii="Arial" w:hAnsi="Arial"/>
          <w:sz w:val="22"/>
          <w:szCs w:val="22"/>
        </w:rPr>
        <w:t xml:space="preserve">a limited amount of </w:t>
      </w:r>
      <w:r w:rsidR="00251D5B">
        <w:rPr>
          <w:rFonts w:ascii="Arial" w:hAnsi="Arial"/>
          <w:sz w:val="22"/>
          <w:szCs w:val="22"/>
        </w:rPr>
        <w:t xml:space="preserve">rock lobsters are caught from the patch reef </w:t>
      </w:r>
      <w:r w:rsidR="00116670">
        <w:rPr>
          <w:rFonts w:ascii="Arial" w:hAnsi="Arial"/>
          <w:sz w:val="22"/>
          <w:szCs w:val="22"/>
        </w:rPr>
        <w:t xml:space="preserve">(timing and frequency are unknown) </w:t>
      </w:r>
      <w:r w:rsidR="009B0433">
        <w:rPr>
          <w:rFonts w:ascii="Arial" w:hAnsi="Arial"/>
          <w:sz w:val="22"/>
          <w:szCs w:val="22"/>
        </w:rPr>
        <w:t xml:space="preserve">towards </w:t>
      </w:r>
      <w:r w:rsidR="00251D5B">
        <w:rPr>
          <w:rFonts w:ascii="Arial" w:hAnsi="Arial"/>
          <w:sz w:val="22"/>
          <w:szCs w:val="22"/>
        </w:rPr>
        <w:t xml:space="preserve">the northeast of the proposed acquisition area.  </w:t>
      </w:r>
    </w:p>
    <w:p w14:paraId="7A01A2C1" w14:textId="77777777" w:rsidR="00F92BED" w:rsidRPr="00D864D1" w:rsidRDefault="00F92BED" w:rsidP="00657154">
      <w:pPr>
        <w:pStyle w:val="Heading3"/>
      </w:pPr>
      <w:bookmarkStart w:id="247" w:name="_Toc474222009"/>
      <w:bookmarkStart w:id="248" w:name="_Toc375214559"/>
      <w:r w:rsidRPr="00D864D1">
        <w:t>Flora</w:t>
      </w:r>
      <w:bookmarkEnd w:id="247"/>
      <w:bookmarkEnd w:id="248"/>
    </w:p>
    <w:p w14:paraId="2BCDCB56" w14:textId="77777777" w:rsidR="00F92BED" w:rsidRPr="00492845" w:rsidRDefault="00F92BED" w:rsidP="00F92BED">
      <w:pPr>
        <w:pStyle w:val="bodycopy"/>
        <w:rPr>
          <w:rFonts w:ascii="Arial" w:hAnsi="Arial"/>
          <w:sz w:val="22"/>
          <w:szCs w:val="22"/>
        </w:rPr>
      </w:pPr>
      <w:r w:rsidRPr="00492845">
        <w:rPr>
          <w:rFonts w:ascii="Arial" w:hAnsi="Arial"/>
          <w:sz w:val="22"/>
          <w:szCs w:val="22"/>
        </w:rPr>
        <w:t xml:space="preserve">Literature searches, combined with OSRA mapping, indicate that marine flora, such as seagrasses and kelp, are </w:t>
      </w:r>
      <w:r w:rsidR="00661BD2" w:rsidRPr="00492845">
        <w:rPr>
          <w:rFonts w:ascii="Arial" w:hAnsi="Arial"/>
          <w:sz w:val="22"/>
          <w:szCs w:val="22"/>
        </w:rPr>
        <w:t xml:space="preserve">generally </w:t>
      </w:r>
      <w:r w:rsidRPr="00492845">
        <w:rPr>
          <w:rFonts w:ascii="Arial" w:hAnsi="Arial"/>
          <w:sz w:val="22"/>
          <w:szCs w:val="22"/>
        </w:rPr>
        <w:t xml:space="preserve">not </w:t>
      </w:r>
      <w:r w:rsidR="00661BD2" w:rsidRPr="00492845">
        <w:rPr>
          <w:rFonts w:ascii="Arial" w:hAnsi="Arial"/>
          <w:sz w:val="22"/>
          <w:szCs w:val="22"/>
        </w:rPr>
        <w:t xml:space="preserve">abundant </w:t>
      </w:r>
      <w:r w:rsidRPr="00492845">
        <w:rPr>
          <w:rFonts w:ascii="Arial" w:hAnsi="Arial"/>
          <w:sz w:val="22"/>
          <w:szCs w:val="22"/>
        </w:rPr>
        <w:t xml:space="preserve">in the </w:t>
      </w:r>
      <w:r w:rsidR="00555958" w:rsidRPr="00492845">
        <w:rPr>
          <w:rFonts w:ascii="Arial" w:hAnsi="Arial"/>
          <w:sz w:val="22"/>
          <w:szCs w:val="22"/>
        </w:rPr>
        <w:t xml:space="preserve">extensive areas of subtidal sand flats in </w:t>
      </w:r>
      <w:r w:rsidR="009B12C6" w:rsidRPr="00492845">
        <w:rPr>
          <w:rFonts w:ascii="Arial" w:hAnsi="Arial"/>
          <w:sz w:val="22"/>
          <w:szCs w:val="22"/>
        </w:rPr>
        <w:t xml:space="preserve">the </w:t>
      </w:r>
      <w:r w:rsidRPr="00492845">
        <w:rPr>
          <w:rFonts w:ascii="Arial" w:hAnsi="Arial"/>
          <w:sz w:val="22"/>
          <w:szCs w:val="22"/>
        </w:rPr>
        <w:t xml:space="preserve">nearshore </w:t>
      </w:r>
      <w:r w:rsidR="00555958" w:rsidRPr="00492845">
        <w:rPr>
          <w:rFonts w:ascii="Arial" w:hAnsi="Arial"/>
          <w:sz w:val="22"/>
          <w:szCs w:val="22"/>
        </w:rPr>
        <w:t>waters</w:t>
      </w:r>
      <w:r w:rsidR="00661BD2" w:rsidRPr="00492845">
        <w:rPr>
          <w:rFonts w:ascii="Arial" w:hAnsi="Arial"/>
          <w:sz w:val="22"/>
          <w:szCs w:val="22"/>
        </w:rPr>
        <w:t xml:space="preserve"> of the EMBA</w:t>
      </w:r>
      <w:r w:rsidRPr="00492845">
        <w:rPr>
          <w:rFonts w:ascii="Arial" w:hAnsi="Arial"/>
          <w:sz w:val="22"/>
          <w:szCs w:val="22"/>
        </w:rPr>
        <w:t xml:space="preserve">. This </w:t>
      </w:r>
      <w:r w:rsidR="00661BD2" w:rsidRPr="00492845">
        <w:rPr>
          <w:rFonts w:ascii="Arial" w:hAnsi="Arial"/>
          <w:sz w:val="22"/>
          <w:szCs w:val="22"/>
        </w:rPr>
        <w:t xml:space="preserve">is likely to be </w:t>
      </w:r>
      <w:r w:rsidRPr="00492845">
        <w:rPr>
          <w:rFonts w:ascii="Arial" w:hAnsi="Arial"/>
          <w:sz w:val="22"/>
          <w:szCs w:val="22"/>
        </w:rPr>
        <w:t xml:space="preserve">due to the </w:t>
      </w:r>
      <w:r w:rsidR="00661BD2" w:rsidRPr="00492845">
        <w:rPr>
          <w:rFonts w:ascii="Arial" w:hAnsi="Arial"/>
          <w:sz w:val="22"/>
          <w:szCs w:val="22"/>
        </w:rPr>
        <w:t xml:space="preserve">high energy nature of the Gippsland coastline and the </w:t>
      </w:r>
      <w:r w:rsidRPr="00492845">
        <w:rPr>
          <w:rFonts w:ascii="Arial" w:hAnsi="Arial"/>
          <w:sz w:val="22"/>
          <w:szCs w:val="22"/>
        </w:rPr>
        <w:t>mobile nature of sands</w:t>
      </w:r>
      <w:r w:rsidR="00661BD2" w:rsidRPr="00492845">
        <w:rPr>
          <w:rFonts w:ascii="Arial" w:hAnsi="Arial"/>
          <w:sz w:val="22"/>
          <w:szCs w:val="22"/>
        </w:rPr>
        <w:t xml:space="preserve">, which prevents many species being able to anchor themselves. </w:t>
      </w:r>
    </w:p>
    <w:p w14:paraId="10FE7A96" w14:textId="77777777" w:rsidR="003B6839" w:rsidRPr="00492845" w:rsidRDefault="003B6839" w:rsidP="003B6839">
      <w:pPr>
        <w:pStyle w:val="bodycopy"/>
        <w:rPr>
          <w:rFonts w:ascii="Arial" w:hAnsi="Arial"/>
          <w:sz w:val="22"/>
          <w:szCs w:val="22"/>
        </w:rPr>
      </w:pPr>
      <w:r w:rsidRPr="00492845">
        <w:rPr>
          <w:rFonts w:ascii="Arial" w:hAnsi="Arial"/>
          <w:sz w:val="22"/>
          <w:szCs w:val="22"/>
        </w:rPr>
        <w:t xml:space="preserve">A search of the VBA database indicates that 50 marine flora species (macroalgae, excluding seagrass species) have been recorded in the EMBA, with none of these species listed as threatened under the FFG Act. </w:t>
      </w:r>
    </w:p>
    <w:p w14:paraId="7389DB77" w14:textId="747FD294" w:rsidR="00492845" w:rsidRDefault="00555958" w:rsidP="00F92BED">
      <w:pPr>
        <w:pStyle w:val="bodycopy"/>
        <w:rPr>
          <w:rFonts w:ascii="Arial" w:hAnsi="Arial"/>
          <w:sz w:val="22"/>
          <w:szCs w:val="22"/>
        </w:rPr>
      </w:pPr>
      <w:r w:rsidRPr="00492845">
        <w:rPr>
          <w:rFonts w:ascii="Arial" w:hAnsi="Arial"/>
          <w:sz w:val="22"/>
          <w:szCs w:val="22"/>
        </w:rPr>
        <w:t xml:space="preserve">Areas </w:t>
      </w:r>
      <w:r w:rsidR="00661BD2" w:rsidRPr="00492845">
        <w:rPr>
          <w:rFonts w:ascii="Arial" w:hAnsi="Arial"/>
          <w:sz w:val="22"/>
          <w:szCs w:val="22"/>
        </w:rPr>
        <w:t xml:space="preserve">where marine flora does occur, typically on hard substrates such as rocky reef, are described in </w:t>
      </w:r>
      <w:r w:rsidR="009B12C6" w:rsidRPr="00492845">
        <w:rPr>
          <w:rFonts w:ascii="Arial" w:hAnsi="Arial"/>
          <w:sz w:val="22"/>
          <w:szCs w:val="22"/>
        </w:rPr>
        <w:t xml:space="preserve">Section </w:t>
      </w:r>
      <w:r w:rsidR="00B26ACD">
        <w:rPr>
          <w:rFonts w:ascii="Arial" w:hAnsi="Arial"/>
          <w:sz w:val="22"/>
          <w:szCs w:val="22"/>
        </w:rPr>
        <w:t>5.2.5</w:t>
      </w:r>
      <w:r w:rsidR="009B12C6" w:rsidRPr="00492845">
        <w:rPr>
          <w:rFonts w:ascii="Arial" w:hAnsi="Arial"/>
          <w:sz w:val="22"/>
          <w:szCs w:val="22"/>
        </w:rPr>
        <w:t xml:space="preserve"> (TECs) and </w:t>
      </w:r>
      <w:r w:rsidR="00661BD2" w:rsidRPr="00492845">
        <w:rPr>
          <w:rFonts w:ascii="Arial" w:hAnsi="Arial"/>
          <w:sz w:val="22"/>
          <w:szCs w:val="22"/>
        </w:rPr>
        <w:t xml:space="preserve">Section </w:t>
      </w:r>
      <w:r w:rsidR="00B26ACD">
        <w:rPr>
          <w:rFonts w:ascii="Arial" w:hAnsi="Arial"/>
          <w:sz w:val="22"/>
          <w:szCs w:val="22"/>
        </w:rPr>
        <w:t>5.2.9</w:t>
      </w:r>
      <w:r w:rsidR="00661BD2" w:rsidRPr="00492845">
        <w:rPr>
          <w:rFonts w:ascii="Arial" w:hAnsi="Arial"/>
          <w:sz w:val="22"/>
          <w:szCs w:val="22"/>
        </w:rPr>
        <w:t xml:space="preserve"> (Victorian marine protected areas)</w:t>
      </w:r>
      <w:r w:rsidR="009B12C6" w:rsidRPr="00492845">
        <w:rPr>
          <w:rFonts w:ascii="Arial" w:hAnsi="Arial"/>
          <w:sz w:val="22"/>
          <w:szCs w:val="22"/>
        </w:rPr>
        <w:t>.</w:t>
      </w:r>
      <w:r w:rsidR="00661BD2" w:rsidRPr="00492845">
        <w:rPr>
          <w:rFonts w:ascii="Arial" w:hAnsi="Arial"/>
          <w:sz w:val="22"/>
          <w:szCs w:val="22"/>
        </w:rPr>
        <w:t xml:space="preserve"> </w:t>
      </w:r>
      <w:r w:rsidR="000B3E1D" w:rsidRPr="00492845">
        <w:rPr>
          <w:rFonts w:ascii="Arial" w:hAnsi="Arial"/>
          <w:sz w:val="22"/>
          <w:szCs w:val="22"/>
        </w:rPr>
        <w:t xml:space="preserve">Barton et al (2012) report that in the Ninety Mile Beach </w:t>
      </w:r>
      <w:r w:rsidR="00492845">
        <w:rPr>
          <w:rFonts w:ascii="Arial" w:hAnsi="Arial"/>
          <w:sz w:val="22"/>
          <w:szCs w:val="22"/>
        </w:rPr>
        <w:t>MNP</w:t>
      </w:r>
      <w:r w:rsidR="000B3E1D" w:rsidRPr="00492845">
        <w:rPr>
          <w:rFonts w:ascii="Arial" w:hAnsi="Arial"/>
          <w:sz w:val="22"/>
          <w:szCs w:val="22"/>
        </w:rPr>
        <w:t xml:space="preserve"> (14.5 km west of the proposed acquisition area), reefs have sparse floral communities of small red algae. Given the park’s proximity, this may be expected to be representative of flora present on rock</w:t>
      </w:r>
      <w:r w:rsidR="0068533A" w:rsidRPr="00492845">
        <w:rPr>
          <w:rFonts w:ascii="Arial" w:hAnsi="Arial"/>
          <w:sz w:val="22"/>
          <w:szCs w:val="22"/>
        </w:rPr>
        <w:t>y</w:t>
      </w:r>
      <w:r w:rsidR="000B3E1D" w:rsidRPr="00492845">
        <w:rPr>
          <w:rFonts w:ascii="Arial" w:hAnsi="Arial"/>
          <w:sz w:val="22"/>
          <w:szCs w:val="22"/>
        </w:rPr>
        <w:t xml:space="preserve"> reefs in the proposed acquisition area.</w:t>
      </w:r>
    </w:p>
    <w:p w14:paraId="0DB185E4" w14:textId="36EE8357" w:rsidR="00555958" w:rsidRPr="00492845" w:rsidRDefault="00492845" w:rsidP="00F92BED">
      <w:pPr>
        <w:pStyle w:val="bodycopy"/>
        <w:rPr>
          <w:rFonts w:ascii="Arial" w:hAnsi="Arial"/>
          <w:sz w:val="22"/>
          <w:szCs w:val="22"/>
        </w:rPr>
      </w:pPr>
      <w:r>
        <w:rPr>
          <w:rFonts w:ascii="Arial" w:hAnsi="Arial"/>
          <w:sz w:val="22"/>
          <w:szCs w:val="22"/>
        </w:rPr>
        <w:t xml:space="preserve">As noted earlier in this section, the CarbonNet-commissioned marine </w:t>
      </w:r>
      <w:r w:rsidR="00405D2E">
        <w:rPr>
          <w:rFonts w:ascii="Arial" w:hAnsi="Arial"/>
          <w:sz w:val="22"/>
          <w:szCs w:val="22"/>
        </w:rPr>
        <w:t>habitat</w:t>
      </w:r>
      <w:r>
        <w:rPr>
          <w:rFonts w:ascii="Arial" w:hAnsi="Arial"/>
          <w:sz w:val="22"/>
          <w:szCs w:val="22"/>
        </w:rPr>
        <w:t xml:space="preserve"> </w:t>
      </w:r>
      <w:r w:rsidR="0087662D">
        <w:rPr>
          <w:rFonts w:ascii="Arial" w:hAnsi="Arial"/>
          <w:sz w:val="22"/>
          <w:szCs w:val="22"/>
        </w:rPr>
        <w:t>assessment</w:t>
      </w:r>
      <w:r>
        <w:rPr>
          <w:rFonts w:ascii="Arial" w:hAnsi="Arial"/>
          <w:sz w:val="22"/>
          <w:szCs w:val="22"/>
        </w:rPr>
        <w:t xml:space="preserve"> observed some i</w:t>
      </w:r>
      <w:r w:rsidRPr="00AB42B0">
        <w:rPr>
          <w:rFonts w:ascii="Arial" w:hAnsi="Arial"/>
          <w:sz w:val="22"/>
          <w:szCs w:val="22"/>
        </w:rPr>
        <w:t xml:space="preserve">solated and sparse seagrass beds </w:t>
      </w:r>
      <w:r>
        <w:rPr>
          <w:rFonts w:ascii="Arial" w:hAnsi="Arial"/>
          <w:sz w:val="22"/>
          <w:szCs w:val="22"/>
        </w:rPr>
        <w:t xml:space="preserve">in the operational area </w:t>
      </w:r>
      <w:r w:rsidRPr="00AB42B0">
        <w:rPr>
          <w:rFonts w:ascii="Arial" w:hAnsi="Arial"/>
          <w:sz w:val="22"/>
          <w:szCs w:val="22"/>
        </w:rPr>
        <w:t>(sampling sites 4, 13, 16, 44 and 60)</w:t>
      </w:r>
      <w:r>
        <w:rPr>
          <w:rFonts w:ascii="Arial" w:hAnsi="Arial"/>
          <w:sz w:val="22"/>
          <w:szCs w:val="22"/>
        </w:rPr>
        <w:t xml:space="preserve"> (see </w:t>
      </w:r>
      <w:r w:rsidRPr="008E22DD">
        <w:rPr>
          <w:rFonts w:ascii="Arial" w:hAnsi="Arial"/>
          <w:sz w:val="22"/>
          <w:szCs w:val="22"/>
        </w:rPr>
        <w:t>Photo 5.</w:t>
      </w:r>
      <w:r w:rsidR="00405D2E" w:rsidRPr="008E22DD">
        <w:rPr>
          <w:rFonts w:ascii="Arial" w:hAnsi="Arial"/>
          <w:sz w:val="22"/>
          <w:szCs w:val="22"/>
        </w:rPr>
        <w:t>5</w:t>
      </w:r>
      <w:r w:rsidRPr="008E22DD">
        <w:rPr>
          <w:rFonts w:ascii="Arial" w:hAnsi="Arial"/>
          <w:sz w:val="22"/>
          <w:szCs w:val="22"/>
        </w:rPr>
        <w:t>).</w:t>
      </w:r>
      <w:r w:rsidRPr="0087662D">
        <w:rPr>
          <w:rFonts w:ascii="Arial" w:hAnsi="Arial"/>
          <w:sz w:val="22"/>
          <w:szCs w:val="22"/>
        </w:rPr>
        <w:t xml:space="preserve"> </w:t>
      </w:r>
      <w:r w:rsidR="00397273" w:rsidRPr="0087662D">
        <w:rPr>
          <w:rFonts w:ascii="Arial" w:hAnsi="Arial"/>
          <w:sz w:val="22"/>
          <w:szCs w:val="22"/>
        </w:rPr>
        <w:t>Large</w:t>
      </w:r>
      <w:r w:rsidR="00397273">
        <w:rPr>
          <w:rFonts w:ascii="Arial" w:hAnsi="Arial"/>
          <w:sz w:val="22"/>
          <w:szCs w:val="22"/>
        </w:rPr>
        <w:t xml:space="preserve"> brown algae (</w:t>
      </w:r>
      <w:r w:rsidR="00397273" w:rsidRPr="00397273">
        <w:rPr>
          <w:rFonts w:ascii="Arial" w:hAnsi="Arial"/>
          <w:i/>
          <w:sz w:val="22"/>
          <w:szCs w:val="22"/>
        </w:rPr>
        <w:t>Ecklonia radiata</w:t>
      </w:r>
      <w:r w:rsidR="00397273">
        <w:rPr>
          <w:rFonts w:ascii="Arial" w:hAnsi="Arial"/>
          <w:sz w:val="22"/>
          <w:szCs w:val="22"/>
        </w:rPr>
        <w:t xml:space="preserve"> and </w:t>
      </w:r>
      <w:r w:rsidR="00397273" w:rsidRPr="00397273">
        <w:rPr>
          <w:rFonts w:ascii="Arial" w:hAnsi="Arial"/>
          <w:i/>
          <w:sz w:val="22"/>
          <w:szCs w:val="22"/>
        </w:rPr>
        <w:t>Sargassum</w:t>
      </w:r>
      <w:r w:rsidR="00397273">
        <w:rPr>
          <w:rFonts w:ascii="Arial" w:hAnsi="Arial"/>
          <w:sz w:val="22"/>
          <w:szCs w:val="22"/>
        </w:rPr>
        <w:t>) was noted at site 67 (inshore reef area).</w:t>
      </w:r>
    </w:p>
    <w:p w14:paraId="7B6ECBF4" w14:textId="77777777" w:rsidR="00F92BED" w:rsidRPr="00D864D1" w:rsidRDefault="00F92BED" w:rsidP="00657154">
      <w:pPr>
        <w:pStyle w:val="Heading3"/>
      </w:pPr>
      <w:bookmarkStart w:id="249" w:name="_Toc474222010"/>
      <w:bookmarkStart w:id="250" w:name="_Ref475955725"/>
      <w:bookmarkStart w:id="251" w:name="_Ref478632808"/>
      <w:bookmarkStart w:id="252" w:name="_Toc375214560"/>
      <w:r w:rsidRPr="00D864D1">
        <w:t>Plankton</w:t>
      </w:r>
      <w:bookmarkEnd w:id="249"/>
      <w:bookmarkEnd w:id="250"/>
      <w:bookmarkEnd w:id="251"/>
      <w:bookmarkEnd w:id="252"/>
    </w:p>
    <w:p w14:paraId="64933B76" w14:textId="77777777" w:rsidR="00F92BED" w:rsidRPr="00492845" w:rsidRDefault="00F92BED" w:rsidP="00F92BED">
      <w:pPr>
        <w:pStyle w:val="bodycopy"/>
        <w:rPr>
          <w:rFonts w:ascii="Arial" w:hAnsi="Arial"/>
          <w:sz w:val="22"/>
          <w:szCs w:val="22"/>
        </w:rPr>
      </w:pPr>
      <w:r w:rsidRPr="00492845">
        <w:rPr>
          <w:rFonts w:ascii="Arial" w:hAnsi="Arial"/>
          <w:sz w:val="22"/>
          <w:szCs w:val="22"/>
        </w:rPr>
        <w:t>Plankton is a key component in oceanic food chains, and comprises two elements; phytoplankton and zooplankton, as described herein.</w:t>
      </w:r>
    </w:p>
    <w:p w14:paraId="7F5D0663" w14:textId="5C7944B5" w:rsidR="00F92BED" w:rsidRPr="00492845" w:rsidRDefault="00F92BED" w:rsidP="00F92BED">
      <w:pPr>
        <w:pStyle w:val="bodycopy"/>
        <w:rPr>
          <w:rFonts w:ascii="Arial" w:hAnsi="Arial"/>
          <w:sz w:val="22"/>
          <w:szCs w:val="22"/>
        </w:rPr>
      </w:pPr>
      <w:r w:rsidRPr="00492845">
        <w:rPr>
          <w:rFonts w:ascii="Arial" w:hAnsi="Arial"/>
          <w:sz w:val="22"/>
          <w:szCs w:val="22"/>
        </w:rPr>
        <w:t xml:space="preserve">Phytoplankton (photosynthetic microalgae) drift with the currents, though some species have the ability to migrate short distances through the water column using ciliary hairs. Phytoplankton biomass is greatest at the extremities of Bass Strait (particularly in the northeast) where water is shallow and nutrient levels are high.  </w:t>
      </w:r>
    </w:p>
    <w:p w14:paraId="2ECB1314" w14:textId="334DB16A" w:rsidR="00F92BED" w:rsidRPr="00492845" w:rsidRDefault="00F92BED" w:rsidP="00F92BED">
      <w:pPr>
        <w:pStyle w:val="bodycopy"/>
        <w:rPr>
          <w:rFonts w:ascii="Arial" w:hAnsi="Arial"/>
          <w:sz w:val="22"/>
          <w:szCs w:val="22"/>
        </w:rPr>
      </w:pPr>
      <w:r w:rsidRPr="00492845">
        <w:rPr>
          <w:rFonts w:ascii="Arial" w:hAnsi="Arial"/>
          <w:sz w:val="22"/>
          <w:szCs w:val="22"/>
        </w:rPr>
        <w:t>Zooplankton is the faunal component of plankton, comprised of small crustaceans (such as krill) and fish larvae that feed on zooplankton. Zooplankton include species that drift with the currents and also those that are motile. More than 170 species of zooplankton have been recorded in eastern and central Bass Strait, with copepods making up approximately half of the species encountered (Watson &amp; Chaloupka, 1982). Although a high diversity of zooplanton has been recorded, Kimmerer and McKinnon (1984) found that seven dominant species make up 80% of individuals.</w:t>
      </w:r>
    </w:p>
    <w:p w14:paraId="3FA7BDB5" w14:textId="77777777" w:rsidR="00F92BED" w:rsidRPr="00D54428" w:rsidRDefault="00F92BED" w:rsidP="00657154">
      <w:pPr>
        <w:pStyle w:val="Heading3"/>
      </w:pPr>
      <w:bookmarkStart w:id="253" w:name="_Toc474222011"/>
      <w:bookmarkStart w:id="254" w:name="_Ref476052464"/>
      <w:bookmarkStart w:id="255" w:name="_Ref478633351"/>
      <w:bookmarkStart w:id="256" w:name="_Ref353716563"/>
      <w:bookmarkStart w:id="257" w:name="_Toc375214561"/>
      <w:r>
        <w:lastRenderedPageBreak/>
        <w:t>Fish</w:t>
      </w:r>
      <w:bookmarkEnd w:id="253"/>
      <w:bookmarkEnd w:id="254"/>
      <w:bookmarkEnd w:id="255"/>
      <w:bookmarkEnd w:id="256"/>
      <w:bookmarkEnd w:id="257"/>
    </w:p>
    <w:p w14:paraId="2125A19F" w14:textId="77777777" w:rsidR="00F92BED" w:rsidRPr="00492845" w:rsidRDefault="00F92BED" w:rsidP="00F92BED">
      <w:pPr>
        <w:pStyle w:val="bodycopy"/>
        <w:rPr>
          <w:rFonts w:ascii="Arial" w:hAnsi="Arial"/>
          <w:sz w:val="22"/>
          <w:szCs w:val="22"/>
        </w:rPr>
      </w:pPr>
      <w:r w:rsidRPr="00492845">
        <w:rPr>
          <w:rFonts w:ascii="Arial" w:hAnsi="Arial"/>
          <w:sz w:val="22"/>
          <w:szCs w:val="22"/>
        </w:rPr>
        <w:t xml:space="preserve">It is estimated that there are over 500 species of fish found in the waters of Bass Strait, including a number of species of importance to commercial and recreational fisheries (LCC, 1993). </w:t>
      </w:r>
      <w:r w:rsidR="00D44DBF" w:rsidRPr="00492845">
        <w:rPr>
          <w:rFonts w:ascii="Arial" w:hAnsi="Arial"/>
          <w:sz w:val="22"/>
          <w:szCs w:val="22"/>
        </w:rPr>
        <w:t>Fish species commercially fished in and around the proposed survey are listed in Section 5.</w:t>
      </w:r>
      <w:r w:rsidR="00BF60E0" w:rsidRPr="00492845">
        <w:rPr>
          <w:rFonts w:ascii="Arial" w:hAnsi="Arial"/>
          <w:sz w:val="22"/>
          <w:szCs w:val="22"/>
        </w:rPr>
        <w:t>6.2</w:t>
      </w:r>
      <w:r w:rsidR="00D44DBF" w:rsidRPr="00492845">
        <w:rPr>
          <w:rFonts w:ascii="Arial" w:hAnsi="Arial"/>
          <w:sz w:val="22"/>
          <w:szCs w:val="22"/>
        </w:rPr>
        <w:t>.</w:t>
      </w:r>
      <w:r w:rsidR="006C1B47" w:rsidRPr="00492845">
        <w:rPr>
          <w:rFonts w:ascii="Arial" w:hAnsi="Arial"/>
          <w:sz w:val="22"/>
          <w:szCs w:val="22"/>
        </w:rPr>
        <w:t xml:space="preserve"> Other fish species known to occur within protected areas of the EMBA are listed in Section 5.2.8 (Victorian marine protected areas). </w:t>
      </w:r>
    </w:p>
    <w:p w14:paraId="3BB61493" w14:textId="238DA40A" w:rsidR="00F92BED" w:rsidRPr="00492845" w:rsidRDefault="00F92BED" w:rsidP="00F92BED">
      <w:pPr>
        <w:pStyle w:val="bodycopy"/>
        <w:rPr>
          <w:rFonts w:ascii="Arial" w:hAnsi="Arial"/>
          <w:sz w:val="22"/>
          <w:szCs w:val="22"/>
        </w:rPr>
      </w:pPr>
      <w:r w:rsidRPr="00492845">
        <w:rPr>
          <w:rFonts w:ascii="Arial" w:hAnsi="Arial"/>
          <w:sz w:val="22"/>
          <w:szCs w:val="22"/>
        </w:rPr>
        <w:t>There are 3</w:t>
      </w:r>
      <w:r w:rsidR="00D44DBF" w:rsidRPr="00492845">
        <w:rPr>
          <w:rFonts w:ascii="Arial" w:hAnsi="Arial"/>
          <w:sz w:val="22"/>
          <w:szCs w:val="22"/>
        </w:rPr>
        <w:t>9</w:t>
      </w:r>
      <w:r w:rsidRPr="00492845">
        <w:rPr>
          <w:rFonts w:ascii="Arial" w:hAnsi="Arial"/>
          <w:sz w:val="22"/>
          <w:szCs w:val="22"/>
        </w:rPr>
        <w:t xml:space="preserve"> fish species (</w:t>
      </w:r>
      <w:r w:rsidR="00D44DBF" w:rsidRPr="00492845">
        <w:rPr>
          <w:rFonts w:ascii="Arial" w:hAnsi="Arial"/>
          <w:sz w:val="22"/>
          <w:szCs w:val="22"/>
        </w:rPr>
        <w:t>31</w:t>
      </w:r>
      <w:r w:rsidRPr="00492845">
        <w:rPr>
          <w:rFonts w:ascii="Arial" w:hAnsi="Arial"/>
          <w:sz w:val="22"/>
          <w:szCs w:val="22"/>
        </w:rPr>
        <w:t xml:space="preserve"> of which are seahorses and pipefish) recorded </w:t>
      </w:r>
      <w:r w:rsidR="003B6839" w:rsidRPr="00492845">
        <w:rPr>
          <w:rFonts w:ascii="Arial" w:hAnsi="Arial"/>
          <w:sz w:val="22"/>
          <w:szCs w:val="22"/>
        </w:rPr>
        <w:t>in</w:t>
      </w:r>
      <w:r w:rsidRPr="00492845">
        <w:rPr>
          <w:rFonts w:ascii="Arial" w:hAnsi="Arial"/>
          <w:sz w:val="22"/>
          <w:szCs w:val="22"/>
        </w:rPr>
        <w:t xml:space="preserve"> the EPBC Act </w:t>
      </w:r>
      <w:r w:rsidR="003B6839" w:rsidRPr="00492845">
        <w:rPr>
          <w:rFonts w:ascii="Arial" w:hAnsi="Arial"/>
          <w:sz w:val="22"/>
          <w:szCs w:val="22"/>
        </w:rPr>
        <w:t xml:space="preserve">PMST </w:t>
      </w:r>
      <w:r w:rsidRPr="00492845">
        <w:rPr>
          <w:rFonts w:ascii="Arial" w:hAnsi="Arial"/>
          <w:sz w:val="22"/>
          <w:szCs w:val="22"/>
        </w:rPr>
        <w:t xml:space="preserve">as potentially occurring in the </w:t>
      </w:r>
      <w:r w:rsidR="00BF60E0" w:rsidRPr="008E22DD">
        <w:rPr>
          <w:rFonts w:ascii="Arial" w:hAnsi="Arial"/>
          <w:sz w:val="22"/>
          <w:szCs w:val="22"/>
        </w:rPr>
        <w:t>E</w:t>
      </w:r>
      <w:r w:rsidRPr="008E22DD">
        <w:rPr>
          <w:rFonts w:ascii="Arial" w:hAnsi="Arial"/>
          <w:sz w:val="22"/>
          <w:szCs w:val="22"/>
        </w:rPr>
        <w:t xml:space="preserve">MBA (Table </w:t>
      </w:r>
      <w:r w:rsidR="006C1B47" w:rsidRPr="008E22DD">
        <w:rPr>
          <w:rFonts w:ascii="Arial" w:hAnsi="Arial"/>
          <w:sz w:val="22"/>
          <w:szCs w:val="22"/>
        </w:rPr>
        <w:t>5</w:t>
      </w:r>
      <w:r w:rsidRPr="008E22DD">
        <w:rPr>
          <w:rFonts w:ascii="Arial" w:hAnsi="Arial"/>
          <w:sz w:val="22"/>
          <w:szCs w:val="22"/>
        </w:rPr>
        <w:t>.</w:t>
      </w:r>
      <w:r w:rsidR="00101658" w:rsidRPr="008E22DD">
        <w:rPr>
          <w:rFonts w:ascii="Arial" w:hAnsi="Arial"/>
          <w:sz w:val="22"/>
          <w:szCs w:val="22"/>
        </w:rPr>
        <w:t>7</w:t>
      </w:r>
      <w:r w:rsidRPr="008E22DD">
        <w:rPr>
          <w:rFonts w:ascii="Arial" w:hAnsi="Arial"/>
          <w:sz w:val="22"/>
          <w:szCs w:val="22"/>
        </w:rPr>
        <w:t>).</w:t>
      </w:r>
      <w:r w:rsidRPr="00492845">
        <w:rPr>
          <w:rFonts w:ascii="Arial" w:hAnsi="Arial"/>
          <w:sz w:val="22"/>
          <w:szCs w:val="22"/>
        </w:rPr>
        <w:t xml:space="preserve"> The threatened and migratory species are described in this section. </w:t>
      </w:r>
    </w:p>
    <w:p w14:paraId="287370E9" w14:textId="61A1526C" w:rsidR="00D96C4A" w:rsidRDefault="003B6839" w:rsidP="00397273">
      <w:pPr>
        <w:pStyle w:val="bodycopy"/>
        <w:spacing w:after="240"/>
        <w:rPr>
          <w:rFonts w:ascii="Arial" w:hAnsi="Arial"/>
          <w:sz w:val="22"/>
          <w:szCs w:val="22"/>
        </w:rPr>
      </w:pPr>
      <w:r w:rsidRPr="00492845">
        <w:rPr>
          <w:rFonts w:ascii="Arial" w:hAnsi="Arial"/>
          <w:sz w:val="22"/>
          <w:szCs w:val="22"/>
        </w:rPr>
        <w:t>A search of the VBA database indicates that 68 fish species have been recorded in the EMBA, with none of these species listed as threatened under the FFG Act (one species listed as threatened is a freshwater species)</w:t>
      </w:r>
      <w:r w:rsidR="003D5C44">
        <w:rPr>
          <w:rFonts w:ascii="Arial" w:hAnsi="Arial"/>
          <w:sz w:val="22"/>
          <w:szCs w:val="22"/>
        </w:rPr>
        <w:t xml:space="preserve"> </w:t>
      </w:r>
      <w:r w:rsidR="00B149AF">
        <w:rPr>
          <w:rFonts w:ascii="Arial" w:hAnsi="Arial"/>
          <w:sz w:val="22"/>
          <w:szCs w:val="22"/>
        </w:rPr>
        <w:t>or under the EPBC Act</w:t>
      </w:r>
      <w:r w:rsidRPr="00492845">
        <w:rPr>
          <w:rFonts w:ascii="Arial" w:hAnsi="Arial"/>
          <w:sz w:val="22"/>
          <w:szCs w:val="22"/>
        </w:rPr>
        <w:t xml:space="preserve">. </w:t>
      </w:r>
      <w:r w:rsidR="007C4470">
        <w:rPr>
          <w:rFonts w:ascii="Arial" w:hAnsi="Arial"/>
          <w:sz w:val="22"/>
          <w:szCs w:val="22"/>
        </w:rPr>
        <w:t>These species include perches (</w:t>
      </w:r>
      <w:r w:rsidR="007C4470" w:rsidRPr="00891DE1">
        <w:rPr>
          <w:rFonts w:ascii="Arial" w:hAnsi="Arial"/>
          <w:i/>
          <w:sz w:val="22"/>
          <w:szCs w:val="22"/>
        </w:rPr>
        <w:t>Caesioperca</w:t>
      </w:r>
      <w:r w:rsidR="007C4470">
        <w:rPr>
          <w:rFonts w:ascii="Arial" w:hAnsi="Arial"/>
          <w:sz w:val="22"/>
          <w:szCs w:val="22"/>
        </w:rPr>
        <w:t xml:space="preserve"> spp.), leatherjacket (</w:t>
      </w:r>
      <w:r w:rsidR="007C4470" w:rsidRPr="00891DE1">
        <w:rPr>
          <w:rFonts w:ascii="Arial" w:hAnsi="Arial"/>
          <w:i/>
          <w:sz w:val="22"/>
          <w:szCs w:val="22"/>
        </w:rPr>
        <w:t>Meuschenia</w:t>
      </w:r>
      <w:r w:rsidR="007C4470">
        <w:rPr>
          <w:rFonts w:ascii="Arial" w:hAnsi="Arial"/>
          <w:sz w:val="22"/>
          <w:szCs w:val="22"/>
        </w:rPr>
        <w:t xml:space="preserve"> spp.), wrasse (</w:t>
      </w:r>
      <w:r w:rsidR="007C4470" w:rsidRPr="00891DE1">
        <w:rPr>
          <w:rFonts w:ascii="Arial" w:hAnsi="Arial"/>
          <w:i/>
          <w:sz w:val="22"/>
          <w:szCs w:val="22"/>
        </w:rPr>
        <w:t>Notolabrus</w:t>
      </w:r>
      <w:r w:rsidR="007C4470">
        <w:rPr>
          <w:rFonts w:ascii="Arial" w:hAnsi="Arial"/>
          <w:sz w:val="22"/>
          <w:szCs w:val="22"/>
        </w:rPr>
        <w:t xml:space="preserve"> spp. </w:t>
      </w:r>
      <w:r w:rsidR="00AB2DB4">
        <w:rPr>
          <w:rFonts w:ascii="Arial" w:hAnsi="Arial"/>
          <w:sz w:val="22"/>
          <w:szCs w:val="22"/>
        </w:rPr>
        <w:t>a</w:t>
      </w:r>
      <w:r w:rsidR="007C4470">
        <w:rPr>
          <w:rFonts w:ascii="Arial" w:hAnsi="Arial"/>
          <w:sz w:val="22"/>
          <w:szCs w:val="22"/>
        </w:rPr>
        <w:t xml:space="preserve">nd </w:t>
      </w:r>
      <w:r w:rsidR="007C4470" w:rsidRPr="00891DE1">
        <w:rPr>
          <w:rFonts w:ascii="Arial" w:hAnsi="Arial"/>
          <w:i/>
          <w:sz w:val="22"/>
          <w:szCs w:val="22"/>
        </w:rPr>
        <w:t>Pseudo</w:t>
      </w:r>
      <w:r w:rsidR="00AB2DB4" w:rsidRPr="00891DE1">
        <w:rPr>
          <w:rFonts w:ascii="Arial" w:hAnsi="Arial"/>
          <w:i/>
          <w:sz w:val="22"/>
          <w:szCs w:val="22"/>
        </w:rPr>
        <w:t>labrus</w:t>
      </w:r>
      <w:r w:rsidR="00AB2DB4">
        <w:rPr>
          <w:rFonts w:ascii="Arial" w:hAnsi="Arial"/>
          <w:sz w:val="22"/>
          <w:szCs w:val="22"/>
        </w:rPr>
        <w:t xml:space="preserve"> spp.</w:t>
      </w:r>
      <w:r w:rsidR="007C4470">
        <w:rPr>
          <w:rFonts w:ascii="Arial" w:hAnsi="Arial"/>
          <w:sz w:val="22"/>
          <w:szCs w:val="22"/>
        </w:rPr>
        <w:t xml:space="preserve">), </w:t>
      </w:r>
      <w:r w:rsidR="00AB2DB4">
        <w:rPr>
          <w:rFonts w:ascii="Arial" w:hAnsi="Arial"/>
          <w:sz w:val="22"/>
          <w:szCs w:val="22"/>
        </w:rPr>
        <w:t>sweeps (</w:t>
      </w:r>
      <w:r w:rsidR="00AB2DB4" w:rsidRPr="00891DE1">
        <w:rPr>
          <w:rFonts w:ascii="Arial" w:hAnsi="Arial"/>
          <w:i/>
          <w:sz w:val="22"/>
          <w:szCs w:val="22"/>
        </w:rPr>
        <w:t>Scorpis</w:t>
      </w:r>
      <w:r w:rsidR="00AB2DB4">
        <w:rPr>
          <w:rFonts w:ascii="Arial" w:hAnsi="Arial"/>
          <w:sz w:val="22"/>
          <w:szCs w:val="22"/>
        </w:rPr>
        <w:t xml:space="preserve"> spp.) and stingarees (</w:t>
      </w:r>
      <w:r w:rsidR="00AB2DB4" w:rsidRPr="00891DE1">
        <w:rPr>
          <w:rFonts w:ascii="Arial" w:hAnsi="Arial"/>
          <w:i/>
          <w:sz w:val="22"/>
          <w:szCs w:val="22"/>
        </w:rPr>
        <w:t>Urolophus</w:t>
      </w:r>
      <w:r w:rsidR="00AB2DB4">
        <w:rPr>
          <w:rFonts w:ascii="Arial" w:hAnsi="Arial"/>
          <w:sz w:val="22"/>
          <w:szCs w:val="22"/>
        </w:rPr>
        <w:t xml:space="preserve"> spp.) amoung others.</w:t>
      </w:r>
    </w:p>
    <w:p w14:paraId="5B5815EE" w14:textId="0BDADF8A" w:rsidR="00F92BED" w:rsidRPr="0087662D" w:rsidRDefault="00F92BED" w:rsidP="00F92BED">
      <w:pPr>
        <w:pStyle w:val="TableHeader"/>
        <w:spacing w:after="120"/>
        <w:jc w:val="center"/>
        <w:rPr>
          <w:rFonts w:cs="Arial"/>
          <w:sz w:val="20"/>
          <w:szCs w:val="20"/>
        </w:rPr>
      </w:pPr>
      <w:r w:rsidRPr="0087662D">
        <w:rPr>
          <w:rFonts w:cs="Arial"/>
          <w:sz w:val="20"/>
          <w:szCs w:val="20"/>
        </w:rPr>
        <w:t xml:space="preserve">Table </w:t>
      </w:r>
      <w:r w:rsidR="006C1B47" w:rsidRPr="0087662D">
        <w:rPr>
          <w:rFonts w:cs="Arial"/>
          <w:sz w:val="20"/>
          <w:szCs w:val="20"/>
        </w:rPr>
        <w:t>5.</w:t>
      </w:r>
      <w:r w:rsidR="00101658">
        <w:rPr>
          <w:rFonts w:cs="Arial"/>
          <w:sz w:val="20"/>
          <w:szCs w:val="20"/>
        </w:rPr>
        <w:t>7</w:t>
      </w:r>
      <w:r w:rsidR="006C1B47" w:rsidRPr="0087662D">
        <w:rPr>
          <w:rFonts w:cs="Arial"/>
          <w:sz w:val="20"/>
          <w:szCs w:val="20"/>
        </w:rPr>
        <w:t>.</w:t>
      </w:r>
      <w:r w:rsidRPr="0087662D">
        <w:rPr>
          <w:rFonts w:cs="Arial"/>
          <w:sz w:val="20"/>
          <w:szCs w:val="20"/>
        </w:rPr>
        <w:tab/>
        <w:t xml:space="preserve">EPBC Act-listed fish that may occur in the </w:t>
      </w:r>
      <w:r w:rsidR="00BF60E0" w:rsidRPr="0087662D">
        <w:rPr>
          <w:rFonts w:cs="Arial"/>
          <w:sz w:val="20"/>
          <w:szCs w:val="20"/>
        </w:rPr>
        <w:t>E</w:t>
      </w:r>
      <w:r w:rsidRPr="0087662D">
        <w:rPr>
          <w:rFonts w:cs="Arial"/>
          <w:sz w:val="20"/>
          <w:szCs w:val="20"/>
        </w:rPr>
        <w:t>MBA</w:t>
      </w:r>
    </w:p>
    <w:tbl>
      <w:tblPr>
        <w:tblW w:w="52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
        <w:gridCol w:w="1775"/>
        <w:gridCol w:w="1513"/>
        <w:gridCol w:w="1268"/>
        <w:gridCol w:w="1126"/>
        <w:gridCol w:w="985"/>
        <w:gridCol w:w="1035"/>
        <w:gridCol w:w="883"/>
        <w:gridCol w:w="62"/>
      </w:tblGrid>
      <w:tr w:rsidR="00F92BED" w:rsidRPr="0067172A" w14:paraId="2A6796B7" w14:textId="77777777" w:rsidTr="00956CA4">
        <w:trPr>
          <w:gridBefore w:val="1"/>
          <w:trHeight w:val="345"/>
          <w:tblHeader/>
          <w:jc w:val="center"/>
        </w:trPr>
        <w:tc>
          <w:tcPr>
            <w:tcW w:w="995" w:type="pct"/>
            <w:vMerge w:val="restart"/>
            <w:tcBorders>
              <w:top w:val="single" w:sz="4" w:space="0" w:color="auto"/>
              <w:left w:val="single" w:sz="4" w:space="0" w:color="auto"/>
              <w:right w:val="single" w:sz="4" w:space="0" w:color="auto"/>
            </w:tcBorders>
            <w:shd w:val="clear" w:color="auto" w:fill="064EA8"/>
            <w:vAlign w:val="center"/>
          </w:tcPr>
          <w:p w14:paraId="5D4E44FE" w14:textId="77777777" w:rsidR="00F92BED" w:rsidRPr="0067172A" w:rsidRDefault="00F92BED" w:rsidP="00455423">
            <w:pPr>
              <w:spacing w:before="60" w:after="60"/>
              <w:ind w:left="93" w:hanging="93"/>
              <w:rPr>
                <w:rFonts w:cs="Arial"/>
                <w:color w:val="FFFFFF" w:themeColor="background1"/>
                <w:sz w:val="18"/>
                <w:szCs w:val="18"/>
              </w:rPr>
            </w:pPr>
            <w:r w:rsidRPr="0067172A">
              <w:rPr>
                <w:rFonts w:cs="Arial"/>
                <w:color w:val="FFFFFF" w:themeColor="background1"/>
                <w:sz w:val="18"/>
                <w:szCs w:val="18"/>
              </w:rPr>
              <w:t>Scientific name</w:t>
            </w:r>
          </w:p>
        </w:tc>
        <w:tc>
          <w:tcPr>
            <w:tcW w:w="849" w:type="pct"/>
            <w:vMerge w:val="restart"/>
            <w:tcBorders>
              <w:top w:val="single" w:sz="4" w:space="0" w:color="auto"/>
              <w:left w:val="single" w:sz="4" w:space="0" w:color="auto"/>
              <w:right w:val="single" w:sz="4" w:space="0" w:color="auto"/>
            </w:tcBorders>
            <w:shd w:val="clear" w:color="auto" w:fill="064EA8"/>
            <w:vAlign w:val="center"/>
          </w:tcPr>
          <w:p w14:paraId="1EB9B5F1" w14:textId="77777777" w:rsidR="00F92BED" w:rsidRPr="0067172A" w:rsidRDefault="00F92BED" w:rsidP="00F92BED">
            <w:pPr>
              <w:spacing w:before="60" w:after="60"/>
              <w:ind w:left="93"/>
              <w:jc w:val="center"/>
              <w:rPr>
                <w:rFonts w:cs="Arial"/>
                <w:color w:val="FFFFFF" w:themeColor="background1"/>
                <w:sz w:val="18"/>
                <w:szCs w:val="18"/>
              </w:rPr>
            </w:pPr>
            <w:r w:rsidRPr="0067172A">
              <w:rPr>
                <w:rFonts w:cs="Arial"/>
                <w:color w:val="FFFFFF" w:themeColor="background1"/>
                <w:sz w:val="18"/>
                <w:szCs w:val="18"/>
              </w:rPr>
              <w:t>Common name</w:t>
            </w:r>
          </w:p>
        </w:tc>
        <w:tc>
          <w:tcPr>
            <w:tcW w:w="1899" w:type="pct"/>
            <w:gridSpan w:val="3"/>
            <w:tcBorders>
              <w:top w:val="single" w:sz="4" w:space="0" w:color="auto"/>
              <w:left w:val="single" w:sz="4" w:space="0" w:color="auto"/>
              <w:bottom w:val="single" w:sz="4" w:space="0" w:color="auto"/>
              <w:right w:val="single" w:sz="4" w:space="0" w:color="auto"/>
            </w:tcBorders>
            <w:shd w:val="clear" w:color="auto" w:fill="064EA8"/>
            <w:vAlign w:val="center"/>
          </w:tcPr>
          <w:p w14:paraId="5585A715" w14:textId="77777777" w:rsidR="00F92BED" w:rsidRPr="0067172A" w:rsidRDefault="00F92BED" w:rsidP="00F92BED">
            <w:pPr>
              <w:pStyle w:val="TableText"/>
              <w:ind w:left="93"/>
              <w:jc w:val="center"/>
              <w:rPr>
                <w:rFonts w:cs="Arial"/>
                <w:color w:val="FFFFFF" w:themeColor="background1"/>
                <w:sz w:val="18"/>
                <w:szCs w:val="18"/>
              </w:rPr>
            </w:pPr>
            <w:r w:rsidRPr="0067172A">
              <w:rPr>
                <w:rFonts w:cs="Arial"/>
                <w:color w:val="FFFFFF" w:themeColor="background1"/>
                <w:sz w:val="18"/>
                <w:szCs w:val="18"/>
              </w:rPr>
              <w:t>EPBC Act status</w:t>
            </w:r>
          </w:p>
        </w:tc>
        <w:tc>
          <w:tcPr>
            <w:tcW w:w="582" w:type="pct"/>
            <w:vMerge w:val="restart"/>
            <w:tcBorders>
              <w:top w:val="single" w:sz="4" w:space="0" w:color="auto"/>
              <w:left w:val="single" w:sz="4" w:space="0" w:color="auto"/>
              <w:right w:val="single" w:sz="4" w:space="0" w:color="auto"/>
            </w:tcBorders>
            <w:shd w:val="clear" w:color="auto" w:fill="064EA8"/>
            <w:vAlign w:val="center"/>
          </w:tcPr>
          <w:p w14:paraId="0367A3E1" w14:textId="77777777" w:rsidR="00F92BED" w:rsidRPr="0067172A" w:rsidRDefault="00F92BED" w:rsidP="00BF60E0">
            <w:pPr>
              <w:pStyle w:val="TableText"/>
              <w:ind w:left="93"/>
              <w:jc w:val="center"/>
              <w:rPr>
                <w:rFonts w:cs="Arial"/>
                <w:color w:val="FFFFFF" w:themeColor="background1"/>
                <w:sz w:val="18"/>
                <w:szCs w:val="18"/>
              </w:rPr>
            </w:pPr>
            <w:r w:rsidRPr="0067172A">
              <w:rPr>
                <w:rFonts w:cs="Arial"/>
                <w:color w:val="FFFFFF" w:themeColor="background1"/>
                <w:sz w:val="18"/>
                <w:szCs w:val="18"/>
              </w:rPr>
              <w:t xml:space="preserve">BIA within the </w:t>
            </w:r>
            <w:r w:rsidR="00BF60E0" w:rsidRPr="0067172A">
              <w:rPr>
                <w:rFonts w:cs="Arial"/>
                <w:color w:val="FFFFFF" w:themeColor="background1"/>
                <w:sz w:val="18"/>
                <w:szCs w:val="18"/>
              </w:rPr>
              <w:t>E</w:t>
            </w:r>
            <w:r w:rsidRPr="0067172A">
              <w:rPr>
                <w:rFonts w:cs="Arial"/>
                <w:color w:val="FFFFFF" w:themeColor="background1"/>
                <w:sz w:val="18"/>
                <w:szCs w:val="18"/>
              </w:rPr>
              <w:t>MBA?</w:t>
            </w:r>
          </w:p>
        </w:tc>
        <w:tc>
          <w:tcPr>
            <w:tcW w:w="675" w:type="pct"/>
            <w:gridSpan w:val="2"/>
            <w:vMerge w:val="restart"/>
            <w:tcBorders>
              <w:top w:val="single" w:sz="4" w:space="0" w:color="auto"/>
              <w:left w:val="single" w:sz="4" w:space="0" w:color="auto"/>
              <w:right w:val="single" w:sz="4" w:space="0" w:color="auto"/>
            </w:tcBorders>
            <w:shd w:val="clear" w:color="auto" w:fill="064EA8"/>
            <w:vAlign w:val="center"/>
          </w:tcPr>
          <w:p w14:paraId="3A069AA6" w14:textId="77777777" w:rsidR="00F92BED" w:rsidRPr="0067172A" w:rsidRDefault="00F92BED" w:rsidP="00F92BED">
            <w:pPr>
              <w:pStyle w:val="TableText"/>
              <w:jc w:val="center"/>
              <w:rPr>
                <w:rFonts w:cs="Arial"/>
                <w:color w:val="FFFFFF" w:themeColor="background1"/>
                <w:sz w:val="18"/>
                <w:szCs w:val="18"/>
              </w:rPr>
            </w:pPr>
            <w:r w:rsidRPr="0067172A">
              <w:rPr>
                <w:rFonts w:cs="Arial"/>
                <w:color w:val="FFFFFF" w:themeColor="background1"/>
                <w:sz w:val="18"/>
                <w:szCs w:val="18"/>
              </w:rPr>
              <w:t>Recovery Plan in place?</w:t>
            </w:r>
          </w:p>
        </w:tc>
      </w:tr>
      <w:tr w:rsidR="00F92BED" w:rsidRPr="0067172A" w14:paraId="2E9185AB" w14:textId="77777777" w:rsidTr="00956CA4">
        <w:trPr>
          <w:gridBefore w:val="1"/>
          <w:trHeight w:val="345"/>
          <w:tblHeader/>
          <w:jc w:val="center"/>
        </w:trPr>
        <w:tc>
          <w:tcPr>
            <w:tcW w:w="995" w:type="pct"/>
            <w:vMerge/>
            <w:tcBorders>
              <w:left w:val="single" w:sz="4" w:space="0" w:color="auto"/>
              <w:bottom w:val="single" w:sz="4" w:space="0" w:color="auto"/>
              <w:right w:val="single" w:sz="4" w:space="0" w:color="auto"/>
            </w:tcBorders>
            <w:shd w:val="clear" w:color="auto" w:fill="8064A2"/>
          </w:tcPr>
          <w:p w14:paraId="630DBE19" w14:textId="77777777" w:rsidR="00F92BED" w:rsidRPr="0067172A" w:rsidRDefault="00F92BED" w:rsidP="00F92BED">
            <w:pPr>
              <w:spacing w:before="60" w:after="60"/>
              <w:ind w:hanging="627"/>
              <w:rPr>
                <w:rFonts w:cs="Arial"/>
                <w:color w:val="FFFFFF"/>
                <w:sz w:val="18"/>
                <w:szCs w:val="18"/>
              </w:rPr>
            </w:pPr>
          </w:p>
        </w:tc>
        <w:tc>
          <w:tcPr>
            <w:tcW w:w="849" w:type="pct"/>
            <w:vMerge/>
            <w:tcBorders>
              <w:left w:val="single" w:sz="4" w:space="0" w:color="auto"/>
              <w:bottom w:val="single" w:sz="4" w:space="0" w:color="auto"/>
              <w:right w:val="single" w:sz="4" w:space="0" w:color="auto"/>
            </w:tcBorders>
            <w:shd w:val="clear" w:color="auto" w:fill="8064A2"/>
          </w:tcPr>
          <w:p w14:paraId="2142BA32" w14:textId="77777777" w:rsidR="00F92BED" w:rsidRPr="0067172A" w:rsidRDefault="00F92BED" w:rsidP="00F92BED">
            <w:pPr>
              <w:spacing w:before="60" w:after="60"/>
              <w:ind w:hanging="674"/>
              <w:rPr>
                <w:rFonts w:cs="Arial"/>
                <w:color w:val="FFFFFF"/>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064EA8"/>
          </w:tcPr>
          <w:p w14:paraId="17EDE656" w14:textId="77777777" w:rsidR="00F92BED" w:rsidRPr="0067172A" w:rsidRDefault="00F92BED" w:rsidP="00F92BED">
            <w:pPr>
              <w:spacing w:before="60" w:after="60"/>
              <w:ind w:left="7" w:hanging="7"/>
              <w:jc w:val="center"/>
              <w:rPr>
                <w:rFonts w:cs="Arial"/>
                <w:color w:val="FFFFFF" w:themeColor="background1"/>
                <w:sz w:val="18"/>
                <w:szCs w:val="18"/>
              </w:rPr>
            </w:pPr>
            <w:r w:rsidRPr="0067172A">
              <w:rPr>
                <w:rFonts w:cs="Arial"/>
                <w:color w:val="FFFFFF" w:themeColor="background1"/>
                <w:sz w:val="18"/>
                <w:szCs w:val="18"/>
              </w:rPr>
              <w:t>Listed threatened species</w:t>
            </w:r>
          </w:p>
        </w:tc>
        <w:tc>
          <w:tcPr>
            <w:tcW w:w="633" w:type="pct"/>
            <w:tcBorders>
              <w:top w:val="single" w:sz="4" w:space="0" w:color="auto"/>
              <w:left w:val="single" w:sz="4" w:space="0" w:color="auto"/>
              <w:bottom w:val="single" w:sz="4" w:space="0" w:color="auto"/>
              <w:right w:val="single" w:sz="4" w:space="0" w:color="auto"/>
            </w:tcBorders>
            <w:shd w:val="clear" w:color="auto" w:fill="064EA8"/>
          </w:tcPr>
          <w:p w14:paraId="1CAA2060" w14:textId="77777777" w:rsidR="00F92BED" w:rsidRPr="0067172A" w:rsidRDefault="00F92BED" w:rsidP="00F92BED">
            <w:pPr>
              <w:pStyle w:val="TableText"/>
              <w:ind w:left="-108"/>
              <w:jc w:val="center"/>
              <w:rPr>
                <w:rFonts w:cs="Arial"/>
                <w:color w:val="FFFFFF" w:themeColor="background1"/>
                <w:sz w:val="18"/>
                <w:szCs w:val="18"/>
              </w:rPr>
            </w:pPr>
            <w:r w:rsidRPr="0067172A">
              <w:rPr>
                <w:rFonts w:cs="Arial"/>
                <w:color w:val="FFFFFF" w:themeColor="background1"/>
                <w:sz w:val="18"/>
                <w:szCs w:val="18"/>
              </w:rPr>
              <w:t>Listed migratory species</w:t>
            </w:r>
          </w:p>
        </w:tc>
        <w:tc>
          <w:tcPr>
            <w:tcW w:w="554" w:type="pct"/>
            <w:tcBorders>
              <w:top w:val="single" w:sz="4" w:space="0" w:color="auto"/>
              <w:left w:val="single" w:sz="4" w:space="0" w:color="auto"/>
              <w:bottom w:val="single" w:sz="4" w:space="0" w:color="auto"/>
              <w:right w:val="single" w:sz="4" w:space="0" w:color="auto"/>
            </w:tcBorders>
            <w:shd w:val="clear" w:color="auto" w:fill="064EA8"/>
          </w:tcPr>
          <w:p w14:paraId="45A8C004" w14:textId="77777777" w:rsidR="00F92BED" w:rsidRPr="0067172A" w:rsidRDefault="00F92BED" w:rsidP="00F92BED">
            <w:pPr>
              <w:pStyle w:val="TableText"/>
              <w:ind w:left="93"/>
              <w:jc w:val="center"/>
              <w:rPr>
                <w:rFonts w:cs="Arial"/>
                <w:color w:val="FFFFFF" w:themeColor="background1"/>
                <w:sz w:val="18"/>
                <w:szCs w:val="18"/>
              </w:rPr>
            </w:pPr>
            <w:r w:rsidRPr="0067172A">
              <w:rPr>
                <w:rFonts w:cs="Arial"/>
                <w:color w:val="FFFFFF" w:themeColor="background1"/>
                <w:sz w:val="18"/>
                <w:szCs w:val="18"/>
              </w:rPr>
              <w:t>Listed marine species</w:t>
            </w:r>
          </w:p>
        </w:tc>
        <w:tc>
          <w:tcPr>
            <w:tcW w:w="582" w:type="pct"/>
            <w:vMerge/>
            <w:tcBorders>
              <w:left w:val="single" w:sz="4" w:space="0" w:color="auto"/>
              <w:bottom w:val="single" w:sz="4" w:space="0" w:color="auto"/>
              <w:right w:val="single" w:sz="4" w:space="0" w:color="auto"/>
            </w:tcBorders>
            <w:shd w:val="clear" w:color="auto" w:fill="8064A2"/>
          </w:tcPr>
          <w:p w14:paraId="75DB3BAE" w14:textId="77777777" w:rsidR="00F92BED" w:rsidRPr="0067172A" w:rsidRDefault="00F92BED" w:rsidP="00F92BED">
            <w:pPr>
              <w:pStyle w:val="TableText"/>
              <w:jc w:val="center"/>
              <w:rPr>
                <w:rFonts w:cs="Arial"/>
                <w:color w:val="FFFFFF"/>
                <w:sz w:val="18"/>
                <w:szCs w:val="18"/>
              </w:rPr>
            </w:pPr>
          </w:p>
        </w:tc>
        <w:tc>
          <w:tcPr>
            <w:tcW w:w="675" w:type="pct"/>
            <w:gridSpan w:val="2"/>
            <w:vMerge/>
            <w:tcBorders>
              <w:left w:val="single" w:sz="4" w:space="0" w:color="auto"/>
              <w:bottom w:val="single" w:sz="4" w:space="0" w:color="auto"/>
              <w:right w:val="single" w:sz="4" w:space="0" w:color="auto"/>
            </w:tcBorders>
            <w:shd w:val="clear" w:color="auto" w:fill="8064A2"/>
          </w:tcPr>
          <w:p w14:paraId="768D876E" w14:textId="77777777" w:rsidR="00F92BED" w:rsidRPr="0067172A" w:rsidRDefault="00F92BED" w:rsidP="00F92BED">
            <w:pPr>
              <w:pStyle w:val="TableText"/>
              <w:jc w:val="center"/>
              <w:rPr>
                <w:rFonts w:cs="Arial"/>
                <w:color w:val="FFFFFF"/>
                <w:sz w:val="18"/>
                <w:szCs w:val="18"/>
              </w:rPr>
            </w:pPr>
          </w:p>
        </w:tc>
      </w:tr>
      <w:tr w:rsidR="00F92BED" w:rsidRPr="0067172A" w14:paraId="63BA48E8" w14:textId="77777777" w:rsidTr="00514376">
        <w:trPr>
          <w:gridBefore w:val="1"/>
          <w:trHeight w:val="345"/>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cPr>
          <w:p w14:paraId="1FC1AA98" w14:textId="77777777" w:rsidR="00F92BED" w:rsidRPr="0067172A" w:rsidRDefault="00F92BED" w:rsidP="00F92BED">
            <w:pPr>
              <w:pStyle w:val="TableText"/>
              <w:rPr>
                <w:rFonts w:cs="Arial"/>
                <w:sz w:val="18"/>
                <w:szCs w:val="18"/>
              </w:rPr>
            </w:pPr>
            <w:r w:rsidRPr="0067172A">
              <w:rPr>
                <w:rFonts w:cs="Arial"/>
                <w:sz w:val="18"/>
                <w:szCs w:val="18"/>
              </w:rPr>
              <w:t xml:space="preserve">Freshwater </w:t>
            </w:r>
          </w:p>
        </w:tc>
      </w:tr>
      <w:tr w:rsidR="00F92BED" w:rsidRPr="0067172A" w14:paraId="74697D07" w14:textId="77777777" w:rsidTr="00894EC8">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7C8BD541" w14:textId="77777777" w:rsidR="00F92BED" w:rsidRPr="0067172A" w:rsidRDefault="00F92BED" w:rsidP="00F92BED">
            <w:pPr>
              <w:spacing w:before="60" w:after="60"/>
              <w:ind w:left="35" w:hanging="35"/>
              <w:rPr>
                <w:rFonts w:cs="Arial"/>
                <w:i/>
                <w:sz w:val="18"/>
                <w:szCs w:val="18"/>
              </w:rPr>
            </w:pPr>
            <w:r w:rsidRPr="0067172A">
              <w:rPr>
                <w:rFonts w:cs="Arial"/>
                <w:i/>
                <w:sz w:val="18"/>
                <w:szCs w:val="18"/>
              </w:rPr>
              <w:t>Galaxiella pusilla</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1B810AD0" w14:textId="77777777" w:rsidR="00F92BED" w:rsidRPr="0067172A" w:rsidRDefault="00F92BED" w:rsidP="00F92BED">
            <w:pPr>
              <w:spacing w:before="60" w:after="60"/>
              <w:ind w:left="35" w:hanging="35"/>
              <w:rPr>
                <w:rFonts w:cs="Arial"/>
                <w:sz w:val="18"/>
                <w:szCs w:val="18"/>
              </w:rPr>
            </w:pPr>
            <w:r w:rsidRPr="0067172A">
              <w:rPr>
                <w:rFonts w:cs="Arial"/>
                <w:sz w:val="18"/>
                <w:szCs w:val="18"/>
              </w:rPr>
              <w:t>Dwarf galaxias</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40888C21" w14:textId="77777777" w:rsidR="00F92BED" w:rsidRPr="0067172A" w:rsidRDefault="00894EC8" w:rsidP="00F92BED">
            <w:pPr>
              <w:spacing w:before="60" w:after="60"/>
              <w:ind w:left="45" w:hanging="45"/>
              <w:jc w:val="center"/>
              <w:rPr>
                <w:rFonts w:cs="Arial"/>
                <w:sz w:val="18"/>
                <w:szCs w:val="18"/>
              </w:rPr>
            </w:pPr>
            <w:r w:rsidRPr="0067172A">
              <w:rPr>
                <w:rFonts w:cs="Arial"/>
                <w:sz w:val="18"/>
                <w:szCs w:val="18"/>
              </w:rPr>
              <w:t>V</w:t>
            </w:r>
          </w:p>
        </w:tc>
        <w:tc>
          <w:tcPr>
            <w:tcW w:w="633" w:type="pct"/>
            <w:tcBorders>
              <w:top w:val="single" w:sz="4" w:space="0" w:color="auto"/>
              <w:left w:val="single" w:sz="4" w:space="0" w:color="auto"/>
              <w:bottom w:val="single" w:sz="4" w:space="0" w:color="auto"/>
              <w:right w:val="single" w:sz="4" w:space="0" w:color="auto"/>
            </w:tcBorders>
            <w:vAlign w:val="center"/>
          </w:tcPr>
          <w:p w14:paraId="51749B2A" w14:textId="77777777" w:rsidR="00F92BED" w:rsidRPr="0067172A" w:rsidRDefault="00F92BED" w:rsidP="00F92BED">
            <w:pPr>
              <w:pStyle w:val="TableText"/>
              <w:ind w:right="148" w:firstLine="128"/>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0171778C" w14:textId="77777777" w:rsidR="00F92BED" w:rsidRPr="0067172A" w:rsidRDefault="00F92BED" w:rsidP="00F92BED">
            <w:pPr>
              <w:pStyle w:val="TableText"/>
              <w:jc w:val="center"/>
              <w:rPr>
                <w:rFonts w:cs="Arial"/>
                <w:sz w:val="18"/>
                <w:szCs w:val="18"/>
              </w:rPr>
            </w:pPr>
            <w:r w:rsidRPr="0067172A">
              <w:rPr>
                <w:rFonts w:cs="Arial"/>
                <w:sz w:val="18"/>
                <w:szCs w:val="18"/>
              </w:rPr>
              <w:t>-</w:t>
            </w:r>
          </w:p>
        </w:tc>
        <w:tc>
          <w:tcPr>
            <w:tcW w:w="582" w:type="pct"/>
            <w:tcBorders>
              <w:top w:val="single" w:sz="4" w:space="0" w:color="auto"/>
              <w:left w:val="single" w:sz="4" w:space="0" w:color="auto"/>
              <w:bottom w:val="single" w:sz="4" w:space="0" w:color="auto"/>
              <w:right w:val="single" w:sz="4" w:space="0" w:color="auto"/>
            </w:tcBorders>
            <w:vAlign w:val="center"/>
          </w:tcPr>
          <w:p w14:paraId="7903EECD" w14:textId="77777777" w:rsidR="00F92BED" w:rsidRPr="0067172A" w:rsidRDefault="00894EC8" w:rsidP="00894EC8">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26ED307A" w14:textId="304BFB4A" w:rsidR="00F92BED" w:rsidRPr="0067172A" w:rsidRDefault="007718CB" w:rsidP="00F92BED">
            <w:pPr>
              <w:pStyle w:val="TableText"/>
              <w:jc w:val="center"/>
              <w:rPr>
                <w:rFonts w:cs="Arial"/>
                <w:sz w:val="18"/>
                <w:szCs w:val="18"/>
              </w:rPr>
            </w:pPr>
            <w:r w:rsidRPr="0067172A">
              <w:rPr>
                <w:rFonts w:cs="Arial"/>
                <w:sz w:val="18"/>
                <w:szCs w:val="18"/>
              </w:rPr>
              <w:t>AS</w:t>
            </w:r>
          </w:p>
        </w:tc>
      </w:tr>
      <w:tr w:rsidR="00F92BED" w:rsidRPr="0067172A" w14:paraId="28AE2539" w14:textId="77777777" w:rsidTr="00894EC8">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0DEE650A" w14:textId="77777777" w:rsidR="00F92BED" w:rsidRPr="0067172A" w:rsidRDefault="00F92BED" w:rsidP="00F92BED">
            <w:pPr>
              <w:spacing w:before="60" w:after="60"/>
              <w:ind w:left="35" w:hanging="35"/>
              <w:rPr>
                <w:rFonts w:cs="Arial"/>
                <w:i/>
                <w:sz w:val="18"/>
                <w:szCs w:val="18"/>
              </w:rPr>
            </w:pPr>
            <w:r w:rsidRPr="0067172A">
              <w:rPr>
                <w:rFonts w:cs="Arial"/>
                <w:i/>
                <w:sz w:val="18"/>
                <w:szCs w:val="18"/>
              </w:rPr>
              <w:t>Prototroctes maraena</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0DA6EEE7" w14:textId="77777777" w:rsidR="00F92BED" w:rsidRPr="0067172A" w:rsidRDefault="00F92BED" w:rsidP="00F92BED">
            <w:pPr>
              <w:spacing w:before="60" w:after="60"/>
              <w:ind w:left="35" w:hanging="35"/>
              <w:rPr>
                <w:rFonts w:cs="Arial"/>
                <w:sz w:val="18"/>
                <w:szCs w:val="18"/>
              </w:rPr>
            </w:pPr>
            <w:r w:rsidRPr="0067172A">
              <w:rPr>
                <w:rFonts w:cs="Arial"/>
                <w:sz w:val="18"/>
                <w:szCs w:val="18"/>
              </w:rPr>
              <w:t>Australian grayling</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5827C538" w14:textId="77777777" w:rsidR="00F92BED" w:rsidRPr="0067172A" w:rsidRDefault="00894EC8" w:rsidP="00F92BED">
            <w:pPr>
              <w:spacing w:before="60" w:after="60"/>
              <w:ind w:left="45" w:hanging="45"/>
              <w:jc w:val="center"/>
              <w:rPr>
                <w:rFonts w:cs="Arial"/>
                <w:sz w:val="18"/>
                <w:szCs w:val="18"/>
              </w:rPr>
            </w:pPr>
            <w:r w:rsidRPr="0067172A">
              <w:rPr>
                <w:rFonts w:cs="Arial"/>
                <w:sz w:val="18"/>
                <w:szCs w:val="18"/>
              </w:rPr>
              <w:t>V</w:t>
            </w:r>
          </w:p>
        </w:tc>
        <w:tc>
          <w:tcPr>
            <w:tcW w:w="633" w:type="pct"/>
            <w:tcBorders>
              <w:top w:val="single" w:sz="4" w:space="0" w:color="auto"/>
              <w:left w:val="single" w:sz="4" w:space="0" w:color="auto"/>
              <w:bottom w:val="single" w:sz="4" w:space="0" w:color="auto"/>
              <w:right w:val="single" w:sz="4" w:space="0" w:color="auto"/>
            </w:tcBorders>
            <w:vAlign w:val="center"/>
          </w:tcPr>
          <w:p w14:paraId="08C5E31E" w14:textId="77777777" w:rsidR="00F92BED" w:rsidRPr="0067172A" w:rsidRDefault="00894EC8" w:rsidP="00F92BED">
            <w:pPr>
              <w:pStyle w:val="TableText"/>
              <w:ind w:right="148" w:firstLine="128"/>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2AA6AD59" w14:textId="77777777" w:rsidR="00F92BED" w:rsidRPr="0067172A" w:rsidRDefault="00894EC8" w:rsidP="00F92BED">
            <w:pPr>
              <w:pStyle w:val="TableText"/>
              <w:jc w:val="center"/>
              <w:rPr>
                <w:rFonts w:cs="Arial"/>
                <w:sz w:val="18"/>
                <w:szCs w:val="18"/>
              </w:rPr>
            </w:pPr>
            <w:r w:rsidRPr="0067172A">
              <w:rPr>
                <w:rFonts w:cs="Arial"/>
                <w:sz w:val="18"/>
                <w:szCs w:val="18"/>
              </w:rPr>
              <w:t>-</w:t>
            </w:r>
          </w:p>
        </w:tc>
        <w:tc>
          <w:tcPr>
            <w:tcW w:w="582" w:type="pct"/>
            <w:tcBorders>
              <w:top w:val="single" w:sz="4" w:space="0" w:color="auto"/>
              <w:left w:val="single" w:sz="4" w:space="0" w:color="auto"/>
              <w:bottom w:val="single" w:sz="4" w:space="0" w:color="auto"/>
              <w:right w:val="single" w:sz="4" w:space="0" w:color="auto"/>
            </w:tcBorders>
            <w:vAlign w:val="center"/>
          </w:tcPr>
          <w:p w14:paraId="5754F2B1" w14:textId="77777777" w:rsidR="00F92BED" w:rsidRPr="0067172A" w:rsidRDefault="00894EC8" w:rsidP="00F92BED">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70EF5574" w14:textId="24E4013B" w:rsidR="00F92BED" w:rsidRPr="0067172A" w:rsidRDefault="007718CB" w:rsidP="00F92BED">
            <w:pPr>
              <w:pStyle w:val="TableText"/>
              <w:jc w:val="center"/>
              <w:rPr>
                <w:rFonts w:cs="Arial"/>
                <w:sz w:val="18"/>
                <w:szCs w:val="18"/>
              </w:rPr>
            </w:pPr>
            <w:r w:rsidRPr="0067172A">
              <w:rPr>
                <w:rFonts w:cs="Arial"/>
                <w:sz w:val="18"/>
                <w:szCs w:val="18"/>
              </w:rPr>
              <w:t>RP, AS</w:t>
            </w:r>
          </w:p>
        </w:tc>
      </w:tr>
      <w:tr w:rsidR="00F92BED" w:rsidRPr="0067172A" w14:paraId="3A77FCCB" w14:textId="77777777" w:rsidTr="00514376">
        <w:trPr>
          <w:gridBefore w:val="1"/>
          <w:trHeight w:val="345"/>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cPr>
          <w:p w14:paraId="3BD6CCB5" w14:textId="77777777" w:rsidR="00F92BED" w:rsidRPr="0067172A" w:rsidRDefault="00F92BED" w:rsidP="00F92BED">
            <w:pPr>
              <w:pStyle w:val="TableText"/>
              <w:rPr>
                <w:rFonts w:cs="Arial"/>
                <w:sz w:val="18"/>
                <w:szCs w:val="18"/>
              </w:rPr>
            </w:pPr>
            <w:r w:rsidRPr="0067172A">
              <w:rPr>
                <w:rFonts w:cs="Arial"/>
                <w:sz w:val="18"/>
                <w:szCs w:val="18"/>
              </w:rPr>
              <w:t>Oceanic</w:t>
            </w:r>
          </w:p>
        </w:tc>
      </w:tr>
      <w:tr w:rsidR="00F92BED" w:rsidRPr="0067172A" w14:paraId="6F8379EF" w14:textId="77777777" w:rsidTr="00894EC8">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2829C4B3" w14:textId="77777777" w:rsidR="00F92BED" w:rsidRPr="0067172A" w:rsidRDefault="00F92BED" w:rsidP="00F92BED">
            <w:pPr>
              <w:spacing w:before="60" w:after="60"/>
              <w:ind w:left="35" w:hanging="35"/>
              <w:rPr>
                <w:rFonts w:cs="Arial"/>
                <w:i/>
                <w:sz w:val="18"/>
                <w:szCs w:val="18"/>
              </w:rPr>
            </w:pPr>
            <w:r w:rsidRPr="0067172A">
              <w:rPr>
                <w:rFonts w:cs="Arial"/>
                <w:i/>
                <w:sz w:val="18"/>
                <w:szCs w:val="18"/>
              </w:rPr>
              <w:t>Carcharias taurus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656BCF68" w14:textId="77777777" w:rsidR="00F92BED" w:rsidRPr="0067172A" w:rsidRDefault="00F92BED" w:rsidP="00F92BED">
            <w:pPr>
              <w:spacing w:before="60" w:after="60"/>
              <w:ind w:left="35" w:hanging="35"/>
              <w:rPr>
                <w:rFonts w:cs="Arial"/>
                <w:sz w:val="18"/>
                <w:szCs w:val="18"/>
              </w:rPr>
            </w:pPr>
            <w:r w:rsidRPr="0067172A">
              <w:rPr>
                <w:rFonts w:cs="Arial"/>
                <w:sz w:val="18"/>
                <w:szCs w:val="18"/>
              </w:rPr>
              <w:t>Grey nurse shark (east coast population)</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7400B473" w14:textId="77777777" w:rsidR="00F92BED" w:rsidRPr="0067172A" w:rsidRDefault="00894EC8" w:rsidP="00F92BED">
            <w:pPr>
              <w:spacing w:before="60" w:after="60"/>
              <w:ind w:left="45" w:hanging="45"/>
              <w:jc w:val="center"/>
              <w:rPr>
                <w:rFonts w:cs="Arial"/>
                <w:sz w:val="18"/>
                <w:szCs w:val="18"/>
              </w:rPr>
            </w:pPr>
            <w:r w:rsidRPr="0067172A">
              <w:rPr>
                <w:rFonts w:cs="Arial"/>
                <w:sz w:val="18"/>
                <w:szCs w:val="18"/>
              </w:rPr>
              <w:t>CE</w:t>
            </w:r>
          </w:p>
        </w:tc>
        <w:tc>
          <w:tcPr>
            <w:tcW w:w="633" w:type="pct"/>
            <w:tcBorders>
              <w:top w:val="single" w:sz="4" w:space="0" w:color="auto"/>
              <w:left w:val="single" w:sz="4" w:space="0" w:color="auto"/>
              <w:bottom w:val="single" w:sz="4" w:space="0" w:color="auto"/>
              <w:right w:val="single" w:sz="4" w:space="0" w:color="auto"/>
            </w:tcBorders>
            <w:vAlign w:val="center"/>
          </w:tcPr>
          <w:p w14:paraId="5A17A0A7" w14:textId="77777777" w:rsidR="00F92BED" w:rsidRPr="0067172A" w:rsidRDefault="00F92BED" w:rsidP="00F92BED">
            <w:pPr>
              <w:pStyle w:val="TableText"/>
              <w:ind w:right="148" w:firstLine="128"/>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577B10B1" w14:textId="77777777" w:rsidR="00F92BED" w:rsidRPr="0067172A" w:rsidRDefault="00F92BED" w:rsidP="00F92BED">
            <w:pPr>
              <w:pStyle w:val="TableText"/>
              <w:jc w:val="center"/>
              <w:rPr>
                <w:rFonts w:cs="Arial"/>
                <w:sz w:val="18"/>
                <w:szCs w:val="18"/>
              </w:rPr>
            </w:pPr>
            <w:r w:rsidRPr="0067172A">
              <w:rPr>
                <w:rFonts w:cs="Arial"/>
                <w:sz w:val="18"/>
                <w:szCs w:val="18"/>
              </w:rPr>
              <w:t>-</w:t>
            </w:r>
          </w:p>
        </w:tc>
        <w:tc>
          <w:tcPr>
            <w:tcW w:w="582" w:type="pct"/>
            <w:tcBorders>
              <w:top w:val="single" w:sz="4" w:space="0" w:color="auto"/>
              <w:left w:val="single" w:sz="4" w:space="0" w:color="auto"/>
              <w:bottom w:val="single" w:sz="4" w:space="0" w:color="auto"/>
              <w:right w:val="single" w:sz="4" w:space="0" w:color="auto"/>
            </w:tcBorders>
            <w:vAlign w:val="center"/>
          </w:tcPr>
          <w:p w14:paraId="273C30F7" w14:textId="77777777" w:rsidR="00F92BED" w:rsidRPr="0067172A" w:rsidRDefault="007F03A6" w:rsidP="00F92BED">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4B2F4554" w14:textId="3FADA050" w:rsidR="00F92BED" w:rsidRPr="0067172A" w:rsidRDefault="007718CB" w:rsidP="00F92BED">
            <w:pPr>
              <w:pStyle w:val="TableText"/>
              <w:jc w:val="center"/>
              <w:rPr>
                <w:rFonts w:cs="Arial"/>
                <w:sz w:val="18"/>
                <w:szCs w:val="18"/>
              </w:rPr>
            </w:pPr>
            <w:r w:rsidRPr="0067172A">
              <w:rPr>
                <w:rFonts w:cs="Arial"/>
                <w:sz w:val="18"/>
                <w:szCs w:val="18"/>
              </w:rPr>
              <w:t>AS</w:t>
            </w:r>
          </w:p>
        </w:tc>
      </w:tr>
      <w:tr w:rsidR="00F92BED" w:rsidRPr="0067172A" w14:paraId="11AEC8D4" w14:textId="77777777" w:rsidTr="00894EC8">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21E9BE89" w14:textId="77777777" w:rsidR="00F92BED" w:rsidRPr="0067172A" w:rsidRDefault="00F92BED" w:rsidP="00F92BED">
            <w:pPr>
              <w:spacing w:before="60" w:after="60"/>
              <w:ind w:left="35" w:hanging="35"/>
              <w:rPr>
                <w:rFonts w:cs="Arial"/>
                <w:i/>
                <w:sz w:val="18"/>
                <w:szCs w:val="18"/>
              </w:rPr>
            </w:pPr>
            <w:r w:rsidRPr="0067172A">
              <w:rPr>
                <w:rFonts w:cs="Arial"/>
                <w:i/>
                <w:sz w:val="18"/>
                <w:szCs w:val="18"/>
              </w:rPr>
              <w:t>Carcharodon carcharias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1F3F593A" w14:textId="77777777" w:rsidR="00F92BED" w:rsidRPr="0067172A" w:rsidRDefault="00F92BED" w:rsidP="00F92BED">
            <w:pPr>
              <w:spacing w:before="60" w:after="60"/>
              <w:ind w:left="35" w:hanging="35"/>
              <w:rPr>
                <w:rFonts w:cs="Arial"/>
                <w:sz w:val="18"/>
                <w:szCs w:val="18"/>
              </w:rPr>
            </w:pPr>
            <w:r w:rsidRPr="0067172A">
              <w:rPr>
                <w:rFonts w:cs="Arial"/>
                <w:sz w:val="18"/>
                <w:szCs w:val="18"/>
              </w:rPr>
              <w:t>Great white shark</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5C4EB62C" w14:textId="77777777" w:rsidR="00F92BED" w:rsidRPr="0067172A" w:rsidRDefault="00894EC8" w:rsidP="00F92BED">
            <w:pPr>
              <w:spacing w:before="60" w:after="60"/>
              <w:ind w:left="45" w:hanging="45"/>
              <w:jc w:val="center"/>
              <w:rPr>
                <w:rFonts w:cs="Arial"/>
                <w:sz w:val="18"/>
                <w:szCs w:val="18"/>
              </w:rPr>
            </w:pPr>
            <w:r w:rsidRPr="0067172A">
              <w:rPr>
                <w:rFonts w:cs="Arial"/>
                <w:sz w:val="18"/>
                <w:szCs w:val="18"/>
              </w:rPr>
              <w:t>V</w:t>
            </w:r>
          </w:p>
        </w:tc>
        <w:tc>
          <w:tcPr>
            <w:tcW w:w="633" w:type="pct"/>
            <w:tcBorders>
              <w:top w:val="single" w:sz="4" w:space="0" w:color="auto"/>
              <w:left w:val="single" w:sz="4" w:space="0" w:color="auto"/>
              <w:bottom w:val="single" w:sz="4" w:space="0" w:color="auto"/>
              <w:right w:val="single" w:sz="4" w:space="0" w:color="auto"/>
            </w:tcBorders>
            <w:vAlign w:val="center"/>
          </w:tcPr>
          <w:p w14:paraId="52AFA75A" w14:textId="63C22911" w:rsidR="00F92BED" w:rsidRPr="0067172A" w:rsidRDefault="00455423" w:rsidP="00F92BED">
            <w:pPr>
              <w:pStyle w:val="TableText"/>
              <w:ind w:right="148" w:firstLine="128"/>
              <w:jc w:val="center"/>
              <w:rPr>
                <w:rFonts w:cs="Arial"/>
                <w:sz w:val="18"/>
                <w:szCs w:val="18"/>
              </w:rPr>
            </w:pPr>
            <w:r w:rsidRPr="0067172A">
              <w:rPr>
                <w:rFonts w:cs="Arial"/>
                <w:sz w:val="18"/>
                <w:szCs w:val="18"/>
              </w:rPr>
              <w:t>Yes</w:t>
            </w:r>
          </w:p>
        </w:tc>
        <w:tc>
          <w:tcPr>
            <w:tcW w:w="554" w:type="pct"/>
            <w:tcBorders>
              <w:top w:val="single" w:sz="4" w:space="0" w:color="auto"/>
              <w:left w:val="single" w:sz="4" w:space="0" w:color="auto"/>
              <w:bottom w:val="single" w:sz="4" w:space="0" w:color="auto"/>
              <w:right w:val="single" w:sz="4" w:space="0" w:color="auto"/>
            </w:tcBorders>
            <w:vAlign w:val="center"/>
          </w:tcPr>
          <w:p w14:paraId="37B3FAB7" w14:textId="77777777" w:rsidR="00F92BED" w:rsidRPr="0067172A" w:rsidRDefault="00D44DBF" w:rsidP="00F92BED">
            <w:pPr>
              <w:pStyle w:val="TableText"/>
              <w:jc w:val="center"/>
              <w:rPr>
                <w:rFonts w:cs="Arial"/>
                <w:sz w:val="18"/>
                <w:szCs w:val="18"/>
              </w:rPr>
            </w:pPr>
            <w:r w:rsidRPr="0067172A">
              <w:rPr>
                <w:rFonts w:cs="Arial"/>
                <w:sz w:val="18"/>
                <w:szCs w:val="18"/>
              </w:rPr>
              <w:t>-</w:t>
            </w:r>
          </w:p>
        </w:tc>
        <w:tc>
          <w:tcPr>
            <w:tcW w:w="582" w:type="pct"/>
            <w:tcBorders>
              <w:top w:val="single" w:sz="4" w:space="0" w:color="auto"/>
              <w:left w:val="single" w:sz="4" w:space="0" w:color="auto"/>
              <w:bottom w:val="single" w:sz="4" w:space="0" w:color="auto"/>
              <w:right w:val="single" w:sz="4" w:space="0" w:color="auto"/>
            </w:tcBorders>
            <w:vAlign w:val="center"/>
          </w:tcPr>
          <w:p w14:paraId="0EA62237" w14:textId="77777777" w:rsidR="00F92BED" w:rsidRPr="0067172A" w:rsidRDefault="00D44DBF" w:rsidP="00F92BED">
            <w:pPr>
              <w:pStyle w:val="TableText"/>
              <w:jc w:val="center"/>
              <w:rPr>
                <w:rFonts w:cs="Arial"/>
                <w:sz w:val="18"/>
                <w:szCs w:val="18"/>
              </w:rPr>
            </w:pPr>
            <w:r w:rsidRPr="0067172A">
              <w:rPr>
                <w:rFonts w:cs="Arial"/>
                <w:sz w:val="18"/>
                <w:szCs w:val="18"/>
              </w:rPr>
              <w:t>B/N</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167B4265" w14:textId="6DF41FA5" w:rsidR="00F92BED" w:rsidRPr="0067172A" w:rsidRDefault="007F03A6" w:rsidP="00F92BED">
            <w:pPr>
              <w:pStyle w:val="TableText"/>
              <w:jc w:val="center"/>
              <w:rPr>
                <w:rFonts w:cs="Arial"/>
                <w:sz w:val="18"/>
                <w:szCs w:val="18"/>
              </w:rPr>
            </w:pPr>
            <w:r w:rsidRPr="0067172A">
              <w:rPr>
                <w:rFonts w:cs="Arial"/>
                <w:sz w:val="18"/>
                <w:szCs w:val="18"/>
              </w:rPr>
              <w:t>RP</w:t>
            </w:r>
            <w:r w:rsidR="007718CB" w:rsidRPr="0067172A">
              <w:rPr>
                <w:rFonts w:cs="Arial"/>
                <w:sz w:val="18"/>
                <w:szCs w:val="18"/>
              </w:rPr>
              <w:t>, AS</w:t>
            </w:r>
          </w:p>
        </w:tc>
      </w:tr>
      <w:tr w:rsidR="00F92BED" w:rsidRPr="0067172A" w14:paraId="03AFAC15" w14:textId="77777777" w:rsidTr="00894EC8">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795B1FF7" w14:textId="77777777" w:rsidR="00F92BED" w:rsidRPr="0067172A" w:rsidRDefault="00F92BED" w:rsidP="00F92BED">
            <w:pPr>
              <w:spacing w:before="60" w:after="60"/>
              <w:ind w:left="35" w:hanging="35"/>
              <w:rPr>
                <w:rFonts w:cs="Arial"/>
                <w:i/>
                <w:sz w:val="18"/>
                <w:szCs w:val="18"/>
              </w:rPr>
            </w:pPr>
            <w:r w:rsidRPr="0067172A">
              <w:rPr>
                <w:rFonts w:cs="Arial"/>
                <w:i/>
                <w:sz w:val="18"/>
                <w:szCs w:val="18"/>
              </w:rPr>
              <w:t>Epinephelus daemelii</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37E6345A" w14:textId="77777777" w:rsidR="00F92BED" w:rsidRPr="0067172A" w:rsidRDefault="00F92BED" w:rsidP="00F92BED">
            <w:pPr>
              <w:spacing w:before="60" w:after="60"/>
              <w:ind w:left="35" w:hanging="35"/>
              <w:rPr>
                <w:rFonts w:cs="Arial"/>
                <w:sz w:val="18"/>
                <w:szCs w:val="18"/>
              </w:rPr>
            </w:pPr>
            <w:r w:rsidRPr="0067172A">
              <w:rPr>
                <w:rFonts w:cs="Arial"/>
                <w:sz w:val="18"/>
                <w:szCs w:val="18"/>
              </w:rPr>
              <w:t>Black rockcod</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157330A6" w14:textId="77777777" w:rsidR="00F92BED" w:rsidRPr="0067172A" w:rsidRDefault="00894EC8" w:rsidP="00F92BED">
            <w:pPr>
              <w:spacing w:before="60" w:after="60"/>
              <w:ind w:left="45" w:hanging="45"/>
              <w:jc w:val="center"/>
              <w:rPr>
                <w:rFonts w:cs="Arial"/>
                <w:sz w:val="18"/>
                <w:szCs w:val="18"/>
              </w:rPr>
            </w:pPr>
            <w:r w:rsidRPr="0067172A">
              <w:rPr>
                <w:rFonts w:cs="Arial"/>
                <w:sz w:val="18"/>
                <w:szCs w:val="18"/>
              </w:rPr>
              <w:t>V</w:t>
            </w:r>
          </w:p>
        </w:tc>
        <w:tc>
          <w:tcPr>
            <w:tcW w:w="633" w:type="pct"/>
            <w:tcBorders>
              <w:top w:val="single" w:sz="4" w:space="0" w:color="auto"/>
              <w:left w:val="single" w:sz="4" w:space="0" w:color="auto"/>
              <w:bottom w:val="single" w:sz="4" w:space="0" w:color="auto"/>
              <w:right w:val="single" w:sz="4" w:space="0" w:color="auto"/>
            </w:tcBorders>
            <w:vAlign w:val="center"/>
          </w:tcPr>
          <w:p w14:paraId="7F1DFC82" w14:textId="77777777" w:rsidR="00F92BED" w:rsidRPr="0067172A" w:rsidRDefault="00F92BED" w:rsidP="00F92BED">
            <w:pPr>
              <w:pStyle w:val="TableText"/>
              <w:ind w:right="148" w:firstLine="128"/>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3C6D0DE0" w14:textId="77777777" w:rsidR="00F92BED" w:rsidRPr="0067172A" w:rsidRDefault="00F92BED" w:rsidP="00F92BED">
            <w:pPr>
              <w:pStyle w:val="TableText"/>
              <w:jc w:val="center"/>
              <w:rPr>
                <w:rFonts w:cs="Arial"/>
                <w:sz w:val="18"/>
                <w:szCs w:val="18"/>
              </w:rPr>
            </w:pPr>
            <w:r w:rsidRPr="0067172A">
              <w:rPr>
                <w:rFonts w:cs="Arial"/>
                <w:sz w:val="18"/>
                <w:szCs w:val="18"/>
              </w:rPr>
              <w:t>-</w:t>
            </w:r>
          </w:p>
        </w:tc>
        <w:tc>
          <w:tcPr>
            <w:tcW w:w="582" w:type="pct"/>
            <w:tcBorders>
              <w:top w:val="single" w:sz="4" w:space="0" w:color="auto"/>
              <w:left w:val="single" w:sz="4" w:space="0" w:color="auto"/>
              <w:bottom w:val="single" w:sz="4" w:space="0" w:color="auto"/>
              <w:right w:val="single" w:sz="4" w:space="0" w:color="auto"/>
            </w:tcBorders>
            <w:vAlign w:val="center"/>
          </w:tcPr>
          <w:p w14:paraId="3EBA0D96" w14:textId="77777777" w:rsidR="00F92BED" w:rsidRPr="0067172A" w:rsidRDefault="00D44DBF" w:rsidP="00F92BED">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02A80AB6" w14:textId="77777777" w:rsidR="00F92BED" w:rsidRPr="0067172A" w:rsidRDefault="007F03A6" w:rsidP="00F92BED">
            <w:pPr>
              <w:pStyle w:val="TableText"/>
              <w:jc w:val="center"/>
              <w:rPr>
                <w:rFonts w:cs="Arial"/>
                <w:sz w:val="18"/>
                <w:szCs w:val="18"/>
              </w:rPr>
            </w:pPr>
            <w:r w:rsidRPr="0067172A">
              <w:rPr>
                <w:rFonts w:cs="Arial"/>
                <w:sz w:val="18"/>
                <w:szCs w:val="18"/>
              </w:rPr>
              <w:t>NSW only</w:t>
            </w:r>
          </w:p>
        </w:tc>
      </w:tr>
      <w:tr w:rsidR="00F92BED" w:rsidRPr="0067172A" w14:paraId="05C82CBC" w14:textId="77777777" w:rsidTr="00894EC8">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05694B72" w14:textId="77777777" w:rsidR="00F92BED" w:rsidRPr="0067172A" w:rsidRDefault="00F92BED" w:rsidP="00F92BED">
            <w:pPr>
              <w:spacing w:before="60" w:after="60"/>
              <w:ind w:left="35" w:hanging="35"/>
              <w:rPr>
                <w:rFonts w:cs="Arial"/>
                <w:i/>
                <w:sz w:val="18"/>
                <w:szCs w:val="18"/>
              </w:rPr>
            </w:pPr>
            <w:r w:rsidRPr="0067172A">
              <w:rPr>
                <w:rFonts w:cs="Arial"/>
                <w:i/>
                <w:sz w:val="18"/>
                <w:szCs w:val="18"/>
              </w:rPr>
              <w:t>Isurus oxyrinchus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33800628" w14:textId="77777777" w:rsidR="00F92BED" w:rsidRPr="0067172A" w:rsidRDefault="00F92BED" w:rsidP="00F92BED">
            <w:pPr>
              <w:spacing w:before="60" w:after="60"/>
              <w:ind w:left="35" w:hanging="35"/>
              <w:rPr>
                <w:rFonts w:cs="Arial"/>
                <w:sz w:val="18"/>
                <w:szCs w:val="18"/>
              </w:rPr>
            </w:pPr>
            <w:r w:rsidRPr="0067172A">
              <w:rPr>
                <w:rFonts w:cs="Arial"/>
                <w:sz w:val="18"/>
                <w:szCs w:val="18"/>
              </w:rPr>
              <w:t>Shortfin mako</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51790E7D" w14:textId="77777777" w:rsidR="00F92BED" w:rsidRPr="0067172A" w:rsidRDefault="00F92BED" w:rsidP="00F92BED">
            <w:pPr>
              <w:spacing w:before="60" w:after="60"/>
              <w:ind w:left="45" w:hanging="45"/>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2C2DC22E" w14:textId="67AD1390" w:rsidR="00F92BED" w:rsidRPr="0067172A" w:rsidRDefault="00455423" w:rsidP="00F92BED">
            <w:pPr>
              <w:pStyle w:val="TableText"/>
              <w:ind w:right="148" w:firstLine="128"/>
              <w:jc w:val="center"/>
              <w:rPr>
                <w:rFonts w:cs="Arial"/>
                <w:sz w:val="18"/>
                <w:szCs w:val="18"/>
              </w:rPr>
            </w:pPr>
            <w:r w:rsidRPr="0067172A">
              <w:rPr>
                <w:rFonts w:cs="Arial"/>
                <w:sz w:val="18"/>
                <w:szCs w:val="18"/>
              </w:rPr>
              <w:t>Yes</w:t>
            </w:r>
          </w:p>
        </w:tc>
        <w:tc>
          <w:tcPr>
            <w:tcW w:w="554" w:type="pct"/>
            <w:tcBorders>
              <w:top w:val="single" w:sz="4" w:space="0" w:color="auto"/>
              <w:left w:val="single" w:sz="4" w:space="0" w:color="auto"/>
              <w:bottom w:val="single" w:sz="4" w:space="0" w:color="auto"/>
              <w:right w:val="single" w:sz="4" w:space="0" w:color="auto"/>
            </w:tcBorders>
            <w:vAlign w:val="center"/>
          </w:tcPr>
          <w:p w14:paraId="727F2058" w14:textId="77777777" w:rsidR="00F92BED" w:rsidRPr="0067172A" w:rsidRDefault="00D44DBF" w:rsidP="00D44DBF">
            <w:pPr>
              <w:pStyle w:val="TableText"/>
              <w:jc w:val="center"/>
              <w:rPr>
                <w:rFonts w:cs="Arial"/>
                <w:sz w:val="18"/>
                <w:szCs w:val="18"/>
              </w:rPr>
            </w:pPr>
            <w:r w:rsidRPr="0067172A">
              <w:rPr>
                <w:rFonts w:cs="Arial"/>
                <w:sz w:val="18"/>
                <w:szCs w:val="18"/>
              </w:rPr>
              <w:t>-</w:t>
            </w:r>
          </w:p>
        </w:tc>
        <w:tc>
          <w:tcPr>
            <w:tcW w:w="582" w:type="pct"/>
            <w:tcBorders>
              <w:top w:val="single" w:sz="4" w:space="0" w:color="auto"/>
              <w:left w:val="single" w:sz="4" w:space="0" w:color="auto"/>
              <w:bottom w:val="single" w:sz="4" w:space="0" w:color="auto"/>
              <w:right w:val="single" w:sz="4" w:space="0" w:color="auto"/>
            </w:tcBorders>
            <w:vAlign w:val="center"/>
          </w:tcPr>
          <w:p w14:paraId="1208D4AB" w14:textId="77777777" w:rsidR="00F92BED" w:rsidRPr="0067172A" w:rsidRDefault="00D44DBF" w:rsidP="00D44DBF">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77D371F8" w14:textId="77777777" w:rsidR="00F92BED" w:rsidRPr="0067172A" w:rsidRDefault="00D44DBF" w:rsidP="00F92BED">
            <w:pPr>
              <w:pStyle w:val="TableText"/>
              <w:jc w:val="center"/>
              <w:rPr>
                <w:rFonts w:cs="Arial"/>
                <w:sz w:val="18"/>
                <w:szCs w:val="18"/>
              </w:rPr>
            </w:pPr>
            <w:r w:rsidRPr="0067172A">
              <w:rPr>
                <w:rFonts w:cs="Arial"/>
                <w:sz w:val="18"/>
                <w:szCs w:val="18"/>
              </w:rPr>
              <w:t>-</w:t>
            </w:r>
          </w:p>
        </w:tc>
      </w:tr>
      <w:tr w:rsidR="00F92BED" w:rsidRPr="0067172A" w14:paraId="17116348" w14:textId="77777777" w:rsidTr="00894EC8">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6B68E2AA" w14:textId="77777777" w:rsidR="00F92BED" w:rsidRPr="0067172A" w:rsidRDefault="00F92BED" w:rsidP="00F92BED">
            <w:pPr>
              <w:spacing w:before="60" w:after="60"/>
              <w:ind w:left="35" w:hanging="35"/>
              <w:rPr>
                <w:rFonts w:cs="Arial"/>
                <w:i/>
                <w:sz w:val="18"/>
                <w:szCs w:val="18"/>
              </w:rPr>
            </w:pPr>
            <w:r w:rsidRPr="0067172A">
              <w:rPr>
                <w:rFonts w:cs="Arial"/>
                <w:i/>
                <w:sz w:val="18"/>
                <w:szCs w:val="18"/>
              </w:rPr>
              <w:t>Lamna nasus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31CC80B4" w14:textId="77777777" w:rsidR="00F92BED" w:rsidRPr="0067172A" w:rsidRDefault="00F92BED" w:rsidP="00F92BED">
            <w:pPr>
              <w:spacing w:before="60" w:after="60"/>
              <w:ind w:left="35" w:hanging="35"/>
              <w:rPr>
                <w:rFonts w:cs="Arial"/>
                <w:sz w:val="18"/>
                <w:szCs w:val="18"/>
              </w:rPr>
            </w:pPr>
            <w:r w:rsidRPr="0067172A">
              <w:rPr>
                <w:rFonts w:cs="Arial"/>
                <w:sz w:val="18"/>
                <w:szCs w:val="18"/>
              </w:rPr>
              <w:t xml:space="preserve">Porbeagle </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0D72576E" w14:textId="77777777" w:rsidR="00F92BED" w:rsidRPr="0067172A" w:rsidRDefault="00F92BED" w:rsidP="00F92BED">
            <w:pPr>
              <w:spacing w:before="60" w:after="60"/>
              <w:ind w:left="45" w:hanging="45"/>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7690C8DC" w14:textId="7065CD39" w:rsidR="00F92BED" w:rsidRPr="0067172A" w:rsidRDefault="00455423" w:rsidP="00F92BED">
            <w:pPr>
              <w:pStyle w:val="TableText"/>
              <w:ind w:right="148" w:firstLine="128"/>
              <w:jc w:val="center"/>
              <w:rPr>
                <w:rFonts w:cs="Arial"/>
                <w:sz w:val="18"/>
                <w:szCs w:val="18"/>
              </w:rPr>
            </w:pPr>
            <w:r w:rsidRPr="0067172A">
              <w:rPr>
                <w:rFonts w:cs="Arial"/>
                <w:sz w:val="18"/>
                <w:szCs w:val="18"/>
              </w:rPr>
              <w:t>Yes</w:t>
            </w:r>
          </w:p>
        </w:tc>
        <w:tc>
          <w:tcPr>
            <w:tcW w:w="554" w:type="pct"/>
            <w:tcBorders>
              <w:top w:val="single" w:sz="4" w:space="0" w:color="auto"/>
              <w:left w:val="single" w:sz="4" w:space="0" w:color="auto"/>
              <w:bottom w:val="single" w:sz="4" w:space="0" w:color="auto"/>
              <w:right w:val="single" w:sz="4" w:space="0" w:color="auto"/>
            </w:tcBorders>
            <w:vAlign w:val="center"/>
          </w:tcPr>
          <w:p w14:paraId="2B769F14" w14:textId="77777777" w:rsidR="00F92BED" w:rsidRPr="0067172A" w:rsidRDefault="00D44DBF" w:rsidP="00D44DBF">
            <w:pPr>
              <w:pStyle w:val="TableText"/>
              <w:jc w:val="center"/>
              <w:rPr>
                <w:rFonts w:cs="Arial"/>
                <w:sz w:val="18"/>
                <w:szCs w:val="18"/>
              </w:rPr>
            </w:pPr>
            <w:r w:rsidRPr="0067172A">
              <w:rPr>
                <w:rFonts w:cs="Arial"/>
                <w:sz w:val="18"/>
                <w:szCs w:val="18"/>
              </w:rPr>
              <w:t>-</w:t>
            </w:r>
          </w:p>
        </w:tc>
        <w:tc>
          <w:tcPr>
            <w:tcW w:w="582" w:type="pct"/>
            <w:tcBorders>
              <w:top w:val="single" w:sz="4" w:space="0" w:color="auto"/>
              <w:left w:val="single" w:sz="4" w:space="0" w:color="auto"/>
              <w:bottom w:val="single" w:sz="4" w:space="0" w:color="auto"/>
              <w:right w:val="single" w:sz="4" w:space="0" w:color="auto"/>
            </w:tcBorders>
            <w:vAlign w:val="center"/>
          </w:tcPr>
          <w:p w14:paraId="00C17F30" w14:textId="77777777" w:rsidR="00F92BED" w:rsidRPr="0067172A" w:rsidRDefault="00D44DBF" w:rsidP="00D44DBF">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1A38FB67" w14:textId="77777777" w:rsidR="00F92BED" w:rsidRPr="0067172A" w:rsidRDefault="00D44DBF" w:rsidP="00F92BED">
            <w:pPr>
              <w:pStyle w:val="TableText"/>
              <w:jc w:val="center"/>
              <w:rPr>
                <w:rFonts w:cs="Arial"/>
                <w:sz w:val="18"/>
                <w:szCs w:val="18"/>
              </w:rPr>
            </w:pPr>
            <w:r w:rsidRPr="0067172A">
              <w:rPr>
                <w:rFonts w:cs="Arial"/>
                <w:sz w:val="18"/>
                <w:szCs w:val="18"/>
              </w:rPr>
              <w:t>-</w:t>
            </w:r>
          </w:p>
        </w:tc>
      </w:tr>
      <w:tr w:rsidR="00F92BED" w:rsidRPr="0067172A" w14:paraId="136B828E" w14:textId="77777777" w:rsidTr="00894EC8">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111A7D5D" w14:textId="77777777" w:rsidR="00F92BED" w:rsidRPr="0067172A" w:rsidRDefault="00F92BED" w:rsidP="00F92BED">
            <w:pPr>
              <w:spacing w:before="60" w:after="60"/>
              <w:ind w:left="35" w:hanging="35"/>
              <w:rPr>
                <w:rFonts w:cs="Arial"/>
                <w:i/>
                <w:sz w:val="18"/>
                <w:szCs w:val="18"/>
              </w:rPr>
            </w:pPr>
            <w:r w:rsidRPr="0067172A">
              <w:rPr>
                <w:rFonts w:cs="Arial"/>
                <w:i/>
                <w:sz w:val="18"/>
                <w:szCs w:val="18"/>
              </w:rPr>
              <w:t>Rhincodon typus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40481D75" w14:textId="77777777" w:rsidR="00F92BED" w:rsidRPr="0067172A" w:rsidRDefault="00F92BED" w:rsidP="00F92BED">
            <w:pPr>
              <w:spacing w:before="60" w:after="60"/>
              <w:ind w:left="35" w:hanging="35"/>
              <w:rPr>
                <w:rFonts w:cs="Arial"/>
                <w:sz w:val="18"/>
                <w:szCs w:val="18"/>
              </w:rPr>
            </w:pPr>
            <w:r w:rsidRPr="0067172A">
              <w:rPr>
                <w:rFonts w:cs="Arial"/>
                <w:sz w:val="18"/>
                <w:szCs w:val="18"/>
              </w:rPr>
              <w:t>Whale shark</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299EEA55" w14:textId="77777777" w:rsidR="00F92BED" w:rsidRPr="0067172A" w:rsidRDefault="00894EC8" w:rsidP="00F92BED">
            <w:pPr>
              <w:spacing w:before="60" w:after="60"/>
              <w:ind w:left="45" w:hanging="45"/>
              <w:jc w:val="center"/>
              <w:rPr>
                <w:rFonts w:cs="Arial"/>
                <w:sz w:val="18"/>
                <w:szCs w:val="18"/>
              </w:rPr>
            </w:pPr>
            <w:r w:rsidRPr="0067172A">
              <w:rPr>
                <w:rFonts w:cs="Arial"/>
                <w:sz w:val="18"/>
                <w:szCs w:val="18"/>
              </w:rPr>
              <w:t>V</w:t>
            </w:r>
          </w:p>
        </w:tc>
        <w:tc>
          <w:tcPr>
            <w:tcW w:w="633" w:type="pct"/>
            <w:tcBorders>
              <w:top w:val="single" w:sz="4" w:space="0" w:color="auto"/>
              <w:left w:val="single" w:sz="4" w:space="0" w:color="auto"/>
              <w:bottom w:val="single" w:sz="4" w:space="0" w:color="auto"/>
              <w:right w:val="single" w:sz="4" w:space="0" w:color="auto"/>
            </w:tcBorders>
            <w:vAlign w:val="center"/>
          </w:tcPr>
          <w:p w14:paraId="50909259" w14:textId="7C44FBBD" w:rsidR="00F92BED" w:rsidRPr="0067172A" w:rsidRDefault="00455423" w:rsidP="00F92BED">
            <w:pPr>
              <w:pStyle w:val="TableText"/>
              <w:ind w:right="148" w:firstLine="128"/>
              <w:jc w:val="center"/>
              <w:rPr>
                <w:rFonts w:cs="Arial"/>
                <w:sz w:val="18"/>
                <w:szCs w:val="18"/>
                <w:highlight w:val="cyan"/>
              </w:rPr>
            </w:pPr>
            <w:r w:rsidRPr="0067172A">
              <w:rPr>
                <w:rFonts w:cs="Arial"/>
                <w:sz w:val="18"/>
                <w:szCs w:val="18"/>
              </w:rPr>
              <w:t>Yes</w:t>
            </w:r>
          </w:p>
        </w:tc>
        <w:tc>
          <w:tcPr>
            <w:tcW w:w="554" w:type="pct"/>
            <w:tcBorders>
              <w:top w:val="single" w:sz="4" w:space="0" w:color="auto"/>
              <w:left w:val="single" w:sz="4" w:space="0" w:color="auto"/>
              <w:bottom w:val="single" w:sz="4" w:space="0" w:color="auto"/>
              <w:right w:val="single" w:sz="4" w:space="0" w:color="auto"/>
            </w:tcBorders>
            <w:vAlign w:val="center"/>
          </w:tcPr>
          <w:p w14:paraId="554B4782" w14:textId="77777777" w:rsidR="00F92BED" w:rsidRPr="0067172A" w:rsidRDefault="00D44DBF" w:rsidP="00F92BED">
            <w:pPr>
              <w:pStyle w:val="TableText"/>
              <w:jc w:val="center"/>
              <w:rPr>
                <w:rFonts w:cs="Arial"/>
                <w:sz w:val="18"/>
                <w:szCs w:val="18"/>
                <w:highlight w:val="cyan"/>
              </w:rPr>
            </w:pPr>
            <w:r w:rsidRPr="0067172A">
              <w:rPr>
                <w:rFonts w:cs="Arial"/>
                <w:sz w:val="18"/>
                <w:szCs w:val="18"/>
              </w:rPr>
              <w:t>-</w:t>
            </w:r>
          </w:p>
        </w:tc>
        <w:tc>
          <w:tcPr>
            <w:tcW w:w="582" w:type="pct"/>
            <w:tcBorders>
              <w:top w:val="single" w:sz="4" w:space="0" w:color="auto"/>
              <w:left w:val="single" w:sz="4" w:space="0" w:color="auto"/>
              <w:bottom w:val="single" w:sz="4" w:space="0" w:color="auto"/>
              <w:right w:val="single" w:sz="4" w:space="0" w:color="auto"/>
            </w:tcBorders>
            <w:vAlign w:val="center"/>
          </w:tcPr>
          <w:p w14:paraId="440324A3" w14:textId="77777777" w:rsidR="00F92BED" w:rsidRPr="0067172A" w:rsidRDefault="00D44DBF" w:rsidP="00D44DBF">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47A155F5" w14:textId="77777777" w:rsidR="00F92BED" w:rsidRPr="0067172A" w:rsidRDefault="007F03A6" w:rsidP="00F92BED">
            <w:pPr>
              <w:pStyle w:val="TableText"/>
              <w:jc w:val="center"/>
              <w:rPr>
                <w:rFonts w:cs="Arial"/>
                <w:sz w:val="18"/>
                <w:szCs w:val="18"/>
              </w:rPr>
            </w:pPr>
            <w:r w:rsidRPr="0067172A">
              <w:rPr>
                <w:rFonts w:cs="Arial"/>
                <w:sz w:val="18"/>
                <w:szCs w:val="18"/>
              </w:rPr>
              <w:t>Expired</w:t>
            </w:r>
          </w:p>
        </w:tc>
      </w:tr>
      <w:tr w:rsidR="00F92BED" w:rsidRPr="0067172A" w14:paraId="1FBBA516" w14:textId="77777777" w:rsidTr="00514376">
        <w:trPr>
          <w:gridBefore w:val="1"/>
          <w:trHeight w:val="345"/>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cPr>
          <w:p w14:paraId="1E7C404E" w14:textId="77777777" w:rsidR="00F92BED" w:rsidRPr="0067172A" w:rsidRDefault="00F92BED" w:rsidP="00F92BED">
            <w:pPr>
              <w:pStyle w:val="TableText"/>
              <w:rPr>
                <w:rFonts w:cs="Arial"/>
                <w:sz w:val="18"/>
                <w:szCs w:val="18"/>
              </w:rPr>
            </w:pPr>
            <w:r w:rsidRPr="0067172A">
              <w:rPr>
                <w:rFonts w:cs="Arial"/>
                <w:sz w:val="18"/>
                <w:szCs w:val="18"/>
              </w:rPr>
              <w:t xml:space="preserve">Pipefish, seahorses </w:t>
            </w:r>
            <w:r w:rsidR="00D44DBF" w:rsidRPr="0067172A">
              <w:rPr>
                <w:rFonts w:cs="Arial"/>
                <w:sz w:val="18"/>
                <w:szCs w:val="18"/>
              </w:rPr>
              <w:t>and seadragons</w:t>
            </w:r>
          </w:p>
        </w:tc>
      </w:tr>
      <w:tr w:rsidR="00455423" w:rsidRPr="0067172A" w14:paraId="078C129E"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7CB91208"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Heraldia nocturna</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62F5C353" w14:textId="77777777" w:rsidR="00455423" w:rsidRPr="0067172A" w:rsidRDefault="00455423" w:rsidP="00F92BED">
            <w:pPr>
              <w:spacing w:before="60" w:after="60"/>
              <w:ind w:left="35" w:hanging="35"/>
              <w:rPr>
                <w:rFonts w:cs="Arial"/>
                <w:sz w:val="18"/>
                <w:szCs w:val="18"/>
              </w:rPr>
            </w:pPr>
            <w:r w:rsidRPr="0067172A">
              <w:rPr>
                <w:rFonts w:cs="Arial"/>
                <w:sz w:val="18"/>
                <w:szCs w:val="18"/>
              </w:rPr>
              <w:t>Upside-down pipefish</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09534243" w14:textId="77777777" w:rsidR="00455423" w:rsidRPr="0067172A" w:rsidRDefault="00455423" w:rsidP="00F92BED">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5A21C886" w14:textId="77777777" w:rsidR="00455423" w:rsidRPr="0067172A" w:rsidRDefault="00455423" w:rsidP="00F92BED">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5D16A1C2" w14:textId="23FC4142"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48486A97" w14:textId="77777777" w:rsidR="00455423" w:rsidRPr="0067172A" w:rsidRDefault="00455423" w:rsidP="00F92BED">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1D2DF7E7" w14:textId="77777777" w:rsidR="00455423" w:rsidRPr="0067172A" w:rsidRDefault="00455423" w:rsidP="00F92BED">
            <w:pPr>
              <w:pStyle w:val="TableText"/>
              <w:jc w:val="center"/>
              <w:rPr>
                <w:rFonts w:cs="Arial"/>
                <w:sz w:val="18"/>
                <w:szCs w:val="18"/>
              </w:rPr>
            </w:pPr>
            <w:r w:rsidRPr="0067172A">
              <w:rPr>
                <w:rFonts w:cs="Arial"/>
                <w:sz w:val="18"/>
                <w:szCs w:val="18"/>
              </w:rPr>
              <w:t>-</w:t>
            </w:r>
          </w:p>
        </w:tc>
      </w:tr>
      <w:tr w:rsidR="00455423" w:rsidRPr="0067172A" w14:paraId="3615B30E"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23B2E5A2"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Hippocampus abdominalis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21202E1A" w14:textId="77777777" w:rsidR="00455423" w:rsidRPr="0067172A" w:rsidRDefault="00455423" w:rsidP="00F92BED">
            <w:pPr>
              <w:spacing w:before="60" w:after="60"/>
              <w:ind w:left="35" w:hanging="35"/>
              <w:rPr>
                <w:rFonts w:cs="Arial"/>
                <w:sz w:val="18"/>
                <w:szCs w:val="18"/>
              </w:rPr>
            </w:pPr>
            <w:r w:rsidRPr="0067172A">
              <w:rPr>
                <w:rFonts w:cs="Arial"/>
                <w:sz w:val="18"/>
                <w:szCs w:val="18"/>
              </w:rPr>
              <w:t>Big-belly seahorse</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6A956266"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7FECE3C7"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3DEB4BBE" w14:textId="48DEA6D8"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06C59B02"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65D84D2D"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3A379336"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7982F5A7"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Hippocampus breviceps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3016F224" w14:textId="77777777" w:rsidR="00455423" w:rsidRPr="0067172A" w:rsidRDefault="00455423" w:rsidP="00F92BED">
            <w:pPr>
              <w:spacing w:before="60" w:after="60"/>
              <w:ind w:left="35" w:hanging="35"/>
              <w:rPr>
                <w:rFonts w:cs="Arial"/>
                <w:sz w:val="18"/>
                <w:szCs w:val="18"/>
              </w:rPr>
            </w:pPr>
            <w:r w:rsidRPr="0067172A">
              <w:rPr>
                <w:rFonts w:cs="Arial"/>
                <w:sz w:val="18"/>
                <w:szCs w:val="18"/>
              </w:rPr>
              <w:t>Short-head seahorse</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7B542D42"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6759498A"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67672A0B" w14:textId="20613B6D"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7BC4CBF2"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47D10EF4"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36975210"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01176007" w14:textId="77777777" w:rsidR="00455423" w:rsidRPr="0067172A" w:rsidRDefault="00455423" w:rsidP="00F92BED">
            <w:pPr>
              <w:spacing w:before="60" w:after="60"/>
              <w:ind w:left="35" w:hanging="35"/>
              <w:rPr>
                <w:rFonts w:cs="Arial"/>
                <w:i/>
                <w:sz w:val="18"/>
                <w:szCs w:val="18"/>
              </w:rPr>
            </w:pPr>
            <w:r w:rsidRPr="0067172A">
              <w:rPr>
                <w:rFonts w:cs="Arial"/>
                <w:i/>
                <w:sz w:val="18"/>
                <w:szCs w:val="18"/>
              </w:rPr>
              <w:lastRenderedPageBreak/>
              <w:t>Hippocampus minotaur</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78CBA51C" w14:textId="77777777" w:rsidR="00455423" w:rsidRPr="0067172A" w:rsidRDefault="00455423" w:rsidP="00F92BED">
            <w:pPr>
              <w:spacing w:before="60" w:after="60"/>
              <w:ind w:left="35" w:hanging="35"/>
              <w:rPr>
                <w:rFonts w:cs="Arial"/>
                <w:sz w:val="18"/>
                <w:szCs w:val="18"/>
              </w:rPr>
            </w:pPr>
            <w:r w:rsidRPr="0067172A">
              <w:rPr>
                <w:rFonts w:cs="Arial"/>
                <w:sz w:val="18"/>
                <w:szCs w:val="18"/>
              </w:rPr>
              <w:t xml:space="preserve">Bullneck seahorse </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378A28B2"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4A480DE7"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494A3D92" w14:textId="00EBDF25"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4028DE09"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7ADACA7F"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025ABAF0"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66340740"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Hippocampus whitei</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7507217A" w14:textId="77777777" w:rsidR="00455423" w:rsidRPr="0067172A" w:rsidRDefault="00455423" w:rsidP="00F92BED">
            <w:pPr>
              <w:spacing w:before="60" w:after="60"/>
              <w:ind w:left="35" w:hanging="35"/>
              <w:rPr>
                <w:rFonts w:cs="Arial"/>
                <w:sz w:val="18"/>
                <w:szCs w:val="18"/>
              </w:rPr>
            </w:pPr>
            <w:r w:rsidRPr="0067172A">
              <w:rPr>
                <w:rFonts w:cs="Arial"/>
                <w:sz w:val="18"/>
                <w:szCs w:val="18"/>
              </w:rPr>
              <w:t xml:space="preserve">White's seahorse </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2D9C2F7F"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5BD6DD72"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5CFA5519" w14:textId="614A4387"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0A9F9580"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2736F4D1"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4D708AA2"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6DC247D3"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Histiogamphelus briggsii</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514A6429" w14:textId="77777777" w:rsidR="00455423" w:rsidRPr="0067172A" w:rsidRDefault="00455423" w:rsidP="00F92BED">
            <w:pPr>
              <w:spacing w:before="60" w:after="60"/>
              <w:ind w:left="35" w:hanging="35"/>
              <w:rPr>
                <w:rFonts w:cs="Arial"/>
                <w:sz w:val="18"/>
                <w:szCs w:val="18"/>
              </w:rPr>
            </w:pPr>
            <w:r w:rsidRPr="0067172A">
              <w:rPr>
                <w:rFonts w:cs="Arial"/>
                <w:sz w:val="18"/>
                <w:szCs w:val="18"/>
              </w:rPr>
              <w:t xml:space="preserve">Crested pipefish </w:t>
            </w:r>
          </w:p>
          <w:p w14:paraId="2DF16910" w14:textId="77777777" w:rsidR="00455423" w:rsidRPr="0067172A" w:rsidRDefault="00455423" w:rsidP="00F92BED">
            <w:pPr>
              <w:spacing w:before="60" w:after="60"/>
              <w:ind w:left="35" w:hanging="35"/>
              <w:rPr>
                <w:rFonts w:cs="Arial"/>
                <w:sz w:val="18"/>
                <w:szCs w:val="18"/>
              </w:rPr>
            </w:pP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2158616F"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569E91E6"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1C5015B3" w14:textId="176E5B0C"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475D3225"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5D597F2B"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2F1ADD4A"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718345E9"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Histiogamphelus cristatus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541DEC69" w14:textId="77777777" w:rsidR="00455423" w:rsidRPr="0067172A" w:rsidRDefault="00455423" w:rsidP="00F92BED">
            <w:pPr>
              <w:spacing w:before="60" w:after="60"/>
              <w:ind w:left="35" w:hanging="35"/>
              <w:rPr>
                <w:rFonts w:cs="Arial"/>
                <w:sz w:val="18"/>
                <w:szCs w:val="18"/>
              </w:rPr>
            </w:pPr>
            <w:r w:rsidRPr="0067172A">
              <w:rPr>
                <w:rFonts w:cs="Arial"/>
                <w:sz w:val="18"/>
                <w:szCs w:val="18"/>
              </w:rPr>
              <w:t>Rhino pipefish</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1B036039"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6B8F29A5"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6E3D8EF5" w14:textId="5A41F7DC"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4AA23C1F"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4CE9597D"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7D16CBA6"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34A8214C"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Hypselognathus rostratus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31122A0A" w14:textId="77777777" w:rsidR="00455423" w:rsidRPr="0067172A" w:rsidRDefault="00455423" w:rsidP="00F92BED">
            <w:pPr>
              <w:spacing w:before="60" w:after="60"/>
              <w:ind w:left="35" w:hanging="35"/>
              <w:rPr>
                <w:rFonts w:cs="Arial"/>
                <w:sz w:val="18"/>
                <w:szCs w:val="18"/>
              </w:rPr>
            </w:pPr>
            <w:r w:rsidRPr="0067172A">
              <w:rPr>
                <w:rFonts w:cs="Arial"/>
                <w:sz w:val="18"/>
                <w:szCs w:val="18"/>
              </w:rPr>
              <w:t>Knifesnout pipefish</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20E39BC6"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56DBC21C"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47B29B71" w14:textId="2605B7F5"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2A020DC7"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2BD748F6"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56F39695"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6E8F87AD"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Kaupus costatus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1354F91A" w14:textId="77777777" w:rsidR="00455423" w:rsidRPr="0067172A" w:rsidRDefault="00455423" w:rsidP="00F92BED">
            <w:pPr>
              <w:spacing w:before="60" w:after="60"/>
              <w:ind w:left="35" w:hanging="35"/>
              <w:rPr>
                <w:rFonts w:cs="Arial"/>
                <w:sz w:val="18"/>
                <w:szCs w:val="18"/>
              </w:rPr>
            </w:pPr>
            <w:r w:rsidRPr="0067172A">
              <w:rPr>
                <w:rFonts w:cs="Arial"/>
                <w:sz w:val="18"/>
                <w:szCs w:val="18"/>
              </w:rPr>
              <w:t>Deepbody pipefish</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3DE51AA9"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193C926C"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43CA0895" w14:textId="6F381C67"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38B823AE"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0B3DA51A"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35F355AF"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59E4BE8D"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Kimblaeus bassensis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376EFAB2" w14:textId="77777777" w:rsidR="00455423" w:rsidRPr="0067172A" w:rsidRDefault="00455423" w:rsidP="00F92BED">
            <w:pPr>
              <w:spacing w:before="60" w:after="60"/>
              <w:ind w:left="35" w:hanging="35"/>
              <w:rPr>
                <w:rFonts w:cs="Arial"/>
                <w:sz w:val="18"/>
                <w:szCs w:val="18"/>
              </w:rPr>
            </w:pPr>
            <w:r w:rsidRPr="0067172A">
              <w:rPr>
                <w:rFonts w:cs="Arial"/>
                <w:sz w:val="18"/>
                <w:szCs w:val="18"/>
              </w:rPr>
              <w:t>Trawl pipefish</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37943F7A"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4D5409BB"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2C061FAE" w14:textId="4E4B8FED"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01FA1A66"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72D379C4"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76C05299"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532AE055"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Leptoichthys fistularius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2EECFAD7" w14:textId="77777777" w:rsidR="00455423" w:rsidRPr="0067172A" w:rsidRDefault="00455423" w:rsidP="00F92BED">
            <w:pPr>
              <w:spacing w:before="60" w:after="60"/>
              <w:ind w:left="35" w:hanging="35"/>
              <w:rPr>
                <w:rFonts w:cs="Arial"/>
                <w:sz w:val="18"/>
                <w:szCs w:val="18"/>
              </w:rPr>
            </w:pPr>
            <w:r w:rsidRPr="0067172A">
              <w:rPr>
                <w:rFonts w:cs="Arial"/>
                <w:sz w:val="18"/>
                <w:szCs w:val="18"/>
              </w:rPr>
              <w:t xml:space="preserve">Brushtail pipefish </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545FDB67"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7C70DB53"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109B0859" w14:textId="1C237C9D"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269C084A"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4AF6BD13"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353543BB"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4B2DA979"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Lissocampus caudalis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31CB6465" w14:textId="77777777" w:rsidR="00455423" w:rsidRPr="0067172A" w:rsidRDefault="00455423" w:rsidP="00F92BED">
            <w:pPr>
              <w:spacing w:before="60" w:after="60"/>
              <w:ind w:left="35" w:hanging="35"/>
              <w:rPr>
                <w:rFonts w:cs="Arial"/>
                <w:sz w:val="18"/>
                <w:szCs w:val="18"/>
              </w:rPr>
            </w:pPr>
            <w:r w:rsidRPr="0067172A">
              <w:rPr>
                <w:rFonts w:cs="Arial"/>
                <w:sz w:val="18"/>
                <w:szCs w:val="18"/>
              </w:rPr>
              <w:t>Australian smooth pipefish</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62D73D92"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766203CB"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29388952" w14:textId="26E63A69"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78F8CAF4"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7B8EED5F"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4E7F5208"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57743E44"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Lissocampus runa</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21858EAC" w14:textId="77777777" w:rsidR="00455423" w:rsidRPr="0067172A" w:rsidRDefault="00455423" w:rsidP="00F92BED">
            <w:pPr>
              <w:spacing w:before="60" w:after="60"/>
              <w:ind w:left="35" w:hanging="35"/>
              <w:rPr>
                <w:rFonts w:cs="Arial"/>
                <w:sz w:val="18"/>
                <w:szCs w:val="18"/>
              </w:rPr>
            </w:pPr>
            <w:r w:rsidRPr="0067172A">
              <w:rPr>
                <w:rFonts w:cs="Arial"/>
                <w:sz w:val="18"/>
                <w:szCs w:val="18"/>
              </w:rPr>
              <w:t xml:space="preserve">Javelin pipefish </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1BBF1967"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0D3E51BF"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2AD2D13F" w14:textId="466FF126"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74B234F3"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73A65106"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2A12699F"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057AEAAE"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Maroubra perserrata</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5789CCA8" w14:textId="77777777" w:rsidR="00455423" w:rsidRPr="0067172A" w:rsidRDefault="00455423" w:rsidP="00F92BED">
            <w:pPr>
              <w:spacing w:before="60" w:after="60"/>
              <w:ind w:left="35" w:hanging="35"/>
              <w:rPr>
                <w:rFonts w:cs="Arial"/>
                <w:sz w:val="18"/>
                <w:szCs w:val="18"/>
              </w:rPr>
            </w:pPr>
            <w:r w:rsidRPr="0067172A">
              <w:rPr>
                <w:rFonts w:cs="Arial"/>
                <w:sz w:val="18"/>
                <w:szCs w:val="18"/>
              </w:rPr>
              <w:t xml:space="preserve">Sawtooth pipefish </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5C7D32C1"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4A10FB44"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088441CA" w14:textId="72C58A14"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54DC8CF1"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2C17D9FC"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19B6D6C0"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1F6AC0C5"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Mitotichthys semistriatus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5D720E65" w14:textId="77777777" w:rsidR="00455423" w:rsidRPr="0067172A" w:rsidRDefault="00455423" w:rsidP="00F92BED">
            <w:pPr>
              <w:spacing w:before="60" w:after="60"/>
              <w:ind w:left="35" w:hanging="35"/>
              <w:rPr>
                <w:rFonts w:cs="Arial"/>
                <w:sz w:val="18"/>
                <w:szCs w:val="18"/>
              </w:rPr>
            </w:pPr>
            <w:r w:rsidRPr="0067172A">
              <w:rPr>
                <w:rFonts w:cs="Arial"/>
                <w:sz w:val="18"/>
                <w:szCs w:val="18"/>
              </w:rPr>
              <w:t xml:space="preserve">Halfbanded pipefish </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7B9F27CF"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23C7185A"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27FDFAC1" w14:textId="3614F4C3"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55899195"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19A2E84F"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34C663A2"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16593222"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Mitotichthys tuckeri</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76E50689" w14:textId="77777777" w:rsidR="00455423" w:rsidRPr="0067172A" w:rsidRDefault="00455423" w:rsidP="00F92BED">
            <w:pPr>
              <w:spacing w:before="60" w:after="60"/>
              <w:ind w:left="35" w:hanging="35"/>
              <w:rPr>
                <w:rFonts w:cs="Arial"/>
                <w:sz w:val="18"/>
                <w:szCs w:val="18"/>
              </w:rPr>
            </w:pPr>
            <w:r w:rsidRPr="0067172A">
              <w:rPr>
                <w:rFonts w:cs="Arial"/>
                <w:sz w:val="18"/>
                <w:szCs w:val="18"/>
              </w:rPr>
              <w:t xml:space="preserve">Tucker's Pipefish </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4B389AD9"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55995205"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75EC65D3" w14:textId="2F464A54"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090B51F5"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1253D2B0"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21DBDF33"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39E91272"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Notiocampus ruber</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3D757C07" w14:textId="77777777" w:rsidR="00455423" w:rsidRPr="0067172A" w:rsidRDefault="00455423" w:rsidP="00F92BED">
            <w:pPr>
              <w:spacing w:before="60" w:after="60"/>
              <w:ind w:left="35" w:hanging="35"/>
              <w:rPr>
                <w:rFonts w:cs="Arial"/>
                <w:sz w:val="18"/>
                <w:szCs w:val="18"/>
              </w:rPr>
            </w:pPr>
            <w:r w:rsidRPr="0067172A">
              <w:rPr>
                <w:rFonts w:cs="Arial"/>
                <w:sz w:val="18"/>
                <w:szCs w:val="18"/>
              </w:rPr>
              <w:t xml:space="preserve">Red pipefish </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5F23DF80"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7E420BDC"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46CDF95F" w14:textId="715D2F27"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66E4947D"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6A217D96"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428F4B80"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0B0E7D19"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Phycodurus eques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45E1EC31" w14:textId="77777777" w:rsidR="00455423" w:rsidRPr="0067172A" w:rsidRDefault="00455423" w:rsidP="00F92BED">
            <w:pPr>
              <w:spacing w:before="60" w:after="60"/>
              <w:ind w:left="35" w:hanging="35"/>
              <w:rPr>
                <w:rFonts w:cs="Arial"/>
                <w:sz w:val="18"/>
                <w:szCs w:val="18"/>
              </w:rPr>
            </w:pPr>
            <w:r w:rsidRPr="0067172A">
              <w:rPr>
                <w:rFonts w:cs="Arial"/>
                <w:sz w:val="18"/>
                <w:szCs w:val="18"/>
              </w:rPr>
              <w:t>Leafy seadragon</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072EF1EA"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2F0356E1"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2E28CA69" w14:textId="19C125C7"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6DE9DB5C"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3F91419F"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5C921EF1"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0E504612"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Phyllopteryx taeniolatus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389CC87A" w14:textId="77777777" w:rsidR="00455423" w:rsidRPr="0067172A" w:rsidRDefault="00455423" w:rsidP="00F92BED">
            <w:pPr>
              <w:spacing w:before="60" w:after="60"/>
              <w:ind w:left="35" w:hanging="35"/>
              <w:rPr>
                <w:rFonts w:cs="Arial"/>
                <w:sz w:val="18"/>
                <w:szCs w:val="18"/>
              </w:rPr>
            </w:pPr>
            <w:r w:rsidRPr="0067172A">
              <w:rPr>
                <w:rFonts w:cs="Arial"/>
                <w:sz w:val="18"/>
                <w:szCs w:val="18"/>
              </w:rPr>
              <w:t>Common seadragon</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71C3C30A"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7E1E44D9"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6A444086" w14:textId="3914A9EA"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576C5315"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71BC36E0"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1F13F64F"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6CB9EF38"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Pugnaso curtirostris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341B3839" w14:textId="77777777" w:rsidR="00455423" w:rsidRPr="0067172A" w:rsidRDefault="00455423" w:rsidP="00F92BED">
            <w:pPr>
              <w:spacing w:before="60" w:after="60"/>
              <w:ind w:left="35" w:hanging="35"/>
              <w:rPr>
                <w:rFonts w:cs="Arial"/>
                <w:sz w:val="18"/>
                <w:szCs w:val="18"/>
              </w:rPr>
            </w:pPr>
            <w:r w:rsidRPr="0067172A">
              <w:rPr>
                <w:rFonts w:cs="Arial"/>
                <w:sz w:val="18"/>
                <w:szCs w:val="18"/>
              </w:rPr>
              <w:t>Pugnose pipefish</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1348A65F"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65233ECF"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142D832A" w14:textId="4151E960"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310D8E51"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70198BC5"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193B1730"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5BDD0459"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Solegnathus robustus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48FCA765" w14:textId="77777777" w:rsidR="00455423" w:rsidRPr="0067172A" w:rsidRDefault="00455423" w:rsidP="00F92BED">
            <w:pPr>
              <w:spacing w:before="60" w:after="60"/>
              <w:ind w:left="35" w:hanging="35"/>
              <w:rPr>
                <w:rFonts w:cs="Arial"/>
                <w:sz w:val="18"/>
                <w:szCs w:val="18"/>
              </w:rPr>
            </w:pPr>
            <w:r w:rsidRPr="0067172A">
              <w:rPr>
                <w:rFonts w:cs="Arial"/>
                <w:sz w:val="18"/>
                <w:szCs w:val="18"/>
              </w:rPr>
              <w:t>Robust pipehorse</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1FAE9819"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080DB8B9"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1174492E" w14:textId="179AA30B"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3528377D"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62E57EB7"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2853B40D"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0AF544B6"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Solegnathus spinosissimus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7E59BD66" w14:textId="77777777" w:rsidR="00455423" w:rsidRPr="0067172A" w:rsidRDefault="00455423" w:rsidP="00F92BED">
            <w:pPr>
              <w:spacing w:before="60" w:after="60"/>
              <w:ind w:left="35" w:hanging="35"/>
              <w:rPr>
                <w:rFonts w:cs="Arial"/>
                <w:sz w:val="18"/>
                <w:szCs w:val="18"/>
              </w:rPr>
            </w:pPr>
            <w:r w:rsidRPr="0067172A">
              <w:rPr>
                <w:rFonts w:cs="Arial"/>
                <w:sz w:val="18"/>
                <w:szCs w:val="18"/>
              </w:rPr>
              <w:t>Spiny pipehorse</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53C3F69A"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1FD8583A"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49BD5A39" w14:textId="636B5FAD"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003B1C8B"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76C2C02F"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478A06CD"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2E2F2B05"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 xml:space="preserve">Stigmatopora </w:t>
            </w:r>
            <w:r w:rsidRPr="0067172A">
              <w:rPr>
                <w:rFonts w:cs="Arial"/>
                <w:i/>
                <w:sz w:val="18"/>
                <w:szCs w:val="18"/>
              </w:rPr>
              <w:lastRenderedPageBreak/>
              <w:t>argus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62921F8D" w14:textId="77777777" w:rsidR="00455423" w:rsidRPr="0067172A" w:rsidRDefault="00455423" w:rsidP="00F92BED">
            <w:pPr>
              <w:spacing w:before="60" w:after="60"/>
              <w:ind w:left="35" w:hanging="35"/>
              <w:rPr>
                <w:rFonts w:cs="Arial"/>
                <w:sz w:val="18"/>
                <w:szCs w:val="18"/>
              </w:rPr>
            </w:pPr>
            <w:r w:rsidRPr="0067172A">
              <w:rPr>
                <w:rFonts w:cs="Arial"/>
                <w:sz w:val="18"/>
                <w:szCs w:val="18"/>
              </w:rPr>
              <w:lastRenderedPageBreak/>
              <w:t>Spotted pipefish</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1AD16208"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6DAA7F68"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40E6A2F4" w14:textId="6FC9AE54"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6B065350"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6CB71ABF"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6EA57DCB"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1533B23A"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Stigmatopora nigra</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7B49270B" w14:textId="77777777" w:rsidR="00455423" w:rsidRPr="0067172A" w:rsidRDefault="00455423" w:rsidP="00F92BED">
            <w:pPr>
              <w:spacing w:before="60" w:after="60"/>
              <w:ind w:left="35" w:hanging="35"/>
              <w:rPr>
                <w:rFonts w:cs="Arial"/>
                <w:sz w:val="18"/>
                <w:szCs w:val="18"/>
              </w:rPr>
            </w:pPr>
            <w:r w:rsidRPr="0067172A">
              <w:rPr>
                <w:rFonts w:cs="Arial"/>
                <w:sz w:val="18"/>
                <w:szCs w:val="18"/>
              </w:rPr>
              <w:t xml:space="preserve">Widebody pipefish </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406BD83E"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0453971F" w14:textId="77777777" w:rsidR="00455423" w:rsidRPr="0067172A" w:rsidRDefault="00455423" w:rsidP="00326D55">
            <w:pPr>
              <w:ind w:right="148" w:hanging="720"/>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15D93683" w14:textId="3D2E3917" w:rsidR="00455423" w:rsidRPr="0067172A" w:rsidRDefault="00455423" w:rsidP="00455423">
            <w:pPr>
              <w:pStyle w:val="TableText"/>
              <w:jc w:val="center"/>
              <w:rPr>
                <w:rFonts w:cs="Arial"/>
                <w:sz w:val="18"/>
                <w:szCs w:val="18"/>
              </w:rPr>
            </w:pPr>
            <w:r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490D068C" w14:textId="77777777" w:rsidR="00455423" w:rsidRPr="0067172A" w:rsidRDefault="00455423" w:rsidP="00326D55">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13C1033A"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66EA8567"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5DD7B7A6"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Stigmatopora olivacea</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37AD5284" w14:textId="77777777" w:rsidR="00455423" w:rsidRPr="0067172A" w:rsidRDefault="00455423" w:rsidP="00F92BED">
            <w:pPr>
              <w:spacing w:before="60" w:after="60"/>
              <w:ind w:left="35" w:hanging="35"/>
              <w:rPr>
                <w:rFonts w:cs="Arial"/>
                <w:sz w:val="18"/>
                <w:szCs w:val="18"/>
              </w:rPr>
            </w:pPr>
            <w:r w:rsidRPr="0067172A">
              <w:rPr>
                <w:rFonts w:cs="Arial"/>
                <w:sz w:val="18"/>
                <w:szCs w:val="18"/>
              </w:rPr>
              <w:t xml:space="preserve">A pipefish </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0F436B6C" w14:textId="77777777" w:rsidR="00455423" w:rsidRPr="0067172A" w:rsidRDefault="00455423" w:rsidP="00F92BED">
            <w:pPr>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287CBD11"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546DFCCE" w14:textId="46285D9B" w:rsidR="00455423" w:rsidRPr="0067172A" w:rsidRDefault="006B62EF" w:rsidP="00326D55">
            <w:pPr>
              <w:ind w:right="148" w:hanging="720"/>
              <w:jc w:val="center"/>
              <w:rPr>
                <w:rFonts w:cs="Arial"/>
                <w:sz w:val="18"/>
                <w:szCs w:val="18"/>
              </w:rPr>
            </w:pPr>
            <w:r>
              <w:rPr>
                <w:rFonts w:cs="Arial"/>
                <w:sz w:val="18"/>
                <w:szCs w:val="18"/>
              </w:rPr>
              <w:t xml:space="preserve">   </w:t>
            </w:r>
            <w:r w:rsidR="00455423"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1A885D8E" w14:textId="285D9765" w:rsidR="00455423" w:rsidRPr="0067172A" w:rsidRDefault="00455423" w:rsidP="00455423">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7C79C794"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31B527E7"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4E0CBE5F"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Stipecampus cristatus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59F02950" w14:textId="77777777" w:rsidR="00455423" w:rsidRPr="0067172A" w:rsidRDefault="00455423" w:rsidP="00F92BED">
            <w:pPr>
              <w:spacing w:before="60" w:after="60"/>
              <w:ind w:left="35" w:hanging="35"/>
              <w:rPr>
                <w:rFonts w:cs="Arial"/>
                <w:sz w:val="18"/>
                <w:szCs w:val="18"/>
              </w:rPr>
            </w:pPr>
            <w:r w:rsidRPr="0067172A">
              <w:rPr>
                <w:rFonts w:cs="Arial"/>
                <w:sz w:val="18"/>
                <w:szCs w:val="18"/>
              </w:rPr>
              <w:t xml:space="preserve">Ringback pipefish </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6D6DC3FE" w14:textId="77777777" w:rsidR="00455423" w:rsidRPr="0067172A" w:rsidRDefault="00455423" w:rsidP="00F92BED">
            <w:pPr>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2704D0A0"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7EC44C95" w14:textId="159BD1B0" w:rsidR="00455423" w:rsidRPr="0067172A" w:rsidRDefault="006B62EF" w:rsidP="00326D55">
            <w:pPr>
              <w:ind w:right="148" w:hanging="720"/>
              <w:jc w:val="center"/>
              <w:rPr>
                <w:rFonts w:cs="Arial"/>
                <w:sz w:val="18"/>
                <w:szCs w:val="18"/>
              </w:rPr>
            </w:pPr>
            <w:r>
              <w:rPr>
                <w:rFonts w:cs="Arial"/>
                <w:sz w:val="18"/>
                <w:szCs w:val="18"/>
              </w:rPr>
              <w:t xml:space="preserve">   </w:t>
            </w:r>
            <w:r w:rsidR="00455423"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4BBAF4C0" w14:textId="2985B7B0" w:rsidR="00455423" w:rsidRPr="0067172A" w:rsidRDefault="00455423" w:rsidP="00455423">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5E4C5712"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1954B350"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0DC8A502"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Syngnathoides biaculeatus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656EFA44" w14:textId="77777777" w:rsidR="00455423" w:rsidRPr="0067172A" w:rsidRDefault="00455423" w:rsidP="00F92BED">
            <w:pPr>
              <w:spacing w:before="60" w:after="60"/>
              <w:ind w:left="35" w:hanging="35"/>
              <w:rPr>
                <w:rFonts w:cs="Arial"/>
                <w:sz w:val="18"/>
                <w:szCs w:val="18"/>
              </w:rPr>
            </w:pPr>
            <w:r w:rsidRPr="0067172A">
              <w:rPr>
                <w:rFonts w:cs="Arial"/>
                <w:sz w:val="18"/>
                <w:szCs w:val="18"/>
              </w:rPr>
              <w:t>Double-end pipehorse</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6D83F9E9" w14:textId="77777777" w:rsidR="00455423" w:rsidRPr="0067172A" w:rsidRDefault="00455423" w:rsidP="00F92BED">
            <w:pPr>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7B175F78"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4AB67A4D" w14:textId="15C80044" w:rsidR="00455423" w:rsidRPr="0067172A" w:rsidRDefault="006B62EF" w:rsidP="00326D55">
            <w:pPr>
              <w:ind w:right="148" w:hanging="720"/>
              <w:jc w:val="center"/>
              <w:rPr>
                <w:rFonts w:cs="Arial"/>
                <w:sz w:val="18"/>
                <w:szCs w:val="18"/>
              </w:rPr>
            </w:pPr>
            <w:r>
              <w:rPr>
                <w:rFonts w:cs="Arial"/>
                <w:sz w:val="18"/>
                <w:szCs w:val="18"/>
              </w:rPr>
              <w:t xml:space="preserve">   </w:t>
            </w:r>
            <w:r w:rsidR="00455423"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557EB19D" w14:textId="09E4A50C" w:rsidR="00455423" w:rsidRPr="0067172A" w:rsidRDefault="00455423" w:rsidP="00455423">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7870C579"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0F8481CE"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616FBD62"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Urocampus carinirostris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16C130B8" w14:textId="77777777" w:rsidR="00455423" w:rsidRPr="0067172A" w:rsidRDefault="00455423" w:rsidP="00F92BED">
            <w:pPr>
              <w:spacing w:before="60" w:after="60"/>
              <w:ind w:left="35" w:hanging="35"/>
              <w:rPr>
                <w:rFonts w:cs="Arial"/>
                <w:sz w:val="18"/>
                <w:szCs w:val="18"/>
              </w:rPr>
            </w:pPr>
            <w:r w:rsidRPr="0067172A">
              <w:rPr>
                <w:rFonts w:cs="Arial"/>
                <w:sz w:val="18"/>
                <w:szCs w:val="18"/>
              </w:rPr>
              <w:t xml:space="preserve">Hairy pipefish </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0C76CDB3" w14:textId="77777777" w:rsidR="00455423" w:rsidRPr="0067172A" w:rsidRDefault="00455423" w:rsidP="00F92BED">
            <w:pPr>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44BE111C"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4AA34B25" w14:textId="34BEF470" w:rsidR="00455423" w:rsidRPr="0067172A" w:rsidRDefault="006B62EF" w:rsidP="00326D55">
            <w:pPr>
              <w:ind w:right="148" w:hanging="720"/>
              <w:jc w:val="center"/>
              <w:rPr>
                <w:rFonts w:cs="Arial"/>
                <w:sz w:val="18"/>
                <w:szCs w:val="18"/>
              </w:rPr>
            </w:pPr>
            <w:r>
              <w:rPr>
                <w:rFonts w:cs="Arial"/>
                <w:sz w:val="18"/>
                <w:szCs w:val="18"/>
              </w:rPr>
              <w:t xml:space="preserve">   </w:t>
            </w:r>
            <w:r w:rsidR="00455423"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75869A76" w14:textId="239C6320" w:rsidR="00455423" w:rsidRPr="0067172A" w:rsidRDefault="00455423" w:rsidP="00455423">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47E0A0C5"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6DEFAE90"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69748650"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Vanacampus margaritifer</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36519A08" w14:textId="77777777" w:rsidR="00455423" w:rsidRPr="0067172A" w:rsidRDefault="00455423" w:rsidP="00F92BED">
            <w:pPr>
              <w:spacing w:before="60" w:after="60"/>
              <w:ind w:left="35" w:hanging="35"/>
              <w:rPr>
                <w:rFonts w:cs="Arial"/>
                <w:sz w:val="18"/>
                <w:szCs w:val="18"/>
              </w:rPr>
            </w:pPr>
            <w:r w:rsidRPr="0067172A">
              <w:rPr>
                <w:rFonts w:cs="Arial"/>
                <w:sz w:val="18"/>
                <w:szCs w:val="18"/>
              </w:rPr>
              <w:t xml:space="preserve">Mother-of-pearl pipefish </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738EFF1E" w14:textId="77777777" w:rsidR="00455423" w:rsidRPr="0067172A" w:rsidRDefault="00455423" w:rsidP="00F92BED">
            <w:pPr>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4FDE1669"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160EA55F" w14:textId="1CB44E52" w:rsidR="00455423" w:rsidRPr="0067172A" w:rsidRDefault="006B62EF" w:rsidP="00326D55">
            <w:pPr>
              <w:ind w:right="148" w:hanging="720"/>
              <w:jc w:val="center"/>
              <w:rPr>
                <w:rFonts w:cs="Arial"/>
                <w:sz w:val="18"/>
                <w:szCs w:val="18"/>
              </w:rPr>
            </w:pPr>
            <w:r>
              <w:rPr>
                <w:rFonts w:cs="Arial"/>
                <w:sz w:val="18"/>
                <w:szCs w:val="18"/>
              </w:rPr>
              <w:t xml:space="preserve">   </w:t>
            </w:r>
            <w:r w:rsidR="00455423"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4AEADE37" w14:textId="41938B15" w:rsidR="00455423" w:rsidRPr="0067172A" w:rsidRDefault="00455423" w:rsidP="00455423">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2F5BC05E"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4C6A9C88"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1F08B10B"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Vanacampus phillipi</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2B7CA7AC" w14:textId="77777777" w:rsidR="00455423" w:rsidRPr="0067172A" w:rsidRDefault="00455423" w:rsidP="00F92BED">
            <w:pPr>
              <w:spacing w:before="60" w:after="60"/>
              <w:ind w:left="35" w:hanging="35"/>
              <w:rPr>
                <w:rFonts w:cs="Arial"/>
                <w:sz w:val="18"/>
                <w:szCs w:val="18"/>
              </w:rPr>
            </w:pPr>
            <w:r w:rsidRPr="0067172A">
              <w:rPr>
                <w:rFonts w:cs="Arial"/>
                <w:sz w:val="18"/>
                <w:szCs w:val="18"/>
              </w:rPr>
              <w:t xml:space="preserve">Port Phillip pipefish </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68393F8F" w14:textId="77777777" w:rsidR="00455423" w:rsidRPr="0067172A" w:rsidRDefault="00455423" w:rsidP="00F92BED">
            <w:pPr>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77483520"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282B0736" w14:textId="4C2D6D44" w:rsidR="00455423" w:rsidRPr="0067172A" w:rsidRDefault="006B62EF" w:rsidP="00326D55">
            <w:pPr>
              <w:ind w:right="148" w:hanging="720"/>
              <w:jc w:val="center"/>
              <w:rPr>
                <w:rFonts w:cs="Arial"/>
                <w:sz w:val="18"/>
                <w:szCs w:val="18"/>
              </w:rPr>
            </w:pPr>
            <w:r>
              <w:rPr>
                <w:rFonts w:cs="Arial"/>
                <w:sz w:val="18"/>
                <w:szCs w:val="18"/>
              </w:rPr>
              <w:t xml:space="preserve">   </w:t>
            </w:r>
            <w:r w:rsidR="00455423"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15C05C64" w14:textId="544B70E8" w:rsidR="00455423" w:rsidRPr="0067172A" w:rsidRDefault="00455423" w:rsidP="00455423">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0FA51D88"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455423" w:rsidRPr="0067172A" w14:paraId="00779062" w14:textId="77777777" w:rsidTr="00455423">
        <w:trPr>
          <w:gridBefore w:val="1"/>
          <w:trHeight w:val="345"/>
          <w:jc w:val="center"/>
        </w:trPr>
        <w:tc>
          <w:tcPr>
            <w:tcW w:w="995" w:type="pct"/>
            <w:tcBorders>
              <w:top w:val="single" w:sz="4" w:space="0" w:color="auto"/>
              <w:left w:val="single" w:sz="4" w:space="0" w:color="auto"/>
              <w:bottom w:val="single" w:sz="4" w:space="0" w:color="auto"/>
              <w:right w:val="single" w:sz="4" w:space="0" w:color="auto"/>
            </w:tcBorders>
            <w:shd w:val="clear" w:color="auto" w:fill="auto"/>
          </w:tcPr>
          <w:p w14:paraId="3103FB1A" w14:textId="77777777" w:rsidR="00455423" w:rsidRPr="0067172A" w:rsidRDefault="00455423" w:rsidP="00F92BED">
            <w:pPr>
              <w:spacing w:before="60" w:after="60"/>
              <w:ind w:left="35" w:hanging="35"/>
              <w:rPr>
                <w:rFonts w:cs="Arial"/>
                <w:i/>
                <w:sz w:val="18"/>
                <w:szCs w:val="18"/>
              </w:rPr>
            </w:pPr>
            <w:r w:rsidRPr="0067172A">
              <w:rPr>
                <w:rFonts w:cs="Arial"/>
                <w:i/>
                <w:sz w:val="18"/>
                <w:szCs w:val="18"/>
              </w:rPr>
              <w:t>Vanacampus poecilolaemus</w:t>
            </w:r>
          </w:p>
        </w:tc>
        <w:tc>
          <w:tcPr>
            <w:tcW w:w="849" w:type="pct"/>
            <w:tcBorders>
              <w:top w:val="single" w:sz="4" w:space="0" w:color="auto"/>
              <w:left w:val="single" w:sz="4" w:space="0" w:color="auto"/>
              <w:bottom w:val="single" w:sz="4" w:space="0" w:color="auto"/>
              <w:right w:val="single" w:sz="4" w:space="0" w:color="auto"/>
            </w:tcBorders>
            <w:shd w:val="clear" w:color="auto" w:fill="auto"/>
          </w:tcPr>
          <w:p w14:paraId="00C4EB4B" w14:textId="77777777" w:rsidR="00455423" w:rsidRPr="0067172A" w:rsidRDefault="00455423" w:rsidP="00F92BED">
            <w:pPr>
              <w:spacing w:before="60" w:after="60"/>
              <w:ind w:left="35" w:hanging="35"/>
              <w:rPr>
                <w:rFonts w:cs="Arial"/>
                <w:sz w:val="18"/>
                <w:szCs w:val="18"/>
              </w:rPr>
            </w:pPr>
            <w:r w:rsidRPr="0067172A">
              <w:rPr>
                <w:rFonts w:cs="Arial"/>
                <w:sz w:val="18"/>
                <w:szCs w:val="18"/>
              </w:rPr>
              <w:t>Longsnout pipefish</w:t>
            </w:r>
          </w:p>
        </w:tc>
        <w:tc>
          <w:tcPr>
            <w:tcW w:w="712" w:type="pct"/>
            <w:tcBorders>
              <w:top w:val="single" w:sz="4" w:space="0" w:color="auto"/>
              <w:left w:val="single" w:sz="4" w:space="0" w:color="auto"/>
              <w:bottom w:val="single" w:sz="4" w:space="0" w:color="auto"/>
              <w:right w:val="single" w:sz="4" w:space="0" w:color="auto"/>
            </w:tcBorders>
            <w:shd w:val="clear" w:color="auto" w:fill="auto"/>
            <w:vAlign w:val="center"/>
          </w:tcPr>
          <w:p w14:paraId="1D833D5E" w14:textId="77777777" w:rsidR="00455423" w:rsidRPr="0067172A" w:rsidRDefault="00455423" w:rsidP="00F92BED">
            <w:pPr>
              <w:ind w:left="45" w:hanging="142"/>
              <w:jc w:val="center"/>
              <w:rPr>
                <w:rFonts w:cs="Arial"/>
                <w:sz w:val="18"/>
                <w:szCs w:val="18"/>
              </w:rPr>
            </w:pPr>
            <w:r w:rsidRPr="0067172A">
              <w:rPr>
                <w:rFonts w:cs="Arial"/>
                <w:sz w:val="18"/>
                <w:szCs w:val="18"/>
              </w:rPr>
              <w:t>-</w:t>
            </w:r>
          </w:p>
        </w:tc>
        <w:tc>
          <w:tcPr>
            <w:tcW w:w="633" w:type="pct"/>
            <w:tcBorders>
              <w:top w:val="single" w:sz="4" w:space="0" w:color="auto"/>
              <w:left w:val="single" w:sz="4" w:space="0" w:color="auto"/>
              <w:bottom w:val="single" w:sz="4" w:space="0" w:color="auto"/>
              <w:right w:val="single" w:sz="4" w:space="0" w:color="auto"/>
            </w:tcBorders>
            <w:vAlign w:val="center"/>
          </w:tcPr>
          <w:p w14:paraId="4ED5FD90" w14:textId="77777777" w:rsidR="00455423" w:rsidRPr="0067172A" w:rsidRDefault="00455423" w:rsidP="00326D55">
            <w:pPr>
              <w:spacing w:before="60" w:after="60"/>
              <w:ind w:left="45" w:hanging="142"/>
              <w:jc w:val="center"/>
              <w:rPr>
                <w:rFonts w:cs="Arial"/>
                <w:sz w:val="18"/>
                <w:szCs w:val="18"/>
              </w:rPr>
            </w:pPr>
            <w:r w:rsidRPr="0067172A">
              <w:rPr>
                <w:rFonts w:cs="Arial"/>
                <w:sz w:val="18"/>
                <w:szCs w:val="18"/>
              </w:rPr>
              <w:t>-</w:t>
            </w:r>
          </w:p>
        </w:tc>
        <w:tc>
          <w:tcPr>
            <w:tcW w:w="554" w:type="pct"/>
            <w:tcBorders>
              <w:top w:val="single" w:sz="4" w:space="0" w:color="auto"/>
              <w:left w:val="single" w:sz="4" w:space="0" w:color="auto"/>
              <w:bottom w:val="single" w:sz="4" w:space="0" w:color="auto"/>
              <w:right w:val="single" w:sz="4" w:space="0" w:color="auto"/>
            </w:tcBorders>
            <w:vAlign w:val="center"/>
          </w:tcPr>
          <w:p w14:paraId="026D6E6C" w14:textId="05C59C81" w:rsidR="00455423" w:rsidRPr="0067172A" w:rsidRDefault="006B62EF" w:rsidP="00326D55">
            <w:pPr>
              <w:ind w:right="148" w:hanging="720"/>
              <w:jc w:val="center"/>
              <w:rPr>
                <w:rFonts w:cs="Arial"/>
                <w:sz w:val="18"/>
                <w:szCs w:val="18"/>
              </w:rPr>
            </w:pPr>
            <w:r>
              <w:rPr>
                <w:rFonts w:cs="Arial"/>
                <w:sz w:val="18"/>
                <w:szCs w:val="18"/>
              </w:rPr>
              <w:t xml:space="preserve">   </w:t>
            </w:r>
            <w:r w:rsidR="00455423" w:rsidRPr="0067172A">
              <w:rPr>
                <w:rFonts w:cs="Arial"/>
                <w:sz w:val="18"/>
                <w:szCs w:val="18"/>
              </w:rPr>
              <w:t>Yes</w:t>
            </w:r>
          </w:p>
        </w:tc>
        <w:tc>
          <w:tcPr>
            <w:tcW w:w="582" w:type="pct"/>
            <w:tcBorders>
              <w:top w:val="single" w:sz="4" w:space="0" w:color="auto"/>
              <w:left w:val="single" w:sz="4" w:space="0" w:color="auto"/>
              <w:bottom w:val="single" w:sz="4" w:space="0" w:color="auto"/>
              <w:right w:val="single" w:sz="4" w:space="0" w:color="auto"/>
            </w:tcBorders>
            <w:vAlign w:val="center"/>
          </w:tcPr>
          <w:p w14:paraId="3B31CCA6" w14:textId="6D374AAC" w:rsidR="00455423" w:rsidRPr="0067172A" w:rsidRDefault="00455423" w:rsidP="00455423">
            <w:pPr>
              <w:pStyle w:val="TableText"/>
              <w:jc w:val="center"/>
              <w:rPr>
                <w:rFonts w:cs="Arial"/>
                <w:sz w:val="18"/>
                <w:szCs w:val="18"/>
              </w:rPr>
            </w:pPr>
            <w:r w:rsidRPr="0067172A">
              <w:rPr>
                <w:rFonts w:cs="Arial"/>
                <w:sz w:val="18"/>
                <w:szCs w:val="18"/>
              </w:rPr>
              <w:t>-</w:t>
            </w:r>
          </w:p>
        </w:tc>
        <w:tc>
          <w:tcPr>
            <w:tcW w:w="675" w:type="pct"/>
            <w:gridSpan w:val="2"/>
            <w:tcBorders>
              <w:top w:val="single" w:sz="4" w:space="0" w:color="auto"/>
              <w:left w:val="single" w:sz="4" w:space="0" w:color="auto"/>
              <w:bottom w:val="single" w:sz="4" w:space="0" w:color="auto"/>
              <w:right w:val="single" w:sz="4" w:space="0" w:color="auto"/>
            </w:tcBorders>
            <w:vAlign w:val="center"/>
          </w:tcPr>
          <w:p w14:paraId="0084C49E" w14:textId="77777777" w:rsidR="00455423" w:rsidRPr="0067172A" w:rsidRDefault="00455423" w:rsidP="00326D55">
            <w:pPr>
              <w:pStyle w:val="TableText"/>
              <w:jc w:val="center"/>
              <w:rPr>
                <w:rFonts w:cs="Arial"/>
                <w:sz w:val="18"/>
                <w:szCs w:val="18"/>
              </w:rPr>
            </w:pPr>
            <w:r w:rsidRPr="0067172A">
              <w:rPr>
                <w:rFonts w:cs="Arial"/>
                <w:sz w:val="18"/>
                <w:szCs w:val="18"/>
              </w:rPr>
              <w:t>-</w:t>
            </w:r>
          </w:p>
        </w:tc>
      </w:tr>
      <w:tr w:rsidR="00D44DBF" w:rsidRPr="0067172A" w14:paraId="38EEE154" w14:textId="77777777" w:rsidTr="00891DE1">
        <w:tblPrEx>
          <w:jc w:val="left"/>
          <w:tblLook w:val="04A0" w:firstRow="1" w:lastRow="0" w:firstColumn="1" w:lastColumn="0" w:noHBand="0" w:noVBand="1"/>
        </w:tblPrEx>
        <w:trPr>
          <w:gridAfter w:val="1"/>
          <w:wAfter w:w="203" w:type="dxa"/>
        </w:trPr>
        <w:tc>
          <w:tcPr>
            <w:tcW w:w="1173" w:type="pct"/>
            <w:gridSpan w:val="2"/>
            <w:tcBorders>
              <w:top w:val="nil"/>
              <w:left w:val="nil"/>
              <w:bottom w:val="single" w:sz="4" w:space="0" w:color="auto"/>
              <w:right w:val="nil"/>
            </w:tcBorders>
            <w:shd w:val="clear" w:color="auto" w:fill="auto"/>
          </w:tcPr>
          <w:p w14:paraId="17410AD0" w14:textId="77777777" w:rsidR="00D44DBF" w:rsidRPr="0067172A" w:rsidRDefault="00D44DBF" w:rsidP="002A4763">
            <w:pPr>
              <w:spacing w:before="40" w:after="80"/>
              <w:ind w:hanging="828"/>
              <w:rPr>
                <w:rFonts w:cs="Arial"/>
                <w:sz w:val="18"/>
                <w:szCs w:val="18"/>
                <w:u w:val="single"/>
              </w:rPr>
            </w:pPr>
            <w:r w:rsidRPr="0067172A">
              <w:rPr>
                <w:rFonts w:cs="Arial"/>
                <w:sz w:val="18"/>
                <w:szCs w:val="18"/>
                <w:u w:val="single"/>
              </w:rPr>
              <w:t>Definitions</w:t>
            </w:r>
          </w:p>
        </w:tc>
        <w:tc>
          <w:tcPr>
            <w:tcW w:w="3827" w:type="pct"/>
            <w:gridSpan w:val="6"/>
            <w:tcBorders>
              <w:top w:val="nil"/>
              <w:left w:val="nil"/>
              <w:bottom w:val="single" w:sz="4" w:space="0" w:color="auto"/>
              <w:right w:val="nil"/>
            </w:tcBorders>
            <w:shd w:val="clear" w:color="auto" w:fill="auto"/>
          </w:tcPr>
          <w:p w14:paraId="35487CF7" w14:textId="77777777" w:rsidR="00D44DBF" w:rsidRPr="0067172A" w:rsidRDefault="00D44DBF" w:rsidP="00326D55">
            <w:pPr>
              <w:spacing w:before="40" w:after="80"/>
              <w:rPr>
                <w:rFonts w:cs="Arial"/>
                <w:sz w:val="18"/>
                <w:szCs w:val="18"/>
              </w:rPr>
            </w:pPr>
          </w:p>
        </w:tc>
      </w:tr>
      <w:tr w:rsidR="00D44DBF" w:rsidRPr="0067172A" w14:paraId="09DD6527" w14:textId="77777777" w:rsidTr="00891DE1">
        <w:tblPrEx>
          <w:jc w:val="left"/>
          <w:tblLook w:val="04A0" w:firstRow="1" w:lastRow="0" w:firstColumn="1" w:lastColumn="0" w:noHBand="0" w:noVBand="1"/>
        </w:tblPrEx>
        <w:trPr>
          <w:gridAfter w:val="1"/>
          <w:wAfter w:w="203" w:type="dxa"/>
        </w:trPr>
        <w:tc>
          <w:tcPr>
            <w:tcW w:w="1173" w:type="pct"/>
            <w:gridSpan w:val="2"/>
            <w:tcBorders>
              <w:top w:val="single" w:sz="4" w:space="0" w:color="auto"/>
              <w:left w:val="single" w:sz="4" w:space="0" w:color="auto"/>
              <w:bottom w:val="single" w:sz="4" w:space="0" w:color="auto"/>
              <w:right w:val="single" w:sz="4" w:space="0" w:color="auto"/>
            </w:tcBorders>
            <w:shd w:val="clear" w:color="auto" w:fill="auto"/>
          </w:tcPr>
          <w:p w14:paraId="3F4725F0" w14:textId="77777777" w:rsidR="00D44DBF" w:rsidRPr="0067172A" w:rsidRDefault="00D44DBF" w:rsidP="00D44DBF">
            <w:pPr>
              <w:spacing w:before="40" w:after="80"/>
              <w:ind w:left="34"/>
              <w:rPr>
                <w:rFonts w:cs="Arial"/>
                <w:sz w:val="18"/>
                <w:szCs w:val="18"/>
              </w:rPr>
            </w:pPr>
            <w:r w:rsidRPr="0067172A">
              <w:rPr>
                <w:rFonts w:cs="Arial"/>
                <w:i/>
                <w:sz w:val="18"/>
                <w:szCs w:val="18"/>
              </w:rPr>
              <w:t>Listed threatened species</w:t>
            </w:r>
            <w:r w:rsidRPr="0067172A">
              <w:rPr>
                <w:rFonts w:cs="Arial"/>
                <w:sz w:val="18"/>
                <w:szCs w:val="18"/>
              </w:rPr>
              <w:t>:</w:t>
            </w:r>
          </w:p>
        </w:tc>
        <w:tc>
          <w:tcPr>
            <w:tcW w:w="3827" w:type="pct"/>
            <w:gridSpan w:val="6"/>
            <w:tcBorders>
              <w:top w:val="single" w:sz="4" w:space="0" w:color="auto"/>
              <w:left w:val="single" w:sz="4" w:space="0" w:color="auto"/>
              <w:bottom w:val="single" w:sz="4" w:space="0" w:color="auto"/>
              <w:right w:val="single" w:sz="4" w:space="0" w:color="auto"/>
            </w:tcBorders>
            <w:shd w:val="clear" w:color="auto" w:fill="auto"/>
          </w:tcPr>
          <w:p w14:paraId="27873A89" w14:textId="77777777" w:rsidR="00D44DBF" w:rsidRPr="0067172A" w:rsidRDefault="00D44DBF" w:rsidP="00D44DBF">
            <w:pPr>
              <w:spacing w:before="40" w:after="80"/>
              <w:ind w:left="75"/>
              <w:rPr>
                <w:rFonts w:cs="Arial"/>
                <w:sz w:val="18"/>
                <w:szCs w:val="18"/>
              </w:rPr>
            </w:pPr>
            <w:r w:rsidRPr="0067172A">
              <w:rPr>
                <w:rFonts w:cs="Arial"/>
                <w:sz w:val="18"/>
                <w:szCs w:val="18"/>
              </w:rPr>
              <w:t xml:space="preserve">A native species listed in Section 178 of the </w:t>
            </w:r>
            <w:r w:rsidRPr="0067172A">
              <w:rPr>
                <w:rFonts w:cs="Arial"/>
                <w:i/>
                <w:sz w:val="18"/>
                <w:szCs w:val="18"/>
              </w:rPr>
              <w:t>EPBC Act</w:t>
            </w:r>
            <w:r w:rsidRPr="0067172A">
              <w:rPr>
                <w:rFonts w:cs="Arial"/>
                <w:sz w:val="18"/>
                <w:szCs w:val="18"/>
              </w:rPr>
              <w:t xml:space="preserve"> as either extinct, extinct in the wild, critically endangered, endangered, and vulnerable or conservation dependent. </w:t>
            </w:r>
          </w:p>
        </w:tc>
      </w:tr>
      <w:tr w:rsidR="00D44DBF" w:rsidRPr="0067172A" w14:paraId="26DDE684" w14:textId="77777777" w:rsidTr="00891DE1">
        <w:tblPrEx>
          <w:jc w:val="left"/>
          <w:tblLook w:val="04A0" w:firstRow="1" w:lastRow="0" w:firstColumn="1" w:lastColumn="0" w:noHBand="0" w:noVBand="1"/>
        </w:tblPrEx>
        <w:trPr>
          <w:gridAfter w:val="1"/>
          <w:wAfter w:w="203" w:type="dxa"/>
        </w:trPr>
        <w:tc>
          <w:tcPr>
            <w:tcW w:w="1173" w:type="pct"/>
            <w:gridSpan w:val="2"/>
            <w:tcBorders>
              <w:top w:val="single" w:sz="4" w:space="0" w:color="auto"/>
              <w:left w:val="single" w:sz="4" w:space="0" w:color="auto"/>
              <w:bottom w:val="single" w:sz="4" w:space="0" w:color="auto"/>
              <w:right w:val="single" w:sz="4" w:space="0" w:color="auto"/>
            </w:tcBorders>
            <w:shd w:val="clear" w:color="auto" w:fill="auto"/>
          </w:tcPr>
          <w:p w14:paraId="0D7E324F" w14:textId="77777777" w:rsidR="00D44DBF" w:rsidRPr="0067172A" w:rsidRDefault="00D44DBF" w:rsidP="00D44DBF">
            <w:pPr>
              <w:spacing w:before="40" w:after="80"/>
              <w:ind w:left="34"/>
              <w:rPr>
                <w:rFonts w:cs="Arial"/>
                <w:sz w:val="18"/>
                <w:szCs w:val="18"/>
              </w:rPr>
            </w:pPr>
            <w:r w:rsidRPr="0067172A">
              <w:rPr>
                <w:rFonts w:cs="Arial"/>
                <w:i/>
                <w:sz w:val="18"/>
                <w:szCs w:val="18"/>
              </w:rPr>
              <w:t>Listed migratory species</w:t>
            </w:r>
            <w:r w:rsidRPr="0067172A">
              <w:rPr>
                <w:rFonts w:cs="Arial"/>
                <w:sz w:val="18"/>
                <w:szCs w:val="18"/>
              </w:rPr>
              <w:t xml:space="preserve">: </w:t>
            </w:r>
          </w:p>
        </w:tc>
        <w:tc>
          <w:tcPr>
            <w:tcW w:w="3827" w:type="pct"/>
            <w:gridSpan w:val="6"/>
            <w:tcBorders>
              <w:top w:val="single" w:sz="4" w:space="0" w:color="auto"/>
              <w:left w:val="single" w:sz="4" w:space="0" w:color="auto"/>
              <w:bottom w:val="single" w:sz="4" w:space="0" w:color="auto"/>
              <w:right w:val="single" w:sz="4" w:space="0" w:color="auto"/>
            </w:tcBorders>
            <w:shd w:val="clear" w:color="auto" w:fill="auto"/>
          </w:tcPr>
          <w:p w14:paraId="3D5CA976" w14:textId="77777777" w:rsidR="00D44DBF" w:rsidRPr="0067172A" w:rsidRDefault="00D44DBF" w:rsidP="00D44DBF">
            <w:pPr>
              <w:spacing w:before="40" w:after="80"/>
              <w:ind w:left="75"/>
              <w:rPr>
                <w:rFonts w:cs="Arial"/>
                <w:sz w:val="18"/>
                <w:szCs w:val="18"/>
              </w:rPr>
            </w:pPr>
            <w:r w:rsidRPr="0067172A">
              <w:rPr>
                <w:rFonts w:cs="Arial"/>
                <w:sz w:val="18"/>
                <w:szCs w:val="18"/>
              </w:rPr>
              <w:t xml:space="preserve">A native species that from time to time is included in the appendices to the Bonn Convention and the annexes of JAMBA, CAMBA and ROKAMBA, as listed in Section 209 of the </w:t>
            </w:r>
            <w:r w:rsidRPr="0067172A">
              <w:rPr>
                <w:rFonts w:cs="Arial"/>
                <w:i/>
                <w:sz w:val="18"/>
                <w:szCs w:val="18"/>
              </w:rPr>
              <w:t>EPBC Act</w:t>
            </w:r>
            <w:r w:rsidRPr="0067172A">
              <w:rPr>
                <w:rFonts w:cs="Arial"/>
                <w:sz w:val="18"/>
                <w:szCs w:val="18"/>
              </w:rPr>
              <w:t xml:space="preserve">. </w:t>
            </w:r>
          </w:p>
        </w:tc>
      </w:tr>
      <w:tr w:rsidR="00D44DBF" w:rsidRPr="0067172A" w14:paraId="25C934AC" w14:textId="77777777" w:rsidTr="00891DE1">
        <w:tblPrEx>
          <w:jc w:val="left"/>
          <w:tblLook w:val="04A0" w:firstRow="1" w:lastRow="0" w:firstColumn="1" w:lastColumn="0" w:noHBand="0" w:noVBand="1"/>
        </w:tblPrEx>
        <w:trPr>
          <w:gridAfter w:val="1"/>
          <w:wAfter w:w="203" w:type="dxa"/>
        </w:trPr>
        <w:tc>
          <w:tcPr>
            <w:tcW w:w="1173" w:type="pct"/>
            <w:gridSpan w:val="2"/>
            <w:tcBorders>
              <w:top w:val="single" w:sz="4" w:space="0" w:color="auto"/>
              <w:left w:val="single" w:sz="4" w:space="0" w:color="auto"/>
              <w:bottom w:val="single" w:sz="4" w:space="0" w:color="auto"/>
              <w:right w:val="single" w:sz="4" w:space="0" w:color="auto"/>
            </w:tcBorders>
            <w:shd w:val="clear" w:color="auto" w:fill="auto"/>
          </w:tcPr>
          <w:p w14:paraId="29E116D8" w14:textId="77777777" w:rsidR="00D44DBF" w:rsidRPr="0067172A" w:rsidRDefault="00D44DBF" w:rsidP="00D44DBF">
            <w:pPr>
              <w:spacing w:before="40" w:after="80"/>
              <w:ind w:left="34"/>
              <w:rPr>
                <w:rFonts w:cs="Arial"/>
                <w:sz w:val="18"/>
                <w:szCs w:val="18"/>
              </w:rPr>
            </w:pPr>
            <w:r w:rsidRPr="0067172A">
              <w:rPr>
                <w:rFonts w:cs="Arial"/>
                <w:i/>
                <w:sz w:val="18"/>
                <w:szCs w:val="18"/>
              </w:rPr>
              <w:t>Listed marine species</w:t>
            </w:r>
            <w:r w:rsidRPr="0067172A">
              <w:rPr>
                <w:rFonts w:cs="Arial"/>
                <w:sz w:val="18"/>
                <w:szCs w:val="18"/>
              </w:rPr>
              <w:t xml:space="preserve">: </w:t>
            </w:r>
          </w:p>
        </w:tc>
        <w:tc>
          <w:tcPr>
            <w:tcW w:w="3827" w:type="pct"/>
            <w:gridSpan w:val="6"/>
            <w:tcBorders>
              <w:top w:val="single" w:sz="4" w:space="0" w:color="auto"/>
              <w:left w:val="single" w:sz="4" w:space="0" w:color="auto"/>
              <w:bottom w:val="single" w:sz="4" w:space="0" w:color="auto"/>
              <w:right w:val="single" w:sz="4" w:space="0" w:color="auto"/>
            </w:tcBorders>
            <w:shd w:val="clear" w:color="auto" w:fill="auto"/>
          </w:tcPr>
          <w:p w14:paraId="3B361B7C" w14:textId="77777777" w:rsidR="00D44DBF" w:rsidRPr="0067172A" w:rsidRDefault="00D44DBF" w:rsidP="00D44DBF">
            <w:pPr>
              <w:spacing w:before="40" w:after="80"/>
              <w:ind w:left="75"/>
              <w:rPr>
                <w:rFonts w:cs="Arial"/>
                <w:sz w:val="18"/>
                <w:szCs w:val="18"/>
              </w:rPr>
            </w:pPr>
            <w:r w:rsidRPr="0067172A">
              <w:rPr>
                <w:rFonts w:cs="Arial"/>
                <w:sz w:val="18"/>
                <w:szCs w:val="18"/>
              </w:rPr>
              <w:t xml:space="preserve">As listed in Section 248 of the </w:t>
            </w:r>
            <w:r w:rsidRPr="0067172A">
              <w:rPr>
                <w:rFonts w:cs="Arial"/>
                <w:i/>
                <w:sz w:val="18"/>
                <w:szCs w:val="18"/>
              </w:rPr>
              <w:t>EPBC Act</w:t>
            </w:r>
            <w:r w:rsidRPr="0067172A">
              <w:rPr>
                <w:rFonts w:cs="Arial"/>
                <w:sz w:val="18"/>
                <w:szCs w:val="18"/>
              </w:rPr>
              <w:t>.</w:t>
            </w:r>
          </w:p>
        </w:tc>
      </w:tr>
    </w:tbl>
    <w:p w14:paraId="32F66F0B" w14:textId="77777777" w:rsidR="00BF60E0" w:rsidRPr="0067172A" w:rsidRDefault="00BF60E0" w:rsidP="00891DE1">
      <w:pPr>
        <w:pStyle w:val="bodycopy"/>
        <w:spacing w:before="40"/>
        <w:ind w:hanging="284"/>
        <w:rPr>
          <w:rFonts w:ascii="Arial" w:hAnsi="Arial"/>
          <w:sz w:val="18"/>
          <w:szCs w:val="18"/>
          <w:u w:val="single"/>
        </w:rPr>
      </w:pPr>
      <w:r w:rsidRPr="0067172A">
        <w:rPr>
          <w:rFonts w:ascii="Arial" w:hAnsi="Arial"/>
          <w:sz w:val="18"/>
          <w:szCs w:val="18"/>
          <w:u w:val="single"/>
        </w:rPr>
        <w:t>Key</w:t>
      </w:r>
    </w:p>
    <w:tbl>
      <w:tblPr>
        <w:tblW w:w="0" w:type="auto"/>
        <w:tblInd w:w="-17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3016"/>
        <w:gridCol w:w="954"/>
        <w:gridCol w:w="3402"/>
      </w:tblGrid>
      <w:tr w:rsidR="00BF60E0" w:rsidRPr="0067172A" w14:paraId="0C44CEAB" w14:textId="77777777" w:rsidTr="00891DE1">
        <w:tc>
          <w:tcPr>
            <w:tcW w:w="3016" w:type="dxa"/>
            <w:shd w:val="clear" w:color="auto" w:fill="auto"/>
          </w:tcPr>
          <w:p w14:paraId="330EDA8E" w14:textId="77777777" w:rsidR="00BF60E0" w:rsidRPr="0067172A" w:rsidRDefault="00BF60E0" w:rsidP="00DD7BE1">
            <w:pPr>
              <w:pStyle w:val="bodycopy"/>
              <w:rPr>
                <w:rFonts w:ascii="Arial" w:hAnsi="Arial"/>
                <w:sz w:val="18"/>
                <w:szCs w:val="18"/>
              </w:rPr>
            </w:pPr>
            <w:r w:rsidRPr="0067172A">
              <w:rPr>
                <w:rFonts w:ascii="Arial" w:hAnsi="Arial"/>
                <w:sz w:val="18"/>
                <w:szCs w:val="18"/>
              </w:rPr>
              <w:t>EPBC status (@ Dec 2016)</w:t>
            </w:r>
          </w:p>
        </w:tc>
        <w:tc>
          <w:tcPr>
            <w:tcW w:w="954" w:type="dxa"/>
            <w:shd w:val="clear" w:color="auto" w:fill="auto"/>
          </w:tcPr>
          <w:p w14:paraId="5BE34018" w14:textId="77777777" w:rsidR="00BF60E0" w:rsidRPr="0067172A" w:rsidRDefault="00BF60E0" w:rsidP="00DD7BE1">
            <w:pPr>
              <w:pStyle w:val="bodycopy"/>
              <w:rPr>
                <w:rFonts w:ascii="Arial" w:hAnsi="Arial"/>
                <w:sz w:val="18"/>
                <w:szCs w:val="18"/>
              </w:rPr>
            </w:pPr>
            <w:r w:rsidRPr="0067172A">
              <w:rPr>
                <w:rFonts w:ascii="Arial" w:hAnsi="Arial"/>
                <w:sz w:val="18"/>
                <w:szCs w:val="18"/>
              </w:rPr>
              <w:t>V</w:t>
            </w:r>
          </w:p>
        </w:tc>
        <w:tc>
          <w:tcPr>
            <w:tcW w:w="3402" w:type="dxa"/>
            <w:shd w:val="clear" w:color="auto" w:fill="auto"/>
          </w:tcPr>
          <w:p w14:paraId="381EAFA3" w14:textId="77777777" w:rsidR="00BF60E0" w:rsidRPr="0067172A" w:rsidRDefault="00BF60E0" w:rsidP="00DD7BE1">
            <w:pPr>
              <w:pStyle w:val="bodycopy"/>
              <w:rPr>
                <w:rFonts w:ascii="Arial" w:hAnsi="Arial"/>
                <w:sz w:val="18"/>
                <w:szCs w:val="18"/>
              </w:rPr>
            </w:pPr>
            <w:r w:rsidRPr="0067172A">
              <w:rPr>
                <w:rFonts w:ascii="Arial" w:hAnsi="Arial"/>
                <w:sz w:val="18"/>
                <w:szCs w:val="18"/>
              </w:rPr>
              <w:t>Vulnerable</w:t>
            </w:r>
          </w:p>
        </w:tc>
      </w:tr>
      <w:tr w:rsidR="00BF60E0" w:rsidRPr="0067172A" w14:paraId="0186160B" w14:textId="77777777" w:rsidTr="00891DE1">
        <w:tc>
          <w:tcPr>
            <w:tcW w:w="3016" w:type="dxa"/>
            <w:shd w:val="clear" w:color="auto" w:fill="auto"/>
          </w:tcPr>
          <w:p w14:paraId="46B9306A" w14:textId="77777777" w:rsidR="00BF60E0" w:rsidRPr="0067172A" w:rsidRDefault="00BF60E0" w:rsidP="00DD7BE1">
            <w:pPr>
              <w:pStyle w:val="bodycopy"/>
              <w:rPr>
                <w:rFonts w:ascii="Arial" w:hAnsi="Arial"/>
                <w:sz w:val="18"/>
                <w:szCs w:val="18"/>
              </w:rPr>
            </w:pPr>
          </w:p>
        </w:tc>
        <w:tc>
          <w:tcPr>
            <w:tcW w:w="954" w:type="dxa"/>
            <w:shd w:val="clear" w:color="auto" w:fill="auto"/>
          </w:tcPr>
          <w:p w14:paraId="4983387C" w14:textId="77777777" w:rsidR="00BF60E0" w:rsidRPr="0067172A" w:rsidRDefault="00BF60E0" w:rsidP="00DD7BE1">
            <w:pPr>
              <w:pStyle w:val="bodycopy"/>
              <w:rPr>
                <w:rFonts w:ascii="Arial" w:hAnsi="Arial"/>
                <w:sz w:val="18"/>
                <w:szCs w:val="18"/>
              </w:rPr>
            </w:pPr>
            <w:r w:rsidRPr="0067172A">
              <w:rPr>
                <w:rFonts w:ascii="Arial" w:hAnsi="Arial"/>
                <w:sz w:val="18"/>
                <w:szCs w:val="18"/>
              </w:rPr>
              <w:t>E</w:t>
            </w:r>
          </w:p>
        </w:tc>
        <w:tc>
          <w:tcPr>
            <w:tcW w:w="3402" w:type="dxa"/>
            <w:shd w:val="clear" w:color="auto" w:fill="auto"/>
          </w:tcPr>
          <w:p w14:paraId="4A1ACF0E" w14:textId="77777777" w:rsidR="00BF60E0" w:rsidRPr="0067172A" w:rsidRDefault="00BF60E0" w:rsidP="00DD7BE1">
            <w:pPr>
              <w:pStyle w:val="bodycopy"/>
              <w:rPr>
                <w:rFonts w:ascii="Arial" w:hAnsi="Arial"/>
                <w:sz w:val="18"/>
                <w:szCs w:val="18"/>
              </w:rPr>
            </w:pPr>
            <w:r w:rsidRPr="0067172A">
              <w:rPr>
                <w:rFonts w:ascii="Arial" w:hAnsi="Arial"/>
                <w:sz w:val="18"/>
                <w:szCs w:val="18"/>
              </w:rPr>
              <w:t>Endangered</w:t>
            </w:r>
          </w:p>
        </w:tc>
      </w:tr>
      <w:tr w:rsidR="00BF60E0" w:rsidRPr="0067172A" w14:paraId="48C2821B" w14:textId="77777777" w:rsidTr="00891DE1">
        <w:tc>
          <w:tcPr>
            <w:tcW w:w="3016" w:type="dxa"/>
            <w:shd w:val="clear" w:color="auto" w:fill="auto"/>
          </w:tcPr>
          <w:p w14:paraId="10086231" w14:textId="77777777" w:rsidR="00BF60E0" w:rsidRPr="0067172A" w:rsidRDefault="00BF60E0" w:rsidP="00DD7BE1">
            <w:pPr>
              <w:pStyle w:val="bodycopy"/>
              <w:rPr>
                <w:rFonts w:ascii="Arial" w:hAnsi="Arial"/>
                <w:sz w:val="18"/>
                <w:szCs w:val="18"/>
              </w:rPr>
            </w:pPr>
          </w:p>
        </w:tc>
        <w:tc>
          <w:tcPr>
            <w:tcW w:w="954" w:type="dxa"/>
            <w:shd w:val="clear" w:color="auto" w:fill="auto"/>
          </w:tcPr>
          <w:p w14:paraId="2CAB9C23" w14:textId="77777777" w:rsidR="00BF60E0" w:rsidRPr="0067172A" w:rsidRDefault="00BF60E0" w:rsidP="00DD7BE1">
            <w:pPr>
              <w:pStyle w:val="bodycopy"/>
              <w:rPr>
                <w:rFonts w:ascii="Arial" w:hAnsi="Arial"/>
                <w:sz w:val="18"/>
                <w:szCs w:val="18"/>
              </w:rPr>
            </w:pPr>
            <w:r w:rsidRPr="0067172A">
              <w:rPr>
                <w:rFonts w:ascii="Arial" w:hAnsi="Arial"/>
                <w:sz w:val="18"/>
                <w:szCs w:val="18"/>
              </w:rPr>
              <w:t>CE</w:t>
            </w:r>
          </w:p>
        </w:tc>
        <w:tc>
          <w:tcPr>
            <w:tcW w:w="3402" w:type="dxa"/>
            <w:shd w:val="clear" w:color="auto" w:fill="auto"/>
          </w:tcPr>
          <w:p w14:paraId="4E91C1BE" w14:textId="77777777" w:rsidR="00BF60E0" w:rsidRPr="0067172A" w:rsidRDefault="00BF60E0" w:rsidP="00DD7BE1">
            <w:pPr>
              <w:pStyle w:val="bodycopy"/>
              <w:rPr>
                <w:rFonts w:ascii="Arial" w:hAnsi="Arial"/>
                <w:sz w:val="18"/>
                <w:szCs w:val="18"/>
              </w:rPr>
            </w:pPr>
            <w:r w:rsidRPr="0067172A">
              <w:rPr>
                <w:rFonts w:ascii="Arial" w:hAnsi="Arial"/>
                <w:sz w:val="18"/>
                <w:szCs w:val="18"/>
              </w:rPr>
              <w:t>Critically endangered</w:t>
            </w:r>
          </w:p>
        </w:tc>
      </w:tr>
      <w:tr w:rsidR="00BF60E0" w:rsidRPr="0067172A" w14:paraId="73D68F93" w14:textId="77777777" w:rsidTr="00891DE1">
        <w:tc>
          <w:tcPr>
            <w:tcW w:w="3016" w:type="dxa"/>
            <w:shd w:val="clear" w:color="auto" w:fill="auto"/>
          </w:tcPr>
          <w:p w14:paraId="69063380" w14:textId="77777777" w:rsidR="00BF60E0" w:rsidRPr="0067172A" w:rsidRDefault="00BF60E0" w:rsidP="00DD7BE1">
            <w:pPr>
              <w:pStyle w:val="bodycopy"/>
              <w:rPr>
                <w:rFonts w:ascii="Arial" w:hAnsi="Arial"/>
                <w:sz w:val="18"/>
                <w:szCs w:val="18"/>
              </w:rPr>
            </w:pPr>
            <w:r w:rsidRPr="0067172A">
              <w:rPr>
                <w:rFonts w:ascii="Arial" w:hAnsi="Arial"/>
                <w:sz w:val="18"/>
                <w:szCs w:val="18"/>
              </w:rPr>
              <w:t>BIA</w:t>
            </w:r>
          </w:p>
        </w:tc>
        <w:tc>
          <w:tcPr>
            <w:tcW w:w="954" w:type="dxa"/>
            <w:shd w:val="clear" w:color="auto" w:fill="auto"/>
          </w:tcPr>
          <w:p w14:paraId="2DF2B2B5" w14:textId="77777777" w:rsidR="00BF60E0" w:rsidRPr="0067172A" w:rsidRDefault="00BF60E0" w:rsidP="00DD7BE1">
            <w:pPr>
              <w:pStyle w:val="bodycopy"/>
              <w:rPr>
                <w:rFonts w:ascii="Arial" w:hAnsi="Arial"/>
                <w:sz w:val="18"/>
                <w:szCs w:val="18"/>
              </w:rPr>
            </w:pPr>
            <w:r w:rsidRPr="0067172A">
              <w:rPr>
                <w:rFonts w:ascii="Arial" w:hAnsi="Arial"/>
                <w:sz w:val="18"/>
                <w:szCs w:val="18"/>
              </w:rPr>
              <w:t>A</w:t>
            </w:r>
          </w:p>
        </w:tc>
        <w:tc>
          <w:tcPr>
            <w:tcW w:w="3402" w:type="dxa"/>
            <w:shd w:val="clear" w:color="auto" w:fill="auto"/>
          </w:tcPr>
          <w:p w14:paraId="52BE913C" w14:textId="77777777" w:rsidR="00BF60E0" w:rsidRPr="0067172A" w:rsidRDefault="00BF60E0" w:rsidP="00DD7BE1">
            <w:pPr>
              <w:pStyle w:val="bodycopy"/>
              <w:rPr>
                <w:rFonts w:ascii="Arial" w:hAnsi="Arial"/>
                <w:sz w:val="18"/>
                <w:szCs w:val="18"/>
              </w:rPr>
            </w:pPr>
            <w:r w:rsidRPr="0067172A">
              <w:rPr>
                <w:rFonts w:ascii="Arial" w:hAnsi="Arial"/>
                <w:sz w:val="18"/>
                <w:szCs w:val="18"/>
              </w:rPr>
              <w:t>Aggregation</w:t>
            </w:r>
          </w:p>
        </w:tc>
      </w:tr>
      <w:tr w:rsidR="00BF60E0" w:rsidRPr="0067172A" w14:paraId="776F00A4" w14:textId="77777777" w:rsidTr="00891DE1">
        <w:tc>
          <w:tcPr>
            <w:tcW w:w="3016" w:type="dxa"/>
            <w:shd w:val="clear" w:color="auto" w:fill="auto"/>
          </w:tcPr>
          <w:p w14:paraId="094EE002" w14:textId="77777777" w:rsidR="00BF60E0" w:rsidRPr="0067172A" w:rsidRDefault="00BF60E0" w:rsidP="00DD7BE1">
            <w:pPr>
              <w:pStyle w:val="bodycopy"/>
              <w:rPr>
                <w:rFonts w:ascii="Arial" w:hAnsi="Arial"/>
                <w:sz w:val="18"/>
                <w:szCs w:val="18"/>
              </w:rPr>
            </w:pPr>
          </w:p>
        </w:tc>
        <w:tc>
          <w:tcPr>
            <w:tcW w:w="954" w:type="dxa"/>
            <w:shd w:val="clear" w:color="auto" w:fill="auto"/>
          </w:tcPr>
          <w:p w14:paraId="31F46BE4" w14:textId="77777777" w:rsidR="00BF60E0" w:rsidRPr="0067172A" w:rsidRDefault="00BF60E0" w:rsidP="00DD7BE1">
            <w:pPr>
              <w:pStyle w:val="bodycopy"/>
              <w:rPr>
                <w:rFonts w:ascii="Arial" w:hAnsi="Arial"/>
                <w:sz w:val="18"/>
                <w:szCs w:val="18"/>
              </w:rPr>
            </w:pPr>
            <w:r w:rsidRPr="0067172A">
              <w:rPr>
                <w:rFonts w:ascii="Arial" w:hAnsi="Arial"/>
                <w:sz w:val="18"/>
                <w:szCs w:val="18"/>
              </w:rPr>
              <w:t>D</w:t>
            </w:r>
          </w:p>
        </w:tc>
        <w:tc>
          <w:tcPr>
            <w:tcW w:w="3402" w:type="dxa"/>
            <w:shd w:val="clear" w:color="auto" w:fill="auto"/>
          </w:tcPr>
          <w:p w14:paraId="08DBE864" w14:textId="77777777" w:rsidR="00BF60E0" w:rsidRPr="0067172A" w:rsidRDefault="00BF60E0" w:rsidP="00DD7BE1">
            <w:pPr>
              <w:pStyle w:val="bodycopy"/>
              <w:rPr>
                <w:rFonts w:ascii="Arial" w:hAnsi="Arial"/>
                <w:sz w:val="18"/>
                <w:szCs w:val="18"/>
              </w:rPr>
            </w:pPr>
            <w:r w:rsidRPr="0067172A">
              <w:rPr>
                <w:rFonts w:ascii="Arial" w:hAnsi="Arial"/>
                <w:sz w:val="18"/>
                <w:szCs w:val="18"/>
              </w:rPr>
              <w:t>Distribution (i.e., presence only)</w:t>
            </w:r>
          </w:p>
        </w:tc>
      </w:tr>
      <w:tr w:rsidR="00BF60E0" w:rsidRPr="0067172A" w14:paraId="0686A54B" w14:textId="77777777" w:rsidTr="00891DE1">
        <w:tc>
          <w:tcPr>
            <w:tcW w:w="3016" w:type="dxa"/>
            <w:shd w:val="clear" w:color="auto" w:fill="auto"/>
          </w:tcPr>
          <w:p w14:paraId="78789C3F" w14:textId="77777777" w:rsidR="00BF60E0" w:rsidRPr="0067172A" w:rsidRDefault="00BF60E0" w:rsidP="00DD7BE1">
            <w:pPr>
              <w:pStyle w:val="bodycopy"/>
              <w:rPr>
                <w:rFonts w:ascii="Arial" w:hAnsi="Arial"/>
                <w:sz w:val="18"/>
                <w:szCs w:val="18"/>
              </w:rPr>
            </w:pPr>
          </w:p>
        </w:tc>
        <w:tc>
          <w:tcPr>
            <w:tcW w:w="954" w:type="dxa"/>
            <w:shd w:val="clear" w:color="auto" w:fill="auto"/>
          </w:tcPr>
          <w:p w14:paraId="460F02B7" w14:textId="77777777" w:rsidR="00BF60E0" w:rsidRPr="0067172A" w:rsidRDefault="00BF60E0" w:rsidP="00DD7BE1">
            <w:pPr>
              <w:pStyle w:val="bodycopy"/>
              <w:rPr>
                <w:rFonts w:ascii="Arial" w:hAnsi="Arial"/>
                <w:sz w:val="18"/>
                <w:szCs w:val="18"/>
              </w:rPr>
            </w:pPr>
            <w:r w:rsidRPr="0067172A">
              <w:rPr>
                <w:rFonts w:ascii="Arial" w:hAnsi="Arial"/>
                <w:sz w:val="18"/>
                <w:szCs w:val="18"/>
              </w:rPr>
              <w:t>F</w:t>
            </w:r>
          </w:p>
        </w:tc>
        <w:tc>
          <w:tcPr>
            <w:tcW w:w="3402" w:type="dxa"/>
            <w:shd w:val="clear" w:color="auto" w:fill="auto"/>
          </w:tcPr>
          <w:p w14:paraId="48E7FAA0" w14:textId="77777777" w:rsidR="00BF60E0" w:rsidRPr="0067172A" w:rsidRDefault="00BF60E0" w:rsidP="00DD7BE1">
            <w:pPr>
              <w:pStyle w:val="bodycopy"/>
              <w:rPr>
                <w:rFonts w:ascii="Arial" w:hAnsi="Arial"/>
                <w:sz w:val="18"/>
                <w:szCs w:val="18"/>
              </w:rPr>
            </w:pPr>
            <w:r w:rsidRPr="0067172A">
              <w:rPr>
                <w:rFonts w:ascii="Arial" w:hAnsi="Arial"/>
                <w:sz w:val="18"/>
                <w:szCs w:val="18"/>
              </w:rPr>
              <w:t>Foraging</w:t>
            </w:r>
          </w:p>
        </w:tc>
      </w:tr>
      <w:tr w:rsidR="00BF60E0" w:rsidRPr="0067172A" w14:paraId="47C09C07" w14:textId="77777777" w:rsidTr="00891DE1">
        <w:tc>
          <w:tcPr>
            <w:tcW w:w="3016" w:type="dxa"/>
            <w:shd w:val="clear" w:color="auto" w:fill="auto"/>
          </w:tcPr>
          <w:p w14:paraId="767FE790" w14:textId="77777777" w:rsidR="00BF60E0" w:rsidRPr="0067172A" w:rsidRDefault="00BF60E0" w:rsidP="00DD7BE1">
            <w:pPr>
              <w:pStyle w:val="bodycopy"/>
              <w:rPr>
                <w:rFonts w:ascii="Arial" w:hAnsi="Arial"/>
                <w:sz w:val="18"/>
                <w:szCs w:val="18"/>
              </w:rPr>
            </w:pPr>
          </w:p>
        </w:tc>
        <w:tc>
          <w:tcPr>
            <w:tcW w:w="954" w:type="dxa"/>
            <w:shd w:val="clear" w:color="auto" w:fill="auto"/>
          </w:tcPr>
          <w:p w14:paraId="23E37DCB" w14:textId="77777777" w:rsidR="00BF60E0" w:rsidRPr="0067172A" w:rsidRDefault="00BF60E0" w:rsidP="00DD7BE1">
            <w:pPr>
              <w:pStyle w:val="bodycopy"/>
              <w:rPr>
                <w:rFonts w:ascii="Arial" w:hAnsi="Arial"/>
                <w:sz w:val="18"/>
                <w:szCs w:val="18"/>
              </w:rPr>
            </w:pPr>
            <w:r w:rsidRPr="0067172A">
              <w:rPr>
                <w:rFonts w:ascii="Arial" w:hAnsi="Arial"/>
                <w:sz w:val="18"/>
                <w:szCs w:val="18"/>
              </w:rPr>
              <w:t>M</w:t>
            </w:r>
          </w:p>
        </w:tc>
        <w:tc>
          <w:tcPr>
            <w:tcW w:w="3402" w:type="dxa"/>
            <w:shd w:val="clear" w:color="auto" w:fill="auto"/>
          </w:tcPr>
          <w:p w14:paraId="695D9F99" w14:textId="77777777" w:rsidR="00BF60E0" w:rsidRPr="0067172A" w:rsidRDefault="00BF60E0" w:rsidP="00DD7BE1">
            <w:pPr>
              <w:pStyle w:val="bodycopy"/>
              <w:rPr>
                <w:rFonts w:ascii="Arial" w:hAnsi="Arial"/>
                <w:sz w:val="18"/>
                <w:szCs w:val="18"/>
              </w:rPr>
            </w:pPr>
            <w:r w:rsidRPr="0067172A">
              <w:rPr>
                <w:rFonts w:ascii="Arial" w:hAnsi="Arial"/>
                <w:sz w:val="18"/>
                <w:szCs w:val="18"/>
              </w:rPr>
              <w:t>Migration</w:t>
            </w:r>
          </w:p>
        </w:tc>
      </w:tr>
      <w:tr w:rsidR="00BF60E0" w:rsidRPr="0067172A" w14:paraId="655C78A8" w14:textId="77777777" w:rsidTr="00891DE1">
        <w:tc>
          <w:tcPr>
            <w:tcW w:w="3016" w:type="dxa"/>
            <w:shd w:val="clear" w:color="auto" w:fill="auto"/>
          </w:tcPr>
          <w:p w14:paraId="432EA484" w14:textId="44D1FA51" w:rsidR="00BF60E0" w:rsidRPr="0067172A" w:rsidRDefault="00BF60E0" w:rsidP="00DD7BE1">
            <w:pPr>
              <w:pStyle w:val="bodycopy"/>
              <w:rPr>
                <w:rFonts w:ascii="Arial" w:hAnsi="Arial"/>
                <w:sz w:val="18"/>
                <w:szCs w:val="18"/>
              </w:rPr>
            </w:pPr>
            <w:r w:rsidRPr="0067172A">
              <w:rPr>
                <w:rFonts w:ascii="Arial" w:hAnsi="Arial"/>
                <w:sz w:val="18"/>
                <w:szCs w:val="18"/>
              </w:rPr>
              <w:t>Recovery plans</w:t>
            </w:r>
            <w:r w:rsidR="007718CB" w:rsidRPr="0067172A">
              <w:rPr>
                <w:rFonts w:ascii="Arial" w:hAnsi="Arial"/>
                <w:sz w:val="18"/>
                <w:szCs w:val="18"/>
              </w:rPr>
              <w:t xml:space="preserve"> </w:t>
            </w:r>
          </w:p>
        </w:tc>
        <w:tc>
          <w:tcPr>
            <w:tcW w:w="954" w:type="dxa"/>
            <w:shd w:val="clear" w:color="auto" w:fill="auto"/>
          </w:tcPr>
          <w:p w14:paraId="6F6A2BF9" w14:textId="77777777" w:rsidR="00BF60E0" w:rsidRPr="0067172A" w:rsidRDefault="00BF60E0" w:rsidP="00DD7BE1">
            <w:pPr>
              <w:pStyle w:val="bodycopy"/>
              <w:rPr>
                <w:rFonts w:ascii="Arial" w:hAnsi="Arial"/>
                <w:sz w:val="18"/>
                <w:szCs w:val="18"/>
              </w:rPr>
            </w:pPr>
            <w:r w:rsidRPr="0067172A">
              <w:rPr>
                <w:rFonts w:ascii="Arial" w:hAnsi="Arial"/>
                <w:sz w:val="18"/>
                <w:szCs w:val="18"/>
              </w:rPr>
              <w:t>CA</w:t>
            </w:r>
          </w:p>
        </w:tc>
        <w:tc>
          <w:tcPr>
            <w:tcW w:w="3402" w:type="dxa"/>
            <w:shd w:val="clear" w:color="auto" w:fill="auto"/>
          </w:tcPr>
          <w:p w14:paraId="5725EF5C" w14:textId="77777777" w:rsidR="00BF60E0" w:rsidRPr="0067172A" w:rsidRDefault="00BF60E0" w:rsidP="00DD7BE1">
            <w:pPr>
              <w:pStyle w:val="bodycopy"/>
              <w:rPr>
                <w:rFonts w:ascii="Arial" w:hAnsi="Arial"/>
                <w:sz w:val="18"/>
                <w:szCs w:val="18"/>
              </w:rPr>
            </w:pPr>
            <w:r w:rsidRPr="0067172A">
              <w:rPr>
                <w:rFonts w:ascii="Arial" w:hAnsi="Arial"/>
                <w:sz w:val="18"/>
                <w:szCs w:val="18"/>
              </w:rPr>
              <w:t>Conservation Advice</w:t>
            </w:r>
          </w:p>
        </w:tc>
      </w:tr>
      <w:tr w:rsidR="00BF60E0" w:rsidRPr="0067172A" w14:paraId="1A60BC36" w14:textId="77777777" w:rsidTr="00891DE1">
        <w:tc>
          <w:tcPr>
            <w:tcW w:w="3016" w:type="dxa"/>
            <w:shd w:val="clear" w:color="auto" w:fill="auto"/>
          </w:tcPr>
          <w:p w14:paraId="278DB5E0" w14:textId="5FACD9A2" w:rsidR="00BF60E0" w:rsidRPr="0067172A" w:rsidRDefault="007718CB" w:rsidP="00DD7BE1">
            <w:pPr>
              <w:pStyle w:val="bodycopy"/>
              <w:rPr>
                <w:rFonts w:ascii="Arial" w:hAnsi="Arial"/>
                <w:sz w:val="18"/>
                <w:szCs w:val="18"/>
              </w:rPr>
            </w:pPr>
            <w:r w:rsidRPr="0067172A">
              <w:rPr>
                <w:rFonts w:ascii="Arial" w:hAnsi="Arial"/>
                <w:sz w:val="18"/>
                <w:szCs w:val="18"/>
              </w:rPr>
              <w:t>(under the EPBC Act 1999)</w:t>
            </w:r>
          </w:p>
        </w:tc>
        <w:tc>
          <w:tcPr>
            <w:tcW w:w="954" w:type="dxa"/>
            <w:shd w:val="clear" w:color="auto" w:fill="auto"/>
          </w:tcPr>
          <w:p w14:paraId="02871AFC" w14:textId="77777777" w:rsidR="00BF60E0" w:rsidRPr="0067172A" w:rsidRDefault="00BF60E0" w:rsidP="00DD7BE1">
            <w:pPr>
              <w:pStyle w:val="bodycopy"/>
              <w:rPr>
                <w:rFonts w:ascii="Arial" w:hAnsi="Arial"/>
                <w:sz w:val="18"/>
                <w:szCs w:val="18"/>
              </w:rPr>
            </w:pPr>
            <w:r w:rsidRPr="0067172A">
              <w:rPr>
                <w:rFonts w:ascii="Arial" w:hAnsi="Arial"/>
                <w:sz w:val="18"/>
                <w:szCs w:val="18"/>
              </w:rPr>
              <w:t>CMP</w:t>
            </w:r>
          </w:p>
        </w:tc>
        <w:tc>
          <w:tcPr>
            <w:tcW w:w="3402" w:type="dxa"/>
            <w:shd w:val="clear" w:color="auto" w:fill="auto"/>
          </w:tcPr>
          <w:p w14:paraId="1422E966" w14:textId="77777777" w:rsidR="00BF60E0" w:rsidRPr="0067172A" w:rsidRDefault="00BF60E0" w:rsidP="00DD7BE1">
            <w:pPr>
              <w:pStyle w:val="bodycopy"/>
              <w:rPr>
                <w:rFonts w:ascii="Arial" w:hAnsi="Arial"/>
                <w:sz w:val="18"/>
                <w:szCs w:val="18"/>
              </w:rPr>
            </w:pPr>
            <w:r w:rsidRPr="0067172A">
              <w:rPr>
                <w:rFonts w:ascii="Arial" w:hAnsi="Arial"/>
                <w:sz w:val="18"/>
                <w:szCs w:val="18"/>
              </w:rPr>
              <w:t>Conservation Management Plan</w:t>
            </w:r>
          </w:p>
        </w:tc>
      </w:tr>
      <w:tr w:rsidR="00BF60E0" w:rsidRPr="0067172A" w14:paraId="6B65946A" w14:textId="77777777" w:rsidTr="00891DE1">
        <w:tc>
          <w:tcPr>
            <w:tcW w:w="3016" w:type="dxa"/>
            <w:shd w:val="clear" w:color="auto" w:fill="auto"/>
          </w:tcPr>
          <w:p w14:paraId="0C21190B" w14:textId="77777777" w:rsidR="00BF60E0" w:rsidRPr="0067172A" w:rsidRDefault="00BF60E0" w:rsidP="00DD7BE1">
            <w:pPr>
              <w:pStyle w:val="bodycopy"/>
              <w:rPr>
                <w:rFonts w:ascii="Arial" w:hAnsi="Arial"/>
                <w:sz w:val="18"/>
                <w:szCs w:val="18"/>
              </w:rPr>
            </w:pPr>
          </w:p>
        </w:tc>
        <w:tc>
          <w:tcPr>
            <w:tcW w:w="954" w:type="dxa"/>
            <w:shd w:val="clear" w:color="auto" w:fill="auto"/>
          </w:tcPr>
          <w:p w14:paraId="6CCA8207" w14:textId="77777777" w:rsidR="00BF60E0" w:rsidRPr="0067172A" w:rsidRDefault="00BF60E0" w:rsidP="00DD7BE1">
            <w:pPr>
              <w:pStyle w:val="bodycopy"/>
              <w:rPr>
                <w:rFonts w:ascii="Arial" w:hAnsi="Arial"/>
                <w:sz w:val="18"/>
                <w:szCs w:val="18"/>
              </w:rPr>
            </w:pPr>
            <w:r w:rsidRPr="0067172A">
              <w:rPr>
                <w:rFonts w:ascii="Arial" w:hAnsi="Arial"/>
                <w:sz w:val="18"/>
                <w:szCs w:val="18"/>
              </w:rPr>
              <w:t>RP</w:t>
            </w:r>
          </w:p>
        </w:tc>
        <w:tc>
          <w:tcPr>
            <w:tcW w:w="3402" w:type="dxa"/>
            <w:shd w:val="clear" w:color="auto" w:fill="auto"/>
          </w:tcPr>
          <w:p w14:paraId="2FEB27E0" w14:textId="77777777" w:rsidR="00BF60E0" w:rsidRPr="0067172A" w:rsidRDefault="00BF60E0" w:rsidP="00DD7BE1">
            <w:pPr>
              <w:pStyle w:val="bodycopy"/>
              <w:rPr>
                <w:rFonts w:ascii="Arial" w:hAnsi="Arial"/>
                <w:sz w:val="18"/>
                <w:szCs w:val="18"/>
              </w:rPr>
            </w:pPr>
            <w:r w:rsidRPr="0067172A">
              <w:rPr>
                <w:rFonts w:ascii="Arial" w:hAnsi="Arial"/>
                <w:sz w:val="18"/>
                <w:szCs w:val="18"/>
              </w:rPr>
              <w:t>Recovery Plan</w:t>
            </w:r>
          </w:p>
        </w:tc>
      </w:tr>
      <w:tr w:rsidR="007718CB" w:rsidRPr="0067172A" w14:paraId="6715C47C" w14:textId="77777777" w:rsidTr="00891DE1">
        <w:tc>
          <w:tcPr>
            <w:tcW w:w="3016" w:type="dxa"/>
            <w:shd w:val="clear" w:color="auto" w:fill="auto"/>
          </w:tcPr>
          <w:p w14:paraId="2131043D" w14:textId="491FAFEC" w:rsidR="007718CB" w:rsidRPr="0067172A" w:rsidRDefault="007718CB" w:rsidP="00DD7BE1">
            <w:pPr>
              <w:pStyle w:val="bodycopy"/>
              <w:rPr>
                <w:rFonts w:ascii="Arial" w:hAnsi="Arial"/>
                <w:sz w:val="18"/>
                <w:szCs w:val="18"/>
              </w:rPr>
            </w:pPr>
            <w:r w:rsidRPr="0067172A">
              <w:rPr>
                <w:rFonts w:ascii="Arial" w:hAnsi="Arial"/>
                <w:sz w:val="18"/>
                <w:szCs w:val="18"/>
              </w:rPr>
              <w:t>(under the FFG Act 1988)</w:t>
            </w:r>
          </w:p>
        </w:tc>
        <w:tc>
          <w:tcPr>
            <w:tcW w:w="954" w:type="dxa"/>
            <w:shd w:val="clear" w:color="auto" w:fill="auto"/>
          </w:tcPr>
          <w:p w14:paraId="707C5839" w14:textId="05260115" w:rsidR="007718CB" w:rsidRPr="0067172A" w:rsidRDefault="007718CB" w:rsidP="00DD7BE1">
            <w:pPr>
              <w:pStyle w:val="bodycopy"/>
              <w:rPr>
                <w:rFonts w:ascii="Arial" w:hAnsi="Arial"/>
                <w:sz w:val="18"/>
                <w:szCs w:val="18"/>
              </w:rPr>
            </w:pPr>
            <w:r w:rsidRPr="0067172A">
              <w:rPr>
                <w:rFonts w:ascii="Arial" w:hAnsi="Arial"/>
                <w:sz w:val="18"/>
                <w:szCs w:val="18"/>
              </w:rPr>
              <w:t>AS</w:t>
            </w:r>
          </w:p>
        </w:tc>
        <w:tc>
          <w:tcPr>
            <w:tcW w:w="3402" w:type="dxa"/>
            <w:shd w:val="clear" w:color="auto" w:fill="auto"/>
          </w:tcPr>
          <w:p w14:paraId="6D516828" w14:textId="1E044551" w:rsidR="007718CB" w:rsidRPr="0067172A" w:rsidRDefault="007718CB" w:rsidP="00DD7BE1">
            <w:pPr>
              <w:pStyle w:val="bodycopy"/>
              <w:rPr>
                <w:rFonts w:ascii="Arial" w:hAnsi="Arial"/>
                <w:sz w:val="18"/>
                <w:szCs w:val="18"/>
              </w:rPr>
            </w:pPr>
            <w:r w:rsidRPr="0067172A">
              <w:rPr>
                <w:rFonts w:ascii="Arial" w:hAnsi="Arial"/>
                <w:sz w:val="18"/>
                <w:szCs w:val="18"/>
              </w:rPr>
              <w:t>Action Statement</w:t>
            </w:r>
          </w:p>
        </w:tc>
      </w:tr>
    </w:tbl>
    <w:p w14:paraId="32FB90C2" w14:textId="3E4B32F8" w:rsidR="001751C8" w:rsidRDefault="001751C8" w:rsidP="00B54F26">
      <w:pPr>
        <w:pStyle w:val="bodycopy"/>
        <w:rPr>
          <w:b/>
        </w:rPr>
      </w:pPr>
    </w:p>
    <w:p w14:paraId="77ED2BD4" w14:textId="222639F2" w:rsidR="00B54F26" w:rsidRPr="00455423" w:rsidRDefault="00B54F26" w:rsidP="00B54F26">
      <w:pPr>
        <w:pStyle w:val="bodycopy"/>
        <w:rPr>
          <w:rFonts w:ascii="Arial" w:hAnsi="Arial"/>
          <w:b/>
          <w:sz w:val="22"/>
          <w:szCs w:val="22"/>
        </w:rPr>
      </w:pPr>
      <w:r w:rsidRPr="00455423">
        <w:rPr>
          <w:rFonts w:ascii="Arial" w:hAnsi="Arial"/>
          <w:b/>
          <w:sz w:val="22"/>
          <w:szCs w:val="22"/>
        </w:rPr>
        <w:lastRenderedPageBreak/>
        <w:t>Dwarf galaxias (</w:t>
      </w:r>
      <w:r w:rsidRPr="00455423">
        <w:rPr>
          <w:rFonts w:ascii="Arial" w:hAnsi="Arial"/>
          <w:b/>
          <w:i/>
          <w:sz w:val="22"/>
          <w:szCs w:val="22"/>
        </w:rPr>
        <w:t>Galaxiella pusilla</w:t>
      </w:r>
      <w:r w:rsidRPr="00455423">
        <w:rPr>
          <w:rFonts w:ascii="Arial" w:hAnsi="Arial"/>
          <w:b/>
          <w:sz w:val="22"/>
          <w:szCs w:val="22"/>
        </w:rPr>
        <w:t>) (</w:t>
      </w:r>
      <w:r w:rsidR="005214A5">
        <w:rPr>
          <w:rFonts w:ascii="Arial" w:hAnsi="Arial"/>
          <w:b/>
          <w:sz w:val="22"/>
          <w:szCs w:val="22"/>
        </w:rPr>
        <w:t xml:space="preserve">EPBC Act: </w:t>
      </w:r>
      <w:r w:rsidRPr="00455423">
        <w:rPr>
          <w:rFonts w:ascii="Arial" w:hAnsi="Arial"/>
          <w:b/>
          <w:sz w:val="22"/>
          <w:szCs w:val="22"/>
        </w:rPr>
        <w:t>Vulnerable</w:t>
      </w:r>
      <w:r w:rsidR="005214A5">
        <w:rPr>
          <w:rFonts w:ascii="Arial" w:hAnsi="Arial"/>
          <w:b/>
          <w:sz w:val="22"/>
          <w:szCs w:val="22"/>
        </w:rPr>
        <w:t>, FFG Act: Threatened</w:t>
      </w:r>
      <w:r w:rsidRPr="00455423">
        <w:rPr>
          <w:rFonts w:ascii="Arial" w:hAnsi="Arial"/>
          <w:b/>
          <w:sz w:val="22"/>
          <w:szCs w:val="22"/>
        </w:rPr>
        <w:t>)</w:t>
      </w:r>
    </w:p>
    <w:p w14:paraId="1D901D07" w14:textId="2F89C80A" w:rsidR="00844846" w:rsidRDefault="00B54F26" w:rsidP="00B54F26">
      <w:pPr>
        <w:pStyle w:val="bodycopy"/>
        <w:rPr>
          <w:rFonts w:ascii="Arial" w:hAnsi="Arial"/>
          <w:sz w:val="22"/>
          <w:szCs w:val="22"/>
        </w:rPr>
      </w:pPr>
      <w:r w:rsidRPr="00455423">
        <w:rPr>
          <w:rFonts w:ascii="Arial" w:hAnsi="Arial"/>
          <w:sz w:val="22"/>
          <w:szCs w:val="22"/>
        </w:rPr>
        <w:t xml:space="preserve">Habitat suitable to the dwarf galaxias is slow flowing and still, shallow, permanent and temporary freshwater habitats such as swamps, drains and the backwaters of streams and creeks, often (but not always) containing dense aquatic macrophytes and emergent plants (Saddlier </w:t>
      </w:r>
      <w:r w:rsidRPr="00455423">
        <w:rPr>
          <w:rFonts w:ascii="Arial" w:hAnsi="Arial"/>
          <w:i/>
          <w:sz w:val="22"/>
          <w:szCs w:val="22"/>
        </w:rPr>
        <w:t>et al</w:t>
      </w:r>
      <w:r w:rsidRPr="00455423">
        <w:rPr>
          <w:rFonts w:ascii="Arial" w:hAnsi="Arial"/>
          <w:sz w:val="22"/>
          <w:szCs w:val="22"/>
        </w:rPr>
        <w:t>., 2010</w:t>
      </w:r>
      <w:r w:rsidR="00844846">
        <w:rPr>
          <w:rFonts w:ascii="Arial" w:hAnsi="Arial"/>
          <w:sz w:val="22"/>
          <w:szCs w:val="22"/>
        </w:rPr>
        <w:t>; DELWP, 2015a</w:t>
      </w:r>
      <w:r w:rsidRPr="00455423">
        <w:rPr>
          <w:rFonts w:ascii="Arial" w:hAnsi="Arial"/>
          <w:sz w:val="22"/>
          <w:szCs w:val="22"/>
        </w:rPr>
        <w:t xml:space="preserve">). Given the marine nature of the activity, this species will not be encountered within the </w:t>
      </w:r>
      <w:r w:rsidR="005214A5">
        <w:rPr>
          <w:rFonts w:ascii="Arial" w:hAnsi="Arial"/>
          <w:sz w:val="22"/>
          <w:szCs w:val="22"/>
        </w:rPr>
        <w:t xml:space="preserve">proposed </w:t>
      </w:r>
      <w:r w:rsidRPr="00455423">
        <w:rPr>
          <w:rFonts w:ascii="Arial" w:hAnsi="Arial"/>
          <w:sz w:val="22"/>
          <w:szCs w:val="22"/>
        </w:rPr>
        <w:t xml:space="preserve">acquisition area. </w:t>
      </w:r>
    </w:p>
    <w:p w14:paraId="60B75D8C" w14:textId="57DFA25C" w:rsidR="00B54F26" w:rsidRPr="00455423" w:rsidRDefault="00844846" w:rsidP="00B54F26">
      <w:pPr>
        <w:pStyle w:val="bodycopy"/>
        <w:rPr>
          <w:rFonts w:ascii="Arial" w:hAnsi="Arial"/>
          <w:sz w:val="22"/>
          <w:szCs w:val="22"/>
        </w:rPr>
      </w:pPr>
      <w:r>
        <w:rPr>
          <w:rFonts w:ascii="Arial" w:hAnsi="Arial"/>
          <w:sz w:val="22"/>
          <w:szCs w:val="22"/>
        </w:rPr>
        <w:t>The rivers noted by DELWP (2015) as being important to the species are not intersected by the EMBA.</w:t>
      </w:r>
      <w:r w:rsidR="005214A5">
        <w:rPr>
          <w:rFonts w:ascii="Arial" w:hAnsi="Arial"/>
          <w:sz w:val="22"/>
          <w:szCs w:val="22"/>
        </w:rPr>
        <w:t xml:space="preserve"> This species </w:t>
      </w:r>
      <w:r w:rsidR="006420A2">
        <w:rPr>
          <w:rFonts w:ascii="Arial" w:hAnsi="Arial"/>
          <w:sz w:val="22"/>
          <w:szCs w:val="22"/>
        </w:rPr>
        <w:t>is</w:t>
      </w:r>
      <w:r w:rsidR="005214A5">
        <w:rPr>
          <w:rFonts w:ascii="Arial" w:hAnsi="Arial"/>
          <w:sz w:val="22"/>
          <w:szCs w:val="22"/>
        </w:rPr>
        <w:t xml:space="preserve"> not listed in the VBA search for the EMBA.</w:t>
      </w:r>
    </w:p>
    <w:p w14:paraId="32228451" w14:textId="006CB781" w:rsidR="00C06987" w:rsidRPr="00455423" w:rsidRDefault="00C06987" w:rsidP="00C06987">
      <w:pPr>
        <w:pStyle w:val="bodycopy"/>
        <w:rPr>
          <w:rFonts w:ascii="Arial" w:hAnsi="Arial"/>
          <w:b/>
          <w:sz w:val="22"/>
          <w:szCs w:val="22"/>
        </w:rPr>
      </w:pPr>
      <w:r w:rsidRPr="00455423">
        <w:rPr>
          <w:rFonts w:ascii="Arial" w:hAnsi="Arial"/>
          <w:b/>
          <w:sz w:val="22"/>
          <w:szCs w:val="22"/>
        </w:rPr>
        <w:t>Australian grayling (</w:t>
      </w:r>
      <w:r w:rsidRPr="00455423">
        <w:rPr>
          <w:rFonts w:ascii="Arial" w:hAnsi="Arial"/>
          <w:b/>
          <w:i/>
          <w:sz w:val="22"/>
          <w:szCs w:val="22"/>
        </w:rPr>
        <w:t>Prototroctes maraena</w:t>
      </w:r>
      <w:r w:rsidRPr="00455423">
        <w:rPr>
          <w:rFonts w:ascii="Arial" w:hAnsi="Arial"/>
          <w:b/>
          <w:sz w:val="22"/>
          <w:szCs w:val="22"/>
        </w:rPr>
        <w:t>) (</w:t>
      </w:r>
      <w:r w:rsidR="005214A5">
        <w:rPr>
          <w:rFonts w:ascii="Arial" w:hAnsi="Arial"/>
          <w:b/>
          <w:sz w:val="22"/>
          <w:szCs w:val="22"/>
        </w:rPr>
        <w:t xml:space="preserve">EPBC Act: </w:t>
      </w:r>
      <w:r w:rsidRPr="00455423">
        <w:rPr>
          <w:rFonts w:ascii="Arial" w:hAnsi="Arial"/>
          <w:b/>
          <w:sz w:val="22"/>
          <w:szCs w:val="22"/>
        </w:rPr>
        <w:t>Vulnerable</w:t>
      </w:r>
      <w:r w:rsidR="005214A5">
        <w:rPr>
          <w:rFonts w:ascii="Arial" w:hAnsi="Arial"/>
          <w:b/>
          <w:sz w:val="22"/>
          <w:szCs w:val="22"/>
        </w:rPr>
        <w:t>, FFG Act: Threatened</w:t>
      </w:r>
      <w:r w:rsidRPr="00455423">
        <w:rPr>
          <w:rFonts w:ascii="Arial" w:hAnsi="Arial"/>
          <w:b/>
          <w:sz w:val="22"/>
          <w:szCs w:val="22"/>
        </w:rPr>
        <w:t>)</w:t>
      </w:r>
    </w:p>
    <w:p w14:paraId="713AE294" w14:textId="6F5F9B26" w:rsidR="00C06987" w:rsidRPr="00455423" w:rsidRDefault="00C06987" w:rsidP="00C06987">
      <w:pPr>
        <w:pStyle w:val="bodycopy"/>
        <w:rPr>
          <w:rFonts w:ascii="Arial" w:hAnsi="Arial"/>
          <w:sz w:val="22"/>
          <w:szCs w:val="22"/>
        </w:rPr>
      </w:pPr>
      <w:r w:rsidRPr="00455423">
        <w:rPr>
          <w:rFonts w:ascii="Arial" w:hAnsi="Arial"/>
          <w:sz w:val="22"/>
          <w:szCs w:val="22"/>
        </w:rPr>
        <w:t xml:space="preserve">The Australian grayling is a dark brown to olive-green fish attaining 19 cm in length. The species typically inhabits the coastal streams of New South Wales, Victoria and Tasmania, migrating between streams and the ocean (Backhouse </w:t>
      </w:r>
      <w:r w:rsidRPr="00455423">
        <w:rPr>
          <w:rFonts w:ascii="Arial" w:hAnsi="Arial"/>
          <w:i/>
          <w:sz w:val="22"/>
          <w:szCs w:val="22"/>
        </w:rPr>
        <w:t>et al</w:t>
      </w:r>
      <w:r w:rsidRPr="00455423">
        <w:rPr>
          <w:rFonts w:ascii="Arial" w:hAnsi="Arial"/>
          <w:sz w:val="22"/>
          <w:szCs w:val="22"/>
        </w:rPr>
        <w:t>., 2008</w:t>
      </w:r>
      <w:r w:rsidR="00844846">
        <w:rPr>
          <w:rFonts w:ascii="Arial" w:hAnsi="Arial"/>
          <w:sz w:val="22"/>
          <w:szCs w:val="22"/>
        </w:rPr>
        <w:t>; DELWP, 2015b</w:t>
      </w:r>
      <w:r w:rsidRPr="00455423">
        <w:rPr>
          <w:rFonts w:ascii="Arial" w:hAnsi="Arial"/>
          <w:sz w:val="22"/>
          <w:szCs w:val="22"/>
        </w:rPr>
        <w:t xml:space="preserve">). The species </w:t>
      </w:r>
      <w:r w:rsidR="00844846">
        <w:rPr>
          <w:rFonts w:ascii="Arial" w:hAnsi="Arial"/>
          <w:sz w:val="22"/>
          <w:szCs w:val="22"/>
        </w:rPr>
        <w:t xml:space="preserve">spends most of its life in freshwater (DELWP, 2015b), and </w:t>
      </w:r>
      <w:r w:rsidRPr="00455423">
        <w:rPr>
          <w:rFonts w:ascii="Arial" w:hAnsi="Arial"/>
          <w:sz w:val="22"/>
          <w:szCs w:val="22"/>
        </w:rPr>
        <w:t>migrate</w:t>
      </w:r>
      <w:r w:rsidR="00844846">
        <w:rPr>
          <w:rFonts w:ascii="Arial" w:hAnsi="Arial"/>
          <w:sz w:val="22"/>
          <w:szCs w:val="22"/>
        </w:rPr>
        <w:t>s</w:t>
      </w:r>
      <w:r w:rsidRPr="00455423">
        <w:rPr>
          <w:rFonts w:ascii="Arial" w:hAnsi="Arial"/>
          <w:sz w:val="22"/>
          <w:szCs w:val="22"/>
        </w:rPr>
        <w:t xml:space="preserve"> to lower reaches of rivers to spawn in autumn (Museums Victoria, 2017), though timing is dependent on many variables including latitude and varying temperature regimes (Backhouse </w:t>
      </w:r>
      <w:r w:rsidRPr="00455423">
        <w:rPr>
          <w:rFonts w:ascii="Arial" w:hAnsi="Arial"/>
          <w:i/>
          <w:sz w:val="22"/>
          <w:szCs w:val="22"/>
        </w:rPr>
        <w:t>et al</w:t>
      </w:r>
      <w:r w:rsidRPr="00455423">
        <w:rPr>
          <w:rFonts w:ascii="Arial" w:hAnsi="Arial"/>
          <w:sz w:val="22"/>
          <w:szCs w:val="22"/>
        </w:rPr>
        <w:t>., 2008)</w:t>
      </w:r>
      <w:r w:rsidR="00844846">
        <w:rPr>
          <w:rFonts w:ascii="Arial" w:hAnsi="Arial"/>
          <w:sz w:val="22"/>
          <w:szCs w:val="22"/>
        </w:rPr>
        <w:t>, with increased stream flows also thought to initiate migration (DELWP, 29015b)</w:t>
      </w:r>
      <w:r w:rsidRPr="00455423">
        <w:rPr>
          <w:rFonts w:ascii="Arial" w:hAnsi="Arial"/>
          <w:sz w:val="22"/>
          <w:szCs w:val="22"/>
        </w:rPr>
        <w:t xml:space="preserve">. </w:t>
      </w:r>
    </w:p>
    <w:p w14:paraId="7B1328B8" w14:textId="16EF0EA2" w:rsidR="00C06987" w:rsidRPr="00455423" w:rsidRDefault="00844846" w:rsidP="00C06987">
      <w:pPr>
        <w:pStyle w:val="bodycopy"/>
        <w:rPr>
          <w:rFonts w:ascii="Arial" w:hAnsi="Arial"/>
          <w:sz w:val="22"/>
          <w:szCs w:val="22"/>
        </w:rPr>
      </w:pPr>
      <w:r>
        <w:rPr>
          <w:rFonts w:ascii="Arial" w:hAnsi="Arial"/>
          <w:sz w:val="22"/>
          <w:szCs w:val="22"/>
        </w:rPr>
        <w:t xml:space="preserve">The Australian Grayling Action Statement (DELWP, 2015b) lists several rivers intersected by the EMBA (at their mouths, when open) as important locations for the species. </w:t>
      </w:r>
      <w:r w:rsidR="00C06987" w:rsidRPr="00455423">
        <w:rPr>
          <w:rFonts w:ascii="Arial" w:hAnsi="Arial"/>
          <w:sz w:val="22"/>
          <w:szCs w:val="22"/>
        </w:rPr>
        <w:t xml:space="preserve">The species may </w:t>
      </w:r>
      <w:r>
        <w:rPr>
          <w:rFonts w:ascii="Arial" w:hAnsi="Arial"/>
          <w:sz w:val="22"/>
          <w:szCs w:val="22"/>
        </w:rPr>
        <w:t xml:space="preserve">therefore </w:t>
      </w:r>
      <w:r w:rsidR="00C06987" w:rsidRPr="00455423">
        <w:rPr>
          <w:rFonts w:ascii="Arial" w:hAnsi="Arial"/>
          <w:sz w:val="22"/>
          <w:szCs w:val="22"/>
        </w:rPr>
        <w:t xml:space="preserve">be present in the EMBA in the rare event that creek and river mouths are open during summer. </w:t>
      </w:r>
    </w:p>
    <w:p w14:paraId="290E1CD9" w14:textId="52E8B60F" w:rsidR="00C06987" w:rsidRDefault="00C06987" w:rsidP="00C06987">
      <w:pPr>
        <w:pStyle w:val="bodycopy"/>
        <w:rPr>
          <w:rFonts w:ascii="Arial" w:hAnsi="Arial"/>
          <w:sz w:val="22"/>
          <w:szCs w:val="22"/>
        </w:rPr>
      </w:pPr>
      <w:r w:rsidRPr="00455423">
        <w:rPr>
          <w:rFonts w:ascii="Arial" w:hAnsi="Arial"/>
          <w:sz w:val="22"/>
          <w:szCs w:val="22"/>
        </w:rPr>
        <w:t xml:space="preserve">The National Recovery Plan for the Australian Grayling (Backhouse </w:t>
      </w:r>
      <w:r w:rsidRPr="00455423">
        <w:rPr>
          <w:rFonts w:ascii="Arial" w:hAnsi="Arial"/>
          <w:i/>
          <w:sz w:val="22"/>
          <w:szCs w:val="22"/>
        </w:rPr>
        <w:t>et al</w:t>
      </w:r>
      <w:r w:rsidRPr="00455423">
        <w:rPr>
          <w:rFonts w:ascii="Arial" w:hAnsi="Arial"/>
          <w:sz w:val="22"/>
          <w:szCs w:val="22"/>
        </w:rPr>
        <w:t>., 2008)</w:t>
      </w:r>
      <w:r w:rsidR="00844846">
        <w:rPr>
          <w:rFonts w:ascii="Arial" w:hAnsi="Arial"/>
          <w:sz w:val="22"/>
          <w:szCs w:val="22"/>
        </w:rPr>
        <w:t xml:space="preserve"> and The Australian Grayling Action Statement (DELWP, 2015b) </w:t>
      </w:r>
      <w:r w:rsidRPr="00455423">
        <w:rPr>
          <w:rFonts w:ascii="Arial" w:hAnsi="Arial"/>
          <w:sz w:val="22"/>
          <w:szCs w:val="22"/>
        </w:rPr>
        <w:t>list the threatening processes to this species as barriers to movement, river regulation, poor water quality, siltation, introduced fish, climate change, diseases and fishing. These impacts wi</w:t>
      </w:r>
      <w:r w:rsidR="00B03397">
        <w:rPr>
          <w:rFonts w:ascii="Arial" w:hAnsi="Arial"/>
          <w:sz w:val="22"/>
          <w:szCs w:val="22"/>
        </w:rPr>
        <w:t>ll not result from proposed MSS.</w:t>
      </w:r>
    </w:p>
    <w:p w14:paraId="240679B3" w14:textId="608AB4F9" w:rsidR="005214A5" w:rsidRPr="00455423" w:rsidRDefault="005214A5" w:rsidP="00C06987">
      <w:pPr>
        <w:pStyle w:val="bodycopy"/>
        <w:rPr>
          <w:rFonts w:ascii="Arial" w:hAnsi="Arial"/>
          <w:sz w:val="22"/>
          <w:szCs w:val="22"/>
        </w:rPr>
      </w:pPr>
      <w:r>
        <w:rPr>
          <w:rFonts w:ascii="Arial" w:hAnsi="Arial"/>
          <w:sz w:val="22"/>
          <w:szCs w:val="22"/>
        </w:rPr>
        <w:t xml:space="preserve">This species </w:t>
      </w:r>
      <w:r w:rsidR="006420A2">
        <w:rPr>
          <w:rFonts w:ascii="Arial" w:hAnsi="Arial"/>
          <w:sz w:val="22"/>
          <w:szCs w:val="22"/>
        </w:rPr>
        <w:t>is</w:t>
      </w:r>
      <w:r>
        <w:rPr>
          <w:rFonts w:ascii="Arial" w:hAnsi="Arial"/>
          <w:sz w:val="22"/>
          <w:szCs w:val="22"/>
        </w:rPr>
        <w:t xml:space="preserve"> not listed in the VBA search for the EMBA.</w:t>
      </w:r>
    </w:p>
    <w:p w14:paraId="1D756A01" w14:textId="5BBD2624" w:rsidR="00C06987" w:rsidRPr="00455423" w:rsidRDefault="00C06987" w:rsidP="00C06987">
      <w:pPr>
        <w:pStyle w:val="bodycopy"/>
        <w:rPr>
          <w:rFonts w:ascii="Arial" w:hAnsi="Arial"/>
          <w:b/>
          <w:sz w:val="22"/>
          <w:szCs w:val="22"/>
        </w:rPr>
      </w:pPr>
      <w:r w:rsidRPr="00455423">
        <w:rPr>
          <w:rFonts w:ascii="Arial" w:hAnsi="Arial"/>
          <w:b/>
          <w:sz w:val="22"/>
          <w:szCs w:val="22"/>
        </w:rPr>
        <w:t>Grey nurse shark (</w:t>
      </w:r>
      <w:r w:rsidRPr="00455423">
        <w:rPr>
          <w:rFonts w:ascii="Arial" w:hAnsi="Arial"/>
          <w:b/>
          <w:i/>
          <w:sz w:val="22"/>
          <w:szCs w:val="22"/>
        </w:rPr>
        <w:t>Carcharias taurus</w:t>
      </w:r>
      <w:r w:rsidRPr="00455423">
        <w:rPr>
          <w:rFonts w:ascii="Arial" w:hAnsi="Arial"/>
          <w:b/>
          <w:sz w:val="22"/>
          <w:szCs w:val="22"/>
        </w:rPr>
        <w:t>) (</w:t>
      </w:r>
      <w:r w:rsidR="005214A5">
        <w:rPr>
          <w:rFonts w:ascii="Arial" w:hAnsi="Arial"/>
          <w:b/>
          <w:sz w:val="22"/>
          <w:szCs w:val="22"/>
        </w:rPr>
        <w:t xml:space="preserve">EPBC Act: </w:t>
      </w:r>
      <w:r w:rsidRPr="00455423">
        <w:rPr>
          <w:rFonts w:ascii="Arial" w:hAnsi="Arial"/>
          <w:b/>
          <w:sz w:val="22"/>
          <w:szCs w:val="22"/>
        </w:rPr>
        <w:t>Critically endangered</w:t>
      </w:r>
      <w:r w:rsidR="005214A5">
        <w:rPr>
          <w:rFonts w:ascii="Arial" w:hAnsi="Arial"/>
          <w:b/>
          <w:sz w:val="22"/>
          <w:szCs w:val="22"/>
        </w:rPr>
        <w:t>, FFG Act: Threatened</w:t>
      </w:r>
      <w:r w:rsidRPr="00455423">
        <w:rPr>
          <w:rFonts w:ascii="Arial" w:hAnsi="Arial"/>
          <w:b/>
          <w:sz w:val="22"/>
          <w:szCs w:val="22"/>
        </w:rPr>
        <w:t>)</w:t>
      </w:r>
    </w:p>
    <w:p w14:paraId="6013C615" w14:textId="4AE6A56F" w:rsidR="00685C2F" w:rsidRDefault="00AE50C6" w:rsidP="00C06987">
      <w:pPr>
        <w:pStyle w:val="bodycopy"/>
        <w:rPr>
          <w:rFonts w:ascii="Arial" w:hAnsi="Arial"/>
          <w:sz w:val="22"/>
          <w:szCs w:val="22"/>
        </w:rPr>
      </w:pPr>
      <w:r w:rsidRPr="00455423">
        <w:rPr>
          <w:rFonts w:ascii="Arial" w:hAnsi="Arial"/>
          <w:sz w:val="22"/>
          <w:szCs w:val="22"/>
        </w:rPr>
        <w:t xml:space="preserve">The grey nurse shark is a large robust species that has become critically endangered due to commercial fishing, spearfishing and protective beach meshing (DoE, 2014; Museums Victoria, 2017). It was historically widespread in sub-tropical and warm temperate seas and previously recorded from all Australian states except Tasmania, and have all but disappeared from Victorian waters (Museums Victoria, 2017). </w:t>
      </w:r>
      <w:r w:rsidR="00685C2F">
        <w:rPr>
          <w:rFonts w:ascii="Arial" w:hAnsi="Arial"/>
          <w:sz w:val="22"/>
          <w:szCs w:val="22"/>
        </w:rPr>
        <w:t xml:space="preserve">Only one record of the species occurs from Gippsland, at Mallacoota Inlet in the erly 1970s (DSE, 2003a). </w:t>
      </w:r>
    </w:p>
    <w:p w14:paraId="3C70728B" w14:textId="3EB399A6" w:rsidR="00C06987" w:rsidRPr="00455423" w:rsidRDefault="00685C2F" w:rsidP="00C06987">
      <w:pPr>
        <w:pStyle w:val="bodycopy"/>
        <w:rPr>
          <w:rFonts w:ascii="Arial" w:hAnsi="Arial"/>
          <w:sz w:val="22"/>
          <w:szCs w:val="22"/>
        </w:rPr>
      </w:pPr>
      <w:r>
        <w:rPr>
          <w:rFonts w:ascii="Arial" w:hAnsi="Arial"/>
          <w:sz w:val="22"/>
          <w:szCs w:val="22"/>
        </w:rPr>
        <w:t>The species currently has a br</w:t>
      </w:r>
      <w:r w:rsidR="008153A6">
        <w:rPr>
          <w:rFonts w:ascii="Arial" w:hAnsi="Arial"/>
          <w:sz w:val="22"/>
          <w:szCs w:val="22"/>
        </w:rPr>
        <w:t>o</w:t>
      </w:r>
      <w:r>
        <w:rPr>
          <w:rFonts w:ascii="Arial" w:hAnsi="Arial"/>
          <w:sz w:val="22"/>
          <w:szCs w:val="22"/>
        </w:rPr>
        <w:t xml:space="preserve">ad inshore distribution throughout </w:t>
      </w:r>
      <w:r w:rsidR="00AE50C6" w:rsidRPr="00455423">
        <w:rPr>
          <w:rFonts w:ascii="Arial" w:hAnsi="Arial"/>
          <w:sz w:val="22"/>
          <w:szCs w:val="22"/>
        </w:rPr>
        <w:t xml:space="preserve">sub-tropical to cool temperate waters on the continental shelf, with separate east coast and west coast populations </w:t>
      </w:r>
      <w:r w:rsidR="00EA7D9E" w:rsidRPr="00455423">
        <w:rPr>
          <w:rFonts w:ascii="Arial" w:hAnsi="Arial"/>
          <w:sz w:val="22"/>
          <w:szCs w:val="22"/>
        </w:rPr>
        <w:t>(</w:t>
      </w:r>
      <w:r>
        <w:rPr>
          <w:rFonts w:ascii="Arial" w:hAnsi="Arial"/>
          <w:sz w:val="22"/>
          <w:szCs w:val="22"/>
        </w:rPr>
        <w:t xml:space="preserve">DSE, 2003a; </w:t>
      </w:r>
      <w:r w:rsidR="00EA7D9E" w:rsidRPr="00455423">
        <w:rPr>
          <w:rFonts w:ascii="Arial" w:hAnsi="Arial"/>
          <w:sz w:val="22"/>
          <w:szCs w:val="22"/>
        </w:rPr>
        <w:t>DoE, 2014)</w:t>
      </w:r>
      <w:r w:rsidR="00AE50C6" w:rsidRPr="00455423">
        <w:rPr>
          <w:rFonts w:ascii="Arial" w:hAnsi="Arial"/>
          <w:sz w:val="22"/>
          <w:szCs w:val="22"/>
        </w:rPr>
        <w:t>. The east coast population extends from central Queensland to southern NSW, occasionally as far south as the NSW/Victoria border (DoE, 2014)</w:t>
      </w:r>
      <w:r w:rsidR="00A3727B" w:rsidRPr="00455423">
        <w:rPr>
          <w:rFonts w:ascii="Arial" w:hAnsi="Arial"/>
          <w:sz w:val="22"/>
          <w:szCs w:val="22"/>
        </w:rPr>
        <w:t>, which coincides with the BIA for their distribution and breeding (October to November)</w:t>
      </w:r>
      <w:r w:rsidR="00AE50C6" w:rsidRPr="00455423">
        <w:rPr>
          <w:rFonts w:ascii="Arial" w:hAnsi="Arial"/>
          <w:sz w:val="22"/>
          <w:szCs w:val="22"/>
        </w:rPr>
        <w:t xml:space="preserve">. </w:t>
      </w:r>
    </w:p>
    <w:p w14:paraId="40E71198" w14:textId="0D656C7E" w:rsidR="00AE50C6" w:rsidRPr="00455423" w:rsidRDefault="00AE50C6" w:rsidP="00C06987">
      <w:pPr>
        <w:pStyle w:val="bodycopy"/>
        <w:rPr>
          <w:rFonts w:ascii="Arial" w:hAnsi="Arial"/>
          <w:sz w:val="22"/>
          <w:szCs w:val="22"/>
        </w:rPr>
      </w:pPr>
      <w:r w:rsidRPr="00455423">
        <w:rPr>
          <w:rFonts w:ascii="Arial" w:hAnsi="Arial"/>
          <w:sz w:val="22"/>
          <w:szCs w:val="22"/>
        </w:rPr>
        <w:t>Preferred habitat for grey nurse sharks is inshore rocky reefs or islands, generally aggregating near the seabed in water depths of 10-40 m in deep sandy or gravel-filled gutters, or in rockycaves (</w:t>
      </w:r>
      <w:r w:rsidR="00685C2F">
        <w:rPr>
          <w:rFonts w:ascii="Arial" w:hAnsi="Arial"/>
          <w:sz w:val="22"/>
          <w:szCs w:val="22"/>
        </w:rPr>
        <w:t xml:space="preserve">DSE, 2003a; </w:t>
      </w:r>
      <w:r w:rsidRPr="00455423">
        <w:rPr>
          <w:rFonts w:ascii="Arial" w:hAnsi="Arial"/>
          <w:sz w:val="22"/>
          <w:szCs w:val="22"/>
        </w:rPr>
        <w:t>DoE, 2014). There are no aggregation sites located off the Victorian coast (DoE, 2014)</w:t>
      </w:r>
      <w:r w:rsidR="00A3727B" w:rsidRPr="00455423">
        <w:rPr>
          <w:rFonts w:ascii="Arial" w:hAnsi="Arial"/>
          <w:sz w:val="22"/>
          <w:szCs w:val="22"/>
        </w:rPr>
        <w:t>.</w:t>
      </w:r>
    </w:p>
    <w:p w14:paraId="5A8DAF30" w14:textId="722FDF0D" w:rsidR="005214A5" w:rsidRPr="00455423" w:rsidRDefault="00A3727B" w:rsidP="005214A5">
      <w:pPr>
        <w:pStyle w:val="bodycopy"/>
        <w:rPr>
          <w:rFonts w:ascii="Arial" w:hAnsi="Arial"/>
          <w:sz w:val="22"/>
          <w:szCs w:val="22"/>
        </w:rPr>
      </w:pPr>
      <w:r w:rsidRPr="00455423">
        <w:rPr>
          <w:rFonts w:ascii="Arial" w:hAnsi="Arial"/>
          <w:sz w:val="22"/>
          <w:szCs w:val="22"/>
        </w:rPr>
        <w:lastRenderedPageBreak/>
        <w:t xml:space="preserve">Given the current distribution of the grey nurse shark, it is unlikely to occur within the proposed acquisition area or the EMBA. </w:t>
      </w:r>
      <w:r w:rsidR="005214A5">
        <w:rPr>
          <w:rFonts w:ascii="Arial" w:hAnsi="Arial"/>
          <w:sz w:val="22"/>
          <w:szCs w:val="22"/>
        </w:rPr>
        <w:t xml:space="preserve">This species </w:t>
      </w:r>
      <w:r w:rsidR="006420A2">
        <w:rPr>
          <w:rFonts w:ascii="Arial" w:hAnsi="Arial"/>
          <w:sz w:val="22"/>
          <w:szCs w:val="22"/>
        </w:rPr>
        <w:t>is</w:t>
      </w:r>
      <w:r w:rsidR="005214A5">
        <w:rPr>
          <w:rFonts w:ascii="Arial" w:hAnsi="Arial"/>
          <w:sz w:val="22"/>
          <w:szCs w:val="22"/>
        </w:rPr>
        <w:t xml:space="preserve"> not listed in the VBA search for the EMBA.</w:t>
      </w:r>
    </w:p>
    <w:p w14:paraId="79A6EC3C" w14:textId="53D66702" w:rsidR="00B54F26" w:rsidRPr="00BB2EEC" w:rsidRDefault="00B54F26" w:rsidP="00B54F26">
      <w:pPr>
        <w:pStyle w:val="bodycopy"/>
        <w:rPr>
          <w:rFonts w:ascii="Arial" w:hAnsi="Arial"/>
          <w:b/>
          <w:sz w:val="22"/>
          <w:szCs w:val="22"/>
        </w:rPr>
      </w:pPr>
      <w:r w:rsidRPr="00BB2EEC">
        <w:rPr>
          <w:rFonts w:ascii="Arial" w:hAnsi="Arial"/>
          <w:b/>
          <w:sz w:val="22"/>
          <w:szCs w:val="22"/>
        </w:rPr>
        <w:t>Great white shark (</w:t>
      </w:r>
      <w:r w:rsidRPr="00BB2EEC">
        <w:rPr>
          <w:rFonts w:ascii="Arial" w:hAnsi="Arial"/>
          <w:b/>
          <w:i/>
          <w:sz w:val="22"/>
          <w:szCs w:val="22"/>
        </w:rPr>
        <w:t>Carcharodon carcharias</w:t>
      </w:r>
      <w:r w:rsidRPr="00BB2EEC">
        <w:rPr>
          <w:rFonts w:ascii="Arial" w:hAnsi="Arial"/>
          <w:b/>
          <w:sz w:val="22"/>
          <w:szCs w:val="22"/>
        </w:rPr>
        <w:t>) (</w:t>
      </w:r>
      <w:r w:rsidR="005214A5">
        <w:rPr>
          <w:rFonts w:ascii="Arial" w:hAnsi="Arial"/>
          <w:b/>
          <w:sz w:val="22"/>
          <w:szCs w:val="22"/>
        </w:rPr>
        <w:t xml:space="preserve">EPBC Act: </w:t>
      </w:r>
      <w:r w:rsidRPr="00BB2EEC">
        <w:rPr>
          <w:rFonts w:ascii="Arial" w:hAnsi="Arial"/>
          <w:b/>
          <w:sz w:val="22"/>
          <w:szCs w:val="22"/>
        </w:rPr>
        <w:t>Vulnerable</w:t>
      </w:r>
      <w:r w:rsidR="005214A5">
        <w:rPr>
          <w:rFonts w:ascii="Arial" w:hAnsi="Arial"/>
          <w:b/>
          <w:sz w:val="22"/>
          <w:szCs w:val="22"/>
        </w:rPr>
        <w:t>, FFG Act: Threatened</w:t>
      </w:r>
      <w:r w:rsidRPr="00BB2EEC">
        <w:rPr>
          <w:rFonts w:ascii="Arial" w:hAnsi="Arial"/>
          <w:b/>
          <w:sz w:val="22"/>
          <w:szCs w:val="22"/>
        </w:rPr>
        <w:t>)</w:t>
      </w:r>
    </w:p>
    <w:p w14:paraId="13C1B31C" w14:textId="77777777" w:rsidR="0094497B" w:rsidRPr="00BB2EEC" w:rsidRDefault="00B54F26" w:rsidP="00B54F26">
      <w:pPr>
        <w:pStyle w:val="bodycopy"/>
        <w:rPr>
          <w:rFonts w:ascii="Arial" w:hAnsi="Arial"/>
          <w:sz w:val="22"/>
          <w:szCs w:val="22"/>
        </w:rPr>
      </w:pPr>
      <w:r w:rsidRPr="00BB2EEC">
        <w:rPr>
          <w:rFonts w:ascii="Arial" w:hAnsi="Arial"/>
          <w:sz w:val="22"/>
          <w:szCs w:val="22"/>
        </w:rPr>
        <w:t>The great white shark is widely distributed and located throughout temperate and sub-tropical waters</w:t>
      </w:r>
      <w:r w:rsidR="0094497B" w:rsidRPr="00BB2EEC">
        <w:rPr>
          <w:rFonts w:ascii="Arial" w:hAnsi="Arial"/>
          <w:sz w:val="22"/>
          <w:szCs w:val="22"/>
        </w:rPr>
        <w:t>,</w:t>
      </w:r>
      <w:r w:rsidRPr="00BB2EEC">
        <w:rPr>
          <w:rFonts w:ascii="Arial" w:hAnsi="Arial"/>
          <w:sz w:val="22"/>
          <w:szCs w:val="22"/>
        </w:rPr>
        <w:t xml:space="preserve"> with their known range in Australian waters including all coastal areas except the Northern Territory (DSEWPaC, 2013). </w:t>
      </w:r>
    </w:p>
    <w:p w14:paraId="60B41B62" w14:textId="00FE915C" w:rsidR="00853AFA" w:rsidRDefault="00B54F26" w:rsidP="00B54F26">
      <w:pPr>
        <w:pStyle w:val="bodycopy"/>
        <w:rPr>
          <w:rFonts w:ascii="Arial" w:hAnsi="Arial"/>
          <w:sz w:val="22"/>
          <w:szCs w:val="22"/>
        </w:rPr>
      </w:pPr>
      <w:r w:rsidRPr="00BB2EEC">
        <w:rPr>
          <w:rFonts w:ascii="Arial" w:hAnsi="Arial"/>
          <w:sz w:val="22"/>
          <w:szCs w:val="22"/>
        </w:rPr>
        <w:t xml:space="preserve">Studies of great white sharks indicate that they are </w:t>
      </w:r>
      <w:r w:rsidR="00685C2F">
        <w:rPr>
          <w:rFonts w:ascii="Arial" w:hAnsi="Arial"/>
          <w:sz w:val="22"/>
          <w:szCs w:val="22"/>
        </w:rPr>
        <w:t xml:space="preserve">usually solitary animals, </w:t>
      </w:r>
      <w:r w:rsidRPr="00BB2EEC">
        <w:rPr>
          <w:rFonts w:ascii="Arial" w:hAnsi="Arial"/>
          <w:sz w:val="22"/>
          <w:szCs w:val="22"/>
        </w:rPr>
        <w:t>largely transient</w:t>
      </w:r>
      <w:r w:rsidR="00685C2F">
        <w:rPr>
          <w:rFonts w:ascii="Arial" w:hAnsi="Arial"/>
          <w:sz w:val="22"/>
          <w:szCs w:val="22"/>
        </w:rPr>
        <w:t xml:space="preserve"> and</w:t>
      </w:r>
      <w:r w:rsidR="0083637A" w:rsidRPr="00BB2EEC">
        <w:rPr>
          <w:rFonts w:ascii="Arial" w:hAnsi="Arial"/>
          <w:sz w:val="22"/>
          <w:szCs w:val="22"/>
        </w:rPr>
        <w:t xml:space="preserve"> only temporarily resident </w:t>
      </w:r>
      <w:r w:rsidR="00E97861" w:rsidRPr="00BB2EEC">
        <w:rPr>
          <w:rFonts w:ascii="Arial" w:hAnsi="Arial"/>
          <w:sz w:val="22"/>
          <w:szCs w:val="22"/>
        </w:rPr>
        <w:t xml:space="preserve">(e.g., days to weeks) </w:t>
      </w:r>
      <w:r w:rsidR="0083637A" w:rsidRPr="00BB2EEC">
        <w:rPr>
          <w:rFonts w:ascii="Arial" w:hAnsi="Arial"/>
          <w:sz w:val="22"/>
          <w:szCs w:val="22"/>
        </w:rPr>
        <w:t>in areas it inhabits (</w:t>
      </w:r>
      <w:r w:rsidR="00685C2F">
        <w:rPr>
          <w:rFonts w:ascii="Arial" w:hAnsi="Arial"/>
          <w:sz w:val="22"/>
          <w:szCs w:val="22"/>
        </w:rPr>
        <w:t xml:space="preserve">DSE, 2003b; </w:t>
      </w:r>
      <w:r w:rsidR="0083637A" w:rsidRPr="00BB2EEC">
        <w:rPr>
          <w:rFonts w:ascii="Arial" w:hAnsi="Arial"/>
          <w:sz w:val="22"/>
          <w:szCs w:val="22"/>
        </w:rPr>
        <w:t>DSEWPaC, 2013)</w:t>
      </w:r>
      <w:r w:rsidRPr="00BB2EEC">
        <w:rPr>
          <w:rFonts w:ascii="Arial" w:hAnsi="Arial"/>
          <w:sz w:val="22"/>
          <w:szCs w:val="22"/>
        </w:rPr>
        <w:t xml:space="preserve">. However, individuals are known to return to feeding grounds on a seasonal basis (Klimley &amp; Anderson, 1996). </w:t>
      </w:r>
      <w:r w:rsidR="00853AFA">
        <w:rPr>
          <w:rFonts w:ascii="Arial" w:hAnsi="Arial"/>
          <w:sz w:val="22"/>
          <w:szCs w:val="22"/>
        </w:rPr>
        <w:t xml:space="preserve">The species </w:t>
      </w:r>
      <w:r w:rsidR="00853AFA" w:rsidRPr="00853AFA">
        <w:rPr>
          <w:rFonts w:ascii="Arial" w:hAnsi="Arial"/>
          <w:sz w:val="22"/>
          <w:szCs w:val="22"/>
        </w:rPr>
        <w:t>moves seasonally along the south and east Australian coasts, moving northerly along the coast during autumn and winter and returning to southern Australian waters by early summer</w:t>
      </w:r>
      <w:r w:rsidR="00853AFA">
        <w:rPr>
          <w:rFonts w:ascii="Arial" w:hAnsi="Arial"/>
          <w:sz w:val="22"/>
          <w:szCs w:val="22"/>
        </w:rPr>
        <w:t>.</w:t>
      </w:r>
    </w:p>
    <w:p w14:paraId="0900EFA6" w14:textId="1FEB8BD6" w:rsidR="0094497B" w:rsidRPr="00BB2EEC" w:rsidRDefault="00B54F26" w:rsidP="00B54F26">
      <w:pPr>
        <w:pStyle w:val="bodycopy"/>
        <w:rPr>
          <w:rFonts w:ascii="Arial" w:hAnsi="Arial"/>
          <w:sz w:val="22"/>
          <w:szCs w:val="22"/>
        </w:rPr>
      </w:pPr>
      <w:r w:rsidRPr="00BB2EEC">
        <w:rPr>
          <w:rFonts w:ascii="Arial" w:hAnsi="Arial"/>
          <w:sz w:val="22"/>
          <w:szCs w:val="22"/>
        </w:rPr>
        <w:t xml:space="preserve">Observations of adult sharks are more frequent around fur seal and sea lion colonies, including Wilsons Promontory (approximately </w:t>
      </w:r>
      <w:r w:rsidR="006A2D16" w:rsidRPr="00BB2EEC">
        <w:rPr>
          <w:rFonts w:ascii="Arial" w:hAnsi="Arial"/>
          <w:sz w:val="22"/>
          <w:szCs w:val="22"/>
        </w:rPr>
        <w:t xml:space="preserve">97 </w:t>
      </w:r>
      <w:r w:rsidRPr="00BB2EEC">
        <w:rPr>
          <w:rFonts w:ascii="Arial" w:hAnsi="Arial"/>
          <w:sz w:val="22"/>
          <w:szCs w:val="22"/>
        </w:rPr>
        <w:t xml:space="preserve">km </w:t>
      </w:r>
      <w:r w:rsidR="006A2D16" w:rsidRPr="00BB2EEC">
        <w:rPr>
          <w:rFonts w:ascii="Arial" w:hAnsi="Arial"/>
          <w:sz w:val="22"/>
          <w:szCs w:val="22"/>
        </w:rPr>
        <w:t>south</w:t>
      </w:r>
      <w:r w:rsidR="0094497B" w:rsidRPr="00BB2EEC">
        <w:rPr>
          <w:rFonts w:ascii="Arial" w:hAnsi="Arial"/>
          <w:sz w:val="22"/>
          <w:szCs w:val="22"/>
        </w:rPr>
        <w:t>west</w:t>
      </w:r>
      <w:r w:rsidRPr="00BB2EEC">
        <w:rPr>
          <w:rFonts w:ascii="Arial" w:hAnsi="Arial"/>
          <w:sz w:val="22"/>
          <w:szCs w:val="22"/>
        </w:rPr>
        <w:t xml:space="preserve"> of the </w:t>
      </w:r>
      <w:r w:rsidR="0094497B" w:rsidRPr="00BB2EEC">
        <w:rPr>
          <w:rFonts w:ascii="Arial" w:hAnsi="Arial"/>
          <w:sz w:val="22"/>
          <w:szCs w:val="22"/>
        </w:rPr>
        <w:t>proposed acquisition area</w:t>
      </w:r>
      <w:r w:rsidRPr="00BB2EEC">
        <w:rPr>
          <w:rFonts w:ascii="Arial" w:hAnsi="Arial"/>
          <w:sz w:val="22"/>
          <w:szCs w:val="22"/>
        </w:rPr>
        <w:t xml:space="preserve">) and the Skerries (approximately </w:t>
      </w:r>
      <w:r w:rsidR="00AA6B49" w:rsidRPr="00BB2EEC">
        <w:rPr>
          <w:rFonts w:ascii="Arial" w:hAnsi="Arial"/>
          <w:sz w:val="22"/>
          <w:szCs w:val="22"/>
        </w:rPr>
        <w:t>177</w:t>
      </w:r>
      <w:r w:rsidR="00685C2F">
        <w:rPr>
          <w:rFonts w:ascii="Arial" w:hAnsi="Arial"/>
          <w:sz w:val="22"/>
          <w:szCs w:val="22"/>
        </w:rPr>
        <w:t xml:space="preserve"> </w:t>
      </w:r>
      <w:r w:rsidRPr="00BB2EEC">
        <w:rPr>
          <w:rFonts w:ascii="Arial" w:hAnsi="Arial"/>
          <w:sz w:val="22"/>
          <w:szCs w:val="22"/>
        </w:rPr>
        <w:t xml:space="preserve">km </w:t>
      </w:r>
      <w:r w:rsidR="00AA6B49" w:rsidRPr="00BB2EEC">
        <w:rPr>
          <w:rFonts w:ascii="Arial" w:hAnsi="Arial"/>
          <w:sz w:val="22"/>
          <w:szCs w:val="22"/>
        </w:rPr>
        <w:t>north</w:t>
      </w:r>
      <w:r w:rsidRPr="00BB2EEC">
        <w:rPr>
          <w:rFonts w:ascii="Arial" w:hAnsi="Arial"/>
          <w:sz w:val="22"/>
          <w:szCs w:val="22"/>
        </w:rPr>
        <w:t xml:space="preserve">east of the </w:t>
      </w:r>
      <w:r w:rsidR="0094497B" w:rsidRPr="00BB2EEC">
        <w:rPr>
          <w:rFonts w:ascii="Arial" w:hAnsi="Arial"/>
          <w:sz w:val="22"/>
          <w:szCs w:val="22"/>
        </w:rPr>
        <w:t>proposed acquisition area</w:t>
      </w:r>
      <w:r w:rsidRPr="00BB2EEC">
        <w:rPr>
          <w:rFonts w:ascii="Arial" w:hAnsi="Arial"/>
          <w:sz w:val="22"/>
          <w:szCs w:val="22"/>
        </w:rPr>
        <w:t>)</w:t>
      </w:r>
      <w:r w:rsidR="00685C2F">
        <w:rPr>
          <w:rFonts w:ascii="Arial" w:hAnsi="Arial"/>
          <w:sz w:val="22"/>
          <w:szCs w:val="22"/>
        </w:rPr>
        <w:t xml:space="preserve"> (DSE, 2003b)</w:t>
      </w:r>
      <w:r w:rsidRPr="00BB2EEC">
        <w:rPr>
          <w:rFonts w:ascii="Arial" w:hAnsi="Arial"/>
          <w:sz w:val="22"/>
          <w:szCs w:val="22"/>
        </w:rPr>
        <w:t xml:space="preserve">. </w:t>
      </w:r>
    </w:p>
    <w:p w14:paraId="129FBD62" w14:textId="2CB53049" w:rsidR="0067172A" w:rsidRDefault="00B54F26" w:rsidP="00B54F26">
      <w:pPr>
        <w:pStyle w:val="bodycopy"/>
        <w:rPr>
          <w:rFonts w:ascii="Arial" w:hAnsi="Arial"/>
          <w:sz w:val="22"/>
          <w:szCs w:val="22"/>
        </w:rPr>
      </w:pPr>
      <w:r w:rsidRPr="00BB2EEC">
        <w:rPr>
          <w:rFonts w:ascii="Arial" w:hAnsi="Arial"/>
          <w:sz w:val="22"/>
          <w:szCs w:val="22"/>
        </w:rPr>
        <w:t>Juveniles are known to congregate in certain key areas including the Ninety Mile Beach area (including Corner Inlet and Lakes Entrance)</w:t>
      </w:r>
      <w:r w:rsidR="0094497B" w:rsidRPr="00BB2EEC">
        <w:rPr>
          <w:rFonts w:ascii="Arial" w:hAnsi="Arial"/>
          <w:sz w:val="22"/>
          <w:szCs w:val="22"/>
        </w:rPr>
        <w:t xml:space="preserve">, where a BIA for breeding is overlapped by the proposed survey </w:t>
      </w:r>
      <w:r w:rsidR="0094497B" w:rsidRPr="00A82B40">
        <w:rPr>
          <w:rFonts w:ascii="Arial" w:hAnsi="Arial"/>
          <w:sz w:val="22"/>
          <w:szCs w:val="22"/>
        </w:rPr>
        <w:t>area</w:t>
      </w:r>
      <w:r w:rsidR="0083637A" w:rsidRPr="00A82B40">
        <w:rPr>
          <w:rFonts w:ascii="Arial" w:hAnsi="Arial"/>
          <w:sz w:val="22"/>
          <w:szCs w:val="22"/>
        </w:rPr>
        <w:t xml:space="preserve"> (</w:t>
      </w:r>
      <w:r w:rsidR="00BF60E0" w:rsidRPr="008E22DD">
        <w:rPr>
          <w:rFonts w:ascii="Arial" w:hAnsi="Arial"/>
          <w:sz w:val="22"/>
          <w:szCs w:val="22"/>
        </w:rPr>
        <w:t>Figure 5.</w:t>
      </w:r>
      <w:r w:rsidR="003A2BB4" w:rsidRPr="008E22DD">
        <w:rPr>
          <w:rFonts w:ascii="Arial" w:hAnsi="Arial"/>
          <w:sz w:val="22"/>
          <w:szCs w:val="22"/>
        </w:rPr>
        <w:t>1</w:t>
      </w:r>
      <w:r w:rsidR="00101658" w:rsidRPr="008E22DD">
        <w:rPr>
          <w:rFonts w:ascii="Arial" w:hAnsi="Arial"/>
          <w:sz w:val="22"/>
          <w:szCs w:val="22"/>
        </w:rPr>
        <w:t>2</w:t>
      </w:r>
      <w:r w:rsidR="0083637A" w:rsidRPr="008E22DD">
        <w:rPr>
          <w:rFonts w:ascii="Arial" w:hAnsi="Arial"/>
          <w:sz w:val="22"/>
          <w:szCs w:val="22"/>
        </w:rPr>
        <w:t>)</w:t>
      </w:r>
      <w:r w:rsidR="0094497B" w:rsidRPr="008E22DD">
        <w:rPr>
          <w:rFonts w:ascii="Arial" w:hAnsi="Arial"/>
          <w:sz w:val="22"/>
          <w:szCs w:val="22"/>
        </w:rPr>
        <w:t>.</w:t>
      </w:r>
      <w:r w:rsidR="0094497B" w:rsidRPr="00BB2EEC">
        <w:rPr>
          <w:rFonts w:ascii="Arial" w:hAnsi="Arial"/>
          <w:sz w:val="22"/>
          <w:szCs w:val="22"/>
        </w:rPr>
        <w:t xml:space="preserve"> </w:t>
      </w:r>
    </w:p>
    <w:p w14:paraId="3EB252F2" w14:textId="77777777" w:rsidR="00E14380" w:rsidRDefault="00E14380" w:rsidP="00E14380">
      <w:pPr>
        <w:pStyle w:val="bodycopy"/>
        <w:rPr>
          <w:rFonts w:ascii="Arial" w:hAnsi="Arial"/>
          <w:sz w:val="22"/>
          <w:szCs w:val="22"/>
        </w:rPr>
      </w:pPr>
      <w:r w:rsidRPr="00BB2EEC">
        <w:rPr>
          <w:rFonts w:ascii="Arial" w:hAnsi="Arial"/>
          <w:sz w:val="22"/>
          <w:szCs w:val="22"/>
        </w:rPr>
        <w:t xml:space="preserve">Museums Victoria (2017) indicates that Corner Inlet may be an important nursery area for the eastern population of great white sharks, mostly from mid-summer through to autumn (DSEWPaC, 2013). A BIA (distribution only) for the great white shark covers the entire southeast marine region, with the nearest feeding BIA being around Kangaroo Island in South Australia (870 km to the west-northwest). </w:t>
      </w:r>
    </w:p>
    <w:p w14:paraId="5A24F577" w14:textId="77777777" w:rsidR="00E14380" w:rsidRPr="00455423" w:rsidRDefault="00E14380" w:rsidP="00E14380">
      <w:pPr>
        <w:pStyle w:val="bodycopy"/>
        <w:rPr>
          <w:rFonts w:ascii="Arial" w:hAnsi="Arial"/>
          <w:sz w:val="22"/>
          <w:szCs w:val="22"/>
        </w:rPr>
      </w:pPr>
      <w:r w:rsidRPr="00455423">
        <w:rPr>
          <w:rFonts w:ascii="Arial" w:hAnsi="Arial"/>
          <w:sz w:val="22"/>
          <w:szCs w:val="22"/>
        </w:rPr>
        <w:t xml:space="preserve">Key threats to the species, as listed in the White Shark Recovery Plan (DSEWPC, 2013) </w:t>
      </w:r>
      <w:r>
        <w:rPr>
          <w:rFonts w:ascii="Arial" w:hAnsi="Arial"/>
          <w:sz w:val="22"/>
          <w:szCs w:val="22"/>
        </w:rPr>
        <w:t xml:space="preserve">and Great White Shark Action Statement (DSE, 2003b) </w:t>
      </w:r>
      <w:r w:rsidRPr="00455423">
        <w:rPr>
          <w:rFonts w:ascii="Arial" w:hAnsi="Arial"/>
          <w:sz w:val="22"/>
          <w:szCs w:val="22"/>
        </w:rPr>
        <w:t xml:space="preserve">are mortality from </w:t>
      </w:r>
      <w:r>
        <w:rPr>
          <w:rFonts w:ascii="Arial" w:hAnsi="Arial"/>
          <w:sz w:val="22"/>
          <w:szCs w:val="22"/>
        </w:rPr>
        <w:t xml:space="preserve">targeted fishing, </w:t>
      </w:r>
      <w:r w:rsidRPr="00455423">
        <w:rPr>
          <w:rFonts w:ascii="Arial" w:hAnsi="Arial"/>
          <w:sz w:val="22"/>
          <w:szCs w:val="22"/>
        </w:rPr>
        <w:t xml:space="preserve">accidental fishing bycatch and illegal fishing, and mortality from shark control activities (such as beach meshing and drumlining), none of which will take place during the proposed MSS. Similarly, the MSS will have no impact on the 10 objectives for protection listed in the plan. </w:t>
      </w:r>
    </w:p>
    <w:p w14:paraId="5A1D0BC4" w14:textId="77777777" w:rsidR="005214A5" w:rsidRDefault="00E14380" w:rsidP="00E14380">
      <w:pPr>
        <w:pStyle w:val="bodycopy"/>
        <w:rPr>
          <w:rFonts w:ascii="Arial" w:hAnsi="Arial"/>
          <w:sz w:val="22"/>
          <w:szCs w:val="22"/>
        </w:rPr>
      </w:pPr>
      <w:r w:rsidRPr="00455423">
        <w:rPr>
          <w:rFonts w:ascii="Arial" w:hAnsi="Arial"/>
          <w:sz w:val="22"/>
          <w:szCs w:val="22"/>
        </w:rPr>
        <w:t xml:space="preserve">Given their transitory nature and the proximity of known congregation areas, great white sharks </w:t>
      </w:r>
      <w:r>
        <w:rPr>
          <w:rFonts w:ascii="Arial" w:hAnsi="Arial"/>
          <w:sz w:val="22"/>
          <w:szCs w:val="22"/>
        </w:rPr>
        <w:t>may</w:t>
      </w:r>
      <w:r w:rsidRPr="00455423">
        <w:rPr>
          <w:rFonts w:ascii="Arial" w:hAnsi="Arial"/>
          <w:sz w:val="22"/>
          <w:szCs w:val="22"/>
        </w:rPr>
        <w:t xml:space="preserve"> occur within the proposed acquisition area and EMBA</w:t>
      </w:r>
      <w:r>
        <w:rPr>
          <w:rFonts w:ascii="Arial" w:hAnsi="Arial"/>
          <w:sz w:val="22"/>
          <w:szCs w:val="22"/>
        </w:rPr>
        <w:t>, and they may have a seasonale overlap if the survey is conducted during early summer</w:t>
      </w:r>
      <w:r w:rsidRPr="00455423">
        <w:rPr>
          <w:rFonts w:ascii="Arial" w:hAnsi="Arial"/>
          <w:sz w:val="22"/>
          <w:szCs w:val="22"/>
        </w:rPr>
        <w:t>.</w:t>
      </w:r>
    </w:p>
    <w:p w14:paraId="56E9B11E" w14:textId="03738882" w:rsidR="00E14380" w:rsidRDefault="005214A5" w:rsidP="00E14380">
      <w:pPr>
        <w:pStyle w:val="bodycopy"/>
        <w:rPr>
          <w:rFonts w:ascii="Arial" w:hAnsi="Arial"/>
          <w:sz w:val="22"/>
          <w:szCs w:val="22"/>
        </w:rPr>
      </w:pPr>
      <w:r>
        <w:rPr>
          <w:rFonts w:ascii="Arial" w:hAnsi="Arial"/>
          <w:sz w:val="22"/>
          <w:szCs w:val="22"/>
        </w:rPr>
        <w:t xml:space="preserve">This species </w:t>
      </w:r>
      <w:r w:rsidR="006420A2">
        <w:rPr>
          <w:rFonts w:ascii="Arial" w:hAnsi="Arial"/>
          <w:sz w:val="22"/>
          <w:szCs w:val="22"/>
        </w:rPr>
        <w:t>is</w:t>
      </w:r>
      <w:r>
        <w:rPr>
          <w:rFonts w:ascii="Arial" w:hAnsi="Arial"/>
          <w:sz w:val="22"/>
          <w:szCs w:val="22"/>
        </w:rPr>
        <w:t xml:space="preserve"> not listed in the VBA search for the EMBA.</w:t>
      </w:r>
      <w:r w:rsidR="00E14380" w:rsidRPr="00455423">
        <w:rPr>
          <w:rFonts w:ascii="Arial" w:hAnsi="Arial"/>
          <w:sz w:val="22"/>
          <w:szCs w:val="22"/>
        </w:rPr>
        <w:t xml:space="preserve"> </w:t>
      </w:r>
    </w:p>
    <w:p w14:paraId="447B066D" w14:textId="77777777" w:rsidR="00E14380" w:rsidRDefault="00E14380" w:rsidP="00B54F26">
      <w:pPr>
        <w:pStyle w:val="bodycopy"/>
        <w:rPr>
          <w:rFonts w:ascii="Arial" w:hAnsi="Arial"/>
          <w:sz w:val="22"/>
          <w:szCs w:val="22"/>
        </w:rPr>
        <w:sectPr w:rsidR="00E14380" w:rsidSect="00C72255">
          <w:headerReference w:type="even" r:id="rId107"/>
          <w:headerReference w:type="default" r:id="rId108"/>
          <w:footerReference w:type="default" r:id="rId109"/>
          <w:headerReference w:type="first" r:id="rId110"/>
          <w:pgSz w:w="11906" w:h="16838" w:code="9"/>
          <w:pgMar w:top="1384" w:right="1800" w:bottom="1440" w:left="1800" w:header="994" w:footer="706" w:gutter="0"/>
          <w:cols w:space="708"/>
          <w:docGrid w:linePitch="360"/>
        </w:sectPr>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590"/>
      </w:tblGrid>
      <w:tr w:rsidR="0083637A" w14:paraId="5A2DF2FB" w14:textId="77777777" w:rsidTr="00AC0402">
        <w:trPr>
          <w:jc w:val="center"/>
        </w:trPr>
        <w:tc>
          <w:tcPr>
            <w:tcW w:w="11590" w:type="dxa"/>
            <w:shd w:val="clear" w:color="auto" w:fill="auto"/>
          </w:tcPr>
          <w:p w14:paraId="14D212F5" w14:textId="588F826C" w:rsidR="00BF60E0" w:rsidRDefault="00AD1C4D" w:rsidP="00393CFE">
            <w:pPr>
              <w:pStyle w:val="bodycopy"/>
            </w:pPr>
            <w:r>
              <w:lastRenderedPageBreak/>
              <w:pict w14:anchorId="0C243CD8">
                <v:shape id="_x0000_i1030" type="#_x0000_t75" style="width:556.7pt;height:390pt">
                  <v:imagedata r:id="rId111" o:title="26a_EP_Biologically_Important_Areas_Batch_1_White Shark" croptop="1500f" cropbottom="1935f" cropleft="1290f" cropright="1290f"/>
                </v:shape>
              </w:pict>
            </w:r>
          </w:p>
        </w:tc>
      </w:tr>
    </w:tbl>
    <w:p w14:paraId="2FCF66F1" w14:textId="3E89B4BC" w:rsidR="00BD7924" w:rsidRPr="00455423" w:rsidRDefault="00BD7924" w:rsidP="00AC0402">
      <w:pPr>
        <w:pStyle w:val="bodycopy"/>
        <w:ind w:left="720" w:firstLine="720"/>
        <w:rPr>
          <w:rFonts w:ascii="Arial" w:hAnsi="Arial"/>
          <w:i/>
          <w:sz w:val="16"/>
          <w:szCs w:val="16"/>
        </w:rPr>
      </w:pPr>
      <w:r w:rsidRPr="00455423">
        <w:rPr>
          <w:rFonts w:ascii="Arial" w:hAnsi="Arial"/>
          <w:i/>
          <w:sz w:val="16"/>
          <w:szCs w:val="16"/>
        </w:rPr>
        <w:t>Source: National Conservation Values Atlas (DoEE, 2017</w:t>
      </w:r>
      <w:r w:rsidR="00225481">
        <w:rPr>
          <w:rFonts w:ascii="Arial" w:hAnsi="Arial"/>
          <w:i/>
          <w:sz w:val="16"/>
          <w:szCs w:val="16"/>
        </w:rPr>
        <w:t>a</w:t>
      </w:r>
      <w:r w:rsidRPr="00455423">
        <w:rPr>
          <w:rFonts w:ascii="Arial" w:hAnsi="Arial"/>
          <w:i/>
          <w:sz w:val="16"/>
          <w:szCs w:val="16"/>
        </w:rPr>
        <w:t>).</w:t>
      </w:r>
    </w:p>
    <w:p w14:paraId="42AD0AA3" w14:textId="0AB45728" w:rsidR="0083637A" w:rsidRPr="00455423" w:rsidRDefault="0083637A" w:rsidP="0083637A">
      <w:pPr>
        <w:pStyle w:val="bodycopy"/>
        <w:spacing w:after="240"/>
        <w:jc w:val="center"/>
        <w:rPr>
          <w:rFonts w:ascii="Arial" w:hAnsi="Arial"/>
          <w:b/>
          <w:sz w:val="20"/>
        </w:rPr>
      </w:pPr>
      <w:r w:rsidRPr="00455423">
        <w:rPr>
          <w:rFonts w:ascii="Arial" w:hAnsi="Arial"/>
          <w:b/>
          <w:sz w:val="20"/>
        </w:rPr>
        <w:t>Figure 5.</w:t>
      </w:r>
      <w:r w:rsidR="003A2BB4">
        <w:rPr>
          <w:rFonts w:ascii="Arial" w:hAnsi="Arial"/>
          <w:b/>
          <w:sz w:val="20"/>
        </w:rPr>
        <w:t>1</w:t>
      </w:r>
      <w:r w:rsidR="00101658">
        <w:rPr>
          <w:rFonts w:ascii="Arial" w:hAnsi="Arial"/>
          <w:b/>
          <w:sz w:val="20"/>
        </w:rPr>
        <w:t>2</w:t>
      </w:r>
      <w:r w:rsidRPr="00455423">
        <w:rPr>
          <w:rFonts w:ascii="Arial" w:hAnsi="Arial"/>
          <w:b/>
          <w:sz w:val="20"/>
        </w:rPr>
        <w:t>.</w:t>
      </w:r>
      <w:r w:rsidRPr="00455423">
        <w:rPr>
          <w:rFonts w:ascii="Arial" w:hAnsi="Arial"/>
          <w:b/>
          <w:sz w:val="20"/>
        </w:rPr>
        <w:tab/>
        <w:t>BIA for the great white shark</w:t>
      </w:r>
      <w:r w:rsidR="00BF60E0" w:rsidRPr="00455423">
        <w:rPr>
          <w:rFonts w:ascii="Arial" w:hAnsi="Arial"/>
          <w:b/>
          <w:sz w:val="20"/>
        </w:rPr>
        <w:t xml:space="preserve"> </w:t>
      </w:r>
    </w:p>
    <w:p w14:paraId="1624C761" w14:textId="77777777" w:rsidR="0067172A" w:rsidRDefault="0067172A" w:rsidP="00B54F26">
      <w:pPr>
        <w:pStyle w:val="bodycopy"/>
        <w:rPr>
          <w:rFonts w:ascii="Arial" w:hAnsi="Arial"/>
          <w:sz w:val="22"/>
          <w:szCs w:val="22"/>
        </w:rPr>
        <w:sectPr w:rsidR="0067172A" w:rsidSect="00AC0402">
          <w:headerReference w:type="even" r:id="rId112"/>
          <w:headerReference w:type="default" r:id="rId113"/>
          <w:footerReference w:type="default" r:id="rId114"/>
          <w:headerReference w:type="first" r:id="rId115"/>
          <w:pgSz w:w="16838" w:h="11906" w:orient="landscape" w:code="9"/>
          <w:pgMar w:top="1560" w:right="1384" w:bottom="1800" w:left="1440" w:header="994" w:footer="706" w:gutter="0"/>
          <w:cols w:space="708"/>
          <w:docGrid w:linePitch="360"/>
        </w:sectPr>
      </w:pPr>
    </w:p>
    <w:p w14:paraId="580E64BF" w14:textId="30FAA56C" w:rsidR="00C06987" w:rsidRPr="0017049F" w:rsidRDefault="00C06987" w:rsidP="00C06987">
      <w:pPr>
        <w:pStyle w:val="bodycopy"/>
        <w:rPr>
          <w:rFonts w:ascii="Arial" w:hAnsi="Arial"/>
          <w:b/>
          <w:sz w:val="22"/>
          <w:szCs w:val="22"/>
        </w:rPr>
      </w:pPr>
      <w:r w:rsidRPr="0017049F">
        <w:rPr>
          <w:rFonts w:ascii="Arial" w:hAnsi="Arial"/>
          <w:b/>
          <w:sz w:val="22"/>
          <w:szCs w:val="22"/>
        </w:rPr>
        <w:lastRenderedPageBreak/>
        <w:t>Black rockcod (</w:t>
      </w:r>
      <w:r w:rsidRPr="0017049F">
        <w:rPr>
          <w:rFonts w:ascii="Arial" w:hAnsi="Arial"/>
          <w:b/>
          <w:i/>
          <w:sz w:val="22"/>
          <w:szCs w:val="22"/>
        </w:rPr>
        <w:t>Epinephelus daemelii</w:t>
      </w:r>
      <w:r w:rsidRPr="0017049F">
        <w:rPr>
          <w:rFonts w:ascii="Arial" w:hAnsi="Arial"/>
          <w:b/>
          <w:sz w:val="22"/>
          <w:szCs w:val="22"/>
        </w:rPr>
        <w:t>) (</w:t>
      </w:r>
      <w:r w:rsidR="005214A5">
        <w:rPr>
          <w:rFonts w:ascii="Arial" w:hAnsi="Arial"/>
          <w:b/>
          <w:sz w:val="22"/>
          <w:szCs w:val="22"/>
        </w:rPr>
        <w:t xml:space="preserve">EPBC Act: </w:t>
      </w:r>
      <w:r w:rsidRPr="0017049F">
        <w:rPr>
          <w:rFonts w:ascii="Arial" w:hAnsi="Arial"/>
          <w:b/>
          <w:sz w:val="22"/>
          <w:szCs w:val="22"/>
        </w:rPr>
        <w:t>Vulnerable</w:t>
      </w:r>
      <w:r w:rsidR="005214A5">
        <w:rPr>
          <w:rFonts w:ascii="Arial" w:hAnsi="Arial"/>
          <w:b/>
          <w:sz w:val="22"/>
          <w:szCs w:val="22"/>
        </w:rPr>
        <w:t>, FFG Act: Not listed</w:t>
      </w:r>
      <w:r w:rsidRPr="0017049F">
        <w:rPr>
          <w:rFonts w:ascii="Arial" w:hAnsi="Arial"/>
          <w:b/>
          <w:sz w:val="22"/>
          <w:szCs w:val="22"/>
        </w:rPr>
        <w:t>)</w:t>
      </w:r>
    </w:p>
    <w:p w14:paraId="3B3BD52B" w14:textId="66BE64AE" w:rsidR="00C06987" w:rsidRPr="0017049F" w:rsidRDefault="00C06987" w:rsidP="00C06987">
      <w:pPr>
        <w:pStyle w:val="bodycopy"/>
        <w:rPr>
          <w:rFonts w:ascii="Arial" w:hAnsi="Arial"/>
          <w:sz w:val="22"/>
          <w:szCs w:val="22"/>
        </w:rPr>
      </w:pPr>
      <w:r w:rsidRPr="0017049F">
        <w:rPr>
          <w:rFonts w:ascii="Arial" w:hAnsi="Arial"/>
          <w:sz w:val="22"/>
          <w:szCs w:val="22"/>
        </w:rPr>
        <w:t xml:space="preserve">The black rockcod is a large cod species distributed in warm temperate to temperate </w:t>
      </w:r>
      <w:r w:rsidR="00D42668" w:rsidRPr="0017049F">
        <w:rPr>
          <w:rFonts w:ascii="Arial" w:hAnsi="Arial"/>
          <w:sz w:val="22"/>
          <w:szCs w:val="22"/>
        </w:rPr>
        <w:t xml:space="preserve">marine </w:t>
      </w:r>
      <w:r w:rsidRPr="0017049F">
        <w:rPr>
          <w:rFonts w:ascii="Arial" w:hAnsi="Arial"/>
          <w:sz w:val="22"/>
          <w:szCs w:val="22"/>
        </w:rPr>
        <w:t>waters of south-eastern Australia, from southern Queensland to Mallacoota in Victoria (</w:t>
      </w:r>
      <w:r w:rsidR="00E461BD" w:rsidRPr="0017049F">
        <w:rPr>
          <w:rFonts w:ascii="Arial" w:hAnsi="Arial"/>
          <w:sz w:val="22"/>
          <w:szCs w:val="22"/>
        </w:rPr>
        <w:t>206</w:t>
      </w:r>
      <w:r w:rsidRPr="0017049F">
        <w:rPr>
          <w:rFonts w:ascii="Arial" w:hAnsi="Arial"/>
          <w:sz w:val="22"/>
          <w:szCs w:val="22"/>
        </w:rPr>
        <w:t xml:space="preserve"> km </w:t>
      </w:r>
      <w:r w:rsidR="00E461BD" w:rsidRPr="0017049F">
        <w:rPr>
          <w:rFonts w:ascii="Arial" w:hAnsi="Arial"/>
          <w:sz w:val="22"/>
          <w:szCs w:val="22"/>
        </w:rPr>
        <w:t>north</w:t>
      </w:r>
      <w:r w:rsidRPr="0017049F">
        <w:rPr>
          <w:rFonts w:ascii="Arial" w:hAnsi="Arial"/>
          <w:sz w:val="22"/>
          <w:szCs w:val="22"/>
        </w:rPr>
        <w:t xml:space="preserve">east of the proposed acquisition area), and rarely west of this point (Museums Victoria, 2017). </w:t>
      </w:r>
      <w:r w:rsidR="00D42668" w:rsidRPr="0017049F">
        <w:rPr>
          <w:rFonts w:ascii="Arial" w:hAnsi="Arial"/>
          <w:sz w:val="22"/>
          <w:szCs w:val="22"/>
        </w:rPr>
        <w:t>The species inhabits caves, gutters and crevices generally to depths of 50 m, with juveniles found inshore. Individuals are highly territorial and have small home ranges (Museums Victoria, 2017). The black rockcod is a protogynous hermaphrodite, meaning it changes sex from female to male during its life cycle. The species has declined in number due to angling and spearfishing (Museums Victoria, 2017).</w:t>
      </w:r>
    </w:p>
    <w:p w14:paraId="016DAE0A" w14:textId="38344D42" w:rsidR="00C06987" w:rsidRPr="0017049F" w:rsidRDefault="00D42668" w:rsidP="00B54F26">
      <w:pPr>
        <w:pStyle w:val="bodycopy"/>
        <w:rPr>
          <w:rFonts w:ascii="Arial" w:hAnsi="Arial"/>
          <w:sz w:val="22"/>
          <w:szCs w:val="22"/>
        </w:rPr>
      </w:pPr>
      <w:r w:rsidRPr="0017049F">
        <w:rPr>
          <w:rFonts w:ascii="Arial" w:hAnsi="Arial"/>
          <w:sz w:val="22"/>
          <w:szCs w:val="22"/>
        </w:rPr>
        <w:t xml:space="preserve">Given their known distribution, the black rockcod is not likely to be present within the proposed acquisition area, but may occur </w:t>
      </w:r>
      <w:r w:rsidR="007F03A6" w:rsidRPr="0017049F">
        <w:rPr>
          <w:rFonts w:ascii="Arial" w:hAnsi="Arial"/>
          <w:sz w:val="22"/>
          <w:szCs w:val="22"/>
        </w:rPr>
        <w:t xml:space="preserve">in suitable habitat </w:t>
      </w:r>
      <w:r w:rsidRPr="0017049F">
        <w:rPr>
          <w:rFonts w:ascii="Arial" w:hAnsi="Arial"/>
          <w:sz w:val="22"/>
          <w:szCs w:val="22"/>
        </w:rPr>
        <w:t xml:space="preserve">within the EMBA. </w:t>
      </w:r>
      <w:r w:rsidR="005214A5">
        <w:rPr>
          <w:rFonts w:ascii="Arial" w:hAnsi="Arial"/>
          <w:sz w:val="22"/>
          <w:szCs w:val="22"/>
        </w:rPr>
        <w:t xml:space="preserve">This species </w:t>
      </w:r>
      <w:r w:rsidR="006420A2">
        <w:rPr>
          <w:rFonts w:ascii="Arial" w:hAnsi="Arial"/>
          <w:sz w:val="22"/>
          <w:szCs w:val="22"/>
        </w:rPr>
        <w:t>is</w:t>
      </w:r>
      <w:r w:rsidR="005214A5">
        <w:rPr>
          <w:rFonts w:ascii="Arial" w:hAnsi="Arial"/>
          <w:sz w:val="22"/>
          <w:szCs w:val="22"/>
        </w:rPr>
        <w:t xml:space="preserve"> not listed in the VBA search for the EMBA.</w:t>
      </w:r>
      <w:r w:rsidR="005214A5" w:rsidRPr="00455423">
        <w:rPr>
          <w:rFonts w:ascii="Arial" w:hAnsi="Arial"/>
          <w:sz w:val="22"/>
          <w:szCs w:val="22"/>
        </w:rPr>
        <w:t xml:space="preserve"> </w:t>
      </w:r>
    </w:p>
    <w:p w14:paraId="67BA59D2" w14:textId="31296637" w:rsidR="00B54F26" w:rsidRPr="0017049F" w:rsidRDefault="00B54F26" w:rsidP="00B54F26">
      <w:pPr>
        <w:pStyle w:val="bodycopy"/>
        <w:rPr>
          <w:rFonts w:ascii="Arial" w:hAnsi="Arial"/>
          <w:b/>
          <w:sz w:val="22"/>
          <w:szCs w:val="22"/>
        </w:rPr>
      </w:pPr>
      <w:r w:rsidRPr="0017049F">
        <w:rPr>
          <w:rFonts w:ascii="Arial" w:hAnsi="Arial"/>
          <w:b/>
          <w:sz w:val="22"/>
          <w:szCs w:val="22"/>
        </w:rPr>
        <w:t>Shortfin mako shark (</w:t>
      </w:r>
      <w:r w:rsidRPr="0017049F">
        <w:rPr>
          <w:rFonts w:ascii="Arial" w:hAnsi="Arial"/>
          <w:b/>
          <w:i/>
          <w:sz w:val="22"/>
          <w:szCs w:val="22"/>
        </w:rPr>
        <w:t>Isurus oxyrinchus</w:t>
      </w:r>
      <w:r w:rsidR="009A624E" w:rsidRPr="0017049F">
        <w:rPr>
          <w:rFonts w:ascii="Arial" w:hAnsi="Arial"/>
          <w:b/>
          <w:sz w:val="22"/>
          <w:szCs w:val="22"/>
        </w:rPr>
        <w:t>) (</w:t>
      </w:r>
      <w:r w:rsidR="005214A5">
        <w:rPr>
          <w:rFonts w:ascii="Arial" w:hAnsi="Arial"/>
          <w:b/>
          <w:sz w:val="22"/>
          <w:szCs w:val="22"/>
        </w:rPr>
        <w:t>EPBC Act: Listed m</w:t>
      </w:r>
      <w:r w:rsidRPr="0017049F">
        <w:rPr>
          <w:rFonts w:ascii="Arial" w:hAnsi="Arial"/>
          <w:b/>
          <w:sz w:val="22"/>
          <w:szCs w:val="22"/>
        </w:rPr>
        <w:t>igratory</w:t>
      </w:r>
      <w:r w:rsidR="005214A5">
        <w:rPr>
          <w:rFonts w:ascii="Arial" w:hAnsi="Arial"/>
          <w:b/>
          <w:sz w:val="22"/>
          <w:szCs w:val="22"/>
        </w:rPr>
        <w:t>, FFG Act: Not listed</w:t>
      </w:r>
      <w:r w:rsidRPr="0017049F">
        <w:rPr>
          <w:rFonts w:ascii="Arial" w:hAnsi="Arial"/>
          <w:b/>
          <w:sz w:val="22"/>
          <w:szCs w:val="22"/>
        </w:rPr>
        <w:t>)</w:t>
      </w:r>
    </w:p>
    <w:p w14:paraId="7314C339" w14:textId="77777777" w:rsidR="00E97861" w:rsidRPr="0017049F" w:rsidRDefault="00B54F26" w:rsidP="00B54F26">
      <w:pPr>
        <w:pStyle w:val="bodycopy"/>
        <w:rPr>
          <w:rFonts w:ascii="Arial" w:hAnsi="Arial"/>
          <w:sz w:val="22"/>
          <w:szCs w:val="22"/>
        </w:rPr>
      </w:pPr>
      <w:r w:rsidRPr="0017049F">
        <w:rPr>
          <w:rFonts w:ascii="Arial" w:hAnsi="Arial"/>
          <w:sz w:val="22"/>
          <w:szCs w:val="22"/>
        </w:rPr>
        <w:t xml:space="preserve">The shortfin mako shark is a pelagic species with a circum-global, wide-ranging oceanic distribution in tropical and temperate seas (Mollet </w:t>
      </w:r>
      <w:r w:rsidRPr="0017049F">
        <w:rPr>
          <w:rFonts w:ascii="Arial" w:hAnsi="Arial"/>
          <w:i/>
          <w:sz w:val="22"/>
          <w:szCs w:val="22"/>
        </w:rPr>
        <w:t>et al</w:t>
      </w:r>
      <w:r w:rsidRPr="0017049F">
        <w:rPr>
          <w:rFonts w:ascii="Arial" w:hAnsi="Arial"/>
          <w:sz w:val="22"/>
          <w:szCs w:val="22"/>
        </w:rPr>
        <w:t>., 2000)</w:t>
      </w:r>
      <w:r w:rsidR="00C06987" w:rsidRPr="0017049F">
        <w:rPr>
          <w:rFonts w:ascii="Arial" w:hAnsi="Arial"/>
          <w:sz w:val="22"/>
          <w:szCs w:val="22"/>
        </w:rPr>
        <w:t>, though the timing of occurrence is not reported</w:t>
      </w:r>
      <w:r w:rsidRPr="0017049F">
        <w:rPr>
          <w:rFonts w:ascii="Arial" w:hAnsi="Arial"/>
          <w:sz w:val="22"/>
          <w:szCs w:val="22"/>
        </w:rPr>
        <w:t>. It is widespread in Australian waters, commonly found in water with temperatures greater than 16°C</w:t>
      </w:r>
      <w:r w:rsidR="00E97861" w:rsidRPr="0017049F">
        <w:rPr>
          <w:rFonts w:ascii="Arial" w:hAnsi="Arial"/>
          <w:sz w:val="22"/>
          <w:szCs w:val="22"/>
        </w:rPr>
        <w:t xml:space="preserve"> (Museums Victoria, 2017)</w:t>
      </w:r>
      <w:r w:rsidRPr="0017049F">
        <w:rPr>
          <w:rFonts w:ascii="Arial" w:hAnsi="Arial"/>
          <w:sz w:val="22"/>
          <w:szCs w:val="22"/>
        </w:rPr>
        <w:t xml:space="preserve">. Populations of the shortfin mako are considered to have undergone a substantial decline globally. These sharks are common by-catch species of commercial fisheries (Mollet </w:t>
      </w:r>
      <w:r w:rsidRPr="0017049F">
        <w:rPr>
          <w:rFonts w:ascii="Arial" w:hAnsi="Arial"/>
          <w:i/>
          <w:sz w:val="22"/>
          <w:szCs w:val="22"/>
        </w:rPr>
        <w:t>et al</w:t>
      </w:r>
      <w:r w:rsidRPr="0017049F">
        <w:rPr>
          <w:rFonts w:ascii="Arial" w:hAnsi="Arial"/>
          <w:sz w:val="22"/>
          <w:szCs w:val="22"/>
        </w:rPr>
        <w:t xml:space="preserve">., 2000). </w:t>
      </w:r>
    </w:p>
    <w:p w14:paraId="7E9269A0" w14:textId="02C83FB8" w:rsidR="00B54F26" w:rsidRPr="0017049F" w:rsidRDefault="00B54F26" w:rsidP="00B54F26">
      <w:pPr>
        <w:pStyle w:val="bodycopy"/>
        <w:rPr>
          <w:rFonts w:ascii="Arial" w:hAnsi="Arial"/>
          <w:sz w:val="22"/>
          <w:szCs w:val="22"/>
        </w:rPr>
      </w:pPr>
      <w:r w:rsidRPr="0017049F">
        <w:rPr>
          <w:rFonts w:ascii="Arial" w:hAnsi="Arial"/>
          <w:sz w:val="22"/>
          <w:szCs w:val="22"/>
        </w:rPr>
        <w:t xml:space="preserve">Due to their widespread distribution in Australian waters, shortfin mako sharks may be encountered </w:t>
      </w:r>
      <w:r w:rsidR="00E97861" w:rsidRPr="0017049F">
        <w:rPr>
          <w:rFonts w:ascii="Arial" w:hAnsi="Arial"/>
          <w:sz w:val="22"/>
          <w:szCs w:val="22"/>
        </w:rPr>
        <w:t>in the proposed acquisition area and EMBA</w:t>
      </w:r>
      <w:r w:rsidRPr="0017049F">
        <w:rPr>
          <w:rFonts w:ascii="Arial" w:hAnsi="Arial"/>
          <w:sz w:val="22"/>
          <w:szCs w:val="22"/>
        </w:rPr>
        <w:t>, albeit in low numbers.</w:t>
      </w:r>
      <w:r w:rsidR="005214A5">
        <w:rPr>
          <w:rFonts w:ascii="Arial" w:hAnsi="Arial"/>
          <w:sz w:val="22"/>
          <w:szCs w:val="22"/>
        </w:rPr>
        <w:t xml:space="preserve"> This species </w:t>
      </w:r>
      <w:r w:rsidR="006420A2">
        <w:rPr>
          <w:rFonts w:ascii="Arial" w:hAnsi="Arial"/>
          <w:sz w:val="22"/>
          <w:szCs w:val="22"/>
        </w:rPr>
        <w:t>is</w:t>
      </w:r>
      <w:r w:rsidR="005214A5">
        <w:rPr>
          <w:rFonts w:ascii="Arial" w:hAnsi="Arial"/>
          <w:sz w:val="22"/>
          <w:szCs w:val="22"/>
        </w:rPr>
        <w:t xml:space="preserve"> not listed in the VBA search for the EMBA.</w:t>
      </w:r>
      <w:r w:rsidR="005214A5" w:rsidRPr="00455423">
        <w:rPr>
          <w:rFonts w:ascii="Arial" w:hAnsi="Arial"/>
          <w:sz w:val="22"/>
          <w:szCs w:val="22"/>
        </w:rPr>
        <w:t xml:space="preserve"> </w:t>
      </w:r>
    </w:p>
    <w:p w14:paraId="51EB0C25" w14:textId="1C432140" w:rsidR="00B54F26" w:rsidRPr="0017049F" w:rsidRDefault="00B54F26" w:rsidP="00B54F26">
      <w:pPr>
        <w:pStyle w:val="bodycopy"/>
        <w:rPr>
          <w:rFonts w:ascii="Arial" w:hAnsi="Arial"/>
          <w:b/>
          <w:sz w:val="22"/>
          <w:szCs w:val="22"/>
        </w:rPr>
      </w:pPr>
      <w:r w:rsidRPr="0017049F">
        <w:rPr>
          <w:rFonts w:ascii="Arial" w:hAnsi="Arial"/>
          <w:b/>
          <w:sz w:val="22"/>
          <w:szCs w:val="22"/>
        </w:rPr>
        <w:t>Porbeagle shark (</w:t>
      </w:r>
      <w:r w:rsidRPr="0017049F">
        <w:rPr>
          <w:rFonts w:ascii="Arial" w:hAnsi="Arial"/>
          <w:b/>
          <w:i/>
          <w:sz w:val="22"/>
          <w:szCs w:val="22"/>
        </w:rPr>
        <w:t>Lamna nasus</w:t>
      </w:r>
      <w:r w:rsidR="009A624E" w:rsidRPr="0017049F">
        <w:rPr>
          <w:rFonts w:ascii="Arial" w:hAnsi="Arial"/>
          <w:b/>
          <w:sz w:val="22"/>
          <w:szCs w:val="22"/>
        </w:rPr>
        <w:t>) (</w:t>
      </w:r>
      <w:r w:rsidR="005214A5">
        <w:rPr>
          <w:rFonts w:ascii="Arial" w:hAnsi="Arial"/>
          <w:b/>
          <w:sz w:val="22"/>
          <w:szCs w:val="22"/>
        </w:rPr>
        <w:t>EPBC Act: Listed m</w:t>
      </w:r>
      <w:r w:rsidRPr="0017049F">
        <w:rPr>
          <w:rFonts w:ascii="Arial" w:hAnsi="Arial"/>
          <w:b/>
          <w:sz w:val="22"/>
          <w:szCs w:val="22"/>
        </w:rPr>
        <w:t>igratory</w:t>
      </w:r>
      <w:r w:rsidR="005214A5">
        <w:rPr>
          <w:rFonts w:ascii="Arial" w:hAnsi="Arial"/>
          <w:b/>
          <w:sz w:val="22"/>
          <w:szCs w:val="22"/>
        </w:rPr>
        <w:t>, FFG Act: Not listed</w:t>
      </w:r>
      <w:r w:rsidRPr="0017049F">
        <w:rPr>
          <w:rFonts w:ascii="Arial" w:hAnsi="Arial"/>
          <w:b/>
          <w:sz w:val="22"/>
          <w:szCs w:val="22"/>
        </w:rPr>
        <w:t>)</w:t>
      </w:r>
    </w:p>
    <w:p w14:paraId="413DCC5F" w14:textId="77777777" w:rsidR="00C06987" w:rsidRPr="0017049F" w:rsidRDefault="00B54F26" w:rsidP="00B54F26">
      <w:pPr>
        <w:pStyle w:val="bodycopy"/>
        <w:rPr>
          <w:rFonts w:ascii="Arial" w:hAnsi="Arial"/>
          <w:sz w:val="22"/>
          <w:szCs w:val="22"/>
        </w:rPr>
      </w:pPr>
      <w:r w:rsidRPr="0017049F">
        <w:rPr>
          <w:rFonts w:ascii="Arial" w:hAnsi="Arial"/>
          <w:sz w:val="22"/>
          <w:szCs w:val="22"/>
        </w:rPr>
        <w:t>The porbeagle shark is wide</w:t>
      </w:r>
      <w:r w:rsidR="00E97861" w:rsidRPr="0017049F">
        <w:rPr>
          <w:rFonts w:ascii="Arial" w:hAnsi="Arial"/>
          <w:sz w:val="22"/>
          <w:szCs w:val="22"/>
        </w:rPr>
        <w:t xml:space="preserve">spread </w:t>
      </w:r>
      <w:r w:rsidRPr="0017049F">
        <w:rPr>
          <w:rFonts w:ascii="Arial" w:hAnsi="Arial"/>
          <w:sz w:val="22"/>
          <w:szCs w:val="22"/>
        </w:rPr>
        <w:t xml:space="preserve">in the southern waters of Australia </w:t>
      </w:r>
      <w:r w:rsidR="00E97861" w:rsidRPr="0017049F">
        <w:rPr>
          <w:rFonts w:ascii="Arial" w:hAnsi="Arial"/>
          <w:sz w:val="22"/>
          <w:szCs w:val="22"/>
        </w:rPr>
        <w:t>(Museums Victoria, 2017)</w:t>
      </w:r>
      <w:r w:rsidR="00C06987" w:rsidRPr="0017049F">
        <w:rPr>
          <w:rFonts w:ascii="Arial" w:hAnsi="Arial"/>
          <w:sz w:val="22"/>
          <w:szCs w:val="22"/>
        </w:rPr>
        <w:t>, though the timing of occurrence is not reported</w:t>
      </w:r>
      <w:r w:rsidR="00E97861" w:rsidRPr="0017049F">
        <w:rPr>
          <w:rFonts w:ascii="Arial" w:hAnsi="Arial"/>
          <w:sz w:val="22"/>
          <w:szCs w:val="22"/>
        </w:rPr>
        <w:t>.</w:t>
      </w:r>
      <w:r w:rsidRPr="0017049F">
        <w:rPr>
          <w:rFonts w:ascii="Arial" w:hAnsi="Arial"/>
          <w:sz w:val="22"/>
          <w:szCs w:val="22"/>
        </w:rPr>
        <w:t xml:space="preserve"> The species preys on bony fishes and cephalopods, and is an opportunistic hunter that regularly moves up and down in the water column, catching prey in mid-water as well as at the seafloor. It is most commonly found over food-rich banks on the outer continental shelf, but does make occasional foray close to shore or into the open ocean, down to depths of approximately 1,300 m. It also conducts long-distance seasonal migrations, generally shifting between shallower and deeper water (Pade </w:t>
      </w:r>
      <w:r w:rsidRPr="0017049F">
        <w:rPr>
          <w:rFonts w:ascii="Arial" w:hAnsi="Arial"/>
          <w:i/>
          <w:sz w:val="22"/>
          <w:szCs w:val="22"/>
        </w:rPr>
        <w:t>et al</w:t>
      </w:r>
      <w:r w:rsidRPr="0017049F">
        <w:rPr>
          <w:rFonts w:ascii="Arial" w:hAnsi="Arial"/>
          <w:sz w:val="22"/>
          <w:szCs w:val="22"/>
        </w:rPr>
        <w:t xml:space="preserve">., 2009). </w:t>
      </w:r>
    </w:p>
    <w:p w14:paraId="47AF7EF2" w14:textId="77E6D6F6" w:rsidR="00AC0402" w:rsidRPr="0017049F" w:rsidRDefault="00C06987" w:rsidP="00C06987">
      <w:pPr>
        <w:pStyle w:val="bodycopy"/>
        <w:rPr>
          <w:rFonts w:ascii="Arial" w:hAnsi="Arial"/>
          <w:sz w:val="22"/>
          <w:szCs w:val="22"/>
        </w:rPr>
      </w:pPr>
      <w:r w:rsidRPr="0017049F">
        <w:rPr>
          <w:rFonts w:ascii="Arial" w:hAnsi="Arial"/>
          <w:sz w:val="22"/>
          <w:szCs w:val="22"/>
        </w:rPr>
        <w:t>Due to their widespread distribution in Australian waters, porbeagle sharks may be encountered in the proposed acquisition area and EMBA, albeit in low numbers.</w:t>
      </w:r>
      <w:r w:rsidR="005214A5">
        <w:rPr>
          <w:rFonts w:ascii="Arial" w:hAnsi="Arial"/>
          <w:sz w:val="22"/>
          <w:szCs w:val="22"/>
        </w:rPr>
        <w:t xml:space="preserve"> This species </w:t>
      </w:r>
      <w:r w:rsidR="006420A2">
        <w:rPr>
          <w:rFonts w:ascii="Arial" w:hAnsi="Arial"/>
          <w:sz w:val="22"/>
          <w:szCs w:val="22"/>
        </w:rPr>
        <w:t>is</w:t>
      </w:r>
      <w:r w:rsidR="005214A5">
        <w:rPr>
          <w:rFonts w:ascii="Arial" w:hAnsi="Arial"/>
          <w:sz w:val="22"/>
          <w:szCs w:val="22"/>
        </w:rPr>
        <w:t xml:space="preserve"> not listed in the VBA search for the EMBA.</w:t>
      </w:r>
      <w:r w:rsidR="005214A5" w:rsidRPr="00455423">
        <w:rPr>
          <w:rFonts w:ascii="Arial" w:hAnsi="Arial"/>
          <w:sz w:val="22"/>
          <w:szCs w:val="22"/>
        </w:rPr>
        <w:t xml:space="preserve"> </w:t>
      </w:r>
    </w:p>
    <w:p w14:paraId="0470AE3A" w14:textId="5BDA6735" w:rsidR="00B54F26" w:rsidRPr="0017049F" w:rsidRDefault="00B54F26" w:rsidP="00B54F26">
      <w:pPr>
        <w:pStyle w:val="bodycopy"/>
        <w:rPr>
          <w:rFonts w:ascii="Arial" w:hAnsi="Arial"/>
          <w:b/>
          <w:sz w:val="22"/>
          <w:szCs w:val="22"/>
        </w:rPr>
      </w:pPr>
      <w:r w:rsidRPr="0017049F">
        <w:rPr>
          <w:rFonts w:ascii="Arial" w:hAnsi="Arial"/>
          <w:b/>
          <w:sz w:val="22"/>
          <w:szCs w:val="22"/>
        </w:rPr>
        <w:t>Whale shark (</w:t>
      </w:r>
      <w:r w:rsidR="00C06987" w:rsidRPr="0017049F">
        <w:rPr>
          <w:rFonts w:ascii="Arial" w:hAnsi="Arial"/>
          <w:b/>
          <w:i/>
          <w:sz w:val="22"/>
          <w:szCs w:val="22"/>
        </w:rPr>
        <w:t>Rhincodon typus</w:t>
      </w:r>
      <w:r w:rsidRPr="0017049F">
        <w:rPr>
          <w:rFonts w:ascii="Arial" w:hAnsi="Arial"/>
          <w:b/>
          <w:sz w:val="22"/>
          <w:szCs w:val="22"/>
        </w:rPr>
        <w:t>) (</w:t>
      </w:r>
      <w:r w:rsidR="005214A5">
        <w:rPr>
          <w:rFonts w:ascii="Arial" w:hAnsi="Arial"/>
          <w:b/>
          <w:sz w:val="22"/>
          <w:szCs w:val="22"/>
        </w:rPr>
        <w:t xml:space="preserve">EPBC Act: </w:t>
      </w:r>
      <w:r w:rsidR="00C06987" w:rsidRPr="0017049F">
        <w:rPr>
          <w:rFonts w:ascii="Arial" w:hAnsi="Arial"/>
          <w:b/>
          <w:sz w:val="22"/>
          <w:szCs w:val="22"/>
        </w:rPr>
        <w:t>Vulnerable</w:t>
      </w:r>
      <w:r w:rsidR="007375C8" w:rsidRPr="0017049F">
        <w:rPr>
          <w:rFonts w:ascii="Arial" w:hAnsi="Arial"/>
          <w:b/>
          <w:sz w:val="22"/>
          <w:szCs w:val="22"/>
        </w:rPr>
        <w:t xml:space="preserve">, </w:t>
      </w:r>
      <w:r w:rsidR="005214A5">
        <w:rPr>
          <w:rFonts w:ascii="Arial" w:hAnsi="Arial"/>
          <w:b/>
          <w:sz w:val="22"/>
          <w:szCs w:val="22"/>
        </w:rPr>
        <w:t xml:space="preserve">listed </w:t>
      </w:r>
      <w:r w:rsidR="007375C8" w:rsidRPr="0017049F">
        <w:rPr>
          <w:rFonts w:ascii="Arial" w:hAnsi="Arial"/>
          <w:b/>
          <w:sz w:val="22"/>
          <w:szCs w:val="22"/>
        </w:rPr>
        <w:t>migratory</w:t>
      </w:r>
      <w:r w:rsidR="005214A5">
        <w:rPr>
          <w:rFonts w:ascii="Arial" w:hAnsi="Arial"/>
          <w:b/>
          <w:sz w:val="22"/>
          <w:szCs w:val="22"/>
        </w:rPr>
        <w:t>, FFG Act: Not listed</w:t>
      </w:r>
      <w:r w:rsidRPr="0017049F">
        <w:rPr>
          <w:rFonts w:ascii="Arial" w:hAnsi="Arial"/>
          <w:b/>
          <w:sz w:val="22"/>
          <w:szCs w:val="22"/>
        </w:rPr>
        <w:t>)</w:t>
      </w:r>
    </w:p>
    <w:p w14:paraId="71D8A017" w14:textId="523D4623" w:rsidR="00C06987" w:rsidRDefault="007F03A6" w:rsidP="00B54F26">
      <w:pPr>
        <w:pStyle w:val="bodycopy"/>
        <w:rPr>
          <w:rFonts w:ascii="Arial" w:hAnsi="Arial"/>
          <w:sz w:val="22"/>
          <w:szCs w:val="22"/>
        </w:rPr>
      </w:pPr>
      <w:r w:rsidRPr="0017049F">
        <w:rPr>
          <w:rFonts w:ascii="Arial" w:hAnsi="Arial"/>
          <w:sz w:val="22"/>
          <w:szCs w:val="22"/>
        </w:rPr>
        <w:t>The whale shark is the world’s largest fish and one of only three filter-feeding shark species (</w:t>
      </w:r>
      <w:r w:rsidR="00610FCE">
        <w:rPr>
          <w:rFonts w:ascii="Arial" w:hAnsi="Arial"/>
          <w:sz w:val="22"/>
          <w:szCs w:val="22"/>
        </w:rPr>
        <w:t>TSSC, 2015</w:t>
      </w:r>
      <w:r w:rsidR="00BF0F20">
        <w:rPr>
          <w:rFonts w:ascii="Arial" w:hAnsi="Arial"/>
          <w:sz w:val="22"/>
          <w:szCs w:val="22"/>
        </w:rPr>
        <w:t>a</w:t>
      </w:r>
      <w:r w:rsidRPr="0017049F">
        <w:rPr>
          <w:rFonts w:ascii="Arial" w:hAnsi="Arial"/>
          <w:sz w:val="22"/>
          <w:szCs w:val="22"/>
        </w:rPr>
        <w:t>). They have a broad distribution in warm and tropical waters of the world, and in Australia are known only to occur on the west coast of Western Australia, with a feeding aggregation occurring off the Ningaloo Reef between March and July each year (</w:t>
      </w:r>
      <w:r w:rsidR="00610FCE">
        <w:rPr>
          <w:rFonts w:ascii="Arial" w:hAnsi="Arial"/>
          <w:sz w:val="22"/>
          <w:szCs w:val="22"/>
        </w:rPr>
        <w:t>TSSC, 2015</w:t>
      </w:r>
      <w:r w:rsidR="00BF0F20">
        <w:rPr>
          <w:rFonts w:ascii="Arial" w:hAnsi="Arial"/>
          <w:sz w:val="22"/>
          <w:szCs w:val="22"/>
        </w:rPr>
        <w:t>a</w:t>
      </w:r>
      <w:r w:rsidRPr="0017049F">
        <w:rPr>
          <w:rFonts w:ascii="Arial" w:hAnsi="Arial"/>
          <w:sz w:val="22"/>
          <w:szCs w:val="22"/>
        </w:rPr>
        <w:t xml:space="preserve">). The species is not known to migrate through Bass Strait, and it is highly unlikely to occur within the proposed acquisition area or the EMBA. </w:t>
      </w:r>
    </w:p>
    <w:p w14:paraId="0F8A9935" w14:textId="77777777" w:rsidR="008E22DD" w:rsidRPr="0017049F" w:rsidRDefault="008E22DD" w:rsidP="00B54F26">
      <w:pPr>
        <w:pStyle w:val="bodycopy"/>
        <w:rPr>
          <w:rFonts w:ascii="Arial" w:hAnsi="Arial"/>
          <w:sz w:val="22"/>
          <w:szCs w:val="22"/>
        </w:rPr>
      </w:pPr>
    </w:p>
    <w:p w14:paraId="1E8274F7" w14:textId="3E70FAF1" w:rsidR="00B54F26" w:rsidRPr="0017049F" w:rsidRDefault="009A624E" w:rsidP="00B54F26">
      <w:pPr>
        <w:pStyle w:val="bodycopy"/>
        <w:rPr>
          <w:rFonts w:ascii="Arial" w:hAnsi="Arial"/>
          <w:b/>
          <w:sz w:val="22"/>
          <w:szCs w:val="22"/>
        </w:rPr>
      </w:pPr>
      <w:r w:rsidRPr="0017049F">
        <w:rPr>
          <w:rFonts w:ascii="Arial" w:hAnsi="Arial"/>
          <w:b/>
          <w:sz w:val="22"/>
          <w:szCs w:val="22"/>
        </w:rPr>
        <w:lastRenderedPageBreak/>
        <w:t>Sygnathids (</w:t>
      </w:r>
      <w:r w:rsidR="005214A5">
        <w:rPr>
          <w:rFonts w:ascii="Arial" w:hAnsi="Arial"/>
          <w:b/>
          <w:sz w:val="22"/>
          <w:szCs w:val="22"/>
        </w:rPr>
        <w:t xml:space="preserve">EPBC Act: </w:t>
      </w:r>
      <w:r w:rsidRPr="0017049F">
        <w:rPr>
          <w:rFonts w:ascii="Arial" w:hAnsi="Arial"/>
          <w:b/>
          <w:sz w:val="22"/>
          <w:szCs w:val="22"/>
        </w:rPr>
        <w:t>L</w:t>
      </w:r>
      <w:r w:rsidR="00B54F26" w:rsidRPr="0017049F">
        <w:rPr>
          <w:rFonts w:ascii="Arial" w:hAnsi="Arial"/>
          <w:b/>
          <w:sz w:val="22"/>
          <w:szCs w:val="22"/>
        </w:rPr>
        <w:t xml:space="preserve">isted </w:t>
      </w:r>
      <w:r w:rsidR="0094497B" w:rsidRPr="0017049F">
        <w:rPr>
          <w:rFonts w:ascii="Arial" w:hAnsi="Arial"/>
          <w:b/>
          <w:sz w:val="22"/>
          <w:szCs w:val="22"/>
        </w:rPr>
        <w:t xml:space="preserve">marine </w:t>
      </w:r>
      <w:r w:rsidR="00B54F26" w:rsidRPr="0017049F">
        <w:rPr>
          <w:rFonts w:ascii="Arial" w:hAnsi="Arial"/>
          <w:b/>
          <w:sz w:val="22"/>
          <w:szCs w:val="22"/>
        </w:rPr>
        <w:t>species</w:t>
      </w:r>
      <w:r w:rsidR="005214A5">
        <w:rPr>
          <w:rFonts w:ascii="Arial" w:hAnsi="Arial"/>
          <w:b/>
          <w:sz w:val="22"/>
          <w:szCs w:val="22"/>
        </w:rPr>
        <w:t>, FFG Act: Not listed</w:t>
      </w:r>
      <w:r w:rsidR="00B54F26" w:rsidRPr="0017049F">
        <w:rPr>
          <w:rFonts w:ascii="Arial" w:hAnsi="Arial"/>
          <w:b/>
          <w:sz w:val="22"/>
          <w:szCs w:val="22"/>
        </w:rPr>
        <w:t>)</w:t>
      </w:r>
    </w:p>
    <w:p w14:paraId="0DCDDCB5" w14:textId="7C4264BD" w:rsidR="00B54F26" w:rsidRPr="0017049F" w:rsidRDefault="00B54F26" w:rsidP="00B54F26">
      <w:pPr>
        <w:pStyle w:val="bodycopy"/>
        <w:rPr>
          <w:rFonts w:ascii="Arial" w:hAnsi="Arial"/>
          <w:sz w:val="22"/>
          <w:szCs w:val="22"/>
        </w:rPr>
      </w:pPr>
      <w:r w:rsidRPr="0017049F">
        <w:rPr>
          <w:rFonts w:ascii="Arial" w:hAnsi="Arial"/>
          <w:sz w:val="22"/>
          <w:szCs w:val="22"/>
        </w:rPr>
        <w:t>Thirty</w:t>
      </w:r>
      <w:r w:rsidR="007375C8" w:rsidRPr="0017049F">
        <w:rPr>
          <w:rFonts w:ascii="Arial" w:hAnsi="Arial"/>
          <w:sz w:val="22"/>
          <w:szCs w:val="22"/>
        </w:rPr>
        <w:t>-one</w:t>
      </w:r>
      <w:r w:rsidRPr="0017049F">
        <w:rPr>
          <w:rFonts w:ascii="Arial" w:hAnsi="Arial"/>
          <w:sz w:val="22"/>
          <w:szCs w:val="22"/>
        </w:rPr>
        <w:t xml:space="preserve"> of the marine ray-finned fish species identified in the EPBC Act PMST are sygnathiformes, which includes seahorses</w:t>
      </w:r>
      <w:r w:rsidR="007375C8" w:rsidRPr="0017049F">
        <w:rPr>
          <w:rFonts w:ascii="Arial" w:hAnsi="Arial"/>
          <w:sz w:val="22"/>
          <w:szCs w:val="22"/>
        </w:rPr>
        <w:t>,</w:t>
      </w:r>
      <w:r w:rsidRPr="0017049F">
        <w:rPr>
          <w:rFonts w:ascii="Arial" w:hAnsi="Arial"/>
          <w:sz w:val="22"/>
          <w:szCs w:val="22"/>
        </w:rPr>
        <w:t xml:space="preserve"> seadragon, pipehorse and pipefish. The majority of these fish species are associated with seagrass meadows, macroalgal seabed habitats, rocky reefs and sponge gardens located in shallow, inshore waters (e.g., protected coastal bays, harbours and jetties) less than 50 m deep (</w:t>
      </w:r>
      <w:r w:rsidR="00F40C7C">
        <w:rPr>
          <w:rFonts w:ascii="Arial" w:hAnsi="Arial"/>
          <w:sz w:val="22"/>
          <w:szCs w:val="22"/>
        </w:rPr>
        <w:t>Museums Victoria</w:t>
      </w:r>
      <w:r w:rsidRPr="0017049F">
        <w:rPr>
          <w:rFonts w:ascii="Arial" w:hAnsi="Arial"/>
          <w:sz w:val="22"/>
          <w:szCs w:val="22"/>
        </w:rPr>
        <w:t>, 201</w:t>
      </w:r>
      <w:r w:rsidR="00F40C7C">
        <w:rPr>
          <w:rFonts w:ascii="Arial" w:hAnsi="Arial"/>
          <w:sz w:val="22"/>
          <w:szCs w:val="22"/>
        </w:rPr>
        <w:t>7</w:t>
      </w:r>
      <w:r w:rsidRPr="0017049F">
        <w:rPr>
          <w:rFonts w:ascii="Arial" w:hAnsi="Arial"/>
          <w:sz w:val="22"/>
          <w:szCs w:val="22"/>
        </w:rPr>
        <w:t xml:space="preserve">). They are sometimes recorded in deeper offshore waters, where they depend on the protection of sponges and rafts of floating seaweed such as </w:t>
      </w:r>
      <w:r w:rsidRPr="0017049F">
        <w:rPr>
          <w:rFonts w:ascii="Arial" w:hAnsi="Arial"/>
          <w:i/>
          <w:sz w:val="22"/>
          <w:szCs w:val="22"/>
        </w:rPr>
        <w:t>Sargassum</w:t>
      </w:r>
      <w:r w:rsidRPr="0017049F">
        <w:rPr>
          <w:rFonts w:ascii="Arial" w:hAnsi="Arial"/>
          <w:sz w:val="22"/>
          <w:szCs w:val="22"/>
        </w:rPr>
        <w:t xml:space="preserve">. </w:t>
      </w:r>
    </w:p>
    <w:p w14:paraId="2D98CF57" w14:textId="797E1847" w:rsidR="00B54F26" w:rsidRPr="0017049F" w:rsidRDefault="00B54F26" w:rsidP="00B54F26">
      <w:pPr>
        <w:pStyle w:val="bodycopy"/>
        <w:rPr>
          <w:rFonts w:ascii="Arial" w:hAnsi="Arial"/>
          <w:sz w:val="22"/>
          <w:szCs w:val="22"/>
        </w:rPr>
      </w:pPr>
      <w:r w:rsidRPr="0017049F">
        <w:rPr>
          <w:rFonts w:ascii="Arial" w:hAnsi="Arial"/>
          <w:sz w:val="22"/>
          <w:szCs w:val="22"/>
        </w:rPr>
        <w:t xml:space="preserve">The PMST species profile and threats profiles indicate that the sygnathiforme species listed for the EMBA are widely distributed throughout southern, south-eastern and south-western Australian waters. The diverse range of ecological niches afforded by the shallow waters of the </w:t>
      </w:r>
      <w:r w:rsidR="007375C8" w:rsidRPr="0017049F">
        <w:rPr>
          <w:rFonts w:ascii="Arial" w:hAnsi="Arial"/>
          <w:sz w:val="22"/>
          <w:szCs w:val="22"/>
        </w:rPr>
        <w:t xml:space="preserve">proposed acquisition area and the </w:t>
      </w:r>
      <w:r w:rsidRPr="0017049F">
        <w:rPr>
          <w:rFonts w:ascii="Arial" w:hAnsi="Arial"/>
          <w:sz w:val="22"/>
          <w:szCs w:val="22"/>
        </w:rPr>
        <w:t>EMBA would be expected to provide suitable habitat f</w:t>
      </w:r>
      <w:r w:rsidR="007375C8" w:rsidRPr="0017049F">
        <w:rPr>
          <w:rFonts w:ascii="Arial" w:hAnsi="Arial"/>
          <w:sz w:val="22"/>
          <w:szCs w:val="22"/>
        </w:rPr>
        <w:t>or these listed species</w:t>
      </w:r>
      <w:r w:rsidRPr="0017049F">
        <w:rPr>
          <w:rFonts w:ascii="Arial" w:hAnsi="Arial"/>
          <w:sz w:val="22"/>
          <w:szCs w:val="22"/>
        </w:rPr>
        <w:t>.</w:t>
      </w:r>
      <w:r w:rsidR="003B6839" w:rsidRPr="0017049F">
        <w:rPr>
          <w:rFonts w:ascii="Arial" w:hAnsi="Arial"/>
          <w:sz w:val="22"/>
          <w:szCs w:val="22"/>
        </w:rPr>
        <w:t xml:space="preserve"> No sygnathids are recorded in the VBA database within the EMBA</w:t>
      </w:r>
      <w:r w:rsidR="00685C2F">
        <w:rPr>
          <w:rFonts w:ascii="Arial" w:hAnsi="Arial"/>
          <w:sz w:val="22"/>
          <w:szCs w:val="22"/>
        </w:rPr>
        <w:t xml:space="preserve"> and none were observed within the sparse seagrass beds during the CarbonNet-commissioned marine environmental </w:t>
      </w:r>
      <w:r w:rsidR="006B62EF">
        <w:rPr>
          <w:rFonts w:ascii="Arial" w:hAnsi="Arial"/>
          <w:sz w:val="22"/>
          <w:szCs w:val="22"/>
        </w:rPr>
        <w:t>assessment</w:t>
      </w:r>
      <w:r w:rsidR="00685C2F">
        <w:rPr>
          <w:rFonts w:ascii="Arial" w:hAnsi="Arial"/>
          <w:sz w:val="22"/>
          <w:szCs w:val="22"/>
        </w:rPr>
        <w:t xml:space="preserve"> undertaken in early April 2017</w:t>
      </w:r>
      <w:r w:rsidR="006B62EF">
        <w:rPr>
          <w:rFonts w:ascii="Arial" w:hAnsi="Arial"/>
          <w:sz w:val="22"/>
          <w:szCs w:val="22"/>
        </w:rPr>
        <w:t xml:space="preserve"> (noting however that they can be very difficult to sight)</w:t>
      </w:r>
      <w:r w:rsidR="003B6839" w:rsidRPr="0017049F">
        <w:rPr>
          <w:rFonts w:ascii="Arial" w:hAnsi="Arial"/>
          <w:sz w:val="22"/>
          <w:szCs w:val="22"/>
        </w:rPr>
        <w:t xml:space="preserve">. </w:t>
      </w:r>
    </w:p>
    <w:p w14:paraId="5A57104D" w14:textId="77777777" w:rsidR="0057679E" w:rsidRPr="0017049F" w:rsidRDefault="0057679E" w:rsidP="00B54F26">
      <w:pPr>
        <w:pStyle w:val="bodycopy"/>
        <w:rPr>
          <w:rFonts w:ascii="Arial" w:hAnsi="Arial"/>
          <w:b/>
          <w:sz w:val="22"/>
          <w:szCs w:val="22"/>
        </w:rPr>
      </w:pPr>
      <w:r w:rsidRPr="0017049F">
        <w:rPr>
          <w:rFonts w:ascii="Arial" w:hAnsi="Arial"/>
          <w:b/>
          <w:sz w:val="22"/>
          <w:szCs w:val="22"/>
        </w:rPr>
        <w:t>Potential Site-attached Species</w:t>
      </w:r>
    </w:p>
    <w:p w14:paraId="4CAFED91" w14:textId="6AD614F7" w:rsidR="00A374DB" w:rsidRPr="00A82B40" w:rsidRDefault="00A374DB" w:rsidP="00A374DB">
      <w:pPr>
        <w:pStyle w:val="bodycopy"/>
        <w:rPr>
          <w:rFonts w:ascii="Arial" w:hAnsi="Arial"/>
          <w:sz w:val="22"/>
          <w:szCs w:val="22"/>
        </w:rPr>
      </w:pPr>
      <w:r>
        <w:rPr>
          <w:rFonts w:ascii="Arial" w:hAnsi="Arial"/>
          <w:sz w:val="22"/>
          <w:szCs w:val="22"/>
        </w:rPr>
        <w:t xml:space="preserve">The CarbonNet-commissioned marine habitat </w:t>
      </w:r>
      <w:r w:rsidR="006B62EF">
        <w:rPr>
          <w:rFonts w:ascii="Arial" w:hAnsi="Arial"/>
          <w:sz w:val="22"/>
          <w:szCs w:val="22"/>
        </w:rPr>
        <w:t>assessment</w:t>
      </w:r>
      <w:r>
        <w:rPr>
          <w:rFonts w:ascii="Arial" w:hAnsi="Arial"/>
          <w:sz w:val="22"/>
          <w:szCs w:val="22"/>
        </w:rPr>
        <w:t xml:space="preserve"> found patch reef and sponge gardens at various sites within the proposed acquisition </w:t>
      </w:r>
      <w:r w:rsidRPr="00A82B40">
        <w:rPr>
          <w:rFonts w:ascii="Arial" w:hAnsi="Arial"/>
          <w:sz w:val="22"/>
          <w:szCs w:val="22"/>
        </w:rPr>
        <w:t xml:space="preserve">area (see Figure 5.6). Site-attached species observed during this survey found: </w:t>
      </w:r>
    </w:p>
    <w:p w14:paraId="09910300" w14:textId="77777777" w:rsidR="00A374DB" w:rsidRDefault="00A374DB" w:rsidP="00A374DB">
      <w:pPr>
        <w:pStyle w:val="bodycopy"/>
        <w:numPr>
          <w:ilvl w:val="0"/>
          <w:numId w:val="403"/>
        </w:numPr>
        <w:rPr>
          <w:rFonts w:ascii="Arial" w:hAnsi="Arial"/>
          <w:sz w:val="22"/>
          <w:szCs w:val="22"/>
        </w:rPr>
      </w:pPr>
      <w:r>
        <w:rPr>
          <w:rFonts w:ascii="Arial" w:hAnsi="Arial"/>
          <w:sz w:val="22"/>
          <w:szCs w:val="22"/>
        </w:rPr>
        <w:t xml:space="preserve">Site 61 – reef habitat containing </w:t>
      </w:r>
      <w:r w:rsidRPr="00397273">
        <w:rPr>
          <w:rFonts w:ascii="Arial" w:hAnsi="Arial"/>
          <w:sz w:val="22"/>
          <w:szCs w:val="22"/>
        </w:rPr>
        <w:t xml:space="preserve">butterfly perch </w:t>
      </w:r>
      <w:r>
        <w:rPr>
          <w:rFonts w:ascii="Arial" w:hAnsi="Arial"/>
          <w:sz w:val="22"/>
          <w:szCs w:val="22"/>
        </w:rPr>
        <w:t>(</w:t>
      </w:r>
      <w:r w:rsidRPr="00397273">
        <w:rPr>
          <w:rFonts w:ascii="Arial" w:hAnsi="Arial"/>
          <w:i/>
          <w:sz w:val="22"/>
          <w:szCs w:val="22"/>
        </w:rPr>
        <w:t>Caesioperca lepidoptera</w:t>
      </w:r>
      <w:r>
        <w:rPr>
          <w:rFonts w:ascii="Arial" w:hAnsi="Arial"/>
          <w:sz w:val="22"/>
          <w:szCs w:val="22"/>
        </w:rPr>
        <w:t>)</w:t>
      </w:r>
      <w:r w:rsidRPr="00397273">
        <w:rPr>
          <w:rFonts w:ascii="Arial" w:hAnsi="Arial"/>
          <w:sz w:val="22"/>
          <w:szCs w:val="22"/>
        </w:rPr>
        <w:t xml:space="preserve">, wrasse </w:t>
      </w:r>
      <w:r>
        <w:rPr>
          <w:rFonts w:ascii="Arial" w:hAnsi="Arial"/>
          <w:sz w:val="22"/>
          <w:szCs w:val="22"/>
        </w:rPr>
        <w:t>(</w:t>
      </w:r>
      <w:r w:rsidRPr="00397273">
        <w:rPr>
          <w:rFonts w:ascii="Arial" w:hAnsi="Arial"/>
          <w:i/>
          <w:sz w:val="22"/>
          <w:szCs w:val="22"/>
        </w:rPr>
        <w:t>Labridae</w:t>
      </w:r>
      <w:r w:rsidRPr="00397273">
        <w:rPr>
          <w:rFonts w:ascii="Arial" w:hAnsi="Arial"/>
          <w:sz w:val="22"/>
          <w:szCs w:val="22"/>
        </w:rPr>
        <w:t xml:space="preserve"> sp</w:t>
      </w:r>
      <w:r>
        <w:rPr>
          <w:rFonts w:ascii="Arial" w:hAnsi="Arial"/>
          <w:sz w:val="22"/>
          <w:szCs w:val="22"/>
        </w:rPr>
        <w:t>.)</w:t>
      </w:r>
      <w:r w:rsidRPr="00397273">
        <w:rPr>
          <w:rFonts w:ascii="Arial" w:hAnsi="Arial"/>
          <w:sz w:val="22"/>
          <w:szCs w:val="22"/>
        </w:rPr>
        <w:t xml:space="preserve">, goatfish </w:t>
      </w:r>
      <w:r>
        <w:rPr>
          <w:rFonts w:ascii="Arial" w:hAnsi="Arial"/>
          <w:sz w:val="22"/>
          <w:szCs w:val="22"/>
        </w:rPr>
        <w:t>(</w:t>
      </w:r>
      <w:r w:rsidRPr="00397273">
        <w:rPr>
          <w:rFonts w:ascii="Arial" w:hAnsi="Arial"/>
          <w:i/>
          <w:sz w:val="22"/>
          <w:szCs w:val="22"/>
        </w:rPr>
        <w:t>Upeneichthys vlamingii</w:t>
      </w:r>
      <w:r>
        <w:rPr>
          <w:rFonts w:ascii="Arial" w:hAnsi="Arial"/>
          <w:sz w:val="22"/>
          <w:szCs w:val="22"/>
        </w:rPr>
        <w:t>) and bearded rock cod (</w:t>
      </w:r>
      <w:r w:rsidRPr="00397273">
        <w:rPr>
          <w:rFonts w:ascii="Arial" w:hAnsi="Arial"/>
          <w:i/>
          <w:sz w:val="22"/>
          <w:szCs w:val="22"/>
        </w:rPr>
        <w:t>Pseudophycis</w:t>
      </w:r>
      <w:r>
        <w:rPr>
          <w:rFonts w:ascii="Arial" w:hAnsi="Arial"/>
          <w:sz w:val="22"/>
          <w:szCs w:val="22"/>
        </w:rPr>
        <w:t xml:space="preserve"> sp.);</w:t>
      </w:r>
    </w:p>
    <w:p w14:paraId="1B2CDDCF" w14:textId="77777777" w:rsidR="00A374DB" w:rsidRDefault="00A374DB" w:rsidP="00A374DB">
      <w:pPr>
        <w:pStyle w:val="bodycopy"/>
        <w:numPr>
          <w:ilvl w:val="0"/>
          <w:numId w:val="403"/>
        </w:numPr>
        <w:rPr>
          <w:rFonts w:ascii="Arial" w:hAnsi="Arial"/>
          <w:sz w:val="22"/>
          <w:szCs w:val="22"/>
        </w:rPr>
      </w:pPr>
      <w:r>
        <w:rPr>
          <w:rFonts w:ascii="Arial" w:hAnsi="Arial"/>
          <w:sz w:val="22"/>
          <w:szCs w:val="22"/>
        </w:rPr>
        <w:t>Sites 29 and 39 – sponge habitat containing b</w:t>
      </w:r>
      <w:r w:rsidRPr="00397273">
        <w:rPr>
          <w:rFonts w:ascii="Arial" w:hAnsi="Arial"/>
          <w:sz w:val="22"/>
          <w:szCs w:val="22"/>
        </w:rPr>
        <w:t xml:space="preserve">utterfly </w:t>
      </w:r>
      <w:r>
        <w:rPr>
          <w:rFonts w:ascii="Arial" w:hAnsi="Arial"/>
          <w:sz w:val="22"/>
          <w:szCs w:val="22"/>
        </w:rPr>
        <w:t>p</w:t>
      </w:r>
      <w:r w:rsidRPr="00397273">
        <w:rPr>
          <w:rFonts w:ascii="Arial" w:hAnsi="Arial"/>
          <w:sz w:val="22"/>
          <w:szCs w:val="22"/>
        </w:rPr>
        <w:t>erch (</w:t>
      </w:r>
      <w:r w:rsidRPr="00397273">
        <w:rPr>
          <w:rFonts w:ascii="Arial" w:hAnsi="Arial"/>
          <w:i/>
          <w:sz w:val="22"/>
          <w:szCs w:val="22"/>
        </w:rPr>
        <w:t>C</w:t>
      </w:r>
      <w:r>
        <w:rPr>
          <w:rFonts w:ascii="Arial" w:hAnsi="Arial"/>
          <w:i/>
          <w:sz w:val="22"/>
          <w:szCs w:val="22"/>
        </w:rPr>
        <w:t xml:space="preserve">. </w:t>
      </w:r>
      <w:r w:rsidRPr="00397273">
        <w:rPr>
          <w:rFonts w:ascii="Arial" w:hAnsi="Arial"/>
          <w:i/>
          <w:sz w:val="22"/>
          <w:szCs w:val="22"/>
        </w:rPr>
        <w:t>lepidoptera</w:t>
      </w:r>
      <w:r w:rsidRPr="00397273">
        <w:rPr>
          <w:rFonts w:ascii="Arial" w:hAnsi="Arial"/>
          <w:sz w:val="22"/>
          <w:szCs w:val="22"/>
        </w:rPr>
        <w:t xml:space="preserve">), </w:t>
      </w:r>
      <w:r>
        <w:rPr>
          <w:rFonts w:ascii="Arial" w:hAnsi="Arial"/>
          <w:sz w:val="22"/>
          <w:szCs w:val="22"/>
        </w:rPr>
        <w:t>m</w:t>
      </w:r>
      <w:r w:rsidRPr="00397273">
        <w:rPr>
          <w:rFonts w:ascii="Arial" w:hAnsi="Arial"/>
          <w:sz w:val="22"/>
          <w:szCs w:val="22"/>
        </w:rPr>
        <w:t>orwong (</w:t>
      </w:r>
      <w:r w:rsidRPr="00397273">
        <w:rPr>
          <w:rFonts w:ascii="Arial" w:hAnsi="Arial"/>
          <w:i/>
          <w:sz w:val="22"/>
          <w:szCs w:val="22"/>
        </w:rPr>
        <w:t>Cheilodactylus</w:t>
      </w:r>
      <w:r w:rsidRPr="00397273">
        <w:rPr>
          <w:rFonts w:ascii="Arial" w:hAnsi="Arial"/>
          <w:sz w:val="22"/>
          <w:szCs w:val="22"/>
        </w:rPr>
        <w:t xml:space="preserve"> sp.), </w:t>
      </w:r>
      <w:r>
        <w:rPr>
          <w:rFonts w:ascii="Arial" w:hAnsi="Arial"/>
          <w:sz w:val="22"/>
          <w:szCs w:val="22"/>
        </w:rPr>
        <w:t>c</w:t>
      </w:r>
      <w:r w:rsidRPr="00397273">
        <w:rPr>
          <w:rFonts w:ascii="Arial" w:hAnsi="Arial"/>
          <w:sz w:val="22"/>
          <w:szCs w:val="22"/>
        </w:rPr>
        <w:t>owfish (</w:t>
      </w:r>
      <w:r w:rsidRPr="00397273">
        <w:rPr>
          <w:rFonts w:ascii="Arial" w:hAnsi="Arial"/>
          <w:i/>
          <w:sz w:val="22"/>
          <w:szCs w:val="22"/>
        </w:rPr>
        <w:t>Arcana</w:t>
      </w:r>
      <w:r w:rsidRPr="00397273">
        <w:rPr>
          <w:rFonts w:ascii="Arial" w:hAnsi="Arial"/>
          <w:sz w:val="22"/>
          <w:szCs w:val="22"/>
        </w:rPr>
        <w:t xml:space="preserve"> sp.) and </w:t>
      </w:r>
      <w:r>
        <w:rPr>
          <w:rFonts w:ascii="Arial" w:hAnsi="Arial"/>
          <w:sz w:val="22"/>
          <w:szCs w:val="22"/>
        </w:rPr>
        <w:t>b</w:t>
      </w:r>
      <w:r w:rsidRPr="00397273">
        <w:rPr>
          <w:rFonts w:ascii="Arial" w:hAnsi="Arial"/>
          <w:sz w:val="22"/>
          <w:szCs w:val="22"/>
        </w:rPr>
        <w:t>oarfish (</w:t>
      </w:r>
      <w:r w:rsidRPr="00397273">
        <w:rPr>
          <w:rFonts w:ascii="Arial" w:hAnsi="Arial"/>
          <w:i/>
          <w:sz w:val="22"/>
          <w:szCs w:val="22"/>
        </w:rPr>
        <w:t>Pentaceropsis recurvirostris</w:t>
      </w:r>
      <w:r w:rsidRPr="00397273">
        <w:rPr>
          <w:rFonts w:ascii="Arial" w:hAnsi="Arial"/>
          <w:sz w:val="22"/>
          <w:szCs w:val="22"/>
        </w:rPr>
        <w:t>)</w:t>
      </w:r>
      <w:r>
        <w:rPr>
          <w:rFonts w:ascii="Arial" w:hAnsi="Arial"/>
          <w:sz w:val="22"/>
          <w:szCs w:val="22"/>
        </w:rPr>
        <w:t>;</w:t>
      </w:r>
    </w:p>
    <w:p w14:paraId="23461AA1" w14:textId="77777777" w:rsidR="00A374DB" w:rsidRDefault="00A374DB" w:rsidP="00A374DB">
      <w:pPr>
        <w:pStyle w:val="bodycopy"/>
        <w:numPr>
          <w:ilvl w:val="0"/>
          <w:numId w:val="403"/>
        </w:numPr>
        <w:spacing w:after="240"/>
        <w:rPr>
          <w:rFonts w:ascii="Arial" w:hAnsi="Arial"/>
          <w:sz w:val="22"/>
          <w:szCs w:val="22"/>
        </w:rPr>
      </w:pPr>
      <w:r>
        <w:rPr>
          <w:rFonts w:ascii="Arial" w:hAnsi="Arial"/>
          <w:sz w:val="22"/>
          <w:szCs w:val="22"/>
        </w:rPr>
        <w:t>Sites 64 and 65 – reef habitat containing b</w:t>
      </w:r>
      <w:r w:rsidRPr="00397273">
        <w:rPr>
          <w:rFonts w:ascii="Arial" w:hAnsi="Arial"/>
          <w:sz w:val="22"/>
          <w:szCs w:val="22"/>
        </w:rPr>
        <w:t xml:space="preserve">utterfly </w:t>
      </w:r>
      <w:r>
        <w:rPr>
          <w:rFonts w:ascii="Arial" w:hAnsi="Arial"/>
          <w:sz w:val="22"/>
          <w:szCs w:val="22"/>
        </w:rPr>
        <w:t>p</w:t>
      </w:r>
      <w:r w:rsidRPr="00397273">
        <w:rPr>
          <w:rFonts w:ascii="Arial" w:hAnsi="Arial"/>
          <w:sz w:val="22"/>
          <w:szCs w:val="22"/>
        </w:rPr>
        <w:t>erch (</w:t>
      </w:r>
      <w:r w:rsidRPr="00397273">
        <w:rPr>
          <w:rFonts w:ascii="Arial" w:hAnsi="Arial"/>
          <w:i/>
          <w:sz w:val="22"/>
          <w:szCs w:val="22"/>
        </w:rPr>
        <w:t>C</w:t>
      </w:r>
      <w:r>
        <w:rPr>
          <w:rFonts w:ascii="Arial" w:hAnsi="Arial"/>
          <w:i/>
          <w:sz w:val="22"/>
          <w:szCs w:val="22"/>
        </w:rPr>
        <w:t xml:space="preserve">. </w:t>
      </w:r>
      <w:r w:rsidRPr="00397273">
        <w:rPr>
          <w:rFonts w:ascii="Arial" w:hAnsi="Arial"/>
          <w:i/>
          <w:sz w:val="22"/>
          <w:szCs w:val="22"/>
        </w:rPr>
        <w:t>lepidoptera</w:t>
      </w:r>
      <w:r w:rsidRPr="00397273">
        <w:rPr>
          <w:rFonts w:ascii="Arial" w:hAnsi="Arial"/>
          <w:sz w:val="22"/>
          <w:szCs w:val="22"/>
        </w:rPr>
        <w:t xml:space="preserve">), and </w:t>
      </w:r>
      <w:r>
        <w:rPr>
          <w:rFonts w:ascii="Arial" w:hAnsi="Arial"/>
          <w:sz w:val="22"/>
          <w:szCs w:val="22"/>
        </w:rPr>
        <w:t>b</w:t>
      </w:r>
      <w:r w:rsidRPr="00397273">
        <w:rPr>
          <w:rFonts w:ascii="Arial" w:hAnsi="Arial"/>
          <w:sz w:val="22"/>
          <w:szCs w:val="22"/>
        </w:rPr>
        <w:t>oarfish (</w:t>
      </w:r>
      <w:r>
        <w:rPr>
          <w:rFonts w:ascii="Arial" w:hAnsi="Arial"/>
          <w:i/>
          <w:sz w:val="22"/>
          <w:szCs w:val="22"/>
        </w:rPr>
        <w:t>P.</w:t>
      </w:r>
      <w:r w:rsidRPr="00397273">
        <w:rPr>
          <w:rFonts w:ascii="Arial" w:hAnsi="Arial"/>
          <w:i/>
          <w:sz w:val="22"/>
          <w:szCs w:val="22"/>
        </w:rPr>
        <w:t xml:space="preserve"> recurvirostris</w:t>
      </w:r>
      <w:r w:rsidRPr="00397273">
        <w:rPr>
          <w:rFonts w:ascii="Arial" w:hAnsi="Arial"/>
          <w:sz w:val="22"/>
          <w:szCs w:val="22"/>
        </w:rPr>
        <w:t>)</w:t>
      </w:r>
      <w:r>
        <w:rPr>
          <w:rFonts w:ascii="Arial" w:hAnsi="Arial"/>
          <w:sz w:val="22"/>
          <w:szCs w:val="22"/>
        </w:rPr>
        <w:t>.</w:t>
      </w:r>
    </w:p>
    <w:p w14:paraId="1D6D9F64" w14:textId="13EFEC56" w:rsidR="00553E0D" w:rsidRPr="00D57E91" w:rsidRDefault="009B0433" w:rsidP="00B54F26">
      <w:pPr>
        <w:pStyle w:val="bodycopy"/>
        <w:rPr>
          <w:rFonts w:ascii="Arial" w:hAnsi="Arial"/>
          <w:b/>
          <w:sz w:val="22"/>
          <w:szCs w:val="22"/>
        </w:rPr>
      </w:pPr>
      <w:r>
        <w:rPr>
          <w:rFonts w:ascii="Arial" w:hAnsi="Arial"/>
          <w:b/>
          <w:sz w:val="22"/>
          <w:szCs w:val="22"/>
        </w:rPr>
        <w:t>Other Fish</w:t>
      </w:r>
      <w:r w:rsidR="00553E0D" w:rsidRPr="00D57E91">
        <w:rPr>
          <w:rFonts w:ascii="Arial" w:hAnsi="Arial"/>
          <w:b/>
          <w:sz w:val="22"/>
          <w:szCs w:val="22"/>
        </w:rPr>
        <w:t xml:space="preserve"> Species</w:t>
      </w:r>
      <w:r w:rsidR="00943F4D">
        <w:rPr>
          <w:rFonts w:ascii="Arial" w:hAnsi="Arial"/>
          <w:b/>
          <w:sz w:val="22"/>
          <w:szCs w:val="22"/>
        </w:rPr>
        <w:t xml:space="preserve"> of Stakeholder Concern</w:t>
      </w:r>
    </w:p>
    <w:p w14:paraId="11887761" w14:textId="7944EE58" w:rsidR="00553E0D" w:rsidRDefault="00D57E91" w:rsidP="00B54F26">
      <w:pPr>
        <w:pStyle w:val="bodycopy"/>
        <w:rPr>
          <w:rFonts w:ascii="Arial" w:hAnsi="Arial"/>
          <w:sz w:val="22"/>
          <w:szCs w:val="22"/>
        </w:rPr>
      </w:pPr>
      <w:r>
        <w:rPr>
          <w:rFonts w:ascii="Arial" w:hAnsi="Arial"/>
          <w:sz w:val="22"/>
          <w:szCs w:val="22"/>
        </w:rPr>
        <w:t xml:space="preserve">During stakeholder consultation, </w:t>
      </w:r>
      <w:r w:rsidR="00296AC3">
        <w:rPr>
          <w:rFonts w:ascii="Arial" w:hAnsi="Arial"/>
          <w:sz w:val="22"/>
          <w:szCs w:val="22"/>
        </w:rPr>
        <w:t xml:space="preserve">some commercial fisheries associations </w:t>
      </w:r>
      <w:r w:rsidR="00866FB5">
        <w:rPr>
          <w:rFonts w:ascii="Arial" w:hAnsi="Arial"/>
          <w:sz w:val="22"/>
          <w:szCs w:val="22"/>
        </w:rPr>
        <w:t xml:space="preserve">and </w:t>
      </w:r>
      <w:r w:rsidR="00296AC3">
        <w:rPr>
          <w:rFonts w:ascii="Arial" w:hAnsi="Arial"/>
          <w:sz w:val="22"/>
          <w:szCs w:val="22"/>
        </w:rPr>
        <w:t xml:space="preserve">individual fishers </w:t>
      </w:r>
      <w:r>
        <w:rPr>
          <w:rFonts w:ascii="Arial" w:hAnsi="Arial"/>
          <w:sz w:val="22"/>
          <w:szCs w:val="22"/>
        </w:rPr>
        <w:t>ha</w:t>
      </w:r>
      <w:r w:rsidR="00296AC3">
        <w:rPr>
          <w:rFonts w:ascii="Arial" w:hAnsi="Arial"/>
          <w:sz w:val="22"/>
          <w:szCs w:val="22"/>
        </w:rPr>
        <w:t>ve</w:t>
      </w:r>
      <w:r>
        <w:rPr>
          <w:rFonts w:ascii="Arial" w:hAnsi="Arial"/>
          <w:sz w:val="22"/>
          <w:szCs w:val="22"/>
        </w:rPr>
        <w:t xml:space="preserve"> </w:t>
      </w:r>
      <w:r w:rsidR="00296AC3">
        <w:rPr>
          <w:rFonts w:ascii="Arial" w:hAnsi="Arial"/>
          <w:sz w:val="22"/>
          <w:szCs w:val="22"/>
        </w:rPr>
        <w:t xml:space="preserve">expressed concerns about the effect of the proposed </w:t>
      </w:r>
      <w:r w:rsidR="006B62EF">
        <w:rPr>
          <w:rFonts w:ascii="Arial" w:hAnsi="Arial"/>
          <w:sz w:val="22"/>
          <w:szCs w:val="22"/>
        </w:rPr>
        <w:t>Pelican 3D</w:t>
      </w:r>
      <w:r w:rsidR="00296AC3">
        <w:rPr>
          <w:rFonts w:ascii="Arial" w:hAnsi="Arial"/>
          <w:sz w:val="22"/>
          <w:szCs w:val="22"/>
        </w:rPr>
        <w:t>MSS on their target species</w:t>
      </w:r>
      <w:r w:rsidR="00EB69EC">
        <w:rPr>
          <w:rFonts w:ascii="Arial" w:hAnsi="Arial"/>
          <w:sz w:val="22"/>
          <w:szCs w:val="22"/>
        </w:rPr>
        <w:t xml:space="preserve"> (see Chapter 4)</w:t>
      </w:r>
      <w:r w:rsidR="00296AC3">
        <w:rPr>
          <w:rFonts w:ascii="Arial" w:hAnsi="Arial"/>
          <w:sz w:val="22"/>
          <w:szCs w:val="22"/>
        </w:rPr>
        <w:t xml:space="preserve">, which are described below. </w:t>
      </w:r>
      <w:r w:rsidR="00E43215">
        <w:rPr>
          <w:rFonts w:ascii="Arial" w:hAnsi="Arial"/>
          <w:sz w:val="22"/>
          <w:szCs w:val="22"/>
        </w:rPr>
        <w:t xml:space="preserve">None of the following species are listed as threatened under the EPBC Act or FFG Act unless otherwise noted. </w:t>
      </w:r>
    </w:p>
    <w:p w14:paraId="2890AE19" w14:textId="57877E2E" w:rsidR="00F23F06" w:rsidRPr="00891DE1" w:rsidRDefault="00F23F06" w:rsidP="00B54F26">
      <w:pPr>
        <w:pStyle w:val="bodycopy"/>
        <w:rPr>
          <w:rFonts w:ascii="Arial" w:hAnsi="Arial"/>
          <w:sz w:val="22"/>
          <w:szCs w:val="22"/>
          <w:u w:val="single"/>
        </w:rPr>
      </w:pPr>
      <w:r w:rsidRPr="00891DE1">
        <w:rPr>
          <w:rFonts w:ascii="Arial" w:hAnsi="Arial"/>
          <w:sz w:val="22"/>
          <w:szCs w:val="22"/>
          <w:u w:val="single"/>
        </w:rPr>
        <w:t>Scho</w:t>
      </w:r>
      <w:r>
        <w:rPr>
          <w:rFonts w:ascii="Arial" w:hAnsi="Arial"/>
          <w:sz w:val="22"/>
          <w:szCs w:val="22"/>
          <w:u w:val="single"/>
        </w:rPr>
        <w:t>o</w:t>
      </w:r>
      <w:r w:rsidRPr="00891DE1">
        <w:rPr>
          <w:rFonts w:ascii="Arial" w:hAnsi="Arial"/>
          <w:sz w:val="22"/>
          <w:szCs w:val="22"/>
          <w:u w:val="single"/>
        </w:rPr>
        <w:t>l shark</w:t>
      </w:r>
    </w:p>
    <w:p w14:paraId="5173CFF8" w14:textId="74B39DF4" w:rsidR="00F23F06" w:rsidRDefault="00784F34" w:rsidP="00B54F26">
      <w:pPr>
        <w:pStyle w:val="bodycopy"/>
        <w:rPr>
          <w:rFonts w:ascii="Arial" w:hAnsi="Arial"/>
          <w:sz w:val="22"/>
          <w:szCs w:val="22"/>
        </w:rPr>
      </w:pPr>
      <w:r>
        <w:rPr>
          <w:rFonts w:ascii="Arial" w:hAnsi="Arial"/>
          <w:sz w:val="22"/>
          <w:szCs w:val="22"/>
        </w:rPr>
        <w:t>The school shark (</w:t>
      </w:r>
      <w:r w:rsidRPr="00891DE1">
        <w:rPr>
          <w:rFonts w:ascii="Arial" w:hAnsi="Arial"/>
          <w:i/>
          <w:sz w:val="22"/>
          <w:szCs w:val="22"/>
        </w:rPr>
        <w:t>Galeorhinus galeus</w:t>
      </w:r>
      <w:r>
        <w:rPr>
          <w:rFonts w:ascii="Arial" w:hAnsi="Arial"/>
          <w:sz w:val="22"/>
          <w:szCs w:val="22"/>
        </w:rPr>
        <w:t xml:space="preserve">) </w:t>
      </w:r>
      <w:r w:rsidR="00801E83">
        <w:rPr>
          <w:rFonts w:ascii="Arial" w:hAnsi="Arial"/>
          <w:sz w:val="22"/>
          <w:szCs w:val="22"/>
        </w:rPr>
        <w:t xml:space="preserve">is a small and slender shark </w:t>
      </w:r>
      <w:r w:rsidR="00F24B17">
        <w:rPr>
          <w:rFonts w:ascii="Arial" w:hAnsi="Arial"/>
          <w:sz w:val="22"/>
          <w:szCs w:val="22"/>
        </w:rPr>
        <w:t xml:space="preserve">distributed from southern Queensland to Perth in WA, preferring coastal waters (but also found in waters up to 800 m deep). </w:t>
      </w:r>
      <w:r w:rsidR="00DA4A40">
        <w:rPr>
          <w:rFonts w:ascii="Arial" w:hAnsi="Arial"/>
          <w:sz w:val="22"/>
          <w:szCs w:val="22"/>
        </w:rPr>
        <w:t>The species i</w:t>
      </w:r>
      <w:r w:rsidR="00F24B17">
        <w:rPr>
          <w:rFonts w:ascii="Arial" w:hAnsi="Arial"/>
          <w:sz w:val="22"/>
          <w:szCs w:val="22"/>
        </w:rPr>
        <w:t xml:space="preserve">s </w:t>
      </w:r>
      <w:r w:rsidR="00A575D9">
        <w:rPr>
          <w:rFonts w:ascii="Arial" w:hAnsi="Arial"/>
          <w:sz w:val="22"/>
          <w:szCs w:val="22"/>
        </w:rPr>
        <w:t xml:space="preserve">highly migratory and </w:t>
      </w:r>
      <w:r w:rsidR="00F24B17">
        <w:rPr>
          <w:rFonts w:ascii="Arial" w:hAnsi="Arial"/>
          <w:sz w:val="22"/>
          <w:szCs w:val="22"/>
        </w:rPr>
        <w:t>bottom-dwelling in nature</w:t>
      </w:r>
      <w:r w:rsidR="00B16001">
        <w:rPr>
          <w:rFonts w:ascii="Arial" w:hAnsi="Arial"/>
          <w:sz w:val="22"/>
          <w:szCs w:val="22"/>
        </w:rPr>
        <w:t xml:space="preserve"> (though </w:t>
      </w:r>
      <w:r w:rsidR="00DA4A40">
        <w:rPr>
          <w:rFonts w:ascii="Arial" w:hAnsi="Arial"/>
          <w:sz w:val="22"/>
          <w:szCs w:val="22"/>
        </w:rPr>
        <w:t xml:space="preserve">it </w:t>
      </w:r>
      <w:r w:rsidR="00B16001">
        <w:rPr>
          <w:rFonts w:ascii="Arial" w:hAnsi="Arial"/>
          <w:sz w:val="22"/>
          <w:szCs w:val="22"/>
        </w:rPr>
        <w:t>does range through the water column)</w:t>
      </w:r>
      <w:r w:rsidR="00F24B17">
        <w:rPr>
          <w:rFonts w:ascii="Arial" w:hAnsi="Arial"/>
          <w:sz w:val="22"/>
          <w:szCs w:val="22"/>
        </w:rPr>
        <w:t>, and juvenile sharks are found in shallow inshore bays in Victoria</w:t>
      </w:r>
      <w:r w:rsidR="00B16001">
        <w:rPr>
          <w:rFonts w:ascii="Arial" w:hAnsi="Arial"/>
          <w:sz w:val="22"/>
          <w:szCs w:val="22"/>
        </w:rPr>
        <w:t xml:space="preserve"> (Museums Victoria, 2017</w:t>
      </w:r>
      <w:r w:rsidR="00A575D9">
        <w:rPr>
          <w:rFonts w:ascii="Arial" w:hAnsi="Arial"/>
          <w:sz w:val="22"/>
          <w:szCs w:val="22"/>
        </w:rPr>
        <w:t>; AFMA, 2015</w:t>
      </w:r>
      <w:r w:rsidR="00B16001">
        <w:rPr>
          <w:rFonts w:ascii="Arial" w:hAnsi="Arial"/>
          <w:sz w:val="22"/>
          <w:szCs w:val="22"/>
        </w:rPr>
        <w:t xml:space="preserve">). </w:t>
      </w:r>
    </w:p>
    <w:p w14:paraId="13177C91" w14:textId="64EF5F13" w:rsidR="00A575D9" w:rsidRDefault="00C9428A" w:rsidP="00B54F26">
      <w:pPr>
        <w:pStyle w:val="bodycopy"/>
        <w:rPr>
          <w:rFonts w:ascii="Arial" w:hAnsi="Arial"/>
          <w:sz w:val="22"/>
          <w:szCs w:val="22"/>
        </w:rPr>
      </w:pPr>
      <w:r>
        <w:rPr>
          <w:rFonts w:ascii="Arial" w:hAnsi="Arial"/>
          <w:sz w:val="22"/>
          <w:szCs w:val="22"/>
        </w:rPr>
        <w:t>Adult s</w:t>
      </w:r>
      <w:r w:rsidR="00B16001">
        <w:rPr>
          <w:rFonts w:ascii="Arial" w:hAnsi="Arial"/>
          <w:sz w:val="22"/>
          <w:szCs w:val="22"/>
        </w:rPr>
        <w:t>chool sharks feed on bony fish, squid and octopus</w:t>
      </w:r>
      <w:r>
        <w:rPr>
          <w:rFonts w:ascii="Arial" w:hAnsi="Arial"/>
          <w:sz w:val="22"/>
          <w:szCs w:val="22"/>
        </w:rPr>
        <w:t>, while juv</w:t>
      </w:r>
      <w:r w:rsidR="00FB508D">
        <w:rPr>
          <w:rFonts w:ascii="Arial" w:hAnsi="Arial"/>
          <w:sz w:val="22"/>
          <w:szCs w:val="22"/>
        </w:rPr>
        <w:t>en</w:t>
      </w:r>
      <w:r>
        <w:rPr>
          <w:rFonts w:ascii="Arial" w:hAnsi="Arial"/>
          <w:sz w:val="22"/>
          <w:szCs w:val="22"/>
        </w:rPr>
        <w:t>iles feed on crustaceans, polychaete worms, gastropods and echinoderms (Museums Victoria, 2017)</w:t>
      </w:r>
      <w:r w:rsidR="00B16001">
        <w:rPr>
          <w:rFonts w:ascii="Arial" w:hAnsi="Arial"/>
          <w:sz w:val="22"/>
          <w:szCs w:val="22"/>
        </w:rPr>
        <w:t>.</w:t>
      </w:r>
      <w:r>
        <w:rPr>
          <w:rFonts w:ascii="Arial" w:hAnsi="Arial"/>
          <w:sz w:val="22"/>
          <w:szCs w:val="22"/>
        </w:rPr>
        <w:t xml:space="preserve"> They are a very long-lived species (up to 55 years</w:t>
      </w:r>
      <w:r w:rsidR="007A12C5">
        <w:rPr>
          <w:rFonts w:ascii="Arial" w:hAnsi="Arial"/>
          <w:sz w:val="22"/>
          <w:szCs w:val="22"/>
        </w:rPr>
        <w:t xml:space="preserve">), with males maturing at 8-10 years and females maturing at 10-15 years. </w:t>
      </w:r>
    </w:p>
    <w:p w14:paraId="29BF805E" w14:textId="1E9B42FC" w:rsidR="00A575D9" w:rsidRDefault="00A575D9" w:rsidP="00B54F26">
      <w:pPr>
        <w:pStyle w:val="bodycopy"/>
        <w:rPr>
          <w:rFonts w:ascii="Arial" w:hAnsi="Arial"/>
          <w:sz w:val="22"/>
          <w:szCs w:val="22"/>
        </w:rPr>
      </w:pPr>
      <w:r>
        <w:rPr>
          <w:rFonts w:ascii="Arial" w:hAnsi="Arial"/>
          <w:sz w:val="22"/>
          <w:szCs w:val="22"/>
        </w:rPr>
        <w:t xml:space="preserve">During consultation with the </w:t>
      </w:r>
      <w:r w:rsidR="00BB4DF0">
        <w:rPr>
          <w:rFonts w:ascii="Arial" w:hAnsi="Arial"/>
          <w:sz w:val="22"/>
          <w:szCs w:val="22"/>
        </w:rPr>
        <w:t>SSFAssn</w:t>
      </w:r>
      <w:r>
        <w:rPr>
          <w:rFonts w:ascii="Arial" w:hAnsi="Arial"/>
          <w:sz w:val="22"/>
          <w:szCs w:val="22"/>
        </w:rPr>
        <w:t xml:space="preserve">, they stated </w:t>
      </w:r>
      <w:r w:rsidR="00BB4DF0">
        <w:rPr>
          <w:rFonts w:ascii="Arial" w:hAnsi="Arial"/>
          <w:sz w:val="22"/>
          <w:szCs w:val="22"/>
        </w:rPr>
        <w:t xml:space="preserve">that a possible pupping ground for this species occurs </w:t>
      </w:r>
      <w:r w:rsidR="009B0433">
        <w:rPr>
          <w:rFonts w:ascii="Arial" w:hAnsi="Arial"/>
          <w:sz w:val="22"/>
          <w:szCs w:val="22"/>
        </w:rPr>
        <w:t>to the south of</w:t>
      </w:r>
      <w:r w:rsidR="00BB4DF0">
        <w:rPr>
          <w:rFonts w:ascii="Arial" w:hAnsi="Arial"/>
          <w:sz w:val="22"/>
          <w:szCs w:val="22"/>
        </w:rPr>
        <w:t xml:space="preserve"> the proposed acquisition area.</w:t>
      </w:r>
      <w:r w:rsidR="00D558F8">
        <w:rPr>
          <w:rFonts w:ascii="Arial" w:hAnsi="Arial"/>
          <w:sz w:val="22"/>
          <w:szCs w:val="22"/>
        </w:rPr>
        <w:t xml:space="preserve"> </w:t>
      </w:r>
      <w:r>
        <w:rPr>
          <w:rFonts w:ascii="Arial" w:hAnsi="Arial"/>
          <w:sz w:val="22"/>
          <w:szCs w:val="22"/>
        </w:rPr>
        <w:t xml:space="preserve">AFMA (2015) </w:t>
      </w:r>
      <w:r>
        <w:rPr>
          <w:rFonts w:ascii="Arial" w:hAnsi="Arial"/>
          <w:sz w:val="22"/>
          <w:szCs w:val="22"/>
        </w:rPr>
        <w:lastRenderedPageBreak/>
        <w:t>states that school sharks have been recorded to pup in a variety of sheltered bays and inlets in Victorian and Tasmania and that heavily pregnant females are found in warm shallow waters, thought to promote embryo growth (AFMA, 2015). Stevens and Last (1997) notes that school sharks gave birth during November and December in protected bays and channels on low energy coastlines in Victoria and Tasmania (such as Port Phillip Bay, Westernport Bay and Corner Inlet). From March onwards, juveniles move out of inshore bays into deeper waters (Stevens and Last, 1997).</w:t>
      </w:r>
      <w:r w:rsidR="00FB508D">
        <w:rPr>
          <w:rFonts w:ascii="Arial" w:hAnsi="Arial"/>
          <w:sz w:val="22"/>
          <w:szCs w:val="22"/>
        </w:rPr>
        <w:t xml:space="preserve"> Stevens and Last (1997) note that research cruises undertaken by MAFRI in 1973-76 and the CSIRO in 1994-96 have found pups in open coastal waters, some of which (such as the Nintey Mile Beach) coincide with areas considered by the fishing industry to be pupping grounds.  </w:t>
      </w:r>
    </w:p>
    <w:p w14:paraId="31F64F76" w14:textId="1F5B4700" w:rsidR="00B16001" w:rsidRDefault="007A12C5" w:rsidP="00B54F26">
      <w:pPr>
        <w:pStyle w:val="bodycopy"/>
        <w:rPr>
          <w:rFonts w:ascii="Arial" w:hAnsi="Arial"/>
          <w:sz w:val="22"/>
          <w:szCs w:val="22"/>
        </w:rPr>
      </w:pPr>
      <w:r>
        <w:rPr>
          <w:rFonts w:ascii="Arial" w:hAnsi="Arial"/>
          <w:sz w:val="22"/>
          <w:szCs w:val="22"/>
        </w:rPr>
        <w:t>Females have a mean litter size of 28 pups (Museums Victoria, 2017)</w:t>
      </w:r>
      <w:r w:rsidR="009A67C0">
        <w:rPr>
          <w:rFonts w:ascii="Arial" w:hAnsi="Arial"/>
          <w:sz w:val="22"/>
          <w:szCs w:val="22"/>
        </w:rPr>
        <w:t xml:space="preserve"> every three years after reaching 16 years in age (AFMA, 2015)</w:t>
      </w:r>
      <w:r>
        <w:rPr>
          <w:rFonts w:ascii="Arial" w:hAnsi="Arial"/>
          <w:sz w:val="22"/>
          <w:szCs w:val="22"/>
        </w:rPr>
        <w:t xml:space="preserve">. </w:t>
      </w:r>
      <w:r w:rsidR="00DA4A40">
        <w:rPr>
          <w:rFonts w:ascii="Arial" w:hAnsi="Arial"/>
          <w:sz w:val="22"/>
          <w:szCs w:val="22"/>
        </w:rPr>
        <w:t xml:space="preserve">The </w:t>
      </w:r>
      <w:r w:rsidR="001A67B8">
        <w:rPr>
          <w:rFonts w:ascii="Arial" w:hAnsi="Arial"/>
          <w:sz w:val="22"/>
          <w:szCs w:val="22"/>
        </w:rPr>
        <w:t xml:space="preserve">FRDC (2017) lists the species as </w:t>
      </w:r>
      <w:r w:rsidR="00DA4A40">
        <w:rPr>
          <w:rFonts w:ascii="Arial" w:hAnsi="Arial"/>
          <w:sz w:val="22"/>
          <w:szCs w:val="22"/>
        </w:rPr>
        <w:t>overfished</w:t>
      </w:r>
      <w:r w:rsidR="001A67B8">
        <w:rPr>
          <w:rFonts w:ascii="Arial" w:hAnsi="Arial"/>
          <w:sz w:val="22"/>
          <w:szCs w:val="22"/>
        </w:rPr>
        <w:t xml:space="preserve">. </w:t>
      </w:r>
    </w:p>
    <w:p w14:paraId="593614DF" w14:textId="77777777" w:rsidR="001C3378" w:rsidRPr="00CC1BFF" w:rsidRDefault="001C3378" w:rsidP="001C3378">
      <w:pPr>
        <w:pStyle w:val="bodycopy"/>
        <w:rPr>
          <w:rFonts w:ascii="Arial" w:hAnsi="Arial"/>
          <w:sz w:val="22"/>
          <w:szCs w:val="22"/>
          <w:u w:val="single"/>
        </w:rPr>
      </w:pPr>
      <w:r w:rsidRPr="00CC1BFF">
        <w:rPr>
          <w:rFonts w:ascii="Arial" w:hAnsi="Arial"/>
          <w:sz w:val="22"/>
          <w:szCs w:val="22"/>
          <w:u w:val="single"/>
        </w:rPr>
        <w:t>Gummy shark</w:t>
      </w:r>
    </w:p>
    <w:p w14:paraId="0ACB9C1C" w14:textId="61EF4F46" w:rsidR="001C3378" w:rsidRDefault="001C3378" w:rsidP="001C3378">
      <w:pPr>
        <w:pStyle w:val="bodycopy"/>
        <w:rPr>
          <w:rFonts w:ascii="Arial" w:hAnsi="Arial"/>
          <w:sz w:val="22"/>
          <w:szCs w:val="22"/>
        </w:rPr>
      </w:pPr>
      <w:r>
        <w:rPr>
          <w:rFonts w:ascii="Arial" w:hAnsi="Arial"/>
          <w:sz w:val="22"/>
          <w:szCs w:val="22"/>
        </w:rPr>
        <w:t>The gummy shark (</w:t>
      </w:r>
      <w:r w:rsidRPr="00CC1BFF">
        <w:rPr>
          <w:rFonts w:ascii="Arial" w:hAnsi="Arial"/>
          <w:i/>
          <w:sz w:val="22"/>
          <w:szCs w:val="22"/>
        </w:rPr>
        <w:t>Mustelus antarcticus</w:t>
      </w:r>
      <w:r>
        <w:rPr>
          <w:rFonts w:ascii="Arial" w:hAnsi="Arial"/>
          <w:sz w:val="22"/>
          <w:szCs w:val="22"/>
        </w:rPr>
        <w:t xml:space="preserve">) is a small slender demersal shark, which along with the school shark (see below) is an important commercial </w:t>
      </w:r>
      <w:r w:rsidR="009B0433">
        <w:rPr>
          <w:rFonts w:ascii="Arial" w:hAnsi="Arial"/>
          <w:sz w:val="22"/>
          <w:szCs w:val="22"/>
        </w:rPr>
        <w:t xml:space="preserve">(and recreational) </w:t>
      </w:r>
      <w:r>
        <w:rPr>
          <w:rFonts w:ascii="Arial" w:hAnsi="Arial"/>
          <w:sz w:val="22"/>
          <w:szCs w:val="22"/>
        </w:rPr>
        <w:t>fisheries species (see Section 5.6.3) as it provides much of the ‘flake’ sold in fish and chip shops in southern Australia (Museums Victoria, 2017). This species is distributed from southern Queensland to Shark Bay in Western Australia, inhabiting estuaries and coastal waters in water depth typically up to 80 m (Museums Victoria, 2017; AFMA, 2017</w:t>
      </w:r>
      <w:r w:rsidR="00EE5673">
        <w:rPr>
          <w:rFonts w:ascii="Arial" w:hAnsi="Arial"/>
          <w:sz w:val="22"/>
          <w:szCs w:val="22"/>
        </w:rPr>
        <w:t>a</w:t>
      </w:r>
      <w:r>
        <w:rPr>
          <w:rFonts w:ascii="Arial" w:hAnsi="Arial"/>
          <w:sz w:val="22"/>
          <w:szCs w:val="22"/>
        </w:rPr>
        <w:t xml:space="preserve">). </w:t>
      </w:r>
      <w:r w:rsidR="00FB508D">
        <w:rPr>
          <w:rFonts w:ascii="Arial" w:hAnsi="Arial"/>
          <w:sz w:val="22"/>
          <w:szCs w:val="22"/>
        </w:rPr>
        <w:t>They can live up to 16 years, with females producing litters of about 14 pups (occasionally up to 40 pups) (Museums Victoria, 2017; AFMA, 2017</w:t>
      </w:r>
      <w:r w:rsidR="00EE5673">
        <w:rPr>
          <w:rFonts w:ascii="Arial" w:hAnsi="Arial"/>
          <w:sz w:val="22"/>
          <w:szCs w:val="22"/>
        </w:rPr>
        <w:t>a</w:t>
      </w:r>
      <w:r w:rsidR="00FB508D">
        <w:rPr>
          <w:rFonts w:ascii="Arial" w:hAnsi="Arial"/>
          <w:sz w:val="22"/>
          <w:szCs w:val="22"/>
        </w:rPr>
        <w:t>).</w:t>
      </w:r>
    </w:p>
    <w:p w14:paraId="4030A3A1" w14:textId="679DB72D" w:rsidR="001C3378" w:rsidRDefault="001C3378" w:rsidP="001C3378">
      <w:pPr>
        <w:pStyle w:val="bodycopy"/>
        <w:rPr>
          <w:rFonts w:ascii="Arial" w:hAnsi="Arial"/>
          <w:sz w:val="22"/>
          <w:szCs w:val="22"/>
        </w:rPr>
      </w:pPr>
      <w:r>
        <w:rPr>
          <w:rFonts w:ascii="Arial" w:hAnsi="Arial"/>
          <w:sz w:val="22"/>
          <w:szCs w:val="22"/>
        </w:rPr>
        <w:t xml:space="preserve">Gummy sharks feed mostly on cephalopods and crustaceans and also bony fishes. The SSFAssn notes that a possible pupping ground for this species occurs </w:t>
      </w:r>
      <w:r w:rsidR="009B0433">
        <w:rPr>
          <w:rFonts w:ascii="Arial" w:hAnsi="Arial"/>
          <w:sz w:val="22"/>
          <w:szCs w:val="22"/>
        </w:rPr>
        <w:t xml:space="preserve">to </w:t>
      </w:r>
      <w:r>
        <w:rPr>
          <w:rFonts w:ascii="Arial" w:hAnsi="Arial"/>
          <w:sz w:val="22"/>
          <w:szCs w:val="22"/>
        </w:rPr>
        <w:t>the</w:t>
      </w:r>
      <w:r w:rsidR="009B0433">
        <w:rPr>
          <w:rFonts w:ascii="Arial" w:hAnsi="Arial"/>
          <w:sz w:val="22"/>
          <w:szCs w:val="22"/>
        </w:rPr>
        <w:t xml:space="preserve"> south of the</w:t>
      </w:r>
      <w:r>
        <w:rPr>
          <w:rFonts w:ascii="Arial" w:hAnsi="Arial"/>
          <w:sz w:val="22"/>
          <w:szCs w:val="22"/>
        </w:rPr>
        <w:t xml:space="preserve"> proposed acquisition area. Stevens and Last (1997) state that nursery areas for the gummy shark are less specific that those for school shark</w:t>
      </w:r>
      <w:r w:rsidR="00FB508D">
        <w:rPr>
          <w:rFonts w:ascii="Arial" w:hAnsi="Arial"/>
          <w:sz w:val="22"/>
          <w:szCs w:val="22"/>
        </w:rPr>
        <w:t>, though there were catches of pups in the</w:t>
      </w:r>
      <w:r w:rsidR="007460B8">
        <w:rPr>
          <w:rFonts w:ascii="Arial" w:hAnsi="Arial"/>
          <w:sz w:val="22"/>
          <w:szCs w:val="22"/>
        </w:rPr>
        <w:t>ir</w:t>
      </w:r>
      <w:r w:rsidR="00FB508D">
        <w:rPr>
          <w:rFonts w:ascii="Arial" w:hAnsi="Arial"/>
          <w:sz w:val="22"/>
          <w:szCs w:val="22"/>
        </w:rPr>
        <w:t xml:space="preserve"> </w:t>
      </w:r>
      <w:r w:rsidR="007460B8">
        <w:rPr>
          <w:rFonts w:ascii="Arial" w:hAnsi="Arial"/>
          <w:sz w:val="22"/>
          <w:szCs w:val="22"/>
        </w:rPr>
        <w:t xml:space="preserve">sampling study </w:t>
      </w:r>
      <w:r w:rsidR="00FB508D">
        <w:rPr>
          <w:rFonts w:ascii="Arial" w:hAnsi="Arial"/>
          <w:sz w:val="22"/>
          <w:szCs w:val="22"/>
        </w:rPr>
        <w:t>in Port Phillip Bay and Westernport Bay</w:t>
      </w:r>
      <w:r>
        <w:rPr>
          <w:rFonts w:ascii="Arial" w:hAnsi="Arial"/>
          <w:sz w:val="22"/>
          <w:szCs w:val="22"/>
        </w:rPr>
        <w:t xml:space="preserve">. </w:t>
      </w:r>
    </w:p>
    <w:p w14:paraId="24D4D65C" w14:textId="5713C180" w:rsidR="00943F4D" w:rsidRPr="00943F4D" w:rsidRDefault="00943F4D" w:rsidP="00B54F26">
      <w:pPr>
        <w:pStyle w:val="bodycopy"/>
        <w:rPr>
          <w:rFonts w:ascii="Arial" w:hAnsi="Arial"/>
          <w:sz w:val="22"/>
          <w:szCs w:val="22"/>
          <w:u w:val="single"/>
        </w:rPr>
      </w:pPr>
      <w:r w:rsidRPr="00943F4D">
        <w:rPr>
          <w:rFonts w:ascii="Arial" w:hAnsi="Arial"/>
          <w:sz w:val="22"/>
          <w:szCs w:val="22"/>
          <w:u w:val="single"/>
        </w:rPr>
        <w:t>Blue warehou</w:t>
      </w:r>
    </w:p>
    <w:p w14:paraId="488515A0" w14:textId="77777777" w:rsidR="004853CE" w:rsidRDefault="00D57E91" w:rsidP="00B54F26">
      <w:pPr>
        <w:pStyle w:val="bodycopy"/>
        <w:rPr>
          <w:rFonts w:ascii="Arial" w:hAnsi="Arial"/>
          <w:sz w:val="22"/>
          <w:szCs w:val="22"/>
        </w:rPr>
      </w:pPr>
      <w:r w:rsidRPr="005F46C9">
        <w:rPr>
          <w:rFonts w:ascii="Arial" w:hAnsi="Arial"/>
          <w:sz w:val="22"/>
          <w:szCs w:val="22"/>
        </w:rPr>
        <w:t xml:space="preserve">The blue warehou </w:t>
      </w:r>
      <w:r w:rsidR="006B62EF">
        <w:rPr>
          <w:rFonts w:ascii="Arial" w:hAnsi="Arial"/>
          <w:sz w:val="22"/>
          <w:szCs w:val="22"/>
        </w:rPr>
        <w:t>(</w:t>
      </w:r>
      <w:r w:rsidR="00296AC3" w:rsidRPr="00D57E91">
        <w:rPr>
          <w:rFonts w:ascii="Arial" w:hAnsi="Arial"/>
          <w:i/>
          <w:sz w:val="22"/>
          <w:szCs w:val="22"/>
        </w:rPr>
        <w:t>Seriolella brama</w:t>
      </w:r>
      <w:r w:rsidR="00296AC3" w:rsidRPr="005F46C9">
        <w:rPr>
          <w:rFonts w:ascii="Arial" w:hAnsi="Arial"/>
          <w:sz w:val="22"/>
          <w:szCs w:val="22"/>
        </w:rPr>
        <w:t>)</w:t>
      </w:r>
      <w:r w:rsidR="006B62EF">
        <w:rPr>
          <w:rFonts w:ascii="Arial" w:hAnsi="Arial"/>
          <w:sz w:val="22"/>
          <w:szCs w:val="22"/>
        </w:rPr>
        <w:t xml:space="preserve"> </w:t>
      </w:r>
      <w:r w:rsidRPr="005F46C9">
        <w:rPr>
          <w:rFonts w:ascii="Arial" w:hAnsi="Arial"/>
          <w:sz w:val="22"/>
          <w:szCs w:val="22"/>
        </w:rPr>
        <w:t>is listed as ‘conservation dependent’ under the EPBC Act</w:t>
      </w:r>
      <w:r w:rsidR="005F46C9" w:rsidRPr="005F46C9">
        <w:rPr>
          <w:rFonts w:ascii="Arial" w:hAnsi="Arial"/>
          <w:sz w:val="22"/>
          <w:szCs w:val="22"/>
        </w:rPr>
        <w:t xml:space="preserve"> </w:t>
      </w:r>
      <w:r w:rsidR="005F46C9">
        <w:rPr>
          <w:rFonts w:ascii="Arial" w:hAnsi="Arial"/>
          <w:sz w:val="22"/>
          <w:szCs w:val="22"/>
        </w:rPr>
        <w:t xml:space="preserve">(and </w:t>
      </w:r>
      <w:r w:rsidR="005F46C9" w:rsidRPr="005F46C9">
        <w:rPr>
          <w:rFonts w:ascii="Arial" w:hAnsi="Arial"/>
          <w:sz w:val="22"/>
          <w:szCs w:val="22"/>
        </w:rPr>
        <w:t>does not appear under the PMST list) and is commercially fished in the area (in the Southern and Eastern Scalefish Fishery). The decline of blue warehou throughout its Australian distribution is reported as severe (at least 80%) (TSSC, 2015</w:t>
      </w:r>
      <w:r w:rsidR="00B065E2">
        <w:rPr>
          <w:rFonts w:ascii="Arial" w:hAnsi="Arial"/>
          <w:sz w:val="22"/>
          <w:szCs w:val="22"/>
        </w:rPr>
        <w:t>b</w:t>
      </w:r>
      <w:r w:rsidR="005F46C9" w:rsidRPr="005F46C9">
        <w:rPr>
          <w:rFonts w:ascii="Arial" w:hAnsi="Arial"/>
          <w:sz w:val="22"/>
          <w:szCs w:val="22"/>
        </w:rPr>
        <w:t>). It is an opportunistic predator of pelagic invertebrates. One study reported pyrosomes (free-floating colonial tunicates) as the predominant prey item, with another study reporting that the diet at any one site varied with depth and the distribution and abundance of prey species (TSSC, 2015</w:t>
      </w:r>
      <w:r w:rsidR="00B065E2">
        <w:rPr>
          <w:rFonts w:ascii="Arial" w:hAnsi="Arial"/>
          <w:sz w:val="22"/>
          <w:szCs w:val="22"/>
        </w:rPr>
        <w:t>b</w:t>
      </w:r>
      <w:r w:rsidR="005F46C9" w:rsidRPr="005F46C9">
        <w:rPr>
          <w:rFonts w:ascii="Arial" w:hAnsi="Arial"/>
          <w:sz w:val="22"/>
          <w:szCs w:val="22"/>
        </w:rPr>
        <w:t>). The main threat to this species is its ‘high catchability’, that is, high vulnerability to fishing (TSSC, 2015</w:t>
      </w:r>
      <w:r w:rsidR="00B065E2">
        <w:rPr>
          <w:rFonts w:ascii="Arial" w:hAnsi="Arial"/>
          <w:sz w:val="22"/>
          <w:szCs w:val="22"/>
        </w:rPr>
        <w:t>b</w:t>
      </w:r>
      <w:r w:rsidR="005F46C9" w:rsidRPr="005F46C9">
        <w:rPr>
          <w:rFonts w:ascii="Arial" w:hAnsi="Arial"/>
          <w:sz w:val="22"/>
          <w:szCs w:val="22"/>
        </w:rPr>
        <w:t>).</w:t>
      </w:r>
      <w:r w:rsidR="00943F4D">
        <w:rPr>
          <w:rFonts w:ascii="Arial" w:hAnsi="Arial"/>
          <w:sz w:val="22"/>
          <w:szCs w:val="22"/>
        </w:rPr>
        <w:t xml:space="preserve"> </w:t>
      </w:r>
    </w:p>
    <w:p w14:paraId="189C25BD" w14:textId="349B64C8" w:rsidR="005F46C9" w:rsidRDefault="0088543B" w:rsidP="00B54F26">
      <w:pPr>
        <w:pStyle w:val="bodycopy"/>
        <w:rPr>
          <w:rFonts w:ascii="Arial" w:hAnsi="Arial"/>
          <w:sz w:val="22"/>
          <w:szCs w:val="22"/>
        </w:rPr>
      </w:pPr>
      <w:r>
        <w:rPr>
          <w:rFonts w:ascii="Arial" w:hAnsi="Arial"/>
          <w:sz w:val="22"/>
          <w:szCs w:val="22"/>
        </w:rPr>
        <w:t>The main spawning period for the eastern stock of this species is reported as occurring between May and August each year and occurs over a wide range of areas, including southern NSW and eastern Victoria</w:t>
      </w:r>
      <w:r w:rsidR="00591AB4">
        <w:rPr>
          <w:rFonts w:ascii="Arial" w:hAnsi="Arial"/>
          <w:sz w:val="22"/>
          <w:szCs w:val="22"/>
        </w:rPr>
        <w:t>. L</w:t>
      </w:r>
      <w:r>
        <w:rPr>
          <w:rFonts w:ascii="Arial" w:hAnsi="Arial"/>
          <w:sz w:val="22"/>
          <w:szCs w:val="22"/>
        </w:rPr>
        <w:t>arvae dispers</w:t>
      </w:r>
      <w:r w:rsidR="00591AB4">
        <w:rPr>
          <w:rFonts w:ascii="Arial" w:hAnsi="Arial"/>
          <w:sz w:val="22"/>
          <w:szCs w:val="22"/>
        </w:rPr>
        <w:t>e</w:t>
      </w:r>
      <w:r>
        <w:rPr>
          <w:rFonts w:ascii="Arial" w:hAnsi="Arial"/>
          <w:sz w:val="22"/>
          <w:szCs w:val="22"/>
        </w:rPr>
        <w:t xml:space="preserve"> widely during the winter and spring months within shelf and slope waters</w:t>
      </w:r>
      <w:r w:rsidR="00591AB4">
        <w:rPr>
          <w:rFonts w:ascii="Arial" w:hAnsi="Arial"/>
          <w:sz w:val="22"/>
          <w:szCs w:val="22"/>
        </w:rPr>
        <w:t xml:space="preserve">, as far as Kangaroo Island off the South Australian coast and the western and eastern coastlines of Tasmania </w:t>
      </w:r>
      <w:r>
        <w:rPr>
          <w:rFonts w:ascii="Arial" w:hAnsi="Arial"/>
          <w:sz w:val="22"/>
          <w:szCs w:val="22"/>
        </w:rPr>
        <w:t>(TSSC, 2015</w:t>
      </w:r>
      <w:r w:rsidR="00B065E2">
        <w:rPr>
          <w:rFonts w:ascii="Arial" w:hAnsi="Arial"/>
          <w:sz w:val="22"/>
          <w:szCs w:val="22"/>
        </w:rPr>
        <w:t>b</w:t>
      </w:r>
      <w:r>
        <w:rPr>
          <w:rFonts w:ascii="Arial" w:hAnsi="Arial"/>
          <w:sz w:val="22"/>
          <w:szCs w:val="22"/>
        </w:rPr>
        <w:t>)</w:t>
      </w:r>
      <w:r w:rsidR="005A0202">
        <w:rPr>
          <w:rFonts w:ascii="Arial" w:hAnsi="Arial"/>
          <w:sz w:val="22"/>
          <w:szCs w:val="22"/>
        </w:rPr>
        <w:t xml:space="preserve">. </w:t>
      </w:r>
    </w:p>
    <w:p w14:paraId="1E4CA1CF" w14:textId="7CE840E9" w:rsidR="00943F4D" w:rsidRPr="00943F4D" w:rsidRDefault="00943F4D" w:rsidP="00B54F26">
      <w:pPr>
        <w:pStyle w:val="bodycopy"/>
        <w:rPr>
          <w:rFonts w:ascii="Arial" w:hAnsi="Arial"/>
          <w:sz w:val="22"/>
          <w:szCs w:val="22"/>
          <w:u w:val="single"/>
        </w:rPr>
      </w:pPr>
      <w:r w:rsidRPr="00943F4D">
        <w:rPr>
          <w:rFonts w:ascii="Arial" w:hAnsi="Arial"/>
          <w:sz w:val="22"/>
          <w:szCs w:val="22"/>
          <w:u w:val="single"/>
        </w:rPr>
        <w:t>Jackass morwong</w:t>
      </w:r>
    </w:p>
    <w:p w14:paraId="0050321B" w14:textId="34C12DF0" w:rsidR="00A72CB9" w:rsidRDefault="00A61658" w:rsidP="00B54F26">
      <w:pPr>
        <w:pStyle w:val="bodycopy"/>
        <w:rPr>
          <w:rFonts w:ascii="Arial" w:hAnsi="Arial"/>
          <w:sz w:val="22"/>
          <w:szCs w:val="22"/>
        </w:rPr>
      </w:pPr>
      <w:r>
        <w:rPr>
          <w:rFonts w:ascii="Arial" w:hAnsi="Arial"/>
          <w:sz w:val="22"/>
          <w:szCs w:val="22"/>
        </w:rPr>
        <w:t xml:space="preserve">The jackass morwong </w:t>
      </w:r>
      <w:r w:rsidR="00296AC3" w:rsidRPr="005F46C9">
        <w:rPr>
          <w:rFonts w:ascii="Arial" w:hAnsi="Arial"/>
          <w:sz w:val="22"/>
          <w:szCs w:val="22"/>
        </w:rPr>
        <w:t>(</w:t>
      </w:r>
      <w:r w:rsidR="00296AC3" w:rsidRPr="005F46C9">
        <w:rPr>
          <w:rFonts w:ascii="Arial" w:hAnsi="Arial"/>
          <w:i/>
          <w:sz w:val="22"/>
          <w:szCs w:val="22"/>
        </w:rPr>
        <w:t>Nemadactylus macropterus</w:t>
      </w:r>
      <w:r w:rsidR="00296AC3" w:rsidRPr="005F46C9">
        <w:rPr>
          <w:rFonts w:ascii="Arial" w:hAnsi="Arial"/>
          <w:sz w:val="22"/>
          <w:szCs w:val="22"/>
        </w:rPr>
        <w:t xml:space="preserve">) </w:t>
      </w:r>
      <w:r>
        <w:rPr>
          <w:rFonts w:ascii="Arial" w:hAnsi="Arial"/>
          <w:sz w:val="22"/>
          <w:szCs w:val="22"/>
        </w:rPr>
        <w:t>is a perch that grows to 80 cm in length, lives in waters up to 400 m deep with a distribution in all southern Australian shelf waters</w:t>
      </w:r>
      <w:r w:rsidR="007A3FDB">
        <w:rPr>
          <w:rFonts w:ascii="Arial" w:hAnsi="Arial"/>
          <w:sz w:val="22"/>
          <w:szCs w:val="22"/>
        </w:rPr>
        <w:t xml:space="preserve">. It lives close to the seabed </w:t>
      </w:r>
      <w:r>
        <w:rPr>
          <w:rFonts w:ascii="Arial" w:hAnsi="Arial"/>
          <w:sz w:val="22"/>
          <w:szCs w:val="22"/>
        </w:rPr>
        <w:t>and is commonly associated with reefs</w:t>
      </w:r>
      <w:r w:rsidR="007A3FDB">
        <w:rPr>
          <w:rFonts w:ascii="Arial" w:hAnsi="Arial"/>
          <w:sz w:val="22"/>
          <w:szCs w:val="22"/>
        </w:rPr>
        <w:t xml:space="preserve">, and is most commonly caught in water depths between 80 m and 170 m (deeper than the </w:t>
      </w:r>
      <w:r w:rsidR="007A3FDB">
        <w:rPr>
          <w:rFonts w:ascii="Arial" w:hAnsi="Arial"/>
          <w:sz w:val="22"/>
          <w:szCs w:val="22"/>
        </w:rPr>
        <w:lastRenderedPageBreak/>
        <w:t>proposed acquisition area)</w:t>
      </w:r>
      <w:r>
        <w:rPr>
          <w:rFonts w:ascii="Arial" w:hAnsi="Arial"/>
          <w:sz w:val="22"/>
          <w:szCs w:val="22"/>
        </w:rPr>
        <w:t xml:space="preserve"> (</w:t>
      </w:r>
      <w:r w:rsidR="00F40C7C">
        <w:rPr>
          <w:rFonts w:ascii="Arial" w:hAnsi="Arial"/>
          <w:sz w:val="22"/>
          <w:szCs w:val="22"/>
        </w:rPr>
        <w:t>Museums Victoria</w:t>
      </w:r>
      <w:r>
        <w:rPr>
          <w:rFonts w:ascii="Arial" w:hAnsi="Arial"/>
          <w:sz w:val="22"/>
          <w:szCs w:val="22"/>
        </w:rPr>
        <w:t>, 2017</w:t>
      </w:r>
      <w:r w:rsidR="00A72CB9">
        <w:rPr>
          <w:rFonts w:ascii="Arial" w:hAnsi="Arial"/>
          <w:sz w:val="22"/>
          <w:szCs w:val="22"/>
        </w:rPr>
        <w:t>; AFMA, 2017</w:t>
      </w:r>
      <w:r w:rsidR="00EE5673">
        <w:rPr>
          <w:rFonts w:ascii="Arial" w:hAnsi="Arial"/>
          <w:sz w:val="22"/>
          <w:szCs w:val="22"/>
        </w:rPr>
        <w:t>a</w:t>
      </w:r>
      <w:r>
        <w:rPr>
          <w:rFonts w:ascii="Arial" w:hAnsi="Arial"/>
          <w:sz w:val="22"/>
          <w:szCs w:val="22"/>
        </w:rPr>
        <w:t xml:space="preserve">). This species </w:t>
      </w:r>
      <w:r w:rsidR="005A0202">
        <w:rPr>
          <w:rFonts w:ascii="Arial" w:hAnsi="Arial"/>
          <w:sz w:val="22"/>
          <w:szCs w:val="22"/>
        </w:rPr>
        <w:t>is</w:t>
      </w:r>
      <w:r>
        <w:rPr>
          <w:rFonts w:ascii="Arial" w:hAnsi="Arial"/>
          <w:sz w:val="22"/>
          <w:szCs w:val="22"/>
        </w:rPr>
        <w:t xml:space="preserve"> not list</w:t>
      </w:r>
      <w:r w:rsidR="005A0202">
        <w:rPr>
          <w:rFonts w:ascii="Arial" w:hAnsi="Arial"/>
          <w:sz w:val="22"/>
          <w:szCs w:val="22"/>
        </w:rPr>
        <w:t xml:space="preserve">ed </w:t>
      </w:r>
      <w:r>
        <w:rPr>
          <w:rFonts w:ascii="Arial" w:hAnsi="Arial"/>
          <w:sz w:val="22"/>
          <w:szCs w:val="22"/>
        </w:rPr>
        <w:t xml:space="preserve">under the EPBC Act. </w:t>
      </w:r>
    </w:p>
    <w:p w14:paraId="474C6ED4" w14:textId="53627201" w:rsidR="004B7207" w:rsidRDefault="00A72CB9" w:rsidP="00B54F26">
      <w:pPr>
        <w:pStyle w:val="bodycopy"/>
        <w:rPr>
          <w:rFonts w:ascii="Arial" w:hAnsi="Arial"/>
          <w:sz w:val="22"/>
          <w:szCs w:val="22"/>
        </w:rPr>
      </w:pPr>
      <w:r>
        <w:rPr>
          <w:rFonts w:ascii="Arial" w:hAnsi="Arial"/>
          <w:sz w:val="22"/>
          <w:szCs w:val="22"/>
        </w:rPr>
        <w:t>Jackass morwong reach reproductive maturity at 3 years of age, with spawning occurring multiple times from late summer to autumn and females producing up to one million eggs per spawning season (AFMA, 2017</w:t>
      </w:r>
      <w:r w:rsidR="00EE5673">
        <w:rPr>
          <w:rFonts w:ascii="Arial" w:hAnsi="Arial"/>
          <w:sz w:val="22"/>
          <w:szCs w:val="22"/>
        </w:rPr>
        <w:t>a</w:t>
      </w:r>
      <w:r>
        <w:rPr>
          <w:rFonts w:ascii="Arial" w:hAnsi="Arial"/>
          <w:sz w:val="22"/>
          <w:szCs w:val="22"/>
        </w:rPr>
        <w:t xml:space="preserve">). They </w:t>
      </w:r>
      <w:r w:rsidR="004B7207">
        <w:rPr>
          <w:rFonts w:ascii="Arial" w:hAnsi="Arial"/>
          <w:sz w:val="22"/>
          <w:szCs w:val="22"/>
        </w:rPr>
        <w:t>have an extended pelagic post-larval stage (referred to as ‘paperfish’) with metamorphosis into juveiles occurring after 9-12 months (AFMA, 2017</w:t>
      </w:r>
      <w:r w:rsidR="00EE5673">
        <w:rPr>
          <w:rFonts w:ascii="Arial" w:hAnsi="Arial"/>
          <w:sz w:val="22"/>
          <w:szCs w:val="22"/>
        </w:rPr>
        <w:t>a</w:t>
      </w:r>
      <w:r w:rsidR="004B7207">
        <w:rPr>
          <w:rFonts w:ascii="Arial" w:hAnsi="Arial"/>
          <w:sz w:val="22"/>
          <w:szCs w:val="22"/>
        </w:rPr>
        <w:t xml:space="preserve">). </w:t>
      </w:r>
    </w:p>
    <w:p w14:paraId="64FC6284" w14:textId="02BC778B" w:rsidR="00A61658" w:rsidRDefault="00A61658" w:rsidP="00B54F26">
      <w:pPr>
        <w:pStyle w:val="bodycopy"/>
        <w:rPr>
          <w:rFonts w:ascii="Arial" w:hAnsi="Arial"/>
          <w:sz w:val="22"/>
          <w:szCs w:val="22"/>
        </w:rPr>
      </w:pPr>
      <w:r>
        <w:rPr>
          <w:rFonts w:ascii="Arial" w:hAnsi="Arial"/>
          <w:sz w:val="22"/>
          <w:szCs w:val="22"/>
        </w:rPr>
        <w:t>This species has been observed in association with sponge gardens in the region</w:t>
      </w:r>
      <w:r w:rsidRPr="00A61658">
        <w:rPr>
          <w:rFonts w:ascii="Arial" w:hAnsi="Arial"/>
          <w:sz w:val="22"/>
          <w:szCs w:val="22"/>
        </w:rPr>
        <w:t xml:space="preserve"> (see Section </w:t>
      </w:r>
      <w:r w:rsidR="00BD2FC2">
        <w:rPr>
          <w:rFonts w:ascii="Arial" w:hAnsi="Arial"/>
          <w:sz w:val="22"/>
          <w:szCs w:val="22"/>
        </w:rPr>
        <w:t>5.4.1</w:t>
      </w:r>
      <w:r w:rsidRPr="00A61658">
        <w:rPr>
          <w:rFonts w:ascii="Arial" w:hAnsi="Arial"/>
          <w:sz w:val="22"/>
          <w:szCs w:val="22"/>
        </w:rPr>
        <w:t>) and</w:t>
      </w:r>
      <w:r>
        <w:rPr>
          <w:rFonts w:ascii="Arial" w:hAnsi="Arial"/>
          <w:sz w:val="22"/>
          <w:szCs w:val="22"/>
        </w:rPr>
        <w:t xml:space="preserve"> is commercially fished in the Scalefish Hook Sector (part of the Southern and Eastern Scalefish and Shark Fishery, see Section </w:t>
      </w:r>
      <w:r w:rsidR="00BD2FC2">
        <w:rPr>
          <w:rFonts w:ascii="Arial" w:hAnsi="Arial"/>
          <w:sz w:val="22"/>
          <w:szCs w:val="22"/>
        </w:rPr>
        <w:t>5.6.3</w:t>
      </w:r>
      <w:r>
        <w:rPr>
          <w:rFonts w:ascii="Arial" w:hAnsi="Arial"/>
          <w:sz w:val="22"/>
          <w:szCs w:val="22"/>
        </w:rPr>
        <w:t xml:space="preserve">). </w:t>
      </w:r>
      <w:r w:rsidR="004B7207">
        <w:rPr>
          <w:rFonts w:ascii="Arial" w:hAnsi="Arial"/>
          <w:sz w:val="22"/>
          <w:szCs w:val="22"/>
        </w:rPr>
        <w:t>They feed at night on polychaete worms, crustaceans and molluscs, and are preyed on my fish, sharks and marine mammals (AFMA, 2017</w:t>
      </w:r>
      <w:r w:rsidR="00EE5673">
        <w:rPr>
          <w:rFonts w:ascii="Arial" w:hAnsi="Arial"/>
          <w:sz w:val="22"/>
          <w:szCs w:val="22"/>
        </w:rPr>
        <w:t>a</w:t>
      </w:r>
      <w:r w:rsidR="004B7207">
        <w:rPr>
          <w:rFonts w:ascii="Arial" w:hAnsi="Arial"/>
          <w:sz w:val="22"/>
          <w:szCs w:val="22"/>
        </w:rPr>
        <w:t xml:space="preserve">). </w:t>
      </w:r>
    </w:p>
    <w:p w14:paraId="750F2C1E" w14:textId="367D1423" w:rsidR="00943F4D" w:rsidRPr="00943F4D" w:rsidRDefault="00943F4D" w:rsidP="00B54F26">
      <w:pPr>
        <w:pStyle w:val="bodycopy"/>
        <w:rPr>
          <w:rFonts w:ascii="Arial" w:hAnsi="Arial"/>
          <w:sz w:val="22"/>
          <w:szCs w:val="22"/>
          <w:u w:val="single"/>
        </w:rPr>
      </w:pPr>
      <w:r w:rsidRPr="00943F4D">
        <w:rPr>
          <w:rFonts w:ascii="Arial" w:hAnsi="Arial"/>
          <w:sz w:val="22"/>
          <w:szCs w:val="22"/>
          <w:u w:val="single"/>
        </w:rPr>
        <w:t>Pilchard</w:t>
      </w:r>
      <w:r w:rsidR="00EE48F6">
        <w:rPr>
          <w:rFonts w:ascii="Arial" w:hAnsi="Arial"/>
          <w:sz w:val="22"/>
          <w:szCs w:val="22"/>
          <w:u w:val="single"/>
        </w:rPr>
        <w:t>/sardine</w:t>
      </w:r>
    </w:p>
    <w:p w14:paraId="621C764E" w14:textId="06F9A613" w:rsidR="00943F4D" w:rsidRPr="00A63BBB" w:rsidRDefault="007C51AF" w:rsidP="00B54F26">
      <w:pPr>
        <w:pStyle w:val="bodycopy"/>
        <w:rPr>
          <w:rFonts w:ascii="Arial" w:hAnsi="Arial"/>
          <w:sz w:val="22"/>
          <w:szCs w:val="22"/>
        </w:rPr>
      </w:pPr>
      <w:r w:rsidRPr="00A63BBB">
        <w:rPr>
          <w:rFonts w:ascii="Arial" w:hAnsi="Arial"/>
          <w:sz w:val="22"/>
          <w:szCs w:val="22"/>
        </w:rPr>
        <w:t xml:space="preserve">Pilchards </w:t>
      </w:r>
      <w:r w:rsidR="00B502AC" w:rsidRPr="00A63BBB">
        <w:rPr>
          <w:rFonts w:ascii="Arial" w:hAnsi="Arial"/>
          <w:sz w:val="22"/>
          <w:szCs w:val="22"/>
        </w:rPr>
        <w:t xml:space="preserve">and sardines are terms often used interchangeably for small, oily fish in the herring family. </w:t>
      </w:r>
      <w:r w:rsidR="00EE48F6" w:rsidRPr="00A63BBB">
        <w:rPr>
          <w:rFonts w:ascii="Arial" w:hAnsi="Arial"/>
          <w:sz w:val="22"/>
          <w:szCs w:val="22"/>
        </w:rPr>
        <w:t>In the Bass Strait context, Australian sardine (</w:t>
      </w:r>
      <w:r w:rsidR="00E73222" w:rsidRPr="00A63BBB">
        <w:rPr>
          <w:rFonts w:ascii="Arial" w:hAnsi="Arial"/>
          <w:i/>
          <w:sz w:val="22"/>
          <w:szCs w:val="22"/>
        </w:rPr>
        <w:t>Sardinops sagax</w:t>
      </w:r>
      <w:r w:rsidR="00E73222" w:rsidRPr="00A63BBB">
        <w:rPr>
          <w:rFonts w:ascii="Arial" w:hAnsi="Arial"/>
          <w:sz w:val="22"/>
          <w:szCs w:val="22"/>
        </w:rPr>
        <w:t>)</w:t>
      </w:r>
      <w:r w:rsidR="00EE48F6" w:rsidRPr="00A63BBB">
        <w:rPr>
          <w:rFonts w:ascii="Arial" w:hAnsi="Arial"/>
          <w:sz w:val="22"/>
          <w:szCs w:val="22"/>
        </w:rPr>
        <w:t xml:space="preserve"> is </w:t>
      </w:r>
      <w:r w:rsidR="00BD314C" w:rsidRPr="00A63BBB">
        <w:rPr>
          <w:rFonts w:ascii="Arial" w:hAnsi="Arial"/>
          <w:sz w:val="22"/>
          <w:szCs w:val="22"/>
        </w:rPr>
        <w:t xml:space="preserve">also referred to as Australian pilchard, blue pilchard, pilchard, and blue bait among others (Museums Victoria, 2017). </w:t>
      </w:r>
    </w:p>
    <w:p w14:paraId="1FB006B6" w14:textId="7468D3A5" w:rsidR="00A75338" w:rsidRDefault="00854D5D" w:rsidP="00BF1DC7">
      <w:pPr>
        <w:pStyle w:val="bodycopy"/>
        <w:rPr>
          <w:rFonts w:ascii="Arial" w:hAnsi="Arial"/>
          <w:sz w:val="22"/>
          <w:szCs w:val="22"/>
        </w:rPr>
      </w:pPr>
      <w:r>
        <w:rPr>
          <w:rFonts w:ascii="Arial" w:hAnsi="Arial"/>
          <w:sz w:val="22"/>
          <w:szCs w:val="22"/>
        </w:rPr>
        <w:t xml:space="preserve">The FRDC (2017) suggests that the sardine population </w:t>
      </w:r>
      <w:r w:rsidR="00A63BBB">
        <w:rPr>
          <w:rFonts w:ascii="Arial" w:hAnsi="Arial"/>
          <w:sz w:val="22"/>
          <w:szCs w:val="22"/>
        </w:rPr>
        <w:t>in</w:t>
      </w:r>
      <w:r>
        <w:rPr>
          <w:rFonts w:ascii="Arial" w:hAnsi="Arial"/>
          <w:sz w:val="22"/>
          <w:szCs w:val="22"/>
        </w:rPr>
        <w:t xml:space="preserve"> Gippsland waters </w:t>
      </w:r>
      <w:r w:rsidR="00A75338">
        <w:rPr>
          <w:rFonts w:ascii="Arial" w:hAnsi="Arial"/>
          <w:sz w:val="22"/>
          <w:szCs w:val="22"/>
        </w:rPr>
        <w:t>is</w:t>
      </w:r>
      <w:r w:rsidR="00A63BBB">
        <w:rPr>
          <w:rFonts w:ascii="Arial" w:hAnsi="Arial"/>
          <w:sz w:val="22"/>
          <w:szCs w:val="22"/>
        </w:rPr>
        <w:t xml:space="preserve"> part of </w:t>
      </w:r>
      <w:r w:rsidR="00A75338">
        <w:rPr>
          <w:rFonts w:ascii="Arial" w:hAnsi="Arial"/>
          <w:sz w:val="22"/>
          <w:szCs w:val="22"/>
        </w:rPr>
        <w:t xml:space="preserve">the eastern Australian stock. The peak spawning season </w:t>
      </w:r>
      <w:r w:rsidR="00A63BBB">
        <w:rPr>
          <w:rFonts w:ascii="Arial" w:hAnsi="Arial"/>
          <w:sz w:val="22"/>
          <w:szCs w:val="22"/>
        </w:rPr>
        <w:t xml:space="preserve">for this stock </w:t>
      </w:r>
      <w:r w:rsidR="00A75338">
        <w:rPr>
          <w:rFonts w:ascii="Arial" w:hAnsi="Arial"/>
          <w:sz w:val="22"/>
          <w:szCs w:val="22"/>
        </w:rPr>
        <w:t>occurs from August to September from Sandy Cape in northeast Tasmania to just south of Newcastle in NSW</w:t>
      </w:r>
      <w:r w:rsidR="000F10CB">
        <w:rPr>
          <w:rFonts w:ascii="Arial" w:hAnsi="Arial"/>
          <w:sz w:val="22"/>
          <w:szCs w:val="22"/>
        </w:rPr>
        <w:t>, with information provided by one commercial fisher indicating spawning occurs inshore</w:t>
      </w:r>
      <w:r w:rsidR="00A75338">
        <w:rPr>
          <w:rFonts w:ascii="Arial" w:hAnsi="Arial"/>
          <w:sz w:val="22"/>
          <w:szCs w:val="22"/>
        </w:rPr>
        <w:t xml:space="preserve">. </w:t>
      </w:r>
      <w:r w:rsidR="00B82776">
        <w:rPr>
          <w:rFonts w:ascii="Arial" w:hAnsi="Arial"/>
          <w:sz w:val="22"/>
          <w:szCs w:val="22"/>
        </w:rPr>
        <w:t>Information provided by SIV indicates spawning occurs from November to February.</w:t>
      </w:r>
    </w:p>
    <w:p w14:paraId="143D4B56" w14:textId="62A1A6D4" w:rsidR="00BF1DC7" w:rsidRPr="00BF1DC7" w:rsidRDefault="00BD314C" w:rsidP="00BF1DC7">
      <w:pPr>
        <w:pStyle w:val="bodycopy"/>
        <w:rPr>
          <w:rFonts w:ascii="Arial" w:hAnsi="Arial"/>
          <w:sz w:val="22"/>
          <w:szCs w:val="22"/>
        </w:rPr>
      </w:pPr>
      <w:r>
        <w:rPr>
          <w:rFonts w:ascii="Arial" w:hAnsi="Arial"/>
          <w:sz w:val="22"/>
          <w:szCs w:val="22"/>
        </w:rPr>
        <w:t>Sardines</w:t>
      </w:r>
      <w:r w:rsidR="00BF1DC7" w:rsidRPr="00BF1DC7">
        <w:rPr>
          <w:rFonts w:ascii="Arial" w:hAnsi="Arial"/>
          <w:sz w:val="22"/>
          <w:szCs w:val="22"/>
        </w:rPr>
        <w:t xml:space="preserve"> have a ma</w:t>
      </w:r>
      <w:r w:rsidR="005A7E50">
        <w:rPr>
          <w:rFonts w:ascii="Arial" w:hAnsi="Arial"/>
          <w:sz w:val="22"/>
          <w:szCs w:val="22"/>
        </w:rPr>
        <w:t xml:space="preserve">ximum life span of </w:t>
      </w:r>
      <w:r w:rsidR="00A75338">
        <w:rPr>
          <w:rFonts w:ascii="Arial" w:hAnsi="Arial"/>
          <w:sz w:val="22"/>
          <w:szCs w:val="22"/>
        </w:rPr>
        <w:t xml:space="preserve">up to </w:t>
      </w:r>
      <w:r w:rsidR="006B62EF">
        <w:rPr>
          <w:rFonts w:ascii="Arial" w:hAnsi="Arial"/>
          <w:sz w:val="22"/>
          <w:szCs w:val="22"/>
        </w:rPr>
        <w:t>nine</w:t>
      </w:r>
      <w:r w:rsidR="00A75338">
        <w:rPr>
          <w:rFonts w:ascii="Arial" w:hAnsi="Arial"/>
          <w:sz w:val="22"/>
          <w:szCs w:val="22"/>
        </w:rPr>
        <w:t xml:space="preserve"> years</w:t>
      </w:r>
      <w:r w:rsidR="00BF1DC7" w:rsidRPr="00BF1DC7">
        <w:rPr>
          <w:rFonts w:ascii="Arial" w:hAnsi="Arial"/>
          <w:sz w:val="22"/>
          <w:szCs w:val="22"/>
        </w:rPr>
        <w:t>. They are a highly fecund, fast</w:t>
      </w:r>
      <w:r w:rsidR="005A7E50">
        <w:rPr>
          <w:rFonts w:ascii="Arial" w:hAnsi="Arial"/>
          <w:sz w:val="22"/>
          <w:szCs w:val="22"/>
        </w:rPr>
        <w:t>-</w:t>
      </w:r>
      <w:r w:rsidR="00BF1DC7" w:rsidRPr="00BF1DC7">
        <w:rPr>
          <w:rFonts w:ascii="Arial" w:hAnsi="Arial"/>
          <w:sz w:val="22"/>
          <w:szCs w:val="22"/>
        </w:rPr>
        <w:t>growing species that reaches a maximum length of approximately 2</w:t>
      </w:r>
      <w:r w:rsidR="002C0733">
        <w:rPr>
          <w:rFonts w:ascii="Arial" w:hAnsi="Arial"/>
          <w:sz w:val="22"/>
          <w:szCs w:val="22"/>
        </w:rPr>
        <w:t>0-25 c</w:t>
      </w:r>
      <w:r w:rsidR="00BF1DC7" w:rsidRPr="00BF1DC7">
        <w:rPr>
          <w:rFonts w:ascii="Arial" w:hAnsi="Arial"/>
          <w:sz w:val="22"/>
          <w:szCs w:val="22"/>
        </w:rPr>
        <w:t xml:space="preserve">m, with </w:t>
      </w:r>
      <w:r w:rsidR="005A7E50">
        <w:rPr>
          <w:rFonts w:ascii="Arial" w:hAnsi="Arial"/>
          <w:sz w:val="22"/>
          <w:szCs w:val="22"/>
        </w:rPr>
        <w:t xml:space="preserve">half </w:t>
      </w:r>
      <w:r w:rsidR="00BF1DC7" w:rsidRPr="00BF1DC7">
        <w:rPr>
          <w:rFonts w:ascii="Arial" w:hAnsi="Arial"/>
          <w:sz w:val="22"/>
          <w:szCs w:val="22"/>
        </w:rPr>
        <w:t>of the population reaching sexual maturity at approximately 150 mm</w:t>
      </w:r>
      <w:r w:rsidR="005A7E50">
        <w:rPr>
          <w:rFonts w:ascii="Arial" w:hAnsi="Arial"/>
          <w:sz w:val="22"/>
          <w:szCs w:val="22"/>
        </w:rPr>
        <w:t xml:space="preserve"> in size (DEH, 2004</w:t>
      </w:r>
      <w:r w:rsidR="002C0733">
        <w:rPr>
          <w:rFonts w:ascii="Arial" w:hAnsi="Arial"/>
          <w:sz w:val="22"/>
          <w:szCs w:val="22"/>
        </w:rPr>
        <w:t>; FRDC, 2017</w:t>
      </w:r>
      <w:r w:rsidR="005A7E50">
        <w:rPr>
          <w:rFonts w:ascii="Arial" w:hAnsi="Arial"/>
          <w:sz w:val="22"/>
          <w:szCs w:val="22"/>
        </w:rPr>
        <w:t>)</w:t>
      </w:r>
      <w:r w:rsidR="00BF1DC7" w:rsidRPr="00BF1DC7">
        <w:rPr>
          <w:rFonts w:ascii="Arial" w:hAnsi="Arial"/>
          <w:sz w:val="22"/>
          <w:szCs w:val="22"/>
        </w:rPr>
        <w:t>.</w:t>
      </w:r>
      <w:r w:rsidR="005A7E50">
        <w:rPr>
          <w:rFonts w:ascii="Arial" w:hAnsi="Arial"/>
          <w:sz w:val="22"/>
          <w:szCs w:val="22"/>
        </w:rPr>
        <w:t xml:space="preserve"> </w:t>
      </w:r>
      <w:r w:rsidR="0075626C">
        <w:rPr>
          <w:rFonts w:ascii="Arial" w:hAnsi="Arial"/>
          <w:sz w:val="22"/>
          <w:szCs w:val="22"/>
        </w:rPr>
        <w:t>Pilchards are the key prey species for little penguins</w:t>
      </w:r>
      <w:r w:rsidR="002C0733">
        <w:rPr>
          <w:rFonts w:ascii="Arial" w:hAnsi="Arial"/>
          <w:sz w:val="22"/>
          <w:szCs w:val="22"/>
        </w:rPr>
        <w:t xml:space="preserve"> and southern bluefin tuna</w:t>
      </w:r>
      <w:r w:rsidR="00612225">
        <w:rPr>
          <w:rFonts w:ascii="Arial" w:hAnsi="Arial"/>
          <w:sz w:val="22"/>
          <w:szCs w:val="22"/>
        </w:rPr>
        <w:t>, as well as crested terns</w:t>
      </w:r>
      <w:r w:rsidR="002C0733">
        <w:rPr>
          <w:rFonts w:ascii="Arial" w:hAnsi="Arial"/>
          <w:sz w:val="22"/>
          <w:szCs w:val="22"/>
        </w:rPr>
        <w:t xml:space="preserve"> (DEH, 2004; FRDC, 2017).</w:t>
      </w:r>
      <w:r w:rsidR="00A63BBB">
        <w:rPr>
          <w:rFonts w:ascii="Arial" w:hAnsi="Arial"/>
          <w:sz w:val="22"/>
          <w:szCs w:val="22"/>
        </w:rPr>
        <w:t xml:space="preserve"> </w:t>
      </w:r>
      <w:r w:rsidR="00BF1DC7" w:rsidRPr="00BF1DC7">
        <w:rPr>
          <w:rFonts w:ascii="Arial" w:hAnsi="Arial"/>
          <w:sz w:val="22"/>
          <w:szCs w:val="22"/>
        </w:rPr>
        <w:t>Populations of pilchards fluctuate markedly and mass mortality events have occurred in the fishery in 1995 and 1998</w:t>
      </w:r>
      <w:r w:rsidR="00612225">
        <w:rPr>
          <w:rFonts w:ascii="Arial" w:hAnsi="Arial"/>
          <w:sz w:val="22"/>
          <w:szCs w:val="22"/>
        </w:rPr>
        <w:t>-99</w:t>
      </w:r>
      <w:r w:rsidR="00BF1DC7" w:rsidRPr="00BF1DC7">
        <w:rPr>
          <w:rFonts w:ascii="Arial" w:hAnsi="Arial"/>
          <w:sz w:val="22"/>
          <w:szCs w:val="22"/>
        </w:rPr>
        <w:t>, affecting the entire southern Australian pilchard population. The</w:t>
      </w:r>
      <w:r w:rsidR="00612225">
        <w:rPr>
          <w:rFonts w:ascii="Arial" w:hAnsi="Arial"/>
          <w:sz w:val="22"/>
          <w:szCs w:val="22"/>
        </w:rPr>
        <w:t>se</w:t>
      </w:r>
      <w:r w:rsidR="00BF1DC7" w:rsidRPr="00BF1DC7">
        <w:rPr>
          <w:rFonts w:ascii="Arial" w:hAnsi="Arial"/>
          <w:sz w:val="22"/>
          <w:szCs w:val="22"/>
        </w:rPr>
        <w:t xml:space="preserve"> </w:t>
      </w:r>
      <w:r w:rsidR="00612225">
        <w:rPr>
          <w:rFonts w:ascii="Arial" w:hAnsi="Arial"/>
          <w:sz w:val="22"/>
          <w:szCs w:val="22"/>
        </w:rPr>
        <w:t>events were caused by a herpes virus DEH, 2004; FRDC, 2017).</w:t>
      </w:r>
      <w:r w:rsidR="00BF1DC7" w:rsidRPr="00BF1DC7">
        <w:rPr>
          <w:rFonts w:ascii="Arial" w:hAnsi="Arial"/>
          <w:sz w:val="22"/>
          <w:szCs w:val="22"/>
        </w:rPr>
        <w:t xml:space="preserve"> </w:t>
      </w:r>
    </w:p>
    <w:p w14:paraId="2DE1CD28" w14:textId="6A787D40" w:rsidR="00943F4D" w:rsidRPr="00943F4D" w:rsidRDefault="00943F4D" w:rsidP="00B54F26">
      <w:pPr>
        <w:pStyle w:val="bodycopy"/>
        <w:rPr>
          <w:rFonts w:ascii="Arial" w:hAnsi="Arial"/>
          <w:sz w:val="22"/>
          <w:szCs w:val="22"/>
          <w:u w:val="single"/>
        </w:rPr>
      </w:pPr>
      <w:r w:rsidRPr="00943F4D">
        <w:rPr>
          <w:rFonts w:ascii="Arial" w:hAnsi="Arial"/>
          <w:sz w:val="22"/>
          <w:szCs w:val="22"/>
          <w:u w:val="single"/>
        </w:rPr>
        <w:t xml:space="preserve">Salmon </w:t>
      </w:r>
    </w:p>
    <w:p w14:paraId="330A0EB7" w14:textId="3C4B92D9" w:rsidR="00812BAF" w:rsidRDefault="00A67F74" w:rsidP="00812BAF">
      <w:pPr>
        <w:pStyle w:val="bodycopy"/>
        <w:rPr>
          <w:rFonts w:ascii="Arial" w:hAnsi="Arial"/>
          <w:sz w:val="22"/>
          <w:szCs w:val="22"/>
        </w:rPr>
      </w:pPr>
      <w:r>
        <w:rPr>
          <w:rFonts w:ascii="Arial" w:hAnsi="Arial"/>
          <w:sz w:val="22"/>
          <w:szCs w:val="22"/>
        </w:rPr>
        <w:t>Australian salmon (</w:t>
      </w:r>
      <w:r w:rsidRPr="00A67F74">
        <w:rPr>
          <w:rFonts w:ascii="Arial" w:hAnsi="Arial"/>
          <w:i/>
          <w:sz w:val="22"/>
          <w:szCs w:val="22"/>
        </w:rPr>
        <w:t>Arripis tr</w:t>
      </w:r>
      <w:r>
        <w:rPr>
          <w:rFonts w:ascii="Arial" w:hAnsi="Arial"/>
          <w:i/>
          <w:sz w:val="22"/>
          <w:szCs w:val="22"/>
        </w:rPr>
        <w:t>u</w:t>
      </w:r>
      <w:r w:rsidRPr="00A67F74">
        <w:rPr>
          <w:rFonts w:ascii="Arial" w:hAnsi="Arial"/>
          <w:i/>
          <w:sz w:val="22"/>
          <w:szCs w:val="22"/>
        </w:rPr>
        <w:t>tta</w:t>
      </w:r>
      <w:r>
        <w:rPr>
          <w:rFonts w:ascii="Arial" w:hAnsi="Arial"/>
          <w:sz w:val="22"/>
          <w:szCs w:val="22"/>
        </w:rPr>
        <w:t>)</w:t>
      </w:r>
      <w:r w:rsidR="00C85482">
        <w:rPr>
          <w:rFonts w:ascii="Arial" w:hAnsi="Arial"/>
          <w:sz w:val="22"/>
          <w:szCs w:val="22"/>
        </w:rPr>
        <w:t xml:space="preserve"> occurs in Australian waters from southern Queensland to western Victoria and northern Australia. It is distinct from the WA population (</w:t>
      </w:r>
      <w:r w:rsidR="00C85482" w:rsidRPr="00C85482">
        <w:rPr>
          <w:rFonts w:ascii="Arial" w:hAnsi="Arial"/>
          <w:i/>
          <w:sz w:val="22"/>
          <w:szCs w:val="22"/>
        </w:rPr>
        <w:t>A. truttaceus</w:t>
      </w:r>
      <w:r w:rsidR="00C85482">
        <w:rPr>
          <w:rFonts w:ascii="Arial" w:hAnsi="Arial"/>
          <w:sz w:val="22"/>
          <w:szCs w:val="22"/>
        </w:rPr>
        <w:t>)</w:t>
      </w:r>
      <w:r w:rsidR="007464F8">
        <w:rPr>
          <w:rFonts w:ascii="Arial" w:hAnsi="Arial"/>
          <w:sz w:val="22"/>
          <w:szCs w:val="22"/>
        </w:rPr>
        <w:t xml:space="preserve"> (Museums Victoria, 2017; FRDC, 2017)</w:t>
      </w:r>
      <w:r w:rsidR="00C85482">
        <w:rPr>
          <w:rFonts w:ascii="Arial" w:hAnsi="Arial"/>
          <w:sz w:val="22"/>
          <w:szCs w:val="22"/>
        </w:rPr>
        <w:t xml:space="preserve">. They grow </w:t>
      </w:r>
      <w:r w:rsidR="007464F8">
        <w:rPr>
          <w:rFonts w:ascii="Arial" w:hAnsi="Arial"/>
          <w:sz w:val="22"/>
          <w:szCs w:val="22"/>
        </w:rPr>
        <w:t>up to 80-90 cm in length and live up to 12 years</w:t>
      </w:r>
      <w:r w:rsidR="00930836">
        <w:rPr>
          <w:rFonts w:ascii="Arial" w:hAnsi="Arial"/>
          <w:sz w:val="22"/>
          <w:szCs w:val="22"/>
        </w:rPr>
        <w:t>,</w:t>
      </w:r>
      <w:r w:rsidR="007464F8">
        <w:rPr>
          <w:rFonts w:ascii="Arial" w:hAnsi="Arial"/>
          <w:sz w:val="22"/>
          <w:szCs w:val="22"/>
        </w:rPr>
        <w:t xml:space="preserve"> mature at about 4 years of age </w:t>
      </w:r>
      <w:r w:rsidR="00930836">
        <w:rPr>
          <w:rFonts w:ascii="Arial" w:hAnsi="Arial"/>
          <w:sz w:val="22"/>
          <w:szCs w:val="22"/>
        </w:rPr>
        <w:t xml:space="preserve">and weigh up to </w:t>
      </w:r>
      <w:r w:rsidR="00FD2A5D">
        <w:rPr>
          <w:rFonts w:ascii="Arial" w:hAnsi="Arial"/>
          <w:sz w:val="22"/>
          <w:szCs w:val="22"/>
        </w:rPr>
        <w:t>9</w:t>
      </w:r>
      <w:r w:rsidR="00930836">
        <w:rPr>
          <w:rFonts w:ascii="Arial" w:hAnsi="Arial"/>
          <w:sz w:val="22"/>
          <w:szCs w:val="22"/>
        </w:rPr>
        <w:t xml:space="preserve"> kg</w:t>
      </w:r>
      <w:r w:rsidR="00FD2A5D">
        <w:rPr>
          <w:rFonts w:ascii="Arial" w:hAnsi="Arial"/>
          <w:sz w:val="22"/>
          <w:szCs w:val="22"/>
        </w:rPr>
        <w:t>, more commonly reaching 3-4 kg</w:t>
      </w:r>
      <w:r w:rsidR="00930836">
        <w:rPr>
          <w:rFonts w:ascii="Arial" w:hAnsi="Arial"/>
          <w:sz w:val="22"/>
          <w:szCs w:val="22"/>
        </w:rPr>
        <w:t xml:space="preserve"> </w:t>
      </w:r>
      <w:r w:rsidR="007464F8">
        <w:rPr>
          <w:rFonts w:ascii="Arial" w:hAnsi="Arial"/>
          <w:sz w:val="22"/>
          <w:szCs w:val="22"/>
        </w:rPr>
        <w:t xml:space="preserve">(Museums Victoria, 2017; FRDC, 2017). </w:t>
      </w:r>
      <w:r w:rsidR="00C7314F">
        <w:rPr>
          <w:rFonts w:ascii="Arial" w:hAnsi="Arial"/>
          <w:sz w:val="22"/>
          <w:szCs w:val="22"/>
        </w:rPr>
        <w:t xml:space="preserve">This species migrates for thousands of kilometres </w:t>
      </w:r>
      <w:r w:rsidR="00FD2A5D">
        <w:rPr>
          <w:rFonts w:ascii="Arial" w:hAnsi="Arial"/>
          <w:sz w:val="22"/>
          <w:szCs w:val="22"/>
        </w:rPr>
        <w:t xml:space="preserve">along the coastline </w:t>
      </w:r>
      <w:r w:rsidR="00C7314F">
        <w:rPr>
          <w:rFonts w:ascii="Arial" w:hAnsi="Arial"/>
          <w:sz w:val="22"/>
          <w:szCs w:val="22"/>
        </w:rPr>
        <w:t xml:space="preserve">and form large schools along oceanic beaches and exposed coastal areas (Museums Victoria, 2017). </w:t>
      </w:r>
      <w:r w:rsidR="00812BAF">
        <w:rPr>
          <w:rFonts w:ascii="Arial" w:hAnsi="Arial"/>
          <w:sz w:val="22"/>
          <w:szCs w:val="22"/>
        </w:rPr>
        <w:t xml:space="preserve">Salmon prey on krill, copepods and polychaetes as juveiles and shift to consuming pilchards and anchovies as adults. They in turn are prey to cetaceans and large shark species. </w:t>
      </w:r>
    </w:p>
    <w:p w14:paraId="4A88502C" w14:textId="452285E7" w:rsidR="00943F4D" w:rsidRDefault="00C7314F" w:rsidP="00B54F26">
      <w:pPr>
        <w:pStyle w:val="bodycopy"/>
        <w:rPr>
          <w:rFonts w:ascii="Arial" w:hAnsi="Arial"/>
          <w:sz w:val="22"/>
          <w:szCs w:val="22"/>
        </w:rPr>
      </w:pPr>
      <w:r>
        <w:rPr>
          <w:rFonts w:ascii="Arial" w:hAnsi="Arial"/>
          <w:sz w:val="22"/>
          <w:szCs w:val="22"/>
        </w:rPr>
        <w:t xml:space="preserve">Salmon </w:t>
      </w:r>
      <w:r w:rsidR="005E07CC">
        <w:rPr>
          <w:rFonts w:ascii="Arial" w:hAnsi="Arial"/>
          <w:sz w:val="22"/>
          <w:szCs w:val="22"/>
        </w:rPr>
        <w:t>spawn spawn in the surf zone during late spring and summer</w:t>
      </w:r>
      <w:r w:rsidR="00812BAF">
        <w:rPr>
          <w:rFonts w:ascii="Arial" w:hAnsi="Arial"/>
          <w:sz w:val="22"/>
          <w:szCs w:val="22"/>
        </w:rPr>
        <w:t>, nominally November to February</w:t>
      </w:r>
      <w:r w:rsidR="005E07CC">
        <w:rPr>
          <w:rFonts w:ascii="Arial" w:hAnsi="Arial"/>
          <w:sz w:val="22"/>
          <w:szCs w:val="22"/>
        </w:rPr>
        <w:t xml:space="preserve"> (Museums Victoria, 2017), with the </w:t>
      </w:r>
      <w:r w:rsidR="00F03317">
        <w:rPr>
          <w:rFonts w:ascii="Arial" w:hAnsi="Arial"/>
          <w:sz w:val="22"/>
          <w:szCs w:val="22"/>
        </w:rPr>
        <w:t xml:space="preserve">strength of the </w:t>
      </w:r>
      <w:r w:rsidR="002F292B">
        <w:rPr>
          <w:rFonts w:ascii="Arial" w:hAnsi="Arial"/>
          <w:sz w:val="22"/>
          <w:szCs w:val="22"/>
        </w:rPr>
        <w:t xml:space="preserve">EAC </w:t>
      </w:r>
      <w:r w:rsidR="00F03317">
        <w:rPr>
          <w:rFonts w:ascii="Arial" w:hAnsi="Arial"/>
          <w:sz w:val="22"/>
          <w:szCs w:val="22"/>
        </w:rPr>
        <w:t xml:space="preserve">and Leeuwin Current </w:t>
      </w:r>
      <w:r w:rsidR="002F292B">
        <w:rPr>
          <w:rFonts w:ascii="Arial" w:hAnsi="Arial"/>
          <w:sz w:val="22"/>
          <w:szCs w:val="22"/>
        </w:rPr>
        <w:t xml:space="preserve">influencing the distribution of spawning, larval dispersal and the strength and distribution of juvenile recruitment (FRDC, 2017). </w:t>
      </w:r>
      <w:r w:rsidR="00812BAF">
        <w:rPr>
          <w:rFonts w:ascii="Arial" w:hAnsi="Arial"/>
          <w:sz w:val="22"/>
          <w:szCs w:val="22"/>
        </w:rPr>
        <w:t>They spawn in batches rather than all at once</w:t>
      </w:r>
      <w:r w:rsidR="004C45E2">
        <w:rPr>
          <w:rFonts w:ascii="Arial" w:hAnsi="Arial"/>
          <w:sz w:val="22"/>
          <w:szCs w:val="22"/>
        </w:rPr>
        <w:t>.</w:t>
      </w:r>
    </w:p>
    <w:p w14:paraId="2B69F537" w14:textId="2BAE805B" w:rsidR="00943F4D" w:rsidRPr="00943F4D" w:rsidRDefault="00943F4D" w:rsidP="00B54F26">
      <w:pPr>
        <w:pStyle w:val="bodycopy"/>
        <w:rPr>
          <w:rFonts w:ascii="Arial" w:hAnsi="Arial"/>
          <w:sz w:val="22"/>
          <w:szCs w:val="22"/>
          <w:u w:val="single"/>
        </w:rPr>
      </w:pPr>
      <w:r w:rsidRPr="00943F4D">
        <w:rPr>
          <w:rFonts w:ascii="Arial" w:hAnsi="Arial"/>
          <w:sz w:val="22"/>
          <w:szCs w:val="22"/>
          <w:u w:val="single"/>
        </w:rPr>
        <w:t>Mackeral</w:t>
      </w:r>
    </w:p>
    <w:p w14:paraId="607EDF73" w14:textId="1342C78C" w:rsidR="00943F4D" w:rsidRDefault="00B25451" w:rsidP="00B54F26">
      <w:pPr>
        <w:pStyle w:val="bodycopy"/>
        <w:rPr>
          <w:rFonts w:ascii="Arial" w:hAnsi="Arial"/>
          <w:sz w:val="22"/>
          <w:szCs w:val="22"/>
        </w:rPr>
      </w:pPr>
      <w:r w:rsidRPr="001A2580">
        <w:rPr>
          <w:rFonts w:ascii="Arial" w:hAnsi="Arial"/>
          <w:sz w:val="22"/>
          <w:szCs w:val="22"/>
        </w:rPr>
        <w:t>It is thought that jack mackerel (</w:t>
      </w:r>
      <w:r w:rsidR="000244A2" w:rsidRPr="001A2580">
        <w:rPr>
          <w:rFonts w:ascii="Arial" w:hAnsi="Arial"/>
          <w:i/>
          <w:sz w:val="22"/>
          <w:szCs w:val="22"/>
        </w:rPr>
        <w:t>Trachurus declivis</w:t>
      </w:r>
      <w:r w:rsidRPr="001A2580">
        <w:rPr>
          <w:rFonts w:ascii="Arial" w:hAnsi="Arial"/>
          <w:sz w:val="22"/>
          <w:szCs w:val="22"/>
        </w:rPr>
        <w:t>) is the species referred to by fishers</w:t>
      </w:r>
      <w:r w:rsidR="004350CC">
        <w:rPr>
          <w:rFonts w:ascii="Arial" w:hAnsi="Arial"/>
          <w:sz w:val="22"/>
          <w:szCs w:val="22"/>
        </w:rPr>
        <w:t>, as other mackerel fisheries are generally restricted to tropical waters</w:t>
      </w:r>
      <w:r w:rsidR="000244A2" w:rsidRPr="001A2580">
        <w:rPr>
          <w:rFonts w:ascii="Arial" w:hAnsi="Arial"/>
          <w:sz w:val="22"/>
          <w:szCs w:val="22"/>
        </w:rPr>
        <w:t xml:space="preserve">. This </w:t>
      </w:r>
      <w:r w:rsidR="00AC5AE6">
        <w:rPr>
          <w:rFonts w:ascii="Arial" w:hAnsi="Arial"/>
          <w:sz w:val="22"/>
          <w:szCs w:val="22"/>
        </w:rPr>
        <w:t xml:space="preserve">is </w:t>
      </w:r>
      <w:r w:rsidR="00AC5AE6">
        <w:rPr>
          <w:rFonts w:ascii="Arial" w:hAnsi="Arial"/>
          <w:sz w:val="22"/>
          <w:szCs w:val="22"/>
        </w:rPr>
        <w:lastRenderedPageBreak/>
        <w:t xml:space="preserve">a widespread </w:t>
      </w:r>
      <w:r w:rsidR="000244A2" w:rsidRPr="001A2580">
        <w:rPr>
          <w:rFonts w:ascii="Arial" w:hAnsi="Arial"/>
          <w:sz w:val="22"/>
          <w:szCs w:val="22"/>
        </w:rPr>
        <w:t>pelagic schooling species distributed around the southeastern and southern coasts of Australia</w:t>
      </w:r>
      <w:r w:rsidR="00EE4C21">
        <w:rPr>
          <w:rFonts w:ascii="Arial" w:hAnsi="Arial"/>
          <w:sz w:val="22"/>
          <w:szCs w:val="22"/>
        </w:rPr>
        <w:t xml:space="preserve"> in waters 20-300 m deep</w:t>
      </w:r>
      <w:r w:rsidR="000244A2" w:rsidRPr="001A2580">
        <w:rPr>
          <w:rFonts w:ascii="Arial" w:hAnsi="Arial"/>
          <w:sz w:val="22"/>
          <w:szCs w:val="22"/>
        </w:rPr>
        <w:t xml:space="preserve">, growing up to </w:t>
      </w:r>
      <w:r w:rsidR="00AC5AE6">
        <w:rPr>
          <w:rFonts w:ascii="Arial" w:hAnsi="Arial"/>
          <w:sz w:val="22"/>
          <w:szCs w:val="22"/>
        </w:rPr>
        <w:t>50-</w:t>
      </w:r>
      <w:r w:rsidR="000244A2" w:rsidRPr="001A2580">
        <w:rPr>
          <w:rFonts w:ascii="Arial" w:hAnsi="Arial"/>
          <w:sz w:val="22"/>
          <w:szCs w:val="22"/>
        </w:rPr>
        <w:t xml:space="preserve">65 cm in length, weighing up to 1.6 kg and living up to 17 </w:t>
      </w:r>
      <w:r w:rsidR="00EE4C21">
        <w:rPr>
          <w:rFonts w:ascii="Arial" w:hAnsi="Arial"/>
          <w:sz w:val="22"/>
          <w:szCs w:val="22"/>
        </w:rPr>
        <w:t>years</w:t>
      </w:r>
      <w:r w:rsidR="00434DCF" w:rsidRPr="001A2580">
        <w:rPr>
          <w:rFonts w:ascii="Arial" w:hAnsi="Arial"/>
          <w:sz w:val="22"/>
          <w:szCs w:val="22"/>
        </w:rPr>
        <w:t xml:space="preserve"> (AFMA, 2017</w:t>
      </w:r>
      <w:r w:rsidR="00EE5673">
        <w:rPr>
          <w:rFonts w:ascii="Arial" w:hAnsi="Arial"/>
          <w:sz w:val="22"/>
          <w:szCs w:val="22"/>
        </w:rPr>
        <w:t>a</w:t>
      </w:r>
      <w:r w:rsidR="00AC5AE6">
        <w:rPr>
          <w:rFonts w:ascii="Arial" w:hAnsi="Arial"/>
          <w:sz w:val="22"/>
          <w:szCs w:val="22"/>
        </w:rPr>
        <w:t>; Museums Victoria, 2017</w:t>
      </w:r>
      <w:r w:rsidR="00434DCF" w:rsidRPr="001A2580">
        <w:rPr>
          <w:rFonts w:ascii="Arial" w:hAnsi="Arial"/>
          <w:sz w:val="22"/>
          <w:szCs w:val="22"/>
        </w:rPr>
        <w:t>)</w:t>
      </w:r>
      <w:r w:rsidR="000244A2" w:rsidRPr="001A2580">
        <w:rPr>
          <w:rFonts w:ascii="Arial" w:hAnsi="Arial"/>
          <w:sz w:val="22"/>
          <w:szCs w:val="22"/>
        </w:rPr>
        <w:t xml:space="preserve">. </w:t>
      </w:r>
      <w:r w:rsidR="00F66ECF">
        <w:rPr>
          <w:rFonts w:ascii="Arial" w:hAnsi="Arial"/>
          <w:sz w:val="22"/>
          <w:szCs w:val="22"/>
        </w:rPr>
        <w:t xml:space="preserve">Jack mackerel prey on krill, other planktonic crustaceans (such as copepods) and lantern fish, and are in turn preyed on by larger fish such as tuna, barracouta and gemfish. </w:t>
      </w:r>
    </w:p>
    <w:p w14:paraId="4C67340F" w14:textId="03EDF43F" w:rsidR="00EE4C21" w:rsidRDefault="00EE4C21" w:rsidP="00B54F26">
      <w:pPr>
        <w:pStyle w:val="bodycopy"/>
        <w:rPr>
          <w:rFonts w:ascii="Arial" w:hAnsi="Arial"/>
          <w:sz w:val="22"/>
          <w:szCs w:val="22"/>
        </w:rPr>
      </w:pPr>
      <w:r>
        <w:rPr>
          <w:rFonts w:ascii="Arial" w:hAnsi="Arial"/>
          <w:sz w:val="22"/>
          <w:szCs w:val="22"/>
        </w:rPr>
        <w:t>Spawning occurs during late spring to early summer, with females spawning several times in a season, releasing about 34,000 eggs per event (AFMA, 2017</w:t>
      </w:r>
      <w:r w:rsidR="00EE5673">
        <w:rPr>
          <w:rFonts w:ascii="Arial" w:hAnsi="Arial"/>
          <w:sz w:val="22"/>
          <w:szCs w:val="22"/>
        </w:rPr>
        <w:t>a</w:t>
      </w:r>
      <w:r>
        <w:rPr>
          <w:rFonts w:ascii="Arial" w:hAnsi="Arial"/>
          <w:sz w:val="22"/>
          <w:szCs w:val="22"/>
        </w:rPr>
        <w:t xml:space="preserve">). </w:t>
      </w:r>
    </w:p>
    <w:p w14:paraId="29B71B00" w14:textId="70B10B43" w:rsidR="00573394" w:rsidRPr="006A5A7D" w:rsidRDefault="002760EF" w:rsidP="00B54F26">
      <w:pPr>
        <w:pStyle w:val="bodycopy"/>
        <w:rPr>
          <w:rFonts w:ascii="Arial" w:hAnsi="Arial"/>
          <w:sz w:val="22"/>
          <w:szCs w:val="22"/>
          <w:u w:val="single"/>
        </w:rPr>
      </w:pPr>
      <w:r>
        <w:rPr>
          <w:rFonts w:ascii="Arial" w:hAnsi="Arial"/>
          <w:sz w:val="22"/>
          <w:szCs w:val="22"/>
          <w:u w:val="single"/>
        </w:rPr>
        <w:t>Tiger f</w:t>
      </w:r>
      <w:r w:rsidR="00573394" w:rsidRPr="006A5A7D">
        <w:rPr>
          <w:rFonts w:ascii="Arial" w:hAnsi="Arial"/>
          <w:sz w:val="22"/>
          <w:szCs w:val="22"/>
          <w:u w:val="single"/>
        </w:rPr>
        <w:t>lathead</w:t>
      </w:r>
    </w:p>
    <w:p w14:paraId="709399B3" w14:textId="5ABFC9B6" w:rsidR="00573394" w:rsidRPr="006A5A7D" w:rsidRDefault="00331020" w:rsidP="00B54F26">
      <w:pPr>
        <w:pStyle w:val="bodycopy"/>
        <w:rPr>
          <w:rFonts w:ascii="Arial" w:hAnsi="Arial"/>
          <w:sz w:val="22"/>
          <w:szCs w:val="22"/>
        </w:rPr>
      </w:pPr>
      <w:r>
        <w:rPr>
          <w:rFonts w:ascii="Arial" w:hAnsi="Arial"/>
          <w:sz w:val="22"/>
          <w:szCs w:val="22"/>
        </w:rPr>
        <w:t>Based</w:t>
      </w:r>
      <w:r w:rsidR="00FC2FF5">
        <w:rPr>
          <w:rFonts w:ascii="Arial" w:hAnsi="Arial"/>
          <w:sz w:val="22"/>
          <w:szCs w:val="22"/>
        </w:rPr>
        <w:t xml:space="preserve"> </w:t>
      </w:r>
      <w:r>
        <w:rPr>
          <w:rFonts w:ascii="Arial" w:hAnsi="Arial"/>
          <w:sz w:val="22"/>
          <w:szCs w:val="22"/>
        </w:rPr>
        <w:t>on on the description of commercial fisheries in Section 5.6.3, t</w:t>
      </w:r>
      <w:r w:rsidR="00035CDF" w:rsidRPr="006A5A7D">
        <w:rPr>
          <w:rFonts w:ascii="Arial" w:hAnsi="Arial"/>
          <w:sz w:val="22"/>
          <w:szCs w:val="22"/>
        </w:rPr>
        <w:t xml:space="preserve">he key flathead species caught commercially </w:t>
      </w:r>
      <w:r w:rsidR="00694100">
        <w:rPr>
          <w:rFonts w:ascii="Arial" w:hAnsi="Arial"/>
          <w:sz w:val="22"/>
          <w:szCs w:val="22"/>
        </w:rPr>
        <w:t xml:space="preserve">and recreationally </w:t>
      </w:r>
      <w:r w:rsidR="00035CDF" w:rsidRPr="006A5A7D">
        <w:rPr>
          <w:rFonts w:ascii="Arial" w:hAnsi="Arial"/>
          <w:sz w:val="22"/>
          <w:szCs w:val="22"/>
        </w:rPr>
        <w:t xml:space="preserve">off the Victorian coast is the </w:t>
      </w:r>
      <w:r w:rsidR="00866FB5" w:rsidRPr="006A5A7D">
        <w:rPr>
          <w:rFonts w:ascii="Arial" w:hAnsi="Arial"/>
          <w:sz w:val="22"/>
          <w:szCs w:val="22"/>
        </w:rPr>
        <w:t>tiger flathead (</w:t>
      </w:r>
      <w:r w:rsidR="00035CDF" w:rsidRPr="006A5A7D">
        <w:rPr>
          <w:rFonts w:ascii="Arial" w:hAnsi="Arial"/>
          <w:i/>
          <w:sz w:val="22"/>
          <w:szCs w:val="22"/>
        </w:rPr>
        <w:t>Platycephalus richardsoni</w:t>
      </w:r>
      <w:r w:rsidR="00035CDF" w:rsidRPr="006A5A7D">
        <w:rPr>
          <w:rFonts w:ascii="Arial" w:hAnsi="Arial"/>
          <w:sz w:val="22"/>
          <w:szCs w:val="22"/>
        </w:rPr>
        <w:t>). This species is endemic to the continental shelf and slope of south-eastern Australia</w:t>
      </w:r>
      <w:r w:rsidR="00A2048E" w:rsidRPr="006A5A7D">
        <w:rPr>
          <w:rFonts w:ascii="Arial" w:hAnsi="Arial"/>
          <w:sz w:val="22"/>
          <w:szCs w:val="22"/>
        </w:rPr>
        <w:t xml:space="preserve"> and is found in water depths ranging from 10-400 m </w:t>
      </w:r>
      <w:r w:rsidR="00035CDF" w:rsidRPr="006A5A7D">
        <w:rPr>
          <w:rFonts w:ascii="Arial" w:hAnsi="Arial"/>
          <w:sz w:val="22"/>
          <w:szCs w:val="22"/>
        </w:rPr>
        <w:t>(Museums Victoria, 2017</w:t>
      </w:r>
      <w:r w:rsidR="00A2048E" w:rsidRPr="006A5A7D">
        <w:rPr>
          <w:rFonts w:ascii="Arial" w:hAnsi="Arial"/>
          <w:sz w:val="22"/>
          <w:szCs w:val="22"/>
        </w:rPr>
        <w:t>; AFMA, 2017</w:t>
      </w:r>
      <w:r w:rsidR="00EE5673">
        <w:rPr>
          <w:rFonts w:ascii="Arial" w:hAnsi="Arial"/>
          <w:sz w:val="22"/>
          <w:szCs w:val="22"/>
        </w:rPr>
        <w:t>a</w:t>
      </w:r>
      <w:r w:rsidR="00035CDF" w:rsidRPr="006A5A7D">
        <w:rPr>
          <w:rFonts w:ascii="Arial" w:hAnsi="Arial"/>
          <w:sz w:val="22"/>
          <w:szCs w:val="22"/>
        </w:rPr>
        <w:t>). It grows to a maximum length of 70 cm and has a maximum weight of 3 kg, but more commonly reach</w:t>
      </w:r>
      <w:r w:rsidR="00A82B40" w:rsidRPr="006A5A7D">
        <w:rPr>
          <w:rFonts w:ascii="Arial" w:hAnsi="Arial"/>
          <w:sz w:val="22"/>
          <w:szCs w:val="22"/>
        </w:rPr>
        <w:t>es</w:t>
      </w:r>
      <w:r w:rsidR="00035CDF" w:rsidRPr="006A5A7D">
        <w:rPr>
          <w:rFonts w:ascii="Arial" w:hAnsi="Arial"/>
          <w:sz w:val="22"/>
          <w:szCs w:val="22"/>
        </w:rPr>
        <w:t xml:space="preserve"> 1.3 kg in weight. Tiger flathead feed on other fish and benthic crustaceans</w:t>
      </w:r>
      <w:r w:rsidR="00DE6C37" w:rsidRPr="006A5A7D">
        <w:rPr>
          <w:rFonts w:ascii="Arial" w:hAnsi="Arial"/>
          <w:sz w:val="22"/>
          <w:szCs w:val="22"/>
        </w:rPr>
        <w:t>, and unusually for flathead, they possess a swim bladder that allows them to feed in the water column</w:t>
      </w:r>
      <w:r w:rsidR="00A2048E" w:rsidRPr="006A5A7D">
        <w:rPr>
          <w:rFonts w:ascii="Arial" w:hAnsi="Arial"/>
          <w:sz w:val="22"/>
          <w:szCs w:val="22"/>
        </w:rPr>
        <w:t xml:space="preserve"> (Museums Victoria, 2017)</w:t>
      </w:r>
      <w:r w:rsidR="00DE6C37" w:rsidRPr="006A5A7D">
        <w:rPr>
          <w:rFonts w:ascii="Arial" w:hAnsi="Arial"/>
          <w:sz w:val="22"/>
          <w:szCs w:val="22"/>
        </w:rPr>
        <w:t>.</w:t>
      </w:r>
    </w:p>
    <w:p w14:paraId="19594629" w14:textId="0AAA2722" w:rsidR="00A2048E" w:rsidRPr="006A5A7D" w:rsidRDefault="00A2048E" w:rsidP="00B54F26">
      <w:pPr>
        <w:pStyle w:val="bodycopy"/>
        <w:rPr>
          <w:rFonts w:ascii="Arial" w:hAnsi="Arial"/>
          <w:sz w:val="22"/>
          <w:szCs w:val="22"/>
        </w:rPr>
      </w:pPr>
      <w:r w:rsidRPr="006A5A7D">
        <w:rPr>
          <w:rFonts w:ascii="Arial" w:hAnsi="Arial"/>
          <w:sz w:val="22"/>
          <w:szCs w:val="22"/>
        </w:rPr>
        <w:t xml:space="preserve">Tiger flathead reach reproductive maturity at 3-5 years of age, and spawning occurs </w:t>
      </w:r>
      <w:r w:rsidR="006A5A7D" w:rsidRPr="006A5A7D">
        <w:rPr>
          <w:rFonts w:ascii="Arial" w:hAnsi="Arial"/>
          <w:sz w:val="22"/>
          <w:szCs w:val="22"/>
        </w:rPr>
        <w:t xml:space="preserve">over an extended period from spring to autumn, with timing dependent on location. </w:t>
      </w:r>
      <w:r w:rsidR="008B45CA">
        <w:rPr>
          <w:rFonts w:ascii="Arial" w:hAnsi="Arial"/>
          <w:sz w:val="22"/>
          <w:szCs w:val="22"/>
        </w:rPr>
        <w:t xml:space="preserve">Information provided by SIV indicates spawning occurs from December to February. </w:t>
      </w:r>
      <w:r w:rsidR="006A5A7D" w:rsidRPr="006A5A7D">
        <w:rPr>
          <w:rFonts w:ascii="Arial" w:hAnsi="Arial"/>
          <w:sz w:val="22"/>
          <w:szCs w:val="22"/>
        </w:rPr>
        <w:t>Females produce 1.5-2.5 million eggs per spawning season (AFMA, 2017</w:t>
      </w:r>
      <w:r w:rsidR="00EE5673">
        <w:rPr>
          <w:rFonts w:ascii="Arial" w:hAnsi="Arial"/>
          <w:sz w:val="22"/>
          <w:szCs w:val="22"/>
        </w:rPr>
        <w:t>a</w:t>
      </w:r>
      <w:r w:rsidR="006A5A7D" w:rsidRPr="006A5A7D">
        <w:rPr>
          <w:rFonts w:ascii="Arial" w:hAnsi="Arial"/>
          <w:sz w:val="22"/>
          <w:szCs w:val="22"/>
        </w:rPr>
        <w:t xml:space="preserve">). </w:t>
      </w:r>
    </w:p>
    <w:p w14:paraId="712E5544" w14:textId="77777777" w:rsidR="002760EF" w:rsidRPr="005A12FB" w:rsidRDefault="002760EF" w:rsidP="002760EF">
      <w:pPr>
        <w:pStyle w:val="bodycopy"/>
        <w:rPr>
          <w:rFonts w:ascii="Arial" w:hAnsi="Arial"/>
          <w:sz w:val="22"/>
          <w:szCs w:val="22"/>
          <w:u w:val="single"/>
        </w:rPr>
      </w:pPr>
      <w:r>
        <w:rPr>
          <w:rFonts w:ascii="Arial" w:hAnsi="Arial"/>
          <w:sz w:val="22"/>
          <w:szCs w:val="22"/>
          <w:u w:val="single"/>
        </w:rPr>
        <w:t>Southern s</w:t>
      </w:r>
      <w:r w:rsidRPr="005A12FB">
        <w:rPr>
          <w:rFonts w:ascii="Arial" w:hAnsi="Arial"/>
          <w:sz w:val="22"/>
          <w:szCs w:val="22"/>
          <w:u w:val="single"/>
        </w:rPr>
        <w:t>and flathead</w:t>
      </w:r>
    </w:p>
    <w:p w14:paraId="198A04CC" w14:textId="77777777" w:rsidR="002760EF" w:rsidRDefault="002760EF" w:rsidP="002760EF">
      <w:pPr>
        <w:pStyle w:val="bodycopy"/>
        <w:rPr>
          <w:rFonts w:ascii="Arial" w:hAnsi="Arial"/>
          <w:sz w:val="22"/>
          <w:szCs w:val="22"/>
        </w:rPr>
      </w:pPr>
      <w:r>
        <w:rPr>
          <w:rFonts w:ascii="Arial" w:hAnsi="Arial"/>
          <w:sz w:val="22"/>
          <w:szCs w:val="22"/>
        </w:rPr>
        <w:t>The southern sand flathead (</w:t>
      </w:r>
      <w:r w:rsidRPr="006A5A7D">
        <w:rPr>
          <w:rFonts w:ascii="Arial" w:hAnsi="Arial"/>
          <w:i/>
          <w:sz w:val="22"/>
          <w:szCs w:val="22"/>
        </w:rPr>
        <w:t>Platycephalus</w:t>
      </w:r>
      <w:r>
        <w:rPr>
          <w:rFonts w:ascii="Arial" w:hAnsi="Arial"/>
          <w:i/>
          <w:sz w:val="22"/>
          <w:szCs w:val="22"/>
        </w:rPr>
        <w:t xml:space="preserve"> bassensis</w:t>
      </w:r>
      <w:r>
        <w:rPr>
          <w:rFonts w:ascii="Arial" w:hAnsi="Arial"/>
          <w:sz w:val="22"/>
          <w:szCs w:val="22"/>
        </w:rPr>
        <w:t xml:space="preserve">) is endemic to temperate coastal waters of southern Australia, and is common in Victoria. About 95% of catch effort is recreational (FRDC, 2017). This flathead lives on sandy, muddy or shelly bottoms in shallow coastal bays to depths of about 100 m (Museums Victoria, 2017). This species grows to a maximum length of 55 cm and weighs up to 1.3 kg. Southern sand flathead is an ambush predator that feeds on other fish and benthic crustaceans (Museums Victoria, 2017). Females spawn from late winter to December, with eggs and larvae being pelagic. </w:t>
      </w:r>
    </w:p>
    <w:p w14:paraId="5EE6B995" w14:textId="77777777" w:rsidR="002760EF" w:rsidRPr="005A12FB" w:rsidRDefault="002760EF" w:rsidP="002760EF">
      <w:pPr>
        <w:pStyle w:val="bodycopy"/>
        <w:rPr>
          <w:rFonts w:ascii="Arial" w:hAnsi="Arial"/>
          <w:sz w:val="22"/>
          <w:szCs w:val="22"/>
          <w:u w:val="single"/>
        </w:rPr>
      </w:pPr>
      <w:r w:rsidRPr="005A12FB">
        <w:rPr>
          <w:rFonts w:ascii="Arial" w:hAnsi="Arial"/>
          <w:sz w:val="22"/>
          <w:szCs w:val="22"/>
          <w:u w:val="single"/>
        </w:rPr>
        <w:t>Dusky f</w:t>
      </w:r>
      <w:r>
        <w:rPr>
          <w:rFonts w:ascii="Arial" w:hAnsi="Arial"/>
          <w:sz w:val="22"/>
          <w:szCs w:val="22"/>
          <w:u w:val="single"/>
        </w:rPr>
        <w:t>l</w:t>
      </w:r>
      <w:r w:rsidRPr="005A12FB">
        <w:rPr>
          <w:rFonts w:ascii="Arial" w:hAnsi="Arial"/>
          <w:sz w:val="22"/>
          <w:szCs w:val="22"/>
          <w:u w:val="single"/>
        </w:rPr>
        <w:t>athead</w:t>
      </w:r>
    </w:p>
    <w:p w14:paraId="546A812A" w14:textId="77777777" w:rsidR="002760EF" w:rsidRDefault="002760EF" w:rsidP="002760EF">
      <w:pPr>
        <w:pStyle w:val="bodycopy"/>
        <w:rPr>
          <w:rFonts w:ascii="Arial" w:hAnsi="Arial"/>
          <w:sz w:val="22"/>
          <w:szCs w:val="22"/>
        </w:rPr>
      </w:pPr>
      <w:r>
        <w:rPr>
          <w:rFonts w:ascii="Arial" w:hAnsi="Arial"/>
          <w:sz w:val="22"/>
          <w:szCs w:val="22"/>
        </w:rPr>
        <w:t>The dusky flathead (</w:t>
      </w:r>
      <w:r w:rsidRPr="005A12FB">
        <w:rPr>
          <w:rFonts w:ascii="Arial" w:hAnsi="Arial"/>
          <w:i/>
          <w:iCs/>
          <w:sz w:val="22"/>
          <w:szCs w:val="22"/>
        </w:rPr>
        <w:t>Platycephalus fuscus</w:t>
      </w:r>
      <w:r>
        <w:rPr>
          <w:rFonts w:ascii="Arial" w:hAnsi="Arial"/>
          <w:sz w:val="22"/>
          <w:szCs w:val="22"/>
        </w:rPr>
        <w:t>) is a common flathead in eastern Australia (from Cairns in Queensland to the Gippsland Lakes), found on sandy and silty bottoms in estuaries, coastal bays and sheltered reefs in water depths up to 25 m (Museums Victoria, 2017). It is the largest Australian flathead species, growing to a maximum length of 1.2 m and can attain a weight of 15 kg (but typically less than 6 kg) and is noted as being a very important recreational fish target (Museums Victoria, 2017). The FRDC (2017) notes that most catches of this species in Victoria are in the Gippsland Lakes</w:t>
      </w:r>
    </w:p>
    <w:p w14:paraId="14EA01A6" w14:textId="77777777" w:rsidR="002760EF" w:rsidRDefault="002760EF" w:rsidP="002760EF">
      <w:pPr>
        <w:pStyle w:val="bodycopy"/>
        <w:rPr>
          <w:rFonts w:ascii="Arial" w:hAnsi="Arial"/>
          <w:sz w:val="22"/>
          <w:szCs w:val="22"/>
        </w:rPr>
      </w:pPr>
      <w:r>
        <w:rPr>
          <w:rFonts w:ascii="Arial" w:hAnsi="Arial"/>
          <w:sz w:val="22"/>
          <w:szCs w:val="22"/>
        </w:rPr>
        <w:t>The dusky flathead is predator that feeds on other fish, crustaceans and sand-dwelling squid (Museums Victoria, 2017). Females take about 4 years to reach sexual maturity and release between 294,000 to 3.95 million eggs (Museums Victoria, 2017) or up to 4.8 million egss (FRDC, 2017) during spawning (spawning period is not defined).</w:t>
      </w:r>
    </w:p>
    <w:p w14:paraId="704E0B87" w14:textId="77777777" w:rsidR="002760EF" w:rsidRPr="005A12FB" w:rsidRDefault="002760EF" w:rsidP="002760EF">
      <w:pPr>
        <w:pStyle w:val="bodycopy"/>
        <w:rPr>
          <w:rFonts w:ascii="Arial" w:hAnsi="Arial"/>
          <w:sz w:val="22"/>
          <w:szCs w:val="22"/>
          <w:u w:val="single"/>
        </w:rPr>
      </w:pPr>
      <w:r w:rsidRPr="005A12FB">
        <w:rPr>
          <w:rFonts w:ascii="Arial" w:hAnsi="Arial"/>
          <w:sz w:val="22"/>
          <w:szCs w:val="22"/>
          <w:u w:val="single"/>
        </w:rPr>
        <w:t>Yelloweye mullet</w:t>
      </w:r>
    </w:p>
    <w:p w14:paraId="7D1D2C28" w14:textId="77777777" w:rsidR="002760EF" w:rsidRDefault="002760EF" w:rsidP="002760EF">
      <w:pPr>
        <w:pStyle w:val="bodycopy"/>
        <w:rPr>
          <w:sz w:val="20"/>
        </w:rPr>
      </w:pPr>
      <w:r>
        <w:rPr>
          <w:rFonts w:ascii="Arial" w:hAnsi="Arial"/>
          <w:sz w:val="22"/>
          <w:szCs w:val="22"/>
        </w:rPr>
        <w:t>The yelloweye mullet (</w:t>
      </w:r>
      <w:r w:rsidRPr="005A12FB">
        <w:rPr>
          <w:rFonts w:ascii="Arial" w:hAnsi="Arial"/>
          <w:i/>
          <w:iCs/>
          <w:sz w:val="22"/>
          <w:szCs w:val="22"/>
        </w:rPr>
        <w:t>Aldrichetta forsteri</w:t>
      </w:r>
      <w:r w:rsidRPr="002807DE">
        <w:rPr>
          <w:rFonts w:ascii="Arial" w:hAnsi="Arial"/>
          <w:sz w:val="22"/>
          <w:szCs w:val="22"/>
        </w:rPr>
        <w:t>)</w:t>
      </w:r>
      <w:r>
        <w:rPr>
          <w:rFonts w:ascii="Arial" w:hAnsi="Arial"/>
          <w:sz w:val="22"/>
          <w:szCs w:val="22"/>
        </w:rPr>
        <w:t xml:space="preserve"> is the most common mullet species found in southern Australian waters, and is a small fish usually growing to about 30 cm in length (Museums Victoria, 2017; FRDC, 2017). This species forms schools in shallow waters (up to 10 m) over sandy and muddy bottoms or seagrass beds in bays and </w:t>
      </w:r>
      <w:r>
        <w:rPr>
          <w:rFonts w:ascii="Arial" w:hAnsi="Arial"/>
          <w:sz w:val="22"/>
          <w:szCs w:val="22"/>
        </w:rPr>
        <w:lastRenderedPageBreak/>
        <w:t xml:space="preserve">estuaries (Museums Victoria, 2017). Yelloweye mullet feeds on plant, animal and detrital material, with the adults </w:t>
      </w:r>
      <w:r>
        <w:rPr>
          <w:sz w:val="20"/>
        </w:rPr>
        <w:t xml:space="preserve">mostly scavenging on organic matter, and juveniles feeding on plankton and small benthic invertebrates. The eastern population spawns during summer </w:t>
      </w:r>
      <w:r>
        <w:rPr>
          <w:rFonts w:ascii="Arial" w:hAnsi="Arial"/>
          <w:sz w:val="22"/>
          <w:szCs w:val="22"/>
        </w:rPr>
        <w:t>(Museums Victoria, 2017)</w:t>
      </w:r>
      <w:r>
        <w:rPr>
          <w:sz w:val="20"/>
        </w:rPr>
        <w:t xml:space="preserve">. </w:t>
      </w:r>
    </w:p>
    <w:p w14:paraId="71AA9AB2" w14:textId="5A15E7D7" w:rsidR="002760EF" w:rsidRPr="002760EF" w:rsidRDefault="002760EF" w:rsidP="00B54F26">
      <w:pPr>
        <w:pStyle w:val="bodycopy"/>
        <w:rPr>
          <w:rFonts w:ascii="Arial" w:hAnsi="Arial"/>
          <w:sz w:val="22"/>
          <w:szCs w:val="22"/>
        </w:rPr>
      </w:pPr>
      <w:r>
        <w:rPr>
          <w:sz w:val="20"/>
        </w:rPr>
        <w:t>In Victoria, the greatest catches of yelloweye mullet are from the Gippsland Lakes, Corner Inlet and Port Phillip Bay, with catches in the Gippsland Lakes (mostly by mesh net) declining over the last 30 years. The estimated catch across Victoria for 2015/16 was 35 tonnes (FRDC, 2017).</w:t>
      </w:r>
    </w:p>
    <w:p w14:paraId="65444AC4" w14:textId="6545B6B0" w:rsidR="00573394" w:rsidRPr="002F643A" w:rsidRDefault="00573394" w:rsidP="00B54F26">
      <w:pPr>
        <w:pStyle w:val="bodycopy"/>
        <w:rPr>
          <w:rFonts w:ascii="Arial" w:hAnsi="Arial"/>
          <w:sz w:val="22"/>
          <w:szCs w:val="22"/>
          <w:u w:val="single"/>
        </w:rPr>
      </w:pPr>
      <w:r w:rsidRPr="002F643A">
        <w:rPr>
          <w:rFonts w:ascii="Arial" w:hAnsi="Arial"/>
          <w:sz w:val="22"/>
          <w:szCs w:val="22"/>
          <w:u w:val="single"/>
        </w:rPr>
        <w:t>Whiting</w:t>
      </w:r>
    </w:p>
    <w:p w14:paraId="07F536D8" w14:textId="1B73736C" w:rsidR="00573394" w:rsidRDefault="00FC2FF5" w:rsidP="00B54F26">
      <w:pPr>
        <w:pStyle w:val="bodycopy"/>
        <w:rPr>
          <w:rFonts w:ascii="Arial" w:hAnsi="Arial"/>
          <w:sz w:val="22"/>
          <w:szCs w:val="22"/>
        </w:rPr>
      </w:pPr>
      <w:r>
        <w:rPr>
          <w:rFonts w:ascii="Arial" w:hAnsi="Arial"/>
          <w:sz w:val="22"/>
          <w:szCs w:val="22"/>
        </w:rPr>
        <w:t xml:space="preserve">Based on on the description of commercial fisheries in Section 5.6.3, the key whiting species caught in the EMBA is the eastern </w:t>
      </w:r>
      <w:r w:rsidR="00866FB5">
        <w:rPr>
          <w:rFonts w:ascii="Arial" w:hAnsi="Arial"/>
          <w:sz w:val="22"/>
          <w:szCs w:val="22"/>
        </w:rPr>
        <w:t>school whiting (</w:t>
      </w:r>
      <w:r w:rsidR="00866FB5" w:rsidRPr="00FC2FF5">
        <w:rPr>
          <w:rFonts w:ascii="Arial" w:hAnsi="Arial"/>
          <w:i/>
          <w:sz w:val="22"/>
          <w:szCs w:val="22"/>
        </w:rPr>
        <w:t>Sillago flindersi</w:t>
      </w:r>
      <w:r w:rsidR="00866FB5">
        <w:rPr>
          <w:rFonts w:ascii="Arial" w:hAnsi="Arial"/>
          <w:sz w:val="22"/>
          <w:szCs w:val="22"/>
        </w:rPr>
        <w:t>)</w:t>
      </w:r>
      <w:r>
        <w:rPr>
          <w:rFonts w:ascii="Arial" w:hAnsi="Arial"/>
          <w:sz w:val="22"/>
          <w:szCs w:val="22"/>
        </w:rPr>
        <w:t>. This species lives up to 7 years and grows to about 33 cm in length and up to 200 grams in weight (AFMA, 2017</w:t>
      </w:r>
      <w:r w:rsidR="00EE5673">
        <w:rPr>
          <w:rFonts w:ascii="Arial" w:hAnsi="Arial"/>
          <w:sz w:val="22"/>
          <w:szCs w:val="22"/>
        </w:rPr>
        <w:t>a</w:t>
      </w:r>
      <w:r>
        <w:rPr>
          <w:rFonts w:ascii="Arial" w:hAnsi="Arial"/>
          <w:sz w:val="22"/>
          <w:szCs w:val="22"/>
        </w:rPr>
        <w:t xml:space="preserve">). Eastern school whiting is a benthic species </w:t>
      </w:r>
      <w:r w:rsidR="004826C7">
        <w:rPr>
          <w:rFonts w:ascii="Arial" w:hAnsi="Arial"/>
          <w:sz w:val="22"/>
          <w:szCs w:val="22"/>
        </w:rPr>
        <w:t>found in tidal flats to waters as deep as 180 m and are normally associated with sandy seabed. They prey on crustaceans, molluscs and polychaetes and are in turn preyed upon by larger fish, birds and dolphins (AFMA, 2017</w:t>
      </w:r>
      <w:r w:rsidR="00EE5673">
        <w:rPr>
          <w:rFonts w:ascii="Arial" w:hAnsi="Arial"/>
          <w:sz w:val="22"/>
          <w:szCs w:val="22"/>
        </w:rPr>
        <w:t>a</w:t>
      </w:r>
      <w:r w:rsidR="004826C7">
        <w:rPr>
          <w:rFonts w:ascii="Arial" w:hAnsi="Arial"/>
          <w:sz w:val="22"/>
          <w:szCs w:val="22"/>
        </w:rPr>
        <w:t xml:space="preserve">). </w:t>
      </w:r>
    </w:p>
    <w:p w14:paraId="07551409" w14:textId="2C797111" w:rsidR="00B2616E" w:rsidRDefault="004826C7" w:rsidP="00B54F26">
      <w:pPr>
        <w:pStyle w:val="bodycopy"/>
        <w:rPr>
          <w:rFonts w:ascii="Arial" w:hAnsi="Arial"/>
          <w:sz w:val="22"/>
          <w:szCs w:val="22"/>
        </w:rPr>
      </w:pPr>
      <w:r>
        <w:rPr>
          <w:rFonts w:ascii="Arial" w:hAnsi="Arial"/>
          <w:sz w:val="22"/>
          <w:szCs w:val="22"/>
        </w:rPr>
        <w:t>Eastern school whiting reach reproductive maturity at about 2 years of age, with spawning occurring from October to March in eastern Bass Strait</w:t>
      </w:r>
      <w:r w:rsidR="00AA2756">
        <w:rPr>
          <w:rFonts w:ascii="Arial" w:hAnsi="Arial"/>
          <w:sz w:val="22"/>
          <w:szCs w:val="22"/>
        </w:rPr>
        <w:t>, with females producing 30,000-110,000 eggs per spawning season and spawning twice each year in deeper waters (AFMA, 2017</w:t>
      </w:r>
      <w:r w:rsidR="00EE5673">
        <w:rPr>
          <w:rFonts w:ascii="Arial" w:hAnsi="Arial"/>
          <w:sz w:val="22"/>
          <w:szCs w:val="22"/>
        </w:rPr>
        <w:t>a</w:t>
      </w:r>
      <w:r w:rsidR="00AA2756">
        <w:rPr>
          <w:rFonts w:ascii="Arial" w:hAnsi="Arial"/>
          <w:sz w:val="22"/>
          <w:szCs w:val="22"/>
        </w:rPr>
        <w:t xml:space="preserve">). </w:t>
      </w:r>
      <w:r w:rsidR="008B45CA">
        <w:rPr>
          <w:rFonts w:ascii="Arial" w:hAnsi="Arial"/>
          <w:sz w:val="22"/>
          <w:szCs w:val="22"/>
        </w:rPr>
        <w:t>Information provided by SIV indicates spawning occurs from September to February.</w:t>
      </w:r>
    </w:p>
    <w:p w14:paraId="36476B59" w14:textId="77777777" w:rsidR="00A316C1" w:rsidRPr="00D54428" w:rsidRDefault="00A316C1" w:rsidP="00A316C1">
      <w:pPr>
        <w:pStyle w:val="Heading3"/>
      </w:pPr>
      <w:bookmarkStart w:id="258" w:name="_Toc474222012"/>
      <w:bookmarkStart w:id="259" w:name="_Ref476129735"/>
      <w:bookmarkStart w:id="260" w:name="_Ref476661234"/>
      <w:bookmarkStart w:id="261" w:name="_Ref478460400"/>
      <w:bookmarkStart w:id="262" w:name="_Ref478635116"/>
      <w:bookmarkStart w:id="263" w:name="_Ref480275402"/>
      <w:bookmarkStart w:id="264" w:name="_Toc375214562"/>
      <w:r>
        <w:t>Cetaceans</w:t>
      </w:r>
      <w:bookmarkEnd w:id="258"/>
      <w:bookmarkEnd w:id="259"/>
      <w:bookmarkEnd w:id="260"/>
      <w:bookmarkEnd w:id="261"/>
      <w:bookmarkEnd w:id="262"/>
      <w:bookmarkEnd w:id="263"/>
      <w:bookmarkEnd w:id="264"/>
    </w:p>
    <w:p w14:paraId="6CEE0B33" w14:textId="764A5BA2" w:rsidR="00A316C1" w:rsidRPr="008E22DD" w:rsidRDefault="00930945" w:rsidP="00A316C1">
      <w:pPr>
        <w:pStyle w:val="bodycopy"/>
        <w:rPr>
          <w:rFonts w:ascii="Arial" w:hAnsi="Arial"/>
          <w:sz w:val="22"/>
          <w:szCs w:val="22"/>
        </w:rPr>
      </w:pPr>
      <w:r w:rsidRPr="00455423">
        <w:rPr>
          <w:rFonts w:ascii="Arial" w:hAnsi="Arial"/>
          <w:sz w:val="22"/>
          <w:szCs w:val="22"/>
        </w:rPr>
        <w:t xml:space="preserve">The PMST indicates that </w:t>
      </w:r>
      <w:r w:rsidR="00894EC8" w:rsidRPr="00455423">
        <w:rPr>
          <w:rFonts w:ascii="Arial" w:hAnsi="Arial"/>
          <w:sz w:val="22"/>
          <w:szCs w:val="22"/>
        </w:rPr>
        <w:t>2</w:t>
      </w:r>
      <w:r w:rsidR="00B25177" w:rsidRPr="00455423">
        <w:rPr>
          <w:rFonts w:ascii="Arial" w:hAnsi="Arial"/>
          <w:sz w:val="22"/>
          <w:szCs w:val="22"/>
        </w:rPr>
        <w:t>3</w:t>
      </w:r>
      <w:r w:rsidRPr="00455423">
        <w:rPr>
          <w:rFonts w:ascii="Arial" w:hAnsi="Arial"/>
          <w:sz w:val="22"/>
          <w:szCs w:val="22"/>
        </w:rPr>
        <w:t xml:space="preserve"> whale species and </w:t>
      </w:r>
      <w:r w:rsidR="00B25177" w:rsidRPr="00455423">
        <w:rPr>
          <w:rFonts w:ascii="Arial" w:hAnsi="Arial"/>
          <w:sz w:val="22"/>
          <w:szCs w:val="22"/>
        </w:rPr>
        <w:t>seven</w:t>
      </w:r>
      <w:r w:rsidRPr="00455423">
        <w:rPr>
          <w:rFonts w:ascii="Arial" w:hAnsi="Arial"/>
          <w:sz w:val="22"/>
          <w:szCs w:val="22"/>
        </w:rPr>
        <w:t xml:space="preserve"> dolphin species may reside within or migrate through the </w:t>
      </w:r>
      <w:r w:rsidRPr="00A82B40">
        <w:rPr>
          <w:rFonts w:ascii="Arial" w:hAnsi="Arial"/>
          <w:sz w:val="22"/>
          <w:szCs w:val="22"/>
        </w:rPr>
        <w:t xml:space="preserve">EMBA  </w:t>
      </w:r>
      <w:r w:rsidR="00A316C1" w:rsidRPr="008E22DD">
        <w:rPr>
          <w:rFonts w:ascii="Arial" w:hAnsi="Arial"/>
          <w:sz w:val="22"/>
          <w:szCs w:val="22"/>
        </w:rPr>
        <w:t xml:space="preserve">(Table </w:t>
      </w:r>
      <w:r w:rsidR="00944F92" w:rsidRPr="008E22DD">
        <w:rPr>
          <w:rFonts w:ascii="Arial" w:hAnsi="Arial"/>
          <w:sz w:val="22"/>
          <w:szCs w:val="22"/>
        </w:rPr>
        <w:t>5</w:t>
      </w:r>
      <w:r w:rsidR="00A316C1" w:rsidRPr="008E22DD">
        <w:rPr>
          <w:rFonts w:ascii="Arial" w:hAnsi="Arial"/>
          <w:sz w:val="22"/>
          <w:szCs w:val="22"/>
        </w:rPr>
        <w:t>.</w:t>
      </w:r>
      <w:r w:rsidR="00101658" w:rsidRPr="008E22DD">
        <w:rPr>
          <w:rFonts w:ascii="Arial" w:hAnsi="Arial"/>
          <w:sz w:val="22"/>
          <w:szCs w:val="22"/>
        </w:rPr>
        <w:t>8</w:t>
      </w:r>
      <w:r w:rsidR="00A316C1" w:rsidRPr="008E22DD">
        <w:rPr>
          <w:rFonts w:ascii="Arial" w:hAnsi="Arial"/>
          <w:sz w:val="22"/>
          <w:szCs w:val="22"/>
        </w:rPr>
        <w:t xml:space="preserve">). </w:t>
      </w:r>
      <w:r w:rsidR="00944F92" w:rsidRPr="008E22DD">
        <w:rPr>
          <w:rFonts w:ascii="Arial" w:hAnsi="Arial"/>
          <w:sz w:val="22"/>
          <w:szCs w:val="22"/>
        </w:rPr>
        <w:t>A description of species listed in Table 5.</w:t>
      </w:r>
      <w:r w:rsidR="00101658" w:rsidRPr="008E22DD">
        <w:rPr>
          <w:rFonts w:ascii="Arial" w:hAnsi="Arial"/>
          <w:sz w:val="22"/>
          <w:szCs w:val="22"/>
        </w:rPr>
        <w:t>8</w:t>
      </w:r>
      <w:r w:rsidR="00944F92" w:rsidRPr="008E22DD">
        <w:rPr>
          <w:rFonts w:ascii="Arial" w:hAnsi="Arial"/>
          <w:sz w:val="22"/>
          <w:szCs w:val="22"/>
        </w:rPr>
        <w:t xml:space="preserve"> is focused on </w:t>
      </w:r>
      <w:r w:rsidR="00A316C1" w:rsidRPr="008E22DD">
        <w:rPr>
          <w:rFonts w:ascii="Arial" w:hAnsi="Arial"/>
          <w:sz w:val="22"/>
          <w:szCs w:val="22"/>
        </w:rPr>
        <w:t xml:space="preserve">threatened and migratory species. </w:t>
      </w:r>
    </w:p>
    <w:p w14:paraId="03308384" w14:textId="3E5A4B65" w:rsidR="00B53EE4" w:rsidRPr="008E22DD" w:rsidRDefault="00B53EE4" w:rsidP="00AC0402">
      <w:pPr>
        <w:pStyle w:val="bodycopy"/>
        <w:spacing w:after="240"/>
        <w:rPr>
          <w:rFonts w:ascii="Arial" w:hAnsi="Arial"/>
          <w:sz w:val="22"/>
          <w:szCs w:val="22"/>
        </w:rPr>
      </w:pPr>
      <w:r w:rsidRPr="008E22DD">
        <w:rPr>
          <w:rFonts w:ascii="Arial" w:hAnsi="Arial"/>
          <w:sz w:val="22"/>
          <w:szCs w:val="22"/>
        </w:rPr>
        <w:t xml:space="preserve">A search of the VBA database indicates that seven whale </w:t>
      </w:r>
      <w:r w:rsidR="006A7CDA" w:rsidRPr="008E22DD">
        <w:rPr>
          <w:rFonts w:ascii="Arial" w:hAnsi="Arial"/>
          <w:sz w:val="22"/>
          <w:szCs w:val="22"/>
        </w:rPr>
        <w:t xml:space="preserve">species (minke, blue, southern right, humpback, sperm, pygmy sperm and false killer whales) </w:t>
      </w:r>
      <w:r w:rsidRPr="008E22DD">
        <w:rPr>
          <w:rFonts w:ascii="Arial" w:hAnsi="Arial"/>
          <w:sz w:val="22"/>
          <w:szCs w:val="22"/>
        </w:rPr>
        <w:t xml:space="preserve">and three dolphin species </w:t>
      </w:r>
      <w:r w:rsidR="006A7CDA" w:rsidRPr="008E22DD">
        <w:rPr>
          <w:rFonts w:ascii="Arial" w:hAnsi="Arial"/>
          <w:sz w:val="22"/>
          <w:szCs w:val="22"/>
        </w:rPr>
        <w:t xml:space="preserve">(common, killer whale and bottlenose dolphins) </w:t>
      </w:r>
      <w:r w:rsidRPr="008E22DD">
        <w:rPr>
          <w:rFonts w:ascii="Arial" w:hAnsi="Arial"/>
          <w:sz w:val="22"/>
          <w:szCs w:val="22"/>
        </w:rPr>
        <w:t>have been recorded in the EMBA. All these species are captured under the PMST as listed in Table 5.</w:t>
      </w:r>
      <w:r w:rsidR="00101658" w:rsidRPr="008E22DD">
        <w:rPr>
          <w:rFonts w:ascii="Arial" w:hAnsi="Arial"/>
          <w:sz w:val="22"/>
          <w:szCs w:val="22"/>
        </w:rPr>
        <w:t>8</w:t>
      </w:r>
      <w:r w:rsidRPr="008E22DD">
        <w:rPr>
          <w:rFonts w:ascii="Arial" w:hAnsi="Arial"/>
          <w:sz w:val="22"/>
          <w:szCs w:val="22"/>
        </w:rPr>
        <w:t xml:space="preserve">. </w:t>
      </w:r>
    </w:p>
    <w:p w14:paraId="7732064A" w14:textId="1DAA3F21" w:rsidR="00BF60E0" w:rsidRPr="00455423" w:rsidRDefault="00BF60E0" w:rsidP="00BF60E0">
      <w:pPr>
        <w:pStyle w:val="TableHeader"/>
        <w:spacing w:after="120"/>
        <w:jc w:val="center"/>
        <w:rPr>
          <w:rFonts w:cs="Arial"/>
          <w:sz w:val="20"/>
          <w:szCs w:val="20"/>
        </w:rPr>
      </w:pPr>
      <w:r w:rsidRPr="00455423">
        <w:rPr>
          <w:rFonts w:cs="Arial"/>
          <w:sz w:val="20"/>
          <w:szCs w:val="20"/>
        </w:rPr>
        <w:t>Table 5.</w:t>
      </w:r>
      <w:r w:rsidR="00101658">
        <w:rPr>
          <w:rFonts w:cs="Arial"/>
          <w:sz w:val="20"/>
          <w:szCs w:val="20"/>
        </w:rPr>
        <w:t>8</w:t>
      </w:r>
      <w:r w:rsidRPr="00455423">
        <w:rPr>
          <w:rFonts w:cs="Arial"/>
          <w:sz w:val="20"/>
          <w:szCs w:val="20"/>
        </w:rPr>
        <w:t>.</w:t>
      </w:r>
      <w:r w:rsidRPr="00455423">
        <w:rPr>
          <w:rFonts w:cs="Arial"/>
          <w:sz w:val="20"/>
          <w:szCs w:val="20"/>
        </w:rPr>
        <w:tab/>
        <w:t>EPBC Act-listed cetaceans that may occur in the EMBA</w:t>
      </w:r>
    </w:p>
    <w:tbl>
      <w:tblPr>
        <w:tblW w:w="56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19"/>
        <w:gridCol w:w="1396"/>
        <w:gridCol w:w="1291"/>
        <w:gridCol w:w="1137"/>
        <w:gridCol w:w="1137"/>
        <w:gridCol w:w="993"/>
        <w:gridCol w:w="993"/>
        <w:gridCol w:w="1137"/>
      </w:tblGrid>
      <w:tr w:rsidR="00E43215" w:rsidRPr="00AA17B3" w14:paraId="51F0F5BA" w14:textId="77777777" w:rsidTr="00891DE1">
        <w:trPr>
          <w:trHeight w:val="345"/>
          <w:tblHeader/>
          <w:jc w:val="center"/>
        </w:trPr>
        <w:tc>
          <w:tcPr>
            <w:tcW w:w="791" w:type="pct"/>
            <w:vMerge w:val="restart"/>
            <w:tcBorders>
              <w:top w:val="single" w:sz="4" w:space="0" w:color="auto"/>
              <w:left w:val="single" w:sz="4" w:space="0" w:color="auto"/>
              <w:right w:val="single" w:sz="4" w:space="0" w:color="auto"/>
            </w:tcBorders>
            <w:shd w:val="clear" w:color="auto" w:fill="064EA8"/>
            <w:vAlign w:val="center"/>
          </w:tcPr>
          <w:p w14:paraId="55282C96" w14:textId="606C446B" w:rsidR="00E43215" w:rsidRPr="00AA17B3" w:rsidRDefault="00E43215" w:rsidP="000D482E">
            <w:pPr>
              <w:spacing w:before="60" w:after="60"/>
              <w:ind w:left="93" w:hanging="93"/>
              <w:rPr>
                <w:rFonts w:cs="Arial"/>
                <w:color w:val="FFFFFF" w:themeColor="background1"/>
                <w:sz w:val="20"/>
                <w:szCs w:val="20"/>
              </w:rPr>
            </w:pPr>
            <w:r>
              <w:rPr>
                <w:rFonts w:cs="Arial"/>
                <w:color w:val="FFFFFF" w:themeColor="background1"/>
                <w:sz w:val="20"/>
                <w:szCs w:val="20"/>
              </w:rPr>
              <w:t xml:space="preserve"> </w:t>
            </w:r>
            <w:r w:rsidRPr="00AA17B3">
              <w:rPr>
                <w:rFonts w:cs="Arial"/>
                <w:color w:val="FFFFFF" w:themeColor="background1"/>
                <w:sz w:val="20"/>
                <w:szCs w:val="20"/>
              </w:rPr>
              <w:t>Scientific name</w:t>
            </w:r>
          </w:p>
        </w:tc>
        <w:tc>
          <w:tcPr>
            <w:tcW w:w="727" w:type="pct"/>
            <w:vMerge w:val="restart"/>
            <w:tcBorders>
              <w:top w:val="single" w:sz="4" w:space="0" w:color="auto"/>
              <w:left w:val="single" w:sz="4" w:space="0" w:color="auto"/>
              <w:right w:val="single" w:sz="4" w:space="0" w:color="auto"/>
            </w:tcBorders>
            <w:shd w:val="clear" w:color="auto" w:fill="064EA8"/>
            <w:vAlign w:val="center"/>
          </w:tcPr>
          <w:p w14:paraId="01435009" w14:textId="77777777" w:rsidR="00E43215" w:rsidRPr="00AA17B3" w:rsidRDefault="00E43215" w:rsidP="00326D55">
            <w:pPr>
              <w:spacing w:before="60" w:after="60"/>
              <w:ind w:left="93"/>
              <w:jc w:val="center"/>
              <w:rPr>
                <w:rFonts w:cs="Arial"/>
                <w:color w:val="FFFFFF" w:themeColor="background1"/>
                <w:sz w:val="20"/>
                <w:szCs w:val="20"/>
              </w:rPr>
            </w:pPr>
            <w:r w:rsidRPr="00AA17B3">
              <w:rPr>
                <w:rFonts w:cs="Arial"/>
                <w:color w:val="FFFFFF" w:themeColor="background1"/>
                <w:sz w:val="20"/>
                <w:szCs w:val="20"/>
              </w:rPr>
              <w:t>Common name</w:t>
            </w:r>
          </w:p>
        </w:tc>
        <w:tc>
          <w:tcPr>
            <w:tcW w:w="1856" w:type="pct"/>
            <w:gridSpan w:val="3"/>
            <w:tcBorders>
              <w:top w:val="single" w:sz="4" w:space="0" w:color="auto"/>
              <w:left w:val="single" w:sz="4" w:space="0" w:color="auto"/>
              <w:bottom w:val="single" w:sz="4" w:space="0" w:color="auto"/>
              <w:right w:val="single" w:sz="4" w:space="0" w:color="auto"/>
            </w:tcBorders>
            <w:shd w:val="clear" w:color="auto" w:fill="064EA8"/>
            <w:vAlign w:val="center"/>
          </w:tcPr>
          <w:p w14:paraId="0E621F12" w14:textId="77777777" w:rsidR="00E43215" w:rsidRPr="00AA17B3" w:rsidRDefault="00E43215" w:rsidP="00326D55">
            <w:pPr>
              <w:pStyle w:val="TableText"/>
              <w:ind w:left="93"/>
              <w:jc w:val="center"/>
              <w:rPr>
                <w:rFonts w:cs="Arial"/>
                <w:color w:val="FFFFFF" w:themeColor="background1"/>
                <w:sz w:val="20"/>
                <w:szCs w:val="20"/>
              </w:rPr>
            </w:pPr>
            <w:r w:rsidRPr="00AA17B3">
              <w:rPr>
                <w:rFonts w:cs="Arial"/>
                <w:color w:val="FFFFFF" w:themeColor="background1"/>
                <w:sz w:val="20"/>
                <w:szCs w:val="20"/>
              </w:rPr>
              <w:t>EPBC Act status</w:t>
            </w:r>
          </w:p>
        </w:tc>
        <w:tc>
          <w:tcPr>
            <w:tcW w:w="517" w:type="pct"/>
            <w:vMerge w:val="restart"/>
            <w:tcBorders>
              <w:top w:val="single" w:sz="4" w:space="0" w:color="auto"/>
              <w:left w:val="single" w:sz="4" w:space="0" w:color="auto"/>
              <w:right w:val="single" w:sz="4" w:space="0" w:color="auto"/>
            </w:tcBorders>
            <w:shd w:val="clear" w:color="auto" w:fill="064EA8"/>
            <w:vAlign w:val="center"/>
          </w:tcPr>
          <w:p w14:paraId="3F23BEFB" w14:textId="0CA66EB1" w:rsidR="00E43215" w:rsidRPr="00AA17B3" w:rsidRDefault="00E43215" w:rsidP="006A7CDA">
            <w:pPr>
              <w:pStyle w:val="TableText"/>
              <w:ind w:left="93"/>
              <w:jc w:val="center"/>
              <w:rPr>
                <w:rFonts w:cs="Arial"/>
                <w:color w:val="FFFFFF" w:themeColor="background1"/>
                <w:sz w:val="20"/>
                <w:szCs w:val="20"/>
              </w:rPr>
            </w:pPr>
            <w:r>
              <w:rPr>
                <w:rFonts w:cs="Arial"/>
                <w:color w:val="FFFFFF" w:themeColor="background1"/>
                <w:sz w:val="20"/>
                <w:szCs w:val="20"/>
              </w:rPr>
              <w:t>FFG Act status</w:t>
            </w:r>
          </w:p>
        </w:tc>
        <w:tc>
          <w:tcPr>
            <w:tcW w:w="517" w:type="pct"/>
            <w:vMerge w:val="restart"/>
            <w:tcBorders>
              <w:top w:val="single" w:sz="4" w:space="0" w:color="auto"/>
              <w:left w:val="single" w:sz="4" w:space="0" w:color="auto"/>
              <w:right w:val="single" w:sz="4" w:space="0" w:color="auto"/>
            </w:tcBorders>
            <w:shd w:val="clear" w:color="auto" w:fill="064EA8"/>
            <w:vAlign w:val="center"/>
          </w:tcPr>
          <w:p w14:paraId="654EB90C" w14:textId="5A064F79" w:rsidR="00E43215" w:rsidRPr="00AA17B3" w:rsidRDefault="00E43215" w:rsidP="00A316C1">
            <w:pPr>
              <w:pStyle w:val="TableText"/>
              <w:ind w:left="93"/>
              <w:jc w:val="center"/>
              <w:rPr>
                <w:rFonts w:cs="Arial"/>
                <w:color w:val="FFFFFF" w:themeColor="background1"/>
                <w:sz w:val="20"/>
                <w:szCs w:val="20"/>
              </w:rPr>
            </w:pPr>
            <w:r w:rsidRPr="00AA17B3">
              <w:rPr>
                <w:rFonts w:cs="Arial"/>
                <w:color w:val="FFFFFF" w:themeColor="background1"/>
                <w:sz w:val="20"/>
                <w:szCs w:val="20"/>
              </w:rPr>
              <w:t>BIA within the EMBA?</w:t>
            </w:r>
          </w:p>
        </w:tc>
        <w:tc>
          <w:tcPr>
            <w:tcW w:w="592" w:type="pct"/>
            <w:vMerge w:val="restart"/>
            <w:tcBorders>
              <w:top w:val="single" w:sz="4" w:space="0" w:color="auto"/>
              <w:left w:val="single" w:sz="4" w:space="0" w:color="auto"/>
              <w:right w:val="single" w:sz="4" w:space="0" w:color="auto"/>
            </w:tcBorders>
            <w:shd w:val="clear" w:color="auto" w:fill="064EA8"/>
            <w:vAlign w:val="center"/>
          </w:tcPr>
          <w:p w14:paraId="181DFFF4" w14:textId="77777777" w:rsidR="00E43215" w:rsidRPr="00AA17B3" w:rsidRDefault="00E43215" w:rsidP="00326D55">
            <w:pPr>
              <w:pStyle w:val="TableText"/>
              <w:jc w:val="center"/>
              <w:rPr>
                <w:rFonts w:cs="Arial"/>
                <w:color w:val="FFFFFF" w:themeColor="background1"/>
                <w:sz w:val="20"/>
                <w:szCs w:val="20"/>
              </w:rPr>
            </w:pPr>
            <w:r w:rsidRPr="00AA17B3">
              <w:rPr>
                <w:rFonts w:cs="Arial"/>
                <w:color w:val="FFFFFF" w:themeColor="background1"/>
                <w:sz w:val="20"/>
                <w:szCs w:val="20"/>
              </w:rPr>
              <w:t>Recovery Plan in place?</w:t>
            </w:r>
          </w:p>
        </w:tc>
      </w:tr>
      <w:tr w:rsidR="00E43215" w:rsidRPr="00AA17B3" w14:paraId="43BE78DE" w14:textId="77777777" w:rsidTr="00E43215">
        <w:trPr>
          <w:trHeight w:val="345"/>
          <w:tblHeader/>
          <w:jc w:val="center"/>
        </w:trPr>
        <w:tc>
          <w:tcPr>
            <w:tcW w:w="791" w:type="pct"/>
            <w:vMerge/>
            <w:tcBorders>
              <w:left w:val="single" w:sz="4" w:space="0" w:color="auto"/>
              <w:bottom w:val="single" w:sz="4" w:space="0" w:color="auto"/>
              <w:right w:val="single" w:sz="4" w:space="0" w:color="auto"/>
            </w:tcBorders>
            <w:shd w:val="clear" w:color="auto" w:fill="8064A2"/>
          </w:tcPr>
          <w:p w14:paraId="240FC25B" w14:textId="77777777" w:rsidR="00E43215" w:rsidRPr="00AA17B3" w:rsidRDefault="00E43215" w:rsidP="00326D55">
            <w:pPr>
              <w:spacing w:before="60" w:after="60"/>
              <w:ind w:hanging="627"/>
              <w:rPr>
                <w:rFonts w:cs="Arial"/>
                <w:color w:val="FFFFFF"/>
                <w:sz w:val="20"/>
                <w:szCs w:val="20"/>
              </w:rPr>
            </w:pPr>
          </w:p>
        </w:tc>
        <w:tc>
          <w:tcPr>
            <w:tcW w:w="727" w:type="pct"/>
            <w:vMerge/>
            <w:tcBorders>
              <w:left w:val="single" w:sz="4" w:space="0" w:color="auto"/>
              <w:bottom w:val="single" w:sz="4" w:space="0" w:color="auto"/>
              <w:right w:val="single" w:sz="4" w:space="0" w:color="auto"/>
            </w:tcBorders>
            <w:shd w:val="clear" w:color="auto" w:fill="8064A2"/>
          </w:tcPr>
          <w:p w14:paraId="0B9FD21D" w14:textId="77777777" w:rsidR="00E43215" w:rsidRPr="00AA17B3" w:rsidRDefault="00E43215" w:rsidP="00326D55">
            <w:pPr>
              <w:spacing w:before="60" w:after="60"/>
              <w:ind w:hanging="674"/>
              <w:rPr>
                <w:rFonts w:cs="Arial"/>
                <w:color w:val="FFFFFF"/>
                <w:sz w:val="20"/>
                <w:szCs w:val="20"/>
              </w:rPr>
            </w:pPr>
          </w:p>
        </w:tc>
        <w:tc>
          <w:tcPr>
            <w:tcW w:w="672" w:type="pct"/>
            <w:tcBorders>
              <w:top w:val="single" w:sz="4" w:space="0" w:color="auto"/>
              <w:left w:val="single" w:sz="4" w:space="0" w:color="auto"/>
              <w:bottom w:val="single" w:sz="4" w:space="0" w:color="auto"/>
              <w:right w:val="single" w:sz="4" w:space="0" w:color="auto"/>
            </w:tcBorders>
            <w:shd w:val="clear" w:color="auto" w:fill="064EA8"/>
          </w:tcPr>
          <w:p w14:paraId="0D4C46BB" w14:textId="77777777" w:rsidR="00E43215" w:rsidRPr="00AA17B3" w:rsidRDefault="00E43215" w:rsidP="00326D55">
            <w:pPr>
              <w:spacing w:before="60" w:after="60"/>
              <w:ind w:left="7" w:hanging="7"/>
              <w:jc w:val="center"/>
              <w:rPr>
                <w:rFonts w:cs="Arial"/>
                <w:color w:val="FFFFFF" w:themeColor="background1"/>
                <w:sz w:val="20"/>
                <w:szCs w:val="20"/>
              </w:rPr>
            </w:pPr>
            <w:r w:rsidRPr="00AA17B3">
              <w:rPr>
                <w:rFonts w:cs="Arial"/>
                <w:color w:val="FFFFFF" w:themeColor="background1"/>
                <w:sz w:val="20"/>
                <w:szCs w:val="20"/>
              </w:rPr>
              <w:t>Listed threatened species</w:t>
            </w:r>
          </w:p>
        </w:tc>
        <w:tc>
          <w:tcPr>
            <w:tcW w:w="592" w:type="pct"/>
            <w:tcBorders>
              <w:top w:val="single" w:sz="4" w:space="0" w:color="auto"/>
              <w:left w:val="single" w:sz="4" w:space="0" w:color="auto"/>
              <w:bottom w:val="single" w:sz="4" w:space="0" w:color="auto"/>
              <w:right w:val="single" w:sz="4" w:space="0" w:color="auto"/>
            </w:tcBorders>
            <w:shd w:val="clear" w:color="auto" w:fill="064EA8"/>
          </w:tcPr>
          <w:p w14:paraId="42421D25" w14:textId="77777777" w:rsidR="00E43215" w:rsidRPr="00AA17B3" w:rsidRDefault="00E43215" w:rsidP="00326D55">
            <w:pPr>
              <w:pStyle w:val="TableText"/>
              <w:ind w:left="-108"/>
              <w:jc w:val="center"/>
              <w:rPr>
                <w:rFonts w:cs="Arial"/>
                <w:color w:val="FFFFFF" w:themeColor="background1"/>
                <w:sz w:val="20"/>
                <w:szCs w:val="20"/>
              </w:rPr>
            </w:pPr>
            <w:r w:rsidRPr="00AA17B3">
              <w:rPr>
                <w:rFonts w:cs="Arial"/>
                <w:color w:val="FFFFFF" w:themeColor="background1"/>
                <w:sz w:val="20"/>
                <w:szCs w:val="20"/>
              </w:rPr>
              <w:t>Listed migratory species</w:t>
            </w:r>
          </w:p>
        </w:tc>
        <w:tc>
          <w:tcPr>
            <w:tcW w:w="592" w:type="pct"/>
            <w:tcBorders>
              <w:top w:val="single" w:sz="4" w:space="0" w:color="auto"/>
              <w:left w:val="single" w:sz="4" w:space="0" w:color="auto"/>
              <w:bottom w:val="single" w:sz="4" w:space="0" w:color="auto"/>
              <w:right w:val="single" w:sz="4" w:space="0" w:color="auto"/>
            </w:tcBorders>
            <w:shd w:val="clear" w:color="auto" w:fill="064EA8"/>
          </w:tcPr>
          <w:p w14:paraId="7D64EA88" w14:textId="77777777" w:rsidR="00E43215" w:rsidRPr="00AA17B3" w:rsidRDefault="00E43215" w:rsidP="00326D55">
            <w:pPr>
              <w:pStyle w:val="TableText"/>
              <w:ind w:left="93"/>
              <w:jc w:val="center"/>
              <w:rPr>
                <w:rFonts w:cs="Arial"/>
                <w:color w:val="FFFFFF" w:themeColor="background1"/>
                <w:sz w:val="20"/>
                <w:szCs w:val="20"/>
              </w:rPr>
            </w:pPr>
            <w:r w:rsidRPr="00AA17B3">
              <w:rPr>
                <w:rFonts w:cs="Arial"/>
                <w:color w:val="FFFFFF" w:themeColor="background1"/>
                <w:sz w:val="20"/>
                <w:szCs w:val="20"/>
              </w:rPr>
              <w:t>Listed marine species</w:t>
            </w:r>
          </w:p>
        </w:tc>
        <w:tc>
          <w:tcPr>
            <w:tcW w:w="517" w:type="pct"/>
            <w:vMerge/>
            <w:tcBorders>
              <w:left w:val="single" w:sz="4" w:space="0" w:color="auto"/>
              <w:bottom w:val="single" w:sz="4" w:space="0" w:color="auto"/>
              <w:right w:val="single" w:sz="4" w:space="0" w:color="auto"/>
            </w:tcBorders>
            <w:shd w:val="clear" w:color="auto" w:fill="8064A2"/>
          </w:tcPr>
          <w:p w14:paraId="3282BF6E" w14:textId="77777777" w:rsidR="00E43215" w:rsidRPr="00AA17B3" w:rsidRDefault="00E43215" w:rsidP="00326D55">
            <w:pPr>
              <w:pStyle w:val="TableText"/>
              <w:jc w:val="center"/>
              <w:rPr>
                <w:rFonts w:cs="Arial"/>
                <w:color w:val="FFFFFF"/>
                <w:sz w:val="20"/>
                <w:szCs w:val="20"/>
              </w:rPr>
            </w:pPr>
          </w:p>
        </w:tc>
        <w:tc>
          <w:tcPr>
            <w:tcW w:w="517" w:type="pct"/>
            <w:vMerge/>
            <w:tcBorders>
              <w:left w:val="single" w:sz="4" w:space="0" w:color="auto"/>
              <w:bottom w:val="single" w:sz="4" w:space="0" w:color="auto"/>
              <w:right w:val="single" w:sz="4" w:space="0" w:color="auto"/>
            </w:tcBorders>
            <w:shd w:val="clear" w:color="auto" w:fill="8064A2"/>
          </w:tcPr>
          <w:p w14:paraId="2386584C" w14:textId="59627DD8" w:rsidR="00E43215" w:rsidRPr="00AA17B3" w:rsidRDefault="00E43215" w:rsidP="00326D55">
            <w:pPr>
              <w:pStyle w:val="TableText"/>
              <w:jc w:val="center"/>
              <w:rPr>
                <w:rFonts w:cs="Arial"/>
                <w:color w:val="FFFFFF"/>
                <w:sz w:val="20"/>
                <w:szCs w:val="20"/>
              </w:rPr>
            </w:pPr>
          </w:p>
        </w:tc>
        <w:tc>
          <w:tcPr>
            <w:tcW w:w="592" w:type="pct"/>
            <w:vMerge/>
            <w:tcBorders>
              <w:left w:val="single" w:sz="4" w:space="0" w:color="auto"/>
              <w:bottom w:val="single" w:sz="4" w:space="0" w:color="auto"/>
              <w:right w:val="single" w:sz="4" w:space="0" w:color="auto"/>
            </w:tcBorders>
            <w:shd w:val="clear" w:color="auto" w:fill="8064A2"/>
          </w:tcPr>
          <w:p w14:paraId="73F61CDE" w14:textId="77777777" w:rsidR="00E43215" w:rsidRPr="00AA17B3" w:rsidRDefault="00E43215" w:rsidP="00326D55">
            <w:pPr>
              <w:pStyle w:val="TableText"/>
              <w:jc w:val="center"/>
              <w:rPr>
                <w:rFonts w:cs="Arial"/>
                <w:color w:val="FFFFFF"/>
                <w:sz w:val="20"/>
                <w:szCs w:val="20"/>
              </w:rPr>
            </w:pPr>
          </w:p>
        </w:tc>
      </w:tr>
      <w:tr w:rsidR="006A7CDA" w:rsidRPr="00AA17B3" w14:paraId="0B589176" w14:textId="77777777" w:rsidTr="00891DE1">
        <w:trPr>
          <w:trHeight w:val="345"/>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31B5A00" w14:textId="312515B8" w:rsidR="006A7CDA" w:rsidRPr="00891DE1" w:rsidRDefault="006A7CDA" w:rsidP="00891DE1">
            <w:pPr>
              <w:pStyle w:val="TableText"/>
              <w:rPr>
                <w:rFonts w:cs="Arial"/>
                <w:b/>
                <w:sz w:val="20"/>
                <w:szCs w:val="20"/>
              </w:rPr>
            </w:pPr>
            <w:r w:rsidRPr="00891DE1">
              <w:rPr>
                <w:rFonts w:cs="Arial"/>
                <w:b/>
                <w:sz w:val="20"/>
                <w:szCs w:val="20"/>
              </w:rPr>
              <w:t>Whales</w:t>
            </w:r>
          </w:p>
        </w:tc>
      </w:tr>
      <w:tr w:rsidR="00E43215" w:rsidRPr="00AA17B3" w14:paraId="029BA8B5"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vAlign w:val="center"/>
          </w:tcPr>
          <w:p w14:paraId="6A30197C" w14:textId="77777777" w:rsidR="00E43215" w:rsidRPr="00AA17B3" w:rsidRDefault="00E43215" w:rsidP="00996AF7">
            <w:pPr>
              <w:spacing w:before="60" w:after="60"/>
              <w:ind w:left="0"/>
              <w:rPr>
                <w:rFonts w:cs="Arial"/>
                <w:i/>
                <w:sz w:val="20"/>
                <w:szCs w:val="20"/>
              </w:rPr>
            </w:pPr>
            <w:r w:rsidRPr="00AA17B3">
              <w:rPr>
                <w:rFonts w:cs="Arial"/>
                <w:i/>
                <w:sz w:val="20"/>
                <w:szCs w:val="20"/>
              </w:rPr>
              <w:t>Balaenoptera acutorostrata</w:t>
            </w: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524E8B4E" w14:textId="77777777" w:rsidR="00E43215" w:rsidRPr="00AA17B3" w:rsidRDefault="00E43215" w:rsidP="00996AF7">
            <w:pPr>
              <w:spacing w:before="60" w:after="60"/>
              <w:ind w:left="35" w:hanging="35"/>
              <w:rPr>
                <w:rFonts w:cs="Arial"/>
                <w:sz w:val="20"/>
                <w:szCs w:val="20"/>
              </w:rPr>
            </w:pPr>
            <w:r w:rsidRPr="00AA17B3">
              <w:rPr>
                <w:rFonts w:cs="Arial"/>
                <w:sz w:val="20"/>
                <w:szCs w:val="20"/>
              </w:rPr>
              <w:t>Minke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2A430056"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6770A447" w14:textId="77777777" w:rsidR="00E43215" w:rsidRPr="00AA17B3" w:rsidRDefault="00E43215" w:rsidP="00F92BED">
            <w:pPr>
              <w:pStyle w:val="TableText"/>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675B2B1B" w14:textId="659B4BAB" w:rsidR="00E43215" w:rsidRPr="00AA17B3" w:rsidRDefault="00E43215" w:rsidP="00AA17B3">
            <w:pPr>
              <w:pStyle w:val="TableText"/>
              <w:jc w:val="center"/>
              <w:rPr>
                <w:rFonts w:cs="Arial"/>
                <w:sz w:val="20"/>
                <w:szCs w:val="20"/>
              </w:rPr>
            </w:pPr>
            <w:r w:rsidRPr="00292B7A">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0DD2FB89" w14:textId="7089820B"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2F91998E" w14:textId="36B30BA8"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tcPr>
          <w:p w14:paraId="7FBCA1E4" w14:textId="77777777" w:rsidR="00E43215" w:rsidRPr="00AA17B3" w:rsidRDefault="00E43215" w:rsidP="00F92BED">
            <w:pPr>
              <w:pStyle w:val="TableText"/>
              <w:jc w:val="center"/>
              <w:rPr>
                <w:rFonts w:cs="Arial"/>
                <w:sz w:val="20"/>
                <w:szCs w:val="20"/>
              </w:rPr>
            </w:pPr>
            <w:r w:rsidRPr="00AA17B3">
              <w:rPr>
                <w:rFonts w:cs="Arial"/>
                <w:sz w:val="20"/>
                <w:szCs w:val="20"/>
              </w:rPr>
              <w:t>-</w:t>
            </w:r>
          </w:p>
        </w:tc>
      </w:tr>
      <w:tr w:rsidR="00E43215" w:rsidRPr="00AA17B3" w14:paraId="7BB0D21D"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vAlign w:val="center"/>
          </w:tcPr>
          <w:p w14:paraId="28A3EB6A" w14:textId="77777777" w:rsidR="00E43215" w:rsidRPr="00AA17B3" w:rsidRDefault="00E43215" w:rsidP="00996AF7">
            <w:pPr>
              <w:spacing w:before="60" w:after="60"/>
              <w:ind w:left="0"/>
              <w:rPr>
                <w:rFonts w:cs="Arial"/>
                <w:i/>
                <w:sz w:val="20"/>
                <w:szCs w:val="20"/>
              </w:rPr>
            </w:pPr>
            <w:r w:rsidRPr="00AA17B3">
              <w:rPr>
                <w:rFonts w:cs="Arial"/>
                <w:i/>
                <w:sz w:val="20"/>
                <w:szCs w:val="20"/>
              </w:rPr>
              <w:t>Balaenoptera bonaerensis</w:t>
            </w: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338B1C2D" w14:textId="77777777" w:rsidR="00E43215" w:rsidRPr="00AA17B3" w:rsidRDefault="00E43215" w:rsidP="00996AF7">
            <w:pPr>
              <w:spacing w:before="60" w:after="60"/>
              <w:ind w:left="35" w:hanging="35"/>
              <w:rPr>
                <w:rFonts w:cs="Arial"/>
                <w:sz w:val="20"/>
                <w:szCs w:val="20"/>
              </w:rPr>
            </w:pPr>
            <w:r w:rsidRPr="00AA17B3">
              <w:rPr>
                <w:rFonts w:cs="Arial"/>
                <w:sz w:val="20"/>
                <w:szCs w:val="20"/>
              </w:rPr>
              <w:t>Antarctic minke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7AC4AC95"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661DBFD8" w14:textId="1E18A165" w:rsidR="00E43215" w:rsidRPr="00AA17B3" w:rsidRDefault="00E43215" w:rsidP="00AA17B3">
            <w:pPr>
              <w:pStyle w:val="TableText"/>
              <w:jc w:val="center"/>
              <w:rPr>
                <w:rFonts w:cs="Arial"/>
                <w:sz w:val="20"/>
                <w:szCs w:val="20"/>
              </w:rPr>
            </w:pPr>
            <w:r>
              <w:rPr>
                <w:rFonts w:cs="Arial"/>
                <w:sz w:val="20"/>
                <w:szCs w:val="20"/>
              </w:rPr>
              <w:t>Yes</w:t>
            </w:r>
          </w:p>
        </w:tc>
        <w:tc>
          <w:tcPr>
            <w:tcW w:w="592" w:type="pct"/>
            <w:tcBorders>
              <w:top w:val="single" w:sz="4" w:space="0" w:color="auto"/>
              <w:left w:val="single" w:sz="4" w:space="0" w:color="auto"/>
              <w:bottom w:val="single" w:sz="4" w:space="0" w:color="auto"/>
              <w:right w:val="single" w:sz="4" w:space="0" w:color="auto"/>
            </w:tcBorders>
            <w:vAlign w:val="center"/>
          </w:tcPr>
          <w:p w14:paraId="1E55BB14" w14:textId="1091057E" w:rsidR="00E43215" w:rsidRPr="00AA17B3" w:rsidRDefault="00E43215" w:rsidP="00AA17B3">
            <w:pPr>
              <w:pStyle w:val="TableText"/>
              <w:jc w:val="center"/>
              <w:rPr>
                <w:rFonts w:cs="Arial"/>
                <w:sz w:val="20"/>
                <w:szCs w:val="20"/>
              </w:rPr>
            </w:pPr>
            <w:r w:rsidRPr="00292B7A">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4645B70D" w14:textId="664EC61F"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59F6C089" w14:textId="72085F8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tcPr>
          <w:p w14:paraId="6A45328A" w14:textId="77777777" w:rsidR="00E43215" w:rsidRPr="00AA17B3" w:rsidRDefault="00E43215" w:rsidP="00F92BED">
            <w:pPr>
              <w:pStyle w:val="TableText"/>
              <w:jc w:val="center"/>
              <w:rPr>
                <w:rFonts w:cs="Arial"/>
                <w:sz w:val="20"/>
                <w:szCs w:val="20"/>
              </w:rPr>
            </w:pPr>
            <w:r w:rsidRPr="00AA17B3">
              <w:rPr>
                <w:rFonts w:cs="Arial"/>
                <w:sz w:val="20"/>
                <w:szCs w:val="20"/>
              </w:rPr>
              <w:t>-</w:t>
            </w:r>
          </w:p>
        </w:tc>
      </w:tr>
      <w:tr w:rsidR="00E43215" w:rsidRPr="00AA17B3" w14:paraId="23A7A199"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vAlign w:val="center"/>
          </w:tcPr>
          <w:p w14:paraId="497997A6" w14:textId="77777777" w:rsidR="00E43215" w:rsidRPr="00AA17B3" w:rsidRDefault="00E43215" w:rsidP="00996AF7">
            <w:pPr>
              <w:spacing w:before="60" w:after="60"/>
              <w:ind w:left="0"/>
              <w:rPr>
                <w:rFonts w:cs="Arial"/>
                <w:i/>
                <w:sz w:val="20"/>
                <w:szCs w:val="20"/>
              </w:rPr>
            </w:pPr>
            <w:r w:rsidRPr="00AA17B3">
              <w:rPr>
                <w:rFonts w:cs="Arial"/>
                <w:i/>
                <w:sz w:val="20"/>
                <w:szCs w:val="20"/>
              </w:rPr>
              <w:t>Balaenoptera borealis</w:t>
            </w: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58BB918C" w14:textId="77777777" w:rsidR="00E43215" w:rsidRPr="00AA17B3" w:rsidRDefault="00E43215" w:rsidP="00996AF7">
            <w:pPr>
              <w:spacing w:before="60" w:after="60"/>
              <w:ind w:left="35" w:hanging="35"/>
              <w:rPr>
                <w:rFonts w:cs="Arial"/>
                <w:sz w:val="20"/>
                <w:szCs w:val="20"/>
              </w:rPr>
            </w:pPr>
            <w:r w:rsidRPr="00AA17B3">
              <w:rPr>
                <w:rFonts w:cs="Arial"/>
                <w:sz w:val="20"/>
                <w:szCs w:val="20"/>
              </w:rPr>
              <w:t>Sei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2ECB8452"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V</w:t>
            </w:r>
          </w:p>
        </w:tc>
        <w:tc>
          <w:tcPr>
            <w:tcW w:w="592" w:type="pct"/>
            <w:tcBorders>
              <w:top w:val="single" w:sz="4" w:space="0" w:color="auto"/>
              <w:left w:val="single" w:sz="4" w:space="0" w:color="auto"/>
              <w:bottom w:val="single" w:sz="4" w:space="0" w:color="auto"/>
              <w:right w:val="single" w:sz="4" w:space="0" w:color="auto"/>
            </w:tcBorders>
            <w:vAlign w:val="center"/>
          </w:tcPr>
          <w:p w14:paraId="50A01D2C" w14:textId="08E6362C" w:rsidR="00E43215" w:rsidRPr="00AA17B3" w:rsidRDefault="00E43215" w:rsidP="00AA17B3">
            <w:pPr>
              <w:pStyle w:val="TableText"/>
              <w:jc w:val="center"/>
              <w:rPr>
                <w:rFonts w:cs="Arial"/>
                <w:sz w:val="20"/>
                <w:szCs w:val="20"/>
              </w:rPr>
            </w:pPr>
            <w:r w:rsidRPr="00ED6AE0">
              <w:rPr>
                <w:rFonts w:cs="Arial"/>
                <w:sz w:val="20"/>
                <w:szCs w:val="20"/>
              </w:rPr>
              <w:t>Yes</w:t>
            </w:r>
          </w:p>
        </w:tc>
        <w:tc>
          <w:tcPr>
            <w:tcW w:w="592" w:type="pct"/>
            <w:tcBorders>
              <w:top w:val="single" w:sz="4" w:space="0" w:color="auto"/>
              <w:left w:val="single" w:sz="4" w:space="0" w:color="auto"/>
              <w:bottom w:val="single" w:sz="4" w:space="0" w:color="auto"/>
              <w:right w:val="single" w:sz="4" w:space="0" w:color="auto"/>
            </w:tcBorders>
            <w:vAlign w:val="center"/>
          </w:tcPr>
          <w:p w14:paraId="298C0397" w14:textId="7180CAD6" w:rsidR="00E43215" w:rsidRPr="00AA17B3" w:rsidRDefault="00E43215" w:rsidP="00AA17B3">
            <w:pPr>
              <w:pStyle w:val="TableText"/>
              <w:jc w:val="center"/>
              <w:rPr>
                <w:rFonts w:cs="Arial"/>
                <w:sz w:val="20"/>
                <w:szCs w:val="20"/>
              </w:rPr>
            </w:pPr>
            <w:r w:rsidRPr="00292B7A">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51A799B4" w14:textId="77138347"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7B729331" w14:textId="7B8C550C"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tcPr>
          <w:p w14:paraId="7585A8BF" w14:textId="77777777" w:rsidR="00E43215" w:rsidRPr="00AA17B3" w:rsidRDefault="00E43215" w:rsidP="00F92BED">
            <w:pPr>
              <w:pStyle w:val="TableText"/>
              <w:jc w:val="center"/>
              <w:rPr>
                <w:rFonts w:cs="Arial"/>
                <w:sz w:val="20"/>
                <w:szCs w:val="20"/>
              </w:rPr>
            </w:pPr>
            <w:r w:rsidRPr="00AA17B3">
              <w:rPr>
                <w:rFonts w:cs="Arial"/>
                <w:sz w:val="20"/>
                <w:szCs w:val="20"/>
              </w:rPr>
              <w:t>CA</w:t>
            </w:r>
          </w:p>
        </w:tc>
      </w:tr>
      <w:tr w:rsidR="00E43215" w:rsidRPr="00AA17B3" w14:paraId="1B3600CE"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vAlign w:val="center"/>
          </w:tcPr>
          <w:p w14:paraId="70EF27F2" w14:textId="77777777" w:rsidR="00E43215" w:rsidRPr="00AA17B3" w:rsidRDefault="00E43215" w:rsidP="00996AF7">
            <w:pPr>
              <w:spacing w:before="60" w:after="60"/>
              <w:ind w:left="0"/>
              <w:rPr>
                <w:rFonts w:cs="Arial"/>
                <w:i/>
                <w:sz w:val="20"/>
                <w:szCs w:val="20"/>
              </w:rPr>
            </w:pPr>
            <w:r w:rsidRPr="00AA17B3">
              <w:rPr>
                <w:rFonts w:cs="Arial"/>
                <w:i/>
                <w:sz w:val="20"/>
                <w:szCs w:val="20"/>
              </w:rPr>
              <w:t>Balaenoptera edeni</w:t>
            </w: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21DC660D" w14:textId="77777777" w:rsidR="00E43215" w:rsidRPr="00AA17B3" w:rsidRDefault="00E43215" w:rsidP="00E43215">
            <w:pPr>
              <w:spacing w:before="60" w:after="60"/>
              <w:ind w:left="35" w:hanging="35"/>
              <w:rPr>
                <w:rFonts w:cs="Arial"/>
                <w:sz w:val="20"/>
                <w:szCs w:val="20"/>
              </w:rPr>
            </w:pPr>
            <w:r w:rsidRPr="00AA17B3">
              <w:rPr>
                <w:rFonts w:cs="Arial"/>
                <w:sz w:val="20"/>
                <w:szCs w:val="20"/>
              </w:rPr>
              <w:t>Bryde’s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1F43D35F"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0810A467" w14:textId="0B0963BB" w:rsidR="00E43215" w:rsidRPr="00AA17B3" w:rsidRDefault="00E43215" w:rsidP="00AA17B3">
            <w:pPr>
              <w:pStyle w:val="TableText"/>
              <w:jc w:val="center"/>
              <w:rPr>
                <w:rFonts w:cs="Arial"/>
                <w:sz w:val="20"/>
                <w:szCs w:val="20"/>
              </w:rPr>
            </w:pPr>
            <w:r w:rsidRPr="00ED6AE0">
              <w:rPr>
                <w:rFonts w:cs="Arial"/>
                <w:sz w:val="20"/>
                <w:szCs w:val="20"/>
              </w:rPr>
              <w:t>Yes</w:t>
            </w:r>
          </w:p>
        </w:tc>
        <w:tc>
          <w:tcPr>
            <w:tcW w:w="592" w:type="pct"/>
            <w:tcBorders>
              <w:top w:val="single" w:sz="4" w:space="0" w:color="auto"/>
              <w:left w:val="single" w:sz="4" w:space="0" w:color="auto"/>
              <w:bottom w:val="single" w:sz="4" w:space="0" w:color="auto"/>
              <w:right w:val="single" w:sz="4" w:space="0" w:color="auto"/>
            </w:tcBorders>
            <w:vAlign w:val="center"/>
          </w:tcPr>
          <w:p w14:paraId="017FC270" w14:textId="11A4FBB4" w:rsidR="00E43215" w:rsidRPr="00AA17B3" w:rsidRDefault="00E43215" w:rsidP="00AA17B3">
            <w:pPr>
              <w:pStyle w:val="TableText"/>
              <w:jc w:val="center"/>
              <w:rPr>
                <w:rFonts w:cs="Arial"/>
                <w:sz w:val="20"/>
                <w:szCs w:val="20"/>
              </w:rPr>
            </w:pPr>
            <w:r w:rsidRPr="00292B7A">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652B85E9" w14:textId="42A029D6"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1D52ECF3" w14:textId="25C08142"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tcPr>
          <w:p w14:paraId="1158EAD7" w14:textId="77777777" w:rsidR="00E43215" w:rsidRPr="00AA17B3" w:rsidRDefault="00E43215" w:rsidP="00F92BED">
            <w:pPr>
              <w:pStyle w:val="TableText"/>
              <w:jc w:val="center"/>
              <w:rPr>
                <w:rFonts w:cs="Arial"/>
                <w:sz w:val="20"/>
                <w:szCs w:val="20"/>
              </w:rPr>
            </w:pPr>
            <w:r w:rsidRPr="00AA17B3">
              <w:rPr>
                <w:rFonts w:cs="Arial"/>
                <w:sz w:val="20"/>
                <w:szCs w:val="20"/>
              </w:rPr>
              <w:t>-</w:t>
            </w:r>
          </w:p>
        </w:tc>
      </w:tr>
      <w:tr w:rsidR="00E43215" w:rsidRPr="00AA17B3" w14:paraId="4CD494A8"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01C98DA2" w14:textId="77777777" w:rsidR="00E43215" w:rsidRPr="00AA17B3" w:rsidRDefault="00E43215" w:rsidP="00F92BED">
            <w:pPr>
              <w:spacing w:before="60" w:after="60"/>
              <w:ind w:left="0"/>
              <w:rPr>
                <w:rFonts w:cs="Arial"/>
                <w:i/>
                <w:sz w:val="20"/>
                <w:szCs w:val="20"/>
              </w:rPr>
            </w:pPr>
            <w:r w:rsidRPr="00AA17B3">
              <w:rPr>
                <w:rFonts w:cs="Arial"/>
                <w:i/>
                <w:sz w:val="20"/>
                <w:szCs w:val="20"/>
              </w:rPr>
              <w:t>Balaenoptera musculus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2C4B30D2" w14:textId="77777777" w:rsidR="00E43215" w:rsidRPr="00AA17B3" w:rsidRDefault="00E43215" w:rsidP="00E43215">
            <w:pPr>
              <w:spacing w:before="60" w:after="60"/>
              <w:ind w:left="35" w:hanging="35"/>
              <w:rPr>
                <w:rFonts w:cs="Arial"/>
                <w:sz w:val="20"/>
                <w:szCs w:val="20"/>
              </w:rPr>
            </w:pPr>
            <w:r w:rsidRPr="00AA17B3">
              <w:rPr>
                <w:rFonts w:cs="Arial"/>
                <w:sz w:val="20"/>
                <w:szCs w:val="20"/>
              </w:rPr>
              <w:t>Blue whale (pygmy)</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5B9CA385"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E</w:t>
            </w:r>
          </w:p>
        </w:tc>
        <w:tc>
          <w:tcPr>
            <w:tcW w:w="592" w:type="pct"/>
            <w:tcBorders>
              <w:top w:val="single" w:sz="4" w:space="0" w:color="auto"/>
              <w:left w:val="single" w:sz="4" w:space="0" w:color="auto"/>
              <w:bottom w:val="single" w:sz="4" w:space="0" w:color="auto"/>
              <w:right w:val="single" w:sz="4" w:space="0" w:color="auto"/>
            </w:tcBorders>
            <w:vAlign w:val="center"/>
          </w:tcPr>
          <w:p w14:paraId="233A197F" w14:textId="7C9C74BC" w:rsidR="00E43215" w:rsidRPr="00AA17B3" w:rsidRDefault="00E43215" w:rsidP="00AA17B3">
            <w:pPr>
              <w:pStyle w:val="TableText"/>
              <w:jc w:val="center"/>
              <w:rPr>
                <w:rFonts w:cs="Arial"/>
                <w:sz w:val="20"/>
                <w:szCs w:val="20"/>
              </w:rPr>
            </w:pPr>
            <w:r w:rsidRPr="00ED6AE0">
              <w:rPr>
                <w:rFonts w:cs="Arial"/>
                <w:sz w:val="20"/>
                <w:szCs w:val="20"/>
              </w:rPr>
              <w:t>Yes</w:t>
            </w:r>
          </w:p>
        </w:tc>
        <w:tc>
          <w:tcPr>
            <w:tcW w:w="592" w:type="pct"/>
            <w:tcBorders>
              <w:top w:val="single" w:sz="4" w:space="0" w:color="auto"/>
              <w:left w:val="single" w:sz="4" w:space="0" w:color="auto"/>
              <w:bottom w:val="single" w:sz="4" w:space="0" w:color="auto"/>
              <w:right w:val="single" w:sz="4" w:space="0" w:color="auto"/>
            </w:tcBorders>
            <w:vAlign w:val="center"/>
          </w:tcPr>
          <w:p w14:paraId="06F0D5C9" w14:textId="48B2A86D" w:rsidR="00E43215" w:rsidRPr="00AA17B3" w:rsidRDefault="00E43215" w:rsidP="00AA17B3">
            <w:pPr>
              <w:pStyle w:val="TableText"/>
              <w:jc w:val="center"/>
              <w:rPr>
                <w:rFonts w:cs="Arial"/>
                <w:sz w:val="20"/>
                <w:szCs w:val="20"/>
              </w:rPr>
            </w:pPr>
            <w:r w:rsidRPr="00292B7A">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5E8F007A" w14:textId="67F123C9" w:rsidR="00E43215" w:rsidRPr="00AA17B3" w:rsidRDefault="00E43215" w:rsidP="00891DE1">
            <w:pPr>
              <w:spacing w:before="60" w:after="60"/>
              <w:ind w:left="15" w:hanging="15"/>
              <w:jc w:val="center"/>
              <w:rPr>
                <w:rFonts w:cs="Arial"/>
                <w:sz w:val="20"/>
                <w:szCs w:val="20"/>
              </w:rPr>
            </w:pPr>
            <w:r>
              <w:rPr>
                <w:rFonts w:cs="Arial"/>
                <w:sz w:val="20"/>
                <w:szCs w:val="20"/>
              </w:rPr>
              <w:t>T</w:t>
            </w:r>
          </w:p>
        </w:tc>
        <w:tc>
          <w:tcPr>
            <w:tcW w:w="517" w:type="pct"/>
            <w:tcBorders>
              <w:top w:val="single" w:sz="4" w:space="0" w:color="auto"/>
              <w:left w:val="single" w:sz="4" w:space="0" w:color="auto"/>
              <w:bottom w:val="single" w:sz="4" w:space="0" w:color="auto"/>
              <w:right w:val="single" w:sz="4" w:space="0" w:color="auto"/>
            </w:tcBorders>
            <w:vAlign w:val="center"/>
          </w:tcPr>
          <w:p w14:paraId="60463FC8" w14:textId="51BD19AE" w:rsidR="00E43215" w:rsidRPr="00AA17B3" w:rsidRDefault="00E43215" w:rsidP="00326D55">
            <w:pPr>
              <w:spacing w:before="60" w:after="60"/>
              <w:ind w:left="55" w:hanging="55"/>
              <w:jc w:val="center"/>
              <w:rPr>
                <w:rFonts w:cs="Arial"/>
                <w:sz w:val="20"/>
                <w:szCs w:val="20"/>
              </w:rPr>
            </w:pPr>
            <w:r w:rsidRPr="00AA17B3">
              <w:rPr>
                <w:rFonts w:cs="Arial"/>
                <w:sz w:val="20"/>
                <w:szCs w:val="20"/>
              </w:rPr>
              <w:t>F</w:t>
            </w:r>
          </w:p>
        </w:tc>
        <w:tc>
          <w:tcPr>
            <w:tcW w:w="592" w:type="pct"/>
            <w:tcBorders>
              <w:top w:val="single" w:sz="4" w:space="0" w:color="auto"/>
              <w:left w:val="single" w:sz="4" w:space="0" w:color="auto"/>
              <w:bottom w:val="single" w:sz="4" w:space="0" w:color="auto"/>
              <w:right w:val="single" w:sz="4" w:space="0" w:color="auto"/>
            </w:tcBorders>
          </w:tcPr>
          <w:p w14:paraId="0209CB9A" w14:textId="02EBF1E3" w:rsidR="00E43215" w:rsidRPr="00AA17B3" w:rsidRDefault="00E43215" w:rsidP="00F92BED">
            <w:pPr>
              <w:pStyle w:val="TableText"/>
              <w:jc w:val="center"/>
              <w:rPr>
                <w:rFonts w:cs="Arial"/>
                <w:sz w:val="20"/>
                <w:szCs w:val="20"/>
              </w:rPr>
            </w:pPr>
            <w:r w:rsidRPr="00AA17B3">
              <w:rPr>
                <w:rFonts w:cs="Arial"/>
                <w:sz w:val="20"/>
                <w:szCs w:val="20"/>
              </w:rPr>
              <w:t>RP, AS</w:t>
            </w:r>
          </w:p>
        </w:tc>
      </w:tr>
      <w:tr w:rsidR="00E43215" w:rsidRPr="00AA17B3" w14:paraId="0F7F6B5B"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1257D657" w14:textId="77777777" w:rsidR="00E43215" w:rsidRPr="00AA17B3" w:rsidRDefault="00E43215" w:rsidP="00F92BED">
            <w:pPr>
              <w:spacing w:before="60" w:after="60"/>
              <w:ind w:left="0"/>
              <w:rPr>
                <w:rFonts w:cs="Arial"/>
                <w:i/>
                <w:sz w:val="20"/>
                <w:szCs w:val="20"/>
              </w:rPr>
            </w:pPr>
            <w:r w:rsidRPr="00AA17B3">
              <w:rPr>
                <w:rFonts w:cs="Arial"/>
                <w:i/>
                <w:sz w:val="20"/>
                <w:szCs w:val="20"/>
              </w:rPr>
              <w:lastRenderedPageBreak/>
              <w:t>Balaenoptera physalus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4EC681E6" w14:textId="77777777" w:rsidR="00E43215" w:rsidRPr="00AA17B3" w:rsidRDefault="00E43215" w:rsidP="00E43215">
            <w:pPr>
              <w:spacing w:before="60" w:after="60"/>
              <w:ind w:left="35" w:hanging="35"/>
              <w:rPr>
                <w:rFonts w:cs="Arial"/>
                <w:sz w:val="20"/>
                <w:szCs w:val="20"/>
              </w:rPr>
            </w:pPr>
            <w:r w:rsidRPr="00AA17B3">
              <w:rPr>
                <w:rFonts w:cs="Arial"/>
                <w:sz w:val="20"/>
                <w:szCs w:val="20"/>
              </w:rPr>
              <w:t>Fin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30723A89"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V</w:t>
            </w:r>
          </w:p>
        </w:tc>
        <w:tc>
          <w:tcPr>
            <w:tcW w:w="592" w:type="pct"/>
            <w:tcBorders>
              <w:top w:val="single" w:sz="4" w:space="0" w:color="auto"/>
              <w:left w:val="single" w:sz="4" w:space="0" w:color="auto"/>
              <w:bottom w:val="single" w:sz="4" w:space="0" w:color="auto"/>
              <w:right w:val="single" w:sz="4" w:space="0" w:color="auto"/>
            </w:tcBorders>
            <w:vAlign w:val="center"/>
          </w:tcPr>
          <w:p w14:paraId="293C556A" w14:textId="7872AE25" w:rsidR="00E43215" w:rsidRPr="00AA17B3" w:rsidRDefault="00E43215" w:rsidP="00AA17B3">
            <w:pPr>
              <w:pStyle w:val="TableText"/>
              <w:jc w:val="center"/>
              <w:rPr>
                <w:rFonts w:cs="Arial"/>
                <w:sz w:val="20"/>
                <w:szCs w:val="20"/>
              </w:rPr>
            </w:pPr>
            <w:r w:rsidRPr="00ED6AE0">
              <w:rPr>
                <w:rFonts w:cs="Arial"/>
                <w:sz w:val="20"/>
                <w:szCs w:val="20"/>
              </w:rPr>
              <w:t>Yes</w:t>
            </w:r>
          </w:p>
        </w:tc>
        <w:tc>
          <w:tcPr>
            <w:tcW w:w="592" w:type="pct"/>
            <w:tcBorders>
              <w:top w:val="single" w:sz="4" w:space="0" w:color="auto"/>
              <w:left w:val="single" w:sz="4" w:space="0" w:color="auto"/>
              <w:bottom w:val="single" w:sz="4" w:space="0" w:color="auto"/>
              <w:right w:val="single" w:sz="4" w:space="0" w:color="auto"/>
            </w:tcBorders>
            <w:vAlign w:val="center"/>
          </w:tcPr>
          <w:p w14:paraId="0AA58D77" w14:textId="19817D89" w:rsidR="00E43215" w:rsidRPr="00AA17B3" w:rsidRDefault="00E43215" w:rsidP="00AA17B3">
            <w:pPr>
              <w:pStyle w:val="TableText"/>
              <w:jc w:val="center"/>
              <w:rPr>
                <w:rFonts w:cs="Arial"/>
                <w:sz w:val="20"/>
                <w:szCs w:val="20"/>
              </w:rPr>
            </w:pPr>
            <w:r w:rsidRPr="00292B7A">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658D1260" w14:textId="1571D7ED"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0C30CC6D" w14:textId="2F12211D"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tcPr>
          <w:p w14:paraId="471F1BEF" w14:textId="77777777" w:rsidR="00E43215" w:rsidRPr="00AA17B3" w:rsidRDefault="00E43215" w:rsidP="00F92BED">
            <w:pPr>
              <w:pStyle w:val="TableText"/>
              <w:jc w:val="center"/>
              <w:rPr>
                <w:rFonts w:cs="Arial"/>
                <w:sz w:val="20"/>
                <w:szCs w:val="20"/>
              </w:rPr>
            </w:pPr>
            <w:r w:rsidRPr="00AA17B3">
              <w:rPr>
                <w:rFonts w:cs="Arial"/>
                <w:sz w:val="20"/>
                <w:szCs w:val="20"/>
              </w:rPr>
              <w:t>CA</w:t>
            </w:r>
          </w:p>
        </w:tc>
      </w:tr>
      <w:tr w:rsidR="00E43215" w:rsidRPr="00AA17B3" w14:paraId="77491C52"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26463922" w14:textId="77777777" w:rsidR="00E43215" w:rsidRPr="00AA17B3" w:rsidRDefault="00E43215" w:rsidP="00F92BED">
            <w:pPr>
              <w:spacing w:before="60" w:after="60"/>
              <w:ind w:left="0"/>
              <w:rPr>
                <w:rFonts w:cs="Arial"/>
                <w:i/>
                <w:sz w:val="20"/>
                <w:szCs w:val="20"/>
              </w:rPr>
            </w:pPr>
            <w:r w:rsidRPr="00AA17B3">
              <w:rPr>
                <w:rFonts w:cs="Arial"/>
                <w:i/>
                <w:sz w:val="20"/>
                <w:szCs w:val="20"/>
              </w:rPr>
              <w:t>Berardius arnuxii</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6F0A943B" w14:textId="77777777" w:rsidR="00E43215" w:rsidRPr="00AA17B3" w:rsidRDefault="00E43215" w:rsidP="00891DE1">
            <w:pPr>
              <w:spacing w:before="60" w:after="60"/>
              <w:ind w:left="35" w:hanging="35"/>
              <w:rPr>
                <w:rFonts w:eastAsia="MS Mincho" w:cs="Arial"/>
                <w:b/>
                <w:bCs/>
                <w:i/>
                <w:iCs/>
                <w:color w:val="22058A"/>
                <w:sz w:val="20"/>
                <w:szCs w:val="20"/>
                <w:lang w:eastAsia="en-US"/>
              </w:rPr>
            </w:pPr>
            <w:r w:rsidRPr="00AA17B3">
              <w:rPr>
                <w:rFonts w:cs="Arial"/>
                <w:sz w:val="20"/>
                <w:szCs w:val="20"/>
              </w:rPr>
              <w:t>Arnoux’s beaked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03E59532"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19995916" w14:textId="77777777" w:rsidR="00E43215" w:rsidRPr="00AA17B3" w:rsidRDefault="00E43215" w:rsidP="00AA17B3">
            <w:pPr>
              <w:pStyle w:val="TableText"/>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2AFB6421" w14:textId="4B798D0B" w:rsidR="00E43215" w:rsidRPr="00AA17B3" w:rsidRDefault="00E43215" w:rsidP="00AA17B3">
            <w:pPr>
              <w:pStyle w:val="TableText"/>
              <w:jc w:val="center"/>
              <w:rPr>
                <w:rFonts w:cs="Arial"/>
                <w:sz w:val="20"/>
                <w:szCs w:val="20"/>
              </w:rPr>
            </w:pPr>
            <w:r w:rsidRPr="00292B7A">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51D68B90" w14:textId="4B756920"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093D163D" w14:textId="7006D998"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078AEA3F"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E43215" w:rsidRPr="00AA17B3" w14:paraId="041F1402"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4AD060C9" w14:textId="77777777" w:rsidR="00E43215" w:rsidRPr="00AA17B3" w:rsidRDefault="00E43215" w:rsidP="00F92BED">
            <w:pPr>
              <w:spacing w:before="60" w:after="60"/>
              <w:ind w:left="0"/>
              <w:rPr>
                <w:rFonts w:cs="Arial"/>
                <w:i/>
                <w:sz w:val="20"/>
                <w:szCs w:val="20"/>
              </w:rPr>
            </w:pPr>
            <w:r w:rsidRPr="00AA17B3">
              <w:rPr>
                <w:rFonts w:cs="Arial"/>
                <w:i/>
                <w:sz w:val="20"/>
                <w:szCs w:val="20"/>
              </w:rPr>
              <w:t>Caperea marginata</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371DE78C" w14:textId="77777777" w:rsidR="00E43215" w:rsidRPr="00AA17B3" w:rsidRDefault="00E43215" w:rsidP="00891DE1">
            <w:pPr>
              <w:spacing w:before="60" w:after="60"/>
              <w:ind w:left="35" w:hanging="35"/>
              <w:rPr>
                <w:rFonts w:eastAsia="MS Mincho" w:cs="Arial"/>
                <w:b/>
                <w:bCs/>
                <w:i/>
                <w:iCs/>
                <w:color w:val="22058A"/>
                <w:sz w:val="20"/>
                <w:szCs w:val="20"/>
                <w:lang w:eastAsia="en-US"/>
              </w:rPr>
            </w:pPr>
            <w:r w:rsidRPr="00AA17B3">
              <w:rPr>
                <w:rFonts w:cs="Arial"/>
                <w:sz w:val="20"/>
                <w:szCs w:val="20"/>
              </w:rPr>
              <w:t>Pygmy right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1148A840"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2B6B502E" w14:textId="04487C88" w:rsidR="00E43215" w:rsidRPr="00AA17B3" w:rsidRDefault="00E43215" w:rsidP="00AA17B3">
            <w:pPr>
              <w:pStyle w:val="TableText"/>
              <w:jc w:val="center"/>
              <w:rPr>
                <w:rFonts w:cs="Arial"/>
                <w:sz w:val="20"/>
                <w:szCs w:val="20"/>
              </w:rPr>
            </w:pPr>
            <w:r w:rsidRPr="00EE47D3">
              <w:rPr>
                <w:rFonts w:cs="Arial"/>
                <w:sz w:val="20"/>
                <w:szCs w:val="20"/>
              </w:rPr>
              <w:t>Yes</w:t>
            </w:r>
          </w:p>
        </w:tc>
        <w:tc>
          <w:tcPr>
            <w:tcW w:w="592" w:type="pct"/>
            <w:tcBorders>
              <w:top w:val="single" w:sz="4" w:space="0" w:color="auto"/>
              <w:left w:val="single" w:sz="4" w:space="0" w:color="auto"/>
              <w:bottom w:val="single" w:sz="4" w:space="0" w:color="auto"/>
              <w:right w:val="single" w:sz="4" w:space="0" w:color="auto"/>
            </w:tcBorders>
            <w:vAlign w:val="center"/>
          </w:tcPr>
          <w:p w14:paraId="4EEFBFA3" w14:textId="4BBC39EB" w:rsidR="00E43215" w:rsidRPr="00AA17B3" w:rsidRDefault="00E43215" w:rsidP="00AA17B3">
            <w:pPr>
              <w:pStyle w:val="TableText"/>
              <w:jc w:val="center"/>
              <w:rPr>
                <w:rFonts w:cs="Arial"/>
                <w:sz w:val="20"/>
                <w:szCs w:val="20"/>
              </w:rPr>
            </w:pPr>
            <w:r w:rsidRPr="00292B7A">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6D820845" w14:textId="724EDC25" w:rsidR="00E43215" w:rsidRPr="00AA17B3" w:rsidRDefault="00E43215" w:rsidP="00891DE1">
            <w:pPr>
              <w:pStyle w:val="TableText"/>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5E97C2A1" w14:textId="2EB4EA02" w:rsidR="00E43215" w:rsidRPr="00AA17B3" w:rsidRDefault="00E43215" w:rsidP="00F92BED">
            <w:pPr>
              <w:pStyle w:val="TableText"/>
              <w:jc w:val="center"/>
              <w:rPr>
                <w:rFonts w:cs="Arial"/>
                <w:sz w:val="20"/>
                <w:szCs w:val="20"/>
              </w:rPr>
            </w:pPr>
            <w:r w:rsidRPr="00AA17B3">
              <w:rPr>
                <w:rFonts w:cs="Arial"/>
                <w:sz w:val="20"/>
                <w:szCs w:val="20"/>
              </w:rPr>
              <w:t>F</w:t>
            </w:r>
          </w:p>
        </w:tc>
        <w:tc>
          <w:tcPr>
            <w:tcW w:w="592" w:type="pct"/>
            <w:tcBorders>
              <w:top w:val="single" w:sz="4" w:space="0" w:color="auto"/>
              <w:left w:val="single" w:sz="4" w:space="0" w:color="auto"/>
              <w:bottom w:val="single" w:sz="4" w:space="0" w:color="auto"/>
              <w:right w:val="single" w:sz="4" w:space="0" w:color="auto"/>
            </w:tcBorders>
            <w:vAlign w:val="center"/>
          </w:tcPr>
          <w:p w14:paraId="7F128256" w14:textId="3B597D8D"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E43215" w:rsidRPr="00AA17B3" w14:paraId="250DE2E3"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374F4075" w14:textId="77777777" w:rsidR="00E43215" w:rsidRPr="00AA17B3" w:rsidRDefault="00E43215" w:rsidP="00F92BED">
            <w:pPr>
              <w:spacing w:before="60" w:after="60"/>
              <w:ind w:left="0"/>
              <w:rPr>
                <w:rFonts w:cs="Arial"/>
                <w:i/>
                <w:sz w:val="20"/>
                <w:szCs w:val="20"/>
              </w:rPr>
            </w:pPr>
            <w:r w:rsidRPr="00AA17B3">
              <w:rPr>
                <w:rFonts w:cs="Arial"/>
                <w:i/>
                <w:sz w:val="20"/>
                <w:szCs w:val="20"/>
              </w:rPr>
              <w:t>Eubalaena australis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76689707" w14:textId="77777777" w:rsidR="00E43215" w:rsidRPr="00AA17B3" w:rsidRDefault="00E43215" w:rsidP="00891DE1">
            <w:pPr>
              <w:spacing w:before="60" w:after="60"/>
              <w:ind w:left="35" w:hanging="35"/>
              <w:rPr>
                <w:rFonts w:eastAsia="MS Mincho" w:cs="Arial"/>
                <w:b/>
                <w:bCs/>
                <w:i/>
                <w:iCs/>
                <w:color w:val="22058A"/>
                <w:sz w:val="20"/>
                <w:szCs w:val="20"/>
                <w:lang w:eastAsia="en-US"/>
              </w:rPr>
            </w:pPr>
            <w:r w:rsidRPr="00AA17B3">
              <w:rPr>
                <w:rFonts w:cs="Arial"/>
                <w:sz w:val="20"/>
                <w:szCs w:val="20"/>
              </w:rPr>
              <w:t>Southern right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2576CF2C"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E</w:t>
            </w:r>
          </w:p>
        </w:tc>
        <w:tc>
          <w:tcPr>
            <w:tcW w:w="592" w:type="pct"/>
            <w:tcBorders>
              <w:top w:val="single" w:sz="4" w:space="0" w:color="auto"/>
              <w:left w:val="single" w:sz="4" w:space="0" w:color="auto"/>
              <w:bottom w:val="single" w:sz="4" w:space="0" w:color="auto"/>
              <w:right w:val="single" w:sz="4" w:space="0" w:color="auto"/>
            </w:tcBorders>
            <w:vAlign w:val="center"/>
          </w:tcPr>
          <w:p w14:paraId="59F6868D" w14:textId="4116AD00" w:rsidR="00E43215" w:rsidRPr="00AA17B3" w:rsidRDefault="00E43215" w:rsidP="00AA17B3">
            <w:pPr>
              <w:pStyle w:val="TableText"/>
              <w:jc w:val="center"/>
              <w:rPr>
                <w:rFonts w:cs="Arial"/>
                <w:sz w:val="20"/>
                <w:szCs w:val="20"/>
              </w:rPr>
            </w:pPr>
            <w:r w:rsidRPr="00EE47D3">
              <w:rPr>
                <w:rFonts w:cs="Arial"/>
                <w:sz w:val="20"/>
                <w:szCs w:val="20"/>
              </w:rPr>
              <w:t>Yes</w:t>
            </w:r>
          </w:p>
        </w:tc>
        <w:tc>
          <w:tcPr>
            <w:tcW w:w="592" w:type="pct"/>
            <w:tcBorders>
              <w:top w:val="single" w:sz="4" w:space="0" w:color="auto"/>
              <w:left w:val="single" w:sz="4" w:space="0" w:color="auto"/>
              <w:bottom w:val="single" w:sz="4" w:space="0" w:color="auto"/>
              <w:right w:val="single" w:sz="4" w:space="0" w:color="auto"/>
            </w:tcBorders>
            <w:vAlign w:val="center"/>
          </w:tcPr>
          <w:p w14:paraId="6194B892" w14:textId="12E32C4D" w:rsidR="00E43215" w:rsidRPr="00AA17B3" w:rsidRDefault="00E43215" w:rsidP="00AA17B3">
            <w:pPr>
              <w:pStyle w:val="TableText"/>
              <w:jc w:val="center"/>
              <w:rPr>
                <w:rFonts w:cs="Arial"/>
                <w:sz w:val="20"/>
                <w:szCs w:val="20"/>
              </w:rPr>
            </w:pPr>
            <w:r w:rsidRPr="00292B7A">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599C2CEB" w14:textId="28F6CBA9" w:rsidR="00E43215" w:rsidRPr="00AA17B3" w:rsidRDefault="00E43215" w:rsidP="00891DE1">
            <w:pPr>
              <w:pStyle w:val="TableText"/>
              <w:ind w:left="15" w:hanging="15"/>
              <w:jc w:val="center"/>
              <w:rPr>
                <w:rFonts w:cs="Arial"/>
                <w:sz w:val="20"/>
                <w:szCs w:val="20"/>
              </w:rPr>
            </w:pPr>
            <w:r>
              <w:rPr>
                <w:rFonts w:cs="Arial"/>
                <w:sz w:val="20"/>
                <w:szCs w:val="20"/>
              </w:rPr>
              <w:t>T</w:t>
            </w:r>
          </w:p>
        </w:tc>
        <w:tc>
          <w:tcPr>
            <w:tcW w:w="517" w:type="pct"/>
            <w:tcBorders>
              <w:top w:val="single" w:sz="4" w:space="0" w:color="auto"/>
              <w:left w:val="single" w:sz="4" w:space="0" w:color="auto"/>
              <w:bottom w:val="single" w:sz="4" w:space="0" w:color="auto"/>
              <w:right w:val="single" w:sz="4" w:space="0" w:color="auto"/>
            </w:tcBorders>
            <w:vAlign w:val="center"/>
          </w:tcPr>
          <w:p w14:paraId="2179A1B7" w14:textId="30842C17" w:rsidR="00E43215" w:rsidRPr="00AA17B3" w:rsidRDefault="00E43215" w:rsidP="00F92BED">
            <w:pPr>
              <w:pStyle w:val="TableText"/>
              <w:jc w:val="center"/>
              <w:rPr>
                <w:rFonts w:cs="Arial"/>
                <w:sz w:val="20"/>
                <w:szCs w:val="20"/>
              </w:rPr>
            </w:pPr>
            <w:r w:rsidRPr="00AA17B3">
              <w:rPr>
                <w:rFonts w:cs="Arial"/>
                <w:sz w:val="20"/>
                <w:szCs w:val="20"/>
              </w:rPr>
              <w:t>M/R</w:t>
            </w:r>
          </w:p>
        </w:tc>
        <w:tc>
          <w:tcPr>
            <w:tcW w:w="592" w:type="pct"/>
            <w:tcBorders>
              <w:top w:val="single" w:sz="4" w:space="0" w:color="auto"/>
              <w:left w:val="single" w:sz="4" w:space="0" w:color="auto"/>
              <w:bottom w:val="single" w:sz="4" w:space="0" w:color="auto"/>
              <w:right w:val="single" w:sz="4" w:space="0" w:color="auto"/>
            </w:tcBorders>
            <w:vAlign w:val="center"/>
          </w:tcPr>
          <w:p w14:paraId="523DB9CE" w14:textId="2577F709" w:rsidR="00E43215" w:rsidRPr="00AA17B3" w:rsidRDefault="00E43215" w:rsidP="00F92BED">
            <w:pPr>
              <w:pStyle w:val="TableText"/>
              <w:jc w:val="center"/>
              <w:rPr>
                <w:rFonts w:cs="Arial"/>
                <w:sz w:val="20"/>
                <w:szCs w:val="20"/>
              </w:rPr>
            </w:pPr>
            <w:r w:rsidRPr="00AA17B3">
              <w:rPr>
                <w:rFonts w:cs="Arial"/>
                <w:sz w:val="20"/>
                <w:szCs w:val="20"/>
              </w:rPr>
              <w:t>CMP, AS</w:t>
            </w:r>
          </w:p>
        </w:tc>
      </w:tr>
      <w:tr w:rsidR="00E43215" w:rsidRPr="00AA17B3" w14:paraId="5C3AF356"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20C5EA25" w14:textId="5A1D5874" w:rsidR="00E43215" w:rsidRPr="00AA17B3" w:rsidRDefault="00E43215" w:rsidP="00F92BED">
            <w:pPr>
              <w:spacing w:before="60" w:after="60"/>
              <w:ind w:left="0"/>
              <w:rPr>
                <w:rFonts w:cs="Arial"/>
                <w:i/>
                <w:sz w:val="20"/>
                <w:szCs w:val="20"/>
              </w:rPr>
            </w:pPr>
            <w:r w:rsidRPr="00AA17B3">
              <w:rPr>
                <w:rFonts w:cs="Arial"/>
                <w:i/>
                <w:sz w:val="20"/>
                <w:szCs w:val="20"/>
              </w:rPr>
              <w:t>Globicephala macrorhyn</w:t>
            </w:r>
            <w:r>
              <w:rPr>
                <w:rFonts w:cs="Arial"/>
                <w:i/>
                <w:sz w:val="20"/>
                <w:szCs w:val="20"/>
              </w:rPr>
              <w:t>-</w:t>
            </w:r>
            <w:r w:rsidRPr="00AA17B3">
              <w:rPr>
                <w:rFonts w:cs="Arial"/>
                <w:i/>
                <w:sz w:val="20"/>
                <w:szCs w:val="20"/>
              </w:rPr>
              <w:t>chus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63B45273" w14:textId="77777777" w:rsidR="00E43215" w:rsidRPr="00AA17B3" w:rsidRDefault="00E43215" w:rsidP="00891DE1">
            <w:pPr>
              <w:spacing w:before="60" w:after="60"/>
              <w:ind w:left="35" w:hanging="35"/>
              <w:rPr>
                <w:rFonts w:eastAsia="MS Mincho" w:cs="Arial"/>
                <w:b/>
                <w:bCs/>
                <w:i/>
                <w:iCs/>
                <w:color w:val="22058A"/>
                <w:sz w:val="20"/>
                <w:szCs w:val="20"/>
                <w:lang w:eastAsia="en-US"/>
              </w:rPr>
            </w:pPr>
            <w:r w:rsidRPr="00AA17B3">
              <w:rPr>
                <w:rFonts w:cs="Arial"/>
                <w:sz w:val="20"/>
                <w:szCs w:val="20"/>
              </w:rPr>
              <w:t>Short-finned pilot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17CBEAC9"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04FACECE" w14:textId="77777777" w:rsidR="00E43215" w:rsidRPr="00AA17B3" w:rsidRDefault="00E43215" w:rsidP="00F92BED">
            <w:pPr>
              <w:pStyle w:val="TableText"/>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24DC67A4" w14:textId="6B01EBE3" w:rsidR="00E43215" w:rsidRPr="00AA17B3" w:rsidRDefault="00E43215" w:rsidP="00AA17B3">
            <w:pPr>
              <w:pStyle w:val="TableText"/>
              <w:jc w:val="center"/>
              <w:rPr>
                <w:rFonts w:cs="Arial"/>
                <w:sz w:val="20"/>
                <w:szCs w:val="20"/>
              </w:rPr>
            </w:pPr>
            <w:r w:rsidRPr="00292B7A">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1E0595EF" w14:textId="56606A61"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3680B7E6" w14:textId="577426E9"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031BCAAD"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E43215" w:rsidRPr="00AA17B3" w14:paraId="1B2634C6"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5C9615B1" w14:textId="77777777" w:rsidR="00E43215" w:rsidRPr="00AA17B3" w:rsidRDefault="00E43215" w:rsidP="00F92BED">
            <w:pPr>
              <w:spacing w:before="60" w:after="60"/>
              <w:ind w:left="0"/>
              <w:rPr>
                <w:rFonts w:cs="Arial"/>
                <w:i/>
                <w:sz w:val="20"/>
                <w:szCs w:val="20"/>
              </w:rPr>
            </w:pPr>
            <w:r w:rsidRPr="00AA17B3">
              <w:rPr>
                <w:rFonts w:cs="Arial"/>
                <w:i/>
                <w:sz w:val="20"/>
                <w:szCs w:val="20"/>
              </w:rPr>
              <w:t>Globicephala melas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04CB03EB" w14:textId="77777777" w:rsidR="00E43215" w:rsidRPr="00AA17B3" w:rsidRDefault="00E43215" w:rsidP="00891DE1">
            <w:pPr>
              <w:spacing w:before="60" w:after="60"/>
              <w:ind w:left="35" w:hanging="35"/>
              <w:rPr>
                <w:rFonts w:eastAsia="MS Mincho" w:cs="Arial"/>
                <w:b/>
                <w:bCs/>
                <w:i/>
                <w:iCs/>
                <w:color w:val="22058A"/>
                <w:sz w:val="20"/>
                <w:szCs w:val="20"/>
                <w:lang w:eastAsia="en-US"/>
              </w:rPr>
            </w:pPr>
            <w:r w:rsidRPr="00AA17B3">
              <w:rPr>
                <w:rFonts w:cs="Arial"/>
                <w:sz w:val="20"/>
                <w:szCs w:val="20"/>
              </w:rPr>
              <w:t>Long-finned pilot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7B61EEF6"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77195417" w14:textId="77777777" w:rsidR="00E43215" w:rsidRPr="00AA17B3" w:rsidRDefault="00E43215" w:rsidP="00F92BED">
            <w:pPr>
              <w:pStyle w:val="TableText"/>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21BBF8F5" w14:textId="38D9540C" w:rsidR="00E43215" w:rsidRPr="00AA17B3" w:rsidRDefault="00E43215" w:rsidP="00AA17B3">
            <w:pPr>
              <w:pStyle w:val="TableText"/>
              <w:jc w:val="center"/>
              <w:rPr>
                <w:rFonts w:cs="Arial"/>
                <w:sz w:val="20"/>
                <w:szCs w:val="20"/>
              </w:rPr>
            </w:pPr>
            <w:r w:rsidRPr="00292B7A">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0C852335" w14:textId="4BDDFD81"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434A998F" w14:textId="5755AAC5"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1FF1D286"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E43215" w:rsidRPr="00AA17B3" w14:paraId="3FDCA62D"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23C35E75" w14:textId="77777777" w:rsidR="00E43215" w:rsidRPr="00AA17B3" w:rsidRDefault="00E43215" w:rsidP="00F92BED">
            <w:pPr>
              <w:spacing w:before="60" w:after="60"/>
              <w:ind w:left="0"/>
              <w:rPr>
                <w:rFonts w:cs="Arial"/>
                <w:i/>
                <w:sz w:val="20"/>
                <w:szCs w:val="20"/>
              </w:rPr>
            </w:pPr>
            <w:r w:rsidRPr="00AA17B3">
              <w:rPr>
                <w:rFonts w:cs="Arial"/>
                <w:i/>
                <w:sz w:val="20"/>
                <w:szCs w:val="20"/>
              </w:rPr>
              <w:t>Kogia breviceps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190B6FC5" w14:textId="77777777" w:rsidR="00E43215" w:rsidRPr="00AA17B3" w:rsidRDefault="00E43215" w:rsidP="00891DE1">
            <w:pPr>
              <w:spacing w:before="60" w:after="60"/>
              <w:ind w:left="35" w:hanging="35"/>
              <w:rPr>
                <w:rFonts w:eastAsia="MS Mincho" w:cs="Arial"/>
                <w:b/>
                <w:bCs/>
                <w:i/>
                <w:iCs/>
                <w:color w:val="22058A"/>
                <w:sz w:val="20"/>
                <w:szCs w:val="20"/>
                <w:lang w:eastAsia="en-US"/>
              </w:rPr>
            </w:pPr>
            <w:r w:rsidRPr="00AA17B3">
              <w:rPr>
                <w:rFonts w:cs="Arial"/>
                <w:sz w:val="20"/>
                <w:szCs w:val="20"/>
              </w:rPr>
              <w:t>Pygmy sperm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66CB940F"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2AFBE5D5" w14:textId="77777777" w:rsidR="00E43215" w:rsidRPr="00AA17B3" w:rsidRDefault="00E43215" w:rsidP="00F92BED">
            <w:pPr>
              <w:pStyle w:val="TableText"/>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1CACE2D0" w14:textId="1AF35A31" w:rsidR="00E43215" w:rsidRPr="00AA17B3" w:rsidRDefault="00E43215" w:rsidP="00AA17B3">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3F377CE8" w14:textId="1E5317C8"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2F861583" w14:textId="6AA46159"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45F41529"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E43215" w:rsidRPr="00AA17B3" w14:paraId="3A230C46"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0EDFF5DA" w14:textId="77777777" w:rsidR="00E43215" w:rsidRPr="00AA17B3" w:rsidRDefault="00E43215" w:rsidP="00F92BED">
            <w:pPr>
              <w:spacing w:before="60" w:after="60"/>
              <w:ind w:left="0"/>
              <w:rPr>
                <w:rFonts w:cs="Arial"/>
                <w:i/>
                <w:sz w:val="20"/>
                <w:szCs w:val="20"/>
              </w:rPr>
            </w:pPr>
            <w:r w:rsidRPr="00AA17B3">
              <w:rPr>
                <w:rFonts w:cs="Arial"/>
                <w:i/>
                <w:sz w:val="20"/>
                <w:szCs w:val="20"/>
              </w:rPr>
              <w:t>Kogia simus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40E75615" w14:textId="77777777" w:rsidR="00E43215" w:rsidRPr="00AA17B3" w:rsidRDefault="00E43215" w:rsidP="00891DE1">
            <w:pPr>
              <w:spacing w:before="60" w:after="60"/>
              <w:ind w:left="35" w:hanging="35"/>
              <w:rPr>
                <w:rFonts w:eastAsia="MS Mincho" w:cs="Arial"/>
                <w:b/>
                <w:bCs/>
                <w:i/>
                <w:iCs/>
                <w:color w:val="22058A"/>
                <w:sz w:val="20"/>
                <w:szCs w:val="20"/>
                <w:lang w:eastAsia="en-US"/>
              </w:rPr>
            </w:pPr>
            <w:r w:rsidRPr="00AA17B3">
              <w:rPr>
                <w:rFonts w:cs="Arial"/>
                <w:sz w:val="20"/>
                <w:szCs w:val="20"/>
              </w:rPr>
              <w:t>Dwarf sperm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05DE2BB7"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373FB4EB" w14:textId="77777777" w:rsidR="00E43215" w:rsidRPr="00AA17B3" w:rsidRDefault="00E43215" w:rsidP="00F92BED">
            <w:pPr>
              <w:pStyle w:val="TableText"/>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220C6002" w14:textId="679B6F63" w:rsidR="00E43215" w:rsidRPr="00AA17B3" w:rsidRDefault="00E43215" w:rsidP="00AA17B3">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29899D76" w14:textId="74C405EE"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4FCBEEE3" w14:textId="4EBFA77F"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5D986337"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E43215" w:rsidRPr="00AA17B3" w14:paraId="3A42A4AE"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6D9AA45B" w14:textId="77777777" w:rsidR="00E43215" w:rsidRPr="00AA17B3" w:rsidRDefault="00E43215" w:rsidP="00F92BED">
            <w:pPr>
              <w:spacing w:before="60" w:after="60"/>
              <w:ind w:left="0"/>
              <w:rPr>
                <w:rFonts w:cs="Arial"/>
                <w:i/>
                <w:sz w:val="20"/>
                <w:szCs w:val="20"/>
              </w:rPr>
            </w:pPr>
            <w:r w:rsidRPr="00AA17B3">
              <w:rPr>
                <w:rFonts w:cs="Arial"/>
                <w:i/>
                <w:sz w:val="20"/>
                <w:szCs w:val="20"/>
              </w:rPr>
              <w:t xml:space="preserve">Megaptera novaeangliae </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60A02979" w14:textId="77777777" w:rsidR="00E43215" w:rsidRPr="00AA17B3" w:rsidRDefault="00E43215" w:rsidP="00891DE1">
            <w:pPr>
              <w:spacing w:before="60" w:after="60"/>
              <w:ind w:left="35" w:hanging="35"/>
              <w:rPr>
                <w:rFonts w:eastAsia="MS Mincho" w:cs="Arial"/>
                <w:b/>
                <w:bCs/>
                <w:i/>
                <w:iCs/>
                <w:color w:val="22058A"/>
                <w:sz w:val="20"/>
                <w:szCs w:val="20"/>
                <w:lang w:eastAsia="en-US"/>
              </w:rPr>
            </w:pPr>
            <w:r w:rsidRPr="00AA17B3">
              <w:rPr>
                <w:rFonts w:cs="Arial"/>
                <w:sz w:val="20"/>
                <w:szCs w:val="20"/>
              </w:rPr>
              <w:t>Humpback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7B63EEE1"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V</w:t>
            </w:r>
          </w:p>
        </w:tc>
        <w:tc>
          <w:tcPr>
            <w:tcW w:w="592" w:type="pct"/>
            <w:tcBorders>
              <w:top w:val="single" w:sz="4" w:space="0" w:color="auto"/>
              <w:left w:val="single" w:sz="4" w:space="0" w:color="auto"/>
              <w:bottom w:val="single" w:sz="4" w:space="0" w:color="auto"/>
              <w:right w:val="single" w:sz="4" w:space="0" w:color="auto"/>
            </w:tcBorders>
            <w:vAlign w:val="center"/>
          </w:tcPr>
          <w:p w14:paraId="43D02B78" w14:textId="472A3255" w:rsidR="00E43215" w:rsidRPr="00AA17B3" w:rsidRDefault="00E43215" w:rsidP="00F92BED">
            <w:pPr>
              <w:pStyle w:val="TableText"/>
              <w:jc w:val="center"/>
              <w:rPr>
                <w:rFonts w:cs="Arial"/>
                <w:sz w:val="20"/>
                <w:szCs w:val="20"/>
              </w:rPr>
            </w:pPr>
            <w:r>
              <w:rPr>
                <w:rFonts w:cs="Arial"/>
                <w:sz w:val="20"/>
                <w:szCs w:val="20"/>
              </w:rPr>
              <w:t>Yes</w:t>
            </w:r>
          </w:p>
        </w:tc>
        <w:tc>
          <w:tcPr>
            <w:tcW w:w="592" w:type="pct"/>
            <w:tcBorders>
              <w:top w:val="single" w:sz="4" w:space="0" w:color="auto"/>
              <w:left w:val="single" w:sz="4" w:space="0" w:color="auto"/>
              <w:bottom w:val="single" w:sz="4" w:space="0" w:color="auto"/>
              <w:right w:val="single" w:sz="4" w:space="0" w:color="auto"/>
            </w:tcBorders>
            <w:vAlign w:val="center"/>
          </w:tcPr>
          <w:p w14:paraId="24206CA4" w14:textId="004A6FCC" w:rsidR="00E43215" w:rsidRPr="00AA17B3" w:rsidRDefault="00E43215" w:rsidP="00AA17B3">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54F1CF1C" w14:textId="1EEFCC9E" w:rsidR="00E43215" w:rsidRPr="00AA17B3" w:rsidRDefault="00E43215" w:rsidP="00891DE1">
            <w:pPr>
              <w:pStyle w:val="TableText"/>
              <w:ind w:left="15" w:hanging="15"/>
              <w:jc w:val="center"/>
              <w:rPr>
                <w:rFonts w:cs="Arial"/>
                <w:sz w:val="20"/>
                <w:szCs w:val="20"/>
              </w:rPr>
            </w:pPr>
            <w:r>
              <w:rPr>
                <w:rFonts w:cs="Arial"/>
                <w:sz w:val="20"/>
                <w:szCs w:val="20"/>
              </w:rPr>
              <w:t>T</w:t>
            </w:r>
          </w:p>
        </w:tc>
        <w:tc>
          <w:tcPr>
            <w:tcW w:w="517" w:type="pct"/>
            <w:tcBorders>
              <w:top w:val="single" w:sz="4" w:space="0" w:color="auto"/>
              <w:left w:val="single" w:sz="4" w:space="0" w:color="auto"/>
              <w:bottom w:val="single" w:sz="4" w:space="0" w:color="auto"/>
              <w:right w:val="single" w:sz="4" w:space="0" w:color="auto"/>
            </w:tcBorders>
            <w:vAlign w:val="center"/>
          </w:tcPr>
          <w:p w14:paraId="0AF4A573" w14:textId="1F6A880B" w:rsidR="00E43215" w:rsidRPr="00AA17B3" w:rsidRDefault="00E43215" w:rsidP="00F92BED">
            <w:pPr>
              <w:pStyle w:val="TableText"/>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667BE665" w14:textId="668F90F2" w:rsidR="00E43215" w:rsidRPr="00AA17B3" w:rsidRDefault="00E43215" w:rsidP="00930945">
            <w:pPr>
              <w:pStyle w:val="TableText"/>
              <w:jc w:val="center"/>
              <w:rPr>
                <w:rFonts w:cs="Arial"/>
                <w:sz w:val="20"/>
                <w:szCs w:val="20"/>
              </w:rPr>
            </w:pPr>
            <w:r w:rsidRPr="00AA17B3">
              <w:rPr>
                <w:rFonts w:cs="Arial"/>
                <w:sz w:val="20"/>
                <w:szCs w:val="20"/>
              </w:rPr>
              <w:t>CA, AS</w:t>
            </w:r>
          </w:p>
        </w:tc>
      </w:tr>
      <w:tr w:rsidR="00E43215" w:rsidRPr="00AA17B3" w14:paraId="4D24E7D5"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29B487F2" w14:textId="77777777" w:rsidR="00E43215" w:rsidRPr="00AA17B3" w:rsidRDefault="00E43215" w:rsidP="00F92BED">
            <w:pPr>
              <w:spacing w:before="60" w:after="60"/>
              <w:ind w:left="0"/>
              <w:rPr>
                <w:rFonts w:cs="Arial"/>
                <w:i/>
                <w:sz w:val="20"/>
                <w:szCs w:val="20"/>
              </w:rPr>
            </w:pPr>
            <w:r w:rsidRPr="00AA17B3">
              <w:rPr>
                <w:rFonts w:cs="Arial"/>
                <w:i/>
                <w:sz w:val="20"/>
                <w:szCs w:val="20"/>
              </w:rPr>
              <w:t>Mesoplodon bowdoini</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0DD01580" w14:textId="77777777" w:rsidR="00E43215" w:rsidRPr="00AA17B3" w:rsidRDefault="00E43215" w:rsidP="00891DE1">
            <w:pPr>
              <w:spacing w:before="60" w:after="60"/>
              <w:ind w:left="35" w:hanging="35"/>
              <w:rPr>
                <w:rFonts w:eastAsia="MS Mincho" w:cs="Arial"/>
                <w:b/>
                <w:bCs/>
                <w:i/>
                <w:iCs/>
                <w:color w:val="22058A"/>
                <w:sz w:val="20"/>
                <w:szCs w:val="20"/>
                <w:lang w:eastAsia="en-US"/>
              </w:rPr>
            </w:pPr>
            <w:r w:rsidRPr="00AA17B3">
              <w:rPr>
                <w:rFonts w:cs="Arial"/>
                <w:sz w:val="20"/>
                <w:szCs w:val="20"/>
              </w:rPr>
              <w:t>Andrew’s beaked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02D58707"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54A9BB82"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0E8B4B44" w14:textId="66BF75AE" w:rsidR="00E43215" w:rsidRPr="00AA17B3" w:rsidRDefault="00E43215" w:rsidP="00AA17B3">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1FD211FB" w14:textId="1F247718"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10D31C70" w14:textId="5BA3391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0DF6B907"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E43215" w:rsidRPr="00AA17B3" w14:paraId="2AE6F806"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1BDEA941" w14:textId="77777777" w:rsidR="00E43215" w:rsidRPr="00AA17B3" w:rsidRDefault="00E43215" w:rsidP="00F92BED">
            <w:pPr>
              <w:spacing w:before="60" w:after="60"/>
              <w:ind w:left="0"/>
              <w:rPr>
                <w:rFonts w:cs="Arial"/>
                <w:i/>
                <w:sz w:val="20"/>
                <w:szCs w:val="20"/>
              </w:rPr>
            </w:pPr>
            <w:r w:rsidRPr="00AA17B3">
              <w:rPr>
                <w:rFonts w:cs="Arial"/>
                <w:i/>
                <w:sz w:val="20"/>
                <w:szCs w:val="20"/>
              </w:rPr>
              <w:t>Mesoplodon densirostirs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71BA3729" w14:textId="77777777" w:rsidR="00E43215" w:rsidRDefault="00E43215" w:rsidP="00891DE1">
            <w:pPr>
              <w:spacing w:before="60" w:after="60"/>
              <w:ind w:left="35" w:hanging="35"/>
              <w:rPr>
                <w:rFonts w:cs="Arial"/>
                <w:sz w:val="20"/>
                <w:szCs w:val="20"/>
              </w:rPr>
            </w:pPr>
            <w:r w:rsidRPr="00AA17B3">
              <w:rPr>
                <w:rFonts w:cs="Arial"/>
                <w:sz w:val="20"/>
                <w:szCs w:val="20"/>
              </w:rPr>
              <w:t>Blainville’s beaked whale</w:t>
            </w:r>
          </w:p>
          <w:p w14:paraId="480FD20B" w14:textId="77777777" w:rsidR="00293A9B" w:rsidRPr="00AA17B3" w:rsidRDefault="00293A9B" w:rsidP="00891DE1">
            <w:pPr>
              <w:spacing w:before="60" w:after="60"/>
              <w:ind w:left="35" w:hanging="35"/>
              <w:rPr>
                <w:rFonts w:eastAsia="MS Mincho" w:cs="Arial"/>
                <w:b/>
                <w:bCs/>
                <w:i/>
                <w:iCs/>
                <w:noProof/>
                <w:color w:val="22058A"/>
                <w:sz w:val="20"/>
                <w:szCs w:val="20"/>
                <w:lang w:eastAsia="en-US"/>
              </w:rPr>
            </w:pP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21F9C903"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06A149D7"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749A7719" w14:textId="11FD646A" w:rsidR="00E43215" w:rsidRPr="00AA17B3" w:rsidRDefault="00E43215" w:rsidP="00AA17B3">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38840EA4" w14:textId="54F9A251"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64D7EA8C" w14:textId="59088FDE"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4A4DEF6D"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E43215" w:rsidRPr="00AA17B3" w14:paraId="12AD8CC8"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79C5C655" w14:textId="77777777" w:rsidR="00E43215" w:rsidRPr="00AA17B3" w:rsidRDefault="00E43215" w:rsidP="00F92BED">
            <w:pPr>
              <w:spacing w:before="60" w:after="60"/>
              <w:ind w:left="0"/>
              <w:rPr>
                <w:rFonts w:cs="Arial"/>
                <w:i/>
                <w:sz w:val="20"/>
                <w:szCs w:val="20"/>
              </w:rPr>
            </w:pPr>
            <w:r w:rsidRPr="00AA17B3">
              <w:rPr>
                <w:rFonts w:cs="Arial"/>
                <w:i/>
                <w:sz w:val="20"/>
                <w:szCs w:val="20"/>
              </w:rPr>
              <w:t>Mesoplodon grayi</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3356A803" w14:textId="77777777" w:rsidR="00E43215" w:rsidRPr="00AA17B3" w:rsidRDefault="00E43215" w:rsidP="00891DE1">
            <w:pPr>
              <w:spacing w:before="60" w:after="60"/>
              <w:ind w:left="35" w:hanging="35"/>
              <w:rPr>
                <w:rFonts w:eastAsia="MS Mincho" w:cs="Arial"/>
                <w:b/>
                <w:bCs/>
                <w:i/>
                <w:iCs/>
                <w:color w:val="22058A"/>
                <w:sz w:val="20"/>
                <w:szCs w:val="20"/>
                <w:lang w:eastAsia="en-US"/>
              </w:rPr>
            </w:pPr>
            <w:r w:rsidRPr="00AA17B3">
              <w:rPr>
                <w:rFonts w:cs="Arial"/>
                <w:sz w:val="20"/>
                <w:szCs w:val="20"/>
              </w:rPr>
              <w:t>Grey’s beaked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1E783BC1"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05992B97"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6029F67A" w14:textId="7FE7CC52" w:rsidR="00E43215" w:rsidRPr="00AA17B3" w:rsidRDefault="00E43215" w:rsidP="00AA17B3">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553ED92C" w14:textId="07D4EC06"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44E1901E" w14:textId="3D327EFF"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1C62BB06"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E43215" w:rsidRPr="00AA17B3" w14:paraId="3571755E"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26FE7F98" w14:textId="77777777" w:rsidR="00E43215" w:rsidRPr="00AA17B3" w:rsidRDefault="00E43215" w:rsidP="00F92BED">
            <w:pPr>
              <w:spacing w:before="60" w:after="60"/>
              <w:ind w:left="0"/>
              <w:rPr>
                <w:rFonts w:cs="Arial"/>
                <w:i/>
                <w:sz w:val="20"/>
                <w:szCs w:val="20"/>
              </w:rPr>
            </w:pPr>
            <w:r w:rsidRPr="00AA17B3">
              <w:rPr>
                <w:rFonts w:cs="Arial"/>
                <w:i/>
                <w:sz w:val="20"/>
                <w:szCs w:val="20"/>
              </w:rPr>
              <w:t>Mesoplodon hectori</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0C71A0C5" w14:textId="77777777" w:rsidR="00E43215" w:rsidRPr="00AA17B3" w:rsidRDefault="00E43215" w:rsidP="00891DE1">
            <w:pPr>
              <w:spacing w:before="60" w:after="60"/>
              <w:ind w:left="35" w:hanging="35"/>
              <w:rPr>
                <w:rFonts w:eastAsia="MS Mincho" w:cs="Arial"/>
                <w:b/>
                <w:bCs/>
                <w:i/>
                <w:iCs/>
                <w:color w:val="22058A"/>
                <w:sz w:val="20"/>
                <w:szCs w:val="20"/>
                <w:lang w:eastAsia="en-US"/>
              </w:rPr>
            </w:pPr>
            <w:r w:rsidRPr="00AA17B3">
              <w:rPr>
                <w:rFonts w:cs="Arial"/>
                <w:sz w:val="20"/>
                <w:szCs w:val="20"/>
              </w:rPr>
              <w:t>Hector’s beaked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7E316208"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478ABD26"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3087388B" w14:textId="76FBD135" w:rsidR="00E43215" w:rsidRPr="00AA17B3" w:rsidRDefault="00E43215" w:rsidP="00AA17B3">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116FE8BB" w14:textId="0E6F598E"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4E90E8E3" w14:textId="671E5356"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284335BE"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E43215" w:rsidRPr="00AA17B3" w14:paraId="54FFBA10"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5CB06B97" w14:textId="77777777" w:rsidR="00E43215" w:rsidRPr="00AA17B3" w:rsidRDefault="00E43215" w:rsidP="00F92BED">
            <w:pPr>
              <w:spacing w:before="60" w:after="60"/>
              <w:ind w:left="0"/>
              <w:rPr>
                <w:rFonts w:cs="Arial"/>
                <w:i/>
                <w:sz w:val="20"/>
                <w:szCs w:val="20"/>
              </w:rPr>
            </w:pPr>
            <w:r w:rsidRPr="00AA17B3">
              <w:rPr>
                <w:rFonts w:cs="Arial"/>
                <w:i/>
                <w:sz w:val="20"/>
                <w:szCs w:val="20"/>
              </w:rPr>
              <w:t>Mesoplodon layardii</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771C74E4" w14:textId="77777777" w:rsidR="00E43215" w:rsidRPr="00AA17B3" w:rsidRDefault="00E43215" w:rsidP="00891DE1">
            <w:pPr>
              <w:spacing w:before="60" w:after="60"/>
              <w:ind w:left="35" w:hanging="35"/>
              <w:rPr>
                <w:rFonts w:eastAsia="MS Mincho" w:cs="Arial"/>
                <w:b/>
                <w:bCs/>
                <w:i/>
                <w:iCs/>
                <w:color w:val="22058A"/>
                <w:sz w:val="20"/>
                <w:szCs w:val="20"/>
                <w:lang w:eastAsia="en-US"/>
              </w:rPr>
            </w:pPr>
            <w:r w:rsidRPr="00AA17B3">
              <w:rPr>
                <w:rFonts w:cs="Arial"/>
                <w:sz w:val="20"/>
                <w:szCs w:val="20"/>
              </w:rPr>
              <w:t>Strap-toothed beaked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19BD4465"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0CF58A05"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42BCA58D" w14:textId="4F9B563C" w:rsidR="00E43215" w:rsidRPr="00AA17B3" w:rsidRDefault="00E43215" w:rsidP="00AA17B3">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6BCAC795" w14:textId="60CB58FA"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5A27F3DA" w14:textId="0D400349"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49C2E609"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E43215" w:rsidRPr="00AA17B3" w14:paraId="0AD8B8F3"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7191ECFF" w14:textId="77777777" w:rsidR="00E43215" w:rsidRPr="00AA17B3" w:rsidRDefault="00E43215" w:rsidP="00F92BED">
            <w:pPr>
              <w:spacing w:before="60" w:after="60"/>
              <w:ind w:left="0"/>
              <w:rPr>
                <w:rFonts w:cs="Arial"/>
                <w:i/>
                <w:sz w:val="20"/>
                <w:szCs w:val="20"/>
              </w:rPr>
            </w:pPr>
            <w:r w:rsidRPr="00AA17B3">
              <w:rPr>
                <w:rFonts w:cs="Arial"/>
                <w:i/>
                <w:sz w:val="20"/>
                <w:szCs w:val="20"/>
              </w:rPr>
              <w:t>Mesoplodon mirus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063DF624" w14:textId="77777777" w:rsidR="00E43215" w:rsidRPr="00AA17B3" w:rsidRDefault="00E43215" w:rsidP="00891DE1">
            <w:pPr>
              <w:spacing w:before="60" w:after="60"/>
              <w:ind w:left="35" w:hanging="2"/>
              <w:rPr>
                <w:rFonts w:eastAsia="MS Mincho" w:cs="Arial"/>
                <w:b/>
                <w:bCs/>
                <w:i/>
                <w:iCs/>
                <w:color w:val="22058A"/>
                <w:sz w:val="20"/>
                <w:szCs w:val="20"/>
                <w:lang w:eastAsia="en-US"/>
              </w:rPr>
            </w:pPr>
            <w:r w:rsidRPr="00AA17B3">
              <w:rPr>
                <w:rFonts w:cs="Arial"/>
                <w:sz w:val="20"/>
                <w:szCs w:val="20"/>
              </w:rPr>
              <w:t>True’s beaked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12186E2A"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4E4705BE"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15B4249D" w14:textId="0BEE234F" w:rsidR="00E43215" w:rsidRPr="00AA17B3" w:rsidRDefault="00E43215" w:rsidP="00AA17B3">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01861FB9" w14:textId="74215817"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3AED65AA" w14:textId="5D578495"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4062014D"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E43215" w:rsidRPr="00AA17B3" w14:paraId="4B87B05B"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373BEAD0" w14:textId="221EA997" w:rsidR="00E43215" w:rsidRPr="00AA17B3" w:rsidRDefault="00E43215" w:rsidP="00F92BED">
            <w:pPr>
              <w:spacing w:before="60" w:after="60"/>
              <w:ind w:left="0"/>
              <w:rPr>
                <w:rFonts w:cs="Arial"/>
                <w:i/>
                <w:sz w:val="20"/>
                <w:szCs w:val="20"/>
              </w:rPr>
            </w:pPr>
            <w:r w:rsidRPr="00AA17B3">
              <w:rPr>
                <w:rFonts w:cs="Arial"/>
                <w:i/>
                <w:sz w:val="20"/>
                <w:szCs w:val="20"/>
              </w:rPr>
              <w:lastRenderedPageBreak/>
              <w:t>Physeter macrocepha</w:t>
            </w:r>
            <w:r w:rsidR="006A7CDA">
              <w:rPr>
                <w:rFonts w:cs="Arial"/>
                <w:i/>
                <w:sz w:val="20"/>
                <w:szCs w:val="20"/>
              </w:rPr>
              <w:t>-</w:t>
            </w:r>
            <w:r w:rsidRPr="00AA17B3">
              <w:rPr>
                <w:rFonts w:cs="Arial"/>
                <w:i/>
                <w:sz w:val="20"/>
                <w:szCs w:val="20"/>
              </w:rPr>
              <w:t>lus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10AC11AB" w14:textId="77777777" w:rsidR="00E43215" w:rsidRPr="00AA17B3" w:rsidRDefault="00E43215" w:rsidP="00891DE1">
            <w:pPr>
              <w:spacing w:before="60" w:after="60"/>
              <w:ind w:left="35" w:hanging="2"/>
              <w:rPr>
                <w:rFonts w:eastAsia="MS Mincho" w:cs="Arial"/>
                <w:b/>
                <w:bCs/>
                <w:i/>
                <w:iCs/>
                <w:color w:val="22058A"/>
                <w:sz w:val="20"/>
                <w:szCs w:val="20"/>
                <w:lang w:eastAsia="en-US"/>
              </w:rPr>
            </w:pPr>
            <w:r w:rsidRPr="00AA17B3">
              <w:rPr>
                <w:rFonts w:cs="Arial"/>
                <w:sz w:val="20"/>
                <w:szCs w:val="20"/>
              </w:rPr>
              <w:t>Sperm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342E9A60"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7AE512C3" w14:textId="13C62FE6" w:rsidR="00E43215" w:rsidRPr="00AA17B3" w:rsidRDefault="00E43215" w:rsidP="00F92BED">
            <w:pPr>
              <w:pStyle w:val="TableText"/>
              <w:jc w:val="center"/>
              <w:rPr>
                <w:rFonts w:cs="Arial"/>
                <w:sz w:val="20"/>
                <w:szCs w:val="20"/>
              </w:rPr>
            </w:pPr>
            <w:r>
              <w:rPr>
                <w:rFonts w:cs="Arial"/>
                <w:sz w:val="20"/>
                <w:szCs w:val="20"/>
              </w:rPr>
              <w:t>Yes</w:t>
            </w:r>
          </w:p>
        </w:tc>
        <w:tc>
          <w:tcPr>
            <w:tcW w:w="592" w:type="pct"/>
            <w:tcBorders>
              <w:top w:val="single" w:sz="4" w:space="0" w:color="auto"/>
              <w:left w:val="single" w:sz="4" w:space="0" w:color="auto"/>
              <w:bottom w:val="single" w:sz="4" w:space="0" w:color="auto"/>
              <w:right w:val="single" w:sz="4" w:space="0" w:color="auto"/>
            </w:tcBorders>
            <w:vAlign w:val="center"/>
          </w:tcPr>
          <w:p w14:paraId="410DC464" w14:textId="63B73C98" w:rsidR="00E43215" w:rsidRPr="00AA17B3" w:rsidRDefault="00E43215" w:rsidP="00AA17B3">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5300E7DF" w14:textId="3E3D726D"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48340C6A" w14:textId="117BBCA6"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0FCD216B"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E43215" w:rsidRPr="00AA17B3" w14:paraId="1ABB8971"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2F856C86" w14:textId="77777777" w:rsidR="00E43215" w:rsidRPr="00AA17B3" w:rsidRDefault="00E43215" w:rsidP="00F92BED">
            <w:pPr>
              <w:spacing w:before="60" w:after="60"/>
              <w:ind w:left="0"/>
              <w:rPr>
                <w:rFonts w:cs="Arial"/>
                <w:i/>
                <w:sz w:val="20"/>
                <w:szCs w:val="20"/>
              </w:rPr>
            </w:pPr>
            <w:r w:rsidRPr="00AA17B3">
              <w:rPr>
                <w:rFonts w:cs="Arial"/>
                <w:i/>
                <w:sz w:val="20"/>
                <w:szCs w:val="20"/>
              </w:rPr>
              <w:t>Pseudorca crassidens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2CA125E0" w14:textId="77777777" w:rsidR="00E43215" w:rsidRPr="00AA17B3" w:rsidRDefault="00E43215" w:rsidP="00891DE1">
            <w:pPr>
              <w:spacing w:before="60" w:after="60"/>
              <w:ind w:left="35" w:hanging="2"/>
              <w:rPr>
                <w:rFonts w:eastAsia="MS Mincho" w:cs="Arial"/>
                <w:b/>
                <w:bCs/>
                <w:i/>
                <w:iCs/>
                <w:color w:val="22058A"/>
                <w:sz w:val="20"/>
                <w:szCs w:val="20"/>
                <w:lang w:eastAsia="en-US"/>
              </w:rPr>
            </w:pPr>
            <w:r w:rsidRPr="00AA17B3">
              <w:rPr>
                <w:rFonts w:cs="Arial"/>
                <w:sz w:val="20"/>
                <w:szCs w:val="20"/>
              </w:rPr>
              <w:t>False killer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3D36CA02"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79F07B13"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19AE8BA1" w14:textId="190D733C" w:rsidR="00E43215" w:rsidRPr="00AA17B3" w:rsidRDefault="00E43215" w:rsidP="00AA17B3">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0C60D149" w14:textId="565B940A"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582F5F8D" w14:textId="64CC4ADC"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2C7189AD"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E43215" w:rsidRPr="00AA17B3" w14:paraId="012A100D"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2794747E" w14:textId="77777777" w:rsidR="00E43215" w:rsidRPr="00AA17B3" w:rsidRDefault="00E43215" w:rsidP="00F92BED">
            <w:pPr>
              <w:spacing w:before="60" w:after="60"/>
              <w:ind w:left="0"/>
              <w:rPr>
                <w:rFonts w:cs="Arial"/>
                <w:i/>
                <w:sz w:val="20"/>
                <w:szCs w:val="20"/>
              </w:rPr>
            </w:pPr>
            <w:r w:rsidRPr="00AA17B3">
              <w:rPr>
                <w:rFonts w:cs="Arial"/>
                <w:i/>
                <w:sz w:val="20"/>
                <w:szCs w:val="20"/>
              </w:rPr>
              <w:t>Ziphius cavirostris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0545C158" w14:textId="77777777" w:rsidR="00E43215" w:rsidRPr="00AA17B3" w:rsidRDefault="00E43215" w:rsidP="00891DE1">
            <w:pPr>
              <w:spacing w:before="60" w:after="60"/>
              <w:ind w:left="35" w:hanging="2"/>
              <w:rPr>
                <w:rFonts w:eastAsia="MS Mincho" w:cs="Arial"/>
                <w:b/>
                <w:bCs/>
                <w:i/>
                <w:iCs/>
                <w:color w:val="22058A"/>
                <w:sz w:val="20"/>
                <w:szCs w:val="20"/>
                <w:lang w:eastAsia="en-US"/>
              </w:rPr>
            </w:pPr>
            <w:r w:rsidRPr="00AA17B3">
              <w:rPr>
                <w:rFonts w:cs="Arial"/>
                <w:sz w:val="20"/>
                <w:szCs w:val="20"/>
              </w:rPr>
              <w:t>Cuvier’s beaked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60170FF4"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6FCBEC50"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7D35AFBF" w14:textId="108F88C9" w:rsidR="00E43215" w:rsidRPr="00AA17B3" w:rsidRDefault="00E43215" w:rsidP="00AA17B3">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1854A0E7" w14:textId="124B38AD"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0FA427CD" w14:textId="79499E8E"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2797AF3A"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6A7CDA" w:rsidRPr="00AA17B3" w14:paraId="75BC9F16" w14:textId="77777777" w:rsidTr="00891DE1">
        <w:trPr>
          <w:trHeight w:val="345"/>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83EA35" w14:textId="0B99B0C2" w:rsidR="006A7CDA" w:rsidRPr="00891DE1" w:rsidRDefault="006A7CDA" w:rsidP="00891DE1">
            <w:pPr>
              <w:ind w:hanging="639"/>
              <w:rPr>
                <w:rFonts w:cs="Arial"/>
                <w:b/>
                <w:sz w:val="20"/>
                <w:szCs w:val="20"/>
              </w:rPr>
            </w:pPr>
            <w:r w:rsidRPr="00891DE1">
              <w:rPr>
                <w:rFonts w:cs="Arial"/>
                <w:b/>
                <w:sz w:val="20"/>
                <w:szCs w:val="20"/>
              </w:rPr>
              <w:t>Dolphins</w:t>
            </w:r>
          </w:p>
        </w:tc>
      </w:tr>
      <w:tr w:rsidR="00E43215" w:rsidRPr="00AA17B3" w14:paraId="79E7A4E3"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7442EF1A" w14:textId="27449069" w:rsidR="00E43215" w:rsidRPr="00AA17B3" w:rsidRDefault="00E43215" w:rsidP="00891DE1">
            <w:pPr>
              <w:spacing w:before="60" w:after="60"/>
              <w:ind w:left="15" w:hanging="15"/>
              <w:rPr>
                <w:rFonts w:eastAsia="MS Mincho" w:cs="Arial"/>
                <w:b/>
                <w:bCs/>
                <w:i/>
                <w:iCs/>
                <w:color w:val="22058A"/>
                <w:sz w:val="20"/>
                <w:szCs w:val="20"/>
                <w:lang w:eastAsia="en-US"/>
              </w:rPr>
            </w:pPr>
            <w:r w:rsidRPr="00AA17B3">
              <w:rPr>
                <w:rFonts w:cs="Arial"/>
                <w:i/>
                <w:sz w:val="20"/>
                <w:szCs w:val="20"/>
              </w:rPr>
              <w:t>Delphinus</w:t>
            </w:r>
            <w:r>
              <w:rPr>
                <w:rFonts w:cs="Arial"/>
                <w:i/>
                <w:sz w:val="20"/>
                <w:szCs w:val="20"/>
              </w:rPr>
              <w:t xml:space="preserve"> </w:t>
            </w:r>
            <w:r w:rsidRPr="00AA17B3">
              <w:rPr>
                <w:rFonts w:cs="Arial"/>
                <w:i/>
                <w:sz w:val="20"/>
                <w:szCs w:val="20"/>
              </w:rPr>
              <w:t>delphis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46DBA1DF" w14:textId="77777777" w:rsidR="00E43215" w:rsidRPr="00AA17B3" w:rsidRDefault="00E43215" w:rsidP="00891DE1">
            <w:pPr>
              <w:spacing w:before="60" w:after="60"/>
              <w:ind w:left="33" w:hanging="33"/>
              <w:rPr>
                <w:rFonts w:eastAsia="MS Mincho" w:cs="Arial"/>
                <w:b/>
                <w:bCs/>
                <w:i/>
                <w:iCs/>
                <w:color w:val="22058A"/>
                <w:sz w:val="20"/>
                <w:szCs w:val="20"/>
                <w:lang w:eastAsia="en-US"/>
              </w:rPr>
            </w:pPr>
            <w:r w:rsidRPr="00AA17B3">
              <w:rPr>
                <w:rFonts w:cs="Arial"/>
                <w:sz w:val="20"/>
                <w:szCs w:val="20"/>
              </w:rPr>
              <w:t>Common dolphin</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72DDB15D"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3DEA3652" w14:textId="77777777" w:rsidR="00E43215" w:rsidRPr="00AA17B3" w:rsidRDefault="00E43215" w:rsidP="00930945">
            <w:pPr>
              <w:ind w:hanging="687"/>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5D32B33E" w14:textId="27FBE207" w:rsidR="00E43215" w:rsidRPr="00AA17B3" w:rsidRDefault="00E43215" w:rsidP="00F92BED">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2CDE2A5A" w14:textId="6AC9EDAE" w:rsidR="00E43215" w:rsidRPr="00AA17B3" w:rsidRDefault="00E43215" w:rsidP="00891DE1">
            <w:pPr>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7D1327FD" w14:textId="6418F790" w:rsidR="00E43215" w:rsidRPr="00AA17B3" w:rsidRDefault="00E43215" w:rsidP="00930945">
            <w:pPr>
              <w:ind w:hanging="638"/>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62F20646" w14:textId="77777777" w:rsidR="00E43215" w:rsidRPr="00AA17B3" w:rsidRDefault="00E43215" w:rsidP="00930945">
            <w:pPr>
              <w:ind w:hanging="639"/>
              <w:jc w:val="center"/>
              <w:rPr>
                <w:rFonts w:cs="Arial"/>
                <w:sz w:val="20"/>
                <w:szCs w:val="20"/>
              </w:rPr>
            </w:pPr>
            <w:r w:rsidRPr="00AA17B3">
              <w:rPr>
                <w:rFonts w:cs="Arial"/>
                <w:sz w:val="20"/>
                <w:szCs w:val="20"/>
              </w:rPr>
              <w:t>-</w:t>
            </w:r>
          </w:p>
        </w:tc>
      </w:tr>
      <w:tr w:rsidR="00E43215" w:rsidRPr="00AA17B3" w14:paraId="4A379B81"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46AD832A" w14:textId="77777777" w:rsidR="00E43215" w:rsidRPr="00AA17B3" w:rsidRDefault="00E43215" w:rsidP="00F92BED">
            <w:pPr>
              <w:spacing w:before="60" w:after="60"/>
              <w:ind w:left="0"/>
              <w:rPr>
                <w:rFonts w:cs="Arial"/>
                <w:i/>
                <w:sz w:val="20"/>
                <w:szCs w:val="20"/>
              </w:rPr>
            </w:pPr>
            <w:r w:rsidRPr="00AA17B3">
              <w:rPr>
                <w:rFonts w:cs="Arial"/>
                <w:i/>
                <w:sz w:val="20"/>
                <w:szCs w:val="20"/>
              </w:rPr>
              <w:t>Grampus griseus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098DAEEA" w14:textId="77777777" w:rsidR="00E43215" w:rsidRPr="00AA17B3" w:rsidRDefault="00E43215" w:rsidP="00891DE1">
            <w:pPr>
              <w:spacing w:before="60" w:after="60"/>
              <w:ind w:left="33" w:hanging="33"/>
              <w:rPr>
                <w:rFonts w:eastAsia="MS Mincho" w:cs="Arial"/>
                <w:b/>
                <w:bCs/>
                <w:i/>
                <w:iCs/>
                <w:color w:val="22058A"/>
                <w:sz w:val="20"/>
                <w:szCs w:val="20"/>
                <w:lang w:eastAsia="en-US"/>
              </w:rPr>
            </w:pPr>
            <w:r w:rsidRPr="00AA17B3">
              <w:rPr>
                <w:rFonts w:cs="Arial"/>
                <w:sz w:val="20"/>
                <w:szCs w:val="20"/>
              </w:rPr>
              <w:t>Risso’s dolphin</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1B7BF385"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7D39E4BE" w14:textId="77777777" w:rsidR="00E43215" w:rsidRPr="00AA17B3" w:rsidRDefault="00E43215" w:rsidP="00930945">
            <w:pPr>
              <w:ind w:hanging="687"/>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31094C67" w14:textId="74302C35" w:rsidR="00E43215" w:rsidRPr="00AA17B3" w:rsidRDefault="00E43215" w:rsidP="00F92BED">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702445BE" w14:textId="5FB02C30" w:rsidR="00E43215" w:rsidRPr="00AA17B3" w:rsidRDefault="00E43215" w:rsidP="00891DE1">
            <w:pPr>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4CC4DD2A" w14:textId="620B8CC5" w:rsidR="00E43215" w:rsidRPr="00AA17B3" w:rsidRDefault="00E43215" w:rsidP="00930945">
            <w:pPr>
              <w:ind w:hanging="638"/>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3765749E" w14:textId="77777777" w:rsidR="00E43215" w:rsidRPr="00AA17B3" w:rsidRDefault="00E43215" w:rsidP="00930945">
            <w:pPr>
              <w:ind w:hanging="639"/>
              <w:jc w:val="center"/>
              <w:rPr>
                <w:rFonts w:cs="Arial"/>
                <w:sz w:val="20"/>
                <w:szCs w:val="20"/>
              </w:rPr>
            </w:pPr>
            <w:r w:rsidRPr="00AA17B3">
              <w:rPr>
                <w:rFonts w:cs="Arial"/>
                <w:sz w:val="20"/>
                <w:szCs w:val="20"/>
              </w:rPr>
              <w:t>-</w:t>
            </w:r>
          </w:p>
        </w:tc>
      </w:tr>
      <w:tr w:rsidR="00E43215" w:rsidRPr="00AA17B3" w14:paraId="028C4C1E"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52556FFD" w14:textId="6B7BFFD0" w:rsidR="00E43215" w:rsidRPr="00AA17B3" w:rsidRDefault="00E43215" w:rsidP="00F92BED">
            <w:pPr>
              <w:spacing w:before="60" w:after="60"/>
              <w:ind w:left="0"/>
              <w:rPr>
                <w:rFonts w:cs="Arial"/>
                <w:i/>
                <w:sz w:val="20"/>
                <w:szCs w:val="20"/>
              </w:rPr>
            </w:pPr>
            <w:r w:rsidRPr="00AA17B3">
              <w:rPr>
                <w:rFonts w:cs="Arial"/>
                <w:i/>
                <w:sz w:val="20"/>
                <w:szCs w:val="20"/>
              </w:rPr>
              <w:t>Lagenorhyn</w:t>
            </w:r>
            <w:r>
              <w:rPr>
                <w:rFonts w:cs="Arial"/>
                <w:i/>
                <w:sz w:val="20"/>
                <w:szCs w:val="20"/>
              </w:rPr>
              <w:t>-</w:t>
            </w:r>
            <w:r w:rsidRPr="00AA17B3">
              <w:rPr>
                <w:rFonts w:cs="Arial"/>
                <w:i/>
                <w:sz w:val="20"/>
                <w:szCs w:val="20"/>
              </w:rPr>
              <w:t>chus obscurus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32B62BBB" w14:textId="77777777" w:rsidR="00E43215" w:rsidRPr="00AA17B3" w:rsidRDefault="00E43215" w:rsidP="00891DE1">
            <w:pPr>
              <w:spacing w:before="60" w:after="60"/>
              <w:ind w:left="33" w:hanging="33"/>
              <w:rPr>
                <w:rFonts w:eastAsia="MS Mincho" w:cs="Arial"/>
                <w:b/>
                <w:bCs/>
                <w:i/>
                <w:iCs/>
                <w:color w:val="22058A"/>
                <w:sz w:val="20"/>
                <w:szCs w:val="20"/>
                <w:lang w:eastAsia="en-US"/>
              </w:rPr>
            </w:pPr>
            <w:r w:rsidRPr="00AA17B3">
              <w:rPr>
                <w:rFonts w:cs="Arial"/>
                <w:sz w:val="20"/>
                <w:szCs w:val="20"/>
              </w:rPr>
              <w:t>Dusky dolphin</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11B87137"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6BDBFB02" w14:textId="2FC510B1" w:rsidR="00E43215" w:rsidRPr="00AA17B3" w:rsidRDefault="00E43215" w:rsidP="00A316C1">
            <w:pPr>
              <w:pStyle w:val="TableText"/>
              <w:jc w:val="center"/>
              <w:rPr>
                <w:rFonts w:cs="Arial"/>
                <w:sz w:val="20"/>
                <w:szCs w:val="20"/>
              </w:rPr>
            </w:pPr>
            <w:r w:rsidRPr="002924E9">
              <w:rPr>
                <w:rFonts w:cs="Arial"/>
                <w:sz w:val="20"/>
                <w:szCs w:val="20"/>
              </w:rPr>
              <w:t>Yes</w:t>
            </w:r>
          </w:p>
        </w:tc>
        <w:tc>
          <w:tcPr>
            <w:tcW w:w="592" w:type="pct"/>
            <w:tcBorders>
              <w:top w:val="single" w:sz="4" w:space="0" w:color="auto"/>
              <w:left w:val="single" w:sz="4" w:space="0" w:color="auto"/>
              <w:bottom w:val="single" w:sz="4" w:space="0" w:color="auto"/>
              <w:right w:val="single" w:sz="4" w:space="0" w:color="auto"/>
            </w:tcBorders>
            <w:vAlign w:val="center"/>
          </w:tcPr>
          <w:p w14:paraId="7139661F" w14:textId="29CECA46" w:rsidR="00E43215" w:rsidRPr="00AA17B3" w:rsidRDefault="00E43215" w:rsidP="00F92BED">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6EB00E70" w14:textId="049C1092" w:rsidR="00E43215" w:rsidRPr="00AA17B3" w:rsidRDefault="00E43215" w:rsidP="00891DE1">
            <w:pPr>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420FB0C4" w14:textId="3A94849B" w:rsidR="00E43215" w:rsidRPr="00AA17B3" w:rsidRDefault="00E43215" w:rsidP="00930945">
            <w:pPr>
              <w:ind w:hanging="638"/>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6EFD32A1" w14:textId="77777777" w:rsidR="00E43215" w:rsidRPr="00AA17B3" w:rsidRDefault="00E43215" w:rsidP="00930945">
            <w:pPr>
              <w:ind w:hanging="639"/>
              <w:jc w:val="center"/>
              <w:rPr>
                <w:rFonts w:cs="Arial"/>
                <w:sz w:val="20"/>
                <w:szCs w:val="20"/>
              </w:rPr>
            </w:pPr>
            <w:r w:rsidRPr="00AA17B3">
              <w:rPr>
                <w:rFonts w:cs="Arial"/>
                <w:sz w:val="20"/>
                <w:szCs w:val="20"/>
              </w:rPr>
              <w:t>-</w:t>
            </w:r>
          </w:p>
        </w:tc>
      </w:tr>
      <w:tr w:rsidR="00E43215" w:rsidRPr="00AA17B3" w14:paraId="770D741D"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5B50D7AA" w14:textId="77777777" w:rsidR="00E43215" w:rsidRPr="00AA17B3" w:rsidRDefault="00E43215" w:rsidP="00894EC8">
            <w:pPr>
              <w:spacing w:before="60" w:after="60"/>
              <w:ind w:left="0"/>
              <w:rPr>
                <w:rFonts w:cs="Arial"/>
                <w:i/>
                <w:sz w:val="20"/>
                <w:szCs w:val="20"/>
              </w:rPr>
            </w:pPr>
            <w:r w:rsidRPr="00AA17B3">
              <w:rPr>
                <w:rFonts w:cs="Arial"/>
                <w:i/>
                <w:sz w:val="20"/>
                <w:szCs w:val="20"/>
              </w:rPr>
              <w:t>Lissodelphis peronii</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476E7A83" w14:textId="77777777" w:rsidR="00E43215" w:rsidRPr="00AA17B3" w:rsidRDefault="00E43215" w:rsidP="00891DE1">
            <w:pPr>
              <w:spacing w:before="60" w:after="60"/>
              <w:ind w:left="33" w:hanging="33"/>
              <w:rPr>
                <w:rFonts w:eastAsia="MS Mincho" w:cs="Arial"/>
                <w:b/>
                <w:bCs/>
                <w:i/>
                <w:iCs/>
                <w:color w:val="22058A"/>
                <w:sz w:val="20"/>
                <w:szCs w:val="20"/>
                <w:lang w:eastAsia="en-US"/>
              </w:rPr>
            </w:pPr>
            <w:r w:rsidRPr="00AA17B3">
              <w:rPr>
                <w:rFonts w:cs="Arial"/>
                <w:sz w:val="20"/>
                <w:szCs w:val="20"/>
              </w:rPr>
              <w:t>Southern right whale dolphin</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745ED7B1"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758594EA" w14:textId="77777777" w:rsidR="00E43215" w:rsidRPr="00AA17B3" w:rsidRDefault="00E43215" w:rsidP="00326D55">
            <w:pPr>
              <w:pStyle w:val="TableText"/>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20AEB957" w14:textId="19E9CC8F" w:rsidR="00E43215" w:rsidRPr="00AA17B3" w:rsidRDefault="00E43215" w:rsidP="00326D55">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3583BF87" w14:textId="7234706D"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6A08FA79" w14:textId="7326E09C"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757DD2D0"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E43215" w:rsidRPr="00AA17B3" w14:paraId="042BE238"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5A2C74CB" w14:textId="77777777" w:rsidR="00E43215" w:rsidRPr="00AA17B3" w:rsidRDefault="00E43215" w:rsidP="00894EC8">
            <w:pPr>
              <w:spacing w:before="60" w:after="60"/>
              <w:ind w:left="0"/>
              <w:rPr>
                <w:rFonts w:cs="Arial"/>
                <w:i/>
                <w:sz w:val="20"/>
                <w:szCs w:val="20"/>
              </w:rPr>
            </w:pPr>
            <w:r w:rsidRPr="00AA17B3">
              <w:rPr>
                <w:rFonts w:cs="Arial"/>
                <w:i/>
                <w:sz w:val="20"/>
                <w:szCs w:val="20"/>
              </w:rPr>
              <w:t>Orcinus orca</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76897E1D" w14:textId="77777777" w:rsidR="00E43215" w:rsidRPr="00AA17B3" w:rsidRDefault="00E43215" w:rsidP="00891DE1">
            <w:pPr>
              <w:spacing w:before="60" w:after="60"/>
              <w:ind w:left="33" w:hanging="33"/>
              <w:rPr>
                <w:rFonts w:eastAsia="MS Mincho" w:cs="Arial"/>
                <w:b/>
                <w:bCs/>
                <w:i/>
                <w:iCs/>
                <w:color w:val="22058A"/>
                <w:sz w:val="20"/>
                <w:szCs w:val="20"/>
                <w:lang w:eastAsia="en-US"/>
              </w:rPr>
            </w:pPr>
            <w:r w:rsidRPr="00AA17B3">
              <w:rPr>
                <w:rFonts w:cs="Arial"/>
                <w:sz w:val="20"/>
                <w:szCs w:val="20"/>
              </w:rPr>
              <w:t>Killer whale</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13B80DBB"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16F387B1" w14:textId="77777777" w:rsidR="00E43215" w:rsidRPr="00AA17B3" w:rsidRDefault="00E43215" w:rsidP="00326D55">
            <w:pPr>
              <w:pStyle w:val="TableText"/>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17A95317" w14:textId="2EDE588C" w:rsidR="00E43215" w:rsidRPr="00AA17B3" w:rsidRDefault="00E43215" w:rsidP="00326D55">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25DBCA97" w14:textId="60C9F90F" w:rsidR="00E43215" w:rsidRPr="00AA17B3" w:rsidRDefault="00E43215" w:rsidP="00891DE1">
            <w:pPr>
              <w:spacing w:before="60" w:after="60"/>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55E55F43" w14:textId="1A576574"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5B84793C" w14:textId="77777777" w:rsidR="00E43215" w:rsidRPr="00AA17B3" w:rsidRDefault="00E43215" w:rsidP="00326D55">
            <w:pPr>
              <w:spacing w:before="60" w:after="60"/>
              <w:ind w:left="55" w:hanging="55"/>
              <w:jc w:val="center"/>
              <w:rPr>
                <w:rFonts w:cs="Arial"/>
                <w:sz w:val="20"/>
                <w:szCs w:val="20"/>
              </w:rPr>
            </w:pPr>
            <w:r w:rsidRPr="00AA17B3">
              <w:rPr>
                <w:rFonts w:cs="Arial"/>
                <w:sz w:val="20"/>
                <w:szCs w:val="20"/>
              </w:rPr>
              <w:t>-</w:t>
            </w:r>
          </w:p>
        </w:tc>
      </w:tr>
      <w:tr w:rsidR="00E43215" w:rsidRPr="00AA17B3" w14:paraId="4C6D84B6"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229235A5" w14:textId="77777777" w:rsidR="00E43215" w:rsidRPr="00AA17B3" w:rsidRDefault="00E43215" w:rsidP="00F92BED">
            <w:pPr>
              <w:spacing w:before="60" w:after="60"/>
              <w:ind w:left="0"/>
              <w:rPr>
                <w:rFonts w:cs="Arial"/>
                <w:i/>
                <w:sz w:val="20"/>
                <w:szCs w:val="20"/>
              </w:rPr>
            </w:pPr>
            <w:r w:rsidRPr="00AA17B3">
              <w:rPr>
                <w:rFonts w:cs="Arial"/>
                <w:i/>
                <w:sz w:val="20"/>
                <w:szCs w:val="20"/>
              </w:rPr>
              <w:t>Tursiops aduncus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5E20B05D" w14:textId="77777777" w:rsidR="00E43215" w:rsidRPr="00AA17B3" w:rsidRDefault="00E43215" w:rsidP="00891DE1">
            <w:pPr>
              <w:spacing w:before="60" w:after="60"/>
              <w:ind w:left="33" w:hanging="33"/>
              <w:rPr>
                <w:rFonts w:eastAsia="MS Mincho" w:cs="Arial"/>
                <w:b/>
                <w:bCs/>
                <w:i/>
                <w:iCs/>
                <w:color w:val="22058A"/>
                <w:sz w:val="20"/>
                <w:szCs w:val="20"/>
                <w:lang w:eastAsia="en-US"/>
              </w:rPr>
            </w:pPr>
            <w:r w:rsidRPr="00AA17B3">
              <w:rPr>
                <w:rFonts w:cs="Arial"/>
                <w:sz w:val="20"/>
                <w:szCs w:val="20"/>
              </w:rPr>
              <w:t>Indian Ocean bottlenose dolphin</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271ACD2F"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4A3E3F0B" w14:textId="77777777" w:rsidR="00E43215" w:rsidRPr="00AA17B3" w:rsidRDefault="00E43215" w:rsidP="00930945">
            <w:pPr>
              <w:ind w:hanging="687"/>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510560F6" w14:textId="16AB89C1" w:rsidR="00E43215" w:rsidRPr="00AA17B3" w:rsidRDefault="00E43215" w:rsidP="00F92BED">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6B7C1122" w14:textId="3F64B135" w:rsidR="00E43215" w:rsidRPr="00AA17B3" w:rsidRDefault="00E43215" w:rsidP="00891DE1">
            <w:pPr>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5665A0A5" w14:textId="7BF7C636" w:rsidR="00E43215" w:rsidRPr="00AA17B3" w:rsidRDefault="00E43215" w:rsidP="00930945">
            <w:pPr>
              <w:ind w:hanging="638"/>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13D0CDA2" w14:textId="77777777" w:rsidR="00E43215" w:rsidRPr="00AA17B3" w:rsidRDefault="00E43215" w:rsidP="00930945">
            <w:pPr>
              <w:ind w:hanging="639"/>
              <w:jc w:val="center"/>
              <w:rPr>
                <w:rFonts w:cs="Arial"/>
                <w:sz w:val="20"/>
                <w:szCs w:val="20"/>
              </w:rPr>
            </w:pPr>
            <w:r w:rsidRPr="00AA17B3">
              <w:rPr>
                <w:rFonts w:cs="Arial"/>
                <w:sz w:val="20"/>
                <w:szCs w:val="20"/>
              </w:rPr>
              <w:t>-</w:t>
            </w:r>
          </w:p>
        </w:tc>
      </w:tr>
      <w:tr w:rsidR="00E43215" w:rsidRPr="00AA17B3" w14:paraId="30936D5A" w14:textId="77777777" w:rsidTr="00891DE1">
        <w:trPr>
          <w:trHeight w:val="345"/>
          <w:jc w:val="center"/>
        </w:trPr>
        <w:tc>
          <w:tcPr>
            <w:tcW w:w="791" w:type="pct"/>
            <w:tcBorders>
              <w:top w:val="single" w:sz="4" w:space="0" w:color="auto"/>
              <w:left w:val="single" w:sz="4" w:space="0" w:color="auto"/>
              <w:bottom w:val="single" w:sz="4" w:space="0" w:color="auto"/>
              <w:right w:val="single" w:sz="4" w:space="0" w:color="auto"/>
            </w:tcBorders>
            <w:shd w:val="clear" w:color="auto" w:fill="auto"/>
          </w:tcPr>
          <w:p w14:paraId="20891130" w14:textId="77777777" w:rsidR="00E43215" w:rsidRPr="00AA17B3" w:rsidRDefault="00E43215" w:rsidP="00F92BED">
            <w:pPr>
              <w:spacing w:before="60" w:after="60"/>
              <w:ind w:left="0"/>
              <w:rPr>
                <w:rFonts w:cs="Arial"/>
                <w:i/>
                <w:sz w:val="20"/>
                <w:szCs w:val="20"/>
              </w:rPr>
            </w:pPr>
            <w:r w:rsidRPr="00AA17B3">
              <w:rPr>
                <w:rFonts w:cs="Arial"/>
                <w:i/>
                <w:sz w:val="20"/>
                <w:szCs w:val="20"/>
              </w:rPr>
              <w:t>Tursiops truncatus</w:t>
            </w:r>
          </w:p>
        </w:tc>
        <w:tc>
          <w:tcPr>
            <w:tcW w:w="727" w:type="pct"/>
            <w:tcBorders>
              <w:top w:val="single" w:sz="4" w:space="0" w:color="auto"/>
              <w:left w:val="single" w:sz="4" w:space="0" w:color="auto"/>
              <w:bottom w:val="single" w:sz="4" w:space="0" w:color="auto"/>
              <w:right w:val="single" w:sz="4" w:space="0" w:color="auto"/>
            </w:tcBorders>
            <w:shd w:val="clear" w:color="auto" w:fill="auto"/>
          </w:tcPr>
          <w:p w14:paraId="45651476" w14:textId="77777777" w:rsidR="00E43215" w:rsidRPr="00AA17B3" w:rsidRDefault="00E43215" w:rsidP="00891DE1">
            <w:pPr>
              <w:spacing w:before="60" w:after="60"/>
              <w:ind w:left="33" w:hanging="33"/>
              <w:rPr>
                <w:rFonts w:cs="Arial"/>
                <w:bCs/>
                <w:iCs/>
                <w:color w:val="22058A"/>
                <w:sz w:val="20"/>
                <w:szCs w:val="20"/>
              </w:rPr>
            </w:pPr>
            <w:r w:rsidRPr="00AA17B3">
              <w:rPr>
                <w:rFonts w:cs="Arial"/>
                <w:sz w:val="20"/>
                <w:szCs w:val="20"/>
              </w:rPr>
              <w:t>Bottlenose dolphin</w:t>
            </w:r>
          </w:p>
        </w:tc>
        <w:tc>
          <w:tcPr>
            <w:tcW w:w="672" w:type="pct"/>
            <w:tcBorders>
              <w:top w:val="single" w:sz="4" w:space="0" w:color="auto"/>
              <w:left w:val="single" w:sz="4" w:space="0" w:color="auto"/>
              <w:bottom w:val="single" w:sz="4" w:space="0" w:color="auto"/>
              <w:right w:val="single" w:sz="4" w:space="0" w:color="auto"/>
            </w:tcBorders>
            <w:shd w:val="clear" w:color="auto" w:fill="auto"/>
            <w:vAlign w:val="center"/>
          </w:tcPr>
          <w:p w14:paraId="51CECB48" w14:textId="77777777" w:rsidR="00E43215" w:rsidRPr="00AA17B3" w:rsidRDefault="00E43215" w:rsidP="00F92BED">
            <w:pPr>
              <w:spacing w:before="60" w:after="60"/>
              <w:ind w:left="55" w:hanging="55"/>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05596FE3" w14:textId="77777777" w:rsidR="00E43215" w:rsidRPr="00AA17B3" w:rsidRDefault="00E43215" w:rsidP="00930945">
            <w:pPr>
              <w:ind w:hanging="687"/>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53260C10" w14:textId="519B24E7" w:rsidR="00E43215" w:rsidRPr="00AA17B3" w:rsidRDefault="00E43215" w:rsidP="00F92BED">
            <w:pPr>
              <w:pStyle w:val="TableText"/>
              <w:jc w:val="center"/>
              <w:rPr>
                <w:rFonts w:cs="Arial"/>
                <w:sz w:val="20"/>
                <w:szCs w:val="20"/>
              </w:rPr>
            </w:pPr>
            <w:r w:rsidRPr="002924E9">
              <w:rPr>
                <w:rFonts w:cs="Arial"/>
                <w:sz w:val="20"/>
                <w:szCs w:val="20"/>
              </w:rPr>
              <w:t>Yes</w:t>
            </w:r>
          </w:p>
        </w:tc>
        <w:tc>
          <w:tcPr>
            <w:tcW w:w="517" w:type="pct"/>
            <w:tcBorders>
              <w:top w:val="single" w:sz="4" w:space="0" w:color="auto"/>
              <w:left w:val="single" w:sz="4" w:space="0" w:color="auto"/>
              <w:bottom w:val="single" w:sz="4" w:space="0" w:color="auto"/>
              <w:right w:val="single" w:sz="4" w:space="0" w:color="auto"/>
            </w:tcBorders>
            <w:vAlign w:val="center"/>
          </w:tcPr>
          <w:p w14:paraId="47B79E52" w14:textId="14EF024B" w:rsidR="00E43215" w:rsidRPr="00AA17B3" w:rsidRDefault="00E43215" w:rsidP="00891DE1">
            <w:pPr>
              <w:ind w:left="15" w:hanging="15"/>
              <w:jc w:val="center"/>
              <w:rPr>
                <w:rFonts w:cs="Arial"/>
                <w:sz w:val="20"/>
                <w:szCs w:val="20"/>
              </w:rPr>
            </w:pPr>
            <w:r>
              <w:rPr>
                <w:rFonts w:cs="Arial"/>
                <w:sz w:val="20"/>
                <w:szCs w:val="20"/>
              </w:rPr>
              <w:t>-</w:t>
            </w:r>
          </w:p>
        </w:tc>
        <w:tc>
          <w:tcPr>
            <w:tcW w:w="517" w:type="pct"/>
            <w:tcBorders>
              <w:top w:val="single" w:sz="4" w:space="0" w:color="auto"/>
              <w:left w:val="single" w:sz="4" w:space="0" w:color="auto"/>
              <w:bottom w:val="single" w:sz="4" w:space="0" w:color="auto"/>
              <w:right w:val="single" w:sz="4" w:space="0" w:color="auto"/>
            </w:tcBorders>
            <w:vAlign w:val="center"/>
          </w:tcPr>
          <w:p w14:paraId="75A9AF48" w14:textId="11AA2770" w:rsidR="00E43215" w:rsidRPr="00AA17B3" w:rsidRDefault="00E43215" w:rsidP="00930945">
            <w:pPr>
              <w:ind w:hanging="638"/>
              <w:jc w:val="center"/>
              <w:rPr>
                <w:rFonts w:cs="Arial"/>
                <w:sz w:val="20"/>
                <w:szCs w:val="20"/>
              </w:rPr>
            </w:pPr>
            <w:r w:rsidRPr="00AA17B3">
              <w:rPr>
                <w:rFonts w:cs="Arial"/>
                <w:sz w:val="20"/>
                <w:szCs w:val="20"/>
              </w:rPr>
              <w:t>-</w:t>
            </w:r>
          </w:p>
        </w:tc>
        <w:tc>
          <w:tcPr>
            <w:tcW w:w="592" w:type="pct"/>
            <w:tcBorders>
              <w:top w:val="single" w:sz="4" w:space="0" w:color="auto"/>
              <w:left w:val="single" w:sz="4" w:space="0" w:color="auto"/>
              <w:bottom w:val="single" w:sz="4" w:space="0" w:color="auto"/>
              <w:right w:val="single" w:sz="4" w:space="0" w:color="auto"/>
            </w:tcBorders>
            <w:vAlign w:val="center"/>
          </w:tcPr>
          <w:p w14:paraId="09B64576" w14:textId="77777777" w:rsidR="00E43215" w:rsidRPr="00AA17B3" w:rsidRDefault="00E43215" w:rsidP="00930945">
            <w:pPr>
              <w:ind w:hanging="639"/>
              <w:jc w:val="center"/>
              <w:rPr>
                <w:rFonts w:cs="Arial"/>
                <w:sz w:val="20"/>
                <w:szCs w:val="20"/>
              </w:rPr>
            </w:pPr>
            <w:r w:rsidRPr="00AA17B3">
              <w:rPr>
                <w:rFonts w:cs="Arial"/>
                <w:sz w:val="20"/>
                <w:szCs w:val="20"/>
              </w:rPr>
              <w:t>-</w:t>
            </w:r>
          </w:p>
        </w:tc>
      </w:tr>
    </w:tbl>
    <w:p w14:paraId="63489A25" w14:textId="77777777" w:rsidR="00F12557" w:rsidRDefault="00F12557"/>
    <w:tbl>
      <w:tblPr>
        <w:tblW w:w="49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04"/>
        <w:gridCol w:w="6203"/>
      </w:tblGrid>
      <w:tr w:rsidR="00B25177" w:rsidRPr="0067172A" w14:paraId="60DA9405" w14:textId="77777777" w:rsidTr="00F12557">
        <w:tc>
          <w:tcPr>
            <w:tcW w:w="1354" w:type="pct"/>
            <w:tcBorders>
              <w:top w:val="nil"/>
              <w:left w:val="nil"/>
              <w:bottom w:val="single" w:sz="4" w:space="0" w:color="auto"/>
              <w:right w:val="nil"/>
            </w:tcBorders>
            <w:shd w:val="clear" w:color="auto" w:fill="auto"/>
          </w:tcPr>
          <w:p w14:paraId="0FE3092C" w14:textId="77777777" w:rsidR="00293A9B" w:rsidRDefault="00293A9B" w:rsidP="001C1B79">
            <w:pPr>
              <w:spacing w:before="40" w:after="80"/>
              <w:ind w:hanging="828"/>
              <w:rPr>
                <w:rFonts w:cs="Arial"/>
                <w:sz w:val="18"/>
                <w:szCs w:val="18"/>
                <w:u w:val="single"/>
              </w:rPr>
            </w:pPr>
          </w:p>
          <w:p w14:paraId="2668FDB7" w14:textId="77777777" w:rsidR="00B25177" w:rsidRPr="0067172A" w:rsidRDefault="00B25177" w:rsidP="001C1B79">
            <w:pPr>
              <w:spacing w:before="40" w:after="80"/>
              <w:ind w:hanging="828"/>
              <w:rPr>
                <w:rFonts w:cs="Arial"/>
                <w:sz w:val="18"/>
                <w:szCs w:val="18"/>
                <w:u w:val="single"/>
              </w:rPr>
            </w:pPr>
            <w:r w:rsidRPr="0067172A">
              <w:rPr>
                <w:rFonts w:cs="Arial"/>
                <w:sz w:val="18"/>
                <w:szCs w:val="18"/>
                <w:u w:val="single"/>
              </w:rPr>
              <w:t>Definitions</w:t>
            </w:r>
          </w:p>
        </w:tc>
        <w:tc>
          <w:tcPr>
            <w:tcW w:w="3646" w:type="pct"/>
            <w:tcBorders>
              <w:top w:val="nil"/>
              <w:left w:val="nil"/>
              <w:bottom w:val="single" w:sz="4" w:space="0" w:color="auto"/>
              <w:right w:val="nil"/>
            </w:tcBorders>
            <w:shd w:val="clear" w:color="auto" w:fill="auto"/>
          </w:tcPr>
          <w:p w14:paraId="24DA2C19" w14:textId="77777777" w:rsidR="00B25177" w:rsidRPr="0067172A" w:rsidRDefault="00B25177" w:rsidP="001C1B79">
            <w:pPr>
              <w:spacing w:before="40" w:after="80"/>
              <w:rPr>
                <w:rFonts w:cs="Arial"/>
                <w:sz w:val="18"/>
                <w:szCs w:val="18"/>
              </w:rPr>
            </w:pPr>
          </w:p>
        </w:tc>
      </w:tr>
      <w:tr w:rsidR="00B25177" w:rsidRPr="0067172A" w14:paraId="25BAC1C7" w14:textId="77777777" w:rsidTr="00F12557">
        <w:tc>
          <w:tcPr>
            <w:tcW w:w="1354" w:type="pct"/>
            <w:tcBorders>
              <w:top w:val="single" w:sz="4" w:space="0" w:color="auto"/>
              <w:left w:val="single" w:sz="4" w:space="0" w:color="auto"/>
              <w:bottom w:val="single" w:sz="4" w:space="0" w:color="auto"/>
              <w:right w:val="single" w:sz="4" w:space="0" w:color="auto"/>
            </w:tcBorders>
            <w:shd w:val="clear" w:color="auto" w:fill="auto"/>
          </w:tcPr>
          <w:p w14:paraId="3C6D74F5" w14:textId="77777777" w:rsidR="00B25177" w:rsidRPr="0067172A" w:rsidRDefault="00B25177" w:rsidP="001C1B79">
            <w:pPr>
              <w:spacing w:before="40" w:after="80"/>
              <w:ind w:left="34"/>
              <w:rPr>
                <w:rFonts w:cs="Arial"/>
                <w:sz w:val="18"/>
                <w:szCs w:val="18"/>
              </w:rPr>
            </w:pPr>
            <w:r w:rsidRPr="0067172A">
              <w:rPr>
                <w:rFonts w:cs="Arial"/>
                <w:i/>
                <w:sz w:val="18"/>
                <w:szCs w:val="18"/>
              </w:rPr>
              <w:t>Listed threatened species</w:t>
            </w:r>
            <w:r w:rsidRPr="0067172A">
              <w:rPr>
                <w:rFonts w:cs="Arial"/>
                <w:sz w:val="18"/>
                <w:szCs w:val="18"/>
              </w:rPr>
              <w:t>:</w:t>
            </w:r>
          </w:p>
        </w:tc>
        <w:tc>
          <w:tcPr>
            <w:tcW w:w="3646" w:type="pct"/>
            <w:tcBorders>
              <w:top w:val="single" w:sz="4" w:space="0" w:color="auto"/>
              <w:left w:val="single" w:sz="4" w:space="0" w:color="auto"/>
              <w:bottom w:val="single" w:sz="4" w:space="0" w:color="auto"/>
              <w:right w:val="single" w:sz="4" w:space="0" w:color="auto"/>
            </w:tcBorders>
            <w:shd w:val="clear" w:color="auto" w:fill="auto"/>
          </w:tcPr>
          <w:p w14:paraId="4E2CBF7B" w14:textId="77777777" w:rsidR="00B25177" w:rsidRPr="0067172A" w:rsidRDefault="00B25177" w:rsidP="001C1B79">
            <w:pPr>
              <w:spacing w:before="40" w:after="80"/>
              <w:ind w:left="75"/>
              <w:rPr>
                <w:rFonts w:cs="Arial"/>
                <w:sz w:val="18"/>
                <w:szCs w:val="18"/>
              </w:rPr>
            </w:pPr>
            <w:r w:rsidRPr="0067172A">
              <w:rPr>
                <w:rFonts w:cs="Arial"/>
                <w:sz w:val="18"/>
                <w:szCs w:val="18"/>
              </w:rPr>
              <w:t xml:space="preserve">A native species listed in Section 178 of the </w:t>
            </w:r>
            <w:r w:rsidRPr="0067172A">
              <w:rPr>
                <w:rFonts w:cs="Arial"/>
                <w:i/>
                <w:sz w:val="18"/>
                <w:szCs w:val="18"/>
              </w:rPr>
              <w:t>EPBC Act</w:t>
            </w:r>
            <w:r w:rsidRPr="0067172A">
              <w:rPr>
                <w:rFonts w:cs="Arial"/>
                <w:sz w:val="18"/>
                <w:szCs w:val="18"/>
              </w:rPr>
              <w:t xml:space="preserve"> as either extinct, extinct in the wild, critically endangered, endangered, and vulnerable or conservation dependent. </w:t>
            </w:r>
          </w:p>
        </w:tc>
      </w:tr>
      <w:tr w:rsidR="00B25177" w:rsidRPr="0067172A" w14:paraId="63CE5170" w14:textId="77777777" w:rsidTr="00F12557">
        <w:tc>
          <w:tcPr>
            <w:tcW w:w="1354" w:type="pct"/>
            <w:tcBorders>
              <w:top w:val="single" w:sz="4" w:space="0" w:color="auto"/>
              <w:left w:val="single" w:sz="4" w:space="0" w:color="auto"/>
              <w:bottom w:val="single" w:sz="4" w:space="0" w:color="auto"/>
              <w:right w:val="single" w:sz="4" w:space="0" w:color="auto"/>
            </w:tcBorders>
            <w:shd w:val="clear" w:color="auto" w:fill="auto"/>
          </w:tcPr>
          <w:p w14:paraId="08A8BEF2" w14:textId="77777777" w:rsidR="00B25177" w:rsidRPr="0067172A" w:rsidRDefault="00B25177" w:rsidP="001C1B79">
            <w:pPr>
              <w:spacing w:before="40" w:after="80"/>
              <w:ind w:left="34"/>
              <w:rPr>
                <w:rFonts w:cs="Arial"/>
                <w:sz w:val="18"/>
                <w:szCs w:val="18"/>
              </w:rPr>
            </w:pPr>
            <w:r w:rsidRPr="0067172A">
              <w:rPr>
                <w:rFonts w:cs="Arial"/>
                <w:i/>
                <w:sz w:val="18"/>
                <w:szCs w:val="18"/>
              </w:rPr>
              <w:t>Listed migratory species</w:t>
            </w:r>
            <w:r w:rsidRPr="0067172A">
              <w:rPr>
                <w:rFonts w:cs="Arial"/>
                <w:sz w:val="18"/>
                <w:szCs w:val="18"/>
              </w:rPr>
              <w:t xml:space="preserve">: </w:t>
            </w:r>
          </w:p>
        </w:tc>
        <w:tc>
          <w:tcPr>
            <w:tcW w:w="3646" w:type="pct"/>
            <w:tcBorders>
              <w:top w:val="single" w:sz="4" w:space="0" w:color="auto"/>
              <w:left w:val="single" w:sz="4" w:space="0" w:color="auto"/>
              <w:bottom w:val="single" w:sz="4" w:space="0" w:color="auto"/>
              <w:right w:val="single" w:sz="4" w:space="0" w:color="auto"/>
            </w:tcBorders>
            <w:shd w:val="clear" w:color="auto" w:fill="auto"/>
          </w:tcPr>
          <w:p w14:paraId="4CB2009C" w14:textId="77777777" w:rsidR="00B25177" w:rsidRPr="0067172A" w:rsidRDefault="00B25177" w:rsidP="001C1B79">
            <w:pPr>
              <w:spacing w:before="40" w:after="80"/>
              <w:ind w:left="75"/>
              <w:rPr>
                <w:rFonts w:cs="Arial"/>
                <w:sz w:val="18"/>
                <w:szCs w:val="18"/>
              </w:rPr>
            </w:pPr>
            <w:r w:rsidRPr="0067172A">
              <w:rPr>
                <w:rFonts w:cs="Arial"/>
                <w:sz w:val="18"/>
                <w:szCs w:val="18"/>
              </w:rPr>
              <w:t xml:space="preserve">A native species that from time to time is included in the appendices to the Bonn Convention and the annexes of JAMBA, CAMBA and ROKAMBA, as listed in Section 209 of the </w:t>
            </w:r>
            <w:r w:rsidRPr="0067172A">
              <w:rPr>
                <w:rFonts w:cs="Arial"/>
                <w:i/>
                <w:sz w:val="18"/>
                <w:szCs w:val="18"/>
              </w:rPr>
              <w:t>EPBC Act</w:t>
            </w:r>
            <w:r w:rsidRPr="0067172A">
              <w:rPr>
                <w:rFonts w:cs="Arial"/>
                <w:sz w:val="18"/>
                <w:szCs w:val="18"/>
              </w:rPr>
              <w:t xml:space="preserve">. </w:t>
            </w:r>
          </w:p>
        </w:tc>
      </w:tr>
      <w:tr w:rsidR="00B25177" w:rsidRPr="0067172A" w14:paraId="361B9648" w14:textId="77777777" w:rsidTr="00F12557">
        <w:tc>
          <w:tcPr>
            <w:tcW w:w="1354" w:type="pct"/>
            <w:tcBorders>
              <w:top w:val="single" w:sz="4" w:space="0" w:color="auto"/>
              <w:left w:val="single" w:sz="4" w:space="0" w:color="auto"/>
              <w:bottom w:val="single" w:sz="4" w:space="0" w:color="auto"/>
              <w:right w:val="single" w:sz="4" w:space="0" w:color="auto"/>
            </w:tcBorders>
            <w:shd w:val="clear" w:color="auto" w:fill="auto"/>
          </w:tcPr>
          <w:p w14:paraId="7D171DAF" w14:textId="77777777" w:rsidR="00B25177" w:rsidRPr="0067172A" w:rsidRDefault="00B25177" w:rsidP="001C1B79">
            <w:pPr>
              <w:spacing w:before="40" w:after="80"/>
              <w:ind w:left="34"/>
              <w:rPr>
                <w:rFonts w:cs="Arial"/>
                <w:sz w:val="18"/>
                <w:szCs w:val="18"/>
              </w:rPr>
            </w:pPr>
            <w:r w:rsidRPr="0067172A">
              <w:rPr>
                <w:rFonts w:cs="Arial"/>
                <w:i/>
                <w:sz w:val="18"/>
                <w:szCs w:val="18"/>
              </w:rPr>
              <w:t>Listed marine species</w:t>
            </w:r>
            <w:r w:rsidRPr="0067172A">
              <w:rPr>
                <w:rFonts w:cs="Arial"/>
                <w:sz w:val="18"/>
                <w:szCs w:val="18"/>
              </w:rPr>
              <w:t xml:space="preserve">: </w:t>
            </w:r>
          </w:p>
        </w:tc>
        <w:tc>
          <w:tcPr>
            <w:tcW w:w="3646" w:type="pct"/>
            <w:tcBorders>
              <w:top w:val="single" w:sz="4" w:space="0" w:color="auto"/>
              <w:left w:val="single" w:sz="4" w:space="0" w:color="auto"/>
              <w:bottom w:val="single" w:sz="4" w:space="0" w:color="auto"/>
              <w:right w:val="single" w:sz="4" w:space="0" w:color="auto"/>
            </w:tcBorders>
            <w:shd w:val="clear" w:color="auto" w:fill="auto"/>
          </w:tcPr>
          <w:p w14:paraId="7ADAC745" w14:textId="77777777" w:rsidR="00B25177" w:rsidRPr="0067172A" w:rsidRDefault="00B25177" w:rsidP="001C1B79">
            <w:pPr>
              <w:spacing w:before="40" w:after="80"/>
              <w:ind w:left="75"/>
              <w:rPr>
                <w:rFonts w:cs="Arial"/>
                <w:sz w:val="18"/>
                <w:szCs w:val="18"/>
              </w:rPr>
            </w:pPr>
            <w:r w:rsidRPr="0067172A">
              <w:rPr>
                <w:rFonts w:cs="Arial"/>
                <w:sz w:val="18"/>
                <w:szCs w:val="18"/>
              </w:rPr>
              <w:t xml:space="preserve">As listed in Section 248 of the </w:t>
            </w:r>
            <w:r w:rsidRPr="0067172A">
              <w:rPr>
                <w:rFonts w:cs="Arial"/>
                <w:i/>
                <w:sz w:val="18"/>
                <w:szCs w:val="18"/>
              </w:rPr>
              <w:t>EPBC Act</w:t>
            </w:r>
            <w:r w:rsidRPr="0067172A">
              <w:rPr>
                <w:rFonts w:cs="Arial"/>
                <w:sz w:val="18"/>
                <w:szCs w:val="18"/>
              </w:rPr>
              <w:t>.</w:t>
            </w:r>
          </w:p>
        </w:tc>
      </w:tr>
    </w:tbl>
    <w:p w14:paraId="5B611781" w14:textId="77777777" w:rsidR="002A4763" w:rsidRPr="0067172A" w:rsidRDefault="002A4763" w:rsidP="00F92BED">
      <w:pPr>
        <w:ind w:hanging="1004"/>
        <w:rPr>
          <w:rFonts w:cs="Arial"/>
          <w:sz w:val="18"/>
          <w:szCs w:val="18"/>
        </w:rPr>
      </w:pPr>
    </w:p>
    <w:p w14:paraId="36CF976A" w14:textId="77777777" w:rsidR="002C0FD5" w:rsidRPr="0067172A" w:rsidRDefault="002C0FD5" w:rsidP="002C0FD5">
      <w:pPr>
        <w:ind w:hanging="720"/>
        <w:rPr>
          <w:rFonts w:cs="Arial"/>
          <w:sz w:val="18"/>
          <w:szCs w:val="18"/>
          <w:u w:val="single"/>
        </w:rPr>
      </w:pPr>
      <w:r w:rsidRPr="0067172A">
        <w:rPr>
          <w:rFonts w:cs="Arial"/>
          <w:sz w:val="18"/>
          <w:szCs w:val="18"/>
          <w:u w:val="single"/>
        </w:rPr>
        <w:t>Key</w:t>
      </w:r>
    </w:p>
    <w:p w14:paraId="54F09865" w14:textId="77777777" w:rsidR="002C0FD5" w:rsidRPr="0067172A" w:rsidRDefault="002C0FD5" w:rsidP="00F92BED">
      <w:pPr>
        <w:ind w:hanging="1004"/>
        <w:rPr>
          <w:rFonts w:cs="Arial"/>
          <w:sz w:val="18"/>
          <w:szCs w:val="18"/>
        </w:rPr>
      </w:pPr>
    </w:p>
    <w:tbl>
      <w:tblPr>
        <w:tblW w:w="0" w:type="auto"/>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2835"/>
        <w:gridCol w:w="851"/>
        <w:gridCol w:w="3402"/>
      </w:tblGrid>
      <w:tr w:rsidR="002C0FD5" w:rsidRPr="0067172A" w14:paraId="12107487" w14:textId="77777777" w:rsidTr="00891DE1">
        <w:tc>
          <w:tcPr>
            <w:tcW w:w="2835" w:type="dxa"/>
            <w:shd w:val="clear" w:color="auto" w:fill="auto"/>
          </w:tcPr>
          <w:p w14:paraId="2D134132" w14:textId="77FF77C1" w:rsidR="002C0FD5" w:rsidRPr="0067172A" w:rsidRDefault="002C0FD5" w:rsidP="00DD7BE1">
            <w:pPr>
              <w:pStyle w:val="bodycopy"/>
              <w:rPr>
                <w:rFonts w:ascii="Arial" w:hAnsi="Arial"/>
                <w:sz w:val="18"/>
                <w:szCs w:val="18"/>
              </w:rPr>
            </w:pPr>
            <w:r w:rsidRPr="0067172A">
              <w:rPr>
                <w:rFonts w:ascii="Arial" w:hAnsi="Arial"/>
                <w:sz w:val="18"/>
                <w:szCs w:val="18"/>
              </w:rPr>
              <w:t xml:space="preserve">EPBC </w:t>
            </w:r>
            <w:r w:rsidR="006A7CDA">
              <w:rPr>
                <w:rFonts w:ascii="Arial" w:hAnsi="Arial"/>
                <w:sz w:val="18"/>
                <w:szCs w:val="18"/>
              </w:rPr>
              <w:t xml:space="preserve">Act </w:t>
            </w:r>
            <w:r w:rsidRPr="0067172A">
              <w:rPr>
                <w:rFonts w:ascii="Arial" w:hAnsi="Arial"/>
                <w:sz w:val="18"/>
                <w:szCs w:val="18"/>
              </w:rPr>
              <w:t>status (@ Dec 2016)</w:t>
            </w:r>
          </w:p>
        </w:tc>
        <w:tc>
          <w:tcPr>
            <w:tcW w:w="851" w:type="dxa"/>
            <w:shd w:val="clear" w:color="auto" w:fill="auto"/>
          </w:tcPr>
          <w:p w14:paraId="56B8E139" w14:textId="77777777" w:rsidR="002C0FD5" w:rsidRPr="0067172A" w:rsidRDefault="002C0FD5" w:rsidP="00DD7BE1">
            <w:pPr>
              <w:pStyle w:val="bodycopy"/>
              <w:rPr>
                <w:rFonts w:ascii="Arial" w:hAnsi="Arial"/>
                <w:sz w:val="18"/>
                <w:szCs w:val="18"/>
              </w:rPr>
            </w:pPr>
            <w:r w:rsidRPr="0067172A">
              <w:rPr>
                <w:rFonts w:ascii="Arial" w:hAnsi="Arial"/>
                <w:sz w:val="18"/>
                <w:szCs w:val="18"/>
              </w:rPr>
              <w:t>V</w:t>
            </w:r>
          </w:p>
        </w:tc>
        <w:tc>
          <w:tcPr>
            <w:tcW w:w="3402" w:type="dxa"/>
            <w:shd w:val="clear" w:color="auto" w:fill="auto"/>
          </w:tcPr>
          <w:p w14:paraId="0DA51B2E" w14:textId="77777777" w:rsidR="002C0FD5" w:rsidRPr="0067172A" w:rsidRDefault="002C0FD5" w:rsidP="00DD7BE1">
            <w:pPr>
              <w:pStyle w:val="bodycopy"/>
              <w:rPr>
                <w:rFonts w:ascii="Arial" w:hAnsi="Arial"/>
                <w:sz w:val="18"/>
                <w:szCs w:val="18"/>
              </w:rPr>
            </w:pPr>
            <w:r w:rsidRPr="0067172A">
              <w:rPr>
                <w:rFonts w:ascii="Arial" w:hAnsi="Arial"/>
                <w:sz w:val="18"/>
                <w:szCs w:val="18"/>
              </w:rPr>
              <w:t>Vulnerable</w:t>
            </w:r>
          </w:p>
        </w:tc>
      </w:tr>
      <w:tr w:rsidR="002C0FD5" w:rsidRPr="0067172A" w14:paraId="13129C92" w14:textId="77777777" w:rsidTr="00891DE1">
        <w:tc>
          <w:tcPr>
            <w:tcW w:w="2835" w:type="dxa"/>
            <w:shd w:val="clear" w:color="auto" w:fill="auto"/>
          </w:tcPr>
          <w:p w14:paraId="1C531718" w14:textId="77777777" w:rsidR="002C0FD5" w:rsidRPr="0067172A" w:rsidRDefault="002C0FD5" w:rsidP="00DD7BE1">
            <w:pPr>
              <w:pStyle w:val="bodycopy"/>
              <w:rPr>
                <w:rFonts w:ascii="Arial" w:hAnsi="Arial"/>
                <w:sz w:val="18"/>
                <w:szCs w:val="18"/>
              </w:rPr>
            </w:pPr>
          </w:p>
        </w:tc>
        <w:tc>
          <w:tcPr>
            <w:tcW w:w="851" w:type="dxa"/>
            <w:shd w:val="clear" w:color="auto" w:fill="auto"/>
          </w:tcPr>
          <w:p w14:paraId="3AA9A21A" w14:textId="77777777" w:rsidR="002C0FD5" w:rsidRPr="0067172A" w:rsidRDefault="002C0FD5" w:rsidP="00DD7BE1">
            <w:pPr>
              <w:pStyle w:val="bodycopy"/>
              <w:rPr>
                <w:rFonts w:ascii="Arial" w:hAnsi="Arial"/>
                <w:sz w:val="18"/>
                <w:szCs w:val="18"/>
              </w:rPr>
            </w:pPr>
            <w:r w:rsidRPr="0067172A">
              <w:rPr>
                <w:rFonts w:ascii="Arial" w:hAnsi="Arial"/>
                <w:sz w:val="18"/>
                <w:szCs w:val="18"/>
              </w:rPr>
              <w:t>E</w:t>
            </w:r>
          </w:p>
        </w:tc>
        <w:tc>
          <w:tcPr>
            <w:tcW w:w="3402" w:type="dxa"/>
            <w:shd w:val="clear" w:color="auto" w:fill="auto"/>
          </w:tcPr>
          <w:p w14:paraId="18BC83A2" w14:textId="77777777" w:rsidR="002C0FD5" w:rsidRPr="0067172A" w:rsidRDefault="002C0FD5" w:rsidP="00DD7BE1">
            <w:pPr>
              <w:pStyle w:val="bodycopy"/>
              <w:rPr>
                <w:rFonts w:ascii="Arial" w:hAnsi="Arial"/>
                <w:sz w:val="18"/>
                <w:szCs w:val="18"/>
              </w:rPr>
            </w:pPr>
            <w:r w:rsidRPr="0067172A">
              <w:rPr>
                <w:rFonts w:ascii="Arial" w:hAnsi="Arial"/>
                <w:sz w:val="18"/>
                <w:szCs w:val="18"/>
              </w:rPr>
              <w:t>Endangered</w:t>
            </w:r>
          </w:p>
        </w:tc>
      </w:tr>
      <w:tr w:rsidR="002C0FD5" w:rsidRPr="0067172A" w14:paraId="41B3F1A0" w14:textId="77777777" w:rsidTr="00891DE1">
        <w:tc>
          <w:tcPr>
            <w:tcW w:w="2835" w:type="dxa"/>
            <w:shd w:val="clear" w:color="auto" w:fill="auto"/>
          </w:tcPr>
          <w:p w14:paraId="4C0D41CA" w14:textId="77777777" w:rsidR="002C0FD5" w:rsidRPr="0067172A" w:rsidRDefault="002C0FD5" w:rsidP="00DD7BE1">
            <w:pPr>
              <w:pStyle w:val="bodycopy"/>
              <w:rPr>
                <w:rFonts w:ascii="Arial" w:hAnsi="Arial"/>
                <w:sz w:val="18"/>
                <w:szCs w:val="18"/>
              </w:rPr>
            </w:pPr>
          </w:p>
        </w:tc>
        <w:tc>
          <w:tcPr>
            <w:tcW w:w="851" w:type="dxa"/>
            <w:shd w:val="clear" w:color="auto" w:fill="auto"/>
          </w:tcPr>
          <w:p w14:paraId="33A1B76D" w14:textId="77777777" w:rsidR="002C0FD5" w:rsidRPr="0067172A" w:rsidRDefault="002C0FD5" w:rsidP="00DD7BE1">
            <w:pPr>
              <w:pStyle w:val="bodycopy"/>
              <w:rPr>
                <w:rFonts w:ascii="Arial" w:hAnsi="Arial"/>
                <w:sz w:val="18"/>
                <w:szCs w:val="18"/>
              </w:rPr>
            </w:pPr>
            <w:r w:rsidRPr="0067172A">
              <w:rPr>
                <w:rFonts w:ascii="Arial" w:hAnsi="Arial"/>
                <w:sz w:val="18"/>
                <w:szCs w:val="18"/>
              </w:rPr>
              <w:t>CE</w:t>
            </w:r>
          </w:p>
        </w:tc>
        <w:tc>
          <w:tcPr>
            <w:tcW w:w="3402" w:type="dxa"/>
            <w:shd w:val="clear" w:color="auto" w:fill="auto"/>
          </w:tcPr>
          <w:p w14:paraId="5E06B0A7" w14:textId="77777777" w:rsidR="002C0FD5" w:rsidRPr="0067172A" w:rsidRDefault="002C0FD5" w:rsidP="00DD7BE1">
            <w:pPr>
              <w:pStyle w:val="bodycopy"/>
              <w:rPr>
                <w:rFonts w:ascii="Arial" w:hAnsi="Arial"/>
                <w:sz w:val="18"/>
                <w:szCs w:val="18"/>
              </w:rPr>
            </w:pPr>
            <w:r w:rsidRPr="0067172A">
              <w:rPr>
                <w:rFonts w:ascii="Arial" w:hAnsi="Arial"/>
                <w:sz w:val="18"/>
                <w:szCs w:val="18"/>
              </w:rPr>
              <w:t>Critically endangered</w:t>
            </w:r>
          </w:p>
        </w:tc>
      </w:tr>
      <w:tr w:rsidR="00E43215" w:rsidRPr="0067172A" w14:paraId="32A373D5" w14:textId="77777777" w:rsidTr="00891DE1">
        <w:tc>
          <w:tcPr>
            <w:tcW w:w="2835" w:type="dxa"/>
            <w:shd w:val="clear" w:color="auto" w:fill="auto"/>
          </w:tcPr>
          <w:p w14:paraId="61B3AD37" w14:textId="439F7AE9" w:rsidR="00E43215" w:rsidRPr="0067172A" w:rsidRDefault="00E43215" w:rsidP="00DD7BE1">
            <w:pPr>
              <w:pStyle w:val="bodycopy"/>
              <w:rPr>
                <w:rFonts w:ascii="Arial" w:hAnsi="Arial"/>
                <w:sz w:val="18"/>
                <w:szCs w:val="18"/>
              </w:rPr>
            </w:pPr>
            <w:r>
              <w:rPr>
                <w:rFonts w:ascii="Arial" w:hAnsi="Arial"/>
                <w:sz w:val="18"/>
                <w:szCs w:val="18"/>
              </w:rPr>
              <w:t>FFG Act status (@ Sept 2017)</w:t>
            </w:r>
          </w:p>
        </w:tc>
        <w:tc>
          <w:tcPr>
            <w:tcW w:w="851" w:type="dxa"/>
            <w:shd w:val="clear" w:color="auto" w:fill="auto"/>
          </w:tcPr>
          <w:p w14:paraId="450906B3" w14:textId="583B0FE4" w:rsidR="00E43215" w:rsidRPr="0067172A" w:rsidRDefault="00E43215" w:rsidP="00DD7BE1">
            <w:pPr>
              <w:pStyle w:val="bodycopy"/>
              <w:rPr>
                <w:rFonts w:ascii="Arial" w:hAnsi="Arial"/>
                <w:sz w:val="18"/>
                <w:szCs w:val="18"/>
              </w:rPr>
            </w:pPr>
            <w:r>
              <w:rPr>
                <w:rFonts w:ascii="Arial" w:hAnsi="Arial"/>
                <w:sz w:val="18"/>
                <w:szCs w:val="18"/>
              </w:rPr>
              <w:t>T</w:t>
            </w:r>
          </w:p>
        </w:tc>
        <w:tc>
          <w:tcPr>
            <w:tcW w:w="3402" w:type="dxa"/>
            <w:shd w:val="clear" w:color="auto" w:fill="auto"/>
          </w:tcPr>
          <w:p w14:paraId="0652D434" w14:textId="6CDD7019" w:rsidR="00E43215" w:rsidRPr="0067172A" w:rsidRDefault="00E43215" w:rsidP="00DD7BE1">
            <w:pPr>
              <w:pStyle w:val="bodycopy"/>
              <w:rPr>
                <w:rFonts w:ascii="Arial" w:hAnsi="Arial"/>
                <w:sz w:val="18"/>
                <w:szCs w:val="18"/>
              </w:rPr>
            </w:pPr>
            <w:r>
              <w:rPr>
                <w:rFonts w:ascii="Arial" w:hAnsi="Arial"/>
                <w:sz w:val="18"/>
                <w:szCs w:val="18"/>
              </w:rPr>
              <w:t>Threatened</w:t>
            </w:r>
          </w:p>
        </w:tc>
      </w:tr>
      <w:tr w:rsidR="002C0FD5" w:rsidRPr="0067172A" w14:paraId="0FF9AFEE" w14:textId="77777777" w:rsidTr="00891DE1">
        <w:tc>
          <w:tcPr>
            <w:tcW w:w="2835" w:type="dxa"/>
            <w:shd w:val="clear" w:color="auto" w:fill="auto"/>
          </w:tcPr>
          <w:p w14:paraId="2F4963BD" w14:textId="77777777" w:rsidR="002C0FD5" w:rsidRPr="0067172A" w:rsidRDefault="002C0FD5" w:rsidP="0067172A">
            <w:pPr>
              <w:pStyle w:val="bodycopy"/>
              <w:rPr>
                <w:rFonts w:ascii="Arial" w:hAnsi="Arial"/>
                <w:sz w:val="18"/>
                <w:szCs w:val="18"/>
              </w:rPr>
            </w:pPr>
            <w:r w:rsidRPr="0067172A">
              <w:rPr>
                <w:rFonts w:ascii="Arial" w:hAnsi="Arial"/>
                <w:sz w:val="18"/>
                <w:szCs w:val="18"/>
              </w:rPr>
              <w:t>BIA</w:t>
            </w:r>
          </w:p>
        </w:tc>
        <w:tc>
          <w:tcPr>
            <w:tcW w:w="851" w:type="dxa"/>
            <w:shd w:val="clear" w:color="auto" w:fill="auto"/>
          </w:tcPr>
          <w:p w14:paraId="2D84109E" w14:textId="77777777" w:rsidR="002C0FD5" w:rsidRPr="0067172A" w:rsidRDefault="002C0FD5" w:rsidP="00DD7BE1">
            <w:pPr>
              <w:pStyle w:val="bodycopy"/>
              <w:rPr>
                <w:rFonts w:ascii="Arial" w:hAnsi="Arial"/>
                <w:sz w:val="18"/>
                <w:szCs w:val="18"/>
              </w:rPr>
            </w:pPr>
            <w:r w:rsidRPr="0067172A">
              <w:rPr>
                <w:rFonts w:ascii="Arial" w:hAnsi="Arial"/>
                <w:sz w:val="18"/>
                <w:szCs w:val="18"/>
              </w:rPr>
              <w:t>A</w:t>
            </w:r>
          </w:p>
        </w:tc>
        <w:tc>
          <w:tcPr>
            <w:tcW w:w="3402" w:type="dxa"/>
            <w:shd w:val="clear" w:color="auto" w:fill="auto"/>
          </w:tcPr>
          <w:p w14:paraId="3E7E57C3" w14:textId="77777777" w:rsidR="002C0FD5" w:rsidRPr="0067172A" w:rsidRDefault="002C0FD5" w:rsidP="00DD7BE1">
            <w:pPr>
              <w:pStyle w:val="bodycopy"/>
              <w:rPr>
                <w:rFonts w:ascii="Arial" w:hAnsi="Arial"/>
                <w:sz w:val="18"/>
                <w:szCs w:val="18"/>
              </w:rPr>
            </w:pPr>
            <w:r w:rsidRPr="0067172A">
              <w:rPr>
                <w:rFonts w:ascii="Arial" w:hAnsi="Arial"/>
                <w:sz w:val="18"/>
                <w:szCs w:val="18"/>
              </w:rPr>
              <w:t>Aggregation</w:t>
            </w:r>
          </w:p>
        </w:tc>
      </w:tr>
      <w:tr w:rsidR="002C0FD5" w:rsidRPr="0067172A" w14:paraId="43A838B1" w14:textId="77777777" w:rsidTr="00891DE1">
        <w:tc>
          <w:tcPr>
            <w:tcW w:w="2835" w:type="dxa"/>
            <w:shd w:val="clear" w:color="auto" w:fill="auto"/>
          </w:tcPr>
          <w:p w14:paraId="78DEFA00" w14:textId="77777777" w:rsidR="002C0FD5" w:rsidRPr="0067172A" w:rsidRDefault="002C0FD5" w:rsidP="00DD7BE1">
            <w:pPr>
              <w:pStyle w:val="bodycopy"/>
              <w:rPr>
                <w:rFonts w:ascii="Arial" w:hAnsi="Arial"/>
                <w:sz w:val="18"/>
                <w:szCs w:val="18"/>
              </w:rPr>
            </w:pPr>
          </w:p>
        </w:tc>
        <w:tc>
          <w:tcPr>
            <w:tcW w:w="851" w:type="dxa"/>
            <w:shd w:val="clear" w:color="auto" w:fill="auto"/>
          </w:tcPr>
          <w:p w14:paraId="1D29C937" w14:textId="77777777" w:rsidR="002C0FD5" w:rsidRPr="0067172A" w:rsidRDefault="002C0FD5" w:rsidP="00DD7BE1">
            <w:pPr>
              <w:pStyle w:val="bodycopy"/>
              <w:rPr>
                <w:rFonts w:ascii="Arial" w:hAnsi="Arial"/>
                <w:sz w:val="18"/>
                <w:szCs w:val="18"/>
              </w:rPr>
            </w:pPr>
            <w:r w:rsidRPr="0067172A">
              <w:rPr>
                <w:rFonts w:ascii="Arial" w:hAnsi="Arial"/>
                <w:sz w:val="18"/>
                <w:szCs w:val="18"/>
              </w:rPr>
              <w:t>D</w:t>
            </w:r>
          </w:p>
        </w:tc>
        <w:tc>
          <w:tcPr>
            <w:tcW w:w="3402" w:type="dxa"/>
            <w:shd w:val="clear" w:color="auto" w:fill="auto"/>
          </w:tcPr>
          <w:p w14:paraId="6718F628" w14:textId="77777777" w:rsidR="002C0FD5" w:rsidRPr="0067172A" w:rsidRDefault="002C0FD5" w:rsidP="00DD7BE1">
            <w:pPr>
              <w:pStyle w:val="bodycopy"/>
              <w:rPr>
                <w:rFonts w:ascii="Arial" w:hAnsi="Arial"/>
                <w:sz w:val="18"/>
                <w:szCs w:val="18"/>
              </w:rPr>
            </w:pPr>
            <w:r w:rsidRPr="0067172A">
              <w:rPr>
                <w:rFonts w:ascii="Arial" w:hAnsi="Arial"/>
                <w:sz w:val="18"/>
                <w:szCs w:val="18"/>
              </w:rPr>
              <w:t>Distribution (i.e., presence only)</w:t>
            </w:r>
          </w:p>
        </w:tc>
      </w:tr>
      <w:tr w:rsidR="002C0FD5" w:rsidRPr="0067172A" w14:paraId="3B62FFC5" w14:textId="77777777" w:rsidTr="00891DE1">
        <w:tc>
          <w:tcPr>
            <w:tcW w:w="2835" w:type="dxa"/>
            <w:shd w:val="clear" w:color="auto" w:fill="auto"/>
          </w:tcPr>
          <w:p w14:paraId="2793C82D" w14:textId="77777777" w:rsidR="002C0FD5" w:rsidRPr="0067172A" w:rsidRDefault="002C0FD5" w:rsidP="00DD7BE1">
            <w:pPr>
              <w:pStyle w:val="bodycopy"/>
              <w:rPr>
                <w:rFonts w:ascii="Arial" w:hAnsi="Arial"/>
                <w:sz w:val="18"/>
                <w:szCs w:val="18"/>
              </w:rPr>
            </w:pPr>
          </w:p>
        </w:tc>
        <w:tc>
          <w:tcPr>
            <w:tcW w:w="851" w:type="dxa"/>
            <w:shd w:val="clear" w:color="auto" w:fill="auto"/>
          </w:tcPr>
          <w:p w14:paraId="6B733312" w14:textId="77777777" w:rsidR="002C0FD5" w:rsidRPr="0067172A" w:rsidRDefault="002C0FD5" w:rsidP="00DD7BE1">
            <w:pPr>
              <w:pStyle w:val="bodycopy"/>
              <w:rPr>
                <w:rFonts w:ascii="Arial" w:hAnsi="Arial"/>
                <w:sz w:val="18"/>
                <w:szCs w:val="18"/>
              </w:rPr>
            </w:pPr>
            <w:r w:rsidRPr="0067172A">
              <w:rPr>
                <w:rFonts w:ascii="Arial" w:hAnsi="Arial"/>
                <w:sz w:val="18"/>
                <w:szCs w:val="18"/>
              </w:rPr>
              <w:t>F</w:t>
            </w:r>
          </w:p>
        </w:tc>
        <w:tc>
          <w:tcPr>
            <w:tcW w:w="3402" w:type="dxa"/>
            <w:shd w:val="clear" w:color="auto" w:fill="auto"/>
          </w:tcPr>
          <w:p w14:paraId="3D7B39BE" w14:textId="77777777" w:rsidR="002C0FD5" w:rsidRPr="0067172A" w:rsidRDefault="002C0FD5" w:rsidP="00DD7BE1">
            <w:pPr>
              <w:pStyle w:val="bodycopy"/>
              <w:rPr>
                <w:rFonts w:ascii="Arial" w:hAnsi="Arial"/>
                <w:sz w:val="18"/>
                <w:szCs w:val="18"/>
              </w:rPr>
            </w:pPr>
            <w:r w:rsidRPr="0067172A">
              <w:rPr>
                <w:rFonts w:ascii="Arial" w:hAnsi="Arial"/>
                <w:sz w:val="18"/>
                <w:szCs w:val="18"/>
              </w:rPr>
              <w:t>Foraging</w:t>
            </w:r>
          </w:p>
        </w:tc>
      </w:tr>
      <w:tr w:rsidR="002C0FD5" w:rsidRPr="0067172A" w14:paraId="4A9CC946" w14:textId="77777777" w:rsidTr="00891DE1">
        <w:tc>
          <w:tcPr>
            <w:tcW w:w="2835" w:type="dxa"/>
            <w:shd w:val="clear" w:color="auto" w:fill="auto"/>
          </w:tcPr>
          <w:p w14:paraId="5FFB08EC" w14:textId="77777777" w:rsidR="002C0FD5" w:rsidRPr="0067172A" w:rsidRDefault="002C0FD5" w:rsidP="00DD7BE1">
            <w:pPr>
              <w:pStyle w:val="bodycopy"/>
              <w:rPr>
                <w:rFonts w:ascii="Arial" w:hAnsi="Arial"/>
                <w:sz w:val="18"/>
                <w:szCs w:val="18"/>
              </w:rPr>
            </w:pPr>
          </w:p>
        </w:tc>
        <w:tc>
          <w:tcPr>
            <w:tcW w:w="851" w:type="dxa"/>
            <w:shd w:val="clear" w:color="auto" w:fill="auto"/>
          </w:tcPr>
          <w:p w14:paraId="3C923634" w14:textId="77777777" w:rsidR="002C0FD5" w:rsidRPr="0067172A" w:rsidRDefault="002C0FD5" w:rsidP="00DD7BE1">
            <w:pPr>
              <w:pStyle w:val="bodycopy"/>
              <w:rPr>
                <w:rFonts w:ascii="Arial" w:hAnsi="Arial"/>
                <w:sz w:val="18"/>
                <w:szCs w:val="18"/>
              </w:rPr>
            </w:pPr>
            <w:r w:rsidRPr="0067172A">
              <w:rPr>
                <w:rFonts w:ascii="Arial" w:hAnsi="Arial"/>
                <w:sz w:val="18"/>
                <w:szCs w:val="18"/>
              </w:rPr>
              <w:t>M</w:t>
            </w:r>
          </w:p>
        </w:tc>
        <w:tc>
          <w:tcPr>
            <w:tcW w:w="3402" w:type="dxa"/>
            <w:shd w:val="clear" w:color="auto" w:fill="auto"/>
          </w:tcPr>
          <w:p w14:paraId="50363504" w14:textId="77777777" w:rsidR="002C0FD5" w:rsidRPr="0067172A" w:rsidRDefault="002C0FD5" w:rsidP="00DD7BE1">
            <w:pPr>
              <w:pStyle w:val="bodycopy"/>
              <w:rPr>
                <w:rFonts w:ascii="Arial" w:hAnsi="Arial"/>
                <w:sz w:val="18"/>
                <w:szCs w:val="18"/>
              </w:rPr>
            </w:pPr>
            <w:r w:rsidRPr="0067172A">
              <w:rPr>
                <w:rFonts w:ascii="Arial" w:hAnsi="Arial"/>
                <w:sz w:val="18"/>
                <w:szCs w:val="18"/>
              </w:rPr>
              <w:t>Migration</w:t>
            </w:r>
          </w:p>
        </w:tc>
      </w:tr>
      <w:tr w:rsidR="002C0FD5" w:rsidRPr="0067172A" w14:paraId="0D9C1C1F" w14:textId="77777777" w:rsidTr="00891DE1">
        <w:tc>
          <w:tcPr>
            <w:tcW w:w="2835" w:type="dxa"/>
            <w:shd w:val="clear" w:color="auto" w:fill="auto"/>
          </w:tcPr>
          <w:p w14:paraId="7BE24EB4" w14:textId="77777777" w:rsidR="002C0FD5" w:rsidRPr="0067172A" w:rsidRDefault="002C0FD5" w:rsidP="00DD7BE1">
            <w:pPr>
              <w:pStyle w:val="bodycopy"/>
              <w:rPr>
                <w:rFonts w:ascii="Arial" w:hAnsi="Arial"/>
                <w:sz w:val="18"/>
                <w:szCs w:val="18"/>
              </w:rPr>
            </w:pPr>
            <w:r w:rsidRPr="0067172A">
              <w:rPr>
                <w:rFonts w:ascii="Arial" w:hAnsi="Arial"/>
                <w:sz w:val="18"/>
                <w:szCs w:val="18"/>
              </w:rPr>
              <w:t>Recovery plans</w:t>
            </w:r>
          </w:p>
        </w:tc>
        <w:tc>
          <w:tcPr>
            <w:tcW w:w="851" w:type="dxa"/>
            <w:shd w:val="clear" w:color="auto" w:fill="auto"/>
          </w:tcPr>
          <w:p w14:paraId="33F24C26" w14:textId="77777777" w:rsidR="002C0FD5" w:rsidRPr="0067172A" w:rsidRDefault="002C0FD5" w:rsidP="00DD7BE1">
            <w:pPr>
              <w:pStyle w:val="bodycopy"/>
              <w:rPr>
                <w:rFonts w:ascii="Arial" w:hAnsi="Arial"/>
                <w:sz w:val="18"/>
                <w:szCs w:val="18"/>
              </w:rPr>
            </w:pPr>
            <w:r w:rsidRPr="0067172A">
              <w:rPr>
                <w:rFonts w:ascii="Arial" w:hAnsi="Arial"/>
                <w:sz w:val="18"/>
                <w:szCs w:val="18"/>
              </w:rPr>
              <w:t>CA</w:t>
            </w:r>
          </w:p>
        </w:tc>
        <w:tc>
          <w:tcPr>
            <w:tcW w:w="3402" w:type="dxa"/>
            <w:shd w:val="clear" w:color="auto" w:fill="auto"/>
          </w:tcPr>
          <w:p w14:paraId="716011E9" w14:textId="77777777" w:rsidR="002C0FD5" w:rsidRPr="0067172A" w:rsidRDefault="002C0FD5" w:rsidP="00DD7BE1">
            <w:pPr>
              <w:pStyle w:val="bodycopy"/>
              <w:rPr>
                <w:rFonts w:ascii="Arial" w:hAnsi="Arial"/>
                <w:sz w:val="18"/>
                <w:szCs w:val="18"/>
              </w:rPr>
            </w:pPr>
            <w:r w:rsidRPr="0067172A">
              <w:rPr>
                <w:rFonts w:ascii="Arial" w:hAnsi="Arial"/>
                <w:sz w:val="18"/>
                <w:szCs w:val="18"/>
              </w:rPr>
              <w:t>Conservation Advice</w:t>
            </w:r>
          </w:p>
        </w:tc>
      </w:tr>
      <w:tr w:rsidR="002C0FD5" w:rsidRPr="0067172A" w14:paraId="43CC09E4" w14:textId="77777777" w:rsidTr="00891DE1">
        <w:tc>
          <w:tcPr>
            <w:tcW w:w="2835" w:type="dxa"/>
            <w:shd w:val="clear" w:color="auto" w:fill="auto"/>
          </w:tcPr>
          <w:p w14:paraId="38EF8A22" w14:textId="77777777" w:rsidR="002C0FD5" w:rsidRPr="0067172A" w:rsidRDefault="002C0FD5" w:rsidP="00DD7BE1">
            <w:pPr>
              <w:pStyle w:val="bodycopy"/>
              <w:rPr>
                <w:rFonts w:ascii="Arial" w:hAnsi="Arial"/>
                <w:sz w:val="18"/>
                <w:szCs w:val="18"/>
              </w:rPr>
            </w:pPr>
          </w:p>
        </w:tc>
        <w:tc>
          <w:tcPr>
            <w:tcW w:w="851" w:type="dxa"/>
            <w:shd w:val="clear" w:color="auto" w:fill="auto"/>
          </w:tcPr>
          <w:p w14:paraId="58930F05" w14:textId="77777777" w:rsidR="002C0FD5" w:rsidRPr="0067172A" w:rsidRDefault="002C0FD5" w:rsidP="00DD7BE1">
            <w:pPr>
              <w:pStyle w:val="bodycopy"/>
              <w:rPr>
                <w:rFonts w:ascii="Arial" w:hAnsi="Arial"/>
                <w:sz w:val="18"/>
                <w:szCs w:val="18"/>
              </w:rPr>
            </w:pPr>
            <w:r w:rsidRPr="0067172A">
              <w:rPr>
                <w:rFonts w:ascii="Arial" w:hAnsi="Arial"/>
                <w:sz w:val="18"/>
                <w:szCs w:val="18"/>
              </w:rPr>
              <w:t>CMP</w:t>
            </w:r>
          </w:p>
        </w:tc>
        <w:tc>
          <w:tcPr>
            <w:tcW w:w="3402" w:type="dxa"/>
            <w:shd w:val="clear" w:color="auto" w:fill="auto"/>
          </w:tcPr>
          <w:p w14:paraId="1CB41666" w14:textId="77777777" w:rsidR="002C0FD5" w:rsidRPr="0067172A" w:rsidRDefault="002C0FD5" w:rsidP="00DD7BE1">
            <w:pPr>
              <w:pStyle w:val="bodycopy"/>
              <w:rPr>
                <w:rFonts w:ascii="Arial" w:hAnsi="Arial"/>
                <w:sz w:val="18"/>
                <w:szCs w:val="18"/>
              </w:rPr>
            </w:pPr>
            <w:r w:rsidRPr="0067172A">
              <w:rPr>
                <w:rFonts w:ascii="Arial" w:hAnsi="Arial"/>
                <w:sz w:val="18"/>
                <w:szCs w:val="18"/>
              </w:rPr>
              <w:t>Conservation Management Plan</w:t>
            </w:r>
          </w:p>
        </w:tc>
      </w:tr>
      <w:tr w:rsidR="002C0FD5" w:rsidRPr="0067172A" w14:paraId="2F750660" w14:textId="77777777" w:rsidTr="00891DE1">
        <w:tc>
          <w:tcPr>
            <w:tcW w:w="2835" w:type="dxa"/>
            <w:shd w:val="clear" w:color="auto" w:fill="auto"/>
          </w:tcPr>
          <w:p w14:paraId="05A44A92" w14:textId="77777777" w:rsidR="002C0FD5" w:rsidRPr="0067172A" w:rsidRDefault="002C0FD5" w:rsidP="00DD7BE1">
            <w:pPr>
              <w:pStyle w:val="bodycopy"/>
              <w:rPr>
                <w:rFonts w:ascii="Arial" w:hAnsi="Arial"/>
                <w:sz w:val="18"/>
                <w:szCs w:val="18"/>
              </w:rPr>
            </w:pPr>
          </w:p>
        </w:tc>
        <w:tc>
          <w:tcPr>
            <w:tcW w:w="851" w:type="dxa"/>
            <w:shd w:val="clear" w:color="auto" w:fill="auto"/>
          </w:tcPr>
          <w:p w14:paraId="0ACD753F" w14:textId="77777777" w:rsidR="002C0FD5" w:rsidRPr="0067172A" w:rsidRDefault="002C0FD5" w:rsidP="00DD7BE1">
            <w:pPr>
              <w:pStyle w:val="bodycopy"/>
              <w:rPr>
                <w:rFonts w:ascii="Arial" w:hAnsi="Arial"/>
                <w:sz w:val="18"/>
                <w:szCs w:val="18"/>
              </w:rPr>
            </w:pPr>
            <w:r w:rsidRPr="0067172A">
              <w:rPr>
                <w:rFonts w:ascii="Arial" w:hAnsi="Arial"/>
                <w:sz w:val="18"/>
                <w:szCs w:val="18"/>
              </w:rPr>
              <w:t>RP</w:t>
            </w:r>
          </w:p>
        </w:tc>
        <w:tc>
          <w:tcPr>
            <w:tcW w:w="3402" w:type="dxa"/>
            <w:shd w:val="clear" w:color="auto" w:fill="auto"/>
          </w:tcPr>
          <w:p w14:paraId="071799D4" w14:textId="77777777" w:rsidR="002C0FD5" w:rsidRPr="0067172A" w:rsidRDefault="002C0FD5" w:rsidP="00DD7BE1">
            <w:pPr>
              <w:pStyle w:val="bodycopy"/>
              <w:rPr>
                <w:rFonts w:ascii="Arial" w:hAnsi="Arial"/>
                <w:sz w:val="18"/>
                <w:szCs w:val="18"/>
              </w:rPr>
            </w:pPr>
            <w:r w:rsidRPr="0067172A">
              <w:rPr>
                <w:rFonts w:ascii="Arial" w:hAnsi="Arial"/>
                <w:sz w:val="18"/>
                <w:szCs w:val="18"/>
              </w:rPr>
              <w:t>Recovery Plan</w:t>
            </w:r>
          </w:p>
        </w:tc>
      </w:tr>
    </w:tbl>
    <w:p w14:paraId="378258BB" w14:textId="77777777" w:rsidR="002C0FD5" w:rsidRDefault="002C0FD5" w:rsidP="00F92BED">
      <w:pPr>
        <w:ind w:hanging="1004"/>
        <w:rPr>
          <w:rFonts w:ascii="Tahoma" w:hAnsi="Tahoma" w:cs="Tahoma"/>
          <w:sz w:val="16"/>
          <w:szCs w:val="16"/>
        </w:rPr>
      </w:pPr>
    </w:p>
    <w:p w14:paraId="1E92DF31" w14:textId="0C64C132" w:rsidR="00F92BED" w:rsidRPr="0067172A" w:rsidRDefault="00F92BED" w:rsidP="00F92BED">
      <w:pPr>
        <w:pStyle w:val="bodycopy"/>
        <w:rPr>
          <w:rFonts w:ascii="Arial" w:hAnsi="Arial"/>
          <w:b/>
          <w:sz w:val="22"/>
          <w:szCs w:val="22"/>
        </w:rPr>
      </w:pPr>
      <w:r w:rsidRPr="0067172A">
        <w:rPr>
          <w:rFonts w:ascii="Arial" w:hAnsi="Arial"/>
          <w:b/>
          <w:sz w:val="22"/>
          <w:szCs w:val="22"/>
        </w:rPr>
        <w:t xml:space="preserve">Antartic minke whales </w:t>
      </w:r>
      <w:r w:rsidR="002A4763" w:rsidRPr="0067172A">
        <w:rPr>
          <w:rFonts w:ascii="Arial" w:hAnsi="Arial"/>
          <w:b/>
          <w:sz w:val="22"/>
          <w:szCs w:val="22"/>
        </w:rPr>
        <w:t>(</w:t>
      </w:r>
      <w:r w:rsidR="002A4763" w:rsidRPr="0067172A">
        <w:rPr>
          <w:rFonts w:ascii="Arial" w:hAnsi="Arial"/>
          <w:b/>
          <w:i/>
          <w:sz w:val="22"/>
          <w:szCs w:val="22"/>
        </w:rPr>
        <w:t>Balaenoptera bonaerensis</w:t>
      </w:r>
      <w:r w:rsidR="002A4763" w:rsidRPr="0067172A">
        <w:rPr>
          <w:rFonts w:ascii="Arial" w:hAnsi="Arial"/>
          <w:b/>
          <w:sz w:val="22"/>
          <w:szCs w:val="22"/>
        </w:rPr>
        <w:t xml:space="preserve">) </w:t>
      </w:r>
      <w:r w:rsidRPr="0067172A">
        <w:rPr>
          <w:rFonts w:ascii="Arial" w:hAnsi="Arial"/>
          <w:b/>
          <w:sz w:val="22"/>
          <w:szCs w:val="22"/>
        </w:rPr>
        <w:t>(</w:t>
      </w:r>
      <w:r w:rsidR="006A7CDA">
        <w:rPr>
          <w:rFonts w:ascii="Arial" w:hAnsi="Arial"/>
          <w:b/>
          <w:sz w:val="22"/>
          <w:szCs w:val="22"/>
        </w:rPr>
        <w:t>EPBC Act: Listed m</w:t>
      </w:r>
      <w:r w:rsidRPr="0067172A">
        <w:rPr>
          <w:rFonts w:ascii="Arial" w:hAnsi="Arial"/>
          <w:b/>
          <w:sz w:val="22"/>
          <w:szCs w:val="22"/>
        </w:rPr>
        <w:t>igratory</w:t>
      </w:r>
      <w:r w:rsidR="006A7CDA">
        <w:rPr>
          <w:rFonts w:ascii="Arial" w:hAnsi="Arial"/>
          <w:b/>
          <w:sz w:val="22"/>
          <w:szCs w:val="22"/>
        </w:rPr>
        <w:t>, FFG Act: Not listed</w:t>
      </w:r>
      <w:r w:rsidRPr="0067172A">
        <w:rPr>
          <w:rFonts w:ascii="Arial" w:hAnsi="Arial"/>
          <w:b/>
          <w:sz w:val="22"/>
          <w:szCs w:val="22"/>
        </w:rPr>
        <w:t>)</w:t>
      </w:r>
    </w:p>
    <w:p w14:paraId="03892BCD" w14:textId="1DDFE969" w:rsidR="00B56F04" w:rsidRPr="0067172A" w:rsidRDefault="00F92BED" w:rsidP="00F92BED">
      <w:pPr>
        <w:pStyle w:val="bodycopy"/>
        <w:rPr>
          <w:rFonts w:ascii="Arial" w:hAnsi="Arial"/>
          <w:sz w:val="22"/>
          <w:szCs w:val="22"/>
        </w:rPr>
      </w:pPr>
      <w:r w:rsidRPr="0067172A">
        <w:rPr>
          <w:rFonts w:ascii="Arial" w:hAnsi="Arial"/>
          <w:sz w:val="22"/>
          <w:szCs w:val="22"/>
        </w:rPr>
        <w:t>The Antarctic minke whale (</w:t>
      </w:r>
      <w:r w:rsidRPr="0067172A">
        <w:rPr>
          <w:rFonts w:ascii="Arial" w:hAnsi="Arial"/>
          <w:i/>
          <w:sz w:val="22"/>
          <w:szCs w:val="22"/>
        </w:rPr>
        <w:t>Balaenoptera bonaerensis</w:t>
      </w:r>
      <w:r w:rsidRPr="0067172A">
        <w:rPr>
          <w:rFonts w:ascii="Arial" w:hAnsi="Arial"/>
          <w:sz w:val="22"/>
          <w:szCs w:val="22"/>
        </w:rPr>
        <w:t xml:space="preserve">) has been found in all Australian states except the Northern Territory (NT) and occupies cold temperate to Antarctic offshore and pelagic habitats between 21°S and 65°S (Bannister </w:t>
      </w:r>
      <w:r w:rsidRPr="0067172A">
        <w:rPr>
          <w:rFonts w:ascii="Arial" w:hAnsi="Arial"/>
          <w:i/>
          <w:sz w:val="22"/>
          <w:szCs w:val="22"/>
        </w:rPr>
        <w:t>et al</w:t>
      </w:r>
      <w:r w:rsidRPr="0067172A">
        <w:rPr>
          <w:rFonts w:ascii="Arial" w:hAnsi="Arial"/>
          <w:sz w:val="22"/>
          <w:szCs w:val="22"/>
        </w:rPr>
        <w:t>., 1996). In summer the species is found in pelagic waters from 55°S to the Antarctic ice edge. During winter the species retreat to breeding grounds between 10-30°S, occupying oceanic waters exceeding 600 m depth and beyond the continental shelf break (DoE</w:t>
      </w:r>
      <w:r w:rsidR="00B56F04" w:rsidRPr="0067172A">
        <w:rPr>
          <w:rFonts w:ascii="Arial" w:hAnsi="Arial"/>
          <w:sz w:val="22"/>
          <w:szCs w:val="22"/>
        </w:rPr>
        <w:t>E</w:t>
      </w:r>
      <w:r w:rsidRPr="0067172A">
        <w:rPr>
          <w:rFonts w:ascii="Arial" w:hAnsi="Arial"/>
          <w:sz w:val="22"/>
          <w:szCs w:val="22"/>
        </w:rPr>
        <w:t>, 201</w:t>
      </w:r>
      <w:r w:rsidR="00B56F04" w:rsidRPr="0067172A">
        <w:rPr>
          <w:rFonts w:ascii="Arial" w:hAnsi="Arial"/>
          <w:sz w:val="22"/>
          <w:szCs w:val="22"/>
        </w:rPr>
        <w:t>7</w:t>
      </w:r>
      <w:r w:rsidR="00225481">
        <w:rPr>
          <w:rFonts w:ascii="Arial" w:hAnsi="Arial"/>
          <w:sz w:val="22"/>
          <w:szCs w:val="22"/>
        </w:rPr>
        <w:t>i</w:t>
      </w:r>
      <w:r w:rsidRPr="0067172A">
        <w:rPr>
          <w:rFonts w:ascii="Arial" w:hAnsi="Arial"/>
          <w:sz w:val="22"/>
          <w:szCs w:val="22"/>
        </w:rPr>
        <w:t xml:space="preserve">). </w:t>
      </w:r>
    </w:p>
    <w:p w14:paraId="40621883" w14:textId="4866E231" w:rsidR="00F92BED" w:rsidRPr="0067172A" w:rsidRDefault="00F92BED" w:rsidP="00F92BED">
      <w:pPr>
        <w:pStyle w:val="bodycopy"/>
        <w:rPr>
          <w:rFonts w:ascii="Arial" w:hAnsi="Arial"/>
          <w:sz w:val="22"/>
          <w:szCs w:val="22"/>
        </w:rPr>
      </w:pPr>
      <w:r w:rsidRPr="0067172A">
        <w:rPr>
          <w:rFonts w:ascii="Arial" w:hAnsi="Arial"/>
          <w:sz w:val="22"/>
          <w:szCs w:val="22"/>
        </w:rPr>
        <w:t>Mating occurs from June through December, with a peak in August and September and calving occurs during late May and early June in warmer waters north of the Antarctic Convergence (Do</w:t>
      </w:r>
      <w:r w:rsidR="00B56F04" w:rsidRPr="0067172A">
        <w:rPr>
          <w:rFonts w:ascii="Arial" w:hAnsi="Arial"/>
          <w:sz w:val="22"/>
          <w:szCs w:val="22"/>
        </w:rPr>
        <w:t>E</w:t>
      </w:r>
      <w:r w:rsidRPr="0067172A">
        <w:rPr>
          <w:rFonts w:ascii="Arial" w:hAnsi="Arial"/>
          <w:sz w:val="22"/>
          <w:szCs w:val="22"/>
        </w:rPr>
        <w:t>E, 201</w:t>
      </w:r>
      <w:r w:rsidR="00B56F04" w:rsidRPr="0067172A">
        <w:rPr>
          <w:rFonts w:ascii="Arial" w:hAnsi="Arial"/>
          <w:sz w:val="22"/>
          <w:szCs w:val="22"/>
        </w:rPr>
        <w:t>7</w:t>
      </w:r>
      <w:r w:rsidR="00225481">
        <w:rPr>
          <w:rFonts w:ascii="Arial" w:hAnsi="Arial"/>
          <w:sz w:val="22"/>
          <w:szCs w:val="22"/>
        </w:rPr>
        <w:t>i</w:t>
      </w:r>
      <w:r w:rsidRPr="0067172A">
        <w:rPr>
          <w:rFonts w:ascii="Arial" w:hAnsi="Arial"/>
          <w:sz w:val="22"/>
          <w:szCs w:val="22"/>
        </w:rPr>
        <w:t>). The species primarily feeds in the Antarctic during summer on Antarctic krill and does not appear to feed much while in the breeding grounds of lower latitudes (Do</w:t>
      </w:r>
      <w:r w:rsidR="00B56F04" w:rsidRPr="0067172A">
        <w:rPr>
          <w:rFonts w:ascii="Arial" w:hAnsi="Arial"/>
          <w:sz w:val="22"/>
          <w:szCs w:val="22"/>
        </w:rPr>
        <w:t>E</w:t>
      </w:r>
      <w:r w:rsidRPr="0067172A">
        <w:rPr>
          <w:rFonts w:ascii="Arial" w:hAnsi="Arial"/>
          <w:sz w:val="22"/>
          <w:szCs w:val="22"/>
        </w:rPr>
        <w:t>E, 201</w:t>
      </w:r>
      <w:r w:rsidR="00B56F04" w:rsidRPr="0067172A">
        <w:rPr>
          <w:rFonts w:ascii="Arial" w:hAnsi="Arial"/>
          <w:sz w:val="22"/>
          <w:szCs w:val="22"/>
        </w:rPr>
        <w:t>7</w:t>
      </w:r>
      <w:r w:rsidR="00225481">
        <w:rPr>
          <w:rFonts w:ascii="Arial" w:hAnsi="Arial"/>
          <w:sz w:val="22"/>
          <w:szCs w:val="22"/>
        </w:rPr>
        <w:t>i</w:t>
      </w:r>
      <w:r w:rsidRPr="0067172A">
        <w:rPr>
          <w:rFonts w:ascii="Arial" w:hAnsi="Arial"/>
          <w:sz w:val="22"/>
          <w:szCs w:val="22"/>
        </w:rPr>
        <w:t>).</w:t>
      </w:r>
    </w:p>
    <w:p w14:paraId="0E53268B" w14:textId="77777777" w:rsidR="00F92BED" w:rsidRPr="0067172A" w:rsidRDefault="00F92BED" w:rsidP="00F92BED">
      <w:pPr>
        <w:pStyle w:val="bodycopy"/>
        <w:rPr>
          <w:rFonts w:ascii="Arial" w:hAnsi="Arial"/>
          <w:sz w:val="22"/>
          <w:szCs w:val="22"/>
        </w:rPr>
      </w:pPr>
      <w:r w:rsidRPr="0067172A">
        <w:rPr>
          <w:rFonts w:ascii="Arial" w:hAnsi="Arial"/>
          <w:sz w:val="22"/>
          <w:szCs w:val="22"/>
        </w:rPr>
        <w:t xml:space="preserve">No BIA for the Antarctic minke whale </w:t>
      </w:r>
      <w:r w:rsidR="00B56F04" w:rsidRPr="0067172A">
        <w:rPr>
          <w:rFonts w:ascii="Arial" w:hAnsi="Arial"/>
          <w:sz w:val="22"/>
          <w:szCs w:val="22"/>
        </w:rPr>
        <w:t>has</w:t>
      </w:r>
      <w:r w:rsidRPr="0067172A">
        <w:rPr>
          <w:rFonts w:ascii="Arial" w:hAnsi="Arial"/>
          <w:sz w:val="22"/>
          <w:szCs w:val="22"/>
        </w:rPr>
        <w:t xml:space="preserve"> been identified in, or in proximity to the proposed </w:t>
      </w:r>
      <w:r w:rsidR="00B56F04" w:rsidRPr="0067172A">
        <w:rPr>
          <w:rFonts w:ascii="Arial" w:hAnsi="Arial"/>
          <w:sz w:val="22"/>
          <w:szCs w:val="22"/>
        </w:rPr>
        <w:t>acquisition</w:t>
      </w:r>
      <w:r w:rsidRPr="0067172A">
        <w:rPr>
          <w:rFonts w:ascii="Arial" w:hAnsi="Arial"/>
          <w:sz w:val="22"/>
          <w:szCs w:val="22"/>
        </w:rPr>
        <w:t xml:space="preserve"> area. Given the species preferred habitat (deep water)</w:t>
      </w:r>
      <w:r w:rsidR="00B56F04" w:rsidRPr="0067172A">
        <w:rPr>
          <w:rFonts w:ascii="Arial" w:hAnsi="Arial"/>
          <w:sz w:val="22"/>
          <w:szCs w:val="22"/>
        </w:rPr>
        <w:t xml:space="preserve"> and summer distribution,</w:t>
      </w:r>
      <w:r w:rsidRPr="0067172A">
        <w:rPr>
          <w:rFonts w:ascii="Arial" w:hAnsi="Arial"/>
          <w:sz w:val="22"/>
          <w:szCs w:val="22"/>
        </w:rPr>
        <w:t xml:space="preserve"> the likelihood of </w:t>
      </w:r>
      <w:r w:rsidR="00B56F04" w:rsidRPr="0067172A">
        <w:rPr>
          <w:rFonts w:ascii="Arial" w:hAnsi="Arial"/>
          <w:sz w:val="22"/>
          <w:szCs w:val="22"/>
        </w:rPr>
        <w:t>its occurrence</w:t>
      </w:r>
      <w:r w:rsidRPr="0067172A">
        <w:rPr>
          <w:rFonts w:ascii="Arial" w:hAnsi="Arial"/>
          <w:sz w:val="22"/>
          <w:szCs w:val="22"/>
        </w:rPr>
        <w:t xml:space="preserve"> </w:t>
      </w:r>
      <w:r w:rsidR="00B56F04" w:rsidRPr="0067172A">
        <w:rPr>
          <w:rFonts w:ascii="Arial" w:hAnsi="Arial"/>
          <w:sz w:val="22"/>
          <w:szCs w:val="22"/>
        </w:rPr>
        <w:t xml:space="preserve">within the proposed acquisition area and EMBA </w:t>
      </w:r>
      <w:r w:rsidRPr="0067172A">
        <w:rPr>
          <w:rFonts w:ascii="Arial" w:hAnsi="Arial"/>
          <w:sz w:val="22"/>
          <w:szCs w:val="22"/>
        </w:rPr>
        <w:t>is considered to be low.</w:t>
      </w:r>
    </w:p>
    <w:p w14:paraId="26FA6AE1" w14:textId="12F74260" w:rsidR="00F92BED" w:rsidRPr="0067172A" w:rsidRDefault="00F92BED" w:rsidP="00F92BED">
      <w:pPr>
        <w:pStyle w:val="bodycopy"/>
        <w:rPr>
          <w:rFonts w:ascii="Arial" w:hAnsi="Arial"/>
          <w:b/>
          <w:sz w:val="22"/>
          <w:szCs w:val="22"/>
        </w:rPr>
      </w:pPr>
      <w:r w:rsidRPr="0067172A">
        <w:rPr>
          <w:rFonts w:ascii="Arial" w:hAnsi="Arial"/>
          <w:b/>
          <w:sz w:val="22"/>
          <w:szCs w:val="22"/>
        </w:rPr>
        <w:t xml:space="preserve">Sei whale </w:t>
      </w:r>
      <w:r w:rsidR="00B56F04" w:rsidRPr="0067172A">
        <w:rPr>
          <w:rFonts w:ascii="Arial" w:hAnsi="Arial"/>
          <w:b/>
          <w:sz w:val="22"/>
          <w:szCs w:val="22"/>
        </w:rPr>
        <w:t>(</w:t>
      </w:r>
      <w:r w:rsidR="00B56F04" w:rsidRPr="0067172A">
        <w:rPr>
          <w:rFonts w:ascii="Arial" w:hAnsi="Arial"/>
          <w:b/>
          <w:i/>
          <w:sz w:val="22"/>
          <w:szCs w:val="22"/>
        </w:rPr>
        <w:t>Balaenoptera borealis</w:t>
      </w:r>
      <w:r w:rsidR="00B56F04" w:rsidRPr="0067172A">
        <w:rPr>
          <w:rFonts w:ascii="Arial" w:hAnsi="Arial"/>
          <w:b/>
          <w:sz w:val="22"/>
          <w:szCs w:val="22"/>
        </w:rPr>
        <w:t xml:space="preserve">) </w:t>
      </w:r>
      <w:r w:rsidRPr="0067172A">
        <w:rPr>
          <w:rFonts w:ascii="Arial" w:hAnsi="Arial"/>
          <w:b/>
          <w:sz w:val="22"/>
          <w:szCs w:val="22"/>
        </w:rPr>
        <w:t>(</w:t>
      </w:r>
      <w:r w:rsidR="006A7CDA">
        <w:rPr>
          <w:rFonts w:ascii="Arial" w:hAnsi="Arial"/>
          <w:b/>
          <w:sz w:val="22"/>
          <w:szCs w:val="22"/>
        </w:rPr>
        <w:t xml:space="preserve">EPBC Act: </w:t>
      </w:r>
      <w:r w:rsidR="00DF520A" w:rsidRPr="0067172A">
        <w:rPr>
          <w:rFonts w:ascii="Arial" w:hAnsi="Arial"/>
          <w:b/>
          <w:sz w:val="22"/>
          <w:szCs w:val="22"/>
        </w:rPr>
        <w:t>V</w:t>
      </w:r>
      <w:r w:rsidRPr="0067172A">
        <w:rPr>
          <w:rFonts w:ascii="Arial" w:hAnsi="Arial"/>
          <w:b/>
          <w:sz w:val="22"/>
          <w:szCs w:val="22"/>
        </w:rPr>
        <w:t xml:space="preserve">ulnerable, </w:t>
      </w:r>
      <w:r w:rsidR="006A7CDA">
        <w:rPr>
          <w:rFonts w:ascii="Arial" w:hAnsi="Arial"/>
          <w:b/>
          <w:sz w:val="22"/>
          <w:szCs w:val="22"/>
        </w:rPr>
        <w:t xml:space="preserve">listed </w:t>
      </w:r>
      <w:r w:rsidRPr="0067172A">
        <w:rPr>
          <w:rFonts w:ascii="Arial" w:hAnsi="Arial"/>
          <w:b/>
          <w:sz w:val="22"/>
          <w:szCs w:val="22"/>
        </w:rPr>
        <w:t>migratory</w:t>
      </w:r>
      <w:r w:rsidR="006A7CDA">
        <w:rPr>
          <w:rFonts w:ascii="Arial" w:hAnsi="Arial"/>
          <w:b/>
          <w:sz w:val="22"/>
          <w:szCs w:val="22"/>
        </w:rPr>
        <w:t>, FFG Act: Not listed</w:t>
      </w:r>
      <w:r w:rsidRPr="0067172A">
        <w:rPr>
          <w:rFonts w:ascii="Arial" w:hAnsi="Arial"/>
          <w:b/>
          <w:sz w:val="22"/>
          <w:szCs w:val="22"/>
        </w:rPr>
        <w:t>)</w:t>
      </w:r>
    </w:p>
    <w:p w14:paraId="6FE2FF0B" w14:textId="2B900830" w:rsidR="00A316C1" w:rsidRPr="0067172A" w:rsidRDefault="00F92BED" w:rsidP="00F92BED">
      <w:pPr>
        <w:pStyle w:val="bodycopy"/>
        <w:rPr>
          <w:rFonts w:ascii="Arial" w:hAnsi="Arial"/>
          <w:sz w:val="22"/>
          <w:szCs w:val="22"/>
        </w:rPr>
      </w:pPr>
      <w:r w:rsidRPr="0067172A">
        <w:rPr>
          <w:rFonts w:ascii="Arial" w:hAnsi="Arial"/>
          <w:sz w:val="22"/>
          <w:szCs w:val="22"/>
        </w:rPr>
        <w:t xml:space="preserve">Sei whales are considered a cosmopolitan species, ranging from polar to tropical waters, but tend to be found in deeper waters </w:t>
      </w:r>
      <w:r w:rsidR="00A316C1" w:rsidRPr="0067172A">
        <w:rPr>
          <w:rFonts w:ascii="Arial" w:hAnsi="Arial"/>
          <w:sz w:val="22"/>
          <w:szCs w:val="22"/>
        </w:rPr>
        <w:t xml:space="preserve">(not often near the coast) </w:t>
      </w:r>
      <w:r w:rsidRPr="0067172A">
        <w:rPr>
          <w:rFonts w:ascii="Arial" w:hAnsi="Arial"/>
          <w:sz w:val="22"/>
          <w:szCs w:val="22"/>
        </w:rPr>
        <w:t xml:space="preserve">than other species of large whales. </w:t>
      </w:r>
      <w:r w:rsidR="00A316C1" w:rsidRPr="0067172A">
        <w:rPr>
          <w:rFonts w:ascii="Arial" w:hAnsi="Arial"/>
          <w:sz w:val="22"/>
          <w:szCs w:val="22"/>
        </w:rPr>
        <w:t>This species is not often recorded in Australian waters (</w:t>
      </w:r>
      <w:r w:rsidR="00610FCE">
        <w:rPr>
          <w:rFonts w:ascii="Arial" w:hAnsi="Arial"/>
          <w:sz w:val="22"/>
          <w:szCs w:val="22"/>
        </w:rPr>
        <w:t>TSSC, 2015</w:t>
      </w:r>
      <w:r w:rsidR="00A53CA3">
        <w:rPr>
          <w:rFonts w:ascii="Arial" w:hAnsi="Arial"/>
          <w:sz w:val="22"/>
          <w:szCs w:val="22"/>
        </w:rPr>
        <w:t>c</w:t>
      </w:r>
      <w:r w:rsidR="00A316C1" w:rsidRPr="0067172A">
        <w:rPr>
          <w:rFonts w:ascii="Arial" w:hAnsi="Arial"/>
          <w:sz w:val="22"/>
          <w:szCs w:val="22"/>
        </w:rPr>
        <w:t>).</w:t>
      </w:r>
    </w:p>
    <w:p w14:paraId="725F49DF" w14:textId="6C0E4753" w:rsidR="00F92BED" w:rsidRPr="0067172A" w:rsidRDefault="00F92BED" w:rsidP="00F92BED">
      <w:pPr>
        <w:pStyle w:val="bodycopy"/>
        <w:rPr>
          <w:rFonts w:ascii="Arial" w:hAnsi="Arial"/>
          <w:sz w:val="22"/>
          <w:szCs w:val="22"/>
        </w:rPr>
      </w:pPr>
      <w:r w:rsidRPr="0067172A">
        <w:rPr>
          <w:rFonts w:ascii="Arial" w:hAnsi="Arial"/>
          <w:sz w:val="22"/>
          <w:szCs w:val="22"/>
        </w:rPr>
        <w:t>Their global population is estimated to have declined by 80% over the previous three-generation period (</w:t>
      </w:r>
      <w:r w:rsidR="00610FCE">
        <w:rPr>
          <w:rFonts w:ascii="Arial" w:hAnsi="Arial"/>
          <w:sz w:val="22"/>
          <w:szCs w:val="22"/>
        </w:rPr>
        <w:t>TSSC, 2015</w:t>
      </w:r>
      <w:r w:rsidR="00A53CA3">
        <w:rPr>
          <w:rFonts w:ascii="Arial" w:hAnsi="Arial"/>
          <w:sz w:val="22"/>
          <w:szCs w:val="22"/>
        </w:rPr>
        <w:t>c</w:t>
      </w:r>
      <w:r w:rsidRPr="0067172A">
        <w:rPr>
          <w:rFonts w:ascii="Arial" w:hAnsi="Arial"/>
          <w:sz w:val="22"/>
          <w:szCs w:val="22"/>
        </w:rPr>
        <w:t xml:space="preserve">). </w:t>
      </w:r>
      <w:r w:rsidR="00A316C1" w:rsidRPr="0067172A">
        <w:rPr>
          <w:rFonts w:ascii="Arial" w:hAnsi="Arial"/>
          <w:sz w:val="22"/>
          <w:szCs w:val="22"/>
        </w:rPr>
        <w:t>The proportion of the global population in Australian waters is unknown as there are no estimates for sei whales in Australian waters.</w:t>
      </w:r>
    </w:p>
    <w:p w14:paraId="4CA1DA09" w14:textId="77777777" w:rsidR="00B56F04" w:rsidRPr="0067172A" w:rsidRDefault="00F92BED" w:rsidP="00F92BED">
      <w:pPr>
        <w:pStyle w:val="bodycopy"/>
        <w:rPr>
          <w:rFonts w:ascii="Arial" w:hAnsi="Arial"/>
          <w:sz w:val="22"/>
          <w:szCs w:val="22"/>
        </w:rPr>
      </w:pPr>
      <w:r w:rsidRPr="0067172A">
        <w:rPr>
          <w:rFonts w:ascii="Arial" w:hAnsi="Arial"/>
          <w:sz w:val="22"/>
          <w:szCs w:val="22"/>
        </w:rPr>
        <w:t xml:space="preserve">Sei whales show well-defined migratory movements between polar, temperate and tropical waters. Migratory movements are essentially north-south with little longitudinal dispersion. Sei whales do not penetrate the polar waters as far as the blue, fin, humpback and minke whales (Horwood, 1987), although they have been observed very close to the Antarctic continent. </w:t>
      </w:r>
    </w:p>
    <w:p w14:paraId="78366601" w14:textId="74C0A75A" w:rsidR="00F92BED" w:rsidRPr="0067172A" w:rsidRDefault="00F92BED" w:rsidP="00F92BED">
      <w:pPr>
        <w:pStyle w:val="bodycopy"/>
        <w:rPr>
          <w:rFonts w:ascii="Arial" w:hAnsi="Arial"/>
          <w:sz w:val="22"/>
          <w:szCs w:val="22"/>
        </w:rPr>
      </w:pPr>
      <w:r w:rsidRPr="0067172A">
        <w:rPr>
          <w:rFonts w:ascii="Arial" w:hAnsi="Arial"/>
          <w:sz w:val="22"/>
          <w:szCs w:val="22"/>
        </w:rPr>
        <w:t>There are no known mating or calving areas in Australian waters</w:t>
      </w:r>
      <w:r w:rsidR="00B56F04" w:rsidRPr="0067172A">
        <w:rPr>
          <w:rFonts w:ascii="Arial" w:hAnsi="Arial"/>
          <w:sz w:val="22"/>
          <w:szCs w:val="22"/>
        </w:rPr>
        <w:t>, with the species presumed to breed in low-latitude waters (TSSC, 2015</w:t>
      </w:r>
      <w:r w:rsidR="00A53CA3">
        <w:rPr>
          <w:rFonts w:ascii="Arial" w:hAnsi="Arial"/>
          <w:sz w:val="22"/>
          <w:szCs w:val="22"/>
        </w:rPr>
        <w:t>c</w:t>
      </w:r>
      <w:r w:rsidR="00B56F04" w:rsidRPr="0067172A">
        <w:rPr>
          <w:rFonts w:ascii="Arial" w:hAnsi="Arial"/>
          <w:sz w:val="22"/>
          <w:szCs w:val="22"/>
        </w:rPr>
        <w:t xml:space="preserve">). </w:t>
      </w:r>
      <w:r w:rsidRPr="0067172A">
        <w:rPr>
          <w:rFonts w:ascii="Arial" w:hAnsi="Arial"/>
          <w:sz w:val="22"/>
          <w:szCs w:val="22"/>
        </w:rPr>
        <w:t>Sei whales move between Australian waters and Antarctic feeding areas, sub-Antarctic feeding areas (e.g., Subtropical Front), and tropical and sub</w:t>
      </w:r>
      <w:r w:rsidR="00B56F04" w:rsidRPr="0067172A">
        <w:rPr>
          <w:rFonts w:ascii="Arial" w:hAnsi="Arial"/>
          <w:sz w:val="22"/>
          <w:szCs w:val="22"/>
        </w:rPr>
        <w:t>-</w:t>
      </w:r>
      <w:r w:rsidRPr="0067172A">
        <w:rPr>
          <w:rFonts w:ascii="Arial" w:hAnsi="Arial"/>
          <w:sz w:val="22"/>
          <w:szCs w:val="22"/>
        </w:rPr>
        <w:t>tropical breeding areas. Sei whales feed intensively between the Antarctic and sub</w:t>
      </w:r>
      <w:r w:rsidR="00B56F04" w:rsidRPr="0067172A">
        <w:rPr>
          <w:rFonts w:ascii="Arial" w:hAnsi="Arial"/>
          <w:sz w:val="22"/>
          <w:szCs w:val="22"/>
        </w:rPr>
        <w:t>-</w:t>
      </w:r>
      <w:r w:rsidRPr="0067172A">
        <w:rPr>
          <w:rFonts w:ascii="Arial" w:hAnsi="Arial"/>
          <w:sz w:val="22"/>
          <w:szCs w:val="22"/>
        </w:rPr>
        <w:t xml:space="preserve">tropical convergences and mature animals </w:t>
      </w:r>
      <w:r w:rsidRPr="0067172A">
        <w:rPr>
          <w:rFonts w:ascii="Arial" w:hAnsi="Arial"/>
          <w:sz w:val="22"/>
          <w:szCs w:val="22"/>
        </w:rPr>
        <w:lastRenderedPageBreak/>
        <w:t>may also feed in higher latitudes. Sei whales feed on planktonic crustacea, in particular copepods and amphipods. Below the Antarctic convergence</w:t>
      </w:r>
      <w:r w:rsidR="00B56F04" w:rsidRPr="0067172A">
        <w:rPr>
          <w:rFonts w:ascii="Arial" w:hAnsi="Arial"/>
          <w:sz w:val="22"/>
          <w:szCs w:val="22"/>
        </w:rPr>
        <w:t>,</w:t>
      </w:r>
      <w:r w:rsidRPr="0067172A">
        <w:rPr>
          <w:rFonts w:ascii="Arial" w:hAnsi="Arial"/>
          <w:sz w:val="22"/>
          <w:szCs w:val="22"/>
        </w:rPr>
        <w:t xml:space="preserve"> sei whales feed exclusively upon Antarctic krill (</w:t>
      </w:r>
      <w:r w:rsidRPr="0067172A">
        <w:rPr>
          <w:rFonts w:ascii="Arial" w:hAnsi="Arial"/>
          <w:i/>
          <w:sz w:val="22"/>
          <w:szCs w:val="22"/>
        </w:rPr>
        <w:t>Euphausia superba</w:t>
      </w:r>
      <w:r w:rsidRPr="0067172A">
        <w:rPr>
          <w:rFonts w:ascii="Arial" w:hAnsi="Arial"/>
          <w:sz w:val="22"/>
          <w:szCs w:val="22"/>
        </w:rPr>
        <w:t>) (</w:t>
      </w:r>
      <w:r w:rsidR="00B97849" w:rsidRPr="0067172A">
        <w:rPr>
          <w:rFonts w:ascii="Arial" w:hAnsi="Arial"/>
          <w:sz w:val="22"/>
          <w:szCs w:val="22"/>
        </w:rPr>
        <w:t>TSSC, 2015</w:t>
      </w:r>
      <w:r w:rsidR="00A53CA3">
        <w:rPr>
          <w:rFonts w:ascii="Arial" w:hAnsi="Arial"/>
          <w:sz w:val="22"/>
          <w:szCs w:val="22"/>
        </w:rPr>
        <w:t>c</w:t>
      </w:r>
      <w:r w:rsidRPr="0067172A">
        <w:rPr>
          <w:rFonts w:ascii="Arial" w:hAnsi="Arial"/>
          <w:sz w:val="22"/>
          <w:szCs w:val="22"/>
        </w:rPr>
        <w:t>).</w:t>
      </w:r>
    </w:p>
    <w:p w14:paraId="59F4334A" w14:textId="77777777" w:rsidR="00E15603" w:rsidRPr="0067172A" w:rsidRDefault="00E15603" w:rsidP="00F92BED">
      <w:pPr>
        <w:pStyle w:val="bodycopy"/>
        <w:rPr>
          <w:rFonts w:ascii="Arial" w:hAnsi="Arial"/>
          <w:sz w:val="22"/>
          <w:szCs w:val="22"/>
        </w:rPr>
      </w:pPr>
      <w:r w:rsidRPr="0067172A">
        <w:rPr>
          <w:rFonts w:ascii="Arial" w:hAnsi="Arial"/>
          <w:sz w:val="22"/>
          <w:szCs w:val="22"/>
        </w:rPr>
        <w:t xml:space="preserve">The conservation advice for the sei whale nominates anthropogenic noise as a minor threat to the species. </w:t>
      </w:r>
    </w:p>
    <w:p w14:paraId="086092B3" w14:textId="77777777" w:rsidR="00F92BED" w:rsidRPr="0067172A" w:rsidRDefault="00F92BED" w:rsidP="00F92BED">
      <w:pPr>
        <w:pStyle w:val="bodycopy"/>
        <w:rPr>
          <w:rFonts w:ascii="Arial" w:hAnsi="Arial"/>
          <w:sz w:val="22"/>
          <w:szCs w:val="22"/>
        </w:rPr>
      </w:pPr>
      <w:r w:rsidRPr="0067172A">
        <w:rPr>
          <w:rFonts w:ascii="Arial" w:hAnsi="Arial"/>
          <w:sz w:val="22"/>
          <w:szCs w:val="22"/>
        </w:rPr>
        <w:t xml:space="preserve">Based upon the species preference for offshore waters, the absence of a BIA for the species in Australia, and the nearshore location of the survey area, it is considered unlikely that this species </w:t>
      </w:r>
      <w:r w:rsidR="00B56F04" w:rsidRPr="0067172A">
        <w:rPr>
          <w:rFonts w:ascii="Arial" w:hAnsi="Arial"/>
          <w:sz w:val="22"/>
          <w:szCs w:val="22"/>
        </w:rPr>
        <w:t>occurs within the proposed acquisition area or the EMBA</w:t>
      </w:r>
      <w:r w:rsidRPr="0067172A">
        <w:rPr>
          <w:rFonts w:ascii="Arial" w:hAnsi="Arial"/>
          <w:sz w:val="22"/>
          <w:szCs w:val="22"/>
        </w:rPr>
        <w:t xml:space="preserve">. </w:t>
      </w:r>
    </w:p>
    <w:p w14:paraId="7BE89751" w14:textId="105465B9" w:rsidR="00F92BED" w:rsidRPr="0067172A" w:rsidRDefault="00F92BED" w:rsidP="00F92BED">
      <w:pPr>
        <w:pStyle w:val="bodycopy"/>
        <w:rPr>
          <w:rFonts w:ascii="Arial" w:hAnsi="Arial"/>
          <w:b/>
          <w:sz w:val="22"/>
          <w:szCs w:val="22"/>
        </w:rPr>
      </w:pPr>
      <w:r w:rsidRPr="0067172A">
        <w:rPr>
          <w:rFonts w:ascii="Arial" w:hAnsi="Arial"/>
          <w:b/>
          <w:sz w:val="22"/>
          <w:szCs w:val="22"/>
        </w:rPr>
        <w:t xml:space="preserve">Bryde’s whale </w:t>
      </w:r>
      <w:r w:rsidR="00E15603" w:rsidRPr="0067172A">
        <w:rPr>
          <w:rFonts w:ascii="Arial" w:hAnsi="Arial"/>
          <w:b/>
          <w:sz w:val="22"/>
          <w:szCs w:val="22"/>
        </w:rPr>
        <w:t>(</w:t>
      </w:r>
      <w:r w:rsidR="00E15603" w:rsidRPr="0067172A">
        <w:rPr>
          <w:rFonts w:ascii="Arial" w:hAnsi="Arial"/>
          <w:b/>
          <w:i/>
          <w:sz w:val="22"/>
          <w:szCs w:val="22"/>
        </w:rPr>
        <w:t>Balaenoptera edeni</w:t>
      </w:r>
      <w:r w:rsidR="00E15603" w:rsidRPr="0067172A">
        <w:rPr>
          <w:rFonts w:ascii="Arial" w:hAnsi="Arial"/>
          <w:b/>
          <w:sz w:val="22"/>
          <w:szCs w:val="22"/>
        </w:rPr>
        <w:t xml:space="preserve">) </w:t>
      </w:r>
      <w:r w:rsidRPr="0067172A">
        <w:rPr>
          <w:rFonts w:ascii="Arial" w:hAnsi="Arial"/>
          <w:b/>
          <w:sz w:val="22"/>
          <w:szCs w:val="22"/>
        </w:rPr>
        <w:t>(</w:t>
      </w:r>
      <w:r w:rsidR="006A7CDA">
        <w:rPr>
          <w:rFonts w:ascii="Arial" w:hAnsi="Arial"/>
          <w:b/>
          <w:sz w:val="22"/>
          <w:szCs w:val="22"/>
        </w:rPr>
        <w:t>EPBC Act: Listed m</w:t>
      </w:r>
      <w:r w:rsidRPr="0067172A">
        <w:rPr>
          <w:rFonts w:ascii="Arial" w:hAnsi="Arial"/>
          <w:b/>
          <w:sz w:val="22"/>
          <w:szCs w:val="22"/>
        </w:rPr>
        <w:t>igratory</w:t>
      </w:r>
      <w:r w:rsidR="006A7CDA">
        <w:rPr>
          <w:rFonts w:ascii="Arial" w:hAnsi="Arial"/>
          <w:b/>
          <w:sz w:val="22"/>
          <w:szCs w:val="22"/>
        </w:rPr>
        <w:t>, FFG Act: Not listed</w:t>
      </w:r>
      <w:r w:rsidRPr="0067172A">
        <w:rPr>
          <w:rFonts w:ascii="Arial" w:hAnsi="Arial"/>
          <w:b/>
          <w:sz w:val="22"/>
          <w:szCs w:val="22"/>
        </w:rPr>
        <w:t>)</w:t>
      </w:r>
    </w:p>
    <w:p w14:paraId="25020AC5" w14:textId="476A3A2C" w:rsidR="00F92BED" w:rsidRPr="0067172A" w:rsidRDefault="00F92BED" w:rsidP="00F92BED">
      <w:pPr>
        <w:pStyle w:val="bodycopy"/>
        <w:rPr>
          <w:rFonts w:ascii="Arial" w:hAnsi="Arial"/>
          <w:sz w:val="22"/>
          <w:szCs w:val="22"/>
        </w:rPr>
      </w:pPr>
      <w:r w:rsidRPr="0067172A">
        <w:rPr>
          <w:rFonts w:ascii="Arial" w:hAnsi="Arial"/>
          <w:sz w:val="22"/>
          <w:szCs w:val="22"/>
        </w:rPr>
        <w:t>Bryde’s whale is a species restricted to tropical and temperate waters (generally found between latitudes of about 40</w:t>
      </w:r>
      <w:r w:rsidRPr="0067172A">
        <w:rPr>
          <w:rFonts w:ascii="Arial" w:hAnsi="Arial"/>
          <w:sz w:val="22"/>
          <w:szCs w:val="22"/>
        </w:rPr>
        <w:sym w:font="Symbol" w:char="F0B0"/>
      </w:r>
      <w:r w:rsidRPr="0067172A">
        <w:rPr>
          <w:rFonts w:ascii="Arial" w:hAnsi="Arial"/>
          <w:sz w:val="22"/>
          <w:szCs w:val="22"/>
        </w:rPr>
        <w:t>N and 40</w:t>
      </w:r>
      <w:r w:rsidRPr="0067172A">
        <w:rPr>
          <w:rFonts w:ascii="Arial" w:hAnsi="Arial"/>
          <w:sz w:val="22"/>
          <w:szCs w:val="22"/>
        </w:rPr>
        <w:sym w:font="Symbol" w:char="F0B0"/>
      </w:r>
      <w:r w:rsidRPr="0067172A">
        <w:rPr>
          <w:rFonts w:ascii="Arial" w:hAnsi="Arial"/>
          <w:sz w:val="22"/>
          <w:szCs w:val="22"/>
        </w:rPr>
        <w:t xml:space="preserve">S) and have been recorded off all Australian states (Bannister </w:t>
      </w:r>
      <w:r w:rsidRPr="0067172A">
        <w:rPr>
          <w:rFonts w:ascii="Arial" w:hAnsi="Arial"/>
          <w:i/>
          <w:sz w:val="22"/>
          <w:szCs w:val="22"/>
        </w:rPr>
        <w:t>et al</w:t>
      </w:r>
      <w:r w:rsidRPr="0067172A">
        <w:rPr>
          <w:rFonts w:ascii="Arial" w:hAnsi="Arial"/>
          <w:sz w:val="22"/>
          <w:szCs w:val="22"/>
        </w:rPr>
        <w:t>., 1996). Bryde’s whales can be found in both oceanic and inshore waters with the only key localities recognised in Australia being in the northern parts of the continent (DoE</w:t>
      </w:r>
      <w:r w:rsidR="00E15603" w:rsidRPr="0067172A">
        <w:rPr>
          <w:rFonts w:ascii="Arial" w:hAnsi="Arial"/>
          <w:sz w:val="22"/>
          <w:szCs w:val="22"/>
        </w:rPr>
        <w:t>E</w:t>
      </w:r>
      <w:r w:rsidRPr="0067172A">
        <w:rPr>
          <w:rFonts w:ascii="Arial" w:hAnsi="Arial"/>
          <w:sz w:val="22"/>
          <w:szCs w:val="22"/>
        </w:rPr>
        <w:t>, 201</w:t>
      </w:r>
      <w:r w:rsidR="00E15603" w:rsidRPr="0067172A">
        <w:rPr>
          <w:rFonts w:ascii="Arial" w:hAnsi="Arial"/>
          <w:sz w:val="22"/>
          <w:szCs w:val="22"/>
        </w:rPr>
        <w:t>7</w:t>
      </w:r>
      <w:r w:rsidR="00FF5C39">
        <w:rPr>
          <w:rFonts w:ascii="Arial" w:hAnsi="Arial"/>
          <w:sz w:val="22"/>
          <w:szCs w:val="22"/>
        </w:rPr>
        <w:t>i</w:t>
      </w:r>
      <w:r w:rsidRPr="0067172A">
        <w:rPr>
          <w:rFonts w:ascii="Arial" w:hAnsi="Arial"/>
          <w:sz w:val="22"/>
          <w:szCs w:val="22"/>
        </w:rPr>
        <w:t xml:space="preserve">).  </w:t>
      </w:r>
    </w:p>
    <w:p w14:paraId="5A63E348" w14:textId="514672F7" w:rsidR="00F92BED" w:rsidRPr="0067172A" w:rsidRDefault="00F92BED" w:rsidP="00F92BED">
      <w:pPr>
        <w:pStyle w:val="bodycopy"/>
        <w:rPr>
          <w:rFonts w:ascii="Arial" w:hAnsi="Arial"/>
          <w:sz w:val="22"/>
          <w:szCs w:val="22"/>
        </w:rPr>
      </w:pPr>
      <w:r w:rsidRPr="0067172A">
        <w:rPr>
          <w:rFonts w:ascii="Arial" w:hAnsi="Arial"/>
          <w:sz w:val="22"/>
          <w:szCs w:val="22"/>
        </w:rPr>
        <w:t>Population estimates are not available for Bryde’s whales, globally or in Australia, and no migration patterns have been documented in Australian waters (DoE</w:t>
      </w:r>
      <w:r w:rsidR="007A1AB2">
        <w:rPr>
          <w:rFonts w:ascii="Arial" w:hAnsi="Arial"/>
          <w:sz w:val="22"/>
          <w:szCs w:val="22"/>
        </w:rPr>
        <w:t>E</w:t>
      </w:r>
      <w:r w:rsidRPr="0067172A">
        <w:rPr>
          <w:rFonts w:ascii="Arial" w:hAnsi="Arial"/>
          <w:sz w:val="22"/>
          <w:szCs w:val="22"/>
        </w:rPr>
        <w:t>, 201</w:t>
      </w:r>
      <w:r w:rsidR="00E15603" w:rsidRPr="0067172A">
        <w:rPr>
          <w:rFonts w:ascii="Arial" w:hAnsi="Arial"/>
          <w:sz w:val="22"/>
          <w:szCs w:val="22"/>
        </w:rPr>
        <w:t>7</w:t>
      </w:r>
      <w:r w:rsidR="00FF5C39">
        <w:rPr>
          <w:rFonts w:ascii="Arial" w:hAnsi="Arial"/>
          <w:sz w:val="22"/>
          <w:szCs w:val="22"/>
        </w:rPr>
        <w:t>i</w:t>
      </w:r>
      <w:r w:rsidRPr="0067172A">
        <w:rPr>
          <w:rFonts w:ascii="Arial" w:hAnsi="Arial"/>
          <w:sz w:val="22"/>
          <w:szCs w:val="22"/>
        </w:rPr>
        <w:t xml:space="preserve">). Offshore populations have been recorded in depths of between 500 and 1,000 m. The species has been recorded around the Abrolhos Islands (WA) and in Queensland. Bannister et al (1996) states that they </w:t>
      </w:r>
      <w:r w:rsidR="00E15603" w:rsidRPr="0067172A">
        <w:rPr>
          <w:rFonts w:ascii="Arial" w:hAnsi="Arial"/>
          <w:sz w:val="22"/>
          <w:szCs w:val="22"/>
        </w:rPr>
        <w:t xml:space="preserve">are </w:t>
      </w:r>
      <w:r w:rsidRPr="0067172A">
        <w:rPr>
          <w:rFonts w:ascii="Arial" w:hAnsi="Arial"/>
          <w:sz w:val="22"/>
          <w:szCs w:val="22"/>
        </w:rPr>
        <w:t xml:space="preserve">likely to be found along the east and west coasts of Australia, and less so along the south coast. </w:t>
      </w:r>
    </w:p>
    <w:p w14:paraId="45133871" w14:textId="77777777" w:rsidR="00F92BED" w:rsidRPr="0067172A" w:rsidRDefault="00F92BED" w:rsidP="00F92BED">
      <w:pPr>
        <w:pStyle w:val="bodycopy"/>
        <w:rPr>
          <w:rFonts w:ascii="Arial" w:hAnsi="Arial"/>
          <w:sz w:val="22"/>
          <w:szCs w:val="22"/>
        </w:rPr>
      </w:pPr>
      <w:r w:rsidRPr="0067172A">
        <w:rPr>
          <w:rFonts w:ascii="Arial" w:hAnsi="Arial"/>
          <w:sz w:val="22"/>
          <w:szCs w:val="22"/>
        </w:rPr>
        <w:t xml:space="preserve">With the absence of a BIA for the species in Australia and their key localities confined to the northern parts of Australia, it is </w:t>
      </w:r>
      <w:r w:rsidR="00E15603" w:rsidRPr="0067172A">
        <w:rPr>
          <w:rFonts w:ascii="Arial" w:hAnsi="Arial"/>
          <w:sz w:val="22"/>
          <w:szCs w:val="22"/>
        </w:rPr>
        <w:t xml:space="preserve">not </w:t>
      </w:r>
      <w:r w:rsidRPr="0067172A">
        <w:rPr>
          <w:rFonts w:ascii="Arial" w:hAnsi="Arial"/>
          <w:sz w:val="22"/>
          <w:szCs w:val="22"/>
        </w:rPr>
        <w:t xml:space="preserve">considered likely that this species </w:t>
      </w:r>
      <w:r w:rsidR="00E15603" w:rsidRPr="0067172A">
        <w:rPr>
          <w:rFonts w:ascii="Arial" w:hAnsi="Arial"/>
          <w:sz w:val="22"/>
          <w:szCs w:val="22"/>
        </w:rPr>
        <w:t>occurs within the proposed acquisition area or the EMBA</w:t>
      </w:r>
      <w:r w:rsidRPr="0067172A">
        <w:rPr>
          <w:rFonts w:ascii="Arial" w:hAnsi="Arial"/>
          <w:sz w:val="22"/>
          <w:szCs w:val="22"/>
        </w:rPr>
        <w:t xml:space="preserve">. </w:t>
      </w:r>
    </w:p>
    <w:p w14:paraId="0D69277D" w14:textId="76ADB5B4" w:rsidR="00F92BED" w:rsidRPr="0067172A" w:rsidRDefault="002C6983" w:rsidP="00F92BED">
      <w:pPr>
        <w:pStyle w:val="bodycopy"/>
        <w:rPr>
          <w:rFonts w:ascii="Arial" w:hAnsi="Arial"/>
          <w:b/>
          <w:sz w:val="22"/>
          <w:szCs w:val="22"/>
        </w:rPr>
      </w:pPr>
      <w:r w:rsidRPr="0067172A">
        <w:rPr>
          <w:rFonts w:ascii="Arial" w:hAnsi="Arial"/>
          <w:b/>
          <w:sz w:val="22"/>
          <w:szCs w:val="22"/>
        </w:rPr>
        <w:t>Pygmy b</w:t>
      </w:r>
      <w:r w:rsidR="00F92BED" w:rsidRPr="0067172A">
        <w:rPr>
          <w:rFonts w:ascii="Arial" w:hAnsi="Arial"/>
          <w:b/>
          <w:sz w:val="22"/>
          <w:szCs w:val="22"/>
        </w:rPr>
        <w:t xml:space="preserve">lue whale </w:t>
      </w:r>
      <w:r w:rsidRPr="0067172A">
        <w:rPr>
          <w:rFonts w:ascii="Arial" w:hAnsi="Arial"/>
          <w:b/>
          <w:sz w:val="22"/>
          <w:szCs w:val="22"/>
        </w:rPr>
        <w:t>(</w:t>
      </w:r>
      <w:r w:rsidRPr="0067172A">
        <w:rPr>
          <w:rFonts w:ascii="Arial" w:hAnsi="Arial"/>
          <w:b/>
          <w:i/>
          <w:sz w:val="22"/>
          <w:szCs w:val="22"/>
        </w:rPr>
        <w:t>Balaenoptera musculus</w:t>
      </w:r>
      <w:r w:rsidRPr="0067172A">
        <w:rPr>
          <w:rFonts w:ascii="Arial" w:hAnsi="Arial"/>
          <w:b/>
          <w:sz w:val="22"/>
          <w:szCs w:val="22"/>
        </w:rPr>
        <w:t xml:space="preserve">) </w:t>
      </w:r>
      <w:r w:rsidR="00F92BED" w:rsidRPr="0067172A">
        <w:rPr>
          <w:rFonts w:ascii="Arial" w:hAnsi="Arial"/>
          <w:b/>
          <w:sz w:val="22"/>
          <w:szCs w:val="22"/>
        </w:rPr>
        <w:t>(</w:t>
      </w:r>
      <w:r w:rsidR="006A7CDA">
        <w:rPr>
          <w:rFonts w:ascii="Arial" w:hAnsi="Arial"/>
          <w:b/>
          <w:sz w:val="22"/>
          <w:szCs w:val="22"/>
        </w:rPr>
        <w:t xml:space="preserve">EPBC Act: </w:t>
      </w:r>
      <w:r w:rsidR="00DF520A" w:rsidRPr="0067172A">
        <w:rPr>
          <w:rFonts w:ascii="Arial" w:hAnsi="Arial"/>
          <w:b/>
          <w:sz w:val="22"/>
          <w:szCs w:val="22"/>
        </w:rPr>
        <w:t>E</w:t>
      </w:r>
      <w:r w:rsidR="00F92BED" w:rsidRPr="0067172A">
        <w:rPr>
          <w:rFonts w:ascii="Arial" w:hAnsi="Arial"/>
          <w:b/>
          <w:sz w:val="22"/>
          <w:szCs w:val="22"/>
        </w:rPr>
        <w:t>ndangered,</w:t>
      </w:r>
      <w:r w:rsidR="006A7CDA">
        <w:rPr>
          <w:rFonts w:ascii="Arial" w:hAnsi="Arial"/>
          <w:b/>
          <w:sz w:val="22"/>
          <w:szCs w:val="22"/>
        </w:rPr>
        <w:t xml:space="preserve"> listed</w:t>
      </w:r>
      <w:r w:rsidR="00F92BED" w:rsidRPr="0067172A">
        <w:rPr>
          <w:rFonts w:ascii="Arial" w:hAnsi="Arial"/>
          <w:b/>
          <w:sz w:val="22"/>
          <w:szCs w:val="22"/>
        </w:rPr>
        <w:t xml:space="preserve"> migratory</w:t>
      </w:r>
      <w:r w:rsidR="006A7CDA">
        <w:rPr>
          <w:rFonts w:ascii="Arial" w:hAnsi="Arial"/>
          <w:b/>
          <w:sz w:val="22"/>
          <w:szCs w:val="22"/>
        </w:rPr>
        <w:t>, FFG Act: Threatened</w:t>
      </w:r>
      <w:r w:rsidR="00F92BED" w:rsidRPr="0067172A">
        <w:rPr>
          <w:rFonts w:ascii="Arial" w:hAnsi="Arial"/>
          <w:b/>
          <w:sz w:val="22"/>
          <w:szCs w:val="22"/>
        </w:rPr>
        <w:t>)</w:t>
      </w:r>
    </w:p>
    <w:p w14:paraId="161C911F" w14:textId="23BA2E1B" w:rsidR="00F92BED" w:rsidRPr="0067172A" w:rsidRDefault="00F92BED" w:rsidP="00F92BED">
      <w:pPr>
        <w:pStyle w:val="bodycopy"/>
        <w:rPr>
          <w:rFonts w:ascii="Arial" w:hAnsi="Arial"/>
          <w:sz w:val="22"/>
          <w:szCs w:val="22"/>
        </w:rPr>
      </w:pPr>
      <w:r w:rsidRPr="0067172A">
        <w:rPr>
          <w:rFonts w:ascii="Arial" w:hAnsi="Arial"/>
          <w:sz w:val="22"/>
          <w:szCs w:val="22"/>
        </w:rPr>
        <w:t>Blue whales</w:t>
      </w:r>
      <w:r w:rsidR="002C6983" w:rsidRPr="0067172A">
        <w:rPr>
          <w:rFonts w:ascii="Arial" w:hAnsi="Arial"/>
          <w:sz w:val="22"/>
          <w:szCs w:val="22"/>
        </w:rPr>
        <w:t xml:space="preserve"> </w:t>
      </w:r>
      <w:r w:rsidRPr="0067172A">
        <w:rPr>
          <w:rFonts w:ascii="Arial" w:hAnsi="Arial"/>
          <w:sz w:val="22"/>
          <w:szCs w:val="22"/>
        </w:rPr>
        <w:t>are the largest living animals on earth, growing to a length of over 30 m, weighing up to 180 tonnes and living up to 90 years (D</w:t>
      </w:r>
      <w:r w:rsidR="002C6983" w:rsidRPr="0067172A">
        <w:rPr>
          <w:rFonts w:ascii="Arial" w:hAnsi="Arial"/>
          <w:sz w:val="22"/>
          <w:szCs w:val="22"/>
        </w:rPr>
        <w:t>o</w:t>
      </w:r>
      <w:r w:rsidRPr="0067172A">
        <w:rPr>
          <w:rFonts w:ascii="Arial" w:hAnsi="Arial"/>
          <w:sz w:val="22"/>
          <w:szCs w:val="22"/>
        </w:rPr>
        <w:t>E, 20</w:t>
      </w:r>
      <w:r w:rsidR="002C6983" w:rsidRPr="0067172A">
        <w:rPr>
          <w:rFonts w:ascii="Arial" w:hAnsi="Arial"/>
          <w:sz w:val="22"/>
          <w:szCs w:val="22"/>
        </w:rPr>
        <w:t>1</w:t>
      </w:r>
      <w:r w:rsidRPr="0067172A">
        <w:rPr>
          <w:rFonts w:ascii="Arial" w:hAnsi="Arial"/>
          <w:sz w:val="22"/>
          <w:szCs w:val="22"/>
        </w:rPr>
        <w:t>5</w:t>
      </w:r>
      <w:r w:rsidR="00225AD2">
        <w:rPr>
          <w:rFonts w:ascii="Arial" w:hAnsi="Arial"/>
          <w:sz w:val="22"/>
          <w:szCs w:val="22"/>
        </w:rPr>
        <w:t>b</w:t>
      </w:r>
      <w:r w:rsidRPr="0067172A">
        <w:rPr>
          <w:rFonts w:ascii="Arial" w:hAnsi="Arial"/>
          <w:sz w:val="22"/>
          <w:szCs w:val="22"/>
        </w:rPr>
        <w:t xml:space="preserve">). </w:t>
      </w:r>
      <w:r w:rsidR="002C6983" w:rsidRPr="0067172A">
        <w:rPr>
          <w:rFonts w:ascii="Arial" w:hAnsi="Arial"/>
          <w:sz w:val="22"/>
          <w:szCs w:val="22"/>
        </w:rPr>
        <w:t>The DoE (2015</w:t>
      </w:r>
      <w:r w:rsidR="00225AD2">
        <w:rPr>
          <w:rFonts w:ascii="Arial" w:hAnsi="Arial"/>
          <w:sz w:val="22"/>
          <w:szCs w:val="22"/>
        </w:rPr>
        <w:t>b</w:t>
      </w:r>
      <w:r w:rsidR="002C6983" w:rsidRPr="0067172A">
        <w:rPr>
          <w:rFonts w:ascii="Arial" w:hAnsi="Arial"/>
          <w:sz w:val="22"/>
          <w:szCs w:val="22"/>
        </w:rPr>
        <w:t xml:space="preserve">) recognises three overlapping populations, being: </w:t>
      </w:r>
    </w:p>
    <w:p w14:paraId="60F81A44" w14:textId="77777777" w:rsidR="002C6983" w:rsidRPr="0067172A" w:rsidRDefault="002C6983" w:rsidP="00567567">
      <w:pPr>
        <w:pStyle w:val="bodycopy"/>
        <w:numPr>
          <w:ilvl w:val="0"/>
          <w:numId w:val="78"/>
        </w:numPr>
        <w:rPr>
          <w:rFonts w:ascii="Arial" w:hAnsi="Arial"/>
          <w:sz w:val="22"/>
          <w:szCs w:val="22"/>
        </w:rPr>
      </w:pPr>
      <w:r w:rsidRPr="0067172A">
        <w:rPr>
          <w:rFonts w:ascii="Arial" w:hAnsi="Arial"/>
          <w:sz w:val="22"/>
          <w:szCs w:val="22"/>
        </w:rPr>
        <w:t>Antarctic blue whale population – all those Antarctic blue whales occupying or passing through Australian waters;</w:t>
      </w:r>
    </w:p>
    <w:p w14:paraId="291491E6" w14:textId="77777777" w:rsidR="002C6983" w:rsidRPr="0067172A" w:rsidRDefault="002C6983" w:rsidP="00567567">
      <w:pPr>
        <w:pStyle w:val="bodycopy"/>
        <w:numPr>
          <w:ilvl w:val="0"/>
          <w:numId w:val="78"/>
        </w:numPr>
        <w:rPr>
          <w:rFonts w:ascii="Arial" w:hAnsi="Arial"/>
          <w:sz w:val="22"/>
          <w:szCs w:val="22"/>
        </w:rPr>
      </w:pPr>
      <w:r w:rsidRPr="0067172A">
        <w:rPr>
          <w:rFonts w:ascii="Arial" w:hAnsi="Arial"/>
          <w:sz w:val="22"/>
          <w:szCs w:val="22"/>
        </w:rPr>
        <w:t>Indo</w:t>
      </w:r>
      <w:r w:rsidR="001C1B79" w:rsidRPr="0067172A">
        <w:rPr>
          <w:rFonts w:ascii="Arial" w:hAnsi="Arial"/>
          <w:sz w:val="22"/>
          <w:szCs w:val="22"/>
        </w:rPr>
        <w:t>-Australian pygmy blue whale – all those pygmy blue whales occupying or passing through waters from Indonesia to western and southern Australia; and</w:t>
      </w:r>
    </w:p>
    <w:p w14:paraId="152DED50" w14:textId="77777777" w:rsidR="001C1B79" w:rsidRPr="0067172A" w:rsidRDefault="001C1B79" w:rsidP="00567567">
      <w:pPr>
        <w:pStyle w:val="bodycopy"/>
        <w:numPr>
          <w:ilvl w:val="0"/>
          <w:numId w:val="78"/>
        </w:numPr>
        <w:rPr>
          <w:rFonts w:ascii="Arial" w:hAnsi="Arial"/>
          <w:sz w:val="22"/>
          <w:szCs w:val="22"/>
        </w:rPr>
      </w:pPr>
      <w:r w:rsidRPr="0067172A">
        <w:rPr>
          <w:rFonts w:ascii="Arial" w:hAnsi="Arial"/>
          <w:sz w:val="22"/>
          <w:szCs w:val="22"/>
        </w:rPr>
        <w:t xml:space="preserve">Tasman-Pacific pygmy blue whale – all those putative pygmy blue whales occupying or passing through waters in southeast Australia and the Pacific Ocean. </w:t>
      </w:r>
    </w:p>
    <w:p w14:paraId="1DF5D7DA" w14:textId="370F5008" w:rsidR="00F92BED" w:rsidRPr="0067172A" w:rsidRDefault="001C1B79" w:rsidP="00F92BED">
      <w:pPr>
        <w:pStyle w:val="bodycopy"/>
        <w:rPr>
          <w:rFonts w:ascii="Arial" w:hAnsi="Arial"/>
          <w:sz w:val="22"/>
          <w:szCs w:val="22"/>
        </w:rPr>
      </w:pPr>
      <w:r w:rsidRPr="0067172A">
        <w:rPr>
          <w:rFonts w:ascii="Arial" w:hAnsi="Arial"/>
          <w:sz w:val="22"/>
          <w:szCs w:val="22"/>
        </w:rPr>
        <w:t>The Tasman-Pacific pygmy blue whale (</w:t>
      </w:r>
      <w:r w:rsidRPr="0067172A">
        <w:rPr>
          <w:rFonts w:ascii="Arial" w:hAnsi="Arial"/>
          <w:i/>
          <w:sz w:val="22"/>
          <w:szCs w:val="22"/>
        </w:rPr>
        <w:t>B. musculus. brevicauda</w:t>
      </w:r>
      <w:r w:rsidRPr="0067172A">
        <w:rPr>
          <w:rFonts w:ascii="Arial" w:hAnsi="Arial"/>
          <w:sz w:val="22"/>
          <w:szCs w:val="22"/>
        </w:rPr>
        <w:t xml:space="preserve">) is the sub-species that migrates through Bass Strait, found </w:t>
      </w:r>
      <w:r w:rsidR="00F92BED" w:rsidRPr="0067172A">
        <w:rPr>
          <w:rFonts w:ascii="Arial" w:hAnsi="Arial"/>
          <w:sz w:val="22"/>
          <w:szCs w:val="22"/>
        </w:rPr>
        <w:t>in waters north of 55°S (DSEWPC, 2012</w:t>
      </w:r>
      <w:r w:rsidR="00406141">
        <w:rPr>
          <w:rFonts w:ascii="Arial" w:hAnsi="Arial"/>
          <w:sz w:val="22"/>
          <w:szCs w:val="22"/>
        </w:rPr>
        <w:t>b</w:t>
      </w:r>
      <w:r w:rsidR="00F92BED" w:rsidRPr="0067172A">
        <w:rPr>
          <w:rFonts w:ascii="Arial" w:hAnsi="Arial"/>
          <w:sz w:val="22"/>
          <w:szCs w:val="22"/>
        </w:rPr>
        <w:t xml:space="preserve">). </w:t>
      </w:r>
      <w:r w:rsidRPr="0067172A">
        <w:rPr>
          <w:rFonts w:ascii="Arial" w:hAnsi="Arial"/>
          <w:sz w:val="22"/>
          <w:szCs w:val="22"/>
        </w:rPr>
        <w:t xml:space="preserve">Blue whales </w:t>
      </w:r>
      <w:r w:rsidR="00AB2969" w:rsidRPr="0067172A">
        <w:rPr>
          <w:rFonts w:ascii="Arial" w:hAnsi="Arial"/>
          <w:sz w:val="22"/>
          <w:szCs w:val="22"/>
        </w:rPr>
        <w:t xml:space="preserve">are a highly mobile species that </w:t>
      </w:r>
      <w:r w:rsidR="00F92BED" w:rsidRPr="0067172A">
        <w:rPr>
          <w:rFonts w:ascii="Arial" w:hAnsi="Arial"/>
          <w:sz w:val="22"/>
          <w:szCs w:val="22"/>
        </w:rPr>
        <w:t xml:space="preserve">feed on krill (euphausids, </w:t>
      </w:r>
      <w:r w:rsidR="00F92BED" w:rsidRPr="0067172A">
        <w:rPr>
          <w:rFonts w:ascii="Arial" w:hAnsi="Arial"/>
          <w:i/>
          <w:sz w:val="22"/>
          <w:szCs w:val="22"/>
        </w:rPr>
        <w:t>Nyctiphane australis</w:t>
      </w:r>
      <w:r w:rsidR="00F92BED" w:rsidRPr="0067172A">
        <w:rPr>
          <w:rFonts w:ascii="Arial" w:hAnsi="Arial"/>
          <w:sz w:val="22"/>
          <w:szCs w:val="22"/>
        </w:rPr>
        <w:t xml:space="preserve">). </w:t>
      </w:r>
    </w:p>
    <w:p w14:paraId="3F143628" w14:textId="2D84D2C3" w:rsidR="00F12557" w:rsidRPr="008E22DD" w:rsidRDefault="00F92BED" w:rsidP="00F92BED">
      <w:pPr>
        <w:pStyle w:val="bodycopy"/>
        <w:rPr>
          <w:rFonts w:ascii="Arial" w:hAnsi="Arial"/>
          <w:sz w:val="22"/>
          <w:szCs w:val="22"/>
        </w:rPr>
      </w:pPr>
      <w:r w:rsidRPr="0067172A">
        <w:rPr>
          <w:rFonts w:ascii="Arial" w:hAnsi="Arial"/>
          <w:sz w:val="22"/>
          <w:szCs w:val="22"/>
        </w:rPr>
        <w:t xml:space="preserve">A </w:t>
      </w:r>
      <w:r w:rsidR="001C1B79" w:rsidRPr="0067172A">
        <w:rPr>
          <w:rFonts w:ascii="Arial" w:hAnsi="Arial"/>
          <w:sz w:val="22"/>
          <w:szCs w:val="22"/>
        </w:rPr>
        <w:t xml:space="preserve">BIA for ‘likely foraging’ for the pygmy blue whale covers </w:t>
      </w:r>
      <w:r w:rsidRPr="0067172A">
        <w:rPr>
          <w:rFonts w:ascii="Arial" w:hAnsi="Arial"/>
          <w:sz w:val="22"/>
          <w:szCs w:val="22"/>
        </w:rPr>
        <w:t xml:space="preserve">most of Bass Strait, including the </w:t>
      </w:r>
      <w:r w:rsidR="007B20D4" w:rsidRPr="0067172A">
        <w:rPr>
          <w:rFonts w:ascii="Arial" w:hAnsi="Arial"/>
          <w:sz w:val="22"/>
          <w:szCs w:val="22"/>
        </w:rPr>
        <w:t xml:space="preserve">proposed </w:t>
      </w:r>
      <w:r w:rsidR="002C6983" w:rsidRPr="0067172A">
        <w:rPr>
          <w:rFonts w:ascii="Arial" w:hAnsi="Arial"/>
          <w:sz w:val="22"/>
          <w:szCs w:val="22"/>
        </w:rPr>
        <w:t>acquisition</w:t>
      </w:r>
      <w:r w:rsidRPr="0067172A">
        <w:rPr>
          <w:rFonts w:ascii="Arial" w:hAnsi="Arial"/>
          <w:sz w:val="22"/>
          <w:szCs w:val="22"/>
        </w:rPr>
        <w:t xml:space="preserve"> area, with </w:t>
      </w:r>
      <w:r w:rsidR="00FB4C2B" w:rsidRPr="0067172A">
        <w:rPr>
          <w:rFonts w:ascii="Arial" w:hAnsi="Arial"/>
          <w:sz w:val="22"/>
          <w:szCs w:val="22"/>
        </w:rPr>
        <w:t xml:space="preserve">known </w:t>
      </w:r>
      <w:r w:rsidRPr="0067172A">
        <w:rPr>
          <w:rFonts w:ascii="Arial" w:hAnsi="Arial"/>
          <w:sz w:val="22"/>
          <w:szCs w:val="22"/>
        </w:rPr>
        <w:t>foraging area</w:t>
      </w:r>
      <w:r w:rsidR="00FB4C2B" w:rsidRPr="0067172A">
        <w:rPr>
          <w:rFonts w:ascii="Arial" w:hAnsi="Arial"/>
          <w:sz w:val="22"/>
          <w:szCs w:val="22"/>
        </w:rPr>
        <w:t>s</w:t>
      </w:r>
      <w:r w:rsidRPr="0067172A">
        <w:rPr>
          <w:rFonts w:ascii="Arial" w:hAnsi="Arial"/>
          <w:sz w:val="22"/>
          <w:szCs w:val="22"/>
        </w:rPr>
        <w:t xml:space="preserve"> (abundant food source/annual high use area) occurring off the southwest Victorian coast </w:t>
      </w:r>
      <w:r w:rsidRPr="005A4D26">
        <w:rPr>
          <w:rFonts w:ascii="Arial" w:hAnsi="Arial"/>
          <w:sz w:val="22"/>
          <w:szCs w:val="22"/>
        </w:rPr>
        <w:t>(</w:t>
      </w:r>
      <w:r w:rsidRPr="008E22DD">
        <w:rPr>
          <w:rFonts w:ascii="Arial" w:hAnsi="Arial"/>
          <w:sz w:val="22"/>
          <w:szCs w:val="22"/>
        </w:rPr>
        <w:t xml:space="preserve">Figure </w:t>
      </w:r>
      <w:r w:rsidR="002C0FD5" w:rsidRPr="008E22DD">
        <w:rPr>
          <w:rFonts w:ascii="Arial" w:hAnsi="Arial"/>
          <w:sz w:val="22"/>
          <w:szCs w:val="22"/>
        </w:rPr>
        <w:t>5.</w:t>
      </w:r>
      <w:r w:rsidR="003A2BB4" w:rsidRPr="008E22DD">
        <w:rPr>
          <w:rFonts w:ascii="Arial" w:hAnsi="Arial"/>
          <w:sz w:val="22"/>
          <w:szCs w:val="22"/>
        </w:rPr>
        <w:t>1</w:t>
      </w:r>
      <w:r w:rsidR="00101658" w:rsidRPr="008E22DD">
        <w:rPr>
          <w:rFonts w:ascii="Arial" w:hAnsi="Arial"/>
          <w:sz w:val="22"/>
          <w:szCs w:val="22"/>
        </w:rPr>
        <w:t>3</w:t>
      </w:r>
      <w:r w:rsidRPr="008E22DD">
        <w:rPr>
          <w:rFonts w:ascii="Arial" w:hAnsi="Arial"/>
          <w:sz w:val="22"/>
          <w:szCs w:val="22"/>
        </w:rPr>
        <w:t xml:space="preserve">).  </w:t>
      </w:r>
    </w:p>
    <w:p w14:paraId="37237829" w14:textId="44400E6D" w:rsidR="003D0C39" w:rsidRPr="005A4D26" w:rsidRDefault="003D0C39" w:rsidP="003D0C39">
      <w:pPr>
        <w:pStyle w:val="bodycopy"/>
        <w:spacing w:after="240"/>
        <w:rPr>
          <w:rFonts w:ascii="Arial" w:hAnsi="Arial"/>
          <w:sz w:val="22"/>
          <w:szCs w:val="22"/>
        </w:rPr>
      </w:pPr>
      <w:r w:rsidRPr="005A4D26">
        <w:rPr>
          <w:rFonts w:ascii="Arial" w:hAnsi="Arial"/>
          <w:sz w:val="22"/>
          <w:szCs w:val="22"/>
        </w:rPr>
        <w:t xml:space="preserve">The time and location of the appearance of blue whales in the South-east Marine Region generally coincides with the upwelling of cold water in summer and autumn along the southeast South Australian and southwest Victoria coast (the Bonney </w:t>
      </w:r>
      <w:r w:rsidRPr="005A4D26">
        <w:rPr>
          <w:rFonts w:ascii="Arial" w:hAnsi="Arial"/>
          <w:sz w:val="22"/>
          <w:szCs w:val="22"/>
        </w:rPr>
        <w:lastRenderedPageBreak/>
        <w:t>Upwelling) and the associated aggregations of krill that they feed on (DoE, 2015</w:t>
      </w:r>
      <w:r w:rsidR="00225AD2" w:rsidRPr="005A4D26">
        <w:rPr>
          <w:rFonts w:ascii="Arial" w:hAnsi="Arial"/>
          <w:sz w:val="22"/>
          <w:szCs w:val="22"/>
        </w:rPr>
        <w:t>b</w:t>
      </w:r>
      <w:r w:rsidRPr="005A4D26">
        <w:rPr>
          <w:rFonts w:ascii="Arial" w:hAnsi="Arial"/>
          <w:sz w:val="22"/>
          <w:szCs w:val="22"/>
        </w:rPr>
        <w:t>; Gill and Morrice, 2003). This is a key feeding area for the species. The Bonney Upwelling generally starts in the eastern part of the Great Australian Bight in November or December and spreads eastwards to the Otway Basin around February as southward migration of the sub-tropical high-pressure cell creates upwelling favourable winds. Pygmy blue whales predominately occupy the western area of the Bonney Upwelling from November to December, and then move southeast during January to April, though the within-season distribution trends in Bass Strait are unknown (DoE, 2015</w:t>
      </w:r>
      <w:r w:rsidR="00225AD2" w:rsidRPr="005A4D26">
        <w:rPr>
          <w:rFonts w:ascii="Arial" w:hAnsi="Arial"/>
          <w:sz w:val="22"/>
          <w:szCs w:val="22"/>
        </w:rPr>
        <w:t>b</w:t>
      </w:r>
      <w:r w:rsidRPr="005A4D26">
        <w:rPr>
          <w:rFonts w:ascii="Arial" w:hAnsi="Arial"/>
          <w:sz w:val="22"/>
          <w:szCs w:val="22"/>
        </w:rPr>
        <w:t xml:space="preserve">). </w:t>
      </w:r>
    </w:p>
    <w:p w14:paraId="66C58ABE" w14:textId="77777777" w:rsidR="003D0C39" w:rsidRPr="005A4D26" w:rsidRDefault="003D0C39" w:rsidP="003D0C39">
      <w:pPr>
        <w:pStyle w:val="bodycopy"/>
        <w:spacing w:after="240"/>
        <w:rPr>
          <w:rFonts w:ascii="Arial" w:hAnsi="Arial"/>
          <w:sz w:val="22"/>
          <w:szCs w:val="22"/>
        </w:rPr>
      </w:pPr>
      <w:r w:rsidRPr="005A4D26">
        <w:rPr>
          <w:rFonts w:ascii="Arial" w:hAnsi="Arial"/>
          <w:sz w:val="22"/>
          <w:szCs w:val="22"/>
        </w:rPr>
        <w:t>Esso has advised CarbonNet that there have been no sightings of blue whales from their facilities in the last five years (Bok, pers. comm., March 2017).</w:t>
      </w:r>
    </w:p>
    <w:p w14:paraId="0CD8C006" w14:textId="6854E47B" w:rsidR="003D0C39" w:rsidRPr="0067172A" w:rsidRDefault="003D0C39" w:rsidP="003D0C39">
      <w:pPr>
        <w:pStyle w:val="bodycopy"/>
        <w:rPr>
          <w:rFonts w:ascii="Arial" w:hAnsi="Arial"/>
          <w:sz w:val="22"/>
          <w:szCs w:val="22"/>
        </w:rPr>
      </w:pPr>
      <w:r w:rsidRPr="005A4D26">
        <w:rPr>
          <w:rFonts w:ascii="Arial" w:hAnsi="Arial"/>
          <w:sz w:val="22"/>
          <w:szCs w:val="22"/>
        </w:rPr>
        <w:t>The DoE (2015</w:t>
      </w:r>
      <w:r w:rsidR="00225AD2" w:rsidRPr="005A4D26">
        <w:rPr>
          <w:rFonts w:ascii="Arial" w:hAnsi="Arial"/>
          <w:sz w:val="22"/>
          <w:szCs w:val="22"/>
        </w:rPr>
        <w:t>b</w:t>
      </w:r>
      <w:r w:rsidRPr="005A4D26">
        <w:rPr>
          <w:rFonts w:ascii="Arial" w:hAnsi="Arial"/>
          <w:sz w:val="22"/>
          <w:szCs w:val="22"/>
        </w:rPr>
        <w:t xml:space="preserve">) states that migratory routes for pygmy blue whales off the east coast of Australia are unknown (as seen by the absence of migratory routes in </w:t>
      </w:r>
      <w:r w:rsidRPr="008E22DD">
        <w:rPr>
          <w:rFonts w:ascii="Arial" w:hAnsi="Arial"/>
          <w:sz w:val="22"/>
          <w:szCs w:val="22"/>
        </w:rPr>
        <w:t>Figure 5.</w:t>
      </w:r>
      <w:r w:rsidR="0059059B" w:rsidRPr="008E22DD">
        <w:rPr>
          <w:rFonts w:ascii="Arial" w:hAnsi="Arial"/>
          <w:sz w:val="22"/>
          <w:szCs w:val="22"/>
        </w:rPr>
        <w:t>1</w:t>
      </w:r>
      <w:r w:rsidR="00101658" w:rsidRPr="008E22DD">
        <w:rPr>
          <w:rFonts w:ascii="Arial" w:hAnsi="Arial"/>
          <w:sz w:val="22"/>
          <w:szCs w:val="22"/>
        </w:rPr>
        <w:t>4</w:t>
      </w:r>
      <w:r w:rsidRPr="008E22DD">
        <w:rPr>
          <w:rFonts w:ascii="Arial" w:hAnsi="Arial"/>
          <w:sz w:val="22"/>
          <w:szCs w:val="22"/>
        </w:rPr>
        <w:t>). However, blue whale migration patterns are thought to be similar to those</w:t>
      </w:r>
      <w:r w:rsidRPr="005A4D26">
        <w:rPr>
          <w:rFonts w:ascii="Arial" w:hAnsi="Arial"/>
          <w:sz w:val="22"/>
          <w:szCs w:val="22"/>
        </w:rPr>
        <w:t xml:space="preserve"> of the humpback whale, with the species feeding in mid-to high-latitudes (south of</w:t>
      </w:r>
      <w:r w:rsidRPr="0067172A">
        <w:rPr>
          <w:rFonts w:ascii="Arial" w:hAnsi="Arial"/>
          <w:sz w:val="22"/>
          <w:szCs w:val="22"/>
        </w:rPr>
        <w:t xml:space="preserve"> Australia) during the summer months and moving to temperate/tropical waters in the winter for breeding and calving. Pygmy blue whale migration is oceanic and no specific migration routes have been identified in the Australasian region (D</w:t>
      </w:r>
      <w:r w:rsidR="002C4B43">
        <w:rPr>
          <w:rFonts w:ascii="Arial" w:hAnsi="Arial"/>
          <w:sz w:val="22"/>
          <w:szCs w:val="22"/>
        </w:rPr>
        <w:t>oE, 2015b</w:t>
      </w:r>
      <w:r w:rsidRPr="0067172A">
        <w:rPr>
          <w:rFonts w:ascii="Arial" w:hAnsi="Arial"/>
          <w:sz w:val="22"/>
          <w:szCs w:val="22"/>
        </w:rPr>
        <w:t xml:space="preserve">). </w:t>
      </w:r>
    </w:p>
    <w:p w14:paraId="7FDF5DEE" w14:textId="77777777" w:rsidR="003D0C39" w:rsidRDefault="003D0C39" w:rsidP="00F92BED">
      <w:pPr>
        <w:pStyle w:val="bodycopy"/>
        <w:rPr>
          <w:rFonts w:ascii="Arial" w:hAnsi="Arial"/>
          <w:sz w:val="22"/>
          <w:szCs w:val="22"/>
        </w:rPr>
        <w:sectPr w:rsidR="003D0C39" w:rsidSect="00C72255">
          <w:headerReference w:type="even" r:id="rId116"/>
          <w:headerReference w:type="default" r:id="rId117"/>
          <w:footerReference w:type="default" r:id="rId118"/>
          <w:headerReference w:type="first" r:id="rId119"/>
          <w:pgSz w:w="11906" w:h="16838" w:code="9"/>
          <w:pgMar w:top="1384" w:right="1800" w:bottom="1440" w:left="1800" w:header="994" w:footer="706" w:gutter="0"/>
          <w:cols w:space="708"/>
          <w:docGrid w:linePitch="360"/>
        </w:sectPr>
      </w:pPr>
    </w:p>
    <w:tbl>
      <w:tblPr>
        <w:tblW w:w="11590"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590"/>
      </w:tblGrid>
      <w:tr w:rsidR="00F92BED" w14:paraId="52550DD7" w14:textId="77777777" w:rsidTr="00043BD5">
        <w:trPr>
          <w:jc w:val="center"/>
        </w:trPr>
        <w:tc>
          <w:tcPr>
            <w:tcW w:w="11590" w:type="dxa"/>
            <w:shd w:val="clear" w:color="auto" w:fill="auto"/>
          </w:tcPr>
          <w:p w14:paraId="7C1BD205" w14:textId="703AD931" w:rsidR="005320D7" w:rsidRDefault="00AD1C4D" w:rsidP="00043BD5">
            <w:pPr>
              <w:pStyle w:val="bodycopy"/>
              <w:spacing w:after="0"/>
            </w:pPr>
            <w:r>
              <w:lastRenderedPageBreak/>
              <w:pict w14:anchorId="14F04FEC">
                <v:shape id="_x0000_i1031" type="#_x0000_t75" style="width:567.65pt;height:394.8pt">
                  <v:imagedata r:id="rId120" o:title="26b_EP_Biologically_Important_Areas_Batch_1_Pygmy Blue Whale" croptop="1500f" cropbottom="1611f" cropleft="1441f" cropright="760f"/>
                </v:shape>
              </w:pict>
            </w:r>
          </w:p>
        </w:tc>
      </w:tr>
    </w:tbl>
    <w:p w14:paraId="2400CD0B" w14:textId="058AB543" w:rsidR="00F92BED" w:rsidRPr="00B06281" w:rsidRDefault="00F92BED" w:rsidP="00043BD5">
      <w:pPr>
        <w:pStyle w:val="bodycopy"/>
        <w:ind w:left="720" w:firstLine="720"/>
        <w:rPr>
          <w:i/>
          <w:sz w:val="16"/>
          <w:szCs w:val="16"/>
        </w:rPr>
      </w:pPr>
      <w:r w:rsidRPr="00B06281">
        <w:rPr>
          <w:i/>
          <w:sz w:val="16"/>
          <w:szCs w:val="16"/>
        </w:rPr>
        <w:t>Source: National Conservation Atlas (</w:t>
      </w:r>
      <w:r w:rsidR="00DD20F0">
        <w:rPr>
          <w:i/>
          <w:sz w:val="16"/>
          <w:szCs w:val="16"/>
        </w:rPr>
        <w:t xml:space="preserve">DoEE, </w:t>
      </w:r>
      <w:r w:rsidRPr="00B06281">
        <w:rPr>
          <w:i/>
          <w:sz w:val="16"/>
          <w:szCs w:val="16"/>
        </w:rPr>
        <w:t>201</w:t>
      </w:r>
      <w:r w:rsidR="000E7E9E">
        <w:rPr>
          <w:i/>
          <w:sz w:val="16"/>
          <w:szCs w:val="16"/>
        </w:rPr>
        <w:t>7a</w:t>
      </w:r>
      <w:r w:rsidRPr="00B06281">
        <w:rPr>
          <w:i/>
          <w:sz w:val="16"/>
          <w:szCs w:val="16"/>
        </w:rPr>
        <w:t>).</w:t>
      </w:r>
    </w:p>
    <w:p w14:paraId="4DC6F3F7" w14:textId="318B3B1A" w:rsidR="00F92BED" w:rsidRPr="00F12557" w:rsidRDefault="00F92BED" w:rsidP="00A95EDE">
      <w:pPr>
        <w:pStyle w:val="TableHeader"/>
        <w:spacing w:after="240"/>
        <w:jc w:val="center"/>
        <w:rPr>
          <w:sz w:val="20"/>
          <w:szCs w:val="20"/>
          <w:lang w:val="en-US"/>
        </w:rPr>
      </w:pPr>
      <w:r w:rsidRPr="00F12557">
        <w:rPr>
          <w:sz w:val="20"/>
          <w:szCs w:val="20"/>
          <w:lang w:val="en-US"/>
        </w:rPr>
        <w:t xml:space="preserve">Figure </w:t>
      </w:r>
      <w:r w:rsidR="002C0FD5" w:rsidRPr="00F12557">
        <w:rPr>
          <w:sz w:val="20"/>
          <w:szCs w:val="20"/>
          <w:lang w:val="en-US"/>
        </w:rPr>
        <w:t>5.</w:t>
      </w:r>
      <w:r w:rsidR="0059059B">
        <w:rPr>
          <w:sz w:val="20"/>
          <w:szCs w:val="20"/>
          <w:lang w:val="en-US"/>
        </w:rPr>
        <w:t>1</w:t>
      </w:r>
      <w:r w:rsidR="00101658">
        <w:rPr>
          <w:sz w:val="20"/>
          <w:szCs w:val="20"/>
          <w:lang w:val="en-US"/>
        </w:rPr>
        <w:t>3</w:t>
      </w:r>
      <w:r w:rsidR="002C0FD5" w:rsidRPr="00F12557">
        <w:rPr>
          <w:sz w:val="20"/>
          <w:szCs w:val="20"/>
          <w:lang w:val="en-US"/>
        </w:rPr>
        <w:t>.</w:t>
      </w:r>
      <w:r w:rsidRPr="00F12557">
        <w:rPr>
          <w:sz w:val="20"/>
          <w:szCs w:val="20"/>
          <w:lang w:val="en-US"/>
        </w:rPr>
        <w:tab/>
      </w:r>
      <w:r w:rsidRPr="00F12557">
        <w:rPr>
          <w:sz w:val="20"/>
          <w:szCs w:val="20"/>
          <w:lang w:val="en-US"/>
        </w:rPr>
        <w:tab/>
        <w:t>Pygmy blue whale BIA</w:t>
      </w:r>
    </w:p>
    <w:p w14:paraId="769DF043" w14:textId="77777777" w:rsidR="00F12557" w:rsidRDefault="00F12557" w:rsidP="00A95EDE">
      <w:pPr>
        <w:pStyle w:val="bodycopy"/>
        <w:spacing w:after="240"/>
        <w:rPr>
          <w:rFonts w:ascii="Arial" w:hAnsi="Arial"/>
          <w:sz w:val="22"/>
          <w:szCs w:val="22"/>
        </w:rPr>
        <w:sectPr w:rsidR="00F12557" w:rsidSect="00043BD5">
          <w:headerReference w:type="even" r:id="rId121"/>
          <w:headerReference w:type="default" r:id="rId122"/>
          <w:footerReference w:type="default" r:id="rId123"/>
          <w:headerReference w:type="first" r:id="rId124"/>
          <w:pgSz w:w="16838" w:h="11906" w:orient="landscape" w:code="9"/>
          <w:pgMar w:top="1418" w:right="1384" w:bottom="1800" w:left="1440" w:header="994" w:footer="706" w:gutter="0"/>
          <w:cols w:space="708"/>
          <w:docGrid w:linePitch="360"/>
        </w:sectPr>
      </w:pPr>
    </w:p>
    <w:tbl>
      <w:tblPr>
        <w:tblW w:w="0" w:type="auto"/>
        <w:tblLook w:val="04A0" w:firstRow="1" w:lastRow="0" w:firstColumn="1" w:lastColumn="0" w:noHBand="0" w:noVBand="1"/>
      </w:tblPr>
      <w:tblGrid>
        <w:gridCol w:w="8522"/>
      </w:tblGrid>
      <w:tr w:rsidR="00A95EDE" w14:paraId="12CA7E35" w14:textId="77777777" w:rsidTr="007834E0">
        <w:tc>
          <w:tcPr>
            <w:tcW w:w="8522" w:type="dxa"/>
            <w:shd w:val="clear" w:color="auto" w:fill="auto"/>
          </w:tcPr>
          <w:p w14:paraId="14CCE06D" w14:textId="10CF136C" w:rsidR="002C0FD5" w:rsidRDefault="009725BE" w:rsidP="00514376">
            <w:pPr>
              <w:pStyle w:val="bodycopy"/>
              <w:spacing w:after="0"/>
            </w:pPr>
            <w:r>
              <w:rPr>
                <w:noProof/>
              </w:rPr>
              <w:lastRenderedPageBreak/>
              <w:drawing>
                <wp:inline distT="0" distB="0" distL="0" distR="0" wp14:anchorId="0AEA57CC" wp14:editId="5B36D7E4">
                  <wp:extent cx="5266690" cy="3703955"/>
                  <wp:effectExtent l="0" t="0" r="0" b="4445"/>
                  <wp:docPr id="474" name="Picture 474" descr="Screen%20Shot%202017-02-08%20at%2011.50.3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20Shot%202017-02-08%20at%2011.50.35%20am.png"/>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5266690" cy="3703955"/>
                          </a:xfrm>
                          <a:prstGeom prst="rect">
                            <a:avLst/>
                          </a:prstGeom>
                          <a:noFill/>
                          <a:ln>
                            <a:noFill/>
                          </a:ln>
                        </pic:spPr>
                      </pic:pic>
                    </a:graphicData>
                  </a:graphic>
                </wp:inline>
              </w:drawing>
            </w:r>
          </w:p>
        </w:tc>
      </w:tr>
    </w:tbl>
    <w:p w14:paraId="7D586B1A" w14:textId="77777777" w:rsidR="00A95EDE" w:rsidRPr="0067172A" w:rsidRDefault="00A95EDE" w:rsidP="00A5165F">
      <w:pPr>
        <w:pStyle w:val="TableHeader"/>
        <w:spacing w:before="0" w:after="120" w:line="240" w:lineRule="auto"/>
        <w:rPr>
          <w:b w:val="0"/>
          <w:i/>
          <w:sz w:val="16"/>
          <w:szCs w:val="16"/>
          <w:lang w:val="en-US"/>
        </w:rPr>
      </w:pPr>
      <w:r w:rsidRPr="0067172A">
        <w:rPr>
          <w:b w:val="0"/>
          <w:i/>
          <w:sz w:val="16"/>
          <w:szCs w:val="16"/>
          <w:lang w:val="en-US"/>
        </w:rPr>
        <w:t>Source: DoE (2015)</w:t>
      </w:r>
      <w:r w:rsidR="002C0FD5" w:rsidRPr="0067172A">
        <w:rPr>
          <w:b w:val="0"/>
          <w:i/>
          <w:sz w:val="16"/>
          <w:szCs w:val="16"/>
          <w:lang w:val="en-US"/>
        </w:rPr>
        <w:t>.</w:t>
      </w:r>
    </w:p>
    <w:p w14:paraId="4411B8F5" w14:textId="1F623AFB" w:rsidR="00A95EDE" w:rsidRPr="0067172A" w:rsidRDefault="00A95EDE" w:rsidP="00A95EDE">
      <w:pPr>
        <w:pStyle w:val="TableHeader"/>
        <w:spacing w:after="240"/>
        <w:jc w:val="center"/>
        <w:rPr>
          <w:sz w:val="20"/>
          <w:szCs w:val="20"/>
          <w:lang w:val="en-US"/>
        </w:rPr>
      </w:pPr>
      <w:r w:rsidRPr="0067172A">
        <w:rPr>
          <w:sz w:val="20"/>
          <w:szCs w:val="20"/>
          <w:lang w:val="en-US"/>
        </w:rPr>
        <w:t xml:space="preserve">Figure </w:t>
      </w:r>
      <w:r w:rsidR="002C0FD5" w:rsidRPr="0067172A">
        <w:rPr>
          <w:sz w:val="20"/>
          <w:szCs w:val="20"/>
          <w:lang w:val="en-US"/>
        </w:rPr>
        <w:t>5.</w:t>
      </w:r>
      <w:r w:rsidR="0059059B">
        <w:rPr>
          <w:sz w:val="20"/>
          <w:szCs w:val="20"/>
          <w:lang w:val="en-US"/>
        </w:rPr>
        <w:t>1</w:t>
      </w:r>
      <w:r w:rsidR="00101658">
        <w:rPr>
          <w:sz w:val="20"/>
          <w:szCs w:val="20"/>
          <w:lang w:val="en-US"/>
        </w:rPr>
        <w:t>4</w:t>
      </w:r>
      <w:r w:rsidR="002C0FD5" w:rsidRPr="0067172A">
        <w:rPr>
          <w:sz w:val="20"/>
          <w:szCs w:val="20"/>
          <w:lang w:val="en-US"/>
        </w:rPr>
        <w:t>.</w:t>
      </w:r>
      <w:r w:rsidRPr="0067172A">
        <w:rPr>
          <w:sz w:val="20"/>
          <w:szCs w:val="20"/>
          <w:lang w:val="en-US"/>
        </w:rPr>
        <w:tab/>
        <w:t>Pygmy blue whale migration routes</w:t>
      </w:r>
    </w:p>
    <w:p w14:paraId="7820AA82" w14:textId="1D3E60C2" w:rsidR="0059059B" w:rsidRPr="0067172A" w:rsidRDefault="0059059B" w:rsidP="0059059B">
      <w:pPr>
        <w:pStyle w:val="bodycopy"/>
        <w:rPr>
          <w:rFonts w:ascii="Arial" w:hAnsi="Arial"/>
          <w:sz w:val="22"/>
          <w:szCs w:val="22"/>
        </w:rPr>
      </w:pPr>
      <w:r w:rsidRPr="0067172A">
        <w:rPr>
          <w:rFonts w:ascii="Arial" w:hAnsi="Arial"/>
          <w:sz w:val="22"/>
          <w:szCs w:val="22"/>
        </w:rPr>
        <w:t>The Conservation Management Plan for the Blue Whale (DoE, 2015</w:t>
      </w:r>
      <w:r w:rsidR="00225AD2">
        <w:rPr>
          <w:rFonts w:ascii="Arial" w:hAnsi="Arial"/>
          <w:sz w:val="22"/>
          <w:szCs w:val="22"/>
        </w:rPr>
        <w:t>b</w:t>
      </w:r>
      <w:r w:rsidRPr="0067172A">
        <w:rPr>
          <w:rFonts w:ascii="Arial" w:hAnsi="Arial"/>
          <w:sz w:val="22"/>
          <w:szCs w:val="22"/>
        </w:rPr>
        <w:t xml:space="preserve">) identifies vessel strike and anthropogenic noise as threats to the species, the latter important as it may mask vocalisations or cause injury or death. </w:t>
      </w:r>
    </w:p>
    <w:p w14:paraId="183A24A1" w14:textId="77777777" w:rsidR="0059059B" w:rsidRPr="0067172A" w:rsidRDefault="0059059B" w:rsidP="0059059B">
      <w:pPr>
        <w:pStyle w:val="bodycopy"/>
        <w:spacing w:after="240"/>
        <w:rPr>
          <w:rFonts w:ascii="Arial" w:hAnsi="Arial"/>
          <w:sz w:val="22"/>
          <w:szCs w:val="22"/>
        </w:rPr>
      </w:pPr>
      <w:r w:rsidRPr="0067172A">
        <w:rPr>
          <w:rFonts w:ascii="Arial" w:hAnsi="Arial"/>
          <w:sz w:val="22"/>
          <w:szCs w:val="22"/>
        </w:rPr>
        <w:t xml:space="preserve">Given the intersection of the foraging BIA with the survey area, it is possible that pygmy blue whales may occur in the proposed acquisition area and the EMBA, </w:t>
      </w:r>
      <w:r>
        <w:rPr>
          <w:rFonts w:ascii="Arial" w:hAnsi="Arial"/>
          <w:sz w:val="22"/>
          <w:szCs w:val="22"/>
        </w:rPr>
        <w:t xml:space="preserve">though this possibility is low, and sightings would be </w:t>
      </w:r>
      <w:r w:rsidRPr="0067172A">
        <w:rPr>
          <w:rFonts w:ascii="Arial" w:hAnsi="Arial"/>
          <w:sz w:val="22"/>
          <w:szCs w:val="22"/>
        </w:rPr>
        <w:t xml:space="preserve">most likely </w:t>
      </w:r>
      <w:r>
        <w:rPr>
          <w:rFonts w:ascii="Arial" w:hAnsi="Arial"/>
          <w:sz w:val="22"/>
          <w:szCs w:val="22"/>
        </w:rPr>
        <w:t xml:space="preserve">to occur </w:t>
      </w:r>
      <w:r w:rsidRPr="0067172A">
        <w:rPr>
          <w:rFonts w:ascii="Arial" w:hAnsi="Arial"/>
          <w:sz w:val="22"/>
          <w:szCs w:val="22"/>
        </w:rPr>
        <w:t xml:space="preserve">during autumn. </w:t>
      </w:r>
    </w:p>
    <w:p w14:paraId="54BF4D40" w14:textId="79957232" w:rsidR="00F92BED" w:rsidRPr="0067172A" w:rsidRDefault="00F92BED" w:rsidP="00F92BED">
      <w:pPr>
        <w:pStyle w:val="bodycopy"/>
        <w:rPr>
          <w:rFonts w:ascii="Arial" w:hAnsi="Arial"/>
          <w:b/>
          <w:sz w:val="22"/>
          <w:szCs w:val="22"/>
        </w:rPr>
      </w:pPr>
      <w:r w:rsidRPr="0067172A">
        <w:rPr>
          <w:rFonts w:ascii="Arial" w:hAnsi="Arial"/>
          <w:b/>
          <w:sz w:val="22"/>
          <w:szCs w:val="22"/>
        </w:rPr>
        <w:t xml:space="preserve">Fin whale </w:t>
      </w:r>
      <w:r w:rsidR="00AB2969" w:rsidRPr="0067172A">
        <w:rPr>
          <w:rFonts w:ascii="Arial" w:hAnsi="Arial"/>
          <w:b/>
          <w:sz w:val="22"/>
          <w:szCs w:val="22"/>
        </w:rPr>
        <w:t>(</w:t>
      </w:r>
      <w:r w:rsidR="00AB2969" w:rsidRPr="0067172A">
        <w:rPr>
          <w:rFonts w:ascii="Arial" w:hAnsi="Arial"/>
          <w:b/>
          <w:i/>
          <w:sz w:val="22"/>
          <w:szCs w:val="22"/>
        </w:rPr>
        <w:t>Balaenoptera physalus</w:t>
      </w:r>
      <w:r w:rsidR="00AB2969" w:rsidRPr="0067172A">
        <w:rPr>
          <w:rFonts w:ascii="Arial" w:hAnsi="Arial"/>
          <w:b/>
          <w:sz w:val="22"/>
          <w:szCs w:val="22"/>
        </w:rPr>
        <w:t xml:space="preserve">) </w:t>
      </w:r>
      <w:r w:rsidRPr="0067172A">
        <w:rPr>
          <w:rFonts w:ascii="Arial" w:hAnsi="Arial"/>
          <w:b/>
          <w:sz w:val="22"/>
          <w:szCs w:val="22"/>
        </w:rPr>
        <w:t>(</w:t>
      </w:r>
      <w:r w:rsidR="006A7CDA">
        <w:rPr>
          <w:rFonts w:ascii="Arial" w:hAnsi="Arial"/>
          <w:b/>
          <w:sz w:val="22"/>
          <w:szCs w:val="22"/>
        </w:rPr>
        <w:t xml:space="preserve">EPBC Act: </w:t>
      </w:r>
      <w:r w:rsidR="00DF520A" w:rsidRPr="0067172A">
        <w:rPr>
          <w:rFonts w:ascii="Arial" w:hAnsi="Arial"/>
          <w:b/>
          <w:sz w:val="22"/>
          <w:szCs w:val="22"/>
        </w:rPr>
        <w:t>V</w:t>
      </w:r>
      <w:r w:rsidRPr="0067172A">
        <w:rPr>
          <w:rFonts w:ascii="Arial" w:hAnsi="Arial"/>
          <w:b/>
          <w:sz w:val="22"/>
          <w:szCs w:val="22"/>
        </w:rPr>
        <w:t>ulnerable</w:t>
      </w:r>
      <w:r w:rsidR="00AB2969" w:rsidRPr="0067172A">
        <w:rPr>
          <w:rFonts w:ascii="Arial" w:hAnsi="Arial"/>
          <w:b/>
          <w:sz w:val="22"/>
          <w:szCs w:val="22"/>
        </w:rPr>
        <w:t>,</w:t>
      </w:r>
      <w:r w:rsidRPr="0067172A">
        <w:rPr>
          <w:rFonts w:ascii="Arial" w:hAnsi="Arial"/>
          <w:b/>
          <w:sz w:val="22"/>
          <w:szCs w:val="22"/>
        </w:rPr>
        <w:t xml:space="preserve"> </w:t>
      </w:r>
      <w:r w:rsidR="006A7CDA">
        <w:rPr>
          <w:rFonts w:ascii="Arial" w:hAnsi="Arial"/>
          <w:b/>
          <w:sz w:val="22"/>
          <w:szCs w:val="22"/>
        </w:rPr>
        <w:t xml:space="preserve">listed </w:t>
      </w:r>
      <w:r w:rsidRPr="0067172A">
        <w:rPr>
          <w:rFonts w:ascii="Arial" w:hAnsi="Arial"/>
          <w:b/>
          <w:sz w:val="22"/>
          <w:szCs w:val="22"/>
        </w:rPr>
        <w:t>migratory</w:t>
      </w:r>
      <w:r w:rsidR="006A7CDA">
        <w:rPr>
          <w:rFonts w:ascii="Arial" w:hAnsi="Arial"/>
          <w:b/>
          <w:sz w:val="22"/>
          <w:szCs w:val="22"/>
        </w:rPr>
        <w:t>, FFG Act: Not listed</w:t>
      </w:r>
      <w:r w:rsidRPr="0067172A">
        <w:rPr>
          <w:rFonts w:ascii="Arial" w:hAnsi="Arial"/>
          <w:b/>
          <w:sz w:val="22"/>
          <w:szCs w:val="22"/>
        </w:rPr>
        <w:t>)</w:t>
      </w:r>
    </w:p>
    <w:p w14:paraId="4A03769A" w14:textId="51349B5C" w:rsidR="00472F5D" w:rsidRPr="0067172A" w:rsidRDefault="00F92BED" w:rsidP="00F92BED">
      <w:pPr>
        <w:pStyle w:val="bodycopy"/>
        <w:rPr>
          <w:rFonts w:ascii="Arial" w:hAnsi="Arial"/>
          <w:sz w:val="22"/>
          <w:szCs w:val="22"/>
        </w:rPr>
      </w:pPr>
      <w:r w:rsidRPr="0067172A">
        <w:rPr>
          <w:rFonts w:ascii="Arial" w:hAnsi="Arial"/>
          <w:sz w:val="22"/>
          <w:szCs w:val="22"/>
        </w:rPr>
        <w:t xml:space="preserve">The fin whale is </w:t>
      </w:r>
      <w:r w:rsidR="00472F5D" w:rsidRPr="0067172A">
        <w:rPr>
          <w:rFonts w:ascii="Arial" w:hAnsi="Arial"/>
          <w:sz w:val="22"/>
          <w:szCs w:val="22"/>
        </w:rPr>
        <w:t>the second-largest whale species after the blue whale, growing up to 27 m long and weighing up to 70 tonnes (TSSC, 2015</w:t>
      </w:r>
      <w:r w:rsidR="00A53CA3">
        <w:rPr>
          <w:rFonts w:ascii="Arial" w:hAnsi="Arial"/>
          <w:sz w:val="22"/>
          <w:szCs w:val="22"/>
        </w:rPr>
        <w:t>d</w:t>
      </w:r>
      <w:r w:rsidR="00472F5D" w:rsidRPr="0067172A">
        <w:rPr>
          <w:rFonts w:ascii="Arial" w:hAnsi="Arial"/>
          <w:sz w:val="22"/>
          <w:szCs w:val="22"/>
        </w:rPr>
        <w:t xml:space="preserve">). It is </w:t>
      </w:r>
      <w:r w:rsidRPr="0067172A">
        <w:rPr>
          <w:rFonts w:ascii="Arial" w:hAnsi="Arial"/>
          <w:sz w:val="22"/>
          <w:szCs w:val="22"/>
        </w:rPr>
        <w:t>a cosmopolitan species and is found from polar to tropical waters</w:t>
      </w:r>
      <w:r w:rsidR="00FB4C2B" w:rsidRPr="0067172A">
        <w:rPr>
          <w:rFonts w:ascii="Arial" w:hAnsi="Arial"/>
          <w:sz w:val="22"/>
          <w:szCs w:val="22"/>
        </w:rPr>
        <w:t xml:space="preserve"> (more commonly in temperate waters)</w:t>
      </w:r>
      <w:r w:rsidR="00A5165F" w:rsidRPr="0067172A">
        <w:rPr>
          <w:rFonts w:ascii="Arial" w:hAnsi="Arial"/>
          <w:sz w:val="22"/>
          <w:szCs w:val="22"/>
        </w:rPr>
        <w:t xml:space="preserve"> </w:t>
      </w:r>
      <w:r w:rsidR="00472F5D" w:rsidRPr="0067172A">
        <w:rPr>
          <w:rFonts w:ascii="Arial" w:hAnsi="Arial"/>
          <w:sz w:val="22"/>
          <w:szCs w:val="22"/>
        </w:rPr>
        <w:t>(TSSC, 2015</w:t>
      </w:r>
      <w:r w:rsidR="00A53CA3">
        <w:rPr>
          <w:rFonts w:ascii="Arial" w:hAnsi="Arial"/>
          <w:sz w:val="22"/>
          <w:szCs w:val="22"/>
        </w:rPr>
        <w:t>d</w:t>
      </w:r>
      <w:r w:rsidR="00472F5D" w:rsidRPr="0067172A">
        <w:rPr>
          <w:rFonts w:ascii="Arial" w:hAnsi="Arial"/>
          <w:sz w:val="22"/>
          <w:szCs w:val="22"/>
        </w:rPr>
        <w:t>)</w:t>
      </w:r>
      <w:r w:rsidRPr="0067172A">
        <w:rPr>
          <w:rFonts w:ascii="Arial" w:hAnsi="Arial"/>
          <w:sz w:val="22"/>
          <w:szCs w:val="22"/>
        </w:rPr>
        <w:t>.</w:t>
      </w:r>
    </w:p>
    <w:p w14:paraId="01E9D06F" w14:textId="27DD8D0E" w:rsidR="00472F5D" w:rsidRPr="0067172A" w:rsidRDefault="00472F5D" w:rsidP="00F92BED">
      <w:pPr>
        <w:pStyle w:val="bodycopy"/>
        <w:rPr>
          <w:rFonts w:ascii="Arial" w:hAnsi="Arial"/>
          <w:sz w:val="22"/>
          <w:szCs w:val="22"/>
        </w:rPr>
      </w:pPr>
      <w:r w:rsidRPr="0067172A">
        <w:rPr>
          <w:rFonts w:ascii="Arial" w:hAnsi="Arial"/>
          <w:sz w:val="22"/>
          <w:szCs w:val="22"/>
        </w:rPr>
        <w:t xml:space="preserve">There are stranding records of this species from most Australian states, but they are considered rare in Australian waters (Bannister </w:t>
      </w:r>
      <w:r w:rsidRPr="0067172A">
        <w:rPr>
          <w:rFonts w:ascii="Arial" w:hAnsi="Arial"/>
          <w:i/>
          <w:sz w:val="22"/>
          <w:szCs w:val="22"/>
        </w:rPr>
        <w:t>et al</w:t>
      </w:r>
      <w:r w:rsidRPr="0067172A">
        <w:rPr>
          <w:rFonts w:ascii="Arial" w:hAnsi="Arial"/>
          <w:sz w:val="22"/>
          <w:szCs w:val="22"/>
        </w:rPr>
        <w:t>., 1996), with available information suggesting they are more common in deeper water (</w:t>
      </w:r>
      <w:r w:rsidR="00B97849">
        <w:rPr>
          <w:rFonts w:ascii="Arial" w:hAnsi="Arial"/>
          <w:sz w:val="22"/>
          <w:szCs w:val="22"/>
        </w:rPr>
        <w:t>TSSC, 2015</w:t>
      </w:r>
      <w:r w:rsidR="00A53CA3">
        <w:rPr>
          <w:rFonts w:ascii="Arial" w:hAnsi="Arial"/>
          <w:sz w:val="22"/>
          <w:szCs w:val="22"/>
        </w:rPr>
        <w:t>d</w:t>
      </w:r>
      <w:r w:rsidRPr="0067172A">
        <w:rPr>
          <w:rFonts w:ascii="Arial" w:hAnsi="Arial"/>
          <w:sz w:val="22"/>
          <w:szCs w:val="22"/>
        </w:rPr>
        <w:t xml:space="preserve">). </w:t>
      </w:r>
    </w:p>
    <w:p w14:paraId="01EDE7AD" w14:textId="47A2C1D8" w:rsidR="00F92BED" w:rsidRPr="0067172A" w:rsidRDefault="00472F5D" w:rsidP="00F92BED">
      <w:pPr>
        <w:pStyle w:val="bodycopy"/>
        <w:rPr>
          <w:rFonts w:ascii="Arial" w:hAnsi="Arial"/>
          <w:sz w:val="22"/>
          <w:szCs w:val="22"/>
        </w:rPr>
      </w:pPr>
      <w:r w:rsidRPr="0067172A">
        <w:rPr>
          <w:rFonts w:ascii="Arial" w:hAnsi="Arial"/>
          <w:sz w:val="22"/>
          <w:szCs w:val="22"/>
        </w:rPr>
        <w:t>The total abundance and population trends of fin whales in Australian waters is unknown (TSSC, 2015</w:t>
      </w:r>
      <w:r w:rsidR="00A53CA3">
        <w:rPr>
          <w:rFonts w:ascii="Arial" w:hAnsi="Arial"/>
          <w:sz w:val="22"/>
          <w:szCs w:val="22"/>
        </w:rPr>
        <w:t>d</w:t>
      </w:r>
      <w:r w:rsidRPr="0067172A">
        <w:rPr>
          <w:rFonts w:ascii="Arial" w:hAnsi="Arial"/>
          <w:sz w:val="22"/>
          <w:szCs w:val="22"/>
        </w:rPr>
        <w:t xml:space="preserve">). </w:t>
      </w:r>
      <w:r w:rsidR="00F92BED" w:rsidRPr="0067172A">
        <w:rPr>
          <w:rFonts w:ascii="Arial" w:hAnsi="Arial"/>
          <w:sz w:val="22"/>
          <w:szCs w:val="22"/>
        </w:rPr>
        <w:t xml:space="preserve">They show well-defined </w:t>
      </w:r>
      <w:r w:rsidRPr="0067172A">
        <w:rPr>
          <w:rFonts w:ascii="Arial" w:hAnsi="Arial"/>
          <w:sz w:val="22"/>
          <w:szCs w:val="22"/>
        </w:rPr>
        <w:t xml:space="preserve">long annual migrations </w:t>
      </w:r>
      <w:r w:rsidR="00F92BED" w:rsidRPr="0067172A">
        <w:rPr>
          <w:rFonts w:ascii="Arial" w:hAnsi="Arial"/>
          <w:sz w:val="22"/>
          <w:szCs w:val="22"/>
        </w:rPr>
        <w:t xml:space="preserve">between </w:t>
      </w:r>
      <w:r w:rsidRPr="0067172A">
        <w:rPr>
          <w:rFonts w:ascii="Arial" w:hAnsi="Arial"/>
          <w:sz w:val="22"/>
          <w:szCs w:val="22"/>
        </w:rPr>
        <w:t>higher latitude feeding grounds in summer to lower latitude breeding ground in winter (TSSC, 2015</w:t>
      </w:r>
      <w:r w:rsidR="00A53CA3">
        <w:rPr>
          <w:rFonts w:ascii="Arial" w:hAnsi="Arial"/>
          <w:sz w:val="22"/>
          <w:szCs w:val="22"/>
        </w:rPr>
        <w:t>d</w:t>
      </w:r>
      <w:r w:rsidRPr="0067172A">
        <w:rPr>
          <w:rFonts w:ascii="Arial" w:hAnsi="Arial"/>
          <w:sz w:val="22"/>
          <w:szCs w:val="22"/>
        </w:rPr>
        <w:t>)</w:t>
      </w:r>
      <w:r w:rsidR="00F92BED" w:rsidRPr="0067172A">
        <w:rPr>
          <w:rFonts w:ascii="Arial" w:hAnsi="Arial"/>
          <w:sz w:val="22"/>
          <w:szCs w:val="22"/>
        </w:rPr>
        <w:t>. Migratory movements are essentially north–south with littl</w:t>
      </w:r>
      <w:r w:rsidRPr="0067172A">
        <w:rPr>
          <w:rFonts w:ascii="Arial" w:hAnsi="Arial"/>
          <w:sz w:val="22"/>
          <w:szCs w:val="22"/>
        </w:rPr>
        <w:t xml:space="preserve">e longitudinal dispersion. </w:t>
      </w:r>
    </w:p>
    <w:p w14:paraId="1EDD97EB" w14:textId="19FC6844" w:rsidR="00EA5145" w:rsidRPr="0067172A" w:rsidRDefault="00EA5145" w:rsidP="00F92BED">
      <w:pPr>
        <w:pStyle w:val="bodycopy"/>
        <w:rPr>
          <w:rFonts w:ascii="Arial" w:hAnsi="Arial"/>
          <w:sz w:val="22"/>
          <w:szCs w:val="22"/>
        </w:rPr>
      </w:pPr>
      <w:r w:rsidRPr="0067172A">
        <w:rPr>
          <w:rFonts w:ascii="Arial" w:hAnsi="Arial"/>
          <w:sz w:val="22"/>
          <w:szCs w:val="22"/>
        </w:rPr>
        <w:t>The Conservation Advice (TSSC, 2015</w:t>
      </w:r>
      <w:r w:rsidR="00A53CA3">
        <w:rPr>
          <w:rFonts w:ascii="Arial" w:hAnsi="Arial"/>
          <w:sz w:val="22"/>
          <w:szCs w:val="22"/>
        </w:rPr>
        <w:t>d</w:t>
      </w:r>
      <w:r w:rsidRPr="0067172A">
        <w:rPr>
          <w:rFonts w:ascii="Arial" w:hAnsi="Arial"/>
          <w:sz w:val="22"/>
          <w:szCs w:val="22"/>
        </w:rPr>
        <w:t xml:space="preserve">) identifies vessel strike and anthropogenic noise as threats to the species, the latter important as it may mask vocalisations or cause injury or death. </w:t>
      </w:r>
    </w:p>
    <w:p w14:paraId="3619C219" w14:textId="77777777" w:rsidR="00F92BED" w:rsidRPr="0067172A" w:rsidRDefault="00F92BED" w:rsidP="00F92BED">
      <w:pPr>
        <w:pStyle w:val="bodycopy"/>
        <w:rPr>
          <w:rFonts w:ascii="Arial" w:hAnsi="Arial"/>
          <w:sz w:val="22"/>
          <w:szCs w:val="22"/>
        </w:rPr>
      </w:pPr>
      <w:r w:rsidRPr="0067172A">
        <w:rPr>
          <w:rFonts w:ascii="Arial" w:hAnsi="Arial"/>
          <w:sz w:val="22"/>
          <w:szCs w:val="22"/>
        </w:rPr>
        <w:lastRenderedPageBreak/>
        <w:t xml:space="preserve">Based upon the species preference for offshore waters, the absence of a BIA in Australian waters and the nearshore location of the survey area, it is considered unlikely that this species </w:t>
      </w:r>
      <w:r w:rsidR="00472F5D" w:rsidRPr="0067172A">
        <w:rPr>
          <w:rFonts w:ascii="Arial" w:hAnsi="Arial"/>
          <w:sz w:val="22"/>
          <w:szCs w:val="22"/>
        </w:rPr>
        <w:t xml:space="preserve">occurs within the proposed acquisition area or the EMBA </w:t>
      </w:r>
      <w:r w:rsidRPr="0067172A">
        <w:rPr>
          <w:rFonts w:ascii="Arial" w:hAnsi="Arial"/>
          <w:sz w:val="22"/>
          <w:szCs w:val="22"/>
        </w:rPr>
        <w:t xml:space="preserve">survey. </w:t>
      </w:r>
    </w:p>
    <w:p w14:paraId="1537FFF8" w14:textId="7328C5F6" w:rsidR="00F92BED" w:rsidRPr="0067172A" w:rsidRDefault="00F92BED" w:rsidP="00F92BED">
      <w:pPr>
        <w:pStyle w:val="bodycopy"/>
        <w:rPr>
          <w:rFonts w:ascii="Arial" w:hAnsi="Arial"/>
          <w:b/>
          <w:sz w:val="22"/>
          <w:szCs w:val="22"/>
        </w:rPr>
      </w:pPr>
      <w:r w:rsidRPr="0067172A">
        <w:rPr>
          <w:rFonts w:ascii="Arial" w:hAnsi="Arial"/>
          <w:b/>
          <w:sz w:val="22"/>
          <w:szCs w:val="22"/>
        </w:rPr>
        <w:t xml:space="preserve">Pygmy right whale </w:t>
      </w:r>
      <w:r w:rsidR="00EA5145" w:rsidRPr="0067172A">
        <w:rPr>
          <w:rFonts w:ascii="Arial" w:hAnsi="Arial"/>
          <w:b/>
          <w:sz w:val="22"/>
          <w:szCs w:val="22"/>
        </w:rPr>
        <w:t>(</w:t>
      </w:r>
      <w:r w:rsidR="00EA5145" w:rsidRPr="0067172A">
        <w:rPr>
          <w:rFonts w:ascii="Arial" w:hAnsi="Arial"/>
          <w:b/>
          <w:i/>
          <w:sz w:val="22"/>
          <w:szCs w:val="22"/>
        </w:rPr>
        <w:t>Caperea marginata</w:t>
      </w:r>
      <w:r w:rsidR="00EA5145" w:rsidRPr="0067172A">
        <w:rPr>
          <w:rFonts w:ascii="Arial" w:hAnsi="Arial"/>
          <w:b/>
          <w:sz w:val="22"/>
          <w:szCs w:val="22"/>
        </w:rPr>
        <w:t xml:space="preserve">) </w:t>
      </w:r>
      <w:r w:rsidRPr="0067172A">
        <w:rPr>
          <w:rFonts w:ascii="Arial" w:hAnsi="Arial"/>
          <w:b/>
          <w:sz w:val="22"/>
          <w:szCs w:val="22"/>
        </w:rPr>
        <w:t>(</w:t>
      </w:r>
      <w:r w:rsidR="006A7CDA">
        <w:rPr>
          <w:rFonts w:ascii="Arial" w:hAnsi="Arial"/>
          <w:b/>
          <w:sz w:val="22"/>
          <w:szCs w:val="22"/>
        </w:rPr>
        <w:t>EPBC Act: Listed m</w:t>
      </w:r>
      <w:r w:rsidRPr="0067172A">
        <w:rPr>
          <w:rFonts w:ascii="Arial" w:hAnsi="Arial"/>
          <w:b/>
          <w:sz w:val="22"/>
          <w:szCs w:val="22"/>
        </w:rPr>
        <w:t>igratory</w:t>
      </w:r>
      <w:r w:rsidR="006A7CDA">
        <w:rPr>
          <w:rFonts w:ascii="Arial" w:hAnsi="Arial"/>
          <w:b/>
          <w:sz w:val="22"/>
          <w:szCs w:val="22"/>
        </w:rPr>
        <w:t>, FFG Act: Not listed</w:t>
      </w:r>
      <w:r w:rsidRPr="0067172A">
        <w:rPr>
          <w:rFonts w:ascii="Arial" w:hAnsi="Arial"/>
          <w:b/>
          <w:sz w:val="22"/>
          <w:szCs w:val="22"/>
        </w:rPr>
        <w:t>)</w:t>
      </w:r>
    </w:p>
    <w:p w14:paraId="20637A21" w14:textId="77777777" w:rsidR="00AA77F2" w:rsidRPr="0067172A" w:rsidRDefault="00F92BED" w:rsidP="00F92BED">
      <w:pPr>
        <w:pStyle w:val="bodycopy"/>
        <w:rPr>
          <w:rFonts w:ascii="Arial" w:hAnsi="Arial"/>
          <w:sz w:val="22"/>
          <w:szCs w:val="22"/>
        </w:rPr>
      </w:pPr>
      <w:r w:rsidRPr="0067172A">
        <w:rPr>
          <w:rFonts w:ascii="Arial" w:hAnsi="Arial"/>
          <w:sz w:val="22"/>
          <w:szCs w:val="22"/>
        </w:rPr>
        <w:t>Pygmy right whales are a little-studied baleen whale species found in temperate and sub-Antarctic waters in oceanic and inshore locations. The species, which has never been hunted commercially, is thought to have a circumpolar distribution in the Southern Hemisphere between about 30</w:t>
      </w:r>
      <w:r w:rsidRPr="0067172A">
        <w:rPr>
          <w:rFonts w:ascii="Arial" w:hAnsi="Arial"/>
          <w:sz w:val="22"/>
          <w:szCs w:val="22"/>
        </w:rPr>
        <w:sym w:font="Symbol" w:char="F0B0"/>
      </w:r>
      <w:r w:rsidRPr="0067172A">
        <w:rPr>
          <w:rFonts w:ascii="Arial" w:hAnsi="Arial"/>
          <w:sz w:val="22"/>
          <w:szCs w:val="22"/>
        </w:rPr>
        <w:t>S and 55</w:t>
      </w:r>
      <w:r w:rsidRPr="0067172A">
        <w:rPr>
          <w:rFonts w:ascii="Arial" w:hAnsi="Arial"/>
          <w:sz w:val="22"/>
          <w:szCs w:val="22"/>
        </w:rPr>
        <w:sym w:font="Symbol" w:char="F0B0"/>
      </w:r>
      <w:r w:rsidRPr="0067172A">
        <w:rPr>
          <w:rFonts w:ascii="Arial" w:hAnsi="Arial"/>
          <w:sz w:val="22"/>
          <w:szCs w:val="22"/>
        </w:rPr>
        <w:t xml:space="preserve">S. Distribution appears limited by the surface water temperature as they are almost always found in waters with temperatures ranging from 5° to 20°C (Baker, 1985). </w:t>
      </w:r>
    </w:p>
    <w:p w14:paraId="2350FDD6" w14:textId="16B5446D" w:rsidR="00F92BED" w:rsidRPr="0067172A" w:rsidRDefault="00F92BED" w:rsidP="00F92BED">
      <w:pPr>
        <w:pStyle w:val="bodycopy"/>
        <w:rPr>
          <w:rFonts w:ascii="Arial" w:hAnsi="Arial"/>
          <w:sz w:val="22"/>
          <w:szCs w:val="22"/>
        </w:rPr>
      </w:pPr>
      <w:r w:rsidRPr="0067172A">
        <w:rPr>
          <w:rFonts w:ascii="Arial" w:hAnsi="Arial"/>
          <w:sz w:val="22"/>
          <w:szCs w:val="22"/>
        </w:rPr>
        <w:t xml:space="preserve">There are few confirmed sightings of pygmy right whales at sea (Reilly </w:t>
      </w:r>
      <w:r w:rsidRPr="0067172A">
        <w:rPr>
          <w:rFonts w:ascii="Arial" w:hAnsi="Arial"/>
          <w:i/>
          <w:sz w:val="22"/>
          <w:szCs w:val="22"/>
        </w:rPr>
        <w:t>et al</w:t>
      </w:r>
      <w:r w:rsidRPr="0067172A">
        <w:rPr>
          <w:rFonts w:ascii="Arial" w:hAnsi="Arial"/>
          <w:sz w:val="22"/>
          <w:szCs w:val="22"/>
        </w:rPr>
        <w:t>., 2008)</w:t>
      </w:r>
      <w:r w:rsidR="00AA77F2" w:rsidRPr="0067172A">
        <w:rPr>
          <w:rFonts w:ascii="Arial" w:hAnsi="Arial"/>
          <w:sz w:val="22"/>
          <w:szCs w:val="22"/>
        </w:rPr>
        <w:t>, with few or no records from eastern Victoria and no population estimates available for Australian waters (DoEE, 2017</w:t>
      </w:r>
      <w:r w:rsidR="00FF5C39">
        <w:rPr>
          <w:rFonts w:ascii="Arial" w:hAnsi="Arial"/>
          <w:sz w:val="22"/>
          <w:szCs w:val="22"/>
        </w:rPr>
        <w:t>i</w:t>
      </w:r>
      <w:r w:rsidR="00AA77F2" w:rsidRPr="0067172A">
        <w:rPr>
          <w:rFonts w:ascii="Arial" w:hAnsi="Arial"/>
          <w:sz w:val="22"/>
          <w:szCs w:val="22"/>
        </w:rPr>
        <w:t>)</w:t>
      </w:r>
      <w:r w:rsidRPr="0067172A">
        <w:rPr>
          <w:rFonts w:ascii="Arial" w:hAnsi="Arial"/>
          <w:sz w:val="22"/>
          <w:szCs w:val="22"/>
        </w:rPr>
        <w:t xml:space="preserve">. The largest reported group sighted (100+) occurred near Portland in June 2007 (Gill </w:t>
      </w:r>
      <w:r w:rsidRPr="0067172A">
        <w:rPr>
          <w:rFonts w:ascii="Arial" w:hAnsi="Arial"/>
          <w:i/>
          <w:sz w:val="22"/>
          <w:szCs w:val="22"/>
        </w:rPr>
        <w:t>et al</w:t>
      </w:r>
      <w:r w:rsidRPr="0067172A">
        <w:rPr>
          <w:rFonts w:ascii="Arial" w:hAnsi="Arial"/>
          <w:sz w:val="22"/>
          <w:szCs w:val="22"/>
        </w:rPr>
        <w:t xml:space="preserve">., 2008). </w:t>
      </w:r>
    </w:p>
    <w:p w14:paraId="7526B6E8" w14:textId="77777777" w:rsidR="00AA77F2" w:rsidRPr="0067172A" w:rsidRDefault="00AA77F2" w:rsidP="00AA77F2">
      <w:pPr>
        <w:pStyle w:val="bodycopy"/>
        <w:rPr>
          <w:rFonts w:ascii="Arial" w:hAnsi="Arial"/>
          <w:sz w:val="22"/>
          <w:szCs w:val="22"/>
        </w:rPr>
      </w:pPr>
      <w:r w:rsidRPr="0067172A">
        <w:rPr>
          <w:rFonts w:ascii="Arial" w:hAnsi="Arial"/>
          <w:sz w:val="22"/>
          <w:szCs w:val="22"/>
        </w:rPr>
        <w:t xml:space="preserve">Based upon the lack of sightings off eastern Victoria, the absence of a BIA in Australian waters and the nearshore location of the survey area, it is considered unlikely that this species occurs within the proposed acquisition area or the EMBA survey. </w:t>
      </w:r>
    </w:p>
    <w:p w14:paraId="6943DD03" w14:textId="6157CF1B" w:rsidR="00F92BED" w:rsidRPr="0067172A" w:rsidRDefault="00F92BED" w:rsidP="00F92BED">
      <w:pPr>
        <w:pStyle w:val="bodycopy"/>
        <w:rPr>
          <w:rFonts w:ascii="Arial" w:hAnsi="Arial"/>
          <w:b/>
          <w:sz w:val="22"/>
          <w:szCs w:val="22"/>
        </w:rPr>
      </w:pPr>
      <w:r w:rsidRPr="0067172A">
        <w:rPr>
          <w:rFonts w:ascii="Arial" w:hAnsi="Arial"/>
          <w:b/>
          <w:sz w:val="22"/>
          <w:szCs w:val="22"/>
        </w:rPr>
        <w:t xml:space="preserve">Southern right whale </w:t>
      </w:r>
      <w:r w:rsidR="00E16AE6" w:rsidRPr="0067172A">
        <w:rPr>
          <w:rFonts w:ascii="Arial" w:hAnsi="Arial"/>
          <w:b/>
          <w:sz w:val="22"/>
          <w:szCs w:val="22"/>
        </w:rPr>
        <w:t>(</w:t>
      </w:r>
      <w:r w:rsidR="00E16AE6" w:rsidRPr="0067172A">
        <w:rPr>
          <w:rFonts w:ascii="Arial" w:hAnsi="Arial"/>
          <w:b/>
          <w:i/>
          <w:sz w:val="22"/>
          <w:szCs w:val="22"/>
        </w:rPr>
        <w:t>Eubalaena australis</w:t>
      </w:r>
      <w:r w:rsidR="00E16AE6" w:rsidRPr="0067172A">
        <w:rPr>
          <w:rFonts w:ascii="Arial" w:hAnsi="Arial"/>
          <w:b/>
          <w:sz w:val="22"/>
          <w:szCs w:val="22"/>
        </w:rPr>
        <w:t xml:space="preserve">) </w:t>
      </w:r>
      <w:r w:rsidRPr="0067172A">
        <w:rPr>
          <w:rFonts w:ascii="Arial" w:hAnsi="Arial"/>
          <w:b/>
          <w:sz w:val="22"/>
          <w:szCs w:val="22"/>
        </w:rPr>
        <w:t>(</w:t>
      </w:r>
      <w:r w:rsidR="006A7CDA">
        <w:rPr>
          <w:rFonts w:ascii="Arial" w:hAnsi="Arial"/>
          <w:b/>
          <w:sz w:val="22"/>
          <w:szCs w:val="22"/>
        </w:rPr>
        <w:t xml:space="preserve">EPBC Act: </w:t>
      </w:r>
      <w:r w:rsidR="00DF520A" w:rsidRPr="0067172A">
        <w:rPr>
          <w:rFonts w:ascii="Arial" w:hAnsi="Arial"/>
          <w:b/>
          <w:sz w:val="22"/>
          <w:szCs w:val="22"/>
        </w:rPr>
        <w:t>E</w:t>
      </w:r>
      <w:r w:rsidRPr="0067172A">
        <w:rPr>
          <w:rFonts w:ascii="Arial" w:hAnsi="Arial"/>
          <w:b/>
          <w:sz w:val="22"/>
          <w:szCs w:val="22"/>
        </w:rPr>
        <w:t xml:space="preserve">ndangered, </w:t>
      </w:r>
      <w:r w:rsidR="006A7CDA">
        <w:rPr>
          <w:rFonts w:ascii="Arial" w:hAnsi="Arial"/>
          <w:b/>
          <w:sz w:val="22"/>
          <w:szCs w:val="22"/>
        </w:rPr>
        <w:t xml:space="preserve">listed </w:t>
      </w:r>
      <w:r w:rsidRPr="0067172A">
        <w:rPr>
          <w:rFonts w:ascii="Arial" w:hAnsi="Arial"/>
          <w:b/>
          <w:sz w:val="22"/>
          <w:szCs w:val="22"/>
        </w:rPr>
        <w:t>migratory</w:t>
      </w:r>
      <w:r w:rsidR="006A7CDA">
        <w:rPr>
          <w:rFonts w:ascii="Arial" w:hAnsi="Arial"/>
          <w:b/>
          <w:sz w:val="22"/>
          <w:szCs w:val="22"/>
        </w:rPr>
        <w:t>, FFG Act: Threatened</w:t>
      </w:r>
      <w:r w:rsidRPr="0067172A">
        <w:rPr>
          <w:rFonts w:ascii="Arial" w:hAnsi="Arial"/>
          <w:b/>
          <w:sz w:val="22"/>
          <w:szCs w:val="22"/>
        </w:rPr>
        <w:t xml:space="preserve">) </w:t>
      </w:r>
    </w:p>
    <w:p w14:paraId="6B82AA4F" w14:textId="3AA96505" w:rsidR="00F92BED" w:rsidRPr="0067172A" w:rsidRDefault="00F92BED" w:rsidP="00F92BED">
      <w:pPr>
        <w:pStyle w:val="bodycopy"/>
        <w:rPr>
          <w:rFonts w:ascii="Arial" w:hAnsi="Arial"/>
          <w:sz w:val="22"/>
          <w:szCs w:val="22"/>
        </w:rPr>
      </w:pPr>
      <w:r w:rsidRPr="0067172A">
        <w:rPr>
          <w:rFonts w:ascii="Arial" w:hAnsi="Arial"/>
          <w:sz w:val="22"/>
          <w:szCs w:val="22"/>
        </w:rPr>
        <w:t>Southern right whales are medium to large black (or less commonly grey-brown) baleen whales (DSEWPC, 2012</w:t>
      </w:r>
      <w:r w:rsidR="00406141">
        <w:rPr>
          <w:rFonts w:ascii="Arial" w:hAnsi="Arial"/>
          <w:sz w:val="22"/>
          <w:szCs w:val="22"/>
        </w:rPr>
        <w:t>b</w:t>
      </w:r>
      <w:r w:rsidRPr="0067172A">
        <w:rPr>
          <w:rFonts w:ascii="Arial" w:hAnsi="Arial"/>
          <w:sz w:val="22"/>
          <w:szCs w:val="22"/>
        </w:rPr>
        <w:t xml:space="preserve">). They are recognizable by the lack of a dorsal fin, rotund body shape, and whitish callosities (patches of keratinised skin colonised by cyamids - small crustaceans) on the head. They reach a maximum length of approximately 17.5 m and a weight of around 80 tonnes, with mature females slightly </w:t>
      </w:r>
      <w:r w:rsidR="00E16AE6" w:rsidRPr="0067172A">
        <w:rPr>
          <w:rFonts w:ascii="Arial" w:hAnsi="Arial"/>
          <w:sz w:val="22"/>
          <w:szCs w:val="22"/>
        </w:rPr>
        <w:t>larger than males (DSEWPC, 2012</w:t>
      </w:r>
      <w:r w:rsidR="00406141">
        <w:rPr>
          <w:rFonts w:ascii="Arial" w:hAnsi="Arial"/>
          <w:sz w:val="22"/>
          <w:szCs w:val="22"/>
        </w:rPr>
        <w:t>b</w:t>
      </w:r>
      <w:r w:rsidRPr="0067172A">
        <w:rPr>
          <w:rFonts w:ascii="Arial" w:hAnsi="Arial"/>
          <w:sz w:val="22"/>
          <w:szCs w:val="22"/>
        </w:rPr>
        <w:t>).</w:t>
      </w:r>
    </w:p>
    <w:p w14:paraId="0ECC79F6" w14:textId="6E6934AC" w:rsidR="00F92BED" w:rsidRPr="0067172A" w:rsidRDefault="00F92BED" w:rsidP="00F92BED">
      <w:pPr>
        <w:pStyle w:val="bodycopy"/>
        <w:rPr>
          <w:rFonts w:ascii="Arial" w:hAnsi="Arial"/>
          <w:sz w:val="22"/>
          <w:szCs w:val="22"/>
        </w:rPr>
      </w:pPr>
      <w:r w:rsidRPr="0067172A">
        <w:rPr>
          <w:rFonts w:ascii="Arial" w:hAnsi="Arial"/>
          <w:sz w:val="22"/>
          <w:szCs w:val="22"/>
        </w:rPr>
        <w:t xml:space="preserve">Nineteenth century whaling drastically reduced </w:t>
      </w:r>
      <w:r w:rsidR="00E16AE6" w:rsidRPr="0067172A">
        <w:rPr>
          <w:rFonts w:ascii="Arial" w:hAnsi="Arial"/>
          <w:sz w:val="22"/>
          <w:szCs w:val="22"/>
        </w:rPr>
        <w:t>southern right whale</w:t>
      </w:r>
      <w:r w:rsidRPr="0067172A">
        <w:rPr>
          <w:rFonts w:ascii="Arial" w:hAnsi="Arial"/>
          <w:sz w:val="22"/>
          <w:szCs w:val="22"/>
        </w:rPr>
        <w:t xml:space="preserve"> numbers. An estimated 55,000 to 70,000 whales were present in the southern hemisphere in the late 1700s (DSEWPC, 2012</w:t>
      </w:r>
      <w:r w:rsidR="00406141">
        <w:rPr>
          <w:rFonts w:ascii="Arial" w:hAnsi="Arial"/>
          <w:sz w:val="22"/>
          <w:szCs w:val="22"/>
        </w:rPr>
        <w:t>b</w:t>
      </w:r>
      <w:r w:rsidRPr="0067172A">
        <w:rPr>
          <w:rFonts w:ascii="Arial" w:hAnsi="Arial"/>
          <w:sz w:val="22"/>
          <w:szCs w:val="22"/>
        </w:rPr>
        <w:t>). However, by the 1920s there may have been fewer than 300 individuals remaining throughout the southern hemisphere (DSEWPC, 2012</w:t>
      </w:r>
      <w:r w:rsidR="00406141">
        <w:rPr>
          <w:rFonts w:ascii="Arial" w:hAnsi="Arial"/>
          <w:sz w:val="22"/>
          <w:szCs w:val="22"/>
        </w:rPr>
        <w:t>b</w:t>
      </w:r>
      <w:r w:rsidRPr="0067172A">
        <w:rPr>
          <w:rFonts w:ascii="Arial" w:hAnsi="Arial"/>
          <w:sz w:val="22"/>
          <w:szCs w:val="22"/>
        </w:rPr>
        <w:t xml:space="preserve">). Other reports suggest the number of individuals in Australia was reduced to 1,500 (Charlton </w:t>
      </w:r>
      <w:r w:rsidRPr="0067172A">
        <w:rPr>
          <w:rFonts w:ascii="Arial" w:hAnsi="Arial"/>
          <w:i/>
          <w:sz w:val="22"/>
          <w:szCs w:val="22"/>
        </w:rPr>
        <w:t>et al</w:t>
      </w:r>
      <w:r w:rsidRPr="0067172A">
        <w:rPr>
          <w:rFonts w:ascii="Arial" w:hAnsi="Arial"/>
          <w:sz w:val="22"/>
          <w:szCs w:val="22"/>
        </w:rPr>
        <w:t xml:space="preserve">., 2014). The Australian population is estimated at 3,500 individuals (Charlton </w:t>
      </w:r>
      <w:r w:rsidRPr="0067172A">
        <w:rPr>
          <w:rFonts w:ascii="Arial" w:hAnsi="Arial"/>
          <w:i/>
          <w:sz w:val="22"/>
          <w:szCs w:val="22"/>
        </w:rPr>
        <w:t>et al</w:t>
      </w:r>
      <w:r w:rsidRPr="0067172A">
        <w:rPr>
          <w:rFonts w:ascii="Arial" w:hAnsi="Arial"/>
          <w:sz w:val="22"/>
          <w:szCs w:val="22"/>
        </w:rPr>
        <w:t xml:space="preserve">., 2014). </w:t>
      </w:r>
    </w:p>
    <w:p w14:paraId="556F7D26" w14:textId="2BA0F3D4" w:rsidR="00F92BED" w:rsidRPr="0067172A" w:rsidRDefault="00F92BED" w:rsidP="00F92BED">
      <w:pPr>
        <w:pStyle w:val="bodycopy"/>
        <w:rPr>
          <w:rFonts w:ascii="Arial" w:hAnsi="Arial"/>
          <w:sz w:val="22"/>
          <w:szCs w:val="22"/>
        </w:rPr>
      </w:pPr>
      <w:r w:rsidRPr="0067172A">
        <w:rPr>
          <w:rFonts w:ascii="Arial" w:hAnsi="Arial"/>
          <w:sz w:val="22"/>
          <w:szCs w:val="22"/>
        </w:rPr>
        <w:t xml:space="preserve">The </w:t>
      </w:r>
      <w:r w:rsidR="00E16AE6" w:rsidRPr="0067172A">
        <w:rPr>
          <w:rFonts w:ascii="Arial" w:hAnsi="Arial"/>
          <w:sz w:val="22"/>
          <w:szCs w:val="22"/>
        </w:rPr>
        <w:t>southern right whale</w:t>
      </w:r>
      <w:r w:rsidRPr="0067172A">
        <w:rPr>
          <w:rFonts w:ascii="Arial" w:hAnsi="Arial"/>
          <w:sz w:val="22"/>
          <w:szCs w:val="22"/>
        </w:rPr>
        <w:t xml:space="preserve"> is typically distributed between </w:t>
      </w:r>
      <w:r w:rsidR="0011507D">
        <w:rPr>
          <w:rFonts w:ascii="Arial" w:hAnsi="Arial"/>
          <w:sz w:val="22"/>
          <w:szCs w:val="22"/>
        </w:rPr>
        <w:t>16</w:t>
      </w:r>
      <w:r w:rsidRPr="0067172A">
        <w:rPr>
          <w:rFonts w:ascii="Arial" w:hAnsi="Arial"/>
          <w:sz w:val="22"/>
          <w:szCs w:val="22"/>
        </w:rPr>
        <w:t>°S and 6</w:t>
      </w:r>
      <w:r w:rsidR="0011507D">
        <w:rPr>
          <w:rFonts w:ascii="Arial" w:hAnsi="Arial"/>
          <w:sz w:val="22"/>
          <w:szCs w:val="22"/>
        </w:rPr>
        <w:t>5</w:t>
      </w:r>
      <w:r w:rsidRPr="0067172A">
        <w:rPr>
          <w:rFonts w:ascii="Arial" w:hAnsi="Arial"/>
          <w:sz w:val="22"/>
          <w:szCs w:val="22"/>
        </w:rPr>
        <w:t>°S in the southern hemisphere and is present off the Australian coast between May and October (sometimes as early as April and as late as November) (</w:t>
      </w:r>
      <w:r w:rsidR="0011507D">
        <w:rPr>
          <w:rFonts w:ascii="Arial" w:hAnsi="Arial"/>
          <w:sz w:val="22"/>
          <w:szCs w:val="22"/>
        </w:rPr>
        <w:t>DSEWPC, 2012</w:t>
      </w:r>
      <w:r w:rsidR="00406141">
        <w:rPr>
          <w:rFonts w:ascii="Arial" w:hAnsi="Arial"/>
          <w:sz w:val="22"/>
          <w:szCs w:val="22"/>
        </w:rPr>
        <w:t>b</w:t>
      </w:r>
      <w:r w:rsidRPr="0067172A">
        <w:rPr>
          <w:rFonts w:ascii="Arial" w:hAnsi="Arial"/>
          <w:sz w:val="22"/>
          <w:szCs w:val="22"/>
        </w:rPr>
        <w:t>) (</w:t>
      </w:r>
      <w:r w:rsidRPr="008E22DD">
        <w:rPr>
          <w:rFonts w:ascii="Arial" w:hAnsi="Arial"/>
          <w:sz w:val="22"/>
          <w:szCs w:val="22"/>
        </w:rPr>
        <w:t xml:space="preserve">Figure </w:t>
      </w:r>
      <w:r w:rsidR="002C0FD5" w:rsidRPr="008E22DD">
        <w:rPr>
          <w:rFonts w:ascii="Arial" w:hAnsi="Arial"/>
          <w:sz w:val="22"/>
          <w:szCs w:val="22"/>
        </w:rPr>
        <w:t>5.</w:t>
      </w:r>
      <w:r w:rsidR="00101658" w:rsidRPr="008E22DD">
        <w:rPr>
          <w:rFonts w:ascii="Arial" w:hAnsi="Arial"/>
          <w:sz w:val="22"/>
          <w:szCs w:val="22"/>
        </w:rPr>
        <w:t>15</w:t>
      </w:r>
      <w:r w:rsidRPr="008E22DD">
        <w:rPr>
          <w:rFonts w:ascii="Arial" w:hAnsi="Arial"/>
          <w:sz w:val="22"/>
          <w:szCs w:val="22"/>
        </w:rPr>
        <w:t>).</w:t>
      </w:r>
      <w:r w:rsidRPr="0067172A">
        <w:rPr>
          <w:rFonts w:ascii="Arial" w:hAnsi="Arial"/>
          <w:sz w:val="22"/>
          <w:szCs w:val="22"/>
        </w:rPr>
        <w:t xml:space="preserve"> </w:t>
      </w:r>
    </w:p>
    <w:p w14:paraId="627F3C66" w14:textId="7EA285C6" w:rsidR="00F92BED" w:rsidRPr="0067172A" w:rsidRDefault="00E16AE6" w:rsidP="00F92BED">
      <w:pPr>
        <w:pStyle w:val="bodycopy"/>
        <w:rPr>
          <w:rFonts w:ascii="Arial" w:hAnsi="Arial"/>
          <w:sz w:val="22"/>
          <w:szCs w:val="22"/>
        </w:rPr>
      </w:pPr>
      <w:r w:rsidRPr="0067172A">
        <w:rPr>
          <w:rFonts w:ascii="Arial" w:hAnsi="Arial"/>
          <w:sz w:val="22"/>
          <w:szCs w:val="22"/>
        </w:rPr>
        <w:t>Southern right whales</w:t>
      </w:r>
      <w:r w:rsidR="00F92BED" w:rsidRPr="0067172A">
        <w:rPr>
          <w:rFonts w:ascii="Arial" w:hAnsi="Arial"/>
          <w:sz w:val="22"/>
          <w:szCs w:val="22"/>
        </w:rPr>
        <w:t xml:space="preserve"> tend to be distinctly clumped in aggregation areas (DSEWPC, 2012</w:t>
      </w:r>
      <w:r w:rsidR="00406141">
        <w:rPr>
          <w:rFonts w:ascii="Arial" w:hAnsi="Arial"/>
          <w:sz w:val="22"/>
          <w:szCs w:val="22"/>
        </w:rPr>
        <w:t>b</w:t>
      </w:r>
      <w:r w:rsidR="00F92BED" w:rsidRPr="0067172A">
        <w:rPr>
          <w:rFonts w:ascii="Arial" w:hAnsi="Arial"/>
          <w:sz w:val="22"/>
          <w:szCs w:val="22"/>
        </w:rPr>
        <w:t xml:space="preserve">). Aggregation areas are well known, with the </w:t>
      </w:r>
      <w:r w:rsidR="00101658">
        <w:rPr>
          <w:rFonts w:ascii="Arial" w:hAnsi="Arial"/>
          <w:sz w:val="22"/>
          <w:szCs w:val="22"/>
        </w:rPr>
        <w:t xml:space="preserve">only one in Victoria being at Warrnambool. </w:t>
      </w:r>
      <w:r w:rsidR="00F92BED" w:rsidRPr="0067172A">
        <w:rPr>
          <w:rFonts w:ascii="Arial" w:hAnsi="Arial"/>
          <w:sz w:val="22"/>
          <w:szCs w:val="22"/>
        </w:rPr>
        <w:t xml:space="preserve">A number of additional areas for </w:t>
      </w:r>
      <w:r w:rsidRPr="0067172A">
        <w:rPr>
          <w:rFonts w:ascii="Arial" w:hAnsi="Arial"/>
          <w:sz w:val="22"/>
          <w:szCs w:val="22"/>
        </w:rPr>
        <w:t>southern right whales</w:t>
      </w:r>
      <w:r w:rsidR="00F92BED" w:rsidRPr="0067172A">
        <w:rPr>
          <w:rFonts w:ascii="Arial" w:hAnsi="Arial"/>
          <w:sz w:val="22"/>
          <w:szCs w:val="22"/>
        </w:rPr>
        <w:t xml:space="preserve"> are emerging that might be of importance, particularly to the south-eastern population. In these areas, small but growing numbers of non-calving whales regularly aggregate for short periods of time. These areas include coastal waters off Peterborough, Port Campbell, Port Fairy and Portland in Victoria, located more than 400 km west of the </w:t>
      </w:r>
      <w:r w:rsidRPr="0067172A">
        <w:rPr>
          <w:rFonts w:ascii="Arial" w:hAnsi="Arial"/>
          <w:sz w:val="22"/>
          <w:szCs w:val="22"/>
        </w:rPr>
        <w:t>proposed acquisition</w:t>
      </w:r>
      <w:r w:rsidR="00F92BED" w:rsidRPr="0067172A">
        <w:rPr>
          <w:rFonts w:ascii="Arial" w:hAnsi="Arial"/>
          <w:sz w:val="22"/>
          <w:szCs w:val="22"/>
        </w:rPr>
        <w:t xml:space="preserve"> area, with waters less than 10 m deep preferred (</w:t>
      </w:r>
      <w:r w:rsidR="00625BDE" w:rsidRPr="0067172A">
        <w:rPr>
          <w:rFonts w:ascii="Arial" w:hAnsi="Arial"/>
          <w:sz w:val="22"/>
          <w:szCs w:val="22"/>
        </w:rPr>
        <w:t>DSEWPC, 2012</w:t>
      </w:r>
      <w:r w:rsidR="00625BDE">
        <w:rPr>
          <w:rFonts w:ascii="Arial" w:hAnsi="Arial"/>
          <w:sz w:val="22"/>
          <w:szCs w:val="22"/>
        </w:rPr>
        <w:t>b</w:t>
      </w:r>
      <w:r w:rsidR="00F92BED" w:rsidRPr="0067172A">
        <w:rPr>
          <w:rFonts w:ascii="Arial" w:hAnsi="Arial"/>
          <w:sz w:val="22"/>
          <w:szCs w:val="22"/>
        </w:rPr>
        <w:t xml:space="preserve">). </w:t>
      </w:r>
    </w:p>
    <w:p w14:paraId="6ECFEA1D" w14:textId="77777777" w:rsidR="002A7C9C" w:rsidRPr="002A7C9C" w:rsidRDefault="002A7C9C" w:rsidP="002A7C9C">
      <w:pPr>
        <w:pStyle w:val="bodycopy"/>
        <w:spacing w:after="240"/>
        <w:rPr>
          <w:rFonts w:ascii="Arial" w:hAnsi="Arial"/>
        </w:rPr>
      </w:pPr>
      <w:r w:rsidRPr="002A7C9C">
        <w:rPr>
          <w:rFonts w:ascii="Arial" w:hAnsi="Arial"/>
          <w:sz w:val="22"/>
          <w:szCs w:val="22"/>
        </w:rPr>
        <w:t xml:space="preserve">Esso </w:t>
      </w:r>
      <w:r>
        <w:rPr>
          <w:rFonts w:ascii="Arial" w:hAnsi="Arial"/>
          <w:sz w:val="22"/>
          <w:szCs w:val="22"/>
        </w:rPr>
        <w:t xml:space="preserve">has </w:t>
      </w:r>
      <w:r w:rsidRPr="002A7C9C">
        <w:rPr>
          <w:rFonts w:ascii="Arial" w:hAnsi="Arial"/>
          <w:sz w:val="22"/>
          <w:szCs w:val="22"/>
        </w:rPr>
        <w:t>advise</w:t>
      </w:r>
      <w:r>
        <w:rPr>
          <w:rFonts w:ascii="Arial" w:hAnsi="Arial"/>
          <w:sz w:val="22"/>
          <w:szCs w:val="22"/>
        </w:rPr>
        <w:t>d</w:t>
      </w:r>
      <w:r w:rsidRPr="002A7C9C">
        <w:rPr>
          <w:rFonts w:ascii="Arial" w:hAnsi="Arial"/>
          <w:sz w:val="22"/>
          <w:szCs w:val="22"/>
        </w:rPr>
        <w:t xml:space="preserve"> </w:t>
      </w:r>
      <w:r>
        <w:rPr>
          <w:rFonts w:ascii="Arial" w:hAnsi="Arial"/>
          <w:sz w:val="22"/>
          <w:szCs w:val="22"/>
        </w:rPr>
        <w:t xml:space="preserve">CarbonNet </w:t>
      </w:r>
      <w:r w:rsidRPr="002A7C9C">
        <w:rPr>
          <w:rFonts w:ascii="Arial" w:hAnsi="Arial"/>
          <w:sz w:val="22"/>
          <w:szCs w:val="22"/>
        </w:rPr>
        <w:t>that there have been no sightings of blue whales from their facilities in the last five years (Bok, pers. comm., March 2017).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3D0C39" w14:paraId="5DEE1590" w14:textId="77777777" w:rsidTr="000103F6">
        <w:tc>
          <w:tcPr>
            <w:tcW w:w="8522" w:type="dxa"/>
          </w:tcPr>
          <w:p w14:paraId="741B7F43" w14:textId="7E3F6340" w:rsidR="003D0C39" w:rsidRDefault="009725BE" w:rsidP="000103F6">
            <w:pPr>
              <w:pStyle w:val="bodycopy"/>
              <w:spacing w:after="0"/>
            </w:pPr>
            <w:r w:rsidRPr="00891DE1">
              <w:rPr>
                <w:noProof/>
              </w:rPr>
              <w:lastRenderedPageBreak/>
              <w:drawing>
                <wp:inline distT="0" distB="0" distL="0" distR="0" wp14:anchorId="03F34249" wp14:editId="264293BB">
                  <wp:extent cx="5278120" cy="4259580"/>
                  <wp:effectExtent l="0" t="0" r="5080" b="7620"/>
                  <wp:docPr id="475" name="Picture 475" descr="Screen%20Shot%202017-02-08%20at%2011.53.3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20Shot%202017-02-08%20at%2011.53.37%20am.png"/>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5278120" cy="4259580"/>
                          </a:xfrm>
                          <a:prstGeom prst="rect">
                            <a:avLst/>
                          </a:prstGeom>
                          <a:noFill/>
                          <a:ln>
                            <a:noFill/>
                          </a:ln>
                        </pic:spPr>
                      </pic:pic>
                    </a:graphicData>
                  </a:graphic>
                </wp:inline>
              </w:drawing>
            </w:r>
          </w:p>
        </w:tc>
      </w:tr>
    </w:tbl>
    <w:p w14:paraId="7E4EFC6E" w14:textId="77777777" w:rsidR="00885EE5" w:rsidRPr="0067172A" w:rsidRDefault="00E16AE6" w:rsidP="002C0FD5">
      <w:pPr>
        <w:ind w:left="0"/>
        <w:rPr>
          <w:rFonts w:cs="Arial"/>
          <w:i/>
          <w:sz w:val="16"/>
          <w:szCs w:val="16"/>
        </w:rPr>
      </w:pPr>
      <w:r w:rsidRPr="0067172A">
        <w:rPr>
          <w:rFonts w:cs="Arial"/>
          <w:i/>
          <w:sz w:val="16"/>
          <w:szCs w:val="16"/>
        </w:rPr>
        <w:t xml:space="preserve">Source: </w:t>
      </w:r>
      <w:r w:rsidR="00885EE5" w:rsidRPr="0067172A">
        <w:rPr>
          <w:rFonts w:cs="Arial"/>
          <w:i/>
          <w:sz w:val="16"/>
          <w:szCs w:val="16"/>
        </w:rPr>
        <w:t xml:space="preserve">DSEWPC (2012). </w:t>
      </w:r>
    </w:p>
    <w:p w14:paraId="3736F1C3" w14:textId="6E9BA52A" w:rsidR="00885EE5" w:rsidRPr="0067172A" w:rsidRDefault="00885EE5" w:rsidP="00E16AE6">
      <w:pPr>
        <w:pStyle w:val="TableHeader"/>
        <w:spacing w:after="240"/>
        <w:jc w:val="center"/>
        <w:rPr>
          <w:rFonts w:cs="Arial"/>
          <w:sz w:val="20"/>
          <w:szCs w:val="20"/>
          <w:lang w:val="en-US"/>
        </w:rPr>
      </w:pPr>
      <w:r w:rsidRPr="0067172A">
        <w:rPr>
          <w:rFonts w:cs="Arial"/>
          <w:sz w:val="20"/>
          <w:szCs w:val="20"/>
          <w:lang w:val="en-US"/>
        </w:rPr>
        <w:t xml:space="preserve">Figure </w:t>
      </w:r>
      <w:r w:rsidR="002C0FD5" w:rsidRPr="0067172A">
        <w:rPr>
          <w:rFonts w:cs="Arial"/>
          <w:sz w:val="20"/>
          <w:szCs w:val="20"/>
          <w:lang w:val="en-US"/>
        </w:rPr>
        <w:t>5.</w:t>
      </w:r>
      <w:r w:rsidR="00101658">
        <w:rPr>
          <w:rFonts w:cs="Arial"/>
          <w:sz w:val="20"/>
          <w:szCs w:val="20"/>
          <w:lang w:val="en-US"/>
        </w:rPr>
        <w:t>15</w:t>
      </w:r>
      <w:r w:rsidR="002C0FD5" w:rsidRPr="0067172A">
        <w:rPr>
          <w:rFonts w:cs="Arial"/>
          <w:sz w:val="20"/>
          <w:szCs w:val="20"/>
          <w:lang w:val="en-US"/>
        </w:rPr>
        <w:t>.</w:t>
      </w:r>
      <w:r w:rsidRPr="0067172A">
        <w:rPr>
          <w:rFonts w:cs="Arial"/>
          <w:sz w:val="20"/>
          <w:szCs w:val="20"/>
          <w:lang w:val="en-US"/>
        </w:rPr>
        <w:tab/>
      </w:r>
      <w:r w:rsidR="00E16AE6" w:rsidRPr="0067172A">
        <w:rPr>
          <w:rFonts w:cs="Arial"/>
          <w:sz w:val="20"/>
          <w:szCs w:val="20"/>
          <w:lang w:val="en-US"/>
        </w:rPr>
        <w:t>Southern right whale</w:t>
      </w:r>
      <w:r w:rsidRPr="0067172A">
        <w:rPr>
          <w:rFonts w:cs="Arial"/>
          <w:sz w:val="20"/>
          <w:szCs w:val="20"/>
          <w:lang w:val="en-US"/>
        </w:rPr>
        <w:t xml:space="preserve"> aggregation areas</w:t>
      </w:r>
    </w:p>
    <w:p w14:paraId="51E58B99" w14:textId="62B60564" w:rsidR="00885EE5" w:rsidRPr="0067172A" w:rsidRDefault="00885EE5" w:rsidP="00885EE5">
      <w:pPr>
        <w:pStyle w:val="bodycopy"/>
        <w:rPr>
          <w:rFonts w:ascii="Arial" w:hAnsi="Arial"/>
          <w:sz w:val="22"/>
          <w:szCs w:val="22"/>
        </w:rPr>
      </w:pPr>
      <w:r w:rsidRPr="0067172A">
        <w:rPr>
          <w:rFonts w:ascii="Arial" w:hAnsi="Arial"/>
          <w:sz w:val="22"/>
          <w:szCs w:val="22"/>
        </w:rPr>
        <w:t xml:space="preserve">The closest known calving/nursery grounds to the </w:t>
      </w:r>
      <w:r w:rsidR="00E16AE6" w:rsidRPr="0067172A">
        <w:rPr>
          <w:rFonts w:ascii="Arial" w:hAnsi="Arial"/>
          <w:sz w:val="22"/>
          <w:szCs w:val="22"/>
        </w:rPr>
        <w:t>proposed acquisition</w:t>
      </w:r>
      <w:r w:rsidRPr="0067172A">
        <w:rPr>
          <w:rFonts w:ascii="Arial" w:hAnsi="Arial"/>
          <w:sz w:val="22"/>
          <w:szCs w:val="22"/>
        </w:rPr>
        <w:t xml:space="preserve"> area occurs at Logan’s Beach off the coast of Warrnambool in southwest Victoria (approximately 430 km west of the survey area) and intermittently at Portland (520 km northwest of the survey area) (D</w:t>
      </w:r>
      <w:r w:rsidR="00AC552A">
        <w:rPr>
          <w:rFonts w:ascii="Arial" w:hAnsi="Arial"/>
          <w:sz w:val="22"/>
          <w:szCs w:val="22"/>
        </w:rPr>
        <w:t>SEWPAC</w:t>
      </w:r>
      <w:r w:rsidRPr="0067172A">
        <w:rPr>
          <w:rFonts w:ascii="Arial" w:hAnsi="Arial"/>
          <w:sz w:val="22"/>
          <w:szCs w:val="22"/>
        </w:rPr>
        <w:t>, 20</w:t>
      </w:r>
      <w:r w:rsidR="00AC552A">
        <w:rPr>
          <w:rFonts w:ascii="Arial" w:hAnsi="Arial"/>
          <w:sz w:val="22"/>
          <w:szCs w:val="22"/>
        </w:rPr>
        <w:t>12</w:t>
      </w:r>
      <w:r w:rsidRPr="0067172A">
        <w:rPr>
          <w:rFonts w:ascii="Arial" w:hAnsi="Arial"/>
          <w:sz w:val="22"/>
          <w:szCs w:val="22"/>
        </w:rPr>
        <w:t xml:space="preserve">). </w:t>
      </w:r>
    </w:p>
    <w:p w14:paraId="6E294A8A" w14:textId="7FC77C72" w:rsidR="000103F6" w:rsidRPr="0067172A" w:rsidRDefault="00885EE5" w:rsidP="000103F6">
      <w:pPr>
        <w:pStyle w:val="bodycopy"/>
        <w:rPr>
          <w:rFonts w:ascii="Arial" w:hAnsi="Arial"/>
          <w:sz w:val="22"/>
          <w:szCs w:val="22"/>
        </w:rPr>
      </w:pPr>
      <w:r w:rsidRPr="0067172A">
        <w:rPr>
          <w:rFonts w:ascii="Arial" w:hAnsi="Arial"/>
          <w:sz w:val="22"/>
          <w:szCs w:val="22"/>
        </w:rPr>
        <w:t xml:space="preserve">The National Conservation Values Atlas recognises a BIA for migration/resting on migration for the </w:t>
      </w:r>
      <w:r w:rsidR="00E16AE6" w:rsidRPr="0067172A">
        <w:rPr>
          <w:rFonts w:ascii="Arial" w:hAnsi="Arial"/>
          <w:sz w:val="22"/>
          <w:szCs w:val="22"/>
        </w:rPr>
        <w:t>southern right whale</w:t>
      </w:r>
      <w:r w:rsidRPr="0067172A">
        <w:rPr>
          <w:rFonts w:ascii="Arial" w:hAnsi="Arial"/>
          <w:sz w:val="22"/>
          <w:szCs w:val="22"/>
        </w:rPr>
        <w:t xml:space="preserve"> through all Victorian state waters, including those around the </w:t>
      </w:r>
      <w:r w:rsidR="00E16AE6" w:rsidRPr="0067172A">
        <w:rPr>
          <w:rFonts w:ascii="Arial" w:hAnsi="Arial"/>
          <w:sz w:val="22"/>
          <w:szCs w:val="22"/>
        </w:rPr>
        <w:t>proposed acquisition</w:t>
      </w:r>
      <w:r w:rsidRPr="0067172A">
        <w:rPr>
          <w:rFonts w:ascii="Arial" w:hAnsi="Arial"/>
          <w:sz w:val="22"/>
          <w:szCs w:val="22"/>
        </w:rPr>
        <w:t xml:space="preserve"> area (</w:t>
      </w:r>
      <w:r w:rsidRPr="008E22DD">
        <w:rPr>
          <w:rFonts w:ascii="Arial" w:hAnsi="Arial"/>
          <w:sz w:val="22"/>
          <w:szCs w:val="22"/>
        </w:rPr>
        <w:t xml:space="preserve">Figure </w:t>
      </w:r>
      <w:r w:rsidR="00B25177" w:rsidRPr="008E22DD">
        <w:rPr>
          <w:rFonts w:ascii="Arial" w:hAnsi="Arial"/>
          <w:sz w:val="22"/>
          <w:szCs w:val="22"/>
        </w:rPr>
        <w:t>5.</w:t>
      </w:r>
      <w:r w:rsidR="00101658" w:rsidRPr="008E22DD">
        <w:rPr>
          <w:rFonts w:ascii="Arial" w:hAnsi="Arial"/>
          <w:sz w:val="22"/>
          <w:szCs w:val="22"/>
        </w:rPr>
        <w:t>16</w:t>
      </w:r>
      <w:r w:rsidRPr="008E22DD">
        <w:rPr>
          <w:rFonts w:ascii="Arial" w:hAnsi="Arial"/>
          <w:sz w:val="22"/>
          <w:szCs w:val="22"/>
        </w:rPr>
        <w:t>),</w:t>
      </w:r>
      <w:r w:rsidRPr="0067172A">
        <w:rPr>
          <w:rFonts w:ascii="Arial" w:hAnsi="Arial"/>
          <w:sz w:val="22"/>
          <w:szCs w:val="22"/>
        </w:rPr>
        <w:t xml:space="preserve"> as they are known to generally occur within 2 km of shorelines</w:t>
      </w:r>
      <w:r w:rsidR="00E16AE6" w:rsidRPr="0067172A">
        <w:rPr>
          <w:rFonts w:ascii="Arial" w:hAnsi="Arial"/>
          <w:sz w:val="22"/>
          <w:szCs w:val="22"/>
        </w:rPr>
        <w:t xml:space="preserve"> (DSEWPC, 2012</w:t>
      </w:r>
      <w:r w:rsidR="00406141">
        <w:rPr>
          <w:rFonts w:ascii="Arial" w:hAnsi="Arial"/>
          <w:sz w:val="22"/>
          <w:szCs w:val="22"/>
        </w:rPr>
        <w:t>b</w:t>
      </w:r>
      <w:r w:rsidR="00E16AE6" w:rsidRPr="0067172A">
        <w:rPr>
          <w:rFonts w:ascii="Arial" w:hAnsi="Arial"/>
          <w:sz w:val="22"/>
          <w:szCs w:val="22"/>
        </w:rPr>
        <w:t>)</w:t>
      </w:r>
      <w:r w:rsidRPr="0067172A">
        <w:rPr>
          <w:rFonts w:ascii="Arial" w:hAnsi="Arial"/>
          <w:sz w:val="22"/>
          <w:szCs w:val="22"/>
        </w:rPr>
        <w:t>.</w:t>
      </w:r>
    </w:p>
    <w:p w14:paraId="1ECA67E0" w14:textId="40A6DE66" w:rsidR="0067172A" w:rsidRPr="0067172A" w:rsidRDefault="0067172A" w:rsidP="00885EE5">
      <w:pPr>
        <w:pStyle w:val="bodycopy"/>
        <w:rPr>
          <w:rFonts w:ascii="Arial" w:hAnsi="Arial"/>
          <w:sz w:val="22"/>
          <w:szCs w:val="22"/>
        </w:rPr>
        <w:sectPr w:rsidR="0067172A" w:rsidRPr="0067172A" w:rsidSect="00C72255">
          <w:headerReference w:type="even" r:id="rId127"/>
          <w:headerReference w:type="default" r:id="rId128"/>
          <w:footerReference w:type="default" r:id="rId129"/>
          <w:headerReference w:type="first" r:id="rId130"/>
          <w:pgSz w:w="11906" w:h="16838" w:code="9"/>
          <w:pgMar w:top="1384" w:right="1800" w:bottom="1440" w:left="1800" w:header="994" w:footer="706" w:gutter="0"/>
          <w:cols w:space="708"/>
          <w:docGrid w:linePitch="360"/>
        </w:sectPr>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590"/>
      </w:tblGrid>
      <w:tr w:rsidR="00885EE5" w14:paraId="0C6C16BC" w14:textId="77777777" w:rsidTr="000103F6">
        <w:trPr>
          <w:jc w:val="center"/>
        </w:trPr>
        <w:tc>
          <w:tcPr>
            <w:tcW w:w="11590" w:type="dxa"/>
            <w:shd w:val="clear" w:color="auto" w:fill="auto"/>
          </w:tcPr>
          <w:p w14:paraId="24EF53BC" w14:textId="035D8BC3" w:rsidR="002A7C9C" w:rsidRDefault="00AD1C4D" w:rsidP="00514376">
            <w:pPr>
              <w:pStyle w:val="bodycopy"/>
              <w:spacing w:before="40" w:after="40"/>
            </w:pPr>
            <w:r>
              <w:lastRenderedPageBreak/>
              <w:pict w14:anchorId="3CA0F40C">
                <v:shape id="_x0000_i1032" type="#_x0000_t75" style="width:558.4pt;height:388.85pt">
                  <v:imagedata r:id="rId131" o:title="26c_EP_Biologically_Important_Areas_Batch_1_Southern Right Whale" croptop="1390f" cropbottom="2045f" cropleft="1368f" cropright="910f"/>
                </v:shape>
              </w:pict>
            </w:r>
          </w:p>
        </w:tc>
      </w:tr>
    </w:tbl>
    <w:p w14:paraId="29B0F00F" w14:textId="715F2052" w:rsidR="00885EE5" w:rsidRPr="002A7C9C" w:rsidRDefault="00885EE5" w:rsidP="00C47DCA">
      <w:pPr>
        <w:spacing w:line="240" w:lineRule="auto"/>
        <w:ind w:firstLine="720"/>
        <w:rPr>
          <w:rFonts w:cs="Arial"/>
          <w:i/>
          <w:sz w:val="16"/>
          <w:szCs w:val="16"/>
        </w:rPr>
      </w:pPr>
      <w:r w:rsidRPr="002A7C9C">
        <w:rPr>
          <w:rFonts w:cs="Arial"/>
          <w:i/>
          <w:sz w:val="16"/>
          <w:szCs w:val="16"/>
        </w:rPr>
        <w:t>Source: National Conservation Atlas (</w:t>
      </w:r>
      <w:r w:rsidR="000E7E9E">
        <w:rPr>
          <w:rFonts w:cs="Arial"/>
          <w:i/>
          <w:sz w:val="16"/>
          <w:szCs w:val="16"/>
        </w:rPr>
        <w:t xml:space="preserve">DoEE, </w:t>
      </w:r>
      <w:r w:rsidRPr="002A7C9C">
        <w:rPr>
          <w:rFonts w:cs="Arial"/>
          <w:i/>
          <w:sz w:val="16"/>
          <w:szCs w:val="16"/>
        </w:rPr>
        <w:t>201</w:t>
      </w:r>
      <w:r w:rsidR="000E7E9E">
        <w:rPr>
          <w:rFonts w:cs="Arial"/>
          <w:i/>
          <w:sz w:val="16"/>
          <w:szCs w:val="16"/>
        </w:rPr>
        <w:t>7a</w:t>
      </w:r>
      <w:r w:rsidRPr="002A7C9C">
        <w:rPr>
          <w:rFonts w:cs="Arial"/>
          <w:i/>
          <w:sz w:val="16"/>
          <w:szCs w:val="16"/>
        </w:rPr>
        <w:t xml:space="preserve">). </w:t>
      </w:r>
    </w:p>
    <w:p w14:paraId="03F6270D" w14:textId="3E6D8815" w:rsidR="00885EE5" w:rsidRPr="002A7C9C" w:rsidRDefault="00885EE5" w:rsidP="00E16AE6">
      <w:pPr>
        <w:pStyle w:val="TableHeader"/>
        <w:spacing w:after="240"/>
        <w:jc w:val="center"/>
        <w:rPr>
          <w:rFonts w:cs="Arial"/>
          <w:sz w:val="20"/>
          <w:szCs w:val="20"/>
          <w:lang w:val="en-US"/>
        </w:rPr>
      </w:pPr>
      <w:r w:rsidRPr="002A7C9C">
        <w:rPr>
          <w:rFonts w:cs="Arial"/>
          <w:sz w:val="20"/>
          <w:szCs w:val="20"/>
          <w:lang w:val="en-US"/>
        </w:rPr>
        <w:t xml:space="preserve">Figure </w:t>
      </w:r>
      <w:r w:rsidR="002C0FD5" w:rsidRPr="002A7C9C">
        <w:rPr>
          <w:rFonts w:cs="Arial"/>
          <w:sz w:val="20"/>
          <w:szCs w:val="20"/>
          <w:lang w:val="en-US"/>
        </w:rPr>
        <w:t>5.</w:t>
      </w:r>
      <w:r w:rsidR="00101658">
        <w:rPr>
          <w:rFonts w:cs="Arial"/>
          <w:sz w:val="20"/>
          <w:szCs w:val="20"/>
          <w:lang w:val="en-US"/>
        </w:rPr>
        <w:t>16</w:t>
      </w:r>
      <w:r w:rsidR="002C0FD5" w:rsidRPr="002A7C9C">
        <w:rPr>
          <w:rFonts w:cs="Arial"/>
          <w:sz w:val="20"/>
          <w:szCs w:val="20"/>
          <w:lang w:val="en-US"/>
        </w:rPr>
        <w:t>.</w:t>
      </w:r>
      <w:r w:rsidRPr="002A7C9C">
        <w:rPr>
          <w:rFonts w:cs="Arial"/>
          <w:sz w:val="20"/>
          <w:szCs w:val="20"/>
          <w:lang w:val="en-US"/>
        </w:rPr>
        <w:tab/>
      </w:r>
      <w:r w:rsidR="00E16AE6" w:rsidRPr="002A7C9C">
        <w:rPr>
          <w:rFonts w:cs="Arial"/>
          <w:sz w:val="20"/>
          <w:szCs w:val="20"/>
          <w:lang w:val="en-US"/>
        </w:rPr>
        <w:t>Southern right whale</w:t>
      </w:r>
      <w:r w:rsidRPr="002A7C9C">
        <w:rPr>
          <w:rFonts w:cs="Arial"/>
          <w:sz w:val="20"/>
          <w:szCs w:val="20"/>
          <w:lang w:val="en-US"/>
        </w:rPr>
        <w:t xml:space="preserve"> BIA</w:t>
      </w:r>
    </w:p>
    <w:p w14:paraId="52231527" w14:textId="77777777" w:rsidR="0067172A" w:rsidRDefault="0067172A" w:rsidP="00885EE5">
      <w:pPr>
        <w:pStyle w:val="bodycopy"/>
        <w:rPr>
          <w:rFonts w:ascii="Arial" w:hAnsi="Arial"/>
          <w:sz w:val="22"/>
          <w:szCs w:val="22"/>
        </w:rPr>
        <w:sectPr w:rsidR="0067172A" w:rsidSect="000103F6">
          <w:headerReference w:type="even" r:id="rId132"/>
          <w:headerReference w:type="default" r:id="rId133"/>
          <w:footerReference w:type="default" r:id="rId134"/>
          <w:headerReference w:type="first" r:id="rId135"/>
          <w:pgSz w:w="16838" w:h="11906" w:orient="landscape" w:code="9"/>
          <w:pgMar w:top="1800" w:right="1384" w:bottom="1560" w:left="1440" w:header="994" w:footer="706" w:gutter="0"/>
          <w:cols w:space="708"/>
          <w:docGrid w:linePitch="360"/>
        </w:sectPr>
      </w:pPr>
    </w:p>
    <w:p w14:paraId="5A752C36" w14:textId="412CA5C6" w:rsidR="000103F6" w:rsidRPr="0067172A" w:rsidRDefault="000103F6" w:rsidP="000103F6">
      <w:pPr>
        <w:pStyle w:val="bodycopy"/>
        <w:rPr>
          <w:rFonts w:ascii="Arial" w:hAnsi="Arial"/>
          <w:sz w:val="22"/>
          <w:szCs w:val="22"/>
        </w:rPr>
      </w:pPr>
      <w:r w:rsidRPr="0067172A">
        <w:rPr>
          <w:rFonts w:ascii="Arial" w:hAnsi="Arial"/>
          <w:sz w:val="22"/>
          <w:szCs w:val="22"/>
        </w:rPr>
        <w:lastRenderedPageBreak/>
        <w:t>However, a defined near-shore coastal migration corridor is considered unlikely given the absence of any predictable directional movement for the species (DSEWPC, 2012</w:t>
      </w:r>
      <w:r w:rsidR="00406141">
        <w:rPr>
          <w:rFonts w:ascii="Arial" w:hAnsi="Arial"/>
          <w:sz w:val="22"/>
          <w:szCs w:val="22"/>
        </w:rPr>
        <w:t>b</w:t>
      </w:r>
      <w:r w:rsidRPr="0067172A">
        <w:rPr>
          <w:rFonts w:ascii="Arial" w:hAnsi="Arial"/>
          <w:sz w:val="22"/>
          <w:szCs w:val="22"/>
        </w:rPr>
        <w:t xml:space="preserve">). </w:t>
      </w:r>
    </w:p>
    <w:p w14:paraId="0C48A882" w14:textId="355268E8" w:rsidR="000103F6" w:rsidRDefault="000103F6" w:rsidP="000103F6">
      <w:pPr>
        <w:pStyle w:val="bodycopy"/>
        <w:rPr>
          <w:rFonts w:ascii="Arial" w:hAnsi="Arial"/>
          <w:sz w:val="22"/>
          <w:szCs w:val="22"/>
        </w:rPr>
      </w:pPr>
      <w:r w:rsidRPr="0067172A">
        <w:rPr>
          <w:rFonts w:ascii="Arial" w:hAnsi="Arial"/>
          <w:sz w:val="22"/>
          <w:szCs w:val="22"/>
        </w:rPr>
        <w:t>Critical habitat for the southern right whale is not defined under the EPBC Act (DSEWPC, 2012</w:t>
      </w:r>
      <w:r w:rsidR="00406141">
        <w:rPr>
          <w:rFonts w:ascii="Arial" w:hAnsi="Arial"/>
          <w:sz w:val="22"/>
          <w:szCs w:val="22"/>
        </w:rPr>
        <w:t>b</w:t>
      </w:r>
      <w:r w:rsidRPr="0067172A">
        <w:rPr>
          <w:rFonts w:ascii="Arial" w:hAnsi="Arial"/>
          <w:sz w:val="22"/>
          <w:szCs w:val="22"/>
        </w:rPr>
        <w:t xml:space="preserve">), though the BIA (aggregation area) illustrated </w:t>
      </w:r>
      <w:r w:rsidRPr="005A4D26">
        <w:rPr>
          <w:rFonts w:ascii="Arial" w:hAnsi="Arial"/>
          <w:sz w:val="22"/>
          <w:szCs w:val="22"/>
        </w:rPr>
        <w:t xml:space="preserve">in </w:t>
      </w:r>
      <w:r w:rsidRPr="002330FD">
        <w:rPr>
          <w:rFonts w:ascii="Arial" w:hAnsi="Arial"/>
          <w:sz w:val="22"/>
          <w:szCs w:val="22"/>
        </w:rPr>
        <w:t>Figure 5.</w:t>
      </w:r>
      <w:r w:rsidR="00101658" w:rsidRPr="002330FD">
        <w:rPr>
          <w:rFonts w:ascii="Arial" w:hAnsi="Arial"/>
          <w:sz w:val="22"/>
          <w:szCs w:val="22"/>
        </w:rPr>
        <w:t>15</w:t>
      </w:r>
      <w:r w:rsidRPr="00101658">
        <w:rPr>
          <w:rFonts w:ascii="Arial" w:hAnsi="Arial"/>
          <w:color w:val="0432FF"/>
          <w:sz w:val="22"/>
          <w:szCs w:val="22"/>
        </w:rPr>
        <w:t xml:space="preserve"> </w:t>
      </w:r>
      <w:r w:rsidRPr="0067172A">
        <w:rPr>
          <w:rFonts w:ascii="Arial" w:hAnsi="Arial"/>
          <w:sz w:val="22"/>
          <w:szCs w:val="22"/>
        </w:rPr>
        <w:t>(around Warrnambool) may be considered critical habitat given that female southern right whales show calving site fidelity, which combined with their low and slow reproductive rate, make calving sites of critical importance to the species recovery (DSEWPC, 2012</w:t>
      </w:r>
      <w:r w:rsidR="00406141">
        <w:rPr>
          <w:rFonts w:ascii="Arial" w:hAnsi="Arial"/>
          <w:sz w:val="22"/>
          <w:szCs w:val="22"/>
        </w:rPr>
        <w:t>b</w:t>
      </w:r>
      <w:r w:rsidRPr="0067172A">
        <w:rPr>
          <w:rFonts w:ascii="Arial" w:hAnsi="Arial"/>
          <w:sz w:val="22"/>
          <w:szCs w:val="22"/>
        </w:rPr>
        <w:t>)</w:t>
      </w:r>
      <w:r>
        <w:rPr>
          <w:rFonts w:ascii="Arial" w:hAnsi="Arial"/>
          <w:sz w:val="22"/>
          <w:szCs w:val="22"/>
        </w:rPr>
        <w:t>.</w:t>
      </w:r>
    </w:p>
    <w:p w14:paraId="1544C8A9" w14:textId="3A94712E" w:rsidR="00885EE5" w:rsidRPr="002A7C9C" w:rsidRDefault="00885EE5" w:rsidP="00885EE5">
      <w:pPr>
        <w:pStyle w:val="bodycopy"/>
        <w:rPr>
          <w:rFonts w:ascii="Arial" w:hAnsi="Arial"/>
          <w:sz w:val="22"/>
          <w:szCs w:val="22"/>
          <w:u w:val="single"/>
        </w:rPr>
      </w:pPr>
      <w:r w:rsidRPr="002A7C9C">
        <w:rPr>
          <w:rFonts w:ascii="Arial" w:hAnsi="Arial"/>
          <w:sz w:val="22"/>
          <w:szCs w:val="22"/>
        </w:rPr>
        <w:t xml:space="preserve">Due to the uncertainties associated with the exact migratory paths in eastern Bass Strait, there is a low potential that </w:t>
      </w:r>
      <w:r w:rsidR="00D97A08">
        <w:rPr>
          <w:rFonts w:ascii="Arial" w:hAnsi="Arial"/>
          <w:sz w:val="22"/>
          <w:szCs w:val="22"/>
        </w:rPr>
        <w:t>southern right whales</w:t>
      </w:r>
      <w:r w:rsidRPr="002A7C9C">
        <w:rPr>
          <w:rFonts w:ascii="Arial" w:hAnsi="Arial"/>
          <w:sz w:val="22"/>
          <w:szCs w:val="22"/>
        </w:rPr>
        <w:t xml:space="preserve"> may be encounter</w:t>
      </w:r>
      <w:r w:rsidR="005320D7">
        <w:rPr>
          <w:rFonts w:ascii="Arial" w:hAnsi="Arial"/>
          <w:sz w:val="22"/>
          <w:szCs w:val="22"/>
        </w:rPr>
        <w:t>ed through the survey area and E</w:t>
      </w:r>
      <w:r w:rsidRPr="002A7C9C">
        <w:rPr>
          <w:rFonts w:ascii="Arial" w:hAnsi="Arial"/>
          <w:sz w:val="22"/>
          <w:szCs w:val="22"/>
        </w:rPr>
        <w:t>MBA between May and October</w:t>
      </w:r>
      <w:r w:rsidR="00E16AE6" w:rsidRPr="002A7C9C">
        <w:rPr>
          <w:rFonts w:ascii="Arial" w:hAnsi="Arial"/>
          <w:sz w:val="22"/>
          <w:szCs w:val="22"/>
        </w:rPr>
        <w:t xml:space="preserve"> (outside of the proposed survey period)</w:t>
      </w:r>
      <w:r w:rsidRPr="002A7C9C">
        <w:rPr>
          <w:rFonts w:ascii="Arial" w:hAnsi="Arial"/>
          <w:sz w:val="22"/>
          <w:szCs w:val="22"/>
        </w:rPr>
        <w:t xml:space="preserve">. </w:t>
      </w:r>
    </w:p>
    <w:p w14:paraId="0AD2B1F2" w14:textId="6873BAEA" w:rsidR="00885EE5" w:rsidRPr="002A7C9C" w:rsidRDefault="00885EE5" w:rsidP="00885EE5">
      <w:pPr>
        <w:pStyle w:val="bodycopy"/>
        <w:rPr>
          <w:rFonts w:ascii="Arial" w:hAnsi="Arial"/>
          <w:b/>
          <w:sz w:val="22"/>
          <w:szCs w:val="22"/>
        </w:rPr>
      </w:pPr>
      <w:r w:rsidRPr="002A7C9C">
        <w:rPr>
          <w:rFonts w:ascii="Arial" w:hAnsi="Arial"/>
          <w:b/>
          <w:sz w:val="22"/>
          <w:szCs w:val="22"/>
        </w:rPr>
        <w:t xml:space="preserve">Humpback whale </w:t>
      </w:r>
      <w:r w:rsidR="00E16AE6" w:rsidRPr="002A7C9C">
        <w:rPr>
          <w:rFonts w:ascii="Arial" w:hAnsi="Arial"/>
          <w:b/>
          <w:sz w:val="22"/>
          <w:szCs w:val="22"/>
        </w:rPr>
        <w:t>(</w:t>
      </w:r>
      <w:r w:rsidR="00E16AE6" w:rsidRPr="002A7C9C">
        <w:rPr>
          <w:rFonts w:ascii="Arial" w:hAnsi="Arial"/>
          <w:b/>
          <w:i/>
          <w:sz w:val="22"/>
          <w:szCs w:val="22"/>
        </w:rPr>
        <w:t>Megaptera novaeangliae</w:t>
      </w:r>
      <w:r w:rsidR="00E16AE6" w:rsidRPr="002A7C9C">
        <w:rPr>
          <w:rFonts w:ascii="Arial" w:hAnsi="Arial"/>
          <w:b/>
          <w:sz w:val="22"/>
          <w:szCs w:val="22"/>
        </w:rPr>
        <w:t xml:space="preserve">) </w:t>
      </w:r>
      <w:r w:rsidRPr="002A7C9C">
        <w:rPr>
          <w:rFonts w:ascii="Arial" w:hAnsi="Arial"/>
          <w:b/>
          <w:sz w:val="22"/>
          <w:szCs w:val="22"/>
        </w:rPr>
        <w:t>(</w:t>
      </w:r>
      <w:r w:rsidR="006A7CDA">
        <w:rPr>
          <w:rFonts w:ascii="Arial" w:hAnsi="Arial"/>
          <w:b/>
          <w:sz w:val="22"/>
          <w:szCs w:val="22"/>
        </w:rPr>
        <w:t xml:space="preserve">EPBC Act: </w:t>
      </w:r>
      <w:r w:rsidR="00DF520A" w:rsidRPr="002A7C9C">
        <w:rPr>
          <w:rFonts w:ascii="Arial" w:hAnsi="Arial"/>
          <w:b/>
          <w:sz w:val="22"/>
          <w:szCs w:val="22"/>
        </w:rPr>
        <w:t>V</w:t>
      </w:r>
      <w:r w:rsidRPr="002A7C9C">
        <w:rPr>
          <w:rFonts w:ascii="Arial" w:hAnsi="Arial"/>
          <w:b/>
          <w:sz w:val="22"/>
          <w:szCs w:val="22"/>
        </w:rPr>
        <w:t xml:space="preserve">ulnerable, </w:t>
      </w:r>
      <w:r w:rsidR="006A7CDA">
        <w:rPr>
          <w:rFonts w:ascii="Arial" w:hAnsi="Arial"/>
          <w:b/>
          <w:sz w:val="22"/>
          <w:szCs w:val="22"/>
        </w:rPr>
        <w:t xml:space="preserve">listed </w:t>
      </w:r>
      <w:r w:rsidRPr="002A7C9C">
        <w:rPr>
          <w:rFonts w:ascii="Arial" w:hAnsi="Arial"/>
          <w:b/>
          <w:sz w:val="22"/>
          <w:szCs w:val="22"/>
        </w:rPr>
        <w:t>migratory</w:t>
      </w:r>
      <w:r w:rsidR="006A7CDA">
        <w:rPr>
          <w:rFonts w:ascii="Arial" w:hAnsi="Arial"/>
          <w:b/>
          <w:sz w:val="22"/>
          <w:szCs w:val="22"/>
        </w:rPr>
        <w:t>, FFG Act: Threatened</w:t>
      </w:r>
      <w:r w:rsidRPr="002A7C9C">
        <w:rPr>
          <w:rFonts w:ascii="Arial" w:hAnsi="Arial"/>
          <w:b/>
          <w:sz w:val="22"/>
          <w:szCs w:val="22"/>
        </w:rPr>
        <w:t>)</w:t>
      </w:r>
    </w:p>
    <w:p w14:paraId="50014D61" w14:textId="3300D20D" w:rsidR="00EC089E" w:rsidRPr="002A7C9C" w:rsidRDefault="00885EE5" w:rsidP="00885EE5">
      <w:pPr>
        <w:pStyle w:val="bodycopy"/>
        <w:rPr>
          <w:rFonts w:ascii="Arial" w:hAnsi="Arial"/>
          <w:sz w:val="22"/>
          <w:szCs w:val="22"/>
        </w:rPr>
      </w:pPr>
      <w:r w:rsidRPr="002A7C9C">
        <w:rPr>
          <w:rFonts w:ascii="Arial" w:hAnsi="Arial"/>
          <w:sz w:val="22"/>
          <w:szCs w:val="22"/>
        </w:rPr>
        <w:t xml:space="preserve">The humpback whale is a moderately large </w:t>
      </w:r>
      <w:r w:rsidR="00EC089E" w:rsidRPr="002A7C9C">
        <w:rPr>
          <w:rFonts w:ascii="Arial" w:hAnsi="Arial"/>
          <w:sz w:val="22"/>
          <w:szCs w:val="22"/>
        </w:rPr>
        <w:t xml:space="preserve">(15-18 m long) </w:t>
      </w:r>
      <w:r w:rsidRPr="002A7C9C">
        <w:rPr>
          <w:rFonts w:ascii="Arial" w:hAnsi="Arial"/>
          <w:sz w:val="22"/>
          <w:szCs w:val="22"/>
        </w:rPr>
        <w:t xml:space="preserve">baleen whale that has a worldwide distribution but geographic segregation. In the 19th and 20th centuries, humpback whales were hunted extensively throughout the world’s oceans and as a result it is estimated that 95% of the population was eliminated. In Australia, </w:t>
      </w:r>
      <w:r w:rsidR="00CB6D57">
        <w:rPr>
          <w:rFonts w:ascii="Arial" w:hAnsi="Arial"/>
          <w:sz w:val="22"/>
          <w:szCs w:val="22"/>
        </w:rPr>
        <w:t>commercial whaling of humpback whales ceased in 1963 and until this time, i</w:t>
      </w:r>
      <w:r w:rsidRPr="002A7C9C">
        <w:rPr>
          <w:rFonts w:ascii="Arial" w:hAnsi="Arial"/>
          <w:sz w:val="22"/>
          <w:szCs w:val="22"/>
        </w:rPr>
        <w:t>t is estimated that humpback whales were reduced to between 3.5 and 5% of pre-whaling abundance</w:t>
      </w:r>
      <w:r w:rsidR="00CB6D57">
        <w:rPr>
          <w:rFonts w:ascii="Arial" w:hAnsi="Arial"/>
          <w:sz w:val="22"/>
          <w:szCs w:val="22"/>
        </w:rPr>
        <w:t xml:space="preserve"> (TSSC, 2015</w:t>
      </w:r>
      <w:r w:rsidR="00A53CA3">
        <w:rPr>
          <w:rFonts w:ascii="Arial" w:hAnsi="Arial"/>
          <w:sz w:val="22"/>
          <w:szCs w:val="22"/>
        </w:rPr>
        <w:t>e</w:t>
      </w:r>
      <w:r w:rsidR="00CB6D57">
        <w:rPr>
          <w:rFonts w:ascii="Arial" w:hAnsi="Arial"/>
          <w:sz w:val="22"/>
          <w:szCs w:val="22"/>
        </w:rPr>
        <w:t>)</w:t>
      </w:r>
      <w:r w:rsidRPr="002A7C9C">
        <w:rPr>
          <w:rFonts w:ascii="Arial" w:hAnsi="Arial"/>
          <w:sz w:val="22"/>
          <w:szCs w:val="22"/>
        </w:rPr>
        <w:t xml:space="preserve">. </w:t>
      </w:r>
    </w:p>
    <w:p w14:paraId="5D02727B" w14:textId="773CF231" w:rsidR="00885EE5" w:rsidRPr="002A7C9C" w:rsidRDefault="00885EE5" w:rsidP="00885EE5">
      <w:pPr>
        <w:pStyle w:val="bodycopy"/>
        <w:rPr>
          <w:rFonts w:ascii="Arial" w:hAnsi="Arial"/>
          <w:sz w:val="22"/>
          <w:szCs w:val="22"/>
        </w:rPr>
      </w:pPr>
      <w:r w:rsidRPr="002A7C9C">
        <w:rPr>
          <w:rFonts w:ascii="Arial" w:hAnsi="Arial"/>
          <w:sz w:val="22"/>
          <w:szCs w:val="22"/>
        </w:rPr>
        <w:t xml:space="preserve">The </w:t>
      </w:r>
      <w:r w:rsidR="00EC089E" w:rsidRPr="002A7C9C">
        <w:rPr>
          <w:rFonts w:ascii="Arial" w:hAnsi="Arial"/>
          <w:sz w:val="22"/>
          <w:szCs w:val="22"/>
        </w:rPr>
        <w:t>TSSC</w:t>
      </w:r>
      <w:r w:rsidRPr="002A7C9C">
        <w:rPr>
          <w:rFonts w:ascii="Arial" w:hAnsi="Arial"/>
          <w:sz w:val="22"/>
          <w:szCs w:val="22"/>
        </w:rPr>
        <w:t xml:space="preserve"> (2015</w:t>
      </w:r>
      <w:r w:rsidR="00A53CA3">
        <w:rPr>
          <w:rFonts w:ascii="Arial" w:hAnsi="Arial"/>
          <w:sz w:val="22"/>
          <w:szCs w:val="22"/>
        </w:rPr>
        <w:t>e</w:t>
      </w:r>
      <w:r w:rsidRPr="002A7C9C">
        <w:rPr>
          <w:rFonts w:ascii="Arial" w:hAnsi="Arial"/>
          <w:sz w:val="22"/>
          <w:szCs w:val="22"/>
        </w:rPr>
        <w:t>) states that a 2012 and 2014 review of the conservation status of the species considered that it no longer meets any criteria for listing as threatened under the EPBC Act</w:t>
      </w:r>
      <w:r w:rsidR="00EC089E" w:rsidRPr="002A7C9C">
        <w:rPr>
          <w:rFonts w:ascii="Arial" w:hAnsi="Arial"/>
          <w:sz w:val="22"/>
          <w:szCs w:val="22"/>
        </w:rPr>
        <w:t>, though it remains listed as vulnerable</w:t>
      </w:r>
      <w:r w:rsidRPr="002A7C9C">
        <w:rPr>
          <w:rFonts w:ascii="Arial" w:hAnsi="Arial"/>
          <w:sz w:val="22"/>
          <w:szCs w:val="22"/>
        </w:rPr>
        <w:t>.</w:t>
      </w:r>
    </w:p>
    <w:p w14:paraId="41EEB645" w14:textId="1ED776A3" w:rsidR="00885EE5" w:rsidRPr="002A7C9C" w:rsidRDefault="00885EE5" w:rsidP="00885EE5">
      <w:pPr>
        <w:pStyle w:val="bodycopy"/>
        <w:rPr>
          <w:rFonts w:ascii="Arial" w:hAnsi="Arial"/>
          <w:sz w:val="22"/>
          <w:szCs w:val="22"/>
        </w:rPr>
      </w:pPr>
      <w:r w:rsidRPr="002A7C9C">
        <w:rPr>
          <w:rFonts w:ascii="Arial" w:hAnsi="Arial"/>
          <w:sz w:val="22"/>
          <w:szCs w:val="22"/>
        </w:rPr>
        <w:t>Humpback whales are found in Australian offshore and Antarctic waters. They primarily feed on krill in Antarctic waters south of 55°S. The eastern Australian population of humpback whales is referred to as Group E1 by the International Whaling Commission, one of seven distinct breeding stocks in the southern hemisphere (</w:t>
      </w:r>
      <w:r w:rsidR="00EC089E" w:rsidRPr="002A7C9C">
        <w:rPr>
          <w:rFonts w:ascii="Arial" w:hAnsi="Arial"/>
          <w:sz w:val="22"/>
          <w:szCs w:val="22"/>
        </w:rPr>
        <w:t xml:space="preserve">TSSC, </w:t>
      </w:r>
      <w:r w:rsidRPr="002A7C9C">
        <w:rPr>
          <w:rFonts w:ascii="Arial" w:hAnsi="Arial"/>
          <w:sz w:val="22"/>
          <w:szCs w:val="22"/>
        </w:rPr>
        <w:t>2015</w:t>
      </w:r>
      <w:r w:rsidR="00A53CA3">
        <w:rPr>
          <w:rFonts w:ascii="Arial" w:hAnsi="Arial"/>
          <w:sz w:val="22"/>
          <w:szCs w:val="22"/>
        </w:rPr>
        <w:t>e</w:t>
      </w:r>
      <w:r w:rsidRPr="002A7C9C">
        <w:rPr>
          <w:rFonts w:ascii="Arial" w:hAnsi="Arial"/>
          <w:sz w:val="22"/>
          <w:szCs w:val="22"/>
        </w:rPr>
        <w:t>).</w:t>
      </w:r>
    </w:p>
    <w:p w14:paraId="7DD349E2" w14:textId="5893ED06" w:rsidR="00885EE5" w:rsidRPr="002330FD" w:rsidRDefault="00885EE5" w:rsidP="00EC089E">
      <w:pPr>
        <w:pStyle w:val="bodycopy"/>
        <w:spacing w:after="240"/>
        <w:rPr>
          <w:rFonts w:ascii="Arial" w:hAnsi="Arial"/>
          <w:sz w:val="22"/>
          <w:szCs w:val="22"/>
        </w:rPr>
      </w:pPr>
      <w:r w:rsidRPr="002A7C9C">
        <w:rPr>
          <w:rFonts w:ascii="Arial" w:hAnsi="Arial"/>
          <w:sz w:val="22"/>
          <w:szCs w:val="22"/>
        </w:rPr>
        <w:t>Bass Strait represents part of the core range of the E1 Group, but feeding, resting or calving is not known to occur in Bass Strait (</w:t>
      </w:r>
      <w:r w:rsidR="00EC089E" w:rsidRPr="002A7C9C">
        <w:rPr>
          <w:rFonts w:ascii="Arial" w:hAnsi="Arial"/>
          <w:sz w:val="22"/>
          <w:szCs w:val="22"/>
        </w:rPr>
        <w:t>TSSC</w:t>
      </w:r>
      <w:r w:rsidRPr="002A7C9C">
        <w:rPr>
          <w:rFonts w:ascii="Arial" w:hAnsi="Arial"/>
          <w:sz w:val="22"/>
          <w:szCs w:val="22"/>
        </w:rPr>
        <w:t>, 2015</w:t>
      </w:r>
      <w:r w:rsidR="00A53CA3">
        <w:rPr>
          <w:rFonts w:ascii="Arial" w:hAnsi="Arial"/>
          <w:sz w:val="22"/>
          <w:szCs w:val="22"/>
        </w:rPr>
        <w:t>e</w:t>
      </w:r>
      <w:r w:rsidRPr="002A7C9C">
        <w:rPr>
          <w:rFonts w:ascii="Arial" w:hAnsi="Arial"/>
          <w:sz w:val="22"/>
          <w:szCs w:val="22"/>
        </w:rPr>
        <w:t xml:space="preserve">), though migration through Bass Strait </w:t>
      </w:r>
      <w:r w:rsidRPr="005A4D26">
        <w:rPr>
          <w:rFonts w:ascii="Arial" w:hAnsi="Arial"/>
          <w:sz w:val="22"/>
          <w:szCs w:val="22"/>
        </w:rPr>
        <w:t xml:space="preserve">may </w:t>
      </w:r>
      <w:r w:rsidRPr="002330FD">
        <w:rPr>
          <w:rFonts w:ascii="Arial" w:hAnsi="Arial"/>
          <w:sz w:val="22"/>
          <w:szCs w:val="22"/>
        </w:rPr>
        <w:t xml:space="preserve">occur (Figure </w:t>
      </w:r>
      <w:r w:rsidR="00B25177" w:rsidRPr="002330FD">
        <w:rPr>
          <w:rFonts w:ascii="Arial" w:hAnsi="Arial"/>
          <w:sz w:val="22"/>
          <w:szCs w:val="22"/>
        </w:rPr>
        <w:t>5.</w:t>
      </w:r>
      <w:r w:rsidR="00FD1E32" w:rsidRPr="002330FD">
        <w:rPr>
          <w:rFonts w:ascii="Arial" w:hAnsi="Arial"/>
          <w:sz w:val="22"/>
          <w:szCs w:val="22"/>
        </w:rPr>
        <w:t>17</w:t>
      </w:r>
      <w:r w:rsidRPr="002330FD">
        <w:rPr>
          <w:rFonts w:ascii="Arial" w:hAnsi="Arial"/>
          <w:sz w:val="22"/>
          <w:szCs w:val="22"/>
        </w:rPr>
        <w:t xml:space="preserve">). The nearest area that humpback whales are known to </w:t>
      </w:r>
      <w:r w:rsidR="00BC2436" w:rsidRPr="002330FD">
        <w:rPr>
          <w:rFonts w:ascii="Arial" w:hAnsi="Arial"/>
          <w:sz w:val="22"/>
          <w:szCs w:val="22"/>
        </w:rPr>
        <w:t>congregate (forage)</w:t>
      </w:r>
      <w:r w:rsidRPr="002330FD">
        <w:rPr>
          <w:rFonts w:ascii="Arial" w:hAnsi="Arial"/>
          <w:sz w:val="22"/>
          <w:szCs w:val="22"/>
        </w:rPr>
        <w:t xml:space="preserve"> i</w:t>
      </w:r>
      <w:r w:rsidR="00BC2436" w:rsidRPr="002330FD">
        <w:rPr>
          <w:rFonts w:ascii="Arial" w:hAnsi="Arial"/>
          <w:sz w:val="22"/>
          <w:szCs w:val="22"/>
        </w:rPr>
        <w:t>s</w:t>
      </w:r>
      <w:r w:rsidRPr="002330FD">
        <w:rPr>
          <w:rFonts w:ascii="Arial" w:hAnsi="Arial"/>
          <w:sz w:val="22"/>
          <w:szCs w:val="22"/>
        </w:rPr>
        <w:t xml:space="preserve"> at the </w:t>
      </w:r>
      <w:r w:rsidR="00BC2436" w:rsidRPr="002330FD">
        <w:rPr>
          <w:rFonts w:ascii="Arial" w:hAnsi="Arial"/>
          <w:sz w:val="22"/>
          <w:szCs w:val="22"/>
        </w:rPr>
        <w:t xml:space="preserve">southern-most part of NSW (near the </w:t>
      </w:r>
      <w:r w:rsidRPr="002330FD">
        <w:rPr>
          <w:rFonts w:ascii="Arial" w:hAnsi="Arial"/>
          <w:sz w:val="22"/>
          <w:szCs w:val="22"/>
        </w:rPr>
        <w:t>eastern</w:t>
      </w:r>
      <w:r w:rsidR="00BC2436" w:rsidRPr="002330FD">
        <w:rPr>
          <w:rFonts w:ascii="Arial" w:hAnsi="Arial"/>
          <w:sz w:val="22"/>
          <w:szCs w:val="22"/>
        </w:rPr>
        <w:t xml:space="preserve"> border of Victoria)</w:t>
      </w:r>
      <w:r w:rsidRPr="002330FD">
        <w:rPr>
          <w:rFonts w:ascii="Arial" w:hAnsi="Arial"/>
          <w:sz w:val="22"/>
          <w:szCs w:val="22"/>
        </w:rPr>
        <w:t xml:space="preserve">, approximately 225 km east of the </w:t>
      </w:r>
      <w:r w:rsidR="00EC089E" w:rsidRPr="002330FD">
        <w:rPr>
          <w:rFonts w:ascii="Arial" w:hAnsi="Arial"/>
          <w:sz w:val="22"/>
          <w:szCs w:val="22"/>
        </w:rPr>
        <w:t>proposed acquisition</w:t>
      </w:r>
      <w:r w:rsidRPr="002330FD">
        <w:rPr>
          <w:rFonts w:ascii="Arial" w:hAnsi="Arial"/>
          <w:sz w:val="22"/>
          <w:szCs w:val="22"/>
        </w:rPr>
        <w:t xml:space="preserve"> area (Figure </w:t>
      </w:r>
      <w:r w:rsidR="00B25177" w:rsidRPr="002330FD">
        <w:rPr>
          <w:rFonts w:ascii="Arial" w:hAnsi="Arial"/>
          <w:sz w:val="22"/>
          <w:szCs w:val="22"/>
        </w:rPr>
        <w:t>5.</w:t>
      </w:r>
      <w:r w:rsidR="00FD1E32" w:rsidRPr="002330FD">
        <w:rPr>
          <w:rFonts w:ascii="Arial" w:hAnsi="Arial"/>
          <w:sz w:val="22"/>
          <w:szCs w:val="22"/>
        </w:rPr>
        <w:t>18</w:t>
      </w:r>
      <w:r w:rsidRPr="002330FD">
        <w:rPr>
          <w:rFonts w:ascii="Arial" w:hAnsi="Arial"/>
          <w:sz w:val="22"/>
          <w:szCs w:val="22"/>
        </w:rPr>
        <w:t xml:space="preserve">). Twofold Bay (Eden) off the NSW south coast is the nearest known feeding area (a BIA) for humpback whales, located 240 km northeast of the </w:t>
      </w:r>
      <w:r w:rsidR="00EC089E" w:rsidRPr="002330FD">
        <w:rPr>
          <w:rFonts w:ascii="Arial" w:hAnsi="Arial"/>
          <w:sz w:val="22"/>
          <w:szCs w:val="22"/>
        </w:rPr>
        <w:t>proposed acquisition</w:t>
      </w:r>
      <w:r w:rsidRPr="002330FD">
        <w:rPr>
          <w:rFonts w:ascii="Arial" w:hAnsi="Arial"/>
          <w:sz w:val="22"/>
          <w:szCs w:val="22"/>
        </w:rPr>
        <w:t xml:space="preserve"> area.</w:t>
      </w:r>
    </w:p>
    <w:p w14:paraId="7CE0EF9E" w14:textId="60EF22B7" w:rsidR="00BC2436" w:rsidRPr="002330FD" w:rsidRDefault="00BC2436" w:rsidP="00BC2436">
      <w:pPr>
        <w:pStyle w:val="bodycopy"/>
        <w:rPr>
          <w:rFonts w:ascii="Arial" w:hAnsi="Arial"/>
          <w:sz w:val="22"/>
          <w:szCs w:val="22"/>
        </w:rPr>
      </w:pPr>
      <w:r w:rsidRPr="002330FD">
        <w:rPr>
          <w:rFonts w:ascii="Arial" w:hAnsi="Arial"/>
          <w:sz w:val="22"/>
          <w:szCs w:val="22"/>
        </w:rPr>
        <w:t>Humpback whales undertake annual migrations between their summer feeding grounds in Antarctic waters to their breeding and calving grounds in sub-tropical and tropical inshore waters, migrating up the Australian east coast (TSSC, 2015</w:t>
      </w:r>
      <w:r w:rsidR="00A53CA3" w:rsidRPr="002330FD">
        <w:rPr>
          <w:rFonts w:ascii="Arial" w:hAnsi="Arial"/>
          <w:sz w:val="22"/>
          <w:szCs w:val="22"/>
        </w:rPr>
        <w:t>e</w:t>
      </w:r>
      <w:r w:rsidRPr="002330FD">
        <w:rPr>
          <w:rFonts w:ascii="Arial" w:hAnsi="Arial"/>
          <w:sz w:val="22"/>
          <w:szCs w:val="22"/>
        </w:rPr>
        <w:t>). The northern migration off the southeast coast starts in April and May, with the southern migration occurring from November to December. This migration tends to occur close to the coast, along the continental shelf boundary in waters about 200 m deep (TSSC, 2015</w:t>
      </w:r>
      <w:r w:rsidR="00A53CA3" w:rsidRPr="002330FD">
        <w:rPr>
          <w:rFonts w:ascii="Arial" w:hAnsi="Arial"/>
          <w:sz w:val="22"/>
          <w:szCs w:val="22"/>
        </w:rPr>
        <w:t>e</w:t>
      </w:r>
      <w:r w:rsidRPr="002330FD">
        <w:rPr>
          <w:rFonts w:ascii="Arial" w:hAnsi="Arial"/>
          <w:sz w:val="22"/>
          <w:szCs w:val="22"/>
        </w:rPr>
        <w:t>) (Figure 5.</w:t>
      </w:r>
      <w:r w:rsidR="00FD1E32" w:rsidRPr="002330FD">
        <w:rPr>
          <w:rFonts w:ascii="Arial" w:hAnsi="Arial"/>
          <w:sz w:val="22"/>
          <w:szCs w:val="22"/>
        </w:rPr>
        <w:t>19</w:t>
      </w:r>
      <w:r w:rsidRPr="002330FD">
        <w:rPr>
          <w:rFonts w:ascii="Arial" w:hAnsi="Arial"/>
          <w:sz w:val="22"/>
          <w:szCs w:val="22"/>
        </w:rPr>
        <w:t>).</w:t>
      </w:r>
    </w:p>
    <w:p w14:paraId="5C556912" w14:textId="7B9C2283" w:rsidR="00BC2436" w:rsidRDefault="00BC2436" w:rsidP="00BC2436">
      <w:pPr>
        <w:pStyle w:val="bodycopy"/>
        <w:rPr>
          <w:rFonts w:ascii="Arial" w:hAnsi="Arial"/>
          <w:sz w:val="22"/>
          <w:szCs w:val="22"/>
        </w:rPr>
      </w:pPr>
      <w:r w:rsidRPr="005A4D26">
        <w:rPr>
          <w:rFonts w:ascii="Arial" w:hAnsi="Arial"/>
          <w:sz w:val="22"/>
          <w:szCs w:val="22"/>
        </w:rPr>
        <w:t>The Conservation Advice for the</w:t>
      </w:r>
      <w:r w:rsidRPr="002A7C9C">
        <w:rPr>
          <w:rFonts w:ascii="Arial" w:hAnsi="Arial"/>
          <w:sz w:val="22"/>
          <w:szCs w:val="22"/>
        </w:rPr>
        <w:t xml:space="preserve"> </w:t>
      </w:r>
      <w:r w:rsidR="00D97A08">
        <w:rPr>
          <w:rFonts w:ascii="Arial" w:hAnsi="Arial"/>
          <w:sz w:val="22"/>
          <w:szCs w:val="22"/>
        </w:rPr>
        <w:t>h</w:t>
      </w:r>
      <w:r w:rsidRPr="002A7C9C">
        <w:rPr>
          <w:rFonts w:ascii="Arial" w:hAnsi="Arial"/>
          <w:sz w:val="22"/>
          <w:szCs w:val="22"/>
        </w:rPr>
        <w:t>umpback whale (TSSC, 2015</w:t>
      </w:r>
      <w:r w:rsidR="00A53CA3">
        <w:rPr>
          <w:rFonts w:ascii="Arial" w:hAnsi="Arial"/>
          <w:sz w:val="22"/>
          <w:szCs w:val="22"/>
        </w:rPr>
        <w:t>e</w:t>
      </w:r>
      <w:r w:rsidRPr="002A7C9C">
        <w:rPr>
          <w:rFonts w:ascii="Arial" w:hAnsi="Arial"/>
          <w:sz w:val="22"/>
          <w:szCs w:val="22"/>
        </w:rPr>
        <w:t xml:space="preserve">) identifies vessel strike and anthropogenic noise as threats to the species, the latter important as it may mask vocalisations or cause injury or death. </w:t>
      </w:r>
    </w:p>
    <w:p w14:paraId="0AF8910A" w14:textId="77777777" w:rsidR="00BC2436" w:rsidRPr="002A7C9C" w:rsidRDefault="00BC2436" w:rsidP="00EC089E">
      <w:pPr>
        <w:pStyle w:val="bodycopy"/>
        <w:spacing w:after="240"/>
        <w:rPr>
          <w:rFonts w:ascii="Arial" w:hAnsi="Arial"/>
          <w:sz w:val="22"/>
          <w:szCs w:val="22"/>
        </w:rPr>
      </w:pP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8522"/>
      </w:tblGrid>
      <w:tr w:rsidR="00885EE5" w14:paraId="2CA9126F" w14:textId="77777777" w:rsidTr="00514376">
        <w:tc>
          <w:tcPr>
            <w:tcW w:w="8522" w:type="dxa"/>
            <w:shd w:val="clear" w:color="auto" w:fill="auto"/>
          </w:tcPr>
          <w:p w14:paraId="2DC6549F" w14:textId="60CF9C3D" w:rsidR="003D0C39" w:rsidRPr="002027D5" w:rsidRDefault="003718F9" w:rsidP="00891DE1">
            <w:pPr>
              <w:pStyle w:val="bodycopy"/>
              <w:spacing w:before="60" w:after="60"/>
              <w:rPr>
                <w:noProof/>
                <w:lang w:val="en-US" w:eastAsia="en-US"/>
              </w:rPr>
            </w:pPr>
            <w:r>
              <w:rPr>
                <w:noProof/>
              </w:rPr>
              <w:lastRenderedPageBreak/>
              <w:drawing>
                <wp:inline distT="0" distB="0" distL="0" distR="0" wp14:anchorId="021F762A" wp14:editId="0C04E4C1">
                  <wp:extent cx="5266055" cy="3784600"/>
                  <wp:effectExtent l="0" t="0" r="0" b="0"/>
                  <wp:docPr id="476" name="Picture 476" descr="Macintosh HD:Users:Giulio:Desktop:Screen Shot 2016-10-24 at 1.22.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Giulio:Desktop:Screen Shot 2016-10-24 at 1.22.22 PM.png"/>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5266055" cy="3784600"/>
                          </a:xfrm>
                          <a:prstGeom prst="rect">
                            <a:avLst/>
                          </a:prstGeom>
                          <a:noFill/>
                          <a:ln>
                            <a:noFill/>
                          </a:ln>
                        </pic:spPr>
                      </pic:pic>
                    </a:graphicData>
                  </a:graphic>
                </wp:inline>
              </w:drawing>
            </w:r>
          </w:p>
        </w:tc>
      </w:tr>
    </w:tbl>
    <w:p w14:paraId="6D34E86A" w14:textId="77777777" w:rsidR="00885EE5" w:rsidRPr="002A7C9C" w:rsidRDefault="00885EE5" w:rsidP="00B25177">
      <w:pPr>
        <w:spacing w:after="120" w:line="240" w:lineRule="auto"/>
        <w:ind w:hanging="862"/>
        <w:rPr>
          <w:i/>
          <w:sz w:val="16"/>
          <w:szCs w:val="16"/>
        </w:rPr>
      </w:pPr>
      <w:r w:rsidRPr="002A7C9C">
        <w:rPr>
          <w:i/>
          <w:sz w:val="16"/>
          <w:szCs w:val="16"/>
        </w:rPr>
        <w:t>Sourc</w:t>
      </w:r>
      <w:r w:rsidR="00EC089E" w:rsidRPr="002A7C9C">
        <w:rPr>
          <w:i/>
          <w:sz w:val="16"/>
          <w:szCs w:val="16"/>
        </w:rPr>
        <w:t>e:</w:t>
      </w:r>
      <w:r w:rsidRPr="002A7C9C">
        <w:rPr>
          <w:i/>
          <w:sz w:val="16"/>
          <w:szCs w:val="16"/>
        </w:rPr>
        <w:t xml:space="preserve"> </w:t>
      </w:r>
      <w:r w:rsidR="00EC089E" w:rsidRPr="002A7C9C">
        <w:rPr>
          <w:i/>
          <w:sz w:val="16"/>
          <w:szCs w:val="16"/>
        </w:rPr>
        <w:t>TSSC</w:t>
      </w:r>
      <w:r w:rsidRPr="002A7C9C">
        <w:rPr>
          <w:i/>
          <w:sz w:val="16"/>
          <w:szCs w:val="16"/>
        </w:rPr>
        <w:t xml:space="preserve"> (2015).  </w:t>
      </w:r>
    </w:p>
    <w:p w14:paraId="21C51E46" w14:textId="3145AD54" w:rsidR="00885EE5" w:rsidRPr="002A7C9C" w:rsidRDefault="00885EE5" w:rsidP="00885EE5">
      <w:pPr>
        <w:spacing w:after="240"/>
        <w:jc w:val="center"/>
        <w:rPr>
          <w:b/>
          <w:sz w:val="20"/>
          <w:szCs w:val="20"/>
        </w:rPr>
      </w:pPr>
      <w:r w:rsidRPr="002A7C9C">
        <w:rPr>
          <w:b/>
          <w:sz w:val="20"/>
          <w:szCs w:val="20"/>
        </w:rPr>
        <w:t xml:space="preserve">Figure </w:t>
      </w:r>
      <w:r w:rsidR="00B25177" w:rsidRPr="002A7C9C">
        <w:rPr>
          <w:b/>
          <w:sz w:val="20"/>
          <w:szCs w:val="20"/>
        </w:rPr>
        <w:t>5.</w:t>
      </w:r>
      <w:r w:rsidR="00101658">
        <w:rPr>
          <w:b/>
          <w:sz w:val="20"/>
          <w:szCs w:val="20"/>
        </w:rPr>
        <w:t>17</w:t>
      </w:r>
      <w:r w:rsidR="00B25177" w:rsidRPr="002A7C9C">
        <w:rPr>
          <w:b/>
          <w:sz w:val="20"/>
          <w:szCs w:val="20"/>
        </w:rPr>
        <w:t>.</w:t>
      </w:r>
      <w:r w:rsidRPr="002A7C9C">
        <w:rPr>
          <w:b/>
          <w:sz w:val="20"/>
          <w:szCs w:val="20"/>
        </w:rPr>
        <w:tab/>
        <w:t>Distribution of the humpback whale around Australia</w:t>
      </w:r>
    </w:p>
    <w:p w14:paraId="11DFDB07" w14:textId="77777777" w:rsidR="004214EA" w:rsidRPr="002A7C9C" w:rsidRDefault="004214EA" w:rsidP="004214EA">
      <w:pPr>
        <w:pStyle w:val="bodycopy"/>
        <w:rPr>
          <w:rFonts w:ascii="Arial" w:hAnsi="Arial"/>
          <w:sz w:val="22"/>
          <w:szCs w:val="22"/>
        </w:rPr>
      </w:pPr>
      <w:r w:rsidRPr="002A7C9C">
        <w:rPr>
          <w:rFonts w:ascii="Arial" w:hAnsi="Arial"/>
          <w:sz w:val="22"/>
          <w:szCs w:val="22"/>
        </w:rPr>
        <w:t xml:space="preserve">As the proposed survey acquisition area and the EMBA represent a core range for humpback whales, there is a likelihood that they may be encountered, particularly during April, May, November and December, though this likelihood is considered low due to their preference for migrating along the edge of the continental shelf. </w:t>
      </w:r>
    </w:p>
    <w:p w14:paraId="53E25C6E" w14:textId="77777777" w:rsidR="004214EA" w:rsidRPr="002A7C9C" w:rsidRDefault="004214EA" w:rsidP="004214EA">
      <w:pPr>
        <w:pStyle w:val="bodycopy"/>
        <w:spacing w:after="240"/>
        <w:rPr>
          <w:rFonts w:ascii="Arial" w:hAnsi="Arial"/>
          <w:sz w:val="22"/>
          <w:szCs w:val="22"/>
        </w:rPr>
      </w:pPr>
      <w:r w:rsidRPr="002A7C9C">
        <w:rPr>
          <w:rFonts w:ascii="Arial" w:hAnsi="Arial"/>
          <w:sz w:val="22"/>
          <w:szCs w:val="22"/>
        </w:rPr>
        <w:t>Esso has advised CarbonNet that many humpback whales have been sighted from their facilities in the last two seasons, with the period between September and November having the most sightings (Bok, pers. comm., March 2017).</w:t>
      </w:r>
    </w:p>
    <w:p w14:paraId="62E57E0C" w14:textId="77777777" w:rsidR="004214EA" w:rsidRDefault="004214EA" w:rsidP="00B25177">
      <w:pPr>
        <w:pStyle w:val="bodycopy"/>
        <w:rPr>
          <w:rFonts w:ascii="Arial" w:hAnsi="Arial"/>
          <w:sz w:val="22"/>
          <w:szCs w:val="22"/>
        </w:rPr>
      </w:pPr>
    </w:p>
    <w:p w14:paraId="19218839" w14:textId="4EEBD725" w:rsidR="004214EA" w:rsidRDefault="004214EA" w:rsidP="00B25177">
      <w:pPr>
        <w:pStyle w:val="bodycopy"/>
        <w:rPr>
          <w:rFonts w:ascii="Arial" w:hAnsi="Arial"/>
          <w:sz w:val="22"/>
          <w:szCs w:val="22"/>
        </w:rPr>
        <w:sectPr w:rsidR="004214EA" w:rsidSect="00C72255">
          <w:headerReference w:type="even" r:id="rId137"/>
          <w:headerReference w:type="default" r:id="rId138"/>
          <w:footerReference w:type="default" r:id="rId139"/>
          <w:headerReference w:type="first" r:id="rId140"/>
          <w:pgSz w:w="11906" w:h="16838" w:code="9"/>
          <w:pgMar w:top="1384" w:right="1800" w:bottom="1440" w:left="1800" w:header="994" w:footer="706" w:gutter="0"/>
          <w:cols w:space="708"/>
          <w:docGrid w:linePitch="36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07"/>
      </w:tblGrid>
      <w:tr w:rsidR="00885EE5" w:rsidRPr="00E22EBB" w14:paraId="7F3C103B" w14:textId="77777777" w:rsidTr="00BC2436">
        <w:trPr>
          <w:jc w:val="center"/>
        </w:trPr>
        <w:tc>
          <w:tcPr>
            <w:tcW w:w="11513" w:type="dxa"/>
            <w:shd w:val="clear" w:color="auto" w:fill="auto"/>
          </w:tcPr>
          <w:p w14:paraId="0F31A964" w14:textId="4D9035BC" w:rsidR="002A7C9C" w:rsidRPr="00E22EBB" w:rsidRDefault="00AD1C4D" w:rsidP="00885EE5">
            <w:pPr>
              <w:spacing w:before="40" w:after="40" w:line="240" w:lineRule="auto"/>
              <w:ind w:left="0"/>
              <w:rPr>
                <w:noProof/>
                <w:szCs w:val="22"/>
              </w:rPr>
            </w:pPr>
            <w:r>
              <w:rPr>
                <w:noProof/>
                <w:szCs w:val="22"/>
              </w:rPr>
              <w:lastRenderedPageBreak/>
              <w:pict w14:anchorId="2B31D739">
                <v:shape id="_x0000_i1033" type="#_x0000_t75" style="width:589.55pt;height:410.25pt">
                  <v:imagedata r:id="rId141" o:title="26d_EP_Biologically_Important_Areas_Batch_1_Humpback Whale" croptop="1638f" cropbottom="1638f" cropleft="1377f" cropright="800f"/>
                </v:shape>
              </w:pict>
            </w:r>
          </w:p>
        </w:tc>
      </w:tr>
    </w:tbl>
    <w:p w14:paraId="3E479C66" w14:textId="4FA00871" w:rsidR="00885EE5" w:rsidRPr="002A7C9C" w:rsidRDefault="00885EE5" w:rsidP="00BC2436">
      <w:pPr>
        <w:spacing w:after="120" w:line="240" w:lineRule="auto"/>
        <w:ind w:firstLine="720"/>
        <w:rPr>
          <w:i/>
          <w:sz w:val="16"/>
          <w:szCs w:val="16"/>
        </w:rPr>
      </w:pPr>
      <w:r w:rsidRPr="002A7C9C">
        <w:rPr>
          <w:i/>
          <w:sz w:val="16"/>
          <w:szCs w:val="16"/>
        </w:rPr>
        <w:t>Source</w:t>
      </w:r>
      <w:r w:rsidR="00B25177" w:rsidRPr="002A7C9C">
        <w:rPr>
          <w:i/>
          <w:sz w:val="16"/>
          <w:szCs w:val="16"/>
        </w:rPr>
        <w:t>:</w:t>
      </w:r>
      <w:r w:rsidRPr="002A7C9C">
        <w:rPr>
          <w:i/>
          <w:sz w:val="16"/>
          <w:szCs w:val="16"/>
        </w:rPr>
        <w:t xml:space="preserve"> National Conservation Atlas (</w:t>
      </w:r>
      <w:r w:rsidR="00B25177" w:rsidRPr="002A7C9C">
        <w:rPr>
          <w:i/>
          <w:sz w:val="16"/>
          <w:szCs w:val="16"/>
        </w:rPr>
        <w:t xml:space="preserve">DoEE, </w:t>
      </w:r>
      <w:r w:rsidRPr="002A7C9C">
        <w:rPr>
          <w:i/>
          <w:sz w:val="16"/>
          <w:szCs w:val="16"/>
        </w:rPr>
        <w:t>201</w:t>
      </w:r>
      <w:r w:rsidR="000E7E9E">
        <w:rPr>
          <w:i/>
          <w:sz w:val="16"/>
          <w:szCs w:val="16"/>
        </w:rPr>
        <w:t>7a</w:t>
      </w:r>
      <w:r w:rsidRPr="002A7C9C">
        <w:rPr>
          <w:i/>
          <w:sz w:val="16"/>
          <w:szCs w:val="16"/>
        </w:rPr>
        <w:t xml:space="preserve">).  </w:t>
      </w:r>
    </w:p>
    <w:p w14:paraId="5C47BD5C" w14:textId="1654C9C3" w:rsidR="00885EE5" w:rsidRPr="002A7C9C" w:rsidRDefault="00885EE5" w:rsidP="00885EE5">
      <w:pPr>
        <w:spacing w:after="240"/>
        <w:jc w:val="center"/>
        <w:rPr>
          <w:b/>
          <w:sz w:val="20"/>
          <w:szCs w:val="20"/>
        </w:rPr>
      </w:pPr>
      <w:r w:rsidRPr="002A7C9C">
        <w:rPr>
          <w:b/>
          <w:sz w:val="20"/>
          <w:szCs w:val="20"/>
        </w:rPr>
        <w:t xml:space="preserve">Figure </w:t>
      </w:r>
      <w:r w:rsidR="00B25177" w:rsidRPr="002A7C9C">
        <w:rPr>
          <w:b/>
          <w:sz w:val="20"/>
          <w:szCs w:val="20"/>
        </w:rPr>
        <w:t>5.</w:t>
      </w:r>
      <w:r w:rsidR="00FD1E32">
        <w:rPr>
          <w:b/>
          <w:sz w:val="20"/>
          <w:szCs w:val="20"/>
        </w:rPr>
        <w:t>18</w:t>
      </w:r>
      <w:r w:rsidR="00B25177" w:rsidRPr="002A7C9C">
        <w:rPr>
          <w:b/>
          <w:sz w:val="20"/>
          <w:szCs w:val="20"/>
        </w:rPr>
        <w:t>.</w:t>
      </w:r>
      <w:r w:rsidRPr="002A7C9C">
        <w:rPr>
          <w:b/>
          <w:sz w:val="20"/>
          <w:szCs w:val="20"/>
        </w:rPr>
        <w:tab/>
        <w:t>Humpback whale BIA</w:t>
      </w:r>
    </w:p>
    <w:p w14:paraId="2BBB1AA9" w14:textId="77777777" w:rsidR="0067172A" w:rsidRDefault="0067172A" w:rsidP="00885EE5">
      <w:pPr>
        <w:pStyle w:val="bodycopy"/>
        <w:rPr>
          <w:u w:val="single"/>
        </w:rPr>
        <w:sectPr w:rsidR="0067172A" w:rsidSect="00BC2436">
          <w:headerReference w:type="even" r:id="rId142"/>
          <w:headerReference w:type="default" r:id="rId143"/>
          <w:footerReference w:type="default" r:id="rId144"/>
          <w:headerReference w:type="first" r:id="rId145"/>
          <w:pgSz w:w="16838" w:h="11906" w:orient="landscape" w:code="9"/>
          <w:pgMar w:top="1416" w:right="1384" w:bottom="1418" w:left="1440" w:header="994" w:footer="706" w:gutter="0"/>
          <w:cols w:space="708"/>
          <w:docGrid w:linePitch="360"/>
        </w:sectPr>
      </w:pPr>
    </w:p>
    <w:p w14:paraId="47385720" w14:textId="05BC815A" w:rsidR="00885EE5" w:rsidRDefault="00885EE5" w:rsidP="00885EE5">
      <w:pPr>
        <w:pStyle w:val="bodycopy"/>
        <w:rPr>
          <w:u w:val="single"/>
        </w:rPr>
      </w:pPr>
    </w:p>
    <w:tbl>
      <w:tblPr>
        <w:tblW w:w="0" w:type="auto"/>
        <w:tblLook w:val="04A0" w:firstRow="1" w:lastRow="0" w:firstColumn="1" w:lastColumn="0" w:noHBand="0" w:noVBand="1"/>
      </w:tblPr>
      <w:tblGrid>
        <w:gridCol w:w="8522"/>
      </w:tblGrid>
      <w:tr w:rsidR="00885EE5" w14:paraId="7C34DE9F" w14:textId="77777777" w:rsidTr="00BC2436">
        <w:tc>
          <w:tcPr>
            <w:tcW w:w="8522" w:type="dxa"/>
            <w:shd w:val="clear" w:color="auto" w:fill="auto"/>
          </w:tcPr>
          <w:p w14:paraId="57734542" w14:textId="17A9B218" w:rsidR="00885EE5" w:rsidRPr="001015C9" w:rsidRDefault="003718F9" w:rsidP="00514376">
            <w:pPr>
              <w:pStyle w:val="bodycopy"/>
              <w:spacing w:after="0"/>
            </w:pPr>
            <w:r w:rsidRPr="001015C9">
              <w:rPr>
                <w:noProof/>
              </w:rPr>
              <w:drawing>
                <wp:inline distT="0" distB="0" distL="0" distR="0" wp14:anchorId="76D3DF44" wp14:editId="39293362">
                  <wp:extent cx="5266055" cy="3708400"/>
                  <wp:effectExtent l="0" t="0" r="0" b="0"/>
                  <wp:docPr id="477" name="Picture 477" descr="Macintosh HD:Users:Giulio:Desktop:Screen Shot 2016-10-24 at 1.32.2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Giulio:Desktop:Screen Shot 2016-10-24 at 1.32.24 PM.png"/>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5266055" cy="3708400"/>
                          </a:xfrm>
                          <a:prstGeom prst="rect">
                            <a:avLst/>
                          </a:prstGeom>
                          <a:noFill/>
                          <a:ln>
                            <a:noFill/>
                          </a:ln>
                        </pic:spPr>
                      </pic:pic>
                    </a:graphicData>
                  </a:graphic>
                </wp:inline>
              </w:drawing>
            </w:r>
          </w:p>
        </w:tc>
      </w:tr>
    </w:tbl>
    <w:p w14:paraId="134D7E50" w14:textId="5772BD0C" w:rsidR="00885EE5" w:rsidRPr="002A7C9C" w:rsidRDefault="00EC089E" w:rsidP="00B25177">
      <w:pPr>
        <w:spacing w:after="120" w:line="240" w:lineRule="auto"/>
        <w:ind w:hanging="862"/>
        <w:rPr>
          <w:i/>
          <w:sz w:val="16"/>
          <w:szCs w:val="16"/>
        </w:rPr>
      </w:pPr>
      <w:r>
        <w:rPr>
          <w:i/>
          <w:sz w:val="18"/>
          <w:szCs w:val="18"/>
        </w:rPr>
        <w:t xml:space="preserve"> </w:t>
      </w:r>
      <w:r w:rsidR="00B25177">
        <w:rPr>
          <w:i/>
          <w:sz w:val="18"/>
          <w:szCs w:val="18"/>
        </w:rPr>
        <w:t xml:space="preserve"> </w:t>
      </w:r>
      <w:r w:rsidR="00885EE5" w:rsidRPr="002A7C9C">
        <w:rPr>
          <w:i/>
          <w:sz w:val="16"/>
          <w:szCs w:val="16"/>
        </w:rPr>
        <w:t>Source</w:t>
      </w:r>
      <w:r w:rsidRPr="002A7C9C">
        <w:rPr>
          <w:i/>
          <w:sz w:val="16"/>
          <w:szCs w:val="16"/>
        </w:rPr>
        <w:t>:</w:t>
      </w:r>
      <w:r w:rsidR="00885EE5" w:rsidRPr="002A7C9C">
        <w:rPr>
          <w:i/>
          <w:sz w:val="16"/>
          <w:szCs w:val="16"/>
        </w:rPr>
        <w:t xml:space="preserve"> </w:t>
      </w:r>
      <w:r w:rsidRPr="002A7C9C">
        <w:rPr>
          <w:i/>
          <w:sz w:val="16"/>
          <w:szCs w:val="16"/>
        </w:rPr>
        <w:t>TSSC</w:t>
      </w:r>
      <w:r w:rsidR="00885EE5" w:rsidRPr="002A7C9C">
        <w:rPr>
          <w:i/>
          <w:sz w:val="16"/>
          <w:szCs w:val="16"/>
        </w:rPr>
        <w:t xml:space="preserve"> (2015).  </w:t>
      </w:r>
    </w:p>
    <w:p w14:paraId="1EF382FB" w14:textId="5424B1DA" w:rsidR="00885EE5" w:rsidRPr="002A7C9C" w:rsidRDefault="00885EE5" w:rsidP="00885EE5">
      <w:pPr>
        <w:spacing w:after="240"/>
        <w:jc w:val="center"/>
        <w:rPr>
          <w:b/>
          <w:sz w:val="20"/>
          <w:szCs w:val="20"/>
        </w:rPr>
      </w:pPr>
      <w:r w:rsidRPr="002A7C9C">
        <w:rPr>
          <w:b/>
          <w:sz w:val="20"/>
          <w:szCs w:val="20"/>
        </w:rPr>
        <w:t xml:space="preserve">Figure </w:t>
      </w:r>
      <w:r w:rsidR="00B25177" w:rsidRPr="002A7C9C">
        <w:rPr>
          <w:b/>
          <w:sz w:val="20"/>
          <w:szCs w:val="20"/>
        </w:rPr>
        <w:t>5.</w:t>
      </w:r>
      <w:r w:rsidR="00FD1E32">
        <w:rPr>
          <w:b/>
          <w:sz w:val="20"/>
          <w:szCs w:val="20"/>
        </w:rPr>
        <w:t>19</w:t>
      </w:r>
      <w:r w:rsidR="00B25177" w:rsidRPr="002A7C9C">
        <w:rPr>
          <w:b/>
          <w:sz w:val="20"/>
          <w:szCs w:val="20"/>
        </w:rPr>
        <w:t>.</w:t>
      </w:r>
      <w:r w:rsidRPr="002A7C9C">
        <w:rPr>
          <w:b/>
          <w:sz w:val="20"/>
          <w:szCs w:val="20"/>
        </w:rPr>
        <w:tab/>
        <w:t>Migration routes of humpback whales around Australia</w:t>
      </w:r>
    </w:p>
    <w:p w14:paraId="061F2B14" w14:textId="642205B4" w:rsidR="00885EE5" w:rsidRPr="00B92BDA" w:rsidRDefault="00885EE5" w:rsidP="00885EE5">
      <w:pPr>
        <w:pStyle w:val="bodycopy"/>
        <w:rPr>
          <w:rFonts w:ascii="Arial" w:hAnsi="Arial"/>
          <w:b/>
          <w:sz w:val="22"/>
          <w:szCs w:val="22"/>
        </w:rPr>
      </w:pPr>
      <w:r w:rsidRPr="00B92BDA">
        <w:rPr>
          <w:rFonts w:ascii="Arial" w:hAnsi="Arial"/>
          <w:b/>
          <w:sz w:val="22"/>
          <w:szCs w:val="22"/>
        </w:rPr>
        <w:t xml:space="preserve">Sperm whale </w:t>
      </w:r>
      <w:r w:rsidR="00944F92" w:rsidRPr="00B92BDA">
        <w:rPr>
          <w:rFonts w:ascii="Arial" w:hAnsi="Arial"/>
          <w:b/>
          <w:sz w:val="22"/>
          <w:szCs w:val="22"/>
        </w:rPr>
        <w:t>(</w:t>
      </w:r>
      <w:r w:rsidR="00944F92" w:rsidRPr="00B92BDA">
        <w:rPr>
          <w:rFonts w:ascii="Arial" w:hAnsi="Arial"/>
          <w:b/>
          <w:i/>
          <w:sz w:val="22"/>
          <w:szCs w:val="22"/>
        </w:rPr>
        <w:t>Physeter macrocephalus</w:t>
      </w:r>
      <w:r w:rsidR="00944F92" w:rsidRPr="00B92BDA">
        <w:rPr>
          <w:rFonts w:ascii="Arial" w:hAnsi="Arial"/>
          <w:b/>
          <w:sz w:val="22"/>
          <w:szCs w:val="22"/>
        </w:rPr>
        <w:t xml:space="preserve">) </w:t>
      </w:r>
      <w:r w:rsidRPr="00B92BDA">
        <w:rPr>
          <w:rFonts w:ascii="Arial" w:hAnsi="Arial"/>
          <w:b/>
          <w:sz w:val="22"/>
          <w:szCs w:val="22"/>
        </w:rPr>
        <w:t>(</w:t>
      </w:r>
      <w:r w:rsidR="006A7CDA">
        <w:rPr>
          <w:rFonts w:ascii="Arial" w:hAnsi="Arial"/>
          <w:b/>
          <w:sz w:val="22"/>
          <w:szCs w:val="22"/>
        </w:rPr>
        <w:t>EPBC Act: Listed m</w:t>
      </w:r>
      <w:r w:rsidRPr="00B92BDA">
        <w:rPr>
          <w:rFonts w:ascii="Arial" w:hAnsi="Arial"/>
          <w:b/>
          <w:sz w:val="22"/>
          <w:szCs w:val="22"/>
        </w:rPr>
        <w:t>igratory</w:t>
      </w:r>
      <w:r w:rsidR="006A7CDA">
        <w:rPr>
          <w:rFonts w:ascii="Arial" w:hAnsi="Arial"/>
          <w:b/>
          <w:sz w:val="22"/>
          <w:szCs w:val="22"/>
        </w:rPr>
        <w:t>, FFG Act: not listed</w:t>
      </w:r>
      <w:r w:rsidRPr="00B92BDA">
        <w:rPr>
          <w:rFonts w:ascii="Arial" w:hAnsi="Arial"/>
          <w:b/>
          <w:sz w:val="22"/>
          <w:szCs w:val="22"/>
        </w:rPr>
        <w:t>)</w:t>
      </w:r>
    </w:p>
    <w:p w14:paraId="74C45E07" w14:textId="430EC325" w:rsidR="00885EE5" w:rsidRPr="00B92BDA" w:rsidRDefault="00885EE5" w:rsidP="00885EE5">
      <w:pPr>
        <w:pStyle w:val="bodycopy"/>
        <w:rPr>
          <w:rFonts w:ascii="Arial" w:hAnsi="Arial"/>
          <w:sz w:val="22"/>
          <w:szCs w:val="22"/>
        </w:rPr>
      </w:pPr>
      <w:r w:rsidRPr="00B92BDA">
        <w:rPr>
          <w:rFonts w:ascii="Arial" w:hAnsi="Arial"/>
          <w:sz w:val="22"/>
          <w:szCs w:val="22"/>
        </w:rPr>
        <w:t xml:space="preserve">The sperm whale has a worldwide distribution and has been recorded in </w:t>
      </w:r>
      <w:r w:rsidR="00944F92" w:rsidRPr="00B92BDA">
        <w:rPr>
          <w:rFonts w:ascii="Arial" w:hAnsi="Arial"/>
          <w:sz w:val="22"/>
          <w:szCs w:val="22"/>
        </w:rPr>
        <w:t xml:space="preserve">waters off </w:t>
      </w:r>
      <w:r w:rsidRPr="00B92BDA">
        <w:rPr>
          <w:rFonts w:ascii="Arial" w:hAnsi="Arial"/>
          <w:sz w:val="22"/>
          <w:szCs w:val="22"/>
        </w:rPr>
        <w:t>all Australian states. Sperm whales tend to inhabit offshore areas with a water depth of 600 m or greater, and are uncommon in waters less than 300 m deep (Do</w:t>
      </w:r>
      <w:r w:rsidR="00944F92" w:rsidRPr="00B92BDA">
        <w:rPr>
          <w:rFonts w:ascii="Arial" w:hAnsi="Arial"/>
          <w:sz w:val="22"/>
          <w:szCs w:val="22"/>
        </w:rPr>
        <w:t>E</w:t>
      </w:r>
      <w:r w:rsidRPr="00B92BDA">
        <w:rPr>
          <w:rFonts w:ascii="Arial" w:hAnsi="Arial"/>
          <w:sz w:val="22"/>
          <w:szCs w:val="22"/>
        </w:rPr>
        <w:t>E, 201</w:t>
      </w:r>
      <w:r w:rsidR="00944F92" w:rsidRPr="00B92BDA">
        <w:rPr>
          <w:rFonts w:ascii="Arial" w:hAnsi="Arial"/>
          <w:sz w:val="22"/>
          <w:szCs w:val="22"/>
        </w:rPr>
        <w:t>7</w:t>
      </w:r>
      <w:r w:rsidR="00FF5C39">
        <w:rPr>
          <w:rFonts w:ascii="Arial" w:hAnsi="Arial"/>
          <w:sz w:val="22"/>
          <w:szCs w:val="22"/>
        </w:rPr>
        <w:t>i</w:t>
      </w:r>
      <w:r w:rsidRPr="00B92BDA">
        <w:rPr>
          <w:rFonts w:ascii="Arial" w:hAnsi="Arial"/>
          <w:sz w:val="22"/>
          <w:szCs w:val="22"/>
        </w:rPr>
        <w:t xml:space="preserve">). Key locations for the species include: </w:t>
      </w:r>
    </w:p>
    <w:p w14:paraId="2C58227D" w14:textId="77777777" w:rsidR="00885EE5" w:rsidRPr="00B92BDA" w:rsidRDefault="00885EE5" w:rsidP="002E4E3A">
      <w:pPr>
        <w:pStyle w:val="bodycopy"/>
        <w:numPr>
          <w:ilvl w:val="0"/>
          <w:numId w:val="28"/>
        </w:numPr>
        <w:rPr>
          <w:rFonts w:ascii="Arial" w:hAnsi="Arial"/>
          <w:sz w:val="22"/>
          <w:szCs w:val="22"/>
        </w:rPr>
      </w:pPr>
      <w:r w:rsidRPr="00B92BDA">
        <w:rPr>
          <w:rFonts w:ascii="Arial" w:hAnsi="Arial"/>
          <w:sz w:val="22"/>
          <w:szCs w:val="22"/>
        </w:rPr>
        <w:t xml:space="preserve">The area between Cape Leeuwin to Esperance (WA); </w:t>
      </w:r>
    </w:p>
    <w:p w14:paraId="4C2FD746" w14:textId="77777777" w:rsidR="00885EE5" w:rsidRPr="00B92BDA" w:rsidRDefault="00885EE5" w:rsidP="002E4E3A">
      <w:pPr>
        <w:pStyle w:val="bodycopy"/>
        <w:numPr>
          <w:ilvl w:val="0"/>
          <w:numId w:val="28"/>
        </w:numPr>
        <w:rPr>
          <w:rFonts w:ascii="Arial" w:hAnsi="Arial"/>
          <w:sz w:val="22"/>
          <w:szCs w:val="22"/>
        </w:rPr>
      </w:pPr>
      <w:r w:rsidRPr="00B92BDA">
        <w:rPr>
          <w:rFonts w:ascii="Arial" w:hAnsi="Arial"/>
          <w:sz w:val="22"/>
          <w:szCs w:val="22"/>
        </w:rPr>
        <w:t xml:space="preserve">Southwest of Kangaroo Island (SA); </w:t>
      </w:r>
    </w:p>
    <w:p w14:paraId="6262654E" w14:textId="77777777" w:rsidR="00885EE5" w:rsidRPr="00B92BDA" w:rsidRDefault="00885EE5" w:rsidP="002E4E3A">
      <w:pPr>
        <w:pStyle w:val="bodycopy"/>
        <w:numPr>
          <w:ilvl w:val="0"/>
          <w:numId w:val="28"/>
        </w:numPr>
        <w:rPr>
          <w:rFonts w:ascii="Arial" w:hAnsi="Arial"/>
          <w:sz w:val="22"/>
          <w:szCs w:val="22"/>
        </w:rPr>
      </w:pPr>
      <w:r w:rsidRPr="00B92BDA">
        <w:rPr>
          <w:rFonts w:ascii="Arial" w:hAnsi="Arial"/>
          <w:sz w:val="22"/>
          <w:szCs w:val="22"/>
        </w:rPr>
        <w:t xml:space="preserve">Deep waters of the Tasmanian west and south coasts; </w:t>
      </w:r>
    </w:p>
    <w:p w14:paraId="73D5491C" w14:textId="77777777" w:rsidR="00885EE5" w:rsidRPr="00B92BDA" w:rsidRDefault="00885EE5" w:rsidP="002E4E3A">
      <w:pPr>
        <w:pStyle w:val="bodycopy"/>
        <w:numPr>
          <w:ilvl w:val="0"/>
          <w:numId w:val="28"/>
        </w:numPr>
        <w:rPr>
          <w:rFonts w:ascii="Arial" w:hAnsi="Arial"/>
          <w:sz w:val="22"/>
          <w:szCs w:val="22"/>
        </w:rPr>
      </w:pPr>
      <w:r w:rsidRPr="00B92BDA">
        <w:rPr>
          <w:rFonts w:ascii="Arial" w:hAnsi="Arial"/>
          <w:sz w:val="22"/>
          <w:szCs w:val="22"/>
        </w:rPr>
        <w:t xml:space="preserve">Areas off southern NSW (e.g., Wollongong); and </w:t>
      </w:r>
    </w:p>
    <w:p w14:paraId="5862A6F7" w14:textId="2861291A" w:rsidR="00885EE5" w:rsidRPr="00B92BDA" w:rsidRDefault="00885EE5" w:rsidP="002E4E3A">
      <w:pPr>
        <w:pStyle w:val="bodycopy"/>
        <w:numPr>
          <w:ilvl w:val="0"/>
          <w:numId w:val="28"/>
        </w:numPr>
        <w:rPr>
          <w:rFonts w:ascii="Arial" w:hAnsi="Arial"/>
          <w:sz w:val="22"/>
          <w:szCs w:val="22"/>
        </w:rPr>
      </w:pPr>
      <w:r w:rsidRPr="00B92BDA">
        <w:rPr>
          <w:rFonts w:ascii="Arial" w:hAnsi="Arial"/>
          <w:sz w:val="22"/>
          <w:szCs w:val="22"/>
        </w:rPr>
        <w:t>Stradbroke Island (Qld) (Do</w:t>
      </w:r>
      <w:r w:rsidR="00944F92" w:rsidRPr="00B92BDA">
        <w:rPr>
          <w:rFonts w:ascii="Arial" w:hAnsi="Arial"/>
          <w:sz w:val="22"/>
          <w:szCs w:val="22"/>
        </w:rPr>
        <w:t>E</w:t>
      </w:r>
      <w:r w:rsidRPr="00B92BDA">
        <w:rPr>
          <w:rFonts w:ascii="Arial" w:hAnsi="Arial"/>
          <w:sz w:val="22"/>
          <w:szCs w:val="22"/>
        </w:rPr>
        <w:t>E, 201</w:t>
      </w:r>
      <w:r w:rsidR="00944F92" w:rsidRPr="00B92BDA">
        <w:rPr>
          <w:rFonts w:ascii="Arial" w:hAnsi="Arial"/>
          <w:sz w:val="22"/>
          <w:szCs w:val="22"/>
        </w:rPr>
        <w:t>7</w:t>
      </w:r>
      <w:r w:rsidR="00FF5C39">
        <w:rPr>
          <w:rFonts w:ascii="Arial" w:hAnsi="Arial"/>
          <w:sz w:val="22"/>
          <w:szCs w:val="22"/>
        </w:rPr>
        <w:t>i</w:t>
      </w:r>
      <w:r w:rsidRPr="00B92BDA">
        <w:rPr>
          <w:rFonts w:ascii="Arial" w:hAnsi="Arial"/>
          <w:sz w:val="22"/>
          <w:szCs w:val="22"/>
        </w:rPr>
        <w:t xml:space="preserve">). </w:t>
      </w:r>
    </w:p>
    <w:p w14:paraId="5BAC2BDE" w14:textId="327288F0" w:rsidR="00885EE5" w:rsidRPr="00B92BDA" w:rsidRDefault="00885EE5" w:rsidP="00885EE5">
      <w:pPr>
        <w:pStyle w:val="bodycopy"/>
        <w:rPr>
          <w:rFonts w:ascii="Arial" w:hAnsi="Arial"/>
          <w:sz w:val="22"/>
          <w:szCs w:val="22"/>
        </w:rPr>
      </w:pPr>
      <w:r w:rsidRPr="00B92BDA">
        <w:rPr>
          <w:rFonts w:ascii="Arial" w:hAnsi="Arial"/>
          <w:sz w:val="22"/>
          <w:szCs w:val="22"/>
        </w:rPr>
        <w:t>Concentrations of sperm whales are generally found where seabeds rise steeply from a great depth (i.e., submarine canyons at the edge of the continental shelf) associated with concentrations of food such as cephalopods (Do</w:t>
      </w:r>
      <w:r w:rsidR="00944F92" w:rsidRPr="00B92BDA">
        <w:rPr>
          <w:rFonts w:ascii="Arial" w:hAnsi="Arial"/>
          <w:sz w:val="22"/>
          <w:szCs w:val="22"/>
        </w:rPr>
        <w:t>E</w:t>
      </w:r>
      <w:r w:rsidRPr="00B92BDA">
        <w:rPr>
          <w:rFonts w:ascii="Arial" w:hAnsi="Arial"/>
          <w:sz w:val="22"/>
          <w:szCs w:val="22"/>
        </w:rPr>
        <w:t>E, 201</w:t>
      </w:r>
      <w:r w:rsidR="00944F92" w:rsidRPr="00B92BDA">
        <w:rPr>
          <w:rFonts w:ascii="Arial" w:hAnsi="Arial"/>
          <w:sz w:val="22"/>
          <w:szCs w:val="22"/>
        </w:rPr>
        <w:t>7</w:t>
      </w:r>
      <w:r w:rsidR="00FF5C39">
        <w:rPr>
          <w:rFonts w:ascii="Arial" w:hAnsi="Arial"/>
          <w:sz w:val="22"/>
          <w:szCs w:val="22"/>
        </w:rPr>
        <w:t>i</w:t>
      </w:r>
      <w:r w:rsidRPr="00B92BDA">
        <w:rPr>
          <w:rFonts w:ascii="Arial" w:hAnsi="Arial"/>
          <w:sz w:val="22"/>
          <w:szCs w:val="22"/>
        </w:rPr>
        <w:t xml:space="preserve">). </w:t>
      </w:r>
    </w:p>
    <w:p w14:paraId="771BD131" w14:textId="6EFC2565" w:rsidR="00885EE5" w:rsidRPr="00B92BDA" w:rsidRDefault="00885EE5" w:rsidP="00885EE5">
      <w:pPr>
        <w:pStyle w:val="bodycopy"/>
        <w:rPr>
          <w:rFonts w:ascii="Arial" w:hAnsi="Arial"/>
          <w:sz w:val="22"/>
          <w:szCs w:val="22"/>
        </w:rPr>
      </w:pPr>
      <w:r w:rsidRPr="00B92BDA">
        <w:rPr>
          <w:rFonts w:ascii="Arial" w:hAnsi="Arial"/>
          <w:sz w:val="22"/>
          <w:szCs w:val="22"/>
        </w:rPr>
        <w:t>Females and young males are restricted to warmer waters (i.e., north of 45°S) and are likely to be resident in tropical and sub-tropical waters year-round. Adult males are found in colder waters and to the edge of the Antarctic pack ice. In southern Western Australian waters sperm whales move westward during the year. For species in oceanic waters, there is a more generalised movement of sperm whales southwards in summer and northwards in winter (Do</w:t>
      </w:r>
      <w:r w:rsidR="00944F92" w:rsidRPr="00B92BDA">
        <w:rPr>
          <w:rFonts w:ascii="Arial" w:hAnsi="Arial"/>
          <w:sz w:val="22"/>
          <w:szCs w:val="22"/>
        </w:rPr>
        <w:t>E</w:t>
      </w:r>
      <w:r w:rsidRPr="00B92BDA">
        <w:rPr>
          <w:rFonts w:ascii="Arial" w:hAnsi="Arial"/>
          <w:sz w:val="22"/>
          <w:szCs w:val="22"/>
        </w:rPr>
        <w:t>E, 201</w:t>
      </w:r>
      <w:r w:rsidR="00944F92" w:rsidRPr="00B92BDA">
        <w:rPr>
          <w:rFonts w:ascii="Arial" w:hAnsi="Arial"/>
          <w:sz w:val="22"/>
          <w:szCs w:val="22"/>
        </w:rPr>
        <w:t>7</w:t>
      </w:r>
      <w:r w:rsidR="00FF5C39">
        <w:rPr>
          <w:rFonts w:ascii="Arial" w:hAnsi="Arial"/>
          <w:sz w:val="22"/>
          <w:szCs w:val="22"/>
        </w:rPr>
        <w:t>i</w:t>
      </w:r>
      <w:r w:rsidRPr="00B92BDA">
        <w:rPr>
          <w:rFonts w:ascii="Arial" w:hAnsi="Arial"/>
          <w:sz w:val="22"/>
          <w:szCs w:val="22"/>
        </w:rPr>
        <w:t>).</w:t>
      </w:r>
    </w:p>
    <w:p w14:paraId="01353413" w14:textId="77777777" w:rsidR="00885EE5" w:rsidRPr="00B92BDA" w:rsidRDefault="00885EE5" w:rsidP="00885EE5">
      <w:pPr>
        <w:pStyle w:val="bodycopy"/>
        <w:rPr>
          <w:rFonts w:ascii="Arial" w:hAnsi="Arial"/>
          <w:sz w:val="22"/>
          <w:szCs w:val="22"/>
        </w:rPr>
      </w:pPr>
      <w:r w:rsidRPr="00B92BDA">
        <w:rPr>
          <w:rFonts w:ascii="Arial" w:hAnsi="Arial"/>
          <w:sz w:val="22"/>
          <w:szCs w:val="22"/>
        </w:rPr>
        <w:t xml:space="preserve">Sperm whales are prolonged and deep divers often diving for over 60 minutes (Bannister </w:t>
      </w:r>
      <w:r w:rsidRPr="00B92BDA">
        <w:rPr>
          <w:rFonts w:ascii="Arial" w:hAnsi="Arial"/>
          <w:i/>
          <w:sz w:val="22"/>
          <w:szCs w:val="22"/>
        </w:rPr>
        <w:t>et al</w:t>
      </w:r>
      <w:r w:rsidRPr="00B92BDA">
        <w:rPr>
          <w:rFonts w:ascii="Arial" w:hAnsi="Arial"/>
          <w:sz w:val="22"/>
          <w:szCs w:val="22"/>
        </w:rPr>
        <w:t xml:space="preserve">., 1996), however studies have observed sperm whales do rest at, or </w:t>
      </w:r>
      <w:r w:rsidRPr="00B92BDA">
        <w:rPr>
          <w:rFonts w:ascii="Arial" w:hAnsi="Arial"/>
          <w:sz w:val="22"/>
          <w:szCs w:val="22"/>
        </w:rPr>
        <w:lastRenderedPageBreak/>
        <w:t>just below</w:t>
      </w:r>
      <w:r w:rsidR="00944F92" w:rsidRPr="00B92BDA">
        <w:rPr>
          <w:rFonts w:ascii="Arial" w:hAnsi="Arial"/>
          <w:sz w:val="22"/>
          <w:szCs w:val="22"/>
        </w:rPr>
        <w:t xml:space="preserve"> the sea</w:t>
      </w:r>
      <w:r w:rsidRPr="00B92BDA">
        <w:rPr>
          <w:rFonts w:ascii="Arial" w:hAnsi="Arial"/>
          <w:sz w:val="22"/>
          <w:szCs w:val="22"/>
        </w:rPr>
        <w:t xml:space="preserve"> surface for extended periods (&gt;1 hr) (Gannier </w:t>
      </w:r>
      <w:r w:rsidRPr="00B92BDA">
        <w:rPr>
          <w:rFonts w:ascii="Arial" w:hAnsi="Arial"/>
          <w:i/>
          <w:sz w:val="22"/>
          <w:szCs w:val="22"/>
        </w:rPr>
        <w:t>et al</w:t>
      </w:r>
      <w:r w:rsidRPr="00B92BDA">
        <w:rPr>
          <w:rFonts w:ascii="Arial" w:hAnsi="Arial"/>
          <w:sz w:val="22"/>
          <w:szCs w:val="22"/>
        </w:rPr>
        <w:t xml:space="preserve">., 2002). In addition, female and juvenile sperm whales in temperate waters have been observed to spend several hours a day at surface resting or socialising (Hastie </w:t>
      </w:r>
      <w:r w:rsidRPr="00B92BDA">
        <w:rPr>
          <w:rFonts w:ascii="Arial" w:hAnsi="Arial"/>
          <w:i/>
          <w:sz w:val="22"/>
          <w:szCs w:val="22"/>
        </w:rPr>
        <w:t>et al</w:t>
      </w:r>
      <w:r w:rsidRPr="00B92BDA">
        <w:rPr>
          <w:rFonts w:ascii="Arial" w:hAnsi="Arial"/>
          <w:sz w:val="22"/>
          <w:szCs w:val="22"/>
        </w:rPr>
        <w:t>., 2003).</w:t>
      </w:r>
    </w:p>
    <w:p w14:paraId="711B6656" w14:textId="77777777" w:rsidR="00885EE5" w:rsidRPr="00B92BDA" w:rsidRDefault="00885EE5" w:rsidP="00885EE5">
      <w:pPr>
        <w:pStyle w:val="bodycopy"/>
        <w:rPr>
          <w:rFonts w:ascii="Arial" w:hAnsi="Arial"/>
          <w:sz w:val="22"/>
          <w:szCs w:val="22"/>
        </w:rPr>
      </w:pPr>
      <w:r w:rsidRPr="00B92BDA">
        <w:rPr>
          <w:rFonts w:ascii="Arial" w:hAnsi="Arial"/>
          <w:sz w:val="22"/>
          <w:szCs w:val="22"/>
        </w:rPr>
        <w:t xml:space="preserve">The nearest BIA </w:t>
      </w:r>
      <w:r w:rsidR="00944F92" w:rsidRPr="00B92BDA">
        <w:rPr>
          <w:rFonts w:ascii="Arial" w:hAnsi="Arial"/>
          <w:sz w:val="22"/>
          <w:szCs w:val="22"/>
        </w:rPr>
        <w:t xml:space="preserve">to the proposed acquisition area </w:t>
      </w:r>
      <w:r w:rsidRPr="00B92BDA">
        <w:rPr>
          <w:rFonts w:ascii="Arial" w:hAnsi="Arial"/>
          <w:sz w:val="22"/>
          <w:szCs w:val="22"/>
        </w:rPr>
        <w:t>for sperm whales is a foraging area in the Great Australian Bight. Given the</w:t>
      </w:r>
      <w:r w:rsidR="00944F92" w:rsidRPr="00B92BDA">
        <w:rPr>
          <w:rFonts w:ascii="Arial" w:hAnsi="Arial"/>
          <w:sz w:val="22"/>
          <w:szCs w:val="22"/>
        </w:rPr>
        <w:t>ir</w:t>
      </w:r>
      <w:r w:rsidRPr="00B92BDA">
        <w:rPr>
          <w:rFonts w:ascii="Arial" w:hAnsi="Arial"/>
          <w:sz w:val="22"/>
          <w:szCs w:val="22"/>
        </w:rPr>
        <w:t xml:space="preserve"> </w:t>
      </w:r>
      <w:r w:rsidR="00944F92" w:rsidRPr="00B92BDA">
        <w:rPr>
          <w:rFonts w:ascii="Arial" w:hAnsi="Arial"/>
          <w:sz w:val="22"/>
          <w:szCs w:val="22"/>
        </w:rPr>
        <w:t xml:space="preserve">preference for </w:t>
      </w:r>
      <w:r w:rsidRPr="00B92BDA">
        <w:rPr>
          <w:rFonts w:ascii="Arial" w:hAnsi="Arial"/>
          <w:sz w:val="22"/>
          <w:szCs w:val="22"/>
        </w:rPr>
        <w:t>deep-water</w:t>
      </w:r>
      <w:r w:rsidR="00944F92" w:rsidRPr="00B92BDA">
        <w:rPr>
          <w:rFonts w:ascii="Arial" w:hAnsi="Arial"/>
          <w:sz w:val="22"/>
          <w:szCs w:val="22"/>
        </w:rPr>
        <w:t xml:space="preserve"> in tropical and sub-tropical regions</w:t>
      </w:r>
      <w:r w:rsidRPr="00B92BDA">
        <w:rPr>
          <w:rFonts w:ascii="Arial" w:hAnsi="Arial"/>
          <w:sz w:val="22"/>
          <w:szCs w:val="22"/>
        </w:rPr>
        <w:t xml:space="preserve">, </w:t>
      </w:r>
      <w:r w:rsidR="00944F92" w:rsidRPr="00B92BDA">
        <w:rPr>
          <w:rFonts w:ascii="Arial" w:hAnsi="Arial"/>
          <w:sz w:val="22"/>
          <w:szCs w:val="22"/>
        </w:rPr>
        <w:t xml:space="preserve">there is a low </w:t>
      </w:r>
      <w:r w:rsidRPr="00B92BDA">
        <w:rPr>
          <w:rFonts w:ascii="Arial" w:hAnsi="Arial"/>
          <w:sz w:val="22"/>
          <w:szCs w:val="22"/>
        </w:rPr>
        <w:t xml:space="preserve">likelihood </w:t>
      </w:r>
      <w:r w:rsidR="00944F92" w:rsidRPr="00B92BDA">
        <w:rPr>
          <w:rFonts w:ascii="Arial" w:hAnsi="Arial"/>
          <w:sz w:val="22"/>
          <w:szCs w:val="22"/>
        </w:rPr>
        <w:t>that sperm whales occur within the proposed acquisition area or the EMBA.</w:t>
      </w:r>
    </w:p>
    <w:p w14:paraId="4331DC3E" w14:textId="135470E5" w:rsidR="00885EE5" w:rsidRPr="00B92BDA" w:rsidRDefault="00885EE5" w:rsidP="00885EE5">
      <w:pPr>
        <w:pStyle w:val="bodycopy"/>
        <w:rPr>
          <w:rFonts w:ascii="Arial" w:hAnsi="Arial"/>
          <w:b/>
          <w:sz w:val="22"/>
          <w:szCs w:val="22"/>
        </w:rPr>
      </w:pPr>
      <w:r w:rsidRPr="00B92BDA">
        <w:rPr>
          <w:rFonts w:ascii="Arial" w:hAnsi="Arial"/>
          <w:b/>
          <w:sz w:val="22"/>
          <w:szCs w:val="22"/>
        </w:rPr>
        <w:t>Beaked whales (</w:t>
      </w:r>
      <w:r w:rsidR="006A7CDA">
        <w:rPr>
          <w:rFonts w:ascii="Arial" w:hAnsi="Arial"/>
          <w:b/>
          <w:sz w:val="22"/>
          <w:szCs w:val="22"/>
        </w:rPr>
        <w:t xml:space="preserve">EPBC Act: </w:t>
      </w:r>
      <w:r w:rsidR="007E0FE3" w:rsidRPr="00B92BDA">
        <w:rPr>
          <w:rFonts w:ascii="Arial" w:hAnsi="Arial"/>
          <w:b/>
          <w:sz w:val="22"/>
          <w:szCs w:val="22"/>
        </w:rPr>
        <w:t>L</w:t>
      </w:r>
      <w:r w:rsidRPr="00B92BDA">
        <w:rPr>
          <w:rFonts w:ascii="Arial" w:hAnsi="Arial"/>
          <w:b/>
          <w:sz w:val="22"/>
          <w:szCs w:val="22"/>
        </w:rPr>
        <w:t>isted marine species</w:t>
      </w:r>
      <w:r w:rsidR="006A7CDA">
        <w:rPr>
          <w:rFonts w:ascii="Arial" w:hAnsi="Arial"/>
          <w:b/>
          <w:sz w:val="22"/>
          <w:szCs w:val="22"/>
        </w:rPr>
        <w:t>, FFG Act: Not listed</w:t>
      </w:r>
      <w:r w:rsidRPr="00B92BDA">
        <w:rPr>
          <w:rFonts w:ascii="Arial" w:hAnsi="Arial"/>
          <w:b/>
          <w:sz w:val="22"/>
          <w:szCs w:val="22"/>
        </w:rPr>
        <w:t>)</w:t>
      </w:r>
    </w:p>
    <w:p w14:paraId="6ADB0439" w14:textId="781492C5" w:rsidR="00885EE5" w:rsidRPr="00B92BDA" w:rsidRDefault="00885EE5" w:rsidP="00885EE5">
      <w:pPr>
        <w:pStyle w:val="bodycopy"/>
        <w:rPr>
          <w:rFonts w:ascii="Arial" w:hAnsi="Arial"/>
          <w:sz w:val="22"/>
          <w:szCs w:val="22"/>
        </w:rPr>
      </w:pPr>
      <w:r w:rsidRPr="00B92BDA">
        <w:rPr>
          <w:rFonts w:ascii="Arial" w:hAnsi="Arial"/>
          <w:sz w:val="22"/>
          <w:szCs w:val="22"/>
        </w:rPr>
        <w:t xml:space="preserve">Several beaked whales are listed in the PMST as having the potential to occur within the </w:t>
      </w:r>
      <w:r w:rsidR="00B25177" w:rsidRPr="00B92BDA">
        <w:rPr>
          <w:rFonts w:ascii="Arial" w:hAnsi="Arial"/>
          <w:sz w:val="22"/>
          <w:szCs w:val="22"/>
        </w:rPr>
        <w:t>E</w:t>
      </w:r>
      <w:r w:rsidRPr="00B92BDA">
        <w:rPr>
          <w:rFonts w:ascii="Arial" w:hAnsi="Arial"/>
          <w:sz w:val="22"/>
          <w:szCs w:val="22"/>
        </w:rPr>
        <w:t>MBA (</w:t>
      </w:r>
      <w:r w:rsidRPr="005A4D26">
        <w:rPr>
          <w:rFonts w:ascii="Arial" w:hAnsi="Arial"/>
          <w:sz w:val="22"/>
          <w:szCs w:val="22"/>
        </w:rPr>
        <w:t xml:space="preserve">see </w:t>
      </w:r>
      <w:r w:rsidRPr="002330FD">
        <w:rPr>
          <w:rFonts w:ascii="Arial" w:hAnsi="Arial"/>
          <w:sz w:val="22"/>
          <w:szCs w:val="22"/>
        </w:rPr>
        <w:t xml:space="preserve">Table </w:t>
      </w:r>
      <w:r w:rsidR="00B25177" w:rsidRPr="002330FD">
        <w:rPr>
          <w:rFonts w:ascii="Arial" w:hAnsi="Arial"/>
          <w:sz w:val="22"/>
          <w:szCs w:val="22"/>
        </w:rPr>
        <w:t>5.</w:t>
      </w:r>
      <w:r w:rsidR="00FD1E32" w:rsidRPr="002330FD">
        <w:rPr>
          <w:rFonts w:ascii="Arial" w:hAnsi="Arial"/>
          <w:sz w:val="22"/>
          <w:szCs w:val="22"/>
        </w:rPr>
        <w:t>8</w:t>
      </w:r>
      <w:r w:rsidRPr="002330FD">
        <w:rPr>
          <w:rFonts w:ascii="Arial" w:hAnsi="Arial"/>
          <w:sz w:val="22"/>
          <w:szCs w:val="22"/>
        </w:rPr>
        <w:t>).</w:t>
      </w:r>
      <w:r w:rsidRPr="005A4D26">
        <w:rPr>
          <w:rFonts w:ascii="Arial" w:hAnsi="Arial"/>
          <w:sz w:val="22"/>
          <w:szCs w:val="22"/>
        </w:rPr>
        <w:t xml:space="preserve"> In Australia, these species have not been well studied, and key localities are not known</w:t>
      </w:r>
      <w:r w:rsidRPr="00B92BDA">
        <w:rPr>
          <w:rFonts w:ascii="Arial" w:hAnsi="Arial"/>
          <w:sz w:val="22"/>
          <w:szCs w:val="22"/>
        </w:rPr>
        <w:t xml:space="preserve"> to occur in Australia. Most beaked whales are deep-water species. </w:t>
      </w:r>
    </w:p>
    <w:p w14:paraId="6F3DE668" w14:textId="484F80C8" w:rsidR="00885EE5" w:rsidRPr="00B92BDA" w:rsidRDefault="00885EE5" w:rsidP="00885EE5">
      <w:pPr>
        <w:pStyle w:val="bodycopy"/>
        <w:rPr>
          <w:rFonts w:ascii="Arial" w:hAnsi="Arial"/>
          <w:sz w:val="22"/>
          <w:szCs w:val="22"/>
        </w:rPr>
      </w:pPr>
      <w:r w:rsidRPr="00B92BDA">
        <w:rPr>
          <w:rFonts w:ascii="Arial" w:hAnsi="Arial"/>
          <w:sz w:val="22"/>
          <w:szCs w:val="22"/>
        </w:rPr>
        <w:t>The most common and widespread species known to occur in Australian waters is the strap-toothed beaked whale (</w:t>
      </w:r>
      <w:r w:rsidRPr="00B92BDA">
        <w:rPr>
          <w:rFonts w:ascii="Arial" w:hAnsi="Arial"/>
          <w:i/>
          <w:sz w:val="22"/>
          <w:szCs w:val="22"/>
        </w:rPr>
        <w:t>Mesoplodon layardii</w:t>
      </w:r>
      <w:r w:rsidRPr="00B92BDA">
        <w:rPr>
          <w:rFonts w:ascii="Arial" w:hAnsi="Arial"/>
          <w:sz w:val="22"/>
          <w:szCs w:val="22"/>
        </w:rPr>
        <w:t>), which occurs in waters deeper than 200 m. Their population size is unknown, and oceanic (deep-water) squid form the bulk of their diet (DoEE, 201</w:t>
      </w:r>
      <w:r w:rsidR="00FF5C39">
        <w:rPr>
          <w:rFonts w:ascii="Arial" w:hAnsi="Arial"/>
          <w:sz w:val="22"/>
          <w:szCs w:val="22"/>
        </w:rPr>
        <w:t>7i</w:t>
      </w:r>
      <w:r w:rsidRPr="00B92BDA">
        <w:rPr>
          <w:rFonts w:ascii="Arial" w:hAnsi="Arial"/>
          <w:sz w:val="22"/>
          <w:szCs w:val="22"/>
        </w:rPr>
        <w:t xml:space="preserve">). Due to their preference for deep water, this species is unlikely to occur within the </w:t>
      </w:r>
      <w:r w:rsidR="00FD1E32">
        <w:rPr>
          <w:rFonts w:ascii="Arial" w:hAnsi="Arial"/>
          <w:sz w:val="22"/>
          <w:szCs w:val="22"/>
        </w:rPr>
        <w:t xml:space="preserve">proposed </w:t>
      </w:r>
      <w:r w:rsidRPr="00B92BDA">
        <w:rPr>
          <w:rFonts w:ascii="Arial" w:hAnsi="Arial"/>
          <w:sz w:val="22"/>
          <w:szCs w:val="22"/>
        </w:rPr>
        <w:t xml:space="preserve">survey area or </w:t>
      </w:r>
      <w:r w:rsidR="005320D7">
        <w:rPr>
          <w:rFonts w:ascii="Arial" w:hAnsi="Arial"/>
          <w:sz w:val="22"/>
          <w:szCs w:val="22"/>
        </w:rPr>
        <w:t>E</w:t>
      </w:r>
      <w:r w:rsidRPr="00B92BDA">
        <w:rPr>
          <w:rFonts w:ascii="Arial" w:hAnsi="Arial"/>
          <w:sz w:val="22"/>
          <w:szCs w:val="22"/>
        </w:rPr>
        <w:t xml:space="preserve">MBA. </w:t>
      </w:r>
    </w:p>
    <w:p w14:paraId="34BD0C9B" w14:textId="297BC9A6" w:rsidR="00944F92" w:rsidRPr="00B92BDA" w:rsidRDefault="00944F92" w:rsidP="00885EE5">
      <w:pPr>
        <w:pStyle w:val="bodycopy"/>
        <w:rPr>
          <w:rFonts w:ascii="Arial" w:hAnsi="Arial"/>
          <w:b/>
          <w:sz w:val="22"/>
          <w:szCs w:val="22"/>
        </w:rPr>
      </w:pPr>
      <w:r w:rsidRPr="00B92BDA">
        <w:rPr>
          <w:rFonts w:ascii="Arial" w:hAnsi="Arial"/>
          <w:b/>
          <w:sz w:val="22"/>
          <w:szCs w:val="22"/>
        </w:rPr>
        <w:t>Dolphins</w:t>
      </w:r>
      <w:r w:rsidR="007E0FE3" w:rsidRPr="00B92BDA">
        <w:rPr>
          <w:rFonts w:ascii="Arial" w:hAnsi="Arial"/>
          <w:b/>
          <w:sz w:val="22"/>
          <w:szCs w:val="22"/>
        </w:rPr>
        <w:t xml:space="preserve"> (</w:t>
      </w:r>
      <w:r w:rsidR="006A7CDA">
        <w:rPr>
          <w:rFonts w:ascii="Arial" w:hAnsi="Arial"/>
          <w:b/>
          <w:sz w:val="22"/>
          <w:szCs w:val="22"/>
        </w:rPr>
        <w:t xml:space="preserve">EPBC Act: </w:t>
      </w:r>
      <w:r w:rsidR="007E0FE3" w:rsidRPr="00B92BDA">
        <w:rPr>
          <w:rFonts w:ascii="Arial" w:hAnsi="Arial"/>
          <w:b/>
          <w:sz w:val="22"/>
          <w:szCs w:val="22"/>
        </w:rPr>
        <w:t>Listed marine species)</w:t>
      </w:r>
    </w:p>
    <w:p w14:paraId="411CABB8" w14:textId="74DC8892" w:rsidR="00944F92" w:rsidRPr="00B92BDA" w:rsidRDefault="00944F92" w:rsidP="00885EE5">
      <w:pPr>
        <w:pStyle w:val="bodycopy"/>
        <w:rPr>
          <w:rFonts w:ascii="Arial" w:hAnsi="Arial"/>
          <w:sz w:val="22"/>
          <w:szCs w:val="22"/>
        </w:rPr>
      </w:pPr>
      <w:r w:rsidRPr="00B92BDA">
        <w:rPr>
          <w:rFonts w:ascii="Arial" w:hAnsi="Arial"/>
          <w:sz w:val="22"/>
          <w:szCs w:val="22"/>
        </w:rPr>
        <w:t xml:space="preserve">None of the </w:t>
      </w:r>
      <w:r w:rsidR="007E0FE3" w:rsidRPr="00B92BDA">
        <w:rPr>
          <w:rFonts w:ascii="Arial" w:hAnsi="Arial"/>
          <w:sz w:val="22"/>
          <w:szCs w:val="22"/>
        </w:rPr>
        <w:t>seven</w:t>
      </w:r>
      <w:r w:rsidRPr="00B92BDA">
        <w:rPr>
          <w:rFonts w:ascii="Arial" w:hAnsi="Arial"/>
          <w:sz w:val="22"/>
          <w:szCs w:val="22"/>
        </w:rPr>
        <w:t xml:space="preserve"> dolphin</w:t>
      </w:r>
      <w:r w:rsidR="00F43E44" w:rsidRPr="00B92BDA">
        <w:rPr>
          <w:rFonts w:ascii="Arial" w:hAnsi="Arial"/>
          <w:sz w:val="22"/>
          <w:szCs w:val="22"/>
        </w:rPr>
        <w:t xml:space="preserve"> </w:t>
      </w:r>
      <w:r w:rsidRPr="00B92BDA">
        <w:rPr>
          <w:rFonts w:ascii="Arial" w:hAnsi="Arial"/>
          <w:sz w:val="22"/>
          <w:szCs w:val="22"/>
        </w:rPr>
        <w:t>s</w:t>
      </w:r>
      <w:r w:rsidR="00F43E44" w:rsidRPr="00B92BDA">
        <w:rPr>
          <w:rFonts w:ascii="Arial" w:hAnsi="Arial"/>
          <w:sz w:val="22"/>
          <w:szCs w:val="22"/>
        </w:rPr>
        <w:t>pecies</w:t>
      </w:r>
      <w:r w:rsidRPr="00B92BDA">
        <w:rPr>
          <w:rFonts w:ascii="Arial" w:hAnsi="Arial"/>
          <w:sz w:val="22"/>
          <w:szCs w:val="22"/>
        </w:rPr>
        <w:t xml:space="preserve"> listed in the PMST are listed as threatened</w:t>
      </w:r>
      <w:r w:rsidR="0089764C">
        <w:rPr>
          <w:rFonts w:ascii="Arial" w:hAnsi="Arial"/>
          <w:sz w:val="22"/>
          <w:szCs w:val="22"/>
        </w:rPr>
        <w:t xml:space="preserve"> under the EPBC Act or FFG Act</w:t>
      </w:r>
      <w:r w:rsidRPr="00B92BDA">
        <w:rPr>
          <w:rFonts w:ascii="Arial" w:hAnsi="Arial"/>
          <w:sz w:val="22"/>
          <w:szCs w:val="22"/>
        </w:rPr>
        <w:t>. Many dolphins are cosmopolitan species that are generally restricted to continental shelf environments. A brief description of the</w:t>
      </w:r>
      <w:r w:rsidR="00F43E44" w:rsidRPr="00B92BDA">
        <w:rPr>
          <w:rFonts w:ascii="Arial" w:hAnsi="Arial"/>
          <w:sz w:val="22"/>
          <w:szCs w:val="22"/>
        </w:rPr>
        <w:t>se</w:t>
      </w:r>
      <w:r w:rsidRPr="00B92BDA">
        <w:rPr>
          <w:rFonts w:ascii="Arial" w:hAnsi="Arial"/>
          <w:sz w:val="22"/>
          <w:szCs w:val="22"/>
        </w:rPr>
        <w:t xml:space="preserve"> dolphin species is provided below.  </w:t>
      </w:r>
    </w:p>
    <w:p w14:paraId="03F47A27" w14:textId="47D781FF" w:rsidR="00F43E44" w:rsidRPr="00B92BDA" w:rsidRDefault="00F43E44" w:rsidP="00567567">
      <w:pPr>
        <w:pStyle w:val="bodycopy"/>
        <w:numPr>
          <w:ilvl w:val="0"/>
          <w:numId w:val="79"/>
        </w:numPr>
        <w:rPr>
          <w:rFonts w:ascii="Arial" w:hAnsi="Arial"/>
          <w:sz w:val="22"/>
          <w:szCs w:val="22"/>
        </w:rPr>
      </w:pPr>
      <w:r w:rsidRPr="00B92BDA">
        <w:rPr>
          <w:rFonts w:ascii="Arial" w:hAnsi="Arial"/>
          <w:sz w:val="22"/>
          <w:szCs w:val="22"/>
        </w:rPr>
        <w:t xml:space="preserve">The </w:t>
      </w:r>
      <w:r w:rsidRPr="00B92BDA">
        <w:rPr>
          <w:rFonts w:ascii="Arial" w:hAnsi="Arial"/>
          <w:b/>
          <w:sz w:val="22"/>
          <w:szCs w:val="22"/>
        </w:rPr>
        <w:t>common dolphin</w:t>
      </w:r>
      <w:r w:rsidRPr="00B92BDA">
        <w:rPr>
          <w:rFonts w:ascii="Arial" w:hAnsi="Arial"/>
          <w:sz w:val="22"/>
          <w:szCs w:val="22"/>
        </w:rPr>
        <w:t xml:space="preserve"> (</w:t>
      </w:r>
      <w:r w:rsidRPr="00B92BDA">
        <w:rPr>
          <w:rFonts w:ascii="Arial" w:hAnsi="Arial"/>
          <w:i/>
          <w:sz w:val="22"/>
          <w:szCs w:val="22"/>
        </w:rPr>
        <w:t>Delphinus delphis</w:t>
      </w:r>
      <w:r w:rsidRPr="00B92BDA">
        <w:rPr>
          <w:rFonts w:ascii="Arial" w:hAnsi="Arial"/>
          <w:sz w:val="22"/>
          <w:szCs w:val="22"/>
        </w:rPr>
        <w:t>) is an abundant species, widely distributed from tropical to cool temperate waters, and generally further offshore than the bottlenose, although small groups may venture close to the coast and enter bays and inlets. They have been recorded in waters off all Australian states and territories. Stranding statistics indicate that common dolphins are active in Bass Strait at all times of the year, though less so in winter (DoEE, 2017</w:t>
      </w:r>
      <w:r w:rsidR="00FF5C39">
        <w:rPr>
          <w:rFonts w:ascii="Arial" w:hAnsi="Arial"/>
          <w:sz w:val="22"/>
          <w:szCs w:val="22"/>
        </w:rPr>
        <w:t>i</w:t>
      </w:r>
      <w:r w:rsidRPr="00B92BDA">
        <w:rPr>
          <w:rFonts w:ascii="Arial" w:hAnsi="Arial"/>
          <w:sz w:val="22"/>
          <w:szCs w:val="22"/>
        </w:rPr>
        <w:t>).</w:t>
      </w:r>
    </w:p>
    <w:p w14:paraId="54FEE882" w14:textId="77777777" w:rsidR="00F43E44" w:rsidRPr="00B92BDA" w:rsidRDefault="00F43E44" w:rsidP="00567567">
      <w:pPr>
        <w:pStyle w:val="bodycopy"/>
        <w:numPr>
          <w:ilvl w:val="0"/>
          <w:numId w:val="79"/>
        </w:numPr>
        <w:rPr>
          <w:rFonts w:ascii="Arial" w:hAnsi="Arial"/>
          <w:sz w:val="22"/>
          <w:szCs w:val="22"/>
        </w:rPr>
      </w:pPr>
      <w:r w:rsidRPr="00B92BDA">
        <w:rPr>
          <w:rFonts w:ascii="Arial" w:hAnsi="Arial"/>
          <w:b/>
          <w:sz w:val="22"/>
          <w:szCs w:val="22"/>
        </w:rPr>
        <w:t>Risso’s dolphin</w:t>
      </w:r>
      <w:r w:rsidRPr="00B92BDA">
        <w:rPr>
          <w:rFonts w:ascii="Arial" w:hAnsi="Arial"/>
          <w:sz w:val="22"/>
          <w:szCs w:val="22"/>
        </w:rPr>
        <w:t xml:space="preserve"> (</w:t>
      </w:r>
      <w:r w:rsidRPr="00B92BDA">
        <w:rPr>
          <w:rFonts w:ascii="Arial" w:hAnsi="Arial"/>
          <w:i/>
          <w:sz w:val="22"/>
          <w:szCs w:val="22"/>
        </w:rPr>
        <w:t>Grampus griseus</w:t>
      </w:r>
      <w:r w:rsidRPr="00B92BDA">
        <w:rPr>
          <w:rFonts w:ascii="Arial" w:hAnsi="Arial"/>
          <w:sz w:val="22"/>
          <w:szCs w:val="22"/>
        </w:rPr>
        <w:t xml:space="preserve">) is a widely distributed species found in deep waters of the continental slope and outer shelf from the tropics to temperate regions. This species prefers warm temperate to tropical waters with depths greater than 1,000 m, although they do sometimes extend their range into cooler latitudes in summer (Bannister </w:t>
      </w:r>
      <w:r w:rsidRPr="00B92BDA">
        <w:rPr>
          <w:rFonts w:ascii="Arial" w:hAnsi="Arial"/>
          <w:i/>
          <w:sz w:val="22"/>
          <w:szCs w:val="22"/>
        </w:rPr>
        <w:t>et al</w:t>
      </w:r>
      <w:r w:rsidRPr="00B92BDA">
        <w:rPr>
          <w:rFonts w:ascii="Arial" w:hAnsi="Arial"/>
          <w:sz w:val="22"/>
          <w:szCs w:val="22"/>
        </w:rPr>
        <w:t xml:space="preserve">., 1996). In Australia, the species has been recorded from all states except Tasmania and the Northern Territory. Fraser Island (off the southern Queensland coast) has the only suspected ‘resident’ population in Australia (Bannister </w:t>
      </w:r>
      <w:r w:rsidRPr="00B92BDA">
        <w:rPr>
          <w:rFonts w:ascii="Arial" w:hAnsi="Arial"/>
          <w:i/>
          <w:sz w:val="22"/>
          <w:szCs w:val="22"/>
        </w:rPr>
        <w:t>et al</w:t>
      </w:r>
      <w:r w:rsidRPr="00B92BDA">
        <w:rPr>
          <w:rFonts w:ascii="Arial" w:hAnsi="Arial"/>
          <w:sz w:val="22"/>
          <w:szCs w:val="22"/>
        </w:rPr>
        <w:t>., 1996). There are no known calving areas in Australian waters. The lack of resident populations in or near Bass Strait, and the lack of calving areas in Australia indicates there are no critical areas (and no BIA) for the species within the proposed acquisition area or the EMBA.</w:t>
      </w:r>
    </w:p>
    <w:p w14:paraId="522AA1DC" w14:textId="41CF1166" w:rsidR="00885EE5" w:rsidRPr="00B92BDA" w:rsidRDefault="00885EE5" w:rsidP="00567567">
      <w:pPr>
        <w:pStyle w:val="bodycopy"/>
        <w:numPr>
          <w:ilvl w:val="0"/>
          <w:numId w:val="79"/>
        </w:numPr>
        <w:rPr>
          <w:rFonts w:ascii="Arial" w:hAnsi="Arial"/>
          <w:sz w:val="22"/>
          <w:szCs w:val="22"/>
        </w:rPr>
      </w:pPr>
      <w:r w:rsidRPr="00B92BDA">
        <w:rPr>
          <w:rFonts w:ascii="Arial" w:hAnsi="Arial"/>
          <w:sz w:val="22"/>
          <w:szCs w:val="22"/>
        </w:rPr>
        <w:t xml:space="preserve">The </w:t>
      </w:r>
      <w:r w:rsidRPr="00B92BDA">
        <w:rPr>
          <w:rFonts w:ascii="Arial" w:hAnsi="Arial"/>
          <w:b/>
          <w:sz w:val="22"/>
          <w:szCs w:val="22"/>
        </w:rPr>
        <w:t>dusky dolphin</w:t>
      </w:r>
      <w:r w:rsidRPr="00B92BDA">
        <w:rPr>
          <w:rFonts w:ascii="Arial" w:hAnsi="Arial"/>
          <w:sz w:val="22"/>
          <w:szCs w:val="22"/>
        </w:rPr>
        <w:t xml:space="preserve"> (</w:t>
      </w:r>
      <w:r w:rsidRPr="00B92BDA">
        <w:rPr>
          <w:rFonts w:ascii="Arial" w:hAnsi="Arial"/>
          <w:i/>
          <w:sz w:val="22"/>
          <w:szCs w:val="22"/>
        </w:rPr>
        <w:t>Lagenorhynchus obscures</w:t>
      </w:r>
      <w:r w:rsidRPr="00B92BDA">
        <w:rPr>
          <w:rFonts w:ascii="Arial" w:hAnsi="Arial"/>
          <w:sz w:val="22"/>
          <w:szCs w:val="22"/>
        </w:rPr>
        <w:t xml:space="preserve">) is primarily found from approximately 55°S to 26°S, though sometimes further north associated with cold currents. They are considered to be primarily an inshore species, but can also be oceanic when cold currents are present (Gill </w:t>
      </w:r>
      <w:r w:rsidRPr="00B92BDA">
        <w:rPr>
          <w:rFonts w:ascii="Arial" w:hAnsi="Arial"/>
          <w:i/>
          <w:sz w:val="22"/>
          <w:szCs w:val="22"/>
        </w:rPr>
        <w:t>et al</w:t>
      </w:r>
      <w:r w:rsidRPr="00B92BDA">
        <w:rPr>
          <w:rFonts w:ascii="Arial" w:hAnsi="Arial"/>
          <w:sz w:val="22"/>
          <w:szCs w:val="22"/>
        </w:rPr>
        <w:t xml:space="preserve">., 2000; Ross, 2006). Only 13 reports of the dusky dolphin have been made in Australia since 1828, and key locations are yet to be identified (Bannister </w:t>
      </w:r>
      <w:r w:rsidRPr="00B92BDA">
        <w:rPr>
          <w:rFonts w:ascii="Arial" w:hAnsi="Arial"/>
          <w:i/>
          <w:sz w:val="22"/>
          <w:szCs w:val="22"/>
        </w:rPr>
        <w:t>et al</w:t>
      </w:r>
      <w:r w:rsidRPr="00B92BDA">
        <w:rPr>
          <w:rFonts w:ascii="Arial" w:hAnsi="Arial"/>
          <w:sz w:val="22"/>
          <w:szCs w:val="22"/>
        </w:rPr>
        <w:t xml:space="preserve">., 1996). They occur across southern Australia from WA to Tasmania, confirmed sightings near Kangaroo Island and off Tasmania. No key localities or critical habitats in Australian waters have been identified (Bannister </w:t>
      </w:r>
      <w:r w:rsidRPr="00B92BDA">
        <w:rPr>
          <w:rFonts w:ascii="Arial" w:hAnsi="Arial"/>
          <w:i/>
          <w:sz w:val="22"/>
          <w:szCs w:val="22"/>
        </w:rPr>
        <w:t>et al</w:t>
      </w:r>
      <w:r w:rsidRPr="00B92BDA">
        <w:rPr>
          <w:rFonts w:ascii="Arial" w:hAnsi="Arial"/>
          <w:sz w:val="22"/>
          <w:szCs w:val="22"/>
        </w:rPr>
        <w:t xml:space="preserve">., 1996). Given the lack </w:t>
      </w:r>
      <w:r w:rsidRPr="00B92BDA">
        <w:rPr>
          <w:rFonts w:ascii="Arial" w:hAnsi="Arial"/>
          <w:sz w:val="22"/>
          <w:szCs w:val="22"/>
        </w:rPr>
        <w:lastRenderedPageBreak/>
        <w:t>of sightings in Australian waters, it is unlikely that significant numbers of dusky dolphins would be pr</w:t>
      </w:r>
      <w:r w:rsidR="005320D7">
        <w:rPr>
          <w:rFonts w:ascii="Arial" w:hAnsi="Arial"/>
          <w:sz w:val="22"/>
          <w:szCs w:val="22"/>
        </w:rPr>
        <w:t>esent in the survey area and E</w:t>
      </w:r>
      <w:r w:rsidRPr="00B92BDA">
        <w:rPr>
          <w:rFonts w:ascii="Arial" w:hAnsi="Arial"/>
          <w:sz w:val="22"/>
          <w:szCs w:val="22"/>
        </w:rPr>
        <w:t>MBA.</w:t>
      </w:r>
    </w:p>
    <w:p w14:paraId="48905E92" w14:textId="6C4B7ABC" w:rsidR="00B25177" w:rsidRPr="00B92BDA" w:rsidRDefault="00B25177" w:rsidP="00567567">
      <w:pPr>
        <w:pStyle w:val="bodycopy"/>
        <w:numPr>
          <w:ilvl w:val="0"/>
          <w:numId w:val="79"/>
        </w:numPr>
        <w:rPr>
          <w:rFonts w:ascii="Arial" w:hAnsi="Arial"/>
          <w:sz w:val="22"/>
          <w:szCs w:val="22"/>
        </w:rPr>
      </w:pPr>
      <w:r w:rsidRPr="00B92BDA">
        <w:rPr>
          <w:rFonts w:ascii="Arial" w:hAnsi="Arial"/>
          <w:sz w:val="22"/>
          <w:szCs w:val="22"/>
        </w:rPr>
        <w:t xml:space="preserve">The </w:t>
      </w:r>
      <w:r w:rsidRPr="00B92BDA">
        <w:rPr>
          <w:rFonts w:ascii="Arial" w:hAnsi="Arial"/>
          <w:b/>
          <w:sz w:val="22"/>
          <w:szCs w:val="22"/>
        </w:rPr>
        <w:t>killer whale</w:t>
      </w:r>
      <w:r w:rsidRPr="00B92BDA">
        <w:rPr>
          <w:rFonts w:ascii="Arial" w:hAnsi="Arial"/>
          <w:sz w:val="22"/>
          <w:szCs w:val="22"/>
        </w:rPr>
        <w:t xml:space="preserve"> (</w:t>
      </w:r>
      <w:r w:rsidRPr="00B92BDA">
        <w:rPr>
          <w:rFonts w:ascii="Arial" w:hAnsi="Arial"/>
          <w:i/>
          <w:sz w:val="22"/>
          <w:szCs w:val="22"/>
        </w:rPr>
        <w:t>Orcinus orca</w:t>
      </w:r>
      <w:r w:rsidRPr="00B92BDA">
        <w:rPr>
          <w:rFonts w:ascii="Arial" w:hAnsi="Arial"/>
          <w:sz w:val="22"/>
          <w:szCs w:val="22"/>
        </w:rPr>
        <w:t xml:space="preserve">) (the largest member of the dolphin family) are thought to be the most cosmopolitan of all cetaceans and appear to be more common in cold, deep waters, though they have often been observed along the continental slope and shelf particularly near seal colonies (Bannister </w:t>
      </w:r>
      <w:r w:rsidRPr="00B92BDA">
        <w:rPr>
          <w:rFonts w:ascii="Arial" w:hAnsi="Arial"/>
          <w:i/>
          <w:sz w:val="22"/>
          <w:szCs w:val="22"/>
        </w:rPr>
        <w:t>et al.</w:t>
      </w:r>
      <w:r w:rsidRPr="00B92BDA">
        <w:rPr>
          <w:rFonts w:ascii="Arial" w:hAnsi="Arial"/>
          <w:sz w:val="22"/>
          <w:szCs w:val="22"/>
        </w:rPr>
        <w:t xml:space="preserve">, 1996). The killer whale is widely distributed from polar to equatorial regions and has been recorded in all Australian waters with concentrations around Tasmania. The only recognised key locality in Australia is Macquarie Island and Heard Island in the Southern Ocean (Bannister </w:t>
      </w:r>
      <w:r w:rsidRPr="00B92BDA">
        <w:rPr>
          <w:rFonts w:ascii="Arial" w:hAnsi="Arial"/>
          <w:i/>
          <w:sz w:val="22"/>
          <w:szCs w:val="22"/>
        </w:rPr>
        <w:t>et al.,</w:t>
      </w:r>
      <w:r w:rsidRPr="00B92BDA">
        <w:rPr>
          <w:rFonts w:ascii="Arial" w:hAnsi="Arial"/>
          <w:sz w:val="22"/>
          <w:szCs w:val="22"/>
        </w:rPr>
        <w:t xml:space="preserve"> 1996). </w:t>
      </w:r>
      <w:r w:rsidRPr="00B92BDA">
        <w:rPr>
          <w:rFonts w:ascii="Arial" w:hAnsi="Arial"/>
          <w:color w:val="000000"/>
          <w:sz w:val="22"/>
          <w:szCs w:val="22"/>
          <w:shd w:val="clear" w:color="auto" w:fill="FFFFFF"/>
        </w:rPr>
        <w:t>The habitat of killer whales includes oceanic, pelagic and neritic (relatively shallow waters over the continental shelf) regions, in both warm and cold waters (DoE</w:t>
      </w:r>
      <w:r w:rsidR="007A1AB2">
        <w:rPr>
          <w:rFonts w:ascii="Arial" w:hAnsi="Arial"/>
          <w:color w:val="000000"/>
          <w:sz w:val="22"/>
          <w:szCs w:val="22"/>
          <w:shd w:val="clear" w:color="auto" w:fill="FFFFFF"/>
        </w:rPr>
        <w:t>E</w:t>
      </w:r>
      <w:r w:rsidRPr="00B92BDA">
        <w:rPr>
          <w:rFonts w:ascii="Arial" w:hAnsi="Arial"/>
          <w:color w:val="000000"/>
          <w:sz w:val="22"/>
          <w:szCs w:val="22"/>
          <w:shd w:val="clear" w:color="auto" w:fill="FFFFFF"/>
        </w:rPr>
        <w:t>, 201</w:t>
      </w:r>
      <w:r w:rsidR="007A1AB2">
        <w:rPr>
          <w:rFonts w:ascii="Arial" w:hAnsi="Arial"/>
          <w:color w:val="000000"/>
          <w:sz w:val="22"/>
          <w:szCs w:val="22"/>
          <w:shd w:val="clear" w:color="auto" w:fill="FFFFFF"/>
        </w:rPr>
        <w:t>7</w:t>
      </w:r>
      <w:r w:rsidR="00FF5C39">
        <w:rPr>
          <w:rFonts w:ascii="Arial" w:hAnsi="Arial"/>
          <w:color w:val="000000"/>
          <w:sz w:val="22"/>
          <w:szCs w:val="22"/>
          <w:shd w:val="clear" w:color="auto" w:fill="FFFFFF"/>
        </w:rPr>
        <w:t>i</w:t>
      </w:r>
      <w:r w:rsidRPr="00B92BDA">
        <w:rPr>
          <w:rFonts w:ascii="Arial" w:hAnsi="Arial"/>
          <w:color w:val="000000"/>
          <w:sz w:val="22"/>
          <w:szCs w:val="22"/>
          <w:shd w:val="clear" w:color="auto" w:fill="FFFFFF"/>
        </w:rPr>
        <w:t>).</w:t>
      </w:r>
      <w:r w:rsidRPr="00B92BDA">
        <w:rPr>
          <w:rFonts w:ascii="Arial" w:hAnsi="Arial"/>
          <w:sz w:val="22"/>
          <w:szCs w:val="22"/>
        </w:rPr>
        <w:t xml:space="preserve"> In Victoria, sightings peak in June/July, where they have been observed feeding on sharks, sunfish, and Australian fur seals (Mustoe, 2008). The breeding season is variable and the species moves seasonally to areas of food supply (Bannister </w:t>
      </w:r>
      <w:r w:rsidRPr="00B92BDA">
        <w:rPr>
          <w:rFonts w:ascii="Arial" w:hAnsi="Arial"/>
          <w:i/>
          <w:sz w:val="22"/>
          <w:szCs w:val="22"/>
        </w:rPr>
        <w:t>et al</w:t>
      </w:r>
      <w:r w:rsidRPr="00B92BDA">
        <w:rPr>
          <w:rFonts w:ascii="Arial" w:hAnsi="Arial"/>
          <w:sz w:val="22"/>
          <w:szCs w:val="22"/>
        </w:rPr>
        <w:t xml:space="preserve">., 1996; Morrice </w:t>
      </w:r>
      <w:r w:rsidRPr="00B92BDA">
        <w:rPr>
          <w:rFonts w:ascii="Arial" w:hAnsi="Arial"/>
          <w:i/>
          <w:sz w:val="22"/>
          <w:szCs w:val="22"/>
        </w:rPr>
        <w:t>et al</w:t>
      </w:r>
      <w:r w:rsidRPr="00B92BDA">
        <w:rPr>
          <w:rFonts w:ascii="Arial" w:hAnsi="Arial"/>
          <w:sz w:val="22"/>
          <w:szCs w:val="22"/>
        </w:rPr>
        <w:t>., 2004). It is possible that killer whales may occur in the EMBA, however given the distance to the nearest seal colonies (</w:t>
      </w:r>
      <w:r w:rsidR="000377AA">
        <w:rPr>
          <w:rFonts w:ascii="Arial" w:hAnsi="Arial"/>
          <w:sz w:val="22"/>
          <w:szCs w:val="22"/>
        </w:rPr>
        <w:t>see Section 5.4.6</w:t>
      </w:r>
      <w:r w:rsidRPr="00B92BDA">
        <w:rPr>
          <w:rFonts w:ascii="Arial" w:hAnsi="Arial"/>
          <w:sz w:val="22"/>
          <w:szCs w:val="22"/>
        </w:rPr>
        <w:t>), the proposed survey acquisition area is unlikely to represent an important habitat for this species and significant numbers of this species are not expected during the survey period.</w:t>
      </w:r>
    </w:p>
    <w:p w14:paraId="6588E539" w14:textId="3FC6902E" w:rsidR="00F43E44" w:rsidRPr="00B92BDA" w:rsidRDefault="00F43E44" w:rsidP="00567567">
      <w:pPr>
        <w:pStyle w:val="bodycopy"/>
        <w:numPr>
          <w:ilvl w:val="0"/>
          <w:numId w:val="79"/>
        </w:numPr>
        <w:rPr>
          <w:rFonts w:ascii="Arial" w:hAnsi="Arial"/>
          <w:sz w:val="22"/>
          <w:szCs w:val="22"/>
        </w:rPr>
      </w:pPr>
      <w:r w:rsidRPr="00B92BDA">
        <w:rPr>
          <w:rFonts w:ascii="Arial" w:hAnsi="Arial"/>
          <w:sz w:val="22"/>
          <w:szCs w:val="22"/>
        </w:rPr>
        <w:t xml:space="preserve">The </w:t>
      </w:r>
      <w:r w:rsidRPr="00B92BDA">
        <w:rPr>
          <w:rFonts w:ascii="Arial" w:hAnsi="Arial"/>
          <w:b/>
          <w:sz w:val="22"/>
          <w:szCs w:val="22"/>
        </w:rPr>
        <w:t>southern right whale dolphin</w:t>
      </w:r>
      <w:r w:rsidRPr="00B92BDA">
        <w:rPr>
          <w:rFonts w:ascii="Arial" w:hAnsi="Arial"/>
          <w:sz w:val="22"/>
          <w:szCs w:val="22"/>
        </w:rPr>
        <w:t xml:space="preserve"> (</w:t>
      </w:r>
      <w:r w:rsidRPr="00B92BDA">
        <w:rPr>
          <w:rFonts w:ascii="Arial" w:hAnsi="Arial"/>
          <w:i/>
          <w:sz w:val="22"/>
          <w:szCs w:val="22"/>
        </w:rPr>
        <w:t>Tursiops aduncas</w:t>
      </w:r>
      <w:r w:rsidRPr="00B92BDA">
        <w:rPr>
          <w:rFonts w:ascii="Arial" w:hAnsi="Arial"/>
          <w:sz w:val="22"/>
          <w:szCs w:val="22"/>
        </w:rPr>
        <w:t xml:space="preserve">) </w:t>
      </w:r>
      <w:r w:rsidR="00A81AC1" w:rsidRPr="00B92BDA">
        <w:rPr>
          <w:rFonts w:ascii="Arial" w:hAnsi="Arial"/>
          <w:sz w:val="22"/>
          <w:szCs w:val="22"/>
        </w:rPr>
        <w:t>are found off southern continental Australia, with no key localities in and no population estimates known for Australian waters (DoEE, 2017</w:t>
      </w:r>
      <w:r w:rsidR="00FF5C39">
        <w:rPr>
          <w:rFonts w:ascii="Arial" w:hAnsi="Arial"/>
          <w:sz w:val="22"/>
          <w:szCs w:val="22"/>
        </w:rPr>
        <w:t>i</w:t>
      </w:r>
      <w:r w:rsidR="00A81AC1" w:rsidRPr="00B92BDA">
        <w:rPr>
          <w:rFonts w:ascii="Arial" w:hAnsi="Arial"/>
          <w:sz w:val="22"/>
          <w:szCs w:val="22"/>
        </w:rPr>
        <w:t>). It is a pelagic species generally occurring between the sub-tropical and sub-Antarctic convergences, and usually found well offshore</w:t>
      </w:r>
      <w:r w:rsidR="00194247" w:rsidRPr="00B92BDA">
        <w:rPr>
          <w:rFonts w:ascii="Arial" w:hAnsi="Arial"/>
          <w:sz w:val="22"/>
          <w:szCs w:val="22"/>
        </w:rPr>
        <w:t xml:space="preserve"> past the continental shelf in water temperatures of 2-20°C (DoEE, 2017</w:t>
      </w:r>
      <w:r w:rsidR="00FF5C39">
        <w:rPr>
          <w:rFonts w:ascii="Arial" w:hAnsi="Arial"/>
          <w:sz w:val="22"/>
          <w:szCs w:val="22"/>
        </w:rPr>
        <w:t>i</w:t>
      </w:r>
      <w:r w:rsidR="00194247" w:rsidRPr="00B92BDA">
        <w:rPr>
          <w:rFonts w:ascii="Arial" w:hAnsi="Arial"/>
          <w:sz w:val="22"/>
          <w:szCs w:val="22"/>
        </w:rPr>
        <w:t xml:space="preserve">). Given their habitat preferences, it is unlikely that southern right whale dolphins occur within the proposed acquisition area. </w:t>
      </w:r>
    </w:p>
    <w:p w14:paraId="4FCEA1E9" w14:textId="3F95FA52" w:rsidR="00885EE5" w:rsidRPr="00B92BDA" w:rsidRDefault="00885EE5" w:rsidP="002E4E3A">
      <w:pPr>
        <w:pStyle w:val="bodycopy"/>
        <w:numPr>
          <w:ilvl w:val="0"/>
          <w:numId w:val="29"/>
        </w:numPr>
        <w:rPr>
          <w:rFonts w:ascii="Arial" w:hAnsi="Arial"/>
          <w:sz w:val="22"/>
          <w:szCs w:val="22"/>
        </w:rPr>
      </w:pPr>
      <w:r w:rsidRPr="00B92BDA">
        <w:rPr>
          <w:rFonts w:ascii="Arial" w:hAnsi="Arial"/>
          <w:sz w:val="22"/>
          <w:szCs w:val="22"/>
        </w:rPr>
        <w:t xml:space="preserve">The </w:t>
      </w:r>
      <w:r w:rsidRPr="00B92BDA">
        <w:rPr>
          <w:rFonts w:ascii="Arial" w:hAnsi="Arial"/>
          <w:b/>
          <w:sz w:val="22"/>
          <w:szCs w:val="22"/>
        </w:rPr>
        <w:t>Indian Ocean bottlenose dolphin</w:t>
      </w:r>
      <w:r w:rsidRPr="00B92BDA">
        <w:rPr>
          <w:rFonts w:ascii="Arial" w:hAnsi="Arial"/>
          <w:sz w:val="22"/>
          <w:szCs w:val="22"/>
        </w:rPr>
        <w:t xml:space="preserve"> (</w:t>
      </w:r>
      <w:r w:rsidRPr="00B92BDA">
        <w:rPr>
          <w:rFonts w:ascii="Arial" w:hAnsi="Arial"/>
          <w:i/>
          <w:sz w:val="22"/>
          <w:szCs w:val="22"/>
        </w:rPr>
        <w:t>Tursiops aduncus</w:t>
      </w:r>
      <w:r w:rsidRPr="00B92BDA">
        <w:rPr>
          <w:rFonts w:ascii="Arial" w:hAnsi="Arial"/>
          <w:sz w:val="22"/>
          <w:szCs w:val="22"/>
        </w:rPr>
        <w:t>) is distributed around the entire Australian mainland, but as the common name suggests, occur mainly in tropical and sub-tropical waters, usually coastal and shallow offshore areas. The species is thought to be common in discreet areas of eastern, northern and western Australia, though the total population size is not known (Do</w:t>
      </w:r>
      <w:r w:rsidR="00F43E44" w:rsidRPr="00B92BDA">
        <w:rPr>
          <w:rFonts w:ascii="Arial" w:hAnsi="Arial"/>
          <w:sz w:val="22"/>
          <w:szCs w:val="22"/>
        </w:rPr>
        <w:t>E</w:t>
      </w:r>
      <w:r w:rsidRPr="00B92BDA">
        <w:rPr>
          <w:rFonts w:ascii="Arial" w:hAnsi="Arial"/>
          <w:sz w:val="22"/>
          <w:szCs w:val="22"/>
        </w:rPr>
        <w:t>E, 201</w:t>
      </w:r>
      <w:r w:rsidR="00F43E44" w:rsidRPr="00B92BDA">
        <w:rPr>
          <w:rFonts w:ascii="Arial" w:hAnsi="Arial"/>
          <w:sz w:val="22"/>
          <w:szCs w:val="22"/>
        </w:rPr>
        <w:t>7</w:t>
      </w:r>
      <w:r w:rsidR="00FF5C39">
        <w:rPr>
          <w:rFonts w:ascii="Arial" w:hAnsi="Arial"/>
          <w:sz w:val="22"/>
          <w:szCs w:val="22"/>
        </w:rPr>
        <w:t>i</w:t>
      </w:r>
      <w:r w:rsidRPr="00B92BDA">
        <w:rPr>
          <w:rFonts w:ascii="Arial" w:hAnsi="Arial"/>
          <w:sz w:val="22"/>
          <w:szCs w:val="22"/>
        </w:rPr>
        <w:t xml:space="preserve">). No critical habitats are known to occur within the </w:t>
      </w:r>
      <w:r w:rsidR="00F43E44" w:rsidRPr="00B92BDA">
        <w:rPr>
          <w:rFonts w:ascii="Arial" w:hAnsi="Arial"/>
          <w:sz w:val="22"/>
          <w:szCs w:val="22"/>
        </w:rPr>
        <w:t>proposed acquisition</w:t>
      </w:r>
      <w:r w:rsidRPr="00B92BDA">
        <w:rPr>
          <w:rFonts w:ascii="Arial" w:hAnsi="Arial"/>
          <w:sz w:val="22"/>
          <w:szCs w:val="22"/>
        </w:rPr>
        <w:t xml:space="preserve"> area </w:t>
      </w:r>
      <w:r w:rsidR="00F43E44" w:rsidRPr="00B92BDA">
        <w:rPr>
          <w:rFonts w:ascii="Arial" w:hAnsi="Arial"/>
          <w:sz w:val="22"/>
          <w:szCs w:val="22"/>
        </w:rPr>
        <w:t>or E</w:t>
      </w:r>
      <w:r w:rsidRPr="00B92BDA">
        <w:rPr>
          <w:rFonts w:ascii="Arial" w:hAnsi="Arial"/>
          <w:sz w:val="22"/>
          <w:szCs w:val="22"/>
        </w:rPr>
        <w:t>MBA.</w:t>
      </w:r>
    </w:p>
    <w:p w14:paraId="45263831" w14:textId="77B0EBCF" w:rsidR="00885EE5" w:rsidRDefault="00885EE5" w:rsidP="00D97A08">
      <w:pPr>
        <w:pStyle w:val="bodycopy"/>
        <w:numPr>
          <w:ilvl w:val="0"/>
          <w:numId w:val="29"/>
        </w:numPr>
        <w:spacing w:after="240"/>
        <w:rPr>
          <w:rFonts w:ascii="Arial" w:hAnsi="Arial"/>
          <w:sz w:val="22"/>
          <w:szCs w:val="22"/>
        </w:rPr>
      </w:pPr>
      <w:r w:rsidRPr="00B92BDA">
        <w:rPr>
          <w:rFonts w:ascii="Arial" w:hAnsi="Arial"/>
          <w:sz w:val="22"/>
          <w:szCs w:val="22"/>
        </w:rPr>
        <w:t xml:space="preserve">The </w:t>
      </w:r>
      <w:r w:rsidRPr="00B92BDA">
        <w:rPr>
          <w:rFonts w:ascii="Arial" w:hAnsi="Arial"/>
          <w:b/>
          <w:sz w:val="22"/>
          <w:szCs w:val="22"/>
        </w:rPr>
        <w:t>bottlenose dolphin</w:t>
      </w:r>
      <w:r w:rsidRPr="00B92BDA">
        <w:rPr>
          <w:rFonts w:ascii="Arial" w:hAnsi="Arial"/>
          <w:sz w:val="22"/>
          <w:szCs w:val="22"/>
        </w:rPr>
        <w:t xml:space="preserve"> (</w:t>
      </w:r>
      <w:r w:rsidRPr="00B92BDA">
        <w:rPr>
          <w:rFonts w:ascii="Arial" w:hAnsi="Arial"/>
          <w:i/>
          <w:sz w:val="22"/>
          <w:szCs w:val="22"/>
        </w:rPr>
        <w:t>Tursiops truncatus</w:t>
      </w:r>
      <w:r w:rsidRPr="00B92BDA">
        <w:rPr>
          <w:rFonts w:ascii="Arial" w:hAnsi="Arial"/>
          <w:sz w:val="22"/>
          <w:szCs w:val="22"/>
        </w:rPr>
        <w:t>) has a worldwide distribution from tropical to temperate waters. While the species is primarily coastal, they are found inshore and on the shelf and open oceans as well. There are two forms of bottlenose dolphin, a nearshore form and an offshore form. The nearshore fo</w:t>
      </w:r>
      <w:r w:rsidR="00A81AC1" w:rsidRPr="00B92BDA">
        <w:rPr>
          <w:rFonts w:ascii="Arial" w:hAnsi="Arial"/>
          <w:sz w:val="22"/>
          <w:szCs w:val="22"/>
        </w:rPr>
        <w:t>rm occurs in southern Australia</w:t>
      </w:r>
      <w:r w:rsidR="00FF5C39">
        <w:rPr>
          <w:rFonts w:ascii="Arial" w:hAnsi="Arial"/>
          <w:sz w:val="22"/>
          <w:szCs w:val="22"/>
        </w:rPr>
        <w:t xml:space="preserve"> (DoEE, 2017i)</w:t>
      </w:r>
      <w:r w:rsidRPr="00B92BDA">
        <w:rPr>
          <w:rFonts w:ascii="Arial" w:hAnsi="Arial"/>
          <w:sz w:val="22"/>
          <w:szCs w:val="22"/>
        </w:rPr>
        <w:t xml:space="preserve">. Most populations are relatively discrete and reside in particular areas, such as individual resident populations in Port Phillip Bay (180 km west of the </w:t>
      </w:r>
      <w:r w:rsidR="00A81AC1" w:rsidRPr="00B92BDA">
        <w:rPr>
          <w:rFonts w:ascii="Arial" w:hAnsi="Arial"/>
          <w:sz w:val="22"/>
          <w:szCs w:val="22"/>
        </w:rPr>
        <w:t>proposed acquisition</w:t>
      </w:r>
      <w:r w:rsidRPr="00B92BDA">
        <w:rPr>
          <w:rFonts w:ascii="Arial" w:hAnsi="Arial"/>
          <w:sz w:val="22"/>
          <w:szCs w:val="22"/>
        </w:rPr>
        <w:t xml:space="preserve"> area) and Westernport Bay (235 km west of the </w:t>
      </w:r>
      <w:r w:rsidR="00A81AC1" w:rsidRPr="00B92BDA">
        <w:rPr>
          <w:rFonts w:ascii="Arial" w:hAnsi="Arial"/>
          <w:sz w:val="22"/>
          <w:szCs w:val="22"/>
        </w:rPr>
        <w:t>proposed acquisition</w:t>
      </w:r>
      <w:r w:rsidRPr="00B92BDA">
        <w:rPr>
          <w:rFonts w:ascii="Arial" w:hAnsi="Arial"/>
          <w:sz w:val="22"/>
          <w:szCs w:val="22"/>
        </w:rPr>
        <w:t xml:space="preserve"> area). There may be some migration and exchange between the populations, but it is likely that most are local residents. </w:t>
      </w:r>
    </w:p>
    <w:p w14:paraId="48A983F4" w14:textId="22614C6B" w:rsidR="004214EA" w:rsidRPr="00B92BDA" w:rsidRDefault="004214EA" w:rsidP="004214EA">
      <w:pPr>
        <w:pStyle w:val="bodycopy"/>
        <w:rPr>
          <w:rFonts w:ascii="Arial" w:hAnsi="Arial"/>
          <w:sz w:val="22"/>
          <w:szCs w:val="22"/>
        </w:rPr>
      </w:pPr>
      <w:r>
        <w:rPr>
          <w:rFonts w:ascii="Arial" w:hAnsi="Arial"/>
          <w:sz w:val="22"/>
          <w:szCs w:val="22"/>
        </w:rPr>
        <w:t>Though not listed in the EPBC PMST or the VBA</w:t>
      </w:r>
      <w:r w:rsidR="0089764C">
        <w:rPr>
          <w:rFonts w:ascii="Arial" w:hAnsi="Arial"/>
          <w:sz w:val="22"/>
          <w:szCs w:val="22"/>
        </w:rPr>
        <w:t xml:space="preserve"> for the EMBA</w:t>
      </w:r>
      <w:r>
        <w:rPr>
          <w:rFonts w:ascii="Arial" w:hAnsi="Arial"/>
          <w:sz w:val="22"/>
          <w:szCs w:val="22"/>
        </w:rPr>
        <w:t xml:space="preserve">, </w:t>
      </w:r>
      <w:r w:rsidR="00FD1E32">
        <w:rPr>
          <w:rFonts w:ascii="Arial" w:hAnsi="Arial"/>
          <w:sz w:val="22"/>
          <w:szCs w:val="22"/>
        </w:rPr>
        <w:t>t</w:t>
      </w:r>
      <w:r>
        <w:rPr>
          <w:rFonts w:ascii="Arial" w:hAnsi="Arial"/>
          <w:sz w:val="22"/>
          <w:szCs w:val="22"/>
        </w:rPr>
        <w:t>he Burrun</w:t>
      </w:r>
      <w:r w:rsidR="00D16AA7">
        <w:rPr>
          <w:rFonts w:ascii="Arial" w:hAnsi="Arial"/>
          <w:sz w:val="22"/>
          <w:szCs w:val="22"/>
        </w:rPr>
        <w:t>an dolphin (</w:t>
      </w:r>
      <w:r w:rsidR="00D16AA7" w:rsidRPr="00D16AA7">
        <w:rPr>
          <w:rFonts w:ascii="Arial" w:hAnsi="Arial"/>
          <w:i/>
          <w:sz w:val="22"/>
          <w:szCs w:val="22"/>
        </w:rPr>
        <w:t>Tursiops australis</w:t>
      </w:r>
      <w:r w:rsidR="00D16AA7">
        <w:rPr>
          <w:rFonts w:ascii="Arial" w:hAnsi="Arial"/>
          <w:sz w:val="22"/>
          <w:szCs w:val="22"/>
        </w:rPr>
        <w:t>)</w:t>
      </w:r>
      <w:r w:rsidR="00FD1E32">
        <w:rPr>
          <w:rFonts w:ascii="Arial" w:hAnsi="Arial"/>
          <w:sz w:val="22"/>
          <w:szCs w:val="22"/>
        </w:rPr>
        <w:t xml:space="preserve"> is</w:t>
      </w:r>
      <w:r w:rsidR="00D16AA7">
        <w:rPr>
          <w:rFonts w:ascii="Arial" w:hAnsi="Arial"/>
          <w:sz w:val="22"/>
          <w:szCs w:val="22"/>
        </w:rPr>
        <w:t xml:space="preserve"> a species of bottlenose dolphin </w:t>
      </w:r>
      <w:r w:rsidR="00FD1E32">
        <w:rPr>
          <w:rFonts w:ascii="Arial" w:hAnsi="Arial"/>
          <w:sz w:val="22"/>
          <w:szCs w:val="22"/>
        </w:rPr>
        <w:t>(</w:t>
      </w:r>
      <w:r w:rsidR="00D16AA7">
        <w:rPr>
          <w:rFonts w:ascii="Arial" w:hAnsi="Arial"/>
          <w:sz w:val="22"/>
          <w:szCs w:val="22"/>
        </w:rPr>
        <w:t>only recognised as a separate species in 2011</w:t>
      </w:r>
      <w:r w:rsidR="00FD1E32">
        <w:rPr>
          <w:rFonts w:ascii="Arial" w:hAnsi="Arial"/>
          <w:sz w:val="22"/>
          <w:szCs w:val="22"/>
        </w:rPr>
        <w:t xml:space="preserve">) that </w:t>
      </w:r>
      <w:r w:rsidR="00D16AA7">
        <w:rPr>
          <w:rFonts w:ascii="Arial" w:hAnsi="Arial"/>
          <w:sz w:val="22"/>
          <w:szCs w:val="22"/>
        </w:rPr>
        <w:t xml:space="preserve">is present in the Gippsland Lakes. </w:t>
      </w:r>
      <w:r w:rsidR="0089764C">
        <w:rPr>
          <w:rFonts w:ascii="Arial" w:hAnsi="Arial"/>
          <w:sz w:val="22"/>
          <w:szCs w:val="22"/>
        </w:rPr>
        <w:t xml:space="preserve">This species is listed as threatened under the FFG Act. </w:t>
      </w:r>
      <w:r w:rsidR="00D16AA7">
        <w:rPr>
          <w:rFonts w:ascii="Arial" w:hAnsi="Arial"/>
          <w:sz w:val="22"/>
          <w:szCs w:val="22"/>
        </w:rPr>
        <w:t>Only two resident populations of Burrunan dolphin are known to occur, comprising about 50 individuals in the Gippsland Lakes and 100 individuals in Port Phillip Bay</w:t>
      </w:r>
      <w:r w:rsidR="006212E5">
        <w:rPr>
          <w:rFonts w:ascii="Arial" w:hAnsi="Arial"/>
          <w:sz w:val="22"/>
          <w:szCs w:val="22"/>
        </w:rPr>
        <w:t xml:space="preserve"> (</w:t>
      </w:r>
      <w:r w:rsidR="00E009FA">
        <w:rPr>
          <w:rFonts w:ascii="Arial" w:hAnsi="Arial"/>
          <w:sz w:val="22"/>
          <w:szCs w:val="22"/>
        </w:rPr>
        <w:t xml:space="preserve">Charlton-Robb </w:t>
      </w:r>
      <w:r w:rsidR="00E009FA" w:rsidRPr="00E009FA">
        <w:rPr>
          <w:rFonts w:ascii="Arial" w:hAnsi="Arial"/>
          <w:i/>
          <w:sz w:val="22"/>
          <w:szCs w:val="22"/>
        </w:rPr>
        <w:t>et al</w:t>
      </w:r>
      <w:r w:rsidR="00E009FA">
        <w:rPr>
          <w:rFonts w:ascii="Arial" w:hAnsi="Arial"/>
          <w:sz w:val="22"/>
          <w:szCs w:val="22"/>
        </w:rPr>
        <w:t>.</w:t>
      </w:r>
      <w:r w:rsidR="006212E5">
        <w:rPr>
          <w:rFonts w:ascii="Arial" w:hAnsi="Arial"/>
          <w:sz w:val="22"/>
          <w:szCs w:val="22"/>
        </w:rPr>
        <w:t>, 2011)</w:t>
      </w:r>
      <w:r w:rsidR="00D16AA7">
        <w:rPr>
          <w:rFonts w:ascii="Arial" w:hAnsi="Arial"/>
          <w:sz w:val="22"/>
          <w:szCs w:val="22"/>
        </w:rPr>
        <w:t xml:space="preserve">. </w:t>
      </w:r>
      <w:r w:rsidR="00D60E7C">
        <w:rPr>
          <w:rFonts w:ascii="Arial" w:hAnsi="Arial"/>
          <w:sz w:val="22"/>
          <w:szCs w:val="22"/>
        </w:rPr>
        <w:t>It is unclear whether migration occurs between these sites</w:t>
      </w:r>
      <w:r w:rsidR="00D75836">
        <w:rPr>
          <w:rFonts w:ascii="Arial" w:hAnsi="Arial"/>
          <w:sz w:val="22"/>
          <w:szCs w:val="22"/>
        </w:rPr>
        <w:t xml:space="preserve">, though researchers from the Marine Mammal </w:t>
      </w:r>
      <w:r w:rsidR="00D75836">
        <w:rPr>
          <w:rFonts w:ascii="Arial" w:hAnsi="Arial"/>
          <w:sz w:val="22"/>
          <w:szCs w:val="22"/>
        </w:rPr>
        <w:lastRenderedPageBreak/>
        <w:t xml:space="preserve">Foundation released information in mid-2017 indicating that </w:t>
      </w:r>
      <w:r w:rsidR="008F00A5">
        <w:rPr>
          <w:rFonts w:ascii="Arial" w:hAnsi="Arial"/>
          <w:sz w:val="22"/>
          <w:szCs w:val="22"/>
        </w:rPr>
        <w:t>there are genetic similarities between the dolphins in the Gippsland Lakes and around Tasmania’s Freycinet Peninsula (ABC, 2017)</w:t>
      </w:r>
      <w:r w:rsidR="00D60E7C">
        <w:rPr>
          <w:rFonts w:ascii="Arial" w:hAnsi="Arial"/>
          <w:sz w:val="22"/>
          <w:szCs w:val="22"/>
        </w:rPr>
        <w:t xml:space="preserve">. </w:t>
      </w:r>
      <w:r w:rsidR="008F00A5">
        <w:rPr>
          <w:rFonts w:ascii="Arial" w:hAnsi="Arial"/>
          <w:sz w:val="22"/>
          <w:szCs w:val="22"/>
        </w:rPr>
        <w:t xml:space="preserve">The Marine Mammal Foundation belives a transient group of male dolphins swim between Gippsland and eastern Tasmania to breed with two different populations of female dolphins. </w:t>
      </w:r>
      <w:r w:rsidR="008B7060">
        <w:rPr>
          <w:rFonts w:ascii="Arial" w:hAnsi="Arial"/>
          <w:sz w:val="22"/>
          <w:szCs w:val="22"/>
        </w:rPr>
        <w:t xml:space="preserve">The taxonomic validity of this new species </w:t>
      </w:r>
      <w:r w:rsidR="00A975A1">
        <w:rPr>
          <w:rFonts w:ascii="Arial" w:hAnsi="Arial"/>
          <w:sz w:val="22"/>
          <w:szCs w:val="22"/>
        </w:rPr>
        <w:t>has been</w:t>
      </w:r>
      <w:r w:rsidR="008B7060">
        <w:rPr>
          <w:rFonts w:ascii="Arial" w:hAnsi="Arial"/>
          <w:sz w:val="22"/>
          <w:szCs w:val="22"/>
        </w:rPr>
        <w:t xml:space="preserve"> question</w:t>
      </w:r>
      <w:r w:rsidR="00A975A1">
        <w:rPr>
          <w:rFonts w:ascii="Arial" w:hAnsi="Arial"/>
          <w:sz w:val="22"/>
          <w:szCs w:val="22"/>
        </w:rPr>
        <w:t>ed</w:t>
      </w:r>
      <w:r w:rsidR="008B7060">
        <w:rPr>
          <w:rFonts w:ascii="Arial" w:hAnsi="Arial"/>
          <w:sz w:val="22"/>
          <w:szCs w:val="22"/>
        </w:rPr>
        <w:t xml:space="preserve"> </w:t>
      </w:r>
      <w:r w:rsidR="00453127">
        <w:rPr>
          <w:rFonts w:ascii="Arial" w:hAnsi="Arial"/>
          <w:sz w:val="22"/>
          <w:szCs w:val="22"/>
        </w:rPr>
        <w:t>by the Committee for Taxonomy for the International Society for Marine Mammology (</w:t>
      </w:r>
      <w:r w:rsidR="002C76AE">
        <w:rPr>
          <w:rFonts w:ascii="Arial" w:hAnsi="Arial"/>
          <w:sz w:val="22"/>
          <w:szCs w:val="22"/>
        </w:rPr>
        <w:t>DRI</w:t>
      </w:r>
      <w:r w:rsidR="00453127">
        <w:rPr>
          <w:rFonts w:ascii="Arial" w:hAnsi="Arial"/>
          <w:sz w:val="22"/>
          <w:szCs w:val="22"/>
        </w:rPr>
        <w:t xml:space="preserve">, 2016). </w:t>
      </w:r>
    </w:p>
    <w:p w14:paraId="664693C1" w14:textId="77777777" w:rsidR="00885EE5" w:rsidRPr="00D54428" w:rsidRDefault="00885EE5" w:rsidP="00885EE5">
      <w:pPr>
        <w:pStyle w:val="Heading3"/>
      </w:pPr>
      <w:bookmarkStart w:id="265" w:name="_Toc474222013"/>
      <w:bookmarkStart w:id="266" w:name="_Ref476145170"/>
      <w:bookmarkStart w:id="267" w:name="_Ref476145534"/>
      <w:bookmarkStart w:id="268" w:name="_Ref478638666"/>
      <w:bookmarkStart w:id="269" w:name="_Toc375214563"/>
      <w:r>
        <w:t>Pinnipeds</w:t>
      </w:r>
      <w:bookmarkEnd w:id="265"/>
      <w:bookmarkEnd w:id="266"/>
      <w:bookmarkEnd w:id="267"/>
      <w:bookmarkEnd w:id="268"/>
      <w:bookmarkEnd w:id="269"/>
    </w:p>
    <w:p w14:paraId="3C9F38CB" w14:textId="0841B312" w:rsidR="00885EE5" w:rsidRPr="002330FD" w:rsidRDefault="00885EE5" w:rsidP="00885EE5">
      <w:pPr>
        <w:pStyle w:val="bodycopy"/>
        <w:rPr>
          <w:rFonts w:ascii="Arial" w:hAnsi="Arial"/>
          <w:sz w:val="22"/>
          <w:szCs w:val="22"/>
        </w:rPr>
      </w:pPr>
      <w:r w:rsidRPr="00B92BDA">
        <w:rPr>
          <w:rFonts w:ascii="Arial" w:hAnsi="Arial"/>
          <w:sz w:val="22"/>
          <w:szCs w:val="22"/>
        </w:rPr>
        <w:t xml:space="preserve">There are two pinniped species recorded under the EPBC Act </w:t>
      </w:r>
      <w:r w:rsidR="00194247" w:rsidRPr="00B92BDA">
        <w:rPr>
          <w:rFonts w:ascii="Arial" w:hAnsi="Arial"/>
          <w:sz w:val="22"/>
          <w:szCs w:val="22"/>
        </w:rPr>
        <w:t xml:space="preserve">PMST </w:t>
      </w:r>
      <w:r w:rsidRPr="00B92BDA">
        <w:rPr>
          <w:rFonts w:ascii="Arial" w:hAnsi="Arial"/>
          <w:sz w:val="22"/>
          <w:szCs w:val="22"/>
        </w:rPr>
        <w:t xml:space="preserve">as potentially occurring </w:t>
      </w:r>
      <w:r w:rsidR="00194247" w:rsidRPr="00B92BDA">
        <w:rPr>
          <w:rFonts w:ascii="Arial" w:hAnsi="Arial"/>
          <w:sz w:val="22"/>
          <w:szCs w:val="22"/>
        </w:rPr>
        <w:t>with</w:t>
      </w:r>
      <w:r w:rsidRPr="00B92BDA">
        <w:rPr>
          <w:rFonts w:ascii="Arial" w:hAnsi="Arial"/>
          <w:sz w:val="22"/>
          <w:szCs w:val="22"/>
        </w:rPr>
        <w:t xml:space="preserve">in the </w:t>
      </w:r>
      <w:r w:rsidR="00194247" w:rsidRPr="00B92BDA">
        <w:rPr>
          <w:rFonts w:ascii="Arial" w:hAnsi="Arial"/>
          <w:sz w:val="22"/>
          <w:szCs w:val="22"/>
        </w:rPr>
        <w:t>E</w:t>
      </w:r>
      <w:r w:rsidRPr="00B92BDA">
        <w:rPr>
          <w:rFonts w:ascii="Arial" w:hAnsi="Arial"/>
          <w:sz w:val="22"/>
          <w:szCs w:val="22"/>
        </w:rPr>
        <w:t>MBA (</w:t>
      </w:r>
      <w:r w:rsidRPr="002330FD">
        <w:rPr>
          <w:rFonts w:ascii="Arial" w:hAnsi="Arial"/>
          <w:sz w:val="22"/>
          <w:szCs w:val="22"/>
        </w:rPr>
        <w:t xml:space="preserve">Table </w:t>
      </w:r>
      <w:r w:rsidR="00B25177" w:rsidRPr="002330FD">
        <w:rPr>
          <w:rFonts w:ascii="Arial" w:hAnsi="Arial"/>
          <w:sz w:val="22"/>
          <w:szCs w:val="22"/>
        </w:rPr>
        <w:t>5.</w:t>
      </w:r>
      <w:r w:rsidR="00FD1E32" w:rsidRPr="002330FD">
        <w:rPr>
          <w:rFonts w:ascii="Arial" w:hAnsi="Arial"/>
          <w:sz w:val="22"/>
          <w:szCs w:val="22"/>
        </w:rPr>
        <w:t>9</w:t>
      </w:r>
      <w:r w:rsidRPr="002330FD">
        <w:rPr>
          <w:rFonts w:ascii="Arial" w:hAnsi="Arial"/>
          <w:sz w:val="22"/>
          <w:szCs w:val="22"/>
        </w:rPr>
        <w:t>).</w:t>
      </w:r>
      <w:r w:rsidR="0089764C" w:rsidRPr="002330FD">
        <w:rPr>
          <w:rFonts w:ascii="Arial" w:hAnsi="Arial"/>
          <w:sz w:val="22"/>
          <w:szCs w:val="22"/>
        </w:rPr>
        <w:t xml:space="preserve"> These species are not listed as threatened under the FFG Act. </w:t>
      </w:r>
    </w:p>
    <w:p w14:paraId="435289E1" w14:textId="4118F48D" w:rsidR="00F96565" w:rsidRPr="00B92BDA" w:rsidRDefault="00F96565" w:rsidP="00885EE5">
      <w:pPr>
        <w:pStyle w:val="bodycopy"/>
        <w:rPr>
          <w:rFonts w:ascii="Arial" w:hAnsi="Arial"/>
          <w:sz w:val="22"/>
          <w:szCs w:val="22"/>
        </w:rPr>
      </w:pPr>
      <w:r w:rsidRPr="002330FD">
        <w:rPr>
          <w:rFonts w:ascii="Arial" w:hAnsi="Arial"/>
          <w:sz w:val="22"/>
          <w:szCs w:val="22"/>
        </w:rPr>
        <w:t>A search of the VBA database indicates that four seal species have been recorded in the EMBA. In addition to those listed in Table 5.</w:t>
      </w:r>
      <w:r w:rsidR="00FD1E32" w:rsidRPr="002330FD">
        <w:rPr>
          <w:rFonts w:ascii="Arial" w:hAnsi="Arial"/>
          <w:sz w:val="22"/>
          <w:szCs w:val="22"/>
        </w:rPr>
        <w:t>9</w:t>
      </w:r>
      <w:r w:rsidRPr="002330FD">
        <w:rPr>
          <w:rFonts w:ascii="Arial" w:hAnsi="Arial"/>
          <w:sz w:val="22"/>
          <w:szCs w:val="22"/>
        </w:rPr>
        <w:t>,</w:t>
      </w:r>
      <w:r w:rsidRPr="002949C0">
        <w:rPr>
          <w:rFonts w:ascii="Arial" w:hAnsi="Arial"/>
          <w:sz w:val="22"/>
          <w:szCs w:val="22"/>
        </w:rPr>
        <w:t xml:space="preserve"> there</w:t>
      </w:r>
      <w:r w:rsidRPr="00B92BDA">
        <w:rPr>
          <w:rFonts w:ascii="Arial" w:hAnsi="Arial"/>
          <w:sz w:val="22"/>
          <w:szCs w:val="22"/>
        </w:rPr>
        <w:t xml:space="preserve"> are nine records of leopard seal (</w:t>
      </w:r>
      <w:r w:rsidRPr="00B92BDA">
        <w:rPr>
          <w:rFonts w:ascii="Arial" w:hAnsi="Arial"/>
          <w:i/>
          <w:sz w:val="22"/>
          <w:szCs w:val="22"/>
        </w:rPr>
        <w:t>Hydrurga leptonyx</w:t>
      </w:r>
      <w:r w:rsidRPr="00B92BDA">
        <w:rPr>
          <w:rFonts w:ascii="Arial" w:hAnsi="Arial"/>
          <w:sz w:val="22"/>
          <w:szCs w:val="22"/>
        </w:rPr>
        <w:t>) and one record of a crabeater seal (</w:t>
      </w:r>
      <w:r w:rsidRPr="00B92BDA">
        <w:rPr>
          <w:rFonts w:ascii="Arial" w:hAnsi="Arial"/>
          <w:i/>
          <w:sz w:val="22"/>
          <w:szCs w:val="22"/>
        </w:rPr>
        <w:t>Lobodon carcinophagus</w:t>
      </w:r>
      <w:r w:rsidRPr="00B92BDA">
        <w:rPr>
          <w:rFonts w:ascii="Arial" w:hAnsi="Arial"/>
          <w:sz w:val="22"/>
          <w:szCs w:val="22"/>
        </w:rPr>
        <w:t>). These species are not listed as threatened under the EPBC Act</w:t>
      </w:r>
      <w:r w:rsidR="00D251C3">
        <w:rPr>
          <w:rFonts w:ascii="Arial" w:hAnsi="Arial"/>
          <w:sz w:val="22"/>
          <w:szCs w:val="22"/>
        </w:rPr>
        <w:t xml:space="preserve"> or the FFG Act</w:t>
      </w:r>
      <w:r w:rsidRPr="00B92BDA">
        <w:rPr>
          <w:rFonts w:ascii="Arial" w:hAnsi="Arial"/>
          <w:sz w:val="22"/>
          <w:szCs w:val="22"/>
        </w:rPr>
        <w:t xml:space="preserve">. </w:t>
      </w:r>
      <w:r w:rsidR="00E33F5B" w:rsidRPr="00B92BDA">
        <w:rPr>
          <w:rFonts w:ascii="Arial" w:hAnsi="Arial"/>
          <w:sz w:val="22"/>
          <w:szCs w:val="22"/>
        </w:rPr>
        <w:t xml:space="preserve">The key habitat for both species is Antarctica, and they may be present along the southern Australian coastline as occasional vagrants only during the winter. </w:t>
      </w:r>
    </w:p>
    <w:p w14:paraId="5080572D" w14:textId="756A90E6" w:rsidR="00885EE5" w:rsidRPr="00A975A1" w:rsidRDefault="00885EE5" w:rsidP="00885EE5">
      <w:pPr>
        <w:pStyle w:val="TableHeader"/>
        <w:spacing w:after="120"/>
        <w:jc w:val="center"/>
        <w:rPr>
          <w:rFonts w:cs="Arial"/>
          <w:sz w:val="20"/>
          <w:szCs w:val="20"/>
        </w:rPr>
      </w:pPr>
      <w:r w:rsidRPr="00A975A1">
        <w:rPr>
          <w:rFonts w:cs="Arial"/>
          <w:sz w:val="20"/>
          <w:szCs w:val="20"/>
        </w:rPr>
        <w:t xml:space="preserve">Table </w:t>
      </w:r>
      <w:r w:rsidR="00B25177" w:rsidRPr="00A975A1">
        <w:rPr>
          <w:rFonts w:cs="Arial"/>
          <w:sz w:val="20"/>
          <w:szCs w:val="20"/>
        </w:rPr>
        <w:t>5.</w:t>
      </w:r>
      <w:r w:rsidR="00FD1E32">
        <w:rPr>
          <w:rFonts w:cs="Arial"/>
          <w:sz w:val="20"/>
          <w:szCs w:val="20"/>
        </w:rPr>
        <w:t>9</w:t>
      </w:r>
      <w:r w:rsidR="00B25177" w:rsidRPr="00A975A1">
        <w:rPr>
          <w:rFonts w:cs="Arial"/>
          <w:sz w:val="20"/>
          <w:szCs w:val="20"/>
        </w:rPr>
        <w:t>.</w:t>
      </w:r>
      <w:r w:rsidRPr="00A975A1">
        <w:rPr>
          <w:rFonts w:cs="Arial"/>
          <w:sz w:val="20"/>
          <w:szCs w:val="20"/>
        </w:rPr>
        <w:tab/>
        <w:t xml:space="preserve">EPBC Act-listed pinnipeds that may occur in the </w:t>
      </w:r>
      <w:r w:rsidR="00194247" w:rsidRPr="00A975A1">
        <w:rPr>
          <w:rFonts w:cs="Arial"/>
          <w:sz w:val="20"/>
          <w:szCs w:val="20"/>
        </w:rPr>
        <w:t>E</w:t>
      </w:r>
      <w:r w:rsidRPr="00A975A1">
        <w:rPr>
          <w:rFonts w:cs="Arial"/>
          <w:sz w:val="20"/>
          <w:szCs w:val="20"/>
        </w:rPr>
        <w:t>MBA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5"/>
        <w:gridCol w:w="1353"/>
        <w:gridCol w:w="1104"/>
        <w:gridCol w:w="963"/>
        <w:gridCol w:w="968"/>
        <w:gridCol w:w="828"/>
        <w:gridCol w:w="828"/>
        <w:gridCol w:w="1093"/>
      </w:tblGrid>
      <w:tr w:rsidR="00D251C3" w:rsidRPr="00D251C3" w14:paraId="123DBDF0" w14:textId="77777777" w:rsidTr="00891DE1">
        <w:trPr>
          <w:trHeight w:val="345"/>
          <w:jc w:val="center"/>
        </w:trPr>
        <w:tc>
          <w:tcPr>
            <w:tcW w:w="812" w:type="pct"/>
            <w:vMerge w:val="restart"/>
            <w:tcBorders>
              <w:top w:val="single" w:sz="4" w:space="0" w:color="auto"/>
              <w:left w:val="single" w:sz="4" w:space="0" w:color="auto"/>
              <w:right w:val="single" w:sz="4" w:space="0" w:color="auto"/>
            </w:tcBorders>
            <w:shd w:val="clear" w:color="auto" w:fill="064EA8"/>
            <w:vAlign w:val="center"/>
          </w:tcPr>
          <w:p w14:paraId="669D3C67" w14:textId="77777777" w:rsidR="00D251C3" w:rsidRPr="00891DE1" w:rsidRDefault="00D251C3" w:rsidP="00885EE5">
            <w:pPr>
              <w:spacing w:before="60" w:after="60"/>
              <w:ind w:left="89" w:firstLine="4"/>
              <w:jc w:val="center"/>
              <w:rPr>
                <w:rFonts w:cs="Arial"/>
                <w:color w:val="FFFFFF" w:themeColor="background1"/>
                <w:sz w:val="18"/>
                <w:szCs w:val="18"/>
              </w:rPr>
            </w:pPr>
            <w:r w:rsidRPr="00891DE1">
              <w:rPr>
                <w:rFonts w:cs="Arial"/>
                <w:color w:val="FFFFFF" w:themeColor="background1"/>
                <w:sz w:val="18"/>
                <w:szCs w:val="18"/>
              </w:rPr>
              <w:t>Scientific name</w:t>
            </w:r>
          </w:p>
        </w:tc>
        <w:tc>
          <w:tcPr>
            <w:tcW w:w="794" w:type="pct"/>
            <w:vMerge w:val="restart"/>
            <w:tcBorders>
              <w:top w:val="single" w:sz="4" w:space="0" w:color="auto"/>
              <w:left w:val="single" w:sz="4" w:space="0" w:color="auto"/>
              <w:right w:val="single" w:sz="4" w:space="0" w:color="auto"/>
            </w:tcBorders>
            <w:shd w:val="clear" w:color="auto" w:fill="064EA8"/>
            <w:vAlign w:val="center"/>
          </w:tcPr>
          <w:p w14:paraId="39231A34" w14:textId="77777777" w:rsidR="00D251C3" w:rsidRPr="00891DE1" w:rsidRDefault="00D251C3" w:rsidP="00885EE5">
            <w:pPr>
              <w:spacing w:before="60" w:after="60"/>
              <w:ind w:left="22"/>
              <w:jc w:val="center"/>
              <w:rPr>
                <w:rFonts w:cs="Arial"/>
                <w:color w:val="FFFFFF" w:themeColor="background1"/>
                <w:sz w:val="18"/>
                <w:szCs w:val="18"/>
              </w:rPr>
            </w:pPr>
            <w:r w:rsidRPr="00891DE1">
              <w:rPr>
                <w:rFonts w:cs="Arial"/>
                <w:color w:val="FFFFFF" w:themeColor="background1"/>
                <w:sz w:val="18"/>
                <w:szCs w:val="18"/>
              </w:rPr>
              <w:t>Common name</w:t>
            </w:r>
          </w:p>
        </w:tc>
        <w:tc>
          <w:tcPr>
            <w:tcW w:w="1781" w:type="pct"/>
            <w:gridSpan w:val="3"/>
            <w:tcBorders>
              <w:top w:val="single" w:sz="4" w:space="0" w:color="auto"/>
              <w:left w:val="single" w:sz="4" w:space="0" w:color="auto"/>
              <w:bottom w:val="single" w:sz="4" w:space="0" w:color="auto"/>
              <w:right w:val="single" w:sz="4" w:space="0" w:color="auto"/>
            </w:tcBorders>
            <w:shd w:val="clear" w:color="auto" w:fill="064EA8"/>
          </w:tcPr>
          <w:p w14:paraId="12B10E1E" w14:textId="77777777" w:rsidR="00D251C3" w:rsidRPr="00891DE1" w:rsidRDefault="00D251C3" w:rsidP="00885EE5">
            <w:pPr>
              <w:pStyle w:val="TableText"/>
              <w:jc w:val="center"/>
              <w:rPr>
                <w:rFonts w:cs="Arial"/>
                <w:color w:val="FFFFFF" w:themeColor="background1"/>
                <w:sz w:val="18"/>
                <w:szCs w:val="18"/>
              </w:rPr>
            </w:pPr>
            <w:r w:rsidRPr="00891DE1">
              <w:rPr>
                <w:rFonts w:cs="Arial"/>
                <w:color w:val="FFFFFF" w:themeColor="background1"/>
                <w:sz w:val="18"/>
                <w:szCs w:val="18"/>
              </w:rPr>
              <w:t>EPBC Act status</w:t>
            </w:r>
          </w:p>
        </w:tc>
        <w:tc>
          <w:tcPr>
            <w:tcW w:w="486" w:type="pct"/>
            <w:vMerge w:val="restart"/>
            <w:tcBorders>
              <w:top w:val="single" w:sz="4" w:space="0" w:color="auto"/>
              <w:left w:val="single" w:sz="4" w:space="0" w:color="auto"/>
              <w:right w:val="single" w:sz="4" w:space="0" w:color="auto"/>
            </w:tcBorders>
            <w:shd w:val="clear" w:color="auto" w:fill="064EA8"/>
            <w:vAlign w:val="center"/>
          </w:tcPr>
          <w:p w14:paraId="2BBCB387" w14:textId="62D14035" w:rsidR="00D251C3" w:rsidRPr="00D251C3" w:rsidRDefault="00D251C3" w:rsidP="00D251C3">
            <w:pPr>
              <w:pStyle w:val="TableText"/>
              <w:jc w:val="center"/>
              <w:rPr>
                <w:rFonts w:cs="Arial"/>
                <w:color w:val="FFFFFF" w:themeColor="background1"/>
                <w:sz w:val="18"/>
                <w:szCs w:val="18"/>
              </w:rPr>
            </w:pPr>
            <w:r>
              <w:rPr>
                <w:rFonts w:cs="Arial"/>
                <w:color w:val="FFFFFF" w:themeColor="background1"/>
                <w:sz w:val="18"/>
                <w:szCs w:val="18"/>
              </w:rPr>
              <w:t>FFG Act status</w:t>
            </w:r>
          </w:p>
        </w:tc>
        <w:tc>
          <w:tcPr>
            <w:tcW w:w="486" w:type="pct"/>
            <w:vMerge w:val="restart"/>
            <w:tcBorders>
              <w:top w:val="single" w:sz="4" w:space="0" w:color="auto"/>
              <w:left w:val="single" w:sz="4" w:space="0" w:color="auto"/>
              <w:right w:val="single" w:sz="4" w:space="0" w:color="auto"/>
            </w:tcBorders>
            <w:shd w:val="clear" w:color="auto" w:fill="064EA8"/>
            <w:vAlign w:val="center"/>
          </w:tcPr>
          <w:p w14:paraId="2D77447B" w14:textId="7124CC40" w:rsidR="00D251C3" w:rsidRPr="00891DE1" w:rsidRDefault="00D251C3" w:rsidP="00987752">
            <w:pPr>
              <w:pStyle w:val="TableText"/>
              <w:jc w:val="center"/>
              <w:rPr>
                <w:rFonts w:cs="Arial"/>
                <w:color w:val="FFFFFF" w:themeColor="background1"/>
                <w:sz w:val="18"/>
                <w:szCs w:val="18"/>
              </w:rPr>
            </w:pPr>
            <w:r w:rsidRPr="00891DE1">
              <w:rPr>
                <w:rFonts w:cs="Arial"/>
                <w:color w:val="FFFFFF" w:themeColor="background1"/>
                <w:sz w:val="18"/>
                <w:szCs w:val="18"/>
              </w:rPr>
              <w:t>BIA within the EMBA?</w:t>
            </w:r>
          </w:p>
        </w:tc>
        <w:tc>
          <w:tcPr>
            <w:tcW w:w="642" w:type="pct"/>
            <w:vMerge w:val="restart"/>
            <w:tcBorders>
              <w:top w:val="single" w:sz="4" w:space="0" w:color="auto"/>
              <w:left w:val="single" w:sz="4" w:space="0" w:color="auto"/>
              <w:right w:val="single" w:sz="4" w:space="0" w:color="auto"/>
            </w:tcBorders>
            <w:shd w:val="clear" w:color="auto" w:fill="064EA8"/>
            <w:vAlign w:val="center"/>
          </w:tcPr>
          <w:p w14:paraId="538AE345" w14:textId="77777777" w:rsidR="00D251C3" w:rsidRPr="00891DE1" w:rsidRDefault="00D251C3" w:rsidP="00885EE5">
            <w:pPr>
              <w:pStyle w:val="TableText"/>
              <w:jc w:val="center"/>
              <w:rPr>
                <w:rFonts w:cs="Arial"/>
                <w:color w:val="FFFFFF" w:themeColor="background1"/>
                <w:sz w:val="18"/>
                <w:szCs w:val="18"/>
              </w:rPr>
            </w:pPr>
            <w:r w:rsidRPr="00891DE1">
              <w:rPr>
                <w:rFonts w:cs="Arial"/>
                <w:color w:val="FFFFFF" w:themeColor="background1"/>
                <w:sz w:val="18"/>
                <w:szCs w:val="18"/>
              </w:rPr>
              <w:t>Recovery Plan in place?</w:t>
            </w:r>
          </w:p>
        </w:tc>
      </w:tr>
      <w:tr w:rsidR="00D251C3" w:rsidRPr="00D251C3" w14:paraId="5ED505E4" w14:textId="77777777" w:rsidTr="00891DE1">
        <w:trPr>
          <w:trHeight w:val="345"/>
          <w:jc w:val="center"/>
        </w:trPr>
        <w:tc>
          <w:tcPr>
            <w:tcW w:w="812" w:type="pct"/>
            <w:vMerge/>
            <w:tcBorders>
              <w:left w:val="single" w:sz="4" w:space="0" w:color="auto"/>
              <w:bottom w:val="single" w:sz="4" w:space="0" w:color="auto"/>
              <w:right w:val="single" w:sz="4" w:space="0" w:color="auto"/>
            </w:tcBorders>
            <w:shd w:val="clear" w:color="auto" w:fill="8064A2"/>
          </w:tcPr>
          <w:p w14:paraId="65AC5AEE" w14:textId="77777777" w:rsidR="00D251C3" w:rsidRPr="00891DE1" w:rsidRDefault="00D251C3" w:rsidP="00885EE5">
            <w:pPr>
              <w:numPr>
                <w:ilvl w:val="0"/>
                <w:numId w:val="2"/>
              </w:numPr>
              <w:tabs>
                <w:tab w:val="left" w:pos="1134"/>
                <w:tab w:val="left" w:pos="1620"/>
                <w:tab w:val="right" w:leader="dot" w:pos="8296"/>
              </w:tabs>
              <w:spacing w:before="60" w:after="60"/>
              <w:ind w:left="720" w:hanging="627"/>
              <w:rPr>
                <w:rFonts w:cs="Arial"/>
                <w:color w:val="FFFFFF"/>
                <w:sz w:val="18"/>
                <w:szCs w:val="18"/>
              </w:rPr>
            </w:pPr>
          </w:p>
        </w:tc>
        <w:tc>
          <w:tcPr>
            <w:tcW w:w="794" w:type="pct"/>
            <w:vMerge/>
            <w:tcBorders>
              <w:left w:val="single" w:sz="4" w:space="0" w:color="auto"/>
              <w:bottom w:val="single" w:sz="4" w:space="0" w:color="auto"/>
              <w:right w:val="single" w:sz="4" w:space="0" w:color="auto"/>
            </w:tcBorders>
            <w:shd w:val="clear" w:color="auto" w:fill="8064A2"/>
          </w:tcPr>
          <w:p w14:paraId="202945E3" w14:textId="77777777" w:rsidR="00D251C3" w:rsidRPr="00891DE1" w:rsidRDefault="00D251C3" w:rsidP="00885EE5">
            <w:pPr>
              <w:numPr>
                <w:ilvl w:val="0"/>
                <w:numId w:val="2"/>
              </w:numPr>
              <w:tabs>
                <w:tab w:val="left" w:pos="1134"/>
                <w:tab w:val="left" w:pos="1620"/>
                <w:tab w:val="right" w:leader="dot" w:pos="8296"/>
              </w:tabs>
              <w:spacing w:before="60" w:after="60"/>
              <w:ind w:left="22" w:hanging="900"/>
              <w:rPr>
                <w:rFonts w:cs="Arial"/>
                <w:color w:val="FFFFFF"/>
                <w:sz w:val="18"/>
                <w:szCs w:val="18"/>
              </w:rPr>
            </w:pPr>
          </w:p>
        </w:tc>
        <w:tc>
          <w:tcPr>
            <w:tcW w:w="648" w:type="pct"/>
            <w:tcBorders>
              <w:top w:val="single" w:sz="4" w:space="0" w:color="auto"/>
              <w:left w:val="single" w:sz="4" w:space="0" w:color="auto"/>
              <w:bottom w:val="single" w:sz="4" w:space="0" w:color="auto"/>
              <w:right w:val="single" w:sz="4" w:space="0" w:color="auto"/>
            </w:tcBorders>
            <w:shd w:val="clear" w:color="auto" w:fill="064EA8"/>
          </w:tcPr>
          <w:p w14:paraId="6A6ADEBE" w14:textId="77777777" w:rsidR="00D251C3" w:rsidRPr="00891DE1" w:rsidRDefault="00D251C3" w:rsidP="00885EE5">
            <w:pPr>
              <w:spacing w:before="60" w:after="60"/>
              <w:ind w:left="0"/>
              <w:jc w:val="center"/>
              <w:rPr>
                <w:rFonts w:cs="Arial"/>
                <w:color w:val="FFFFFF" w:themeColor="background1"/>
                <w:sz w:val="18"/>
                <w:szCs w:val="18"/>
              </w:rPr>
            </w:pPr>
            <w:r w:rsidRPr="00891DE1">
              <w:rPr>
                <w:rFonts w:cs="Arial"/>
                <w:color w:val="FFFFFF" w:themeColor="background1"/>
                <w:sz w:val="18"/>
                <w:szCs w:val="18"/>
              </w:rPr>
              <w:t>Listed threatened species</w:t>
            </w:r>
          </w:p>
        </w:tc>
        <w:tc>
          <w:tcPr>
            <w:tcW w:w="565" w:type="pct"/>
            <w:tcBorders>
              <w:top w:val="single" w:sz="4" w:space="0" w:color="auto"/>
              <w:left w:val="single" w:sz="4" w:space="0" w:color="auto"/>
              <w:bottom w:val="single" w:sz="4" w:space="0" w:color="auto"/>
              <w:right w:val="single" w:sz="4" w:space="0" w:color="auto"/>
            </w:tcBorders>
            <w:shd w:val="clear" w:color="auto" w:fill="064EA8"/>
          </w:tcPr>
          <w:p w14:paraId="20F01197" w14:textId="77777777" w:rsidR="00D251C3" w:rsidRPr="00891DE1" w:rsidRDefault="00D251C3" w:rsidP="00885EE5">
            <w:pPr>
              <w:pStyle w:val="TableText"/>
              <w:jc w:val="center"/>
              <w:rPr>
                <w:rFonts w:cs="Arial"/>
                <w:color w:val="FFFFFF" w:themeColor="background1"/>
                <w:sz w:val="18"/>
                <w:szCs w:val="18"/>
              </w:rPr>
            </w:pPr>
            <w:r w:rsidRPr="00891DE1">
              <w:rPr>
                <w:rFonts w:cs="Arial"/>
                <w:color w:val="FFFFFF" w:themeColor="background1"/>
                <w:sz w:val="18"/>
                <w:szCs w:val="18"/>
              </w:rPr>
              <w:t>Listed migratory species</w:t>
            </w:r>
          </w:p>
        </w:tc>
        <w:tc>
          <w:tcPr>
            <w:tcW w:w="568" w:type="pct"/>
            <w:tcBorders>
              <w:top w:val="single" w:sz="4" w:space="0" w:color="auto"/>
              <w:left w:val="single" w:sz="4" w:space="0" w:color="auto"/>
              <w:bottom w:val="single" w:sz="4" w:space="0" w:color="auto"/>
              <w:right w:val="single" w:sz="4" w:space="0" w:color="auto"/>
            </w:tcBorders>
            <w:shd w:val="clear" w:color="auto" w:fill="064EA8"/>
          </w:tcPr>
          <w:p w14:paraId="34DF9D48" w14:textId="77777777" w:rsidR="00D251C3" w:rsidRPr="00891DE1" w:rsidRDefault="00D251C3" w:rsidP="00885EE5">
            <w:pPr>
              <w:pStyle w:val="TableText"/>
              <w:jc w:val="center"/>
              <w:rPr>
                <w:rFonts w:cs="Arial"/>
                <w:color w:val="FFFFFF" w:themeColor="background1"/>
                <w:sz w:val="18"/>
                <w:szCs w:val="18"/>
              </w:rPr>
            </w:pPr>
            <w:r w:rsidRPr="00891DE1">
              <w:rPr>
                <w:rFonts w:cs="Arial"/>
                <w:color w:val="FFFFFF" w:themeColor="background1"/>
                <w:sz w:val="18"/>
                <w:szCs w:val="18"/>
              </w:rPr>
              <w:t>Listed marine species</w:t>
            </w:r>
          </w:p>
        </w:tc>
        <w:tc>
          <w:tcPr>
            <w:tcW w:w="486" w:type="pct"/>
            <w:vMerge/>
            <w:tcBorders>
              <w:left w:val="single" w:sz="4" w:space="0" w:color="auto"/>
              <w:bottom w:val="single" w:sz="4" w:space="0" w:color="auto"/>
              <w:right w:val="single" w:sz="4" w:space="0" w:color="auto"/>
            </w:tcBorders>
            <w:shd w:val="clear" w:color="auto" w:fill="8064A2"/>
          </w:tcPr>
          <w:p w14:paraId="134C80D8" w14:textId="77777777" w:rsidR="00D251C3" w:rsidRPr="00D251C3" w:rsidRDefault="00D251C3" w:rsidP="00885EE5">
            <w:pPr>
              <w:pStyle w:val="TableText"/>
              <w:jc w:val="center"/>
              <w:rPr>
                <w:rFonts w:cs="Arial"/>
                <w:color w:val="FFFFFF"/>
                <w:sz w:val="18"/>
                <w:szCs w:val="18"/>
              </w:rPr>
            </w:pPr>
          </w:p>
        </w:tc>
        <w:tc>
          <w:tcPr>
            <w:tcW w:w="486" w:type="pct"/>
            <w:vMerge/>
            <w:tcBorders>
              <w:left w:val="single" w:sz="4" w:space="0" w:color="auto"/>
              <w:bottom w:val="single" w:sz="4" w:space="0" w:color="auto"/>
              <w:right w:val="single" w:sz="4" w:space="0" w:color="auto"/>
            </w:tcBorders>
            <w:shd w:val="clear" w:color="auto" w:fill="8064A2"/>
          </w:tcPr>
          <w:p w14:paraId="01A19B51" w14:textId="01401AB0" w:rsidR="00D251C3" w:rsidRPr="00891DE1" w:rsidRDefault="00D251C3" w:rsidP="00885EE5">
            <w:pPr>
              <w:pStyle w:val="TableText"/>
              <w:numPr>
                <w:ilvl w:val="0"/>
                <w:numId w:val="2"/>
              </w:numPr>
              <w:tabs>
                <w:tab w:val="left" w:pos="1134"/>
                <w:tab w:val="left" w:pos="1620"/>
                <w:tab w:val="right" w:leader="dot" w:pos="8296"/>
              </w:tabs>
              <w:ind w:left="0" w:hanging="900"/>
              <w:jc w:val="center"/>
              <w:rPr>
                <w:rFonts w:cs="Arial"/>
                <w:color w:val="FFFFFF"/>
                <w:sz w:val="18"/>
                <w:szCs w:val="18"/>
              </w:rPr>
            </w:pPr>
          </w:p>
        </w:tc>
        <w:tc>
          <w:tcPr>
            <w:tcW w:w="642" w:type="pct"/>
            <w:vMerge/>
            <w:tcBorders>
              <w:left w:val="single" w:sz="4" w:space="0" w:color="auto"/>
              <w:bottom w:val="single" w:sz="4" w:space="0" w:color="auto"/>
              <w:right w:val="single" w:sz="4" w:space="0" w:color="auto"/>
            </w:tcBorders>
            <w:shd w:val="clear" w:color="auto" w:fill="8064A2"/>
          </w:tcPr>
          <w:p w14:paraId="2FD022D5" w14:textId="77777777" w:rsidR="00D251C3" w:rsidRPr="00891DE1" w:rsidRDefault="00D251C3" w:rsidP="00885EE5">
            <w:pPr>
              <w:pStyle w:val="TableText"/>
              <w:numPr>
                <w:ilvl w:val="0"/>
                <w:numId w:val="2"/>
              </w:numPr>
              <w:tabs>
                <w:tab w:val="left" w:pos="1134"/>
                <w:tab w:val="left" w:pos="1620"/>
                <w:tab w:val="right" w:leader="dot" w:pos="8296"/>
              </w:tabs>
              <w:ind w:left="0" w:hanging="900"/>
              <w:jc w:val="center"/>
              <w:rPr>
                <w:rFonts w:cs="Arial"/>
                <w:color w:val="FFFFFF"/>
                <w:sz w:val="18"/>
                <w:szCs w:val="18"/>
              </w:rPr>
            </w:pPr>
          </w:p>
        </w:tc>
      </w:tr>
      <w:tr w:rsidR="00D251C3" w:rsidRPr="00D251C3" w14:paraId="6737E5F7" w14:textId="77777777" w:rsidTr="00891DE1">
        <w:trPr>
          <w:trHeight w:val="345"/>
          <w:jc w:val="center"/>
        </w:trPr>
        <w:tc>
          <w:tcPr>
            <w:tcW w:w="812" w:type="pct"/>
            <w:tcBorders>
              <w:top w:val="single" w:sz="4" w:space="0" w:color="auto"/>
              <w:left w:val="single" w:sz="4" w:space="0" w:color="auto"/>
              <w:bottom w:val="single" w:sz="4" w:space="0" w:color="auto"/>
              <w:right w:val="single" w:sz="4" w:space="0" w:color="auto"/>
            </w:tcBorders>
            <w:shd w:val="clear" w:color="auto" w:fill="auto"/>
          </w:tcPr>
          <w:p w14:paraId="2D4FF03B" w14:textId="77777777" w:rsidR="00D251C3" w:rsidRPr="00891DE1" w:rsidRDefault="00D251C3" w:rsidP="00885EE5">
            <w:pPr>
              <w:spacing w:before="60" w:after="60"/>
              <w:ind w:left="0"/>
              <w:rPr>
                <w:rFonts w:cs="Arial"/>
                <w:i/>
                <w:sz w:val="18"/>
                <w:szCs w:val="18"/>
              </w:rPr>
            </w:pPr>
            <w:r w:rsidRPr="00891DE1">
              <w:rPr>
                <w:rFonts w:cs="Arial"/>
                <w:i/>
                <w:sz w:val="18"/>
                <w:szCs w:val="18"/>
              </w:rPr>
              <w:t>Arctocephalus forsteri</w:t>
            </w:r>
          </w:p>
        </w:tc>
        <w:tc>
          <w:tcPr>
            <w:tcW w:w="794" w:type="pct"/>
            <w:tcBorders>
              <w:top w:val="single" w:sz="4" w:space="0" w:color="auto"/>
              <w:left w:val="single" w:sz="4" w:space="0" w:color="auto"/>
              <w:bottom w:val="single" w:sz="4" w:space="0" w:color="auto"/>
              <w:right w:val="single" w:sz="4" w:space="0" w:color="auto"/>
            </w:tcBorders>
            <w:shd w:val="clear" w:color="auto" w:fill="auto"/>
          </w:tcPr>
          <w:p w14:paraId="6EBFD4E8" w14:textId="77777777" w:rsidR="00D251C3" w:rsidRPr="00891DE1" w:rsidRDefault="00D251C3" w:rsidP="00885EE5">
            <w:pPr>
              <w:spacing w:before="60" w:after="60"/>
              <w:ind w:left="22"/>
              <w:rPr>
                <w:rFonts w:cs="Arial"/>
                <w:sz w:val="18"/>
                <w:szCs w:val="18"/>
              </w:rPr>
            </w:pPr>
            <w:r w:rsidRPr="00891DE1">
              <w:rPr>
                <w:rFonts w:cs="Arial"/>
                <w:sz w:val="18"/>
                <w:szCs w:val="18"/>
              </w:rPr>
              <w:t>New Zealand fur-seal</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5057C171" w14:textId="77777777" w:rsidR="00D251C3" w:rsidRPr="00891DE1" w:rsidRDefault="00D251C3" w:rsidP="00885EE5">
            <w:pPr>
              <w:spacing w:before="60" w:after="60"/>
              <w:ind w:left="0"/>
              <w:jc w:val="center"/>
              <w:rPr>
                <w:rFonts w:cs="Arial"/>
                <w:sz w:val="18"/>
                <w:szCs w:val="18"/>
              </w:rPr>
            </w:pPr>
            <w:r w:rsidRPr="00891DE1">
              <w:rPr>
                <w:rFonts w:cs="Arial"/>
                <w:sz w:val="18"/>
                <w:szCs w:val="18"/>
              </w:rPr>
              <w:t>-</w:t>
            </w:r>
          </w:p>
        </w:tc>
        <w:tc>
          <w:tcPr>
            <w:tcW w:w="565" w:type="pct"/>
            <w:tcBorders>
              <w:top w:val="single" w:sz="4" w:space="0" w:color="auto"/>
              <w:left w:val="single" w:sz="4" w:space="0" w:color="auto"/>
              <w:bottom w:val="single" w:sz="4" w:space="0" w:color="auto"/>
              <w:right w:val="single" w:sz="4" w:space="0" w:color="auto"/>
            </w:tcBorders>
            <w:vAlign w:val="center"/>
          </w:tcPr>
          <w:p w14:paraId="51A4DAF3" w14:textId="77777777" w:rsidR="00D251C3" w:rsidRPr="00891DE1" w:rsidRDefault="00D251C3" w:rsidP="00885EE5">
            <w:pPr>
              <w:pStyle w:val="TableText"/>
              <w:jc w:val="center"/>
              <w:rPr>
                <w:rFonts w:cs="Arial"/>
                <w:sz w:val="18"/>
                <w:szCs w:val="18"/>
              </w:rPr>
            </w:pPr>
            <w:r w:rsidRPr="00891DE1">
              <w:rPr>
                <w:rFonts w:cs="Arial"/>
                <w:sz w:val="18"/>
                <w:szCs w:val="18"/>
              </w:rPr>
              <w:t>-</w:t>
            </w:r>
          </w:p>
        </w:tc>
        <w:tc>
          <w:tcPr>
            <w:tcW w:w="568" w:type="pct"/>
            <w:tcBorders>
              <w:top w:val="single" w:sz="4" w:space="0" w:color="auto"/>
              <w:left w:val="single" w:sz="4" w:space="0" w:color="auto"/>
              <w:bottom w:val="single" w:sz="4" w:space="0" w:color="auto"/>
              <w:right w:val="single" w:sz="4" w:space="0" w:color="auto"/>
            </w:tcBorders>
            <w:vAlign w:val="center"/>
          </w:tcPr>
          <w:p w14:paraId="3C708062" w14:textId="469CB003" w:rsidR="00D251C3" w:rsidRPr="00891DE1" w:rsidRDefault="00D251C3" w:rsidP="00B92BDA">
            <w:pPr>
              <w:pStyle w:val="TableText"/>
              <w:jc w:val="center"/>
              <w:rPr>
                <w:rFonts w:cs="Arial"/>
                <w:sz w:val="18"/>
                <w:szCs w:val="18"/>
              </w:rPr>
            </w:pPr>
            <w:r w:rsidRPr="00891DE1">
              <w:rPr>
                <w:rFonts w:cs="Arial"/>
                <w:sz w:val="18"/>
                <w:szCs w:val="18"/>
              </w:rPr>
              <w:t>Yes</w:t>
            </w:r>
          </w:p>
        </w:tc>
        <w:tc>
          <w:tcPr>
            <w:tcW w:w="486" w:type="pct"/>
            <w:tcBorders>
              <w:top w:val="single" w:sz="4" w:space="0" w:color="auto"/>
              <w:left w:val="single" w:sz="4" w:space="0" w:color="auto"/>
              <w:bottom w:val="single" w:sz="4" w:space="0" w:color="auto"/>
              <w:right w:val="single" w:sz="4" w:space="0" w:color="auto"/>
            </w:tcBorders>
            <w:vAlign w:val="center"/>
          </w:tcPr>
          <w:p w14:paraId="50B75F45" w14:textId="10990C72" w:rsidR="00D251C3" w:rsidRPr="00D251C3" w:rsidRDefault="00D251C3" w:rsidP="00D251C3">
            <w:pPr>
              <w:pStyle w:val="TableText"/>
              <w:jc w:val="center"/>
              <w:rPr>
                <w:rFonts w:cs="Arial"/>
                <w:sz w:val="18"/>
                <w:szCs w:val="18"/>
              </w:rPr>
            </w:pPr>
            <w:r>
              <w:rPr>
                <w:rFonts w:cs="Arial"/>
                <w:sz w:val="18"/>
                <w:szCs w:val="18"/>
              </w:rPr>
              <w:t>-</w:t>
            </w:r>
          </w:p>
        </w:tc>
        <w:tc>
          <w:tcPr>
            <w:tcW w:w="486" w:type="pct"/>
            <w:tcBorders>
              <w:top w:val="single" w:sz="4" w:space="0" w:color="auto"/>
              <w:left w:val="single" w:sz="4" w:space="0" w:color="auto"/>
              <w:bottom w:val="single" w:sz="4" w:space="0" w:color="auto"/>
              <w:right w:val="single" w:sz="4" w:space="0" w:color="auto"/>
            </w:tcBorders>
            <w:vAlign w:val="center"/>
          </w:tcPr>
          <w:p w14:paraId="42F9FCDA" w14:textId="78F7AD11" w:rsidR="00D251C3" w:rsidRPr="00891DE1" w:rsidRDefault="00D251C3" w:rsidP="00885EE5">
            <w:pPr>
              <w:pStyle w:val="TableText"/>
              <w:jc w:val="center"/>
              <w:rPr>
                <w:rFonts w:cs="Arial"/>
                <w:sz w:val="18"/>
                <w:szCs w:val="18"/>
              </w:rPr>
            </w:pPr>
            <w:r w:rsidRPr="00891DE1">
              <w:rPr>
                <w:rFonts w:cs="Arial"/>
                <w:sz w:val="18"/>
                <w:szCs w:val="18"/>
              </w:rPr>
              <w:t>-</w:t>
            </w:r>
          </w:p>
        </w:tc>
        <w:tc>
          <w:tcPr>
            <w:tcW w:w="642" w:type="pct"/>
            <w:tcBorders>
              <w:top w:val="single" w:sz="4" w:space="0" w:color="auto"/>
              <w:left w:val="single" w:sz="4" w:space="0" w:color="auto"/>
              <w:bottom w:val="single" w:sz="4" w:space="0" w:color="auto"/>
              <w:right w:val="single" w:sz="4" w:space="0" w:color="auto"/>
            </w:tcBorders>
            <w:vAlign w:val="center"/>
          </w:tcPr>
          <w:p w14:paraId="0B661B74" w14:textId="77777777" w:rsidR="00D251C3" w:rsidRPr="00891DE1" w:rsidRDefault="00D251C3" w:rsidP="00885EE5">
            <w:pPr>
              <w:pStyle w:val="TableText"/>
              <w:jc w:val="center"/>
              <w:rPr>
                <w:rFonts w:cs="Arial"/>
                <w:sz w:val="18"/>
                <w:szCs w:val="18"/>
              </w:rPr>
            </w:pPr>
            <w:r w:rsidRPr="00891DE1">
              <w:rPr>
                <w:rFonts w:cs="Arial"/>
                <w:sz w:val="18"/>
                <w:szCs w:val="18"/>
              </w:rPr>
              <w:t>-</w:t>
            </w:r>
          </w:p>
        </w:tc>
      </w:tr>
      <w:tr w:rsidR="00D251C3" w:rsidRPr="00D251C3" w14:paraId="548D044D" w14:textId="77777777" w:rsidTr="00891DE1">
        <w:trPr>
          <w:trHeight w:val="345"/>
          <w:jc w:val="center"/>
        </w:trPr>
        <w:tc>
          <w:tcPr>
            <w:tcW w:w="812" w:type="pct"/>
            <w:tcBorders>
              <w:top w:val="single" w:sz="4" w:space="0" w:color="auto"/>
              <w:left w:val="single" w:sz="4" w:space="0" w:color="auto"/>
              <w:bottom w:val="single" w:sz="4" w:space="0" w:color="auto"/>
              <w:right w:val="single" w:sz="4" w:space="0" w:color="auto"/>
            </w:tcBorders>
            <w:shd w:val="clear" w:color="auto" w:fill="auto"/>
          </w:tcPr>
          <w:p w14:paraId="667E10BE" w14:textId="77777777" w:rsidR="00D251C3" w:rsidRPr="00891DE1" w:rsidRDefault="00D251C3" w:rsidP="00885EE5">
            <w:pPr>
              <w:spacing w:before="60" w:after="60"/>
              <w:ind w:left="0"/>
              <w:rPr>
                <w:rFonts w:cs="Arial"/>
                <w:i/>
                <w:sz w:val="18"/>
                <w:szCs w:val="18"/>
              </w:rPr>
            </w:pPr>
            <w:r w:rsidRPr="00891DE1">
              <w:rPr>
                <w:rFonts w:cs="Arial"/>
                <w:i/>
                <w:sz w:val="18"/>
                <w:szCs w:val="18"/>
              </w:rPr>
              <w:t>Arctocephalus pusillus</w:t>
            </w:r>
          </w:p>
        </w:tc>
        <w:tc>
          <w:tcPr>
            <w:tcW w:w="794" w:type="pct"/>
            <w:tcBorders>
              <w:top w:val="single" w:sz="4" w:space="0" w:color="auto"/>
              <w:left w:val="single" w:sz="4" w:space="0" w:color="auto"/>
              <w:bottom w:val="single" w:sz="4" w:space="0" w:color="auto"/>
              <w:right w:val="single" w:sz="4" w:space="0" w:color="auto"/>
            </w:tcBorders>
            <w:shd w:val="clear" w:color="auto" w:fill="auto"/>
          </w:tcPr>
          <w:p w14:paraId="0D5524F7" w14:textId="77777777" w:rsidR="00D251C3" w:rsidRPr="00891DE1" w:rsidRDefault="00D251C3" w:rsidP="00885EE5">
            <w:pPr>
              <w:spacing w:before="60" w:after="60"/>
              <w:ind w:left="22"/>
              <w:rPr>
                <w:rFonts w:cs="Arial"/>
                <w:sz w:val="18"/>
                <w:szCs w:val="18"/>
              </w:rPr>
            </w:pPr>
            <w:r w:rsidRPr="00891DE1">
              <w:rPr>
                <w:rFonts w:cs="Arial"/>
                <w:sz w:val="18"/>
                <w:szCs w:val="18"/>
              </w:rPr>
              <w:t>Australian fur-seal</w:t>
            </w: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tcPr>
          <w:p w14:paraId="1677C657" w14:textId="77777777" w:rsidR="00D251C3" w:rsidRPr="00891DE1" w:rsidRDefault="00D251C3" w:rsidP="00885EE5">
            <w:pPr>
              <w:spacing w:before="60" w:after="60"/>
              <w:ind w:left="0"/>
              <w:jc w:val="center"/>
              <w:rPr>
                <w:rFonts w:cs="Arial"/>
                <w:sz w:val="18"/>
                <w:szCs w:val="18"/>
              </w:rPr>
            </w:pPr>
            <w:r w:rsidRPr="00891DE1">
              <w:rPr>
                <w:rFonts w:cs="Arial"/>
                <w:sz w:val="18"/>
                <w:szCs w:val="18"/>
              </w:rPr>
              <w:t>-</w:t>
            </w:r>
          </w:p>
        </w:tc>
        <w:tc>
          <w:tcPr>
            <w:tcW w:w="565" w:type="pct"/>
            <w:tcBorders>
              <w:top w:val="single" w:sz="4" w:space="0" w:color="auto"/>
              <w:left w:val="single" w:sz="4" w:space="0" w:color="auto"/>
              <w:bottom w:val="single" w:sz="4" w:space="0" w:color="auto"/>
              <w:right w:val="single" w:sz="4" w:space="0" w:color="auto"/>
            </w:tcBorders>
            <w:vAlign w:val="center"/>
          </w:tcPr>
          <w:p w14:paraId="0C00AA56" w14:textId="77777777" w:rsidR="00D251C3" w:rsidRPr="00891DE1" w:rsidRDefault="00D251C3" w:rsidP="00885EE5">
            <w:pPr>
              <w:pStyle w:val="TableText"/>
              <w:jc w:val="center"/>
              <w:rPr>
                <w:rFonts w:cs="Arial"/>
                <w:sz w:val="18"/>
                <w:szCs w:val="18"/>
              </w:rPr>
            </w:pPr>
            <w:r w:rsidRPr="00891DE1">
              <w:rPr>
                <w:rFonts w:cs="Arial"/>
                <w:sz w:val="18"/>
                <w:szCs w:val="18"/>
              </w:rPr>
              <w:t>-</w:t>
            </w:r>
          </w:p>
        </w:tc>
        <w:tc>
          <w:tcPr>
            <w:tcW w:w="568" w:type="pct"/>
            <w:tcBorders>
              <w:top w:val="single" w:sz="4" w:space="0" w:color="auto"/>
              <w:left w:val="single" w:sz="4" w:space="0" w:color="auto"/>
              <w:bottom w:val="single" w:sz="4" w:space="0" w:color="auto"/>
              <w:right w:val="single" w:sz="4" w:space="0" w:color="auto"/>
            </w:tcBorders>
            <w:vAlign w:val="center"/>
          </w:tcPr>
          <w:p w14:paraId="10935799" w14:textId="59543056" w:rsidR="00D251C3" w:rsidRPr="00891DE1" w:rsidRDefault="00D251C3" w:rsidP="00885EE5">
            <w:pPr>
              <w:pStyle w:val="TableText"/>
              <w:jc w:val="center"/>
              <w:rPr>
                <w:rFonts w:cs="Arial"/>
                <w:sz w:val="18"/>
                <w:szCs w:val="18"/>
              </w:rPr>
            </w:pPr>
            <w:r w:rsidRPr="00891DE1">
              <w:rPr>
                <w:rFonts w:cs="Arial"/>
                <w:sz w:val="18"/>
                <w:szCs w:val="18"/>
              </w:rPr>
              <w:t>Yes</w:t>
            </w:r>
          </w:p>
        </w:tc>
        <w:tc>
          <w:tcPr>
            <w:tcW w:w="486" w:type="pct"/>
            <w:tcBorders>
              <w:top w:val="single" w:sz="4" w:space="0" w:color="auto"/>
              <w:left w:val="single" w:sz="4" w:space="0" w:color="auto"/>
              <w:bottom w:val="single" w:sz="4" w:space="0" w:color="auto"/>
              <w:right w:val="single" w:sz="4" w:space="0" w:color="auto"/>
            </w:tcBorders>
            <w:vAlign w:val="center"/>
          </w:tcPr>
          <w:p w14:paraId="08A17CE2" w14:textId="5A7F2710" w:rsidR="00D251C3" w:rsidRPr="00D251C3" w:rsidRDefault="00D251C3" w:rsidP="00D251C3">
            <w:pPr>
              <w:pStyle w:val="TableText"/>
              <w:jc w:val="center"/>
              <w:rPr>
                <w:rFonts w:cs="Arial"/>
                <w:sz w:val="18"/>
                <w:szCs w:val="18"/>
              </w:rPr>
            </w:pPr>
            <w:r>
              <w:rPr>
                <w:rFonts w:cs="Arial"/>
                <w:sz w:val="18"/>
                <w:szCs w:val="18"/>
              </w:rPr>
              <w:t>-</w:t>
            </w:r>
          </w:p>
        </w:tc>
        <w:tc>
          <w:tcPr>
            <w:tcW w:w="486" w:type="pct"/>
            <w:tcBorders>
              <w:top w:val="single" w:sz="4" w:space="0" w:color="auto"/>
              <w:left w:val="single" w:sz="4" w:space="0" w:color="auto"/>
              <w:bottom w:val="single" w:sz="4" w:space="0" w:color="auto"/>
              <w:right w:val="single" w:sz="4" w:space="0" w:color="auto"/>
            </w:tcBorders>
            <w:vAlign w:val="center"/>
          </w:tcPr>
          <w:p w14:paraId="7F943E74" w14:textId="25CEC67D" w:rsidR="00D251C3" w:rsidRPr="00891DE1" w:rsidRDefault="00D251C3" w:rsidP="00885EE5">
            <w:pPr>
              <w:pStyle w:val="TableText"/>
              <w:jc w:val="center"/>
              <w:rPr>
                <w:rFonts w:cs="Arial"/>
                <w:sz w:val="18"/>
                <w:szCs w:val="18"/>
              </w:rPr>
            </w:pPr>
            <w:r w:rsidRPr="00891DE1">
              <w:rPr>
                <w:rFonts w:cs="Arial"/>
                <w:sz w:val="18"/>
                <w:szCs w:val="18"/>
              </w:rPr>
              <w:t>-</w:t>
            </w:r>
          </w:p>
        </w:tc>
        <w:tc>
          <w:tcPr>
            <w:tcW w:w="642" w:type="pct"/>
            <w:tcBorders>
              <w:top w:val="single" w:sz="4" w:space="0" w:color="auto"/>
              <w:left w:val="single" w:sz="4" w:space="0" w:color="auto"/>
              <w:bottom w:val="single" w:sz="4" w:space="0" w:color="auto"/>
              <w:right w:val="single" w:sz="4" w:space="0" w:color="auto"/>
            </w:tcBorders>
            <w:vAlign w:val="center"/>
          </w:tcPr>
          <w:p w14:paraId="752CD8FB" w14:textId="77777777" w:rsidR="00D251C3" w:rsidRPr="00891DE1" w:rsidRDefault="00D251C3" w:rsidP="00885EE5">
            <w:pPr>
              <w:pStyle w:val="TableText"/>
              <w:jc w:val="center"/>
              <w:rPr>
                <w:rFonts w:cs="Arial"/>
                <w:sz w:val="18"/>
                <w:szCs w:val="18"/>
              </w:rPr>
            </w:pPr>
            <w:r w:rsidRPr="00891DE1">
              <w:rPr>
                <w:rFonts w:cs="Arial"/>
                <w:sz w:val="18"/>
                <w:szCs w:val="18"/>
              </w:rPr>
              <w:t>-</w:t>
            </w:r>
          </w:p>
        </w:tc>
      </w:tr>
    </w:tbl>
    <w:p w14:paraId="40EAE633" w14:textId="77777777" w:rsidR="00885EE5" w:rsidRDefault="00885EE5" w:rsidP="00885EE5">
      <w:pPr>
        <w:jc w:val="both"/>
        <w:rPr>
          <w:rFonts w:cs="Arial"/>
          <w:szCs w:val="22"/>
        </w:rPr>
      </w:pPr>
    </w:p>
    <w:p w14:paraId="0E8DFF68" w14:textId="77777777" w:rsidR="00885EE5" w:rsidRPr="00661D45" w:rsidRDefault="00885EE5" w:rsidP="00885EE5">
      <w:pPr>
        <w:jc w:val="both"/>
        <w:rPr>
          <w:rFonts w:cs="Arial"/>
          <w:szCs w:val="22"/>
        </w:rPr>
      </w:pPr>
    </w:p>
    <w:p w14:paraId="788BFA31" w14:textId="50EE132D" w:rsidR="00885EE5" w:rsidRPr="00B92BDA" w:rsidRDefault="00885EE5" w:rsidP="00885EE5">
      <w:pPr>
        <w:pStyle w:val="bodycopy"/>
        <w:rPr>
          <w:rFonts w:ascii="Arial" w:hAnsi="Arial"/>
          <w:b/>
          <w:sz w:val="22"/>
          <w:szCs w:val="22"/>
        </w:rPr>
      </w:pPr>
      <w:r w:rsidRPr="00B92BDA">
        <w:rPr>
          <w:rFonts w:ascii="Arial" w:hAnsi="Arial"/>
          <w:b/>
          <w:sz w:val="22"/>
          <w:szCs w:val="22"/>
        </w:rPr>
        <w:t xml:space="preserve">New Zealand fur-seal </w:t>
      </w:r>
      <w:r w:rsidR="00987752" w:rsidRPr="00B92BDA">
        <w:rPr>
          <w:rFonts w:ascii="Arial" w:hAnsi="Arial"/>
          <w:b/>
          <w:sz w:val="22"/>
          <w:szCs w:val="22"/>
        </w:rPr>
        <w:t>(</w:t>
      </w:r>
      <w:r w:rsidR="00987752" w:rsidRPr="00B92BDA">
        <w:rPr>
          <w:rFonts w:ascii="Arial" w:hAnsi="Arial"/>
          <w:b/>
          <w:i/>
          <w:sz w:val="22"/>
          <w:szCs w:val="22"/>
        </w:rPr>
        <w:t>Arctocephalus forsteri</w:t>
      </w:r>
      <w:r w:rsidR="00987752" w:rsidRPr="00B92BDA">
        <w:rPr>
          <w:rFonts w:ascii="Arial" w:hAnsi="Arial"/>
          <w:b/>
          <w:sz w:val="22"/>
          <w:szCs w:val="22"/>
        </w:rPr>
        <w:t xml:space="preserve">) </w:t>
      </w:r>
      <w:r w:rsidRPr="00B92BDA">
        <w:rPr>
          <w:rFonts w:ascii="Arial" w:hAnsi="Arial"/>
          <w:b/>
          <w:sz w:val="22"/>
          <w:szCs w:val="22"/>
        </w:rPr>
        <w:t>(</w:t>
      </w:r>
      <w:r w:rsidR="0089764C">
        <w:rPr>
          <w:rFonts w:ascii="Arial" w:hAnsi="Arial"/>
          <w:b/>
          <w:sz w:val="22"/>
          <w:szCs w:val="22"/>
        </w:rPr>
        <w:t>EPBC Act: L</w:t>
      </w:r>
      <w:r w:rsidRPr="00B92BDA">
        <w:rPr>
          <w:rFonts w:ascii="Arial" w:hAnsi="Arial"/>
          <w:b/>
          <w:sz w:val="22"/>
          <w:szCs w:val="22"/>
        </w:rPr>
        <w:t>isted marine</w:t>
      </w:r>
      <w:r w:rsidR="0089764C">
        <w:rPr>
          <w:rFonts w:ascii="Arial" w:hAnsi="Arial"/>
          <w:b/>
          <w:sz w:val="22"/>
          <w:szCs w:val="22"/>
        </w:rPr>
        <w:t>, FFG Act: Not listed</w:t>
      </w:r>
      <w:r w:rsidRPr="00B92BDA">
        <w:rPr>
          <w:rFonts w:ascii="Arial" w:hAnsi="Arial"/>
          <w:b/>
          <w:sz w:val="22"/>
          <w:szCs w:val="22"/>
        </w:rPr>
        <w:t>)</w:t>
      </w:r>
    </w:p>
    <w:p w14:paraId="2D0A1998" w14:textId="77777777" w:rsidR="00885EE5" w:rsidRPr="00B92BDA" w:rsidRDefault="00885EE5" w:rsidP="00885EE5">
      <w:pPr>
        <w:pStyle w:val="bodycopy"/>
        <w:rPr>
          <w:rFonts w:ascii="Arial" w:hAnsi="Arial"/>
          <w:sz w:val="22"/>
          <w:szCs w:val="22"/>
        </w:rPr>
      </w:pPr>
      <w:r w:rsidRPr="00B92BDA">
        <w:rPr>
          <w:rFonts w:ascii="Arial" w:hAnsi="Arial"/>
          <w:sz w:val="22"/>
          <w:szCs w:val="22"/>
        </w:rPr>
        <w:t xml:space="preserve">New Zealand fur-seals (also known as long-nosed fur-seals) are mostly found in central South Australian waters (Kangaroo Island to South Eyre Peninsula); 77% of their population is found here (Shaughnessy, 1999). </w:t>
      </w:r>
    </w:p>
    <w:p w14:paraId="7784B65B" w14:textId="16CD1589" w:rsidR="00885EE5" w:rsidRPr="00044309" w:rsidRDefault="00885EE5" w:rsidP="00885EE5">
      <w:pPr>
        <w:pStyle w:val="bodycopy"/>
        <w:rPr>
          <w:rFonts w:ascii="Arial" w:hAnsi="Arial"/>
          <w:sz w:val="22"/>
          <w:szCs w:val="22"/>
        </w:rPr>
      </w:pPr>
      <w:r w:rsidRPr="00B92BDA">
        <w:rPr>
          <w:rFonts w:ascii="Arial" w:hAnsi="Arial"/>
          <w:sz w:val="22"/>
          <w:szCs w:val="22"/>
        </w:rPr>
        <w:t>There are 51 known breeding sites for New Zealand fur-seals in Australia, with most of these outside of Victoria (47 in SA and WA) (DEHWA, 2007</w:t>
      </w:r>
      <w:r w:rsidRPr="002330FD">
        <w:rPr>
          <w:rFonts w:ascii="Arial" w:hAnsi="Arial"/>
          <w:sz w:val="22"/>
          <w:szCs w:val="22"/>
        </w:rPr>
        <w:t xml:space="preserve">) (Figure </w:t>
      </w:r>
      <w:r w:rsidR="00987752" w:rsidRPr="002330FD">
        <w:rPr>
          <w:rFonts w:ascii="Arial" w:hAnsi="Arial"/>
          <w:sz w:val="22"/>
          <w:szCs w:val="22"/>
        </w:rPr>
        <w:t>5</w:t>
      </w:r>
      <w:r w:rsidRPr="002330FD">
        <w:rPr>
          <w:rFonts w:ascii="Arial" w:hAnsi="Arial"/>
          <w:sz w:val="22"/>
          <w:szCs w:val="22"/>
        </w:rPr>
        <w:t>.</w:t>
      </w:r>
      <w:r w:rsidR="00B25177" w:rsidRPr="002330FD">
        <w:rPr>
          <w:rFonts w:ascii="Arial" w:hAnsi="Arial"/>
          <w:sz w:val="22"/>
          <w:szCs w:val="22"/>
        </w:rPr>
        <w:t>2</w:t>
      </w:r>
      <w:r w:rsidR="00FD1E32" w:rsidRPr="002330FD">
        <w:rPr>
          <w:rFonts w:ascii="Arial" w:hAnsi="Arial"/>
          <w:sz w:val="22"/>
          <w:szCs w:val="22"/>
        </w:rPr>
        <w:t>0</w:t>
      </w:r>
      <w:r w:rsidRPr="002330FD">
        <w:rPr>
          <w:rFonts w:ascii="Arial" w:hAnsi="Arial"/>
          <w:sz w:val="22"/>
          <w:szCs w:val="22"/>
        </w:rPr>
        <w:t>).</w:t>
      </w:r>
      <w:r w:rsidRPr="002949C0">
        <w:rPr>
          <w:rFonts w:ascii="Arial" w:hAnsi="Arial"/>
          <w:sz w:val="22"/>
          <w:szCs w:val="22"/>
        </w:rPr>
        <w:t xml:space="preserve"> Lower</w:t>
      </w:r>
      <w:r w:rsidRPr="00B92BDA">
        <w:rPr>
          <w:rFonts w:ascii="Arial" w:hAnsi="Arial"/>
          <w:sz w:val="22"/>
          <w:szCs w:val="22"/>
        </w:rPr>
        <w:t xml:space="preserve"> density breeding areas occur in Victoria (Shaughnessy, 1999). Breeding locations in Victoria occur at Kanowna Island (located 132 km southwest of the survey area) and the Skerries (located approximately 175 km east of the survey area) (Kirkwood </w:t>
      </w:r>
      <w:r w:rsidRPr="00B92BDA">
        <w:rPr>
          <w:rFonts w:ascii="Arial" w:hAnsi="Arial"/>
          <w:i/>
          <w:sz w:val="22"/>
          <w:szCs w:val="22"/>
        </w:rPr>
        <w:t>et al</w:t>
      </w:r>
      <w:r w:rsidRPr="00B92BDA">
        <w:rPr>
          <w:rFonts w:ascii="Arial" w:hAnsi="Arial"/>
          <w:sz w:val="22"/>
          <w:szCs w:val="22"/>
        </w:rPr>
        <w:t>., 2009)</w:t>
      </w:r>
      <w:r w:rsidR="003042B7" w:rsidRPr="00B92BDA">
        <w:rPr>
          <w:rFonts w:ascii="Arial" w:hAnsi="Arial"/>
          <w:sz w:val="22"/>
          <w:szCs w:val="22"/>
        </w:rPr>
        <w:t xml:space="preserve"> </w:t>
      </w:r>
      <w:r w:rsidR="003042B7" w:rsidRPr="00044309">
        <w:rPr>
          <w:rFonts w:ascii="Arial" w:hAnsi="Arial"/>
          <w:sz w:val="22"/>
          <w:szCs w:val="22"/>
        </w:rPr>
        <w:t>(the latter being within the EMBA)</w:t>
      </w:r>
      <w:r w:rsidRPr="00044309">
        <w:rPr>
          <w:rFonts w:ascii="Arial" w:hAnsi="Arial"/>
          <w:sz w:val="22"/>
          <w:szCs w:val="22"/>
        </w:rPr>
        <w:t xml:space="preserve">. </w:t>
      </w:r>
    </w:p>
    <w:p w14:paraId="08792167" w14:textId="03DE4D94" w:rsidR="0016076C" w:rsidRPr="00B92BDA" w:rsidRDefault="0016076C" w:rsidP="0016076C">
      <w:pPr>
        <w:pStyle w:val="bodycopy"/>
        <w:rPr>
          <w:rFonts w:ascii="Arial" w:hAnsi="Arial"/>
          <w:sz w:val="22"/>
          <w:szCs w:val="22"/>
        </w:rPr>
      </w:pPr>
      <w:r w:rsidRPr="00044309">
        <w:rPr>
          <w:rFonts w:ascii="Arial" w:hAnsi="Arial"/>
          <w:sz w:val="22"/>
          <w:szCs w:val="22"/>
        </w:rPr>
        <w:t>During the non-breeding season (November to January) the breeding sites are occupied by pups/young juveniles, whilst adult females alternate between the breeding sites and foraging at sea (</w:t>
      </w:r>
      <w:r w:rsidR="00044309" w:rsidRPr="00044309">
        <w:rPr>
          <w:rFonts w:ascii="Arial" w:hAnsi="Arial"/>
          <w:sz w:val="22"/>
          <w:szCs w:val="22"/>
        </w:rPr>
        <w:t>Shaughnessy, 1999</w:t>
      </w:r>
      <w:r w:rsidRPr="00044309">
        <w:rPr>
          <w:rFonts w:ascii="Arial" w:hAnsi="Arial"/>
          <w:sz w:val="22"/>
          <w:szCs w:val="22"/>
        </w:rPr>
        <w:t>).</w:t>
      </w:r>
      <w:r w:rsidRPr="00B92BDA">
        <w:rPr>
          <w:rFonts w:ascii="Arial" w:hAnsi="Arial"/>
          <w:sz w:val="22"/>
          <w:szCs w:val="22"/>
        </w:rPr>
        <w:t xml:space="preserve"> </w:t>
      </w:r>
    </w:p>
    <w:p w14:paraId="2A032CDC" w14:textId="77777777" w:rsidR="0016076C" w:rsidRPr="00B92BDA" w:rsidRDefault="0016076C" w:rsidP="0016076C">
      <w:pPr>
        <w:pStyle w:val="bodycopy"/>
        <w:rPr>
          <w:rFonts w:ascii="Arial" w:hAnsi="Arial"/>
          <w:sz w:val="22"/>
          <w:szCs w:val="22"/>
        </w:rPr>
      </w:pPr>
      <w:r w:rsidRPr="00B92BDA">
        <w:rPr>
          <w:rFonts w:ascii="Arial" w:hAnsi="Arial"/>
          <w:sz w:val="22"/>
          <w:szCs w:val="22"/>
        </w:rPr>
        <w:t>Haul-out sites in Bass Strait, as reported by Barton et al (2012) and OSRA mapping, include:</w:t>
      </w:r>
    </w:p>
    <w:p w14:paraId="56DCAF7D" w14:textId="77777777" w:rsidR="0016076C" w:rsidRPr="00B92BDA" w:rsidRDefault="0016076C" w:rsidP="0016076C">
      <w:pPr>
        <w:pStyle w:val="bodycopy"/>
        <w:numPr>
          <w:ilvl w:val="0"/>
          <w:numId w:val="27"/>
        </w:numPr>
        <w:rPr>
          <w:rFonts w:ascii="Arial" w:hAnsi="Arial"/>
          <w:sz w:val="22"/>
          <w:szCs w:val="22"/>
        </w:rPr>
      </w:pPr>
      <w:r w:rsidRPr="00B92BDA">
        <w:rPr>
          <w:rFonts w:ascii="Arial" w:hAnsi="Arial"/>
          <w:sz w:val="22"/>
          <w:szCs w:val="22"/>
        </w:rPr>
        <w:t>Beware Reef (110 km east of the survey area, and within the EMBA);</w:t>
      </w:r>
    </w:p>
    <w:p w14:paraId="6B4537C2" w14:textId="77777777" w:rsidR="0016076C" w:rsidRPr="00B92BDA" w:rsidRDefault="0016076C" w:rsidP="0016076C">
      <w:pPr>
        <w:pStyle w:val="bodycopy"/>
        <w:numPr>
          <w:ilvl w:val="0"/>
          <w:numId w:val="27"/>
        </w:numPr>
        <w:rPr>
          <w:rFonts w:ascii="Arial" w:hAnsi="Arial"/>
          <w:sz w:val="22"/>
          <w:szCs w:val="22"/>
        </w:rPr>
      </w:pPr>
      <w:r w:rsidRPr="00B92BDA">
        <w:rPr>
          <w:rFonts w:ascii="Arial" w:hAnsi="Arial"/>
          <w:sz w:val="22"/>
          <w:szCs w:val="22"/>
        </w:rPr>
        <w:t xml:space="preserve">Kanowna Island (132 km southwest of the survey area) - ~300 individuals; </w:t>
      </w:r>
    </w:p>
    <w:p w14:paraId="5978F626" w14:textId="77777777" w:rsidR="0016076C" w:rsidRPr="00B92BDA" w:rsidRDefault="0016076C" w:rsidP="0016076C">
      <w:pPr>
        <w:pStyle w:val="bodycopy"/>
        <w:numPr>
          <w:ilvl w:val="0"/>
          <w:numId w:val="27"/>
        </w:numPr>
        <w:rPr>
          <w:rFonts w:ascii="Arial" w:hAnsi="Arial"/>
          <w:sz w:val="22"/>
          <w:szCs w:val="22"/>
        </w:rPr>
      </w:pPr>
      <w:r w:rsidRPr="00B92BDA">
        <w:rPr>
          <w:rFonts w:ascii="Arial" w:hAnsi="Arial"/>
          <w:sz w:val="22"/>
          <w:szCs w:val="22"/>
        </w:rPr>
        <w:lastRenderedPageBreak/>
        <w:t>The Hogan Islands Group (102 km southwest of the survey area);</w:t>
      </w:r>
      <w:r>
        <w:rPr>
          <w:rFonts w:ascii="Arial" w:hAnsi="Arial"/>
          <w:sz w:val="22"/>
          <w:szCs w:val="22"/>
        </w:rPr>
        <w:t xml:space="preserve"> and</w:t>
      </w:r>
    </w:p>
    <w:p w14:paraId="10880692" w14:textId="77777777" w:rsidR="0016076C" w:rsidRPr="00B92BDA" w:rsidRDefault="0016076C" w:rsidP="0016076C">
      <w:pPr>
        <w:pStyle w:val="bodycopy"/>
        <w:numPr>
          <w:ilvl w:val="0"/>
          <w:numId w:val="27"/>
        </w:numPr>
        <w:rPr>
          <w:rFonts w:ascii="Arial" w:hAnsi="Arial"/>
          <w:sz w:val="22"/>
          <w:szCs w:val="22"/>
        </w:rPr>
      </w:pPr>
      <w:r w:rsidRPr="00B92BDA">
        <w:rPr>
          <w:rFonts w:ascii="Arial" w:hAnsi="Arial"/>
          <w:sz w:val="22"/>
          <w:szCs w:val="22"/>
        </w:rPr>
        <w:t>West Moncoeur Island (near Wilson’s Promontory, 128 k</w:t>
      </w:r>
      <w:r>
        <w:rPr>
          <w:rFonts w:ascii="Arial" w:hAnsi="Arial"/>
          <w:sz w:val="22"/>
          <w:szCs w:val="22"/>
        </w:rPr>
        <w:t>m southwest of the survey area).</w:t>
      </w:r>
      <w:r w:rsidRPr="00B92BDA">
        <w:rPr>
          <w:rFonts w:ascii="Arial" w:hAnsi="Arial"/>
          <w:sz w:val="22"/>
          <w:szCs w:val="22"/>
        </w:rPr>
        <w:t xml:space="preserve"> </w:t>
      </w:r>
    </w:p>
    <w:p w14:paraId="3049561B" w14:textId="77777777" w:rsidR="0016076C" w:rsidRPr="00B92BDA" w:rsidRDefault="0016076C" w:rsidP="00885EE5">
      <w:pPr>
        <w:pStyle w:val="bodycopy"/>
        <w:rPr>
          <w:rFonts w:ascii="Arial" w:hAnsi="Arial"/>
          <w:sz w:val="22"/>
          <w:szCs w:val="22"/>
        </w:rPr>
      </w:pPr>
    </w:p>
    <w:tbl>
      <w:tblPr>
        <w:tblW w:w="0" w:type="auto"/>
        <w:jc w:val="center"/>
        <w:tblLook w:val="04A0" w:firstRow="1" w:lastRow="0" w:firstColumn="1" w:lastColumn="0" w:noHBand="0" w:noVBand="1"/>
      </w:tblPr>
      <w:tblGrid>
        <w:gridCol w:w="7978"/>
      </w:tblGrid>
      <w:tr w:rsidR="00885EE5" w14:paraId="00BB395E" w14:textId="77777777" w:rsidTr="00514376">
        <w:trPr>
          <w:jc w:val="center"/>
        </w:trPr>
        <w:tc>
          <w:tcPr>
            <w:tcW w:w="7955" w:type="dxa"/>
            <w:shd w:val="clear" w:color="auto" w:fill="auto"/>
          </w:tcPr>
          <w:tbl>
            <w:tblPr>
              <w:tblStyle w:val="TableGrid"/>
              <w:tblW w:w="0" w:type="auto"/>
              <w:tblLook w:val="04A0" w:firstRow="1" w:lastRow="0" w:firstColumn="1" w:lastColumn="0" w:noHBand="0" w:noVBand="1"/>
            </w:tblPr>
            <w:tblGrid>
              <w:gridCol w:w="7752"/>
            </w:tblGrid>
            <w:tr w:rsidR="0016076C" w14:paraId="71A76002" w14:textId="77777777" w:rsidTr="0016076C">
              <w:tc>
                <w:tcPr>
                  <w:tcW w:w="7724" w:type="dxa"/>
                </w:tcPr>
                <w:p w14:paraId="4154EA25" w14:textId="58628076" w:rsidR="0016076C" w:rsidRDefault="003718F9" w:rsidP="00514376">
                  <w:pPr>
                    <w:pStyle w:val="bodycopy"/>
                    <w:spacing w:after="0"/>
                  </w:pPr>
                  <w:r>
                    <w:rPr>
                      <w:noProof/>
                    </w:rPr>
                    <w:drawing>
                      <wp:inline distT="0" distB="0" distL="0" distR="0" wp14:anchorId="76AB3AB1" wp14:editId="21F7A252">
                        <wp:extent cx="4785360" cy="3432810"/>
                        <wp:effectExtent l="0" t="0" r="0" b="0"/>
                        <wp:docPr id="47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4785360" cy="3432810"/>
                                </a:xfrm>
                                <a:prstGeom prst="rect">
                                  <a:avLst/>
                                </a:prstGeom>
                                <a:noFill/>
                                <a:ln>
                                  <a:noFill/>
                                </a:ln>
                              </pic:spPr>
                            </pic:pic>
                          </a:graphicData>
                        </a:graphic>
                      </wp:inline>
                    </w:drawing>
                  </w:r>
                </w:p>
              </w:tc>
            </w:tr>
          </w:tbl>
          <w:p w14:paraId="3954AE9B" w14:textId="3ED6DAB8" w:rsidR="00885EE5" w:rsidRDefault="00885EE5" w:rsidP="00514376">
            <w:pPr>
              <w:pStyle w:val="bodycopy"/>
              <w:spacing w:after="0"/>
            </w:pPr>
          </w:p>
        </w:tc>
      </w:tr>
    </w:tbl>
    <w:p w14:paraId="29948272" w14:textId="77777777" w:rsidR="00885EE5" w:rsidRPr="00B92BDA" w:rsidRDefault="00885EE5" w:rsidP="00885EE5">
      <w:pPr>
        <w:pStyle w:val="Caption"/>
        <w:spacing w:after="0"/>
        <w:jc w:val="left"/>
        <w:rPr>
          <w:rFonts w:ascii="Arial" w:hAnsi="Arial" w:cs="Arial"/>
          <w:b w:val="0"/>
          <w:bCs w:val="0"/>
          <w:color w:val="auto"/>
          <w:sz w:val="16"/>
          <w:szCs w:val="16"/>
        </w:rPr>
      </w:pPr>
      <w:r w:rsidRPr="00B92BDA">
        <w:rPr>
          <w:rFonts w:ascii="Arial" w:hAnsi="Arial" w:cs="Arial"/>
          <w:sz w:val="20"/>
          <w:szCs w:val="20"/>
        </w:rPr>
        <w:t xml:space="preserve">        </w:t>
      </w:r>
      <w:r w:rsidRPr="00B92BDA">
        <w:rPr>
          <w:rFonts w:ascii="Arial" w:hAnsi="Arial" w:cs="Arial"/>
          <w:b w:val="0"/>
          <w:color w:val="auto"/>
          <w:sz w:val="16"/>
          <w:szCs w:val="16"/>
        </w:rPr>
        <w:t>Filled circles = early 1800s distribution. Filled squares = current distribution.</w:t>
      </w:r>
      <w:r w:rsidRPr="00B92BDA">
        <w:rPr>
          <w:rFonts w:ascii="Arial" w:hAnsi="Arial" w:cs="Arial"/>
          <w:b w:val="0"/>
          <w:bCs w:val="0"/>
          <w:color w:val="auto"/>
          <w:sz w:val="16"/>
          <w:szCs w:val="16"/>
        </w:rPr>
        <w:t xml:space="preserve"> </w:t>
      </w:r>
    </w:p>
    <w:p w14:paraId="415D2B34" w14:textId="77777777" w:rsidR="00885EE5" w:rsidRPr="00B92BDA" w:rsidRDefault="00885EE5" w:rsidP="00B25177">
      <w:pPr>
        <w:pStyle w:val="Caption"/>
        <w:spacing w:after="120"/>
        <w:jc w:val="left"/>
        <w:rPr>
          <w:rFonts w:ascii="Arial" w:hAnsi="Arial" w:cs="Arial"/>
          <w:b w:val="0"/>
          <w:bCs w:val="0"/>
          <w:i/>
          <w:color w:val="auto"/>
          <w:sz w:val="16"/>
          <w:szCs w:val="16"/>
        </w:rPr>
      </w:pPr>
      <w:r w:rsidRPr="00B92BDA">
        <w:rPr>
          <w:rFonts w:ascii="Arial" w:hAnsi="Arial" w:cs="Arial"/>
          <w:b w:val="0"/>
          <w:bCs w:val="0"/>
          <w:color w:val="auto"/>
          <w:sz w:val="16"/>
          <w:szCs w:val="16"/>
        </w:rPr>
        <w:t xml:space="preserve">         </w:t>
      </w:r>
      <w:r w:rsidRPr="00B92BDA">
        <w:rPr>
          <w:rFonts w:ascii="Arial" w:hAnsi="Arial" w:cs="Arial"/>
          <w:b w:val="0"/>
          <w:bCs w:val="0"/>
          <w:i/>
          <w:color w:val="auto"/>
          <w:sz w:val="16"/>
          <w:szCs w:val="16"/>
        </w:rPr>
        <w:t>Source: Kirkwood et al (2009).</w:t>
      </w:r>
    </w:p>
    <w:p w14:paraId="2E4F3C6D" w14:textId="5F34D146" w:rsidR="00885EE5" w:rsidRPr="00B92BDA" w:rsidRDefault="00885EE5" w:rsidP="007E0FE3">
      <w:pPr>
        <w:pStyle w:val="CaptionTables"/>
        <w:spacing w:after="240"/>
        <w:ind w:left="0"/>
        <w:jc w:val="center"/>
        <w:rPr>
          <w:rFonts w:cs="Arial"/>
          <w:sz w:val="20"/>
        </w:rPr>
      </w:pPr>
      <w:r w:rsidRPr="00B92BDA">
        <w:rPr>
          <w:rFonts w:cs="Arial"/>
          <w:sz w:val="20"/>
        </w:rPr>
        <w:t xml:space="preserve">Figure </w:t>
      </w:r>
      <w:r w:rsidR="00987752" w:rsidRPr="00B92BDA">
        <w:rPr>
          <w:rFonts w:cs="Arial"/>
          <w:sz w:val="20"/>
        </w:rPr>
        <w:t>5</w:t>
      </w:r>
      <w:r w:rsidRPr="00B92BDA">
        <w:rPr>
          <w:rFonts w:cs="Arial"/>
          <w:sz w:val="20"/>
        </w:rPr>
        <w:t>.</w:t>
      </w:r>
      <w:r w:rsidR="00B25177" w:rsidRPr="00B92BDA">
        <w:rPr>
          <w:rFonts w:cs="Arial"/>
          <w:sz w:val="20"/>
        </w:rPr>
        <w:t>2</w:t>
      </w:r>
      <w:r w:rsidR="00FD1E32">
        <w:rPr>
          <w:rFonts w:cs="Arial"/>
          <w:sz w:val="20"/>
        </w:rPr>
        <w:t>0</w:t>
      </w:r>
      <w:r w:rsidR="00B25177" w:rsidRPr="00B92BDA">
        <w:rPr>
          <w:rFonts w:cs="Arial"/>
          <w:sz w:val="20"/>
        </w:rPr>
        <w:t>.</w:t>
      </w:r>
      <w:r w:rsidRPr="00B92BDA">
        <w:rPr>
          <w:rFonts w:cs="Arial"/>
          <w:sz w:val="20"/>
        </w:rPr>
        <w:t xml:space="preserve">  New Zealand fur-seal colonies</w:t>
      </w:r>
    </w:p>
    <w:p w14:paraId="58D4B4AA" w14:textId="77777777" w:rsidR="00885EE5" w:rsidRPr="00B92BDA" w:rsidRDefault="00885EE5" w:rsidP="00885EE5">
      <w:pPr>
        <w:pStyle w:val="bodycopy"/>
        <w:rPr>
          <w:rFonts w:ascii="Arial" w:hAnsi="Arial"/>
          <w:sz w:val="22"/>
          <w:szCs w:val="22"/>
        </w:rPr>
      </w:pPr>
      <w:r w:rsidRPr="00B92BDA">
        <w:rPr>
          <w:rFonts w:ascii="Arial" w:hAnsi="Arial"/>
          <w:sz w:val="22"/>
          <w:szCs w:val="22"/>
        </w:rPr>
        <w:t>The species prefers the rocky parts of islands with jumbled terrain and boulders and prefers smoother igneous rocks to rough limestone. Shaughnessy (1999) and OSRA mapping report that breeding colonies in Bass Strait include:</w:t>
      </w:r>
    </w:p>
    <w:p w14:paraId="7323C947" w14:textId="77777777" w:rsidR="00885EE5" w:rsidRPr="00B92BDA" w:rsidRDefault="00885EE5" w:rsidP="002E4E3A">
      <w:pPr>
        <w:pStyle w:val="bodycopy"/>
        <w:numPr>
          <w:ilvl w:val="0"/>
          <w:numId w:val="26"/>
        </w:numPr>
        <w:rPr>
          <w:rFonts w:ascii="Arial" w:hAnsi="Arial"/>
          <w:sz w:val="22"/>
          <w:szCs w:val="22"/>
        </w:rPr>
      </w:pPr>
      <w:r w:rsidRPr="00B92BDA">
        <w:rPr>
          <w:rFonts w:ascii="Arial" w:hAnsi="Arial"/>
          <w:sz w:val="22"/>
          <w:szCs w:val="22"/>
        </w:rPr>
        <w:t xml:space="preserve">Rag Island (1,000 fur seal &amp; 235 pups in 2006, 90 km southwest of the survey area); </w:t>
      </w:r>
    </w:p>
    <w:p w14:paraId="3EED9BBC" w14:textId="77777777" w:rsidR="00885EE5" w:rsidRPr="00B92BDA" w:rsidRDefault="00885EE5" w:rsidP="002E4E3A">
      <w:pPr>
        <w:pStyle w:val="bodycopy"/>
        <w:numPr>
          <w:ilvl w:val="0"/>
          <w:numId w:val="26"/>
        </w:numPr>
        <w:rPr>
          <w:rFonts w:ascii="Arial" w:hAnsi="Arial"/>
          <w:sz w:val="22"/>
          <w:szCs w:val="22"/>
        </w:rPr>
      </w:pPr>
      <w:r w:rsidRPr="00B92BDA">
        <w:rPr>
          <w:rFonts w:ascii="Arial" w:hAnsi="Arial"/>
          <w:sz w:val="22"/>
          <w:szCs w:val="22"/>
        </w:rPr>
        <w:t xml:space="preserve">Kanowna Island (10,700 adults and 2,700 pups, 132 km southwest of the survey area); </w:t>
      </w:r>
    </w:p>
    <w:p w14:paraId="3C7C475A" w14:textId="77777777" w:rsidR="00885EE5" w:rsidRPr="00B92BDA" w:rsidRDefault="00885EE5" w:rsidP="002E4E3A">
      <w:pPr>
        <w:pStyle w:val="bodycopy"/>
        <w:numPr>
          <w:ilvl w:val="0"/>
          <w:numId w:val="26"/>
        </w:numPr>
        <w:rPr>
          <w:rFonts w:ascii="Arial" w:hAnsi="Arial"/>
          <w:sz w:val="22"/>
          <w:szCs w:val="22"/>
        </w:rPr>
      </w:pPr>
      <w:r w:rsidRPr="00B92BDA">
        <w:rPr>
          <w:rFonts w:ascii="Arial" w:hAnsi="Arial"/>
          <w:sz w:val="22"/>
          <w:szCs w:val="22"/>
        </w:rPr>
        <w:t xml:space="preserve">Anser Group of Islands (all more than 120 km southwest of the survey area); </w:t>
      </w:r>
    </w:p>
    <w:p w14:paraId="06CA0930" w14:textId="77777777" w:rsidR="00885EE5" w:rsidRPr="00B92BDA" w:rsidRDefault="00885EE5" w:rsidP="002E4E3A">
      <w:pPr>
        <w:pStyle w:val="bodycopy"/>
        <w:numPr>
          <w:ilvl w:val="0"/>
          <w:numId w:val="26"/>
        </w:numPr>
        <w:rPr>
          <w:rFonts w:ascii="Arial" w:hAnsi="Arial"/>
          <w:sz w:val="22"/>
          <w:szCs w:val="22"/>
        </w:rPr>
      </w:pPr>
      <w:r w:rsidRPr="00B92BDA">
        <w:rPr>
          <w:rFonts w:ascii="Arial" w:hAnsi="Arial"/>
          <w:sz w:val="22"/>
          <w:szCs w:val="22"/>
        </w:rPr>
        <w:t>The Skerries (175 km east of the survey area</w:t>
      </w:r>
      <w:r w:rsidR="003042B7" w:rsidRPr="00B92BDA">
        <w:rPr>
          <w:rFonts w:ascii="Arial" w:hAnsi="Arial"/>
          <w:sz w:val="22"/>
          <w:szCs w:val="22"/>
        </w:rPr>
        <w:t>, and within the EMBA</w:t>
      </w:r>
      <w:r w:rsidRPr="00B92BDA">
        <w:rPr>
          <w:rFonts w:ascii="Arial" w:hAnsi="Arial"/>
          <w:sz w:val="22"/>
          <w:szCs w:val="22"/>
        </w:rPr>
        <w:t>) – 300 individuals and 78 pups (in 2002); and</w:t>
      </w:r>
    </w:p>
    <w:p w14:paraId="0FCF207A" w14:textId="31D12410" w:rsidR="00885EE5" w:rsidRPr="00B92BDA" w:rsidRDefault="00885EE5" w:rsidP="002E4E3A">
      <w:pPr>
        <w:pStyle w:val="bodycopy"/>
        <w:numPr>
          <w:ilvl w:val="0"/>
          <w:numId w:val="26"/>
        </w:numPr>
        <w:rPr>
          <w:rFonts w:ascii="Arial" w:hAnsi="Arial"/>
          <w:sz w:val="22"/>
          <w:szCs w:val="22"/>
        </w:rPr>
      </w:pPr>
      <w:r w:rsidRPr="00B92BDA">
        <w:rPr>
          <w:rFonts w:ascii="Arial" w:hAnsi="Arial"/>
          <w:sz w:val="22"/>
          <w:szCs w:val="22"/>
        </w:rPr>
        <w:t xml:space="preserve">Judgment Rock in the Kent Island Group (~2,500 pups per year, 132 km south-southwest of the survey area) (Kirkwood </w:t>
      </w:r>
      <w:r w:rsidRPr="00812128">
        <w:rPr>
          <w:rFonts w:ascii="Arial" w:hAnsi="Arial"/>
          <w:i/>
          <w:sz w:val="22"/>
          <w:szCs w:val="22"/>
        </w:rPr>
        <w:t>et al</w:t>
      </w:r>
      <w:r w:rsidRPr="00B92BDA">
        <w:rPr>
          <w:rFonts w:ascii="Arial" w:hAnsi="Arial"/>
          <w:sz w:val="22"/>
          <w:szCs w:val="22"/>
        </w:rPr>
        <w:t>., 2009)</w:t>
      </w:r>
    </w:p>
    <w:p w14:paraId="181D97FA" w14:textId="23813C44" w:rsidR="00885EE5" w:rsidRPr="00B92BDA" w:rsidRDefault="00885EE5" w:rsidP="00885EE5">
      <w:pPr>
        <w:pStyle w:val="bodycopy"/>
        <w:rPr>
          <w:rFonts w:ascii="Arial" w:hAnsi="Arial"/>
          <w:sz w:val="22"/>
          <w:szCs w:val="22"/>
        </w:rPr>
      </w:pPr>
      <w:r w:rsidRPr="00B92BDA">
        <w:rPr>
          <w:rFonts w:ascii="Arial" w:hAnsi="Arial"/>
          <w:sz w:val="22"/>
          <w:szCs w:val="22"/>
        </w:rPr>
        <w:t>New Zealand fur-seals feed on small pelagic fish, squid and seabirds, including little penguins (Shaughnessy, 1999). Juvenile seals feed primarily in oceanic waters beyond the continental shelf, lactating females feed in mid-outer shelf waters (50-100 km from the colony) and adult males forage in deeper waters (Do</w:t>
      </w:r>
      <w:r w:rsidR="00971F65">
        <w:rPr>
          <w:rFonts w:ascii="Arial" w:hAnsi="Arial"/>
          <w:sz w:val="22"/>
          <w:szCs w:val="22"/>
        </w:rPr>
        <w:t>E</w:t>
      </w:r>
      <w:r w:rsidRPr="00B92BDA">
        <w:rPr>
          <w:rFonts w:ascii="Arial" w:hAnsi="Arial"/>
          <w:sz w:val="22"/>
          <w:szCs w:val="22"/>
        </w:rPr>
        <w:t>E, 201</w:t>
      </w:r>
      <w:r w:rsidR="00971F65">
        <w:rPr>
          <w:rFonts w:ascii="Arial" w:hAnsi="Arial"/>
          <w:sz w:val="22"/>
          <w:szCs w:val="22"/>
        </w:rPr>
        <w:t>7i</w:t>
      </w:r>
      <w:r w:rsidRPr="00B92BDA">
        <w:rPr>
          <w:rFonts w:ascii="Arial" w:hAnsi="Arial"/>
          <w:sz w:val="22"/>
          <w:szCs w:val="22"/>
        </w:rPr>
        <w:t xml:space="preserve">). </w:t>
      </w:r>
    </w:p>
    <w:p w14:paraId="4D70BEB1" w14:textId="55E703E9" w:rsidR="0016076C" w:rsidRPr="00B92BDA" w:rsidRDefault="00885EE5" w:rsidP="00885EE5">
      <w:pPr>
        <w:pStyle w:val="bodycopy"/>
        <w:rPr>
          <w:rFonts w:ascii="Arial" w:hAnsi="Arial"/>
          <w:sz w:val="22"/>
          <w:szCs w:val="22"/>
        </w:rPr>
      </w:pPr>
      <w:r w:rsidRPr="00B92BDA">
        <w:rPr>
          <w:rFonts w:ascii="Arial" w:hAnsi="Arial"/>
          <w:sz w:val="22"/>
          <w:szCs w:val="22"/>
        </w:rPr>
        <w:t xml:space="preserve">There is no BIA for the New Zealand fur-seal in Bass Strait. </w:t>
      </w:r>
      <w:r w:rsidR="00987752" w:rsidRPr="00B92BDA">
        <w:rPr>
          <w:rFonts w:ascii="Arial" w:hAnsi="Arial"/>
          <w:sz w:val="22"/>
          <w:szCs w:val="22"/>
        </w:rPr>
        <w:t>Given the close proximity of the proposed acquisition area to breeding colonies and haul-out sites, it is likely that the species feeds within the proposed acquisition. However, there are no islands or rock outcrops within the proposed acquisition area, so a resident population is unlikely to occur. T</w:t>
      </w:r>
      <w:r w:rsidRPr="00B92BDA">
        <w:rPr>
          <w:rFonts w:ascii="Arial" w:hAnsi="Arial"/>
          <w:sz w:val="22"/>
          <w:szCs w:val="22"/>
        </w:rPr>
        <w:t xml:space="preserve">hese waters </w:t>
      </w:r>
      <w:r w:rsidR="00987752" w:rsidRPr="00B92BDA">
        <w:rPr>
          <w:rFonts w:ascii="Arial" w:hAnsi="Arial"/>
          <w:sz w:val="22"/>
          <w:szCs w:val="22"/>
        </w:rPr>
        <w:t>are unlikely to</w:t>
      </w:r>
      <w:r w:rsidRPr="00B92BDA">
        <w:rPr>
          <w:rFonts w:ascii="Arial" w:hAnsi="Arial"/>
          <w:sz w:val="22"/>
          <w:szCs w:val="22"/>
        </w:rPr>
        <w:t xml:space="preserve"> represent important critical feeding or </w:t>
      </w:r>
      <w:r w:rsidRPr="00B92BDA">
        <w:rPr>
          <w:rFonts w:ascii="Arial" w:hAnsi="Arial"/>
          <w:sz w:val="22"/>
          <w:szCs w:val="22"/>
        </w:rPr>
        <w:lastRenderedPageBreak/>
        <w:t xml:space="preserve">breeding habitat. </w:t>
      </w:r>
      <w:r w:rsidR="00987752" w:rsidRPr="00B92BDA">
        <w:rPr>
          <w:rFonts w:ascii="Arial" w:hAnsi="Arial"/>
          <w:sz w:val="22"/>
          <w:szCs w:val="22"/>
        </w:rPr>
        <w:t xml:space="preserve">Some of the breeding colonies known to occur in Bass Strait occur within the EMBA. </w:t>
      </w:r>
    </w:p>
    <w:p w14:paraId="6246639F" w14:textId="1A8DE1B5" w:rsidR="00885EE5" w:rsidRPr="00B92BDA" w:rsidRDefault="00885EE5" w:rsidP="00885EE5">
      <w:pPr>
        <w:pStyle w:val="bodycopy"/>
        <w:rPr>
          <w:rFonts w:ascii="Arial" w:hAnsi="Arial"/>
          <w:b/>
          <w:sz w:val="22"/>
          <w:szCs w:val="22"/>
        </w:rPr>
      </w:pPr>
      <w:r w:rsidRPr="00B92BDA">
        <w:rPr>
          <w:rFonts w:ascii="Arial" w:hAnsi="Arial"/>
          <w:b/>
          <w:sz w:val="22"/>
          <w:szCs w:val="22"/>
        </w:rPr>
        <w:t xml:space="preserve">Australian fur-seal </w:t>
      </w:r>
      <w:r w:rsidR="00987752" w:rsidRPr="00B92BDA">
        <w:rPr>
          <w:rFonts w:ascii="Arial" w:hAnsi="Arial"/>
          <w:b/>
          <w:sz w:val="22"/>
          <w:szCs w:val="22"/>
        </w:rPr>
        <w:t>(</w:t>
      </w:r>
      <w:r w:rsidR="00987752" w:rsidRPr="00B92BDA">
        <w:rPr>
          <w:rFonts w:ascii="Arial" w:hAnsi="Arial"/>
          <w:b/>
          <w:i/>
          <w:sz w:val="22"/>
          <w:szCs w:val="22"/>
        </w:rPr>
        <w:t>Arctocephalus pusillus</w:t>
      </w:r>
      <w:r w:rsidR="00987752" w:rsidRPr="00B92BDA">
        <w:rPr>
          <w:rFonts w:ascii="Arial" w:hAnsi="Arial"/>
          <w:b/>
          <w:sz w:val="22"/>
          <w:szCs w:val="22"/>
        </w:rPr>
        <w:t xml:space="preserve">) </w:t>
      </w:r>
      <w:r w:rsidRPr="00B92BDA">
        <w:rPr>
          <w:rFonts w:ascii="Arial" w:hAnsi="Arial"/>
          <w:b/>
          <w:sz w:val="22"/>
          <w:szCs w:val="22"/>
        </w:rPr>
        <w:t>(</w:t>
      </w:r>
      <w:r w:rsidR="0089764C">
        <w:rPr>
          <w:rFonts w:ascii="Arial" w:hAnsi="Arial"/>
          <w:b/>
          <w:sz w:val="22"/>
          <w:szCs w:val="22"/>
        </w:rPr>
        <w:t xml:space="preserve">EPBC Act: </w:t>
      </w:r>
      <w:r w:rsidR="007E0FE3" w:rsidRPr="00B92BDA">
        <w:rPr>
          <w:rFonts w:ascii="Arial" w:hAnsi="Arial"/>
          <w:b/>
          <w:sz w:val="22"/>
          <w:szCs w:val="22"/>
        </w:rPr>
        <w:t>L</w:t>
      </w:r>
      <w:r w:rsidRPr="00B92BDA">
        <w:rPr>
          <w:rFonts w:ascii="Arial" w:hAnsi="Arial"/>
          <w:b/>
          <w:sz w:val="22"/>
          <w:szCs w:val="22"/>
        </w:rPr>
        <w:t>isted marine</w:t>
      </w:r>
      <w:r w:rsidR="0089764C">
        <w:rPr>
          <w:rFonts w:ascii="Arial" w:hAnsi="Arial"/>
          <w:b/>
          <w:sz w:val="22"/>
          <w:szCs w:val="22"/>
        </w:rPr>
        <w:t>, FFG Act: Not listed</w:t>
      </w:r>
      <w:r w:rsidRPr="00B92BDA">
        <w:rPr>
          <w:rFonts w:ascii="Arial" w:hAnsi="Arial"/>
          <w:b/>
          <w:sz w:val="22"/>
          <w:szCs w:val="22"/>
        </w:rPr>
        <w:t>)</w:t>
      </w:r>
    </w:p>
    <w:p w14:paraId="4168AC3E" w14:textId="77777777" w:rsidR="00885EE5" w:rsidRPr="00B92BDA" w:rsidRDefault="00885EE5" w:rsidP="00885EE5">
      <w:pPr>
        <w:pStyle w:val="bodycopy"/>
        <w:rPr>
          <w:rFonts w:ascii="Arial" w:hAnsi="Arial"/>
          <w:sz w:val="22"/>
          <w:szCs w:val="22"/>
        </w:rPr>
      </w:pPr>
      <w:r w:rsidRPr="00B92BDA">
        <w:rPr>
          <w:rFonts w:ascii="Arial" w:hAnsi="Arial"/>
          <w:sz w:val="22"/>
          <w:szCs w:val="22"/>
        </w:rPr>
        <w:t>The Australian fur-seal has a relatively restricted distribution around the islands of Bass Strait, parts of Tasmania and southern Victoria.</w:t>
      </w:r>
      <w:r w:rsidR="00987752" w:rsidRPr="00B92BDA">
        <w:rPr>
          <w:rFonts w:ascii="Arial" w:hAnsi="Arial"/>
          <w:sz w:val="22"/>
          <w:szCs w:val="22"/>
        </w:rPr>
        <w:t xml:space="preserve"> </w:t>
      </w:r>
    </w:p>
    <w:p w14:paraId="67A4AC6C" w14:textId="79010AF0" w:rsidR="00885EE5" w:rsidRPr="00B92BDA" w:rsidRDefault="00885EE5" w:rsidP="00885EE5">
      <w:pPr>
        <w:pStyle w:val="bodycopy"/>
        <w:rPr>
          <w:rFonts w:ascii="Arial" w:hAnsi="Arial"/>
          <w:color w:val="211D1E"/>
          <w:sz w:val="22"/>
          <w:szCs w:val="22"/>
        </w:rPr>
      </w:pPr>
      <w:r w:rsidRPr="00B92BDA">
        <w:rPr>
          <w:rFonts w:ascii="Arial" w:hAnsi="Arial"/>
          <w:color w:val="211D1E"/>
          <w:sz w:val="22"/>
          <w:szCs w:val="22"/>
        </w:rPr>
        <w:t>There are 10 established breeding colonies of the Australian fur-seal that are restricted to islands in the Bass Strait; six occurring off the coast of Victoria and four off the coast of Tasmania (DoE</w:t>
      </w:r>
      <w:r w:rsidR="00797283">
        <w:rPr>
          <w:rFonts w:ascii="Arial" w:hAnsi="Arial"/>
          <w:color w:val="211D1E"/>
          <w:sz w:val="22"/>
          <w:szCs w:val="22"/>
        </w:rPr>
        <w:t>E</w:t>
      </w:r>
      <w:r w:rsidRPr="00B92BDA">
        <w:rPr>
          <w:rFonts w:ascii="Arial" w:hAnsi="Arial"/>
          <w:color w:val="211D1E"/>
          <w:sz w:val="22"/>
          <w:szCs w:val="22"/>
        </w:rPr>
        <w:t>, 201</w:t>
      </w:r>
      <w:r w:rsidR="00797283">
        <w:rPr>
          <w:rFonts w:ascii="Arial" w:hAnsi="Arial"/>
          <w:color w:val="211D1E"/>
          <w:sz w:val="22"/>
          <w:szCs w:val="22"/>
        </w:rPr>
        <w:t>7i</w:t>
      </w:r>
      <w:r w:rsidRPr="00B92BDA">
        <w:rPr>
          <w:rFonts w:ascii="Arial" w:hAnsi="Arial"/>
          <w:color w:val="211D1E"/>
          <w:sz w:val="22"/>
          <w:szCs w:val="22"/>
        </w:rPr>
        <w:t xml:space="preserve">). The largest of the established colonies occur at Lady Julia Percy Island (26% of the breeding population and 467 km west of the survey area) and at Seal Rocks (25% of the breeding population and 196 km west of the </w:t>
      </w:r>
      <w:r w:rsidR="00B154B1">
        <w:rPr>
          <w:rFonts w:ascii="Arial" w:hAnsi="Arial"/>
          <w:color w:val="211D1E"/>
          <w:sz w:val="22"/>
          <w:szCs w:val="22"/>
        </w:rPr>
        <w:t>proposed acquisition</w:t>
      </w:r>
      <w:r w:rsidRPr="00B92BDA">
        <w:rPr>
          <w:rFonts w:ascii="Arial" w:hAnsi="Arial"/>
          <w:color w:val="211D1E"/>
          <w:sz w:val="22"/>
          <w:szCs w:val="22"/>
        </w:rPr>
        <w:t xml:space="preserve"> area), in Victoria (DoE</w:t>
      </w:r>
      <w:r w:rsidR="00797283">
        <w:rPr>
          <w:rFonts w:ascii="Arial" w:hAnsi="Arial"/>
          <w:color w:val="211D1E"/>
          <w:sz w:val="22"/>
          <w:szCs w:val="22"/>
        </w:rPr>
        <w:t>E</w:t>
      </w:r>
      <w:r w:rsidRPr="00B92BDA">
        <w:rPr>
          <w:rFonts w:ascii="Arial" w:hAnsi="Arial"/>
          <w:color w:val="211D1E"/>
          <w:sz w:val="22"/>
          <w:szCs w:val="22"/>
        </w:rPr>
        <w:t>, 201</w:t>
      </w:r>
      <w:r w:rsidR="00797283">
        <w:rPr>
          <w:rFonts w:ascii="Arial" w:hAnsi="Arial"/>
          <w:color w:val="211D1E"/>
          <w:sz w:val="22"/>
          <w:szCs w:val="22"/>
        </w:rPr>
        <w:t>7i</w:t>
      </w:r>
      <w:r w:rsidRPr="00B92BDA">
        <w:rPr>
          <w:rFonts w:ascii="Arial" w:hAnsi="Arial"/>
          <w:color w:val="211D1E"/>
          <w:sz w:val="22"/>
          <w:szCs w:val="22"/>
        </w:rPr>
        <w:t xml:space="preserve">). These areas are not located within the </w:t>
      </w:r>
      <w:r w:rsidR="00930945" w:rsidRPr="00B92BDA">
        <w:rPr>
          <w:rFonts w:ascii="Arial" w:hAnsi="Arial"/>
          <w:color w:val="211D1E"/>
          <w:sz w:val="22"/>
          <w:szCs w:val="22"/>
        </w:rPr>
        <w:t>E</w:t>
      </w:r>
      <w:r w:rsidRPr="00B92BDA">
        <w:rPr>
          <w:rFonts w:ascii="Arial" w:hAnsi="Arial"/>
          <w:color w:val="211D1E"/>
          <w:sz w:val="22"/>
          <w:szCs w:val="22"/>
        </w:rPr>
        <w:t xml:space="preserve">MBA. </w:t>
      </w:r>
    </w:p>
    <w:p w14:paraId="3377ACA3" w14:textId="77777777" w:rsidR="00885EE5" w:rsidRPr="00B92BDA" w:rsidRDefault="00885EE5" w:rsidP="00885EE5">
      <w:pPr>
        <w:pStyle w:val="bodycopy"/>
        <w:rPr>
          <w:rFonts w:ascii="Arial" w:hAnsi="Arial"/>
          <w:sz w:val="22"/>
          <w:szCs w:val="22"/>
        </w:rPr>
      </w:pPr>
      <w:r w:rsidRPr="00B92BDA">
        <w:rPr>
          <w:rFonts w:ascii="Arial" w:hAnsi="Arial"/>
          <w:color w:val="211D1E"/>
          <w:sz w:val="22"/>
          <w:szCs w:val="22"/>
        </w:rPr>
        <w:t>Other b</w:t>
      </w:r>
      <w:r w:rsidRPr="00B92BDA">
        <w:rPr>
          <w:rFonts w:ascii="Arial" w:hAnsi="Arial"/>
          <w:sz w:val="22"/>
          <w:szCs w:val="22"/>
        </w:rPr>
        <w:t>reeding colonies in Bass Strait include:</w:t>
      </w:r>
    </w:p>
    <w:p w14:paraId="1126B74B" w14:textId="77777777" w:rsidR="00885EE5" w:rsidRPr="00B92BDA" w:rsidRDefault="00885EE5" w:rsidP="002E4E3A">
      <w:pPr>
        <w:pStyle w:val="bodycopy"/>
        <w:numPr>
          <w:ilvl w:val="0"/>
          <w:numId w:val="26"/>
        </w:numPr>
        <w:rPr>
          <w:rFonts w:ascii="Arial" w:hAnsi="Arial"/>
          <w:sz w:val="22"/>
          <w:szCs w:val="22"/>
        </w:rPr>
      </w:pPr>
      <w:r w:rsidRPr="00B92BDA">
        <w:rPr>
          <w:rFonts w:ascii="Arial" w:hAnsi="Arial"/>
          <w:sz w:val="22"/>
          <w:szCs w:val="22"/>
        </w:rPr>
        <w:t xml:space="preserve">Rag Island (1,000 fur seal &amp; 270 pups in 2007, 90 km southwest of the survey area); </w:t>
      </w:r>
    </w:p>
    <w:p w14:paraId="15527611" w14:textId="77777777" w:rsidR="00885EE5" w:rsidRPr="00B92BDA" w:rsidRDefault="00885EE5" w:rsidP="002E4E3A">
      <w:pPr>
        <w:pStyle w:val="bodycopy"/>
        <w:numPr>
          <w:ilvl w:val="0"/>
          <w:numId w:val="26"/>
        </w:numPr>
        <w:rPr>
          <w:rFonts w:ascii="Arial" w:hAnsi="Arial"/>
          <w:sz w:val="22"/>
          <w:szCs w:val="22"/>
        </w:rPr>
      </w:pPr>
      <w:r w:rsidRPr="00B92BDA">
        <w:rPr>
          <w:rFonts w:ascii="Arial" w:hAnsi="Arial"/>
          <w:sz w:val="22"/>
          <w:szCs w:val="22"/>
        </w:rPr>
        <w:t xml:space="preserve">Kanowna Island (15,000 adults and 3,000 pups, 132 km southwest of the survey area); </w:t>
      </w:r>
    </w:p>
    <w:p w14:paraId="17881809" w14:textId="77777777" w:rsidR="00885EE5" w:rsidRPr="00B92BDA" w:rsidRDefault="00885EE5" w:rsidP="002E4E3A">
      <w:pPr>
        <w:pStyle w:val="bodycopy"/>
        <w:numPr>
          <w:ilvl w:val="0"/>
          <w:numId w:val="26"/>
        </w:numPr>
        <w:rPr>
          <w:rFonts w:ascii="Arial" w:hAnsi="Arial"/>
          <w:sz w:val="22"/>
          <w:szCs w:val="22"/>
        </w:rPr>
      </w:pPr>
      <w:r w:rsidRPr="00B92BDA">
        <w:rPr>
          <w:rFonts w:ascii="Arial" w:hAnsi="Arial"/>
          <w:sz w:val="22"/>
          <w:szCs w:val="22"/>
        </w:rPr>
        <w:t xml:space="preserve">Anser Group of Islands (all more than 120 km southwest of the survey area); </w:t>
      </w:r>
    </w:p>
    <w:p w14:paraId="5B0ECB0A" w14:textId="77777777" w:rsidR="00885EE5" w:rsidRPr="00B92BDA" w:rsidRDefault="00885EE5" w:rsidP="002E4E3A">
      <w:pPr>
        <w:pStyle w:val="bodycopy"/>
        <w:numPr>
          <w:ilvl w:val="0"/>
          <w:numId w:val="26"/>
        </w:numPr>
        <w:rPr>
          <w:rFonts w:ascii="Arial" w:hAnsi="Arial"/>
          <w:sz w:val="22"/>
          <w:szCs w:val="22"/>
        </w:rPr>
      </w:pPr>
      <w:r w:rsidRPr="00B92BDA">
        <w:rPr>
          <w:rFonts w:ascii="Arial" w:hAnsi="Arial"/>
          <w:sz w:val="22"/>
          <w:szCs w:val="22"/>
        </w:rPr>
        <w:t>The Skerries (175 km east of the survey area) – 11,500 individuals and 3,000 pups (in 2002); and</w:t>
      </w:r>
    </w:p>
    <w:p w14:paraId="61901A32" w14:textId="18A82C93" w:rsidR="00885EE5" w:rsidRPr="00B92BDA" w:rsidRDefault="00885EE5" w:rsidP="002E4E3A">
      <w:pPr>
        <w:pStyle w:val="bodycopy"/>
        <w:numPr>
          <w:ilvl w:val="0"/>
          <w:numId w:val="26"/>
        </w:numPr>
        <w:rPr>
          <w:rFonts w:ascii="Arial" w:hAnsi="Arial"/>
          <w:sz w:val="22"/>
          <w:szCs w:val="22"/>
        </w:rPr>
      </w:pPr>
      <w:r w:rsidRPr="00B92BDA">
        <w:rPr>
          <w:rFonts w:ascii="Arial" w:hAnsi="Arial"/>
          <w:sz w:val="22"/>
          <w:szCs w:val="22"/>
        </w:rPr>
        <w:t xml:space="preserve">Judgment Rock in the Kent Island Group (~2,500 pups per year, 132 km south-southwest of the survey area) (Kirkwood </w:t>
      </w:r>
      <w:r w:rsidRPr="00B92BDA">
        <w:rPr>
          <w:rFonts w:ascii="Arial" w:hAnsi="Arial"/>
          <w:i/>
          <w:sz w:val="22"/>
          <w:szCs w:val="22"/>
        </w:rPr>
        <w:t>et al</w:t>
      </w:r>
      <w:r w:rsidRPr="00B92BDA">
        <w:rPr>
          <w:rFonts w:ascii="Arial" w:hAnsi="Arial"/>
          <w:sz w:val="22"/>
          <w:szCs w:val="22"/>
        </w:rPr>
        <w:t>., 2009, Shaughnessy, 1999; OSRA</w:t>
      </w:r>
      <w:r w:rsidRPr="002949C0">
        <w:rPr>
          <w:rFonts w:ascii="Arial" w:hAnsi="Arial"/>
          <w:sz w:val="22"/>
          <w:szCs w:val="22"/>
        </w:rPr>
        <w:t>) (</w:t>
      </w:r>
      <w:r w:rsidRPr="002330FD">
        <w:rPr>
          <w:rFonts w:ascii="Arial" w:hAnsi="Arial"/>
          <w:sz w:val="22"/>
          <w:szCs w:val="22"/>
        </w:rPr>
        <w:t xml:space="preserve">Figure </w:t>
      </w:r>
      <w:r w:rsidR="003042B7" w:rsidRPr="002330FD">
        <w:rPr>
          <w:rFonts w:ascii="Arial" w:hAnsi="Arial"/>
          <w:sz w:val="22"/>
          <w:szCs w:val="22"/>
        </w:rPr>
        <w:t>5.2</w:t>
      </w:r>
      <w:r w:rsidR="00FD1E32" w:rsidRPr="002330FD">
        <w:rPr>
          <w:rFonts w:ascii="Arial" w:hAnsi="Arial"/>
          <w:sz w:val="22"/>
          <w:szCs w:val="22"/>
        </w:rPr>
        <w:t>1</w:t>
      </w:r>
      <w:r w:rsidRPr="002949C0">
        <w:rPr>
          <w:rFonts w:ascii="Arial" w:hAnsi="Arial"/>
          <w:sz w:val="22"/>
          <w:szCs w:val="22"/>
        </w:rPr>
        <w:t>).</w:t>
      </w:r>
      <w:r w:rsidRPr="00B92BDA">
        <w:rPr>
          <w:rFonts w:ascii="Arial" w:hAnsi="Arial"/>
          <w:sz w:val="22"/>
          <w:szCs w:val="22"/>
        </w:rPr>
        <w:t xml:space="preserve"> </w:t>
      </w:r>
    </w:p>
    <w:p w14:paraId="7049C8A7" w14:textId="72A0228C" w:rsidR="00885EE5" w:rsidRPr="00D97A08" w:rsidRDefault="00885EE5" w:rsidP="00885EE5">
      <w:pPr>
        <w:pStyle w:val="bodycopy"/>
        <w:rPr>
          <w:rFonts w:ascii="Arial" w:hAnsi="Arial"/>
          <w:sz w:val="22"/>
          <w:szCs w:val="22"/>
        </w:rPr>
      </w:pPr>
      <w:r w:rsidRPr="00D97A08">
        <w:rPr>
          <w:rFonts w:ascii="Arial" w:hAnsi="Arial"/>
          <w:sz w:val="22"/>
          <w:szCs w:val="22"/>
        </w:rPr>
        <w:t xml:space="preserve">All of the above-listed sites are located outside the </w:t>
      </w:r>
      <w:r w:rsidR="00930945" w:rsidRPr="00D97A08">
        <w:rPr>
          <w:rFonts w:ascii="Arial" w:hAnsi="Arial"/>
          <w:sz w:val="22"/>
          <w:szCs w:val="22"/>
        </w:rPr>
        <w:t>E</w:t>
      </w:r>
      <w:r w:rsidRPr="00D97A08">
        <w:rPr>
          <w:rFonts w:ascii="Arial" w:hAnsi="Arial"/>
          <w:sz w:val="22"/>
          <w:szCs w:val="22"/>
        </w:rPr>
        <w:t>MBA, except for The Skerries (offshore from the mouth of the Wingan River</w:t>
      </w:r>
      <w:r w:rsidR="00690F6A" w:rsidRPr="00D97A08">
        <w:rPr>
          <w:rFonts w:ascii="Arial" w:hAnsi="Arial"/>
          <w:sz w:val="22"/>
          <w:szCs w:val="22"/>
        </w:rPr>
        <w:t>, see Section 5.3</w:t>
      </w:r>
      <w:r w:rsidRPr="00D97A08">
        <w:rPr>
          <w:rFonts w:ascii="Arial" w:hAnsi="Arial"/>
          <w:sz w:val="22"/>
          <w:szCs w:val="22"/>
        </w:rPr>
        <w:t>). Historically, Australian fur-seal breeding colonies were more widespread, but several islands have not been occupied since their populations were removed by early commercial sealing (Do</w:t>
      </w:r>
      <w:r w:rsidR="00971F65" w:rsidRPr="00D97A08">
        <w:rPr>
          <w:rFonts w:ascii="Arial" w:hAnsi="Arial"/>
          <w:sz w:val="22"/>
          <w:szCs w:val="22"/>
        </w:rPr>
        <w:t>E</w:t>
      </w:r>
      <w:r w:rsidRPr="00D97A08">
        <w:rPr>
          <w:rFonts w:ascii="Arial" w:hAnsi="Arial"/>
          <w:sz w:val="22"/>
          <w:szCs w:val="22"/>
        </w:rPr>
        <w:t>E, 201</w:t>
      </w:r>
      <w:r w:rsidR="00971F65" w:rsidRPr="00D97A08">
        <w:rPr>
          <w:rFonts w:ascii="Arial" w:hAnsi="Arial"/>
          <w:sz w:val="22"/>
          <w:szCs w:val="22"/>
        </w:rPr>
        <w:t>7i</w:t>
      </w:r>
      <w:r w:rsidRPr="00D97A08">
        <w:rPr>
          <w:rFonts w:ascii="Arial" w:hAnsi="Arial"/>
          <w:sz w:val="22"/>
          <w:szCs w:val="22"/>
        </w:rPr>
        <w:t>).</w:t>
      </w:r>
    </w:p>
    <w:p w14:paraId="59A39C5D" w14:textId="77777777" w:rsidR="00885EE5" w:rsidRPr="00B92BDA" w:rsidRDefault="00885EE5" w:rsidP="00885EE5">
      <w:pPr>
        <w:pStyle w:val="bodycopy"/>
        <w:rPr>
          <w:rFonts w:ascii="Arial" w:hAnsi="Arial"/>
          <w:sz w:val="22"/>
          <w:szCs w:val="22"/>
        </w:rPr>
      </w:pPr>
      <w:r w:rsidRPr="00B92BDA">
        <w:rPr>
          <w:rFonts w:ascii="Arial" w:hAnsi="Arial"/>
          <w:sz w:val="22"/>
          <w:szCs w:val="22"/>
        </w:rPr>
        <w:t>Their preferred habitat, especially for breeding, is a rocky island with boulder or pebble beaches and gradually sloping rocky ledges. Australian fur-seals are present in the region all year. Pups begin to forage in June/July and are generally weaned by September/October (Shaughnessy, 1999).</w:t>
      </w:r>
    </w:p>
    <w:p w14:paraId="74B272A0" w14:textId="77777777" w:rsidR="00885EE5" w:rsidRPr="00B92BDA" w:rsidRDefault="00885EE5" w:rsidP="00885EE5">
      <w:pPr>
        <w:pStyle w:val="bodycopy"/>
        <w:rPr>
          <w:rFonts w:ascii="Arial" w:hAnsi="Arial"/>
          <w:sz w:val="22"/>
          <w:szCs w:val="22"/>
        </w:rPr>
      </w:pPr>
      <w:r w:rsidRPr="00B92BDA">
        <w:rPr>
          <w:rFonts w:ascii="Arial" w:hAnsi="Arial"/>
          <w:sz w:val="22"/>
          <w:szCs w:val="22"/>
        </w:rPr>
        <w:t xml:space="preserve">Australian fur-seals are also regularly seen resting and foraging on and around the petroleum production platforms off the Gippsland coast. Barton et al (2012), Carlyon et al (2011) and OSRA </w:t>
      </w:r>
      <w:r w:rsidR="007E0FE3" w:rsidRPr="00B92BDA">
        <w:rPr>
          <w:rFonts w:ascii="Arial" w:hAnsi="Arial"/>
          <w:sz w:val="22"/>
          <w:szCs w:val="22"/>
        </w:rPr>
        <w:t xml:space="preserve">(2015) </w:t>
      </w:r>
      <w:r w:rsidRPr="00B92BDA">
        <w:rPr>
          <w:rFonts w:ascii="Arial" w:hAnsi="Arial"/>
          <w:sz w:val="22"/>
          <w:szCs w:val="22"/>
        </w:rPr>
        <w:t>report that haul-out sites in Bass Strait include:</w:t>
      </w:r>
    </w:p>
    <w:p w14:paraId="7CE451F7" w14:textId="7C8325EB" w:rsidR="00885EE5" w:rsidRPr="00B92BDA" w:rsidRDefault="00885EE5" w:rsidP="002E4E3A">
      <w:pPr>
        <w:pStyle w:val="bodycopy"/>
        <w:numPr>
          <w:ilvl w:val="0"/>
          <w:numId w:val="26"/>
        </w:numPr>
        <w:rPr>
          <w:rFonts w:ascii="Arial" w:hAnsi="Arial"/>
          <w:sz w:val="22"/>
          <w:szCs w:val="22"/>
        </w:rPr>
      </w:pPr>
      <w:r w:rsidRPr="00B92BDA">
        <w:rPr>
          <w:rFonts w:ascii="Arial" w:hAnsi="Arial"/>
          <w:sz w:val="22"/>
          <w:szCs w:val="22"/>
        </w:rPr>
        <w:t xml:space="preserve">Beware Reef (110 km east of </w:t>
      </w:r>
      <w:r w:rsidR="005320D7">
        <w:rPr>
          <w:rFonts w:ascii="Arial" w:hAnsi="Arial"/>
          <w:sz w:val="22"/>
          <w:szCs w:val="22"/>
        </w:rPr>
        <w:t xml:space="preserve">the </w:t>
      </w:r>
      <w:r w:rsidR="00B154B1">
        <w:rPr>
          <w:rFonts w:ascii="Arial" w:hAnsi="Arial"/>
          <w:sz w:val="22"/>
          <w:szCs w:val="22"/>
        </w:rPr>
        <w:t>proposed acquisition</w:t>
      </w:r>
      <w:r w:rsidR="005320D7">
        <w:rPr>
          <w:rFonts w:ascii="Arial" w:hAnsi="Arial"/>
          <w:sz w:val="22"/>
          <w:szCs w:val="22"/>
        </w:rPr>
        <w:t xml:space="preserve"> area and within the E</w:t>
      </w:r>
      <w:r w:rsidRPr="00B92BDA">
        <w:rPr>
          <w:rFonts w:ascii="Arial" w:hAnsi="Arial"/>
          <w:sz w:val="22"/>
          <w:szCs w:val="22"/>
        </w:rPr>
        <w:t xml:space="preserve">MBA) – </w:t>
      </w:r>
      <w:r w:rsidR="007E0FE3" w:rsidRPr="00B92BDA">
        <w:rPr>
          <w:rFonts w:ascii="Arial" w:hAnsi="Arial"/>
          <w:sz w:val="22"/>
          <w:szCs w:val="22"/>
        </w:rPr>
        <w:t xml:space="preserve">a haul-out site where the seals are </w:t>
      </w:r>
      <w:r w:rsidRPr="00B92BDA">
        <w:rPr>
          <w:rFonts w:ascii="Arial" w:hAnsi="Arial"/>
          <w:sz w:val="22"/>
          <w:szCs w:val="22"/>
        </w:rPr>
        <w:t xml:space="preserve">present most of year; </w:t>
      </w:r>
    </w:p>
    <w:p w14:paraId="5E297C05" w14:textId="32677E03" w:rsidR="00885EE5" w:rsidRPr="00B92BDA" w:rsidRDefault="00885EE5" w:rsidP="002E4E3A">
      <w:pPr>
        <w:pStyle w:val="bodycopy"/>
        <w:numPr>
          <w:ilvl w:val="0"/>
          <w:numId w:val="26"/>
        </w:numPr>
        <w:rPr>
          <w:rFonts w:ascii="Arial" w:hAnsi="Arial"/>
          <w:sz w:val="22"/>
          <w:szCs w:val="22"/>
        </w:rPr>
      </w:pPr>
      <w:r w:rsidRPr="00B92BDA">
        <w:rPr>
          <w:rFonts w:ascii="Arial" w:hAnsi="Arial"/>
          <w:sz w:val="22"/>
          <w:szCs w:val="22"/>
        </w:rPr>
        <w:t xml:space="preserve">Gabo Island (215 km northeast of </w:t>
      </w:r>
      <w:r w:rsidR="005320D7">
        <w:rPr>
          <w:rFonts w:ascii="Arial" w:hAnsi="Arial"/>
          <w:sz w:val="22"/>
          <w:szCs w:val="22"/>
        </w:rPr>
        <w:t xml:space="preserve">the </w:t>
      </w:r>
      <w:r w:rsidR="00B154B1">
        <w:rPr>
          <w:rFonts w:ascii="Arial" w:hAnsi="Arial"/>
          <w:sz w:val="22"/>
          <w:szCs w:val="22"/>
        </w:rPr>
        <w:t xml:space="preserve">proposed acquisition </w:t>
      </w:r>
      <w:r w:rsidR="005320D7">
        <w:rPr>
          <w:rFonts w:ascii="Arial" w:hAnsi="Arial"/>
          <w:sz w:val="22"/>
          <w:szCs w:val="22"/>
        </w:rPr>
        <w:t>area and within the E</w:t>
      </w:r>
      <w:r w:rsidRPr="00B92BDA">
        <w:rPr>
          <w:rFonts w:ascii="Arial" w:hAnsi="Arial"/>
          <w:sz w:val="22"/>
          <w:szCs w:val="22"/>
        </w:rPr>
        <w:t>MBA) – 30-50 individuals; and</w:t>
      </w:r>
    </w:p>
    <w:p w14:paraId="7887BF6D" w14:textId="631F8274" w:rsidR="00885EE5" w:rsidRPr="00B92BDA" w:rsidRDefault="00885EE5" w:rsidP="002E4E3A">
      <w:pPr>
        <w:pStyle w:val="bodycopy"/>
        <w:numPr>
          <w:ilvl w:val="0"/>
          <w:numId w:val="26"/>
        </w:numPr>
        <w:rPr>
          <w:rFonts w:ascii="Arial" w:hAnsi="Arial"/>
          <w:sz w:val="22"/>
          <w:szCs w:val="22"/>
        </w:rPr>
      </w:pPr>
      <w:r w:rsidRPr="00B92BDA">
        <w:rPr>
          <w:rFonts w:ascii="Arial" w:hAnsi="Arial"/>
          <w:sz w:val="22"/>
          <w:szCs w:val="22"/>
        </w:rPr>
        <w:t xml:space="preserve">The Hogan Island group (102 km southwest of the </w:t>
      </w:r>
      <w:r w:rsidR="00B154B1">
        <w:rPr>
          <w:rFonts w:ascii="Arial" w:hAnsi="Arial"/>
          <w:sz w:val="22"/>
          <w:szCs w:val="22"/>
        </w:rPr>
        <w:t xml:space="preserve">proposed acquisition </w:t>
      </w:r>
      <w:r w:rsidRPr="00B92BDA">
        <w:rPr>
          <w:rFonts w:ascii="Arial" w:hAnsi="Arial"/>
          <w:sz w:val="22"/>
          <w:szCs w:val="22"/>
        </w:rPr>
        <w:t xml:space="preserve">area) – ~300 animals. </w:t>
      </w:r>
    </w:p>
    <w:p w14:paraId="0AC7C338" w14:textId="77777777" w:rsidR="00885EE5" w:rsidRPr="00B92BDA" w:rsidRDefault="00885EE5" w:rsidP="00885EE5">
      <w:pPr>
        <w:pStyle w:val="bodycopy"/>
        <w:rPr>
          <w:rFonts w:ascii="Arial" w:hAnsi="Arial"/>
          <w:sz w:val="22"/>
          <w:szCs w:val="22"/>
        </w:rPr>
      </w:pPr>
      <w:r w:rsidRPr="00B92BDA">
        <w:rPr>
          <w:rFonts w:ascii="Arial" w:hAnsi="Arial"/>
          <w:sz w:val="22"/>
          <w:szCs w:val="22"/>
        </w:rPr>
        <w:t>During the summer months, Australian fur-seals travel between northern Bass Strait islands and southern Tasmania waters following the Tasmanian east coast, however, lactating female fur</w:t>
      </w:r>
      <w:r w:rsidR="00690F6A" w:rsidRPr="00B92BDA">
        <w:rPr>
          <w:rFonts w:ascii="Arial" w:hAnsi="Arial"/>
          <w:sz w:val="22"/>
          <w:szCs w:val="22"/>
        </w:rPr>
        <w:t>-</w:t>
      </w:r>
      <w:r w:rsidRPr="00B92BDA">
        <w:rPr>
          <w:rFonts w:ascii="Arial" w:hAnsi="Arial"/>
          <w:sz w:val="22"/>
          <w:szCs w:val="22"/>
        </w:rPr>
        <w:t xml:space="preserve">seals and some territorial males are restricted to foraging ranges within Bass Strait waters. Lactating female Australian fur-seals forage primarily within the shallow continental shelf of Bass Strait and Otway on the benthos at depths of </w:t>
      </w:r>
      <w:r w:rsidRPr="00B92BDA">
        <w:rPr>
          <w:rFonts w:ascii="Arial" w:hAnsi="Arial"/>
          <w:sz w:val="22"/>
          <w:szCs w:val="22"/>
        </w:rPr>
        <w:lastRenderedPageBreak/>
        <w:t>between 60 - 80 m and generally within 100 - 200 km of the breeding colony for up to five days at a time. The diet of Australian fur-seals is principally fish, including red-bait, leatherjackets and jack mackerel in winter and mostly cephalopods in summer (Shaughnessy, 1999).</w:t>
      </w:r>
    </w:p>
    <w:p w14:paraId="2C98F052" w14:textId="5CF4A61F" w:rsidR="00885EE5" w:rsidRPr="00B92BDA" w:rsidRDefault="00885EE5" w:rsidP="00885EE5">
      <w:pPr>
        <w:pStyle w:val="bodycopy"/>
        <w:rPr>
          <w:rFonts w:ascii="Arial" w:hAnsi="Arial"/>
          <w:sz w:val="22"/>
          <w:szCs w:val="22"/>
        </w:rPr>
      </w:pPr>
      <w:r w:rsidRPr="00B92BDA">
        <w:rPr>
          <w:rFonts w:ascii="Arial" w:hAnsi="Arial"/>
          <w:sz w:val="22"/>
          <w:szCs w:val="22"/>
        </w:rPr>
        <w:t xml:space="preserve">Male Australian fur-seals are bound to colonies during the breeding season from late October to late December, and outside of this they time forage further afield (up to several hundred kilometres) and are away for long periods, even up to nine days (Kirkwood </w:t>
      </w:r>
      <w:r w:rsidRPr="00B92BDA">
        <w:rPr>
          <w:rFonts w:ascii="Arial" w:hAnsi="Arial"/>
          <w:i/>
          <w:sz w:val="22"/>
          <w:szCs w:val="22"/>
        </w:rPr>
        <w:t>et al</w:t>
      </w:r>
      <w:r w:rsidRPr="00B92BDA">
        <w:rPr>
          <w:rFonts w:ascii="Arial" w:hAnsi="Arial"/>
          <w:sz w:val="22"/>
          <w:szCs w:val="22"/>
        </w:rPr>
        <w:t xml:space="preserve">., 2009; Hume </w:t>
      </w:r>
      <w:r w:rsidRPr="00B92BDA">
        <w:rPr>
          <w:rFonts w:ascii="Arial" w:hAnsi="Arial"/>
          <w:i/>
          <w:sz w:val="22"/>
          <w:szCs w:val="22"/>
        </w:rPr>
        <w:t>et al</w:t>
      </w:r>
      <w:r w:rsidRPr="00B92BDA">
        <w:rPr>
          <w:rFonts w:ascii="Arial" w:hAnsi="Arial"/>
          <w:sz w:val="22"/>
          <w:szCs w:val="22"/>
        </w:rPr>
        <w:t xml:space="preserve">., 2004). </w:t>
      </w:r>
    </w:p>
    <w:p w14:paraId="02483D61" w14:textId="77777777" w:rsidR="00885EE5" w:rsidRPr="00B92BDA" w:rsidRDefault="00885EE5" w:rsidP="00690F6A">
      <w:pPr>
        <w:pStyle w:val="bodycopy"/>
        <w:spacing w:after="240"/>
        <w:rPr>
          <w:rFonts w:ascii="Arial" w:hAnsi="Arial"/>
          <w:sz w:val="22"/>
          <w:szCs w:val="22"/>
        </w:rPr>
      </w:pPr>
      <w:r w:rsidRPr="00B92BDA">
        <w:rPr>
          <w:rFonts w:ascii="Arial" w:hAnsi="Arial"/>
          <w:sz w:val="22"/>
          <w:szCs w:val="22"/>
        </w:rPr>
        <w:t xml:space="preserve">There is no BIA for the Australian fur-seal in Bass Strait. </w:t>
      </w:r>
    </w:p>
    <w:tbl>
      <w:tblPr>
        <w:tblW w:w="0" w:type="auto"/>
        <w:tblLook w:val="04A0" w:firstRow="1" w:lastRow="0" w:firstColumn="1" w:lastColumn="0" w:noHBand="0" w:noVBand="1"/>
      </w:tblPr>
      <w:tblGrid>
        <w:gridCol w:w="8522"/>
      </w:tblGrid>
      <w:tr w:rsidR="00885EE5" w14:paraId="20CA39C3" w14:textId="77777777" w:rsidTr="00514376">
        <w:tc>
          <w:tcPr>
            <w:tcW w:w="8522" w:type="dxa"/>
            <w:shd w:val="clear" w:color="auto" w:fill="auto"/>
          </w:tcPr>
          <w:tbl>
            <w:tblPr>
              <w:tblStyle w:val="TableGrid"/>
              <w:tblW w:w="0" w:type="auto"/>
              <w:tblLook w:val="04A0" w:firstRow="1" w:lastRow="0" w:firstColumn="1" w:lastColumn="0" w:noHBand="0" w:noVBand="1"/>
            </w:tblPr>
            <w:tblGrid>
              <w:gridCol w:w="8291"/>
            </w:tblGrid>
            <w:tr w:rsidR="0016076C" w14:paraId="683BF7CC" w14:textId="77777777" w:rsidTr="0016076C">
              <w:tc>
                <w:tcPr>
                  <w:tcW w:w="8291" w:type="dxa"/>
                </w:tcPr>
                <w:p w14:paraId="022BDFF9" w14:textId="50188AFC" w:rsidR="0016076C" w:rsidRDefault="003718F9" w:rsidP="00514376">
                  <w:pPr>
                    <w:pStyle w:val="bodycopy"/>
                    <w:spacing w:after="0"/>
                  </w:pPr>
                  <w:r>
                    <w:rPr>
                      <w:noProof/>
                    </w:rPr>
                    <w:drawing>
                      <wp:inline distT="0" distB="0" distL="0" distR="0" wp14:anchorId="062823A8" wp14:editId="4CEC9E40">
                        <wp:extent cx="5078730" cy="3291840"/>
                        <wp:effectExtent l="0" t="0" r="7620" b="3810"/>
                        <wp:docPr id="47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5078730" cy="3291840"/>
                                </a:xfrm>
                                <a:prstGeom prst="rect">
                                  <a:avLst/>
                                </a:prstGeom>
                                <a:noFill/>
                                <a:ln>
                                  <a:noFill/>
                                </a:ln>
                              </pic:spPr>
                            </pic:pic>
                          </a:graphicData>
                        </a:graphic>
                      </wp:inline>
                    </w:drawing>
                  </w:r>
                </w:p>
              </w:tc>
            </w:tr>
          </w:tbl>
          <w:p w14:paraId="28675F92" w14:textId="2AF1A4FB" w:rsidR="00885EE5" w:rsidRDefault="00885EE5" w:rsidP="00514376">
            <w:pPr>
              <w:pStyle w:val="bodycopy"/>
              <w:spacing w:after="0"/>
            </w:pPr>
          </w:p>
        </w:tc>
      </w:tr>
    </w:tbl>
    <w:p w14:paraId="0916B088" w14:textId="77777777" w:rsidR="00885EE5" w:rsidRPr="00B92BDA" w:rsidRDefault="00885EE5" w:rsidP="00885EE5">
      <w:pPr>
        <w:pStyle w:val="Caption"/>
        <w:spacing w:after="0"/>
        <w:jc w:val="left"/>
        <w:rPr>
          <w:rFonts w:ascii="Arial" w:hAnsi="Arial" w:cs="Arial"/>
          <w:b w:val="0"/>
          <w:bCs w:val="0"/>
          <w:color w:val="auto"/>
          <w:sz w:val="16"/>
          <w:szCs w:val="16"/>
        </w:rPr>
      </w:pPr>
      <w:bookmarkStart w:id="270" w:name="_Ref421199106"/>
      <w:bookmarkStart w:id="271" w:name="_Toc427335784"/>
      <w:r w:rsidRPr="00B92BDA">
        <w:rPr>
          <w:rFonts w:ascii="Arial" w:hAnsi="Arial" w:cs="Arial"/>
          <w:b w:val="0"/>
          <w:color w:val="auto"/>
          <w:sz w:val="16"/>
          <w:szCs w:val="16"/>
        </w:rPr>
        <w:t>Filled circles = breeding colonies. Empty circles = haul-out sites.</w:t>
      </w:r>
      <w:r w:rsidRPr="00B92BDA">
        <w:rPr>
          <w:rFonts w:ascii="Arial" w:hAnsi="Arial" w:cs="Arial"/>
          <w:b w:val="0"/>
          <w:bCs w:val="0"/>
          <w:color w:val="auto"/>
          <w:sz w:val="16"/>
          <w:szCs w:val="16"/>
        </w:rPr>
        <w:t xml:space="preserve"> </w:t>
      </w:r>
    </w:p>
    <w:p w14:paraId="467EF7D8" w14:textId="77777777" w:rsidR="00885EE5" w:rsidRPr="00876EF4" w:rsidRDefault="00885EE5" w:rsidP="003042B7">
      <w:pPr>
        <w:pStyle w:val="Caption"/>
        <w:spacing w:after="120"/>
        <w:jc w:val="left"/>
        <w:rPr>
          <w:rFonts w:ascii="Arial" w:hAnsi="Arial" w:cs="Arial"/>
          <w:b w:val="0"/>
          <w:bCs w:val="0"/>
          <w:i/>
          <w:color w:val="auto"/>
          <w:sz w:val="16"/>
          <w:szCs w:val="16"/>
          <w:lang w:val="fr-FR"/>
        </w:rPr>
      </w:pPr>
      <w:r w:rsidRPr="00876EF4">
        <w:rPr>
          <w:rFonts w:ascii="Arial" w:hAnsi="Arial" w:cs="Arial"/>
          <w:b w:val="0"/>
          <w:bCs w:val="0"/>
          <w:i/>
          <w:color w:val="auto"/>
          <w:sz w:val="16"/>
          <w:szCs w:val="16"/>
          <w:lang w:val="fr-FR"/>
        </w:rPr>
        <w:t>Source: Kirkwood et al (2009).</w:t>
      </w:r>
    </w:p>
    <w:p w14:paraId="0FF6FA48" w14:textId="7A27A24A" w:rsidR="00885EE5" w:rsidRPr="00B92BDA" w:rsidRDefault="00885EE5" w:rsidP="007E0FE3">
      <w:pPr>
        <w:pStyle w:val="CaptionTables"/>
        <w:spacing w:after="240"/>
        <w:ind w:left="0"/>
        <w:jc w:val="center"/>
        <w:rPr>
          <w:rFonts w:cs="Arial"/>
          <w:sz w:val="20"/>
        </w:rPr>
      </w:pPr>
      <w:r w:rsidRPr="00876EF4">
        <w:rPr>
          <w:rFonts w:cs="Arial"/>
          <w:sz w:val="20"/>
          <w:lang w:val="fr-FR"/>
        </w:rPr>
        <w:t xml:space="preserve">Figure </w:t>
      </w:r>
      <w:r w:rsidR="003042B7" w:rsidRPr="00876EF4">
        <w:rPr>
          <w:rFonts w:cs="Arial"/>
          <w:sz w:val="20"/>
          <w:lang w:val="fr-FR"/>
        </w:rPr>
        <w:t>5.2</w:t>
      </w:r>
      <w:r w:rsidR="00FD1E32">
        <w:rPr>
          <w:rFonts w:cs="Arial"/>
          <w:sz w:val="20"/>
          <w:lang w:val="fr-FR"/>
        </w:rPr>
        <w:t>1</w:t>
      </w:r>
      <w:bookmarkEnd w:id="270"/>
      <w:r w:rsidR="003042B7" w:rsidRPr="00876EF4">
        <w:rPr>
          <w:rFonts w:cs="Arial"/>
          <w:sz w:val="20"/>
          <w:lang w:val="fr-FR"/>
        </w:rPr>
        <w:t>.</w:t>
      </w:r>
      <w:r w:rsidRPr="00876EF4">
        <w:rPr>
          <w:rFonts w:cs="Arial"/>
          <w:sz w:val="20"/>
          <w:lang w:val="fr-FR"/>
        </w:rPr>
        <w:t xml:space="preserve">  </w:t>
      </w:r>
      <w:r w:rsidRPr="00B92BDA">
        <w:rPr>
          <w:rFonts w:cs="Arial"/>
          <w:sz w:val="20"/>
        </w:rPr>
        <w:t>Australian fur-seal colonies and haul-out sites where pups were born in 2007</w:t>
      </w:r>
      <w:bookmarkEnd w:id="271"/>
    </w:p>
    <w:p w14:paraId="10EC4359" w14:textId="77777777" w:rsidR="00885EE5" w:rsidRPr="00D54428" w:rsidRDefault="00885EE5" w:rsidP="009678C7">
      <w:pPr>
        <w:pStyle w:val="Heading3"/>
      </w:pPr>
      <w:bookmarkStart w:id="272" w:name="_Toc474222014"/>
      <w:bookmarkStart w:id="273" w:name="_Ref476559506"/>
      <w:bookmarkStart w:id="274" w:name="_Ref478649376"/>
      <w:bookmarkStart w:id="275" w:name="_Toc375214564"/>
      <w:r>
        <w:t>Reptiles</w:t>
      </w:r>
      <w:bookmarkEnd w:id="272"/>
      <w:bookmarkEnd w:id="273"/>
      <w:bookmarkEnd w:id="274"/>
      <w:bookmarkEnd w:id="275"/>
    </w:p>
    <w:p w14:paraId="52E060BB" w14:textId="5898C228" w:rsidR="00885EE5" w:rsidRPr="002330FD" w:rsidRDefault="00885EE5" w:rsidP="00885EE5">
      <w:pPr>
        <w:pStyle w:val="bodycopy"/>
        <w:rPr>
          <w:rFonts w:ascii="Arial" w:hAnsi="Arial"/>
          <w:sz w:val="22"/>
          <w:szCs w:val="22"/>
        </w:rPr>
      </w:pPr>
      <w:r w:rsidRPr="00EB3AA9">
        <w:rPr>
          <w:rFonts w:ascii="Arial" w:hAnsi="Arial"/>
          <w:sz w:val="22"/>
          <w:szCs w:val="22"/>
        </w:rPr>
        <w:t xml:space="preserve">Five species of marine turtle are listed under the EPBC Act as potentially occurring in the survey area and </w:t>
      </w:r>
      <w:r w:rsidR="00690F6A" w:rsidRPr="00EB3AA9">
        <w:rPr>
          <w:rFonts w:ascii="Arial" w:hAnsi="Arial"/>
          <w:sz w:val="22"/>
          <w:szCs w:val="22"/>
        </w:rPr>
        <w:t>E</w:t>
      </w:r>
      <w:r w:rsidRPr="00EB3AA9">
        <w:rPr>
          <w:rFonts w:ascii="Arial" w:hAnsi="Arial"/>
          <w:sz w:val="22"/>
          <w:szCs w:val="22"/>
        </w:rPr>
        <w:t xml:space="preserve">MBA, as listed in </w:t>
      </w:r>
      <w:r w:rsidRPr="002330FD">
        <w:rPr>
          <w:rFonts w:ascii="Arial" w:hAnsi="Arial"/>
          <w:sz w:val="22"/>
          <w:szCs w:val="22"/>
        </w:rPr>
        <w:t xml:space="preserve">Table </w:t>
      </w:r>
      <w:r w:rsidR="007E0FE3" w:rsidRPr="002330FD">
        <w:rPr>
          <w:rFonts w:ascii="Arial" w:hAnsi="Arial"/>
          <w:sz w:val="22"/>
          <w:szCs w:val="22"/>
        </w:rPr>
        <w:t>5</w:t>
      </w:r>
      <w:r w:rsidRPr="002330FD">
        <w:rPr>
          <w:rFonts w:ascii="Arial" w:hAnsi="Arial"/>
          <w:sz w:val="22"/>
          <w:szCs w:val="22"/>
        </w:rPr>
        <w:t>.</w:t>
      </w:r>
      <w:r w:rsidR="007E0FE3" w:rsidRPr="002330FD">
        <w:rPr>
          <w:rFonts w:ascii="Arial" w:hAnsi="Arial"/>
          <w:sz w:val="22"/>
          <w:szCs w:val="22"/>
        </w:rPr>
        <w:t>1</w:t>
      </w:r>
      <w:r w:rsidR="00FD1E32" w:rsidRPr="002330FD">
        <w:rPr>
          <w:rFonts w:ascii="Arial" w:hAnsi="Arial"/>
          <w:sz w:val="22"/>
          <w:szCs w:val="22"/>
        </w:rPr>
        <w:t>0</w:t>
      </w:r>
      <w:r w:rsidRPr="002330FD">
        <w:rPr>
          <w:rFonts w:ascii="Arial" w:hAnsi="Arial"/>
          <w:sz w:val="22"/>
          <w:szCs w:val="22"/>
        </w:rPr>
        <w:t>. No BIAs for turtles occur within Bass Strait. EA (2003) reports that the turtles known to occur in Victorian waters are considered to be rare vagrants outside their usual range.</w:t>
      </w:r>
      <w:r w:rsidR="0045067E" w:rsidRPr="002330FD">
        <w:rPr>
          <w:rFonts w:ascii="Arial" w:hAnsi="Arial"/>
          <w:sz w:val="22"/>
          <w:szCs w:val="22"/>
        </w:rPr>
        <w:t xml:space="preserve"> No turtles are listed as threatened under the FFG Act 1988 (Vic), except for the leatherback turtle.</w:t>
      </w:r>
    </w:p>
    <w:p w14:paraId="04EBD701" w14:textId="775D65D9" w:rsidR="00E33F5B" w:rsidRPr="00EB3AA9" w:rsidRDefault="00E33F5B" w:rsidP="00885EE5">
      <w:pPr>
        <w:pStyle w:val="bodycopy"/>
        <w:rPr>
          <w:rFonts w:ascii="Arial" w:hAnsi="Arial"/>
          <w:sz w:val="22"/>
          <w:szCs w:val="22"/>
        </w:rPr>
      </w:pPr>
      <w:r w:rsidRPr="002330FD">
        <w:rPr>
          <w:rFonts w:ascii="Arial" w:hAnsi="Arial"/>
          <w:sz w:val="22"/>
          <w:szCs w:val="22"/>
        </w:rPr>
        <w:t>A search of the VBA database indicates that three turtle species have been recorded in the EMBA (all of which are listed in Table 5.1</w:t>
      </w:r>
      <w:r w:rsidR="00FD1E32" w:rsidRPr="002330FD">
        <w:rPr>
          <w:rFonts w:ascii="Arial" w:hAnsi="Arial"/>
          <w:sz w:val="22"/>
          <w:szCs w:val="22"/>
        </w:rPr>
        <w:t>0</w:t>
      </w:r>
      <w:r w:rsidRPr="002330FD">
        <w:rPr>
          <w:rFonts w:ascii="Arial" w:hAnsi="Arial"/>
          <w:sz w:val="22"/>
          <w:szCs w:val="22"/>
        </w:rPr>
        <w:t>). In addition to these, the freshwater eastern snake-necked turtle (</w:t>
      </w:r>
      <w:r w:rsidRPr="002330FD">
        <w:rPr>
          <w:rFonts w:ascii="Arial" w:hAnsi="Arial"/>
          <w:i/>
          <w:sz w:val="22"/>
          <w:szCs w:val="22"/>
        </w:rPr>
        <w:t>Chelodina longicollis</w:t>
      </w:r>
      <w:r w:rsidRPr="002330FD">
        <w:rPr>
          <w:rFonts w:ascii="Arial" w:hAnsi="Arial"/>
          <w:sz w:val="22"/>
          <w:szCs w:val="22"/>
        </w:rPr>
        <w:t>)</w:t>
      </w:r>
      <w:r w:rsidR="00737C07" w:rsidRPr="002949C0">
        <w:rPr>
          <w:rFonts w:ascii="Arial" w:hAnsi="Arial"/>
          <w:sz w:val="22"/>
          <w:szCs w:val="22"/>
        </w:rPr>
        <w:t xml:space="preserve"> has</w:t>
      </w:r>
      <w:r w:rsidR="00737C07">
        <w:rPr>
          <w:rFonts w:ascii="Arial" w:hAnsi="Arial"/>
          <w:sz w:val="22"/>
          <w:szCs w:val="22"/>
        </w:rPr>
        <w:t xml:space="preserve"> also been recorded</w:t>
      </w:r>
      <w:r w:rsidRPr="00EB3AA9">
        <w:rPr>
          <w:rFonts w:ascii="Arial" w:hAnsi="Arial"/>
          <w:sz w:val="22"/>
          <w:szCs w:val="22"/>
        </w:rPr>
        <w:t>. Given its freshwater habitat, it is not described in this section.</w:t>
      </w:r>
    </w:p>
    <w:p w14:paraId="66A3F882" w14:textId="77777777" w:rsidR="00885EE5" w:rsidRDefault="00885EE5" w:rsidP="00E33F5B">
      <w:pPr>
        <w:pStyle w:val="bodycopy"/>
        <w:spacing w:after="240"/>
        <w:rPr>
          <w:rFonts w:ascii="Arial" w:hAnsi="Arial"/>
          <w:sz w:val="22"/>
          <w:szCs w:val="22"/>
        </w:rPr>
      </w:pPr>
      <w:r w:rsidRPr="00EB3AA9">
        <w:rPr>
          <w:rFonts w:ascii="Arial" w:hAnsi="Arial"/>
          <w:sz w:val="22"/>
          <w:szCs w:val="22"/>
        </w:rPr>
        <w:t>Additionally, Wilson and Swan (2005) report that 31 species of sea snake and two species of sea kraits occur in Australian waters, though none of these occurs in waters of the southern coast of Australia, with the exception of the yellow-bellied sea snake (</w:t>
      </w:r>
      <w:r w:rsidRPr="00EB3AA9">
        <w:rPr>
          <w:rFonts w:ascii="Arial" w:hAnsi="Arial"/>
          <w:i/>
          <w:sz w:val="22"/>
          <w:szCs w:val="22"/>
        </w:rPr>
        <w:t>Pelamis platurus</w:t>
      </w:r>
      <w:r w:rsidRPr="00EB3AA9">
        <w:rPr>
          <w:rFonts w:ascii="Arial" w:hAnsi="Arial"/>
          <w:sz w:val="22"/>
          <w:szCs w:val="22"/>
        </w:rPr>
        <w:t xml:space="preserve">) that extends into waters off the WA and Victorian coast. This species is the world’s most widespread sea snake and feeds on fish at the sea surface (Wilson and Swan, 2005). </w:t>
      </w:r>
    </w:p>
    <w:p w14:paraId="3B818771" w14:textId="5519368F" w:rsidR="00885EE5" w:rsidRPr="00EB3AA9" w:rsidRDefault="00885EE5" w:rsidP="00885EE5">
      <w:pPr>
        <w:spacing w:after="120"/>
        <w:ind w:left="0"/>
        <w:jc w:val="center"/>
        <w:rPr>
          <w:rFonts w:cs="Arial"/>
          <w:b/>
          <w:sz w:val="20"/>
          <w:szCs w:val="20"/>
        </w:rPr>
      </w:pPr>
      <w:bookmarkStart w:id="276" w:name="_Ref215737559"/>
      <w:bookmarkStart w:id="277" w:name="_Ref215737542"/>
      <w:bookmarkStart w:id="278" w:name="_Toc215811060"/>
      <w:bookmarkStart w:id="279" w:name="_Toc217453220"/>
      <w:bookmarkStart w:id="280" w:name="_Toc217718226"/>
      <w:bookmarkStart w:id="281" w:name="_Toc346284945"/>
      <w:r w:rsidRPr="00EB3AA9">
        <w:rPr>
          <w:rFonts w:cs="Arial"/>
          <w:b/>
          <w:sz w:val="20"/>
          <w:szCs w:val="20"/>
        </w:rPr>
        <w:lastRenderedPageBreak/>
        <w:t xml:space="preserve">Table </w:t>
      </w:r>
      <w:r w:rsidR="007E0FE3" w:rsidRPr="00EB3AA9">
        <w:rPr>
          <w:rFonts w:cs="Arial"/>
          <w:b/>
          <w:sz w:val="20"/>
          <w:szCs w:val="20"/>
        </w:rPr>
        <w:t>5.1</w:t>
      </w:r>
      <w:r w:rsidR="00FD1E32">
        <w:rPr>
          <w:rFonts w:cs="Arial"/>
          <w:b/>
          <w:sz w:val="20"/>
          <w:szCs w:val="20"/>
        </w:rPr>
        <w:t>0</w:t>
      </w:r>
      <w:bookmarkEnd w:id="276"/>
      <w:r w:rsidR="007E0FE3" w:rsidRPr="00EB3AA9">
        <w:rPr>
          <w:rFonts w:cs="Arial"/>
          <w:b/>
          <w:sz w:val="20"/>
          <w:szCs w:val="20"/>
        </w:rPr>
        <w:t>.</w:t>
      </w:r>
      <w:r w:rsidRPr="00EB3AA9">
        <w:rPr>
          <w:rFonts w:cs="Arial"/>
          <w:b/>
          <w:sz w:val="20"/>
          <w:szCs w:val="20"/>
        </w:rPr>
        <w:tab/>
        <w:t xml:space="preserve">EPBC Act-listed marine reptiles that may occur in the </w:t>
      </w:r>
      <w:bookmarkEnd w:id="277"/>
      <w:bookmarkEnd w:id="278"/>
      <w:bookmarkEnd w:id="279"/>
      <w:bookmarkEnd w:id="280"/>
      <w:bookmarkEnd w:id="281"/>
      <w:r w:rsidR="00D54428" w:rsidRPr="00EB3AA9">
        <w:rPr>
          <w:rFonts w:cs="Arial"/>
          <w:b/>
          <w:sz w:val="20"/>
          <w:szCs w:val="20"/>
        </w:rPr>
        <w:t>E</w:t>
      </w:r>
      <w:r w:rsidRPr="00EB3AA9">
        <w:rPr>
          <w:rFonts w:cs="Arial"/>
          <w:b/>
          <w:sz w:val="20"/>
          <w:szCs w:val="20"/>
        </w:rPr>
        <w:t>MBA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4"/>
        <w:gridCol w:w="1277"/>
        <w:gridCol w:w="1275"/>
        <w:gridCol w:w="992"/>
        <w:gridCol w:w="850"/>
        <w:gridCol w:w="796"/>
        <w:gridCol w:w="910"/>
        <w:gridCol w:w="1038"/>
      </w:tblGrid>
      <w:tr w:rsidR="0089764C" w:rsidRPr="00B92BDA" w14:paraId="08046F5F" w14:textId="77777777" w:rsidTr="00891DE1">
        <w:trPr>
          <w:trHeight w:val="345"/>
          <w:jc w:val="center"/>
        </w:trPr>
        <w:tc>
          <w:tcPr>
            <w:tcW w:w="812" w:type="pct"/>
            <w:vMerge w:val="restart"/>
            <w:tcBorders>
              <w:top w:val="single" w:sz="4" w:space="0" w:color="auto"/>
              <w:left w:val="single" w:sz="4" w:space="0" w:color="auto"/>
              <w:right w:val="single" w:sz="4" w:space="0" w:color="auto"/>
            </w:tcBorders>
            <w:shd w:val="clear" w:color="auto" w:fill="064EA8"/>
            <w:vAlign w:val="center"/>
          </w:tcPr>
          <w:p w14:paraId="7335C952" w14:textId="77777777" w:rsidR="0089764C" w:rsidRPr="00B92BDA" w:rsidRDefault="0089764C" w:rsidP="00885EE5">
            <w:pPr>
              <w:spacing w:before="60" w:after="60"/>
              <w:ind w:left="0"/>
              <w:jc w:val="center"/>
              <w:rPr>
                <w:rFonts w:cs="Arial"/>
                <w:color w:val="FFFFFF" w:themeColor="background1"/>
                <w:sz w:val="18"/>
                <w:szCs w:val="18"/>
              </w:rPr>
            </w:pPr>
            <w:r w:rsidRPr="00B92BDA">
              <w:rPr>
                <w:rFonts w:cs="Arial"/>
                <w:color w:val="FFFFFF" w:themeColor="background1"/>
                <w:sz w:val="18"/>
                <w:szCs w:val="18"/>
              </w:rPr>
              <w:t>Scientific Name</w:t>
            </w:r>
          </w:p>
        </w:tc>
        <w:tc>
          <w:tcPr>
            <w:tcW w:w="749" w:type="pct"/>
            <w:vMerge w:val="restart"/>
            <w:tcBorders>
              <w:top w:val="single" w:sz="4" w:space="0" w:color="auto"/>
              <w:left w:val="single" w:sz="4" w:space="0" w:color="auto"/>
              <w:right w:val="single" w:sz="4" w:space="0" w:color="auto"/>
            </w:tcBorders>
            <w:shd w:val="clear" w:color="auto" w:fill="064EA8"/>
            <w:vAlign w:val="center"/>
          </w:tcPr>
          <w:p w14:paraId="717955BB" w14:textId="77777777" w:rsidR="0089764C" w:rsidRPr="00B92BDA" w:rsidRDefault="0089764C" w:rsidP="00885EE5">
            <w:pPr>
              <w:spacing w:before="60" w:after="60"/>
              <w:ind w:left="0"/>
              <w:jc w:val="center"/>
              <w:rPr>
                <w:rFonts w:cs="Arial"/>
                <w:color w:val="FFFFFF" w:themeColor="background1"/>
                <w:sz w:val="18"/>
                <w:szCs w:val="18"/>
              </w:rPr>
            </w:pPr>
            <w:r w:rsidRPr="00B92BDA">
              <w:rPr>
                <w:rFonts w:cs="Arial"/>
                <w:color w:val="FFFFFF" w:themeColor="background1"/>
                <w:sz w:val="18"/>
                <w:szCs w:val="18"/>
              </w:rPr>
              <w:t>Common Name</w:t>
            </w:r>
          </w:p>
        </w:tc>
        <w:tc>
          <w:tcPr>
            <w:tcW w:w="1829" w:type="pct"/>
            <w:gridSpan w:val="3"/>
            <w:tcBorders>
              <w:top w:val="single" w:sz="4" w:space="0" w:color="auto"/>
              <w:left w:val="single" w:sz="4" w:space="0" w:color="auto"/>
              <w:bottom w:val="single" w:sz="4" w:space="0" w:color="auto"/>
              <w:right w:val="single" w:sz="4" w:space="0" w:color="auto"/>
            </w:tcBorders>
            <w:shd w:val="clear" w:color="auto" w:fill="064EA8"/>
          </w:tcPr>
          <w:p w14:paraId="56DAEC61" w14:textId="77777777" w:rsidR="0089764C" w:rsidRPr="00B92BDA" w:rsidRDefault="0089764C" w:rsidP="00885EE5">
            <w:pPr>
              <w:pStyle w:val="TableText"/>
              <w:ind w:hanging="109"/>
              <w:jc w:val="center"/>
              <w:rPr>
                <w:rFonts w:cs="Arial"/>
                <w:color w:val="FFFFFF" w:themeColor="background1"/>
                <w:sz w:val="18"/>
                <w:szCs w:val="18"/>
              </w:rPr>
            </w:pPr>
            <w:r w:rsidRPr="00B92BDA">
              <w:rPr>
                <w:rFonts w:cs="Arial"/>
                <w:color w:val="FFFFFF" w:themeColor="background1"/>
                <w:sz w:val="18"/>
                <w:szCs w:val="18"/>
              </w:rPr>
              <w:t>EPBC Act status</w:t>
            </w:r>
          </w:p>
        </w:tc>
        <w:tc>
          <w:tcPr>
            <w:tcW w:w="467" w:type="pct"/>
            <w:vMerge w:val="restart"/>
            <w:tcBorders>
              <w:top w:val="single" w:sz="4" w:space="0" w:color="auto"/>
              <w:left w:val="single" w:sz="4" w:space="0" w:color="auto"/>
              <w:right w:val="single" w:sz="4" w:space="0" w:color="auto"/>
            </w:tcBorders>
            <w:shd w:val="clear" w:color="auto" w:fill="064EA8"/>
            <w:vAlign w:val="center"/>
          </w:tcPr>
          <w:p w14:paraId="0D7AEADC" w14:textId="03EDEE10" w:rsidR="0089764C" w:rsidRPr="00B92BDA" w:rsidRDefault="0089764C" w:rsidP="0089764C">
            <w:pPr>
              <w:pStyle w:val="TableText"/>
              <w:ind w:firstLine="11"/>
              <w:jc w:val="center"/>
              <w:rPr>
                <w:rFonts w:cs="Arial"/>
                <w:color w:val="FFFFFF" w:themeColor="background1"/>
                <w:sz w:val="18"/>
                <w:szCs w:val="18"/>
              </w:rPr>
            </w:pPr>
            <w:r>
              <w:rPr>
                <w:rFonts w:cs="Arial"/>
                <w:color w:val="FFFFFF" w:themeColor="background1"/>
                <w:sz w:val="18"/>
                <w:szCs w:val="18"/>
              </w:rPr>
              <w:t>FFG Act status</w:t>
            </w:r>
          </w:p>
        </w:tc>
        <w:tc>
          <w:tcPr>
            <w:tcW w:w="534" w:type="pct"/>
            <w:vMerge w:val="restart"/>
            <w:tcBorders>
              <w:top w:val="single" w:sz="4" w:space="0" w:color="auto"/>
              <w:left w:val="single" w:sz="4" w:space="0" w:color="auto"/>
              <w:right w:val="single" w:sz="4" w:space="0" w:color="auto"/>
            </w:tcBorders>
            <w:shd w:val="clear" w:color="auto" w:fill="064EA8"/>
            <w:vAlign w:val="center"/>
          </w:tcPr>
          <w:p w14:paraId="27AB3269" w14:textId="26A47074" w:rsidR="0089764C" w:rsidRPr="00B92BDA" w:rsidRDefault="0089764C" w:rsidP="00426646">
            <w:pPr>
              <w:pStyle w:val="TableText"/>
              <w:ind w:firstLine="11"/>
              <w:jc w:val="center"/>
              <w:rPr>
                <w:rFonts w:cs="Arial"/>
                <w:color w:val="FFFFFF" w:themeColor="background1"/>
                <w:sz w:val="18"/>
                <w:szCs w:val="18"/>
              </w:rPr>
            </w:pPr>
            <w:r w:rsidRPr="00B92BDA">
              <w:rPr>
                <w:rFonts w:cs="Arial"/>
                <w:color w:val="FFFFFF" w:themeColor="background1"/>
                <w:sz w:val="18"/>
                <w:szCs w:val="18"/>
              </w:rPr>
              <w:t>BIA within the EMBA?</w:t>
            </w:r>
          </w:p>
        </w:tc>
        <w:tc>
          <w:tcPr>
            <w:tcW w:w="609" w:type="pct"/>
            <w:vMerge w:val="restart"/>
            <w:tcBorders>
              <w:top w:val="single" w:sz="4" w:space="0" w:color="auto"/>
              <w:left w:val="single" w:sz="4" w:space="0" w:color="auto"/>
              <w:right w:val="single" w:sz="4" w:space="0" w:color="auto"/>
            </w:tcBorders>
            <w:shd w:val="clear" w:color="auto" w:fill="064EA8"/>
            <w:vAlign w:val="center"/>
          </w:tcPr>
          <w:p w14:paraId="6DB9B292" w14:textId="77777777" w:rsidR="0089764C" w:rsidRPr="00B92BDA" w:rsidRDefault="0089764C" w:rsidP="00885EE5">
            <w:pPr>
              <w:pStyle w:val="TableText"/>
              <w:ind w:firstLine="11"/>
              <w:jc w:val="center"/>
              <w:rPr>
                <w:rFonts w:cs="Arial"/>
                <w:color w:val="FFFFFF" w:themeColor="background1"/>
                <w:sz w:val="18"/>
                <w:szCs w:val="18"/>
              </w:rPr>
            </w:pPr>
            <w:r w:rsidRPr="00B92BDA">
              <w:rPr>
                <w:rFonts w:cs="Arial"/>
                <w:color w:val="FFFFFF" w:themeColor="background1"/>
                <w:sz w:val="18"/>
                <w:szCs w:val="18"/>
              </w:rPr>
              <w:t>Recovery Plan in place?</w:t>
            </w:r>
          </w:p>
        </w:tc>
      </w:tr>
      <w:tr w:rsidR="0089764C" w:rsidRPr="00B92BDA" w14:paraId="1D02668D" w14:textId="77777777" w:rsidTr="00891DE1">
        <w:trPr>
          <w:trHeight w:val="345"/>
          <w:jc w:val="center"/>
        </w:trPr>
        <w:tc>
          <w:tcPr>
            <w:tcW w:w="812" w:type="pct"/>
            <w:vMerge/>
            <w:tcBorders>
              <w:left w:val="single" w:sz="4" w:space="0" w:color="auto"/>
              <w:bottom w:val="single" w:sz="4" w:space="0" w:color="auto"/>
              <w:right w:val="single" w:sz="4" w:space="0" w:color="auto"/>
            </w:tcBorders>
            <w:shd w:val="clear" w:color="auto" w:fill="8064A2"/>
          </w:tcPr>
          <w:p w14:paraId="2D314B62" w14:textId="77777777" w:rsidR="0089764C" w:rsidRPr="00B92BDA" w:rsidRDefault="0089764C" w:rsidP="00885EE5">
            <w:pPr>
              <w:spacing w:before="60" w:after="60"/>
              <w:ind w:hanging="627"/>
              <w:rPr>
                <w:rFonts w:cs="Arial"/>
                <w:color w:val="FFFFFF"/>
                <w:sz w:val="18"/>
                <w:szCs w:val="18"/>
              </w:rPr>
            </w:pPr>
          </w:p>
        </w:tc>
        <w:tc>
          <w:tcPr>
            <w:tcW w:w="749" w:type="pct"/>
            <w:vMerge/>
            <w:tcBorders>
              <w:left w:val="single" w:sz="4" w:space="0" w:color="auto"/>
              <w:bottom w:val="single" w:sz="4" w:space="0" w:color="auto"/>
              <w:right w:val="single" w:sz="4" w:space="0" w:color="auto"/>
            </w:tcBorders>
            <w:shd w:val="clear" w:color="auto" w:fill="8064A2"/>
          </w:tcPr>
          <w:p w14:paraId="5725A719" w14:textId="77777777" w:rsidR="0089764C" w:rsidRPr="00B92BDA" w:rsidRDefault="0089764C" w:rsidP="00885EE5">
            <w:pPr>
              <w:spacing w:before="60" w:after="60"/>
              <w:ind w:hanging="627"/>
              <w:rPr>
                <w:rFonts w:cs="Arial"/>
                <w:color w:val="FFFFFF"/>
                <w:sz w:val="18"/>
                <w:szCs w:val="18"/>
              </w:rPr>
            </w:pPr>
          </w:p>
        </w:tc>
        <w:tc>
          <w:tcPr>
            <w:tcW w:w="748" w:type="pct"/>
            <w:tcBorders>
              <w:top w:val="single" w:sz="4" w:space="0" w:color="auto"/>
              <w:left w:val="single" w:sz="4" w:space="0" w:color="auto"/>
              <w:bottom w:val="single" w:sz="4" w:space="0" w:color="auto"/>
              <w:right w:val="single" w:sz="4" w:space="0" w:color="auto"/>
            </w:tcBorders>
            <w:shd w:val="clear" w:color="auto" w:fill="064EA8"/>
          </w:tcPr>
          <w:p w14:paraId="5A884245" w14:textId="77777777" w:rsidR="0089764C" w:rsidRPr="00B92BDA" w:rsidRDefault="0089764C" w:rsidP="00885EE5">
            <w:pPr>
              <w:spacing w:before="60" w:after="60"/>
              <w:ind w:left="0"/>
              <w:jc w:val="center"/>
              <w:rPr>
                <w:rFonts w:cs="Arial"/>
                <w:color w:val="FFFFFF" w:themeColor="background1"/>
                <w:sz w:val="18"/>
                <w:szCs w:val="18"/>
              </w:rPr>
            </w:pPr>
            <w:r w:rsidRPr="00B92BDA">
              <w:rPr>
                <w:rFonts w:cs="Arial"/>
                <w:color w:val="FFFFFF" w:themeColor="background1"/>
                <w:sz w:val="18"/>
                <w:szCs w:val="18"/>
              </w:rPr>
              <w:t>Listed threatened species</w:t>
            </w:r>
          </w:p>
        </w:tc>
        <w:tc>
          <w:tcPr>
            <w:tcW w:w="582" w:type="pct"/>
            <w:tcBorders>
              <w:top w:val="single" w:sz="4" w:space="0" w:color="auto"/>
              <w:left w:val="single" w:sz="4" w:space="0" w:color="auto"/>
              <w:bottom w:val="single" w:sz="4" w:space="0" w:color="auto"/>
              <w:right w:val="single" w:sz="4" w:space="0" w:color="auto"/>
            </w:tcBorders>
            <w:shd w:val="clear" w:color="auto" w:fill="064EA8"/>
          </w:tcPr>
          <w:p w14:paraId="38634941" w14:textId="77777777" w:rsidR="0089764C" w:rsidRPr="00B92BDA" w:rsidRDefault="0089764C" w:rsidP="00885EE5">
            <w:pPr>
              <w:pStyle w:val="TableText"/>
              <w:ind w:firstLine="34"/>
              <w:jc w:val="center"/>
              <w:rPr>
                <w:rFonts w:cs="Arial"/>
                <w:color w:val="FFFFFF" w:themeColor="background1"/>
                <w:sz w:val="18"/>
                <w:szCs w:val="18"/>
              </w:rPr>
            </w:pPr>
            <w:r w:rsidRPr="00B92BDA">
              <w:rPr>
                <w:rFonts w:cs="Arial"/>
                <w:color w:val="FFFFFF" w:themeColor="background1"/>
                <w:sz w:val="18"/>
                <w:szCs w:val="18"/>
              </w:rPr>
              <w:t>Listed migratory species</w:t>
            </w:r>
          </w:p>
        </w:tc>
        <w:tc>
          <w:tcPr>
            <w:tcW w:w="499" w:type="pct"/>
            <w:tcBorders>
              <w:top w:val="single" w:sz="4" w:space="0" w:color="auto"/>
              <w:left w:val="single" w:sz="4" w:space="0" w:color="auto"/>
              <w:bottom w:val="single" w:sz="4" w:space="0" w:color="auto"/>
              <w:right w:val="single" w:sz="4" w:space="0" w:color="auto"/>
            </w:tcBorders>
            <w:shd w:val="clear" w:color="auto" w:fill="064EA8"/>
          </w:tcPr>
          <w:p w14:paraId="53FE0393" w14:textId="77777777" w:rsidR="0089764C" w:rsidRPr="00B92BDA" w:rsidRDefault="0089764C" w:rsidP="00885EE5">
            <w:pPr>
              <w:pStyle w:val="TableText"/>
              <w:ind w:firstLine="11"/>
              <w:jc w:val="center"/>
              <w:rPr>
                <w:rFonts w:cs="Arial"/>
                <w:color w:val="FFFFFF" w:themeColor="background1"/>
                <w:sz w:val="18"/>
                <w:szCs w:val="18"/>
              </w:rPr>
            </w:pPr>
            <w:r w:rsidRPr="00B92BDA">
              <w:rPr>
                <w:rFonts w:cs="Arial"/>
                <w:color w:val="FFFFFF" w:themeColor="background1"/>
                <w:sz w:val="18"/>
                <w:szCs w:val="18"/>
              </w:rPr>
              <w:t>Listed marine species</w:t>
            </w:r>
          </w:p>
        </w:tc>
        <w:tc>
          <w:tcPr>
            <w:tcW w:w="467" w:type="pct"/>
            <w:vMerge/>
            <w:tcBorders>
              <w:left w:val="single" w:sz="4" w:space="0" w:color="auto"/>
              <w:bottom w:val="single" w:sz="4" w:space="0" w:color="auto"/>
              <w:right w:val="single" w:sz="4" w:space="0" w:color="auto"/>
            </w:tcBorders>
            <w:shd w:val="clear" w:color="auto" w:fill="8064A2"/>
          </w:tcPr>
          <w:p w14:paraId="2CB4EF97" w14:textId="77777777" w:rsidR="0089764C" w:rsidRPr="00B92BDA" w:rsidRDefault="0089764C" w:rsidP="00885EE5">
            <w:pPr>
              <w:pStyle w:val="TableText"/>
              <w:ind w:firstLine="11"/>
              <w:jc w:val="center"/>
              <w:rPr>
                <w:rFonts w:cs="Arial"/>
                <w:color w:val="FFFFFF"/>
                <w:sz w:val="18"/>
                <w:szCs w:val="18"/>
              </w:rPr>
            </w:pPr>
          </w:p>
        </w:tc>
        <w:tc>
          <w:tcPr>
            <w:tcW w:w="534" w:type="pct"/>
            <w:vMerge/>
            <w:tcBorders>
              <w:left w:val="single" w:sz="4" w:space="0" w:color="auto"/>
              <w:bottom w:val="single" w:sz="4" w:space="0" w:color="auto"/>
              <w:right w:val="single" w:sz="4" w:space="0" w:color="auto"/>
            </w:tcBorders>
            <w:shd w:val="clear" w:color="auto" w:fill="8064A2"/>
          </w:tcPr>
          <w:p w14:paraId="52DC0ABF" w14:textId="3F90AFCC" w:rsidR="0089764C" w:rsidRPr="00B92BDA" w:rsidRDefault="0089764C" w:rsidP="00885EE5">
            <w:pPr>
              <w:pStyle w:val="TableText"/>
              <w:ind w:firstLine="11"/>
              <w:jc w:val="center"/>
              <w:rPr>
                <w:rFonts w:cs="Arial"/>
                <w:color w:val="FFFFFF"/>
                <w:sz w:val="18"/>
                <w:szCs w:val="18"/>
              </w:rPr>
            </w:pPr>
          </w:p>
        </w:tc>
        <w:tc>
          <w:tcPr>
            <w:tcW w:w="609" w:type="pct"/>
            <w:vMerge/>
            <w:tcBorders>
              <w:left w:val="single" w:sz="4" w:space="0" w:color="auto"/>
              <w:bottom w:val="single" w:sz="4" w:space="0" w:color="auto"/>
              <w:right w:val="single" w:sz="4" w:space="0" w:color="auto"/>
            </w:tcBorders>
            <w:shd w:val="clear" w:color="auto" w:fill="8064A2"/>
          </w:tcPr>
          <w:p w14:paraId="5E953440" w14:textId="77777777" w:rsidR="0089764C" w:rsidRPr="00B92BDA" w:rsidRDefault="0089764C" w:rsidP="00885EE5">
            <w:pPr>
              <w:pStyle w:val="TableText"/>
              <w:ind w:firstLine="11"/>
              <w:jc w:val="center"/>
              <w:rPr>
                <w:rFonts w:cs="Arial"/>
                <w:color w:val="FFFFFF"/>
                <w:sz w:val="18"/>
                <w:szCs w:val="18"/>
              </w:rPr>
            </w:pPr>
          </w:p>
        </w:tc>
      </w:tr>
      <w:tr w:rsidR="0089764C" w:rsidRPr="00B92BDA" w14:paraId="277B74A3" w14:textId="77777777" w:rsidTr="00891DE1">
        <w:trPr>
          <w:trHeight w:val="345"/>
          <w:jc w:val="center"/>
        </w:trPr>
        <w:tc>
          <w:tcPr>
            <w:tcW w:w="812" w:type="pct"/>
            <w:tcBorders>
              <w:top w:val="single" w:sz="4" w:space="0" w:color="auto"/>
              <w:left w:val="single" w:sz="4" w:space="0" w:color="auto"/>
              <w:bottom w:val="single" w:sz="4" w:space="0" w:color="auto"/>
              <w:right w:val="single" w:sz="4" w:space="0" w:color="auto"/>
            </w:tcBorders>
            <w:shd w:val="clear" w:color="auto" w:fill="auto"/>
          </w:tcPr>
          <w:p w14:paraId="0024E6E6" w14:textId="77777777" w:rsidR="0089764C" w:rsidRPr="00B92BDA" w:rsidRDefault="0089764C" w:rsidP="00891DE1">
            <w:pPr>
              <w:spacing w:before="60" w:after="60"/>
              <w:ind w:left="-25" w:firstLine="25"/>
              <w:rPr>
                <w:rFonts w:eastAsia="MS Mincho" w:cs="Arial"/>
                <w:b/>
                <w:bCs/>
                <w:i/>
                <w:iCs/>
                <w:color w:val="22058A"/>
                <w:sz w:val="18"/>
                <w:szCs w:val="18"/>
                <w:lang w:eastAsia="en-US"/>
              </w:rPr>
            </w:pPr>
            <w:r w:rsidRPr="00B92BDA">
              <w:rPr>
                <w:rFonts w:cs="Arial"/>
                <w:i/>
                <w:sz w:val="18"/>
                <w:szCs w:val="18"/>
              </w:rPr>
              <w:t>Caretta caretta</w:t>
            </w:r>
          </w:p>
        </w:tc>
        <w:tc>
          <w:tcPr>
            <w:tcW w:w="749" w:type="pct"/>
            <w:tcBorders>
              <w:top w:val="single" w:sz="4" w:space="0" w:color="auto"/>
              <w:left w:val="single" w:sz="4" w:space="0" w:color="auto"/>
              <w:bottom w:val="single" w:sz="4" w:space="0" w:color="auto"/>
              <w:right w:val="single" w:sz="4" w:space="0" w:color="auto"/>
            </w:tcBorders>
            <w:shd w:val="clear" w:color="auto" w:fill="auto"/>
          </w:tcPr>
          <w:p w14:paraId="22BAB776" w14:textId="77777777" w:rsidR="0089764C" w:rsidRPr="00B92BDA" w:rsidRDefault="0089764C" w:rsidP="00885EE5">
            <w:pPr>
              <w:spacing w:before="60" w:after="60"/>
              <w:ind w:left="0"/>
              <w:rPr>
                <w:rFonts w:cs="Arial"/>
                <w:sz w:val="18"/>
                <w:szCs w:val="18"/>
              </w:rPr>
            </w:pPr>
            <w:r w:rsidRPr="00B92BDA">
              <w:rPr>
                <w:rFonts w:cs="Arial"/>
                <w:sz w:val="18"/>
                <w:szCs w:val="18"/>
              </w:rPr>
              <w:t>Loggerhead turtle</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14:paraId="701CDC4B" w14:textId="77777777" w:rsidR="0089764C" w:rsidRPr="00B92BDA" w:rsidRDefault="0089764C" w:rsidP="00891DE1">
            <w:pPr>
              <w:spacing w:before="60" w:after="60"/>
              <w:ind w:left="4" w:hanging="13"/>
              <w:jc w:val="center"/>
              <w:rPr>
                <w:rFonts w:eastAsia="MS Mincho" w:cs="Arial"/>
                <w:b/>
                <w:bCs/>
                <w:i/>
                <w:iCs/>
                <w:color w:val="22058A"/>
                <w:sz w:val="18"/>
                <w:szCs w:val="18"/>
                <w:lang w:eastAsia="en-US"/>
              </w:rPr>
            </w:pPr>
            <w:r w:rsidRPr="00B92BDA">
              <w:rPr>
                <w:rFonts w:cs="Arial"/>
                <w:sz w:val="18"/>
                <w:szCs w:val="18"/>
              </w:rPr>
              <w:t>Endangered</w:t>
            </w:r>
          </w:p>
        </w:tc>
        <w:tc>
          <w:tcPr>
            <w:tcW w:w="582" w:type="pct"/>
            <w:tcBorders>
              <w:top w:val="single" w:sz="4" w:space="0" w:color="auto"/>
              <w:left w:val="single" w:sz="4" w:space="0" w:color="auto"/>
              <w:bottom w:val="single" w:sz="4" w:space="0" w:color="auto"/>
              <w:right w:val="single" w:sz="4" w:space="0" w:color="auto"/>
            </w:tcBorders>
            <w:vAlign w:val="center"/>
          </w:tcPr>
          <w:p w14:paraId="1E3C1AD7" w14:textId="76BFABEA" w:rsidR="0089764C" w:rsidRPr="00B92BDA" w:rsidRDefault="0089764C" w:rsidP="00885EE5">
            <w:pPr>
              <w:pStyle w:val="TableText"/>
              <w:jc w:val="center"/>
              <w:rPr>
                <w:rFonts w:cs="Arial"/>
                <w:sz w:val="18"/>
                <w:szCs w:val="18"/>
              </w:rPr>
            </w:pPr>
            <w:r w:rsidRPr="00B92BDA">
              <w:rPr>
                <w:rFonts w:cs="Arial"/>
                <w:sz w:val="18"/>
                <w:szCs w:val="18"/>
              </w:rPr>
              <w:t>Yes</w:t>
            </w:r>
          </w:p>
        </w:tc>
        <w:tc>
          <w:tcPr>
            <w:tcW w:w="499" w:type="pct"/>
            <w:tcBorders>
              <w:top w:val="single" w:sz="4" w:space="0" w:color="auto"/>
              <w:left w:val="single" w:sz="4" w:space="0" w:color="auto"/>
              <w:bottom w:val="single" w:sz="4" w:space="0" w:color="auto"/>
              <w:right w:val="single" w:sz="4" w:space="0" w:color="auto"/>
            </w:tcBorders>
            <w:vAlign w:val="center"/>
          </w:tcPr>
          <w:p w14:paraId="02DE6BAC" w14:textId="31D0AB3E" w:rsidR="0089764C" w:rsidRPr="00B92BDA" w:rsidRDefault="0089764C" w:rsidP="00885EE5">
            <w:pPr>
              <w:pStyle w:val="TableText"/>
              <w:jc w:val="center"/>
              <w:rPr>
                <w:rFonts w:cs="Arial"/>
                <w:sz w:val="18"/>
                <w:szCs w:val="18"/>
              </w:rPr>
            </w:pPr>
            <w:r w:rsidRPr="00B92BDA">
              <w:rPr>
                <w:rFonts w:cs="Arial"/>
                <w:sz w:val="18"/>
                <w:szCs w:val="18"/>
              </w:rPr>
              <w:t>Yes</w:t>
            </w:r>
          </w:p>
        </w:tc>
        <w:tc>
          <w:tcPr>
            <w:tcW w:w="467" w:type="pct"/>
            <w:tcBorders>
              <w:top w:val="single" w:sz="4" w:space="0" w:color="auto"/>
              <w:left w:val="single" w:sz="4" w:space="0" w:color="auto"/>
              <w:bottom w:val="single" w:sz="4" w:space="0" w:color="auto"/>
              <w:right w:val="single" w:sz="4" w:space="0" w:color="auto"/>
            </w:tcBorders>
            <w:vAlign w:val="center"/>
          </w:tcPr>
          <w:p w14:paraId="38145515" w14:textId="41B40F62" w:rsidR="0089764C" w:rsidRPr="00B92BDA" w:rsidRDefault="0089764C" w:rsidP="0089764C">
            <w:pPr>
              <w:pStyle w:val="TableText"/>
              <w:jc w:val="center"/>
              <w:rPr>
                <w:rFonts w:cs="Arial"/>
                <w:sz w:val="18"/>
                <w:szCs w:val="18"/>
              </w:rPr>
            </w:pPr>
            <w:r>
              <w:rPr>
                <w:rFonts w:cs="Arial"/>
                <w:sz w:val="18"/>
                <w:szCs w:val="18"/>
              </w:rPr>
              <w:t>-</w:t>
            </w:r>
          </w:p>
        </w:tc>
        <w:tc>
          <w:tcPr>
            <w:tcW w:w="534" w:type="pct"/>
            <w:tcBorders>
              <w:top w:val="single" w:sz="4" w:space="0" w:color="auto"/>
              <w:left w:val="single" w:sz="4" w:space="0" w:color="auto"/>
              <w:bottom w:val="single" w:sz="4" w:space="0" w:color="auto"/>
              <w:right w:val="single" w:sz="4" w:space="0" w:color="auto"/>
            </w:tcBorders>
            <w:vAlign w:val="center"/>
          </w:tcPr>
          <w:p w14:paraId="29D5567D" w14:textId="34583C76" w:rsidR="0089764C" w:rsidRPr="00B92BDA" w:rsidRDefault="0089764C" w:rsidP="00690F6A">
            <w:pPr>
              <w:pStyle w:val="TableText"/>
              <w:jc w:val="center"/>
              <w:rPr>
                <w:rFonts w:cs="Arial"/>
                <w:sz w:val="18"/>
                <w:szCs w:val="18"/>
              </w:rPr>
            </w:pPr>
            <w:r w:rsidRPr="00B92BDA">
              <w:rPr>
                <w:rFonts w:cs="Arial"/>
                <w:sz w:val="18"/>
                <w:szCs w:val="18"/>
              </w:rPr>
              <w:t>-</w:t>
            </w:r>
          </w:p>
        </w:tc>
        <w:tc>
          <w:tcPr>
            <w:tcW w:w="609" w:type="pct"/>
            <w:vMerge w:val="restart"/>
            <w:tcBorders>
              <w:top w:val="single" w:sz="4" w:space="0" w:color="auto"/>
              <w:left w:val="single" w:sz="4" w:space="0" w:color="auto"/>
              <w:right w:val="single" w:sz="4" w:space="0" w:color="auto"/>
            </w:tcBorders>
            <w:vAlign w:val="center"/>
          </w:tcPr>
          <w:p w14:paraId="7863CB4E" w14:textId="60F042F4" w:rsidR="0089764C" w:rsidRPr="00B92BDA" w:rsidRDefault="0089764C" w:rsidP="00390D40">
            <w:pPr>
              <w:pStyle w:val="TableText"/>
              <w:jc w:val="center"/>
              <w:rPr>
                <w:rFonts w:cs="Arial"/>
                <w:sz w:val="18"/>
                <w:szCs w:val="18"/>
              </w:rPr>
            </w:pPr>
            <w:r w:rsidRPr="00B92BDA">
              <w:rPr>
                <w:rFonts w:cs="Arial"/>
                <w:sz w:val="18"/>
                <w:szCs w:val="18"/>
              </w:rPr>
              <w:t xml:space="preserve">Generic </w:t>
            </w:r>
            <w:r>
              <w:rPr>
                <w:rFonts w:cs="Arial"/>
                <w:sz w:val="18"/>
                <w:szCs w:val="18"/>
              </w:rPr>
              <w:t>RP in place</w:t>
            </w:r>
            <w:r w:rsidRPr="00B92BDA">
              <w:rPr>
                <w:rFonts w:cs="Arial"/>
                <w:sz w:val="18"/>
                <w:szCs w:val="18"/>
              </w:rPr>
              <w:t xml:space="preserve"> for all marine turtle species, + AS for leather-back turtle</w:t>
            </w:r>
          </w:p>
        </w:tc>
      </w:tr>
      <w:tr w:rsidR="0089764C" w:rsidRPr="00B92BDA" w14:paraId="17C57B48" w14:textId="77777777" w:rsidTr="00891DE1">
        <w:trPr>
          <w:trHeight w:val="345"/>
          <w:jc w:val="center"/>
        </w:trPr>
        <w:tc>
          <w:tcPr>
            <w:tcW w:w="812" w:type="pct"/>
            <w:tcBorders>
              <w:top w:val="single" w:sz="4" w:space="0" w:color="auto"/>
              <w:left w:val="single" w:sz="4" w:space="0" w:color="auto"/>
              <w:bottom w:val="single" w:sz="4" w:space="0" w:color="auto"/>
              <w:right w:val="single" w:sz="4" w:space="0" w:color="auto"/>
            </w:tcBorders>
            <w:shd w:val="clear" w:color="auto" w:fill="auto"/>
          </w:tcPr>
          <w:p w14:paraId="46364A16" w14:textId="77777777" w:rsidR="0089764C" w:rsidRPr="00B92BDA" w:rsidRDefault="0089764C" w:rsidP="00891DE1">
            <w:pPr>
              <w:spacing w:before="60" w:after="60"/>
              <w:ind w:left="-25" w:firstLine="25"/>
              <w:rPr>
                <w:rFonts w:eastAsia="MS Mincho" w:cs="Arial"/>
                <w:b/>
                <w:bCs/>
                <w:i/>
                <w:iCs/>
                <w:color w:val="22058A"/>
                <w:sz w:val="18"/>
                <w:szCs w:val="18"/>
                <w:lang w:eastAsia="en-US"/>
              </w:rPr>
            </w:pPr>
            <w:r w:rsidRPr="00B92BDA">
              <w:rPr>
                <w:rFonts w:cs="Arial"/>
                <w:i/>
                <w:sz w:val="18"/>
                <w:szCs w:val="18"/>
              </w:rPr>
              <w:t>Chelonia mydas</w:t>
            </w:r>
          </w:p>
        </w:tc>
        <w:tc>
          <w:tcPr>
            <w:tcW w:w="749" w:type="pct"/>
            <w:tcBorders>
              <w:top w:val="single" w:sz="4" w:space="0" w:color="auto"/>
              <w:left w:val="single" w:sz="4" w:space="0" w:color="auto"/>
              <w:bottom w:val="single" w:sz="4" w:space="0" w:color="auto"/>
              <w:right w:val="single" w:sz="4" w:space="0" w:color="auto"/>
            </w:tcBorders>
            <w:shd w:val="clear" w:color="auto" w:fill="auto"/>
          </w:tcPr>
          <w:p w14:paraId="2BC502AA" w14:textId="77777777" w:rsidR="0089764C" w:rsidRPr="00B92BDA" w:rsidRDefault="0089764C" w:rsidP="00885EE5">
            <w:pPr>
              <w:spacing w:before="60" w:after="60"/>
              <w:ind w:left="33" w:hanging="33"/>
              <w:rPr>
                <w:rFonts w:cs="Arial"/>
                <w:sz w:val="18"/>
                <w:szCs w:val="18"/>
              </w:rPr>
            </w:pPr>
            <w:r w:rsidRPr="00B92BDA">
              <w:rPr>
                <w:rFonts w:cs="Arial"/>
                <w:sz w:val="18"/>
                <w:szCs w:val="18"/>
              </w:rPr>
              <w:t>Green turtle</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14:paraId="4003F0F9" w14:textId="77777777" w:rsidR="0089764C" w:rsidRPr="00B92BDA" w:rsidRDefault="0089764C" w:rsidP="00891DE1">
            <w:pPr>
              <w:spacing w:before="60" w:after="60"/>
              <w:ind w:left="4" w:hanging="13"/>
              <w:jc w:val="center"/>
              <w:rPr>
                <w:rFonts w:eastAsia="MS Mincho" w:cs="Arial"/>
                <w:b/>
                <w:bCs/>
                <w:i/>
                <w:iCs/>
                <w:color w:val="22058A"/>
                <w:sz w:val="18"/>
                <w:szCs w:val="18"/>
                <w:lang w:eastAsia="en-US"/>
              </w:rPr>
            </w:pPr>
            <w:r w:rsidRPr="00B92BDA">
              <w:rPr>
                <w:rFonts w:cs="Arial"/>
                <w:sz w:val="18"/>
                <w:szCs w:val="18"/>
              </w:rPr>
              <w:t>Vulnerable</w:t>
            </w:r>
          </w:p>
        </w:tc>
        <w:tc>
          <w:tcPr>
            <w:tcW w:w="582" w:type="pct"/>
            <w:tcBorders>
              <w:top w:val="single" w:sz="4" w:space="0" w:color="auto"/>
              <w:left w:val="single" w:sz="4" w:space="0" w:color="auto"/>
              <w:bottom w:val="single" w:sz="4" w:space="0" w:color="auto"/>
              <w:right w:val="single" w:sz="4" w:space="0" w:color="auto"/>
            </w:tcBorders>
            <w:vAlign w:val="center"/>
          </w:tcPr>
          <w:p w14:paraId="724069A7" w14:textId="08549019" w:rsidR="0089764C" w:rsidRPr="00B92BDA" w:rsidRDefault="0089764C" w:rsidP="00EB3AA9">
            <w:pPr>
              <w:pStyle w:val="TableText"/>
              <w:jc w:val="center"/>
              <w:rPr>
                <w:rFonts w:cs="Arial"/>
                <w:sz w:val="18"/>
                <w:szCs w:val="18"/>
              </w:rPr>
            </w:pPr>
            <w:r w:rsidRPr="00B92BDA">
              <w:rPr>
                <w:rFonts w:cs="Arial"/>
                <w:sz w:val="18"/>
                <w:szCs w:val="18"/>
              </w:rPr>
              <w:t>Yes</w:t>
            </w:r>
          </w:p>
        </w:tc>
        <w:tc>
          <w:tcPr>
            <w:tcW w:w="499" w:type="pct"/>
            <w:tcBorders>
              <w:top w:val="single" w:sz="4" w:space="0" w:color="auto"/>
              <w:left w:val="single" w:sz="4" w:space="0" w:color="auto"/>
              <w:bottom w:val="single" w:sz="4" w:space="0" w:color="auto"/>
              <w:right w:val="single" w:sz="4" w:space="0" w:color="auto"/>
            </w:tcBorders>
            <w:vAlign w:val="center"/>
          </w:tcPr>
          <w:p w14:paraId="2C222CC5" w14:textId="436507D6" w:rsidR="0089764C" w:rsidRPr="00B92BDA" w:rsidRDefault="0089764C" w:rsidP="00EB3AA9">
            <w:pPr>
              <w:pStyle w:val="TableText"/>
              <w:jc w:val="center"/>
              <w:rPr>
                <w:rFonts w:cs="Arial"/>
                <w:sz w:val="18"/>
                <w:szCs w:val="18"/>
              </w:rPr>
            </w:pPr>
            <w:r w:rsidRPr="00B92BDA">
              <w:rPr>
                <w:rFonts w:cs="Arial"/>
                <w:sz w:val="18"/>
                <w:szCs w:val="18"/>
              </w:rPr>
              <w:t>Yes</w:t>
            </w:r>
          </w:p>
        </w:tc>
        <w:tc>
          <w:tcPr>
            <w:tcW w:w="467" w:type="pct"/>
            <w:tcBorders>
              <w:top w:val="single" w:sz="4" w:space="0" w:color="auto"/>
              <w:left w:val="single" w:sz="4" w:space="0" w:color="auto"/>
              <w:bottom w:val="single" w:sz="4" w:space="0" w:color="auto"/>
              <w:right w:val="single" w:sz="4" w:space="0" w:color="auto"/>
            </w:tcBorders>
            <w:vAlign w:val="center"/>
          </w:tcPr>
          <w:p w14:paraId="43BFC171" w14:textId="33BF00A3" w:rsidR="0089764C" w:rsidRPr="00B92BDA" w:rsidRDefault="0089764C" w:rsidP="0089764C">
            <w:pPr>
              <w:pStyle w:val="TableText"/>
              <w:jc w:val="center"/>
              <w:rPr>
                <w:rFonts w:cs="Arial"/>
                <w:sz w:val="18"/>
                <w:szCs w:val="18"/>
              </w:rPr>
            </w:pPr>
            <w:r>
              <w:rPr>
                <w:rFonts w:cs="Arial"/>
                <w:sz w:val="18"/>
                <w:szCs w:val="18"/>
              </w:rPr>
              <w:t>-</w:t>
            </w:r>
          </w:p>
        </w:tc>
        <w:tc>
          <w:tcPr>
            <w:tcW w:w="534" w:type="pct"/>
            <w:tcBorders>
              <w:top w:val="single" w:sz="4" w:space="0" w:color="auto"/>
              <w:left w:val="single" w:sz="4" w:space="0" w:color="auto"/>
              <w:bottom w:val="single" w:sz="4" w:space="0" w:color="auto"/>
              <w:right w:val="single" w:sz="4" w:space="0" w:color="auto"/>
            </w:tcBorders>
            <w:vAlign w:val="center"/>
          </w:tcPr>
          <w:p w14:paraId="361C5A35" w14:textId="7F10D4C7" w:rsidR="0089764C" w:rsidRPr="00B92BDA" w:rsidRDefault="0089764C" w:rsidP="00885EE5">
            <w:pPr>
              <w:pStyle w:val="TableText"/>
              <w:jc w:val="center"/>
              <w:rPr>
                <w:rFonts w:cs="Arial"/>
                <w:sz w:val="18"/>
                <w:szCs w:val="18"/>
              </w:rPr>
            </w:pPr>
            <w:r w:rsidRPr="00B92BDA">
              <w:rPr>
                <w:rFonts w:cs="Arial"/>
                <w:sz w:val="18"/>
                <w:szCs w:val="18"/>
              </w:rPr>
              <w:t>-</w:t>
            </w:r>
          </w:p>
        </w:tc>
        <w:tc>
          <w:tcPr>
            <w:tcW w:w="609" w:type="pct"/>
            <w:vMerge/>
            <w:tcBorders>
              <w:left w:val="single" w:sz="4" w:space="0" w:color="auto"/>
              <w:right w:val="single" w:sz="4" w:space="0" w:color="auto"/>
            </w:tcBorders>
            <w:vAlign w:val="center"/>
          </w:tcPr>
          <w:p w14:paraId="78BD7885" w14:textId="77777777" w:rsidR="0089764C" w:rsidRPr="00B92BDA" w:rsidRDefault="0089764C" w:rsidP="00885EE5">
            <w:pPr>
              <w:pStyle w:val="TableText"/>
              <w:jc w:val="center"/>
              <w:rPr>
                <w:rFonts w:cs="Arial"/>
                <w:sz w:val="18"/>
                <w:szCs w:val="18"/>
              </w:rPr>
            </w:pPr>
          </w:p>
        </w:tc>
      </w:tr>
      <w:tr w:rsidR="0089764C" w:rsidRPr="00B92BDA" w14:paraId="6EA29D51" w14:textId="77777777" w:rsidTr="00891DE1">
        <w:trPr>
          <w:trHeight w:val="345"/>
          <w:jc w:val="center"/>
        </w:trPr>
        <w:tc>
          <w:tcPr>
            <w:tcW w:w="812" w:type="pct"/>
            <w:tcBorders>
              <w:top w:val="single" w:sz="4" w:space="0" w:color="auto"/>
              <w:left w:val="single" w:sz="4" w:space="0" w:color="auto"/>
              <w:bottom w:val="single" w:sz="4" w:space="0" w:color="auto"/>
              <w:right w:val="single" w:sz="4" w:space="0" w:color="auto"/>
            </w:tcBorders>
            <w:shd w:val="clear" w:color="auto" w:fill="auto"/>
          </w:tcPr>
          <w:p w14:paraId="0E174177" w14:textId="77777777" w:rsidR="0089764C" w:rsidRPr="00B92BDA" w:rsidRDefault="0089764C" w:rsidP="00891DE1">
            <w:pPr>
              <w:spacing w:before="60" w:after="60"/>
              <w:ind w:left="-25" w:firstLine="25"/>
              <w:rPr>
                <w:rFonts w:eastAsia="MS Mincho" w:cs="Arial"/>
                <w:b/>
                <w:bCs/>
                <w:i/>
                <w:iCs/>
                <w:color w:val="22058A"/>
                <w:sz w:val="18"/>
                <w:szCs w:val="18"/>
                <w:lang w:eastAsia="en-US"/>
              </w:rPr>
            </w:pPr>
            <w:r w:rsidRPr="00B92BDA">
              <w:rPr>
                <w:rFonts w:cs="Arial"/>
                <w:i/>
                <w:sz w:val="18"/>
                <w:szCs w:val="18"/>
              </w:rPr>
              <w:t>Dermochelys coriacea</w:t>
            </w:r>
          </w:p>
        </w:tc>
        <w:tc>
          <w:tcPr>
            <w:tcW w:w="749" w:type="pct"/>
            <w:tcBorders>
              <w:top w:val="single" w:sz="4" w:space="0" w:color="auto"/>
              <w:left w:val="single" w:sz="4" w:space="0" w:color="auto"/>
              <w:bottom w:val="single" w:sz="4" w:space="0" w:color="auto"/>
              <w:right w:val="single" w:sz="4" w:space="0" w:color="auto"/>
            </w:tcBorders>
            <w:shd w:val="clear" w:color="auto" w:fill="auto"/>
          </w:tcPr>
          <w:p w14:paraId="2D373093" w14:textId="77777777" w:rsidR="0089764C" w:rsidRPr="00B92BDA" w:rsidRDefault="0089764C" w:rsidP="00885EE5">
            <w:pPr>
              <w:spacing w:before="60" w:after="60"/>
              <w:ind w:left="0"/>
              <w:rPr>
                <w:rFonts w:cs="Arial"/>
                <w:sz w:val="18"/>
                <w:szCs w:val="18"/>
              </w:rPr>
            </w:pPr>
            <w:r w:rsidRPr="00B92BDA">
              <w:rPr>
                <w:rFonts w:cs="Arial"/>
                <w:sz w:val="18"/>
                <w:szCs w:val="18"/>
              </w:rPr>
              <w:t>Leatherback turtle</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14:paraId="394F2FAD" w14:textId="77777777" w:rsidR="0089764C" w:rsidRPr="00B92BDA" w:rsidRDefault="0089764C" w:rsidP="00891DE1">
            <w:pPr>
              <w:spacing w:before="60" w:after="60"/>
              <w:ind w:left="4" w:hanging="13"/>
              <w:jc w:val="center"/>
              <w:rPr>
                <w:rFonts w:eastAsia="MS Mincho" w:cs="Arial"/>
                <w:b/>
                <w:bCs/>
                <w:i/>
                <w:iCs/>
                <w:color w:val="22058A"/>
                <w:sz w:val="18"/>
                <w:szCs w:val="18"/>
                <w:lang w:eastAsia="en-US"/>
              </w:rPr>
            </w:pPr>
            <w:r w:rsidRPr="00B92BDA">
              <w:rPr>
                <w:rFonts w:cs="Arial"/>
                <w:sz w:val="18"/>
                <w:szCs w:val="18"/>
              </w:rPr>
              <w:t>Endangered</w:t>
            </w:r>
          </w:p>
        </w:tc>
        <w:tc>
          <w:tcPr>
            <w:tcW w:w="582" w:type="pct"/>
            <w:tcBorders>
              <w:top w:val="single" w:sz="4" w:space="0" w:color="auto"/>
              <w:left w:val="single" w:sz="4" w:space="0" w:color="auto"/>
              <w:bottom w:val="single" w:sz="4" w:space="0" w:color="auto"/>
              <w:right w:val="single" w:sz="4" w:space="0" w:color="auto"/>
            </w:tcBorders>
            <w:vAlign w:val="center"/>
          </w:tcPr>
          <w:p w14:paraId="2DE4C322" w14:textId="4C68DAD7" w:rsidR="0089764C" w:rsidRPr="00B92BDA" w:rsidRDefault="0089764C" w:rsidP="00EB3AA9">
            <w:pPr>
              <w:pStyle w:val="TableText"/>
              <w:jc w:val="center"/>
              <w:rPr>
                <w:rFonts w:cs="Arial"/>
                <w:sz w:val="18"/>
                <w:szCs w:val="18"/>
              </w:rPr>
            </w:pPr>
            <w:r w:rsidRPr="00B92BDA">
              <w:rPr>
                <w:rFonts w:cs="Arial"/>
                <w:sz w:val="18"/>
                <w:szCs w:val="18"/>
              </w:rPr>
              <w:t>Yes</w:t>
            </w:r>
          </w:p>
        </w:tc>
        <w:tc>
          <w:tcPr>
            <w:tcW w:w="499" w:type="pct"/>
            <w:tcBorders>
              <w:top w:val="single" w:sz="4" w:space="0" w:color="auto"/>
              <w:left w:val="single" w:sz="4" w:space="0" w:color="auto"/>
              <w:bottom w:val="single" w:sz="4" w:space="0" w:color="auto"/>
              <w:right w:val="single" w:sz="4" w:space="0" w:color="auto"/>
            </w:tcBorders>
            <w:vAlign w:val="center"/>
          </w:tcPr>
          <w:p w14:paraId="3C1ECD89" w14:textId="5D4755A5" w:rsidR="0089764C" w:rsidRPr="00B92BDA" w:rsidRDefault="0089764C" w:rsidP="00EB3AA9">
            <w:pPr>
              <w:pStyle w:val="TableText"/>
              <w:jc w:val="center"/>
              <w:rPr>
                <w:rFonts w:cs="Arial"/>
                <w:sz w:val="18"/>
                <w:szCs w:val="18"/>
              </w:rPr>
            </w:pPr>
            <w:r w:rsidRPr="00B92BDA">
              <w:rPr>
                <w:rFonts w:cs="Arial"/>
                <w:sz w:val="18"/>
                <w:szCs w:val="18"/>
              </w:rPr>
              <w:t>Yes</w:t>
            </w:r>
          </w:p>
        </w:tc>
        <w:tc>
          <w:tcPr>
            <w:tcW w:w="467" w:type="pct"/>
            <w:tcBorders>
              <w:top w:val="single" w:sz="4" w:space="0" w:color="auto"/>
              <w:left w:val="single" w:sz="4" w:space="0" w:color="auto"/>
              <w:bottom w:val="single" w:sz="4" w:space="0" w:color="auto"/>
              <w:right w:val="single" w:sz="4" w:space="0" w:color="auto"/>
            </w:tcBorders>
            <w:vAlign w:val="center"/>
          </w:tcPr>
          <w:p w14:paraId="21467E51" w14:textId="7E48961F" w:rsidR="0089764C" w:rsidRPr="00B92BDA" w:rsidRDefault="0089764C" w:rsidP="0089764C">
            <w:pPr>
              <w:pStyle w:val="TableText"/>
              <w:jc w:val="center"/>
              <w:rPr>
                <w:rFonts w:cs="Arial"/>
                <w:sz w:val="18"/>
                <w:szCs w:val="18"/>
              </w:rPr>
            </w:pPr>
            <w:r>
              <w:rPr>
                <w:rFonts w:cs="Arial"/>
                <w:sz w:val="18"/>
                <w:szCs w:val="18"/>
              </w:rPr>
              <w:t>T</w:t>
            </w:r>
          </w:p>
        </w:tc>
        <w:tc>
          <w:tcPr>
            <w:tcW w:w="534" w:type="pct"/>
            <w:tcBorders>
              <w:top w:val="single" w:sz="4" w:space="0" w:color="auto"/>
              <w:left w:val="single" w:sz="4" w:space="0" w:color="auto"/>
              <w:bottom w:val="single" w:sz="4" w:space="0" w:color="auto"/>
              <w:right w:val="single" w:sz="4" w:space="0" w:color="auto"/>
            </w:tcBorders>
            <w:vAlign w:val="center"/>
          </w:tcPr>
          <w:p w14:paraId="04BFE6FA" w14:textId="2E6CDC27" w:rsidR="0089764C" w:rsidRPr="00B92BDA" w:rsidRDefault="0089764C" w:rsidP="00690F6A">
            <w:pPr>
              <w:pStyle w:val="TableText"/>
              <w:jc w:val="center"/>
              <w:rPr>
                <w:rFonts w:cs="Arial"/>
                <w:sz w:val="18"/>
                <w:szCs w:val="18"/>
              </w:rPr>
            </w:pPr>
            <w:r w:rsidRPr="00B92BDA">
              <w:rPr>
                <w:rFonts w:cs="Arial"/>
                <w:sz w:val="18"/>
                <w:szCs w:val="18"/>
              </w:rPr>
              <w:t>-</w:t>
            </w:r>
          </w:p>
        </w:tc>
        <w:tc>
          <w:tcPr>
            <w:tcW w:w="609" w:type="pct"/>
            <w:vMerge/>
            <w:tcBorders>
              <w:left w:val="single" w:sz="4" w:space="0" w:color="auto"/>
              <w:right w:val="single" w:sz="4" w:space="0" w:color="auto"/>
            </w:tcBorders>
            <w:vAlign w:val="center"/>
          </w:tcPr>
          <w:p w14:paraId="510CAF01" w14:textId="77777777" w:rsidR="0089764C" w:rsidRPr="00B92BDA" w:rsidRDefault="0089764C" w:rsidP="00885EE5">
            <w:pPr>
              <w:pStyle w:val="TableText"/>
              <w:jc w:val="center"/>
              <w:rPr>
                <w:rFonts w:cs="Arial"/>
                <w:sz w:val="18"/>
                <w:szCs w:val="18"/>
              </w:rPr>
            </w:pPr>
          </w:p>
        </w:tc>
      </w:tr>
      <w:tr w:rsidR="0089764C" w:rsidRPr="00B92BDA" w14:paraId="440969F8" w14:textId="77777777" w:rsidTr="00891DE1">
        <w:trPr>
          <w:trHeight w:val="345"/>
          <w:jc w:val="center"/>
        </w:trPr>
        <w:tc>
          <w:tcPr>
            <w:tcW w:w="812" w:type="pct"/>
            <w:tcBorders>
              <w:top w:val="single" w:sz="4" w:space="0" w:color="auto"/>
              <w:left w:val="single" w:sz="4" w:space="0" w:color="auto"/>
              <w:bottom w:val="single" w:sz="4" w:space="0" w:color="auto"/>
              <w:right w:val="single" w:sz="4" w:space="0" w:color="auto"/>
            </w:tcBorders>
            <w:shd w:val="clear" w:color="auto" w:fill="auto"/>
          </w:tcPr>
          <w:p w14:paraId="6F7A121A" w14:textId="77777777" w:rsidR="0089764C" w:rsidRPr="00B92BDA" w:rsidRDefault="0089764C" w:rsidP="00891DE1">
            <w:pPr>
              <w:spacing w:before="60" w:after="60"/>
              <w:ind w:left="-25" w:firstLine="25"/>
              <w:rPr>
                <w:rFonts w:eastAsia="MS Mincho" w:cs="Arial"/>
                <w:b/>
                <w:bCs/>
                <w:i/>
                <w:iCs/>
                <w:color w:val="22058A"/>
                <w:sz w:val="18"/>
                <w:szCs w:val="18"/>
                <w:lang w:eastAsia="en-US"/>
              </w:rPr>
            </w:pPr>
            <w:r w:rsidRPr="00B92BDA">
              <w:rPr>
                <w:rFonts w:cs="Arial"/>
                <w:i/>
                <w:sz w:val="18"/>
                <w:szCs w:val="18"/>
              </w:rPr>
              <w:t>Eretmochelya imbricata</w:t>
            </w:r>
          </w:p>
        </w:tc>
        <w:tc>
          <w:tcPr>
            <w:tcW w:w="749" w:type="pct"/>
            <w:tcBorders>
              <w:top w:val="single" w:sz="4" w:space="0" w:color="auto"/>
              <w:left w:val="single" w:sz="4" w:space="0" w:color="auto"/>
              <w:bottom w:val="single" w:sz="4" w:space="0" w:color="auto"/>
              <w:right w:val="single" w:sz="4" w:space="0" w:color="auto"/>
            </w:tcBorders>
            <w:shd w:val="clear" w:color="auto" w:fill="auto"/>
          </w:tcPr>
          <w:p w14:paraId="39155C04" w14:textId="77777777" w:rsidR="0089764C" w:rsidRPr="00B92BDA" w:rsidRDefault="0089764C" w:rsidP="00885EE5">
            <w:pPr>
              <w:spacing w:before="60" w:after="60"/>
              <w:ind w:left="0"/>
              <w:rPr>
                <w:rFonts w:cs="Arial"/>
                <w:sz w:val="18"/>
                <w:szCs w:val="18"/>
              </w:rPr>
            </w:pPr>
            <w:r w:rsidRPr="00B92BDA">
              <w:rPr>
                <w:rFonts w:cs="Arial"/>
                <w:sz w:val="18"/>
                <w:szCs w:val="18"/>
              </w:rPr>
              <w:t>Hawksbill turtle</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14:paraId="0377E6F0" w14:textId="77777777" w:rsidR="0089764C" w:rsidRPr="00B92BDA" w:rsidRDefault="0089764C" w:rsidP="00891DE1">
            <w:pPr>
              <w:spacing w:before="60" w:after="60"/>
              <w:ind w:left="4" w:hanging="13"/>
              <w:jc w:val="center"/>
              <w:rPr>
                <w:rFonts w:eastAsia="MS Mincho" w:cs="Arial"/>
                <w:b/>
                <w:bCs/>
                <w:i/>
                <w:iCs/>
                <w:color w:val="22058A"/>
                <w:sz w:val="18"/>
                <w:szCs w:val="18"/>
                <w:lang w:eastAsia="en-US"/>
              </w:rPr>
            </w:pPr>
            <w:r w:rsidRPr="00B92BDA">
              <w:rPr>
                <w:rFonts w:cs="Arial"/>
                <w:sz w:val="18"/>
                <w:szCs w:val="18"/>
              </w:rPr>
              <w:t>Vulnerable</w:t>
            </w:r>
          </w:p>
        </w:tc>
        <w:tc>
          <w:tcPr>
            <w:tcW w:w="582" w:type="pct"/>
            <w:tcBorders>
              <w:top w:val="single" w:sz="4" w:space="0" w:color="auto"/>
              <w:left w:val="single" w:sz="4" w:space="0" w:color="auto"/>
              <w:bottom w:val="single" w:sz="4" w:space="0" w:color="auto"/>
              <w:right w:val="single" w:sz="4" w:space="0" w:color="auto"/>
            </w:tcBorders>
            <w:vAlign w:val="center"/>
          </w:tcPr>
          <w:p w14:paraId="29E344BA" w14:textId="3AC850A7" w:rsidR="0089764C" w:rsidRPr="00B92BDA" w:rsidRDefault="0089764C" w:rsidP="00EB3AA9">
            <w:pPr>
              <w:pStyle w:val="TableText"/>
              <w:jc w:val="center"/>
              <w:rPr>
                <w:rFonts w:cs="Arial"/>
                <w:sz w:val="18"/>
                <w:szCs w:val="18"/>
              </w:rPr>
            </w:pPr>
            <w:r w:rsidRPr="00B92BDA">
              <w:rPr>
                <w:rFonts w:cs="Arial"/>
                <w:sz w:val="18"/>
                <w:szCs w:val="18"/>
              </w:rPr>
              <w:t>Yes</w:t>
            </w:r>
          </w:p>
        </w:tc>
        <w:tc>
          <w:tcPr>
            <w:tcW w:w="499" w:type="pct"/>
            <w:tcBorders>
              <w:top w:val="single" w:sz="4" w:space="0" w:color="auto"/>
              <w:left w:val="single" w:sz="4" w:space="0" w:color="auto"/>
              <w:bottom w:val="single" w:sz="4" w:space="0" w:color="auto"/>
              <w:right w:val="single" w:sz="4" w:space="0" w:color="auto"/>
            </w:tcBorders>
            <w:vAlign w:val="center"/>
          </w:tcPr>
          <w:p w14:paraId="0ED06E9D" w14:textId="6211B887" w:rsidR="0089764C" w:rsidRPr="00B92BDA" w:rsidRDefault="0089764C" w:rsidP="00EB3AA9">
            <w:pPr>
              <w:pStyle w:val="TableText"/>
              <w:jc w:val="center"/>
              <w:rPr>
                <w:rFonts w:cs="Arial"/>
                <w:sz w:val="18"/>
                <w:szCs w:val="18"/>
              </w:rPr>
            </w:pPr>
            <w:r w:rsidRPr="00B92BDA">
              <w:rPr>
                <w:rFonts w:cs="Arial"/>
                <w:sz w:val="18"/>
                <w:szCs w:val="18"/>
              </w:rPr>
              <w:t>Yes</w:t>
            </w:r>
          </w:p>
        </w:tc>
        <w:tc>
          <w:tcPr>
            <w:tcW w:w="467" w:type="pct"/>
            <w:tcBorders>
              <w:top w:val="single" w:sz="4" w:space="0" w:color="auto"/>
              <w:left w:val="single" w:sz="4" w:space="0" w:color="auto"/>
              <w:bottom w:val="single" w:sz="4" w:space="0" w:color="auto"/>
              <w:right w:val="single" w:sz="4" w:space="0" w:color="auto"/>
            </w:tcBorders>
            <w:vAlign w:val="center"/>
          </w:tcPr>
          <w:p w14:paraId="50131EB1" w14:textId="4188457B" w:rsidR="0089764C" w:rsidRPr="00B92BDA" w:rsidRDefault="0089764C" w:rsidP="0089764C">
            <w:pPr>
              <w:pStyle w:val="TableText"/>
              <w:jc w:val="center"/>
              <w:rPr>
                <w:rFonts w:cs="Arial"/>
                <w:sz w:val="18"/>
                <w:szCs w:val="18"/>
              </w:rPr>
            </w:pPr>
            <w:r>
              <w:rPr>
                <w:rFonts w:cs="Arial"/>
                <w:sz w:val="18"/>
                <w:szCs w:val="18"/>
              </w:rPr>
              <w:t>-</w:t>
            </w:r>
          </w:p>
        </w:tc>
        <w:tc>
          <w:tcPr>
            <w:tcW w:w="534" w:type="pct"/>
            <w:tcBorders>
              <w:top w:val="single" w:sz="4" w:space="0" w:color="auto"/>
              <w:left w:val="single" w:sz="4" w:space="0" w:color="auto"/>
              <w:bottom w:val="single" w:sz="4" w:space="0" w:color="auto"/>
              <w:right w:val="single" w:sz="4" w:space="0" w:color="auto"/>
            </w:tcBorders>
            <w:vAlign w:val="center"/>
          </w:tcPr>
          <w:p w14:paraId="6D3024BF" w14:textId="28689B1B" w:rsidR="0089764C" w:rsidRPr="00B92BDA" w:rsidRDefault="0089764C" w:rsidP="00690F6A">
            <w:pPr>
              <w:pStyle w:val="TableText"/>
              <w:jc w:val="center"/>
              <w:rPr>
                <w:rFonts w:cs="Arial"/>
                <w:sz w:val="18"/>
                <w:szCs w:val="18"/>
              </w:rPr>
            </w:pPr>
            <w:r w:rsidRPr="00B92BDA">
              <w:rPr>
                <w:rFonts w:cs="Arial"/>
                <w:sz w:val="18"/>
                <w:szCs w:val="18"/>
              </w:rPr>
              <w:t>-</w:t>
            </w:r>
          </w:p>
        </w:tc>
        <w:tc>
          <w:tcPr>
            <w:tcW w:w="609" w:type="pct"/>
            <w:vMerge/>
            <w:tcBorders>
              <w:left w:val="single" w:sz="4" w:space="0" w:color="auto"/>
              <w:right w:val="single" w:sz="4" w:space="0" w:color="auto"/>
            </w:tcBorders>
            <w:vAlign w:val="center"/>
          </w:tcPr>
          <w:p w14:paraId="6AFE9790" w14:textId="77777777" w:rsidR="0089764C" w:rsidRPr="00B92BDA" w:rsidRDefault="0089764C" w:rsidP="00885EE5">
            <w:pPr>
              <w:pStyle w:val="TableText"/>
              <w:jc w:val="center"/>
              <w:rPr>
                <w:rFonts w:cs="Arial"/>
                <w:sz w:val="18"/>
                <w:szCs w:val="18"/>
              </w:rPr>
            </w:pPr>
          </w:p>
        </w:tc>
      </w:tr>
      <w:tr w:rsidR="0089764C" w:rsidRPr="00B92BDA" w14:paraId="2F2A8653" w14:textId="77777777" w:rsidTr="00891DE1">
        <w:trPr>
          <w:trHeight w:val="345"/>
          <w:jc w:val="center"/>
        </w:trPr>
        <w:tc>
          <w:tcPr>
            <w:tcW w:w="812" w:type="pct"/>
            <w:tcBorders>
              <w:top w:val="single" w:sz="4" w:space="0" w:color="auto"/>
              <w:left w:val="single" w:sz="4" w:space="0" w:color="auto"/>
              <w:bottom w:val="single" w:sz="4" w:space="0" w:color="auto"/>
              <w:right w:val="single" w:sz="4" w:space="0" w:color="auto"/>
            </w:tcBorders>
            <w:shd w:val="clear" w:color="auto" w:fill="auto"/>
          </w:tcPr>
          <w:p w14:paraId="38333645" w14:textId="77777777" w:rsidR="0089764C" w:rsidRPr="00B92BDA" w:rsidRDefault="0089764C" w:rsidP="00891DE1">
            <w:pPr>
              <w:spacing w:before="60" w:after="60"/>
              <w:ind w:left="-25" w:firstLine="25"/>
              <w:rPr>
                <w:rFonts w:eastAsia="MS Mincho" w:cs="Arial"/>
                <w:b/>
                <w:bCs/>
                <w:i/>
                <w:iCs/>
                <w:color w:val="22058A"/>
                <w:sz w:val="18"/>
                <w:szCs w:val="18"/>
                <w:lang w:eastAsia="en-US"/>
              </w:rPr>
            </w:pPr>
            <w:r w:rsidRPr="00B92BDA">
              <w:rPr>
                <w:rFonts w:cs="Arial"/>
                <w:i/>
                <w:sz w:val="18"/>
                <w:szCs w:val="18"/>
              </w:rPr>
              <w:t>Natador depressus</w:t>
            </w:r>
          </w:p>
        </w:tc>
        <w:tc>
          <w:tcPr>
            <w:tcW w:w="749" w:type="pct"/>
            <w:tcBorders>
              <w:top w:val="single" w:sz="4" w:space="0" w:color="auto"/>
              <w:left w:val="single" w:sz="4" w:space="0" w:color="auto"/>
              <w:bottom w:val="single" w:sz="4" w:space="0" w:color="auto"/>
              <w:right w:val="single" w:sz="4" w:space="0" w:color="auto"/>
            </w:tcBorders>
            <w:shd w:val="clear" w:color="auto" w:fill="auto"/>
          </w:tcPr>
          <w:p w14:paraId="1FB5D37A" w14:textId="77777777" w:rsidR="0089764C" w:rsidRPr="00B92BDA" w:rsidRDefault="0089764C" w:rsidP="00885EE5">
            <w:pPr>
              <w:spacing w:before="60" w:after="60"/>
              <w:ind w:left="0"/>
              <w:rPr>
                <w:rFonts w:cs="Arial"/>
                <w:sz w:val="18"/>
                <w:szCs w:val="18"/>
              </w:rPr>
            </w:pPr>
            <w:r w:rsidRPr="00B92BDA">
              <w:rPr>
                <w:rFonts w:cs="Arial"/>
                <w:sz w:val="18"/>
                <w:szCs w:val="18"/>
              </w:rPr>
              <w:t>Flatback turtle</w:t>
            </w:r>
          </w:p>
        </w:tc>
        <w:tc>
          <w:tcPr>
            <w:tcW w:w="748" w:type="pct"/>
            <w:tcBorders>
              <w:top w:val="single" w:sz="4" w:space="0" w:color="auto"/>
              <w:left w:val="single" w:sz="4" w:space="0" w:color="auto"/>
              <w:bottom w:val="single" w:sz="4" w:space="0" w:color="auto"/>
              <w:right w:val="single" w:sz="4" w:space="0" w:color="auto"/>
            </w:tcBorders>
            <w:shd w:val="clear" w:color="auto" w:fill="auto"/>
            <w:vAlign w:val="center"/>
          </w:tcPr>
          <w:p w14:paraId="1D7EC411" w14:textId="77777777" w:rsidR="0089764C" w:rsidRPr="00B92BDA" w:rsidRDefault="0089764C" w:rsidP="00891DE1">
            <w:pPr>
              <w:spacing w:before="60" w:after="60"/>
              <w:ind w:left="4" w:hanging="13"/>
              <w:jc w:val="center"/>
              <w:rPr>
                <w:rFonts w:eastAsia="MS Mincho" w:cs="Arial"/>
                <w:b/>
                <w:bCs/>
                <w:i/>
                <w:iCs/>
                <w:color w:val="22058A"/>
                <w:sz w:val="18"/>
                <w:szCs w:val="18"/>
                <w:lang w:eastAsia="en-US"/>
              </w:rPr>
            </w:pPr>
            <w:r w:rsidRPr="00B92BDA">
              <w:rPr>
                <w:rFonts w:cs="Arial"/>
                <w:sz w:val="18"/>
                <w:szCs w:val="18"/>
              </w:rPr>
              <w:t>Vulnerable</w:t>
            </w:r>
          </w:p>
        </w:tc>
        <w:tc>
          <w:tcPr>
            <w:tcW w:w="582" w:type="pct"/>
            <w:tcBorders>
              <w:top w:val="single" w:sz="4" w:space="0" w:color="auto"/>
              <w:left w:val="single" w:sz="4" w:space="0" w:color="auto"/>
              <w:bottom w:val="single" w:sz="4" w:space="0" w:color="auto"/>
              <w:right w:val="single" w:sz="4" w:space="0" w:color="auto"/>
            </w:tcBorders>
            <w:vAlign w:val="center"/>
          </w:tcPr>
          <w:p w14:paraId="2334845D" w14:textId="503D4B20" w:rsidR="0089764C" w:rsidRPr="00B92BDA" w:rsidRDefault="0089764C" w:rsidP="00EB3AA9">
            <w:pPr>
              <w:pStyle w:val="TableText"/>
              <w:jc w:val="center"/>
              <w:rPr>
                <w:rFonts w:cs="Arial"/>
                <w:sz w:val="18"/>
                <w:szCs w:val="18"/>
              </w:rPr>
            </w:pPr>
            <w:r w:rsidRPr="00B92BDA">
              <w:rPr>
                <w:rFonts w:cs="Arial"/>
                <w:sz w:val="18"/>
                <w:szCs w:val="18"/>
              </w:rPr>
              <w:t>Yes</w:t>
            </w:r>
          </w:p>
        </w:tc>
        <w:tc>
          <w:tcPr>
            <w:tcW w:w="499" w:type="pct"/>
            <w:tcBorders>
              <w:top w:val="single" w:sz="4" w:space="0" w:color="auto"/>
              <w:left w:val="single" w:sz="4" w:space="0" w:color="auto"/>
              <w:bottom w:val="single" w:sz="4" w:space="0" w:color="auto"/>
              <w:right w:val="single" w:sz="4" w:space="0" w:color="auto"/>
            </w:tcBorders>
            <w:vAlign w:val="center"/>
          </w:tcPr>
          <w:p w14:paraId="30C6A280" w14:textId="3DA717DC" w:rsidR="0089764C" w:rsidRPr="00B92BDA" w:rsidRDefault="0089764C" w:rsidP="00EB3AA9">
            <w:pPr>
              <w:pStyle w:val="TableText"/>
              <w:jc w:val="center"/>
              <w:rPr>
                <w:rFonts w:cs="Arial"/>
                <w:sz w:val="18"/>
                <w:szCs w:val="18"/>
              </w:rPr>
            </w:pPr>
            <w:r w:rsidRPr="00B92BDA">
              <w:rPr>
                <w:rFonts w:cs="Arial"/>
                <w:sz w:val="18"/>
                <w:szCs w:val="18"/>
              </w:rPr>
              <w:t>Yes</w:t>
            </w:r>
          </w:p>
        </w:tc>
        <w:tc>
          <w:tcPr>
            <w:tcW w:w="467" w:type="pct"/>
            <w:tcBorders>
              <w:top w:val="single" w:sz="4" w:space="0" w:color="auto"/>
              <w:left w:val="single" w:sz="4" w:space="0" w:color="auto"/>
              <w:bottom w:val="single" w:sz="4" w:space="0" w:color="auto"/>
              <w:right w:val="single" w:sz="4" w:space="0" w:color="auto"/>
            </w:tcBorders>
            <w:vAlign w:val="center"/>
          </w:tcPr>
          <w:p w14:paraId="320A3F3F" w14:textId="23DE587A" w:rsidR="0089764C" w:rsidRPr="00B92BDA" w:rsidRDefault="0089764C" w:rsidP="0089764C">
            <w:pPr>
              <w:pStyle w:val="TableText"/>
              <w:jc w:val="center"/>
              <w:rPr>
                <w:rFonts w:cs="Arial"/>
                <w:sz w:val="18"/>
                <w:szCs w:val="18"/>
              </w:rPr>
            </w:pPr>
            <w:r>
              <w:rPr>
                <w:rFonts w:cs="Arial"/>
                <w:sz w:val="18"/>
                <w:szCs w:val="18"/>
              </w:rPr>
              <w:t>-</w:t>
            </w:r>
          </w:p>
        </w:tc>
        <w:tc>
          <w:tcPr>
            <w:tcW w:w="534" w:type="pct"/>
            <w:tcBorders>
              <w:top w:val="single" w:sz="4" w:space="0" w:color="auto"/>
              <w:left w:val="single" w:sz="4" w:space="0" w:color="auto"/>
              <w:bottom w:val="single" w:sz="4" w:space="0" w:color="auto"/>
              <w:right w:val="single" w:sz="4" w:space="0" w:color="auto"/>
            </w:tcBorders>
            <w:vAlign w:val="center"/>
          </w:tcPr>
          <w:p w14:paraId="4F54E39D" w14:textId="088D5BDF" w:rsidR="0089764C" w:rsidRPr="00B92BDA" w:rsidRDefault="0089764C" w:rsidP="00690F6A">
            <w:pPr>
              <w:pStyle w:val="TableText"/>
              <w:jc w:val="center"/>
              <w:rPr>
                <w:rFonts w:cs="Arial"/>
                <w:sz w:val="18"/>
                <w:szCs w:val="18"/>
              </w:rPr>
            </w:pPr>
            <w:r w:rsidRPr="00B92BDA">
              <w:rPr>
                <w:rFonts w:cs="Arial"/>
                <w:sz w:val="18"/>
                <w:szCs w:val="18"/>
              </w:rPr>
              <w:t>-</w:t>
            </w:r>
          </w:p>
        </w:tc>
        <w:tc>
          <w:tcPr>
            <w:tcW w:w="609" w:type="pct"/>
            <w:vMerge/>
            <w:tcBorders>
              <w:left w:val="single" w:sz="4" w:space="0" w:color="auto"/>
              <w:right w:val="single" w:sz="4" w:space="0" w:color="auto"/>
            </w:tcBorders>
            <w:vAlign w:val="center"/>
          </w:tcPr>
          <w:p w14:paraId="06ACD315" w14:textId="77777777" w:rsidR="0089764C" w:rsidRPr="00B92BDA" w:rsidRDefault="0089764C" w:rsidP="00885EE5">
            <w:pPr>
              <w:pStyle w:val="TableText"/>
              <w:jc w:val="center"/>
              <w:rPr>
                <w:rFonts w:cs="Arial"/>
                <w:sz w:val="18"/>
                <w:szCs w:val="18"/>
              </w:rPr>
            </w:pPr>
          </w:p>
        </w:tc>
      </w:tr>
    </w:tbl>
    <w:p w14:paraId="0D6FF2C0" w14:textId="77777777" w:rsidR="00F92BED" w:rsidRDefault="00F92BED" w:rsidP="00F92BED">
      <w:pPr>
        <w:ind w:left="0"/>
      </w:pPr>
    </w:p>
    <w:p w14:paraId="1AC06600" w14:textId="22BB4861" w:rsidR="00885EE5" w:rsidRPr="00EB3AA9" w:rsidRDefault="00885EE5" w:rsidP="00885EE5">
      <w:pPr>
        <w:pStyle w:val="bodycopy"/>
        <w:rPr>
          <w:rFonts w:ascii="Arial" w:hAnsi="Arial"/>
          <w:b/>
          <w:sz w:val="22"/>
          <w:szCs w:val="22"/>
        </w:rPr>
      </w:pPr>
      <w:r w:rsidRPr="00EB3AA9">
        <w:rPr>
          <w:rFonts w:ascii="Arial" w:hAnsi="Arial"/>
          <w:b/>
          <w:sz w:val="22"/>
          <w:szCs w:val="22"/>
        </w:rPr>
        <w:t>Loggerhead turtle (</w:t>
      </w:r>
      <w:r w:rsidR="0089764C">
        <w:rPr>
          <w:rFonts w:ascii="Arial" w:hAnsi="Arial"/>
          <w:b/>
          <w:sz w:val="22"/>
          <w:szCs w:val="22"/>
        </w:rPr>
        <w:t xml:space="preserve">EPBC Act: </w:t>
      </w:r>
      <w:r w:rsidR="00690F6A" w:rsidRPr="00EB3AA9">
        <w:rPr>
          <w:rFonts w:ascii="Arial" w:hAnsi="Arial"/>
          <w:b/>
          <w:sz w:val="22"/>
          <w:szCs w:val="22"/>
        </w:rPr>
        <w:t>E</w:t>
      </w:r>
      <w:r w:rsidRPr="00EB3AA9">
        <w:rPr>
          <w:rFonts w:ascii="Arial" w:hAnsi="Arial"/>
          <w:b/>
          <w:sz w:val="22"/>
          <w:szCs w:val="22"/>
        </w:rPr>
        <w:t xml:space="preserve">ndangered, </w:t>
      </w:r>
      <w:r w:rsidR="0089764C">
        <w:rPr>
          <w:rFonts w:ascii="Arial" w:hAnsi="Arial"/>
          <w:b/>
          <w:sz w:val="22"/>
          <w:szCs w:val="22"/>
        </w:rPr>
        <w:t xml:space="preserve">listed </w:t>
      </w:r>
      <w:r w:rsidRPr="00EB3AA9">
        <w:rPr>
          <w:rFonts w:ascii="Arial" w:hAnsi="Arial"/>
          <w:b/>
          <w:sz w:val="22"/>
          <w:szCs w:val="22"/>
        </w:rPr>
        <w:t>migratory</w:t>
      </w:r>
      <w:r w:rsidR="0089764C">
        <w:rPr>
          <w:rFonts w:ascii="Arial" w:hAnsi="Arial"/>
          <w:b/>
          <w:sz w:val="22"/>
          <w:szCs w:val="22"/>
        </w:rPr>
        <w:t>, FFG Act: Not listed</w:t>
      </w:r>
      <w:r w:rsidRPr="00EB3AA9">
        <w:rPr>
          <w:rFonts w:ascii="Arial" w:hAnsi="Arial"/>
          <w:b/>
          <w:sz w:val="22"/>
          <w:szCs w:val="22"/>
        </w:rPr>
        <w:t>)</w:t>
      </w:r>
    </w:p>
    <w:p w14:paraId="6215D4F5" w14:textId="02CF4C15" w:rsidR="00885EE5" w:rsidRPr="00EB3AA9" w:rsidRDefault="00885EE5" w:rsidP="00885EE5">
      <w:pPr>
        <w:pStyle w:val="bodycopy"/>
        <w:rPr>
          <w:rFonts w:ascii="Arial" w:hAnsi="Arial"/>
          <w:sz w:val="22"/>
          <w:szCs w:val="22"/>
        </w:rPr>
      </w:pPr>
      <w:r w:rsidRPr="00EB3AA9">
        <w:rPr>
          <w:rFonts w:ascii="Arial" w:hAnsi="Arial"/>
          <w:sz w:val="22"/>
          <w:szCs w:val="22"/>
        </w:rPr>
        <w:t>The loggerhead turtle (</w:t>
      </w:r>
      <w:r w:rsidRPr="00EB3AA9">
        <w:rPr>
          <w:rFonts w:ascii="Arial" w:hAnsi="Arial"/>
          <w:i/>
          <w:sz w:val="22"/>
          <w:szCs w:val="22"/>
        </w:rPr>
        <w:t>Caretta caretta</w:t>
      </w:r>
      <w:r w:rsidRPr="00EB3AA9">
        <w:rPr>
          <w:rFonts w:ascii="Arial" w:hAnsi="Arial"/>
          <w:sz w:val="22"/>
          <w:szCs w:val="22"/>
        </w:rPr>
        <w:t>) is globally distributed in sub-tropical waters (Limpus, 2008a), including those of eastern, northern and western Australia (D</w:t>
      </w:r>
      <w:r w:rsidR="00E44C19">
        <w:rPr>
          <w:rFonts w:ascii="Arial" w:hAnsi="Arial"/>
          <w:sz w:val="22"/>
          <w:szCs w:val="22"/>
        </w:rPr>
        <w:t>oEE</w:t>
      </w:r>
      <w:r w:rsidRPr="00EB3AA9">
        <w:rPr>
          <w:rFonts w:ascii="Arial" w:hAnsi="Arial"/>
          <w:sz w:val="22"/>
          <w:szCs w:val="22"/>
        </w:rPr>
        <w:t>, 201</w:t>
      </w:r>
      <w:r w:rsidR="00E44C19">
        <w:rPr>
          <w:rFonts w:ascii="Arial" w:hAnsi="Arial"/>
          <w:sz w:val="22"/>
          <w:szCs w:val="22"/>
        </w:rPr>
        <w:t>7k</w:t>
      </w:r>
      <w:r w:rsidRPr="00EB3AA9">
        <w:rPr>
          <w:rFonts w:ascii="Arial" w:hAnsi="Arial"/>
          <w:sz w:val="22"/>
          <w:szCs w:val="22"/>
        </w:rPr>
        <w:t xml:space="preserve">), and is rarely sighted off the Victorian coast. </w:t>
      </w:r>
    </w:p>
    <w:p w14:paraId="7A97955D" w14:textId="77777777" w:rsidR="00885EE5" w:rsidRPr="00EB3AA9" w:rsidRDefault="00885EE5" w:rsidP="00885EE5">
      <w:pPr>
        <w:pStyle w:val="bodycopy"/>
        <w:rPr>
          <w:rFonts w:ascii="Arial" w:hAnsi="Arial"/>
          <w:sz w:val="22"/>
          <w:szCs w:val="22"/>
        </w:rPr>
      </w:pPr>
      <w:r w:rsidRPr="00EB3AA9">
        <w:rPr>
          <w:rFonts w:ascii="Arial" w:hAnsi="Arial"/>
          <w:sz w:val="22"/>
          <w:szCs w:val="22"/>
        </w:rPr>
        <w:t xml:space="preserve">The main Australian breeding areas for loggerhead turtles are generally confined to southern Queensland and Western Australia (Cogger </w:t>
      </w:r>
      <w:r w:rsidRPr="00EB3AA9">
        <w:rPr>
          <w:rFonts w:ascii="Arial" w:hAnsi="Arial"/>
          <w:i/>
          <w:sz w:val="22"/>
          <w:szCs w:val="22"/>
        </w:rPr>
        <w:t>et al.</w:t>
      </w:r>
      <w:r w:rsidRPr="00EB3AA9">
        <w:rPr>
          <w:rFonts w:ascii="Arial" w:hAnsi="Arial"/>
          <w:sz w:val="22"/>
          <w:szCs w:val="22"/>
        </w:rPr>
        <w:t>, 1993). Loggerhead turtles will migrate over distances in excess of 1,000 km, but show a strong fidelity to their feeding and breeding areas (Limpus, 2008</w:t>
      </w:r>
      <w:r w:rsidR="00690F6A" w:rsidRPr="00EB3AA9">
        <w:rPr>
          <w:rFonts w:ascii="Arial" w:hAnsi="Arial"/>
          <w:sz w:val="22"/>
          <w:szCs w:val="22"/>
        </w:rPr>
        <w:t>a</w:t>
      </w:r>
      <w:r w:rsidRPr="00EB3AA9">
        <w:rPr>
          <w:rFonts w:ascii="Arial" w:hAnsi="Arial"/>
          <w:sz w:val="22"/>
          <w:szCs w:val="22"/>
        </w:rPr>
        <w:t xml:space="preserve">). </w:t>
      </w:r>
    </w:p>
    <w:p w14:paraId="244A133D" w14:textId="6AA64CF0" w:rsidR="00885EE5" w:rsidRPr="00EB3AA9" w:rsidRDefault="00885EE5" w:rsidP="00885EE5">
      <w:pPr>
        <w:pStyle w:val="bodycopy"/>
        <w:rPr>
          <w:rFonts w:ascii="Arial" w:hAnsi="Arial"/>
          <w:sz w:val="22"/>
          <w:szCs w:val="22"/>
        </w:rPr>
      </w:pPr>
      <w:r w:rsidRPr="00EB3AA9">
        <w:rPr>
          <w:rFonts w:ascii="Arial" w:hAnsi="Arial"/>
          <w:sz w:val="22"/>
          <w:szCs w:val="22"/>
        </w:rPr>
        <w:t>Loggerhead turtles are carnivorous, feeding primarily on benthic invertebrates such as molluscs and crabs in depths ranging from nearshore to 55 m (</w:t>
      </w:r>
      <w:r w:rsidR="00E44C19">
        <w:rPr>
          <w:rFonts w:ascii="Arial" w:hAnsi="Arial"/>
          <w:sz w:val="22"/>
          <w:szCs w:val="22"/>
        </w:rPr>
        <w:t>DoEE, 2017k</w:t>
      </w:r>
      <w:r w:rsidRPr="00EB3AA9">
        <w:rPr>
          <w:rFonts w:ascii="Arial" w:hAnsi="Arial"/>
          <w:sz w:val="22"/>
          <w:szCs w:val="22"/>
        </w:rPr>
        <w:t>) in tidal and sub-tidal habitats, reefs, seagrass beds and bays (</w:t>
      </w:r>
      <w:r w:rsidR="00E44C19" w:rsidRPr="00EB3AA9">
        <w:rPr>
          <w:rFonts w:ascii="Arial" w:hAnsi="Arial"/>
          <w:sz w:val="22"/>
          <w:szCs w:val="22"/>
        </w:rPr>
        <w:t>D</w:t>
      </w:r>
      <w:r w:rsidR="00E44C19">
        <w:rPr>
          <w:rFonts w:ascii="Arial" w:hAnsi="Arial"/>
          <w:sz w:val="22"/>
          <w:szCs w:val="22"/>
        </w:rPr>
        <w:t>oEE</w:t>
      </w:r>
      <w:r w:rsidR="00E44C19" w:rsidRPr="00EB3AA9">
        <w:rPr>
          <w:rFonts w:ascii="Arial" w:hAnsi="Arial"/>
          <w:sz w:val="22"/>
          <w:szCs w:val="22"/>
        </w:rPr>
        <w:t>, 201</w:t>
      </w:r>
      <w:r w:rsidR="00E44C19">
        <w:rPr>
          <w:rFonts w:ascii="Arial" w:hAnsi="Arial"/>
          <w:sz w:val="22"/>
          <w:szCs w:val="22"/>
        </w:rPr>
        <w:t>7k</w:t>
      </w:r>
      <w:r w:rsidRPr="00EB3AA9">
        <w:rPr>
          <w:rFonts w:ascii="Arial" w:hAnsi="Arial"/>
          <w:sz w:val="22"/>
          <w:szCs w:val="22"/>
        </w:rPr>
        <w:t>). No known loggerhead foraging areas have been identified in Victoria waters although foraging areas have been infrequently identified in waters off SA (</w:t>
      </w:r>
      <w:r w:rsidR="00296989">
        <w:rPr>
          <w:rFonts w:ascii="Arial" w:hAnsi="Arial"/>
          <w:sz w:val="22"/>
          <w:szCs w:val="22"/>
        </w:rPr>
        <w:t>DoEE, 2017k</w:t>
      </w:r>
      <w:r w:rsidRPr="00EB3AA9">
        <w:rPr>
          <w:rFonts w:ascii="Arial" w:hAnsi="Arial"/>
          <w:sz w:val="22"/>
          <w:szCs w:val="22"/>
        </w:rPr>
        <w:t>).</w:t>
      </w:r>
    </w:p>
    <w:p w14:paraId="48D0C7C7" w14:textId="77777777" w:rsidR="00885EE5" w:rsidRPr="00EB3AA9" w:rsidRDefault="005F1FED" w:rsidP="00885EE5">
      <w:pPr>
        <w:pStyle w:val="bodycopy"/>
        <w:rPr>
          <w:rFonts w:ascii="Arial" w:hAnsi="Arial"/>
          <w:sz w:val="22"/>
          <w:szCs w:val="22"/>
        </w:rPr>
      </w:pPr>
      <w:r w:rsidRPr="00EB3AA9">
        <w:rPr>
          <w:rFonts w:ascii="Arial" w:hAnsi="Arial"/>
          <w:sz w:val="22"/>
          <w:szCs w:val="22"/>
        </w:rPr>
        <w:t>The DoEE (2016) maps the loggerhead turtle as having a known or likely range within Bass Strait, but g</w:t>
      </w:r>
      <w:r w:rsidR="00885EE5" w:rsidRPr="00EB3AA9">
        <w:rPr>
          <w:rFonts w:ascii="Arial" w:hAnsi="Arial"/>
          <w:sz w:val="22"/>
          <w:szCs w:val="22"/>
        </w:rPr>
        <w:t xml:space="preserve">iven this species preference for sub-tropical waters, it is unlikely to be encountered in the </w:t>
      </w:r>
      <w:r w:rsidR="0045067E" w:rsidRPr="00EB3AA9">
        <w:rPr>
          <w:rFonts w:ascii="Arial" w:hAnsi="Arial"/>
          <w:sz w:val="22"/>
          <w:szCs w:val="22"/>
        </w:rPr>
        <w:t>EMBA</w:t>
      </w:r>
      <w:r w:rsidR="00885EE5" w:rsidRPr="00EB3AA9">
        <w:rPr>
          <w:rFonts w:ascii="Arial" w:hAnsi="Arial"/>
          <w:sz w:val="22"/>
          <w:szCs w:val="22"/>
        </w:rPr>
        <w:t xml:space="preserve">. </w:t>
      </w:r>
    </w:p>
    <w:p w14:paraId="0C8CF51D" w14:textId="06F26A7A" w:rsidR="00885EE5" w:rsidRPr="00EB3AA9" w:rsidRDefault="00885EE5" w:rsidP="00885EE5">
      <w:pPr>
        <w:pStyle w:val="bodycopy"/>
        <w:rPr>
          <w:rFonts w:ascii="Arial" w:hAnsi="Arial"/>
          <w:b/>
          <w:sz w:val="22"/>
          <w:szCs w:val="22"/>
        </w:rPr>
      </w:pPr>
      <w:r w:rsidRPr="00EB3AA9">
        <w:rPr>
          <w:rFonts w:ascii="Arial" w:hAnsi="Arial"/>
          <w:b/>
          <w:sz w:val="22"/>
          <w:szCs w:val="22"/>
        </w:rPr>
        <w:t>Green turtle (</w:t>
      </w:r>
      <w:r w:rsidR="0089764C">
        <w:rPr>
          <w:rFonts w:ascii="Arial" w:hAnsi="Arial"/>
          <w:b/>
          <w:sz w:val="22"/>
          <w:szCs w:val="22"/>
        </w:rPr>
        <w:t xml:space="preserve">EPBC Act: </w:t>
      </w:r>
      <w:r w:rsidR="00690F6A" w:rsidRPr="00EB3AA9">
        <w:rPr>
          <w:rFonts w:ascii="Arial" w:hAnsi="Arial"/>
          <w:b/>
          <w:sz w:val="22"/>
          <w:szCs w:val="22"/>
        </w:rPr>
        <w:t>V</w:t>
      </w:r>
      <w:r w:rsidRPr="00EB3AA9">
        <w:rPr>
          <w:rFonts w:ascii="Arial" w:hAnsi="Arial"/>
          <w:b/>
          <w:sz w:val="22"/>
          <w:szCs w:val="22"/>
        </w:rPr>
        <w:t xml:space="preserve">ulnerable, </w:t>
      </w:r>
      <w:r w:rsidR="0089764C">
        <w:rPr>
          <w:rFonts w:ascii="Arial" w:hAnsi="Arial"/>
          <w:b/>
          <w:sz w:val="22"/>
          <w:szCs w:val="22"/>
        </w:rPr>
        <w:t xml:space="preserve">listed </w:t>
      </w:r>
      <w:r w:rsidRPr="00EB3AA9">
        <w:rPr>
          <w:rFonts w:ascii="Arial" w:hAnsi="Arial"/>
          <w:b/>
          <w:sz w:val="22"/>
          <w:szCs w:val="22"/>
        </w:rPr>
        <w:t>migratory</w:t>
      </w:r>
      <w:r w:rsidR="0089764C">
        <w:rPr>
          <w:rFonts w:ascii="Arial" w:hAnsi="Arial"/>
          <w:b/>
          <w:sz w:val="22"/>
          <w:szCs w:val="22"/>
        </w:rPr>
        <w:t>, FFG Act: Not listed</w:t>
      </w:r>
      <w:r w:rsidRPr="00EB3AA9">
        <w:rPr>
          <w:rFonts w:ascii="Arial" w:hAnsi="Arial"/>
          <w:b/>
          <w:sz w:val="22"/>
          <w:szCs w:val="22"/>
        </w:rPr>
        <w:t>)</w:t>
      </w:r>
    </w:p>
    <w:p w14:paraId="16A40885" w14:textId="13364F71" w:rsidR="00885EE5" w:rsidRPr="00EB3AA9" w:rsidRDefault="00885EE5" w:rsidP="00885EE5">
      <w:pPr>
        <w:pStyle w:val="bodycopy"/>
        <w:rPr>
          <w:rFonts w:ascii="Arial" w:hAnsi="Arial"/>
          <w:sz w:val="22"/>
          <w:szCs w:val="22"/>
        </w:rPr>
      </w:pPr>
      <w:r w:rsidRPr="00EB3AA9">
        <w:rPr>
          <w:rFonts w:ascii="Arial" w:hAnsi="Arial"/>
          <w:sz w:val="22"/>
          <w:szCs w:val="22"/>
        </w:rPr>
        <w:t>The green turtle (</w:t>
      </w:r>
      <w:r w:rsidRPr="00EB3AA9">
        <w:rPr>
          <w:rFonts w:ascii="Arial" w:hAnsi="Arial"/>
          <w:i/>
          <w:sz w:val="22"/>
          <w:szCs w:val="22"/>
        </w:rPr>
        <w:t>Chelonia mydas</w:t>
      </w:r>
      <w:r w:rsidRPr="00EB3AA9">
        <w:rPr>
          <w:rFonts w:ascii="Arial" w:hAnsi="Arial"/>
          <w:sz w:val="22"/>
          <w:szCs w:val="22"/>
        </w:rPr>
        <w:t xml:space="preserve">) is distributed in sub-tropical and tropical waters around the world (Limpus, 2008b; </w:t>
      </w:r>
      <w:r w:rsidR="00E44C19" w:rsidRPr="00EB3AA9">
        <w:rPr>
          <w:rFonts w:ascii="Arial" w:hAnsi="Arial"/>
          <w:sz w:val="22"/>
          <w:szCs w:val="22"/>
        </w:rPr>
        <w:t>D</w:t>
      </w:r>
      <w:r w:rsidR="00E44C19">
        <w:rPr>
          <w:rFonts w:ascii="Arial" w:hAnsi="Arial"/>
          <w:sz w:val="22"/>
          <w:szCs w:val="22"/>
        </w:rPr>
        <w:t>oEE</w:t>
      </w:r>
      <w:r w:rsidR="00E44C19" w:rsidRPr="00EB3AA9">
        <w:rPr>
          <w:rFonts w:ascii="Arial" w:hAnsi="Arial"/>
          <w:sz w:val="22"/>
          <w:szCs w:val="22"/>
        </w:rPr>
        <w:t>, 201</w:t>
      </w:r>
      <w:r w:rsidR="00E44C19">
        <w:rPr>
          <w:rFonts w:ascii="Arial" w:hAnsi="Arial"/>
          <w:sz w:val="22"/>
          <w:szCs w:val="22"/>
        </w:rPr>
        <w:t>7k</w:t>
      </w:r>
      <w:r w:rsidRPr="00EB3AA9">
        <w:rPr>
          <w:rFonts w:ascii="Arial" w:hAnsi="Arial"/>
          <w:sz w:val="22"/>
          <w:szCs w:val="22"/>
        </w:rPr>
        <w:t>). I</w:t>
      </w:r>
      <w:r w:rsidR="0045067E" w:rsidRPr="00EB3AA9">
        <w:rPr>
          <w:rFonts w:ascii="Arial" w:hAnsi="Arial"/>
          <w:sz w:val="22"/>
          <w:szCs w:val="22"/>
        </w:rPr>
        <w:t>n</w:t>
      </w:r>
      <w:r w:rsidRPr="00EB3AA9">
        <w:rPr>
          <w:rFonts w:ascii="Arial" w:hAnsi="Arial"/>
          <w:sz w:val="22"/>
          <w:szCs w:val="22"/>
        </w:rPr>
        <w:t xml:space="preserve"> Australia, they nest, forage and migrate across tropical northern Australia. Mature turtles settle in tidal and sub-tidal habitat such as reefs, bays and seagrass beds where they feed on seagrass and algae (Limpus, 2008b; </w:t>
      </w:r>
      <w:r w:rsidR="00E44C19" w:rsidRPr="00EB3AA9">
        <w:rPr>
          <w:rFonts w:ascii="Arial" w:hAnsi="Arial"/>
          <w:sz w:val="22"/>
          <w:szCs w:val="22"/>
        </w:rPr>
        <w:t>D</w:t>
      </w:r>
      <w:r w:rsidR="00E44C19">
        <w:rPr>
          <w:rFonts w:ascii="Arial" w:hAnsi="Arial"/>
          <w:sz w:val="22"/>
          <w:szCs w:val="22"/>
        </w:rPr>
        <w:t>oEE</w:t>
      </w:r>
      <w:r w:rsidR="00E44C19" w:rsidRPr="00EB3AA9">
        <w:rPr>
          <w:rFonts w:ascii="Arial" w:hAnsi="Arial"/>
          <w:sz w:val="22"/>
          <w:szCs w:val="22"/>
        </w:rPr>
        <w:t>, 201</w:t>
      </w:r>
      <w:r w:rsidR="00E44C19">
        <w:rPr>
          <w:rFonts w:ascii="Arial" w:hAnsi="Arial"/>
          <w:sz w:val="22"/>
          <w:szCs w:val="22"/>
        </w:rPr>
        <w:t>7k</w:t>
      </w:r>
      <w:r w:rsidRPr="00EB3AA9">
        <w:rPr>
          <w:rFonts w:ascii="Arial" w:hAnsi="Arial"/>
          <w:sz w:val="22"/>
          <w:szCs w:val="22"/>
        </w:rPr>
        <w:t xml:space="preserve">). </w:t>
      </w:r>
    </w:p>
    <w:p w14:paraId="2DE78586" w14:textId="631D055A" w:rsidR="00885EE5" w:rsidRDefault="00885EE5" w:rsidP="00885EE5">
      <w:pPr>
        <w:pStyle w:val="bodycopy"/>
        <w:rPr>
          <w:rFonts w:ascii="Arial" w:hAnsi="Arial"/>
          <w:sz w:val="22"/>
          <w:szCs w:val="22"/>
        </w:rPr>
      </w:pPr>
      <w:r w:rsidRPr="00EB3AA9">
        <w:rPr>
          <w:rFonts w:ascii="Arial" w:hAnsi="Arial"/>
          <w:sz w:val="22"/>
          <w:szCs w:val="22"/>
        </w:rPr>
        <w:t>There are no known nesting or foraging grounds for green turtles in Victoria, and they occur only as rare vagrants (</w:t>
      </w:r>
      <w:r w:rsidR="00296989">
        <w:rPr>
          <w:rFonts w:ascii="Arial" w:hAnsi="Arial"/>
          <w:sz w:val="22"/>
          <w:szCs w:val="22"/>
        </w:rPr>
        <w:t>DoEE, 2017k</w:t>
      </w:r>
      <w:r w:rsidRPr="00EB3AA9">
        <w:rPr>
          <w:rFonts w:ascii="Arial" w:hAnsi="Arial"/>
          <w:sz w:val="22"/>
          <w:szCs w:val="22"/>
        </w:rPr>
        <w:t xml:space="preserve">). </w:t>
      </w:r>
      <w:r w:rsidR="005F1FED" w:rsidRPr="00EB3AA9">
        <w:rPr>
          <w:rFonts w:ascii="Arial" w:hAnsi="Arial"/>
          <w:sz w:val="22"/>
          <w:szCs w:val="22"/>
        </w:rPr>
        <w:t>The DoEE (201</w:t>
      </w:r>
      <w:r w:rsidR="00296989">
        <w:rPr>
          <w:rFonts w:ascii="Arial" w:hAnsi="Arial"/>
          <w:sz w:val="22"/>
          <w:szCs w:val="22"/>
        </w:rPr>
        <w:t>7k</w:t>
      </w:r>
      <w:r w:rsidR="005F1FED" w:rsidRPr="00EB3AA9">
        <w:rPr>
          <w:rFonts w:ascii="Arial" w:hAnsi="Arial"/>
          <w:sz w:val="22"/>
          <w:szCs w:val="22"/>
        </w:rPr>
        <w:t xml:space="preserve">) maps the green turtle as having a known or likely range within Bass Strait, </w:t>
      </w:r>
      <w:r w:rsidR="0062662A" w:rsidRPr="00EB3AA9">
        <w:rPr>
          <w:rFonts w:ascii="Arial" w:hAnsi="Arial"/>
          <w:sz w:val="22"/>
          <w:szCs w:val="22"/>
        </w:rPr>
        <w:t xml:space="preserve">and due to the presence of suitable foraging sites, it may </w:t>
      </w:r>
      <w:r w:rsidRPr="00EB3AA9">
        <w:rPr>
          <w:rFonts w:ascii="Arial" w:hAnsi="Arial"/>
          <w:sz w:val="22"/>
          <w:szCs w:val="22"/>
        </w:rPr>
        <w:t xml:space="preserve">be encountered in </w:t>
      </w:r>
      <w:r w:rsidR="0045067E" w:rsidRPr="00EB3AA9">
        <w:rPr>
          <w:rFonts w:ascii="Arial" w:hAnsi="Arial"/>
          <w:sz w:val="22"/>
          <w:szCs w:val="22"/>
        </w:rPr>
        <w:t>the EMBA</w:t>
      </w:r>
      <w:r w:rsidRPr="00EB3AA9">
        <w:rPr>
          <w:rFonts w:ascii="Arial" w:hAnsi="Arial"/>
          <w:sz w:val="22"/>
          <w:szCs w:val="22"/>
        </w:rPr>
        <w:t>.</w:t>
      </w:r>
      <w:r w:rsidR="007649A3">
        <w:rPr>
          <w:rFonts w:ascii="Arial" w:hAnsi="Arial"/>
          <w:sz w:val="22"/>
          <w:szCs w:val="22"/>
        </w:rPr>
        <w:t xml:space="preserve"> </w:t>
      </w:r>
    </w:p>
    <w:p w14:paraId="1B1E9BE4" w14:textId="77777777" w:rsidR="002330FD" w:rsidRDefault="002330FD" w:rsidP="00885EE5">
      <w:pPr>
        <w:pStyle w:val="bodycopy"/>
        <w:rPr>
          <w:rFonts w:ascii="Arial" w:hAnsi="Arial"/>
          <w:sz w:val="22"/>
          <w:szCs w:val="22"/>
        </w:rPr>
      </w:pPr>
    </w:p>
    <w:p w14:paraId="004F4A28" w14:textId="77777777" w:rsidR="002330FD" w:rsidRPr="00EB3AA9" w:rsidRDefault="002330FD" w:rsidP="00885EE5">
      <w:pPr>
        <w:pStyle w:val="bodycopy"/>
        <w:rPr>
          <w:rFonts w:ascii="Arial" w:hAnsi="Arial"/>
          <w:sz w:val="22"/>
          <w:szCs w:val="22"/>
        </w:rPr>
      </w:pPr>
    </w:p>
    <w:p w14:paraId="25FA29CB" w14:textId="6E9156B5" w:rsidR="00885EE5" w:rsidRPr="00EB3AA9" w:rsidRDefault="00885EE5" w:rsidP="00885EE5">
      <w:pPr>
        <w:pStyle w:val="bodycopy"/>
        <w:rPr>
          <w:rFonts w:ascii="Arial" w:hAnsi="Arial"/>
          <w:b/>
          <w:sz w:val="22"/>
          <w:szCs w:val="22"/>
        </w:rPr>
      </w:pPr>
      <w:r w:rsidRPr="00EB3AA9">
        <w:rPr>
          <w:rFonts w:ascii="Arial" w:hAnsi="Arial"/>
          <w:b/>
          <w:sz w:val="22"/>
          <w:szCs w:val="22"/>
        </w:rPr>
        <w:lastRenderedPageBreak/>
        <w:t>Leatherback turtle (</w:t>
      </w:r>
      <w:r w:rsidR="0089764C">
        <w:rPr>
          <w:rFonts w:ascii="Arial" w:hAnsi="Arial"/>
          <w:b/>
          <w:sz w:val="22"/>
          <w:szCs w:val="22"/>
        </w:rPr>
        <w:t xml:space="preserve">EPBC Act; </w:t>
      </w:r>
      <w:r w:rsidR="00690F6A" w:rsidRPr="00EB3AA9">
        <w:rPr>
          <w:rFonts w:ascii="Arial" w:hAnsi="Arial"/>
          <w:b/>
          <w:sz w:val="22"/>
          <w:szCs w:val="22"/>
        </w:rPr>
        <w:t>E</w:t>
      </w:r>
      <w:r w:rsidRPr="00EB3AA9">
        <w:rPr>
          <w:rFonts w:ascii="Arial" w:hAnsi="Arial"/>
          <w:b/>
          <w:sz w:val="22"/>
          <w:szCs w:val="22"/>
        </w:rPr>
        <w:t xml:space="preserve">ndangered, </w:t>
      </w:r>
      <w:r w:rsidR="0089764C">
        <w:rPr>
          <w:rFonts w:ascii="Arial" w:hAnsi="Arial"/>
          <w:b/>
          <w:sz w:val="22"/>
          <w:szCs w:val="22"/>
        </w:rPr>
        <w:t xml:space="preserve">listed </w:t>
      </w:r>
      <w:r w:rsidRPr="00EB3AA9">
        <w:rPr>
          <w:rFonts w:ascii="Arial" w:hAnsi="Arial"/>
          <w:b/>
          <w:sz w:val="22"/>
          <w:szCs w:val="22"/>
        </w:rPr>
        <w:t>migratory</w:t>
      </w:r>
      <w:r w:rsidR="0089764C">
        <w:rPr>
          <w:rFonts w:ascii="Arial" w:hAnsi="Arial"/>
          <w:b/>
          <w:sz w:val="22"/>
          <w:szCs w:val="22"/>
        </w:rPr>
        <w:t>, FFG Act: Threatened</w:t>
      </w:r>
      <w:r w:rsidRPr="00EB3AA9">
        <w:rPr>
          <w:rFonts w:ascii="Arial" w:hAnsi="Arial"/>
          <w:b/>
          <w:sz w:val="22"/>
          <w:szCs w:val="22"/>
        </w:rPr>
        <w:t>)</w:t>
      </w:r>
    </w:p>
    <w:p w14:paraId="0922087F" w14:textId="01CB1EEB" w:rsidR="00885EE5" w:rsidRPr="00EB3AA9" w:rsidRDefault="00885EE5" w:rsidP="00885EE5">
      <w:pPr>
        <w:pStyle w:val="bodycopy"/>
        <w:rPr>
          <w:rFonts w:ascii="Arial" w:hAnsi="Arial"/>
          <w:sz w:val="22"/>
          <w:szCs w:val="22"/>
        </w:rPr>
      </w:pPr>
      <w:r w:rsidRPr="00EB3AA9">
        <w:rPr>
          <w:rFonts w:ascii="Arial" w:hAnsi="Arial"/>
          <w:sz w:val="22"/>
          <w:szCs w:val="22"/>
        </w:rPr>
        <w:t>The leatherback turtle (</w:t>
      </w:r>
      <w:r w:rsidRPr="00EB3AA9">
        <w:rPr>
          <w:rFonts w:ascii="Arial" w:hAnsi="Arial"/>
          <w:i/>
          <w:sz w:val="22"/>
          <w:szCs w:val="22"/>
        </w:rPr>
        <w:t>Dermochelys coriacea</w:t>
      </w:r>
      <w:r w:rsidRPr="00EB3AA9">
        <w:rPr>
          <w:rFonts w:ascii="Arial" w:hAnsi="Arial"/>
          <w:sz w:val="22"/>
          <w:szCs w:val="22"/>
        </w:rPr>
        <w:t>) is widely distributed throughout tropical, sub-tropical and temperate waters of Australia (</w:t>
      </w:r>
      <w:r w:rsidR="00E44C19" w:rsidRPr="00EB3AA9">
        <w:rPr>
          <w:rFonts w:ascii="Arial" w:hAnsi="Arial"/>
          <w:sz w:val="22"/>
          <w:szCs w:val="22"/>
        </w:rPr>
        <w:t>D</w:t>
      </w:r>
      <w:r w:rsidR="00E44C19">
        <w:rPr>
          <w:rFonts w:ascii="Arial" w:hAnsi="Arial"/>
          <w:sz w:val="22"/>
          <w:szCs w:val="22"/>
        </w:rPr>
        <w:t>oEE</w:t>
      </w:r>
      <w:r w:rsidR="00E44C19" w:rsidRPr="00EB3AA9">
        <w:rPr>
          <w:rFonts w:ascii="Arial" w:hAnsi="Arial"/>
          <w:sz w:val="22"/>
          <w:szCs w:val="22"/>
        </w:rPr>
        <w:t>, 201</w:t>
      </w:r>
      <w:r w:rsidR="00E44C19">
        <w:rPr>
          <w:rFonts w:ascii="Arial" w:hAnsi="Arial"/>
          <w:sz w:val="22"/>
          <w:szCs w:val="22"/>
        </w:rPr>
        <w:t>7k</w:t>
      </w:r>
      <w:r w:rsidRPr="00EB3AA9">
        <w:rPr>
          <w:rFonts w:ascii="Arial" w:hAnsi="Arial"/>
          <w:sz w:val="22"/>
          <w:szCs w:val="22"/>
        </w:rPr>
        <w:t>), including in oceanic waters and continental shelf waters along the coast of southern Australia (Limpus, 2009). Unlike other marine turtles, the leatherback turtle utilises cold water foraging areas, with the species most commonly reported foraging along the coastal waters of central Australia (southern Queensland to central NSW), southeast Australia (Tasmania, Victoria and eastern SA), and southern WA (</w:t>
      </w:r>
      <w:r w:rsidR="00DC168B" w:rsidRPr="00EB3AA9">
        <w:rPr>
          <w:rFonts w:ascii="Arial" w:hAnsi="Arial"/>
          <w:sz w:val="22"/>
          <w:szCs w:val="22"/>
        </w:rPr>
        <w:t>Limpus, 2009</w:t>
      </w:r>
      <w:r w:rsidRPr="00EB3AA9">
        <w:rPr>
          <w:rFonts w:ascii="Arial" w:hAnsi="Arial"/>
          <w:sz w:val="22"/>
          <w:szCs w:val="22"/>
        </w:rPr>
        <w:t>).</w:t>
      </w:r>
    </w:p>
    <w:p w14:paraId="79ACA901" w14:textId="77777777" w:rsidR="00885EE5" w:rsidRPr="00EB3AA9" w:rsidRDefault="00885EE5" w:rsidP="00885EE5">
      <w:pPr>
        <w:pStyle w:val="bodycopy"/>
        <w:rPr>
          <w:rFonts w:ascii="Arial" w:hAnsi="Arial"/>
          <w:sz w:val="22"/>
          <w:szCs w:val="22"/>
        </w:rPr>
      </w:pPr>
      <w:r w:rsidRPr="00EB3AA9">
        <w:rPr>
          <w:rFonts w:ascii="Arial" w:hAnsi="Arial"/>
          <w:sz w:val="22"/>
          <w:szCs w:val="22"/>
        </w:rPr>
        <w:t xml:space="preserve">This species feeds on soft-bodied invertebrates, including jellyfish (Limpus, 2009). </w:t>
      </w:r>
    </w:p>
    <w:p w14:paraId="6FDC8665" w14:textId="70221B2D" w:rsidR="00885EE5" w:rsidRPr="00EB3AA9" w:rsidRDefault="00885EE5" w:rsidP="00885EE5">
      <w:pPr>
        <w:pStyle w:val="bodycopy"/>
        <w:rPr>
          <w:rFonts w:ascii="Arial" w:hAnsi="Arial"/>
          <w:sz w:val="22"/>
          <w:szCs w:val="22"/>
        </w:rPr>
      </w:pPr>
      <w:r w:rsidRPr="00EB3AA9">
        <w:rPr>
          <w:rFonts w:ascii="Arial" w:hAnsi="Arial"/>
          <w:sz w:val="22"/>
          <w:szCs w:val="22"/>
        </w:rPr>
        <w:t>No major nesting has been recorded in Australia, with isolated nesting recorded in the Northern Territory</w:t>
      </w:r>
      <w:r w:rsidR="006C5775">
        <w:rPr>
          <w:rFonts w:ascii="Arial" w:hAnsi="Arial"/>
          <w:sz w:val="22"/>
          <w:szCs w:val="22"/>
        </w:rPr>
        <w:t xml:space="preserve">, </w:t>
      </w:r>
      <w:r w:rsidR="006C5775" w:rsidRPr="00EB3AA9">
        <w:rPr>
          <w:rFonts w:ascii="Arial" w:hAnsi="Arial"/>
          <w:sz w:val="22"/>
          <w:szCs w:val="22"/>
        </w:rPr>
        <w:t>Queensland and</w:t>
      </w:r>
      <w:r w:rsidR="006C5775">
        <w:rPr>
          <w:rFonts w:ascii="Arial" w:hAnsi="Arial"/>
          <w:sz w:val="22"/>
          <w:szCs w:val="22"/>
        </w:rPr>
        <w:t xml:space="preserve"> northern NSW</w:t>
      </w:r>
      <w:r w:rsidR="005F1FED" w:rsidRPr="00EB3AA9">
        <w:rPr>
          <w:rFonts w:ascii="Arial" w:hAnsi="Arial"/>
          <w:sz w:val="22"/>
          <w:szCs w:val="22"/>
        </w:rPr>
        <w:t xml:space="preserve"> (DoEE, 201</w:t>
      </w:r>
      <w:r w:rsidR="006C5775">
        <w:rPr>
          <w:rFonts w:ascii="Arial" w:hAnsi="Arial"/>
          <w:sz w:val="22"/>
          <w:szCs w:val="22"/>
        </w:rPr>
        <w:t>7k</w:t>
      </w:r>
      <w:r w:rsidR="005F1FED" w:rsidRPr="00EB3AA9">
        <w:rPr>
          <w:rFonts w:ascii="Arial" w:hAnsi="Arial"/>
          <w:sz w:val="22"/>
          <w:szCs w:val="22"/>
        </w:rPr>
        <w:t>)</w:t>
      </w:r>
      <w:r w:rsidRPr="00EB3AA9">
        <w:rPr>
          <w:rFonts w:ascii="Arial" w:hAnsi="Arial"/>
          <w:sz w:val="22"/>
          <w:szCs w:val="22"/>
        </w:rPr>
        <w:t xml:space="preserve">. This species nests only in the tropics. </w:t>
      </w:r>
      <w:r w:rsidR="005F1FED" w:rsidRPr="00EB3AA9">
        <w:rPr>
          <w:rFonts w:ascii="Arial" w:hAnsi="Arial"/>
          <w:sz w:val="22"/>
          <w:szCs w:val="22"/>
        </w:rPr>
        <w:t>The DoEE (201</w:t>
      </w:r>
      <w:r w:rsidR="006C5775">
        <w:rPr>
          <w:rFonts w:ascii="Arial" w:hAnsi="Arial"/>
          <w:sz w:val="22"/>
          <w:szCs w:val="22"/>
        </w:rPr>
        <w:t>7k</w:t>
      </w:r>
      <w:r w:rsidR="005F1FED" w:rsidRPr="00EB3AA9">
        <w:rPr>
          <w:rFonts w:ascii="Arial" w:hAnsi="Arial"/>
          <w:sz w:val="22"/>
          <w:szCs w:val="22"/>
        </w:rPr>
        <w:t xml:space="preserve">) maps the </w:t>
      </w:r>
      <w:r w:rsidR="0062662A" w:rsidRPr="00EB3AA9">
        <w:rPr>
          <w:rFonts w:ascii="Arial" w:hAnsi="Arial"/>
          <w:sz w:val="22"/>
          <w:szCs w:val="22"/>
        </w:rPr>
        <w:t>leatherback</w:t>
      </w:r>
      <w:r w:rsidR="005F1FED" w:rsidRPr="00EB3AA9">
        <w:rPr>
          <w:rFonts w:ascii="Arial" w:hAnsi="Arial"/>
          <w:sz w:val="22"/>
          <w:szCs w:val="22"/>
        </w:rPr>
        <w:t xml:space="preserve"> turtles as having a known or likely range within Bass Strait, and a migration pathway in southern waters. The waters of the EMBA do not represent critical habitat for the species, though it may occur in</w:t>
      </w:r>
      <w:r w:rsidR="007649A3">
        <w:rPr>
          <w:rFonts w:ascii="Arial" w:hAnsi="Arial"/>
          <w:sz w:val="22"/>
          <w:szCs w:val="22"/>
        </w:rPr>
        <w:t xml:space="preserve"> low numbers during migration. </w:t>
      </w:r>
    </w:p>
    <w:p w14:paraId="7A1CB46B" w14:textId="0AED6B2F" w:rsidR="00885EE5" w:rsidRPr="00EB3AA9" w:rsidRDefault="00885EE5" w:rsidP="00885EE5">
      <w:pPr>
        <w:pStyle w:val="bodycopy"/>
        <w:rPr>
          <w:rFonts w:ascii="Arial" w:hAnsi="Arial"/>
          <w:b/>
          <w:sz w:val="22"/>
          <w:szCs w:val="22"/>
        </w:rPr>
      </w:pPr>
      <w:r w:rsidRPr="00EB3AA9">
        <w:rPr>
          <w:rFonts w:ascii="Arial" w:hAnsi="Arial"/>
          <w:b/>
          <w:sz w:val="22"/>
          <w:szCs w:val="22"/>
        </w:rPr>
        <w:t>Hawksbill turtle (</w:t>
      </w:r>
      <w:r w:rsidR="0089764C">
        <w:rPr>
          <w:rFonts w:ascii="Arial" w:hAnsi="Arial"/>
          <w:b/>
          <w:sz w:val="22"/>
          <w:szCs w:val="22"/>
        </w:rPr>
        <w:t xml:space="preserve">EPBC Act: </w:t>
      </w:r>
      <w:r w:rsidR="0045067E" w:rsidRPr="00EB3AA9">
        <w:rPr>
          <w:rFonts w:ascii="Arial" w:hAnsi="Arial"/>
          <w:b/>
          <w:sz w:val="22"/>
          <w:szCs w:val="22"/>
        </w:rPr>
        <w:t>V</w:t>
      </w:r>
      <w:r w:rsidRPr="00EB3AA9">
        <w:rPr>
          <w:rFonts w:ascii="Arial" w:hAnsi="Arial"/>
          <w:b/>
          <w:sz w:val="22"/>
          <w:szCs w:val="22"/>
        </w:rPr>
        <w:t xml:space="preserve">ulnerable, </w:t>
      </w:r>
      <w:r w:rsidR="0089764C">
        <w:rPr>
          <w:rFonts w:ascii="Arial" w:hAnsi="Arial"/>
          <w:b/>
          <w:sz w:val="22"/>
          <w:szCs w:val="22"/>
        </w:rPr>
        <w:t xml:space="preserve">listed </w:t>
      </w:r>
      <w:r w:rsidRPr="00EB3AA9">
        <w:rPr>
          <w:rFonts w:ascii="Arial" w:hAnsi="Arial"/>
          <w:b/>
          <w:sz w:val="22"/>
          <w:szCs w:val="22"/>
        </w:rPr>
        <w:t>migratory</w:t>
      </w:r>
      <w:r w:rsidR="0089764C">
        <w:rPr>
          <w:rFonts w:ascii="Arial" w:hAnsi="Arial"/>
          <w:b/>
          <w:sz w:val="22"/>
          <w:szCs w:val="22"/>
        </w:rPr>
        <w:t>, FFG Act: Not listed</w:t>
      </w:r>
      <w:r w:rsidRPr="00EB3AA9">
        <w:rPr>
          <w:rFonts w:ascii="Arial" w:hAnsi="Arial"/>
          <w:b/>
          <w:sz w:val="22"/>
          <w:szCs w:val="22"/>
        </w:rPr>
        <w:t>)</w:t>
      </w:r>
    </w:p>
    <w:p w14:paraId="3A426415" w14:textId="5085E708" w:rsidR="0062662A" w:rsidRPr="00EB3AA9" w:rsidRDefault="00885EE5" w:rsidP="00885EE5">
      <w:pPr>
        <w:pStyle w:val="bodycopy"/>
        <w:rPr>
          <w:rFonts w:ascii="Arial" w:hAnsi="Arial"/>
          <w:sz w:val="22"/>
          <w:szCs w:val="22"/>
        </w:rPr>
      </w:pPr>
      <w:r w:rsidRPr="00EB3AA9">
        <w:rPr>
          <w:rFonts w:ascii="Arial" w:hAnsi="Arial"/>
          <w:sz w:val="22"/>
          <w:szCs w:val="22"/>
        </w:rPr>
        <w:t>The hawksbill turtle (</w:t>
      </w:r>
      <w:r w:rsidRPr="00EB3AA9">
        <w:rPr>
          <w:rFonts w:ascii="Arial" w:hAnsi="Arial"/>
          <w:i/>
          <w:sz w:val="22"/>
          <w:szCs w:val="22"/>
        </w:rPr>
        <w:t>Eretmochelya imbricata</w:t>
      </w:r>
      <w:r w:rsidRPr="00EB3AA9">
        <w:rPr>
          <w:rFonts w:ascii="Arial" w:hAnsi="Arial"/>
          <w:sz w:val="22"/>
          <w:szCs w:val="22"/>
        </w:rPr>
        <w:t>) is distributed in nearshore and offshore rocky and coral reef habitats in northern Australian waters, feeding mostly on sponges, seagrass and algae. Nesting occurs only in these tropical waters</w:t>
      </w:r>
      <w:r w:rsidR="0062662A" w:rsidRPr="00EB3AA9">
        <w:rPr>
          <w:rFonts w:ascii="Arial" w:hAnsi="Arial"/>
          <w:sz w:val="22"/>
          <w:szCs w:val="22"/>
        </w:rPr>
        <w:t xml:space="preserve"> (DoEE, 201</w:t>
      </w:r>
      <w:r w:rsidR="006C5775">
        <w:rPr>
          <w:rFonts w:ascii="Arial" w:hAnsi="Arial"/>
          <w:sz w:val="22"/>
          <w:szCs w:val="22"/>
        </w:rPr>
        <w:t>7k</w:t>
      </w:r>
      <w:r w:rsidR="0062662A" w:rsidRPr="00EB3AA9">
        <w:rPr>
          <w:rFonts w:ascii="Arial" w:hAnsi="Arial"/>
          <w:sz w:val="22"/>
          <w:szCs w:val="22"/>
        </w:rPr>
        <w:t>)</w:t>
      </w:r>
      <w:r w:rsidRPr="00EB3AA9">
        <w:rPr>
          <w:rFonts w:ascii="Arial" w:hAnsi="Arial"/>
          <w:sz w:val="22"/>
          <w:szCs w:val="22"/>
        </w:rPr>
        <w:t xml:space="preserve">. </w:t>
      </w:r>
    </w:p>
    <w:p w14:paraId="2006532C" w14:textId="391C1B4E" w:rsidR="00885EE5" w:rsidRPr="00EB3AA9" w:rsidRDefault="0062662A" w:rsidP="00885EE5">
      <w:pPr>
        <w:pStyle w:val="bodycopy"/>
        <w:rPr>
          <w:rFonts w:ascii="Arial" w:hAnsi="Arial"/>
          <w:sz w:val="22"/>
          <w:szCs w:val="22"/>
        </w:rPr>
      </w:pPr>
      <w:r w:rsidRPr="00EB3AA9">
        <w:rPr>
          <w:rFonts w:ascii="Arial" w:hAnsi="Arial"/>
          <w:sz w:val="22"/>
          <w:szCs w:val="22"/>
        </w:rPr>
        <w:t>The DoEE (201</w:t>
      </w:r>
      <w:r w:rsidR="006C5775">
        <w:rPr>
          <w:rFonts w:ascii="Arial" w:hAnsi="Arial"/>
          <w:sz w:val="22"/>
          <w:szCs w:val="22"/>
        </w:rPr>
        <w:t>7k</w:t>
      </w:r>
      <w:r w:rsidRPr="00EB3AA9">
        <w:rPr>
          <w:rFonts w:ascii="Arial" w:hAnsi="Arial"/>
          <w:sz w:val="22"/>
          <w:szCs w:val="22"/>
        </w:rPr>
        <w:t>) maps the hawksbill turtle as having a known or likely range in the eastern-most part of Bass Strait, and due to the presence of suitable foraging sites (e.g., seagrass beds at Mallacoota Inlet), it may be encountered in</w:t>
      </w:r>
      <w:r w:rsidR="007649A3">
        <w:rPr>
          <w:rFonts w:ascii="Arial" w:hAnsi="Arial"/>
          <w:sz w:val="22"/>
          <w:szCs w:val="22"/>
        </w:rPr>
        <w:t xml:space="preserve"> the EMBA. </w:t>
      </w:r>
      <w:r w:rsidR="00885EE5" w:rsidRPr="00EB3AA9">
        <w:rPr>
          <w:rFonts w:ascii="Arial" w:hAnsi="Arial"/>
          <w:sz w:val="22"/>
          <w:szCs w:val="22"/>
        </w:rPr>
        <w:t xml:space="preserve"> </w:t>
      </w:r>
    </w:p>
    <w:p w14:paraId="2DB174C9" w14:textId="2F07944A" w:rsidR="00885EE5" w:rsidRPr="00EB3AA9" w:rsidRDefault="00885EE5" w:rsidP="00885EE5">
      <w:pPr>
        <w:pStyle w:val="bodycopy"/>
        <w:rPr>
          <w:rFonts w:ascii="Arial" w:hAnsi="Arial"/>
          <w:b/>
          <w:sz w:val="22"/>
          <w:szCs w:val="22"/>
        </w:rPr>
      </w:pPr>
      <w:r w:rsidRPr="00EB3AA9">
        <w:rPr>
          <w:rFonts w:ascii="Arial" w:hAnsi="Arial"/>
          <w:b/>
          <w:sz w:val="22"/>
          <w:szCs w:val="22"/>
        </w:rPr>
        <w:t>Flatback turtle (</w:t>
      </w:r>
      <w:r w:rsidR="0089764C">
        <w:rPr>
          <w:rFonts w:ascii="Arial" w:hAnsi="Arial"/>
          <w:b/>
          <w:sz w:val="22"/>
          <w:szCs w:val="22"/>
        </w:rPr>
        <w:t xml:space="preserve">EPBC Act: </w:t>
      </w:r>
      <w:r w:rsidR="0045067E" w:rsidRPr="00EB3AA9">
        <w:rPr>
          <w:rFonts w:ascii="Arial" w:hAnsi="Arial"/>
          <w:b/>
          <w:sz w:val="22"/>
          <w:szCs w:val="22"/>
        </w:rPr>
        <w:t>V</w:t>
      </w:r>
      <w:r w:rsidRPr="00EB3AA9">
        <w:rPr>
          <w:rFonts w:ascii="Arial" w:hAnsi="Arial"/>
          <w:b/>
          <w:sz w:val="22"/>
          <w:szCs w:val="22"/>
        </w:rPr>
        <w:t xml:space="preserve">ulnerable, </w:t>
      </w:r>
      <w:r w:rsidR="0089764C">
        <w:rPr>
          <w:rFonts w:ascii="Arial" w:hAnsi="Arial"/>
          <w:b/>
          <w:sz w:val="22"/>
          <w:szCs w:val="22"/>
        </w:rPr>
        <w:t xml:space="preserve">listed </w:t>
      </w:r>
      <w:r w:rsidRPr="00EB3AA9">
        <w:rPr>
          <w:rFonts w:ascii="Arial" w:hAnsi="Arial"/>
          <w:b/>
          <w:sz w:val="22"/>
          <w:szCs w:val="22"/>
        </w:rPr>
        <w:t>migratory</w:t>
      </w:r>
      <w:r w:rsidR="0089764C">
        <w:rPr>
          <w:rFonts w:ascii="Arial" w:hAnsi="Arial"/>
          <w:b/>
          <w:sz w:val="22"/>
          <w:szCs w:val="22"/>
        </w:rPr>
        <w:t>, FFG Act: Not listed</w:t>
      </w:r>
      <w:r w:rsidRPr="00EB3AA9">
        <w:rPr>
          <w:rFonts w:ascii="Arial" w:hAnsi="Arial"/>
          <w:b/>
          <w:sz w:val="22"/>
          <w:szCs w:val="22"/>
        </w:rPr>
        <w:t>)</w:t>
      </w:r>
    </w:p>
    <w:p w14:paraId="0BDA0689" w14:textId="77777777" w:rsidR="000478D7" w:rsidRPr="00EB3AA9" w:rsidRDefault="0062662A" w:rsidP="00885EE5">
      <w:pPr>
        <w:pStyle w:val="bodycopy"/>
        <w:rPr>
          <w:rFonts w:ascii="Arial" w:hAnsi="Arial"/>
          <w:sz w:val="22"/>
          <w:szCs w:val="22"/>
        </w:rPr>
      </w:pPr>
      <w:r w:rsidRPr="00EB3AA9">
        <w:rPr>
          <w:rFonts w:ascii="Arial" w:hAnsi="Arial"/>
          <w:sz w:val="22"/>
          <w:szCs w:val="22"/>
        </w:rPr>
        <w:t>In A</w:t>
      </w:r>
      <w:r w:rsidR="00885EE5" w:rsidRPr="00EB3AA9">
        <w:rPr>
          <w:rFonts w:ascii="Arial" w:hAnsi="Arial"/>
          <w:sz w:val="22"/>
          <w:szCs w:val="22"/>
        </w:rPr>
        <w:t>ustralia, the flatback turtle (</w:t>
      </w:r>
      <w:r w:rsidR="00885EE5" w:rsidRPr="00EB3AA9">
        <w:rPr>
          <w:rFonts w:ascii="Arial" w:hAnsi="Arial"/>
          <w:i/>
          <w:sz w:val="22"/>
          <w:szCs w:val="22"/>
        </w:rPr>
        <w:t>Natador depressus</w:t>
      </w:r>
      <w:r w:rsidR="00885EE5" w:rsidRPr="00EB3AA9">
        <w:rPr>
          <w:rFonts w:ascii="Arial" w:hAnsi="Arial"/>
          <w:sz w:val="22"/>
          <w:szCs w:val="22"/>
        </w:rPr>
        <w:t xml:space="preserve">) is found only in the tropical waters of northern Australia, where it feeds on soft-bodied prey. Nesting occurs only in these tropical waters. </w:t>
      </w:r>
    </w:p>
    <w:p w14:paraId="46395C22" w14:textId="741ABC26" w:rsidR="00885EE5" w:rsidRPr="00EB3AA9" w:rsidRDefault="0062662A" w:rsidP="00885EE5">
      <w:pPr>
        <w:pStyle w:val="bodycopy"/>
        <w:rPr>
          <w:rFonts w:ascii="Arial" w:hAnsi="Arial"/>
          <w:sz w:val="22"/>
          <w:szCs w:val="22"/>
        </w:rPr>
      </w:pPr>
      <w:r w:rsidRPr="00EB3AA9">
        <w:rPr>
          <w:rFonts w:ascii="Arial" w:hAnsi="Arial"/>
          <w:sz w:val="22"/>
          <w:szCs w:val="22"/>
        </w:rPr>
        <w:t>The DoEE (201</w:t>
      </w:r>
      <w:r w:rsidR="006C5775">
        <w:rPr>
          <w:rFonts w:ascii="Arial" w:hAnsi="Arial"/>
          <w:sz w:val="22"/>
          <w:szCs w:val="22"/>
        </w:rPr>
        <w:t>7k</w:t>
      </w:r>
      <w:r w:rsidRPr="00EB3AA9">
        <w:rPr>
          <w:rFonts w:ascii="Arial" w:hAnsi="Arial"/>
          <w:sz w:val="22"/>
          <w:szCs w:val="22"/>
        </w:rPr>
        <w:t>) maps the flatback turtle as having a known or likely range north of the Victorian/NSW border, and as such t</w:t>
      </w:r>
      <w:r w:rsidR="00885EE5" w:rsidRPr="00EB3AA9">
        <w:rPr>
          <w:rFonts w:ascii="Arial" w:hAnsi="Arial"/>
          <w:sz w:val="22"/>
          <w:szCs w:val="22"/>
        </w:rPr>
        <w:t xml:space="preserve">his species </w:t>
      </w:r>
      <w:r w:rsidRPr="00EB3AA9">
        <w:rPr>
          <w:rFonts w:ascii="Arial" w:hAnsi="Arial"/>
          <w:sz w:val="22"/>
          <w:szCs w:val="22"/>
        </w:rPr>
        <w:t xml:space="preserve">is not likely to </w:t>
      </w:r>
      <w:r w:rsidR="00885EE5" w:rsidRPr="00EB3AA9">
        <w:rPr>
          <w:rFonts w:ascii="Arial" w:hAnsi="Arial"/>
          <w:sz w:val="22"/>
          <w:szCs w:val="22"/>
        </w:rPr>
        <w:t xml:space="preserve">be encountered in the </w:t>
      </w:r>
      <w:r w:rsidRPr="00EB3AA9">
        <w:rPr>
          <w:rFonts w:ascii="Arial" w:hAnsi="Arial"/>
          <w:sz w:val="22"/>
          <w:szCs w:val="22"/>
        </w:rPr>
        <w:t>E</w:t>
      </w:r>
      <w:r w:rsidR="00885EE5" w:rsidRPr="00EB3AA9">
        <w:rPr>
          <w:rFonts w:ascii="Arial" w:hAnsi="Arial"/>
          <w:sz w:val="22"/>
          <w:szCs w:val="22"/>
        </w:rPr>
        <w:t xml:space="preserve">MBA. </w:t>
      </w:r>
    </w:p>
    <w:p w14:paraId="21905E31" w14:textId="77777777" w:rsidR="00885EE5" w:rsidRPr="00D54428" w:rsidRDefault="0093320B" w:rsidP="009678C7">
      <w:pPr>
        <w:pStyle w:val="Heading3"/>
      </w:pPr>
      <w:bookmarkStart w:id="282" w:name="_Ref476148105"/>
      <w:bookmarkStart w:id="283" w:name="_Toc375214565"/>
      <w:r>
        <w:t>Avifauna</w:t>
      </w:r>
      <w:bookmarkEnd w:id="282"/>
      <w:bookmarkEnd w:id="283"/>
    </w:p>
    <w:p w14:paraId="3A7A4F79" w14:textId="434EE809" w:rsidR="00885EE5" w:rsidRPr="00EB3AA9" w:rsidRDefault="0092441E" w:rsidP="00885EE5">
      <w:pPr>
        <w:pStyle w:val="bodycopy"/>
        <w:rPr>
          <w:rFonts w:ascii="Arial" w:hAnsi="Arial"/>
          <w:sz w:val="22"/>
          <w:szCs w:val="22"/>
        </w:rPr>
      </w:pPr>
      <w:r w:rsidRPr="00EB3AA9">
        <w:rPr>
          <w:rFonts w:ascii="Arial" w:hAnsi="Arial"/>
          <w:sz w:val="22"/>
          <w:szCs w:val="22"/>
        </w:rPr>
        <w:t>Seventy-one</w:t>
      </w:r>
      <w:r w:rsidR="00885EE5" w:rsidRPr="00EB3AA9">
        <w:rPr>
          <w:rFonts w:ascii="Arial" w:hAnsi="Arial"/>
          <w:sz w:val="22"/>
          <w:szCs w:val="22"/>
        </w:rPr>
        <w:t xml:space="preserve"> (</w:t>
      </w:r>
      <w:r w:rsidRPr="00EB3AA9">
        <w:rPr>
          <w:rFonts w:ascii="Arial" w:hAnsi="Arial"/>
          <w:sz w:val="22"/>
          <w:szCs w:val="22"/>
        </w:rPr>
        <w:t>71</w:t>
      </w:r>
      <w:r w:rsidR="00885EE5" w:rsidRPr="00EB3AA9">
        <w:rPr>
          <w:rFonts w:ascii="Arial" w:hAnsi="Arial"/>
          <w:sz w:val="22"/>
          <w:szCs w:val="22"/>
        </w:rPr>
        <w:t xml:space="preserve">) </w:t>
      </w:r>
      <w:r w:rsidR="0093320B" w:rsidRPr="00EB3AA9">
        <w:rPr>
          <w:rFonts w:ascii="Arial" w:hAnsi="Arial"/>
          <w:sz w:val="22"/>
          <w:szCs w:val="22"/>
        </w:rPr>
        <w:t>avifauna species (</w:t>
      </w:r>
      <w:r w:rsidRPr="00EB3AA9">
        <w:rPr>
          <w:rFonts w:ascii="Arial" w:hAnsi="Arial"/>
          <w:sz w:val="22"/>
          <w:szCs w:val="22"/>
        </w:rPr>
        <w:t>sea</w:t>
      </w:r>
      <w:r w:rsidR="00885EE5" w:rsidRPr="00EB3AA9">
        <w:rPr>
          <w:rFonts w:ascii="Arial" w:hAnsi="Arial"/>
          <w:sz w:val="22"/>
          <w:szCs w:val="22"/>
        </w:rPr>
        <w:t>bird</w:t>
      </w:r>
      <w:r w:rsidR="0093320B" w:rsidRPr="00EB3AA9">
        <w:rPr>
          <w:rFonts w:ascii="Arial" w:hAnsi="Arial"/>
          <w:sz w:val="22"/>
          <w:szCs w:val="22"/>
        </w:rPr>
        <w:t>s</w:t>
      </w:r>
      <w:r w:rsidR="00885EE5" w:rsidRPr="00EB3AA9">
        <w:rPr>
          <w:rFonts w:ascii="Arial" w:hAnsi="Arial"/>
          <w:sz w:val="22"/>
          <w:szCs w:val="22"/>
        </w:rPr>
        <w:t xml:space="preserve"> </w:t>
      </w:r>
      <w:r w:rsidRPr="00EB3AA9">
        <w:rPr>
          <w:rFonts w:ascii="Arial" w:hAnsi="Arial"/>
          <w:sz w:val="22"/>
          <w:szCs w:val="22"/>
        </w:rPr>
        <w:t>and shorebird</w:t>
      </w:r>
      <w:r w:rsidR="0093320B" w:rsidRPr="00EB3AA9">
        <w:rPr>
          <w:rFonts w:ascii="Arial" w:hAnsi="Arial"/>
          <w:sz w:val="22"/>
          <w:szCs w:val="22"/>
        </w:rPr>
        <w:t>s)</w:t>
      </w:r>
      <w:r w:rsidRPr="00EB3AA9">
        <w:rPr>
          <w:rFonts w:ascii="Arial" w:hAnsi="Arial"/>
          <w:sz w:val="22"/>
          <w:szCs w:val="22"/>
        </w:rPr>
        <w:t xml:space="preserve"> </w:t>
      </w:r>
      <w:r w:rsidR="00885EE5" w:rsidRPr="00EB3AA9">
        <w:rPr>
          <w:rFonts w:ascii="Arial" w:hAnsi="Arial"/>
          <w:sz w:val="22"/>
          <w:szCs w:val="22"/>
        </w:rPr>
        <w:t xml:space="preserve">are listed under the EPBC Act as potentially occurring in the </w:t>
      </w:r>
      <w:r w:rsidR="000478D7" w:rsidRPr="00EB3AA9">
        <w:rPr>
          <w:rFonts w:ascii="Arial" w:hAnsi="Arial"/>
          <w:sz w:val="22"/>
          <w:szCs w:val="22"/>
        </w:rPr>
        <w:t>E</w:t>
      </w:r>
      <w:r w:rsidR="00885EE5" w:rsidRPr="00EB3AA9">
        <w:rPr>
          <w:rFonts w:ascii="Arial" w:hAnsi="Arial"/>
          <w:sz w:val="22"/>
          <w:szCs w:val="22"/>
        </w:rPr>
        <w:t xml:space="preserve">MBA, as listed </w:t>
      </w:r>
      <w:r w:rsidR="00885EE5" w:rsidRPr="002949C0">
        <w:rPr>
          <w:rFonts w:ascii="Arial" w:hAnsi="Arial"/>
          <w:sz w:val="22"/>
          <w:szCs w:val="22"/>
        </w:rPr>
        <w:t xml:space="preserve">in </w:t>
      </w:r>
      <w:r w:rsidR="00885EE5" w:rsidRPr="002330FD">
        <w:rPr>
          <w:rFonts w:ascii="Arial" w:hAnsi="Arial"/>
          <w:sz w:val="22"/>
          <w:szCs w:val="22"/>
        </w:rPr>
        <w:t xml:space="preserve">Table </w:t>
      </w:r>
      <w:r w:rsidR="000478D7" w:rsidRPr="002330FD">
        <w:rPr>
          <w:rFonts w:ascii="Arial" w:hAnsi="Arial"/>
          <w:sz w:val="22"/>
          <w:szCs w:val="22"/>
        </w:rPr>
        <w:t>5.1</w:t>
      </w:r>
      <w:r w:rsidR="00E63459" w:rsidRPr="002330FD">
        <w:rPr>
          <w:rFonts w:ascii="Arial" w:hAnsi="Arial"/>
          <w:sz w:val="22"/>
          <w:szCs w:val="22"/>
        </w:rPr>
        <w:t>1</w:t>
      </w:r>
      <w:r w:rsidR="00885EE5" w:rsidRPr="002330FD">
        <w:rPr>
          <w:rFonts w:ascii="Arial" w:hAnsi="Arial"/>
          <w:sz w:val="22"/>
          <w:szCs w:val="22"/>
        </w:rPr>
        <w:t>. The</w:t>
      </w:r>
      <w:r w:rsidR="00885EE5" w:rsidRPr="002949C0">
        <w:rPr>
          <w:rFonts w:ascii="Arial" w:hAnsi="Arial"/>
          <w:sz w:val="22"/>
          <w:szCs w:val="22"/>
        </w:rPr>
        <w:t xml:space="preserve"> majority</w:t>
      </w:r>
      <w:r w:rsidR="00885EE5" w:rsidRPr="00EB3AA9">
        <w:rPr>
          <w:rFonts w:ascii="Arial" w:hAnsi="Arial"/>
          <w:sz w:val="22"/>
          <w:szCs w:val="22"/>
        </w:rPr>
        <w:t xml:space="preserve"> of these are listed as migratory and marine species, with 37 being threatened species. </w:t>
      </w:r>
    </w:p>
    <w:p w14:paraId="0147AE5A" w14:textId="3E638332" w:rsidR="007C3C65" w:rsidRPr="00EB3AA9" w:rsidRDefault="007C3C65" w:rsidP="00885EE5">
      <w:pPr>
        <w:pStyle w:val="bodycopy"/>
        <w:rPr>
          <w:rFonts w:ascii="Arial" w:hAnsi="Arial"/>
          <w:sz w:val="22"/>
          <w:szCs w:val="22"/>
        </w:rPr>
      </w:pPr>
      <w:r w:rsidRPr="00EB3AA9">
        <w:rPr>
          <w:rFonts w:ascii="Arial" w:hAnsi="Arial"/>
          <w:sz w:val="22"/>
          <w:szCs w:val="22"/>
        </w:rPr>
        <w:t xml:space="preserve">A search of the VBA database indicates </w:t>
      </w:r>
      <w:r w:rsidR="009E78F2">
        <w:rPr>
          <w:rFonts w:ascii="Arial" w:hAnsi="Arial"/>
          <w:sz w:val="22"/>
          <w:szCs w:val="22"/>
        </w:rPr>
        <w:t xml:space="preserve">that 31 </w:t>
      </w:r>
      <w:r w:rsidRPr="00EB3AA9">
        <w:rPr>
          <w:rFonts w:ascii="Arial" w:hAnsi="Arial"/>
          <w:sz w:val="22"/>
          <w:szCs w:val="22"/>
        </w:rPr>
        <w:t xml:space="preserve"> </w:t>
      </w:r>
      <w:r w:rsidR="009E78F2">
        <w:rPr>
          <w:rFonts w:ascii="Arial" w:hAnsi="Arial"/>
          <w:sz w:val="22"/>
          <w:szCs w:val="22"/>
        </w:rPr>
        <w:t>sea</w:t>
      </w:r>
      <w:r w:rsidRPr="00EB3AA9">
        <w:rPr>
          <w:rFonts w:ascii="Arial" w:hAnsi="Arial"/>
          <w:sz w:val="22"/>
          <w:szCs w:val="22"/>
        </w:rPr>
        <w:t xml:space="preserve">bird species </w:t>
      </w:r>
      <w:r w:rsidR="009E78F2">
        <w:rPr>
          <w:rFonts w:ascii="Arial" w:hAnsi="Arial"/>
          <w:sz w:val="22"/>
          <w:szCs w:val="22"/>
        </w:rPr>
        <w:t>have</w:t>
      </w:r>
      <w:r w:rsidR="009E78F2" w:rsidRPr="00EB3AA9">
        <w:rPr>
          <w:rFonts w:ascii="Arial" w:hAnsi="Arial"/>
          <w:sz w:val="22"/>
          <w:szCs w:val="22"/>
        </w:rPr>
        <w:t xml:space="preserve"> </w:t>
      </w:r>
      <w:r w:rsidRPr="00EB3AA9">
        <w:rPr>
          <w:rFonts w:ascii="Arial" w:hAnsi="Arial"/>
          <w:sz w:val="22"/>
          <w:szCs w:val="22"/>
        </w:rPr>
        <w:t>been recorded in the EMBA</w:t>
      </w:r>
      <w:r w:rsidR="00643C87">
        <w:rPr>
          <w:rFonts w:ascii="Arial" w:hAnsi="Arial"/>
          <w:sz w:val="22"/>
          <w:szCs w:val="22"/>
        </w:rPr>
        <w:t xml:space="preserve"> (mostly albatross, petrels, prions, shearwaters and jaegers)</w:t>
      </w:r>
      <w:r w:rsidRPr="00EB3AA9">
        <w:rPr>
          <w:rFonts w:ascii="Arial" w:hAnsi="Arial"/>
          <w:sz w:val="22"/>
          <w:szCs w:val="22"/>
        </w:rPr>
        <w:t xml:space="preserve">. </w:t>
      </w:r>
    </w:p>
    <w:p w14:paraId="35F85A8F" w14:textId="77777777" w:rsidR="00426646" w:rsidRPr="00EB3AA9" w:rsidRDefault="00426646" w:rsidP="00885EE5">
      <w:pPr>
        <w:pStyle w:val="bodycopy"/>
        <w:rPr>
          <w:rFonts w:ascii="Arial" w:hAnsi="Arial"/>
          <w:sz w:val="22"/>
          <w:szCs w:val="22"/>
        </w:rPr>
      </w:pPr>
      <w:r w:rsidRPr="00EB3AA9">
        <w:rPr>
          <w:rFonts w:ascii="Arial" w:hAnsi="Arial"/>
          <w:sz w:val="22"/>
          <w:szCs w:val="22"/>
        </w:rPr>
        <w:t xml:space="preserve">The focus of this section is true seabirds (i.e., birds of the order </w:t>
      </w:r>
      <w:r w:rsidRPr="00EB3AA9">
        <w:rPr>
          <w:rFonts w:ascii="Arial" w:hAnsi="Arial"/>
          <w:i/>
          <w:sz w:val="22"/>
          <w:szCs w:val="22"/>
        </w:rPr>
        <w:t>Procellariiformes</w:t>
      </w:r>
      <w:r w:rsidRPr="00EB3AA9">
        <w:rPr>
          <w:rFonts w:ascii="Arial" w:hAnsi="Arial"/>
          <w:sz w:val="22"/>
          <w:szCs w:val="22"/>
        </w:rPr>
        <w:t xml:space="preserve">) and true shorebirds (i.e., birds of the order </w:t>
      </w:r>
      <w:r w:rsidRPr="00EB3AA9">
        <w:rPr>
          <w:rFonts w:ascii="Arial" w:hAnsi="Arial"/>
          <w:i/>
          <w:sz w:val="22"/>
          <w:szCs w:val="22"/>
        </w:rPr>
        <w:t>Charadriiformes</w:t>
      </w:r>
      <w:r w:rsidRPr="00EB3AA9">
        <w:rPr>
          <w:rFonts w:ascii="Arial" w:hAnsi="Arial"/>
          <w:sz w:val="22"/>
          <w:szCs w:val="22"/>
        </w:rPr>
        <w:t xml:space="preserve">). </w:t>
      </w:r>
      <w:r w:rsidR="00885EE5" w:rsidRPr="00EB3AA9">
        <w:rPr>
          <w:rFonts w:ascii="Arial" w:hAnsi="Arial"/>
          <w:sz w:val="22"/>
          <w:szCs w:val="22"/>
        </w:rPr>
        <w:t>Seabirds are those species of bird whose normal habitat and food source is derived from the sea, whether that be coastal</w:t>
      </w:r>
      <w:r w:rsidRPr="00EB3AA9">
        <w:rPr>
          <w:rFonts w:ascii="Arial" w:hAnsi="Arial"/>
          <w:sz w:val="22"/>
          <w:szCs w:val="22"/>
        </w:rPr>
        <w:t xml:space="preserve"> or</w:t>
      </w:r>
      <w:r w:rsidR="00885EE5" w:rsidRPr="00EB3AA9">
        <w:rPr>
          <w:rFonts w:ascii="Arial" w:hAnsi="Arial"/>
          <w:sz w:val="22"/>
          <w:szCs w:val="22"/>
        </w:rPr>
        <w:t xml:space="preserve"> offshore (DEWR, 2006)</w:t>
      </w:r>
      <w:r w:rsidRPr="00EB3AA9">
        <w:rPr>
          <w:rFonts w:ascii="Arial" w:hAnsi="Arial"/>
          <w:sz w:val="22"/>
          <w:szCs w:val="22"/>
        </w:rPr>
        <w:t>, while shorebirds spend most of their time (nesting, feeding and breeding) on the shoreline.</w:t>
      </w:r>
      <w:r w:rsidR="00885EE5" w:rsidRPr="00EB3AA9">
        <w:rPr>
          <w:rFonts w:ascii="Arial" w:hAnsi="Arial"/>
          <w:sz w:val="22"/>
          <w:szCs w:val="22"/>
        </w:rPr>
        <w:t xml:space="preserve"> </w:t>
      </w:r>
    </w:p>
    <w:p w14:paraId="4D02110D" w14:textId="35DFD63C" w:rsidR="00EB3AA9" w:rsidRDefault="00885EE5" w:rsidP="002A7C9C">
      <w:pPr>
        <w:pStyle w:val="bodycopy"/>
        <w:spacing w:after="240"/>
        <w:rPr>
          <w:rFonts w:ascii="Arial" w:hAnsi="Arial"/>
          <w:sz w:val="22"/>
          <w:szCs w:val="22"/>
        </w:rPr>
      </w:pPr>
      <w:r w:rsidRPr="00EB3AA9">
        <w:rPr>
          <w:rFonts w:ascii="Arial" w:hAnsi="Arial"/>
          <w:sz w:val="22"/>
          <w:szCs w:val="22"/>
        </w:rPr>
        <w:t xml:space="preserve">Terrestrial, wetland and coastal species </w:t>
      </w:r>
      <w:r w:rsidR="0092441E" w:rsidRPr="00EB3AA9">
        <w:rPr>
          <w:rFonts w:ascii="Arial" w:hAnsi="Arial"/>
          <w:sz w:val="22"/>
          <w:szCs w:val="22"/>
        </w:rPr>
        <w:t xml:space="preserve">listed in the PMST </w:t>
      </w:r>
      <w:r w:rsidRPr="00EB3AA9">
        <w:rPr>
          <w:rFonts w:ascii="Arial" w:hAnsi="Arial"/>
          <w:sz w:val="22"/>
          <w:szCs w:val="22"/>
        </w:rPr>
        <w:t xml:space="preserve">that do not use marine resources within the </w:t>
      </w:r>
      <w:r w:rsidR="00426646" w:rsidRPr="00EB3AA9">
        <w:rPr>
          <w:rFonts w:ascii="Arial" w:hAnsi="Arial"/>
          <w:sz w:val="22"/>
          <w:szCs w:val="22"/>
        </w:rPr>
        <w:t>E</w:t>
      </w:r>
      <w:r w:rsidRPr="00EB3AA9">
        <w:rPr>
          <w:rFonts w:ascii="Arial" w:hAnsi="Arial"/>
          <w:sz w:val="22"/>
          <w:szCs w:val="22"/>
        </w:rPr>
        <w:t xml:space="preserve">MBA are described only where part of their habitat may overlap the </w:t>
      </w:r>
      <w:r w:rsidR="00426646" w:rsidRPr="00EB3AA9">
        <w:rPr>
          <w:rFonts w:ascii="Arial" w:hAnsi="Arial"/>
          <w:sz w:val="22"/>
          <w:szCs w:val="22"/>
        </w:rPr>
        <w:t>E</w:t>
      </w:r>
      <w:r w:rsidRPr="00EB3AA9">
        <w:rPr>
          <w:rFonts w:ascii="Arial" w:hAnsi="Arial"/>
          <w:sz w:val="22"/>
          <w:szCs w:val="22"/>
        </w:rPr>
        <w:t xml:space="preserve">MBA (i.e., resources within tidal areas). </w:t>
      </w:r>
    </w:p>
    <w:p w14:paraId="2BF5F072" w14:textId="77777777" w:rsidR="001227B9" w:rsidRDefault="001227B9" w:rsidP="002A7C9C">
      <w:pPr>
        <w:pStyle w:val="bodycopy"/>
        <w:spacing w:after="240"/>
        <w:rPr>
          <w:rFonts w:ascii="Arial" w:hAnsi="Arial"/>
          <w:sz w:val="22"/>
          <w:szCs w:val="22"/>
        </w:rPr>
      </w:pPr>
    </w:p>
    <w:p w14:paraId="016E4FDA" w14:textId="0AACEEA2" w:rsidR="00885EE5" w:rsidRPr="00EB3AA9" w:rsidRDefault="00885EE5" w:rsidP="00885EE5">
      <w:pPr>
        <w:spacing w:after="120"/>
        <w:ind w:left="0"/>
        <w:jc w:val="center"/>
        <w:rPr>
          <w:rFonts w:cs="Arial"/>
          <w:b/>
          <w:sz w:val="20"/>
          <w:szCs w:val="20"/>
        </w:rPr>
      </w:pPr>
      <w:bookmarkStart w:id="284" w:name="_Ref215737658"/>
      <w:bookmarkStart w:id="285" w:name="_Toc215811061"/>
      <w:bookmarkStart w:id="286" w:name="_Toc217453221"/>
      <w:bookmarkStart w:id="287" w:name="_Toc217718227"/>
      <w:bookmarkStart w:id="288" w:name="_Toc346284946"/>
      <w:r w:rsidRPr="00EB3AA9">
        <w:rPr>
          <w:rFonts w:cs="Arial"/>
          <w:b/>
          <w:sz w:val="20"/>
          <w:szCs w:val="20"/>
        </w:rPr>
        <w:lastRenderedPageBreak/>
        <w:t xml:space="preserve">Table </w:t>
      </w:r>
      <w:r w:rsidR="00426646" w:rsidRPr="00EB3AA9">
        <w:rPr>
          <w:rFonts w:cs="Arial"/>
          <w:b/>
          <w:sz w:val="20"/>
          <w:szCs w:val="20"/>
        </w:rPr>
        <w:t>5.1</w:t>
      </w:r>
      <w:r w:rsidR="00FD1E32">
        <w:rPr>
          <w:rFonts w:cs="Arial"/>
          <w:b/>
          <w:sz w:val="20"/>
          <w:szCs w:val="20"/>
        </w:rPr>
        <w:t>1</w:t>
      </w:r>
      <w:bookmarkEnd w:id="284"/>
      <w:r w:rsidR="00426646" w:rsidRPr="00EB3AA9">
        <w:rPr>
          <w:rFonts w:cs="Arial"/>
          <w:b/>
          <w:sz w:val="20"/>
          <w:szCs w:val="20"/>
        </w:rPr>
        <w:t>.</w:t>
      </w:r>
      <w:r w:rsidRPr="00EB3AA9">
        <w:rPr>
          <w:rFonts w:cs="Arial"/>
          <w:b/>
          <w:sz w:val="20"/>
          <w:szCs w:val="20"/>
        </w:rPr>
        <w:tab/>
        <w:t xml:space="preserve">EPBC Act-listed bird species that may occur in the </w:t>
      </w:r>
      <w:bookmarkEnd w:id="285"/>
      <w:bookmarkEnd w:id="286"/>
      <w:bookmarkEnd w:id="287"/>
      <w:bookmarkEnd w:id="288"/>
      <w:r w:rsidR="00426646" w:rsidRPr="00EB3AA9">
        <w:rPr>
          <w:rFonts w:cs="Arial"/>
          <w:b/>
          <w:sz w:val="20"/>
          <w:szCs w:val="20"/>
        </w:rPr>
        <w:t>E</w:t>
      </w:r>
      <w:r w:rsidRPr="00EB3AA9">
        <w:rPr>
          <w:rFonts w:cs="Arial"/>
          <w:b/>
          <w:sz w:val="20"/>
          <w:szCs w:val="20"/>
        </w:rPr>
        <w:t>MBA</w:t>
      </w:r>
    </w:p>
    <w:tbl>
      <w:tblPr>
        <w:tblW w:w="57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05"/>
        <w:gridCol w:w="1415"/>
        <w:gridCol w:w="1131"/>
        <w:gridCol w:w="1134"/>
        <w:gridCol w:w="993"/>
        <w:gridCol w:w="848"/>
        <w:gridCol w:w="993"/>
        <w:gridCol w:w="1178"/>
      </w:tblGrid>
      <w:tr w:rsidR="00D605FA" w:rsidRPr="00EB3AA9" w14:paraId="69EC13EE" w14:textId="77777777" w:rsidTr="00891DE1">
        <w:trPr>
          <w:trHeight w:val="416"/>
          <w:tblHeader/>
          <w:jc w:val="center"/>
        </w:trPr>
        <w:tc>
          <w:tcPr>
            <w:tcW w:w="1074" w:type="pct"/>
            <w:vMerge w:val="restart"/>
            <w:tcBorders>
              <w:top w:val="single" w:sz="4" w:space="0" w:color="auto"/>
              <w:left w:val="single" w:sz="4" w:space="0" w:color="auto"/>
              <w:right w:val="single" w:sz="4" w:space="0" w:color="auto"/>
            </w:tcBorders>
            <w:shd w:val="clear" w:color="auto" w:fill="064EA8"/>
            <w:vAlign w:val="center"/>
          </w:tcPr>
          <w:p w14:paraId="7FFA0800" w14:textId="77777777" w:rsidR="00D605FA" w:rsidRPr="00EB3AA9" w:rsidRDefault="00D605FA" w:rsidP="00891DE1">
            <w:pPr>
              <w:spacing w:before="60" w:after="60"/>
              <w:ind w:hanging="627"/>
              <w:rPr>
                <w:rFonts w:cs="Arial"/>
                <w:color w:val="FFFFFF" w:themeColor="background1"/>
                <w:sz w:val="18"/>
                <w:szCs w:val="18"/>
              </w:rPr>
            </w:pPr>
            <w:r w:rsidRPr="00EB3AA9">
              <w:rPr>
                <w:rFonts w:cs="Arial"/>
                <w:color w:val="FFFFFF" w:themeColor="background1"/>
                <w:sz w:val="18"/>
                <w:szCs w:val="18"/>
              </w:rPr>
              <w:t>Scientific Name</w:t>
            </w:r>
          </w:p>
        </w:tc>
        <w:tc>
          <w:tcPr>
            <w:tcW w:w="722" w:type="pct"/>
            <w:vMerge w:val="restart"/>
            <w:tcBorders>
              <w:top w:val="single" w:sz="4" w:space="0" w:color="auto"/>
              <w:left w:val="single" w:sz="4" w:space="0" w:color="auto"/>
              <w:right w:val="single" w:sz="4" w:space="0" w:color="auto"/>
            </w:tcBorders>
            <w:shd w:val="clear" w:color="auto" w:fill="064EA8"/>
            <w:vAlign w:val="center"/>
          </w:tcPr>
          <w:p w14:paraId="3611F5D7" w14:textId="77777777" w:rsidR="00D605FA" w:rsidRPr="00EB3AA9" w:rsidRDefault="00D605FA" w:rsidP="00885EE5">
            <w:pPr>
              <w:spacing w:before="60" w:after="60"/>
              <w:ind w:hanging="627"/>
              <w:jc w:val="center"/>
              <w:rPr>
                <w:rFonts w:cs="Arial"/>
                <w:color w:val="FFFFFF" w:themeColor="background1"/>
                <w:sz w:val="18"/>
                <w:szCs w:val="18"/>
              </w:rPr>
            </w:pPr>
          </w:p>
          <w:p w14:paraId="6A1118A3" w14:textId="77777777" w:rsidR="00D605FA" w:rsidRPr="00EB3AA9" w:rsidRDefault="00D605FA" w:rsidP="00885EE5">
            <w:pPr>
              <w:spacing w:before="60" w:after="60"/>
              <w:ind w:left="34" w:hanging="34"/>
              <w:jc w:val="center"/>
              <w:rPr>
                <w:rFonts w:cs="Arial"/>
                <w:color w:val="FFFFFF" w:themeColor="background1"/>
                <w:sz w:val="18"/>
                <w:szCs w:val="18"/>
              </w:rPr>
            </w:pPr>
            <w:r w:rsidRPr="00EB3AA9">
              <w:rPr>
                <w:rFonts w:cs="Arial"/>
                <w:color w:val="FFFFFF" w:themeColor="background1"/>
                <w:sz w:val="18"/>
                <w:szCs w:val="18"/>
              </w:rPr>
              <w:t>Common Name</w:t>
            </w:r>
          </w:p>
          <w:p w14:paraId="2CEB15C2" w14:textId="77777777" w:rsidR="00D605FA" w:rsidRPr="00EB3AA9" w:rsidRDefault="00D605FA" w:rsidP="00885EE5">
            <w:pPr>
              <w:ind w:hanging="627"/>
              <w:jc w:val="center"/>
              <w:rPr>
                <w:rFonts w:cs="Arial"/>
                <w:color w:val="FFFFFF" w:themeColor="background1"/>
                <w:sz w:val="18"/>
                <w:szCs w:val="18"/>
              </w:rPr>
            </w:pPr>
          </w:p>
        </w:tc>
        <w:tc>
          <w:tcPr>
            <w:tcW w:w="1663" w:type="pct"/>
            <w:gridSpan w:val="3"/>
            <w:tcBorders>
              <w:top w:val="single" w:sz="4" w:space="0" w:color="auto"/>
              <w:left w:val="single" w:sz="4" w:space="0" w:color="auto"/>
              <w:bottom w:val="single" w:sz="4" w:space="0" w:color="auto"/>
              <w:right w:val="single" w:sz="4" w:space="0" w:color="auto"/>
            </w:tcBorders>
            <w:shd w:val="clear" w:color="auto" w:fill="064EA8"/>
          </w:tcPr>
          <w:p w14:paraId="51AE8692" w14:textId="77777777" w:rsidR="00D605FA" w:rsidRPr="00EB3AA9" w:rsidRDefault="00D605FA" w:rsidP="00885EE5">
            <w:pPr>
              <w:pStyle w:val="TableText"/>
              <w:ind w:left="720" w:hanging="627"/>
              <w:jc w:val="center"/>
              <w:rPr>
                <w:rFonts w:cs="Arial"/>
                <w:color w:val="FFFFFF" w:themeColor="background1"/>
                <w:sz w:val="18"/>
                <w:szCs w:val="18"/>
              </w:rPr>
            </w:pPr>
            <w:r w:rsidRPr="00EB3AA9">
              <w:rPr>
                <w:rFonts w:cs="Arial"/>
                <w:color w:val="FFFFFF" w:themeColor="background1"/>
                <w:sz w:val="18"/>
                <w:szCs w:val="18"/>
              </w:rPr>
              <w:t>EPBC Act status</w:t>
            </w:r>
          </w:p>
        </w:tc>
        <w:tc>
          <w:tcPr>
            <w:tcW w:w="433" w:type="pct"/>
            <w:vMerge w:val="restart"/>
            <w:tcBorders>
              <w:top w:val="single" w:sz="4" w:space="0" w:color="auto"/>
              <w:left w:val="single" w:sz="4" w:space="0" w:color="auto"/>
              <w:right w:val="single" w:sz="4" w:space="0" w:color="auto"/>
            </w:tcBorders>
            <w:shd w:val="clear" w:color="auto" w:fill="064EA8"/>
            <w:vAlign w:val="center"/>
          </w:tcPr>
          <w:p w14:paraId="68DD16F7" w14:textId="75ADDACA" w:rsidR="00D605FA" w:rsidRPr="00EB3AA9" w:rsidRDefault="00D605FA" w:rsidP="00215B4E">
            <w:pPr>
              <w:pStyle w:val="TableText"/>
              <w:ind w:firstLine="52"/>
              <w:jc w:val="center"/>
              <w:rPr>
                <w:rFonts w:cs="Arial"/>
                <w:color w:val="FFFFFF" w:themeColor="background1"/>
                <w:sz w:val="18"/>
                <w:szCs w:val="18"/>
              </w:rPr>
            </w:pPr>
            <w:r>
              <w:rPr>
                <w:rFonts w:cs="Arial"/>
                <w:color w:val="FFFFFF"/>
                <w:sz w:val="18"/>
                <w:szCs w:val="18"/>
              </w:rPr>
              <w:t>FFG Act status</w:t>
            </w:r>
          </w:p>
        </w:tc>
        <w:tc>
          <w:tcPr>
            <w:tcW w:w="507" w:type="pct"/>
            <w:vMerge w:val="restart"/>
            <w:tcBorders>
              <w:top w:val="single" w:sz="4" w:space="0" w:color="auto"/>
              <w:left w:val="single" w:sz="4" w:space="0" w:color="auto"/>
              <w:right w:val="single" w:sz="4" w:space="0" w:color="auto"/>
            </w:tcBorders>
            <w:shd w:val="clear" w:color="auto" w:fill="064EA8"/>
            <w:vAlign w:val="center"/>
          </w:tcPr>
          <w:p w14:paraId="2F6D79BD" w14:textId="75FF93FC" w:rsidR="00D605FA" w:rsidRPr="00EB3AA9" w:rsidRDefault="00D605FA" w:rsidP="00426646">
            <w:pPr>
              <w:pStyle w:val="TableText"/>
              <w:ind w:firstLine="9"/>
              <w:jc w:val="center"/>
              <w:rPr>
                <w:rFonts w:cs="Arial"/>
                <w:color w:val="FFFFFF" w:themeColor="background1"/>
                <w:sz w:val="18"/>
                <w:szCs w:val="18"/>
              </w:rPr>
            </w:pPr>
            <w:r w:rsidRPr="00EB3AA9">
              <w:rPr>
                <w:rFonts w:cs="Arial"/>
                <w:color w:val="FFFFFF" w:themeColor="background1"/>
                <w:sz w:val="18"/>
                <w:szCs w:val="18"/>
              </w:rPr>
              <w:t>BIA within the EMBA?</w:t>
            </w:r>
          </w:p>
        </w:tc>
        <w:tc>
          <w:tcPr>
            <w:tcW w:w="601" w:type="pct"/>
            <w:vMerge w:val="restart"/>
            <w:tcBorders>
              <w:top w:val="single" w:sz="4" w:space="0" w:color="auto"/>
              <w:left w:val="single" w:sz="4" w:space="0" w:color="auto"/>
              <w:right w:val="single" w:sz="4" w:space="0" w:color="auto"/>
            </w:tcBorders>
            <w:shd w:val="clear" w:color="auto" w:fill="064EA8"/>
            <w:vAlign w:val="center"/>
          </w:tcPr>
          <w:p w14:paraId="15E41451" w14:textId="77777777" w:rsidR="00D605FA" w:rsidRPr="00EB3AA9" w:rsidRDefault="00D605FA">
            <w:pPr>
              <w:pStyle w:val="TableText"/>
              <w:ind w:firstLine="9"/>
              <w:jc w:val="center"/>
              <w:rPr>
                <w:rFonts w:cs="Arial"/>
                <w:color w:val="FFFFFF" w:themeColor="background1"/>
                <w:sz w:val="18"/>
                <w:szCs w:val="18"/>
              </w:rPr>
            </w:pPr>
            <w:r w:rsidRPr="00EB3AA9">
              <w:rPr>
                <w:rFonts w:cs="Arial"/>
                <w:color w:val="FFFFFF" w:themeColor="background1"/>
                <w:sz w:val="18"/>
                <w:szCs w:val="18"/>
              </w:rPr>
              <w:t>Recovery Plan in place?</w:t>
            </w:r>
          </w:p>
        </w:tc>
      </w:tr>
      <w:tr w:rsidR="00D605FA" w:rsidRPr="00EB3AA9" w14:paraId="3BCA1C81" w14:textId="77777777" w:rsidTr="00D605FA">
        <w:trPr>
          <w:trHeight w:val="345"/>
          <w:tblHeader/>
          <w:jc w:val="center"/>
        </w:trPr>
        <w:tc>
          <w:tcPr>
            <w:tcW w:w="1074" w:type="pct"/>
            <w:vMerge/>
            <w:tcBorders>
              <w:left w:val="single" w:sz="4" w:space="0" w:color="auto"/>
              <w:bottom w:val="single" w:sz="4" w:space="0" w:color="auto"/>
              <w:right w:val="single" w:sz="4" w:space="0" w:color="auto"/>
            </w:tcBorders>
            <w:shd w:val="clear" w:color="auto" w:fill="8064A2"/>
          </w:tcPr>
          <w:p w14:paraId="20C58D9F" w14:textId="77777777" w:rsidR="00D605FA" w:rsidRPr="00EB3AA9" w:rsidRDefault="00D605FA" w:rsidP="00885EE5">
            <w:pPr>
              <w:spacing w:before="60" w:after="60"/>
              <w:ind w:hanging="627"/>
              <w:rPr>
                <w:rFonts w:cs="Arial"/>
                <w:color w:val="FFFFFF"/>
                <w:sz w:val="18"/>
                <w:szCs w:val="18"/>
              </w:rPr>
            </w:pPr>
          </w:p>
        </w:tc>
        <w:tc>
          <w:tcPr>
            <w:tcW w:w="722" w:type="pct"/>
            <w:vMerge/>
            <w:tcBorders>
              <w:left w:val="single" w:sz="4" w:space="0" w:color="auto"/>
              <w:bottom w:val="single" w:sz="4" w:space="0" w:color="auto"/>
              <w:right w:val="single" w:sz="4" w:space="0" w:color="auto"/>
            </w:tcBorders>
            <w:shd w:val="clear" w:color="auto" w:fill="8064A2"/>
          </w:tcPr>
          <w:p w14:paraId="55D6BF6A" w14:textId="77777777" w:rsidR="00D605FA" w:rsidRPr="00EB3AA9" w:rsidRDefault="00D605FA" w:rsidP="00885EE5">
            <w:pPr>
              <w:spacing w:before="60" w:after="60"/>
              <w:ind w:hanging="627"/>
              <w:rPr>
                <w:rFonts w:cs="Arial"/>
                <w:color w:val="FFFFFF"/>
                <w:sz w:val="18"/>
                <w:szCs w:val="18"/>
              </w:rPr>
            </w:pPr>
          </w:p>
        </w:tc>
        <w:tc>
          <w:tcPr>
            <w:tcW w:w="577" w:type="pct"/>
            <w:tcBorders>
              <w:top w:val="single" w:sz="4" w:space="0" w:color="auto"/>
              <w:left w:val="single" w:sz="4" w:space="0" w:color="auto"/>
              <w:bottom w:val="single" w:sz="4" w:space="0" w:color="auto"/>
              <w:right w:val="single" w:sz="4" w:space="0" w:color="auto"/>
            </w:tcBorders>
            <w:shd w:val="clear" w:color="auto" w:fill="064EA8"/>
          </w:tcPr>
          <w:p w14:paraId="2A7A1742" w14:textId="77777777" w:rsidR="00D605FA" w:rsidRPr="00EB3AA9" w:rsidRDefault="00D605FA" w:rsidP="00885EE5">
            <w:pPr>
              <w:spacing w:before="60" w:after="60"/>
              <w:ind w:left="0" w:hanging="108"/>
              <w:jc w:val="center"/>
              <w:rPr>
                <w:rFonts w:cs="Arial"/>
                <w:color w:val="FFFFFF" w:themeColor="background1"/>
                <w:sz w:val="18"/>
                <w:szCs w:val="18"/>
              </w:rPr>
            </w:pPr>
            <w:r w:rsidRPr="00EB3AA9">
              <w:rPr>
                <w:rFonts w:cs="Arial"/>
                <w:color w:val="FFFFFF" w:themeColor="background1"/>
                <w:sz w:val="18"/>
                <w:szCs w:val="18"/>
              </w:rPr>
              <w:t>Listed threatened species</w:t>
            </w:r>
          </w:p>
        </w:tc>
        <w:tc>
          <w:tcPr>
            <w:tcW w:w="579" w:type="pct"/>
            <w:tcBorders>
              <w:top w:val="single" w:sz="4" w:space="0" w:color="auto"/>
              <w:left w:val="single" w:sz="4" w:space="0" w:color="auto"/>
              <w:bottom w:val="single" w:sz="4" w:space="0" w:color="auto"/>
              <w:right w:val="single" w:sz="4" w:space="0" w:color="auto"/>
            </w:tcBorders>
            <w:shd w:val="clear" w:color="auto" w:fill="064EA8"/>
          </w:tcPr>
          <w:p w14:paraId="28DAF8F9" w14:textId="77777777" w:rsidR="00D605FA" w:rsidRPr="00EB3AA9" w:rsidRDefault="00D605FA" w:rsidP="00885EE5">
            <w:pPr>
              <w:pStyle w:val="TableText"/>
              <w:jc w:val="center"/>
              <w:rPr>
                <w:rFonts w:cs="Arial"/>
                <w:color w:val="FFFFFF" w:themeColor="background1"/>
                <w:sz w:val="18"/>
                <w:szCs w:val="18"/>
              </w:rPr>
            </w:pPr>
            <w:r w:rsidRPr="00EB3AA9">
              <w:rPr>
                <w:rFonts w:cs="Arial"/>
                <w:color w:val="FFFFFF" w:themeColor="background1"/>
                <w:sz w:val="18"/>
                <w:szCs w:val="18"/>
              </w:rPr>
              <w:t>Listed migratory species</w:t>
            </w:r>
          </w:p>
        </w:tc>
        <w:tc>
          <w:tcPr>
            <w:tcW w:w="507" w:type="pct"/>
            <w:tcBorders>
              <w:top w:val="single" w:sz="4" w:space="0" w:color="auto"/>
              <w:left w:val="single" w:sz="4" w:space="0" w:color="auto"/>
              <w:bottom w:val="single" w:sz="4" w:space="0" w:color="auto"/>
              <w:right w:val="single" w:sz="4" w:space="0" w:color="auto"/>
            </w:tcBorders>
            <w:shd w:val="clear" w:color="auto" w:fill="064EA8"/>
          </w:tcPr>
          <w:p w14:paraId="738E328F" w14:textId="77777777" w:rsidR="00D605FA" w:rsidRPr="00EB3AA9" w:rsidRDefault="00D605FA" w:rsidP="00885EE5">
            <w:pPr>
              <w:pStyle w:val="TableText"/>
              <w:ind w:firstLine="52"/>
              <w:jc w:val="center"/>
              <w:rPr>
                <w:rFonts w:cs="Arial"/>
                <w:color w:val="FFFFFF" w:themeColor="background1"/>
                <w:sz w:val="18"/>
                <w:szCs w:val="18"/>
              </w:rPr>
            </w:pPr>
            <w:r w:rsidRPr="00EB3AA9">
              <w:rPr>
                <w:rFonts w:cs="Arial"/>
                <w:color w:val="FFFFFF" w:themeColor="background1"/>
                <w:sz w:val="18"/>
                <w:szCs w:val="18"/>
              </w:rPr>
              <w:t>Listed marine species</w:t>
            </w:r>
          </w:p>
        </w:tc>
        <w:tc>
          <w:tcPr>
            <w:tcW w:w="433" w:type="pct"/>
            <w:vMerge/>
            <w:tcBorders>
              <w:left w:val="single" w:sz="4" w:space="0" w:color="auto"/>
              <w:bottom w:val="single" w:sz="4" w:space="0" w:color="auto"/>
              <w:right w:val="single" w:sz="4" w:space="0" w:color="auto"/>
            </w:tcBorders>
            <w:shd w:val="clear" w:color="auto" w:fill="8064A2"/>
          </w:tcPr>
          <w:p w14:paraId="60B08A5C" w14:textId="4468706D" w:rsidR="00D605FA" w:rsidRPr="00EB3AA9" w:rsidRDefault="00D605FA" w:rsidP="00885EE5">
            <w:pPr>
              <w:pStyle w:val="TableText"/>
              <w:ind w:firstLine="52"/>
              <w:jc w:val="center"/>
              <w:rPr>
                <w:rFonts w:cs="Arial"/>
                <w:color w:val="FFFFFF"/>
                <w:sz w:val="18"/>
                <w:szCs w:val="18"/>
              </w:rPr>
            </w:pPr>
          </w:p>
        </w:tc>
        <w:tc>
          <w:tcPr>
            <w:tcW w:w="507" w:type="pct"/>
            <w:vMerge/>
            <w:tcBorders>
              <w:left w:val="single" w:sz="4" w:space="0" w:color="auto"/>
              <w:bottom w:val="single" w:sz="4" w:space="0" w:color="auto"/>
              <w:right w:val="single" w:sz="4" w:space="0" w:color="auto"/>
            </w:tcBorders>
            <w:shd w:val="clear" w:color="auto" w:fill="8064A2"/>
          </w:tcPr>
          <w:p w14:paraId="31368A71" w14:textId="04C6FBA5" w:rsidR="00D605FA" w:rsidRPr="00EB3AA9" w:rsidRDefault="00D605FA" w:rsidP="00885EE5">
            <w:pPr>
              <w:pStyle w:val="TableText"/>
              <w:ind w:firstLine="52"/>
              <w:jc w:val="center"/>
              <w:rPr>
                <w:rFonts w:cs="Arial"/>
                <w:color w:val="FFFFFF"/>
                <w:sz w:val="18"/>
                <w:szCs w:val="18"/>
              </w:rPr>
            </w:pPr>
          </w:p>
        </w:tc>
        <w:tc>
          <w:tcPr>
            <w:tcW w:w="601" w:type="pct"/>
            <w:vMerge/>
            <w:tcBorders>
              <w:left w:val="single" w:sz="4" w:space="0" w:color="auto"/>
              <w:bottom w:val="single" w:sz="4" w:space="0" w:color="auto"/>
              <w:right w:val="single" w:sz="4" w:space="0" w:color="auto"/>
            </w:tcBorders>
            <w:shd w:val="clear" w:color="auto" w:fill="8064A2"/>
          </w:tcPr>
          <w:p w14:paraId="1469D982" w14:textId="77777777" w:rsidR="00D605FA" w:rsidRPr="00EB3AA9" w:rsidRDefault="00D605FA" w:rsidP="00885EE5">
            <w:pPr>
              <w:pStyle w:val="TableText"/>
              <w:ind w:firstLine="52"/>
              <w:jc w:val="center"/>
              <w:rPr>
                <w:rFonts w:cs="Arial"/>
                <w:color w:val="FFFFFF"/>
                <w:sz w:val="18"/>
                <w:szCs w:val="18"/>
              </w:rPr>
            </w:pPr>
          </w:p>
        </w:tc>
      </w:tr>
      <w:tr w:rsidR="007162AF" w:rsidRPr="00EB3AA9" w14:paraId="52CD4283" w14:textId="77777777" w:rsidTr="00891DE1">
        <w:trPr>
          <w:trHeight w:val="345"/>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C49B5B9" w14:textId="032EF06B" w:rsidR="007162AF" w:rsidRPr="00891DE1" w:rsidRDefault="007162AF" w:rsidP="00891DE1">
            <w:pPr>
              <w:spacing w:before="60" w:after="60"/>
              <w:ind w:left="0" w:firstLine="11"/>
              <w:rPr>
                <w:rFonts w:cs="Arial"/>
                <w:b/>
                <w:sz w:val="18"/>
                <w:szCs w:val="18"/>
              </w:rPr>
            </w:pPr>
            <w:r w:rsidRPr="00891DE1">
              <w:rPr>
                <w:rFonts w:cs="Arial"/>
                <w:b/>
                <w:i/>
                <w:sz w:val="18"/>
                <w:szCs w:val="18"/>
              </w:rPr>
              <w:t>Seabirds (28 species)</w:t>
            </w:r>
          </w:p>
        </w:tc>
      </w:tr>
      <w:tr w:rsidR="007162AF" w:rsidRPr="00EB3AA9" w14:paraId="756E60F4" w14:textId="77777777" w:rsidTr="00891DE1">
        <w:trPr>
          <w:trHeight w:val="345"/>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9A16EE" w14:textId="5BEA2428" w:rsidR="007162AF" w:rsidRPr="00EB3AA9" w:rsidRDefault="007162AF" w:rsidP="00891DE1">
            <w:pPr>
              <w:spacing w:before="60" w:after="60"/>
              <w:ind w:left="0" w:firstLine="11"/>
              <w:rPr>
                <w:rFonts w:cs="Arial"/>
                <w:sz w:val="18"/>
                <w:szCs w:val="18"/>
              </w:rPr>
            </w:pPr>
            <w:r>
              <w:rPr>
                <w:rFonts w:cs="Arial"/>
                <w:i/>
                <w:sz w:val="18"/>
                <w:szCs w:val="18"/>
              </w:rPr>
              <w:t>Albatross</w:t>
            </w:r>
          </w:p>
        </w:tc>
      </w:tr>
      <w:tr w:rsidR="00D605FA" w:rsidRPr="00EB3AA9" w14:paraId="269582B6"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66AA14AD" w14:textId="77777777" w:rsidR="00D605FA" w:rsidRPr="00EB3AA9" w:rsidRDefault="00D605FA" w:rsidP="00885EE5">
            <w:pPr>
              <w:spacing w:before="60" w:after="60"/>
              <w:ind w:left="17"/>
              <w:rPr>
                <w:rFonts w:cs="Arial"/>
                <w:i/>
                <w:sz w:val="18"/>
                <w:szCs w:val="18"/>
              </w:rPr>
            </w:pPr>
            <w:r w:rsidRPr="00EB3AA9">
              <w:rPr>
                <w:rFonts w:cs="Arial"/>
                <w:i/>
                <w:sz w:val="18"/>
                <w:szCs w:val="18"/>
              </w:rPr>
              <w:t>Diomedea antipodensis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25E81807" w14:textId="77777777" w:rsidR="00D605FA" w:rsidRPr="00EB3AA9" w:rsidRDefault="00D605FA" w:rsidP="00885EE5">
            <w:pPr>
              <w:spacing w:before="60" w:after="60"/>
              <w:ind w:left="0" w:firstLine="13"/>
              <w:rPr>
                <w:rFonts w:cs="Arial"/>
                <w:sz w:val="18"/>
                <w:szCs w:val="18"/>
              </w:rPr>
            </w:pPr>
            <w:r w:rsidRPr="00EB3AA9">
              <w:rPr>
                <w:rFonts w:cs="Arial"/>
                <w:sz w:val="18"/>
                <w:szCs w:val="18"/>
              </w:rPr>
              <w:t>Antipodean albatross</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53EE7C97"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7F2E8199" w14:textId="73C98151" w:rsidR="00D605FA" w:rsidRPr="00EB3AA9" w:rsidRDefault="00D605FA">
            <w:pPr>
              <w:pStyle w:val="TableText"/>
              <w:jc w:val="center"/>
              <w:rPr>
                <w:rFonts w:cs="Arial"/>
                <w:sz w:val="18"/>
                <w:szCs w:val="18"/>
              </w:rPr>
            </w:pPr>
            <w:r>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362EB522" w14:textId="47B2447B" w:rsidR="00D605FA" w:rsidRPr="00EB3AA9" w:rsidRDefault="00D605FA">
            <w:pPr>
              <w:pStyle w:val="TableText"/>
              <w:jc w:val="center"/>
              <w:rPr>
                <w:rFonts w:cs="Arial"/>
                <w:sz w:val="18"/>
                <w:szCs w:val="18"/>
              </w:rPr>
            </w:pPr>
            <w:r w:rsidRPr="002420C0">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45375978" w14:textId="72C446A3" w:rsidR="00D605FA" w:rsidRPr="00EB3AA9" w:rsidRDefault="00D605FA">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38E79838" w14:textId="67305B9C" w:rsidR="00D605FA" w:rsidRPr="00EB3AA9" w:rsidRDefault="00D605FA">
            <w:pPr>
              <w:spacing w:before="60" w:after="60"/>
              <w:ind w:left="69" w:hanging="69"/>
              <w:jc w:val="center"/>
              <w:rPr>
                <w:rFonts w:cs="Arial"/>
                <w:sz w:val="18"/>
                <w:szCs w:val="18"/>
              </w:rPr>
            </w:pPr>
            <w:r w:rsidRPr="00EB3AA9">
              <w:rPr>
                <w:rFonts w:cs="Arial"/>
                <w:sz w:val="18"/>
                <w:szCs w:val="18"/>
              </w:rPr>
              <w:t>Foraging</w:t>
            </w:r>
          </w:p>
        </w:tc>
        <w:tc>
          <w:tcPr>
            <w:tcW w:w="601" w:type="pct"/>
            <w:vMerge w:val="restart"/>
            <w:tcBorders>
              <w:top w:val="single" w:sz="4" w:space="0" w:color="auto"/>
              <w:left w:val="single" w:sz="4" w:space="0" w:color="auto"/>
              <w:right w:val="single" w:sz="4" w:space="0" w:color="auto"/>
            </w:tcBorders>
            <w:vAlign w:val="center"/>
          </w:tcPr>
          <w:p w14:paraId="27C75F08" w14:textId="7C4573C3" w:rsidR="00D605FA" w:rsidRPr="00EB3AA9" w:rsidRDefault="00D605FA" w:rsidP="00EB3AA9">
            <w:pPr>
              <w:spacing w:before="60" w:after="60"/>
              <w:ind w:left="0" w:firstLine="11"/>
              <w:jc w:val="center"/>
              <w:rPr>
                <w:rFonts w:cs="Arial"/>
                <w:sz w:val="18"/>
                <w:szCs w:val="18"/>
              </w:rPr>
            </w:pPr>
            <w:r w:rsidRPr="00EB3AA9">
              <w:rPr>
                <w:rFonts w:cs="Arial"/>
                <w:sz w:val="18"/>
                <w:szCs w:val="18"/>
              </w:rPr>
              <w:t>Generic</w:t>
            </w:r>
            <w:r>
              <w:rPr>
                <w:rFonts w:cs="Arial"/>
                <w:sz w:val="18"/>
                <w:szCs w:val="18"/>
              </w:rPr>
              <w:t xml:space="preserve"> </w:t>
            </w:r>
            <w:r w:rsidRPr="00EB3AA9">
              <w:rPr>
                <w:rFonts w:cs="Arial"/>
                <w:sz w:val="18"/>
                <w:szCs w:val="18"/>
              </w:rPr>
              <w:t>RP</w:t>
            </w:r>
            <w:r>
              <w:rPr>
                <w:rFonts w:cs="Arial"/>
                <w:sz w:val="18"/>
                <w:szCs w:val="18"/>
              </w:rPr>
              <w:t xml:space="preserve"> in place</w:t>
            </w:r>
            <w:r w:rsidRPr="00EB3AA9">
              <w:rPr>
                <w:rFonts w:cs="Arial"/>
                <w:sz w:val="18"/>
                <w:szCs w:val="18"/>
              </w:rPr>
              <w:t xml:space="preserve"> for all albatross in Australia, + AS for all albatross</w:t>
            </w:r>
          </w:p>
        </w:tc>
      </w:tr>
      <w:tr w:rsidR="00D605FA" w:rsidRPr="00EB3AA9" w14:paraId="6EA622B8"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50C43A90" w14:textId="77777777" w:rsidR="00D605FA" w:rsidRPr="00EB3AA9" w:rsidRDefault="00D605FA" w:rsidP="00885EE5">
            <w:pPr>
              <w:spacing w:before="60" w:after="60"/>
              <w:ind w:left="17"/>
              <w:rPr>
                <w:rFonts w:cs="Arial"/>
                <w:i/>
                <w:sz w:val="18"/>
                <w:szCs w:val="18"/>
              </w:rPr>
            </w:pPr>
            <w:r w:rsidRPr="00EB3AA9">
              <w:rPr>
                <w:rFonts w:cs="Arial"/>
                <w:i/>
                <w:sz w:val="18"/>
                <w:szCs w:val="18"/>
              </w:rPr>
              <w:t>Diomedea antipodensis gibsoni</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130773DE" w14:textId="77777777" w:rsidR="00D605FA" w:rsidRPr="00EB3AA9" w:rsidRDefault="00D605FA" w:rsidP="00885EE5">
            <w:pPr>
              <w:spacing w:before="60" w:after="60"/>
              <w:ind w:left="0" w:firstLine="13"/>
              <w:rPr>
                <w:rFonts w:cs="Arial"/>
                <w:sz w:val="18"/>
                <w:szCs w:val="18"/>
              </w:rPr>
            </w:pPr>
            <w:r w:rsidRPr="00EB3AA9">
              <w:rPr>
                <w:rFonts w:cs="Arial"/>
                <w:sz w:val="18"/>
                <w:szCs w:val="18"/>
              </w:rPr>
              <w:t>Gibson’s albatross</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1FF4BF0D"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0B52206E" w14:textId="4AA8E419" w:rsidR="00D605FA" w:rsidRPr="00EB3AA9" w:rsidRDefault="00D605FA">
            <w:pPr>
              <w:pStyle w:val="TableText"/>
              <w:jc w:val="center"/>
              <w:rPr>
                <w:rFonts w:cs="Arial"/>
                <w:sz w:val="18"/>
                <w:szCs w:val="18"/>
              </w:rPr>
            </w:pPr>
            <w:r w:rsidRPr="00452F59">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68B2D31B" w14:textId="3CAA1A3E" w:rsidR="00D605FA" w:rsidRPr="00EB3AA9" w:rsidRDefault="00D605FA">
            <w:pPr>
              <w:pStyle w:val="TableText"/>
              <w:jc w:val="center"/>
              <w:rPr>
                <w:rFonts w:cs="Arial"/>
                <w:sz w:val="18"/>
                <w:szCs w:val="18"/>
              </w:rPr>
            </w:pPr>
            <w:r w:rsidRPr="002420C0">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27D61671" w14:textId="6ED6D45F" w:rsidR="00D605FA" w:rsidRPr="00EB3AA9" w:rsidRDefault="00D605FA">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2F59A706" w14:textId="77703CB6" w:rsidR="00D605FA" w:rsidRPr="00EB3AA9" w:rsidRDefault="00D605FA">
            <w:pPr>
              <w:spacing w:before="60" w:after="60"/>
              <w:ind w:left="69" w:hanging="69"/>
              <w:jc w:val="center"/>
              <w:rPr>
                <w:rFonts w:cs="Arial"/>
                <w:sz w:val="18"/>
                <w:szCs w:val="18"/>
              </w:rPr>
            </w:pPr>
            <w:r w:rsidRPr="00EB3AA9">
              <w:rPr>
                <w:rFonts w:cs="Arial"/>
                <w:sz w:val="18"/>
                <w:szCs w:val="18"/>
              </w:rPr>
              <w:t>-</w:t>
            </w:r>
          </w:p>
        </w:tc>
        <w:tc>
          <w:tcPr>
            <w:tcW w:w="601" w:type="pct"/>
            <w:vMerge/>
            <w:tcBorders>
              <w:left w:val="single" w:sz="4" w:space="0" w:color="auto"/>
              <w:right w:val="single" w:sz="4" w:space="0" w:color="auto"/>
            </w:tcBorders>
            <w:vAlign w:val="center"/>
          </w:tcPr>
          <w:p w14:paraId="1D696075" w14:textId="77777777" w:rsidR="00D605FA" w:rsidRPr="00EB3AA9" w:rsidRDefault="00D605FA" w:rsidP="00885EE5">
            <w:pPr>
              <w:spacing w:before="60" w:after="60"/>
              <w:ind w:left="0" w:firstLine="11"/>
              <w:jc w:val="center"/>
              <w:rPr>
                <w:rFonts w:cs="Arial"/>
                <w:sz w:val="18"/>
                <w:szCs w:val="18"/>
              </w:rPr>
            </w:pPr>
          </w:p>
        </w:tc>
      </w:tr>
      <w:tr w:rsidR="00D605FA" w:rsidRPr="00EB3AA9" w14:paraId="247031FE"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768EF237" w14:textId="77777777" w:rsidR="00D605FA" w:rsidRPr="00EB3AA9" w:rsidRDefault="00D605FA" w:rsidP="00885EE5">
            <w:pPr>
              <w:spacing w:before="60" w:after="60"/>
              <w:ind w:left="17"/>
              <w:rPr>
                <w:rFonts w:cs="Arial"/>
                <w:i/>
                <w:sz w:val="18"/>
                <w:szCs w:val="18"/>
              </w:rPr>
            </w:pPr>
            <w:r w:rsidRPr="00EB3AA9">
              <w:rPr>
                <w:rFonts w:cs="Arial"/>
                <w:i/>
                <w:sz w:val="18"/>
                <w:szCs w:val="18"/>
              </w:rPr>
              <w:t xml:space="preserve">Diomedea epomophora </w:t>
            </w:r>
            <w:r w:rsidRPr="00EB3AA9">
              <w:rPr>
                <w:rFonts w:cs="Arial"/>
                <w:i/>
                <w:sz w:val="18"/>
                <w:szCs w:val="18"/>
              </w:rPr>
              <w:br/>
            </w:r>
            <w:r w:rsidRPr="00EB3AA9">
              <w:rPr>
                <w:rFonts w:cs="Arial"/>
                <w:sz w:val="18"/>
                <w:szCs w:val="18"/>
              </w:rPr>
              <w:t>(sensu stricto)</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64EF0E1B" w14:textId="77777777" w:rsidR="00D605FA" w:rsidRPr="00EB3AA9" w:rsidRDefault="00D605FA" w:rsidP="00885EE5">
            <w:pPr>
              <w:spacing w:before="60" w:after="60"/>
              <w:ind w:left="0" w:firstLine="13"/>
              <w:rPr>
                <w:rFonts w:cs="Arial"/>
                <w:sz w:val="18"/>
                <w:szCs w:val="18"/>
              </w:rPr>
            </w:pPr>
            <w:r w:rsidRPr="00EB3AA9">
              <w:rPr>
                <w:rFonts w:cs="Arial"/>
                <w:sz w:val="18"/>
                <w:szCs w:val="18"/>
              </w:rPr>
              <w:t>Southern royal albatross</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41FD11D4"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24A1BAB3" w14:textId="5400D106" w:rsidR="00D605FA" w:rsidRPr="00EB3AA9" w:rsidRDefault="00D605FA">
            <w:pPr>
              <w:pStyle w:val="TableText"/>
              <w:jc w:val="center"/>
              <w:rPr>
                <w:rFonts w:cs="Arial"/>
                <w:sz w:val="18"/>
                <w:szCs w:val="18"/>
              </w:rPr>
            </w:pPr>
            <w:r w:rsidRPr="00452F59">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6B841FD8" w14:textId="559ABDD9" w:rsidR="00D605FA" w:rsidRPr="00EB3AA9" w:rsidRDefault="00D605FA">
            <w:pPr>
              <w:pStyle w:val="TableText"/>
              <w:jc w:val="center"/>
              <w:rPr>
                <w:rFonts w:cs="Arial"/>
                <w:sz w:val="18"/>
                <w:szCs w:val="18"/>
              </w:rPr>
            </w:pPr>
            <w:r w:rsidRPr="002420C0">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1EBE393F" w14:textId="363032D0" w:rsidR="00D605FA" w:rsidRPr="00EB3AA9" w:rsidRDefault="00D605FA">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46C691DC" w14:textId="5B27BE59" w:rsidR="00D605FA" w:rsidRPr="00EB3AA9" w:rsidRDefault="00D605FA">
            <w:pPr>
              <w:spacing w:before="60" w:after="60"/>
              <w:ind w:left="69" w:hanging="69"/>
              <w:jc w:val="center"/>
              <w:rPr>
                <w:rFonts w:cs="Arial"/>
                <w:sz w:val="18"/>
                <w:szCs w:val="18"/>
              </w:rPr>
            </w:pPr>
            <w:r w:rsidRPr="00EB3AA9">
              <w:rPr>
                <w:rFonts w:cs="Arial"/>
                <w:sz w:val="18"/>
                <w:szCs w:val="18"/>
              </w:rPr>
              <w:t>-</w:t>
            </w:r>
          </w:p>
        </w:tc>
        <w:tc>
          <w:tcPr>
            <w:tcW w:w="601" w:type="pct"/>
            <w:vMerge/>
            <w:tcBorders>
              <w:left w:val="single" w:sz="4" w:space="0" w:color="auto"/>
              <w:right w:val="single" w:sz="4" w:space="0" w:color="auto"/>
            </w:tcBorders>
          </w:tcPr>
          <w:p w14:paraId="4AD69072" w14:textId="77777777" w:rsidR="00D605FA" w:rsidRPr="00EB3AA9" w:rsidRDefault="00D605FA" w:rsidP="00885EE5">
            <w:pPr>
              <w:spacing w:before="60" w:after="60"/>
              <w:ind w:left="69" w:hanging="69"/>
              <w:jc w:val="center"/>
              <w:rPr>
                <w:rFonts w:cs="Arial"/>
                <w:sz w:val="18"/>
                <w:szCs w:val="18"/>
              </w:rPr>
            </w:pPr>
          </w:p>
        </w:tc>
      </w:tr>
      <w:tr w:rsidR="00D605FA" w:rsidRPr="00EB3AA9" w14:paraId="125F822A"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7F3AA92C" w14:textId="77777777" w:rsidR="00D605FA" w:rsidRPr="00EB3AA9" w:rsidRDefault="00D605FA" w:rsidP="00885EE5">
            <w:pPr>
              <w:spacing w:before="60" w:after="60"/>
              <w:ind w:left="17"/>
              <w:rPr>
                <w:rFonts w:cs="Arial"/>
                <w:i/>
                <w:sz w:val="18"/>
                <w:szCs w:val="18"/>
              </w:rPr>
            </w:pPr>
            <w:r w:rsidRPr="00EB3AA9">
              <w:rPr>
                <w:rFonts w:cs="Arial"/>
                <w:i/>
                <w:sz w:val="18"/>
                <w:szCs w:val="18"/>
              </w:rPr>
              <w:t xml:space="preserve">Diomedea exulans </w:t>
            </w:r>
            <w:r w:rsidRPr="00EB3AA9">
              <w:rPr>
                <w:rFonts w:cs="Arial"/>
                <w:sz w:val="18"/>
                <w:szCs w:val="18"/>
              </w:rPr>
              <w:t>(sensu lato)</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0878FD44" w14:textId="77777777" w:rsidR="00D605FA" w:rsidRPr="00EB3AA9" w:rsidRDefault="00D605FA" w:rsidP="00885EE5">
            <w:pPr>
              <w:spacing w:before="60" w:after="60"/>
              <w:ind w:left="0" w:firstLine="13"/>
              <w:rPr>
                <w:rFonts w:cs="Arial"/>
                <w:sz w:val="18"/>
                <w:szCs w:val="18"/>
              </w:rPr>
            </w:pPr>
            <w:r w:rsidRPr="00EB3AA9">
              <w:rPr>
                <w:rFonts w:cs="Arial"/>
                <w:sz w:val="18"/>
                <w:szCs w:val="18"/>
              </w:rPr>
              <w:t>Wandering albatross</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2498CBFB"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14D63174" w14:textId="77EAA592" w:rsidR="00D605FA" w:rsidRPr="00EB3AA9" w:rsidRDefault="00D605FA">
            <w:pPr>
              <w:pStyle w:val="TableText"/>
              <w:jc w:val="center"/>
              <w:rPr>
                <w:rFonts w:cs="Arial"/>
                <w:sz w:val="18"/>
                <w:szCs w:val="18"/>
              </w:rPr>
            </w:pPr>
            <w:r w:rsidRPr="00452F59">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7833FDBD" w14:textId="2EF333C5" w:rsidR="00D605FA" w:rsidRPr="00EB3AA9" w:rsidRDefault="00D605FA">
            <w:pPr>
              <w:pStyle w:val="TableText"/>
              <w:jc w:val="center"/>
              <w:rPr>
                <w:rFonts w:cs="Arial"/>
                <w:sz w:val="18"/>
                <w:szCs w:val="18"/>
              </w:rPr>
            </w:pPr>
            <w:r w:rsidRPr="002420C0">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574686F0" w14:textId="721A3731" w:rsidR="00D605FA" w:rsidRPr="00EB3AA9" w:rsidRDefault="00D605FA">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7D9A2A40" w14:textId="02A6E25C" w:rsidR="00D605FA" w:rsidRPr="00EB3AA9" w:rsidRDefault="00D605FA">
            <w:pPr>
              <w:spacing w:before="60" w:after="60"/>
              <w:ind w:left="69" w:hanging="69"/>
              <w:jc w:val="center"/>
              <w:rPr>
                <w:rFonts w:cs="Arial"/>
                <w:sz w:val="18"/>
                <w:szCs w:val="18"/>
              </w:rPr>
            </w:pPr>
            <w:r w:rsidRPr="00EB3AA9">
              <w:rPr>
                <w:rFonts w:cs="Arial"/>
                <w:sz w:val="18"/>
                <w:szCs w:val="18"/>
              </w:rPr>
              <w:t>Foraging</w:t>
            </w:r>
          </w:p>
        </w:tc>
        <w:tc>
          <w:tcPr>
            <w:tcW w:w="601" w:type="pct"/>
            <w:vMerge/>
            <w:tcBorders>
              <w:left w:val="single" w:sz="4" w:space="0" w:color="auto"/>
              <w:right w:val="single" w:sz="4" w:space="0" w:color="auto"/>
            </w:tcBorders>
          </w:tcPr>
          <w:p w14:paraId="1E53DD5A" w14:textId="77777777" w:rsidR="00D605FA" w:rsidRPr="00EB3AA9" w:rsidRDefault="00D605FA" w:rsidP="00885EE5">
            <w:pPr>
              <w:spacing w:before="60" w:after="60"/>
              <w:ind w:left="69" w:hanging="69"/>
              <w:jc w:val="center"/>
              <w:rPr>
                <w:rFonts w:cs="Arial"/>
                <w:sz w:val="18"/>
                <w:szCs w:val="18"/>
              </w:rPr>
            </w:pPr>
          </w:p>
        </w:tc>
      </w:tr>
      <w:tr w:rsidR="00D605FA" w:rsidRPr="00EB3AA9" w14:paraId="3448DFF5"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75114F22" w14:textId="77777777" w:rsidR="00D605FA" w:rsidRPr="00EB3AA9" w:rsidRDefault="00D605FA" w:rsidP="00E878B9">
            <w:pPr>
              <w:spacing w:before="60" w:after="60"/>
              <w:ind w:left="17"/>
              <w:rPr>
                <w:rFonts w:cs="Arial"/>
                <w:i/>
                <w:sz w:val="18"/>
                <w:szCs w:val="18"/>
              </w:rPr>
            </w:pPr>
            <w:r w:rsidRPr="00EB3AA9">
              <w:rPr>
                <w:rFonts w:cs="Arial"/>
                <w:i/>
                <w:sz w:val="18"/>
                <w:szCs w:val="18"/>
              </w:rPr>
              <w:t>Diomedea sanfordi</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3415CF4D" w14:textId="77777777" w:rsidR="00D605FA" w:rsidRPr="00EB3AA9" w:rsidRDefault="00D605FA" w:rsidP="00885EE5">
            <w:pPr>
              <w:spacing w:before="60" w:after="60"/>
              <w:ind w:left="0" w:firstLine="13"/>
              <w:rPr>
                <w:rFonts w:cs="Arial"/>
                <w:sz w:val="18"/>
                <w:szCs w:val="18"/>
              </w:rPr>
            </w:pPr>
            <w:r w:rsidRPr="00EB3AA9">
              <w:rPr>
                <w:rFonts w:cs="Arial"/>
                <w:sz w:val="18"/>
                <w:szCs w:val="18"/>
              </w:rPr>
              <w:t>Northern royal albatross</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43BE91DE" w14:textId="77777777" w:rsidR="00D605FA" w:rsidRPr="00EB3AA9" w:rsidRDefault="00D605FA" w:rsidP="00CD5287">
            <w:pPr>
              <w:spacing w:before="60" w:after="60"/>
              <w:ind w:left="0"/>
              <w:jc w:val="center"/>
              <w:rPr>
                <w:rFonts w:cs="Arial"/>
                <w:sz w:val="18"/>
                <w:szCs w:val="18"/>
              </w:rPr>
            </w:pPr>
            <w:r w:rsidRPr="00EB3AA9">
              <w:rPr>
                <w:rFonts w:cs="Arial"/>
                <w:sz w:val="18"/>
                <w:szCs w:val="18"/>
              </w:rPr>
              <w:t>E</w:t>
            </w:r>
          </w:p>
        </w:tc>
        <w:tc>
          <w:tcPr>
            <w:tcW w:w="579" w:type="pct"/>
            <w:tcBorders>
              <w:top w:val="single" w:sz="4" w:space="0" w:color="auto"/>
              <w:left w:val="single" w:sz="4" w:space="0" w:color="auto"/>
              <w:bottom w:val="single" w:sz="4" w:space="0" w:color="auto"/>
              <w:right w:val="single" w:sz="4" w:space="0" w:color="auto"/>
            </w:tcBorders>
            <w:vAlign w:val="center"/>
          </w:tcPr>
          <w:p w14:paraId="00EEC3C6" w14:textId="21AA6C7B" w:rsidR="00D605FA" w:rsidRPr="00EB3AA9" w:rsidRDefault="00D605FA">
            <w:pPr>
              <w:pStyle w:val="TableText"/>
              <w:jc w:val="center"/>
              <w:rPr>
                <w:rFonts w:cs="Arial"/>
                <w:sz w:val="18"/>
                <w:szCs w:val="18"/>
              </w:rPr>
            </w:pPr>
            <w:r w:rsidRPr="00452F59">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62D93967" w14:textId="35A30A17" w:rsidR="00D605FA" w:rsidRPr="00EB3AA9" w:rsidRDefault="00D605FA">
            <w:pPr>
              <w:pStyle w:val="TableText"/>
              <w:jc w:val="center"/>
              <w:rPr>
                <w:rFonts w:cs="Arial"/>
                <w:sz w:val="18"/>
                <w:szCs w:val="18"/>
              </w:rPr>
            </w:pPr>
            <w:r w:rsidRPr="002420C0">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4CACD1C0" w14:textId="6E325AA2" w:rsidR="00D605FA" w:rsidRPr="00EB3AA9" w:rsidRDefault="007162AF">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427C0048" w14:textId="47B382C6" w:rsidR="00D605FA" w:rsidRPr="00EB3AA9" w:rsidRDefault="00D605FA">
            <w:pPr>
              <w:spacing w:before="60" w:after="60"/>
              <w:ind w:left="69" w:hanging="69"/>
              <w:jc w:val="center"/>
              <w:rPr>
                <w:rFonts w:cs="Arial"/>
                <w:sz w:val="18"/>
                <w:szCs w:val="18"/>
              </w:rPr>
            </w:pPr>
            <w:r w:rsidRPr="00EB3AA9">
              <w:rPr>
                <w:rFonts w:cs="Arial"/>
                <w:sz w:val="18"/>
                <w:szCs w:val="18"/>
              </w:rPr>
              <w:t>-</w:t>
            </w:r>
          </w:p>
        </w:tc>
        <w:tc>
          <w:tcPr>
            <w:tcW w:w="601" w:type="pct"/>
            <w:vMerge/>
            <w:tcBorders>
              <w:left w:val="single" w:sz="4" w:space="0" w:color="auto"/>
              <w:right w:val="single" w:sz="4" w:space="0" w:color="auto"/>
            </w:tcBorders>
            <w:vAlign w:val="center"/>
          </w:tcPr>
          <w:p w14:paraId="2A23A39F" w14:textId="77777777" w:rsidR="00D605FA" w:rsidRPr="00EB3AA9" w:rsidRDefault="00D605FA" w:rsidP="00885EE5">
            <w:pPr>
              <w:spacing w:before="60" w:after="60"/>
              <w:ind w:left="11" w:hanging="11"/>
              <w:jc w:val="center"/>
              <w:rPr>
                <w:rFonts w:cs="Arial"/>
                <w:sz w:val="18"/>
                <w:szCs w:val="18"/>
              </w:rPr>
            </w:pPr>
          </w:p>
        </w:tc>
      </w:tr>
      <w:tr w:rsidR="00D605FA" w:rsidRPr="00EB3AA9" w14:paraId="523514B7"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6AC481A2" w14:textId="77777777" w:rsidR="00D605FA" w:rsidRPr="00EB3AA9" w:rsidRDefault="00D605FA" w:rsidP="00885EE5">
            <w:pPr>
              <w:spacing w:before="60" w:after="60"/>
              <w:ind w:left="17"/>
              <w:rPr>
                <w:rFonts w:cs="Arial"/>
                <w:i/>
                <w:sz w:val="18"/>
                <w:szCs w:val="18"/>
              </w:rPr>
            </w:pPr>
            <w:r w:rsidRPr="00EB3AA9">
              <w:rPr>
                <w:rFonts w:cs="Arial"/>
                <w:i/>
                <w:sz w:val="18"/>
                <w:szCs w:val="18"/>
              </w:rPr>
              <w:t>Phoebetria fusca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0FAE1692" w14:textId="77777777" w:rsidR="00D605FA" w:rsidRPr="00EB3AA9" w:rsidRDefault="00D605FA" w:rsidP="00885EE5">
            <w:pPr>
              <w:spacing w:before="60" w:after="60"/>
              <w:ind w:left="0" w:firstLine="13"/>
              <w:rPr>
                <w:rFonts w:cs="Arial"/>
                <w:sz w:val="18"/>
                <w:szCs w:val="18"/>
              </w:rPr>
            </w:pPr>
            <w:r w:rsidRPr="00EB3AA9">
              <w:rPr>
                <w:rFonts w:cs="Arial"/>
                <w:sz w:val="18"/>
                <w:szCs w:val="18"/>
              </w:rPr>
              <w:t>Sooty albatross</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24A4961D"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591F9D6B" w14:textId="6ADC06D6" w:rsidR="00D605FA" w:rsidRPr="00EB3AA9" w:rsidRDefault="00D605FA">
            <w:pPr>
              <w:pStyle w:val="TableText"/>
              <w:jc w:val="center"/>
              <w:rPr>
                <w:rFonts w:cs="Arial"/>
                <w:sz w:val="18"/>
                <w:szCs w:val="18"/>
              </w:rPr>
            </w:pPr>
            <w:r w:rsidRPr="00452F59">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2CE6E545" w14:textId="4B00791B" w:rsidR="00D605FA" w:rsidRPr="00EB3AA9" w:rsidRDefault="00D605FA">
            <w:pPr>
              <w:pStyle w:val="TableText"/>
              <w:jc w:val="center"/>
              <w:rPr>
                <w:rFonts w:cs="Arial"/>
                <w:sz w:val="18"/>
                <w:szCs w:val="18"/>
              </w:rPr>
            </w:pPr>
            <w:r w:rsidRPr="002420C0">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6209D54F" w14:textId="7117D152" w:rsidR="00D605FA" w:rsidRPr="00EB3AA9" w:rsidRDefault="00D605FA">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30F641EA" w14:textId="1CF79B34" w:rsidR="00D605FA" w:rsidRPr="00EB3AA9" w:rsidRDefault="00D605FA">
            <w:pPr>
              <w:spacing w:before="60" w:after="60"/>
              <w:ind w:left="69" w:hanging="69"/>
              <w:jc w:val="center"/>
              <w:rPr>
                <w:rFonts w:cs="Arial"/>
                <w:sz w:val="18"/>
                <w:szCs w:val="18"/>
              </w:rPr>
            </w:pPr>
            <w:r w:rsidRPr="00EB3AA9">
              <w:rPr>
                <w:rFonts w:cs="Arial"/>
                <w:sz w:val="18"/>
                <w:szCs w:val="18"/>
              </w:rPr>
              <w:t>-</w:t>
            </w:r>
          </w:p>
        </w:tc>
        <w:tc>
          <w:tcPr>
            <w:tcW w:w="601" w:type="pct"/>
            <w:vMerge/>
            <w:tcBorders>
              <w:left w:val="single" w:sz="4" w:space="0" w:color="auto"/>
              <w:right w:val="single" w:sz="4" w:space="0" w:color="auto"/>
            </w:tcBorders>
          </w:tcPr>
          <w:p w14:paraId="724B6A2C" w14:textId="77777777" w:rsidR="00D605FA" w:rsidRPr="00EB3AA9" w:rsidRDefault="00D605FA" w:rsidP="00885EE5">
            <w:pPr>
              <w:spacing w:before="60" w:after="60"/>
              <w:ind w:left="69" w:hanging="69"/>
              <w:jc w:val="center"/>
              <w:rPr>
                <w:rFonts w:cs="Arial"/>
                <w:sz w:val="18"/>
                <w:szCs w:val="18"/>
              </w:rPr>
            </w:pPr>
          </w:p>
        </w:tc>
      </w:tr>
      <w:tr w:rsidR="00D605FA" w:rsidRPr="00EB3AA9" w14:paraId="7DDA8F37"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59689EB3" w14:textId="77777777" w:rsidR="00D605FA" w:rsidRPr="00EB3AA9" w:rsidRDefault="00D605FA" w:rsidP="00885EE5">
            <w:pPr>
              <w:spacing w:before="60" w:after="60"/>
              <w:ind w:left="17"/>
              <w:rPr>
                <w:rFonts w:cs="Arial"/>
                <w:i/>
                <w:sz w:val="18"/>
                <w:szCs w:val="18"/>
              </w:rPr>
            </w:pPr>
            <w:r w:rsidRPr="00EB3AA9">
              <w:rPr>
                <w:rFonts w:cs="Arial"/>
                <w:i/>
                <w:sz w:val="18"/>
                <w:szCs w:val="18"/>
              </w:rPr>
              <w:t>Thalassarche bulleri</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1D9D1A49" w14:textId="77777777" w:rsidR="00D605FA" w:rsidRPr="00EB3AA9" w:rsidRDefault="00D605FA" w:rsidP="00885EE5">
            <w:pPr>
              <w:spacing w:before="60" w:after="60"/>
              <w:ind w:left="0" w:firstLine="13"/>
              <w:rPr>
                <w:rFonts w:cs="Arial"/>
                <w:sz w:val="18"/>
                <w:szCs w:val="18"/>
              </w:rPr>
            </w:pPr>
            <w:r w:rsidRPr="00EB3AA9">
              <w:rPr>
                <w:rFonts w:cs="Arial"/>
                <w:sz w:val="18"/>
                <w:szCs w:val="18"/>
              </w:rPr>
              <w:t>Buller’s albatross</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2F063385"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1BF3365B" w14:textId="7BEEBC8A" w:rsidR="00D605FA" w:rsidRPr="00EB3AA9" w:rsidRDefault="00D605FA">
            <w:pPr>
              <w:pStyle w:val="TableText"/>
              <w:jc w:val="center"/>
              <w:rPr>
                <w:rFonts w:cs="Arial"/>
                <w:sz w:val="18"/>
                <w:szCs w:val="18"/>
              </w:rPr>
            </w:pPr>
            <w:r w:rsidRPr="00452F59">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5C790E02" w14:textId="75F2445D" w:rsidR="00D605FA" w:rsidRPr="00EB3AA9" w:rsidRDefault="00D605FA">
            <w:pPr>
              <w:pStyle w:val="TableText"/>
              <w:jc w:val="center"/>
              <w:rPr>
                <w:rFonts w:cs="Arial"/>
                <w:sz w:val="18"/>
                <w:szCs w:val="18"/>
              </w:rPr>
            </w:pPr>
            <w:r w:rsidRPr="002420C0">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446F0A17" w14:textId="179C8B38" w:rsidR="00D605FA" w:rsidRPr="00EB3AA9" w:rsidRDefault="00D605FA">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2B1B5179" w14:textId="2E49131D" w:rsidR="00D605FA" w:rsidRPr="00EB3AA9" w:rsidRDefault="00D605FA">
            <w:pPr>
              <w:spacing w:before="60" w:after="60"/>
              <w:ind w:left="69" w:hanging="69"/>
              <w:jc w:val="center"/>
              <w:rPr>
                <w:rFonts w:cs="Arial"/>
                <w:sz w:val="18"/>
                <w:szCs w:val="18"/>
              </w:rPr>
            </w:pPr>
            <w:r w:rsidRPr="00EB3AA9">
              <w:rPr>
                <w:rFonts w:cs="Arial"/>
                <w:sz w:val="18"/>
                <w:szCs w:val="18"/>
              </w:rPr>
              <w:t>Foraging</w:t>
            </w:r>
          </w:p>
        </w:tc>
        <w:tc>
          <w:tcPr>
            <w:tcW w:w="601" w:type="pct"/>
            <w:vMerge/>
            <w:tcBorders>
              <w:left w:val="single" w:sz="4" w:space="0" w:color="auto"/>
              <w:right w:val="single" w:sz="4" w:space="0" w:color="auto"/>
            </w:tcBorders>
          </w:tcPr>
          <w:p w14:paraId="52115444" w14:textId="77777777" w:rsidR="00D605FA" w:rsidRPr="00EB3AA9" w:rsidRDefault="00D605FA" w:rsidP="00885EE5">
            <w:pPr>
              <w:spacing w:before="60" w:after="60"/>
              <w:ind w:left="69" w:hanging="69"/>
              <w:jc w:val="center"/>
              <w:rPr>
                <w:rFonts w:cs="Arial"/>
                <w:sz w:val="18"/>
                <w:szCs w:val="18"/>
              </w:rPr>
            </w:pPr>
          </w:p>
        </w:tc>
      </w:tr>
      <w:tr w:rsidR="00D605FA" w:rsidRPr="00EB3AA9" w14:paraId="43B134EA"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44B51B01" w14:textId="77777777" w:rsidR="00D605FA" w:rsidRPr="00EB3AA9" w:rsidRDefault="00D605FA" w:rsidP="00885EE5">
            <w:pPr>
              <w:spacing w:before="60" w:after="60"/>
              <w:ind w:left="17"/>
              <w:rPr>
                <w:rFonts w:cs="Arial"/>
                <w:i/>
                <w:sz w:val="18"/>
                <w:szCs w:val="18"/>
              </w:rPr>
            </w:pPr>
            <w:r w:rsidRPr="00EB3AA9">
              <w:rPr>
                <w:rFonts w:cs="Arial"/>
                <w:i/>
                <w:sz w:val="18"/>
                <w:szCs w:val="18"/>
              </w:rPr>
              <w:t>Thalassarche bulleri platei</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72D9D019" w14:textId="77777777" w:rsidR="00D605FA" w:rsidRPr="00EB3AA9" w:rsidRDefault="00D605FA" w:rsidP="00885EE5">
            <w:pPr>
              <w:spacing w:before="60" w:after="60"/>
              <w:ind w:left="0" w:firstLine="13"/>
              <w:rPr>
                <w:rFonts w:cs="Arial"/>
                <w:sz w:val="18"/>
                <w:szCs w:val="18"/>
              </w:rPr>
            </w:pPr>
            <w:r w:rsidRPr="00EB3AA9">
              <w:rPr>
                <w:rFonts w:cs="Arial"/>
                <w:sz w:val="18"/>
                <w:szCs w:val="18"/>
              </w:rPr>
              <w:t>Northern Buller’s albatross</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29114E03"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17EA978B" w14:textId="77777777" w:rsidR="00D605FA" w:rsidRPr="00EB3AA9" w:rsidRDefault="00D605FA">
            <w:pPr>
              <w:pStyle w:val="TableText"/>
              <w:jc w:val="center"/>
              <w:rPr>
                <w:rFonts w:cs="Arial"/>
                <w:color w:val="4F81BD"/>
                <w:sz w:val="18"/>
                <w:szCs w:val="18"/>
              </w:rPr>
            </w:pPr>
            <w:r w:rsidRPr="00EB3AA9">
              <w:rPr>
                <w:rFonts w:cs="Arial"/>
                <w:color w:val="4F81BD"/>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1DC469CB" w14:textId="77777777" w:rsidR="00D605FA" w:rsidRPr="00EB3AA9" w:rsidRDefault="00D605FA">
            <w:pPr>
              <w:pStyle w:val="TableText"/>
              <w:jc w:val="center"/>
              <w:rPr>
                <w:rFonts w:cs="Arial"/>
                <w:color w:val="4F81BD"/>
                <w:sz w:val="18"/>
                <w:szCs w:val="18"/>
              </w:rPr>
            </w:pPr>
            <w:r w:rsidRPr="00EB3AA9">
              <w:rPr>
                <w:rFonts w:cs="Arial"/>
                <w:color w:val="4F81BD"/>
                <w:sz w:val="18"/>
                <w:szCs w:val="18"/>
              </w:rPr>
              <w:t>-</w:t>
            </w:r>
          </w:p>
        </w:tc>
        <w:tc>
          <w:tcPr>
            <w:tcW w:w="433" w:type="pct"/>
            <w:tcBorders>
              <w:top w:val="single" w:sz="4" w:space="0" w:color="auto"/>
              <w:left w:val="single" w:sz="4" w:space="0" w:color="auto"/>
              <w:bottom w:val="single" w:sz="4" w:space="0" w:color="auto"/>
              <w:right w:val="single" w:sz="4" w:space="0" w:color="auto"/>
            </w:tcBorders>
            <w:vAlign w:val="center"/>
          </w:tcPr>
          <w:p w14:paraId="054EF78F" w14:textId="1CCBD996" w:rsidR="00D605FA" w:rsidRPr="00EB3AA9" w:rsidRDefault="007162AF">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131B505D" w14:textId="72E2E3ED" w:rsidR="00D605FA" w:rsidRPr="00EB3AA9" w:rsidRDefault="00D605FA">
            <w:pPr>
              <w:spacing w:before="60" w:after="60"/>
              <w:ind w:left="69" w:hanging="69"/>
              <w:jc w:val="center"/>
              <w:rPr>
                <w:rFonts w:cs="Arial"/>
                <w:sz w:val="18"/>
                <w:szCs w:val="18"/>
              </w:rPr>
            </w:pPr>
            <w:r w:rsidRPr="00EB3AA9">
              <w:rPr>
                <w:rFonts w:cs="Arial"/>
                <w:sz w:val="18"/>
                <w:szCs w:val="18"/>
              </w:rPr>
              <w:t>Foraging</w:t>
            </w:r>
          </w:p>
        </w:tc>
        <w:tc>
          <w:tcPr>
            <w:tcW w:w="601" w:type="pct"/>
            <w:vMerge/>
            <w:tcBorders>
              <w:left w:val="single" w:sz="4" w:space="0" w:color="auto"/>
              <w:right w:val="single" w:sz="4" w:space="0" w:color="auto"/>
            </w:tcBorders>
          </w:tcPr>
          <w:p w14:paraId="19E6BB6E" w14:textId="77777777" w:rsidR="00D605FA" w:rsidRPr="00EB3AA9" w:rsidRDefault="00D605FA" w:rsidP="00885EE5">
            <w:pPr>
              <w:spacing w:before="60" w:after="60"/>
              <w:ind w:left="69" w:hanging="69"/>
              <w:jc w:val="center"/>
              <w:rPr>
                <w:rFonts w:cs="Arial"/>
                <w:sz w:val="18"/>
                <w:szCs w:val="18"/>
              </w:rPr>
            </w:pPr>
          </w:p>
        </w:tc>
      </w:tr>
      <w:tr w:rsidR="00D605FA" w:rsidRPr="00EB3AA9" w14:paraId="79190ED6"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0047D991" w14:textId="77777777" w:rsidR="00D605FA" w:rsidRPr="00EB3AA9" w:rsidRDefault="00D605FA" w:rsidP="00885EE5">
            <w:pPr>
              <w:spacing w:before="60" w:after="60"/>
              <w:ind w:left="17"/>
              <w:rPr>
                <w:rFonts w:cs="Arial"/>
                <w:i/>
                <w:sz w:val="18"/>
                <w:szCs w:val="18"/>
              </w:rPr>
            </w:pPr>
            <w:r w:rsidRPr="00EB3AA9">
              <w:rPr>
                <w:rFonts w:cs="Arial"/>
                <w:i/>
                <w:sz w:val="18"/>
                <w:szCs w:val="18"/>
              </w:rPr>
              <w:t>Thalassarche cauta cauta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5F723A02" w14:textId="77777777" w:rsidR="00D605FA" w:rsidRPr="00EB3AA9" w:rsidRDefault="00D605FA" w:rsidP="00885EE5">
            <w:pPr>
              <w:spacing w:before="60" w:after="60"/>
              <w:ind w:left="0" w:firstLine="13"/>
              <w:rPr>
                <w:rFonts w:cs="Arial"/>
                <w:sz w:val="18"/>
                <w:szCs w:val="18"/>
              </w:rPr>
            </w:pPr>
            <w:r w:rsidRPr="00EB3AA9">
              <w:rPr>
                <w:rFonts w:cs="Arial"/>
                <w:sz w:val="18"/>
                <w:szCs w:val="18"/>
              </w:rPr>
              <w:t>Shy albatross</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3C28509F"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71A9A938" w14:textId="33DBCCBC" w:rsidR="00D605FA" w:rsidRPr="00EB3AA9" w:rsidRDefault="00D605FA">
            <w:pPr>
              <w:pStyle w:val="TableText"/>
              <w:jc w:val="center"/>
              <w:rPr>
                <w:rFonts w:cs="Arial"/>
                <w:sz w:val="18"/>
                <w:szCs w:val="18"/>
              </w:rPr>
            </w:pPr>
            <w:r w:rsidRPr="00F73C35">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14CDB1CC" w14:textId="74D0468A" w:rsidR="00D605FA" w:rsidRPr="00EB3AA9" w:rsidRDefault="00D605FA">
            <w:pPr>
              <w:pStyle w:val="TableText"/>
              <w:jc w:val="center"/>
              <w:rPr>
                <w:rFonts w:cs="Arial"/>
                <w:sz w:val="18"/>
                <w:szCs w:val="18"/>
              </w:rPr>
            </w:pPr>
            <w:r w:rsidRPr="00F73C35">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4614E6AB" w14:textId="2C619224" w:rsidR="00D605FA" w:rsidRPr="00EB3AA9" w:rsidRDefault="00D605FA">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322A9AAE" w14:textId="417BD130" w:rsidR="00D605FA" w:rsidRPr="00EB3AA9" w:rsidRDefault="00D605FA">
            <w:pPr>
              <w:spacing w:before="60" w:after="60"/>
              <w:ind w:left="69" w:hanging="69"/>
              <w:jc w:val="center"/>
              <w:rPr>
                <w:rFonts w:cs="Arial"/>
                <w:sz w:val="18"/>
                <w:szCs w:val="18"/>
              </w:rPr>
            </w:pPr>
            <w:r w:rsidRPr="00EB3AA9">
              <w:rPr>
                <w:rFonts w:cs="Arial"/>
                <w:sz w:val="18"/>
                <w:szCs w:val="18"/>
              </w:rPr>
              <w:t>Foraging</w:t>
            </w:r>
          </w:p>
        </w:tc>
        <w:tc>
          <w:tcPr>
            <w:tcW w:w="601" w:type="pct"/>
            <w:vMerge/>
            <w:tcBorders>
              <w:left w:val="single" w:sz="4" w:space="0" w:color="auto"/>
              <w:right w:val="single" w:sz="4" w:space="0" w:color="auto"/>
            </w:tcBorders>
          </w:tcPr>
          <w:p w14:paraId="277CC833" w14:textId="77777777" w:rsidR="00D605FA" w:rsidRPr="00EB3AA9" w:rsidRDefault="00D605FA" w:rsidP="00885EE5">
            <w:pPr>
              <w:spacing w:before="60" w:after="60"/>
              <w:ind w:left="69" w:hanging="69"/>
              <w:jc w:val="center"/>
              <w:rPr>
                <w:rFonts w:cs="Arial"/>
                <w:sz w:val="18"/>
                <w:szCs w:val="18"/>
              </w:rPr>
            </w:pPr>
          </w:p>
        </w:tc>
      </w:tr>
      <w:tr w:rsidR="00D605FA" w:rsidRPr="00EB3AA9" w14:paraId="25F75906"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515B1E6E" w14:textId="77777777" w:rsidR="00D605FA" w:rsidRPr="00EB3AA9" w:rsidRDefault="00D605FA" w:rsidP="00885EE5">
            <w:pPr>
              <w:spacing w:before="60" w:after="60"/>
              <w:ind w:left="17"/>
              <w:rPr>
                <w:rFonts w:cs="Arial"/>
                <w:i/>
                <w:sz w:val="18"/>
                <w:szCs w:val="18"/>
              </w:rPr>
            </w:pPr>
            <w:r w:rsidRPr="00EB3AA9">
              <w:rPr>
                <w:rFonts w:cs="Arial"/>
                <w:i/>
                <w:sz w:val="18"/>
                <w:szCs w:val="18"/>
              </w:rPr>
              <w:t>Thalassarche cauta steadi</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2FAB3103" w14:textId="77777777" w:rsidR="00D605FA" w:rsidRPr="00EB3AA9" w:rsidRDefault="00D605FA" w:rsidP="00885EE5">
            <w:pPr>
              <w:spacing w:before="60" w:after="60"/>
              <w:ind w:left="0" w:firstLine="13"/>
              <w:rPr>
                <w:rFonts w:cs="Arial"/>
                <w:sz w:val="18"/>
                <w:szCs w:val="18"/>
              </w:rPr>
            </w:pPr>
            <w:r w:rsidRPr="00EB3AA9">
              <w:rPr>
                <w:rFonts w:cs="Arial"/>
                <w:sz w:val="18"/>
                <w:szCs w:val="18"/>
              </w:rPr>
              <w:t>White-capped albatross</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55840BC4"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45C44993" w14:textId="3E380AFA" w:rsidR="00D605FA" w:rsidRPr="00EB3AA9" w:rsidRDefault="00D605FA">
            <w:pPr>
              <w:pStyle w:val="TableText"/>
              <w:jc w:val="center"/>
              <w:rPr>
                <w:rFonts w:cs="Arial"/>
                <w:sz w:val="18"/>
                <w:szCs w:val="18"/>
              </w:rPr>
            </w:pPr>
            <w:r w:rsidRPr="00F73C35">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16477169" w14:textId="27489011" w:rsidR="00D605FA" w:rsidRPr="00EB3AA9" w:rsidRDefault="00D605FA">
            <w:pPr>
              <w:pStyle w:val="TableText"/>
              <w:jc w:val="center"/>
              <w:rPr>
                <w:rFonts w:cs="Arial"/>
                <w:sz w:val="18"/>
                <w:szCs w:val="18"/>
              </w:rPr>
            </w:pPr>
            <w:r w:rsidRPr="00F73C35">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3CEDB351" w14:textId="53671626" w:rsidR="00D605FA" w:rsidRPr="00EB3AA9" w:rsidRDefault="007162AF">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4DD676ED" w14:textId="2AE20BDC" w:rsidR="00D605FA" w:rsidRPr="00EB3AA9" w:rsidRDefault="00D605FA">
            <w:pPr>
              <w:spacing w:before="60" w:after="60"/>
              <w:ind w:left="69" w:hanging="69"/>
              <w:jc w:val="center"/>
              <w:rPr>
                <w:rFonts w:cs="Arial"/>
                <w:sz w:val="18"/>
                <w:szCs w:val="18"/>
              </w:rPr>
            </w:pPr>
            <w:r w:rsidRPr="00EB3AA9">
              <w:rPr>
                <w:rFonts w:cs="Arial"/>
                <w:sz w:val="18"/>
                <w:szCs w:val="18"/>
              </w:rPr>
              <w:t>-</w:t>
            </w:r>
          </w:p>
        </w:tc>
        <w:tc>
          <w:tcPr>
            <w:tcW w:w="601" w:type="pct"/>
            <w:vMerge/>
            <w:tcBorders>
              <w:left w:val="single" w:sz="4" w:space="0" w:color="auto"/>
              <w:right w:val="single" w:sz="4" w:space="0" w:color="auto"/>
            </w:tcBorders>
          </w:tcPr>
          <w:p w14:paraId="379D3B43" w14:textId="77777777" w:rsidR="00D605FA" w:rsidRPr="00EB3AA9" w:rsidRDefault="00D605FA" w:rsidP="00885EE5">
            <w:pPr>
              <w:spacing w:before="60" w:after="60"/>
              <w:ind w:left="69" w:hanging="69"/>
              <w:jc w:val="center"/>
              <w:rPr>
                <w:rFonts w:cs="Arial"/>
                <w:sz w:val="18"/>
                <w:szCs w:val="18"/>
              </w:rPr>
            </w:pPr>
          </w:p>
        </w:tc>
      </w:tr>
      <w:tr w:rsidR="00D605FA" w:rsidRPr="00EB3AA9" w14:paraId="6613C874"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1D1F134C" w14:textId="77777777" w:rsidR="00D605FA" w:rsidRPr="00EB3AA9" w:rsidRDefault="00D605FA" w:rsidP="00885EE5">
            <w:pPr>
              <w:spacing w:before="60" w:after="60"/>
              <w:ind w:left="17"/>
              <w:rPr>
                <w:rFonts w:cs="Arial"/>
                <w:i/>
                <w:sz w:val="18"/>
                <w:szCs w:val="18"/>
              </w:rPr>
            </w:pPr>
            <w:r w:rsidRPr="00EB3AA9">
              <w:rPr>
                <w:rFonts w:cs="Arial"/>
                <w:i/>
                <w:sz w:val="18"/>
                <w:szCs w:val="18"/>
              </w:rPr>
              <w:t>Thalassarche chrysostoma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4C341576" w14:textId="77777777" w:rsidR="00D605FA" w:rsidRPr="00EB3AA9" w:rsidRDefault="00D605FA" w:rsidP="00885EE5">
            <w:pPr>
              <w:spacing w:before="60" w:after="60"/>
              <w:ind w:left="0" w:firstLine="13"/>
              <w:rPr>
                <w:rFonts w:cs="Arial"/>
                <w:sz w:val="18"/>
                <w:szCs w:val="18"/>
              </w:rPr>
            </w:pPr>
            <w:r w:rsidRPr="00EB3AA9">
              <w:rPr>
                <w:rFonts w:cs="Arial"/>
                <w:sz w:val="18"/>
                <w:szCs w:val="18"/>
              </w:rPr>
              <w:t>Grey-headed albatross</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05283B51" w14:textId="77777777" w:rsidR="00D605FA" w:rsidRPr="00EB3AA9" w:rsidRDefault="00D605FA" w:rsidP="00CD5287">
            <w:pPr>
              <w:spacing w:before="60" w:after="60"/>
              <w:ind w:left="0"/>
              <w:jc w:val="center"/>
              <w:rPr>
                <w:rFonts w:cs="Arial"/>
                <w:sz w:val="18"/>
                <w:szCs w:val="18"/>
              </w:rPr>
            </w:pPr>
            <w:r w:rsidRPr="00EB3AA9">
              <w:rPr>
                <w:rFonts w:cs="Arial"/>
                <w:sz w:val="18"/>
                <w:szCs w:val="18"/>
              </w:rPr>
              <w:t>E</w:t>
            </w:r>
          </w:p>
        </w:tc>
        <w:tc>
          <w:tcPr>
            <w:tcW w:w="579" w:type="pct"/>
            <w:tcBorders>
              <w:top w:val="single" w:sz="4" w:space="0" w:color="auto"/>
              <w:left w:val="single" w:sz="4" w:space="0" w:color="auto"/>
              <w:bottom w:val="single" w:sz="4" w:space="0" w:color="auto"/>
              <w:right w:val="single" w:sz="4" w:space="0" w:color="auto"/>
            </w:tcBorders>
            <w:vAlign w:val="center"/>
          </w:tcPr>
          <w:p w14:paraId="73785808" w14:textId="24054B30" w:rsidR="00D605FA" w:rsidRPr="00EB3AA9" w:rsidRDefault="00D605FA">
            <w:pPr>
              <w:pStyle w:val="TableText"/>
              <w:jc w:val="center"/>
              <w:rPr>
                <w:rFonts w:cs="Arial"/>
                <w:sz w:val="18"/>
                <w:szCs w:val="18"/>
              </w:rPr>
            </w:pPr>
            <w:r w:rsidRPr="00F73C35">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6AD6214A" w14:textId="0EE5393D" w:rsidR="00D605FA" w:rsidRPr="00EB3AA9" w:rsidRDefault="00D605FA">
            <w:pPr>
              <w:pStyle w:val="TableText"/>
              <w:jc w:val="center"/>
              <w:rPr>
                <w:rFonts w:cs="Arial"/>
                <w:sz w:val="18"/>
                <w:szCs w:val="18"/>
              </w:rPr>
            </w:pPr>
            <w:r w:rsidRPr="00F73C35">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0611DDF4" w14:textId="6B95B04B" w:rsidR="00D605FA" w:rsidRPr="00EB3AA9" w:rsidRDefault="00D605FA">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33C813C9" w14:textId="0604ED57" w:rsidR="00D605FA" w:rsidRPr="00EB3AA9" w:rsidRDefault="00D605FA">
            <w:pPr>
              <w:spacing w:before="60" w:after="60"/>
              <w:ind w:left="69" w:hanging="69"/>
              <w:jc w:val="center"/>
              <w:rPr>
                <w:rFonts w:cs="Arial"/>
                <w:sz w:val="18"/>
                <w:szCs w:val="18"/>
              </w:rPr>
            </w:pPr>
            <w:r w:rsidRPr="00EB3AA9">
              <w:rPr>
                <w:rFonts w:cs="Arial"/>
                <w:sz w:val="18"/>
                <w:szCs w:val="18"/>
              </w:rPr>
              <w:t>-</w:t>
            </w:r>
          </w:p>
        </w:tc>
        <w:tc>
          <w:tcPr>
            <w:tcW w:w="601" w:type="pct"/>
            <w:vMerge/>
            <w:tcBorders>
              <w:left w:val="single" w:sz="4" w:space="0" w:color="auto"/>
              <w:right w:val="single" w:sz="4" w:space="0" w:color="auto"/>
            </w:tcBorders>
          </w:tcPr>
          <w:p w14:paraId="1DABE242" w14:textId="77777777" w:rsidR="00D605FA" w:rsidRPr="00EB3AA9" w:rsidRDefault="00D605FA" w:rsidP="00885EE5">
            <w:pPr>
              <w:spacing w:before="60" w:after="60"/>
              <w:ind w:left="69" w:hanging="69"/>
              <w:jc w:val="center"/>
              <w:rPr>
                <w:rFonts w:cs="Arial"/>
                <w:sz w:val="18"/>
                <w:szCs w:val="18"/>
              </w:rPr>
            </w:pPr>
          </w:p>
        </w:tc>
      </w:tr>
      <w:tr w:rsidR="00D605FA" w:rsidRPr="00EB3AA9" w14:paraId="3983A9AE"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1FFDF91D" w14:textId="77777777" w:rsidR="00D605FA" w:rsidRPr="00EB3AA9" w:rsidRDefault="00D605FA" w:rsidP="00885EE5">
            <w:pPr>
              <w:spacing w:before="60" w:after="60"/>
              <w:ind w:left="17"/>
              <w:rPr>
                <w:rFonts w:cs="Arial"/>
                <w:i/>
                <w:sz w:val="18"/>
                <w:szCs w:val="18"/>
              </w:rPr>
            </w:pPr>
            <w:r w:rsidRPr="00EB3AA9">
              <w:rPr>
                <w:rFonts w:cs="Arial"/>
                <w:i/>
                <w:sz w:val="18"/>
                <w:szCs w:val="18"/>
              </w:rPr>
              <w:t>Thalassarche eremita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6D4A8162" w14:textId="77777777" w:rsidR="00D605FA" w:rsidRPr="00EB3AA9" w:rsidRDefault="00D605FA" w:rsidP="00885EE5">
            <w:pPr>
              <w:spacing w:before="60" w:after="60"/>
              <w:ind w:left="0" w:firstLine="13"/>
              <w:rPr>
                <w:rFonts w:cs="Arial"/>
                <w:sz w:val="18"/>
                <w:szCs w:val="18"/>
              </w:rPr>
            </w:pPr>
            <w:r w:rsidRPr="00EB3AA9">
              <w:rPr>
                <w:rFonts w:cs="Arial"/>
                <w:sz w:val="18"/>
                <w:szCs w:val="18"/>
              </w:rPr>
              <w:t>Chatham albatross</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5E52811D" w14:textId="77777777" w:rsidR="00D605FA" w:rsidRPr="00EB3AA9" w:rsidRDefault="00D605FA" w:rsidP="00CD5287">
            <w:pPr>
              <w:spacing w:before="60" w:after="60"/>
              <w:ind w:left="0"/>
              <w:jc w:val="center"/>
              <w:rPr>
                <w:rFonts w:cs="Arial"/>
                <w:sz w:val="18"/>
                <w:szCs w:val="18"/>
              </w:rPr>
            </w:pPr>
            <w:r w:rsidRPr="00EB3AA9">
              <w:rPr>
                <w:rFonts w:cs="Arial"/>
                <w:sz w:val="18"/>
                <w:szCs w:val="18"/>
              </w:rPr>
              <w:t>E</w:t>
            </w:r>
          </w:p>
        </w:tc>
        <w:tc>
          <w:tcPr>
            <w:tcW w:w="579" w:type="pct"/>
            <w:tcBorders>
              <w:top w:val="single" w:sz="4" w:space="0" w:color="auto"/>
              <w:left w:val="single" w:sz="4" w:space="0" w:color="auto"/>
              <w:bottom w:val="single" w:sz="4" w:space="0" w:color="auto"/>
              <w:right w:val="single" w:sz="4" w:space="0" w:color="auto"/>
            </w:tcBorders>
            <w:vAlign w:val="center"/>
          </w:tcPr>
          <w:p w14:paraId="1E3020C3" w14:textId="0F2F66FD" w:rsidR="00D605FA" w:rsidRPr="00EB3AA9" w:rsidRDefault="00D605FA">
            <w:pPr>
              <w:pStyle w:val="TableText"/>
              <w:jc w:val="center"/>
              <w:rPr>
                <w:rFonts w:cs="Arial"/>
                <w:sz w:val="18"/>
                <w:szCs w:val="18"/>
              </w:rPr>
            </w:pPr>
            <w:r w:rsidRPr="00F73C35">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3765898B" w14:textId="23C25E40" w:rsidR="00D605FA" w:rsidRPr="00EB3AA9" w:rsidRDefault="00D605FA">
            <w:pPr>
              <w:pStyle w:val="TableText"/>
              <w:jc w:val="center"/>
              <w:rPr>
                <w:rFonts w:cs="Arial"/>
                <w:sz w:val="18"/>
                <w:szCs w:val="18"/>
              </w:rPr>
            </w:pPr>
            <w:r w:rsidRPr="00F73C35">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226F92E2" w14:textId="34C994A9" w:rsidR="00D605FA" w:rsidRPr="00EB3AA9" w:rsidRDefault="007162AF">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4D5A75E2" w14:textId="767C87B8" w:rsidR="00D605FA" w:rsidRPr="00EB3AA9" w:rsidRDefault="00D605FA">
            <w:pPr>
              <w:spacing w:before="60" w:after="60"/>
              <w:ind w:left="69" w:hanging="69"/>
              <w:jc w:val="center"/>
              <w:rPr>
                <w:rFonts w:cs="Arial"/>
                <w:sz w:val="18"/>
                <w:szCs w:val="18"/>
              </w:rPr>
            </w:pPr>
            <w:r w:rsidRPr="00EB3AA9">
              <w:rPr>
                <w:rFonts w:cs="Arial"/>
                <w:sz w:val="18"/>
                <w:szCs w:val="18"/>
              </w:rPr>
              <w:t>-</w:t>
            </w:r>
          </w:p>
        </w:tc>
        <w:tc>
          <w:tcPr>
            <w:tcW w:w="601" w:type="pct"/>
            <w:vMerge/>
            <w:tcBorders>
              <w:left w:val="single" w:sz="4" w:space="0" w:color="auto"/>
              <w:right w:val="single" w:sz="4" w:space="0" w:color="auto"/>
            </w:tcBorders>
            <w:vAlign w:val="center"/>
          </w:tcPr>
          <w:p w14:paraId="22693785" w14:textId="77777777" w:rsidR="00D605FA" w:rsidRPr="00EB3AA9" w:rsidRDefault="00D605FA" w:rsidP="00885EE5">
            <w:pPr>
              <w:spacing w:before="60" w:after="60"/>
              <w:ind w:left="69" w:hanging="69"/>
              <w:jc w:val="center"/>
              <w:rPr>
                <w:rFonts w:cs="Arial"/>
                <w:sz w:val="18"/>
                <w:szCs w:val="18"/>
              </w:rPr>
            </w:pPr>
          </w:p>
        </w:tc>
      </w:tr>
      <w:tr w:rsidR="00D605FA" w:rsidRPr="00EB3AA9" w14:paraId="1C190D52"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0B11532D" w14:textId="77777777" w:rsidR="00D605FA" w:rsidRPr="00EB3AA9" w:rsidRDefault="00D605FA" w:rsidP="00885EE5">
            <w:pPr>
              <w:spacing w:before="60" w:after="60"/>
              <w:ind w:left="17"/>
              <w:rPr>
                <w:rFonts w:cs="Arial"/>
                <w:i/>
                <w:sz w:val="18"/>
                <w:szCs w:val="18"/>
              </w:rPr>
            </w:pPr>
            <w:r w:rsidRPr="00EB3AA9">
              <w:rPr>
                <w:rFonts w:cs="Arial"/>
                <w:i/>
                <w:sz w:val="18"/>
                <w:szCs w:val="18"/>
              </w:rPr>
              <w:t xml:space="preserve">Thalassarche </w:t>
            </w:r>
            <w:r w:rsidRPr="00EB3AA9">
              <w:rPr>
                <w:rFonts w:cs="Arial"/>
                <w:i/>
                <w:sz w:val="18"/>
                <w:szCs w:val="18"/>
              </w:rPr>
              <w:br/>
              <w:t>impavida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32B0AC75" w14:textId="77777777" w:rsidR="00D605FA" w:rsidRPr="00EB3AA9" w:rsidRDefault="00D605FA" w:rsidP="00885EE5">
            <w:pPr>
              <w:spacing w:before="60" w:after="60"/>
              <w:ind w:left="0" w:firstLine="13"/>
              <w:rPr>
                <w:rFonts w:cs="Arial"/>
                <w:sz w:val="18"/>
                <w:szCs w:val="18"/>
              </w:rPr>
            </w:pPr>
            <w:r w:rsidRPr="00EB3AA9">
              <w:rPr>
                <w:rFonts w:cs="Arial"/>
                <w:sz w:val="18"/>
                <w:szCs w:val="18"/>
              </w:rPr>
              <w:t>Campbell albatross</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3ED4C671"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03CDB0E6" w14:textId="039F8EA9" w:rsidR="00D605FA" w:rsidRPr="00EB3AA9" w:rsidRDefault="00D605FA">
            <w:pPr>
              <w:pStyle w:val="TableText"/>
              <w:jc w:val="center"/>
              <w:rPr>
                <w:rFonts w:cs="Arial"/>
                <w:sz w:val="18"/>
                <w:szCs w:val="18"/>
              </w:rPr>
            </w:pPr>
            <w:r w:rsidRPr="00F73C35">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050824DA" w14:textId="7ABD2D82" w:rsidR="00D605FA" w:rsidRPr="00EB3AA9" w:rsidRDefault="00D605FA">
            <w:pPr>
              <w:pStyle w:val="TableText"/>
              <w:jc w:val="center"/>
              <w:rPr>
                <w:rFonts w:cs="Arial"/>
                <w:sz w:val="18"/>
                <w:szCs w:val="18"/>
              </w:rPr>
            </w:pPr>
            <w:r w:rsidRPr="00F73C35">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3F1EDE96" w14:textId="3458DD9A" w:rsidR="00D605FA" w:rsidRPr="00EB3AA9" w:rsidRDefault="007162AF">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247A62A3" w14:textId="2D62B74D" w:rsidR="00D605FA" w:rsidRPr="00EB3AA9" w:rsidRDefault="00D605FA">
            <w:pPr>
              <w:spacing w:before="60" w:after="60"/>
              <w:ind w:left="69" w:hanging="69"/>
              <w:jc w:val="center"/>
              <w:rPr>
                <w:rFonts w:cs="Arial"/>
                <w:sz w:val="18"/>
                <w:szCs w:val="18"/>
              </w:rPr>
            </w:pPr>
            <w:r w:rsidRPr="00EB3AA9">
              <w:rPr>
                <w:rFonts w:cs="Arial"/>
                <w:sz w:val="18"/>
                <w:szCs w:val="18"/>
              </w:rPr>
              <w:t>Foraging</w:t>
            </w:r>
          </w:p>
        </w:tc>
        <w:tc>
          <w:tcPr>
            <w:tcW w:w="601" w:type="pct"/>
            <w:vMerge/>
            <w:tcBorders>
              <w:left w:val="single" w:sz="4" w:space="0" w:color="auto"/>
              <w:right w:val="single" w:sz="4" w:space="0" w:color="auto"/>
            </w:tcBorders>
          </w:tcPr>
          <w:p w14:paraId="0626DDD6" w14:textId="77777777" w:rsidR="00D605FA" w:rsidRPr="00EB3AA9" w:rsidRDefault="00D605FA" w:rsidP="00885EE5">
            <w:pPr>
              <w:spacing w:before="60" w:after="60"/>
              <w:ind w:left="69" w:hanging="69"/>
              <w:jc w:val="center"/>
              <w:rPr>
                <w:rFonts w:cs="Arial"/>
                <w:sz w:val="18"/>
                <w:szCs w:val="18"/>
              </w:rPr>
            </w:pPr>
          </w:p>
        </w:tc>
      </w:tr>
      <w:tr w:rsidR="00D605FA" w:rsidRPr="00EB3AA9" w14:paraId="2F7603DA"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0820CD92" w14:textId="77777777" w:rsidR="00D605FA" w:rsidRPr="00EB3AA9" w:rsidRDefault="00D605FA" w:rsidP="00885EE5">
            <w:pPr>
              <w:spacing w:before="60" w:after="60"/>
              <w:ind w:left="17"/>
              <w:rPr>
                <w:rFonts w:cs="Arial"/>
                <w:i/>
                <w:sz w:val="18"/>
                <w:szCs w:val="18"/>
              </w:rPr>
            </w:pPr>
            <w:r w:rsidRPr="00EB3AA9">
              <w:rPr>
                <w:rFonts w:cs="Arial"/>
                <w:i/>
                <w:sz w:val="18"/>
                <w:szCs w:val="18"/>
              </w:rPr>
              <w:t>Thalassarche melanophris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6D7B1827" w14:textId="77777777" w:rsidR="00D605FA" w:rsidRPr="00EB3AA9" w:rsidRDefault="00D605FA" w:rsidP="00885EE5">
            <w:pPr>
              <w:spacing w:before="60" w:after="60"/>
              <w:ind w:left="0" w:firstLine="13"/>
              <w:rPr>
                <w:rFonts w:cs="Arial"/>
                <w:sz w:val="18"/>
                <w:szCs w:val="18"/>
              </w:rPr>
            </w:pPr>
            <w:r w:rsidRPr="00EB3AA9">
              <w:rPr>
                <w:rFonts w:cs="Arial"/>
                <w:sz w:val="18"/>
                <w:szCs w:val="18"/>
              </w:rPr>
              <w:t>Black-browed albatross</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265A8043"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78F759FC" w14:textId="30F97FF7" w:rsidR="00D605FA" w:rsidRPr="00EB3AA9" w:rsidRDefault="00D605FA">
            <w:pPr>
              <w:pStyle w:val="TableText"/>
              <w:jc w:val="center"/>
              <w:rPr>
                <w:rFonts w:cs="Arial"/>
                <w:sz w:val="18"/>
                <w:szCs w:val="18"/>
              </w:rPr>
            </w:pPr>
            <w:r w:rsidRPr="00F73C35">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44441BF9" w14:textId="640A106A" w:rsidR="00D605FA" w:rsidRPr="00EB3AA9" w:rsidRDefault="00D605FA">
            <w:pPr>
              <w:pStyle w:val="TableText"/>
              <w:jc w:val="center"/>
              <w:rPr>
                <w:rFonts w:cs="Arial"/>
                <w:sz w:val="18"/>
                <w:szCs w:val="18"/>
              </w:rPr>
            </w:pPr>
            <w:r w:rsidRPr="00F73C35">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31EDD084" w14:textId="503A3E5A" w:rsidR="00D605FA" w:rsidRPr="00EB3AA9" w:rsidRDefault="007162AF">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03F1EA04" w14:textId="1E4E03A0" w:rsidR="00D605FA" w:rsidRPr="00EB3AA9" w:rsidRDefault="00D605FA">
            <w:pPr>
              <w:spacing w:before="60" w:after="60"/>
              <w:ind w:left="69" w:hanging="69"/>
              <w:jc w:val="center"/>
              <w:rPr>
                <w:rFonts w:cs="Arial"/>
                <w:sz w:val="18"/>
                <w:szCs w:val="18"/>
              </w:rPr>
            </w:pPr>
            <w:r w:rsidRPr="00EB3AA9">
              <w:rPr>
                <w:rFonts w:cs="Arial"/>
                <w:sz w:val="18"/>
                <w:szCs w:val="18"/>
              </w:rPr>
              <w:t>Foraging</w:t>
            </w:r>
          </w:p>
        </w:tc>
        <w:tc>
          <w:tcPr>
            <w:tcW w:w="601" w:type="pct"/>
            <w:vMerge/>
            <w:tcBorders>
              <w:left w:val="single" w:sz="4" w:space="0" w:color="auto"/>
              <w:right w:val="single" w:sz="4" w:space="0" w:color="auto"/>
            </w:tcBorders>
          </w:tcPr>
          <w:p w14:paraId="72AB44A9" w14:textId="77777777" w:rsidR="00D605FA" w:rsidRPr="00EB3AA9" w:rsidRDefault="00D605FA" w:rsidP="00885EE5">
            <w:pPr>
              <w:spacing w:before="60" w:after="60"/>
              <w:ind w:left="69" w:hanging="69"/>
              <w:jc w:val="center"/>
              <w:rPr>
                <w:rFonts w:cs="Arial"/>
                <w:sz w:val="18"/>
                <w:szCs w:val="18"/>
              </w:rPr>
            </w:pPr>
          </w:p>
        </w:tc>
      </w:tr>
      <w:tr w:rsidR="00D605FA" w:rsidRPr="00EB3AA9" w14:paraId="11CA6EAF"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5D7E90CB" w14:textId="77777777" w:rsidR="00D605FA" w:rsidRPr="00EB3AA9" w:rsidRDefault="00D605FA" w:rsidP="00885EE5">
            <w:pPr>
              <w:spacing w:before="60" w:after="60"/>
              <w:ind w:left="17"/>
              <w:rPr>
                <w:rFonts w:cs="Arial"/>
                <w:i/>
                <w:sz w:val="18"/>
                <w:szCs w:val="18"/>
              </w:rPr>
            </w:pPr>
            <w:r w:rsidRPr="00EB3AA9">
              <w:rPr>
                <w:rFonts w:cs="Arial"/>
                <w:i/>
                <w:sz w:val="18"/>
                <w:szCs w:val="18"/>
              </w:rPr>
              <w:t>Thalassarche salvini</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5B85AA57" w14:textId="77777777" w:rsidR="00D605FA" w:rsidRPr="00EB3AA9" w:rsidRDefault="00D605FA" w:rsidP="00885EE5">
            <w:pPr>
              <w:spacing w:before="60" w:after="60"/>
              <w:ind w:left="0" w:firstLine="13"/>
              <w:rPr>
                <w:rFonts w:cs="Arial"/>
                <w:sz w:val="18"/>
                <w:szCs w:val="18"/>
              </w:rPr>
            </w:pPr>
            <w:r w:rsidRPr="00EB3AA9">
              <w:rPr>
                <w:rFonts w:cs="Arial"/>
                <w:sz w:val="18"/>
                <w:szCs w:val="18"/>
              </w:rPr>
              <w:t>Salvin’s albatross</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31E4A958"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2C41515D" w14:textId="46D31F75" w:rsidR="00D605FA" w:rsidRPr="00EB3AA9" w:rsidRDefault="00D605FA">
            <w:pPr>
              <w:pStyle w:val="TableText"/>
              <w:jc w:val="center"/>
              <w:rPr>
                <w:rFonts w:cs="Arial"/>
                <w:sz w:val="18"/>
                <w:szCs w:val="18"/>
              </w:rPr>
            </w:pPr>
            <w:r w:rsidRPr="00F73C35">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60DB1FB2" w14:textId="22B5DDAB" w:rsidR="00D605FA" w:rsidRPr="00EB3AA9" w:rsidRDefault="00D605FA">
            <w:pPr>
              <w:pStyle w:val="TableText"/>
              <w:jc w:val="center"/>
              <w:rPr>
                <w:rFonts w:cs="Arial"/>
                <w:sz w:val="18"/>
                <w:szCs w:val="18"/>
              </w:rPr>
            </w:pPr>
            <w:r w:rsidRPr="00F73C35">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424B6067" w14:textId="6576E1A1" w:rsidR="00D605FA" w:rsidRPr="00EB3AA9" w:rsidRDefault="007162AF">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515BD15F" w14:textId="274B6BAF" w:rsidR="00D605FA" w:rsidRPr="00EB3AA9" w:rsidRDefault="00605EB1">
            <w:pPr>
              <w:spacing w:before="60" w:after="60"/>
              <w:ind w:left="69" w:hanging="69"/>
              <w:jc w:val="center"/>
              <w:rPr>
                <w:rFonts w:cs="Arial"/>
                <w:sz w:val="18"/>
                <w:szCs w:val="18"/>
              </w:rPr>
            </w:pPr>
            <w:r>
              <w:rPr>
                <w:rFonts w:cs="Arial"/>
                <w:sz w:val="18"/>
                <w:szCs w:val="18"/>
              </w:rPr>
              <w:t>-</w:t>
            </w:r>
          </w:p>
        </w:tc>
        <w:tc>
          <w:tcPr>
            <w:tcW w:w="601" w:type="pct"/>
            <w:vMerge/>
            <w:tcBorders>
              <w:left w:val="single" w:sz="4" w:space="0" w:color="auto"/>
              <w:right w:val="single" w:sz="4" w:space="0" w:color="auto"/>
            </w:tcBorders>
          </w:tcPr>
          <w:p w14:paraId="4A7BFDF5" w14:textId="77777777" w:rsidR="00D605FA" w:rsidRPr="00EB3AA9" w:rsidRDefault="00D605FA" w:rsidP="00885EE5">
            <w:pPr>
              <w:spacing w:before="60" w:after="60"/>
              <w:ind w:left="69" w:hanging="69"/>
              <w:jc w:val="center"/>
              <w:rPr>
                <w:rFonts w:cs="Arial"/>
                <w:sz w:val="18"/>
                <w:szCs w:val="18"/>
              </w:rPr>
            </w:pPr>
          </w:p>
        </w:tc>
      </w:tr>
      <w:tr w:rsidR="00D605FA" w:rsidRPr="00EB3AA9" w14:paraId="51CE85CC"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1E04D86A" w14:textId="77777777" w:rsidR="00D605FA" w:rsidRPr="00EB3AA9" w:rsidRDefault="00D605FA" w:rsidP="008E5360">
            <w:pPr>
              <w:spacing w:before="60" w:after="60"/>
              <w:ind w:left="17"/>
              <w:rPr>
                <w:rFonts w:cs="Arial"/>
                <w:i/>
                <w:sz w:val="18"/>
                <w:szCs w:val="18"/>
              </w:rPr>
            </w:pPr>
            <w:r w:rsidRPr="00EB3AA9">
              <w:rPr>
                <w:rFonts w:cs="Arial"/>
                <w:i/>
                <w:sz w:val="18"/>
                <w:szCs w:val="18"/>
              </w:rPr>
              <w:t xml:space="preserve">Thalassarche </w:t>
            </w:r>
            <w:r w:rsidRPr="00EB3AA9">
              <w:rPr>
                <w:rFonts w:cs="Arial"/>
                <w:sz w:val="18"/>
                <w:szCs w:val="18"/>
              </w:rPr>
              <w:t>sp. nov.</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34B25349" w14:textId="77777777" w:rsidR="00D605FA" w:rsidRDefault="00D605FA" w:rsidP="00885EE5">
            <w:pPr>
              <w:spacing w:before="60" w:after="60"/>
              <w:ind w:left="0" w:firstLine="13"/>
              <w:rPr>
                <w:rFonts w:cs="Arial"/>
                <w:sz w:val="18"/>
                <w:szCs w:val="18"/>
              </w:rPr>
            </w:pPr>
            <w:r w:rsidRPr="00EB3AA9">
              <w:rPr>
                <w:rFonts w:cs="Arial"/>
                <w:sz w:val="18"/>
                <w:szCs w:val="18"/>
              </w:rPr>
              <w:t>Pacific albatross</w:t>
            </w:r>
          </w:p>
          <w:p w14:paraId="3AEF0DC2" w14:textId="77777777" w:rsidR="00605EB1" w:rsidRPr="00EB3AA9" w:rsidRDefault="00605EB1" w:rsidP="00885EE5">
            <w:pPr>
              <w:spacing w:before="60" w:after="60"/>
              <w:ind w:left="0" w:firstLine="13"/>
              <w:rPr>
                <w:rFonts w:cs="Arial"/>
                <w:sz w:val="18"/>
                <w:szCs w:val="18"/>
              </w:rPr>
            </w:pP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7FEFAE9A"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290A5610" w14:textId="133BE84C" w:rsidR="00D605FA" w:rsidRPr="00EB3AA9" w:rsidRDefault="00D605FA">
            <w:pPr>
              <w:pStyle w:val="TableText"/>
              <w:jc w:val="center"/>
              <w:rPr>
                <w:rFonts w:cs="Arial"/>
                <w:sz w:val="18"/>
                <w:szCs w:val="18"/>
              </w:rPr>
            </w:pPr>
            <w:r w:rsidRPr="00F73C35">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0C947111" w14:textId="1482BB26" w:rsidR="00D605FA" w:rsidRPr="00EB3AA9" w:rsidRDefault="00D605FA">
            <w:pPr>
              <w:pStyle w:val="TableText"/>
              <w:jc w:val="center"/>
              <w:rPr>
                <w:rFonts w:cs="Arial"/>
                <w:sz w:val="18"/>
                <w:szCs w:val="18"/>
              </w:rPr>
            </w:pPr>
            <w:r w:rsidRPr="00F73C35">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7BB18A17" w14:textId="1CBABCA6" w:rsidR="00D605FA" w:rsidRPr="00EB3AA9" w:rsidRDefault="007162AF">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35C25711" w14:textId="60BE32D9" w:rsidR="00D605FA" w:rsidRPr="00EB3AA9" w:rsidRDefault="00D605FA">
            <w:pPr>
              <w:spacing w:before="60" w:after="60"/>
              <w:ind w:left="69" w:hanging="69"/>
              <w:jc w:val="center"/>
              <w:rPr>
                <w:rFonts w:cs="Arial"/>
                <w:sz w:val="18"/>
                <w:szCs w:val="18"/>
              </w:rPr>
            </w:pPr>
            <w:r w:rsidRPr="00EB3AA9">
              <w:rPr>
                <w:rFonts w:cs="Arial"/>
                <w:sz w:val="18"/>
                <w:szCs w:val="18"/>
              </w:rPr>
              <w:t>-</w:t>
            </w:r>
          </w:p>
        </w:tc>
        <w:tc>
          <w:tcPr>
            <w:tcW w:w="601" w:type="pct"/>
            <w:vMerge/>
            <w:tcBorders>
              <w:left w:val="single" w:sz="4" w:space="0" w:color="auto"/>
              <w:right w:val="single" w:sz="4" w:space="0" w:color="auto"/>
            </w:tcBorders>
          </w:tcPr>
          <w:p w14:paraId="7B93025C" w14:textId="77777777" w:rsidR="00D605FA" w:rsidRPr="00EB3AA9" w:rsidRDefault="00D605FA" w:rsidP="00885EE5">
            <w:pPr>
              <w:spacing w:before="60" w:after="60"/>
              <w:ind w:left="69" w:hanging="69"/>
              <w:jc w:val="center"/>
              <w:rPr>
                <w:rFonts w:cs="Arial"/>
                <w:sz w:val="18"/>
                <w:szCs w:val="18"/>
              </w:rPr>
            </w:pPr>
          </w:p>
        </w:tc>
      </w:tr>
      <w:tr w:rsidR="00D605FA" w:rsidRPr="00EB3AA9" w14:paraId="15ED1A01"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7AEFBF0B" w14:textId="77777777" w:rsidR="00D605FA" w:rsidRPr="00EB3AA9" w:rsidRDefault="00D605FA" w:rsidP="008E5360">
            <w:pPr>
              <w:spacing w:before="60" w:after="60"/>
              <w:ind w:left="17"/>
              <w:rPr>
                <w:rFonts w:cs="Arial"/>
                <w:i/>
                <w:sz w:val="18"/>
                <w:szCs w:val="18"/>
              </w:rPr>
            </w:pPr>
            <w:r w:rsidRPr="00EB3AA9">
              <w:rPr>
                <w:rFonts w:cs="Arial"/>
                <w:i/>
                <w:sz w:val="18"/>
                <w:szCs w:val="18"/>
              </w:rPr>
              <w:lastRenderedPageBreak/>
              <w:t>Thalassarche steadi</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5A810454" w14:textId="77777777" w:rsidR="00D605FA" w:rsidRPr="00EB3AA9" w:rsidRDefault="00D605FA" w:rsidP="00885EE5">
            <w:pPr>
              <w:spacing w:before="60" w:after="60"/>
              <w:ind w:left="0" w:firstLine="13"/>
              <w:rPr>
                <w:rFonts w:cs="Arial"/>
                <w:sz w:val="18"/>
                <w:szCs w:val="18"/>
              </w:rPr>
            </w:pPr>
            <w:r w:rsidRPr="00EB3AA9">
              <w:rPr>
                <w:rFonts w:cs="Arial"/>
                <w:sz w:val="18"/>
                <w:szCs w:val="18"/>
              </w:rPr>
              <w:t>White-capped albatross</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77E9D25A" w14:textId="77777777" w:rsidR="00D605FA" w:rsidRDefault="00D605FA" w:rsidP="00CD5287">
            <w:pPr>
              <w:spacing w:before="60" w:after="60"/>
              <w:ind w:left="0"/>
              <w:jc w:val="center"/>
              <w:rPr>
                <w:rFonts w:cs="Arial"/>
                <w:sz w:val="18"/>
                <w:szCs w:val="18"/>
              </w:rPr>
            </w:pPr>
            <w:r w:rsidRPr="00EB3AA9">
              <w:rPr>
                <w:rFonts w:cs="Arial"/>
                <w:sz w:val="18"/>
                <w:szCs w:val="18"/>
              </w:rPr>
              <w:t>V</w:t>
            </w:r>
          </w:p>
          <w:p w14:paraId="6037BCA2" w14:textId="77777777" w:rsidR="00D605FA" w:rsidRDefault="00D605FA" w:rsidP="00CD5287">
            <w:pPr>
              <w:spacing w:before="60" w:after="60"/>
              <w:ind w:left="0"/>
              <w:jc w:val="center"/>
              <w:rPr>
                <w:rFonts w:cs="Arial"/>
                <w:sz w:val="18"/>
                <w:szCs w:val="18"/>
              </w:rPr>
            </w:pPr>
          </w:p>
          <w:p w14:paraId="228FE3C2" w14:textId="77777777" w:rsidR="00D605FA" w:rsidRPr="00EB3AA9" w:rsidRDefault="00D605FA" w:rsidP="00CD5287">
            <w:pPr>
              <w:spacing w:before="60" w:after="60"/>
              <w:ind w:left="0"/>
              <w:jc w:val="center"/>
              <w:rPr>
                <w:rFonts w:cs="Arial"/>
                <w:sz w:val="18"/>
                <w:szCs w:val="18"/>
              </w:rPr>
            </w:pPr>
          </w:p>
        </w:tc>
        <w:tc>
          <w:tcPr>
            <w:tcW w:w="579" w:type="pct"/>
            <w:tcBorders>
              <w:top w:val="single" w:sz="4" w:space="0" w:color="auto"/>
              <w:left w:val="single" w:sz="4" w:space="0" w:color="auto"/>
              <w:bottom w:val="single" w:sz="4" w:space="0" w:color="auto"/>
              <w:right w:val="single" w:sz="4" w:space="0" w:color="auto"/>
            </w:tcBorders>
          </w:tcPr>
          <w:p w14:paraId="052149C5" w14:textId="0B59010D" w:rsidR="00D605FA" w:rsidRPr="00EB3AA9" w:rsidRDefault="00D605FA" w:rsidP="00CD5287">
            <w:pPr>
              <w:pStyle w:val="TableText"/>
              <w:jc w:val="center"/>
              <w:rPr>
                <w:rFonts w:cs="Arial"/>
                <w:sz w:val="18"/>
                <w:szCs w:val="18"/>
              </w:rPr>
            </w:pPr>
            <w:r w:rsidRPr="00427D24">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tcPr>
          <w:p w14:paraId="6917B832" w14:textId="786D5B6C" w:rsidR="00D605FA" w:rsidRPr="00EB3AA9" w:rsidRDefault="00D605FA" w:rsidP="00CD5287">
            <w:pPr>
              <w:pStyle w:val="TableText"/>
              <w:jc w:val="center"/>
              <w:rPr>
                <w:rFonts w:cs="Arial"/>
                <w:sz w:val="18"/>
                <w:szCs w:val="18"/>
              </w:rPr>
            </w:pPr>
            <w:r w:rsidRPr="00427D24">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tcPr>
          <w:p w14:paraId="09ADB3EC" w14:textId="42E3FA01" w:rsidR="00D605FA" w:rsidRPr="00EB3AA9" w:rsidRDefault="007162AF" w:rsidP="00CD5287">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4E0247C1" w14:textId="650B9DB2"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vMerge/>
            <w:tcBorders>
              <w:left w:val="single" w:sz="4" w:space="0" w:color="auto"/>
              <w:bottom w:val="single" w:sz="4" w:space="0" w:color="auto"/>
              <w:right w:val="single" w:sz="4" w:space="0" w:color="auto"/>
            </w:tcBorders>
          </w:tcPr>
          <w:p w14:paraId="48879F0A" w14:textId="77777777" w:rsidR="00D605FA" w:rsidRPr="00EB3AA9" w:rsidRDefault="00D605FA" w:rsidP="00885EE5">
            <w:pPr>
              <w:spacing w:before="60" w:after="60"/>
              <w:ind w:left="69" w:hanging="69"/>
              <w:jc w:val="center"/>
              <w:rPr>
                <w:rFonts w:cs="Arial"/>
                <w:sz w:val="18"/>
                <w:szCs w:val="18"/>
              </w:rPr>
            </w:pPr>
          </w:p>
        </w:tc>
      </w:tr>
      <w:tr w:rsidR="007162AF" w:rsidRPr="00EB3AA9" w14:paraId="519E57D7" w14:textId="77777777" w:rsidTr="00891DE1">
        <w:trPr>
          <w:trHeight w:val="345"/>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F5B144" w14:textId="2D2B4868" w:rsidR="007162AF" w:rsidRPr="00EB3AA9" w:rsidRDefault="007162AF" w:rsidP="00891DE1">
            <w:pPr>
              <w:spacing w:before="60" w:after="60"/>
              <w:ind w:left="69" w:hanging="69"/>
              <w:rPr>
                <w:rFonts w:cs="Arial"/>
                <w:sz w:val="18"/>
                <w:szCs w:val="18"/>
              </w:rPr>
            </w:pPr>
            <w:r>
              <w:rPr>
                <w:rFonts w:cs="Arial"/>
                <w:i/>
                <w:sz w:val="18"/>
                <w:szCs w:val="18"/>
              </w:rPr>
              <w:t>Petrels</w:t>
            </w:r>
          </w:p>
        </w:tc>
      </w:tr>
      <w:tr w:rsidR="00D605FA" w:rsidRPr="00EB3AA9" w14:paraId="41391A6B"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38F1FB46" w14:textId="77777777" w:rsidR="00D605FA" w:rsidRPr="00EB3AA9" w:rsidRDefault="00D605FA" w:rsidP="00885EE5">
            <w:pPr>
              <w:spacing w:before="60" w:after="60"/>
              <w:ind w:left="17"/>
              <w:rPr>
                <w:rFonts w:cs="Arial"/>
                <w:i/>
                <w:sz w:val="18"/>
                <w:szCs w:val="18"/>
              </w:rPr>
            </w:pPr>
            <w:r w:rsidRPr="00EB3AA9">
              <w:rPr>
                <w:rFonts w:cs="Arial"/>
                <w:i/>
                <w:sz w:val="18"/>
                <w:szCs w:val="18"/>
              </w:rPr>
              <w:t>Fregetta grallaria grallaria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36417962" w14:textId="77777777" w:rsidR="00D605FA" w:rsidRPr="00EB3AA9" w:rsidRDefault="00D605FA" w:rsidP="00885EE5">
            <w:pPr>
              <w:spacing w:before="60" w:after="60"/>
              <w:ind w:left="0" w:firstLine="13"/>
              <w:rPr>
                <w:rFonts w:cs="Arial"/>
                <w:sz w:val="18"/>
                <w:szCs w:val="18"/>
              </w:rPr>
            </w:pPr>
            <w:r w:rsidRPr="00EB3AA9">
              <w:rPr>
                <w:rFonts w:cs="Arial"/>
                <w:sz w:val="18"/>
                <w:szCs w:val="18"/>
              </w:rPr>
              <w:t>White-bellied storm-petrel</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08DA6CFC"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3E93C4DB" w14:textId="77777777" w:rsidR="00D605FA" w:rsidRPr="00EB3AA9" w:rsidRDefault="00D605FA" w:rsidP="00CD5287">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45F3E012" w14:textId="77777777" w:rsidR="00D605FA" w:rsidRPr="00EB3AA9" w:rsidRDefault="00D605FA" w:rsidP="00CD5287">
            <w:pPr>
              <w:pStyle w:val="TableText"/>
              <w:jc w:val="center"/>
              <w:rPr>
                <w:rFonts w:cs="Arial"/>
                <w:sz w:val="18"/>
                <w:szCs w:val="18"/>
              </w:rPr>
            </w:pPr>
            <w:r w:rsidRPr="00EB3AA9">
              <w:rPr>
                <w:rFonts w:cs="Arial"/>
                <w:sz w:val="18"/>
                <w:szCs w:val="18"/>
              </w:rPr>
              <w:t>-</w:t>
            </w:r>
          </w:p>
        </w:tc>
        <w:tc>
          <w:tcPr>
            <w:tcW w:w="433" w:type="pct"/>
            <w:tcBorders>
              <w:top w:val="single" w:sz="4" w:space="0" w:color="auto"/>
              <w:left w:val="single" w:sz="4" w:space="0" w:color="auto"/>
              <w:bottom w:val="single" w:sz="4" w:space="0" w:color="auto"/>
              <w:right w:val="single" w:sz="4" w:space="0" w:color="auto"/>
            </w:tcBorders>
          </w:tcPr>
          <w:p w14:paraId="39BC3B59" w14:textId="3EFAE010" w:rsidR="00D605FA" w:rsidRPr="00EB3AA9" w:rsidRDefault="007162AF" w:rsidP="00CD5287">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37E7FC90" w14:textId="34E113AA"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right w:val="single" w:sz="4" w:space="0" w:color="auto"/>
            </w:tcBorders>
            <w:vAlign w:val="center"/>
          </w:tcPr>
          <w:p w14:paraId="59D0FAF9" w14:textId="77777777" w:rsidR="00D605FA" w:rsidRPr="00EB3AA9" w:rsidRDefault="00D605FA" w:rsidP="00885EE5">
            <w:pPr>
              <w:spacing w:before="60" w:after="60"/>
              <w:ind w:left="69" w:hanging="69"/>
              <w:jc w:val="center"/>
              <w:rPr>
                <w:rFonts w:cs="Arial"/>
                <w:sz w:val="18"/>
                <w:szCs w:val="18"/>
              </w:rPr>
            </w:pPr>
            <w:r w:rsidRPr="00EB3AA9">
              <w:rPr>
                <w:rFonts w:cs="Arial"/>
                <w:sz w:val="18"/>
                <w:szCs w:val="18"/>
              </w:rPr>
              <w:t>-</w:t>
            </w:r>
          </w:p>
        </w:tc>
      </w:tr>
      <w:tr w:rsidR="00D605FA" w:rsidRPr="00EB3AA9" w14:paraId="2CAA59F9"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46B74D4B" w14:textId="77777777" w:rsidR="00D605FA" w:rsidRPr="00EB3AA9" w:rsidRDefault="00D605FA" w:rsidP="00885EE5">
            <w:pPr>
              <w:spacing w:before="60" w:after="60"/>
              <w:ind w:left="17"/>
              <w:rPr>
                <w:rFonts w:cs="Arial"/>
                <w:i/>
                <w:sz w:val="18"/>
                <w:szCs w:val="18"/>
              </w:rPr>
            </w:pPr>
            <w:r w:rsidRPr="00EB3AA9">
              <w:rPr>
                <w:rFonts w:cs="Arial"/>
                <w:i/>
                <w:sz w:val="18"/>
                <w:szCs w:val="18"/>
              </w:rPr>
              <w:t>Halobaena caerulea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011D0899" w14:textId="77777777" w:rsidR="00D605FA" w:rsidRPr="00EB3AA9" w:rsidRDefault="00D605FA" w:rsidP="00885EE5">
            <w:pPr>
              <w:spacing w:before="60" w:after="60"/>
              <w:ind w:left="0" w:firstLine="13"/>
              <w:rPr>
                <w:rFonts w:cs="Arial"/>
                <w:sz w:val="18"/>
                <w:szCs w:val="18"/>
              </w:rPr>
            </w:pPr>
            <w:r w:rsidRPr="00EB3AA9">
              <w:rPr>
                <w:rFonts w:cs="Arial"/>
                <w:sz w:val="18"/>
                <w:szCs w:val="18"/>
              </w:rPr>
              <w:t>Blue petrel</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51DF7A99"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056F0F16" w14:textId="77777777" w:rsidR="00D605FA" w:rsidRPr="00EB3AA9" w:rsidRDefault="00D605FA" w:rsidP="00CD5287">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10A27338" w14:textId="169F7C6B" w:rsidR="00D605FA" w:rsidRPr="00EB3AA9" w:rsidRDefault="00D605FA" w:rsidP="00CD5287">
            <w:pPr>
              <w:pStyle w:val="TableText"/>
              <w:jc w:val="center"/>
              <w:rPr>
                <w:rFonts w:cs="Arial"/>
                <w:sz w:val="18"/>
                <w:szCs w:val="18"/>
              </w:rPr>
            </w:pPr>
            <w:r>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tcPr>
          <w:p w14:paraId="293B1F35" w14:textId="3972AEA3" w:rsidR="00D605FA" w:rsidRPr="00EB3AA9" w:rsidRDefault="007162AF" w:rsidP="00CD5287">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432AF5F9" w14:textId="053DA6F8"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tcBorders>
              <w:left w:val="single" w:sz="4" w:space="0" w:color="auto"/>
              <w:right w:val="single" w:sz="4" w:space="0" w:color="auto"/>
            </w:tcBorders>
            <w:vAlign w:val="center"/>
          </w:tcPr>
          <w:p w14:paraId="622B27FF" w14:textId="77777777" w:rsidR="00D605FA" w:rsidRPr="00EB3AA9" w:rsidRDefault="00D605FA" w:rsidP="00885EE5">
            <w:pPr>
              <w:spacing w:before="60" w:after="60"/>
              <w:ind w:left="69" w:hanging="69"/>
              <w:jc w:val="center"/>
              <w:rPr>
                <w:rFonts w:cs="Arial"/>
                <w:sz w:val="18"/>
                <w:szCs w:val="18"/>
              </w:rPr>
            </w:pPr>
            <w:r w:rsidRPr="00EB3AA9">
              <w:rPr>
                <w:rFonts w:cs="Arial"/>
                <w:sz w:val="18"/>
                <w:szCs w:val="18"/>
              </w:rPr>
              <w:t>-</w:t>
            </w:r>
          </w:p>
        </w:tc>
      </w:tr>
      <w:tr w:rsidR="00D605FA" w:rsidRPr="00EB3AA9" w14:paraId="566473DE"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1E4A745C" w14:textId="77777777" w:rsidR="00D605FA" w:rsidRPr="00EB3AA9" w:rsidRDefault="00D605FA" w:rsidP="00885EE5">
            <w:pPr>
              <w:spacing w:before="60" w:after="60"/>
              <w:ind w:left="17"/>
              <w:rPr>
                <w:rFonts w:cs="Arial"/>
                <w:i/>
                <w:sz w:val="18"/>
                <w:szCs w:val="18"/>
              </w:rPr>
            </w:pPr>
            <w:r w:rsidRPr="00EB3AA9">
              <w:rPr>
                <w:rFonts w:cs="Arial"/>
                <w:i/>
                <w:sz w:val="18"/>
                <w:szCs w:val="18"/>
              </w:rPr>
              <w:t>Macronectes giganteus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295EAB2A" w14:textId="77777777" w:rsidR="00D605FA" w:rsidRPr="00EB3AA9" w:rsidRDefault="00D605FA" w:rsidP="00885EE5">
            <w:pPr>
              <w:spacing w:before="60" w:after="60"/>
              <w:ind w:left="0" w:firstLine="13"/>
              <w:rPr>
                <w:rFonts w:cs="Arial"/>
                <w:sz w:val="18"/>
                <w:szCs w:val="18"/>
              </w:rPr>
            </w:pPr>
            <w:r w:rsidRPr="00EB3AA9">
              <w:rPr>
                <w:rFonts w:cs="Arial"/>
                <w:sz w:val="18"/>
                <w:szCs w:val="18"/>
              </w:rPr>
              <w:t>Southern giant petrel</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2FD93783" w14:textId="77777777" w:rsidR="00D605FA" w:rsidRPr="00EB3AA9" w:rsidRDefault="00D605FA" w:rsidP="00CD5287">
            <w:pPr>
              <w:spacing w:before="60" w:after="60"/>
              <w:ind w:left="0"/>
              <w:jc w:val="center"/>
              <w:rPr>
                <w:rFonts w:cs="Arial"/>
                <w:sz w:val="18"/>
                <w:szCs w:val="18"/>
              </w:rPr>
            </w:pPr>
            <w:r w:rsidRPr="00EB3AA9">
              <w:rPr>
                <w:rFonts w:cs="Arial"/>
                <w:sz w:val="18"/>
                <w:szCs w:val="18"/>
              </w:rPr>
              <w:t>E</w:t>
            </w:r>
          </w:p>
        </w:tc>
        <w:tc>
          <w:tcPr>
            <w:tcW w:w="579" w:type="pct"/>
            <w:tcBorders>
              <w:top w:val="single" w:sz="4" w:space="0" w:color="auto"/>
              <w:left w:val="single" w:sz="4" w:space="0" w:color="auto"/>
              <w:bottom w:val="single" w:sz="4" w:space="0" w:color="auto"/>
              <w:right w:val="single" w:sz="4" w:space="0" w:color="auto"/>
            </w:tcBorders>
          </w:tcPr>
          <w:p w14:paraId="3B335A7B" w14:textId="33F1ED28" w:rsidR="00D605FA" w:rsidRPr="00EB3AA9" w:rsidRDefault="00D605FA" w:rsidP="00CD5287">
            <w:pPr>
              <w:pStyle w:val="TableText"/>
              <w:jc w:val="center"/>
              <w:rPr>
                <w:rFonts w:cs="Arial"/>
                <w:sz w:val="18"/>
                <w:szCs w:val="18"/>
              </w:rPr>
            </w:pPr>
            <w:r w:rsidRPr="000F5979">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tcPr>
          <w:p w14:paraId="3C22FBDF" w14:textId="4658CAF0" w:rsidR="00D605FA" w:rsidRPr="00EB3AA9" w:rsidRDefault="00D605FA" w:rsidP="00CD5287">
            <w:pPr>
              <w:pStyle w:val="TableText"/>
              <w:jc w:val="center"/>
              <w:rPr>
                <w:rFonts w:cs="Arial"/>
                <w:sz w:val="18"/>
                <w:szCs w:val="18"/>
              </w:rPr>
            </w:pPr>
            <w:r w:rsidRPr="000F5979">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tcPr>
          <w:p w14:paraId="2D004C8C" w14:textId="713FF363" w:rsidR="00D605FA" w:rsidRPr="00EB3AA9" w:rsidRDefault="00D605FA" w:rsidP="00CD5287">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25257607" w14:textId="5C29070C"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vMerge w:val="restart"/>
            <w:tcBorders>
              <w:left w:val="single" w:sz="4" w:space="0" w:color="auto"/>
              <w:right w:val="single" w:sz="4" w:space="0" w:color="auto"/>
            </w:tcBorders>
          </w:tcPr>
          <w:p w14:paraId="292DA01E" w14:textId="2461FB10" w:rsidR="00D605FA" w:rsidRPr="00EB3AA9" w:rsidRDefault="00D605FA" w:rsidP="008548E3">
            <w:pPr>
              <w:spacing w:before="60" w:after="60"/>
              <w:ind w:left="69" w:hanging="69"/>
              <w:jc w:val="center"/>
              <w:rPr>
                <w:rFonts w:cs="Arial"/>
                <w:sz w:val="18"/>
                <w:szCs w:val="18"/>
              </w:rPr>
            </w:pPr>
            <w:r w:rsidRPr="00EB3AA9">
              <w:rPr>
                <w:rFonts w:cs="Arial"/>
                <w:sz w:val="18"/>
                <w:szCs w:val="18"/>
              </w:rPr>
              <w:t>Generic RP and AS for giant petrels</w:t>
            </w:r>
          </w:p>
        </w:tc>
      </w:tr>
      <w:tr w:rsidR="00D605FA" w:rsidRPr="00EB3AA9" w14:paraId="3638D26E"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66BDE4BC" w14:textId="77777777" w:rsidR="00D605FA" w:rsidRPr="00EB3AA9" w:rsidRDefault="00D605FA" w:rsidP="00885EE5">
            <w:pPr>
              <w:spacing w:before="60" w:after="60"/>
              <w:ind w:left="17"/>
              <w:rPr>
                <w:rFonts w:cs="Arial"/>
                <w:i/>
                <w:sz w:val="18"/>
                <w:szCs w:val="18"/>
              </w:rPr>
            </w:pPr>
            <w:r w:rsidRPr="00EB3AA9">
              <w:rPr>
                <w:rFonts w:cs="Arial"/>
                <w:i/>
                <w:sz w:val="18"/>
                <w:szCs w:val="18"/>
              </w:rPr>
              <w:t>Macronectes halli</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1DFCFF61" w14:textId="77777777" w:rsidR="00D605FA" w:rsidRPr="00EB3AA9" w:rsidRDefault="00D605FA" w:rsidP="00885EE5">
            <w:pPr>
              <w:spacing w:before="60" w:after="60"/>
              <w:ind w:left="0" w:firstLine="13"/>
              <w:rPr>
                <w:rFonts w:cs="Arial"/>
                <w:sz w:val="18"/>
                <w:szCs w:val="18"/>
              </w:rPr>
            </w:pPr>
            <w:r w:rsidRPr="00EB3AA9">
              <w:rPr>
                <w:rFonts w:cs="Arial"/>
                <w:sz w:val="18"/>
                <w:szCs w:val="18"/>
              </w:rPr>
              <w:t>Northern giant petrel</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0DDDE21D"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tcPr>
          <w:p w14:paraId="14383D04" w14:textId="74F55AEC" w:rsidR="00D605FA" w:rsidRPr="00EB3AA9" w:rsidRDefault="00D605FA" w:rsidP="00CD5287">
            <w:pPr>
              <w:pStyle w:val="TableText"/>
              <w:jc w:val="center"/>
              <w:rPr>
                <w:rFonts w:cs="Arial"/>
                <w:sz w:val="18"/>
                <w:szCs w:val="18"/>
              </w:rPr>
            </w:pPr>
            <w:r w:rsidRPr="000F5979">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tcPr>
          <w:p w14:paraId="4C898B0F" w14:textId="37891DA9" w:rsidR="00D605FA" w:rsidRPr="00EB3AA9" w:rsidRDefault="00D605FA" w:rsidP="00CD5287">
            <w:pPr>
              <w:pStyle w:val="TableText"/>
              <w:jc w:val="center"/>
              <w:rPr>
                <w:rFonts w:cs="Arial"/>
                <w:sz w:val="18"/>
                <w:szCs w:val="18"/>
              </w:rPr>
            </w:pPr>
            <w:r w:rsidRPr="000F5979">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tcPr>
          <w:p w14:paraId="3DBFCF02" w14:textId="3D692376" w:rsidR="00D605FA" w:rsidRPr="00EB3AA9" w:rsidRDefault="00D605FA" w:rsidP="00CD5287">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53A898A9" w14:textId="7F8573FE"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vMerge/>
            <w:tcBorders>
              <w:left w:val="single" w:sz="4" w:space="0" w:color="auto"/>
              <w:right w:val="single" w:sz="4" w:space="0" w:color="auto"/>
            </w:tcBorders>
          </w:tcPr>
          <w:p w14:paraId="05F57FE9" w14:textId="77777777" w:rsidR="00D605FA" w:rsidRPr="00EB3AA9" w:rsidRDefault="00D605FA" w:rsidP="00885EE5">
            <w:pPr>
              <w:spacing w:before="60" w:after="60"/>
              <w:ind w:left="69" w:hanging="69"/>
              <w:jc w:val="center"/>
              <w:rPr>
                <w:rFonts w:cs="Arial"/>
                <w:sz w:val="18"/>
                <w:szCs w:val="18"/>
              </w:rPr>
            </w:pPr>
          </w:p>
        </w:tc>
      </w:tr>
      <w:tr w:rsidR="00D605FA" w:rsidRPr="00EB3AA9" w14:paraId="43E4AB3E"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3CED960F" w14:textId="77777777" w:rsidR="00D605FA" w:rsidRPr="00EB3AA9" w:rsidRDefault="00D605FA" w:rsidP="00885EE5">
            <w:pPr>
              <w:spacing w:before="60" w:after="60"/>
              <w:ind w:left="17"/>
              <w:rPr>
                <w:rFonts w:cs="Arial"/>
                <w:i/>
                <w:sz w:val="18"/>
                <w:szCs w:val="18"/>
              </w:rPr>
            </w:pPr>
            <w:r w:rsidRPr="00EB3AA9">
              <w:rPr>
                <w:rFonts w:cs="Arial"/>
                <w:i/>
                <w:sz w:val="18"/>
                <w:szCs w:val="18"/>
              </w:rPr>
              <w:t>Pterodroma leucoptera leucoptera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01A29DF6" w14:textId="77777777" w:rsidR="00D605FA" w:rsidRPr="00EB3AA9" w:rsidRDefault="00D605FA" w:rsidP="00885EE5">
            <w:pPr>
              <w:spacing w:before="60" w:after="60"/>
              <w:ind w:left="0" w:firstLine="13"/>
              <w:rPr>
                <w:rFonts w:cs="Arial"/>
                <w:sz w:val="18"/>
                <w:szCs w:val="18"/>
              </w:rPr>
            </w:pPr>
            <w:r w:rsidRPr="00EB3AA9">
              <w:rPr>
                <w:rFonts w:cs="Arial"/>
                <w:sz w:val="18"/>
                <w:szCs w:val="18"/>
              </w:rPr>
              <w:t>Gould’s petrel</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5692980B" w14:textId="77777777" w:rsidR="00D605FA" w:rsidRPr="00EB3AA9" w:rsidRDefault="00D605FA" w:rsidP="00CD5287">
            <w:pPr>
              <w:spacing w:before="60" w:after="60"/>
              <w:ind w:left="0"/>
              <w:jc w:val="center"/>
              <w:rPr>
                <w:rFonts w:cs="Arial"/>
                <w:sz w:val="18"/>
                <w:szCs w:val="18"/>
              </w:rPr>
            </w:pPr>
            <w:r w:rsidRPr="00EB3AA9">
              <w:rPr>
                <w:rFonts w:cs="Arial"/>
                <w:sz w:val="18"/>
                <w:szCs w:val="18"/>
              </w:rPr>
              <w:t>E</w:t>
            </w:r>
          </w:p>
        </w:tc>
        <w:tc>
          <w:tcPr>
            <w:tcW w:w="579" w:type="pct"/>
            <w:tcBorders>
              <w:top w:val="single" w:sz="4" w:space="0" w:color="auto"/>
              <w:left w:val="single" w:sz="4" w:space="0" w:color="auto"/>
              <w:bottom w:val="single" w:sz="4" w:space="0" w:color="auto"/>
              <w:right w:val="single" w:sz="4" w:space="0" w:color="auto"/>
            </w:tcBorders>
            <w:vAlign w:val="center"/>
          </w:tcPr>
          <w:p w14:paraId="50DFC83F" w14:textId="77777777" w:rsidR="00D605FA" w:rsidRPr="00EB3AA9" w:rsidRDefault="00D605FA" w:rsidP="00CD5287">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3411ED8F" w14:textId="77777777" w:rsidR="00D605FA" w:rsidRPr="00EB3AA9" w:rsidRDefault="00D605FA" w:rsidP="00CD5287">
            <w:pPr>
              <w:pStyle w:val="TableText"/>
              <w:jc w:val="center"/>
              <w:rPr>
                <w:rFonts w:cs="Arial"/>
                <w:sz w:val="18"/>
                <w:szCs w:val="18"/>
              </w:rPr>
            </w:pPr>
            <w:r w:rsidRPr="00EB3AA9">
              <w:rPr>
                <w:rFonts w:cs="Arial"/>
                <w:sz w:val="18"/>
                <w:szCs w:val="18"/>
              </w:rPr>
              <w:t>-</w:t>
            </w:r>
          </w:p>
        </w:tc>
        <w:tc>
          <w:tcPr>
            <w:tcW w:w="433" w:type="pct"/>
            <w:tcBorders>
              <w:top w:val="single" w:sz="4" w:space="0" w:color="auto"/>
              <w:left w:val="single" w:sz="4" w:space="0" w:color="auto"/>
              <w:bottom w:val="single" w:sz="4" w:space="0" w:color="auto"/>
              <w:right w:val="single" w:sz="4" w:space="0" w:color="auto"/>
            </w:tcBorders>
            <w:vAlign w:val="center"/>
          </w:tcPr>
          <w:p w14:paraId="6C7B1004" w14:textId="301D2BE3"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2ED3442B" w14:textId="0275639C"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tcBorders>
              <w:left w:val="single" w:sz="4" w:space="0" w:color="auto"/>
              <w:bottom w:val="single" w:sz="4" w:space="0" w:color="auto"/>
              <w:right w:val="single" w:sz="4" w:space="0" w:color="auto"/>
            </w:tcBorders>
            <w:vAlign w:val="center"/>
          </w:tcPr>
          <w:p w14:paraId="79EAE874" w14:textId="136EE035" w:rsidR="00D605FA" w:rsidRPr="00EB3AA9" w:rsidRDefault="00605EB1" w:rsidP="00885EE5">
            <w:pPr>
              <w:spacing w:before="60" w:after="60"/>
              <w:ind w:left="69" w:hanging="69"/>
              <w:jc w:val="center"/>
              <w:rPr>
                <w:rFonts w:cs="Arial"/>
                <w:sz w:val="18"/>
                <w:szCs w:val="18"/>
              </w:rPr>
            </w:pPr>
            <w:r>
              <w:rPr>
                <w:rFonts w:cs="Arial"/>
                <w:sz w:val="18"/>
                <w:szCs w:val="18"/>
              </w:rPr>
              <w:t>RP</w:t>
            </w:r>
          </w:p>
        </w:tc>
      </w:tr>
      <w:tr w:rsidR="007162AF" w:rsidRPr="00EB3AA9" w14:paraId="32AE5B75" w14:textId="77777777" w:rsidTr="00891DE1">
        <w:trPr>
          <w:trHeight w:val="345"/>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9D46B5" w14:textId="61DD189B" w:rsidR="007162AF" w:rsidRPr="00EB3AA9" w:rsidRDefault="007162AF" w:rsidP="00891DE1">
            <w:pPr>
              <w:spacing w:before="60" w:after="60"/>
              <w:ind w:left="69" w:hanging="69"/>
              <w:rPr>
                <w:rFonts w:cs="Arial"/>
                <w:sz w:val="18"/>
                <w:szCs w:val="18"/>
              </w:rPr>
            </w:pPr>
            <w:r>
              <w:rPr>
                <w:rFonts w:cs="Arial"/>
                <w:i/>
                <w:sz w:val="18"/>
                <w:szCs w:val="18"/>
              </w:rPr>
              <w:t>Other seabirds</w:t>
            </w:r>
          </w:p>
        </w:tc>
      </w:tr>
      <w:tr w:rsidR="00D605FA" w:rsidRPr="00EB3AA9" w14:paraId="0D1DAC8B"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6B1B7BA4" w14:textId="77777777" w:rsidR="00D605FA" w:rsidRPr="00EB3AA9" w:rsidRDefault="00D605FA" w:rsidP="00885EE5">
            <w:pPr>
              <w:spacing w:before="60" w:after="60"/>
              <w:ind w:left="17"/>
              <w:rPr>
                <w:rFonts w:cs="Arial"/>
                <w:sz w:val="18"/>
                <w:szCs w:val="18"/>
              </w:rPr>
            </w:pPr>
            <w:r w:rsidRPr="00EB3AA9">
              <w:rPr>
                <w:rFonts w:cs="Arial"/>
                <w:i/>
                <w:sz w:val="18"/>
                <w:szCs w:val="18"/>
              </w:rPr>
              <w:t>Apus pacificus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18633140" w14:textId="77777777" w:rsidR="00D605FA" w:rsidRPr="00EB3AA9" w:rsidRDefault="00D605FA" w:rsidP="00885EE5">
            <w:pPr>
              <w:spacing w:before="60" w:after="60"/>
              <w:ind w:left="0" w:firstLine="13"/>
              <w:rPr>
                <w:rFonts w:cs="Arial"/>
                <w:sz w:val="18"/>
                <w:szCs w:val="18"/>
              </w:rPr>
            </w:pPr>
            <w:r w:rsidRPr="00EB3AA9">
              <w:rPr>
                <w:rFonts w:cs="Arial"/>
                <w:sz w:val="18"/>
                <w:szCs w:val="18"/>
              </w:rPr>
              <w:t>Fork-tailed swift</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306522AB" w14:textId="77777777" w:rsidR="00D605FA" w:rsidRPr="00EB3AA9" w:rsidRDefault="00D605FA" w:rsidP="00CD5287">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14:paraId="32EFB95D" w14:textId="790467AD" w:rsidR="00D605FA" w:rsidRPr="00EB3AA9" w:rsidRDefault="00D605FA" w:rsidP="00CD5287">
            <w:pPr>
              <w:pStyle w:val="TableText"/>
              <w:jc w:val="center"/>
              <w:rPr>
                <w:rFonts w:cs="Arial"/>
                <w:sz w:val="18"/>
                <w:szCs w:val="18"/>
              </w:rPr>
            </w:pPr>
            <w:r>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shd w:val="clear" w:color="auto" w:fill="auto"/>
          </w:tcPr>
          <w:p w14:paraId="31A6E3F3" w14:textId="6737EB8E" w:rsidR="00D605FA" w:rsidRPr="00EB3AA9" w:rsidRDefault="00D605FA" w:rsidP="00CD5287">
            <w:pPr>
              <w:pStyle w:val="TableText"/>
              <w:jc w:val="center"/>
              <w:rPr>
                <w:rFonts w:cs="Arial"/>
                <w:sz w:val="18"/>
                <w:szCs w:val="18"/>
              </w:rPr>
            </w:pPr>
            <w:r w:rsidRPr="005B3FA9">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274C5E24" w14:textId="770C991F"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shd w:val="clear" w:color="auto" w:fill="auto"/>
            <w:vAlign w:val="center"/>
          </w:tcPr>
          <w:p w14:paraId="6A83BFD6" w14:textId="676EF8D1"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5B63576C" w14:textId="77777777"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r>
      <w:tr w:rsidR="00D605FA" w:rsidRPr="00EB3AA9" w14:paraId="4F5C42E6"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46710FF6" w14:textId="77777777" w:rsidR="00D605FA" w:rsidRPr="00EB3AA9" w:rsidRDefault="00D605FA" w:rsidP="00885EE5">
            <w:pPr>
              <w:spacing w:before="60" w:after="60"/>
              <w:ind w:left="17"/>
              <w:rPr>
                <w:rFonts w:cs="Arial"/>
                <w:i/>
                <w:sz w:val="18"/>
                <w:szCs w:val="18"/>
              </w:rPr>
            </w:pPr>
            <w:r w:rsidRPr="00EB3AA9">
              <w:rPr>
                <w:rFonts w:cs="Arial"/>
                <w:i/>
                <w:sz w:val="18"/>
                <w:szCs w:val="18"/>
              </w:rPr>
              <w:t>Catharacta skua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7A7E246F" w14:textId="77777777" w:rsidR="00D605FA" w:rsidRPr="00EB3AA9" w:rsidRDefault="00D605FA" w:rsidP="00885EE5">
            <w:pPr>
              <w:spacing w:before="60" w:after="60"/>
              <w:ind w:left="0" w:firstLine="34"/>
              <w:rPr>
                <w:rFonts w:cs="Arial"/>
                <w:sz w:val="18"/>
                <w:szCs w:val="18"/>
              </w:rPr>
            </w:pPr>
            <w:r w:rsidRPr="00EB3AA9">
              <w:rPr>
                <w:rFonts w:cs="Arial"/>
                <w:sz w:val="18"/>
                <w:szCs w:val="18"/>
              </w:rPr>
              <w:t>Great skua</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5448AEE2" w14:textId="77777777" w:rsidR="00D605FA" w:rsidRPr="00EB3AA9" w:rsidRDefault="00D605FA" w:rsidP="00CD5287">
            <w:pPr>
              <w:spacing w:before="60" w:after="60"/>
              <w:ind w:left="0"/>
              <w:jc w:val="center"/>
              <w:rPr>
                <w:rFonts w:cs="Arial"/>
                <w:sz w:val="18"/>
                <w:szCs w:val="18"/>
                <w:highlight w:val="yellow"/>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14:paraId="0369F7FC" w14:textId="77777777" w:rsidR="00D605FA" w:rsidRPr="00EB3AA9" w:rsidRDefault="00D605FA" w:rsidP="00CD5287">
            <w:pPr>
              <w:pStyle w:val="TableText"/>
              <w:jc w:val="center"/>
              <w:rPr>
                <w:rFonts w:cs="Arial"/>
                <w:sz w:val="18"/>
                <w:szCs w:val="18"/>
                <w:highlight w:val="yellow"/>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shd w:val="clear" w:color="auto" w:fill="auto"/>
          </w:tcPr>
          <w:p w14:paraId="135B36E5" w14:textId="303A027C" w:rsidR="00D605FA" w:rsidRPr="00EB3AA9" w:rsidRDefault="00D605FA" w:rsidP="00CD5287">
            <w:pPr>
              <w:pStyle w:val="TableText"/>
              <w:jc w:val="center"/>
              <w:rPr>
                <w:rFonts w:cs="Arial"/>
                <w:sz w:val="18"/>
                <w:szCs w:val="18"/>
              </w:rPr>
            </w:pPr>
            <w:r w:rsidRPr="005B3FA9">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02CB0F48" w14:textId="395B30A6"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shd w:val="clear" w:color="auto" w:fill="auto"/>
            <w:vAlign w:val="center"/>
          </w:tcPr>
          <w:p w14:paraId="2D55B972" w14:textId="37C45A5A"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4CB8247A" w14:textId="77777777"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r>
      <w:tr w:rsidR="00D605FA" w:rsidRPr="00EB3AA9" w14:paraId="1DAD05D8"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217F3E95" w14:textId="77777777" w:rsidR="00D605FA" w:rsidRPr="00EB3AA9" w:rsidRDefault="00D605FA" w:rsidP="00885EE5">
            <w:pPr>
              <w:spacing w:before="60" w:after="60"/>
              <w:ind w:left="17"/>
              <w:rPr>
                <w:rFonts w:cs="Arial"/>
                <w:i/>
                <w:sz w:val="18"/>
                <w:szCs w:val="18"/>
              </w:rPr>
            </w:pPr>
            <w:r w:rsidRPr="00EB3AA9">
              <w:rPr>
                <w:rFonts w:cs="Arial"/>
                <w:i/>
                <w:sz w:val="18"/>
                <w:szCs w:val="18"/>
              </w:rPr>
              <w:t>Haliaeetus leucogaster</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2990A97B" w14:textId="77777777" w:rsidR="00D605FA" w:rsidRPr="00EB3AA9" w:rsidRDefault="00D605FA" w:rsidP="00885EE5">
            <w:pPr>
              <w:spacing w:before="60" w:after="60"/>
              <w:ind w:left="0" w:firstLine="34"/>
              <w:rPr>
                <w:rFonts w:cs="Arial"/>
                <w:sz w:val="18"/>
                <w:szCs w:val="18"/>
              </w:rPr>
            </w:pPr>
            <w:r w:rsidRPr="00EB3AA9">
              <w:rPr>
                <w:rFonts w:cs="Arial"/>
                <w:sz w:val="18"/>
                <w:szCs w:val="18"/>
              </w:rPr>
              <w:t>White-bellied sea-eagle</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2DC294DF" w14:textId="77777777" w:rsidR="00D605FA" w:rsidRPr="00EB3AA9" w:rsidRDefault="00D605FA" w:rsidP="00CD5287">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14:paraId="1CD609E7" w14:textId="77777777" w:rsidR="00D605FA" w:rsidRPr="00EB3AA9" w:rsidRDefault="00D605FA" w:rsidP="00CD5287">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shd w:val="clear" w:color="auto" w:fill="auto"/>
          </w:tcPr>
          <w:p w14:paraId="5A46A30E" w14:textId="4F077D3B" w:rsidR="00D605FA" w:rsidRPr="00EB3AA9" w:rsidRDefault="00D605FA" w:rsidP="00CD5287">
            <w:pPr>
              <w:pStyle w:val="TableText"/>
              <w:jc w:val="center"/>
              <w:rPr>
                <w:rFonts w:cs="Arial"/>
                <w:sz w:val="18"/>
                <w:szCs w:val="18"/>
              </w:rPr>
            </w:pPr>
            <w:r w:rsidRPr="005B3FA9">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3C839F9A" w14:textId="18726154" w:rsidR="00D605FA" w:rsidRPr="00EB3AA9" w:rsidRDefault="00F04866" w:rsidP="00215B4E">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shd w:val="clear" w:color="auto" w:fill="auto"/>
            <w:vAlign w:val="center"/>
          </w:tcPr>
          <w:p w14:paraId="62EA3C81" w14:textId="4315F5CD"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shd w:val="clear" w:color="auto" w:fill="auto"/>
            <w:vAlign w:val="center"/>
          </w:tcPr>
          <w:p w14:paraId="4F201AB2" w14:textId="77777777"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r>
      <w:tr w:rsidR="00D605FA" w:rsidRPr="00EB3AA9" w14:paraId="67BF303C"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11C5E785" w14:textId="77777777" w:rsidR="00D605FA" w:rsidRPr="00EB3AA9" w:rsidRDefault="00D605FA" w:rsidP="00885EE5">
            <w:pPr>
              <w:spacing w:before="60" w:after="60"/>
              <w:ind w:left="17"/>
              <w:rPr>
                <w:rFonts w:cs="Arial"/>
                <w:i/>
                <w:sz w:val="18"/>
                <w:szCs w:val="18"/>
              </w:rPr>
            </w:pPr>
            <w:r w:rsidRPr="00EB3AA9">
              <w:rPr>
                <w:rFonts w:cs="Arial"/>
                <w:i/>
                <w:sz w:val="18"/>
                <w:szCs w:val="18"/>
              </w:rPr>
              <w:t>Pachyptila turtur subantarctica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704F87B2" w14:textId="77777777" w:rsidR="00D605FA" w:rsidRPr="00EB3AA9" w:rsidRDefault="00D605FA" w:rsidP="00885EE5">
            <w:pPr>
              <w:spacing w:before="60" w:after="60"/>
              <w:ind w:left="0" w:firstLine="13"/>
              <w:rPr>
                <w:rFonts w:cs="Arial"/>
                <w:sz w:val="18"/>
                <w:szCs w:val="18"/>
              </w:rPr>
            </w:pPr>
            <w:r w:rsidRPr="00EB3AA9">
              <w:rPr>
                <w:rFonts w:cs="Arial"/>
                <w:sz w:val="18"/>
                <w:szCs w:val="18"/>
              </w:rPr>
              <w:t>Fairy prion (southern)</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3615A237" w14:textId="77777777" w:rsidR="00D605FA" w:rsidRPr="00EB3AA9" w:rsidRDefault="00D605FA" w:rsidP="00CD5287">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76FCD6D8" w14:textId="77777777" w:rsidR="00D605FA" w:rsidRPr="00EB3AA9" w:rsidRDefault="00D605FA" w:rsidP="00CD5287">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5CCB0584" w14:textId="77777777" w:rsidR="00D605FA" w:rsidRPr="00EB3AA9" w:rsidRDefault="00D605FA" w:rsidP="00CD5287">
            <w:pPr>
              <w:pStyle w:val="TableText"/>
              <w:jc w:val="center"/>
              <w:rPr>
                <w:rFonts w:cs="Arial"/>
                <w:sz w:val="18"/>
                <w:szCs w:val="18"/>
              </w:rPr>
            </w:pPr>
            <w:r w:rsidRPr="00EB3AA9">
              <w:rPr>
                <w:rFonts w:cs="Arial"/>
                <w:sz w:val="18"/>
                <w:szCs w:val="18"/>
              </w:rPr>
              <w:t>-</w:t>
            </w:r>
          </w:p>
        </w:tc>
        <w:tc>
          <w:tcPr>
            <w:tcW w:w="433" w:type="pct"/>
            <w:tcBorders>
              <w:top w:val="single" w:sz="4" w:space="0" w:color="auto"/>
              <w:left w:val="single" w:sz="4" w:space="0" w:color="auto"/>
              <w:bottom w:val="single" w:sz="4" w:space="0" w:color="auto"/>
              <w:right w:val="single" w:sz="4" w:space="0" w:color="auto"/>
            </w:tcBorders>
            <w:vAlign w:val="center"/>
          </w:tcPr>
          <w:p w14:paraId="1E23950E" w14:textId="7A6629D7"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739F8C44" w14:textId="208EB788"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4AD4FB72" w14:textId="77777777" w:rsidR="00D605FA" w:rsidRPr="00EB3AA9" w:rsidRDefault="00D605FA" w:rsidP="00CD5287">
            <w:pPr>
              <w:spacing w:before="60" w:after="60"/>
              <w:ind w:left="69" w:hanging="69"/>
              <w:jc w:val="center"/>
              <w:rPr>
                <w:rFonts w:cs="Arial"/>
                <w:sz w:val="18"/>
                <w:szCs w:val="18"/>
              </w:rPr>
            </w:pPr>
            <w:r w:rsidRPr="00EB3AA9">
              <w:rPr>
                <w:rFonts w:cs="Arial"/>
                <w:sz w:val="18"/>
                <w:szCs w:val="18"/>
              </w:rPr>
              <w:t>CA</w:t>
            </w:r>
          </w:p>
        </w:tc>
      </w:tr>
      <w:tr w:rsidR="00D605FA" w:rsidRPr="00EB3AA9" w14:paraId="0600E6B8"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2CAA5640" w14:textId="77777777" w:rsidR="00D605FA" w:rsidRPr="00EB3AA9" w:rsidRDefault="00D605FA" w:rsidP="00885EE5">
            <w:pPr>
              <w:spacing w:before="60" w:after="60"/>
              <w:ind w:left="17"/>
              <w:rPr>
                <w:rFonts w:cs="Arial"/>
                <w:i/>
                <w:sz w:val="18"/>
                <w:szCs w:val="18"/>
              </w:rPr>
            </w:pPr>
            <w:r w:rsidRPr="00EB3AA9">
              <w:rPr>
                <w:rFonts w:cs="Arial"/>
                <w:i/>
                <w:sz w:val="18"/>
                <w:szCs w:val="18"/>
              </w:rPr>
              <w:t>Pandion haliaetus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1DBB90AC" w14:textId="77777777" w:rsidR="00D605FA" w:rsidRPr="00EB3AA9" w:rsidRDefault="00D605FA" w:rsidP="00885EE5">
            <w:pPr>
              <w:spacing w:before="60" w:after="60"/>
              <w:ind w:left="0" w:firstLine="13"/>
              <w:rPr>
                <w:rFonts w:cs="Arial"/>
                <w:sz w:val="18"/>
                <w:szCs w:val="18"/>
              </w:rPr>
            </w:pPr>
            <w:r w:rsidRPr="00EB3AA9">
              <w:rPr>
                <w:rFonts w:cs="Arial"/>
                <w:sz w:val="18"/>
                <w:szCs w:val="18"/>
              </w:rPr>
              <w:t>Osprey</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3FA9CB89" w14:textId="77777777" w:rsidR="00D605FA" w:rsidRPr="00EB3AA9" w:rsidRDefault="00D605FA" w:rsidP="00CD5287">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tcPr>
          <w:p w14:paraId="6FF21152" w14:textId="30E905AB" w:rsidR="00D605FA" w:rsidRPr="00EB3AA9" w:rsidRDefault="00D605FA" w:rsidP="00CD5287">
            <w:pPr>
              <w:pStyle w:val="TableText"/>
              <w:jc w:val="center"/>
              <w:rPr>
                <w:rFonts w:cs="Arial"/>
                <w:sz w:val="18"/>
                <w:szCs w:val="18"/>
              </w:rPr>
            </w:pPr>
            <w:r w:rsidRPr="000C6C46">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tcPr>
          <w:p w14:paraId="348F6CBA" w14:textId="28CAA101" w:rsidR="00D605FA" w:rsidRPr="00EB3AA9" w:rsidRDefault="00D605FA" w:rsidP="00CD5287">
            <w:pPr>
              <w:pStyle w:val="TableText"/>
              <w:jc w:val="center"/>
              <w:rPr>
                <w:rFonts w:cs="Arial"/>
                <w:sz w:val="18"/>
                <w:szCs w:val="18"/>
              </w:rPr>
            </w:pPr>
            <w:r w:rsidRPr="000C6C46">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3D92E9C6" w14:textId="3C601FA2"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7D4AF1CF" w14:textId="5619F9D9"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3F2B9506" w14:textId="77777777"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r>
      <w:tr w:rsidR="00D605FA" w:rsidRPr="00EB3AA9" w14:paraId="52CCD37A"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6B9FC4A8" w14:textId="77777777" w:rsidR="00D605FA" w:rsidRPr="00EB3AA9" w:rsidRDefault="00D605FA" w:rsidP="00885EE5">
            <w:pPr>
              <w:spacing w:before="60" w:after="60"/>
              <w:ind w:left="17"/>
              <w:rPr>
                <w:rFonts w:cs="Arial"/>
                <w:i/>
                <w:sz w:val="18"/>
                <w:szCs w:val="18"/>
              </w:rPr>
            </w:pPr>
            <w:r w:rsidRPr="00EB3AA9">
              <w:rPr>
                <w:rFonts w:cs="Arial"/>
                <w:i/>
                <w:sz w:val="18"/>
                <w:szCs w:val="18"/>
              </w:rPr>
              <w:t>Puffinus carneipes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6B485A7D" w14:textId="77777777" w:rsidR="00D605FA" w:rsidRPr="00EB3AA9" w:rsidRDefault="00D605FA" w:rsidP="00885EE5">
            <w:pPr>
              <w:spacing w:before="60" w:after="60"/>
              <w:ind w:left="0" w:firstLine="13"/>
              <w:rPr>
                <w:rFonts w:cs="Arial"/>
                <w:sz w:val="18"/>
                <w:szCs w:val="18"/>
              </w:rPr>
            </w:pPr>
            <w:r w:rsidRPr="00EB3AA9">
              <w:rPr>
                <w:rFonts w:cs="Arial"/>
                <w:sz w:val="18"/>
                <w:szCs w:val="18"/>
              </w:rPr>
              <w:t>Flesh-footed shearwater</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51C4582F" w14:textId="77777777" w:rsidR="00D605FA" w:rsidRPr="00EB3AA9" w:rsidRDefault="00D605FA" w:rsidP="00CD5287">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tcPr>
          <w:p w14:paraId="7477D6C4" w14:textId="560D1077" w:rsidR="00D605FA" w:rsidRPr="00EB3AA9" w:rsidRDefault="00D605FA" w:rsidP="00CD5287">
            <w:pPr>
              <w:pStyle w:val="TableText"/>
              <w:jc w:val="center"/>
              <w:rPr>
                <w:rFonts w:cs="Arial"/>
                <w:sz w:val="18"/>
                <w:szCs w:val="18"/>
              </w:rPr>
            </w:pPr>
            <w:r w:rsidRPr="000C6C46">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tcPr>
          <w:p w14:paraId="34771949" w14:textId="1ACBD0B0" w:rsidR="00D605FA" w:rsidRPr="00EB3AA9" w:rsidRDefault="00D605FA" w:rsidP="00CD5287">
            <w:pPr>
              <w:pStyle w:val="TableText"/>
              <w:jc w:val="center"/>
              <w:rPr>
                <w:rFonts w:cs="Arial"/>
                <w:sz w:val="18"/>
                <w:szCs w:val="18"/>
              </w:rPr>
            </w:pPr>
            <w:r w:rsidRPr="000C6C46">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70DAC0AA" w14:textId="4EAA4D5D"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5811D791" w14:textId="481F3901"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3F87AB8B" w14:textId="77777777"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r>
      <w:tr w:rsidR="00FE3EB5" w:rsidRPr="00EB3AA9" w14:paraId="651C2AAA" w14:textId="77777777" w:rsidTr="00891DE1">
        <w:trPr>
          <w:trHeight w:val="345"/>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3032DD" w14:textId="30C0D7F7" w:rsidR="00FE3EB5" w:rsidRPr="00891DE1" w:rsidRDefault="00FE3EB5" w:rsidP="00891DE1">
            <w:pPr>
              <w:spacing w:before="60" w:after="60"/>
              <w:ind w:left="69" w:hanging="69"/>
              <w:rPr>
                <w:rFonts w:cs="Arial"/>
                <w:b/>
                <w:sz w:val="18"/>
                <w:szCs w:val="18"/>
              </w:rPr>
            </w:pPr>
            <w:r w:rsidRPr="00891DE1">
              <w:rPr>
                <w:rFonts w:cs="Arial"/>
                <w:b/>
                <w:sz w:val="18"/>
                <w:szCs w:val="18"/>
              </w:rPr>
              <w:t>Shorebirds/wetlands species (43 species)</w:t>
            </w:r>
          </w:p>
        </w:tc>
      </w:tr>
      <w:tr w:rsidR="00D605FA" w:rsidRPr="00EB3AA9" w14:paraId="6B7FA40B"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48EC1EE8" w14:textId="77777777" w:rsidR="00D605FA" w:rsidRPr="00EB3AA9" w:rsidRDefault="00D605FA" w:rsidP="00885EE5">
            <w:pPr>
              <w:spacing w:before="60" w:after="60"/>
              <w:ind w:left="17"/>
              <w:rPr>
                <w:rFonts w:cs="Arial"/>
                <w:i/>
                <w:sz w:val="18"/>
                <w:szCs w:val="18"/>
              </w:rPr>
            </w:pPr>
            <w:r w:rsidRPr="00EB3AA9">
              <w:rPr>
                <w:rFonts w:cs="Arial"/>
                <w:i/>
                <w:sz w:val="18"/>
                <w:szCs w:val="18"/>
              </w:rPr>
              <w:t>Actitis hypoleucos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256A882B" w14:textId="77777777" w:rsidR="00D605FA" w:rsidRPr="00EB3AA9" w:rsidRDefault="00D605FA" w:rsidP="00885EE5">
            <w:pPr>
              <w:spacing w:before="60" w:after="60"/>
              <w:ind w:left="0" w:firstLine="13"/>
              <w:rPr>
                <w:rFonts w:cs="Arial"/>
                <w:sz w:val="18"/>
                <w:szCs w:val="18"/>
              </w:rPr>
            </w:pPr>
            <w:r w:rsidRPr="00EB3AA9">
              <w:rPr>
                <w:rFonts w:cs="Arial"/>
                <w:sz w:val="18"/>
                <w:szCs w:val="18"/>
              </w:rPr>
              <w:t>Common sandpiper</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02F6A3F4" w14:textId="77777777" w:rsidR="00D605FA" w:rsidRPr="00EB3AA9" w:rsidRDefault="00D605FA" w:rsidP="00CD5287">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4AFC824F" w14:textId="56C3870C" w:rsidR="00D605FA" w:rsidRPr="00EB3AA9" w:rsidRDefault="00D605FA" w:rsidP="00CD5287">
            <w:pPr>
              <w:pStyle w:val="TableText"/>
              <w:jc w:val="center"/>
              <w:rPr>
                <w:rFonts w:cs="Arial"/>
                <w:sz w:val="18"/>
                <w:szCs w:val="18"/>
              </w:rPr>
            </w:pPr>
            <w:r>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541FF328" w14:textId="4754CEDA" w:rsidR="00D605FA" w:rsidRPr="00EB3AA9" w:rsidRDefault="00D605FA" w:rsidP="00EB3AA9">
            <w:pPr>
              <w:pStyle w:val="TableText"/>
              <w:jc w:val="center"/>
              <w:rPr>
                <w:rFonts w:cs="Arial"/>
                <w:sz w:val="18"/>
                <w:szCs w:val="18"/>
              </w:rPr>
            </w:pPr>
            <w:r w:rsidRPr="00DC2662">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46B14B7F" w14:textId="7615D495"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68C029EF" w14:textId="2A7E3483"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2F159EF3" w14:textId="77777777"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r>
      <w:tr w:rsidR="00D605FA" w:rsidRPr="00EB3AA9" w14:paraId="4CFEFBB1"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1AC53D0C" w14:textId="77777777" w:rsidR="00D605FA" w:rsidRPr="00EB3AA9" w:rsidRDefault="00D605FA" w:rsidP="00885EE5">
            <w:pPr>
              <w:spacing w:before="60" w:after="60"/>
              <w:ind w:left="17"/>
              <w:rPr>
                <w:rFonts w:cs="Arial"/>
                <w:i/>
                <w:sz w:val="18"/>
                <w:szCs w:val="18"/>
              </w:rPr>
            </w:pPr>
            <w:r w:rsidRPr="00EB3AA9">
              <w:rPr>
                <w:rFonts w:cs="Arial"/>
                <w:i/>
                <w:sz w:val="18"/>
                <w:szCs w:val="18"/>
              </w:rPr>
              <w:t>Ardea alba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1BC3C35D" w14:textId="77777777" w:rsidR="00D605FA" w:rsidRPr="00EB3AA9" w:rsidRDefault="00D605FA" w:rsidP="00885EE5">
            <w:pPr>
              <w:spacing w:before="60" w:after="60"/>
              <w:ind w:left="0" w:firstLine="13"/>
              <w:rPr>
                <w:rFonts w:cs="Arial"/>
                <w:sz w:val="18"/>
                <w:szCs w:val="18"/>
              </w:rPr>
            </w:pPr>
            <w:r w:rsidRPr="00EB3AA9">
              <w:rPr>
                <w:rFonts w:cs="Arial"/>
                <w:sz w:val="18"/>
                <w:szCs w:val="18"/>
              </w:rPr>
              <w:t>Great egret</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402A7DA2" w14:textId="77777777" w:rsidR="00D605FA" w:rsidRPr="00EB3AA9" w:rsidRDefault="00D605FA" w:rsidP="00CD5287">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39228831" w14:textId="77777777" w:rsidR="00D605FA" w:rsidRPr="00EB3AA9" w:rsidRDefault="00D605FA" w:rsidP="00CD5287">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7CCF9F8E" w14:textId="096C17B1" w:rsidR="00D605FA" w:rsidRPr="00EB3AA9" w:rsidRDefault="00D605FA" w:rsidP="00EB3AA9">
            <w:pPr>
              <w:pStyle w:val="TableText"/>
              <w:jc w:val="center"/>
              <w:rPr>
                <w:rFonts w:cs="Arial"/>
                <w:sz w:val="18"/>
                <w:szCs w:val="18"/>
              </w:rPr>
            </w:pPr>
            <w:r w:rsidRPr="00DC2662">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0E74A954" w14:textId="3E894287"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44291009" w14:textId="1AAA3309"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7658F013" w14:textId="77777777"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r>
      <w:tr w:rsidR="00D605FA" w:rsidRPr="00EB3AA9" w14:paraId="01591E69"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6D0A99A1" w14:textId="77777777" w:rsidR="00D605FA" w:rsidRPr="00EB3AA9" w:rsidRDefault="00D605FA" w:rsidP="00885EE5">
            <w:pPr>
              <w:spacing w:before="60" w:after="60"/>
              <w:ind w:left="17"/>
              <w:rPr>
                <w:rFonts w:cs="Arial"/>
                <w:i/>
                <w:sz w:val="18"/>
                <w:szCs w:val="18"/>
              </w:rPr>
            </w:pPr>
            <w:r w:rsidRPr="00EB3AA9">
              <w:rPr>
                <w:rFonts w:cs="Arial"/>
                <w:i/>
                <w:sz w:val="18"/>
                <w:szCs w:val="18"/>
              </w:rPr>
              <w:t>Ardea ibis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4AB497A5" w14:textId="77777777" w:rsidR="00D605FA" w:rsidRPr="00EB3AA9" w:rsidRDefault="00D605FA" w:rsidP="00885EE5">
            <w:pPr>
              <w:spacing w:before="60" w:after="60"/>
              <w:ind w:left="0" w:firstLine="13"/>
              <w:rPr>
                <w:rFonts w:cs="Arial"/>
                <w:sz w:val="18"/>
                <w:szCs w:val="18"/>
              </w:rPr>
            </w:pPr>
            <w:r w:rsidRPr="00EB3AA9">
              <w:rPr>
                <w:rFonts w:cs="Arial"/>
                <w:sz w:val="18"/>
                <w:szCs w:val="18"/>
              </w:rPr>
              <w:t>Cattle egret</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0D2A6CFC" w14:textId="77777777" w:rsidR="00D605FA" w:rsidRPr="00EB3AA9" w:rsidRDefault="00D605FA" w:rsidP="00CD5287">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2FA3C36F" w14:textId="77777777" w:rsidR="00D605FA" w:rsidRPr="00EB3AA9" w:rsidRDefault="00D605FA" w:rsidP="00CD5287">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388D4288" w14:textId="24F8FC24" w:rsidR="00D605FA" w:rsidRPr="00EB3AA9" w:rsidRDefault="00D605FA" w:rsidP="00EB3AA9">
            <w:pPr>
              <w:pStyle w:val="TableText"/>
              <w:jc w:val="center"/>
              <w:rPr>
                <w:rFonts w:cs="Arial"/>
                <w:sz w:val="18"/>
                <w:szCs w:val="18"/>
              </w:rPr>
            </w:pPr>
            <w:r w:rsidRPr="00DC2662">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4628B159" w14:textId="32CA0C30"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1E3E20A4" w14:textId="2C90B2D0"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5077071F" w14:textId="4DE3CD42" w:rsidR="00D605FA" w:rsidRPr="00EB3AA9" w:rsidRDefault="00D605FA" w:rsidP="00CD5287">
            <w:pPr>
              <w:spacing w:before="60" w:after="60"/>
              <w:ind w:left="69" w:hanging="69"/>
              <w:jc w:val="center"/>
              <w:rPr>
                <w:rFonts w:cs="Arial"/>
                <w:sz w:val="18"/>
                <w:szCs w:val="18"/>
              </w:rPr>
            </w:pPr>
            <w:r w:rsidRPr="00EB3AA9">
              <w:rPr>
                <w:rFonts w:cs="Arial"/>
                <w:sz w:val="18"/>
                <w:szCs w:val="18"/>
              </w:rPr>
              <w:t>AS</w:t>
            </w:r>
          </w:p>
        </w:tc>
      </w:tr>
      <w:tr w:rsidR="00D605FA" w:rsidRPr="00EB3AA9" w14:paraId="235B9EE1"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52F05612" w14:textId="77777777" w:rsidR="00D605FA" w:rsidRPr="00EB3AA9" w:rsidRDefault="00D605FA" w:rsidP="00885EE5">
            <w:pPr>
              <w:spacing w:before="60" w:after="60"/>
              <w:ind w:left="17"/>
              <w:rPr>
                <w:rFonts w:cs="Arial"/>
                <w:i/>
                <w:sz w:val="18"/>
                <w:szCs w:val="18"/>
              </w:rPr>
            </w:pPr>
            <w:r w:rsidRPr="00EB3AA9">
              <w:rPr>
                <w:rFonts w:cs="Arial"/>
                <w:i/>
                <w:sz w:val="18"/>
                <w:szCs w:val="18"/>
              </w:rPr>
              <w:t>Arenaria interpres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6922C5A8" w14:textId="77777777" w:rsidR="00D605FA" w:rsidRPr="00EB3AA9" w:rsidRDefault="00D605FA" w:rsidP="00885EE5">
            <w:pPr>
              <w:spacing w:before="60" w:after="60"/>
              <w:ind w:left="0" w:firstLine="13"/>
              <w:rPr>
                <w:rFonts w:cs="Arial"/>
                <w:sz w:val="18"/>
                <w:szCs w:val="18"/>
              </w:rPr>
            </w:pPr>
            <w:r w:rsidRPr="00EB3AA9">
              <w:rPr>
                <w:rFonts w:cs="Arial"/>
                <w:sz w:val="18"/>
                <w:szCs w:val="18"/>
              </w:rPr>
              <w:t>Ruddy turnstone</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7605B085" w14:textId="77777777" w:rsidR="00D605FA" w:rsidRPr="00EB3AA9" w:rsidRDefault="00D605FA" w:rsidP="00CD5287">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5351CD22" w14:textId="2E4A0FD6" w:rsidR="00D605FA" w:rsidRPr="00EB3AA9" w:rsidRDefault="00D605FA" w:rsidP="00CD5287">
            <w:pPr>
              <w:pStyle w:val="TableText"/>
              <w:jc w:val="center"/>
              <w:rPr>
                <w:rFonts w:cs="Arial"/>
                <w:sz w:val="18"/>
                <w:szCs w:val="18"/>
              </w:rPr>
            </w:pPr>
            <w:r>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04378412" w14:textId="0218BBDC" w:rsidR="00D605FA" w:rsidRPr="00EB3AA9" w:rsidRDefault="00D605FA" w:rsidP="00EB3AA9">
            <w:pPr>
              <w:pStyle w:val="TableText"/>
              <w:jc w:val="center"/>
              <w:rPr>
                <w:rFonts w:cs="Arial"/>
                <w:sz w:val="18"/>
                <w:szCs w:val="18"/>
              </w:rPr>
            </w:pPr>
            <w:r w:rsidRPr="00DC2662">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094510E8" w14:textId="0C424A6F"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60D25D89" w14:textId="222890BB"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015B370D" w14:textId="77777777"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r>
      <w:tr w:rsidR="00D605FA" w:rsidRPr="00EB3AA9" w14:paraId="4DC0B993"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0CEAD737" w14:textId="77777777" w:rsidR="00D605FA" w:rsidRPr="00EB3AA9" w:rsidRDefault="00D605FA" w:rsidP="00885EE5">
            <w:pPr>
              <w:spacing w:before="60" w:after="60"/>
              <w:ind w:left="17"/>
              <w:rPr>
                <w:rFonts w:cs="Arial"/>
                <w:i/>
                <w:sz w:val="18"/>
                <w:szCs w:val="18"/>
              </w:rPr>
            </w:pPr>
            <w:r w:rsidRPr="00EB3AA9">
              <w:rPr>
                <w:rFonts w:cs="Arial"/>
                <w:i/>
                <w:sz w:val="18"/>
                <w:szCs w:val="18"/>
              </w:rPr>
              <w:t>Botaurus poiciloptilus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284EFDCF" w14:textId="77777777" w:rsidR="00D605FA" w:rsidRPr="00EB3AA9" w:rsidRDefault="00D605FA" w:rsidP="00885EE5">
            <w:pPr>
              <w:spacing w:before="60" w:after="60"/>
              <w:ind w:left="0" w:firstLine="13"/>
              <w:rPr>
                <w:rFonts w:cs="Arial"/>
                <w:sz w:val="18"/>
                <w:szCs w:val="18"/>
              </w:rPr>
            </w:pPr>
            <w:r w:rsidRPr="00EB3AA9">
              <w:rPr>
                <w:rFonts w:cs="Arial"/>
                <w:sz w:val="18"/>
                <w:szCs w:val="18"/>
              </w:rPr>
              <w:t>Australian bittern</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796BBF75" w14:textId="77777777" w:rsidR="00D605FA" w:rsidRPr="00EB3AA9" w:rsidRDefault="00D605FA" w:rsidP="00CD5287">
            <w:pPr>
              <w:spacing w:before="60" w:after="60"/>
              <w:ind w:left="0"/>
              <w:jc w:val="center"/>
              <w:rPr>
                <w:rFonts w:cs="Arial"/>
                <w:sz w:val="18"/>
                <w:szCs w:val="18"/>
              </w:rPr>
            </w:pPr>
            <w:r w:rsidRPr="00EB3AA9">
              <w:rPr>
                <w:rFonts w:cs="Arial"/>
                <w:sz w:val="18"/>
                <w:szCs w:val="18"/>
              </w:rPr>
              <w:t>E</w:t>
            </w:r>
          </w:p>
        </w:tc>
        <w:tc>
          <w:tcPr>
            <w:tcW w:w="579" w:type="pct"/>
            <w:tcBorders>
              <w:top w:val="single" w:sz="4" w:space="0" w:color="auto"/>
              <w:left w:val="single" w:sz="4" w:space="0" w:color="auto"/>
              <w:bottom w:val="single" w:sz="4" w:space="0" w:color="auto"/>
              <w:right w:val="single" w:sz="4" w:space="0" w:color="auto"/>
            </w:tcBorders>
            <w:vAlign w:val="center"/>
          </w:tcPr>
          <w:p w14:paraId="359CD81D" w14:textId="77777777" w:rsidR="00D605FA" w:rsidRPr="00EB3AA9" w:rsidRDefault="00D605FA" w:rsidP="00CD5287">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5D1BA248" w14:textId="77777777" w:rsidR="00D605FA" w:rsidRPr="00EB3AA9" w:rsidRDefault="00D605FA" w:rsidP="00CD5287">
            <w:pPr>
              <w:pStyle w:val="TableText"/>
              <w:jc w:val="center"/>
              <w:rPr>
                <w:rFonts w:cs="Arial"/>
                <w:sz w:val="18"/>
                <w:szCs w:val="18"/>
              </w:rPr>
            </w:pPr>
            <w:r w:rsidRPr="00EB3AA9">
              <w:rPr>
                <w:rFonts w:cs="Arial"/>
                <w:sz w:val="18"/>
                <w:szCs w:val="18"/>
              </w:rPr>
              <w:t>-</w:t>
            </w:r>
          </w:p>
        </w:tc>
        <w:tc>
          <w:tcPr>
            <w:tcW w:w="433" w:type="pct"/>
            <w:tcBorders>
              <w:top w:val="single" w:sz="4" w:space="0" w:color="auto"/>
              <w:left w:val="single" w:sz="4" w:space="0" w:color="auto"/>
              <w:bottom w:val="single" w:sz="4" w:space="0" w:color="auto"/>
              <w:right w:val="single" w:sz="4" w:space="0" w:color="auto"/>
            </w:tcBorders>
            <w:vAlign w:val="center"/>
          </w:tcPr>
          <w:p w14:paraId="3AD3D262" w14:textId="5F9036B4" w:rsidR="00D605FA" w:rsidRPr="00EB3AA9" w:rsidRDefault="00F04866" w:rsidP="00215B4E">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082D8485" w14:textId="39A645E2" w:rsidR="00D605FA" w:rsidRPr="00EB3AA9" w:rsidRDefault="00D605FA" w:rsidP="00CD5287">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5541860E" w14:textId="77777777" w:rsidR="00D605FA" w:rsidRPr="00EB3AA9" w:rsidRDefault="00D605FA" w:rsidP="00CD5287">
            <w:pPr>
              <w:spacing w:before="60" w:after="60"/>
              <w:ind w:left="69" w:hanging="69"/>
              <w:jc w:val="center"/>
              <w:rPr>
                <w:rFonts w:cs="Arial"/>
                <w:sz w:val="18"/>
                <w:szCs w:val="18"/>
              </w:rPr>
            </w:pPr>
            <w:r w:rsidRPr="00EB3AA9">
              <w:rPr>
                <w:rFonts w:cs="Arial"/>
                <w:sz w:val="18"/>
                <w:szCs w:val="18"/>
              </w:rPr>
              <w:t>CA</w:t>
            </w:r>
          </w:p>
        </w:tc>
      </w:tr>
      <w:tr w:rsidR="00D605FA" w:rsidRPr="00EB3AA9" w14:paraId="5610F92C"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759C2B38" w14:textId="77777777" w:rsidR="00D605FA" w:rsidRPr="00EB3AA9" w:rsidRDefault="00D605FA" w:rsidP="00885EE5">
            <w:pPr>
              <w:spacing w:before="60" w:after="60"/>
              <w:ind w:left="17"/>
              <w:rPr>
                <w:rFonts w:cs="Arial"/>
                <w:i/>
                <w:sz w:val="18"/>
                <w:szCs w:val="18"/>
              </w:rPr>
            </w:pPr>
            <w:r w:rsidRPr="00EB3AA9">
              <w:rPr>
                <w:rFonts w:cs="Arial"/>
                <w:i/>
                <w:sz w:val="18"/>
                <w:szCs w:val="18"/>
              </w:rPr>
              <w:t>Calidris acuminata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0332F5FD" w14:textId="77777777" w:rsidR="00D605FA" w:rsidRPr="00EB3AA9" w:rsidRDefault="00D605FA" w:rsidP="00885EE5">
            <w:pPr>
              <w:spacing w:before="60" w:after="60"/>
              <w:ind w:left="0" w:firstLine="13"/>
              <w:rPr>
                <w:rFonts w:cs="Arial"/>
                <w:sz w:val="18"/>
                <w:szCs w:val="18"/>
              </w:rPr>
            </w:pPr>
            <w:r w:rsidRPr="00EB3AA9">
              <w:rPr>
                <w:rFonts w:cs="Arial"/>
                <w:sz w:val="18"/>
                <w:szCs w:val="18"/>
              </w:rPr>
              <w:t>Sharp-tailed sandpiper</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55139B17"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6C319354" w14:textId="1EBC782A" w:rsidR="00D605FA" w:rsidRPr="00EB3AA9" w:rsidRDefault="00D605FA" w:rsidP="00EB3AA9">
            <w:pPr>
              <w:pStyle w:val="TableText"/>
              <w:jc w:val="center"/>
              <w:rPr>
                <w:rFonts w:cs="Arial"/>
                <w:sz w:val="18"/>
                <w:szCs w:val="18"/>
              </w:rPr>
            </w:pPr>
            <w:r w:rsidRPr="00EE2A80">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44EDE36B" w14:textId="5B6DAB56" w:rsidR="00D605FA" w:rsidRPr="00EB3AA9" w:rsidRDefault="00D605FA" w:rsidP="00EB3AA9">
            <w:pPr>
              <w:pStyle w:val="TableText"/>
              <w:jc w:val="center"/>
              <w:rPr>
                <w:rFonts w:cs="Arial"/>
                <w:sz w:val="18"/>
                <w:szCs w:val="18"/>
              </w:rPr>
            </w:pPr>
            <w:r w:rsidRPr="00EE2A80">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48EE5D52" w14:textId="662E3241"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753A5AE8" w14:textId="6B3AC6ED"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5ABE6AB8"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5A058461"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6433EF23" w14:textId="77777777" w:rsidR="00D605FA" w:rsidRPr="00EB3AA9" w:rsidRDefault="00D605FA" w:rsidP="00885EE5">
            <w:pPr>
              <w:spacing w:before="60" w:after="60"/>
              <w:ind w:left="17"/>
              <w:rPr>
                <w:rFonts w:cs="Arial"/>
                <w:i/>
                <w:sz w:val="18"/>
                <w:szCs w:val="18"/>
              </w:rPr>
            </w:pPr>
            <w:r w:rsidRPr="00EB3AA9">
              <w:rPr>
                <w:rFonts w:cs="Arial"/>
                <w:i/>
                <w:sz w:val="18"/>
                <w:szCs w:val="18"/>
              </w:rPr>
              <w:t>Calidris alba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376A0FF8" w14:textId="77777777" w:rsidR="00D605FA" w:rsidRPr="00EB3AA9" w:rsidRDefault="00D605FA" w:rsidP="00885EE5">
            <w:pPr>
              <w:spacing w:before="60" w:after="60"/>
              <w:ind w:left="0" w:firstLine="13"/>
              <w:rPr>
                <w:rFonts w:cs="Arial"/>
                <w:sz w:val="18"/>
                <w:szCs w:val="18"/>
              </w:rPr>
            </w:pPr>
            <w:r w:rsidRPr="00EB3AA9">
              <w:rPr>
                <w:rFonts w:cs="Arial"/>
                <w:sz w:val="18"/>
                <w:szCs w:val="18"/>
              </w:rPr>
              <w:t>Sanderling</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7AF37967"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69855C3A" w14:textId="15A82A2E" w:rsidR="00D605FA" w:rsidRPr="00EB3AA9" w:rsidRDefault="00D605FA" w:rsidP="00EB3AA9">
            <w:pPr>
              <w:pStyle w:val="TableText"/>
              <w:jc w:val="center"/>
              <w:rPr>
                <w:rFonts w:cs="Arial"/>
                <w:sz w:val="18"/>
                <w:szCs w:val="18"/>
              </w:rPr>
            </w:pPr>
            <w:r w:rsidRPr="00EE2A80">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3C3007FE" w14:textId="1C810FE8" w:rsidR="00D605FA" w:rsidRPr="00EB3AA9" w:rsidRDefault="00D605FA" w:rsidP="00EB3AA9">
            <w:pPr>
              <w:pStyle w:val="TableText"/>
              <w:jc w:val="center"/>
              <w:rPr>
                <w:rFonts w:cs="Arial"/>
                <w:sz w:val="18"/>
                <w:szCs w:val="18"/>
              </w:rPr>
            </w:pPr>
            <w:r w:rsidRPr="00EE2A80">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4EE132D1" w14:textId="154ACEB8"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19AF7CD5" w14:textId="7B7EE9ED"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7C54BDE2"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7BA5B5DD"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20B4720E" w14:textId="77777777" w:rsidR="00D605FA" w:rsidRPr="00EB3AA9" w:rsidRDefault="00D605FA" w:rsidP="00885EE5">
            <w:pPr>
              <w:spacing w:before="60" w:after="60"/>
              <w:ind w:left="17"/>
              <w:rPr>
                <w:rFonts w:cs="Arial"/>
                <w:i/>
                <w:sz w:val="18"/>
                <w:szCs w:val="18"/>
              </w:rPr>
            </w:pPr>
            <w:r w:rsidRPr="00EB3AA9">
              <w:rPr>
                <w:rFonts w:cs="Arial"/>
                <w:i/>
                <w:sz w:val="18"/>
                <w:szCs w:val="18"/>
              </w:rPr>
              <w:lastRenderedPageBreak/>
              <w:t>Calidris canutus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45883D61" w14:textId="77777777" w:rsidR="00D605FA" w:rsidRPr="00EB3AA9" w:rsidRDefault="00D605FA" w:rsidP="00885EE5">
            <w:pPr>
              <w:spacing w:before="60" w:after="60"/>
              <w:ind w:left="0" w:firstLine="13"/>
              <w:rPr>
                <w:rFonts w:cs="Arial"/>
                <w:sz w:val="18"/>
                <w:szCs w:val="18"/>
              </w:rPr>
            </w:pPr>
            <w:r w:rsidRPr="00EB3AA9">
              <w:rPr>
                <w:rFonts w:cs="Arial"/>
                <w:sz w:val="18"/>
                <w:szCs w:val="18"/>
              </w:rPr>
              <w:t>Red knot</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16A79838" w14:textId="77777777" w:rsidR="00D605FA" w:rsidRPr="00EB3AA9" w:rsidRDefault="00D605FA" w:rsidP="00B65B11">
            <w:pPr>
              <w:spacing w:before="60" w:after="60"/>
              <w:ind w:left="0"/>
              <w:jc w:val="center"/>
              <w:rPr>
                <w:rFonts w:cs="Arial"/>
                <w:sz w:val="18"/>
                <w:szCs w:val="18"/>
              </w:rPr>
            </w:pPr>
            <w:r w:rsidRPr="00EB3AA9">
              <w:rPr>
                <w:rFonts w:cs="Arial"/>
                <w:sz w:val="18"/>
                <w:szCs w:val="18"/>
              </w:rPr>
              <w:t>E</w:t>
            </w:r>
          </w:p>
        </w:tc>
        <w:tc>
          <w:tcPr>
            <w:tcW w:w="579" w:type="pct"/>
            <w:tcBorders>
              <w:top w:val="single" w:sz="4" w:space="0" w:color="auto"/>
              <w:left w:val="single" w:sz="4" w:space="0" w:color="auto"/>
              <w:bottom w:val="single" w:sz="4" w:space="0" w:color="auto"/>
              <w:right w:val="single" w:sz="4" w:space="0" w:color="auto"/>
            </w:tcBorders>
            <w:vAlign w:val="center"/>
          </w:tcPr>
          <w:p w14:paraId="368757FD" w14:textId="5B607814" w:rsidR="00D605FA" w:rsidRPr="00EB3AA9" w:rsidRDefault="00D605FA" w:rsidP="00EB3AA9">
            <w:pPr>
              <w:pStyle w:val="TableText"/>
              <w:jc w:val="center"/>
              <w:rPr>
                <w:rFonts w:cs="Arial"/>
                <w:sz w:val="18"/>
                <w:szCs w:val="18"/>
              </w:rPr>
            </w:pPr>
            <w:r w:rsidRPr="00E47FE1">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01474EDE" w14:textId="509B3AF6" w:rsidR="00D605FA" w:rsidRPr="00EB3AA9" w:rsidRDefault="00D605FA" w:rsidP="00EB3AA9">
            <w:pPr>
              <w:pStyle w:val="TableText"/>
              <w:jc w:val="center"/>
              <w:rPr>
                <w:rFonts w:cs="Arial"/>
                <w:sz w:val="18"/>
                <w:szCs w:val="18"/>
              </w:rPr>
            </w:pPr>
            <w:r w:rsidRPr="00EE2A80">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067D5B73" w14:textId="71E919EB"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27A958D7" w14:textId="30675039"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26C200CE" w14:textId="77777777" w:rsidR="00D605FA" w:rsidRPr="00EB3AA9" w:rsidRDefault="00D605FA" w:rsidP="00B65B11">
            <w:pPr>
              <w:spacing w:before="60" w:after="60"/>
              <w:ind w:left="69" w:hanging="69"/>
              <w:jc w:val="center"/>
              <w:rPr>
                <w:rFonts w:cs="Arial"/>
                <w:sz w:val="18"/>
                <w:szCs w:val="18"/>
              </w:rPr>
            </w:pPr>
          </w:p>
        </w:tc>
      </w:tr>
      <w:tr w:rsidR="00D605FA" w:rsidRPr="00EB3AA9" w14:paraId="533E580A"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1F3ECB5F" w14:textId="77777777" w:rsidR="00D605FA" w:rsidRPr="00EB3AA9" w:rsidRDefault="00D605FA" w:rsidP="00885EE5">
            <w:pPr>
              <w:spacing w:before="60" w:after="60"/>
              <w:ind w:left="17"/>
              <w:rPr>
                <w:rFonts w:cs="Arial"/>
                <w:i/>
                <w:sz w:val="18"/>
                <w:szCs w:val="18"/>
              </w:rPr>
            </w:pPr>
            <w:r w:rsidRPr="00EB3AA9">
              <w:rPr>
                <w:rFonts w:cs="Arial"/>
                <w:i/>
                <w:sz w:val="18"/>
                <w:szCs w:val="18"/>
              </w:rPr>
              <w:t>Calidris ferruginea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470CC2EB" w14:textId="77777777" w:rsidR="00D605FA" w:rsidRPr="00EB3AA9" w:rsidRDefault="00D605FA" w:rsidP="00885EE5">
            <w:pPr>
              <w:spacing w:before="60" w:after="60"/>
              <w:ind w:left="0" w:firstLine="13"/>
              <w:rPr>
                <w:rFonts w:cs="Arial"/>
                <w:sz w:val="18"/>
                <w:szCs w:val="18"/>
              </w:rPr>
            </w:pPr>
            <w:r w:rsidRPr="00EB3AA9">
              <w:rPr>
                <w:rFonts w:cs="Arial"/>
                <w:sz w:val="18"/>
                <w:szCs w:val="18"/>
              </w:rPr>
              <w:t>Curlew sandpiper</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4F9E8F2E" w14:textId="77777777" w:rsidR="00D605FA" w:rsidRPr="00EB3AA9" w:rsidRDefault="00D605FA" w:rsidP="00B65B11">
            <w:pPr>
              <w:spacing w:before="60" w:after="60"/>
              <w:ind w:left="0"/>
              <w:jc w:val="center"/>
              <w:rPr>
                <w:rFonts w:cs="Arial"/>
                <w:sz w:val="18"/>
                <w:szCs w:val="18"/>
              </w:rPr>
            </w:pPr>
            <w:r w:rsidRPr="00EB3AA9">
              <w:rPr>
                <w:rFonts w:cs="Arial"/>
                <w:sz w:val="18"/>
                <w:szCs w:val="18"/>
              </w:rPr>
              <w:t>CE</w:t>
            </w:r>
          </w:p>
        </w:tc>
        <w:tc>
          <w:tcPr>
            <w:tcW w:w="579" w:type="pct"/>
            <w:tcBorders>
              <w:top w:val="single" w:sz="4" w:space="0" w:color="auto"/>
              <w:left w:val="single" w:sz="4" w:space="0" w:color="auto"/>
              <w:bottom w:val="single" w:sz="4" w:space="0" w:color="auto"/>
              <w:right w:val="single" w:sz="4" w:space="0" w:color="auto"/>
            </w:tcBorders>
            <w:vAlign w:val="center"/>
          </w:tcPr>
          <w:p w14:paraId="10E7C170" w14:textId="48D4F0B0" w:rsidR="00D605FA" w:rsidRPr="00EB3AA9" w:rsidRDefault="00D605FA" w:rsidP="00EB3AA9">
            <w:pPr>
              <w:pStyle w:val="TableText"/>
              <w:jc w:val="center"/>
              <w:rPr>
                <w:rFonts w:cs="Arial"/>
                <w:sz w:val="18"/>
                <w:szCs w:val="18"/>
              </w:rPr>
            </w:pPr>
            <w:r w:rsidRPr="00E47FE1">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25F4A47B" w14:textId="2FD9FC78" w:rsidR="00D605FA" w:rsidRPr="00EB3AA9" w:rsidRDefault="00D605FA" w:rsidP="00EB3AA9">
            <w:pPr>
              <w:pStyle w:val="TableText"/>
              <w:jc w:val="center"/>
              <w:rPr>
                <w:rFonts w:cs="Arial"/>
                <w:sz w:val="18"/>
                <w:szCs w:val="18"/>
              </w:rPr>
            </w:pPr>
            <w:r>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6FAFD96C" w14:textId="2F1C91E5" w:rsidR="00D605FA" w:rsidRPr="00EB3AA9" w:rsidRDefault="00F04866" w:rsidP="00215B4E">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3556BE67" w14:textId="1229FBDC"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5BD34657"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5B852B54"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19C448B5" w14:textId="77777777" w:rsidR="00D605FA" w:rsidRPr="00EB3AA9" w:rsidRDefault="00D605FA" w:rsidP="00885EE5">
            <w:pPr>
              <w:spacing w:before="60" w:after="60"/>
              <w:ind w:left="17"/>
              <w:rPr>
                <w:rFonts w:cs="Arial"/>
                <w:i/>
                <w:sz w:val="18"/>
                <w:szCs w:val="18"/>
              </w:rPr>
            </w:pPr>
            <w:r w:rsidRPr="00EB3AA9">
              <w:rPr>
                <w:rFonts w:cs="Arial"/>
                <w:i/>
                <w:sz w:val="18"/>
                <w:szCs w:val="18"/>
              </w:rPr>
              <w:t>Calidris ruficolis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1A260FC3" w14:textId="77777777" w:rsidR="00D605FA" w:rsidRPr="00EB3AA9" w:rsidRDefault="00D605FA" w:rsidP="00885EE5">
            <w:pPr>
              <w:spacing w:before="60" w:after="60"/>
              <w:ind w:left="0" w:firstLine="13"/>
              <w:rPr>
                <w:rFonts w:cs="Arial"/>
                <w:sz w:val="18"/>
                <w:szCs w:val="18"/>
              </w:rPr>
            </w:pPr>
            <w:r w:rsidRPr="00EB3AA9">
              <w:rPr>
                <w:rFonts w:cs="Arial"/>
                <w:sz w:val="18"/>
                <w:szCs w:val="18"/>
              </w:rPr>
              <w:t>Red-necked stint</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413774AC"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0783B33E" w14:textId="3CB1603A" w:rsidR="00D605FA" w:rsidRPr="00EB3AA9" w:rsidRDefault="00D605FA" w:rsidP="00EB3AA9">
            <w:pPr>
              <w:pStyle w:val="TableText"/>
              <w:jc w:val="center"/>
              <w:rPr>
                <w:rFonts w:cs="Arial"/>
                <w:sz w:val="18"/>
                <w:szCs w:val="18"/>
              </w:rPr>
            </w:pPr>
            <w:r w:rsidRPr="00695B6C">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6280134F" w14:textId="57D0EDC7"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31AAF475" w14:textId="5E9E4741"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6671A9F8" w14:textId="4834EE68"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31927AFE"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5BE6CBBB"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1EDC132E" w14:textId="77777777" w:rsidR="00D605FA" w:rsidRPr="00EB3AA9" w:rsidRDefault="00D605FA" w:rsidP="00885EE5">
            <w:pPr>
              <w:spacing w:before="60" w:after="60"/>
              <w:ind w:left="17"/>
              <w:rPr>
                <w:rFonts w:cs="Arial"/>
                <w:i/>
                <w:sz w:val="18"/>
                <w:szCs w:val="18"/>
              </w:rPr>
            </w:pPr>
            <w:r w:rsidRPr="00EB3AA9">
              <w:rPr>
                <w:rFonts w:cs="Arial"/>
                <w:i/>
                <w:sz w:val="18"/>
                <w:szCs w:val="18"/>
              </w:rPr>
              <w:t>Calidris tenuirostris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7BD88122" w14:textId="77777777" w:rsidR="00D605FA" w:rsidRPr="00EB3AA9" w:rsidRDefault="00D605FA" w:rsidP="00885EE5">
            <w:pPr>
              <w:spacing w:before="60" w:after="60"/>
              <w:ind w:left="0" w:firstLine="13"/>
              <w:rPr>
                <w:rFonts w:cs="Arial"/>
                <w:sz w:val="18"/>
                <w:szCs w:val="18"/>
              </w:rPr>
            </w:pPr>
            <w:r w:rsidRPr="00EB3AA9">
              <w:rPr>
                <w:rFonts w:cs="Arial"/>
                <w:sz w:val="18"/>
                <w:szCs w:val="18"/>
              </w:rPr>
              <w:t>Great knot</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3BDEE2BF" w14:textId="77777777" w:rsidR="00D605FA" w:rsidRPr="00EB3AA9" w:rsidRDefault="00D605FA" w:rsidP="00B65B11">
            <w:pPr>
              <w:spacing w:before="60" w:after="60"/>
              <w:ind w:left="0"/>
              <w:jc w:val="center"/>
              <w:rPr>
                <w:rFonts w:cs="Arial"/>
                <w:sz w:val="18"/>
                <w:szCs w:val="18"/>
              </w:rPr>
            </w:pPr>
            <w:r w:rsidRPr="00EB3AA9">
              <w:rPr>
                <w:rFonts w:cs="Arial"/>
                <w:sz w:val="18"/>
                <w:szCs w:val="18"/>
              </w:rPr>
              <w:t>CE</w:t>
            </w:r>
          </w:p>
        </w:tc>
        <w:tc>
          <w:tcPr>
            <w:tcW w:w="579" w:type="pct"/>
            <w:tcBorders>
              <w:top w:val="single" w:sz="4" w:space="0" w:color="auto"/>
              <w:left w:val="single" w:sz="4" w:space="0" w:color="auto"/>
              <w:bottom w:val="single" w:sz="4" w:space="0" w:color="auto"/>
              <w:right w:val="single" w:sz="4" w:space="0" w:color="auto"/>
            </w:tcBorders>
            <w:vAlign w:val="center"/>
          </w:tcPr>
          <w:p w14:paraId="70AD9AB7" w14:textId="5EB1C92E" w:rsidR="00D605FA" w:rsidRPr="00EB3AA9" w:rsidRDefault="00D605FA" w:rsidP="00EB3AA9">
            <w:pPr>
              <w:pStyle w:val="TableText"/>
              <w:jc w:val="center"/>
              <w:rPr>
                <w:rFonts w:cs="Arial"/>
                <w:sz w:val="18"/>
                <w:szCs w:val="18"/>
              </w:rPr>
            </w:pPr>
            <w:r w:rsidRPr="00695B6C">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4F155CCF" w14:textId="5773349D"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37A02011" w14:textId="07EB07FE"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019654A2" w14:textId="0670FCD5"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7F397FBF"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CA</w:t>
            </w:r>
          </w:p>
        </w:tc>
      </w:tr>
      <w:tr w:rsidR="00D605FA" w:rsidRPr="00EB3AA9" w14:paraId="5AE32DB2"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4022A85D" w14:textId="77777777" w:rsidR="00D605FA" w:rsidRPr="00EB3AA9" w:rsidRDefault="00D605FA" w:rsidP="00885EE5">
            <w:pPr>
              <w:spacing w:before="60" w:after="60"/>
              <w:ind w:left="17"/>
              <w:rPr>
                <w:rFonts w:cs="Arial"/>
                <w:i/>
                <w:sz w:val="18"/>
                <w:szCs w:val="18"/>
              </w:rPr>
            </w:pPr>
            <w:r w:rsidRPr="00EB3AA9">
              <w:rPr>
                <w:rFonts w:cs="Arial"/>
                <w:i/>
                <w:sz w:val="18"/>
                <w:szCs w:val="18"/>
              </w:rPr>
              <w:t>Charadrius bicinctus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0CA1D30D" w14:textId="77777777" w:rsidR="00D605FA" w:rsidRPr="00EB3AA9" w:rsidRDefault="00D605FA" w:rsidP="00885EE5">
            <w:pPr>
              <w:spacing w:before="60" w:after="60"/>
              <w:ind w:left="0" w:firstLine="13"/>
              <w:rPr>
                <w:rFonts w:cs="Arial"/>
                <w:sz w:val="18"/>
                <w:szCs w:val="18"/>
              </w:rPr>
            </w:pPr>
            <w:r w:rsidRPr="00EB3AA9">
              <w:rPr>
                <w:rFonts w:cs="Arial"/>
                <w:sz w:val="18"/>
                <w:szCs w:val="18"/>
              </w:rPr>
              <w:t>Double-banded plover</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372A5657"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6E3F1F6B" w14:textId="77777777" w:rsidR="00D605FA" w:rsidRPr="00EB3AA9" w:rsidRDefault="00D605FA" w:rsidP="00B65B11">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06A54795" w14:textId="60F8B17C"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7B035190" w14:textId="792E7FD5"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0DB7CE69" w14:textId="14FAF7DB" w:rsidR="00D605FA" w:rsidRPr="00EB3AA9" w:rsidRDefault="00D605FA" w:rsidP="00B65B11">
            <w:pPr>
              <w:spacing w:before="60" w:after="60"/>
              <w:ind w:left="69" w:hanging="69"/>
              <w:jc w:val="center"/>
              <w:rPr>
                <w:rFonts w:cs="Arial"/>
                <w:sz w:val="18"/>
                <w:szCs w:val="18"/>
              </w:rPr>
            </w:pPr>
          </w:p>
        </w:tc>
        <w:tc>
          <w:tcPr>
            <w:tcW w:w="601" w:type="pct"/>
            <w:tcBorders>
              <w:top w:val="single" w:sz="4" w:space="0" w:color="auto"/>
              <w:left w:val="single" w:sz="4" w:space="0" w:color="auto"/>
              <w:bottom w:val="single" w:sz="4" w:space="0" w:color="auto"/>
              <w:right w:val="single" w:sz="4" w:space="0" w:color="auto"/>
            </w:tcBorders>
            <w:vAlign w:val="center"/>
          </w:tcPr>
          <w:p w14:paraId="5F765D39" w14:textId="77777777" w:rsidR="00D605FA" w:rsidRPr="00EB3AA9" w:rsidRDefault="00D605FA" w:rsidP="00B65B11">
            <w:pPr>
              <w:spacing w:before="60" w:after="60"/>
              <w:ind w:left="69" w:hanging="69"/>
              <w:jc w:val="center"/>
              <w:rPr>
                <w:rFonts w:cs="Arial"/>
                <w:sz w:val="18"/>
                <w:szCs w:val="18"/>
              </w:rPr>
            </w:pPr>
          </w:p>
        </w:tc>
      </w:tr>
      <w:tr w:rsidR="00D605FA" w:rsidRPr="00EB3AA9" w14:paraId="4D0003CE"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585CE545" w14:textId="77777777" w:rsidR="00D605FA" w:rsidRPr="00EB3AA9" w:rsidRDefault="00D605FA" w:rsidP="00885EE5">
            <w:pPr>
              <w:spacing w:before="60" w:after="60"/>
              <w:ind w:left="17"/>
              <w:rPr>
                <w:rFonts w:cs="Arial"/>
                <w:i/>
                <w:sz w:val="18"/>
                <w:szCs w:val="18"/>
              </w:rPr>
            </w:pPr>
            <w:r w:rsidRPr="00EB3AA9">
              <w:rPr>
                <w:rFonts w:cs="Arial"/>
                <w:i/>
                <w:sz w:val="18"/>
                <w:szCs w:val="18"/>
              </w:rPr>
              <w:t>Charadrius leschenaultii</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7ED47F93" w14:textId="77777777" w:rsidR="00D605FA" w:rsidRPr="00EB3AA9" w:rsidRDefault="00D605FA" w:rsidP="00885EE5">
            <w:pPr>
              <w:spacing w:before="60" w:after="60"/>
              <w:ind w:left="0" w:firstLine="13"/>
              <w:rPr>
                <w:rFonts w:cs="Arial"/>
                <w:sz w:val="18"/>
                <w:szCs w:val="18"/>
              </w:rPr>
            </w:pPr>
            <w:r w:rsidRPr="00EB3AA9">
              <w:rPr>
                <w:rFonts w:cs="Arial"/>
                <w:sz w:val="18"/>
                <w:szCs w:val="18"/>
              </w:rPr>
              <w:t>Greater sand plover</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392F1FBE" w14:textId="77777777" w:rsidR="00D605FA" w:rsidRPr="00EB3AA9" w:rsidRDefault="00D605FA" w:rsidP="00B65B11">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5FE180E2" w14:textId="1C0A4DF9" w:rsidR="00D605FA" w:rsidRPr="00EB3AA9" w:rsidRDefault="00D605FA" w:rsidP="00EB3AA9">
            <w:pPr>
              <w:pStyle w:val="TableText"/>
              <w:jc w:val="center"/>
              <w:rPr>
                <w:rFonts w:cs="Arial"/>
                <w:sz w:val="18"/>
                <w:szCs w:val="18"/>
              </w:rPr>
            </w:pPr>
            <w:r w:rsidRPr="006670D0">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691A352B" w14:textId="6EFFEC90"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11BC435C" w14:textId="73E6D2B6"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2D768F02" w14:textId="495D0CAE"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38591825"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CA</w:t>
            </w:r>
          </w:p>
        </w:tc>
      </w:tr>
      <w:tr w:rsidR="00D605FA" w:rsidRPr="00EB3AA9" w14:paraId="7E78BB71"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149ED0CD" w14:textId="77777777" w:rsidR="00D605FA" w:rsidRPr="00EB3AA9" w:rsidRDefault="00D605FA" w:rsidP="00885EE5">
            <w:pPr>
              <w:spacing w:before="60" w:after="60"/>
              <w:ind w:left="17"/>
              <w:rPr>
                <w:rFonts w:cs="Arial"/>
                <w:i/>
                <w:sz w:val="18"/>
                <w:szCs w:val="18"/>
              </w:rPr>
            </w:pPr>
            <w:r w:rsidRPr="00EB3AA9">
              <w:rPr>
                <w:rFonts w:cs="Arial"/>
                <w:i/>
                <w:sz w:val="18"/>
                <w:szCs w:val="18"/>
              </w:rPr>
              <w:t>Charadrius mongolus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2BBD0F95" w14:textId="77777777" w:rsidR="00D605FA" w:rsidRPr="00EB3AA9" w:rsidRDefault="00D605FA" w:rsidP="00885EE5">
            <w:pPr>
              <w:spacing w:before="60" w:after="60"/>
              <w:ind w:left="0" w:firstLine="13"/>
              <w:rPr>
                <w:rFonts w:cs="Arial"/>
                <w:sz w:val="18"/>
                <w:szCs w:val="18"/>
              </w:rPr>
            </w:pPr>
            <w:r w:rsidRPr="00EB3AA9">
              <w:rPr>
                <w:rFonts w:cs="Arial"/>
                <w:sz w:val="18"/>
                <w:szCs w:val="18"/>
              </w:rPr>
              <w:t>Lesser sand plover</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0F0B8912" w14:textId="77777777" w:rsidR="00D605FA" w:rsidRPr="00EB3AA9" w:rsidRDefault="00D605FA" w:rsidP="00B65B11">
            <w:pPr>
              <w:spacing w:before="60" w:after="60"/>
              <w:ind w:left="0"/>
              <w:jc w:val="center"/>
              <w:rPr>
                <w:rFonts w:cs="Arial"/>
                <w:sz w:val="18"/>
                <w:szCs w:val="18"/>
              </w:rPr>
            </w:pPr>
            <w:r w:rsidRPr="00EB3AA9">
              <w:rPr>
                <w:rFonts w:cs="Arial"/>
                <w:sz w:val="18"/>
                <w:szCs w:val="18"/>
              </w:rPr>
              <w:t>E</w:t>
            </w:r>
          </w:p>
        </w:tc>
        <w:tc>
          <w:tcPr>
            <w:tcW w:w="579" w:type="pct"/>
            <w:tcBorders>
              <w:top w:val="single" w:sz="4" w:space="0" w:color="auto"/>
              <w:left w:val="single" w:sz="4" w:space="0" w:color="auto"/>
              <w:bottom w:val="single" w:sz="4" w:space="0" w:color="auto"/>
              <w:right w:val="single" w:sz="4" w:space="0" w:color="auto"/>
            </w:tcBorders>
            <w:vAlign w:val="center"/>
          </w:tcPr>
          <w:p w14:paraId="48962505" w14:textId="7D9A2D84" w:rsidR="00D605FA" w:rsidRPr="00EB3AA9" w:rsidRDefault="00D605FA" w:rsidP="00EB3AA9">
            <w:pPr>
              <w:pStyle w:val="TableText"/>
              <w:jc w:val="center"/>
              <w:rPr>
                <w:rFonts w:cs="Arial"/>
                <w:sz w:val="18"/>
                <w:szCs w:val="18"/>
              </w:rPr>
            </w:pPr>
            <w:r w:rsidRPr="006670D0">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43171479" w14:textId="4267C5A2"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49641164" w14:textId="522516C1"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67792FC2" w14:textId="7E70D338"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2F2A2275"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CA</w:t>
            </w:r>
          </w:p>
        </w:tc>
      </w:tr>
      <w:tr w:rsidR="00D605FA" w:rsidRPr="00EB3AA9" w14:paraId="01F6DF4E"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78BBCF30" w14:textId="77777777" w:rsidR="00D605FA" w:rsidRPr="00EB3AA9" w:rsidRDefault="00D605FA" w:rsidP="00885EE5">
            <w:pPr>
              <w:spacing w:before="60" w:after="60"/>
              <w:ind w:left="17"/>
              <w:rPr>
                <w:rFonts w:cs="Arial"/>
                <w:i/>
                <w:sz w:val="18"/>
                <w:szCs w:val="18"/>
              </w:rPr>
            </w:pPr>
            <w:r w:rsidRPr="00EB3AA9">
              <w:rPr>
                <w:rFonts w:cs="Arial"/>
                <w:i/>
                <w:sz w:val="18"/>
                <w:szCs w:val="18"/>
              </w:rPr>
              <w:t>Charadrius ruficapillus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58086F6E" w14:textId="77777777" w:rsidR="00D605FA" w:rsidRPr="00EB3AA9" w:rsidRDefault="00D605FA" w:rsidP="00885EE5">
            <w:pPr>
              <w:spacing w:before="60" w:after="60"/>
              <w:ind w:left="0" w:firstLine="13"/>
              <w:rPr>
                <w:rFonts w:cs="Arial"/>
                <w:sz w:val="18"/>
                <w:szCs w:val="18"/>
              </w:rPr>
            </w:pPr>
            <w:r w:rsidRPr="00EB3AA9">
              <w:rPr>
                <w:rFonts w:cs="Arial"/>
                <w:sz w:val="18"/>
                <w:szCs w:val="18"/>
              </w:rPr>
              <w:t>Red-capped plover</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56A7A6B3"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78B315C3" w14:textId="77777777" w:rsidR="00D605FA" w:rsidRPr="00EB3AA9" w:rsidRDefault="00D605FA" w:rsidP="00B65B11">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0956D9E5" w14:textId="37768C25"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44D31D23" w14:textId="16944B9A"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63F1EA00" w14:textId="1EFC0185"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52AAEA99"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1B56EAAB"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76E16024" w14:textId="77777777" w:rsidR="00D605FA" w:rsidRPr="00EB3AA9" w:rsidRDefault="00D605FA" w:rsidP="00885EE5">
            <w:pPr>
              <w:spacing w:before="60" w:after="60"/>
              <w:ind w:left="17"/>
              <w:rPr>
                <w:rFonts w:cs="Arial"/>
                <w:i/>
                <w:sz w:val="18"/>
                <w:szCs w:val="18"/>
              </w:rPr>
            </w:pPr>
            <w:r w:rsidRPr="00EB3AA9">
              <w:rPr>
                <w:rFonts w:cs="Arial"/>
                <w:i/>
                <w:sz w:val="18"/>
                <w:szCs w:val="18"/>
              </w:rPr>
              <w:t>Gallinago hardwickii</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3F3236BF" w14:textId="77777777" w:rsidR="00D605FA" w:rsidRPr="00EB3AA9" w:rsidRDefault="00D605FA" w:rsidP="00885EE5">
            <w:pPr>
              <w:spacing w:before="60" w:after="60"/>
              <w:ind w:left="0" w:firstLine="13"/>
              <w:rPr>
                <w:rFonts w:cs="Arial"/>
                <w:sz w:val="18"/>
                <w:szCs w:val="18"/>
              </w:rPr>
            </w:pPr>
            <w:r w:rsidRPr="00EB3AA9">
              <w:rPr>
                <w:rFonts w:cs="Arial"/>
                <w:sz w:val="18"/>
                <w:szCs w:val="18"/>
              </w:rPr>
              <w:t>Latham’s snipe</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046B1CED"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1C4153EA" w14:textId="201B22D8" w:rsidR="00D605FA" w:rsidRPr="00EB3AA9" w:rsidRDefault="00D605FA" w:rsidP="00EB3AA9">
            <w:pPr>
              <w:pStyle w:val="TableText"/>
              <w:jc w:val="center"/>
              <w:rPr>
                <w:rFonts w:cs="Arial"/>
                <w:sz w:val="18"/>
                <w:szCs w:val="18"/>
              </w:rPr>
            </w:pPr>
            <w:r w:rsidRPr="00ED4B6C">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113D0B1B" w14:textId="2D8B22FD"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2B74FEFB" w14:textId="79207A5A"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6DDFCF24" w14:textId="7211AF0A"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3E1A8B18"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3C8D4EA0"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70755884" w14:textId="77777777" w:rsidR="00D605FA" w:rsidRPr="00EB3AA9" w:rsidRDefault="00D605FA" w:rsidP="00885EE5">
            <w:pPr>
              <w:spacing w:before="60" w:after="60"/>
              <w:ind w:left="17"/>
              <w:rPr>
                <w:rFonts w:cs="Arial"/>
                <w:i/>
                <w:sz w:val="18"/>
                <w:szCs w:val="18"/>
              </w:rPr>
            </w:pPr>
            <w:r w:rsidRPr="00EB3AA9">
              <w:rPr>
                <w:rFonts w:cs="Arial"/>
                <w:i/>
                <w:sz w:val="18"/>
                <w:szCs w:val="18"/>
              </w:rPr>
              <w:t>Gallinago megala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60D1BB35" w14:textId="77777777" w:rsidR="00D605FA" w:rsidRPr="00EB3AA9" w:rsidRDefault="00D605FA" w:rsidP="00885EE5">
            <w:pPr>
              <w:spacing w:before="60" w:after="60"/>
              <w:ind w:left="0" w:firstLine="13"/>
              <w:rPr>
                <w:rFonts w:cs="Arial"/>
                <w:sz w:val="18"/>
                <w:szCs w:val="18"/>
              </w:rPr>
            </w:pPr>
            <w:r w:rsidRPr="00EB3AA9">
              <w:rPr>
                <w:rFonts w:cs="Arial"/>
                <w:sz w:val="18"/>
                <w:szCs w:val="18"/>
              </w:rPr>
              <w:t>Swinhoe’s snipe</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6907D8D0"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6D15875D" w14:textId="4B187F90" w:rsidR="00D605FA" w:rsidRPr="00EB3AA9" w:rsidRDefault="00D605FA" w:rsidP="00EB3AA9">
            <w:pPr>
              <w:pStyle w:val="TableText"/>
              <w:jc w:val="center"/>
              <w:rPr>
                <w:rFonts w:cs="Arial"/>
                <w:sz w:val="18"/>
                <w:szCs w:val="18"/>
              </w:rPr>
            </w:pPr>
            <w:r w:rsidRPr="00ED4B6C">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6DF6F8E3" w14:textId="5DEF9FE7"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786EB7DE" w14:textId="6E02C48E"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36B71147" w14:textId="4266AFB0"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281EB187"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47CE38D4"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140E2E03" w14:textId="77777777" w:rsidR="00D605FA" w:rsidRPr="00EB3AA9" w:rsidRDefault="00D605FA" w:rsidP="00885EE5">
            <w:pPr>
              <w:spacing w:before="60" w:after="60"/>
              <w:ind w:left="17"/>
              <w:rPr>
                <w:rFonts w:cs="Arial"/>
                <w:i/>
                <w:sz w:val="18"/>
                <w:szCs w:val="18"/>
              </w:rPr>
            </w:pPr>
            <w:r w:rsidRPr="00EB3AA9">
              <w:rPr>
                <w:rFonts w:cs="Arial"/>
                <w:i/>
                <w:sz w:val="18"/>
                <w:szCs w:val="18"/>
              </w:rPr>
              <w:t>Gallinago stenura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7F07F36A" w14:textId="77777777" w:rsidR="00D605FA" w:rsidRPr="00EB3AA9" w:rsidRDefault="00D605FA" w:rsidP="00885EE5">
            <w:pPr>
              <w:spacing w:before="60" w:after="60"/>
              <w:ind w:left="0" w:firstLine="13"/>
              <w:rPr>
                <w:rFonts w:cs="Arial"/>
                <w:sz w:val="18"/>
                <w:szCs w:val="18"/>
              </w:rPr>
            </w:pPr>
            <w:r w:rsidRPr="00EB3AA9">
              <w:rPr>
                <w:rFonts w:cs="Arial"/>
                <w:sz w:val="18"/>
                <w:szCs w:val="18"/>
              </w:rPr>
              <w:t>Pin-tailed snipe</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6F1230E7"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27EAF073" w14:textId="5F96DA76" w:rsidR="00D605FA" w:rsidRPr="00EB3AA9" w:rsidRDefault="00D605FA" w:rsidP="00EB3AA9">
            <w:pPr>
              <w:pStyle w:val="TableText"/>
              <w:jc w:val="center"/>
              <w:rPr>
                <w:rFonts w:cs="Arial"/>
                <w:sz w:val="18"/>
                <w:szCs w:val="18"/>
              </w:rPr>
            </w:pPr>
            <w:r w:rsidRPr="00ED4B6C">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7B174038" w14:textId="54CF1129"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2EBDD8B4" w14:textId="7B3B7125"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46079962" w14:textId="4A90C40C"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2C9413F4"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0972857E"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4D66F7E7" w14:textId="77777777" w:rsidR="00D605FA" w:rsidRPr="00EB3AA9" w:rsidRDefault="00D605FA" w:rsidP="00885EE5">
            <w:pPr>
              <w:spacing w:before="60" w:after="60"/>
              <w:ind w:left="17"/>
              <w:rPr>
                <w:rFonts w:cs="Arial"/>
                <w:i/>
                <w:sz w:val="18"/>
                <w:szCs w:val="18"/>
              </w:rPr>
            </w:pPr>
            <w:r w:rsidRPr="00EB3AA9">
              <w:rPr>
                <w:rFonts w:cs="Arial"/>
                <w:i/>
                <w:sz w:val="18"/>
                <w:szCs w:val="18"/>
              </w:rPr>
              <w:t>Heteroscelus brevipes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02413F6D" w14:textId="77777777" w:rsidR="00D605FA" w:rsidRPr="00EB3AA9" w:rsidRDefault="00D605FA" w:rsidP="00885EE5">
            <w:pPr>
              <w:spacing w:before="60" w:after="60"/>
              <w:ind w:left="0" w:firstLine="13"/>
              <w:rPr>
                <w:rFonts w:cs="Arial"/>
                <w:sz w:val="18"/>
                <w:szCs w:val="18"/>
              </w:rPr>
            </w:pPr>
            <w:r w:rsidRPr="00EB3AA9">
              <w:rPr>
                <w:rFonts w:cs="Arial"/>
                <w:sz w:val="18"/>
                <w:szCs w:val="18"/>
              </w:rPr>
              <w:t>Grey-tattler</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1C2AD84B"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32B888B8" w14:textId="0FCCC3B0" w:rsidR="00D605FA" w:rsidRPr="00EB3AA9" w:rsidRDefault="00D605FA" w:rsidP="00EB3AA9">
            <w:pPr>
              <w:pStyle w:val="TableText"/>
              <w:jc w:val="center"/>
              <w:rPr>
                <w:rFonts w:cs="Arial"/>
                <w:sz w:val="18"/>
                <w:szCs w:val="18"/>
              </w:rPr>
            </w:pPr>
            <w:r w:rsidRPr="00ED4B6C">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6C61D2A8" w14:textId="696B8B61"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6089401A" w14:textId="249703F3" w:rsidR="00D605FA" w:rsidRPr="00EB3AA9" w:rsidRDefault="00F04866" w:rsidP="00215B4E">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7FDB72BC" w14:textId="442F2AC9"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20CD924E"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5BA7DC38"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0977ED5F" w14:textId="77777777" w:rsidR="00D605FA" w:rsidRPr="00EB3AA9" w:rsidRDefault="00D605FA" w:rsidP="00885EE5">
            <w:pPr>
              <w:spacing w:before="60" w:after="60"/>
              <w:ind w:left="17"/>
              <w:rPr>
                <w:rFonts w:cs="Arial"/>
                <w:i/>
                <w:sz w:val="18"/>
                <w:szCs w:val="18"/>
              </w:rPr>
            </w:pPr>
            <w:r w:rsidRPr="00EB3AA9">
              <w:rPr>
                <w:rFonts w:cs="Arial"/>
                <w:i/>
                <w:sz w:val="18"/>
                <w:szCs w:val="18"/>
              </w:rPr>
              <w:t>Himantopus himantopus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58DA0AA2" w14:textId="77777777" w:rsidR="00D605FA" w:rsidRPr="00EB3AA9" w:rsidRDefault="00D605FA" w:rsidP="00885EE5">
            <w:pPr>
              <w:spacing w:before="60" w:after="60"/>
              <w:ind w:left="0" w:firstLine="13"/>
              <w:rPr>
                <w:rFonts w:cs="Arial"/>
                <w:sz w:val="18"/>
                <w:szCs w:val="18"/>
              </w:rPr>
            </w:pPr>
            <w:r w:rsidRPr="00EB3AA9">
              <w:rPr>
                <w:rFonts w:cs="Arial"/>
                <w:sz w:val="18"/>
                <w:szCs w:val="18"/>
              </w:rPr>
              <w:t>Black-winged stilt</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3FD6E0BD"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31787E1D" w14:textId="77777777" w:rsidR="00D605FA" w:rsidRPr="00EB3AA9" w:rsidRDefault="00D605FA" w:rsidP="00B65B11">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768AF500" w14:textId="66F191D9"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4F6D23F4" w14:textId="70D5F1DE"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4BE5F25E" w14:textId="0C6D128B"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4F8FD33E"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06231A6E"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51B8435C" w14:textId="77777777" w:rsidR="00D605FA" w:rsidRPr="00EB3AA9" w:rsidRDefault="00D605FA" w:rsidP="00885EE5">
            <w:pPr>
              <w:spacing w:before="60" w:after="60"/>
              <w:ind w:left="17"/>
              <w:rPr>
                <w:rFonts w:cs="Arial"/>
                <w:i/>
                <w:sz w:val="18"/>
                <w:szCs w:val="18"/>
              </w:rPr>
            </w:pPr>
            <w:r w:rsidRPr="00EB3AA9">
              <w:rPr>
                <w:rFonts w:cs="Arial"/>
                <w:i/>
                <w:sz w:val="18"/>
                <w:szCs w:val="18"/>
              </w:rPr>
              <w:t>Hirundapus caudacutus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24FCF34B" w14:textId="77777777" w:rsidR="00D605FA" w:rsidRPr="00EB3AA9" w:rsidRDefault="00D605FA" w:rsidP="00885EE5">
            <w:pPr>
              <w:spacing w:before="60" w:after="60"/>
              <w:ind w:left="0" w:firstLine="13"/>
              <w:rPr>
                <w:rFonts w:cs="Arial"/>
                <w:sz w:val="18"/>
                <w:szCs w:val="18"/>
              </w:rPr>
            </w:pPr>
            <w:r w:rsidRPr="00EB3AA9">
              <w:rPr>
                <w:rFonts w:cs="Arial"/>
                <w:sz w:val="18"/>
                <w:szCs w:val="18"/>
              </w:rPr>
              <w:t>White-throated needletail</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170E5A0B"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1CA10AA6" w14:textId="5707A8BB" w:rsidR="00D605FA" w:rsidRPr="00EB3AA9" w:rsidRDefault="00D605FA" w:rsidP="00B65B11">
            <w:pPr>
              <w:pStyle w:val="TableText"/>
              <w:jc w:val="center"/>
              <w:rPr>
                <w:rFonts w:cs="Arial"/>
                <w:sz w:val="18"/>
                <w:szCs w:val="18"/>
              </w:rPr>
            </w:pPr>
            <w:r>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6922540D" w14:textId="12280D55"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6086C423" w14:textId="3D4DE84F" w:rsidR="00D605FA" w:rsidRPr="00EB3AA9" w:rsidRDefault="00F04866" w:rsidP="00215B4E">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64FF5714" w14:textId="29093018"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32BC8ABC"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3AC7456F"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0BB9900F" w14:textId="77777777" w:rsidR="00D605FA" w:rsidRPr="00EB3AA9" w:rsidRDefault="00D605FA" w:rsidP="00885EE5">
            <w:pPr>
              <w:spacing w:before="60" w:after="60"/>
              <w:ind w:left="17"/>
              <w:rPr>
                <w:rFonts w:cs="Arial"/>
                <w:i/>
                <w:sz w:val="18"/>
                <w:szCs w:val="18"/>
              </w:rPr>
            </w:pPr>
            <w:r w:rsidRPr="00EB3AA9">
              <w:rPr>
                <w:rFonts w:cs="Arial"/>
                <w:i/>
                <w:sz w:val="18"/>
                <w:szCs w:val="18"/>
              </w:rPr>
              <w:t>Lathamus discolour</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68D8355C" w14:textId="77777777" w:rsidR="00D605FA" w:rsidRPr="00EB3AA9" w:rsidRDefault="00D605FA" w:rsidP="00885EE5">
            <w:pPr>
              <w:spacing w:before="60" w:after="60"/>
              <w:ind w:left="0" w:firstLine="13"/>
              <w:rPr>
                <w:rFonts w:cs="Arial"/>
                <w:sz w:val="18"/>
                <w:szCs w:val="18"/>
              </w:rPr>
            </w:pPr>
            <w:r w:rsidRPr="00EB3AA9">
              <w:rPr>
                <w:rFonts w:cs="Arial"/>
                <w:sz w:val="18"/>
                <w:szCs w:val="18"/>
              </w:rPr>
              <w:t>Swift parrot</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4984072D" w14:textId="77777777" w:rsidR="00D605FA" w:rsidRPr="00EB3AA9" w:rsidRDefault="00D605FA" w:rsidP="00B65B11">
            <w:pPr>
              <w:spacing w:before="60" w:after="60"/>
              <w:ind w:left="0"/>
              <w:jc w:val="center"/>
              <w:rPr>
                <w:rFonts w:cs="Arial"/>
                <w:sz w:val="18"/>
                <w:szCs w:val="18"/>
              </w:rPr>
            </w:pPr>
            <w:r w:rsidRPr="00EB3AA9">
              <w:rPr>
                <w:rFonts w:cs="Arial"/>
                <w:sz w:val="18"/>
                <w:szCs w:val="18"/>
              </w:rPr>
              <w:t>CE</w:t>
            </w:r>
          </w:p>
        </w:tc>
        <w:tc>
          <w:tcPr>
            <w:tcW w:w="579" w:type="pct"/>
            <w:tcBorders>
              <w:top w:val="single" w:sz="4" w:space="0" w:color="auto"/>
              <w:left w:val="single" w:sz="4" w:space="0" w:color="auto"/>
              <w:bottom w:val="single" w:sz="4" w:space="0" w:color="auto"/>
              <w:right w:val="single" w:sz="4" w:space="0" w:color="auto"/>
            </w:tcBorders>
            <w:vAlign w:val="center"/>
          </w:tcPr>
          <w:p w14:paraId="691433BE" w14:textId="77777777" w:rsidR="00D605FA" w:rsidRPr="00EB3AA9" w:rsidRDefault="00D605FA" w:rsidP="00B65B11">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4711FD87" w14:textId="3F00A55F"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2505128B" w14:textId="30CDC308"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18380767" w14:textId="2D1F4E21"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3880A85A" w14:textId="2862DBE2" w:rsidR="00D605FA" w:rsidRPr="00EB3AA9" w:rsidRDefault="00D605FA" w:rsidP="00B65B11">
            <w:pPr>
              <w:spacing w:before="60" w:after="60"/>
              <w:ind w:left="69" w:hanging="69"/>
              <w:jc w:val="center"/>
              <w:rPr>
                <w:rFonts w:cs="Arial"/>
                <w:sz w:val="18"/>
                <w:szCs w:val="18"/>
              </w:rPr>
            </w:pPr>
            <w:r w:rsidRPr="00EB3AA9">
              <w:rPr>
                <w:rFonts w:cs="Arial"/>
                <w:sz w:val="18"/>
                <w:szCs w:val="18"/>
              </w:rPr>
              <w:t>AS</w:t>
            </w:r>
          </w:p>
        </w:tc>
      </w:tr>
      <w:tr w:rsidR="00D605FA" w:rsidRPr="00EB3AA9" w14:paraId="3046DA0E"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09BF8AC5" w14:textId="77777777" w:rsidR="00D605FA" w:rsidRPr="00EB3AA9" w:rsidRDefault="00D605FA" w:rsidP="00885EE5">
            <w:pPr>
              <w:spacing w:before="60" w:after="60"/>
              <w:ind w:left="17"/>
              <w:rPr>
                <w:rFonts w:cs="Arial"/>
                <w:i/>
                <w:sz w:val="18"/>
                <w:szCs w:val="18"/>
              </w:rPr>
            </w:pPr>
            <w:r w:rsidRPr="00EB3AA9">
              <w:rPr>
                <w:rFonts w:cs="Arial"/>
                <w:i/>
                <w:sz w:val="18"/>
                <w:szCs w:val="18"/>
              </w:rPr>
              <w:t>Limosa lapponica baueri</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143B5A12" w14:textId="77777777" w:rsidR="00D605FA" w:rsidRPr="00EB3AA9" w:rsidRDefault="00D605FA" w:rsidP="00885EE5">
            <w:pPr>
              <w:spacing w:before="60" w:after="60"/>
              <w:ind w:left="0" w:firstLine="13"/>
              <w:rPr>
                <w:rFonts w:cs="Arial"/>
                <w:sz w:val="18"/>
                <w:szCs w:val="18"/>
              </w:rPr>
            </w:pPr>
            <w:r w:rsidRPr="00EB3AA9">
              <w:rPr>
                <w:rFonts w:cs="Arial"/>
                <w:sz w:val="18"/>
                <w:szCs w:val="18"/>
              </w:rPr>
              <w:t>Bar-tailed godwit</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43FB2859" w14:textId="77777777" w:rsidR="00D605FA" w:rsidRPr="00EB3AA9" w:rsidRDefault="00D605FA" w:rsidP="00B65B11">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1547C6EF" w14:textId="189F34FE" w:rsidR="00D605FA" w:rsidRPr="00EB3AA9" w:rsidRDefault="00D605FA" w:rsidP="00EB3AA9">
            <w:pPr>
              <w:pStyle w:val="TableText"/>
              <w:jc w:val="center"/>
              <w:rPr>
                <w:rFonts w:cs="Arial"/>
                <w:sz w:val="18"/>
                <w:szCs w:val="18"/>
              </w:rPr>
            </w:pPr>
            <w:r w:rsidRPr="00F353D7">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7DA7882D" w14:textId="038DF022"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31E53EA2" w14:textId="60BFE41E"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1F201FE2" w14:textId="4EA52E12"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2E73EC8E"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6F84C752"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29281617" w14:textId="77777777" w:rsidR="00D605FA" w:rsidRPr="00EB3AA9" w:rsidRDefault="00D605FA" w:rsidP="00885EE5">
            <w:pPr>
              <w:spacing w:before="60" w:after="60"/>
              <w:ind w:left="17"/>
              <w:rPr>
                <w:rFonts w:cs="Arial"/>
                <w:i/>
                <w:sz w:val="18"/>
                <w:szCs w:val="18"/>
              </w:rPr>
            </w:pPr>
            <w:r w:rsidRPr="00EB3AA9">
              <w:rPr>
                <w:rFonts w:cs="Arial"/>
                <w:i/>
                <w:sz w:val="18"/>
                <w:szCs w:val="18"/>
              </w:rPr>
              <w:t>Limosa lapponica menzbieri</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01E44361" w14:textId="77777777" w:rsidR="00D605FA" w:rsidRPr="00EB3AA9" w:rsidRDefault="00D605FA" w:rsidP="00885EE5">
            <w:pPr>
              <w:spacing w:before="60" w:after="60"/>
              <w:ind w:left="0" w:firstLine="13"/>
              <w:rPr>
                <w:rFonts w:cs="Arial"/>
                <w:sz w:val="18"/>
                <w:szCs w:val="18"/>
              </w:rPr>
            </w:pPr>
            <w:r w:rsidRPr="00EB3AA9">
              <w:rPr>
                <w:rFonts w:cs="Arial"/>
                <w:sz w:val="18"/>
                <w:szCs w:val="18"/>
              </w:rPr>
              <w:t>Northern Siberian bar-tailed godwit</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2CF99D9B" w14:textId="77777777" w:rsidR="00D605FA" w:rsidRPr="00EB3AA9" w:rsidRDefault="00D605FA" w:rsidP="00B65B11">
            <w:pPr>
              <w:spacing w:before="60" w:after="60"/>
              <w:ind w:left="0"/>
              <w:jc w:val="center"/>
              <w:rPr>
                <w:rFonts w:cs="Arial"/>
                <w:sz w:val="18"/>
                <w:szCs w:val="18"/>
              </w:rPr>
            </w:pPr>
            <w:r w:rsidRPr="00EB3AA9">
              <w:rPr>
                <w:rFonts w:cs="Arial"/>
                <w:sz w:val="18"/>
                <w:szCs w:val="18"/>
              </w:rPr>
              <w:t>CE</w:t>
            </w:r>
          </w:p>
        </w:tc>
        <w:tc>
          <w:tcPr>
            <w:tcW w:w="579" w:type="pct"/>
            <w:tcBorders>
              <w:top w:val="single" w:sz="4" w:space="0" w:color="auto"/>
              <w:left w:val="single" w:sz="4" w:space="0" w:color="auto"/>
              <w:bottom w:val="single" w:sz="4" w:space="0" w:color="auto"/>
              <w:right w:val="single" w:sz="4" w:space="0" w:color="auto"/>
            </w:tcBorders>
            <w:vAlign w:val="center"/>
          </w:tcPr>
          <w:p w14:paraId="7F201415" w14:textId="2F8E86D2" w:rsidR="00D605FA" w:rsidRPr="00EB3AA9" w:rsidRDefault="00D605FA" w:rsidP="00EB3AA9">
            <w:pPr>
              <w:pStyle w:val="TableText"/>
              <w:jc w:val="center"/>
              <w:rPr>
                <w:rFonts w:cs="Arial"/>
                <w:sz w:val="18"/>
                <w:szCs w:val="18"/>
              </w:rPr>
            </w:pPr>
            <w:r w:rsidRPr="00F353D7">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0CAF5322" w14:textId="38CB8CAC"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26759981" w14:textId="3C9F476A"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3D14E93D" w14:textId="42A09B60"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6644913D"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7039EF47"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53DF7FC9" w14:textId="77777777" w:rsidR="00D605FA" w:rsidRPr="00EB3AA9" w:rsidRDefault="00D605FA" w:rsidP="00885EE5">
            <w:pPr>
              <w:spacing w:before="60" w:after="60"/>
              <w:ind w:left="17"/>
              <w:rPr>
                <w:rFonts w:cs="Arial"/>
                <w:i/>
                <w:sz w:val="18"/>
                <w:szCs w:val="18"/>
              </w:rPr>
            </w:pPr>
            <w:r w:rsidRPr="00EB3AA9">
              <w:rPr>
                <w:rFonts w:cs="Arial"/>
                <w:i/>
                <w:sz w:val="18"/>
                <w:szCs w:val="18"/>
              </w:rPr>
              <w:t>Limosa limosa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40362A8B" w14:textId="77777777" w:rsidR="00D605FA" w:rsidRPr="00EB3AA9" w:rsidRDefault="00D605FA" w:rsidP="00885EE5">
            <w:pPr>
              <w:spacing w:before="60" w:after="60"/>
              <w:ind w:left="0" w:firstLine="13"/>
              <w:rPr>
                <w:rFonts w:cs="Arial"/>
                <w:sz w:val="18"/>
                <w:szCs w:val="18"/>
              </w:rPr>
            </w:pPr>
            <w:r w:rsidRPr="00EB3AA9">
              <w:rPr>
                <w:rFonts w:cs="Arial"/>
                <w:sz w:val="18"/>
                <w:szCs w:val="18"/>
              </w:rPr>
              <w:t>Black-tailed godwit</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790AFF3E"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35EEEB2E" w14:textId="161BDB75" w:rsidR="00D605FA" w:rsidRPr="00EB3AA9" w:rsidRDefault="00D605FA" w:rsidP="00EB3AA9">
            <w:pPr>
              <w:pStyle w:val="TableText"/>
              <w:jc w:val="center"/>
              <w:rPr>
                <w:rFonts w:cs="Arial"/>
                <w:sz w:val="18"/>
                <w:szCs w:val="18"/>
              </w:rPr>
            </w:pPr>
            <w:r w:rsidRPr="00F353D7">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29C10EB7" w14:textId="04D7DBCC"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636A7670" w14:textId="4583724B"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6E5E5580" w14:textId="088EA55C"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3402F33B" w14:textId="4ABC6C9F"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095503ED"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799D769E" w14:textId="77777777" w:rsidR="00D605FA" w:rsidRPr="00EB3AA9" w:rsidRDefault="00D605FA" w:rsidP="00885EE5">
            <w:pPr>
              <w:spacing w:before="60" w:after="60"/>
              <w:ind w:left="17"/>
              <w:rPr>
                <w:rFonts w:cs="Arial"/>
                <w:i/>
                <w:sz w:val="18"/>
                <w:szCs w:val="18"/>
              </w:rPr>
            </w:pPr>
            <w:r w:rsidRPr="00EB3AA9">
              <w:rPr>
                <w:rFonts w:cs="Arial"/>
                <w:i/>
                <w:sz w:val="18"/>
                <w:szCs w:val="18"/>
              </w:rPr>
              <w:t>Merops ornatus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28DC871B" w14:textId="77777777" w:rsidR="00D605FA" w:rsidRPr="00EB3AA9" w:rsidRDefault="00D605FA" w:rsidP="00885EE5">
            <w:pPr>
              <w:spacing w:before="60" w:after="60"/>
              <w:ind w:left="0" w:firstLine="13"/>
              <w:rPr>
                <w:rFonts w:cs="Arial"/>
                <w:sz w:val="18"/>
                <w:szCs w:val="18"/>
              </w:rPr>
            </w:pPr>
            <w:r w:rsidRPr="00EB3AA9">
              <w:rPr>
                <w:rFonts w:cs="Arial"/>
                <w:sz w:val="18"/>
                <w:szCs w:val="18"/>
              </w:rPr>
              <w:t>Rainbow bee-eater</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2F37EC74"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0F76E939" w14:textId="77777777" w:rsidR="00D605FA" w:rsidRPr="00EB3AA9" w:rsidRDefault="00D605FA" w:rsidP="00B65B11">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5FDDE355" w14:textId="72E7AB52"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0F7CCC00" w14:textId="5EC47758"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5E67137C" w14:textId="064E937D"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3363738F"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65403025"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1D845FCF" w14:textId="77777777" w:rsidR="00D605FA" w:rsidRPr="00EB3AA9" w:rsidRDefault="00D605FA" w:rsidP="00885EE5">
            <w:pPr>
              <w:spacing w:before="60" w:after="60"/>
              <w:ind w:left="17"/>
              <w:rPr>
                <w:rFonts w:cs="Arial"/>
                <w:i/>
                <w:sz w:val="18"/>
                <w:szCs w:val="18"/>
              </w:rPr>
            </w:pPr>
            <w:r w:rsidRPr="00EB3AA9">
              <w:rPr>
                <w:rFonts w:cs="Arial"/>
                <w:i/>
                <w:sz w:val="18"/>
                <w:szCs w:val="18"/>
              </w:rPr>
              <w:t>Neophema chrysogaster</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7A5C5153" w14:textId="77777777" w:rsidR="00D605FA" w:rsidRPr="00EB3AA9" w:rsidRDefault="00D605FA" w:rsidP="00885EE5">
            <w:pPr>
              <w:spacing w:before="60" w:after="60"/>
              <w:ind w:left="0" w:firstLine="13"/>
              <w:rPr>
                <w:rFonts w:cs="Arial"/>
                <w:sz w:val="18"/>
                <w:szCs w:val="18"/>
              </w:rPr>
            </w:pPr>
            <w:r w:rsidRPr="00EB3AA9">
              <w:rPr>
                <w:rFonts w:cs="Arial"/>
                <w:sz w:val="18"/>
                <w:szCs w:val="18"/>
              </w:rPr>
              <w:t>Orange-bellied parrot</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42A8E825" w14:textId="77777777" w:rsidR="00D605FA" w:rsidRPr="00EB3AA9" w:rsidRDefault="00D605FA" w:rsidP="00B65B11">
            <w:pPr>
              <w:spacing w:before="60" w:after="60"/>
              <w:ind w:left="0"/>
              <w:jc w:val="center"/>
              <w:rPr>
                <w:rFonts w:cs="Arial"/>
                <w:sz w:val="18"/>
                <w:szCs w:val="18"/>
              </w:rPr>
            </w:pPr>
            <w:r w:rsidRPr="00EB3AA9">
              <w:rPr>
                <w:rFonts w:cs="Arial"/>
                <w:sz w:val="18"/>
                <w:szCs w:val="18"/>
              </w:rPr>
              <w:t>CE</w:t>
            </w:r>
          </w:p>
        </w:tc>
        <w:tc>
          <w:tcPr>
            <w:tcW w:w="579" w:type="pct"/>
            <w:tcBorders>
              <w:top w:val="single" w:sz="4" w:space="0" w:color="auto"/>
              <w:left w:val="single" w:sz="4" w:space="0" w:color="auto"/>
              <w:bottom w:val="single" w:sz="4" w:space="0" w:color="auto"/>
              <w:right w:val="single" w:sz="4" w:space="0" w:color="auto"/>
            </w:tcBorders>
            <w:vAlign w:val="center"/>
          </w:tcPr>
          <w:p w14:paraId="64DEAB2E" w14:textId="77777777" w:rsidR="00D605FA" w:rsidRPr="00EB3AA9" w:rsidRDefault="00D605FA" w:rsidP="00B65B11">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4D59F873" w14:textId="07C1C807"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4FCF7989" w14:textId="0F135F5D" w:rsidR="00D605FA" w:rsidRPr="00EB3AA9" w:rsidRDefault="00F04866" w:rsidP="00215B4E">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0F9D2D78" w14:textId="41AAC835"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1BE61855" w14:textId="765C2416" w:rsidR="00D605FA" w:rsidRPr="00EB3AA9" w:rsidRDefault="00D605FA" w:rsidP="00B65B11">
            <w:pPr>
              <w:spacing w:before="60" w:after="60"/>
              <w:ind w:left="69" w:hanging="69"/>
              <w:jc w:val="center"/>
              <w:rPr>
                <w:rFonts w:cs="Arial"/>
                <w:sz w:val="18"/>
                <w:szCs w:val="18"/>
              </w:rPr>
            </w:pPr>
            <w:r w:rsidRPr="00EB3AA9">
              <w:rPr>
                <w:rFonts w:cs="Arial"/>
                <w:sz w:val="18"/>
                <w:szCs w:val="18"/>
              </w:rPr>
              <w:t>RP, AS</w:t>
            </w:r>
          </w:p>
        </w:tc>
      </w:tr>
      <w:tr w:rsidR="00D605FA" w:rsidRPr="00EB3AA9" w14:paraId="2FD148A1"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6A83EF47" w14:textId="77777777" w:rsidR="00D605FA" w:rsidRPr="00EB3AA9" w:rsidRDefault="00D605FA" w:rsidP="00885EE5">
            <w:pPr>
              <w:spacing w:before="60" w:after="60"/>
              <w:ind w:left="17"/>
              <w:rPr>
                <w:rFonts w:cs="Arial"/>
                <w:i/>
                <w:sz w:val="18"/>
                <w:szCs w:val="18"/>
              </w:rPr>
            </w:pPr>
            <w:r w:rsidRPr="00EB3AA9">
              <w:rPr>
                <w:rFonts w:cs="Arial"/>
                <w:i/>
                <w:sz w:val="18"/>
                <w:szCs w:val="18"/>
              </w:rPr>
              <w:t xml:space="preserve">Numenius </w:t>
            </w:r>
            <w:r w:rsidRPr="00EB3AA9">
              <w:rPr>
                <w:rFonts w:cs="Arial"/>
                <w:i/>
                <w:sz w:val="18"/>
                <w:szCs w:val="18"/>
              </w:rPr>
              <w:lastRenderedPageBreak/>
              <w:t>madagascariensis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627F6FF3" w14:textId="77777777" w:rsidR="00D605FA" w:rsidRPr="00EB3AA9" w:rsidRDefault="00D605FA" w:rsidP="00885EE5">
            <w:pPr>
              <w:spacing w:before="60" w:after="60"/>
              <w:ind w:left="0" w:firstLine="13"/>
              <w:rPr>
                <w:rFonts w:cs="Arial"/>
                <w:sz w:val="18"/>
                <w:szCs w:val="18"/>
              </w:rPr>
            </w:pPr>
            <w:r w:rsidRPr="00EB3AA9">
              <w:rPr>
                <w:rFonts w:cs="Arial"/>
                <w:sz w:val="18"/>
                <w:szCs w:val="18"/>
              </w:rPr>
              <w:lastRenderedPageBreak/>
              <w:t xml:space="preserve">Eastern </w:t>
            </w:r>
            <w:r w:rsidRPr="00EB3AA9">
              <w:rPr>
                <w:rFonts w:cs="Arial"/>
                <w:sz w:val="18"/>
                <w:szCs w:val="18"/>
              </w:rPr>
              <w:lastRenderedPageBreak/>
              <w:t>curlew</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4DF6B277" w14:textId="77777777" w:rsidR="00D605FA" w:rsidRPr="00EB3AA9" w:rsidRDefault="00D605FA" w:rsidP="00B65B11">
            <w:pPr>
              <w:spacing w:before="60" w:after="60"/>
              <w:ind w:left="0"/>
              <w:jc w:val="center"/>
              <w:rPr>
                <w:rFonts w:cs="Arial"/>
                <w:sz w:val="18"/>
                <w:szCs w:val="18"/>
              </w:rPr>
            </w:pPr>
            <w:r w:rsidRPr="00EB3AA9">
              <w:rPr>
                <w:rFonts w:cs="Arial"/>
                <w:sz w:val="18"/>
                <w:szCs w:val="18"/>
              </w:rPr>
              <w:lastRenderedPageBreak/>
              <w:t>CE</w:t>
            </w:r>
          </w:p>
        </w:tc>
        <w:tc>
          <w:tcPr>
            <w:tcW w:w="579" w:type="pct"/>
            <w:tcBorders>
              <w:top w:val="single" w:sz="4" w:space="0" w:color="auto"/>
              <w:left w:val="single" w:sz="4" w:space="0" w:color="auto"/>
              <w:bottom w:val="single" w:sz="4" w:space="0" w:color="auto"/>
              <w:right w:val="single" w:sz="4" w:space="0" w:color="auto"/>
            </w:tcBorders>
            <w:vAlign w:val="center"/>
          </w:tcPr>
          <w:p w14:paraId="0C295C5F" w14:textId="5ACEAE5B" w:rsidR="00D605FA" w:rsidRPr="00EB3AA9" w:rsidRDefault="00D605FA" w:rsidP="00EB3AA9">
            <w:pPr>
              <w:pStyle w:val="TableText"/>
              <w:jc w:val="center"/>
              <w:rPr>
                <w:rFonts w:cs="Arial"/>
                <w:sz w:val="18"/>
                <w:szCs w:val="18"/>
              </w:rPr>
            </w:pPr>
            <w:r w:rsidRPr="005D7F72">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29C95386" w14:textId="59E17369"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0A3E3551" w14:textId="2538080C" w:rsidR="00D605FA" w:rsidRPr="00EB3AA9" w:rsidRDefault="00F04866" w:rsidP="00215B4E">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2B95F933" w14:textId="65766644"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3385D1E0"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CA</w:t>
            </w:r>
          </w:p>
        </w:tc>
      </w:tr>
      <w:tr w:rsidR="00D605FA" w:rsidRPr="00EB3AA9" w14:paraId="2F180103"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0ADC228E" w14:textId="77777777" w:rsidR="00D605FA" w:rsidRPr="00EB3AA9" w:rsidRDefault="00D605FA" w:rsidP="00885EE5">
            <w:pPr>
              <w:spacing w:before="60" w:after="60"/>
              <w:ind w:left="17"/>
              <w:rPr>
                <w:rFonts w:cs="Arial"/>
                <w:i/>
                <w:sz w:val="18"/>
                <w:szCs w:val="18"/>
              </w:rPr>
            </w:pPr>
            <w:r w:rsidRPr="00EB3AA9">
              <w:rPr>
                <w:rFonts w:cs="Arial"/>
                <w:i/>
                <w:sz w:val="18"/>
                <w:szCs w:val="18"/>
              </w:rPr>
              <w:t>Numenius minutus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3A2661CD" w14:textId="77777777" w:rsidR="00D605FA" w:rsidRPr="00EB3AA9" w:rsidRDefault="00D605FA" w:rsidP="00885EE5">
            <w:pPr>
              <w:spacing w:before="60" w:after="60"/>
              <w:ind w:left="0" w:firstLine="13"/>
              <w:rPr>
                <w:rFonts w:cs="Arial"/>
                <w:sz w:val="18"/>
                <w:szCs w:val="18"/>
              </w:rPr>
            </w:pPr>
            <w:r w:rsidRPr="00EB3AA9">
              <w:rPr>
                <w:rFonts w:cs="Arial"/>
                <w:sz w:val="18"/>
                <w:szCs w:val="18"/>
              </w:rPr>
              <w:t>Little curlew</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6D82C27F"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4C6C77D9" w14:textId="1B094428" w:rsidR="00D605FA" w:rsidRPr="00EB3AA9" w:rsidRDefault="00D605FA" w:rsidP="00EB3AA9">
            <w:pPr>
              <w:pStyle w:val="TableText"/>
              <w:jc w:val="center"/>
              <w:rPr>
                <w:rFonts w:cs="Arial"/>
                <w:sz w:val="18"/>
                <w:szCs w:val="18"/>
              </w:rPr>
            </w:pPr>
            <w:r w:rsidRPr="005D7F72">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783EA774" w14:textId="0343E53B"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29084707" w14:textId="7719A49B"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16AB155D" w14:textId="0F902C83"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3C5F4CF4"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732A826D"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46EB97CC" w14:textId="77777777" w:rsidR="00D605FA" w:rsidRPr="00EB3AA9" w:rsidRDefault="00D605FA" w:rsidP="00885EE5">
            <w:pPr>
              <w:spacing w:before="60" w:after="60"/>
              <w:ind w:left="17"/>
              <w:rPr>
                <w:rFonts w:cs="Arial"/>
                <w:i/>
                <w:sz w:val="18"/>
                <w:szCs w:val="18"/>
              </w:rPr>
            </w:pPr>
            <w:r w:rsidRPr="00EB3AA9">
              <w:rPr>
                <w:rFonts w:cs="Arial"/>
                <w:i/>
                <w:sz w:val="18"/>
                <w:szCs w:val="18"/>
              </w:rPr>
              <w:t>Numenius phaeopus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572B406E" w14:textId="77777777" w:rsidR="00D605FA" w:rsidRPr="00EB3AA9" w:rsidRDefault="00D605FA" w:rsidP="00885EE5">
            <w:pPr>
              <w:spacing w:before="60" w:after="60"/>
              <w:ind w:left="0" w:firstLine="13"/>
              <w:rPr>
                <w:rFonts w:cs="Arial"/>
                <w:sz w:val="18"/>
                <w:szCs w:val="18"/>
              </w:rPr>
            </w:pPr>
            <w:r w:rsidRPr="00EB3AA9">
              <w:rPr>
                <w:rFonts w:cs="Arial"/>
                <w:sz w:val="18"/>
                <w:szCs w:val="18"/>
              </w:rPr>
              <w:t>Whimbrel</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31539534"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6E8FAC2D" w14:textId="041773E7" w:rsidR="00D605FA" w:rsidRPr="00EB3AA9" w:rsidRDefault="00D605FA" w:rsidP="00EB3AA9">
            <w:pPr>
              <w:pStyle w:val="TableText"/>
              <w:jc w:val="center"/>
              <w:rPr>
                <w:rFonts w:cs="Arial"/>
                <w:sz w:val="18"/>
                <w:szCs w:val="18"/>
              </w:rPr>
            </w:pPr>
            <w:r w:rsidRPr="005D7F72">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18CD34B5" w14:textId="31B3363D"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490952DF" w14:textId="71996B81"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136BCF0F" w14:textId="3D999C2E"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29F33AFB"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32B8834D"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40DA883C" w14:textId="77777777" w:rsidR="00D605FA" w:rsidRPr="00EB3AA9" w:rsidRDefault="00D605FA" w:rsidP="00885EE5">
            <w:pPr>
              <w:spacing w:before="60" w:after="60"/>
              <w:ind w:left="17"/>
              <w:rPr>
                <w:rFonts w:cs="Arial"/>
                <w:i/>
                <w:sz w:val="18"/>
                <w:szCs w:val="18"/>
              </w:rPr>
            </w:pPr>
            <w:r w:rsidRPr="00EB3AA9">
              <w:rPr>
                <w:rFonts w:cs="Arial"/>
                <w:i/>
                <w:sz w:val="18"/>
                <w:szCs w:val="18"/>
              </w:rPr>
              <w:t>Philomachus pugnax</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1AA92A5C" w14:textId="77777777" w:rsidR="00D605FA" w:rsidRPr="00EB3AA9" w:rsidRDefault="00D605FA" w:rsidP="00885EE5">
            <w:pPr>
              <w:spacing w:before="60" w:after="60"/>
              <w:ind w:left="0" w:firstLine="13"/>
              <w:rPr>
                <w:rFonts w:cs="Arial"/>
                <w:sz w:val="18"/>
                <w:szCs w:val="18"/>
              </w:rPr>
            </w:pPr>
            <w:r w:rsidRPr="00EB3AA9">
              <w:rPr>
                <w:rFonts w:cs="Arial"/>
                <w:sz w:val="18"/>
                <w:szCs w:val="18"/>
              </w:rPr>
              <w:t>Ruff (Reeve)</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66CAC69D"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0C3261E9" w14:textId="55E49DE1" w:rsidR="00D605FA" w:rsidRPr="00EB3AA9" w:rsidRDefault="00D605FA" w:rsidP="00EB3AA9">
            <w:pPr>
              <w:pStyle w:val="TableText"/>
              <w:jc w:val="center"/>
              <w:rPr>
                <w:rFonts w:cs="Arial"/>
                <w:sz w:val="18"/>
                <w:szCs w:val="18"/>
              </w:rPr>
            </w:pPr>
            <w:r w:rsidRPr="005D7F72">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03E2D834" w14:textId="54C4787F"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432B9922" w14:textId="25BE2814"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308CEAFB" w14:textId="05BD1DC4"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291F597B"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1008FB71"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6B91DC9D" w14:textId="77777777" w:rsidR="00D605FA" w:rsidRPr="00EB3AA9" w:rsidRDefault="00D605FA" w:rsidP="00885EE5">
            <w:pPr>
              <w:spacing w:before="60" w:after="60"/>
              <w:ind w:left="17"/>
              <w:rPr>
                <w:rFonts w:cs="Arial"/>
                <w:i/>
                <w:sz w:val="18"/>
                <w:szCs w:val="18"/>
              </w:rPr>
            </w:pPr>
            <w:r w:rsidRPr="00EB3AA9">
              <w:rPr>
                <w:rFonts w:cs="Arial"/>
                <w:i/>
                <w:sz w:val="18"/>
                <w:szCs w:val="18"/>
              </w:rPr>
              <w:t>Pluvialis fulva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55C9635A" w14:textId="77777777" w:rsidR="00D605FA" w:rsidRPr="00EB3AA9" w:rsidRDefault="00D605FA" w:rsidP="00885EE5">
            <w:pPr>
              <w:spacing w:before="60" w:after="60"/>
              <w:ind w:left="0" w:firstLine="13"/>
              <w:rPr>
                <w:rFonts w:cs="Arial"/>
                <w:sz w:val="18"/>
                <w:szCs w:val="18"/>
              </w:rPr>
            </w:pPr>
            <w:r w:rsidRPr="00EB3AA9">
              <w:rPr>
                <w:rFonts w:cs="Arial"/>
                <w:sz w:val="18"/>
                <w:szCs w:val="18"/>
              </w:rPr>
              <w:t>Pacific golden plover</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29F55853"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444A3FD2" w14:textId="3FBCB448" w:rsidR="00D605FA" w:rsidRPr="00EB3AA9" w:rsidRDefault="00D605FA" w:rsidP="00EB3AA9">
            <w:pPr>
              <w:pStyle w:val="TableText"/>
              <w:jc w:val="center"/>
              <w:rPr>
                <w:rFonts w:cs="Arial"/>
                <w:sz w:val="18"/>
                <w:szCs w:val="18"/>
              </w:rPr>
            </w:pPr>
            <w:r w:rsidRPr="005D7F72">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6F7F22B1" w14:textId="5800CFB6" w:rsidR="00D605FA" w:rsidRPr="00EB3AA9" w:rsidRDefault="00D605FA" w:rsidP="00EB3AA9">
            <w:pPr>
              <w:pStyle w:val="TableText"/>
              <w:jc w:val="center"/>
              <w:rPr>
                <w:rFonts w:cs="Arial"/>
                <w:sz w:val="18"/>
                <w:szCs w:val="18"/>
              </w:rPr>
            </w:pPr>
            <w:r w:rsidRPr="006F22F8">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2C792E36" w14:textId="0B14569E"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7B62E479" w14:textId="7A9E784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1BE3DFAF"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696EF9A6"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43A2E0BD" w14:textId="77777777" w:rsidR="00D605FA" w:rsidRPr="00EB3AA9" w:rsidRDefault="00D605FA" w:rsidP="00885EE5">
            <w:pPr>
              <w:spacing w:before="60" w:after="60"/>
              <w:ind w:left="17"/>
              <w:rPr>
                <w:rFonts w:cs="Arial"/>
                <w:i/>
                <w:sz w:val="18"/>
                <w:szCs w:val="18"/>
              </w:rPr>
            </w:pPr>
            <w:r w:rsidRPr="00EB3AA9">
              <w:rPr>
                <w:rFonts w:cs="Arial"/>
                <w:i/>
                <w:sz w:val="18"/>
                <w:szCs w:val="18"/>
              </w:rPr>
              <w:t>Pluvialis squatarola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5A947F76" w14:textId="77777777" w:rsidR="00D605FA" w:rsidRPr="00EB3AA9" w:rsidRDefault="00D605FA" w:rsidP="00885EE5">
            <w:pPr>
              <w:spacing w:before="60" w:after="60"/>
              <w:ind w:left="0" w:firstLine="13"/>
              <w:rPr>
                <w:rFonts w:cs="Arial"/>
                <w:sz w:val="18"/>
                <w:szCs w:val="18"/>
              </w:rPr>
            </w:pPr>
            <w:r w:rsidRPr="00EB3AA9">
              <w:rPr>
                <w:rFonts w:cs="Arial"/>
                <w:sz w:val="18"/>
                <w:szCs w:val="18"/>
              </w:rPr>
              <w:t>Grey plover</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0DEAB2AE"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7FD56465" w14:textId="6F2528A0" w:rsidR="00D605FA" w:rsidRPr="00EB3AA9" w:rsidRDefault="00D605FA" w:rsidP="00B65B11">
            <w:pPr>
              <w:pStyle w:val="TableText"/>
              <w:jc w:val="center"/>
              <w:rPr>
                <w:rFonts w:cs="Arial"/>
                <w:sz w:val="18"/>
                <w:szCs w:val="18"/>
              </w:rPr>
            </w:pPr>
            <w:r>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387976D2" w14:textId="732A1878" w:rsidR="00D605FA" w:rsidRPr="00EB3AA9" w:rsidRDefault="00D605FA" w:rsidP="00EB3AA9">
            <w:pPr>
              <w:pStyle w:val="TableText"/>
              <w:jc w:val="center"/>
              <w:rPr>
                <w:rFonts w:cs="Arial"/>
                <w:sz w:val="18"/>
                <w:szCs w:val="18"/>
              </w:rPr>
            </w:pPr>
            <w:r w:rsidRPr="00893C12">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3DF7AF14" w14:textId="264BAC97"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26D02125" w14:textId="3FEE8F2E"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19944D87"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7033B203"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616C4BB1" w14:textId="77777777" w:rsidR="00D605FA" w:rsidRPr="00EB3AA9" w:rsidRDefault="00D605FA" w:rsidP="00885EE5">
            <w:pPr>
              <w:spacing w:before="60" w:after="60"/>
              <w:ind w:left="17"/>
              <w:rPr>
                <w:rFonts w:cs="Arial"/>
                <w:i/>
                <w:sz w:val="18"/>
                <w:szCs w:val="18"/>
              </w:rPr>
            </w:pPr>
            <w:r w:rsidRPr="00EB3AA9">
              <w:rPr>
                <w:rFonts w:cs="Arial"/>
                <w:i/>
                <w:sz w:val="18"/>
                <w:szCs w:val="18"/>
              </w:rPr>
              <w:t>Recurvirostra novaehollandiae</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12A09ED8" w14:textId="77777777" w:rsidR="00D605FA" w:rsidRPr="00EB3AA9" w:rsidRDefault="00D605FA" w:rsidP="00885EE5">
            <w:pPr>
              <w:spacing w:before="60" w:after="60"/>
              <w:ind w:left="0" w:firstLine="13"/>
              <w:rPr>
                <w:rFonts w:cs="Arial"/>
                <w:sz w:val="18"/>
                <w:szCs w:val="18"/>
              </w:rPr>
            </w:pPr>
            <w:r w:rsidRPr="00EB3AA9">
              <w:rPr>
                <w:rFonts w:cs="Arial"/>
                <w:sz w:val="18"/>
                <w:szCs w:val="18"/>
              </w:rPr>
              <w:t>Red-necked avocet</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36FA7A45"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42316C94" w14:textId="77777777" w:rsidR="00D605FA" w:rsidRPr="00EB3AA9" w:rsidRDefault="00D605FA" w:rsidP="00B65B11">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7D1F367D" w14:textId="7429053C" w:rsidR="00D605FA" w:rsidRPr="00EB3AA9" w:rsidRDefault="00D605FA" w:rsidP="00EB3AA9">
            <w:pPr>
              <w:pStyle w:val="TableText"/>
              <w:jc w:val="center"/>
              <w:rPr>
                <w:rFonts w:cs="Arial"/>
                <w:sz w:val="18"/>
                <w:szCs w:val="18"/>
              </w:rPr>
            </w:pPr>
            <w:r w:rsidRPr="00893C12">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5D836730" w14:textId="4028D161"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317A599D" w14:textId="62046429"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3DCCADC8"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5A0A9FDC"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0A410D90" w14:textId="77777777" w:rsidR="00D605FA" w:rsidRPr="00EB3AA9" w:rsidRDefault="00D605FA" w:rsidP="00885EE5">
            <w:pPr>
              <w:spacing w:before="60" w:after="60"/>
              <w:ind w:left="17"/>
              <w:rPr>
                <w:rFonts w:cs="Arial"/>
                <w:i/>
                <w:sz w:val="18"/>
                <w:szCs w:val="18"/>
              </w:rPr>
            </w:pPr>
            <w:r w:rsidRPr="00EB3AA9">
              <w:rPr>
                <w:rFonts w:cs="Arial"/>
                <w:i/>
                <w:sz w:val="18"/>
                <w:szCs w:val="18"/>
              </w:rPr>
              <w:t>Rostratula australis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7CB1F326" w14:textId="77777777" w:rsidR="00D605FA" w:rsidRPr="00EB3AA9" w:rsidRDefault="00D605FA" w:rsidP="00885EE5">
            <w:pPr>
              <w:spacing w:before="60" w:after="60"/>
              <w:ind w:left="0" w:firstLine="13"/>
              <w:rPr>
                <w:rFonts w:cs="Arial"/>
                <w:sz w:val="18"/>
                <w:szCs w:val="18"/>
              </w:rPr>
            </w:pPr>
            <w:r w:rsidRPr="00EB3AA9">
              <w:rPr>
                <w:rFonts w:cs="Arial"/>
                <w:sz w:val="18"/>
                <w:szCs w:val="18"/>
              </w:rPr>
              <w:t>Australian painted snipe</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51C9EE97" w14:textId="77777777" w:rsidR="00D605FA" w:rsidRPr="00EB3AA9" w:rsidRDefault="00D605FA" w:rsidP="00B65B11">
            <w:pPr>
              <w:spacing w:before="60" w:after="60"/>
              <w:ind w:left="0"/>
              <w:jc w:val="center"/>
              <w:rPr>
                <w:rFonts w:cs="Arial"/>
                <w:sz w:val="18"/>
                <w:szCs w:val="18"/>
              </w:rPr>
            </w:pPr>
            <w:r w:rsidRPr="00EB3AA9">
              <w:rPr>
                <w:rFonts w:cs="Arial"/>
                <w:sz w:val="18"/>
                <w:szCs w:val="18"/>
              </w:rPr>
              <w:t>E</w:t>
            </w:r>
          </w:p>
        </w:tc>
        <w:tc>
          <w:tcPr>
            <w:tcW w:w="579" w:type="pct"/>
            <w:tcBorders>
              <w:top w:val="single" w:sz="4" w:space="0" w:color="auto"/>
              <w:left w:val="single" w:sz="4" w:space="0" w:color="auto"/>
              <w:bottom w:val="single" w:sz="4" w:space="0" w:color="auto"/>
              <w:right w:val="single" w:sz="4" w:space="0" w:color="auto"/>
            </w:tcBorders>
            <w:vAlign w:val="center"/>
          </w:tcPr>
          <w:p w14:paraId="4AD30560" w14:textId="77777777" w:rsidR="00D605FA" w:rsidRPr="00EB3AA9" w:rsidRDefault="00D605FA" w:rsidP="00B65B11">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1C820AA5" w14:textId="6E1F9F1C" w:rsidR="00D605FA" w:rsidRPr="00EB3AA9" w:rsidRDefault="00D605FA" w:rsidP="00EB3AA9">
            <w:pPr>
              <w:pStyle w:val="TableText"/>
              <w:jc w:val="center"/>
              <w:rPr>
                <w:rFonts w:cs="Arial"/>
                <w:sz w:val="18"/>
                <w:szCs w:val="18"/>
              </w:rPr>
            </w:pPr>
            <w:r w:rsidRPr="00893C12">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35603AA3" w14:textId="77F3AB14" w:rsidR="00D605FA" w:rsidRPr="00EB3AA9" w:rsidRDefault="00F04866" w:rsidP="00215B4E">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43DF1C74" w14:textId="151A84AA"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6153770A"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CA</w:t>
            </w:r>
          </w:p>
        </w:tc>
      </w:tr>
      <w:tr w:rsidR="00D605FA" w:rsidRPr="00EB3AA9" w14:paraId="14BE8194"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64A3A3F8" w14:textId="77777777" w:rsidR="00D605FA" w:rsidRPr="00EB3AA9" w:rsidRDefault="00D605FA" w:rsidP="00885EE5">
            <w:pPr>
              <w:spacing w:before="60" w:after="60"/>
              <w:ind w:left="17"/>
              <w:rPr>
                <w:rFonts w:cs="Arial"/>
                <w:i/>
                <w:sz w:val="18"/>
                <w:szCs w:val="18"/>
              </w:rPr>
            </w:pPr>
            <w:r w:rsidRPr="00EB3AA9">
              <w:rPr>
                <w:rFonts w:cs="Arial"/>
                <w:i/>
                <w:sz w:val="18"/>
                <w:szCs w:val="18"/>
              </w:rPr>
              <w:t>Sterna albifrons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74D65441" w14:textId="77777777" w:rsidR="00D605FA" w:rsidRPr="00EB3AA9" w:rsidRDefault="00D605FA" w:rsidP="00885EE5">
            <w:pPr>
              <w:spacing w:before="60" w:after="60"/>
              <w:ind w:left="0" w:firstLine="13"/>
              <w:rPr>
                <w:rFonts w:cs="Arial"/>
                <w:sz w:val="18"/>
                <w:szCs w:val="18"/>
              </w:rPr>
            </w:pPr>
            <w:r w:rsidRPr="00EB3AA9">
              <w:rPr>
                <w:rFonts w:cs="Arial"/>
                <w:sz w:val="18"/>
                <w:szCs w:val="18"/>
              </w:rPr>
              <w:t>Little tern</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5D6B48C8"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77D41491" w14:textId="3B54608A" w:rsidR="00D605FA" w:rsidRPr="00EB3AA9" w:rsidRDefault="00D605FA" w:rsidP="00B65B11">
            <w:pPr>
              <w:pStyle w:val="TableText"/>
              <w:jc w:val="center"/>
              <w:rPr>
                <w:rFonts w:cs="Arial"/>
                <w:sz w:val="18"/>
                <w:szCs w:val="18"/>
              </w:rPr>
            </w:pPr>
            <w:r>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1E25FECE" w14:textId="6A5CBF51" w:rsidR="00D605FA" w:rsidRPr="00EB3AA9" w:rsidRDefault="00D605FA" w:rsidP="00EB3AA9">
            <w:pPr>
              <w:pStyle w:val="TableText"/>
              <w:jc w:val="center"/>
              <w:rPr>
                <w:rFonts w:cs="Arial"/>
                <w:sz w:val="18"/>
                <w:szCs w:val="18"/>
              </w:rPr>
            </w:pPr>
            <w:r w:rsidRPr="00893C12">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35DA29EB" w14:textId="77673E33" w:rsidR="00D605FA" w:rsidRPr="00EB3AA9" w:rsidRDefault="00F04866" w:rsidP="00215B4E">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32ACEFB1" w14:textId="47B640A1"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2F741E63" w14:textId="1D62E79D" w:rsidR="00D605FA" w:rsidRPr="00EB3AA9" w:rsidRDefault="00D605FA" w:rsidP="00B65B11">
            <w:pPr>
              <w:spacing w:before="60" w:after="60"/>
              <w:ind w:left="69" w:hanging="69"/>
              <w:jc w:val="center"/>
              <w:rPr>
                <w:rFonts w:cs="Arial"/>
                <w:sz w:val="18"/>
                <w:szCs w:val="18"/>
              </w:rPr>
            </w:pPr>
            <w:r w:rsidRPr="00EB3AA9">
              <w:rPr>
                <w:rFonts w:cs="Arial"/>
                <w:sz w:val="18"/>
                <w:szCs w:val="18"/>
              </w:rPr>
              <w:t>AS</w:t>
            </w:r>
          </w:p>
        </w:tc>
      </w:tr>
      <w:tr w:rsidR="00D605FA" w:rsidRPr="00EB3AA9" w14:paraId="6556B078"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6B7DB46C" w14:textId="77777777" w:rsidR="00D605FA" w:rsidRPr="00EB3AA9" w:rsidRDefault="00D605FA" w:rsidP="00885EE5">
            <w:pPr>
              <w:spacing w:before="60" w:after="60"/>
              <w:ind w:left="17"/>
              <w:rPr>
                <w:rFonts w:cs="Arial"/>
                <w:i/>
                <w:sz w:val="18"/>
                <w:szCs w:val="18"/>
              </w:rPr>
            </w:pPr>
            <w:r w:rsidRPr="00EB3AA9">
              <w:rPr>
                <w:rFonts w:cs="Arial"/>
                <w:i/>
                <w:sz w:val="18"/>
                <w:szCs w:val="18"/>
              </w:rPr>
              <w:t>Sterna fuscuta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507F9323" w14:textId="77777777" w:rsidR="00D605FA" w:rsidRPr="00EB3AA9" w:rsidRDefault="00D605FA" w:rsidP="00885EE5">
            <w:pPr>
              <w:spacing w:before="60" w:after="60"/>
              <w:ind w:left="0" w:firstLine="13"/>
              <w:rPr>
                <w:rFonts w:cs="Arial"/>
                <w:sz w:val="18"/>
                <w:szCs w:val="18"/>
              </w:rPr>
            </w:pPr>
            <w:r w:rsidRPr="00EB3AA9">
              <w:rPr>
                <w:rFonts w:cs="Arial"/>
                <w:sz w:val="18"/>
                <w:szCs w:val="18"/>
              </w:rPr>
              <w:t>Sooty tern</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493C81F4"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3152381F" w14:textId="77777777" w:rsidR="00D605FA" w:rsidRPr="00EB3AA9" w:rsidRDefault="00D605FA" w:rsidP="00B65B11">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3A3FC5DE" w14:textId="297ED4FC" w:rsidR="00D605FA" w:rsidRPr="00EB3AA9" w:rsidRDefault="00D605FA" w:rsidP="00EB3AA9">
            <w:pPr>
              <w:pStyle w:val="TableText"/>
              <w:jc w:val="center"/>
              <w:rPr>
                <w:rFonts w:cs="Arial"/>
                <w:sz w:val="18"/>
                <w:szCs w:val="18"/>
              </w:rPr>
            </w:pPr>
            <w:r w:rsidRPr="00893C12">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0DABC6C6" w14:textId="4ECA3226"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3B96AFDD" w14:textId="0D86F683"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1EE57F70"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2DE16061"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49BCE20E" w14:textId="77777777" w:rsidR="00D605FA" w:rsidRPr="00EB3AA9" w:rsidRDefault="00D605FA" w:rsidP="00885EE5">
            <w:pPr>
              <w:spacing w:before="60" w:after="60"/>
              <w:ind w:left="17"/>
              <w:rPr>
                <w:rFonts w:cs="Arial"/>
                <w:i/>
                <w:sz w:val="18"/>
                <w:szCs w:val="18"/>
              </w:rPr>
            </w:pPr>
            <w:r w:rsidRPr="00EB3AA9">
              <w:rPr>
                <w:rFonts w:cs="Arial"/>
                <w:i/>
                <w:sz w:val="18"/>
                <w:szCs w:val="18"/>
              </w:rPr>
              <w:t>Sternula nereis nereis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6E391397" w14:textId="77777777" w:rsidR="00D605FA" w:rsidRPr="00EB3AA9" w:rsidRDefault="00D605FA" w:rsidP="00885EE5">
            <w:pPr>
              <w:spacing w:before="60" w:after="60"/>
              <w:ind w:left="0" w:firstLine="13"/>
              <w:rPr>
                <w:rFonts w:cs="Arial"/>
                <w:sz w:val="18"/>
                <w:szCs w:val="18"/>
              </w:rPr>
            </w:pPr>
            <w:r w:rsidRPr="00EB3AA9">
              <w:rPr>
                <w:rFonts w:cs="Arial"/>
                <w:sz w:val="18"/>
                <w:szCs w:val="18"/>
              </w:rPr>
              <w:t>Australian fairy tern</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1EB18643" w14:textId="77777777" w:rsidR="00D605FA" w:rsidRPr="00EB3AA9" w:rsidRDefault="00D605FA" w:rsidP="00B65B11">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1B787C4D" w14:textId="77777777" w:rsidR="00D605FA" w:rsidRPr="00EB3AA9" w:rsidRDefault="00D605FA" w:rsidP="00B65B11">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78456625" w14:textId="77777777" w:rsidR="00D605FA" w:rsidRPr="00EB3AA9" w:rsidRDefault="00D605FA" w:rsidP="00B65B11">
            <w:pPr>
              <w:pStyle w:val="TableText"/>
              <w:jc w:val="center"/>
              <w:rPr>
                <w:rFonts w:cs="Arial"/>
                <w:sz w:val="18"/>
                <w:szCs w:val="18"/>
              </w:rPr>
            </w:pPr>
            <w:r w:rsidRPr="00EB3AA9">
              <w:rPr>
                <w:rFonts w:cs="Arial"/>
                <w:sz w:val="18"/>
                <w:szCs w:val="18"/>
              </w:rPr>
              <w:t>-</w:t>
            </w:r>
          </w:p>
        </w:tc>
        <w:tc>
          <w:tcPr>
            <w:tcW w:w="433" w:type="pct"/>
            <w:tcBorders>
              <w:top w:val="single" w:sz="4" w:space="0" w:color="auto"/>
              <w:left w:val="single" w:sz="4" w:space="0" w:color="auto"/>
              <w:bottom w:val="single" w:sz="4" w:space="0" w:color="auto"/>
              <w:right w:val="single" w:sz="4" w:space="0" w:color="auto"/>
            </w:tcBorders>
            <w:vAlign w:val="center"/>
          </w:tcPr>
          <w:p w14:paraId="0DDD7B78" w14:textId="21DC1BE0" w:rsidR="00D605FA" w:rsidRPr="00EB3AA9" w:rsidRDefault="00F04866" w:rsidP="00215B4E">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196C80EC" w14:textId="11F562D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729A8B5D"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CA</w:t>
            </w:r>
          </w:p>
        </w:tc>
      </w:tr>
      <w:tr w:rsidR="00D605FA" w:rsidRPr="00EB3AA9" w14:paraId="28AEBEB4"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3A3B2ACD" w14:textId="77777777" w:rsidR="00D605FA" w:rsidRPr="00EB3AA9" w:rsidRDefault="00D605FA" w:rsidP="00885EE5">
            <w:pPr>
              <w:spacing w:before="60" w:after="60"/>
              <w:ind w:left="17"/>
              <w:rPr>
                <w:rFonts w:cs="Arial"/>
                <w:i/>
                <w:sz w:val="18"/>
                <w:szCs w:val="18"/>
              </w:rPr>
            </w:pPr>
            <w:r w:rsidRPr="00EB3AA9">
              <w:rPr>
                <w:rFonts w:cs="Arial"/>
                <w:i/>
                <w:sz w:val="18"/>
                <w:szCs w:val="18"/>
              </w:rPr>
              <w:t>Thinornis rubricollis rubricollis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0AE5D1D8" w14:textId="77777777" w:rsidR="00D605FA" w:rsidRPr="00EB3AA9" w:rsidRDefault="00D605FA" w:rsidP="00885EE5">
            <w:pPr>
              <w:spacing w:before="60" w:after="60"/>
              <w:ind w:left="0" w:firstLine="13"/>
              <w:rPr>
                <w:rFonts w:cs="Arial"/>
                <w:sz w:val="18"/>
                <w:szCs w:val="18"/>
              </w:rPr>
            </w:pPr>
            <w:r w:rsidRPr="00EB3AA9">
              <w:rPr>
                <w:rFonts w:cs="Arial"/>
                <w:sz w:val="18"/>
                <w:szCs w:val="18"/>
              </w:rPr>
              <w:t>Hooded plover (eastern)</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2DAFF701" w14:textId="77777777" w:rsidR="00D605FA" w:rsidRPr="00EB3AA9" w:rsidRDefault="00D605FA" w:rsidP="00B65B11">
            <w:pPr>
              <w:spacing w:before="60" w:after="60"/>
              <w:ind w:left="0"/>
              <w:jc w:val="center"/>
              <w:rPr>
                <w:rFonts w:cs="Arial"/>
                <w:sz w:val="18"/>
                <w:szCs w:val="18"/>
              </w:rPr>
            </w:pPr>
            <w:r w:rsidRPr="00EB3AA9">
              <w:rPr>
                <w:rFonts w:cs="Arial"/>
                <w:sz w:val="18"/>
                <w:szCs w:val="18"/>
              </w:rPr>
              <w:t>V</w:t>
            </w:r>
          </w:p>
        </w:tc>
        <w:tc>
          <w:tcPr>
            <w:tcW w:w="579" w:type="pct"/>
            <w:tcBorders>
              <w:top w:val="single" w:sz="4" w:space="0" w:color="auto"/>
              <w:left w:val="single" w:sz="4" w:space="0" w:color="auto"/>
              <w:bottom w:val="single" w:sz="4" w:space="0" w:color="auto"/>
              <w:right w:val="single" w:sz="4" w:space="0" w:color="auto"/>
            </w:tcBorders>
            <w:vAlign w:val="center"/>
          </w:tcPr>
          <w:p w14:paraId="52A3A94B" w14:textId="77777777" w:rsidR="00D605FA" w:rsidRPr="00EB3AA9" w:rsidRDefault="00D605FA" w:rsidP="00B65B11">
            <w:pPr>
              <w:pStyle w:val="TableText"/>
              <w:jc w:val="center"/>
              <w:rPr>
                <w:rFonts w:cs="Arial"/>
                <w:sz w:val="18"/>
                <w:szCs w:val="18"/>
              </w:rPr>
            </w:pPr>
            <w:r w:rsidRPr="00EB3AA9">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6BA28A78" w14:textId="6BEF2DC6" w:rsidR="00D605FA" w:rsidRPr="00EB3AA9" w:rsidRDefault="00D605FA" w:rsidP="00EB3AA9">
            <w:pPr>
              <w:pStyle w:val="TableText"/>
              <w:jc w:val="center"/>
              <w:rPr>
                <w:rFonts w:cs="Arial"/>
                <w:sz w:val="18"/>
                <w:szCs w:val="18"/>
              </w:rPr>
            </w:pPr>
            <w:r w:rsidRPr="003B3199">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306A98A0" w14:textId="17A5B7E6" w:rsidR="00D605FA" w:rsidRPr="00EB3AA9" w:rsidRDefault="00F04866" w:rsidP="00215B4E">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55A710D5" w14:textId="04D66844"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053DA34F" w14:textId="5DE959AC" w:rsidR="00D605FA" w:rsidRPr="00EB3AA9" w:rsidRDefault="00D605FA" w:rsidP="00B65B11">
            <w:pPr>
              <w:spacing w:before="60" w:after="60"/>
              <w:ind w:left="69" w:hanging="69"/>
              <w:jc w:val="center"/>
              <w:rPr>
                <w:rFonts w:cs="Arial"/>
                <w:sz w:val="18"/>
                <w:szCs w:val="18"/>
              </w:rPr>
            </w:pPr>
            <w:r w:rsidRPr="00EB3AA9">
              <w:rPr>
                <w:rFonts w:cs="Arial"/>
                <w:sz w:val="18"/>
                <w:szCs w:val="18"/>
              </w:rPr>
              <w:t>AS</w:t>
            </w:r>
          </w:p>
        </w:tc>
      </w:tr>
      <w:tr w:rsidR="00D605FA" w:rsidRPr="00EB3AA9" w14:paraId="6E9B9A78"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52D6D149" w14:textId="77777777" w:rsidR="00D605FA" w:rsidRPr="00EB3AA9" w:rsidRDefault="00D605FA" w:rsidP="00885EE5">
            <w:pPr>
              <w:spacing w:before="60" w:after="60"/>
              <w:ind w:left="17"/>
              <w:rPr>
                <w:rFonts w:cs="Arial"/>
                <w:i/>
                <w:sz w:val="18"/>
                <w:szCs w:val="18"/>
              </w:rPr>
            </w:pPr>
            <w:r w:rsidRPr="00EB3AA9">
              <w:rPr>
                <w:rFonts w:cs="Arial"/>
                <w:i/>
                <w:sz w:val="18"/>
                <w:szCs w:val="18"/>
              </w:rPr>
              <w:t>Tringa glareola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1627CBD1" w14:textId="77777777" w:rsidR="00D605FA" w:rsidRPr="00EB3AA9" w:rsidRDefault="00D605FA" w:rsidP="00885EE5">
            <w:pPr>
              <w:spacing w:before="60" w:after="60"/>
              <w:ind w:left="0" w:firstLine="13"/>
              <w:rPr>
                <w:rFonts w:cs="Arial"/>
                <w:sz w:val="18"/>
                <w:szCs w:val="18"/>
              </w:rPr>
            </w:pPr>
            <w:r w:rsidRPr="00EB3AA9">
              <w:rPr>
                <w:rFonts w:cs="Arial"/>
                <w:sz w:val="18"/>
                <w:szCs w:val="18"/>
              </w:rPr>
              <w:t>Wood sandpiper</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0FC2D2CB"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401D5C42" w14:textId="7FDDA525" w:rsidR="00D605FA" w:rsidRPr="00EB3AA9" w:rsidRDefault="00D605FA" w:rsidP="00EB3AA9">
            <w:pPr>
              <w:pStyle w:val="TableText"/>
              <w:jc w:val="center"/>
              <w:rPr>
                <w:rFonts w:cs="Arial"/>
                <w:sz w:val="18"/>
                <w:szCs w:val="18"/>
              </w:rPr>
            </w:pPr>
            <w:r w:rsidRPr="00C520AA">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416937C1" w14:textId="30B12E0E" w:rsidR="00D605FA" w:rsidRPr="00EB3AA9" w:rsidRDefault="00D605FA" w:rsidP="00EB3AA9">
            <w:pPr>
              <w:pStyle w:val="TableText"/>
              <w:jc w:val="center"/>
              <w:rPr>
                <w:rFonts w:cs="Arial"/>
                <w:sz w:val="18"/>
                <w:szCs w:val="18"/>
              </w:rPr>
            </w:pPr>
            <w:r w:rsidRPr="003B3199">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093BBD88" w14:textId="4B8CB7DD"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7C8CB08A" w14:textId="046DF424"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3C5D9EA3"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0FFF4CAE"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6281E3D4" w14:textId="77777777" w:rsidR="00D605FA" w:rsidRPr="00EB3AA9" w:rsidRDefault="00D605FA" w:rsidP="00885EE5">
            <w:pPr>
              <w:spacing w:before="60" w:after="60"/>
              <w:ind w:left="17"/>
              <w:rPr>
                <w:rFonts w:cs="Arial"/>
                <w:i/>
                <w:sz w:val="18"/>
                <w:szCs w:val="18"/>
              </w:rPr>
            </w:pPr>
            <w:r w:rsidRPr="00EB3AA9">
              <w:rPr>
                <w:rFonts w:cs="Arial"/>
                <w:i/>
                <w:sz w:val="18"/>
                <w:szCs w:val="18"/>
              </w:rPr>
              <w:t>Tringa nebularia</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2C0E2E22" w14:textId="77777777" w:rsidR="00D605FA" w:rsidRPr="00EB3AA9" w:rsidRDefault="00D605FA" w:rsidP="00885EE5">
            <w:pPr>
              <w:spacing w:before="60" w:after="60"/>
              <w:ind w:left="0" w:firstLine="13"/>
              <w:rPr>
                <w:rFonts w:cs="Arial"/>
                <w:sz w:val="18"/>
                <w:szCs w:val="18"/>
              </w:rPr>
            </w:pPr>
            <w:r w:rsidRPr="00EB3AA9">
              <w:rPr>
                <w:rFonts w:cs="Arial"/>
                <w:sz w:val="18"/>
                <w:szCs w:val="18"/>
              </w:rPr>
              <w:t>Common greenshank</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370C9A54"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79896965" w14:textId="53AC3F80" w:rsidR="00D605FA" w:rsidRPr="00EB3AA9" w:rsidRDefault="00D605FA" w:rsidP="00EB3AA9">
            <w:pPr>
              <w:pStyle w:val="TableText"/>
              <w:jc w:val="center"/>
              <w:rPr>
                <w:rFonts w:cs="Arial"/>
                <w:sz w:val="18"/>
                <w:szCs w:val="18"/>
              </w:rPr>
            </w:pPr>
            <w:r w:rsidRPr="00C520AA">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279D4293" w14:textId="00B4DF45" w:rsidR="00D605FA" w:rsidRPr="00EB3AA9" w:rsidRDefault="00D605FA" w:rsidP="00EB3AA9">
            <w:pPr>
              <w:pStyle w:val="TableText"/>
              <w:jc w:val="center"/>
              <w:rPr>
                <w:rFonts w:cs="Arial"/>
                <w:sz w:val="18"/>
                <w:szCs w:val="18"/>
              </w:rPr>
            </w:pPr>
            <w:r w:rsidRPr="003B3199">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3D75CEF2" w14:textId="707673CC"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570FD70B" w14:textId="53E2C393"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15B9B271"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74A31B70"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502D6875" w14:textId="77777777" w:rsidR="00D605FA" w:rsidRPr="00EB3AA9" w:rsidRDefault="00D605FA" w:rsidP="00885EE5">
            <w:pPr>
              <w:spacing w:before="60" w:after="60"/>
              <w:ind w:left="17"/>
              <w:rPr>
                <w:rFonts w:cs="Arial"/>
                <w:i/>
                <w:sz w:val="18"/>
                <w:szCs w:val="18"/>
              </w:rPr>
            </w:pPr>
            <w:r w:rsidRPr="00EB3AA9">
              <w:rPr>
                <w:rFonts w:cs="Arial"/>
                <w:i/>
                <w:sz w:val="18"/>
                <w:szCs w:val="18"/>
              </w:rPr>
              <w:t>Tringa stagnatilis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790D21A6" w14:textId="77777777" w:rsidR="00D605FA" w:rsidRPr="00EB3AA9" w:rsidRDefault="00D605FA" w:rsidP="00885EE5">
            <w:pPr>
              <w:spacing w:before="60" w:after="60"/>
              <w:ind w:left="0" w:firstLine="13"/>
              <w:rPr>
                <w:rFonts w:cs="Arial"/>
                <w:sz w:val="18"/>
                <w:szCs w:val="18"/>
              </w:rPr>
            </w:pPr>
            <w:r w:rsidRPr="00EB3AA9">
              <w:rPr>
                <w:rFonts w:cs="Arial"/>
                <w:sz w:val="18"/>
                <w:szCs w:val="18"/>
              </w:rPr>
              <w:t>Marsh sandpiper</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07D0D2A5"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712DC8CC" w14:textId="17CC5654" w:rsidR="00D605FA" w:rsidRPr="00EB3AA9" w:rsidRDefault="00D605FA" w:rsidP="00EB3AA9">
            <w:pPr>
              <w:pStyle w:val="TableText"/>
              <w:jc w:val="center"/>
              <w:rPr>
                <w:rFonts w:cs="Arial"/>
                <w:sz w:val="18"/>
                <w:szCs w:val="18"/>
              </w:rPr>
            </w:pPr>
            <w:r w:rsidRPr="00C520AA">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047D378B" w14:textId="548B8BB6" w:rsidR="00D605FA" w:rsidRPr="00EB3AA9" w:rsidRDefault="00D605FA" w:rsidP="00EB3AA9">
            <w:pPr>
              <w:pStyle w:val="TableText"/>
              <w:jc w:val="center"/>
              <w:rPr>
                <w:rFonts w:cs="Arial"/>
                <w:sz w:val="18"/>
                <w:szCs w:val="18"/>
              </w:rPr>
            </w:pPr>
            <w:r w:rsidRPr="003B3199">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31E1506D" w14:textId="0B454323" w:rsidR="00D605FA" w:rsidRPr="00EB3AA9" w:rsidRDefault="00F04866" w:rsidP="00215B4E">
            <w:pPr>
              <w:spacing w:before="60" w:after="60"/>
              <w:ind w:left="69" w:hanging="69"/>
              <w:jc w:val="center"/>
              <w:rPr>
                <w:rFonts w:cs="Arial"/>
                <w:sz w:val="18"/>
                <w:szCs w:val="18"/>
              </w:rPr>
            </w:pPr>
            <w:r>
              <w:rPr>
                <w:rFonts w:cs="Arial"/>
                <w:sz w:val="18"/>
                <w:szCs w:val="18"/>
              </w:rPr>
              <w:t>-</w:t>
            </w:r>
          </w:p>
        </w:tc>
        <w:tc>
          <w:tcPr>
            <w:tcW w:w="507" w:type="pct"/>
            <w:tcBorders>
              <w:top w:val="single" w:sz="4" w:space="0" w:color="auto"/>
              <w:left w:val="single" w:sz="4" w:space="0" w:color="auto"/>
              <w:bottom w:val="single" w:sz="4" w:space="0" w:color="auto"/>
              <w:right w:val="single" w:sz="4" w:space="0" w:color="auto"/>
            </w:tcBorders>
            <w:vAlign w:val="center"/>
          </w:tcPr>
          <w:p w14:paraId="52C885AB" w14:textId="6B90ED02"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71BCD778"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r w:rsidR="00D605FA" w:rsidRPr="00EB3AA9" w14:paraId="316B2F23" w14:textId="77777777" w:rsidTr="00891DE1">
        <w:trPr>
          <w:trHeight w:val="345"/>
          <w:jc w:val="center"/>
        </w:trPr>
        <w:tc>
          <w:tcPr>
            <w:tcW w:w="1074" w:type="pct"/>
            <w:tcBorders>
              <w:top w:val="single" w:sz="4" w:space="0" w:color="auto"/>
              <w:left w:val="single" w:sz="4" w:space="0" w:color="auto"/>
              <w:bottom w:val="single" w:sz="4" w:space="0" w:color="auto"/>
              <w:right w:val="single" w:sz="4" w:space="0" w:color="auto"/>
            </w:tcBorders>
            <w:shd w:val="clear" w:color="auto" w:fill="auto"/>
          </w:tcPr>
          <w:p w14:paraId="306099D7" w14:textId="77777777" w:rsidR="00D605FA" w:rsidRPr="00EB3AA9" w:rsidRDefault="00D605FA" w:rsidP="00885EE5">
            <w:pPr>
              <w:spacing w:before="60" w:after="60"/>
              <w:ind w:left="17"/>
              <w:rPr>
                <w:rFonts w:cs="Arial"/>
                <w:i/>
                <w:sz w:val="18"/>
                <w:szCs w:val="18"/>
              </w:rPr>
            </w:pPr>
            <w:r w:rsidRPr="00EB3AA9">
              <w:rPr>
                <w:rFonts w:cs="Arial"/>
                <w:i/>
                <w:sz w:val="18"/>
                <w:szCs w:val="18"/>
              </w:rPr>
              <w:t>Xenus cinereus</w:t>
            </w:r>
          </w:p>
        </w:tc>
        <w:tc>
          <w:tcPr>
            <w:tcW w:w="722" w:type="pct"/>
            <w:tcBorders>
              <w:top w:val="single" w:sz="4" w:space="0" w:color="auto"/>
              <w:left w:val="single" w:sz="4" w:space="0" w:color="auto"/>
              <w:bottom w:val="single" w:sz="4" w:space="0" w:color="auto"/>
              <w:right w:val="single" w:sz="4" w:space="0" w:color="auto"/>
            </w:tcBorders>
            <w:shd w:val="clear" w:color="auto" w:fill="auto"/>
          </w:tcPr>
          <w:p w14:paraId="04FA9437" w14:textId="77777777" w:rsidR="00D605FA" w:rsidRPr="00EB3AA9" w:rsidRDefault="00D605FA" w:rsidP="00885EE5">
            <w:pPr>
              <w:spacing w:before="60" w:after="60"/>
              <w:ind w:left="0" w:firstLine="13"/>
              <w:rPr>
                <w:rFonts w:cs="Arial"/>
                <w:sz w:val="18"/>
                <w:szCs w:val="18"/>
              </w:rPr>
            </w:pPr>
            <w:r w:rsidRPr="00EB3AA9">
              <w:rPr>
                <w:rFonts w:cs="Arial"/>
                <w:sz w:val="18"/>
                <w:szCs w:val="18"/>
              </w:rPr>
              <w:t>Terek sandpiper</w:t>
            </w:r>
          </w:p>
        </w:tc>
        <w:tc>
          <w:tcPr>
            <w:tcW w:w="577" w:type="pct"/>
            <w:tcBorders>
              <w:top w:val="single" w:sz="4" w:space="0" w:color="auto"/>
              <w:left w:val="single" w:sz="4" w:space="0" w:color="auto"/>
              <w:bottom w:val="single" w:sz="4" w:space="0" w:color="auto"/>
              <w:right w:val="single" w:sz="4" w:space="0" w:color="auto"/>
            </w:tcBorders>
            <w:shd w:val="clear" w:color="auto" w:fill="auto"/>
            <w:vAlign w:val="center"/>
          </w:tcPr>
          <w:p w14:paraId="1C14C3EB" w14:textId="77777777" w:rsidR="00D605FA" w:rsidRPr="00EB3AA9" w:rsidRDefault="00D605FA" w:rsidP="00B65B11">
            <w:pPr>
              <w:spacing w:before="60" w:after="60"/>
              <w:ind w:left="0"/>
              <w:jc w:val="center"/>
              <w:rPr>
                <w:rFonts w:cs="Arial"/>
                <w:sz w:val="18"/>
                <w:szCs w:val="18"/>
              </w:rPr>
            </w:pPr>
            <w:r w:rsidRPr="00EB3AA9">
              <w:rPr>
                <w:rFonts w:cs="Arial"/>
                <w:sz w:val="18"/>
                <w:szCs w:val="18"/>
              </w:rPr>
              <w:t>-</w:t>
            </w:r>
          </w:p>
        </w:tc>
        <w:tc>
          <w:tcPr>
            <w:tcW w:w="579" w:type="pct"/>
            <w:tcBorders>
              <w:top w:val="single" w:sz="4" w:space="0" w:color="auto"/>
              <w:left w:val="single" w:sz="4" w:space="0" w:color="auto"/>
              <w:bottom w:val="single" w:sz="4" w:space="0" w:color="auto"/>
              <w:right w:val="single" w:sz="4" w:space="0" w:color="auto"/>
            </w:tcBorders>
            <w:vAlign w:val="center"/>
          </w:tcPr>
          <w:p w14:paraId="63ACE237" w14:textId="69DDE4AB" w:rsidR="00D605FA" w:rsidRPr="00EB3AA9" w:rsidRDefault="00D605FA" w:rsidP="00EB3AA9">
            <w:pPr>
              <w:pStyle w:val="TableText"/>
              <w:jc w:val="center"/>
              <w:rPr>
                <w:rFonts w:cs="Arial"/>
                <w:sz w:val="18"/>
                <w:szCs w:val="18"/>
              </w:rPr>
            </w:pPr>
            <w:r w:rsidRPr="00C520AA">
              <w:rPr>
                <w:rFonts w:cs="Arial"/>
                <w:sz w:val="18"/>
                <w:szCs w:val="18"/>
              </w:rPr>
              <w:t>Yes</w:t>
            </w:r>
          </w:p>
        </w:tc>
        <w:tc>
          <w:tcPr>
            <w:tcW w:w="507" w:type="pct"/>
            <w:tcBorders>
              <w:top w:val="single" w:sz="4" w:space="0" w:color="auto"/>
              <w:left w:val="single" w:sz="4" w:space="0" w:color="auto"/>
              <w:bottom w:val="single" w:sz="4" w:space="0" w:color="auto"/>
              <w:right w:val="single" w:sz="4" w:space="0" w:color="auto"/>
            </w:tcBorders>
            <w:vAlign w:val="center"/>
          </w:tcPr>
          <w:p w14:paraId="7A6F3BA2" w14:textId="0D9E7FDD" w:rsidR="00D605FA" w:rsidRPr="00EB3AA9" w:rsidRDefault="00D605FA" w:rsidP="00EB3AA9">
            <w:pPr>
              <w:pStyle w:val="TableText"/>
              <w:jc w:val="center"/>
              <w:rPr>
                <w:rFonts w:cs="Arial"/>
                <w:sz w:val="18"/>
                <w:szCs w:val="18"/>
              </w:rPr>
            </w:pPr>
            <w:r w:rsidRPr="003B3199">
              <w:rPr>
                <w:rFonts w:cs="Arial"/>
                <w:sz w:val="18"/>
                <w:szCs w:val="18"/>
              </w:rPr>
              <w:t>Yes</w:t>
            </w:r>
          </w:p>
        </w:tc>
        <w:tc>
          <w:tcPr>
            <w:tcW w:w="433" w:type="pct"/>
            <w:tcBorders>
              <w:top w:val="single" w:sz="4" w:space="0" w:color="auto"/>
              <w:left w:val="single" w:sz="4" w:space="0" w:color="auto"/>
              <w:bottom w:val="single" w:sz="4" w:space="0" w:color="auto"/>
              <w:right w:val="single" w:sz="4" w:space="0" w:color="auto"/>
            </w:tcBorders>
            <w:vAlign w:val="center"/>
          </w:tcPr>
          <w:p w14:paraId="79AF941E" w14:textId="155EF4CD" w:rsidR="00D605FA" w:rsidRPr="00EB3AA9" w:rsidRDefault="00215B4E" w:rsidP="00215B4E">
            <w:pPr>
              <w:spacing w:before="60" w:after="60"/>
              <w:ind w:left="69" w:hanging="69"/>
              <w:jc w:val="center"/>
              <w:rPr>
                <w:rFonts w:cs="Arial"/>
                <w:sz w:val="18"/>
                <w:szCs w:val="18"/>
              </w:rPr>
            </w:pPr>
            <w:r>
              <w:rPr>
                <w:rFonts w:cs="Arial"/>
                <w:sz w:val="18"/>
                <w:szCs w:val="18"/>
              </w:rPr>
              <w:t>T</w:t>
            </w:r>
          </w:p>
        </w:tc>
        <w:tc>
          <w:tcPr>
            <w:tcW w:w="507" w:type="pct"/>
            <w:tcBorders>
              <w:top w:val="single" w:sz="4" w:space="0" w:color="auto"/>
              <w:left w:val="single" w:sz="4" w:space="0" w:color="auto"/>
              <w:bottom w:val="single" w:sz="4" w:space="0" w:color="auto"/>
              <w:right w:val="single" w:sz="4" w:space="0" w:color="auto"/>
            </w:tcBorders>
            <w:vAlign w:val="center"/>
          </w:tcPr>
          <w:p w14:paraId="184FA606" w14:textId="2BD73240"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c>
          <w:tcPr>
            <w:tcW w:w="601" w:type="pct"/>
            <w:tcBorders>
              <w:top w:val="single" w:sz="4" w:space="0" w:color="auto"/>
              <w:left w:val="single" w:sz="4" w:space="0" w:color="auto"/>
              <w:bottom w:val="single" w:sz="4" w:space="0" w:color="auto"/>
              <w:right w:val="single" w:sz="4" w:space="0" w:color="auto"/>
            </w:tcBorders>
            <w:vAlign w:val="center"/>
          </w:tcPr>
          <w:p w14:paraId="42A0E482" w14:textId="77777777" w:rsidR="00D605FA" w:rsidRPr="00EB3AA9" w:rsidRDefault="00D605FA" w:rsidP="00B65B11">
            <w:pPr>
              <w:spacing w:before="60" w:after="60"/>
              <w:ind w:left="69" w:hanging="69"/>
              <w:jc w:val="center"/>
              <w:rPr>
                <w:rFonts w:cs="Arial"/>
                <w:sz w:val="18"/>
                <w:szCs w:val="18"/>
              </w:rPr>
            </w:pPr>
            <w:r w:rsidRPr="00EB3AA9">
              <w:rPr>
                <w:rFonts w:cs="Arial"/>
                <w:sz w:val="18"/>
                <w:szCs w:val="18"/>
              </w:rPr>
              <w:t>-</w:t>
            </w:r>
          </w:p>
        </w:tc>
      </w:tr>
    </w:tbl>
    <w:p w14:paraId="77FC185E" w14:textId="77777777" w:rsidR="00885EE5" w:rsidRDefault="00885EE5" w:rsidP="00F92BED">
      <w:pPr>
        <w:ind w:left="0"/>
      </w:pPr>
    </w:p>
    <w:p w14:paraId="1D3FD95E" w14:textId="77777777" w:rsidR="00FB055F" w:rsidRPr="00EB3AA9" w:rsidRDefault="00FB055F" w:rsidP="00FB055F">
      <w:pPr>
        <w:pStyle w:val="bodycopy"/>
        <w:rPr>
          <w:rFonts w:ascii="Arial" w:hAnsi="Arial"/>
          <w:b/>
          <w:sz w:val="22"/>
          <w:szCs w:val="22"/>
        </w:rPr>
      </w:pPr>
      <w:r w:rsidRPr="00EB3AA9">
        <w:rPr>
          <w:rFonts w:ascii="Arial" w:hAnsi="Arial"/>
          <w:b/>
          <w:sz w:val="22"/>
          <w:szCs w:val="22"/>
        </w:rPr>
        <w:t>Exclusively Seabirds</w:t>
      </w:r>
    </w:p>
    <w:p w14:paraId="3582B182" w14:textId="1C06A0B9" w:rsidR="009E2519" w:rsidRPr="00EB3AA9" w:rsidRDefault="009E2519" w:rsidP="00885EE5">
      <w:pPr>
        <w:pStyle w:val="bodycopy"/>
        <w:rPr>
          <w:rFonts w:ascii="Arial" w:hAnsi="Arial"/>
          <w:sz w:val="22"/>
          <w:szCs w:val="22"/>
          <w:u w:val="single"/>
        </w:rPr>
      </w:pPr>
      <w:r w:rsidRPr="00EB3AA9">
        <w:rPr>
          <w:rFonts w:ascii="Arial" w:hAnsi="Arial"/>
          <w:sz w:val="22"/>
          <w:szCs w:val="22"/>
          <w:u w:val="single"/>
        </w:rPr>
        <w:t>Albatross (</w:t>
      </w:r>
      <w:r w:rsidR="00215B4E">
        <w:rPr>
          <w:rFonts w:ascii="Arial" w:hAnsi="Arial"/>
          <w:sz w:val="22"/>
          <w:szCs w:val="22"/>
          <w:u w:val="single"/>
        </w:rPr>
        <w:t xml:space="preserve">EPBC Act: </w:t>
      </w:r>
      <w:r w:rsidRPr="00EB3AA9">
        <w:rPr>
          <w:rFonts w:ascii="Arial" w:hAnsi="Arial"/>
          <w:sz w:val="22"/>
          <w:szCs w:val="22"/>
          <w:u w:val="single"/>
        </w:rPr>
        <w:t xml:space="preserve">Endangered &amp; vulnerable, </w:t>
      </w:r>
      <w:r w:rsidR="00215B4E">
        <w:rPr>
          <w:rFonts w:ascii="Arial" w:hAnsi="Arial"/>
          <w:sz w:val="22"/>
          <w:szCs w:val="22"/>
          <w:u w:val="single"/>
        </w:rPr>
        <w:t xml:space="preserve">listed </w:t>
      </w:r>
      <w:r w:rsidRPr="00EB3AA9">
        <w:rPr>
          <w:rFonts w:ascii="Arial" w:hAnsi="Arial"/>
          <w:sz w:val="22"/>
          <w:szCs w:val="22"/>
          <w:u w:val="single"/>
        </w:rPr>
        <w:t>migratory</w:t>
      </w:r>
      <w:r w:rsidR="00215B4E">
        <w:rPr>
          <w:rFonts w:ascii="Arial" w:hAnsi="Arial"/>
          <w:sz w:val="22"/>
          <w:szCs w:val="22"/>
          <w:u w:val="single"/>
        </w:rPr>
        <w:t>, FFG Act: many listed as threatened</w:t>
      </w:r>
      <w:r w:rsidRPr="00EB3AA9">
        <w:rPr>
          <w:rFonts w:ascii="Arial" w:hAnsi="Arial"/>
          <w:sz w:val="22"/>
          <w:szCs w:val="22"/>
          <w:u w:val="single"/>
        </w:rPr>
        <w:t>)</w:t>
      </w:r>
    </w:p>
    <w:p w14:paraId="71E09134" w14:textId="4DA2FFD6" w:rsidR="00885EE5" w:rsidRPr="00EB3AA9" w:rsidRDefault="00885EE5" w:rsidP="00885EE5">
      <w:pPr>
        <w:pStyle w:val="bodycopy"/>
        <w:rPr>
          <w:rFonts w:ascii="Arial" w:hAnsi="Arial"/>
          <w:sz w:val="22"/>
          <w:szCs w:val="22"/>
        </w:rPr>
      </w:pPr>
      <w:r w:rsidRPr="00EB3AA9">
        <w:rPr>
          <w:rFonts w:ascii="Arial" w:hAnsi="Arial"/>
          <w:sz w:val="22"/>
          <w:szCs w:val="22"/>
        </w:rPr>
        <w:t xml:space="preserve">Albatrosses </w:t>
      </w:r>
      <w:r w:rsidR="009E2519" w:rsidRPr="00EB3AA9">
        <w:rPr>
          <w:rFonts w:ascii="Arial" w:hAnsi="Arial"/>
          <w:sz w:val="22"/>
          <w:szCs w:val="22"/>
        </w:rPr>
        <w:t>(</w:t>
      </w:r>
      <w:r w:rsidRPr="00EB3AA9">
        <w:rPr>
          <w:rFonts w:ascii="Arial" w:hAnsi="Arial"/>
          <w:sz w:val="22"/>
          <w:szCs w:val="22"/>
        </w:rPr>
        <w:t>and giant-petrels</w:t>
      </w:r>
      <w:r w:rsidR="009E2519" w:rsidRPr="00EB3AA9">
        <w:rPr>
          <w:rFonts w:ascii="Arial" w:hAnsi="Arial"/>
          <w:sz w:val="22"/>
          <w:szCs w:val="22"/>
        </w:rPr>
        <w:t>)</w:t>
      </w:r>
      <w:r w:rsidRPr="00EB3AA9">
        <w:rPr>
          <w:rFonts w:ascii="Arial" w:hAnsi="Arial"/>
          <w:sz w:val="22"/>
          <w:szCs w:val="22"/>
        </w:rPr>
        <w:t xml:space="preserve"> are among the most dispersive and oceanic of all birds, spending more than 95% of their time foraging at sea in search of prey and usually only returning to land (remote islands) to breed (EA, 2001). Only five species of albatross and the southern and northern giant petrel are known to breed within Australia. Breeding within Australian territory occurs on the isolated islands of Antarctica (Giganteus Island, Hawker Island and Frazier islands) and the Southern Ocean (Heard Island, McDonald Island, Macquarie Island, Bishop and Clerk Islands), as well as islands off the south coast of Tasmania and Albatross Island off the north-west coast of Tasmania in Bass Strait (DSEWPC, 2011). </w:t>
      </w:r>
    </w:p>
    <w:p w14:paraId="4F2F74F2" w14:textId="77777777" w:rsidR="00885EE5" w:rsidRPr="00EB3AA9" w:rsidRDefault="00885EE5" w:rsidP="00885EE5">
      <w:pPr>
        <w:pStyle w:val="bodycopy"/>
        <w:rPr>
          <w:rFonts w:ascii="Arial" w:hAnsi="Arial"/>
          <w:sz w:val="22"/>
          <w:szCs w:val="22"/>
        </w:rPr>
      </w:pPr>
      <w:r w:rsidRPr="00EB3AA9">
        <w:rPr>
          <w:rFonts w:ascii="Arial" w:hAnsi="Arial"/>
          <w:sz w:val="22"/>
          <w:szCs w:val="22"/>
        </w:rPr>
        <w:lastRenderedPageBreak/>
        <w:t>Albatross Island, supporting a breeding population of approximately 5,000 shy albatross (</w:t>
      </w:r>
      <w:r w:rsidRPr="00EB3AA9">
        <w:rPr>
          <w:rFonts w:ascii="Arial" w:hAnsi="Arial"/>
          <w:i/>
          <w:sz w:val="22"/>
          <w:szCs w:val="22"/>
        </w:rPr>
        <w:t>Thallassarche cauta</w:t>
      </w:r>
      <w:r w:rsidRPr="00EB3AA9">
        <w:rPr>
          <w:rFonts w:ascii="Arial" w:hAnsi="Arial"/>
          <w:sz w:val="22"/>
          <w:szCs w:val="22"/>
        </w:rPr>
        <w:t xml:space="preserve">), is the closest breeding colony of threatened seabird to the </w:t>
      </w:r>
      <w:r w:rsidR="009E2519" w:rsidRPr="00EB3AA9">
        <w:rPr>
          <w:rFonts w:ascii="Arial" w:hAnsi="Arial"/>
          <w:sz w:val="22"/>
          <w:szCs w:val="22"/>
        </w:rPr>
        <w:t xml:space="preserve">proposed </w:t>
      </w:r>
      <w:r w:rsidRPr="00EB3AA9">
        <w:rPr>
          <w:rFonts w:ascii="Arial" w:hAnsi="Arial"/>
          <w:sz w:val="22"/>
          <w:szCs w:val="22"/>
        </w:rPr>
        <w:t xml:space="preserve">survey </w:t>
      </w:r>
      <w:r w:rsidR="009E2519" w:rsidRPr="00EB3AA9">
        <w:rPr>
          <w:rFonts w:ascii="Arial" w:hAnsi="Arial"/>
          <w:sz w:val="22"/>
          <w:szCs w:val="22"/>
        </w:rPr>
        <w:t xml:space="preserve">acquisition </w:t>
      </w:r>
      <w:r w:rsidRPr="00EB3AA9">
        <w:rPr>
          <w:rFonts w:ascii="Arial" w:hAnsi="Arial"/>
          <w:sz w:val="22"/>
          <w:szCs w:val="22"/>
        </w:rPr>
        <w:t>area, located approximately 165 km to the southeast.</w:t>
      </w:r>
    </w:p>
    <w:p w14:paraId="0821102F" w14:textId="1F9C1D9C" w:rsidR="00885EE5" w:rsidRPr="00EB3AA9" w:rsidRDefault="00885EE5" w:rsidP="00885EE5">
      <w:pPr>
        <w:pStyle w:val="bodycopy"/>
        <w:rPr>
          <w:rFonts w:ascii="Arial" w:hAnsi="Arial"/>
          <w:sz w:val="22"/>
          <w:szCs w:val="22"/>
        </w:rPr>
      </w:pPr>
      <w:r w:rsidRPr="00EB3AA9">
        <w:rPr>
          <w:rFonts w:ascii="Arial" w:hAnsi="Arial"/>
          <w:sz w:val="22"/>
          <w:szCs w:val="22"/>
        </w:rPr>
        <w:t>All Australian waters can be considered foraging habitat for albatross and petrels, with the most important habitat considered to be south of 25°S (DSEWPC, 2011), which includes the survey area. Given these species’ ability to cover vast ocean distances while foraging, it is possible they may overfly and forage in the vicinity of the survey area.</w:t>
      </w:r>
      <w:r w:rsidR="00605EB1">
        <w:rPr>
          <w:rFonts w:ascii="Arial" w:hAnsi="Arial"/>
          <w:sz w:val="22"/>
          <w:szCs w:val="22"/>
        </w:rPr>
        <w:t xml:space="preserve"> </w:t>
      </w:r>
      <w:r w:rsidRPr="00EB3AA9">
        <w:rPr>
          <w:rFonts w:ascii="Arial" w:hAnsi="Arial"/>
          <w:sz w:val="22"/>
          <w:szCs w:val="22"/>
        </w:rPr>
        <w:t xml:space="preserve">Key threats to albatross and petrels are incidental catch from fishing, competition with fisheries for prey, dependence on fishing discards, marine pollution and loss of nesting habitat (DSEWPC, 2011). </w:t>
      </w:r>
    </w:p>
    <w:p w14:paraId="4CD79046" w14:textId="24B63EC6" w:rsidR="00215B4E" w:rsidRPr="002330FD" w:rsidRDefault="00885EE5" w:rsidP="00885EE5">
      <w:pPr>
        <w:pStyle w:val="bodycopy"/>
        <w:rPr>
          <w:rFonts w:ascii="Arial" w:hAnsi="Arial"/>
          <w:sz w:val="22"/>
          <w:szCs w:val="22"/>
        </w:rPr>
      </w:pPr>
      <w:r w:rsidRPr="00EB3AA9">
        <w:rPr>
          <w:rFonts w:ascii="Arial" w:hAnsi="Arial"/>
          <w:sz w:val="22"/>
          <w:szCs w:val="22"/>
        </w:rPr>
        <w:t>The 1</w:t>
      </w:r>
      <w:r w:rsidR="0092441E" w:rsidRPr="00EB3AA9">
        <w:rPr>
          <w:rFonts w:ascii="Arial" w:hAnsi="Arial"/>
          <w:sz w:val="22"/>
          <w:szCs w:val="22"/>
        </w:rPr>
        <w:t>7</w:t>
      </w:r>
      <w:r w:rsidRPr="00EB3AA9">
        <w:rPr>
          <w:rFonts w:ascii="Arial" w:hAnsi="Arial"/>
          <w:sz w:val="22"/>
          <w:szCs w:val="22"/>
        </w:rPr>
        <w:t xml:space="preserve"> albatross species listed in </w:t>
      </w:r>
      <w:r w:rsidRPr="002330FD">
        <w:rPr>
          <w:rFonts w:ascii="Arial" w:hAnsi="Arial"/>
          <w:sz w:val="22"/>
          <w:szCs w:val="22"/>
        </w:rPr>
        <w:t xml:space="preserve">Table </w:t>
      </w:r>
      <w:r w:rsidR="009E2519" w:rsidRPr="002330FD">
        <w:rPr>
          <w:rFonts w:ascii="Arial" w:hAnsi="Arial"/>
          <w:sz w:val="22"/>
          <w:szCs w:val="22"/>
        </w:rPr>
        <w:t>5.1</w:t>
      </w:r>
      <w:r w:rsidR="00E63459" w:rsidRPr="002330FD">
        <w:rPr>
          <w:rFonts w:ascii="Arial" w:hAnsi="Arial"/>
          <w:sz w:val="22"/>
          <w:szCs w:val="22"/>
        </w:rPr>
        <w:t>1</w:t>
      </w:r>
      <w:r w:rsidRPr="002330FD">
        <w:rPr>
          <w:rFonts w:ascii="Arial" w:hAnsi="Arial"/>
          <w:sz w:val="22"/>
          <w:szCs w:val="22"/>
        </w:rPr>
        <w:t xml:space="preserve"> have a widespread distribution throughout the southern hemisphere.</w:t>
      </w:r>
      <w:r w:rsidR="00B07F54" w:rsidRPr="002330FD">
        <w:rPr>
          <w:rFonts w:ascii="Arial" w:hAnsi="Arial"/>
          <w:sz w:val="22"/>
          <w:szCs w:val="22"/>
        </w:rPr>
        <w:t xml:space="preserve"> </w:t>
      </w:r>
      <w:r w:rsidR="00215B4E" w:rsidRPr="002330FD">
        <w:rPr>
          <w:rFonts w:ascii="Arial" w:hAnsi="Arial"/>
          <w:sz w:val="22"/>
          <w:szCs w:val="22"/>
        </w:rPr>
        <w:t>There is one additional species, the sooty albatross (</w:t>
      </w:r>
      <w:r w:rsidR="00215B4E" w:rsidRPr="00891DE1">
        <w:rPr>
          <w:rFonts w:ascii="Arial" w:hAnsi="Arial"/>
          <w:i/>
          <w:sz w:val="22"/>
          <w:szCs w:val="22"/>
        </w:rPr>
        <w:t>Phoebetria fusca</w:t>
      </w:r>
      <w:r w:rsidR="00215B4E" w:rsidRPr="002330FD">
        <w:rPr>
          <w:rFonts w:ascii="Arial" w:hAnsi="Arial"/>
          <w:sz w:val="22"/>
          <w:szCs w:val="22"/>
        </w:rPr>
        <w:t xml:space="preserve">) listed under the VBA (with one record in the EMBA). This is listed as threatened under the FFG Act. </w:t>
      </w:r>
    </w:p>
    <w:p w14:paraId="77769571" w14:textId="4328A0AB" w:rsidR="00885EE5" w:rsidRPr="002330FD" w:rsidRDefault="00885EE5" w:rsidP="00885EE5">
      <w:pPr>
        <w:pStyle w:val="bodycopy"/>
        <w:rPr>
          <w:rFonts w:ascii="Arial" w:hAnsi="Arial"/>
          <w:sz w:val="22"/>
          <w:szCs w:val="22"/>
        </w:rPr>
      </w:pPr>
      <w:r w:rsidRPr="002330FD">
        <w:rPr>
          <w:rFonts w:ascii="Arial" w:hAnsi="Arial"/>
          <w:sz w:val="22"/>
          <w:szCs w:val="22"/>
        </w:rPr>
        <w:t>Albatrosses nest on isolated islands and forage across the ocean for food, usually in offshore areas during winter, and particularly along the continental shelf edge and open waters (DSEWPC, 201</w:t>
      </w:r>
      <w:r w:rsidR="001B1CC7" w:rsidRPr="002330FD">
        <w:rPr>
          <w:rFonts w:ascii="Arial" w:hAnsi="Arial"/>
          <w:sz w:val="22"/>
          <w:szCs w:val="22"/>
        </w:rPr>
        <w:t>1</w:t>
      </w:r>
      <w:r w:rsidRPr="002330FD">
        <w:rPr>
          <w:rFonts w:ascii="Arial" w:hAnsi="Arial"/>
          <w:sz w:val="22"/>
          <w:szCs w:val="22"/>
        </w:rPr>
        <w:t xml:space="preserve">). All the albatross species listed in Table </w:t>
      </w:r>
      <w:r w:rsidR="009E2519" w:rsidRPr="002330FD">
        <w:rPr>
          <w:rFonts w:ascii="Arial" w:hAnsi="Arial"/>
          <w:sz w:val="22"/>
          <w:szCs w:val="22"/>
        </w:rPr>
        <w:t>5.12</w:t>
      </w:r>
      <w:r w:rsidRPr="002330FD">
        <w:rPr>
          <w:rFonts w:ascii="Arial" w:hAnsi="Arial"/>
          <w:sz w:val="22"/>
          <w:szCs w:val="22"/>
        </w:rPr>
        <w:t xml:space="preserve"> are known to forage in Australian waters, with cephalopods, fish and crustaceans forming the basis of their diet, caught by diving (DSEWPC, 201</w:t>
      </w:r>
      <w:r w:rsidR="001B1CC7" w:rsidRPr="002330FD">
        <w:rPr>
          <w:rFonts w:ascii="Arial" w:hAnsi="Arial"/>
          <w:sz w:val="22"/>
          <w:szCs w:val="22"/>
        </w:rPr>
        <w:t>1</w:t>
      </w:r>
      <w:r w:rsidRPr="002330FD">
        <w:rPr>
          <w:rFonts w:ascii="Arial" w:hAnsi="Arial"/>
          <w:sz w:val="22"/>
          <w:szCs w:val="22"/>
        </w:rPr>
        <w:t xml:space="preserve">). They undertake no annual migration, but disperse widely after breeding. No breeding colonies or nesting areas for the listed albatross species are located near the </w:t>
      </w:r>
      <w:r w:rsidR="00E35310" w:rsidRPr="002330FD">
        <w:rPr>
          <w:rFonts w:ascii="Arial" w:hAnsi="Arial"/>
          <w:sz w:val="22"/>
          <w:szCs w:val="22"/>
        </w:rPr>
        <w:t>proposed acquisition</w:t>
      </w:r>
      <w:r w:rsidRPr="002330FD">
        <w:rPr>
          <w:rFonts w:ascii="Arial" w:hAnsi="Arial"/>
          <w:sz w:val="22"/>
          <w:szCs w:val="22"/>
        </w:rPr>
        <w:t xml:space="preserve"> area or </w:t>
      </w:r>
      <w:r w:rsidR="00E35310" w:rsidRPr="002330FD">
        <w:rPr>
          <w:rFonts w:ascii="Arial" w:hAnsi="Arial"/>
          <w:sz w:val="22"/>
          <w:szCs w:val="22"/>
        </w:rPr>
        <w:t>E</w:t>
      </w:r>
      <w:r w:rsidRPr="002330FD">
        <w:rPr>
          <w:rFonts w:ascii="Arial" w:hAnsi="Arial"/>
          <w:sz w:val="22"/>
          <w:szCs w:val="22"/>
        </w:rPr>
        <w:t>MBA (DSEWPC, 201</w:t>
      </w:r>
      <w:r w:rsidR="001B1CC7" w:rsidRPr="002330FD">
        <w:rPr>
          <w:rFonts w:ascii="Arial" w:hAnsi="Arial"/>
          <w:sz w:val="22"/>
          <w:szCs w:val="22"/>
        </w:rPr>
        <w:t>1</w:t>
      </w:r>
      <w:r w:rsidRPr="002330FD">
        <w:rPr>
          <w:rFonts w:ascii="Arial" w:hAnsi="Arial"/>
          <w:sz w:val="22"/>
          <w:szCs w:val="22"/>
        </w:rPr>
        <w:t xml:space="preserve">). </w:t>
      </w:r>
    </w:p>
    <w:p w14:paraId="1B4FFD00" w14:textId="2E0BCE86" w:rsidR="00885EE5" w:rsidRPr="002330FD" w:rsidRDefault="00885EE5" w:rsidP="00885EE5">
      <w:pPr>
        <w:pStyle w:val="bodycopy"/>
        <w:rPr>
          <w:rFonts w:ascii="Arial" w:hAnsi="Arial"/>
          <w:sz w:val="22"/>
          <w:szCs w:val="22"/>
        </w:rPr>
      </w:pPr>
      <w:r w:rsidRPr="002330FD">
        <w:rPr>
          <w:rFonts w:ascii="Arial" w:hAnsi="Arial"/>
          <w:sz w:val="22"/>
          <w:szCs w:val="22"/>
        </w:rPr>
        <w:t>Four of the albatross species (wandering, black-browed, shy and grey-headed albatross) breed in or adjacent to the South-east marine Region on Macquarie Island (2,000 km southeast), Albatross Island (325 km southwest), Pedra Branca (620 km</w:t>
      </w:r>
      <w:r w:rsidR="009E2519" w:rsidRPr="002330FD">
        <w:rPr>
          <w:rFonts w:ascii="Arial" w:hAnsi="Arial"/>
          <w:sz w:val="22"/>
          <w:szCs w:val="22"/>
        </w:rPr>
        <w:t xml:space="preserve"> southwest</w:t>
      </w:r>
      <w:r w:rsidRPr="002330FD">
        <w:rPr>
          <w:rFonts w:ascii="Arial" w:hAnsi="Arial"/>
          <w:sz w:val="22"/>
          <w:szCs w:val="22"/>
        </w:rPr>
        <w:t>) and Mewstone Island (618 km south of the survey area) (Do</w:t>
      </w:r>
      <w:r w:rsidR="009E2519" w:rsidRPr="002330FD">
        <w:rPr>
          <w:rFonts w:ascii="Arial" w:hAnsi="Arial"/>
          <w:sz w:val="22"/>
          <w:szCs w:val="22"/>
        </w:rPr>
        <w:t>E</w:t>
      </w:r>
      <w:r w:rsidRPr="002330FD">
        <w:rPr>
          <w:rFonts w:ascii="Arial" w:hAnsi="Arial"/>
          <w:sz w:val="22"/>
          <w:szCs w:val="22"/>
        </w:rPr>
        <w:t>, 2015</w:t>
      </w:r>
      <w:r w:rsidR="00236D2C" w:rsidRPr="002330FD">
        <w:rPr>
          <w:rFonts w:ascii="Arial" w:hAnsi="Arial"/>
          <w:sz w:val="22"/>
          <w:szCs w:val="22"/>
        </w:rPr>
        <w:t>a</w:t>
      </w:r>
      <w:r w:rsidRPr="002330FD">
        <w:rPr>
          <w:rFonts w:ascii="Arial" w:hAnsi="Arial"/>
          <w:sz w:val="22"/>
          <w:szCs w:val="22"/>
        </w:rPr>
        <w:t>). These constitute critical habitat to the survival of albatross (DSEWPC, 2011) and represent a small portion of the global population for each species (DoE, 2015</w:t>
      </w:r>
      <w:r w:rsidR="00236D2C" w:rsidRPr="002330FD">
        <w:rPr>
          <w:rFonts w:ascii="Arial" w:hAnsi="Arial"/>
          <w:sz w:val="22"/>
          <w:szCs w:val="22"/>
        </w:rPr>
        <w:t>a</w:t>
      </w:r>
      <w:r w:rsidRPr="002330FD">
        <w:rPr>
          <w:rFonts w:ascii="Arial" w:hAnsi="Arial"/>
          <w:sz w:val="22"/>
          <w:szCs w:val="22"/>
        </w:rPr>
        <w:t xml:space="preserve">). These critical habitat areas are remote from the survey area and </w:t>
      </w:r>
      <w:r w:rsidR="009E2519" w:rsidRPr="002330FD">
        <w:rPr>
          <w:rFonts w:ascii="Arial" w:hAnsi="Arial"/>
          <w:sz w:val="22"/>
          <w:szCs w:val="22"/>
        </w:rPr>
        <w:t>E</w:t>
      </w:r>
      <w:r w:rsidRPr="002330FD">
        <w:rPr>
          <w:rFonts w:ascii="Arial" w:hAnsi="Arial"/>
          <w:sz w:val="22"/>
          <w:szCs w:val="22"/>
        </w:rPr>
        <w:t xml:space="preserve">MBA. </w:t>
      </w:r>
    </w:p>
    <w:p w14:paraId="66A9A0AB" w14:textId="03B3864E" w:rsidR="00885EE5" w:rsidRPr="002330FD" w:rsidRDefault="00885EE5" w:rsidP="00885EE5">
      <w:pPr>
        <w:pStyle w:val="bodycopy"/>
        <w:rPr>
          <w:rFonts w:ascii="Arial" w:hAnsi="Arial"/>
          <w:sz w:val="22"/>
          <w:szCs w:val="22"/>
        </w:rPr>
      </w:pPr>
      <w:r w:rsidRPr="002330FD">
        <w:rPr>
          <w:rFonts w:ascii="Arial" w:hAnsi="Arial"/>
          <w:sz w:val="22"/>
          <w:szCs w:val="22"/>
        </w:rPr>
        <w:t xml:space="preserve">The National Conservation Values Atlas (DoEE, 2016) indicates that BIAs for foraging exist within various parts of the </w:t>
      </w:r>
      <w:r w:rsidR="009E2519" w:rsidRPr="002330FD">
        <w:rPr>
          <w:rFonts w:ascii="Arial" w:hAnsi="Arial"/>
          <w:sz w:val="22"/>
          <w:szCs w:val="22"/>
        </w:rPr>
        <w:t>E</w:t>
      </w:r>
      <w:r w:rsidRPr="002330FD">
        <w:rPr>
          <w:rFonts w:ascii="Arial" w:hAnsi="Arial"/>
          <w:sz w:val="22"/>
          <w:szCs w:val="22"/>
        </w:rPr>
        <w:t xml:space="preserve">MBA for seven albatross species (see Table </w:t>
      </w:r>
      <w:r w:rsidR="009E2519" w:rsidRPr="002330FD">
        <w:rPr>
          <w:rFonts w:ascii="Arial" w:hAnsi="Arial"/>
          <w:sz w:val="22"/>
          <w:szCs w:val="22"/>
        </w:rPr>
        <w:t>5.1</w:t>
      </w:r>
      <w:r w:rsidR="00E63459" w:rsidRPr="002330FD">
        <w:rPr>
          <w:rFonts w:ascii="Arial" w:hAnsi="Arial"/>
          <w:sz w:val="22"/>
          <w:szCs w:val="22"/>
        </w:rPr>
        <w:t>1</w:t>
      </w:r>
      <w:r w:rsidRPr="002330FD">
        <w:rPr>
          <w:rFonts w:ascii="Arial" w:hAnsi="Arial"/>
          <w:sz w:val="22"/>
          <w:szCs w:val="22"/>
        </w:rPr>
        <w:t xml:space="preserve">), with foraging taking place throughout all of Bass Strait. </w:t>
      </w:r>
    </w:p>
    <w:p w14:paraId="0DF6BFDD" w14:textId="6A367C03" w:rsidR="00885EE5" w:rsidRPr="002330FD" w:rsidRDefault="00885EE5" w:rsidP="00885EE5">
      <w:pPr>
        <w:pStyle w:val="bodycopy"/>
        <w:rPr>
          <w:rFonts w:ascii="Arial" w:hAnsi="Arial"/>
          <w:sz w:val="22"/>
          <w:szCs w:val="22"/>
          <w:u w:val="single"/>
        </w:rPr>
      </w:pPr>
      <w:r w:rsidRPr="002330FD">
        <w:rPr>
          <w:rFonts w:ascii="Arial" w:hAnsi="Arial"/>
          <w:sz w:val="22"/>
          <w:szCs w:val="22"/>
          <w:u w:val="single"/>
        </w:rPr>
        <w:t>Petrels</w:t>
      </w:r>
      <w:r w:rsidR="009E2519" w:rsidRPr="002330FD">
        <w:rPr>
          <w:rFonts w:ascii="Arial" w:hAnsi="Arial"/>
          <w:sz w:val="22"/>
          <w:szCs w:val="22"/>
          <w:u w:val="single"/>
        </w:rPr>
        <w:t xml:space="preserve"> (</w:t>
      </w:r>
      <w:r w:rsidR="00215B4E" w:rsidRPr="002330FD">
        <w:rPr>
          <w:rFonts w:ascii="Arial" w:hAnsi="Arial"/>
          <w:sz w:val="22"/>
          <w:szCs w:val="22"/>
          <w:u w:val="single"/>
        </w:rPr>
        <w:t xml:space="preserve">EPBC Act: </w:t>
      </w:r>
      <w:r w:rsidR="009E2519" w:rsidRPr="002330FD">
        <w:rPr>
          <w:rFonts w:ascii="Arial" w:hAnsi="Arial"/>
          <w:sz w:val="22"/>
          <w:szCs w:val="22"/>
          <w:u w:val="single"/>
        </w:rPr>
        <w:t xml:space="preserve">Vulnerable and endangered, some </w:t>
      </w:r>
      <w:r w:rsidR="00215B4E" w:rsidRPr="002330FD">
        <w:rPr>
          <w:rFonts w:ascii="Arial" w:hAnsi="Arial"/>
          <w:sz w:val="22"/>
          <w:szCs w:val="22"/>
          <w:u w:val="single"/>
        </w:rPr>
        <w:t xml:space="preserve">listed </w:t>
      </w:r>
      <w:r w:rsidR="009E2519" w:rsidRPr="002330FD">
        <w:rPr>
          <w:rFonts w:ascii="Arial" w:hAnsi="Arial"/>
          <w:sz w:val="22"/>
          <w:szCs w:val="22"/>
          <w:u w:val="single"/>
        </w:rPr>
        <w:t>migratory</w:t>
      </w:r>
      <w:r w:rsidR="00215B4E" w:rsidRPr="002330FD">
        <w:rPr>
          <w:rFonts w:ascii="Arial" w:hAnsi="Arial"/>
          <w:sz w:val="22"/>
          <w:szCs w:val="22"/>
          <w:u w:val="single"/>
        </w:rPr>
        <w:t>, FFG Act: two listed as threatened</w:t>
      </w:r>
      <w:r w:rsidR="009E2519" w:rsidRPr="002330FD">
        <w:rPr>
          <w:rFonts w:ascii="Arial" w:hAnsi="Arial"/>
          <w:sz w:val="22"/>
          <w:szCs w:val="22"/>
          <w:u w:val="single"/>
        </w:rPr>
        <w:t>)</w:t>
      </w:r>
    </w:p>
    <w:p w14:paraId="4E2B3C1A" w14:textId="49046E92" w:rsidR="00885EE5" w:rsidRPr="00EB3AA9" w:rsidRDefault="00885EE5" w:rsidP="00D11B8D">
      <w:pPr>
        <w:pStyle w:val="bodycopy"/>
        <w:rPr>
          <w:rFonts w:ascii="Arial" w:hAnsi="Arial"/>
          <w:sz w:val="22"/>
          <w:szCs w:val="22"/>
        </w:rPr>
      </w:pPr>
      <w:r w:rsidRPr="002330FD">
        <w:rPr>
          <w:rFonts w:ascii="Arial" w:hAnsi="Arial"/>
          <w:sz w:val="22"/>
          <w:szCs w:val="22"/>
        </w:rPr>
        <w:t xml:space="preserve">The five petrel species listed in Table </w:t>
      </w:r>
      <w:r w:rsidR="009E2519" w:rsidRPr="002330FD">
        <w:rPr>
          <w:rFonts w:ascii="Arial" w:hAnsi="Arial"/>
          <w:sz w:val="22"/>
          <w:szCs w:val="22"/>
        </w:rPr>
        <w:t>5.1</w:t>
      </w:r>
      <w:r w:rsidR="00E63459" w:rsidRPr="002330FD">
        <w:rPr>
          <w:rFonts w:ascii="Arial" w:hAnsi="Arial"/>
          <w:sz w:val="22"/>
          <w:szCs w:val="22"/>
        </w:rPr>
        <w:t>1</w:t>
      </w:r>
      <w:r w:rsidRPr="00E63459">
        <w:rPr>
          <w:rFonts w:ascii="Arial" w:hAnsi="Arial"/>
          <w:color w:val="FF0000"/>
          <w:sz w:val="22"/>
          <w:szCs w:val="22"/>
        </w:rPr>
        <w:t xml:space="preserve"> </w:t>
      </w:r>
      <w:r w:rsidRPr="002949C0">
        <w:rPr>
          <w:rFonts w:ascii="Arial" w:hAnsi="Arial"/>
          <w:sz w:val="22"/>
          <w:szCs w:val="22"/>
        </w:rPr>
        <w:t xml:space="preserve">as potentially occurring within the </w:t>
      </w:r>
      <w:r w:rsidR="009E2519" w:rsidRPr="002949C0">
        <w:rPr>
          <w:rFonts w:ascii="Arial" w:hAnsi="Arial"/>
          <w:sz w:val="22"/>
          <w:szCs w:val="22"/>
        </w:rPr>
        <w:t>E</w:t>
      </w:r>
      <w:r w:rsidRPr="002949C0">
        <w:rPr>
          <w:rFonts w:ascii="Arial" w:hAnsi="Arial"/>
          <w:sz w:val="22"/>
          <w:szCs w:val="22"/>
        </w:rPr>
        <w:t>MBA are widely distributed throughout the southern hemisphere</w:t>
      </w:r>
      <w:r w:rsidR="009452F7">
        <w:rPr>
          <w:rFonts w:ascii="Arial" w:hAnsi="Arial"/>
          <w:sz w:val="22"/>
          <w:szCs w:val="22"/>
        </w:rPr>
        <w:t xml:space="preserve">. </w:t>
      </w:r>
      <w:r w:rsidRPr="002949C0">
        <w:rPr>
          <w:rFonts w:ascii="Arial" w:hAnsi="Arial"/>
          <w:sz w:val="22"/>
          <w:szCs w:val="22"/>
        </w:rPr>
        <w:t>They nest on isolated islands and breed on sub-Antarctic and Antarctic islands</w:t>
      </w:r>
      <w:r w:rsidRPr="00EB3AA9">
        <w:rPr>
          <w:rFonts w:ascii="Arial" w:hAnsi="Arial"/>
          <w:sz w:val="22"/>
          <w:szCs w:val="22"/>
        </w:rPr>
        <w:t>. The northern giant-petrel and southern giant-petrel share the same breeding areas listed for the albatross (DSEWPaC, 2011a). Outside the breeding season (October to February), petrels disperse widely and move north into sub-tropical waters (</w:t>
      </w:r>
      <w:r w:rsidR="00231971">
        <w:rPr>
          <w:rFonts w:ascii="Arial" w:hAnsi="Arial"/>
          <w:sz w:val="22"/>
          <w:szCs w:val="22"/>
        </w:rPr>
        <w:t>DoEE, 2017i</w:t>
      </w:r>
      <w:r w:rsidRPr="00EB3AA9">
        <w:rPr>
          <w:rFonts w:ascii="Arial" w:hAnsi="Arial"/>
          <w:sz w:val="22"/>
          <w:szCs w:val="22"/>
        </w:rPr>
        <w:t>). Most petrel species feed on krill, squid, fish, other small seabirds and marine mammals (</w:t>
      </w:r>
      <w:r w:rsidR="00231971">
        <w:rPr>
          <w:rFonts w:ascii="Arial" w:hAnsi="Arial"/>
          <w:sz w:val="22"/>
          <w:szCs w:val="22"/>
        </w:rPr>
        <w:t>DoEE, 2017i</w:t>
      </w:r>
      <w:r w:rsidRPr="00EB3AA9">
        <w:rPr>
          <w:rFonts w:ascii="Arial" w:hAnsi="Arial"/>
          <w:sz w:val="22"/>
          <w:szCs w:val="22"/>
        </w:rPr>
        <w:t xml:space="preserve">). No breeding colonies or nesting areas for the listed petrel species are located in or near the survey area or </w:t>
      </w:r>
      <w:r w:rsidR="00D90773" w:rsidRPr="00EB3AA9">
        <w:rPr>
          <w:rFonts w:ascii="Arial" w:hAnsi="Arial"/>
          <w:sz w:val="22"/>
          <w:szCs w:val="22"/>
        </w:rPr>
        <w:t>E</w:t>
      </w:r>
      <w:r w:rsidRPr="00EB3AA9">
        <w:rPr>
          <w:rFonts w:ascii="Arial" w:hAnsi="Arial"/>
          <w:sz w:val="22"/>
          <w:szCs w:val="22"/>
        </w:rPr>
        <w:t xml:space="preserve">MBA. </w:t>
      </w:r>
    </w:p>
    <w:p w14:paraId="6BADA1D6" w14:textId="77777777" w:rsidR="00885EE5" w:rsidRPr="00EB3AA9" w:rsidRDefault="00885EE5" w:rsidP="00D11B8D">
      <w:pPr>
        <w:pStyle w:val="bodycopy"/>
        <w:rPr>
          <w:rFonts w:ascii="Arial" w:hAnsi="Arial"/>
          <w:sz w:val="22"/>
          <w:szCs w:val="22"/>
        </w:rPr>
      </w:pPr>
      <w:r w:rsidRPr="00EB3AA9">
        <w:rPr>
          <w:rFonts w:ascii="Arial" w:hAnsi="Arial"/>
          <w:sz w:val="22"/>
          <w:szCs w:val="22"/>
        </w:rPr>
        <w:t>The DoE (2015) states that the blue petrel occurs in Australian waters between July and September, the northern giant petrel occurs from May to October, and the southern giant petrel occurs during all months (except February).</w:t>
      </w:r>
    </w:p>
    <w:p w14:paraId="7F267A43" w14:textId="77777777" w:rsidR="00885EE5" w:rsidRDefault="00885EE5" w:rsidP="00D11B8D">
      <w:pPr>
        <w:pStyle w:val="bodycopy"/>
        <w:rPr>
          <w:rFonts w:ascii="Arial" w:hAnsi="Arial"/>
          <w:sz w:val="22"/>
          <w:szCs w:val="22"/>
        </w:rPr>
      </w:pPr>
      <w:r w:rsidRPr="00EB3AA9">
        <w:rPr>
          <w:rFonts w:ascii="Arial" w:hAnsi="Arial"/>
          <w:sz w:val="22"/>
          <w:szCs w:val="22"/>
        </w:rPr>
        <w:t>The National Conservation Values Atlas (DoEE, 2016) indicates that there are no BIAs for the listed petrel species in or around Bass Strait, with the nearest being that of a foraging BIA for the southern giant petrel (</w:t>
      </w:r>
      <w:r w:rsidRPr="00EB3AA9">
        <w:rPr>
          <w:rFonts w:ascii="Arial" w:hAnsi="Arial"/>
          <w:i/>
          <w:sz w:val="22"/>
          <w:szCs w:val="22"/>
        </w:rPr>
        <w:t>Macronectes giganteus</w:t>
      </w:r>
      <w:r w:rsidRPr="00EB3AA9">
        <w:rPr>
          <w:rFonts w:ascii="Arial" w:hAnsi="Arial"/>
          <w:sz w:val="22"/>
          <w:szCs w:val="22"/>
        </w:rPr>
        <w:t xml:space="preserve">), which occurs off the southern NSW coast (outside the </w:t>
      </w:r>
      <w:r w:rsidR="00D90773" w:rsidRPr="00EB3AA9">
        <w:rPr>
          <w:rFonts w:ascii="Arial" w:hAnsi="Arial"/>
          <w:sz w:val="22"/>
          <w:szCs w:val="22"/>
        </w:rPr>
        <w:t>E</w:t>
      </w:r>
      <w:r w:rsidRPr="00EB3AA9">
        <w:rPr>
          <w:rFonts w:ascii="Arial" w:hAnsi="Arial"/>
          <w:sz w:val="22"/>
          <w:szCs w:val="22"/>
        </w:rPr>
        <w:t xml:space="preserve">MBA).  </w:t>
      </w:r>
    </w:p>
    <w:p w14:paraId="022D4F5C" w14:textId="77777777" w:rsidR="00885EE5" w:rsidRPr="00EB3AA9" w:rsidRDefault="00885EE5" w:rsidP="00885EE5">
      <w:pPr>
        <w:pStyle w:val="bodycopy"/>
        <w:rPr>
          <w:rFonts w:ascii="Arial" w:hAnsi="Arial"/>
          <w:sz w:val="22"/>
          <w:szCs w:val="22"/>
          <w:u w:val="single"/>
        </w:rPr>
      </w:pPr>
      <w:r w:rsidRPr="00EB3AA9">
        <w:rPr>
          <w:rFonts w:ascii="Arial" w:hAnsi="Arial"/>
          <w:sz w:val="22"/>
          <w:szCs w:val="22"/>
          <w:u w:val="single"/>
        </w:rPr>
        <w:lastRenderedPageBreak/>
        <w:t>Other seabirds</w:t>
      </w:r>
    </w:p>
    <w:p w14:paraId="1F4A2902" w14:textId="77777777" w:rsidR="00885EE5" w:rsidRPr="00EB3AA9" w:rsidRDefault="00885EE5" w:rsidP="00885EE5">
      <w:pPr>
        <w:pStyle w:val="bodycopy"/>
        <w:rPr>
          <w:rFonts w:ascii="Arial" w:hAnsi="Arial"/>
          <w:sz w:val="22"/>
          <w:szCs w:val="22"/>
        </w:rPr>
      </w:pPr>
      <w:r w:rsidRPr="00EB3AA9">
        <w:rPr>
          <w:rFonts w:ascii="Arial" w:hAnsi="Arial"/>
          <w:sz w:val="22"/>
          <w:szCs w:val="22"/>
        </w:rPr>
        <w:t xml:space="preserve">Other seabirds that may occur within the survey area and </w:t>
      </w:r>
      <w:r w:rsidR="0092441E" w:rsidRPr="00EB3AA9">
        <w:rPr>
          <w:rFonts w:ascii="Arial" w:hAnsi="Arial"/>
          <w:sz w:val="22"/>
          <w:szCs w:val="22"/>
        </w:rPr>
        <w:t>E</w:t>
      </w:r>
      <w:r w:rsidRPr="00EB3AA9">
        <w:rPr>
          <w:rFonts w:ascii="Arial" w:hAnsi="Arial"/>
          <w:sz w:val="22"/>
          <w:szCs w:val="22"/>
        </w:rPr>
        <w:t xml:space="preserve">MBA are described here. </w:t>
      </w:r>
    </w:p>
    <w:p w14:paraId="7B13E820" w14:textId="41B4B682" w:rsidR="00885EE5" w:rsidRPr="00EB3AA9" w:rsidRDefault="00885EE5" w:rsidP="002E4E3A">
      <w:pPr>
        <w:pStyle w:val="bodycopy"/>
        <w:numPr>
          <w:ilvl w:val="0"/>
          <w:numId w:val="32"/>
        </w:numPr>
        <w:rPr>
          <w:rFonts w:ascii="Arial" w:hAnsi="Arial"/>
          <w:sz w:val="22"/>
          <w:szCs w:val="22"/>
        </w:rPr>
      </w:pPr>
      <w:r w:rsidRPr="00EB3AA9">
        <w:rPr>
          <w:rFonts w:ascii="Arial" w:hAnsi="Arial"/>
          <w:sz w:val="22"/>
          <w:szCs w:val="22"/>
        </w:rPr>
        <w:t xml:space="preserve">The </w:t>
      </w:r>
      <w:r w:rsidRPr="00EB3AA9">
        <w:rPr>
          <w:rFonts w:ascii="Arial" w:hAnsi="Arial"/>
          <w:b/>
          <w:sz w:val="22"/>
          <w:szCs w:val="22"/>
        </w:rPr>
        <w:t>fork-tailed swift</w:t>
      </w:r>
      <w:r w:rsidRPr="00EB3AA9">
        <w:rPr>
          <w:rFonts w:ascii="Arial" w:hAnsi="Arial"/>
          <w:sz w:val="22"/>
          <w:szCs w:val="22"/>
        </w:rPr>
        <w:t xml:space="preserve"> (</w:t>
      </w:r>
      <w:r w:rsidRPr="00EB3AA9">
        <w:rPr>
          <w:rFonts w:ascii="Arial" w:hAnsi="Arial"/>
          <w:i/>
          <w:sz w:val="22"/>
          <w:szCs w:val="22"/>
        </w:rPr>
        <w:t>Apus pacificus</w:t>
      </w:r>
      <w:r w:rsidRPr="00EB3AA9">
        <w:rPr>
          <w:rFonts w:ascii="Arial" w:hAnsi="Arial"/>
          <w:sz w:val="22"/>
          <w:szCs w:val="22"/>
        </w:rPr>
        <w:t>) is a medium-sized bird has a large global distribution and population, and occurs throughout much of Australia. In Victoria, it is widespread but sparsely scattered, and occurs over cliffs, beaches and sometimes well out to sea (DoEE, 201</w:t>
      </w:r>
      <w:r w:rsidR="00E276DD" w:rsidRPr="00EB3AA9">
        <w:rPr>
          <w:rFonts w:ascii="Arial" w:hAnsi="Arial"/>
          <w:sz w:val="22"/>
          <w:szCs w:val="22"/>
        </w:rPr>
        <w:t>7</w:t>
      </w:r>
      <w:r w:rsidR="00FF5C39">
        <w:rPr>
          <w:rFonts w:ascii="Arial" w:hAnsi="Arial"/>
          <w:sz w:val="22"/>
          <w:szCs w:val="22"/>
        </w:rPr>
        <w:t>i</w:t>
      </w:r>
      <w:r w:rsidRPr="00EB3AA9">
        <w:rPr>
          <w:rFonts w:ascii="Arial" w:hAnsi="Arial"/>
          <w:sz w:val="22"/>
          <w:szCs w:val="22"/>
        </w:rPr>
        <w:t>). This species is almost exclusively aerial, feeding on insects in flight (DoEE, 201</w:t>
      </w:r>
      <w:r w:rsidR="00E276DD" w:rsidRPr="00EB3AA9">
        <w:rPr>
          <w:rFonts w:ascii="Arial" w:hAnsi="Arial"/>
          <w:sz w:val="22"/>
          <w:szCs w:val="22"/>
        </w:rPr>
        <w:t>7</w:t>
      </w:r>
      <w:r w:rsidR="00FF5C39">
        <w:rPr>
          <w:rFonts w:ascii="Arial" w:hAnsi="Arial"/>
          <w:sz w:val="22"/>
          <w:szCs w:val="22"/>
        </w:rPr>
        <w:t>i</w:t>
      </w:r>
      <w:r w:rsidRPr="00EB3AA9">
        <w:rPr>
          <w:rFonts w:ascii="Arial" w:hAnsi="Arial"/>
          <w:sz w:val="22"/>
          <w:szCs w:val="22"/>
        </w:rPr>
        <w:t>). AS a migratory species, it arrives in Australia from September to October, leaving southern Australia from mid-April (DoEE, 201</w:t>
      </w:r>
      <w:r w:rsidR="00E276DD" w:rsidRPr="00EB3AA9">
        <w:rPr>
          <w:rFonts w:ascii="Arial" w:hAnsi="Arial"/>
          <w:sz w:val="22"/>
          <w:szCs w:val="22"/>
        </w:rPr>
        <w:t>7</w:t>
      </w:r>
      <w:r w:rsidR="00FF5C39">
        <w:rPr>
          <w:rFonts w:ascii="Arial" w:hAnsi="Arial"/>
          <w:sz w:val="22"/>
          <w:szCs w:val="22"/>
        </w:rPr>
        <w:t>i</w:t>
      </w:r>
      <w:r w:rsidRPr="00EB3AA9">
        <w:rPr>
          <w:rFonts w:ascii="Arial" w:hAnsi="Arial"/>
          <w:sz w:val="22"/>
          <w:szCs w:val="22"/>
        </w:rPr>
        <w:t xml:space="preserve">). As a common species, the fork-tailed swift may occur in the survey area and </w:t>
      </w:r>
      <w:r w:rsidR="005320D7">
        <w:rPr>
          <w:rFonts w:ascii="Arial" w:hAnsi="Arial"/>
          <w:sz w:val="22"/>
          <w:szCs w:val="22"/>
        </w:rPr>
        <w:t>E</w:t>
      </w:r>
      <w:r w:rsidRPr="00EB3AA9">
        <w:rPr>
          <w:rFonts w:ascii="Arial" w:hAnsi="Arial"/>
          <w:sz w:val="22"/>
          <w:szCs w:val="22"/>
        </w:rPr>
        <w:t xml:space="preserve">MBA from September to April. </w:t>
      </w:r>
    </w:p>
    <w:p w14:paraId="45BCFF86" w14:textId="77777777" w:rsidR="00885EE5" w:rsidRPr="00EB3AA9" w:rsidRDefault="00885EE5" w:rsidP="002E4E3A">
      <w:pPr>
        <w:pStyle w:val="bodycopy"/>
        <w:numPr>
          <w:ilvl w:val="0"/>
          <w:numId w:val="32"/>
        </w:numPr>
        <w:rPr>
          <w:rFonts w:ascii="Arial" w:hAnsi="Arial"/>
          <w:sz w:val="22"/>
          <w:szCs w:val="22"/>
        </w:rPr>
      </w:pPr>
      <w:r w:rsidRPr="00EB3AA9">
        <w:rPr>
          <w:rFonts w:ascii="Arial" w:hAnsi="Arial"/>
          <w:sz w:val="22"/>
          <w:szCs w:val="22"/>
        </w:rPr>
        <w:t xml:space="preserve">The </w:t>
      </w:r>
      <w:r w:rsidRPr="00EB3AA9">
        <w:rPr>
          <w:rFonts w:ascii="Arial" w:hAnsi="Arial"/>
          <w:b/>
          <w:sz w:val="22"/>
          <w:szCs w:val="22"/>
        </w:rPr>
        <w:t>great skua</w:t>
      </w:r>
      <w:r w:rsidRPr="00EB3AA9">
        <w:rPr>
          <w:rFonts w:ascii="Arial" w:hAnsi="Arial"/>
          <w:sz w:val="22"/>
          <w:szCs w:val="22"/>
        </w:rPr>
        <w:t xml:space="preserve"> (</w:t>
      </w:r>
      <w:r w:rsidRPr="00EB3AA9">
        <w:rPr>
          <w:rFonts w:ascii="Arial" w:hAnsi="Arial"/>
          <w:i/>
          <w:sz w:val="22"/>
          <w:szCs w:val="22"/>
        </w:rPr>
        <w:t>Catharacta skua</w:t>
      </w:r>
      <w:r w:rsidRPr="00EB3AA9">
        <w:rPr>
          <w:rFonts w:ascii="Arial" w:hAnsi="Arial"/>
          <w:sz w:val="22"/>
          <w:szCs w:val="22"/>
        </w:rPr>
        <w:t>) is a large migratory seabird distributed throughout all southern Australian waters (though not listed as migratory under the EPBC Act). This species breeds in s</w:t>
      </w:r>
      <w:r w:rsidR="00AB5678" w:rsidRPr="00EB3AA9">
        <w:rPr>
          <w:rFonts w:ascii="Arial" w:hAnsi="Arial"/>
          <w:sz w:val="22"/>
          <w:szCs w:val="22"/>
        </w:rPr>
        <w:t>u</w:t>
      </w:r>
      <w:r w:rsidRPr="00EB3AA9">
        <w:rPr>
          <w:rFonts w:ascii="Arial" w:hAnsi="Arial"/>
          <w:sz w:val="22"/>
          <w:szCs w:val="22"/>
        </w:rPr>
        <w:t>mmer on nested elevated grasslands or sheltered rocky areas on sub-Antartic islands, with most adult birds leaving their colonies in winter. Great skuas feed on other sea</w:t>
      </w:r>
      <w:r w:rsidR="00AB5678" w:rsidRPr="00EB3AA9">
        <w:rPr>
          <w:rFonts w:ascii="Arial" w:hAnsi="Arial"/>
          <w:sz w:val="22"/>
          <w:szCs w:val="22"/>
        </w:rPr>
        <w:t>birds, fish, molluscs and crust</w:t>
      </w:r>
      <w:r w:rsidRPr="00EB3AA9">
        <w:rPr>
          <w:rFonts w:ascii="Arial" w:hAnsi="Arial"/>
          <w:sz w:val="22"/>
          <w:szCs w:val="22"/>
        </w:rPr>
        <w:t xml:space="preserve">aceans, and may be present in the </w:t>
      </w:r>
      <w:r w:rsidR="0093320B" w:rsidRPr="00EB3AA9">
        <w:rPr>
          <w:rFonts w:ascii="Arial" w:hAnsi="Arial"/>
          <w:sz w:val="22"/>
          <w:szCs w:val="22"/>
        </w:rPr>
        <w:t>E</w:t>
      </w:r>
      <w:r w:rsidRPr="00EB3AA9">
        <w:rPr>
          <w:rFonts w:ascii="Arial" w:hAnsi="Arial"/>
          <w:sz w:val="22"/>
          <w:szCs w:val="22"/>
        </w:rPr>
        <w:t xml:space="preserve">MBA (though scarce) during winter (Flegg, 2002). </w:t>
      </w:r>
    </w:p>
    <w:p w14:paraId="7EA380BB" w14:textId="7CEDCDB6" w:rsidR="00703828" w:rsidRPr="00EB3AA9" w:rsidRDefault="00703828" w:rsidP="002E4E3A">
      <w:pPr>
        <w:pStyle w:val="bodycopy"/>
        <w:numPr>
          <w:ilvl w:val="0"/>
          <w:numId w:val="32"/>
        </w:numPr>
        <w:rPr>
          <w:rFonts w:ascii="Arial" w:hAnsi="Arial"/>
          <w:sz w:val="22"/>
          <w:szCs w:val="22"/>
        </w:rPr>
      </w:pPr>
      <w:r w:rsidRPr="00EB3AA9">
        <w:rPr>
          <w:rFonts w:ascii="Arial" w:hAnsi="Arial"/>
          <w:sz w:val="22"/>
          <w:szCs w:val="22"/>
        </w:rPr>
        <w:t xml:space="preserve">The </w:t>
      </w:r>
      <w:r w:rsidRPr="00EB3AA9">
        <w:rPr>
          <w:rFonts w:ascii="Arial" w:hAnsi="Arial"/>
          <w:b/>
          <w:sz w:val="22"/>
          <w:szCs w:val="22"/>
        </w:rPr>
        <w:t>southern fairy prion</w:t>
      </w:r>
      <w:r w:rsidRPr="00EB3AA9">
        <w:rPr>
          <w:rFonts w:ascii="Arial" w:hAnsi="Arial"/>
          <w:sz w:val="22"/>
          <w:szCs w:val="22"/>
        </w:rPr>
        <w:t xml:space="preserve"> (</w:t>
      </w:r>
      <w:r w:rsidRPr="00EB3AA9">
        <w:rPr>
          <w:rFonts w:ascii="Arial" w:hAnsi="Arial"/>
          <w:i/>
          <w:sz w:val="22"/>
          <w:szCs w:val="22"/>
        </w:rPr>
        <w:t>Pachyptila turtur subantarctica</w:t>
      </w:r>
      <w:r w:rsidRPr="00EB3AA9">
        <w:rPr>
          <w:rFonts w:ascii="Arial" w:hAnsi="Arial"/>
          <w:sz w:val="22"/>
          <w:szCs w:val="22"/>
        </w:rPr>
        <w:t>) is mainly found offshore. The species diet is comprised mostly of crustaceans (especially krill), but occasionally includes some fish and squid. It feeds mainly by surface-seizing and dipping, but can also catch prey by surface-plunging or pattering (DoE</w:t>
      </w:r>
      <w:r w:rsidR="00492DCF">
        <w:rPr>
          <w:rFonts w:ascii="Arial" w:hAnsi="Arial"/>
          <w:sz w:val="22"/>
          <w:szCs w:val="22"/>
        </w:rPr>
        <w:t>E</w:t>
      </w:r>
      <w:r w:rsidRPr="00EB3AA9">
        <w:rPr>
          <w:rFonts w:ascii="Arial" w:hAnsi="Arial"/>
          <w:sz w:val="22"/>
          <w:szCs w:val="22"/>
        </w:rPr>
        <w:t>, 201</w:t>
      </w:r>
      <w:r w:rsidR="00492DCF">
        <w:rPr>
          <w:rFonts w:ascii="Arial" w:hAnsi="Arial"/>
          <w:sz w:val="22"/>
          <w:szCs w:val="22"/>
        </w:rPr>
        <w:t>7i</w:t>
      </w:r>
      <w:r w:rsidRPr="00EB3AA9">
        <w:rPr>
          <w:rFonts w:ascii="Arial" w:hAnsi="Arial"/>
          <w:sz w:val="22"/>
          <w:szCs w:val="22"/>
        </w:rPr>
        <w:t xml:space="preserve">). In Australia, it is known to breed only on Macquarie </w:t>
      </w:r>
      <w:r w:rsidR="0024646C">
        <w:rPr>
          <w:rFonts w:ascii="Arial" w:hAnsi="Arial"/>
          <w:sz w:val="22"/>
          <w:szCs w:val="22"/>
        </w:rPr>
        <w:t xml:space="preserve">Island </w:t>
      </w:r>
      <w:r w:rsidRPr="00EB3AA9">
        <w:rPr>
          <w:rFonts w:ascii="Arial" w:hAnsi="Arial"/>
          <w:sz w:val="22"/>
          <w:szCs w:val="22"/>
        </w:rPr>
        <w:t xml:space="preserve">(2,000 km southeast of the </w:t>
      </w:r>
      <w:r w:rsidR="00043098">
        <w:rPr>
          <w:rFonts w:ascii="Arial" w:hAnsi="Arial"/>
          <w:sz w:val="22"/>
          <w:szCs w:val="22"/>
        </w:rPr>
        <w:t>proposed acquisition</w:t>
      </w:r>
      <w:r w:rsidRPr="00EB3AA9">
        <w:rPr>
          <w:rFonts w:ascii="Arial" w:hAnsi="Arial"/>
          <w:sz w:val="22"/>
          <w:szCs w:val="22"/>
        </w:rPr>
        <w:t xml:space="preserve"> area), </w:t>
      </w:r>
      <w:r w:rsidR="005C0C50" w:rsidRPr="00EB3AA9">
        <w:rPr>
          <w:rFonts w:ascii="Arial" w:hAnsi="Arial"/>
          <w:sz w:val="22"/>
          <w:szCs w:val="22"/>
        </w:rPr>
        <w:t xml:space="preserve">and on </w:t>
      </w:r>
      <w:r w:rsidR="00273118" w:rsidRPr="00EB3AA9">
        <w:rPr>
          <w:rFonts w:ascii="Arial" w:hAnsi="Arial"/>
          <w:sz w:val="22"/>
          <w:szCs w:val="22"/>
        </w:rPr>
        <w:t xml:space="preserve">the nearby </w:t>
      </w:r>
      <w:r w:rsidRPr="00EB3AA9">
        <w:rPr>
          <w:rFonts w:ascii="Arial" w:hAnsi="Arial"/>
          <w:sz w:val="22"/>
          <w:szCs w:val="22"/>
        </w:rPr>
        <w:t>Bishop and Clerk islands (DoE</w:t>
      </w:r>
      <w:r w:rsidR="00492DCF">
        <w:rPr>
          <w:rFonts w:ascii="Arial" w:hAnsi="Arial"/>
          <w:sz w:val="22"/>
          <w:szCs w:val="22"/>
        </w:rPr>
        <w:t>E</w:t>
      </w:r>
      <w:r w:rsidRPr="00EB3AA9">
        <w:rPr>
          <w:rFonts w:ascii="Arial" w:hAnsi="Arial"/>
          <w:sz w:val="22"/>
          <w:szCs w:val="22"/>
        </w:rPr>
        <w:t>, 201</w:t>
      </w:r>
      <w:r w:rsidR="00492DCF">
        <w:rPr>
          <w:rFonts w:ascii="Arial" w:hAnsi="Arial"/>
          <w:sz w:val="22"/>
          <w:szCs w:val="22"/>
        </w:rPr>
        <w:t>7i</w:t>
      </w:r>
      <w:r w:rsidRPr="00EB3AA9">
        <w:rPr>
          <w:rFonts w:ascii="Arial" w:hAnsi="Arial"/>
          <w:sz w:val="22"/>
          <w:szCs w:val="22"/>
        </w:rPr>
        <w:t>).</w:t>
      </w:r>
      <w:r w:rsidR="0024646C">
        <w:rPr>
          <w:rFonts w:ascii="Arial" w:hAnsi="Arial"/>
          <w:sz w:val="22"/>
          <w:szCs w:val="22"/>
        </w:rPr>
        <w:t xml:space="preserve"> The three other prion species listed in the VBA for the EMBA are not listed as threatened. </w:t>
      </w:r>
    </w:p>
    <w:p w14:paraId="618E89F5" w14:textId="0C4815A9" w:rsidR="00AB5678" w:rsidRPr="00EB3AA9" w:rsidRDefault="00AB5678" w:rsidP="002E4E3A">
      <w:pPr>
        <w:pStyle w:val="bodycopy"/>
        <w:numPr>
          <w:ilvl w:val="0"/>
          <w:numId w:val="32"/>
        </w:numPr>
        <w:rPr>
          <w:rFonts w:ascii="Arial" w:hAnsi="Arial"/>
          <w:sz w:val="22"/>
          <w:szCs w:val="22"/>
        </w:rPr>
      </w:pPr>
      <w:r w:rsidRPr="00EB3AA9">
        <w:rPr>
          <w:rFonts w:ascii="Arial" w:hAnsi="Arial"/>
          <w:sz w:val="22"/>
          <w:szCs w:val="22"/>
        </w:rPr>
        <w:t xml:space="preserve">The </w:t>
      </w:r>
      <w:r w:rsidRPr="00EB3AA9">
        <w:rPr>
          <w:rFonts w:ascii="Arial" w:hAnsi="Arial"/>
          <w:b/>
          <w:sz w:val="22"/>
          <w:szCs w:val="22"/>
        </w:rPr>
        <w:t>white-bellied sea eagle</w:t>
      </w:r>
      <w:r w:rsidRPr="00EB3AA9">
        <w:rPr>
          <w:rFonts w:ascii="Arial" w:hAnsi="Arial"/>
          <w:sz w:val="22"/>
          <w:szCs w:val="22"/>
        </w:rPr>
        <w:t xml:space="preserve"> (</w:t>
      </w:r>
      <w:r w:rsidRPr="00EB3AA9">
        <w:rPr>
          <w:rFonts w:ascii="Arial" w:hAnsi="Arial"/>
          <w:i/>
          <w:sz w:val="22"/>
          <w:szCs w:val="22"/>
        </w:rPr>
        <w:t>Haliaeetus leucogaster</w:t>
      </w:r>
      <w:r w:rsidRPr="00EB3AA9">
        <w:rPr>
          <w:rFonts w:ascii="Arial" w:hAnsi="Arial"/>
          <w:sz w:val="22"/>
          <w:szCs w:val="22"/>
        </w:rPr>
        <w:t>) is distributed along the coastline in coastal lowlands with breeding from Queensland to Victoria in coastal habitats and terrestrial wetlands in temperate regions. The breeding season is from June to January with nests built in tall trees, bushes, cliffs or rock outcrops. Breeding pairs are generally widely dispersed (DoEE, 2017</w:t>
      </w:r>
      <w:r w:rsidR="00FF5C39">
        <w:rPr>
          <w:rFonts w:ascii="Arial" w:hAnsi="Arial"/>
          <w:sz w:val="22"/>
          <w:szCs w:val="22"/>
        </w:rPr>
        <w:t>i</w:t>
      </w:r>
      <w:r w:rsidRPr="00EB3AA9">
        <w:rPr>
          <w:rFonts w:ascii="Arial" w:hAnsi="Arial"/>
          <w:sz w:val="22"/>
          <w:szCs w:val="22"/>
        </w:rPr>
        <w:t>). The species forages over open water (coastal and terrestrial) and feeds on fish, birds, reptiles, mammals and crustaceans and normally launches into a glide to snatch its prey, usually with one foot, from the ground or water surface. The species is widespread and makes long-distance movements (DoEE, 2017</w:t>
      </w:r>
      <w:r w:rsidR="00FF5C39">
        <w:rPr>
          <w:rFonts w:ascii="Arial" w:hAnsi="Arial"/>
          <w:sz w:val="22"/>
          <w:szCs w:val="22"/>
        </w:rPr>
        <w:t>i</w:t>
      </w:r>
      <w:r w:rsidRPr="00EB3AA9">
        <w:rPr>
          <w:rFonts w:ascii="Arial" w:hAnsi="Arial"/>
          <w:sz w:val="22"/>
          <w:szCs w:val="22"/>
        </w:rPr>
        <w:t>). This species may be present along the coastline during the survey period.</w:t>
      </w:r>
    </w:p>
    <w:p w14:paraId="344F57F1" w14:textId="35147ABE" w:rsidR="0092441E" w:rsidRPr="00EB3AA9" w:rsidRDefault="0092441E" w:rsidP="00AE43A0">
      <w:pPr>
        <w:pStyle w:val="bodycopy"/>
        <w:numPr>
          <w:ilvl w:val="0"/>
          <w:numId w:val="32"/>
        </w:numPr>
        <w:rPr>
          <w:rFonts w:ascii="Arial" w:hAnsi="Arial"/>
          <w:sz w:val="22"/>
          <w:szCs w:val="22"/>
        </w:rPr>
      </w:pPr>
      <w:r w:rsidRPr="00EB3AA9">
        <w:rPr>
          <w:rFonts w:ascii="Arial" w:hAnsi="Arial"/>
          <w:sz w:val="22"/>
          <w:szCs w:val="22"/>
        </w:rPr>
        <w:t xml:space="preserve">The </w:t>
      </w:r>
      <w:r w:rsidRPr="00EB3AA9">
        <w:rPr>
          <w:rFonts w:ascii="Arial" w:hAnsi="Arial"/>
          <w:b/>
          <w:sz w:val="22"/>
          <w:szCs w:val="22"/>
        </w:rPr>
        <w:t>osprey</w:t>
      </w:r>
      <w:r w:rsidRPr="00EB3AA9">
        <w:rPr>
          <w:rFonts w:ascii="Arial" w:hAnsi="Arial"/>
          <w:sz w:val="22"/>
          <w:szCs w:val="22"/>
        </w:rPr>
        <w:t xml:space="preserve"> (</w:t>
      </w:r>
      <w:r w:rsidRPr="00EB3AA9">
        <w:rPr>
          <w:rFonts w:ascii="Arial" w:hAnsi="Arial"/>
          <w:i/>
          <w:sz w:val="22"/>
          <w:szCs w:val="22"/>
        </w:rPr>
        <w:t>Pandion haliaetus</w:t>
      </w:r>
      <w:r w:rsidR="00D65023" w:rsidRPr="00EB3AA9">
        <w:rPr>
          <w:rFonts w:ascii="Arial" w:hAnsi="Arial"/>
          <w:sz w:val="22"/>
          <w:szCs w:val="22"/>
        </w:rPr>
        <w:t xml:space="preserve">) is a </w:t>
      </w:r>
      <w:r w:rsidR="001B105B" w:rsidRPr="00EB3AA9">
        <w:rPr>
          <w:rFonts w:ascii="Arial" w:hAnsi="Arial"/>
          <w:sz w:val="22"/>
          <w:szCs w:val="22"/>
        </w:rPr>
        <w:t xml:space="preserve">common, </w:t>
      </w:r>
      <w:r w:rsidR="00D65023" w:rsidRPr="00EB3AA9">
        <w:rPr>
          <w:rFonts w:ascii="Arial" w:hAnsi="Arial"/>
          <w:sz w:val="22"/>
          <w:szCs w:val="22"/>
        </w:rPr>
        <w:t>medium-sized raptor that is present around the entire Australian coastline</w:t>
      </w:r>
      <w:r w:rsidR="001B105B" w:rsidRPr="00EB3AA9">
        <w:rPr>
          <w:rFonts w:ascii="Arial" w:hAnsi="Arial"/>
          <w:sz w:val="22"/>
          <w:szCs w:val="22"/>
        </w:rPr>
        <w:t>, with the breeding range restricted to the north coast of Australia (including many offshore islands) and an isolated breeding population in South Australia (DoEE, 2017</w:t>
      </w:r>
      <w:r w:rsidR="00492DCF">
        <w:rPr>
          <w:rFonts w:ascii="Arial" w:hAnsi="Arial"/>
          <w:sz w:val="22"/>
          <w:szCs w:val="22"/>
        </w:rPr>
        <w:t>i</w:t>
      </w:r>
      <w:r w:rsidR="001B105B" w:rsidRPr="00EB3AA9">
        <w:rPr>
          <w:rFonts w:ascii="Arial" w:hAnsi="Arial"/>
          <w:sz w:val="22"/>
          <w:szCs w:val="22"/>
        </w:rPr>
        <w:t>)</w:t>
      </w:r>
      <w:r w:rsidR="00D65023" w:rsidRPr="00EB3AA9">
        <w:rPr>
          <w:rFonts w:ascii="Arial" w:hAnsi="Arial"/>
          <w:sz w:val="22"/>
          <w:szCs w:val="22"/>
        </w:rPr>
        <w:t xml:space="preserve">. </w:t>
      </w:r>
      <w:r w:rsidR="00AB09D1" w:rsidRPr="00EB3AA9">
        <w:rPr>
          <w:rFonts w:ascii="Arial" w:hAnsi="Arial"/>
          <w:sz w:val="22"/>
          <w:szCs w:val="22"/>
        </w:rPr>
        <w:t xml:space="preserve">Breeding occurs from April to February. </w:t>
      </w:r>
      <w:r w:rsidR="00043098" w:rsidRPr="00EB3AA9">
        <w:rPr>
          <w:rFonts w:ascii="Arial" w:hAnsi="Arial"/>
          <w:sz w:val="22"/>
          <w:szCs w:val="22"/>
        </w:rPr>
        <w:t>Osprey</w:t>
      </w:r>
      <w:r w:rsidR="00043098">
        <w:rPr>
          <w:rFonts w:ascii="Arial" w:hAnsi="Arial"/>
          <w:sz w:val="22"/>
          <w:szCs w:val="22"/>
        </w:rPr>
        <w:t>s occur</w:t>
      </w:r>
      <w:r w:rsidR="001B105B" w:rsidRPr="00EB3AA9">
        <w:rPr>
          <w:rFonts w:ascii="Arial" w:hAnsi="Arial"/>
          <w:sz w:val="22"/>
          <w:szCs w:val="22"/>
        </w:rPr>
        <w:t xml:space="preserve"> mostly in coastal areas but occasionally travel inland along waterways</w:t>
      </w:r>
      <w:r w:rsidR="00AE09F0" w:rsidRPr="00EB3AA9">
        <w:rPr>
          <w:rFonts w:ascii="Arial" w:hAnsi="Arial"/>
          <w:sz w:val="22"/>
          <w:szCs w:val="22"/>
        </w:rPr>
        <w:t>, where they feed on fish, molluscs, crustaceans, reptiles, birds and mammals. They are mostly resident or sedentary around breeding territories, and forage more widely and make intermittent visits to their breeding grounds in the non-breeding season (DoEE, 2017</w:t>
      </w:r>
      <w:r w:rsidR="00FF5C39">
        <w:rPr>
          <w:rFonts w:ascii="Arial" w:hAnsi="Arial"/>
          <w:sz w:val="22"/>
          <w:szCs w:val="22"/>
        </w:rPr>
        <w:t>i</w:t>
      </w:r>
      <w:r w:rsidR="00AE09F0" w:rsidRPr="00EB3AA9">
        <w:rPr>
          <w:rFonts w:ascii="Arial" w:hAnsi="Arial"/>
          <w:sz w:val="22"/>
          <w:szCs w:val="22"/>
        </w:rPr>
        <w:t xml:space="preserve">). Due to their broad habitat, osprey may be present in the EMBA. </w:t>
      </w:r>
    </w:p>
    <w:p w14:paraId="62ED8D85" w14:textId="234B40CF" w:rsidR="00AB5678" w:rsidRDefault="00AB5678" w:rsidP="00885EE5">
      <w:pPr>
        <w:pStyle w:val="bodycopy"/>
        <w:rPr>
          <w:rFonts w:ascii="Arial" w:hAnsi="Arial"/>
          <w:sz w:val="22"/>
          <w:szCs w:val="22"/>
        </w:rPr>
      </w:pPr>
      <w:r w:rsidRPr="00EB3AA9">
        <w:rPr>
          <w:rFonts w:ascii="Arial" w:hAnsi="Arial"/>
          <w:sz w:val="22"/>
          <w:szCs w:val="22"/>
        </w:rPr>
        <w:t xml:space="preserve">The </w:t>
      </w:r>
      <w:r w:rsidRPr="00EB3AA9">
        <w:rPr>
          <w:rFonts w:ascii="Arial" w:hAnsi="Arial"/>
          <w:b/>
          <w:sz w:val="22"/>
          <w:szCs w:val="22"/>
        </w:rPr>
        <w:t>flesh-footed shearwater</w:t>
      </w:r>
      <w:r w:rsidRPr="00EB3AA9">
        <w:rPr>
          <w:rFonts w:ascii="Arial" w:hAnsi="Arial"/>
          <w:sz w:val="22"/>
          <w:szCs w:val="22"/>
        </w:rPr>
        <w:t xml:space="preserve"> (</w:t>
      </w:r>
      <w:r w:rsidRPr="00EB3AA9">
        <w:rPr>
          <w:rFonts w:ascii="Arial" w:hAnsi="Arial"/>
          <w:i/>
          <w:sz w:val="22"/>
          <w:szCs w:val="22"/>
        </w:rPr>
        <w:t>Puffinus carneipes</w:t>
      </w:r>
      <w:r w:rsidRPr="00EB3AA9">
        <w:rPr>
          <w:rFonts w:ascii="Arial" w:hAnsi="Arial"/>
          <w:sz w:val="22"/>
          <w:szCs w:val="22"/>
        </w:rPr>
        <w:t>) is a trans-equatorial migrant widely distributed across the south-western Pacific during breeding season (early September to early May) and is a common vis</w:t>
      </w:r>
      <w:r w:rsidR="00D11B8D" w:rsidRPr="00EB3AA9">
        <w:rPr>
          <w:rFonts w:ascii="Arial" w:hAnsi="Arial"/>
          <w:sz w:val="22"/>
          <w:szCs w:val="22"/>
        </w:rPr>
        <w:t>i</w:t>
      </w:r>
      <w:r w:rsidRPr="00EB3AA9">
        <w:rPr>
          <w:rFonts w:ascii="Arial" w:hAnsi="Arial"/>
          <w:sz w:val="22"/>
          <w:szCs w:val="22"/>
        </w:rPr>
        <w:t>tor to the waters of the continental shelf/slope and occasionally inshore waters. The species breeds</w:t>
      </w:r>
      <w:r w:rsidR="00D11B8D" w:rsidRPr="00EB3AA9">
        <w:rPr>
          <w:rFonts w:ascii="Arial" w:hAnsi="Arial"/>
          <w:sz w:val="22"/>
          <w:szCs w:val="22"/>
        </w:rPr>
        <w:t xml:space="preserve"> in burrows on </w:t>
      </w:r>
      <w:r w:rsidR="00D11B8D" w:rsidRPr="00EB3AA9">
        <w:rPr>
          <w:rFonts w:ascii="Arial" w:hAnsi="Arial"/>
          <w:sz w:val="22"/>
          <w:szCs w:val="22"/>
        </w:rPr>
        <w:lastRenderedPageBreak/>
        <w:t>sloping ground in</w:t>
      </w:r>
      <w:r w:rsidRPr="00EB3AA9">
        <w:rPr>
          <w:rFonts w:ascii="Arial" w:hAnsi="Arial"/>
          <w:sz w:val="22"/>
          <w:szCs w:val="22"/>
        </w:rPr>
        <w:t xml:space="preserve"> coastal forest, scrubland, shrubland or grassland. Thirty-nine of the 41 islands on which the species breeds lie off the coast of southern Western Australia, with the remaining two islands being Smith Island (SA) and Lord Howe Island</w:t>
      </w:r>
      <w:r w:rsidR="00D11B8D" w:rsidRPr="00EB3AA9">
        <w:rPr>
          <w:rFonts w:ascii="Arial" w:hAnsi="Arial"/>
          <w:sz w:val="22"/>
          <w:szCs w:val="22"/>
        </w:rPr>
        <w:t xml:space="preserve"> (off NSW)</w:t>
      </w:r>
      <w:r w:rsidRPr="00EB3AA9">
        <w:rPr>
          <w:rFonts w:ascii="Arial" w:hAnsi="Arial"/>
          <w:sz w:val="22"/>
          <w:szCs w:val="22"/>
        </w:rPr>
        <w:t>. Th</w:t>
      </w:r>
      <w:r w:rsidR="00D11B8D" w:rsidRPr="00EB3AA9">
        <w:rPr>
          <w:rFonts w:ascii="Arial" w:hAnsi="Arial"/>
          <w:sz w:val="22"/>
          <w:szCs w:val="22"/>
        </w:rPr>
        <w:t xml:space="preserve">is </w:t>
      </w:r>
      <w:r w:rsidRPr="00EB3AA9">
        <w:rPr>
          <w:rFonts w:ascii="Arial" w:hAnsi="Arial"/>
          <w:sz w:val="22"/>
          <w:szCs w:val="22"/>
        </w:rPr>
        <w:t xml:space="preserve">shearwater feeds on small fish, cephalopod molluscs (squid, cuttlefish, nautilus and argonauts), crustaceans (barnacles and shrimp), other soft-bodied invertebrates and offal. The species forages almost entirely at sea and very rarely on land. It obtains most of its food by surface plunging or pursuit plunging. It also regularly forages by settling on the surface of the ocean and snatching prey from the surface ('surface seizing'), momentarily submerging onto prey beneath the surface ('surface diving') or diving and pursuing prey beneath the surface by swimming ('pursuit diving'). It is possible this species may overfly the </w:t>
      </w:r>
      <w:r w:rsidR="00D11B8D" w:rsidRPr="00EB3AA9">
        <w:rPr>
          <w:rFonts w:ascii="Arial" w:hAnsi="Arial"/>
          <w:sz w:val="22"/>
          <w:szCs w:val="22"/>
        </w:rPr>
        <w:t>EMBA</w:t>
      </w:r>
      <w:r w:rsidRPr="00EB3AA9">
        <w:rPr>
          <w:rFonts w:ascii="Arial" w:hAnsi="Arial"/>
          <w:sz w:val="22"/>
          <w:szCs w:val="22"/>
        </w:rPr>
        <w:t>.</w:t>
      </w:r>
      <w:r w:rsidR="0024646C">
        <w:rPr>
          <w:rFonts w:ascii="Arial" w:hAnsi="Arial"/>
          <w:sz w:val="22"/>
          <w:szCs w:val="22"/>
        </w:rPr>
        <w:t xml:space="preserve"> </w:t>
      </w:r>
    </w:p>
    <w:p w14:paraId="4E5B0068" w14:textId="77777777" w:rsidR="00FB055F" w:rsidRPr="00EB3AA9" w:rsidRDefault="00FB055F" w:rsidP="00885EE5">
      <w:pPr>
        <w:pStyle w:val="bodycopy"/>
        <w:rPr>
          <w:rFonts w:ascii="Arial" w:hAnsi="Arial"/>
          <w:b/>
          <w:sz w:val="22"/>
          <w:szCs w:val="22"/>
        </w:rPr>
      </w:pPr>
      <w:r w:rsidRPr="00EB3AA9">
        <w:rPr>
          <w:rFonts w:ascii="Arial" w:hAnsi="Arial"/>
          <w:b/>
          <w:sz w:val="22"/>
          <w:szCs w:val="22"/>
        </w:rPr>
        <w:t>Shorebirds and Coastal Species</w:t>
      </w:r>
    </w:p>
    <w:p w14:paraId="142B6E80" w14:textId="77777777" w:rsidR="0092441E" w:rsidRPr="00EB3AA9" w:rsidRDefault="0092441E" w:rsidP="00885EE5">
      <w:pPr>
        <w:pStyle w:val="bodycopy"/>
        <w:rPr>
          <w:rFonts w:ascii="Arial" w:hAnsi="Arial"/>
          <w:sz w:val="22"/>
          <w:szCs w:val="22"/>
          <w:u w:val="single"/>
        </w:rPr>
      </w:pPr>
      <w:r w:rsidRPr="00EB3AA9">
        <w:rPr>
          <w:rFonts w:ascii="Arial" w:hAnsi="Arial"/>
          <w:sz w:val="22"/>
          <w:szCs w:val="22"/>
          <w:u w:val="single"/>
        </w:rPr>
        <w:t>Plovers</w:t>
      </w:r>
    </w:p>
    <w:p w14:paraId="613ADA5F" w14:textId="1F0DBD6B" w:rsidR="0092441E" w:rsidRPr="00EB3AA9" w:rsidRDefault="0092441E" w:rsidP="00D11B8D">
      <w:pPr>
        <w:pStyle w:val="bodycopy"/>
        <w:rPr>
          <w:rFonts w:ascii="Arial" w:hAnsi="Arial"/>
          <w:sz w:val="22"/>
          <w:szCs w:val="22"/>
        </w:rPr>
      </w:pPr>
      <w:r w:rsidRPr="00EB3AA9">
        <w:rPr>
          <w:rFonts w:ascii="Arial" w:hAnsi="Arial"/>
          <w:sz w:val="22"/>
          <w:szCs w:val="22"/>
        </w:rPr>
        <w:t xml:space="preserve">The seven </w:t>
      </w:r>
      <w:r w:rsidR="001C672A">
        <w:rPr>
          <w:rFonts w:ascii="Arial" w:hAnsi="Arial"/>
          <w:sz w:val="22"/>
          <w:szCs w:val="22"/>
        </w:rPr>
        <w:t xml:space="preserve">EPBC Act-listed </w:t>
      </w:r>
      <w:r w:rsidRPr="00EB3AA9">
        <w:rPr>
          <w:rFonts w:ascii="Arial" w:hAnsi="Arial"/>
          <w:sz w:val="22"/>
          <w:szCs w:val="22"/>
        </w:rPr>
        <w:t>plovers that may occur within the EMBA (</w:t>
      </w:r>
      <w:r w:rsidRPr="00EB3AA9">
        <w:rPr>
          <w:rFonts w:ascii="Arial" w:hAnsi="Arial"/>
          <w:b/>
          <w:sz w:val="22"/>
          <w:szCs w:val="22"/>
        </w:rPr>
        <w:t>double-banded, greater sand, lesser sand, red-capped, Pacific golden, grey and hooded</w:t>
      </w:r>
      <w:r w:rsidRPr="00EB3AA9">
        <w:rPr>
          <w:rFonts w:ascii="Arial" w:hAnsi="Arial"/>
          <w:sz w:val="22"/>
          <w:szCs w:val="22"/>
        </w:rPr>
        <w:t>) are medium</w:t>
      </w:r>
      <w:r w:rsidR="00695520">
        <w:rPr>
          <w:rFonts w:ascii="Arial" w:hAnsi="Arial"/>
          <w:sz w:val="22"/>
          <w:szCs w:val="22"/>
        </w:rPr>
        <w:t xml:space="preserve"> to </w:t>
      </w:r>
      <w:r w:rsidRPr="00EB3AA9">
        <w:rPr>
          <w:rFonts w:ascii="Arial" w:hAnsi="Arial"/>
          <w:sz w:val="22"/>
          <w:szCs w:val="22"/>
        </w:rPr>
        <w:t>large</w:t>
      </w:r>
      <w:r w:rsidR="00695520">
        <w:rPr>
          <w:rFonts w:ascii="Arial" w:hAnsi="Arial"/>
          <w:sz w:val="22"/>
          <w:szCs w:val="22"/>
        </w:rPr>
        <w:t xml:space="preserve"> sized</w:t>
      </w:r>
      <w:r w:rsidRPr="00EB3AA9">
        <w:rPr>
          <w:rFonts w:ascii="Arial" w:hAnsi="Arial"/>
          <w:sz w:val="22"/>
          <w:szCs w:val="22"/>
        </w:rPr>
        <w:t xml:space="preserve"> migratory wading birds that have wide-ranging coastal habitats comprising estuaries, bays, mangroves, damp grasslands, sandy beaches, sand dunes, mudflats and lagoons (Flegg, 2002), with roosting also taking place on sand bars and spits. Plovers feed on a range of molluscs, worms, crustaceans and insects. Plovers (with the exception of the hooded and red-capped lovers) breed in Asia and the Artic region and are present in Australia throughout the year, depending on the species. The hooded plover (</w:t>
      </w:r>
      <w:r w:rsidRPr="00695520">
        <w:rPr>
          <w:rFonts w:ascii="Arial" w:hAnsi="Arial"/>
          <w:i/>
          <w:sz w:val="22"/>
          <w:szCs w:val="22"/>
        </w:rPr>
        <w:t>Thinornis rubricollis rubricollis</w:t>
      </w:r>
      <w:r w:rsidRPr="00EB3AA9">
        <w:rPr>
          <w:rFonts w:ascii="Arial" w:hAnsi="Arial"/>
          <w:sz w:val="22"/>
          <w:szCs w:val="22"/>
        </w:rPr>
        <w:t>) and red-capped plover (</w:t>
      </w:r>
      <w:r w:rsidRPr="00695520">
        <w:rPr>
          <w:rFonts w:ascii="Arial" w:hAnsi="Arial"/>
          <w:i/>
          <w:sz w:val="22"/>
          <w:szCs w:val="22"/>
        </w:rPr>
        <w:t>Charadrius ruficapillus</w:t>
      </w:r>
      <w:r w:rsidRPr="00EB3AA9">
        <w:rPr>
          <w:rFonts w:ascii="Arial" w:hAnsi="Arial"/>
          <w:sz w:val="22"/>
          <w:szCs w:val="22"/>
        </w:rPr>
        <w:t>) breed in Australia, building their nests in sandy oceanic beaches. The location of these nests presents the greatest threat to this species’ population, as nests, eggs and chicks are vulnerable to predation and trampling (DoE, 2014; Birdlife Australia, 2016). The sandy beaches of the Ninety Mile Beach are recognised habitat for the hooded plovers.</w:t>
      </w:r>
      <w:r w:rsidR="001C672A">
        <w:rPr>
          <w:rFonts w:ascii="Arial" w:hAnsi="Arial"/>
          <w:sz w:val="22"/>
          <w:szCs w:val="22"/>
        </w:rPr>
        <w:t xml:space="preserve"> The Pacific Golden plover and grey plover are also listed under the VBA as occurring within the EMBA and are not listed as threatened under the FFG Act. </w:t>
      </w:r>
    </w:p>
    <w:p w14:paraId="29D85F5B" w14:textId="77777777" w:rsidR="00885EE5" w:rsidRPr="00EB3AA9" w:rsidRDefault="00885EE5" w:rsidP="00885EE5">
      <w:pPr>
        <w:pStyle w:val="bodycopy"/>
        <w:rPr>
          <w:rFonts w:ascii="Arial" w:hAnsi="Arial"/>
          <w:sz w:val="22"/>
          <w:szCs w:val="22"/>
          <w:u w:val="single"/>
        </w:rPr>
      </w:pPr>
      <w:r w:rsidRPr="00EB3AA9">
        <w:rPr>
          <w:rFonts w:ascii="Arial" w:hAnsi="Arial"/>
          <w:sz w:val="22"/>
          <w:szCs w:val="22"/>
          <w:u w:val="single"/>
        </w:rPr>
        <w:t>Terns</w:t>
      </w:r>
    </w:p>
    <w:p w14:paraId="6CCEEEA9" w14:textId="4A12B6DF" w:rsidR="00885EE5" w:rsidRPr="00EB3AA9" w:rsidRDefault="00885EE5" w:rsidP="00885EE5">
      <w:pPr>
        <w:pStyle w:val="bodycopy"/>
        <w:rPr>
          <w:rFonts w:ascii="Arial" w:hAnsi="Arial"/>
          <w:sz w:val="22"/>
          <w:szCs w:val="22"/>
        </w:rPr>
      </w:pPr>
      <w:r w:rsidRPr="00EB3AA9">
        <w:rPr>
          <w:rFonts w:ascii="Arial" w:hAnsi="Arial"/>
          <w:sz w:val="22"/>
          <w:szCs w:val="22"/>
        </w:rPr>
        <w:t xml:space="preserve">There are three </w:t>
      </w:r>
      <w:r w:rsidR="001C672A">
        <w:rPr>
          <w:rFonts w:ascii="Arial" w:hAnsi="Arial"/>
          <w:sz w:val="22"/>
          <w:szCs w:val="22"/>
        </w:rPr>
        <w:t xml:space="preserve">EPBC Act-listed </w:t>
      </w:r>
      <w:r w:rsidRPr="00EB3AA9">
        <w:rPr>
          <w:rFonts w:ascii="Arial" w:hAnsi="Arial"/>
          <w:sz w:val="22"/>
          <w:szCs w:val="22"/>
        </w:rPr>
        <w:t xml:space="preserve">tern species that may occur within the </w:t>
      </w:r>
      <w:r w:rsidR="00D90773" w:rsidRPr="00EB3AA9">
        <w:rPr>
          <w:rFonts w:ascii="Arial" w:hAnsi="Arial"/>
          <w:sz w:val="22"/>
          <w:szCs w:val="22"/>
        </w:rPr>
        <w:t>E</w:t>
      </w:r>
      <w:r w:rsidRPr="00EB3AA9">
        <w:rPr>
          <w:rFonts w:ascii="Arial" w:hAnsi="Arial"/>
          <w:sz w:val="22"/>
          <w:szCs w:val="22"/>
        </w:rPr>
        <w:t>MBA (</w:t>
      </w:r>
      <w:r w:rsidRPr="00EB3AA9">
        <w:rPr>
          <w:rFonts w:ascii="Arial" w:hAnsi="Arial"/>
          <w:b/>
          <w:sz w:val="22"/>
          <w:szCs w:val="22"/>
        </w:rPr>
        <w:t>fairy, little and sooty</w:t>
      </w:r>
      <w:r w:rsidRPr="00EB3AA9">
        <w:rPr>
          <w:rFonts w:ascii="Arial" w:hAnsi="Arial"/>
          <w:sz w:val="22"/>
          <w:szCs w:val="22"/>
        </w:rPr>
        <w:t>). Many of the tern species present along the southern Australian coastline are widespread and occupy beach, wetland, grassland and beach habitats. Terns rarely swim; they hunt for prey in flight, dipping to the water surface or plunge-diving for prey (Flegg, 2002) usually within sight of land for fish, squid, jellyfish and sometimes crustaceans (DEHWA, 2007). Fairy terns feed by plunge diving on small baitfish in coastal waters, usually close to land (</w:t>
      </w:r>
      <w:r w:rsidR="00406141">
        <w:rPr>
          <w:rFonts w:ascii="Arial" w:hAnsi="Arial"/>
          <w:sz w:val="22"/>
          <w:szCs w:val="22"/>
        </w:rPr>
        <w:t>DoEE, 2017i</w:t>
      </w:r>
      <w:r w:rsidRPr="00EB3AA9">
        <w:rPr>
          <w:rFonts w:ascii="Arial" w:hAnsi="Arial"/>
          <w:sz w:val="22"/>
          <w:szCs w:val="22"/>
        </w:rPr>
        <w:t>).</w:t>
      </w:r>
    </w:p>
    <w:p w14:paraId="59A6C9F8" w14:textId="24A0545E" w:rsidR="00885EE5" w:rsidRPr="00EB3AA9" w:rsidRDefault="00885EE5" w:rsidP="00885EE5">
      <w:pPr>
        <w:pStyle w:val="bodycopy"/>
        <w:rPr>
          <w:rFonts w:ascii="Arial" w:hAnsi="Arial"/>
          <w:sz w:val="22"/>
          <w:szCs w:val="22"/>
        </w:rPr>
      </w:pPr>
      <w:r w:rsidRPr="00EB3AA9">
        <w:rPr>
          <w:rFonts w:ascii="Arial" w:hAnsi="Arial"/>
          <w:sz w:val="22"/>
          <w:szCs w:val="22"/>
        </w:rPr>
        <w:t>The National Conservation Values Atlas (DoEE, 2016) indicates that the foraging BIA for the fairy tern (</w:t>
      </w:r>
      <w:r w:rsidRPr="00EB3AA9">
        <w:rPr>
          <w:rFonts w:ascii="Arial" w:hAnsi="Arial"/>
          <w:i/>
          <w:sz w:val="22"/>
          <w:szCs w:val="22"/>
        </w:rPr>
        <w:t>Sterna nereis nereis</w:t>
      </w:r>
      <w:r w:rsidRPr="00EB3AA9">
        <w:rPr>
          <w:rFonts w:ascii="Arial" w:hAnsi="Arial"/>
          <w:sz w:val="22"/>
          <w:szCs w:val="22"/>
        </w:rPr>
        <w:t xml:space="preserve">) </w:t>
      </w:r>
      <w:r w:rsidR="001A6CE2">
        <w:rPr>
          <w:rFonts w:ascii="Arial" w:hAnsi="Arial"/>
          <w:sz w:val="22"/>
          <w:szCs w:val="22"/>
        </w:rPr>
        <w:t xml:space="preserve">(listed as vulnerable under the EPBC Act and threatened under the FFG Act) </w:t>
      </w:r>
      <w:r w:rsidRPr="00EB3AA9">
        <w:rPr>
          <w:rFonts w:ascii="Arial" w:hAnsi="Arial"/>
          <w:sz w:val="22"/>
          <w:szCs w:val="22"/>
        </w:rPr>
        <w:t xml:space="preserve">occur in and offshore of the gulfs of South Australia. They are also known to breed on the offshore islands and coast of Spencer Gulf (Edyvane, 1999). Flegg (2002) reports that the species is widespread on southern and western Australian coasts, and breeds on coastal beaches and islands. </w:t>
      </w:r>
    </w:p>
    <w:p w14:paraId="6E9F239B" w14:textId="109EB13E" w:rsidR="00885EE5" w:rsidRPr="00EB3AA9" w:rsidRDefault="00885EE5" w:rsidP="00885EE5">
      <w:pPr>
        <w:pStyle w:val="bodycopy"/>
        <w:rPr>
          <w:rFonts w:ascii="Arial" w:hAnsi="Arial"/>
          <w:sz w:val="22"/>
          <w:szCs w:val="22"/>
        </w:rPr>
      </w:pPr>
      <w:r w:rsidRPr="00EB3AA9">
        <w:rPr>
          <w:rFonts w:ascii="Arial" w:hAnsi="Arial"/>
          <w:sz w:val="22"/>
          <w:szCs w:val="22"/>
        </w:rPr>
        <w:t>There are two distinct populations of little tern (</w:t>
      </w:r>
      <w:r w:rsidRPr="00EB3AA9">
        <w:rPr>
          <w:rFonts w:ascii="Arial" w:hAnsi="Arial"/>
          <w:i/>
          <w:sz w:val="22"/>
          <w:szCs w:val="22"/>
        </w:rPr>
        <w:t>S. albifrons</w:t>
      </w:r>
      <w:r w:rsidRPr="00EB3AA9">
        <w:rPr>
          <w:rFonts w:ascii="Arial" w:hAnsi="Arial"/>
          <w:sz w:val="22"/>
          <w:szCs w:val="22"/>
        </w:rPr>
        <w:t xml:space="preserve">) in Australia, with the south-eastern population being that which occurs within the </w:t>
      </w:r>
      <w:r w:rsidR="00D90773" w:rsidRPr="00EB3AA9">
        <w:rPr>
          <w:rFonts w:ascii="Arial" w:hAnsi="Arial"/>
          <w:sz w:val="22"/>
          <w:szCs w:val="22"/>
        </w:rPr>
        <w:t>E</w:t>
      </w:r>
      <w:r w:rsidRPr="00EB3AA9">
        <w:rPr>
          <w:rFonts w:ascii="Arial" w:hAnsi="Arial"/>
          <w:sz w:val="22"/>
          <w:szCs w:val="22"/>
        </w:rPr>
        <w:t>MBA. The litt</w:t>
      </w:r>
      <w:r w:rsidR="00043098">
        <w:rPr>
          <w:rFonts w:ascii="Arial" w:hAnsi="Arial"/>
          <w:sz w:val="22"/>
          <w:szCs w:val="22"/>
        </w:rPr>
        <w:t>l</w:t>
      </w:r>
      <w:r w:rsidRPr="00EB3AA9">
        <w:rPr>
          <w:rFonts w:ascii="Arial" w:hAnsi="Arial"/>
          <w:sz w:val="22"/>
          <w:szCs w:val="22"/>
        </w:rPr>
        <w:t xml:space="preserve">e tern </w:t>
      </w:r>
      <w:r w:rsidR="001A6CE2">
        <w:rPr>
          <w:rFonts w:ascii="Arial" w:hAnsi="Arial"/>
          <w:sz w:val="22"/>
          <w:szCs w:val="22"/>
        </w:rPr>
        <w:t xml:space="preserve">(listed as migratory and marine under the EPBC Act and threatened under the FFG Act) </w:t>
      </w:r>
      <w:r w:rsidRPr="00EB3AA9">
        <w:rPr>
          <w:rFonts w:ascii="Arial" w:hAnsi="Arial"/>
          <w:sz w:val="22"/>
          <w:szCs w:val="22"/>
        </w:rPr>
        <w:t>has an estimated population of 3,000 breeding pairs in eastern Australia (DoEE, 201</w:t>
      </w:r>
      <w:r w:rsidR="00043098">
        <w:rPr>
          <w:rFonts w:ascii="Arial" w:hAnsi="Arial"/>
          <w:sz w:val="22"/>
          <w:szCs w:val="22"/>
        </w:rPr>
        <w:t>7i</w:t>
      </w:r>
      <w:r w:rsidRPr="00EB3AA9">
        <w:rPr>
          <w:rFonts w:ascii="Arial" w:hAnsi="Arial"/>
          <w:sz w:val="22"/>
          <w:szCs w:val="22"/>
        </w:rPr>
        <w:t>). It is a migratory species that breeds in eastern Australia during spring and summer, leaving the colonies in late summer-autumn and vacating southern Australia (DoEE, 201</w:t>
      </w:r>
      <w:r w:rsidR="00043098">
        <w:rPr>
          <w:rFonts w:ascii="Arial" w:hAnsi="Arial"/>
          <w:sz w:val="22"/>
          <w:szCs w:val="22"/>
        </w:rPr>
        <w:t>7i</w:t>
      </w:r>
      <w:r w:rsidRPr="00EB3AA9">
        <w:rPr>
          <w:rFonts w:ascii="Arial" w:hAnsi="Arial"/>
          <w:sz w:val="22"/>
          <w:szCs w:val="22"/>
        </w:rPr>
        <w:t>). In eastern Australia, breeding normally occurs within wetland areas. Little terns inhabit sheltered coastal environments, including lagoons, estuaries, river mouths, lakes and exposed ocean beaches (DoEE, 201</w:t>
      </w:r>
      <w:r w:rsidR="00043098">
        <w:rPr>
          <w:rFonts w:ascii="Arial" w:hAnsi="Arial"/>
          <w:sz w:val="22"/>
          <w:szCs w:val="22"/>
        </w:rPr>
        <w:t>7i</w:t>
      </w:r>
      <w:r w:rsidRPr="00EB3AA9">
        <w:rPr>
          <w:rFonts w:ascii="Arial" w:hAnsi="Arial"/>
          <w:sz w:val="22"/>
          <w:szCs w:val="22"/>
        </w:rPr>
        <w:t xml:space="preserve">). Near the survey area, </w:t>
      </w:r>
      <w:r w:rsidRPr="00EB3AA9">
        <w:rPr>
          <w:rFonts w:ascii="Arial" w:hAnsi="Arial"/>
          <w:sz w:val="22"/>
          <w:szCs w:val="22"/>
        </w:rPr>
        <w:lastRenderedPageBreak/>
        <w:t>habitat for this species occurs at the Gippsland Lakes, Corner Inlet and Western Port Bay (DoEE, 201</w:t>
      </w:r>
      <w:r w:rsidR="00043098">
        <w:rPr>
          <w:rFonts w:ascii="Arial" w:hAnsi="Arial"/>
          <w:sz w:val="22"/>
          <w:szCs w:val="22"/>
        </w:rPr>
        <w:t>7i</w:t>
      </w:r>
      <w:r w:rsidRPr="00EB3AA9">
        <w:rPr>
          <w:rFonts w:ascii="Arial" w:hAnsi="Arial"/>
          <w:sz w:val="22"/>
          <w:szCs w:val="22"/>
        </w:rPr>
        <w:t>). Little terns feed on small fish, crustaceans, insects and molluscs by plunging in shallow water or gleaning from the water surface (DoEE, 201</w:t>
      </w:r>
      <w:r w:rsidR="00043098">
        <w:rPr>
          <w:rFonts w:ascii="Arial" w:hAnsi="Arial"/>
          <w:sz w:val="22"/>
          <w:szCs w:val="22"/>
        </w:rPr>
        <w:t>7i</w:t>
      </w:r>
      <w:r w:rsidRPr="00EB3AA9">
        <w:rPr>
          <w:rFonts w:ascii="Arial" w:hAnsi="Arial"/>
          <w:sz w:val="22"/>
          <w:szCs w:val="22"/>
        </w:rPr>
        <w:t xml:space="preserve">). Depending on the final timing timing of the survey, the little tern may occur within the </w:t>
      </w:r>
      <w:r w:rsidR="005320D7">
        <w:rPr>
          <w:rFonts w:ascii="Arial" w:hAnsi="Arial"/>
          <w:sz w:val="22"/>
          <w:szCs w:val="22"/>
        </w:rPr>
        <w:t>E</w:t>
      </w:r>
      <w:r w:rsidRPr="00EB3AA9">
        <w:rPr>
          <w:rFonts w:ascii="Arial" w:hAnsi="Arial"/>
          <w:sz w:val="22"/>
          <w:szCs w:val="22"/>
        </w:rPr>
        <w:t xml:space="preserve">MBA. </w:t>
      </w:r>
    </w:p>
    <w:p w14:paraId="6A25DC74" w14:textId="0ADF1CEA" w:rsidR="00885EE5" w:rsidRDefault="00885EE5" w:rsidP="00885EE5">
      <w:pPr>
        <w:pStyle w:val="bodycopy"/>
        <w:rPr>
          <w:rFonts w:ascii="Arial" w:hAnsi="Arial"/>
          <w:sz w:val="22"/>
          <w:szCs w:val="22"/>
        </w:rPr>
      </w:pPr>
      <w:r w:rsidRPr="00EB3AA9">
        <w:rPr>
          <w:rFonts w:ascii="Arial" w:hAnsi="Arial"/>
          <w:sz w:val="22"/>
          <w:szCs w:val="22"/>
        </w:rPr>
        <w:t>The sooty tern (</w:t>
      </w:r>
      <w:r w:rsidRPr="00EB3AA9">
        <w:rPr>
          <w:rFonts w:ascii="Arial" w:hAnsi="Arial"/>
          <w:i/>
          <w:sz w:val="22"/>
          <w:szCs w:val="22"/>
        </w:rPr>
        <w:t>S. fuscata</w:t>
      </w:r>
      <w:r w:rsidRPr="00EB3AA9">
        <w:rPr>
          <w:rFonts w:ascii="Arial" w:hAnsi="Arial"/>
          <w:sz w:val="22"/>
          <w:szCs w:val="22"/>
        </w:rPr>
        <w:t>)</w:t>
      </w:r>
      <w:r w:rsidR="008137B2">
        <w:rPr>
          <w:rFonts w:ascii="Arial" w:hAnsi="Arial"/>
          <w:sz w:val="22"/>
          <w:szCs w:val="22"/>
        </w:rPr>
        <w:t>, listed as a marine species under the EPBC Act,</w:t>
      </w:r>
      <w:r w:rsidRPr="00EB3AA9">
        <w:rPr>
          <w:rFonts w:ascii="Arial" w:hAnsi="Arial"/>
          <w:sz w:val="22"/>
          <w:szCs w:val="22"/>
        </w:rPr>
        <w:t xml:space="preserve"> is widely distributed along the west coast of Western Australia, South Australia and eastern Victoria (</w:t>
      </w:r>
      <w:r w:rsidRPr="00390D40">
        <w:rPr>
          <w:rFonts w:ascii="Arial" w:hAnsi="Arial"/>
          <w:sz w:val="22"/>
          <w:szCs w:val="22"/>
        </w:rPr>
        <w:t>DoEE, 201</w:t>
      </w:r>
      <w:r w:rsidR="00390D40" w:rsidRPr="00390D40">
        <w:rPr>
          <w:rFonts w:ascii="Arial" w:hAnsi="Arial"/>
          <w:sz w:val="22"/>
          <w:szCs w:val="22"/>
        </w:rPr>
        <w:t>7i</w:t>
      </w:r>
      <w:r w:rsidRPr="00390D40">
        <w:rPr>
          <w:rFonts w:ascii="Arial" w:hAnsi="Arial"/>
          <w:sz w:val="22"/>
          <w:szCs w:val="22"/>
        </w:rPr>
        <w:t>). There</w:t>
      </w:r>
      <w:r w:rsidRPr="00EB3AA9">
        <w:rPr>
          <w:rFonts w:ascii="Arial" w:hAnsi="Arial"/>
          <w:sz w:val="22"/>
          <w:szCs w:val="22"/>
        </w:rPr>
        <w:t xml:space="preserve"> is a paucity of publicly available information on this species, though Flegg (2002) reports that it breeds coloncally on remote rocky or sandy island beaches, dispersing to tropical oceanic waters. It is not clear whether this species may occur within the </w:t>
      </w:r>
      <w:r w:rsidR="00D90773" w:rsidRPr="00EB3AA9">
        <w:rPr>
          <w:rFonts w:ascii="Arial" w:hAnsi="Arial"/>
          <w:sz w:val="22"/>
          <w:szCs w:val="22"/>
        </w:rPr>
        <w:t>E</w:t>
      </w:r>
      <w:r w:rsidRPr="00EB3AA9">
        <w:rPr>
          <w:rFonts w:ascii="Arial" w:hAnsi="Arial"/>
          <w:sz w:val="22"/>
          <w:szCs w:val="22"/>
        </w:rPr>
        <w:t xml:space="preserve">MBA, though the presence of suitable breeding habitats in the </w:t>
      </w:r>
      <w:r w:rsidR="00AC3E06" w:rsidRPr="00EB3AA9">
        <w:rPr>
          <w:rFonts w:ascii="Arial" w:hAnsi="Arial"/>
          <w:sz w:val="22"/>
          <w:szCs w:val="22"/>
        </w:rPr>
        <w:t>E</w:t>
      </w:r>
      <w:r w:rsidRPr="00EB3AA9">
        <w:rPr>
          <w:rFonts w:ascii="Arial" w:hAnsi="Arial"/>
          <w:sz w:val="22"/>
          <w:szCs w:val="22"/>
        </w:rPr>
        <w:t xml:space="preserve">MBA suggests it may be present. </w:t>
      </w:r>
    </w:p>
    <w:p w14:paraId="498744C0" w14:textId="4AFE6F10" w:rsidR="00885EE5" w:rsidRPr="00EB3AA9" w:rsidRDefault="00885EE5" w:rsidP="00885EE5">
      <w:pPr>
        <w:pStyle w:val="bodycopy"/>
        <w:rPr>
          <w:rFonts w:ascii="Arial" w:hAnsi="Arial"/>
          <w:b/>
          <w:sz w:val="22"/>
          <w:szCs w:val="22"/>
        </w:rPr>
      </w:pPr>
      <w:r w:rsidRPr="00EB3AA9">
        <w:rPr>
          <w:rFonts w:ascii="Arial" w:hAnsi="Arial"/>
          <w:sz w:val="22"/>
          <w:szCs w:val="22"/>
          <w:u w:val="single"/>
        </w:rPr>
        <w:t>Sandpipers</w:t>
      </w:r>
      <w:r w:rsidR="00D90773" w:rsidRPr="00EB3AA9">
        <w:rPr>
          <w:rFonts w:ascii="Arial" w:hAnsi="Arial"/>
          <w:sz w:val="22"/>
          <w:szCs w:val="22"/>
          <w:u w:val="single"/>
        </w:rPr>
        <w:t xml:space="preserve"> (</w:t>
      </w:r>
      <w:r w:rsidR="001A6CE2">
        <w:rPr>
          <w:rFonts w:ascii="Arial" w:hAnsi="Arial"/>
          <w:sz w:val="22"/>
          <w:szCs w:val="22"/>
          <w:u w:val="single"/>
        </w:rPr>
        <w:t>EPBC Act: Listed m</w:t>
      </w:r>
      <w:r w:rsidR="00703828" w:rsidRPr="00EB3AA9">
        <w:rPr>
          <w:rFonts w:ascii="Arial" w:hAnsi="Arial"/>
          <w:sz w:val="22"/>
          <w:szCs w:val="22"/>
          <w:u w:val="single"/>
        </w:rPr>
        <w:t>igratory, marine</w:t>
      </w:r>
      <w:r w:rsidR="00D90773" w:rsidRPr="00EB3AA9">
        <w:rPr>
          <w:rFonts w:ascii="Arial" w:hAnsi="Arial"/>
          <w:sz w:val="22"/>
          <w:szCs w:val="22"/>
          <w:u w:val="single"/>
        </w:rPr>
        <w:t>)</w:t>
      </w:r>
      <w:r w:rsidR="00703828" w:rsidRPr="00EB3AA9">
        <w:rPr>
          <w:rFonts w:ascii="Arial" w:hAnsi="Arial"/>
          <w:b/>
          <w:sz w:val="22"/>
          <w:szCs w:val="22"/>
        </w:rPr>
        <w:t xml:space="preserve"> </w:t>
      </w:r>
    </w:p>
    <w:p w14:paraId="65656831" w14:textId="0D68FE60" w:rsidR="00F22348" w:rsidRPr="00EB3AA9" w:rsidRDefault="00885EE5" w:rsidP="00885EE5">
      <w:pPr>
        <w:pStyle w:val="bodycopy"/>
        <w:rPr>
          <w:rFonts w:ascii="Arial" w:hAnsi="Arial"/>
          <w:sz w:val="22"/>
          <w:szCs w:val="22"/>
        </w:rPr>
      </w:pPr>
      <w:r w:rsidRPr="00EB3AA9">
        <w:rPr>
          <w:rFonts w:ascii="Arial" w:hAnsi="Arial"/>
          <w:sz w:val="22"/>
          <w:szCs w:val="22"/>
        </w:rPr>
        <w:t xml:space="preserve">There are </w:t>
      </w:r>
      <w:r w:rsidR="00703828" w:rsidRPr="00EB3AA9">
        <w:rPr>
          <w:rFonts w:ascii="Arial" w:hAnsi="Arial"/>
          <w:sz w:val="22"/>
          <w:szCs w:val="22"/>
        </w:rPr>
        <w:t>six</w:t>
      </w:r>
      <w:r w:rsidRPr="00EB3AA9">
        <w:rPr>
          <w:rFonts w:ascii="Arial" w:hAnsi="Arial"/>
          <w:sz w:val="22"/>
          <w:szCs w:val="22"/>
        </w:rPr>
        <w:t xml:space="preserve"> </w:t>
      </w:r>
      <w:r w:rsidR="008137B2">
        <w:rPr>
          <w:rFonts w:ascii="Arial" w:hAnsi="Arial"/>
          <w:sz w:val="22"/>
          <w:szCs w:val="22"/>
        </w:rPr>
        <w:t xml:space="preserve">EPBC Act-listed </w:t>
      </w:r>
      <w:r w:rsidRPr="00EB3AA9">
        <w:rPr>
          <w:rFonts w:ascii="Arial" w:hAnsi="Arial"/>
          <w:sz w:val="22"/>
          <w:szCs w:val="22"/>
        </w:rPr>
        <w:t xml:space="preserve">sandpiper species that may occur within the survey area and </w:t>
      </w:r>
      <w:r w:rsidR="00AC3E06" w:rsidRPr="00EB3AA9">
        <w:rPr>
          <w:rFonts w:ascii="Arial" w:hAnsi="Arial"/>
          <w:sz w:val="22"/>
          <w:szCs w:val="22"/>
        </w:rPr>
        <w:t>E</w:t>
      </w:r>
      <w:r w:rsidRPr="00EB3AA9">
        <w:rPr>
          <w:rFonts w:ascii="Arial" w:hAnsi="Arial"/>
          <w:sz w:val="22"/>
          <w:szCs w:val="22"/>
        </w:rPr>
        <w:t>MBA (</w:t>
      </w:r>
      <w:r w:rsidRPr="00EB3AA9">
        <w:rPr>
          <w:rFonts w:ascii="Arial" w:hAnsi="Arial"/>
          <w:b/>
          <w:sz w:val="22"/>
          <w:szCs w:val="22"/>
        </w:rPr>
        <w:t>wood, marsh, terek, curlew, common, sharp-tailed</w:t>
      </w:r>
      <w:r w:rsidRPr="00EB3AA9">
        <w:rPr>
          <w:rFonts w:ascii="Arial" w:hAnsi="Arial"/>
          <w:sz w:val="22"/>
          <w:szCs w:val="22"/>
        </w:rPr>
        <w:t xml:space="preserve">). </w:t>
      </w:r>
      <w:r w:rsidR="00972B33" w:rsidRPr="00EB3AA9">
        <w:rPr>
          <w:rFonts w:ascii="Arial" w:hAnsi="Arial"/>
          <w:sz w:val="22"/>
          <w:szCs w:val="22"/>
        </w:rPr>
        <w:t xml:space="preserve">They breed in Europe and Asia and migrate to Australia during the southern summer. </w:t>
      </w:r>
      <w:r w:rsidR="00C5065D" w:rsidRPr="00EB3AA9">
        <w:rPr>
          <w:rFonts w:ascii="Arial" w:hAnsi="Arial"/>
          <w:sz w:val="22"/>
          <w:szCs w:val="22"/>
        </w:rPr>
        <w:t xml:space="preserve">Sandpipers are </w:t>
      </w:r>
      <w:r w:rsidR="00D12DF4" w:rsidRPr="00EB3AA9">
        <w:rPr>
          <w:rFonts w:ascii="Arial" w:hAnsi="Arial"/>
          <w:sz w:val="22"/>
          <w:szCs w:val="22"/>
        </w:rPr>
        <w:t xml:space="preserve">small </w:t>
      </w:r>
      <w:r w:rsidR="00C5065D" w:rsidRPr="00EB3AA9">
        <w:rPr>
          <w:rFonts w:ascii="Arial" w:hAnsi="Arial"/>
          <w:sz w:val="22"/>
          <w:szCs w:val="22"/>
        </w:rPr>
        <w:t>wader species</w:t>
      </w:r>
      <w:r w:rsidR="00D12DF4" w:rsidRPr="00EB3AA9">
        <w:rPr>
          <w:rFonts w:ascii="Arial" w:hAnsi="Arial"/>
          <w:sz w:val="22"/>
          <w:szCs w:val="22"/>
        </w:rPr>
        <w:t xml:space="preserve"> found in coastal and inland wetlands</w:t>
      </w:r>
      <w:r w:rsidR="00261F71" w:rsidRPr="00EB3AA9">
        <w:rPr>
          <w:rFonts w:ascii="Arial" w:hAnsi="Arial"/>
          <w:sz w:val="22"/>
          <w:szCs w:val="22"/>
        </w:rPr>
        <w:t xml:space="preserve">, particularly in </w:t>
      </w:r>
      <w:r w:rsidR="00F22348" w:rsidRPr="00EB3AA9">
        <w:rPr>
          <w:rFonts w:ascii="Arial" w:hAnsi="Arial"/>
          <w:sz w:val="22"/>
          <w:szCs w:val="22"/>
        </w:rPr>
        <w:t xml:space="preserve">muddy </w:t>
      </w:r>
      <w:r w:rsidR="00261F71" w:rsidRPr="00EB3AA9">
        <w:rPr>
          <w:rFonts w:ascii="Arial" w:hAnsi="Arial"/>
          <w:sz w:val="22"/>
          <w:szCs w:val="22"/>
        </w:rPr>
        <w:t>estuaries</w:t>
      </w:r>
      <w:r w:rsidR="00972B33" w:rsidRPr="00EB3AA9">
        <w:rPr>
          <w:rFonts w:ascii="Arial" w:hAnsi="Arial"/>
          <w:sz w:val="22"/>
          <w:szCs w:val="22"/>
        </w:rPr>
        <w:t>, f</w:t>
      </w:r>
      <w:r w:rsidR="00F22348" w:rsidRPr="00EB3AA9">
        <w:rPr>
          <w:rFonts w:ascii="Arial" w:hAnsi="Arial"/>
          <w:sz w:val="22"/>
          <w:szCs w:val="22"/>
        </w:rPr>
        <w:t>eeding on small marine invertebrates</w:t>
      </w:r>
      <w:r w:rsidR="00D12DF4" w:rsidRPr="00EB3AA9">
        <w:rPr>
          <w:rFonts w:ascii="Arial" w:hAnsi="Arial"/>
          <w:sz w:val="22"/>
          <w:szCs w:val="22"/>
        </w:rPr>
        <w:t xml:space="preserve">. </w:t>
      </w:r>
      <w:r w:rsidR="00EF2E28" w:rsidRPr="00EB3AA9">
        <w:rPr>
          <w:rFonts w:ascii="Arial" w:hAnsi="Arial"/>
          <w:sz w:val="22"/>
          <w:szCs w:val="22"/>
        </w:rPr>
        <w:t xml:space="preserve">Up to </w:t>
      </w:r>
      <w:r w:rsidR="00972B33" w:rsidRPr="00EB3AA9">
        <w:rPr>
          <w:rFonts w:ascii="Arial" w:hAnsi="Arial"/>
          <w:sz w:val="22"/>
          <w:szCs w:val="22"/>
        </w:rPr>
        <w:t xml:space="preserve">3,000 sharp-tailed sandpiper and up to 1,800 curlew sandpiper </w:t>
      </w:r>
      <w:r w:rsidR="00EF2E28" w:rsidRPr="00EB3AA9">
        <w:rPr>
          <w:rFonts w:ascii="Arial" w:hAnsi="Arial"/>
          <w:sz w:val="22"/>
          <w:szCs w:val="22"/>
        </w:rPr>
        <w:t xml:space="preserve">are known to congregate to feed at the Gippsland Lakes. </w:t>
      </w:r>
      <w:r w:rsidR="00AC3E06" w:rsidRPr="00EB3AA9">
        <w:rPr>
          <w:rFonts w:ascii="Arial" w:hAnsi="Arial"/>
          <w:sz w:val="22"/>
          <w:szCs w:val="22"/>
        </w:rPr>
        <w:t xml:space="preserve">Sandpipers </w:t>
      </w:r>
      <w:r w:rsidR="0072359A" w:rsidRPr="00EB3AA9">
        <w:rPr>
          <w:rFonts w:ascii="Arial" w:hAnsi="Arial"/>
          <w:sz w:val="22"/>
          <w:szCs w:val="22"/>
        </w:rPr>
        <w:t xml:space="preserve">may </w:t>
      </w:r>
      <w:r w:rsidR="00AC3E06" w:rsidRPr="00EB3AA9">
        <w:rPr>
          <w:rFonts w:ascii="Arial" w:hAnsi="Arial"/>
          <w:sz w:val="22"/>
          <w:szCs w:val="22"/>
        </w:rPr>
        <w:t>be present within the EMBA</w:t>
      </w:r>
      <w:r w:rsidR="0072359A" w:rsidRPr="00EB3AA9">
        <w:rPr>
          <w:rFonts w:ascii="Arial" w:hAnsi="Arial"/>
          <w:sz w:val="22"/>
          <w:szCs w:val="22"/>
        </w:rPr>
        <w:t xml:space="preserve"> at the time of the survey</w:t>
      </w:r>
      <w:r w:rsidR="00AC3E06" w:rsidRPr="00EB3AA9">
        <w:rPr>
          <w:rFonts w:ascii="Arial" w:hAnsi="Arial"/>
          <w:sz w:val="22"/>
          <w:szCs w:val="22"/>
        </w:rPr>
        <w:t xml:space="preserve">. </w:t>
      </w:r>
    </w:p>
    <w:p w14:paraId="7E5B15F6" w14:textId="1DF7A1CA" w:rsidR="00703828" w:rsidRPr="00EB3AA9" w:rsidRDefault="00703828" w:rsidP="00885EE5">
      <w:pPr>
        <w:pStyle w:val="bodycopy"/>
        <w:rPr>
          <w:rFonts w:ascii="Arial" w:hAnsi="Arial"/>
          <w:sz w:val="22"/>
          <w:szCs w:val="22"/>
          <w:u w:val="single"/>
        </w:rPr>
      </w:pPr>
      <w:r w:rsidRPr="00EB3AA9">
        <w:rPr>
          <w:rFonts w:ascii="Arial" w:hAnsi="Arial"/>
          <w:sz w:val="22"/>
          <w:szCs w:val="22"/>
          <w:u w:val="single"/>
        </w:rPr>
        <w:t xml:space="preserve">Knots </w:t>
      </w:r>
      <w:r w:rsidR="00C5065D" w:rsidRPr="00EB3AA9">
        <w:rPr>
          <w:rFonts w:ascii="Arial" w:hAnsi="Arial"/>
          <w:sz w:val="22"/>
          <w:szCs w:val="22"/>
          <w:u w:val="single"/>
        </w:rPr>
        <w:t>(</w:t>
      </w:r>
      <w:r w:rsidR="008137B2">
        <w:rPr>
          <w:rFonts w:ascii="Arial" w:hAnsi="Arial"/>
          <w:sz w:val="22"/>
          <w:szCs w:val="22"/>
          <w:u w:val="single"/>
        </w:rPr>
        <w:t xml:space="preserve">EPBC Act; </w:t>
      </w:r>
      <w:r w:rsidR="00C5065D" w:rsidRPr="00EB3AA9">
        <w:rPr>
          <w:rFonts w:ascii="Arial" w:hAnsi="Arial"/>
          <w:sz w:val="22"/>
          <w:szCs w:val="22"/>
          <w:u w:val="single"/>
        </w:rPr>
        <w:t xml:space="preserve">threatened, </w:t>
      </w:r>
      <w:r w:rsidR="008137B2">
        <w:rPr>
          <w:rFonts w:ascii="Arial" w:hAnsi="Arial"/>
          <w:sz w:val="22"/>
          <w:szCs w:val="22"/>
          <w:u w:val="single"/>
        </w:rPr>
        <w:t xml:space="preserve">listed </w:t>
      </w:r>
      <w:r w:rsidR="00C5065D" w:rsidRPr="00EB3AA9">
        <w:rPr>
          <w:rFonts w:ascii="Arial" w:hAnsi="Arial"/>
          <w:sz w:val="22"/>
          <w:szCs w:val="22"/>
          <w:u w:val="single"/>
        </w:rPr>
        <w:t>migratory</w:t>
      </w:r>
      <w:r w:rsidR="008137B2">
        <w:rPr>
          <w:rFonts w:ascii="Arial" w:hAnsi="Arial"/>
          <w:sz w:val="22"/>
          <w:szCs w:val="22"/>
          <w:u w:val="single"/>
        </w:rPr>
        <w:t xml:space="preserve"> and</w:t>
      </w:r>
      <w:r w:rsidR="00C5065D" w:rsidRPr="00EB3AA9">
        <w:rPr>
          <w:rFonts w:ascii="Arial" w:hAnsi="Arial"/>
          <w:sz w:val="22"/>
          <w:szCs w:val="22"/>
          <w:u w:val="single"/>
        </w:rPr>
        <w:t xml:space="preserve"> marine)</w:t>
      </w:r>
    </w:p>
    <w:p w14:paraId="0766695E" w14:textId="09EE1359" w:rsidR="00965CF5" w:rsidRPr="00EB3AA9" w:rsidRDefault="00AC3E06" w:rsidP="00885EE5">
      <w:pPr>
        <w:pStyle w:val="bodycopy"/>
        <w:rPr>
          <w:rFonts w:ascii="Arial" w:hAnsi="Arial"/>
          <w:sz w:val="22"/>
          <w:szCs w:val="22"/>
        </w:rPr>
      </w:pPr>
      <w:r w:rsidRPr="00EB3AA9">
        <w:rPr>
          <w:rFonts w:ascii="Arial" w:hAnsi="Arial"/>
          <w:sz w:val="22"/>
          <w:szCs w:val="22"/>
        </w:rPr>
        <w:t xml:space="preserve">There are two </w:t>
      </w:r>
      <w:r w:rsidR="008137B2">
        <w:rPr>
          <w:rFonts w:ascii="Arial" w:hAnsi="Arial"/>
          <w:sz w:val="22"/>
          <w:szCs w:val="22"/>
        </w:rPr>
        <w:t xml:space="preserve">EPBC Act-listed </w:t>
      </w:r>
      <w:r w:rsidRPr="00EB3AA9">
        <w:rPr>
          <w:rFonts w:ascii="Arial" w:hAnsi="Arial"/>
          <w:sz w:val="22"/>
          <w:szCs w:val="22"/>
        </w:rPr>
        <w:t>species of knots that may occur within the survey area and EMBA (</w:t>
      </w:r>
      <w:r w:rsidR="00965CF5" w:rsidRPr="00EB3AA9">
        <w:rPr>
          <w:rFonts w:ascii="Arial" w:hAnsi="Arial"/>
          <w:b/>
          <w:sz w:val="22"/>
          <w:szCs w:val="22"/>
        </w:rPr>
        <w:t>red</w:t>
      </w:r>
      <w:r w:rsidR="00965CF5" w:rsidRPr="00EB3AA9">
        <w:rPr>
          <w:rFonts w:ascii="Arial" w:hAnsi="Arial"/>
          <w:sz w:val="22"/>
          <w:szCs w:val="22"/>
        </w:rPr>
        <w:t xml:space="preserve"> and </w:t>
      </w:r>
      <w:r w:rsidR="00965CF5" w:rsidRPr="00EB3AA9">
        <w:rPr>
          <w:rFonts w:ascii="Arial" w:hAnsi="Arial"/>
          <w:b/>
          <w:sz w:val="22"/>
          <w:szCs w:val="22"/>
        </w:rPr>
        <w:t>great</w:t>
      </w:r>
      <w:r w:rsidRPr="00EB3AA9">
        <w:rPr>
          <w:rFonts w:ascii="Arial" w:hAnsi="Arial"/>
          <w:sz w:val="22"/>
          <w:szCs w:val="22"/>
        </w:rPr>
        <w:t xml:space="preserve">). </w:t>
      </w:r>
      <w:r w:rsidR="008137B2">
        <w:rPr>
          <w:rFonts w:ascii="Arial" w:hAnsi="Arial"/>
          <w:sz w:val="22"/>
          <w:szCs w:val="22"/>
        </w:rPr>
        <w:t xml:space="preserve">Both species are also recorded from the EMBA in the VBA, with the great knot also listed as threatened under the FFG Act. </w:t>
      </w:r>
      <w:r w:rsidR="00E67B6F" w:rsidRPr="00EB3AA9">
        <w:rPr>
          <w:rFonts w:ascii="Arial" w:hAnsi="Arial"/>
          <w:sz w:val="22"/>
          <w:szCs w:val="22"/>
        </w:rPr>
        <w:t>Both these species have a coastal distribution around the entire Australian coastline</w:t>
      </w:r>
      <w:r w:rsidR="00244FAC" w:rsidRPr="00EB3AA9">
        <w:rPr>
          <w:rFonts w:ascii="Arial" w:hAnsi="Arial"/>
          <w:sz w:val="22"/>
          <w:szCs w:val="22"/>
        </w:rPr>
        <w:t xml:space="preserve"> when they are present during the southern hemisphere summer (they breed in eastern Siberia</w:t>
      </w:r>
      <w:r w:rsidR="0072359A" w:rsidRPr="00EB3AA9">
        <w:rPr>
          <w:rFonts w:ascii="Arial" w:hAnsi="Arial"/>
          <w:sz w:val="22"/>
          <w:szCs w:val="22"/>
        </w:rPr>
        <w:t xml:space="preserve"> in the northern hemisphere summer</w:t>
      </w:r>
      <w:r w:rsidR="00244FAC" w:rsidRPr="00EB3AA9">
        <w:rPr>
          <w:rFonts w:ascii="Arial" w:hAnsi="Arial"/>
          <w:sz w:val="22"/>
          <w:szCs w:val="22"/>
        </w:rPr>
        <w:t>)</w:t>
      </w:r>
      <w:r w:rsidR="00E67B6F" w:rsidRPr="00EB3AA9">
        <w:rPr>
          <w:rFonts w:ascii="Arial" w:hAnsi="Arial"/>
          <w:sz w:val="22"/>
          <w:szCs w:val="22"/>
        </w:rPr>
        <w:t xml:space="preserve">. They are medium-sized waders that prefer sandy beach, tidal </w:t>
      </w:r>
      <w:r w:rsidR="00244FAC" w:rsidRPr="00EB3AA9">
        <w:rPr>
          <w:rFonts w:ascii="Arial" w:hAnsi="Arial"/>
          <w:sz w:val="22"/>
          <w:szCs w:val="22"/>
        </w:rPr>
        <w:t>mudflats and estuary habitats, where they feed on bivalve molluscs, snails, worms and crustaceans</w:t>
      </w:r>
      <w:r w:rsidR="0072359A" w:rsidRPr="00EB3AA9">
        <w:rPr>
          <w:rFonts w:ascii="Arial" w:hAnsi="Arial"/>
          <w:sz w:val="22"/>
          <w:szCs w:val="22"/>
        </w:rPr>
        <w:t xml:space="preserve">. </w:t>
      </w:r>
      <w:r w:rsidR="00965CF5" w:rsidRPr="00EB3AA9">
        <w:rPr>
          <w:rFonts w:ascii="Arial" w:hAnsi="Arial"/>
          <w:sz w:val="22"/>
          <w:szCs w:val="22"/>
        </w:rPr>
        <w:t>Lake Reeve has supported the largest concentration (5,000) of red knot (</w:t>
      </w:r>
      <w:r w:rsidR="00965CF5" w:rsidRPr="00EB3AA9">
        <w:rPr>
          <w:rFonts w:ascii="Arial" w:hAnsi="Arial"/>
          <w:i/>
          <w:sz w:val="22"/>
          <w:szCs w:val="22"/>
        </w:rPr>
        <w:t>Calidris canutus</w:t>
      </w:r>
      <w:r w:rsidR="00965CF5" w:rsidRPr="00EB3AA9">
        <w:rPr>
          <w:rFonts w:ascii="Arial" w:hAnsi="Arial"/>
          <w:sz w:val="22"/>
          <w:szCs w:val="22"/>
        </w:rPr>
        <w:t>) recorded in Victoria.</w:t>
      </w:r>
      <w:r w:rsidR="0072359A" w:rsidRPr="00EB3AA9">
        <w:rPr>
          <w:rFonts w:ascii="Arial" w:hAnsi="Arial"/>
          <w:sz w:val="22"/>
          <w:szCs w:val="22"/>
        </w:rPr>
        <w:t xml:space="preserve"> Knots may be present within the EMBA at the time of the survey.</w:t>
      </w:r>
    </w:p>
    <w:p w14:paraId="7EE4FD4E" w14:textId="68554BC8" w:rsidR="00703828" w:rsidRPr="00EB3AA9" w:rsidRDefault="00703828" w:rsidP="00703828">
      <w:pPr>
        <w:pStyle w:val="bodycopy"/>
        <w:rPr>
          <w:rFonts w:ascii="Arial" w:hAnsi="Arial"/>
          <w:sz w:val="22"/>
          <w:szCs w:val="22"/>
          <w:u w:val="single"/>
        </w:rPr>
      </w:pPr>
      <w:r w:rsidRPr="00EB3AA9">
        <w:rPr>
          <w:rFonts w:ascii="Arial" w:hAnsi="Arial"/>
          <w:sz w:val="22"/>
          <w:szCs w:val="22"/>
          <w:u w:val="single"/>
        </w:rPr>
        <w:t>Snipes</w:t>
      </w:r>
      <w:r w:rsidR="00C57C25" w:rsidRPr="00EB3AA9">
        <w:rPr>
          <w:rFonts w:ascii="Arial" w:hAnsi="Arial"/>
          <w:sz w:val="22"/>
          <w:szCs w:val="22"/>
          <w:u w:val="single"/>
        </w:rPr>
        <w:t xml:space="preserve"> (</w:t>
      </w:r>
      <w:r w:rsidR="008137B2">
        <w:rPr>
          <w:rFonts w:ascii="Arial" w:hAnsi="Arial"/>
          <w:sz w:val="22"/>
          <w:szCs w:val="22"/>
          <w:u w:val="single"/>
        </w:rPr>
        <w:t xml:space="preserve">EPBC Act: listed as </w:t>
      </w:r>
      <w:r w:rsidR="00C57C25" w:rsidRPr="00EB3AA9">
        <w:rPr>
          <w:rFonts w:ascii="Arial" w:hAnsi="Arial"/>
          <w:sz w:val="22"/>
          <w:szCs w:val="22"/>
          <w:u w:val="single"/>
        </w:rPr>
        <w:t>mostly migratory, marine)</w:t>
      </w:r>
    </w:p>
    <w:p w14:paraId="31D6A873" w14:textId="2A15A17C" w:rsidR="00C904FE" w:rsidRPr="00EB3AA9" w:rsidRDefault="00703828" w:rsidP="00703828">
      <w:pPr>
        <w:pStyle w:val="bodycopy"/>
        <w:rPr>
          <w:rFonts w:ascii="Arial" w:hAnsi="Arial"/>
          <w:sz w:val="22"/>
          <w:szCs w:val="22"/>
        </w:rPr>
      </w:pPr>
      <w:r w:rsidRPr="00EB3AA9">
        <w:rPr>
          <w:rFonts w:ascii="Arial" w:hAnsi="Arial"/>
          <w:sz w:val="22"/>
          <w:szCs w:val="22"/>
        </w:rPr>
        <w:t xml:space="preserve">There are four </w:t>
      </w:r>
      <w:r w:rsidR="008137B2">
        <w:rPr>
          <w:rFonts w:ascii="Arial" w:hAnsi="Arial"/>
          <w:sz w:val="22"/>
          <w:szCs w:val="22"/>
        </w:rPr>
        <w:t xml:space="preserve">EPBC-Act listed </w:t>
      </w:r>
      <w:r w:rsidRPr="00EB3AA9">
        <w:rPr>
          <w:rFonts w:ascii="Arial" w:hAnsi="Arial"/>
          <w:sz w:val="22"/>
          <w:szCs w:val="22"/>
        </w:rPr>
        <w:t>snipe</w:t>
      </w:r>
      <w:r w:rsidR="00C904FE" w:rsidRPr="00EB3AA9">
        <w:rPr>
          <w:rFonts w:ascii="Arial" w:hAnsi="Arial"/>
          <w:sz w:val="22"/>
          <w:szCs w:val="22"/>
        </w:rPr>
        <w:t xml:space="preserve"> </w:t>
      </w:r>
      <w:r w:rsidRPr="00EB3AA9">
        <w:rPr>
          <w:rFonts w:ascii="Arial" w:hAnsi="Arial"/>
          <w:sz w:val="22"/>
          <w:szCs w:val="22"/>
        </w:rPr>
        <w:t>s</w:t>
      </w:r>
      <w:r w:rsidR="00C904FE" w:rsidRPr="00EB3AA9">
        <w:rPr>
          <w:rFonts w:ascii="Arial" w:hAnsi="Arial"/>
          <w:sz w:val="22"/>
          <w:szCs w:val="22"/>
        </w:rPr>
        <w:t>pecies</w:t>
      </w:r>
      <w:r w:rsidRPr="00EB3AA9">
        <w:rPr>
          <w:rFonts w:ascii="Arial" w:hAnsi="Arial"/>
          <w:sz w:val="22"/>
          <w:szCs w:val="22"/>
        </w:rPr>
        <w:t xml:space="preserve"> that may occur within the EMBA (</w:t>
      </w:r>
      <w:r w:rsidRPr="00EB3AA9">
        <w:rPr>
          <w:rFonts w:ascii="Arial" w:hAnsi="Arial"/>
          <w:b/>
          <w:sz w:val="22"/>
          <w:szCs w:val="22"/>
        </w:rPr>
        <w:t>Latham’s, Swinhoe’s, pin-tailed and Australian painted</w:t>
      </w:r>
      <w:r w:rsidRPr="00EB3AA9">
        <w:rPr>
          <w:rFonts w:ascii="Arial" w:hAnsi="Arial"/>
          <w:sz w:val="22"/>
          <w:szCs w:val="22"/>
        </w:rPr>
        <w:t xml:space="preserve">). </w:t>
      </w:r>
      <w:r w:rsidR="008137B2">
        <w:rPr>
          <w:rFonts w:ascii="Arial" w:hAnsi="Arial"/>
          <w:sz w:val="22"/>
          <w:szCs w:val="22"/>
        </w:rPr>
        <w:t xml:space="preserve">Latham’s snip is also recorded from the EMBA in the VBA, and is not listed as threatened under the FFG Act. </w:t>
      </w:r>
      <w:r w:rsidR="00E550DF" w:rsidRPr="00EB3AA9">
        <w:rPr>
          <w:rFonts w:ascii="Arial" w:hAnsi="Arial"/>
          <w:sz w:val="22"/>
          <w:szCs w:val="22"/>
        </w:rPr>
        <w:t>These s</w:t>
      </w:r>
      <w:r w:rsidR="00C904FE" w:rsidRPr="00EB3AA9">
        <w:rPr>
          <w:rFonts w:ascii="Arial" w:hAnsi="Arial"/>
          <w:sz w:val="22"/>
          <w:szCs w:val="22"/>
        </w:rPr>
        <w:t xml:space="preserve">nipe </w:t>
      </w:r>
      <w:r w:rsidR="00E550DF" w:rsidRPr="00EB3AA9">
        <w:rPr>
          <w:rFonts w:ascii="Arial" w:hAnsi="Arial"/>
          <w:sz w:val="22"/>
          <w:szCs w:val="22"/>
        </w:rPr>
        <w:t xml:space="preserve">species (other than the Australian painted snipe, which is endemic to Australia) </w:t>
      </w:r>
      <w:r w:rsidR="00C904FE" w:rsidRPr="00EB3AA9">
        <w:rPr>
          <w:rFonts w:ascii="Arial" w:hAnsi="Arial"/>
          <w:sz w:val="22"/>
          <w:szCs w:val="22"/>
        </w:rPr>
        <w:t xml:space="preserve">are present during the southern hemisphere summer (breeding in Asia </w:t>
      </w:r>
      <w:r w:rsidR="00265304" w:rsidRPr="00EB3AA9">
        <w:rPr>
          <w:rFonts w:ascii="Arial" w:hAnsi="Arial"/>
          <w:sz w:val="22"/>
          <w:szCs w:val="22"/>
        </w:rPr>
        <w:t xml:space="preserve">and Russia </w:t>
      </w:r>
      <w:r w:rsidR="00C904FE" w:rsidRPr="00EB3AA9">
        <w:rPr>
          <w:rFonts w:ascii="Arial" w:hAnsi="Arial"/>
          <w:sz w:val="22"/>
          <w:szCs w:val="22"/>
        </w:rPr>
        <w:t xml:space="preserve">in the northern hemisphere summer). They are medium-sized waders that </w:t>
      </w:r>
      <w:r w:rsidR="00570ECF" w:rsidRPr="00EB3AA9">
        <w:rPr>
          <w:rFonts w:ascii="Arial" w:hAnsi="Arial"/>
          <w:sz w:val="22"/>
          <w:szCs w:val="22"/>
        </w:rPr>
        <w:t xml:space="preserve">roost among dense vegetation around </w:t>
      </w:r>
      <w:r w:rsidR="00441CEF" w:rsidRPr="00EB3AA9">
        <w:rPr>
          <w:rFonts w:ascii="Arial" w:hAnsi="Arial"/>
          <w:sz w:val="22"/>
          <w:szCs w:val="22"/>
        </w:rPr>
        <w:t xml:space="preserve">the edge of </w:t>
      </w:r>
      <w:r w:rsidR="00570ECF" w:rsidRPr="00EB3AA9">
        <w:rPr>
          <w:rFonts w:ascii="Arial" w:hAnsi="Arial"/>
          <w:sz w:val="22"/>
          <w:szCs w:val="22"/>
        </w:rPr>
        <w:t>wetlands during the day and feed at dusk, dawn and during the night on seeds, plants, wor</w:t>
      </w:r>
      <w:r w:rsidR="00E550DF" w:rsidRPr="00EB3AA9">
        <w:rPr>
          <w:rFonts w:ascii="Arial" w:hAnsi="Arial"/>
          <w:sz w:val="22"/>
          <w:szCs w:val="22"/>
        </w:rPr>
        <w:t>m</w:t>
      </w:r>
      <w:r w:rsidR="00570ECF" w:rsidRPr="00EB3AA9">
        <w:rPr>
          <w:rFonts w:ascii="Arial" w:hAnsi="Arial"/>
          <w:sz w:val="22"/>
          <w:szCs w:val="22"/>
        </w:rPr>
        <w:t xml:space="preserve">s, insects and molluscs. </w:t>
      </w:r>
      <w:r w:rsidR="00265304" w:rsidRPr="00EB3AA9">
        <w:rPr>
          <w:rFonts w:ascii="Arial" w:hAnsi="Arial"/>
          <w:sz w:val="22"/>
          <w:szCs w:val="22"/>
        </w:rPr>
        <w:t>The</w:t>
      </w:r>
      <w:r w:rsidR="00441CEF" w:rsidRPr="00EB3AA9">
        <w:rPr>
          <w:rFonts w:ascii="Arial" w:hAnsi="Arial"/>
          <w:sz w:val="22"/>
          <w:szCs w:val="22"/>
        </w:rPr>
        <w:t>re are few if no confirmed records of the</w:t>
      </w:r>
      <w:r w:rsidR="00265304" w:rsidRPr="00EB3AA9">
        <w:rPr>
          <w:rFonts w:ascii="Arial" w:hAnsi="Arial"/>
          <w:sz w:val="22"/>
          <w:szCs w:val="22"/>
        </w:rPr>
        <w:t xml:space="preserve"> pin-tailed and Swinhoe’s snipe </w:t>
      </w:r>
      <w:r w:rsidR="00441CEF" w:rsidRPr="00EB3AA9">
        <w:rPr>
          <w:rFonts w:ascii="Arial" w:hAnsi="Arial"/>
          <w:sz w:val="22"/>
          <w:szCs w:val="22"/>
        </w:rPr>
        <w:t>in Victoria (DoEE, 2017</w:t>
      </w:r>
      <w:r w:rsidR="001451A6">
        <w:rPr>
          <w:rFonts w:ascii="Arial" w:hAnsi="Arial"/>
          <w:sz w:val="22"/>
          <w:szCs w:val="22"/>
        </w:rPr>
        <w:t>i</w:t>
      </w:r>
      <w:r w:rsidR="00441CEF" w:rsidRPr="00EB3AA9">
        <w:rPr>
          <w:rFonts w:ascii="Arial" w:hAnsi="Arial"/>
          <w:sz w:val="22"/>
          <w:szCs w:val="22"/>
        </w:rPr>
        <w:t xml:space="preserve">), while the Australian painted snipe is known to occur at Mallacoota Inlet. </w:t>
      </w:r>
      <w:r w:rsidR="00036DB6" w:rsidRPr="00EB3AA9">
        <w:rPr>
          <w:rFonts w:ascii="Arial" w:hAnsi="Arial"/>
          <w:sz w:val="22"/>
          <w:szCs w:val="22"/>
        </w:rPr>
        <w:t>Snipes may be present within the EMBA at the time of the survey.</w:t>
      </w:r>
    </w:p>
    <w:p w14:paraId="13091B39" w14:textId="40068837" w:rsidR="00703828" w:rsidRPr="00EB3AA9" w:rsidRDefault="00703828" w:rsidP="00885EE5">
      <w:pPr>
        <w:pStyle w:val="bodycopy"/>
        <w:rPr>
          <w:rFonts w:ascii="Arial" w:hAnsi="Arial"/>
          <w:sz w:val="22"/>
          <w:szCs w:val="22"/>
          <w:u w:val="single"/>
        </w:rPr>
      </w:pPr>
      <w:r w:rsidRPr="00EB3AA9">
        <w:rPr>
          <w:rFonts w:ascii="Arial" w:hAnsi="Arial"/>
          <w:sz w:val="22"/>
          <w:szCs w:val="22"/>
          <w:u w:val="single"/>
        </w:rPr>
        <w:t>Godwits</w:t>
      </w:r>
      <w:r w:rsidR="00036DB6" w:rsidRPr="00EB3AA9">
        <w:rPr>
          <w:rFonts w:ascii="Arial" w:hAnsi="Arial"/>
          <w:sz w:val="22"/>
          <w:szCs w:val="22"/>
          <w:u w:val="single"/>
        </w:rPr>
        <w:t xml:space="preserve"> (</w:t>
      </w:r>
      <w:r w:rsidR="008137B2">
        <w:rPr>
          <w:rFonts w:ascii="Arial" w:hAnsi="Arial"/>
          <w:sz w:val="22"/>
          <w:szCs w:val="22"/>
          <w:u w:val="single"/>
        </w:rPr>
        <w:t xml:space="preserve">EPBC Act: </w:t>
      </w:r>
      <w:r w:rsidR="00036DB6" w:rsidRPr="00EB3AA9">
        <w:rPr>
          <w:rFonts w:ascii="Arial" w:hAnsi="Arial"/>
          <w:sz w:val="22"/>
          <w:szCs w:val="22"/>
          <w:u w:val="single"/>
        </w:rPr>
        <w:t xml:space="preserve">threatened, </w:t>
      </w:r>
      <w:r w:rsidR="008137B2">
        <w:rPr>
          <w:rFonts w:ascii="Arial" w:hAnsi="Arial"/>
          <w:sz w:val="22"/>
          <w:szCs w:val="22"/>
          <w:u w:val="single"/>
        </w:rPr>
        <w:t xml:space="preserve">listed </w:t>
      </w:r>
      <w:r w:rsidR="00036DB6" w:rsidRPr="00EB3AA9">
        <w:rPr>
          <w:rFonts w:ascii="Arial" w:hAnsi="Arial"/>
          <w:sz w:val="22"/>
          <w:szCs w:val="22"/>
          <w:u w:val="single"/>
        </w:rPr>
        <w:t>marine</w:t>
      </w:r>
      <w:r w:rsidR="008137B2">
        <w:rPr>
          <w:rFonts w:ascii="Arial" w:hAnsi="Arial"/>
          <w:sz w:val="22"/>
          <w:szCs w:val="22"/>
          <w:u w:val="single"/>
        </w:rPr>
        <w:t xml:space="preserve"> and</w:t>
      </w:r>
      <w:r w:rsidR="00036DB6" w:rsidRPr="00EB3AA9">
        <w:rPr>
          <w:rFonts w:ascii="Arial" w:hAnsi="Arial"/>
          <w:sz w:val="22"/>
          <w:szCs w:val="22"/>
          <w:u w:val="single"/>
        </w:rPr>
        <w:t xml:space="preserve"> migratory)</w:t>
      </w:r>
    </w:p>
    <w:p w14:paraId="5F660C35" w14:textId="0FF34F77" w:rsidR="00477666" w:rsidRPr="00EB3AA9" w:rsidRDefault="00703828" w:rsidP="00703828">
      <w:pPr>
        <w:pStyle w:val="bodycopy"/>
        <w:rPr>
          <w:rFonts w:ascii="Arial" w:hAnsi="Arial"/>
          <w:sz w:val="22"/>
          <w:szCs w:val="22"/>
        </w:rPr>
      </w:pPr>
      <w:r w:rsidRPr="00EB3AA9">
        <w:rPr>
          <w:rFonts w:ascii="Arial" w:hAnsi="Arial"/>
          <w:sz w:val="22"/>
          <w:szCs w:val="22"/>
        </w:rPr>
        <w:t xml:space="preserve">There are three </w:t>
      </w:r>
      <w:r w:rsidR="008137B2">
        <w:rPr>
          <w:rFonts w:ascii="Arial" w:hAnsi="Arial"/>
          <w:sz w:val="22"/>
          <w:szCs w:val="22"/>
        </w:rPr>
        <w:t xml:space="preserve">EPBC Act-listed </w:t>
      </w:r>
      <w:r w:rsidRPr="00EB3AA9">
        <w:rPr>
          <w:rFonts w:ascii="Arial" w:hAnsi="Arial"/>
          <w:sz w:val="22"/>
          <w:szCs w:val="22"/>
        </w:rPr>
        <w:t>godwit</w:t>
      </w:r>
      <w:r w:rsidR="00C57C25" w:rsidRPr="00EB3AA9">
        <w:rPr>
          <w:rFonts w:ascii="Arial" w:hAnsi="Arial"/>
          <w:sz w:val="22"/>
          <w:szCs w:val="22"/>
        </w:rPr>
        <w:t xml:space="preserve"> </w:t>
      </w:r>
      <w:r w:rsidRPr="00EB3AA9">
        <w:rPr>
          <w:rFonts w:ascii="Arial" w:hAnsi="Arial"/>
          <w:sz w:val="22"/>
          <w:szCs w:val="22"/>
        </w:rPr>
        <w:t>s</w:t>
      </w:r>
      <w:r w:rsidR="00C57C25" w:rsidRPr="00EB3AA9">
        <w:rPr>
          <w:rFonts w:ascii="Arial" w:hAnsi="Arial"/>
          <w:sz w:val="22"/>
          <w:szCs w:val="22"/>
        </w:rPr>
        <w:t>pecies</w:t>
      </w:r>
      <w:r w:rsidRPr="00EB3AA9">
        <w:rPr>
          <w:rFonts w:ascii="Arial" w:hAnsi="Arial"/>
          <w:sz w:val="22"/>
          <w:szCs w:val="22"/>
        </w:rPr>
        <w:t xml:space="preserve"> that may occur within the EMBA (</w:t>
      </w:r>
      <w:r w:rsidRPr="00EB3AA9">
        <w:rPr>
          <w:rFonts w:ascii="Arial" w:hAnsi="Arial"/>
          <w:b/>
          <w:sz w:val="22"/>
          <w:szCs w:val="22"/>
        </w:rPr>
        <w:t>bar-tailed, Northern Siberian and black-tailed</w:t>
      </w:r>
      <w:r w:rsidRPr="00EB3AA9">
        <w:rPr>
          <w:rFonts w:ascii="Arial" w:hAnsi="Arial"/>
          <w:sz w:val="22"/>
          <w:szCs w:val="22"/>
        </w:rPr>
        <w:t>)</w:t>
      </w:r>
      <w:r w:rsidR="008137B2">
        <w:rPr>
          <w:rFonts w:ascii="Arial" w:hAnsi="Arial"/>
          <w:sz w:val="22"/>
          <w:szCs w:val="22"/>
        </w:rPr>
        <w:t>, with the bar-tailed godwit also recorded in the VBA (though not listed as threatened under the FFG Act)</w:t>
      </w:r>
      <w:r w:rsidRPr="00EB3AA9">
        <w:rPr>
          <w:rFonts w:ascii="Arial" w:hAnsi="Arial"/>
          <w:sz w:val="22"/>
          <w:szCs w:val="22"/>
        </w:rPr>
        <w:t xml:space="preserve">. </w:t>
      </w:r>
      <w:r w:rsidR="00477666" w:rsidRPr="00EB3AA9">
        <w:rPr>
          <w:rFonts w:ascii="Arial" w:hAnsi="Arial"/>
          <w:sz w:val="22"/>
          <w:szCs w:val="22"/>
        </w:rPr>
        <w:t>Godwits are large waders that are found around all coastal regions of Australia during the southern hemisphere summer (breeding in Europe during the northern hemisphere summer)</w:t>
      </w:r>
      <w:r w:rsidR="005C6B44" w:rsidRPr="00EB3AA9">
        <w:rPr>
          <w:rFonts w:ascii="Arial" w:hAnsi="Arial"/>
          <w:sz w:val="22"/>
          <w:szCs w:val="22"/>
        </w:rPr>
        <w:t>, though the largest numbers remain in northern Australia</w:t>
      </w:r>
      <w:r w:rsidR="00477666" w:rsidRPr="00EB3AA9">
        <w:rPr>
          <w:rFonts w:ascii="Arial" w:hAnsi="Arial"/>
          <w:sz w:val="22"/>
          <w:szCs w:val="22"/>
        </w:rPr>
        <w:t xml:space="preserve">. </w:t>
      </w:r>
      <w:r w:rsidR="005C6B44" w:rsidRPr="00EB3AA9">
        <w:rPr>
          <w:rFonts w:ascii="Arial" w:hAnsi="Arial"/>
          <w:sz w:val="22"/>
          <w:szCs w:val="22"/>
        </w:rPr>
        <w:t xml:space="preserve">Godwits are commonly found in sheltered bays, estuaries and lagoons with large intertidal </w:t>
      </w:r>
      <w:r w:rsidR="005C6B44" w:rsidRPr="00EB3AA9">
        <w:rPr>
          <w:rFonts w:ascii="Arial" w:hAnsi="Arial"/>
          <w:sz w:val="22"/>
          <w:szCs w:val="22"/>
        </w:rPr>
        <w:lastRenderedPageBreak/>
        <w:t>mudflats or sandflats, or spits and b</w:t>
      </w:r>
      <w:r w:rsidR="006D61E8" w:rsidRPr="00EB3AA9">
        <w:rPr>
          <w:rFonts w:ascii="Arial" w:hAnsi="Arial"/>
          <w:sz w:val="22"/>
          <w:szCs w:val="22"/>
        </w:rPr>
        <w:t>anks of mud, sand or shell-grit where they fo</w:t>
      </w:r>
      <w:r w:rsidR="005C6B44" w:rsidRPr="00EB3AA9">
        <w:rPr>
          <w:rFonts w:ascii="Arial" w:hAnsi="Arial"/>
          <w:sz w:val="22"/>
          <w:szCs w:val="22"/>
        </w:rPr>
        <w:t>rage on intertidal mudflats or sandflats, in soft mud or shallow water and occasionally in shallow estuaries</w:t>
      </w:r>
      <w:r w:rsidR="0040292F" w:rsidRPr="00EB3AA9">
        <w:rPr>
          <w:rFonts w:ascii="Arial" w:hAnsi="Arial"/>
          <w:sz w:val="22"/>
          <w:szCs w:val="22"/>
        </w:rPr>
        <w:t xml:space="preserve"> (DoEE, 2017</w:t>
      </w:r>
      <w:r w:rsidR="001451A6">
        <w:rPr>
          <w:rFonts w:ascii="Arial" w:hAnsi="Arial"/>
          <w:sz w:val="22"/>
          <w:szCs w:val="22"/>
        </w:rPr>
        <w:t>i</w:t>
      </w:r>
      <w:r w:rsidR="0040292F" w:rsidRPr="00EB3AA9">
        <w:rPr>
          <w:rFonts w:ascii="Arial" w:hAnsi="Arial"/>
          <w:sz w:val="22"/>
          <w:szCs w:val="22"/>
        </w:rPr>
        <w:t>)</w:t>
      </w:r>
      <w:r w:rsidR="005C6B44" w:rsidRPr="00EB3AA9">
        <w:rPr>
          <w:rFonts w:ascii="Arial" w:hAnsi="Arial"/>
          <w:sz w:val="22"/>
          <w:szCs w:val="22"/>
        </w:rPr>
        <w:t>. The</w:t>
      </w:r>
      <w:r w:rsidR="006D61E8" w:rsidRPr="00EB3AA9">
        <w:rPr>
          <w:rFonts w:ascii="Arial" w:hAnsi="Arial"/>
          <w:sz w:val="22"/>
          <w:szCs w:val="22"/>
        </w:rPr>
        <w:t>y</w:t>
      </w:r>
      <w:r w:rsidR="005C6B44" w:rsidRPr="00EB3AA9">
        <w:rPr>
          <w:rFonts w:ascii="Arial" w:hAnsi="Arial"/>
          <w:sz w:val="22"/>
          <w:szCs w:val="22"/>
        </w:rPr>
        <w:t xml:space="preserve"> ha</w:t>
      </w:r>
      <w:r w:rsidR="006D61E8" w:rsidRPr="00EB3AA9">
        <w:rPr>
          <w:rFonts w:ascii="Arial" w:hAnsi="Arial"/>
          <w:sz w:val="22"/>
          <w:szCs w:val="22"/>
        </w:rPr>
        <w:t>ve</w:t>
      </w:r>
      <w:r w:rsidR="005C6B44" w:rsidRPr="00EB3AA9">
        <w:rPr>
          <w:rFonts w:ascii="Arial" w:hAnsi="Arial"/>
          <w:sz w:val="22"/>
          <w:szCs w:val="22"/>
        </w:rPr>
        <w:t xml:space="preserve"> been recorded eating annelids, crustaceans, arachnids, fish eggs and spawn and tadpoles of frogs, and occasionally seeds</w:t>
      </w:r>
      <w:r w:rsidR="006D61E8" w:rsidRPr="00EB3AA9">
        <w:rPr>
          <w:rFonts w:ascii="Arial" w:hAnsi="Arial"/>
          <w:sz w:val="22"/>
          <w:szCs w:val="22"/>
        </w:rPr>
        <w:t xml:space="preserve">. The </w:t>
      </w:r>
      <w:r w:rsidR="00477666" w:rsidRPr="00EB3AA9">
        <w:rPr>
          <w:rFonts w:ascii="Arial" w:hAnsi="Arial"/>
          <w:sz w:val="22"/>
          <w:szCs w:val="22"/>
        </w:rPr>
        <w:t xml:space="preserve">Nooramunga </w:t>
      </w:r>
      <w:r w:rsidR="006D61E8" w:rsidRPr="00EB3AA9">
        <w:rPr>
          <w:rFonts w:ascii="Arial" w:hAnsi="Arial"/>
          <w:sz w:val="22"/>
          <w:szCs w:val="22"/>
        </w:rPr>
        <w:t xml:space="preserve">Marine and Coastal Park (see Section </w:t>
      </w:r>
      <w:r w:rsidR="002949C0">
        <w:rPr>
          <w:rFonts w:ascii="Arial" w:hAnsi="Arial"/>
          <w:sz w:val="22"/>
          <w:szCs w:val="22"/>
        </w:rPr>
        <w:t>5.2.9</w:t>
      </w:r>
      <w:r w:rsidR="006D61E8" w:rsidRPr="00EB3AA9">
        <w:rPr>
          <w:rFonts w:ascii="Arial" w:hAnsi="Arial"/>
          <w:sz w:val="22"/>
          <w:szCs w:val="22"/>
        </w:rPr>
        <w:t>) has recorded the</w:t>
      </w:r>
      <w:r w:rsidR="00477666" w:rsidRPr="00EB3AA9">
        <w:rPr>
          <w:rFonts w:ascii="Arial" w:hAnsi="Arial"/>
          <w:sz w:val="22"/>
          <w:szCs w:val="22"/>
        </w:rPr>
        <w:t xml:space="preserve"> largest concentrations of bar tailed godwit (</w:t>
      </w:r>
      <w:r w:rsidR="00477666" w:rsidRPr="00EB3AA9">
        <w:rPr>
          <w:rFonts w:ascii="Arial" w:hAnsi="Arial"/>
          <w:i/>
          <w:sz w:val="22"/>
          <w:szCs w:val="22"/>
        </w:rPr>
        <w:t>Limosa lapponica</w:t>
      </w:r>
      <w:r w:rsidR="00477666" w:rsidRPr="00EB3AA9">
        <w:rPr>
          <w:rFonts w:ascii="Arial" w:hAnsi="Arial"/>
          <w:sz w:val="22"/>
          <w:szCs w:val="22"/>
        </w:rPr>
        <w:t>) in south-eastern Australia.</w:t>
      </w:r>
      <w:r w:rsidR="00036DB6" w:rsidRPr="00EB3AA9">
        <w:rPr>
          <w:rFonts w:ascii="Arial" w:hAnsi="Arial"/>
          <w:sz w:val="22"/>
          <w:szCs w:val="22"/>
        </w:rPr>
        <w:t xml:space="preserve"> Godwits may be present within the EMBA at the time of the survey.</w:t>
      </w:r>
    </w:p>
    <w:p w14:paraId="68EF376D" w14:textId="18ED5C59" w:rsidR="00885EE5" w:rsidRPr="00EB3AA9" w:rsidRDefault="00885EE5" w:rsidP="00885EE5">
      <w:pPr>
        <w:pStyle w:val="bodycopy"/>
        <w:rPr>
          <w:rFonts w:ascii="Arial" w:hAnsi="Arial"/>
          <w:sz w:val="22"/>
          <w:szCs w:val="22"/>
          <w:u w:val="single"/>
        </w:rPr>
      </w:pPr>
      <w:r w:rsidRPr="00EB3AA9">
        <w:rPr>
          <w:rFonts w:ascii="Arial" w:hAnsi="Arial"/>
          <w:sz w:val="22"/>
          <w:szCs w:val="22"/>
          <w:u w:val="single"/>
        </w:rPr>
        <w:t>Orange-bellied parrot (</w:t>
      </w:r>
      <w:r w:rsidR="008137B2">
        <w:rPr>
          <w:rFonts w:ascii="Arial" w:hAnsi="Arial"/>
          <w:sz w:val="22"/>
          <w:szCs w:val="22"/>
          <w:u w:val="single"/>
        </w:rPr>
        <w:t xml:space="preserve">EPBC Act: </w:t>
      </w:r>
      <w:r w:rsidR="00D90773" w:rsidRPr="00EB3AA9">
        <w:rPr>
          <w:rFonts w:ascii="Arial" w:hAnsi="Arial"/>
          <w:sz w:val="22"/>
          <w:szCs w:val="22"/>
          <w:u w:val="single"/>
        </w:rPr>
        <w:t>C</w:t>
      </w:r>
      <w:r w:rsidRPr="00EB3AA9">
        <w:rPr>
          <w:rFonts w:ascii="Arial" w:hAnsi="Arial"/>
          <w:sz w:val="22"/>
          <w:szCs w:val="22"/>
          <w:u w:val="single"/>
        </w:rPr>
        <w:t>ritically endangered</w:t>
      </w:r>
      <w:r w:rsidR="008137B2">
        <w:rPr>
          <w:rFonts w:ascii="Arial" w:hAnsi="Arial"/>
          <w:sz w:val="22"/>
          <w:szCs w:val="22"/>
          <w:u w:val="single"/>
        </w:rPr>
        <w:t>, FFG Act: Threatened</w:t>
      </w:r>
      <w:r w:rsidRPr="00EB3AA9">
        <w:rPr>
          <w:rFonts w:ascii="Arial" w:hAnsi="Arial"/>
          <w:sz w:val="22"/>
          <w:szCs w:val="22"/>
          <w:u w:val="single"/>
        </w:rPr>
        <w:t>)</w:t>
      </w:r>
    </w:p>
    <w:p w14:paraId="3C2E3933" w14:textId="77777777" w:rsidR="00885EE5" w:rsidRPr="00EB3AA9" w:rsidRDefault="00885EE5" w:rsidP="00885EE5">
      <w:pPr>
        <w:pStyle w:val="bodycopy"/>
        <w:rPr>
          <w:rFonts w:ascii="Arial" w:hAnsi="Arial"/>
          <w:sz w:val="22"/>
          <w:szCs w:val="22"/>
        </w:rPr>
      </w:pPr>
      <w:r w:rsidRPr="00EB3AA9">
        <w:rPr>
          <w:rFonts w:ascii="Arial" w:hAnsi="Arial"/>
          <w:sz w:val="22"/>
          <w:szCs w:val="22"/>
        </w:rPr>
        <w:t>The orange-bellied parrot (</w:t>
      </w:r>
      <w:r w:rsidRPr="00EB3AA9">
        <w:rPr>
          <w:rFonts w:ascii="Arial" w:hAnsi="Arial"/>
          <w:i/>
          <w:sz w:val="22"/>
          <w:szCs w:val="22"/>
        </w:rPr>
        <w:t>Neophema chrysogaster</w:t>
      </w:r>
      <w:r w:rsidRPr="00EB3AA9">
        <w:rPr>
          <w:rFonts w:ascii="Arial" w:hAnsi="Arial"/>
          <w:sz w:val="22"/>
          <w:szCs w:val="22"/>
        </w:rPr>
        <w:t xml:space="preserve">) breeds in Tasmania during summer, migrates north across Bass Strait in autumn and over-winters on the mainland. Birds depart the mainland for Tasmania from September to November (Green, 1969). The southward migration is rapid (Stephenson, 1991), so there are few migration records. The northward migration across western Bass Strait is more prolonged (Higgins, 1999). </w:t>
      </w:r>
    </w:p>
    <w:p w14:paraId="545522E2" w14:textId="77777777" w:rsidR="00885EE5" w:rsidRPr="00EB3AA9" w:rsidRDefault="00885EE5" w:rsidP="00885EE5">
      <w:pPr>
        <w:pStyle w:val="bodycopy"/>
        <w:rPr>
          <w:rFonts w:ascii="Arial" w:hAnsi="Arial"/>
          <w:sz w:val="22"/>
          <w:szCs w:val="22"/>
        </w:rPr>
      </w:pPr>
      <w:r w:rsidRPr="00EB3AA9">
        <w:rPr>
          <w:rFonts w:ascii="Arial" w:hAnsi="Arial"/>
          <w:sz w:val="22"/>
          <w:szCs w:val="22"/>
        </w:rPr>
        <w:t xml:space="preserve">The parrot’s breeding habitat is restricted to southwest Tasmania, where breeding occurs from November to mid-January mainly within 30 km of the coast (Brown and Wilson, 1984). The species forage on the ground or in low vegetation (Brown and Wilson, 1980; 1984, Loyn </w:t>
      </w:r>
      <w:r w:rsidRPr="00EB3AA9">
        <w:rPr>
          <w:rFonts w:ascii="Arial" w:hAnsi="Arial"/>
          <w:i/>
          <w:sz w:val="22"/>
          <w:szCs w:val="22"/>
        </w:rPr>
        <w:t>et al</w:t>
      </w:r>
      <w:r w:rsidRPr="00EB3AA9">
        <w:rPr>
          <w:rFonts w:ascii="Arial" w:hAnsi="Arial"/>
          <w:sz w:val="22"/>
          <w:szCs w:val="22"/>
        </w:rPr>
        <w:t xml:space="preserve">., 1986). </w:t>
      </w:r>
    </w:p>
    <w:p w14:paraId="61280B45" w14:textId="13144D48" w:rsidR="00885EE5" w:rsidRPr="00EB3AA9" w:rsidRDefault="00885EE5" w:rsidP="00885EE5">
      <w:pPr>
        <w:pStyle w:val="bodycopy"/>
        <w:rPr>
          <w:rFonts w:ascii="Arial" w:hAnsi="Arial"/>
          <w:sz w:val="22"/>
          <w:szCs w:val="22"/>
        </w:rPr>
      </w:pPr>
      <w:r w:rsidRPr="00EB3AA9">
        <w:rPr>
          <w:rFonts w:ascii="Arial" w:hAnsi="Arial"/>
          <w:sz w:val="22"/>
          <w:szCs w:val="22"/>
        </w:rPr>
        <w:t>During winter, on mainland Australia, orange-bellied parrots are found mostly within 3 km of the coast (</w:t>
      </w:r>
      <w:r w:rsidR="007A1AB2">
        <w:rPr>
          <w:rFonts w:ascii="Arial" w:hAnsi="Arial"/>
          <w:sz w:val="22"/>
          <w:szCs w:val="22"/>
        </w:rPr>
        <w:t>DoEE, 2017</w:t>
      </w:r>
      <w:r w:rsidR="001451A6">
        <w:rPr>
          <w:rFonts w:ascii="Arial" w:hAnsi="Arial"/>
          <w:sz w:val="22"/>
          <w:szCs w:val="22"/>
        </w:rPr>
        <w:t>i</w:t>
      </w:r>
      <w:r w:rsidRPr="00EB3AA9">
        <w:rPr>
          <w:rFonts w:ascii="Arial" w:hAnsi="Arial"/>
          <w:sz w:val="22"/>
          <w:szCs w:val="22"/>
        </w:rPr>
        <w:t>). In Victoria, they mostly occur in sheltered coastal habitats, such as bays, lagoons and estuaries, or, rarely, saltworks. They are also found in low samphire herbland dominated by beaded glasswort (</w:t>
      </w:r>
      <w:r w:rsidRPr="00EB3AA9">
        <w:rPr>
          <w:rFonts w:ascii="Arial" w:hAnsi="Arial"/>
          <w:i/>
          <w:sz w:val="22"/>
          <w:szCs w:val="22"/>
        </w:rPr>
        <w:t>Sarcocornia quinqueflora</w:t>
      </w:r>
      <w:r w:rsidRPr="00EB3AA9">
        <w:rPr>
          <w:rFonts w:ascii="Arial" w:hAnsi="Arial"/>
          <w:sz w:val="22"/>
          <w:szCs w:val="22"/>
        </w:rPr>
        <w:t>), sea heath (</w:t>
      </w:r>
      <w:r w:rsidRPr="00EB3AA9">
        <w:rPr>
          <w:rFonts w:ascii="Arial" w:hAnsi="Arial"/>
          <w:i/>
          <w:sz w:val="22"/>
          <w:szCs w:val="22"/>
        </w:rPr>
        <w:t>Frankenia pauciflora</w:t>
      </w:r>
      <w:r w:rsidRPr="00EB3AA9">
        <w:rPr>
          <w:rFonts w:ascii="Arial" w:hAnsi="Arial"/>
          <w:sz w:val="22"/>
          <w:szCs w:val="22"/>
        </w:rPr>
        <w:t>) or sea-blite (</w:t>
      </w:r>
      <w:r w:rsidRPr="00EB3AA9">
        <w:rPr>
          <w:rFonts w:ascii="Arial" w:hAnsi="Arial"/>
          <w:i/>
          <w:sz w:val="22"/>
          <w:szCs w:val="22"/>
        </w:rPr>
        <w:t>Suaeda australis</w:t>
      </w:r>
      <w:r w:rsidRPr="00EB3AA9">
        <w:rPr>
          <w:rFonts w:ascii="Arial" w:hAnsi="Arial"/>
          <w:sz w:val="22"/>
          <w:szCs w:val="22"/>
        </w:rPr>
        <w:t>), and in taller shrubland dominated by shrubby glasswort (</w:t>
      </w:r>
      <w:r w:rsidRPr="00EB3AA9">
        <w:rPr>
          <w:rFonts w:ascii="Arial" w:hAnsi="Arial"/>
          <w:i/>
          <w:sz w:val="22"/>
          <w:szCs w:val="22"/>
        </w:rPr>
        <w:t>Sclerostegia arbuscula</w:t>
      </w:r>
      <w:r w:rsidRPr="00EB3AA9">
        <w:rPr>
          <w:rFonts w:ascii="Arial" w:hAnsi="Arial"/>
          <w:sz w:val="22"/>
          <w:szCs w:val="22"/>
        </w:rPr>
        <w:t>) (DoE, 2016i). This habitat may occur around the Gippsland Lakes area, and therefor</w:t>
      </w:r>
      <w:r w:rsidR="005320D7">
        <w:rPr>
          <w:rFonts w:ascii="Arial" w:hAnsi="Arial"/>
          <w:sz w:val="22"/>
          <w:szCs w:val="22"/>
        </w:rPr>
        <w:t>e the species may occur in the E</w:t>
      </w:r>
      <w:r w:rsidRPr="00EB3AA9">
        <w:rPr>
          <w:rFonts w:ascii="Arial" w:hAnsi="Arial"/>
          <w:sz w:val="22"/>
          <w:szCs w:val="22"/>
        </w:rPr>
        <w:t xml:space="preserve">MBA during winter. </w:t>
      </w:r>
    </w:p>
    <w:p w14:paraId="584547BB" w14:textId="64FC767B" w:rsidR="00885EE5" w:rsidRPr="00EB3AA9" w:rsidRDefault="00885EE5" w:rsidP="00885EE5">
      <w:pPr>
        <w:pStyle w:val="bodycopy"/>
        <w:rPr>
          <w:rFonts w:ascii="Arial" w:hAnsi="Arial"/>
          <w:sz w:val="22"/>
          <w:szCs w:val="22"/>
          <w:u w:val="single"/>
        </w:rPr>
      </w:pPr>
      <w:r w:rsidRPr="00EB3AA9">
        <w:rPr>
          <w:rFonts w:ascii="Arial" w:hAnsi="Arial"/>
          <w:sz w:val="22"/>
          <w:szCs w:val="22"/>
          <w:u w:val="single"/>
        </w:rPr>
        <w:t>Swift parrot</w:t>
      </w:r>
      <w:r w:rsidR="00D90773" w:rsidRPr="00EB3AA9">
        <w:rPr>
          <w:rFonts w:ascii="Arial" w:hAnsi="Arial"/>
          <w:sz w:val="22"/>
          <w:szCs w:val="22"/>
          <w:u w:val="single"/>
        </w:rPr>
        <w:t xml:space="preserve"> (</w:t>
      </w:r>
      <w:r w:rsidR="008137B2">
        <w:rPr>
          <w:rFonts w:ascii="Arial" w:hAnsi="Arial"/>
          <w:sz w:val="22"/>
          <w:szCs w:val="22"/>
          <w:u w:val="single"/>
        </w:rPr>
        <w:t xml:space="preserve">EPBC Act: </w:t>
      </w:r>
      <w:r w:rsidR="00F73F44" w:rsidRPr="00EB3AA9">
        <w:rPr>
          <w:rFonts w:ascii="Arial" w:hAnsi="Arial"/>
          <w:sz w:val="22"/>
          <w:szCs w:val="22"/>
          <w:u w:val="single"/>
        </w:rPr>
        <w:t>Critically endangered</w:t>
      </w:r>
      <w:r w:rsidR="00D90773" w:rsidRPr="00EB3AA9">
        <w:rPr>
          <w:rFonts w:ascii="Arial" w:hAnsi="Arial"/>
          <w:sz w:val="22"/>
          <w:szCs w:val="22"/>
          <w:u w:val="single"/>
        </w:rPr>
        <w:t>)</w:t>
      </w:r>
    </w:p>
    <w:p w14:paraId="74DDBFD3" w14:textId="6ADE5803" w:rsidR="00885EE5" w:rsidRPr="00EB3AA9" w:rsidRDefault="00885EE5" w:rsidP="00885EE5">
      <w:pPr>
        <w:pStyle w:val="bodycopy"/>
        <w:rPr>
          <w:rFonts w:ascii="Arial" w:hAnsi="Arial"/>
          <w:sz w:val="22"/>
          <w:szCs w:val="22"/>
        </w:rPr>
      </w:pPr>
      <w:r w:rsidRPr="00EB3AA9">
        <w:rPr>
          <w:rFonts w:ascii="Arial" w:hAnsi="Arial"/>
          <w:color w:val="191919"/>
          <w:sz w:val="22"/>
          <w:szCs w:val="22"/>
          <w:lang w:val="en-US"/>
        </w:rPr>
        <w:t>The swift parrot (</w:t>
      </w:r>
      <w:r w:rsidRPr="00EB3AA9">
        <w:rPr>
          <w:rFonts w:ascii="Arial" w:hAnsi="Arial"/>
          <w:i/>
          <w:color w:val="191919"/>
          <w:sz w:val="22"/>
          <w:szCs w:val="22"/>
          <w:lang w:val="en-US"/>
        </w:rPr>
        <w:t>Lathamus discolour</w:t>
      </w:r>
      <w:r w:rsidRPr="00EB3AA9">
        <w:rPr>
          <w:rFonts w:ascii="Arial" w:hAnsi="Arial"/>
          <w:color w:val="191919"/>
          <w:sz w:val="22"/>
          <w:szCs w:val="22"/>
          <w:lang w:val="en-US"/>
        </w:rPr>
        <w:t>) is a small parrot that has rapid, agile flight. During summer, it breeds in colonies in blue gum forest of south-east Tasmania. Infrequent breeding also occurs in north-west Tasmania. The entire population migrates to the mainland for winter. On the mainland it disperses widely and forages on flowers and psyllid lerps in eucalypts. The birds mostly occur on inland slopes, but occasionally occur on the coast (DoE</w:t>
      </w:r>
      <w:r w:rsidR="007A1AB2">
        <w:rPr>
          <w:rFonts w:ascii="Arial" w:hAnsi="Arial"/>
          <w:color w:val="191919"/>
          <w:sz w:val="22"/>
          <w:szCs w:val="22"/>
          <w:lang w:val="en-US"/>
        </w:rPr>
        <w:t>E</w:t>
      </w:r>
      <w:r w:rsidRPr="00EB3AA9">
        <w:rPr>
          <w:rFonts w:ascii="Arial" w:hAnsi="Arial"/>
          <w:color w:val="191919"/>
          <w:sz w:val="22"/>
          <w:szCs w:val="22"/>
          <w:lang w:val="en-US"/>
        </w:rPr>
        <w:t>, 201</w:t>
      </w:r>
      <w:r w:rsidR="007A1AB2">
        <w:rPr>
          <w:rFonts w:ascii="Arial" w:hAnsi="Arial"/>
          <w:color w:val="191919"/>
          <w:sz w:val="22"/>
          <w:szCs w:val="22"/>
          <w:lang w:val="en-US"/>
        </w:rPr>
        <w:t>7</w:t>
      </w:r>
      <w:r w:rsidR="001451A6">
        <w:rPr>
          <w:rFonts w:ascii="Arial" w:hAnsi="Arial"/>
          <w:color w:val="191919"/>
          <w:sz w:val="22"/>
          <w:szCs w:val="22"/>
          <w:lang w:val="en-US"/>
        </w:rPr>
        <w:t>i</w:t>
      </w:r>
      <w:r w:rsidRPr="00EB3AA9">
        <w:rPr>
          <w:rFonts w:ascii="Arial" w:hAnsi="Arial"/>
          <w:color w:val="191919"/>
          <w:sz w:val="22"/>
          <w:szCs w:val="22"/>
          <w:lang w:val="en-US"/>
        </w:rPr>
        <w:t xml:space="preserve">). Given its habitat preferences, this species is unlikely to occur within the </w:t>
      </w:r>
      <w:r w:rsidR="00B6309E" w:rsidRPr="00EB3AA9">
        <w:rPr>
          <w:rFonts w:ascii="Arial" w:hAnsi="Arial"/>
          <w:color w:val="191919"/>
          <w:sz w:val="22"/>
          <w:szCs w:val="22"/>
          <w:lang w:val="en-US"/>
        </w:rPr>
        <w:t>E</w:t>
      </w:r>
      <w:r w:rsidRPr="00EB3AA9">
        <w:rPr>
          <w:rFonts w:ascii="Arial" w:hAnsi="Arial"/>
          <w:color w:val="191919"/>
          <w:sz w:val="22"/>
          <w:szCs w:val="22"/>
          <w:lang w:val="en-US"/>
        </w:rPr>
        <w:t>MBA</w:t>
      </w:r>
      <w:r w:rsidR="008137B2">
        <w:rPr>
          <w:rFonts w:ascii="Arial" w:hAnsi="Arial"/>
          <w:color w:val="191919"/>
          <w:sz w:val="22"/>
          <w:szCs w:val="22"/>
          <w:lang w:val="en-US"/>
        </w:rPr>
        <w:t>, though there are 10 records for this species in the VBA for the EMBA (the last being 30 years ago)</w:t>
      </w:r>
      <w:r w:rsidRPr="00EB3AA9">
        <w:rPr>
          <w:rFonts w:ascii="Arial" w:hAnsi="Arial"/>
          <w:color w:val="191919"/>
          <w:sz w:val="22"/>
          <w:szCs w:val="22"/>
          <w:lang w:val="en-US"/>
        </w:rPr>
        <w:t xml:space="preserve">. </w:t>
      </w:r>
    </w:p>
    <w:p w14:paraId="7A14FB42" w14:textId="445A36B5" w:rsidR="00D21FAC" w:rsidRPr="00EB3AA9" w:rsidRDefault="00D21FAC" w:rsidP="00885EE5">
      <w:pPr>
        <w:pStyle w:val="bodycopy"/>
        <w:rPr>
          <w:rFonts w:ascii="Arial" w:hAnsi="Arial"/>
          <w:sz w:val="22"/>
          <w:szCs w:val="22"/>
          <w:u w:val="single"/>
        </w:rPr>
      </w:pPr>
      <w:r w:rsidRPr="00EB3AA9">
        <w:rPr>
          <w:rFonts w:ascii="Arial" w:hAnsi="Arial"/>
          <w:sz w:val="22"/>
          <w:szCs w:val="22"/>
          <w:u w:val="single"/>
        </w:rPr>
        <w:t>Rainbow bee-eater</w:t>
      </w:r>
      <w:r w:rsidR="0040292F" w:rsidRPr="00EB3AA9">
        <w:rPr>
          <w:rFonts w:ascii="Arial" w:hAnsi="Arial"/>
          <w:sz w:val="22"/>
          <w:szCs w:val="22"/>
          <w:u w:val="single"/>
        </w:rPr>
        <w:t xml:space="preserve"> (</w:t>
      </w:r>
      <w:r w:rsidR="008137B2">
        <w:rPr>
          <w:rFonts w:ascii="Arial" w:hAnsi="Arial"/>
          <w:sz w:val="22"/>
          <w:szCs w:val="22"/>
          <w:u w:val="single"/>
        </w:rPr>
        <w:t xml:space="preserve">EPBC Act: </w:t>
      </w:r>
      <w:r w:rsidR="0040292F" w:rsidRPr="00EB3AA9">
        <w:rPr>
          <w:rFonts w:ascii="Arial" w:hAnsi="Arial"/>
          <w:sz w:val="22"/>
          <w:szCs w:val="22"/>
          <w:u w:val="single"/>
        </w:rPr>
        <w:t>listed marine)</w:t>
      </w:r>
    </w:p>
    <w:p w14:paraId="11F80BB0" w14:textId="54E83D87" w:rsidR="00D21FAC" w:rsidRPr="00EB3AA9" w:rsidRDefault="00D21FAC" w:rsidP="00885EE5">
      <w:pPr>
        <w:pStyle w:val="bodycopy"/>
        <w:rPr>
          <w:rFonts w:ascii="Arial" w:hAnsi="Arial"/>
          <w:sz w:val="22"/>
          <w:szCs w:val="22"/>
        </w:rPr>
      </w:pPr>
      <w:r w:rsidRPr="00EB3AA9">
        <w:rPr>
          <w:rFonts w:ascii="Arial" w:hAnsi="Arial"/>
          <w:sz w:val="22"/>
          <w:szCs w:val="22"/>
        </w:rPr>
        <w:t xml:space="preserve">The </w:t>
      </w:r>
      <w:r w:rsidRPr="00EB3AA9">
        <w:rPr>
          <w:rFonts w:ascii="Arial" w:hAnsi="Arial"/>
          <w:b/>
          <w:sz w:val="22"/>
          <w:szCs w:val="22"/>
        </w:rPr>
        <w:t>rainbow bee-eater</w:t>
      </w:r>
      <w:r w:rsidRPr="00EB3AA9">
        <w:rPr>
          <w:rFonts w:ascii="Arial" w:hAnsi="Arial"/>
          <w:sz w:val="22"/>
          <w:szCs w:val="22"/>
        </w:rPr>
        <w:t xml:space="preserve"> (</w:t>
      </w:r>
      <w:r w:rsidRPr="00EB3AA9">
        <w:rPr>
          <w:rFonts w:ascii="Arial" w:hAnsi="Arial"/>
          <w:i/>
          <w:sz w:val="22"/>
          <w:szCs w:val="22"/>
        </w:rPr>
        <w:t>Merops ornatus</w:t>
      </w:r>
      <w:r w:rsidRPr="00EB3AA9">
        <w:rPr>
          <w:rFonts w:ascii="Arial" w:hAnsi="Arial"/>
          <w:sz w:val="22"/>
          <w:szCs w:val="22"/>
        </w:rPr>
        <w:t>) is a medium-sized bird distributed across much of mainland Australia and some nearshore islands. Its main habitat is open forests, woodlands and shrublands, but has also been recorded on coastal sand dunes and beaches (DoEE, 2017</w:t>
      </w:r>
      <w:r w:rsidR="001451A6">
        <w:rPr>
          <w:rFonts w:ascii="Arial" w:hAnsi="Arial"/>
          <w:sz w:val="22"/>
          <w:szCs w:val="22"/>
        </w:rPr>
        <w:t>i</w:t>
      </w:r>
      <w:r w:rsidRPr="00EB3AA9">
        <w:rPr>
          <w:rFonts w:ascii="Arial" w:hAnsi="Arial"/>
          <w:sz w:val="22"/>
          <w:szCs w:val="22"/>
        </w:rPr>
        <w:t>). It feeds on insects (mainly bees and wasps), worms and spiders. The southern populations of the rainbow bee-eater migrate northward from February to April, and return to their breeding grounds in September and October. Nesting occurs in burrows at the end of long chambers in a variety of habitats. The br</w:t>
      </w:r>
      <w:r w:rsidR="008153A6">
        <w:rPr>
          <w:rFonts w:ascii="Arial" w:hAnsi="Arial"/>
          <w:sz w:val="22"/>
          <w:szCs w:val="22"/>
        </w:rPr>
        <w:t>o</w:t>
      </w:r>
      <w:r w:rsidRPr="00EB3AA9">
        <w:rPr>
          <w:rFonts w:ascii="Arial" w:hAnsi="Arial"/>
          <w:sz w:val="22"/>
          <w:szCs w:val="22"/>
        </w:rPr>
        <w:t>ad distribution of the species means it may occur within the EMBA</w:t>
      </w:r>
      <w:r w:rsidR="001043BB">
        <w:rPr>
          <w:rFonts w:ascii="Arial" w:hAnsi="Arial"/>
          <w:sz w:val="22"/>
          <w:szCs w:val="22"/>
        </w:rPr>
        <w:t xml:space="preserve">, </w:t>
      </w:r>
      <w:r w:rsidR="001043BB">
        <w:rPr>
          <w:rFonts w:ascii="Arial" w:hAnsi="Arial"/>
          <w:color w:val="191919"/>
          <w:sz w:val="22"/>
          <w:szCs w:val="22"/>
          <w:lang w:val="en-US"/>
        </w:rPr>
        <w:t>and there are 3 records for this species in the VBA for the EMBA (the last being in 1981)</w:t>
      </w:r>
      <w:r w:rsidRPr="00EB3AA9">
        <w:rPr>
          <w:rFonts w:ascii="Arial" w:hAnsi="Arial"/>
          <w:sz w:val="22"/>
          <w:szCs w:val="22"/>
        </w:rPr>
        <w:t>.</w:t>
      </w:r>
    </w:p>
    <w:p w14:paraId="3388F506" w14:textId="77777777" w:rsidR="002330FD" w:rsidRDefault="002330FD">
      <w:pPr>
        <w:spacing w:line="240" w:lineRule="auto"/>
        <w:ind w:left="0"/>
        <w:rPr>
          <w:rFonts w:cs="Arial"/>
          <w:b/>
          <w:sz w:val="22"/>
          <w:szCs w:val="22"/>
        </w:rPr>
      </w:pPr>
      <w:r>
        <w:rPr>
          <w:rFonts w:cs="Arial"/>
          <w:b/>
          <w:sz w:val="22"/>
          <w:szCs w:val="22"/>
        </w:rPr>
        <w:br w:type="page"/>
      </w:r>
    </w:p>
    <w:p w14:paraId="73E52A63" w14:textId="7CDC8937" w:rsidR="00885EE5" w:rsidRPr="00EB3AA9" w:rsidRDefault="009452F7" w:rsidP="005D595C">
      <w:pPr>
        <w:spacing w:after="120"/>
        <w:ind w:left="0"/>
        <w:rPr>
          <w:rFonts w:cs="Arial"/>
          <w:b/>
          <w:sz w:val="22"/>
          <w:szCs w:val="22"/>
        </w:rPr>
      </w:pPr>
      <w:r>
        <w:rPr>
          <w:rFonts w:cs="Arial"/>
          <w:b/>
          <w:sz w:val="22"/>
          <w:szCs w:val="22"/>
        </w:rPr>
        <w:lastRenderedPageBreak/>
        <w:t xml:space="preserve">Exclusively </w:t>
      </w:r>
      <w:r w:rsidR="00F5661B" w:rsidRPr="00EB3AA9">
        <w:rPr>
          <w:rFonts w:cs="Arial"/>
          <w:b/>
          <w:sz w:val="22"/>
          <w:szCs w:val="22"/>
        </w:rPr>
        <w:t>VBA-</w:t>
      </w:r>
      <w:r w:rsidR="00885EE5" w:rsidRPr="00EB3AA9">
        <w:rPr>
          <w:rFonts w:cs="Arial"/>
          <w:b/>
          <w:sz w:val="22"/>
          <w:szCs w:val="22"/>
        </w:rPr>
        <w:t>listed seabirds</w:t>
      </w:r>
    </w:p>
    <w:p w14:paraId="0F4326F3" w14:textId="3BCA5764" w:rsidR="009452F7" w:rsidRDefault="00885EE5" w:rsidP="00885EE5">
      <w:pPr>
        <w:ind w:left="0"/>
        <w:rPr>
          <w:rFonts w:cs="Arial"/>
          <w:sz w:val="22"/>
          <w:szCs w:val="22"/>
        </w:rPr>
      </w:pPr>
      <w:r w:rsidRPr="00EB3AA9">
        <w:rPr>
          <w:rFonts w:cs="Arial"/>
          <w:sz w:val="22"/>
          <w:szCs w:val="22"/>
          <w:u w:val="single"/>
        </w:rPr>
        <w:t>Little penguins</w:t>
      </w:r>
      <w:r w:rsidRPr="00EB3AA9">
        <w:rPr>
          <w:rFonts w:cs="Arial"/>
          <w:sz w:val="22"/>
          <w:szCs w:val="22"/>
        </w:rPr>
        <w:t xml:space="preserve"> </w:t>
      </w:r>
    </w:p>
    <w:p w14:paraId="2F89179D" w14:textId="77777777" w:rsidR="009452F7" w:rsidRDefault="009452F7" w:rsidP="00885EE5">
      <w:pPr>
        <w:ind w:left="0"/>
        <w:rPr>
          <w:rFonts w:cs="Arial"/>
          <w:sz w:val="22"/>
          <w:szCs w:val="22"/>
        </w:rPr>
      </w:pPr>
    </w:p>
    <w:p w14:paraId="1A62A144" w14:textId="395BB009" w:rsidR="00885EE5" w:rsidRPr="00E63459" w:rsidRDefault="009452F7" w:rsidP="00E63459">
      <w:pPr>
        <w:pStyle w:val="bodycopy"/>
        <w:rPr>
          <w:rFonts w:ascii="Arial" w:hAnsi="Arial"/>
          <w:color w:val="191919"/>
          <w:sz w:val="22"/>
          <w:szCs w:val="22"/>
          <w:lang w:val="en-US"/>
        </w:rPr>
      </w:pPr>
      <w:r w:rsidRPr="00E63459">
        <w:rPr>
          <w:rFonts w:ascii="Arial" w:hAnsi="Arial"/>
          <w:color w:val="191919"/>
          <w:sz w:val="22"/>
          <w:szCs w:val="22"/>
          <w:lang w:val="en-US"/>
        </w:rPr>
        <w:t xml:space="preserve">Little penguins </w:t>
      </w:r>
      <w:r w:rsidR="00885EE5" w:rsidRPr="00E63459">
        <w:rPr>
          <w:rFonts w:ascii="Arial" w:hAnsi="Arial"/>
          <w:color w:val="191919"/>
          <w:sz w:val="22"/>
          <w:szCs w:val="22"/>
          <w:lang w:val="en-US"/>
        </w:rPr>
        <w:t>(</w:t>
      </w:r>
      <w:r w:rsidR="00885EE5" w:rsidRPr="00276F81">
        <w:rPr>
          <w:rFonts w:ascii="Arial" w:hAnsi="Arial"/>
          <w:i/>
          <w:color w:val="191919"/>
          <w:sz w:val="22"/>
          <w:szCs w:val="22"/>
          <w:lang w:val="en-US"/>
        </w:rPr>
        <w:t>Eudyptula minor</w:t>
      </w:r>
      <w:r w:rsidR="00885EE5" w:rsidRPr="00E63459">
        <w:rPr>
          <w:rFonts w:ascii="Arial" w:hAnsi="Arial"/>
          <w:color w:val="191919"/>
          <w:sz w:val="22"/>
          <w:szCs w:val="22"/>
          <w:lang w:val="en-US"/>
        </w:rPr>
        <w:t>) are seabirds that don’t fly, and are the smallest of the 17 penguin species in the world. They are permanent residents of the coastal and offshore islands of parts of the Victorian and Tasmanian coast and Bass Strait islands, with the South-east Marine Region representing about 60% of the species known breeding population (DoE, 2015</w:t>
      </w:r>
      <w:r w:rsidR="006B79A3" w:rsidRPr="00E63459">
        <w:rPr>
          <w:rFonts w:ascii="Arial" w:hAnsi="Arial"/>
          <w:color w:val="191919"/>
          <w:sz w:val="22"/>
          <w:szCs w:val="22"/>
          <w:lang w:val="en-US"/>
        </w:rPr>
        <w:t>a</w:t>
      </w:r>
      <w:r w:rsidR="00885EE5" w:rsidRPr="00E63459">
        <w:rPr>
          <w:rFonts w:ascii="Arial" w:hAnsi="Arial"/>
          <w:color w:val="191919"/>
          <w:sz w:val="22"/>
          <w:szCs w:val="22"/>
          <w:lang w:val="en-US"/>
        </w:rPr>
        <w:t xml:space="preserve">). </w:t>
      </w:r>
    </w:p>
    <w:p w14:paraId="009B071A" w14:textId="28AB954C" w:rsidR="00885EE5" w:rsidRPr="00E63459" w:rsidRDefault="00885EE5" w:rsidP="00E63459">
      <w:pPr>
        <w:pStyle w:val="bodycopy"/>
        <w:rPr>
          <w:rFonts w:ascii="Arial" w:hAnsi="Arial"/>
          <w:color w:val="191919"/>
          <w:sz w:val="22"/>
          <w:szCs w:val="22"/>
          <w:lang w:val="en-US"/>
        </w:rPr>
      </w:pPr>
      <w:r w:rsidRPr="00E63459">
        <w:rPr>
          <w:rFonts w:ascii="Arial" w:hAnsi="Arial"/>
          <w:color w:val="191919"/>
          <w:sz w:val="22"/>
          <w:szCs w:val="22"/>
          <w:lang w:val="en-US"/>
        </w:rPr>
        <w:t>Individuals exhibit strong site fidelity, returning to the same breeding colony each year to breed in the winter and spring months. While on land, penguins remain in burrows to rest, nest and moult (PFPI, 201</w:t>
      </w:r>
      <w:r w:rsidR="00AC0548" w:rsidRPr="00E63459">
        <w:rPr>
          <w:rFonts w:ascii="Arial" w:hAnsi="Arial"/>
          <w:color w:val="191919"/>
          <w:sz w:val="22"/>
          <w:szCs w:val="22"/>
          <w:lang w:val="en-US"/>
        </w:rPr>
        <w:t>7</w:t>
      </w:r>
      <w:r w:rsidRPr="00E63459">
        <w:rPr>
          <w:rFonts w:ascii="Arial" w:hAnsi="Arial"/>
          <w:color w:val="191919"/>
          <w:sz w:val="22"/>
          <w:szCs w:val="22"/>
          <w:lang w:val="en-US"/>
        </w:rPr>
        <w:t>). Nest building (in sand dunes or in rock crevices) occurs from June to December, breeding occurs from August to October, egg laying occurs from August to December, chick raising occurs from August to March and moulting occurs between February and April (during which time they must remain on land). During winter, penguins spend most of their time at sea, returning to the burrows to rest and attend to their burrows (PFPI, 201</w:t>
      </w:r>
      <w:r w:rsidR="00AC0548" w:rsidRPr="00E63459">
        <w:rPr>
          <w:rFonts w:ascii="Arial" w:hAnsi="Arial"/>
          <w:color w:val="191919"/>
          <w:sz w:val="22"/>
          <w:szCs w:val="22"/>
          <w:lang w:val="en-US"/>
        </w:rPr>
        <w:t>7</w:t>
      </w:r>
      <w:r w:rsidRPr="00E63459">
        <w:rPr>
          <w:rFonts w:ascii="Arial" w:hAnsi="Arial"/>
          <w:color w:val="191919"/>
          <w:sz w:val="22"/>
          <w:szCs w:val="22"/>
          <w:lang w:val="en-US"/>
        </w:rPr>
        <w:t xml:space="preserve">). </w:t>
      </w:r>
    </w:p>
    <w:p w14:paraId="0C6BD4C4" w14:textId="52C7528B" w:rsidR="00885EE5" w:rsidRPr="00E63459" w:rsidRDefault="00885EE5" w:rsidP="00E63459">
      <w:pPr>
        <w:pStyle w:val="bodycopy"/>
        <w:rPr>
          <w:rFonts w:ascii="Arial" w:hAnsi="Arial"/>
          <w:color w:val="191919"/>
          <w:sz w:val="22"/>
          <w:szCs w:val="22"/>
          <w:lang w:val="en-US"/>
        </w:rPr>
      </w:pPr>
      <w:r w:rsidRPr="00E63459">
        <w:rPr>
          <w:rFonts w:ascii="Arial" w:hAnsi="Arial"/>
          <w:color w:val="191919"/>
          <w:sz w:val="22"/>
          <w:szCs w:val="22"/>
          <w:lang w:val="en-US"/>
        </w:rPr>
        <w:t>Little penguins dive on average between 5 and 20 m in depth, with their preferred food sources being pilchards, anchovies, warehou, red cod, barracouta and squid (PFPI, 201</w:t>
      </w:r>
      <w:r w:rsidR="00AC0548" w:rsidRPr="00E63459">
        <w:rPr>
          <w:rFonts w:ascii="Arial" w:hAnsi="Arial"/>
          <w:color w:val="191919"/>
          <w:sz w:val="22"/>
          <w:szCs w:val="22"/>
          <w:lang w:val="en-US"/>
        </w:rPr>
        <w:t>7</w:t>
      </w:r>
      <w:r w:rsidRPr="00E63459">
        <w:rPr>
          <w:rFonts w:ascii="Arial" w:hAnsi="Arial"/>
          <w:color w:val="191919"/>
          <w:sz w:val="22"/>
          <w:szCs w:val="22"/>
          <w:lang w:val="en-US"/>
        </w:rPr>
        <w:t xml:space="preserve">). They forage mostly from dawn to an hour before dusk, returning to their burrows at dusk (BirdLife, 2016). </w:t>
      </w:r>
    </w:p>
    <w:p w14:paraId="4CE97DAF" w14:textId="5C876960" w:rsidR="00885EE5" w:rsidRPr="00EB3AA9" w:rsidRDefault="00885EE5" w:rsidP="00E63459">
      <w:pPr>
        <w:pStyle w:val="bodycopy"/>
        <w:rPr>
          <w:sz w:val="22"/>
          <w:szCs w:val="22"/>
        </w:rPr>
      </w:pPr>
      <w:r w:rsidRPr="00E63459">
        <w:rPr>
          <w:rFonts w:ascii="Arial" w:hAnsi="Arial"/>
          <w:color w:val="191919"/>
          <w:sz w:val="22"/>
          <w:szCs w:val="22"/>
          <w:lang w:val="en-US"/>
        </w:rPr>
        <w:t xml:space="preserve">During the breeding season, little penguins forage within 5-25 km of the coast, and at other times, foraging can occur up to 75 km from the coast (SARDI, 2011). Based on OSRA mapping, little penguin colonies in the Gippsland region occur at: </w:t>
      </w:r>
    </w:p>
    <w:p w14:paraId="348772E6" w14:textId="3BF9135A" w:rsidR="00885EE5" w:rsidRPr="00EB3AA9" w:rsidRDefault="00885EE5" w:rsidP="002E4E3A">
      <w:pPr>
        <w:pStyle w:val="ColorfulList-Accent11"/>
        <w:numPr>
          <w:ilvl w:val="0"/>
          <w:numId w:val="30"/>
        </w:numPr>
        <w:spacing w:line="240" w:lineRule="auto"/>
        <w:rPr>
          <w:rFonts w:cs="Arial"/>
          <w:sz w:val="22"/>
          <w:szCs w:val="22"/>
        </w:rPr>
      </w:pPr>
      <w:r w:rsidRPr="00EB3AA9">
        <w:rPr>
          <w:rFonts w:cs="Arial"/>
          <w:sz w:val="22"/>
          <w:szCs w:val="22"/>
        </w:rPr>
        <w:t xml:space="preserve">Wilsons Promontory (139 km west of the </w:t>
      </w:r>
      <w:r w:rsidR="00AB11D9">
        <w:rPr>
          <w:rFonts w:cs="Arial"/>
          <w:sz w:val="22"/>
          <w:szCs w:val="22"/>
        </w:rPr>
        <w:t>proposed acquisition</w:t>
      </w:r>
      <w:r w:rsidRPr="00EB3AA9">
        <w:rPr>
          <w:rFonts w:cs="Arial"/>
          <w:sz w:val="22"/>
          <w:szCs w:val="22"/>
        </w:rPr>
        <w:t xml:space="preserve"> area</w:t>
      </w:r>
      <w:r w:rsidR="00AB11D9">
        <w:rPr>
          <w:rFonts w:cs="Arial"/>
          <w:sz w:val="22"/>
          <w:szCs w:val="22"/>
        </w:rPr>
        <w:t>, outside the EMBA</w:t>
      </w:r>
      <w:r w:rsidRPr="00EB3AA9">
        <w:rPr>
          <w:rFonts w:cs="Arial"/>
          <w:sz w:val="22"/>
          <w:szCs w:val="22"/>
        </w:rPr>
        <w:t>) – 400 breeding pairs on Shellback Island, 1,000 breeding pairs at Norman Island, 3,400 breeding pairs at the Glennie Group Islands, 500 breeding pairs at the Anser Group of Islands, 400 breeding pairs at Wattle Island, 1,000 breeding pairs on Seal Island, 1,000 breeding pairs on Notch Island, 400 breeding pairs at Rag Island, 8,000 breeding pairs on Rabbit Island and 200 breeding pairs at Rabbit Rock;</w:t>
      </w:r>
    </w:p>
    <w:p w14:paraId="4B4FB09B" w14:textId="5D684181" w:rsidR="00885EE5" w:rsidRPr="00EB3AA9" w:rsidRDefault="00885EE5" w:rsidP="002E4E3A">
      <w:pPr>
        <w:pStyle w:val="ColorfulList-Accent11"/>
        <w:numPr>
          <w:ilvl w:val="0"/>
          <w:numId w:val="30"/>
        </w:numPr>
        <w:spacing w:line="240" w:lineRule="auto"/>
        <w:rPr>
          <w:rFonts w:cs="Arial"/>
          <w:sz w:val="22"/>
          <w:szCs w:val="22"/>
        </w:rPr>
      </w:pPr>
      <w:r w:rsidRPr="00EB3AA9">
        <w:rPr>
          <w:rFonts w:cs="Arial"/>
          <w:sz w:val="22"/>
          <w:szCs w:val="22"/>
        </w:rPr>
        <w:t xml:space="preserve">Phillip Island (175 km west of the </w:t>
      </w:r>
      <w:r w:rsidR="00AB11D9">
        <w:rPr>
          <w:rFonts w:cs="Arial"/>
          <w:sz w:val="22"/>
          <w:szCs w:val="22"/>
        </w:rPr>
        <w:t>proposed acquisition</w:t>
      </w:r>
      <w:r w:rsidR="00AB11D9" w:rsidRPr="00EB3AA9">
        <w:rPr>
          <w:rFonts w:cs="Arial"/>
          <w:sz w:val="22"/>
          <w:szCs w:val="22"/>
        </w:rPr>
        <w:t xml:space="preserve"> </w:t>
      </w:r>
      <w:r w:rsidRPr="00EB3AA9">
        <w:rPr>
          <w:rFonts w:cs="Arial"/>
          <w:sz w:val="22"/>
          <w:szCs w:val="22"/>
        </w:rPr>
        <w:t>area</w:t>
      </w:r>
      <w:r w:rsidR="00AB11D9">
        <w:rPr>
          <w:rFonts w:cs="Arial"/>
          <w:sz w:val="22"/>
          <w:szCs w:val="22"/>
        </w:rPr>
        <w:t>, outside the EMBA</w:t>
      </w:r>
      <w:r w:rsidRPr="00EB3AA9">
        <w:rPr>
          <w:rFonts w:cs="Arial"/>
          <w:sz w:val="22"/>
          <w:szCs w:val="22"/>
        </w:rPr>
        <w:t>) – 32,000 individuals;</w:t>
      </w:r>
    </w:p>
    <w:p w14:paraId="4B36F5FC" w14:textId="3F0BCB4C" w:rsidR="00885EE5" w:rsidRPr="00EB3AA9" w:rsidRDefault="00885EE5" w:rsidP="002E4E3A">
      <w:pPr>
        <w:pStyle w:val="ColorfulList-Accent11"/>
        <w:numPr>
          <w:ilvl w:val="0"/>
          <w:numId w:val="30"/>
        </w:numPr>
        <w:spacing w:line="240" w:lineRule="auto"/>
        <w:rPr>
          <w:rFonts w:cs="Arial"/>
          <w:sz w:val="22"/>
          <w:szCs w:val="22"/>
        </w:rPr>
      </w:pPr>
      <w:r w:rsidRPr="00EB3AA9">
        <w:rPr>
          <w:rFonts w:cs="Arial"/>
          <w:sz w:val="22"/>
          <w:szCs w:val="22"/>
        </w:rPr>
        <w:t xml:space="preserve">Tullaberga Island (210 km northeast of the </w:t>
      </w:r>
      <w:r w:rsidR="00AB11D9">
        <w:rPr>
          <w:rFonts w:cs="Arial"/>
          <w:sz w:val="22"/>
          <w:szCs w:val="22"/>
        </w:rPr>
        <w:t>proposed acquisition</w:t>
      </w:r>
      <w:r w:rsidR="00AB11D9" w:rsidRPr="00EB3AA9">
        <w:rPr>
          <w:rFonts w:cs="Arial"/>
          <w:sz w:val="22"/>
          <w:szCs w:val="22"/>
        </w:rPr>
        <w:t xml:space="preserve"> </w:t>
      </w:r>
      <w:r w:rsidRPr="00EB3AA9">
        <w:rPr>
          <w:rFonts w:cs="Arial"/>
          <w:sz w:val="22"/>
          <w:szCs w:val="22"/>
        </w:rPr>
        <w:t>area) – 900 breeding pairs; and</w:t>
      </w:r>
    </w:p>
    <w:p w14:paraId="1687AFEC" w14:textId="3566989A" w:rsidR="00885EE5" w:rsidRPr="00EB3AA9" w:rsidRDefault="00885EE5" w:rsidP="002E4E3A">
      <w:pPr>
        <w:pStyle w:val="ColorfulList-Accent11"/>
        <w:numPr>
          <w:ilvl w:val="0"/>
          <w:numId w:val="30"/>
        </w:numPr>
        <w:spacing w:after="240" w:line="240" w:lineRule="auto"/>
        <w:ind w:left="714" w:hanging="357"/>
        <w:rPr>
          <w:rFonts w:cs="Arial"/>
          <w:sz w:val="22"/>
          <w:szCs w:val="22"/>
        </w:rPr>
      </w:pPr>
      <w:r w:rsidRPr="00EB3AA9">
        <w:rPr>
          <w:rFonts w:cs="Arial"/>
          <w:sz w:val="22"/>
          <w:szCs w:val="22"/>
        </w:rPr>
        <w:t xml:space="preserve">Gabo Island (215 km northeast of the </w:t>
      </w:r>
      <w:r w:rsidR="00AB11D9">
        <w:rPr>
          <w:rFonts w:cs="Arial"/>
          <w:sz w:val="22"/>
          <w:szCs w:val="22"/>
        </w:rPr>
        <w:t>proposed acquisition</w:t>
      </w:r>
      <w:r w:rsidR="00AB11D9" w:rsidRPr="00EB3AA9">
        <w:rPr>
          <w:rFonts w:cs="Arial"/>
          <w:sz w:val="22"/>
          <w:szCs w:val="22"/>
        </w:rPr>
        <w:t xml:space="preserve"> </w:t>
      </w:r>
      <w:r w:rsidRPr="00EB3AA9">
        <w:rPr>
          <w:rFonts w:cs="Arial"/>
          <w:sz w:val="22"/>
          <w:szCs w:val="22"/>
        </w:rPr>
        <w:t>area) – 35,000 breeding pairs (50% of Victorian population).</w:t>
      </w:r>
    </w:p>
    <w:p w14:paraId="0D78CA06" w14:textId="7759A801" w:rsidR="00885EE5" w:rsidRPr="00EB3AA9" w:rsidRDefault="00885EE5" w:rsidP="00276F81">
      <w:pPr>
        <w:spacing w:after="120"/>
        <w:ind w:left="0"/>
        <w:rPr>
          <w:rFonts w:cs="Arial"/>
          <w:sz w:val="22"/>
          <w:szCs w:val="22"/>
        </w:rPr>
      </w:pPr>
      <w:r w:rsidRPr="00EB3AA9">
        <w:rPr>
          <w:rFonts w:cs="Arial"/>
          <w:sz w:val="22"/>
          <w:szCs w:val="22"/>
        </w:rPr>
        <w:t xml:space="preserve">Bass Strait islands with known populations of little penguins include: </w:t>
      </w:r>
    </w:p>
    <w:p w14:paraId="6DEAFB0E" w14:textId="77777777" w:rsidR="00885EE5" w:rsidRPr="00EB3AA9" w:rsidRDefault="00885EE5" w:rsidP="002E4E3A">
      <w:pPr>
        <w:pStyle w:val="ColorfulList-Accent11"/>
        <w:numPr>
          <w:ilvl w:val="0"/>
          <w:numId w:val="30"/>
        </w:numPr>
        <w:spacing w:line="240" w:lineRule="auto"/>
        <w:rPr>
          <w:rFonts w:cs="Arial"/>
          <w:sz w:val="22"/>
          <w:szCs w:val="22"/>
        </w:rPr>
      </w:pPr>
      <w:r w:rsidRPr="00EB3AA9">
        <w:rPr>
          <w:rFonts w:cs="Arial"/>
          <w:sz w:val="22"/>
          <w:szCs w:val="22"/>
        </w:rPr>
        <w:t xml:space="preserve">Babel Island – 20,000 pairs; </w:t>
      </w:r>
    </w:p>
    <w:p w14:paraId="6AAE2EBC" w14:textId="77777777" w:rsidR="00885EE5" w:rsidRPr="00EB3AA9" w:rsidRDefault="00885EE5" w:rsidP="002E4E3A">
      <w:pPr>
        <w:pStyle w:val="ColorfulList-Accent11"/>
        <w:numPr>
          <w:ilvl w:val="0"/>
          <w:numId w:val="30"/>
        </w:numPr>
        <w:spacing w:line="240" w:lineRule="auto"/>
        <w:rPr>
          <w:rFonts w:cs="Arial"/>
          <w:sz w:val="22"/>
          <w:szCs w:val="22"/>
        </w:rPr>
      </w:pPr>
      <w:r w:rsidRPr="00EB3AA9">
        <w:rPr>
          <w:rFonts w:cs="Arial"/>
          <w:sz w:val="22"/>
          <w:szCs w:val="22"/>
        </w:rPr>
        <w:t>Betsy Island – 15,000 pairs;</w:t>
      </w:r>
    </w:p>
    <w:p w14:paraId="3743DCCE" w14:textId="77777777" w:rsidR="00885EE5" w:rsidRPr="00EB3AA9" w:rsidRDefault="00885EE5" w:rsidP="002E4E3A">
      <w:pPr>
        <w:pStyle w:val="ColorfulList-Accent11"/>
        <w:numPr>
          <w:ilvl w:val="0"/>
          <w:numId w:val="30"/>
        </w:numPr>
        <w:spacing w:line="240" w:lineRule="auto"/>
        <w:rPr>
          <w:rFonts w:cs="Arial"/>
          <w:sz w:val="22"/>
          <w:szCs w:val="22"/>
        </w:rPr>
      </w:pPr>
      <w:r w:rsidRPr="00EB3AA9">
        <w:rPr>
          <w:rFonts w:cs="Arial"/>
          <w:sz w:val="22"/>
          <w:szCs w:val="22"/>
        </w:rPr>
        <w:t>Curtis Island group – 2,000 individuals;</w:t>
      </w:r>
    </w:p>
    <w:p w14:paraId="417AA400" w14:textId="77777777" w:rsidR="00885EE5" w:rsidRPr="00EB3AA9" w:rsidRDefault="00885EE5" w:rsidP="002E4E3A">
      <w:pPr>
        <w:pStyle w:val="ColorfulList-Accent11"/>
        <w:numPr>
          <w:ilvl w:val="0"/>
          <w:numId w:val="30"/>
        </w:numPr>
        <w:spacing w:line="240" w:lineRule="auto"/>
        <w:rPr>
          <w:rFonts w:cs="Arial"/>
          <w:sz w:val="22"/>
          <w:szCs w:val="22"/>
        </w:rPr>
      </w:pPr>
      <w:r w:rsidRPr="00EB3AA9">
        <w:rPr>
          <w:rFonts w:cs="Arial"/>
          <w:sz w:val="22"/>
          <w:szCs w:val="22"/>
        </w:rPr>
        <w:t>Hogan Island group – 10,000 individuals</w:t>
      </w:r>
    </w:p>
    <w:p w14:paraId="18F273B0" w14:textId="77777777" w:rsidR="00885EE5" w:rsidRPr="00EB3AA9" w:rsidRDefault="00885EE5" w:rsidP="002E4E3A">
      <w:pPr>
        <w:pStyle w:val="ColorfulList-Accent11"/>
        <w:numPr>
          <w:ilvl w:val="0"/>
          <w:numId w:val="30"/>
        </w:numPr>
        <w:spacing w:line="240" w:lineRule="auto"/>
        <w:rPr>
          <w:rFonts w:cs="Arial"/>
          <w:sz w:val="22"/>
          <w:szCs w:val="22"/>
        </w:rPr>
      </w:pPr>
      <w:r w:rsidRPr="00EB3AA9">
        <w:rPr>
          <w:rFonts w:cs="Arial"/>
          <w:sz w:val="22"/>
          <w:szCs w:val="22"/>
        </w:rPr>
        <w:t>Furneaux Island group (over 40,000 pairs</w:t>
      </w:r>
      <w:r w:rsidR="007035F6" w:rsidRPr="00EB3AA9">
        <w:rPr>
          <w:rFonts w:cs="Arial"/>
          <w:sz w:val="22"/>
          <w:szCs w:val="22"/>
        </w:rPr>
        <w:t>)</w:t>
      </w:r>
      <w:r w:rsidRPr="00EB3AA9">
        <w:rPr>
          <w:rFonts w:cs="Arial"/>
          <w:sz w:val="22"/>
          <w:szCs w:val="22"/>
        </w:rPr>
        <w:t>; and</w:t>
      </w:r>
    </w:p>
    <w:p w14:paraId="284CD8B1" w14:textId="77777777" w:rsidR="00885EE5" w:rsidRPr="00EB3AA9" w:rsidRDefault="00885EE5" w:rsidP="002E4E3A">
      <w:pPr>
        <w:pStyle w:val="ColorfulList-Accent11"/>
        <w:numPr>
          <w:ilvl w:val="0"/>
          <w:numId w:val="30"/>
        </w:numPr>
        <w:spacing w:line="240" w:lineRule="auto"/>
        <w:rPr>
          <w:rFonts w:cs="Arial"/>
          <w:sz w:val="22"/>
          <w:szCs w:val="22"/>
        </w:rPr>
      </w:pPr>
      <w:r w:rsidRPr="00EB3AA9">
        <w:rPr>
          <w:rFonts w:cs="Arial"/>
          <w:sz w:val="22"/>
          <w:szCs w:val="22"/>
        </w:rPr>
        <w:t xml:space="preserve">Forsyth, Passage and Gull islands – 80,000 pairs. </w:t>
      </w:r>
    </w:p>
    <w:p w14:paraId="2721C928" w14:textId="77777777" w:rsidR="00885EE5" w:rsidRDefault="00885EE5" w:rsidP="00885EE5">
      <w:pPr>
        <w:rPr>
          <w:rFonts w:ascii="Tahoma" w:hAnsi="Tahoma" w:cs="Arial"/>
        </w:rPr>
      </w:pPr>
    </w:p>
    <w:p w14:paraId="562EC89D" w14:textId="001D411B" w:rsidR="00885EE5" w:rsidRPr="00276F81" w:rsidRDefault="00885EE5" w:rsidP="00276F81">
      <w:pPr>
        <w:pStyle w:val="bodycopy"/>
        <w:rPr>
          <w:rFonts w:ascii="Arial" w:hAnsi="Arial"/>
          <w:color w:val="191919"/>
          <w:sz w:val="22"/>
          <w:szCs w:val="22"/>
          <w:lang w:val="en-US"/>
        </w:rPr>
      </w:pPr>
      <w:r w:rsidRPr="00276F81">
        <w:rPr>
          <w:rFonts w:ascii="Arial" w:hAnsi="Arial"/>
          <w:color w:val="191919"/>
          <w:sz w:val="22"/>
          <w:szCs w:val="22"/>
          <w:lang w:val="en-US"/>
        </w:rPr>
        <w:t xml:space="preserve">The nearest BIA for little penguins occurs at Curtis Island (south of Wilson’s Promontory, 139 km southwest of the </w:t>
      </w:r>
      <w:r w:rsidR="00EB3AA9" w:rsidRPr="00276F81">
        <w:rPr>
          <w:rFonts w:ascii="Arial" w:hAnsi="Arial"/>
          <w:color w:val="191919"/>
          <w:sz w:val="22"/>
          <w:szCs w:val="22"/>
          <w:lang w:val="en-US"/>
        </w:rPr>
        <w:t>proposed acquisition</w:t>
      </w:r>
      <w:r w:rsidRPr="00276F81">
        <w:rPr>
          <w:rFonts w:ascii="Arial" w:hAnsi="Arial"/>
          <w:color w:val="191919"/>
          <w:sz w:val="22"/>
          <w:szCs w:val="22"/>
          <w:lang w:val="en-US"/>
        </w:rPr>
        <w:t xml:space="preserve"> area), around Flinders Island (156 km south) and at Phillip Island (175 km west)</w:t>
      </w:r>
      <w:r w:rsidR="00AB11D9" w:rsidRPr="00276F81">
        <w:rPr>
          <w:rFonts w:ascii="Arial" w:hAnsi="Arial"/>
          <w:color w:val="191919"/>
          <w:sz w:val="22"/>
          <w:szCs w:val="22"/>
          <w:lang w:val="en-US"/>
        </w:rPr>
        <w:t xml:space="preserve"> (all located outside the EMBA)</w:t>
      </w:r>
      <w:r w:rsidR="005320D7" w:rsidRPr="00276F81">
        <w:rPr>
          <w:rFonts w:ascii="Arial" w:hAnsi="Arial"/>
          <w:color w:val="191919"/>
          <w:sz w:val="22"/>
          <w:szCs w:val="22"/>
          <w:lang w:val="en-US"/>
        </w:rPr>
        <w:t>, and thus may forage within the operational area</w:t>
      </w:r>
      <w:r w:rsidRPr="00276F81">
        <w:rPr>
          <w:rFonts w:ascii="Arial" w:hAnsi="Arial"/>
          <w:color w:val="191919"/>
          <w:sz w:val="22"/>
          <w:szCs w:val="22"/>
          <w:lang w:val="en-US"/>
        </w:rPr>
        <w:t xml:space="preserve">. Little penguins </w:t>
      </w:r>
      <w:r w:rsidR="005320D7" w:rsidRPr="00276F81">
        <w:rPr>
          <w:rFonts w:ascii="Arial" w:hAnsi="Arial"/>
          <w:color w:val="191919"/>
          <w:sz w:val="22"/>
          <w:szCs w:val="22"/>
          <w:lang w:val="en-US"/>
        </w:rPr>
        <w:t>are recorded in the VBA as being present throughout the EMBA.</w:t>
      </w:r>
      <w:r w:rsidRPr="00276F81">
        <w:rPr>
          <w:rFonts w:ascii="Arial" w:hAnsi="Arial"/>
          <w:color w:val="191919"/>
          <w:sz w:val="22"/>
          <w:szCs w:val="22"/>
          <w:lang w:val="en-US"/>
        </w:rPr>
        <w:t xml:space="preserve"> </w:t>
      </w:r>
    </w:p>
    <w:p w14:paraId="282CBA94" w14:textId="77777777" w:rsidR="002330FD" w:rsidRDefault="002330FD" w:rsidP="00276F81">
      <w:pPr>
        <w:spacing w:after="120"/>
        <w:ind w:left="0"/>
        <w:rPr>
          <w:rFonts w:cs="Arial"/>
          <w:sz w:val="22"/>
          <w:szCs w:val="22"/>
          <w:u w:val="single"/>
        </w:rPr>
      </w:pPr>
    </w:p>
    <w:p w14:paraId="35CFB3B7" w14:textId="7C2E43E0" w:rsidR="009452F7" w:rsidRPr="00891DE1" w:rsidRDefault="009452F7" w:rsidP="00276F81">
      <w:pPr>
        <w:spacing w:after="120"/>
        <w:ind w:left="0"/>
        <w:rPr>
          <w:rFonts w:cs="Arial"/>
          <w:sz w:val="22"/>
          <w:szCs w:val="22"/>
          <w:u w:val="single"/>
        </w:rPr>
      </w:pPr>
      <w:r w:rsidRPr="00891DE1">
        <w:rPr>
          <w:rFonts w:cs="Arial"/>
          <w:sz w:val="22"/>
          <w:szCs w:val="22"/>
          <w:u w:val="single"/>
        </w:rPr>
        <w:lastRenderedPageBreak/>
        <w:t>Terns</w:t>
      </w:r>
    </w:p>
    <w:p w14:paraId="3BA09604" w14:textId="16933D58" w:rsidR="009452F7" w:rsidRDefault="009452F7" w:rsidP="009452F7">
      <w:pPr>
        <w:pStyle w:val="bodycopy"/>
        <w:rPr>
          <w:rFonts w:ascii="Arial" w:hAnsi="Arial"/>
          <w:sz w:val="22"/>
          <w:szCs w:val="22"/>
        </w:rPr>
      </w:pPr>
      <w:r>
        <w:rPr>
          <w:rFonts w:ascii="Arial" w:hAnsi="Arial"/>
          <w:sz w:val="22"/>
          <w:szCs w:val="22"/>
        </w:rPr>
        <w:t>In addition to the three tern species listed under the EPBC Act, several other tern species are recorded as occurring in the EMBA under the VBA. These are the whiskered tern (</w:t>
      </w:r>
      <w:r w:rsidRPr="008413E0">
        <w:rPr>
          <w:rFonts w:ascii="Arial" w:hAnsi="Arial"/>
          <w:i/>
          <w:sz w:val="22"/>
          <w:szCs w:val="22"/>
        </w:rPr>
        <w:t>Chlidonias hybridus javanicus</w:t>
      </w:r>
      <w:r>
        <w:rPr>
          <w:rFonts w:ascii="Arial" w:hAnsi="Arial"/>
          <w:sz w:val="22"/>
          <w:szCs w:val="22"/>
        </w:rPr>
        <w:t>), white-winged black-tern (</w:t>
      </w:r>
      <w:r w:rsidRPr="008413E0">
        <w:rPr>
          <w:rFonts w:ascii="Arial" w:hAnsi="Arial"/>
          <w:i/>
          <w:sz w:val="22"/>
          <w:szCs w:val="22"/>
        </w:rPr>
        <w:t>C. leucopterus</w:t>
      </w:r>
      <w:r>
        <w:rPr>
          <w:rFonts w:ascii="Arial" w:hAnsi="Arial"/>
          <w:sz w:val="22"/>
          <w:szCs w:val="22"/>
        </w:rPr>
        <w:t xml:space="preserve">), </w:t>
      </w:r>
      <w:r w:rsidR="00694100">
        <w:rPr>
          <w:rFonts w:ascii="Arial" w:hAnsi="Arial"/>
          <w:sz w:val="22"/>
          <w:szCs w:val="22"/>
        </w:rPr>
        <w:t>gull-billed tern (</w:t>
      </w:r>
      <w:r w:rsidR="00694100" w:rsidRPr="00891DE1">
        <w:rPr>
          <w:rFonts w:ascii="Arial" w:hAnsi="Arial"/>
          <w:i/>
          <w:sz w:val="22"/>
          <w:szCs w:val="22"/>
        </w:rPr>
        <w:t>Gelochelidon nilotica macrotarsa</w:t>
      </w:r>
      <w:r w:rsidR="00694100">
        <w:rPr>
          <w:rFonts w:ascii="Arial" w:hAnsi="Arial"/>
          <w:sz w:val="22"/>
          <w:szCs w:val="22"/>
        </w:rPr>
        <w:t xml:space="preserve">), </w:t>
      </w:r>
      <w:r>
        <w:rPr>
          <w:rFonts w:ascii="Arial" w:hAnsi="Arial"/>
          <w:sz w:val="22"/>
          <w:szCs w:val="22"/>
        </w:rPr>
        <w:t>Caspian tern (</w:t>
      </w:r>
      <w:r w:rsidRPr="008413E0">
        <w:rPr>
          <w:rFonts w:ascii="Arial" w:hAnsi="Arial"/>
          <w:i/>
          <w:sz w:val="22"/>
          <w:szCs w:val="22"/>
        </w:rPr>
        <w:t>Hydroprogne caspia</w:t>
      </w:r>
      <w:r>
        <w:rPr>
          <w:rFonts w:ascii="Arial" w:hAnsi="Arial"/>
          <w:sz w:val="22"/>
          <w:szCs w:val="22"/>
        </w:rPr>
        <w:t>), common tern (</w:t>
      </w:r>
      <w:r w:rsidRPr="008413E0">
        <w:rPr>
          <w:rFonts w:ascii="Arial" w:hAnsi="Arial"/>
          <w:i/>
          <w:sz w:val="22"/>
          <w:szCs w:val="22"/>
        </w:rPr>
        <w:t>Sterna hirundo</w:t>
      </w:r>
      <w:r>
        <w:rPr>
          <w:rFonts w:ascii="Arial" w:hAnsi="Arial"/>
          <w:sz w:val="22"/>
          <w:szCs w:val="22"/>
        </w:rPr>
        <w:t>), Arctic tern (</w:t>
      </w:r>
      <w:r w:rsidRPr="008413E0">
        <w:rPr>
          <w:rFonts w:ascii="Arial" w:hAnsi="Arial"/>
          <w:i/>
          <w:sz w:val="22"/>
          <w:szCs w:val="22"/>
        </w:rPr>
        <w:t>S. paradisaea</w:t>
      </w:r>
      <w:r>
        <w:rPr>
          <w:rFonts w:ascii="Arial" w:hAnsi="Arial"/>
          <w:sz w:val="22"/>
          <w:szCs w:val="22"/>
        </w:rPr>
        <w:t>), white-fronted tern (</w:t>
      </w:r>
      <w:r w:rsidRPr="008413E0">
        <w:rPr>
          <w:rFonts w:ascii="Arial" w:hAnsi="Arial"/>
          <w:i/>
          <w:sz w:val="22"/>
          <w:szCs w:val="22"/>
        </w:rPr>
        <w:t>S. striata</w:t>
      </w:r>
      <w:r>
        <w:rPr>
          <w:rFonts w:ascii="Arial" w:hAnsi="Arial"/>
          <w:sz w:val="22"/>
          <w:szCs w:val="22"/>
        </w:rPr>
        <w:t>) and crested tern (</w:t>
      </w:r>
      <w:r w:rsidRPr="008413E0">
        <w:rPr>
          <w:rFonts w:ascii="Arial" w:hAnsi="Arial"/>
          <w:i/>
          <w:sz w:val="22"/>
          <w:szCs w:val="22"/>
        </w:rPr>
        <w:t>Thalasseus bergii</w:t>
      </w:r>
      <w:r>
        <w:rPr>
          <w:rFonts w:ascii="Arial" w:hAnsi="Arial"/>
          <w:sz w:val="22"/>
          <w:szCs w:val="22"/>
        </w:rPr>
        <w:t xml:space="preserve">). </w:t>
      </w:r>
      <w:r w:rsidR="00587E31">
        <w:rPr>
          <w:rFonts w:ascii="Arial" w:hAnsi="Arial"/>
          <w:sz w:val="22"/>
          <w:szCs w:val="22"/>
        </w:rPr>
        <w:t xml:space="preserve">The crested, little and Caspian terns have the most sightings within the VBA. </w:t>
      </w:r>
      <w:r w:rsidR="00694100">
        <w:rPr>
          <w:rFonts w:ascii="Arial" w:hAnsi="Arial"/>
          <w:sz w:val="22"/>
          <w:szCs w:val="22"/>
        </w:rPr>
        <w:t xml:space="preserve">Most terns </w:t>
      </w:r>
      <w:r w:rsidR="00587E31">
        <w:rPr>
          <w:rFonts w:ascii="Arial" w:hAnsi="Arial"/>
          <w:sz w:val="22"/>
          <w:szCs w:val="22"/>
        </w:rPr>
        <w:t xml:space="preserve">favour shoreline habitats, feeding on invertebrates and fish in marine waters and intertidal areas. Terns may overfly and forage in and around the proposed acquisition area.  </w:t>
      </w:r>
      <w:r>
        <w:rPr>
          <w:rFonts w:ascii="Arial" w:hAnsi="Arial"/>
          <w:sz w:val="22"/>
          <w:szCs w:val="22"/>
        </w:rPr>
        <w:t xml:space="preserve"> </w:t>
      </w:r>
    </w:p>
    <w:p w14:paraId="1AA7E382" w14:textId="77777777" w:rsidR="009452F7" w:rsidRDefault="009452F7" w:rsidP="009452F7">
      <w:pPr>
        <w:pStyle w:val="bodycopy"/>
        <w:rPr>
          <w:rFonts w:ascii="Arial" w:hAnsi="Arial"/>
          <w:sz w:val="22"/>
          <w:szCs w:val="22"/>
        </w:rPr>
      </w:pPr>
      <w:r>
        <w:rPr>
          <w:rFonts w:ascii="Arial" w:hAnsi="Arial"/>
          <w:sz w:val="22"/>
          <w:szCs w:val="22"/>
        </w:rPr>
        <w:t xml:space="preserve">Of these, the Caspian tern is listed as threatened under the FFG Act (as well as marine and migratory under the EPBC Act). In has regular breeding colonies at Corner Inlet (47 km southwest of the proposed acquisition area) and forages on fish and aquatic invertebrates in open wetlands, lakes and rivers, and is therefore unlikely to forage within the proposed acquisition area. </w:t>
      </w:r>
    </w:p>
    <w:p w14:paraId="6F1DE82B" w14:textId="77777777" w:rsidR="009452F7" w:rsidRPr="00891DE1" w:rsidRDefault="009452F7" w:rsidP="00891DE1">
      <w:pPr>
        <w:pStyle w:val="bodycopy"/>
        <w:tabs>
          <w:tab w:val="left" w:pos="0"/>
        </w:tabs>
        <w:rPr>
          <w:rFonts w:ascii="Arial" w:hAnsi="Arial"/>
          <w:sz w:val="22"/>
          <w:szCs w:val="22"/>
          <w:u w:val="single"/>
        </w:rPr>
      </w:pPr>
      <w:r w:rsidRPr="00891DE1">
        <w:rPr>
          <w:rFonts w:ascii="Arial" w:hAnsi="Arial"/>
          <w:sz w:val="22"/>
          <w:szCs w:val="22"/>
          <w:u w:val="single"/>
        </w:rPr>
        <w:t>Shearwaters</w:t>
      </w:r>
    </w:p>
    <w:p w14:paraId="3766219E" w14:textId="3510B1B2" w:rsidR="009452F7" w:rsidRDefault="009452F7" w:rsidP="00891DE1">
      <w:pPr>
        <w:pStyle w:val="bodycopy"/>
        <w:tabs>
          <w:tab w:val="left" w:pos="0"/>
        </w:tabs>
        <w:rPr>
          <w:rFonts w:ascii="Arial" w:hAnsi="Arial"/>
          <w:sz w:val="22"/>
          <w:szCs w:val="22"/>
        </w:rPr>
      </w:pPr>
      <w:r>
        <w:rPr>
          <w:rFonts w:ascii="Arial" w:hAnsi="Arial"/>
          <w:sz w:val="22"/>
          <w:szCs w:val="22"/>
        </w:rPr>
        <w:t>In addition to the EPBC Act-listed shearwaters previously described, there are five other shearwater species listed under the VBA as occurring with the EMBA (none of which are listed as threatened under the FFG Act), these being the:</w:t>
      </w:r>
    </w:p>
    <w:p w14:paraId="64246E0F" w14:textId="77777777" w:rsidR="009452F7" w:rsidRDefault="009452F7" w:rsidP="00891DE1">
      <w:pPr>
        <w:pStyle w:val="bodycopy"/>
        <w:numPr>
          <w:ilvl w:val="0"/>
          <w:numId w:val="32"/>
        </w:numPr>
        <w:spacing w:after="240"/>
        <w:rPr>
          <w:rFonts w:ascii="Arial" w:hAnsi="Arial"/>
          <w:sz w:val="22"/>
          <w:szCs w:val="22"/>
        </w:rPr>
      </w:pPr>
      <w:r>
        <w:rPr>
          <w:rFonts w:ascii="Arial" w:hAnsi="Arial"/>
          <w:sz w:val="22"/>
          <w:szCs w:val="22"/>
        </w:rPr>
        <w:t>Fluttering shearwater (</w:t>
      </w:r>
      <w:r w:rsidRPr="008413E0">
        <w:rPr>
          <w:rFonts w:ascii="Arial" w:hAnsi="Arial"/>
          <w:i/>
          <w:sz w:val="22"/>
          <w:szCs w:val="22"/>
        </w:rPr>
        <w:t>P. gavia</w:t>
      </w:r>
      <w:r>
        <w:rPr>
          <w:rFonts w:ascii="Arial" w:hAnsi="Arial"/>
          <w:sz w:val="22"/>
          <w:szCs w:val="22"/>
        </w:rPr>
        <w:t xml:space="preserve">) – 48 recorded observations within the EMBA, this species is endemic to New Zealand and may forage within the EMBA during its annual migration to Australia. </w:t>
      </w:r>
    </w:p>
    <w:p w14:paraId="649F101C" w14:textId="77777777" w:rsidR="009452F7" w:rsidRDefault="009452F7" w:rsidP="00891DE1">
      <w:pPr>
        <w:pStyle w:val="bodycopy"/>
        <w:numPr>
          <w:ilvl w:val="0"/>
          <w:numId w:val="32"/>
        </w:numPr>
        <w:spacing w:after="240"/>
        <w:rPr>
          <w:rFonts w:ascii="Arial" w:hAnsi="Arial"/>
          <w:sz w:val="22"/>
          <w:szCs w:val="22"/>
        </w:rPr>
      </w:pPr>
      <w:r>
        <w:rPr>
          <w:rFonts w:ascii="Arial" w:hAnsi="Arial"/>
          <w:sz w:val="22"/>
          <w:szCs w:val="22"/>
        </w:rPr>
        <w:t>Sooty shearwater (</w:t>
      </w:r>
      <w:r w:rsidRPr="008413E0">
        <w:rPr>
          <w:rFonts w:ascii="Arial" w:hAnsi="Arial"/>
          <w:i/>
          <w:sz w:val="22"/>
          <w:szCs w:val="22"/>
        </w:rPr>
        <w:t>P. grisea</w:t>
      </w:r>
      <w:r>
        <w:rPr>
          <w:rFonts w:ascii="Arial" w:hAnsi="Arial"/>
          <w:sz w:val="22"/>
          <w:szCs w:val="22"/>
        </w:rPr>
        <w:t xml:space="preserve">) – six recorded observations, this species may overfly and forage within the EMBA as they known to breed on islands off the southern Tasmanian and southern NSW coasts. </w:t>
      </w:r>
    </w:p>
    <w:p w14:paraId="4539FA22" w14:textId="77777777" w:rsidR="009452F7" w:rsidRDefault="009452F7" w:rsidP="00891DE1">
      <w:pPr>
        <w:pStyle w:val="bodycopy"/>
        <w:numPr>
          <w:ilvl w:val="0"/>
          <w:numId w:val="32"/>
        </w:numPr>
        <w:spacing w:after="240"/>
        <w:rPr>
          <w:rFonts w:ascii="Arial" w:hAnsi="Arial"/>
          <w:sz w:val="22"/>
          <w:szCs w:val="22"/>
        </w:rPr>
      </w:pPr>
      <w:r>
        <w:rPr>
          <w:rFonts w:ascii="Arial" w:hAnsi="Arial"/>
          <w:sz w:val="22"/>
          <w:szCs w:val="22"/>
        </w:rPr>
        <w:t>Hutton’s shearwater (</w:t>
      </w:r>
      <w:r w:rsidRPr="008413E0">
        <w:rPr>
          <w:rFonts w:ascii="Arial" w:hAnsi="Arial"/>
          <w:i/>
          <w:sz w:val="22"/>
          <w:szCs w:val="22"/>
        </w:rPr>
        <w:t>P. huttoni</w:t>
      </w:r>
      <w:r>
        <w:rPr>
          <w:rFonts w:ascii="Arial" w:hAnsi="Arial"/>
          <w:sz w:val="22"/>
          <w:szCs w:val="22"/>
        </w:rPr>
        <w:t xml:space="preserve">) – one recorded observation, with this species known only to occur off the Western Australian coast.  </w:t>
      </w:r>
    </w:p>
    <w:p w14:paraId="5C3DBCC5" w14:textId="77777777" w:rsidR="009452F7" w:rsidRDefault="009452F7" w:rsidP="00891DE1">
      <w:pPr>
        <w:pStyle w:val="bodycopy"/>
        <w:numPr>
          <w:ilvl w:val="0"/>
          <w:numId w:val="32"/>
        </w:numPr>
        <w:spacing w:after="240"/>
        <w:rPr>
          <w:rFonts w:ascii="Arial" w:hAnsi="Arial"/>
          <w:sz w:val="22"/>
          <w:szCs w:val="22"/>
        </w:rPr>
      </w:pPr>
      <w:r>
        <w:rPr>
          <w:rFonts w:ascii="Arial" w:hAnsi="Arial"/>
          <w:sz w:val="22"/>
          <w:szCs w:val="22"/>
        </w:rPr>
        <w:t>Wedge-tailed shearwater (</w:t>
      </w:r>
      <w:r w:rsidRPr="008413E0">
        <w:rPr>
          <w:rFonts w:ascii="Arial" w:hAnsi="Arial"/>
          <w:i/>
          <w:sz w:val="22"/>
          <w:szCs w:val="22"/>
        </w:rPr>
        <w:t>P. pacifica</w:t>
      </w:r>
      <w:r>
        <w:rPr>
          <w:rFonts w:ascii="Arial" w:hAnsi="Arial"/>
          <w:sz w:val="22"/>
          <w:szCs w:val="22"/>
        </w:rPr>
        <w:t xml:space="preserve">) – one recorded observation, this species may overfly and forage within the EMBA as they known to breed on islands off the WA west coast and Queensland and NSW coasts. It is widespread across the Indian and Pacific oceans. </w:t>
      </w:r>
    </w:p>
    <w:p w14:paraId="477FCA47" w14:textId="77777777" w:rsidR="009452F7" w:rsidRPr="00EB3AA9" w:rsidRDefault="009452F7" w:rsidP="00891DE1">
      <w:pPr>
        <w:pStyle w:val="bodycopy"/>
        <w:numPr>
          <w:ilvl w:val="0"/>
          <w:numId w:val="32"/>
        </w:numPr>
        <w:spacing w:after="240"/>
        <w:rPr>
          <w:rFonts w:ascii="Arial" w:hAnsi="Arial"/>
          <w:sz w:val="22"/>
          <w:szCs w:val="22"/>
        </w:rPr>
      </w:pPr>
      <w:r>
        <w:rPr>
          <w:rFonts w:ascii="Arial" w:hAnsi="Arial"/>
          <w:sz w:val="22"/>
          <w:szCs w:val="22"/>
        </w:rPr>
        <w:t>Short-tailed shearwater (</w:t>
      </w:r>
      <w:r w:rsidRPr="008413E0">
        <w:rPr>
          <w:rFonts w:ascii="Arial" w:hAnsi="Arial"/>
          <w:i/>
          <w:sz w:val="22"/>
          <w:szCs w:val="22"/>
        </w:rPr>
        <w:t>P. tenuirostris</w:t>
      </w:r>
      <w:r>
        <w:rPr>
          <w:rFonts w:ascii="Arial" w:hAnsi="Arial"/>
          <w:sz w:val="22"/>
          <w:szCs w:val="22"/>
        </w:rPr>
        <w:t>) – 92 recorded observations within the EMBA, this species may overfly and forage within the EMBA as they known to breed on islands off the Victorian, SA, southern WA, Tasmanian and NSW coasts.</w:t>
      </w:r>
    </w:p>
    <w:p w14:paraId="7C828CF2" w14:textId="59B39799" w:rsidR="009452F7" w:rsidRPr="00891DE1" w:rsidRDefault="009452F7" w:rsidP="009452F7">
      <w:pPr>
        <w:pStyle w:val="bodycopy"/>
        <w:rPr>
          <w:rFonts w:ascii="Arial" w:hAnsi="Arial"/>
          <w:sz w:val="22"/>
          <w:szCs w:val="22"/>
          <w:u w:val="single"/>
        </w:rPr>
      </w:pPr>
      <w:r w:rsidRPr="00891DE1">
        <w:rPr>
          <w:rFonts w:ascii="Arial" w:hAnsi="Arial"/>
          <w:sz w:val="22"/>
          <w:szCs w:val="22"/>
          <w:u w:val="single"/>
        </w:rPr>
        <w:t>Petrels</w:t>
      </w:r>
    </w:p>
    <w:p w14:paraId="5BD31B01" w14:textId="00F3F9E5" w:rsidR="00885EE5" w:rsidRPr="00EB3AA9" w:rsidRDefault="009452F7" w:rsidP="00276F81">
      <w:pPr>
        <w:pStyle w:val="bodycopy"/>
        <w:rPr>
          <w:sz w:val="22"/>
          <w:szCs w:val="22"/>
        </w:rPr>
      </w:pPr>
      <w:r w:rsidRPr="00276F81">
        <w:rPr>
          <w:rFonts w:ascii="Arial" w:hAnsi="Arial"/>
          <w:sz w:val="22"/>
          <w:szCs w:val="22"/>
        </w:rPr>
        <w:t>In addition to the EPBC Act-listed petrels previously described, there are five additional petrel species listed under the VBA (none of which are listed as threatened under the FFG Act), these being the Wilson’s storm petrel (</w:t>
      </w:r>
      <w:r w:rsidRPr="00276F81">
        <w:rPr>
          <w:rFonts w:ascii="Arial" w:hAnsi="Arial"/>
          <w:i/>
          <w:sz w:val="22"/>
          <w:szCs w:val="22"/>
        </w:rPr>
        <w:t>Oceanites oceanicus</w:t>
      </w:r>
      <w:r w:rsidRPr="00276F81">
        <w:rPr>
          <w:rFonts w:ascii="Arial" w:hAnsi="Arial"/>
          <w:sz w:val="22"/>
          <w:szCs w:val="22"/>
        </w:rPr>
        <w:t>), white-faced storm-petrel (</w:t>
      </w:r>
      <w:r w:rsidRPr="00276F81">
        <w:rPr>
          <w:rFonts w:ascii="Arial" w:hAnsi="Arial"/>
          <w:i/>
          <w:sz w:val="22"/>
          <w:szCs w:val="22"/>
        </w:rPr>
        <w:t>Pelagodroma marina</w:t>
      </w:r>
      <w:r w:rsidRPr="00276F81">
        <w:rPr>
          <w:rFonts w:ascii="Arial" w:hAnsi="Arial"/>
          <w:sz w:val="22"/>
          <w:szCs w:val="22"/>
        </w:rPr>
        <w:t>), common diving-petrel (</w:t>
      </w:r>
      <w:r w:rsidRPr="00276F81">
        <w:rPr>
          <w:rFonts w:ascii="Arial" w:hAnsi="Arial"/>
          <w:i/>
          <w:sz w:val="22"/>
          <w:szCs w:val="22"/>
        </w:rPr>
        <w:t>Pelecanoides urinatrix</w:t>
      </w:r>
      <w:r w:rsidRPr="00276F81">
        <w:rPr>
          <w:rFonts w:ascii="Arial" w:hAnsi="Arial"/>
          <w:sz w:val="22"/>
          <w:szCs w:val="22"/>
        </w:rPr>
        <w:t>), white-headed petrel (</w:t>
      </w:r>
      <w:r w:rsidRPr="00276F81">
        <w:rPr>
          <w:rFonts w:ascii="Arial" w:hAnsi="Arial"/>
          <w:i/>
          <w:sz w:val="22"/>
          <w:szCs w:val="22"/>
        </w:rPr>
        <w:t>Pterodroma lessonii</w:t>
      </w:r>
      <w:r w:rsidRPr="00276F81">
        <w:rPr>
          <w:rFonts w:ascii="Arial" w:hAnsi="Arial"/>
          <w:sz w:val="22"/>
          <w:szCs w:val="22"/>
        </w:rPr>
        <w:t>) and great-winged petrel (</w:t>
      </w:r>
      <w:r w:rsidRPr="00276F81">
        <w:rPr>
          <w:rFonts w:ascii="Arial" w:hAnsi="Arial"/>
          <w:i/>
          <w:sz w:val="22"/>
          <w:szCs w:val="22"/>
        </w:rPr>
        <w:t>Pterodroma macroptera</w:t>
      </w:r>
      <w:r w:rsidRPr="00276F81">
        <w:rPr>
          <w:rFonts w:ascii="Arial" w:hAnsi="Arial"/>
          <w:sz w:val="22"/>
          <w:szCs w:val="22"/>
        </w:rPr>
        <w:t xml:space="preserve">). They share the same broad habitat requirements as </w:t>
      </w:r>
      <w:r w:rsidR="00587E31" w:rsidRPr="00276F81">
        <w:rPr>
          <w:rFonts w:ascii="Arial" w:hAnsi="Arial"/>
          <w:sz w:val="22"/>
          <w:szCs w:val="22"/>
        </w:rPr>
        <w:t>the previously described petrel</w:t>
      </w:r>
      <w:r w:rsidRPr="00276F81">
        <w:rPr>
          <w:rFonts w:ascii="Arial" w:hAnsi="Arial"/>
          <w:sz w:val="22"/>
          <w:szCs w:val="22"/>
        </w:rPr>
        <w:t xml:space="preserve"> species</w:t>
      </w:r>
      <w:r w:rsidR="00587E31" w:rsidRPr="00276F81">
        <w:rPr>
          <w:rFonts w:ascii="Arial" w:hAnsi="Arial"/>
          <w:sz w:val="22"/>
          <w:szCs w:val="22"/>
        </w:rPr>
        <w:t xml:space="preserve"> and may overfly and forage in and around the proposed acquisition area</w:t>
      </w:r>
      <w:r w:rsidRPr="00276F81">
        <w:rPr>
          <w:rFonts w:ascii="Arial" w:hAnsi="Arial"/>
          <w:sz w:val="22"/>
          <w:szCs w:val="22"/>
        </w:rPr>
        <w:t xml:space="preserve">. </w:t>
      </w:r>
    </w:p>
    <w:p w14:paraId="0B7F9365" w14:textId="77777777" w:rsidR="00885EE5" w:rsidRPr="00D54428" w:rsidRDefault="00885EE5" w:rsidP="009678C7">
      <w:pPr>
        <w:pStyle w:val="Heading3"/>
      </w:pPr>
      <w:bookmarkStart w:id="289" w:name="_Toc474222016"/>
      <w:bookmarkStart w:id="290" w:name="_Toc375214566"/>
      <w:r>
        <w:lastRenderedPageBreak/>
        <w:t xml:space="preserve">Other EPBC Act-listed </w:t>
      </w:r>
      <w:r w:rsidRPr="009678C7">
        <w:t>species</w:t>
      </w:r>
      <w:bookmarkEnd w:id="289"/>
      <w:bookmarkEnd w:id="290"/>
      <w:r w:rsidRPr="0095051D">
        <w:tab/>
      </w:r>
    </w:p>
    <w:p w14:paraId="38463227" w14:textId="77777777" w:rsidR="00885EE5" w:rsidRPr="00BB0772" w:rsidRDefault="00885EE5" w:rsidP="00885EE5">
      <w:pPr>
        <w:pStyle w:val="bodycopy"/>
        <w:rPr>
          <w:rFonts w:ascii="Arial" w:hAnsi="Arial"/>
          <w:sz w:val="22"/>
          <w:szCs w:val="22"/>
        </w:rPr>
      </w:pPr>
      <w:r w:rsidRPr="00BB0772">
        <w:rPr>
          <w:rFonts w:ascii="Arial" w:hAnsi="Arial"/>
          <w:sz w:val="22"/>
          <w:szCs w:val="22"/>
        </w:rPr>
        <w:t xml:space="preserve">The PMST identifies several terrestrial species as occurring within the </w:t>
      </w:r>
      <w:r w:rsidR="00D54428" w:rsidRPr="00BB0772">
        <w:rPr>
          <w:rFonts w:ascii="Arial" w:hAnsi="Arial"/>
          <w:sz w:val="22"/>
          <w:szCs w:val="22"/>
        </w:rPr>
        <w:t>E</w:t>
      </w:r>
      <w:r w:rsidRPr="00BB0772">
        <w:rPr>
          <w:rFonts w:ascii="Arial" w:hAnsi="Arial"/>
          <w:sz w:val="22"/>
          <w:szCs w:val="22"/>
        </w:rPr>
        <w:t xml:space="preserve">MBA (likely due to the 1 km buffer on the search area). This includes: </w:t>
      </w:r>
    </w:p>
    <w:p w14:paraId="77FEDF4D" w14:textId="77777777" w:rsidR="00885EE5" w:rsidRPr="00BB0772" w:rsidRDefault="00885EE5" w:rsidP="002E4E3A">
      <w:pPr>
        <w:pStyle w:val="bodycopy"/>
        <w:numPr>
          <w:ilvl w:val="0"/>
          <w:numId w:val="31"/>
        </w:numPr>
        <w:rPr>
          <w:rFonts w:ascii="Arial" w:hAnsi="Arial"/>
          <w:sz w:val="22"/>
          <w:szCs w:val="22"/>
        </w:rPr>
      </w:pPr>
      <w:r w:rsidRPr="00BB0772">
        <w:rPr>
          <w:rFonts w:ascii="Arial" w:hAnsi="Arial"/>
          <w:sz w:val="22"/>
          <w:szCs w:val="22"/>
        </w:rPr>
        <w:t>Eight terrestrial mammals;</w:t>
      </w:r>
    </w:p>
    <w:p w14:paraId="07C984B6" w14:textId="77777777" w:rsidR="00885EE5" w:rsidRPr="00BB0772" w:rsidRDefault="00885EE5" w:rsidP="002E4E3A">
      <w:pPr>
        <w:pStyle w:val="bodycopy"/>
        <w:numPr>
          <w:ilvl w:val="0"/>
          <w:numId w:val="31"/>
        </w:numPr>
        <w:rPr>
          <w:rFonts w:ascii="Arial" w:hAnsi="Arial"/>
          <w:sz w:val="22"/>
          <w:szCs w:val="22"/>
        </w:rPr>
      </w:pPr>
      <w:r w:rsidRPr="00BB0772">
        <w:rPr>
          <w:rFonts w:ascii="Arial" w:hAnsi="Arial"/>
          <w:sz w:val="22"/>
          <w:szCs w:val="22"/>
        </w:rPr>
        <w:t>Four frogs; and</w:t>
      </w:r>
    </w:p>
    <w:p w14:paraId="58F4F7C8" w14:textId="77777777" w:rsidR="00885EE5" w:rsidRPr="00BB0772" w:rsidRDefault="00885EE5" w:rsidP="002E4E3A">
      <w:pPr>
        <w:pStyle w:val="bodycopy"/>
        <w:numPr>
          <w:ilvl w:val="0"/>
          <w:numId w:val="31"/>
        </w:numPr>
        <w:rPr>
          <w:rFonts w:ascii="Arial" w:hAnsi="Arial"/>
          <w:sz w:val="22"/>
          <w:szCs w:val="22"/>
        </w:rPr>
      </w:pPr>
      <w:r w:rsidRPr="00BB0772">
        <w:rPr>
          <w:rFonts w:ascii="Arial" w:hAnsi="Arial"/>
          <w:sz w:val="22"/>
          <w:szCs w:val="22"/>
        </w:rPr>
        <w:t>Five plants.</w:t>
      </w:r>
    </w:p>
    <w:p w14:paraId="48D2A04D" w14:textId="77777777" w:rsidR="00885EE5" w:rsidRPr="00BB0772" w:rsidRDefault="00885EE5" w:rsidP="00885EE5">
      <w:pPr>
        <w:pStyle w:val="bodycopy"/>
        <w:rPr>
          <w:rFonts w:ascii="Arial" w:hAnsi="Arial"/>
          <w:sz w:val="22"/>
          <w:szCs w:val="22"/>
        </w:rPr>
      </w:pPr>
      <w:r w:rsidRPr="00BB0772">
        <w:rPr>
          <w:rFonts w:ascii="Arial" w:hAnsi="Arial"/>
          <w:sz w:val="22"/>
          <w:szCs w:val="22"/>
        </w:rPr>
        <w:t xml:space="preserve">Given that the onshore area of the </w:t>
      </w:r>
      <w:r w:rsidR="00D54428" w:rsidRPr="00BB0772">
        <w:rPr>
          <w:rFonts w:ascii="Arial" w:hAnsi="Arial"/>
          <w:sz w:val="22"/>
          <w:szCs w:val="22"/>
        </w:rPr>
        <w:t>E</w:t>
      </w:r>
      <w:r w:rsidRPr="00BB0772">
        <w:rPr>
          <w:rFonts w:ascii="Arial" w:hAnsi="Arial"/>
          <w:sz w:val="22"/>
          <w:szCs w:val="22"/>
        </w:rPr>
        <w:t xml:space="preserve">MBA only includes shorelines up to the high water mark, these species are not found in the marine environment and are therefore not described in the EP. </w:t>
      </w:r>
    </w:p>
    <w:p w14:paraId="535C9259" w14:textId="77777777" w:rsidR="00885EE5" w:rsidRDefault="00885EE5" w:rsidP="009678C7">
      <w:pPr>
        <w:pStyle w:val="Heading3"/>
      </w:pPr>
      <w:bookmarkStart w:id="291" w:name="_Toc474222017"/>
      <w:bookmarkStart w:id="292" w:name="_Toc375214567"/>
      <w:r w:rsidRPr="009678C7">
        <w:t>Marine</w:t>
      </w:r>
      <w:r>
        <w:t xml:space="preserve"> Pests</w:t>
      </w:r>
      <w:bookmarkEnd w:id="291"/>
      <w:bookmarkEnd w:id="292"/>
    </w:p>
    <w:p w14:paraId="1054D9FA" w14:textId="77777777" w:rsidR="00885EE5" w:rsidRPr="00BB0772" w:rsidRDefault="00885EE5" w:rsidP="00885EE5">
      <w:pPr>
        <w:pStyle w:val="bodycopy"/>
        <w:rPr>
          <w:rFonts w:ascii="Arial" w:hAnsi="Arial"/>
          <w:sz w:val="22"/>
          <w:szCs w:val="22"/>
        </w:rPr>
      </w:pPr>
      <w:bookmarkStart w:id="293" w:name="OLE_LINK15"/>
      <w:bookmarkStart w:id="294" w:name="OLE_LINK16"/>
      <w:r w:rsidRPr="00BB0772">
        <w:rPr>
          <w:rFonts w:ascii="Arial" w:hAnsi="Arial"/>
          <w:sz w:val="22"/>
          <w:szCs w:val="22"/>
        </w:rPr>
        <w:t xml:space="preserve">In the South-east Marine Region, 115 marine pest species have been introduced and an additional 84 have been identified as possible introductions, or ‘cryptogenic’ species (NOO, 2002). Several introduced species have become pests either by displacing native species, dominating habitats or causing algal blooms. </w:t>
      </w:r>
    </w:p>
    <w:p w14:paraId="223B1600" w14:textId="77777777" w:rsidR="00885EE5" w:rsidRPr="00BB0772" w:rsidRDefault="00885EE5" w:rsidP="00885EE5">
      <w:pPr>
        <w:pStyle w:val="bodycopy"/>
        <w:rPr>
          <w:rFonts w:ascii="Arial" w:hAnsi="Arial"/>
          <w:sz w:val="22"/>
          <w:szCs w:val="22"/>
        </w:rPr>
      </w:pPr>
      <w:r w:rsidRPr="00BB0772">
        <w:rPr>
          <w:rFonts w:ascii="Arial" w:hAnsi="Arial"/>
          <w:sz w:val="22"/>
          <w:szCs w:val="22"/>
        </w:rPr>
        <w:t xml:space="preserve">Marine pests known to occur in South Gippsland, according to ParksVic (2015) </w:t>
      </w:r>
      <w:r w:rsidR="00D90773" w:rsidRPr="00BB0772">
        <w:rPr>
          <w:rFonts w:ascii="Arial" w:hAnsi="Arial"/>
          <w:sz w:val="22"/>
          <w:szCs w:val="22"/>
        </w:rPr>
        <w:t>and Butle</w:t>
      </w:r>
      <w:r w:rsidR="00D3485C" w:rsidRPr="00BB0772">
        <w:rPr>
          <w:rFonts w:ascii="Arial" w:hAnsi="Arial"/>
          <w:sz w:val="22"/>
          <w:szCs w:val="22"/>
        </w:rPr>
        <w:t>r</w:t>
      </w:r>
      <w:r w:rsidR="00D90773" w:rsidRPr="00BB0772">
        <w:rPr>
          <w:rFonts w:ascii="Arial" w:hAnsi="Arial"/>
          <w:sz w:val="22"/>
          <w:szCs w:val="22"/>
        </w:rPr>
        <w:t xml:space="preserve"> et al (2012) </w:t>
      </w:r>
      <w:r w:rsidRPr="00BB0772">
        <w:rPr>
          <w:rFonts w:ascii="Arial" w:hAnsi="Arial"/>
          <w:sz w:val="22"/>
          <w:szCs w:val="22"/>
        </w:rPr>
        <w:t>include:</w:t>
      </w:r>
    </w:p>
    <w:p w14:paraId="4FC7D118" w14:textId="77777777" w:rsidR="00885EE5" w:rsidRPr="00BB0772" w:rsidRDefault="00885EE5" w:rsidP="002E4E3A">
      <w:pPr>
        <w:pStyle w:val="bodycopy"/>
        <w:numPr>
          <w:ilvl w:val="0"/>
          <w:numId w:val="26"/>
        </w:numPr>
        <w:rPr>
          <w:rFonts w:ascii="Arial" w:hAnsi="Arial"/>
          <w:sz w:val="22"/>
          <w:szCs w:val="22"/>
        </w:rPr>
      </w:pPr>
      <w:r w:rsidRPr="00BB0772">
        <w:rPr>
          <w:rFonts w:ascii="Arial" w:hAnsi="Arial"/>
          <w:sz w:val="22"/>
          <w:szCs w:val="22"/>
        </w:rPr>
        <w:t>Pacific oyster (</w:t>
      </w:r>
      <w:r w:rsidRPr="00BB0772">
        <w:rPr>
          <w:rFonts w:ascii="Arial" w:hAnsi="Arial"/>
          <w:i/>
          <w:sz w:val="22"/>
          <w:szCs w:val="22"/>
        </w:rPr>
        <w:t>Crassostrea gigas</w:t>
      </w:r>
      <w:r w:rsidRPr="00BB0772">
        <w:rPr>
          <w:rFonts w:ascii="Arial" w:hAnsi="Arial"/>
          <w:sz w:val="22"/>
          <w:szCs w:val="22"/>
        </w:rPr>
        <w:t>) – small number of this oyster species are reported to occur in Western Port Bay and at Tidal River in the Wilsons Promontory National Park (DELWP, 2015).</w:t>
      </w:r>
    </w:p>
    <w:p w14:paraId="3FAD706B" w14:textId="4453C8B0" w:rsidR="00885EE5" w:rsidRPr="00BB0772" w:rsidRDefault="00885EE5" w:rsidP="002E4E3A">
      <w:pPr>
        <w:pStyle w:val="bodycopy"/>
        <w:numPr>
          <w:ilvl w:val="0"/>
          <w:numId w:val="26"/>
        </w:numPr>
        <w:rPr>
          <w:rFonts w:ascii="Arial" w:hAnsi="Arial"/>
          <w:sz w:val="22"/>
          <w:szCs w:val="22"/>
        </w:rPr>
      </w:pPr>
      <w:r w:rsidRPr="00BB0772">
        <w:rPr>
          <w:rFonts w:ascii="Arial" w:hAnsi="Arial"/>
          <w:sz w:val="22"/>
          <w:szCs w:val="22"/>
        </w:rPr>
        <w:t>Northern pacific seastar (</w:t>
      </w:r>
      <w:r w:rsidRPr="00BB0772">
        <w:rPr>
          <w:rFonts w:ascii="Arial" w:hAnsi="Arial"/>
          <w:i/>
          <w:sz w:val="22"/>
          <w:szCs w:val="22"/>
        </w:rPr>
        <w:t>Asterias amurensis</w:t>
      </w:r>
      <w:r w:rsidRPr="00BB0772">
        <w:rPr>
          <w:rFonts w:ascii="Arial" w:hAnsi="Arial"/>
          <w:sz w:val="22"/>
          <w:szCs w:val="22"/>
        </w:rPr>
        <w:t>) – prefer soft sediment habitat, but also use artificial structures and rocky reefs, living in water depths usually less than 25 m (but up to 200 m water depths). It is thought to have been introduced in 1995 through ballast water from Japan.</w:t>
      </w:r>
    </w:p>
    <w:p w14:paraId="7BBE8585" w14:textId="77777777" w:rsidR="00885EE5" w:rsidRPr="00BB0772" w:rsidRDefault="00885EE5" w:rsidP="002E4E3A">
      <w:pPr>
        <w:pStyle w:val="bodycopy"/>
        <w:numPr>
          <w:ilvl w:val="0"/>
          <w:numId w:val="26"/>
        </w:numPr>
        <w:rPr>
          <w:rFonts w:ascii="Arial" w:hAnsi="Arial"/>
          <w:sz w:val="22"/>
          <w:szCs w:val="22"/>
        </w:rPr>
      </w:pPr>
      <w:r w:rsidRPr="00BB0772">
        <w:rPr>
          <w:rFonts w:ascii="Arial" w:hAnsi="Arial"/>
          <w:sz w:val="22"/>
          <w:szCs w:val="22"/>
        </w:rPr>
        <w:t>New Zealand screw shell (</w:t>
      </w:r>
      <w:r w:rsidRPr="00BB0772">
        <w:rPr>
          <w:rFonts w:ascii="Arial" w:hAnsi="Arial"/>
          <w:i/>
          <w:sz w:val="22"/>
          <w:szCs w:val="22"/>
        </w:rPr>
        <w:t>Maoricolpus roseus</w:t>
      </w:r>
      <w:r w:rsidRPr="00BB0772">
        <w:rPr>
          <w:rFonts w:ascii="Arial" w:hAnsi="Arial"/>
          <w:sz w:val="22"/>
          <w:szCs w:val="22"/>
        </w:rPr>
        <w:t xml:space="preserve">) – lies on or partially buried in sand, mud or gravel in waters up to 130 m deep. It can densely blanket the sea floor with live and dead shells and compete with native scallops and other shellfish for food. This species is present in eastern Bass Strait, forming extensive and dense beds on sandy seabeds (Patil </w:t>
      </w:r>
      <w:r w:rsidRPr="00BB0772">
        <w:rPr>
          <w:rFonts w:ascii="Arial" w:hAnsi="Arial"/>
          <w:i/>
          <w:sz w:val="22"/>
          <w:szCs w:val="22"/>
        </w:rPr>
        <w:t>et al</w:t>
      </w:r>
      <w:r w:rsidRPr="00BB0772">
        <w:rPr>
          <w:rFonts w:ascii="Arial" w:hAnsi="Arial"/>
          <w:sz w:val="22"/>
          <w:szCs w:val="22"/>
        </w:rPr>
        <w:t xml:space="preserve">., 2004). </w:t>
      </w:r>
      <w:r w:rsidR="00D3485C" w:rsidRPr="00BB0772">
        <w:rPr>
          <w:rFonts w:ascii="Arial" w:hAnsi="Arial"/>
          <w:sz w:val="22"/>
          <w:szCs w:val="22"/>
        </w:rPr>
        <w:t xml:space="preserve">It is known to occur in the Point Hicks Marine National Park. </w:t>
      </w:r>
    </w:p>
    <w:p w14:paraId="5715388D" w14:textId="56FE799C" w:rsidR="00885EE5" w:rsidRPr="00BB0772" w:rsidRDefault="00885EE5" w:rsidP="002E4E3A">
      <w:pPr>
        <w:pStyle w:val="bodycopy"/>
        <w:numPr>
          <w:ilvl w:val="0"/>
          <w:numId w:val="26"/>
        </w:numPr>
        <w:spacing w:after="240"/>
        <w:ind w:left="714" w:hanging="357"/>
        <w:rPr>
          <w:rFonts w:ascii="Arial" w:hAnsi="Arial"/>
          <w:sz w:val="22"/>
          <w:szCs w:val="22"/>
        </w:rPr>
      </w:pPr>
      <w:r w:rsidRPr="00BB0772">
        <w:rPr>
          <w:rFonts w:ascii="Arial" w:hAnsi="Arial"/>
          <w:sz w:val="22"/>
          <w:szCs w:val="22"/>
        </w:rPr>
        <w:t>European shore crab (</w:t>
      </w:r>
      <w:r w:rsidRPr="00BB0772">
        <w:rPr>
          <w:rFonts w:ascii="Arial" w:hAnsi="Arial"/>
          <w:i/>
          <w:sz w:val="22"/>
          <w:szCs w:val="22"/>
        </w:rPr>
        <w:t>Carcinus maenas</w:t>
      </w:r>
      <w:r w:rsidRPr="00BB0772">
        <w:rPr>
          <w:rFonts w:ascii="Arial" w:hAnsi="Arial"/>
          <w:sz w:val="22"/>
          <w:szCs w:val="22"/>
        </w:rPr>
        <w:t xml:space="preserve">) – prefers intertidal areas, bays, estuaries, mudlfats and subtidal seagrass beds, but occurs in waters up to </w:t>
      </w:r>
      <w:r w:rsidR="002330FD">
        <w:rPr>
          <w:rFonts w:ascii="Arial" w:hAnsi="Arial"/>
          <w:sz w:val="22"/>
          <w:szCs w:val="22"/>
        </w:rPr>
        <w:br/>
      </w:r>
      <w:r w:rsidRPr="00BB0772">
        <w:rPr>
          <w:rFonts w:ascii="Arial" w:hAnsi="Arial"/>
          <w:sz w:val="22"/>
          <w:szCs w:val="22"/>
        </w:rPr>
        <w:t>60 m deep.</w:t>
      </w:r>
      <w:r w:rsidR="00D3485C" w:rsidRPr="00BB0772">
        <w:rPr>
          <w:rFonts w:ascii="Arial" w:hAnsi="Arial"/>
          <w:sz w:val="22"/>
          <w:szCs w:val="22"/>
        </w:rPr>
        <w:t xml:space="preserve"> It is presumed to occur on the intertidal reefs of all the marine national parks in Gippsland, except the Ninety Mile Beach </w:t>
      </w:r>
      <w:r w:rsidR="00AB11D9">
        <w:rPr>
          <w:rFonts w:ascii="Arial" w:hAnsi="Arial"/>
          <w:sz w:val="22"/>
          <w:szCs w:val="22"/>
        </w:rPr>
        <w:t>MNP</w:t>
      </w:r>
      <w:r w:rsidR="00D3485C" w:rsidRPr="00BB0772">
        <w:rPr>
          <w:rFonts w:ascii="Arial" w:hAnsi="Arial"/>
          <w:sz w:val="22"/>
          <w:szCs w:val="22"/>
        </w:rPr>
        <w:t xml:space="preserve"> (which has no intertidal reef).</w:t>
      </w:r>
    </w:p>
    <w:p w14:paraId="64274F2A" w14:textId="7D492088" w:rsidR="00885EE5" w:rsidRPr="00BB0772" w:rsidRDefault="00885EE5" w:rsidP="00885EE5">
      <w:pPr>
        <w:pStyle w:val="bodycopy"/>
        <w:rPr>
          <w:rFonts w:ascii="Arial" w:hAnsi="Arial"/>
          <w:sz w:val="22"/>
          <w:szCs w:val="22"/>
        </w:rPr>
      </w:pPr>
      <w:r w:rsidRPr="00BB0772">
        <w:rPr>
          <w:rFonts w:ascii="Arial" w:hAnsi="Arial"/>
          <w:sz w:val="22"/>
          <w:szCs w:val="22"/>
        </w:rPr>
        <w:t>The Marine Pests Interactive Map (DAFF, 201</w:t>
      </w:r>
      <w:r w:rsidR="00E353E6" w:rsidRPr="00BB0772">
        <w:rPr>
          <w:rFonts w:ascii="Arial" w:hAnsi="Arial"/>
          <w:sz w:val="22"/>
          <w:szCs w:val="22"/>
        </w:rPr>
        <w:t>7</w:t>
      </w:r>
      <w:r w:rsidRPr="00BB0772">
        <w:rPr>
          <w:rFonts w:ascii="Arial" w:hAnsi="Arial"/>
          <w:sz w:val="22"/>
          <w:szCs w:val="22"/>
        </w:rPr>
        <w:t xml:space="preserve">) indicates that the ports likely to be used for the </w:t>
      </w:r>
      <w:r w:rsidRPr="005D595C">
        <w:rPr>
          <w:rFonts w:ascii="Arial" w:hAnsi="Arial"/>
          <w:sz w:val="22"/>
          <w:szCs w:val="22"/>
        </w:rPr>
        <w:t>survey (</w:t>
      </w:r>
      <w:r w:rsidR="005D595C" w:rsidRPr="005D595C">
        <w:rPr>
          <w:rFonts w:ascii="Arial" w:hAnsi="Arial"/>
          <w:sz w:val="22"/>
          <w:szCs w:val="22"/>
        </w:rPr>
        <w:t xml:space="preserve">either Portland, Geelong, </w:t>
      </w:r>
      <w:r w:rsidRPr="005D595C">
        <w:rPr>
          <w:rFonts w:ascii="Arial" w:hAnsi="Arial"/>
          <w:sz w:val="22"/>
          <w:szCs w:val="22"/>
        </w:rPr>
        <w:t>Melbourne</w:t>
      </w:r>
      <w:r w:rsidR="00D90773" w:rsidRPr="005D595C">
        <w:rPr>
          <w:rFonts w:ascii="Arial" w:hAnsi="Arial"/>
          <w:sz w:val="22"/>
          <w:szCs w:val="22"/>
        </w:rPr>
        <w:t xml:space="preserve"> </w:t>
      </w:r>
      <w:r w:rsidR="005D595C" w:rsidRPr="005D595C">
        <w:rPr>
          <w:rFonts w:ascii="Arial" w:hAnsi="Arial"/>
          <w:sz w:val="22"/>
          <w:szCs w:val="22"/>
        </w:rPr>
        <w:t xml:space="preserve">or </w:t>
      </w:r>
      <w:r w:rsidR="00A45F82" w:rsidRPr="005D595C">
        <w:rPr>
          <w:rFonts w:ascii="Arial" w:hAnsi="Arial"/>
          <w:sz w:val="22"/>
          <w:szCs w:val="22"/>
        </w:rPr>
        <w:t>Eden</w:t>
      </w:r>
      <w:r w:rsidRPr="005D595C">
        <w:rPr>
          <w:rFonts w:ascii="Arial" w:hAnsi="Arial"/>
          <w:sz w:val="22"/>
          <w:szCs w:val="22"/>
        </w:rPr>
        <w:t>)</w:t>
      </w:r>
      <w:r w:rsidRPr="00BB0772">
        <w:rPr>
          <w:rFonts w:ascii="Arial" w:hAnsi="Arial"/>
          <w:sz w:val="22"/>
          <w:szCs w:val="22"/>
        </w:rPr>
        <w:t xml:space="preserve"> are known to harbour the following species:</w:t>
      </w:r>
    </w:p>
    <w:p w14:paraId="5314E535" w14:textId="77777777" w:rsidR="00885EE5" w:rsidRPr="00BB0772" w:rsidRDefault="00885EE5" w:rsidP="002E4E3A">
      <w:pPr>
        <w:pStyle w:val="bodycopy"/>
        <w:numPr>
          <w:ilvl w:val="0"/>
          <w:numId w:val="26"/>
        </w:numPr>
        <w:rPr>
          <w:rFonts w:ascii="Arial" w:hAnsi="Arial"/>
          <w:sz w:val="22"/>
          <w:szCs w:val="22"/>
        </w:rPr>
      </w:pPr>
      <w:r w:rsidRPr="00BB0772">
        <w:rPr>
          <w:rFonts w:ascii="Arial" w:hAnsi="Arial"/>
          <w:sz w:val="22"/>
          <w:szCs w:val="22"/>
        </w:rPr>
        <w:t>Northern pacific seastar – as above.</w:t>
      </w:r>
    </w:p>
    <w:p w14:paraId="63AA121F" w14:textId="77777777" w:rsidR="00885EE5" w:rsidRPr="00BB0772" w:rsidRDefault="00885EE5" w:rsidP="002E4E3A">
      <w:pPr>
        <w:pStyle w:val="bodycopy"/>
        <w:numPr>
          <w:ilvl w:val="0"/>
          <w:numId w:val="26"/>
        </w:numPr>
        <w:rPr>
          <w:rFonts w:ascii="Arial" w:hAnsi="Arial"/>
          <w:sz w:val="22"/>
          <w:szCs w:val="22"/>
        </w:rPr>
      </w:pPr>
      <w:r w:rsidRPr="00BB0772">
        <w:rPr>
          <w:rFonts w:ascii="Arial" w:hAnsi="Arial"/>
          <w:sz w:val="22"/>
          <w:szCs w:val="22"/>
        </w:rPr>
        <w:t>European shore crab – as above.</w:t>
      </w:r>
    </w:p>
    <w:p w14:paraId="0E86105F" w14:textId="77777777" w:rsidR="00885EE5" w:rsidRPr="00BB0772" w:rsidRDefault="00885EE5" w:rsidP="002E4E3A">
      <w:pPr>
        <w:pStyle w:val="bodycopy"/>
        <w:numPr>
          <w:ilvl w:val="0"/>
          <w:numId w:val="26"/>
        </w:numPr>
        <w:rPr>
          <w:rFonts w:ascii="Arial" w:hAnsi="Arial"/>
          <w:sz w:val="22"/>
          <w:szCs w:val="22"/>
        </w:rPr>
      </w:pPr>
      <w:r w:rsidRPr="00BB0772">
        <w:rPr>
          <w:rFonts w:ascii="Arial" w:hAnsi="Arial"/>
          <w:sz w:val="22"/>
          <w:szCs w:val="22"/>
        </w:rPr>
        <w:t xml:space="preserve">New Zealand screw shell – as above. </w:t>
      </w:r>
    </w:p>
    <w:p w14:paraId="482ECF93" w14:textId="48EFDE03" w:rsidR="00885EE5" w:rsidRPr="00BB0772" w:rsidRDefault="00885EE5" w:rsidP="002E4E3A">
      <w:pPr>
        <w:pStyle w:val="bodycopy"/>
        <w:numPr>
          <w:ilvl w:val="0"/>
          <w:numId w:val="26"/>
        </w:numPr>
        <w:rPr>
          <w:rFonts w:ascii="Arial" w:hAnsi="Arial"/>
          <w:sz w:val="22"/>
          <w:szCs w:val="22"/>
        </w:rPr>
      </w:pPr>
      <w:r w:rsidRPr="00BB0772">
        <w:rPr>
          <w:rFonts w:ascii="Arial" w:hAnsi="Arial"/>
          <w:sz w:val="22"/>
          <w:szCs w:val="22"/>
        </w:rPr>
        <w:t>European fan worms (</w:t>
      </w:r>
      <w:r w:rsidRPr="00BB0772">
        <w:rPr>
          <w:rFonts w:ascii="Arial" w:hAnsi="Arial"/>
          <w:i/>
          <w:sz w:val="22"/>
          <w:szCs w:val="22"/>
        </w:rPr>
        <w:t xml:space="preserve">Sabella spallanzannii </w:t>
      </w:r>
      <w:r w:rsidRPr="00BB0772">
        <w:rPr>
          <w:rFonts w:ascii="Arial" w:hAnsi="Arial"/>
          <w:sz w:val="22"/>
          <w:szCs w:val="22"/>
        </w:rPr>
        <w:t xml:space="preserve">and </w:t>
      </w:r>
      <w:r w:rsidRPr="00BB0772">
        <w:rPr>
          <w:rFonts w:ascii="Arial" w:hAnsi="Arial"/>
          <w:i/>
          <w:sz w:val="22"/>
          <w:szCs w:val="22"/>
        </w:rPr>
        <w:t>Euchone</w:t>
      </w:r>
      <w:r w:rsidRPr="00BB0772">
        <w:rPr>
          <w:rFonts w:ascii="Arial" w:hAnsi="Arial"/>
          <w:sz w:val="22"/>
          <w:szCs w:val="22"/>
        </w:rPr>
        <w:t xml:space="preserve"> sp) – attaches to hard surfaces, artificial structures and soft sediments, preferring sheltered waters up to 30 m deep. It reached Port Phillip Bay in the mid 1980s and is a</w:t>
      </w:r>
      <w:r w:rsidR="0053314D">
        <w:rPr>
          <w:rFonts w:ascii="Arial" w:hAnsi="Arial"/>
          <w:sz w:val="22"/>
          <w:szCs w:val="22"/>
        </w:rPr>
        <w:t xml:space="preserve"> nuisance fouler (ParksVic, 2017</w:t>
      </w:r>
      <w:r w:rsidRPr="00BB0772">
        <w:rPr>
          <w:rFonts w:ascii="Arial" w:hAnsi="Arial"/>
          <w:sz w:val="22"/>
          <w:szCs w:val="22"/>
        </w:rPr>
        <w:t>).</w:t>
      </w:r>
    </w:p>
    <w:p w14:paraId="46DE03AF" w14:textId="64D34E47" w:rsidR="00885EE5" w:rsidRPr="00BB0772" w:rsidRDefault="00885EE5" w:rsidP="002E4E3A">
      <w:pPr>
        <w:pStyle w:val="bodycopy"/>
        <w:numPr>
          <w:ilvl w:val="0"/>
          <w:numId w:val="26"/>
        </w:numPr>
        <w:rPr>
          <w:rFonts w:ascii="Arial" w:hAnsi="Arial"/>
          <w:sz w:val="22"/>
          <w:szCs w:val="22"/>
        </w:rPr>
      </w:pPr>
      <w:r w:rsidRPr="00BB0772">
        <w:rPr>
          <w:rFonts w:ascii="Arial" w:hAnsi="Arial"/>
          <w:sz w:val="22"/>
          <w:szCs w:val="22"/>
        </w:rPr>
        <w:lastRenderedPageBreak/>
        <w:t>Japanese kelp (</w:t>
      </w:r>
      <w:r w:rsidRPr="00BB0772">
        <w:rPr>
          <w:rFonts w:ascii="Arial" w:hAnsi="Arial"/>
          <w:i/>
          <w:sz w:val="22"/>
          <w:szCs w:val="22"/>
        </w:rPr>
        <w:t>Undaria pinnatifida</w:t>
      </w:r>
      <w:r w:rsidRPr="00BB0772">
        <w:rPr>
          <w:rFonts w:ascii="Arial" w:hAnsi="Arial"/>
          <w:sz w:val="22"/>
          <w:szCs w:val="22"/>
        </w:rPr>
        <w:t>) – occupies cold temperate oceanic waters up to 20 m deep, growing on rock, reef, stones and artificial structures. It rapidly forms dense forests and overgrows native species. It first established in Port Phillip Bay in the 1980s (ParksVic, 201</w:t>
      </w:r>
      <w:r w:rsidR="0053314D">
        <w:rPr>
          <w:rFonts w:ascii="Arial" w:hAnsi="Arial"/>
          <w:sz w:val="22"/>
          <w:szCs w:val="22"/>
        </w:rPr>
        <w:t>7</w:t>
      </w:r>
      <w:r w:rsidRPr="00BB0772">
        <w:rPr>
          <w:rFonts w:ascii="Arial" w:hAnsi="Arial"/>
          <w:sz w:val="22"/>
          <w:szCs w:val="22"/>
        </w:rPr>
        <w:t xml:space="preserve">). </w:t>
      </w:r>
    </w:p>
    <w:p w14:paraId="4E401CC7" w14:textId="7995A943" w:rsidR="00885EE5" w:rsidRPr="00BB0772" w:rsidRDefault="00885EE5" w:rsidP="002E4E3A">
      <w:pPr>
        <w:pStyle w:val="bodycopy"/>
        <w:numPr>
          <w:ilvl w:val="0"/>
          <w:numId w:val="26"/>
        </w:numPr>
        <w:rPr>
          <w:rFonts w:ascii="Arial" w:hAnsi="Arial"/>
          <w:sz w:val="22"/>
          <w:szCs w:val="22"/>
        </w:rPr>
      </w:pPr>
      <w:r w:rsidRPr="00BB0772">
        <w:rPr>
          <w:rFonts w:ascii="Arial" w:hAnsi="Arial"/>
          <w:sz w:val="22"/>
          <w:szCs w:val="22"/>
        </w:rPr>
        <w:t>Asian date mussel (</w:t>
      </w:r>
      <w:r w:rsidRPr="00BB0772">
        <w:rPr>
          <w:rFonts w:ascii="Arial" w:hAnsi="Arial"/>
          <w:i/>
          <w:sz w:val="22"/>
          <w:szCs w:val="22"/>
        </w:rPr>
        <w:t>Musculista senhousia</w:t>
      </w:r>
      <w:r w:rsidRPr="00BB0772">
        <w:rPr>
          <w:rFonts w:ascii="Arial" w:hAnsi="Arial"/>
          <w:sz w:val="22"/>
          <w:szCs w:val="22"/>
        </w:rPr>
        <w:t>) – prefers soft sediments in waters up to 20 m deep, forming mats and altering food availability for marine fauna.</w:t>
      </w:r>
    </w:p>
    <w:p w14:paraId="0C9CCDB8" w14:textId="77777777" w:rsidR="00885EE5" w:rsidRPr="00BB0772" w:rsidRDefault="00885EE5" w:rsidP="002E4E3A">
      <w:pPr>
        <w:pStyle w:val="bodycopy"/>
        <w:numPr>
          <w:ilvl w:val="0"/>
          <w:numId w:val="26"/>
        </w:numPr>
        <w:rPr>
          <w:rFonts w:ascii="Arial" w:hAnsi="Arial"/>
          <w:sz w:val="22"/>
          <w:szCs w:val="22"/>
        </w:rPr>
      </w:pPr>
      <w:r w:rsidRPr="00BB0772">
        <w:rPr>
          <w:rFonts w:ascii="Arial" w:hAnsi="Arial"/>
          <w:sz w:val="22"/>
          <w:szCs w:val="22"/>
        </w:rPr>
        <w:t>European shell clam (</w:t>
      </w:r>
      <w:r w:rsidRPr="00BB0772">
        <w:rPr>
          <w:rFonts w:ascii="Arial" w:hAnsi="Arial"/>
          <w:i/>
          <w:sz w:val="22"/>
          <w:szCs w:val="22"/>
        </w:rPr>
        <w:t>Varicorbula gibba</w:t>
      </w:r>
      <w:r w:rsidRPr="00BB0772">
        <w:rPr>
          <w:rFonts w:ascii="Arial" w:hAnsi="Arial"/>
          <w:sz w:val="22"/>
          <w:szCs w:val="22"/>
        </w:rPr>
        <w:t xml:space="preserve">) – burrows into soft-bottomed habitats in waters up to 150 m deep in temperate waters, forming mats and altering food availability for marine fauna. </w:t>
      </w:r>
    </w:p>
    <w:p w14:paraId="768CD3FF" w14:textId="55A48AE8" w:rsidR="00885EE5" w:rsidRPr="00BB0772" w:rsidRDefault="00885EE5" w:rsidP="00885EE5">
      <w:pPr>
        <w:pStyle w:val="bodycopy"/>
        <w:rPr>
          <w:rFonts w:ascii="Arial" w:hAnsi="Arial"/>
          <w:sz w:val="22"/>
          <w:szCs w:val="22"/>
        </w:rPr>
      </w:pPr>
      <w:r w:rsidRPr="00BB0772">
        <w:rPr>
          <w:rFonts w:ascii="Arial" w:hAnsi="Arial"/>
          <w:sz w:val="22"/>
          <w:szCs w:val="22"/>
        </w:rPr>
        <w:t xml:space="preserve">These species have the potential to be picked up in the ballast water and transferred to the </w:t>
      </w:r>
      <w:r w:rsidR="00E353E6" w:rsidRPr="00BB0772">
        <w:rPr>
          <w:rFonts w:ascii="Arial" w:hAnsi="Arial"/>
          <w:sz w:val="22"/>
          <w:szCs w:val="22"/>
        </w:rPr>
        <w:t xml:space="preserve">proposed acquisition </w:t>
      </w:r>
      <w:r w:rsidRPr="00BB0772">
        <w:rPr>
          <w:rFonts w:ascii="Arial" w:hAnsi="Arial"/>
          <w:sz w:val="22"/>
          <w:szCs w:val="22"/>
        </w:rPr>
        <w:t>area. Two of these species (Pacific oyster and European green crab) are also known to occur in the Gippsland Lakes (</w:t>
      </w:r>
      <w:r w:rsidR="0083513B">
        <w:rPr>
          <w:rFonts w:ascii="Arial" w:hAnsi="Arial"/>
          <w:sz w:val="22"/>
          <w:szCs w:val="22"/>
        </w:rPr>
        <w:t>Hirst &amp; Bott</w:t>
      </w:r>
      <w:r w:rsidRPr="00BB0772">
        <w:rPr>
          <w:rFonts w:ascii="Arial" w:hAnsi="Arial"/>
          <w:sz w:val="22"/>
          <w:szCs w:val="22"/>
        </w:rPr>
        <w:t>, 2016).</w:t>
      </w:r>
      <w:bookmarkEnd w:id="293"/>
      <w:bookmarkEnd w:id="294"/>
      <w:r w:rsidRPr="00BB0772">
        <w:rPr>
          <w:rFonts w:ascii="Arial" w:hAnsi="Arial"/>
          <w:sz w:val="22"/>
          <w:szCs w:val="22"/>
        </w:rPr>
        <w:t xml:space="preserve"> </w:t>
      </w:r>
    </w:p>
    <w:p w14:paraId="13ADDAC5" w14:textId="77777777" w:rsidR="00885EE5" w:rsidRPr="00BB0772" w:rsidRDefault="00885EE5" w:rsidP="00BB0772">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295" w:name="_Toc375214568"/>
      <w:bookmarkStart w:id="296" w:name="_Toc320190755"/>
      <w:r w:rsidRPr="00BB0772">
        <w:rPr>
          <w:rFonts w:cs="Times New Roman"/>
          <w:iCs w:val="0"/>
          <w:color w:val="064EA8"/>
          <w:szCs w:val="26"/>
          <w:lang w:eastAsia="en-US"/>
        </w:rPr>
        <w:t xml:space="preserve">Cultural </w:t>
      </w:r>
      <w:r w:rsidR="00C06526" w:rsidRPr="00BB0772">
        <w:rPr>
          <w:rFonts w:cs="Times New Roman"/>
          <w:iCs w:val="0"/>
          <w:color w:val="064EA8"/>
          <w:szCs w:val="26"/>
          <w:lang w:eastAsia="en-US"/>
        </w:rPr>
        <w:t xml:space="preserve">Heritage </w:t>
      </w:r>
      <w:r w:rsidRPr="00BB0772">
        <w:rPr>
          <w:rFonts w:cs="Times New Roman"/>
          <w:iCs w:val="0"/>
          <w:color w:val="064EA8"/>
          <w:szCs w:val="26"/>
          <w:lang w:eastAsia="en-US"/>
        </w:rPr>
        <w:t>Values</w:t>
      </w:r>
      <w:bookmarkEnd w:id="295"/>
      <w:r w:rsidRPr="00BB0772">
        <w:rPr>
          <w:rFonts w:cs="Times New Roman"/>
          <w:iCs w:val="0"/>
          <w:color w:val="064EA8"/>
          <w:szCs w:val="26"/>
          <w:lang w:eastAsia="en-US"/>
        </w:rPr>
        <w:t xml:space="preserve"> </w:t>
      </w:r>
      <w:bookmarkEnd w:id="296"/>
    </w:p>
    <w:p w14:paraId="0FAE783C" w14:textId="77777777" w:rsidR="00C06526" w:rsidRPr="00BB0772" w:rsidRDefault="00C06526" w:rsidP="00C06526">
      <w:pPr>
        <w:pStyle w:val="bodycopy"/>
        <w:rPr>
          <w:rFonts w:ascii="Arial" w:hAnsi="Arial"/>
          <w:sz w:val="22"/>
          <w:szCs w:val="22"/>
        </w:rPr>
      </w:pPr>
      <w:r w:rsidRPr="00BB0772">
        <w:rPr>
          <w:rFonts w:ascii="Arial" w:hAnsi="Arial"/>
          <w:sz w:val="22"/>
          <w:szCs w:val="22"/>
        </w:rPr>
        <w:t>Cultural heritage can be broadly defined as the legacy of physical science art</w:t>
      </w:r>
      <w:r w:rsidR="008B3902" w:rsidRPr="00BB0772">
        <w:rPr>
          <w:rFonts w:ascii="Arial" w:hAnsi="Arial"/>
          <w:sz w:val="22"/>
          <w:szCs w:val="22"/>
        </w:rPr>
        <w:t>e</w:t>
      </w:r>
      <w:r w:rsidRPr="00BB0772">
        <w:rPr>
          <w:rFonts w:ascii="Arial" w:hAnsi="Arial"/>
          <w:sz w:val="22"/>
          <w:szCs w:val="22"/>
        </w:rPr>
        <w:t>facts and intangible attributes of a group or </w:t>
      </w:r>
      <w:hyperlink r:id="rId149" w:tooltip="Society" w:history="1">
        <w:r w:rsidRPr="00BB0772">
          <w:rPr>
            <w:rFonts w:ascii="Arial" w:hAnsi="Arial"/>
            <w:sz w:val="22"/>
            <w:szCs w:val="22"/>
          </w:rPr>
          <w:t>society</w:t>
        </w:r>
      </w:hyperlink>
      <w:r w:rsidRPr="00BB0772">
        <w:rPr>
          <w:rFonts w:ascii="Arial" w:hAnsi="Arial"/>
          <w:sz w:val="22"/>
          <w:szCs w:val="22"/>
        </w:rPr>
        <w:t> that are inherited from past generations, maintained in the present and bestowed for the benefit of future generations. Cultural heritage includes </w:t>
      </w:r>
      <w:hyperlink r:id="rId150" w:tooltip="Cultural property" w:history="1">
        <w:r w:rsidRPr="00BB0772">
          <w:rPr>
            <w:rFonts w:ascii="Arial" w:hAnsi="Arial"/>
            <w:sz w:val="22"/>
            <w:szCs w:val="22"/>
          </w:rPr>
          <w:t>tangible culture</w:t>
        </w:r>
      </w:hyperlink>
      <w:r w:rsidRPr="00BB0772">
        <w:rPr>
          <w:rFonts w:ascii="Arial" w:hAnsi="Arial"/>
          <w:sz w:val="22"/>
          <w:szCs w:val="22"/>
        </w:rPr>
        <w:t> (such as buildings, monuments, landscapes, books, works of art, and art</w:t>
      </w:r>
      <w:r w:rsidR="008B3902" w:rsidRPr="00BB0772">
        <w:rPr>
          <w:rFonts w:ascii="Arial" w:hAnsi="Arial"/>
          <w:sz w:val="22"/>
          <w:szCs w:val="22"/>
        </w:rPr>
        <w:t>e</w:t>
      </w:r>
      <w:r w:rsidRPr="00BB0772">
        <w:rPr>
          <w:rFonts w:ascii="Arial" w:hAnsi="Arial"/>
          <w:sz w:val="22"/>
          <w:szCs w:val="22"/>
        </w:rPr>
        <w:t>facts), intangible culture (such as folklore, traditions, language, and knowledge) and natural heritage (including culturally significant landscapes</w:t>
      </w:r>
      <w:r w:rsidR="008B3902" w:rsidRPr="00BB0772">
        <w:rPr>
          <w:rFonts w:ascii="Arial" w:hAnsi="Arial"/>
          <w:sz w:val="22"/>
          <w:szCs w:val="22"/>
        </w:rPr>
        <w:t xml:space="preserve">). </w:t>
      </w:r>
    </w:p>
    <w:p w14:paraId="33473FE8" w14:textId="77777777" w:rsidR="00C06526" w:rsidRPr="00BB0772" w:rsidRDefault="008B3902" w:rsidP="008B3902">
      <w:pPr>
        <w:pStyle w:val="bodycopy"/>
        <w:rPr>
          <w:rFonts w:ascii="Arial" w:hAnsi="Arial"/>
          <w:sz w:val="22"/>
          <w:szCs w:val="22"/>
        </w:rPr>
      </w:pPr>
      <w:r w:rsidRPr="00BB0772">
        <w:rPr>
          <w:rFonts w:ascii="Arial" w:hAnsi="Arial"/>
          <w:sz w:val="22"/>
          <w:szCs w:val="22"/>
        </w:rPr>
        <w:t xml:space="preserve">This section describes the cultural heritage values of the EMBA (which includes the coastline up to the high-water mark), which are broadly categorised as Aboriginal and non-Aboriginal (maritime archaeology). </w:t>
      </w:r>
    </w:p>
    <w:p w14:paraId="4F6B8444" w14:textId="77777777" w:rsidR="00885EE5" w:rsidRPr="00D54428" w:rsidRDefault="00885EE5" w:rsidP="009678C7">
      <w:pPr>
        <w:pStyle w:val="Heading3"/>
      </w:pPr>
      <w:bookmarkStart w:id="297" w:name="_Toc474222019"/>
      <w:bookmarkStart w:id="298" w:name="_Toc375214569"/>
      <w:r>
        <w:t xml:space="preserve">Aboriginal </w:t>
      </w:r>
      <w:r w:rsidRPr="009678C7">
        <w:t>Heritage</w:t>
      </w:r>
      <w:bookmarkEnd w:id="297"/>
      <w:bookmarkEnd w:id="298"/>
    </w:p>
    <w:p w14:paraId="6ABE0E80" w14:textId="004423E5" w:rsidR="00D77840" w:rsidRPr="00BB0772" w:rsidRDefault="00D77840" w:rsidP="0099759B">
      <w:pPr>
        <w:pStyle w:val="bodycopy"/>
        <w:rPr>
          <w:rFonts w:ascii="Arial" w:hAnsi="Arial"/>
          <w:sz w:val="22"/>
          <w:szCs w:val="22"/>
        </w:rPr>
      </w:pPr>
      <w:bookmarkStart w:id="299" w:name="OLE_LINK25"/>
      <w:bookmarkStart w:id="300" w:name="OLE_LINK26"/>
      <w:r w:rsidRPr="00BB0772">
        <w:rPr>
          <w:rFonts w:ascii="Arial" w:hAnsi="Arial"/>
          <w:sz w:val="22"/>
          <w:szCs w:val="22"/>
        </w:rPr>
        <w:t xml:space="preserve">Aboriginal people have occupied Gippsland for at least 18,000 years and probably for over 40,000 years (OMV, 2003). The coastline adjacent to the proposed acquisition area </w:t>
      </w:r>
      <w:r w:rsidR="0079635C" w:rsidRPr="00BB0772">
        <w:rPr>
          <w:rFonts w:ascii="Arial" w:hAnsi="Arial"/>
          <w:sz w:val="22"/>
          <w:szCs w:val="22"/>
        </w:rPr>
        <w:t>is</w:t>
      </w:r>
      <w:r w:rsidR="00A67B73" w:rsidRPr="00BB0772">
        <w:rPr>
          <w:rFonts w:ascii="Arial" w:hAnsi="Arial"/>
          <w:sz w:val="22"/>
          <w:szCs w:val="22"/>
        </w:rPr>
        <w:t xml:space="preserve"> occupied by the </w:t>
      </w:r>
      <w:r w:rsidR="00A67B73" w:rsidRPr="00BB0772">
        <w:rPr>
          <w:rFonts w:ascii="Arial" w:hAnsi="Arial"/>
          <w:i/>
          <w:sz w:val="22"/>
          <w:szCs w:val="22"/>
        </w:rPr>
        <w:t>Gunai</w:t>
      </w:r>
      <w:r w:rsidR="00D66BB7" w:rsidRPr="00BB0772">
        <w:rPr>
          <w:rFonts w:ascii="Arial" w:hAnsi="Arial"/>
          <w:i/>
          <w:sz w:val="22"/>
          <w:szCs w:val="22"/>
        </w:rPr>
        <w:t>k</w:t>
      </w:r>
      <w:r w:rsidR="00A67B73" w:rsidRPr="00BB0772">
        <w:rPr>
          <w:rFonts w:ascii="Arial" w:hAnsi="Arial"/>
          <w:i/>
          <w:sz w:val="22"/>
          <w:szCs w:val="22"/>
        </w:rPr>
        <w:t>urnai</w:t>
      </w:r>
      <w:r w:rsidR="00A67B73" w:rsidRPr="00BB0772">
        <w:rPr>
          <w:rFonts w:ascii="Arial" w:hAnsi="Arial"/>
          <w:sz w:val="22"/>
          <w:szCs w:val="22"/>
        </w:rPr>
        <w:t xml:space="preserve"> </w:t>
      </w:r>
      <w:r w:rsidR="00A23B8F" w:rsidRPr="00BB0772">
        <w:rPr>
          <w:rFonts w:ascii="Arial" w:hAnsi="Arial"/>
          <w:sz w:val="22"/>
          <w:szCs w:val="22"/>
        </w:rPr>
        <w:t>language group</w:t>
      </w:r>
      <w:r w:rsidR="0079635C" w:rsidRPr="00BB0772">
        <w:rPr>
          <w:rFonts w:ascii="Arial" w:hAnsi="Arial"/>
          <w:sz w:val="22"/>
          <w:szCs w:val="22"/>
        </w:rPr>
        <w:t>, which comprises five distinct clans</w:t>
      </w:r>
      <w:r w:rsidR="00A23B8F" w:rsidRPr="00BB0772">
        <w:rPr>
          <w:rFonts w:ascii="Arial" w:hAnsi="Arial"/>
          <w:sz w:val="22"/>
          <w:szCs w:val="22"/>
        </w:rPr>
        <w:t>; the Brataualung, the Brayalaulung, the Tatungalung, the Brabalung and the Krautungalung (</w:t>
      </w:r>
      <w:r w:rsidR="0082705F">
        <w:rPr>
          <w:rFonts w:ascii="Arial" w:hAnsi="Arial"/>
          <w:sz w:val="22"/>
          <w:szCs w:val="22"/>
        </w:rPr>
        <w:t>Basslink</w:t>
      </w:r>
      <w:r w:rsidR="00D66BB7" w:rsidRPr="00BB0772">
        <w:rPr>
          <w:rFonts w:ascii="Arial" w:hAnsi="Arial"/>
          <w:sz w:val="22"/>
          <w:szCs w:val="22"/>
        </w:rPr>
        <w:t>, 2001)</w:t>
      </w:r>
      <w:r w:rsidR="00A67B73" w:rsidRPr="00BB0772">
        <w:rPr>
          <w:rFonts w:ascii="Arial" w:hAnsi="Arial"/>
          <w:sz w:val="22"/>
          <w:szCs w:val="22"/>
        </w:rPr>
        <w:t xml:space="preserve">. </w:t>
      </w:r>
      <w:r w:rsidR="00D66BB7" w:rsidRPr="00BB0772">
        <w:rPr>
          <w:rFonts w:ascii="Arial" w:hAnsi="Arial"/>
          <w:sz w:val="22"/>
          <w:szCs w:val="22"/>
        </w:rPr>
        <w:t xml:space="preserve">Estimates of the number of clanspeople in the </w:t>
      </w:r>
      <w:r w:rsidR="00D66BB7" w:rsidRPr="00BB0772">
        <w:rPr>
          <w:rFonts w:ascii="Arial" w:hAnsi="Arial"/>
          <w:i/>
          <w:sz w:val="22"/>
          <w:szCs w:val="22"/>
        </w:rPr>
        <w:t>Gunaikurnai</w:t>
      </w:r>
      <w:r w:rsidR="00D66BB7" w:rsidRPr="00BB0772">
        <w:rPr>
          <w:rFonts w:ascii="Arial" w:hAnsi="Arial"/>
          <w:sz w:val="22"/>
          <w:szCs w:val="22"/>
        </w:rPr>
        <w:t xml:space="preserve"> are between 3,000 and 5,000 prior to European contact (</w:t>
      </w:r>
      <w:r w:rsidR="0082705F">
        <w:rPr>
          <w:rFonts w:ascii="Arial" w:hAnsi="Arial"/>
          <w:sz w:val="22"/>
          <w:szCs w:val="22"/>
        </w:rPr>
        <w:t>Basslink</w:t>
      </w:r>
      <w:r w:rsidR="00D66BB7" w:rsidRPr="00BB0772">
        <w:rPr>
          <w:rFonts w:ascii="Arial" w:hAnsi="Arial"/>
          <w:sz w:val="22"/>
          <w:szCs w:val="22"/>
        </w:rPr>
        <w:t>, 2001).</w:t>
      </w:r>
    </w:p>
    <w:p w14:paraId="183F30A0" w14:textId="38E201FF" w:rsidR="0099759B" w:rsidRPr="00BB0772" w:rsidRDefault="00A67B73" w:rsidP="0099759B">
      <w:pPr>
        <w:pStyle w:val="bodycopy"/>
        <w:rPr>
          <w:rFonts w:ascii="Arial" w:hAnsi="Arial"/>
          <w:sz w:val="22"/>
          <w:szCs w:val="22"/>
          <w:highlight w:val="lightGray"/>
        </w:rPr>
      </w:pPr>
      <w:r w:rsidRPr="00BB0772">
        <w:rPr>
          <w:rFonts w:ascii="Arial" w:hAnsi="Arial"/>
          <w:sz w:val="22"/>
          <w:szCs w:val="22"/>
        </w:rPr>
        <w:t xml:space="preserve">The Gippsland coastline is of significant Aboriginal cultural heritage significance. </w:t>
      </w:r>
      <w:r w:rsidR="00B24760" w:rsidRPr="00BB0772">
        <w:rPr>
          <w:rFonts w:ascii="Arial" w:hAnsi="Arial"/>
          <w:sz w:val="22"/>
          <w:szCs w:val="22"/>
        </w:rPr>
        <w:t>Coastal fishing is an important part of Aboriginal culture, with fishing methods including hand gathering, lines, rods and reels, nets, traps and spears (DoE, 2015</w:t>
      </w:r>
      <w:r w:rsidR="006B79A3">
        <w:rPr>
          <w:rFonts w:ascii="Arial" w:hAnsi="Arial"/>
          <w:sz w:val="22"/>
          <w:szCs w:val="22"/>
        </w:rPr>
        <w:t>a</w:t>
      </w:r>
      <w:r w:rsidR="00B24760" w:rsidRPr="00BB0772">
        <w:rPr>
          <w:rFonts w:ascii="Arial" w:hAnsi="Arial"/>
          <w:sz w:val="22"/>
          <w:szCs w:val="22"/>
        </w:rPr>
        <w:t xml:space="preserve">). </w:t>
      </w:r>
      <w:r w:rsidR="0099759B" w:rsidRPr="00BB0772">
        <w:rPr>
          <w:rFonts w:ascii="Arial" w:hAnsi="Arial"/>
          <w:sz w:val="22"/>
          <w:szCs w:val="22"/>
        </w:rPr>
        <w:t xml:space="preserve">The Victorian Aboriginal Heritage Register contains details of Aboriginal cultural heritage places and objects areas along the coastline, however this is not publically accessible as it contains culturally sensitive information. </w:t>
      </w:r>
    </w:p>
    <w:p w14:paraId="4B3921B9" w14:textId="142F778F" w:rsidR="0099759B" w:rsidRPr="00BB0772" w:rsidRDefault="00B24760" w:rsidP="0099759B">
      <w:pPr>
        <w:pStyle w:val="bodycopy"/>
        <w:rPr>
          <w:rFonts w:ascii="Arial" w:hAnsi="Arial"/>
          <w:sz w:val="22"/>
          <w:szCs w:val="22"/>
          <w:highlight w:val="lightGray"/>
        </w:rPr>
      </w:pPr>
      <w:r w:rsidRPr="00BB0772">
        <w:rPr>
          <w:rFonts w:ascii="Arial" w:hAnsi="Arial"/>
          <w:sz w:val="22"/>
          <w:szCs w:val="22"/>
        </w:rPr>
        <w:t xml:space="preserve">Crustaceans </w:t>
      </w:r>
      <w:r w:rsidR="00F822A4" w:rsidRPr="00BB0772">
        <w:rPr>
          <w:rFonts w:ascii="Arial" w:hAnsi="Arial"/>
          <w:sz w:val="22"/>
          <w:szCs w:val="22"/>
        </w:rPr>
        <w:t xml:space="preserve">(e.g., rock lobster, crab) </w:t>
      </w:r>
      <w:r w:rsidRPr="00BB0772">
        <w:rPr>
          <w:rFonts w:ascii="Arial" w:hAnsi="Arial"/>
          <w:sz w:val="22"/>
          <w:szCs w:val="22"/>
        </w:rPr>
        <w:t xml:space="preserve">and </w:t>
      </w:r>
      <w:r w:rsidR="00F822A4" w:rsidRPr="00BB0772">
        <w:rPr>
          <w:rFonts w:ascii="Arial" w:hAnsi="Arial"/>
          <w:sz w:val="22"/>
          <w:szCs w:val="22"/>
        </w:rPr>
        <w:t xml:space="preserve">shellfish </w:t>
      </w:r>
      <w:r w:rsidRPr="00BB0772">
        <w:rPr>
          <w:rFonts w:ascii="Arial" w:hAnsi="Arial"/>
          <w:sz w:val="22"/>
          <w:szCs w:val="22"/>
        </w:rPr>
        <w:t xml:space="preserve">formed an important part of the diet of Aboriginals living along the coast. </w:t>
      </w:r>
      <w:r w:rsidR="0099759B" w:rsidRPr="00BB0772">
        <w:rPr>
          <w:rFonts w:ascii="Arial" w:hAnsi="Arial"/>
          <w:sz w:val="22"/>
          <w:szCs w:val="22"/>
        </w:rPr>
        <w:t xml:space="preserve">There are numerous areas containing Aboriginal shell middens (i.e., the remains of shellfish eaten by Aboriginal people) along the sand dunes of the Gippsland coast. </w:t>
      </w:r>
      <w:r w:rsidR="00C06526" w:rsidRPr="00BB0772">
        <w:rPr>
          <w:rFonts w:ascii="Arial" w:hAnsi="Arial"/>
          <w:sz w:val="22"/>
          <w:szCs w:val="22"/>
        </w:rPr>
        <w:t xml:space="preserve">Coastal shell middens are found as layers of shell exposed in the side of dunes, banks or cliff tops or as scatters of shell exposed on eroded surfaces. </w:t>
      </w:r>
      <w:r w:rsidR="0099759B" w:rsidRPr="00BB0772">
        <w:rPr>
          <w:rFonts w:ascii="Arial" w:hAnsi="Arial"/>
          <w:sz w:val="22"/>
          <w:szCs w:val="22"/>
        </w:rPr>
        <w:t>These areas may also contain charcoal and hearth stones from fires, and items such as bone and stone artefacts</w:t>
      </w:r>
      <w:r w:rsidR="00C06526" w:rsidRPr="00BB0772">
        <w:rPr>
          <w:rFonts w:ascii="Arial" w:hAnsi="Arial"/>
          <w:sz w:val="22"/>
          <w:szCs w:val="22"/>
        </w:rPr>
        <w:t xml:space="preserve">, and </w:t>
      </w:r>
      <w:r w:rsidR="0099759B" w:rsidRPr="00BB0772">
        <w:rPr>
          <w:rFonts w:ascii="Arial" w:hAnsi="Arial"/>
          <w:sz w:val="22"/>
          <w:szCs w:val="22"/>
        </w:rPr>
        <w:t xml:space="preserve">are </w:t>
      </w:r>
      <w:r w:rsidR="00C06526" w:rsidRPr="00BB0772">
        <w:rPr>
          <w:rFonts w:ascii="Arial" w:hAnsi="Arial"/>
          <w:sz w:val="22"/>
          <w:szCs w:val="22"/>
        </w:rPr>
        <w:t xml:space="preserve">often </w:t>
      </w:r>
      <w:r w:rsidR="0099759B" w:rsidRPr="00BB0772">
        <w:rPr>
          <w:rFonts w:ascii="Arial" w:hAnsi="Arial"/>
          <w:sz w:val="22"/>
          <w:szCs w:val="22"/>
        </w:rPr>
        <w:t xml:space="preserve">located within sheltered positions in the dunes, coastal scrub and woodlands. </w:t>
      </w:r>
      <w:r w:rsidR="00C36D14" w:rsidRPr="00BB0772">
        <w:rPr>
          <w:rFonts w:ascii="Arial" w:hAnsi="Arial"/>
          <w:sz w:val="22"/>
          <w:szCs w:val="22"/>
        </w:rPr>
        <w:t>Other archaeological sites present along the Gippsland coast include scar trees and assorted artefact scatters (</w:t>
      </w:r>
      <w:r w:rsidR="0082705F">
        <w:rPr>
          <w:rFonts w:ascii="Arial" w:hAnsi="Arial"/>
          <w:sz w:val="22"/>
          <w:szCs w:val="22"/>
        </w:rPr>
        <w:t>Basslink</w:t>
      </w:r>
      <w:r w:rsidR="00C36D14" w:rsidRPr="00BB0772">
        <w:rPr>
          <w:rFonts w:ascii="Arial" w:hAnsi="Arial"/>
          <w:sz w:val="22"/>
          <w:szCs w:val="22"/>
        </w:rPr>
        <w:t>, 2001).</w:t>
      </w:r>
      <w:bookmarkEnd w:id="299"/>
      <w:bookmarkEnd w:id="300"/>
      <w:r w:rsidR="00C36D14" w:rsidRPr="00BB0772">
        <w:rPr>
          <w:rFonts w:ascii="Arial" w:hAnsi="Arial"/>
          <w:sz w:val="22"/>
          <w:szCs w:val="22"/>
        </w:rPr>
        <w:t xml:space="preserve"> </w:t>
      </w:r>
    </w:p>
    <w:p w14:paraId="69CF8781" w14:textId="77777777" w:rsidR="00885EE5" w:rsidRPr="00D54428" w:rsidRDefault="002022D8" w:rsidP="00D54428">
      <w:pPr>
        <w:pStyle w:val="Heading3"/>
      </w:pPr>
      <w:bookmarkStart w:id="301" w:name="_Toc474222020"/>
      <w:bookmarkStart w:id="302" w:name="_Ref352250858"/>
      <w:bookmarkStart w:id="303" w:name="_Toc375214570"/>
      <w:r>
        <w:lastRenderedPageBreak/>
        <w:t>Maritime Archaeological</w:t>
      </w:r>
      <w:r w:rsidR="00885EE5">
        <w:t xml:space="preserve"> Heritage</w:t>
      </w:r>
      <w:bookmarkEnd w:id="301"/>
      <w:bookmarkEnd w:id="302"/>
      <w:bookmarkEnd w:id="303"/>
    </w:p>
    <w:p w14:paraId="598E3CC6" w14:textId="77777777" w:rsidR="002022D8" w:rsidRPr="002B730F" w:rsidRDefault="002022D8" w:rsidP="002022D8">
      <w:pPr>
        <w:pStyle w:val="bodycopy"/>
        <w:rPr>
          <w:rFonts w:ascii="Arial" w:hAnsi="Arial"/>
          <w:sz w:val="22"/>
          <w:szCs w:val="22"/>
        </w:rPr>
      </w:pPr>
      <w:bookmarkStart w:id="304" w:name="OLE_LINK19"/>
      <w:bookmarkStart w:id="305" w:name="OLE_LINK20"/>
      <w:r w:rsidRPr="002B730F">
        <w:rPr>
          <w:rFonts w:ascii="Arial" w:hAnsi="Arial"/>
          <w:sz w:val="22"/>
          <w:szCs w:val="22"/>
        </w:rPr>
        <w:t xml:space="preserve">Shipwrecks (together with their associated relics) over 75 years old are protected within Commonwealth waters under the Historic </w:t>
      </w:r>
      <w:r w:rsidRPr="002B730F">
        <w:rPr>
          <w:rFonts w:ascii="Arial" w:hAnsi="Arial"/>
          <w:i/>
          <w:sz w:val="22"/>
          <w:szCs w:val="22"/>
        </w:rPr>
        <w:t>Shipwrecks Act 1976</w:t>
      </w:r>
      <w:r w:rsidRPr="002B730F">
        <w:rPr>
          <w:rFonts w:ascii="Arial" w:hAnsi="Arial"/>
          <w:sz w:val="22"/>
          <w:szCs w:val="22"/>
        </w:rPr>
        <w:t xml:space="preserve"> (Cth) and in Victorian waters under the </w:t>
      </w:r>
      <w:r w:rsidRPr="002B730F">
        <w:rPr>
          <w:rFonts w:ascii="Arial" w:hAnsi="Arial"/>
          <w:i/>
          <w:sz w:val="22"/>
          <w:szCs w:val="22"/>
        </w:rPr>
        <w:t>Victorian Heritage Act 1995</w:t>
      </w:r>
      <w:r w:rsidRPr="002B730F">
        <w:rPr>
          <w:rFonts w:ascii="Arial" w:hAnsi="Arial"/>
          <w:sz w:val="22"/>
          <w:szCs w:val="22"/>
        </w:rPr>
        <w:t xml:space="preserve"> (Vic).</w:t>
      </w:r>
      <w:bookmarkEnd w:id="304"/>
      <w:bookmarkEnd w:id="305"/>
      <w:r w:rsidRPr="002B730F">
        <w:rPr>
          <w:rFonts w:ascii="Arial" w:hAnsi="Arial"/>
          <w:sz w:val="22"/>
          <w:szCs w:val="22"/>
        </w:rPr>
        <w:t xml:space="preserve"> </w:t>
      </w:r>
    </w:p>
    <w:p w14:paraId="40BE5AC3" w14:textId="77777777" w:rsidR="001B48E8" w:rsidRPr="00BB0772" w:rsidRDefault="001B48E8" w:rsidP="00E353E6">
      <w:pPr>
        <w:pStyle w:val="bodycopy"/>
        <w:rPr>
          <w:rFonts w:ascii="Arial" w:hAnsi="Arial"/>
          <w:b/>
          <w:sz w:val="22"/>
          <w:szCs w:val="22"/>
        </w:rPr>
      </w:pPr>
      <w:r w:rsidRPr="00BB0772">
        <w:rPr>
          <w:rFonts w:ascii="Arial" w:hAnsi="Arial"/>
          <w:b/>
          <w:sz w:val="22"/>
          <w:szCs w:val="22"/>
        </w:rPr>
        <w:t>Shipwrecks</w:t>
      </w:r>
    </w:p>
    <w:p w14:paraId="61ACB4B8" w14:textId="3EBE2A93" w:rsidR="00F52144" w:rsidRDefault="00630337">
      <w:pPr>
        <w:pStyle w:val="bodycopy"/>
        <w:rPr>
          <w:rFonts w:ascii="Arial" w:hAnsi="Arial"/>
          <w:sz w:val="22"/>
          <w:szCs w:val="22"/>
        </w:rPr>
      </w:pPr>
      <w:bookmarkStart w:id="306" w:name="OLE_LINK17"/>
      <w:bookmarkStart w:id="307" w:name="OLE_LINK18"/>
      <w:r w:rsidRPr="002B730F">
        <w:rPr>
          <w:rFonts w:ascii="Arial" w:hAnsi="Arial"/>
          <w:sz w:val="22"/>
          <w:szCs w:val="22"/>
        </w:rPr>
        <w:t xml:space="preserve">There are </w:t>
      </w:r>
      <w:r w:rsidR="00271277" w:rsidRPr="002B730F">
        <w:rPr>
          <w:rFonts w:ascii="Arial" w:hAnsi="Arial"/>
          <w:sz w:val="22"/>
          <w:szCs w:val="22"/>
        </w:rPr>
        <w:t>no</w:t>
      </w:r>
      <w:r w:rsidRPr="002B730F">
        <w:rPr>
          <w:rFonts w:ascii="Arial" w:hAnsi="Arial"/>
          <w:sz w:val="22"/>
          <w:szCs w:val="22"/>
        </w:rPr>
        <w:t xml:space="preserve"> s</w:t>
      </w:r>
      <w:r w:rsidR="002022D8" w:rsidRPr="002B730F">
        <w:rPr>
          <w:rFonts w:ascii="Arial" w:hAnsi="Arial"/>
          <w:sz w:val="22"/>
          <w:szCs w:val="22"/>
        </w:rPr>
        <w:t xml:space="preserve">hipwrecks </w:t>
      </w:r>
      <w:r w:rsidR="0013729A" w:rsidRPr="002B730F">
        <w:rPr>
          <w:rFonts w:ascii="Arial" w:hAnsi="Arial"/>
          <w:sz w:val="22"/>
          <w:szCs w:val="22"/>
        </w:rPr>
        <w:t xml:space="preserve">mapped as occurring </w:t>
      </w:r>
      <w:r w:rsidR="002022D8" w:rsidRPr="002B730F">
        <w:rPr>
          <w:rFonts w:ascii="Arial" w:hAnsi="Arial"/>
          <w:sz w:val="22"/>
          <w:szCs w:val="22"/>
        </w:rPr>
        <w:t xml:space="preserve">in the proposed </w:t>
      </w:r>
      <w:r w:rsidR="00271277" w:rsidRPr="002B730F">
        <w:rPr>
          <w:rFonts w:ascii="Arial" w:hAnsi="Arial"/>
          <w:sz w:val="22"/>
          <w:szCs w:val="22"/>
        </w:rPr>
        <w:t>operational</w:t>
      </w:r>
      <w:r w:rsidR="002022D8" w:rsidRPr="002B730F">
        <w:rPr>
          <w:rFonts w:ascii="Arial" w:hAnsi="Arial"/>
          <w:sz w:val="22"/>
          <w:szCs w:val="22"/>
        </w:rPr>
        <w:t xml:space="preserve"> area</w:t>
      </w:r>
      <w:r w:rsidR="00271277" w:rsidRPr="002B730F">
        <w:rPr>
          <w:rFonts w:ascii="Arial" w:hAnsi="Arial"/>
          <w:sz w:val="22"/>
          <w:szCs w:val="22"/>
        </w:rPr>
        <w:t>,</w:t>
      </w:r>
      <w:r w:rsidR="002022D8" w:rsidRPr="002B730F">
        <w:rPr>
          <w:rFonts w:ascii="Arial" w:hAnsi="Arial"/>
          <w:sz w:val="22"/>
          <w:szCs w:val="22"/>
        </w:rPr>
        <w:t xml:space="preserve"> and </w:t>
      </w:r>
      <w:r w:rsidR="0013729A" w:rsidRPr="002B730F">
        <w:rPr>
          <w:rFonts w:ascii="Arial" w:hAnsi="Arial"/>
          <w:sz w:val="22"/>
          <w:szCs w:val="22"/>
        </w:rPr>
        <w:t>there are 3</w:t>
      </w:r>
      <w:r w:rsidR="009D3FAD" w:rsidRPr="002B730F">
        <w:rPr>
          <w:rFonts w:ascii="Arial" w:hAnsi="Arial"/>
          <w:sz w:val="22"/>
          <w:szCs w:val="22"/>
        </w:rPr>
        <w:t>7</w:t>
      </w:r>
      <w:r w:rsidR="0013729A" w:rsidRPr="002B730F">
        <w:rPr>
          <w:rFonts w:ascii="Arial" w:hAnsi="Arial"/>
          <w:sz w:val="22"/>
          <w:szCs w:val="22"/>
        </w:rPr>
        <w:t xml:space="preserve"> shipwrecks mapp</w:t>
      </w:r>
      <w:r w:rsidR="00BB0772">
        <w:rPr>
          <w:rFonts w:ascii="Arial" w:hAnsi="Arial"/>
          <w:sz w:val="22"/>
          <w:szCs w:val="22"/>
        </w:rPr>
        <w:t>ed</w:t>
      </w:r>
      <w:r w:rsidR="0013729A" w:rsidRPr="002B730F">
        <w:rPr>
          <w:rFonts w:ascii="Arial" w:hAnsi="Arial"/>
          <w:sz w:val="22"/>
          <w:szCs w:val="22"/>
        </w:rPr>
        <w:t xml:space="preserve"> within </w:t>
      </w:r>
      <w:r w:rsidR="002022D8" w:rsidRPr="002B730F">
        <w:rPr>
          <w:rFonts w:ascii="Arial" w:hAnsi="Arial"/>
          <w:sz w:val="22"/>
          <w:szCs w:val="22"/>
        </w:rPr>
        <w:t>the EMBA</w:t>
      </w:r>
      <w:r w:rsidR="003475EF" w:rsidRPr="002B730F">
        <w:rPr>
          <w:rFonts w:ascii="Arial" w:hAnsi="Arial"/>
          <w:sz w:val="22"/>
          <w:szCs w:val="22"/>
        </w:rPr>
        <w:t xml:space="preserve"> (</w:t>
      </w:r>
      <w:r w:rsidR="003475EF" w:rsidRPr="002330FD">
        <w:rPr>
          <w:rFonts w:ascii="Arial" w:hAnsi="Arial"/>
          <w:sz w:val="22"/>
          <w:szCs w:val="22"/>
        </w:rPr>
        <w:t>Figure 5.</w:t>
      </w:r>
      <w:r w:rsidR="005D595C" w:rsidRPr="002330FD">
        <w:rPr>
          <w:rFonts w:ascii="Arial" w:hAnsi="Arial"/>
          <w:sz w:val="22"/>
          <w:szCs w:val="22"/>
        </w:rPr>
        <w:t>2</w:t>
      </w:r>
      <w:r w:rsidR="005C46BF" w:rsidRPr="002330FD">
        <w:rPr>
          <w:rFonts w:ascii="Arial" w:hAnsi="Arial"/>
          <w:sz w:val="22"/>
          <w:szCs w:val="22"/>
        </w:rPr>
        <w:t>2</w:t>
      </w:r>
      <w:r w:rsidR="003475EF" w:rsidRPr="002330FD">
        <w:rPr>
          <w:rFonts w:ascii="Arial" w:hAnsi="Arial"/>
          <w:sz w:val="22"/>
          <w:szCs w:val="22"/>
        </w:rPr>
        <w:t>)</w:t>
      </w:r>
      <w:r w:rsidR="00F52144" w:rsidRPr="002330FD">
        <w:rPr>
          <w:rFonts w:ascii="Arial" w:hAnsi="Arial"/>
          <w:sz w:val="22"/>
          <w:szCs w:val="22"/>
        </w:rPr>
        <w:t>.</w:t>
      </w:r>
      <w:r w:rsidR="00F52144" w:rsidRPr="002B730F">
        <w:rPr>
          <w:rFonts w:ascii="Arial" w:hAnsi="Arial"/>
          <w:sz w:val="22"/>
          <w:szCs w:val="22"/>
        </w:rPr>
        <w:t xml:space="preserve"> </w:t>
      </w:r>
      <w:r w:rsidR="00271277" w:rsidRPr="002B730F">
        <w:rPr>
          <w:rFonts w:ascii="Arial" w:hAnsi="Arial"/>
          <w:sz w:val="22"/>
          <w:szCs w:val="22"/>
        </w:rPr>
        <w:t xml:space="preserve">The nearest shipwreck to the proposed acquisition area is the </w:t>
      </w:r>
      <w:r w:rsidR="00271277" w:rsidRPr="002B730F">
        <w:rPr>
          <w:rFonts w:ascii="Arial" w:hAnsi="Arial"/>
          <w:i/>
          <w:sz w:val="22"/>
          <w:szCs w:val="22"/>
        </w:rPr>
        <w:t>SS Trinculo</w:t>
      </w:r>
      <w:r w:rsidR="00271277" w:rsidRPr="002B730F">
        <w:rPr>
          <w:rFonts w:ascii="Arial" w:hAnsi="Arial"/>
          <w:sz w:val="22"/>
          <w:szCs w:val="22"/>
        </w:rPr>
        <w:t xml:space="preserve">, </w:t>
      </w:r>
      <w:r w:rsidR="00364904">
        <w:rPr>
          <w:rFonts w:ascii="Arial" w:hAnsi="Arial"/>
          <w:sz w:val="22"/>
          <w:szCs w:val="22"/>
        </w:rPr>
        <w:t xml:space="preserve">an iron sailing barque that was wrecked in 1879. It is </w:t>
      </w:r>
      <w:r w:rsidR="00271277" w:rsidRPr="002B730F">
        <w:rPr>
          <w:rFonts w:ascii="Arial" w:hAnsi="Arial"/>
          <w:sz w:val="22"/>
          <w:szCs w:val="22"/>
        </w:rPr>
        <w:t xml:space="preserve">located on the </w:t>
      </w:r>
      <w:r w:rsidR="00364904">
        <w:rPr>
          <w:rFonts w:ascii="Arial" w:hAnsi="Arial"/>
          <w:sz w:val="22"/>
          <w:szCs w:val="22"/>
        </w:rPr>
        <w:t>beach</w:t>
      </w:r>
      <w:r w:rsidR="00364904" w:rsidRPr="002B730F">
        <w:rPr>
          <w:rFonts w:ascii="Arial" w:hAnsi="Arial"/>
          <w:sz w:val="22"/>
          <w:szCs w:val="22"/>
        </w:rPr>
        <w:t xml:space="preserve"> </w:t>
      </w:r>
      <w:r w:rsidR="00271277" w:rsidRPr="002B730F">
        <w:rPr>
          <w:rFonts w:ascii="Arial" w:hAnsi="Arial"/>
          <w:sz w:val="22"/>
          <w:szCs w:val="22"/>
        </w:rPr>
        <w:t xml:space="preserve">to the east of Flamingo Beach. </w:t>
      </w:r>
      <w:bookmarkEnd w:id="306"/>
      <w:bookmarkEnd w:id="307"/>
    </w:p>
    <w:p w14:paraId="399DD46E" w14:textId="2ABDB536" w:rsidR="00F52144" w:rsidRPr="002B730F" w:rsidRDefault="00521CDA" w:rsidP="00E353E6">
      <w:pPr>
        <w:pStyle w:val="bodycopy"/>
        <w:rPr>
          <w:rFonts w:ascii="Arial" w:hAnsi="Arial"/>
          <w:sz w:val="22"/>
          <w:szCs w:val="22"/>
        </w:rPr>
      </w:pPr>
      <w:r w:rsidRPr="002B730F">
        <w:rPr>
          <w:rFonts w:ascii="Arial" w:hAnsi="Arial"/>
          <w:sz w:val="22"/>
          <w:szCs w:val="22"/>
        </w:rPr>
        <w:t>Shipwrecks</w:t>
      </w:r>
      <w:r w:rsidR="00F52144" w:rsidRPr="002B730F">
        <w:rPr>
          <w:rFonts w:ascii="Arial" w:hAnsi="Arial"/>
          <w:sz w:val="22"/>
          <w:szCs w:val="22"/>
        </w:rPr>
        <w:t xml:space="preserve"> listed in the Australian National Shipwreck and Relic Database (DoEE, 2017</w:t>
      </w:r>
      <w:r w:rsidR="007346A2">
        <w:rPr>
          <w:rFonts w:ascii="Arial" w:hAnsi="Arial"/>
          <w:sz w:val="22"/>
          <w:szCs w:val="22"/>
        </w:rPr>
        <w:t>j</w:t>
      </w:r>
      <w:r w:rsidR="00F52144" w:rsidRPr="002B730F">
        <w:rPr>
          <w:rFonts w:ascii="Arial" w:hAnsi="Arial"/>
          <w:sz w:val="22"/>
          <w:szCs w:val="22"/>
        </w:rPr>
        <w:t>)</w:t>
      </w:r>
      <w:r w:rsidRPr="002B730F">
        <w:rPr>
          <w:rFonts w:ascii="Arial" w:hAnsi="Arial"/>
          <w:sz w:val="22"/>
          <w:szCs w:val="22"/>
        </w:rPr>
        <w:t xml:space="preserve"> closest to</w:t>
      </w:r>
      <w:r w:rsidR="00BB0772">
        <w:rPr>
          <w:rFonts w:ascii="Arial" w:hAnsi="Arial"/>
          <w:sz w:val="22"/>
          <w:szCs w:val="22"/>
        </w:rPr>
        <w:t>,</w:t>
      </w:r>
      <w:r w:rsidRPr="002B730F">
        <w:rPr>
          <w:rFonts w:ascii="Arial" w:hAnsi="Arial"/>
          <w:sz w:val="22"/>
          <w:szCs w:val="22"/>
        </w:rPr>
        <w:t xml:space="preserve"> but not within the </w:t>
      </w:r>
      <w:r w:rsidR="00F52144" w:rsidRPr="002B730F">
        <w:rPr>
          <w:rFonts w:ascii="Arial" w:hAnsi="Arial"/>
          <w:sz w:val="22"/>
          <w:szCs w:val="22"/>
        </w:rPr>
        <w:t>EMBA, are:</w:t>
      </w:r>
    </w:p>
    <w:p w14:paraId="76EB54C7" w14:textId="1CB4A9F3" w:rsidR="00867464" w:rsidRPr="002B730F" w:rsidRDefault="00867464" w:rsidP="00567567">
      <w:pPr>
        <w:pStyle w:val="bodycopy"/>
        <w:numPr>
          <w:ilvl w:val="0"/>
          <w:numId w:val="99"/>
        </w:numPr>
        <w:rPr>
          <w:rFonts w:ascii="Arial" w:hAnsi="Arial"/>
          <w:sz w:val="22"/>
          <w:szCs w:val="22"/>
        </w:rPr>
      </w:pPr>
      <w:r w:rsidRPr="002B730F">
        <w:rPr>
          <w:rFonts w:ascii="Arial" w:hAnsi="Arial"/>
          <w:i/>
          <w:sz w:val="22"/>
          <w:szCs w:val="22"/>
        </w:rPr>
        <w:t>PS Thistle</w:t>
      </w:r>
      <w:r w:rsidRPr="002B730F">
        <w:rPr>
          <w:rFonts w:ascii="Arial" w:hAnsi="Arial"/>
          <w:sz w:val="22"/>
          <w:szCs w:val="22"/>
        </w:rPr>
        <w:t xml:space="preserve"> – a</w:t>
      </w:r>
      <w:r w:rsidR="00BB0772">
        <w:rPr>
          <w:rFonts w:ascii="Arial" w:hAnsi="Arial"/>
          <w:sz w:val="22"/>
          <w:szCs w:val="22"/>
        </w:rPr>
        <w:t>n iron</w:t>
      </w:r>
      <w:r w:rsidRPr="002B730F">
        <w:rPr>
          <w:rFonts w:ascii="Arial" w:hAnsi="Arial"/>
          <w:sz w:val="22"/>
          <w:szCs w:val="22"/>
        </w:rPr>
        <w:t xml:space="preserve"> paddle steamer </w:t>
      </w:r>
      <w:r w:rsidR="007C61BD" w:rsidRPr="002B730F">
        <w:rPr>
          <w:rFonts w:ascii="Arial" w:hAnsi="Arial"/>
          <w:sz w:val="22"/>
          <w:szCs w:val="22"/>
        </w:rPr>
        <w:t xml:space="preserve">(measuring 45 m long and 6 m wide) </w:t>
      </w:r>
      <w:r w:rsidRPr="002B730F">
        <w:rPr>
          <w:rFonts w:ascii="Arial" w:hAnsi="Arial"/>
          <w:sz w:val="22"/>
          <w:szCs w:val="22"/>
        </w:rPr>
        <w:t>wrecked in 1859 just outside Corner Inlet</w:t>
      </w:r>
      <w:r w:rsidR="007C343D" w:rsidRPr="002B730F">
        <w:rPr>
          <w:rFonts w:ascii="Arial" w:hAnsi="Arial"/>
          <w:sz w:val="22"/>
          <w:szCs w:val="22"/>
        </w:rPr>
        <w:t xml:space="preserve">. </w:t>
      </w:r>
      <w:r w:rsidR="002E4A44" w:rsidRPr="002B730F">
        <w:rPr>
          <w:rFonts w:ascii="Arial" w:hAnsi="Arial"/>
          <w:sz w:val="22"/>
          <w:szCs w:val="22"/>
        </w:rPr>
        <w:t>It ran ashore through navigational error and a</w:t>
      </w:r>
      <w:r w:rsidR="007C343D" w:rsidRPr="002B730F">
        <w:rPr>
          <w:rFonts w:ascii="Arial" w:hAnsi="Arial"/>
          <w:sz w:val="22"/>
          <w:szCs w:val="22"/>
        </w:rPr>
        <w:t xml:space="preserve">ll crew reached the shore safely. </w:t>
      </w:r>
      <w:r w:rsidRPr="002B730F">
        <w:rPr>
          <w:rFonts w:ascii="Arial" w:hAnsi="Arial"/>
          <w:sz w:val="22"/>
          <w:szCs w:val="22"/>
        </w:rPr>
        <w:t xml:space="preserve"> </w:t>
      </w:r>
    </w:p>
    <w:p w14:paraId="3D2047CF" w14:textId="570DD37C" w:rsidR="002E4A44" w:rsidRPr="002B730F" w:rsidRDefault="00867464" w:rsidP="00567567">
      <w:pPr>
        <w:pStyle w:val="bodycopy"/>
        <w:numPr>
          <w:ilvl w:val="0"/>
          <w:numId w:val="99"/>
        </w:numPr>
        <w:rPr>
          <w:rFonts w:ascii="Arial" w:hAnsi="Arial"/>
          <w:i/>
          <w:sz w:val="22"/>
          <w:szCs w:val="22"/>
        </w:rPr>
      </w:pPr>
      <w:r w:rsidRPr="002B730F">
        <w:rPr>
          <w:rFonts w:ascii="Arial" w:hAnsi="Arial"/>
          <w:i/>
          <w:sz w:val="22"/>
          <w:szCs w:val="22"/>
        </w:rPr>
        <w:t xml:space="preserve">PS Clonmel – </w:t>
      </w:r>
      <w:r w:rsidRPr="002B730F">
        <w:rPr>
          <w:rFonts w:ascii="Arial" w:hAnsi="Arial"/>
          <w:sz w:val="22"/>
          <w:szCs w:val="22"/>
        </w:rPr>
        <w:t xml:space="preserve">a paddle steamer </w:t>
      </w:r>
      <w:r w:rsidR="002E4A44" w:rsidRPr="002B730F">
        <w:rPr>
          <w:rFonts w:ascii="Arial" w:hAnsi="Arial"/>
          <w:sz w:val="22"/>
          <w:szCs w:val="22"/>
        </w:rPr>
        <w:t xml:space="preserve">(measuring 47 m long and 8 m wide) </w:t>
      </w:r>
      <w:r w:rsidRPr="002B730F">
        <w:rPr>
          <w:rFonts w:ascii="Arial" w:hAnsi="Arial"/>
          <w:sz w:val="22"/>
          <w:szCs w:val="22"/>
        </w:rPr>
        <w:t xml:space="preserve">wrecked in 1841 </w:t>
      </w:r>
      <w:r w:rsidR="002E4A44" w:rsidRPr="002B730F">
        <w:rPr>
          <w:rFonts w:ascii="Arial" w:hAnsi="Arial"/>
          <w:sz w:val="22"/>
          <w:szCs w:val="22"/>
        </w:rPr>
        <w:t xml:space="preserve">at the Port Albert entrance </w:t>
      </w:r>
      <w:r w:rsidR="00BB0772">
        <w:rPr>
          <w:rFonts w:ascii="Arial" w:hAnsi="Arial"/>
          <w:sz w:val="22"/>
          <w:szCs w:val="22"/>
        </w:rPr>
        <w:t xml:space="preserve">(‘Clonmel Island’) </w:t>
      </w:r>
      <w:r w:rsidRPr="002B730F">
        <w:rPr>
          <w:rFonts w:ascii="Arial" w:hAnsi="Arial"/>
          <w:sz w:val="22"/>
          <w:szCs w:val="22"/>
        </w:rPr>
        <w:t>just outside Corner Inlet</w:t>
      </w:r>
      <w:r w:rsidR="002E4A44" w:rsidRPr="002B730F">
        <w:rPr>
          <w:rFonts w:ascii="Arial" w:hAnsi="Arial"/>
          <w:sz w:val="22"/>
          <w:szCs w:val="22"/>
        </w:rPr>
        <w:t xml:space="preserve">. The wreck of the </w:t>
      </w:r>
      <w:r w:rsidR="002E4A44" w:rsidRPr="00BB0772">
        <w:rPr>
          <w:rFonts w:ascii="Arial" w:hAnsi="Arial"/>
          <w:i/>
          <w:sz w:val="22"/>
          <w:szCs w:val="22"/>
        </w:rPr>
        <w:t>Clonmel</w:t>
      </w:r>
      <w:r w:rsidR="002E4A44" w:rsidRPr="002B730F">
        <w:rPr>
          <w:rFonts w:ascii="Arial" w:hAnsi="Arial"/>
          <w:sz w:val="22"/>
          <w:szCs w:val="22"/>
        </w:rPr>
        <w:t xml:space="preserve"> was instrumental in the settlement of Gippsland and the establishment of the towns of Port Albert, Tarraville and Alberton.</w:t>
      </w:r>
      <w:r w:rsidR="00BB0772">
        <w:rPr>
          <w:rFonts w:ascii="Arial" w:hAnsi="Arial"/>
          <w:sz w:val="22"/>
          <w:szCs w:val="22"/>
        </w:rPr>
        <w:t xml:space="preserve"> In 2015, the wreck was completely covered with sand. It lies within a protected zone. </w:t>
      </w:r>
    </w:p>
    <w:p w14:paraId="1A6FB13C" w14:textId="4CF3336E" w:rsidR="00867464" w:rsidRPr="002B730F" w:rsidRDefault="00BB0772" w:rsidP="00567567">
      <w:pPr>
        <w:pStyle w:val="bodycopy"/>
        <w:numPr>
          <w:ilvl w:val="0"/>
          <w:numId w:val="99"/>
        </w:numPr>
        <w:rPr>
          <w:rFonts w:ascii="Arial" w:hAnsi="Arial"/>
          <w:sz w:val="22"/>
          <w:szCs w:val="22"/>
        </w:rPr>
      </w:pPr>
      <w:r>
        <w:rPr>
          <w:rFonts w:ascii="Arial" w:hAnsi="Arial"/>
          <w:i/>
          <w:sz w:val="22"/>
          <w:szCs w:val="22"/>
        </w:rPr>
        <w:t xml:space="preserve">SS </w:t>
      </w:r>
      <w:r w:rsidR="00867464" w:rsidRPr="002B730F">
        <w:rPr>
          <w:rFonts w:ascii="Arial" w:hAnsi="Arial"/>
          <w:i/>
          <w:sz w:val="22"/>
          <w:szCs w:val="22"/>
        </w:rPr>
        <w:t>Blackbird</w:t>
      </w:r>
      <w:r w:rsidR="00867464" w:rsidRPr="002B730F">
        <w:rPr>
          <w:rFonts w:ascii="Arial" w:hAnsi="Arial"/>
          <w:sz w:val="22"/>
          <w:szCs w:val="22"/>
        </w:rPr>
        <w:t xml:space="preserve"> – a screw steamer </w:t>
      </w:r>
      <w:r w:rsidR="008471C4" w:rsidRPr="002B730F">
        <w:rPr>
          <w:rFonts w:ascii="Arial" w:hAnsi="Arial"/>
          <w:sz w:val="22"/>
          <w:szCs w:val="22"/>
        </w:rPr>
        <w:t xml:space="preserve">(measuring 60 m long and 8 m wide) </w:t>
      </w:r>
      <w:r w:rsidR="00867464" w:rsidRPr="002B730F">
        <w:rPr>
          <w:rFonts w:ascii="Arial" w:hAnsi="Arial"/>
          <w:sz w:val="22"/>
          <w:szCs w:val="22"/>
        </w:rPr>
        <w:t xml:space="preserve">wrecked in </w:t>
      </w:r>
      <w:r w:rsidR="008471C4" w:rsidRPr="002B730F">
        <w:rPr>
          <w:rFonts w:ascii="Arial" w:hAnsi="Arial"/>
          <w:sz w:val="22"/>
          <w:szCs w:val="22"/>
        </w:rPr>
        <w:t xml:space="preserve">June </w:t>
      </w:r>
      <w:r w:rsidR="00867464" w:rsidRPr="002B730F">
        <w:rPr>
          <w:rFonts w:ascii="Arial" w:hAnsi="Arial"/>
          <w:sz w:val="22"/>
          <w:szCs w:val="22"/>
        </w:rPr>
        <w:t xml:space="preserve">1878 </w:t>
      </w:r>
      <w:r w:rsidR="004A6B03" w:rsidRPr="002B730F">
        <w:rPr>
          <w:rFonts w:ascii="Arial" w:hAnsi="Arial"/>
          <w:sz w:val="22"/>
          <w:szCs w:val="22"/>
        </w:rPr>
        <w:t>at Clonmel Island</w:t>
      </w:r>
      <w:r w:rsidR="008471C4" w:rsidRPr="002B730F">
        <w:rPr>
          <w:rFonts w:ascii="Arial" w:hAnsi="Arial"/>
          <w:sz w:val="22"/>
          <w:szCs w:val="22"/>
        </w:rPr>
        <w:t>, Port Albert,</w:t>
      </w:r>
      <w:r w:rsidR="004A6B03" w:rsidRPr="002B730F">
        <w:rPr>
          <w:rFonts w:ascii="Arial" w:hAnsi="Arial"/>
          <w:sz w:val="22"/>
          <w:szCs w:val="22"/>
        </w:rPr>
        <w:t xml:space="preserve"> due to reckless navigation</w:t>
      </w:r>
      <w:r w:rsidR="008471C4" w:rsidRPr="002B730F">
        <w:rPr>
          <w:rFonts w:ascii="Arial" w:hAnsi="Arial"/>
          <w:sz w:val="22"/>
          <w:szCs w:val="22"/>
        </w:rPr>
        <w:t>, while on the way from Newcastle to Melbourne</w:t>
      </w:r>
      <w:r w:rsidR="004A6B03" w:rsidRPr="002B730F">
        <w:rPr>
          <w:rFonts w:ascii="Arial" w:hAnsi="Arial"/>
          <w:sz w:val="22"/>
          <w:szCs w:val="22"/>
        </w:rPr>
        <w:t xml:space="preserve">. </w:t>
      </w:r>
      <w:r w:rsidR="008471C4" w:rsidRPr="002B730F">
        <w:rPr>
          <w:rFonts w:ascii="Arial" w:hAnsi="Arial"/>
          <w:sz w:val="22"/>
          <w:szCs w:val="22"/>
        </w:rPr>
        <w:t xml:space="preserve">All crew made it shore alive. The steamer was constructed of iron and remains </w:t>
      </w:r>
      <w:r>
        <w:rPr>
          <w:rFonts w:ascii="Arial" w:hAnsi="Arial"/>
          <w:sz w:val="22"/>
          <w:szCs w:val="22"/>
        </w:rPr>
        <w:t xml:space="preserve">well preserved </w:t>
      </w:r>
      <w:r w:rsidR="008471C4" w:rsidRPr="002B730F">
        <w:rPr>
          <w:rFonts w:ascii="Arial" w:hAnsi="Arial"/>
          <w:sz w:val="22"/>
          <w:szCs w:val="22"/>
        </w:rPr>
        <w:t xml:space="preserve">on the seabed. </w:t>
      </w:r>
    </w:p>
    <w:p w14:paraId="49EF06E4" w14:textId="24FC8478" w:rsidR="007C61BD" w:rsidRPr="002B730F" w:rsidRDefault="007C61BD" w:rsidP="00891DE1">
      <w:pPr>
        <w:pStyle w:val="bodycopy"/>
        <w:numPr>
          <w:ilvl w:val="0"/>
          <w:numId w:val="99"/>
        </w:numPr>
        <w:spacing w:after="240"/>
        <w:rPr>
          <w:rFonts w:ascii="Arial" w:hAnsi="Arial"/>
          <w:sz w:val="22"/>
          <w:szCs w:val="22"/>
        </w:rPr>
      </w:pPr>
      <w:r w:rsidRPr="002B730F">
        <w:rPr>
          <w:rFonts w:ascii="Arial" w:hAnsi="Arial"/>
          <w:i/>
          <w:sz w:val="22"/>
          <w:szCs w:val="22"/>
        </w:rPr>
        <w:t>SS Glenelg</w:t>
      </w:r>
      <w:r w:rsidRPr="002B730F">
        <w:rPr>
          <w:rFonts w:ascii="Arial" w:hAnsi="Arial"/>
          <w:sz w:val="22"/>
          <w:szCs w:val="22"/>
        </w:rPr>
        <w:t xml:space="preserve"> – a twin screw steamer (measuring 41 m long and 6 m wide) constructed of iron wrecked in March 1900 soon after leaving Lakes Entrance, with 38 people dying and 3 making it ashore. </w:t>
      </w:r>
      <w:r w:rsidR="001C400E" w:rsidRPr="002B730F">
        <w:rPr>
          <w:rFonts w:ascii="Arial" w:hAnsi="Arial"/>
          <w:sz w:val="22"/>
          <w:szCs w:val="22"/>
        </w:rPr>
        <w:t xml:space="preserve">It lies </w:t>
      </w:r>
      <w:bookmarkStart w:id="308" w:name="OLE_LINK23"/>
      <w:bookmarkStart w:id="309" w:name="OLE_LINK24"/>
      <w:r w:rsidR="001C400E" w:rsidRPr="002B730F">
        <w:rPr>
          <w:rFonts w:ascii="Arial" w:hAnsi="Arial"/>
          <w:sz w:val="22"/>
          <w:szCs w:val="22"/>
        </w:rPr>
        <w:t>30 km southwest of the proposed acquisition area</w:t>
      </w:r>
      <w:r w:rsidR="00BB0772">
        <w:rPr>
          <w:rFonts w:ascii="Arial" w:hAnsi="Arial"/>
          <w:sz w:val="22"/>
          <w:szCs w:val="22"/>
        </w:rPr>
        <w:t xml:space="preserve"> in a protected zon</w:t>
      </w:r>
      <w:bookmarkEnd w:id="308"/>
      <w:bookmarkEnd w:id="309"/>
      <w:r w:rsidR="00BB0772">
        <w:rPr>
          <w:rFonts w:ascii="Arial" w:hAnsi="Arial"/>
          <w:sz w:val="22"/>
          <w:szCs w:val="22"/>
        </w:rPr>
        <w:t>e</w:t>
      </w:r>
      <w:r w:rsidR="001C400E" w:rsidRPr="002B730F">
        <w:rPr>
          <w:rFonts w:ascii="Arial" w:hAnsi="Arial"/>
          <w:sz w:val="22"/>
          <w:szCs w:val="22"/>
        </w:rPr>
        <w:t>.</w:t>
      </w:r>
    </w:p>
    <w:p w14:paraId="2587240F" w14:textId="77777777" w:rsidR="001B48E8" w:rsidRPr="00BB0772" w:rsidRDefault="001B48E8" w:rsidP="00630337">
      <w:pPr>
        <w:pStyle w:val="bodycopy"/>
        <w:rPr>
          <w:rFonts w:ascii="Arial" w:hAnsi="Arial"/>
          <w:b/>
          <w:sz w:val="22"/>
          <w:szCs w:val="22"/>
        </w:rPr>
      </w:pPr>
      <w:r w:rsidRPr="00BB0772">
        <w:rPr>
          <w:rFonts w:ascii="Arial" w:hAnsi="Arial"/>
          <w:b/>
          <w:sz w:val="22"/>
          <w:szCs w:val="22"/>
        </w:rPr>
        <w:t>Shipwreck Protection Zones</w:t>
      </w:r>
    </w:p>
    <w:p w14:paraId="4C7F25B8" w14:textId="781BBCF8" w:rsidR="008B1FE7" w:rsidRPr="002B730F" w:rsidRDefault="007918E3" w:rsidP="00630337">
      <w:pPr>
        <w:pStyle w:val="bodycopy"/>
        <w:rPr>
          <w:rFonts w:ascii="Arial" w:hAnsi="Arial"/>
          <w:sz w:val="22"/>
          <w:szCs w:val="22"/>
        </w:rPr>
      </w:pPr>
      <w:bookmarkStart w:id="310" w:name="OLE_LINK21"/>
      <w:bookmarkStart w:id="311" w:name="OLE_LINK22"/>
      <w:r w:rsidRPr="002B730F">
        <w:rPr>
          <w:rFonts w:ascii="Arial" w:hAnsi="Arial"/>
          <w:sz w:val="22"/>
          <w:szCs w:val="22"/>
        </w:rPr>
        <w:t>Of the 650 shipwrecks in Victoria, n</w:t>
      </w:r>
      <w:r w:rsidR="000B280E" w:rsidRPr="002B730F">
        <w:rPr>
          <w:rFonts w:ascii="Arial" w:hAnsi="Arial"/>
          <w:sz w:val="22"/>
          <w:szCs w:val="22"/>
        </w:rPr>
        <w:t>i</w:t>
      </w:r>
      <w:r w:rsidRPr="002B730F">
        <w:rPr>
          <w:rFonts w:ascii="Arial" w:hAnsi="Arial"/>
          <w:sz w:val="22"/>
          <w:szCs w:val="22"/>
        </w:rPr>
        <w:t xml:space="preserve">ne have been placed within protected zones (a no-entry zone of 500-m radius </w:t>
      </w:r>
      <w:r w:rsidR="005E1044" w:rsidRPr="002B730F">
        <w:rPr>
          <w:rFonts w:ascii="Arial" w:hAnsi="Arial"/>
          <w:sz w:val="22"/>
          <w:szCs w:val="22"/>
        </w:rPr>
        <w:t>[</w:t>
      </w:r>
      <w:r w:rsidR="00867464" w:rsidRPr="002B730F">
        <w:rPr>
          <w:rFonts w:ascii="Arial" w:hAnsi="Arial"/>
          <w:sz w:val="22"/>
          <w:szCs w:val="22"/>
        </w:rPr>
        <w:t xml:space="preserve">78.5 ha] </w:t>
      </w:r>
      <w:r w:rsidRPr="002B730F">
        <w:rPr>
          <w:rFonts w:ascii="Arial" w:hAnsi="Arial"/>
          <w:sz w:val="22"/>
          <w:szCs w:val="22"/>
        </w:rPr>
        <w:t xml:space="preserve">around a particularly significant and/or fragile shipwreck) (DELWP, 2017). Five of these are located within Port Phillip Bay, and two along the west Gippsland coast, these being the </w:t>
      </w:r>
      <w:r w:rsidRPr="002B730F">
        <w:rPr>
          <w:rFonts w:ascii="Arial" w:hAnsi="Arial"/>
          <w:i/>
          <w:sz w:val="22"/>
          <w:szCs w:val="22"/>
        </w:rPr>
        <w:t>PS Clonmel</w:t>
      </w:r>
      <w:r w:rsidRPr="002B730F">
        <w:rPr>
          <w:rFonts w:ascii="Arial" w:hAnsi="Arial"/>
          <w:sz w:val="22"/>
          <w:szCs w:val="22"/>
        </w:rPr>
        <w:t xml:space="preserve"> (just outside Corner Inlet) and the </w:t>
      </w:r>
      <w:r w:rsidRPr="002B730F">
        <w:rPr>
          <w:rFonts w:ascii="Arial" w:hAnsi="Arial"/>
          <w:i/>
          <w:sz w:val="22"/>
          <w:szCs w:val="22"/>
        </w:rPr>
        <w:t>SS Glenelg</w:t>
      </w:r>
      <w:r w:rsidRPr="002B730F">
        <w:rPr>
          <w:rFonts w:ascii="Arial" w:hAnsi="Arial"/>
          <w:sz w:val="22"/>
          <w:szCs w:val="22"/>
        </w:rPr>
        <w:t xml:space="preserve"> </w:t>
      </w:r>
      <w:r w:rsidR="007C61BD" w:rsidRPr="002B730F">
        <w:rPr>
          <w:rFonts w:ascii="Arial" w:hAnsi="Arial"/>
          <w:sz w:val="22"/>
          <w:szCs w:val="22"/>
        </w:rPr>
        <w:t>(see previous subsection)</w:t>
      </w:r>
      <w:r w:rsidRPr="002B730F">
        <w:rPr>
          <w:rFonts w:ascii="Arial" w:hAnsi="Arial"/>
          <w:sz w:val="22"/>
          <w:szCs w:val="22"/>
        </w:rPr>
        <w:t xml:space="preserve">. </w:t>
      </w:r>
    </w:p>
    <w:bookmarkEnd w:id="310"/>
    <w:bookmarkEnd w:id="311"/>
    <w:p w14:paraId="44D6EE9E" w14:textId="77777777" w:rsidR="00B1295E" w:rsidRDefault="00B1295E" w:rsidP="00630337">
      <w:pPr>
        <w:pStyle w:val="bodycopy"/>
        <w:sectPr w:rsidR="00B1295E" w:rsidSect="00C72255">
          <w:headerReference w:type="even" r:id="rId151"/>
          <w:headerReference w:type="default" r:id="rId152"/>
          <w:footerReference w:type="default" r:id="rId153"/>
          <w:headerReference w:type="first" r:id="rId154"/>
          <w:pgSz w:w="11906" w:h="16838" w:code="9"/>
          <w:pgMar w:top="1384" w:right="1800" w:bottom="1440" w:left="1800" w:header="994" w:footer="706" w:gutter="0"/>
          <w:cols w:space="708"/>
          <w:docGrid w:linePitch="360"/>
        </w:sectPr>
      </w:pPr>
    </w:p>
    <w:tbl>
      <w:tblPr>
        <w:tblStyle w:val="TableGrid"/>
        <w:tblW w:w="0" w:type="auto"/>
        <w:jc w:val="center"/>
        <w:tblLook w:val="04A0" w:firstRow="1" w:lastRow="0" w:firstColumn="1" w:lastColumn="0" w:noHBand="0" w:noVBand="1"/>
      </w:tblPr>
      <w:tblGrid>
        <w:gridCol w:w="11771"/>
      </w:tblGrid>
      <w:tr w:rsidR="005D595C" w14:paraId="5A71E419" w14:textId="77777777" w:rsidTr="005D595C">
        <w:trPr>
          <w:jc w:val="center"/>
        </w:trPr>
        <w:tc>
          <w:tcPr>
            <w:tcW w:w="11590" w:type="dxa"/>
          </w:tcPr>
          <w:p w14:paraId="75586043" w14:textId="207428B7" w:rsidR="005D595C" w:rsidRDefault="00E93B24" w:rsidP="005D595C">
            <w:pPr>
              <w:pStyle w:val="bodycopy"/>
              <w:spacing w:after="0"/>
              <w:jc w:val="center"/>
              <w:rPr>
                <w:rFonts w:ascii="Arial" w:hAnsi="Arial"/>
                <w:b/>
                <w:sz w:val="20"/>
              </w:rPr>
            </w:pPr>
            <w:r>
              <w:rPr>
                <w:noProof/>
              </w:rPr>
              <w:lastRenderedPageBreak/>
              <w:drawing>
                <wp:anchor distT="0" distB="0" distL="114300" distR="114300" simplePos="0" relativeHeight="251675648" behindDoc="0" locked="0" layoutInCell="1" allowOverlap="1" wp14:anchorId="2EF8220E" wp14:editId="430EE937">
                  <wp:simplePos x="0" y="0"/>
                  <wp:positionH relativeFrom="column">
                    <wp:posOffset>3913032</wp:posOffset>
                  </wp:positionH>
                  <wp:positionV relativeFrom="line">
                    <wp:posOffset>1733550</wp:posOffset>
                  </wp:positionV>
                  <wp:extent cx="2727325" cy="1990725"/>
                  <wp:effectExtent l="38100" t="38100" r="34925" b="4762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cstate="screen">
                            <a:extLst>
                              <a:ext uri="{28A0092B-C50C-407E-A947-70E740481C1C}">
                                <a14:useLocalDpi xmlns:a14="http://schemas.microsoft.com/office/drawing/2010/main"/>
                              </a:ext>
                            </a:extLst>
                          </a:blip>
                          <a:srcRect/>
                          <a:stretch/>
                        </pic:blipFill>
                        <pic:spPr bwMode="auto">
                          <a:xfrm>
                            <a:off x="0" y="0"/>
                            <a:ext cx="2727325" cy="1990725"/>
                          </a:xfrm>
                          <a:prstGeom prst="rect">
                            <a:avLst/>
                          </a:prstGeom>
                          <a:ln w="28575">
                            <a:solidFill>
                              <a:schemeClr val="bg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1C4D">
              <w:rPr>
                <w:rFonts w:ascii="Arial" w:hAnsi="Arial"/>
                <w:b/>
                <w:sz w:val="20"/>
              </w:rPr>
              <w:pict w14:anchorId="139E1E1D">
                <v:shape id="_x0000_i1034" type="#_x0000_t75" style="width:577.75pt;height:400.75pt">
                  <v:imagedata r:id="rId156" o:title="27_EP_Shipwrecks" croptop="1716f" cropbottom="2041f" cropleft="1521f" cropright="1213f"/>
                </v:shape>
              </w:pict>
            </w:r>
          </w:p>
        </w:tc>
      </w:tr>
    </w:tbl>
    <w:p w14:paraId="164ED4F7" w14:textId="0C3C15C4" w:rsidR="00B1295E" w:rsidRPr="00BB0772" w:rsidRDefault="00B1295E" w:rsidP="008035AB">
      <w:pPr>
        <w:pStyle w:val="bodycopy"/>
        <w:spacing w:before="60" w:after="240"/>
        <w:jc w:val="center"/>
        <w:rPr>
          <w:rFonts w:ascii="Arial" w:hAnsi="Arial"/>
          <w:b/>
          <w:sz w:val="20"/>
        </w:rPr>
      </w:pPr>
      <w:r w:rsidRPr="00BB0772">
        <w:rPr>
          <w:rFonts w:ascii="Arial" w:hAnsi="Arial"/>
          <w:b/>
          <w:sz w:val="20"/>
        </w:rPr>
        <w:t>Figure 5.</w:t>
      </w:r>
      <w:r w:rsidR="005D595C">
        <w:rPr>
          <w:rFonts w:ascii="Arial" w:hAnsi="Arial"/>
          <w:b/>
          <w:sz w:val="20"/>
        </w:rPr>
        <w:t>2</w:t>
      </w:r>
      <w:r w:rsidR="005C46BF">
        <w:rPr>
          <w:rFonts w:ascii="Arial" w:hAnsi="Arial"/>
          <w:b/>
          <w:sz w:val="20"/>
        </w:rPr>
        <w:t>2</w:t>
      </w:r>
      <w:r w:rsidRPr="00BB0772">
        <w:rPr>
          <w:rFonts w:ascii="Arial" w:hAnsi="Arial"/>
          <w:b/>
          <w:sz w:val="20"/>
        </w:rPr>
        <w:t>.</w:t>
      </w:r>
      <w:r w:rsidRPr="00BB0772">
        <w:rPr>
          <w:rFonts w:ascii="Arial" w:hAnsi="Arial"/>
          <w:b/>
          <w:sz w:val="20"/>
        </w:rPr>
        <w:tab/>
        <w:t>Shipwrecks known to occur within the EMBA</w:t>
      </w:r>
    </w:p>
    <w:p w14:paraId="694CC4DF" w14:textId="77777777" w:rsidR="00B1295E" w:rsidRPr="00BB0772" w:rsidRDefault="00B1295E" w:rsidP="008035AB">
      <w:pPr>
        <w:pStyle w:val="bodycopy"/>
        <w:spacing w:before="60"/>
        <w:rPr>
          <w:rFonts w:ascii="Arial" w:hAnsi="Arial"/>
          <w:sz w:val="20"/>
        </w:rPr>
        <w:sectPr w:rsidR="00B1295E" w:rsidRPr="00BB0772" w:rsidSect="005D595C">
          <w:headerReference w:type="even" r:id="rId157"/>
          <w:headerReference w:type="default" r:id="rId158"/>
          <w:footerReference w:type="default" r:id="rId159"/>
          <w:headerReference w:type="first" r:id="rId160"/>
          <w:pgSz w:w="16840" w:h="11900" w:orient="landscape" w:code="9"/>
          <w:pgMar w:top="1418" w:right="1440" w:bottom="1800" w:left="1930" w:header="994" w:footer="706" w:gutter="0"/>
          <w:cols w:space="708"/>
          <w:docGrid w:linePitch="360"/>
        </w:sectPr>
      </w:pPr>
    </w:p>
    <w:p w14:paraId="70500661" w14:textId="77777777" w:rsidR="00885EE5" w:rsidRPr="00BB0772" w:rsidRDefault="00885EE5" w:rsidP="00BB0772">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312" w:name="_Toc320190756"/>
      <w:bookmarkStart w:id="313" w:name="_Toc375214571"/>
      <w:r w:rsidRPr="00BB0772">
        <w:rPr>
          <w:rFonts w:cs="Times New Roman"/>
          <w:iCs w:val="0"/>
          <w:color w:val="064EA8"/>
          <w:szCs w:val="26"/>
          <w:lang w:eastAsia="en-US"/>
        </w:rPr>
        <w:lastRenderedPageBreak/>
        <w:t>Socio-economic Environment</w:t>
      </w:r>
      <w:bookmarkEnd w:id="312"/>
      <w:bookmarkEnd w:id="313"/>
    </w:p>
    <w:p w14:paraId="4911B5CB" w14:textId="77777777" w:rsidR="00666745" w:rsidRPr="00DB33DD" w:rsidRDefault="00666745" w:rsidP="00D35410">
      <w:pPr>
        <w:pStyle w:val="bodycopy"/>
        <w:rPr>
          <w:rFonts w:ascii="Arial" w:hAnsi="Arial"/>
          <w:sz w:val="22"/>
          <w:szCs w:val="22"/>
        </w:rPr>
      </w:pPr>
      <w:r w:rsidRPr="00DB33DD">
        <w:rPr>
          <w:rFonts w:ascii="Arial" w:hAnsi="Arial"/>
          <w:sz w:val="22"/>
          <w:szCs w:val="22"/>
        </w:rPr>
        <w:t xml:space="preserve">This section describes the social and economic environment of the proposed Pelican 3DMSS area and the EMBA. </w:t>
      </w:r>
    </w:p>
    <w:p w14:paraId="4777FEA5" w14:textId="77777777" w:rsidR="00D54428" w:rsidRDefault="00885EE5" w:rsidP="00567567">
      <w:pPr>
        <w:pStyle w:val="Heading3"/>
        <w:numPr>
          <w:ilvl w:val="2"/>
          <w:numId w:val="98"/>
        </w:numPr>
        <w:jc w:val="both"/>
      </w:pPr>
      <w:bookmarkStart w:id="314" w:name="_Toc474222023"/>
      <w:bookmarkStart w:id="315" w:name="_Toc375214572"/>
      <w:r w:rsidRPr="009678C7">
        <w:t>Coastal</w:t>
      </w:r>
      <w:r>
        <w:t xml:space="preserve"> Settlements</w:t>
      </w:r>
      <w:bookmarkEnd w:id="314"/>
      <w:bookmarkEnd w:id="315"/>
    </w:p>
    <w:p w14:paraId="6170C7DF" w14:textId="77777777" w:rsidR="0078359A" w:rsidRPr="00DB33DD" w:rsidRDefault="00666745" w:rsidP="0078359A">
      <w:pPr>
        <w:pStyle w:val="bodycopy"/>
        <w:rPr>
          <w:rFonts w:ascii="Arial" w:hAnsi="Arial"/>
          <w:sz w:val="22"/>
          <w:szCs w:val="22"/>
        </w:rPr>
      </w:pPr>
      <w:r w:rsidRPr="00DB33DD">
        <w:rPr>
          <w:rFonts w:ascii="Arial" w:hAnsi="Arial"/>
          <w:sz w:val="22"/>
          <w:szCs w:val="22"/>
        </w:rPr>
        <w:t xml:space="preserve">The coastline adjacent to the proposed Pelican 3DMSS area is sparsely populated, with the </w:t>
      </w:r>
      <w:r w:rsidR="00B13DDC" w:rsidRPr="00DB33DD">
        <w:rPr>
          <w:rFonts w:ascii="Arial" w:hAnsi="Arial"/>
          <w:sz w:val="22"/>
          <w:szCs w:val="22"/>
        </w:rPr>
        <w:t xml:space="preserve">adjoining </w:t>
      </w:r>
      <w:r w:rsidRPr="00DB33DD">
        <w:rPr>
          <w:rFonts w:ascii="Arial" w:hAnsi="Arial"/>
          <w:sz w:val="22"/>
          <w:szCs w:val="22"/>
        </w:rPr>
        <w:t xml:space="preserve">townships of Golden Beach and Paradise Beach being the closest. These towns are located within </w:t>
      </w:r>
      <w:r w:rsidR="0078359A" w:rsidRPr="00DB33DD">
        <w:rPr>
          <w:rFonts w:ascii="Arial" w:hAnsi="Arial"/>
          <w:sz w:val="22"/>
          <w:szCs w:val="22"/>
        </w:rPr>
        <w:t xml:space="preserve">the Shire of </w:t>
      </w:r>
      <w:r w:rsidR="00437CBB" w:rsidRPr="00DB33DD">
        <w:rPr>
          <w:rFonts w:ascii="Arial" w:hAnsi="Arial"/>
          <w:sz w:val="22"/>
          <w:szCs w:val="22"/>
        </w:rPr>
        <w:t>Wellington</w:t>
      </w:r>
      <w:r w:rsidR="0078359A" w:rsidRPr="00DB33DD">
        <w:rPr>
          <w:rFonts w:ascii="Arial" w:hAnsi="Arial"/>
          <w:sz w:val="22"/>
          <w:szCs w:val="22"/>
        </w:rPr>
        <w:t xml:space="preserve">. </w:t>
      </w:r>
    </w:p>
    <w:p w14:paraId="3EB09E3D" w14:textId="77777777" w:rsidR="00346D04" w:rsidRPr="00DB33DD" w:rsidRDefault="00346D04" w:rsidP="0078359A">
      <w:pPr>
        <w:pStyle w:val="bodycopy"/>
        <w:rPr>
          <w:rFonts w:ascii="Arial" w:hAnsi="Arial"/>
          <w:b/>
          <w:sz w:val="22"/>
          <w:szCs w:val="22"/>
        </w:rPr>
      </w:pPr>
      <w:r w:rsidRPr="00DB33DD">
        <w:rPr>
          <w:rFonts w:ascii="Arial" w:hAnsi="Arial"/>
          <w:b/>
          <w:sz w:val="22"/>
          <w:szCs w:val="22"/>
        </w:rPr>
        <w:t>Wellington Shire</w:t>
      </w:r>
    </w:p>
    <w:p w14:paraId="18B3570A" w14:textId="77777777" w:rsidR="00916F9D" w:rsidRPr="00DB33DD" w:rsidRDefault="00916F9D" w:rsidP="0078359A">
      <w:pPr>
        <w:pStyle w:val="bodycopy"/>
        <w:rPr>
          <w:rFonts w:ascii="Arial" w:hAnsi="Arial"/>
          <w:sz w:val="22"/>
          <w:szCs w:val="22"/>
        </w:rPr>
      </w:pPr>
      <w:r w:rsidRPr="00DB33DD">
        <w:rPr>
          <w:rFonts w:ascii="Arial" w:hAnsi="Arial"/>
          <w:sz w:val="22"/>
          <w:szCs w:val="22"/>
        </w:rPr>
        <w:t>Australian Bureau of Statistics (ABS) data for the Wellington Shire indicates that it has a population of 42,220 in 2014, with a median age of 42.6 years</w:t>
      </w:r>
      <w:r w:rsidR="00EE78C0" w:rsidRPr="00DB33DD">
        <w:rPr>
          <w:rFonts w:ascii="Arial" w:hAnsi="Arial"/>
          <w:sz w:val="22"/>
          <w:szCs w:val="22"/>
        </w:rPr>
        <w:t>, with Aboriginal people comprising 1.4% of the population in 2011</w:t>
      </w:r>
      <w:r w:rsidRPr="00DB33DD">
        <w:rPr>
          <w:rFonts w:ascii="Arial" w:hAnsi="Arial"/>
          <w:sz w:val="22"/>
          <w:szCs w:val="22"/>
        </w:rPr>
        <w:t xml:space="preserve">. </w:t>
      </w:r>
      <w:r w:rsidR="00EE78C0" w:rsidRPr="00DB33DD">
        <w:rPr>
          <w:rFonts w:ascii="Arial" w:hAnsi="Arial"/>
          <w:sz w:val="22"/>
          <w:szCs w:val="22"/>
        </w:rPr>
        <w:t>Managers and professionals comprise 33% of the workforces, technicians and trade works occupy 16% and community works 10.4%</w:t>
      </w:r>
      <w:r w:rsidR="00C938C3" w:rsidRPr="00DB33DD">
        <w:rPr>
          <w:rFonts w:ascii="Arial" w:hAnsi="Arial"/>
          <w:sz w:val="22"/>
          <w:szCs w:val="22"/>
        </w:rPr>
        <w:t xml:space="preserve"> (ABS, 2017)</w:t>
      </w:r>
      <w:r w:rsidR="00EE78C0" w:rsidRPr="00DB33DD">
        <w:rPr>
          <w:rFonts w:ascii="Arial" w:hAnsi="Arial"/>
          <w:sz w:val="22"/>
          <w:szCs w:val="22"/>
        </w:rPr>
        <w:t xml:space="preserve">. </w:t>
      </w:r>
    </w:p>
    <w:p w14:paraId="331EDC0C" w14:textId="77777777" w:rsidR="00916F9D" w:rsidRPr="00DB33DD" w:rsidRDefault="00FC2195" w:rsidP="0078359A">
      <w:pPr>
        <w:pStyle w:val="bodycopy"/>
        <w:rPr>
          <w:rFonts w:ascii="Arial" w:hAnsi="Arial"/>
          <w:sz w:val="22"/>
          <w:szCs w:val="22"/>
        </w:rPr>
      </w:pPr>
      <w:r w:rsidRPr="00DB33DD">
        <w:rPr>
          <w:rFonts w:ascii="Arial" w:hAnsi="Arial"/>
          <w:sz w:val="22"/>
          <w:szCs w:val="22"/>
        </w:rPr>
        <w:t xml:space="preserve">In 2014, the total number of businesses in the Shire of Wellington numbered 2,450, with most of these employing 1-4 people, and the median personal income in 2013 was $44,056. The largest industries in 2011 were </w:t>
      </w:r>
      <w:r w:rsidR="004A12D0" w:rsidRPr="00DB33DD">
        <w:rPr>
          <w:rFonts w:ascii="Arial" w:hAnsi="Arial"/>
          <w:sz w:val="22"/>
          <w:szCs w:val="22"/>
        </w:rPr>
        <w:t>healthcare and social assistance (12.5%), agriculture, forest</w:t>
      </w:r>
      <w:r w:rsidR="00C938C3" w:rsidRPr="00DB33DD">
        <w:rPr>
          <w:rFonts w:ascii="Arial" w:hAnsi="Arial"/>
          <w:sz w:val="22"/>
          <w:szCs w:val="22"/>
        </w:rPr>
        <w:t>r</w:t>
      </w:r>
      <w:r w:rsidR="004A12D0" w:rsidRPr="00DB33DD">
        <w:rPr>
          <w:rFonts w:ascii="Arial" w:hAnsi="Arial"/>
          <w:sz w:val="22"/>
          <w:szCs w:val="22"/>
        </w:rPr>
        <w:t>y and fishing (11.8%) and accommodation and food services (11.3%)</w:t>
      </w:r>
      <w:r w:rsidR="00C938C3" w:rsidRPr="00DB33DD">
        <w:rPr>
          <w:rFonts w:ascii="Arial" w:hAnsi="Arial"/>
          <w:sz w:val="22"/>
          <w:szCs w:val="22"/>
        </w:rPr>
        <w:t xml:space="preserve"> (ABS, 2017)</w:t>
      </w:r>
      <w:r w:rsidR="004A12D0" w:rsidRPr="00DB33DD">
        <w:rPr>
          <w:rFonts w:ascii="Arial" w:hAnsi="Arial"/>
          <w:sz w:val="22"/>
          <w:szCs w:val="22"/>
        </w:rPr>
        <w:t>.</w:t>
      </w:r>
    </w:p>
    <w:p w14:paraId="41EC81CA" w14:textId="3F985439" w:rsidR="005E25E1" w:rsidRPr="00DB33DD" w:rsidRDefault="005E25E1" w:rsidP="005E25E1">
      <w:pPr>
        <w:pStyle w:val="bodycopy"/>
        <w:rPr>
          <w:rFonts w:ascii="Arial" w:hAnsi="Arial"/>
          <w:sz w:val="22"/>
          <w:szCs w:val="22"/>
        </w:rPr>
      </w:pPr>
      <w:r w:rsidRPr="00DB33DD">
        <w:rPr>
          <w:rFonts w:ascii="Arial" w:hAnsi="Arial"/>
          <w:sz w:val="22"/>
          <w:szCs w:val="22"/>
        </w:rPr>
        <w:t xml:space="preserve">Many residents from the hinterland town of Sale (and surrounding townships) work at the Longford Gas Plant, which processes oil and gas from the offshore Gippsland oil and gas fields (see Section </w:t>
      </w:r>
      <w:r w:rsidR="00BD2FC2">
        <w:rPr>
          <w:rFonts w:ascii="Arial" w:hAnsi="Arial"/>
          <w:sz w:val="22"/>
          <w:szCs w:val="22"/>
        </w:rPr>
        <w:t>5.6.6</w:t>
      </w:r>
      <w:r w:rsidRPr="00DB33DD">
        <w:rPr>
          <w:rFonts w:ascii="Arial" w:hAnsi="Arial"/>
          <w:sz w:val="22"/>
          <w:szCs w:val="22"/>
        </w:rPr>
        <w:t xml:space="preserve">). </w:t>
      </w:r>
    </w:p>
    <w:p w14:paraId="293BFC86" w14:textId="77777777" w:rsidR="00346D04" w:rsidRPr="00DB33DD" w:rsidRDefault="00346D04" w:rsidP="0078359A">
      <w:pPr>
        <w:pStyle w:val="bodycopy"/>
        <w:rPr>
          <w:rFonts w:ascii="Arial" w:hAnsi="Arial"/>
          <w:b/>
          <w:sz w:val="22"/>
          <w:szCs w:val="22"/>
        </w:rPr>
      </w:pPr>
      <w:r w:rsidRPr="00DB33DD">
        <w:rPr>
          <w:rFonts w:ascii="Arial" w:hAnsi="Arial"/>
          <w:b/>
          <w:sz w:val="22"/>
          <w:szCs w:val="22"/>
        </w:rPr>
        <w:t>Towns</w:t>
      </w:r>
    </w:p>
    <w:p w14:paraId="7D5367DC" w14:textId="77777777" w:rsidR="00C938C3" w:rsidRPr="00DB33DD" w:rsidRDefault="00C938C3" w:rsidP="0078359A">
      <w:pPr>
        <w:pStyle w:val="bodycopy"/>
        <w:rPr>
          <w:rFonts w:ascii="Arial" w:hAnsi="Arial"/>
          <w:sz w:val="22"/>
          <w:szCs w:val="22"/>
        </w:rPr>
      </w:pPr>
      <w:r w:rsidRPr="00DB33DD">
        <w:rPr>
          <w:rFonts w:ascii="Arial" w:hAnsi="Arial"/>
          <w:sz w:val="22"/>
          <w:szCs w:val="22"/>
        </w:rPr>
        <w:t xml:space="preserve">There are no ABS statistics available for Golden Beach and Paradise Beach. These towns have very small resident populations, with housing catering primarily to the holiday market, with shacks </w:t>
      </w:r>
      <w:r w:rsidR="002F3386" w:rsidRPr="00DB33DD">
        <w:rPr>
          <w:rFonts w:ascii="Arial" w:hAnsi="Arial"/>
          <w:sz w:val="22"/>
          <w:szCs w:val="22"/>
        </w:rPr>
        <w:t xml:space="preserve">used by holidaymakers, along with </w:t>
      </w:r>
      <w:r w:rsidR="00EC1F71" w:rsidRPr="00DB33DD">
        <w:rPr>
          <w:rFonts w:ascii="Arial" w:hAnsi="Arial"/>
          <w:sz w:val="22"/>
          <w:szCs w:val="22"/>
        </w:rPr>
        <w:t xml:space="preserve">the many </w:t>
      </w:r>
      <w:r w:rsidR="002F3386" w:rsidRPr="00DB33DD">
        <w:rPr>
          <w:rFonts w:ascii="Arial" w:hAnsi="Arial"/>
          <w:sz w:val="22"/>
          <w:szCs w:val="22"/>
        </w:rPr>
        <w:t xml:space="preserve">vacant blocks used for camping. Camping among the sand dunes is also available along this section of coastline. </w:t>
      </w:r>
      <w:r w:rsidR="00EC1F71" w:rsidRPr="00DB33DD">
        <w:rPr>
          <w:rFonts w:ascii="Arial" w:hAnsi="Arial"/>
          <w:sz w:val="22"/>
          <w:szCs w:val="22"/>
        </w:rPr>
        <w:t>Golden Beach has a small group of retail shops, a church</w:t>
      </w:r>
      <w:r w:rsidR="00494A1A" w:rsidRPr="00DB33DD">
        <w:rPr>
          <w:rFonts w:ascii="Arial" w:hAnsi="Arial"/>
          <w:sz w:val="22"/>
          <w:szCs w:val="22"/>
        </w:rPr>
        <w:t>,</w:t>
      </w:r>
      <w:r w:rsidR="00EC1F71" w:rsidRPr="00DB33DD">
        <w:rPr>
          <w:rFonts w:ascii="Arial" w:hAnsi="Arial"/>
          <w:sz w:val="22"/>
          <w:szCs w:val="22"/>
        </w:rPr>
        <w:t xml:space="preserve"> caravan park</w:t>
      </w:r>
      <w:r w:rsidR="008224F9" w:rsidRPr="00DB33DD">
        <w:rPr>
          <w:rFonts w:ascii="Arial" w:hAnsi="Arial"/>
          <w:sz w:val="22"/>
          <w:szCs w:val="22"/>
        </w:rPr>
        <w:t>, football oval, bowling green and 9-hole golf course</w:t>
      </w:r>
      <w:r w:rsidR="00EC1F71" w:rsidRPr="00DB33DD">
        <w:rPr>
          <w:rFonts w:ascii="Arial" w:hAnsi="Arial"/>
          <w:sz w:val="22"/>
          <w:szCs w:val="22"/>
        </w:rPr>
        <w:t xml:space="preserve">. </w:t>
      </w:r>
    </w:p>
    <w:p w14:paraId="03C45232" w14:textId="69371635" w:rsidR="00346D04" w:rsidRPr="00DB33DD" w:rsidRDefault="00346D04" w:rsidP="00346D04">
      <w:pPr>
        <w:pStyle w:val="bodycopy"/>
        <w:rPr>
          <w:rFonts w:ascii="Arial" w:hAnsi="Arial"/>
          <w:sz w:val="22"/>
          <w:szCs w:val="22"/>
        </w:rPr>
      </w:pPr>
      <w:r w:rsidRPr="00DB33DD">
        <w:rPr>
          <w:rFonts w:ascii="Arial" w:hAnsi="Arial"/>
          <w:sz w:val="22"/>
          <w:szCs w:val="22"/>
        </w:rPr>
        <w:t xml:space="preserve">The </w:t>
      </w:r>
      <w:r w:rsidR="005E25E1" w:rsidRPr="00DB33DD">
        <w:rPr>
          <w:rFonts w:ascii="Arial" w:hAnsi="Arial"/>
          <w:sz w:val="22"/>
          <w:szCs w:val="22"/>
        </w:rPr>
        <w:t xml:space="preserve">area between The Honeysuckles and Paradise Beach </w:t>
      </w:r>
      <w:r w:rsidRPr="00DB33DD">
        <w:rPr>
          <w:rFonts w:ascii="Arial" w:hAnsi="Arial"/>
          <w:sz w:val="22"/>
          <w:szCs w:val="22"/>
        </w:rPr>
        <w:t>Ninety Mile was subdivided into about 11,800 small urban sized lots from 1955 to 1969</w:t>
      </w:r>
      <w:r w:rsidR="005E25E1" w:rsidRPr="00DB33DD">
        <w:rPr>
          <w:rFonts w:ascii="Arial" w:hAnsi="Arial"/>
          <w:sz w:val="22"/>
          <w:szCs w:val="22"/>
        </w:rPr>
        <w:t xml:space="preserve"> </w:t>
      </w:r>
      <w:r w:rsidRPr="00DB33DD">
        <w:rPr>
          <w:rFonts w:ascii="Arial" w:hAnsi="Arial"/>
          <w:sz w:val="22"/>
          <w:szCs w:val="22"/>
        </w:rPr>
        <w:t>without planning controls. The developer only provided a main sealed road along the coast (Shoreline Drive) and very little of the promised facilities or services were ever built. Only the main settlements of Golden and Paradise Beaches and The Honeysuckles are now serviced with electricity and no reticulated water or sewerage was provided. Some dwellings were built without services on the primary sand dunes and on flood</w:t>
      </w:r>
      <w:r w:rsidR="005E25E1" w:rsidRPr="00DB33DD">
        <w:rPr>
          <w:rFonts w:ascii="Arial" w:hAnsi="Arial"/>
          <w:sz w:val="22"/>
          <w:szCs w:val="22"/>
        </w:rPr>
        <w:t>-</w:t>
      </w:r>
      <w:r w:rsidRPr="00DB33DD">
        <w:rPr>
          <w:rFonts w:ascii="Arial" w:hAnsi="Arial"/>
          <w:sz w:val="22"/>
          <w:szCs w:val="22"/>
        </w:rPr>
        <w:t>prone land</w:t>
      </w:r>
      <w:r w:rsidR="006F7DB1">
        <w:rPr>
          <w:rFonts w:ascii="Arial" w:hAnsi="Arial"/>
          <w:sz w:val="22"/>
          <w:szCs w:val="22"/>
        </w:rPr>
        <w:t xml:space="preserve"> (W</w:t>
      </w:r>
      <w:r w:rsidR="00A710A8" w:rsidRPr="00DB33DD">
        <w:rPr>
          <w:rFonts w:ascii="Arial" w:hAnsi="Arial"/>
          <w:sz w:val="22"/>
          <w:szCs w:val="22"/>
        </w:rPr>
        <w:t>ellington Shire, 2017)</w:t>
      </w:r>
      <w:r w:rsidRPr="00DB33DD">
        <w:rPr>
          <w:rFonts w:ascii="Arial" w:hAnsi="Arial"/>
          <w:sz w:val="22"/>
          <w:szCs w:val="22"/>
        </w:rPr>
        <w:t xml:space="preserve">. </w:t>
      </w:r>
      <w:r w:rsidR="005E25E1" w:rsidRPr="00DB33DD">
        <w:rPr>
          <w:rFonts w:ascii="Arial" w:hAnsi="Arial"/>
          <w:sz w:val="22"/>
          <w:szCs w:val="22"/>
        </w:rPr>
        <w:t xml:space="preserve">As such, the Victorian government has been in the process of buying out these properties. </w:t>
      </w:r>
    </w:p>
    <w:p w14:paraId="1D91F19A" w14:textId="77777777" w:rsidR="00B13DDC" w:rsidRPr="00DB33DD" w:rsidRDefault="00B13DDC" w:rsidP="0078359A">
      <w:pPr>
        <w:pStyle w:val="bodycopy"/>
        <w:rPr>
          <w:rFonts w:ascii="Arial" w:hAnsi="Arial"/>
          <w:sz w:val="22"/>
          <w:szCs w:val="22"/>
        </w:rPr>
      </w:pPr>
      <w:r w:rsidRPr="00DB33DD">
        <w:rPr>
          <w:rFonts w:ascii="Arial" w:hAnsi="Arial"/>
          <w:sz w:val="22"/>
          <w:szCs w:val="22"/>
        </w:rPr>
        <w:t xml:space="preserve">The towns of Seaspray and The Honeysuckles are located further west on the coastline adjacent to the proposed Pelican 3DMSS. Similar to Golden Beach and Paradise Beach, these are essentially tourism-focused towns. </w:t>
      </w:r>
    </w:p>
    <w:p w14:paraId="02EE6595" w14:textId="77777777" w:rsidR="00E353E6" w:rsidRPr="003409DF" w:rsidRDefault="00E353E6" w:rsidP="00567567">
      <w:pPr>
        <w:pStyle w:val="Heading3"/>
        <w:numPr>
          <w:ilvl w:val="2"/>
          <w:numId w:val="98"/>
        </w:numPr>
      </w:pPr>
      <w:bookmarkStart w:id="316" w:name="_Toc375214573"/>
      <w:r>
        <w:t>Native Title</w:t>
      </w:r>
      <w:bookmarkEnd w:id="316"/>
    </w:p>
    <w:p w14:paraId="0EBBC74B" w14:textId="60E0E74A" w:rsidR="003440AB" w:rsidRPr="00DB33DD" w:rsidRDefault="00AE43A0" w:rsidP="00775254">
      <w:pPr>
        <w:pStyle w:val="bodycopy"/>
        <w:rPr>
          <w:rFonts w:ascii="Arial" w:hAnsi="Arial"/>
          <w:sz w:val="22"/>
          <w:szCs w:val="22"/>
        </w:rPr>
      </w:pPr>
      <w:r>
        <w:rPr>
          <w:rFonts w:ascii="Arial" w:hAnsi="Arial"/>
          <w:sz w:val="22"/>
          <w:szCs w:val="22"/>
        </w:rPr>
        <w:t>The</w:t>
      </w:r>
      <w:r w:rsidR="00775254" w:rsidRPr="00DB33DD">
        <w:rPr>
          <w:rFonts w:ascii="Arial" w:hAnsi="Arial"/>
          <w:sz w:val="22"/>
          <w:szCs w:val="22"/>
        </w:rPr>
        <w:t xml:space="preserve"> National Native Title Tribunal (NNTT) database identifies </w:t>
      </w:r>
      <w:r w:rsidR="00FF68E3" w:rsidRPr="00DB33DD">
        <w:rPr>
          <w:rFonts w:ascii="Arial" w:hAnsi="Arial"/>
          <w:sz w:val="22"/>
          <w:szCs w:val="22"/>
        </w:rPr>
        <w:t xml:space="preserve">that there </w:t>
      </w:r>
      <w:r w:rsidR="00E4495B" w:rsidRPr="00DB33DD">
        <w:rPr>
          <w:rFonts w:ascii="Arial" w:hAnsi="Arial"/>
          <w:sz w:val="22"/>
          <w:szCs w:val="22"/>
        </w:rPr>
        <w:t xml:space="preserve">is Native Title </w:t>
      </w:r>
      <w:r w:rsidR="007E2AD3" w:rsidRPr="00DB33DD">
        <w:rPr>
          <w:rFonts w:ascii="Arial" w:hAnsi="Arial"/>
          <w:sz w:val="22"/>
          <w:szCs w:val="22"/>
        </w:rPr>
        <w:t xml:space="preserve">Determination </w:t>
      </w:r>
      <w:r w:rsidR="00E4495B" w:rsidRPr="00DB33DD">
        <w:rPr>
          <w:rFonts w:ascii="Arial" w:hAnsi="Arial"/>
          <w:sz w:val="22"/>
          <w:szCs w:val="22"/>
        </w:rPr>
        <w:t>registered over much of the coastline adjacent to the proposed survey acquisition area, this being for the Gunai/Kurnai People (VCD2010/001</w:t>
      </w:r>
      <w:r w:rsidR="003440AB" w:rsidRPr="00DB33DD">
        <w:rPr>
          <w:rFonts w:ascii="Arial" w:hAnsi="Arial"/>
          <w:sz w:val="22"/>
          <w:szCs w:val="22"/>
        </w:rPr>
        <w:t xml:space="preserve">) </w:t>
      </w:r>
      <w:r w:rsidR="003440AB" w:rsidRPr="00DB33DD">
        <w:rPr>
          <w:rFonts w:ascii="Arial" w:hAnsi="Arial"/>
          <w:sz w:val="22"/>
          <w:szCs w:val="22"/>
        </w:rPr>
        <w:lastRenderedPageBreak/>
        <w:t>(</w:t>
      </w:r>
      <w:r w:rsidR="003440AB" w:rsidRPr="002330FD">
        <w:rPr>
          <w:rFonts w:ascii="Arial" w:hAnsi="Arial"/>
          <w:sz w:val="22"/>
          <w:szCs w:val="22"/>
        </w:rPr>
        <w:t>Figure 5.</w:t>
      </w:r>
      <w:r w:rsidR="00CA33DE" w:rsidRPr="002330FD">
        <w:rPr>
          <w:rFonts w:ascii="Arial" w:hAnsi="Arial"/>
          <w:sz w:val="22"/>
          <w:szCs w:val="22"/>
        </w:rPr>
        <w:t>2</w:t>
      </w:r>
      <w:r w:rsidRPr="002330FD">
        <w:rPr>
          <w:rFonts w:ascii="Arial" w:hAnsi="Arial"/>
          <w:sz w:val="22"/>
          <w:szCs w:val="22"/>
        </w:rPr>
        <w:t>3</w:t>
      </w:r>
      <w:r w:rsidR="003440AB" w:rsidRPr="002330FD">
        <w:rPr>
          <w:rFonts w:ascii="Arial" w:hAnsi="Arial"/>
          <w:sz w:val="22"/>
          <w:szCs w:val="22"/>
        </w:rPr>
        <w:t>).</w:t>
      </w:r>
      <w:r w:rsidR="003440AB" w:rsidRPr="00DB33DD">
        <w:rPr>
          <w:rFonts w:ascii="Arial" w:hAnsi="Arial"/>
          <w:sz w:val="22"/>
          <w:szCs w:val="22"/>
        </w:rPr>
        <w:t xml:space="preserve"> </w:t>
      </w:r>
      <w:r w:rsidR="00406E95">
        <w:rPr>
          <w:rFonts w:ascii="Arial" w:hAnsi="Arial"/>
          <w:sz w:val="22"/>
          <w:szCs w:val="22"/>
        </w:rPr>
        <w:t xml:space="preserve"> This was also confirmed during the stakeholder consultation process</w:t>
      </w:r>
      <w:r w:rsidR="00313490">
        <w:rPr>
          <w:rFonts w:ascii="Arial" w:hAnsi="Arial"/>
          <w:sz w:val="22"/>
          <w:szCs w:val="22"/>
        </w:rPr>
        <w:t xml:space="preserve"> (see Section 4.5)</w:t>
      </w:r>
      <w:r w:rsidR="00406E95">
        <w:rPr>
          <w:rFonts w:ascii="Arial" w:hAnsi="Arial"/>
          <w:sz w:val="22"/>
          <w:szCs w:val="22"/>
        </w:rPr>
        <w:t xml:space="preserve">. </w:t>
      </w:r>
    </w:p>
    <w:p w14:paraId="54D94AA2" w14:textId="11338CB7" w:rsidR="00FF68E3" w:rsidRPr="00DB33DD" w:rsidRDefault="003440AB" w:rsidP="00775254">
      <w:pPr>
        <w:pStyle w:val="bodycopy"/>
        <w:rPr>
          <w:rFonts w:ascii="Arial" w:hAnsi="Arial"/>
          <w:sz w:val="22"/>
          <w:szCs w:val="22"/>
        </w:rPr>
      </w:pPr>
      <w:r w:rsidRPr="00DB33DD">
        <w:rPr>
          <w:rFonts w:ascii="Arial" w:hAnsi="Arial"/>
          <w:sz w:val="22"/>
          <w:szCs w:val="22"/>
        </w:rPr>
        <w:t xml:space="preserve">There are </w:t>
      </w:r>
      <w:r w:rsidR="00FF68E3" w:rsidRPr="00DB33DD">
        <w:rPr>
          <w:rFonts w:ascii="Arial" w:hAnsi="Arial"/>
          <w:sz w:val="22"/>
          <w:szCs w:val="22"/>
        </w:rPr>
        <w:t xml:space="preserve">no Native Title </w:t>
      </w:r>
      <w:r w:rsidR="00406E95">
        <w:rPr>
          <w:rFonts w:ascii="Arial" w:hAnsi="Arial"/>
          <w:sz w:val="22"/>
          <w:szCs w:val="22"/>
        </w:rPr>
        <w:t xml:space="preserve">Claims </w:t>
      </w:r>
      <w:r w:rsidR="00FF68E3" w:rsidRPr="00DB33DD">
        <w:rPr>
          <w:rFonts w:ascii="Arial" w:hAnsi="Arial"/>
          <w:sz w:val="22"/>
          <w:szCs w:val="22"/>
        </w:rPr>
        <w:t>over the proposed acquisition area or adjacent coastline</w:t>
      </w:r>
      <w:r w:rsidR="00FF62E9" w:rsidRPr="00DB33DD">
        <w:rPr>
          <w:rFonts w:ascii="Arial" w:hAnsi="Arial"/>
          <w:sz w:val="22"/>
          <w:szCs w:val="22"/>
        </w:rPr>
        <w:t xml:space="preserve"> (NNTT, 2017)</w:t>
      </w:r>
      <w:r w:rsidR="00FF68E3" w:rsidRPr="00DB33DD">
        <w:rPr>
          <w:rFonts w:ascii="Arial" w:hAnsi="Arial"/>
          <w:sz w:val="22"/>
          <w:szCs w:val="22"/>
        </w:rPr>
        <w:t xml:space="preserve">. </w:t>
      </w:r>
    </w:p>
    <w:p w14:paraId="3DB1CEAB" w14:textId="0B3AE067" w:rsidR="007E2AD3" w:rsidRDefault="007E2AD3" w:rsidP="00775254">
      <w:pPr>
        <w:pStyle w:val="bodycopy"/>
      </w:pPr>
      <w:r w:rsidRPr="00DB33DD">
        <w:rPr>
          <w:rFonts w:ascii="Arial" w:hAnsi="Arial"/>
          <w:sz w:val="22"/>
          <w:szCs w:val="22"/>
        </w:rPr>
        <w:t>There are no Indigenous Land Use Agreements (ILUA) registered by the NNTT along the coastline adjacent to the proposed survey acquisition area (NNTT, 2017).</w:t>
      </w:r>
    </w:p>
    <w:p w14:paraId="49C205B2" w14:textId="77777777" w:rsidR="00885EE5" w:rsidRPr="003409DF" w:rsidRDefault="00885EE5" w:rsidP="009678C7">
      <w:pPr>
        <w:pStyle w:val="Heading3"/>
      </w:pPr>
      <w:bookmarkStart w:id="317" w:name="_Toc474222024"/>
      <w:bookmarkStart w:id="318" w:name="_Ref475442805"/>
      <w:bookmarkStart w:id="319" w:name="_Ref476052474"/>
      <w:bookmarkStart w:id="320" w:name="_Ref476557894"/>
      <w:bookmarkStart w:id="321" w:name="_Ref350590026"/>
      <w:bookmarkStart w:id="322" w:name="_Ref352241754"/>
      <w:bookmarkStart w:id="323" w:name="_Ref481754179"/>
      <w:bookmarkStart w:id="324" w:name="_Ref363390547"/>
      <w:bookmarkStart w:id="325" w:name="_Toc375214574"/>
      <w:r>
        <w:t xml:space="preserve">Commercial </w:t>
      </w:r>
      <w:r w:rsidRPr="009678C7">
        <w:t>Fishing</w:t>
      </w:r>
      <w:bookmarkEnd w:id="317"/>
      <w:bookmarkEnd w:id="318"/>
      <w:bookmarkEnd w:id="319"/>
      <w:bookmarkEnd w:id="320"/>
      <w:bookmarkEnd w:id="321"/>
      <w:bookmarkEnd w:id="322"/>
      <w:bookmarkEnd w:id="323"/>
      <w:bookmarkEnd w:id="324"/>
      <w:bookmarkEnd w:id="325"/>
    </w:p>
    <w:p w14:paraId="33616CEF" w14:textId="77777777" w:rsidR="003409DF" w:rsidRPr="00DB33DD" w:rsidRDefault="003409DF" w:rsidP="003409DF">
      <w:pPr>
        <w:pStyle w:val="bodycopy"/>
        <w:rPr>
          <w:rFonts w:ascii="Arial" w:hAnsi="Arial"/>
          <w:sz w:val="22"/>
          <w:szCs w:val="22"/>
        </w:rPr>
      </w:pPr>
      <w:bookmarkStart w:id="326" w:name="_Ref421196787"/>
      <w:bookmarkStart w:id="327" w:name="_Toc455992530"/>
      <w:r w:rsidRPr="00DB33DD">
        <w:rPr>
          <w:rFonts w:ascii="Arial" w:hAnsi="Arial"/>
          <w:sz w:val="22"/>
          <w:szCs w:val="22"/>
        </w:rPr>
        <w:t xml:space="preserve">Several Commonwealth and Victorian commercial fisheries are licensed to operate in and around the Pelican 3DMSS area and </w:t>
      </w:r>
      <w:r w:rsidR="00182296" w:rsidRPr="00DB33DD">
        <w:rPr>
          <w:rFonts w:ascii="Arial" w:hAnsi="Arial"/>
          <w:sz w:val="22"/>
          <w:szCs w:val="22"/>
        </w:rPr>
        <w:t xml:space="preserve">the diesel spill </w:t>
      </w:r>
      <w:r w:rsidRPr="00DB33DD">
        <w:rPr>
          <w:rFonts w:ascii="Arial" w:hAnsi="Arial"/>
          <w:sz w:val="22"/>
          <w:szCs w:val="22"/>
        </w:rPr>
        <w:t>EMBA</w:t>
      </w:r>
      <w:r w:rsidR="00182296" w:rsidRPr="00DB33DD">
        <w:rPr>
          <w:rFonts w:ascii="Arial" w:hAnsi="Arial"/>
          <w:sz w:val="22"/>
          <w:szCs w:val="22"/>
        </w:rPr>
        <w:t xml:space="preserve"> (as defined at the start of Chapter 5)</w:t>
      </w:r>
      <w:r w:rsidRPr="00DB33DD">
        <w:rPr>
          <w:rFonts w:ascii="Arial" w:hAnsi="Arial"/>
          <w:sz w:val="22"/>
          <w:szCs w:val="22"/>
        </w:rPr>
        <w:t xml:space="preserve">. These are described in the following sections. </w:t>
      </w:r>
    </w:p>
    <w:p w14:paraId="3B9CDC8C" w14:textId="77777777" w:rsidR="003409DF" w:rsidRPr="002B730F" w:rsidRDefault="003409DF" w:rsidP="003409DF">
      <w:pPr>
        <w:pStyle w:val="Heading4"/>
        <w:rPr>
          <w:rFonts w:eastAsia="Times New Roman" w:cs="Arial"/>
          <w:b/>
          <w:bCs w:val="0"/>
          <w:color w:val="auto"/>
          <w:sz w:val="22"/>
          <w:szCs w:val="22"/>
          <w:lang w:eastAsia="en-AU"/>
        </w:rPr>
      </w:pPr>
      <w:r w:rsidRPr="002B730F">
        <w:rPr>
          <w:rFonts w:eastAsia="Times New Roman" w:cs="Arial"/>
          <w:b/>
          <w:bCs w:val="0"/>
          <w:color w:val="auto"/>
          <w:sz w:val="22"/>
          <w:szCs w:val="22"/>
          <w:lang w:eastAsia="en-AU"/>
        </w:rPr>
        <w:t>Commonwealth-managed Fisheries</w:t>
      </w:r>
    </w:p>
    <w:p w14:paraId="0BC5CAE4" w14:textId="77777777" w:rsidR="003409DF" w:rsidRPr="00DB33DD" w:rsidRDefault="003409DF" w:rsidP="003409DF">
      <w:pPr>
        <w:pStyle w:val="bodycopy"/>
        <w:rPr>
          <w:rFonts w:ascii="Arial" w:hAnsi="Arial"/>
          <w:sz w:val="22"/>
          <w:szCs w:val="22"/>
        </w:rPr>
      </w:pPr>
      <w:r w:rsidRPr="00DB33DD">
        <w:rPr>
          <w:rFonts w:ascii="Arial" w:hAnsi="Arial"/>
          <w:sz w:val="22"/>
          <w:szCs w:val="22"/>
        </w:rPr>
        <w:t xml:space="preserve">Commonwealth fisheries are managed by the AFMA under the </w:t>
      </w:r>
      <w:r w:rsidRPr="00DB33DD">
        <w:rPr>
          <w:rFonts w:ascii="Arial" w:hAnsi="Arial"/>
          <w:i/>
          <w:sz w:val="22"/>
          <w:szCs w:val="22"/>
        </w:rPr>
        <w:t>Fisheries Management Act 1991</w:t>
      </w:r>
      <w:r w:rsidRPr="00DB33DD">
        <w:rPr>
          <w:rFonts w:ascii="Arial" w:hAnsi="Arial"/>
          <w:sz w:val="22"/>
          <w:szCs w:val="22"/>
        </w:rPr>
        <w:t xml:space="preserve"> (Cth). Their jurisdiction covers the area of ocean from 3 nm from the coast out to the 200 nm limit (the extent of the AFZ). Commonwealth commercial fisheries with jurisdictions to fish the EMBA are the: </w:t>
      </w:r>
    </w:p>
    <w:p w14:paraId="3E05531C" w14:textId="77777777" w:rsidR="003409DF" w:rsidRPr="00DB33DD" w:rsidRDefault="003409DF" w:rsidP="002E4E3A">
      <w:pPr>
        <w:pStyle w:val="bodycopy"/>
        <w:numPr>
          <w:ilvl w:val="0"/>
          <w:numId w:val="26"/>
        </w:numPr>
        <w:rPr>
          <w:rFonts w:ascii="Arial" w:hAnsi="Arial"/>
          <w:sz w:val="22"/>
          <w:szCs w:val="22"/>
        </w:rPr>
      </w:pPr>
      <w:r w:rsidRPr="00DB33DD">
        <w:rPr>
          <w:rFonts w:ascii="Arial" w:hAnsi="Arial"/>
          <w:sz w:val="22"/>
          <w:szCs w:val="22"/>
        </w:rPr>
        <w:t>Bass Strait Central Zone Scallop Fishery;</w:t>
      </w:r>
    </w:p>
    <w:p w14:paraId="6D52418B" w14:textId="77777777" w:rsidR="003409DF" w:rsidRPr="00DB33DD" w:rsidRDefault="003409DF" w:rsidP="002E4E3A">
      <w:pPr>
        <w:pStyle w:val="bodycopy"/>
        <w:numPr>
          <w:ilvl w:val="0"/>
          <w:numId w:val="26"/>
        </w:numPr>
        <w:rPr>
          <w:rFonts w:ascii="Arial" w:hAnsi="Arial"/>
          <w:sz w:val="22"/>
          <w:szCs w:val="22"/>
        </w:rPr>
      </w:pPr>
      <w:r w:rsidRPr="00DB33DD">
        <w:rPr>
          <w:rFonts w:ascii="Arial" w:hAnsi="Arial"/>
          <w:sz w:val="22"/>
          <w:szCs w:val="22"/>
        </w:rPr>
        <w:t>Eastern Tune and Billfish Fishery;</w:t>
      </w:r>
    </w:p>
    <w:p w14:paraId="07A972AD" w14:textId="77777777" w:rsidR="003409DF" w:rsidRPr="00DB33DD" w:rsidRDefault="003409DF" w:rsidP="002E4E3A">
      <w:pPr>
        <w:pStyle w:val="bodycopy"/>
        <w:numPr>
          <w:ilvl w:val="0"/>
          <w:numId w:val="26"/>
        </w:numPr>
        <w:rPr>
          <w:rFonts w:ascii="Arial" w:hAnsi="Arial"/>
          <w:sz w:val="22"/>
          <w:szCs w:val="22"/>
        </w:rPr>
      </w:pPr>
      <w:r w:rsidRPr="00DB33DD">
        <w:rPr>
          <w:rFonts w:ascii="Arial" w:hAnsi="Arial"/>
          <w:sz w:val="22"/>
          <w:szCs w:val="22"/>
        </w:rPr>
        <w:t xml:space="preserve">Eastern Skipjack </w:t>
      </w:r>
      <w:r w:rsidR="0021251C" w:rsidRPr="00DB33DD">
        <w:rPr>
          <w:rFonts w:ascii="Arial" w:hAnsi="Arial"/>
          <w:sz w:val="22"/>
          <w:szCs w:val="22"/>
        </w:rPr>
        <w:t xml:space="preserve">Tuna </w:t>
      </w:r>
      <w:r w:rsidRPr="00DB33DD">
        <w:rPr>
          <w:rFonts w:ascii="Arial" w:hAnsi="Arial"/>
          <w:sz w:val="22"/>
          <w:szCs w:val="22"/>
        </w:rPr>
        <w:t>Fishery;</w:t>
      </w:r>
    </w:p>
    <w:p w14:paraId="0AA11006" w14:textId="77777777" w:rsidR="003409DF" w:rsidRPr="00DB33DD" w:rsidRDefault="003409DF" w:rsidP="002E4E3A">
      <w:pPr>
        <w:pStyle w:val="bodycopy"/>
        <w:numPr>
          <w:ilvl w:val="0"/>
          <w:numId w:val="26"/>
        </w:numPr>
        <w:rPr>
          <w:rFonts w:ascii="Arial" w:hAnsi="Arial"/>
          <w:sz w:val="22"/>
          <w:szCs w:val="22"/>
        </w:rPr>
      </w:pPr>
      <w:r w:rsidRPr="00DB33DD">
        <w:rPr>
          <w:rFonts w:ascii="Arial" w:hAnsi="Arial"/>
          <w:sz w:val="22"/>
          <w:szCs w:val="22"/>
        </w:rPr>
        <w:t>Southern Bluefin Tuna Fishery;</w:t>
      </w:r>
    </w:p>
    <w:p w14:paraId="5FF059FE" w14:textId="77777777" w:rsidR="003409DF" w:rsidRPr="00DB33DD" w:rsidRDefault="003409DF" w:rsidP="002E4E3A">
      <w:pPr>
        <w:pStyle w:val="bodycopy"/>
        <w:numPr>
          <w:ilvl w:val="0"/>
          <w:numId w:val="26"/>
        </w:numPr>
        <w:rPr>
          <w:rFonts w:ascii="Arial" w:hAnsi="Arial"/>
          <w:sz w:val="22"/>
          <w:szCs w:val="22"/>
        </w:rPr>
      </w:pPr>
      <w:r w:rsidRPr="00DB33DD">
        <w:rPr>
          <w:rFonts w:ascii="Arial" w:hAnsi="Arial"/>
          <w:sz w:val="22"/>
          <w:szCs w:val="22"/>
        </w:rPr>
        <w:t>Small Pelagic Fishery</w:t>
      </w:r>
      <w:r w:rsidR="00D0145C" w:rsidRPr="00DB33DD">
        <w:rPr>
          <w:rFonts w:ascii="Arial" w:hAnsi="Arial"/>
          <w:sz w:val="22"/>
          <w:szCs w:val="22"/>
        </w:rPr>
        <w:t xml:space="preserve"> (eastern sub-area)</w:t>
      </w:r>
      <w:r w:rsidRPr="00DB33DD">
        <w:rPr>
          <w:rFonts w:ascii="Arial" w:hAnsi="Arial"/>
          <w:sz w:val="22"/>
          <w:szCs w:val="22"/>
        </w:rPr>
        <w:t>;</w:t>
      </w:r>
    </w:p>
    <w:p w14:paraId="22B95EBC" w14:textId="77777777" w:rsidR="00D0145C" w:rsidRPr="00DB33DD" w:rsidRDefault="00D0145C" w:rsidP="002E4E3A">
      <w:pPr>
        <w:pStyle w:val="bodycopy"/>
        <w:numPr>
          <w:ilvl w:val="0"/>
          <w:numId w:val="26"/>
        </w:numPr>
        <w:rPr>
          <w:rFonts w:ascii="Arial" w:hAnsi="Arial"/>
          <w:sz w:val="22"/>
          <w:szCs w:val="22"/>
        </w:rPr>
      </w:pPr>
      <w:r w:rsidRPr="00DB33DD">
        <w:rPr>
          <w:rFonts w:ascii="Arial" w:hAnsi="Arial"/>
          <w:sz w:val="22"/>
          <w:szCs w:val="22"/>
        </w:rPr>
        <w:t>Southern Squid Jig Fishery;</w:t>
      </w:r>
      <w:r w:rsidR="0062079A" w:rsidRPr="00DB33DD">
        <w:rPr>
          <w:rFonts w:ascii="Arial" w:hAnsi="Arial"/>
          <w:sz w:val="22"/>
          <w:szCs w:val="22"/>
        </w:rPr>
        <w:t xml:space="preserve"> and</w:t>
      </w:r>
    </w:p>
    <w:p w14:paraId="3C7416A2" w14:textId="77777777" w:rsidR="003409DF" w:rsidRPr="00DB33DD" w:rsidRDefault="003409DF" w:rsidP="002E4E3A">
      <w:pPr>
        <w:pStyle w:val="bodycopy"/>
        <w:numPr>
          <w:ilvl w:val="0"/>
          <w:numId w:val="26"/>
        </w:numPr>
        <w:rPr>
          <w:rFonts w:ascii="Arial" w:hAnsi="Arial"/>
          <w:sz w:val="22"/>
          <w:szCs w:val="22"/>
        </w:rPr>
      </w:pPr>
      <w:r w:rsidRPr="00DB33DD">
        <w:rPr>
          <w:rFonts w:ascii="Arial" w:hAnsi="Arial"/>
          <w:sz w:val="22"/>
          <w:szCs w:val="22"/>
        </w:rPr>
        <w:t xml:space="preserve">Southern and Eastern Scalefish and Shark (SESS), incorporating; </w:t>
      </w:r>
    </w:p>
    <w:p w14:paraId="4C951181" w14:textId="77777777" w:rsidR="003409DF" w:rsidRPr="00DB33DD" w:rsidRDefault="00D0145C" w:rsidP="002E4E3A">
      <w:pPr>
        <w:pStyle w:val="bodycopy"/>
        <w:numPr>
          <w:ilvl w:val="1"/>
          <w:numId w:val="26"/>
        </w:numPr>
        <w:rPr>
          <w:rFonts w:ascii="Arial" w:hAnsi="Arial"/>
          <w:sz w:val="22"/>
          <w:szCs w:val="22"/>
        </w:rPr>
      </w:pPr>
      <w:r w:rsidRPr="00DB33DD">
        <w:rPr>
          <w:rFonts w:ascii="Arial" w:hAnsi="Arial"/>
          <w:sz w:val="22"/>
          <w:szCs w:val="22"/>
        </w:rPr>
        <w:t>Gillnet and Sh</w:t>
      </w:r>
      <w:r w:rsidR="003409DF" w:rsidRPr="00DB33DD">
        <w:rPr>
          <w:rFonts w:ascii="Arial" w:hAnsi="Arial"/>
          <w:sz w:val="22"/>
          <w:szCs w:val="22"/>
        </w:rPr>
        <w:t>ark Hook sector.</w:t>
      </w:r>
    </w:p>
    <w:p w14:paraId="0DCD54BD" w14:textId="77777777" w:rsidR="003409DF" w:rsidRPr="00DB33DD" w:rsidRDefault="00D0145C" w:rsidP="002E4E3A">
      <w:pPr>
        <w:pStyle w:val="bodycopy"/>
        <w:numPr>
          <w:ilvl w:val="1"/>
          <w:numId w:val="26"/>
        </w:numPr>
        <w:rPr>
          <w:rFonts w:ascii="Arial" w:hAnsi="Arial"/>
          <w:sz w:val="22"/>
          <w:szCs w:val="22"/>
        </w:rPr>
      </w:pPr>
      <w:r w:rsidRPr="00DB33DD">
        <w:rPr>
          <w:rFonts w:ascii="Arial" w:hAnsi="Arial"/>
          <w:sz w:val="22"/>
          <w:szCs w:val="22"/>
        </w:rPr>
        <w:t>South East Trawl sector</w:t>
      </w:r>
      <w:r w:rsidR="003409DF" w:rsidRPr="00DB33DD">
        <w:rPr>
          <w:rFonts w:ascii="Arial" w:hAnsi="Arial"/>
          <w:sz w:val="22"/>
          <w:szCs w:val="22"/>
        </w:rPr>
        <w:t>.</w:t>
      </w:r>
    </w:p>
    <w:p w14:paraId="19388618" w14:textId="77777777" w:rsidR="00D0145C" w:rsidRPr="00DB33DD" w:rsidRDefault="00D0145C" w:rsidP="002E4E3A">
      <w:pPr>
        <w:pStyle w:val="bodycopy"/>
        <w:numPr>
          <w:ilvl w:val="1"/>
          <w:numId w:val="26"/>
        </w:numPr>
        <w:rPr>
          <w:rFonts w:ascii="Arial" w:hAnsi="Arial"/>
          <w:sz w:val="22"/>
          <w:szCs w:val="22"/>
        </w:rPr>
      </w:pPr>
      <w:r w:rsidRPr="00DB33DD">
        <w:rPr>
          <w:rFonts w:ascii="Arial" w:hAnsi="Arial"/>
          <w:sz w:val="22"/>
          <w:szCs w:val="22"/>
        </w:rPr>
        <w:t>Scalefish Hook sector.</w:t>
      </w:r>
    </w:p>
    <w:p w14:paraId="287CF95F" w14:textId="234AA9C2" w:rsidR="00ED4BBC" w:rsidRPr="00DB33DD" w:rsidRDefault="00ED4BBC" w:rsidP="00D0145C">
      <w:pPr>
        <w:pStyle w:val="bodycopy"/>
        <w:rPr>
          <w:rFonts w:ascii="Arial" w:hAnsi="Arial"/>
          <w:sz w:val="22"/>
          <w:szCs w:val="22"/>
        </w:rPr>
      </w:pPr>
      <w:r w:rsidRPr="002330FD">
        <w:rPr>
          <w:rFonts w:ascii="Arial" w:hAnsi="Arial"/>
          <w:sz w:val="22"/>
          <w:szCs w:val="22"/>
        </w:rPr>
        <w:t>Table 5.</w:t>
      </w:r>
      <w:r w:rsidR="006E635A" w:rsidRPr="002330FD">
        <w:rPr>
          <w:rFonts w:ascii="Arial" w:hAnsi="Arial"/>
          <w:sz w:val="22"/>
          <w:szCs w:val="22"/>
        </w:rPr>
        <w:t>1</w:t>
      </w:r>
      <w:r w:rsidR="00AE43A0" w:rsidRPr="002330FD">
        <w:rPr>
          <w:rFonts w:ascii="Arial" w:hAnsi="Arial"/>
          <w:sz w:val="22"/>
          <w:szCs w:val="22"/>
        </w:rPr>
        <w:t>2</w:t>
      </w:r>
      <w:r w:rsidRPr="00AE43A0">
        <w:rPr>
          <w:rFonts w:ascii="Arial" w:hAnsi="Arial"/>
          <w:color w:val="FF0000"/>
          <w:sz w:val="22"/>
          <w:szCs w:val="22"/>
        </w:rPr>
        <w:t xml:space="preserve"> </w:t>
      </w:r>
      <w:r w:rsidRPr="002949C0">
        <w:rPr>
          <w:rFonts w:ascii="Arial" w:hAnsi="Arial"/>
          <w:sz w:val="22"/>
          <w:szCs w:val="22"/>
        </w:rPr>
        <w:t>summarises</w:t>
      </w:r>
      <w:r w:rsidRPr="00DB33DD">
        <w:rPr>
          <w:rFonts w:ascii="Arial" w:hAnsi="Arial"/>
          <w:sz w:val="22"/>
          <w:szCs w:val="22"/>
        </w:rPr>
        <w:t xml:space="preserve"> the key facts and figures of each of these fisheries, and indicates that only the Southern Squid Jig Fishery and the SESS are likely to fish within the acquisition area or EMBA. </w:t>
      </w:r>
    </w:p>
    <w:p w14:paraId="5D778342" w14:textId="780861F3" w:rsidR="005B58B2" w:rsidRPr="00DB33DD" w:rsidRDefault="003409DF" w:rsidP="008B1FE7">
      <w:pPr>
        <w:pStyle w:val="bodycopy"/>
        <w:rPr>
          <w:rFonts w:ascii="Arial" w:hAnsi="Arial"/>
          <w:b/>
          <w:bCs/>
          <w:sz w:val="22"/>
          <w:szCs w:val="22"/>
        </w:rPr>
      </w:pPr>
      <w:r w:rsidRPr="00DB33DD">
        <w:rPr>
          <w:rFonts w:ascii="Arial" w:hAnsi="Arial"/>
          <w:sz w:val="22"/>
          <w:szCs w:val="22"/>
        </w:rPr>
        <w:t xml:space="preserve">Consultation with fisheries groups </w:t>
      </w:r>
      <w:r w:rsidR="0026097E">
        <w:rPr>
          <w:rFonts w:ascii="Arial" w:hAnsi="Arial"/>
          <w:sz w:val="22"/>
          <w:szCs w:val="22"/>
        </w:rPr>
        <w:t xml:space="preserve">and research commissioned by CarbonNet and undertaken by SETFIA &amp; Fishwell (2017) </w:t>
      </w:r>
      <w:r w:rsidRPr="00DB33DD">
        <w:rPr>
          <w:rFonts w:ascii="Arial" w:hAnsi="Arial"/>
          <w:sz w:val="22"/>
          <w:szCs w:val="22"/>
        </w:rPr>
        <w:t xml:space="preserve">indicates that the only Commonwealth-managed fisheries </w:t>
      </w:r>
      <w:r w:rsidR="00D0145C" w:rsidRPr="00DB33DD">
        <w:rPr>
          <w:rFonts w:ascii="Arial" w:hAnsi="Arial"/>
          <w:sz w:val="22"/>
          <w:szCs w:val="22"/>
        </w:rPr>
        <w:t>currently</w:t>
      </w:r>
      <w:r w:rsidRPr="00DB33DD">
        <w:rPr>
          <w:rFonts w:ascii="Arial" w:hAnsi="Arial"/>
          <w:sz w:val="22"/>
          <w:szCs w:val="22"/>
        </w:rPr>
        <w:t xml:space="preserve"> operat</w:t>
      </w:r>
      <w:r w:rsidR="00D0145C" w:rsidRPr="00DB33DD">
        <w:rPr>
          <w:rFonts w:ascii="Arial" w:hAnsi="Arial"/>
          <w:sz w:val="22"/>
          <w:szCs w:val="22"/>
        </w:rPr>
        <w:t>ing</w:t>
      </w:r>
      <w:r w:rsidRPr="00DB33DD">
        <w:rPr>
          <w:rFonts w:ascii="Arial" w:hAnsi="Arial"/>
          <w:sz w:val="22"/>
          <w:szCs w:val="22"/>
        </w:rPr>
        <w:t xml:space="preserve"> in the </w:t>
      </w:r>
      <w:r w:rsidR="0026097E">
        <w:rPr>
          <w:rFonts w:ascii="Arial" w:hAnsi="Arial"/>
          <w:sz w:val="22"/>
          <w:szCs w:val="22"/>
        </w:rPr>
        <w:t>op</w:t>
      </w:r>
      <w:r w:rsidR="00AE43A0">
        <w:rPr>
          <w:rFonts w:ascii="Arial" w:hAnsi="Arial"/>
          <w:sz w:val="22"/>
          <w:szCs w:val="22"/>
        </w:rPr>
        <w:t>e</w:t>
      </w:r>
      <w:r w:rsidR="0026097E">
        <w:rPr>
          <w:rFonts w:ascii="Arial" w:hAnsi="Arial"/>
          <w:sz w:val="22"/>
          <w:szCs w:val="22"/>
        </w:rPr>
        <w:t>rational</w:t>
      </w:r>
      <w:r w:rsidR="0062079A" w:rsidRPr="00DB33DD">
        <w:rPr>
          <w:rFonts w:ascii="Arial" w:hAnsi="Arial"/>
          <w:sz w:val="22"/>
          <w:szCs w:val="22"/>
        </w:rPr>
        <w:t xml:space="preserve"> </w:t>
      </w:r>
      <w:r w:rsidRPr="00DB33DD">
        <w:rPr>
          <w:rFonts w:ascii="Arial" w:hAnsi="Arial"/>
          <w:sz w:val="22"/>
          <w:szCs w:val="22"/>
        </w:rPr>
        <w:t>a</w:t>
      </w:r>
      <w:r w:rsidRPr="0026097E">
        <w:rPr>
          <w:rFonts w:ascii="Arial" w:hAnsi="Arial"/>
          <w:sz w:val="22"/>
          <w:szCs w:val="22"/>
        </w:rPr>
        <w:t xml:space="preserve">rea </w:t>
      </w:r>
      <w:r w:rsidR="0026097E" w:rsidRPr="0026097E">
        <w:rPr>
          <w:rFonts w:ascii="Arial" w:hAnsi="Arial"/>
          <w:sz w:val="22"/>
          <w:szCs w:val="22"/>
        </w:rPr>
        <w:t>is</w:t>
      </w:r>
      <w:r w:rsidRPr="0026097E">
        <w:rPr>
          <w:rFonts w:ascii="Arial" w:hAnsi="Arial"/>
          <w:sz w:val="22"/>
          <w:szCs w:val="22"/>
        </w:rPr>
        <w:t xml:space="preserve"> the </w:t>
      </w:r>
      <w:r w:rsidR="00AB11D9">
        <w:rPr>
          <w:rFonts w:ascii="Arial" w:hAnsi="Arial"/>
          <w:sz w:val="22"/>
          <w:szCs w:val="22"/>
        </w:rPr>
        <w:t>SESS Fishery</w:t>
      </w:r>
      <w:r w:rsidR="0026097E" w:rsidRPr="0026097E">
        <w:rPr>
          <w:rFonts w:ascii="Arial" w:hAnsi="Arial"/>
          <w:sz w:val="22"/>
          <w:szCs w:val="22"/>
        </w:rPr>
        <w:t xml:space="preserve">. </w:t>
      </w:r>
    </w:p>
    <w:p w14:paraId="0B790668" w14:textId="77777777" w:rsidR="003409DF" w:rsidRDefault="003409DF" w:rsidP="0062079A">
      <w:pPr>
        <w:pStyle w:val="bodycopy"/>
      </w:pPr>
    </w:p>
    <w:p w14:paraId="3CF7717D" w14:textId="77777777" w:rsidR="00CD71D0" w:rsidRDefault="00CD71D0" w:rsidP="0062079A">
      <w:pPr>
        <w:pStyle w:val="bodycopy"/>
        <w:sectPr w:rsidR="00CD71D0" w:rsidSect="00313E1A">
          <w:headerReference w:type="even" r:id="rId161"/>
          <w:headerReference w:type="default" r:id="rId162"/>
          <w:footerReference w:type="default" r:id="rId163"/>
          <w:headerReference w:type="first" r:id="rId164"/>
          <w:pgSz w:w="11906" w:h="16838" w:code="9"/>
          <w:pgMar w:top="1660" w:right="1800" w:bottom="1440" w:left="1800" w:header="994" w:footer="706" w:gutter="0"/>
          <w:cols w:space="708"/>
          <w:docGrid w:linePitch="360"/>
        </w:sectPr>
      </w:pPr>
    </w:p>
    <w:tbl>
      <w:tblPr>
        <w:tblW w:w="11923"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923"/>
      </w:tblGrid>
      <w:tr w:rsidR="006F7DB1" w14:paraId="0907C8A3" w14:textId="77777777" w:rsidTr="00CA33DE">
        <w:trPr>
          <w:jc w:val="center"/>
        </w:trPr>
        <w:tc>
          <w:tcPr>
            <w:tcW w:w="11923" w:type="dxa"/>
            <w:shd w:val="clear" w:color="auto" w:fill="auto"/>
          </w:tcPr>
          <w:p w14:paraId="6CBF7C13" w14:textId="16B089B6" w:rsidR="006F7DB1" w:rsidRDefault="00AD1C4D" w:rsidP="00CA33DE">
            <w:pPr>
              <w:pStyle w:val="bodycopy"/>
              <w:spacing w:after="0"/>
            </w:pPr>
            <w:r>
              <w:lastRenderedPageBreak/>
              <w:pict w14:anchorId="2B10EAD4">
                <v:shape id="_x0000_i1035" type="#_x0000_t75" style="width:585.35pt;height:400.75pt">
                  <v:imagedata r:id="rId165" o:title="28_EP_Native_Titles" croptop="1948f" cropbottom="1850f" cropleft="1233f" cropright="800f"/>
                </v:shape>
              </w:pict>
            </w:r>
          </w:p>
        </w:tc>
      </w:tr>
    </w:tbl>
    <w:p w14:paraId="0AA8BFB4" w14:textId="77777777" w:rsidR="006F7DB1" w:rsidRPr="002B730F" w:rsidRDefault="006F7DB1" w:rsidP="00CA33DE">
      <w:pPr>
        <w:pStyle w:val="bodycopy"/>
        <w:ind w:firstLine="720"/>
        <w:rPr>
          <w:rFonts w:ascii="Arial" w:hAnsi="Arial"/>
          <w:i/>
          <w:sz w:val="16"/>
          <w:szCs w:val="16"/>
        </w:rPr>
      </w:pPr>
      <w:r w:rsidRPr="002B730F">
        <w:rPr>
          <w:rFonts w:ascii="Arial" w:hAnsi="Arial"/>
          <w:i/>
          <w:sz w:val="16"/>
          <w:szCs w:val="16"/>
        </w:rPr>
        <w:t>Source: (NNTT (2017).</w:t>
      </w:r>
    </w:p>
    <w:p w14:paraId="06CF0F7F" w14:textId="75C60C6D" w:rsidR="006F7DB1" w:rsidRPr="006F7DB1" w:rsidRDefault="006F7DB1" w:rsidP="006F7DB1">
      <w:pPr>
        <w:pStyle w:val="bodycopy"/>
        <w:spacing w:after="240"/>
        <w:jc w:val="center"/>
        <w:rPr>
          <w:rFonts w:ascii="Arial" w:hAnsi="Arial"/>
          <w:b/>
          <w:sz w:val="20"/>
        </w:rPr>
      </w:pPr>
      <w:r w:rsidRPr="006F7DB1">
        <w:rPr>
          <w:rFonts w:ascii="Arial" w:hAnsi="Arial"/>
          <w:b/>
          <w:sz w:val="20"/>
        </w:rPr>
        <w:t>Figure 5.</w:t>
      </w:r>
      <w:r w:rsidR="00CA33DE">
        <w:rPr>
          <w:rFonts w:ascii="Arial" w:hAnsi="Arial"/>
          <w:b/>
          <w:sz w:val="20"/>
        </w:rPr>
        <w:t>2</w:t>
      </w:r>
      <w:r w:rsidR="00AE43A0">
        <w:rPr>
          <w:rFonts w:ascii="Arial" w:hAnsi="Arial"/>
          <w:b/>
          <w:sz w:val="20"/>
        </w:rPr>
        <w:t>3</w:t>
      </w:r>
      <w:r w:rsidRPr="006F7DB1">
        <w:rPr>
          <w:rFonts w:ascii="Arial" w:hAnsi="Arial"/>
          <w:b/>
          <w:sz w:val="20"/>
        </w:rPr>
        <w:t>.</w:t>
      </w:r>
      <w:r w:rsidRPr="006F7DB1">
        <w:rPr>
          <w:rFonts w:ascii="Arial" w:hAnsi="Arial"/>
          <w:b/>
          <w:sz w:val="20"/>
        </w:rPr>
        <w:tab/>
        <w:t>The Gunai/Kurnai Native Title Determination</w:t>
      </w:r>
    </w:p>
    <w:p w14:paraId="5918DA86" w14:textId="77777777" w:rsidR="006F7DB1" w:rsidRDefault="006F7DB1" w:rsidP="00ED4BBC">
      <w:pPr>
        <w:pStyle w:val="Tableheading-small"/>
        <w:spacing w:after="120"/>
        <w:ind w:firstLine="851"/>
        <w:jc w:val="center"/>
        <w:rPr>
          <w:rFonts w:ascii="Tahoma" w:hAnsi="Tahoma" w:cs="Tahoma"/>
        </w:rPr>
      </w:pPr>
    </w:p>
    <w:p w14:paraId="7BC99A9A" w14:textId="025F3093" w:rsidR="00D54428" w:rsidRPr="00CA33DE" w:rsidRDefault="00D54428" w:rsidP="00ED4BBC">
      <w:pPr>
        <w:pStyle w:val="Tableheading-small"/>
        <w:spacing w:after="120"/>
        <w:ind w:firstLine="851"/>
        <w:jc w:val="center"/>
        <w:rPr>
          <w:rFonts w:cs="Arial"/>
          <w:sz w:val="20"/>
          <w:szCs w:val="20"/>
          <w:lang w:val="en-GB" w:eastAsia="en-AU"/>
        </w:rPr>
      </w:pPr>
      <w:r w:rsidRPr="00CA33DE">
        <w:rPr>
          <w:rFonts w:cs="Arial"/>
          <w:sz w:val="20"/>
          <w:szCs w:val="20"/>
        </w:rPr>
        <w:t xml:space="preserve">Table </w:t>
      </w:r>
      <w:r w:rsidR="0062079A" w:rsidRPr="00CA33DE">
        <w:rPr>
          <w:rFonts w:cs="Arial"/>
          <w:sz w:val="20"/>
          <w:szCs w:val="20"/>
        </w:rPr>
        <w:t>5.</w:t>
      </w:r>
      <w:r w:rsidR="006E635A">
        <w:rPr>
          <w:rFonts w:cs="Arial"/>
          <w:sz w:val="20"/>
          <w:szCs w:val="20"/>
        </w:rPr>
        <w:t>1</w:t>
      </w:r>
      <w:r w:rsidR="00AE43A0">
        <w:rPr>
          <w:rFonts w:cs="Arial"/>
          <w:sz w:val="20"/>
          <w:szCs w:val="20"/>
        </w:rPr>
        <w:t>2</w:t>
      </w:r>
      <w:r w:rsidRPr="00CA33DE">
        <w:rPr>
          <w:rFonts w:cs="Arial"/>
          <w:sz w:val="20"/>
          <w:szCs w:val="20"/>
        </w:rPr>
        <w:t>.</w:t>
      </w:r>
      <w:bookmarkEnd w:id="326"/>
      <w:r w:rsidRPr="00CA33DE">
        <w:rPr>
          <w:rFonts w:cs="Arial"/>
          <w:sz w:val="20"/>
          <w:szCs w:val="20"/>
        </w:rPr>
        <w:tab/>
      </w:r>
      <w:r w:rsidR="0062079A" w:rsidRPr="00CA33DE">
        <w:rPr>
          <w:rFonts w:cs="Arial"/>
          <w:sz w:val="20"/>
          <w:szCs w:val="20"/>
        </w:rPr>
        <w:t>Commonwealth-managed c</w:t>
      </w:r>
      <w:r w:rsidR="007E7151" w:rsidRPr="00CA33DE">
        <w:rPr>
          <w:rFonts w:cs="Arial"/>
          <w:sz w:val="20"/>
          <w:szCs w:val="20"/>
          <w:lang w:val="en-GB" w:eastAsia="en-AU"/>
        </w:rPr>
        <w:t>ommercial</w:t>
      </w:r>
      <w:r w:rsidRPr="00CA33DE">
        <w:rPr>
          <w:rFonts w:cs="Arial"/>
          <w:sz w:val="20"/>
          <w:szCs w:val="20"/>
          <w:lang w:val="en-GB" w:eastAsia="en-AU"/>
        </w:rPr>
        <w:t xml:space="preserve"> fisheries </w:t>
      </w:r>
      <w:r w:rsidR="006E0A8C" w:rsidRPr="00CA33DE">
        <w:rPr>
          <w:rFonts w:cs="Arial"/>
          <w:sz w:val="20"/>
          <w:szCs w:val="20"/>
          <w:lang w:val="en-GB" w:eastAsia="en-AU"/>
        </w:rPr>
        <w:t xml:space="preserve">with jurisdictions to fish </w:t>
      </w:r>
      <w:r w:rsidRPr="00CA33DE">
        <w:rPr>
          <w:rFonts w:cs="Arial"/>
          <w:sz w:val="20"/>
          <w:szCs w:val="20"/>
          <w:lang w:val="en-GB" w:eastAsia="en-AU"/>
        </w:rPr>
        <w:t xml:space="preserve">in or around the </w:t>
      </w:r>
      <w:r w:rsidR="0062079A" w:rsidRPr="00CA33DE">
        <w:rPr>
          <w:rFonts w:cs="Arial"/>
          <w:sz w:val="20"/>
          <w:szCs w:val="20"/>
          <w:lang w:val="en-GB" w:eastAsia="en-AU"/>
        </w:rPr>
        <w:t>survey</w:t>
      </w:r>
      <w:r w:rsidRPr="00CA33DE">
        <w:rPr>
          <w:rFonts w:cs="Arial"/>
          <w:sz w:val="20"/>
          <w:szCs w:val="20"/>
          <w:lang w:val="en-GB" w:eastAsia="en-AU"/>
        </w:rPr>
        <w:t xml:space="preserve"> area</w:t>
      </w:r>
      <w:bookmarkEnd w:id="327"/>
      <w:r w:rsidRPr="00CA33DE">
        <w:rPr>
          <w:rFonts w:cs="Arial"/>
          <w:sz w:val="20"/>
          <w:szCs w:val="20"/>
          <w:lang w:val="en-GB" w:eastAsia="en-AU"/>
        </w:rPr>
        <w:t xml:space="preserve"> </w:t>
      </w:r>
      <w:r w:rsidR="0062079A" w:rsidRPr="00CA33DE">
        <w:rPr>
          <w:rFonts w:cs="Arial"/>
          <w:sz w:val="20"/>
          <w:szCs w:val="20"/>
          <w:lang w:val="en-GB" w:eastAsia="en-AU"/>
        </w:rPr>
        <w:t>and EMBA</w:t>
      </w:r>
    </w:p>
    <w:tbl>
      <w:tblPr>
        <w:tblW w:w="14176" w:type="dxa"/>
        <w:tblInd w:w="-176" w:type="dxa"/>
        <w:tblBorders>
          <w:top w:val="nil"/>
          <w:left w:val="nil"/>
          <w:bottom w:val="nil"/>
          <w:right w:val="nil"/>
        </w:tblBorders>
        <w:tblLayout w:type="fixed"/>
        <w:tblLook w:val="0000" w:firstRow="0" w:lastRow="0" w:firstColumn="0" w:lastColumn="0" w:noHBand="0" w:noVBand="0"/>
      </w:tblPr>
      <w:tblGrid>
        <w:gridCol w:w="1560"/>
        <w:gridCol w:w="1843"/>
        <w:gridCol w:w="1984"/>
        <w:gridCol w:w="1985"/>
        <w:gridCol w:w="1417"/>
        <w:gridCol w:w="2694"/>
        <w:gridCol w:w="2693"/>
      </w:tblGrid>
      <w:tr w:rsidR="00197931" w:rsidRPr="00CB3833" w14:paraId="549DC624" w14:textId="77777777" w:rsidTr="00997EDC">
        <w:trPr>
          <w:cantSplit/>
          <w:trHeight w:val="375"/>
          <w:tblHeader/>
        </w:trPr>
        <w:tc>
          <w:tcPr>
            <w:tcW w:w="1560" w:type="dxa"/>
            <w:tcBorders>
              <w:top w:val="single" w:sz="6" w:space="0" w:color="000000"/>
              <w:left w:val="single" w:sz="6" w:space="0" w:color="000000"/>
              <w:right w:val="single" w:sz="6" w:space="0" w:color="000000"/>
            </w:tcBorders>
            <w:shd w:val="clear" w:color="auto" w:fill="064EA8"/>
          </w:tcPr>
          <w:p w14:paraId="003D101E" w14:textId="77777777" w:rsidR="00197931" w:rsidRPr="00CB3833" w:rsidRDefault="00197931" w:rsidP="002E2FAC">
            <w:pPr>
              <w:pStyle w:val="Tableheading"/>
              <w:rPr>
                <w:rFonts w:eastAsia="Calibri" w:cs="Arial"/>
                <w:b w:val="0"/>
                <w:color w:val="FFFFFF" w:themeColor="background1"/>
                <w:szCs w:val="18"/>
              </w:rPr>
            </w:pPr>
            <w:r w:rsidRPr="00CB3833">
              <w:rPr>
                <w:rFonts w:eastAsia="Calibri" w:cs="Arial"/>
                <w:b w:val="0"/>
                <w:color w:val="FFFFFF" w:themeColor="background1"/>
                <w:szCs w:val="18"/>
              </w:rPr>
              <w:t>Fishery</w:t>
            </w:r>
          </w:p>
        </w:tc>
        <w:tc>
          <w:tcPr>
            <w:tcW w:w="1843" w:type="dxa"/>
            <w:tcBorders>
              <w:top w:val="single" w:sz="6" w:space="0" w:color="000000"/>
              <w:left w:val="single" w:sz="6" w:space="0" w:color="000000"/>
              <w:right w:val="single" w:sz="6" w:space="0" w:color="000000"/>
            </w:tcBorders>
            <w:shd w:val="clear" w:color="auto" w:fill="064EA8"/>
          </w:tcPr>
          <w:p w14:paraId="41A00047" w14:textId="77777777" w:rsidR="00197931" w:rsidRPr="00CB3833" w:rsidRDefault="00197931" w:rsidP="002E2FAC">
            <w:pPr>
              <w:pStyle w:val="Tableheading"/>
              <w:rPr>
                <w:rFonts w:eastAsia="Calibri" w:cs="Arial"/>
                <w:b w:val="0"/>
                <w:color w:val="FFFFFF" w:themeColor="background1"/>
                <w:szCs w:val="18"/>
              </w:rPr>
            </w:pPr>
            <w:r w:rsidRPr="00CB3833">
              <w:rPr>
                <w:rFonts w:eastAsia="Calibri" w:cs="Arial"/>
                <w:b w:val="0"/>
                <w:color w:val="FFFFFF" w:themeColor="background1"/>
                <w:szCs w:val="18"/>
              </w:rPr>
              <w:t>Target species</w:t>
            </w:r>
          </w:p>
        </w:tc>
        <w:tc>
          <w:tcPr>
            <w:tcW w:w="1984" w:type="dxa"/>
            <w:tcBorders>
              <w:top w:val="single" w:sz="6" w:space="0" w:color="000000"/>
              <w:left w:val="single" w:sz="6" w:space="0" w:color="000000"/>
              <w:right w:val="single" w:sz="6" w:space="0" w:color="000000"/>
            </w:tcBorders>
            <w:shd w:val="clear" w:color="auto" w:fill="064EA8"/>
          </w:tcPr>
          <w:p w14:paraId="3237722C" w14:textId="77777777" w:rsidR="00197931" w:rsidRPr="00CB3833" w:rsidRDefault="00197931" w:rsidP="0021251C">
            <w:pPr>
              <w:pStyle w:val="Tableheading"/>
              <w:rPr>
                <w:rFonts w:eastAsia="Calibri" w:cs="Arial"/>
                <w:b w:val="0"/>
                <w:color w:val="FFFFFF" w:themeColor="background1"/>
                <w:szCs w:val="18"/>
              </w:rPr>
            </w:pPr>
            <w:r w:rsidRPr="00CB3833">
              <w:rPr>
                <w:rFonts w:eastAsia="Calibri" w:cs="Arial"/>
                <w:b w:val="0"/>
                <w:color w:val="FFFFFF" w:themeColor="background1"/>
                <w:szCs w:val="18"/>
              </w:rPr>
              <w:t>Geographic extent of fishery</w:t>
            </w:r>
          </w:p>
        </w:tc>
        <w:tc>
          <w:tcPr>
            <w:tcW w:w="1985" w:type="dxa"/>
            <w:tcBorders>
              <w:top w:val="single" w:sz="6" w:space="0" w:color="000000"/>
              <w:left w:val="single" w:sz="6" w:space="0" w:color="000000"/>
              <w:bottom w:val="single" w:sz="6" w:space="0" w:color="000000"/>
              <w:right w:val="single" w:sz="6" w:space="0" w:color="000000"/>
            </w:tcBorders>
            <w:shd w:val="clear" w:color="auto" w:fill="064EA8"/>
          </w:tcPr>
          <w:p w14:paraId="1423C3B3" w14:textId="77777777" w:rsidR="00197931" w:rsidRPr="00CB3833" w:rsidRDefault="00197931" w:rsidP="00197931">
            <w:pPr>
              <w:pStyle w:val="Tableheading"/>
              <w:rPr>
                <w:rFonts w:eastAsia="Calibri" w:cs="Arial"/>
                <w:b w:val="0"/>
                <w:color w:val="FFFFFF" w:themeColor="background1"/>
                <w:szCs w:val="18"/>
              </w:rPr>
            </w:pPr>
            <w:r w:rsidRPr="00CB3833">
              <w:rPr>
                <w:rFonts w:eastAsia="Calibri" w:cs="Arial"/>
                <w:b w:val="0"/>
                <w:color w:val="FFFFFF" w:themeColor="background1"/>
                <w:szCs w:val="18"/>
              </w:rPr>
              <w:t>Does fishing activity intersect acquisition area or EMBA?</w:t>
            </w:r>
          </w:p>
        </w:tc>
        <w:tc>
          <w:tcPr>
            <w:tcW w:w="1417" w:type="dxa"/>
            <w:tcBorders>
              <w:top w:val="single" w:sz="6" w:space="0" w:color="000000"/>
              <w:left w:val="single" w:sz="6" w:space="0" w:color="000000"/>
              <w:bottom w:val="single" w:sz="6" w:space="0" w:color="000000"/>
              <w:right w:val="single" w:sz="6" w:space="0" w:color="000000"/>
            </w:tcBorders>
            <w:shd w:val="clear" w:color="auto" w:fill="064EA8"/>
          </w:tcPr>
          <w:p w14:paraId="3B1768F8" w14:textId="77777777" w:rsidR="00197931" w:rsidRPr="00CB3833" w:rsidRDefault="00197931" w:rsidP="00197931">
            <w:pPr>
              <w:pStyle w:val="Tableheading"/>
              <w:rPr>
                <w:rFonts w:eastAsia="Calibri" w:cs="Arial"/>
                <w:b w:val="0"/>
                <w:color w:val="FFFFFF" w:themeColor="background1"/>
                <w:szCs w:val="18"/>
              </w:rPr>
            </w:pPr>
            <w:r w:rsidRPr="00CB3833">
              <w:rPr>
                <w:rFonts w:eastAsia="Calibri" w:cs="Arial"/>
                <w:b w:val="0"/>
                <w:color w:val="FFFFFF" w:themeColor="background1"/>
                <w:szCs w:val="18"/>
              </w:rPr>
              <w:t>Fishing season</w:t>
            </w:r>
          </w:p>
        </w:tc>
        <w:tc>
          <w:tcPr>
            <w:tcW w:w="2694" w:type="dxa"/>
            <w:tcBorders>
              <w:top w:val="single" w:sz="6" w:space="0" w:color="000000"/>
              <w:left w:val="single" w:sz="6" w:space="0" w:color="000000"/>
              <w:bottom w:val="single" w:sz="6" w:space="0" w:color="000000"/>
              <w:right w:val="single" w:sz="6" w:space="0" w:color="000000"/>
            </w:tcBorders>
            <w:shd w:val="clear" w:color="auto" w:fill="064EA8"/>
          </w:tcPr>
          <w:p w14:paraId="0C22BBC0" w14:textId="77777777" w:rsidR="00197931" w:rsidRPr="00CB3833" w:rsidRDefault="00197931" w:rsidP="00197931">
            <w:pPr>
              <w:pStyle w:val="Tableheading"/>
              <w:rPr>
                <w:rFonts w:eastAsia="Calibri" w:cs="Arial"/>
                <w:b w:val="0"/>
                <w:color w:val="FFFFFF" w:themeColor="background1"/>
                <w:szCs w:val="18"/>
              </w:rPr>
            </w:pPr>
            <w:r w:rsidRPr="00CB3833">
              <w:rPr>
                <w:rFonts w:eastAsia="Calibri" w:cs="Arial"/>
                <w:b w:val="0"/>
                <w:color w:val="FFFFFF" w:themeColor="background1"/>
                <w:szCs w:val="18"/>
              </w:rPr>
              <w:t>Fishing methods, vessels and licences</w:t>
            </w:r>
          </w:p>
        </w:tc>
        <w:tc>
          <w:tcPr>
            <w:tcW w:w="2693" w:type="dxa"/>
            <w:tcBorders>
              <w:top w:val="single" w:sz="6" w:space="0" w:color="000000"/>
              <w:left w:val="single" w:sz="6" w:space="0" w:color="000000"/>
              <w:right w:val="single" w:sz="6" w:space="0" w:color="000000"/>
            </w:tcBorders>
            <w:shd w:val="clear" w:color="auto" w:fill="064EA8"/>
          </w:tcPr>
          <w:p w14:paraId="2B897D6F" w14:textId="77777777" w:rsidR="00197931" w:rsidRPr="00CB3833" w:rsidRDefault="00932EF3" w:rsidP="002E2FAC">
            <w:pPr>
              <w:pStyle w:val="Tableheading"/>
              <w:rPr>
                <w:rFonts w:eastAsia="Calibri" w:cs="Arial"/>
                <w:b w:val="0"/>
                <w:color w:val="FFFFFF" w:themeColor="background1"/>
                <w:szCs w:val="18"/>
              </w:rPr>
            </w:pPr>
            <w:r w:rsidRPr="00CB3833">
              <w:rPr>
                <w:rFonts w:eastAsia="Calibri" w:cs="Arial"/>
                <w:b w:val="0"/>
                <w:color w:val="FFFFFF" w:themeColor="background1"/>
                <w:szCs w:val="18"/>
              </w:rPr>
              <w:t>Catch data and other information</w:t>
            </w:r>
          </w:p>
        </w:tc>
      </w:tr>
      <w:tr w:rsidR="00197931" w:rsidRPr="00CB3833" w14:paraId="439B5A1E" w14:textId="77777777" w:rsidTr="007E7151">
        <w:trPr>
          <w:cantSplit/>
          <w:trHeight w:val="414"/>
        </w:trPr>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43C74378" w14:textId="77777777" w:rsidR="00197931" w:rsidRPr="002949C0" w:rsidRDefault="00197931" w:rsidP="002E2FAC">
            <w:pPr>
              <w:pStyle w:val="TableTextform"/>
              <w:rPr>
                <w:rFonts w:cs="Arial"/>
                <w:color w:val="auto"/>
                <w:sz w:val="18"/>
                <w:szCs w:val="18"/>
              </w:rPr>
            </w:pPr>
            <w:r w:rsidRPr="002949C0">
              <w:rPr>
                <w:rFonts w:cs="Arial"/>
                <w:color w:val="auto"/>
                <w:sz w:val="18"/>
                <w:szCs w:val="18"/>
              </w:rPr>
              <w:t>Bass Strait Central Zone Scallop Fishery</w:t>
            </w:r>
          </w:p>
          <w:p w14:paraId="6A61512F" w14:textId="1F53479B" w:rsidR="007E7151" w:rsidRPr="002949C0" w:rsidRDefault="007E7151" w:rsidP="004E5E14">
            <w:pPr>
              <w:pStyle w:val="TableTextform"/>
              <w:rPr>
                <w:rFonts w:cs="Arial"/>
                <w:color w:val="auto"/>
                <w:sz w:val="18"/>
                <w:szCs w:val="18"/>
              </w:rPr>
            </w:pPr>
          </w:p>
          <w:p w14:paraId="4E743E1E" w14:textId="32593BB8" w:rsidR="001B4F5C" w:rsidRPr="002949C0" w:rsidRDefault="001B4F5C" w:rsidP="004E5E14">
            <w:pPr>
              <w:pStyle w:val="TableTextform"/>
              <w:rPr>
                <w:rFonts w:cs="Arial"/>
                <w:color w:val="auto"/>
                <w:sz w:val="18"/>
                <w:szCs w:val="18"/>
                <w:highlight w:val="yellow"/>
              </w:rPr>
            </w:pP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5C7FD179" w14:textId="77777777" w:rsidR="00197931" w:rsidRPr="002949C0" w:rsidRDefault="00ED3772" w:rsidP="002E2FAC">
            <w:pPr>
              <w:pStyle w:val="TableTextform"/>
              <w:rPr>
                <w:rFonts w:cs="Arial"/>
                <w:color w:val="auto"/>
                <w:sz w:val="18"/>
                <w:szCs w:val="18"/>
              </w:rPr>
            </w:pPr>
            <w:r w:rsidRPr="002949C0">
              <w:rPr>
                <w:rFonts w:cs="Arial"/>
                <w:color w:val="auto"/>
                <w:sz w:val="18"/>
                <w:szCs w:val="18"/>
              </w:rPr>
              <w:t xml:space="preserve">Commercial scallop </w:t>
            </w:r>
            <w:r w:rsidR="00197931" w:rsidRPr="002949C0">
              <w:rPr>
                <w:rFonts w:cs="Arial"/>
                <w:color w:val="auto"/>
                <w:sz w:val="18"/>
                <w:szCs w:val="18"/>
              </w:rPr>
              <w:t>(</w:t>
            </w:r>
            <w:r w:rsidR="00197931" w:rsidRPr="002949C0">
              <w:rPr>
                <w:rFonts w:cs="Arial"/>
                <w:bCs/>
                <w:i/>
                <w:iCs/>
                <w:color w:val="auto"/>
                <w:sz w:val="18"/>
                <w:szCs w:val="18"/>
              </w:rPr>
              <w:t>Pecten fumatus</w:t>
            </w:r>
            <w:r w:rsidR="00197931" w:rsidRPr="002949C0">
              <w:rPr>
                <w:rFonts w:cs="Arial"/>
                <w:color w:val="auto"/>
                <w:sz w:val="18"/>
                <w:szCs w:val="18"/>
              </w:rPr>
              <w:t>)</w:t>
            </w:r>
          </w:p>
          <w:p w14:paraId="2E940139" w14:textId="77777777" w:rsidR="00197931" w:rsidRPr="002949C0" w:rsidRDefault="00197931" w:rsidP="002E2FAC">
            <w:pPr>
              <w:pStyle w:val="TableTextform"/>
              <w:rPr>
                <w:rFonts w:cs="Arial"/>
                <w:color w:val="auto"/>
                <w:sz w:val="18"/>
                <w:szCs w:val="18"/>
              </w:rPr>
            </w:pPr>
          </w:p>
        </w:tc>
        <w:tc>
          <w:tcPr>
            <w:tcW w:w="1984" w:type="dxa"/>
            <w:tcBorders>
              <w:top w:val="single" w:sz="5" w:space="0" w:color="000000"/>
              <w:left w:val="single" w:sz="5" w:space="0" w:color="000000"/>
              <w:bottom w:val="single" w:sz="5" w:space="0" w:color="000000"/>
              <w:right w:val="single" w:sz="5" w:space="0" w:color="000000"/>
            </w:tcBorders>
          </w:tcPr>
          <w:p w14:paraId="7EFFC19E" w14:textId="29C76483" w:rsidR="00197931" w:rsidRPr="002949C0" w:rsidRDefault="00ED3772" w:rsidP="0021251C">
            <w:pPr>
              <w:pStyle w:val="TableTextform"/>
              <w:rPr>
                <w:rFonts w:cs="Arial"/>
                <w:color w:val="auto"/>
                <w:sz w:val="18"/>
                <w:szCs w:val="18"/>
              </w:rPr>
            </w:pPr>
            <w:r w:rsidRPr="002949C0">
              <w:rPr>
                <w:rFonts w:cs="Arial"/>
                <w:color w:val="auto"/>
                <w:sz w:val="18"/>
                <w:szCs w:val="18"/>
              </w:rPr>
              <w:t>The central Bass Strait area that lies within</w:t>
            </w:r>
            <w:r w:rsidR="00CB3833" w:rsidRPr="002949C0">
              <w:rPr>
                <w:rFonts w:cs="Arial"/>
                <w:color w:val="auto"/>
                <w:sz w:val="18"/>
                <w:szCs w:val="18"/>
              </w:rPr>
              <w:t xml:space="preserve"> </w:t>
            </w:r>
            <w:r w:rsidR="00197931" w:rsidRPr="002949C0">
              <w:rPr>
                <w:rFonts w:cs="Arial"/>
                <w:color w:val="auto"/>
                <w:sz w:val="18"/>
                <w:szCs w:val="18"/>
              </w:rPr>
              <w:t xml:space="preserve">20 </w:t>
            </w:r>
            <w:r w:rsidRPr="002949C0">
              <w:rPr>
                <w:rFonts w:cs="Arial"/>
                <w:color w:val="auto"/>
                <w:sz w:val="18"/>
                <w:szCs w:val="18"/>
              </w:rPr>
              <w:t xml:space="preserve">nm of the </w:t>
            </w:r>
            <w:r w:rsidR="00197931" w:rsidRPr="002949C0">
              <w:rPr>
                <w:rFonts w:cs="Arial"/>
                <w:color w:val="auto"/>
                <w:sz w:val="18"/>
                <w:szCs w:val="18"/>
              </w:rPr>
              <w:t>Victoria</w:t>
            </w:r>
            <w:r w:rsidRPr="002949C0">
              <w:rPr>
                <w:rFonts w:cs="Arial"/>
                <w:color w:val="auto"/>
                <w:sz w:val="18"/>
                <w:szCs w:val="18"/>
              </w:rPr>
              <w:t>n</w:t>
            </w:r>
            <w:r w:rsidR="00197931" w:rsidRPr="002949C0">
              <w:rPr>
                <w:rFonts w:cs="Arial"/>
                <w:color w:val="auto"/>
                <w:sz w:val="18"/>
                <w:szCs w:val="18"/>
              </w:rPr>
              <w:t xml:space="preserve"> and Tasmania</w:t>
            </w:r>
            <w:r w:rsidRPr="002949C0">
              <w:rPr>
                <w:rFonts w:cs="Arial"/>
                <w:color w:val="auto"/>
                <w:sz w:val="18"/>
                <w:szCs w:val="18"/>
              </w:rPr>
              <w:t>n coasts</w:t>
            </w:r>
            <w:r w:rsidR="00197931" w:rsidRPr="002949C0">
              <w:rPr>
                <w:rFonts w:cs="Arial"/>
                <w:color w:val="auto"/>
                <w:sz w:val="18"/>
                <w:szCs w:val="18"/>
              </w:rPr>
              <w:t>.</w:t>
            </w:r>
          </w:p>
          <w:p w14:paraId="34B3C967" w14:textId="77777777" w:rsidR="00ED3772" w:rsidRPr="002949C0" w:rsidRDefault="00ED3772" w:rsidP="00ED3772">
            <w:pPr>
              <w:pStyle w:val="TableTextform"/>
              <w:rPr>
                <w:rFonts w:cs="Arial"/>
                <w:color w:val="auto"/>
                <w:sz w:val="18"/>
                <w:szCs w:val="18"/>
              </w:rPr>
            </w:pPr>
            <w:r w:rsidRPr="002949C0">
              <w:rPr>
                <w:rFonts w:cs="Arial"/>
                <w:color w:val="auto"/>
                <w:sz w:val="18"/>
                <w:szCs w:val="18"/>
              </w:rPr>
              <w:t>Fishery does not operate in state waters.</w:t>
            </w:r>
          </w:p>
          <w:p w14:paraId="704249C2" w14:textId="161CFF10" w:rsidR="00ED3772" w:rsidRPr="002949C0" w:rsidRDefault="00ED3772" w:rsidP="00AE43A0">
            <w:pPr>
              <w:pStyle w:val="TableTextform"/>
              <w:rPr>
                <w:rFonts w:cs="Arial"/>
                <w:color w:val="auto"/>
                <w:sz w:val="18"/>
                <w:szCs w:val="18"/>
              </w:rPr>
            </w:pPr>
            <w:r w:rsidRPr="002949C0">
              <w:rPr>
                <w:rFonts w:cs="Arial"/>
                <w:color w:val="auto"/>
                <w:sz w:val="18"/>
                <w:szCs w:val="18"/>
              </w:rPr>
              <w:t xml:space="preserve">Fishing effort is normally concentrated around King Island.  </w:t>
            </w:r>
          </w:p>
        </w:tc>
        <w:tc>
          <w:tcPr>
            <w:tcW w:w="1985" w:type="dxa"/>
            <w:tcBorders>
              <w:top w:val="single" w:sz="5" w:space="0" w:color="000000"/>
              <w:left w:val="single" w:sz="5" w:space="0" w:color="000000"/>
              <w:bottom w:val="single" w:sz="5" w:space="0" w:color="000000"/>
              <w:right w:val="single" w:sz="5" w:space="0" w:color="000000"/>
            </w:tcBorders>
          </w:tcPr>
          <w:p w14:paraId="3A149369" w14:textId="77777777" w:rsidR="00197931" w:rsidRPr="00CB3833" w:rsidRDefault="00197931" w:rsidP="002E2FAC">
            <w:pPr>
              <w:pStyle w:val="TableTextform"/>
              <w:rPr>
                <w:rFonts w:eastAsia="MS Mincho" w:cs="Arial"/>
                <w:b/>
                <w:color w:val="auto"/>
                <w:sz w:val="18"/>
                <w:szCs w:val="18"/>
              </w:rPr>
            </w:pPr>
            <w:r w:rsidRPr="00CB3833">
              <w:rPr>
                <w:rFonts w:eastAsia="MS Mincho" w:cs="Arial"/>
                <w:b/>
                <w:color w:val="auto"/>
                <w:sz w:val="18"/>
                <w:szCs w:val="18"/>
              </w:rPr>
              <w:t xml:space="preserve">Acquisition area – </w:t>
            </w:r>
            <w:r w:rsidR="00ED3772" w:rsidRPr="00CB3833">
              <w:rPr>
                <w:rFonts w:eastAsia="MS Mincho" w:cs="Arial"/>
                <w:b/>
                <w:color w:val="FF0000"/>
                <w:sz w:val="18"/>
                <w:szCs w:val="18"/>
              </w:rPr>
              <w:t xml:space="preserve">No </w:t>
            </w:r>
            <w:r w:rsidR="00ED3772" w:rsidRPr="00CB3833">
              <w:rPr>
                <w:rFonts w:eastAsia="MS Mincho" w:cs="Arial"/>
                <w:color w:val="auto"/>
                <w:sz w:val="18"/>
                <w:szCs w:val="18"/>
              </w:rPr>
              <w:t>based on 2015 fishing intensity data.</w:t>
            </w:r>
          </w:p>
          <w:p w14:paraId="4267E768" w14:textId="77777777" w:rsidR="00197931" w:rsidRPr="00CB3833" w:rsidRDefault="0069291A" w:rsidP="002E2FAC">
            <w:pPr>
              <w:pStyle w:val="TableTextform"/>
              <w:rPr>
                <w:rFonts w:eastAsia="MS Mincho" w:cs="Arial"/>
                <w:color w:val="auto"/>
                <w:sz w:val="18"/>
                <w:szCs w:val="18"/>
              </w:rPr>
            </w:pPr>
            <w:r w:rsidRPr="00CB3833">
              <w:rPr>
                <w:rFonts w:eastAsia="MS Mincho" w:cs="Arial"/>
                <w:b/>
                <w:color w:val="auto"/>
                <w:sz w:val="18"/>
                <w:szCs w:val="18"/>
              </w:rPr>
              <w:t xml:space="preserve">Diesel spill </w:t>
            </w:r>
            <w:r w:rsidR="00197931" w:rsidRPr="00CB3833">
              <w:rPr>
                <w:rFonts w:eastAsia="MS Mincho" w:cs="Arial"/>
                <w:b/>
                <w:color w:val="auto"/>
                <w:sz w:val="18"/>
                <w:szCs w:val="18"/>
              </w:rPr>
              <w:t xml:space="preserve">EMBA – </w:t>
            </w:r>
            <w:r w:rsidR="00ED3772" w:rsidRPr="00CB3833">
              <w:rPr>
                <w:rFonts w:eastAsia="MS Mincho" w:cs="Arial"/>
                <w:b/>
                <w:color w:val="FF0000"/>
                <w:sz w:val="18"/>
                <w:szCs w:val="18"/>
              </w:rPr>
              <w:t xml:space="preserve">No </w:t>
            </w:r>
            <w:r w:rsidR="00ED3772" w:rsidRPr="00CB3833">
              <w:rPr>
                <w:rFonts w:eastAsia="MS Mincho" w:cs="Arial"/>
                <w:color w:val="auto"/>
                <w:sz w:val="18"/>
                <w:szCs w:val="18"/>
              </w:rPr>
              <w:t>based on 2015 fishing intensity data.</w:t>
            </w:r>
          </w:p>
          <w:p w14:paraId="2FC8A63E" w14:textId="77777777" w:rsidR="00CE607A" w:rsidRDefault="00CE607A" w:rsidP="00CE607A">
            <w:pPr>
              <w:pStyle w:val="TableTextform"/>
              <w:rPr>
                <w:rFonts w:cs="Arial"/>
                <w:i/>
                <w:sz w:val="18"/>
                <w:szCs w:val="18"/>
              </w:rPr>
            </w:pPr>
          </w:p>
          <w:p w14:paraId="2168E6D5" w14:textId="77777777" w:rsidR="00E17179" w:rsidRDefault="00E17179" w:rsidP="00D018C0">
            <w:pPr>
              <w:pStyle w:val="TableTextform"/>
              <w:rPr>
                <w:rFonts w:cs="Arial"/>
                <w:i/>
                <w:sz w:val="18"/>
                <w:szCs w:val="18"/>
              </w:rPr>
            </w:pPr>
            <w:r>
              <w:rPr>
                <w:rFonts w:cs="Arial"/>
                <w:i/>
                <w:sz w:val="18"/>
                <w:szCs w:val="18"/>
              </w:rPr>
              <w:t xml:space="preserve">Acquisition area intersects 0% of the fishery. </w:t>
            </w:r>
          </w:p>
          <w:p w14:paraId="515BBDB0" w14:textId="77777777" w:rsidR="00E17179" w:rsidRDefault="00E17179" w:rsidP="00E17179">
            <w:pPr>
              <w:pStyle w:val="TableTextform"/>
              <w:rPr>
                <w:rFonts w:cs="Arial"/>
                <w:i/>
                <w:sz w:val="18"/>
                <w:szCs w:val="18"/>
              </w:rPr>
            </w:pPr>
            <w:r>
              <w:rPr>
                <w:rFonts w:cs="Arial"/>
                <w:i/>
                <w:sz w:val="18"/>
                <w:szCs w:val="18"/>
              </w:rPr>
              <w:t>O</w:t>
            </w:r>
            <w:r w:rsidR="00D018C0">
              <w:rPr>
                <w:rFonts w:cs="Arial"/>
                <w:i/>
                <w:sz w:val="18"/>
                <w:szCs w:val="18"/>
              </w:rPr>
              <w:t>perational</w:t>
            </w:r>
            <w:r w:rsidR="00CE607A" w:rsidRPr="00D018C0">
              <w:rPr>
                <w:rFonts w:cs="Arial"/>
                <w:i/>
                <w:sz w:val="18"/>
                <w:szCs w:val="18"/>
              </w:rPr>
              <w:t xml:space="preserve"> area intersects </w:t>
            </w:r>
            <w:r w:rsidR="00D018C0" w:rsidRPr="00D018C0">
              <w:rPr>
                <w:rFonts w:cs="Arial"/>
                <w:i/>
                <w:sz w:val="18"/>
                <w:szCs w:val="18"/>
              </w:rPr>
              <w:t>0</w:t>
            </w:r>
            <w:r w:rsidR="00CE607A" w:rsidRPr="00D018C0">
              <w:rPr>
                <w:rFonts w:cs="Arial"/>
                <w:i/>
                <w:sz w:val="18"/>
                <w:szCs w:val="18"/>
              </w:rPr>
              <w:t>% of the fishery</w:t>
            </w:r>
            <w:r>
              <w:rPr>
                <w:rFonts w:cs="Arial"/>
                <w:i/>
                <w:sz w:val="18"/>
                <w:szCs w:val="18"/>
              </w:rPr>
              <w:t>.</w:t>
            </w:r>
          </w:p>
          <w:p w14:paraId="27254677" w14:textId="4224A3F7" w:rsidR="00197931" w:rsidRPr="00CE607A" w:rsidRDefault="00CE607A" w:rsidP="00E17179">
            <w:pPr>
              <w:pStyle w:val="TableTextform"/>
              <w:rPr>
                <w:rFonts w:cs="Arial"/>
                <w:i/>
                <w:sz w:val="18"/>
                <w:szCs w:val="18"/>
              </w:rPr>
            </w:pPr>
            <w:r w:rsidRPr="00D018C0">
              <w:rPr>
                <w:rFonts w:cs="Arial"/>
                <w:i/>
                <w:sz w:val="18"/>
                <w:szCs w:val="18"/>
              </w:rPr>
              <w:t xml:space="preserve">EMBA intersects </w:t>
            </w:r>
            <w:r w:rsidR="00D018C0" w:rsidRPr="00D018C0">
              <w:rPr>
                <w:rFonts w:cs="Arial"/>
                <w:i/>
                <w:sz w:val="18"/>
                <w:szCs w:val="18"/>
              </w:rPr>
              <w:t>0.</w:t>
            </w:r>
            <w:r w:rsidR="00E17179">
              <w:rPr>
                <w:rFonts w:cs="Arial"/>
                <w:i/>
                <w:sz w:val="18"/>
                <w:szCs w:val="18"/>
              </w:rPr>
              <w:t>6</w:t>
            </w:r>
            <w:r w:rsidRPr="00D018C0">
              <w:rPr>
                <w:rFonts w:cs="Arial"/>
                <w:i/>
                <w:sz w:val="18"/>
                <w:szCs w:val="18"/>
              </w:rPr>
              <w:t>% of the fishery.</w:t>
            </w:r>
            <w:r w:rsidRPr="00CE607A">
              <w:rPr>
                <w:rFonts w:cs="Arial"/>
                <w:i/>
                <w:sz w:val="18"/>
                <w:szCs w:val="18"/>
              </w:rPr>
              <w:t xml:space="preserve"> </w:t>
            </w:r>
            <w:r w:rsidR="00197931" w:rsidRPr="00CE607A">
              <w:rPr>
                <w:rFonts w:cs="Arial"/>
                <w:i/>
                <w:sz w:val="18"/>
                <w:szCs w:val="18"/>
              </w:rPr>
              <w:t xml:space="preserve"> </w:t>
            </w:r>
          </w:p>
        </w:tc>
        <w:tc>
          <w:tcPr>
            <w:tcW w:w="1417" w:type="dxa"/>
            <w:tcBorders>
              <w:top w:val="single" w:sz="5" w:space="0" w:color="000000"/>
              <w:left w:val="single" w:sz="5" w:space="0" w:color="000000"/>
              <w:bottom w:val="single" w:sz="5" w:space="0" w:color="000000"/>
              <w:right w:val="single" w:sz="5" w:space="0" w:color="000000"/>
            </w:tcBorders>
          </w:tcPr>
          <w:p w14:paraId="5C0D1A39" w14:textId="77777777" w:rsidR="00197931" w:rsidRPr="00CB3833" w:rsidRDefault="00ED3772" w:rsidP="002E2FAC">
            <w:pPr>
              <w:pStyle w:val="TableTextform"/>
              <w:rPr>
                <w:rFonts w:eastAsia="MS Mincho" w:cs="Arial"/>
                <w:color w:val="auto"/>
                <w:sz w:val="18"/>
                <w:szCs w:val="18"/>
              </w:rPr>
            </w:pPr>
            <w:r w:rsidRPr="00CB3833">
              <w:rPr>
                <w:rFonts w:eastAsia="MS Mincho" w:cs="Arial"/>
                <w:color w:val="auto"/>
                <w:sz w:val="18"/>
                <w:szCs w:val="18"/>
              </w:rPr>
              <w:t>1</w:t>
            </w:r>
            <w:r w:rsidRPr="00CB3833">
              <w:rPr>
                <w:rFonts w:eastAsia="MS Mincho" w:cs="Arial"/>
                <w:color w:val="auto"/>
                <w:sz w:val="18"/>
                <w:szCs w:val="18"/>
                <w:vertAlign w:val="superscript"/>
              </w:rPr>
              <w:t>st</w:t>
            </w:r>
            <w:r w:rsidRPr="00CB3833">
              <w:rPr>
                <w:rFonts w:eastAsia="MS Mincho" w:cs="Arial"/>
                <w:color w:val="auto"/>
                <w:sz w:val="18"/>
                <w:szCs w:val="18"/>
              </w:rPr>
              <w:t xml:space="preserve"> April to </w:t>
            </w:r>
            <w:r w:rsidR="001141E3" w:rsidRPr="00CB3833">
              <w:rPr>
                <w:rFonts w:eastAsia="MS Mincho" w:cs="Arial"/>
                <w:color w:val="auto"/>
                <w:sz w:val="18"/>
                <w:szCs w:val="18"/>
              </w:rPr>
              <w:br/>
            </w:r>
            <w:r w:rsidRPr="00CB3833">
              <w:rPr>
                <w:rFonts w:eastAsia="MS Mincho" w:cs="Arial"/>
                <w:color w:val="auto"/>
                <w:sz w:val="18"/>
                <w:szCs w:val="18"/>
              </w:rPr>
              <w:t>31</w:t>
            </w:r>
            <w:r w:rsidRPr="00CB3833">
              <w:rPr>
                <w:rFonts w:eastAsia="MS Mincho" w:cs="Arial"/>
                <w:color w:val="auto"/>
                <w:sz w:val="18"/>
                <w:szCs w:val="18"/>
                <w:vertAlign w:val="superscript"/>
              </w:rPr>
              <w:t>st</w:t>
            </w:r>
            <w:r w:rsidRPr="00CB3833">
              <w:rPr>
                <w:rFonts w:eastAsia="MS Mincho" w:cs="Arial"/>
                <w:color w:val="auto"/>
                <w:sz w:val="18"/>
                <w:szCs w:val="18"/>
              </w:rPr>
              <w:t xml:space="preserve"> December. </w:t>
            </w:r>
          </w:p>
        </w:tc>
        <w:tc>
          <w:tcPr>
            <w:tcW w:w="2694" w:type="dxa"/>
            <w:tcBorders>
              <w:top w:val="single" w:sz="5" w:space="0" w:color="000000"/>
              <w:left w:val="single" w:sz="5" w:space="0" w:color="000000"/>
              <w:bottom w:val="single" w:sz="5" w:space="0" w:color="000000"/>
              <w:right w:val="single" w:sz="5" w:space="0" w:color="000000"/>
            </w:tcBorders>
          </w:tcPr>
          <w:p w14:paraId="7DB3D21F" w14:textId="77777777" w:rsidR="00197931" w:rsidRPr="00CB3833" w:rsidRDefault="00197931" w:rsidP="002E2FAC">
            <w:pPr>
              <w:pStyle w:val="TableTextform"/>
              <w:rPr>
                <w:rFonts w:eastAsia="MS Mincho" w:cs="Arial"/>
                <w:color w:val="auto"/>
                <w:sz w:val="18"/>
                <w:szCs w:val="18"/>
              </w:rPr>
            </w:pPr>
            <w:r w:rsidRPr="00CB3833">
              <w:rPr>
                <w:rFonts w:eastAsia="MS Mincho" w:cs="Arial"/>
                <w:color w:val="auto"/>
                <w:sz w:val="18"/>
                <w:szCs w:val="18"/>
              </w:rPr>
              <w:t xml:space="preserve">Towed </w:t>
            </w:r>
            <w:r w:rsidR="00ED3772" w:rsidRPr="00CB3833">
              <w:rPr>
                <w:rFonts w:eastAsia="MS Mincho" w:cs="Arial"/>
                <w:color w:val="auto"/>
                <w:sz w:val="18"/>
                <w:szCs w:val="18"/>
              </w:rPr>
              <w:t xml:space="preserve">scallop </w:t>
            </w:r>
            <w:r w:rsidRPr="00CB3833">
              <w:rPr>
                <w:rFonts w:eastAsia="MS Mincho" w:cs="Arial"/>
                <w:color w:val="auto"/>
                <w:sz w:val="18"/>
                <w:szCs w:val="18"/>
              </w:rPr>
              <w:t>dredge</w:t>
            </w:r>
            <w:r w:rsidR="00ED3772" w:rsidRPr="00CB3833">
              <w:rPr>
                <w:rFonts w:eastAsia="MS Mincho" w:cs="Arial"/>
                <w:color w:val="auto"/>
                <w:sz w:val="18"/>
                <w:szCs w:val="18"/>
              </w:rPr>
              <w:t>s</w:t>
            </w:r>
            <w:r w:rsidRPr="00CB3833">
              <w:rPr>
                <w:rFonts w:eastAsia="MS Mincho" w:cs="Arial"/>
                <w:color w:val="auto"/>
                <w:sz w:val="18"/>
                <w:szCs w:val="18"/>
              </w:rPr>
              <w:t xml:space="preserve"> </w:t>
            </w:r>
            <w:r w:rsidR="00ED3772" w:rsidRPr="00CB3833">
              <w:rPr>
                <w:rFonts w:eastAsia="MS Mincho" w:cs="Arial"/>
                <w:color w:val="auto"/>
                <w:sz w:val="18"/>
                <w:szCs w:val="18"/>
              </w:rPr>
              <w:t>that target dense aggregations (‘beds’) of scallop.</w:t>
            </w:r>
          </w:p>
          <w:p w14:paraId="7690F229" w14:textId="77777777" w:rsidR="00D47B40" w:rsidRPr="00CB3833" w:rsidRDefault="00D47B40" w:rsidP="00ED3772">
            <w:pPr>
              <w:pStyle w:val="TableTextform"/>
              <w:rPr>
                <w:rFonts w:cs="Arial"/>
                <w:sz w:val="18"/>
                <w:szCs w:val="18"/>
              </w:rPr>
            </w:pPr>
            <w:r w:rsidRPr="00CB3833">
              <w:rPr>
                <w:rFonts w:cs="Arial"/>
                <w:sz w:val="18"/>
                <w:szCs w:val="18"/>
              </w:rPr>
              <w:t xml:space="preserve">65 fishing permits are in place. </w:t>
            </w:r>
          </w:p>
          <w:p w14:paraId="31A6F553" w14:textId="77777777" w:rsidR="00197931" w:rsidRPr="00CB3833" w:rsidRDefault="00ED3772" w:rsidP="00ED3772">
            <w:pPr>
              <w:pStyle w:val="TableTextform"/>
              <w:rPr>
                <w:rFonts w:cs="Arial"/>
                <w:sz w:val="18"/>
                <w:szCs w:val="18"/>
              </w:rPr>
            </w:pPr>
            <w:r w:rsidRPr="00CB3833">
              <w:rPr>
                <w:rFonts w:cs="Arial"/>
                <w:sz w:val="18"/>
                <w:szCs w:val="18"/>
              </w:rPr>
              <w:t xml:space="preserve">Eleven </w:t>
            </w:r>
            <w:r w:rsidR="00197931" w:rsidRPr="00CB3833">
              <w:rPr>
                <w:rFonts w:cs="Arial"/>
                <w:sz w:val="18"/>
                <w:szCs w:val="18"/>
              </w:rPr>
              <w:t>vessels were active in the fishery in 201</w:t>
            </w:r>
            <w:r w:rsidRPr="00CB3833">
              <w:rPr>
                <w:rFonts w:cs="Arial"/>
                <w:sz w:val="18"/>
                <w:szCs w:val="18"/>
              </w:rPr>
              <w:t>5, a decrease from 26 active vessels in 2009, reflecting the ‘boom or bust’ nature of the fishery</w:t>
            </w:r>
            <w:r w:rsidR="00197931" w:rsidRPr="00CB3833">
              <w:rPr>
                <w:rFonts w:cs="Arial"/>
                <w:sz w:val="18"/>
                <w:szCs w:val="18"/>
              </w:rPr>
              <w:t>.</w:t>
            </w:r>
          </w:p>
        </w:tc>
        <w:tc>
          <w:tcPr>
            <w:tcW w:w="2693" w:type="dxa"/>
            <w:tcBorders>
              <w:top w:val="single" w:sz="5" w:space="0" w:color="000000"/>
              <w:left w:val="single" w:sz="5" w:space="0" w:color="000000"/>
              <w:bottom w:val="single" w:sz="5" w:space="0" w:color="000000"/>
              <w:right w:val="single" w:sz="5" w:space="0" w:color="000000"/>
            </w:tcBorders>
          </w:tcPr>
          <w:p w14:paraId="6D1E3051" w14:textId="77777777" w:rsidR="001141E3" w:rsidRPr="00CB3833" w:rsidRDefault="001141E3" w:rsidP="002E2FAC">
            <w:pPr>
              <w:pStyle w:val="TableTextform"/>
              <w:rPr>
                <w:rFonts w:cs="Arial"/>
                <w:sz w:val="18"/>
                <w:szCs w:val="18"/>
              </w:rPr>
            </w:pPr>
            <w:r w:rsidRPr="00CB3833">
              <w:rPr>
                <w:rFonts w:cs="Arial"/>
                <w:sz w:val="18"/>
                <w:szCs w:val="18"/>
              </w:rPr>
              <w:t>2,260 tonnes in 2015, worth $2.8 million.</w:t>
            </w:r>
          </w:p>
          <w:p w14:paraId="3A3071FC" w14:textId="77777777" w:rsidR="001141E3" w:rsidRPr="00CB3833" w:rsidRDefault="001141E3" w:rsidP="002E2FAC">
            <w:pPr>
              <w:pStyle w:val="TableTextform"/>
              <w:rPr>
                <w:rFonts w:cs="Arial"/>
                <w:sz w:val="18"/>
                <w:szCs w:val="18"/>
              </w:rPr>
            </w:pPr>
            <w:r w:rsidRPr="00CB3833">
              <w:rPr>
                <w:rFonts w:cs="Arial"/>
                <w:sz w:val="18"/>
                <w:szCs w:val="18"/>
              </w:rPr>
              <w:t>1,418 tonnes in 2014, worth $0.5 million.</w:t>
            </w:r>
          </w:p>
          <w:p w14:paraId="6F91B360" w14:textId="160DFEC7" w:rsidR="00197931" w:rsidRPr="00CB3833" w:rsidRDefault="00197931" w:rsidP="00DF2465">
            <w:pPr>
              <w:pStyle w:val="TableTextform"/>
              <w:rPr>
                <w:rFonts w:cs="Arial"/>
                <w:sz w:val="18"/>
                <w:szCs w:val="18"/>
              </w:rPr>
            </w:pPr>
            <w:r w:rsidRPr="00CB3833">
              <w:rPr>
                <w:rFonts w:cs="Arial"/>
                <w:sz w:val="18"/>
                <w:szCs w:val="18"/>
              </w:rPr>
              <w:t>Scallop spawning occurs from winter to spring (June to November)</w:t>
            </w:r>
            <w:r w:rsidR="001141E3" w:rsidRPr="00CB3833">
              <w:rPr>
                <w:rFonts w:cs="Arial"/>
                <w:sz w:val="18"/>
                <w:szCs w:val="18"/>
              </w:rPr>
              <w:t xml:space="preserve">, with </w:t>
            </w:r>
            <w:r w:rsidRPr="00CB3833">
              <w:rPr>
                <w:rFonts w:cs="Arial"/>
                <w:sz w:val="18"/>
                <w:szCs w:val="18"/>
              </w:rPr>
              <w:t>timing dependent on environmental conditions such as wind and water temperature.</w:t>
            </w:r>
          </w:p>
        </w:tc>
      </w:tr>
      <w:tr w:rsidR="00197931" w:rsidRPr="00CB3833" w14:paraId="1716B911" w14:textId="77777777" w:rsidTr="007E7151">
        <w:trPr>
          <w:cantSplit/>
          <w:trHeight w:val="414"/>
        </w:trPr>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39DD0EA2" w14:textId="4788E15A" w:rsidR="00197931" w:rsidRPr="002949C0" w:rsidRDefault="00197931" w:rsidP="002E2FAC">
            <w:pPr>
              <w:pStyle w:val="TableTextform"/>
              <w:rPr>
                <w:rFonts w:cs="Arial"/>
                <w:color w:val="auto"/>
                <w:sz w:val="18"/>
                <w:szCs w:val="18"/>
              </w:rPr>
            </w:pPr>
            <w:r w:rsidRPr="002949C0">
              <w:rPr>
                <w:rFonts w:cs="Arial"/>
                <w:color w:val="auto"/>
                <w:sz w:val="18"/>
                <w:szCs w:val="18"/>
              </w:rPr>
              <w:t>Eastern Tuna and Billfish Fishery</w:t>
            </w:r>
          </w:p>
          <w:p w14:paraId="70873F9B" w14:textId="5E3B8EC0" w:rsidR="007E7151" w:rsidRPr="002949C0" w:rsidRDefault="007E7151" w:rsidP="00AE43A0">
            <w:pPr>
              <w:pStyle w:val="TableTextform"/>
              <w:rPr>
                <w:rFonts w:cs="Arial"/>
                <w:color w:val="auto"/>
                <w:sz w:val="18"/>
                <w:szCs w:val="18"/>
                <w:highlight w:val="yellow"/>
              </w:rPr>
            </w:pP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0FA00696" w14:textId="77777777" w:rsidR="00197931" w:rsidRPr="002949C0" w:rsidRDefault="00197931" w:rsidP="00197931">
            <w:pPr>
              <w:pStyle w:val="TableTextform"/>
              <w:rPr>
                <w:rFonts w:cs="Arial"/>
                <w:color w:val="auto"/>
                <w:sz w:val="18"/>
                <w:szCs w:val="18"/>
              </w:rPr>
            </w:pPr>
            <w:r w:rsidRPr="002949C0">
              <w:rPr>
                <w:rFonts w:eastAsia="MS Mincho" w:cs="Arial"/>
                <w:color w:val="auto"/>
                <w:sz w:val="18"/>
                <w:szCs w:val="18"/>
              </w:rPr>
              <w:t>Albacore tuna (</w:t>
            </w:r>
            <w:r w:rsidRPr="002949C0">
              <w:rPr>
                <w:rFonts w:eastAsia="MS Mincho" w:cs="Arial"/>
                <w:i/>
                <w:color w:val="auto"/>
                <w:sz w:val="18"/>
                <w:szCs w:val="18"/>
              </w:rPr>
              <w:t>Thunnus alulunga</w:t>
            </w:r>
            <w:r w:rsidRPr="002949C0">
              <w:rPr>
                <w:rFonts w:eastAsia="MS Mincho" w:cs="Arial"/>
                <w:color w:val="auto"/>
                <w:sz w:val="18"/>
                <w:szCs w:val="18"/>
              </w:rPr>
              <w:t xml:space="preserve">), bigeye tuna </w:t>
            </w:r>
            <w:r w:rsidRPr="002949C0">
              <w:rPr>
                <w:rFonts w:eastAsia="MS Mincho" w:cs="Arial"/>
                <w:color w:val="auto"/>
                <w:sz w:val="18"/>
                <w:szCs w:val="18"/>
              </w:rPr>
              <w:br/>
              <w:t>(</w:t>
            </w:r>
            <w:r w:rsidRPr="002949C0">
              <w:rPr>
                <w:rFonts w:eastAsia="MS Mincho" w:cs="Arial"/>
                <w:i/>
                <w:color w:val="auto"/>
                <w:sz w:val="18"/>
                <w:szCs w:val="18"/>
              </w:rPr>
              <w:t>T. obesus</w:t>
            </w:r>
            <w:r w:rsidRPr="002949C0">
              <w:rPr>
                <w:rFonts w:eastAsia="MS Mincho" w:cs="Arial"/>
                <w:color w:val="auto"/>
                <w:sz w:val="18"/>
                <w:szCs w:val="18"/>
              </w:rPr>
              <w:t>), yellowfin tuna (</w:t>
            </w:r>
            <w:r w:rsidRPr="002949C0">
              <w:rPr>
                <w:rFonts w:eastAsia="MS Mincho" w:cs="Arial"/>
                <w:i/>
                <w:color w:val="auto"/>
                <w:sz w:val="18"/>
                <w:szCs w:val="18"/>
              </w:rPr>
              <w:t>T. albacares</w:t>
            </w:r>
            <w:r w:rsidRPr="002949C0">
              <w:rPr>
                <w:rFonts w:eastAsia="MS Mincho" w:cs="Arial"/>
                <w:color w:val="auto"/>
                <w:sz w:val="18"/>
                <w:szCs w:val="18"/>
              </w:rPr>
              <w:t>), broadbill swordfish (</w:t>
            </w:r>
            <w:r w:rsidRPr="002949C0">
              <w:rPr>
                <w:rFonts w:eastAsia="MS Mincho" w:cs="Arial"/>
                <w:i/>
                <w:color w:val="auto"/>
                <w:sz w:val="18"/>
                <w:szCs w:val="18"/>
              </w:rPr>
              <w:t>Xiphias gladius</w:t>
            </w:r>
            <w:r w:rsidRPr="002949C0">
              <w:rPr>
                <w:rFonts w:eastAsia="MS Mincho" w:cs="Arial"/>
                <w:color w:val="auto"/>
                <w:sz w:val="18"/>
                <w:szCs w:val="18"/>
              </w:rPr>
              <w:t>), s</w:t>
            </w:r>
            <w:r w:rsidRPr="002949C0">
              <w:rPr>
                <w:rFonts w:cs="Arial"/>
                <w:color w:val="auto"/>
                <w:sz w:val="18"/>
                <w:szCs w:val="18"/>
              </w:rPr>
              <w:t>triped marlin (</w:t>
            </w:r>
            <w:r w:rsidRPr="002949C0">
              <w:rPr>
                <w:rFonts w:cs="Arial"/>
                <w:i/>
                <w:color w:val="auto"/>
                <w:sz w:val="18"/>
                <w:szCs w:val="18"/>
              </w:rPr>
              <w:t>Tetrapturus audux</w:t>
            </w:r>
            <w:r w:rsidRPr="002949C0">
              <w:rPr>
                <w:rFonts w:cs="Arial"/>
                <w:color w:val="auto"/>
                <w:sz w:val="18"/>
                <w:szCs w:val="18"/>
              </w:rPr>
              <w:t>)</w:t>
            </w:r>
          </w:p>
        </w:tc>
        <w:tc>
          <w:tcPr>
            <w:tcW w:w="1984" w:type="dxa"/>
            <w:tcBorders>
              <w:top w:val="single" w:sz="5" w:space="0" w:color="000000"/>
              <w:left w:val="single" w:sz="5" w:space="0" w:color="000000"/>
              <w:bottom w:val="single" w:sz="5" w:space="0" w:color="000000"/>
              <w:right w:val="single" w:sz="5" w:space="0" w:color="000000"/>
            </w:tcBorders>
          </w:tcPr>
          <w:p w14:paraId="092963EA" w14:textId="77777777" w:rsidR="00197931" w:rsidRPr="002949C0" w:rsidRDefault="00197931" w:rsidP="0021251C">
            <w:pPr>
              <w:pStyle w:val="TableTextform"/>
              <w:rPr>
                <w:rFonts w:cs="Arial"/>
                <w:color w:val="auto"/>
                <w:sz w:val="18"/>
                <w:szCs w:val="18"/>
              </w:rPr>
            </w:pPr>
            <w:r w:rsidRPr="002949C0">
              <w:rPr>
                <w:rFonts w:cs="Arial"/>
                <w:color w:val="auto"/>
                <w:sz w:val="18"/>
                <w:szCs w:val="18"/>
              </w:rPr>
              <w:t>South Australia/Victoria border, around east coast of Australia to Cape York, including waters around Tasmania.</w:t>
            </w:r>
          </w:p>
          <w:p w14:paraId="13EABD0F" w14:textId="2CF060D9" w:rsidR="00197931" w:rsidRPr="002949C0" w:rsidRDefault="001141E3" w:rsidP="00AE43A0">
            <w:pPr>
              <w:pStyle w:val="TableTextform"/>
              <w:rPr>
                <w:rFonts w:cs="Arial"/>
                <w:color w:val="auto"/>
                <w:sz w:val="18"/>
                <w:szCs w:val="18"/>
              </w:rPr>
            </w:pPr>
            <w:r w:rsidRPr="002949C0">
              <w:rPr>
                <w:rFonts w:cs="Arial"/>
                <w:color w:val="auto"/>
                <w:sz w:val="18"/>
                <w:szCs w:val="18"/>
              </w:rPr>
              <w:t xml:space="preserve">Fishing effort is concentrated along the NSW coast and southern Queensland coast around the </w:t>
            </w:r>
            <w:r w:rsidR="00D13F2F" w:rsidRPr="002949C0">
              <w:rPr>
                <w:rFonts w:cs="Arial"/>
                <w:color w:val="auto"/>
                <w:sz w:val="18"/>
                <w:szCs w:val="18"/>
              </w:rPr>
              <w:br/>
            </w:r>
            <w:r w:rsidRPr="002949C0">
              <w:rPr>
                <w:rFonts w:cs="Arial"/>
                <w:color w:val="auto"/>
                <w:sz w:val="18"/>
                <w:szCs w:val="18"/>
              </w:rPr>
              <w:t>200 m depth contour.</w:t>
            </w:r>
          </w:p>
        </w:tc>
        <w:tc>
          <w:tcPr>
            <w:tcW w:w="1985" w:type="dxa"/>
            <w:tcBorders>
              <w:top w:val="single" w:sz="5" w:space="0" w:color="000000"/>
              <w:left w:val="single" w:sz="5" w:space="0" w:color="000000"/>
              <w:bottom w:val="single" w:sz="5" w:space="0" w:color="000000"/>
              <w:right w:val="single" w:sz="5" w:space="0" w:color="000000"/>
            </w:tcBorders>
          </w:tcPr>
          <w:p w14:paraId="2F63B301" w14:textId="77777777" w:rsidR="00197931" w:rsidRPr="00CB3833" w:rsidRDefault="00197931" w:rsidP="00197931">
            <w:pPr>
              <w:pStyle w:val="TableTextform"/>
              <w:rPr>
                <w:rFonts w:eastAsia="MS Mincho" w:cs="Arial"/>
                <w:b/>
                <w:color w:val="auto"/>
                <w:sz w:val="18"/>
                <w:szCs w:val="18"/>
              </w:rPr>
            </w:pPr>
            <w:r w:rsidRPr="00CB3833">
              <w:rPr>
                <w:rFonts w:eastAsia="MS Mincho" w:cs="Arial"/>
                <w:b/>
                <w:color w:val="auto"/>
                <w:sz w:val="18"/>
                <w:szCs w:val="18"/>
              </w:rPr>
              <w:t xml:space="preserve">Acquisition area – </w:t>
            </w:r>
            <w:r w:rsidRPr="00CB3833">
              <w:rPr>
                <w:rFonts w:eastAsia="MS Mincho" w:cs="Arial"/>
                <w:b/>
                <w:color w:val="FF0000"/>
                <w:sz w:val="18"/>
                <w:szCs w:val="18"/>
              </w:rPr>
              <w:t>No</w:t>
            </w:r>
            <w:r w:rsidR="00182296" w:rsidRPr="00CB3833">
              <w:rPr>
                <w:rFonts w:eastAsia="MS Mincho" w:cs="Arial"/>
                <w:b/>
                <w:color w:val="FF0000"/>
                <w:sz w:val="18"/>
                <w:szCs w:val="18"/>
              </w:rPr>
              <w:t xml:space="preserve"> </w:t>
            </w:r>
            <w:r w:rsidR="00182296" w:rsidRPr="00CB3833">
              <w:rPr>
                <w:rFonts w:eastAsia="MS Mincho" w:cs="Arial"/>
                <w:color w:val="auto"/>
                <w:sz w:val="18"/>
                <w:szCs w:val="18"/>
              </w:rPr>
              <w:t>based on 2015 fishing intensity data.</w:t>
            </w:r>
          </w:p>
          <w:p w14:paraId="1ED6FCF1" w14:textId="3D9DF236" w:rsidR="00197931" w:rsidRDefault="00182296" w:rsidP="00197931">
            <w:pPr>
              <w:pStyle w:val="TableTextform"/>
              <w:rPr>
                <w:rFonts w:eastAsia="MS Mincho" w:cs="Arial"/>
                <w:color w:val="auto"/>
                <w:sz w:val="18"/>
                <w:szCs w:val="18"/>
              </w:rPr>
            </w:pPr>
            <w:r w:rsidRPr="00CB3833">
              <w:rPr>
                <w:rFonts w:eastAsia="MS Mincho" w:cs="Arial"/>
                <w:b/>
                <w:color w:val="auto"/>
                <w:sz w:val="18"/>
                <w:szCs w:val="18"/>
              </w:rPr>
              <w:t xml:space="preserve">Diesel spill </w:t>
            </w:r>
            <w:r w:rsidR="00197931" w:rsidRPr="00CB3833">
              <w:rPr>
                <w:rFonts w:eastAsia="MS Mincho" w:cs="Arial"/>
                <w:b/>
                <w:color w:val="auto"/>
                <w:sz w:val="18"/>
                <w:szCs w:val="18"/>
              </w:rPr>
              <w:t xml:space="preserve">EMBA – </w:t>
            </w:r>
            <w:r w:rsidR="00197931" w:rsidRPr="00CB3833">
              <w:rPr>
                <w:rFonts w:eastAsia="MS Mincho" w:cs="Arial"/>
                <w:b/>
                <w:color w:val="FF0000"/>
                <w:sz w:val="18"/>
                <w:szCs w:val="18"/>
              </w:rPr>
              <w:t>No</w:t>
            </w:r>
            <w:r w:rsidRPr="00CB3833">
              <w:rPr>
                <w:rFonts w:eastAsia="MS Mincho" w:cs="Arial"/>
                <w:b/>
                <w:color w:val="FF0000"/>
                <w:sz w:val="18"/>
                <w:szCs w:val="18"/>
              </w:rPr>
              <w:t xml:space="preserve"> </w:t>
            </w:r>
            <w:r w:rsidRPr="00CB3833">
              <w:rPr>
                <w:rFonts w:eastAsia="MS Mincho" w:cs="Arial"/>
                <w:color w:val="auto"/>
                <w:sz w:val="18"/>
                <w:szCs w:val="18"/>
              </w:rPr>
              <w:t>based on 2015 fishing intensity data.</w:t>
            </w:r>
          </w:p>
          <w:p w14:paraId="2725320E" w14:textId="77777777" w:rsidR="00CE607A" w:rsidRDefault="00CE607A" w:rsidP="00197931">
            <w:pPr>
              <w:pStyle w:val="TableTextform"/>
              <w:rPr>
                <w:rFonts w:eastAsia="MS Mincho" w:cs="Arial"/>
                <w:color w:val="auto"/>
                <w:sz w:val="18"/>
                <w:szCs w:val="18"/>
              </w:rPr>
            </w:pPr>
          </w:p>
          <w:p w14:paraId="5765E877" w14:textId="2F3E7269" w:rsidR="00B278A7" w:rsidRDefault="00B278A7" w:rsidP="00B278A7">
            <w:pPr>
              <w:pStyle w:val="TableTextform"/>
              <w:rPr>
                <w:rFonts w:cs="Arial"/>
                <w:i/>
                <w:sz w:val="18"/>
                <w:szCs w:val="18"/>
              </w:rPr>
            </w:pPr>
            <w:r>
              <w:rPr>
                <w:rFonts w:cs="Arial"/>
                <w:i/>
                <w:sz w:val="18"/>
                <w:szCs w:val="18"/>
              </w:rPr>
              <w:t xml:space="preserve">Acquisition area intersects 0.004% of the fishery. </w:t>
            </w:r>
          </w:p>
          <w:p w14:paraId="7B93F844" w14:textId="09B7E204" w:rsidR="00B278A7" w:rsidRDefault="00B278A7" w:rsidP="00B278A7">
            <w:pPr>
              <w:pStyle w:val="TableTextform"/>
              <w:rPr>
                <w:rFonts w:cs="Arial"/>
                <w:i/>
                <w:sz w:val="18"/>
                <w:szCs w:val="18"/>
              </w:rPr>
            </w:pPr>
            <w:r>
              <w:rPr>
                <w:rFonts w:cs="Arial"/>
                <w:i/>
                <w:sz w:val="18"/>
                <w:szCs w:val="18"/>
              </w:rPr>
              <w:t>Operational</w:t>
            </w:r>
            <w:r w:rsidRPr="00D018C0">
              <w:rPr>
                <w:rFonts w:cs="Arial"/>
                <w:i/>
                <w:sz w:val="18"/>
                <w:szCs w:val="18"/>
              </w:rPr>
              <w:t xml:space="preserve"> area intersects 0</w:t>
            </w:r>
            <w:r>
              <w:rPr>
                <w:rFonts w:cs="Arial"/>
                <w:i/>
                <w:sz w:val="18"/>
                <w:szCs w:val="18"/>
              </w:rPr>
              <w:t>.009</w:t>
            </w:r>
            <w:r w:rsidRPr="00D018C0">
              <w:rPr>
                <w:rFonts w:cs="Arial"/>
                <w:i/>
                <w:sz w:val="18"/>
                <w:szCs w:val="18"/>
              </w:rPr>
              <w:t>% of the fishery</w:t>
            </w:r>
            <w:r>
              <w:rPr>
                <w:rFonts w:cs="Arial"/>
                <w:i/>
                <w:sz w:val="18"/>
                <w:szCs w:val="18"/>
              </w:rPr>
              <w:t>.</w:t>
            </w:r>
          </w:p>
          <w:p w14:paraId="38B25948" w14:textId="6A482177" w:rsidR="00197931" w:rsidRPr="00CB3833" w:rsidRDefault="00B278A7" w:rsidP="00B278A7">
            <w:pPr>
              <w:pStyle w:val="TableTextform"/>
              <w:rPr>
                <w:rFonts w:cs="Arial"/>
                <w:sz w:val="18"/>
                <w:szCs w:val="18"/>
              </w:rPr>
            </w:pPr>
            <w:r w:rsidRPr="00D018C0">
              <w:rPr>
                <w:rFonts w:cs="Arial"/>
                <w:i/>
                <w:sz w:val="18"/>
                <w:szCs w:val="18"/>
              </w:rPr>
              <w:t>EMBA intersects 0.</w:t>
            </w:r>
            <w:r>
              <w:rPr>
                <w:rFonts w:cs="Arial"/>
                <w:i/>
                <w:sz w:val="18"/>
                <w:szCs w:val="18"/>
              </w:rPr>
              <w:t>28</w:t>
            </w:r>
            <w:r w:rsidRPr="00D018C0">
              <w:rPr>
                <w:rFonts w:cs="Arial"/>
                <w:i/>
                <w:sz w:val="18"/>
                <w:szCs w:val="18"/>
              </w:rPr>
              <w:t>% of the fishery.</w:t>
            </w:r>
            <w:r w:rsidRPr="00CE607A">
              <w:rPr>
                <w:rFonts w:cs="Arial"/>
                <w:i/>
                <w:sz w:val="18"/>
                <w:szCs w:val="18"/>
              </w:rPr>
              <w:t xml:space="preserve">  </w:t>
            </w:r>
          </w:p>
        </w:tc>
        <w:tc>
          <w:tcPr>
            <w:tcW w:w="1417" w:type="dxa"/>
            <w:tcBorders>
              <w:top w:val="single" w:sz="5" w:space="0" w:color="000000"/>
              <w:left w:val="single" w:sz="5" w:space="0" w:color="000000"/>
              <w:bottom w:val="single" w:sz="5" w:space="0" w:color="000000"/>
              <w:right w:val="single" w:sz="5" w:space="0" w:color="000000"/>
            </w:tcBorders>
          </w:tcPr>
          <w:p w14:paraId="2D17EDAF" w14:textId="04C85FC0" w:rsidR="00197931" w:rsidRPr="00CB3833" w:rsidRDefault="00DF2465" w:rsidP="002E2FAC">
            <w:pPr>
              <w:pStyle w:val="TableTextform"/>
              <w:rPr>
                <w:rFonts w:eastAsia="MS Mincho" w:cs="Arial"/>
                <w:color w:val="auto"/>
                <w:sz w:val="18"/>
                <w:szCs w:val="18"/>
              </w:rPr>
            </w:pPr>
            <w:r>
              <w:rPr>
                <w:rFonts w:eastAsia="MS Mincho" w:cs="Arial"/>
                <w:color w:val="auto"/>
                <w:sz w:val="18"/>
                <w:szCs w:val="18"/>
              </w:rPr>
              <w:t>12-</w:t>
            </w:r>
            <w:r w:rsidR="00182296" w:rsidRPr="00CB3833">
              <w:rPr>
                <w:rFonts w:eastAsia="MS Mincho" w:cs="Arial"/>
                <w:color w:val="auto"/>
                <w:sz w:val="18"/>
                <w:szCs w:val="18"/>
              </w:rPr>
              <w:t>month season, beginning 1</w:t>
            </w:r>
            <w:r w:rsidR="00182296" w:rsidRPr="00CB3833">
              <w:rPr>
                <w:rFonts w:eastAsia="MS Mincho" w:cs="Arial"/>
                <w:color w:val="auto"/>
                <w:sz w:val="18"/>
                <w:szCs w:val="18"/>
                <w:vertAlign w:val="superscript"/>
              </w:rPr>
              <w:t>st</w:t>
            </w:r>
            <w:r w:rsidR="00182296" w:rsidRPr="00CB3833">
              <w:rPr>
                <w:rFonts w:eastAsia="MS Mincho" w:cs="Arial"/>
                <w:color w:val="auto"/>
                <w:sz w:val="18"/>
                <w:szCs w:val="18"/>
              </w:rPr>
              <w:t xml:space="preserve"> of March.</w:t>
            </w:r>
          </w:p>
        </w:tc>
        <w:tc>
          <w:tcPr>
            <w:tcW w:w="2694" w:type="dxa"/>
            <w:tcBorders>
              <w:top w:val="single" w:sz="5" w:space="0" w:color="000000"/>
              <w:left w:val="single" w:sz="5" w:space="0" w:color="000000"/>
              <w:bottom w:val="single" w:sz="5" w:space="0" w:color="000000"/>
              <w:right w:val="single" w:sz="5" w:space="0" w:color="000000"/>
            </w:tcBorders>
          </w:tcPr>
          <w:p w14:paraId="0A0613D7" w14:textId="77777777" w:rsidR="00197931" w:rsidRPr="00CB3833" w:rsidRDefault="00197931" w:rsidP="002E2FAC">
            <w:pPr>
              <w:pStyle w:val="TableTextform"/>
              <w:rPr>
                <w:rFonts w:eastAsia="MS Mincho" w:cs="Arial"/>
                <w:color w:val="auto"/>
                <w:sz w:val="18"/>
                <w:szCs w:val="18"/>
              </w:rPr>
            </w:pPr>
            <w:r w:rsidRPr="00CB3833">
              <w:rPr>
                <w:rFonts w:eastAsia="MS Mincho" w:cs="Arial"/>
                <w:color w:val="auto"/>
                <w:sz w:val="18"/>
                <w:szCs w:val="18"/>
              </w:rPr>
              <w:t>Pelagic longline</w:t>
            </w:r>
            <w:r w:rsidR="00182296" w:rsidRPr="00CB3833">
              <w:rPr>
                <w:rFonts w:eastAsia="MS Mincho" w:cs="Arial"/>
                <w:color w:val="auto"/>
                <w:sz w:val="18"/>
                <w:szCs w:val="18"/>
              </w:rPr>
              <w:t xml:space="preserve"> is the key fishing method</w:t>
            </w:r>
            <w:r w:rsidRPr="00CB3833">
              <w:rPr>
                <w:rFonts w:eastAsia="MS Mincho" w:cs="Arial"/>
                <w:color w:val="auto"/>
                <w:sz w:val="18"/>
                <w:szCs w:val="18"/>
              </w:rPr>
              <w:t xml:space="preserve">, </w:t>
            </w:r>
            <w:r w:rsidR="00182296" w:rsidRPr="00CB3833">
              <w:rPr>
                <w:rFonts w:eastAsia="MS Mincho" w:cs="Arial"/>
                <w:color w:val="auto"/>
                <w:sz w:val="18"/>
                <w:szCs w:val="18"/>
              </w:rPr>
              <w:t xml:space="preserve">with small quantities taken using </w:t>
            </w:r>
            <w:r w:rsidRPr="00CB3833">
              <w:rPr>
                <w:rFonts w:eastAsia="MS Mincho" w:cs="Arial"/>
                <w:color w:val="auto"/>
                <w:sz w:val="18"/>
                <w:szCs w:val="18"/>
              </w:rPr>
              <w:t xml:space="preserve">minor line </w:t>
            </w:r>
            <w:r w:rsidR="00182296" w:rsidRPr="00CB3833">
              <w:rPr>
                <w:rFonts w:eastAsia="MS Mincho" w:cs="Arial"/>
                <w:color w:val="auto"/>
                <w:sz w:val="18"/>
                <w:szCs w:val="18"/>
              </w:rPr>
              <w:t xml:space="preserve">methods </w:t>
            </w:r>
            <w:r w:rsidRPr="00CB3833">
              <w:rPr>
                <w:rFonts w:eastAsia="MS Mincho" w:cs="Arial"/>
                <w:color w:val="auto"/>
                <w:sz w:val="18"/>
                <w:szCs w:val="18"/>
              </w:rPr>
              <w:t>(such as handline, troll, rod and reel).</w:t>
            </w:r>
          </w:p>
          <w:p w14:paraId="2633DA9A" w14:textId="77777777" w:rsidR="00182296" w:rsidRPr="00CB3833" w:rsidRDefault="00182296" w:rsidP="002E2FAC">
            <w:pPr>
              <w:pStyle w:val="TableTextform"/>
              <w:rPr>
                <w:rFonts w:eastAsia="MS Mincho" w:cs="Arial"/>
                <w:color w:val="auto"/>
                <w:sz w:val="18"/>
                <w:szCs w:val="18"/>
              </w:rPr>
            </w:pPr>
            <w:r w:rsidRPr="00CB3833">
              <w:rPr>
                <w:rFonts w:eastAsia="MS Mincho" w:cs="Arial"/>
                <w:color w:val="auto"/>
                <w:sz w:val="18"/>
                <w:szCs w:val="18"/>
              </w:rPr>
              <w:t>Active vessel numbers were 39 in 2015 (down from about 150 in 2002).</w:t>
            </w:r>
          </w:p>
          <w:p w14:paraId="2E5601F7" w14:textId="77777777" w:rsidR="00182296" w:rsidRPr="00CB3833" w:rsidRDefault="00182296" w:rsidP="00182296">
            <w:pPr>
              <w:pStyle w:val="TableTextform"/>
              <w:rPr>
                <w:rFonts w:cs="Arial"/>
                <w:sz w:val="18"/>
                <w:szCs w:val="18"/>
              </w:rPr>
            </w:pPr>
            <w:r w:rsidRPr="00CB3833">
              <w:rPr>
                <w:rFonts w:cs="Arial"/>
                <w:sz w:val="18"/>
                <w:szCs w:val="18"/>
              </w:rPr>
              <w:t xml:space="preserve">No Victorian ports are used to land catches. </w:t>
            </w:r>
          </w:p>
        </w:tc>
        <w:tc>
          <w:tcPr>
            <w:tcW w:w="2693" w:type="dxa"/>
            <w:tcBorders>
              <w:top w:val="single" w:sz="5" w:space="0" w:color="000000"/>
              <w:left w:val="single" w:sz="5" w:space="0" w:color="000000"/>
              <w:bottom w:val="single" w:sz="5" w:space="0" w:color="000000"/>
              <w:right w:val="single" w:sz="5" w:space="0" w:color="000000"/>
            </w:tcBorders>
          </w:tcPr>
          <w:p w14:paraId="7D0AEC3F" w14:textId="15423A66" w:rsidR="00546243" w:rsidRDefault="00182296" w:rsidP="002E2FAC">
            <w:pPr>
              <w:pStyle w:val="TableTextform"/>
              <w:rPr>
                <w:rFonts w:eastAsia="MS Mincho" w:cs="Arial"/>
                <w:color w:val="auto"/>
                <w:sz w:val="18"/>
                <w:szCs w:val="18"/>
              </w:rPr>
            </w:pPr>
            <w:r w:rsidRPr="00CB3833">
              <w:rPr>
                <w:rFonts w:eastAsia="MS Mincho" w:cs="Arial"/>
                <w:color w:val="auto"/>
                <w:sz w:val="18"/>
                <w:szCs w:val="18"/>
              </w:rPr>
              <w:t>5,408 tonnes in 2015 with a value of $35 million.</w:t>
            </w:r>
            <w:r w:rsidR="00546243">
              <w:rPr>
                <w:rFonts w:eastAsia="MS Mincho" w:cs="Arial"/>
                <w:color w:val="auto"/>
                <w:sz w:val="18"/>
                <w:szCs w:val="18"/>
              </w:rPr>
              <w:t xml:space="preserve"> </w:t>
            </w:r>
          </w:p>
          <w:p w14:paraId="7F694634" w14:textId="27161F61" w:rsidR="00182296" w:rsidRPr="00CB3833" w:rsidRDefault="00182296" w:rsidP="002E2FAC">
            <w:pPr>
              <w:pStyle w:val="TableTextform"/>
              <w:rPr>
                <w:rFonts w:eastAsia="MS Mincho" w:cs="Arial"/>
                <w:color w:val="auto"/>
                <w:sz w:val="18"/>
                <w:szCs w:val="18"/>
              </w:rPr>
            </w:pPr>
            <w:r w:rsidRPr="00CB3833">
              <w:rPr>
                <w:rFonts w:eastAsia="MS Mincho" w:cs="Arial"/>
                <w:color w:val="auto"/>
                <w:sz w:val="18"/>
                <w:szCs w:val="18"/>
              </w:rPr>
              <w:t xml:space="preserve">In 2014, the catch was 4,368 tonnes worth $30.7 million. </w:t>
            </w:r>
          </w:p>
          <w:p w14:paraId="36F4592A" w14:textId="77777777" w:rsidR="00197931" w:rsidRDefault="00197931" w:rsidP="00182296">
            <w:pPr>
              <w:pStyle w:val="TableTextform"/>
              <w:rPr>
                <w:rFonts w:eastAsia="MS Mincho" w:cs="Arial"/>
                <w:color w:val="auto"/>
                <w:sz w:val="18"/>
                <w:szCs w:val="18"/>
              </w:rPr>
            </w:pPr>
            <w:r w:rsidRPr="00CB3833">
              <w:rPr>
                <w:rFonts w:eastAsia="MS Mincho" w:cs="Arial"/>
                <w:color w:val="auto"/>
                <w:sz w:val="18"/>
                <w:szCs w:val="18"/>
              </w:rPr>
              <w:t>Spawning occurs through most of the year in water temperatures greater than 26°C (Wild Fisheries Research Program, 2012).</w:t>
            </w:r>
          </w:p>
          <w:p w14:paraId="5DCAB563" w14:textId="77777777" w:rsidR="00D07D3C" w:rsidRDefault="00D07D3C" w:rsidP="00D07D3C">
            <w:pPr>
              <w:pStyle w:val="TableTextform"/>
              <w:rPr>
                <w:rFonts w:eastAsia="MS Mincho" w:cs="Arial"/>
                <w:color w:val="auto"/>
                <w:sz w:val="18"/>
                <w:szCs w:val="18"/>
              </w:rPr>
            </w:pPr>
            <w:r>
              <w:rPr>
                <w:rFonts w:eastAsia="MS Mincho" w:cs="Arial"/>
                <w:color w:val="auto"/>
                <w:sz w:val="18"/>
                <w:szCs w:val="18"/>
              </w:rPr>
              <w:t xml:space="preserve">No recent fishing effort in the proposed acquisition area. </w:t>
            </w:r>
          </w:p>
          <w:p w14:paraId="02FF4C17" w14:textId="16BE94B2" w:rsidR="00546243" w:rsidRPr="00CB3833" w:rsidRDefault="00546243" w:rsidP="00546243">
            <w:pPr>
              <w:pStyle w:val="TableTextform"/>
              <w:rPr>
                <w:rFonts w:cs="Arial"/>
                <w:sz w:val="18"/>
                <w:szCs w:val="18"/>
              </w:rPr>
            </w:pPr>
            <w:r>
              <w:rPr>
                <w:rFonts w:eastAsia="MS Mincho" w:cs="Arial"/>
                <w:color w:val="auto"/>
                <w:sz w:val="18"/>
                <w:szCs w:val="18"/>
              </w:rPr>
              <w:t>Consultation with Tuna Australia confirms the proposed acquisition area does not impact on this fishery.</w:t>
            </w:r>
          </w:p>
        </w:tc>
      </w:tr>
      <w:tr w:rsidR="00197931" w:rsidRPr="00CB3833" w14:paraId="685CD08B" w14:textId="77777777" w:rsidTr="007E7151">
        <w:trPr>
          <w:cantSplit/>
          <w:trHeight w:val="414"/>
        </w:trPr>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5DC6892F" w14:textId="77777777" w:rsidR="00197931" w:rsidRPr="002949C0" w:rsidRDefault="00197931" w:rsidP="002E2FAC">
            <w:pPr>
              <w:pStyle w:val="TableTextform"/>
              <w:rPr>
                <w:rFonts w:cs="Arial"/>
                <w:color w:val="auto"/>
                <w:sz w:val="18"/>
                <w:szCs w:val="18"/>
              </w:rPr>
            </w:pPr>
            <w:r w:rsidRPr="002949C0">
              <w:rPr>
                <w:rFonts w:cs="Arial"/>
                <w:color w:val="auto"/>
                <w:sz w:val="18"/>
                <w:szCs w:val="18"/>
              </w:rPr>
              <w:lastRenderedPageBreak/>
              <w:t xml:space="preserve">Eastern Skipjack </w:t>
            </w:r>
            <w:r w:rsidR="0021251C" w:rsidRPr="002949C0">
              <w:rPr>
                <w:rFonts w:cs="Arial"/>
                <w:color w:val="auto"/>
                <w:sz w:val="18"/>
                <w:szCs w:val="18"/>
              </w:rPr>
              <w:t xml:space="preserve">Tuna </w:t>
            </w:r>
            <w:r w:rsidRPr="002949C0">
              <w:rPr>
                <w:rFonts w:cs="Arial"/>
                <w:color w:val="auto"/>
                <w:sz w:val="18"/>
                <w:szCs w:val="18"/>
              </w:rPr>
              <w:t>Fishery</w:t>
            </w:r>
          </w:p>
          <w:p w14:paraId="2489AFE9" w14:textId="126B3A5E" w:rsidR="007E7151" w:rsidRPr="002949C0" w:rsidRDefault="007E7151" w:rsidP="00AE43A0">
            <w:pPr>
              <w:pStyle w:val="TableTextform"/>
              <w:rPr>
                <w:rFonts w:cs="Arial"/>
                <w:color w:val="auto"/>
                <w:sz w:val="18"/>
                <w:szCs w:val="18"/>
              </w:rPr>
            </w:pP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512E3D55" w14:textId="77777777" w:rsidR="00197931" w:rsidRPr="002949C0" w:rsidRDefault="00197931" w:rsidP="00197931">
            <w:pPr>
              <w:pStyle w:val="TableTextform"/>
              <w:rPr>
                <w:rFonts w:eastAsia="MS Mincho" w:cs="Arial"/>
                <w:color w:val="auto"/>
                <w:sz w:val="18"/>
                <w:szCs w:val="18"/>
              </w:rPr>
            </w:pPr>
            <w:r w:rsidRPr="002949C0">
              <w:rPr>
                <w:rFonts w:eastAsia="MS Mincho" w:cs="Arial"/>
                <w:color w:val="auto"/>
                <w:sz w:val="18"/>
                <w:szCs w:val="18"/>
              </w:rPr>
              <w:t>Skipjack tuna (</w:t>
            </w:r>
            <w:r w:rsidRPr="002949C0">
              <w:rPr>
                <w:rFonts w:eastAsia="MS Mincho" w:cs="Arial"/>
                <w:i/>
                <w:iCs/>
                <w:color w:val="auto"/>
                <w:sz w:val="18"/>
                <w:szCs w:val="18"/>
              </w:rPr>
              <w:t>Katsuwonus pelamis</w:t>
            </w:r>
            <w:r w:rsidRPr="002949C0">
              <w:rPr>
                <w:rFonts w:eastAsia="MS Mincho" w:cs="Arial"/>
                <w:color w:val="auto"/>
                <w:sz w:val="18"/>
                <w:szCs w:val="18"/>
              </w:rPr>
              <w:t>)</w:t>
            </w:r>
          </w:p>
        </w:tc>
        <w:tc>
          <w:tcPr>
            <w:tcW w:w="1984" w:type="dxa"/>
            <w:tcBorders>
              <w:top w:val="single" w:sz="5" w:space="0" w:color="000000"/>
              <w:left w:val="single" w:sz="5" w:space="0" w:color="000000"/>
              <w:bottom w:val="single" w:sz="5" w:space="0" w:color="000000"/>
              <w:right w:val="single" w:sz="5" w:space="0" w:color="000000"/>
            </w:tcBorders>
          </w:tcPr>
          <w:p w14:paraId="75F3CEDA" w14:textId="77777777" w:rsidR="00197931" w:rsidRPr="002949C0" w:rsidRDefault="00197931" w:rsidP="00197931">
            <w:pPr>
              <w:pStyle w:val="TableTextform"/>
              <w:rPr>
                <w:rFonts w:cs="Arial"/>
                <w:color w:val="auto"/>
                <w:sz w:val="18"/>
                <w:szCs w:val="18"/>
              </w:rPr>
            </w:pPr>
            <w:r w:rsidRPr="002949C0">
              <w:rPr>
                <w:rFonts w:cs="Arial"/>
                <w:color w:val="auto"/>
                <w:sz w:val="18"/>
                <w:szCs w:val="18"/>
              </w:rPr>
              <w:t>Extends from the border of Victoria and South Australia to Cape York, Queensland.</w:t>
            </w:r>
          </w:p>
          <w:p w14:paraId="25536D65" w14:textId="77777777" w:rsidR="00197931" w:rsidRPr="002949C0" w:rsidRDefault="00197931" w:rsidP="00197931">
            <w:pPr>
              <w:pStyle w:val="TableTextform"/>
              <w:rPr>
                <w:rFonts w:cs="Arial"/>
                <w:color w:val="auto"/>
                <w:sz w:val="18"/>
                <w:szCs w:val="18"/>
              </w:rPr>
            </w:pPr>
          </w:p>
        </w:tc>
        <w:tc>
          <w:tcPr>
            <w:tcW w:w="1985" w:type="dxa"/>
            <w:tcBorders>
              <w:top w:val="single" w:sz="5" w:space="0" w:color="000000"/>
              <w:left w:val="single" w:sz="5" w:space="0" w:color="000000"/>
              <w:bottom w:val="single" w:sz="5" w:space="0" w:color="000000"/>
              <w:right w:val="single" w:sz="5" w:space="0" w:color="000000"/>
            </w:tcBorders>
          </w:tcPr>
          <w:p w14:paraId="0C987A43" w14:textId="77777777" w:rsidR="00197931" w:rsidRPr="00CB3833" w:rsidRDefault="00197931" w:rsidP="00197931">
            <w:pPr>
              <w:pStyle w:val="TableTextform"/>
              <w:rPr>
                <w:rFonts w:eastAsia="MS Mincho" w:cs="Arial"/>
                <w:b/>
                <w:color w:val="auto"/>
                <w:sz w:val="18"/>
                <w:szCs w:val="18"/>
              </w:rPr>
            </w:pPr>
            <w:r w:rsidRPr="00CB3833">
              <w:rPr>
                <w:rFonts w:eastAsia="MS Mincho" w:cs="Arial"/>
                <w:b/>
                <w:color w:val="auto"/>
                <w:sz w:val="18"/>
                <w:szCs w:val="18"/>
              </w:rPr>
              <w:t>Acquisition area –</w:t>
            </w:r>
            <w:r w:rsidRPr="00CB3833">
              <w:rPr>
                <w:rFonts w:eastAsia="MS Mincho" w:cs="Arial"/>
                <w:color w:val="auto"/>
                <w:sz w:val="18"/>
                <w:szCs w:val="18"/>
              </w:rPr>
              <w:t xml:space="preserve"> </w:t>
            </w:r>
            <w:r w:rsidRPr="00CB3833">
              <w:rPr>
                <w:rFonts w:eastAsia="MS Mincho" w:cs="Arial"/>
                <w:b/>
                <w:color w:val="FF0000"/>
                <w:sz w:val="18"/>
                <w:szCs w:val="18"/>
              </w:rPr>
              <w:t>No</w:t>
            </w:r>
            <w:r w:rsidR="007714CB" w:rsidRPr="00CB3833">
              <w:rPr>
                <w:rFonts w:eastAsia="MS Mincho" w:cs="Arial"/>
                <w:color w:val="auto"/>
                <w:sz w:val="18"/>
                <w:szCs w:val="18"/>
              </w:rPr>
              <w:t>. Eastern seaboard not currently fished.</w:t>
            </w:r>
          </w:p>
          <w:p w14:paraId="50970327" w14:textId="77777777" w:rsidR="00197931" w:rsidRDefault="00182296" w:rsidP="00197931">
            <w:pPr>
              <w:pStyle w:val="TableTextform"/>
              <w:rPr>
                <w:rFonts w:eastAsia="MS Mincho" w:cs="Arial"/>
                <w:color w:val="auto"/>
                <w:sz w:val="18"/>
                <w:szCs w:val="18"/>
              </w:rPr>
            </w:pPr>
            <w:r w:rsidRPr="00CB3833">
              <w:rPr>
                <w:rFonts w:eastAsia="MS Mincho" w:cs="Arial"/>
                <w:b/>
                <w:color w:val="auto"/>
                <w:sz w:val="18"/>
                <w:szCs w:val="18"/>
              </w:rPr>
              <w:t xml:space="preserve">Diesel spill </w:t>
            </w:r>
            <w:r w:rsidR="00197931" w:rsidRPr="00CB3833">
              <w:rPr>
                <w:rFonts w:eastAsia="MS Mincho" w:cs="Arial"/>
                <w:b/>
                <w:color w:val="auto"/>
                <w:sz w:val="18"/>
                <w:szCs w:val="18"/>
              </w:rPr>
              <w:t xml:space="preserve">EMBA – </w:t>
            </w:r>
            <w:r w:rsidR="00197931" w:rsidRPr="00CB3833">
              <w:rPr>
                <w:rFonts w:eastAsia="MS Mincho" w:cs="Arial"/>
                <w:b/>
                <w:color w:val="FF0000"/>
                <w:sz w:val="18"/>
                <w:szCs w:val="18"/>
              </w:rPr>
              <w:t>No</w:t>
            </w:r>
            <w:r w:rsidR="007714CB" w:rsidRPr="00CB3833">
              <w:rPr>
                <w:rFonts w:eastAsia="MS Mincho" w:cs="Arial"/>
                <w:color w:val="auto"/>
                <w:sz w:val="18"/>
                <w:szCs w:val="18"/>
              </w:rPr>
              <w:t>. Eastern seaboard not currently fished.</w:t>
            </w:r>
          </w:p>
          <w:p w14:paraId="6CF2E03B" w14:textId="77777777" w:rsidR="00CE607A" w:rsidRDefault="00CE607A" w:rsidP="00197931">
            <w:pPr>
              <w:pStyle w:val="TableTextform"/>
              <w:rPr>
                <w:rFonts w:eastAsia="MS Mincho" w:cs="Arial"/>
                <w:color w:val="auto"/>
                <w:sz w:val="18"/>
                <w:szCs w:val="18"/>
              </w:rPr>
            </w:pPr>
          </w:p>
          <w:p w14:paraId="59BD0BB4" w14:textId="06299736" w:rsidR="00B278A7" w:rsidRDefault="00B278A7" w:rsidP="00B278A7">
            <w:pPr>
              <w:pStyle w:val="TableTextform"/>
              <w:rPr>
                <w:rFonts w:cs="Arial"/>
                <w:i/>
                <w:sz w:val="18"/>
                <w:szCs w:val="18"/>
              </w:rPr>
            </w:pPr>
            <w:r>
              <w:rPr>
                <w:rFonts w:cs="Arial"/>
                <w:i/>
                <w:sz w:val="18"/>
                <w:szCs w:val="18"/>
              </w:rPr>
              <w:t xml:space="preserve">Acquisition area intersects 0.004% of the fishery. </w:t>
            </w:r>
          </w:p>
          <w:p w14:paraId="4476E09E" w14:textId="049A95B0" w:rsidR="00B278A7" w:rsidRDefault="00B278A7" w:rsidP="00B278A7">
            <w:pPr>
              <w:pStyle w:val="TableTextform"/>
              <w:rPr>
                <w:rFonts w:cs="Arial"/>
                <w:i/>
                <w:sz w:val="18"/>
                <w:szCs w:val="18"/>
              </w:rPr>
            </w:pPr>
            <w:r>
              <w:rPr>
                <w:rFonts w:cs="Arial"/>
                <w:i/>
                <w:sz w:val="18"/>
                <w:szCs w:val="18"/>
              </w:rPr>
              <w:t>Operational</w:t>
            </w:r>
            <w:r w:rsidRPr="00D018C0">
              <w:rPr>
                <w:rFonts w:cs="Arial"/>
                <w:i/>
                <w:sz w:val="18"/>
                <w:szCs w:val="18"/>
              </w:rPr>
              <w:t xml:space="preserve"> area intersects 0</w:t>
            </w:r>
            <w:r>
              <w:rPr>
                <w:rFonts w:cs="Arial"/>
                <w:i/>
                <w:sz w:val="18"/>
                <w:szCs w:val="18"/>
              </w:rPr>
              <w:t>.009</w:t>
            </w:r>
            <w:r w:rsidRPr="00D018C0">
              <w:rPr>
                <w:rFonts w:cs="Arial"/>
                <w:i/>
                <w:sz w:val="18"/>
                <w:szCs w:val="18"/>
              </w:rPr>
              <w:t>% of the fishery</w:t>
            </w:r>
            <w:r>
              <w:rPr>
                <w:rFonts w:cs="Arial"/>
                <w:i/>
                <w:sz w:val="18"/>
                <w:szCs w:val="18"/>
              </w:rPr>
              <w:t>.</w:t>
            </w:r>
          </w:p>
          <w:p w14:paraId="4C60CC74" w14:textId="2D8C17AA" w:rsidR="00197931" w:rsidRPr="00CB3833" w:rsidRDefault="00B278A7" w:rsidP="00B278A7">
            <w:pPr>
              <w:pStyle w:val="TableTextform"/>
              <w:rPr>
                <w:rFonts w:eastAsia="MS Mincho" w:cs="Arial"/>
                <w:b/>
                <w:color w:val="auto"/>
                <w:sz w:val="18"/>
                <w:szCs w:val="18"/>
              </w:rPr>
            </w:pPr>
            <w:r w:rsidRPr="00D018C0">
              <w:rPr>
                <w:rFonts w:cs="Arial"/>
                <w:i/>
                <w:sz w:val="18"/>
                <w:szCs w:val="18"/>
              </w:rPr>
              <w:t>EMBA intersects 0.</w:t>
            </w:r>
            <w:r>
              <w:rPr>
                <w:rFonts w:cs="Arial"/>
                <w:i/>
                <w:sz w:val="18"/>
                <w:szCs w:val="18"/>
              </w:rPr>
              <w:t>28</w:t>
            </w:r>
            <w:r w:rsidRPr="00D018C0">
              <w:rPr>
                <w:rFonts w:cs="Arial"/>
                <w:i/>
                <w:sz w:val="18"/>
                <w:szCs w:val="18"/>
              </w:rPr>
              <w:t>% of the fishery.</w:t>
            </w:r>
            <w:r w:rsidRPr="00CE607A">
              <w:rPr>
                <w:rFonts w:cs="Arial"/>
                <w:i/>
                <w:sz w:val="18"/>
                <w:szCs w:val="18"/>
              </w:rPr>
              <w:t xml:space="preserve">  </w:t>
            </w:r>
          </w:p>
        </w:tc>
        <w:tc>
          <w:tcPr>
            <w:tcW w:w="1417" w:type="dxa"/>
            <w:tcBorders>
              <w:top w:val="single" w:sz="5" w:space="0" w:color="000000"/>
              <w:left w:val="single" w:sz="5" w:space="0" w:color="000000"/>
              <w:bottom w:val="single" w:sz="5" w:space="0" w:color="000000"/>
              <w:right w:val="single" w:sz="5" w:space="0" w:color="000000"/>
            </w:tcBorders>
          </w:tcPr>
          <w:p w14:paraId="38905D73" w14:textId="77777777" w:rsidR="00197931" w:rsidRPr="00CB3833" w:rsidRDefault="0021251C" w:rsidP="002E2FAC">
            <w:pPr>
              <w:pStyle w:val="TableTextform"/>
              <w:rPr>
                <w:rFonts w:eastAsia="MS Mincho" w:cs="Arial"/>
                <w:color w:val="auto"/>
                <w:sz w:val="18"/>
                <w:szCs w:val="18"/>
              </w:rPr>
            </w:pPr>
            <w:r w:rsidRPr="00CB3833">
              <w:rPr>
                <w:rFonts w:eastAsia="MS Mincho" w:cs="Arial"/>
                <w:color w:val="auto"/>
                <w:sz w:val="18"/>
                <w:szCs w:val="18"/>
              </w:rPr>
              <w:t xml:space="preserve">Not currently active. </w:t>
            </w:r>
          </w:p>
        </w:tc>
        <w:tc>
          <w:tcPr>
            <w:tcW w:w="2694" w:type="dxa"/>
            <w:tcBorders>
              <w:top w:val="single" w:sz="5" w:space="0" w:color="000000"/>
              <w:left w:val="single" w:sz="5" w:space="0" w:color="000000"/>
              <w:bottom w:val="single" w:sz="5" w:space="0" w:color="000000"/>
              <w:right w:val="single" w:sz="5" w:space="0" w:color="000000"/>
            </w:tcBorders>
          </w:tcPr>
          <w:p w14:paraId="155DE06B" w14:textId="77777777" w:rsidR="007714CB" w:rsidRPr="00CB3833" w:rsidRDefault="007714CB" w:rsidP="002E2FAC">
            <w:pPr>
              <w:pStyle w:val="TableTextform"/>
              <w:rPr>
                <w:rFonts w:eastAsia="MS Mincho" w:cs="Arial"/>
                <w:color w:val="auto"/>
                <w:sz w:val="18"/>
                <w:szCs w:val="18"/>
              </w:rPr>
            </w:pPr>
            <w:r w:rsidRPr="00CB3833">
              <w:rPr>
                <w:rFonts w:eastAsia="MS Mincho" w:cs="Arial"/>
                <w:color w:val="auto"/>
                <w:sz w:val="18"/>
                <w:szCs w:val="18"/>
              </w:rPr>
              <w:t>There are 19 permits in the eastern zone</w:t>
            </w:r>
            <w:r w:rsidR="009170DD" w:rsidRPr="00CB3833">
              <w:rPr>
                <w:rFonts w:eastAsia="MS Mincho" w:cs="Arial"/>
                <w:color w:val="auto"/>
                <w:sz w:val="18"/>
                <w:szCs w:val="18"/>
              </w:rPr>
              <w:t>, though no vessels currently work the fishery</w:t>
            </w:r>
            <w:r w:rsidRPr="00CB3833">
              <w:rPr>
                <w:rFonts w:eastAsia="MS Mincho" w:cs="Arial"/>
                <w:color w:val="auto"/>
                <w:sz w:val="18"/>
                <w:szCs w:val="18"/>
              </w:rPr>
              <w:t xml:space="preserve">. </w:t>
            </w:r>
          </w:p>
          <w:p w14:paraId="4D7721F7" w14:textId="77777777" w:rsidR="00197931" w:rsidRPr="00CB3833" w:rsidRDefault="007714CB" w:rsidP="002E2FAC">
            <w:pPr>
              <w:pStyle w:val="TableTextform"/>
              <w:rPr>
                <w:rFonts w:eastAsia="MS Mincho" w:cs="Arial"/>
                <w:color w:val="auto"/>
                <w:sz w:val="18"/>
                <w:szCs w:val="18"/>
              </w:rPr>
            </w:pPr>
            <w:r w:rsidRPr="00CB3833">
              <w:rPr>
                <w:rFonts w:eastAsia="MS Mincho" w:cs="Arial"/>
                <w:color w:val="auto"/>
                <w:sz w:val="18"/>
                <w:szCs w:val="18"/>
              </w:rPr>
              <w:t xml:space="preserve">Port Lincoln was the main landing port until the tuna cannery </w:t>
            </w:r>
            <w:r w:rsidR="009170DD" w:rsidRPr="00CB3833">
              <w:rPr>
                <w:rFonts w:eastAsia="MS Mincho" w:cs="Arial"/>
                <w:color w:val="auto"/>
                <w:sz w:val="18"/>
                <w:szCs w:val="18"/>
              </w:rPr>
              <w:t xml:space="preserve">in the town </w:t>
            </w:r>
            <w:r w:rsidRPr="00CB3833">
              <w:rPr>
                <w:rFonts w:eastAsia="MS Mincho" w:cs="Arial"/>
                <w:color w:val="auto"/>
                <w:sz w:val="18"/>
                <w:szCs w:val="18"/>
              </w:rPr>
              <w:t xml:space="preserve">closed down. </w:t>
            </w:r>
          </w:p>
        </w:tc>
        <w:tc>
          <w:tcPr>
            <w:tcW w:w="2693" w:type="dxa"/>
            <w:tcBorders>
              <w:top w:val="single" w:sz="5" w:space="0" w:color="000000"/>
              <w:left w:val="single" w:sz="5" w:space="0" w:color="000000"/>
              <w:bottom w:val="single" w:sz="5" w:space="0" w:color="000000"/>
              <w:right w:val="single" w:sz="5" w:space="0" w:color="000000"/>
            </w:tcBorders>
          </w:tcPr>
          <w:p w14:paraId="4A4F898D" w14:textId="159F248A" w:rsidR="00197931" w:rsidRPr="00CB3833" w:rsidRDefault="00D07D3C" w:rsidP="0021251C">
            <w:pPr>
              <w:pStyle w:val="TableTextform"/>
              <w:rPr>
                <w:rFonts w:eastAsia="MS Mincho" w:cs="Arial"/>
                <w:color w:val="auto"/>
                <w:sz w:val="18"/>
                <w:szCs w:val="18"/>
              </w:rPr>
            </w:pPr>
            <w:r>
              <w:rPr>
                <w:rFonts w:eastAsia="MS Mincho" w:cs="Arial"/>
                <w:color w:val="auto"/>
                <w:sz w:val="18"/>
                <w:szCs w:val="18"/>
              </w:rPr>
              <w:t xml:space="preserve">No recent fishing effort in the proposed acquisition area. </w:t>
            </w:r>
          </w:p>
        </w:tc>
      </w:tr>
      <w:tr w:rsidR="00197931" w:rsidRPr="00CB3833" w14:paraId="7B34DACB" w14:textId="77777777" w:rsidTr="007E7151">
        <w:trPr>
          <w:cantSplit/>
          <w:trHeight w:val="414"/>
        </w:trPr>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4BB95B08" w14:textId="77777777" w:rsidR="00197931" w:rsidRPr="002949C0" w:rsidRDefault="00197931" w:rsidP="002E2FAC">
            <w:pPr>
              <w:pStyle w:val="TableTextform"/>
              <w:rPr>
                <w:rFonts w:cs="Arial"/>
                <w:color w:val="auto"/>
                <w:sz w:val="18"/>
                <w:szCs w:val="18"/>
              </w:rPr>
            </w:pPr>
            <w:r w:rsidRPr="002949C0">
              <w:rPr>
                <w:rFonts w:cs="Arial"/>
                <w:color w:val="auto"/>
                <w:sz w:val="18"/>
                <w:szCs w:val="18"/>
              </w:rPr>
              <w:t>Southern Bluefin Tuna</w:t>
            </w:r>
          </w:p>
          <w:p w14:paraId="20E62962" w14:textId="56A3B92C" w:rsidR="007E7151" w:rsidRPr="002949C0" w:rsidRDefault="007E7151" w:rsidP="00AE43A0">
            <w:pPr>
              <w:pStyle w:val="TableTextform"/>
              <w:rPr>
                <w:rFonts w:cs="Arial"/>
                <w:color w:val="auto"/>
                <w:sz w:val="18"/>
                <w:szCs w:val="18"/>
              </w:rPr>
            </w:pPr>
          </w:p>
        </w:tc>
        <w:tc>
          <w:tcPr>
            <w:tcW w:w="1843" w:type="dxa"/>
            <w:tcBorders>
              <w:top w:val="single" w:sz="5" w:space="0" w:color="000000"/>
              <w:left w:val="single" w:sz="5" w:space="0" w:color="000000"/>
              <w:bottom w:val="single" w:sz="5" w:space="0" w:color="000000"/>
              <w:right w:val="single" w:sz="5" w:space="0" w:color="000000"/>
            </w:tcBorders>
            <w:shd w:val="clear" w:color="auto" w:fill="auto"/>
          </w:tcPr>
          <w:p w14:paraId="38CE6886" w14:textId="77777777" w:rsidR="00197931" w:rsidRPr="002949C0" w:rsidRDefault="00197931" w:rsidP="002E2FAC">
            <w:pPr>
              <w:pStyle w:val="TableTextform"/>
              <w:rPr>
                <w:rFonts w:eastAsia="MS Mincho" w:cs="Arial"/>
                <w:color w:val="auto"/>
                <w:sz w:val="18"/>
                <w:szCs w:val="18"/>
              </w:rPr>
            </w:pPr>
            <w:r w:rsidRPr="002949C0">
              <w:rPr>
                <w:rFonts w:eastAsia="MS Mincho" w:cs="Arial"/>
                <w:color w:val="auto"/>
                <w:sz w:val="18"/>
                <w:szCs w:val="18"/>
              </w:rPr>
              <w:t xml:space="preserve">Southern bluefin tuna </w:t>
            </w:r>
            <w:r w:rsidRPr="002949C0">
              <w:rPr>
                <w:rFonts w:eastAsia="MS Mincho" w:cs="Arial"/>
                <w:i/>
                <w:color w:val="auto"/>
                <w:sz w:val="18"/>
                <w:szCs w:val="18"/>
              </w:rPr>
              <w:t>(Thunnus maccoyii</w:t>
            </w:r>
            <w:r w:rsidRPr="002949C0">
              <w:rPr>
                <w:rFonts w:eastAsia="MS Mincho" w:cs="Arial"/>
                <w:color w:val="auto"/>
                <w:sz w:val="18"/>
                <w:szCs w:val="18"/>
              </w:rPr>
              <w:t>)</w:t>
            </w:r>
          </w:p>
        </w:tc>
        <w:tc>
          <w:tcPr>
            <w:tcW w:w="1984" w:type="dxa"/>
            <w:tcBorders>
              <w:top w:val="single" w:sz="5" w:space="0" w:color="000000"/>
              <w:left w:val="single" w:sz="5" w:space="0" w:color="000000"/>
              <w:bottom w:val="single" w:sz="5" w:space="0" w:color="000000"/>
              <w:right w:val="single" w:sz="5" w:space="0" w:color="000000"/>
            </w:tcBorders>
          </w:tcPr>
          <w:p w14:paraId="618CA0F0" w14:textId="77777777" w:rsidR="00197931" w:rsidRPr="002949C0" w:rsidRDefault="00197931" w:rsidP="00197931">
            <w:pPr>
              <w:pStyle w:val="TableTextform"/>
              <w:rPr>
                <w:rFonts w:cs="Arial"/>
                <w:color w:val="auto"/>
                <w:sz w:val="18"/>
                <w:szCs w:val="18"/>
              </w:rPr>
            </w:pPr>
            <w:r w:rsidRPr="002949C0">
              <w:rPr>
                <w:rFonts w:cs="Arial"/>
                <w:color w:val="auto"/>
                <w:sz w:val="18"/>
                <w:szCs w:val="18"/>
              </w:rPr>
              <w:t>The fishery extends throughout all waters in the AFZ.</w:t>
            </w:r>
          </w:p>
          <w:p w14:paraId="2BEA74DE" w14:textId="77777777" w:rsidR="00197931" w:rsidRPr="002949C0" w:rsidRDefault="00197931" w:rsidP="00197931">
            <w:pPr>
              <w:pStyle w:val="TableTextform"/>
              <w:rPr>
                <w:rFonts w:cs="Arial"/>
                <w:color w:val="auto"/>
                <w:sz w:val="18"/>
                <w:szCs w:val="18"/>
              </w:rPr>
            </w:pPr>
            <w:r w:rsidRPr="002949C0">
              <w:rPr>
                <w:rFonts w:cs="Arial"/>
                <w:color w:val="auto"/>
                <w:sz w:val="18"/>
                <w:szCs w:val="18"/>
              </w:rPr>
              <w:t>AFMA manages Southern Bluefin Tuna stocks in Victorian State waters under agreements set up within the OCS (DEH, 2004).</w:t>
            </w:r>
          </w:p>
          <w:p w14:paraId="6B07033B" w14:textId="61EA4BD6" w:rsidR="00D13F2F" w:rsidRPr="002949C0" w:rsidRDefault="00D13F2F" w:rsidP="00AE43A0">
            <w:pPr>
              <w:pStyle w:val="TableTextform"/>
              <w:rPr>
                <w:rFonts w:cs="Arial"/>
                <w:color w:val="auto"/>
                <w:sz w:val="18"/>
                <w:szCs w:val="18"/>
              </w:rPr>
            </w:pPr>
            <w:r w:rsidRPr="002949C0">
              <w:rPr>
                <w:rFonts w:cs="Arial"/>
                <w:color w:val="auto"/>
                <w:sz w:val="18"/>
                <w:szCs w:val="18"/>
              </w:rPr>
              <w:t xml:space="preserve">The nearest fishing effort to the proposed acquisition area is concentrated along the NSW south coast around the 200 m depth contour </w:t>
            </w:r>
            <w:r w:rsidR="004E5E14" w:rsidRPr="002949C0">
              <w:rPr>
                <w:rFonts w:cs="Arial"/>
                <w:color w:val="auto"/>
                <w:sz w:val="18"/>
                <w:szCs w:val="18"/>
              </w:rPr>
              <w:t>(</w:t>
            </w:r>
            <w:r w:rsidRPr="002949C0">
              <w:rPr>
                <w:rFonts w:cs="Arial"/>
                <w:color w:val="auto"/>
                <w:sz w:val="18"/>
                <w:szCs w:val="18"/>
              </w:rPr>
              <w:t>.</w:t>
            </w:r>
          </w:p>
        </w:tc>
        <w:tc>
          <w:tcPr>
            <w:tcW w:w="1985" w:type="dxa"/>
            <w:tcBorders>
              <w:top w:val="single" w:sz="5" w:space="0" w:color="000000"/>
              <w:left w:val="single" w:sz="5" w:space="0" w:color="000000"/>
              <w:bottom w:val="single" w:sz="5" w:space="0" w:color="000000"/>
              <w:right w:val="single" w:sz="5" w:space="0" w:color="000000"/>
            </w:tcBorders>
          </w:tcPr>
          <w:p w14:paraId="0713EBCB" w14:textId="77777777" w:rsidR="00197931" w:rsidRPr="00CB3833" w:rsidRDefault="00197931" w:rsidP="00197931">
            <w:pPr>
              <w:pStyle w:val="TableTextform"/>
              <w:rPr>
                <w:rFonts w:eastAsia="MS Mincho" w:cs="Arial"/>
                <w:b/>
                <w:color w:val="auto"/>
                <w:sz w:val="18"/>
                <w:szCs w:val="18"/>
              </w:rPr>
            </w:pPr>
            <w:r w:rsidRPr="00CB3833">
              <w:rPr>
                <w:rFonts w:eastAsia="MS Mincho" w:cs="Arial"/>
                <w:b/>
                <w:color w:val="auto"/>
                <w:sz w:val="18"/>
                <w:szCs w:val="18"/>
              </w:rPr>
              <w:t xml:space="preserve">Acquisition area – </w:t>
            </w:r>
            <w:r w:rsidRPr="00CB3833">
              <w:rPr>
                <w:rFonts w:eastAsia="MS Mincho" w:cs="Arial"/>
                <w:b/>
                <w:color w:val="FF0000"/>
                <w:sz w:val="18"/>
                <w:szCs w:val="18"/>
              </w:rPr>
              <w:t>No</w:t>
            </w:r>
            <w:r w:rsidR="00AC1EE3" w:rsidRPr="00CB3833">
              <w:rPr>
                <w:rFonts w:eastAsia="MS Mincho" w:cs="Arial"/>
                <w:color w:val="auto"/>
                <w:sz w:val="18"/>
                <w:szCs w:val="18"/>
              </w:rPr>
              <w:t xml:space="preserve"> based on longline catch in 2015.</w:t>
            </w:r>
          </w:p>
          <w:p w14:paraId="224979E1" w14:textId="77777777" w:rsidR="00197931" w:rsidRPr="00CB3833" w:rsidRDefault="00182296" w:rsidP="00197931">
            <w:pPr>
              <w:pStyle w:val="TableTextform"/>
              <w:rPr>
                <w:rFonts w:eastAsia="MS Mincho" w:cs="Arial"/>
                <w:color w:val="auto"/>
                <w:sz w:val="18"/>
                <w:szCs w:val="18"/>
              </w:rPr>
            </w:pPr>
            <w:r w:rsidRPr="00CB3833">
              <w:rPr>
                <w:rFonts w:eastAsia="MS Mincho" w:cs="Arial"/>
                <w:b/>
                <w:color w:val="auto"/>
                <w:sz w:val="18"/>
                <w:szCs w:val="18"/>
              </w:rPr>
              <w:t xml:space="preserve">Diesel spill </w:t>
            </w:r>
            <w:r w:rsidR="00197931" w:rsidRPr="00CB3833">
              <w:rPr>
                <w:rFonts w:eastAsia="MS Mincho" w:cs="Arial"/>
                <w:b/>
                <w:color w:val="auto"/>
                <w:sz w:val="18"/>
                <w:szCs w:val="18"/>
              </w:rPr>
              <w:t xml:space="preserve">EMBA – </w:t>
            </w:r>
            <w:r w:rsidR="00197931" w:rsidRPr="00CB3833">
              <w:rPr>
                <w:rFonts w:eastAsia="MS Mincho" w:cs="Arial"/>
                <w:b/>
                <w:color w:val="FF0000"/>
                <w:sz w:val="18"/>
                <w:szCs w:val="18"/>
              </w:rPr>
              <w:t>No</w:t>
            </w:r>
            <w:r w:rsidR="00280C64" w:rsidRPr="00CB3833">
              <w:rPr>
                <w:rFonts w:eastAsia="MS Mincho" w:cs="Arial"/>
                <w:b/>
                <w:color w:val="auto"/>
                <w:sz w:val="18"/>
                <w:szCs w:val="18"/>
              </w:rPr>
              <w:t xml:space="preserve"> </w:t>
            </w:r>
            <w:r w:rsidR="00280C64" w:rsidRPr="00CB3833">
              <w:rPr>
                <w:rFonts w:eastAsia="MS Mincho" w:cs="Arial"/>
                <w:color w:val="auto"/>
                <w:sz w:val="18"/>
                <w:szCs w:val="18"/>
              </w:rPr>
              <w:t>based on longline catch in 2015.</w:t>
            </w:r>
          </w:p>
          <w:p w14:paraId="19C9DFC5" w14:textId="77777777" w:rsidR="00197931" w:rsidRDefault="00197931" w:rsidP="002E2FAC">
            <w:pPr>
              <w:pStyle w:val="TableTextform"/>
              <w:rPr>
                <w:rFonts w:eastAsia="MS Mincho" w:cs="Arial"/>
                <w:b/>
                <w:color w:val="auto"/>
                <w:sz w:val="18"/>
                <w:szCs w:val="18"/>
              </w:rPr>
            </w:pPr>
          </w:p>
          <w:p w14:paraId="7ED1527A" w14:textId="217B2716" w:rsidR="00B278A7" w:rsidRDefault="00B278A7" w:rsidP="00B278A7">
            <w:pPr>
              <w:pStyle w:val="TableTextform"/>
              <w:rPr>
                <w:rFonts w:cs="Arial"/>
                <w:i/>
                <w:sz w:val="18"/>
                <w:szCs w:val="18"/>
              </w:rPr>
            </w:pPr>
            <w:r>
              <w:rPr>
                <w:rFonts w:cs="Arial"/>
                <w:i/>
                <w:sz w:val="18"/>
                <w:szCs w:val="18"/>
              </w:rPr>
              <w:t xml:space="preserve">Acquisition area intersects 0.02% of the fishery. </w:t>
            </w:r>
          </w:p>
          <w:p w14:paraId="3F561CB7" w14:textId="0C974DB0" w:rsidR="00B278A7" w:rsidRDefault="00B278A7" w:rsidP="00B278A7">
            <w:pPr>
              <w:pStyle w:val="TableTextform"/>
              <w:rPr>
                <w:rFonts w:cs="Arial"/>
                <w:i/>
                <w:sz w:val="18"/>
                <w:szCs w:val="18"/>
              </w:rPr>
            </w:pPr>
            <w:r>
              <w:rPr>
                <w:rFonts w:cs="Arial"/>
                <w:i/>
                <w:sz w:val="18"/>
                <w:szCs w:val="18"/>
              </w:rPr>
              <w:t>Operational</w:t>
            </w:r>
            <w:r w:rsidRPr="00D018C0">
              <w:rPr>
                <w:rFonts w:cs="Arial"/>
                <w:i/>
                <w:sz w:val="18"/>
                <w:szCs w:val="18"/>
              </w:rPr>
              <w:t xml:space="preserve"> area intersects 0</w:t>
            </w:r>
            <w:r>
              <w:rPr>
                <w:rFonts w:cs="Arial"/>
                <w:i/>
                <w:sz w:val="18"/>
                <w:szCs w:val="18"/>
              </w:rPr>
              <w:t>.004</w:t>
            </w:r>
            <w:r w:rsidRPr="00D018C0">
              <w:rPr>
                <w:rFonts w:cs="Arial"/>
                <w:i/>
                <w:sz w:val="18"/>
                <w:szCs w:val="18"/>
              </w:rPr>
              <w:t>% of the fishery</w:t>
            </w:r>
            <w:r>
              <w:rPr>
                <w:rFonts w:cs="Arial"/>
                <w:i/>
                <w:sz w:val="18"/>
                <w:szCs w:val="18"/>
              </w:rPr>
              <w:t>.</w:t>
            </w:r>
          </w:p>
          <w:p w14:paraId="77D569E0" w14:textId="4FADE5B4" w:rsidR="00CE607A" w:rsidRPr="00CB3833" w:rsidRDefault="00B278A7" w:rsidP="00B278A7">
            <w:pPr>
              <w:pStyle w:val="TableTextform"/>
              <w:rPr>
                <w:rFonts w:eastAsia="MS Mincho" w:cs="Arial"/>
                <w:b/>
                <w:color w:val="auto"/>
                <w:sz w:val="18"/>
                <w:szCs w:val="18"/>
              </w:rPr>
            </w:pPr>
            <w:r w:rsidRPr="00D018C0">
              <w:rPr>
                <w:rFonts w:cs="Arial"/>
                <w:i/>
                <w:sz w:val="18"/>
                <w:szCs w:val="18"/>
              </w:rPr>
              <w:t>EMBA intersects 0.</w:t>
            </w:r>
            <w:r>
              <w:rPr>
                <w:rFonts w:cs="Arial"/>
                <w:i/>
                <w:sz w:val="18"/>
                <w:szCs w:val="18"/>
              </w:rPr>
              <w:t>11</w:t>
            </w:r>
            <w:r w:rsidRPr="00D018C0">
              <w:rPr>
                <w:rFonts w:cs="Arial"/>
                <w:i/>
                <w:sz w:val="18"/>
                <w:szCs w:val="18"/>
              </w:rPr>
              <w:t>% of the fishery.</w:t>
            </w:r>
            <w:r w:rsidRPr="00CE607A">
              <w:rPr>
                <w:rFonts w:cs="Arial"/>
                <w:i/>
                <w:sz w:val="18"/>
                <w:szCs w:val="18"/>
              </w:rPr>
              <w:t xml:space="preserve">  </w:t>
            </w:r>
          </w:p>
        </w:tc>
        <w:tc>
          <w:tcPr>
            <w:tcW w:w="1417" w:type="dxa"/>
            <w:tcBorders>
              <w:top w:val="single" w:sz="5" w:space="0" w:color="000000"/>
              <w:left w:val="single" w:sz="5" w:space="0" w:color="000000"/>
              <w:bottom w:val="single" w:sz="5" w:space="0" w:color="000000"/>
              <w:right w:val="single" w:sz="5" w:space="0" w:color="000000"/>
            </w:tcBorders>
          </w:tcPr>
          <w:p w14:paraId="514BBEF8" w14:textId="750487EE" w:rsidR="00197931" w:rsidRPr="00CB3833" w:rsidRDefault="00774512" w:rsidP="00B132FB">
            <w:pPr>
              <w:pStyle w:val="TableTextform"/>
              <w:rPr>
                <w:rFonts w:eastAsia="MS Mincho" w:cs="Arial"/>
                <w:color w:val="auto"/>
                <w:sz w:val="18"/>
                <w:szCs w:val="18"/>
              </w:rPr>
            </w:pPr>
            <w:r>
              <w:rPr>
                <w:rFonts w:eastAsia="MS Mincho" w:cs="Arial"/>
                <w:color w:val="auto"/>
                <w:sz w:val="18"/>
                <w:szCs w:val="18"/>
              </w:rPr>
              <w:t>12-</w:t>
            </w:r>
            <w:r w:rsidR="00B132FB" w:rsidRPr="00CB3833">
              <w:rPr>
                <w:rFonts w:eastAsia="MS Mincho" w:cs="Arial"/>
                <w:color w:val="auto"/>
                <w:sz w:val="18"/>
                <w:szCs w:val="18"/>
              </w:rPr>
              <w:t>month season, beginning 1</w:t>
            </w:r>
            <w:r w:rsidR="00B132FB" w:rsidRPr="00CB3833">
              <w:rPr>
                <w:rFonts w:eastAsia="MS Mincho" w:cs="Arial"/>
                <w:color w:val="auto"/>
                <w:sz w:val="18"/>
                <w:szCs w:val="18"/>
                <w:vertAlign w:val="superscript"/>
              </w:rPr>
              <w:t xml:space="preserve">st </w:t>
            </w:r>
            <w:r w:rsidR="00B132FB" w:rsidRPr="00CB3833">
              <w:rPr>
                <w:rFonts w:eastAsia="MS Mincho" w:cs="Arial"/>
                <w:color w:val="auto"/>
                <w:sz w:val="18"/>
                <w:szCs w:val="18"/>
              </w:rPr>
              <w:t>of December.</w:t>
            </w:r>
          </w:p>
        </w:tc>
        <w:tc>
          <w:tcPr>
            <w:tcW w:w="2694" w:type="dxa"/>
            <w:tcBorders>
              <w:top w:val="single" w:sz="5" w:space="0" w:color="000000"/>
              <w:left w:val="single" w:sz="5" w:space="0" w:color="000000"/>
              <w:bottom w:val="single" w:sz="5" w:space="0" w:color="000000"/>
              <w:right w:val="single" w:sz="5" w:space="0" w:color="000000"/>
            </w:tcBorders>
          </w:tcPr>
          <w:p w14:paraId="61EA0F07" w14:textId="77777777" w:rsidR="00197931" w:rsidRPr="00CB3833" w:rsidRDefault="00280C64" w:rsidP="00280C64">
            <w:pPr>
              <w:pStyle w:val="TableTextform"/>
              <w:rPr>
                <w:rFonts w:eastAsia="MS Mincho" w:cs="Arial"/>
                <w:color w:val="auto"/>
                <w:sz w:val="18"/>
                <w:szCs w:val="18"/>
              </w:rPr>
            </w:pPr>
            <w:r w:rsidRPr="00CB3833">
              <w:rPr>
                <w:rFonts w:eastAsia="MS Mincho" w:cs="Arial"/>
                <w:color w:val="auto"/>
                <w:sz w:val="18"/>
                <w:szCs w:val="18"/>
              </w:rPr>
              <w:t>Purse sein catch in the Great Australian Bight for transfer to aquaculture farms off Port Lincoln in South Australia</w:t>
            </w:r>
            <w:r w:rsidR="00B132FB" w:rsidRPr="00CB3833">
              <w:rPr>
                <w:rFonts w:eastAsia="MS Mincho" w:cs="Arial"/>
                <w:color w:val="auto"/>
                <w:sz w:val="18"/>
                <w:szCs w:val="18"/>
              </w:rPr>
              <w:t xml:space="preserve"> (five to eight vessels consistently fish this area)</w:t>
            </w:r>
            <w:r w:rsidRPr="00CB3833">
              <w:rPr>
                <w:rFonts w:eastAsia="MS Mincho" w:cs="Arial"/>
                <w:color w:val="auto"/>
                <w:sz w:val="18"/>
                <w:szCs w:val="18"/>
              </w:rPr>
              <w:t>.</w:t>
            </w:r>
          </w:p>
          <w:p w14:paraId="6B4F5EB3" w14:textId="77777777" w:rsidR="00280C64" w:rsidRPr="00CB3833" w:rsidRDefault="00280C64" w:rsidP="00B132FB">
            <w:pPr>
              <w:pStyle w:val="TableTextform"/>
              <w:rPr>
                <w:rFonts w:eastAsia="MS Mincho" w:cs="Arial"/>
                <w:color w:val="auto"/>
                <w:sz w:val="18"/>
                <w:szCs w:val="18"/>
              </w:rPr>
            </w:pPr>
            <w:r w:rsidRPr="00CB3833">
              <w:rPr>
                <w:rFonts w:eastAsia="MS Mincho" w:cs="Arial"/>
                <w:color w:val="auto"/>
                <w:sz w:val="18"/>
                <w:szCs w:val="18"/>
              </w:rPr>
              <w:t>On the east coast, pelagic longline fishing is the key fishing method</w:t>
            </w:r>
            <w:r w:rsidR="00B132FB" w:rsidRPr="00CB3833">
              <w:rPr>
                <w:rFonts w:eastAsia="MS Mincho" w:cs="Arial"/>
                <w:color w:val="auto"/>
                <w:sz w:val="18"/>
                <w:szCs w:val="18"/>
              </w:rPr>
              <w:t>, with 18 vessels working the fishery in 2014-15 (15 vessels in 2013-14)</w:t>
            </w:r>
            <w:r w:rsidRPr="00CB3833">
              <w:rPr>
                <w:rFonts w:eastAsia="MS Mincho" w:cs="Arial"/>
                <w:color w:val="auto"/>
                <w:sz w:val="18"/>
                <w:szCs w:val="18"/>
              </w:rPr>
              <w:t xml:space="preserve">. </w:t>
            </w:r>
          </w:p>
          <w:p w14:paraId="5EF0ED17" w14:textId="77777777" w:rsidR="00B132FB" w:rsidRPr="00CB3833" w:rsidRDefault="00B132FB" w:rsidP="00B132FB">
            <w:pPr>
              <w:pStyle w:val="TableTextform"/>
              <w:rPr>
                <w:rFonts w:eastAsia="MS Mincho" w:cs="Arial"/>
                <w:color w:val="auto"/>
                <w:sz w:val="18"/>
                <w:szCs w:val="18"/>
              </w:rPr>
            </w:pPr>
            <w:r w:rsidRPr="00CB3833">
              <w:rPr>
                <w:rFonts w:eastAsia="MS Mincho" w:cs="Arial"/>
                <w:color w:val="auto"/>
                <w:sz w:val="18"/>
                <w:szCs w:val="18"/>
              </w:rPr>
              <w:t>Port Lincoln is the primary landing port.</w:t>
            </w:r>
          </w:p>
        </w:tc>
        <w:tc>
          <w:tcPr>
            <w:tcW w:w="2693" w:type="dxa"/>
            <w:tcBorders>
              <w:top w:val="single" w:sz="5" w:space="0" w:color="000000"/>
              <w:left w:val="single" w:sz="5" w:space="0" w:color="000000"/>
              <w:bottom w:val="single" w:sz="5" w:space="0" w:color="000000"/>
              <w:right w:val="single" w:sz="5" w:space="0" w:color="000000"/>
            </w:tcBorders>
          </w:tcPr>
          <w:p w14:paraId="5BC47321" w14:textId="046FCD8C" w:rsidR="00197931" w:rsidRPr="00CB3833" w:rsidRDefault="00B132FB" w:rsidP="002E2FAC">
            <w:pPr>
              <w:pStyle w:val="TableTextform"/>
              <w:rPr>
                <w:rFonts w:eastAsia="MS Mincho" w:cs="Arial"/>
                <w:color w:val="auto"/>
                <w:sz w:val="18"/>
                <w:szCs w:val="18"/>
              </w:rPr>
            </w:pPr>
            <w:r w:rsidRPr="00CB3833">
              <w:rPr>
                <w:rFonts w:eastAsia="MS Mincho" w:cs="Arial"/>
                <w:color w:val="auto"/>
                <w:sz w:val="18"/>
                <w:szCs w:val="18"/>
              </w:rPr>
              <w:t xml:space="preserve">572 tonnes worth $36.8 </w:t>
            </w:r>
            <w:r w:rsidR="00D2419C">
              <w:rPr>
                <w:rFonts w:eastAsia="MS Mincho" w:cs="Arial"/>
                <w:color w:val="auto"/>
                <w:sz w:val="18"/>
                <w:szCs w:val="18"/>
              </w:rPr>
              <w:t xml:space="preserve">million </w:t>
            </w:r>
            <w:r w:rsidRPr="00CB3833">
              <w:rPr>
                <w:rFonts w:eastAsia="MS Mincho" w:cs="Arial"/>
                <w:color w:val="auto"/>
                <w:sz w:val="18"/>
                <w:szCs w:val="18"/>
              </w:rPr>
              <w:t>in 2014-15 (east coast pelagic longline).</w:t>
            </w:r>
          </w:p>
          <w:p w14:paraId="15497D08" w14:textId="77777777" w:rsidR="00B132FB" w:rsidRDefault="00B132FB" w:rsidP="002E2FAC">
            <w:pPr>
              <w:pStyle w:val="TableTextform"/>
              <w:rPr>
                <w:rFonts w:eastAsia="MS Mincho" w:cs="Arial"/>
                <w:color w:val="auto"/>
                <w:sz w:val="18"/>
                <w:szCs w:val="18"/>
              </w:rPr>
            </w:pPr>
            <w:r w:rsidRPr="00CB3833">
              <w:rPr>
                <w:rFonts w:eastAsia="MS Mincho" w:cs="Arial"/>
                <w:color w:val="auto"/>
                <w:sz w:val="18"/>
                <w:szCs w:val="18"/>
              </w:rPr>
              <w:t>381 tonnes worth $2 million in 2013-14 (east coast pelagic longline).</w:t>
            </w:r>
          </w:p>
          <w:p w14:paraId="0EF96AF4" w14:textId="77777777" w:rsidR="00D07D3C" w:rsidRDefault="00D07D3C" w:rsidP="002E2FAC">
            <w:pPr>
              <w:pStyle w:val="TableTextform"/>
              <w:rPr>
                <w:rFonts w:eastAsia="MS Mincho" w:cs="Arial"/>
                <w:color w:val="auto"/>
                <w:sz w:val="18"/>
                <w:szCs w:val="18"/>
              </w:rPr>
            </w:pPr>
            <w:r>
              <w:rPr>
                <w:rFonts w:eastAsia="MS Mincho" w:cs="Arial"/>
                <w:color w:val="auto"/>
                <w:sz w:val="18"/>
                <w:szCs w:val="18"/>
              </w:rPr>
              <w:t>No recent fishing effort in the proposed acquisition area.</w:t>
            </w:r>
          </w:p>
          <w:p w14:paraId="1A81A8C9" w14:textId="449F42E3" w:rsidR="00546243" w:rsidRPr="00CB3833" w:rsidRDefault="00546243" w:rsidP="00546243">
            <w:pPr>
              <w:pStyle w:val="TableTextform"/>
              <w:rPr>
                <w:rFonts w:eastAsia="MS Mincho" w:cs="Arial"/>
                <w:color w:val="auto"/>
                <w:sz w:val="18"/>
                <w:szCs w:val="18"/>
              </w:rPr>
            </w:pPr>
            <w:r>
              <w:rPr>
                <w:rFonts w:eastAsia="MS Mincho" w:cs="Arial"/>
                <w:color w:val="auto"/>
                <w:sz w:val="18"/>
                <w:szCs w:val="18"/>
              </w:rPr>
              <w:t>Consultation with the ASBTIA confirms the proposed acquisition area does not impact on this fishery.</w:t>
            </w:r>
          </w:p>
        </w:tc>
      </w:tr>
      <w:tr w:rsidR="00197931" w:rsidRPr="00CB3833" w14:paraId="231CA40E" w14:textId="77777777" w:rsidTr="00D13F2F">
        <w:trPr>
          <w:cantSplit/>
          <w:trHeight w:val="414"/>
        </w:trPr>
        <w:tc>
          <w:tcPr>
            <w:tcW w:w="1560" w:type="dxa"/>
            <w:tcBorders>
              <w:top w:val="single" w:sz="5" w:space="0" w:color="000000"/>
              <w:left w:val="single" w:sz="5" w:space="0" w:color="000000"/>
              <w:bottom w:val="single" w:sz="6" w:space="0" w:color="000000"/>
              <w:right w:val="single" w:sz="5" w:space="0" w:color="000000"/>
            </w:tcBorders>
            <w:shd w:val="clear" w:color="auto" w:fill="auto"/>
          </w:tcPr>
          <w:p w14:paraId="35BA8B4B" w14:textId="77777777" w:rsidR="00197931" w:rsidRPr="002949C0" w:rsidRDefault="00197931" w:rsidP="002E2FAC">
            <w:pPr>
              <w:pStyle w:val="TableTextform"/>
              <w:rPr>
                <w:rFonts w:cs="Arial"/>
                <w:color w:val="auto"/>
                <w:sz w:val="18"/>
                <w:szCs w:val="18"/>
              </w:rPr>
            </w:pPr>
            <w:r w:rsidRPr="002949C0">
              <w:rPr>
                <w:rFonts w:cs="Arial"/>
                <w:color w:val="auto"/>
                <w:sz w:val="18"/>
                <w:szCs w:val="18"/>
              </w:rPr>
              <w:lastRenderedPageBreak/>
              <w:t>Small Pelagic Fishery (eastern sub-area)</w:t>
            </w:r>
          </w:p>
          <w:p w14:paraId="507E854D" w14:textId="4179FA72" w:rsidR="007E7151" w:rsidRPr="002949C0" w:rsidRDefault="007E7151" w:rsidP="00AE43A0">
            <w:pPr>
              <w:pStyle w:val="TableTextform"/>
              <w:rPr>
                <w:rFonts w:cs="Arial"/>
                <w:color w:val="auto"/>
                <w:sz w:val="18"/>
                <w:szCs w:val="18"/>
              </w:rPr>
            </w:pPr>
          </w:p>
        </w:tc>
        <w:tc>
          <w:tcPr>
            <w:tcW w:w="1843" w:type="dxa"/>
            <w:tcBorders>
              <w:top w:val="single" w:sz="5" w:space="0" w:color="000000"/>
              <w:left w:val="single" w:sz="5" w:space="0" w:color="000000"/>
              <w:bottom w:val="single" w:sz="6" w:space="0" w:color="000000"/>
              <w:right w:val="single" w:sz="5" w:space="0" w:color="000000"/>
            </w:tcBorders>
            <w:shd w:val="clear" w:color="auto" w:fill="auto"/>
          </w:tcPr>
          <w:p w14:paraId="68D3FAA3" w14:textId="58308395" w:rsidR="00197931" w:rsidRPr="002949C0" w:rsidRDefault="0070704B" w:rsidP="00D13F2F">
            <w:pPr>
              <w:pStyle w:val="TableTextform"/>
              <w:rPr>
                <w:rFonts w:eastAsia="MS Mincho" w:cs="Arial"/>
                <w:color w:val="auto"/>
                <w:sz w:val="18"/>
                <w:szCs w:val="18"/>
              </w:rPr>
            </w:pPr>
            <w:r w:rsidRPr="002949C0">
              <w:rPr>
                <w:rFonts w:eastAsia="MS Mincho" w:cs="Arial"/>
                <w:color w:val="auto"/>
                <w:sz w:val="18"/>
                <w:szCs w:val="18"/>
              </w:rPr>
              <w:t>Australian sardine (</w:t>
            </w:r>
            <w:r w:rsidRPr="002949C0">
              <w:rPr>
                <w:rFonts w:eastAsia="MS Mincho" w:cs="Arial"/>
                <w:i/>
                <w:iCs/>
                <w:color w:val="auto"/>
                <w:sz w:val="18"/>
                <w:szCs w:val="18"/>
              </w:rPr>
              <w:t xml:space="preserve">Sardinops sagax), </w:t>
            </w:r>
            <w:r w:rsidR="00197931" w:rsidRPr="002949C0">
              <w:rPr>
                <w:rFonts w:eastAsia="MS Mincho" w:cs="Arial"/>
                <w:color w:val="auto"/>
                <w:sz w:val="18"/>
                <w:szCs w:val="18"/>
              </w:rPr>
              <w:t>Jack mackerel (</w:t>
            </w:r>
            <w:r w:rsidRPr="002949C0">
              <w:rPr>
                <w:rFonts w:eastAsia="MS Mincho" w:cs="Arial"/>
                <w:i/>
                <w:iCs/>
                <w:color w:val="auto"/>
                <w:sz w:val="18"/>
                <w:szCs w:val="18"/>
              </w:rPr>
              <w:t>Trachurus declivis</w:t>
            </w:r>
            <w:r w:rsidR="00197931" w:rsidRPr="002949C0">
              <w:rPr>
                <w:rFonts w:eastAsia="MS Mincho" w:cs="Arial"/>
                <w:color w:val="auto"/>
                <w:sz w:val="18"/>
                <w:szCs w:val="18"/>
              </w:rPr>
              <w:t>), blue Mackerel (</w:t>
            </w:r>
            <w:r w:rsidR="00197931" w:rsidRPr="002949C0">
              <w:rPr>
                <w:rFonts w:eastAsia="MS Mincho" w:cs="Arial"/>
                <w:i/>
                <w:iCs/>
                <w:color w:val="auto"/>
                <w:sz w:val="18"/>
                <w:szCs w:val="18"/>
              </w:rPr>
              <w:t>Scomber australasicus</w:t>
            </w:r>
            <w:r w:rsidR="00197931" w:rsidRPr="002949C0">
              <w:rPr>
                <w:rFonts w:eastAsia="MS Mincho" w:cs="Arial"/>
                <w:color w:val="auto"/>
                <w:sz w:val="18"/>
                <w:szCs w:val="18"/>
              </w:rPr>
              <w:t>), redbait (</w:t>
            </w:r>
            <w:r w:rsidR="00197931" w:rsidRPr="002949C0">
              <w:rPr>
                <w:rFonts w:eastAsia="MS Mincho" w:cs="Arial"/>
                <w:i/>
                <w:iCs/>
                <w:color w:val="auto"/>
                <w:sz w:val="18"/>
                <w:szCs w:val="18"/>
              </w:rPr>
              <w:t>Emmelichthys nitidus</w:t>
            </w:r>
            <w:r w:rsidR="00197931" w:rsidRPr="002949C0">
              <w:rPr>
                <w:rFonts w:eastAsia="MS Mincho" w:cs="Arial"/>
                <w:color w:val="auto"/>
                <w:sz w:val="18"/>
                <w:szCs w:val="18"/>
              </w:rPr>
              <w:t>)</w:t>
            </w:r>
          </w:p>
        </w:tc>
        <w:tc>
          <w:tcPr>
            <w:tcW w:w="1984" w:type="dxa"/>
            <w:tcBorders>
              <w:top w:val="single" w:sz="5" w:space="0" w:color="000000"/>
              <w:left w:val="single" w:sz="5" w:space="0" w:color="000000"/>
              <w:bottom w:val="single" w:sz="6" w:space="0" w:color="000000"/>
              <w:right w:val="single" w:sz="5" w:space="0" w:color="000000"/>
            </w:tcBorders>
          </w:tcPr>
          <w:p w14:paraId="5834DFF1" w14:textId="77777777" w:rsidR="00197931" w:rsidRPr="002949C0" w:rsidRDefault="0070704B" w:rsidP="0070704B">
            <w:pPr>
              <w:pStyle w:val="TableTextform"/>
              <w:rPr>
                <w:rFonts w:cs="Arial"/>
                <w:color w:val="auto"/>
                <w:sz w:val="18"/>
                <w:szCs w:val="18"/>
              </w:rPr>
            </w:pPr>
            <w:r w:rsidRPr="002949C0">
              <w:rPr>
                <w:rFonts w:cs="Arial"/>
                <w:color w:val="auto"/>
                <w:sz w:val="18"/>
                <w:szCs w:val="18"/>
              </w:rPr>
              <w:t>O</w:t>
            </w:r>
            <w:r w:rsidR="00197931" w:rsidRPr="002949C0">
              <w:rPr>
                <w:rFonts w:cs="Arial"/>
                <w:color w:val="auto"/>
                <w:sz w:val="18"/>
                <w:szCs w:val="18"/>
              </w:rPr>
              <w:t xml:space="preserve">perates in Commonwealth waters </w:t>
            </w:r>
            <w:r w:rsidR="00197931" w:rsidRPr="002949C0">
              <w:rPr>
                <w:rFonts w:cs="Arial"/>
                <w:color w:val="auto"/>
                <w:sz w:val="18"/>
                <w:szCs w:val="18"/>
              </w:rPr>
              <w:br/>
              <w:t xml:space="preserve">(3-200 nm) extending from </w:t>
            </w:r>
            <w:r w:rsidRPr="002949C0">
              <w:rPr>
                <w:rFonts w:cs="Arial"/>
                <w:color w:val="auto"/>
                <w:sz w:val="18"/>
                <w:szCs w:val="18"/>
              </w:rPr>
              <w:t xml:space="preserve">southern </w:t>
            </w:r>
            <w:r w:rsidR="00197931" w:rsidRPr="002949C0">
              <w:rPr>
                <w:rFonts w:cs="Arial"/>
                <w:color w:val="auto"/>
                <w:sz w:val="18"/>
                <w:szCs w:val="18"/>
              </w:rPr>
              <w:t xml:space="preserve">Queensland around southern </w:t>
            </w:r>
            <w:r w:rsidRPr="002949C0">
              <w:rPr>
                <w:rFonts w:cs="Arial"/>
                <w:color w:val="auto"/>
                <w:sz w:val="18"/>
                <w:szCs w:val="18"/>
              </w:rPr>
              <w:t>Western Australia.</w:t>
            </w:r>
          </w:p>
          <w:p w14:paraId="27432C9D" w14:textId="763FB590" w:rsidR="00D13F2F" w:rsidRPr="002949C0" w:rsidRDefault="00D13F2F" w:rsidP="00AE43A0">
            <w:pPr>
              <w:pStyle w:val="TableTextform"/>
              <w:rPr>
                <w:rFonts w:cs="Arial"/>
                <w:color w:val="auto"/>
                <w:sz w:val="18"/>
                <w:szCs w:val="18"/>
              </w:rPr>
            </w:pPr>
            <w:r w:rsidRPr="002949C0">
              <w:rPr>
                <w:rFonts w:cs="Arial"/>
                <w:color w:val="auto"/>
                <w:sz w:val="18"/>
                <w:szCs w:val="18"/>
              </w:rPr>
              <w:t>There is no fishing near the proposed acquisition area.</w:t>
            </w:r>
          </w:p>
        </w:tc>
        <w:tc>
          <w:tcPr>
            <w:tcW w:w="1985" w:type="dxa"/>
            <w:tcBorders>
              <w:top w:val="single" w:sz="5" w:space="0" w:color="000000"/>
              <w:left w:val="single" w:sz="5" w:space="0" w:color="000000"/>
              <w:bottom w:val="single" w:sz="6" w:space="0" w:color="000000"/>
              <w:right w:val="single" w:sz="5" w:space="0" w:color="000000"/>
            </w:tcBorders>
          </w:tcPr>
          <w:p w14:paraId="57133E01" w14:textId="77777777" w:rsidR="00197931" w:rsidRPr="00CB3833" w:rsidRDefault="00197931" w:rsidP="00197931">
            <w:pPr>
              <w:pStyle w:val="TableTextform"/>
              <w:rPr>
                <w:rFonts w:eastAsia="MS Mincho" w:cs="Arial"/>
                <w:b/>
                <w:color w:val="auto"/>
                <w:sz w:val="18"/>
                <w:szCs w:val="18"/>
              </w:rPr>
            </w:pPr>
            <w:r w:rsidRPr="00CB3833">
              <w:rPr>
                <w:rFonts w:eastAsia="MS Mincho" w:cs="Arial"/>
                <w:b/>
                <w:color w:val="auto"/>
                <w:sz w:val="18"/>
                <w:szCs w:val="18"/>
              </w:rPr>
              <w:t xml:space="preserve">Acquisition area – </w:t>
            </w:r>
            <w:r w:rsidRPr="00CB3833">
              <w:rPr>
                <w:rFonts w:eastAsia="MS Mincho" w:cs="Arial"/>
                <w:b/>
                <w:color w:val="FF0000"/>
                <w:sz w:val="18"/>
                <w:szCs w:val="18"/>
              </w:rPr>
              <w:t>No</w:t>
            </w:r>
            <w:r w:rsidR="00AC1EE3" w:rsidRPr="00CB3833">
              <w:rPr>
                <w:rFonts w:eastAsia="MS Mincho" w:cs="Arial"/>
                <w:color w:val="FF0000"/>
                <w:sz w:val="18"/>
                <w:szCs w:val="18"/>
              </w:rPr>
              <w:t xml:space="preserve"> </w:t>
            </w:r>
            <w:r w:rsidR="00AC1EE3" w:rsidRPr="00CB3833">
              <w:rPr>
                <w:rFonts w:eastAsia="MS Mincho" w:cs="Arial"/>
                <w:color w:val="auto"/>
                <w:sz w:val="18"/>
                <w:szCs w:val="18"/>
              </w:rPr>
              <w:t>(based on total area fished in 2015-16).</w:t>
            </w:r>
          </w:p>
          <w:p w14:paraId="183E8455" w14:textId="77777777" w:rsidR="00197931" w:rsidRPr="00CB3833" w:rsidRDefault="00182296" w:rsidP="00197931">
            <w:pPr>
              <w:pStyle w:val="TableTextform"/>
              <w:rPr>
                <w:rFonts w:eastAsia="MS Mincho" w:cs="Arial"/>
                <w:color w:val="auto"/>
                <w:sz w:val="18"/>
                <w:szCs w:val="18"/>
              </w:rPr>
            </w:pPr>
            <w:r w:rsidRPr="00CB3833">
              <w:rPr>
                <w:rFonts w:eastAsia="MS Mincho" w:cs="Arial"/>
                <w:b/>
                <w:color w:val="auto"/>
                <w:sz w:val="18"/>
                <w:szCs w:val="18"/>
              </w:rPr>
              <w:t xml:space="preserve">Diesel spill </w:t>
            </w:r>
            <w:r w:rsidR="00197931" w:rsidRPr="00CB3833">
              <w:rPr>
                <w:rFonts w:eastAsia="MS Mincho" w:cs="Arial"/>
                <w:b/>
                <w:color w:val="auto"/>
                <w:sz w:val="18"/>
                <w:szCs w:val="18"/>
              </w:rPr>
              <w:t xml:space="preserve">EMBA – </w:t>
            </w:r>
            <w:r w:rsidR="00197931" w:rsidRPr="00CB3833">
              <w:rPr>
                <w:rFonts w:eastAsia="MS Mincho" w:cs="Arial"/>
                <w:b/>
                <w:color w:val="FF0000"/>
                <w:sz w:val="18"/>
                <w:szCs w:val="18"/>
              </w:rPr>
              <w:t>No</w:t>
            </w:r>
            <w:r w:rsidR="00AC1EE3" w:rsidRPr="00CB3833">
              <w:rPr>
                <w:rFonts w:eastAsia="MS Mincho" w:cs="Arial"/>
                <w:color w:val="FF0000"/>
                <w:sz w:val="18"/>
                <w:szCs w:val="18"/>
              </w:rPr>
              <w:t xml:space="preserve"> </w:t>
            </w:r>
            <w:r w:rsidR="00AC1EE3" w:rsidRPr="00CB3833">
              <w:rPr>
                <w:rFonts w:eastAsia="MS Mincho" w:cs="Arial"/>
                <w:color w:val="auto"/>
                <w:sz w:val="18"/>
                <w:szCs w:val="18"/>
              </w:rPr>
              <w:t>(based on total area fished in 2015-16).</w:t>
            </w:r>
          </w:p>
          <w:p w14:paraId="6188768F" w14:textId="4FD6B8B6" w:rsidR="0051301F" w:rsidRDefault="0051301F" w:rsidP="0051301F">
            <w:pPr>
              <w:pStyle w:val="TableTextform"/>
              <w:rPr>
                <w:rFonts w:cs="Arial"/>
                <w:i/>
                <w:sz w:val="18"/>
                <w:szCs w:val="18"/>
              </w:rPr>
            </w:pPr>
            <w:r>
              <w:rPr>
                <w:rFonts w:cs="Arial"/>
                <w:i/>
                <w:sz w:val="18"/>
                <w:szCs w:val="18"/>
              </w:rPr>
              <w:t xml:space="preserve">Acquisition area intersects 0.003% of the fishery. </w:t>
            </w:r>
          </w:p>
          <w:p w14:paraId="4B392B1C" w14:textId="7B7906F0" w:rsidR="0051301F" w:rsidRDefault="0051301F" w:rsidP="0051301F">
            <w:pPr>
              <w:pStyle w:val="TableTextform"/>
              <w:rPr>
                <w:rFonts w:cs="Arial"/>
                <w:i/>
                <w:sz w:val="18"/>
                <w:szCs w:val="18"/>
              </w:rPr>
            </w:pPr>
            <w:r>
              <w:rPr>
                <w:rFonts w:cs="Arial"/>
                <w:i/>
                <w:sz w:val="18"/>
                <w:szCs w:val="18"/>
              </w:rPr>
              <w:t>Operational</w:t>
            </w:r>
            <w:r w:rsidRPr="00D018C0">
              <w:rPr>
                <w:rFonts w:cs="Arial"/>
                <w:i/>
                <w:sz w:val="18"/>
                <w:szCs w:val="18"/>
              </w:rPr>
              <w:t xml:space="preserve"> area intersects 0</w:t>
            </w:r>
            <w:r>
              <w:rPr>
                <w:rFonts w:cs="Arial"/>
                <w:i/>
                <w:sz w:val="18"/>
                <w:szCs w:val="18"/>
              </w:rPr>
              <w:t>.006</w:t>
            </w:r>
            <w:r w:rsidRPr="00D018C0">
              <w:rPr>
                <w:rFonts w:cs="Arial"/>
                <w:i/>
                <w:sz w:val="18"/>
                <w:szCs w:val="18"/>
              </w:rPr>
              <w:t>% of the fishery</w:t>
            </w:r>
            <w:r>
              <w:rPr>
                <w:rFonts w:cs="Arial"/>
                <w:i/>
                <w:sz w:val="18"/>
                <w:szCs w:val="18"/>
              </w:rPr>
              <w:t>.</w:t>
            </w:r>
          </w:p>
          <w:p w14:paraId="31676DCC" w14:textId="1532462C" w:rsidR="00197931" w:rsidRPr="00CB3833" w:rsidRDefault="0051301F" w:rsidP="0051301F">
            <w:pPr>
              <w:pStyle w:val="TableTextform"/>
              <w:rPr>
                <w:rFonts w:eastAsia="MS Mincho" w:cs="Arial"/>
                <w:b/>
                <w:color w:val="auto"/>
                <w:sz w:val="18"/>
                <w:szCs w:val="18"/>
              </w:rPr>
            </w:pPr>
            <w:r w:rsidRPr="00D018C0">
              <w:rPr>
                <w:rFonts w:cs="Arial"/>
                <w:i/>
                <w:sz w:val="18"/>
                <w:szCs w:val="18"/>
              </w:rPr>
              <w:t>EMBA intersects 0.</w:t>
            </w:r>
            <w:r>
              <w:rPr>
                <w:rFonts w:cs="Arial"/>
                <w:i/>
                <w:sz w:val="18"/>
                <w:szCs w:val="18"/>
              </w:rPr>
              <w:t>28</w:t>
            </w:r>
            <w:r w:rsidRPr="00D018C0">
              <w:rPr>
                <w:rFonts w:cs="Arial"/>
                <w:i/>
                <w:sz w:val="18"/>
                <w:szCs w:val="18"/>
              </w:rPr>
              <w:t>% of the fishery.</w:t>
            </w:r>
            <w:r w:rsidRPr="00CE607A">
              <w:rPr>
                <w:rFonts w:cs="Arial"/>
                <w:i/>
                <w:sz w:val="18"/>
                <w:szCs w:val="18"/>
              </w:rPr>
              <w:t xml:space="preserve">  </w:t>
            </w:r>
          </w:p>
        </w:tc>
        <w:tc>
          <w:tcPr>
            <w:tcW w:w="1417" w:type="dxa"/>
            <w:tcBorders>
              <w:top w:val="single" w:sz="5" w:space="0" w:color="000000"/>
              <w:left w:val="single" w:sz="5" w:space="0" w:color="000000"/>
              <w:bottom w:val="single" w:sz="6" w:space="0" w:color="000000"/>
              <w:right w:val="single" w:sz="5" w:space="0" w:color="000000"/>
            </w:tcBorders>
          </w:tcPr>
          <w:p w14:paraId="67EBF86F" w14:textId="64974F15" w:rsidR="00197931" w:rsidRPr="00CB3833" w:rsidRDefault="00774512" w:rsidP="002E2FAC">
            <w:pPr>
              <w:pStyle w:val="TableTextform"/>
              <w:rPr>
                <w:rFonts w:eastAsia="MS Mincho" w:cs="Arial"/>
                <w:color w:val="auto"/>
                <w:sz w:val="18"/>
                <w:szCs w:val="18"/>
              </w:rPr>
            </w:pPr>
            <w:r>
              <w:rPr>
                <w:rFonts w:eastAsia="MS Mincho" w:cs="Arial"/>
                <w:color w:val="auto"/>
                <w:sz w:val="18"/>
                <w:szCs w:val="18"/>
              </w:rPr>
              <w:t>12-</w:t>
            </w:r>
            <w:r w:rsidR="00AC1EE3" w:rsidRPr="00CB3833">
              <w:rPr>
                <w:rFonts w:eastAsia="MS Mincho" w:cs="Arial"/>
                <w:color w:val="auto"/>
                <w:sz w:val="18"/>
                <w:szCs w:val="18"/>
              </w:rPr>
              <w:t>month season, beginning 1</w:t>
            </w:r>
            <w:r w:rsidR="00AC1EE3" w:rsidRPr="00CB3833">
              <w:rPr>
                <w:rFonts w:eastAsia="MS Mincho" w:cs="Arial"/>
                <w:color w:val="auto"/>
                <w:sz w:val="18"/>
                <w:szCs w:val="18"/>
                <w:vertAlign w:val="superscript"/>
              </w:rPr>
              <w:t xml:space="preserve">st </w:t>
            </w:r>
            <w:r w:rsidR="00AC1EE3" w:rsidRPr="00CB3833">
              <w:rPr>
                <w:rFonts w:eastAsia="MS Mincho" w:cs="Arial"/>
                <w:color w:val="auto"/>
                <w:sz w:val="18"/>
                <w:szCs w:val="18"/>
              </w:rPr>
              <w:t xml:space="preserve">of May. </w:t>
            </w:r>
          </w:p>
        </w:tc>
        <w:tc>
          <w:tcPr>
            <w:tcW w:w="2694" w:type="dxa"/>
            <w:tcBorders>
              <w:top w:val="single" w:sz="5" w:space="0" w:color="000000"/>
              <w:left w:val="single" w:sz="5" w:space="0" w:color="000000"/>
              <w:bottom w:val="single" w:sz="6" w:space="0" w:color="000000"/>
              <w:right w:val="single" w:sz="5" w:space="0" w:color="000000"/>
            </w:tcBorders>
          </w:tcPr>
          <w:p w14:paraId="62A6A58B" w14:textId="77777777" w:rsidR="00932EF3" w:rsidRPr="00CB3833" w:rsidRDefault="00932EF3" w:rsidP="00932EF3">
            <w:pPr>
              <w:pStyle w:val="TableTextform"/>
              <w:rPr>
                <w:rFonts w:eastAsia="MS Mincho" w:cs="Arial"/>
                <w:color w:val="auto"/>
                <w:sz w:val="18"/>
                <w:szCs w:val="18"/>
              </w:rPr>
            </w:pPr>
            <w:r w:rsidRPr="00CB3833">
              <w:rPr>
                <w:rFonts w:eastAsia="MS Mincho" w:cs="Arial"/>
                <w:color w:val="auto"/>
                <w:sz w:val="18"/>
                <w:szCs w:val="18"/>
              </w:rPr>
              <w:t>Purse seine and mid-water trawl</w:t>
            </w:r>
            <w:r w:rsidR="0070704B" w:rsidRPr="00CB3833">
              <w:rPr>
                <w:rFonts w:eastAsia="MS Mincho" w:cs="Arial"/>
                <w:color w:val="auto"/>
                <w:sz w:val="18"/>
                <w:szCs w:val="18"/>
              </w:rPr>
              <w:t xml:space="preserve">, with the latter being the main method. </w:t>
            </w:r>
          </w:p>
          <w:p w14:paraId="2E29C2ED" w14:textId="77777777" w:rsidR="0070704B" w:rsidRPr="00CB3833" w:rsidRDefault="0070704B" w:rsidP="00932EF3">
            <w:pPr>
              <w:pStyle w:val="TableTextform"/>
              <w:rPr>
                <w:rFonts w:eastAsia="MS Mincho" w:cs="Arial"/>
                <w:color w:val="auto"/>
                <w:sz w:val="18"/>
                <w:szCs w:val="18"/>
              </w:rPr>
            </w:pPr>
            <w:r w:rsidRPr="00CB3833">
              <w:rPr>
                <w:rFonts w:eastAsia="MS Mincho" w:cs="Arial"/>
                <w:color w:val="auto"/>
                <w:sz w:val="18"/>
                <w:szCs w:val="18"/>
              </w:rPr>
              <w:t>A ‘factory trawler’ operating the fishery in 2014-15 and 2015-16 has increased recent catch efforts.</w:t>
            </w:r>
          </w:p>
          <w:p w14:paraId="1327DA7D" w14:textId="77777777" w:rsidR="0070704B" w:rsidRPr="00CB3833" w:rsidRDefault="0070704B" w:rsidP="00932EF3">
            <w:pPr>
              <w:pStyle w:val="TableTextform"/>
              <w:rPr>
                <w:rFonts w:eastAsia="MS Mincho" w:cs="Arial"/>
                <w:color w:val="auto"/>
                <w:sz w:val="18"/>
                <w:szCs w:val="18"/>
              </w:rPr>
            </w:pPr>
            <w:r w:rsidRPr="00CB3833">
              <w:rPr>
                <w:rFonts w:eastAsia="MS Mincho" w:cs="Arial"/>
                <w:color w:val="auto"/>
                <w:sz w:val="18"/>
                <w:szCs w:val="18"/>
              </w:rPr>
              <w:t>32 entities held in 2015-16 using three active vessels.</w:t>
            </w:r>
          </w:p>
          <w:p w14:paraId="7AF59F76" w14:textId="77777777" w:rsidR="00197931" w:rsidRPr="00CB3833" w:rsidRDefault="0070704B" w:rsidP="00AC1EE3">
            <w:pPr>
              <w:pStyle w:val="TableTextform"/>
              <w:rPr>
                <w:rFonts w:eastAsia="MS Mincho" w:cs="Arial"/>
                <w:color w:val="auto"/>
                <w:sz w:val="18"/>
                <w:szCs w:val="18"/>
              </w:rPr>
            </w:pPr>
            <w:r w:rsidRPr="00CB3833">
              <w:rPr>
                <w:rFonts w:eastAsia="MS Mincho" w:cs="Arial"/>
                <w:color w:val="auto"/>
                <w:sz w:val="18"/>
                <w:szCs w:val="18"/>
              </w:rPr>
              <w:t xml:space="preserve">The main landing ports are in Tasmania, </w:t>
            </w:r>
            <w:r w:rsidR="00AC1EE3" w:rsidRPr="00CB3833">
              <w:rPr>
                <w:rFonts w:eastAsia="MS Mincho" w:cs="Arial"/>
                <w:color w:val="auto"/>
                <w:sz w:val="18"/>
                <w:szCs w:val="18"/>
              </w:rPr>
              <w:t xml:space="preserve">South Australia and New South Wales, along with Geelong in Victoria. </w:t>
            </w:r>
          </w:p>
        </w:tc>
        <w:tc>
          <w:tcPr>
            <w:tcW w:w="2693" w:type="dxa"/>
            <w:tcBorders>
              <w:top w:val="single" w:sz="5" w:space="0" w:color="000000"/>
              <w:left w:val="single" w:sz="5" w:space="0" w:color="000000"/>
              <w:bottom w:val="single" w:sz="6" w:space="0" w:color="000000"/>
              <w:right w:val="single" w:sz="5" w:space="0" w:color="000000"/>
            </w:tcBorders>
          </w:tcPr>
          <w:p w14:paraId="3BF35898" w14:textId="77777777" w:rsidR="00197931" w:rsidRPr="00CB3833" w:rsidRDefault="0070704B" w:rsidP="002E2FAC">
            <w:pPr>
              <w:pStyle w:val="TableTextform"/>
              <w:rPr>
                <w:rFonts w:eastAsia="MS Mincho" w:cs="Arial"/>
                <w:color w:val="auto"/>
                <w:sz w:val="18"/>
                <w:szCs w:val="18"/>
              </w:rPr>
            </w:pPr>
            <w:r w:rsidRPr="00CB3833">
              <w:rPr>
                <w:rFonts w:eastAsia="MS Mincho" w:cs="Arial"/>
                <w:color w:val="auto"/>
                <w:sz w:val="18"/>
                <w:szCs w:val="18"/>
              </w:rPr>
              <w:t xml:space="preserve">A total allowable catch of 39,170 tonnes in 2015-16, with </w:t>
            </w:r>
            <w:r w:rsidR="00AC1EE3" w:rsidRPr="00CB3833">
              <w:rPr>
                <w:rFonts w:eastAsia="MS Mincho" w:cs="Arial"/>
                <w:color w:val="auto"/>
                <w:sz w:val="18"/>
                <w:szCs w:val="18"/>
              </w:rPr>
              <w:t>the</w:t>
            </w:r>
            <w:r w:rsidRPr="00CB3833">
              <w:rPr>
                <w:rFonts w:eastAsia="MS Mincho" w:cs="Arial"/>
                <w:color w:val="auto"/>
                <w:sz w:val="18"/>
                <w:szCs w:val="18"/>
              </w:rPr>
              <w:t xml:space="preserve"> value</w:t>
            </w:r>
            <w:r w:rsidR="00AC1EE3" w:rsidRPr="00CB3833">
              <w:rPr>
                <w:rFonts w:eastAsia="MS Mincho" w:cs="Arial"/>
                <w:color w:val="auto"/>
                <w:sz w:val="18"/>
                <w:szCs w:val="18"/>
              </w:rPr>
              <w:t xml:space="preserve"> being confidential due to the small number of fishers</w:t>
            </w:r>
            <w:r w:rsidRPr="00CB3833">
              <w:rPr>
                <w:rFonts w:eastAsia="MS Mincho" w:cs="Arial"/>
                <w:color w:val="auto"/>
                <w:sz w:val="18"/>
                <w:szCs w:val="18"/>
              </w:rPr>
              <w:t>.</w:t>
            </w:r>
          </w:p>
          <w:p w14:paraId="38F50389" w14:textId="77777777" w:rsidR="0070704B" w:rsidRDefault="0070704B" w:rsidP="002E2FAC">
            <w:pPr>
              <w:pStyle w:val="TableTextform"/>
              <w:rPr>
                <w:rFonts w:eastAsia="MS Mincho" w:cs="Arial"/>
                <w:color w:val="auto"/>
                <w:sz w:val="18"/>
                <w:szCs w:val="18"/>
              </w:rPr>
            </w:pPr>
            <w:r w:rsidRPr="00CB3833">
              <w:rPr>
                <w:rFonts w:eastAsia="MS Mincho" w:cs="Arial"/>
                <w:color w:val="auto"/>
                <w:sz w:val="18"/>
                <w:szCs w:val="18"/>
              </w:rPr>
              <w:t xml:space="preserve">In 2014-15, the </w:t>
            </w:r>
            <w:r w:rsidR="00CD71D0" w:rsidRPr="00CB3833">
              <w:rPr>
                <w:rFonts w:eastAsia="MS Mincho" w:cs="Arial"/>
                <w:color w:val="auto"/>
                <w:sz w:val="18"/>
                <w:szCs w:val="18"/>
              </w:rPr>
              <w:t>Total Allowable Commercial Catch (</w:t>
            </w:r>
            <w:r w:rsidRPr="00CB3833">
              <w:rPr>
                <w:rFonts w:eastAsia="MS Mincho" w:cs="Arial"/>
                <w:color w:val="auto"/>
                <w:sz w:val="18"/>
                <w:szCs w:val="18"/>
              </w:rPr>
              <w:t>TA</w:t>
            </w:r>
            <w:r w:rsidR="00CD71D0" w:rsidRPr="00CB3833">
              <w:rPr>
                <w:rFonts w:eastAsia="MS Mincho" w:cs="Arial"/>
                <w:color w:val="auto"/>
                <w:sz w:val="18"/>
                <w:szCs w:val="18"/>
              </w:rPr>
              <w:t>C</w:t>
            </w:r>
            <w:r w:rsidRPr="00CB3833">
              <w:rPr>
                <w:rFonts w:eastAsia="MS Mincho" w:cs="Arial"/>
                <w:color w:val="auto"/>
                <w:sz w:val="18"/>
                <w:szCs w:val="18"/>
              </w:rPr>
              <w:t>C</w:t>
            </w:r>
            <w:r w:rsidR="00CD71D0" w:rsidRPr="00CB3833">
              <w:rPr>
                <w:rFonts w:eastAsia="MS Mincho" w:cs="Arial"/>
                <w:color w:val="auto"/>
                <w:sz w:val="18"/>
                <w:szCs w:val="18"/>
              </w:rPr>
              <w:t>)</w:t>
            </w:r>
            <w:r w:rsidRPr="00CB3833">
              <w:rPr>
                <w:rFonts w:eastAsia="MS Mincho" w:cs="Arial"/>
                <w:color w:val="auto"/>
                <w:sz w:val="18"/>
                <w:szCs w:val="18"/>
              </w:rPr>
              <w:t xml:space="preserve"> was 34,920 tonnes</w:t>
            </w:r>
            <w:r w:rsidR="00CD71D0" w:rsidRPr="00CB3833">
              <w:rPr>
                <w:rFonts w:eastAsia="MS Mincho" w:cs="Arial"/>
                <w:color w:val="auto"/>
                <w:sz w:val="18"/>
                <w:szCs w:val="18"/>
              </w:rPr>
              <w:t>,</w:t>
            </w:r>
            <w:r w:rsidRPr="00CB3833">
              <w:rPr>
                <w:rFonts w:eastAsia="MS Mincho" w:cs="Arial"/>
                <w:color w:val="auto"/>
                <w:sz w:val="18"/>
                <w:szCs w:val="18"/>
              </w:rPr>
              <w:t xml:space="preserve"> with a confidential value. </w:t>
            </w:r>
          </w:p>
          <w:p w14:paraId="019A9A43" w14:textId="2A956BB9" w:rsidR="00D07D3C" w:rsidRPr="00CB3833" w:rsidRDefault="00D07D3C" w:rsidP="002E2FAC">
            <w:pPr>
              <w:pStyle w:val="TableTextform"/>
              <w:rPr>
                <w:rFonts w:eastAsia="MS Mincho" w:cs="Arial"/>
                <w:color w:val="auto"/>
                <w:sz w:val="18"/>
                <w:szCs w:val="18"/>
              </w:rPr>
            </w:pPr>
            <w:r>
              <w:rPr>
                <w:rFonts w:eastAsia="MS Mincho" w:cs="Arial"/>
                <w:color w:val="auto"/>
                <w:sz w:val="18"/>
                <w:szCs w:val="18"/>
              </w:rPr>
              <w:t>No recent fishing effort in the proposed acquisition area.</w:t>
            </w:r>
          </w:p>
        </w:tc>
      </w:tr>
      <w:tr w:rsidR="00197931" w:rsidRPr="00CB3833" w14:paraId="17823263" w14:textId="77777777" w:rsidTr="00D13F2F">
        <w:trPr>
          <w:cantSplit/>
          <w:trHeight w:val="414"/>
        </w:trPr>
        <w:tc>
          <w:tcPr>
            <w:tcW w:w="1560" w:type="dxa"/>
            <w:tcBorders>
              <w:top w:val="single" w:sz="6" w:space="0" w:color="000000"/>
              <w:left w:val="single" w:sz="6" w:space="0" w:color="000000"/>
              <w:bottom w:val="single" w:sz="4" w:space="0" w:color="auto"/>
              <w:right w:val="single" w:sz="6" w:space="0" w:color="000000"/>
            </w:tcBorders>
            <w:shd w:val="clear" w:color="auto" w:fill="auto"/>
          </w:tcPr>
          <w:p w14:paraId="1CCE6AE8" w14:textId="77777777" w:rsidR="00197931" w:rsidRPr="002949C0" w:rsidRDefault="00197931" w:rsidP="002E2FAC">
            <w:pPr>
              <w:pStyle w:val="TableTextform"/>
              <w:rPr>
                <w:rFonts w:cs="Arial"/>
                <w:color w:val="auto"/>
                <w:sz w:val="18"/>
                <w:szCs w:val="18"/>
              </w:rPr>
            </w:pPr>
            <w:r w:rsidRPr="002949C0">
              <w:rPr>
                <w:rFonts w:cs="Arial"/>
                <w:color w:val="auto"/>
                <w:sz w:val="18"/>
                <w:szCs w:val="18"/>
              </w:rPr>
              <w:t>Southern Squid Jig Fishery</w:t>
            </w:r>
          </w:p>
          <w:p w14:paraId="35E7FFA4" w14:textId="616EBBCD" w:rsidR="007E7151" w:rsidRPr="002949C0" w:rsidRDefault="007E7151" w:rsidP="00AE43A0">
            <w:pPr>
              <w:pStyle w:val="TableTextform"/>
              <w:rPr>
                <w:rFonts w:cs="Arial"/>
                <w:color w:val="auto"/>
                <w:sz w:val="18"/>
                <w:szCs w:val="18"/>
              </w:rPr>
            </w:pPr>
          </w:p>
        </w:tc>
        <w:tc>
          <w:tcPr>
            <w:tcW w:w="1843" w:type="dxa"/>
            <w:tcBorders>
              <w:top w:val="single" w:sz="6" w:space="0" w:color="000000"/>
              <w:left w:val="single" w:sz="6" w:space="0" w:color="000000"/>
              <w:bottom w:val="single" w:sz="4" w:space="0" w:color="auto"/>
              <w:right w:val="single" w:sz="6" w:space="0" w:color="000000"/>
            </w:tcBorders>
            <w:shd w:val="clear" w:color="auto" w:fill="auto"/>
          </w:tcPr>
          <w:p w14:paraId="2046FF00" w14:textId="77777777" w:rsidR="00197931" w:rsidRPr="002949C0" w:rsidRDefault="00197931" w:rsidP="00197931">
            <w:pPr>
              <w:pStyle w:val="TableTextform"/>
              <w:rPr>
                <w:rFonts w:eastAsia="MS Mincho" w:cs="Arial"/>
                <w:color w:val="auto"/>
                <w:sz w:val="18"/>
                <w:szCs w:val="18"/>
              </w:rPr>
            </w:pPr>
            <w:r w:rsidRPr="002949C0">
              <w:rPr>
                <w:rFonts w:eastAsia="MS Mincho" w:cs="Arial"/>
                <w:color w:val="auto"/>
                <w:sz w:val="18"/>
                <w:szCs w:val="18"/>
              </w:rPr>
              <w:t>Arrow squid (</w:t>
            </w:r>
            <w:r w:rsidRPr="002949C0">
              <w:rPr>
                <w:rFonts w:eastAsia="MS Mincho" w:cs="Arial"/>
                <w:i/>
                <w:iCs/>
                <w:color w:val="auto"/>
                <w:sz w:val="18"/>
                <w:szCs w:val="18"/>
              </w:rPr>
              <w:t>Nototodarus gouldi</w:t>
            </w:r>
            <w:r w:rsidRPr="002949C0">
              <w:rPr>
                <w:rFonts w:eastAsia="MS Mincho" w:cs="Arial"/>
                <w:color w:val="auto"/>
                <w:sz w:val="18"/>
                <w:szCs w:val="18"/>
              </w:rPr>
              <w:t>)</w:t>
            </w:r>
          </w:p>
        </w:tc>
        <w:tc>
          <w:tcPr>
            <w:tcW w:w="1984" w:type="dxa"/>
            <w:tcBorders>
              <w:top w:val="single" w:sz="6" w:space="0" w:color="000000"/>
              <w:left w:val="single" w:sz="6" w:space="0" w:color="000000"/>
              <w:bottom w:val="single" w:sz="4" w:space="0" w:color="auto"/>
              <w:right w:val="single" w:sz="6" w:space="0" w:color="000000"/>
            </w:tcBorders>
          </w:tcPr>
          <w:p w14:paraId="5EB158A6" w14:textId="77777777" w:rsidR="00197931" w:rsidRPr="002949C0" w:rsidRDefault="00197931" w:rsidP="00197931">
            <w:pPr>
              <w:pStyle w:val="TableTextform"/>
              <w:rPr>
                <w:rFonts w:eastAsia="MS Mincho" w:cs="Arial"/>
                <w:color w:val="auto"/>
                <w:sz w:val="18"/>
                <w:szCs w:val="18"/>
              </w:rPr>
            </w:pPr>
            <w:r w:rsidRPr="002949C0">
              <w:rPr>
                <w:rFonts w:eastAsia="MS Mincho" w:cs="Arial"/>
                <w:color w:val="auto"/>
                <w:sz w:val="18"/>
                <w:szCs w:val="18"/>
              </w:rPr>
              <w:t>The fishery extends from the SA/WA border east to southern Queensland.</w:t>
            </w:r>
          </w:p>
          <w:p w14:paraId="54A2B43E" w14:textId="77777777" w:rsidR="00197931" w:rsidRPr="002949C0" w:rsidRDefault="00197931" w:rsidP="0021251C">
            <w:pPr>
              <w:pStyle w:val="TableTextform"/>
              <w:rPr>
                <w:rFonts w:eastAsia="MS Mincho" w:cs="Arial"/>
                <w:color w:val="auto"/>
                <w:sz w:val="18"/>
                <w:szCs w:val="18"/>
              </w:rPr>
            </w:pPr>
            <w:r w:rsidRPr="002949C0">
              <w:rPr>
                <w:rFonts w:eastAsia="MS Mincho" w:cs="Arial"/>
                <w:color w:val="auto"/>
                <w:sz w:val="18"/>
                <w:szCs w:val="18"/>
              </w:rPr>
              <w:t>AFMA does not control squid fishing in Victorian state waters.</w:t>
            </w:r>
          </w:p>
          <w:p w14:paraId="00E9837F" w14:textId="0368850D" w:rsidR="00932EF3" w:rsidRPr="002949C0" w:rsidRDefault="00D13F2F" w:rsidP="00AE43A0">
            <w:pPr>
              <w:pStyle w:val="TableTextform"/>
              <w:rPr>
                <w:rFonts w:eastAsia="MS Mincho" w:cs="Arial"/>
                <w:color w:val="auto"/>
                <w:sz w:val="18"/>
                <w:szCs w:val="18"/>
              </w:rPr>
            </w:pPr>
            <w:r w:rsidRPr="002949C0">
              <w:rPr>
                <w:rFonts w:eastAsia="MS Mincho" w:cs="Arial"/>
                <w:color w:val="auto"/>
                <w:sz w:val="18"/>
                <w:szCs w:val="18"/>
              </w:rPr>
              <w:t>There is no fishing near the proposed acquisition area, with m</w:t>
            </w:r>
            <w:r w:rsidR="00932EF3" w:rsidRPr="002949C0">
              <w:rPr>
                <w:rFonts w:eastAsia="MS Mincho" w:cs="Arial"/>
                <w:color w:val="auto"/>
                <w:sz w:val="18"/>
                <w:szCs w:val="18"/>
              </w:rPr>
              <w:t>ost fishing takes place off Portland, southwest Victoria</w:t>
            </w:r>
            <w:r w:rsidRPr="002949C0">
              <w:rPr>
                <w:rFonts w:cs="Arial"/>
                <w:color w:val="auto"/>
                <w:sz w:val="18"/>
                <w:szCs w:val="18"/>
              </w:rPr>
              <w:t>.</w:t>
            </w:r>
          </w:p>
        </w:tc>
        <w:tc>
          <w:tcPr>
            <w:tcW w:w="1985" w:type="dxa"/>
            <w:tcBorders>
              <w:top w:val="single" w:sz="6" w:space="0" w:color="000000"/>
              <w:left w:val="single" w:sz="6" w:space="0" w:color="000000"/>
              <w:bottom w:val="single" w:sz="4" w:space="0" w:color="auto"/>
              <w:right w:val="single" w:sz="6" w:space="0" w:color="000000"/>
            </w:tcBorders>
          </w:tcPr>
          <w:p w14:paraId="196651DE" w14:textId="77777777" w:rsidR="00197931" w:rsidRPr="00CB3833" w:rsidRDefault="00197931" w:rsidP="00197931">
            <w:pPr>
              <w:pStyle w:val="TableTextform"/>
              <w:rPr>
                <w:rFonts w:eastAsia="MS Mincho" w:cs="Arial"/>
                <w:b/>
                <w:color w:val="auto"/>
                <w:sz w:val="18"/>
                <w:szCs w:val="18"/>
              </w:rPr>
            </w:pPr>
            <w:r w:rsidRPr="00CB3833">
              <w:rPr>
                <w:rFonts w:eastAsia="MS Mincho" w:cs="Arial"/>
                <w:b/>
                <w:color w:val="auto"/>
                <w:sz w:val="18"/>
                <w:szCs w:val="18"/>
              </w:rPr>
              <w:t xml:space="preserve">Acquisition area – </w:t>
            </w:r>
            <w:r w:rsidR="00932EF3" w:rsidRPr="00CB3833">
              <w:rPr>
                <w:rFonts w:eastAsia="MS Mincho" w:cs="Arial"/>
                <w:b/>
                <w:color w:val="00B050"/>
                <w:sz w:val="18"/>
                <w:szCs w:val="18"/>
              </w:rPr>
              <w:t>Yes</w:t>
            </w:r>
            <w:r w:rsidR="00932EF3" w:rsidRPr="00CB3833">
              <w:rPr>
                <w:rFonts w:eastAsia="MS Mincho" w:cs="Arial"/>
                <w:color w:val="auto"/>
                <w:sz w:val="18"/>
                <w:szCs w:val="18"/>
              </w:rPr>
              <w:t>, based on 2015 catch data (but ‘no’ based on fishing intensity data).</w:t>
            </w:r>
          </w:p>
          <w:p w14:paraId="055F6401" w14:textId="4AF2E940" w:rsidR="00197931" w:rsidRDefault="00182296" w:rsidP="00197931">
            <w:pPr>
              <w:pStyle w:val="TableTextform"/>
              <w:rPr>
                <w:rFonts w:eastAsia="MS Mincho" w:cs="Arial"/>
                <w:color w:val="auto"/>
                <w:sz w:val="18"/>
                <w:szCs w:val="18"/>
              </w:rPr>
            </w:pPr>
            <w:r w:rsidRPr="00CB3833">
              <w:rPr>
                <w:rFonts w:eastAsia="MS Mincho" w:cs="Arial"/>
                <w:b/>
                <w:color w:val="auto"/>
                <w:sz w:val="18"/>
                <w:szCs w:val="18"/>
              </w:rPr>
              <w:t xml:space="preserve">Diesel spill </w:t>
            </w:r>
            <w:r w:rsidR="00197931" w:rsidRPr="00CB3833">
              <w:rPr>
                <w:rFonts w:eastAsia="MS Mincho" w:cs="Arial"/>
                <w:b/>
                <w:color w:val="auto"/>
                <w:sz w:val="18"/>
                <w:szCs w:val="18"/>
              </w:rPr>
              <w:t>EMBA –</w:t>
            </w:r>
            <w:r w:rsidR="00932EF3" w:rsidRPr="00CB3833">
              <w:rPr>
                <w:rFonts w:eastAsia="MS Mincho" w:cs="Arial"/>
                <w:b/>
                <w:color w:val="auto"/>
                <w:sz w:val="18"/>
                <w:szCs w:val="18"/>
              </w:rPr>
              <w:t xml:space="preserve"> </w:t>
            </w:r>
            <w:r w:rsidR="00D07D3C">
              <w:rPr>
                <w:rFonts w:eastAsia="MS Mincho" w:cs="Arial"/>
                <w:b/>
                <w:color w:val="FF0000"/>
                <w:sz w:val="18"/>
                <w:szCs w:val="18"/>
              </w:rPr>
              <w:t>N</w:t>
            </w:r>
            <w:r w:rsidR="00932EF3" w:rsidRPr="006F7DB1">
              <w:rPr>
                <w:rFonts w:eastAsia="MS Mincho" w:cs="Arial"/>
                <w:b/>
                <w:color w:val="FF0000"/>
                <w:sz w:val="18"/>
                <w:szCs w:val="18"/>
              </w:rPr>
              <w:t>o</w:t>
            </w:r>
            <w:r w:rsidR="00932EF3" w:rsidRPr="00CB3833">
              <w:rPr>
                <w:rFonts w:eastAsia="MS Mincho" w:cs="Arial"/>
                <w:color w:val="auto"/>
                <w:sz w:val="18"/>
                <w:szCs w:val="18"/>
              </w:rPr>
              <w:t xml:space="preserve"> </w:t>
            </w:r>
            <w:r w:rsidR="00D07D3C">
              <w:rPr>
                <w:rFonts w:eastAsia="MS Mincho" w:cs="Arial"/>
                <w:color w:val="auto"/>
                <w:sz w:val="18"/>
                <w:szCs w:val="18"/>
              </w:rPr>
              <w:t>(</w:t>
            </w:r>
            <w:r w:rsidR="00932EF3" w:rsidRPr="00CB3833">
              <w:rPr>
                <w:rFonts w:eastAsia="MS Mincho" w:cs="Arial"/>
                <w:color w:val="auto"/>
                <w:sz w:val="18"/>
                <w:szCs w:val="18"/>
              </w:rPr>
              <w:t>based on fishing intensity data).</w:t>
            </w:r>
          </w:p>
          <w:p w14:paraId="4B276D01" w14:textId="0C9BB864" w:rsidR="0051301F" w:rsidRDefault="0051301F" w:rsidP="0051301F">
            <w:pPr>
              <w:pStyle w:val="TableTextform"/>
              <w:rPr>
                <w:rFonts w:cs="Arial"/>
                <w:i/>
                <w:sz w:val="18"/>
                <w:szCs w:val="18"/>
              </w:rPr>
            </w:pPr>
            <w:r>
              <w:rPr>
                <w:rFonts w:cs="Arial"/>
                <w:i/>
                <w:sz w:val="18"/>
                <w:szCs w:val="18"/>
              </w:rPr>
              <w:t xml:space="preserve">Acquisition area intersects 0.004% of the fishery. </w:t>
            </w:r>
          </w:p>
          <w:p w14:paraId="428D954E" w14:textId="36668EF7" w:rsidR="0051301F" w:rsidRDefault="0051301F" w:rsidP="0051301F">
            <w:pPr>
              <w:pStyle w:val="TableTextform"/>
              <w:rPr>
                <w:rFonts w:cs="Arial"/>
                <w:i/>
                <w:sz w:val="18"/>
                <w:szCs w:val="18"/>
              </w:rPr>
            </w:pPr>
            <w:r>
              <w:rPr>
                <w:rFonts w:cs="Arial"/>
                <w:i/>
                <w:sz w:val="18"/>
                <w:szCs w:val="18"/>
              </w:rPr>
              <w:t>Operational</w:t>
            </w:r>
            <w:r w:rsidRPr="00D018C0">
              <w:rPr>
                <w:rFonts w:cs="Arial"/>
                <w:i/>
                <w:sz w:val="18"/>
                <w:szCs w:val="18"/>
              </w:rPr>
              <w:t xml:space="preserve"> area intersects 0</w:t>
            </w:r>
            <w:r>
              <w:rPr>
                <w:rFonts w:cs="Arial"/>
                <w:i/>
                <w:sz w:val="18"/>
                <w:szCs w:val="18"/>
              </w:rPr>
              <w:t>.008</w:t>
            </w:r>
            <w:r w:rsidRPr="00D018C0">
              <w:rPr>
                <w:rFonts w:cs="Arial"/>
                <w:i/>
                <w:sz w:val="18"/>
                <w:szCs w:val="18"/>
              </w:rPr>
              <w:t>% of the fishery</w:t>
            </w:r>
            <w:r>
              <w:rPr>
                <w:rFonts w:cs="Arial"/>
                <w:i/>
                <w:sz w:val="18"/>
                <w:szCs w:val="18"/>
              </w:rPr>
              <w:t>.</w:t>
            </w:r>
          </w:p>
          <w:p w14:paraId="378C3BBD" w14:textId="3FEE364B" w:rsidR="00197931" w:rsidRPr="00CB3833" w:rsidRDefault="0051301F" w:rsidP="0051301F">
            <w:pPr>
              <w:pStyle w:val="TableTextform"/>
              <w:rPr>
                <w:rFonts w:eastAsia="MS Mincho" w:cs="Arial"/>
                <w:b/>
                <w:color w:val="auto"/>
                <w:sz w:val="18"/>
                <w:szCs w:val="18"/>
              </w:rPr>
            </w:pPr>
            <w:r w:rsidRPr="00D018C0">
              <w:rPr>
                <w:rFonts w:cs="Arial"/>
                <w:i/>
                <w:sz w:val="18"/>
                <w:szCs w:val="18"/>
              </w:rPr>
              <w:t>EMBA intersects 0.</w:t>
            </w:r>
            <w:r>
              <w:rPr>
                <w:rFonts w:cs="Arial"/>
                <w:i/>
                <w:sz w:val="18"/>
                <w:szCs w:val="18"/>
              </w:rPr>
              <w:t>35</w:t>
            </w:r>
            <w:r w:rsidRPr="00D018C0">
              <w:rPr>
                <w:rFonts w:cs="Arial"/>
                <w:i/>
                <w:sz w:val="18"/>
                <w:szCs w:val="18"/>
              </w:rPr>
              <w:t>% of the fishery.</w:t>
            </w:r>
            <w:r w:rsidRPr="00CE607A">
              <w:rPr>
                <w:rFonts w:cs="Arial"/>
                <w:i/>
                <w:sz w:val="18"/>
                <w:szCs w:val="18"/>
              </w:rPr>
              <w:t xml:space="preserve">  </w:t>
            </w:r>
            <w:r w:rsidR="00CE607A" w:rsidRPr="00CE607A">
              <w:rPr>
                <w:rFonts w:cs="Arial"/>
                <w:i/>
                <w:sz w:val="18"/>
                <w:szCs w:val="18"/>
              </w:rPr>
              <w:t xml:space="preserve">  </w:t>
            </w:r>
          </w:p>
        </w:tc>
        <w:tc>
          <w:tcPr>
            <w:tcW w:w="1417" w:type="dxa"/>
            <w:tcBorders>
              <w:top w:val="single" w:sz="6" w:space="0" w:color="000000"/>
              <w:left w:val="single" w:sz="6" w:space="0" w:color="000000"/>
              <w:bottom w:val="single" w:sz="4" w:space="0" w:color="auto"/>
              <w:right w:val="single" w:sz="6" w:space="0" w:color="000000"/>
            </w:tcBorders>
          </w:tcPr>
          <w:p w14:paraId="19DC9ACA" w14:textId="77777777" w:rsidR="00197931" w:rsidRPr="00CB3833" w:rsidRDefault="00197931" w:rsidP="00197931">
            <w:pPr>
              <w:pStyle w:val="TableTextform"/>
              <w:rPr>
                <w:rFonts w:eastAsia="MS Mincho" w:cs="Arial"/>
                <w:color w:val="auto"/>
                <w:sz w:val="18"/>
                <w:szCs w:val="18"/>
              </w:rPr>
            </w:pPr>
            <w:r w:rsidRPr="00CB3833">
              <w:rPr>
                <w:rFonts w:cs="Arial"/>
                <w:color w:val="auto"/>
                <w:sz w:val="18"/>
                <w:szCs w:val="18"/>
                <w:shd w:val="clear" w:color="auto" w:fill="FFFFFF"/>
              </w:rPr>
              <w:t>Starts in February and ends in June. The season starts off the Port Phillip Bay heads and slowly moves westwards to Portland as the season progresses, following the natural migration of the squid (SIV, 2016).</w:t>
            </w:r>
          </w:p>
        </w:tc>
        <w:tc>
          <w:tcPr>
            <w:tcW w:w="2694" w:type="dxa"/>
            <w:tcBorders>
              <w:top w:val="single" w:sz="6" w:space="0" w:color="000000"/>
              <w:left w:val="single" w:sz="6" w:space="0" w:color="000000"/>
              <w:bottom w:val="single" w:sz="4" w:space="0" w:color="auto"/>
              <w:right w:val="single" w:sz="6" w:space="0" w:color="000000"/>
            </w:tcBorders>
          </w:tcPr>
          <w:p w14:paraId="3F2B005D" w14:textId="77777777" w:rsidR="00932EF3" w:rsidRPr="00CB3833" w:rsidRDefault="00197931" w:rsidP="00197931">
            <w:pPr>
              <w:pStyle w:val="TableTextform"/>
              <w:rPr>
                <w:rFonts w:eastAsia="MS Mincho" w:cs="Arial"/>
                <w:color w:val="auto"/>
                <w:sz w:val="18"/>
                <w:szCs w:val="18"/>
              </w:rPr>
            </w:pPr>
            <w:r w:rsidRPr="00CB3833">
              <w:rPr>
                <w:rFonts w:eastAsia="MS Mincho" w:cs="Arial"/>
                <w:color w:val="auto"/>
                <w:sz w:val="18"/>
                <w:szCs w:val="18"/>
              </w:rPr>
              <w:t xml:space="preserve">Squid jigging is the fishing method used, mainly </w:t>
            </w:r>
            <w:r w:rsidR="00932EF3" w:rsidRPr="00CB3833">
              <w:rPr>
                <w:rFonts w:eastAsia="MS Mincho" w:cs="Arial"/>
                <w:color w:val="auto"/>
                <w:sz w:val="18"/>
                <w:szCs w:val="18"/>
              </w:rPr>
              <w:t xml:space="preserve">at night time and </w:t>
            </w:r>
            <w:r w:rsidRPr="00CB3833">
              <w:rPr>
                <w:rFonts w:eastAsia="MS Mincho" w:cs="Arial"/>
                <w:color w:val="auto"/>
                <w:sz w:val="18"/>
                <w:szCs w:val="18"/>
              </w:rPr>
              <w:t>in water</w:t>
            </w:r>
            <w:r w:rsidR="00932EF3" w:rsidRPr="00CB3833">
              <w:rPr>
                <w:rFonts w:eastAsia="MS Mincho" w:cs="Arial"/>
                <w:color w:val="auto"/>
                <w:sz w:val="18"/>
                <w:szCs w:val="18"/>
              </w:rPr>
              <w:t xml:space="preserve"> depths of 60 to 120 m</w:t>
            </w:r>
            <w:r w:rsidRPr="00CB3833">
              <w:rPr>
                <w:rFonts w:eastAsia="MS Mincho" w:cs="Arial"/>
                <w:color w:val="auto"/>
                <w:sz w:val="18"/>
                <w:szCs w:val="18"/>
              </w:rPr>
              <w:t>.</w:t>
            </w:r>
          </w:p>
          <w:p w14:paraId="6FB9C679" w14:textId="77777777" w:rsidR="00197931" w:rsidRPr="00CB3833" w:rsidRDefault="00932EF3" w:rsidP="00197931">
            <w:pPr>
              <w:pStyle w:val="TableTextform"/>
              <w:rPr>
                <w:rFonts w:eastAsia="MS Mincho" w:cs="Arial"/>
                <w:color w:val="auto"/>
                <w:sz w:val="18"/>
                <w:szCs w:val="18"/>
              </w:rPr>
            </w:pPr>
            <w:r w:rsidRPr="00CB3833">
              <w:rPr>
                <w:rFonts w:eastAsia="MS Mincho" w:cs="Arial"/>
                <w:color w:val="auto"/>
                <w:sz w:val="18"/>
                <w:szCs w:val="18"/>
              </w:rPr>
              <w:t>High-powered lamps are used to attract squid.</w:t>
            </w:r>
            <w:r w:rsidR="00197931" w:rsidRPr="00CB3833">
              <w:rPr>
                <w:rFonts w:eastAsia="MS Mincho" w:cs="Arial"/>
                <w:color w:val="auto"/>
                <w:sz w:val="18"/>
                <w:szCs w:val="18"/>
              </w:rPr>
              <w:t xml:space="preserve"> </w:t>
            </w:r>
          </w:p>
          <w:p w14:paraId="4500163B" w14:textId="77777777" w:rsidR="00932EF3" w:rsidRPr="00CB3833" w:rsidRDefault="00197931" w:rsidP="00197931">
            <w:pPr>
              <w:pStyle w:val="TableTextform"/>
              <w:rPr>
                <w:rFonts w:eastAsia="MS Mincho" w:cs="Arial"/>
                <w:color w:val="auto"/>
                <w:sz w:val="18"/>
                <w:szCs w:val="18"/>
              </w:rPr>
            </w:pPr>
            <w:r w:rsidRPr="00CB3833">
              <w:rPr>
                <w:rFonts w:eastAsia="MS Mincho" w:cs="Arial"/>
                <w:color w:val="auto"/>
                <w:sz w:val="18"/>
                <w:szCs w:val="18"/>
              </w:rPr>
              <w:t xml:space="preserve">In </w:t>
            </w:r>
            <w:r w:rsidR="00932EF3" w:rsidRPr="00CB3833">
              <w:rPr>
                <w:rFonts w:eastAsia="MS Mincho" w:cs="Arial"/>
                <w:color w:val="auto"/>
                <w:sz w:val="18"/>
                <w:szCs w:val="18"/>
              </w:rPr>
              <w:t xml:space="preserve">2015, there were seven active vessels, compared to one vessel in 2014. </w:t>
            </w:r>
          </w:p>
          <w:p w14:paraId="2F619C18" w14:textId="77777777" w:rsidR="00197931" w:rsidRPr="00CB3833" w:rsidRDefault="00197931" w:rsidP="00197931">
            <w:pPr>
              <w:pStyle w:val="TableTextform"/>
              <w:rPr>
                <w:rFonts w:eastAsia="MS Mincho" w:cs="Arial"/>
                <w:color w:val="auto"/>
                <w:sz w:val="18"/>
                <w:szCs w:val="18"/>
              </w:rPr>
            </w:pPr>
            <w:r w:rsidRPr="00CB3833">
              <w:rPr>
                <w:rFonts w:eastAsia="MS Mincho" w:cs="Arial"/>
                <w:color w:val="auto"/>
                <w:sz w:val="18"/>
                <w:szCs w:val="18"/>
              </w:rPr>
              <w:t xml:space="preserve">Portland </w:t>
            </w:r>
            <w:r w:rsidR="00932EF3" w:rsidRPr="00CB3833">
              <w:rPr>
                <w:rFonts w:eastAsia="MS Mincho" w:cs="Arial"/>
                <w:color w:val="auto"/>
                <w:sz w:val="18"/>
                <w:szCs w:val="18"/>
              </w:rPr>
              <w:t xml:space="preserve">and Queenscliff are the </w:t>
            </w:r>
            <w:r w:rsidRPr="00CB3833">
              <w:rPr>
                <w:rFonts w:eastAsia="MS Mincho" w:cs="Arial"/>
                <w:color w:val="auto"/>
                <w:sz w:val="18"/>
                <w:szCs w:val="18"/>
              </w:rPr>
              <w:t>primary landing port</w:t>
            </w:r>
            <w:r w:rsidR="00932EF3" w:rsidRPr="00CB3833">
              <w:rPr>
                <w:rFonts w:eastAsia="MS Mincho" w:cs="Arial"/>
                <w:color w:val="auto"/>
                <w:sz w:val="18"/>
                <w:szCs w:val="18"/>
              </w:rPr>
              <w:t>s</w:t>
            </w:r>
            <w:r w:rsidRPr="00CB3833">
              <w:rPr>
                <w:rFonts w:eastAsia="MS Mincho" w:cs="Arial"/>
                <w:color w:val="auto"/>
                <w:sz w:val="18"/>
                <w:szCs w:val="18"/>
              </w:rPr>
              <w:t>.</w:t>
            </w:r>
          </w:p>
          <w:p w14:paraId="4EAE0335" w14:textId="77777777" w:rsidR="00197931" w:rsidRPr="00CB3833" w:rsidRDefault="00197931" w:rsidP="002E2FAC">
            <w:pPr>
              <w:pStyle w:val="TableTextform"/>
              <w:rPr>
                <w:rFonts w:eastAsia="MS Mincho" w:cs="Arial"/>
                <w:color w:val="auto"/>
                <w:sz w:val="18"/>
                <w:szCs w:val="18"/>
              </w:rPr>
            </w:pPr>
          </w:p>
        </w:tc>
        <w:tc>
          <w:tcPr>
            <w:tcW w:w="2693" w:type="dxa"/>
            <w:tcBorders>
              <w:top w:val="single" w:sz="6" w:space="0" w:color="000000"/>
              <w:left w:val="single" w:sz="6" w:space="0" w:color="000000"/>
              <w:bottom w:val="single" w:sz="4" w:space="0" w:color="auto"/>
              <w:right w:val="single" w:sz="6" w:space="0" w:color="000000"/>
            </w:tcBorders>
          </w:tcPr>
          <w:p w14:paraId="04BDF4D4" w14:textId="77777777" w:rsidR="00197931" w:rsidRPr="00CB3833" w:rsidRDefault="00932EF3" w:rsidP="002E2FAC">
            <w:pPr>
              <w:pStyle w:val="TableTextform"/>
              <w:rPr>
                <w:rFonts w:eastAsia="MS Mincho" w:cs="Arial"/>
                <w:color w:val="auto"/>
                <w:sz w:val="18"/>
                <w:szCs w:val="18"/>
              </w:rPr>
            </w:pPr>
            <w:r w:rsidRPr="00CB3833">
              <w:rPr>
                <w:rFonts w:eastAsia="MS Mincho" w:cs="Arial"/>
                <w:color w:val="auto"/>
                <w:sz w:val="18"/>
                <w:szCs w:val="18"/>
              </w:rPr>
              <w:t xml:space="preserve">The species’ short life span, fast growth and sensitivity to environmental conditions result in strongly fluctuating stock sizes. </w:t>
            </w:r>
          </w:p>
          <w:p w14:paraId="41526097" w14:textId="77777777" w:rsidR="00932EF3" w:rsidRDefault="00932EF3" w:rsidP="0070704B">
            <w:pPr>
              <w:pStyle w:val="TableTextform"/>
              <w:rPr>
                <w:rFonts w:eastAsia="MS Mincho" w:cs="Arial"/>
                <w:color w:val="auto"/>
                <w:sz w:val="18"/>
                <w:szCs w:val="18"/>
              </w:rPr>
            </w:pPr>
            <w:r w:rsidRPr="00CB3833">
              <w:rPr>
                <w:rFonts w:eastAsia="MS Mincho" w:cs="Arial"/>
                <w:color w:val="auto"/>
                <w:sz w:val="18"/>
                <w:szCs w:val="18"/>
              </w:rPr>
              <w:t>Fishery value in 2015 was $890,000</w:t>
            </w:r>
            <w:r w:rsidR="0070704B" w:rsidRPr="00CB3833">
              <w:rPr>
                <w:rFonts w:eastAsia="MS Mincho" w:cs="Arial"/>
                <w:color w:val="auto"/>
                <w:sz w:val="18"/>
                <w:szCs w:val="18"/>
              </w:rPr>
              <w:t xml:space="preserve"> based on a catch of 330 tonnes (compared with 2 tonnes worth $250,000 in 2014)</w:t>
            </w:r>
            <w:r w:rsidRPr="00CB3833">
              <w:rPr>
                <w:rFonts w:eastAsia="MS Mincho" w:cs="Arial"/>
                <w:color w:val="auto"/>
                <w:sz w:val="18"/>
                <w:szCs w:val="18"/>
              </w:rPr>
              <w:t>.</w:t>
            </w:r>
          </w:p>
          <w:p w14:paraId="06662410" w14:textId="1050462B" w:rsidR="00D07D3C" w:rsidRPr="00CB3833" w:rsidRDefault="00D07D3C" w:rsidP="0070704B">
            <w:pPr>
              <w:pStyle w:val="TableTextform"/>
              <w:rPr>
                <w:rFonts w:eastAsia="MS Mincho" w:cs="Arial"/>
                <w:color w:val="auto"/>
                <w:sz w:val="18"/>
                <w:szCs w:val="18"/>
              </w:rPr>
            </w:pPr>
            <w:r>
              <w:rPr>
                <w:rFonts w:eastAsia="MS Mincho" w:cs="Arial"/>
                <w:color w:val="auto"/>
                <w:sz w:val="18"/>
                <w:szCs w:val="18"/>
              </w:rPr>
              <w:t>No recent fishing effort in the proposed acquisition area.</w:t>
            </w:r>
          </w:p>
        </w:tc>
      </w:tr>
      <w:tr w:rsidR="0070704B" w:rsidRPr="00CB3833" w14:paraId="6D63DE8A" w14:textId="77777777" w:rsidTr="00CB3833">
        <w:trPr>
          <w:cantSplit/>
          <w:trHeight w:val="300"/>
        </w:trPr>
        <w:tc>
          <w:tcPr>
            <w:tcW w:w="14176" w:type="dxa"/>
            <w:gridSpan w:val="7"/>
            <w:tcBorders>
              <w:top w:val="nil"/>
              <w:left w:val="single" w:sz="5" w:space="0" w:color="000000"/>
              <w:bottom w:val="single" w:sz="5" w:space="0" w:color="000000"/>
              <w:right w:val="single" w:sz="5" w:space="0" w:color="000000"/>
            </w:tcBorders>
            <w:shd w:val="clear" w:color="auto" w:fill="D9D9D9"/>
          </w:tcPr>
          <w:p w14:paraId="78D3B8C2" w14:textId="69FD1C80" w:rsidR="0070704B" w:rsidRPr="00CB3833" w:rsidRDefault="0070704B" w:rsidP="00AB11D9">
            <w:pPr>
              <w:pStyle w:val="TableTextform"/>
              <w:spacing w:before="60" w:after="60"/>
              <w:rPr>
                <w:rFonts w:eastAsia="MS Mincho" w:cs="Arial"/>
                <w:color w:val="auto"/>
                <w:sz w:val="18"/>
                <w:szCs w:val="18"/>
              </w:rPr>
            </w:pPr>
            <w:r w:rsidRPr="00CB3833">
              <w:rPr>
                <w:rFonts w:cs="Arial"/>
                <w:sz w:val="18"/>
                <w:szCs w:val="18"/>
              </w:rPr>
              <w:t>Southern and Eastern Scalefish and Shark Fishery</w:t>
            </w:r>
          </w:p>
        </w:tc>
      </w:tr>
      <w:tr w:rsidR="00197931" w:rsidRPr="00CB3833" w14:paraId="197E1CDE" w14:textId="77777777" w:rsidTr="00CB3833">
        <w:trPr>
          <w:cantSplit/>
          <w:trHeight w:val="414"/>
        </w:trPr>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2B5D3BE9" w14:textId="714CE240" w:rsidR="00197931" w:rsidRPr="002330FD" w:rsidRDefault="00EA4E8C" w:rsidP="00586061">
            <w:pPr>
              <w:pStyle w:val="TableTextform"/>
              <w:rPr>
                <w:rFonts w:cs="Arial"/>
                <w:color w:val="auto"/>
                <w:sz w:val="18"/>
                <w:szCs w:val="18"/>
              </w:rPr>
            </w:pPr>
            <w:r w:rsidRPr="002330FD">
              <w:rPr>
                <w:rFonts w:cs="Arial"/>
                <w:color w:val="auto"/>
                <w:sz w:val="18"/>
                <w:szCs w:val="18"/>
              </w:rPr>
              <w:lastRenderedPageBreak/>
              <w:t xml:space="preserve">Shark </w:t>
            </w:r>
            <w:r w:rsidR="00197931" w:rsidRPr="002330FD">
              <w:rPr>
                <w:rFonts w:cs="Arial"/>
                <w:color w:val="auto"/>
                <w:sz w:val="18"/>
                <w:szCs w:val="18"/>
              </w:rPr>
              <w:t xml:space="preserve">Gillnet and Shark Hook </w:t>
            </w:r>
            <w:r w:rsidR="00586061" w:rsidRPr="002330FD">
              <w:rPr>
                <w:rFonts w:cs="Arial"/>
                <w:color w:val="auto"/>
                <w:sz w:val="18"/>
                <w:szCs w:val="18"/>
              </w:rPr>
              <w:t>S</w:t>
            </w:r>
            <w:r w:rsidR="00197931" w:rsidRPr="002330FD">
              <w:rPr>
                <w:rFonts w:cs="Arial"/>
                <w:color w:val="auto"/>
                <w:sz w:val="18"/>
                <w:szCs w:val="18"/>
              </w:rPr>
              <w:t>ector</w:t>
            </w:r>
          </w:p>
          <w:p w14:paraId="32D02326" w14:textId="4E541B6A" w:rsidR="007E7151" w:rsidRPr="002330FD" w:rsidRDefault="007E7151" w:rsidP="00AE43A0">
            <w:pPr>
              <w:pStyle w:val="TableTextform"/>
              <w:rPr>
                <w:rFonts w:cs="Arial"/>
                <w:color w:val="auto"/>
                <w:sz w:val="18"/>
                <w:szCs w:val="18"/>
              </w:rPr>
            </w:pPr>
            <w:r w:rsidRPr="002330FD">
              <w:rPr>
                <w:rFonts w:cs="Arial"/>
                <w:color w:val="auto"/>
                <w:sz w:val="18"/>
                <w:szCs w:val="18"/>
              </w:rPr>
              <w:t>(Figure 5.</w:t>
            </w:r>
            <w:r w:rsidR="00AE43A0" w:rsidRPr="002330FD">
              <w:rPr>
                <w:rFonts w:cs="Arial"/>
                <w:color w:val="auto"/>
                <w:sz w:val="18"/>
                <w:szCs w:val="18"/>
              </w:rPr>
              <w:t>24</w:t>
            </w:r>
            <w:r w:rsidRPr="002330FD">
              <w:rPr>
                <w:rFonts w:cs="Arial"/>
                <w:color w:val="auto"/>
                <w:sz w:val="18"/>
                <w:szCs w:val="18"/>
              </w:rPr>
              <w:t>)</w:t>
            </w:r>
          </w:p>
        </w:tc>
        <w:tc>
          <w:tcPr>
            <w:tcW w:w="1843" w:type="dxa"/>
            <w:tcBorders>
              <w:top w:val="single" w:sz="5" w:space="0" w:color="000000"/>
              <w:left w:val="single" w:sz="5" w:space="0" w:color="000000"/>
              <w:bottom w:val="single" w:sz="6" w:space="0" w:color="000000"/>
              <w:right w:val="single" w:sz="5" w:space="0" w:color="000000"/>
            </w:tcBorders>
            <w:shd w:val="clear" w:color="auto" w:fill="auto"/>
          </w:tcPr>
          <w:p w14:paraId="75E149E9" w14:textId="77777777" w:rsidR="00E17711" w:rsidRPr="002330FD" w:rsidRDefault="0061656B" w:rsidP="0061656B">
            <w:pPr>
              <w:pStyle w:val="TableTextform"/>
              <w:rPr>
                <w:rFonts w:eastAsia="MS Mincho" w:cs="Arial"/>
                <w:color w:val="auto"/>
                <w:sz w:val="18"/>
                <w:szCs w:val="18"/>
              </w:rPr>
            </w:pPr>
            <w:r w:rsidRPr="002330FD">
              <w:rPr>
                <w:rFonts w:eastAsia="MS Mincho" w:cs="Arial"/>
                <w:color w:val="auto"/>
                <w:sz w:val="18"/>
                <w:szCs w:val="18"/>
              </w:rPr>
              <w:t>Gummy shark (</w:t>
            </w:r>
            <w:r w:rsidRPr="002330FD">
              <w:rPr>
                <w:rFonts w:eastAsia="MS Mincho" w:cs="Arial"/>
                <w:i/>
                <w:color w:val="auto"/>
                <w:sz w:val="18"/>
                <w:szCs w:val="18"/>
              </w:rPr>
              <w:t>Mustelus antarcticus</w:t>
            </w:r>
            <w:r w:rsidRPr="002330FD">
              <w:rPr>
                <w:rFonts w:eastAsia="MS Mincho" w:cs="Arial"/>
                <w:color w:val="auto"/>
                <w:sz w:val="18"/>
                <w:szCs w:val="18"/>
              </w:rPr>
              <w:t>) is the key target species, with bycatch of e</w:t>
            </w:r>
            <w:r w:rsidR="00346242" w:rsidRPr="002330FD">
              <w:rPr>
                <w:rFonts w:eastAsia="MS Mincho" w:cs="Arial"/>
                <w:color w:val="auto"/>
                <w:sz w:val="18"/>
                <w:szCs w:val="18"/>
              </w:rPr>
              <w:t>lephant fish (</w:t>
            </w:r>
            <w:r w:rsidR="00346242" w:rsidRPr="002330FD">
              <w:rPr>
                <w:rFonts w:eastAsia="MS Mincho" w:cs="Arial"/>
                <w:i/>
                <w:color w:val="auto"/>
                <w:sz w:val="18"/>
                <w:szCs w:val="18"/>
              </w:rPr>
              <w:t>Callorhinchus milii</w:t>
            </w:r>
            <w:r w:rsidR="00346242" w:rsidRPr="002330FD">
              <w:rPr>
                <w:rFonts w:eastAsia="MS Mincho" w:cs="Arial"/>
                <w:color w:val="auto"/>
                <w:sz w:val="18"/>
                <w:szCs w:val="18"/>
              </w:rPr>
              <w:t>), sawshark (</w:t>
            </w:r>
            <w:r w:rsidR="00346242" w:rsidRPr="002330FD">
              <w:rPr>
                <w:rFonts w:eastAsia="MS Mincho" w:cs="Arial"/>
                <w:i/>
                <w:color w:val="auto"/>
                <w:sz w:val="18"/>
                <w:szCs w:val="18"/>
              </w:rPr>
              <w:t>Pristiophorus cirratus, P. nudipinnis</w:t>
            </w:r>
            <w:r w:rsidR="00346242" w:rsidRPr="002330FD">
              <w:rPr>
                <w:rFonts w:eastAsia="MS Mincho" w:cs="Arial"/>
                <w:color w:val="auto"/>
                <w:sz w:val="18"/>
                <w:szCs w:val="18"/>
              </w:rPr>
              <w:t>),</w:t>
            </w:r>
            <w:r w:rsidRPr="002330FD">
              <w:rPr>
                <w:rFonts w:eastAsia="MS Mincho" w:cs="Arial"/>
                <w:color w:val="auto"/>
                <w:sz w:val="18"/>
                <w:szCs w:val="18"/>
              </w:rPr>
              <w:t xml:space="preserve"> and </w:t>
            </w:r>
            <w:r w:rsidR="00346242" w:rsidRPr="002330FD">
              <w:rPr>
                <w:rFonts w:eastAsia="MS Mincho" w:cs="Arial"/>
                <w:color w:val="auto"/>
                <w:sz w:val="18"/>
                <w:szCs w:val="18"/>
              </w:rPr>
              <w:t>school shark (</w:t>
            </w:r>
            <w:r w:rsidR="00346242" w:rsidRPr="002330FD">
              <w:rPr>
                <w:rFonts w:eastAsia="MS Mincho" w:cs="Arial"/>
                <w:i/>
                <w:color w:val="auto"/>
                <w:sz w:val="18"/>
                <w:szCs w:val="18"/>
              </w:rPr>
              <w:t>Galeorhinus galeus</w:t>
            </w:r>
            <w:r w:rsidR="00346242" w:rsidRPr="002330FD">
              <w:rPr>
                <w:rFonts w:eastAsia="MS Mincho" w:cs="Arial"/>
                <w:color w:val="auto"/>
                <w:sz w:val="18"/>
                <w:szCs w:val="18"/>
              </w:rPr>
              <w:t>).</w:t>
            </w:r>
          </w:p>
        </w:tc>
        <w:tc>
          <w:tcPr>
            <w:tcW w:w="1984" w:type="dxa"/>
            <w:tcBorders>
              <w:top w:val="single" w:sz="5" w:space="0" w:color="000000"/>
              <w:left w:val="single" w:sz="5" w:space="0" w:color="000000"/>
              <w:bottom w:val="single" w:sz="5" w:space="0" w:color="000000"/>
              <w:right w:val="single" w:sz="5" w:space="0" w:color="000000"/>
            </w:tcBorders>
          </w:tcPr>
          <w:p w14:paraId="5EDD5911" w14:textId="524662E6" w:rsidR="00E17711" w:rsidRPr="002330FD" w:rsidRDefault="00E17711" w:rsidP="0021251C">
            <w:pPr>
              <w:pStyle w:val="TableTextform"/>
              <w:rPr>
                <w:rFonts w:cs="Arial"/>
                <w:color w:val="auto"/>
                <w:sz w:val="18"/>
                <w:szCs w:val="18"/>
                <w:shd w:val="clear" w:color="auto" w:fill="FFFFFF"/>
              </w:rPr>
            </w:pPr>
            <w:r w:rsidRPr="002330FD">
              <w:rPr>
                <w:rFonts w:cs="Arial"/>
                <w:color w:val="auto"/>
                <w:sz w:val="18"/>
                <w:szCs w:val="18"/>
                <w:shd w:val="clear" w:color="auto" w:fill="FFFFFF"/>
              </w:rPr>
              <w:t xml:space="preserve">Waters from the NSW/Victorian border westward to the SA/WA border, including the waters around Tasmania, from the low water mark to the extent of the AFZ. </w:t>
            </w:r>
          </w:p>
          <w:p w14:paraId="6CAED0E4" w14:textId="0F98C99D" w:rsidR="00197931" w:rsidRPr="002330FD" w:rsidRDefault="0061656B" w:rsidP="00AE43A0">
            <w:pPr>
              <w:pStyle w:val="TableTextform"/>
              <w:rPr>
                <w:rFonts w:cs="Arial"/>
                <w:color w:val="auto"/>
                <w:sz w:val="18"/>
                <w:szCs w:val="18"/>
              </w:rPr>
            </w:pPr>
            <w:r w:rsidRPr="002330FD">
              <w:rPr>
                <w:rFonts w:cs="Arial"/>
                <w:color w:val="auto"/>
                <w:sz w:val="18"/>
                <w:szCs w:val="18"/>
                <w:shd w:val="clear" w:color="auto" w:fill="FFFFFF"/>
              </w:rPr>
              <w:t>Most fishing occurs in waters adjacent to the coastline in Bass Strait</w:t>
            </w:r>
            <w:r w:rsidR="00C3651D" w:rsidRPr="002330FD">
              <w:rPr>
                <w:rFonts w:cs="Arial"/>
                <w:color w:val="auto"/>
                <w:sz w:val="18"/>
                <w:szCs w:val="18"/>
                <w:shd w:val="clear" w:color="auto" w:fill="FFFFFF"/>
              </w:rPr>
              <w:t>, with a low to medium fishing intensity over the proposed acquisition area (Figure 5.</w:t>
            </w:r>
            <w:r w:rsidR="00AE43A0" w:rsidRPr="002330FD">
              <w:rPr>
                <w:rFonts w:cs="Arial"/>
                <w:color w:val="auto"/>
                <w:sz w:val="18"/>
                <w:szCs w:val="18"/>
                <w:shd w:val="clear" w:color="auto" w:fill="FFFFFF"/>
              </w:rPr>
              <w:t>27</w:t>
            </w:r>
            <w:r w:rsidR="00C3651D" w:rsidRPr="002330FD">
              <w:rPr>
                <w:rFonts w:cs="Arial"/>
                <w:color w:val="auto"/>
                <w:sz w:val="18"/>
                <w:szCs w:val="18"/>
                <w:shd w:val="clear" w:color="auto" w:fill="FFFFFF"/>
              </w:rPr>
              <w:t>)</w:t>
            </w:r>
            <w:r w:rsidRPr="002330FD">
              <w:rPr>
                <w:rFonts w:cs="Arial"/>
                <w:color w:val="auto"/>
                <w:sz w:val="18"/>
                <w:szCs w:val="18"/>
                <w:shd w:val="clear" w:color="auto" w:fill="FFFFFF"/>
              </w:rPr>
              <w:t xml:space="preserve">. </w:t>
            </w:r>
          </w:p>
        </w:tc>
        <w:tc>
          <w:tcPr>
            <w:tcW w:w="1985" w:type="dxa"/>
            <w:tcBorders>
              <w:top w:val="single" w:sz="5" w:space="0" w:color="000000"/>
              <w:left w:val="single" w:sz="5" w:space="0" w:color="000000"/>
              <w:bottom w:val="single" w:sz="5" w:space="0" w:color="000000"/>
              <w:right w:val="single" w:sz="5" w:space="0" w:color="000000"/>
            </w:tcBorders>
          </w:tcPr>
          <w:p w14:paraId="0990B45E" w14:textId="77777777" w:rsidR="00197931" w:rsidRPr="00CB3833" w:rsidRDefault="00197931" w:rsidP="00197931">
            <w:pPr>
              <w:pStyle w:val="TableTextform"/>
              <w:rPr>
                <w:rFonts w:eastAsia="MS Mincho" w:cs="Arial"/>
                <w:color w:val="auto"/>
                <w:sz w:val="18"/>
                <w:szCs w:val="18"/>
              </w:rPr>
            </w:pPr>
            <w:r w:rsidRPr="00CB3833">
              <w:rPr>
                <w:rFonts w:eastAsia="MS Mincho" w:cs="Arial"/>
                <w:b/>
                <w:color w:val="auto"/>
                <w:sz w:val="18"/>
                <w:szCs w:val="18"/>
              </w:rPr>
              <w:t xml:space="preserve">Acquisition area – </w:t>
            </w:r>
            <w:r w:rsidR="00346242" w:rsidRPr="00CB3833">
              <w:rPr>
                <w:rFonts w:eastAsia="MS Mincho" w:cs="Arial"/>
                <w:b/>
                <w:color w:val="00B050"/>
                <w:sz w:val="18"/>
                <w:szCs w:val="18"/>
              </w:rPr>
              <w:t xml:space="preserve">Yes </w:t>
            </w:r>
            <w:r w:rsidR="00346242" w:rsidRPr="00CB3833">
              <w:rPr>
                <w:rFonts w:eastAsia="MS Mincho" w:cs="Arial"/>
                <w:color w:val="auto"/>
                <w:sz w:val="18"/>
                <w:szCs w:val="18"/>
              </w:rPr>
              <w:t>based on 2015-16 fishing intensity data (gillnet only, not hook).</w:t>
            </w:r>
            <w:r w:rsidR="00E17711" w:rsidRPr="00CB3833">
              <w:rPr>
                <w:rFonts w:eastAsia="MS Mincho" w:cs="Arial"/>
                <w:color w:val="auto"/>
                <w:sz w:val="18"/>
                <w:szCs w:val="18"/>
              </w:rPr>
              <w:t xml:space="preserve"> </w:t>
            </w:r>
          </w:p>
          <w:p w14:paraId="0F641F3E" w14:textId="77777777" w:rsidR="00197931" w:rsidRPr="00CB3833" w:rsidRDefault="00182296" w:rsidP="00197931">
            <w:pPr>
              <w:pStyle w:val="TableTextform"/>
              <w:rPr>
                <w:rFonts w:eastAsia="MS Mincho" w:cs="Arial"/>
                <w:color w:val="auto"/>
                <w:sz w:val="18"/>
                <w:szCs w:val="18"/>
              </w:rPr>
            </w:pPr>
            <w:r w:rsidRPr="00CB3833">
              <w:rPr>
                <w:rFonts w:eastAsia="MS Mincho" w:cs="Arial"/>
                <w:b/>
                <w:color w:val="auto"/>
                <w:sz w:val="18"/>
                <w:szCs w:val="18"/>
              </w:rPr>
              <w:t xml:space="preserve">Diesel spill </w:t>
            </w:r>
            <w:r w:rsidR="00197931" w:rsidRPr="00CB3833">
              <w:rPr>
                <w:rFonts w:eastAsia="MS Mincho" w:cs="Arial"/>
                <w:b/>
                <w:color w:val="auto"/>
                <w:sz w:val="18"/>
                <w:szCs w:val="18"/>
              </w:rPr>
              <w:t>EMBA –</w:t>
            </w:r>
            <w:r w:rsidR="00D47B40" w:rsidRPr="00CB3833">
              <w:rPr>
                <w:rFonts w:eastAsia="MS Mincho" w:cs="Arial"/>
                <w:b/>
                <w:color w:val="auto"/>
                <w:sz w:val="18"/>
                <w:szCs w:val="18"/>
              </w:rPr>
              <w:t xml:space="preserve"> </w:t>
            </w:r>
            <w:r w:rsidR="00346242" w:rsidRPr="00CB3833">
              <w:rPr>
                <w:rFonts w:eastAsia="MS Mincho" w:cs="Arial"/>
                <w:b/>
                <w:color w:val="00B050"/>
                <w:sz w:val="18"/>
                <w:szCs w:val="18"/>
              </w:rPr>
              <w:t xml:space="preserve">Yes </w:t>
            </w:r>
            <w:r w:rsidR="00346242" w:rsidRPr="00CB3833">
              <w:rPr>
                <w:rFonts w:eastAsia="MS Mincho" w:cs="Arial"/>
                <w:color w:val="auto"/>
                <w:sz w:val="18"/>
                <w:szCs w:val="18"/>
              </w:rPr>
              <w:t>based on 2015-16 fishing intensity data (gillnet only, not hook).</w:t>
            </w:r>
          </w:p>
          <w:p w14:paraId="5E9150A4" w14:textId="27E40F5F" w:rsidR="0051301F" w:rsidRDefault="0051301F" w:rsidP="0051301F">
            <w:pPr>
              <w:pStyle w:val="TableTextform"/>
              <w:rPr>
                <w:rFonts w:cs="Arial"/>
                <w:i/>
                <w:sz w:val="18"/>
                <w:szCs w:val="18"/>
              </w:rPr>
            </w:pPr>
            <w:r>
              <w:rPr>
                <w:rFonts w:cs="Arial"/>
                <w:i/>
                <w:sz w:val="18"/>
                <w:szCs w:val="18"/>
              </w:rPr>
              <w:t xml:space="preserve">Acquisition area intersects 0.008% of the fishery. </w:t>
            </w:r>
          </w:p>
          <w:p w14:paraId="07CF7A59" w14:textId="732E6E60" w:rsidR="0051301F" w:rsidRDefault="0051301F" w:rsidP="0051301F">
            <w:pPr>
              <w:pStyle w:val="TableTextform"/>
              <w:rPr>
                <w:rFonts w:cs="Arial"/>
                <w:i/>
                <w:sz w:val="18"/>
                <w:szCs w:val="18"/>
              </w:rPr>
            </w:pPr>
            <w:r>
              <w:rPr>
                <w:rFonts w:cs="Arial"/>
                <w:i/>
                <w:sz w:val="18"/>
                <w:szCs w:val="18"/>
              </w:rPr>
              <w:t>Operational</w:t>
            </w:r>
            <w:r w:rsidRPr="00D018C0">
              <w:rPr>
                <w:rFonts w:cs="Arial"/>
                <w:i/>
                <w:sz w:val="18"/>
                <w:szCs w:val="18"/>
              </w:rPr>
              <w:t xml:space="preserve"> area intersects 0</w:t>
            </w:r>
            <w:r>
              <w:rPr>
                <w:rFonts w:cs="Arial"/>
                <w:i/>
                <w:sz w:val="18"/>
                <w:szCs w:val="18"/>
              </w:rPr>
              <w:t>.014</w:t>
            </w:r>
            <w:r w:rsidRPr="00D018C0">
              <w:rPr>
                <w:rFonts w:cs="Arial"/>
                <w:i/>
                <w:sz w:val="18"/>
                <w:szCs w:val="18"/>
              </w:rPr>
              <w:t>% of the fishery</w:t>
            </w:r>
            <w:r>
              <w:rPr>
                <w:rFonts w:cs="Arial"/>
                <w:i/>
                <w:sz w:val="18"/>
                <w:szCs w:val="18"/>
              </w:rPr>
              <w:t>.</w:t>
            </w:r>
          </w:p>
          <w:p w14:paraId="0F0F3DA1" w14:textId="3D9568D9" w:rsidR="00197931" w:rsidRPr="00CB3833" w:rsidRDefault="0051301F" w:rsidP="0051301F">
            <w:pPr>
              <w:pStyle w:val="TableTextform"/>
              <w:rPr>
                <w:rFonts w:eastAsia="MS Mincho" w:cs="Arial"/>
                <w:b/>
                <w:color w:val="auto"/>
                <w:sz w:val="18"/>
                <w:szCs w:val="18"/>
              </w:rPr>
            </w:pPr>
            <w:r w:rsidRPr="00D018C0">
              <w:rPr>
                <w:rFonts w:cs="Arial"/>
                <w:i/>
                <w:sz w:val="18"/>
                <w:szCs w:val="18"/>
              </w:rPr>
              <w:t>EMBA intersects 0.</w:t>
            </w:r>
            <w:r>
              <w:rPr>
                <w:rFonts w:cs="Arial"/>
                <w:i/>
                <w:sz w:val="18"/>
                <w:szCs w:val="18"/>
              </w:rPr>
              <w:t>6</w:t>
            </w:r>
            <w:r w:rsidRPr="00D018C0">
              <w:rPr>
                <w:rFonts w:cs="Arial"/>
                <w:i/>
                <w:sz w:val="18"/>
                <w:szCs w:val="18"/>
              </w:rPr>
              <w:t>% of the fishery.</w:t>
            </w:r>
            <w:r w:rsidRPr="00CE607A">
              <w:rPr>
                <w:rFonts w:cs="Arial"/>
                <w:i/>
                <w:sz w:val="18"/>
                <w:szCs w:val="18"/>
              </w:rPr>
              <w:t xml:space="preserve">  </w:t>
            </w:r>
          </w:p>
        </w:tc>
        <w:tc>
          <w:tcPr>
            <w:tcW w:w="1417" w:type="dxa"/>
            <w:tcBorders>
              <w:top w:val="single" w:sz="5" w:space="0" w:color="000000"/>
              <w:left w:val="single" w:sz="5" w:space="0" w:color="000000"/>
              <w:bottom w:val="single" w:sz="5" w:space="0" w:color="000000"/>
              <w:right w:val="single" w:sz="5" w:space="0" w:color="000000"/>
            </w:tcBorders>
          </w:tcPr>
          <w:p w14:paraId="56BC147E" w14:textId="00940105" w:rsidR="00197931" w:rsidRPr="00CB3833" w:rsidRDefault="00774512" w:rsidP="002E2FAC">
            <w:pPr>
              <w:pStyle w:val="TableTextform"/>
              <w:rPr>
                <w:rFonts w:eastAsia="MS Mincho" w:cs="Arial"/>
                <w:color w:val="auto"/>
                <w:sz w:val="18"/>
                <w:szCs w:val="18"/>
              </w:rPr>
            </w:pPr>
            <w:r>
              <w:rPr>
                <w:rFonts w:eastAsia="MS Mincho" w:cs="Arial"/>
                <w:color w:val="auto"/>
                <w:sz w:val="18"/>
                <w:szCs w:val="18"/>
              </w:rPr>
              <w:t>12-</w:t>
            </w:r>
            <w:r w:rsidR="00D47B40" w:rsidRPr="00CB3833">
              <w:rPr>
                <w:rFonts w:eastAsia="MS Mincho" w:cs="Arial"/>
                <w:color w:val="auto"/>
                <w:sz w:val="18"/>
                <w:szCs w:val="18"/>
              </w:rPr>
              <w:t>month season, beginning 1</w:t>
            </w:r>
            <w:r w:rsidR="00D47B40" w:rsidRPr="00CB3833">
              <w:rPr>
                <w:rFonts w:eastAsia="MS Mincho" w:cs="Arial"/>
                <w:color w:val="auto"/>
                <w:sz w:val="18"/>
                <w:szCs w:val="18"/>
                <w:vertAlign w:val="superscript"/>
              </w:rPr>
              <w:t>st</w:t>
            </w:r>
            <w:r w:rsidR="00D47B40" w:rsidRPr="00CB3833">
              <w:rPr>
                <w:rFonts w:eastAsia="MS Mincho" w:cs="Arial"/>
                <w:color w:val="auto"/>
                <w:sz w:val="18"/>
                <w:szCs w:val="18"/>
              </w:rPr>
              <w:t xml:space="preserve"> May. </w:t>
            </w:r>
          </w:p>
        </w:tc>
        <w:tc>
          <w:tcPr>
            <w:tcW w:w="2694" w:type="dxa"/>
            <w:tcBorders>
              <w:top w:val="single" w:sz="5" w:space="0" w:color="000000"/>
              <w:left w:val="single" w:sz="5" w:space="0" w:color="000000"/>
              <w:bottom w:val="single" w:sz="5" w:space="0" w:color="000000"/>
              <w:right w:val="single" w:sz="5" w:space="0" w:color="000000"/>
            </w:tcBorders>
          </w:tcPr>
          <w:p w14:paraId="086AF8CC" w14:textId="77777777" w:rsidR="00197931" w:rsidRPr="00CB3833" w:rsidRDefault="0061656B" w:rsidP="002E2FAC">
            <w:pPr>
              <w:pStyle w:val="TableTextform"/>
              <w:rPr>
                <w:rFonts w:eastAsia="MS Mincho" w:cs="Arial"/>
                <w:color w:val="auto"/>
                <w:sz w:val="18"/>
                <w:szCs w:val="18"/>
              </w:rPr>
            </w:pPr>
            <w:r w:rsidRPr="00CB3833">
              <w:rPr>
                <w:rFonts w:eastAsia="MS Mincho" w:cs="Arial"/>
                <w:color w:val="auto"/>
                <w:sz w:val="18"/>
                <w:szCs w:val="18"/>
              </w:rPr>
              <w:t>Demersal gillnet and a variety of line methods</w:t>
            </w:r>
            <w:r w:rsidR="00425617" w:rsidRPr="00CB3833">
              <w:rPr>
                <w:rFonts w:eastAsia="MS Mincho" w:cs="Arial"/>
                <w:color w:val="auto"/>
                <w:sz w:val="18"/>
                <w:szCs w:val="18"/>
              </w:rPr>
              <w:t>.</w:t>
            </w:r>
          </w:p>
          <w:p w14:paraId="0AD7677B" w14:textId="77777777" w:rsidR="00425617" w:rsidRPr="00CB3833" w:rsidRDefault="00425617" w:rsidP="002E2FAC">
            <w:pPr>
              <w:pStyle w:val="TableTextform"/>
              <w:rPr>
                <w:rFonts w:eastAsia="MS Mincho" w:cs="Arial"/>
                <w:color w:val="auto"/>
                <w:sz w:val="18"/>
                <w:szCs w:val="18"/>
              </w:rPr>
            </w:pPr>
            <w:r w:rsidRPr="00CB3833">
              <w:rPr>
                <w:rFonts w:eastAsia="MS Mincho" w:cs="Arial"/>
                <w:color w:val="auto"/>
                <w:sz w:val="18"/>
                <w:szCs w:val="18"/>
              </w:rPr>
              <w:t>61 gillnet permits and 13 hook permits in 2015-16 (same as 2014-15).</w:t>
            </w:r>
          </w:p>
        </w:tc>
        <w:tc>
          <w:tcPr>
            <w:tcW w:w="2693" w:type="dxa"/>
            <w:tcBorders>
              <w:top w:val="single" w:sz="5" w:space="0" w:color="000000"/>
              <w:left w:val="single" w:sz="5" w:space="0" w:color="000000"/>
              <w:bottom w:val="single" w:sz="5" w:space="0" w:color="000000"/>
              <w:right w:val="single" w:sz="5" w:space="0" w:color="000000"/>
            </w:tcBorders>
          </w:tcPr>
          <w:p w14:paraId="04A98419" w14:textId="2E3B5815" w:rsidR="00197931" w:rsidRPr="00CB3833" w:rsidRDefault="00017A8B" w:rsidP="00017A8B">
            <w:pPr>
              <w:pStyle w:val="TableTextform"/>
              <w:rPr>
                <w:rFonts w:eastAsia="MS Mincho" w:cs="Arial"/>
                <w:color w:val="auto"/>
                <w:sz w:val="18"/>
                <w:szCs w:val="18"/>
              </w:rPr>
            </w:pPr>
            <w:r w:rsidRPr="00CB3833">
              <w:rPr>
                <w:rFonts w:eastAsia="MS Mincho" w:cs="Arial"/>
                <w:color w:val="auto"/>
                <w:sz w:val="18"/>
                <w:szCs w:val="18"/>
              </w:rPr>
              <w:t xml:space="preserve">In 2015-16, the SESS </w:t>
            </w:r>
            <w:r w:rsidR="00AB11D9">
              <w:rPr>
                <w:rFonts w:eastAsia="MS Mincho" w:cs="Arial"/>
                <w:color w:val="auto"/>
                <w:sz w:val="18"/>
                <w:szCs w:val="18"/>
              </w:rPr>
              <w:t xml:space="preserve">Fishery </w:t>
            </w:r>
            <w:r w:rsidRPr="00CB3833">
              <w:rPr>
                <w:rFonts w:eastAsia="MS Mincho" w:cs="Arial"/>
                <w:color w:val="auto"/>
                <w:sz w:val="18"/>
                <w:szCs w:val="18"/>
              </w:rPr>
              <w:t>is the largest Commonwealth fishery in terms of volume produced.</w:t>
            </w:r>
          </w:p>
          <w:p w14:paraId="763D5F36" w14:textId="77777777" w:rsidR="0061656B" w:rsidRPr="00CB3833" w:rsidRDefault="0061656B" w:rsidP="00017A8B">
            <w:pPr>
              <w:pStyle w:val="TableTextform"/>
              <w:rPr>
                <w:rFonts w:eastAsia="MS Mincho" w:cs="Arial"/>
                <w:color w:val="auto"/>
                <w:sz w:val="18"/>
                <w:szCs w:val="18"/>
              </w:rPr>
            </w:pPr>
            <w:r w:rsidRPr="00CB3833">
              <w:rPr>
                <w:rFonts w:eastAsia="MS Mincho" w:cs="Arial"/>
                <w:color w:val="auto"/>
                <w:sz w:val="18"/>
                <w:szCs w:val="18"/>
              </w:rPr>
              <w:t xml:space="preserve">1,960 tonnes in 2015-16 with an unknown dollar value. </w:t>
            </w:r>
          </w:p>
          <w:p w14:paraId="2B7A9A4C" w14:textId="77777777" w:rsidR="0061656B" w:rsidRPr="00CB3833" w:rsidRDefault="0061656B" w:rsidP="00017A8B">
            <w:pPr>
              <w:pStyle w:val="TableTextform"/>
              <w:rPr>
                <w:rFonts w:eastAsia="MS Mincho" w:cs="Arial"/>
                <w:color w:val="auto"/>
                <w:sz w:val="18"/>
                <w:szCs w:val="18"/>
              </w:rPr>
            </w:pPr>
            <w:r w:rsidRPr="00CB3833">
              <w:rPr>
                <w:rFonts w:eastAsia="MS Mincho" w:cs="Arial"/>
                <w:color w:val="auto"/>
                <w:sz w:val="18"/>
                <w:szCs w:val="18"/>
              </w:rPr>
              <w:t>1,710 tonnes in 2014-15 with a value of $15.6 million.</w:t>
            </w:r>
          </w:p>
        </w:tc>
      </w:tr>
      <w:tr w:rsidR="00361AFE" w:rsidRPr="00CB3833" w14:paraId="3C0940B7" w14:textId="77777777" w:rsidTr="00CB3833">
        <w:trPr>
          <w:cantSplit/>
          <w:trHeight w:val="414"/>
        </w:trPr>
        <w:tc>
          <w:tcPr>
            <w:tcW w:w="1560" w:type="dxa"/>
            <w:tcBorders>
              <w:top w:val="single" w:sz="5" w:space="0" w:color="000000"/>
              <w:left w:val="single" w:sz="5" w:space="0" w:color="000000"/>
              <w:bottom w:val="single" w:sz="5" w:space="0" w:color="000000"/>
              <w:right w:val="single" w:sz="6" w:space="0" w:color="000000"/>
            </w:tcBorders>
            <w:shd w:val="clear" w:color="auto" w:fill="auto"/>
          </w:tcPr>
          <w:p w14:paraId="16264086" w14:textId="77777777" w:rsidR="00361AFE" w:rsidRPr="002330FD" w:rsidRDefault="00361AFE" w:rsidP="00361AFE">
            <w:pPr>
              <w:pStyle w:val="TableTextform"/>
              <w:rPr>
                <w:rFonts w:cs="Arial"/>
                <w:color w:val="auto"/>
                <w:sz w:val="18"/>
                <w:szCs w:val="18"/>
              </w:rPr>
            </w:pPr>
            <w:r w:rsidRPr="002330FD">
              <w:rPr>
                <w:rFonts w:cs="Arial"/>
                <w:color w:val="auto"/>
                <w:sz w:val="18"/>
                <w:szCs w:val="18"/>
              </w:rPr>
              <w:t>Commonwealth Trawl Sector (CTS)</w:t>
            </w:r>
          </w:p>
          <w:p w14:paraId="54862048" w14:textId="446C2E2F" w:rsidR="007E7151" w:rsidRPr="002330FD" w:rsidRDefault="007E7151" w:rsidP="00AE43A0">
            <w:pPr>
              <w:pStyle w:val="TableTextform"/>
              <w:rPr>
                <w:rFonts w:cs="Arial"/>
                <w:color w:val="auto"/>
                <w:sz w:val="18"/>
                <w:szCs w:val="18"/>
              </w:rPr>
            </w:pPr>
            <w:r w:rsidRPr="002330FD">
              <w:rPr>
                <w:rFonts w:cs="Arial"/>
                <w:color w:val="auto"/>
                <w:sz w:val="18"/>
                <w:szCs w:val="18"/>
              </w:rPr>
              <w:t>(Figure 5.</w:t>
            </w:r>
            <w:r w:rsidR="00AE43A0" w:rsidRPr="002330FD">
              <w:rPr>
                <w:rFonts w:cs="Arial"/>
                <w:color w:val="auto"/>
                <w:sz w:val="18"/>
                <w:szCs w:val="18"/>
              </w:rPr>
              <w:t>25</w:t>
            </w:r>
            <w:r w:rsidRPr="002330FD">
              <w:rPr>
                <w:rFonts w:cs="Arial"/>
                <w:color w:val="auto"/>
                <w:sz w:val="18"/>
                <w:szCs w:val="18"/>
              </w:rPr>
              <w:t>)</w:t>
            </w:r>
          </w:p>
        </w:tc>
        <w:tc>
          <w:tcPr>
            <w:tcW w:w="1843" w:type="dxa"/>
            <w:tcBorders>
              <w:top w:val="single" w:sz="6" w:space="0" w:color="000000"/>
              <w:left w:val="single" w:sz="6" w:space="0" w:color="000000"/>
              <w:bottom w:val="single" w:sz="4" w:space="0" w:color="auto"/>
              <w:right w:val="single" w:sz="6" w:space="0" w:color="000000"/>
            </w:tcBorders>
            <w:shd w:val="clear" w:color="auto" w:fill="auto"/>
          </w:tcPr>
          <w:p w14:paraId="38914E90" w14:textId="0F754E14" w:rsidR="00361AFE" w:rsidRPr="002330FD" w:rsidRDefault="00E05E2D" w:rsidP="00017A8B">
            <w:pPr>
              <w:pStyle w:val="TableTextform"/>
              <w:rPr>
                <w:rFonts w:cs="Arial"/>
                <w:color w:val="auto"/>
                <w:sz w:val="18"/>
                <w:szCs w:val="18"/>
              </w:rPr>
            </w:pPr>
            <w:r w:rsidRPr="002330FD">
              <w:rPr>
                <w:rFonts w:cs="Arial"/>
                <w:color w:val="auto"/>
                <w:sz w:val="18"/>
                <w:szCs w:val="18"/>
              </w:rPr>
              <w:t>Key species targeted are</w:t>
            </w:r>
            <w:r w:rsidR="00361AFE" w:rsidRPr="002330FD">
              <w:rPr>
                <w:rFonts w:cs="Arial"/>
                <w:color w:val="auto"/>
                <w:sz w:val="18"/>
                <w:szCs w:val="18"/>
              </w:rPr>
              <w:t xml:space="preserve"> </w:t>
            </w:r>
            <w:r w:rsidR="00EB78E2" w:rsidRPr="002330FD">
              <w:rPr>
                <w:rFonts w:cs="Arial"/>
                <w:color w:val="auto"/>
                <w:sz w:val="18"/>
                <w:szCs w:val="18"/>
              </w:rPr>
              <w:t>eastern school whiting (</w:t>
            </w:r>
            <w:r w:rsidR="00EB78E2" w:rsidRPr="002330FD">
              <w:rPr>
                <w:rFonts w:cs="Arial"/>
                <w:i/>
                <w:color w:val="auto"/>
                <w:sz w:val="18"/>
                <w:szCs w:val="18"/>
              </w:rPr>
              <w:t>Sillago flindersi</w:t>
            </w:r>
            <w:r w:rsidR="00EB78E2" w:rsidRPr="002330FD">
              <w:rPr>
                <w:rFonts w:cs="Arial"/>
                <w:color w:val="auto"/>
                <w:sz w:val="18"/>
                <w:szCs w:val="18"/>
              </w:rPr>
              <w:t>), flathead (</w:t>
            </w:r>
            <w:r w:rsidR="00EB78E2" w:rsidRPr="002330FD">
              <w:rPr>
                <w:rFonts w:cs="Arial"/>
                <w:i/>
                <w:color w:val="auto"/>
                <w:sz w:val="18"/>
                <w:szCs w:val="18"/>
              </w:rPr>
              <w:t>Platycephalus richardsoni</w:t>
            </w:r>
            <w:r w:rsidRPr="002330FD">
              <w:rPr>
                <w:rFonts w:cs="Arial"/>
                <w:color w:val="auto"/>
                <w:sz w:val="18"/>
                <w:szCs w:val="18"/>
              </w:rPr>
              <w:t>) and gummy shark (</w:t>
            </w:r>
            <w:r w:rsidRPr="002330FD">
              <w:rPr>
                <w:rFonts w:cs="Arial"/>
                <w:i/>
                <w:color w:val="auto"/>
                <w:sz w:val="18"/>
                <w:szCs w:val="18"/>
              </w:rPr>
              <w:t>Mustelus antarcticus</w:t>
            </w:r>
            <w:r w:rsidRPr="002330FD">
              <w:rPr>
                <w:rFonts w:cs="Arial"/>
                <w:color w:val="auto"/>
                <w:sz w:val="18"/>
                <w:szCs w:val="18"/>
              </w:rPr>
              <w:t>).</w:t>
            </w:r>
          </w:p>
          <w:p w14:paraId="397FAD13" w14:textId="3E6F3422" w:rsidR="00361AFE" w:rsidRPr="002330FD" w:rsidRDefault="00361AFE" w:rsidP="00E05E2D">
            <w:pPr>
              <w:pStyle w:val="TableTextform"/>
              <w:rPr>
                <w:rFonts w:cs="Arial"/>
                <w:color w:val="auto"/>
                <w:sz w:val="18"/>
                <w:szCs w:val="18"/>
              </w:rPr>
            </w:pPr>
          </w:p>
        </w:tc>
        <w:tc>
          <w:tcPr>
            <w:tcW w:w="1984" w:type="dxa"/>
            <w:tcBorders>
              <w:top w:val="single" w:sz="5" w:space="0" w:color="000000"/>
              <w:left w:val="single" w:sz="6" w:space="0" w:color="000000"/>
              <w:bottom w:val="single" w:sz="5" w:space="0" w:color="000000"/>
              <w:right w:val="single" w:sz="5" w:space="0" w:color="000000"/>
            </w:tcBorders>
          </w:tcPr>
          <w:p w14:paraId="721F85AB" w14:textId="77777777" w:rsidR="00361AFE" w:rsidRPr="002330FD" w:rsidRDefault="00361AFE" w:rsidP="00E17711">
            <w:pPr>
              <w:pStyle w:val="TableTextform"/>
              <w:rPr>
                <w:rFonts w:cs="Arial"/>
                <w:color w:val="auto"/>
                <w:sz w:val="18"/>
                <w:szCs w:val="18"/>
              </w:rPr>
            </w:pPr>
            <w:r w:rsidRPr="002330FD">
              <w:rPr>
                <w:rFonts w:cs="Arial"/>
                <w:color w:val="auto"/>
                <w:sz w:val="18"/>
                <w:szCs w:val="18"/>
                <w:shd w:val="clear" w:color="auto" w:fill="FFFFFF"/>
              </w:rPr>
              <w:t>Covers the area of the AFZ extending southward from Barrenjoey Point (north of Sydney) around the New South Wales, Victorian and Tasmanian coastlines to Cape Jervis in South Australia</w:t>
            </w:r>
            <w:r w:rsidRPr="002330FD">
              <w:rPr>
                <w:rFonts w:cs="Arial"/>
                <w:color w:val="auto"/>
                <w:sz w:val="18"/>
                <w:szCs w:val="18"/>
              </w:rPr>
              <w:t xml:space="preserve">. </w:t>
            </w:r>
          </w:p>
          <w:p w14:paraId="3E57F42C" w14:textId="60EAFB54" w:rsidR="00361AFE" w:rsidRPr="002330FD" w:rsidRDefault="00361AFE" w:rsidP="00AE43A0">
            <w:pPr>
              <w:pStyle w:val="TableTextform"/>
              <w:rPr>
                <w:rFonts w:cs="Arial"/>
                <w:color w:val="auto"/>
                <w:sz w:val="18"/>
                <w:szCs w:val="18"/>
              </w:rPr>
            </w:pPr>
            <w:r w:rsidRPr="002330FD">
              <w:rPr>
                <w:rFonts w:cs="Arial"/>
                <w:color w:val="auto"/>
                <w:sz w:val="18"/>
                <w:szCs w:val="18"/>
              </w:rPr>
              <w:t>Effort increasingly concentrated on the continental shelf, rather than historical areas of the slope</w:t>
            </w:r>
            <w:r w:rsidR="00C3651D" w:rsidRPr="002330FD">
              <w:rPr>
                <w:rFonts w:cs="Arial"/>
                <w:color w:val="auto"/>
                <w:sz w:val="18"/>
                <w:szCs w:val="18"/>
              </w:rPr>
              <w:t xml:space="preserve"> </w:t>
            </w:r>
            <w:r w:rsidR="00C3651D" w:rsidRPr="002330FD">
              <w:rPr>
                <w:rFonts w:cs="Arial"/>
                <w:color w:val="auto"/>
                <w:sz w:val="18"/>
                <w:szCs w:val="18"/>
                <w:shd w:val="clear" w:color="auto" w:fill="FFFFFF"/>
              </w:rPr>
              <w:t>(Figure 5.</w:t>
            </w:r>
            <w:r w:rsidR="00AE43A0" w:rsidRPr="002330FD">
              <w:rPr>
                <w:rFonts w:cs="Arial"/>
                <w:color w:val="auto"/>
                <w:sz w:val="18"/>
                <w:szCs w:val="18"/>
                <w:shd w:val="clear" w:color="auto" w:fill="FFFFFF"/>
              </w:rPr>
              <w:t>28</w:t>
            </w:r>
            <w:r w:rsidR="00C3651D" w:rsidRPr="002330FD">
              <w:rPr>
                <w:rFonts w:cs="Arial"/>
                <w:color w:val="auto"/>
                <w:sz w:val="18"/>
                <w:szCs w:val="18"/>
                <w:shd w:val="clear" w:color="auto" w:fill="FFFFFF"/>
              </w:rPr>
              <w:t>)</w:t>
            </w:r>
            <w:r w:rsidRPr="002330FD">
              <w:rPr>
                <w:rFonts w:cs="Arial"/>
                <w:color w:val="auto"/>
                <w:sz w:val="18"/>
                <w:szCs w:val="18"/>
              </w:rPr>
              <w:t>.</w:t>
            </w:r>
          </w:p>
        </w:tc>
        <w:tc>
          <w:tcPr>
            <w:tcW w:w="1985" w:type="dxa"/>
            <w:tcBorders>
              <w:top w:val="single" w:sz="5" w:space="0" w:color="000000"/>
              <w:left w:val="single" w:sz="5" w:space="0" w:color="000000"/>
              <w:bottom w:val="single" w:sz="5" w:space="0" w:color="000000"/>
              <w:right w:val="single" w:sz="5" w:space="0" w:color="000000"/>
            </w:tcBorders>
          </w:tcPr>
          <w:p w14:paraId="4F3F09FC" w14:textId="0FC7297E" w:rsidR="00361AFE" w:rsidRPr="00CB3833" w:rsidRDefault="00361AFE" w:rsidP="00E17711">
            <w:pPr>
              <w:pStyle w:val="TableTextform"/>
              <w:rPr>
                <w:rFonts w:eastAsia="MS Mincho" w:cs="Arial"/>
                <w:color w:val="auto"/>
                <w:sz w:val="18"/>
                <w:szCs w:val="18"/>
              </w:rPr>
            </w:pPr>
            <w:r w:rsidRPr="00CB3833">
              <w:rPr>
                <w:rFonts w:eastAsia="MS Mincho" w:cs="Arial"/>
                <w:b/>
                <w:color w:val="auto"/>
                <w:sz w:val="18"/>
                <w:szCs w:val="18"/>
              </w:rPr>
              <w:t xml:space="preserve">Acquisition area – </w:t>
            </w:r>
            <w:r w:rsidRPr="00CB3833">
              <w:rPr>
                <w:rFonts w:eastAsia="MS Mincho" w:cs="Arial"/>
                <w:b/>
                <w:color w:val="FF0000"/>
                <w:sz w:val="18"/>
                <w:szCs w:val="18"/>
              </w:rPr>
              <w:t>No</w:t>
            </w:r>
            <w:r w:rsidRPr="00CB3833">
              <w:rPr>
                <w:rFonts w:eastAsia="MS Mincho" w:cs="Arial"/>
                <w:color w:val="FF0000"/>
                <w:sz w:val="18"/>
                <w:szCs w:val="18"/>
              </w:rPr>
              <w:t xml:space="preserve"> </w:t>
            </w:r>
            <w:r w:rsidRPr="00CB3833">
              <w:rPr>
                <w:rFonts w:eastAsia="MS Mincho" w:cs="Arial"/>
                <w:color w:val="auto"/>
                <w:sz w:val="18"/>
                <w:szCs w:val="18"/>
              </w:rPr>
              <w:t>based on 2015-16 fishing intensity data (</w:t>
            </w:r>
            <w:r w:rsidR="006F7DB1">
              <w:rPr>
                <w:rFonts w:eastAsia="MS Mincho" w:cs="Arial"/>
                <w:color w:val="auto"/>
                <w:sz w:val="18"/>
                <w:szCs w:val="18"/>
              </w:rPr>
              <w:t xml:space="preserve">but </w:t>
            </w:r>
            <w:r w:rsidRPr="00CB3833">
              <w:rPr>
                <w:rFonts w:eastAsia="MS Mincho" w:cs="Arial"/>
                <w:color w:val="auto"/>
                <w:sz w:val="18"/>
                <w:szCs w:val="18"/>
              </w:rPr>
              <w:t>‘</w:t>
            </w:r>
            <w:r w:rsidRPr="006F7DB1">
              <w:rPr>
                <w:rFonts w:eastAsia="MS Mincho" w:cs="Arial"/>
                <w:b/>
                <w:color w:val="00B050"/>
                <w:sz w:val="18"/>
                <w:szCs w:val="18"/>
              </w:rPr>
              <w:t>yes</w:t>
            </w:r>
            <w:r w:rsidRPr="00CB3833">
              <w:rPr>
                <w:rFonts w:eastAsia="MS Mincho" w:cs="Arial"/>
                <w:color w:val="auto"/>
                <w:sz w:val="18"/>
                <w:szCs w:val="18"/>
              </w:rPr>
              <w:t>’ based on total area fished).</w:t>
            </w:r>
          </w:p>
          <w:p w14:paraId="30B8D0DA" w14:textId="77777777" w:rsidR="00361AFE" w:rsidRDefault="00361AFE" w:rsidP="002E2FAC">
            <w:pPr>
              <w:pStyle w:val="TableTextform"/>
              <w:rPr>
                <w:rFonts w:eastAsia="MS Mincho" w:cs="Arial"/>
                <w:color w:val="auto"/>
                <w:sz w:val="18"/>
                <w:szCs w:val="18"/>
              </w:rPr>
            </w:pPr>
            <w:r w:rsidRPr="00CB3833">
              <w:rPr>
                <w:rFonts w:eastAsia="MS Mincho" w:cs="Arial"/>
                <w:b/>
                <w:color w:val="auto"/>
                <w:sz w:val="18"/>
                <w:szCs w:val="18"/>
              </w:rPr>
              <w:t xml:space="preserve">Diesel spill EMBA – </w:t>
            </w:r>
            <w:r w:rsidRPr="00CB3833">
              <w:rPr>
                <w:rFonts w:eastAsia="MS Mincho" w:cs="Arial"/>
                <w:b/>
                <w:color w:val="00B050"/>
                <w:sz w:val="18"/>
                <w:szCs w:val="18"/>
              </w:rPr>
              <w:t>Yes</w:t>
            </w:r>
            <w:r w:rsidRPr="00CB3833">
              <w:rPr>
                <w:rFonts w:eastAsia="MS Mincho" w:cs="Arial"/>
                <w:color w:val="auto"/>
                <w:sz w:val="18"/>
                <w:szCs w:val="18"/>
              </w:rPr>
              <w:t xml:space="preserve"> based on 2015-16 fishing intensity data.</w:t>
            </w:r>
          </w:p>
          <w:p w14:paraId="49E6EE0C" w14:textId="1845BF6A" w:rsidR="0051301F" w:rsidRDefault="0051301F" w:rsidP="0051301F">
            <w:pPr>
              <w:pStyle w:val="TableTextform"/>
              <w:rPr>
                <w:rFonts w:cs="Arial"/>
                <w:i/>
                <w:sz w:val="18"/>
                <w:szCs w:val="18"/>
              </w:rPr>
            </w:pPr>
            <w:r>
              <w:rPr>
                <w:rFonts w:cs="Arial"/>
                <w:i/>
                <w:sz w:val="18"/>
                <w:szCs w:val="18"/>
              </w:rPr>
              <w:t xml:space="preserve">Acquisition area intersects 0.009% of the fishery. </w:t>
            </w:r>
          </w:p>
          <w:p w14:paraId="3B47311B" w14:textId="46CD092B" w:rsidR="0051301F" w:rsidRDefault="0051301F" w:rsidP="0051301F">
            <w:pPr>
              <w:pStyle w:val="TableTextform"/>
              <w:rPr>
                <w:rFonts w:cs="Arial"/>
                <w:i/>
                <w:sz w:val="18"/>
                <w:szCs w:val="18"/>
              </w:rPr>
            </w:pPr>
            <w:r>
              <w:rPr>
                <w:rFonts w:cs="Arial"/>
                <w:i/>
                <w:sz w:val="18"/>
                <w:szCs w:val="18"/>
              </w:rPr>
              <w:t>Operational</w:t>
            </w:r>
            <w:r w:rsidRPr="00D018C0">
              <w:rPr>
                <w:rFonts w:cs="Arial"/>
                <w:i/>
                <w:sz w:val="18"/>
                <w:szCs w:val="18"/>
              </w:rPr>
              <w:t xml:space="preserve"> area intersects 0</w:t>
            </w:r>
            <w:r>
              <w:rPr>
                <w:rFonts w:cs="Arial"/>
                <w:i/>
                <w:sz w:val="18"/>
                <w:szCs w:val="18"/>
              </w:rPr>
              <w:t>.017</w:t>
            </w:r>
            <w:r w:rsidRPr="00D018C0">
              <w:rPr>
                <w:rFonts w:cs="Arial"/>
                <w:i/>
                <w:sz w:val="18"/>
                <w:szCs w:val="18"/>
              </w:rPr>
              <w:t>% of the fishery</w:t>
            </w:r>
            <w:r>
              <w:rPr>
                <w:rFonts w:cs="Arial"/>
                <w:i/>
                <w:sz w:val="18"/>
                <w:szCs w:val="18"/>
              </w:rPr>
              <w:t>.</w:t>
            </w:r>
          </w:p>
          <w:p w14:paraId="406EE5C2" w14:textId="42E59149" w:rsidR="00CE607A" w:rsidRPr="00CB3833" w:rsidRDefault="0051301F" w:rsidP="0051301F">
            <w:pPr>
              <w:pStyle w:val="TableTextform"/>
              <w:rPr>
                <w:rFonts w:eastAsia="MS Mincho" w:cs="Arial"/>
                <w:color w:val="auto"/>
                <w:sz w:val="18"/>
                <w:szCs w:val="18"/>
              </w:rPr>
            </w:pPr>
            <w:r w:rsidRPr="00D018C0">
              <w:rPr>
                <w:rFonts w:cs="Arial"/>
                <w:i/>
                <w:sz w:val="18"/>
                <w:szCs w:val="18"/>
              </w:rPr>
              <w:t>EMBA intersects 0.</w:t>
            </w:r>
            <w:r>
              <w:rPr>
                <w:rFonts w:cs="Arial"/>
                <w:i/>
                <w:sz w:val="18"/>
                <w:szCs w:val="18"/>
              </w:rPr>
              <w:t>76</w:t>
            </w:r>
            <w:r w:rsidRPr="00D018C0">
              <w:rPr>
                <w:rFonts w:cs="Arial"/>
                <w:i/>
                <w:sz w:val="18"/>
                <w:szCs w:val="18"/>
              </w:rPr>
              <w:t>% of the fishery.</w:t>
            </w:r>
            <w:r w:rsidRPr="00CE607A">
              <w:rPr>
                <w:rFonts w:cs="Arial"/>
                <w:i/>
                <w:sz w:val="18"/>
                <w:szCs w:val="18"/>
              </w:rPr>
              <w:t xml:space="preserve">  </w:t>
            </w:r>
          </w:p>
        </w:tc>
        <w:tc>
          <w:tcPr>
            <w:tcW w:w="1417" w:type="dxa"/>
            <w:tcBorders>
              <w:top w:val="single" w:sz="5" w:space="0" w:color="000000"/>
              <w:left w:val="single" w:sz="5" w:space="0" w:color="000000"/>
              <w:bottom w:val="single" w:sz="5" w:space="0" w:color="000000"/>
              <w:right w:val="single" w:sz="5" w:space="0" w:color="000000"/>
            </w:tcBorders>
          </w:tcPr>
          <w:p w14:paraId="44181001" w14:textId="77777777" w:rsidR="00361AFE" w:rsidRDefault="00774512" w:rsidP="002E2FAC">
            <w:pPr>
              <w:pStyle w:val="TableTextform"/>
              <w:rPr>
                <w:rFonts w:eastAsia="MS Mincho" w:cs="Arial"/>
                <w:color w:val="auto"/>
                <w:sz w:val="18"/>
                <w:szCs w:val="18"/>
              </w:rPr>
            </w:pPr>
            <w:r>
              <w:rPr>
                <w:rFonts w:eastAsia="MS Mincho" w:cs="Arial"/>
                <w:color w:val="auto"/>
                <w:sz w:val="18"/>
                <w:szCs w:val="18"/>
              </w:rPr>
              <w:t>12-</w:t>
            </w:r>
            <w:r w:rsidR="00361AFE" w:rsidRPr="00CB3833">
              <w:rPr>
                <w:rFonts w:eastAsia="MS Mincho" w:cs="Arial"/>
                <w:color w:val="auto"/>
                <w:sz w:val="18"/>
                <w:szCs w:val="18"/>
              </w:rPr>
              <w:t>month season, beginning 1</w:t>
            </w:r>
            <w:r w:rsidR="00361AFE" w:rsidRPr="00CB3833">
              <w:rPr>
                <w:rFonts w:eastAsia="MS Mincho" w:cs="Arial"/>
                <w:color w:val="auto"/>
                <w:sz w:val="18"/>
                <w:szCs w:val="18"/>
                <w:vertAlign w:val="superscript"/>
              </w:rPr>
              <w:t>st</w:t>
            </w:r>
            <w:r w:rsidR="00361AFE" w:rsidRPr="00CB3833">
              <w:rPr>
                <w:rFonts w:eastAsia="MS Mincho" w:cs="Arial"/>
                <w:color w:val="auto"/>
                <w:sz w:val="18"/>
                <w:szCs w:val="18"/>
              </w:rPr>
              <w:t xml:space="preserve"> May.</w:t>
            </w:r>
          </w:p>
          <w:p w14:paraId="79711BD0" w14:textId="6A2ACCE7" w:rsidR="00EB78E2" w:rsidRPr="00CB3833" w:rsidRDefault="00EB78E2" w:rsidP="002E2FAC">
            <w:pPr>
              <w:pStyle w:val="TableTextform"/>
              <w:rPr>
                <w:rFonts w:eastAsia="MS Mincho" w:cs="Arial"/>
                <w:color w:val="auto"/>
                <w:sz w:val="18"/>
                <w:szCs w:val="18"/>
              </w:rPr>
            </w:pPr>
            <w:r>
              <w:rPr>
                <w:rFonts w:eastAsia="MS Mincho" w:cs="Arial"/>
                <w:color w:val="auto"/>
                <w:sz w:val="18"/>
                <w:szCs w:val="18"/>
              </w:rPr>
              <w:t xml:space="preserve">Highest catches from September to April. </w:t>
            </w:r>
          </w:p>
        </w:tc>
        <w:tc>
          <w:tcPr>
            <w:tcW w:w="2694" w:type="dxa"/>
            <w:tcBorders>
              <w:top w:val="single" w:sz="5" w:space="0" w:color="000000"/>
              <w:left w:val="single" w:sz="5" w:space="0" w:color="000000"/>
              <w:bottom w:val="single" w:sz="5" w:space="0" w:color="000000"/>
              <w:right w:val="single" w:sz="5" w:space="0" w:color="000000"/>
            </w:tcBorders>
          </w:tcPr>
          <w:p w14:paraId="093818D0" w14:textId="76F7296E" w:rsidR="00361AFE" w:rsidRPr="00CB3833" w:rsidRDefault="00361AFE" w:rsidP="002E2FAC">
            <w:pPr>
              <w:pStyle w:val="TableTextform"/>
              <w:rPr>
                <w:rFonts w:eastAsia="MS Mincho" w:cs="Arial"/>
                <w:color w:val="auto"/>
                <w:sz w:val="18"/>
                <w:szCs w:val="18"/>
              </w:rPr>
            </w:pPr>
            <w:r w:rsidRPr="00CB3833">
              <w:rPr>
                <w:rFonts w:eastAsia="MS Mincho" w:cs="Arial"/>
                <w:color w:val="auto"/>
                <w:sz w:val="18"/>
                <w:szCs w:val="18"/>
              </w:rPr>
              <w:t xml:space="preserve">Multi-gear fishery, </w:t>
            </w:r>
            <w:r w:rsidR="00875171">
              <w:rPr>
                <w:rFonts w:eastAsia="MS Mincho" w:cs="Arial"/>
                <w:color w:val="auto"/>
                <w:sz w:val="18"/>
                <w:szCs w:val="18"/>
              </w:rPr>
              <w:t>but p</w:t>
            </w:r>
            <w:r w:rsidRPr="00CB3833">
              <w:rPr>
                <w:rFonts w:eastAsia="MS Mincho" w:cs="Arial"/>
                <w:color w:val="auto"/>
                <w:sz w:val="18"/>
                <w:szCs w:val="18"/>
              </w:rPr>
              <w:t xml:space="preserve">redominantly demersal otter trawl and Danish-seine methods. </w:t>
            </w:r>
          </w:p>
          <w:p w14:paraId="39BD3FC7" w14:textId="19D650F3" w:rsidR="00FD4A54" w:rsidRPr="00CB3833" w:rsidRDefault="00FD4A54" w:rsidP="00586061">
            <w:pPr>
              <w:pStyle w:val="TableTextform"/>
              <w:rPr>
                <w:rFonts w:eastAsia="MS Mincho" w:cs="Arial"/>
                <w:color w:val="auto"/>
                <w:sz w:val="18"/>
                <w:szCs w:val="18"/>
              </w:rPr>
            </w:pPr>
            <w:r>
              <w:rPr>
                <w:rFonts w:eastAsia="MS Mincho" w:cs="Arial"/>
                <w:color w:val="auto"/>
                <w:sz w:val="18"/>
                <w:szCs w:val="18"/>
              </w:rPr>
              <w:t xml:space="preserve">In the proposed acquisition area, between 7 and 13 vessels have operated since 2007. Catches have ranged from 9 t in 2013 to 62 t in 2016. </w:t>
            </w:r>
            <w:r w:rsidR="00470D9D">
              <w:rPr>
                <w:rFonts w:eastAsia="MS Mincho" w:cs="Arial"/>
                <w:color w:val="auto"/>
                <w:sz w:val="18"/>
                <w:szCs w:val="18"/>
              </w:rPr>
              <w:t>Total catch value from the proposed acquisition area since 2007 is estimated at $810,000.</w:t>
            </w:r>
          </w:p>
          <w:p w14:paraId="0B14EC3A" w14:textId="77777777" w:rsidR="00586061" w:rsidRPr="00CB3833" w:rsidRDefault="00586061" w:rsidP="00586061">
            <w:pPr>
              <w:pStyle w:val="TableTextform"/>
              <w:rPr>
                <w:rFonts w:eastAsia="MS Mincho" w:cs="Arial"/>
                <w:color w:val="auto"/>
                <w:sz w:val="18"/>
                <w:szCs w:val="18"/>
              </w:rPr>
            </w:pPr>
            <w:r w:rsidRPr="00CB3833">
              <w:rPr>
                <w:rFonts w:eastAsia="MS Mincho" w:cs="Arial"/>
                <w:color w:val="auto"/>
                <w:sz w:val="18"/>
                <w:szCs w:val="18"/>
              </w:rPr>
              <w:t xml:space="preserve">Primary landing ports in NSW, and Lakes Entrance and Portland in Victoria. </w:t>
            </w:r>
          </w:p>
        </w:tc>
        <w:tc>
          <w:tcPr>
            <w:tcW w:w="2693" w:type="dxa"/>
            <w:tcBorders>
              <w:top w:val="single" w:sz="5" w:space="0" w:color="000000"/>
              <w:left w:val="single" w:sz="5" w:space="0" w:color="000000"/>
              <w:bottom w:val="single" w:sz="5" w:space="0" w:color="000000"/>
              <w:right w:val="single" w:sz="5" w:space="0" w:color="000000"/>
            </w:tcBorders>
          </w:tcPr>
          <w:p w14:paraId="3CB7178E" w14:textId="77777777" w:rsidR="00586061" w:rsidRPr="00CB3833" w:rsidRDefault="00586061" w:rsidP="002E2FAC">
            <w:pPr>
              <w:pStyle w:val="TableTextform"/>
              <w:rPr>
                <w:rFonts w:eastAsia="MS Mincho" w:cs="Arial"/>
                <w:color w:val="auto"/>
                <w:sz w:val="18"/>
                <w:szCs w:val="18"/>
              </w:rPr>
            </w:pPr>
            <w:r w:rsidRPr="00CB3833">
              <w:rPr>
                <w:rFonts w:eastAsia="MS Mincho" w:cs="Arial"/>
                <w:color w:val="auto"/>
                <w:sz w:val="18"/>
                <w:szCs w:val="18"/>
              </w:rPr>
              <w:t>Logbook catches have been gradually declining since 2001.</w:t>
            </w:r>
          </w:p>
          <w:p w14:paraId="570F7C0D" w14:textId="77777777" w:rsidR="00361AFE" w:rsidRPr="00CB3833" w:rsidRDefault="00586061" w:rsidP="002E2FAC">
            <w:pPr>
              <w:pStyle w:val="TableTextform"/>
              <w:rPr>
                <w:rFonts w:eastAsia="MS Mincho" w:cs="Arial"/>
                <w:color w:val="auto"/>
                <w:sz w:val="18"/>
                <w:szCs w:val="18"/>
              </w:rPr>
            </w:pPr>
            <w:r w:rsidRPr="00CB3833">
              <w:rPr>
                <w:rFonts w:eastAsia="MS Mincho" w:cs="Arial"/>
                <w:color w:val="auto"/>
                <w:sz w:val="18"/>
                <w:szCs w:val="18"/>
              </w:rPr>
              <w:t xml:space="preserve">9,026 tonnes in 2015-16 (of which </w:t>
            </w:r>
            <w:r w:rsidR="00361AFE" w:rsidRPr="00CB3833">
              <w:rPr>
                <w:rFonts w:eastAsia="MS Mincho" w:cs="Arial"/>
                <w:color w:val="auto"/>
                <w:sz w:val="18"/>
                <w:szCs w:val="18"/>
              </w:rPr>
              <w:t xml:space="preserve">8,057 tonnes </w:t>
            </w:r>
            <w:r w:rsidRPr="00CB3833">
              <w:rPr>
                <w:rFonts w:eastAsia="MS Mincho" w:cs="Arial"/>
                <w:color w:val="auto"/>
                <w:sz w:val="18"/>
                <w:szCs w:val="18"/>
              </w:rPr>
              <w:t xml:space="preserve">was </w:t>
            </w:r>
            <w:r w:rsidR="00361AFE" w:rsidRPr="00CB3833">
              <w:rPr>
                <w:rFonts w:eastAsia="MS Mincho" w:cs="Arial"/>
                <w:color w:val="auto"/>
                <w:sz w:val="18"/>
                <w:szCs w:val="18"/>
              </w:rPr>
              <w:t>flathead, blue grenadier, pink ling, eastern school whiting and orange roughy</w:t>
            </w:r>
            <w:r w:rsidRPr="00CB3833">
              <w:rPr>
                <w:rFonts w:eastAsia="MS Mincho" w:cs="Arial"/>
                <w:color w:val="auto"/>
                <w:sz w:val="18"/>
                <w:szCs w:val="18"/>
              </w:rPr>
              <w:t>,</w:t>
            </w:r>
            <w:r w:rsidR="00361AFE" w:rsidRPr="00CB3833">
              <w:rPr>
                <w:rFonts w:eastAsia="MS Mincho" w:cs="Arial"/>
                <w:color w:val="auto"/>
                <w:sz w:val="18"/>
                <w:szCs w:val="18"/>
              </w:rPr>
              <w:t xml:space="preserve"> account</w:t>
            </w:r>
            <w:r w:rsidRPr="00CB3833">
              <w:rPr>
                <w:rFonts w:eastAsia="MS Mincho" w:cs="Arial"/>
                <w:color w:val="auto"/>
                <w:sz w:val="18"/>
                <w:szCs w:val="18"/>
              </w:rPr>
              <w:t>ing</w:t>
            </w:r>
            <w:r w:rsidR="00361AFE" w:rsidRPr="00CB3833">
              <w:rPr>
                <w:rFonts w:eastAsia="MS Mincho" w:cs="Arial"/>
                <w:color w:val="auto"/>
                <w:sz w:val="18"/>
                <w:szCs w:val="18"/>
              </w:rPr>
              <w:t xml:space="preserve"> for 79% of the catch).</w:t>
            </w:r>
          </w:p>
          <w:p w14:paraId="0816D3EB" w14:textId="0F6FE239" w:rsidR="00586061" w:rsidRDefault="00586061" w:rsidP="002E2FAC">
            <w:pPr>
              <w:pStyle w:val="TableTextform"/>
              <w:rPr>
                <w:rFonts w:eastAsia="MS Mincho" w:cs="Arial"/>
                <w:color w:val="auto"/>
                <w:sz w:val="18"/>
                <w:szCs w:val="18"/>
              </w:rPr>
            </w:pPr>
            <w:r w:rsidRPr="00CB3833">
              <w:rPr>
                <w:rFonts w:eastAsia="MS Mincho" w:cs="Arial"/>
                <w:color w:val="auto"/>
                <w:sz w:val="18"/>
                <w:szCs w:val="18"/>
              </w:rPr>
              <w:t>No values are assigned to the 2015-16 catch, but the 2014-15 catch of 8,264 tonnes was valued at $37.7 million.</w:t>
            </w:r>
          </w:p>
          <w:p w14:paraId="6ECCA600" w14:textId="78B9946C" w:rsidR="00361AFE" w:rsidRPr="00CB3833" w:rsidRDefault="00875171" w:rsidP="00875171">
            <w:pPr>
              <w:pStyle w:val="TableTextform"/>
              <w:rPr>
                <w:rFonts w:eastAsia="MS Mincho" w:cs="Arial"/>
                <w:color w:val="auto"/>
                <w:sz w:val="18"/>
                <w:szCs w:val="18"/>
              </w:rPr>
            </w:pPr>
            <w:r>
              <w:rPr>
                <w:rFonts w:eastAsia="MS Mincho" w:cs="Arial"/>
                <w:color w:val="auto"/>
                <w:sz w:val="18"/>
                <w:szCs w:val="18"/>
              </w:rPr>
              <w:t xml:space="preserve">Little fishing effort in the vicinity of the proposed acquisition area. </w:t>
            </w:r>
          </w:p>
        </w:tc>
      </w:tr>
      <w:tr w:rsidR="00361AFE" w:rsidRPr="00CB3833" w14:paraId="5F0AB8D8" w14:textId="77777777" w:rsidTr="00CB3833">
        <w:trPr>
          <w:cantSplit/>
          <w:trHeight w:val="414"/>
        </w:trPr>
        <w:tc>
          <w:tcPr>
            <w:tcW w:w="1560" w:type="dxa"/>
            <w:tcBorders>
              <w:top w:val="single" w:sz="5" w:space="0" w:color="000000"/>
              <w:left w:val="single" w:sz="5" w:space="0" w:color="000000"/>
              <w:bottom w:val="single" w:sz="5" w:space="0" w:color="000000"/>
              <w:right w:val="single" w:sz="6" w:space="0" w:color="000000"/>
            </w:tcBorders>
            <w:shd w:val="clear" w:color="auto" w:fill="auto"/>
          </w:tcPr>
          <w:p w14:paraId="4A0489EA" w14:textId="4F356A55" w:rsidR="00361AFE" w:rsidRPr="002330FD" w:rsidRDefault="00361AFE" w:rsidP="002E2FAC">
            <w:pPr>
              <w:pStyle w:val="TableTextform"/>
              <w:rPr>
                <w:rFonts w:cs="Arial"/>
                <w:color w:val="auto"/>
                <w:sz w:val="18"/>
                <w:szCs w:val="18"/>
              </w:rPr>
            </w:pPr>
            <w:r w:rsidRPr="002330FD">
              <w:rPr>
                <w:rFonts w:cs="Arial"/>
                <w:color w:val="auto"/>
                <w:sz w:val="18"/>
                <w:szCs w:val="18"/>
              </w:rPr>
              <w:lastRenderedPageBreak/>
              <w:t>Scalefish Hook Secto</w:t>
            </w:r>
            <w:r w:rsidR="00AB11D9" w:rsidRPr="002330FD">
              <w:rPr>
                <w:rFonts w:cs="Arial"/>
                <w:color w:val="auto"/>
                <w:sz w:val="18"/>
                <w:szCs w:val="18"/>
              </w:rPr>
              <w:t>r</w:t>
            </w:r>
          </w:p>
          <w:p w14:paraId="2B2BC341" w14:textId="4E8F5006" w:rsidR="007E7151" w:rsidRPr="002330FD" w:rsidRDefault="007E7151" w:rsidP="00AE43A0">
            <w:pPr>
              <w:pStyle w:val="TableTextform"/>
              <w:rPr>
                <w:rFonts w:cs="Arial"/>
                <w:color w:val="auto"/>
                <w:sz w:val="18"/>
                <w:szCs w:val="18"/>
              </w:rPr>
            </w:pPr>
            <w:r w:rsidRPr="002330FD">
              <w:rPr>
                <w:rFonts w:cs="Arial"/>
                <w:color w:val="auto"/>
                <w:sz w:val="18"/>
                <w:szCs w:val="18"/>
              </w:rPr>
              <w:t>(Figure 5.</w:t>
            </w:r>
            <w:r w:rsidR="00AE43A0" w:rsidRPr="002330FD">
              <w:rPr>
                <w:rFonts w:cs="Arial"/>
                <w:color w:val="auto"/>
                <w:sz w:val="18"/>
                <w:szCs w:val="18"/>
              </w:rPr>
              <w:t>26</w:t>
            </w:r>
            <w:r w:rsidRPr="002330FD">
              <w:rPr>
                <w:rFonts w:cs="Arial"/>
                <w:color w:val="auto"/>
                <w:sz w:val="18"/>
                <w:szCs w:val="18"/>
              </w:rPr>
              <w:t>)</w:t>
            </w:r>
          </w:p>
        </w:tc>
        <w:tc>
          <w:tcPr>
            <w:tcW w:w="1843" w:type="dxa"/>
            <w:tcBorders>
              <w:top w:val="nil"/>
              <w:left w:val="single" w:sz="6" w:space="0" w:color="000000"/>
              <w:bottom w:val="single" w:sz="4" w:space="0" w:color="auto"/>
              <w:right w:val="single" w:sz="6" w:space="0" w:color="000000"/>
            </w:tcBorders>
            <w:shd w:val="clear" w:color="auto" w:fill="auto"/>
          </w:tcPr>
          <w:p w14:paraId="211D6A30" w14:textId="3C6E15AA" w:rsidR="00E05E2D" w:rsidRPr="002330FD" w:rsidRDefault="00E05E2D" w:rsidP="00E05E2D">
            <w:pPr>
              <w:pStyle w:val="TableTextform"/>
              <w:rPr>
                <w:rFonts w:cs="Arial"/>
                <w:color w:val="auto"/>
                <w:sz w:val="18"/>
                <w:szCs w:val="18"/>
              </w:rPr>
            </w:pPr>
            <w:r w:rsidRPr="002330FD">
              <w:rPr>
                <w:rFonts w:cs="Arial"/>
                <w:color w:val="auto"/>
                <w:sz w:val="18"/>
                <w:szCs w:val="18"/>
              </w:rPr>
              <w:t>Key species targeted are gummy shark (</w:t>
            </w:r>
            <w:r w:rsidRPr="002330FD">
              <w:rPr>
                <w:rFonts w:cs="Arial"/>
                <w:i/>
                <w:color w:val="auto"/>
                <w:sz w:val="18"/>
                <w:szCs w:val="18"/>
              </w:rPr>
              <w:t>Mustelus antarcticus</w:t>
            </w:r>
            <w:r w:rsidR="00102BF0" w:rsidRPr="002330FD">
              <w:rPr>
                <w:rFonts w:cs="Arial"/>
                <w:color w:val="auto"/>
                <w:sz w:val="18"/>
                <w:szCs w:val="18"/>
              </w:rPr>
              <w:t>), elephantfish (</w:t>
            </w:r>
            <w:r w:rsidR="00102BF0" w:rsidRPr="002330FD">
              <w:rPr>
                <w:rFonts w:cs="Arial"/>
                <w:i/>
                <w:color w:val="auto"/>
                <w:sz w:val="18"/>
                <w:szCs w:val="18"/>
              </w:rPr>
              <w:t>Callorhinchus milii</w:t>
            </w:r>
            <w:r w:rsidR="00102BF0" w:rsidRPr="002330FD">
              <w:rPr>
                <w:rFonts w:cs="Arial"/>
                <w:color w:val="auto"/>
                <w:sz w:val="18"/>
                <w:szCs w:val="18"/>
              </w:rPr>
              <w:t>) and draughtboard shark (</w:t>
            </w:r>
            <w:r w:rsidR="00102BF0" w:rsidRPr="002330FD">
              <w:rPr>
                <w:rFonts w:cs="Arial"/>
                <w:i/>
                <w:color w:val="auto"/>
                <w:sz w:val="18"/>
                <w:szCs w:val="18"/>
              </w:rPr>
              <w:t>Cephaloscyllium laticeps</w:t>
            </w:r>
            <w:r w:rsidR="00102BF0" w:rsidRPr="002330FD">
              <w:rPr>
                <w:rFonts w:cs="Arial"/>
                <w:color w:val="auto"/>
                <w:sz w:val="18"/>
                <w:szCs w:val="18"/>
              </w:rPr>
              <w:t>).</w:t>
            </w:r>
          </w:p>
          <w:p w14:paraId="48EE6802" w14:textId="77777777" w:rsidR="00361AFE" w:rsidRPr="002330FD" w:rsidRDefault="00361AFE" w:rsidP="002E2FAC">
            <w:pPr>
              <w:pStyle w:val="TableTextform"/>
              <w:rPr>
                <w:rFonts w:eastAsia="MS Mincho" w:cs="Arial"/>
                <w:color w:val="auto"/>
                <w:sz w:val="18"/>
                <w:szCs w:val="18"/>
              </w:rPr>
            </w:pPr>
          </w:p>
        </w:tc>
        <w:tc>
          <w:tcPr>
            <w:tcW w:w="1984" w:type="dxa"/>
            <w:tcBorders>
              <w:top w:val="single" w:sz="5" w:space="0" w:color="000000"/>
              <w:left w:val="single" w:sz="6" w:space="0" w:color="000000"/>
              <w:bottom w:val="single" w:sz="5" w:space="0" w:color="000000"/>
              <w:right w:val="single" w:sz="5" w:space="0" w:color="000000"/>
            </w:tcBorders>
          </w:tcPr>
          <w:p w14:paraId="7D18F4EE" w14:textId="77777777" w:rsidR="00361AFE" w:rsidRPr="002330FD" w:rsidRDefault="00361AFE" w:rsidP="00E17711">
            <w:pPr>
              <w:pStyle w:val="TableTextform"/>
              <w:rPr>
                <w:rFonts w:cs="Arial"/>
                <w:color w:val="auto"/>
                <w:sz w:val="18"/>
                <w:szCs w:val="18"/>
                <w:shd w:val="clear" w:color="auto" w:fill="FFFFFF"/>
              </w:rPr>
            </w:pPr>
            <w:r w:rsidRPr="002330FD">
              <w:rPr>
                <w:rFonts w:cs="Arial"/>
                <w:color w:val="auto"/>
                <w:sz w:val="18"/>
                <w:szCs w:val="18"/>
                <w:shd w:val="clear" w:color="auto" w:fill="FFFFFF"/>
              </w:rPr>
              <w:t>Includes all waters off South Australia, Victoria and Tasmania from 3 nm to the extent of the AFZ.</w:t>
            </w:r>
          </w:p>
          <w:p w14:paraId="5CF973E5" w14:textId="77777777" w:rsidR="00361AFE" w:rsidRPr="002330FD" w:rsidRDefault="00361AFE" w:rsidP="00E17711">
            <w:pPr>
              <w:pStyle w:val="TableTextform"/>
              <w:rPr>
                <w:rFonts w:cs="Arial"/>
                <w:color w:val="auto"/>
                <w:sz w:val="18"/>
                <w:szCs w:val="18"/>
              </w:rPr>
            </w:pPr>
            <w:r w:rsidRPr="002330FD">
              <w:rPr>
                <w:rFonts w:cs="Arial"/>
                <w:color w:val="auto"/>
                <w:sz w:val="18"/>
                <w:szCs w:val="18"/>
              </w:rPr>
              <w:t>Effort increasingly concentrated on the continental shelf, rather than historical areas of the slope.</w:t>
            </w:r>
          </w:p>
          <w:p w14:paraId="4179575B" w14:textId="3913E4B3" w:rsidR="00C3651D" w:rsidRPr="002330FD" w:rsidRDefault="00C3651D" w:rsidP="00AE43A0">
            <w:pPr>
              <w:pStyle w:val="TableTextform"/>
              <w:rPr>
                <w:rFonts w:cs="Arial"/>
                <w:color w:val="auto"/>
                <w:sz w:val="18"/>
                <w:szCs w:val="18"/>
              </w:rPr>
            </w:pPr>
            <w:r w:rsidRPr="002330FD">
              <w:rPr>
                <w:rFonts w:eastAsia="MS Mincho" w:cs="Arial"/>
                <w:color w:val="auto"/>
                <w:sz w:val="18"/>
                <w:szCs w:val="18"/>
              </w:rPr>
              <w:t xml:space="preserve">There is no fishing near the proposed acquisition area </w:t>
            </w:r>
            <w:r w:rsidRPr="002330FD">
              <w:rPr>
                <w:rFonts w:cs="Arial"/>
                <w:color w:val="auto"/>
                <w:sz w:val="18"/>
                <w:szCs w:val="18"/>
              </w:rPr>
              <w:t>(Figure 5.</w:t>
            </w:r>
            <w:r w:rsidR="00AE43A0" w:rsidRPr="002330FD">
              <w:rPr>
                <w:rFonts w:cs="Arial"/>
                <w:color w:val="auto"/>
                <w:sz w:val="18"/>
                <w:szCs w:val="18"/>
              </w:rPr>
              <w:t>29</w:t>
            </w:r>
            <w:r w:rsidRPr="002330FD">
              <w:rPr>
                <w:rFonts w:cs="Arial"/>
                <w:color w:val="auto"/>
                <w:sz w:val="18"/>
                <w:szCs w:val="18"/>
              </w:rPr>
              <w:t>).</w:t>
            </w:r>
          </w:p>
        </w:tc>
        <w:tc>
          <w:tcPr>
            <w:tcW w:w="1985" w:type="dxa"/>
            <w:tcBorders>
              <w:top w:val="single" w:sz="5" w:space="0" w:color="000000"/>
              <w:left w:val="single" w:sz="5" w:space="0" w:color="000000"/>
              <w:bottom w:val="single" w:sz="5" w:space="0" w:color="000000"/>
              <w:right w:val="single" w:sz="5" w:space="0" w:color="000000"/>
            </w:tcBorders>
          </w:tcPr>
          <w:p w14:paraId="67191280" w14:textId="77777777" w:rsidR="00361AFE" w:rsidRPr="00CB3833" w:rsidRDefault="00361AFE" w:rsidP="00E17711">
            <w:pPr>
              <w:pStyle w:val="TableTextform"/>
              <w:rPr>
                <w:rFonts w:eastAsia="MS Mincho" w:cs="Arial"/>
                <w:color w:val="auto"/>
                <w:sz w:val="18"/>
                <w:szCs w:val="18"/>
              </w:rPr>
            </w:pPr>
            <w:r w:rsidRPr="00CB3833">
              <w:rPr>
                <w:rFonts w:eastAsia="MS Mincho" w:cs="Arial"/>
                <w:b/>
                <w:color w:val="auto"/>
                <w:sz w:val="18"/>
                <w:szCs w:val="18"/>
              </w:rPr>
              <w:t xml:space="preserve">Acquisition area – </w:t>
            </w:r>
            <w:r w:rsidRPr="00CB3833">
              <w:rPr>
                <w:rFonts w:eastAsia="MS Mincho" w:cs="Arial"/>
                <w:b/>
                <w:color w:val="FF0000"/>
                <w:sz w:val="18"/>
                <w:szCs w:val="18"/>
              </w:rPr>
              <w:t>No</w:t>
            </w:r>
            <w:r w:rsidRPr="00CB3833">
              <w:rPr>
                <w:rFonts w:eastAsia="MS Mincho" w:cs="Arial"/>
                <w:color w:val="FF0000"/>
                <w:sz w:val="18"/>
                <w:szCs w:val="18"/>
              </w:rPr>
              <w:t xml:space="preserve"> </w:t>
            </w:r>
            <w:r w:rsidRPr="00CB3833">
              <w:rPr>
                <w:rFonts w:eastAsia="MS Mincho" w:cs="Arial"/>
                <w:color w:val="auto"/>
                <w:sz w:val="18"/>
                <w:szCs w:val="18"/>
              </w:rPr>
              <w:t>based on 2015-16 area fished data.</w:t>
            </w:r>
          </w:p>
          <w:p w14:paraId="7F70A536" w14:textId="77777777" w:rsidR="00361AFE" w:rsidRDefault="00361AFE" w:rsidP="00E17711">
            <w:pPr>
              <w:pStyle w:val="TableTextform"/>
              <w:rPr>
                <w:rFonts w:eastAsia="MS Mincho" w:cs="Arial"/>
                <w:color w:val="auto"/>
                <w:sz w:val="18"/>
                <w:szCs w:val="18"/>
              </w:rPr>
            </w:pPr>
            <w:r w:rsidRPr="00CB3833">
              <w:rPr>
                <w:rFonts w:eastAsia="MS Mincho" w:cs="Arial"/>
                <w:b/>
                <w:color w:val="auto"/>
                <w:sz w:val="18"/>
                <w:szCs w:val="18"/>
              </w:rPr>
              <w:t xml:space="preserve">Diesel spill EMBA – </w:t>
            </w:r>
            <w:r w:rsidRPr="00CB3833">
              <w:rPr>
                <w:rFonts w:eastAsia="MS Mincho" w:cs="Arial"/>
                <w:b/>
                <w:color w:val="00B050"/>
                <w:sz w:val="18"/>
                <w:szCs w:val="18"/>
              </w:rPr>
              <w:t>Yes</w:t>
            </w:r>
            <w:r w:rsidRPr="00CB3833">
              <w:rPr>
                <w:rFonts w:eastAsia="MS Mincho" w:cs="Arial"/>
                <w:color w:val="auto"/>
                <w:sz w:val="18"/>
                <w:szCs w:val="18"/>
              </w:rPr>
              <w:t xml:space="preserve"> based on 2015-16 area fished data.</w:t>
            </w:r>
          </w:p>
          <w:p w14:paraId="1F7F0034" w14:textId="77777777" w:rsidR="00CE607A" w:rsidRDefault="00CE607A" w:rsidP="00E17711">
            <w:pPr>
              <w:pStyle w:val="TableTextform"/>
              <w:rPr>
                <w:rFonts w:eastAsia="MS Mincho" w:cs="Arial"/>
                <w:color w:val="auto"/>
                <w:sz w:val="18"/>
                <w:szCs w:val="18"/>
              </w:rPr>
            </w:pPr>
          </w:p>
          <w:p w14:paraId="2ACAA452" w14:textId="0905DF3E" w:rsidR="0051301F" w:rsidRDefault="0051301F" w:rsidP="0051301F">
            <w:pPr>
              <w:pStyle w:val="TableTextform"/>
              <w:rPr>
                <w:rFonts w:cs="Arial"/>
                <w:i/>
                <w:sz w:val="18"/>
                <w:szCs w:val="18"/>
              </w:rPr>
            </w:pPr>
            <w:r>
              <w:rPr>
                <w:rFonts w:cs="Arial"/>
                <w:i/>
                <w:sz w:val="18"/>
                <w:szCs w:val="18"/>
              </w:rPr>
              <w:t>Acquisition area intersects 0</w:t>
            </w:r>
            <w:r w:rsidR="009118D0">
              <w:rPr>
                <w:rFonts w:cs="Arial"/>
                <w:i/>
                <w:sz w:val="18"/>
                <w:szCs w:val="18"/>
              </w:rPr>
              <w:t>.004</w:t>
            </w:r>
            <w:r>
              <w:rPr>
                <w:rFonts w:cs="Arial"/>
                <w:i/>
                <w:sz w:val="18"/>
                <w:szCs w:val="18"/>
              </w:rPr>
              <w:t xml:space="preserve">% of the fishery. </w:t>
            </w:r>
          </w:p>
          <w:p w14:paraId="3B0EB023" w14:textId="41520E69" w:rsidR="0051301F" w:rsidRDefault="0051301F" w:rsidP="0051301F">
            <w:pPr>
              <w:pStyle w:val="TableTextform"/>
              <w:rPr>
                <w:rFonts w:cs="Arial"/>
                <w:i/>
                <w:sz w:val="18"/>
                <w:szCs w:val="18"/>
              </w:rPr>
            </w:pPr>
            <w:r>
              <w:rPr>
                <w:rFonts w:cs="Arial"/>
                <w:i/>
                <w:sz w:val="18"/>
                <w:szCs w:val="18"/>
              </w:rPr>
              <w:t>Operational</w:t>
            </w:r>
            <w:r w:rsidRPr="00D018C0">
              <w:rPr>
                <w:rFonts w:cs="Arial"/>
                <w:i/>
                <w:sz w:val="18"/>
                <w:szCs w:val="18"/>
              </w:rPr>
              <w:t xml:space="preserve"> area intersects 0</w:t>
            </w:r>
            <w:r w:rsidR="009118D0">
              <w:rPr>
                <w:rFonts w:cs="Arial"/>
                <w:i/>
                <w:sz w:val="18"/>
                <w:szCs w:val="18"/>
              </w:rPr>
              <w:t>.009</w:t>
            </w:r>
            <w:r w:rsidRPr="00D018C0">
              <w:rPr>
                <w:rFonts w:cs="Arial"/>
                <w:i/>
                <w:sz w:val="18"/>
                <w:szCs w:val="18"/>
              </w:rPr>
              <w:t>% of the fishery</w:t>
            </w:r>
            <w:r>
              <w:rPr>
                <w:rFonts w:cs="Arial"/>
                <w:i/>
                <w:sz w:val="18"/>
                <w:szCs w:val="18"/>
              </w:rPr>
              <w:t>.</w:t>
            </w:r>
          </w:p>
          <w:p w14:paraId="47E7AD8A" w14:textId="4EEB54E5" w:rsidR="00CE607A" w:rsidRPr="00CB3833" w:rsidRDefault="0051301F" w:rsidP="009118D0">
            <w:pPr>
              <w:pStyle w:val="TableTextform"/>
              <w:rPr>
                <w:rFonts w:eastAsia="MS Mincho" w:cs="Arial"/>
                <w:color w:val="auto"/>
                <w:sz w:val="18"/>
                <w:szCs w:val="18"/>
              </w:rPr>
            </w:pPr>
            <w:r w:rsidRPr="00D018C0">
              <w:rPr>
                <w:rFonts w:cs="Arial"/>
                <w:i/>
                <w:sz w:val="18"/>
                <w:szCs w:val="18"/>
              </w:rPr>
              <w:t>EMBA intersects 0.</w:t>
            </w:r>
            <w:r w:rsidR="009118D0">
              <w:rPr>
                <w:rFonts w:cs="Arial"/>
                <w:i/>
                <w:sz w:val="18"/>
                <w:szCs w:val="18"/>
              </w:rPr>
              <w:t>3</w:t>
            </w:r>
            <w:r>
              <w:rPr>
                <w:rFonts w:cs="Arial"/>
                <w:i/>
                <w:sz w:val="18"/>
                <w:szCs w:val="18"/>
              </w:rPr>
              <w:t>6</w:t>
            </w:r>
            <w:r w:rsidRPr="00D018C0">
              <w:rPr>
                <w:rFonts w:cs="Arial"/>
                <w:i/>
                <w:sz w:val="18"/>
                <w:szCs w:val="18"/>
              </w:rPr>
              <w:t>% of the fishery.</w:t>
            </w:r>
            <w:r w:rsidRPr="00CE607A">
              <w:rPr>
                <w:rFonts w:cs="Arial"/>
                <w:i/>
                <w:sz w:val="18"/>
                <w:szCs w:val="18"/>
              </w:rPr>
              <w:t xml:space="preserve"> </w:t>
            </w:r>
            <w:r w:rsidR="00CE607A" w:rsidRPr="00CE607A">
              <w:rPr>
                <w:rFonts w:cs="Arial"/>
                <w:i/>
                <w:sz w:val="18"/>
                <w:szCs w:val="18"/>
              </w:rPr>
              <w:t xml:space="preserve">  </w:t>
            </w:r>
          </w:p>
        </w:tc>
        <w:tc>
          <w:tcPr>
            <w:tcW w:w="1417" w:type="dxa"/>
            <w:tcBorders>
              <w:top w:val="single" w:sz="5" w:space="0" w:color="000000"/>
              <w:left w:val="single" w:sz="5" w:space="0" w:color="000000"/>
              <w:bottom w:val="single" w:sz="5" w:space="0" w:color="000000"/>
              <w:right w:val="single" w:sz="5" w:space="0" w:color="000000"/>
            </w:tcBorders>
          </w:tcPr>
          <w:p w14:paraId="558BC511" w14:textId="77777777" w:rsidR="00361AFE" w:rsidRDefault="00774512" w:rsidP="002E2FAC">
            <w:pPr>
              <w:pStyle w:val="TableTextform"/>
              <w:rPr>
                <w:rFonts w:eastAsia="MS Mincho" w:cs="Arial"/>
                <w:color w:val="auto"/>
                <w:sz w:val="18"/>
                <w:szCs w:val="18"/>
              </w:rPr>
            </w:pPr>
            <w:r>
              <w:rPr>
                <w:rFonts w:eastAsia="MS Mincho" w:cs="Arial"/>
                <w:color w:val="auto"/>
                <w:sz w:val="18"/>
                <w:szCs w:val="18"/>
              </w:rPr>
              <w:t>12-</w:t>
            </w:r>
            <w:r w:rsidR="00361AFE" w:rsidRPr="00CB3833">
              <w:rPr>
                <w:rFonts w:eastAsia="MS Mincho" w:cs="Arial"/>
                <w:color w:val="auto"/>
                <w:sz w:val="18"/>
                <w:szCs w:val="18"/>
              </w:rPr>
              <w:t>month season, beginning 1</w:t>
            </w:r>
            <w:r w:rsidR="00361AFE" w:rsidRPr="00CB3833">
              <w:rPr>
                <w:rFonts w:eastAsia="MS Mincho" w:cs="Arial"/>
                <w:color w:val="auto"/>
                <w:sz w:val="18"/>
                <w:szCs w:val="18"/>
                <w:vertAlign w:val="superscript"/>
              </w:rPr>
              <w:t>st</w:t>
            </w:r>
            <w:r w:rsidR="00361AFE" w:rsidRPr="00CB3833">
              <w:rPr>
                <w:rFonts w:eastAsia="MS Mincho" w:cs="Arial"/>
                <w:color w:val="auto"/>
                <w:sz w:val="18"/>
                <w:szCs w:val="18"/>
              </w:rPr>
              <w:t xml:space="preserve"> May.</w:t>
            </w:r>
          </w:p>
          <w:p w14:paraId="1DF95656" w14:textId="6E140EEA" w:rsidR="00496637" w:rsidRPr="00CB3833" w:rsidRDefault="00496637" w:rsidP="002E2FAC">
            <w:pPr>
              <w:pStyle w:val="TableTextform"/>
              <w:rPr>
                <w:rFonts w:eastAsia="MS Mincho" w:cs="Arial"/>
                <w:color w:val="auto"/>
                <w:sz w:val="18"/>
                <w:szCs w:val="18"/>
              </w:rPr>
            </w:pPr>
            <w:r>
              <w:rPr>
                <w:rFonts w:eastAsia="MS Mincho" w:cs="Arial"/>
                <w:color w:val="auto"/>
                <w:sz w:val="18"/>
                <w:szCs w:val="18"/>
              </w:rPr>
              <w:t>Effort highest from January to July.</w:t>
            </w:r>
          </w:p>
        </w:tc>
        <w:tc>
          <w:tcPr>
            <w:tcW w:w="2694" w:type="dxa"/>
            <w:tcBorders>
              <w:top w:val="single" w:sz="5" w:space="0" w:color="000000"/>
              <w:left w:val="single" w:sz="5" w:space="0" w:color="000000"/>
              <w:bottom w:val="single" w:sz="5" w:space="0" w:color="000000"/>
              <w:right w:val="single" w:sz="5" w:space="0" w:color="000000"/>
            </w:tcBorders>
          </w:tcPr>
          <w:p w14:paraId="0171D47F" w14:textId="77777777" w:rsidR="00361AFE" w:rsidRPr="00CB3833" w:rsidRDefault="00361AFE" w:rsidP="00361AFE">
            <w:pPr>
              <w:pStyle w:val="TableTextform"/>
              <w:rPr>
                <w:rFonts w:eastAsia="MS Mincho" w:cs="Arial"/>
                <w:color w:val="auto"/>
                <w:sz w:val="18"/>
                <w:szCs w:val="18"/>
              </w:rPr>
            </w:pPr>
            <w:r w:rsidRPr="00CB3833">
              <w:rPr>
                <w:rFonts w:eastAsia="MS Mincho" w:cs="Arial"/>
                <w:color w:val="auto"/>
                <w:sz w:val="18"/>
                <w:szCs w:val="18"/>
              </w:rPr>
              <w:t xml:space="preserve">Multi-gear fishery, using different gear types in different areas or depth ranges. </w:t>
            </w:r>
          </w:p>
          <w:p w14:paraId="06F1C8E8" w14:textId="550864D4" w:rsidR="00361AFE" w:rsidRPr="00CB3833" w:rsidRDefault="00361AFE" w:rsidP="002E2FAC">
            <w:pPr>
              <w:pStyle w:val="TableTextform"/>
              <w:rPr>
                <w:rFonts w:eastAsia="MS Mincho" w:cs="Arial"/>
                <w:color w:val="auto"/>
                <w:sz w:val="18"/>
                <w:szCs w:val="18"/>
              </w:rPr>
            </w:pPr>
            <w:r w:rsidRPr="00CB3833">
              <w:rPr>
                <w:rFonts w:eastAsia="MS Mincho" w:cs="Arial"/>
                <w:color w:val="auto"/>
                <w:sz w:val="18"/>
                <w:szCs w:val="18"/>
              </w:rPr>
              <w:t xml:space="preserve">Predominantly </w:t>
            </w:r>
            <w:r w:rsidR="007F3658">
              <w:rPr>
                <w:rFonts w:eastAsia="MS Mincho" w:cs="Arial"/>
                <w:color w:val="auto"/>
                <w:sz w:val="18"/>
                <w:szCs w:val="18"/>
              </w:rPr>
              <w:t xml:space="preserve">demersal </w:t>
            </w:r>
            <w:r w:rsidRPr="00CB3833">
              <w:rPr>
                <w:rFonts w:eastAsia="MS Mincho" w:cs="Arial"/>
                <w:color w:val="auto"/>
                <w:sz w:val="18"/>
                <w:szCs w:val="18"/>
              </w:rPr>
              <w:t>longline fishing methods, some of which are automated</w:t>
            </w:r>
            <w:r w:rsidR="007F3658">
              <w:rPr>
                <w:rFonts w:eastAsia="MS Mincho" w:cs="Arial"/>
                <w:color w:val="auto"/>
                <w:sz w:val="18"/>
                <w:szCs w:val="18"/>
              </w:rPr>
              <w:t>, and demersal gillnets</w:t>
            </w:r>
            <w:r w:rsidRPr="00CB3833">
              <w:rPr>
                <w:rFonts w:eastAsia="MS Mincho" w:cs="Arial"/>
                <w:color w:val="auto"/>
                <w:sz w:val="18"/>
                <w:szCs w:val="18"/>
              </w:rPr>
              <w:t xml:space="preserve">. </w:t>
            </w:r>
          </w:p>
          <w:p w14:paraId="04B52BAD" w14:textId="77777777" w:rsidR="00586061" w:rsidRPr="00CB3833" w:rsidRDefault="00586061" w:rsidP="00586061">
            <w:pPr>
              <w:pStyle w:val="TableTextform"/>
              <w:rPr>
                <w:rFonts w:eastAsia="MS Mincho" w:cs="Arial"/>
                <w:color w:val="auto"/>
                <w:sz w:val="18"/>
                <w:szCs w:val="18"/>
              </w:rPr>
            </w:pPr>
            <w:r w:rsidRPr="00CB3833">
              <w:rPr>
                <w:rFonts w:eastAsia="MS Mincho" w:cs="Arial"/>
                <w:color w:val="auto"/>
                <w:sz w:val="18"/>
                <w:szCs w:val="18"/>
              </w:rPr>
              <w:t>Sixteen scalefish hook vessels operated in 2015-16 (15</w:t>
            </w:r>
            <w:r w:rsidR="00FA0B5C" w:rsidRPr="00CB3833">
              <w:rPr>
                <w:rFonts w:eastAsia="MS Mincho" w:cs="Arial"/>
                <w:color w:val="auto"/>
                <w:sz w:val="18"/>
                <w:szCs w:val="18"/>
              </w:rPr>
              <w:t xml:space="preserve"> </w:t>
            </w:r>
            <w:r w:rsidRPr="00CB3833">
              <w:rPr>
                <w:rFonts w:eastAsia="MS Mincho" w:cs="Arial"/>
                <w:color w:val="auto"/>
                <w:sz w:val="18"/>
                <w:szCs w:val="18"/>
              </w:rPr>
              <w:t>vessels in 2014-15).</w:t>
            </w:r>
          </w:p>
          <w:p w14:paraId="35593E17" w14:textId="77777777" w:rsidR="00586061" w:rsidRPr="00CB3833" w:rsidRDefault="00586061" w:rsidP="00586061">
            <w:pPr>
              <w:pStyle w:val="TableTextform"/>
              <w:rPr>
                <w:rFonts w:eastAsia="MS Mincho" w:cs="Arial"/>
                <w:color w:val="auto"/>
                <w:sz w:val="18"/>
                <w:szCs w:val="18"/>
              </w:rPr>
            </w:pPr>
            <w:r w:rsidRPr="00CB3833">
              <w:rPr>
                <w:rFonts w:eastAsia="MS Mincho" w:cs="Arial"/>
                <w:color w:val="auto"/>
                <w:sz w:val="18"/>
                <w:szCs w:val="18"/>
              </w:rPr>
              <w:t>Primary landing ports in NSW, and Lakes Entrance and Portland in Victoria.</w:t>
            </w:r>
          </w:p>
        </w:tc>
        <w:tc>
          <w:tcPr>
            <w:tcW w:w="2693" w:type="dxa"/>
            <w:tcBorders>
              <w:top w:val="single" w:sz="5" w:space="0" w:color="000000"/>
              <w:left w:val="single" w:sz="5" w:space="0" w:color="000000"/>
              <w:bottom w:val="single" w:sz="5" w:space="0" w:color="000000"/>
              <w:right w:val="single" w:sz="5" w:space="0" w:color="000000"/>
            </w:tcBorders>
          </w:tcPr>
          <w:p w14:paraId="20CF7984" w14:textId="62A1000C" w:rsidR="00361AFE" w:rsidRDefault="00586061" w:rsidP="002E2FAC">
            <w:pPr>
              <w:pStyle w:val="TableTextform"/>
              <w:rPr>
                <w:rFonts w:eastAsia="MS Mincho" w:cs="Arial"/>
                <w:color w:val="auto"/>
                <w:sz w:val="18"/>
                <w:szCs w:val="18"/>
              </w:rPr>
            </w:pPr>
            <w:r w:rsidRPr="00CB3833">
              <w:rPr>
                <w:rFonts w:eastAsia="MS Mincho" w:cs="Arial"/>
                <w:color w:val="auto"/>
                <w:sz w:val="18"/>
                <w:szCs w:val="18"/>
              </w:rPr>
              <w:t>Logbook catches have been gradually declining since 2006</w:t>
            </w:r>
            <w:r w:rsidR="002F0732">
              <w:rPr>
                <w:rFonts w:eastAsia="MS Mincho" w:cs="Arial"/>
                <w:color w:val="auto"/>
                <w:sz w:val="18"/>
                <w:szCs w:val="18"/>
              </w:rPr>
              <w:t xml:space="preserve"> and are now less than 2,000 t/yr</w:t>
            </w:r>
            <w:r w:rsidRPr="00CB3833">
              <w:rPr>
                <w:rFonts w:eastAsia="MS Mincho" w:cs="Arial"/>
                <w:color w:val="auto"/>
                <w:sz w:val="18"/>
                <w:szCs w:val="18"/>
              </w:rPr>
              <w:t>.</w:t>
            </w:r>
            <w:r w:rsidR="002F0732">
              <w:rPr>
                <w:rFonts w:eastAsia="MS Mincho" w:cs="Arial"/>
                <w:color w:val="auto"/>
                <w:sz w:val="18"/>
                <w:szCs w:val="18"/>
              </w:rPr>
              <w:t xml:space="preserve"> In the proposed acquisition area, the catch has fluctuated below 20 t/yr since 2011.</w:t>
            </w:r>
            <w:r w:rsidR="00496637">
              <w:rPr>
                <w:rFonts w:eastAsia="MS Mincho" w:cs="Arial"/>
                <w:color w:val="auto"/>
                <w:sz w:val="18"/>
                <w:szCs w:val="18"/>
              </w:rPr>
              <w:t xml:space="preserve"> Value of the catch in the proposed acquisition area is reported as highest in 2007 at $150,000, to as low as $31,500 in 2015.</w:t>
            </w:r>
          </w:p>
          <w:p w14:paraId="3BAFB6F5" w14:textId="527583D6" w:rsidR="00EA4E8C" w:rsidRPr="00CB3833" w:rsidRDefault="00EA4E8C" w:rsidP="002E2FAC">
            <w:pPr>
              <w:pStyle w:val="TableTextform"/>
              <w:rPr>
                <w:rFonts w:eastAsia="MS Mincho" w:cs="Arial"/>
                <w:color w:val="auto"/>
                <w:sz w:val="18"/>
                <w:szCs w:val="18"/>
              </w:rPr>
            </w:pPr>
            <w:r>
              <w:rPr>
                <w:rFonts w:eastAsia="MS Mincho" w:cs="Arial"/>
                <w:color w:val="auto"/>
                <w:sz w:val="18"/>
                <w:szCs w:val="18"/>
              </w:rPr>
              <w:t>No recent fishing effort in the proposed acquisition area.</w:t>
            </w:r>
          </w:p>
        </w:tc>
      </w:tr>
    </w:tbl>
    <w:p w14:paraId="3DC8A549" w14:textId="1E05512E" w:rsidR="00ED4BBC" w:rsidRPr="00261559" w:rsidRDefault="00D47B40" w:rsidP="009118D0">
      <w:pPr>
        <w:spacing w:after="120"/>
        <w:ind w:hanging="1004"/>
        <w:jc w:val="both"/>
        <w:rPr>
          <w:b/>
          <w:i/>
          <w:lang w:val="en-GB"/>
        </w:rPr>
      </w:pPr>
      <w:r w:rsidRPr="00FA0B5C">
        <w:rPr>
          <w:i/>
          <w:sz w:val="16"/>
          <w:szCs w:val="16"/>
        </w:rPr>
        <w:t>Sources: Patterson et al (2016), AFMA (2017</w:t>
      </w:r>
      <w:r w:rsidR="00EE5673">
        <w:rPr>
          <w:i/>
          <w:sz w:val="16"/>
          <w:szCs w:val="16"/>
        </w:rPr>
        <w:t>a</w:t>
      </w:r>
      <w:r w:rsidRPr="00FA0B5C">
        <w:rPr>
          <w:i/>
          <w:sz w:val="16"/>
          <w:szCs w:val="16"/>
        </w:rPr>
        <w:t>)</w:t>
      </w:r>
      <w:r w:rsidR="00CB4F64" w:rsidRPr="00FA0B5C">
        <w:rPr>
          <w:i/>
          <w:sz w:val="16"/>
          <w:szCs w:val="16"/>
        </w:rPr>
        <w:t>,</w:t>
      </w:r>
      <w:r w:rsidR="00CB4F64" w:rsidRPr="00CB4F64">
        <w:rPr>
          <w:b/>
          <w:i/>
          <w:lang w:val="en-GB"/>
        </w:rPr>
        <w:t xml:space="preserve"> </w:t>
      </w:r>
      <w:r w:rsidR="00CB4F64" w:rsidRPr="00FA0B5C">
        <w:rPr>
          <w:i/>
          <w:sz w:val="16"/>
          <w:szCs w:val="16"/>
          <w:lang w:val="en-GB"/>
        </w:rPr>
        <w:t>Status of Australian Fish Stocks reports (2017)</w:t>
      </w:r>
      <w:r w:rsidR="00EA4E8C">
        <w:rPr>
          <w:i/>
          <w:sz w:val="16"/>
          <w:szCs w:val="16"/>
          <w:lang w:val="en-GB"/>
        </w:rPr>
        <w:t>, SETFIA &amp; Fishwell (2017)</w:t>
      </w:r>
      <w:r w:rsidR="00CB4F64" w:rsidRPr="00FA0B5C">
        <w:rPr>
          <w:i/>
          <w:sz w:val="16"/>
          <w:szCs w:val="16"/>
          <w:lang w:val="en-GB"/>
        </w:rPr>
        <w:t>.</w:t>
      </w:r>
      <w:r w:rsidR="00261559" w:rsidRPr="00CB4F64">
        <w:rPr>
          <w:b/>
          <w:i/>
          <w:lang w:val="en-GB"/>
        </w:rPr>
        <w:t xml:space="preserve"> </w:t>
      </w:r>
    </w:p>
    <w:p w14:paraId="5579BA4F" w14:textId="77777777" w:rsidR="00ED4BBC" w:rsidRPr="00E0649A" w:rsidRDefault="00ED4BBC" w:rsidP="0062079A">
      <w:pPr>
        <w:pStyle w:val="Tableheading-small"/>
        <w:spacing w:after="240"/>
        <w:ind w:firstLine="851"/>
        <w:jc w:val="center"/>
        <w:rPr>
          <w:lang w:val="en-GB" w:eastAsia="en-AU"/>
        </w:rPr>
      </w:pPr>
    </w:p>
    <w:p w14:paraId="39ED4BE8" w14:textId="77777777" w:rsidR="0062079A" w:rsidRDefault="0062079A">
      <w:pPr>
        <w:spacing w:line="240" w:lineRule="auto"/>
        <w:ind w:left="0"/>
        <w:rPr>
          <w:i/>
        </w:rPr>
        <w:sectPr w:rsidR="0062079A" w:rsidSect="00313E1A">
          <w:headerReference w:type="even" r:id="rId166"/>
          <w:headerReference w:type="default" r:id="rId167"/>
          <w:footerReference w:type="default" r:id="rId168"/>
          <w:headerReference w:type="first" r:id="rId169"/>
          <w:pgSz w:w="16838" w:h="11906" w:orient="landscape" w:code="9"/>
          <w:pgMar w:top="1416" w:right="1930" w:bottom="1800" w:left="1440" w:header="994" w:footer="706" w:gutter="0"/>
          <w:cols w:space="708"/>
          <w:docGrid w:linePitch="360"/>
        </w:sectPr>
      </w:pPr>
    </w:p>
    <w:p w14:paraId="5F85C9A3" w14:textId="77777777" w:rsidR="000E2D89" w:rsidRDefault="000E2D89" w:rsidP="00885EE5">
      <w:pPr>
        <w:jc w:val="both"/>
        <w:rPr>
          <w:i/>
        </w:rPr>
      </w:pPr>
    </w:p>
    <w:p w14:paraId="52C80E60" w14:textId="77777777" w:rsidR="006820C5" w:rsidRDefault="006820C5" w:rsidP="0010115B">
      <w:pPr>
        <w:pStyle w:val="TableHeader"/>
        <w:spacing w:after="240"/>
        <w:jc w:val="center"/>
      </w:pPr>
    </w:p>
    <w:tbl>
      <w:tblPr>
        <w:tblW w:w="0" w:type="auto"/>
        <w:jc w:val="center"/>
        <w:tblBorders>
          <w:top w:val="single" w:sz="4" w:space="0" w:color="auto"/>
          <w:left w:val="single" w:sz="4" w:space="0" w:color="auto"/>
          <w:bottom w:val="single" w:sz="4" w:space="0" w:color="auto"/>
          <w:right w:val="single" w:sz="4" w:space="0" w:color="auto"/>
        </w:tblBorders>
        <w:tblCellMar>
          <w:left w:w="85" w:type="dxa"/>
          <w:right w:w="85" w:type="dxa"/>
        </w:tblCellMar>
        <w:tblLook w:val="04A0" w:firstRow="1" w:lastRow="0" w:firstColumn="1" w:lastColumn="0" w:noHBand="0" w:noVBand="1"/>
      </w:tblPr>
      <w:tblGrid>
        <w:gridCol w:w="8476"/>
      </w:tblGrid>
      <w:tr w:rsidR="00C93FF6" w14:paraId="2207CC09" w14:textId="77777777" w:rsidTr="00C93FF6">
        <w:trPr>
          <w:tblHeader/>
          <w:jc w:val="center"/>
        </w:trPr>
        <w:tc>
          <w:tcPr>
            <w:tcW w:w="8630" w:type="dxa"/>
            <w:shd w:val="clear" w:color="auto" w:fill="auto"/>
            <w:tcMar>
              <w:top w:w="142" w:type="dxa"/>
            </w:tcMar>
          </w:tcPr>
          <w:p w14:paraId="5FDC5077" w14:textId="18D73A9E" w:rsidR="00C93FF6" w:rsidRPr="00136A5A" w:rsidRDefault="00EB3AAC" w:rsidP="00A13755">
            <w:pPr>
              <w:pStyle w:val="Heading3"/>
              <w:numPr>
                <w:ilvl w:val="0"/>
                <w:numId w:val="0"/>
              </w:numPr>
              <w:spacing w:before="0" w:line="240" w:lineRule="auto"/>
              <w:rPr>
                <w:b w:val="0"/>
                <w:szCs w:val="22"/>
              </w:rPr>
            </w:pPr>
            <w:bookmarkStart w:id="328" w:name="_Toc501230846"/>
            <w:r w:rsidRPr="00B12A2B">
              <w:rPr>
                <w:noProof/>
              </w:rPr>
              <w:drawing>
                <wp:inline distT="0" distB="0" distL="0" distR="0" wp14:anchorId="3E8FDCF1" wp14:editId="301BF0A7">
                  <wp:extent cx="4851400" cy="3272824"/>
                  <wp:effectExtent l="0" t="0" r="0" b="381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4851400" cy="3272824"/>
                          </a:xfrm>
                          <a:prstGeom prst="rect">
                            <a:avLst/>
                          </a:prstGeom>
                        </pic:spPr>
                      </pic:pic>
                    </a:graphicData>
                  </a:graphic>
                </wp:inline>
              </w:drawing>
            </w:r>
            <w:bookmarkEnd w:id="328"/>
          </w:p>
        </w:tc>
      </w:tr>
      <w:tr w:rsidR="00C93FF6" w14:paraId="33FD6B18" w14:textId="77777777" w:rsidTr="00C93FF6">
        <w:trPr>
          <w:tblHeader/>
          <w:jc w:val="center"/>
        </w:trPr>
        <w:tc>
          <w:tcPr>
            <w:tcW w:w="8630" w:type="dxa"/>
            <w:shd w:val="clear" w:color="auto" w:fill="auto"/>
            <w:tcMar>
              <w:top w:w="142" w:type="dxa"/>
            </w:tcMar>
          </w:tcPr>
          <w:p w14:paraId="202B30D7" w14:textId="13F07042" w:rsidR="00C93FF6" w:rsidRPr="00136A5A" w:rsidRDefault="00EB3AAC" w:rsidP="00A13755">
            <w:pPr>
              <w:pStyle w:val="Heading3"/>
              <w:numPr>
                <w:ilvl w:val="0"/>
                <w:numId w:val="0"/>
              </w:numPr>
              <w:spacing w:before="0" w:line="240" w:lineRule="auto"/>
              <w:rPr>
                <w:b w:val="0"/>
                <w:szCs w:val="22"/>
              </w:rPr>
            </w:pPr>
            <w:bookmarkStart w:id="329" w:name="_Toc501230847"/>
            <w:r w:rsidRPr="00B12A2B">
              <w:rPr>
                <w:noProof/>
              </w:rPr>
              <w:drawing>
                <wp:inline distT="0" distB="0" distL="0" distR="0" wp14:anchorId="2445988F" wp14:editId="1CFA7779">
                  <wp:extent cx="4876966" cy="3168650"/>
                  <wp:effectExtent l="0" t="0" r="0" b="635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4876966" cy="3168650"/>
                          </a:xfrm>
                          <a:prstGeom prst="rect">
                            <a:avLst/>
                          </a:prstGeom>
                        </pic:spPr>
                      </pic:pic>
                    </a:graphicData>
                  </a:graphic>
                </wp:inline>
              </w:drawing>
            </w:r>
            <w:bookmarkEnd w:id="329"/>
          </w:p>
        </w:tc>
      </w:tr>
    </w:tbl>
    <w:p w14:paraId="1C023A08" w14:textId="77777777" w:rsidR="00C93FF6" w:rsidRPr="00386519" w:rsidRDefault="00D65974" w:rsidP="00D65974">
      <w:pPr>
        <w:pStyle w:val="Heading3"/>
        <w:numPr>
          <w:ilvl w:val="0"/>
          <w:numId w:val="0"/>
        </w:numPr>
        <w:spacing w:before="0" w:line="240" w:lineRule="auto"/>
        <w:ind w:left="1224" w:hanging="1082"/>
        <w:rPr>
          <w:b w:val="0"/>
          <w:i/>
          <w:sz w:val="16"/>
          <w:szCs w:val="16"/>
          <w:lang w:val="fr-FR"/>
        </w:rPr>
      </w:pPr>
      <w:r w:rsidRPr="00386519">
        <w:rPr>
          <w:b w:val="0"/>
          <w:i/>
          <w:sz w:val="16"/>
          <w:szCs w:val="16"/>
          <w:lang w:val="fr-FR"/>
        </w:rPr>
        <w:t xml:space="preserve"> </w:t>
      </w:r>
      <w:bookmarkStart w:id="330" w:name="_Toc349230402"/>
      <w:bookmarkStart w:id="331" w:name="_Toc477947815"/>
      <w:bookmarkStart w:id="332" w:name="_Toc352914317"/>
      <w:bookmarkStart w:id="333" w:name="_Toc479318145"/>
      <w:bookmarkStart w:id="334" w:name="_Toc479764012"/>
      <w:bookmarkStart w:id="335" w:name="_Toc361489662"/>
      <w:bookmarkStart w:id="336" w:name="_Toc364324705"/>
      <w:bookmarkStart w:id="337" w:name="_Toc364432099"/>
      <w:bookmarkStart w:id="338" w:name="_Toc496019683"/>
      <w:bookmarkStart w:id="339" w:name="_Toc501230848"/>
      <w:bookmarkStart w:id="340" w:name="_Toc375214575"/>
      <w:r w:rsidR="00C93FF6" w:rsidRPr="00386519">
        <w:rPr>
          <w:b w:val="0"/>
          <w:i/>
          <w:sz w:val="16"/>
          <w:szCs w:val="16"/>
          <w:lang w:val="fr-FR"/>
        </w:rPr>
        <w:t xml:space="preserve">Source: </w:t>
      </w:r>
      <w:r w:rsidR="00C56609" w:rsidRPr="00386519">
        <w:rPr>
          <w:b w:val="0"/>
          <w:i/>
          <w:sz w:val="16"/>
          <w:szCs w:val="16"/>
          <w:lang w:val="fr-FR"/>
        </w:rPr>
        <w:t xml:space="preserve">Patterson et al </w:t>
      </w:r>
      <w:r w:rsidR="00C93FF6" w:rsidRPr="00386519">
        <w:rPr>
          <w:b w:val="0"/>
          <w:i/>
          <w:sz w:val="16"/>
          <w:szCs w:val="16"/>
          <w:lang w:val="fr-FR"/>
        </w:rPr>
        <w:t>(2016).</w:t>
      </w:r>
      <w:bookmarkEnd w:id="330"/>
      <w:bookmarkEnd w:id="331"/>
      <w:bookmarkEnd w:id="332"/>
      <w:bookmarkEnd w:id="333"/>
      <w:bookmarkEnd w:id="334"/>
      <w:bookmarkEnd w:id="335"/>
      <w:bookmarkEnd w:id="336"/>
      <w:bookmarkEnd w:id="337"/>
      <w:bookmarkEnd w:id="338"/>
      <w:bookmarkEnd w:id="339"/>
      <w:bookmarkEnd w:id="340"/>
    </w:p>
    <w:p w14:paraId="1C79153B" w14:textId="3B793705" w:rsidR="00C93FF6" w:rsidRPr="003968A9" w:rsidRDefault="00C93FF6" w:rsidP="00C93FF6">
      <w:pPr>
        <w:pStyle w:val="TableHeader"/>
        <w:spacing w:after="240"/>
        <w:jc w:val="center"/>
        <w:rPr>
          <w:rFonts w:cs="Arial"/>
          <w:sz w:val="20"/>
          <w:szCs w:val="20"/>
        </w:rPr>
      </w:pPr>
      <w:r w:rsidRPr="00386519">
        <w:rPr>
          <w:rFonts w:cs="Arial"/>
          <w:sz w:val="20"/>
          <w:szCs w:val="20"/>
          <w:lang w:val="fr-FR"/>
        </w:rPr>
        <w:t>Figure 5.</w:t>
      </w:r>
      <w:r w:rsidR="00AE43A0">
        <w:rPr>
          <w:rFonts w:cs="Arial"/>
          <w:sz w:val="20"/>
          <w:szCs w:val="20"/>
          <w:lang w:val="fr-FR"/>
        </w:rPr>
        <w:t>24</w:t>
      </w:r>
      <w:r w:rsidRPr="00386519">
        <w:rPr>
          <w:rFonts w:cs="Arial"/>
          <w:sz w:val="20"/>
          <w:szCs w:val="20"/>
          <w:lang w:val="fr-FR"/>
        </w:rPr>
        <w:t>.</w:t>
      </w:r>
      <w:r w:rsidRPr="00386519">
        <w:rPr>
          <w:rFonts w:cs="Arial"/>
          <w:sz w:val="20"/>
          <w:szCs w:val="20"/>
          <w:lang w:val="fr-FR"/>
        </w:rPr>
        <w:tab/>
      </w:r>
      <w:r w:rsidR="00A13755" w:rsidRPr="003968A9">
        <w:rPr>
          <w:rFonts w:cs="Arial"/>
          <w:sz w:val="20"/>
          <w:szCs w:val="20"/>
        </w:rPr>
        <w:t xml:space="preserve">Jurisdiction of and fishing intensity in the Commonwealth </w:t>
      </w:r>
      <w:r w:rsidRPr="003968A9">
        <w:rPr>
          <w:rFonts w:cs="Arial"/>
          <w:sz w:val="20"/>
          <w:szCs w:val="20"/>
        </w:rPr>
        <w:t xml:space="preserve">SESS fishery </w:t>
      </w:r>
      <w:r w:rsidR="00AA1367" w:rsidRPr="003968A9">
        <w:rPr>
          <w:rFonts w:cs="Arial"/>
          <w:sz w:val="20"/>
          <w:szCs w:val="20"/>
        </w:rPr>
        <w:t xml:space="preserve">- </w:t>
      </w:r>
      <w:r w:rsidRPr="003968A9">
        <w:rPr>
          <w:rFonts w:cs="Arial"/>
          <w:sz w:val="20"/>
          <w:szCs w:val="20"/>
        </w:rPr>
        <w:t>(a) shark gillnet &amp; (b) shark hook</w:t>
      </w:r>
      <w:r w:rsidR="00AA1367" w:rsidRPr="003968A9">
        <w:rPr>
          <w:rFonts w:cs="Arial"/>
          <w:sz w:val="20"/>
          <w:szCs w:val="20"/>
        </w:rPr>
        <w:t xml:space="preserve"> (Cth)</w:t>
      </w:r>
    </w:p>
    <w:p w14:paraId="6C30477B" w14:textId="77777777" w:rsidR="00C93FF6" w:rsidRDefault="00C93FF6" w:rsidP="0010115B">
      <w:pPr>
        <w:pStyle w:val="TableHeader"/>
        <w:spacing w:after="240"/>
        <w:jc w:val="center"/>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7656"/>
      </w:tblGrid>
      <w:tr w:rsidR="0010115B" w14:paraId="2D2143BB" w14:textId="77777777" w:rsidTr="00514376">
        <w:trPr>
          <w:jc w:val="center"/>
        </w:trPr>
        <w:tc>
          <w:tcPr>
            <w:tcW w:w="7298" w:type="dxa"/>
            <w:shd w:val="clear" w:color="auto" w:fill="auto"/>
          </w:tcPr>
          <w:p w14:paraId="13332BBA" w14:textId="0A0F4894" w:rsidR="0010115B" w:rsidRDefault="00EB3AAC" w:rsidP="004E5E14">
            <w:pPr>
              <w:pStyle w:val="Heading3"/>
              <w:numPr>
                <w:ilvl w:val="0"/>
                <w:numId w:val="0"/>
              </w:numPr>
              <w:spacing w:before="120" w:after="0"/>
            </w:pPr>
            <w:bookmarkStart w:id="341" w:name="_Toc501230849"/>
            <w:r w:rsidRPr="0027297A">
              <w:rPr>
                <w:noProof/>
              </w:rPr>
              <w:lastRenderedPageBreak/>
              <w:drawing>
                <wp:inline distT="0" distB="0" distL="0" distR="0" wp14:anchorId="0522FD0E" wp14:editId="2A52C838">
                  <wp:extent cx="4724400" cy="337820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cstate="screen">
                            <a:extLst>
                              <a:ext uri="{28A0092B-C50C-407E-A947-70E740481C1C}">
                                <a14:useLocalDpi xmlns:a14="http://schemas.microsoft.com/office/drawing/2010/main"/>
                              </a:ext>
                            </a:extLst>
                          </a:blip>
                          <a:srcRect/>
                          <a:stretch/>
                        </pic:blipFill>
                        <pic:spPr bwMode="auto">
                          <a:xfrm>
                            <a:off x="0" y="0"/>
                            <a:ext cx="4724400" cy="3378200"/>
                          </a:xfrm>
                          <a:prstGeom prst="rect">
                            <a:avLst/>
                          </a:prstGeom>
                          <a:ln>
                            <a:noFill/>
                          </a:ln>
                          <a:extLst>
                            <a:ext uri="{53640926-AAD7-44D8-BBD7-CCE9431645EC}">
                              <a14:shadowObscured xmlns:a14="http://schemas.microsoft.com/office/drawing/2010/main"/>
                            </a:ext>
                          </a:extLst>
                        </pic:spPr>
                      </pic:pic>
                    </a:graphicData>
                  </a:graphic>
                </wp:inline>
              </w:drawing>
            </w:r>
            <w:bookmarkEnd w:id="341"/>
          </w:p>
        </w:tc>
      </w:tr>
    </w:tbl>
    <w:p w14:paraId="70302982" w14:textId="77777777" w:rsidR="0070660F" w:rsidRPr="00386519" w:rsidRDefault="0070660F" w:rsidP="006820C5">
      <w:pPr>
        <w:pStyle w:val="Heading3"/>
        <w:numPr>
          <w:ilvl w:val="0"/>
          <w:numId w:val="0"/>
        </w:numPr>
        <w:spacing w:before="0" w:line="240" w:lineRule="auto"/>
        <w:ind w:left="1225" w:hanging="658"/>
        <w:rPr>
          <w:b w:val="0"/>
          <w:i/>
          <w:sz w:val="16"/>
          <w:szCs w:val="16"/>
          <w:lang w:val="fr-FR"/>
        </w:rPr>
      </w:pPr>
      <w:bookmarkStart w:id="342" w:name="_Toc349230403"/>
      <w:bookmarkStart w:id="343" w:name="_Toc477947817"/>
      <w:bookmarkStart w:id="344" w:name="_Toc352914318"/>
      <w:bookmarkStart w:id="345" w:name="_Toc479318147"/>
      <w:bookmarkStart w:id="346" w:name="_Toc479764014"/>
      <w:bookmarkStart w:id="347" w:name="_Toc361489663"/>
      <w:bookmarkStart w:id="348" w:name="_Toc364324706"/>
      <w:bookmarkStart w:id="349" w:name="_Toc364432100"/>
      <w:bookmarkStart w:id="350" w:name="_Toc496019685"/>
      <w:bookmarkStart w:id="351" w:name="_Toc501230850"/>
      <w:bookmarkStart w:id="352" w:name="_Toc375214576"/>
      <w:r w:rsidRPr="00386519">
        <w:rPr>
          <w:b w:val="0"/>
          <w:i/>
          <w:sz w:val="16"/>
          <w:szCs w:val="16"/>
          <w:lang w:val="fr-FR"/>
        </w:rPr>
        <w:t xml:space="preserve">Source: </w:t>
      </w:r>
      <w:r w:rsidR="00C56609" w:rsidRPr="00386519">
        <w:rPr>
          <w:b w:val="0"/>
          <w:i/>
          <w:sz w:val="16"/>
          <w:szCs w:val="16"/>
          <w:lang w:val="fr-FR"/>
        </w:rPr>
        <w:t xml:space="preserve">Patterson et al </w:t>
      </w:r>
      <w:r w:rsidRPr="00386519">
        <w:rPr>
          <w:b w:val="0"/>
          <w:i/>
          <w:sz w:val="16"/>
          <w:szCs w:val="16"/>
          <w:lang w:val="fr-FR"/>
        </w:rPr>
        <w:t>(2016).</w:t>
      </w:r>
      <w:bookmarkEnd w:id="342"/>
      <w:bookmarkEnd w:id="343"/>
      <w:bookmarkEnd w:id="344"/>
      <w:bookmarkEnd w:id="345"/>
      <w:bookmarkEnd w:id="346"/>
      <w:bookmarkEnd w:id="347"/>
      <w:bookmarkEnd w:id="348"/>
      <w:bookmarkEnd w:id="349"/>
      <w:bookmarkEnd w:id="350"/>
      <w:bookmarkEnd w:id="351"/>
      <w:bookmarkEnd w:id="352"/>
    </w:p>
    <w:p w14:paraId="02B5527F" w14:textId="004369D6" w:rsidR="0070660F" w:rsidRPr="003968A9" w:rsidRDefault="0070660F" w:rsidP="003939E7">
      <w:pPr>
        <w:pStyle w:val="TableHeader"/>
        <w:spacing w:after="240"/>
        <w:jc w:val="center"/>
        <w:rPr>
          <w:rFonts w:cs="Arial"/>
          <w:sz w:val="20"/>
          <w:szCs w:val="20"/>
        </w:rPr>
      </w:pPr>
      <w:r w:rsidRPr="00386519">
        <w:rPr>
          <w:rFonts w:cs="Arial"/>
          <w:sz w:val="20"/>
          <w:szCs w:val="20"/>
          <w:lang w:val="fr-FR"/>
        </w:rPr>
        <w:t xml:space="preserve">Figure </w:t>
      </w:r>
      <w:r w:rsidR="00C93FF6" w:rsidRPr="00386519">
        <w:rPr>
          <w:rFonts w:cs="Arial"/>
          <w:sz w:val="20"/>
          <w:szCs w:val="20"/>
          <w:lang w:val="fr-FR"/>
        </w:rPr>
        <w:t>5.</w:t>
      </w:r>
      <w:r w:rsidR="00AE43A0">
        <w:rPr>
          <w:rFonts w:cs="Arial"/>
          <w:sz w:val="20"/>
          <w:szCs w:val="20"/>
          <w:lang w:val="fr-FR"/>
        </w:rPr>
        <w:t>25</w:t>
      </w:r>
      <w:r w:rsidR="00C93FF6" w:rsidRPr="00386519">
        <w:rPr>
          <w:rFonts w:cs="Arial"/>
          <w:sz w:val="20"/>
          <w:szCs w:val="20"/>
          <w:lang w:val="fr-FR"/>
        </w:rPr>
        <w:t>.</w:t>
      </w:r>
      <w:r w:rsidR="00C93FF6" w:rsidRPr="00386519">
        <w:rPr>
          <w:rFonts w:cs="Arial"/>
          <w:sz w:val="20"/>
          <w:szCs w:val="20"/>
          <w:lang w:val="fr-FR"/>
        </w:rPr>
        <w:tab/>
      </w:r>
      <w:r w:rsidR="00A13755" w:rsidRPr="003968A9">
        <w:rPr>
          <w:rFonts w:cs="Arial"/>
          <w:sz w:val="20"/>
          <w:szCs w:val="20"/>
        </w:rPr>
        <w:t xml:space="preserve">Jurisdiction of and fishing intensity in the Commonwealth </w:t>
      </w:r>
      <w:r w:rsidRPr="003968A9">
        <w:rPr>
          <w:rFonts w:cs="Arial"/>
          <w:sz w:val="20"/>
          <w:szCs w:val="20"/>
        </w:rPr>
        <w:t xml:space="preserve">SESS fishery (Commonwealth trawl sector) </w:t>
      </w:r>
    </w:p>
    <w:tbl>
      <w:tblPr>
        <w:tblW w:w="0" w:type="auto"/>
        <w:jc w:val="center"/>
        <w:tblBorders>
          <w:top w:val="single" w:sz="4" w:space="0" w:color="auto"/>
          <w:left w:val="single" w:sz="4" w:space="0" w:color="auto"/>
          <w:bottom w:val="single" w:sz="4" w:space="0" w:color="auto"/>
          <w:right w:val="single" w:sz="4" w:space="0" w:color="auto"/>
        </w:tblBorders>
        <w:tblCellMar>
          <w:left w:w="85" w:type="dxa"/>
          <w:right w:w="85" w:type="dxa"/>
        </w:tblCellMar>
        <w:tblLook w:val="04A0" w:firstRow="1" w:lastRow="0" w:firstColumn="1" w:lastColumn="0" w:noHBand="0" w:noVBand="1"/>
      </w:tblPr>
      <w:tblGrid>
        <w:gridCol w:w="7640"/>
      </w:tblGrid>
      <w:tr w:rsidR="0070660F" w14:paraId="575A6973" w14:textId="77777777" w:rsidTr="0070660F">
        <w:trPr>
          <w:tblHeader/>
          <w:jc w:val="center"/>
        </w:trPr>
        <w:tc>
          <w:tcPr>
            <w:tcW w:w="4623" w:type="dxa"/>
            <w:shd w:val="clear" w:color="auto" w:fill="auto"/>
            <w:tcMar>
              <w:top w:w="142" w:type="dxa"/>
            </w:tcMar>
          </w:tcPr>
          <w:p w14:paraId="012A85C4" w14:textId="07601CE0" w:rsidR="0070660F" w:rsidRPr="00136A5A" w:rsidRDefault="00EB3AAC" w:rsidP="00A13755">
            <w:pPr>
              <w:pStyle w:val="Heading3"/>
              <w:numPr>
                <w:ilvl w:val="0"/>
                <w:numId w:val="0"/>
              </w:numPr>
              <w:spacing w:before="0" w:line="240" w:lineRule="auto"/>
              <w:rPr>
                <w:b w:val="0"/>
                <w:szCs w:val="22"/>
              </w:rPr>
            </w:pPr>
            <w:bookmarkStart w:id="353" w:name="_Toc501230851"/>
            <w:r>
              <w:rPr>
                <w:noProof/>
              </w:rPr>
              <w:drawing>
                <wp:inline distT="0" distB="0" distL="0" distR="0" wp14:anchorId="18E2C4E2" wp14:editId="4EA7D9CF">
                  <wp:extent cx="4743660" cy="343662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cstate="screen">
                            <a:extLst>
                              <a:ext uri="{28A0092B-C50C-407E-A947-70E740481C1C}">
                                <a14:useLocalDpi xmlns:a14="http://schemas.microsoft.com/office/drawing/2010/main"/>
                              </a:ext>
                            </a:extLst>
                          </a:blip>
                          <a:stretch>
                            <a:fillRect/>
                          </a:stretch>
                        </pic:blipFill>
                        <pic:spPr>
                          <a:xfrm>
                            <a:off x="0" y="0"/>
                            <a:ext cx="4744360" cy="3437127"/>
                          </a:xfrm>
                          <a:prstGeom prst="rect">
                            <a:avLst/>
                          </a:prstGeom>
                        </pic:spPr>
                      </pic:pic>
                    </a:graphicData>
                  </a:graphic>
                </wp:inline>
              </w:drawing>
            </w:r>
            <w:bookmarkEnd w:id="353"/>
          </w:p>
        </w:tc>
      </w:tr>
    </w:tbl>
    <w:p w14:paraId="428C48EC" w14:textId="77777777" w:rsidR="0070660F" w:rsidRPr="00386519" w:rsidRDefault="0070660F" w:rsidP="00D65974">
      <w:pPr>
        <w:pStyle w:val="Heading3"/>
        <w:numPr>
          <w:ilvl w:val="0"/>
          <w:numId w:val="0"/>
        </w:numPr>
        <w:spacing w:before="0" w:line="240" w:lineRule="auto"/>
        <w:ind w:left="1225" w:hanging="941"/>
        <w:rPr>
          <w:b w:val="0"/>
          <w:i/>
          <w:sz w:val="16"/>
          <w:szCs w:val="16"/>
          <w:lang w:val="fr-FR"/>
        </w:rPr>
      </w:pPr>
      <w:bookmarkStart w:id="354" w:name="_Toc349230404"/>
      <w:bookmarkStart w:id="355" w:name="_Toc477947819"/>
      <w:bookmarkStart w:id="356" w:name="_Toc352914319"/>
      <w:bookmarkStart w:id="357" w:name="_Toc479318149"/>
      <w:bookmarkStart w:id="358" w:name="_Toc479764016"/>
      <w:bookmarkStart w:id="359" w:name="_Toc361489664"/>
      <w:bookmarkStart w:id="360" w:name="_Toc364324707"/>
      <w:bookmarkStart w:id="361" w:name="_Toc364432101"/>
      <w:bookmarkStart w:id="362" w:name="_Toc496019687"/>
      <w:bookmarkStart w:id="363" w:name="_Toc501230852"/>
      <w:bookmarkStart w:id="364" w:name="_Toc375214577"/>
      <w:r w:rsidRPr="00386519">
        <w:rPr>
          <w:b w:val="0"/>
          <w:i/>
          <w:sz w:val="16"/>
          <w:szCs w:val="16"/>
          <w:lang w:val="fr-FR"/>
        </w:rPr>
        <w:t xml:space="preserve">Source: </w:t>
      </w:r>
      <w:r w:rsidR="00C56609" w:rsidRPr="00386519">
        <w:rPr>
          <w:b w:val="0"/>
          <w:i/>
          <w:sz w:val="16"/>
          <w:szCs w:val="16"/>
          <w:lang w:val="fr-FR"/>
        </w:rPr>
        <w:t xml:space="preserve">Patterson et al </w:t>
      </w:r>
      <w:r w:rsidRPr="00386519">
        <w:rPr>
          <w:b w:val="0"/>
          <w:i/>
          <w:sz w:val="16"/>
          <w:szCs w:val="16"/>
          <w:lang w:val="fr-FR"/>
        </w:rPr>
        <w:t>(2016).</w:t>
      </w:r>
      <w:bookmarkEnd w:id="354"/>
      <w:bookmarkEnd w:id="355"/>
      <w:bookmarkEnd w:id="356"/>
      <w:bookmarkEnd w:id="357"/>
      <w:bookmarkEnd w:id="358"/>
      <w:bookmarkEnd w:id="359"/>
      <w:bookmarkEnd w:id="360"/>
      <w:bookmarkEnd w:id="361"/>
      <w:bookmarkEnd w:id="362"/>
      <w:bookmarkEnd w:id="363"/>
      <w:bookmarkEnd w:id="364"/>
    </w:p>
    <w:p w14:paraId="1AD65EE7" w14:textId="326B856C" w:rsidR="00125AA5" w:rsidRDefault="0070660F" w:rsidP="00C93FF6">
      <w:pPr>
        <w:pStyle w:val="TableHeader"/>
        <w:spacing w:after="240"/>
        <w:jc w:val="center"/>
        <w:rPr>
          <w:rFonts w:cs="Arial"/>
          <w:sz w:val="20"/>
          <w:szCs w:val="20"/>
        </w:rPr>
      </w:pPr>
      <w:r w:rsidRPr="00386519">
        <w:rPr>
          <w:rFonts w:cs="Arial"/>
          <w:sz w:val="20"/>
          <w:szCs w:val="20"/>
          <w:lang w:val="fr-FR"/>
        </w:rPr>
        <w:t xml:space="preserve">Figure </w:t>
      </w:r>
      <w:r w:rsidR="00C93FF6" w:rsidRPr="00386519">
        <w:rPr>
          <w:rFonts w:cs="Arial"/>
          <w:sz w:val="20"/>
          <w:szCs w:val="20"/>
          <w:lang w:val="fr-FR"/>
        </w:rPr>
        <w:t>5.</w:t>
      </w:r>
      <w:r w:rsidR="00AE43A0">
        <w:rPr>
          <w:rFonts w:cs="Arial"/>
          <w:sz w:val="20"/>
          <w:szCs w:val="20"/>
          <w:lang w:val="fr-FR"/>
        </w:rPr>
        <w:t>26</w:t>
      </w:r>
      <w:r w:rsidR="00C93FF6" w:rsidRPr="00386519">
        <w:rPr>
          <w:rFonts w:cs="Arial"/>
          <w:sz w:val="20"/>
          <w:szCs w:val="20"/>
          <w:lang w:val="fr-FR"/>
        </w:rPr>
        <w:t>.</w:t>
      </w:r>
      <w:r w:rsidR="00C93FF6" w:rsidRPr="00386519">
        <w:rPr>
          <w:rFonts w:cs="Arial"/>
          <w:sz w:val="20"/>
          <w:szCs w:val="20"/>
          <w:lang w:val="fr-FR"/>
        </w:rPr>
        <w:tab/>
      </w:r>
      <w:r w:rsidR="00A13755" w:rsidRPr="003968A9">
        <w:rPr>
          <w:rFonts w:cs="Arial"/>
          <w:sz w:val="20"/>
          <w:szCs w:val="20"/>
        </w:rPr>
        <w:t xml:space="preserve">Jurisdiction of and fishing intensity in the Commonwealth </w:t>
      </w:r>
      <w:r w:rsidRPr="003968A9">
        <w:rPr>
          <w:rFonts w:cs="Arial"/>
          <w:sz w:val="20"/>
          <w:szCs w:val="20"/>
        </w:rPr>
        <w:t xml:space="preserve">SESS </w:t>
      </w:r>
      <w:r w:rsidR="00C93FF6" w:rsidRPr="003968A9">
        <w:rPr>
          <w:rFonts w:cs="Arial"/>
          <w:sz w:val="20"/>
          <w:szCs w:val="20"/>
        </w:rPr>
        <w:t xml:space="preserve">fishery </w:t>
      </w:r>
      <w:r w:rsidRPr="003968A9">
        <w:rPr>
          <w:rFonts w:cs="Arial"/>
          <w:sz w:val="20"/>
          <w:szCs w:val="20"/>
        </w:rPr>
        <w:t>(scalefish hook sector)</w:t>
      </w:r>
    </w:p>
    <w:p w14:paraId="2DF29BA3" w14:textId="77777777" w:rsidR="00645BE0" w:rsidRDefault="00645BE0" w:rsidP="00C93FF6">
      <w:pPr>
        <w:pStyle w:val="TableHeader"/>
        <w:spacing w:after="240"/>
        <w:jc w:val="center"/>
        <w:rPr>
          <w:rFonts w:cs="Arial"/>
          <w:sz w:val="20"/>
          <w:szCs w:val="20"/>
        </w:rPr>
        <w:sectPr w:rsidR="00645BE0" w:rsidSect="00313E1A">
          <w:headerReference w:type="even" r:id="rId174"/>
          <w:headerReference w:type="default" r:id="rId175"/>
          <w:footerReference w:type="default" r:id="rId176"/>
          <w:headerReference w:type="first" r:id="rId177"/>
          <w:pgSz w:w="11906" w:h="16838" w:code="9"/>
          <w:pgMar w:top="1387" w:right="1800" w:bottom="1440" w:left="1800" w:header="994" w:footer="706" w:gutter="0"/>
          <w:cols w:space="708"/>
          <w:docGrid w:linePitch="360"/>
        </w:sectPr>
      </w:pPr>
    </w:p>
    <w:tbl>
      <w:tblPr>
        <w:tblStyle w:val="TableGrid"/>
        <w:tblW w:w="0" w:type="auto"/>
        <w:jc w:val="center"/>
        <w:tblLook w:val="04A0" w:firstRow="1" w:lastRow="0" w:firstColumn="1" w:lastColumn="0" w:noHBand="0" w:noVBand="1"/>
      </w:tblPr>
      <w:tblGrid>
        <w:gridCol w:w="11874"/>
      </w:tblGrid>
      <w:tr w:rsidR="00645BE0" w14:paraId="608659C9" w14:textId="77777777" w:rsidTr="00524A3E">
        <w:trPr>
          <w:jc w:val="center"/>
        </w:trPr>
        <w:tc>
          <w:tcPr>
            <w:tcW w:w="11874" w:type="dxa"/>
          </w:tcPr>
          <w:p w14:paraId="445DE0D0" w14:textId="0D407F51" w:rsidR="00524A3E" w:rsidRPr="00645BE0" w:rsidRDefault="00EB3AAC" w:rsidP="00524A3E">
            <w:pPr>
              <w:pStyle w:val="TableHeader"/>
              <w:spacing w:before="0" w:after="0"/>
              <w:rPr>
                <w:rFonts w:cs="Arial"/>
                <w:b w:val="0"/>
                <w:sz w:val="20"/>
                <w:szCs w:val="20"/>
              </w:rPr>
            </w:pPr>
            <w:r w:rsidRPr="00891DE1">
              <w:rPr>
                <w:rFonts w:cs="Arial"/>
                <w:b w:val="0"/>
                <w:noProof/>
                <w:sz w:val="20"/>
                <w:szCs w:val="20"/>
              </w:rPr>
              <w:lastRenderedPageBreak/>
              <w:drawing>
                <wp:inline distT="0" distB="0" distL="0" distR="0" wp14:anchorId="0CF3501A" wp14:editId="6D54A4CC">
                  <wp:extent cx="7358332" cy="5106838"/>
                  <wp:effectExtent l="0" t="0" r="0" b="0"/>
                  <wp:docPr id="306" name="Picture 306" descr="C:\Users\vic83nm\AppData\Local\Microsoft\Windows\Temporary Internet Files\Content.Word\18_EP_Fishing_Intensity_Southern_Eastern_Trawl_S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vic83nm\AppData\Local\Microsoft\Windows\Temporary Internet Files\Content.Word\18_EP_Fishing_Intensity_Southern_Eastern_Trawl_Sector.png"/>
                          <pic:cNvPicPr>
                            <a:picLocks noChangeAspect="1" noChangeArrowheads="1"/>
                          </pic:cNvPicPr>
                        </pic:nvPicPr>
                        <pic:blipFill rotWithShape="1">
                          <a:blip r:embed="rId178" cstate="screen">
                            <a:extLst>
                              <a:ext uri="{28A0092B-C50C-407E-A947-70E740481C1C}">
                                <a14:useLocalDpi xmlns:a14="http://schemas.microsoft.com/office/drawing/2010/main"/>
                              </a:ext>
                            </a:extLst>
                          </a:blip>
                          <a:srcRect/>
                          <a:stretch/>
                        </pic:blipFill>
                        <pic:spPr bwMode="auto">
                          <a:xfrm>
                            <a:off x="0" y="0"/>
                            <a:ext cx="7358413" cy="510689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1AF4F8B" w14:textId="2533B910" w:rsidR="00645BE0" w:rsidRDefault="00645BE0" w:rsidP="00645BE0">
      <w:pPr>
        <w:pStyle w:val="TableHeader"/>
        <w:spacing w:after="240"/>
        <w:jc w:val="center"/>
        <w:rPr>
          <w:rFonts w:cs="Arial"/>
          <w:sz w:val="20"/>
          <w:szCs w:val="20"/>
        </w:rPr>
      </w:pPr>
      <w:r w:rsidRPr="003968A9">
        <w:rPr>
          <w:rFonts w:cs="Arial"/>
          <w:sz w:val="20"/>
          <w:szCs w:val="20"/>
        </w:rPr>
        <w:t>Figure 5.</w:t>
      </w:r>
      <w:r w:rsidR="00AE43A0">
        <w:rPr>
          <w:rFonts w:cs="Arial"/>
          <w:sz w:val="20"/>
          <w:szCs w:val="20"/>
        </w:rPr>
        <w:t>27</w:t>
      </w:r>
      <w:r w:rsidRPr="003968A9">
        <w:rPr>
          <w:rFonts w:cs="Arial"/>
          <w:sz w:val="20"/>
          <w:szCs w:val="20"/>
        </w:rPr>
        <w:t>.</w:t>
      </w:r>
      <w:r w:rsidRPr="003968A9">
        <w:rPr>
          <w:rFonts w:cs="Arial"/>
          <w:sz w:val="20"/>
          <w:szCs w:val="20"/>
        </w:rPr>
        <w:tab/>
      </w:r>
      <w:r>
        <w:rPr>
          <w:rFonts w:cs="Arial"/>
          <w:sz w:val="20"/>
          <w:szCs w:val="20"/>
        </w:rPr>
        <w:t xml:space="preserve">Relative fishing intensity of the SESS </w:t>
      </w:r>
      <w:r w:rsidR="00524A3E">
        <w:rPr>
          <w:rFonts w:cs="Arial"/>
          <w:sz w:val="20"/>
          <w:szCs w:val="20"/>
        </w:rPr>
        <w:t>(</w:t>
      </w:r>
      <w:r>
        <w:rPr>
          <w:rFonts w:cs="Arial"/>
          <w:sz w:val="20"/>
          <w:szCs w:val="20"/>
        </w:rPr>
        <w:t>Commonwealth Trawl Sector</w:t>
      </w:r>
      <w:r w:rsidR="00524A3E">
        <w:rPr>
          <w:rFonts w:cs="Arial"/>
          <w:sz w:val="20"/>
          <w:szCs w:val="20"/>
        </w:rPr>
        <w:t>)</w:t>
      </w:r>
      <w:r w:rsidR="00A74005">
        <w:rPr>
          <w:rFonts w:cs="Arial"/>
          <w:sz w:val="20"/>
          <w:szCs w:val="20"/>
        </w:rPr>
        <w:t xml:space="preserve"> in relation to the EMBA</w:t>
      </w:r>
    </w:p>
    <w:tbl>
      <w:tblPr>
        <w:tblStyle w:val="TableGrid"/>
        <w:tblW w:w="0" w:type="auto"/>
        <w:jc w:val="center"/>
        <w:tblLook w:val="04A0" w:firstRow="1" w:lastRow="0" w:firstColumn="1" w:lastColumn="0" w:noHBand="0" w:noVBand="1"/>
      </w:tblPr>
      <w:tblGrid>
        <w:gridCol w:w="11874"/>
      </w:tblGrid>
      <w:tr w:rsidR="00645BE0" w14:paraId="20B61F2F" w14:textId="77777777" w:rsidTr="00524A3E">
        <w:trPr>
          <w:jc w:val="center"/>
        </w:trPr>
        <w:tc>
          <w:tcPr>
            <w:tcW w:w="11874" w:type="dxa"/>
          </w:tcPr>
          <w:p w14:paraId="3E6E18B1" w14:textId="7E60F3E7" w:rsidR="00524A3E" w:rsidRPr="00645BE0" w:rsidRDefault="00EB3AAC" w:rsidP="00524A3E">
            <w:pPr>
              <w:pStyle w:val="TableHeader"/>
              <w:spacing w:before="0" w:after="0"/>
              <w:rPr>
                <w:rFonts w:cs="Arial"/>
                <w:b w:val="0"/>
                <w:sz w:val="20"/>
                <w:szCs w:val="20"/>
              </w:rPr>
            </w:pPr>
            <w:r w:rsidRPr="00891DE1">
              <w:rPr>
                <w:rFonts w:cs="Arial"/>
                <w:noProof/>
                <w:sz w:val="20"/>
                <w:szCs w:val="20"/>
              </w:rPr>
              <w:lastRenderedPageBreak/>
              <w:drawing>
                <wp:inline distT="0" distB="0" distL="0" distR="0" wp14:anchorId="300D97D7" wp14:editId="1486DDA9">
                  <wp:extent cx="7375585" cy="5115464"/>
                  <wp:effectExtent l="0" t="0" r="0" b="9525"/>
                  <wp:docPr id="308" name="Picture 308" descr="C:\Users\vic83nm\AppData\Local\Microsoft\Windows\Temporary Internet Files\Content.Word\19_EP_Fishing_Intensity_Scalefish_Shark_H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Users\vic83nm\AppData\Local\Microsoft\Windows\Temporary Internet Files\Content.Word\19_EP_Fishing_Intensity_Scalefish_Shark_Hook.png"/>
                          <pic:cNvPicPr>
                            <a:picLocks noChangeAspect="1" noChangeArrowheads="1"/>
                          </pic:cNvPicPr>
                        </pic:nvPicPr>
                        <pic:blipFill rotWithShape="1">
                          <a:blip r:embed="rId179" cstate="screen">
                            <a:extLst>
                              <a:ext uri="{28A0092B-C50C-407E-A947-70E740481C1C}">
                                <a14:useLocalDpi xmlns:a14="http://schemas.microsoft.com/office/drawing/2010/main"/>
                              </a:ext>
                            </a:extLst>
                          </a:blip>
                          <a:srcRect/>
                          <a:stretch/>
                        </pic:blipFill>
                        <pic:spPr bwMode="auto">
                          <a:xfrm>
                            <a:off x="0" y="0"/>
                            <a:ext cx="7375666" cy="51155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5D72299" w14:textId="4B5098FB" w:rsidR="00645BE0" w:rsidRDefault="00645BE0" w:rsidP="00645BE0">
      <w:pPr>
        <w:pStyle w:val="TableHeader"/>
        <w:spacing w:after="240"/>
        <w:jc w:val="center"/>
        <w:rPr>
          <w:rFonts w:cs="Arial"/>
          <w:sz w:val="20"/>
          <w:szCs w:val="20"/>
        </w:rPr>
      </w:pPr>
      <w:r w:rsidRPr="003968A9">
        <w:rPr>
          <w:rFonts w:cs="Arial"/>
          <w:sz w:val="20"/>
          <w:szCs w:val="20"/>
        </w:rPr>
        <w:t>Figure 5.</w:t>
      </w:r>
      <w:r w:rsidR="00AE43A0">
        <w:rPr>
          <w:rFonts w:cs="Arial"/>
          <w:sz w:val="20"/>
          <w:szCs w:val="20"/>
        </w:rPr>
        <w:t>28</w:t>
      </w:r>
      <w:r w:rsidRPr="003968A9">
        <w:rPr>
          <w:rFonts w:cs="Arial"/>
          <w:sz w:val="20"/>
          <w:szCs w:val="20"/>
        </w:rPr>
        <w:t>.</w:t>
      </w:r>
      <w:r w:rsidRPr="003968A9">
        <w:rPr>
          <w:rFonts w:cs="Arial"/>
          <w:sz w:val="20"/>
          <w:szCs w:val="20"/>
        </w:rPr>
        <w:tab/>
      </w:r>
      <w:r>
        <w:rPr>
          <w:rFonts w:cs="Arial"/>
          <w:sz w:val="20"/>
          <w:szCs w:val="20"/>
        </w:rPr>
        <w:t xml:space="preserve">Relative fishing intensity of the SESS </w:t>
      </w:r>
      <w:r w:rsidR="00524A3E">
        <w:rPr>
          <w:rFonts w:cs="Arial"/>
          <w:sz w:val="20"/>
          <w:szCs w:val="20"/>
        </w:rPr>
        <w:t>(</w:t>
      </w:r>
      <w:r>
        <w:rPr>
          <w:rFonts w:cs="Arial"/>
          <w:sz w:val="20"/>
          <w:szCs w:val="20"/>
        </w:rPr>
        <w:t>Scalefish Hook Sector</w:t>
      </w:r>
      <w:r w:rsidR="00524A3E">
        <w:rPr>
          <w:rFonts w:cs="Arial"/>
          <w:sz w:val="20"/>
          <w:szCs w:val="20"/>
        </w:rPr>
        <w:t>)</w:t>
      </w:r>
      <w:r w:rsidR="00A74005">
        <w:rPr>
          <w:rFonts w:cs="Arial"/>
          <w:sz w:val="20"/>
          <w:szCs w:val="20"/>
        </w:rPr>
        <w:t xml:space="preserve"> in relation to the EMBA</w:t>
      </w:r>
    </w:p>
    <w:tbl>
      <w:tblPr>
        <w:tblStyle w:val="TableGrid"/>
        <w:tblW w:w="0" w:type="auto"/>
        <w:jc w:val="center"/>
        <w:tblLook w:val="04A0" w:firstRow="1" w:lastRow="0" w:firstColumn="1" w:lastColumn="0" w:noHBand="0" w:noVBand="1"/>
      </w:tblPr>
      <w:tblGrid>
        <w:gridCol w:w="11451"/>
      </w:tblGrid>
      <w:tr w:rsidR="00645BE0" w14:paraId="0849475E" w14:textId="77777777" w:rsidTr="00524A3E">
        <w:trPr>
          <w:jc w:val="center"/>
        </w:trPr>
        <w:tc>
          <w:tcPr>
            <w:tcW w:w="11451" w:type="dxa"/>
          </w:tcPr>
          <w:p w14:paraId="2956F6DD" w14:textId="130ABEC7" w:rsidR="00524A3E" w:rsidRPr="00645BE0" w:rsidRDefault="00AD1C4D" w:rsidP="00524A3E">
            <w:pPr>
              <w:pStyle w:val="TableHeader"/>
              <w:spacing w:before="0" w:after="0"/>
              <w:rPr>
                <w:rFonts w:cs="Arial"/>
                <w:b w:val="0"/>
                <w:sz w:val="20"/>
                <w:szCs w:val="20"/>
              </w:rPr>
            </w:pPr>
            <w:r>
              <w:rPr>
                <w:rFonts w:cs="Arial"/>
                <w:b w:val="0"/>
                <w:sz w:val="20"/>
                <w:szCs w:val="20"/>
                <w:highlight w:val="lightGray"/>
              </w:rPr>
              <w:lastRenderedPageBreak/>
              <w:pict w14:anchorId="5983EE13">
                <v:shape id="_x0000_i1036" type="#_x0000_t75" style="width:561.75pt;height:385.25pt">
                  <v:imagedata r:id="rId180" o:title="20_EP_Fishing_Intensity_Scalefish_Shark_Hook_Gillnet" croptop="1672f" cropbottom="2193f" cropleft="1031f" cropright="960f"/>
                </v:shape>
              </w:pict>
            </w:r>
          </w:p>
        </w:tc>
      </w:tr>
    </w:tbl>
    <w:p w14:paraId="7613A089" w14:textId="73B33B9C" w:rsidR="00645BE0" w:rsidRPr="003968A9" w:rsidRDefault="00645BE0" w:rsidP="00C93FF6">
      <w:pPr>
        <w:pStyle w:val="TableHeader"/>
        <w:spacing w:after="240"/>
        <w:jc w:val="center"/>
        <w:rPr>
          <w:rFonts w:cs="Arial"/>
          <w:sz w:val="20"/>
          <w:szCs w:val="20"/>
        </w:rPr>
      </w:pPr>
      <w:r w:rsidRPr="003968A9">
        <w:rPr>
          <w:rFonts w:cs="Arial"/>
          <w:sz w:val="20"/>
          <w:szCs w:val="20"/>
        </w:rPr>
        <w:t>Figure 5.</w:t>
      </w:r>
      <w:r w:rsidR="00AE43A0">
        <w:rPr>
          <w:rFonts w:cs="Arial"/>
          <w:sz w:val="20"/>
          <w:szCs w:val="20"/>
        </w:rPr>
        <w:t>29</w:t>
      </w:r>
      <w:r w:rsidRPr="003968A9">
        <w:rPr>
          <w:rFonts w:cs="Arial"/>
          <w:sz w:val="20"/>
          <w:szCs w:val="20"/>
        </w:rPr>
        <w:t>.</w:t>
      </w:r>
      <w:r w:rsidRPr="003968A9">
        <w:rPr>
          <w:rFonts w:cs="Arial"/>
          <w:sz w:val="20"/>
          <w:szCs w:val="20"/>
        </w:rPr>
        <w:tab/>
      </w:r>
      <w:r>
        <w:rPr>
          <w:rFonts w:cs="Arial"/>
          <w:sz w:val="20"/>
          <w:szCs w:val="20"/>
        </w:rPr>
        <w:t xml:space="preserve">Relative fishing intensity of the SESS </w:t>
      </w:r>
      <w:r w:rsidR="00524A3E">
        <w:rPr>
          <w:rFonts w:cs="Arial"/>
          <w:sz w:val="20"/>
          <w:szCs w:val="20"/>
        </w:rPr>
        <w:t>(</w:t>
      </w:r>
      <w:r>
        <w:rPr>
          <w:rFonts w:cs="Arial"/>
          <w:sz w:val="20"/>
          <w:szCs w:val="20"/>
        </w:rPr>
        <w:t>Shark Gillnet and Hook Sector</w:t>
      </w:r>
      <w:r w:rsidR="00524A3E">
        <w:rPr>
          <w:rFonts w:cs="Arial"/>
          <w:sz w:val="20"/>
          <w:szCs w:val="20"/>
        </w:rPr>
        <w:t>)</w:t>
      </w:r>
      <w:r w:rsidR="00A74005">
        <w:rPr>
          <w:rFonts w:cs="Arial"/>
          <w:sz w:val="20"/>
          <w:szCs w:val="20"/>
        </w:rPr>
        <w:t xml:space="preserve"> in relation to the EMBA</w:t>
      </w:r>
    </w:p>
    <w:p w14:paraId="5425933B" w14:textId="77777777" w:rsidR="00645BE0" w:rsidRDefault="00645BE0" w:rsidP="0067172A">
      <w:pPr>
        <w:pStyle w:val="Heading4"/>
        <w:rPr>
          <w:rFonts w:eastAsia="Times New Roman" w:cs="Arial"/>
          <w:b/>
          <w:bCs w:val="0"/>
          <w:color w:val="auto"/>
          <w:sz w:val="22"/>
          <w:szCs w:val="22"/>
          <w:lang w:eastAsia="en-AU"/>
        </w:rPr>
        <w:sectPr w:rsidR="00645BE0" w:rsidSect="00313E1A">
          <w:headerReference w:type="even" r:id="rId181"/>
          <w:headerReference w:type="default" r:id="rId182"/>
          <w:footerReference w:type="default" r:id="rId183"/>
          <w:headerReference w:type="first" r:id="rId184"/>
          <w:pgSz w:w="16838" w:h="11906" w:orient="landscape" w:code="9"/>
          <w:pgMar w:top="1558" w:right="1560" w:bottom="1800" w:left="1440" w:header="994" w:footer="706" w:gutter="0"/>
          <w:cols w:space="708"/>
          <w:docGrid w:linePitch="360"/>
        </w:sectPr>
      </w:pPr>
    </w:p>
    <w:p w14:paraId="1DD3AA2D" w14:textId="4F498FFC" w:rsidR="0067172A" w:rsidRPr="00CB3833" w:rsidRDefault="0067172A" w:rsidP="0067172A">
      <w:pPr>
        <w:pStyle w:val="Heading4"/>
        <w:rPr>
          <w:rFonts w:eastAsia="Times New Roman" w:cs="Arial"/>
          <w:b/>
          <w:bCs w:val="0"/>
          <w:color w:val="auto"/>
          <w:sz w:val="22"/>
          <w:szCs w:val="22"/>
          <w:lang w:eastAsia="en-AU"/>
        </w:rPr>
      </w:pPr>
      <w:r w:rsidRPr="00CB3833">
        <w:rPr>
          <w:rFonts w:eastAsia="Times New Roman" w:cs="Arial"/>
          <w:b/>
          <w:bCs w:val="0"/>
          <w:color w:val="auto"/>
          <w:sz w:val="22"/>
          <w:szCs w:val="22"/>
          <w:lang w:eastAsia="en-AU"/>
        </w:rPr>
        <w:lastRenderedPageBreak/>
        <w:t>Victorian-managed Fisheries</w:t>
      </w:r>
    </w:p>
    <w:p w14:paraId="5C3443B5" w14:textId="77777777" w:rsidR="0067172A" w:rsidRPr="00CB3833" w:rsidRDefault="0067172A" w:rsidP="0067172A">
      <w:pPr>
        <w:pStyle w:val="bodycopy"/>
        <w:rPr>
          <w:rFonts w:ascii="Arial" w:hAnsi="Arial"/>
          <w:sz w:val="22"/>
          <w:szCs w:val="22"/>
        </w:rPr>
      </w:pPr>
      <w:r w:rsidRPr="00CB3833">
        <w:rPr>
          <w:rFonts w:ascii="Arial" w:hAnsi="Arial"/>
          <w:sz w:val="22"/>
          <w:szCs w:val="22"/>
        </w:rPr>
        <w:t>Victorian-managed commercial fisheries with access licences that authorise harvest in the waters of the proposed acquisition area and/or the EMBA include the following (</w:t>
      </w:r>
      <w:r>
        <w:rPr>
          <w:rFonts w:ascii="Arial" w:hAnsi="Arial"/>
          <w:sz w:val="22"/>
          <w:szCs w:val="22"/>
        </w:rPr>
        <w:t xml:space="preserve">noting that </w:t>
      </w:r>
      <w:r w:rsidRPr="00CB3833">
        <w:rPr>
          <w:rFonts w:ascii="Arial" w:hAnsi="Arial"/>
          <w:sz w:val="22"/>
          <w:szCs w:val="22"/>
        </w:rPr>
        <w:t xml:space="preserve">not all </w:t>
      </w:r>
      <w:r>
        <w:rPr>
          <w:rFonts w:ascii="Arial" w:hAnsi="Arial"/>
          <w:sz w:val="22"/>
          <w:szCs w:val="22"/>
        </w:rPr>
        <w:t xml:space="preserve">actually </w:t>
      </w:r>
      <w:r w:rsidRPr="00CB3833">
        <w:rPr>
          <w:rFonts w:ascii="Arial" w:hAnsi="Arial"/>
          <w:sz w:val="22"/>
          <w:szCs w:val="22"/>
        </w:rPr>
        <w:t xml:space="preserve">operate in the area): </w:t>
      </w:r>
    </w:p>
    <w:p w14:paraId="5C165BE8" w14:textId="77777777" w:rsidR="0067172A" w:rsidRPr="00CB3833" w:rsidRDefault="0067172A" w:rsidP="0067172A">
      <w:pPr>
        <w:pStyle w:val="bodycopy"/>
        <w:numPr>
          <w:ilvl w:val="0"/>
          <w:numId w:val="26"/>
        </w:numPr>
        <w:rPr>
          <w:rFonts w:ascii="Arial" w:hAnsi="Arial"/>
          <w:sz w:val="22"/>
          <w:szCs w:val="22"/>
        </w:rPr>
      </w:pPr>
      <w:r w:rsidRPr="00CB3833">
        <w:rPr>
          <w:rFonts w:ascii="Arial" w:hAnsi="Arial"/>
          <w:sz w:val="22"/>
          <w:szCs w:val="22"/>
        </w:rPr>
        <w:t>Ocean Scallop;</w:t>
      </w:r>
    </w:p>
    <w:p w14:paraId="60D0B55C" w14:textId="77777777" w:rsidR="0067172A" w:rsidRPr="00CB3833" w:rsidRDefault="0067172A" w:rsidP="0067172A">
      <w:pPr>
        <w:pStyle w:val="bodycopy"/>
        <w:numPr>
          <w:ilvl w:val="0"/>
          <w:numId w:val="26"/>
        </w:numPr>
        <w:rPr>
          <w:rFonts w:ascii="Arial" w:hAnsi="Arial"/>
          <w:sz w:val="22"/>
          <w:szCs w:val="22"/>
        </w:rPr>
      </w:pPr>
      <w:r w:rsidRPr="00CB3833">
        <w:rPr>
          <w:rFonts w:ascii="Arial" w:hAnsi="Arial"/>
          <w:sz w:val="22"/>
          <w:szCs w:val="22"/>
        </w:rPr>
        <w:t xml:space="preserve">Abalone (central zone) (does not operate in the proposed acquisition area); </w:t>
      </w:r>
    </w:p>
    <w:p w14:paraId="41CA81B5" w14:textId="77777777" w:rsidR="0067172A" w:rsidRPr="00CB3833" w:rsidRDefault="0067172A" w:rsidP="0067172A">
      <w:pPr>
        <w:pStyle w:val="bodycopy"/>
        <w:numPr>
          <w:ilvl w:val="0"/>
          <w:numId w:val="26"/>
        </w:numPr>
        <w:rPr>
          <w:rFonts w:ascii="Arial" w:hAnsi="Arial"/>
          <w:sz w:val="22"/>
          <w:szCs w:val="22"/>
        </w:rPr>
      </w:pPr>
      <w:r w:rsidRPr="00CB3833">
        <w:rPr>
          <w:rFonts w:ascii="Arial" w:hAnsi="Arial"/>
          <w:sz w:val="22"/>
          <w:szCs w:val="22"/>
        </w:rPr>
        <w:t xml:space="preserve">Rock Lobster (Eastern zone); </w:t>
      </w:r>
    </w:p>
    <w:p w14:paraId="10DEDD31" w14:textId="77777777" w:rsidR="0067172A" w:rsidRPr="00CB3833" w:rsidRDefault="0067172A" w:rsidP="0067172A">
      <w:pPr>
        <w:pStyle w:val="bodycopy"/>
        <w:numPr>
          <w:ilvl w:val="0"/>
          <w:numId w:val="26"/>
        </w:numPr>
        <w:rPr>
          <w:rFonts w:ascii="Arial" w:hAnsi="Arial"/>
          <w:sz w:val="22"/>
          <w:szCs w:val="22"/>
        </w:rPr>
      </w:pPr>
      <w:r w:rsidRPr="00CB3833">
        <w:rPr>
          <w:rFonts w:ascii="Arial" w:hAnsi="Arial"/>
          <w:sz w:val="22"/>
          <w:szCs w:val="22"/>
        </w:rPr>
        <w:t>Trawl (inshore);</w:t>
      </w:r>
    </w:p>
    <w:p w14:paraId="50D84B82" w14:textId="4916F1A3" w:rsidR="0067172A" w:rsidRPr="00CB3833" w:rsidRDefault="0067172A" w:rsidP="0067172A">
      <w:pPr>
        <w:pStyle w:val="bodycopy"/>
        <w:numPr>
          <w:ilvl w:val="0"/>
          <w:numId w:val="26"/>
        </w:numPr>
        <w:rPr>
          <w:rFonts w:ascii="Arial" w:hAnsi="Arial"/>
          <w:sz w:val="22"/>
          <w:szCs w:val="22"/>
        </w:rPr>
      </w:pPr>
      <w:r w:rsidRPr="00CB3833">
        <w:rPr>
          <w:rFonts w:ascii="Arial" w:hAnsi="Arial"/>
          <w:sz w:val="22"/>
          <w:szCs w:val="22"/>
        </w:rPr>
        <w:t xml:space="preserve">Ocean Purse Seine (noted by </w:t>
      </w:r>
      <w:r w:rsidR="00FF65E1">
        <w:rPr>
          <w:rFonts w:ascii="Arial" w:hAnsi="Arial"/>
          <w:sz w:val="22"/>
          <w:szCs w:val="22"/>
        </w:rPr>
        <w:t>VFA</w:t>
      </w:r>
      <w:r w:rsidRPr="00CB3833">
        <w:rPr>
          <w:rFonts w:ascii="Arial" w:hAnsi="Arial"/>
          <w:sz w:val="22"/>
          <w:szCs w:val="22"/>
        </w:rPr>
        <w:t xml:space="preserve"> as being the most active fishery in the region);</w:t>
      </w:r>
    </w:p>
    <w:p w14:paraId="14D5A899" w14:textId="7005B3DE" w:rsidR="0067172A" w:rsidRPr="00CB3833" w:rsidRDefault="0067172A" w:rsidP="0067172A">
      <w:pPr>
        <w:pStyle w:val="bodycopy"/>
        <w:numPr>
          <w:ilvl w:val="0"/>
          <w:numId w:val="26"/>
        </w:numPr>
        <w:rPr>
          <w:rFonts w:ascii="Arial" w:hAnsi="Arial"/>
          <w:sz w:val="22"/>
          <w:szCs w:val="22"/>
        </w:rPr>
      </w:pPr>
      <w:r w:rsidRPr="00CB3833">
        <w:rPr>
          <w:rFonts w:ascii="Arial" w:hAnsi="Arial"/>
          <w:sz w:val="22"/>
          <w:szCs w:val="22"/>
        </w:rPr>
        <w:t>Ocean Access</w:t>
      </w:r>
      <w:r w:rsidR="008C4A98">
        <w:rPr>
          <w:rFonts w:ascii="Arial" w:hAnsi="Arial"/>
          <w:sz w:val="22"/>
          <w:szCs w:val="22"/>
        </w:rPr>
        <w:t xml:space="preserve"> (General)</w:t>
      </w:r>
      <w:r w:rsidRPr="00CB3833">
        <w:rPr>
          <w:rFonts w:ascii="Arial" w:hAnsi="Arial"/>
          <w:sz w:val="22"/>
          <w:szCs w:val="22"/>
        </w:rPr>
        <w:t xml:space="preserve">; </w:t>
      </w:r>
    </w:p>
    <w:p w14:paraId="63B1BE69" w14:textId="77777777" w:rsidR="0067172A" w:rsidRPr="00CB3833" w:rsidRDefault="0067172A" w:rsidP="0067172A">
      <w:pPr>
        <w:pStyle w:val="bodycopy"/>
        <w:numPr>
          <w:ilvl w:val="0"/>
          <w:numId w:val="26"/>
        </w:numPr>
        <w:rPr>
          <w:rFonts w:ascii="Arial" w:hAnsi="Arial"/>
          <w:sz w:val="22"/>
          <w:szCs w:val="22"/>
        </w:rPr>
      </w:pPr>
      <w:r w:rsidRPr="00CB3833">
        <w:rPr>
          <w:rFonts w:ascii="Arial" w:hAnsi="Arial"/>
          <w:sz w:val="22"/>
          <w:szCs w:val="22"/>
        </w:rPr>
        <w:t xml:space="preserve">Wrasse (does not operate in the proposed acquisition area); and </w:t>
      </w:r>
    </w:p>
    <w:p w14:paraId="34E2B144" w14:textId="77777777" w:rsidR="0067172A" w:rsidRPr="00CB3833" w:rsidRDefault="0067172A" w:rsidP="0067172A">
      <w:pPr>
        <w:pStyle w:val="bodycopy"/>
        <w:numPr>
          <w:ilvl w:val="0"/>
          <w:numId w:val="26"/>
        </w:numPr>
        <w:spacing w:after="240"/>
        <w:rPr>
          <w:rFonts w:ascii="Arial" w:hAnsi="Arial"/>
          <w:sz w:val="22"/>
          <w:szCs w:val="22"/>
        </w:rPr>
      </w:pPr>
      <w:r w:rsidRPr="00CB3833">
        <w:rPr>
          <w:rFonts w:ascii="Arial" w:hAnsi="Arial"/>
          <w:sz w:val="22"/>
          <w:szCs w:val="22"/>
        </w:rPr>
        <w:t xml:space="preserve">Banded Morwong (by permit) (does not operate in the proposed acquisition area). </w:t>
      </w:r>
    </w:p>
    <w:p w14:paraId="77B73F7D" w14:textId="64F16F12" w:rsidR="0067172A" w:rsidRPr="002949C0" w:rsidRDefault="0067172A" w:rsidP="0067172A">
      <w:pPr>
        <w:pStyle w:val="bodycopy"/>
        <w:spacing w:after="240"/>
        <w:rPr>
          <w:rFonts w:ascii="Arial" w:hAnsi="Arial"/>
          <w:sz w:val="22"/>
          <w:szCs w:val="22"/>
        </w:rPr>
      </w:pPr>
      <w:r w:rsidRPr="00CB3833">
        <w:rPr>
          <w:rFonts w:ascii="Arial" w:hAnsi="Arial"/>
          <w:sz w:val="22"/>
          <w:szCs w:val="22"/>
        </w:rPr>
        <w:t xml:space="preserve">The proposed </w:t>
      </w:r>
      <w:r w:rsidR="00081E31">
        <w:rPr>
          <w:rFonts w:ascii="Arial" w:hAnsi="Arial"/>
          <w:sz w:val="22"/>
          <w:szCs w:val="22"/>
        </w:rPr>
        <w:t xml:space="preserve">acquisition area </w:t>
      </w:r>
      <w:r w:rsidRPr="00CB3833">
        <w:rPr>
          <w:rFonts w:ascii="Arial" w:hAnsi="Arial"/>
          <w:sz w:val="22"/>
          <w:szCs w:val="22"/>
        </w:rPr>
        <w:t xml:space="preserve">intersects the </w:t>
      </w:r>
      <w:r w:rsidR="00FF65E1">
        <w:rPr>
          <w:rFonts w:ascii="Arial" w:hAnsi="Arial"/>
          <w:sz w:val="22"/>
          <w:szCs w:val="22"/>
        </w:rPr>
        <w:t xml:space="preserve">VFA </w:t>
      </w:r>
      <w:r w:rsidR="0004118A">
        <w:rPr>
          <w:rFonts w:ascii="Arial" w:hAnsi="Arial"/>
          <w:sz w:val="22"/>
          <w:szCs w:val="22"/>
        </w:rPr>
        <w:t xml:space="preserve">catch and effort </w:t>
      </w:r>
      <w:r w:rsidRPr="00CB3833">
        <w:rPr>
          <w:rFonts w:ascii="Arial" w:hAnsi="Arial"/>
          <w:sz w:val="22"/>
          <w:szCs w:val="22"/>
        </w:rPr>
        <w:t xml:space="preserve">grid </w:t>
      </w:r>
      <w:r w:rsidRPr="00081E31">
        <w:rPr>
          <w:rFonts w:ascii="Arial" w:hAnsi="Arial"/>
          <w:sz w:val="22"/>
          <w:szCs w:val="22"/>
        </w:rPr>
        <w:t>cells E39 and E40</w:t>
      </w:r>
      <w:r w:rsidR="00081E31" w:rsidRPr="00081E31">
        <w:rPr>
          <w:rFonts w:ascii="Arial" w:hAnsi="Arial"/>
          <w:sz w:val="22"/>
          <w:szCs w:val="22"/>
        </w:rPr>
        <w:t>,</w:t>
      </w:r>
      <w:r w:rsidR="00081E31">
        <w:rPr>
          <w:rFonts w:ascii="Arial" w:hAnsi="Arial"/>
          <w:sz w:val="22"/>
          <w:szCs w:val="22"/>
        </w:rPr>
        <w:t xml:space="preserve"> with a mi</w:t>
      </w:r>
      <w:r w:rsidR="00C677BA">
        <w:rPr>
          <w:rFonts w:ascii="Arial" w:hAnsi="Arial"/>
          <w:sz w:val="22"/>
          <w:szCs w:val="22"/>
        </w:rPr>
        <w:t>n</w:t>
      </w:r>
      <w:r w:rsidR="00081E31">
        <w:rPr>
          <w:rFonts w:ascii="Arial" w:hAnsi="Arial"/>
          <w:sz w:val="22"/>
          <w:szCs w:val="22"/>
        </w:rPr>
        <w:t>iscule intersection with E38</w:t>
      </w:r>
      <w:r w:rsidRPr="00CB3833">
        <w:rPr>
          <w:rFonts w:ascii="Arial" w:hAnsi="Arial"/>
          <w:sz w:val="22"/>
          <w:szCs w:val="22"/>
        </w:rPr>
        <w:t xml:space="preserve">. </w:t>
      </w:r>
      <w:r w:rsidR="00081E31">
        <w:rPr>
          <w:rFonts w:ascii="Arial" w:hAnsi="Arial"/>
          <w:sz w:val="22"/>
          <w:szCs w:val="22"/>
        </w:rPr>
        <w:t xml:space="preserve">The proposed operational area intersects </w:t>
      </w:r>
      <w:r w:rsidR="00FF65E1">
        <w:rPr>
          <w:rFonts w:ascii="Arial" w:hAnsi="Arial"/>
          <w:sz w:val="22"/>
          <w:szCs w:val="22"/>
        </w:rPr>
        <w:t>VFA</w:t>
      </w:r>
      <w:r w:rsidR="00081E31" w:rsidRPr="00CB3833">
        <w:rPr>
          <w:rFonts w:ascii="Arial" w:hAnsi="Arial"/>
          <w:sz w:val="22"/>
          <w:szCs w:val="22"/>
        </w:rPr>
        <w:t xml:space="preserve"> </w:t>
      </w:r>
      <w:r w:rsidR="00081E31">
        <w:rPr>
          <w:rFonts w:ascii="Arial" w:hAnsi="Arial"/>
          <w:sz w:val="22"/>
          <w:szCs w:val="22"/>
        </w:rPr>
        <w:t xml:space="preserve">catch and effort </w:t>
      </w:r>
      <w:r w:rsidR="00081E31" w:rsidRPr="00CB3833">
        <w:rPr>
          <w:rFonts w:ascii="Arial" w:hAnsi="Arial"/>
          <w:sz w:val="22"/>
          <w:szCs w:val="22"/>
        </w:rPr>
        <w:t>grid cells</w:t>
      </w:r>
      <w:r w:rsidR="00081E31">
        <w:rPr>
          <w:rFonts w:ascii="Arial" w:hAnsi="Arial"/>
          <w:sz w:val="22"/>
          <w:szCs w:val="22"/>
        </w:rPr>
        <w:t xml:space="preserve"> D39, D40, E38, E39, E40, F38 and </w:t>
      </w:r>
      <w:r w:rsidR="00081E31" w:rsidRPr="002949C0">
        <w:rPr>
          <w:rFonts w:ascii="Arial" w:hAnsi="Arial"/>
          <w:sz w:val="22"/>
          <w:szCs w:val="22"/>
        </w:rPr>
        <w:t>F39 (</w:t>
      </w:r>
      <w:r w:rsidR="00081E31" w:rsidRPr="008B4D54">
        <w:rPr>
          <w:rFonts w:ascii="Arial" w:hAnsi="Arial"/>
          <w:sz w:val="22"/>
          <w:szCs w:val="22"/>
        </w:rPr>
        <w:t>Figure 5.</w:t>
      </w:r>
      <w:r w:rsidR="00ED2C2F" w:rsidRPr="008B4D54">
        <w:rPr>
          <w:rFonts w:ascii="Arial" w:hAnsi="Arial"/>
          <w:sz w:val="22"/>
          <w:szCs w:val="22"/>
        </w:rPr>
        <w:t>30</w:t>
      </w:r>
      <w:r w:rsidR="00081E31" w:rsidRPr="008B4D54">
        <w:rPr>
          <w:rFonts w:ascii="Arial" w:hAnsi="Arial"/>
          <w:sz w:val="22"/>
          <w:szCs w:val="22"/>
        </w:rPr>
        <w:t>).</w:t>
      </w:r>
      <w:r w:rsidR="00081E31" w:rsidRPr="002949C0">
        <w:rPr>
          <w:rFonts w:ascii="Arial" w:hAnsi="Arial"/>
          <w:sz w:val="22"/>
          <w:szCs w:val="22"/>
        </w:rPr>
        <w:t xml:space="preserve"> </w:t>
      </w:r>
      <w:r w:rsidRPr="002949C0">
        <w:rPr>
          <w:rFonts w:ascii="Arial" w:hAnsi="Arial"/>
          <w:sz w:val="22"/>
          <w:szCs w:val="22"/>
        </w:rPr>
        <w:t xml:space="preserve">These grid cells are based on divisions of 10’ latitude (approximately 10 nm) and 12.1’ longitude (approximately 12.1 nm). </w:t>
      </w:r>
    </w:p>
    <w:p w14:paraId="4C0B8AAE" w14:textId="6879EEEF" w:rsidR="0067172A" w:rsidRPr="00CB3833" w:rsidRDefault="00081E31" w:rsidP="0067172A">
      <w:pPr>
        <w:pStyle w:val="bodycopy"/>
        <w:spacing w:after="240"/>
        <w:rPr>
          <w:rFonts w:ascii="Arial" w:hAnsi="Arial"/>
          <w:sz w:val="22"/>
          <w:szCs w:val="22"/>
        </w:rPr>
      </w:pPr>
      <w:r w:rsidRPr="008B4D54">
        <w:rPr>
          <w:rFonts w:ascii="Arial" w:hAnsi="Arial"/>
          <w:sz w:val="22"/>
          <w:szCs w:val="22"/>
        </w:rPr>
        <w:t>Table 5.1</w:t>
      </w:r>
      <w:r w:rsidR="00ED2C2F" w:rsidRPr="008B4D54">
        <w:rPr>
          <w:rFonts w:ascii="Arial" w:hAnsi="Arial"/>
          <w:sz w:val="22"/>
          <w:szCs w:val="22"/>
        </w:rPr>
        <w:t>3</w:t>
      </w:r>
      <w:r w:rsidR="0067172A" w:rsidRPr="00ED2C2F">
        <w:rPr>
          <w:rFonts w:ascii="Arial" w:hAnsi="Arial"/>
          <w:color w:val="FF0000"/>
          <w:sz w:val="22"/>
          <w:szCs w:val="22"/>
        </w:rPr>
        <w:t xml:space="preserve"> </w:t>
      </w:r>
      <w:r w:rsidR="0067172A" w:rsidRPr="002949C0">
        <w:rPr>
          <w:rFonts w:ascii="Arial" w:hAnsi="Arial"/>
          <w:sz w:val="22"/>
          <w:szCs w:val="22"/>
        </w:rPr>
        <w:t xml:space="preserve">provides a presence/absence of fishing activity and catch data (where available) for the grid cells </w:t>
      </w:r>
      <w:r w:rsidR="000A17AA" w:rsidRPr="002949C0">
        <w:rPr>
          <w:rFonts w:ascii="Arial" w:hAnsi="Arial"/>
          <w:sz w:val="22"/>
          <w:szCs w:val="22"/>
        </w:rPr>
        <w:t>overlapped by the proposed acquisition</w:t>
      </w:r>
      <w:r w:rsidR="000A17AA">
        <w:rPr>
          <w:rFonts w:ascii="Arial" w:hAnsi="Arial"/>
          <w:sz w:val="22"/>
          <w:szCs w:val="22"/>
        </w:rPr>
        <w:t xml:space="preserve"> area </w:t>
      </w:r>
      <w:r w:rsidR="0067172A" w:rsidRPr="00CB3833">
        <w:rPr>
          <w:rFonts w:ascii="Arial" w:hAnsi="Arial"/>
          <w:sz w:val="22"/>
          <w:szCs w:val="22"/>
        </w:rPr>
        <w:t>for the period 2006/07 to 2015/16 (inclusive).</w:t>
      </w:r>
    </w:p>
    <w:p w14:paraId="71D4212E" w14:textId="28D036FE" w:rsidR="0067172A" w:rsidRPr="00997EDC" w:rsidRDefault="0067172A" w:rsidP="0067172A">
      <w:pPr>
        <w:pStyle w:val="TableHeader"/>
        <w:spacing w:after="120"/>
        <w:jc w:val="center"/>
        <w:rPr>
          <w:sz w:val="20"/>
          <w:szCs w:val="20"/>
        </w:rPr>
      </w:pPr>
      <w:r w:rsidRPr="00997EDC">
        <w:rPr>
          <w:sz w:val="20"/>
          <w:szCs w:val="20"/>
        </w:rPr>
        <w:t>Table 5.</w:t>
      </w:r>
      <w:r w:rsidR="00081E31">
        <w:rPr>
          <w:sz w:val="20"/>
          <w:szCs w:val="20"/>
        </w:rPr>
        <w:t>1</w:t>
      </w:r>
      <w:r w:rsidR="00ED2C2F">
        <w:rPr>
          <w:sz w:val="20"/>
          <w:szCs w:val="20"/>
        </w:rPr>
        <w:t>3</w:t>
      </w:r>
      <w:r w:rsidRPr="00997EDC">
        <w:rPr>
          <w:sz w:val="20"/>
          <w:szCs w:val="20"/>
        </w:rPr>
        <w:tab/>
        <w:t>Fisheries catch data from the proposed acquisition area</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953"/>
        <w:gridCol w:w="968"/>
        <w:gridCol w:w="1307"/>
        <w:gridCol w:w="1416"/>
        <w:gridCol w:w="1275"/>
        <w:gridCol w:w="1277"/>
        <w:gridCol w:w="1326"/>
      </w:tblGrid>
      <w:tr w:rsidR="0067172A" w:rsidRPr="00CB3833" w14:paraId="44B14A8E" w14:textId="77777777" w:rsidTr="00615434">
        <w:tc>
          <w:tcPr>
            <w:tcW w:w="559" w:type="pct"/>
            <w:vMerge w:val="restart"/>
            <w:shd w:val="clear" w:color="auto" w:fill="064EA8"/>
          </w:tcPr>
          <w:p w14:paraId="7209D818" w14:textId="77777777" w:rsidR="0067172A" w:rsidRPr="00CB3833" w:rsidRDefault="0067172A" w:rsidP="00615434">
            <w:pPr>
              <w:pStyle w:val="bodycopy"/>
              <w:spacing w:before="60" w:after="60"/>
              <w:rPr>
                <w:rFonts w:ascii="Arial" w:hAnsi="Arial"/>
                <w:color w:val="FFFFFF" w:themeColor="background1"/>
                <w:sz w:val="20"/>
              </w:rPr>
            </w:pPr>
            <w:r w:rsidRPr="00CB3833">
              <w:rPr>
                <w:rFonts w:ascii="Arial" w:hAnsi="Arial"/>
                <w:color w:val="FFFFFF" w:themeColor="background1"/>
                <w:sz w:val="20"/>
              </w:rPr>
              <w:t>Year</w:t>
            </w:r>
          </w:p>
        </w:tc>
        <w:tc>
          <w:tcPr>
            <w:tcW w:w="568" w:type="pct"/>
            <w:vMerge w:val="restart"/>
            <w:shd w:val="clear" w:color="auto" w:fill="064EA8"/>
          </w:tcPr>
          <w:p w14:paraId="7EB4109E" w14:textId="77777777" w:rsidR="0067172A" w:rsidRPr="00CB3833" w:rsidRDefault="0067172A" w:rsidP="00615434">
            <w:pPr>
              <w:pStyle w:val="bodycopy"/>
              <w:spacing w:before="60" w:after="60"/>
              <w:rPr>
                <w:rFonts w:ascii="Arial" w:hAnsi="Arial"/>
                <w:color w:val="FFFFFF" w:themeColor="background1"/>
                <w:sz w:val="20"/>
              </w:rPr>
            </w:pPr>
            <w:r w:rsidRPr="00CB3833">
              <w:rPr>
                <w:rFonts w:ascii="Arial" w:hAnsi="Arial"/>
                <w:color w:val="FFFFFF" w:themeColor="background1"/>
                <w:sz w:val="20"/>
              </w:rPr>
              <w:t>Catch (tonnes)</w:t>
            </w:r>
          </w:p>
        </w:tc>
        <w:tc>
          <w:tcPr>
            <w:tcW w:w="3874" w:type="pct"/>
            <w:gridSpan w:val="5"/>
            <w:shd w:val="clear" w:color="auto" w:fill="064EA8"/>
          </w:tcPr>
          <w:p w14:paraId="5CEE7FFF" w14:textId="77777777" w:rsidR="0067172A" w:rsidRPr="00CB3833" w:rsidRDefault="0067172A" w:rsidP="00615434">
            <w:pPr>
              <w:pStyle w:val="bodycopy"/>
              <w:spacing w:before="60" w:after="60"/>
              <w:jc w:val="center"/>
              <w:rPr>
                <w:rFonts w:ascii="Arial" w:hAnsi="Arial"/>
                <w:color w:val="FFFFFF" w:themeColor="background1"/>
                <w:sz w:val="20"/>
              </w:rPr>
            </w:pPr>
            <w:r w:rsidRPr="00CB3833">
              <w:rPr>
                <w:rFonts w:ascii="Arial" w:hAnsi="Arial"/>
                <w:color w:val="FFFFFF" w:themeColor="background1"/>
                <w:sz w:val="20"/>
              </w:rPr>
              <w:t>Fisheries fished</w:t>
            </w:r>
          </w:p>
        </w:tc>
      </w:tr>
      <w:tr w:rsidR="0067172A" w:rsidRPr="00CB3833" w14:paraId="20198DE2" w14:textId="77777777" w:rsidTr="00615434">
        <w:tc>
          <w:tcPr>
            <w:tcW w:w="559" w:type="pct"/>
            <w:vMerge/>
            <w:shd w:val="clear" w:color="auto" w:fill="064EA8"/>
          </w:tcPr>
          <w:p w14:paraId="6085F928" w14:textId="77777777" w:rsidR="0067172A" w:rsidRPr="00CB3833" w:rsidRDefault="0067172A" w:rsidP="00615434">
            <w:pPr>
              <w:pStyle w:val="bodycopy"/>
              <w:spacing w:before="60" w:after="60"/>
              <w:rPr>
                <w:rFonts w:ascii="Arial" w:hAnsi="Arial"/>
                <w:color w:val="FFFFFF" w:themeColor="background1"/>
                <w:sz w:val="20"/>
              </w:rPr>
            </w:pPr>
          </w:p>
        </w:tc>
        <w:tc>
          <w:tcPr>
            <w:tcW w:w="568" w:type="pct"/>
            <w:vMerge/>
            <w:shd w:val="clear" w:color="auto" w:fill="064EA8"/>
          </w:tcPr>
          <w:p w14:paraId="0EB46FFE" w14:textId="77777777" w:rsidR="0067172A" w:rsidRPr="00CB3833" w:rsidRDefault="0067172A" w:rsidP="00615434">
            <w:pPr>
              <w:pStyle w:val="bodycopy"/>
              <w:spacing w:before="60" w:after="60"/>
              <w:rPr>
                <w:rFonts w:ascii="Arial" w:hAnsi="Arial"/>
                <w:color w:val="FFFFFF" w:themeColor="background1"/>
                <w:sz w:val="20"/>
              </w:rPr>
            </w:pPr>
          </w:p>
        </w:tc>
        <w:tc>
          <w:tcPr>
            <w:tcW w:w="767" w:type="pct"/>
            <w:shd w:val="clear" w:color="auto" w:fill="064EA8"/>
          </w:tcPr>
          <w:p w14:paraId="3B390B70" w14:textId="77777777" w:rsidR="0067172A" w:rsidRPr="00CB3833" w:rsidRDefault="0067172A" w:rsidP="00615434">
            <w:pPr>
              <w:pStyle w:val="bodycopy"/>
              <w:spacing w:before="60" w:after="60"/>
              <w:jc w:val="center"/>
              <w:rPr>
                <w:rFonts w:ascii="Arial" w:hAnsi="Arial"/>
                <w:color w:val="FFFFFF" w:themeColor="background1"/>
                <w:sz w:val="20"/>
              </w:rPr>
            </w:pPr>
            <w:r>
              <w:rPr>
                <w:rFonts w:ascii="Arial" w:hAnsi="Arial"/>
                <w:color w:val="FFFFFF" w:themeColor="background1"/>
                <w:sz w:val="20"/>
              </w:rPr>
              <w:t>Ocean s</w:t>
            </w:r>
            <w:r w:rsidRPr="00CB3833">
              <w:rPr>
                <w:rFonts w:ascii="Arial" w:hAnsi="Arial"/>
                <w:color w:val="FFFFFF" w:themeColor="background1"/>
                <w:sz w:val="20"/>
              </w:rPr>
              <w:t>callop</w:t>
            </w:r>
          </w:p>
        </w:tc>
        <w:tc>
          <w:tcPr>
            <w:tcW w:w="831" w:type="pct"/>
            <w:shd w:val="clear" w:color="auto" w:fill="064EA8"/>
          </w:tcPr>
          <w:p w14:paraId="167888F4" w14:textId="77777777" w:rsidR="0067172A" w:rsidRPr="00CB3833" w:rsidRDefault="0067172A" w:rsidP="00615434">
            <w:pPr>
              <w:pStyle w:val="bodycopy"/>
              <w:spacing w:before="60" w:after="60"/>
              <w:jc w:val="center"/>
              <w:rPr>
                <w:rFonts w:ascii="Arial" w:hAnsi="Arial"/>
                <w:color w:val="FFFFFF" w:themeColor="background1"/>
                <w:sz w:val="20"/>
              </w:rPr>
            </w:pPr>
            <w:r w:rsidRPr="00CB3833">
              <w:rPr>
                <w:rFonts w:ascii="Arial" w:hAnsi="Arial"/>
                <w:color w:val="FFFFFF" w:themeColor="background1"/>
                <w:sz w:val="20"/>
              </w:rPr>
              <w:t>Rock lobster</w:t>
            </w:r>
          </w:p>
        </w:tc>
        <w:tc>
          <w:tcPr>
            <w:tcW w:w="748" w:type="pct"/>
            <w:shd w:val="clear" w:color="auto" w:fill="064EA8"/>
          </w:tcPr>
          <w:p w14:paraId="292AB423" w14:textId="77777777" w:rsidR="0067172A" w:rsidRPr="00CB3833" w:rsidRDefault="0067172A" w:rsidP="00615434">
            <w:pPr>
              <w:pStyle w:val="bodycopy"/>
              <w:spacing w:before="60" w:after="60"/>
              <w:jc w:val="center"/>
              <w:rPr>
                <w:rFonts w:ascii="Arial" w:hAnsi="Arial"/>
                <w:color w:val="FFFFFF" w:themeColor="background1"/>
                <w:sz w:val="20"/>
              </w:rPr>
            </w:pPr>
            <w:r w:rsidRPr="00CB3833">
              <w:rPr>
                <w:rFonts w:ascii="Arial" w:hAnsi="Arial"/>
                <w:color w:val="FFFFFF" w:themeColor="background1"/>
                <w:sz w:val="20"/>
              </w:rPr>
              <w:t xml:space="preserve">Ocean </w:t>
            </w:r>
            <w:r>
              <w:rPr>
                <w:rFonts w:ascii="Arial" w:hAnsi="Arial"/>
                <w:color w:val="FFFFFF" w:themeColor="background1"/>
                <w:sz w:val="20"/>
              </w:rPr>
              <w:t>access</w:t>
            </w:r>
          </w:p>
        </w:tc>
        <w:tc>
          <w:tcPr>
            <w:tcW w:w="749" w:type="pct"/>
            <w:shd w:val="clear" w:color="auto" w:fill="064EA8"/>
          </w:tcPr>
          <w:p w14:paraId="664D5EBB" w14:textId="77777777" w:rsidR="0067172A" w:rsidRPr="00CB3833" w:rsidRDefault="0067172A" w:rsidP="00615434">
            <w:pPr>
              <w:pStyle w:val="bodycopy"/>
              <w:spacing w:before="60" w:after="60"/>
              <w:jc w:val="center"/>
              <w:rPr>
                <w:rFonts w:ascii="Arial" w:hAnsi="Arial"/>
                <w:color w:val="FFFFFF" w:themeColor="background1"/>
                <w:sz w:val="20"/>
              </w:rPr>
            </w:pPr>
            <w:r w:rsidRPr="00CB3833">
              <w:rPr>
                <w:rFonts w:ascii="Arial" w:hAnsi="Arial"/>
                <w:color w:val="FFFFFF" w:themeColor="background1"/>
                <w:sz w:val="20"/>
              </w:rPr>
              <w:t>Ocean purse seine</w:t>
            </w:r>
          </w:p>
        </w:tc>
        <w:tc>
          <w:tcPr>
            <w:tcW w:w="778" w:type="pct"/>
            <w:shd w:val="clear" w:color="auto" w:fill="064EA8"/>
          </w:tcPr>
          <w:p w14:paraId="413818BB" w14:textId="77777777" w:rsidR="0067172A" w:rsidRPr="00CB3833" w:rsidRDefault="0067172A" w:rsidP="00615434">
            <w:pPr>
              <w:pStyle w:val="bodycopy"/>
              <w:spacing w:before="60" w:after="60"/>
              <w:jc w:val="center"/>
              <w:rPr>
                <w:rFonts w:ascii="Arial" w:hAnsi="Arial"/>
                <w:color w:val="FFFFFF" w:themeColor="background1"/>
                <w:sz w:val="20"/>
              </w:rPr>
            </w:pPr>
            <w:r w:rsidRPr="00CB3833">
              <w:rPr>
                <w:rFonts w:ascii="Arial" w:hAnsi="Arial"/>
                <w:color w:val="FFFFFF" w:themeColor="background1"/>
                <w:sz w:val="20"/>
              </w:rPr>
              <w:t>Inshore trawl</w:t>
            </w:r>
          </w:p>
        </w:tc>
      </w:tr>
      <w:tr w:rsidR="0067172A" w:rsidRPr="00CB3833" w14:paraId="6424AA81" w14:textId="77777777" w:rsidTr="00615434">
        <w:tc>
          <w:tcPr>
            <w:tcW w:w="559" w:type="pct"/>
            <w:shd w:val="clear" w:color="auto" w:fill="auto"/>
          </w:tcPr>
          <w:p w14:paraId="0F64E9AD" w14:textId="77777777" w:rsidR="0067172A" w:rsidRPr="00CB3833" w:rsidRDefault="0067172A" w:rsidP="00615434">
            <w:pPr>
              <w:pStyle w:val="bodycopy"/>
              <w:spacing w:before="60" w:after="60"/>
              <w:rPr>
                <w:rFonts w:ascii="Arial" w:hAnsi="Arial"/>
                <w:sz w:val="20"/>
              </w:rPr>
            </w:pPr>
            <w:r w:rsidRPr="00CB3833">
              <w:rPr>
                <w:rFonts w:ascii="Arial" w:hAnsi="Arial"/>
                <w:sz w:val="20"/>
              </w:rPr>
              <w:t>2006/07</w:t>
            </w:r>
          </w:p>
        </w:tc>
        <w:tc>
          <w:tcPr>
            <w:tcW w:w="568" w:type="pct"/>
            <w:shd w:val="clear" w:color="auto" w:fill="auto"/>
          </w:tcPr>
          <w:p w14:paraId="2D654BC5" w14:textId="77777777" w:rsidR="0067172A" w:rsidRPr="00CB3833" w:rsidRDefault="0067172A" w:rsidP="00615434">
            <w:pPr>
              <w:pStyle w:val="bodycopy"/>
              <w:spacing w:before="60" w:after="60"/>
              <w:rPr>
                <w:rFonts w:ascii="Arial" w:hAnsi="Arial"/>
                <w:sz w:val="20"/>
              </w:rPr>
            </w:pPr>
            <w:r w:rsidRPr="00CB3833">
              <w:rPr>
                <w:rFonts w:ascii="Arial" w:hAnsi="Arial"/>
                <w:sz w:val="20"/>
              </w:rPr>
              <w:t>333.4</w:t>
            </w:r>
          </w:p>
        </w:tc>
        <w:tc>
          <w:tcPr>
            <w:tcW w:w="767" w:type="pct"/>
            <w:shd w:val="clear" w:color="auto" w:fill="00B050"/>
          </w:tcPr>
          <w:p w14:paraId="221887B4" w14:textId="77777777" w:rsidR="0067172A" w:rsidRPr="00CB3833" w:rsidRDefault="0067172A" w:rsidP="00615434">
            <w:pPr>
              <w:pStyle w:val="bodycopy"/>
              <w:spacing w:before="60" w:after="60"/>
              <w:jc w:val="center"/>
              <w:rPr>
                <w:rFonts w:ascii="Arial" w:hAnsi="Arial"/>
                <w:sz w:val="20"/>
              </w:rPr>
            </w:pPr>
          </w:p>
        </w:tc>
        <w:tc>
          <w:tcPr>
            <w:tcW w:w="831" w:type="pct"/>
            <w:shd w:val="clear" w:color="auto" w:fill="FF0000"/>
          </w:tcPr>
          <w:p w14:paraId="221AD4A4" w14:textId="77777777" w:rsidR="0067172A" w:rsidRPr="00CB3833" w:rsidRDefault="0067172A" w:rsidP="00615434">
            <w:pPr>
              <w:pStyle w:val="bodycopy"/>
              <w:spacing w:before="60" w:after="60"/>
              <w:jc w:val="center"/>
              <w:rPr>
                <w:rFonts w:ascii="Arial" w:hAnsi="Arial"/>
                <w:sz w:val="20"/>
              </w:rPr>
            </w:pPr>
          </w:p>
        </w:tc>
        <w:tc>
          <w:tcPr>
            <w:tcW w:w="748" w:type="pct"/>
            <w:shd w:val="clear" w:color="auto" w:fill="00B050"/>
          </w:tcPr>
          <w:p w14:paraId="7A5C5FA8" w14:textId="77777777" w:rsidR="0067172A" w:rsidRPr="00CB3833" w:rsidRDefault="0067172A" w:rsidP="00615434">
            <w:pPr>
              <w:pStyle w:val="bodycopy"/>
              <w:spacing w:before="60" w:after="60"/>
              <w:jc w:val="center"/>
              <w:rPr>
                <w:rFonts w:ascii="Arial" w:hAnsi="Arial"/>
                <w:sz w:val="20"/>
              </w:rPr>
            </w:pPr>
          </w:p>
        </w:tc>
        <w:tc>
          <w:tcPr>
            <w:tcW w:w="749" w:type="pct"/>
            <w:shd w:val="clear" w:color="auto" w:fill="00B050"/>
          </w:tcPr>
          <w:p w14:paraId="44CEA631" w14:textId="77777777" w:rsidR="0067172A" w:rsidRPr="00CB3833" w:rsidRDefault="0067172A" w:rsidP="00615434">
            <w:pPr>
              <w:pStyle w:val="bodycopy"/>
              <w:spacing w:before="60" w:after="60"/>
              <w:jc w:val="center"/>
              <w:rPr>
                <w:rFonts w:ascii="Arial" w:hAnsi="Arial"/>
                <w:sz w:val="20"/>
              </w:rPr>
            </w:pPr>
          </w:p>
        </w:tc>
        <w:tc>
          <w:tcPr>
            <w:tcW w:w="778" w:type="pct"/>
            <w:shd w:val="clear" w:color="auto" w:fill="FF0000"/>
          </w:tcPr>
          <w:p w14:paraId="46CA90E0" w14:textId="77777777" w:rsidR="0067172A" w:rsidRPr="00CB3833" w:rsidRDefault="0067172A" w:rsidP="00615434">
            <w:pPr>
              <w:pStyle w:val="bodycopy"/>
              <w:spacing w:before="60" w:after="60"/>
              <w:jc w:val="center"/>
              <w:rPr>
                <w:rFonts w:ascii="Arial" w:hAnsi="Arial"/>
                <w:sz w:val="20"/>
              </w:rPr>
            </w:pPr>
          </w:p>
        </w:tc>
      </w:tr>
      <w:tr w:rsidR="0067172A" w:rsidRPr="00CB3833" w14:paraId="029F605F" w14:textId="77777777" w:rsidTr="00615434">
        <w:tc>
          <w:tcPr>
            <w:tcW w:w="559" w:type="pct"/>
            <w:shd w:val="clear" w:color="auto" w:fill="auto"/>
          </w:tcPr>
          <w:p w14:paraId="6DADFB7D" w14:textId="77777777" w:rsidR="0067172A" w:rsidRPr="00CB3833" w:rsidRDefault="0067172A" w:rsidP="00615434">
            <w:pPr>
              <w:pStyle w:val="bodycopy"/>
              <w:spacing w:before="60" w:after="60"/>
              <w:rPr>
                <w:rFonts w:ascii="Arial" w:hAnsi="Arial"/>
                <w:sz w:val="20"/>
              </w:rPr>
            </w:pPr>
            <w:r w:rsidRPr="00CB3833">
              <w:rPr>
                <w:rFonts w:ascii="Arial" w:hAnsi="Arial"/>
                <w:sz w:val="20"/>
              </w:rPr>
              <w:t>2007/08</w:t>
            </w:r>
          </w:p>
        </w:tc>
        <w:tc>
          <w:tcPr>
            <w:tcW w:w="568" w:type="pct"/>
            <w:shd w:val="clear" w:color="auto" w:fill="auto"/>
          </w:tcPr>
          <w:p w14:paraId="4695E871" w14:textId="77777777" w:rsidR="0067172A" w:rsidRPr="00CB3833" w:rsidRDefault="0067172A" w:rsidP="00615434">
            <w:pPr>
              <w:pStyle w:val="bodycopy"/>
              <w:spacing w:before="60" w:after="60"/>
              <w:rPr>
                <w:rFonts w:ascii="Arial" w:hAnsi="Arial"/>
                <w:sz w:val="20"/>
              </w:rPr>
            </w:pPr>
            <w:r w:rsidRPr="00CB3833">
              <w:rPr>
                <w:rFonts w:ascii="Arial" w:hAnsi="Arial"/>
                <w:sz w:val="20"/>
              </w:rPr>
              <w:t>235.5</w:t>
            </w:r>
          </w:p>
        </w:tc>
        <w:tc>
          <w:tcPr>
            <w:tcW w:w="767" w:type="pct"/>
            <w:shd w:val="clear" w:color="auto" w:fill="00B050"/>
          </w:tcPr>
          <w:p w14:paraId="0002FE76" w14:textId="77777777" w:rsidR="0067172A" w:rsidRPr="00CB3833" w:rsidRDefault="0067172A" w:rsidP="00615434">
            <w:pPr>
              <w:pStyle w:val="bodycopy"/>
              <w:spacing w:before="60" w:after="60"/>
              <w:jc w:val="center"/>
              <w:rPr>
                <w:rFonts w:ascii="Arial" w:hAnsi="Arial"/>
                <w:sz w:val="20"/>
                <w:highlight w:val="yellow"/>
              </w:rPr>
            </w:pPr>
          </w:p>
        </w:tc>
        <w:tc>
          <w:tcPr>
            <w:tcW w:w="831" w:type="pct"/>
            <w:shd w:val="clear" w:color="auto" w:fill="FF0000"/>
          </w:tcPr>
          <w:p w14:paraId="0DE8AC51" w14:textId="77777777" w:rsidR="0067172A" w:rsidRPr="00CB3833" w:rsidRDefault="0067172A" w:rsidP="00615434">
            <w:pPr>
              <w:pStyle w:val="bodycopy"/>
              <w:spacing w:before="60" w:after="60"/>
              <w:jc w:val="center"/>
              <w:rPr>
                <w:rFonts w:ascii="Arial" w:hAnsi="Arial"/>
                <w:sz w:val="20"/>
                <w:highlight w:val="yellow"/>
              </w:rPr>
            </w:pPr>
          </w:p>
        </w:tc>
        <w:tc>
          <w:tcPr>
            <w:tcW w:w="748" w:type="pct"/>
            <w:shd w:val="clear" w:color="auto" w:fill="00B050"/>
          </w:tcPr>
          <w:p w14:paraId="322762CA" w14:textId="77777777" w:rsidR="0067172A" w:rsidRPr="00CB3833" w:rsidRDefault="0067172A" w:rsidP="00615434">
            <w:pPr>
              <w:pStyle w:val="bodycopy"/>
              <w:spacing w:before="60" w:after="60"/>
              <w:jc w:val="center"/>
              <w:rPr>
                <w:rFonts w:ascii="Arial" w:hAnsi="Arial"/>
                <w:sz w:val="20"/>
                <w:highlight w:val="yellow"/>
              </w:rPr>
            </w:pPr>
          </w:p>
        </w:tc>
        <w:tc>
          <w:tcPr>
            <w:tcW w:w="749" w:type="pct"/>
            <w:shd w:val="clear" w:color="auto" w:fill="00B050"/>
          </w:tcPr>
          <w:p w14:paraId="2C05AC04" w14:textId="77777777" w:rsidR="0067172A" w:rsidRPr="00CB3833" w:rsidRDefault="0067172A" w:rsidP="00615434">
            <w:pPr>
              <w:pStyle w:val="bodycopy"/>
              <w:spacing w:before="60" w:after="60"/>
              <w:jc w:val="center"/>
              <w:rPr>
                <w:rFonts w:ascii="Arial" w:hAnsi="Arial"/>
                <w:sz w:val="20"/>
                <w:highlight w:val="yellow"/>
              </w:rPr>
            </w:pPr>
          </w:p>
        </w:tc>
        <w:tc>
          <w:tcPr>
            <w:tcW w:w="778" w:type="pct"/>
            <w:shd w:val="clear" w:color="auto" w:fill="FF0000"/>
          </w:tcPr>
          <w:p w14:paraId="70A4F030" w14:textId="77777777" w:rsidR="0067172A" w:rsidRPr="00CB3833" w:rsidRDefault="0067172A" w:rsidP="00615434">
            <w:pPr>
              <w:pStyle w:val="bodycopy"/>
              <w:spacing w:before="60" w:after="60"/>
              <w:jc w:val="center"/>
              <w:rPr>
                <w:rFonts w:ascii="Arial" w:hAnsi="Arial"/>
                <w:sz w:val="20"/>
                <w:highlight w:val="yellow"/>
              </w:rPr>
            </w:pPr>
          </w:p>
        </w:tc>
      </w:tr>
      <w:tr w:rsidR="0067172A" w:rsidRPr="00CB3833" w14:paraId="11248648" w14:textId="77777777" w:rsidTr="00615434">
        <w:tc>
          <w:tcPr>
            <w:tcW w:w="559" w:type="pct"/>
            <w:shd w:val="clear" w:color="auto" w:fill="auto"/>
          </w:tcPr>
          <w:p w14:paraId="3740C473" w14:textId="77777777" w:rsidR="0067172A" w:rsidRPr="00CB3833" w:rsidRDefault="0067172A" w:rsidP="00615434">
            <w:pPr>
              <w:pStyle w:val="bodycopy"/>
              <w:spacing w:before="60" w:after="60"/>
              <w:rPr>
                <w:rFonts w:ascii="Arial" w:hAnsi="Arial"/>
                <w:sz w:val="20"/>
              </w:rPr>
            </w:pPr>
            <w:r w:rsidRPr="00CB3833">
              <w:rPr>
                <w:rFonts w:ascii="Arial" w:hAnsi="Arial"/>
                <w:sz w:val="20"/>
              </w:rPr>
              <w:t>2008/09</w:t>
            </w:r>
          </w:p>
        </w:tc>
        <w:tc>
          <w:tcPr>
            <w:tcW w:w="568" w:type="pct"/>
            <w:shd w:val="clear" w:color="auto" w:fill="auto"/>
          </w:tcPr>
          <w:p w14:paraId="4ABD4280" w14:textId="77777777" w:rsidR="0067172A" w:rsidRPr="00CB3833" w:rsidRDefault="0067172A" w:rsidP="00615434">
            <w:pPr>
              <w:pStyle w:val="bodycopy"/>
              <w:spacing w:before="60" w:after="60"/>
              <w:rPr>
                <w:rFonts w:ascii="Arial" w:hAnsi="Arial"/>
                <w:sz w:val="20"/>
              </w:rPr>
            </w:pPr>
            <w:r w:rsidRPr="00CB3833">
              <w:rPr>
                <w:rFonts w:ascii="Arial" w:hAnsi="Arial"/>
                <w:sz w:val="20"/>
              </w:rPr>
              <w:t>466.3</w:t>
            </w:r>
          </w:p>
        </w:tc>
        <w:tc>
          <w:tcPr>
            <w:tcW w:w="767" w:type="pct"/>
            <w:shd w:val="clear" w:color="auto" w:fill="00B050"/>
          </w:tcPr>
          <w:p w14:paraId="59AD075C" w14:textId="77777777" w:rsidR="0067172A" w:rsidRPr="00CB3833" w:rsidRDefault="0067172A" w:rsidP="00615434">
            <w:pPr>
              <w:pStyle w:val="bodycopy"/>
              <w:spacing w:before="60" w:after="60"/>
              <w:jc w:val="center"/>
              <w:rPr>
                <w:rFonts w:ascii="Arial" w:hAnsi="Arial"/>
                <w:sz w:val="20"/>
              </w:rPr>
            </w:pPr>
          </w:p>
        </w:tc>
        <w:tc>
          <w:tcPr>
            <w:tcW w:w="831" w:type="pct"/>
            <w:shd w:val="clear" w:color="auto" w:fill="FF0000"/>
          </w:tcPr>
          <w:p w14:paraId="5E002C9C" w14:textId="77777777" w:rsidR="0067172A" w:rsidRPr="00CB3833" w:rsidRDefault="0067172A" w:rsidP="00615434">
            <w:pPr>
              <w:pStyle w:val="bodycopy"/>
              <w:spacing w:before="60" w:after="60"/>
              <w:jc w:val="center"/>
              <w:rPr>
                <w:rFonts w:ascii="Arial" w:hAnsi="Arial"/>
                <w:sz w:val="20"/>
              </w:rPr>
            </w:pPr>
          </w:p>
        </w:tc>
        <w:tc>
          <w:tcPr>
            <w:tcW w:w="748" w:type="pct"/>
            <w:shd w:val="clear" w:color="auto" w:fill="00B050"/>
          </w:tcPr>
          <w:p w14:paraId="47BC54DB" w14:textId="77777777" w:rsidR="0067172A" w:rsidRPr="00CB3833" w:rsidRDefault="0067172A" w:rsidP="00615434">
            <w:pPr>
              <w:pStyle w:val="bodycopy"/>
              <w:spacing w:before="60" w:after="60"/>
              <w:jc w:val="center"/>
              <w:rPr>
                <w:rFonts w:ascii="Arial" w:hAnsi="Arial"/>
                <w:sz w:val="20"/>
              </w:rPr>
            </w:pPr>
          </w:p>
        </w:tc>
        <w:tc>
          <w:tcPr>
            <w:tcW w:w="749" w:type="pct"/>
            <w:shd w:val="clear" w:color="auto" w:fill="00B050"/>
          </w:tcPr>
          <w:p w14:paraId="1F103CE3" w14:textId="77777777" w:rsidR="0067172A" w:rsidRPr="00CB3833" w:rsidRDefault="0067172A" w:rsidP="00615434">
            <w:pPr>
              <w:pStyle w:val="bodycopy"/>
              <w:spacing w:before="60" w:after="60"/>
              <w:jc w:val="center"/>
              <w:rPr>
                <w:rFonts w:ascii="Arial" w:hAnsi="Arial"/>
                <w:sz w:val="20"/>
              </w:rPr>
            </w:pPr>
          </w:p>
        </w:tc>
        <w:tc>
          <w:tcPr>
            <w:tcW w:w="778" w:type="pct"/>
            <w:shd w:val="clear" w:color="auto" w:fill="FF0000"/>
          </w:tcPr>
          <w:p w14:paraId="4CFC9673" w14:textId="77777777" w:rsidR="0067172A" w:rsidRPr="00CB3833" w:rsidRDefault="0067172A" w:rsidP="00615434">
            <w:pPr>
              <w:pStyle w:val="bodycopy"/>
              <w:spacing w:before="60" w:after="60"/>
              <w:jc w:val="center"/>
              <w:rPr>
                <w:rFonts w:ascii="Arial" w:hAnsi="Arial"/>
                <w:sz w:val="20"/>
              </w:rPr>
            </w:pPr>
          </w:p>
        </w:tc>
      </w:tr>
      <w:tr w:rsidR="0067172A" w:rsidRPr="00CB3833" w14:paraId="15EF22C8" w14:textId="77777777" w:rsidTr="00615434">
        <w:tc>
          <w:tcPr>
            <w:tcW w:w="559" w:type="pct"/>
            <w:shd w:val="clear" w:color="auto" w:fill="auto"/>
          </w:tcPr>
          <w:p w14:paraId="41403D17" w14:textId="77777777" w:rsidR="0067172A" w:rsidRPr="00CB3833" w:rsidRDefault="0067172A" w:rsidP="00615434">
            <w:pPr>
              <w:pStyle w:val="bodycopy"/>
              <w:spacing w:before="60" w:after="60"/>
              <w:rPr>
                <w:rFonts w:ascii="Arial" w:hAnsi="Arial"/>
                <w:sz w:val="20"/>
              </w:rPr>
            </w:pPr>
            <w:r w:rsidRPr="00CB3833">
              <w:rPr>
                <w:rFonts w:ascii="Arial" w:hAnsi="Arial"/>
                <w:sz w:val="20"/>
              </w:rPr>
              <w:t>2009/10</w:t>
            </w:r>
          </w:p>
        </w:tc>
        <w:tc>
          <w:tcPr>
            <w:tcW w:w="568" w:type="pct"/>
            <w:shd w:val="clear" w:color="auto" w:fill="auto"/>
          </w:tcPr>
          <w:p w14:paraId="58747964" w14:textId="77777777" w:rsidR="0067172A" w:rsidRPr="00CB3833" w:rsidRDefault="0067172A" w:rsidP="00615434">
            <w:pPr>
              <w:pStyle w:val="bodycopy"/>
              <w:spacing w:before="60" w:after="60"/>
              <w:rPr>
                <w:rFonts w:ascii="Arial" w:hAnsi="Arial"/>
                <w:sz w:val="20"/>
              </w:rPr>
            </w:pPr>
            <w:r w:rsidRPr="00CB3833">
              <w:rPr>
                <w:rFonts w:ascii="Arial" w:hAnsi="Arial"/>
                <w:sz w:val="20"/>
              </w:rPr>
              <w:t>ID</w:t>
            </w:r>
          </w:p>
        </w:tc>
        <w:tc>
          <w:tcPr>
            <w:tcW w:w="767" w:type="pct"/>
            <w:shd w:val="clear" w:color="auto" w:fill="00B050"/>
          </w:tcPr>
          <w:p w14:paraId="0761C999" w14:textId="77777777" w:rsidR="0067172A" w:rsidRPr="00CB3833" w:rsidRDefault="0067172A" w:rsidP="00615434">
            <w:pPr>
              <w:pStyle w:val="bodycopy"/>
              <w:spacing w:before="60" w:after="60"/>
              <w:jc w:val="center"/>
              <w:rPr>
                <w:rFonts w:ascii="Arial" w:hAnsi="Arial"/>
                <w:sz w:val="20"/>
              </w:rPr>
            </w:pPr>
          </w:p>
        </w:tc>
        <w:tc>
          <w:tcPr>
            <w:tcW w:w="831" w:type="pct"/>
            <w:shd w:val="clear" w:color="auto" w:fill="FF0000"/>
          </w:tcPr>
          <w:p w14:paraId="4D7FA502" w14:textId="77777777" w:rsidR="0067172A" w:rsidRPr="00CB3833" w:rsidRDefault="0067172A" w:rsidP="00615434">
            <w:pPr>
              <w:pStyle w:val="bodycopy"/>
              <w:spacing w:before="60" w:after="60"/>
              <w:jc w:val="center"/>
              <w:rPr>
                <w:rFonts w:ascii="Arial" w:hAnsi="Arial"/>
                <w:sz w:val="20"/>
              </w:rPr>
            </w:pPr>
          </w:p>
        </w:tc>
        <w:tc>
          <w:tcPr>
            <w:tcW w:w="748" w:type="pct"/>
            <w:shd w:val="clear" w:color="auto" w:fill="00B050"/>
          </w:tcPr>
          <w:p w14:paraId="34EA20EF" w14:textId="77777777" w:rsidR="0067172A" w:rsidRPr="00CB3833" w:rsidRDefault="0067172A" w:rsidP="00615434">
            <w:pPr>
              <w:pStyle w:val="bodycopy"/>
              <w:spacing w:before="60" w:after="60"/>
              <w:jc w:val="center"/>
              <w:rPr>
                <w:rFonts w:ascii="Arial" w:hAnsi="Arial"/>
                <w:sz w:val="20"/>
              </w:rPr>
            </w:pPr>
          </w:p>
        </w:tc>
        <w:tc>
          <w:tcPr>
            <w:tcW w:w="749" w:type="pct"/>
            <w:shd w:val="clear" w:color="auto" w:fill="00B050"/>
          </w:tcPr>
          <w:p w14:paraId="14FE372F" w14:textId="77777777" w:rsidR="0067172A" w:rsidRPr="00CB3833" w:rsidRDefault="0067172A" w:rsidP="00615434">
            <w:pPr>
              <w:pStyle w:val="bodycopy"/>
              <w:spacing w:before="60" w:after="60"/>
              <w:jc w:val="center"/>
              <w:rPr>
                <w:rFonts w:ascii="Arial" w:hAnsi="Arial"/>
                <w:sz w:val="20"/>
              </w:rPr>
            </w:pPr>
          </w:p>
        </w:tc>
        <w:tc>
          <w:tcPr>
            <w:tcW w:w="778" w:type="pct"/>
            <w:shd w:val="clear" w:color="auto" w:fill="FF0000"/>
          </w:tcPr>
          <w:p w14:paraId="7797CF0D" w14:textId="77777777" w:rsidR="0067172A" w:rsidRPr="00CB3833" w:rsidRDefault="0067172A" w:rsidP="00615434">
            <w:pPr>
              <w:pStyle w:val="bodycopy"/>
              <w:spacing w:before="60" w:after="60"/>
              <w:jc w:val="center"/>
              <w:rPr>
                <w:rFonts w:ascii="Arial" w:hAnsi="Arial"/>
                <w:sz w:val="20"/>
              </w:rPr>
            </w:pPr>
          </w:p>
        </w:tc>
      </w:tr>
      <w:tr w:rsidR="0067172A" w:rsidRPr="00CB3833" w14:paraId="36496742" w14:textId="77777777" w:rsidTr="00615434">
        <w:tc>
          <w:tcPr>
            <w:tcW w:w="559" w:type="pct"/>
            <w:shd w:val="clear" w:color="auto" w:fill="auto"/>
          </w:tcPr>
          <w:p w14:paraId="12160C47" w14:textId="77777777" w:rsidR="0067172A" w:rsidRPr="00CB3833" w:rsidRDefault="0067172A" w:rsidP="00615434">
            <w:pPr>
              <w:pStyle w:val="bodycopy"/>
              <w:spacing w:before="60" w:after="60"/>
              <w:rPr>
                <w:rFonts w:ascii="Arial" w:hAnsi="Arial"/>
                <w:sz w:val="20"/>
              </w:rPr>
            </w:pPr>
            <w:r w:rsidRPr="00CB3833">
              <w:rPr>
                <w:rFonts w:ascii="Arial" w:hAnsi="Arial"/>
                <w:sz w:val="20"/>
              </w:rPr>
              <w:t>2010/11</w:t>
            </w:r>
          </w:p>
        </w:tc>
        <w:tc>
          <w:tcPr>
            <w:tcW w:w="568" w:type="pct"/>
            <w:shd w:val="clear" w:color="auto" w:fill="auto"/>
          </w:tcPr>
          <w:p w14:paraId="72E1CD6A" w14:textId="77777777" w:rsidR="0067172A" w:rsidRPr="00CB3833" w:rsidRDefault="0067172A" w:rsidP="00615434">
            <w:pPr>
              <w:pStyle w:val="bodycopy"/>
              <w:spacing w:before="60" w:after="60"/>
              <w:rPr>
                <w:rFonts w:ascii="Arial" w:hAnsi="Arial"/>
                <w:sz w:val="20"/>
              </w:rPr>
            </w:pPr>
            <w:r w:rsidRPr="00CB3833">
              <w:rPr>
                <w:rFonts w:ascii="Arial" w:hAnsi="Arial"/>
                <w:sz w:val="20"/>
              </w:rPr>
              <w:t>ID</w:t>
            </w:r>
          </w:p>
        </w:tc>
        <w:tc>
          <w:tcPr>
            <w:tcW w:w="767" w:type="pct"/>
            <w:shd w:val="clear" w:color="auto" w:fill="FF0000"/>
          </w:tcPr>
          <w:p w14:paraId="5B92629A" w14:textId="48D5447F" w:rsidR="0067172A" w:rsidRPr="00CB3833" w:rsidRDefault="000371AE" w:rsidP="00615434">
            <w:pPr>
              <w:pStyle w:val="bodycopy"/>
              <w:spacing w:before="60" w:after="60"/>
              <w:jc w:val="center"/>
              <w:rPr>
                <w:rFonts w:ascii="Arial" w:hAnsi="Arial"/>
                <w:sz w:val="20"/>
              </w:rPr>
            </w:pPr>
            <w:r>
              <w:rPr>
                <w:rFonts w:ascii="Arial" w:hAnsi="Arial"/>
                <w:sz w:val="20"/>
              </w:rPr>
              <w:t>Zero quota</w:t>
            </w:r>
          </w:p>
        </w:tc>
        <w:tc>
          <w:tcPr>
            <w:tcW w:w="831" w:type="pct"/>
            <w:shd w:val="clear" w:color="auto" w:fill="00B050"/>
          </w:tcPr>
          <w:p w14:paraId="19DD9AF8" w14:textId="77777777" w:rsidR="0067172A" w:rsidRPr="00CB3833" w:rsidRDefault="0067172A" w:rsidP="00615434">
            <w:pPr>
              <w:pStyle w:val="bodycopy"/>
              <w:spacing w:before="60" w:after="60"/>
              <w:jc w:val="center"/>
              <w:rPr>
                <w:rFonts w:ascii="Arial" w:hAnsi="Arial"/>
                <w:sz w:val="20"/>
              </w:rPr>
            </w:pPr>
          </w:p>
        </w:tc>
        <w:tc>
          <w:tcPr>
            <w:tcW w:w="748" w:type="pct"/>
            <w:shd w:val="clear" w:color="auto" w:fill="00B050"/>
          </w:tcPr>
          <w:p w14:paraId="658EDA95" w14:textId="77777777" w:rsidR="0067172A" w:rsidRPr="00CB3833" w:rsidRDefault="0067172A" w:rsidP="00615434">
            <w:pPr>
              <w:pStyle w:val="bodycopy"/>
              <w:spacing w:before="60" w:after="60"/>
              <w:jc w:val="center"/>
              <w:rPr>
                <w:rFonts w:ascii="Arial" w:hAnsi="Arial"/>
                <w:sz w:val="20"/>
              </w:rPr>
            </w:pPr>
          </w:p>
        </w:tc>
        <w:tc>
          <w:tcPr>
            <w:tcW w:w="749" w:type="pct"/>
            <w:shd w:val="clear" w:color="auto" w:fill="00B050"/>
          </w:tcPr>
          <w:p w14:paraId="346472B3" w14:textId="77777777" w:rsidR="0067172A" w:rsidRPr="00CB3833" w:rsidRDefault="0067172A" w:rsidP="00615434">
            <w:pPr>
              <w:pStyle w:val="bodycopy"/>
              <w:spacing w:before="60" w:after="60"/>
              <w:jc w:val="center"/>
              <w:rPr>
                <w:rFonts w:ascii="Arial" w:hAnsi="Arial"/>
                <w:sz w:val="20"/>
              </w:rPr>
            </w:pPr>
          </w:p>
        </w:tc>
        <w:tc>
          <w:tcPr>
            <w:tcW w:w="778" w:type="pct"/>
            <w:shd w:val="clear" w:color="auto" w:fill="FF0000"/>
          </w:tcPr>
          <w:p w14:paraId="0C911E70" w14:textId="77777777" w:rsidR="0067172A" w:rsidRPr="00CB3833" w:rsidRDefault="0067172A" w:rsidP="00615434">
            <w:pPr>
              <w:pStyle w:val="bodycopy"/>
              <w:spacing w:before="60" w:after="60"/>
              <w:jc w:val="center"/>
              <w:rPr>
                <w:rFonts w:ascii="Arial" w:hAnsi="Arial"/>
                <w:sz w:val="20"/>
              </w:rPr>
            </w:pPr>
          </w:p>
        </w:tc>
      </w:tr>
      <w:tr w:rsidR="0067172A" w:rsidRPr="00CB3833" w14:paraId="2F984B4B" w14:textId="77777777" w:rsidTr="00615434">
        <w:tc>
          <w:tcPr>
            <w:tcW w:w="559" w:type="pct"/>
            <w:shd w:val="clear" w:color="auto" w:fill="auto"/>
          </w:tcPr>
          <w:p w14:paraId="390B2E23" w14:textId="77777777" w:rsidR="0067172A" w:rsidRPr="00CB3833" w:rsidRDefault="0067172A" w:rsidP="00615434">
            <w:pPr>
              <w:pStyle w:val="bodycopy"/>
              <w:spacing w:before="60" w:after="60"/>
              <w:rPr>
                <w:rFonts w:ascii="Arial" w:hAnsi="Arial"/>
                <w:sz w:val="20"/>
              </w:rPr>
            </w:pPr>
            <w:r w:rsidRPr="00CB3833">
              <w:rPr>
                <w:rFonts w:ascii="Arial" w:hAnsi="Arial"/>
                <w:sz w:val="20"/>
              </w:rPr>
              <w:t>2011/12</w:t>
            </w:r>
          </w:p>
        </w:tc>
        <w:tc>
          <w:tcPr>
            <w:tcW w:w="568" w:type="pct"/>
            <w:shd w:val="clear" w:color="auto" w:fill="auto"/>
          </w:tcPr>
          <w:p w14:paraId="7CF5C269" w14:textId="77777777" w:rsidR="0067172A" w:rsidRPr="00CB3833" w:rsidRDefault="0067172A" w:rsidP="00615434">
            <w:pPr>
              <w:pStyle w:val="bodycopy"/>
              <w:spacing w:before="60" w:after="60"/>
              <w:rPr>
                <w:rFonts w:ascii="Arial" w:hAnsi="Arial"/>
                <w:sz w:val="20"/>
              </w:rPr>
            </w:pPr>
            <w:r w:rsidRPr="00CB3833">
              <w:rPr>
                <w:rFonts w:ascii="Arial" w:hAnsi="Arial"/>
                <w:sz w:val="20"/>
              </w:rPr>
              <w:t>ID</w:t>
            </w:r>
          </w:p>
        </w:tc>
        <w:tc>
          <w:tcPr>
            <w:tcW w:w="767" w:type="pct"/>
            <w:shd w:val="clear" w:color="auto" w:fill="FF0000"/>
          </w:tcPr>
          <w:p w14:paraId="7B304435" w14:textId="0F634E8A" w:rsidR="0067172A" w:rsidRPr="00CB3833" w:rsidRDefault="000371AE" w:rsidP="00615434">
            <w:pPr>
              <w:pStyle w:val="bodycopy"/>
              <w:spacing w:before="60" w:after="60"/>
              <w:jc w:val="center"/>
              <w:rPr>
                <w:rFonts w:ascii="Arial" w:hAnsi="Arial"/>
                <w:sz w:val="20"/>
              </w:rPr>
            </w:pPr>
            <w:r>
              <w:rPr>
                <w:rFonts w:ascii="Arial" w:hAnsi="Arial"/>
                <w:sz w:val="20"/>
              </w:rPr>
              <w:t>Zero quota</w:t>
            </w:r>
          </w:p>
        </w:tc>
        <w:tc>
          <w:tcPr>
            <w:tcW w:w="831" w:type="pct"/>
            <w:shd w:val="clear" w:color="auto" w:fill="00B050"/>
          </w:tcPr>
          <w:p w14:paraId="05B58E15" w14:textId="77777777" w:rsidR="0067172A" w:rsidRPr="00CB3833" w:rsidRDefault="0067172A" w:rsidP="00615434">
            <w:pPr>
              <w:pStyle w:val="bodycopy"/>
              <w:spacing w:before="60" w:after="60"/>
              <w:jc w:val="center"/>
              <w:rPr>
                <w:rFonts w:ascii="Arial" w:hAnsi="Arial"/>
                <w:sz w:val="20"/>
              </w:rPr>
            </w:pPr>
          </w:p>
        </w:tc>
        <w:tc>
          <w:tcPr>
            <w:tcW w:w="748" w:type="pct"/>
            <w:shd w:val="clear" w:color="auto" w:fill="00B050"/>
          </w:tcPr>
          <w:p w14:paraId="2118739A" w14:textId="77777777" w:rsidR="0067172A" w:rsidRPr="00CB3833" w:rsidRDefault="0067172A" w:rsidP="00615434">
            <w:pPr>
              <w:pStyle w:val="bodycopy"/>
              <w:spacing w:before="60" w:after="60"/>
              <w:jc w:val="center"/>
              <w:rPr>
                <w:rFonts w:ascii="Arial" w:hAnsi="Arial"/>
                <w:sz w:val="20"/>
              </w:rPr>
            </w:pPr>
          </w:p>
        </w:tc>
        <w:tc>
          <w:tcPr>
            <w:tcW w:w="749" w:type="pct"/>
            <w:shd w:val="clear" w:color="auto" w:fill="00B050"/>
          </w:tcPr>
          <w:p w14:paraId="4217A8B9" w14:textId="77777777" w:rsidR="0067172A" w:rsidRPr="00CB3833" w:rsidRDefault="0067172A" w:rsidP="00615434">
            <w:pPr>
              <w:pStyle w:val="bodycopy"/>
              <w:spacing w:before="60" w:after="60"/>
              <w:jc w:val="center"/>
              <w:rPr>
                <w:rFonts w:ascii="Arial" w:hAnsi="Arial"/>
                <w:sz w:val="20"/>
              </w:rPr>
            </w:pPr>
          </w:p>
        </w:tc>
        <w:tc>
          <w:tcPr>
            <w:tcW w:w="778" w:type="pct"/>
            <w:shd w:val="clear" w:color="auto" w:fill="FF0000"/>
          </w:tcPr>
          <w:p w14:paraId="20B08984" w14:textId="77777777" w:rsidR="0067172A" w:rsidRPr="00CB3833" w:rsidRDefault="0067172A" w:rsidP="00615434">
            <w:pPr>
              <w:pStyle w:val="bodycopy"/>
              <w:spacing w:before="60" w:after="60"/>
              <w:jc w:val="center"/>
              <w:rPr>
                <w:rFonts w:ascii="Arial" w:hAnsi="Arial"/>
                <w:sz w:val="20"/>
              </w:rPr>
            </w:pPr>
          </w:p>
        </w:tc>
      </w:tr>
      <w:tr w:rsidR="0067172A" w:rsidRPr="00CB3833" w14:paraId="4E27D99E" w14:textId="77777777" w:rsidTr="000371AE">
        <w:tc>
          <w:tcPr>
            <w:tcW w:w="559" w:type="pct"/>
            <w:shd w:val="clear" w:color="auto" w:fill="auto"/>
          </w:tcPr>
          <w:p w14:paraId="008D5AE2" w14:textId="77777777" w:rsidR="0067172A" w:rsidRPr="00CB3833" w:rsidRDefault="0067172A" w:rsidP="00615434">
            <w:pPr>
              <w:pStyle w:val="bodycopy"/>
              <w:spacing w:before="60" w:after="60"/>
              <w:rPr>
                <w:rFonts w:ascii="Arial" w:hAnsi="Arial"/>
                <w:sz w:val="20"/>
              </w:rPr>
            </w:pPr>
            <w:r w:rsidRPr="00CB3833">
              <w:rPr>
                <w:rFonts w:ascii="Arial" w:hAnsi="Arial"/>
                <w:sz w:val="20"/>
              </w:rPr>
              <w:t>2012/13</w:t>
            </w:r>
          </w:p>
        </w:tc>
        <w:tc>
          <w:tcPr>
            <w:tcW w:w="568" w:type="pct"/>
            <w:shd w:val="clear" w:color="auto" w:fill="auto"/>
          </w:tcPr>
          <w:p w14:paraId="49E45363" w14:textId="77777777" w:rsidR="0067172A" w:rsidRPr="00CB3833" w:rsidRDefault="0067172A" w:rsidP="00615434">
            <w:pPr>
              <w:pStyle w:val="bodycopy"/>
              <w:spacing w:before="60" w:after="60"/>
              <w:rPr>
                <w:rFonts w:ascii="Arial" w:hAnsi="Arial"/>
                <w:sz w:val="20"/>
              </w:rPr>
            </w:pPr>
            <w:r w:rsidRPr="00CB3833">
              <w:rPr>
                <w:rFonts w:ascii="Arial" w:hAnsi="Arial"/>
                <w:sz w:val="20"/>
              </w:rPr>
              <w:t>ID</w:t>
            </w:r>
          </w:p>
        </w:tc>
        <w:tc>
          <w:tcPr>
            <w:tcW w:w="767" w:type="pct"/>
            <w:shd w:val="clear" w:color="auto" w:fill="FF0000"/>
          </w:tcPr>
          <w:p w14:paraId="575FDB26" w14:textId="6FC8BE6D" w:rsidR="0067172A" w:rsidRPr="00CB3833" w:rsidRDefault="000371AE" w:rsidP="00615434">
            <w:pPr>
              <w:pStyle w:val="bodycopy"/>
              <w:spacing w:before="60" w:after="60"/>
              <w:jc w:val="center"/>
              <w:rPr>
                <w:rFonts w:ascii="Arial" w:hAnsi="Arial"/>
                <w:sz w:val="20"/>
              </w:rPr>
            </w:pPr>
            <w:r>
              <w:rPr>
                <w:rFonts w:ascii="Arial" w:hAnsi="Arial"/>
                <w:sz w:val="20"/>
              </w:rPr>
              <w:t>Zero quota</w:t>
            </w:r>
          </w:p>
        </w:tc>
        <w:tc>
          <w:tcPr>
            <w:tcW w:w="831" w:type="pct"/>
            <w:shd w:val="clear" w:color="auto" w:fill="FF0000"/>
          </w:tcPr>
          <w:p w14:paraId="13673279" w14:textId="77777777" w:rsidR="0067172A" w:rsidRPr="00CB3833" w:rsidRDefault="0067172A" w:rsidP="00615434">
            <w:pPr>
              <w:pStyle w:val="bodycopy"/>
              <w:spacing w:before="60" w:after="60"/>
              <w:jc w:val="center"/>
              <w:rPr>
                <w:rFonts w:ascii="Arial" w:hAnsi="Arial"/>
                <w:sz w:val="20"/>
              </w:rPr>
            </w:pPr>
          </w:p>
        </w:tc>
        <w:tc>
          <w:tcPr>
            <w:tcW w:w="748" w:type="pct"/>
            <w:shd w:val="clear" w:color="auto" w:fill="00B050"/>
          </w:tcPr>
          <w:p w14:paraId="7908147C" w14:textId="77777777" w:rsidR="0067172A" w:rsidRPr="00CB3833" w:rsidRDefault="0067172A" w:rsidP="00615434">
            <w:pPr>
              <w:pStyle w:val="bodycopy"/>
              <w:spacing w:before="60" w:after="60"/>
              <w:jc w:val="center"/>
              <w:rPr>
                <w:rFonts w:ascii="Arial" w:hAnsi="Arial"/>
                <w:sz w:val="20"/>
              </w:rPr>
            </w:pPr>
          </w:p>
        </w:tc>
        <w:tc>
          <w:tcPr>
            <w:tcW w:w="749" w:type="pct"/>
            <w:shd w:val="clear" w:color="auto" w:fill="00B050"/>
          </w:tcPr>
          <w:p w14:paraId="4606D2A8" w14:textId="77777777" w:rsidR="0067172A" w:rsidRPr="00CB3833" w:rsidRDefault="0067172A" w:rsidP="00615434">
            <w:pPr>
              <w:pStyle w:val="bodycopy"/>
              <w:spacing w:before="60" w:after="60"/>
              <w:jc w:val="center"/>
              <w:rPr>
                <w:rFonts w:ascii="Arial" w:hAnsi="Arial"/>
                <w:sz w:val="20"/>
              </w:rPr>
            </w:pPr>
          </w:p>
        </w:tc>
        <w:tc>
          <w:tcPr>
            <w:tcW w:w="778" w:type="pct"/>
            <w:shd w:val="clear" w:color="auto" w:fill="FF0000"/>
          </w:tcPr>
          <w:p w14:paraId="0ECC4961" w14:textId="77777777" w:rsidR="0067172A" w:rsidRPr="00CB3833" w:rsidRDefault="0067172A" w:rsidP="00615434">
            <w:pPr>
              <w:pStyle w:val="bodycopy"/>
              <w:spacing w:before="60" w:after="60"/>
              <w:jc w:val="center"/>
              <w:rPr>
                <w:rFonts w:ascii="Arial" w:hAnsi="Arial"/>
                <w:sz w:val="20"/>
              </w:rPr>
            </w:pPr>
          </w:p>
        </w:tc>
      </w:tr>
      <w:tr w:rsidR="0067172A" w:rsidRPr="00CB3833" w14:paraId="7DDF5A18" w14:textId="77777777" w:rsidTr="00615434">
        <w:tc>
          <w:tcPr>
            <w:tcW w:w="559" w:type="pct"/>
            <w:shd w:val="clear" w:color="auto" w:fill="auto"/>
          </w:tcPr>
          <w:p w14:paraId="69D451E5" w14:textId="77777777" w:rsidR="0067172A" w:rsidRPr="00CB3833" w:rsidRDefault="0067172A" w:rsidP="00615434">
            <w:pPr>
              <w:pStyle w:val="bodycopy"/>
              <w:spacing w:before="60" w:after="60"/>
              <w:rPr>
                <w:rFonts w:ascii="Arial" w:hAnsi="Arial"/>
                <w:sz w:val="20"/>
              </w:rPr>
            </w:pPr>
            <w:r w:rsidRPr="00CB3833">
              <w:rPr>
                <w:rFonts w:ascii="Arial" w:hAnsi="Arial"/>
                <w:sz w:val="20"/>
              </w:rPr>
              <w:t>2013/14</w:t>
            </w:r>
          </w:p>
        </w:tc>
        <w:tc>
          <w:tcPr>
            <w:tcW w:w="568" w:type="pct"/>
            <w:shd w:val="clear" w:color="auto" w:fill="auto"/>
          </w:tcPr>
          <w:p w14:paraId="1156B3AF" w14:textId="77777777" w:rsidR="0067172A" w:rsidRPr="00CB3833" w:rsidRDefault="0067172A" w:rsidP="00615434">
            <w:pPr>
              <w:pStyle w:val="bodycopy"/>
              <w:spacing w:before="60" w:after="60"/>
              <w:rPr>
                <w:rFonts w:ascii="Arial" w:hAnsi="Arial"/>
                <w:sz w:val="20"/>
              </w:rPr>
            </w:pPr>
            <w:r w:rsidRPr="00CB3833">
              <w:rPr>
                <w:rFonts w:ascii="Arial" w:hAnsi="Arial"/>
                <w:sz w:val="20"/>
              </w:rPr>
              <w:t>ID</w:t>
            </w:r>
          </w:p>
        </w:tc>
        <w:tc>
          <w:tcPr>
            <w:tcW w:w="767" w:type="pct"/>
            <w:shd w:val="clear" w:color="auto" w:fill="00B050"/>
          </w:tcPr>
          <w:p w14:paraId="4637ECDB" w14:textId="77777777" w:rsidR="0067172A" w:rsidRPr="00CB3833" w:rsidRDefault="0067172A" w:rsidP="00615434">
            <w:pPr>
              <w:pStyle w:val="bodycopy"/>
              <w:spacing w:before="60" w:after="60"/>
              <w:jc w:val="center"/>
              <w:rPr>
                <w:rFonts w:ascii="Arial" w:hAnsi="Arial"/>
                <w:sz w:val="20"/>
              </w:rPr>
            </w:pPr>
          </w:p>
        </w:tc>
        <w:tc>
          <w:tcPr>
            <w:tcW w:w="831" w:type="pct"/>
            <w:shd w:val="clear" w:color="auto" w:fill="00B050"/>
          </w:tcPr>
          <w:p w14:paraId="6A8674CF" w14:textId="77777777" w:rsidR="0067172A" w:rsidRPr="00CB3833" w:rsidRDefault="0067172A" w:rsidP="00615434">
            <w:pPr>
              <w:pStyle w:val="bodycopy"/>
              <w:spacing w:before="60" w:after="60"/>
              <w:jc w:val="center"/>
              <w:rPr>
                <w:rFonts w:ascii="Arial" w:hAnsi="Arial"/>
                <w:sz w:val="20"/>
              </w:rPr>
            </w:pPr>
          </w:p>
        </w:tc>
        <w:tc>
          <w:tcPr>
            <w:tcW w:w="748" w:type="pct"/>
            <w:shd w:val="clear" w:color="auto" w:fill="00B050"/>
          </w:tcPr>
          <w:p w14:paraId="433C0E94" w14:textId="77777777" w:rsidR="0067172A" w:rsidRPr="00CB3833" w:rsidRDefault="0067172A" w:rsidP="00615434">
            <w:pPr>
              <w:pStyle w:val="bodycopy"/>
              <w:spacing w:before="60" w:after="60"/>
              <w:jc w:val="center"/>
              <w:rPr>
                <w:rFonts w:ascii="Arial" w:hAnsi="Arial"/>
                <w:sz w:val="20"/>
              </w:rPr>
            </w:pPr>
          </w:p>
        </w:tc>
        <w:tc>
          <w:tcPr>
            <w:tcW w:w="749" w:type="pct"/>
            <w:shd w:val="clear" w:color="auto" w:fill="00B050"/>
          </w:tcPr>
          <w:p w14:paraId="72081463" w14:textId="77777777" w:rsidR="0067172A" w:rsidRPr="00CB3833" w:rsidRDefault="0067172A" w:rsidP="00615434">
            <w:pPr>
              <w:pStyle w:val="bodycopy"/>
              <w:spacing w:before="60" w:after="60"/>
              <w:jc w:val="center"/>
              <w:rPr>
                <w:rFonts w:ascii="Arial" w:hAnsi="Arial"/>
                <w:sz w:val="20"/>
              </w:rPr>
            </w:pPr>
          </w:p>
        </w:tc>
        <w:tc>
          <w:tcPr>
            <w:tcW w:w="778" w:type="pct"/>
            <w:shd w:val="clear" w:color="auto" w:fill="FF0000"/>
          </w:tcPr>
          <w:p w14:paraId="3B0304E3" w14:textId="77777777" w:rsidR="0067172A" w:rsidRPr="00CB3833" w:rsidRDefault="0067172A" w:rsidP="00615434">
            <w:pPr>
              <w:pStyle w:val="bodycopy"/>
              <w:spacing w:before="60" w:after="60"/>
              <w:jc w:val="center"/>
              <w:rPr>
                <w:rFonts w:ascii="Arial" w:hAnsi="Arial"/>
                <w:sz w:val="20"/>
              </w:rPr>
            </w:pPr>
          </w:p>
        </w:tc>
      </w:tr>
      <w:tr w:rsidR="0067172A" w:rsidRPr="00CB3833" w14:paraId="4230F55C" w14:textId="77777777" w:rsidTr="00615434">
        <w:tc>
          <w:tcPr>
            <w:tcW w:w="559" w:type="pct"/>
            <w:shd w:val="clear" w:color="auto" w:fill="auto"/>
          </w:tcPr>
          <w:p w14:paraId="7C903E8E" w14:textId="77777777" w:rsidR="0067172A" w:rsidRPr="00CB3833" w:rsidRDefault="0067172A" w:rsidP="00615434">
            <w:pPr>
              <w:pStyle w:val="bodycopy"/>
              <w:spacing w:before="60" w:after="60"/>
              <w:rPr>
                <w:rFonts w:ascii="Arial" w:hAnsi="Arial"/>
                <w:sz w:val="20"/>
              </w:rPr>
            </w:pPr>
            <w:r w:rsidRPr="00CB3833">
              <w:rPr>
                <w:rFonts w:ascii="Arial" w:hAnsi="Arial"/>
                <w:sz w:val="20"/>
              </w:rPr>
              <w:t>2014/15</w:t>
            </w:r>
          </w:p>
        </w:tc>
        <w:tc>
          <w:tcPr>
            <w:tcW w:w="568" w:type="pct"/>
            <w:shd w:val="clear" w:color="auto" w:fill="auto"/>
          </w:tcPr>
          <w:p w14:paraId="44BCC6BF" w14:textId="77777777" w:rsidR="0067172A" w:rsidRPr="00CB3833" w:rsidRDefault="0067172A" w:rsidP="00615434">
            <w:pPr>
              <w:pStyle w:val="bodycopy"/>
              <w:spacing w:before="60" w:after="60"/>
              <w:rPr>
                <w:rFonts w:ascii="Arial" w:hAnsi="Arial"/>
                <w:sz w:val="20"/>
              </w:rPr>
            </w:pPr>
            <w:r w:rsidRPr="00CB3833">
              <w:rPr>
                <w:rFonts w:ascii="Arial" w:hAnsi="Arial"/>
                <w:sz w:val="20"/>
              </w:rPr>
              <w:t>ID</w:t>
            </w:r>
          </w:p>
        </w:tc>
        <w:tc>
          <w:tcPr>
            <w:tcW w:w="767" w:type="pct"/>
            <w:shd w:val="clear" w:color="auto" w:fill="00B050"/>
          </w:tcPr>
          <w:p w14:paraId="19215C4A" w14:textId="77777777" w:rsidR="0067172A" w:rsidRPr="00CB3833" w:rsidRDefault="0067172A" w:rsidP="00615434">
            <w:pPr>
              <w:pStyle w:val="bodycopy"/>
              <w:spacing w:before="60" w:after="60"/>
              <w:jc w:val="center"/>
              <w:rPr>
                <w:rFonts w:ascii="Arial" w:hAnsi="Arial"/>
                <w:sz w:val="20"/>
              </w:rPr>
            </w:pPr>
          </w:p>
        </w:tc>
        <w:tc>
          <w:tcPr>
            <w:tcW w:w="831" w:type="pct"/>
            <w:shd w:val="clear" w:color="auto" w:fill="00B050"/>
          </w:tcPr>
          <w:p w14:paraId="2FDE40A0" w14:textId="77777777" w:rsidR="0067172A" w:rsidRPr="00CB3833" w:rsidRDefault="0067172A" w:rsidP="00615434">
            <w:pPr>
              <w:pStyle w:val="bodycopy"/>
              <w:spacing w:before="60" w:after="60"/>
              <w:jc w:val="center"/>
              <w:rPr>
                <w:rFonts w:ascii="Arial" w:hAnsi="Arial"/>
                <w:sz w:val="20"/>
              </w:rPr>
            </w:pPr>
          </w:p>
        </w:tc>
        <w:tc>
          <w:tcPr>
            <w:tcW w:w="748" w:type="pct"/>
            <w:shd w:val="clear" w:color="auto" w:fill="00B050"/>
          </w:tcPr>
          <w:p w14:paraId="7C62075F" w14:textId="77777777" w:rsidR="0067172A" w:rsidRPr="00CB3833" w:rsidRDefault="0067172A" w:rsidP="00615434">
            <w:pPr>
              <w:pStyle w:val="bodycopy"/>
              <w:spacing w:before="60" w:after="60"/>
              <w:jc w:val="center"/>
              <w:rPr>
                <w:rFonts w:ascii="Arial" w:hAnsi="Arial"/>
                <w:sz w:val="20"/>
              </w:rPr>
            </w:pPr>
          </w:p>
        </w:tc>
        <w:tc>
          <w:tcPr>
            <w:tcW w:w="749" w:type="pct"/>
            <w:shd w:val="clear" w:color="auto" w:fill="00B050"/>
          </w:tcPr>
          <w:p w14:paraId="57C1D221" w14:textId="77777777" w:rsidR="0067172A" w:rsidRPr="00CB3833" w:rsidRDefault="0067172A" w:rsidP="00615434">
            <w:pPr>
              <w:pStyle w:val="bodycopy"/>
              <w:spacing w:before="60" w:after="60"/>
              <w:jc w:val="center"/>
              <w:rPr>
                <w:rFonts w:ascii="Arial" w:hAnsi="Arial"/>
                <w:sz w:val="20"/>
              </w:rPr>
            </w:pPr>
          </w:p>
        </w:tc>
        <w:tc>
          <w:tcPr>
            <w:tcW w:w="778" w:type="pct"/>
            <w:shd w:val="clear" w:color="auto" w:fill="FF0000"/>
          </w:tcPr>
          <w:p w14:paraId="41A7172D" w14:textId="77777777" w:rsidR="0067172A" w:rsidRPr="00CB3833" w:rsidRDefault="0067172A" w:rsidP="00615434">
            <w:pPr>
              <w:pStyle w:val="bodycopy"/>
              <w:spacing w:before="60" w:after="60"/>
              <w:jc w:val="center"/>
              <w:rPr>
                <w:rFonts w:ascii="Arial" w:hAnsi="Arial"/>
                <w:sz w:val="20"/>
              </w:rPr>
            </w:pPr>
          </w:p>
        </w:tc>
      </w:tr>
      <w:tr w:rsidR="0067172A" w:rsidRPr="00CB3833" w14:paraId="7A3A3DD2" w14:textId="77777777" w:rsidTr="000371AE">
        <w:tc>
          <w:tcPr>
            <w:tcW w:w="559" w:type="pct"/>
            <w:shd w:val="clear" w:color="auto" w:fill="auto"/>
          </w:tcPr>
          <w:p w14:paraId="6B41A65B" w14:textId="77777777" w:rsidR="0067172A" w:rsidRPr="00CB3833" w:rsidRDefault="0067172A" w:rsidP="00615434">
            <w:pPr>
              <w:pStyle w:val="bodycopy"/>
              <w:spacing w:before="60" w:after="60"/>
              <w:rPr>
                <w:rFonts w:ascii="Arial" w:hAnsi="Arial"/>
                <w:sz w:val="20"/>
              </w:rPr>
            </w:pPr>
            <w:r w:rsidRPr="00CB3833">
              <w:rPr>
                <w:rFonts w:ascii="Arial" w:hAnsi="Arial"/>
                <w:sz w:val="20"/>
              </w:rPr>
              <w:t>2015/16</w:t>
            </w:r>
          </w:p>
        </w:tc>
        <w:tc>
          <w:tcPr>
            <w:tcW w:w="568" w:type="pct"/>
            <w:shd w:val="clear" w:color="auto" w:fill="auto"/>
          </w:tcPr>
          <w:p w14:paraId="5097EC64" w14:textId="77777777" w:rsidR="0067172A" w:rsidRPr="00CB3833" w:rsidRDefault="0067172A" w:rsidP="00615434">
            <w:pPr>
              <w:pStyle w:val="bodycopy"/>
              <w:spacing w:before="60" w:after="60"/>
              <w:rPr>
                <w:rFonts w:ascii="Arial" w:hAnsi="Arial"/>
                <w:sz w:val="20"/>
              </w:rPr>
            </w:pPr>
            <w:r w:rsidRPr="00CB3833">
              <w:rPr>
                <w:rFonts w:ascii="Arial" w:hAnsi="Arial"/>
                <w:sz w:val="20"/>
              </w:rPr>
              <w:t>ID</w:t>
            </w:r>
          </w:p>
        </w:tc>
        <w:tc>
          <w:tcPr>
            <w:tcW w:w="767" w:type="pct"/>
            <w:shd w:val="clear" w:color="auto" w:fill="00B050"/>
          </w:tcPr>
          <w:p w14:paraId="6F54916A" w14:textId="77777777" w:rsidR="0067172A" w:rsidRPr="00CB3833" w:rsidRDefault="0067172A" w:rsidP="00615434">
            <w:pPr>
              <w:pStyle w:val="bodycopy"/>
              <w:spacing w:before="60" w:after="60"/>
              <w:jc w:val="center"/>
              <w:rPr>
                <w:rFonts w:ascii="Arial" w:hAnsi="Arial"/>
                <w:sz w:val="20"/>
              </w:rPr>
            </w:pPr>
          </w:p>
        </w:tc>
        <w:tc>
          <w:tcPr>
            <w:tcW w:w="831" w:type="pct"/>
            <w:shd w:val="clear" w:color="auto" w:fill="00B050"/>
          </w:tcPr>
          <w:p w14:paraId="1A5B8E97" w14:textId="77777777" w:rsidR="0067172A" w:rsidRPr="00CB3833" w:rsidRDefault="0067172A" w:rsidP="00615434">
            <w:pPr>
              <w:pStyle w:val="bodycopy"/>
              <w:spacing w:before="60" w:after="60"/>
              <w:jc w:val="center"/>
              <w:rPr>
                <w:rFonts w:ascii="Arial" w:hAnsi="Arial"/>
                <w:sz w:val="20"/>
              </w:rPr>
            </w:pPr>
          </w:p>
        </w:tc>
        <w:tc>
          <w:tcPr>
            <w:tcW w:w="748" w:type="pct"/>
            <w:shd w:val="clear" w:color="auto" w:fill="00B050"/>
          </w:tcPr>
          <w:p w14:paraId="4579ECBB" w14:textId="77777777" w:rsidR="0067172A" w:rsidRPr="00CB3833" w:rsidRDefault="0067172A" w:rsidP="00615434">
            <w:pPr>
              <w:pStyle w:val="bodycopy"/>
              <w:spacing w:before="60" w:after="60"/>
              <w:jc w:val="center"/>
              <w:rPr>
                <w:rFonts w:ascii="Arial" w:hAnsi="Arial"/>
                <w:sz w:val="20"/>
              </w:rPr>
            </w:pPr>
          </w:p>
        </w:tc>
        <w:tc>
          <w:tcPr>
            <w:tcW w:w="749" w:type="pct"/>
            <w:shd w:val="clear" w:color="auto" w:fill="00B050"/>
          </w:tcPr>
          <w:p w14:paraId="717B8C69" w14:textId="77777777" w:rsidR="0067172A" w:rsidRPr="00CB3833" w:rsidRDefault="0067172A" w:rsidP="00615434">
            <w:pPr>
              <w:pStyle w:val="bodycopy"/>
              <w:spacing w:before="60" w:after="60"/>
              <w:jc w:val="center"/>
              <w:rPr>
                <w:rFonts w:ascii="Arial" w:hAnsi="Arial"/>
                <w:sz w:val="20"/>
              </w:rPr>
            </w:pPr>
          </w:p>
        </w:tc>
        <w:tc>
          <w:tcPr>
            <w:tcW w:w="778" w:type="pct"/>
            <w:shd w:val="clear" w:color="auto" w:fill="FF0000"/>
          </w:tcPr>
          <w:p w14:paraId="2BC6871D" w14:textId="77777777" w:rsidR="0067172A" w:rsidRPr="00CB3833" w:rsidRDefault="0067172A" w:rsidP="00615434">
            <w:pPr>
              <w:pStyle w:val="bodycopy"/>
              <w:spacing w:before="60" w:after="60"/>
              <w:jc w:val="center"/>
              <w:rPr>
                <w:rFonts w:ascii="Arial" w:hAnsi="Arial"/>
                <w:sz w:val="20"/>
              </w:rPr>
            </w:pPr>
          </w:p>
        </w:tc>
      </w:tr>
    </w:tbl>
    <w:p w14:paraId="2B31E284" w14:textId="7282F704" w:rsidR="00C677BA" w:rsidRDefault="0067172A" w:rsidP="00C677BA">
      <w:pPr>
        <w:pStyle w:val="bodycopy"/>
        <w:spacing w:before="20" w:after="60"/>
        <w:rPr>
          <w:rFonts w:ascii="Arial" w:hAnsi="Arial"/>
          <w:i/>
          <w:sz w:val="16"/>
          <w:szCs w:val="16"/>
        </w:rPr>
      </w:pPr>
      <w:r w:rsidRPr="00DB33DD">
        <w:rPr>
          <w:rFonts w:ascii="Arial" w:hAnsi="Arial"/>
          <w:i/>
          <w:sz w:val="16"/>
          <w:szCs w:val="16"/>
        </w:rPr>
        <w:t xml:space="preserve">ID = Insufficient data to report (where there are fewer than 5 licence holders, </w:t>
      </w:r>
      <w:r w:rsidR="00FF65E1">
        <w:rPr>
          <w:rFonts w:ascii="Arial" w:hAnsi="Arial"/>
          <w:i/>
          <w:sz w:val="16"/>
          <w:szCs w:val="16"/>
        </w:rPr>
        <w:t xml:space="preserve">VFA </w:t>
      </w:r>
      <w:r w:rsidRPr="00DB33DD">
        <w:rPr>
          <w:rFonts w:ascii="Arial" w:hAnsi="Arial"/>
          <w:i/>
          <w:sz w:val="16"/>
          <w:szCs w:val="16"/>
        </w:rPr>
        <w:t>policy is that data is not publicly released in order to protect confidentiality).</w:t>
      </w:r>
    </w:p>
    <w:p w14:paraId="27629CC6" w14:textId="292F9516" w:rsidR="0067172A" w:rsidRPr="00DB33DD" w:rsidRDefault="00C677BA" w:rsidP="00615434">
      <w:pPr>
        <w:pStyle w:val="bodycopy"/>
        <w:spacing w:before="60"/>
        <w:rPr>
          <w:rFonts w:ascii="Arial" w:hAnsi="Arial"/>
          <w:i/>
          <w:sz w:val="16"/>
          <w:szCs w:val="16"/>
        </w:rPr>
      </w:pPr>
      <w:r>
        <w:rPr>
          <w:rFonts w:ascii="Arial" w:hAnsi="Arial"/>
          <w:i/>
          <w:sz w:val="16"/>
          <w:szCs w:val="16"/>
        </w:rPr>
        <w:t>Green cells = catch recorded, red cells = no catch recorded.</w:t>
      </w:r>
      <w:r w:rsidR="0067172A" w:rsidRPr="00DB33DD">
        <w:rPr>
          <w:rFonts w:ascii="Arial" w:hAnsi="Arial"/>
          <w:i/>
          <w:sz w:val="16"/>
          <w:szCs w:val="16"/>
        </w:rPr>
        <w:t xml:space="preserve"> </w:t>
      </w:r>
    </w:p>
    <w:p w14:paraId="7537C6EB" w14:textId="77777777" w:rsidR="000A17AA" w:rsidRDefault="000A17AA" w:rsidP="0067172A">
      <w:pPr>
        <w:pStyle w:val="bodycopy"/>
        <w:sectPr w:rsidR="000A17AA" w:rsidSect="00AF68E7">
          <w:headerReference w:type="even" r:id="rId185"/>
          <w:headerReference w:type="default" r:id="rId186"/>
          <w:footerReference w:type="default" r:id="rId187"/>
          <w:headerReference w:type="first" r:id="rId188"/>
          <w:pgSz w:w="11906" w:h="16838" w:code="9"/>
          <w:pgMar w:top="1560" w:right="1800" w:bottom="1440" w:left="1800" w:header="994" w:footer="706" w:gutter="0"/>
          <w:cols w:space="708"/>
          <w:docGrid w:linePitch="360"/>
        </w:sectPr>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889"/>
      </w:tblGrid>
      <w:tr w:rsidR="0067172A" w14:paraId="13FED852" w14:textId="77777777" w:rsidTr="000A17AA">
        <w:trPr>
          <w:jc w:val="center"/>
        </w:trPr>
        <w:tc>
          <w:tcPr>
            <w:tcW w:w="11874" w:type="dxa"/>
            <w:shd w:val="clear" w:color="auto" w:fill="auto"/>
          </w:tcPr>
          <w:p w14:paraId="5C571649" w14:textId="56DA84E4" w:rsidR="005033F8" w:rsidRDefault="00EB3AAC" w:rsidP="000A17AA">
            <w:pPr>
              <w:pStyle w:val="bodycopy"/>
              <w:spacing w:after="0"/>
            </w:pPr>
            <w:r>
              <w:rPr>
                <w:noProof/>
              </w:rPr>
              <w:lastRenderedPageBreak/>
              <w:drawing>
                <wp:anchor distT="0" distB="0" distL="114300" distR="114300" simplePos="0" relativeHeight="251677696" behindDoc="0" locked="0" layoutInCell="1" allowOverlap="1" wp14:anchorId="28947002" wp14:editId="7C8D09CA">
                  <wp:simplePos x="0" y="0"/>
                  <wp:positionH relativeFrom="column">
                    <wp:posOffset>4641850</wp:posOffset>
                  </wp:positionH>
                  <wp:positionV relativeFrom="line">
                    <wp:posOffset>609600</wp:posOffset>
                  </wp:positionV>
                  <wp:extent cx="2527300" cy="2070100"/>
                  <wp:effectExtent l="19050" t="19050" r="25400" b="2540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cstate="screen">
                            <a:extLst>
                              <a:ext uri="{28A0092B-C50C-407E-A947-70E740481C1C}">
                                <a14:useLocalDpi xmlns:a14="http://schemas.microsoft.com/office/drawing/2010/main"/>
                              </a:ext>
                            </a:extLst>
                          </a:blip>
                          <a:srcRect/>
                          <a:stretch/>
                        </pic:blipFill>
                        <pic:spPr bwMode="auto">
                          <a:xfrm>
                            <a:off x="0" y="0"/>
                            <a:ext cx="2527300" cy="2070100"/>
                          </a:xfrm>
                          <a:prstGeom prst="rect">
                            <a:avLst/>
                          </a:prstGeom>
                          <a:ln w="19050" cmpd="sng">
                            <a:solidFill>
                              <a:schemeClr val="bg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1C4D">
              <w:rPr>
                <w:noProof/>
                <w:lang w:val="en-US" w:eastAsia="en-US"/>
              </w:rPr>
              <w:pict w14:anchorId="5DA10E98">
                <v:shape id="_x0000_i1037" type="#_x0000_t75" style="width:583.65pt;height:405.5pt">
                  <v:imagedata r:id="rId190" o:title="34_EP_Catch and Effort Cells" croptop="1557f" cropbottom="1879f" cropleft="1323f" cropright="1106f"/>
                </v:shape>
              </w:pict>
            </w:r>
          </w:p>
        </w:tc>
      </w:tr>
    </w:tbl>
    <w:p w14:paraId="32BD878C" w14:textId="7EEB2F57" w:rsidR="0067172A" w:rsidRPr="00DB33DD" w:rsidRDefault="0067172A" w:rsidP="0067172A">
      <w:pPr>
        <w:pStyle w:val="TableHeader"/>
        <w:spacing w:after="240"/>
        <w:jc w:val="center"/>
        <w:rPr>
          <w:sz w:val="20"/>
          <w:szCs w:val="20"/>
        </w:rPr>
      </w:pPr>
      <w:r w:rsidRPr="00DB33DD">
        <w:rPr>
          <w:sz w:val="20"/>
          <w:szCs w:val="20"/>
        </w:rPr>
        <w:t>Figure 5.</w:t>
      </w:r>
      <w:r w:rsidR="00ED2C2F">
        <w:rPr>
          <w:sz w:val="20"/>
          <w:szCs w:val="20"/>
        </w:rPr>
        <w:t>30</w:t>
      </w:r>
      <w:r w:rsidR="008A112A">
        <w:rPr>
          <w:sz w:val="20"/>
          <w:szCs w:val="20"/>
        </w:rPr>
        <w:t>.</w:t>
      </w:r>
      <w:r w:rsidRPr="00DB33DD">
        <w:rPr>
          <w:sz w:val="20"/>
          <w:szCs w:val="20"/>
        </w:rPr>
        <w:tab/>
      </w:r>
      <w:r w:rsidR="004A5246">
        <w:rPr>
          <w:sz w:val="20"/>
          <w:szCs w:val="20"/>
        </w:rPr>
        <w:t>VFA</w:t>
      </w:r>
      <w:r w:rsidRPr="00DB33DD">
        <w:rPr>
          <w:sz w:val="20"/>
          <w:szCs w:val="20"/>
        </w:rPr>
        <w:t xml:space="preserve"> </w:t>
      </w:r>
      <w:r w:rsidR="000A17AA">
        <w:rPr>
          <w:sz w:val="20"/>
          <w:szCs w:val="20"/>
        </w:rPr>
        <w:t xml:space="preserve">catch and effort </w:t>
      </w:r>
      <w:r w:rsidRPr="00DB33DD">
        <w:rPr>
          <w:sz w:val="20"/>
          <w:szCs w:val="20"/>
        </w:rPr>
        <w:t xml:space="preserve">grid cells overlapped by the proposed </w:t>
      </w:r>
      <w:r w:rsidR="00EE4204">
        <w:rPr>
          <w:sz w:val="20"/>
          <w:szCs w:val="20"/>
        </w:rPr>
        <w:t>operational</w:t>
      </w:r>
      <w:r w:rsidRPr="00DB33DD">
        <w:rPr>
          <w:sz w:val="20"/>
          <w:szCs w:val="20"/>
        </w:rPr>
        <w:t xml:space="preserve"> area and EMBA</w:t>
      </w:r>
    </w:p>
    <w:p w14:paraId="6C059B86" w14:textId="6B1B4C73" w:rsidR="000A17AA" w:rsidRDefault="000A17AA" w:rsidP="0067172A">
      <w:pPr>
        <w:pStyle w:val="bodycopy"/>
        <w:rPr>
          <w:rFonts w:ascii="Arial" w:hAnsi="Arial"/>
          <w:sz w:val="22"/>
          <w:szCs w:val="22"/>
        </w:rPr>
        <w:sectPr w:rsidR="000A17AA" w:rsidSect="000A17AA">
          <w:headerReference w:type="even" r:id="rId191"/>
          <w:headerReference w:type="default" r:id="rId192"/>
          <w:footerReference w:type="default" r:id="rId193"/>
          <w:headerReference w:type="first" r:id="rId194"/>
          <w:pgSz w:w="16838" w:h="11906" w:orient="landscape" w:code="9"/>
          <w:pgMar w:top="1551" w:right="1560" w:bottom="1800" w:left="1440" w:header="994" w:footer="706" w:gutter="0"/>
          <w:cols w:space="708"/>
          <w:docGrid w:linePitch="360"/>
        </w:sectPr>
      </w:pPr>
    </w:p>
    <w:p w14:paraId="2C05E3D2" w14:textId="1828F7C5" w:rsidR="0067172A" w:rsidRDefault="0067172A" w:rsidP="0067172A">
      <w:pPr>
        <w:pStyle w:val="bodycopy"/>
        <w:rPr>
          <w:rFonts w:ascii="Arial" w:hAnsi="Arial"/>
          <w:sz w:val="22"/>
          <w:szCs w:val="22"/>
        </w:rPr>
      </w:pPr>
      <w:r w:rsidRPr="00CB3833">
        <w:rPr>
          <w:rFonts w:ascii="Arial" w:hAnsi="Arial"/>
          <w:sz w:val="22"/>
          <w:szCs w:val="22"/>
        </w:rPr>
        <w:lastRenderedPageBreak/>
        <w:t xml:space="preserve">The EMBA intersects the following </w:t>
      </w:r>
      <w:r w:rsidR="004A5246">
        <w:rPr>
          <w:rFonts w:ascii="Arial" w:hAnsi="Arial"/>
          <w:sz w:val="22"/>
          <w:szCs w:val="22"/>
        </w:rPr>
        <w:t>VFA</w:t>
      </w:r>
      <w:r w:rsidRPr="00CB3833">
        <w:rPr>
          <w:rFonts w:ascii="Arial" w:hAnsi="Arial"/>
          <w:sz w:val="22"/>
          <w:szCs w:val="22"/>
        </w:rPr>
        <w:t xml:space="preserve"> </w:t>
      </w:r>
      <w:r w:rsidR="0004118A">
        <w:rPr>
          <w:rFonts w:ascii="Arial" w:hAnsi="Arial"/>
          <w:sz w:val="22"/>
          <w:szCs w:val="22"/>
        </w:rPr>
        <w:t xml:space="preserve">catch and effort </w:t>
      </w:r>
      <w:r w:rsidRPr="00CB3833">
        <w:rPr>
          <w:rFonts w:ascii="Arial" w:hAnsi="Arial"/>
          <w:sz w:val="22"/>
          <w:szCs w:val="22"/>
        </w:rPr>
        <w:t>grid cells: A53-54, B44-56, C41-53, D39-47, E38-46, F37-41, G36-40 and H37-39 (</w:t>
      </w:r>
      <w:r w:rsidRPr="002949C0">
        <w:rPr>
          <w:rFonts w:ascii="Arial" w:hAnsi="Arial"/>
          <w:sz w:val="22"/>
          <w:szCs w:val="22"/>
        </w:rPr>
        <w:t xml:space="preserve">see </w:t>
      </w:r>
      <w:r w:rsidRPr="008B4D54">
        <w:rPr>
          <w:rFonts w:ascii="Arial" w:hAnsi="Arial"/>
          <w:sz w:val="22"/>
          <w:szCs w:val="22"/>
        </w:rPr>
        <w:t>Figure 5.</w:t>
      </w:r>
      <w:r w:rsidR="00ED2C2F" w:rsidRPr="008B4D54">
        <w:rPr>
          <w:rFonts w:ascii="Arial" w:hAnsi="Arial"/>
          <w:sz w:val="22"/>
          <w:szCs w:val="22"/>
        </w:rPr>
        <w:t>30</w:t>
      </w:r>
      <w:r w:rsidRPr="008B4D54">
        <w:rPr>
          <w:rFonts w:ascii="Arial" w:hAnsi="Arial"/>
          <w:sz w:val="22"/>
          <w:szCs w:val="22"/>
        </w:rPr>
        <w:t>). Table 5.</w:t>
      </w:r>
      <w:r w:rsidR="000A17AA" w:rsidRPr="008B4D54">
        <w:rPr>
          <w:rFonts w:ascii="Arial" w:hAnsi="Arial"/>
          <w:sz w:val="22"/>
          <w:szCs w:val="22"/>
        </w:rPr>
        <w:t>1</w:t>
      </w:r>
      <w:r w:rsidR="00ED2C2F" w:rsidRPr="008B4D54">
        <w:rPr>
          <w:rFonts w:ascii="Arial" w:hAnsi="Arial"/>
          <w:sz w:val="22"/>
          <w:szCs w:val="22"/>
        </w:rPr>
        <w:t>4</w:t>
      </w:r>
      <w:r w:rsidRPr="00ED2C2F">
        <w:rPr>
          <w:rFonts w:ascii="Arial" w:hAnsi="Arial"/>
          <w:color w:val="FF0000"/>
          <w:sz w:val="22"/>
          <w:szCs w:val="22"/>
        </w:rPr>
        <w:t xml:space="preserve"> </w:t>
      </w:r>
      <w:r w:rsidRPr="00DB33DD">
        <w:rPr>
          <w:rFonts w:ascii="Arial" w:hAnsi="Arial"/>
          <w:sz w:val="22"/>
          <w:szCs w:val="22"/>
        </w:rPr>
        <w:t>provides a presence/absence of fishing activity and catch data (where available) for these grid cells for the period 2006/07 to 2015/16 (inclusive).</w:t>
      </w:r>
    </w:p>
    <w:p w14:paraId="7901C095" w14:textId="76B60B58" w:rsidR="0067172A" w:rsidRPr="00997EDC" w:rsidRDefault="0067172A" w:rsidP="0067172A">
      <w:pPr>
        <w:pStyle w:val="TableHeader"/>
        <w:spacing w:after="120"/>
        <w:jc w:val="center"/>
        <w:rPr>
          <w:sz w:val="20"/>
          <w:szCs w:val="20"/>
        </w:rPr>
      </w:pPr>
      <w:r w:rsidRPr="00997EDC">
        <w:rPr>
          <w:sz w:val="20"/>
          <w:szCs w:val="20"/>
        </w:rPr>
        <w:t>Table 5.</w:t>
      </w:r>
      <w:r w:rsidR="000A17AA">
        <w:rPr>
          <w:sz w:val="20"/>
          <w:szCs w:val="20"/>
        </w:rPr>
        <w:t>1</w:t>
      </w:r>
      <w:r w:rsidR="00ED2C2F">
        <w:rPr>
          <w:sz w:val="20"/>
          <w:szCs w:val="20"/>
        </w:rPr>
        <w:t>4</w:t>
      </w:r>
      <w:r w:rsidRPr="00997EDC">
        <w:rPr>
          <w:sz w:val="20"/>
          <w:szCs w:val="20"/>
        </w:rPr>
        <w:tab/>
        <w:t xml:space="preserve">Fisheries catch data from the </w:t>
      </w:r>
      <w:r>
        <w:rPr>
          <w:sz w:val="20"/>
          <w:szCs w:val="20"/>
        </w:rPr>
        <w:t>EMBA</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940"/>
        <w:gridCol w:w="951"/>
        <w:gridCol w:w="1099"/>
        <w:gridCol w:w="10"/>
        <w:gridCol w:w="1150"/>
        <w:gridCol w:w="1070"/>
        <w:gridCol w:w="1072"/>
        <w:gridCol w:w="1115"/>
        <w:gridCol w:w="1115"/>
      </w:tblGrid>
      <w:tr w:rsidR="0067172A" w:rsidRPr="00CB3833" w14:paraId="0B9B994D" w14:textId="77777777" w:rsidTr="00615434">
        <w:tc>
          <w:tcPr>
            <w:tcW w:w="551" w:type="pct"/>
            <w:vMerge w:val="restart"/>
            <w:shd w:val="clear" w:color="auto" w:fill="064EA8"/>
          </w:tcPr>
          <w:p w14:paraId="53461767" w14:textId="77777777" w:rsidR="0067172A" w:rsidRPr="00CB3833" w:rsidRDefault="0067172A" w:rsidP="00615434">
            <w:pPr>
              <w:pStyle w:val="bodycopy"/>
              <w:spacing w:before="60" w:after="60"/>
              <w:rPr>
                <w:rFonts w:ascii="Arial" w:hAnsi="Arial"/>
                <w:color w:val="FFFFFF" w:themeColor="background1"/>
                <w:sz w:val="20"/>
              </w:rPr>
            </w:pPr>
            <w:r w:rsidRPr="00CB3833">
              <w:rPr>
                <w:rFonts w:ascii="Arial" w:hAnsi="Arial"/>
                <w:color w:val="FFFFFF" w:themeColor="background1"/>
                <w:sz w:val="20"/>
              </w:rPr>
              <w:t>Year</w:t>
            </w:r>
          </w:p>
        </w:tc>
        <w:tc>
          <w:tcPr>
            <w:tcW w:w="557" w:type="pct"/>
            <w:vMerge w:val="restart"/>
            <w:shd w:val="clear" w:color="auto" w:fill="064EA8"/>
          </w:tcPr>
          <w:p w14:paraId="42FCAD40" w14:textId="77777777" w:rsidR="0067172A" w:rsidRPr="00CB3833" w:rsidRDefault="0067172A" w:rsidP="00615434">
            <w:pPr>
              <w:pStyle w:val="bodycopy"/>
              <w:spacing w:before="60" w:after="60"/>
              <w:rPr>
                <w:rFonts w:ascii="Arial" w:hAnsi="Arial"/>
                <w:color w:val="FFFFFF" w:themeColor="background1"/>
                <w:sz w:val="20"/>
              </w:rPr>
            </w:pPr>
            <w:r w:rsidRPr="00CB3833">
              <w:rPr>
                <w:rFonts w:ascii="Arial" w:hAnsi="Arial"/>
                <w:color w:val="FFFFFF" w:themeColor="background1"/>
                <w:sz w:val="20"/>
              </w:rPr>
              <w:t>Catch (tonnes)</w:t>
            </w:r>
          </w:p>
        </w:tc>
        <w:tc>
          <w:tcPr>
            <w:tcW w:w="651" w:type="pct"/>
            <w:gridSpan w:val="2"/>
            <w:shd w:val="clear" w:color="auto" w:fill="064EA8"/>
          </w:tcPr>
          <w:p w14:paraId="728F3A20" w14:textId="77777777" w:rsidR="0067172A" w:rsidRPr="00CB3833" w:rsidRDefault="0067172A" w:rsidP="00615434">
            <w:pPr>
              <w:pStyle w:val="bodycopy"/>
              <w:spacing w:before="60" w:after="60"/>
              <w:jc w:val="center"/>
              <w:rPr>
                <w:rFonts w:ascii="Arial" w:hAnsi="Arial"/>
                <w:color w:val="FFFFFF" w:themeColor="background1"/>
                <w:sz w:val="20"/>
              </w:rPr>
            </w:pPr>
          </w:p>
        </w:tc>
        <w:tc>
          <w:tcPr>
            <w:tcW w:w="3240" w:type="pct"/>
            <w:gridSpan w:val="5"/>
            <w:shd w:val="clear" w:color="auto" w:fill="064EA8"/>
          </w:tcPr>
          <w:p w14:paraId="7BB5E192" w14:textId="77777777" w:rsidR="0067172A" w:rsidRPr="00CB3833" w:rsidRDefault="0067172A" w:rsidP="00615434">
            <w:pPr>
              <w:pStyle w:val="bodycopy"/>
              <w:spacing w:before="60" w:after="60"/>
              <w:jc w:val="center"/>
              <w:rPr>
                <w:rFonts w:ascii="Arial" w:hAnsi="Arial"/>
                <w:color w:val="FFFFFF" w:themeColor="background1"/>
                <w:sz w:val="20"/>
              </w:rPr>
            </w:pPr>
            <w:r w:rsidRPr="00CB3833">
              <w:rPr>
                <w:rFonts w:ascii="Arial" w:hAnsi="Arial"/>
                <w:color w:val="FFFFFF" w:themeColor="background1"/>
                <w:sz w:val="20"/>
              </w:rPr>
              <w:t>Fisheries fished</w:t>
            </w:r>
          </w:p>
        </w:tc>
      </w:tr>
      <w:tr w:rsidR="0067172A" w:rsidRPr="00CB3833" w14:paraId="61EB975F" w14:textId="77777777" w:rsidTr="00615434">
        <w:tc>
          <w:tcPr>
            <w:tcW w:w="551" w:type="pct"/>
            <w:vMerge/>
            <w:shd w:val="clear" w:color="auto" w:fill="064EA8"/>
          </w:tcPr>
          <w:p w14:paraId="6B54CACE" w14:textId="77777777" w:rsidR="0067172A" w:rsidRPr="00CB3833" w:rsidRDefault="0067172A" w:rsidP="00615434">
            <w:pPr>
              <w:pStyle w:val="bodycopy"/>
              <w:spacing w:before="60" w:after="60"/>
              <w:rPr>
                <w:rFonts w:ascii="Arial" w:hAnsi="Arial"/>
                <w:color w:val="FFFFFF" w:themeColor="background1"/>
                <w:sz w:val="20"/>
              </w:rPr>
            </w:pPr>
          </w:p>
        </w:tc>
        <w:tc>
          <w:tcPr>
            <w:tcW w:w="557" w:type="pct"/>
            <w:vMerge/>
            <w:shd w:val="clear" w:color="auto" w:fill="064EA8"/>
          </w:tcPr>
          <w:p w14:paraId="2EF524A4" w14:textId="77777777" w:rsidR="0067172A" w:rsidRPr="00CB3833" w:rsidRDefault="0067172A" w:rsidP="00615434">
            <w:pPr>
              <w:pStyle w:val="bodycopy"/>
              <w:spacing w:before="60" w:after="60"/>
              <w:rPr>
                <w:rFonts w:ascii="Arial" w:hAnsi="Arial"/>
                <w:color w:val="FFFFFF" w:themeColor="background1"/>
                <w:sz w:val="20"/>
              </w:rPr>
            </w:pPr>
          </w:p>
        </w:tc>
        <w:tc>
          <w:tcPr>
            <w:tcW w:w="645" w:type="pct"/>
            <w:shd w:val="clear" w:color="auto" w:fill="064EA8"/>
          </w:tcPr>
          <w:p w14:paraId="0D8B7F53" w14:textId="77777777" w:rsidR="0067172A" w:rsidRPr="00CB3833" w:rsidRDefault="0067172A" w:rsidP="00615434">
            <w:pPr>
              <w:pStyle w:val="bodycopy"/>
              <w:spacing w:before="60" w:after="60"/>
              <w:jc w:val="center"/>
              <w:rPr>
                <w:rFonts w:ascii="Arial" w:hAnsi="Arial"/>
                <w:color w:val="FFFFFF" w:themeColor="background1"/>
                <w:sz w:val="20"/>
              </w:rPr>
            </w:pPr>
            <w:r>
              <w:rPr>
                <w:rFonts w:ascii="Arial" w:hAnsi="Arial"/>
                <w:color w:val="FFFFFF" w:themeColor="background1"/>
                <w:sz w:val="20"/>
              </w:rPr>
              <w:t>Ocean s</w:t>
            </w:r>
            <w:r w:rsidRPr="00CB3833">
              <w:rPr>
                <w:rFonts w:ascii="Arial" w:hAnsi="Arial"/>
                <w:color w:val="FFFFFF" w:themeColor="background1"/>
                <w:sz w:val="20"/>
              </w:rPr>
              <w:t>callop</w:t>
            </w:r>
          </w:p>
        </w:tc>
        <w:tc>
          <w:tcPr>
            <w:tcW w:w="681" w:type="pct"/>
            <w:gridSpan w:val="2"/>
            <w:shd w:val="clear" w:color="auto" w:fill="064EA8"/>
          </w:tcPr>
          <w:p w14:paraId="3BA03B2A" w14:textId="77777777" w:rsidR="0067172A" w:rsidRPr="00CB3833" w:rsidRDefault="0067172A" w:rsidP="00615434">
            <w:pPr>
              <w:pStyle w:val="bodycopy"/>
              <w:spacing w:before="60" w:after="60"/>
              <w:jc w:val="center"/>
              <w:rPr>
                <w:rFonts w:ascii="Arial" w:hAnsi="Arial"/>
                <w:color w:val="FFFFFF" w:themeColor="background1"/>
                <w:sz w:val="20"/>
              </w:rPr>
            </w:pPr>
            <w:r w:rsidRPr="00CB3833">
              <w:rPr>
                <w:rFonts w:ascii="Arial" w:hAnsi="Arial"/>
                <w:color w:val="FFFFFF" w:themeColor="background1"/>
                <w:sz w:val="20"/>
              </w:rPr>
              <w:t>Rock lobster</w:t>
            </w:r>
          </w:p>
        </w:tc>
        <w:tc>
          <w:tcPr>
            <w:tcW w:w="628" w:type="pct"/>
            <w:shd w:val="clear" w:color="auto" w:fill="064EA8"/>
          </w:tcPr>
          <w:p w14:paraId="0D0A93F3" w14:textId="77777777" w:rsidR="0067172A" w:rsidRPr="00CB3833" w:rsidRDefault="0067172A" w:rsidP="00615434">
            <w:pPr>
              <w:pStyle w:val="bodycopy"/>
              <w:spacing w:before="60" w:after="60"/>
              <w:jc w:val="center"/>
              <w:rPr>
                <w:rFonts w:ascii="Arial" w:hAnsi="Arial"/>
                <w:color w:val="FFFFFF" w:themeColor="background1"/>
                <w:sz w:val="20"/>
              </w:rPr>
            </w:pPr>
            <w:r w:rsidRPr="00CB3833">
              <w:rPr>
                <w:rFonts w:ascii="Arial" w:hAnsi="Arial"/>
                <w:color w:val="FFFFFF" w:themeColor="background1"/>
                <w:sz w:val="20"/>
              </w:rPr>
              <w:t xml:space="preserve">Ocean </w:t>
            </w:r>
            <w:r>
              <w:rPr>
                <w:rFonts w:ascii="Arial" w:hAnsi="Arial"/>
                <w:color w:val="FFFFFF" w:themeColor="background1"/>
                <w:sz w:val="20"/>
              </w:rPr>
              <w:t>access</w:t>
            </w:r>
          </w:p>
        </w:tc>
        <w:tc>
          <w:tcPr>
            <w:tcW w:w="629" w:type="pct"/>
            <w:shd w:val="clear" w:color="auto" w:fill="064EA8"/>
          </w:tcPr>
          <w:p w14:paraId="69DA9503" w14:textId="77777777" w:rsidR="0067172A" w:rsidRPr="00CB3833" w:rsidRDefault="0067172A" w:rsidP="00615434">
            <w:pPr>
              <w:pStyle w:val="bodycopy"/>
              <w:spacing w:before="60" w:after="60"/>
              <w:jc w:val="center"/>
              <w:rPr>
                <w:rFonts w:ascii="Arial" w:hAnsi="Arial"/>
                <w:color w:val="FFFFFF" w:themeColor="background1"/>
                <w:sz w:val="20"/>
              </w:rPr>
            </w:pPr>
            <w:r w:rsidRPr="00CB3833">
              <w:rPr>
                <w:rFonts w:ascii="Arial" w:hAnsi="Arial"/>
                <w:color w:val="FFFFFF" w:themeColor="background1"/>
                <w:sz w:val="20"/>
              </w:rPr>
              <w:t>Ocean purse seine</w:t>
            </w:r>
          </w:p>
        </w:tc>
        <w:tc>
          <w:tcPr>
            <w:tcW w:w="654" w:type="pct"/>
            <w:shd w:val="clear" w:color="auto" w:fill="064EA8"/>
          </w:tcPr>
          <w:p w14:paraId="019375BA" w14:textId="77777777" w:rsidR="0067172A" w:rsidRPr="00CB3833" w:rsidRDefault="0067172A" w:rsidP="00615434">
            <w:pPr>
              <w:pStyle w:val="bodycopy"/>
              <w:spacing w:before="60" w:after="60"/>
              <w:jc w:val="center"/>
              <w:rPr>
                <w:rFonts w:ascii="Arial" w:hAnsi="Arial"/>
                <w:color w:val="FFFFFF" w:themeColor="background1"/>
                <w:sz w:val="20"/>
              </w:rPr>
            </w:pPr>
            <w:r>
              <w:rPr>
                <w:rFonts w:ascii="Arial" w:hAnsi="Arial"/>
                <w:color w:val="FFFFFF" w:themeColor="background1"/>
                <w:sz w:val="20"/>
              </w:rPr>
              <w:t>Wrasse</w:t>
            </w:r>
          </w:p>
        </w:tc>
        <w:tc>
          <w:tcPr>
            <w:tcW w:w="654" w:type="pct"/>
            <w:shd w:val="clear" w:color="auto" w:fill="064EA8"/>
          </w:tcPr>
          <w:p w14:paraId="111807B0" w14:textId="77777777" w:rsidR="0067172A" w:rsidRPr="00CB3833" w:rsidRDefault="0067172A" w:rsidP="00615434">
            <w:pPr>
              <w:pStyle w:val="bodycopy"/>
              <w:spacing w:before="60" w:after="60"/>
              <w:jc w:val="center"/>
              <w:rPr>
                <w:rFonts w:ascii="Arial" w:hAnsi="Arial"/>
                <w:color w:val="FFFFFF" w:themeColor="background1"/>
                <w:sz w:val="20"/>
              </w:rPr>
            </w:pPr>
            <w:r w:rsidRPr="00CB3833">
              <w:rPr>
                <w:rFonts w:ascii="Arial" w:hAnsi="Arial"/>
                <w:color w:val="FFFFFF" w:themeColor="background1"/>
                <w:sz w:val="20"/>
              </w:rPr>
              <w:t>Inshore trawl</w:t>
            </w:r>
          </w:p>
        </w:tc>
      </w:tr>
      <w:tr w:rsidR="0067172A" w:rsidRPr="00CB3833" w14:paraId="72CE2A2C" w14:textId="77777777" w:rsidTr="00615434">
        <w:tc>
          <w:tcPr>
            <w:tcW w:w="551" w:type="pct"/>
            <w:shd w:val="clear" w:color="auto" w:fill="auto"/>
          </w:tcPr>
          <w:p w14:paraId="261AF1D7" w14:textId="77777777" w:rsidR="0067172A" w:rsidRPr="00CB3833" w:rsidRDefault="0067172A" w:rsidP="00615434">
            <w:pPr>
              <w:pStyle w:val="bodycopy"/>
              <w:spacing w:before="60" w:after="60"/>
              <w:rPr>
                <w:rFonts w:ascii="Arial" w:hAnsi="Arial"/>
                <w:sz w:val="20"/>
              </w:rPr>
            </w:pPr>
            <w:r w:rsidRPr="00CB3833">
              <w:rPr>
                <w:rFonts w:ascii="Arial" w:hAnsi="Arial"/>
                <w:sz w:val="20"/>
              </w:rPr>
              <w:t>2006/07</w:t>
            </w:r>
          </w:p>
        </w:tc>
        <w:tc>
          <w:tcPr>
            <w:tcW w:w="557" w:type="pct"/>
            <w:shd w:val="clear" w:color="auto" w:fill="auto"/>
          </w:tcPr>
          <w:p w14:paraId="72BC8A90" w14:textId="77777777" w:rsidR="0067172A" w:rsidRPr="00CB3833" w:rsidRDefault="0067172A" w:rsidP="00615434">
            <w:pPr>
              <w:pStyle w:val="bodycopy"/>
              <w:spacing w:before="60" w:after="60"/>
              <w:rPr>
                <w:rFonts w:ascii="Arial" w:hAnsi="Arial"/>
                <w:sz w:val="20"/>
              </w:rPr>
            </w:pPr>
            <w:r>
              <w:rPr>
                <w:rFonts w:ascii="Arial" w:hAnsi="Arial"/>
                <w:sz w:val="20"/>
              </w:rPr>
              <w:t>2,031</w:t>
            </w:r>
          </w:p>
        </w:tc>
        <w:tc>
          <w:tcPr>
            <w:tcW w:w="645" w:type="pct"/>
            <w:shd w:val="clear" w:color="auto" w:fill="00B050"/>
          </w:tcPr>
          <w:p w14:paraId="461C9EC3" w14:textId="77777777" w:rsidR="0067172A" w:rsidRPr="00CB3833" w:rsidRDefault="0067172A" w:rsidP="00615434">
            <w:pPr>
              <w:pStyle w:val="bodycopy"/>
              <w:spacing w:before="60" w:after="60"/>
              <w:jc w:val="center"/>
              <w:rPr>
                <w:rFonts w:ascii="Arial" w:hAnsi="Arial"/>
                <w:sz w:val="20"/>
              </w:rPr>
            </w:pPr>
          </w:p>
        </w:tc>
        <w:tc>
          <w:tcPr>
            <w:tcW w:w="681" w:type="pct"/>
            <w:gridSpan w:val="2"/>
            <w:shd w:val="clear" w:color="auto" w:fill="00B050"/>
          </w:tcPr>
          <w:p w14:paraId="5303809F" w14:textId="77777777" w:rsidR="0067172A" w:rsidRPr="00CB3833" w:rsidRDefault="0067172A" w:rsidP="00615434">
            <w:pPr>
              <w:pStyle w:val="bodycopy"/>
              <w:spacing w:before="60" w:after="60"/>
              <w:jc w:val="center"/>
              <w:rPr>
                <w:rFonts w:ascii="Arial" w:hAnsi="Arial"/>
                <w:sz w:val="20"/>
              </w:rPr>
            </w:pPr>
          </w:p>
        </w:tc>
        <w:tc>
          <w:tcPr>
            <w:tcW w:w="628" w:type="pct"/>
            <w:shd w:val="clear" w:color="auto" w:fill="00B050"/>
          </w:tcPr>
          <w:p w14:paraId="486A2F2D" w14:textId="77777777" w:rsidR="0067172A" w:rsidRPr="00CB3833" w:rsidRDefault="0067172A" w:rsidP="00615434">
            <w:pPr>
              <w:pStyle w:val="bodycopy"/>
              <w:spacing w:before="60" w:after="60"/>
              <w:jc w:val="center"/>
              <w:rPr>
                <w:rFonts w:ascii="Arial" w:hAnsi="Arial"/>
                <w:sz w:val="20"/>
              </w:rPr>
            </w:pPr>
          </w:p>
        </w:tc>
        <w:tc>
          <w:tcPr>
            <w:tcW w:w="629" w:type="pct"/>
            <w:shd w:val="clear" w:color="auto" w:fill="00B050"/>
          </w:tcPr>
          <w:p w14:paraId="2CA09BE7"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FF0000"/>
          </w:tcPr>
          <w:p w14:paraId="2889BC7E"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00B050"/>
          </w:tcPr>
          <w:p w14:paraId="471103DE" w14:textId="77777777" w:rsidR="0067172A" w:rsidRPr="00CB3833" w:rsidRDefault="0067172A" w:rsidP="00615434">
            <w:pPr>
              <w:pStyle w:val="bodycopy"/>
              <w:spacing w:before="60" w:after="60"/>
              <w:jc w:val="center"/>
              <w:rPr>
                <w:rFonts w:ascii="Arial" w:hAnsi="Arial"/>
                <w:sz w:val="20"/>
              </w:rPr>
            </w:pPr>
          </w:p>
        </w:tc>
      </w:tr>
      <w:tr w:rsidR="0067172A" w:rsidRPr="00CB3833" w14:paraId="7E6025BC" w14:textId="77777777" w:rsidTr="00615434">
        <w:tc>
          <w:tcPr>
            <w:tcW w:w="551" w:type="pct"/>
            <w:shd w:val="clear" w:color="auto" w:fill="auto"/>
          </w:tcPr>
          <w:p w14:paraId="6A34C19C" w14:textId="77777777" w:rsidR="0067172A" w:rsidRPr="00CB3833" w:rsidRDefault="0067172A" w:rsidP="00615434">
            <w:pPr>
              <w:pStyle w:val="bodycopy"/>
              <w:spacing w:before="60" w:after="60"/>
              <w:rPr>
                <w:rFonts w:ascii="Arial" w:hAnsi="Arial"/>
                <w:sz w:val="20"/>
              </w:rPr>
            </w:pPr>
            <w:r w:rsidRPr="00CB3833">
              <w:rPr>
                <w:rFonts w:ascii="Arial" w:hAnsi="Arial"/>
                <w:sz w:val="20"/>
              </w:rPr>
              <w:t>2007/08</w:t>
            </w:r>
          </w:p>
        </w:tc>
        <w:tc>
          <w:tcPr>
            <w:tcW w:w="557" w:type="pct"/>
            <w:shd w:val="clear" w:color="auto" w:fill="auto"/>
          </w:tcPr>
          <w:p w14:paraId="04F45F9B" w14:textId="77777777" w:rsidR="0067172A" w:rsidRPr="00CB3833" w:rsidRDefault="0067172A" w:rsidP="00615434">
            <w:pPr>
              <w:pStyle w:val="bodycopy"/>
              <w:spacing w:before="60" w:after="60"/>
              <w:rPr>
                <w:rFonts w:ascii="Arial" w:hAnsi="Arial"/>
                <w:sz w:val="20"/>
              </w:rPr>
            </w:pPr>
            <w:r>
              <w:rPr>
                <w:rFonts w:ascii="Arial" w:hAnsi="Arial"/>
                <w:sz w:val="20"/>
              </w:rPr>
              <w:t>2,849</w:t>
            </w:r>
          </w:p>
        </w:tc>
        <w:tc>
          <w:tcPr>
            <w:tcW w:w="645" w:type="pct"/>
            <w:shd w:val="clear" w:color="auto" w:fill="00B050"/>
          </w:tcPr>
          <w:p w14:paraId="2E04804C" w14:textId="77777777" w:rsidR="0067172A" w:rsidRPr="00CB3833" w:rsidRDefault="0067172A" w:rsidP="00615434">
            <w:pPr>
              <w:pStyle w:val="bodycopy"/>
              <w:spacing w:before="60" w:after="60"/>
              <w:jc w:val="center"/>
              <w:rPr>
                <w:rFonts w:ascii="Arial" w:hAnsi="Arial"/>
                <w:sz w:val="20"/>
                <w:highlight w:val="yellow"/>
              </w:rPr>
            </w:pPr>
          </w:p>
        </w:tc>
        <w:tc>
          <w:tcPr>
            <w:tcW w:w="681" w:type="pct"/>
            <w:gridSpan w:val="2"/>
            <w:shd w:val="clear" w:color="auto" w:fill="00B050"/>
          </w:tcPr>
          <w:p w14:paraId="7DBAA5EB" w14:textId="77777777" w:rsidR="0067172A" w:rsidRPr="00CB3833" w:rsidRDefault="0067172A" w:rsidP="00615434">
            <w:pPr>
              <w:pStyle w:val="bodycopy"/>
              <w:spacing w:before="60" w:after="60"/>
              <w:jc w:val="center"/>
              <w:rPr>
                <w:rFonts w:ascii="Arial" w:hAnsi="Arial"/>
                <w:sz w:val="20"/>
                <w:highlight w:val="yellow"/>
              </w:rPr>
            </w:pPr>
          </w:p>
        </w:tc>
        <w:tc>
          <w:tcPr>
            <w:tcW w:w="628" w:type="pct"/>
            <w:shd w:val="clear" w:color="auto" w:fill="00B050"/>
          </w:tcPr>
          <w:p w14:paraId="7C7C1F0E" w14:textId="77777777" w:rsidR="0067172A" w:rsidRPr="00CB3833" w:rsidRDefault="0067172A" w:rsidP="00615434">
            <w:pPr>
              <w:pStyle w:val="bodycopy"/>
              <w:spacing w:before="60" w:after="60"/>
              <w:jc w:val="center"/>
              <w:rPr>
                <w:rFonts w:ascii="Arial" w:hAnsi="Arial"/>
                <w:sz w:val="20"/>
                <w:highlight w:val="yellow"/>
              </w:rPr>
            </w:pPr>
          </w:p>
        </w:tc>
        <w:tc>
          <w:tcPr>
            <w:tcW w:w="629" w:type="pct"/>
            <w:shd w:val="clear" w:color="auto" w:fill="00B050"/>
          </w:tcPr>
          <w:p w14:paraId="40C05180" w14:textId="77777777" w:rsidR="0067172A" w:rsidRPr="00CB3833" w:rsidRDefault="0067172A" w:rsidP="00615434">
            <w:pPr>
              <w:pStyle w:val="bodycopy"/>
              <w:spacing w:before="60" w:after="60"/>
              <w:jc w:val="center"/>
              <w:rPr>
                <w:rFonts w:ascii="Arial" w:hAnsi="Arial"/>
                <w:sz w:val="20"/>
                <w:highlight w:val="yellow"/>
              </w:rPr>
            </w:pPr>
          </w:p>
        </w:tc>
        <w:tc>
          <w:tcPr>
            <w:tcW w:w="654" w:type="pct"/>
            <w:shd w:val="clear" w:color="auto" w:fill="FF0000"/>
          </w:tcPr>
          <w:p w14:paraId="2D036741" w14:textId="77777777" w:rsidR="0067172A" w:rsidRPr="00CB3833" w:rsidRDefault="0067172A" w:rsidP="00615434">
            <w:pPr>
              <w:pStyle w:val="bodycopy"/>
              <w:spacing w:before="60" w:after="60"/>
              <w:jc w:val="center"/>
              <w:rPr>
                <w:rFonts w:ascii="Arial" w:hAnsi="Arial"/>
                <w:sz w:val="20"/>
                <w:highlight w:val="yellow"/>
              </w:rPr>
            </w:pPr>
          </w:p>
        </w:tc>
        <w:tc>
          <w:tcPr>
            <w:tcW w:w="654" w:type="pct"/>
            <w:shd w:val="clear" w:color="auto" w:fill="00B050"/>
          </w:tcPr>
          <w:p w14:paraId="769CF496" w14:textId="77777777" w:rsidR="0067172A" w:rsidRPr="00CB3833" w:rsidRDefault="0067172A" w:rsidP="00615434">
            <w:pPr>
              <w:pStyle w:val="bodycopy"/>
              <w:spacing w:before="60" w:after="60"/>
              <w:jc w:val="center"/>
              <w:rPr>
                <w:rFonts w:ascii="Arial" w:hAnsi="Arial"/>
                <w:sz w:val="20"/>
                <w:highlight w:val="yellow"/>
              </w:rPr>
            </w:pPr>
          </w:p>
        </w:tc>
      </w:tr>
      <w:tr w:rsidR="0067172A" w:rsidRPr="00CB3833" w14:paraId="7C8EA8FF" w14:textId="77777777" w:rsidTr="00615434">
        <w:tc>
          <w:tcPr>
            <w:tcW w:w="551" w:type="pct"/>
            <w:shd w:val="clear" w:color="auto" w:fill="auto"/>
          </w:tcPr>
          <w:p w14:paraId="49949841" w14:textId="77777777" w:rsidR="0067172A" w:rsidRPr="00CB3833" w:rsidRDefault="0067172A" w:rsidP="00615434">
            <w:pPr>
              <w:pStyle w:val="bodycopy"/>
              <w:spacing w:before="60" w:after="60"/>
              <w:rPr>
                <w:rFonts w:ascii="Arial" w:hAnsi="Arial"/>
                <w:sz w:val="20"/>
              </w:rPr>
            </w:pPr>
            <w:r w:rsidRPr="00CB3833">
              <w:rPr>
                <w:rFonts w:ascii="Arial" w:hAnsi="Arial"/>
                <w:sz w:val="20"/>
              </w:rPr>
              <w:t>2008/09</w:t>
            </w:r>
          </w:p>
        </w:tc>
        <w:tc>
          <w:tcPr>
            <w:tcW w:w="557" w:type="pct"/>
            <w:shd w:val="clear" w:color="auto" w:fill="auto"/>
          </w:tcPr>
          <w:p w14:paraId="64A1D24C" w14:textId="77777777" w:rsidR="0067172A" w:rsidRPr="00CB3833" w:rsidRDefault="0067172A" w:rsidP="00615434">
            <w:pPr>
              <w:pStyle w:val="bodycopy"/>
              <w:spacing w:before="60" w:after="60"/>
              <w:rPr>
                <w:rFonts w:ascii="Arial" w:hAnsi="Arial"/>
                <w:sz w:val="20"/>
              </w:rPr>
            </w:pPr>
            <w:r>
              <w:rPr>
                <w:rFonts w:ascii="Arial" w:hAnsi="Arial"/>
                <w:sz w:val="20"/>
              </w:rPr>
              <w:t>2,427</w:t>
            </w:r>
          </w:p>
        </w:tc>
        <w:tc>
          <w:tcPr>
            <w:tcW w:w="645" w:type="pct"/>
            <w:shd w:val="clear" w:color="auto" w:fill="00B050"/>
          </w:tcPr>
          <w:p w14:paraId="2F0DA1E6" w14:textId="77777777" w:rsidR="0067172A" w:rsidRPr="00CB3833" w:rsidRDefault="0067172A" w:rsidP="00615434">
            <w:pPr>
              <w:pStyle w:val="bodycopy"/>
              <w:spacing w:before="60" w:after="60"/>
              <w:jc w:val="center"/>
              <w:rPr>
                <w:rFonts w:ascii="Arial" w:hAnsi="Arial"/>
                <w:sz w:val="20"/>
              </w:rPr>
            </w:pPr>
          </w:p>
        </w:tc>
        <w:tc>
          <w:tcPr>
            <w:tcW w:w="681" w:type="pct"/>
            <w:gridSpan w:val="2"/>
            <w:shd w:val="clear" w:color="auto" w:fill="00B050"/>
          </w:tcPr>
          <w:p w14:paraId="3908CACC" w14:textId="77777777" w:rsidR="0067172A" w:rsidRPr="00CB3833" w:rsidRDefault="0067172A" w:rsidP="00615434">
            <w:pPr>
              <w:pStyle w:val="bodycopy"/>
              <w:spacing w:before="60" w:after="60"/>
              <w:jc w:val="center"/>
              <w:rPr>
                <w:rFonts w:ascii="Arial" w:hAnsi="Arial"/>
                <w:sz w:val="20"/>
              </w:rPr>
            </w:pPr>
          </w:p>
        </w:tc>
        <w:tc>
          <w:tcPr>
            <w:tcW w:w="628" w:type="pct"/>
            <w:shd w:val="clear" w:color="auto" w:fill="00B050"/>
          </w:tcPr>
          <w:p w14:paraId="2158D093" w14:textId="77777777" w:rsidR="0067172A" w:rsidRPr="00CB3833" w:rsidRDefault="0067172A" w:rsidP="00615434">
            <w:pPr>
              <w:pStyle w:val="bodycopy"/>
              <w:spacing w:before="60" w:after="60"/>
              <w:jc w:val="center"/>
              <w:rPr>
                <w:rFonts w:ascii="Arial" w:hAnsi="Arial"/>
                <w:sz w:val="20"/>
              </w:rPr>
            </w:pPr>
          </w:p>
        </w:tc>
        <w:tc>
          <w:tcPr>
            <w:tcW w:w="629" w:type="pct"/>
            <w:shd w:val="clear" w:color="auto" w:fill="00B050"/>
          </w:tcPr>
          <w:p w14:paraId="6746506C"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FF0000"/>
          </w:tcPr>
          <w:p w14:paraId="0F8821D8"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00B050"/>
          </w:tcPr>
          <w:p w14:paraId="74871071" w14:textId="77777777" w:rsidR="0067172A" w:rsidRPr="00CB3833" w:rsidRDefault="0067172A" w:rsidP="00615434">
            <w:pPr>
              <w:pStyle w:val="bodycopy"/>
              <w:spacing w:before="60" w:after="60"/>
              <w:jc w:val="center"/>
              <w:rPr>
                <w:rFonts w:ascii="Arial" w:hAnsi="Arial"/>
                <w:sz w:val="20"/>
              </w:rPr>
            </w:pPr>
          </w:p>
        </w:tc>
      </w:tr>
      <w:tr w:rsidR="0067172A" w:rsidRPr="00CB3833" w14:paraId="13FAC325" w14:textId="77777777" w:rsidTr="00615434">
        <w:tc>
          <w:tcPr>
            <w:tcW w:w="551" w:type="pct"/>
            <w:shd w:val="clear" w:color="auto" w:fill="auto"/>
          </w:tcPr>
          <w:p w14:paraId="07F638B3" w14:textId="77777777" w:rsidR="0067172A" w:rsidRPr="00CB3833" w:rsidRDefault="0067172A" w:rsidP="00615434">
            <w:pPr>
              <w:pStyle w:val="bodycopy"/>
              <w:spacing w:before="60" w:after="60"/>
              <w:rPr>
                <w:rFonts w:ascii="Arial" w:hAnsi="Arial"/>
                <w:sz w:val="20"/>
              </w:rPr>
            </w:pPr>
            <w:r w:rsidRPr="00CB3833">
              <w:rPr>
                <w:rFonts w:ascii="Arial" w:hAnsi="Arial"/>
                <w:sz w:val="20"/>
              </w:rPr>
              <w:t>2009/10</w:t>
            </w:r>
          </w:p>
        </w:tc>
        <w:tc>
          <w:tcPr>
            <w:tcW w:w="557" w:type="pct"/>
            <w:shd w:val="clear" w:color="auto" w:fill="auto"/>
          </w:tcPr>
          <w:p w14:paraId="0BE9DA76" w14:textId="77777777" w:rsidR="0067172A" w:rsidRPr="00CB3833" w:rsidRDefault="0067172A" w:rsidP="00615434">
            <w:pPr>
              <w:pStyle w:val="bodycopy"/>
              <w:spacing w:before="60" w:after="60"/>
              <w:rPr>
                <w:rFonts w:ascii="Arial" w:hAnsi="Arial"/>
                <w:sz w:val="20"/>
              </w:rPr>
            </w:pPr>
            <w:r w:rsidRPr="00CB3833">
              <w:rPr>
                <w:rFonts w:ascii="Arial" w:hAnsi="Arial"/>
                <w:sz w:val="20"/>
              </w:rPr>
              <w:t>ID</w:t>
            </w:r>
          </w:p>
        </w:tc>
        <w:tc>
          <w:tcPr>
            <w:tcW w:w="645" w:type="pct"/>
            <w:shd w:val="clear" w:color="auto" w:fill="00B050"/>
          </w:tcPr>
          <w:p w14:paraId="256E9385" w14:textId="77777777" w:rsidR="0067172A" w:rsidRPr="00CB3833" w:rsidRDefault="0067172A" w:rsidP="00615434">
            <w:pPr>
              <w:pStyle w:val="bodycopy"/>
              <w:spacing w:before="60" w:after="60"/>
              <w:jc w:val="center"/>
              <w:rPr>
                <w:rFonts w:ascii="Arial" w:hAnsi="Arial"/>
                <w:sz w:val="20"/>
              </w:rPr>
            </w:pPr>
          </w:p>
        </w:tc>
        <w:tc>
          <w:tcPr>
            <w:tcW w:w="681" w:type="pct"/>
            <w:gridSpan w:val="2"/>
            <w:shd w:val="clear" w:color="auto" w:fill="00B050"/>
          </w:tcPr>
          <w:p w14:paraId="1E1E2711" w14:textId="77777777" w:rsidR="0067172A" w:rsidRPr="00CB3833" w:rsidRDefault="0067172A" w:rsidP="00615434">
            <w:pPr>
              <w:pStyle w:val="bodycopy"/>
              <w:spacing w:before="60" w:after="60"/>
              <w:jc w:val="center"/>
              <w:rPr>
                <w:rFonts w:ascii="Arial" w:hAnsi="Arial"/>
                <w:sz w:val="20"/>
              </w:rPr>
            </w:pPr>
          </w:p>
        </w:tc>
        <w:tc>
          <w:tcPr>
            <w:tcW w:w="628" w:type="pct"/>
            <w:shd w:val="clear" w:color="auto" w:fill="00B050"/>
          </w:tcPr>
          <w:p w14:paraId="05CD712D" w14:textId="77777777" w:rsidR="0067172A" w:rsidRPr="00CB3833" w:rsidRDefault="0067172A" w:rsidP="00615434">
            <w:pPr>
              <w:pStyle w:val="bodycopy"/>
              <w:spacing w:before="60" w:after="60"/>
              <w:jc w:val="center"/>
              <w:rPr>
                <w:rFonts w:ascii="Arial" w:hAnsi="Arial"/>
                <w:sz w:val="20"/>
              </w:rPr>
            </w:pPr>
          </w:p>
        </w:tc>
        <w:tc>
          <w:tcPr>
            <w:tcW w:w="629" w:type="pct"/>
            <w:shd w:val="clear" w:color="auto" w:fill="00B050"/>
          </w:tcPr>
          <w:p w14:paraId="357B6F17"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FF0000"/>
          </w:tcPr>
          <w:p w14:paraId="5B61917B"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00B050"/>
          </w:tcPr>
          <w:p w14:paraId="49170A81" w14:textId="77777777" w:rsidR="0067172A" w:rsidRPr="00CB3833" w:rsidRDefault="0067172A" w:rsidP="00615434">
            <w:pPr>
              <w:pStyle w:val="bodycopy"/>
              <w:spacing w:before="60" w:after="60"/>
              <w:jc w:val="center"/>
              <w:rPr>
                <w:rFonts w:ascii="Arial" w:hAnsi="Arial"/>
                <w:sz w:val="20"/>
              </w:rPr>
            </w:pPr>
          </w:p>
        </w:tc>
      </w:tr>
      <w:tr w:rsidR="0067172A" w:rsidRPr="00CB3833" w14:paraId="4A823751" w14:textId="77777777" w:rsidTr="00615434">
        <w:tc>
          <w:tcPr>
            <w:tcW w:w="551" w:type="pct"/>
            <w:shd w:val="clear" w:color="auto" w:fill="auto"/>
          </w:tcPr>
          <w:p w14:paraId="161D1279" w14:textId="77777777" w:rsidR="0067172A" w:rsidRPr="00CB3833" w:rsidRDefault="0067172A" w:rsidP="00615434">
            <w:pPr>
              <w:pStyle w:val="bodycopy"/>
              <w:spacing w:before="60" w:after="60"/>
              <w:rPr>
                <w:rFonts w:ascii="Arial" w:hAnsi="Arial"/>
                <w:sz w:val="20"/>
              </w:rPr>
            </w:pPr>
            <w:r w:rsidRPr="00CB3833">
              <w:rPr>
                <w:rFonts w:ascii="Arial" w:hAnsi="Arial"/>
                <w:sz w:val="20"/>
              </w:rPr>
              <w:t>2010/11</w:t>
            </w:r>
          </w:p>
        </w:tc>
        <w:tc>
          <w:tcPr>
            <w:tcW w:w="557" w:type="pct"/>
            <w:shd w:val="clear" w:color="auto" w:fill="auto"/>
          </w:tcPr>
          <w:p w14:paraId="745A6FFD" w14:textId="77777777" w:rsidR="0067172A" w:rsidRPr="00CB3833" w:rsidRDefault="0067172A" w:rsidP="00615434">
            <w:pPr>
              <w:pStyle w:val="bodycopy"/>
              <w:spacing w:before="60" w:after="60"/>
              <w:rPr>
                <w:rFonts w:ascii="Arial" w:hAnsi="Arial"/>
                <w:sz w:val="20"/>
              </w:rPr>
            </w:pPr>
            <w:r w:rsidRPr="00CB3833">
              <w:rPr>
                <w:rFonts w:ascii="Arial" w:hAnsi="Arial"/>
                <w:sz w:val="20"/>
              </w:rPr>
              <w:t>ID</w:t>
            </w:r>
          </w:p>
        </w:tc>
        <w:tc>
          <w:tcPr>
            <w:tcW w:w="645" w:type="pct"/>
            <w:shd w:val="clear" w:color="auto" w:fill="FF0000"/>
          </w:tcPr>
          <w:p w14:paraId="4C873A6A" w14:textId="033E4194" w:rsidR="0067172A" w:rsidRPr="000371AE" w:rsidRDefault="000371AE" w:rsidP="00615434">
            <w:pPr>
              <w:pStyle w:val="bodycopy"/>
              <w:spacing w:before="60" w:after="60"/>
              <w:jc w:val="center"/>
              <w:rPr>
                <w:rFonts w:ascii="Arial" w:hAnsi="Arial"/>
                <w:sz w:val="18"/>
                <w:szCs w:val="18"/>
              </w:rPr>
            </w:pPr>
            <w:r w:rsidRPr="000371AE">
              <w:rPr>
                <w:rFonts w:ascii="Arial" w:hAnsi="Arial"/>
                <w:sz w:val="18"/>
                <w:szCs w:val="18"/>
              </w:rPr>
              <w:t>Zero quota</w:t>
            </w:r>
          </w:p>
        </w:tc>
        <w:tc>
          <w:tcPr>
            <w:tcW w:w="681" w:type="pct"/>
            <w:gridSpan w:val="2"/>
            <w:shd w:val="clear" w:color="auto" w:fill="00B050"/>
          </w:tcPr>
          <w:p w14:paraId="7AD8D7EF" w14:textId="77777777" w:rsidR="0067172A" w:rsidRPr="00CB3833" w:rsidRDefault="0067172A" w:rsidP="00615434">
            <w:pPr>
              <w:pStyle w:val="bodycopy"/>
              <w:spacing w:before="60" w:after="60"/>
              <w:jc w:val="center"/>
              <w:rPr>
                <w:rFonts w:ascii="Arial" w:hAnsi="Arial"/>
                <w:sz w:val="20"/>
              </w:rPr>
            </w:pPr>
          </w:p>
        </w:tc>
        <w:tc>
          <w:tcPr>
            <w:tcW w:w="628" w:type="pct"/>
            <w:shd w:val="clear" w:color="auto" w:fill="00B050"/>
          </w:tcPr>
          <w:p w14:paraId="6BE0ED73" w14:textId="77777777" w:rsidR="0067172A" w:rsidRPr="00CB3833" w:rsidRDefault="0067172A" w:rsidP="00615434">
            <w:pPr>
              <w:pStyle w:val="bodycopy"/>
              <w:spacing w:before="60" w:after="60"/>
              <w:jc w:val="center"/>
              <w:rPr>
                <w:rFonts w:ascii="Arial" w:hAnsi="Arial"/>
                <w:sz w:val="20"/>
              </w:rPr>
            </w:pPr>
          </w:p>
        </w:tc>
        <w:tc>
          <w:tcPr>
            <w:tcW w:w="629" w:type="pct"/>
            <w:shd w:val="clear" w:color="auto" w:fill="00B050"/>
          </w:tcPr>
          <w:p w14:paraId="2F0237C2"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FF0000"/>
          </w:tcPr>
          <w:p w14:paraId="0321E55F"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00B050"/>
          </w:tcPr>
          <w:p w14:paraId="46692376" w14:textId="77777777" w:rsidR="0067172A" w:rsidRPr="00CB3833" w:rsidRDefault="0067172A" w:rsidP="00615434">
            <w:pPr>
              <w:pStyle w:val="bodycopy"/>
              <w:spacing w:before="60" w:after="60"/>
              <w:jc w:val="center"/>
              <w:rPr>
                <w:rFonts w:ascii="Arial" w:hAnsi="Arial"/>
                <w:sz w:val="20"/>
              </w:rPr>
            </w:pPr>
          </w:p>
        </w:tc>
      </w:tr>
      <w:tr w:rsidR="0067172A" w:rsidRPr="00CB3833" w14:paraId="036E036E" w14:textId="77777777" w:rsidTr="00615434">
        <w:tc>
          <w:tcPr>
            <w:tcW w:w="551" w:type="pct"/>
            <w:shd w:val="clear" w:color="auto" w:fill="auto"/>
          </w:tcPr>
          <w:p w14:paraId="0090F9EB" w14:textId="77777777" w:rsidR="0067172A" w:rsidRPr="00CB3833" w:rsidRDefault="0067172A" w:rsidP="00615434">
            <w:pPr>
              <w:pStyle w:val="bodycopy"/>
              <w:spacing w:before="60" w:after="60"/>
              <w:rPr>
                <w:rFonts w:ascii="Arial" w:hAnsi="Arial"/>
                <w:sz w:val="20"/>
              </w:rPr>
            </w:pPr>
            <w:r w:rsidRPr="00CB3833">
              <w:rPr>
                <w:rFonts w:ascii="Arial" w:hAnsi="Arial"/>
                <w:sz w:val="20"/>
              </w:rPr>
              <w:t>2011/12</w:t>
            </w:r>
          </w:p>
        </w:tc>
        <w:tc>
          <w:tcPr>
            <w:tcW w:w="557" w:type="pct"/>
            <w:shd w:val="clear" w:color="auto" w:fill="auto"/>
          </w:tcPr>
          <w:p w14:paraId="54D05787" w14:textId="77777777" w:rsidR="0067172A" w:rsidRPr="00CB3833" w:rsidRDefault="0067172A" w:rsidP="00615434">
            <w:pPr>
              <w:pStyle w:val="bodycopy"/>
              <w:spacing w:before="60" w:after="60"/>
              <w:rPr>
                <w:rFonts w:ascii="Arial" w:hAnsi="Arial"/>
                <w:sz w:val="20"/>
              </w:rPr>
            </w:pPr>
            <w:r w:rsidRPr="00CB3833">
              <w:rPr>
                <w:rFonts w:ascii="Arial" w:hAnsi="Arial"/>
                <w:sz w:val="20"/>
              </w:rPr>
              <w:t>ID</w:t>
            </w:r>
          </w:p>
        </w:tc>
        <w:tc>
          <w:tcPr>
            <w:tcW w:w="645" w:type="pct"/>
            <w:shd w:val="clear" w:color="auto" w:fill="FF0000"/>
          </w:tcPr>
          <w:p w14:paraId="57BAC7DC" w14:textId="5E34E7BE" w:rsidR="0067172A" w:rsidRPr="00CB3833" w:rsidRDefault="000371AE" w:rsidP="00615434">
            <w:pPr>
              <w:pStyle w:val="bodycopy"/>
              <w:spacing w:before="60" w:after="60"/>
              <w:jc w:val="center"/>
              <w:rPr>
                <w:rFonts w:ascii="Arial" w:hAnsi="Arial"/>
                <w:sz w:val="20"/>
              </w:rPr>
            </w:pPr>
            <w:r w:rsidRPr="000371AE">
              <w:rPr>
                <w:rFonts w:ascii="Arial" w:hAnsi="Arial"/>
                <w:sz w:val="18"/>
                <w:szCs w:val="18"/>
              </w:rPr>
              <w:t>Zero quota</w:t>
            </w:r>
          </w:p>
        </w:tc>
        <w:tc>
          <w:tcPr>
            <w:tcW w:w="681" w:type="pct"/>
            <w:gridSpan w:val="2"/>
            <w:shd w:val="clear" w:color="auto" w:fill="00B050"/>
          </w:tcPr>
          <w:p w14:paraId="339224DB" w14:textId="77777777" w:rsidR="0067172A" w:rsidRPr="00CB3833" w:rsidRDefault="0067172A" w:rsidP="00615434">
            <w:pPr>
              <w:pStyle w:val="bodycopy"/>
              <w:spacing w:before="60" w:after="60"/>
              <w:jc w:val="center"/>
              <w:rPr>
                <w:rFonts w:ascii="Arial" w:hAnsi="Arial"/>
                <w:sz w:val="20"/>
              </w:rPr>
            </w:pPr>
          </w:p>
        </w:tc>
        <w:tc>
          <w:tcPr>
            <w:tcW w:w="628" w:type="pct"/>
            <w:shd w:val="clear" w:color="auto" w:fill="00B050"/>
          </w:tcPr>
          <w:p w14:paraId="089CA88C" w14:textId="77777777" w:rsidR="0067172A" w:rsidRPr="00CB3833" w:rsidRDefault="0067172A" w:rsidP="00615434">
            <w:pPr>
              <w:pStyle w:val="bodycopy"/>
              <w:spacing w:before="60" w:after="60"/>
              <w:jc w:val="center"/>
              <w:rPr>
                <w:rFonts w:ascii="Arial" w:hAnsi="Arial"/>
                <w:sz w:val="20"/>
              </w:rPr>
            </w:pPr>
          </w:p>
        </w:tc>
        <w:tc>
          <w:tcPr>
            <w:tcW w:w="629" w:type="pct"/>
            <w:shd w:val="clear" w:color="auto" w:fill="00B050"/>
          </w:tcPr>
          <w:p w14:paraId="7CFAC52B"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FF0000"/>
          </w:tcPr>
          <w:p w14:paraId="3B6AF94F"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00B050"/>
          </w:tcPr>
          <w:p w14:paraId="11EB1AC0" w14:textId="77777777" w:rsidR="0067172A" w:rsidRPr="00CB3833" w:rsidRDefault="0067172A" w:rsidP="00615434">
            <w:pPr>
              <w:pStyle w:val="bodycopy"/>
              <w:spacing w:before="60" w:after="60"/>
              <w:jc w:val="center"/>
              <w:rPr>
                <w:rFonts w:ascii="Arial" w:hAnsi="Arial"/>
                <w:sz w:val="20"/>
              </w:rPr>
            </w:pPr>
          </w:p>
        </w:tc>
      </w:tr>
      <w:tr w:rsidR="0067172A" w:rsidRPr="00CB3833" w14:paraId="162BE077" w14:textId="77777777" w:rsidTr="000371AE">
        <w:tc>
          <w:tcPr>
            <w:tcW w:w="551" w:type="pct"/>
            <w:shd w:val="clear" w:color="auto" w:fill="auto"/>
          </w:tcPr>
          <w:p w14:paraId="2E8657F9" w14:textId="77777777" w:rsidR="0067172A" w:rsidRPr="00CB3833" w:rsidRDefault="0067172A" w:rsidP="00615434">
            <w:pPr>
              <w:pStyle w:val="bodycopy"/>
              <w:spacing w:before="60" w:after="60"/>
              <w:rPr>
                <w:rFonts w:ascii="Arial" w:hAnsi="Arial"/>
                <w:sz w:val="20"/>
              </w:rPr>
            </w:pPr>
            <w:r w:rsidRPr="00CB3833">
              <w:rPr>
                <w:rFonts w:ascii="Arial" w:hAnsi="Arial"/>
                <w:sz w:val="20"/>
              </w:rPr>
              <w:t>2012/13</w:t>
            </w:r>
          </w:p>
        </w:tc>
        <w:tc>
          <w:tcPr>
            <w:tcW w:w="557" w:type="pct"/>
            <w:shd w:val="clear" w:color="auto" w:fill="auto"/>
          </w:tcPr>
          <w:p w14:paraId="72E9AA18" w14:textId="77777777" w:rsidR="0067172A" w:rsidRPr="00CB3833" w:rsidRDefault="0067172A" w:rsidP="00615434">
            <w:pPr>
              <w:pStyle w:val="bodycopy"/>
              <w:spacing w:before="60" w:after="60"/>
              <w:rPr>
                <w:rFonts w:ascii="Arial" w:hAnsi="Arial"/>
                <w:sz w:val="20"/>
              </w:rPr>
            </w:pPr>
            <w:r w:rsidRPr="00CB3833">
              <w:rPr>
                <w:rFonts w:ascii="Arial" w:hAnsi="Arial"/>
                <w:sz w:val="20"/>
              </w:rPr>
              <w:t>ID</w:t>
            </w:r>
          </w:p>
        </w:tc>
        <w:tc>
          <w:tcPr>
            <w:tcW w:w="645" w:type="pct"/>
            <w:shd w:val="clear" w:color="auto" w:fill="FF0000"/>
          </w:tcPr>
          <w:p w14:paraId="092F553B" w14:textId="2EAB517F" w:rsidR="0067172A" w:rsidRPr="00CB3833" w:rsidRDefault="000371AE" w:rsidP="00615434">
            <w:pPr>
              <w:pStyle w:val="bodycopy"/>
              <w:spacing w:before="60" w:after="60"/>
              <w:jc w:val="center"/>
              <w:rPr>
                <w:rFonts w:ascii="Arial" w:hAnsi="Arial"/>
                <w:sz w:val="20"/>
              </w:rPr>
            </w:pPr>
            <w:r w:rsidRPr="000371AE">
              <w:rPr>
                <w:rFonts w:ascii="Arial" w:hAnsi="Arial"/>
                <w:sz w:val="18"/>
                <w:szCs w:val="18"/>
              </w:rPr>
              <w:t>Zero quota</w:t>
            </w:r>
          </w:p>
        </w:tc>
        <w:tc>
          <w:tcPr>
            <w:tcW w:w="681" w:type="pct"/>
            <w:gridSpan w:val="2"/>
            <w:shd w:val="clear" w:color="auto" w:fill="00B050"/>
          </w:tcPr>
          <w:p w14:paraId="77E56B4F" w14:textId="77777777" w:rsidR="0067172A" w:rsidRPr="00CB3833" w:rsidRDefault="0067172A" w:rsidP="00615434">
            <w:pPr>
              <w:pStyle w:val="bodycopy"/>
              <w:spacing w:before="60" w:after="60"/>
              <w:jc w:val="center"/>
              <w:rPr>
                <w:rFonts w:ascii="Arial" w:hAnsi="Arial"/>
                <w:sz w:val="20"/>
              </w:rPr>
            </w:pPr>
          </w:p>
        </w:tc>
        <w:tc>
          <w:tcPr>
            <w:tcW w:w="628" w:type="pct"/>
            <w:shd w:val="clear" w:color="auto" w:fill="00B050"/>
          </w:tcPr>
          <w:p w14:paraId="37529C5A" w14:textId="77777777" w:rsidR="0067172A" w:rsidRPr="00CB3833" w:rsidRDefault="0067172A" w:rsidP="00615434">
            <w:pPr>
              <w:pStyle w:val="bodycopy"/>
              <w:spacing w:before="60" w:after="60"/>
              <w:jc w:val="center"/>
              <w:rPr>
                <w:rFonts w:ascii="Arial" w:hAnsi="Arial"/>
                <w:sz w:val="20"/>
              </w:rPr>
            </w:pPr>
          </w:p>
        </w:tc>
        <w:tc>
          <w:tcPr>
            <w:tcW w:w="629" w:type="pct"/>
            <w:shd w:val="clear" w:color="auto" w:fill="00B050"/>
          </w:tcPr>
          <w:p w14:paraId="7744FCB0"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FF0000"/>
          </w:tcPr>
          <w:p w14:paraId="2C9EDD88"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00B050"/>
          </w:tcPr>
          <w:p w14:paraId="65A56BF7" w14:textId="77777777" w:rsidR="0067172A" w:rsidRPr="00CB3833" w:rsidRDefault="0067172A" w:rsidP="00615434">
            <w:pPr>
              <w:pStyle w:val="bodycopy"/>
              <w:spacing w:before="60" w:after="60"/>
              <w:jc w:val="center"/>
              <w:rPr>
                <w:rFonts w:ascii="Arial" w:hAnsi="Arial"/>
                <w:sz w:val="20"/>
              </w:rPr>
            </w:pPr>
          </w:p>
        </w:tc>
      </w:tr>
      <w:tr w:rsidR="0067172A" w:rsidRPr="00CB3833" w14:paraId="1B7C8F8F" w14:textId="77777777" w:rsidTr="00615434">
        <w:tc>
          <w:tcPr>
            <w:tcW w:w="551" w:type="pct"/>
            <w:shd w:val="clear" w:color="auto" w:fill="auto"/>
          </w:tcPr>
          <w:p w14:paraId="2C4EE0C4" w14:textId="77777777" w:rsidR="0067172A" w:rsidRPr="00CB3833" w:rsidRDefault="0067172A" w:rsidP="00615434">
            <w:pPr>
              <w:pStyle w:val="bodycopy"/>
              <w:spacing w:before="60" w:after="60"/>
              <w:rPr>
                <w:rFonts w:ascii="Arial" w:hAnsi="Arial"/>
                <w:sz w:val="20"/>
              </w:rPr>
            </w:pPr>
            <w:r w:rsidRPr="00CB3833">
              <w:rPr>
                <w:rFonts w:ascii="Arial" w:hAnsi="Arial"/>
                <w:sz w:val="20"/>
              </w:rPr>
              <w:t>2013/14</w:t>
            </w:r>
          </w:p>
        </w:tc>
        <w:tc>
          <w:tcPr>
            <w:tcW w:w="557" w:type="pct"/>
            <w:shd w:val="clear" w:color="auto" w:fill="auto"/>
          </w:tcPr>
          <w:p w14:paraId="69118722" w14:textId="77777777" w:rsidR="0067172A" w:rsidRPr="00CB3833" w:rsidRDefault="0067172A" w:rsidP="00615434">
            <w:pPr>
              <w:pStyle w:val="bodycopy"/>
              <w:spacing w:before="60" w:after="60"/>
              <w:rPr>
                <w:rFonts w:ascii="Arial" w:hAnsi="Arial"/>
                <w:sz w:val="20"/>
              </w:rPr>
            </w:pPr>
            <w:r w:rsidRPr="00CB3833">
              <w:rPr>
                <w:rFonts w:ascii="Arial" w:hAnsi="Arial"/>
                <w:sz w:val="20"/>
              </w:rPr>
              <w:t>ID</w:t>
            </w:r>
          </w:p>
        </w:tc>
        <w:tc>
          <w:tcPr>
            <w:tcW w:w="645" w:type="pct"/>
            <w:shd w:val="clear" w:color="auto" w:fill="00B050"/>
          </w:tcPr>
          <w:p w14:paraId="607A0B93" w14:textId="77777777" w:rsidR="0067172A" w:rsidRPr="00CB3833" w:rsidRDefault="0067172A" w:rsidP="00615434">
            <w:pPr>
              <w:pStyle w:val="bodycopy"/>
              <w:spacing w:before="60" w:after="60"/>
              <w:jc w:val="center"/>
              <w:rPr>
                <w:rFonts w:ascii="Arial" w:hAnsi="Arial"/>
                <w:sz w:val="20"/>
              </w:rPr>
            </w:pPr>
          </w:p>
        </w:tc>
        <w:tc>
          <w:tcPr>
            <w:tcW w:w="681" w:type="pct"/>
            <w:gridSpan w:val="2"/>
            <w:shd w:val="clear" w:color="auto" w:fill="00B050"/>
          </w:tcPr>
          <w:p w14:paraId="451AF9A4" w14:textId="77777777" w:rsidR="0067172A" w:rsidRPr="00CB3833" w:rsidRDefault="0067172A" w:rsidP="00615434">
            <w:pPr>
              <w:pStyle w:val="bodycopy"/>
              <w:spacing w:before="60" w:after="60"/>
              <w:jc w:val="center"/>
              <w:rPr>
                <w:rFonts w:ascii="Arial" w:hAnsi="Arial"/>
                <w:sz w:val="20"/>
              </w:rPr>
            </w:pPr>
          </w:p>
        </w:tc>
        <w:tc>
          <w:tcPr>
            <w:tcW w:w="628" w:type="pct"/>
            <w:shd w:val="clear" w:color="auto" w:fill="00B050"/>
          </w:tcPr>
          <w:p w14:paraId="36E7F05B" w14:textId="77777777" w:rsidR="0067172A" w:rsidRPr="00CB3833" w:rsidRDefault="0067172A" w:rsidP="00615434">
            <w:pPr>
              <w:pStyle w:val="bodycopy"/>
              <w:spacing w:before="60" w:after="60"/>
              <w:jc w:val="center"/>
              <w:rPr>
                <w:rFonts w:ascii="Arial" w:hAnsi="Arial"/>
                <w:sz w:val="20"/>
              </w:rPr>
            </w:pPr>
          </w:p>
        </w:tc>
        <w:tc>
          <w:tcPr>
            <w:tcW w:w="629" w:type="pct"/>
            <w:shd w:val="clear" w:color="auto" w:fill="00B050"/>
          </w:tcPr>
          <w:p w14:paraId="7AFC9C7C"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FF0000"/>
          </w:tcPr>
          <w:p w14:paraId="480C418C"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00B050"/>
          </w:tcPr>
          <w:p w14:paraId="193B857B" w14:textId="77777777" w:rsidR="0067172A" w:rsidRPr="00CB3833" w:rsidRDefault="0067172A" w:rsidP="00615434">
            <w:pPr>
              <w:pStyle w:val="bodycopy"/>
              <w:spacing w:before="60" w:after="60"/>
              <w:jc w:val="center"/>
              <w:rPr>
                <w:rFonts w:ascii="Arial" w:hAnsi="Arial"/>
                <w:sz w:val="20"/>
              </w:rPr>
            </w:pPr>
          </w:p>
        </w:tc>
      </w:tr>
      <w:tr w:rsidR="0067172A" w:rsidRPr="00CB3833" w14:paraId="072D9FE1" w14:textId="77777777" w:rsidTr="00615434">
        <w:tc>
          <w:tcPr>
            <w:tcW w:w="551" w:type="pct"/>
            <w:shd w:val="clear" w:color="auto" w:fill="auto"/>
          </w:tcPr>
          <w:p w14:paraId="149C2C8E" w14:textId="77777777" w:rsidR="0067172A" w:rsidRPr="00CB3833" w:rsidRDefault="0067172A" w:rsidP="00615434">
            <w:pPr>
              <w:pStyle w:val="bodycopy"/>
              <w:spacing w:before="60" w:after="60"/>
              <w:rPr>
                <w:rFonts w:ascii="Arial" w:hAnsi="Arial"/>
                <w:sz w:val="20"/>
              </w:rPr>
            </w:pPr>
            <w:r w:rsidRPr="00CB3833">
              <w:rPr>
                <w:rFonts w:ascii="Arial" w:hAnsi="Arial"/>
                <w:sz w:val="20"/>
              </w:rPr>
              <w:t>2014/15</w:t>
            </w:r>
          </w:p>
        </w:tc>
        <w:tc>
          <w:tcPr>
            <w:tcW w:w="557" w:type="pct"/>
            <w:shd w:val="clear" w:color="auto" w:fill="auto"/>
          </w:tcPr>
          <w:p w14:paraId="466601A0" w14:textId="77777777" w:rsidR="0067172A" w:rsidRPr="00CB3833" w:rsidRDefault="0067172A" w:rsidP="00615434">
            <w:pPr>
              <w:pStyle w:val="bodycopy"/>
              <w:spacing w:before="60" w:after="60"/>
              <w:rPr>
                <w:rFonts w:ascii="Arial" w:hAnsi="Arial"/>
                <w:sz w:val="20"/>
              </w:rPr>
            </w:pPr>
            <w:r w:rsidRPr="00CB3833">
              <w:rPr>
                <w:rFonts w:ascii="Arial" w:hAnsi="Arial"/>
                <w:sz w:val="20"/>
              </w:rPr>
              <w:t>ID</w:t>
            </w:r>
          </w:p>
        </w:tc>
        <w:tc>
          <w:tcPr>
            <w:tcW w:w="645" w:type="pct"/>
            <w:shd w:val="clear" w:color="auto" w:fill="00B050"/>
          </w:tcPr>
          <w:p w14:paraId="52594040" w14:textId="77777777" w:rsidR="0067172A" w:rsidRPr="00CB3833" w:rsidRDefault="0067172A" w:rsidP="00615434">
            <w:pPr>
              <w:pStyle w:val="bodycopy"/>
              <w:spacing w:before="60" w:after="60"/>
              <w:jc w:val="center"/>
              <w:rPr>
                <w:rFonts w:ascii="Arial" w:hAnsi="Arial"/>
                <w:sz w:val="20"/>
              </w:rPr>
            </w:pPr>
          </w:p>
        </w:tc>
        <w:tc>
          <w:tcPr>
            <w:tcW w:w="681" w:type="pct"/>
            <w:gridSpan w:val="2"/>
            <w:shd w:val="clear" w:color="auto" w:fill="00B050"/>
          </w:tcPr>
          <w:p w14:paraId="4502AB05" w14:textId="77777777" w:rsidR="0067172A" w:rsidRPr="00CB3833" w:rsidRDefault="0067172A" w:rsidP="00615434">
            <w:pPr>
              <w:pStyle w:val="bodycopy"/>
              <w:spacing w:before="60" w:after="60"/>
              <w:jc w:val="center"/>
              <w:rPr>
                <w:rFonts w:ascii="Arial" w:hAnsi="Arial"/>
                <w:sz w:val="20"/>
              </w:rPr>
            </w:pPr>
          </w:p>
        </w:tc>
        <w:tc>
          <w:tcPr>
            <w:tcW w:w="628" w:type="pct"/>
            <w:shd w:val="clear" w:color="auto" w:fill="00B050"/>
          </w:tcPr>
          <w:p w14:paraId="1267BB81" w14:textId="77777777" w:rsidR="0067172A" w:rsidRPr="00CB3833" w:rsidRDefault="0067172A" w:rsidP="00615434">
            <w:pPr>
              <w:pStyle w:val="bodycopy"/>
              <w:spacing w:before="60" w:after="60"/>
              <w:jc w:val="center"/>
              <w:rPr>
                <w:rFonts w:ascii="Arial" w:hAnsi="Arial"/>
                <w:sz w:val="20"/>
              </w:rPr>
            </w:pPr>
          </w:p>
        </w:tc>
        <w:tc>
          <w:tcPr>
            <w:tcW w:w="629" w:type="pct"/>
            <w:shd w:val="clear" w:color="auto" w:fill="00B050"/>
          </w:tcPr>
          <w:p w14:paraId="309111CA"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FF0000"/>
          </w:tcPr>
          <w:p w14:paraId="486448A0"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00B050"/>
          </w:tcPr>
          <w:p w14:paraId="4A42FE96" w14:textId="77777777" w:rsidR="0067172A" w:rsidRPr="00CB3833" w:rsidRDefault="0067172A" w:rsidP="00615434">
            <w:pPr>
              <w:pStyle w:val="bodycopy"/>
              <w:spacing w:before="60" w:after="60"/>
              <w:jc w:val="center"/>
              <w:rPr>
                <w:rFonts w:ascii="Arial" w:hAnsi="Arial"/>
                <w:sz w:val="20"/>
              </w:rPr>
            </w:pPr>
          </w:p>
        </w:tc>
      </w:tr>
      <w:tr w:rsidR="0067172A" w:rsidRPr="00CB3833" w14:paraId="6A0CE362" w14:textId="77777777" w:rsidTr="00615434">
        <w:tc>
          <w:tcPr>
            <w:tcW w:w="551" w:type="pct"/>
            <w:shd w:val="clear" w:color="auto" w:fill="auto"/>
          </w:tcPr>
          <w:p w14:paraId="7C5B36FA" w14:textId="77777777" w:rsidR="0067172A" w:rsidRPr="00CB3833" w:rsidRDefault="0067172A" w:rsidP="00615434">
            <w:pPr>
              <w:pStyle w:val="bodycopy"/>
              <w:spacing w:before="60" w:after="60"/>
              <w:rPr>
                <w:rFonts w:ascii="Arial" w:hAnsi="Arial"/>
                <w:sz w:val="20"/>
              </w:rPr>
            </w:pPr>
            <w:r w:rsidRPr="00CB3833">
              <w:rPr>
                <w:rFonts w:ascii="Arial" w:hAnsi="Arial"/>
                <w:sz w:val="20"/>
              </w:rPr>
              <w:t>2015/16</w:t>
            </w:r>
          </w:p>
        </w:tc>
        <w:tc>
          <w:tcPr>
            <w:tcW w:w="557" w:type="pct"/>
            <w:shd w:val="clear" w:color="auto" w:fill="auto"/>
          </w:tcPr>
          <w:p w14:paraId="52591685" w14:textId="77777777" w:rsidR="0067172A" w:rsidRPr="00CB3833" w:rsidRDefault="0067172A" w:rsidP="00615434">
            <w:pPr>
              <w:pStyle w:val="bodycopy"/>
              <w:spacing w:before="60" w:after="60"/>
              <w:rPr>
                <w:rFonts w:ascii="Arial" w:hAnsi="Arial"/>
                <w:sz w:val="20"/>
              </w:rPr>
            </w:pPr>
            <w:r w:rsidRPr="00CB3833">
              <w:rPr>
                <w:rFonts w:ascii="Arial" w:hAnsi="Arial"/>
                <w:sz w:val="20"/>
              </w:rPr>
              <w:t>ID</w:t>
            </w:r>
          </w:p>
        </w:tc>
        <w:tc>
          <w:tcPr>
            <w:tcW w:w="645" w:type="pct"/>
            <w:shd w:val="clear" w:color="auto" w:fill="00B050"/>
          </w:tcPr>
          <w:p w14:paraId="3EC1D657" w14:textId="77777777" w:rsidR="0067172A" w:rsidRPr="00CB3833" w:rsidRDefault="0067172A" w:rsidP="00615434">
            <w:pPr>
              <w:pStyle w:val="bodycopy"/>
              <w:spacing w:before="60" w:after="60"/>
              <w:jc w:val="center"/>
              <w:rPr>
                <w:rFonts w:ascii="Arial" w:hAnsi="Arial"/>
                <w:sz w:val="20"/>
              </w:rPr>
            </w:pPr>
          </w:p>
        </w:tc>
        <w:tc>
          <w:tcPr>
            <w:tcW w:w="681" w:type="pct"/>
            <w:gridSpan w:val="2"/>
            <w:shd w:val="clear" w:color="auto" w:fill="00B050"/>
          </w:tcPr>
          <w:p w14:paraId="2D48A245" w14:textId="77777777" w:rsidR="0067172A" w:rsidRPr="00CB3833" w:rsidRDefault="0067172A" w:rsidP="00615434">
            <w:pPr>
              <w:pStyle w:val="bodycopy"/>
              <w:spacing w:before="60" w:after="60"/>
              <w:jc w:val="center"/>
              <w:rPr>
                <w:rFonts w:ascii="Arial" w:hAnsi="Arial"/>
                <w:sz w:val="20"/>
              </w:rPr>
            </w:pPr>
          </w:p>
        </w:tc>
        <w:tc>
          <w:tcPr>
            <w:tcW w:w="628" w:type="pct"/>
            <w:shd w:val="clear" w:color="auto" w:fill="00B050"/>
          </w:tcPr>
          <w:p w14:paraId="568602AA" w14:textId="77777777" w:rsidR="0067172A" w:rsidRPr="00CB3833" w:rsidRDefault="0067172A" w:rsidP="00615434">
            <w:pPr>
              <w:pStyle w:val="bodycopy"/>
              <w:spacing w:before="60" w:after="60"/>
              <w:jc w:val="center"/>
              <w:rPr>
                <w:rFonts w:ascii="Arial" w:hAnsi="Arial"/>
                <w:sz w:val="20"/>
              </w:rPr>
            </w:pPr>
          </w:p>
        </w:tc>
        <w:tc>
          <w:tcPr>
            <w:tcW w:w="629" w:type="pct"/>
            <w:shd w:val="clear" w:color="auto" w:fill="00B050"/>
          </w:tcPr>
          <w:p w14:paraId="6E21062D"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FF0000"/>
          </w:tcPr>
          <w:p w14:paraId="03F6E510" w14:textId="77777777" w:rsidR="0067172A" w:rsidRPr="00CB3833" w:rsidRDefault="0067172A" w:rsidP="00615434">
            <w:pPr>
              <w:pStyle w:val="bodycopy"/>
              <w:spacing w:before="60" w:after="60"/>
              <w:jc w:val="center"/>
              <w:rPr>
                <w:rFonts w:ascii="Arial" w:hAnsi="Arial"/>
                <w:sz w:val="20"/>
              </w:rPr>
            </w:pPr>
          </w:p>
        </w:tc>
        <w:tc>
          <w:tcPr>
            <w:tcW w:w="654" w:type="pct"/>
            <w:shd w:val="clear" w:color="auto" w:fill="00B050"/>
          </w:tcPr>
          <w:p w14:paraId="31BE3BE7" w14:textId="77777777" w:rsidR="0067172A" w:rsidRPr="00CB3833" w:rsidRDefault="0067172A" w:rsidP="00615434">
            <w:pPr>
              <w:pStyle w:val="bodycopy"/>
              <w:spacing w:before="60" w:after="60"/>
              <w:jc w:val="center"/>
              <w:rPr>
                <w:rFonts w:ascii="Arial" w:hAnsi="Arial"/>
                <w:sz w:val="20"/>
              </w:rPr>
            </w:pPr>
          </w:p>
        </w:tc>
      </w:tr>
    </w:tbl>
    <w:p w14:paraId="0B7C17F9" w14:textId="71A295F7" w:rsidR="0067172A" w:rsidRDefault="0067172A" w:rsidP="00615434">
      <w:pPr>
        <w:pStyle w:val="bodycopy"/>
        <w:spacing w:before="60"/>
        <w:rPr>
          <w:rFonts w:ascii="Arial" w:hAnsi="Arial"/>
          <w:i/>
          <w:sz w:val="16"/>
          <w:szCs w:val="16"/>
        </w:rPr>
      </w:pPr>
      <w:r w:rsidRPr="00DB33DD">
        <w:rPr>
          <w:rFonts w:ascii="Arial" w:hAnsi="Arial"/>
          <w:i/>
          <w:sz w:val="16"/>
          <w:szCs w:val="16"/>
        </w:rPr>
        <w:t xml:space="preserve">ID = Insufficient data to report (where there are fewer than 5 licence holders, </w:t>
      </w:r>
      <w:r w:rsidR="009D0068">
        <w:rPr>
          <w:rFonts w:ascii="Arial" w:hAnsi="Arial"/>
          <w:i/>
          <w:sz w:val="16"/>
          <w:szCs w:val="16"/>
        </w:rPr>
        <w:t>VFA</w:t>
      </w:r>
      <w:r w:rsidRPr="00DB33DD">
        <w:rPr>
          <w:rFonts w:ascii="Arial" w:hAnsi="Arial"/>
          <w:i/>
          <w:sz w:val="16"/>
          <w:szCs w:val="16"/>
        </w:rPr>
        <w:t xml:space="preserve"> policy is that data is not publicly released in order to protect confidentiality). </w:t>
      </w:r>
    </w:p>
    <w:p w14:paraId="268188C0" w14:textId="77777777" w:rsidR="004A5246" w:rsidRPr="00DB33DD" w:rsidRDefault="004A5246" w:rsidP="004A5246">
      <w:pPr>
        <w:pStyle w:val="bodycopy"/>
        <w:spacing w:before="60"/>
        <w:rPr>
          <w:rFonts w:ascii="Arial" w:hAnsi="Arial"/>
          <w:i/>
          <w:sz w:val="16"/>
          <w:szCs w:val="16"/>
        </w:rPr>
      </w:pPr>
      <w:r>
        <w:rPr>
          <w:rFonts w:ascii="Arial" w:hAnsi="Arial"/>
          <w:i/>
          <w:sz w:val="16"/>
          <w:szCs w:val="16"/>
        </w:rPr>
        <w:t>Green cells = catch recorded, red cells = no catch recorded.</w:t>
      </w:r>
      <w:r w:rsidRPr="00DB33DD">
        <w:rPr>
          <w:rFonts w:ascii="Arial" w:hAnsi="Arial"/>
          <w:i/>
          <w:sz w:val="16"/>
          <w:szCs w:val="16"/>
        </w:rPr>
        <w:t xml:space="preserve"> </w:t>
      </w:r>
    </w:p>
    <w:p w14:paraId="32B0581E" w14:textId="77777777" w:rsidR="0067172A" w:rsidRDefault="0067172A" w:rsidP="0067172A">
      <w:pPr>
        <w:pStyle w:val="bodycopy"/>
        <w:rPr>
          <w:rFonts w:ascii="Arial" w:hAnsi="Arial"/>
          <w:sz w:val="22"/>
          <w:szCs w:val="22"/>
        </w:rPr>
      </w:pPr>
    </w:p>
    <w:p w14:paraId="32313444" w14:textId="40DE1373" w:rsidR="0067172A" w:rsidRPr="00CB3833" w:rsidRDefault="0067172A" w:rsidP="0067172A">
      <w:pPr>
        <w:pStyle w:val="bodycopy"/>
        <w:rPr>
          <w:rFonts w:ascii="Arial" w:hAnsi="Arial"/>
          <w:sz w:val="22"/>
          <w:szCs w:val="22"/>
        </w:rPr>
      </w:pPr>
      <w:r w:rsidRPr="008B4D54">
        <w:rPr>
          <w:rFonts w:ascii="Arial" w:hAnsi="Arial"/>
          <w:sz w:val="22"/>
          <w:szCs w:val="22"/>
        </w:rPr>
        <w:t>Table 5.</w:t>
      </w:r>
      <w:r w:rsidR="000A17AA" w:rsidRPr="008B4D54">
        <w:rPr>
          <w:rFonts w:ascii="Arial" w:hAnsi="Arial"/>
          <w:sz w:val="22"/>
          <w:szCs w:val="22"/>
        </w:rPr>
        <w:t>1</w:t>
      </w:r>
      <w:r w:rsidR="00ED2C2F" w:rsidRPr="008B4D54">
        <w:rPr>
          <w:rFonts w:ascii="Arial" w:hAnsi="Arial"/>
          <w:sz w:val="22"/>
          <w:szCs w:val="22"/>
        </w:rPr>
        <w:t>5</w:t>
      </w:r>
      <w:r w:rsidRPr="00ED2C2F">
        <w:rPr>
          <w:rFonts w:ascii="Arial" w:hAnsi="Arial"/>
          <w:color w:val="FF0000"/>
          <w:sz w:val="22"/>
          <w:szCs w:val="22"/>
        </w:rPr>
        <w:t xml:space="preserve"> </w:t>
      </w:r>
      <w:r w:rsidRPr="00CC2278">
        <w:rPr>
          <w:rFonts w:ascii="Arial" w:hAnsi="Arial"/>
          <w:sz w:val="22"/>
          <w:szCs w:val="22"/>
        </w:rPr>
        <w:t>summarises</w:t>
      </w:r>
      <w:r w:rsidRPr="00CB3833">
        <w:rPr>
          <w:rFonts w:ascii="Arial" w:hAnsi="Arial"/>
          <w:sz w:val="22"/>
          <w:szCs w:val="22"/>
        </w:rPr>
        <w:t xml:space="preserve"> the key facts and figures </w:t>
      </w:r>
      <w:r>
        <w:rPr>
          <w:rFonts w:ascii="Arial" w:hAnsi="Arial"/>
          <w:sz w:val="22"/>
          <w:szCs w:val="22"/>
        </w:rPr>
        <w:t>for</w:t>
      </w:r>
      <w:r w:rsidRPr="00CB3833">
        <w:rPr>
          <w:rFonts w:ascii="Arial" w:hAnsi="Arial"/>
          <w:sz w:val="22"/>
          <w:szCs w:val="22"/>
        </w:rPr>
        <w:t xml:space="preserve"> each for the Victorian fisheries </w:t>
      </w:r>
      <w:r>
        <w:rPr>
          <w:rFonts w:ascii="Arial" w:hAnsi="Arial"/>
          <w:sz w:val="22"/>
          <w:szCs w:val="22"/>
        </w:rPr>
        <w:t xml:space="preserve">licensed to fish </w:t>
      </w:r>
      <w:r w:rsidRPr="00CB3833">
        <w:rPr>
          <w:rFonts w:ascii="Arial" w:hAnsi="Arial"/>
          <w:sz w:val="22"/>
          <w:szCs w:val="22"/>
        </w:rPr>
        <w:t>within the EMBA</w:t>
      </w:r>
      <w:r>
        <w:rPr>
          <w:rFonts w:ascii="Arial" w:hAnsi="Arial"/>
          <w:sz w:val="22"/>
          <w:szCs w:val="22"/>
        </w:rPr>
        <w:t>.</w:t>
      </w:r>
      <w:r w:rsidR="00356421">
        <w:rPr>
          <w:rFonts w:ascii="Arial" w:hAnsi="Arial"/>
          <w:sz w:val="22"/>
          <w:szCs w:val="22"/>
        </w:rPr>
        <w:t xml:space="preserve"> </w:t>
      </w:r>
    </w:p>
    <w:p w14:paraId="0B6ADE02" w14:textId="77777777" w:rsidR="0067172A" w:rsidRPr="00D632AC" w:rsidRDefault="0067172A" w:rsidP="00C93FF6">
      <w:pPr>
        <w:pStyle w:val="TableHeader"/>
        <w:spacing w:after="240"/>
        <w:jc w:val="center"/>
        <w:rPr>
          <w:rFonts w:ascii="Tahoma" w:hAnsi="Tahoma" w:cs="Tahoma"/>
          <w:sz w:val="18"/>
          <w:szCs w:val="18"/>
        </w:rPr>
        <w:sectPr w:rsidR="0067172A" w:rsidRPr="00D632AC" w:rsidSect="00AF68E7">
          <w:headerReference w:type="even" r:id="rId195"/>
          <w:headerReference w:type="default" r:id="rId196"/>
          <w:footerReference w:type="default" r:id="rId197"/>
          <w:headerReference w:type="first" r:id="rId198"/>
          <w:pgSz w:w="11906" w:h="16838" w:code="9"/>
          <w:pgMar w:top="1560" w:right="1800" w:bottom="1440" w:left="1800" w:header="994" w:footer="706" w:gutter="0"/>
          <w:cols w:space="708"/>
          <w:docGrid w:linePitch="360"/>
        </w:sectPr>
      </w:pPr>
    </w:p>
    <w:p w14:paraId="2D037D3D" w14:textId="229CEC95" w:rsidR="00125AA5" w:rsidRPr="000A17AA" w:rsidRDefault="00125AA5" w:rsidP="000A17AA">
      <w:pPr>
        <w:pStyle w:val="Tableheading-small"/>
        <w:spacing w:before="0" w:after="120"/>
        <w:ind w:firstLine="851"/>
        <w:jc w:val="center"/>
        <w:rPr>
          <w:sz w:val="20"/>
          <w:szCs w:val="20"/>
          <w:lang w:val="en-GB" w:eastAsia="en-AU"/>
        </w:rPr>
      </w:pPr>
      <w:r w:rsidRPr="000A17AA">
        <w:rPr>
          <w:sz w:val="20"/>
          <w:szCs w:val="20"/>
        </w:rPr>
        <w:lastRenderedPageBreak/>
        <w:t>Table 5.</w:t>
      </w:r>
      <w:r w:rsidR="000A17AA" w:rsidRPr="000A17AA">
        <w:rPr>
          <w:sz w:val="20"/>
          <w:szCs w:val="20"/>
        </w:rPr>
        <w:t>1</w:t>
      </w:r>
      <w:r w:rsidR="00ED2C2F">
        <w:rPr>
          <w:sz w:val="20"/>
          <w:szCs w:val="20"/>
        </w:rPr>
        <w:t>5</w:t>
      </w:r>
      <w:r w:rsidRPr="000A17AA">
        <w:rPr>
          <w:sz w:val="20"/>
          <w:szCs w:val="20"/>
        </w:rPr>
        <w:t>.</w:t>
      </w:r>
      <w:r w:rsidRPr="000A17AA">
        <w:rPr>
          <w:sz w:val="20"/>
          <w:szCs w:val="20"/>
        </w:rPr>
        <w:tab/>
        <w:t>Victorian-managed c</w:t>
      </w:r>
      <w:r w:rsidRPr="000A17AA">
        <w:rPr>
          <w:sz w:val="20"/>
          <w:szCs w:val="20"/>
          <w:lang w:val="en-GB" w:eastAsia="en-AU"/>
        </w:rPr>
        <w:t xml:space="preserve">ommercial fisheries with jurisdictions to fish </w:t>
      </w:r>
      <w:r w:rsidR="000A17AA">
        <w:rPr>
          <w:sz w:val="20"/>
          <w:szCs w:val="20"/>
          <w:lang w:val="en-GB" w:eastAsia="en-AU"/>
        </w:rPr>
        <w:t>with</w:t>
      </w:r>
      <w:r w:rsidRPr="000A17AA">
        <w:rPr>
          <w:sz w:val="20"/>
          <w:szCs w:val="20"/>
          <w:lang w:val="en-GB" w:eastAsia="en-AU"/>
        </w:rPr>
        <w:t xml:space="preserve">in </w:t>
      </w:r>
      <w:r w:rsidR="000A17AA">
        <w:rPr>
          <w:sz w:val="20"/>
          <w:szCs w:val="20"/>
          <w:lang w:val="en-GB" w:eastAsia="en-AU"/>
        </w:rPr>
        <w:t>the</w:t>
      </w:r>
      <w:r w:rsidRPr="000A17AA">
        <w:rPr>
          <w:sz w:val="20"/>
          <w:szCs w:val="20"/>
          <w:lang w:val="en-GB" w:eastAsia="en-AU"/>
        </w:rPr>
        <w:t xml:space="preserve"> EMBA</w:t>
      </w:r>
    </w:p>
    <w:tbl>
      <w:tblPr>
        <w:tblW w:w="14034" w:type="dxa"/>
        <w:tblInd w:w="-601" w:type="dxa"/>
        <w:tblBorders>
          <w:top w:val="nil"/>
          <w:left w:val="nil"/>
          <w:bottom w:val="nil"/>
          <w:right w:val="nil"/>
        </w:tblBorders>
        <w:tblLayout w:type="fixed"/>
        <w:tblLook w:val="0000" w:firstRow="0" w:lastRow="0" w:firstColumn="0" w:lastColumn="0" w:noHBand="0" w:noVBand="0"/>
      </w:tblPr>
      <w:tblGrid>
        <w:gridCol w:w="1560"/>
        <w:gridCol w:w="1559"/>
        <w:gridCol w:w="2126"/>
        <w:gridCol w:w="1985"/>
        <w:gridCol w:w="1843"/>
        <w:gridCol w:w="2693"/>
        <w:gridCol w:w="2268"/>
      </w:tblGrid>
      <w:tr w:rsidR="00125AA5" w:rsidRPr="00CB3833" w14:paraId="49D7A63A" w14:textId="77777777" w:rsidTr="00462B66">
        <w:trPr>
          <w:cantSplit/>
          <w:trHeight w:val="375"/>
          <w:tblHeader/>
        </w:trPr>
        <w:tc>
          <w:tcPr>
            <w:tcW w:w="1560" w:type="dxa"/>
            <w:tcBorders>
              <w:top w:val="single" w:sz="6" w:space="0" w:color="000000"/>
              <w:left w:val="single" w:sz="6" w:space="0" w:color="000000"/>
              <w:right w:val="single" w:sz="6" w:space="0" w:color="000000"/>
            </w:tcBorders>
            <w:shd w:val="clear" w:color="auto" w:fill="064EA8"/>
          </w:tcPr>
          <w:p w14:paraId="63821FA5" w14:textId="10B36167" w:rsidR="00125AA5" w:rsidRPr="00CB3833" w:rsidRDefault="00125AA5" w:rsidP="00202269">
            <w:pPr>
              <w:pStyle w:val="Tableheading"/>
              <w:rPr>
                <w:rFonts w:eastAsia="Calibri" w:cs="Arial"/>
                <w:b w:val="0"/>
                <w:color w:val="FFFFFF" w:themeColor="background1"/>
                <w:szCs w:val="18"/>
              </w:rPr>
            </w:pPr>
            <w:r w:rsidRPr="00CB3833">
              <w:rPr>
                <w:rFonts w:eastAsia="Calibri" w:cs="Arial"/>
                <w:b w:val="0"/>
                <w:color w:val="FFFFFF" w:themeColor="background1"/>
                <w:szCs w:val="18"/>
              </w:rPr>
              <w:t xml:space="preserve">Fishery </w:t>
            </w:r>
          </w:p>
        </w:tc>
        <w:tc>
          <w:tcPr>
            <w:tcW w:w="1559" w:type="dxa"/>
            <w:tcBorders>
              <w:top w:val="single" w:sz="6" w:space="0" w:color="000000"/>
              <w:left w:val="single" w:sz="6" w:space="0" w:color="000000"/>
              <w:right w:val="single" w:sz="6" w:space="0" w:color="000000"/>
            </w:tcBorders>
            <w:shd w:val="clear" w:color="auto" w:fill="064EA8"/>
          </w:tcPr>
          <w:p w14:paraId="1204E877" w14:textId="77777777" w:rsidR="00125AA5" w:rsidRPr="00CB3833" w:rsidRDefault="00125AA5" w:rsidP="000C6E0C">
            <w:pPr>
              <w:pStyle w:val="Tableheading"/>
              <w:rPr>
                <w:rFonts w:eastAsia="Calibri" w:cs="Arial"/>
                <w:b w:val="0"/>
                <w:color w:val="FFFFFF" w:themeColor="background1"/>
                <w:szCs w:val="18"/>
              </w:rPr>
            </w:pPr>
            <w:r w:rsidRPr="00CB3833">
              <w:rPr>
                <w:rFonts w:eastAsia="Calibri" w:cs="Arial"/>
                <w:b w:val="0"/>
                <w:color w:val="FFFFFF" w:themeColor="background1"/>
                <w:szCs w:val="18"/>
              </w:rPr>
              <w:t>Target species</w:t>
            </w:r>
          </w:p>
        </w:tc>
        <w:tc>
          <w:tcPr>
            <w:tcW w:w="2126" w:type="dxa"/>
            <w:tcBorders>
              <w:top w:val="single" w:sz="6" w:space="0" w:color="000000"/>
              <w:left w:val="single" w:sz="6" w:space="0" w:color="000000"/>
              <w:right w:val="single" w:sz="6" w:space="0" w:color="000000"/>
            </w:tcBorders>
            <w:shd w:val="clear" w:color="auto" w:fill="064EA8"/>
          </w:tcPr>
          <w:p w14:paraId="6156E9CE" w14:textId="77777777" w:rsidR="00125AA5" w:rsidRPr="00CB3833" w:rsidRDefault="00125AA5" w:rsidP="000C6E0C">
            <w:pPr>
              <w:pStyle w:val="Tableheading"/>
              <w:rPr>
                <w:rFonts w:eastAsia="Calibri" w:cs="Arial"/>
                <w:b w:val="0"/>
                <w:color w:val="FFFFFF" w:themeColor="background1"/>
                <w:szCs w:val="18"/>
              </w:rPr>
            </w:pPr>
            <w:r w:rsidRPr="00CB3833">
              <w:rPr>
                <w:rFonts w:eastAsia="Calibri" w:cs="Arial"/>
                <w:b w:val="0"/>
                <w:color w:val="FFFFFF" w:themeColor="background1"/>
                <w:szCs w:val="18"/>
              </w:rPr>
              <w:t>Geographic extent of fishery</w:t>
            </w:r>
          </w:p>
        </w:tc>
        <w:tc>
          <w:tcPr>
            <w:tcW w:w="1985" w:type="dxa"/>
            <w:tcBorders>
              <w:top w:val="single" w:sz="6" w:space="0" w:color="000000"/>
              <w:left w:val="single" w:sz="6" w:space="0" w:color="000000"/>
              <w:bottom w:val="single" w:sz="6" w:space="0" w:color="000000"/>
              <w:right w:val="single" w:sz="6" w:space="0" w:color="000000"/>
            </w:tcBorders>
            <w:shd w:val="clear" w:color="auto" w:fill="064EA8"/>
          </w:tcPr>
          <w:p w14:paraId="5E54761A" w14:textId="77777777" w:rsidR="00125AA5" w:rsidRPr="00CB3833" w:rsidRDefault="00125AA5" w:rsidP="000C6E0C">
            <w:pPr>
              <w:pStyle w:val="Tableheading"/>
              <w:rPr>
                <w:rFonts w:eastAsia="Calibri" w:cs="Arial"/>
                <w:b w:val="0"/>
                <w:color w:val="FFFFFF" w:themeColor="background1"/>
                <w:szCs w:val="18"/>
              </w:rPr>
            </w:pPr>
            <w:r w:rsidRPr="00CB3833">
              <w:rPr>
                <w:rFonts w:eastAsia="Calibri" w:cs="Arial"/>
                <w:b w:val="0"/>
                <w:color w:val="FFFFFF" w:themeColor="background1"/>
                <w:szCs w:val="18"/>
              </w:rPr>
              <w:t>Does fishing activity intersect acquisition area or EMBA?</w:t>
            </w:r>
          </w:p>
        </w:tc>
        <w:tc>
          <w:tcPr>
            <w:tcW w:w="1843" w:type="dxa"/>
            <w:tcBorders>
              <w:top w:val="single" w:sz="6" w:space="0" w:color="000000"/>
              <w:left w:val="single" w:sz="6" w:space="0" w:color="000000"/>
              <w:bottom w:val="single" w:sz="6" w:space="0" w:color="000000"/>
              <w:right w:val="single" w:sz="6" w:space="0" w:color="000000"/>
            </w:tcBorders>
            <w:shd w:val="clear" w:color="auto" w:fill="064EA8"/>
          </w:tcPr>
          <w:p w14:paraId="69439D5B" w14:textId="77777777" w:rsidR="00125AA5" w:rsidRPr="00CB3833" w:rsidRDefault="00125AA5" w:rsidP="000C6E0C">
            <w:pPr>
              <w:pStyle w:val="Tableheading"/>
              <w:rPr>
                <w:rFonts w:eastAsia="Calibri" w:cs="Arial"/>
                <w:b w:val="0"/>
                <w:color w:val="FFFFFF" w:themeColor="background1"/>
                <w:szCs w:val="18"/>
              </w:rPr>
            </w:pPr>
            <w:r w:rsidRPr="00CB3833">
              <w:rPr>
                <w:rFonts w:eastAsia="Calibri" w:cs="Arial"/>
                <w:b w:val="0"/>
                <w:color w:val="FFFFFF" w:themeColor="background1"/>
                <w:szCs w:val="18"/>
              </w:rPr>
              <w:t>Fishing season</w:t>
            </w:r>
          </w:p>
        </w:tc>
        <w:tc>
          <w:tcPr>
            <w:tcW w:w="2693" w:type="dxa"/>
            <w:tcBorders>
              <w:top w:val="single" w:sz="6" w:space="0" w:color="000000"/>
              <w:left w:val="single" w:sz="6" w:space="0" w:color="000000"/>
              <w:bottom w:val="single" w:sz="6" w:space="0" w:color="000000"/>
              <w:right w:val="single" w:sz="6" w:space="0" w:color="000000"/>
            </w:tcBorders>
            <w:shd w:val="clear" w:color="auto" w:fill="064EA8"/>
          </w:tcPr>
          <w:p w14:paraId="61F8AB0F" w14:textId="77777777" w:rsidR="00125AA5" w:rsidRPr="00CB3833" w:rsidRDefault="00125AA5" w:rsidP="000C6E0C">
            <w:pPr>
              <w:pStyle w:val="Tableheading"/>
              <w:rPr>
                <w:rFonts w:eastAsia="Calibri" w:cs="Arial"/>
                <w:b w:val="0"/>
                <w:color w:val="FFFFFF" w:themeColor="background1"/>
                <w:szCs w:val="18"/>
              </w:rPr>
            </w:pPr>
            <w:r w:rsidRPr="00CB3833">
              <w:rPr>
                <w:rFonts w:eastAsia="Calibri" w:cs="Arial"/>
                <w:b w:val="0"/>
                <w:color w:val="FFFFFF" w:themeColor="background1"/>
                <w:szCs w:val="18"/>
              </w:rPr>
              <w:t>Fishing methods, vessels and licences</w:t>
            </w:r>
          </w:p>
        </w:tc>
        <w:tc>
          <w:tcPr>
            <w:tcW w:w="2268" w:type="dxa"/>
            <w:tcBorders>
              <w:top w:val="single" w:sz="6" w:space="0" w:color="000000"/>
              <w:left w:val="single" w:sz="6" w:space="0" w:color="000000"/>
              <w:right w:val="single" w:sz="6" w:space="0" w:color="000000"/>
            </w:tcBorders>
            <w:shd w:val="clear" w:color="auto" w:fill="064EA8"/>
          </w:tcPr>
          <w:p w14:paraId="1BC75A15" w14:textId="77777777" w:rsidR="00125AA5" w:rsidRPr="00CB3833" w:rsidRDefault="00125AA5" w:rsidP="000C6E0C">
            <w:pPr>
              <w:pStyle w:val="Tableheading"/>
              <w:rPr>
                <w:rFonts w:eastAsia="Calibri" w:cs="Arial"/>
                <w:b w:val="0"/>
                <w:color w:val="FFFFFF" w:themeColor="background1"/>
                <w:szCs w:val="18"/>
              </w:rPr>
            </w:pPr>
            <w:r w:rsidRPr="00CB3833">
              <w:rPr>
                <w:rFonts w:eastAsia="Calibri" w:cs="Arial"/>
                <w:b w:val="0"/>
                <w:color w:val="FFFFFF" w:themeColor="background1"/>
                <w:szCs w:val="18"/>
              </w:rPr>
              <w:t>Catch data and other information</w:t>
            </w:r>
          </w:p>
        </w:tc>
      </w:tr>
      <w:tr w:rsidR="00125AA5" w:rsidRPr="00CB3833" w14:paraId="42262426" w14:textId="77777777" w:rsidTr="00462B66">
        <w:trPr>
          <w:cantSplit/>
          <w:trHeight w:val="414"/>
        </w:trPr>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7110EDA9" w14:textId="77777777" w:rsidR="00125AA5" w:rsidRPr="008B4D54" w:rsidRDefault="00125AA5" w:rsidP="000C6E0C">
            <w:pPr>
              <w:pStyle w:val="TableTextform"/>
              <w:rPr>
                <w:rFonts w:cs="Arial"/>
                <w:color w:val="auto"/>
                <w:sz w:val="18"/>
                <w:szCs w:val="18"/>
              </w:rPr>
            </w:pPr>
            <w:r w:rsidRPr="00CB3833">
              <w:rPr>
                <w:rFonts w:cs="Arial"/>
                <w:sz w:val="18"/>
                <w:szCs w:val="18"/>
              </w:rPr>
              <w:t>Bass Strait Scallop Fishery (</w:t>
            </w:r>
            <w:r w:rsidRPr="008B4D54">
              <w:rPr>
                <w:rFonts w:cs="Arial"/>
                <w:color w:val="auto"/>
                <w:sz w:val="18"/>
                <w:szCs w:val="18"/>
              </w:rPr>
              <w:t>Victorian zone)</w:t>
            </w:r>
          </w:p>
          <w:p w14:paraId="317A707F" w14:textId="792CE6BE" w:rsidR="000C6E0C" w:rsidRPr="008B4D54" w:rsidRDefault="000C6E0C" w:rsidP="000C6E0C">
            <w:pPr>
              <w:pStyle w:val="TableTextform"/>
              <w:rPr>
                <w:rFonts w:cs="Arial"/>
                <w:color w:val="auto"/>
                <w:sz w:val="18"/>
                <w:szCs w:val="18"/>
              </w:rPr>
            </w:pPr>
            <w:r w:rsidRPr="008B4D54">
              <w:rPr>
                <w:rFonts w:cs="Arial"/>
                <w:color w:val="auto"/>
                <w:sz w:val="18"/>
                <w:szCs w:val="18"/>
              </w:rPr>
              <w:t>(</w:t>
            </w:r>
            <w:r w:rsidR="00C96320" w:rsidRPr="008B4D54">
              <w:rPr>
                <w:rFonts w:cs="Arial"/>
                <w:color w:val="auto"/>
                <w:sz w:val="18"/>
                <w:szCs w:val="18"/>
              </w:rPr>
              <w:t>Figure 5.31</w:t>
            </w:r>
            <w:r w:rsidRPr="008B4D54">
              <w:rPr>
                <w:rFonts w:cs="Arial"/>
                <w:color w:val="auto"/>
                <w:sz w:val="18"/>
                <w:szCs w:val="18"/>
              </w:rPr>
              <w:t>)</w:t>
            </w:r>
          </w:p>
          <w:p w14:paraId="496A3D8C" w14:textId="77777777" w:rsidR="008D7807" w:rsidRDefault="008D7807" w:rsidP="000C6E0C">
            <w:pPr>
              <w:pStyle w:val="TableTextform"/>
              <w:rPr>
                <w:rFonts w:cs="Arial"/>
                <w:sz w:val="18"/>
                <w:szCs w:val="18"/>
              </w:rPr>
            </w:pPr>
          </w:p>
          <w:p w14:paraId="413A749B" w14:textId="77777777" w:rsidR="00125AA5" w:rsidRPr="00CB3833" w:rsidRDefault="00125AA5" w:rsidP="000C6E0C">
            <w:pPr>
              <w:pStyle w:val="TableTextform"/>
              <w:rPr>
                <w:rFonts w:cs="Arial"/>
                <w:sz w:val="18"/>
                <w:szCs w:val="18"/>
              </w:rPr>
            </w:pPr>
          </w:p>
          <w:p w14:paraId="3A4A9706" w14:textId="66D83D45" w:rsidR="00125AA5" w:rsidRPr="00CB3833" w:rsidRDefault="00125AA5" w:rsidP="000C6E0C">
            <w:pPr>
              <w:pStyle w:val="TableTextform"/>
              <w:rPr>
                <w:rFonts w:cs="Arial"/>
                <w:sz w:val="18"/>
                <w:szCs w:val="18"/>
                <w:highlight w:val="yellow"/>
              </w:rPr>
            </w:pPr>
          </w:p>
        </w:tc>
        <w:tc>
          <w:tcPr>
            <w:tcW w:w="1559" w:type="dxa"/>
            <w:tcBorders>
              <w:top w:val="single" w:sz="5" w:space="0" w:color="000000"/>
              <w:left w:val="single" w:sz="5" w:space="0" w:color="000000"/>
              <w:bottom w:val="single" w:sz="5" w:space="0" w:color="000000"/>
              <w:right w:val="single" w:sz="5" w:space="0" w:color="000000"/>
            </w:tcBorders>
            <w:shd w:val="clear" w:color="auto" w:fill="auto"/>
          </w:tcPr>
          <w:p w14:paraId="5A909612" w14:textId="77777777" w:rsidR="00125AA5" w:rsidRPr="00CB3833" w:rsidRDefault="00125AA5" w:rsidP="000C6E0C">
            <w:pPr>
              <w:pStyle w:val="TableTextform"/>
              <w:rPr>
                <w:rFonts w:cs="Arial"/>
                <w:sz w:val="18"/>
                <w:szCs w:val="18"/>
              </w:rPr>
            </w:pPr>
            <w:r w:rsidRPr="00CB3833">
              <w:rPr>
                <w:rFonts w:cs="Arial"/>
                <w:sz w:val="18"/>
                <w:szCs w:val="18"/>
              </w:rPr>
              <w:t>Commercial scallop (</w:t>
            </w:r>
            <w:r w:rsidRPr="00CB3833">
              <w:rPr>
                <w:rFonts w:cs="Arial"/>
                <w:bCs/>
                <w:i/>
                <w:iCs/>
                <w:sz w:val="18"/>
                <w:szCs w:val="18"/>
              </w:rPr>
              <w:t>Pecten fumatus</w:t>
            </w:r>
            <w:r w:rsidRPr="00CB3833">
              <w:rPr>
                <w:rFonts w:cs="Arial"/>
                <w:sz w:val="18"/>
                <w:szCs w:val="18"/>
              </w:rPr>
              <w:t>).</w:t>
            </w:r>
          </w:p>
          <w:p w14:paraId="77DA2905" w14:textId="77777777" w:rsidR="00125AA5" w:rsidRPr="00CB3833" w:rsidRDefault="00125AA5" w:rsidP="000C6E0C">
            <w:pPr>
              <w:pStyle w:val="TableTextform"/>
              <w:rPr>
                <w:rFonts w:cs="Arial"/>
                <w:sz w:val="18"/>
                <w:szCs w:val="18"/>
              </w:rPr>
            </w:pPr>
          </w:p>
        </w:tc>
        <w:tc>
          <w:tcPr>
            <w:tcW w:w="2126" w:type="dxa"/>
            <w:tcBorders>
              <w:top w:val="single" w:sz="5" w:space="0" w:color="000000"/>
              <w:left w:val="single" w:sz="5" w:space="0" w:color="000000"/>
              <w:bottom w:val="single" w:sz="5" w:space="0" w:color="000000"/>
              <w:right w:val="single" w:sz="5" w:space="0" w:color="000000"/>
            </w:tcBorders>
          </w:tcPr>
          <w:p w14:paraId="0764A805" w14:textId="77777777" w:rsidR="00125AA5" w:rsidRPr="00CB3833" w:rsidRDefault="00125AA5" w:rsidP="000C6E0C">
            <w:pPr>
              <w:pStyle w:val="TableTextform"/>
              <w:rPr>
                <w:rFonts w:eastAsia="MS Mincho" w:cs="Arial"/>
                <w:sz w:val="18"/>
                <w:szCs w:val="18"/>
              </w:rPr>
            </w:pPr>
            <w:r w:rsidRPr="00CB3833">
              <w:rPr>
                <w:rFonts w:eastAsia="MS Mincho" w:cs="Arial"/>
                <w:sz w:val="18"/>
                <w:szCs w:val="18"/>
              </w:rPr>
              <w:t>Extends 20 nm from the high tide water mark of the entire Victorian coastline (excluding bays and inlets where commercial scallop fishing is prohibited).</w:t>
            </w:r>
          </w:p>
          <w:p w14:paraId="59CF2071" w14:textId="77777777" w:rsidR="00125AA5" w:rsidRDefault="00125AA5" w:rsidP="000C6E0C">
            <w:pPr>
              <w:pStyle w:val="TableTextform"/>
              <w:rPr>
                <w:rFonts w:eastAsia="MS Mincho" w:cs="Arial"/>
                <w:sz w:val="18"/>
                <w:szCs w:val="18"/>
              </w:rPr>
            </w:pPr>
            <w:r w:rsidRPr="00CB3833">
              <w:rPr>
                <w:rFonts w:eastAsia="MS Mincho" w:cs="Arial"/>
                <w:sz w:val="18"/>
                <w:szCs w:val="18"/>
              </w:rPr>
              <w:t>Management of the Bass Strait Scallop fishery was split between the Commonwealth, Victoria and Tasmania in 1986 under an Offshore Constitutional Settlement, whereby Commonwealth central, Victorian and Tasmanian zones were created.</w:t>
            </w:r>
          </w:p>
          <w:p w14:paraId="3B8E7D64" w14:textId="4FB95CA7" w:rsidR="00C57711" w:rsidRPr="00CB3833" w:rsidRDefault="00C57711" w:rsidP="00C57711">
            <w:pPr>
              <w:pStyle w:val="TableTextform"/>
              <w:rPr>
                <w:rFonts w:cs="Arial"/>
                <w:sz w:val="18"/>
                <w:szCs w:val="18"/>
              </w:rPr>
            </w:pPr>
            <w:r>
              <w:rPr>
                <w:rFonts w:eastAsia="MS Mincho" w:cs="Arial"/>
                <w:sz w:val="18"/>
                <w:szCs w:val="18"/>
              </w:rPr>
              <w:t xml:space="preserve"> </w:t>
            </w:r>
          </w:p>
        </w:tc>
        <w:tc>
          <w:tcPr>
            <w:tcW w:w="1985" w:type="dxa"/>
            <w:tcBorders>
              <w:top w:val="single" w:sz="5" w:space="0" w:color="000000"/>
              <w:left w:val="single" w:sz="5" w:space="0" w:color="000000"/>
              <w:bottom w:val="single" w:sz="5" w:space="0" w:color="000000"/>
              <w:right w:val="single" w:sz="5" w:space="0" w:color="000000"/>
            </w:tcBorders>
          </w:tcPr>
          <w:p w14:paraId="646D3A4B" w14:textId="06DD2E9E" w:rsidR="00125AA5" w:rsidRPr="00CB3833" w:rsidRDefault="00125AA5" w:rsidP="000C6E0C">
            <w:pPr>
              <w:pStyle w:val="TableTextform"/>
              <w:rPr>
                <w:rFonts w:eastAsia="MS Mincho" w:cs="Arial"/>
                <w:b/>
                <w:color w:val="auto"/>
                <w:sz w:val="18"/>
                <w:szCs w:val="18"/>
              </w:rPr>
            </w:pPr>
            <w:r w:rsidRPr="00CB3833">
              <w:rPr>
                <w:rFonts w:eastAsia="MS Mincho" w:cs="Arial"/>
                <w:b/>
                <w:color w:val="auto"/>
                <w:sz w:val="18"/>
                <w:szCs w:val="18"/>
              </w:rPr>
              <w:t xml:space="preserve">Acquisition area – </w:t>
            </w:r>
            <w:r w:rsidRPr="00CB3833">
              <w:rPr>
                <w:rFonts w:eastAsia="MS Mincho" w:cs="Arial"/>
                <w:b/>
                <w:color w:val="00B050"/>
                <w:sz w:val="18"/>
                <w:szCs w:val="18"/>
              </w:rPr>
              <w:t>Yes</w:t>
            </w:r>
            <w:r w:rsidRPr="00CB3833">
              <w:rPr>
                <w:rFonts w:eastAsia="MS Mincho" w:cs="Arial"/>
                <w:color w:val="auto"/>
                <w:sz w:val="18"/>
                <w:szCs w:val="18"/>
              </w:rPr>
              <w:t xml:space="preserve">, based on </w:t>
            </w:r>
            <w:r w:rsidR="00BC43B5">
              <w:rPr>
                <w:rFonts w:eastAsia="MS Mincho" w:cs="Arial"/>
                <w:color w:val="auto"/>
                <w:sz w:val="18"/>
                <w:szCs w:val="18"/>
              </w:rPr>
              <w:t>VFA</w:t>
            </w:r>
            <w:r w:rsidRPr="00CB3833">
              <w:rPr>
                <w:rFonts w:eastAsia="MS Mincho" w:cs="Arial"/>
                <w:color w:val="auto"/>
                <w:sz w:val="18"/>
                <w:szCs w:val="18"/>
              </w:rPr>
              <w:t xml:space="preserve"> 2012-2016 catch data.</w:t>
            </w:r>
          </w:p>
          <w:p w14:paraId="51D79AEB" w14:textId="5CCBD1FD" w:rsidR="00125AA5" w:rsidRDefault="00125AA5" w:rsidP="000C6E0C">
            <w:pPr>
              <w:pStyle w:val="TableTextform"/>
              <w:rPr>
                <w:rFonts w:eastAsia="MS Mincho" w:cs="Arial"/>
                <w:color w:val="auto"/>
                <w:sz w:val="18"/>
                <w:szCs w:val="18"/>
              </w:rPr>
            </w:pPr>
            <w:r w:rsidRPr="00CB3833">
              <w:rPr>
                <w:rFonts w:eastAsia="MS Mincho" w:cs="Arial"/>
                <w:b/>
                <w:color w:val="auto"/>
                <w:sz w:val="18"/>
                <w:szCs w:val="18"/>
              </w:rPr>
              <w:t xml:space="preserve">Diesel spill EMBA – </w:t>
            </w:r>
            <w:r w:rsidRPr="00CB3833">
              <w:rPr>
                <w:rFonts w:eastAsia="MS Mincho" w:cs="Arial"/>
                <w:b/>
                <w:color w:val="00B050"/>
                <w:sz w:val="18"/>
                <w:szCs w:val="18"/>
              </w:rPr>
              <w:t>Yes</w:t>
            </w:r>
            <w:r w:rsidRPr="00CB3833">
              <w:rPr>
                <w:rFonts w:eastAsia="MS Mincho" w:cs="Arial"/>
                <w:color w:val="auto"/>
                <w:sz w:val="18"/>
                <w:szCs w:val="18"/>
              </w:rPr>
              <w:t xml:space="preserve">, based on </w:t>
            </w:r>
            <w:r w:rsidR="00BC43B5">
              <w:rPr>
                <w:rFonts w:eastAsia="MS Mincho" w:cs="Arial"/>
                <w:color w:val="auto"/>
                <w:sz w:val="18"/>
                <w:szCs w:val="18"/>
              </w:rPr>
              <w:t>VFA</w:t>
            </w:r>
            <w:r w:rsidRPr="00CB3833">
              <w:rPr>
                <w:rFonts w:eastAsia="MS Mincho" w:cs="Arial"/>
                <w:color w:val="auto"/>
                <w:sz w:val="18"/>
                <w:szCs w:val="18"/>
              </w:rPr>
              <w:t xml:space="preserve"> 2012-2016 catch data.</w:t>
            </w:r>
          </w:p>
          <w:p w14:paraId="2D106E09" w14:textId="36F467DE" w:rsidR="00462B66" w:rsidRDefault="00462B66" w:rsidP="00462B66">
            <w:pPr>
              <w:pStyle w:val="TableTextform"/>
              <w:rPr>
                <w:rFonts w:cs="Arial"/>
                <w:sz w:val="18"/>
                <w:szCs w:val="18"/>
              </w:rPr>
            </w:pPr>
            <w:r>
              <w:rPr>
                <w:rFonts w:cs="Arial"/>
                <w:sz w:val="18"/>
                <w:szCs w:val="18"/>
              </w:rPr>
              <w:t xml:space="preserve">The same survey found no scallops within the acquisition area in commercial quantities. </w:t>
            </w:r>
          </w:p>
          <w:p w14:paraId="4C6ABF44" w14:textId="77777777" w:rsidR="006E482E" w:rsidRDefault="006E482E" w:rsidP="00C145CB">
            <w:pPr>
              <w:pStyle w:val="TableTextform"/>
              <w:rPr>
                <w:rFonts w:cs="Arial"/>
                <w:i/>
                <w:sz w:val="18"/>
                <w:szCs w:val="18"/>
              </w:rPr>
            </w:pPr>
          </w:p>
          <w:p w14:paraId="3DAB70A1" w14:textId="3B91D2BB" w:rsidR="00C145CB" w:rsidRDefault="00C145CB" w:rsidP="00C145CB">
            <w:pPr>
              <w:pStyle w:val="TableTextform"/>
              <w:rPr>
                <w:rFonts w:cs="Arial"/>
                <w:i/>
                <w:sz w:val="18"/>
                <w:szCs w:val="18"/>
              </w:rPr>
            </w:pPr>
            <w:r>
              <w:rPr>
                <w:rFonts w:cs="Arial"/>
                <w:i/>
                <w:sz w:val="18"/>
                <w:szCs w:val="18"/>
              </w:rPr>
              <w:t xml:space="preserve">Acquisition area intersects 0.11% of the fishery. </w:t>
            </w:r>
          </w:p>
          <w:p w14:paraId="750CA7B4" w14:textId="644E1804" w:rsidR="00C145CB" w:rsidRDefault="00C145CB" w:rsidP="00C145CB">
            <w:pPr>
              <w:pStyle w:val="TableTextform"/>
              <w:rPr>
                <w:rFonts w:cs="Arial"/>
                <w:i/>
                <w:sz w:val="18"/>
                <w:szCs w:val="18"/>
              </w:rPr>
            </w:pPr>
            <w:r>
              <w:rPr>
                <w:rFonts w:cs="Arial"/>
                <w:i/>
                <w:sz w:val="18"/>
                <w:szCs w:val="18"/>
              </w:rPr>
              <w:t>Operational</w:t>
            </w:r>
            <w:r w:rsidRPr="00D018C0">
              <w:rPr>
                <w:rFonts w:cs="Arial"/>
                <w:i/>
                <w:sz w:val="18"/>
                <w:szCs w:val="18"/>
              </w:rPr>
              <w:t xml:space="preserve"> area intersects 0</w:t>
            </w:r>
            <w:r>
              <w:rPr>
                <w:rFonts w:cs="Arial"/>
                <w:i/>
                <w:sz w:val="18"/>
                <w:szCs w:val="18"/>
              </w:rPr>
              <w:t>.21</w:t>
            </w:r>
            <w:r w:rsidRPr="00D018C0">
              <w:rPr>
                <w:rFonts w:cs="Arial"/>
                <w:i/>
                <w:sz w:val="18"/>
                <w:szCs w:val="18"/>
              </w:rPr>
              <w:t>% of the fishery</w:t>
            </w:r>
            <w:r>
              <w:rPr>
                <w:rFonts w:cs="Arial"/>
                <w:i/>
                <w:sz w:val="18"/>
                <w:szCs w:val="18"/>
              </w:rPr>
              <w:t>.</w:t>
            </w:r>
          </w:p>
          <w:p w14:paraId="6CFA7A63" w14:textId="77777777" w:rsidR="00B85B3F" w:rsidRDefault="00C145CB" w:rsidP="00C145CB">
            <w:pPr>
              <w:pStyle w:val="TableTextform"/>
              <w:rPr>
                <w:rFonts w:cs="Arial"/>
                <w:i/>
                <w:sz w:val="18"/>
                <w:szCs w:val="18"/>
              </w:rPr>
            </w:pPr>
            <w:r w:rsidRPr="00D018C0">
              <w:rPr>
                <w:rFonts w:cs="Arial"/>
                <w:i/>
                <w:sz w:val="18"/>
                <w:szCs w:val="18"/>
              </w:rPr>
              <w:t xml:space="preserve">EMBA intersects </w:t>
            </w:r>
            <w:r>
              <w:rPr>
                <w:rFonts w:cs="Arial"/>
                <w:i/>
                <w:sz w:val="18"/>
                <w:szCs w:val="18"/>
              </w:rPr>
              <w:t>6.</w:t>
            </w:r>
            <w:r w:rsidR="006E482E">
              <w:rPr>
                <w:rFonts w:cs="Arial"/>
                <w:i/>
                <w:sz w:val="18"/>
                <w:szCs w:val="18"/>
              </w:rPr>
              <w:t>0</w:t>
            </w:r>
            <w:r>
              <w:rPr>
                <w:rFonts w:cs="Arial"/>
                <w:i/>
                <w:sz w:val="18"/>
                <w:szCs w:val="18"/>
              </w:rPr>
              <w:t>2</w:t>
            </w:r>
            <w:r w:rsidRPr="00D018C0">
              <w:rPr>
                <w:rFonts w:cs="Arial"/>
                <w:i/>
                <w:sz w:val="18"/>
                <w:szCs w:val="18"/>
              </w:rPr>
              <w:t>% of the fishery.</w:t>
            </w:r>
            <w:r w:rsidRPr="00CE607A">
              <w:rPr>
                <w:rFonts w:cs="Arial"/>
                <w:i/>
                <w:sz w:val="18"/>
                <w:szCs w:val="18"/>
              </w:rPr>
              <w:t xml:space="preserve"> </w:t>
            </w:r>
          </w:p>
          <w:p w14:paraId="399C5667" w14:textId="2D736459" w:rsidR="00C145CB" w:rsidRDefault="00B85B3F" w:rsidP="00C145CB">
            <w:pPr>
              <w:pStyle w:val="TableTextform"/>
              <w:rPr>
                <w:rFonts w:cs="Arial"/>
                <w:sz w:val="18"/>
                <w:szCs w:val="18"/>
              </w:rPr>
            </w:pPr>
            <w:r>
              <w:rPr>
                <w:rFonts w:eastAsia="MS Mincho" w:cs="Arial"/>
                <w:color w:val="auto"/>
                <w:sz w:val="18"/>
                <w:szCs w:val="18"/>
              </w:rPr>
              <w:t>Based on historical catch data (1998-2003), the catch from the area overlapping the proposed acquisition area represents &lt;1.85% of the fishery.</w:t>
            </w:r>
            <w:r w:rsidR="00C145CB" w:rsidRPr="00CE607A">
              <w:rPr>
                <w:rFonts w:cs="Arial"/>
                <w:i/>
                <w:sz w:val="18"/>
                <w:szCs w:val="18"/>
              </w:rPr>
              <w:t xml:space="preserve"> </w:t>
            </w:r>
          </w:p>
          <w:p w14:paraId="4D624EB3" w14:textId="64987FC3" w:rsidR="00615434" w:rsidRPr="00CB3833" w:rsidRDefault="00615434" w:rsidP="00615434">
            <w:pPr>
              <w:pStyle w:val="TableTextform"/>
              <w:rPr>
                <w:rFonts w:cs="Arial"/>
                <w:sz w:val="18"/>
                <w:szCs w:val="18"/>
              </w:rPr>
            </w:pPr>
          </w:p>
        </w:tc>
        <w:tc>
          <w:tcPr>
            <w:tcW w:w="1843" w:type="dxa"/>
            <w:tcBorders>
              <w:top w:val="single" w:sz="5" w:space="0" w:color="000000"/>
              <w:left w:val="single" w:sz="5" w:space="0" w:color="000000"/>
              <w:bottom w:val="single" w:sz="5" w:space="0" w:color="000000"/>
              <w:right w:val="single" w:sz="5" w:space="0" w:color="000000"/>
            </w:tcBorders>
          </w:tcPr>
          <w:p w14:paraId="4F7201BE" w14:textId="772E07D5" w:rsidR="00125AA5" w:rsidRPr="00CB3833" w:rsidRDefault="00774512" w:rsidP="000C6E0C">
            <w:pPr>
              <w:pStyle w:val="TableTextform"/>
              <w:rPr>
                <w:rFonts w:eastAsia="MS Mincho" w:cs="Arial"/>
                <w:color w:val="auto"/>
                <w:sz w:val="18"/>
                <w:szCs w:val="18"/>
              </w:rPr>
            </w:pPr>
            <w:r>
              <w:rPr>
                <w:rFonts w:eastAsia="MS Mincho" w:cs="Arial"/>
                <w:color w:val="auto"/>
                <w:sz w:val="18"/>
                <w:szCs w:val="18"/>
              </w:rPr>
              <w:t>12-</w:t>
            </w:r>
            <w:r w:rsidR="00125AA5" w:rsidRPr="00CB3833">
              <w:rPr>
                <w:rFonts w:eastAsia="MS Mincho" w:cs="Arial"/>
                <w:color w:val="auto"/>
                <w:sz w:val="18"/>
                <w:szCs w:val="18"/>
              </w:rPr>
              <w:t>month season, beginning 1</w:t>
            </w:r>
            <w:r w:rsidR="00125AA5" w:rsidRPr="00CB3833">
              <w:rPr>
                <w:rFonts w:eastAsia="MS Mincho" w:cs="Arial"/>
                <w:color w:val="auto"/>
                <w:sz w:val="18"/>
                <w:szCs w:val="18"/>
                <w:vertAlign w:val="superscript"/>
              </w:rPr>
              <w:t>st</w:t>
            </w:r>
            <w:r w:rsidR="00125AA5" w:rsidRPr="00CB3833">
              <w:rPr>
                <w:rFonts w:eastAsia="MS Mincho" w:cs="Arial"/>
                <w:color w:val="auto"/>
                <w:sz w:val="18"/>
                <w:szCs w:val="18"/>
              </w:rPr>
              <w:t xml:space="preserve"> of April.</w:t>
            </w:r>
          </w:p>
          <w:p w14:paraId="63B9B242" w14:textId="4CAC5E05" w:rsidR="00125AA5" w:rsidRPr="00CB3833" w:rsidRDefault="00125AA5" w:rsidP="000C6E0C">
            <w:pPr>
              <w:pStyle w:val="TableTextform"/>
              <w:rPr>
                <w:rFonts w:eastAsia="MS Mincho" w:cs="Arial"/>
                <w:color w:val="auto"/>
                <w:sz w:val="18"/>
                <w:szCs w:val="18"/>
              </w:rPr>
            </w:pPr>
            <w:r w:rsidRPr="00CB3833">
              <w:rPr>
                <w:rFonts w:eastAsia="MS Mincho" w:cs="Arial"/>
                <w:color w:val="auto"/>
                <w:sz w:val="18"/>
                <w:szCs w:val="18"/>
              </w:rPr>
              <w:t xml:space="preserve">Fishing usually occurs during the winter months, but </w:t>
            </w:r>
            <w:r w:rsidRPr="00202269">
              <w:rPr>
                <w:rFonts w:eastAsia="MS Mincho" w:cs="Arial"/>
                <w:color w:val="auto"/>
                <w:sz w:val="18"/>
                <w:szCs w:val="18"/>
              </w:rPr>
              <w:t>can occur from May to the end of November.</w:t>
            </w:r>
            <w:r w:rsidRPr="00CB3833">
              <w:rPr>
                <w:rFonts w:eastAsia="MS Mincho" w:cs="Arial"/>
                <w:color w:val="auto"/>
                <w:sz w:val="18"/>
                <w:szCs w:val="18"/>
              </w:rPr>
              <w:t xml:space="preserve"> </w:t>
            </w:r>
          </w:p>
          <w:p w14:paraId="30065F59" w14:textId="61416683" w:rsidR="00202269" w:rsidRPr="00202269" w:rsidRDefault="00202269" w:rsidP="00202269">
            <w:pPr>
              <w:pStyle w:val="TableTextform"/>
              <w:rPr>
                <w:rFonts w:eastAsia="MS Mincho" w:cs="Arial"/>
                <w:color w:val="auto"/>
                <w:sz w:val="18"/>
                <w:szCs w:val="18"/>
              </w:rPr>
            </w:pPr>
            <w:r w:rsidRPr="00202269">
              <w:rPr>
                <w:rFonts w:eastAsia="MS Mincho" w:cs="Arial"/>
                <w:color w:val="auto"/>
                <w:sz w:val="18"/>
                <w:szCs w:val="18"/>
              </w:rPr>
              <w:t>While scallops are still present in the region, they are believed to be present in much lower numbers than historically.</w:t>
            </w:r>
            <w:r w:rsidR="00BA0914">
              <w:rPr>
                <w:rFonts w:eastAsia="MS Mincho" w:cs="Arial"/>
                <w:color w:val="auto"/>
                <w:sz w:val="18"/>
                <w:szCs w:val="18"/>
              </w:rPr>
              <w:t xml:space="preserve"> Scallops have highly variable levels of natural mortality, with </w:t>
            </w:r>
            <w:r w:rsidR="008F3EBF">
              <w:rPr>
                <w:rFonts w:eastAsia="MS Mincho" w:cs="Arial"/>
                <w:color w:val="auto"/>
                <w:sz w:val="18"/>
                <w:szCs w:val="18"/>
              </w:rPr>
              <w:t xml:space="preserve">an historical </w:t>
            </w:r>
            <w:r w:rsidR="00BA0914">
              <w:rPr>
                <w:rFonts w:eastAsia="MS Mincho" w:cs="Arial"/>
                <w:color w:val="auto"/>
                <w:sz w:val="18"/>
                <w:szCs w:val="18"/>
              </w:rPr>
              <w:t>‘boom’ or ‘bust’ nature.</w:t>
            </w:r>
          </w:p>
          <w:p w14:paraId="65F87ED1" w14:textId="4A9D0654" w:rsidR="00125AA5" w:rsidRPr="00CB3833" w:rsidRDefault="00202269" w:rsidP="00B85B3F">
            <w:pPr>
              <w:pStyle w:val="TableTextform"/>
              <w:rPr>
                <w:rFonts w:eastAsia="MS Mincho" w:cs="Arial"/>
                <w:color w:val="auto"/>
                <w:sz w:val="18"/>
                <w:szCs w:val="18"/>
              </w:rPr>
            </w:pPr>
            <w:r w:rsidRPr="00202269">
              <w:rPr>
                <w:rFonts w:eastAsia="MS Mincho" w:cs="Arial"/>
                <w:color w:val="auto"/>
                <w:sz w:val="18"/>
                <w:szCs w:val="18"/>
              </w:rPr>
              <w:t xml:space="preserve">Fishing activity in the area is </w:t>
            </w:r>
            <w:r w:rsidR="00B85B3F">
              <w:rPr>
                <w:rFonts w:eastAsia="MS Mincho" w:cs="Arial"/>
                <w:color w:val="auto"/>
                <w:sz w:val="18"/>
                <w:szCs w:val="18"/>
              </w:rPr>
              <w:t>currently</w:t>
            </w:r>
            <w:r w:rsidR="00B85B3F" w:rsidRPr="00202269">
              <w:rPr>
                <w:rFonts w:eastAsia="MS Mincho" w:cs="Arial"/>
                <w:color w:val="auto"/>
                <w:sz w:val="18"/>
                <w:szCs w:val="18"/>
              </w:rPr>
              <w:t xml:space="preserve"> </w:t>
            </w:r>
            <w:r w:rsidRPr="00202269">
              <w:rPr>
                <w:rFonts w:eastAsia="MS Mincho" w:cs="Arial"/>
                <w:color w:val="auto"/>
                <w:sz w:val="18"/>
                <w:szCs w:val="18"/>
              </w:rPr>
              <w:t xml:space="preserve">low, although </w:t>
            </w:r>
            <w:r w:rsidR="009D0068">
              <w:rPr>
                <w:rFonts w:eastAsia="MS Mincho" w:cs="Arial"/>
                <w:color w:val="auto"/>
                <w:sz w:val="18"/>
                <w:szCs w:val="18"/>
              </w:rPr>
              <w:t>the VFA</w:t>
            </w:r>
            <w:r w:rsidRPr="00202269">
              <w:rPr>
                <w:rFonts w:eastAsia="MS Mincho" w:cs="Arial"/>
                <w:color w:val="auto"/>
                <w:sz w:val="18"/>
                <w:szCs w:val="18"/>
              </w:rPr>
              <w:t xml:space="preserve"> is implementing management arrangements designed to increase fishing activity in the area.</w:t>
            </w:r>
          </w:p>
        </w:tc>
        <w:tc>
          <w:tcPr>
            <w:tcW w:w="2693" w:type="dxa"/>
            <w:tcBorders>
              <w:top w:val="single" w:sz="5" w:space="0" w:color="000000"/>
              <w:left w:val="single" w:sz="5" w:space="0" w:color="000000"/>
              <w:bottom w:val="single" w:sz="5" w:space="0" w:color="000000"/>
              <w:right w:val="single" w:sz="5" w:space="0" w:color="000000"/>
            </w:tcBorders>
          </w:tcPr>
          <w:p w14:paraId="092606E6" w14:textId="05088F5F" w:rsidR="00125AA5" w:rsidRPr="00CB3833" w:rsidRDefault="00125AA5" w:rsidP="000C6E0C">
            <w:pPr>
              <w:pStyle w:val="TableTextform"/>
              <w:rPr>
                <w:rFonts w:eastAsia="MS Mincho" w:cs="Arial"/>
                <w:color w:val="auto"/>
                <w:sz w:val="18"/>
                <w:szCs w:val="18"/>
              </w:rPr>
            </w:pPr>
            <w:r w:rsidRPr="00CB3833">
              <w:rPr>
                <w:rFonts w:eastAsia="MS Mincho" w:cs="Arial"/>
                <w:color w:val="auto"/>
                <w:sz w:val="18"/>
                <w:szCs w:val="18"/>
              </w:rPr>
              <w:t>Towed scallop dredges</w:t>
            </w:r>
            <w:r w:rsidR="00DF2465">
              <w:rPr>
                <w:rFonts w:eastAsia="MS Mincho" w:cs="Arial"/>
                <w:color w:val="auto"/>
                <w:sz w:val="18"/>
                <w:szCs w:val="18"/>
              </w:rPr>
              <w:t xml:space="preserve"> </w:t>
            </w:r>
            <w:r w:rsidRPr="00CB3833">
              <w:rPr>
                <w:rFonts w:eastAsia="MS Mincho" w:cs="Arial"/>
                <w:color w:val="auto"/>
                <w:sz w:val="18"/>
                <w:szCs w:val="18"/>
              </w:rPr>
              <w:t>(typically 4.5 m wide) that target dense aggregations (‘beds’) of scallop. A tooth-bar on the bottom of the mouth of the dredge lifts scallops from the seabed and into the dredge basket.</w:t>
            </w:r>
          </w:p>
          <w:p w14:paraId="12E35968" w14:textId="73060EA7" w:rsidR="00125AA5" w:rsidRPr="00CB3833" w:rsidRDefault="00125AA5" w:rsidP="000C6E0C">
            <w:pPr>
              <w:pStyle w:val="TableTextform"/>
              <w:rPr>
                <w:rFonts w:cs="Arial"/>
                <w:sz w:val="18"/>
                <w:szCs w:val="18"/>
              </w:rPr>
            </w:pPr>
            <w:r w:rsidRPr="00CB3833">
              <w:rPr>
                <w:rFonts w:cs="Arial"/>
                <w:sz w:val="18"/>
                <w:szCs w:val="18"/>
              </w:rPr>
              <w:t>There are a maximum of 9</w:t>
            </w:r>
            <w:r w:rsidR="00202269">
              <w:rPr>
                <w:rFonts w:cs="Arial"/>
                <w:sz w:val="18"/>
                <w:szCs w:val="18"/>
              </w:rPr>
              <w:t>0 licences available</w:t>
            </w:r>
            <w:r w:rsidRPr="00CB3833">
              <w:rPr>
                <w:rFonts w:cs="Arial"/>
                <w:sz w:val="18"/>
                <w:szCs w:val="18"/>
              </w:rPr>
              <w:t xml:space="preserve">. Only </w:t>
            </w:r>
            <w:r w:rsidR="00202269">
              <w:rPr>
                <w:rFonts w:cs="Arial"/>
                <w:sz w:val="18"/>
                <w:szCs w:val="18"/>
              </w:rPr>
              <w:t>a few</w:t>
            </w:r>
            <w:r w:rsidRPr="00CB3833">
              <w:rPr>
                <w:rFonts w:cs="Arial"/>
                <w:sz w:val="18"/>
                <w:szCs w:val="18"/>
              </w:rPr>
              <w:t xml:space="preserve"> vessel</w:t>
            </w:r>
            <w:r w:rsidR="00202269">
              <w:rPr>
                <w:rFonts w:cs="Arial"/>
                <w:sz w:val="18"/>
                <w:szCs w:val="18"/>
              </w:rPr>
              <w:t>s</w:t>
            </w:r>
            <w:r w:rsidRPr="00CB3833">
              <w:rPr>
                <w:rFonts w:cs="Arial"/>
                <w:sz w:val="18"/>
                <w:szCs w:val="18"/>
              </w:rPr>
              <w:t xml:space="preserve"> </w:t>
            </w:r>
            <w:r w:rsidR="007649A3">
              <w:rPr>
                <w:rFonts w:cs="Arial"/>
                <w:sz w:val="18"/>
                <w:szCs w:val="18"/>
              </w:rPr>
              <w:t xml:space="preserve">fishing these licenses </w:t>
            </w:r>
            <w:r w:rsidRPr="00CB3833">
              <w:rPr>
                <w:rFonts w:cs="Arial"/>
                <w:sz w:val="18"/>
                <w:szCs w:val="18"/>
              </w:rPr>
              <w:t>operate</w:t>
            </w:r>
            <w:r w:rsidR="007649A3">
              <w:rPr>
                <w:rFonts w:cs="Arial"/>
                <w:sz w:val="18"/>
                <w:szCs w:val="18"/>
              </w:rPr>
              <w:t xml:space="preserve"> in any one year (generally between 12 and 20)</w:t>
            </w:r>
            <w:r w:rsidR="00202269">
              <w:rPr>
                <w:rFonts w:cs="Arial"/>
                <w:sz w:val="18"/>
                <w:szCs w:val="18"/>
              </w:rPr>
              <w:t>.</w:t>
            </w:r>
            <w:r w:rsidRPr="00CB3833">
              <w:rPr>
                <w:rFonts w:cs="Arial"/>
                <w:sz w:val="18"/>
                <w:szCs w:val="18"/>
              </w:rPr>
              <w:t xml:space="preserve"> </w:t>
            </w:r>
          </w:p>
          <w:p w14:paraId="36E9B8EF" w14:textId="1BA0B39F" w:rsidR="00125AA5" w:rsidRPr="00CB3833" w:rsidRDefault="00125AA5" w:rsidP="000C6E0C">
            <w:pPr>
              <w:pStyle w:val="TableTextform"/>
              <w:rPr>
                <w:rFonts w:cs="Arial"/>
                <w:sz w:val="18"/>
                <w:szCs w:val="18"/>
              </w:rPr>
            </w:pPr>
            <w:r w:rsidRPr="00CB3833">
              <w:rPr>
                <w:rFonts w:cs="Arial"/>
                <w:sz w:val="18"/>
                <w:szCs w:val="18"/>
              </w:rPr>
              <w:t>Vessels are typically based out of L</w:t>
            </w:r>
            <w:r w:rsidR="00202269">
              <w:rPr>
                <w:rFonts w:cs="Arial"/>
                <w:sz w:val="18"/>
                <w:szCs w:val="18"/>
              </w:rPr>
              <w:t xml:space="preserve">akes Entrance or Port Welshpool, although licence holders may fish the entire coastline. </w:t>
            </w:r>
          </w:p>
          <w:p w14:paraId="2441C9C6" w14:textId="074BF232" w:rsidR="00125AA5" w:rsidRPr="00CB3833" w:rsidRDefault="00202269" w:rsidP="000C6E0C">
            <w:pPr>
              <w:pStyle w:val="TableTextform"/>
              <w:rPr>
                <w:rFonts w:cs="Arial"/>
                <w:sz w:val="18"/>
                <w:szCs w:val="18"/>
              </w:rPr>
            </w:pPr>
            <w:r>
              <w:rPr>
                <w:rFonts w:cs="Arial"/>
                <w:sz w:val="18"/>
                <w:szCs w:val="18"/>
              </w:rPr>
              <w:t>Some</w:t>
            </w:r>
            <w:r w:rsidR="00125AA5" w:rsidRPr="00CB3833">
              <w:rPr>
                <w:rFonts w:cs="Arial"/>
                <w:sz w:val="18"/>
                <w:szCs w:val="18"/>
              </w:rPr>
              <w:t xml:space="preserve"> licence holders also have entitlements to fish the Commonwealth scallop fishery</w:t>
            </w:r>
            <w:r w:rsidR="00734BE4">
              <w:rPr>
                <w:rFonts w:cs="Arial"/>
                <w:sz w:val="18"/>
                <w:szCs w:val="18"/>
              </w:rPr>
              <w:t xml:space="preserve">, inshore trawl, Commonwealth </w:t>
            </w:r>
            <w:r w:rsidR="00D23C0B">
              <w:rPr>
                <w:rFonts w:cs="Arial"/>
                <w:sz w:val="18"/>
                <w:szCs w:val="18"/>
              </w:rPr>
              <w:t>SESS</w:t>
            </w:r>
            <w:r w:rsidR="00734BE4">
              <w:rPr>
                <w:rFonts w:cs="Arial"/>
                <w:sz w:val="18"/>
                <w:szCs w:val="18"/>
              </w:rPr>
              <w:t xml:space="preserve"> fishery and the southern squid jig fishery </w:t>
            </w:r>
            <w:r w:rsidR="00734BE4" w:rsidRPr="00CB3833">
              <w:rPr>
                <w:rFonts w:cs="Arial"/>
                <w:sz w:val="18"/>
                <w:szCs w:val="18"/>
              </w:rPr>
              <w:t xml:space="preserve">(see </w:t>
            </w:r>
            <w:r w:rsidR="00734BE4" w:rsidRPr="004A5246">
              <w:rPr>
                <w:rFonts w:cs="Arial"/>
                <w:sz w:val="18"/>
                <w:szCs w:val="18"/>
              </w:rPr>
              <w:t>Table 5.15)</w:t>
            </w:r>
            <w:r w:rsidR="00125AA5" w:rsidRPr="004A5246">
              <w:rPr>
                <w:rFonts w:cs="Arial"/>
                <w:sz w:val="18"/>
                <w:szCs w:val="18"/>
              </w:rPr>
              <w:t>.</w:t>
            </w:r>
          </w:p>
          <w:p w14:paraId="04063A96" w14:textId="4B65503E" w:rsidR="008D7807" w:rsidRDefault="008D7807" w:rsidP="000C6E0C">
            <w:pPr>
              <w:pStyle w:val="TableTextform"/>
              <w:rPr>
                <w:rFonts w:cs="Arial"/>
                <w:sz w:val="18"/>
                <w:szCs w:val="18"/>
              </w:rPr>
            </w:pPr>
            <w:r>
              <w:rPr>
                <w:rFonts w:cs="Arial"/>
                <w:sz w:val="18"/>
                <w:szCs w:val="18"/>
              </w:rPr>
              <w:t xml:space="preserve">The </w:t>
            </w:r>
            <w:r w:rsidR="00C57711">
              <w:rPr>
                <w:rFonts w:cs="Arial"/>
                <w:sz w:val="18"/>
                <w:szCs w:val="18"/>
              </w:rPr>
              <w:t>VSFA</w:t>
            </w:r>
            <w:r>
              <w:rPr>
                <w:rFonts w:cs="Arial"/>
                <w:sz w:val="18"/>
                <w:szCs w:val="18"/>
              </w:rPr>
              <w:t xml:space="preserve"> has advised that the fishery operates to its own Scallop Management Plan (i.e., not one developed by </w:t>
            </w:r>
            <w:r w:rsidR="009D0068">
              <w:rPr>
                <w:rFonts w:cs="Arial"/>
                <w:sz w:val="18"/>
                <w:szCs w:val="18"/>
              </w:rPr>
              <w:t>the VFA</w:t>
            </w:r>
            <w:r>
              <w:rPr>
                <w:rFonts w:cs="Arial"/>
                <w:sz w:val="18"/>
                <w:szCs w:val="18"/>
              </w:rPr>
              <w:t>).</w:t>
            </w:r>
          </w:p>
          <w:p w14:paraId="0AE66B14" w14:textId="1495CC9F" w:rsidR="00202269" w:rsidRPr="00CB3833" w:rsidRDefault="00202269" w:rsidP="00202269">
            <w:pPr>
              <w:pStyle w:val="TableTextform"/>
              <w:rPr>
                <w:rFonts w:cs="Arial"/>
                <w:sz w:val="18"/>
                <w:szCs w:val="18"/>
              </w:rPr>
            </w:pPr>
          </w:p>
        </w:tc>
        <w:tc>
          <w:tcPr>
            <w:tcW w:w="2268" w:type="dxa"/>
            <w:tcBorders>
              <w:top w:val="single" w:sz="5" w:space="0" w:color="000000"/>
              <w:left w:val="single" w:sz="5" w:space="0" w:color="000000"/>
              <w:bottom w:val="single" w:sz="5" w:space="0" w:color="000000"/>
              <w:right w:val="single" w:sz="5" w:space="0" w:color="000000"/>
            </w:tcBorders>
          </w:tcPr>
          <w:p w14:paraId="3B9CE9D7" w14:textId="78F5A02F" w:rsidR="00202269" w:rsidRPr="00202269" w:rsidRDefault="004A5246" w:rsidP="00202269">
            <w:pPr>
              <w:pStyle w:val="TableTextform"/>
              <w:rPr>
                <w:rFonts w:eastAsia="MS Mincho" w:cs="Arial"/>
                <w:color w:val="auto"/>
                <w:sz w:val="18"/>
                <w:szCs w:val="18"/>
              </w:rPr>
            </w:pPr>
            <w:r>
              <w:rPr>
                <w:rFonts w:eastAsia="MS Mincho" w:cs="Arial"/>
                <w:color w:val="auto"/>
                <w:sz w:val="18"/>
                <w:szCs w:val="18"/>
              </w:rPr>
              <w:t>VFA</w:t>
            </w:r>
            <w:r w:rsidR="00553E0D">
              <w:rPr>
                <w:rFonts w:eastAsia="MS Mincho" w:cs="Arial"/>
                <w:color w:val="auto"/>
                <w:sz w:val="18"/>
                <w:szCs w:val="18"/>
              </w:rPr>
              <w:t xml:space="preserve"> has advised that i</w:t>
            </w:r>
            <w:r w:rsidR="00202269" w:rsidRPr="00202269">
              <w:rPr>
                <w:rFonts w:eastAsia="MS Mincho" w:cs="Arial"/>
                <w:color w:val="auto"/>
                <w:sz w:val="18"/>
                <w:szCs w:val="18"/>
              </w:rPr>
              <w:t>n the proposed acquisition area, about 1-1.5 tonnes have been caught in the last five years (2011-2016) (value unknown).</w:t>
            </w:r>
          </w:p>
          <w:p w14:paraId="0DC3B693" w14:textId="77777777" w:rsidR="00202269" w:rsidRPr="00202269" w:rsidRDefault="00202269" w:rsidP="00202269">
            <w:pPr>
              <w:pStyle w:val="TableTextform"/>
              <w:rPr>
                <w:rFonts w:eastAsia="MS Mincho" w:cs="Arial"/>
                <w:color w:val="auto"/>
                <w:sz w:val="18"/>
                <w:szCs w:val="18"/>
              </w:rPr>
            </w:pPr>
            <w:r w:rsidRPr="00202269">
              <w:rPr>
                <w:rFonts w:eastAsia="MS Mincho" w:cs="Arial"/>
                <w:color w:val="auto"/>
                <w:sz w:val="18"/>
                <w:szCs w:val="18"/>
              </w:rPr>
              <w:t>For the fishery as a whole, 7.6 tonnes was landed in 2015-16 (value unknown).</w:t>
            </w:r>
          </w:p>
          <w:p w14:paraId="283FD43C" w14:textId="08C42741" w:rsidR="00202269" w:rsidRPr="00202269" w:rsidRDefault="00202269" w:rsidP="00202269">
            <w:pPr>
              <w:pStyle w:val="TableTextform"/>
              <w:rPr>
                <w:rFonts w:eastAsia="MS Mincho" w:cs="Arial"/>
                <w:color w:val="auto"/>
                <w:sz w:val="18"/>
                <w:szCs w:val="18"/>
              </w:rPr>
            </w:pPr>
            <w:r w:rsidRPr="00202269">
              <w:rPr>
                <w:rFonts w:eastAsia="MS Mincho" w:cs="Arial"/>
                <w:color w:val="auto"/>
                <w:sz w:val="18"/>
                <w:szCs w:val="18"/>
              </w:rPr>
              <w:t>Zero quotas were in place for the 2010-11, 2011-12 and 2012-13 seasons due to a lack of commercial scallop quantities.</w:t>
            </w:r>
          </w:p>
          <w:p w14:paraId="33BDC96E" w14:textId="77777777" w:rsidR="00202269" w:rsidRPr="00202269" w:rsidRDefault="00202269" w:rsidP="00202269">
            <w:pPr>
              <w:pStyle w:val="TableTextform"/>
              <w:rPr>
                <w:rFonts w:eastAsia="MS Mincho" w:cs="Arial"/>
                <w:color w:val="auto"/>
                <w:sz w:val="18"/>
                <w:szCs w:val="18"/>
              </w:rPr>
            </w:pPr>
            <w:r w:rsidRPr="00202269">
              <w:rPr>
                <w:rFonts w:eastAsia="MS Mincho" w:cs="Arial"/>
                <w:color w:val="auto"/>
                <w:sz w:val="18"/>
                <w:szCs w:val="18"/>
              </w:rPr>
              <w:t>The TACC has been set at 135 tonnes for the 2013-14, 2014-15 and 2015-16 fishing seasons, and is likely to remain at this level for the foreseeable future.</w:t>
            </w:r>
          </w:p>
          <w:p w14:paraId="78A08BF5" w14:textId="12E54D51" w:rsidR="00125AA5" w:rsidRPr="00202269" w:rsidRDefault="00202269" w:rsidP="00202269">
            <w:pPr>
              <w:pStyle w:val="TableTextform"/>
              <w:rPr>
                <w:rFonts w:eastAsia="MS Mincho" w:cs="Arial"/>
                <w:color w:val="auto"/>
                <w:sz w:val="18"/>
                <w:szCs w:val="18"/>
              </w:rPr>
            </w:pPr>
            <w:r w:rsidRPr="00202269">
              <w:rPr>
                <w:rFonts w:eastAsia="MS Mincho" w:cs="Arial"/>
                <w:color w:val="auto"/>
                <w:sz w:val="18"/>
                <w:szCs w:val="18"/>
              </w:rPr>
              <w:t>Scallop spawning normally occurs from late winter to early spring, with larvae drifting as plankton for up to six weeks before first settlement. Juvenile scallops reach marketable size within 18 months.</w:t>
            </w:r>
          </w:p>
        </w:tc>
      </w:tr>
      <w:tr w:rsidR="00125AA5" w:rsidRPr="00CB3833" w14:paraId="68D96BBC" w14:textId="77777777" w:rsidTr="00462B66">
        <w:trPr>
          <w:cantSplit/>
          <w:trHeight w:val="414"/>
        </w:trPr>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4C45A03E" w14:textId="77777777" w:rsidR="00125AA5" w:rsidRPr="00CB3833" w:rsidRDefault="00125AA5" w:rsidP="000C6E0C">
            <w:pPr>
              <w:pStyle w:val="TableTextform"/>
              <w:rPr>
                <w:rFonts w:cs="Arial"/>
                <w:sz w:val="18"/>
                <w:szCs w:val="18"/>
              </w:rPr>
            </w:pPr>
            <w:r w:rsidRPr="00CB3833">
              <w:rPr>
                <w:rFonts w:cs="Arial"/>
                <w:sz w:val="18"/>
                <w:szCs w:val="18"/>
              </w:rPr>
              <w:lastRenderedPageBreak/>
              <w:t>Abalone Fishery (central zone)</w:t>
            </w:r>
          </w:p>
          <w:p w14:paraId="26214D95" w14:textId="12CAF008" w:rsidR="000C6E0C" w:rsidRPr="00CC2278" w:rsidRDefault="000C6E0C" w:rsidP="000C6E0C">
            <w:pPr>
              <w:pStyle w:val="TableTextform"/>
              <w:rPr>
                <w:rFonts w:cs="Arial"/>
                <w:color w:val="auto"/>
                <w:sz w:val="18"/>
                <w:szCs w:val="18"/>
              </w:rPr>
            </w:pPr>
            <w:r w:rsidRPr="00CB3833">
              <w:rPr>
                <w:rFonts w:cs="Arial"/>
                <w:sz w:val="18"/>
                <w:szCs w:val="18"/>
              </w:rPr>
              <w:t>(</w:t>
            </w:r>
            <w:r w:rsidRPr="008B4D54">
              <w:rPr>
                <w:rFonts w:cs="Arial"/>
                <w:color w:val="auto"/>
                <w:sz w:val="18"/>
                <w:szCs w:val="18"/>
              </w:rPr>
              <w:t>Figure 5.</w:t>
            </w:r>
            <w:r w:rsidR="00C96320" w:rsidRPr="008B4D54">
              <w:rPr>
                <w:rFonts w:cs="Arial"/>
                <w:color w:val="auto"/>
                <w:sz w:val="18"/>
                <w:szCs w:val="18"/>
              </w:rPr>
              <w:t>32</w:t>
            </w:r>
            <w:r w:rsidRPr="008B4D54">
              <w:rPr>
                <w:rFonts w:cs="Arial"/>
                <w:color w:val="auto"/>
                <w:sz w:val="18"/>
                <w:szCs w:val="18"/>
              </w:rPr>
              <w:t>)</w:t>
            </w:r>
          </w:p>
          <w:p w14:paraId="29B87675" w14:textId="77777777" w:rsidR="008D7807" w:rsidRDefault="008D7807" w:rsidP="000C6E0C">
            <w:pPr>
              <w:pStyle w:val="TableTextform"/>
              <w:rPr>
                <w:rFonts w:cs="Arial"/>
                <w:sz w:val="18"/>
                <w:szCs w:val="18"/>
              </w:rPr>
            </w:pPr>
          </w:p>
          <w:p w14:paraId="66AA058C" w14:textId="77777777" w:rsidR="000C6E0C" w:rsidRPr="00CB3833" w:rsidRDefault="000C6E0C" w:rsidP="000C6E0C">
            <w:pPr>
              <w:pStyle w:val="TableTextform"/>
              <w:rPr>
                <w:rFonts w:cs="Arial"/>
                <w:sz w:val="18"/>
                <w:szCs w:val="18"/>
              </w:rPr>
            </w:pPr>
          </w:p>
          <w:p w14:paraId="5C8DC25B" w14:textId="7700BA25" w:rsidR="00125AA5" w:rsidRPr="00CB3833" w:rsidRDefault="00125AA5" w:rsidP="000C6E0C">
            <w:pPr>
              <w:pStyle w:val="TableTextform"/>
              <w:rPr>
                <w:rFonts w:cs="Arial"/>
                <w:sz w:val="18"/>
                <w:szCs w:val="18"/>
                <w:highlight w:val="yellow"/>
              </w:rPr>
            </w:pPr>
          </w:p>
        </w:tc>
        <w:tc>
          <w:tcPr>
            <w:tcW w:w="1559" w:type="dxa"/>
            <w:tcBorders>
              <w:top w:val="single" w:sz="5" w:space="0" w:color="000000"/>
              <w:left w:val="single" w:sz="5" w:space="0" w:color="000000"/>
              <w:bottom w:val="single" w:sz="5" w:space="0" w:color="000000"/>
              <w:right w:val="single" w:sz="5" w:space="0" w:color="000000"/>
            </w:tcBorders>
            <w:shd w:val="clear" w:color="auto" w:fill="auto"/>
          </w:tcPr>
          <w:p w14:paraId="45660403" w14:textId="1E4016B6" w:rsidR="00125AA5" w:rsidRPr="00CB3833" w:rsidRDefault="00125AA5" w:rsidP="00462B66">
            <w:pPr>
              <w:pStyle w:val="TableTextform"/>
              <w:rPr>
                <w:rFonts w:cs="Arial"/>
                <w:sz w:val="18"/>
                <w:szCs w:val="18"/>
              </w:rPr>
            </w:pPr>
            <w:r w:rsidRPr="00CB3833">
              <w:rPr>
                <w:rFonts w:eastAsia="MS Mincho" w:cs="Arial"/>
                <w:sz w:val="18"/>
                <w:szCs w:val="18"/>
              </w:rPr>
              <w:t>Blacklip abalone (</w:t>
            </w:r>
            <w:r w:rsidRPr="00CB3833">
              <w:rPr>
                <w:rFonts w:eastAsia="MS Mincho" w:cs="Arial"/>
                <w:bCs/>
                <w:i/>
                <w:iCs/>
                <w:sz w:val="18"/>
                <w:szCs w:val="18"/>
              </w:rPr>
              <w:t>Haliotis rubra</w:t>
            </w:r>
            <w:r w:rsidRPr="00CB3833">
              <w:rPr>
                <w:rFonts w:eastAsia="MS Mincho" w:cs="Arial"/>
                <w:sz w:val="18"/>
                <w:szCs w:val="18"/>
              </w:rPr>
              <w:t xml:space="preserve">) is the primary target, with greenlip abalone </w:t>
            </w:r>
            <w:r w:rsidRPr="00CB3833">
              <w:rPr>
                <w:rFonts w:eastAsia="MS Mincho" w:cs="Arial"/>
                <w:sz w:val="18"/>
                <w:szCs w:val="18"/>
              </w:rPr>
              <w:br/>
              <w:t>(</w:t>
            </w:r>
            <w:r w:rsidRPr="00CB3833">
              <w:rPr>
                <w:rFonts w:eastAsia="MS Mincho" w:cs="Arial"/>
                <w:bCs/>
                <w:i/>
                <w:iCs/>
                <w:sz w:val="18"/>
                <w:szCs w:val="18"/>
              </w:rPr>
              <w:t>H. laevigata</w:t>
            </w:r>
            <w:r w:rsidRPr="00CB3833">
              <w:rPr>
                <w:rFonts w:eastAsia="MS Mincho" w:cs="Arial"/>
                <w:sz w:val="18"/>
                <w:szCs w:val="18"/>
              </w:rPr>
              <w:t xml:space="preserve">) </w:t>
            </w:r>
            <w:r w:rsidR="00462B66">
              <w:rPr>
                <w:rFonts w:eastAsia="MS Mincho" w:cs="Arial"/>
                <w:sz w:val="18"/>
                <w:szCs w:val="18"/>
              </w:rPr>
              <w:t>taken as a bycatch</w:t>
            </w:r>
            <w:r w:rsidRPr="00CB3833">
              <w:rPr>
                <w:rFonts w:eastAsia="MS Mincho" w:cs="Arial"/>
                <w:sz w:val="18"/>
                <w:szCs w:val="18"/>
              </w:rPr>
              <w:t>.</w:t>
            </w:r>
          </w:p>
        </w:tc>
        <w:tc>
          <w:tcPr>
            <w:tcW w:w="2126" w:type="dxa"/>
            <w:tcBorders>
              <w:top w:val="single" w:sz="5" w:space="0" w:color="000000"/>
              <w:left w:val="single" w:sz="5" w:space="0" w:color="000000"/>
              <w:bottom w:val="single" w:sz="5" w:space="0" w:color="000000"/>
              <w:right w:val="single" w:sz="5" w:space="0" w:color="000000"/>
            </w:tcBorders>
          </w:tcPr>
          <w:p w14:paraId="75B4B097" w14:textId="77777777" w:rsidR="00125AA5" w:rsidRPr="00CB3833" w:rsidRDefault="00125AA5" w:rsidP="000C6E0C">
            <w:pPr>
              <w:pStyle w:val="TableTextform"/>
              <w:rPr>
                <w:rFonts w:eastAsia="MS Mincho" w:cs="Arial"/>
                <w:sz w:val="18"/>
                <w:szCs w:val="18"/>
              </w:rPr>
            </w:pPr>
            <w:r w:rsidRPr="00CB3833">
              <w:rPr>
                <w:rFonts w:eastAsia="MS Mincho" w:cs="Arial"/>
                <w:sz w:val="18"/>
                <w:szCs w:val="18"/>
              </w:rPr>
              <w:t>Victorian Central Abalone Zone is located between Lakes Entrance and the mouth of the Hopkins River.</w:t>
            </w:r>
          </w:p>
          <w:p w14:paraId="2FE79854" w14:textId="1BB41172" w:rsidR="00125AA5" w:rsidRPr="00CB3833" w:rsidRDefault="00125AA5" w:rsidP="000C6E0C">
            <w:pPr>
              <w:pStyle w:val="TableTextform"/>
              <w:rPr>
                <w:rFonts w:cs="Arial"/>
                <w:sz w:val="18"/>
                <w:szCs w:val="18"/>
              </w:rPr>
            </w:pPr>
            <w:r w:rsidRPr="00CB3833">
              <w:rPr>
                <w:rFonts w:eastAsia="MS Mincho" w:cs="Arial"/>
                <w:sz w:val="18"/>
                <w:szCs w:val="18"/>
              </w:rPr>
              <w:t xml:space="preserve">Most abalone live on rocky reefs from the shore out to depths of </w:t>
            </w:r>
            <w:r w:rsidR="00462B66">
              <w:rPr>
                <w:rFonts w:eastAsia="MS Mincho" w:cs="Arial"/>
                <w:sz w:val="18"/>
                <w:szCs w:val="18"/>
              </w:rPr>
              <w:br/>
            </w:r>
            <w:r w:rsidRPr="00CB3833">
              <w:rPr>
                <w:rFonts w:eastAsia="MS Mincho" w:cs="Arial"/>
                <w:sz w:val="18"/>
                <w:szCs w:val="18"/>
              </w:rPr>
              <w:t>30 m.</w:t>
            </w:r>
          </w:p>
        </w:tc>
        <w:tc>
          <w:tcPr>
            <w:tcW w:w="1985" w:type="dxa"/>
            <w:tcBorders>
              <w:top w:val="single" w:sz="5" w:space="0" w:color="000000"/>
              <w:left w:val="single" w:sz="5" w:space="0" w:color="000000"/>
              <w:bottom w:val="single" w:sz="5" w:space="0" w:color="000000"/>
              <w:right w:val="single" w:sz="5" w:space="0" w:color="000000"/>
            </w:tcBorders>
          </w:tcPr>
          <w:p w14:paraId="62CB9193" w14:textId="4A3C8348" w:rsidR="00125AA5" w:rsidRPr="00CB3833" w:rsidRDefault="00125AA5" w:rsidP="000C6E0C">
            <w:pPr>
              <w:pStyle w:val="TableTextform"/>
              <w:rPr>
                <w:rFonts w:eastAsia="MS Mincho" w:cs="Arial"/>
                <w:b/>
                <w:color w:val="auto"/>
                <w:sz w:val="18"/>
                <w:szCs w:val="18"/>
              </w:rPr>
            </w:pPr>
            <w:r w:rsidRPr="00CB3833">
              <w:rPr>
                <w:rFonts w:eastAsia="MS Mincho" w:cs="Arial"/>
                <w:b/>
                <w:color w:val="auto"/>
                <w:sz w:val="18"/>
                <w:szCs w:val="18"/>
              </w:rPr>
              <w:t xml:space="preserve">Acquisition area – </w:t>
            </w:r>
            <w:r w:rsidRPr="00CB3833">
              <w:rPr>
                <w:rFonts w:eastAsia="MS Mincho" w:cs="Arial"/>
                <w:b/>
                <w:color w:val="FF0000"/>
                <w:sz w:val="18"/>
                <w:szCs w:val="18"/>
              </w:rPr>
              <w:t>No</w:t>
            </w:r>
            <w:r w:rsidRPr="00CB3833">
              <w:rPr>
                <w:rFonts w:eastAsia="MS Mincho" w:cs="Arial"/>
                <w:color w:val="auto"/>
                <w:sz w:val="18"/>
                <w:szCs w:val="18"/>
              </w:rPr>
              <w:t xml:space="preserve">, based on </w:t>
            </w:r>
            <w:r w:rsidR="00BC43B5">
              <w:rPr>
                <w:rFonts w:eastAsia="MS Mincho" w:cs="Arial"/>
                <w:color w:val="auto"/>
                <w:sz w:val="18"/>
                <w:szCs w:val="18"/>
              </w:rPr>
              <w:t>VFA</w:t>
            </w:r>
            <w:r w:rsidRPr="00CB3833">
              <w:rPr>
                <w:rFonts w:eastAsia="MS Mincho" w:cs="Arial"/>
                <w:color w:val="auto"/>
                <w:sz w:val="18"/>
                <w:szCs w:val="18"/>
              </w:rPr>
              <w:t xml:space="preserve"> 2012-2016 catch data.</w:t>
            </w:r>
          </w:p>
          <w:p w14:paraId="045785E4" w14:textId="77777777" w:rsidR="00125AA5" w:rsidRDefault="00125AA5" w:rsidP="000C6E0C">
            <w:pPr>
              <w:pStyle w:val="TableTextform"/>
              <w:rPr>
                <w:rFonts w:eastAsia="MS Mincho"/>
                <w:color w:val="auto"/>
                <w:sz w:val="18"/>
                <w:szCs w:val="18"/>
              </w:rPr>
            </w:pPr>
            <w:r w:rsidRPr="00CB3833">
              <w:rPr>
                <w:rFonts w:eastAsia="MS Mincho" w:cs="Arial"/>
                <w:b/>
                <w:color w:val="auto"/>
                <w:sz w:val="18"/>
                <w:szCs w:val="18"/>
              </w:rPr>
              <w:t xml:space="preserve">Diesel spill EMBA – </w:t>
            </w:r>
            <w:r w:rsidRPr="00CB3833">
              <w:rPr>
                <w:rFonts w:eastAsia="MS Mincho" w:cs="Arial"/>
                <w:b/>
                <w:color w:val="00B050"/>
                <w:sz w:val="18"/>
                <w:szCs w:val="18"/>
              </w:rPr>
              <w:t>Yes</w:t>
            </w:r>
            <w:r w:rsidRPr="00CB3833">
              <w:rPr>
                <w:rFonts w:eastAsia="MS Mincho" w:cs="Arial"/>
                <w:color w:val="auto"/>
                <w:sz w:val="18"/>
                <w:szCs w:val="18"/>
              </w:rPr>
              <w:t>,</w:t>
            </w:r>
            <w:r w:rsidRPr="00CB3833">
              <w:rPr>
                <w:rFonts w:eastAsia="MS Mincho" w:cs="Arial"/>
                <w:b/>
                <w:color w:val="auto"/>
                <w:sz w:val="18"/>
                <w:szCs w:val="18"/>
              </w:rPr>
              <w:t xml:space="preserve"> </w:t>
            </w:r>
            <w:r w:rsidR="00462B66" w:rsidRPr="00462B66">
              <w:rPr>
                <w:rFonts w:eastAsia="MS Mincho"/>
                <w:color w:val="auto"/>
                <w:sz w:val="18"/>
                <w:szCs w:val="18"/>
              </w:rPr>
              <w:t>small abalone aquaculture leases exist at Tullaberga Island and Gabo Island near the Victorian/NSW border.</w:t>
            </w:r>
          </w:p>
          <w:p w14:paraId="36386F31" w14:textId="77777777" w:rsidR="00615434" w:rsidRDefault="00615434" w:rsidP="00615434">
            <w:pPr>
              <w:pStyle w:val="TableTextform"/>
              <w:rPr>
                <w:rFonts w:cs="Arial"/>
                <w:sz w:val="18"/>
                <w:szCs w:val="18"/>
              </w:rPr>
            </w:pPr>
          </w:p>
          <w:p w14:paraId="2E0E7C53" w14:textId="36945CD4" w:rsidR="006E482E" w:rsidRDefault="006E482E" w:rsidP="006E482E">
            <w:pPr>
              <w:pStyle w:val="TableTextform"/>
              <w:rPr>
                <w:rFonts w:cs="Arial"/>
                <w:i/>
                <w:sz w:val="18"/>
                <w:szCs w:val="18"/>
              </w:rPr>
            </w:pPr>
            <w:r>
              <w:rPr>
                <w:rFonts w:cs="Arial"/>
                <w:i/>
                <w:sz w:val="18"/>
                <w:szCs w:val="18"/>
              </w:rPr>
              <w:t>Acquisition area intersects 0.26% of the fishery</w:t>
            </w:r>
            <w:r w:rsidR="00BF43DC">
              <w:rPr>
                <w:rFonts w:cs="Arial"/>
                <w:i/>
                <w:sz w:val="18"/>
                <w:szCs w:val="18"/>
              </w:rPr>
              <w:t xml:space="preserve"> (eastern zone)</w:t>
            </w:r>
            <w:r>
              <w:rPr>
                <w:rFonts w:cs="Arial"/>
                <w:i/>
                <w:sz w:val="18"/>
                <w:szCs w:val="18"/>
              </w:rPr>
              <w:t xml:space="preserve">. </w:t>
            </w:r>
          </w:p>
          <w:p w14:paraId="7CC4479A" w14:textId="216A37C8" w:rsidR="006E482E" w:rsidRDefault="006E482E" w:rsidP="006E482E">
            <w:pPr>
              <w:pStyle w:val="TableTextform"/>
              <w:rPr>
                <w:rFonts w:cs="Arial"/>
                <w:i/>
                <w:sz w:val="18"/>
                <w:szCs w:val="18"/>
              </w:rPr>
            </w:pPr>
            <w:r>
              <w:rPr>
                <w:rFonts w:cs="Arial"/>
                <w:i/>
                <w:sz w:val="18"/>
                <w:szCs w:val="18"/>
              </w:rPr>
              <w:t>Operational</w:t>
            </w:r>
            <w:r w:rsidRPr="00D018C0">
              <w:rPr>
                <w:rFonts w:cs="Arial"/>
                <w:i/>
                <w:sz w:val="18"/>
                <w:szCs w:val="18"/>
              </w:rPr>
              <w:t xml:space="preserve"> area intersects 0</w:t>
            </w:r>
            <w:r>
              <w:rPr>
                <w:rFonts w:cs="Arial"/>
                <w:i/>
                <w:sz w:val="18"/>
                <w:szCs w:val="18"/>
              </w:rPr>
              <w:t>.52</w:t>
            </w:r>
            <w:r w:rsidRPr="00D018C0">
              <w:rPr>
                <w:rFonts w:cs="Arial"/>
                <w:i/>
                <w:sz w:val="18"/>
                <w:szCs w:val="18"/>
              </w:rPr>
              <w:t>% of the fishery</w:t>
            </w:r>
            <w:r w:rsidR="00BF43DC">
              <w:rPr>
                <w:rFonts w:cs="Arial"/>
                <w:i/>
                <w:sz w:val="18"/>
                <w:szCs w:val="18"/>
              </w:rPr>
              <w:t xml:space="preserve"> (eastern zone)</w:t>
            </w:r>
            <w:r>
              <w:rPr>
                <w:rFonts w:cs="Arial"/>
                <w:i/>
                <w:sz w:val="18"/>
                <w:szCs w:val="18"/>
              </w:rPr>
              <w:t>.</w:t>
            </w:r>
          </w:p>
          <w:p w14:paraId="324E2C90" w14:textId="03D1DEB6" w:rsidR="006E482E" w:rsidRPr="00CB3833" w:rsidRDefault="006E482E" w:rsidP="006E482E">
            <w:pPr>
              <w:pStyle w:val="TableTextform"/>
              <w:rPr>
                <w:rFonts w:cs="Arial"/>
                <w:sz w:val="18"/>
                <w:szCs w:val="18"/>
              </w:rPr>
            </w:pPr>
            <w:r w:rsidRPr="00D018C0">
              <w:rPr>
                <w:rFonts w:cs="Arial"/>
                <w:i/>
                <w:sz w:val="18"/>
                <w:szCs w:val="18"/>
              </w:rPr>
              <w:t xml:space="preserve">EMBA intersects </w:t>
            </w:r>
            <w:r>
              <w:rPr>
                <w:rFonts w:cs="Arial"/>
                <w:i/>
                <w:sz w:val="18"/>
                <w:szCs w:val="18"/>
              </w:rPr>
              <w:t>14.66</w:t>
            </w:r>
            <w:r w:rsidRPr="00D018C0">
              <w:rPr>
                <w:rFonts w:cs="Arial"/>
                <w:i/>
                <w:sz w:val="18"/>
                <w:szCs w:val="18"/>
              </w:rPr>
              <w:t>% of the fishery</w:t>
            </w:r>
            <w:r w:rsidR="00BF43DC">
              <w:rPr>
                <w:rFonts w:cs="Arial"/>
                <w:i/>
                <w:sz w:val="18"/>
                <w:szCs w:val="18"/>
              </w:rPr>
              <w:t xml:space="preserve"> (eastern zone)</w:t>
            </w:r>
            <w:r w:rsidRPr="00D018C0">
              <w:rPr>
                <w:rFonts w:cs="Arial"/>
                <w:i/>
                <w:sz w:val="18"/>
                <w:szCs w:val="18"/>
              </w:rPr>
              <w:t>.</w:t>
            </w:r>
            <w:r w:rsidRPr="00CE607A">
              <w:rPr>
                <w:rFonts w:cs="Arial"/>
                <w:i/>
                <w:sz w:val="18"/>
                <w:szCs w:val="18"/>
              </w:rPr>
              <w:t xml:space="preserve">  </w:t>
            </w:r>
          </w:p>
        </w:tc>
        <w:tc>
          <w:tcPr>
            <w:tcW w:w="1843" w:type="dxa"/>
            <w:tcBorders>
              <w:top w:val="single" w:sz="5" w:space="0" w:color="000000"/>
              <w:left w:val="single" w:sz="5" w:space="0" w:color="000000"/>
              <w:bottom w:val="single" w:sz="5" w:space="0" w:color="000000"/>
              <w:right w:val="single" w:sz="5" w:space="0" w:color="000000"/>
            </w:tcBorders>
          </w:tcPr>
          <w:p w14:paraId="7C105FBC" w14:textId="153EAAEF" w:rsidR="00125AA5" w:rsidRPr="00CB3833" w:rsidRDefault="00774512" w:rsidP="000C6E0C">
            <w:pPr>
              <w:pStyle w:val="TableTextform"/>
              <w:rPr>
                <w:rFonts w:eastAsia="MS Mincho" w:cs="Arial"/>
                <w:color w:val="auto"/>
                <w:sz w:val="18"/>
                <w:szCs w:val="18"/>
              </w:rPr>
            </w:pPr>
            <w:r>
              <w:rPr>
                <w:rFonts w:eastAsia="MS Mincho" w:cs="Arial"/>
                <w:color w:val="auto"/>
                <w:sz w:val="18"/>
                <w:szCs w:val="18"/>
              </w:rPr>
              <w:t>12-</w:t>
            </w:r>
            <w:r w:rsidR="00125AA5" w:rsidRPr="00CB3833">
              <w:rPr>
                <w:rFonts w:eastAsia="MS Mincho" w:cs="Arial"/>
                <w:color w:val="auto"/>
                <w:sz w:val="18"/>
                <w:szCs w:val="18"/>
              </w:rPr>
              <w:t>month season, beginning 1</w:t>
            </w:r>
            <w:r w:rsidR="00125AA5" w:rsidRPr="00CB3833">
              <w:rPr>
                <w:rFonts w:eastAsia="MS Mincho" w:cs="Arial"/>
                <w:color w:val="auto"/>
                <w:sz w:val="18"/>
                <w:szCs w:val="18"/>
                <w:vertAlign w:val="superscript"/>
              </w:rPr>
              <w:t>st</w:t>
            </w:r>
            <w:r w:rsidR="00125AA5" w:rsidRPr="00CB3833">
              <w:rPr>
                <w:rFonts w:eastAsia="MS Mincho" w:cs="Arial"/>
                <w:color w:val="auto"/>
                <w:sz w:val="18"/>
                <w:szCs w:val="18"/>
              </w:rPr>
              <w:t xml:space="preserve"> of April.</w:t>
            </w:r>
          </w:p>
        </w:tc>
        <w:tc>
          <w:tcPr>
            <w:tcW w:w="2693" w:type="dxa"/>
            <w:tcBorders>
              <w:top w:val="single" w:sz="5" w:space="0" w:color="000000"/>
              <w:left w:val="single" w:sz="5" w:space="0" w:color="000000"/>
              <w:bottom w:val="single" w:sz="5" w:space="0" w:color="000000"/>
              <w:right w:val="single" w:sz="5" w:space="0" w:color="000000"/>
            </w:tcBorders>
          </w:tcPr>
          <w:p w14:paraId="1B359DD2" w14:textId="77777777" w:rsidR="00125AA5" w:rsidRPr="00CB3833" w:rsidRDefault="00125AA5" w:rsidP="000C6E0C">
            <w:pPr>
              <w:pStyle w:val="TableTextform"/>
              <w:rPr>
                <w:rFonts w:eastAsia="MS Mincho" w:cs="Arial"/>
                <w:sz w:val="18"/>
                <w:szCs w:val="18"/>
              </w:rPr>
            </w:pPr>
            <w:r w:rsidRPr="00CB3833">
              <w:rPr>
                <w:rFonts w:eastAsia="MS Mincho" w:cs="Arial"/>
                <w:sz w:val="18"/>
                <w:szCs w:val="18"/>
              </w:rPr>
              <w:t>Abalone diving activity occurs close to shoreline (generally no greater than 30 m) using hookah gear (breathing air supplied via hose connected to an air compressor on the vessel). Commercial divers do not use SCUBA gear.</w:t>
            </w:r>
          </w:p>
          <w:p w14:paraId="72F431C4" w14:textId="0BEC134D" w:rsidR="00125AA5" w:rsidRPr="00CB3833" w:rsidRDefault="00125AA5" w:rsidP="000C6E0C">
            <w:pPr>
              <w:pStyle w:val="TableTextform"/>
              <w:rPr>
                <w:rFonts w:eastAsia="MS Mincho" w:cs="Arial"/>
                <w:sz w:val="18"/>
                <w:szCs w:val="18"/>
              </w:rPr>
            </w:pPr>
            <w:r w:rsidRPr="00CB3833">
              <w:rPr>
                <w:rFonts w:eastAsia="MS Mincho" w:cs="Arial"/>
                <w:sz w:val="18"/>
                <w:szCs w:val="18"/>
              </w:rPr>
              <w:t>Divers use a</w:t>
            </w:r>
            <w:r w:rsidR="00462B66">
              <w:rPr>
                <w:rFonts w:eastAsia="MS Mincho" w:cs="Arial"/>
                <w:sz w:val="18"/>
                <w:szCs w:val="18"/>
              </w:rPr>
              <w:t>n</w:t>
            </w:r>
            <w:r w:rsidRPr="00CB3833">
              <w:rPr>
                <w:rFonts w:eastAsia="MS Mincho" w:cs="Arial"/>
                <w:sz w:val="18"/>
                <w:szCs w:val="18"/>
              </w:rPr>
              <w:t xml:space="preserve"> iron bar to prise abalone from rocks. </w:t>
            </w:r>
          </w:p>
          <w:p w14:paraId="1D261A0D" w14:textId="77777777" w:rsidR="00125AA5" w:rsidRPr="00CB3833" w:rsidRDefault="00125AA5" w:rsidP="000C6E0C">
            <w:pPr>
              <w:pStyle w:val="TableTextform"/>
              <w:rPr>
                <w:rFonts w:eastAsia="MS Mincho" w:cs="Arial"/>
                <w:sz w:val="18"/>
                <w:szCs w:val="18"/>
              </w:rPr>
            </w:pPr>
            <w:r w:rsidRPr="00CB3833">
              <w:rPr>
                <w:rFonts w:eastAsia="MS Mincho" w:cs="Arial"/>
                <w:sz w:val="18"/>
                <w:szCs w:val="18"/>
              </w:rPr>
              <w:t xml:space="preserve">The fishery consists of 71 fishery access licences, of which 34 operate in the central zone. </w:t>
            </w:r>
          </w:p>
        </w:tc>
        <w:tc>
          <w:tcPr>
            <w:tcW w:w="2268" w:type="dxa"/>
            <w:tcBorders>
              <w:top w:val="single" w:sz="5" w:space="0" w:color="000000"/>
              <w:left w:val="single" w:sz="5" w:space="0" w:color="000000"/>
              <w:bottom w:val="single" w:sz="5" w:space="0" w:color="000000"/>
              <w:right w:val="single" w:sz="5" w:space="0" w:color="000000"/>
            </w:tcBorders>
          </w:tcPr>
          <w:p w14:paraId="08414BA1" w14:textId="77777777" w:rsidR="00462B66" w:rsidRPr="00462B66" w:rsidRDefault="00462B66" w:rsidP="00462B66">
            <w:pPr>
              <w:pStyle w:val="TableTextform"/>
              <w:rPr>
                <w:rFonts w:eastAsia="MS Mincho"/>
                <w:color w:val="auto"/>
                <w:sz w:val="18"/>
                <w:szCs w:val="18"/>
              </w:rPr>
            </w:pPr>
            <w:r w:rsidRPr="00462B66">
              <w:rPr>
                <w:rFonts w:eastAsia="MS Mincho"/>
                <w:color w:val="auto"/>
                <w:sz w:val="18"/>
                <w:szCs w:val="18"/>
              </w:rPr>
              <w:t>In the central zone, catches for the last five seasons were:</w:t>
            </w:r>
          </w:p>
          <w:p w14:paraId="22BD43B2" w14:textId="0625A50D" w:rsidR="004D4566" w:rsidRPr="00891DE1" w:rsidRDefault="004D4566" w:rsidP="00462B66">
            <w:pPr>
              <w:pStyle w:val="TableTextform"/>
              <w:keepNext/>
              <w:numPr>
                <w:ilvl w:val="0"/>
                <w:numId w:val="393"/>
              </w:numPr>
              <w:tabs>
                <w:tab w:val="left" w:pos="720"/>
              </w:tabs>
              <w:ind w:left="317" w:hanging="284"/>
              <w:outlineLvl w:val="1"/>
              <w:rPr>
                <w:rFonts w:eastAsia="MS Mincho"/>
                <w:color w:val="auto"/>
                <w:sz w:val="18"/>
                <w:szCs w:val="18"/>
              </w:rPr>
            </w:pPr>
            <w:bookmarkStart w:id="365" w:name="_Toc496019688"/>
            <w:bookmarkStart w:id="366" w:name="_Toc501230853"/>
            <w:r w:rsidRPr="00891DE1">
              <w:rPr>
                <w:rFonts w:eastAsia="MS Mincho"/>
                <w:color w:val="auto"/>
                <w:sz w:val="18"/>
                <w:szCs w:val="18"/>
              </w:rPr>
              <w:t>2016/17 – 280 t.</w:t>
            </w:r>
            <w:bookmarkEnd w:id="365"/>
            <w:bookmarkEnd w:id="366"/>
          </w:p>
          <w:p w14:paraId="257D4004" w14:textId="7616F50C" w:rsidR="00EC511A" w:rsidRPr="004D4566" w:rsidRDefault="004D4566" w:rsidP="00462B66">
            <w:pPr>
              <w:pStyle w:val="TableTextform"/>
              <w:keepNext/>
              <w:numPr>
                <w:ilvl w:val="0"/>
                <w:numId w:val="393"/>
              </w:numPr>
              <w:tabs>
                <w:tab w:val="left" w:pos="720"/>
              </w:tabs>
              <w:ind w:left="317" w:hanging="284"/>
              <w:outlineLvl w:val="1"/>
              <w:rPr>
                <w:rFonts w:eastAsia="MS Mincho"/>
                <w:color w:val="auto"/>
                <w:sz w:val="18"/>
                <w:szCs w:val="18"/>
              </w:rPr>
            </w:pPr>
            <w:bookmarkStart w:id="367" w:name="_Toc496019689"/>
            <w:bookmarkStart w:id="368" w:name="_Toc501230854"/>
            <w:r w:rsidRPr="00891DE1">
              <w:rPr>
                <w:rFonts w:eastAsia="MS Mincho"/>
                <w:color w:val="auto"/>
                <w:sz w:val="18"/>
                <w:szCs w:val="18"/>
              </w:rPr>
              <w:t>2015/16 – 306 t.</w:t>
            </w:r>
            <w:bookmarkEnd w:id="367"/>
            <w:bookmarkEnd w:id="368"/>
          </w:p>
          <w:p w14:paraId="4BFF0E77" w14:textId="19168B91" w:rsidR="00462B66" w:rsidRPr="004D4566" w:rsidRDefault="00462B66" w:rsidP="00462B66">
            <w:pPr>
              <w:pStyle w:val="TableTextform"/>
              <w:numPr>
                <w:ilvl w:val="0"/>
                <w:numId w:val="393"/>
              </w:numPr>
              <w:ind w:left="317" w:hanging="284"/>
              <w:rPr>
                <w:rFonts w:eastAsia="MS Mincho"/>
                <w:color w:val="auto"/>
                <w:sz w:val="18"/>
                <w:szCs w:val="18"/>
              </w:rPr>
            </w:pPr>
            <w:r w:rsidRPr="00C203B6">
              <w:rPr>
                <w:rFonts w:eastAsia="MS Mincho"/>
                <w:color w:val="auto"/>
                <w:sz w:val="18"/>
                <w:szCs w:val="18"/>
              </w:rPr>
              <w:t xml:space="preserve">2014/15 – 310 </w:t>
            </w:r>
            <w:r w:rsidRPr="004D4566">
              <w:rPr>
                <w:rFonts w:eastAsia="MS Mincho"/>
                <w:color w:val="auto"/>
                <w:sz w:val="18"/>
                <w:szCs w:val="18"/>
              </w:rPr>
              <w:t>t.</w:t>
            </w:r>
          </w:p>
          <w:p w14:paraId="12DAB92D" w14:textId="57BD9F4A" w:rsidR="00462B66" w:rsidRPr="004D4566" w:rsidRDefault="00462B66" w:rsidP="00462B66">
            <w:pPr>
              <w:pStyle w:val="TableTextform"/>
              <w:numPr>
                <w:ilvl w:val="0"/>
                <w:numId w:val="393"/>
              </w:numPr>
              <w:ind w:left="317" w:hanging="284"/>
              <w:rPr>
                <w:rFonts w:eastAsia="MS Mincho"/>
                <w:color w:val="auto"/>
                <w:sz w:val="18"/>
                <w:szCs w:val="18"/>
              </w:rPr>
            </w:pPr>
            <w:r w:rsidRPr="004D4566">
              <w:rPr>
                <w:rFonts w:eastAsia="MS Mincho"/>
                <w:color w:val="auto"/>
                <w:sz w:val="18"/>
                <w:szCs w:val="18"/>
              </w:rPr>
              <w:t>2013/14 – 282 t.</w:t>
            </w:r>
          </w:p>
          <w:p w14:paraId="6BFEC1B8" w14:textId="089A4C13" w:rsidR="00462B66" w:rsidRPr="004D4566" w:rsidRDefault="00462B66" w:rsidP="00462B66">
            <w:pPr>
              <w:pStyle w:val="TableTextform"/>
              <w:numPr>
                <w:ilvl w:val="0"/>
                <w:numId w:val="393"/>
              </w:numPr>
              <w:spacing w:after="0"/>
              <w:ind w:left="317" w:hanging="284"/>
              <w:rPr>
                <w:rFonts w:eastAsia="MS Mincho"/>
                <w:color w:val="auto"/>
                <w:sz w:val="18"/>
                <w:szCs w:val="18"/>
              </w:rPr>
            </w:pPr>
            <w:r w:rsidRPr="004D4566">
              <w:rPr>
                <w:rFonts w:eastAsia="MS Mincho"/>
                <w:color w:val="auto"/>
                <w:sz w:val="18"/>
                <w:szCs w:val="18"/>
              </w:rPr>
              <w:t>2012/13 – 311 t.</w:t>
            </w:r>
          </w:p>
          <w:p w14:paraId="686BAE62" w14:textId="77777777" w:rsidR="00462B66" w:rsidRPr="004D4566" w:rsidRDefault="00462B66" w:rsidP="00462B66">
            <w:pPr>
              <w:pStyle w:val="TableTextform"/>
              <w:rPr>
                <w:rFonts w:eastAsia="MS Mincho"/>
                <w:color w:val="auto"/>
                <w:sz w:val="18"/>
                <w:szCs w:val="18"/>
              </w:rPr>
            </w:pPr>
            <w:r w:rsidRPr="004D4566">
              <w:rPr>
                <w:rFonts w:eastAsia="MS Mincho"/>
                <w:color w:val="auto"/>
                <w:sz w:val="18"/>
                <w:szCs w:val="18"/>
              </w:rPr>
              <w:t>Across all zones, the catches were:</w:t>
            </w:r>
          </w:p>
          <w:p w14:paraId="134E30D2" w14:textId="7E7FE86C" w:rsidR="00EC511A" w:rsidRPr="004D4566" w:rsidRDefault="00EC511A" w:rsidP="00462B66">
            <w:pPr>
              <w:pStyle w:val="TableTextform"/>
              <w:keepNext/>
              <w:numPr>
                <w:ilvl w:val="0"/>
                <w:numId w:val="393"/>
              </w:numPr>
              <w:tabs>
                <w:tab w:val="left" w:pos="720"/>
              </w:tabs>
              <w:ind w:left="317" w:hanging="284"/>
              <w:outlineLvl w:val="1"/>
              <w:rPr>
                <w:rFonts w:eastAsia="MS Mincho"/>
                <w:color w:val="auto"/>
                <w:sz w:val="18"/>
                <w:szCs w:val="18"/>
              </w:rPr>
            </w:pPr>
            <w:bookmarkStart w:id="369" w:name="_Toc496019690"/>
            <w:bookmarkStart w:id="370" w:name="_Toc501230855"/>
            <w:r w:rsidRPr="004D4566">
              <w:rPr>
                <w:rFonts w:eastAsia="MS Mincho"/>
                <w:color w:val="auto"/>
                <w:sz w:val="18"/>
                <w:szCs w:val="18"/>
              </w:rPr>
              <w:t xml:space="preserve">2015/16 – </w:t>
            </w:r>
            <w:r w:rsidR="004D4566" w:rsidRPr="00891DE1">
              <w:rPr>
                <w:rFonts w:eastAsia="MS Mincho"/>
                <w:color w:val="auto"/>
                <w:sz w:val="18"/>
                <w:szCs w:val="18"/>
              </w:rPr>
              <w:t>725 t valued at $19.8 million.</w:t>
            </w:r>
            <w:bookmarkEnd w:id="369"/>
            <w:bookmarkEnd w:id="370"/>
          </w:p>
          <w:p w14:paraId="060DD553" w14:textId="6B859947" w:rsidR="00462B66" w:rsidRPr="00462B66" w:rsidRDefault="00462B66" w:rsidP="00462B66">
            <w:pPr>
              <w:pStyle w:val="TableTextform"/>
              <w:numPr>
                <w:ilvl w:val="0"/>
                <w:numId w:val="393"/>
              </w:numPr>
              <w:ind w:left="317" w:hanging="284"/>
              <w:rPr>
                <w:rFonts w:eastAsia="MS Mincho"/>
                <w:color w:val="auto"/>
                <w:sz w:val="18"/>
                <w:szCs w:val="18"/>
              </w:rPr>
            </w:pPr>
            <w:r w:rsidRPr="00462B66">
              <w:rPr>
                <w:rFonts w:eastAsia="MS Mincho"/>
                <w:color w:val="auto"/>
                <w:sz w:val="18"/>
                <w:szCs w:val="18"/>
              </w:rPr>
              <w:t xml:space="preserve">2014/15 – 736 </w:t>
            </w:r>
            <w:r>
              <w:rPr>
                <w:rFonts w:eastAsia="MS Mincho"/>
                <w:color w:val="auto"/>
                <w:sz w:val="18"/>
                <w:szCs w:val="18"/>
              </w:rPr>
              <w:t xml:space="preserve">t </w:t>
            </w:r>
            <w:r w:rsidRPr="00462B66">
              <w:rPr>
                <w:rFonts w:eastAsia="MS Mincho"/>
                <w:color w:val="auto"/>
                <w:sz w:val="18"/>
                <w:szCs w:val="18"/>
              </w:rPr>
              <w:t>valued at $20.1 million.</w:t>
            </w:r>
          </w:p>
          <w:p w14:paraId="5BBD7DF5" w14:textId="28B02D94" w:rsidR="00462B66" w:rsidRPr="00462B66" w:rsidRDefault="00462B66" w:rsidP="00462B66">
            <w:pPr>
              <w:pStyle w:val="TableTextform"/>
              <w:numPr>
                <w:ilvl w:val="0"/>
                <w:numId w:val="393"/>
              </w:numPr>
              <w:ind w:left="317" w:hanging="284"/>
              <w:rPr>
                <w:rFonts w:eastAsia="MS Mincho"/>
                <w:color w:val="auto"/>
                <w:sz w:val="18"/>
                <w:szCs w:val="18"/>
              </w:rPr>
            </w:pPr>
            <w:r w:rsidRPr="00462B66">
              <w:rPr>
                <w:rFonts w:eastAsia="MS Mincho"/>
                <w:color w:val="auto"/>
                <w:sz w:val="18"/>
                <w:szCs w:val="18"/>
              </w:rPr>
              <w:t xml:space="preserve">2013/14 – 731 </w:t>
            </w:r>
            <w:r>
              <w:rPr>
                <w:rFonts w:eastAsia="MS Mincho"/>
                <w:color w:val="auto"/>
                <w:sz w:val="18"/>
                <w:szCs w:val="18"/>
              </w:rPr>
              <w:t>t</w:t>
            </w:r>
            <w:r w:rsidRPr="00462B66">
              <w:rPr>
                <w:rFonts w:eastAsia="MS Mincho"/>
                <w:color w:val="auto"/>
                <w:sz w:val="18"/>
                <w:szCs w:val="18"/>
              </w:rPr>
              <w:t xml:space="preserve"> valued at $21.3 million.</w:t>
            </w:r>
          </w:p>
          <w:p w14:paraId="0C047903" w14:textId="77777777" w:rsidR="00125AA5" w:rsidRPr="00891DE1" w:rsidRDefault="00462B66" w:rsidP="00462B66">
            <w:pPr>
              <w:pStyle w:val="TableTextform"/>
              <w:numPr>
                <w:ilvl w:val="0"/>
                <w:numId w:val="393"/>
              </w:numPr>
              <w:ind w:left="317" w:hanging="284"/>
              <w:rPr>
                <w:rFonts w:cs="Arial"/>
                <w:sz w:val="18"/>
                <w:szCs w:val="18"/>
              </w:rPr>
            </w:pPr>
            <w:r w:rsidRPr="00462B66">
              <w:rPr>
                <w:rFonts w:eastAsia="MS Mincho"/>
                <w:color w:val="auto"/>
                <w:sz w:val="18"/>
                <w:szCs w:val="18"/>
              </w:rPr>
              <w:t xml:space="preserve">2012/13 – 825 </w:t>
            </w:r>
            <w:r>
              <w:rPr>
                <w:rFonts w:eastAsia="MS Mincho"/>
                <w:color w:val="auto"/>
                <w:sz w:val="18"/>
                <w:szCs w:val="18"/>
              </w:rPr>
              <w:t>t</w:t>
            </w:r>
            <w:r w:rsidRPr="00462B66">
              <w:rPr>
                <w:rFonts w:eastAsia="MS Mincho"/>
                <w:color w:val="auto"/>
                <w:sz w:val="18"/>
                <w:szCs w:val="18"/>
              </w:rPr>
              <w:t xml:space="preserve"> valued at $26.2 million.</w:t>
            </w:r>
          </w:p>
          <w:p w14:paraId="07D09B10" w14:textId="077598DA" w:rsidR="004D4566" w:rsidRPr="00462B66" w:rsidRDefault="004D4566" w:rsidP="00462B66">
            <w:pPr>
              <w:pStyle w:val="TableTextform"/>
              <w:numPr>
                <w:ilvl w:val="0"/>
                <w:numId w:val="393"/>
              </w:numPr>
              <w:ind w:left="317" w:hanging="284"/>
              <w:rPr>
                <w:rFonts w:cs="Arial"/>
                <w:sz w:val="18"/>
                <w:szCs w:val="18"/>
              </w:rPr>
            </w:pPr>
            <w:r>
              <w:rPr>
                <w:rFonts w:eastAsia="MS Mincho"/>
                <w:color w:val="auto"/>
                <w:sz w:val="18"/>
                <w:szCs w:val="18"/>
              </w:rPr>
              <w:t>2011/12 – 746 t valued at $23.2 million.</w:t>
            </w:r>
          </w:p>
        </w:tc>
      </w:tr>
      <w:tr w:rsidR="00125AA5" w:rsidRPr="00CB3833" w14:paraId="4E5718AF" w14:textId="77777777" w:rsidTr="00462B66">
        <w:trPr>
          <w:cantSplit/>
          <w:trHeight w:val="414"/>
        </w:trPr>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7806EA9A" w14:textId="77777777" w:rsidR="00125AA5" w:rsidRPr="00CB3833" w:rsidRDefault="00125AA5" w:rsidP="000C6E0C">
            <w:pPr>
              <w:pStyle w:val="TableTextform"/>
              <w:rPr>
                <w:rFonts w:cs="Arial"/>
                <w:sz w:val="18"/>
                <w:szCs w:val="18"/>
              </w:rPr>
            </w:pPr>
            <w:r w:rsidRPr="00CB3833">
              <w:rPr>
                <w:rFonts w:cs="Arial"/>
                <w:sz w:val="18"/>
                <w:szCs w:val="18"/>
              </w:rPr>
              <w:lastRenderedPageBreak/>
              <w:t>Rock Lobster Fishery (eastern zone; Lakes Entrance region)</w:t>
            </w:r>
          </w:p>
          <w:p w14:paraId="3C6317F2" w14:textId="47C2FE7A" w:rsidR="00AD7332" w:rsidRDefault="00AD7332" w:rsidP="00AD7332">
            <w:pPr>
              <w:pStyle w:val="TableTextform"/>
              <w:rPr>
                <w:rFonts w:cs="Arial"/>
                <w:sz w:val="18"/>
                <w:szCs w:val="18"/>
              </w:rPr>
            </w:pPr>
            <w:r w:rsidRPr="00CB3833">
              <w:rPr>
                <w:rFonts w:cs="Arial"/>
                <w:sz w:val="18"/>
                <w:szCs w:val="18"/>
              </w:rPr>
              <w:t>(</w:t>
            </w:r>
            <w:r w:rsidRPr="008B4D54">
              <w:rPr>
                <w:rFonts w:cs="Arial"/>
                <w:color w:val="auto"/>
                <w:sz w:val="18"/>
                <w:szCs w:val="18"/>
              </w:rPr>
              <w:t>Figure 5.</w:t>
            </w:r>
            <w:r w:rsidR="00C96320" w:rsidRPr="008B4D54">
              <w:rPr>
                <w:rFonts w:cs="Arial"/>
                <w:color w:val="auto"/>
                <w:sz w:val="18"/>
                <w:szCs w:val="18"/>
              </w:rPr>
              <w:t>33</w:t>
            </w:r>
            <w:r w:rsidRPr="008B4D54">
              <w:rPr>
                <w:rFonts w:cs="Arial"/>
                <w:color w:val="auto"/>
                <w:sz w:val="18"/>
                <w:szCs w:val="18"/>
              </w:rPr>
              <w:t>)</w:t>
            </w:r>
          </w:p>
          <w:p w14:paraId="185519B0" w14:textId="77777777" w:rsidR="008D7807" w:rsidRDefault="008D7807" w:rsidP="00AD7332">
            <w:pPr>
              <w:pStyle w:val="TableTextform"/>
              <w:rPr>
                <w:rFonts w:cs="Arial"/>
                <w:sz w:val="18"/>
                <w:szCs w:val="18"/>
              </w:rPr>
            </w:pPr>
          </w:p>
          <w:p w14:paraId="13C72246" w14:textId="77777777" w:rsidR="008D7807" w:rsidRPr="00CB3833" w:rsidRDefault="008D7807" w:rsidP="00AD7332">
            <w:pPr>
              <w:pStyle w:val="TableTextform"/>
              <w:rPr>
                <w:rFonts w:cs="Arial"/>
                <w:sz w:val="18"/>
                <w:szCs w:val="18"/>
              </w:rPr>
            </w:pPr>
          </w:p>
          <w:p w14:paraId="409A7E73" w14:textId="77777777" w:rsidR="00AD7332" w:rsidRPr="00CB3833" w:rsidRDefault="00AD7332" w:rsidP="000C6E0C">
            <w:pPr>
              <w:pStyle w:val="TableTextform"/>
              <w:rPr>
                <w:rFonts w:cs="Arial"/>
                <w:sz w:val="18"/>
                <w:szCs w:val="18"/>
              </w:rPr>
            </w:pPr>
          </w:p>
          <w:p w14:paraId="01F1CBF6" w14:textId="61B33B80" w:rsidR="00125AA5" w:rsidRPr="00CB3833" w:rsidRDefault="00125AA5" w:rsidP="000C6E0C">
            <w:pPr>
              <w:pStyle w:val="TableTextform"/>
              <w:rPr>
                <w:rFonts w:cs="Arial"/>
                <w:sz w:val="18"/>
                <w:szCs w:val="18"/>
              </w:rPr>
            </w:pPr>
          </w:p>
          <w:p w14:paraId="342A491A" w14:textId="77777777" w:rsidR="00125AA5" w:rsidRPr="00CB3833" w:rsidRDefault="00125AA5" w:rsidP="000C6E0C">
            <w:pPr>
              <w:pStyle w:val="TableTextform"/>
              <w:rPr>
                <w:rFonts w:cs="Arial"/>
                <w:sz w:val="18"/>
                <w:szCs w:val="18"/>
              </w:rPr>
            </w:pPr>
          </w:p>
        </w:tc>
        <w:tc>
          <w:tcPr>
            <w:tcW w:w="1559" w:type="dxa"/>
            <w:tcBorders>
              <w:top w:val="single" w:sz="5" w:space="0" w:color="000000"/>
              <w:left w:val="single" w:sz="5" w:space="0" w:color="000000"/>
              <w:bottom w:val="single" w:sz="5" w:space="0" w:color="000000"/>
              <w:right w:val="single" w:sz="5" w:space="0" w:color="000000"/>
            </w:tcBorders>
            <w:shd w:val="clear" w:color="auto" w:fill="auto"/>
          </w:tcPr>
          <w:p w14:paraId="5AEFF3A1" w14:textId="77777777" w:rsidR="00462B66" w:rsidRPr="00462B66" w:rsidRDefault="00462B66" w:rsidP="00462B66">
            <w:pPr>
              <w:pStyle w:val="TableTextform"/>
              <w:rPr>
                <w:rFonts w:eastAsia="MS Mincho"/>
                <w:sz w:val="18"/>
                <w:szCs w:val="18"/>
              </w:rPr>
            </w:pPr>
            <w:r w:rsidRPr="00462B66">
              <w:rPr>
                <w:rFonts w:eastAsia="MS Mincho"/>
                <w:sz w:val="18"/>
                <w:szCs w:val="18"/>
              </w:rPr>
              <w:t>Southern rock lobster (</w:t>
            </w:r>
            <w:r w:rsidRPr="00462B66">
              <w:rPr>
                <w:rFonts w:eastAsia="MS Mincho"/>
                <w:i/>
                <w:sz w:val="18"/>
                <w:szCs w:val="18"/>
              </w:rPr>
              <w:t>Jasus edwardsii</w:t>
            </w:r>
            <w:r w:rsidRPr="00462B66">
              <w:rPr>
                <w:rFonts w:eastAsia="MS Mincho"/>
                <w:sz w:val="18"/>
                <w:szCs w:val="18"/>
              </w:rPr>
              <w:t>).</w:t>
            </w:r>
          </w:p>
          <w:p w14:paraId="42625F60" w14:textId="77777777" w:rsidR="00462B66" w:rsidRPr="00462B66" w:rsidRDefault="00462B66" w:rsidP="00462B66">
            <w:pPr>
              <w:pStyle w:val="TableTextform"/>
              <w:rPr>
                <w:rFonts w:eastAsia="MS Mincho"/>
                <w:sz w:val="18"/>
                <w:szCs w:val="18"/>
              </w:rPr>
            </w:pPr>
          </w:p>
          <w:p w14:paraId="12B9D069" w14:textId="77777777" w:rsidR="00125AA5" w:rsidRDefault="00462B66" w:rsidP="00462B66">
            <w:pPr>
              <w:pStyle w:val="TableTextform"/>
              <w:rPr>
                <w:rFonts w:eastAsia="MS Mincho"/>
                <w:sz w:val="18"/>
                <w:szCs w:val="18"/>
              </w:rPr>
            </w:pPr>
            <w:r w:rsidRPr="00462B66">
              <w:rPr>
                <w:rFonts w:eastAsia="MS Mincho"/>
                <w:sz w:val="18"/>
                <w:szCs w:val="18"/>
              </w:rPr>
              <w:t>Very small bycatch of species including southern rock cod (</w:t>
            </w:r>
            <w:r w:rsidRPr="00462B66">
              <w:rPr>
                <w:rFonts w:eastAsia="MS Mincho"/>
                <w:i/>
                <w:sz w:val="18"/>
                <w:szCs w:val="18"/>
              </w:rPr>
              <w:t>Lotella</w:t>
            </w:r>
            <w:r w:rsidRPr="00462B66">
              <w:rPr>
                <w:rFonts w:eastAsia="MS Mincho"/>
                <w:sz w:val="18"/>
                <w:szCs w:val="18"/>
              </w:rPr>
              <w:t xml:space="preserve"> and </w:t>
            </w:r>
            <w:r w:rsidRPr="00462B66">
              <w:rPr>
                <w:rFonts w:eastAsia="MS Mincho"/>
                <w:i/>
                <w:sz w:val="18"/>
                <w:szCs w:val="18"/>
              </w:rPr>
              <w:t>Pseudophycis</w:t>
            </w:r>
            <w:r w:rsidRPr="00462B66">
              <w:rPr>
                <w:rFonts w:eastAsia="MS Mincho"/>
                <w:sz w:val="18"/>
                <w:szCs w:val="18"/>
              </w:rPr>
              <w:t xml:space="preserve"> spp), hermit crab (family Paguroidea), leatherjacket (</w:t>
            </w:r>
            <w:r w:rsidRPr="00462B66">
              <w:rPr>
                <w:rFonts w:eastAsia="MS Mincho"/>
                <w:i/>
                <w:sz w:val="18"/>
                <w:szCs w:val="18"/>
              </w:rPr>
              <w:t>Monacanthidae</w:t>
            </w:r>
            <w:r w:rsidRPr="00462B66">
              <w:rPr>
                <w:rFonts w:eastAsia="MS Mincho"/>
                <w:sz w:val="18"/>
                <w:szCs w:val="18"/>
              </w:rPr>
              <w:t xml:space="preserve"> spp) and octopus (</w:t>
            </w:r>
            <w:r w:rsidRPr="00462B66">
              <w:rPr>
                <w:rFonts w:eastAsia="MS Mincho"/>
                <w:i/>
                <w:sz w:val="18"/>
                <w:szCs w:val="18"/>
              </w:rPr>
              <w:t>Octopus</w:t>
            </w:r>
            <w:r w:rsidRPr="00462B66">
              <w:rPr>
                <w:rFonts w:eastAsia="MS Mincho"/>
                <w:sz w:val="18"/>
                <w:szCs w:val="18"/>
              </w:rPr>
              <w:t xml:space="preserve"> spp).</w:t>
            </w:r>
          </w:p>
          <w:p w14:paraId="3307D0DE" w14:textId="75AFC21D" w:rsidR="008D7807" w:rsidRPr="00462B66" w:rsidRDefault="008D7807" w:rsidP="008D7807">
            <w:pPr>
              <w:pStyle w:val="TableTextform"/>
              <w:rPr>
                <w:rFonts w:eastAsia="MS Mincho" w:cs="Arial"/>
                <w:color w:val="auto"/>
                <w:sz w:val="18"/>
                <w:szCs w:val="18"/>
              </w:rPr>
            </w:pPr>
            <w:r>
              <w:rPr>
                <w:rFonts w:eastAsia="MS Mincho"/>
                <w:sz w:val="18"/>
                <w:szCs w:val="18"/>
              </w:rPr>
              <w:t>SETFIA has stated that octopus is now being sighted in the area for the first time since the 1990s and that Moreton Bay bugs (</w:t>
            </w:r>
            <w:r w:rsidRPr="008D7807">
              <w:rPr>
                <w:rFonts w:eastAsia="MS Mincho"/>
                <w:i/>
                <w:sz w:val="18"/>
                <w:szCs w:val="18"/>
              </w:rPr>
              <w:t>Thenus orientalis</w:t>
            </w:r>
            <w:r>
              <w:rPr>
                <w:rFonts w:eastAsia="MS Mincho"/>
                <w:sz w:val="18"/>
                <w:szCs w:val="18"/>
              </w:rPr>
              <w:t>) are spawning near the Ninety Mile Beach MNP, though it is not clear whether these are fished.</w:t>
            </w:r>
          </w:p>
        </w:tc>
        <w:tc>
          <w:tcPr>
            <w:tcW w:w="2126" w:type="dxa"/>
            <w:tcBorders>
              <w:top w:val="single" w:sz="5" w:space="0" w:color="000000"/>
              <w:left w:val="single" w:sz="5" w:space="0" w:color="000000"/>
              <w:bottom w:val="single" w:sz="5" w:space="0" w:color="000000"/>
              <w:right w:val="single" w:sz="5" w:space="0" w:color="000000"/>
            </w:tcBorders>
          </w:tcPr>
          <w:p w14:paraId="4DE4AB44" w14:textId="77777777" w:rsidR="00125AA5" w:rsidRPr="00CB3833" w:rsidRDefault="00125AA5" w:rsidP="000C6E0C">
            <w:pPr>
              <w:pStyle w:val="TableTextform"/>
              <w:rPr>
                <w:rFonts w:eastAsia="MS Mincho" w:cs="Arial"/>
                <w:sz w:val="18"/>
                <w:szCs w:val="18"/>
              </w:rPr>
            </w:pPr>
            <w:r w:rsidRPr="00CB3833">
              <w:rPr>
                <w:rFonts w:eastAsia="MS Mincho" w:cs="Arial"/>
                <w:sz w:val="18"/>
                <w:szCs w:val="18"/>
              </w:rPr>
              <w:t>The eastern zone stretches from Apollo Bay in southwest Victoria to the Victorian/NSW border.</w:t>
            </w:r>
          </w:p>
          <w:p w14:paraId="588B28A4" w14:textId="77777777" w:rsidR="00125AA5" w:rsidRPr="00CB3833" w:rsidRDefault="00125AA5" w:rsidP="000C6E0C">
            <w:pPr>
              <w:pStyle w:val="TableTextform"/>
              <w:rPr>
                <w:rFonts w:cs="Arial"/>
                <w:sz w:val="18"/>
                <w:szCs w:val="18"/>
              </w:rPr>
            </w:pPr>
            <w:r w:rsidRPr="00CB3833">
              <w:rPr>
                <w:rFonts w:cs="Arial"/>
                <w:sz w:val="18"/>
                <w:szCs w:val="18"/>
              </w:rPr>
              <w:t>Rock lobster abundance decreases moving from western Victoria to eastern Victoria.</w:t>
            </w:r>
          </w:p>
          <w:p w14:paraId="6DA30CB8" w14:textId="77777777" w:rsidR="00125AA5" w:rsidRPr="00CB3833" w:rsidRDefault="00125AA5" w:rsidP="000C6E0C">
            <w:pPr>
              <w:pStyle w:val="TableTextform"/>
              <w:rPr>
                <w:rFonts w:cs="Arial"/>
                <w:sz w:val="18"/>
                <w:szCs w:val="18"/>
              </w:rPr>
            </w:pPr>
            <w:r w:rsidRPr="00CB3833">
              <w:rPr>
                <w:rFonts w:eastAsia="MS Mincho" w:cs="Arial"/>
                <w:sz w:val="18"/>
                <w:szCs w:val="18"/>
              </w:rPr>
              <w:t xml:space="preserve">Larval release occurs across the southern continental shelf, which is a high-current area, facilitating dispersal. The pelagic phyllosoma larval phase lasts around 12–18 months. </w:t>
            </w:r>
          </w:p>
        </w:tc>
        <w:tc>
          <w:tcPr>
            <w:tcW w:w="1985" w:type="dxa"/>
            <w:tcBorders>
              <w:top w:val="single" w:sz="5" w:space="0" w:color="000000"/>
              <w:left w:val="single" w:sz="5" w:space="0" w:color="000000"/>
              <w:bottom w:val="single" w:sz="5" w:space="0" w:color="000000"/>
              <w:right w:val="single" w:sz="5" w:space="0" w:color="000000"/>
            </w:tcBorders>
          </w:tcPr>
          <w:p w14:paraId="1F15B589" w14:textId="2B5FB5D7" w:rsidR="00462B66" w:rsidRPr="00462B66" w:rsidRDefault="00462B66" w:rsidP="00462B66">
            <w:pPr>
              <w:pStyle w:val="TableTextform"/>
              <w:rPr>
                <w:rFonts w:eastAsia="MS Mincho"/>
                <w:color w:val="auto"/>
                <w:sz w:val="18"/>
                <w:szCs w:val="18"/>
              </w:rPr>
            </w:pPr>
            <w:r w:rsidRPr="00462B66">
              <w:rPr>
                <w:rFonts w:eastAsia="MS Mincho"/>
                <w:b/>
                <w:color w:val="auto"/>
                <w:sz w:val="18"/>
                <w:szCs w:val="18"/>
              </w:rPr>
              <w:t xml:space="preserve">Acquisition area – </w:t>
            </w:r>
            <w:r w:rsidRPr="00462B66">
              <w:rPr>
                <w:rFonts w:eastAsia="MS Mincho"/>
                <w:b/>
                <w:color w:val="00B050"/>
                <w:sz w:val="18"/>
                <w:szCs w:val="18"/>
              </w:rPr>
              <w:t>Yes</w:t>
            </w:r>
            <w:r w:rsidRPr="00462B66">
              <w:rPr>
                <w:rFonts w:eastAsia="MS Mincho"/>
                <w:color w:val="auto"/>
                <w:sz w:val="18"/>
                <w:szCs w:val="18"/>
              </w:rPr>
              <w:t xml:space="preserve">, based on </w:t>
            </w:r>
            <w:r w:rsidR="00BC43B5">
              <w:rPr>
                <w:rFonts w:eastAsia="MS Mincho"/>
                <w:color w:val="auto"/>
                <w:sz w:val="18"/>
                <w:szCs w:val="18"/>
              </w:rPr>
              <w:t>VFA</w:t>
            </w:r>
            <w:r w:rsidRPr="00462B66">
              <w:rPr>
                <w:rFonts w:eastAsia="MS Mincho"/>
                <w:color w:val="auto"/>
                <w:sz w:val="18"/>
                <w:szCs w:val="18"/>
              </w:rPr>
              <w:t xml:space="preserve"> 2012-2016 catch data. Rocky reef is sparse and patchy in the acquisition area.</w:t>
            </w:r>
          </w:p>
          <w:p w14:paraId="1EE21520" w14:textId="77777777" w:rsidR="00462B66" w:rsidRPr="00462B66" w:rsidRDefault="00462B66" w:rsidP="00462B66">
            <w:pPr>
              <w:pStyle w:val="TableTextform"/>
              <w:rPr>
                <w:rFonts w:eastAsia="MS Mincho"/>
                <w:color w:val="auto"/>
                <w:sz w:val="18"/>
                <w:szCs w:val="18"/>
              </w:rPr>
            </w:pPr>
            <w:r w:rsidRPr="00462B66">
              <w:rPr>
                <w:rFonts w:eastAsia="MS Mincho"/>
                <w:b/>
                <w:color w:val="auto"/>
                <w:sz w:val="18"/>
                <w:szCs w:val="18"/>
              </w:rPr>
              <w:t xml:space="preserve">Diesel spill EMBA – </w:t>
            </w:r>
          </w:p>
          <w:p w14:paraId="6251239F" w14:textId="77777777" w:rsidR="00462B66" w:rsidRDefault="00462B66" w:rsidP="00462B66">
            <w:pPr>
              <w:pStyle w:val="TableTextform"/>
              <w:rPr>
                <w:rFonts w:eastAsia="MS Mincho"/>
                <w:color w:val="auto"/>
                <w:sz w:val="18"/>
                <w:szCs w:val="18"/>
              </w:rPr>
            </w:pPr>
            <w:r w:rsidRPr="00462B66">
              <w:rPr>
                <w:rFonts w:eastAsia="MS Mincho"/>
                <w:b/>
                <w:color w:val="00B050"/>
                <w:sz w:val="18"/>
                <w:szCs w:val="18"/>
              </w:rPr>
              <w:t>Likely</w:t>
            </w:r>
            <w:r w:rsidRPr="00462B66">
              <w:rPr>
                <w:rFonts w:eastAsia="MS Mincho"/>
                <w:color w:val="auto"/>
                <w:sz w:val="18"/>
                <w:szCs w:val="18"/>
              </w:rPr>
              <w:t xml:space="preserve">, though no data is available. </w:t>
            </w:r>
          </w:p>
          <w:p w14:paraId="1F7B675F" w14:textId="77777777" w:rsidR="00EE6960" w:rsidRDefault="00EE6960" w:rsidP="00462B66">
            <w:pPr>
              <w:pStyle w:val="TableTextform"/>
              <w:rPr>
                <w:rFonts w:eastAsia="MS Mincho"/>
                <w:color w:val="auto"/>
                <w:sz w:val="18"/>
                <w:szCs w:val="18"/>
              </w:rPr>
            </w:pPr>
          </w:p>
          <w:p w14:paraId="26A847D7" w14:textId="202D774F" w:rsidR="006E482E" w:rsidRDefault="006E482E" w:rsidP="006E482E">
            <w:pPr>
              <w:pStyle w:val="TableTextform"/>
              <w:rPr>
                <w:rFonts w:cs="Arial"/>
                <w:i/>
                <w:sz w:val="18"/>
                <w:szCs w:val="18"/>
              </w:rPr>
            </w:pPr>
            <w:r>
              <w:rPr>
                <w:rFonts w:cs="Arial"/>
                <w:i/>
                <w:sz w:val="18"/>
                <w:szCs w:val="18"/>
              </w:rPr>
              <w:t>Acquisition area intersects 0.26% of the fishery</w:t>
            </w:r>
            <w:r w:rsidR="00BF43DC">
              <w:rPr>
                <w:rFonts w:cs="Arial"/>
                <w:i/>
                <w:sz w:val="18"/>
                <w:szCs w:val="18"/>
              </w:rPr>
              <w:t xml:space="preserve"> (eastern zone)</w:t>
            </w:r>
            <w:r>
              <w:rPr>
                <w:rFonts w:cs="Arial"/>
                <w:i/>
                <w:sz w:val="18"/>
                <w:szCs w:val="18"/>
              </w:rPr>
              <w:t xml:space="preserve">. </w:t>
            </w:r>
          </w:p>
          <w:p w14:paraId="20D8CEB6" w14:textId="0B46E5C6" w:rsidR="006E482E" w:rsidRDefault="006E482E" w:rsidP="006E482E">
            <w:pPr>
              <w:pStyle w:val="TableTextform"/>
              <w:rPr>
                <w:rFonts w:cs="Arial"/>
                <w:i/>
                <w:sz w:val="18"/>
                <w:szCs w:val="18"/>
              </w:rPr>
            </w:pPr>
            <w:r>
              <w:rPr>
                <w:rFonts w:cs="Arial"/>
                <w:i/>
                <w:sz w:val="18"/>
                <w:szCs w:val="18"/>
              </w:rPr>
              <w:t>Operational</w:t>
            </w:r>
            <w:r w:rsidRPr="00D018C0">
              <w:rPr>
                <w:rFonts w:cs="Arial"/>
                <w:i/>
                <w:sz w:val="18"/>
                <w:szCs w:val="18"/>
              </w:rPr>
              <w:t xml:space="preserve"> area intersects 0</w:t>
            </w:r>
            <w:r>
              <w:rPr>
                <w:rFonts w:cs="Arial"/>
                <w:i/>
                <w:sz w:val="18"/>
                <w:szCs w:val="18"/>
              </w:rPr>
              <w:t>.52</w:t>
            </w:r>
            <w:r w:rsidRPr="00D018C0">
              <w:rPr>
                <w:rFonts w:cs="Arial"/>
                <w:i/>
                <w:sz w:val="18"/>
                <w:szCs w:val="18"/>
              </w:rPr>
              <w:t>% of the fishery</w:t>
            </w:r>
            <w:r w:rsidR="00BF43DC">
              <w:rPr>
                <w:rFonts w:cs="Arial"/>
                <w:i/>
                <w:sz w:val="18"/>
                <w:szCs w:val="18"/>
              </w:rPr>
              <w:t xml:space="preserve"> (eastern zone)</w:t>
            </w:r>
            <w:r>
              <w:rPr>
                <w:rFonts w:cs="Arial"/>
                <w:i/>
                <w:sz w:val="18"/>
                <w:szCs w:val="18"/>
              </w:rPr>
              <w:t>.</w:t>
            </w:r>
          </w:p>
          <w:p w14:paraId="19A8C5B4" w14:textId="39E988C3" w:rsidR="00125AA5" w:rsidRPr="00462B66" w:rsidRDefault="006E482E" w:rsidP="006E482E">
            <w:pPr>
              <w:pStyle w:val="TableTextform"/>
              <w:rPr>
                <w:rFonts w:eastAsia="MS Mincho" w:cs="Arial"/>
                <w:color w:val="auto"/>
                <w:sz w:val="18"/>
                <w:szCs w:val="18"/>
              </w:rPr>
            </w:pPr>
            <w:r w:rsidRPr="00D018C0">
              <w:rPr>
                <w:rFonts w:cs="Arial"/>
                <w:i/>
                <w:sz w:val="18"/>
                <w:szCs w:val="18"/>
              </w:rPr>
              <w:t xml:space="preserve">EMBA intersects </w:t>
            </w:r>
            <w:r>
              <w:rPr>
                <w:rFonts w:cs="Arial"/>
                <w:i/>
                <w:sz w:val="18"/>
                <w:szCs w:val="18"/>
              </w:rPr>
              <w:t>14.66</w:t>
            </w:r>
            <w:r w:rsidRPr="00D018C0">
              <w:rPr>
                <w:rFonts w:cs="Arial"/>
                <w:i/>
                <w:sz w:val="18"/>
                <w:szCs w:val="18"/>
              </w:rPr>
              <w:t>% of the fishery</w:t>
            </w:r>
            <w:r w:rsidR="00BF43DC">
              <w:rPr>
                <w:rFonts w:cs="Arial"/>
                <w:i/>
                <w:sz w:val="18"/>
                <w:szCs w:val="18"/>
              </w:rPr>
              <w:t xml:space="preserve"> (eastern zone)</w:t>
            </w:r>
            <w:r w:rsidRPr="00D018C0">
              <w:rPr>
                <w:rFonts w:cs="Arial"/>
                <w:i/>
                <w:sz w:val="18"/>
                <w:szCs w:val="18"/>
              </w:rPr>
              <w:t>.</w:t>
            </w:r>
            <w:r w:rsidRPr="00CE607A">
              <w:rPr>
                <w:rFonts w:cs="Arial"/>
                <w:i/>
                <w:sz w:val="18"/>
                <w:szCs w:val="18"/>
              </w:rPr>
              <w:t xml:space="preserve">  </w:t>
            </w:r>
          </w:p>
        </w:tc>
        <w:tc>
          <w:tcPr>
            <w:tcW w:w="1843" w:type="dxa"/>
            <w:tcBorders>
              <w:top w:val="single" w:sz="5" w:space="0" w:color="000000"/>
              <w:left w:val="single" w:sz="5" w:space="0" w:color="000000"/>
              <w:bottom w:val="single" w:sz="5" w:space="0" w:color="000000"/>
              <w:right w:val="single" w:sz="5" w:space="0" w:color="000000"/>
            </w:tcBorders>
          </w:tcPr>
          <w:p w14:paraId="6FBD70CB" w14:textId="77777777" w:rsidR="000F10CB" w:rsidRDefault="000F10CB" w:rsidP="000C6E0C">
            <w:pPr>
              <w:pStyle w:val="TableTextform"/>
              <w:rPr>
                <w:rFonts w:cs="Arial"/>
                <w:sz w:val="18"/>
                <w:szCs w:val="18"/>
              </w:rPr>
            </w:pPr>
            <w:r>
              <w:rPr>
                <w:rFonts w:cs="Arial"/>
                <w:sz w:val="18"/>
                <w:szCs w:val="18"/>
              </w:rPr>
              <w:t xml:space="preserve">Closed season for: </w:t>
            </w:r>
          </w:p>
          <w:p w14:paraId="2C5DEE45" w14:textId="4FB9733E" w:rsidR="004E6AD8" w:rsidRDefault="000F10CB" w:rsidP="000F10CB">
            <w:pPr>
              <w:pStyle w:val="TableTextform"/>
              <w:numPr>
                <w:ilvl w:val="0"/>
                <w:numId w:val="393"/>
              </w:numPr>
              <w:ind w:left="317" w:hanging="284"/>
              <w:rPr>
                <w:rFonts w:eastAsia="MS Mincho"/>
                <w:color w:val="auto"/>
                <w:sz w:val="18"/>
                <w:szCs w:val="18"/>
              </w:rPr>
            </w:pPr>
            <w:r>
              <w:rPr>
                <w:rFonts w:eastAsia="MS Mincho"/>
                <w:color w:val="auto"/>
                <w:sz w:val="18"/>
                <w:szCs w:val="18"/>
              </w:rPr>
              <w:t>F</w:t>
            </w:r>
            <w:r w:rsidRPr="000F10CB">
              <w:rPr>
                <w:rFonts w:eastAsia="MS Mincho"/>
                <w:color w:val="auto"/>
                <w:sz w:val="18"/>
                <w:szCs w:val="18"/>
              </w:rPr>
              <w:t>emale lobsters – 1 June to 15 November to protect females in berry during spawning period.</w:t>
            </w:r>
          </w:p>
          <w:p w14:paraId="1887031E" w14:textId="611F39B7" w:rsidR="000F10CB" w:rsidRPr="000F10CB" w:rsidRDefault="000F10CB" w:rsidP="000F10CB">
            <w:pPr>
              <w:pStyle w:val="TableTextform"/>
              <w:numPr>
                <w:ilvl w:val="0"/>
                <w:numId w:val="393"/>
              </w:numPr>
              <w:ind w:left="317" w:hanging="284"/>
              <w:rPr>
                <w:rFonts w:eastAsia="MS Mincho"/>
                <w:color w:val="auto"/>
                <w:sz w:val="18"/>
                <w:szCs w:val="18"/>
              </w:rPr>
            </w:pPr>
            <w:r>
              <w:rPr>
                <w:rFonts w:eastAsia="MS Mincho"/>
                <w:color w:val="auto"/>
                <w:sz w:val="18"/>
                <w:szCs w:val="18"/>
              </w:rPr>
              <w:t>Male lobsters – 15 September to 15 November to protect males during their moulting period when soft shells increase their vulnerability.</w:t>
            </w:r>
          </w:p>
          <w:p w14:paraId="7AB5552A" w14:textId="5809C49E" w:rsidR="00125AA5" w:rsidRPr="00CB3833" w:rsidRDefault="00125AA5" w:rsidP="004E6AD8">
            <w:pPr>
              <w:pStyle w:val="TableTextform"/>
              <w:rPr>
                <w:rFonts w:eastAsia="MS Mincho" w:cs="Arial"/>
                <w:color w:val="auto"/>
                <w:sz w:val="18"/>
                <w:szCs w:val="18"/>
              </w:rPr>
            </w:pPr>
            <w:r w:rsidRPr="00CB3833">
              <w:rPr>
                <w:rFonts w:cs="Arial"/>
                <w:sz w:val="18"/>
                <w:szCs w:val="18"/>
              </w:rPr>
              <w:t>Catch</w:t>
            </w:r>
            <w:r w:rsidR="004E6AD8">
              <w:rPr>
                <w:rFonts w:cs="Arial"/>
                <w:sz w:val="18"/>
                <w:szCs w:val="18"/>
              </w:rPr>
              <w:t>es</w:t>
            </w:r>
            <w:r w:rsidRPr="00CB3833">
              <w:rPr>
                <w:rFonts w:cs="Arial"/>
                <w:sz w:val="18"/>
                <w:szCs w:val="18"/>
              </w:rPr>
              <w:t xml:space="preserve"> generally highest from August to January. </w:t>
            </w:r>
          </w:p>
        </w:tc>
        <w:tc>
          <w:tcPr>
            <w:tcW w:w="2693" w:type="dxa"/>
            <w:tcBorders>
              <w:top w:val="single" w:sz="5" w:space="0" w:color="000000"/>
              <w:left w:val="single" w:sz="5" w:space="0" w:color="000000"/>
              <w:bottom w:val="single" w:sz="5" w:space="0" w:color="000000"/>
              <w:right w:val="single" w:sz="5" w:space="0" w:color="000000"/>
            </w:tcBorders>
          </w:tcPr>
          <w:p w14:paraId="1991371A" w14:textId="77777777" w:rsidR="00125AA5" w:rsidRPr="00CB3833" w:rsidRDefault="00125AA5" w:rsidP="000C6E0C">
            <w:pPr>
              <w:pStyle w:val="TableTextform"/>
              <w:rPr>
                <w:rFonts w:cs="Arial"/>
                <w:sz w:val="18"/>
                <w:szCs w:val="18"/>
              </w:rPr>
            </w:pPr>
            <w:r w:rsidRPr="00CB3833">
              <w:rPr>
                <w:rFonts w:eastAsia="MS Mincho" w:cs="Arial"/>
                <w:sz w:val="18"/>
                <w:szCs w:val="18"/>
              </w:rPr>
              <w:t>Fished from coastal rocky reefs in waters up to 150 m depth, with most of the catch coming from inshore waters less than 100 m deep.</w:t>
            </w:r>
            <w:r w:rsidRPr="00CB3833">
              <w:rPr>
                <w:rFonts w:cs="Arial"/>
                <w:sz w:val="18"/>
                <w:szCs w:val="18"/>
              </w:rPr>
              <w:t xml:space="preserve"> </w:t>
            </w:r>
          </w:p>
          <w:p w14:paraId="72FBAA3F" w14:textId="77777777" w:rsidR="00125AA5" w:rsidRPr="00CB3833" w:rsidRDefault="00125AA5" w:rsidP="000C6E0C">
            <w:pPr>
              <w:pStyle w:val="TableTextform"/>
              <w:rPr>
                <w:rFonts w:cs="Arial"/>
                <w:sz w:val="18"/>
                <w:szCs w:val="18"/>
              </w:rPr>
            </w:pPr>
            <w:r w:rsidRPr="00CB3833">
              <w:rPr>
                <w:rFonts w:cs="Arial"/>
                <w:sz w:val="18"/>
                <w:szCs w:val="18"/>
              </w:rPr>
              <w:t>Baited pots are generally set and retrieved each day, marked with a surface buoy.</w:t>
            </w:r>
          </w:p>
          <w:p w14:paraId="40418444" w14:textId="77777777" w:rsidR="00462B66" w:rsidRDefault="00462B66" w:rsidP="00462B66">
            <w:pPr>
              <w:pStyle w:val="TableTextform"/>
              <w:rPr>
                <w:rFonts w:eastAsia="MS Mincho" w:cs="Arial"/>
                <w:sz w:val="18"/>
                <w:szCs w:val="18"/>
              </w:rPr>
            </w:pPr>
            <w:r w:rsidRPr="00462B66">
              <w:rPr>
                <w:rFonts w:eastAsia="MS Mincho" w:cs="Arial"/>
                <w:sz w:val="18"/>
                <w:szCs w:val="18"/>
              </w:rPr>
              <w:t xml:space="preserve">In 2014/15, there were 25 active licences and 23 fishing vessels in the eastern zone. </w:t>
            </w:r>
          </w:p>
          <w:p w14:paraId="59418D88" w14:textId="798EBB6B" w:rsidR="00D3469F" w:rsidRPr="00462B66" w:rsidRDefault="00D3469F" w:rsidP="00462B66">
            <w:pPr>
              <w:pStyle w:val="TableTextform"/>
              <w:rPr>
                <w:rFonts w:eastAsia="MS Mincho" w:cs="Arial"/>
                <w:sz w:val="18"/>
                <w:szCs w:val="18"/>
              </w:rPr>
            </w:pPr>
            <w:r>
              <w:rPr>
                <w:rFonts w:cs="Arial"/>
                <w:sz w:val="18"/>
                <w:szCs w:val="18"/>
              </w:rPr>
              <w:t xml:space="preserve">Anecdotal information from a fisher working in the region indicates that only one </w:t>
            </w:r>
            <w:r w:rsidR="006E482E">
              <w:rPr>
                <w:rFonts w:cs="Arial"/>
                <w:sz w:val="18"/>
                <w:szCs w:val="18"/>
              </w:rPr>
              <w:t xml:space="preserve">lobster </w:t>
            </w:r>
            <w:r>
              <w:rPr>
                <w:rFonts w:cs="Arial"/>
                <w:sz w:val="18"/>
                <w:szCs w:val="18"/>
              </w:rPr>
              <w:t xml:space="preserve">fisher operates in the proposed acquisition area, fishing a small section of mapped reef between the marine environmental </w:t>
            </w:r>
            <w:r w:rsidR="00BF43DC">
              <w:rPr>
                <w:rFonts w:cs="Arial"/>
                <w:sz w:val="18"/>
                <w:szCs w:val="18"/>
              </w:rPr>
              <w:t>assessment</w:t>
            </w:r>
            <w:r>
              <w:rPr>
                <w:rFonts w:cs="Arial"/>
                <w:sz w:val="18"/>
                <w:szCs w:val="18"/>
              </w:rPr>
              <w:t xml:space="preserve"> sampling sites 51 and 52 (water depths between 15-20 m)</w:t>
            </w:r>
            <w:r w:rsidR="00083E58">
              <w:rPr>
                <w:rFonts w:cs="Arial"/>
                <w:sz w:val="18"/>
                <w:szCs w:val="18"/>
              </w:rPr>
              <w:t>.</w:t>
            </w:r>
            <w:r>
              <w:rPr>
                <w:rFonts w:cs="Arial"/>
                <w:sz w:val="18"/>
                <w:szCs w:val="18"/>
              </w:rPr>
              <w:t xml:space="preserve"> </w:t>
            </w:r>
          </w:p>
          <w:p w14:paraId="309C3097" w14:textId="77777777" w:rsidR="00125AA5" w:rsidRPr="00CB3833" w:rsidRDefault="00125AA5" w:rsidP="000C6E0C">
            <w:pPr>
              <w:pStyle w:val="TableTextform"/>
              <w:rPr>
                <w:rFonts w:eastAsia="MS Mincho" w:cs="Arial"/>
                <w:color w:val="auto"/>
                <w:sz w:val="18"/>
                <w:szCs w:val="18"/>
              </w:rPr>
            </w:pPr>
          </w:p>
        </w:tc>
        <w:tc>
          <w:tcPr>
            <w:tcW w:w="2268" w:type="dxa"/>
            <w:tcBorders>
              <w:top w:val="single" w:sz="5" w:space="0" w:color="000000"/>
              <w:left w:val="single" w:sz="5" w:space="0" w:color="000000"/>
              <w:bottom w:val="single" w:sz="5" w:space="0" w:color="000000"/>
              <w:right w:val="single" w:sz="5" w:space="0" w:color="000000"/>
            </w:tcBorders>
          </w:tcPr>
          <w:p w14:paraId="2C95B113" w14:textId="77777777" w:rsidR="00462B66" w:rsidRPr="00462B66" w:rsidRDefault="00462B66" w:rsidP="00462B66">
            <w:pPr>
              <w:pStyle w:val="TableTextform"/>
              <w:rPr>
                <w:rFonts w:eastAsia="MS Mincho"/>
                <w:color w:val="auto"/>
                <w:sz w:val="18"/>
                <w:szCs w:val="18"/>
              </w:rPr>
            </w:pPr>
            <w:r w:rsidRPr="00462B66">
              <w:rPr>
                <w:rFonts w:eastAsia="MS Mincho"/>
                <w:color w:val="auto"/>
                <w:sz w:val="18"/>
                <w:szCs w:val="18"/>
              </w:rPr>
              <w:t>In the eastern zone, catches for the last five seasons were:</w:t>
            </w:r>
          </w:p>
          <w:p w14:paraId="56982B5B" w14:textId="33BA329A" w:rsidR="00C57711" w:rsidRDefault="00C57711" w:rsidP="00462B66">
            <w:pPr>
              <w:pStyle w:val="TableTextform"/>
              <w:numPr>
                <w:ilvl w:val="0"/>
                <w:numId w:val="393"/>
              </w:numPr>
              <w:ind w:left="317" w:hanging="284"/>
              <w:rPr>
                <w:rFonts w:eastAsia="MS Mincho"/>
                <w:color w:val="auto"/>
                <w:sz w:val="18"/>
                <w:szCs w:val="18"/>
              </w:rPr>
            </w:pPr>
            <w:r>
              <w:rPr>
                <w:rFonts w:eastAsia="MS Mincho"/>
                <w:color w:val="auto"/>
                <w:sz w:val="18"/>
                <w:szCs w:val="18"/>
              </w:rPr>
              <w:t xml:space="preserve">2015/16 </w:t>
            </w:r>
            <w:r w:rsidR="004D4566">
              <w:rPr>
                <w:rFonts w:eastAsia="MS Mincho"/>
                <w:color w:val="auto"/>
                <w:sz w:val="18"/>
                <w:szCs w:val="18"/>
              </w:rPr>
              <w:t>–</w:t>
            </w:r>
            <w:r>
              <w:rPr>
                <w:rFonts w:eastAsia="MS Mincho"/>
                <w:color w:val="auto"/>
                <w:sz w:val="18"/>
                <w:szCs w:val="18"/>
              </w:rPr>
              <w:t xml:space="preserve"> </w:t>
            </w:r>
            <w:r w:rsidR="004D4566">
              <w:rPr>
                <w:rFonts w:eastAsia="MS Mincho"/>
                <w:color w:val="auto"/>
                <w:sz w:val="18"/>
                <w:szCs w:val="18"/>
              </w:rPr>
              <w:t>58 t valued at $5.1 million.</w:t>
            </w:r>
          </w:p>
          <w:p w14:paraId="05B6EB4B" w14:textId="7E3E1545" w:rsidR="00462B66" w:rsidRPr="00462B66" w:rsidRDefault="00462B66" w:rsidP="00462B66">
            <w:pPr>
              <w:pStyle w:val="TableTextform"/>
              <w:numPr>
                <w:ilvl w:val="0"/>
                <w:numId w:val="393"/>
              </w:numPr>
              <w:ind w:left="317" w:hanging="284"/>
              <w:rPr>
                <w:rFonts w:eastAsia="MS Mincho"/>
                <w:color w:val="auto"/>
                <w:sz w:val="18"/>
                <w:szCs w:val="18"/>
              </w:rPr>
            </w:pPr>
            <w:r w:rsidRPr="00462B66">
              <w:rPr>
                <w:rFonts w:eastAsia="MS Mincho"/>
                <w:color w:val="auto"/>
                <w:sz w:val="18"/>
                <w:szCs w:val="18"/>
              </w:rPr>
              <w:t xml:space="preserve">2014/15 – 59 </w:t>
            </w:r>
            <w:r>
              <w:rPr>
                <w:rFonts w:eastAsia="MS Mincho"/>
                <w:color w:val="auto"/>
                <w:sz w:val="18"/>
                <w:szCs w:val="18"/>
              </w:rPr>
              <w:t>t</w:t>
            </w:r>
            <w:r w:rsidRPr="00462B66">
              <w:rPr>
                <w:rFonts w:eastAsia="MS Mincho"/>
                <w:color w:val="auto"/>
                <w:sz w:val="18"/>
                <w:szCs w:val="18"/>
              </w:rPr>
              <w:t xml:space="preserve"> valued at $5 million.</w:t>
            </w:r>
          </w:p>
          <w:p w14:paraId="556D4801" w14:textId="093F7ADE" w:rsidR="00462B66" w:rsidRPr="00462B66" w:rsidRDefault="00462B66" w:rsidP="00462B66">
            <w:pPr>
              <w:pStyle w:val="TableTextform"/>
              <w:numPr>
                <w:ilvl w:val="0"/>
                <w:numId w:val="393"/>
              </w:numPr>
              <w:ind w:left="317" w:hanging="284"/>
              <w:rPr>
                <w:rFonts w:eastAsia="MS Mincho"/>
                <w:color w:val="auto"/>
                <w:sz w:val="18"/>
                <w:szCs w:val="18"/>
              </w:rPr>
            </w:pPr>
            <w:r w:rsidRPr="00462B66">
              <w:rPr>
                <w:rFonts w:eastAsia="MS Mincho"/>
                <w:color w:val="auto"/>
                <w:sz w:val="18"/>
                <w:szCs w:val="18"/>
              </w:rPr>
              <w:t xml:space="preserve">2013/14 – 51 </w:t>
            </w:r>
            <w:r>
              <w:rPr>
                <w:rFonts w:eastAsia="MS Mincho"/>
                <w:color w:val="auto"/>
                <w:sz w:val="18"/>
                <w:szCs w:val="18"/>
              </w:rPr>
              <w:t>t</w:t>
            </w:r>
            <w:r w:rsidRPr="00462B66">
              <w:rPr>
                <w:rFonts w:eastAsia="MS Mincho"/>
                <w:color w:val="auto"/>
                <w:sz w:val="18"/>
                <w:szCs w:val="18"/>
              </w:rPr>
              <w:t xml:space="preserve"> valued at $3.6 million.</w:t>
            </w:r>
          </w:p>
          <w:p w14:paraId="5C702B33" w14:textId="74CDD02A" w:rsidR="00462B66" w:rsidRPr="00462B66" w:rsidRDefault="00462B66" w:rsidP="00462B66">
            <w:pPr>
              <w:pStyle w:val="TableTextform"/>
              <w:numPr>
                <w:ilvl w:val="0"/>
                <w:numId w:val="393"/>
              </w:numPr>
              <w:ind w:left="317" w:hanging="284"/>
              <w:rPr>
                <w:rFonts w:eastAsia="MS Mincho"/>
                <w:color w:val="auto"/>
                <w:sz w:val="18"/>
                <w:szCs w:val="18"/>
              </w:rPr>
            </w:pPr>
            <w:r w:rsidRPr="00462B66">
              <w:rPr>
                <w:rFonts w:eastAsia="MS Mincho"/>
                <w:color w:val="auto"/>
                <w:sz w:val="18"/>
                <w:szCs w:val="18"/>
              </w:rPr>
              <w:t xml:space="preserve">2012/13 – 48 </w:t>
            </w:r>
            <w:r>
              <w:rPr>
                <w:rFonts w:eastAsia="MS Mincho"/>
                <w:color w:val="auto"/>
                <w:sz w:val="18"/>
                <w:szCs w:val="18"/>
              </w:rPr>
              <w:t>t</w:t>
            </w:r>
            <w:r w:rsidRPr="00462B66">
              <w:rPr>
                <w:rFonts w:eastAsia="MS Mincho"/>
                <w:color w:val="auto"/>
                <w:sz w:val="18"/>
                <w:szCs w:val="18"/>
              </w:rPr>
              <w:t xml:space="preserve"> valued at $2.7 million.</w:t>
            </w:r>
          </w:p>
          <w:p w14:paraId="755F0D53" w14:textId="61F9F67D" w:rsidR="00462B66" w:rsidRPr="0044350A" w:rsidRDefault="00462B66" w:rsidP="0044350A">
            <w:pPr>
              <w:pStyle w:val="TableTextform"/>
              <w:numPr>
                <w:ilvl w:val="0"/>
                <w:numId w:val="393"/>
              </w:numPr>
              <w:spacing w:after="120"/>
              <w:ind w:left="317" w:hanging="284"/>
              <w:rPr>
                <w:rFonts w:eastAsia="MS Mincho"/>
                <w:color w:val="auto"/>
                <w:sz w:val="18"/>
                <w:szCs w:val="18"/>
              </w:rPr>
            </w:pPr>
            <w:r w:rsidRPr="0044350A">
              <w:rPr>
                <w:rFonts w:eastAsia="MS Mincho"/>
                <w:color w:val="auto"/>
                <w:sz w:val="18"/>
                <w:szCs w:val="18"/>
              </w:rPr>
              <w:t xml:space="preserve">2011/12 – 65 </w:t>
            </w:r>
            <w:r w:rsidRPr="00AD734D">
              <w:rPr>
                <w:rFonts w:eastAsia="MS Mincho"/>
                <w:color w:val="auto"/>
                <w:sz w:val="18"/>
                <w:szCs w:val="18"/>
              </w:rPr>
              <w:t>t valued at $3.9 million.</w:t>
            </w:r>
          </w:p>
          <w:p w14:paraId="02F6BA56" w14:textId="0BF2C359" w:rsidR="004E6AD8" w:rsidRPr="00462B66" w:rsidRDefault="005832A6" w:rsidP="004D4566">
            <w:pPr>
              <w:pStyle w:val="TableTextform"/>
              <w:rPr>
                <w:rFonts w:eastAsia="MS Mincho" w:cs="Arial"/>
                <w:color w:val="auto"/>
                <w:sz w:val="18"/>
                <w:szCs w:val="18"/>
              </w:rPr>
            </w:pPr>
            <w:r>
              <w:rPr>
                <w:rFonts w:eastAsia="MS Mincho" w:cs="Arial"/>
                <w:color w:val="auto"/>
                <w:sz w:val="18"/>
                <w:szCs w:val="18"/>
              </w:rPr>
              <w:t xml:space="preserve"> </w:t>
            </w:r>
          </w:p>
        </w:tc>
      </w:tr>
      <w:tr w:rsidR="00125AA5" w:rsidRPr="00CB3833" w14:paraId="78DE9220" w14:textId="77777777" w:rsidTr="00462B66">
        <w:trPr>
          <w:cantSplit/>
          <w:trHeight w:val="414"/>
        </w:trPr>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79E9F6FA" w14:textId="77777777" w:rsidR="00125AA5" w:rsidRDefault="00125AA5" w:rsidP="000C6E0C">
            <w:pPr>
              <w:pStyle w:val="TableTextform"/>
              <w:rPr>
                <w:rFonts w:cs="Arial"/>
                <w:sz w:val="18"/>
                <w:szCs w:val="18"/>
              </w:rPr>
            </w:pPr>
            <w:r w:rsidRPr="00CB3833">
              <w:rPr>
                <w:rFonts w:cs="Arial"/>
                <w:sz w:val="18"/>
                <w:szCs w:val="18"/>
              </w:rPr>
              <w:lastRenderedPageBreak/>
              <w:t>Wrasse Fishery (Lakes Entrance region)</w:t>
            </w:r>
          </w:p>
          <w:p w14:paraId="1FB4C8D0" w14:textId="77777777" w:rsidR="008D7807" w:rsidRDefault="008D7807" w:rsidP="000C6E0C">
            <w:pPr>
              <w:pStyle w:val="TableTextform"/>
              <w:rPr>
                <w:rFonts w:cs="Arial"/>
                <w:sz w:val="18"/>
                <w:szCs w:val="18"/>
              </w:rPr>
            </w:pPr>
          </w:p>
          <w:p w14:paraId="7E5AC831" w14:textId="65A1CE80" w:rsidR="008D7807" w:rsidRPr="00CB3833" w:rsidRDefault="008D7807" w:rsidP="000C6E0C">
            <w:pPr>
              <w:pStyle w:val="TableTextform"/>
              <w:rPr>
                <w:rFonts w:cs="Arial"/>
                <w:sz w:val="18"/>
                <w:szCs w:val="18"/>
              </w:rPr>
            </w:pPr>
          </w:p>
        </w:tc>
        <w:tc>
          <w:tcPr>
            <w:tcW w:w="1559" w:type="dxa"/>
            <w:tcBorders>
              <w:top w:val="single" w:sz="5" w:space="0" w:color="000000"/>
              <w:left w:val="single" w:sz="5" w:space="0" w:color="000000"/>
              <w:bottom w:val="single" w:sz="5" w:space="0" w:color="000000"/>
              <w:right w:val="single" w:sz="5" w:space="0" w:color="000000"/>
            </w:tcBorders>
            <w:shd w:val="clear" w:color="auto" w:fill="auto"/>
          </w:tcPr>
          <w:p w14:paraId="7BBEEFBE" w14:textId="77777777" w:rsidR="00125AA5" w:rsidRPr="00CB3833" w:rsidRDefault="00125AA5" w:rsidP="000C6E0C">
            <w:pPr>
              <w:pStyle w:val="TableTextform"/>
              <w:rPr>
                <w:rFonts w:eastAsia="MS Mincho" w:cs="Arial"/>
                <w:color w:val="auto"/>
                <w:sz w:val="18"/>
                <w:szCs w:val="18"/>
              </w:rPr>
            </w:pPr>
            <w:r w:rsidRPr="00CB3833">
              <w:rPr>
                <w:rFonts w:eastAsia="MS Mincho" w:cs="Arial"/>
                <w:color w:val="auto"/>
                <w:sz w:val="18"/>
                <w:szCs w:val="18"/>
              </w:rPr>
              <w:t>Blue-throat wrasse (</w:t>
            </w:r>
            <w:r w:rsidRPr="00CB3833">
              <w:rPr>
                <w:rFonts w:eastAsia="MS Mincho" w:cs="Arial"/>
                <w:i/>
                <w:color w:val="auto"/>
                <w:sz w:val="18"/>
                <w:szCs w:val="18"/>
              </w:rPr>
              <w:t>Notolabrus tetricus</w:t>
            </w:r>
            <w:r w:rsidRPr="00CB3833">
              <w:rPr>
                <w:rFonts w:eastAsia="MS Mincho" w:cs="Arial"/>
                <w:color w:val="auto"/>
                <w:sz w:val="18"/>
                <w:szCs w:val="18"/>
              </w:rPr>
              <w:t>), saddled wrasse (</w:t>
            </w:r>
            <w:r w:rsidRPr="00CB3833">
              <w:rPr>
                <w:rFonts w:eastAsia="MS Mincho" w:cs="Arial"/>
                <w:i/>
                <w:color w:val="auto"/>
                <w:sz w:val="18"/>
                <w:szCs w:val="18"/>
              </w:rPr>
              <w:t>N. fucicola</w:t>
            </w:r>
            <w:r w:rsidRPr="00CB3833">
              <w:rPr>
                <w:rFonts w:eastAsia="MS Mincho" w:cs="Arial"/>
                <w:color w:val="auto"/>
                <w:sz w:val="18"/>
                <w:szCs w:val="18"/>
              </w:rPr>
              <w:t>), orange-spotted wrasse (</w:t>
            </w:r>
            <w:r w:rsidRPr="00CB3833">
              <w:rPr>
                <w:rFonts w:eastAsia="MS Mincho" w:cs="Arial"/>
                <w:i/>
                <w:color w:val="auto"/>
                <w:sz w:val="18"/>
                <w:szCs w:val="18"/>
              </w:rPr>
              <w:t>N. parilus</w:t>
            </w:r>
            <w:r w:rsidRPr="00CB3833">
              <w:rPr>
                <w:rFonts w:eastAsia="MS Mincho" w:cs="Arial"/>
                <w:color w:val="auto"/>
                <w:sz w:val="18"/>
                <w:szCs w:val="18"/>
              </w:rPr>
              <w:t>).</w:t>
            </w:r>
          </w:p>
        </w:tc>
        <w:tc>
          <w:tcPr>
            <w:tcW w:w="2126" w:type="dxa"/>
            <w:tcBorders>
              <w:top w:val="single" w:sz="5" w:space="0" w:color="000000"/>
              <w:left w:val="single" w:sz="5" w:space="0" w:color="000000"/>
              <w:bottom w:val="single" w:sz="5" w:space="0" w:color="000000"/>
              <w:right w:val="single" w:sz="5" w:space="0" w:color="000000"/>
            </w:tcBorders>
          </w:tcPr>
          <w:p w14:paraId="6700343F" w14:textId="5603679F" w:rsidR="00125AA5" w:rsidRPr="00CB3833" w:rsidRDefault="00125AA5" w:rsidP="000C6E0C">
            <w:pPr>
              <w:pStyle w:val="TableTextform"/>
              <w:rPr>
                <w:rFonts w:cs="Arial"/>
                <w:sz w:val="18"/>
                <w:szCs w:val="18"/>
              </w:rPr>
            </w:pPr>
            <w:r w:rsidRPr="00CB3833">
              <w:rPr>
                <w:rFonts w:cs="Arial"/>
                <w:sz w:val="18"/>
                <w:szCs w:val="18"/>
              </w:rPr>
              <w:t>Entire Victorian coastline out to 20 nm (excluding marine reserves</w:t>
            </w:r>
            <w:r w:rsidR="00944E62">
              <w:rPr>
                <w:rFonts w:cs="Arial"/>
                <w:sz w:val="18"/>
                <w:szCs w:val="18"/>
              </w:rPr>
              <w:t>, bays and inlets</w:t>
            </w:r>
            <w:r w:rsidRPr="00CB3833">
              <w:rPr>
                <w:rFonts w:cs="Arial"/>
                <w:sz w:val="18"/>
                <w:szCs w:val="18"/>
              </w:rPr>
              <w:t>).</w:t>
            </w:r>
          </w:p>
          <w:p w14:paraId="0DE14834" w14:textId="77777777" w:rsidR="00125AA5" w:rsidRPr="00CB3833" w:rsidRDefault="00125AA5" w:rsidP="000C6E0C">
            <w:pPr>
              <w:pStyle w:val="TableTextform"/>
              <w:rPr>
                <w:rFonts w:cs="Arial"/>
                <w:sz w:val="18"/>
                <w:szCs w:val="18"/>
              </w:rPr>
            </w:pPr>
            <w:r w:rsidRPr="00CB3833">
              <w:rPr>
                <w:rFonts w:cs="Arial"/>
                <w:sz w:val="18"/>
                <w:szCs w:val="18"/>
              </w:rPr>
              <w:t>In recent years, catches have been highest off the central coast (Port Phillip Heads, Western Port and Wilson’s Promontory) and west coast (Portland).</w:t>
            </w:r>
          </w:p>
        </w:tc>
        <w:tc>
          <w:tcPr>
            <w:tcW w:w="1985" w:type="dxa"/>
            <w:tcBorders>
              <w:top w:val="single" w:sz="5" w:space="0" w:color="000000"/>
              <w:left w:val="single" w:sz="5" w:space="0" w:color="000000"/>
              <w:bottom w:val="single" w:sz="5" w:space="0" w:color="000000"/>
              <w:right w:val="single" w:sz="5" w:space="0" w:color="000000"/>
            </w:tcBorders>
          </w:tcPr>
          <w:p w14:paraId="169BBB46" w14:textId="6B1BF3C2" w:rsidR="00125AA5" w:rsidRPr="00CB3833" w:rsidRDefault="00125AA5" w:rsidP="000C6E0C">
            <w:pPr>
              <w:pStyle w:val="TableTextform"/>
              <w:rPr>
                <w:rFonts w:eastAsia="MS Mincho" w:cs="Arial"/>
                <w:b/>
                <w:color w:val="auto"/>
                <w:sz w:val="18"/>
                <w:szCs w:val="18"/>
              </w:rPr>
            </w:pPr>
            <w:r w:rsidRPr="00CB3833">
              <w:rPr>
                <w:rFonts w:eastAsia="MS Mincho" w:cs="Arial"/>
                <w:b/>
                <w:color w:val="auto"/>
                <w:sz w:val="18"/>
                <w:szCs w:val="18"/>
              </w:rPr>
              <w:t xml:space="preserve">Acquisition area – </w:t>
            </w:r>
            <w:r w:rsidRPr="00CB3833">
              <w:rPr>
                <w:rFonts w:eastAsia="MS Mincho" w:cs="Arial"/>
                <w:b/>
                <w:color w:val="FF0000"/>
                <w:sz w:val="18"/>
                <w:szCs w:val="18"/>
              </w:rPr>
              <w:t>No</w:t>
            </w:r>
            <w:r w:rsidRPr="00CB3833">
              <w:rPr>
                <w:rFonts w:eastAsia="MS Mincho" w:cs="Arial"/>
                <w:color w:val="auto"/>
                <w:sz w:val="18"/>
                <w:szCs w:val="18"/>
              </w:rPr>
              <w:t xml:space="preserve">, based on </w:t>
            </w:r>
            <w:r w:rsidR="00BC43B5">
              <w:rPr>
                <w:rFonts w:eastAsia="MS Mincho" w:cs="Arial"/>
                <w:color w:val="auto"/>
                <w:sz w:val="18"/>
                <w:szCs w:val="18"/>
              </w:rPr>
              <w:t>VFA</w:t>
            </w:r>
            <w:r w:rsidRPr="00CB3833">
              <w:rPr>
                <w:rFonts w:eastAsia="MS Mincho" w:cs="Arial"/>
                <w:color w:val="auto"/>
                <w:sz w:val="18"/>
                <w:szCs w:val="18"/>
              </w:rPr>
              <w:t xml:space="preserve"> 2012-2016 catch data.</w:t>
            </w:r>
          </w:p>
          <w:p w14:paraId="6F6C31BC" w14:textId="77777777" w:rsidR="00125AA5" w:rsidRPr="00CB3833" w:rsidRDefault="00125AA5" w:rsidP="000C6E0C">
            <w:pPr>
              <w:pStyle w:val="TableTextform"/>
              <w:rPr>
                <w:rFonts w:eastAsia="MS Mincho" w:cs="Arial"/>
                <w:color w:val="auto"/>
                <w:sz w:val="18"/>
                <w:szCs w:val="18"/>
              </w:rPr>
            </w:pPr>
            <w:r w:rsidRPr="00CB3833">
              <w:rPr>
                <w:rFonts w:eastAsia="MS Mincho" w:cs="Arial"/>
                <w:b/>
                <w:color w:val="auto"/>
                <w:sz w:val="18"/>
                <w:szCs w:val="18"/>
              </w:rPr>
              <w:t xml:space="preserve">Diesel spill EMBA – </w:t>
            </w:r>
          </w:p>
          <w:p w14:paraId="469EEBA9" w14:textId="77777777" w:rsidR="00125AA5" w:rsidRDefault="00944E62" w:rsidP="000C6E0C">
            <w:pPr>
              <w:pStyle w:val="TableTextform"/>
              <w:rPr>
                <w:rFonts w:eastAsia="MS Mincho"/>
                <w:color w:val="auto"/>
                <w:sz w:val="18"/>
                <w:szCs w:val="18"/>
              </w:rPr>
            </w:pPr>
            <w:r w:rsidRPr="00944E62">
              <w:rPr>
                <w:rFonts w:eastAsia="MS Mincho"/>
                <w:b/>
                <w:color w:val="0070C0"/>
                <w:sz w:val="18"/>
                <w:szCs w:val="18"/>
              </w:rPr>
              <w:t>Unknown</w:t>
            </w:r>
            <w:r w:rsidRPr="00944E62">
              <w:rPr>
                <w:rFonts w:eastAsia="MS Mincho"/>
                <w:color w:val="auto"/>
                <w:sz w:val="18"/>
                <w:szCs w:val="18"/>
              </w:rPr>
              <w:t>, as licences will be made transferrable from 1</w:t>
            </w:r>
            <w:r w:rsidRPr="00944E62">
              <w:rPr>
                <w:rFonts w:eastAsia="MS Mincho"/>
                <w:color w:val="auto"/>
                <w:sz w:val="18"/>
                <w:szCs w:val="18"/>
                <w:vertAlign w:val="superscript"/>
              </w:rPr>
              <w:t>st</w:t>
            </w:r>
            <w:r w:rsidRPr="00944E62">
              <w:rPr>
                <w:rFonts w:eastAsia="MS Mincho"/>
                <w:color w:val="auto"/>
                <w:sz w:val="18"/>
                <w:szCs w:val="18"/>
              </w:rPr>
              <w:t xml:space="preserve"> April 2017, so fishing effort could be activated in the area.</w:t>
            </w:r>
          </w:p>
          <w:p w14:paraId="59C37A06" w14:textId="77777777" w:rsidR="00EE6960" w:rsidRDefault="00EE6960" w:rsidP="000C6E0C">
            <w:pPr>
              <w:pStyle w:val="TableTextform"/>
              <w:rPr>
                <w:rFonts w:eastAsia="MS Mincho"/>
                <w:color w:val="auto"/>
                <w:sz w:val="18"/>
                <w:szCs w:val="18"/>
              </w:rPr>
            </w:pPr>
          </w:p>
          <w:p w14:paraId="71E98D77" w14:textId="7F6E5359" w:rsidR="00083E58" w:rsidRDefault="00083E58" w:rsidP="00083E58">
            <w:pPr>
              <w:pStyle w:val="TableTextform"/>
              <w:rPr>
                <w:rFonts w:cs="Arial"/>
                <w:i/>
                <w:sz w:val="18"/>
                <w:szCs w:val="18"/>
              </w:rPr>
            </w:pPr>
            <w:r>
              <w:rPr>
                <w:rFonts w:cs="Arial"/>
                <w:i/>
                <w:sz w:val="18"/>
                <w:szCs w:val="18"/>
              </w:rPr>
              <w:t xml:space="preserve">Acquisition area intersects 0.4% of the fishery. </w:t>
            </w:r>
          </w:p>
          <w:p w14:paraId="27E4F662" w14:textId="287C99B5" w:rsidR="00083E58" w:rsidRDefault="00083E58" w:rsidP="00083E58">
            <w:pPr>
              <w:pStyle w:val="TableTextform"/>
              <w:rPr>
                <w:rFonts w:cs="Arial"/>
                <w:i/>
                <w:sz w:val="18"/>
                <w:szCs w:val="18"/>
              </w:rPr>
            </w:pPr>
            <w:r>
              <w:rPr>
                <w:rFonts w:cs="Arial"/>
                <w:i/>
                <w:sz w:val="18"/>
                <w:szCs w:val="18"/>
              </w:rPr>
              <w:t>Operational</w:t>
            </w:r>
            <w:r w:rsidRPr="00D018C0">
              <w:rPr>
                <w:rFonts w:cs="Arial"/>
                <w:i/>
                <w:sz w:val="18"/>
                <w:szCs w:val="18"/>
              </w:rPr>
              <w:t xml:space="preserve"> area intersects 0</w:t>
            </w:r>
            <w:r>
              <w:rPr>
                <w:rFonts w:cs="Arial"/>
                <w:i/>
                <w:sz w:val="18"/>
                <w:szCs w:val="18"/>
              </w:rPr>
              <w:t>.79</w:t>
            </w:r>
            <w:r w:rsidRPr="00D018C0">
              <w:rPr>
                <w:rFonts w:cs="Arial"/>
                <w:i/>
                <w:sz w:val="18"/>
                <w:szCs w:val="18"/>
              </w:rPr>
              <w:t>% of the fishery</w:t>
            </w:r>
            <w:r>
              <w:rPr>
                <w:rFonts w:cs="Arial"/>
                <w:i/>
                <w:sz w:val="18"/>
                <w:szCs w:val="18"/>
              </w:rPr>
              <w:t>.</w:t>
            </w:r>
          </w:p>
          <w:p w14:paraId="1D0F602E" w14:textId="4B78C088" w:rsidR="00083E58" w:rsidRDefault="00083E58" w:rsidP="00083E58">
            <w:pPr>
              <w:pStyle w:val="TableTextform"/>
              <w:rPr>
                <w:rFonts w:eastAsia="MS Mincho"/>
                <w:color w:val="auto"/>
                <w:sz w:val="18"/>
                <w:szCs w:val="18"/>
              </w:rPr>
            </w:pPr>
            <w:r w:rsidRPr="00D018C0">
              <w:rPr>
                <w:rFonts w:cs="Arial"/>
                <w:i/>
                <w:sz w:val="18"/>
                <w:szCs w:val="18"/>
              </w:rPr>
              <w:t xml:space="preserve">EMBA intersects </w:t>
            </w:r>
            <w:r>
              <w:rPr>
                <w:rFonts w:cs="Arial"/>
                <w:i/>
                <w:sz w:val="18"/>
                <w:szCs w:val="18"/>
              </w:rPr>
              <w:t>20.9</w:t>
            </w:r>
            <w:r w:rsidRPr="00D018C0">
              <w:rPr>
                <w:rFonts w:cs="Arial"/>
                <w:i/>
                <w:sz w:val="18"/>
                <w:szCs w:val="18"/>
              </w:rPr>
              <w:t>% of the fishery.</w:t>
            </w:r>
            <w:r w:rsidRPr="00CE607A">
              <w:rPr>
                <w:rFonts w:cs="Arial"/>
                <w:i/>
                <w:sz w:val="18"/>
                <w:szCs w:val="18"/>
              </w:rPr>
              <w:t xml:space="preserve">  </w:t>
            </w:r>
          </w:p>
          <w:p w14:paraId="24BCFA2D" w14:textId="0990250C" w:rsidR="00EE6960" w:rsidRPr="00944E62" w:rsidRDefault="00EE6960" w:rsidP="000C6E0C">
            <w:pPr>
              <w:pStyle w:val="TableTextform"/>
              <w:rPr>
                <w:rFonts w:eastAsia="MS Mincho" w:cs="Arial"/>
                <w:color w:val="auto"/>
                <w:sz w:val="18"/>
                <w:szCs w:val="18"/>
              </w:rPr>
            </w:pPr>
          </w:p>
        </w:tc>
        <w:tc>
          <w:tcPr>
            <w:tcW w:w="1843" w:type="dxa"/>
            <w:tcBorders>
              <w:top w:val="single" w:sz="5" w:space="0" w:color="000000"/>
              <w:left w:val="single" w:sz="5" w:space="0" w:color="000000"/>
              <w:bottom w:val="single" w:sz="5" w:space="0" w:color="000000"/>
              <w:right w:val="single" w:sz="5" w:space="0" w:color="000000"/>
            </w:tcBorders>
          </w:tcPr>
          <w:p w14:paraId="00D65403" w14:textId="1A1EE8AA" w:rsidR="00125AA5" w:rsidRPr="00CB3833" w:rsidRDefault="00944E62" w:rsidP="000C6E0C">
            <w:pPr>
              <w:pStyle w:val="TableTextform"/>
              <w:rPr>
                <w:rFonts w:eastAsia="MS Mincho" w:cs="Arial"/>
                <w:color w:val="auto"/>
                <w:sz w:val="18"/>
                <w:szCs w:val="18"/>
              </w:rPr>
            </w:pPr>
            <w:r>
              <w:rPr>
                <w:rFonts w:eastAsia="MS Mincho" w:cs="Arial"/>
                <w:color w:val="auto"/>
                <w:sz w:val="18"/>
                <w:szCs w:val="18"/>
              </w:rPr>
              <w:t>Year-round.</w:t>
            </w:r>
          </w:p>
        </w:tc>
        <w:tc>
          <w:tcPr>
            <w:tcW w:w="2693" w:type="dxa"/>
            <w:tcBorders>
              <w:top w:val="single" w:sz="5" w:space="0" w:color="000000"/>
              <w:left w:val="single" w:sz="5" w:space="0" w:color="000000"/>
              <w:bottom w:val="single" w:sz="5" w:space="0" w:color="000000"/>
              <w:right w:val="single" w:sz="5" w:space="0" w:color="000000"/>
            </w:tcBorders>
          </w:tcPr>
          <w:p w14:paraId="3961AB64" w14:textId="77777777" w:rsidR="00125AA5" w:rsidRPr="00CB3833" w:rsidRDefault="00125AA5" w:rsidP="000C6E0C">
            <w:pPr>
              <w:pStyle w:val="TableTextform"/>
              <w:rPr>
                <w:rFonts w:eastAsia="MS Mincho" w:cs="Arial"/>
                <w:color w:val="auto"/>
                <w:sz w:val="18"/>
                <w:szCs w:val="18"/>
              </w:rPr>
            </w:pPr>
            <w:r w:rsidRPr="00CB3833">
              <w:rPr>
                <w:rFonts w:eastAsia="MS Mincho" w:cs="Arial"/>
                <w:color w:val="auto"/>
                <w:sz w:val="18"/>
                <w:szCs w:val="18"/>
              </w:rPr>
              <w:t>Handline fishing (excluding longline), rock lobster pots (if in possession of a rock lobster access fishing licence).</w:t>
            </w:r>
          </w:p>
          <w:p w14:paraId="72F8ECEC" w14:textId="77777777" w:rsidR="00125AA5" w:rsidRPr="00CB3833" w:rsidRDefault="00125AA5" w:rsidP="000C6E0C">
            <w:pPr>
              <w:pStyle w:val="TableTextform"/>
              <w:rPr>
                <w:rFonts w:eastAsia="MS Mincho" w:cs="Arial"/>
                <w:color w:val="auto"/>
                <w:sz w:val="18"/>
                <w:szCs w:val="18"/>
              </w:rPr>
            </w:pPr>
            <w:r w:rsidRPr="00CB3833">
              <w:rPr>
                <w:rFonts w:eastAsia="MS Mincho" w:cs="Arial"/>
                <w:color w:val="auto"/>
                <w:sz w:val="18"/>
                <w:szCs w:val="18"/>
              </w:rPr>
              <w:t>Preferred water depths for blue-throat wrasse is 20-40 m, while saddled wrasse prefer depths of 10-30 m.</w:t>
            </w:r>
          </w:p>
          <w:p w14:paraId="52A61DFB" w14:textId="77777777" w:rsidR="00125AA5" w:rsidRPr="00CB3833" w:rsidRDefault="00125AA5" w:rsidP="000C6E0C">
            <w:pPr>
              <w:pStyle w:val="TableTextform"/>
              <w:rPr>
                <w:rFonts w:eastAsia="MS Mincho" w:cs="Arial"/>
                <w:color w:val="auto"/>
                <w:sz w:val="18"/>
                <w:szCs w:val="18"/>
              </w:rPr>
            </w:pPr>
            <w:r w:rsidRPr="00CB3833">
              <w:rPr>
                <w:rFonts w:eastAsia="MS Mincho" w:cs="Arial"/>
                <w:color w:val="auto"/>
                <w:sz w:val="18"/>
                <w:szCs w:val="18"/>
              </w:rPr>
              <w:t xml:space="preserve">Maximum of 23 fishing licences. </w:t>
            </w:r>
          </w:p>
        </w:tc>
        <w:tc>
          <w:tcPr>
            <w:tcW w:w="2268" w:type="dxa"/>
            <w:tcBorders>
              <w:top w:val="single" w:sz="5" w:space="0" w:color="000000"/>
              <w:left w:val="single" w:sz="5" w:space="0" w:color="000000"/>
              <w:bottom w:val="single" w:sz="5" w:space="0" w:color="000000"/>
              <w:right w:val="single" w:sz="5" w:space="0" w:color="000000"/>
            </w:tcBorders>
          </w:tcPr>
          <w:p w14:paraId="711F0C18" w14:textId="77777777" w:rsidR="00944E62" w:rsidRPr="009B70C2" w:rsidRDefault="00944E62" w:rsidP="00944E62">
            <w:pPr>
              <w:pStyle w:val="TableTextform"/>
              <w:rPr>
                <w:rFonts w:eastAsia="MS Mincho"/>
                <w:color w:val="auto"/>
                <w:sz w:val="18"/>
                <w:szCs w:val="18"/>
              </w:rPr>
            </w:pPr>
            <w:r w:rsidRPr="00944E62">
              <w:rPr>
                <w:rFonts w:eastAsia="MS Mincho"/>
                <w:color w:val="auto"/>
                <w:sz w:val="18"/>
                <w:szCs w:val="18"/>
              </w:rPr>
              <w:t xml:space="preserve">Catches of blue-throat wrasse for the last five </w:t>
            </w:r>
            <w:r w:rsidRPr="009B70C2">
              <w:rPr>
                <w:rFonts w:eastAsia="MS Mincho"/>
                <w:color w:val="auto"/>
                <w:sz w:val="18"/>
                <w:szCs w:val="18"/>
              </w:rPr>
              <w:t>seasons were:</w:t>
            </w:r>
          </w:p>
          <w:p w14:paraId="0B99A8E7" w14:textId="119BDEC2" w:rsidR="00EC511A" w:rsidRPr="009B70C2" w:rsidRDefault="00EC511A" w:rsidP="00944E62">
            <w:pPr>
              <w:pStyle w:val="TableTextform"/>
              <w:keepNext/>
              <w:numPr>
                <w:ilvl w:val="0"/>
                <w:numId w:val="393"/>
              </w:numPr>
              <w:tabs>
                <w:tab w:val="left" w:pos="720"/>
              </w:tabs>
              <w:ind w:left="317" w:hanging="284"/>
              <w:outlineLvl w:val="1"/>
              <w:rPr>
                <w:rFonts w:eastAsia="MS Mincho"/>
                <w:color w:val="auto"/>
                <w:sz w:val="18"/>
                <w:szCs w:val="18"/>
              </w:rPr>
            </w:pPr>
            <w:bookmarkStart w:id="371" w:name="_Toc496019691"/>
            <w:bookmarkStart w:id="372" w:name="_Toc501230856"/>
            <w:r w:rsidRPr="009B70C2">
              <w:rPr>
                <w:rFonts w:eastAsia="MS Mincho"/>
                <w:color w:val="auto"/>
                <w:sz w:val="18"/>
                <w:szCs w:val="18"/>
              </w:rPr>
              <w:t xml:space="preserve">2015/16 – </w:t>
            </w:r>
            <w:r w:rsidR="009B70C2" w:rsidRPr="00891DE1">
              <w:rPr>
                <w:rFonts w:eastAsia="MS Mincho"/>
                <w:color w:val="auto"/>
                <w:sz w:val="18"/>
                <w:szCs w:val="18"/>
              </w:rPr>
              <w:t>24 t valued at $512,000.</w:t>
            </w:r>
            <w:bookmarkEnd w:id="371"/>
            <w:bookmarkEnd w:id="372"/>
          </w:p>
          <w:p w14:paraId="4F1FED0E" w14:textId="58222DFE" w:rsidR="00944E62" w:rsidRPr="00944E62" w:rsidRDefault="00944E62" w:rsidP="00944E62">
            <w:pPr>
              <w:pStyle w:val="TableTextform"/>
              <w:numPr>
                <w:ilvl w:val="0"/>
                <w:numId w:val="393"/>
              </w:numPr>
              <w:ind w:left="317" w:hanging="284"/>
              <w:rPr>
                <w:rFonts w:eastAsia="MS Mincho"/>
                <w:color w:val="auto"/>
                <w:sz w:val="18"/>
                <w:szCs w:val="18"/>
              </w:rPr>
            </w:pPr>
            <w:r w:rsidRPr="00944E62">
              <w:rPr>
                <w:rFonts w:eastAsia="MS Mincho"/>
                <w:color w:val="auto"/>
                <w:sz w:val="18"/>
                <w:szCs w:val="18"/>
              </w:rPr>
              <w:t xml:space="preserve">2014/15 – 26 </w:t>
            </w:r>
            <w:r>
              <w:rPr>
                <w:rFonts w:eastAsia="MS Mincho"/>
                <w:color w:val="auto"/>
                <w:sz w:val="18"/>
                <w:szCs w:val="18"/>
              </w:rPr>
              <w:t>t</w:t>
            </w:r>
            <w:r w:rsidRPr="00944E62">
              <w:rPr>
                <w:rFonts w:eastAsia="MS Mincho"/>
                <w:color w:val="auto"/>
                <w:sz w:val="18"/>
                <w:szCs w:val="18"/>
              </w:rPr>
              <w:t xml:space="preserve"> valued at $444,000.</w:t>
            </w:r>
          </w:p>
          <w:p w14:paraId="16D600FD" w14:textId="0C2F6326" w:rsidR="00944E62" w:rsidRPr="00944E62" w:rsidRDefault="00944E62" w:rsidP="00944E62">
            <w:pPr>
              <w:pStyle w:val="TableTextform"/>
              <w:numPr>
                <w:ilvl w:val="0"/>
                <w:numId w:val="393"/>
              </w:numPr>
              <w:ind w:left="317" w:hanging="284"/>
              <w:rPr>
                <w:rFonts w:eastAsia="MS Mincho"/>
                <w:color w:val="auto"/>
                <w:sz w:val="18"/>
                <w:szCs w:val="18"/>
              </w:rPr>
            </w:pPr>
            <w:r w:rsidRPr="00944E62">
              <w:rPr>
                <w:rFonts w:eastAsia="MS Mincho"/>
                <w:color w:val="auto"/>
                <w:sz w:val="18"/>
                <w:szCs w:val="18"/>
              </w:rPr>
              <w:t xml:space="preserve">2013/14 – 15 </w:t>
            </w:r>
            <w:r>
              <w:rPr>
                <w:rFonts w:eastAsia="MS Mincho"/>
                <w:color w:val="auto"/>
                <w:sz w:val="18"/>
                <w:szCs w:val="18"/>
              </w:rPr>
              <w:t>t</w:t>
            </w:r>
            <w:r w:rsidRPr="00944E62">
              <w:rPr>
                <w:rFonts w:eastAsia="MS Mincho"/>
                <w:color w:val="auto"/>
                <w:sz w:val="18"/>
                <w:szCs w:val="18"/>
              </w:rPr>
              <w:t xml:space="preserve"> valued at $243,000.</w:t>
            </w:r>
          </w:p>
          <w:p w14:paraId="2AF0A7A7" w14:textId="19828021" w:rsidR="00944E62" w:rsidRPr="00944E62" w:rsidRDefault="00944E62" w:rsidP="00944E62">
            <w:pPr>
              <w:pStyle w:val="TableTextform"/>
              <w:numPr>
                <w:ilvl w:val="0"/>
                <w:numId w:val="393"/>
              </w:numPr>
              <w:ind w:left="317" w:hanging="284"/>
              <w:rPr>
                <w:rFonts w:eastAsia="MS Mincho"/>
                <w:color w:val="auto"/>
                <w:sz w:val="18"/>
                <w:szCs w:val="18"/>
              </w:rPr>
            </w:pPr>
            <w:r w:rsidRPr="00944E62">
              <w:rPr>
                <w:rFonts w:eastAsia="MS Mincho"/>
                <w:color w:val="auto"/>
                <w:sz w:val="18"/>
                <w:szCs w:val="18"/>
              </w:rPr>
              <w:t xml:space="preserve">2012/13 – 10 </w:t>
            </w:r>
            <w:r>
              <w:rPr>
                <w:rFonts w:eastAsia="MS Mincho"/>
                <w:color w:val="auto"/>
                <w:sz w:val="18"/>
                <w:szCs w:val="18"/>
              </w:rPr>
              <w:t>t</w:t>
            </w:r>
            <w:r w:rsidRPr="00944E62">
              <w:rPr>
                <w:rFonts w:eastAsia="MS Mincho"/>
                <w:color w:val="auto"/>
                <w:sz w:val="18"/>
                <w:szCs w:val="18"/>
              </w:rPr>
              <w:t xml:space="preserve"> valued at $169,000.</w:t>
            </w:r>
          </w:p>
          <w:p w14:paraId="6D5C7EEB" w14:textId="6F0A7741" w:rsidR="00944E62" w:rsidRPr="00944E62" w:rsidRDefault="00944E62" w:rsidP="00944E62">
            <w:pPr>
              <w:pStyle w:val="TableTextform"/>
              <w:numPr>
                <w:ilvl w:val="0"/>
                <w:numId w:val="393"/>
              </w:numPr>
              <w:ind w:left="317" w:hanging="284"/>
              <w:rPr>
                <w:rFonts w:eastAsia="MS Mincho"/>
                <w:color w:val="auto"/>
                <w:sz w:val="18"/>
                <w:szCs w:val="18"/>
              </w:rPr>
            </w:pPr>
            <w:r w:rsidRPr="00944E62">
              <w:rPr>
                <w:rFonts w:eastAsia="MS Mincho"/>
                <w:color w:val="auto"/>
                <w:sz w:val="18"/>
                <w:szCs w:val="18"/>
              </w:rPr>
              <w:t xml:space="preserve">2011/12 – 11 </w:t>
            </w:r>
            <w:r>
              <w:rPr>
                <w:rFonts w:eastAsia="MS Mincho"/>
                <w:color w:val="auto"/>
                <w:sz w:val="18"/>
                <w:szCs w:val="18"/>
              </w:rPr>
              <w:t>t</w:t>
            </w:r>
            <w:r w:rsidRPr="00944E62">
              <w:rPr>
                <w:rFonts w:eastAsia="MS Mincho"/>
                <w:color w:val="auto"/>
                <w:sz w:val="18"/>
                <w:szCs w:val="18"/>
              </w:rPr>
              <w:t xml:space="preserve"> valued at $185,000.</w:t>
            </w:r>
          </w:p>
          <w:p w14:paraId="28525048" w14:textId="70A678B1" w:rsidR="00125AA5" w:rsidRPr="00944E62" w:rsidRDefault="00944E62" w:rsidP="00DF2465">
            <w:pPr>
              <w:pStyle w:val="TableTextform"/>
              <w:rPr>
                <w:rFonts w:eastAsia="MS Mincho" w:cs="Arial"/>
                <w:color w:val="auto"/>
                <w:sz w:val="18"/>
                <w:szCs w:val="18"/>
              </w:rPr>
            </w:pPr>
            <w:r w:rsidRPr="00944E62">
              <w:rPr>
                <w:rFonts w:eastAsia="MS Mincho"/>
                <w:color w:val="auto"/>
                <w:sz w:val="18"/>
                <w:szCs w:val="18"/>
              </w:rPr>
              <w:t>Prior to this time, catches varied from 30-40 tonnes per annum from 2005-09, and 40-50 tonnes per annum from 2000-04.</w:t>
            </w:r>
          </w:p>
        </w:tc>
      </w:tr>
      <w:tr w:rsidR="00125AA5" w:rsidRPr="00CB3833" w14:paraId="39812CA9" w14:textId="77777777" w:rsidTr="00514376">
        <w:trPr>
          <w:cantSplit/>
          <w:trHeight w:val="238"/>
        </w:trPr>
        <w:tc>
          <w:tcPr>
            <w:tcW w:w="14034" w:type="dxa"/>
            <w:gridSpan w:val="7"/>
            <w:tcBorders>
              <w:top w:val="single" w:sz="5" w:space="0" w:color="000000"/>
              <w:left w:val="single" w:sz="5" w:space="0" w:color="000000"/>
              <w:bottom w:val="single" w:sz="5" w:space="0" w:color="000000"/>
              <w:right w:val="single" w:sz="5" w:space="0" w:color="000000"/>
            </w:tcBorders>
            <w:shd w:val="clear" w:color="auto" w:fill="D9D9D9"/>
          </w:tcPr>
          <w:p w14:paraId="0D98C9C4" w14:textId="77777777" w:rsidR="00125AA5" w:rsidRPr="00CB3833" w:rsidRDefault="00125AA5" w:rsidP="000C6E0C">
            <w:pPr>
              <w:pStyle w:val="TableTextform"/>
              <w:spacing w:before="60" w:after="60"/>
              <w:rPr>
                <w:rFonts w:cs="Arial"/>
                <w:sz w:val="18"/>
                <w:szCs w:val="18"/>
              </w:rPr>
            </w:pPr>
            <w:r w:rsidRPr="00CB3833">
              <w:rPr>
                <w:rFonts w:cs="Arial"/>
                <w:b/>
                <w:sz w:val="18"/>
                <w:szCs w:val="18"/>
              </w:rPr>
              <w:t>Multi-species Ocean Fishery</w:t>
            </w:r>
          </w:p>
        </w:tc>
      </w:tr>
      <w:tr w:rsidR="00125AA5" w:rsidRPr="00CB3833" w14:paraId="740E5427" w14:textId="77777777" w:rsidTr="00944E62">
        <w:trPr>
          <w:cantSplit/>
          <w:trHeight w:val="414"/>
        </w:trPr>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2B9B1BAC" w14:textId="3D0F3061" w:rsidR="00125AA5" w:rsidRPr="00CB3833" w:rsidRDefault="00125AA5" w:rsidP="00944E62">
            <w:pPr>
              <w:pStyle w:val="TableTextform"/>
              <w:rPr>
                <w:rFonts w:cs="Arial"/>
                <w:sz w:val="18"/>
                <w:szCs w:val="18"/>
              </w:rPr>
            </w:pPr>
            <w:r w:rsidRPr="00CB3833">
              <w:rPr>
                <w:rFonts w:cs="Arial"/>
                <w:sz w:val="18"/>
                <w:szCs w:val="18"/>
              </w:rPr>
              <w:lastRenderedPageBreak/>
              <w:t xml:space="preserve">Ocean </w:t>
            </w:r>
            <w:r w:rsidR="00944E62">
              <w:rPr>
                <w:rFonts w:cs="Arial"/>
                <w:sz w:val="18"/>
                <w:szCs w:val="18"/>
              </w:rPr>
              <w:t>Access</w:t>
            </w:r>
            <w:r w:rsidRPr="00CB3833">
              <w:rPr>
                <w:rFonts w:cs="Arial"/>
                <w:sz w:val="18"/>
                <w:szCs w:val="18"/>
              </w:rPr>
              <w:t xml:space="preserve"> </w:t>
            </w:r>
            <w:r w:rsidR="00D21094">
              <w:rPr>
                <w:rFonts w:cs="Arial"/>
                <w:sz w:val="18"/>
                <w:szCs w:val="18"/>
              </w:rPr>
              <w:t xml:space="preserve">(or Ocean General) </w:t>
            </w:r>
            <w:r w:rsidRPr="00CB3833">
              <w:rPr>
                <w:rFonts w:cs="Arial"/>
                <w:sz w:val="18"/>
                <w:szCs w:val="18"/>
              </w:rPr>
              <w:t>Fishery</w:t>
            </w:r>
          </w:p>
        </w:tc>
        <w:tc>
          <w:tcPr>
            <w:tcW w:w="1559" w:type="dxa"/>
            <w:tcBorders>
              <w:top w:val="single" w:sz="5" w:space="0" w:color="000000"/>
              <w:left w:val="single" w:sz="5" w:space="0" w:color="000000"/>
              <w:bottom w:val="single" w:sz="5" w:space="0" w:color="000000"/>
              <w:right w:val="single" w:sz="5" w:space="0" w:color="000000"/>
            </w:tcBorders>
            <w:shd w:val="clear" w:color="auto" w:fill="auto"/>
          </w:tcPr>
          <w:p w14:paraId="78816BE0" w14:textId="77777777" w:rsidR="00125AA5" w:rsidRPr="00CB3833" w:rsidRDefault="00125AA5" w:rsidP="000C6E0C">
            <w:pPr>
              <w:pStyle w:val="TableTextform"/>
              <w:rPr>
                <w:rFonts w:eastAsia="MS Mincho" w:cs="Arial"/>
                <w:sz w:val="18"/>
                <w:szCs w:val="18"/>
              </w:rPr>
            </w:pPr>
            <w:r w:rsidRPr="00CB3833">
              <w:rPr>
                <w:rFonts w:eastAsia="MS Mincho" w:cs="Arial"/>
                <w:sz w:val="18"/>
                <w:szCs w:val="18"/>
              </w:rPr>
              <w:t>Gummy shark (</w:t>
            </w:r>
            <w:r w:rsidRPr="00CB3833">
              <w:rPr>
                <w:rFonts w:eastAsia="MS Mincho" w:cs="Arial"/>
                <w:i/>
                <w:sz w:val="18"/>
                <w:szCs w:val="18"/>
              </w:rPr>
              <w:t>Mustelus antarcticus</w:t>
            </w:r>
            <w:r w:rsidRPr="00CB3833">
              <w:rPr>
                <w:rFonts w:eastAsia="MS Mincho" w:cs="Arial"/>
                <w:sz w:val="18"/>
                <w:szCs w:val="18"/>
              </w:rPr>
              <w:t>), school shark (</w:t>
            </w:r>
            <w:r w:rsidRPr="00CB3833">
              <w:rPr>
                <w:rFonts w:eastAsia="MS Mincho" w:cs="Arial"/>
                <w:i/>
                <w:sz w:val="18"/>
                <w:szCs w:val="18"/>
              </w:rPr>
              <w:t>Galeorhinus galeus</w:t>
            </w:r>
            <w:r w:rsidRPr="00CB3833">
              <w:rPr>
                <w:rFonts w:eastAsia="MS Mincho" w:cs="Arial"/>
                <w:sz w:val="18"/>
                <w:szCs w:val="18"/>
              </w:rPr>
              <w:t>), Australian salmon (</w:t>
            </w:r>
            <w:r w:rsidRPr="00CB3833">
              <w:rPr>
                <w:rFonts w:eastAsia="MS Mincho" w:cs="Arial"/>
                <w:i/>
                <w:sz w:val="18"/>
                <w:szCs w:val="18"/>
              </w:rPr>
              <w:t>Arripis trutta</w:t>
            </w:r>
            <w:r w:rsidRPr="00CB3833">
              <w:rPr>
                <w:rFonts w:eastAsia="MS Mincho" w:cs="Arial"/>
                <w:sz w:val="18"/>
                <w:szCs w:val="18"/>
              </w:rPr>
              <w:t>), snapper (</w:t>
            </w:r>
            <w:r w:rsidRPr="00CB3833">
              <w:rPr>
                <w:rFonts w:eastAsia="MS Mincho" w:cs="Arial"/>
                <w:i/>
                <w:sz w:val="18"/>
                <w:szCs w:val="18"/>
              </w:rPr>
              <w:t>Pagrus auratus</w:t>
            </w:r>
            <w:r w:rsidRPr="00CB3833">
              <w:rPr>
                <w:rFonts w:eastAsia="MS Mincho" w:cs="Arial"/>
                <w:sz w:val="18"/>
                <w:szCs w:val="18"/>
              </w:rPr>
              <w:t xml:space="preserve">). </w:t>
            </w:r>
          </w:p>
          <w:p w14:paraId="5FEB3512" w14:textId="77777777" w:rsidR="00125AA5" w:rsidRPr="00CB3833" w:rsidRDefault="00125AA5" w:rsidP="000C6E0C">
            <w:pPr>
              <w:pStyle w:val="TableTextform"/>
              <w:rPr>
                <w:rFonts w:eastAsia="MS Mincho" w:cs="Arial"/>
                <w:sz w:val="18"/>
                <w:szCs w:val="18"/>
              </w:rPr>
            </w:pPr>
            <w:r w:rsidRPr="00CB3833">
              <w:rPr>
                <w:rFonts w:eastAsia="MS Mincho" w:cs="Arial"/>
                <w:sz w:val="18"/>
                <w:szCs w:val="18"/>
              </w:rPr>
              <w:t>Small bycatch of flathead (</w:t>
            </w:r>
            <w:r w:rsidRPr="00CB3833">
              <w:rPr>
                <w:rFonts w:eastAsia="MS Mincho" w:cs="Arial"/>
                <w:i/>
                <w:sz w:val="18"/>
                <w:szCs w:val="18"/>
              </w:rPr>
              <w:t>Platycephalidae</w:t>
            </w:r>
            <w:r w:rsidRPr="00CB3833">
              <w:rPr>
                <w:rFonts w:eastAsia="MS Mincho" w:cs="Arial"/>
                <w:sz w:val="18"/>
                <w:szCs w:val="18"/>
              </w:rPr>
              <w:t xml:space="preserve"> spp).</w:t>
            </w:r>
          </w:p>
        </w:tc>
        <w:tc>
          <w:tcPr>
            <w:tcW w:w="2126" w:type="dxa"/>
            <w:tcBorders>
              <w:top w:val="single" w:sz="5" w:space="0" w:color="000000"/>
              <w:left w:val="single" w:sz="5" w:space="0" w:color="000000"/>
              <w:bottom w:val="single" w:sz="5" w:space="0" w:color="000000"/>
              <w:right w:val="single" w:sz="5" w:space="0" w:color="000000"/>
            </w:tcBorders>
          </w:tcPr>
          <w:p w14:paraId="5D5FD6E4" w14:textId="7D17F9DB" w:rsidR="00125AA5" w:rsidRPr="00944E62" w:rsidRDefault="00944E62" w:rsidP="000C6E0C">
            <w:pPr>
              <w:pStyle w:val="TableTextform"/>
              <w:rPr>
                <w:rFonts w:eastAsia="MS Mincho" w:cs="Arial"/>
                <w:sz w:val="18"/>
                <w:szCs w:val="18"/>
              </w:rPr>
            </w:pPr>
            <w:r w:rsidRPr="00944E62">
              <w:rPr>
                <w:rFonts w:eastAsia="MS Mincho"/>
                <w:color w:val="auto"/>
                <w:sz w:val="18"/>
                <w:szCs w:val="18"/>
              </w:rPr>
              <w:t>Entire Victorian coastline, excluding marine reserves, bays and inlets.</w:t>
            </w:r>
          </w:p>
        </w:tc>
        <w:tc>
          <w:tcPr>
            <w:tcW w:w="1985" w:type="dxa"/>
            <w:tcBorders>
              <w:top w:val="single" w:sz="5" w:space="0" w:color="000000"/>
              <w:left w:val="single" w:sz="5" w:space="0" w:color="000000"/>
              <w:bottom w:val="single" w:sz="5" w:space="0" w:color="000000"/>
              <w:right w:val="single" w:sz="5" w:space="0" w:color="000000"/>
            </w:tcBorders>
          </w:tcPr>
          <w:p w14:paraId="40C3E37C" w14:textId="3EFE8AC5" w:rsidR="00125AA5" w:rsidRPr="00CB3833" w:rsidRDefault="00125AA5" w:rsidP="000C6E0C">
            <w:pPr>
              <w:pStyle w:val="TableTextform"/>
              <w:rPr>
                <w:rFonts w:eastAsia="MS Mincho" w:cs="Arial"/>
                <w:b/>
                <w:color w:val="auto"/>
                <w:sz w:val="18"/>
                <w:szCs w:val="18"/>
              </w:rPr>
            </w:pPr>
            <w:r w:rsidRPr="00CB3833">
              <w:rPr>
                <w:rFonts w:eastAsia="MS Mincho" w:cs="Arial"/>
                <w:b/>
                <w:color w:val="auto"/>
                <w:sz w:val="18"/>
                <w:szCs w:val="18"/>
              </w:rPr>
              <w:t xml:space="preserve">Acquisition area – </w:t>
            </w:r>
            <w:r w:rsidRPr="00CB3833">
              <w:rPr>
                <w:rFonts w:eastAsia="MS Mincho" w:cs="Arial"/>
                <w:b/>
                <w:color w:val="00B050"/>
                <w:sz w:val="18"/>
                <w:szCs w:val="18"/>
              </w:rPr>
              <w:t>Yes</w:t>
            </w:r>
            <w:r w:rsidRPr="00CB3833">
              <w:rPr>
                <w:rFonts w:eastAsia="MS Mincho" w:cs="Arial"/>
                <w:color w:val="auto"/>
                <w:sz w:val="18"/>
                <w:szCs w:val="18"/>
              </w:rPr>
              <w:t xml:space="preserve">, based on </w:t>
            </w:r>
            <w:r w:rsidR="00BC43B5">
              <w:rPr>
                <w:rFonts w:eastAsia="MS Mincho" w:cs="Arial"/>
                <w:color w:val="auto"/>
                <w:sz w:val="18"/>
                <w:szCs w:val="18"/>
              </w:rPr>
              <w:t>VFA</w:t>
            </w:r>
            <w:r w:rsidRPr="00CB3833">
              <w:rPr>
                <w:rFonts w:eastAsia="MS Mincho" w:cs="Arial"/>
                <w:color w:val="auto"/>
                <w:sz w:val="18"/>
                <w:szCs w:val="18"/>
              </w:rPr>
              <w:t xml:space="preserve"> 2012-2016 catch data.</w:t>
            </w:r>
          </w:p>
          <w:p w14:paraId="35FAF326" w14:textId="77777777" w:rsidR="00125AA5" w:rsidRPr="00CB3833" w:rsidRDefault="00125AA5" w:rsidP="000C6E0C">
            <w:pPr>
              <w:pStyle w:val="TableTextform"/>
              <w:rPr>
                <w:rFonts w:eastAsia="MS Mincho" w:cs="Arial"/>
                <w:color w:val="auto"/>
                <w:sz w:val="18"/>
                <w:szCs w:val="18"/>
              </w:rPr>
            </w:pPr>
            <w:r w:rsidRPr="00CB3833">
              <w:rPr>
                <w:rFonts w:eastAsia="MS Mincho" w:cs="Arial"/>
                <w:b/>
                <w:color w:val="auto"/>
                <w:sz w:val="18"/>
                <w:szCs w:val="18"/>
              </w:rPr>
              <w:t xml:space="preserve">Diesel spill EMBA – </w:t>
            </w:r>
          </w:p>
          <w:p w14:paraId="774ED03E" w14:textId="13BBC1CB" w:rsidR="00125AA5" w:rsidRPr="00CB3833" w:rsidRDefault="00944E62" w:rsidP="00944E62">
            <w:pPr>
              <w:pStyle w:val="TableTextform"/>
              <w:rPr>
                <w:rFonts w:eastAsia="MS Mincho" w:cs="Arial"/>
                <w:b/>
                <w:color w:val="auto"/>
                <w:sz w:val="18"/>
                <w:szCs w:val="18"/>
              </w:rPr>
            </w:pPr>
            <w:r w:rsidRPr="00944E62">
              <w:rPr>
                <w:rFonts w:eastAsia="MS Mincho"/>
                <w:b/>
                <w:color w:val="0070C0"/>
                <w:sz w:val="18"/>
                <w:szCs w:val="18"/>
              </w:rPr>
              <w:t>Unknown</w:t>
            </w:r>
            <w:r w:rsidR="0004118A">
              <w:rPr>
                <w:rFonts w:eastAsia="MS Mincho"/>
                <w:b/>
                <w:color w:val="0070C0"/>
                <w:sz w:val="18"/>
                <w:szCs w:val="18"/>
              </w:rPr>
              <w:t>, but likely</w:t>
            </w:r>
            <w:r w:rsidRPr="00944E62">
              <w:rPr>
                <w:rFonts w:eastAsia="MS Mincho"/>
                <w:color w:val="auto"/>
                <w:sz w:val="18"/>
                <w:szCs w:val="18"/>
              </w:rPr>
              <w:t>.</w:t>
            </w:r>
          </w:p>
        </w:tc>
        <w:tc>
          <w:tcPr>
            <w:tcW w:w="1843" w:type="dxa"/>
            <w:tcBorders>
              <w:top w:val="single" w:sz="5" w:space="0" w:color="000000"/>
              <w:left w:val="single" w:sz="5" w:space="0" w:color="000000"/>
              <w:bottom w:val="single" w:sz="5" w:space="0" w:color="000000"/>
              <w:right w:val="single" w:sz="5" w:space="0" w:color="000000"/>
            </w:tcBorders>
          </w:tcPr>
          <w:p w14:paraId="79761792" w14:textId="77777777" w:rsidR="00125AA5" w:rsidRDefault="00944E62" w:rsidP="000C6E0C">
            <w:pPr>
              <w:pStyle w:val="TableTextform"/>
              <w:rPr>
                <w:rFonts w:eastAsia="MS Mincho" w:cs="Arial"/>
                <w:color w:val="auto"/>
                <w:sz w:val="18"/>
                <w:szCs w:val="18"/>
              </w:rPr>
            </w:pPr>
            <w:r>
              <w:rPr>
                <w:rFonts w:eastAsia="MS Mincho" w:cs="Arial"/>
                <w:color w:val="auto"/>
                <w:sz w:val="18"/>
                <w:szCs w:val="18"/>
              </w:rPr>
              <w:t>Year-round.</w:t>
            </w:r>
          </w:p>
          <w:p w14:paraId="2597D9C1" w14:textId="55B71C11" w:rsidR="00BF7E15" w:rsidRPr="00CB3833" w:rsidRDefault="00BF7E15" w:rsidP="00BF7E15">
            <w:pPr>
              <w:pStyle w:val="TableTextform"/>
              <w:rPr>
                <w:rFonts w:cs="Arial"/>
                <w:sz w:val="18"/>
                <w:szCs w:val="18"/>
              </w:rPr>
            </w:pPr>
            <w:r>
              <w:rPr>
                <w:rFonts w:eastAsia="MS Mincho" w:cs="Arial"/>
                <w:color w:val="auto"/>
                <w:sz w:val="18"/>
                <w:szCs w:val="18"/>
              </w:rPr>
              <w:t>Most fishing undertaken off Lakes Entrance occurs between April and July.</w:t>
            </w:r>
          </w:p>
        </w:tc>
        <w:tc>
          <w:tcPr>
            <w:tcW w:w="2693" w:type="dxa"/>
            <w:tcBorders>
              <w:top w:val="single" w:sz="5" w:space="0" w:color="000000"/>
              <w:left w:val="single" w:sz="5" w:space="0" w:color="000000"/>
              <w:bottom w:val="single" w:sz="5" w:space="0" w:color="000000"/>
              <w:right w:val="single" w:sz="5" w:space="0" w:color="000000"/>
            </w:tcBorders>
          </w:tcPr>
          <w:p w14:paraId="4D898513" w14:textId="76C0D650" w:rsidR="00125AA5" w:rsidRPr="00CB3833" w:rsidRDefault="00125AA5" w:rsidP="000C6E0C">
            <w:pPr>
              <w:pStyle w:val="TableTextform"/>
              <w:rPr>
                <w:rFonts w:eastAsia="MS Mincho" w:cs="Arial"/>
                <w:sz w:val="18"/>
                <w:szCs w:val="18"/>
              </w:rPr>
            </w:pPr>
            <w:r w:rsidRPr="00CB3833">
              <w:rPr>
                <w:rFonts w:eastAsia="MS Mincho" w:cs="Arial"/>
                <w:sz w:val="18"/>
                <w:szCs w:val="18"/>
              </w:rPr>
              <w:t>Utilises mainly longlines (200 hook limit), but also haul seine nets (maximum length of</w:t>
            </w:r>
            <w:r w:rsidR="00944E62">
              <w:rPr>
                <w:rFonts w:eastAsia="MS Mincho" w:cs="Arial"/>
                <w:sz w:val="18"/>
                <w:szCs w:val="18"/>
              </w:rPr>
              <w:br/>
            </w:r>
            <w:r w:rsidRPr="00CB3833">
              <w:rPr>
                <w:rFonts w:eastAsia="MS Mincho" w:cs="Arial"/>
                <w:sz w:val="18"/>
                <w:szCs w:val="18"/>
              </w:rPr>
              <w:t xml:space="preserve"> 460 m) and mesh nets (maximum length of 2,500 m per licence).</w:t>
            </w:r>
          </w:p>
          <w:p w14:paraId="2FC2FA14" w14:textId="4D6E34B3" w:rsidR="00944E62" w:rsidRDefault="00125AA5" w:rsidP="00944E62">
            <w:pPr>
              <w:pStyle w:val="TableTextform"/>
              <w:rPr>
                <w:rFonts w:eastAsia="MS Mincho" w:cs="Arial"/>
                <w:sz w:val="18"/>
                <w:szCs w:val="18"/>
              </w:rPr>
            </w:pPr>
            <w:r w:rsidRPr="00CB3833">
              <w:rPr>
                <w:rFonts w:eastAsia="MS Mincho" w:cs="Arial"/>
                <w:sz w:val="18"/>
                <w:szCs w:val="18"/>
              </w:rPr>
              <w:t xml:space="preserve">There are </w:t>
            </w:r>
            <w:r w:rsidR="00944E62">
              <w:rPr>
                <w:rFonts w:eastAsia="MS Mincho" w:cs="Arial"/>
                <w:sz w:val="18"/>
                <w:szCs w:val="18"/>
              </w:rPr>
              <w:t>182 Ocean Access Licences.</w:t>
            </w:r>
          </w:p>
          <w:p w14:paraId="23F85F91" w14:textId="6CBCA425" w:rsidR="00BF7E15" w:rsidRPr="00CB3833" w:rsidRDefault="00BF7E15" w:rsidP="00944E62">
            <w:pPr>
              <w:pStyle w:val="TableTextform"/>
              <w:rPr>
                <w:rFonts w:eastAsia="MS Mincho" w:cs="Arial"/>
                <w:sz w:val="18"/>
                <w:szCs w:val="18"/>
              </w:rPr>
            </w:pPr>
            <w:r>
              <w:rPr>
                <w:rFonts w:eastAsia="MS Mincho" w:cs="Arial"/>
                <w:sz w:val="18"/>
                <w:szCs w:val="18"/>
              </w:rPr>
              <w:t>Fishing usually conducted as day trips from small vessels (&lt;10 m).</w:t>
            </w:r>
          </w:p>
          <w:p w14:paraId="66009260" w14:textId="039A2A09" w:rsidR="00125AA5" w:rsidRPr="00CB3833" w:rsidRDefault="00125AA5" w:rsidP="000C6E0C">
            <w:pPr>
              <w:pStyle w:val="TableTextform"/>
              <w:rPr>
                <w:rFonts w:eastAsia="MS Mincho" w:cs="Arial"/>
                <w:sz w:val="18"/>
                <w:szCs w:val="18"/>
              </w:rPr>
            </w:pPr>
          </w:p>
        </w:tc>
        <w:tc>
          <w:tcPr>
            <w:tcW w:w="2268" w:type="dxa"/>
            <w:tcBorders>
              <w:top w:val="single" w:sz="5" w:space="0" w:color="000000"/>
              <w:left w:val="single" w:sz="5" w:space="0" w:color="000000"/>
              <w:bottom w:val="single" w:sz="5" w:space="0" w:color="000000"/>
              <w:right w:val="single" w:sz="5" w:space="0" w:color="000000"/>
            </w:tcBorders>
          </w:tcPr>
          <w:p w14:paraId="4EB57FE5" w14:textId="0BE3E55E" w:rsidR="00125AA5" w:rsidRDefault="004A5246" w:rsidP="000C6E0C">
            <w:pPr>
              <w:pStyle w:val="TableTextform"/>
              <w:rPr>
                <w:sz w:val="18"/>
                <w:szCs w:val="18"/>
              </w:rPr>
            </w:pPr>
            <w:r>
              <w:rPr>
                <w:sz w:val="18"/>
                <w:szCs w:val="18"/>
              </w:rPr>
              <w:t>VFA</w:t>
            </w:r>
            <w:r w:rsidR="00944E62" w:rsidRPr="00944E62">
              <w:rPr>
                <w:sz w:val="18"/>
                <w:szCs w:val="18"/>
              </w:rPr>
              <w:t xml:space="preserve"> indicates there is insufficient catch data.</w:t>
            </w:r>
          </w:p>
          <w:p w14:paraId="3EFC6729" w14:textId="5D1CA122" w:rsidR="00BF7E15" w:rsidRPr="00944E62" w:rsidRDefault="00BF7E15" w:rsidP="000C6E0C">
            <w:pPr>
              <w:pStyle w:val="TableTextform"/>
              <w:rPr>
                <w:rFonts w:cs="Arial"/>
                <w:sz w:val="18"/>
                <w:szCs w:val="18"/>
              </w:rPr>
            </w:pPr>
          </w:p>
        </w:tc>
      </w:tr>
      <w:tr w:rsidR="00125AA5" w:rsidRPr="00CB3833" w14:paraId="5EBBC74E" w14:textId="77777777" w:rsidTr="00944E62">
        <w:trPr>
          <w:cantSplit/>
          <w:trHeight w:val="414"/>
        </w:trPr>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64BF4836" w14:textId="77777777" w:rsidR="00125AA5" w:rsidRPr="00CB3833" w:rsidRDefault="00125AA5" w:rsidP="000C6E0C">
            <w:pPr>
              <w:pStyle w:val="TableTextform"/>
              <w:rPr>
                <w:rFonts w:cs="Arial"/>
                <w:sz w:val="18"/>
                <w:szCs w:val="18"/>
              </w:rPr>
            </w:pPr>
            <w:r w:rsidRPr="00CB3833">
              <w:rPr>
                <w:rFonts w:cs="Arial"/>
                <w:sz w:val="18"/>
                <w:szCs w:val="18"/>
              </w:rPr>
              <w:t>Ocean Purse Seine Fishery</w:t>
            </w:r>
          </w:p>
        </w:tc>
        <w:tc>
          <w:tcPr>
            <w:tcW w:w="1559" w:type="dxa"/>
            <w:tcBorders>
              <w:top w:val="single" w:sz="5" w:space="0" w:color="000000"/>
              <w:left w:val="single" w:sz="5" w:space="0" w:color="000000"/>
              <w:bottom w:val="single" w:sz="5" w:space="0" w:color="000000"/>
              <w:right w:val="single" w:sz="5" w:space="0" w:color="000000"/>
            </w:tcBorders>
            <w:shd w:val="clear" w:color="auto" w:fill="auto"/>
          </w:tcPr>
          <w:p w14:paraId="19423D20" w14:textId="77777777" w:rsidR="00125AA5" w:rsidRPr="00CB3833" w:rsidRDefault="00125AA5" w:rsidP="000C6E0C">
            <w:pPr>
              <w:pStyle w:val="TableTextform"/>
              <w:rPr>
                <w:rFonts w:eastAsia="MS Mincho" w:cs="Arial"/>
                <w:sz w:val="18"/>
                <w:szCs w:val="18"/>
              </w:rPr>
            </w:pPr>
            <w:r w:rsidRPr="00CB3833">
              <w:rPr>
                <w:rFonts w:eastAsia="MS Mincho" w:cs="Arial"/>
                <w:sz w:val="18"/>
                <w:szCs w:val="18"/>
              </w:rPr>
              <w:t>Australian sardine (</w:t>
            </w:r>
            <w:r w:rsidRPr="00CB3833">
              <w:rPr>
                <w:rFonts w:eastAsia="MS Mincho" w:cs="Arial"/>
                <w:i/>
                <w:sz w:val="18"/>
                <w:szCs w:val="18"/>
              </w:rPr>
              <w:t>Sardinops sagax</w:t>
            </w:r>
            <w:r w:rsidRPr="00CB3833">
              <w:rPr>
                <w:rFonts w:eastAsia="MS Mincho" w:cs="Arial"/>
                <w:sz w:val="18"/>
                <w:szCs w:val="18"/>
              </w:rPr>
              <w:t>), Australian salmon (</w:t>
            </w:r>
            <w:r w:rsidRPr="00CB3833">
              <w:rPr>
                <w:rFonts w:eastAsia="MS Mincho" w:cs="Arial"/>
                <w:i/>
                <w:sz w:val="18"/>
                <w:szCs w:val="18"/>
              </w:rPr>
              <w:t>Arripis trutta</w:t>
            </w:r>
            <w:r w:rsidRPr="00CB3833">
              <w:rPr>
                <w:rFonts w:eastAsia="MS Mincho" w:cs="Arial"/>
                <w:sz w:val="18"/>
                <w:szCs w:val="18"/>
              </w:rPr>
              <w:t>) and sandy sprat (</w:t>
            </w:r>
            <w:r w:rsidRPr="00CB3833">
              <w:rPr>
                <w:rFonts w:eastAsia="MS Mincho" w:cs="Arial"/>
                <w:i/>
                <w:sz w:val="18"/>
                <w:szCs w:val="18"/>
              </w:rPr>
              <w:t>Hyperlophus vittatus</w:t>
            </w:r>
            <w:r w:rsidRPr="00CB3833">
              <w:rPr>
                <w:rFonts w:eastAsia="MS Mincho" w:cs="Arial"/>
                <w:sz w:val="18"/>
                <w:szCs w:val="18"/>
              </w:rPr>
              <w:t xml:space="preserve">) are the main species. </w:t>
            </w:r>
          </w:p>
          <w:p w14:paraId="1D2FB19E" w14:textId="77777777" w:rsidR="00125AA5" w:rsidRPr="00CB3833" w:rsidRDefault="00125AA5" w:rsidP="000C6E0C">
            <w:pPr>
              <w:pStyle w:val="TableTextform"/>
              <w:rPr>
                <w:rFonts w:eastAsia="MS Mincho" w:cs="Arial"/>
                <w:sz w:val="18"/>
                <w:szCs w:val="18"/>
              </w:rPr>
            </w:pPr>
            <w:r w:rsidRPr="00CB3833">
              <w:rPr>
                <w:rFonts w:eastAsia="MS Mincho" w:cs="Arial"/>
                <w:sz w:val="18"/>
                <w:szCs w:val="18"/>
              </w:rPr>
              <w:t>Southern anchovy (</w:t>
            </w:r>
            <w:r w:rsidRPr="00CB3833">
              <w:rPr>
                <w:rFonts w:eastAsia="MS Mincho" w:cs="Arial"/>
                <w:i/>
                <w:sz w:val="18"/>
                <w:szCs w:val="18"/>
              </w:rPr>
              <w:t>Engraulis australis</w:t>
            </w:r>
            <w:r w:rsidRPr="00CB3833">
              <w:rPr>
                <w:rFonts w:eastAsia="MS Mincho" w:cs="Arial"/>
                <w:sz w:val="18"/>
                <w:szCs w:val="18"/>
              </w:rPr>
              <w:t xml:space="preserve">) caught in some years. </w:t>
            </w:r>
          </w:p>
        </w:tc>
        <w:tc>
          <w:tcPr>
            <w:tcW w:w="2126" w:type="dxa"/>
            <w:tcBorders>
              <w:top w:val="single" w:sz="5" w:space="0" w:color="000000"/>
              <w:left w:val="single" w:sz="5" w:space="0" w:color="000000"/>
              <w:bottom w:val="single" w:sz="5" w:space="0" w:color="000000"/>
              <w:right w:val="single" w:sz="5" w:space="0" w:color="000000"/>
            </w:tcBorders>
          </w:tcPr>
          <w:p w14:paraId="49BDCEB1" w14:textId="60FACD25" w:rsidR="00125AA5" w:rsidRPr="00CB3833" w:rsidRDefault="00944E62" w:rsidP="000C6E0C">
            <w:pPr>
              <w:pStyle w:val="TableTextform"/>
              <w:rPr>
                <w:rFonts w:eastAsia="MS Mincho" w:cs="Arial"/>
                <w:sz w:val="18"/>
                <w:szCs w:val="18"/>
              </w:rPr>
            </w:pPr>
            <w:r w:rsidRPr="00944E62">
              <w:rPr>
                <w:rFonts w:eastAsia="MS Mincho"/>
                <w:color w:val="auto"/>
                <w:sz w:val="18"/>
                <w:szCs w:val="18"/>
              </w:rPr>
              <w:t>Entire Victorian coastline, excluding marine reserves, bays and inlets.</w:t>
            </w:r>
          </w:p>
        </w:tc>
        <w:tc>
          <w:tcPr>
            <w:tcW w:w="1985" w:type="dxa"/>
            <w:tcBorders>
              <w:top w:val="single" w:sz="5" w:space="0" w:color="000000"/>
              <w:left w:val="single" w:sz="5" w:space="0" w:color="000000"/>
              <w:bottom w:val="single" w:sz="5" w:space="0" w:color="000000"/>
              <w:right w:val="single" w:sz="5" w:space="0" w:color="000000"/>
            </w:tcBorders>
          </w:tcPr>
          <w:p w14:paraId="11AF4368" w14:textId="1C1D9B88" w:rsidR="00125AA5" w:rsidRPr="00CB3833" w:rsidRDefault="00125AA5" w:rsidP="000C6E0C">
            <w:pPr>
              <w:pStyle w:val="TableTextform"/>
              <w:rPr>
                <w:rFonts w:eastAsia="MS Mincho" w:cs="Arial"/>
                <w:b/>
                <w:color w:val="auto"/>
                <w:sz w:val="18"/>
                <w:szCs w:val="18"/>
              </w:rPr>
            </w:pPr>
            <w:r w:rsidRPr="00CB3833">
              <w:rPr>
                <w:rFonts w:eastAsia="MS Mincho" w:cs="Arial"/>
                <w:b/>
                <w:color w:val="auto"/>
                <w:sz w:val="18"/>
                <w:szCs w:val="18"/>
              </w:rPr>
              <w:t xml:space="preserve">Acquisition area – </w:t>
            </w:r>
            <w:r w:rsidRPr="00CB3833">
              <w:rPr>
                <w:rFonts w:eastAsia="MS Mincho" w:cs="Arial"/>
                <w:b/>
                <w:color w:val="00B050"/>
                <w:sz w:val="18"/>
                <w:szCs w:val="18"/>
              </w:rPr>
              <w:t>Yes</w:t>
            </w:r>
            <w:r w:rsidRPr="00CB3833">
              <w:rPr>
                <w:rFonts w:eastAsia="MS Mincho" w:cs="Arial"/>
                <w:color w:val="auto"/>
                <w:sz w:val="18"/>
                <w:szCs w:val="18"/>
              </w:rPr>
              <w:t xml:space="preserve">, based on </w:t>
            </w:r>
            <w:r w:rsidR="00BC43B5">
              <w:rPr>
                <w:rFonts w:eastAsia="MS Mincho" w:cs="Arial"/>
                <w:color w:val="auto"/>
                <w:sz w:val="18"/>
                <w:szCs w:val="18"/>
              </w:rPr>
              <w:t>VFA</w:t>
            </w:r>
            <w:r w:rsidRPr="00CB3833">
              <w:rPr>
                <w:rFonts w:eastAsia="MS Mincho" w:cs="Arial"/>
                <w:color w:val="auto"/>
                <w:sz w:val="18"/>
                <w:szCs w:val="18"/>
              </w:rPr>
              <w:t xml:space="preserve"> 2012-2016 catch data</w:t>
            </w:r>
          </w:p>
          <w:p w14:paraId="0BB99DDD" w14:textId="77777777" w:rsidR="00125AA5" w:rsidRPr="00CB3833" w:rsidRDefault="00125AA5" w:rsidP="000C6E0C">
            <w:pPr>
              <w:pStyle w:val="TableTextform"/>
              <w:rPr>
                <w:rFonts w:eastAsia="MS Mincho" w:cs="Arial"/>
                <w:color w:val="auto"/>
                <w:sz w:val="18"/>
                <w:szCs w:val="18"/>
              </w:rPr>
            </w:pPr>
            <w:r w:rsidRPr="00CB3833">
              <w:rPr>
                <w:rFonts w:eastAsia="MS Mincho" w:cs="Arial"/>
                <w:b/>
                <w:color w:val="auto"/>
                <w:sz w:val="18"/>
                <w:szCs w:val="18"/>
              </w:rPr>
              <w:t xml:space="preserve">Diesel spill EMBA – </w:t>
            </w:r>
          </w:p>
          <w:p w14:paraId="6AE9D9C9" w14:textId="3D98387C" w:rsidR="00125AA5" w:rsidRPr="00CB3833" w:rsidRDefault="00944E62" w:rsidP="000C6E0C">
            <w:pPr>
              <w:pStyle w:val="TableTextform"/>
              <w:rPr>
                <w:rFonts w:eastAsia="MS Mincho" w:cs="Arial"/>
                <w:b/>
                <w:color w:val="auto"/>
                <w:sz w:val="18"/>
                <w:szCs w:val="18"/>
              </w:rPr>
            </w:pPr>
            <w:r w:rsidRPr="00944E62">
              <w:rPr>
                <w:rFonts w:eastAsia="MS Mincho"/>
                <w:b/>
                <w:color w:val="0070C0"/>
                <w:sz w:val="18"/>
                <w:szCs w:val="18"/>
              </w:rPr>
              <w:t>Unknown</w:t>
            </w:r>
            <w:r w:rsidR="0004118A">
              <w:rPr>
                <w:rFonts w:eastAsia="MS Mincho"/>
                <w:b/>
                <w:color w:val="0070C0"/>
                <w:sz w:val="18"/>
                <w:szCs w:val="18"/>
              </w:rPr>
              <w:t>, but likely</w:t>
            </w:r>
            <w:r w:rsidRPr="00944E62">
              <w:rPr>
                <w:rFonts w:eastAsia="MS Mincho"/>
                <w:color w:val="auto"/>
                <w:sz w:val="18"/>
                <w:szCs w:val="18"/>
              </w:rPr>
              <w:t>.</w:t>
            </w:r>
          </w:p>
        </w:tc>
        <w:tc>
          <w:tcPr>
            <w:tcW w:w="1843" w:type="dxa"/>
            <w:tcBorders>
              <w:top w:val="single" w:sz="5" w:space="0" w:color="000000"/>
              <w:left w:val="single" w:sz="5" w:space="0" w:color="000000"/>
              <w:bottom w:val="single" w:sz="5" w:space="0" w:color="000000"/>
              <w:right w:val="single" w:sz="5" w:space="0" w:color="000000"/>
            </w:tcBorders>
          </w:tcPr>
          <w:p w14:paraId="2854DE32" w14:textId="0B271E44" w:rsidR="00125AA5" w:rsidRPr="00CB3833" w:rsidRDefault="00944E62" w:rsidP="000C6E0C">
            <w:pPr>
              <w:pStyle w:val="TableTextform"/>
              <w:rPr>
                <w:rFonts w:cs="Arial"/>
                <w:sz w:val="18"/>
                <w:szCs w:val="18"/>
              </w:rPr>
            </w:pPr>
            <w:r>
              <w:rPr>
                <w:rFonts w:eastAsia="MS Mincho" w:cs="Arial"/>
                <w:color w:val="auto"/>
                <w:sz w:val="18"/>
                <w:szCs w:val="18"/>
              </w:rPr>
              <w:t>Year-round.</w:t>
            </w:r>
          </w:p>
        </w:tc>
        <w:tc>
          <w:tcPr>
            <w:tcW w:w="2693" w:type="dxa"/>
            <w:tcBorders>
              <w:top w:val="single" w:sz="5" w:space="0" w:color="000000"/>
              <w:left w:val="single" w:sz="5" w:space="0" w:color="000000"/>
              <w:bottom w:val="single" w:sz="5" w:space="0" w:color="000000"/>
              <w:right w:val="single" w:sz="5" w:space="0" w:color="000000"/>
            </w:tcBorders>
          </w:tcPr>
          <w:p w14:paraId="5ADCE679" w14:textId="66950FE2" w:rsidR="00125AA5" w:rsidRPr="00CB3833" w:rsidRDefault="00125AA5" w:rsidP="000C6E0C">
            <w:pPr>
              <w:pStyle w:val="TableTextform"/>
              <w:rPr>
                <w:rFonts w:eastAsia="MS Mincho" w:cs="Arial"/>
                <w:sz w:val="18"/>
                <w:szCs w:val="18"/>
              </w:rPr>
            </w:pPr>
            <w:r w:rsidRPr="00CB3833">
              <w:rPr>
                <w:rFonts w:eastAsia="MS Mincho" w:cs="Arial"/>
                <w:sz w:val="18"/>
                <w:szCs w:val="18"/>
              </w:rPr>
              <w:t xml:space="preserve">Purse seine, which is generally a highly selective method that targets one species at a time, thereby minimising bycatch. Purse seines do not touch the seabed. </w:t>
            </w:r>
            <w:r w:rsidR="005E2B92">
              <w:rPr>
                <w:rFonts w:eastAsia="MS Mincho" w:cs="Arial"/>
                <w:sz w:val="18"/>
                <w:szCs w:val="18"/>
              </w:rPr>
              <w:t>A lampara net may also be used.</w:t>
            </w:r>
          </w:p>
          <w:p w14:paraId="1E2799F4" w14:textId="0BA72546" w:rsidR="008D7807" w:rsidRPr="00CB3833" w:rsidRDefault="00125AA5" w:rsidP="0004118A">
            <w:pPr>
              <w:pStyle w:val="TableTextform"/>
              <w:rPr>
                <w:rFonts w:eastAsia="MS Mincho" w:cs="Arial"/>
                <w:sz w:val="18"/>
                <w:szCs w:val="18"/>
              </w:rPr>
            </w:pPr>
            <w:r w:rsidRPr="00CB3833">
              <w:rPr>
                <w:rFonts w:eastAsia="MS Mincho" w:cs="Arial"/>
                <w:sz w:val="18"/>
                <w:szCs w:val="18"/>
              </w:rPr>
              <w:t>Only one licence is active in Victorian waters</w:t>
            </w:r>
            <w:r w:rsidR="00944E62">
              <w:rPr>
                <w:rFonts w:eastAsia="MS Mincho" w:cs="Arial"/>
                <w:sz w:val="18"/>
                <w:szCs w:val="18"/>
              </w:rPr>
              <w:t xml:space="preserve"> (based out of Lakes Entrance)</w:t>
            </w:r>
            <w:r w:rsidRPr="00CB3833">
              <w:rPr>
                <w:rFonts w:eastAsia="MS Mincho" w:cs="Arial"/>
                <w:sz w:val="18"/>
                <w:szCs w:val="18"/>
              </w:rPr>
              <w:t>, with f</w:t>
            </w:r>
            <w:r w:rsidR="00944E62">
              <w:rPr>
                <w:rFonts w:eastAsia="MS Mincho" w:cs="Arial"/>
                <w:sz w:val="18"/>
                <w:szCs w:val="18"/>
              </w:rPr>
              <w:t>ishing focused close to shore</w:t>
            </w:r>
            <w:r w:rsidR="005E2B92">
              <w:rPr>
                <w:rFonts w:eastAsia="MS Mincho" w:cs="Arial"/>
                <w:sz w:val="18"/>
                <w:szCs w:val="18"/>
              </w:rPr>
              <w:t xml:space="preserve"> and during the day</w:t>
            </w:r>
            <w:r w:rsidR="00944E62">
              <w:rPr>
                <w:rFonts w:eastAsia="MS Mincho" w:cs="Arial"/>
                <w:sz w:val="18"/>
                <w:szCs w:val="18"/>
              </w:rPr>
              <w:t xml:space="preserve">. </w:t>
            </w:r>
            <w:r w:rsidR="00587E31">
              <w:rPr>
                <w:rFonts w:eastAsia="MS Mincho" w:cs="Arial"/>
                <w:sz w:val="18"/>
                <w:szCs w:val="18"/>
              </w:rPr>
              <w:t>This licence is held by Mitchelson Fisher</w:t>
            </w:r>
            <w:r w:rsidR="00B85B3F">
              <w:rPr>
                <w:rFonts w:eastAsia="MS Mincho" w:cs="Arial"/>
                <w:sz w:val="18"/>
                <w:szCs w:val="18"/>
              </w:rPr>
              <w:t>ies Pty Ltd</w:t>
            </w:r>
            <w:r w:rsidR="00587E31">
              <w:rPr>
                <w:rFonts w:eastAsia="MS Mincho" w:cs="Arial"/>
                <w:sz w:val="18"/>
                <w:szCs w:val="18"/>
              </w:rPr>
              <w:t xml:space="preserve">, a family business that catches primarily sardines, </w:t>
            </w:r>
            <w:r w:rsidR="00B85B3F">
              <w:rPr>
                <w:rFonts w:eastAsia="MS Mincho" w:cs="Arial"/>
                <w:sz w:val="18"/>
                <w:szCs w:val="18"/>
              </w:rPr>
              <w:t xml:space="preserve">salmon, </w:t>
            </w:r>
            <w:r w:rsidR="00587E31">
              <w:rPr>
                <w:rFonts w:eastAsia="MS Mincho" w:cs="Arial"/>
                <w:sz w:val="18"/>
                <w:szCs w:val="18"/>
              </w:rPr>
              <w:t>mackeral, sandy sprat, anchovy and white bait</w:t>
            </w:r>
            <w:r w:rsidR="00B85B3F">
              <w:rPr>
                <w:rFonts w:eastAsia="MS Mincho" w:cs="Arial"/>
                <w:sz w:val="18"/>
                <w:szCs w:val="18"/>
              </w:rPr>
              <w:t xml:space="preserve"> using the </w:t>
            </w:r>
            <w:r w:rsidR="00B85B3F" w:rsidRPr="00891DE1">
              <w:rPr>
                <w:rFonts w:eastAsia="MS Mincho" w:cs="Arial"/>
                <w:i/>
                <w:sz w:val="18"/>
                <w:szCs w:val="18"/>
              </w:rPr>
              <w:t>Maasbanker</w:t>
            </w:r>
            <w:r w:rsidR="00B85B3F">
              <w:rPr>
                <w:rFonts w:eastAsia="MS Mincho" w:cs="Arial"/>
                <w:sz w:val="18"/>
                <w:szCs w:val="18"/>
              </w:rPr>
              <w:t xml:space="preserve"> purse seine vessel</w:t>
            </w:r>
            <w:r w:rsidR="00587E31">
              <w:rPr>
                <w:rFonts w:eastAsia="MS Mincho" w:cs="Arial"/>
                <w:sz w:val="18"/>
                <w:szCs w:val="18"/>
              </w:rPr>
              <w:t xml:space="preserve">. </w:t>
            </w:r>
          </w:p>
        </w:tc>
        <w:tc>
          <w:tcPr>
            <w:tcW w:w="2268" w:type="dxa"/>
            <w:tcBorders>
              <w:top w:val="single" w:sz="5" w:space="0" w:color="000000"/>
              <w:left w:val="single" w:sz="5" w:space="0" w:color="000000"/>
              <w:bottom w:val="single" w:sz="5" w:space="0" w:color="000000"/>
              <w:right w:val="single" w:sz="5" w:space="0" w:color="000000"/>
            </w:tcBorders>
          </w:tcPr>
          <w:p w14:paraId="7049EAA6" w14:textId="62BB384E" w:rsidR="0004118A" w:rsidRPr="00944E62" w:rsidRDefault="0004118A" w:rsidP="00BE7FFB">
            <w:pPr>
              <w:pStyle w:val="TableTextform"/>
              <w:rPr>
                <w:rFonts w:cs="Arial"/>
                <w:sz w:val="18"/>
                <w:szCs w:val="18"/>
              </w:rPr>
            </w:pPr>
          </w:p>
        </w:tc>
      </w:tr>
      <w:tr w:rsidR="00125AA5" w:rsidRPr="00CB3833" w14:paraId="167387D9" w14:textId="77777777" w:rsidTr="00944E62">
        <w:trPr>
          <w:cantSplit/>
          <w:trHeight w:val="414"/>
        </w:trPr>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57ABBE60" w14:textId="77777777" w:rsidR="00125AA5" w:rsidRDefault="00125AA5" w:rsidP="000C6E0C">
            <w:pPr>
              <w:pStyle w:val="TableTextform"/>
              <w:rPr>
                <w:rFonts w:cs="Arial"/>
                <w:sz w:val="18"/>
                <w:szCs w:val="18"/>
              </w:rPr>
            </w:pPr>
            <w:r w:rsidRPr="00CB3833">
              <w:rPr>
                <w:rFonts w:cs="Arial"/>
                <w:sz w:val="18"/>
                <w:szCs w:val="18"/>
              </w:rPr>
              <w:lastRenderedPageBreak/>
              <w:t>Inshore Trawl Fishery</w:t>
            </w:r>
          </w:p>
          <w:p w14:paraId="64D9F5D7" w14:textId="41BC03AE" w:rsidR="000E47D7" w:rsidRPr="00CB3833" w:rsidRDefault="000E47D7" w:rsidP="000C6E0C">
            <w:pPr>
              <w:pStyle w:val="TableTextform"/>
              <w:rPr>
                <w:rFonts w:cs="Arial"/>
                <w:sz w:val="18"/>
                <w:szCs w:val="18"/>
              </w:rPr>
            </w:pPr>
          </w:p>
        </w:tc>
        <w:tc>
          <w:tcPr>
            <w:tcW w:w="1559" w:type="dxa"/>
            <w:tcBorders>
              <w:top w:val="single" w:sz="5" w:space="0" w:color="000000"/>
              <w:left w:val="single" w:sz="5" w:space="0" w:color="000000"/>
              <w:bottom w:val="single" w:sz="5" w:space="0" w:color="000000"/>
              <w:right w:val="single" w:sz="5" w:space="0" w:color="000000"/>
            </w:tcBorders>
            <w:shd w:val="clear" w:color="auto" w:fill="auto"/>
          </w:tcPr>
          <w:p w14:paraId="18B938A3" w14:textId="77777777" w:rsidR="00125AA5" w:rsidRPr="00CB3833" w:rsidRDefault="00125AA5" w:rsidP="000C6E0C">
            <w:pPr>
              <w:pStyle w:val="TableTextform"/>
              <w:rPr>
                <w:rFonts w:eastAsia="MS Mincho" w:cs="Arial"/>
                <w:sz w:val="18"/>
                <w:szCs w:val="18"/>
              </w:rPr>
            </w:pPr>
            <w:r w:rsidRPr="00CB3833">
              <w:rPr>
                <w:rFonts w:eastAsia="MS Mincho" w:cs="Arial"/>
                <w:sz w:val="18"/>
                <w:szCs w:val="18"/>
              </w:rPr>
              <w:t>Key species are eastern king prawn (</w:t>
            </w:r>
            <w:r w:rsidRPr="00CB3833">
              <w:rPr>
                <w:rFonts w:eastAsia="MS Mincho" w:cs="Arial"/>
                <w:i/>
                <w:sz w:val="18"/>
                <w:szCs w:val="18"/>
              </w:rPr>
              <w:t>Penaeus plebejus</w:t>
            </w:r>
            <w:r w:rsidRPr="00CB3833">
              <w:rPr>
                <w:rFonts w:eastAsia="MS Mincho" w:cs="Arial"/>
                <w:sz w:val="18"/>
                <w:szCs w:val="18"/>
              </w:rPr>
              <w:t>), school prawn (</w:t>
            </w:r>
            <w:r w:rsidRPr="00CB3833">
              <w:rPr>
                <w:rFonts w:eastAsia="MS Mincho" w:cs="Arial"/>
                <w:i/>
                <w:sz w:val="18"/>
                <w:szCs w:val="18"/>
              </w:rPr>
              <w:t>Metapenaeus macleayi</w:t>
            </w:r>
            <w:r w:rsidRPr="00CB3833">
              <w:rPr>
                <w:rFonts w:eastAsia="MS Mincho" w:cs="Arial"/>
                <w:sz w:val="18"/>
                <w:szCs w:val="18"/>
              </w:rPr>
              <w:t>) and shovelnose lobster/Balmain bug (</w:t>
            </w:r>
            <w:r w:rsidRPr="00CB3833">
              <w:rPr>
                <w:rFonts w:eastAsia="MS Mincho" w:cs="Arial"/>
                <w:i/>
                <w:sz w:val="18"/>
                <w:szCs w:val="18"/>
              </w:rPr>
              <w:t>Ibacus peronii</w:t>
            </w:r>
            <w:r w:rsidRPr="00CB3833">
              <w:rPr>
                <w:rFonts w:eastAsia="MS Mincho" w:cs="Arial"/>
                <w:sz w:val="18"/>
                <w:szCs w:val="18"/>
              </w:rPr>
              <w:t>).</w:t>
            </w:r>
          </w:p>
          <w:p w14:paraId="14BE7E8A" w14:textId="2DE1066C" w:rsidR="00125AA5" w:rsidRPr="00CB3833" w:rsidRDefault="00125AA5" w:rsidP="000C6E0C">
            <w:pPr>
              <w:pStyle w:val="TableTextform"/>
              <w:rPr>
                <w:rFonts w:eastAsia="MS Mincho" w:cs="Arial"/>
                <w:sz w:val="18"/>
                <w:szCs w:val="18"/>
              </w:rPr>
            </w:pPr>
            <w:r w:rsidRPr="00CB3833">
              <w:rPr>
                <w:rFonts w:eastAsia="MS Mincho" w:cs="Arial"/>
                <w:sz w:val="18"/>
                <w:szCs w:val="18"/>
              </w:rPr>
              <w:t>Minor bycatch of sand flathead (</w:t>
            </w:r>
            <w:r w:rsidRPr="00CB3833">
              <w:rPr>
                <w:rFonts w:eastAsia="MS Mincho" w:cs="Arial"/>
                <w:i/>
                <w:sz w:val="18"/>
                <w:szCs w:val="18"/>
              </w:rPr>
              <w:t>Platcephalus bassensis</w:t>
            </w:r>
            <w:r w:rsidRPr="00CB3833">
              <w:rPr>
                <w:rFonts w:eastAsia="MS Mincho" w:cs="Arial"/>
                <w:sz w:val="18"/>
                <w:szCs w:val="18"/>
              </w:rPr>
              <w:t>), school whiting (</w:t>
            </w:r>
            <w:r w:rsidRPr="00CB3833">
              <w:rPr>
                <w:rFonts w:eastAsia="MS Mincho" w:cs="Arial"/>
                <w:i/>
                <w:sz w:val="18"/>
                <w:szCs w:val="18"/>
              </w:rPr>
              <w:t>Sillago bassensis</w:t>
            </w:r>
            <w:r w:rsidRPr="00CB3833">
              <w:rPr>
                <w:rFonts w:eastAsia="MS Mincho" w:cs="Arial"/>
                <w:sz w:val="18"/>
                <w:szCs w:val="18"/>
              </w:rPr>
              <w:t>) and gummy shark (</w:t>
            </w:r>
            <w:r w:rsidRPr="00CB3833">
              <w:rPr>
                <w:rFonts w:eastAsia="MS Mincho" w:cs="Arial"/>
                <w:i/>
                <w:sz w:val="18"/>
                <w:szCs w:val="18"/>
              </w:rPr>
              <w:t>Mustelus antarcticus</w:t>
            </w:r>
            <w:r w:rsidRPr="00CB3833">
              <w:rPr>
                <w:rFonts w:eastAsia="MS Mincho" w:cs="Arial"/>
                <w:sz w:val="18"/>
                <w:szCs w:val="18"/>
              </w:rPr>
              <w:t>).</w:t>
            </w:r>
          </w:p>
        </w:tc>
        <w:tc>
          <w:tcPr>
            <w:tcW w:w="2126" w:type="dxa"/>
            <w:tcBorders>
              <w:top w:val="single" w:sz="5" w:space="0" w:color="000000"/>
              <w:left w:val="single" w:sz="5" w:space="0" w:color="000000"/>
              <w:bottom w:val="single" w:sz="5" w:space="0" w:color="000000"/>
              <w:right w:val="single" w:sz="5" w:space="0" w:color="000000"/>
            </w:tcBorders>
          </w:tcPr>
          <w:p w14:paraId="01AF2456" w14:textId="77777777" w:rsidR="00DB33DD" w:rsidRPr="00DB33DD" w:rsidRDefault="00DB33DD" w:rsidP="00DB33DD">
            <w:pPr>
              <w:pStyle w:val="TableTextform"/>
              <w:rPr>
                <w:rFonts w:eastAsia="MS Mincho"/>
                <w:sz w:val="18"/>
                <w:szCs w:val="18"/>
              </w:rPr>
            </w:pPr>
            <w:r w:rsidRPr="00DB33DD">
              <w:rPr>
                <w:rFonts w:eastAsia="MS Mincho"/>
                <w:color w:val="auto"/>
                <w:sz w:val="18"/>
                <w:szCs w:val="18"/>
              </w:rPr>
              <w:t>Entire Victorian coastline, excluding marine reserves, bays and inlets.</w:t>
            </w:r>
          </w:p>
          <w:p w14:paraId="3711A0E7" w14:textId="77777777" w:rsidR="00DB33DD" w:rsidRPr="00DB33DD" w:rsidRDefault="00DB33DD" w:rsidP="00DB33DD">
            <w:pPr>
              <w:pStyle w:val="TableTextform"/>
              <w:rPr>
                <w:rFonts w:eastAsia="MS Mincho"/>
                <w:sz w:val="18"/>
                <w:szCs w:val="18"/>
              </w:rPr>
            </w:pPr>
            <w:r w:rsidRPr="00DB33DD">
              <w:rPr>
                <w:rFonts w:eastAsia="MS Mincho"/>
                <w:sz w:val="18"/>
                <w:szCs w:val="18"/>
              </w:rPr>
              <w:t xml:space="preserve">Most operators are based at Lakes Entrance. </w:t>
            </w:r>
          </w:p>
          <w:p w14:paraId="58FF4051" w14:textId="20C35C0D" w:rsidR="00125AA5" w:rsidRPr="00DB33DD" w:rsidRDefault="00125AA5" w:rsidP="000C6E0C">
            <w:pPr>
              <w:pStyle w:val="TableTextform"/>
              <w:rPr>
                <w:rFonts w:eastAsia="MS Mincho" w:cs="Arial"/>
                <w:sz w:val="18"/>
                <w:szCs w:val="18"/>
              </w:rPr>
            </w:pPr>
          </w:p>
        </w:tc>
        <w:tc>
          <w:tcPr>
            <w:tcW w:w="1985" w:type="dxa"/>
            <w:tcBorders>
              <w:top w:val="single" w:sz="5" w:space="0" w:color="000000"/>
              <w:left w:val="single" w:sz="5" w:space="0" w:color="000000"/>
              <w:bottom w:val="single" w:sz="5" w:space="0" w:color="000000"/>
              <w:right w:val="single" w:sz="5" w:space="0" w:color="000000"/>
            </w:tcBorders>
          </w:tcPr>
          <w:p w14:paraId="7B5612DA" w14:textId="7628A09F" w:rsidR="00DB33DD" w:rsidRPr="00DB33DD" w:rsidRDefault="00DB33DD" w:rsidP="00DB33DD">
            <w:pPr>
              <w:pStyle w:val="TableTextform"/>
              <w:rPr>
                <w:rFonts w:eastAsia="MS Mincho"/>
                <w:b/>
                <w:color w:val="auto"/>
                <w:sz w:val="18"/>
                <w:szCs w:val="18"/>
              </w:rPr>
            </w:pPr>
            <w:r w:rsidRPr="00DB33DD">
              <w:rPr>
                <w:rFonts w:eastAsia="MS Mincho"/>
                <w:b/>
                <w:color w:val="auto"/>
                <w:sz w:val="18"/>
                <w:szCs w:val="18"/>
              </w:rPr>
              <w:t xml:space="preserve">Acquisition area – </w:t>
            </w:r>
            <w:r w:rsidRPr="00DB33DD">
              <w:rPr>
                <w:rFonts w:eastAsia="MS Mincho"/>
                <w:b/>
                <w:color w:val="00B050"/>
                <w:sz w:val="18"/>
                <w:szCs w:val="18"/>
              </w:rPr>
              <w:t>Yes</w:t>
            </w:r>
            <w:r w:rsidRPr="00DB33DD">
              <w:rPr>
                <w:rFonts w:eastAsia="MS Mincho"/>
                <w:color w:val="auto"/>
                <w:sz w:val="18"/>
                <w:szCs w:val="18"/>
              </w:rPr>
              <w:t xml:space="preserve">, based on </w:t>
            </w:r>
            <w:r w:rsidR="00BC43B5">
              <w:rPr>
                <w:rFonts w:eastAsia="MS Mincho"/>
                <w:color w:val="auto"/>
                <w:sz w:val="18"/>
                <w:szCs w:val="18"/>
              </w:rPr>
              <w:t>VFA</w:t>
            </w:r>
            <w:r w:rsidRPr="00DB33DD">
              <w:rPr>
                <w:rFonts w:eastAsia="MS Mincho"/>
                <w:color w:val="auto"/>
                <w:sz w:val="18"/>
                <w:szCs w:val="18"/>
              </w:rPr>
              <w:t xml:space="preserve"> 2012-2016 catch data. </w:t>
            </w:r>
          </w:p>
          <w:p w14:paraId="69107975" w14:textId="0EE22AD5" w:rsidR="00125AA5" w:rsidRPr="00DB33DD" w:rsidRDefault="00DB33DD" w:rsidP="00BC43B5">
            <w:pPr>
              <w:pStyle w:val="TableTextform"/>
              <w:rPr>
                <w:rFonts w:eastAsia="MS Mincho" w:cs="Arial"/>
                <w:b/>
                <w:color w:val="auto"/>
                <w:sz w:val="18"/>
                <w:szCs w:val="18"/>
              </w:rPr>
            </w:pPr>
            <w:r w:rsidRPr="00DB33DD">
              <w:rPr>
                <w:rFonts w:eastAsia="MS Mincho"/>
                <w:b/>
                <w:color w:val="auto"/>
                <w:sz w:val="18"/>
                <w:szCs w:val="18"/>
              </w:rPr>
              <w:t xml:space="preserve">Diesel spill EMBA – </w:t>
            </w:r>
            <w:r w:rsidRPr="00DB33DD">
              <w:rPr>
                <w:rFonts w:eastAsia="MS Mincho"/>
                <w:b/>
                <w:color w:val="00B050"/>
                <w:sz w:val="18"/>
                <w:szCs w:val="18"/>
              </w:rPr>
              <w:t>Yes</w:t>
            </w:r>
            <w:r w:rsidRPr="00DB33DD">
              <w:rPr>
                <w:rFonts w:eastAsia="MS Mincho"/>
                <w:color w:val="auto"/>
                <w:sz w:val="18"/>
                <w:szCs w:val="18"/>
              </w:rPr>
              <w:t xml:space="preserve">, based on </w:t>
            </w:r>
            <w:r w:rsidR="00BC43B5">
              <w:rPr>
                <w:rFonts w:eastAsia="MS Mincho"/>
                <w:color w:val="auto"/>
                <w:sz w:val="18"/>
                <w:szCs w:val="18"/>
              </w:rPr>
              <w:t>VFA</w:t>
            </w:r>
            <w:r w:rsidRPr="00DB33DD">
              <w:rPr>
                <w:rFonts w:eastAsia="MS Mincho"/>
                <w:color w:val="auto"/>
                <w:sz w:val="18"/>
                <w:szCs w:val="18"/>
              </w:rPr>
              <w:t xml:space="preserve"> advice.</w:t>
            </w:r>
          </w:p>
        </w:tc>
        <w:tc>
          <w:tcPr>
            <w:tcW w:w="1843" w:type="dxa"/>
            <w:tcBorders>
              <w:top w:val="single" w:sz="5" w:space="0" w:color="000000"/>
              <w:left w:val="single" w:sz="5" w:space="0" w:color="000000"/>
              <w:bottom w:val="single" w:sz="5" w:space="0" w:color="000000"/>
              <w:right w:val="single" w:sz="5" w:space="0" w:color="000000"/>
            </w:tcBorders>
          </w:tcPr>
          <w:p w14:paraId="38107DC8" w14:textId="2FCE58B4" w:rsidR="00125AA5" w:rsidRPr="00DB33DD" w:rsidRDefault="00DB33DD" w:rsidP="000C6E0C">
            <w:pPr>
              <w:pStyle w:val="TableTextform"/>
              <w:rPr>
                <w:rFonts w:cs="Arial"/>
                <w:sz w:val="18"/>
                <w:szCs w:val="18"/>
              </w:rPr>
            </w:pPr>
            <w:r w:rsidRPr="00DB33DD">
              <w:rPr>
                <w:rFonts w:eastAsia="MS Mincho"/>
                <w:color w:val="auto"/>
                <w:sz w:val="18"/>
                <w:szCs w:val="18"/>
              </w:rPr>
              <w:t>Year-round, although the majority of prawn fishing occurs in the warmer months up until Easter.</w:t>
            </w:r>
          </w:p>
        </w:tc>
        <w:tc>
          <w:tcPr>
            <w:tcW w:w="2693" w:type="dxa"/>
            <w:tcBorders>
              <w:top w:val="single" w:sz="5" w:space="0" w:color="000000"/>
              <w:left w:val="single" w:sz="5" w:space="0" w:color="000000"/>
              <w:bottom w:val="single" w:sz="5" w:space="0" w:color="000000"/>
              <w:right w:val="single" w:sz="5" w:space="0" w:color="000000"/>
            </w:tcBorders>
          </w:tcPr>
          <w:p w14:paraId="6BB63A4B" w14:textId="77777777" w:rsidR="00125AA5" w:rsidRPr="00DB33DD" w:rsidRDefault="00125AA5" w:rsidP="000C6E0C">
            <w:pPr>
              <w:pStyle w:val="TableTextform"/>
              <w:rPr>
                <w:rFonts w:eastAsia="MS Mincho" w:cs="Arial"/>
                <w:sz w:val="18"/>
                <w:szCs w:val="18"/>
              </w:rPr>
            </w:pPr>
            <w:r w:rsidRPr="00DB33DD">
              <w:rPr>
                <w:rFonts w:eastAsia="MS Mincho" w:cs="Arial"/>
                <w:sz w:val="18"/>
                <w:szCs w:val="18"/>
              </w:rPr>
              <w:t xml:space="preserve">Otter-board trawls with no more than a maximum head-line length of 33 m, or single mesh nets are used. </w:t>
            </w:r>
          </w:p>
          <w:p w14:paraId="18255995" w14:textId="7F8F4503" w:rsidR="00125AA5" w:rsidRPr="00DB33DD" w:rsidRDefault="00125AA5" w:rsidP="00DB33DD">
            <w:pPr>
              <w:pStyle w:val="TableTextform"/>
              <w:rPr>
                <w:rFonts w:eastAsia="MS Mincho" w:cs="Arial"/>
                <w:sz w:val="18"/>
                <w:szCs w:val="18"/>
              </w:rPr>
            </w:pPr>
            <w:r w:rsidRPr="00DB33DD">
              <w:rPr>
                <w:rFonts w:eastAsia="MS Mincho" w:cs="Arial"/>
                <w:sz w:val="18"/>
                <w:szCs w:val="18"/>
              </w:rPr>
              <w:t>There are 5</w:t>
            </w:r>
            <w:r w:rsidR="00DB33DD" w:rsidRPr="00DB33DD">
              <w:rPr>
                <w:rFonts w:eastAsia="MS Mincho" w:cs="Arial"/>
                <w:sz w:val="18"/>
                <w:szCs w:val="18"/>
              </w:rPr>
              <w:t>4</w:t>
            </w:r>
            <w:r w:rsidRPr="00DB33DD">
              <w:rPr>
                <w:rFonts w:eastAsia="MS Mincho" w:cs="Arial"/>
                <w:sz w:val="18"/>
                <w:szCs w:val="18"/>
              </w:rPr>
              <w:t xml:space="preserve"> trawl licences</w:t>
            </w:r>
            <w:r w:rsidR="00DB33DD" w:rsidRPr="00DB33DD">
              <w:rPr>
                <w:rFonts w:eastAsia="MS Mincho" w:cs="Arial"/>
                <w:sz w:val="18"/>
                <w:szCs w:val="18"/>
              </w:rPr>
              <w:t xml:space="preserve"> (with </w:t>
            </w:r>
            <w:r w:rsidR="005E2B92">
              <w:rPr>
                <w:rFonts w:eastAsia="MS Mincho" w:cs="Arial"/>
                <w:sz w:val="18"/>
                <w:szCs w:val="18"/>
              </w:rPr>
              <w:t xml:space="preserve">only </w:t>
            </w:r>
            <w:r w:rsidR="00DB33DD" w:rsidRPr="00DB33DD">
              <w:rPr>
                <w:rFonts w:eastAsia="MS Mincho" w:cs="Arial"/>
                <w:sz w:val="18"/>
                <w:szCs w:val="18"/>
              </w:rPr>
              <w:t xml:space="preserve">about 15 active to various degrees). </w:t>
            </w:r>
          </w:p>
        </w:tc>
        <w:tc>
          <w:tcPr>
            <w:tcW w:w="2268" w:type="dxa"/>
            <w:tcBorders>
              <w:top w:val="single" w:sz="5" w:space="0" w:color="000000"/>
              <w:left w:val="single" w:sz="5" w:space="0" w:color="000000"/>
              <w:bottom w:val="single" w:sz="5" w:space="0" w:color="000000"/>
              <w:right w:val="single" w:sz="5" w:space="0" w:color="000000"/>
            </w:tcBorders>
          </w:tcPr>
          <w:p w14:paraId="5ED3F4CC" w14:textId="77777777" w:rsidR="00DB33DD" w:rsidRDefault="00DB33DD" w:rsidP="00DB33DD">
            <w:pPr>
              <w:pStyle w:val="TableTextform"/>
              <w:rPr>
                <w:sz w:val="18"/>
                <w:szCs w:val="18"/>
              </w:rPr>
            </w:pPr>
            <w:r w:rsidRPr="00DB33DD">
              <w:rPr>
                <w:sz w:val="18"/>
                <w:szCs w:val="18"/>
              </w:rPr>
              <w:t>Catch in the EMBA has been between 43 and 223 tonnes over the last 10 years.</w:t>
            </w:r>
          </w:p>
          <w:p w14:paraId="184E7F3A" w14:textId="5E6EE1A9" w:rsidR="00125AA5" w:rsidRPr="00DB33DD" w:rsidRDefault="00125AA5" w:rsidP="0010112B">
            <w:pPr>
              <w:pStyle w:val="TableTextform"/>
              <w:rPr>
                <w:rFonts w:cs="Arial"/>
                <w:sz w:val="18"/>
                <w:szCs w:val="18"/>
              </w:rPr>
            </w:pPr>
          </w:p>
        </w:tc>
      </w:tr>
      <w:tr w:rsidR="00DB33DD" w:rsidRPr="00CB3833" w14:paraId="1D61438E" w14:textId="77777777" w:rsidTr="00944E62">
        <w:trPr>
          <w:cantSplit/>
          <w:trHeight w:val="414"/>
        </w:trPr>
        <w:tc>
          <w:tcPr>
            <w:tcW w:w="1560" w:type="dxa"/>
            <w:tcBorders>
              <w:top w:val="single" w:sz="5" w:space="0" w:color="000000"/>
              <w:left w:val="single" w:sz="5" w:space="0" w:color="000000"/>
              <w:bottom w:val="single" w:sz="5" w:space="0" w:color="000000"/>
              <w:right w:val="single" w:sz="5" w:space="0" w:color="000000"/>
            </w:tcBorders>
            <w:shd w:val="clear" w:color="auto" w:fill="auto"/>
          </w:tcPr>
          <w:p w14:paraId="6401AEA9" w14:textId="33D3A54D" w:rsidR="00DB33DD" w:rsidRPr="00DB33DD" w:rsidRDefault="00DB33DD" w:rsidP="000C6E0C">
            <w:pPr>
              <w:pStyle w:val="TableTextform"/>
              <w:rPr>
                <w:rFonts w:cs="Arial"/>
                <w:sz w:val="18"/>
                <w:szCs w:val="18"/>
              </w:rPr>
            </w:pPr>
            <w:r w:rsidRPr="00DB33DD">
              <w:rPr>
                <w:sz w:val="18"/>
                <w:szCs w:val="18"/>
              </w:rPr>
              <w:lastRenderedPageBreak/>
              <w:t>Banded Morwong Fishery</w:t>
            </w:r>
          </w:p>
        </w:tc>
        <w:tc>
          <w:tcPr>
            <w:tcW w:w="1559" w:type="dxa"/>
            <w:tcBorders>
              <w:top w:val="single" w:sz="5" w:space="0" w:color="000000"/>
              <w:left w:val="single" w:sz="5" w:space="0" w:color="000000"/>
              <w:bottom w:val="single" w:sz="5" w:space="0" w:color="000000"/>
              <w:right w:val="single" w:sz="5" w:space="0" w:color="000000"/>
            </w:tcBorders>
            <w:shd w:val="clear" w:color="auto" w:fill="auto"/>
          </w:tcPr>
          <w:p w14:paraId="59794706" w14:textId="77777777" w:rsidR="00DB33DD" w:rsidRPr="00DB33DD" w:rsidRDefault="00DB33DD" w:rsidP="00EB3AA9">
            <w:pPr>
              <w:pStyle w:val="TableTextform"/>
              <w:rPr>
                <w:rFonts w:eastAsia="MS Mincho"/>
                <w:i/>
                <w:iCs/>
                <w:sz w:val="18"/>
                <w:szCs w:val="18"/>
              </w:rPr>
            </w:pPr>
            <w:r w:rsidRPr="00DB33DD">
              <w:rPr>
                <w:rFonts w:eastAsia="MS Mincho"/>
                <w:iCs/>
                <w:sz w:val="18"/>
                <w:szCs w:val="18"/>
              </w:rPr>
              <w:t>Banded morwong</w:t>
            </w:r>
            <w:r w:rsidRPr="00DB33DD">
              <w:rPr>
                <w:rFonts w:eastAsia="MS Mincho"/>
                <w:i/>
                <w:iCs/>
                <w:sz w:val="18"/>
                <w:szCs w:val="18"/>
              </w:rPr>
              <w:t xml:space="preserve"> (Cheilodactylus spectabilis).</w:t>
            </w:r>
          </w:p>
          <w:p w14:paraId="1CA69908" w14:textId="77777777" w:rsidR="00DB33DD" w:rsidRPr="00DB33DD" w:rsidRDefault="00DB33DD" w:rsidP="00EB3AA9">
            <w:pPr>
              <w:pStyle w:val="TableTextform"/>
              <w:rPr>
                <w:rFonts w:eastAsia="MS Mincho"/>
                <w:i/>
                <w:iCs/>
                <w:sz w:val="18"/>
                <w:szCs w:val="18"/>
              </w:rPr>
            </w:pPr>
          </w:p>
          <w:p w14:paraId="2F96875A" w14:textId="3E49984E" w:rsidR="00DB33DD" w:rsidRPr="00DB33DD" w:rsidRDefault="00DB33DD" w:rsidP="000C6E0C">
            <w:pPr>
              <w:pStyle w:val="TableTextform"/>
              <w:rPr>
                <w:rFonts w:eastAsia="MS Mincho" w:cs="Arial"/>
                <w:sz w:val="18"/>
                <w:szCs w:val="18"/>
              </w:rPr>
            </w:pPr>
            <w:r w:rsidRPr="00DB33DD">
              <w:rPr>
                <w:rFonts w:eastAsia="MS Mincho"/>
                <w:color w:val="auto"/>
                <w:sz w:val="18"/>
                <w:szCs w:val="18"/>
              </w:rPr>
              <w:t>Some fish are also landed as byproduct from the Ocean Access Fishery.</w:t>
            </w:r>
          </w:p>
        </w:tc>
        <w:tc>
          <w:tcPr>
            <w:tcW w:w="2126" w:type="dxa"/>
            <w:tcBorders>
              <w:top w:val="single" w:sz="5" w:space="0" w:color="000000"/>
              <w:left w:val="single" w:sz="5" w:space="0" w:color="000000"/>
              <w:bottom w:val="single" w:sz="5" w:space="0" w:color="000000"/>
              <w:right w:val="single" w:sz="5" w:space="0" w:color="000000"/>
            </w:tcBorders>
          </w:tcPr>
          <w:p w14:paraId="2864BE5B" w14:textId="77777777" w:rsidR="00DB33DD" w:rsidRPr="00DB33DD" w:rsidRDefault="00DB33DD" w:rsidP="00EB3AA9">
            <w:pPr>
              <w:pStyle w:val="TableTextform"/>
              <w:rPr>
                <w:rFonts w:eastAsia="MS Mincho"/>
                <w:color w:val="auto"/>
                <w:sz w:val="18"/>
                <w:szCs w:val="18"/>
              </w:rPr>
            </w:pPr>
            <w:r w:rsidRPr="00DB33DD">
              <w:rPr>
                <w:rFonts w:eastAsia="MS Mincho"/>
                <w:color w:val="auto"/>
                <w:sz w:val="18"/>
                <w:szCs w:val="18"/>
              </w:rPr>
              <w:t xml:space="preserve">Extent is uncertain. </w:t>
            </w:r>
          </w:p>
          <w:p w14:paraId="3CD34822" w14:textId="70CEDED4" w:rsidR="00DB33DD" w:rsidRPr="00DB33DD" w:rsidRDefault="00DB33DD" w:rsidP="00DB33DD">
            <w:pPr>
              <w:pStyle w:val="TableTextform"/>
              <w:rPr>
                <w:rFonts w:eastAsia="MS Mincho"/>
                <w:color w:val="auto"/>
                <w:sz w:val="18"/>
                <w:szCs w:val="18"/>
              </w:rPr>
            </w:pPr>
            <w:r w:rsidRPr="00DB33DD">
              <w:rPr>
                <w:rFonts w:eastAsia="MS Mincho"/>
                <w:color w:val="auto"/>
                <w:sz w:val="18"/>
                <w:szCs w:val="18"/>
              </w:rPr>
              <w:t xml:space="preserve">The banded morwong is a temperate reef species. The sparse and patchy nature of reef in and around the proposed acquisition area suggests there may be limited </w:t>
            </w:r>
            <w:r>
              <w:rPr>
                <w:rFonts w:eastAsia="MS Mincho"/>
                <w:color w:val="auto"/>
                <w:sz w:val="18"/>
                <w:szCs w:val="18"/>
              </w:rPr>
              <w:t>or non-existent</w:t>
            </w:r>
            <w:r w:rsidRPr="00DB33DD">
              <w:rPr>
                <w:rFonts w:eastAsia="MS Mincho"/>
                <w:color w:val="auto"/>
                <w:sz w:val="18"/>
                <w:szCs w:val="18"/>
              </w:rPr>
              <w:t xml:space="preserve">. </w:t>
            </w:r>
          </w:p>
        </w:tc>
        <w:tc>
          <w:tcPr>
            <w:tcW w:w="1985" w:type="dxa"/>
            <w:tcBorders>
              <w:top w:val="single" w:sz="5" w:space="0" w:color="000000"/>
              <w:left w:val="single" w:sz="5" w:space="0" w:color="000000"/>
              <w:bottom w:val="single" w:sz="5" w:space="0" w:color="000000"/>
              <w:right w:val="single" w:sz="5" w:space="0" w:color="000000"/>
            </w:tcBorders>
          </w:tcPr>
          <w:p w14:paraId="38D822C8" w14:textId="314DA675" w:rsidR="00DB33DD" w:rsidRPr="00DB33DD" w:rsidRDefault="00DB33DD" w:rsidP="00EB3AA9">
            <w:pPr>
              <w:pStyle w:val="TableTextform"/>
              <w:rPr>
                <w:rFonts w:eastAsia="MS Mincho"/>
                <w:b/>
                <w:color w:val="auto"/>
                <w:sz w:val="18"/>
                <w:szCs w:val="18"/>
              </w:rPr>
            </w:pPr>
            <w:r w:rsidRPr="00DB33DD">
              <w:rPr>
                <w:rFonts w:eastAsia="MS Mincho"/>
                <w:b/>
                <w:color w:val="auto"/>
                <w:sz w:val="18"/>
                <w:szCs w:val="18"/>
              </w:rPr>
              <w:t xml:space="preserve">Acquisition area – </w:t>
            </w:r>
            <w:r w:rsidRPr="00DB33DD">
              <w:rPr>
                <w:rFonts w:eastAsia="MS Mincho"/>
                <w:b/>
                <w:color w:val="FF0000"/>
                <w:sz w:val="18"/>
                <w:szCs w:val="18"/>
              </w:rPr>
              <w:t>Unlikely</w:t>
            </w:r>
            <w:r w:rsidRPr="00DB33DD">
              <w:rPr>
                <w:rFonts w:eastAsia="MS Mincho"/>
                <w:color w:val="auto"/>
                <w:sz w:val="18"/>
                <w:szCs w:val="18"/>
              </w:rPr>
              <w:t xml:space="preserve">, based on limited reef habitat and based on distribution of reported catch (south of Wilsons Promontory). </w:t>
            </w:r>
          </w:p>
          <w:p w14:paraId="56BB3423" w14:textId="77777777" w:rsidR="00DB33DD" w:rsidRPr="00DB33DD" w:rsidRDefault="00DB33DD" w:rsidP="00EB3AA9">
            <w:pPr>
              <w:pStyle w:val="TableTextform"/>
              <w:rPr>
                <w:rFonts w:eastAsia="MS Mincho"/>
                <w:color w:val="auto"/>
                <w:sz w:val="18"/>
                <w:szCs w:val="18"/>
              </w:rPr>
            </w:pPr>
            <w:r w:rsidRPr="00DB33DD">
              <w:rPr>
                <w:rFonts w:eastAsia="MS Mincho"/>
                <w:b/>
                <w:color w:val="auto"/>
                <w:sz w:val="18"/>
                <w:szCs w:val="18"/>
              </w:rPr>
              <w:t xml:space="preserve">Diesel spill EMBA – </w:t>
            </w:r>
          </w:p>
          <w:p w14:paraId="10832249" w14:textId="66CC089E" w:rsidR="00DB33DD" w:rsidRPr="00DB33DD" w:rsidRDefault="00DB33DD" w:rsidP="00DB33DD">
            <w:pPr>
              <w:pStyle w:val="TableTextform"/>
              <w:rPr>
                <w:rFonts w:eastAsia="MS Mincho"/>
                <w:b/>
                <w:color w:val="auto"/>
                <w:sz w:val="18"/>
                <w:szCs w:val="18"/>
              </w:rPr>
            </w:pPr>
            <w:r w:rsidRPr="00DB33DD">
              <w:rPr>
                <w:rFonts w:eastAsia="MS Mincho"/>
                <w:b/>
                <w:color w:val="FF0000"/>
                <w:sz w:val="18"/>
                <w:szCs w:val="18"/>
              </w:rPr>
              <w:t>Unlikely</w:t>
            </w:r>
            <w:r w:rsidRPr="00DB33DD">
              <w:rPr>
                <w:rFonts w:eastAsia="MS Mincho"/>
                <w:color w:val="auto"/>
                <w:sz w:val="18"/>
                <w:szCs w:val="18"/>
              </w:rPr>
              <w:t>, based on distribution of reported catch (south of Wilsons Promontory).</w:t>
            </w:r>
          </w:p>
        </w:tc>
        <w:tc>
          <w:tcPr>
            <w:tcW w:w="1843" w:type="dxa"/>
            <w:tcBorders>
              <w:top w:val="single" w:sz="5" w:space="0" w:color="000000"/>
              <w:left w:val="single" w:sz="5" w:space="0" w:color="000000"/>
              <w:bottom w:val="single" w:sz="5" w:space="0" w:color="000000"/>
              <w:right w:val="single" w:sz="5" w:space="0" w:color="000000"/>
            </w:tcBorders>
          </w:tcPr>
          <w:p w14:paraId="11C70D82" w14:textId="3C737070" w:rsidR="00DB33DD" w:rsidRPr="00DB33DD" w:rsidRDefault="00DB33DD" w:rsidP="000C6E0C">
            <w:pPr>
              <w:pStyle w:val="TableTextform"/>
              <w:rPr>
                <w:rFonts w:eastAsia="MS Mincho"/>
                <w:color w:val="auto"/>
                <w:sz w:val="18"/>
                <w:szCs w:val="18"/>
              </w:rPr>
            </w:pPr>
            <w:r w:rsidRPr="00DB33DD">
              <w:rPr>
                <w:rFonts w:eastAsia="MS Mincho"/>
                <w:color w:val="auto"/>
                <w:sz w:val="18"/>
                <w:szCs w:val="18"/>
              </w:rPr>
              <w:t>Unknown.</w:t>
            </w:r>
          </w:p>
        </w:tc>
        <w:tc>
          <w:tcPr>
            <w:tcW w:w="2693" w:type="dxa"/>
            <w:tcBorders>
              <w:top w:val="single" w:sz="5" w:space="0" w:color="000000"/>
              <w:left w:val="single" w:sz="5" w:space="0" w:color="000000"/>
              <w:bottom w:val="single" w:sz="5" w:space="0" w:color="000000"/>
              <w:right w:val="single" w:sz="5" w:space="0" w:color="000000"/>
            </w:tcBorders>
          </w:tcPr>
          <w:p w14:paraId="1C5DF68A" w14:textId="33AD46C4" w:rsidR="00DB33DD" w:rsidRPr="00DB33DD" w:rsidRDefault="00DB33DD" w:rsidP="000C6E0C">
            <w:pPr>
              <w:pStyle w:val="TableTextform"/>
              <w:rPr>
                <w:rFonts w:eastAsia="MS Mincho" w:cs="Arial"/>
                <w:sz w:val="18"/>
                <w:szCs w:val="18"/>
              </w:rPr>
            </w:pPr>
            <w:r w:rsidRPr="00DB33DD">
              <w:rPr>
                <w:rFonts w:eastAsia="MS Mincho"/>
                <w:sz w:val="18"/>
                <w:szCs w:val="18"/>
              </w:rPr>
              <w:t>Uses large-mesh gillnets.</w:t>
            </w:r>
          </w:p>
        </w:tc>
        <w:tc>
          <w:tcPr>
            <w:tcW w:w="2268" w:type="dxa"/>
            <w:tcBorders>
              <w:top w:val="single" w:sz="5" w:space="0" w:color="000000"/>
              <w:left w:val="single" w:sz="5" w:space="0" w:color="000000"/>
              <w:bottom w:val="single" w:sz="5" w:space="0" w:color="000000"/>
              <w:right w:val="single" w:sz="5" w:space="0" w:color="000000"/>
            </w:tcBorders>
          </w:tcPr>
          <w:p w14:paraId="19808B06" w14:textId="77777777" w:rsidR="00DB33DD" w:rsidRPr="00DB33DD" w:rsidRDefault="00DB33DD" w:rsidP="00EB3AA9">
            <w:pPr>
              <w:pStyle w:val="TableTextform"/>
              <w:rPr>
                <w:rFonts w:eastAsia="MS Mincho"/>
                <w:color w:val="auto"/>
                <w:sz w:val="18"/>
                <w:szCs w:val="18"/>
              </w:rPr>
            </w:pPr>
            <w:r w:rsidRPr="00DB33DD">
              <w:rPr>
                <w:rFonts w:eastAsia="MS Mincho"/>
                <w:color w:val="auto"/>
                <w:sz w:val="18"/>
                <w:szCs w:val="18"/>
              </w:rPr>
              <w:t xml:space="preserve">The most recent stock assessment (undertaken in 2012) has not been published because of the limited number of operators and concerns about confidentiality. Catch data examined from 2002–12 concluded that there was a clear downward trend in biomass since the mid-2000s (catch per unit effort may have fallen by up to 48% from the peak). </w:t>
            </w:r>
          </w:p>
          <w:p w14:paraId="5BC7DC74" w14:textId="73621308" w:rsidR="00DB33DD" w:rsidRPr="00DB33DD" w:rsidRDefault="00DB33DD" w:rsidP="00DB33DD">
            <w:pPr>
              <w:pStyle w:val="TableTextform"/>
              <w:rPr>
                <w:sz w:val="18"/>
                <w:szCs w:val="18"/>
              </w:rPr>
            </w:pPr>
            <w:r w:rsidRPr="00DB33DD">
              <w:rPr>
                <w:rFonts w:eastAsia="MS Mincho"/>
                <w:color w:val="auto"/>
                <w:sz w:val="18"/>
                <w:szCs w:val="18"/>
              </w:rPr>
              <w:t xml:space="preserve">The total catch is currently less than 2.5 tonnes per year (catches are now limited to 625 fish per operator). </w:t>
            </w:r>
          </w:p>
        </w:tc>
      </w:tr>
    </w:tbl>
    <w:p w14:paraId="5829FD5B" w14:textId="0C38B9A2" w:rsidR="00125AA5" w:rsidRPr="00DB33DD" w:rsidRDefault="00125AA5" w:rsidP="00EE6960">
      <w:pPr>
        <w:pStyle w:val="TableHeader"/>
        <w:spacing w:before="60" w:after="120" w:line="240" w:lineRule="auto"/>
        <w:ind w:hanging="709"/>
        <w:rPr>
          <w:sz w:val="16"/>
          <w:szCs w:val="16"/>
        </w:rPr>
        <w:sectPr w:rsidR="00125AA5" w:rsidRPr="00DB33DD" w:rsidSect="00615434">
          <w:headerReference w:type="even" r:id="rId199"/>
          <w:headerReference w:type="default" r:id="rId200"/>
          <w:footerReference w:type="default" r:id="rId201"/>
          <w:headerReference w:type="first" r:id="rId202"/>
          <w:pgSz w:w="16840" w:h="11900" w:orient="landscape" w:code="9"/>
          <w:pgMar w:top="1418" w:right="1440" w:bottom="1800" w:left="1930" w:header="994" w:footer="706" w:gutter="0"/>
          <w:cols w:space="708"/>
          <w:docGrid w:linePitch="360"/>
        </w:sectPr>
      </w:pPr>
      <w:r w:rsidRPr="00AD7332">
        <w:rPr>
          <w:b w:val="0"/>
          <w:i/>
          <w:sz w:val="16"/>
          <w:szCs w:val="16"/>
          <w:lang w:val="en-GB"/>
        </w:rPr>
        <w:t xml:space="preserve">Sources: Agriculture Victoria (Fisheries) (2017); </w:t>
      </w:r>
      <w:r w:rsidR="00EF2272">
        <w:rPr>
          <w:b w:val="0"/>
          <w:i/>
          <w:sz w:val="16"/>
          <w:szCs w:val="16"/>
          <w:lang w:val="en-GB"/>
        </w:rPr>
        <w:t>FRDC</w:t>
      </w:r>
      <w:r w:rsidR="00DB33DD">
        <w:rPr>
          <w:b w:val="0"/>
          <w:i/>
          <w:sz w:val="16"/>
          <w:szCs w:val="16"/>
          <w:lang w:val="en-GB"/>
        </w:rPr>
        <w:t xml:space="preserve"> (2017),</w:t>
      </w:r>
      <w:r w:rsidR="0088147E">
        <w:rPr>
          <w:b w:val="0"/>
          <w:i/>
          <w:sz w:val="16"/>
          <w:szCs w:val="16"/>
          <w:lang w:val="en-GB"/>
        </w:rPr>
        <w:t xml:space="preserve"> </w:t>
      </w:r>
      <w:r w:rsidR="00BF7E15">
        <w:rPr>
          <w:b w:val="0"/>
          <w:i/>
          <w:sz w:val="16"/>
          <w:szCs w:val="16"/>
          <w:lang w:val="en-GB"/>
        </w:rPr>
        <w:t xml:space="preserve">SETFIA </w:t>
      </w:r>
      <w:r w:rsidR="00A00DC2">
        <w:rPr>
          <w:b w:val="0"/>
          <w:i/>
          <w:sz w:val="16"/>
          <w:szCs w:val="16"/>
          <w:lang w:val="en-GB"/>
        </w:rPr>
        <w:t>and</w:t>
      </w:r>
      <w:r w:rsidR="00BF7E15">
        <w:rPr>
          <w:b w:val="0"/>
          <w:i/>
          <w:sz w:val="16"/>
          <w:szCs w:val="16"/>
          <w:lang w:val="en-GB"/>
        </w:rPr>
        <w:t xml:space="preserve"> Fishwell </w:t>
      </w:r>
      <w:r w:rsidR="00A00DC2">
        <w:rPr>
          <w:b w:val="0"/>
          <w:i/>
          <w:sz w:val="16"/>
          <w:szCs w:val="16"/>
          <w:lang w:val="en-GB"/>
        </w:rPr>
        <w:t xml:space="preserve">Consulting </w:t>
      </w:r>
      <w:r w:rsidR="00BF7E15">
        <w:rPr>
          <w:b w:val="0"/>
          <w:i/>
          <w:sz w:val="16"/>
          <w:szCs w:val="16"/>
          <w:lang w:val="en-GB"/>
        </w:rPr>
        <w:t>(2017)</w:t>
      </w:r>
      <w:r w:rsidR="00A00DC2">
        <w:rPr>
          <w:b w:val="0"/>
          <w:i/>
          <w:sz w:val="16"/>
          <w:szCs w:val="16"/>
          <w:lang w:val="en-GB"/>
        </w:rPr>
        <w:t>,</w:t>
      </w:r>
      <w:r w:rsidR="00BF7E15">
        <w:rPr>
          <w:b w:val="0"/>
          <w:i/>
          <w:sz w:val="16"/>
          <w:szCs w:val="16"/>
          <w:lang w:val="en-GB"/>
        </w:rPr>
        <w:t xml:space="preserve"> </w:t>
      </w:r>
      <w:r w:rsidR="00BA0914">
        <w:rPr>
          <w:b w:val="0"/>
          <w:i/>
          <w:sz w:val="16"/>
          <w:szCs w:val="16"/>
          <w:lang w:val="en-GB"/>
        </w:rPr>
        <w:t>VFA (2017)</w:t>
      </w:r>
      <w:r w:rsidR="00734BE4">
        <w:rPr>
          <w:b w:val="0"/>
          <w:i/>
          <w:sz w:val="16"/>
          <w:szCs w:val="16"/>
          <w:lang w:val="en-GB"/>
        </w:rPr>
        <w:t>, Sen (2011)</w:t>
      </w:r>
      <w:r w:rsidR="00BA0914">
        <w:rPr>
          <w:b w:val="0"/>
          <w:i/>
          <w:sz w:val="16"/>
          <w:szCs w:val="16"/>
          <w:lang w:val="en-GB"/>
        </w:rPr>
        <w:t xml:space="preserve"> </w:t>
      </w:r>
      <w:r w:rsidR="00BF7E15">
        <w:rPr>
          <w:b w:val="0"/>
          <w:i/>
          <w:sz w:val="16"/>
          <w:szCs w:val="16"/>
          <w:lang w:val="en-GB"/>
        </w:rPr>
        <w:t xml:space="preserve">and </w:t>
      </w:r>
      <w:r w:rsidR="00DB33DD">
        <w:rPr>
          <w:b w:val="0"/>
          <w:i/>
          <w:sz w:val="16"/>
          <w:szCs w:val="16"/>
          <w:lang w:val="en-GB"/>
        </w:rPr>
        <w:t xml:space="preserve">consultation with </w:t>
      </w:r>
      <w:r w:rsidR="00911652">
        <w:rPr>
          <w:b w:val="0"/>
          <w:i/>
          <w:sz w:val="16"/>
          <w:szCs w:val="16"/>
          <w:lang w:val="en-GB"/>
        </w:rPr>
        <w:t>VFA</w:t>
      </w:r>
      <w:r w:rsidR="00DB33DD">
        <w:rPr>
          <w:b w:val="0"/>
          <w:i/>
          <w:sz w:val="16"/>
          <w:szCs w:val="16"/>
          <w:lang w:val="en-GB"/>
        </w:rPr>
        <w:t>.</w:t>
      </w:r>
    </w:p>
    <w:p w14:paraId="5DE98225" w14:textId="77777777" w:rsidR="0070660F" w:rsidRDefault="0070660F" w:rsidP="0070660F"/>
    <w:tbl>
      <w:tblPr>
        <w:tblW w:w="0" w:type="auto"/>
        <w:tblInd w:w="72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7802"/>
      </w:tblGrid>
      <w:tr w:rsidR="00AD7332" w14:paraId="4C9C4D3D" w14:textId="77777777" w:rsidTr="00514376">
        <w:tc>
          <w:tcPr>
            <w:tcW w:w="7802" w:type="dxa"/>
            <w:shd w:val="clear" w:color="auto" w:fill="auto"/>
          </w:tcPr>
          <w:p w14:paraId="6232A978" w14:textId="06C00BD5" w:rsidR="00AD7332" w:rsidRDefault="0042637F" w:rsidP="00514376">
            <w:pPr>
              <w:ind w:left="0"/>
            </w:pPr>
            <w:r>
              <w:rPr>
                <w:b/>
                <w:noProof/>
                <w:szCs w:val="22"/>
              </w:rPr>
              <w:drawing>
                <wp:inline distT="0" distB="0" distL="0" distR="0" wp14:anchorId="10929265" wp14:editId="6206E004">
                  <wp:extent cx="4800600" cy="3147563"/>
                  <wp:effectExtent l="0" t="0" r="0" b="2540"/>
                  <wp:docPr id="87" name="Picture 25" descr="Description: Description: Macintosh HD:Users:Giulio:GIULIO:5 AVENTUS:PROJECTS:077 CarbonNet - Pelican MSS:Fisheries maps:Vic_scallo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Description: Macintosh HD:Users:Giulio:GIULIO:5 AVENTUS:PROJECTS:077 CarbonNet - Pelican MSS:Fisheries maps:Vic_scallops.png"/>
                          <pic:cNvPicPr>
                            <a:picLocks noChangeAspect="1" noChangeArrowheads="1"/>
                          </pic:cNvPicPr>
                        </pic:nvPicPr>
                        <pic:blipFill>
                          <a:blip r:embed="rId203" cstate="screen">
                            <a:extLst>
                              <a:ext uri="{28A0092B-C50C-407E-A947-70E740481C1C}">
                                <a14:useLocalDpi xmlns:a14="http://schemas.microsoft.com/office/drawing/2010/main"/>
                              </a:ext>
                            </a:extLst>
                          </a:blip>
                          <a:srcRect/>
                          <a:stretch>
                            <a:fillRect/>
                          </a:stretch>
                        </pic:blipFill>
                        <pic:spPr bwMode="auto">
                          <a:xfrm>
                            <a:off x="0" y="0"/>
                            <a:ext cx="4800600" cy="3147563"/>
                          </a:xfrm>
                          <a:prstGeom prst="rect">
                            <a:avLst/>
                          </a:prstGeom>
                          <a:noFill/>
                          <a:ln>
                            <a:noFill/>
                          </a:ln>
                        </pic:spPr>
                      </pic:pic>
                    </a:graphicData>
                  </a:graphic>
                </wp:inline>
              </w:drawing>
            </w:r>
          </w:p>
        </w:tc>
      </w:tr>
    </w:tbl>
    <w:p w14:paraId="234C058A" w14:textId="77777777" w:rsidR="00AD7332" w:rsidRPr="002D695F" w:rsidRDefault="002D695F" w:rsidP="006820C5">
      <w:pPr>
        <w:spacing w:line="240" w:lineRule="auto"/>
      </w:pPr>
      <w:r w:rsidRPr="002D695F">
        <w:rPr>
          <w:i/>
          <w:sz w:val="16"/>
          <w:szCs w:val="16"/>
          <w:lang w:val="en-GB"/>
        </w:rPr>
        <w:t>Source: Agriculture Victoria (Fisheries) (2017).</w:t>
      </w:r>
    </w:p>
    <w:p w14:paraId="367D3395" w14:textId="264DA7C0" w:rsidR="00AD7332" w:rsidRPr="00645BE0" w:rsidRDefault="00AD7332" w:rsidP="00AD7332">
      <w:pPr>
        <w:pStyle w:val="TableHeader"/>
        <w:spacing w:after="240"/>
        <w:jc w:val="center"/>
        <w:rPr>
          <w:rFonts w:cs="Arial"/>
          <w:sz w:val="20"/>
          <w:szCs w:val="20"/>
        </w:rPr>
      </w:pPr>
      <w:bookmarkStart w:id="373" w:name="_Ref473369868"/>
      <w:r w:rsidRPr="00645BE0">
        <w:rPr>
          <w:rFonts w:cs="Arial"/>
          <w:sz w:val="20"/>
          <w:szCs w:val="20"/>
        </w:rPr>
        <w:t xml:space="preserve">Figure </w:t>
      </w:r>
      <w:r w:rsidR="002D695F" w:rsidRPr="00645BE0">
        <w:rPr>
          <w:rFonts w:cs="Arial"/>
          <w:sz w:val="20"/>
          <w:szCs w:val="20"/>
        </w:rPr>
        <w:t>5.</w:t>
      </w:r>
      <w:r w:rsidR="00C96320">
        <w:rPr>
          <w:rFonts w:cs="Arial"/>
          <w:sz w:val="20"/>
          <w:szCs w:val="20"/>
        </w:rPr>
        <w:t>31</w:t>
      </w:r>
      <w:r w:rsidR="002D695F" w:rsidRPr="00645BE0">
        <w:rPr>
          <w:rFonts w:cs="Arial"/>
          <w:sz w:val="20"/>
          <w:szCs w:val="20"/>
        </w:rPr>
        <w:t>.</w:t>
      </w:r>
      <w:bookmarkEnd w:id="373"/>
      <w:r w:rsidR="002D695F" w:rsidRPr="00645BE0">
        <w:rPr>
          <w:rFonts w:cs="Arial"/>
          <w:sz w:val="20"/>
          <w:szCs w:val="20"/>
        </w:rPr>
        <w:tab/>
      </w:r>
      <w:r w:rsidR="003670F2" w:rsidRPr="00645BE0">
        <w:rPr>
          <w:rFonts w:cs="Arial"/>
          <w:sz w:val="20"/>
          <w:szCs w:val="20"/>
        </w:rPr>
        <w:t xml:space="preserve">Jurisdiction of the </w:t>
      </w:r>
      <w:r w:rsidRPr="00645BE0">
        <w:rPr>
          <w:rFonts w:cs="Arial"/>
          <w:sz w:val="20"/>
          <w:szCs w:val="20"/>
        </w:rPr>
        <w:t>Victorian scallop fishery</w:t>
      </w:r>
    </w:p>
    <w:p w14:paraId="7C30BAA9" w14:textId="23711929" w:rsidR="003670F2" w:rsidRDefault="003670F2" w:rsidP="00AD7332">
      <w:pPr>
        <w:pStyle w:val="TableHeader"/>
        <w:spacing w:after="240"/>
        <w:jc w:val="center"/>
      </w:pPr>
    </w:p>
    <w:p w14:paraId="7475D5EF" w14:textId="77777777" w:rsidR="003670F2" w:rsidRPr="00AD7332" w:rsidRDefault="003670F2" w:rsidP="00AD7332">
      <w:pPr>
        <w:pStyle w:val="TableHeader"/>
        <w:spacing w:after="240"/>
        <w:jc w:val="center"/>
      </w:pPr>
    </w:p>
    <w:tbl>
      <w:tblPr>
        <w:tblW w:w="0" w:type="auto"/>
        <w:tblInd w:w="72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7802"/>
      </w:tblGrid>
      <w:tr w:rsidR="00C255F9" w14:paraId="139813AC" w14:textId="77777777" w:rsidTr="00514376">
        <w:tc>
          <w:tcPr>
            <w:tcW w:w="8522" w:type="dxa"/>
            <w:shd w:val="clear" w:color="auto" w:fill="auto"/>
          </w:tcPr>
          <w:p w14:paraId="679D2B6E" w14:textId="3853484A" w:rsidR="00C255F9" w:rsidRDefault="0042637F" w:rsidP="00514376">
            <w:pPr>
              <w:pStyle w:val="BodyText"/>
              <w:ind w:left="0"/>
            </w:pPr>
            <w:r>
              <w:rPr>
                <w:noProof/>
              </w:rPr>
              <w:drawing>
                <wp:inline distT="0" distB="0" distL="0" distR="0" wp14:anchorId="6E090C6E" wp14:editId="6C2ED816">
                  <wp:extent cx="4458087" cy="2126164"/>
                  <wp:effectExtent l="0" t="0" r="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4458087" cy="2126164"/>
                          </a:xfrm>
                          <a:prstGeom prst="rect">
                            <a:avLst/>
                          </a:prstGeom>
                        </pic:spPr>
                      </pic:pic>
                    </a:graphicData>
                  </a:graphic>
                </wp:inline>
              </w:drawing>
            </w:r>
          </w:p>
        </w:tc>
      </w:tr>
    </w:tbl>
    <w:p w14:paraId="4C3778DD" w14:textId="77777777" w:rsidR="00C255F9" w:rsidRPr="002D695F" w:rsidRDefault="00C255F9" w:rsidP="006820C5">
      <w:pPr>
        <w:spacing w:line="240" w:lineRule="auto"/>
      </w:pPr>
      <w:r w:rsidRPr="002D695F">
        <w:rPr>
          <w:i/>
          <w:sz w:val="16"/>
          <w:szCs w:val="16"/>
          <w:lang w:val="en-GB"/>
        </w:rPr>
        <w:t>Source: Agriculture Victoria (Fisheries) (2017).</w:t>
      </w:r>
    </w:p>
    <w:p w14:paraId="072485CA" w14:textId="26DD3781" w:rsidR="00C255F9" w:rsidRPr="00645BE0" w:rsidRDefault="00C255F9" w:rsidP="00C255F9">
      <w:pPr>
        <w:pStyle w:val="TableHeader"/>
        <w:spacing w:after="240"/>
        <w:jc w:val="center"/>
        <w:rPr>
          <w:rFonts w:cs="Arial"/>
          <w:sz w:val="20"/>
          <w:szCs w:val="20"/>
        </w:rPr>
      </w:pPr>
      <w:r w:rsidRPr="00645BE0">
        <w:rPr>
          <w:rFonts w:cs="Arial"/>
          <w:sz w:val="20"/>
          <w:szCs w:val="20"/>
        </w:rPr>
        <w:t>Figure 5.</w:t>
      </w:r>
      <w:r w:rsidR="00C96320">
        <w:rPr>
          <w:rFonts w:cs="Arial"/>
          <w:sz w:val="20"/>
          <w:szCs w:val="20"/>
        </w:rPr>
        <w:t>32</w:t>
      </w:r>
      <w:r w:rsidRPr="00645BE0">
        <w:rPr>
          <w:rFonts w:cs="Arial"/>
          <w:sz w:val="20"/>
          <w:szCs w:val="20"/>
        </w:rPr>
        <w:t>.</w:t>
      </w:r>
      <w:r w:rsidRPr="00645BE0">
        <w:rPr>
          <w:rFonts w:cs="Arial"/>
          <w:sz w:val="20"/>
          <w:szCs w:val="20"/>
        </w:rPr>
        <w:tab/>
      </w:r>
      <w:r w:rsidR="003670F2" w:rsidRPr="00645BE0">
        <w:rPr>
          <w:rFonts w:cs="Arial"/>
          <w:sz w:val="20"/>
          <w:szCs w:val="20"/>
        </w:rPr>
        <w:t xml:space="preserve">Jurisdiction of the </w:t>
      </w:r>
      <w:r w:rsidRPr="00645BE0">
        <w:rPr>
          <w:rFonts w:cs="Arial"/>
          <w:sz w:val="20"/>
          <w:szCs w:val="20"/>
        </w:rPr>
        <w:t>Victorian abalone fishery</w:t>
      </w:r>
    </w:p>
    <w:p w14:paraId="1F2D3F25" w14:textId="77777777" w:rsidR="003670F2" w:rsidRDefault="003670F2" w:rsidP="00C255F9">
      <w:pPr>
        <w:pStyle w:val="TableHeader"/>
        <w:spacing w:after="240"/>
        <w:jc w:val="center"/>
      </w:pPr>
    </w:p>
    <w:p w14:paraId="25DC4117" w14:textId="77777777" w:rsidR="003670F2" w:rsidRDefault="003670F2" w:rsidP="00C255F9">
      <w:pPr>
        <w:pStyle w:val="TableHeader"/>
        <w:spacing w:after="240"/>
        <w:jc w:val="center"/>
      </w:pPr>
    </w:p>
    <w:p w14:paraId="0DB9D03F" w14:textId="77777777" w:rsidR="003670F2" w:rsidRDefault="003670F2" w:rsidP="00C255F9">
      <w:pPr>
        <w:pStyle w:val="TableHeader"/>
        <w:spacing w:after="240"/>
        <w:jc w:val="center"/>
      </w:pPr>
    </w:p>
    <w:p w14:paraId="2C76BFE7" w14:textId="77777777" w:rsidR="003670F2" w:rsidRDefault="003670F2" w:rsidP="00C255F9">
      <w:pPr>
        <w:pStyle w:val="TableHeader"/>
        <w:spacing w:after="240"/>
        <w:jc w:val="center"/>
      </w:pPr>
    </w:p>
    <w:p w14:paraId="62ACD18A" w14:textId="77777777" w:rsidR="003670F2" w:rsidRDefault="003670F2" w:rsidP="00C255F9">
      <w:pPr>
        <w:pStyle w:val="TableHeader"/>
        <w:spacing w:after="240"/>
        <w:jc w:val="center"/>
      </w:pP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8522"/>
      </w:tblGrid>
      <w:tr w:rsidR="003670F2" w14:paraId="71F6A8A4" w14:textId="77777777" w:rsidTr="00514376">
        <w:tc>
          <w:tcPr>
            <w:tcW w:w="8522" w:type="dxa"/>
            <w:shd w:val="clear" w:color="auto" w:fill="auto"/>
          </w:tcPr>
          <w:p w14:paraId="1AEF860F" w14:textId="3460534F" w:rsidR="003670F2" w:rsidRDefault="0042637F" w:rsidP="00514376">
            <w:pPr>
              <w:pStyle w:val="TableHeader"/>
              <w:spacing w:after="240"/>
              <w:jc w:val="center"/>
            </w:pPr>
            <w:r>
              <w:rPr>
                <w:noProof/>
              </w:rPr>
              <w:lastRenderedPageBreak/>
              <w:drawing>
                <wp:inline distT="0" distB="0" distL="0" distR="0" wp14:anchorId="6E68D8F6" wp14:editId="47583859">
                  <wp:extent cx="4016088" cy="1958510"/>
                  <wp:effectExtent l="0" t="0" r="381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4016088" cy="1958510"/>
                          </a:xfrm>
                          <a:prstGeom prst="rect">
                            <a:avLst/>
                          </a:prstGeom>
                        </pic:spPr>
                      </pic:pic>
                    </a:graphicData>
                  </a:graphic>
                </wp:inline>
              </w:drawing>
            </w:r>
          </w:p>
        </w:tc>
      </w:tr>
    </w:tbl>
    <w:p w14:paraId="1EB08874" w14:textId="77777777" w:rsidR="00C255F9" w:rsidRPr="002D695F" w:rsidRDefault="00C255F9" w:rsidP="006820C5">
      <w:pPr>
        <w:spacing w:line="240" w:lineRule="auto"/>
        <w:ind w:hanging="720"/>
      </w:pPr>
      <w:bookmarkStart w:id="374" w:name="_Ref473369854"/>
      <w:r w:rsidRPr="002D695F">
        <w:rPr>
          <w:i/>
          <w:sz w:val="16"/>
          <w:szCs w:val="16"/>
          <w:lang w:val="en-GB"/>
        </w:rPr>
        <w:t>Source: Agriculture Victoria (Fisheries) (2017).</w:t>
      </w:r>
    </w:p>
    <w:p w14:paraId="756F7AC4" w14:textId="0FA714F3" w:rsidR="0070660F" w:rsidRPr="00645BE0" w:rsidRDefault="0070660F" w:rsidP="00AD7332">
      <w:pPr>
        <w:pStyle w:val="TableHeader"/>
        <w:spacing w:after="240"/>
        <w:jc w:val="center"/>
        <w:rPr>
          <w:rFonts w:cs="Arial"/>
          <w:sz w:val="20"/>
          <w:szCs w:val="20"/>
        </w:rPr>
      </w:pPr>
      <w:r w:rsidRPr="00645BE0">
        <w:rPr>
          <w:rFonts w:cs="Arial"/>
          <w:sz w:val="20"/>
          <w:szCs w:val="20"/>
        </w:rPr>
        <w:t xml:space="preserve">Figure </w:t>
      </w:r>
      <w:r w:rsidR="00C255F9" w:rsidRPr="00645BE0">
        <w:rPr>
          <w:rFonts w:cs="Arial"/>
          <w:sz w:val="20"/>
          <w:szCs w:val="20"/>
        </w:rPr>
        <w:t>5.</w:t>
      </w:r>
      <w:bookmarkEnd w:id="374"/>
      <w:r w:rsidR="00C96320">
        <w:rPr>
          <w:rFonts w:cs="Arial"/>
          <w:sz w:val="20"/>
          <w:szCs w:val="20"/>
        </w:rPr>
        <w:t>33</w:t>
      </w:r>
      <w:r w:rsidR="00C255F9" w:rsidRPr="00645BE0">
        <w:rPr>
          <w:rFonts w:cs="Arial"/>
          <w:sz w:val="20"/>
          <w:szCs w:val="20"/>
        </w:rPr>
        <w:t>.</w:t>
      </w:r>
      <w:r w:rsidR="00C255F9" w:rsidRPr="00645BE0">
        <w:rPr>
          <w:rFonts w:cs="Arial"/>
          <w:sz w:val="20"/>
          <w:szCs w:val="20"/>
        </w:rPr>
        <w:tab/>
      </w:r>
      <w:r w:rsidR="003670F2" w:rsidRPr="00645BE0">
        <w:rPr>
          <w:rFonts w:cs="Arial"/>
          <w:sz w:val="20"/>
          <w:szCs w:val="20"/>
        </w:rPr>
        <w:t xml:space="preserve">Jurisdiction of the </w:t>
      </w:r>
      <w:r w:rsidRPr="00645BE0">
        <w:rPr>
          <w:rFonts w:cs="Arial"/>
          <w:sz w:val="20"/>
          <w:szCs w:val="20"/>
        </w:rPr>
        <w:t>Victorian southern rock lobster fishery</w:t>
      </w:r>
    </w:p>
    <w:p w14:paraId="50C5ACFC" w14:textId="77777777" w:rsidR="0070660F" w:rsidRDefault="0070660F" w:rsidP="0070660F"/>
    <w:p w14:paraId="02F3F9F5" w14:textId="41113A5A" w:rsidR="00226270" w:rsidRPr="00891DE1" w:rsidRDefault="00226270" w:rsidP="006F7DB1">
      <w:pPr>
        <w:pStyle w:val="bodycopy"/>
        <w:rPr>
          <w:rFonts w:ascii="Arial" w:hAnsi="Arial"/>
          <w:sz w:val="22"/>
          <w:szCs w:val="22"/>
        </w:rPr>
      </w:pPr>
      <w:r>
        <w:rPr>
          <w:rFonts w:ascii="Arial" w:hAnsi="Arial"/>
          <w:sz w:val="22"/>
          <w:szCs w:val="22"/>
        </w:rPr>
        <w:t xml:space="preserve">As a result of extensive stakeholder consultation undertaken for the project, significant interest has been raised </w:t>
      </w:r>
      <w:r w:rsidR="00B6770E">
        <w:rPr>
          <w:rFonts w:ascii="Arial" w:hAnsi="Arial"/>
          <w:sz w:val="22"/>
          <w:szCs w:val="22"/>
        </w:rPr>
        <w:t xml:space="preserve">regarding potential impacts of the Pelican 3DMSS on the Victorian scallop fishery. As such, further </w:t>
      </w:r>
      <w:r>
        <w:rPr>
          <w:rFonts w:ascii="Arial" w:hAnsi="Arial"/>
          <w:sz w:val="22"/>
          <w:szCs w:val="22"/>
        </w:rPr>
        <w:t xml:space="preserve">detail </w:t>
      </w:r>
      <w:r w:rsidR="00B6770E">
        <w:rPr>
          <w:rFonts w:ascii="Arial" w:hAnsi="Arial"/>
          <w:sz w:val="22"/>
          <w:szCs w:val="22"/>
        </w:rPr>
        <w:t xml:space="preserve">about this fishery is </w:t>
      </w:r>
      <w:r>
        <w:rPr>
          <w:rFonts w:ascii="Arial" w:hAnsi="Arial"/>
          <w:sz w:val="22"/>
          <w:szCs w:val="22"/>
        </w:rPr>
        <w:t xml:space="preserve">provided </w:t>
      </w:r>
      <w:r w:rsidR="00B6770E">
        <w:rPr>
          <w:rFonts w:ascii="Arial" w:hAnsi="Arial"/>
          <w:sz w:val="22"/>
          <w:szCs w:val="22"/>
        </w:rPr>
        <w:t xml:space="preserve">here. </w:t>
      </w:r>
    </w:p>
    <w:p w14:paraId="259ACBDB" w14:textId="3E8B5977" w:rsidR="00226270" w:rsidRPr="00891DE1" w:rsidRDefault="00226270" w:rsidP="006F7DB1">
      <w:pPr>
        <w:pStyle w:val="bodycopy"/>
        <w:rPr>
          <w:rFonts w:ascii="Arial" w:hAnsi="Arial"/>
          <w:sz w:val="22"/>
          <w:szCs w:val="22"/>
          <w:u w:val="single"/>
        </w:rPr>
      </w:pPr>
      <w:r w:rsidRPr="00891DE1">
        <w:rPr>
          <w:rFonts w:ascii="Arial" w:hAnsi="Arial"/>
          <w:sz w:val="22"/>
          <w:szCs w:val="22"/>
          <w:u w:val="single"/>
        </w:rPr>
        <w:t>Victorian scallop fishery</w:t>
      </w:r>
    </w:p>
    <w:p w14:paraId="79253B85" w14:textId="24694445" w:rsidR="00614E88" w:rsidRDefault="00614E88" w:rsidP="006F7DB1">
      <w:pPr>
        <w:pStyle w:val="bodycopy"/>
        <w:rPr>
          <w:rFonts w:ascii="Arial" w:hAnsi="Arial"/>
          <w:sz w:val="22"/>
          <w:szCs w:val="22"/>
        </w:rPr>
      </w:pPr>
      <w:r>
        <w:rPr>
          <w:rFonts w:ascii="Arial" w:hAnsi="Arial"/>
          <w:sz w:val="22"/>
          <w:szCs w:val="22"/>
        </w:rPr>
        <w:t xml:space="preserve">In order to understand the Victorian scallop fishery, CarbonNet considered: </w:t>
      </w:r>
    </w:p>
    <w:p w14:paraId="756CD4B8" w14:textId="5142D602" w:rsidR="00614E88" w:rsidRDefault="00614E88" w:rsidP="00891DE1">
      <w:pPr>
        <w:pStyle w:val="bodycopy"/>
        <w:numPr>
          <w:ilvl w:val="0"/>
          <w:numId w:val="526"/>
        </w:numPr>
        <w:rPr>
          <w:rFonts w:ascii="Arial" w:hAnsi="Arial"/>
          <w:sz w:val="22"/>
          <w:szCs w:val="22"/>
        </w:rPr>
      </w:pPr>
      <w:r>
        <w:rPr>
          <w:rFonts w:ascii="Arial" w:hAnsi="Arial"/>
          <w:sz w:val="22"/>
          <w:szCs w:val="22"/>
        </w:rPr>
        <w:t>Existing data about the presence of commercial scallops in the proposed acquisition area;</w:t>
      </w:r>
    </w:p>
    <w:p w14:paraId="0C18F9A0" w14:textId="1E984B00" w:rsidR="00614E88" w:rsidRDefault="00614E88" w:rsidP="00891DE1">
      <w:pPr>
        <w:pStyle w:val="bodycopy"/>
        <w:numPr>
          <w:ilvl w:val="0"/>
          <w:numId w:val="526"/>
        </w:numPr>
        <w:rPr>
          <w:rFonts w:ascii="Arial" w:hAnsi="Arial"/>
          <w:sz w:val="22"/>
          <w:szCs w:val="22"/>
        </w:rPr>
      </w:pPr>
      <w:r>
        <w:rPr>
          <w:rFonts w:ascii="Arial" w:hAnsi="Arial"/>
          <w:sz w:val="22"/>
          <w:szCs w:val="22"/>
        </w:rPr>
        <w:t>Consultation with the custodians of fishing data;</w:t>
      </w:r>
    </w:p>
    <w:p w14:paraId="352D1C02" w14:textId="7BEF4596" w:rsidR="00614E88" w:rsidRDefault="00813DC9" w:rsidP="00891DE1">
      <w:pPr>
        <w:pStyle w:val="bodycopy"/>
        <w:numPr>
          <w:ilvl w:val="0"/>
          <w:numId w:val="526"/>
        </w:numPr>
        <w:rPr>
          <w:rFonts w:ascii="Arial" w:hAnsi="Arial"/>
          <w:sz w:val="22"/>
          <w:szCs w:val="22"/>
        </w:rPr>
      </w:pPr>
      <w:r>
        <w:rPr>
          <w:rFonts w:ascii="Arial" w:hAnsi="Arial"/>
          <w:sz w:val="22"/>
          <w:szCs w:val="22"/>
        </w:rPr>
        <w:t>The results of the Advisian marine habitat assessment commissioned by CarbonNet;</w:t>
      </w:r>
    </w:p>
    <w:p w14:paraId="791315CE" w14:textId="2122F398" w:rsidR="00813DC9" w:rsidRDefault="00813DC9" w:rsidP="00891DE1">
      <w:pPr>
        <w:pStyle w:val="bodycopy"/>
        <w:numPr>
          <w:ilvl w:val="0"/>
          <w:numId w:val="526"/>
        </w:numPr>
        <w:rPr>
          <w:rFonts w:ascii="Arial" w:hAnsi="Arial"/>
          <w:sz w:val="22"/>
          <w:szCs w:val="22"/>
        </w:rPr>
      </w:pPr>
      <w:r>
        <w:rPr>
          <w:rFonts w:ascii="Arial" w:hAnsi="Arial"/>
          <w:sz w:val="22"/>
          <w:szCs w:val="22"/>
        </w:rPr>
        <w:t>The results of the SETFIA fisheries report commissioned by CarbonNet;</w:t>
      </w:r>
    </w:p>
    <w:p w14:paraId="254D8F11" w14:textId="677646BF" w:rsidR="00813DC9" w:rsidRDefault="00813DC9" w:rsidP="00891DE1">
      <w:pPr>
        <w:pStyle w:val="bodycopy"/>
        <w:numPr>
          <w:ilvl w:val="0"/>
          <w:numId w:val="526"/>
        </w:numPr>
        <w:rPr>
          <w:rFonts w:ascii="Arial" w:hAnsi="Arial"/>
          <w:sz w:val="22"/>
          <w:szCs w:val="22"/>
        </w:rPr>
      </w:pPr>
      <w:r>
        <w:rPr>
          <w:rFonts w:ascii="Arial" w:hAnsi="Arial"/>
          <w:sz w:val="22"/>
          <w:szCs w:val="22"/>
        </w:rPr>
        <w:t xml:space="preserve">Feedback received through stakeholder consultation; and </w:t>
      </w:r>
    </w:p>
    <w:p w14:paraId="4E4C7D78" w14:textId="618597FE" w:rsidR="00813DC9" w:rsidRDefault="00813DC9" w:rsidP="00891DE1">
      <w:pPr>
        <w:pStyle w:val="bodycopy"/>
        <w:numPr>
          <w:ilvl w:val="0"/>
          <w:numId w:val="526"/>
        </w:numPr>
        <w:spacing w:after="240"/>
        <w:ind w:left="714" w:hanging="357"/>
        <w:rPr>
          <w:rFonts w:ascii="Arial" w:hAnsi="Arial"/>
          <w:sz w:val="22"/>
          <w:szCs w:val="22"/>
        </w:rPr>
      </w:pPr>
      <w:r>
        <w:rPr>
          <w:rFonts w:ascii="Arial" w:hAnsi="Arial"/>
          <w:sz w:val="22"/>
          <w:szCs w:val="22"/>
        </w:rPr>
        <w:t xml:space="preserve">A review of </w:t>
      </w:r>
      <w:r w:rsidR="001B53D6">
        <w:rPr>
          <w:rFonts w:ascii="Arial" w:hAnsi="Arial"/>
          <w:sz w:val="22"/>
          <w:szCs w:val="22"/>
        </w:rPr>
        <w:t>recent published scientific research.</w:t>
      </w:r>
    </w:p>
    <w:p w14:paraId="25069113" w14:textId="3FBC15EF" w:rsidR="008F3EBF" w:rsidRPr="00FA3DCF" w:rsidRDefault="008F3EBF" w:rsidP="006F7DB1">
      <w:pPr>
        <w:pStyle w:val="bodycopy"/>
        <w:rPr>
          <w:rFonts w:ascii="Arial" w:hAnsi="Arial"/>
          <w:sz w:val="22"/>
          <w:szCs w:val="22"/>
        </w:rPr>
      </w:pPr>
      <w:r w:rsidRPr="00891DE1">
        <w:rPr>
          <w:rFonts w:ascii="Arial" w:hAnsi="Arial"/>
          <w:sz w:val="22"/>
          <w:szCs w:val="22"/>
        </w:rPr>
        <w:t>Scallop abundance is naturally highly variable causing catches to fluctuate widely from season to season. Since the beginning of the commercial fishery in the 1970s, catches have varied from tens o</w:t>
      </w:r>
      <w:r w:rsidRPr="008F3EBF">
        <w:rPr>
          <w:rFonts w:ascii="Arial" w:hAnsi="Arial"/>
          <w:sz w:val="22"/>
          <w:szCs w:val="22"/>
        </w:rPr>
        <w:t>f tonnes to thousands of tonnes</w:t>
      </w:r>
      <w:r w:rsidRPr="00891DE1">
        <w:rPr>
          <w:rFonts w:ascii="Arial" w:hAnsi="Arial"/>
          <w:sz w:val="22"/>
          <w:szCs w:val="22"/>
        </w:rPr>
        <w:t>. Catch rates, and therefore stock abundance, declined in the mid- to late 2000s</w:t>
      </w:r>
      <w:r>
        <w:rPr>
          <w:rFonts w:ascii="Arial" w:hAnsi="Arial"/>
          <w:sz w:val="22"/>
          <w:szCs w:val="22"/>
        </w:rPr>
        <w:t xml:space="preserve"> (</w:t>
      </w:r>
      <w:r w:rsidRPr="00FA3DCF">
        <w:rPr>
          <w:rFonts w:ascii="Arial" w:hAnsi="Arial"/>
          <w:sz w:val="22"/>
          <w:szCs w:val="22"/>
        </w:rPr>
        <w:t>Figure 5.</w:t>
      </w:r>
      <w:r w:rsidR="00C96320" w:rsidRPr="00FA3DCF">
        <w:rPr>
          <w:rFonts w:ascii="Arial" w:hAnsi="Arial"/>
          <w:sz w:val="22"/>
          <w:szCs w:val="22"/>
        </w:rPr>
        <w:t>34</w:t>
      </w:r>
      <w:r w:rsidRPr="00FA3DCF">
        <w:rPr>
          <w:rFonts w:ascii="Arial" w:hAnsi="Arial"/>
          <w:sz w:val="22"/>
          <w:szCs w:val="22"/>
        </w:rPr>
        <w:t>)</w:t>
      </w:r>
      <w:r w:rsidRPr="00891DE1">
        <w:rPr>
          <w:rFonts w:ascii="Arial" w:hAnsi="Arial"/>
          <w:sz w:val="22"/>
          <w:szCs w:val="22"/>
        </w:rPr>
        <w:t>, and surveys of scallop grounds conducted in 2009 and 2012 revealed a lack of commercial quantities of scallops. In response</w:t>
      </w:r>
      <w:r w:rsidRPr="00FA3DCF">
        <w:rPr>
          <w:rFonts w:ascii="Arial" w:hAnsi="Arial"/>
          <w:sz w:val="22"/>
          <w:szCs w:val="22"/>
        </w:rPr>
        <w:t xml:space="preserve"> to these findings</w:t>
      </w:r>
      <w:r w:rsidRPr="00891DE1">
        <w:rPr>
          <w:rFonts w:ascii="Arial" w:hAnsi="Arial"/>
          <w:sz w:val="22"/>
          <w:szCs w:val="22"/>
        </w:rPr>
        <w:t>, quotas of zero were put in place for the 2010/11, 2011/12 and 2012/13 seasons.</w:t>
      </w:r>
    </w:p>
    <w:p w14:paraId="330B77CD" w14:textId="4C32D9F9" w:rsidR="00C828C1" w:rsidRDefault="00C828C1" w:rsidP="00C828C1">
      <w:pPr>
        <w:pStyle w:val="bodycopy"/>
        <w:rPr>
          <w:rFonts w:ascii="Arial" w:hAnsi="Arial"/>
          <w:sz w:val="22"/>
          <w:szCs w:val="22"/>
        </w:rPr>
      </w:pPr>
      <w:r w:rsidRPr="00FA3DCF">
        <w:rPr>
          <w:rFonts w:ascii="Arial" w:hAnsi="Arial"/>
          <w:sz w:val="22"/>
          <w:szCs w:val="22"/>
        </w:rPr>
        <w:t>While there is very little publicly available information regarding commercial scallop catches and values over the last 10 years, there is some historic information that provides insight into the areas previously fished. As shown in Figure 5.</w:t>
      </w:r>
      <w:r w:rsidR="009B4E45" w:rsidRPr="00FA3DCF">
        <w:rPr>
          <w:rFonts w:ascii="Arial" w:hAnsi="Arial"/>
          <w:sz w:val="22"/>
          <w:szCs w:val="22"/>
        </w:rPr>
        <w:t>35</w:t>
      </w:r>
      <w:r w:rsidRPr="00FA3DCF">
        <w:rPr>
          <w:rFonts w:ascii="Arial" w:hAnsi="Arial"/>
          <w:sz w:val="22"/>
          <w:szCs w:val="22"/>
        </w:rPr>
        <w:t xml:space="preserve">, DPI (2006) confirms that scallop fishing did take place along </w:t>
      </w:r>
      <w:r w:rsidR="0001558A" w:rsidRPr="00FA3DCF">
        <w:rPr>
          <w:rFonts w:ascii="Arial" w:hAnsi="Arial"/>
          <w:sz w:val="22"/>
          <w:szCs w:val="22"/>
        </w:rPr>
        <w:t>much</w:t>
      </w:r>
      <w:r w:rsidRPr="00FA3DCF">
        <w:rPr>
          <w:rFonts w:ascii="Arial" w:hAnsi="Arial"/>
          <w:sz w:val="22"/>
          <w:szCs w:val="22"/>
        </w:rPr>
        <w:t xml:space="preserve"> of the Gippsland coast, with the area to the immediate northeast of the proposed acquisition area having the highest catches between 1998 and 2003. Based on Figure 5.</w:t>
      </w:r>
      <w:r w:rsidR="009B4E45" w:rsidRPr="00FA3DCF">
        <w:rPr>
          <w:rFonts w:ascii="Arial" w:hAnsi="Arial"/>
          <w:sz w:val="22"/>
          <w:szCs w:val="22"/>
        </w:rPr>
        <w:t>35</w:t>
      </w:r>
      <w:r w:rsidRPr="00FA3DCF">
        <w:rPr>
          <w:rFonts w:ascii="Arial" w:hAnsi="Arial"/>
          <w:sz w:val="22"/>
          <w:szCs w:val="22"/>
        </w:rPr>
        <w:t>, and</w:t>
      </w:r>
      <w:r>
        <w:rPr>
          <w:rFonts w:ascii="Arial" w:hAnsi="Arial"/>
          <w:sz w:val="22"/>
          <w:szCs w:val="22"/>
        </w:rPr>
        <w:t xml:space="preserve"> taking the upper estimate of catch, the two fishing grid cells intersected by the proposed acquisition area had catches of 133 tonnes (E39) and 265 tonnes (E40) for the 6 years between 1998 and 2003. As the proposed acquisition area overlaps grid cell E39 by ~50% and grid cell E40 by ~25%, this equates to 66.25 tonnes from each </w:t>
      </w:r>
      <w:r w:rsidR="0001558A">
        <w:rPr>
          <w:rFonts w:ascii="Arial" w:hAnsi="Arial"/>
          <w:sz w:val="22"/>
          <w:szCs w:val="22"/>
        </w:rPr>
        <w:t xml:space="preserve">of these two </w:t>
      </w:r>
      <w:r>
        <w:rPr>
          <w:rFonts w:ascii="Arial" w:hAnsi="Arial"/>
          <w:sz w:val="22"/>
          <w:szCs w:val="22"/>
        </w:rPr>
        <w:t>cell</w:t>
      </w:r>
      <w:r w:rsidR="0001558A">
        <w:rPr>
          <w:rFonts w:ascii="Arial" w:hAnsi="Arial"/>
          <w:sz w:val="22"/>
          <w:szCs w:val="22"/>
        </w:rPr>
        <w:t>s</w:t>
      </w:r>
      <w:r>
        <w:rPr>
          <w:rFonts w:ascii="Arial" w:hAnsi="Arial"/>
          <w:sz w:val="22"/>
          <w:szCs w:val="22"/>
        </w:rPr>
        <w:t xml:space="preserve"> </w:t>
      </w:r>
      <w:r>
        <w:rPr>
          <w:rFonts w:ascii="Arial" w:hAnsi="Arial"/>
          <w:sz w:val="22"/>
          <w:szCs w:val="22"/>
        </w:rPr>
        <w:lastRenderedPageBreak/>
        <w:t xml:space="preserve">over six years (or 11.1 tonnes per year for those six years). This equates to an approximate catch of 22.2 tonnes from the proposed acquisition year for the 6 years from 1998 to 2003 (noting this is an upper estimate based on the coarse data provided in the map). Of the total catch for these years, again based on the upper estimate provided in </w:t>
      </w:r>
      <w:r w:rsidRPr="00FA3DCF">
        <w:rPr>
          <w:rFonts w:ascii="Arial" w:hAnsi="Arial"/>
          <w:sz w:val="22"/>
          <w:szCs w:val="22"/>
        </w:rPr>
        <w:t>Figure 5.</w:t>
      </w:r>
      <w:r w:rsidR="009B4E45" w:rsidRPr="00FA3DCF">
        <w:rPr>
          <w:rFonts w:ascii="Arial" w:hAnsi="Arial"/>
          <w:sz w:val="22"/>
          <w:szCs w:val="22"/>
        </w:rPr>
        <w:t>35</w:t>
      </w:r>
      <w:r w:rsidRPr="00FA3DCF">
        <w:rPr>
          <w:rFonts w:ascii="Arial" w:hAnsi="Arial"/>
          <w:sz w:val="22"/>
          <w:szCs w:val="22"/>
        </w:rPr>
        <w:t>,</w:t>
      </w:r>
      <w:r>
        <w:rPr>
          <w:rFonts w:ascii="Arial" w:hAnsi="Arial"/>
          <w:sz w:val="22"/>
          <w:szCs w:val="22"/>
        </w:rPr>
        <w:t xml:space="preserve"> this 22.2 tonnes represents 1.85% of the total average annual catch </w:t>
      </w:r>
      <w:r w:rsidR="00B85B3F">
        <w:rPr>
          <w:rFonts w:ascii="Arial" w:hAnsi="Arial"/>
          <w:sz w:val="22"/>
          <w:szCs w:val="22"/>
        </w:rPr>
        <w:t>calculated upon the same basis f</w:t>
      </w:r>
      <w:r w:rsidR="00B7715C">
        <w:rPr>
          <w:rFonts w:ascii="Arial" w:hAnsi="Arial"/>
          <w:sz w:val="22"/>
          <w:szCs w:val="22"/>
        </w:rPr>
        <w:t>or those six years</w:t>
      </w:r>
      <w:r>
        <w:rPr>
          <w:rFonts w:ascii="Arial" w:hAnsi="Arial"/>
          <w:sz w:val="22"/>
          <w:szCs w:val="22"/>
        </w:rPr>
        <w:t xml:space="preserve">. This demonstrates that although the area to the immediate northeast of the proposed acquisition area was an important scallop fishing ground, </w:t>
      </w:r>
      <w:r w:rsidR="00B85B3F">
        <w:rPr>
          <w:rFonts w:ascii="Arial" w:hAnsi="Arial"/>
          <w:sz w:val="22"/>
          <w:szCs w:val="22"/>
        </w:rPr>
        <w:t xml:space="preserve">the proposed acquisition area </w:t>
      </w:r>
      <w:r>
        <w:rPr>
          <w:rFonts w:ascii="Arial" w:hAnsi="Arial"/>
          <w:sz w:val="22"/>
          <w:szCs w:val="22"/>
        </w:rPr>
        <w:t>represented only a small portion of the total fishery’s catch. By extension, if fishing was currently taking place within the proposed acquisition area, it</w:t>
      </w:r>
      <w:r w:rsidR="00B7715C">
        <w:rPr>
          <w:rFonts w:ascii="Arial" w:hAnsi="Arial"/>
          <w:sz w:val="22"/>
          <w:szCs w:val="22"/>
        </w:rPr>
        <w:t xml:space="preserve"> may</w:t>
      </w:r>
      <w:r>
        <w:rPr>
          <w:rFonts w:ascii="Arial" w:hAnsi="Arial"/>
          <w:sz w:val="22"/>
          <w:szCs w:val="22"/>
        </w:rPr>
        <w:t xml:space="preserve"> continue to represent a small percentage of the fishery’s catch. </w:t>
      </w:r>
    </w:p>
    <w:p w14:paraId="07F84572" w14:textId="77777777" w:rsidR="008F3EBF" w:rsidRDefault="008F3EBF" w:rsidP="006F7DB1">
      <w:pPr>
        <w:pStyle w:val="bodycopy"/>
        <w:rPr>
          <w:rFonts w:ascii="Arial" w:hAnsi="Arial"/>
          <w:sz w:val="22"/>
          <w:szCs w:val="22"/>
        </w:rPr>
      </w:pPr>
    </w:p>
    <w:tbl>
      <w:tblPr>
        <w:tblStyle w:val="TableGrid"/>
        <w:tblW w:w="0" w:type="auto"/>
        <w:tblLook w:val="04A0" w:firstRow="1" w:lastRow="0" w:firstColumn="1" w:lastColumn="0" w:noHBand="0" w:noVBand="1"/>
      </w:tblPr>
      <w:tblGrid>
        <w:gridCol w:w="8522"/>
      </w:tblGrid>
      <w:tr w:rsidR="008F3EBF" w14:paraId="7DE0536F" w14:textId="77777777" w:rsidTr="008F3EBF">
        <w:tc>
          <w:tcPr>
            <w:tcW w:w="8522" w:type="dxa"/>
          </w:tcPr>
          <w:p w14:paraId="20307409" w14:textId="1CC20358" w:rsidR="008F3EBF" w:rsidRDefault="008F3EBF" w:rsidP="00891DE1">
            <w:pPr>
              <w:pStyle w:val="bodycopy"/>
              <w:spacing w:before="40" w:after="40"/>
              <w:rPr>
                <w:rFonts w:ascii="Arial" w:hAnsi="Arial"/>
                <w:sz w:val="22"/>
                <w:szCs w:val="22"/>
              </w:rPr>
            </w:pPr>
            <w:r>
              <w:rPr>
                <w:noProof/>
              </w:rPr>
              <w:drawing>
                <wp:inline distT="0" distB="0" distL="0" distR="0" wp14:anchorId="5A071890" wp14:editId="1645287B">
                  <wp:extent cx="5229225" cy="367896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cstate="screen">
                            <a:extLst>
                              <a:ext uri="{28A0092B-C50C-407E-A947-70E740481C1C}">
                                <a14:useLocalDpi xmlns:a14="http://schemas.microsoft.com/office/drawing/2010/main"/>
                              </a:ext>
                            </a:extLst>
                          </a:blip>
                          <a:srcRect/>
                          <a:stretch/>
                        </pic:blipFill>
                        <pic:spPr bwMode="auto">
                          <a:xfrm>
                            <a:off x="0" y="0"/>
                            <a:ext cx="5229225" cy="3678968"/>
                          </a:xfrm>
                          <a:prstGeom prst="rect">
                            <a:avLst/>
                          </a:prstGeom>
                          <a:ln>
                            <a:noFill/>
                          </a:ln>
                          <a:extLst>
                            <a:ext uri="{53640926-AAD7-44D8-BBD7-CCE9431645EC}">
                              <a14:shadowObscured xmlns:a14="http://schemas.microsoft.com/office/drawing/2010/main"/>
                            </a:ext>
                          </a:extLst>
                        </pic:spPr>
                      </pic:pic>
                    </a:graphicData>
                  </a:graphic>
                </wp:inline>
              </w:drawing>
            </w:r>
          </w:p>
        </w:tc>
      </w:tr>
    </w:tbl>
    <w:p w14:paraId="6F91BD65" w14:textId="39B2594B" w:rsidR="008F3EBF" w:rsidRPr="00891DE1" w:rsidRDefault="008F3EBF" w:rsidP="006F7DB1">
      <w:pPr>
        <w:pStyle w:val="bodycopy"/>
        <w:rPr>
          <w:rFonts w:ascii="Arial" w:hAnsi="Arial"/>
          <w:i/>
          <w:sz w:val="16"/>
          <w:szCs w:val="16"/>
        </w:rPr>
      </w:pPr>
      <w:r w:rsidRPr="00891DE1">
        <w:rPr>
          <w:rFonts w:ascii="Arial" w:hAnsi="Arial"/>
          <w:i/>
          <w:sz w:val="16"/>
          <w:szCs w:val="16"/>
        </w:rPr>
        <w:t>Source: VFA (2017).</w:t>
      </w:r>
    </w:p>
    <w:p w14:paraId="21EDC52F" w14:textId="5575D46A" w:rsidR="008F3EBF" w:rsidRPr="00891DE1" w:rsidRDefault="008F3EBF" w:rsidP="00891DE1">
      <w:pPr>
        <w:pStyle w:val="bodycopy"/>
        <w:spacing w:after="240"/>
        <w:jc w:val="center"/>
        <w:rPr>
          <w:rFonts w:ascii="Arial" w:hAnsi="Arial"/>
          <w:b/>
          <w:sz w:val="20"/>
        </w:rPr>
      </w:pPr>
      <w:r w:rsidRPr="00891DE1">
        <w:rPr>
          <w:rFonts w:ascii="Arial" w:hAnsi="Arial"/>
          <w:b/>
          <w:sz w:val="20"/>
        </w:rPr>
        <w:t>Figure 5.</w:t>
      </w:r>
      <w:r w:rsidR="00C96320">
        <w:rPr>
          <w:rFonts w:ascii="Arial" w:hAnsi="Arial"/>
          <w:b/>
          <w:sz w:val="20"/>
        </w:rPr>
        <w:t>34</w:t>
      </w:r>
      <w:r w:rsidRPr="00891DE1">
        <w:rPr>
          <w:rFonts w:ascii="Arial" w:hAnsi="Arial"/>
          <w:b/>
          <w:sz w:val="20"/>
        </w:rPr>
        <w:t>.</w:t>
      </w:r>
      <w:r w:rsidRPr="00891DE1">
        <w:rPr>
          <w:rFonts w:ascii="Arial" w:hAnsi="Arial"/>
          <w:b/>
          <w:sz w:val="20"/>
        </w:rPr>
        <w:tab/>
        <w:t>Production history in the Victorian scallop fishery</w:t>
      </w:r>
    </w:p>
    <w:p w14:paraId="43CBC970" w14:textId="6CFB40BD" w:rsidR="007A1BFF" w:rsidRDefault="00D3469F" w:rsidP="006F7DB1">
      <w:pPr>
        <w:pStyle w:val="bodycopy"/>
        <w:rPr>
          <w:rFonts w:ascii="Arial" w:hAnsi="Arial"/>
          <w:sz w:val="22"/>
          <w:szCs w:val="22"/>
        </w:rPr>
      </w:pPr>
      <w:r>
        <w:rPr>
          <w:rFonts w:ascii="Arial" w:hAnsi="Arial"/>
          <w:sz w:val="22"/>
          <w:szCs w:val="22"/>
        </w:rPr>
        <w:t>In the VSFA-prepared Victorian Scallop Fishery Industry Management Plan (undated), it is stated that despite some scallop stocks being of a commercially viable size in the fishery, fishermen have agreed to rest the known beds until the end of 2018 to allow for another spawning cy</w:t>
      </w:r>
      <w:r w:rsidR="008B4A14">
        <w:rPr>
          <w:rFonts w:ascii="Arial" w:hAnsi="Arial"/>
          <w:sz w:val="22"/>
          <w:szCs w:val="22"/>
        </w:rPr>
        <w:t>c</w:t>
      </w:r>
      <w:r>
        <w:rPr>
          <w:rFonts w:ascii="Arial" w:hAnsi="Arial"/>
          <w:sz w:val="22"/>
          <w:szCs w:val="22"/>
        </w:rPr>
        <w:t>le to contribute to biomass prior to harvesting</w:t>
      </w:r>
      <w:r w:rsidR="00D5170E">
        <w:rPr>
          <w:rFonts w:ascii="Arial" w:hAnsi="Arial"/>
          <w:sz w:val="22"/>
          <w:szCs w:val="22"/>
        </w:rPr>
        <w:t xml:space="preserve">. The VSFA </w:t>
      </w:r>
      <w:r w:rsidR="00F90D18">
        <w:rPr>
          <w:rFonts w:ascii="Arial" w:hAnsi="Arial"/>
          <w:sz w:val="22"/>
          <w:szCs w:val="22"/>
        </w:rPr>
        <w:t>claims</w:t>
      </w:r>
      <w:r w:rsidR="00D5170E">
        <w:rPr>
          <w:rFonts w:ascii="Arial" w:hAnsi="Arial"/>
          <w:sz w:val="22"/>
          <w:szCs w:val="22"/>
        </w:rPr>
        <w:t xml:space="preserve"> that these stocks of commercial significance are located within and adjacent to the proposed acquisition area. </w:t>
      </w:r>
    </w:p>
    <w:p w14:paraId="196988C5" w14:textId="17DB73E3" w:rsidR="007037D6" w:rsidRDefault="002E7783" w:rsidP="006F7DB1">
      <w:pPr>
        <w:pStyle w:val="bodycopy"/>
        <w:rPr>
          <w:rFonts w:ascii="Arial" w:hAnsi="Arial"/>
          <w:sz w:val="22"/>
          <w:szCs w:val="22"/>
        </w:rPr>
      </w:pPr>
      <w:r w:rsidRPr="00210826">
        <w:rPr>
          <w:rFonts w:ascii="Arial" w:hAnsi="Arial"/>
          <w:sz w:val="22"/>
          <w:szCs w:val="22"/>
        </w:rPr>
        <w:t xml:space="preserve">CarbonNet’s marine </w:t>
      </w:r>
      <w:r w:rsidR="006F7DB1">
        <w:rPr>
          <w:rFonts w:ascii="Arial" w:hAnsi="Arial"/>
          <w:sz w:val="22"/>
          <w:szCs w:val="22"/>
        </w:rPr>
        <w:t>habitat</w:t>
      </w:r>
      <w:r w:rsidRPr="00210826">
        <w:rPr>
          <w:rFonts w:ascii="Arial" w:hAnsi="Arial"/>
          <w:sz w:val="22"/>
          <w:szCs w:val="22"/>
        </w:rPr>
        <w:t xml:space="preserve"> </w:t>
      </w:r>
      <w:r w:rsidR="001C065C">
        <w:rPr>
          <w:rFonts w:ascii="Arial" w:hAnsi="Arial"/>
          <w:sz w:val="22"/>
          <w:szCs w:val="22"/>
        </w:rPr>
        <w:t>assessment</w:t>
      </w:r>
      <w:r w:rsidRPr="00210826">
        <w:rPr>
          <w:rFonts w:ascii="Arial" w:hAnsi="Arial"/>
          <w:sz w:val="22"/>
          <w:szCs w:val="22"/>
        </w:rPr>
        <w:t xml:space="preserve"> </w:t>
      </w:r>
      <w:r w:rsidR="00F90D18">
        <w:rPr>
          <w:rFonts w:ascii="Arial" w:hAnsi="Arial"/>
          <w:sz w:val="22"/>
          <w:szCs w:val="22"/>
        </w:rPr>
        <w:t xml:space="preserve">via towed video </w:t>
      </w:r>
      <w:r w:rsidRPr="00210826">
        <w:rPr>
          <w:rFonts w:ascii="Arial" w:hAnsi="Arial"/>
          <w:sz w:val="22"/>
          <w:szCs w:val="22"/>
        </w:rPr>
        <w:t xml:space="preserve">undertaken in early April 2017 </w:t>
      </w:r>
      <w:r w:rsidR="00D5170E">
        <w:rPr>
          <w:rFonts w:ascii="Arial" w:hAnsi="Arial"/>
          <w:sz w:val="22"/>
          <w:szCs w:val="22"/>
        </w:rPr>
        <w:t>(</w:t>
      </w:r>
      <w:r w:rsidRPr="00210826">
        <w:rPr>
          <w:rFonts w:ascii="Arial" w:hAnsi="Arial"/>
          <w:sz w:val="22"/>
          <w:szCs w:val="22"/>
        </w:rPr>
        <w:t>with an even coverage through the proposed acquisition area</w:t>
      </w:r>
      <w:r w:rsidR="00D5170E">
        <w:rPr>
          <w:rFonts w:ascii="Arial" w:hAnsi="Arial"/>
          <w:sz w:val="22"/>
          <w:szCs w:val="22"/>
        </w:rPr>
        <w:t xml:space="preserve">; </w:t>
      </w:r>
      <w:r w:rsidRPr="00210826">
        <w:rPr>
          <w:rFonts w:ascii="Arial" w:hAnsi="Arial"/>
          <w:sz w:val="22"/>
          <w:szCs w:val="22"/>
        </w:rPr>
        <w:t>spacing of 1,</w:t>
      </w:r>
      <w:r w:rsidR="006F7DB1">
        <w:rPr>
          <w:rFonts w:ascii="Arial" w:hAnsi="Arial"/>
          <w:sz w:val="22"/>
          <w:szCs w:val="22"/>
        </w:rPr>
        <w:t>6</w:t>
      </w:r>
      <w:r w:rsidR="00EE0DA9" w:rsidRPr="00210826">
        <w:rPr>
          <w:rFonts w:ascii="Arial" w:hAnsi="Arial"/>
          <w:sz w:val="22"/>
          <w:szCs w:val="22"/>
        </w:rPr>
        <w:t>00 m between sample points)</w:t>
      </w:r>
      <w:r w:rsidR="00D5170E">
        <w:rPr>
          <w:rFonts w:ascii="Arial" w:hAnsi="Arial"/>
          <w:sz w:val="22"/>
          <w:szCs w:val="22"/>
        </w:rPr>
        <w:t xml:space="preserve"> did not encounter any commercial scallop beds</w:t>
      </w:r>
      <w:r w:rsidR="00EE0DA9" w:rsidRPr="00210826">
        <w:rPr>
          <w:rFonts w:ascii="Arial" w:hAnsi="Arial"/>
          <w:sz w:val="22"/>
          <w:szCs w:val="22"/>
        </w:rPr>
        <w:t xml:space="preserve">. </w:t>
      </w:r>
      <w:r w:rsidR="00D5170E">
        <w:rPr>
          <w:rFonts w:ascii="Arial" w:hAnsi="Arial"/>
          <w:sz w:val="22"/>
          <w:szCs w:val="22"/>
        </w:rPr>
        <w:t xml:space="preserve">The VSFA </w:t>
      </w:r>
      <w:r w:rsidR="00F90D18">
        <w:rPr>
          <w:rFonts w:ascii="Arial" w:hAnsi="Arial"/>
          <w:sz w:val="22"/>
          <w:szCs w:val="22"/>
        </w:rPr>
        <w:t xml:space="preserve">has </w:t>
      </w:r>
      <w:r w:rsidR="00D5170E">
        <w:rPr>
          <w:rFonts w:ascii="Arial" w:hAnsi="Arial"/>
          <w:sz w:val="22"/>
          <w:szCs w:val="22"/>
        </w:rPr>
        <w:t>state</w:t>
      </w:r>
      <w:r w:rsidR="00F90D18">
        <w:rPr>
          <w:rFonts w:ascii="Arial" w:hAnsi="Arial"/>
          <w:sz w:val="22"/>
          <w:szCs w:val="22"/>
        </w:rPr>
        <w:t>d</w:t>
      </w:r>
      <w:r w:rsidR="00D5170E">
        <w:rPr>
          <w:rFonts w:ascii="Arial" w:hAnsi="Arial"/>
          <w:sz w:val="22"/>
          <w:szCs w:val="22"/>
        </w:rPr>
        <w:t xml:space="preserve"> that this may be due to a lack of specific fishing expertise, knowledge in locating scallop s</w:t>
      </w:r>
      <w:r w:rsidR="00B375C6">
        <w:rPr>
          <w:rFonts w:ascii="Arial" w:hAnsi="Arial"/>
          <w:sz w:val="22"/>
          <w:szCs w:val="22"/>
        </w:rPr>
        <w:t>t</w:t>
      </w:r>
      <w:r w:rsidR="00D5170E">
        <w:rPr>
          <w:rFonts w:ascii="Arial" w:hAnsi="Arial"/>
          <w:sz w:val="22"/>
          <w:szCs w:val="22"/>
        </w:rPr>
        <w:t>ocks in the marine environment and the reliance on one survey methodology (towed video)</w:t>
      </w:r>
      <w:r w:rsidR="001C065C">
        <w:rPr>
          <w:rFonts w:ascii="Arial" w:hAnsi="Arial"/>
          <w:sz w:val="22"/>
          <w:szCs w:val="22"/>
        </w:rPr>
        <w:t xml:space="preserve"> rather than a scallop dredge</w:t>
      </w:r>
      <w:r w:rsidR="00D5170E">
        <w:rPr>
          <w:rFonts w:ascii="Arial" w:hAnsi="Arial"/>
          <w:sz w:val="22"/>
          <w:szCs w:val="22"/>
        </w:rPr>
        <w:t>, which can result in erroneous and false negative results. CarbonNet</w:t>
      </w:r>
      <w:r w:rsidR="00C95D3D">
        <w:rPr>
          <w:rFonts w:ascii="Arial" w:hAnsi="Arial"/>
          <w:sz w:val="22"/>
          <w:szCs w:val="22"/>
        </w:rPr>
        <w:t xml:space="preserve"> and its marine consultants</w:t>
      </w:r>
      <w:r w:rsidR="00D5170E">
        <w:rPr>
          <w:rFonts w:ascii="Arial" w:hAnsi="Arial"/>
          <w:sz w:val="22"/>
          <w:szCs w:val="22"/>
        </w:rPr>
        <w:t xml:space="preserve"> do not share this conclusion, given that: </w:t>
      </w:r>
    </w:p>
    <w:p w14:paraId="5426DD77" w14:textId="253D9A73" w:rsidR="00F90D18" w:rsidRDefault="00F90D18" w:rsidP="00D5170E">
      <w:pPr>
        <w:pStyle w:val="bodycopy"/>
        <w:numPr>
          <w:ilvl w:val="0"/>
          <w:numId w:val="406"/>
        </w:numPr>
        <w:rPr>
          <w:rFonts w:ascii="Arial" w:hAnsi="Arial"/>
          <w:sz w:val="22"/>
          <w:szCs w:val="22"/>
        </w:rPr>
      </w:pPr>
      <w:r>
        <w:rPr>
          <w:rFonts w:ascii="Arial" w:hAnsi="Arial"/>
          <w:sz w:val="22"/>
          <w:szCs w:val="22"/>
        </w:rPr>
        <w:lastRenderedPageBreak/>
        <w:t>Smith et al (2016) recommend that underwater camera surveys should be considered for fisheries stock assessment as they can provide information on scallop densities and habitat structure at a finer scale and with more accuracy and higher coverage than dredge gear;</w:t>
      </w:r>
    </w:p>
    <w:p w14:paraId="4D8F9E9B" w14:textId="6DDE93C4" w:rsidR="00F90D18" w:rsidRDefault="00F90D18" w:rsidP="00D5170E">
      <w:pPr>
        <w:pStyle w:val="bodycopy"/>
        <w:numPr>
          <w:ilvl w:val="0"/>
          <w:numId w:val="406"/>
        </w:numPr>
        <w:rPr>
          <w:rFonts w:ascii="Arial" w:hAnsi="Arial"/>
          <w:sz w:val="22"/>
          <w:szCs w:val="22"/>
        </w:rPr>
      </w:pPr>
      <w:r>
        <w:rPr>
          <w:rFonts w:ascii="Arial" w:hAnsi="Arial"/>
          <w:sz w:val="22"/>
          <w:szCs w:val="22"/>
        </w:rPr>
        <w:t>F</w:t>
      </w:r>
      <w:r w:rsidRPr="00C05C03">
        <w:rPr>
          <w:rFonts w:ascii="Arial" w:hAnsi="Arial"/>
          <w:sz w:val="22"/>
          <w:szCs w:val="22"/>
        </w:rPr>
        <w:t>ootage from the CarbonNet habitat assessment clearly detected partially buried commercial and doughboy scallops, along with dead scallops in the form of empty shells</w:t>
      </w:r>
      <w:r>
        <w:rPr>
          <w:rFonts w:ascii="Arial" w:hAnsi="Arial"/>
          <w:sz w:val="22"/>
          <w:szCs w:val="22"/>
        </w:rPr>
        <w:t>;</w:t>
      </w:r>
    </w:p>
    <w:p w14:paraId="067B806E" w14:textId="1081125A" w:rsidR="00D5170E" w:rsidRPr="00F90D18" w:rsidRDefault="00D5170E" w:rsidP="00D5170E">
      <w:pPr>
        <w:pStyle w:val="bodycopy"/>
        <w:numPr>
          <w:ilvl w:val="0"/>
          <w:numId w:val="406"/>
        </w:numPr>
        <w:rPr>
          <w:rFonts w:ascii="Arial" w:hAnsi="Arial"/>
          <w:sz w:val="22"/>
          <w:szCs w:val="22"/>
        </w:rPr>
      </w:pPr>
      <w:r w:rsidRPr="00F90D18">
        <w:rPr>
          <w:rFonts w:ascii="Arial" w:hAnsi="Arial"/>
          <w:sz w:val="22"/>
          <w:szCs w:val="22"/>
        </w:rPr>
        <w:t xml:space="preserve">The consultants engaged in the marine habitat </w:t>
      </w:r>
      <w:r w:rsidR="001C065C" w:rsidRPr="00F90D18">
        <w:rPr>
          <w:rFonts w:ascii="Arial" w:hAnsi="Arial"/>
          <w:sz w:val="22"/>
          <w:szCs w:val="22"/>
        </w:rPr>
        <w:t>assessment</w:t>
      </w:r>
      <w:r w:rsidRPr="00F90D18">
        <w:rPr>
          <w:rFonts w:ascii="Arial" w:hAnsi="Arial"/>
          <w:sz w:val="22"/>
          <w:szCs w:val="22"/>
        </w:rPr>
        <w:t xml:space="preserve"> are highly experienced marine biologists with considerable experience working in Bass Strait</w:t>
      </w:r>
      <w:r w:rsidR="00F90D18" w:rsidRPr="00F90D18">
        <w:rPr>
          <w:rFonts w:ascii="Arial" w:hAnsi="Arial"/>
          <w:sz w:val="22"/>
          <w:szCs w:val="22"/>
        </w:rPr>
        <w:t xml:space="preserve"> </w:t>
      </w:r>
      <w:r w:rsidR="00F90D18">
        <w:rPr>
          <w:rFonts w:ascii="Arial" w:hAnsi="Arial"/>
          <w:sz w:val="22"/>
          <w:szCs w:val="22"/>
        </w:rPr>
        <w:t xml:space="preserve">and are </w:t>
      </w:r>
      <w:r w:rsidRPr="00F90D18">
        <w:rPr>
          <w:rFonts w:ascii="Arial" w:hAnsi="Arial"/>
          <w:sz w:val="22"/>
          <w:szCs w:val="22"/>
        </w:rPr>
        <w:t>familiar with the parti</w:t>
      </w:r>
      <w:r w:rsidR="00AB0567" w:rsidRPr="00F90D18">
        <w:rPr>
          <w:rFonts w:ascii="Arial" w:hAnsi="Arial"/>
          <w:sz w:val="22"/>
          <w:szCs w:val="22"/>
        </w:rPr>
        <w:t>al burial patterns of scallops;</w:t>
      </w:r>
    </w:p>
    <w:p w14:paraId="48CDAE28" w14:textId="02FC2B4F" w:rsidR="00AB0567" w:rsidRPr="009B4E45" w:rsidRDefault="006A4EC1" w:rsidP="00D5170E">
      <w:pPr>
        <w:pStyle w:val="bodycopy"/>
        <w:numPr>
          <w:ilvl w:val="0"/>
          <w:numId w:val="406"/>
        </w:numPr>
        <w:rPr>
          <w:rFonts w:ascii="Arial" w:hAnsi="Arial"/>
          <w:sz w:val="22"/>
          <w:szCs w:val="22"/>
        </w:rPr>
      </w:pPr>
      <w:r w:rsidRPr="009B4E45">
        <w:rPr>
          <w:rFonts w:ascii="Arial" w:hAnsi="Arial"/>
          <w:sz w:val="22"/>
          <w:szCs w:val="22"/>
        </w:rPr>
        <w:t>T</w:t>
      </w:r>
      <w:r w:rsidR="00AB0567" w:rsidRPr="009B4E45">
        <w:rPr>
          <w:rFonts w:ascii="Arial" w:hAnsi="Arial"/>
          <w:sz w:val="22"/>
          <w:szCs w:val="22"/>
        </w:rPr>
        <w:t>owed video has been used by the consultants to assess for scallop presence/abundance for TasPorts;</w:t>
      </w:r>
      <w:r w:rsidRPr="009B4E45">
        <w:rPr>
          <w:rFonts w:ascii="Arial" w:hAnsi="Arial"/>
          <w:sz w:val="22"/>
          <w:szCs w:val="22"/>
        </w:rPr>
        <w:t xml:space="preserve"> </w:t>
      </w:r>
    </w:p>
    <w:p w14:paraId="65334901" w14:textId="42A9B11B" w:rsidR="00B85B3F" w:rsidRPr="00C05C03" w:rsidRDefault="00B85B3F" w:rsidP="00D5170E">
      <w:pPr>
        <w:pStyle w:val="bodycopy"/>
        <w:numPr>
          <w:ilvl w:val="0"/>
          <w:numId w:val="406"/>
        </w:numPr>
        <w:rPr>
          <w:rFonts w:ascii="Arial" w:hAnsi="Arial"/>
          <w:sz w:val="22"/>
          <w:szCs w:val="22"/>
        </w:rPr>
      </w:pPr>
      <w:r>
        <w:rPr>
          <w:rFonts w:ascii="Arial" w:hAnsi="Arial"/>
          <w:sz w:val="22"/>
          <w:szCs w:val="22"/>
        </w:rPr>
        <w:t>The Bass Strait Central Zone Scallop Fishery Resource Assessment Group noted in June 2017 that video assessments for scallops were being utlilised in Tasmania at Great Oyster Bay</w:t>
      </w:r>
      <w:r w:rsidR="00DD76C1">
        <w:rPr>
          <w:rFonts w:ascii="Arial" w:hAnsi="Arial"/>
          <w:sz w:val="22"/>
          <w:szCs w:val="22"/>
        </w:rPr>
        <w:t xml:space="preserve"> (AFMA, 2017</w:t>
      </w:r>
      <w:r w:rsidR="00EE5673">
        <w:rPr>
          <w:rFonts w:ascii="Arial" w:hAnsi="Arial"/>
          <w:sz w:val="22"/>
          <w:szCs w:val="22"/>
        </w:rPr>
        <w:t>b</w:t>
      </w:r>
      <w:r w:rsidR="00DD76C1">
        <w:rPr>
          <w:rFonts w:ascii="Arial" w:hAnsi="Arial"/>
          <w:sz w:val="22"/>
          <w:szCs w:val="22"/>
        </w:rPr>
        <w:t>);</w:t>
      </w:r>
      <w:r>
        <w:rPr>
          <w:rFonts w:ascii="Arial" w:hAnsi="Arial"/>
          <w:sz w:val="22"/>
          <w:szCs w:val="22"/>
        </w:rPr>
        <w:t xml:space="preserve"> and</w:t>
      </w:r>
    </w:p>
    <w:p w14:paraId="6A8DAAB8" w14:textId="72BE6C98" w:rsidR="00FD4960" w:rsidRPr="007E0ADB" w:rsidRDefault="00D5170E" w:rsidP="00891DE1">
      <w:pPr>
        <w:pStyle w:val="bodycopy"/>
        <w:numPr>
          <w:ilvl w:val="0"/>
          <w:numId w:val="406"/>
        </w:numPr>
        <w:spacing w:after="240"/>
        <w:ind w:left="714" w:hanging="357"/>
        <w:rPr>
          <w:rFonts w:ascii="Arial" w:hAnsi="Arial"/>
          <w:sz w:val="22"/>
          <w:szCs w:val="22"/>
        </w:rPr>
      </w:pPr>
      <w:r w:rsidRPr="00AB0567">
        <w:rPr>
          <w:rFonts w:ascii="Arial" w:hAnsi="Arial"/>
          <w:sz w:val="22"/>
          <w:szCs w:val="22"/>
        </w:rPr>
        <w:t xml:space="preserve">The sampling </w:t>
      </w:r>
      <w:r w:rsidR="006A4EC1">
        <w:rPr>
          <w:rFonts w:ascii="Arial" w:hAnsi="Arial"/>
          <w:sz w:val="22"/>
          <w:szCs w:val="22"/>
        </w:rPr>
        <w:t xml:space="preserve">was </w:t>
      </w:r>
      <w:r w:rsidRPr="00AB0567">
        <w:rPr>
          <w:rFonts w:ascii="Arial" w:hAnsi="Arial"/>
          <w:sz w:val="22"/>
          <w:szCs w:val="22"/>
        </w:rPr>
        <w:t xml:space="preserve">statistically robust in terms of optimising the </w:t>
      </w:r>
      <w:r w:rsidRPr="007E0ADB">
        <w:rPr>
          <w:rFonts w:ascii="Arial" w:hAnsi="Arial"/>
          <w:sz w:val="22"/>
          <w:szCs w:val="22"/>
        </w:rPr>
        <w:t>maximum number of sites possible over a large area</w:t>
      </w:r>
      <w:r w:rsidR="00F90D18">
        <w:rPr>
          <w:rFonts w:ascii="Arial" w:hAnsi="Arial"/>
          <w:sz w:val="22"/>
          <w:szCs w:val="22"/>
        </w:rPr>
        <w:t>.</w:t>
      </w:r>
      <w:r w:rsidR="00FD4960" w:rsidRPr="007E0ADB">
        <w:rPr>
          <w:rFonts w:ascii="Arial" w:hAnsi="Arial"/>
          <w:sz w:val="22"/>
          <w:szCs w:val="22"/>
        </w:rPr>
        <w:t xml:space="preserve"> </w:t>
      </w:r>
    </w:p>
    <w:p w14:paraId="770C9D33" w14:textId="302255EE" w:rsidR="002F00D1" w:rsidRDefault="00F90D18" w:rsidP="00F90D18">
      <w:pPr>
        <w:pStyle w:val="bodycopy"/>
        <w:rPr>
          <w:rFonts w:ascii="Arial" w:hAnsi="Arial"/>
          <w:sz w:val="22"/>
          <w:szCs w:val="22"/>
        </w:rPr>
      </w:pPr>
      <w:r w:rsidRPr="00F90D18">
        <w:rPr>
          <w:rFonts w:ascii="Arial" w:hAnsi="Arial"/>
          <w:sz w:val="22"/>
          <w:szCs w:val="22"/>
        </w:rPr>
        <w:t>Additional information supplied by SIV in July 2017 indicated that dredging for scallops had been undertaken throughout the proposed acquisition area by a fisherman and that significant quantities of scallops were caught (and returned to the seabed due to being under the legal catch size limit). Further interrogation of GPS data by the VFA (undertaken at CarbonNet’s request) for the fishing vessel involved in this exercise found that the dredging in fact took place outside the proposed acquisition area, with the nearest areas being immediately adjacent to and 840 m to 10,000</w:t>
      </w:r>
      <w:r>
        <w:rPr>
          <w:rFonts w:ascii="Arial" w:hAnsi="Arial"/>
          <w:sz w:val="22"/>
          <w:szCs w:val="22"/>
        </w:rPr>
        <w:t xml:space="preserve"> </w:t>
      </w:r>
      <w:r w:rsidRPr="00F90D18">
        <w:rPr>
          <w:rFonts w:ascii="Arial" w:hAnsi="Arial"/>
          <w:sz w:val="22"/>
          <w:szCs w:val="22"/>
        </w:rPr>
        <w:t>m northeast of the proposed acquisition and operational areas.</w:t>
      </w:r>
    </w:p>
    <w:p w14:paraId="71FDD913" w14:textId="77FE17E2" w:rsidR="00DD76C1" w:rsidRDefault="00F23837" w:rsidP="00DD76C1">
      <w:pPr>
        <w:pStyle w:val="bodycopy"/>
        <w:rPr>
          <w:rFonts w:ascii="Arial" w:hAnsi="Arial"/>
          <w:sz w:val="22"/>
          <w:szCs w:val="22"/>
        </w:rPr>
      </w:pPr>
      <w:r>
        <w:rPr>
          <w:rFonts w:ascii="Arial" w:hAnsi="Arial"/>
          <w:sz w:val="22"/>
          <w:szCs w:val="22"/>
        </w:rPr>
        <w:t xml:space="preserve">In </w:t>
      </w:r>
      <w:r w:rsidR="00817034">
        <w:rPr>
          <w:rFonts w:ascii="Arial" w:hAnsi="Arial"/>
          <w:sz w:val="22"/>
          <w:szCs w:val="22"/>
        </w:rPr>
        <w:t>late September</w:t>
      </w:r>
      <w:r>
        <w:rPr>
          <w:rFonts w:ascii="Arial" w:hAnsi="Arial"/>
          <w:sz w:val="22"/>
          <w:szCs w:val="22"/>
        </w:rPr>
        <w:t xml:space="preserve"> 2017, </w:t>
      </w:r>
      <w:r w:rsidR="00B44059">
        <w:rPr>
          <w:rFonts w:ascii="Arial" w:hAnsi="Arial"/>
          <w:sz w:val="22"/>
          <w:szCs w:val="22"/>
        </w:rPr>
        <w:t xml:space="preserve">the VSFA </w:t>
      </w:r>
      <w:r>
        <w:rPr>
          <w:rFonts w:ascii="Arial" w:hAnsi="Arial"/>
          <w:sz w:val="22"/>
          <w:szCs w:val="22"/>
        </w:rPr>
        <w:t>provided</w:t>
      </w:r>
      <w:r w:rsidR="000D1AC7">
        <w:rPr>
          <w:rFonts w:ascii="Arial" w:hAnsi="Arial"/>
          <w:sz w:val="22"/>
          <w:szCs w:val="22"/>
        </w:rPr>
        <w:t xml:space="preserve"> a short video file to CarbonNet </w:t>
      </w:r>
      <w:r w:rsidR="00DD76C1">
        <w:rPr>
          <w:rFonts w:ascii="Arial" w:hAnsi="Arial"/>
          <w:sz w:val="22"/>
          <w:szCs w:val="22"/>
        </w:rPr>
        <w:t xml:space="preserve">in support of </w:t>
      </w:r>
      <w:r w:rsidR="00B4533E">
        <w:rPr>
          <w:rFonts w:ascii="Arial" w:hAnsi="Arial"/>
          <w:sz w:val="22"/>
          <w:szCs w:val="22"/>
        </w:rPr>
        <w:t xml:space="preserve">their claims </w:t>
      </w:r>
      <w:r w:rsidR="000D1AC7">
        <w:rPr>
          <w:rFonts w:ascii="Arial" w:hAnsi="Arial"/>
          <w:sz w:val="22"/>
          <w:szCs w:val="22"/>
        </w:rPr>
        <w:t xml:space="preserve">that there are abundant scallops present within the proposed acquisition area. This video footage </w:t>
      </w:r>
      <w:r w:rsidR="00B4533E">
        <w:rPr>
          <w:rFonts w:ascii="Arial" w:hAnsi="Arial"/>
          <w:sz w:val="22"/>
          <w:szCs w:val="22"/>
        </w:rPr>
        <w:t>showed scallops on the back of a vessel and then moved to the bridge with geographic coordinates</w:t>
      </w:r>
      <w:r w:rsidR="000B2201">
        <w:rPr>
          <w:rFonts w:ascii="Arial" w:hAnsi="Arial"/>
          <w:sz w:val="22"/>
          <w:szCs w:val="22"/>
        </w:rPr>
        <w:t xml:space="preserve"> located within the proposed acquisition area</w:t>
      </w:r>
      <w:r w:rsidR="009B4E45">
        <w:rPr>
          <w:rFonts w:ascii="Arial" w:hAnsi="Arial"/>
          <w:sz w:val="22"/>
          <w:szCs w:val="22"/>
        </w:rPr>
        <w:t>. However</w:t>
      </w:r>
      <w:r w:rsidR="000B2201">
        <w:rPr>
          <w:rFonts w:ascii="Arial" w:hAnsi="Arial"/>
          <w:sz w:val="22"/>
          <w:szCs w:val="22"/>
        </w:rPr>
        <w:t xml:space="preserve">, there is no footage </w:t>
      </w:r>
      <w:r w:rsidR="00DD76C1">
        <w:rPr>
          <w:rFonts w:ascii="Arial" w:hAnsi="Arial"/>
          <w:sz w:val="22"/>
          <w:szCs w:val="22"/>
        </w:rPr>
        <w:t xml:space="preserve">or data </w:t>
      </w:r>
      <w:r w:rsidR="000B2201">
        <w:rPr>
          <w:rFonts w:ascii="Arial" w:hAnsi="Arial"/>
          <w:sz w:val="22"/>
          <w:szCs w:val="22"/>
        </w:rPr>
        <w:t xml:space="preserve">showing those scallops being recovered </w:t>
      </w:r>
      <w:r w:rsidR="00E2472C">
        <w:rPr>
          <w:rFonts w:ascii="Arial" w:hAnsi="Arial"/>
          <w:sz w:val="22"/>
          <w:szCs w:val="22"/>
        </w:rPr>
        <w:t xml:space="preserve">within the proposed acquisition area. </w:t>
      </w:r>
      <w:r w:rsidR="00DD76C1">
        <w:rPr>
          <w:rFonts w:ascii="Arial" w:hAnsi="Arial"/>
          <w:sz w:val="22"/>
          <w:szCs w:val="22"/>
        </w:rPr>
        <w:t xml:space="preserve">CarbonNet has requested the VSFA provide the location of scallop beds known to them on many occasions (see </w:t>
      </w:r>
      <w:r w:rsidR="00DD76C1" w:rsidRPr="00263624">
        <w:rPr>
          <w:rFonts w:ascii="Arial" w:hAnsi="Arial"/>
          <w:sz w:val="22"/>
          <w:szCs w:val="22"/>
        </w:rPr>
        <w:t>Table 4.</w:t>
      </w:r>
      <w:r w:rsidR="00263624" w:rsidRPr="00263624">
        <w:rPr>
          <w:rFonts w:ascii="Arial" w:hAnsi="Arial"/>
          <w:sz w:val="22"/>
          <w:szCs w:val="22"/>
        </w:rPr>
        <w:t>3 in the consultation chapter</w:t>
      </w:r>
      <w:r w:rsidR="00DD76C1" w:rsidRPr="00263624">
        <w:rPr>
          <w:rFonts w:ascii="Arial" w:hAnsi="Arial"/>
          <w:sz w:val="22"/>
          <w:szCs w:val="22"/>
        </w:rPr>
        <w:t>).</w:t>
      </w:r>
      <w:r w:rsidR="00DD76C1">
        <w:rPr>
          <w:rFonts w:ascii="Arial" w:hAnsi="Arial"/>
          <w:sz w:val="22"/>
          <w:szCs w:val="22"/>
        </w:rPr>
        <w:t xml:space="preserve"> The VSFA has not provided any specific information to CarbonNet on the location of scallop beds.</w:t>
      </w:r>
    </w:p>
    <w:p w14:paraId="68D3B7D9" w14:textId="6E0BBD70" w:rsidR="00F90D18" w:rsidRPr="00F90D18" w:rsidRDefault="00DD76C1" w:rsidP="00F90D18">
      <w:pPr>
        <w:pStyle w:val="bodycopy"/>
        <w:rPr>
          <w:rFonts w:ascii="Arial" w:hAnsi="Arial"/>
          <w:sz w:val="22"/>
          <w:szCs w:val="22"/>
        </w:rPr>
      </w:pPr>
      <w:r>
        <w:rPr>
          <w:rFonts w:ascii="Arial" w:hAnsi="Arial"/>
          <w:sz w:val="22"/>
          <w:szCs w:val="22"/>
        </w:rPr>
        <w:t>In May 2017, t</w:t>
      </w:r>
      <w:r w:rsidR="00F90D18" w:rsidRPr="00F90D18">
        <w:rPr>
          <w:rFonts w:ascii="Arial" w:hAnsi="Arial"/>
          <w:sz w:val="22"/>
          <w:szCs w:val="22"/>
        </w:rPr>
        <w:t>he VSFA presented CarbonNet a proposal for a pre- and post-</w:t>
      </w:r>
      <w:r w:rsidR="00F90D18">
        <w:rPr>
          <w:rFonts w:ascii="Arial" w:hAnsi="Arial"/>
          <w:sz w:val="22"/>
          <w:szCs w:val="22"/>
        </w:rPr>
        <w:t>MSS</w:t>
      </w:r>
      <w:r w:rsidR="00F90D18" w:rsidRPr="00F90D18">
        <w:rPr>
          <w:rFonts w:ascii="Arial" w:hAnsi="Arial"/>
          <w:sz w:val="22"/>
          <w:szCs w:val="22"/>
        </w:rPr>
        <w:t xml:space="preserve"> scallop stock assessment 70% funded by CarbonNet to be conducted by three dedicated scallop vessels using the scallop box dredging technique. According to their proposal, each vessel would undertake 20-40 </w:t>
      </w:r>
      <w:r>
        <w:rPr>
          <w:rFonts w:ascii="Arial" w:hAnsi="Arial"/>
          <w:sz w:val="22"/>
          <w:szCs w:val="22"/>
        </w:rPr>
        <w:t xml:space="preserve">exploratory </w:t>
      </w:r>
      <w:r w:rsidR="00F90D18" w:rsidRPr="00F90D18">
        <w:rPr>
          <w:rFonts w:ascii="Arial" w:hAnsi="Arial"/>
          <w:sz w:val="22"/>
          <w:szCs w:val="22"/>
        </w:rPr>
        <w:t>sampling tows (of between 600 and 1</w:t>
      </w:r>
      <w:r w:rsidR="00F90D18">
        <w:rPr>
          <w:rFonts w:ascii="Arial" w:hAnsi="Arial"/>
          <w:sz w:val="22"/>
          <w:szCs w:val="22"/>
        </w:rPr>
        <w:t>,</w:t>
      </w:r>
      <w:r w:rsidR="00F90D18" w:rsidRPr="00F90D18">
        <w:rPr>
          <w:rFonts w:ascii="Arial" w:hAnsi="Arial"/>
          <w:sz w:val="22"/>
          <w:szCs w:val="22"/>
        </w:rPr>
        <w:t>200 m) per 12</w:t>
      </w:r>
      <w:r w:rsidR="00AA38DB">
        <w:rPr>
          <w:rFonts w:ascii="Arial" w:hAnsi="Arial"/>
          <w:sz w:val="22"/>
          <w:szCs w:val="22"/>
        </w:rPr>
        <w:t>-</w:t>
      </w:r>
      <w:r w:rsidR="00F90D18" w:rsidRPr="00F90D18">
        <w:rPr>
          <w:rFonts w:ascii="Arial" w:hAnsi="Arial"/>
          <w:sz w:val="22"/>
          <w:szCs w:val="22"/>
        </w:rPr>
        <w:t>hour day over a combined survey time of 144 hours. CarbonNet has not be</w:t>
      </w:r>
      <w:r w:rsidR="00AA38DB">
        <w:rPr>
          <w:rFonts w:ascii="Arial" w:hAnsi="Arial"/>
          <w:sz w:val="22"/>
          <w:szCs w:val="22"/>
        </w:rPr>
        <w:t>en</w:t>
      </w:r>
      <w:r w:rsidR="00F90D18" w:rsidRPr="00F90D18">
        <w:rPr>
          <w:rFonts w:ascii="Arial" w:hAnsi="Arial"/>
          <w:sz w:val="22"/>
          <w:szCs w:val="22"/>
        </w:rPr>
        <w:t xml:space="preserve"> able to progress this particular collaboration opportunity on a number of grounds, including the view that a towed video survey methodology is both appropriate and superior, and the potential environmental detriment of VSFA’s invasive approach is unnecessary. As CarbonNet is under an obligation to minimise the environmental impacts of its activities to the extent reasonably necessary to perform the </w:t>
      </w:r>
      <w:r w:rsidR="00AA38DB">
        <w:rPr>
          <w:rFonts w:ascii="Arial" w:hAnsi="Arial"/>
          <w:sz w:val="22"/>
          <w:szCs w:val="22"/>
        </w:rPr>
        <w:t>MSS</w:t>
      </w:r>
      <w:r w:rsidR="00F90D18" w:rsidRPr="00F90D18">
        <w:rPr>
          <w:rFonts w:ascii="Arial" w:hAnsi="Arial"/>
          <w:sz w:val="22"/>
          <w:szCs w:val="22"/>
        </w:rPr>
        <w:t xml:space="preserve">, it would be contrary to </w:t>
      </w:r>
      <w:r w:rsidR="00AA38DB">
        <w:rPr>
          <w:rFonts w:ascii="Arial" w:hAnsi="Arial"/>
          <w:sz w:val="22"/>
          <w:szCs w:val="22"/>
        </w:rPr>
        <w:t>CarbonNet’s</w:t>
      </w:r>
      <w:r w:rsidR="00F90D18" w:rsidRPr="00F90D18">
        <w:rPr>
          <w:rFonts w:ascii="Arial" w:hAnsi="Arial"/>
          <w:sz w:val="22"/>
          <w:szCs w:val="22"/>
        </w:rPr>
        <w:t xml:space="preserve"> obligations to perform invasive investigations where these are not reasonably required.     </w:t>
      </w:r>
      <w:r w:rsidR="00F90D18" w:rsidRPr="00F90D18">
        <w:rPr>
          <w:rFonts w:ascii="Arial" w:hAnsi="Arial"/>
          <w:sz w:val="22"/>
          <w:szCs w:val="22"/>
        </w:rPr>
        <w:br/>
      </w:r>
      <w:r w:rsidR="00F90D18" w:rsidRPr="00F90D18">
        <w:rPr>
          <w:rFonts w:ascii="Arial" w:hAnsi="Arial"/>
          <w:sz w:val="22"/>
          <w:szCs w:val="22"/>
        </w:rPr>
        <w:br/>
        <w:t>In any event</w:t>
      </w:r>
      <w:r w:rsidR="00AA38DB">
        <w:rPr>
          <w:rFonts w:ascii="Arial" w:hAnsi="Arial"/>
          <w:sz w:val="22"/>
          <w:szCs w:val="22"/>
        </w:rPr>
        <w:t>,</w:t>
      </w:r>
      <w:r w:rsidR="00F90D18" w:rsidRPr="00F90D18">
        <w:rPr>
          <w:rFonts w:ascii="Arial" w:hAnsi="Arial"/>
          <w:sz w:val="22"/>
          <w:szCs w:val="22"/>
        </w:rPr>
        <w:t xml:space="preserve"> CarbonNet is constrained by its current approvals </w:t>
      </w:r>
      <w:r w:rsidR="00AA38DB">
        <w:rPr>
          <w:rFonts w:ascii="Arial" w:hAnsi="Arial"/>
          <w:sz w:val="22"/>
          <w:szCs w:val="22"/>
        </w:rPr>
        <w:t>that</w:t>
      </w:r>
      <w:r w:rsidR="00F90D18" w:rsidRPr="00F90D18">
        <w:rPr>
          <w:rFonts w:ascii="Arial" w:hAnsi="Arial"/>
          <w:sz w:val="22"/>
          <w:szCs w:val="22"/>
        </w:rPr>
        <w:t xml:space="preserve"> were granted on the basis that there would be no disturbance of the seabed or sub-soil associated </w:t>
      </w:r>
      <w:r w:rsidR="00F90D18" w:rsidRPr="00F90D18">
        <w:rPr>
          <w:rFonts w:ascii="Arial" w:hAnsi="Arial"/>
          <w:sz w:val="22"/>
          <w:szCs w:val="22"/>
        </w:rPr>
        <w:lastRenderedPageBreak/>
        <w:t xml:space="preserve">with the </w:t>
      </w:r>
      <w:r w:rsidR="00AA38DB">
        <w:rPr>
          <w:rFonts w:ascii="Arial" w:hAnsi="Arial"/>
          <w:sz w:val="22"/>
          <w:szCs w:val="22"/>
        </w:rPr>
        <w:t>MSS</w:t>
      </w:r>
      <w:r w:rsidR="00F90D18" w:rsidRPr="00F90D18">
        <w:rPr>
          <w:rFonts w:ascii="Arial" w:hAnsi="Arial"/>
          <w:sz w:val="22"/>
          <w:szCs w:val="22"/>
        </w:rPr>
        <w:t>. For this reason</w:t>
      </w:r>
      <w:r w:rsidR="00AA38DB">
        <w:rPr>
          <w:rFonts w:ascii="Arial" w:hAnsi="Arial"/>
          <w:sz w:val="22"/>
          <w:szCs w:val="22"/>
        </w:rPr>
        <w:t>,</w:t>
      </w:r>
      <w:r w:rsidR="00F90D18" w:rsidRPr="00F90D18">
        <w:rPr>
          <w:rFonts w:ascii="Arial" w:hAnsi="Arial"/>
          <w:sz w:val="22"/>
          <w:szCs w:val="22"/>
        </w:rPr>
        <w:t xml:space="preserve"> the proposal is fundamentally inconsistent with CarbonNet’s current approvals (and the titleholder consultations underpinning them). By way of an alternative, CarbonNet </w:t>
      </w:r>
      <w:r w:rsidR="009B4E45">
        <w:rPr>
          <w:rFonts w:ascii="Arial" w:hAnsi="Arial"/>
          <w:sz w:val="22"/>
          <w:szCs w:val="22"/>
        </w:rPr>
        <w:t xml:space="preserve">will </w:t>
      </w:r>
      <w:r w:rsidR="00F90D18" w:rsidRPr="00F90D18">
        <w:rPr>
          <w:rFonts w:ascii="Arial" w:hAnsi="Arial"/>
          <w:sz w:val="22"/>
          <w:szCs w:val="22"/>
        </w:rPr>
        <w:t>undertake pre- and post-</w:t>
      </w:r>
      <w:r w:rsidR="00AA38DB">
        <w:rPr>
          <w:rFonts w:ascii="Arial" w:hAnsi="Arial"/>
          <w:sz w:val="22"/>
          <w:szCs w:val="22"/>
        </w:rPr>
        <w:t xml:space="preserve">MSS habitat </w:t>
      </w:r>
      <w:r w:rsidR="00F90D18" w:rsidRPr="00F90D18">
        <w:rPr>
          <w:rFonts w:ascii="Arial" w:hAnsi="Arial"/>
          <w:sz w:val="22"/>
          <w:szCs w:val="22"/>
        </w:rPr>
        <w:t>assessment</w:t>
      </w:r>
      <w:r w:rsidR="009B4E45">
        <w:rPr>
          <w:rFonts w:ascii="Arial" w:hAnsi="Arial"/>
          <w:sz w:val="22"/>
          <w:szCs w:val="22"/>
        </w:rPr>
        <w:t>s</w:t>
      </w:r>
      <w:r w:rsidR="00F90D18" w:rsidRPr="00F90D18">
        <w:rPr>
          <w:rFonts w:ascii="Arial" w:hAnsi="Arial"/>
          <w:sz w:val="22"/>
          <w:szCs w:val="22"/>
        </w:rPr>
        <w:t xml:space="preserve">, which will include further, non-invasive video surveys to monitor the effects of the </w:t>
      </w:r>
      <w:r w:rsidR="00AA38DB">
        <w:rPr>
          <w:rFonts w:ascii="Arial" w:hAnsi="Arial"/>
          <w:sz w:val="22"/>
          <w:szCs w:val="22"/>
        </w:rPr>
        <w:t>MSS</w:t>
      </w:r>
      <w:r w:rsidR="00F90D18" w:rsidRPr="00F90D18">
        <w:rPr>
          <w:rFonts w:ascii="Arial" w:hAnsi="Arial"/>
          <w:sz w:val="22"/>
          <w:szCs w:val="22"/>
        </w:rPr>
        <w:t xml:space="preserve"> on various species, including scallops. CarbonNet </w:t>
      </w:r>
      <w:r w:rsidR="009B4E45">
        <w:rPr>
          <w:rFonts w:ascii="Arial" w:hAnsi="Arial"/>
          <w:sz w:val="22"/>
          <w:szCs w:val="22"/>
        </w:rPr>
        <w:t>is</w:t>
      </w:r>
      <w:r w:rsidR="00F90D18" w:rsidRPr="00F90D18">
        <w:rPr>
          <w:rFonts w:ascii="Arial" w:hAnsi="Arial"/>
          <w:sz w:val="22"/>
          <w:szCs w:val="22"/>
        </w:rPr>
        <w:t xml:space="preserve"> collaborat</w:t>
      </w:r>
      <w:r w:rsidR="009B4E45">
        <w:rPr>
          <w:rFonts w:ascii="Arial" w:hAnsi="Arial"/>
          <w:sz w:val="22"/>
          <w:szCs w:val="22"/>
        </w:rPr>
        <w:t>ing</w:t>
      </w:r>
      <w:r w:rsidR="00F90D18" w:rsidRPr="00F90D18">
        <w:rPr>
          <w:rFonts w:ascii="Arial" w:hAnsi="Arial"/>
          <w:sz w:val="22"/>
          <w:szCs w:val="22"/>
        </w:rPr>
        <w:t xml:space="preserve"> with the fishing industry in the design and implementation of this assessment. </w:t>
      </w:r>
    </w:p>
    <w:p w14:paraId="78C4CEAE" w14:textId="77777777" w:rsidR="00F57871" w:rsidRPr="00F90D18" w:rsidRDefault="00F57871" w:rsidP="00F57871">
      <w:pPr>
        <w:pStyle w:val="bodycopy"/>
        <w:rPr>
          <w:rFonts w:ascii="Arial" w:hAnsi="Arial"/>
          <w:sz w:val="22"/>
          <w:szCs w:val="22"/>
        </w:rPr>
      </w:pPr>
      <w:r w:rsidRPr="00F90D18">
        <w:rPr>
          <w:rFonts w:ascii="Arial" w:hAnsi="Arial"/>
          <w:sz w:val="22"/>
          <w:szCs w:val="22"/>
        </w:rPr>
        <w:t xml:space="preserve">In summary, CarbonNet does not consider the VSFA’s proposal for a scallop stock assessment using scallop box dredging to be suitable for adoption because: </w:t>
      </w:r>
    </w:p>
    <w:p w14:paraId="3139D4E2" w14:textId="77777777" w:rsidR="00F57871" w:rsidRPr="00AA38DB" w:rsidRDefault="00F57871" w:rsidP="00F57871">
      <w:pPr>
        <w:pStyle w:val="bodycopy"/>
        <w:numPr>
          <w:ilvl w:val="0"/>
          <w:numId w:val="406"/>
        </w:numPr>
        <w:rPr>
          <w:rFonts w:ascii="Arial" w:hAnsi="Arial"/>
          <w:sz w:val="22"/>
          <w:szCs w:val="22"/>
        </w:rPr>
      </w:pPr>
      <w:r w:rsidRPr="00AA38DB">
        <w:rPr>
          <w:rFonts w:ascii="Arial" w:hAnsi="Arial"/>
          <w:sz w:val="22"/>
          <w:szCs w:val="22"/>
        </w:rPr>
        <w:t xml:space="preserve">It is inconsistent with CarbonNet’s approvals; </w:t>
      </w:r>
    </w:p>
    <w:p w14:paraId="12A8BCB1" w14:textId="77777777" w:rsidR="00F57871" w:rsidRPr="00AA38DB" w:rsidRDefault="00F57871" w:rsidP="00F57871">
      <w:pPr>
        <w:pStyle w:val="bodycopy"/>
        <w:numPr>
          <w:ilvl w:val="0"/>
          <w:numId w:val="406"/>
        </w:numPr>
        <w:rPr>
          <w:rFonts w:ascii="Arial" w:hAnsi="Arial"/>
          <w:sz w:val="22"/>
          <w:szCs w:val="22"/>
        </w:rPr>
      </w:pPr>
      <w:r w:rsidRPr="00AA38DB">
        <w:rPr>
          <w:rFonts w:ascii="Arial" w:hAnsi="Arial"/>
          <w:sz w:val="22"/>
          <w:szCs w:val="22"/>
        </w:rPr>
        <w:t xml:space="preserve">It is unnecessarily invasive relative to towed video monitoring; </w:t>
      </w:r>
    </w:p>
    <w:p w14:paraId="6E5B9CED" w14:textId="77777777" w:rsidR="00F57871" w:rsidRPr="00AA38DB" w:rsidRDefault="00F57871" w:rsidP="00F57871">
      <w:pPr>
        <w:pStyle w:val="bodycopy"/>
        <w:numPr>
          <w:ilvl w:val="0"/>
          <w:numId w:val="406"/>
        </w:numPr>
        <w:rPr>
          <w:rFonts w:ascii="Arial" w:hAnsi="Arial"/>
          <w:sz w:val="22"/>
          <w:szCs w:val="22"/>
        </w:rPr>
      </w:pPr>
      <w:r w:rsidRPr="00AA38DB">
        <w:rPr>
          <w:rFonts w:ascii="Arial" w:hAnsi="Arial"/>
          <w:sz w:val="22"/>
          <w:szCs w:val="22"/>
        </w:rPr>
        <w:t>In the expert opinion of CarbonNet’s marine consultants</w:t>
      </w:r>
      <w:r>
        <w:rPr>
          <w:rFonts w:ascii="Arial" w:hAnsi="Arial"/>
          <w:sz w:val="22"/>
          <w:szCs w:val="22"/>
        </w:rPr>
        <w:t>,</w:t>
      </w:r>
      <w:r w:rsidRPr="00AA38DB">
        <w:rPr>
          <w:rFonts w:ascii="Arial" w:hAnsi="Arial"/>
          <w:sz w:val="22"/>
          <w:szCs w:val="22"/>
        </w:rPr>
        <w:t xml:space="preserve"> the presence of commercially viable scallop populations in the area is unlikely, making the resort to invasive investigations disproportionately damaging; </w:t>
      </w:r>
    </w:p>
    <w:p w14:paraId="4BA02D01" w14:textId="67219AD4" w:rsidR="00F57871" w:rsidRPr="00AA38DB" w:rsidRDefault="00F57871" w:rsidP="00F57871">
      <w:pPr>
        <w:pStyle w:val="bodycopy"/>
        <w:numPr>
          <w:ilvl w:val="0"/>
          <w:numId w:val="406"/>
        </w:numPr>
        <w:rPr>
          <w:rFonts w:ascii="Arial" w:hAnsi="Arial"/>
          <w:sz w:val="22"/>
          <w:szCs w:val="22"/>
        </w:rPr>
      </w:pPr>
      <w:r w:rsidRPr="00AA38DB">
        <w:rPr>
          <w:rFonts w:ascii="Arial" w:hAnsi="Arial"/>
          <w:sz w:val="22"/>
          <w:szCs w:val="22"/>
        </w:rPr>
        <w:t xml:space="preserve">‘Before and after’ monitoring using towed video has been the accepted methodology for monitoring scallops elsewhere; and </w:t>
      </w:r>
    </w:p>
    <w:p w14:paraId="5AEB5169" w14:textId="7218701C" w:rsidR="00F57871" w:rsidRPr="00AA38DB" w:rsidRDefault="00F57871" w:rsidP="00F57871">
      <w:pPr>
        <w:pStyle w:val="bodycopy"/>
        <w:numPr>
          <w:ilvl w:val="0"/>
          <w:numId w:val="406"/>
        </w:numPr>
        <w:rPr>
          <w:rFonts w:ascii="Arial" w:hAnsi="Arial"/>
          <w:sz w:val="22"/>
          <w:szCs w:val="22"/>
        </w:rPr>
      </w:pPr>
      <w:r w:rsidRPr="00AA38DB">
        <w:rPr>
          <w:rFonts w:ascii="Arial" w:hAnsi="Arial"/>
          <w:sz w:val="22"/>
          <w:szCs w:val="22"/>
        </w:rPr>
        <w:t xml:space="preserve">Whilst a fisheries stock assessment might be an appropriate activity for the VSFA to undertake as a separate matter, it is not something </w:t>
      </w:r>
      <w:r>
        <w:rPr>
          <w:rFonts w:ascii="Arial" w:hAnsi="Arial"/>
          <w:sz w:val="22"/>
          <w:szCs w:val="22"/>
        </w:rPr>
        <w:t>that</w:t>
      </w:r>
      <w:r w:rsidRPr="00AA38DB">
        <w:rPr>
          <w:rFonts w:ascii="Arial" w:hAnsi="Arial"/>
          <w:sz w:val="22"/>
          <w:szCs w:val="22"/>
        </w:rPr>
        <w:t xml:space="preserve"> CarbonNet should be required to undertake with regard to a particular species</w:t>
      </w:r>
      <w:r w:rsidR="00DD76C1">
        <w:rPr>
          <w:rFonts w:ascii="Arial" w:hAnsi="Arial"/>
          <w:sz w:val="22"/>
          <w:szCs w:val="22"/>
        </w:rPr>
        <w:t xml:space="preserve"> or as part of the EP</w:t>
      </w:r>
      <w:r w:rsidRPr="00AA38DB">
        <w:rPr>
          <w:rFonts w:ascii="Arial" w:hAnsi="Arial"/>
          <w:sz w:val="22"/>
          <w:szCs w:val="22"/>
        </w:rPr>
        <w:t xml:space="preserve">. </w:t>
      </w:r>
    </w:p>
    <w:p w14:paraId="724A981A" w14:textId="1B244F30" w:rsidR="00DD76C1" w:rsidRDefault="00DD76C1" w:rsidP="00F90D18">
      <w:pPr>
        <w:pStyle w:val="bodycopy"/>
        <w:rPr>
          <w:rFonts w:ascii="Arial" w:hAnsi="Arial"/>
          <w:sz w:val="22"/>
          <w:szCs w:val="22"/>
        </w:rPr>
        <w:sectPr w:rsidR="00DD76C1" w:rsidSect="00EE0DA9">
          <w:headerReference w:type="even" r:id="rId207"/>
          <w:headerReference w:type="default" r:id="rId208"/>
          <w:footerReference w:type="default" r:id="rId209"/>
          <w:headerReference w:type="first" r:id="rId210"/>
          <w:pgSz w:w="11906" w:h="16838" w:code="9"/>
          <w:pgMar w:top="1560" w:right="1800" w:bottom="1440" w:left="1800" w:header="994" w:footer="706" w:gutter="0"/>
          <w:cols w:space="708"/>
          <w:docGrid w:linePitch="360"/>
        </w:sectPr>
      </w:pPr>
      <w:r>
        <w:rPr>
          <w:rFonts w:ascii="Arial" w:hAnsi="Arial"/>
          <w:sz w:val="22"/>
          <w:szCs w:val="22"/>
        </w:rPr>
        <w:t xml:space="preserve">As noted in Chapter 4, CarbonNet </w:t>
      </w:r>
      <w:r w:rsidR="009B4E45">
        <w:rPr>
          <w:rFonts w:ascii="Arial" w:hAnsi="Arial"/>
          <w:sz w:val="22"/>
          <w:szCs w:val="22"/>
        </w:rPr>
        <w:t>is</w:t>
      </w:r>
      <w:r>
        <w:rPr>
          <w:rFonts w:ascii="Arial" w:hAnsi="Arial"/>
          <w:sz w:val="22"/>
          <w:szCs w:val="22"/>
        </w:rPr>
        <w:t xml:space="preserve"> contribut</w:t>
      </w:r>
      <w:r w:rsidR="009B4E45">
        <w:rPr>
          <w:rFonts w:ascii="Arial" w:hAnsi="Arial"/>
          <w:sz w:val="22"/>
          <w:szCs w:val="22"/>
        </w:rPr>
        <w:t>ing</w:t>
      </w:r>
      <w:r>
        <w:rPr>
          <w:rFonts w:ascii="Arial" w:hAnsi="Arial"/>
          <w:sz w:val="22"/>
          <w:szCs w:val="22"/>
        </w:rPr>
        <w:t xml:space="preserve"> to a whole of Victorian Eastern Ocean Scallop Fishery stock assessment to be managed by the VFA.</w:t>
      </w:r>
    </w:p>
    <w:tbl>
      <w:tblPr>
        <w:tblStyle w:val="TableGrid"/>
        <w:tblW w:w="0" w:type="auto"/>
        <w:tblLook w:val="04A0" w:firstRow="1" w:lastRow="0" w:firstColumn="1" w:lastColumn="0" w:noHBand="0" w:noVBand="1"/>
      </w:tblPr>
      <w:tblGrid>
        <w:gridCol w:w="13356"/>
      </w:tblGrid>
      <w:tr w:rsidR="00371A97" w14:paraId="163B0CA8" w14:textId="77777777" w:rsidTr="00891DE1">
        <w:tc>
          <w:tcPr>
            <w:tcW w:w="13356" w:type="dxa"/>
          </w:tcPr>
          <w:p w14:paraId="42C4E2BC" w14:textId="5C4BD3F2" w:rsidR="00250730" w:rsidRDefault="003B71BE" w:rsidP="00891DE1">
            <w:pPr>
              <w:pStyle w:val="bodycopy"/>
              <w:spacing w:before="40" w:after="40"/>
              <w:rPr>
                <w:rFonts w:ascii="Arial" w:eastAsia="MS Mincho" w:hAnsi="Arial"/>
                <w:b/>
                <w:bCs/>
                <w:iCs/>
                <w:noProof/>
                <w:color w:val="F36D00"/>
                <w:sz w:val="22"/>
                <w:szCs w:val="22"/>
                <w:lang w:eastAsia="en-US"/>
              </w:rPr>
            </w:pPr>
            <w:r w:rsidRPr="00891DE1">
              <w:rPr>
                <w:rFonts w:ascii="Arial" w:hAnsi="Arial"/>
                <w:noProof/>
                <w:sz w:val="22"/>
                <w:szCs w:val="22"/>
              </w:rPr>
              <w:lastRenderedPageBreak/>
              <w:drawing>
                <wp:inline distT="0" distB="0" distL="0" distR="0" wp14:anchorId="7066903A" wp14:editId="27485EA6">
                  <wp:extent cx="8343900" cy="4903247"/>
                  <wp:effectExtent l="0" t="0" r="0" b="0"/>
                  <wp:docPr id="40" name="Picture 40" descr="Macintosh HD:Users:Giulio:Desktop:Screen Shot 2017-10-09 at 3.23.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Giulio:Desktop:Screen Shot 2017-10-09 at 3.23.07 PM.png"/>
                          <pic:cNvPicPr>
                            <a:picLocks noChangeAspect="1" noChangeArrowheads="1"/>
                          </pic:cNvPicPr>
                        </pic:nvPicPr>
                        <pic:blipFill>
                          <a:blip r:embed="rId211">
                            <a:extLst>
                              <a:ext uri="{28A0092B-C50C-407E-A947-70E740481C1C}">
                                <a14:useLocalDpi xmlns:a14="http://schemas.microsoft.com/office/drawing/2010/main"/>
                              </a:ext>
                            </a:extLst>
                          </a:blip>
                          <a:srcRect/>
                          <a:stretch>
                            <a:fillRect/>
                          </a:stretch>
                        </pic:blipFill>
                        <pic:spPr bwMode="auto">
                          <a:xfrm>
                            <a:off x="0" y="0"/>
                            <a:ext cx="8343900" cy="4903247"/>
                          </a:xfrm>
                          <a:prstGeom prst="rect">
                            <a:avLst/>
                          </a:prstGeom>
                          <a:noFill/>
                          <a:ln>
                            <a:noFill/>
                          </a:ln>
                        </pic:spPr>
                      </pic:pic>
                    </a:graphicData>
                  </a:graphic>
                </wp:inline>
              </w:drawing>
            </w:r>
          </w:p>
        </w:tc>
      </w:tr>
    </w:tbl>
    <w:p w14:paraId="46BEAC7D" w14:textId="14F30BE1" w:rsidR="00250730" w:rsidRPr="00891DE1" w:rsidRDefault="00371A97" w:rsidP="00F90D18">
      <w:pPr>
        <w:pStyle w:val="bodycopy"/>
        <w:rPr>
          <w:rFonts w:ascii="Arial" w:hAnsi="Arial"/>
          <w:i/>
          <w:sz w:val="16"/>
          <w:szCs w:val="16"/>
        </w:rPr>
      </w:pPr>
      <w:r w:rsidRPr="00891DE1">
        <w:rPr>
          <w:rFonts w:ascii="Arial" w:hAnsi="Arial"/>
          <w:i/>
          <w:sz w:val="16"/>
          <w:szCs w:val="16"/>
        </w:rPr>
        <w:t>Source: DPI (2006).</w:t>
      </w:r>
    </w:p>
    <w:p w14:paraId="501CC343" w14:textId="359D420A" w:rsidR="00DE5F6C" w:rsidRDefault="00250730" w:rsidP="00371A97">
      <w:pPr>
        <w:pStyle w:val="bodycopy"/>
        <w:jc w:val="center"/>
        <w:rPr>
          <w:rFonts w:ascii="Arial" w:hAnsi="Arial"/>
          <w:b/>
          <w:sz w:val="20"/>
        </w:rPr>
        <w:sectPr w:rsidR="00DE5F6C" w:rsidSect="00371A97">
          <w:headerReference w:type="default" r:id="rId212"/>
          <w:footerReference w:type="default" r:id="rId213"/>
          <w:pgSz w:w="16838" w:h="11906" w:orient="landscape" w:code="9"/>
          <w:pgMar w:top="1274" w:right="1560" w:bottom="1800" w:left="1440" w:header="994" w:footer="706" w:gutter="0"/>
          <w:cols w:space="708"/>
          <w:docGrid w:linePitch="360"/>
        </w:sectPr>
      </w:pPr>
      <w:r w:rsidRPr="00891DE1">
        <w:rPr>
          <w:rFonts w:ascii="Arial" w:hAnsi="Arial"/>
          <w:b/>
          <w:sz w:val="20"/>
        </w:rPr>
        <w:t>Figure 5.</w:t>
      </w:r>
      <w:r w:rsidR="009B4E45">
        <w:rPr>
          <w:rFonts w:ascii="Arial" w:hAnsi="Arial"/>
          <w:b/>
          <w:sz w:val="20"/>
        </w:rPr>
        <w:t>3</w:t>
      </w:r>
      <w:r w:rsidR="00F57871">
        <w:rPr>
          <w:rFonts w:ascii="Arial" w:hAnsi="Arial"/>
          <w:b/>
          <w:sz w:val="20"/>
        </w:rPr>
        <w:t>5</w:t>
      </w:r>
      <w:r w:rsidRPr="00891DE1">
        <w:rPr>
          <w:rFonts w:ascii="Arial" w:hAnsi="Arial"/>
          <w:b/>
          <w:sz w:val="20"/>
        </w:rPr>
        <w:t>.</w:t>
      </w:r>
      <w:r w:rsidRPr="00891DE1">
        <w:rPr>
          <w:rFonts w:ascii="Arial" w:hAnsi="Arial"/>
          <w:b/>
          <w:sz w:val="20"/>
        </w:rPr>
        <w:tab/>
        <w:t>Total scallop catch (estimated shell kilograms) from 1998 to 2003</w:t>
      </w:r>
    </w:p>
    <w:p w14:paraId="4A8A1C15" w14:textId="77777777" w:rsidR="00885EE5" w:rsidRPr="001212F8" w:rsidRDefault="00885EE5" w:rsidP="009678C7">
      <w:pPr>
        <w:pStyle w:val="Heading3"/>
      </w:pPr>
      <w:bookmarkStart w:id="375" w:name="_Toc474222025"/>
      <w:bookmarkStart w:id="376" w:name="_Toc375214578"/>
      <w:r>
        <w:lastRenderedPageBreak/>
        <w:t xml:space="preserve">Recreational </w:t>
      </w:r>
      <w:r w:rsidRPr="009678C7">
        <w:t>Fishing</w:t>
      </w:r>
      <w:bookmarkEnd w:id="375"/>
      <w:bookmarkEnd w:id="376"/>
      <w:r>
        <w:t xml:space="preserve"> </w:t>
      </w:r>
    </w:p>
    <w:p w14:paraId="2F6437FB" w14:textId="7A1AFDF0" w:rsidR="00B265F9" w:rsidRPr="001B56B5" w:rsidRDefault="00B265F9" w:rsidP="001B56B5">
      <w:pPr>
        <w:pStyle w:val="bodycopy"/>
        <w:rPr>
          <w:rFonts w:ascii="Arial" w:hAnsi="Arial"/>
          <w:sz w:val="22"/>
          <w:szCs w:val="22"/>
        </w:rPr>
      </w:pPr>
      <w:r w:rsidRPr="001B56B5">
        <w:rPr>
          <w:rFonts w:ascii="Arial" w:hAnsi="Arial"/>
          <w:sz w:val="22"/>
          <w:szCs w:val="22"/>
        </w:rPr>
        <w:t>Recreational fishing along the Gippsland coast typically targets snapper, King George whiting, flathead, bream, sharks, tuna, calamari, and Australian salmon.</w:t>
      </w:r>
    </w:p>
    <w:p w14:paraId="32C476AB" w14:textId="75472A13" w:rsidR="00B265F9" w:rsidRPr="001B56B5" w:rsidRDefault="00B265F9" w:rsidP="001B56B5">
      <w:pPr>
        <w:pStyle w:val="bodycopy"/>
        <w:rPr>
          <w:rFonts w:ascii="Arial" w:hAnsi="Arial"/>
          <w:sz w:val="22"/>
          <w:szCs w:val="22"/>
        </w:rPr>
      </w:pPr>
      <w:r w:rsidRPr="001B56B5">
        <w:rPr>
          <w:rFonts w:ascii="Arial" w:hAnsi="Arial"/>
          <w:sz w:val="22"/>
          <w:szCs w:val="22"/>
        </w:rPr>
        <w:t xml:space="preserve">Recreational fishing and boating is largely confined to </w:t>
      </w:r>
      <w:r w:rsidR="00AB07E2" w:rsidRPr="001B56B5">
        <w:rPr>
          <w:rFonts w:ascii="Arial" w:hAnsi="Arial"/>
          <w:sz w:val="22"/>
          <w:szCs w:val="22"/>
        </w:rPr>
        <w:t xml:space="preserve">the Gippsland Lakes and </w:t>
      </w:r>
      <w:r w:rsidRPr="001B56B5">
        <w:rPr>
          <w:rFonts w:ascii="Arial" w:hAnsi="Arial"/>
          <w:sz w:val="22"/>
          <w:szCs w:val="22"/>
        </w:rPr>
        <w:t>nearshore coastal waters. As Bass Strait is relatively shallow, the water currents through the Bass Strait can create unpredictable seas, reducing the numbers of recreational boats from venturing long distances into the Bass Strait from shore.</w:t>
      </w:r>
      <w:r w:rsidR="00EC3775">
        <w:rPr>
          <w:rFonts w:ascii="Arial" w:hAnsi="Arial"/>
          <w:sz w:val="22"/>
          <w:szCs w:val="22"/>
        </w:rPr>
        <w:t xml:space="preserve"> VRFish has stated that small boats are likely to fish around the nearshore reef area, while larger game fishing boats are likely to fish further out to sea and use nearby ports and boat ramps for launching. </w:t>
      </w:r>
    </w:p>
    <w:p w14:paraId="0DEC7425" w14:textId="3CB9CF88" w:rsidR="001B56B5" w:rsidRDefault="001B56B5" w:rsidP="001B56B5">
      <w:pPr>
        <w:pStyle w:val="bodycopy"/>
        <w:rPr>
          <w:rFonts w:ascii="Arial" w:hAnsi="Arial"/>
          <w:sz w:val="22"/>
          <w:szCs w:val="22"/>
        </w:rPr>
      </w:pPr>
      <w:r>
        <w:rPr>
          <w:rFonts w:ascii="Arial" w:hAnsi="Arial"/>
          <w:sz w:val="22"/>
          <w:szCs w:val="22"/>
        </w:rPr>
        <w:t xml:space="preserve">There are no boat ramps adjacent to the operational area, though stakeholder consultation indicates that recreational fishers </w:t>
      </w:r>
      <w:r w:rsidR="00645BE0">
        <w:rPr>
          <w:rFonts w:ascii="Arial" w:hAnsi="Arial"/>
          <w:sz w:val="22"/>
          <w:szCs w:val="22"/>
        </w:rPr>
        <w:t xml:space="preserve">often </w:t>
      </w:r>
      <w:r>
        <w:rPr>
          <w:rFonts w:ascii="Arial" w:hAnsi="Arial"/>
          <w:sz w:val="22"/>
          <w:szCs w:val="22"/>
        </w:rPr>
        <w:t>carry small ‘tinnies’ (aluminium-hulled boats) over the sand dunes</w:t>
      </w:r>
      <w:r w:rsidR="00EC2248">
        <w:rPr>
          <w:rFonts w:ascii="Arial" w:hAnsi="Arial"/>
          <w:sz w:val="22"/>
          <w:szCs w:val="22"/>
        </w:rPr>
        <w:t xml:space="preserve"> in order to access the beach</w:t>
      </w:r>
      <w:r>
        <w:rPr>
          <w:rFonts w:ascii="Arial" w:hAnsi="Arial"/>
          <w:sz w:val="22"/>
          <w:szCs w:val="22"/>
        </w:rPr>
        <w:t xml:space="preserve">, with the sand dune clearing for the ROS at Delray Beach providing </w:t>
      </w:r>
      <w:r w:rsidR="00645BE0">
        <w:rPr>
          <w:rFonts w:ascii="Arial" w:hAnsi="Arial"/>
          <w:sz w:val="22"/>
          <w:szCs w:val="22"/>
        </w:rPr>
        <w:t xml:space="preserve">one of the more </w:t>
      </w:r>
      <w:r>
        <w:rPr>
          <w:rFonts w:ascii="Arial" w:hAnsi="Arial"/>
          <w:sz w:val="22"/>
          <w:szCs w:val="22"/>
        </w:rPr>
        <w:t>suitable access point</w:t>
      </w:r>
      <w:r w:rsidR="00645BE0">
        <w:rPr>
          <w:rFonts w:ascii="Arial" w:hAnsi="Arial"/>
          <w:sz w:val="22"/>
          <w:szCs w:val="22"/>
        </w:rPr>
        <w:t>s</w:t>
      </w:r>
      <w:r>
        <w:rPr>
          <w:rFonts w:ascii="Arial" w:hAnsi="Arial"/>
          <w:sz w:val="22"/>
          <w:szCs w:val="22"/>
        </w:rPr>
        <w:t xml:space="preserve">. </w:t>
      </w:r>
    </w:p>
    <w:p w14:paraId="360959D6" w14:textId="2E91E958" w:rsidR="00AB07E2" w:rsidRPr="001B56B5" w:rsidRDefault="00AB07E2" w:rsidP="001B56B5">
      <w:pPr>
        <w:pStyle w:val="bodycopy"/>
        <w:rPr>
          <w:rFonts w:ascii="Arial" w:hAnsi="Arial"/>
          <w:sz w:val="22"/>
          <w:szCs w:val="22"/>
        </w:rPr>
      </w:pPr>
      <w:r w:rsidRPr="001B56B5">
        <w:rPr>
          <w:rFonts w:ascii="Arial" w:hAnsi="Arial"/>
          <w:sz w:val="22"/>
          <w:szCs w:val="22"/>
        </w:rPr>
        <w:t xml:space="preserve">The </w:t>
      </w:r>
      <w:r w:rsidR="004C74C5">
        <w:rPr>
          <w:rFonts w:ascii="Arial" w:hAnsi="Arial"/>
          <w:sz w:val="22"/>
          <w:szCs w:val="22"/>
        </w:rPr>
        <w:t xml:space="preserve">GPBRA </w:t>
      </w:r>
      <w:r w:rsidR="00FD4960">
        <w:rPr>
          <w:rFonts w:ascii="Arial" w:hAnsi="Arial"/>
          <w:sz w:val="22"/>
          <w:szCs w:val="22"/>
        </w:rPr>
        <w:t xml:space="preserve">has advised CarbonNet that the </w:t>
      </w:r>
      <w:r w:rsidRPr="001B56B5">
        <w:rPr>
          <w:rFonts w:ascii="Arial" w:hAnsi="Arial"/>
          <w:sz w:val="22"/>
          <w:szCs w:val="22"/>
        </w:rPr>
        <w:t xml:space="preserve">Golden Beach Surf Fishing Competition takes place over the </w:t>
      </w:r>
      <w:r w:rsidR="006C0962">
        <w:rPr>
          <w:rFonts w:ascii="Arial" w:hAnsi="Arial"/>
          <w:sz w:val="22"/>
          <w:szCs w:val="22"/>
        </w:rPr>
        <w:t xml:space="preserve">weekend nearest Australia Day and during the </w:t>
      </w:r>
      <w:r w:rsidRPr="001B56B5">
        <w:rPr>
          <w:rFonts w:ascii="Arial" w:hAnsi="Arial"/>
          <w:sz w:val="22"/>
          <w:szCs w:val="22"/>
        </w:rPr>
        <w:t xml:space="preserve">Easter long weekend </w:t>
      </w:r>
      <w:r w:rsidR="00FD4960">
        <w:rPr>
          <w:rFonts w:ascii="Arial" w:hAnsi="Arial"/>
          <w:sz w:val="22"/>
          <w:szCs w:val="22"/>
        </w:rPr>
        <w:t xml:space="preserve">(midnight Good Friday to midnight Easter Sunday) </w:t>
      </w:r>
      <w:r w:rsidRPr="001B56B5">
        <w:rPr>
          <w:rFonts w:ascii="Arial" w:hAnsi="Arial"/>
          <w:sz w:val="22"/>
          <w:szCs w:val="22"/>
        </w:rPr>
        <w:t>each year</w:t>
      </w:r>
      <w:r w:rsidR="003E5C8C" w:rsidRPr="001B56B5">
        <w:rPr>
          <w:rFonts w:ascii="Arial" w:hAnsi="Arial"/>
          <w:sz w:val="22"/>
          <w:szCs w:val="22"/>
        </w:rPr>
        <w:t xml:space="preserve"> </w:t>
      </w:r>
      <w:r w:rsidR="00FD4960">
        <w:rPr>
          <w:rFonts w:ascii="Arial" w:hAnsi="Arial"/>
          <w:sz w:val="22"/>
          <w:szCs w:val="22"/>
        </w:rPr>
        <w:t>(starting 30</w:t>
      </w:r>
      <w:r w:rsidR="00FD4960" w:rsidRPr="00FD4960">
        <w:rPr>
          <w:rFonts w:ascii="Arial" w:hAnsi="Arial"/>
          <w:sz w:val="22"/>
          <w:szCs w:val="22"/>
          <w:vertAlign w:val="superscript"/>
        </w:rPr>
        <w:t>th</w:t>
      </w:r>
      <w:r w:rsidR="00AB0567">
        <w:rPr>
          <w:rFonts w:ascii="Arial" w:hAnsi="Arial"/>
          <w:sz w:val="22"/>
          <w:szCs w:val="22"/>
        </w:rPr>
        <w:t xml:space="preserve"> M</w:t>
      </w:r>
      <w:r w:rsidR="00FD4960">
        <w:rPr>
          <w:rFonts w:ascii="Arial" w:hAnsi="Arial"/>
          <w:sz w:val="22"/>
          <w:szCs w:val="22"/>
        </w:rPr>
        <w:t xml:space="preserve">arch 2018) </w:t>
      </w:r>
      <w:r w:rsidR="003E5C8C" w:rsidRPr="001B56B5">
        <w:rPr>
          <w:rFonts w:ascii="Arial" w:hAnsi="Arial"/>
          <w:sz w:val="22"/>
          <w:szCs w:val="22"/>
        </w:rPr>
        <w:t>between Seaspray and Loch Sport</w:t>
      </w:r>
      <w:r w:rsidRPr="001B56B5">
        <w:rPr>
          <w:rFonts w:ascii="Arial" w:hAnsi="Arial"/>
          <w:sz w:val="22"/>
          <w:szCs w:val="22"/>
        </w:rPr>
        <w:t xml:space="preserve">. </w:t>
      </w:r>
      <w:r w:rsidR="004C74C5">
        <w:rPr>
          <w:rFonts w:ascii="Arial" w:hAnsi="Arial"/>
          <w:sz w:val="22"/>
          <w:szCs w:val="22"/>
        </w:rPr>
        <w:t xml:space="preserve">They estimate that up to 1,000 extra people are in the region during these competitions, </w:t>
      </w:r>
      <w:r w:rsidR="00F0018D">
        <w:rPr>
          <w:rFonts w:ascii="Arial" w:hAnsi="Arial"/>
          <w:sz w:val="22"/>
          <w:szCs w:val="22"/>
        </w:rPr>
        <w:t xml:space="preserve">which provides an important economic contribution to local towns. </w:t>
      </w:r>
      <w:r w:rsidR="00E44267">
        <w:rPr>
          <w:rFonts w:ascii="Arial" w:hAnsi="Arial"/>
          <w:sz w:val="22"/>
          <w:szCs w:val="22"/>
        </w:rPr>
        <w:t xml:space="preserve">VRFish also stated that the period of time between Christmas and Australia Day weekend are generally the busiest for recreational fishing. </w:t>
      </w:r>
    </w:p>
    <w:p w14:paraId="1FC826CF" w14:textId="77777777" w:rsidR="00B265F9" w:rsidRPr="001B56B5" w:rsidRDefault="003E5C8C" w:rsidP="001B56B5">
      <w:pPr>
        <w:pStyle w:val="bodycopy"/>
        <w:rPr>
          <w:rFonts w:ascii="Arial" w:hAnsi="Arial"/>
          <w:sz w:val="22"/>
          <w:szCs w:val="22"/>
        </w:rPr>
      </w:pPr>
      <w:r w:rsidRPr="001B56B5">
        <w:rPr>
          <w:rFonts w:ascii="Arial" w:hAnsi="Arial"/>
          <w:sz w:val="22"/>
          <w:szCs w:val="22"/>
        </w:rPr>
        <w:t xml:space="preserve">The Gippsland Lakes Fishing Club Inc. and Lakes Entrance Game &amp; Sport Fishing Club Inc. </w:t>
      </w:r>
      <w:r w:rsidR="008275FA" w:rsidRPr="001B56B5">
        <w:rPr>
          <w:rFonts w:ascii="Arial" w:hAnsi="Arial"/>
          <w:sz w:val="22"/>
          <w:szCs w:val="22"/>
        </w:rPr>
        <w:t xml:space="preserve">(formed in 2015) </w:t>
      </w:r>
      <w:r w:rsidRPr="001B56B5">
        <w:rPr>
          <w:rFonts w:ascii="Arial" w:hAnsi="Arial"/>
          <w:sz w:val="22"/>
          <w:szCs w:val="22"/>
        </w:rPr>
        <w:t xml:space="preserve">are </w:t>
      </w:r>
      <w:r w:rsidR="008275FA" w:rsidRPr="001B56B5">
        <w:rPr>
          <w:rFonts w:ascii="Arial" w:hAnsi="Arial"/>
          <w:sz w:val="22"/>
          <w:szCs w:val="22"/>
        </w:rPr>
        <w:t>active recreational fishing clubs in the region. These clubs host regular club competitions</w:t>
      </w:r>
      <w:r w:rsidR="007351FD" w:rsidRPr="001B56B5">
        <w:rPr>
          <w:rFonts w:ascii="Arial" w:hAnsi="Arial"/>
          <w:sz w:val="22"/>
          <w:szCs w:val="22"/>
        </w:rPr>
        <w:t>, with flathead being a key fishing target</w:t>
      </w:r>
      <w:r w:rsidR="008275FA" w:rsidRPr="001B56B5">
        <w:rPr>
          <w:rFonts w:ascii="Arial" w:hAnsi="Arial"/>
          <w:sz w:val="22"/>
          <w:szCs w:val="22"/>
        </w:rPr>
        <w:t xml:space="preserve">. </w:t>
      </w:r>
    </w:p>
    <w:p w14:paraId="5C85924A" w14:textId="77777777" w:rsidR="00885EE5" w:rsidRPr="001212F8" w:rsidRDefault="00885EE5" w:rsidP="00885EE5">
      <w:pPr>
        <w:pStyle w:val="Heading3"/>
      </w:pPr>
      <w:bookmarkStart w:id="377" w:name="_Toc474222026"/>
      <w:bookmarkStart w:id="378" w:name="_Toc375214579"/>
      <w:r>
        <w:t>Tourism</w:t>
      </w:r>
      <w:bookmarkEnd w:id="377"/>
      <w:bookmarkEnd w:id="378"/>
    </w:p>
    <w:p w14:paraId="0B49F87A" w14:textId="77777777" w:rsidR="00B265F9" w:rsidRPr="00FF13D4" w:rsidRDefault="00B265F9" w:rsidP="00FF13D4">
      <w:pPr>
        <w:pStyle w:val="bodycopy"/>
        <w:rPr>
          <w:rFonts w:ascii="Arial" w:hAnsi="Arial"/>
          <w:sz w:val="22"/>
          <w:szCs w:val="22"/>
        </w:rPr>
      </w:pPr>
      <w:r w:rsidRPr="00FF13D4">
        <w:rPr>
          <w:rFonts w:ascii="Arial" w:hAnsi="Arial"/>
          <w:sz w:val="22"/>
          <w:szCs w:val="22"/>
        </w:rPr>
        <w:t xml:space="preserve">Marine-based tourism and recreation in the Bass Strait is primarily associated with recreational fishing and boating (see previous section). </w:t>
      </w:r>
    </w:p>
    <w:p w14:paraId="2FCE20C3" w14:textId="77777777" w:rsidR="00DC546A" w:rsidRPr="00FF13D4" w:rsidRDefault="00C74C6C" w:rsidP="00FF13D4">
      <w:pPr>
        <w:pStyle w:val="bodycopy"/>
        <w:rPr>
          <w:rFonts w:ascii="Arial" w:hAnsi="Arial"/>
          <w:sz w:val="22"/>
          <w:szCs w:val="22"/>
        </w:rPr>
      </w:pPr>
      <w:r w:rsidRPr="00FF13D4">
        <w:rPr>
          <w:rFonts w:ascii="Arial" w:hAnsi="Arial"/>
          <w:sz w:val="22"/>
          <w:szCs w:val="22"/>
        </w:rPr>
        <w:t xml:space="preserve">The Gippsland Lakes (comprising </w:t>
      </w:r>
      <w:r w:rsidR="00B265F9" w:rsidRPr="00FF13D4">
        <w:rPr>
          <w:rFonts w:ascii="Arial" w:hAnsi="Arial"/>
          <w:sz w:val="22"/>
          <w:szCs w:val="22"/>
        </w:rPr>
        <w:t>Lake Victoria, Lake King, and Lake Wellington</w:t>
      </w:r>
      <w:r w:rsidRPr="00FF13D4">
        <w:rPr>
          <w:rFonts w:ascii="Arial" w:hAnsi="Arial"/>
          <w:sz w:val="22"/>
          <w:szCs w:val="22"/>
        </w:rPr>
        <w:t>,</w:t>
      </w:r>
      <w:r w:rsidR="00B265F9" w:rsidRPr="00FF13D4">
        <w:rPr>
          <w:rFonts w:ascii="Arial" w:hAnsi="Arial"/>
          <w:sz w:val="22"/>
          <w:szCs w:val="22"/>
        </w:rPr>
        <w:t xml:space="preserve"> together </w:t>
      </w:r>
      <w:r w:rsidRPr="00FF13D4">
        <w:rPr>
          <w:rFonts w:ascii="Arial" w:hAnsi="Arial"/>
          <w:sz w:val="22"/>
          <w:szCs w:val="22"/>
        </w:rPr>
        <w:t>with other smaller lakes, marshes and lagoons) are the primary tourist attraction in the region</w:t>
      </w:r>
      <w:r w:rsidR="00B265F9" w:rsidRPr="00FF13D4">
        <w:rPr>
          <w:rFonts w:ascii="Arial" w:hAnsi="Arial"/>
          <w:sz w:val="22"/>
          <w:szCs w:val="22"/>
        </w:rPr>
        <w:t xml:space="preserve">. The communities adjacent to </w:t>
      </w:r>
      <w:r w:rsidR="00DC546A" w:rsidRPr="00FF13D4">
        <w:rPr>
          <w:rFonts w:ascii="Arial" w:hAnsi="Arial"/>
          <w:sz w:val="22"/>
          <w:szCs w:val="22"/>
        </w:rPr>
        <w:t xml:space="preserve">this network of </w:t>
      </w:r>
      <w:r w:rsidR="00B265F9" w:rsidRPr="00FF13D4">
        <w:rPr>
          <w:rFonts w:ascii="Arial" w:hAnsi="Arial"/>
          <w:sz w:val="22"/>
          <w:szCs w:val="22"/>
        </w:rPr>
        <w:t xml:space="preserve">lakes </w:t>
      </w:r>
      <w:r w:rsidR="00494A1A" w:rsidRPr="00FF13D4">
        <w:rPr>
          <w:rFonts w:ascii="Arial" w:hAnsi="Arial"/>
          <w:sz w:val="22"/>
          <w:szCs w:val="22"/>
        </w:rPr>
        <w:t xml:space="preserve">are popular tourist towns for their </w:t>
      </w:r>
      <w:r w:rsidR="00B265F9" w:rsidRPr="00FF13D4">
        <w:rPr>
          <w:rFonts w:ascii="Arial" w:hAnsi="Arial"/>
          <w:sz w:val="22"/>
          <w:szCs w:val="22"/>
        </w:rPr>
        <w:t>boating and fishing activities</w:t>
      </w:r>
      <w:r w:rsidR="008224F9" w:rsidRPr="00FF13D4">
        <w:rPr>
          <w:rFonts w:ascii="Arial" w:hAnsi="Arial"/>
          <w:sz w:val="22"/>
          <w:szCs w:val="22"/>
        </w:rPr>
        <w:t>, along with bushwalking, bird watching and other nature-focused activities</w:t>
      </w:r>
      <w:r w:rsidR="00B265F9" w:rsidRPr="00FF13D4">
        <w:rPr>
          <w:rFonts w:ascii="Arial" w:hAnsi="Arial"/>
          <w:sz w:val="22"/>
          <w:szCs w:val="22"/>
        </w:rPr>
        <w:t>.</w:t>
      </w:r>
      <w:r w:rsidR="00494A1A" w:rsidRPr="00FF13D4">
        <w:rPr>
          <w:rFonts w:ascii="Arial" w:hAnsi="Arial"/>
          <w:sz w:val="22"/>
          <w:szCs w:val="22"/>
        </w:rPr>
        <w:t xml:space="preserve"> </w:t>
      </w:r>
      <w:r w:rsidR="00DC546A" w:rsidRPr="00FF13D4">
        <w:rPr>
          <w:rFonts w:ascii="Arial" w:hAnsi="Arial"/>
          <w:sz w:val="22"/>
          <w:szCs w:val="22"/>
        </w:rPr>
        <w:t xml:space="preserve">Towns including Lakes Entrance, </w:t>
      </w:r>
      <w:r w:rsidR="00494A1A" w:rsidRPr="00FF13D4">
        <w:rPr>
          <w:rFonts w:ascii="Arial" w:hAnsi="Arial"/>
          <w:sz w:val="22"/>
          <w:szCs w:val="22"/>
        </w:rPr>
        <w:t xml:space="preserve">Metung, </w:t>
      </w:r>
      <w:r w:rsidR="00DC546A" w:rsidRPr="00FF13D4">
        <w:rPr>
          <w:rFonts w:ascii="Arial" w:hAnsi="Arial"/>
          <w:sz w:val="22"/>
          <w:szCs w:val="22"/>
        </w:rPr>
        <w:t xml:space="preserve">Loch Sport, Golden Beach and Lake Tyers are especially popular in summer. </w:t>
      </w:r>
    </w:p>
    <w:p w14:paraId="11CB9469" w14:textId="2C863D28" w:rsidR="002775E6" w:rsidRPr="00B7258A" w:rsidRDefault="002775E6" w:rsidP="00FF13D4">
      <w:pPr>
        <w:pStyle w:val="bodycopy"/>
        <w:rPr>
          <w:rFonts w:ascii="Arial" w:hAnsi="Arial"/>
          <w:sz w:val="22"/>
          <w:szCs w:val="22"/>
        </w:rPr>
      </w:pPr>
      <w:r w:rsidRPr="00FF13D4">
        <w:rPr>
          <w:rFonts w:ascii="Arial" w:hAnsi="Arial"/>
          <w:sz w:val="22"/>
          <w:szCs w:val="22"/>
        </w:rPr>
        <w:t>In 2013-14, the tourism industry contributed an estimated $1.2 billion to the Gippsland economy and employed about 12,400 people</w:t>
      </w:r>
      <w:r w:rsidR="006D03D5" w:rsidRPr="00FF13D4">
        <w:rPr>
          <w:rFonts w:ascii="Arial" w:hAnsi="Arial"/>
          <w:sz w:val="22"/>
          <w:szCs w:val="22"/>
        </w:rPr>
        <w:t>, representing 3.7% of the total Gippsland economy</w:t>
      </w:r>
      <w:r w:rsidRPr="00FF13D4">
        <w:rPr>
          <w:rFonts w:ascii="Arial" w:hAnsi="Arial"/>
          <w:sz w:val="22"/>
          <w:szCs w:val="22"/>
        </w:rPr>
        <w:t xml:space="preserve"> (DEDJTR, 201</w:t>
      </w:r>
      <w:r w:rsidR="003B7BC3">
        <w:rPr>
          <w:rFonts w:ascii="Arial" w:hAnsi="Arial"/>
          <w:sz w:val="22"/>
          <w:szCs w:val="22"/>
        </w:rPr>
        <w:t>6</w:t>
      </w:r>
      <w:r w:rsidRPr="00FF13D4">
        <w:rPr>
          <w:rFonts w:ascii="Arial" w:hAnsi="Arial"/>
          <w:sz w:val="22"/>
          <w:szCs w:val="22"/>
        </w:rPr>
        <w:t xml:space="preserve">). </w:t>
      </w:r>
      <w:r w:rsidR="006D03D5" w:rsidRPr="00FF13D4">
        <w:rPr>
          <w:rFonts w:ascii="Arial" w:hAnsi="Arial"/>
          <w:sz w:val="22"/>
          <w:szCs w:val="22"/>
        </w:rPr>
        <w:t xml:space="preserve">Intrastate visitors (i.e., visitors from within Victoria) were the most economically-important </w:t>
      </w:r>
      <w:r w:rsidR="00E95C2D" w:rsidRPr="00FF13D4">
        <w:rPr>
          <w:rFonts w:ascii="Arial" w:hAnsi="Arial"/>
          <w:sz w:val="22"/>
          <w:szCs w:val="22"/>
        </w:rPr>
        <w:t xml:space="preserve">sector. Cafes, restaurants and </w:t>
      </w:r>
      <w:r w:rsidR="00E95C2D" w:rsidRPr="00B7258A">
        <w:rPr>
          <w:rFonts w:ascii="Arial" w:hAnsi="Arial"/>
          <w:sz w:val="22"/>
          <w:szCs w:val="22"/>
        </w:rPr>
        <w:t>takeaway food services contributed the most to direct regional tourism employment in Gippsland (DEDJTR, 2016).</w:t>
      </w:r>
    </w:p>
    <w:p w14:paraId="62F38C4D" w14:textId="6821D646" w:rsidR="00962E7E" w:rsidRPr="00B7258A" w:rsidRDefault="00962E7E" w:rsidP="009B4E45">
      <w:pPr>
        <w:pStyle w:val="bodycopy"/>
        <w:rPr>
          <w:sz w:val="22"/>
          <w:szCs w:val="22"/>
        </w:rPr>
      </w:pPr>
      <w:r w:rsidRPr="009B4E45">
        <w:rPr>
          <w:rFonts w:ascii="Arial" w:hAnsi="Arial"/>
          <w:sz w:val="22"/>
          <w:szCs w:val="22"/>
        </w:rPr>
        <w:t>Consultation with the managers of the Ninety Mile Beach Marine National Park (Parks Victoria and GLaWAC), and the Golden Paradise Beach Rates Payers Association has been undertaken to understand the type and frequency of beach use. This consultation revealed the following:</w:t>
      </w:r>
    </w:p>
    <w:p w14:paraId="345A5D09" w14:textId="74087592" w:rsidR="00962E7E" w:rsidRPr="009B4E45" w:rsidRDefault="00962E7E" w:rsidP="009B4E45">
      <w:pPr>
        <w:pStyle w:val="bodycopy"/>
        <w:numPr>
          <w:ilvl w:val="0"/>
          <w:numId w:val="406"/>
        </w:numPr>
        <w:rPr>
          <w:rFonts w:ascii="Arial" w:hAnsi="Arial"/>
          <w:sz w:val="22"/>
          <w:szCs w:val="22"/>
        </w:rPr>
      </w:pPr>
      <w:r w:rsidRPr="009B4E45">
        <w:rPr>
          <w:rFonts w:ascii="Arial" w:hAnsi="Arial"/>
          <w:sz w:val="22"/>
          <w:szCs w:val="22"/>
        </w:rPr>
        <w:t xml:space="preserve">The beaches adjacent to the proposed acquisition area are not patrolled </w:t>
      </w:r>
      <w:r w:rsidR="004638D9" w:rsidRPr="009B4E45">
        <w:rPr>
          <w:rFonts w:ascii="Arial" w:hAnsi="Arial"/>
          <w:sz w:val="22"/>
          <w:szCs w:val="22"/>
        </w:rPr>
        <w:t>(</w:t>
      </w:r>
      <w:r w:rsidR="004638D9" w:rsidRPr="00FA3DCF">
        <w:rPr>
          <w:rFonts w:ascii="Arial" w:hAnsi="Arial"/>
          <w:sz w:val="22"/>
          <w:szCs w:val="22"/>
        </w:rPr>
        <w:t>Photo 5.1</w:t>
      </w:r>
      <w:r w:rsidR="0087379F" w:rsidRPr="00FA3DCF">
        <w:rPr>
          <w:rFonts w:ascii="Arial" w:hAnsi="Arial"/>
          <w:sz w:val="22"/>
          <w:szCs w:val="22"/>
        </w:rPr>
        <w:t>1</w:t>
      </w:r>
      <w:r w:rsidR="004638D9" w:rsidRPr="00FA3DCF">
        <w:rPr>
          <w:rFonts w:ascii="Arial" w:hAnsi="Arial"/>
          <w:sz w:val="22"/>
          <w:szCs w:val="22"/>
        </w:rPr>
        <w:t>)</w:t>
      </w:r>
      <w:r w:rsidR="004638D9" w:rsidRPr="009B4E45">
        <w:rPr>
          <w:rFonts w:ascii="Arial" w:hAnsi="Arial"/>
          <w:sz w:val="22"/>
          <w:szCs w:val="22"/>
        </w:rPr>
        <w:t xml:space="preserve"> </w:t>
      </w:r>
      <w:r w:rsidRPr="009B4E45">
        <w:rPr>
          <w:rFonts w:ascii="Arial" w:hAnsi="Arial"/>
          <w:sz w:val="22"/>
          <w:szCs w:val="22"/>
        </w:rPr>
        <w:t>and the Golden Beach Surf Life Saving Club is not active;</w:t>
      </w:r>
    </w:p>
    <w:p w14:paraId="09AFEDCD" w14:textId="77777777" w:rsidR="00962E7E" w:rsidRPr="009B4E45" w:rsidRDefault="00962E7E" w:rsidP="009B4E45">
      <w:pPr>
        <w:pStyle w:val="bodycopy"/>
        <w:numPr>
          <w:ilvl w:val="0"/>
          <w:numId w:val="406"/>
        </w:numPr>
        <w:rPr>
          <w:rFonts w:ascii="Arial" w:hAnsi="Arial"/>
          <w:sz w:val="22"/>
          <w:szCs w:val="22"/>
        </w:rPr>
      </w:pPr>
      <w:r w:rsidRPr="009B4E45">
        <w:rPr>
          <w:rFonts w:ascii="Arial" w:hAnsi="Arial"/>
          <w:sz w:val="22"/>
          <w:szCs w:val="22"/>
        </w:rPr>
        <w:lastRenderedPageBreak/>
        <w:t xml:space="preserve">Swimmers are encouraged to go to the Seaspray where there is a patrol;  </w:t>
      </w:r>
    </w:p>
    <w:p w14:paraId="3D42888C" w14:textId="77777777" w:rsidR="00962E7E" w:rsidRPr="009B4E45" w:rsidRDefault="00962E7E" w:rsidP="009B4E45">
      <w:pPr>
        <w:pStyle w:val="bodycopy"/>
        <w:numPr>
          <w:ilvl w:val="0"/>
          <w:numId w:val="406"/>
        </w:numPr>
        <w:rPr>
          <w:rFonts w:ascii="Arial" w:hAnsi="Arial"/>
          <w:sz w:val="22"/>
          <w:szCs w:val="22"/>
        </w:rPr>
      </w:pPr>
      <w:r w:rsidRPr="009B4E45">
        <w:rPr>
          <w:rFonts w:ascii="Arial" w:hAnsi="Arial"/>
          <w:sz w:val="22"/>
          <w:szCs w:val="22"/>
        </w:rPr>
        <w:t>There is no surf break, although some surfing is observed from time to time; and</w:t>
      </w:r>
    </w:p>
    <w:p w14:paraId="3C7D29BE" w14:textId="77777777" w:rsidR="00962E7E" w:rsidRPr="009B4E45" w:rsidRDefault="00962E7E" w:rsidP="009B4E45">
      <w:pPr>
        <w:pStyle w:val="bodycopy"/>
        <w:numPr>
          <w:ilvl w:val="0"/>
          <w:numId w:val="406"/>
        </w:numPr>
        <w:rPr>
          <w:rFonts w:ascii="Arial" w:hAnsi="Arial"/>
          <w:sz w:val="22"/>
          <w:szCs w:val="22"/>
        </w:rPr>
      </w:pPr>
      <w:r w:rsidRPr="009B4E45">
        <w:rPr>
          <w:rFonts w:ascii="Arial" w:hAnsi="Arial"/>
          <w:sz w:val="22"/>
          <w:szCs w:val="22"/>
        </w:rPr>
        <w:t>Recreational fishing is undertaken from the beach, particularly during the summer holiday periods and fishing competitions.</w:t>
      </w:r>
    </w:p>
    <w:p w14:paraId="1DDD0C54" w14:textId="6FE64120" w:rsidR="004638D9" w:rsidRDefault="004638D9" w:rsidP="00891DE1">
      <w:pPr>
        <w:rPr>
          <w:rFonts w:cs="Arial"/>
          <w:sz w:val="22"/>
          <w:szCs w:val="22"/>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6"/>
        <w:gridCol w:w="4338"/>
      </w:tblGrid>
      <w:tr w:rsidR="003F725C" w14:paraId="33D4456C" w14:textId="77777777" w:rsidTr="00891DE1">
        <w:tc>
          <w:tcPr>
            <w:tcW w:w="4207" w:type="dxa"/>
          </w:tcPr>
          <w:p w14:paraId="35F6F490" w14:textId="6F5D4C6D" w:rsidR="003F725C" w:rsidRDefault="00B24008">
            <w:pPr>
              <w:ind w:left="0"/>
              <w:rPr>
                <w:rFonts w:cs="Arial"/>
                <w:sz w:val="22"/>
                <w:szCs w:val="22"/>
              </w:rPr>
            </w:pPr>
            <w:r>
              <w:rPr>
                <w:noProof/>
              </w:rPr>
              <w:drawing>
                <wp:inline distT="0" distB="0" distL="0" distR="0" wp14:anchorId="6949EFB3" wp14:editId="52C96CBB">
                  <wp:extent cx="2498698" cy="2488019"/>
                  <wp:effectExtent l="0" t="0" r="0" b="762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4" cstate="screen">
                            <a:extLst>
                              <a:ext uri="{28A0092B-C50C-407E-A947-70E740481C1C}">
                                <a14:useLocalDpi xmlns:a14="http://schemas.microsoft.com/office/drawing/2010/main"/>
                              </a:ext>
                            </a:extLst>
                          </a:blip>
                          <a:srcRect/>
                          <a:stretch/>
                        </pic:blipFill>
                        <pic:spPr bwMode="auto">
                          <a:xfrm>
                            <a:off x="0" y="0"/>
                            <a:ext cx="2498965" cy="2488285"/>
                          </a:xfrm>
                          <a:prstGeom prst="rect">
                            <a:avLst/>
                          </a:prstGeom>
                          <a:ln>
                            <a:noFill/>
                          </a:ln>
                          <a:extLst>
                            <a:ext uri="{53640926-AAD7-44D8-BBD7-CCE9431645EC}">
                              <a14:shadowObscured xmlns:a14="http://schemas.microsoft.com/office/drawing/2010/main"/>
                            </a:ext>
                          </a:extLst>
                        </pic:spPr>
                      </pic:pic>
                    </a:graphicData>
                  </a:graphic>
                </wp:inline>
              </w:drawing>
            </w:r>
          </w:p>
        </w:tc>
        <w:tc>
          <w:tcPr>
            <w:tcW w:w="4207" w:type="dxa"/>
          </w:tcPr>
          <w:p w14:paraId="304A776C" w14:textId="2D732B1E" w:rsidR="003F725C" w:rsidRDefault="003F725C" w:rsidP="004638D9">
            <w:pPr>
              <w:ind w:left="0"/>
              <w:rPr>
                <w:rFonts w:cs="Arial"/>
                <w:sz w:val="22"/>
                <w:szCs w:val="22"/>
              </w:rPr>
            </w:pPr>
            <w:r>
              <w:rPr>
                <w:noProof/>
              </w:rPr>
              <w:drawing>
                <wp:inline distT="0" distB="0" distL="0" distR="0" wp14:anchorId="3649DFB0" wp14:editId="77D0F401">
                  <wp:extent cx="2658139" cy="2486355"/>
                  <wp:effectExtent l="0" t="0" r="8890" b="952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5" cstate="screen">
                            <a:extLst>
                              <a:ext uri="{28A0092B-C50C-407E-A947-70E740481C1C}">
                                <a14:useLocalDpi xmlns:a14="http://schemas.microsoft.com/office/drawing/2010/main"/>
                              </a:ext>
                            </a:extLst>
                          </a:blip>
                          <a:srcRect/>
                          <a:stretch/>
                        </pic:blipFill>
                        <pic:spPr bwMode="auto">
                          <a:xfrm>
                            <a:off x="0" y="0"/>
                            <a:ext cx="2668984" cy="24964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442EA997" w14:textId="49D61B9A" w:rsidR="004638D9" w:rsidRPr="00891DE1" w:rsidRDefault="003F725C" w:rsidP="00891DE1">
      <w:pPr>
        <w:spacing w:after="120"/>
        <w:ind w:hanging="720"/>
        <w:rPr>
          <w:rFonts w:cs="Arial"/>
          <w:i/>
          <w:sz w:val="16"/>
          <w:szCs w:val="16"/>
        </w:rPr>
      </w:pPr>
      <w:r>
        <w:rPr>
          <w:rFonts w:cs="Arial"/>
          <w:i/>
          <w:sz w:val="16"/>
          <w:szCs w:val="16"/>
        </w:rPr>
        <w:t xml:space="preserve"> </w:t>
      </w:r>
      <w:r w:rsidR="004638D9" w:rsidRPr="00891DE1">
        <w:rPr>
          <w:rFonts w:cs="Arial"/>
          <w:i/>
          <w:sz w:val="16"/>
          <w:szCs w:val="16"/>
        </w:rPr>
        <w:t>Source: CarbonNet (2017).</w:t>
      </w:r>
    </w:p>
    <w:p w14:paraId="27E078D3" w14:textId="60F1144B" w:rsidR="004638D9" w:rsidRDefault="004638D9" w:rsidP="00891DE1">
      <w:pPr>
        <w:jc w:val="center"/>
        <w:rPr>
          <w:rFonts w:cs="Arial"/>
          <w:sz w:val="22"/>
          <w:szCs w:val="22"/>
        </w:rPr>
      </w:pPr>
      <w:r>
        <w:rPr>
          <w:b/>
          <w:sz w:val="20"/>
          <w:szCs w:val="20"/>
        </w:rPr>
        <w:t>Photo</w:t>
      </w:r>
      <w:r w:rsidRPr="00474E28">
        <w:rPr>
          <w:b/>
          <w:sz w:val="20"/>
          <w:szCs w:val="20"/>
        </w:rPr>
        <w:t xml:space="preserve"> 5.</w:t>
      </w:r>
      <w:r>
        <w:rPr>
          <w:b/>
          <w:sz w:val="20"/>
          <w:szCs w:val="20"/>
        </w:rPr>
        <w:t>1</w:t>
      </w:r>
      <w:r w:rsidR="0087379F">
        <w:rPr>
          <w:b/>
          <w:sz w:val="20"/>
          <w:szCs w:val="20"/>
        </w:rPr>
        <w:t>1</w:t>
      </w:r>
      <w:r>
        <w:rPr>
          <w:b/>
          <w:sz w:val="20"/>
        </w:rPr>
        <w:t>.</w:t>
      </w:r>
      <w:r>
        <w:rPr>
          <w:b/>
          <w:sz w:val="20"/>
        </w:rPr>
        <w:tab/>
        <w:t xml:space="preserve">Signage at </w:t>
      </w:r>
      <w:r w:rsidR="0087379F">
        <w:rPr>
          <w:b/>
          <w:sz w:val="20"/>
        </w:rPr>
        <w:t xml:space="preserve">the Ninety Mile Beach and </w:t>
      </w:r>
      <w:r>
        <w:rPr>
          <w:b/>
          <w:sz w:val="20"/>
        </w:rPr>
        <w:t>Golden Beach indicates the beach is not suitable for swimming</w:t>
      </w:r>
    </w:p>
    <w:p w14:paraId="3774DFBE" w14:textId="77777777" w:rsidR="004638D9" w:rsidRPr="00891DE1" w:rsidRDefault="004638D9" w:rsidP="00891DE1">
      <w:pPr>
        <w:rPr>
          <w:rFonts w:cs="Arial"/>
          <w:sz w:val="22"/>
          <w:szCs w:val="22"/>
        </w:rPr>
      </w:pPr>
    </w:p>
    <w:p w14:paraId="4A094321" w14:textId="72535CF4" w:rsidR="00D54428" w:rsidRDefault="00885EE5" w:rsidP="00D54428">
      <w:pPr>
        <w:pStyle w:val="Heading3"/>
        <w:jc w:val="both"/>
      </w:pPr>
      <w:bookmarkStart w:id="379" w:name="_Toc474222027"/>
      <w:bookmarkStart w:id="380" w:name="_Ref349223987"/>
      <w:bookmarkStart w:id="381" w:name="_Ref476131290"/>
      <w:bookmarkStart w:id="382" w:name="_Ref479261762"/>
      <w:bookmarkStart w:id="383" w:name="_Ref479691985"/>
      <w:bookmarkStart w:id="384" w:name="_Ref479771412"/>
      <w:bookmarkStart w:id="385" w:name="_Toc375214580"/>
      <w:r>
        <w:t xml:space="preserve">Petroleum </w:t>
      </w:r>
      <w:r w:rsidR="00C7392D">
        <w:t xml:space="preserve">and GHG </w:t>
      </w:r>
      <w:r w:rsidR="0011547D">
        <w:t xml:space="preserve">Infrastructure, </w:t>
      </w:r>
      <w:r>
        <w:t xml:space="preserve">Exploration and </w:t>
      </w:r>
      <w:r w:rsidR="0011547D">
        <w:tab/>
      </w:r>
      <w:r w:rsidRPr="009678C7">
        <w:t>Production</w:t>
      </w:r>
      <w:bookmarkEnd w:id="379"/>
      <w:bookmarkEnd w:id="380"/>
      <w:bookmarkEnd w:id="381"/>
      <w:bookmarkEnd w:id="382"/>
      <w:bookmarkEnd w:id="383"/>
      <w:bookmarkEnd w:id="384"/>
      <w:bookmarkEnd w:id="385"/>
      <w:r w:rsidR="00D54428">
        <w:t xml:space="preserve"> </w:t>
      </w:r>
    </w:p>
    <w:p w14:paraId="72A57FFF" w14:textId="51D0B208" w:rsidR="00FB4EB0" w:rsidRDefault="001212F8" w:rsidP="00FF13D4">
      <w:pPr>
        <w:pStyle w:val="bodycopy"/>
        <w:rPr>
          <w:rFonts w:ascii="Arial" w:hAnsi="Arial"/>
          <w:sz w:val="22"/>
          <w:szCs w:val="22"/>
        </w:rPr>
      </w:pPr>
      <w:r w:rsidRPr="00FF13D4">
        <w:rPr>
          <w:rFonts w:ascii="Arial" w:hAnsi="Arial"/>
          <w:sz w:val="22"/>
          <w:szCs w:val="22"/>
        </w:rPr>
        <w:t xml:space="preserve">Australia’s oil and gas industry has grown significantly since the first discoveries of gas in Bass Strait in the mid-1960s. </w:t>
      </w:r>
      <w:r w:rsidR="00835B20" w:rsidRPr="00FF13D4">
        <w:rPr>
          <w:rFonts w:ascii="Arial" w:hAnsi="Arial"/>
          <w:sz w:val="22"/>
          <w:szCs w:val="22"/>
        </w:rPr>
        <w:t>In 201</w:t>
      </w:r>
      <w:r w:rsidR="00FB4EB0">
        <w:rPr>
          <w:rFonts w:ascii="Arial" w:hAnsi="Arial"/>
          <w:sz w:val="22"/>
          <w:szCs w:val="22"/>
        </w:rPr>
        <w:t>5</w:t>
      </w:r>
      <w:r w:rsidR="00835B20" w:rsidRPr="00FF13D4">
        <w:rPr>
          <w:rFonts w:ascii="Arial" w:hAnsi="Arial"/>
          <w:sz w:val="22"/>
          <w:szCs w:val="22"/>
        </w:rPr>
        <w:t>, t</w:t>
      </w:r>
      <w:r w:rsidRPr="00FF13D4">
        <w:rPr>
          <w:rFonts w:ascii="Arial" w:hAnsi="Arial"/>
          <w:sz w:val="22"/>
          <w:szCs w:val="22"/>
        </w:rPr>
        <w:t xml:space="preserve">he oil and gas industry </w:t>
      </w:r>
      <w:r w:rsidR="00FB4EB0">
        <w:rPr>
          <w:rFonts w:ascii="Arial" w:hAnsi="Arial"/>
          <w:sz w:val="22"/>
          <w:szCs w:val="22"/>
        </w:rPr>
        <w:t xml:space="preserve">produced 76 million barrels (MMbbl) of crude oil, 40.8 MMbbl of condensate, 18 MMbbl of liquefied petroleum gas (LPG) and </w:t>
      </w:r>
      <w:r w:rsidR="00A209A7">
        <w:rPr>
          <w:rFonts w:ascii="Arial" w:hAnsi="Arial"/>
          <w:sz w:val="22"/>
          <w:szCs w:val="22"/>
        </w:rPr>
        <w:t>3,850.4 million cubic feet (MMcf) of gas</w:t>
      </w:r>
      <w:r w:rsidR="00FD1AB5">
        <w:rPr>
          <w:rFonts w:ascii="Arial" w:hAnsi="Arial"/>
          <w:sz w:val="22"/>
          <w:szCs w:val="22"/>
        </w:rPr>
        <w:t xml:space="preserve"> (APPEA, 2017)</w:t>
      </w:r>
      <w:r w:rsidR="00A209A7">
        <w:rPr>
          <w:rFonts w:ascii="Arial" w:hAnsi="Arial"/>
          <w:sz w:val="22"/>
          <w:szCs w:val="22"/>
        </w:rPr>
        <w:t xml:space="preserve">. </w:t>
      </w:r>
    </w:p>
    <w:p w14:paraId="0BBB1716" w14:textId="77777777" w:rsidR="00880E08" w:rsidRPr="00FF13D4" w:rsidRDefault="00880E08" w:rsidP="00FF13D4">
      <w:pPr>
        <w:pStyle w:val="bodycopy"/>
        <w:rPr>
          <w:rFonts w:ascii="Arial" w:hAnsi="Arial"/>
          <w:b/>
          <w:sz w:val="22"/>
          <w:szCs w:val="22"/>
        </w:rPr>
      </w:pPr>
      <w:r w:rsidRPr="00FF13D4">
        <w:rPr>
          <w:rFonts w:ascii="Arial" w:hAnsi="Arial"/>
          <w:b/>
          <w:sz w:val="22"/>
          <w:szCs w:val="22"/>
        </w:rPr>
        <w:t>Victorian Petroleum Production</w:t>
      </w:r>
    </w:p>
    <w:p w14:paraId="4D0A91E3" w14:textId="3B353CF3" w:rsidR="00E94335" w:rsidRPr="00FF13D4" w:rsidRDefault="00E94335" w:rsidP="00FF13D4">
      <w:pPr>
        <w:pStyle w:val="bodycopy"/>
        <w:rPr>
          <w:rFonts w:ascii="Arial" w:hAnsi="Arial"/>
          <w:sz w:val="22"/>
          <w:szCs w:val="22"/>
        </w:rPr>
      </w:pPr>
      <w:r w:rsidRPr="00FF13D4">
        <w:rPr>
          <w:rFonts w:ascii="Arial" w:hAnsi="Arial"/>
          <w:sz w:val="22"/>
          <w:szCs w:val="22"/>
        </w:rPr>
        <w:t>In 2015, Victoria account</w:t>
      </w:r>
      <w:r w:rsidR="00FD1AB5">
        <w:rPr>
          <w:rFonts w:ascii="Arial" w:hAnsi="Arial"/>
          <w:sz w:val="22"/>
          <w:szCs w:val="22"/>
        </w:rPr>
        <w:t>ed</w:t>
      </w:r>
      <w:r w:rsidRPr="00FF13D4">
        <w:rPr>
          <w:rFonts w:ascii="Arial" w:hAnsi="Arial"/>
          <w:sz w:val="22"/>
          <w:szCs w:val="22"/>
        </w:rPr>
        <w:t xml:space="preserve"> for </w:t>
      </w:r>
      <w:r w:rsidR="00A14A05">
        <w:rPr>
          <w:rFonts w:ascii="Arial" w:hAnsi="Arial"/>
          <w:sz w:val="22"/>
          <w:szCs w:val="22"/>
        </w:rPr>
        <w:t>16.5</w:t>
      </w:r>
      <w:r w:rsidRPr="00FF13D4">
        <w:rPr>
          <w:rFonts w:ascii="Arial" w:hAnsi="Arial"/>
          <w:sz w:val="22"/>
          <w:szCs w:val="22"/>
        </w:rPr>
        <w:t xml:space="preserve">% of </w:t>
      </w:r>
      <w:r w:rsidR="00FD1AB5">
        <w:rPr>
          <w:rFonts w:ascii="Arial" w:hAnsi="Arial"/>
          <w:sz w:val="22"/>
          <w:szCs w:val="22"/>
        </w:rPr>
        <w:t xml:space="preserve">Australia’s </w:t>
      </w:r>
      <w:r w:rsidR="00FD1AB5" w:rsidRPr="00FF13D4">
        <w:rPr>
          <w:rFonts w:ascii="Arial" w:hAnsi="Arial"/>
          <w:sz w:val="22"/>
          <w:szCs w:val="22"/>
        </w:rPr>
        <w:t>petroleum liquids production</w:t>
      </w:r>
      <w:r w:rsidRPr="00FF13D4">
        <w:rPr>
          <w:rFonts w:ascii="Arial" w:hAnsi="Arial"/>
          <w:sz w:val="22"/>
          <w:szCs w:val="22"/>
        </w:rPr>
        <w:t xml:space="preserve"> production (APPEA, 2017).</w:t>
      </w:r>
      <w:r w:rsidR="00647AF2" w:rsidRPr="00FF13D4">
        <w:rPr>
          <w:rFonts w:ascii="Arial" w:hAnsi="Arial"/>
          <w:sz w:val="22"/>
          <w:szCs w:val="22"/>
        </w:rPr>
        <w:t xml:space="preserve"> </w:t>
      </w:r>
      <w:r w:rsidRPr="00FF13D4">
        <w:rPr>
          <w:rFonts w:ascii="Arial" w:hAnsi="Arial"/>
          <w:sz w:val="22"/>
          <w:szCs w:val="22"/>
        </w:rPr>
        <w:t xml:space="preserve">However, production has been trending down since it peaked in 2000. </w:t>
      </w:r>
      <w:r w:rsidR="00FD1AB5">
        <w:rPr>
          <w:rFonts w:ascii="Arial" w:hAnsi="Arial"/>
          <w:sz w:val="22"/>
          <w:szCs w:val="22"/>
        </w:rPr>
        <w:t>Also i</w:t>
      </w:r>
      <w:r w:rsidRPr="00FF13D4">
        <w:rPr>
          <w:rFonts w:ascii="Arial" w:hAnsi="Arial"/>
          <w:sz w:val="22"/>
          <w:szCs w:val="22"/>
        </w:rPr>
        <w:t xml:space="preserve">n 2015, </w:t>
      </w:r>
      <w:r w:rsidR="00FD1AB5" w:rsidRPr="00FF13D4">
        <w:rPr>
          <w:rFonts w:ascii="Arial" w:hAnsi="Arial"/>
          <w:sz w:val="22"/>
          <w:szCs w:val="22"/>
        </w:rPr>
        <w:t>Victoria accounted for 17%</w:t>
      </w:r>
      <w:r w:rsidR="00FD1AB5">
        <w:rPr>
          <w:rFonts w:ascii="Arial" w:hAnsi="Arial"/>
          <w:sz w:val="22"/>
          <w:szCs w:val="22"/>
        </w:rPr>
        <w:t xml:space="preserve"> of </w:t>
      </w:r>
      <w:r w:rsidRPr="00FF13D4">
        <w:rPr>
          <w:rFonts w:ascii="Arial" w:hAnsi="Arial"/>
          <w:sz w:val="22"/>
          <w:szCs w:val="22"/>
        </w:rPr>
        <w:t>Australia</w:t>
      </w:r>
      <w:r w:rsidR="00FD1AB5">
        <w:rPr>
          <w:rFonts w:ascii="Arial" w:hAnsi="Arial"/>
          <w:sz w:val="22"/>
          <w:szCs w:val="22"/>
        </w:rPr>
        <w:t>’s</w:t>
      </w:r>
      <w:r w:rsidRPr="00FF13D4">
        <w:rPr>
          <w:rFonts w:ascii="Arial" w:hAnsi="Arial"/>
          <w:sz w:val="22"/>
          <w:szCs w:val="22"/>
        </w:rPr>
        <w:t xml:space="preserve"> </w:t>
      </w:r>
      <w:r w:rsidR="00A14A05">
        <w:rPr>
          <w:rFonts w:ascii="Arial" w:hAnsi="Arial"/>
          <w:sz w:val="22"/>
          <w:szCs w:val="22"/>
        </w:rPr>
        <w:t xml:space="preserve">conventional </w:t>
      </w:r>
      <w:r w:rsidRPr="00FF13D4">
        <w:rPr>
          <w:rFonts w:ascii="Arial" w:hAnsi="Arial"/>
          <w:sz w:val="22"/>
          <w:szCs w:val="22"/>
        </w:rPr>
        <w:t xml:space="preserve">gas production (APPEA, 2017), much of which is from the Gippsland Basin. </w:t>
      </w:r>
    </w:p>
    <w:p w14:paraId="298B9CD7" w14:textId="77777777" w:rsidR="00880E08" w:rsidRPr="00FF13D4" w:rsidRDefault="00880E08" w:rsidP="00FF13D4">
      <w:pPr>
        <w:pStyle w:val="bodycopy"/>
        <w:rPr>
          <w:rFonts w:ascii="Arial" w:hAnsi="Arial"/>
          <w:b/>
          <w:sz w:val="22"/>
          <w:szCs w:val="22"/>
        </w:rPr>
      </w:pPr>
      <w:r w:rsidRPr="00FF13D4">
        <w:rPr>
          <w:rFonts w:ascii="Arial" w:hAnsi="Arial"/>
          <w:b/>
          <w:sz w:val="22"/>
          <w:szCs w:val="22"/>
        </w:rPr>
        <w:t>Petroleum Production in Gippsland</w:t>
      </w:r>
    </w:p>
    <w:p w14:paraId="6C0CA2BE" w14:textId="2416674D" w:rsidR="001212F8" w:rsidRPr="00FF13D4" w:rsidRDefault="001212F8" w:rsidP="00FF13D4">
      <w:pPr>
        <w:pStyle w:val="bodycopy"/>
        <w:rPr>
          <w:rFonts w:ascii="Arial" w:hAnsi="Arial"/>
          <w:sz w:val="22"/>
          <w:szCs w:val="22"/>
        </w:rPr>
      </w:pPr>
      <w:r w:rsidRPr="00FF13D4">
        <w:rPr>
          <w:rFonts w:ascii="Arial" w:hAnsi="Arial"/>
          <w:sz w:val="22"/>
          <w:szCs w:val="22"/>
        </w:rPr>
        <w:t xml:space="preserve">Oil and gas reserves from the Gippsland Basin are currently on the decline. </w:t>
      </w:r>
      <w:r w:rsidR="00880E08" w:rsidRPr="00FF13D4">
        <w:rPr>
          <w:rFonts w:ascii="Arial" w:hAnsi="Arial"/>
          <w:sz w:val="22"/>
          <w:szCs w:val="22"/>
        </w:rPr>
        <w:t>As of 2014, the offshore Gippsland basin has produced 26,089 PJ of liquids and 9,120 PJ of gas (DEDJTR, 2017</w:t>
      </w:r>
      <w:r w:rsidR="001E1718">
        <w:rPr>
          <w:rFonts w:ascii="Arial" w:hAnsi="Arial"/>
          <w:sz w:val="22"/>
          <w:szCs w:val="22"/>
        </w:rPr>
        <w:t>b</w:t>
      </w:r>
      <w:r w:rsidR="00880E08" w:rsidRPr="00FF13D4">
        <w:rPr>
          <w:rFonts w:ascii="Arial" w:hAnsi="Arial"/>
          <w:sz w:val="22"/>
          <w:szCs w:val="22"/>
        </w:rPr>
        <w:t>).</w:t>
      </w:r>
    </w:p>
    <w:p w14:paraId="3BCC4D88" w14:textId="2EB1A285" w:rsidR="00E32F68" w:rsidRPr="00FF13D4" w:rsidRDefault="001212F8" w:rsidP="00E32F68">
      <w:pPr>
        <w:pStyle w:val="bodycopy"/>
        <w:rPr>
          <w:rFonts w:ascii="Arial" w:hAnsi="Arial"/>
          <w:sz w:val="22"/>
          <w:szCs w:val="22"/>
        </w:rPr>
      </w:pPr>
      <w:r w:rsidRPr="00FF13D4">
        <w:rPr>
          <w:rFonts w:ascii="Arial" w:hAnsi="Arial"/>
          <w:sz w:val="22"/>
          <w:szCs w:val="22"/>
        </w:rPr>
        <w:t>The Gippsland Basin has 13 exploration permit areas and 25 current offshore production licenses (Victoria State Government, 2012a) and a total of 22 offshore platforms have been installed in Bass Strait since first production was established (excluding subsea production wells)</w:t>
      </w:r>
      <w:r w:rsidR="00156857" w:rsidRPr="00FF13D4">
        <w:rPr>
          <w:rFonts w:ascii="Arial" w:hAnsi="Arial"/>
          <w:sz w:val="22"/>
          <w:szCs w:val="22"/>
        </w:rPr>
        <w:t xml:space="preserve"> </w:t>
      </w:r>
      <w:r w:rsidR="00156857" w:rsidRPr="00CC2278">
        <w:rPr>
          <w:rFonts w:ascii="Arial" w:hAnsi="Arial"/>
          <w:sz w:val="22"/>
          <w:szCs w:val="22"/>
        </w:rPr>
        <w:t>(</w:t>
      </w:r>
      <w:r w:rsidR="00156857" w:rsidRPr="00FA3DCF">
        <w:rPr>
          <w:rFonts w:ascii="Arial" w:hAnsi="Arial"/>
          <w:sz w:val="22"/>
          <w:szCs w:val="22"/>
        </w:rPr>
        <w:t>Figure 5.</w:t>
      </w:r>
      <w:r w:rsidR="009B4E45" w:rsidRPr="00FA3DCF">
        <w:rPr>
          <w:rFonts w:ascii="Arial" w:hAnsi="Arial"/>
          <w:sz w:val="22"/>
          <w:szCs w:val="22"/>
        </w:rPr>
        <w:t>36</w:t>
      </w:r>
      <w:r w:rsidR="00156857" w:rsidRPr="00FA3DCF">
        <w:rPr>
          <w:rFonts w:ascii="Arial" w:hAnsi="Arial"/>
          <w:sz w:val="22"/>
          <w:szCs w:val="22"/>
        </w:rPr>
        <w:t>)</w:t>
      </w:r>
      <w:r w:rsidRPr="00FA3DCF">
        <w:rPr>
          <w:rFonts w:ascii="Arial" w:hAnsi="Arial"/>
          <w:sz w:val="22"/>
          <w:szCs w:val="22"/>
        </w:rPr>
        <w:t>.</w:t>
      </w:r>
      <w:r w:rsidR="00F625CA" w:rsidRPr="00FF13D4">
        <w:rPr>
          <w:rFonts w:ascii="Arial" w:hAnsi="Arial"/>
          <w:sz w:val="22"/>
          <w:szCs w:val="22"/>
        </w:rPr>
        <w:t xml:space="preserve"> </w:t>
      </w:r>
    </w:p>
    <w:p w14:paraId="25D1A73C" w14:textId="77777777" w:rsidR="00AF5DF4" w:rsidRDefault="00AF5DF4" w:rsidP="00EB6AEE">
      <w:pPr>
        <w:pStyle w:val="bodycopy"/>
        <w:ind w:left="720"/>
        <w:rPr>
          <w:rFonts w:ascii="Arial" w:hAnsi="Arial"/>
          <w:sz w:val="22"/>
          <w:szCs w:val="22"/>
        </w:rPr>
      </w:pPr>
    </w:p>
    <w:p w14:paraId="3F2B23D3" w14:textId="300F2017" w:rsidR="00AF5DF4" w:rsidRPr="00FF13D4" w:rsidRDefault="00AF5DF4" w:rsidP="00EB6AEE">
      <w:pPr>
        <w:pStyle w:val="bodycopy"/>
        <w:ind w:left="720"/>
        <w:rPr>
          <w:rFonts w:ascii="Arial" w:hAnsi="Arial"/>
          <w:sz w:val="22"/>
          <w:szCs w:val="22"/>
        </w:rPr>
      </w:pP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8522"/>
      </w:tblGrid>
      <w:tr w:rsidR="00EB6AEE" w14:paraId="65886429" w14:textId="77777777" w:rsidTr="00EB6AEE">
        <w:tc>
          <w:tcPr>
            <w:tcW w:w="8522" w:type="dxa"/>
            <w:shd w:val="clear" w:color="auto" w:fill="auto"/>
          </w:tcPr>
          <w:p w14:paraId="1AAFCE41" w14:textId="40F30E1E" w:rsidR="00EB6AEE" w:rsidRDefault="00AF5DF4" w:rsidP="00AF5DF4">
            <w:pPr>
              <w:pStyle w:val="bodycopy"/>
              <w:jc w:val="center"/>
            </w:pPr>
            <w:r>
              <w:rPr>
                <w:rFonts w:ascii="Arial" w:hAnsi="Arial"/>
                <w:noProof/>
                <w:sz w:val="22"/>
                <w:szCs w:val="22"/>
              </w:rPr>
              <w:lastRenderedPageBreak/>
              <w:drawing>
                <wp:inline distT="0" distB="0" distL="0" distR="0" wp14:anchorId="4F4ED890" wp14:editId="123288AD">
                  <wp:extent cx="4977442" cy="7151297"/>
                  <wp:effectExtent l="0" t="0" r="0" b="0"/>
                  <wp:docPr id="94" name="Picture 94" descr="C:\Users\vic83nm\AppData\Local\Microsoft\Windows\Temporary Internet Files\Content.Word\09_EP_Infrastructure_Map_Bassl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Users\vic83nm\AppData\Local\Microsoft\Windows\Temporary Internet Files\Content.Word\09_EP_Infrastructure_Map_Basslink.png"/>
                          <pic:cNvPicPr>
                            <a:picLocks noChangeAspect="1" noChangeArrowheads="1"/>
                          </pic:cNvPicPr>
                        </pic:nvPicPr>
                        <pic:blipFill rotWithShape="1">
                          <a:blip r:embed="rId216" cstate="screen">
                            <a:extLst>
                              <a:ext uri="{28A0092B-C50C-407E-A947-70E740481C1C}">
                                <a14:useLocalDpi xmlns:a14="http://schemas.microsoft.com/office/drawing/2010/main"/>
                              </a:ext>
                            </a:extLst>
                          </a:blip>
                          <a:srcRect/>
                          <a:stretch/>
                        </pic:blipFill>
                        <pic:spPr bwMode="auto">
                          <a:xfrm>
                            <a:off x="0" y="0"/>
                            <a:ext cx="4977290" cy="715107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C775CD9" w14:textId="6FB4A214" w:rsidR="00EB6AEE" w:rsidRPr="00A14A05" w:rsidRDefault="00EB6AEE" w:rsidP="00EB6AEE">
      <w:pPr>
        <w:spacing w:before="120"/>
        <w:jc w:val="center"/>
        <w:rPr>
          <w:rFonts w:cs="Arial"/>
          <w:sz w:val="20"/>
          <w:szCs w:val="20"/>
        </w:rPr>
      </w:pPr>
      <w:r w:rsidRPr="00A14A05">
        <w:rPr>
          <w:rFonts w:cs="Arial"/>
          <w:b/>
          <w:sz w:val="20"/>
          <w:szCs w:val="20"/>
        </w:rPr>
        <w:t>Figure 5.</w:t>
      </w:r>
      <w:r w:rsidR="009B4E45">
        <w:rPr>
          <w:rFonts w:cs="Arial"/>
          <w:b/>
          <w:sz w:val="20"/>
          <w:szCs w:val="20"/>
        </w:rPr>
        <w:t>36</w:t>
      </w:r>
      <w:r w:rsidRPr="00A14A05">
        <w:rPr>
          <w:rFonts w:cs="Arial"/>
          <w:b/>
          <w:sz w:val="20"/>
          <w:szCs w:val="20"/>
        </w:rPr>
        <w:t>.</w:t>
      </w:r>
      <w:r w:rsidRPr="00A14A05">
        <w:rPr>
          <w:rFonts w:cs="Arial"/>
          <w:b/>
          <w:sz w:val="20"/>
          <w:szCs w:val="20"/>
        </w:rPr>
        <w:tab/>
        <w:t xml:space="preserve">Petroleum reservoirs and </w:t>
      </w:r>
      <w:r w:rsidR="006B01B9">
        <w:rPr>
          <w:rFonts w:cs="Arial"/>
          <w:b/>
          <w:sz w:val="20"/>
          <w:szCs w:val="20"/>
        </w:rPr>
        <w:t>infrastructure</w:t>
      </w:r>
      <w:r w:rsidRPr="00A14A05">
        <w:rPr>
          <w:rFonts w:cs="Arial"/>
          <w:b/>
          <w:sz w:val="20"/>
          <w:szCs w:val="20"/>
        </w:rPr>
        <w:t xml:space="preserve"> in the Gippsland region</w:t>
      </w:r>
    </w:p>
    <w:p w14:paraId="17EC2E89" w14:textId="77777777" w:rsidR="00EB6AEE" w:rsidRDefault="00EB6AEE" w:rsidP="00FF13D4">
      <w:pPr>
        <w:pStyle w:val="bodycopy"/>
        <w:rPr>
          <w:rFonts w:ascii="Arial" w:hAnsi="Arial"/>
          <w:sz w:val="22"/>
          <w:szCs w:val="22"/>
        </w:rPr>
      </w:pPr>
    </w:p>
    <w:p w14:paraId="1C19C832" w14:textId="77777777" w:rsidR="00A00DC2" w:rsidRDefault="00A00DC2" w:rsidP="00FF13D4">
      <w:pPr>
        <w:pStyle w:val="bodycopy"/>
        <w:rPr>
          <w:rFonts w:ascii="Arial" w:hAnsi="Arial"/>
          <w:sz w:val="22"/>
          <w:szCs w:val="22"/>
        </w:rPr>
      </w:pPr>
    </w:p>
    <w:p w14:paraId="6DF358DA" w14:textId="77777777" w:rsidR="00E32F68" w:rsidRPr="00FF13D4" w:rsidRDefault="00E32F68" w:rsidP="00E32F68">
      <w:pPr>
        <w:pStyle w:val="bodycopy"/>
        <w:rPr>
          <w:rFonts w:ascii="Arial" w:hAnsi="Arial"/>
          <w:sz w:val="22"/>
          <w:szCs w:val="22"/>
        </w:rPr>
      </w:pPr>
      <w:r w:rsidRPr="00FF13D4">
        <w:rPr>
          <w:rFonts w:ascii="Arial" w:hAnsi="Arial"/>
          <w:sz w:val="22"/>
          <w:szCs w:val="22"/>
        </w:rPr>
        <w:t xml:space="preserve">The TasGas pipeline, a pipeline that provides gas from Victoria to Tasmania, is also located in the region, 13 km west of the proposed survey acquisition area (it makes landfall just east of Seaspray, on the eastern edge of the Gippsland Lakes). </w:t>
      </w:r>
    </w:p>
    <w:p w14:paraId="64236890" w14:textId="5479AB7E" w:rsidR="00E32F68" w:rsidRDefault="00E32F68" w:rsidP="009B4E45">
      <w:pPr>
        <w:pStyle w:val="bodycopy"/>
        <w:rPr>
          <w:rFonts w:ascii="Arial" w:hAnsi="Arial"/>
          <w:sz w:val="22"/>
          <w:szCs w:val="22"/>
        </w:rPr>
      </w:pPr>
      <w:r w:rsidRPr="00FF13D4">
        <w:rPr>
          <w:rFonts w:ascii="Arial" w:hAnsi="Arial"/>
          <w:sz w:val="22"/>
          <w:szCs w:val="22"/>
        </w:rPr>
        <w:lastRenderedPageBreak/>
        <w:t>Petroleum production from the offshor</w:t>
      </w:r>
      <w:r w:rsidR="009B4E45">
        <w:rPr>
          <w:rFonts w:ascii="Arial" w:hAnsi="Arial"/>
          <w:sz w:val="22"/>
          <w:szCs w:val="22"/>
        </w:rPr>
        <w:t xml:space="preserve">e Gippsland Basin is centred on </w:t>
      </w:r>
      <w:r w:rsidR="00A53B33">
        <w:rPr>
          <w:rFonts w:ascii="Arial" w:hAnsi="Arial"/>
          <w:sz w:val="22"/>
          <w:szCs w:val="22"/>
        </w:rPr>
        <w:t xml:space="preserve">operations undertaken by </w:t>
      </w:r>
      <w:r w:rsidRPr="00FF13D4">
        <w:rPr>
          <w:rFonts w:ascii="Arial" w:hAnsi="Arial"/>
          <w:sz w:val="22"/>
          <w:szCs w:val="22"/>
        </w:rPr>
        <w:t>Esso Australia Resources Pty Ltd (EARPL), operator for the Gippsland Basin Joint Venture</w:t>
      </w:r>
      <w:r>
        <w:rPr>
          <w:rFonts w:ascii="Arial" w:hAnsi="Arial"/>
          <w:sz w:val="22"/>
          <w:szCs w:val="22"/>
        </w:rPr>
        <w:t xml:space="preserve">. EARPL </w:t>
      </w:r>
      <w:r w:rsidRPr="00FF13D4">
        <w:rPr>
          <w:rFonts w:ascii="Arial" w:hAnsi="Arial"/>
          <w:sz w:val="22"/>
          <w:szCs w:val="22"/>
        </w:rPr>
        <w:t>produce</w:t>
      </w:r>
      <w:r>
        <w:rPr>
          <w:rFonts w:ascii="Arial" w:hAnsi="Arial"/>
          <w:sz w:val="22"/>
          <w:szCs w:val="22"/>
        </w:rPr>
        <w:t>s</w:t>
      </w:r>
      <w:r w:rsidRPr="00FF13D4">
        <w:rPr>
          <w:rFonts w:ascii="Arial" w:hAnsi="Arial"/>
          <w:sz w:val="22"/>
          <w:szCs w:val="22"/>
        </w:rPr>
        <w:t xml:space="preserve"> oil and gas from 23 platforms and subsea developments, hundreds of wells and some 880 km of associated pipelines, tied back to the Longford Gas Plant</w:t>
      </w:r>
      <w:r>
        <w:rPr>
          <w:rFonts w:ascii="Arial" w:hAnsi="Arial"/>
          <w:sz w:val="22"/>
          <w:szCs w:val="22"/>
        </w:rPr>
        <w:t xml:space="preserve"> and Long Island Point</w:t>
      </w:r>
      <w:r w:rsidRPr="00FF13D4">
        <w:rPr>
          <w:rFonts w:ascii="Arial" w:hAnsi="Arial"/>
          <w:sz w:val="22"/>
          <w:szCs w:val="22"/>
        </w:rPr>
        <w:t xml:space="preserve">. Production first commenced in 1969 from the Barracouta field. The latest fields to come into production were the Kipper-Tuna-Turrum oil and gas fields in 2013. </w:t>
      </w:r>
    </w:p>
    <w:p w14:paraId="3D6F3913" w14:textId="3E0F9C67" w:rsidR="00E32F68" w:rsidRPr="00FF13D4" w:rsidRDefault="00E32F68" w:rsidP="00E32F68">
      <w:pPr>
        <w:pStyle w:val="bodycopy"/>
        <w:rPr>
          <w:rFonts w:ascii="Arial" w:hAnsi="Arial"/>
          <w:sz w:val="22"/>
          <w:szCs w:val="22"/>
        </w:rPr>
      </w:pPr>
      <w:r w:rsidRPr="00FF13D4">
        <w:rPr>
          <w:rFonts w:ascii="Arial" w:hAnsi="Arial"/>
          <w:sz w:val="22"/>
          <w:szCs w:val="22"/>
        </w:rPr>
        <w:t>Historical production from the offshore Gippsland Basin (in addition to production from EARPL) has come from</w:t>
      </w:r>
      <w:r w:rsidR="009B4E45">
        <w:rPr>
          <w:rFonts w:ascii="Arial" w:hAnsi="Arial"/>
          <w:sz w:val="22"/>
          <w:szCs w:val="22"/>
        </w:rPr>
        <w:t xml:space="preserve"> the Patricia Baleen, Longtom and Baska-Manta-Gummy (BMG) gas fields. </w:t>
      </w:r>
    </w:p>
    <w:p w14:paraId="248196ED" w14:textId="2B63898A" w:rsidR="00324D55" w:rsidRPr="00FF13D4" w:rsidRDefault="00324D55" w:rsidP="00FF13D4">
      <w:pPr>
        <w:pStyle w:val="bodycopy"/>
        <w:rPr>
          <w:rFonts w:ascii="Arial" w:hAnsi="Arial"/>
          <w:b/>
          <w:sz w:val="22"/>
          <w:szCs w:val="22"/>
        </w:rPr>
      </w:pPr>
      <w:r w:rsidRPr="00FF13D4">
        <w:rPr>
          <w:rFonts w:ascii="Arial" w:hAnsi="Arial"/>
          <w:b/>
          <w:sz w:val="22"/>
          <w:szCs w:val="22"/>
        </w:rPr>
        <w:t xml:space="preserve">Petroleum </w:t>
      </w:r>
      <w:r w:rsidR="00A14A05">
        <w:rPr>
          <w:rFonts w:ascii="Arial" w:hAnsi="Arial"/>
          <w:b/>
          <w:sz w:val="22"/>
          <w:szCs w:val="22"/>
        </w:rPr>
        <w:t>i</w:t>
      </w:r>
      <w:r w:rsidRPr="00FF13D4">
        <w:rPr>
          <w:rFonts w:ascii="Arial" w:hAnsi="Arial"/>
          <w:b/>
          <w:sz w:val="22"/>
          <w:szCs w:val="22"/>
        </w:rPr>
        <w:t xml:space="preserve">nfrastructure in the proposed </w:t>
      </w:r>
      <w:r w:rsidR="00A14A05">
        <w:rPr>
          <w:rFonts w:ascii="Arial" w:hAnsi="Arial"/>
          <w:b/>
          <w:sz w:val="22"/>
          <w:szCs w:val="22"/>
        </w:rPr>
        <w:t>operational</w:t>
      </w:r>
      <w:r w:rsidRPr="00FF13D4">
        <w:rPr>
          <w:rFonts w:ascii="Arial" w:hAnsi="Arial"/>
          <w:b/>
          <w:sz w:val="22"/>
          <w:szCs w:val="22"/>
        </w:rPr>
        <w:t xml:space="preserve"> area</w:t>
      </w:r>
    </w:p>
    <w:p w14:paraId="44F3A7E6" w14:textId="7FBACA54" w:rsidR="00AF5DF4" w:rsidRPr="00CC2278" w:rsidRDefault="008B0E0E" w:rsidP="00FF13D4">
      <w:pPr>
        <w:pStyle w:val="bodycopy"/>
        <w:rPr>
          <w:rFonts w:ascii="Arial" w:hAnsi="Arial"/>
          <w:sz w:val="22"/>
          <w:szCs w:val="22"/>
        </w:rPr>
      </w:pPr>
      <w:r>
        <w:rPr>
          <w:rFonts w:ascii="Arial" w:hAnsi="Arial"/>
          <w:sz w:val="22"/>
          <w:szCs w:val="22"/>
        </w:rPr>
        <w:t>The proposed acquisition area overlaps three petroleum pipelines operated by EARPL</w:t>
      </w:r>
      <w:r w:rsidR="00A806F2">
        <w:rPr>
          <w:rFonts w:ascii="Arial" w:hAnsi="Arial"/>
          <w:sz w:val="22"/>
          <w:szCs w:val="22"/>
        </w:rPr>
        <w:t>. These are located in the eastern half of the proposed acquisition area</w:t>
      </w:r>
      <w:r w:rsidR="00DB3FAD" w:rsidRPr="00CC2278">
        <w:rPr>
          <w:rFonts w:ascii="Arial" w:hAnsi="Arial"/>
          <w:sz w:val="22"/>
          <w:szCs w:val="22"/>
        </w:rPr>
        <w:t>.</w:t>
      </w:r>
    </w:p>
    <w:p w14:paraId="262BEC77" w14:textId="3BF0FC77" w:rsidR="00E32F68" w:rsidRDefault="00A53B33" w:rsidP="00E32F68">
      <w:pPr>
        <w:pStyle w:val="bodycopy"/>
        <w:rPr>
          <w:rFonts w:ascii="Arial" w:hAnsi="Arial"/>
          <w:sz w:val="22"/>
          <w:szCs w:val="22"/>
        </w:rPr>
      </w:pPr>
      <w:r>
        <w:rPr>
          <w:rFonts w:ascii="Arial" w:hAnsi="Arial"/>
          <w:sz w:val="22"/>
          <w:szCs w:val="22"/>
        </w:rPr>
        <w:t xml:space="preserve">As illustrated </w:t>
      </w:r>
      <w:r w:rsidRPr="004C0F3C">
        <w:rPr>
          <w:rFonts w:ascii="Arial" w:hAnsi="Arial"/>
          <w:sz w:val="22"/>
          <w:szCs w:val="22"/>
        </w:rPr>
        <w:t>in Figure 5.37</w:t>
      </w:r>
      <w:r w:rsidR="00E32F68" w:rsidRPr="004C0F3C">
        <w:rPr>
          <w:rFonts w:ascii="Arial" w:hAnsi="Arial"/>
          <w:sz w:val="22"/>
          <w:szCs w:val="22"/>
        </w:rPr>
        <w:t>,</w:t>
      </w:r>
      <w:r w:rsidR="00E32F68">
        <w:rPr>
          <w:rFonts w:ascii="Arial" w:hAnsi="Arial"/>
          <w:sz w:val="22"/>
          <w:szCs w:val="22"/>
        </w:rPr>
        <w:t xml:space="preserve"> five wells are located within the proposed operational area, all of which have been plugged and abandoned. </w:t>
      </w:r>
      <w:r w:rsidR="00E32F68" w:rsidRPr="00B538D4">
        <w:rPr>
          <w:rFonts w:ascii="Arial" w:hAnsi="Arial"/>
          <w:sz w:val="22"/>
          <w:szCs w:val="22"/>
        </w:rPr>
        <w:t>These are Flying Fish-1</w:t>
      </w:r>
      <w:r w:rsidR="00E32F68">
        <w:rPr>
          <w:rFonts w:ascii="Arial" w:hAnsi="Arial"/>
          <w:sz w:val="22"/>
          <w:szCs w:val="22"/>
        </w:rPr>
        <w:t xml:space="preserve"> (dry hole)</w:t>
      </w:r>
      <w:r w:rsidR="00E32F68" w:rsidRPr="00B538D4">
        <w:rPr>
          <w:rFonts w:ascii="Arial" w:hAnsi="Arial"/>
          <w:sz w:val="22"/>
          <w:szCs w:val="22"/>
        </w:rPr>
        <w:t>, Snook-1</w:t>
      </w:r>
      <w:r w:rsidR="00E32F68">
        <w:rPr>
          <w:rFonts w:ascii="Arial" w:hAnsi="Arial"/>
          <w:sz w:val="22"/>
          <w:szCs w:val="22"/>
        </w:rPr>
        <w:t xml:space="preserve"> (dry hole)</w:t>
      </w:r>
      <w:r w:rsidR="00E32F68" w:rsidRPr="00B538D4">
        <w:rPr>
          <w:rFonts w:ascii="Arial" w:hAnsi="Arial"/>
          <w:sz w:val="22"/>
          <w:szCs w:val="22"/>
        </w:rPr>
        <w:t xml:space="preserve">, Golden Beach-1 </w:t>
      </w:r>
      <w:r w:rsidR="00E32F68">
        <w:rPr>
          <w:rFonts w:ascii="Arial" w:hAnsi="Arial"/>
          <w:sz w:val="22"/>
          <w:szCs w:val="22"/>
        </w:rPr>
        <w:t xml:space="preserve">(dry hole)/Golden Beach-1A (gas show) </w:t>
      </w:r>
      <w:r w:rsidR="00E32F68" w:rsidRPr="00B538D4">
        <w:rPr>
          <w:rFonts w:ascii="Arial" w:hAnsi="Arial"/>
          <w:sz w:val="22"/>
          <w:szCs w:val="22"/>
        </w:rPr>
        <w:t xml:space="preserve">and </w:t>
      </w:r>
      <w:r w:rsidR="00E32F68">
        <w:rPr>
          <w:rFonts w:ascii="Arial" w:hAnsi="Arial"/>
          <w:sz w:val="22"/>
          <w:szCs w:val="22"/>
        </w:rPr>
        <w:t>Sealion-1 (dry hole).</w:t>
      </w:r>
    </w:p>
    <w:p w14:paraId="281FA764" w14:textId="77777777" w:rsidR="00AF58B0" w:rsidRDefault="00AF58B0" w:rsidP="00AF58B0">
      <w:pPr>
        <w:pStyle w:val="bodycopy"/>
        <w:rPr>
          <w:rFonts w:ascii="Arial" w:hAnsi="Arial"/>
          <w:sz w:val="22"/>
          <w:szCs w:val="22"/>
        </w:rPr>
      </w:pPr>
      <w:r>
        <w:rPr>
          <w:rFonts w:ascii="Arial" w:hAnsi="Arial"/>
          <w:sz w:val="22"/>
          <w:szCs w:val="22"/>
        </w:rPr>
        <w:t>Other EARPL oil and gas infrastructure located near, but outside of the proposed acquisition area, are:</w:t>
      </w:r>
    </w:p>
    <w:p w14:paraId="61656943" w14:textId="77777777" w:rsidR="00AF58B0" w:rsidRDefault="00AF58B0" w:rsidP="00AF58B0">
      <w:pPr>
        <w:pStyle w:val="bodycopy"/>
        <w:numPr>
          <w:ilvl w:val="0"/>
          <w:numId w:val="362"/>
        </w:numPr>
        <w:rPr>
          <w:rFonts w:ascii="Arial" w:hAnsi="Arial"/>
          <w:sz w:val="22"/>
          <w:szCs w:val="22"/>
        </w:rPr>
      </w:pPr>
      <w:r>
        <w:rPr>
          <w:rFonts w:ascii="Arial" w:hAnsi="Arial"/>
          <w:sz w:val="22"/>
          <w:szCs w:val="22"/>
        </w:rPr>
        <w:t xml:space="preserve">Seahorse subsea subsea well (2.5 km east) – an oil well that commenced production in 1990, located in a water depth of 42 m. The subsea completion has a height of </w:t>
      </w:r>
      <w:r w:rsidRPr="008F4E70">
        <w:rPr>
          <w:rFonts w:ascii="Arial" w:hAnsi="Arial"/>
          <w:sz w:val="22"/>
          <w:szCs w:val="22"/>
        </w:rPr>
        <w:t>8 m from</w:t>
      </w:r>
      <w:r>
        <w:rPr>
          <w:rFonts w:ascii="Arial" w:hAnsi="Arial"/>
          <w:sz w:val="22"/>
          <w:szCs w:val="22"/>
        </w:rPr>
        <w:t xml:space="preserve"> the seabed. Oil is transported by pipeline to the Barracouta platform for processing before being transported by pipeline to shore. </w:t>
      </w:r>
    </w:p>
    <w:p w14:paraId="0A84298D" w14:textId="77777777" w:rsidR="00AF58B0" w:rsidRDefault="00AF58B0" w:rsidP="00AF58B0">
      <w:pPr>
        <w:pStyle w:val="bodycopy"/>
        <w:numPr>
          <w:ilvl w:val="0"/>
          <w:numId w:val="362"/>
        </w:numPr>
        <w:rPr>
          <w:rFonts w:ascii="Arial" w:hAnsi="Arial"/>
          <w:sz w:val="22"/>
          <w:szCs w:val="22"/>
        </w:rPr>
      </w:pPr>
      <w:r>
        <w:rPr>
          <w:rFonts w:ascii="Arial" w:hAnsi="Arial"/>
          <w:sz w:val="22"/>
          <w:szCs w:val="22"/>
        </w:rPr>
        <w:t>Barracouta platform (11.3 km southeast) – a manned steel jacket platform located in a water depth of 46 m, and with the main deck 20 m above sea level that processes oil and gas. Production commencedg in 1969. The platform provides gas lift to the Seahorse and Tarwhine subsea wells.</w:t>
      </w:r>
    </w:p>
    <w:p w14:paraId="0B3AC384" w14:textId="77777777" w:rsidR="00AF58B0" w:rsidRDefault="00AF58B0" w:rsidP="00AF58B0">
      <w:pPr>
        <w:pStyle w:val="bodycopy"/>
        <w:numPr>
          <w:ilvl w:val="0"/>
          <w:numId w:val="362"/>
        </w:numPr>
        <w:rPr>
          <w:rFonts w:ascii="Arial" w:hAnsi="Arial"/>
          <w:sz w:val="22"/>
          <w:szCs w:val="22"/>
        </w:rPr>
      </w:pPr>
      <w:r>
        <w:rPr>
          <w:rFonts w:ascii="Arial" w:hAnsi="Arial"/>
          <w:sz w:val="22"/>
          <w:szCs w:val="22"/>
        </w:rPr>
        <w:t xml:space="preserve">Tarwhine subsea well (12 km southeast) - an oil well that commenced production in 1990, located in a water depth of 43 m. The subsea completion has a height of 8.3 m from the seabed. </w:t>
      </w:r>
    </w:p>
    <w:p w14:paraId="686B68C1" w14:textId="77777777" w:rsidR="00AF58B0" w:rsidRPr="00FF13D4" w:rsidRDefault="00AF58B0" w:rsidP="00AF58B0">
      <w:pPr>
        <w:pStyle w:val="bodycopy"/>
        <w:numPr>
          <w:ilvl w:val="0"/>
          <w:numId w:val="362"/>
        </w:numPr>
        <w:spacing w:after="240"/>
        <w:rPr>
          <w:rFonts w:ascii="Arial" w:hAnsi="Arial"/>
          <w:sz w:val="22"/>
          <w:szCs w:val="22"/>
        </w:rPr>
      </w:pPr>
      <w:r>
        <w:rPr>
          <w:rFonts w:ascii="Arial" w:hAnsi="Arial"/>
          <w:sz w:val="22"/>
          <w:szCs w:val="22"/>
        </w:rPr>
        <w:t xml:space="preserve">Dolphin steel gravity-based monotower (20 km southwest) – a normally unmanned oil production facility that commenced production in 1990. It is located in a weater depth of 38 m and the height of the equipment deck above sea level is 17 m. It transports oil to shore via a 300 mm pipeline (alongside a 100 mm gas pipeline from the Perch monotower). </w:t>
      </w:r>
    </w:p>
    <w:p w14:paraId="1A1A7056" w14:textId="77777777" w:rsidR="00AF58B0" w:rsidRPr="00FF13D4" w:rsidRDefault="00AF58B0" w:rsidP="00AF58B0">
      <w:pPr>
        <w:pStyle w:val="bodycopy"/>
        <w:rPr>
          <w:rFonts w:ascii="Arial" w:hAnsi="Arial"/>
          <w:b/>
          <w:sz w:val="22"/>
          <w:szCs w:val="22"/>
        </w:rPr>
      </w:pPr>
      <w:r w:rsidRPr="00FF13D4">
        <w:rPr>
          <w:rFonts w:ascii="Arial" w:hAnsi="Arial"/>
          <w:b/>
          <w:sz w:val="22"/>
          <w:szCs w:val="22"/>
        </w:rPr>
        <w:t>Petroleum Development in Gippsland</w:t>
      </w:r>
    </w:p>
    <w:p w14:paraId="035458DB" w14:textId="77777777" w:rsidR="00AF58B0" w:rsidRDefault="00AF58B0" w:rsidP="00AF58B0">
      <w:pPr>
        <w:pStyle w:val="bodycopy"/>
        <w:rPr>
          <w:rFonts w:ascii="Arial" w:hAnsi="Arial"/>
          <w:sz w:val="22"/>
          <w:szCs w:val="22"/>
        </w:rPr>
      </w:pPr>
      <w:r w:rsidRPr="00FF13D4">
        <w:rPr>
          <w:rFonts w:ascii="Arial" w:hAnsi="Arial"/>
          <w:sz w:val="22"/>
          <w:szCs w:val="22"/>
        </w:rPr>
        <w:t xml:space="preserve">Cooper Energy Ltd is currently progressing the development of the Sole Gas Field located in Vic/RL3, located 124 km east of the </w:t>
      </w:r>
      <w:r>
        <w:rPr>
          <w:rFonts w:ascii="Arial" w:hAnsi="Arial"/>
          <w:sz w:val="22"/>
          <w:szCs w:val="22"/>
        </w:rPr>
        <w:t xml:space="preserve">proposed </w:t>
      </w:r>
      <w:r w:rsidRPr="00FF13D4">
        <w:rPr>
          <w:rFonts w:ascii="Arial" w:hAnsi="Arial"/>
          <w:sz w:val="22"/>
          <w:szCs w:val="22"/>
        </w:rPr>
        <w:t xml:space="preserve">acquisition area. </w:t>
      </w:r>
    </w:p>
    <w:p w14:paraId="55E17338" w14:textId="77777777" w:rsidR="00AF58B0" w:rsidRPr="00FF13D4" w:rsidRDefault="00AF58B0" w:rsidP="00AF58B0">
      <w:pPr>
        <w:pStyle w:val="bodycopy"/>
        <w:rPr>
          <w:rFonts w:ascii="Arial" w:hAnsi="Arial"/>
          <w:sz w:val="22"/>
          <w:szCs w:val="22"/>
        </w:rPr>
      </w:pPr>
      <w:r w:rsidRPr="00FF13D4">
        <w:rPr>
          <w:rFonts w:ascii="Arial" w:hAnsi="Arial"/>
          <w:sz w:val="22"/>
          <w:szCs w:val="22"/>
        </w:rPr>
        <w:t xml:space="preserve">This </w:t>
      </w:r>
      <w:r>
        <w:rPr>
          <w:rFonts w:ascii="Arial" w:hAnsi="Arial"/>
          <w:sz w:val="22"/>
          <w:szCs w:val="22"/>
        </w:rPr>
        <w:t xml:space="preserve">development </w:t>
      </w:r>
      <w:r w:rsidRPr="00FF13D4">
        <w:rPr>
          <w:rFonts w:ascii="Arial" w:hAnsi="Arial"/>
          <w:sz w:val="22"/>
          <w:szCs w:val="22"/>
        </w:rPr>
        <w:t>will involve the drilling of at least one production well and the installation of a 65-km long offshore pipeline to the Orbost Gas Plant where the gas will be treated to sale quality. The Sole Gas Field has 241 PJ of gas and will be produced at 25 PJ/annum. First gas is expected in March 2019. Total development costs are estimated at $552 million (Cooper Energy, 2017).</w:t>
      </w:r>
    </w:p>
    <w:p w14:paraId="5E7E99A5" w14:textId="77777777" w:rsidR="00C05C03" w:rsidRDefault="00C05C03" w:rsidP="00A806F2">
      <w:pPr>
        <w:pStyle w:val="bodycopy"/>
        <w:rPr>
          <w:rFonts w:ascii="Arial" w:hAnsi="Arial"/>
          <w:sz w:val="22"/>
          <w:szCs w:val="22"/>
        </w:rPr>
      </w:pPr>
    </w:p>
    <w:tbl>
      <w:tblPr>
        <w:tblStyle w:val="TableGrid"/>
        <w:tblW w:w="0" w:type="auto"/>
        <w:tblLook w:val="04A0" w:firstRow="1" w:lastRow="0" w:firstColumn="1" w:lastColumn="0" w:noHBand="0" w:noVBand="1"/>
      </w:tblPr>
      <w:tblGrid>
        <w:gridCol w:w="8522"/>
      </w:tblGrid>
      <w:tr w:rsidR="00C05C03" w14:paraId="2530F764" w14:textId="77777777" w:rsidTr="00C05C03">
        <w:tc>
          <w:tcPr>
            <w:tcW w:w="8522" w:type="dxa"/>
          </w:tcPr>
          <w:p w14:paraId="6130B8DE" w14:textId="04C9A97B" w:rsidR="00C05C03" w:rsidRDefault="00E94396" w:rsidP="00A806F2">
            <w:pPr>
              <w:pStyle w:val="bodycopy"/>
              <w:rPr>
                <w:rFonts w:ascii="Arial" w:hAnsi="Arial"/>
                <w:sz w:val="22"/>
                <w:szCs w:val="22"/>
                <w:highlight w:val="yellow"/>
              </w:rPr>
            </w:pPr>
            <w:r>
              <w:rPr>
                <w:rFonts w:ascii="Arial" w:hAnsi="Arial"/>
                <w:noProof/>
                <w:sz w:val="22"/>
                <w:szCs w:val="22"/>
              </w:rPr>
              <w:lastRenderedPageBreak/>
              <w:drawing>
                <wp:inline distT="0" distB="0" distL="0" distR="0" wp14:anchorId="3C06DD80" wp14:editId="4E342698">
                  <wp:extent cx="5272199" cy="7306963"/>
                  <wp:effectExtent l="0" t="0" r="5080" b="8255"/>
                  <wp:docPr id="11" name="Picture 11" descr="\\internal.vic.gov.au\DEDJTR\HomeDirs3\vic83nm\Desktop\09_EP_Infrastructure_Map_Basslink_10_3_zoomed 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nternal.vic.gov.au\DEDJTR\HomeDirs3\vic83nm\Desktop\09_EP_Infrastructure_Map_Basslink_10_3_zoomed in.png"/>
                          <pic:cNvPicPr>
                            <a:picLocks noChangeAspect="1" noChangeArrowheads="1"/>
                          </pic:cNvPicPr>
                        </pic:nvPicPr>
                        <pic:blipFill rotWithShape="1">
                          <a:blip r:embed="rId217" cstate="screen">
                            <a:extLst>
                              <a:ext uri="{28A0092B-C50C-407E-A947-70E740481C1C}">
                                <a14:useLocalDpi xmlns:a14="http://schemas.microsoft.com/office/drawing/2010/main"/>
                              </a:ext>
                            </a:extLst>
                          </a:blip>
                          <a:srcRect/>
                          <a:stretch/>
                        </pic:blipFill>
                        <pic:spPr bwMode="auto">
                          <a:xfrm>
                            <a:off x="0" y="0"/>
                            <a:ext cx="5272405" cy="730724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EBFDD33" w14:textId="27123620" w:rsidR="00C05C03" w:rsidRPr="00A14A05" w:rsidRDefault="00C05C03" w:rsidP="00C05C03">
      <w:pPr>
        <w:spacing w:before="120"/>
        <w:jc w:val="center"/>
        <w:rPr>
          <w:rFonts w:cs="Arial"/>
          <w:sz w:val="20"/>
          <w:szCs w:val="20"/>
        </w:rPr>
      </w:pPr>
      <w:r w:rsidRPr="00A14A05">
        <w:rPr>
          <w:rFonts w:cs="Arial"/>
          <w:b/>
          <w:sz w:val="20"/>
          <w:szCs w:val="20"/>
        </w:rPr>
        <w:t>Figure 5.</w:t>
      </w:r>
      <w:r w:rsidR="00A53B33">
        <w:rPr>
          <w:rFonts w:cs="Arial"/>
          <w:b/>
          <w:sz w:val="20"/>
          <w:szCs w:val="20"/>
        </w:rPr>
        <w:t>37</w:t>
      </w:r>
      <w:r w:rsidRPr="00A14A05">
        <w:rPr>
          <w:rFonts w:cs="Arial"/>
          <w:b/>
          <w:sz w:val="20"/>
          <w:szCs w:val="20"/>
        </w:rPr>
        <w:t>.</w:t>
      </w:r>
      <w:r w:rsidRPr="00A14A05">
        <w:rPr>
          <w:rFonts w:cs="Arial"/>
          <w:b/>
          <w:sz w:val="20"/>
          <w:szCs w:val="20"/>
        </w:rPr>
        <w:tab/>
        <w:t xml:space="preserve">Petroleum </w:t>
      </w:r>
      <w:r>
        <w:rPr>
          <w:rFonts w:cs="Arial"/>
          <w:b/>
          <w:sz w:val="20"/>
          <w:szCs w:val="20"/>
        </w:rPr>
        <w:t>infrastructure</w:t>
      </w:r>
      <w:r w:rsidRPr="00A14A05">
        <w:rPr>
          <w:rFonts w:cs="Arial"/>
          <w:b/>
          <w:sz w:val="20"/>
          <w:szCs w:val="20"/>
        </w:rPr>
        <w:t xml:space="preserve"> </w:t>
      </w:r>
      <w:r>
        <w:rPr>
          <w:rFonts w:cs="Arial"/>
          <w:b/>
          <w:sz w:val="20"/>
          <w:szCs w:val="20"/>
        </w:rPr>
        <w:t>in the proposed operational area</w:t>
      </w:r>
    </w:p>
    <w:p w14:paraId="5C6E41C6" w14:textId="77777777" w:rsidR="00C05C03" w:rsidRDefault="00C05C03" w:rsidP="00A806F2">
      <w:pPr>
        <w:pStyle w:val="bodycopy"/>
        <w:rPr>
          <w:rFonts w:ascii="Arial" w:hAnsi="Arial"/>
          <w:sz w:val="22"/>
          <w:szCs w:val="22"/>
          <w:highlight w:val="yellow"/>
        </w:rPr>
      </w:pPr>
    </w:p>
    <w:p w14:paraId="41B98490" w14:textId="77777777" w:rsidR="00E94396" w:rsidRDefault="00E94396" w:rsidP="00A806F2">
      <w:pPr>
        <w:pStyle w:val="bodycopy"/>
        <w:rPr>
          <w:rFonts w:ascii="Arial" w:hAnsi="Arial"/>
          <w:sz w:val="22"/>
          <w:szCs w:val="22"/>
        </w:rPr>
      </w:pPr>
    </w:p>
    <w:p w14:paraId="2BE2CF33" w14:textId="77777777" w:rsidR="00263624" w:rsidRDefault="00263624" w:rsidP="00A806F2">
      <w:pPr>
        <w:pStyle w:val="bodycopy"/>
        <w:rPr>
          <w:rFonts w:ascii="Arial" w:hAnsi="Arial"/>
          <w:sz w:val="22"/>
          <w:szCs w:val="22"/>
        </w:rPr>
      </w:pPr>
    </w:p>
    <w:p w14:paraId="3733AF45" w14:textId="77777777" w:rsidR="00263624" w:rsidRDefault="00263624" w:rsidP="00A806F2">
      <w:pPr>
        <w:pStyle w:val="bodycopy"/>
        <w:rPr>
          <w:rFonts w:ascii="Arial" w:hAnsi="Arial"/>
          <w:sz w:val="22"/>
          <w:szCs w:val="22"/>
        </w:rPr>
      </w:pPr>
    </w:p>
    <w:p w14:paraId="54D7B871" w14:textId="77777777" w:rsidR="00263624" w:rsidRDefault="00263624" w:rsidP="00A806F2">
      <w:pPr>
        <w:pStyle w:val="bodycopy"/>
        <w:rPr>
          <w:rFonts w:ascii="Arial" w:hAnsi="Arial"/>
          <w:sz w:val="22"/>
          <w:szCs w:val="22"/>
        </w:rPr>
      </w:pPr>
    </w:p>
    <w:p w14:paraId="39BCB279" w14:textId="77777777" w:rsidR="00880E08" w:rsidRPr="00FF13D4" w:rsidRDefault="00880E08" w:rsidP="00FF13D4">
      <w:pPr>
        <w:pStyle w:val="bodycopy"/>
        <w:rPr>
          <w:rFonts w:ascii="Arial" w:hAnsi="Arial"/>
          <w:b/>
          <w:sz w:val="22"/>
          <w:szCs w:val="22"/>
        </w:rPr>
      </w:pPr>
      <w:r w:rsidRPr="00FF13D4">
        <w:rPr>
          <w:rFonts w:ascii="Arial" w:hAnsi="Arial"/>
          <w:b/>
          <w:sz w:val="22"/>
          <w:szCs w:val="22"/>
        </w:rPr>
        <w:lastRenderedPageBreak/>
        <w:t xml:space="preserve">Petroleum </w:t>
      </w:r>
      <w:r w:rsidR="00C7392D" w:rsidRPr="00FF13D4">
        <w:rPr>
          <w:rFonts w:ascii="Arial" w:hAnsi="Arial"/>
          <w:b/>
          <w:sz w:val="22"/>
          <w:szCs w:val="22"/>
        </w:rPr>
        <w:t xml:space="preserve">and GHG </w:t>
      </w:r>
      <w:r w:rsidRPr="00FF13D4">
        <w:rPr>
          <w:rFonts w:ascii="Arial" w:hAnsi="Arial"/>
          <w:b/>
          <w:sz w:val="22"/>
          <w:szCs w:val="22"/>
        </w:rPr>
        <w:t>Exploration in Gippsland</w:t>
      </w:r>
    </w:p>
    <w:p w14:paraId="1717AECA" w14:textId="5F8685D5" w:rsidR="000141F5" w:rsidRPr="00FF13D4" w:rsidRDefault="00880E08" w:rsidP="00FF13D4">
      <w:pPr>
        <w:pStyle w:val="bodycopy"/>
        <w:rPr>
          <w:rFonts w:ascii="Arial" w:hAnsi="Arial"/>
          <w:sz w:val="22"/>
          <w:szCs w:val="22"/>
        </w:rPr>
      </w:pPr>
      <w:r w:rsidRPr="00FF13D4">
        <w:rPr>
          <w:rFonts w:ascii="Arial" w:hAnsi="Arial"/>
          <w:sz w:val="22"/>
          <w:szCs w:val="22"/>
        </w:rPr>
        <w:t>Most of the commercial oil and gas discoveries are reservoired within the siliciclastics of the Late Cretaceous to Paleogene Latrobe Group. Remaining reserves are estimated at 400 MMbbl of liquids and 6 Tcf of gas (</w:t>
      </w:r>
      <w:r w:rsidR="008544AF">
        <w:rPr>
          <w:rFonts w:ascii="Arial" w:hAnsi="Arial"/>
          <w:sz w:val="22"/>
          <w:szCs w:val="22"/>
        </w:rPr>
        <w:t>Geoscience Australia, 2017</w:t>
      </w:r>
      <w:r w:rsidRPr="00FF13D4">
        <w:rPr>
          <w:rFonts w:ascii="Arial" w:hAnsi="Arial"/>
          <w:sz w:val="22"/>
          <w:szCs w:val="22"/>
        </w:rPr>
        <w:t>).</w:t>
      </w:r>
    </w:p>
    <w:p w14:paraId="02994544" w14:textId="00B33BC0" w:rsidR="002025D6" w:rsidRPr="00FF13D4" w:rsidRDefault="002025D6" w:rsidP="00A53B33">
      <w:pPr>
        <w:pStyle w:val="bodycopy"/>
        <w:rPr>
          <w:rFonts w:ascii="Arial" w:hAnsi="Arial"/>
          <w:sz w:val="22"/>
          <w:szCs w:val="22"/>
        </w:rPr>
      </w:pPr>
      <w:r w:rsidRPr="00FF13D4">
        <w:rPr>
          <w:rFonts w:ascii="Arial" w:hAnsi="Arial"/>
          <w:sz w:val="22"/>
          <w:szCs w:val="22"/>
        </w:rPr>
        <w:t xml:space="preserve">Bass Strait has been the subject of </w:t>
      </w:r>
      <w:r w:rsidR="000A467E" w:rsidRPr="00FF13D4">
        <w:rPr>
          <w:rFonts w:ascii="Arial" w:hAnsi="Arial"/>
          <w:sz w:val="22"/>
          <w:szCs w:val="22"/>
        </w:rPr>
        <w:t>thousand</w:t>
      </w:r>
      <w:r w:rsidR="00A806F2">
        <w:rPr>
          <w:rFonts w:ascii="Arial" w:hAnsi="Arial"/>
          <w:sz w:val="22"/>
          <w:szCs w:val="22"/>
        </w:rPr>
        <w:t>s</w:t>
      </w:r>
      <w:r w:rsidR="000A467E" w:rsidRPr="00FF13D4">
        <w:rPr>
          <w:rFonts w:ascii="Arial" w:hAnsi="Arial"/>
          <w:sz w:val="22"/>
          <w:szCs w:val="22"/>
        </w:rPr>
        <w:t xml:space="preserve"> of line kilometres of</w:t>
      </w:r>
      <w:r w:rsidRPr="00FF13D4">
        <w:rPr>
          <w:rFonts w:ascii="Arial" w:hAnsi="Arial"/>
          <w:sz w:val="22"/>
          <w:szCs w:val="22"/>
        </w:rPr>
        <w:t xml:space="preserve"> seismic surveys</w:t>
      </w:r>
      <w:r w:rsidR="000A467E" w:rsidRPr="00FF13D4">
        <w:rPr>
          <w:rFonts w:ascii="Arial" w:hAnsi="Arial"/>
          <w:sz w:val="22"/>
          <w:szCs w:val="22"/>
        </w:rPr>
        <w:t xml:space="preserve">, as illustrated in </w:t>
      </w:r>
      <w:r w:rsidRPr="004C0F3C">
        <w:rPr>
          <w:rFonts w:ascii="Arial" w:hAnsi="Arial"/>
          <w:sz w:val="22"/>
          <w:szCs w:val="22"/>
        </w:rPr>
        <w:t>Figure 5.</w:t>
      </w:r>
      <w:r w:rsidR="00A53B33" w:rsidRPr="004C0F3C">
        <w:rPr>
          <w:rFonts w:ascii="Arial" w:hAnsi="Arial"/>
          <w:sz w:val="22"/>
          <w:szCs w:val="22"/>
        </w:rPr>
        <w:t>38</w:t>
      </w:r>
      <w:r w:rsidRPr="004C0F3C">
        <w:rPr>
          <w:rFonts w:ascii="Arial" w:hAnsi="Arial"/>
          <w:sz w:val="22"/>
          <w:szCs w:val="22"/>
        </w:rPr>
        <w:t>.</w:t>
      </w:r>
    </w:p>
    <w:p w14:paraId="1BA064D1" w14:textId="77777777" w:rsidR="00846548" w:rsidRPr="00FF13D4" w:rsidRDefault="00846548" w:rsidP="00FF13D4">
      <w:pPr>
        <w:pStyle w:val="bodycopy"/>
        <w:rPr>
          <w:rFonts w:ascii="Arial" w:hAnsi="Arial"/>
          <w:sz w:val="22"/>
          <w:szCs w:val="22"/>
        </w:rPr>
      </w:pPr>
      <w:r w:rsidRPr="00FF13D4">
        <w:rPr>
          <w:rFonts w:ascii="Arial" w:hAnsi="Arial"/>
          <w:sz w:val="22"/>
          <w:szCs w:val="22"/>
        </w:rPr>
        <w:t>In recent years, there ha</w:t>
      </w:r>
      <w:r w:rsidR="00EE49FF" w:rsidRPr="00FF13D4">
        <w:rPr>
          <w:rFonts w:ascii="Arial" w:hAnsi="Arial"/>
          <w:sz w:val="22"/>
          <w:szCs w:val="22"/>
        </w:rPr>
        <w:t xml:space="preserve">s been very little petroleum or GHG exploration (seismic or drilling) in the Gippsland Basin. In the last five years (since the beginning of 2012), the following has taken place: </w:t>
      </w:r>
    </w:p>
    <w:p w14:paraId="734863AA" w14:textId="1A13BF3B" w:rsidR="00EE49FF" w:rsidRPr="00FF13D4" w:rsidRDefault="00EE49FF" w:rsidP="00FF13D4">
      <w:pPr>
        <w:pStyle w:val="bodycopy"/>
        <w:numPr>
          <w:ilvl w:val="0"/>
          <w:numId w:val="77"/>
        </w:numPr>
        <w:rPr>
          <w:rFonts w:ascii="Arial" w:hAnsi="Arial"/>
          <w:sz w:val="22"/>
          <w:szCs w:val="22"/>
        </w:rPr>
      </w:pPr>
      <w:r w:rsidRPr="00FF13D4">
        <w:rPr>
          <w:rFonts w:ascii="Arial" w:hAnsi="Arial"/>
          <w:sz w:val="22"/>
          <w:szCs w:val="22"/>
        </w:rPr>
        <w:t>2015 - Gippsland 2D Infill MSS – conducted by Geoscience Australia, mostly through the VIC-GIP-001 permit to the south of the Pelican 3DMSS area.</w:t>
      </w:r>
      <w:r w:rsidR="00C7392D" w:rsidRPr="00FF13D4">
        <w:rPr>
          <w:rFonts w:ascii="Arial" w:hAnsi="Arial"/>
          <w:sz w:val="22"/>
          <w:szCs w:val="22"/>
        </w:rPr>
        <w:t xml:space="preserve"> This survey aimed to identify potential sites for the long-term storage of CO</w:t>
      </w:r>
      <w:r w:rsidR="00C7392D" w:rsidRPr="00FF13D4">
        <w:rPr>
          <w:rFonts w:ascii="Arial" w:hAnsi="Arial"/>
          <w:sz w:val="22"/>
          <w:szCs w:val="22"/>
          <w:vertAlign w:val="subscript"/>
        </w:rPr>
        <w:t>2</w:t>
      </w:r>
      <w:r w:rsidR="00C7392D" w:rsidRPr="00FF13D4">
        <w:rPr>
          <w:rFonts w:ascii="Arial" w:hAnsi="Arial"/>
          <w:sz w:val="22"/>
          <w:szCs w:val="22"/>
        </w:rPr>
        <w:t>.</w:t>
      </w:r>
    </w:p>
    <w:p w14:paraId="3B24645F" w14:textId="55CE4D58" w:rsidR="00EE49FF" w:rsidRDefault="00EE49FF" w:rsidP="00FF13D4">
      <w:pPr>
        <w:pStyle w:val="bodycopy"/>
        <w:numPr>
          <w:ilvl w:val="0"/>
          <w:numId w:val="77"/>
        </w:numPr>
        <w:rPr>
          <w:rFonts w:ascii="Arial" w:hAnsi="Arial"/>
          <w:sz w:val="22"/>
          <w:szCs w:val="22"/>
        </w:rPr>
      </w:pPr>
      <w:r w:rsidRPr="00FF13D4">
        <w:rPr>
          <w:rFonts w:ascii="Arial" w:hAnsi="Arial"/>
          <w:sz w:val="22"/>
          <w:szCs w:val="22"/>
        </w:rPr>
        <w:t xml:space="preserve">2015 – Sealion-1 exploration well – drilled by Carnarvon Hibiscus Pty Ltd </w:t>
      </w:r>
      <w:r w:rsidR="00A806F2">
        <w:rPr>
          <w:rFonts w:ascii="Arial" w:hAnsi="Arial"/>
          <w:sz w:val="22"/>
          <w:szCs w:val="22"/>
        </w:rPr>
        <w:t xml:space="preserve">and located </w:t>
      </w:r>
      <w:r w:rsidR="002312E1">
        <w:rPr>
          <w:rFonts w:ascii="Arial" w:hAnsi="Arial"/>
          <w:sz w:val="22"/>
          <w:szCs w:val="22"/>
        </w:rPr>
        <w:t>3</w:t>
      </w:r>
      <w:r w:rsidRPr="00FF13D4">
        <w:rPr>
          <w:rFonts w:ascii="Arial" w:hAnsi="Arial"/>
          <w:sz w:val="22"/>
          <w:szCs w:val="22"/>
        </w:rPr>
        <w:t xml:space="preserve"> km to the east of the </w:t>
      </w:r>
      <w:r w:rsidR="00177146" w:rsidRPr="00FF13D4">
        <w:rPr>
          <w:rFonts w:ascii="Arial" w:hAnsi="Arial"/>
          <w:sz w:val="22"/>
          <w:szCs w:val="22"/>
        </w:rPr>
        <w:t>proposed acquisition</w:t>
      </w:r>
      <w:r w:rsidRPr="00FF13D4">
        <w:rPr>
          <w:rFonts w:ascii="Arial" w:hAnsi="Arial"/>
          <w:sz w:val="22"/>
          <w:szCs w:val="22"/>
        </w:rPr>
        <w:t xml:space="preserve"> area. This well did not encounter commercial volumes of hydrocarbons. </w:t>
      </w:r>
    </w:p>
    <w:p w14:paraId="1E2658D3" w14:textId="77777777" w:rsidR="001A4F2A" w:rsidRPr="001212F8" w:rsidRDefault="001A4F2A" w:rsidP="009811CF">
      <w:pPr>
        <w:pStyle w:val="Heading3"/>
        <w:jc w:val="both"/>
      </w:pPr>
      <w:bookmarkStart w:id="386" w:name="_Toc474222028"/>
      <w:bookmarkStart w:id="387" w:name="_Ref352241317"/>
      <w:bookmarkStart w:id="388" w:name="_Ref353700890"/>
      <w:bookmarkStart w:id="389" w:name="_Toc375214581"/>
      <w:r>
        <w:t xml:space="preserve">Commercial </w:t>
      </w:r>
      <w:r w:rsidRPr="009678C7">
        <w:t>Shipping</w:t>
      </w:r>
      <w:bookmarkEnd w:id="386"/>
      <w:bookmarkEnd w:id="387"/>
      <w:bookmarkEnd w:id="388"/>
      <w:bookmarkEnd w:id="389"/>
    </w:p>
    <w:p w14:paraId="402A639B" w14:textId="553DDC4A" w:rsidR="001A4F2A" w:rsidRPr="00FF13D4" w:rsidRDefault="001A4F2A" w:rsidP="001A4F2A">
      <w:pPr>
        <w:pStyle w:val="bodycopy"/>
        <w:rPr>
          <w:rFonts w:ascii="Arial" w:hAnsi="Arial"/>
          <w:sz w:val="22"/>
          <w:szCs w:val="22"/>
        </w:rPr>
      </w:pPr>
      <w:r w:rsidRPr="00FF13D4">
        <w:rPr>
          <w:rFonts w:ascii="Arial" w:hAnsi="Arial"/>
          <w:sz w:val="22"/>
          <w:szCs w:val="22"/>
        </w:rPr>
        <w:t>The South-east Marine Region (which includes Bass Strait) is one of the busiest shipping regions in Australia (DoE, 2015</w:t>
      </w:r>
      <w:r w:rsidR="00D91281">
        <w:rPr>
          <w:rFonts w:ascii="Arial" w:hAnsi="Arial"/>
          <w:sz w:val="22"/>
          <w:szCs w:val="22"/>
        </w:rPr>
        <w:t>a</w:t>
      </w:r>
      <w:r w:rsidRPr="00FF13D4">
        <w:rPr>
          <w:rFonts w:ascii="Arial" w:hAnsi="Arial"/>
          <w:sz w:val="22"/>
          <w:szCs w:val="22"/>
        </w:rPr>
        <w:t>). Shipping consists of international and coastal cargo trade, passenger services and cargo and vehicular ferry services across Bass Strait (DoE, 2015</w:t>
      </w:r>
      <w:r w:rsidR="00D91281">
        <w:rPr>
          <w:rFonts w:ascii="Arial" w:hAnsi="Arial"/>
          <w:sz w:val="22"/>
          <w:szCs w:val="22"/>
        </w:rPr>
        <w:t>a</w:t>
      </w:r>
      <w:r w:rsidRPr="00FF13D4">
        <w:rPr>
          <w:rFonts w:ascii="Arial" w:hAnsi="Arial"/>
          <w:sz w:val="22"/>
          <w:szCs w:val="22"/>
        </w:rPr>
        <w:t>). Lakes Entrance is an important fishing port for the region (DoE, 2015</w:t>
      </w:r>
      <w:r w:rsidR="00D91281">
        <w:rPr>
          <w:rFonts w:ascii="Arial" w:hAnsi="Arial"/>
          <w:sz w:val="22"/>
          <w:szCs w:val="22"/>
        </w:rPr>
        <w:t>a</w:t>
      </w:r>
      <w:r w:rsidRPr="00FF13D4">
        <w:rPr>
          <w:rFonts w:ascii="Arial" w:hAnsi="Arial"/>
          <w:sz w:val="22"/>
          <w:szCs w:val="22"/>
        </w:rPr>
        <w:t xml:space="preserve">). </w:t>
      </w:r>
    </w:p>
    <w:p w14:paraId="311C2F4E" w14:textId="7707EB38" w:rsidR="005D6C1E" w:rsidRPr="00CC2278" w:rsidRDefault="005D6C1E" w:rsidP="005D6C1E">
      <w:pPr>
        <w:pStyle w:val="bodycopy"/>
        <w:rPr>
          <w:rFonts w:ascii="Arial" w:hAnsi="Arial"/>
          <w:sz w:val="22"/>
          <w:szCs w:val="22"/>
        </w:rPr>
      </w:pPr>
      <w:r w:rsidRPr="00FF13D4">
        <w:rPr>
          <w:rFonts w:ascii="Arial" w:hAnsi="Arial"/>
          <w:sz w:val="22"/>
          <w:szCs w:val="22"/>
        </w:rPr>
        <w:t xml:space="preserve">Most of the proposed Pelican 3DMSS area is overlapped by the Bass Strait ‘Area to be </w:t>
      </w:r>
      <w:r w:rsidRPr="00CC2278">
        <w:rPr>
          <w:rFonts w:ascii="Arial" w:hAnsi="Arial"/>
          <w:sz w:val="22"/>
          <w:szCs w:val="22"/>
        </w:rPr>
        <w:t>Avoided’ (Figure 5.5</w:t>
      </w:r>
      <w:r w:rsidR="002425EF">
        <w:rPr>
          <w:rFonts w:ascii="Arial" w:hAnsi="Arial"/>
          <w:sz w:val="22"/>
          <w:szCs w:val="22"/>
        </w:rPr>
        <w:t>8</w:t>
      </w:r>
      <w:r w:rsidRPr="00CC2278">
        <w:rPr>
          <w:rFonts w:ascii="Arial" w:hAnsi="Arial"/>
          <w:sz w:val="22"/>
          <w:szCs w:val="22"/>
        </w:rPr>
        <w:t>). This area is a routing measure that ships in excess of 200 gross tonnes should avoid due to the high concentration of offshore petroleum infrastructure (oil and gas platforms and pipelines, as described in Section 5.6.6) that can provide a navigational hazard. The total area of the ATBA is 5,645 km</w:t>
      </w:r>
      <w:r w:rsidRPr="00CC2278">
        <w:rPr>
          <w:rFonts w:ascii="Arial" w:hAnsi="Arial"/>
          <w:sz w:val="22"/>
          <w:szCs w:val="22"/>
          <w:vertAlign w:val="superscript"/>
        </w:rPr>
        <w:t>2</w:t>
      </w:r>
      <w:r w:rsidRPr="00CC2278">
        <w:rPr>
          <w:rFonts w:ascii="Arial" w:hAnsi="Arial"/>
          <w:sz w:val="22"/>
          <w:szCs w:val="22"/>
        </w:rPr>
        <w:t xml:space="preserve">. Operators of vessels greater than 200 gross tonnes must apply to NOPSEMA to enter and be present within the ATBA (Australian Border Force, 2017). </w:t>
      </w:r>
    </w:p>
    <w:p w14:paraId="3242664C" w14:textId="6FF595F8" w:rsidR="00565459" w:rsidRDefault="001A4F2A" w:rsidP="001A4F2A">
      <w:pPr>
        <w:pStyle w:val="bodycopy"/>
        <w:rPr>
          <w:rFonts w:ascii="Arial" w:hAnsi="Arial"/>
          <w:sz w:val="22"/>
          <w:szCs w:val="22"/>
        </w:rPr>
      </w:pPr>
      <w:r w:rsidRPr="00CC2278">
        <w:rPr>
          <w:rFonts w:ascii="Arial" w:hAnsi="Arial"/>
          <w:sz w:val="22"/>
          <w:szCs w:val="22"/>
        </w:rPr>
        <w:t>AMSA has indicated that high traffic volume shipping areas are located south of the proposed acquisition area (Figure 5.</w:t>
      </w:r>
      <w:r w:rsidR="002425EF">
        <w:rPr>
          <w:rFonts w:ascii="Arial" w:hAnsi="Arial"/>
          <w:sz w:val="22"/>
          <w:szCs w:val="22"/>
        </w:rPr>
        <w:t>59</w:t>
      </w:r>
      <w:r w:rsidR="005D6C1E" w:rsidRPr="00CC2278">
        <w:rPr>
          <w:rFonts w:ascii="Arial" w:hAnsi="Arial"/>
          <w:sz w:val="22"/>
          <w:szCs w:val="22"/>
        </w:rPr>
        <w:t xml:space="preserve"> and Figure 5.</w:t>
      </w:r>
      <w:r w:rsidR="007B5FE1">
        <w:rPr>
          <w:rFonts w:ascii="Arial" w:hAnsi="Arial"/>
          <w:sz w:val="22"/>
          <w:szCs w:val="22"/>
        </w:rPr>
        <w:t>6</w:t>
      </w:r>
      <w:r w:rsidR="002425EF">
        <w:rPr>
          <w:rFonts w:ascii="Arial" w:hAnsi="Arial"/>
          <w:sz w:val="22"/>
          <w:szCs w:val="22"/>
        </w:rPr>
        <w:t>0</w:t>
      </w:r>
      <w:r w:rsidRPr="00CC2278">
        <w:rPr>
          <w:rFonts w:ascii="Arial" w:hAnsi="Arial"/>
          <w:sz w:val="22"/>
          <w:szCs w:val="22"/>
        </w:rPr>
        <w:t>).</w:t>
      </w:r>
      <w:r>
        <w:rPr>
          <w:rFonts w:ascii="Arial" w:hAnsi="Arial"/>
          <w:sz w:val="22"/>
          <w:szCs w:val="22"/>
        </w:rPr>
        <w:t xml:space="preserve"> AMSA has provided</w:t>
      </w:r>
      <w:r w:rsidRPr="00543B62">
        <w:rPr>
          <w:rFonts w:ascii="Arial" w:hAnsi="Arial"/>
          <w:sz w:val="22"/>
          <w:szCs w:val="22"/>
        </w:rPr>
        <w:t xml:space="preserve"> historic AIS traffic plot based off data collected between </w:t>
      </w:r>
      <w:r>
        <w:rPr>
          <w:rFonts w:ascii="Arial" w:hAnsi="Arial"/>
          <w:sz w:val="22"/>
          <w:szCs w:val="22"/>
        </w:rPr>
        <w:t>January</w:t>
      </w:r>
      <w:r w:rsidRPr="00543B62">
        <w:rPr>
          <w:rFonts w:ascii="Arial" w:hAnsi="Arial"/>
          <w:sz w:val="22"/>
          <w:szCs w:val="22"/>
        </w:rPr>
        <w:t xml:space="preserve"> 2016 and January 2017</w:t>
      </w:r>
      <w:r>
        <w:rPr>
          <w:rFonts w:ascii="Arial" w:hAnsi="Arial"/>
          <w:sz w:val="22"/>
          <w:szCs w:val="22"/>
        </w:rPr>
        <w:t xml:space="preserve"> (excludes </w:t>
      </w:r>
      <w:r w:rsidRPr="00543B62">
        <w:rPr>
          <w:rFonts w:ascii="Arial" w:hAnsi="Arial"/>
          <w:sz w:val="22"/>
          <w:szCs w:val="22"/>
        </w:rPr>
        <w:t>small domestic commercial vessels such as fishing trawlers and coastal craft</w:t>
      </w:r>
      <w:r>
        <w:rPr>
          <w:rFonts w:ascii="Arial" w:hAnsi="Arial"/>
          <w:sz w:val="22"/>
          <w:szCs w:val="22"/>
        </w:rPr>
        <w:t>)</w:t>
      </w:r>
      <w:r w:rsidRPr="00543B62">
        <w:rPr>
          <w:rFonts w:ascii="Arial" w:hAnsi="Arial"/>
          <w:sz w:val="22"/>
          <w:szCs w:val="22"/>
        </w:rPr>
        <w:t xml:space="preserve">. </w:t>
      </w:r>
      <w:r>
        <w:rPr>
          <w:rFonts w:ascii="Arial" w:hAnsi="Arial"/>
          <w:sz w:val="22"/>
          <w:szCs w:val="22"/>
        </w:rPr>
        <w:t xml:space="preserve">It indicates very light shipping activity occurs through the proposed acquisition area, with </w:t>
      </w:r>
      <w:r w:rsidRPr="00FF13D4">
        <w:rPr>
          <w:rFonts w:ascii="Arial" w:hAnsi="Arial"/>
          <w:sz w:val="22"/>
          <w:szCs w:val="22"/>
        </w:rPr>
        <w:t>high</w:t>
      </w:r>
      <w:r>
        <w:rPr>
          <w:rFonts w:ascii="Arial" w:hAnsi="Arial"/>
          <w:sz w:val="22"/>
          <w:szCs w:val="22"/>
        </w:rPr>
        <w:t>er</w:t>
      </w:r>
      <w:r w:rsidRPr="00FF13D4">
        <w:rPr>
          <w:rFonts w:ascii="Arial" w:hAnsi="Arial"/>
          <w:sz w:val="22"/>
          <w:szCs w:val="22"/>
        </w:rPr>
        <w:t xml:space="preserve"> traffic volume shipping areas located </w:t>
      </w:r>
      <w:r>
        <w:rPr>
          <w:rFonts w:ascii="Arial" w:hAnsi="Arial"/>
          <w:sz w:val="22"/>
          <w:szCs w:val="22"/>
        </w:rPr>
        <w:t xml:space="preserve">to the </w:t>
      </w:r>
      <w:r w:rsidRPr="00FF13D4">
        <w:rPr>
          <w:rFonts w:ascii="Arial" w:hAnsi="Arial"/>
          <w:sz w:val="22"/>
          <w:szCs w:val="22"/>
        </w:rPr>
        <w:t xml:space="preserve"> south of the </w:t>
      </w:r>
      <w:r>
        <w:rPr>
          <w:rFonts w:ascii="Arial" w:hAnsi="Arial"/>
          <w:sz w:val="22"/>
          <w:szCs w:val="22"/>
        </w:rPr>
        <w:t>acquisition</w:t>
      </w:r>
      <w:r w:rsidRPr="00FF13D4">
        <w:rPr>
          <w:rFonts w:ascii="Arial" w:hAnsi="Arial"/>
          <w:sz w:val="22"/>
          <w:szCs w:val="22"/>
        </w:rPr>
        <w:t xml:space="preserve"> area</w:t>
      </w:r>
      <w:r>
        <w:rPr>
          <w:rFonts w:ascii="Arial" w:hAnsi="Arial"/>
          <w:sz w:val="22"/>
          <w:szCs w:val="22"/>
        </w:rPr>
        <w:t>. AMSA advises that i</w:t>
      </w:r>
      <w:r w:rsidRPr="00543B62">
        <w:rPr>
          <w:rFonts w:ascii="Arial" w:hAnsi="Arial"/>
          <w:sz w:val="22"/>
          <w:szCs w:val="22"/>
        </w:rPr>
        <w:t xml:space="preserve">nteractions between the </w:t>
      </w:r>
      <w:r>
        <w:rPr>
          <w:rFonts w:ascii="Arial" w:hAnsi="Arial"/>
          <w:sz w:val="22"/>
          <w:szCs w:val="22"/>
        </w:rPr>
        <w:t>source</w:t>
      </w:r>
      <w:r w:rsidRPr="00543B62">
        <w:rPr>
          <w:rFonts w:ascii="Arial" w:hAnsi="Arial"/>
          <w:sz w:val="22"/>
          <w:szCs w:val="22"/>
        </w:rPr>
        <w:t xml:space="preserve"> vessel and large commercial ships is expected to be minimal due to the Area to be Avoided.</w:t>
      </w:r>
    </w:p>
    <w:p w14:paraId="33A3374B" w14:textId="77777777" w:rsidR="001A4F2A" w:rsidRDefault="001A4F2A" w:rsidP="001A4F2A">
      <w:pPr>
        <w:ind w:left="0"/>
        <w:rPr>
          <w:rFonts w:cs="Arial"/>
          <w:sz w:val="22"/>
          <w:szCs w:val="22"/>
        </w:rPr>
      </w:pPr>
      <w:r w:rsidRPr="001B56B5">
        <w:rPr>
          <w:rFonts w:cs="Arial"/>
          <w:sz w:val="22"/>
          <w:szCs w:val="22"/>
        </w:rPr>
        <w:t xml:space="preserve">To the immediate seaward side of the ATBA exist two traffic separation schemes, implemented by AMSA to enhance safety of navigation around the ATBA by separating shipping into one-direction lanes for vessels heading northeast and those heading southwest. </w:t>
      </w:r>
    </w:p>
    <w:p w14:paraId="7AE9B371" w14:textId="77777777" w:rsidR="00E94396" w:rsidRDefault="00E94396" w:rsidP="001A4F2A">
      <w:pPr>
        <w:ind w:left="0"/>
        <w:rPr>
          <w:rFonts w:cs="Arial"/>
          <w:sz w:val="22"/>
          <w:szCs w:val="22"/>
        </w:rPr>
      </w:pPr>
    </w:p>
    <w:p w14:paraId="76BAE4D5" w14:textId="77777777" w:rsidR="00E94396" w:rsidRDefault="00E94396" w:rsidP="00E94396">
      <w:pPr>
        <w:ind w:left="0"/>
      </w:pPr>
      <w:r w:rsidRPr="00CB246C">
        <w:rPr>
          <w:sz w:val="22"/>
          <w:szCs w:val="22"/>
        </w:rPr>
        <w:t>One separation area is located south of Wilson’s Promontory, and the other south of the Kingfisher B platform (D</w:t>
      </w:r>
      <w:r>
        <w:rPr>
          <w:sz w:val="22"/>
          <w:szCs w:val="22"/>
        </w:rPr>
        <w:t>IBP</w:t>
      </w:r>
      <w:r w:rsidRPr="00CB246C">
        <w:rPr>
          <w:sz w:val="22"/>
          <w:szCs w:val="22"/>
        </w:rPr>
        <w:t>, 20</w:t>
      </w:r>
      <w:r>
        <w:rPr>
          <w:sz w:val="22"/>
          <w:szCs w:val="22"/>
        </w:rPr>
        <w:t>17</w:t>
      </w:r>
      <w:r w:rsidRPr="00CB246C">
        <w:rPr>
          <w:sz w:val="22"/>
          <w:szCs w:val="22"/>
        </w:rPr>
        <w:t xml:space="preserve">), which is 76 km south of the southern end of the </w:t>
      </w:r>
      <w:r>
        <w:rPr>
          <w:sz w:val="22"/>
          <w:szCs w:val="22"/>
        </w:rPr>
        <w:t>proposed acquisition</w:t>
      </w:r>
      <w:r w:rsidRPr="00CB246C">
        <w:rPr>
          <w:sz w:val="22"/>
          <w:szCs w:val="22"/>
        </w:rPr>
        <w:t xml:space="preserve"> area.</w:t>
      </w:r>
    </w:p>
    <w:p w14:paraId="0C7EC792" w14:textId="77777777" w:rsidR="00E94396" w:rsidRPr="001B56B5" w:rsidRDefault="00E94396" w:rsidP="001A4F2A">
      <w:pPr>
        <w:ind w:left="0"/>
        <w:rPr>
          <w:rFonts w:cs="Arial"/>
          <w:sz w:val="22"/>
          <w:szCs w:val="22"/>
        </w:rPr>
      </w:pPr>
    </w:p>
    <w:p w14:paraId="4B5051AD" w14:textId="77777777" w:rsidR="001A4F2A" w:rsidRDefault="001A4F2A" w:rsidP="00565459">
      <w:pPr>
        <w:pStyle w:val="bodycopy"/>
        <w:rPr>
          <w:rFonts w:ascii="Arial" w:hAnsi="Arial"/>
          <w:sz w:val="22"/>
          <w:szCs w:val="22"/>
        </w:rPr>
      </w:pPr>
    </w:p>
    <w:p w14:paraId="2A3490FF" w14:textId="77777777" w:rsidR="001A4F2A" w:rsidRDefault="001A4F2A" w:rsidP="00565459">
      <w:pPr>
        <w:pStyle w:val="bodycopy"/>
        <w:rPr>
          <w:rFonts w:ascii="Arial" w:hAnsi="Arial"/>
          <w:sz w:val="22"/>
          <w:szCs w:val="22"/>
        </w:rPr>
      </w:pP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8522"/>
      </w:tblGrid>
      <w:tr w:rsidR="00565459" w14:paraId="2FF27672" w14:textId="77777777" w:rsidTr="00565459">
        <w:tc>
          <w:tcPr>
            <w:tcW w:w="8522" w:type="dxa"/>
            <w:shd w:val="clear" w:color="auto" w:fill="auto"/>
          </w:tcPr>
          <w:p w14:paraId="0976DC6A" w14:textId="391D496F" w:rsidR="00565459" w:rsidRDefault="001A4F2A" w:rsidP="001A4F2A">
            <w:pPr>
              <w:pStyle w:val="bodycopy"/>
              <w:jc w:val="both"/>
            </w:pPr>
            <w:r>
              <w:rPr>
                <w:b/>
                <w:noProof/>
                <w:sz w:val="20"/>
              </w:rPr>
              <w:lastRenderedPageBreak/>
              <w:drawing>
                <wp:inline distT="0" distB="0" distL="0" distR="0" wp14:anchorId="066D2F39" wp14:editId="09A87C5E">
                  <wp:extent cx="5253487" cy="7450729"/>
                  <wp:effectExtent l="0" t="0" r="4445" b="0"/>
                  <wp:docPr id="95" name="Picture 95" descr="C:\Users\vic83nm\AppData\Local\Microsoft\Windows\Temporary Internet Files\Content.Word\11_EP_Historic_Seismic_Surve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Users\vic83nm\AppData\Local\Microsoft\Windows\Temporary Internet Files\Content.Word\11_EP_Historic_Seismic_Surveys.png"/>
                          <pic:cNvPicPr>
                            <a:picLocks noChangeAspect="1" noChangeArrowheads="1"/>
                          </pic:cNvPicPr>
                        </pic:nvPicPr>
                        <pic:blipFill rotWithShape="1">
                          <a:blip r:embed="rId218" cstate="screen">
                            <a:extLst>
                              <a:ext uri="{28A0092B-C50C-407E-A947-70E740481C1C}">
                                <a14:useLocalDpi xmlns:a14="http://schemas.microsoft.com/office/drawing/2010/main"/>
                              </a:ext>
                            </a:extLst>
                          </a:blip>
                          <a:srcRect/>
                          <a:stretch/>
                        </pic:blipFill>
                        <pic:spPr bwMode="auto">
                          <a:xfrm>
                            <a:off x="0" y="0"/>
                            <a:ext cx="5253327" cy="745050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3B6C624" w14:textId="3B873E42" w:rsidR="00565459" w:rsidRPr="00A806F2" w:rsidRDefault="001A4F2A" w:rsidP="00565459">
      <w:pPr>
        <w:spacing w:before="120"/>
        <w:jc w:val="center"/>
        <w:rPr>
          <w:rFonts w:cs="Arial"/>
          <w:sz w:val="20"/>
          <w:szCs w:val="20"/>
        </w:rPr>
      </w:pPr>
      <w:r>
        <w:rPr>
          <w:rFonts w:cs="Arial"/>
          <w:b/>
          <w:sz w:val="20"/>
          <w:szCs w:val="20"/>
        </w:rPr>
        <w:t>Figure 5.5</w:t>
      </w:r>
      <w:r w:rsidR="002425EF">
        <w:rPr>
          <w:rFonts w:cs="Arial"/>
          <w:b/>
          <w:sz w:val="20"/>
          <w:szCs w:val="20"/>
        </w:rPr>
        <w:t>7</w:t>
      </w:r>
      <w:r w:rsidR="00565459" w:rsidRPr="00A806F2">
        <w:rPr>
          <w:rFonts w:cs="Arial"/>
          <w:b/>
          <w:sz w:val="20"/>
          <w:szCs w:val="20"/>
        </w:rPr>
        <w:t>.</w:t>
      </w:r>
      <w:r w:rsidR="00565459" w:rsidRPr="00A806F2">
        <w:rPr>
          <w:rFonts w:cs="Arial"/>
          <w:b/>
          <w:sz w:val="20"/>
          <w:szCs w:val="20"/>
        </w:rPr>
        <w:tab/>
        <w:t>Historic seismic lines in the Gippsland Basin</w:t>
      </w:r>
    </w:p>
    <w:p w14:paraId="7A2DE78C" w14:textId="77777777" w:rsidR="00565459" w:rsidRPr="00FF13D4" w:rsidRDefault="00565459" w:rsidP="00565459">
      <w:pPr>
        <w:pStyle w:val="bodycopy"/>
        <w:rPr>
          <w:rFonts w:ascii="Arial" w:hAnsi="Arial"/>
          <w:sz w:val="22"/>
          <w:szCs w:val="22"/>
        </w:rPr>
      </w:pPr>
    </w:p>
    <w:p w14:paraId="65288AD8" w14:textId="7F05D76C" w:rsidR="00543B62" w:rsidRDefault="00543B62" w:rsidP="00DD631B">
      <w:pPr>
        <w:pStyle w:val="bodycopy"/>
        <w:rPr>
          <w:rFonts w:ascii="Arial" w:hAnsi="Arial"/>
          <w:sz w:val="22"/>
          <w:szCs w:val="22"/>
        </w:rPr>
      </w:pPr>
      <w:r w:rsidRPr="00543B62">
        <w:rPr>
          <w:rFonts w:ascii="Arial" w:hAnsi="Arial"/>
          <w:sz w:val="22"/>
          <w:szCs w:val="22"/>
        </w:rPr>
        <w:t xml:space="preserve"> </w:t>
      </w:r>
    </w:p>
    <w:p w14:paraId="1C143DFF" w14:textId="77777777" w:rsidR="005D6C1E" w:rsidRDefault="005D6C1E" w:rsidP="00DD631B">
      <w:pPr>
        <w:pStyle w:val="bodycopy"/>
        <w:rPr>
          <w:rFonts w:ascii="Arial" w:hAnsi="Arial"/>
          <w:sz w:val="22"/>
          <w:szCs w:val="22"/>
        </w:rPr>
      </w:pPr>
    </w:p>
    <w:p w14:paraId="4F9B2937" w14:textId="77777777" w:rsidR="005D6C1E" w:rsidRDefault="005D6C1E" w:rsidP="00DD631B">
      <w:pPr>
        <w:pStyle w:val="bodycopy"/>
        <w:rPr>
          <w:rFonts w:ascii="Arial" w:hAnsi="Arial"/>
          <w:sz w:val="22"/>
          <w:szCs w:val="22"/>
        </w:rPr>
      </w:pP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8522"/>
      </w:tblGrid>
      <w:tr w:rsidR="005D6C1E" w14:paraId="5017C23A" w14:textId="77777777" w:rsidTr="001B4F5C">
        <w:tc>
          <w:tcPr>
            <w:tcW w:w="8522" w:type="dxa"/>
            <w:shd w:val="clear" w:color="auto" w:fill="auto"/>
          </w:tcPr>
          <w:p w14:paraId="74FAAEFB" w14:textId="4E6C4ADC" w:rsidR="005D6C1E" w:rsidRDefault="0087379F" w:rsidP="001B4F5C">
            <w:pPr>
              <w:pStyle w:val="bodycopy"/>
              <w:jc w:val="both"/>
              <w:rPr>
                <w:noProof/>
              </w:rPr>
            </w:pPr>
            <w:r>
              <w:rPr>
                <w:noProof/>
              </w:rPr>
              <w:lastRenderedPageBreak/>
              <w:drawing>
                <wp:inline distT="0" distB="0" distL="0" distR="0" wp14:anchorId="46F5C1C4" wp14:editId="5D1745A2">
                  <wp:extent cx="5266055" cy="3649345"/>
                  <wp:effectExtent l="0" t="0" r="0" b="8255"/>
                  <wp:docPr id="310" name="Picture 310" descr="Macintosh HD:Users:Giulio:Desktop:Screen Shot 2017-02-14 at 3.26.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iulio:Desktop:Screen Shot 2017-02-14 at 3.26.25 PM.png"/>
                          <pic:cNvPicPr>
                            <a:picLocks noChangeAspect="1" noChangeArrowheads="1"/>
                          </pic:cNvPicPr>
                        </pic:nvPicPr>
                        <pic:blipFill>
                          <a:blip r:embed="rId219" cstate="screen">
                            <a:extLst>
                              <a:ext uri="{28A0092B-C50C-407E-A947-70E740481C1C}">
                                <a14:useLocalDpi xmlns:a14="http://schemas.microsoft.com/office/drawing/2010/main"/>
                              </a:ext>
                            </a:extLst>
                          </a:blip>
                          <a:srcRect/>
                          <a:stretch>
                            <a:fillRect/>
                          </a:stretch>
                        </pic:blipFill>
                        <pic:spPr bwMode="auto">
                          <a:xfrm>
                            <a:off x="0" y="0"/>
                            <a:ext cx="5266055" cy="3649345"/>
                          </a:xfrm>
                          <a:prstGeom prst="rect">
                            <a:avLst/>
                          </a:prstGeom>
                          <a:noFill/>
                          <a:ln>
                            <a:noFill/>
                          </a:ln>
                        </pic:spPr>
                      </pic:pic>
                    </a:graphicData>
                  </a:graphic>
                </wp:inline>
              </w:drawing>
            </w:r>
          </w:p>
        </w:tc>
      </w:tr>
    </w:tbl>
    <w:p w14:paraId="3A830C41" w14:textId="77777777" w:rsidR="005D6C1E" w:rsidRPr="00705BD5" w:rsidRDefault="005D6C1E" w:rsidP="005D6C1E">
      <w:pPr>
        <w:spacing w:line="240" w:lineRule="auto"/>
        <w:ind w:hanging="720"/>
        <w:rPr>
          <w:rFonts w:cs="Arial"/>
          <w:i/>
          <w:sz w:val="16"/>
          <w:szCs w:val="16"/>
        </w:rPr>
      </w:pPr>
      <w:r w:rsidRPr="00705BD5">
        <w:rPr>
          <w:rFonts w:cs="Arial"/>
          <w:i/>
          <w:sz w:val="16"/>
          <w:szCs w:val="16"/>
        </w:rPr>
        <w:t xml:space="preserve">Source: Australian Border Force (2017). </w:t>
      </w:r>
    </w:p>
    <w:p w14:paraId="5079E3A4" w14:textId="2B80AE71" w:rsidR="005D6C1E" w:rsidRPr="00705BD5" w:rsidRDefault="005D6C1E" w:rsidP="005D6C1E">
      <w:pPr>
        <w:spacing w:before="120" w:line="240" w:lineRule="auto"/>
        <w:jc w:val="center"/>
        <w:rPr>
          <w:rFonts w:cs="Arial"/>
          <w:b/>
          <w:sz w:val="20"/>
          <w:szCs w:val="20"/>
        </w:rPr>
      </w:pPr>
      <w:r w:rsidRPr="00705BD5">
        <w:rPr>
          <w:rFonts w:cs="Arial"/>
          <w:b/>
          <w:sz w:val="20"/>
          <w:szCs w:val="20"/>
        </w:rPr>
        <w:t>Figure 5.</w:t>
      </w:r>
      <w:r>
        <w:rPr>
          <w:rFonts w:cs="Arial"/>
          <w:b/>
          <w:sz w:val="20"/>
          <w:szCs w:val="20"/>
        </w:rPr>
        <w:t>5</w:t>
      </w:r>
      <w:r w:rsidR="002425EF">
        <w:rPr>
          <w:rFonts w:cs="Arial"/>
          <w:b/>
          <w:sz w:val="20"/>
          <w:szCs w:val="20"/>
        </w:rPr>
        <w:t>8</w:t>
      </w:r>
      <w:r w:rsidRPr="00705BD5">
        <w:rPr>
          <w:rFonts w:cs="Arial"/>
          <w:b/>
          <w:sz w:val="20"/>
          <w:szCs w:val="20"/>
        </w:rPr>
        <w:t>.</w:t>
      </w:r>
      <w:r w:rsidRPr="00705BD5">
        <w:rPr>
          <w:rFonts w:cs="Arial"/>
          <w:b/>
          <w:sz w:val="20"/>
          <w:szCs w:val="20"/>
        </w:rPr>
        <w:tab/>
        <w:t>The Area to be Avoided in Bass Strait</w:t>
      </w:r>
    </w:p>
    <w:p w14:paraId="0E890B0F" w14:textId="77777777" w:rsidR="005D6C1E" w:rsidRDefault="005D6C1E" w:rsidP="00DD631B">
      <w:pPr>
        <w:pStyle w:val="bodycopy"/>
        <w:rPr>
          <w:rFonts w:ascii="Arial" w:hAnsi="Arial"/>
          <w:sz w:val="22"/>
          <w:szCs w:val="22"/>
        </w:rPr>
      </w:pP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8522"/>
      </w:tblGrid>
      <w:tr w:rsidR="00CB246C" w14:paraId="120F9566" w14:textId="77777777" w:rsidTr="009B28D0">
        <w:tc>
          <w:tcPr>
            <w:tcW w:w="8522" w:type="dxa"/>
            <w:shd w:val="clear" w:color="auto" w:fill="auto"/>
          </w:tcPr>
          <w:p w14:paraId="78C0A890" w14:textId="02B0FAB3" w:rsidR="00CB246C" w:rsidRDefault="0087379F" w:rsidP="009B28D0">
            <w:pPr>
              <w:pStyle w:val="bodycopy"/>
              <w:jc w:val="both"/>
            </w:pPr>
            <w:r>
              <w:rPr>
                <w:noProof/>
              </w:rPr>
              <w:drawing>
                <wp:inline distT="0" distB="0" distL="0" distR="0" wp14:anchorId="04F1203D" wp14:editId="316E6594">
                  <wp:extent cx="5355513" cy="3788833"/>
                  <wp:effectExtent l="0" t="0" r="4445" b="0"/>
                  <wp:docPr id="311" name="Picture 311" descr="Macintosh HD:Users:Giulio:GIULIO:5 AVENTUS:PROJECTS:087 CarbonNet - Inhouse support:Maps:AMSA_map_June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Giulio:GIULIO:5 AVENTUS:PROJECTS:087 CarbonNet - Inhouse support:Maps:AMSA_map_June2017.jpg"/>
                          <pic:cNvPicPr>
                            <a:picLocks noChangeAspect="1" noChangeArrowheads="1"/>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5355513" cy="3788833"/>
                          </a:xfrm>
                          <a:prstGeom prst="rect">
                            <a:avLst/>
                          </a:prstGeom>
                          <a:noFill/>
                          <a:ln>
                            <a:noFill/>
                          </a:ln>
                        </pic:spPr>
                      </pic:pic>
                    </a:graphicData>
                  </a:graphic>
                </wp:inline>
              </w:drawing>
            </w:r>
          </w:p>
        </w:tc>
      </w:tr>
    </w:tbl>
    <w:p w14:paraId="7AE331E8" w14:textId="77777777" w:rsidR="00CB246C" w:rsidRPr="008F4E70" w:rsidRDefault="00CB246C" w:rsidP="00CB246C">
      <w:pPr>
        <w:spacing w:line="240" w:lineRule="auto"/>
        <w:ind w:hanging="720"/>
        <w:rPr>
          <w:rFonts w:cs="Arial"/>
          <w:i/>
          <w:sz w:val="16"/>
          <w:szCs w:val="16"/>
        </w:rPr>
      </w:pPr>
      <w:r w:rsidRPr="008F4E70">
        <w:rPr>
          <w:rFonts w:cs="Arial"/>
          <w:i/>
          <w:sz w:val="16"/>
          <w:szCs w:val="16"/>
        </w:rPr>
        <w:t xml:space="preserve">Source: AMSA (2017). </w:t>
      </w:r>
    </w:p>
    <w:p w14:paraId="59B58F64" w14:textId="1FAFD804" w:rsidR="00CB246C" w:rsidRDefault="00CB246C" w:rsidP="00045C82">
      <w:pPr>
        <w:spacing w:before="120" w:line="240" w:lineRule="auto"/>
        <w:jc w:val="center"/>
        <w:rPr>
          <w:sz w:val="22"/>
          <w:szCs w:val="22"/>
        </w:rPr>
      </w:pPr>
      <w:r w:rsidRPr="008F4E70">
        <w:rPr>
          <w:rFonts w:cs="Arial"/>
          <w:b/>
          <w:sz w:val="20"/>
          <w:szCs w:val="20"/>
        </w:rPr>
        <w:t>Figure 5.</w:t>
      </w:r>
      <w:r w:rsidR="002425EF">
        <w:rPr>
          <w:rFonts w:cs="Arial"/>
          <w:b/>
          <w:sz w:val="20"/>
          <w:szCs w:val="20"/>
        </w:rPr>
        <w:t>59</w:t>
      </w:r>
      <w:r w:rsidRPr="008F4E70">
        <w:rPr>
          <w:rFonts w:cs="Arial"/>
          <w:b/>
          <w:sz w:val="20"/>
          <w:szCs w:val="20"/>
        </w:rPr>
        <w:t>.</w:t>
      </w:r>
      <w:r w:rsidRPr="008F4E70">
        <w:rPr>
          <w:rFonts w:cs="Arial"/>
          <w:b/>
          <w:sz w:val="20"/>
          <w:szCs w:val="20"/>
        </w:rPr>
        <w:tab/>
        <w:t xml:space="preserve">Shipping activity through the proposed </w:t>
      </w:r>
      <w:r w:rsidR="00045C82">
        <w:rPr>
          <w:rFonts w:cs="Arial"/>
          <w:b/>
          <w:sz w:val="20"/>
          <w:szCs w:val="20"/>
        </w:rPr>
        <w:t>operational</w:t>
      </w:r>
      <w:r w:rsidRPr="008F4E70">
        <w:rPr>
          <w:rFonts w:cs="Arial"/>
          <w:b/>
          <w:sz w:val="20"/>
          <w:szCs w:val="20"/>
        </w:rPr>
        <w:t xml:space="preserve"> area</w:t>
      </w:r>
    </w:p>
    <w:p w14:paraId="6DE9EA50" w14:textId="77777777" w:rsidR="00CB246C" w:rsidRDefault="00CB246C" w:rsidP="00DD631B">
      <w:pPr>
        <w:pStyle w:val="bodycopy"/>
        <w:rPr>
          <w:rFonts w:ascii="Arial" w:hAnsi="Arial"/>
          <w:sz w:val="22"/>
          <w:szCs w:val="22"/>
        </w:rPr>
      </w:pPr>
    </w:p>
    <w:p w14:paraId="19820948" w14:textId="77777777" w:rsidR="00CB246C" w:rsidRDefault="00CB246C" w:rsidP="00DD631B">
      <w:pPr>
        <w:pStyle w:val="bodycopy"/>
        <w:rPr>
          <w:rFonts w:ascii="Arial" w:hAnsi="Arial"/>
          <w:sz w:val="22"/>
          <w:szCs w:val="22"/>
        </w:rPr>
        <w:sectPr w:rsidR="00CB246C" w:rsidSect="00EE0DA9">
          <w:headerReference w:type="default" r:id="rId221"/>
          <w:footerReference w:type="default" r:id="rId222"/>
          <w:pgSz w:w="11906" w:h="16838" w:code="9"/>
          <w:pgMar w:top="1560" w:right="1800" w:bottom="1440" w:left="1800" w:header="994" w:footer="706" w:gutter="0"/>
          <w:cols w:space="708"/>
          <w:docGrid w:linePitch="360"/>
        </w:sectPr>
      </w:pPr>
    </w:p>
    <w:tbl>
      <w:tblPr>
        <w:tblStyle w:val="TableGrid"/>
        <w:tblW w:w="14142" w:type="dxa"/>
        <w:tblLook w:val="04A0" w:firstRow="1" w:lastRow="0" w:firstColumn="1" w:lastColumn="0" w:noHBand="0" w:noVBand="1"/>
      </w:tblPr>
      <w:tblGrid>
        <w:gridCol w:w="14142"/>
      </w:tblGrid>
      <w:tr w:rsidR="006D7E88" w14:paraId="0594F638" w14:textId="77777777" w:rsidTr="005D6C1E">
        <w:trPr>
          <w:trHeight w:val="7634"/>
        </w:trPr>
        <w:tc>
          <w:tcPr>
            <w:tcW w:w="14142" w:type="dxa"/>
          </w:tcPr>
          <w:p w14:paraId="15C36F63" w14:textId="48257E79" w:rsidR="006D7E88" w:rsidRDefault="0087379F" w:rsidP="005D6C1E">
            <w:pPr>
              <w:pStyle w:val="bodycopy"/>
              <w:spacing w:after="0"/>
              <w:rPr>
                <w:rFonts w:ascii="Arial" w:hAnsi="Arial"/>
                <w:sz w:val="22"/>
                <w:szCs w:val="22"/>
              </w:rPr>
            </w:pPr>
            <w:r>
              <w:rPr>
                <w:noProof/>
              </w:rPr>
              <w:lastRenderedPageBreak/>
              <w:drawing>
                <wp:anchor distT="0" distB="0" distL="114300" distR="114300" simplePos="0" relativeHeight="251679744" behindDoc="0" locked="0" layoutInCell="1" allowOverlap="1" wp14:anchorId="62982F8A" wp14:editId="2A0AD871">
                  <wp:simplePos x="0" y="0"/>
                  <wp:positionH relativeFrom="column">
                    <wp:posOffset>5764057</wp:posOffset>
                  </wp:positionH>
                  <wp:positionV relativeFrom="line">
                    <wp:posOffset>597535</wp:posOffset>
                  </wp:positionV>
                  <wp:extent cx="3079115" cy="1260475"/>
                  <wp:effectExtent l="0" t="0" r="6985" b="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3" cstate="screen">
                            <a:extLst>
                              <a:ext uri="{28A0092B-C50C-407E-A947-70E740481C1C}">
                                <a14:useLocalDpi xmlns:a14="http://schemas.microsoft.com/office/drawing/2010/main"/>
                              </a:ext>
                            </a:extLst>
                          </a:blip>
                          <a:srcRect/>
                          <a:stretch/>
                        </pic:blipFill>
                        <pic:spPr bwMode="auto">
                          <a:xfrm>
                            <a:off x="0" y="0"/>
                            <a:ext cx="3079115" cy="1260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1CF8D68" wp14:editId="12708FF9">
                  <wp:extent cx="6849374" cy="4772308"/>
                  <wp:effectExtent l="0" t="0" r="8890" b="9525"/>
                  <wp:docPr id="312" name="Picture 312" descr="C:\Users\vic83nm\AppData\Local\Microsoft\Windows\Temporary Internet Files\Content.Word\10_EP_Shipping Traff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Users\vic83nm\AppData\Local\Microsoft\Windows\Temporary Internet Files\Content.Word\10_EP_Shipping Traffic.png"/>
                          <pic:cNvPicPr>
                            <a:picLocks noChangeAspect="1" noChangeArrowheads="1"/>
                          </pic:cNvPicPr>
                        </pic:nvPicPr>
                        <pic:blipFill rotWithShape="1">
                          <a:blip r:embed="rId224" cstate="screen">
                            <a:extLst>
                              <a:ext uri="{28A0092B-C50C-407E-A947-70E740481C1C}">
                                <a14:useLocalDpi xmlns:a14="http://schemas.microsoft.com/office/drawing/2010/main"/>
                              </a:ext>
                            </a:extLst>
                          </a:blip>
                          <a:srcRect/>
                          <a:stretch/>
                        </pic:blipFill>
                        <pic:spPr bwMode="auto">
                          <a:xfrm>
                            <a:off x="0" y="0"/>
                            <a:ext cx="6849165" cy="477216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EA3D034" w14:textId="70EB25B8" w:rsidR="00FD63C4" w:rsidRPr="002901F1" w:rsidRDefault="000A501D" w:rsidP="00251BBF">
      <w:pPr>
        <w:spacing w:line="240" w:lineRule="auto"/>
        <w:ind w:hanging="720"/>
        <w:rPr>
          <w:rFonts w:cs="Arial"/>
          <w:i/>
          <w:sz w:val="16"/>
          <w:szCs w:val="16"/>
        </w:rPr>
      </w:pPr>
      <w:r w:rsidRPr="00472776">
        <w:rPr>
          <w:rFonts w:cs="Arial"/>
          <w:i/>
          <w:sz w:val="16"/>
          <w:szCs w:val="16"/>
        </w:rPr>
        <w:t>Source</w:t>
      </w:r>
      <w:r w:rsidR="00BB445B" w:rsidRPr="00472776">
        <w:rPr>
          <w:rFonts w:cs="Arial"/>
          <w:i/>
          <w:sz w:val="16"/>
          <w:szCs w:val="16"/>
        </w:rPr>
        <w:t xml:space="preserve">: </w:t>
      </w:r>
      <w:r w:rsidR="00FD63C4" w:rsidRPr="00472776">
        <w:rPr>
          <w:rFonts w:cs="Arial"/>
          <w:i/>
          <w:sz w:val="16"/>
          <w:szCs w:val="16"/>
        </w:rPr>
        <w:t>Victorian Government</w:t>
      </w:r>
      <w:r w:rsidR="00BB445B" w:rsidRPr="00472776">
        <w:rPr>
          <w:rFonts w:cs="Arial"/>
          <w:i/>
          <w:sz w:val="16"/>
          <w:szCs w:val="16"/>
        </w:rPr>
        <w:t xml:space="preserve"> (201</w:t>
      </w:r>
      <w:r w:rsidR="00CB246C">
        <w:rPr>
          <w:rFonts w:cs="Arial"/>
          <w:i/>
          <w:sz w:val="16"/>
          <w:szCs w:val="16"/>
        </w:rPr>
        <w:t>7</w:t>
      </w:r>
      <w:r w:rsidR="00BB445B" w:rsidRPr="00472776">
        <w:rPr>
          <w:rFonts w:cs="Arial"/>
          <w:i/>
          <w:sz w:val="16"/>
          <w:szCs w:val="16"/>
        </w:rPr>
        <w:t xml:space="preserve">). </w:t>
      </w:r>
      <w:r w:rsidR="00FD63C4" w:rsidRPr="00472776">
        <w:rPr>
          <w:rFonts w:cs="Arial"/>
          <w:i/>
          <w:sz w:val="16"/>
          <w:szCs w:val="16"/>
        </w:rPr>
        <w:t xml:space="preserve">Lowest density in blue, grading to highest density in red. </w:t>
      </w:r>
      <w:r w:rsidR="00FD63C4" w:rsidRPr="002901F1">
        <w:rPr>
          <w:rFonts w:cs="Arial"/>
          <w:i/>
          <w:sz w:val="16"/>
          <w:szCs w:val="16"/>
        </w:rPr>
        <w:t>Data is shown for all vessels fitted with AIS.</w:t>
      </w:r>
    </w:p>
    <w:p w14:paraId="1D7751BB" w14:textId="2DFF696A" w:rsidR="00722771" w:rsidRPr="002901F1" w:rsidRDefault="00722771" w:rsidP="00156857">
      <w:pPr>
        <w:spacing w:before="120" w:line="240" w:lineRule="auto"/>
        <w:jc w:val="center"/>
        <w:rPr>
          <w:rFonts w:cs="Arial"/>
          <w:b/>
          <w:sz w:val="20"/>
          <w:szCs w:val="20"/>
        </w:rPr>
      </w:pPr>
      <w:r w:rsidRPr="002901F1">
        <w:rPr>
          <w:rFonts w:cs="Arial"/>
          <w:b/>
          <w:sz w:val="20"/>
          <w:szCs w:val="20"/>
        </w:rPr>
        <w:t>Figure 5.</w:t>
      </w:r>
      <w:r w:rsidR="007B5FE1">
        <w:rPr>
          <w:rFonts w:cs="Arial"/>
          <w:b/>
          <w:sz w:val="20"/>
          <w:szCs w:val="20"/>
        </w:rPr>
        <w:t>6</w:t>
      </w:r>
      <w:r w:rsidR="002425EF">
        <w:rPr>
          <w:rFonts w:cs="Arial"/>
          <w:b/>
          <w:sz w:val="20"/>
          <w:szCs w:val="20"/>
        </w:rPr>
        <w:t>0</w:t>
      </w:r>
      <w:r w:rsidR="005B2CB6" w:rsidRPr="002901F1">
        <w:rPr>
          <w:rFonts w:cs="Arial"/>
          <w:b/>
          <w:sz w:val="20"/>
          <w:szCs w:val="20"/>
        </w:rPr>
        <w:t>.</w:t>
      </w:r>
      <w:r w:rsidRPr="002901F1">
        <w:rPr>
          <w:rFonts w:cs="Arial"/>
          <w:b/>
          <w:sz w:val="20"/>
          <w:szCs w:val="20"/>
        </w:rPr>
        <w:tab/>
      </w:r>
      <w:r w:rsidR="00FD63C4" w:rsidRPr="002901F1">
        <w:rPr>
          <w:rFonts w:cs="Arial"/>
          <w:b/>
          <w:sz w:val="20"/>
          <w:szCs w:val="20"/>
        </w:rPr>
        <w:t xml:space="preserve">Indicative vessel traffic density </w:t>
      </w:r>
      <w:r w:rsidR="0087379F">
        <w:rPr>
          <w:rFonts w:cs="Arial"/>
          <w:b/>
          <w:sz w:val="20"/>
          <w:szCs w:val="20"/>
        </w:rPr>
        <w:t>along</w:t>
      </w:r>
      <w:r w:rsidR="0087379F" w:rsidRPr="002901F1">
        <w:rPr>
          <w:rFonts w:cs="Arial"/>
          <w:b/>
          <w:sz w:val="20"/>
          <w:szCs w:val="20"/>
        </w:rPr>
        <w:t xml:space="preserve"> </w:t>
      </w:r>
      <w:r w:rsidR="00FD63C4" w:rsidRPr="002901F1">
        <w:rPr>
          <w:rFonts w:cs="Arial"/>
          <w:b/>
          <w:sz w:val="20"/>
          <w:szCs w:val="20"/>
        </w:rPr>
        <w:t xml:space="preserve">the Victorian coast </w:t>
      </w:r>
    </w:p>
    <w:p w14:paraId="0FAA75F1" w14:textId="77777777" w:rsidR="00CB246C" w:rsidRDefault="00CB246C" w:rsidP="00156857">
      <w:pPr>
        <w:spacing w:before="120" w:line="240" w:lineRule="auto"/>
        <w:jc w:val="center"/>
        <w:rPr>
          <w:rFonts w:ascii="Tahoma" w:hAnsi="Tahoma" w:cs="Tahoma"/>
          <w:b/>
          <w:sz w:val="18"/>
          <w:szCs w:val="18"/>
        </w:rPr>
        <w:sectPr w:rsidR="00CB246C" w:rsidSect="00CB246C">
          <w:headerReference w:type="even" r:id="rId225"/>
          <w:headerReference w:type="default" r:id="rId226"/>
          <w:footerReference w:type="default" r:id="rId227"/>
          <w:headerReference w:type="first" r:id="rId228"/>
          <w:pgSz w:w="16838" w:h="11906" w:orient="landscape" w:code="9"/>
          <w:pgMar w:top="1800" w:right="1560" w:bottom="1800" w:left="1440" w:header="994" w:footer="706" w:gutter="0"/>
          <w:cols w:space="708"/>
          <w:docGrid w:linePitch="360"/>
        </w:sectPr>
      </w:pPr>
    </w:p>
    <w:p w14:paraId="48AE7F55" w14:textId="77777777" w:rsidR="00885EE5" w:rsidRPr="001212F8" w:rsidRDefault="00885EE5" w:rsidP="009678C7">
      <w:pPr>
        <w:pStyle w:val="Heading3"/>
      </w:pPr>
      <w:bookmarkStart w:id="390" w:name="_Toc474222029"/>
      <w:bookmarkStart w:id="391" w:name="_Toc375214582"/>
      <w:r>
        <w:lastRenderedPageBreak/>
        <w:t>Defence Activities</w:t>
      </w:r>
      <w:bookmarkEnd w:id="390"/>
      <w:bookmarkEnd w:id="391"/>
      <w:r>
        <w:t xml:space="preserve"> </w:t>
      </w:r>
    </w:p>
    <w:p w14:paraId="5ED890CD" w14:textId="3A7BDECD" w:rsidR="00251BBF" w:rsidRDefault="00C53D6D" w:rsidP="00B6309E">
      <w:pPr>
        <w:autoSpaceDE w:val="0"/>
        <w:autoSpaceDN w:val="0"/>
        <w:adjustRightInd w:val="0"/>
        <w:spacing w:line="240" w:lineRule="auto"/>
        <w:ind w:left="0"/>
      </w:pPr>
      <w:r w:rsidRPr="001B56B5">
        <w:rPr>
          <w:sz w:val="22"/>
          <w:szCs w:val="22"/>
        </w:rPr>
        <w:t>Defence activities that may take place in the region include transit of naval vessels, training exercises, hydrographic survey, surveillance and enforcement, and search and rescue. There are no defence training areas within the EMBA (DoE, 2015</w:t>
      </w:r>
      <w:r w:rsidR="00D91281">
        <w:rPr>
          <w:sz w:val="22"/>
          <w:szCs w:val="22"/>
        </w:rPr>
        <w:t>a</w:t>
      </w:r>
      <w:r w:rsidRPr="001B56B5">
        <w:rPr>
          <w:sz w:val="22"/>
          <w:szCs w:val="22"/>
        </w:rPr>
        <w:t>).</w:t>
      </w:r>
      <w:r w:rsidR="00A3199B">
        <w:rPr>
          <w:sz w:val="22"/>
          <w:szCs w:val="22"/>
        </w:rPr>
        <w:t xml:space="preserve"> </w:t>
      </w:r>
      <w:r w:rsidR="00B6309E" w:rsidRPr="001B56B5">
        <w:rPr>
          <w:sz w:val="22"/>
          <w:szCs w:val="22"/>
        </w:rPr>
        <w:t xml:space="preserve">The </w:t>
      </w:r>
      <w:r w:rsidR="00981068" w:rsidRPr="001B56B5">
        <w:rPr>
          <w:sz w:val="22"/>
          <w:szCs w:val="22"/>
        </w:rPr>
        <w:t>proposed Pelican 3DMSS area</w:t>
      </w:r>
      <w:r w:rsidR="00B6309E" w:rsidRPr="001B56B5">
        <w:rPr>
          <w:sz w:val="22"/>
          <w:szCs w:val="22"/>
        </w:rPr>
        <w:t xml:space="preserve"> is </w:t>
      </w:r>
      <w:r w:rsidR="003475EF" w:rsidRPr="001B56B5">
        <w:rPr>
          <w:sz w:val="22"/>
          <w:szCs w:val="22"/>
        </w:rPr>
        <w:t xml:space="preserve">located </w:t>
      </w:r>
      <w:r w:rsidR="00B6309E" w:rsidRPr="001B56B5">
        <w:rPr>
          <w:sz w:val="22"/>
          <w:szCs w:val="22"/>
        </w:rPr>
        <w:t>beneath Defence Restricted Airspace R258D</w:t>
      </w:r>
      <w:r w:rsidR="00B6309E" w:rsidRPr="00CC2278">
        <w:rPr>
          <w:sz w:val="22"/>
          <w:szCs w:val="22"/>
        </w:rPr>
        <w:t>.</w:t>
      </w:r>
      <w:r w:rsidR="00B6309E" w:rsidRPr="001B56B5">
        <w:rPr>
          <w:sz w:val="22"/>
          <w:szCs w:val="22"/>
        </w:rPr>
        <w:t xml:space="preserve"> </w:t>
      </w:r>
    </w:p>
    <w:p w14:paraId="776A1585" w14:textId="77777777" w:rsidR="00B405B6" w:rsidRPr="001212F8" w:rsidRDefault="00B405B6" w:rsidP="00B405B6">
      <w:pPr>
        <w:pStyle w:val="Heading3"/>
      </w:pPr>
      <w:bookmarkStart w:id="392" w:name="_Toc375214583"/>
      <w:r>
        <w:t>Other Infrastructure</w:t>
      </w:r>
      <w:bookmarkEnd w:id="392"/>
    </w:p>
    <w:p w14:paraId="17A6F988" w14:textId="3D1F2967" w:rsidR="0024413B" w:rsidRPr="001B56B5" w:rsidRDefault="0024413B" w:rsidP="00891DE1">
      <w:pPr>
        <w:autoSpaceDE w:val="0"/>
        <w:autoSpaceDN w:val="0"/>
        <w:adjustRightInd w:val="0"/>
        <w:spacing w:after="120" w:line="240" w:lineRule="auto"/>
        <w:ind w:left="0"/>
        <w:rPr>
          <w:sz w:val="22"/>
          <w:szCs w:val="22"/>
        </w:rPr>
      </w:pPr>
      <w:r w:rsidRPr="001B56B5">
        <w:rPr>
          <w:sz w:val="22"/>
          <w:szCs w:val="22"/>
        </w:rPr>
        <w:t xml:space="preserve">Other infrastructure present within the EMBA includes: </w:t>
      </w:r>
    </w:p>
    <w:p w14:paraId="7BBF9EA2" w14:textId="21720D95" w:rsidR="007B00A3" w:rsidRPr="00CC2278" w:rsidRDefault="0024413B" w:rsidP="00567567">
      <w:pPr>
        <w:pStyle w:val="ColorfulList-Accent11"/>
        <w:numPr>
          <w:ilvl w:val="0"/>
          <w:numId w:val="100"/>
        </w:numPr>
        <w:autoSpaceDE w:val="0"/>
        <w:autoSpaceDN w:val="0"/>
        <w:adjustRightInd w:val="0"/>
        <w:spacing w:line="240" w:lineRule="auto"/>
        <w:rPr>
          <w:sz w:val="22"/>
          <w:szCs w:val="22"/>
        </w:rPr>
      </w:pPr>
      <w:r w:rsidRPr="001B56B5">
        <w:rPr>
          <w:sz w:val="22"/>
          <w:szCs w:val="22"/>
        </w:rPr>
        <w:t xml:space="preserve">The </w:t>
      </w:r>
      <w:r w:rsidR="007B00A3" w:rsidRPr="001B56B5">
        <w:rPr>
          <w:sz w:val="22"/>
          <w:szCs w:val="22"/>
        </w:rPr>
        <w:t xml:space="preserve">Basslink </w:t>
      </w:r>
      <w:r w:rsidRPr="001B56B5">
        <w:rPr>
          <w:sz w:val="22"/>
          <w:szCs w:val="22"/>
        </w:rPr>
        <w:t xml:space="preserve">electricity interconnector </w:t>
      </w:r>
      <w:r w:rsidR="007B00A3" w:rsidRPr="00CC2278">
        <w:rPr>
          <w:sz w:val="22"/>
          <w:szCs w:val="22"/>
        </w:rPr>
        <w:t xml:space="preserve">cable, </w:t>
      </w:r>
      <w:r w:rsidR="002550A0">
        <w:rPr>
          <w:sz w:val="22"/>
          <w:szCs w:val="22"/>
        </w:rPr>
        <w:t xml:space="preserve">which is </w:t>
      </w:r>
      <w:r w:rsidRPr="00CC2278">
        <w:rPr>
          <w:sz w:val="22"/>
          <w:szCs w:val="22"/>
        </w:rPr>
        <w:t xml:space="preserve">located </w:t>
      </w:r>
      <w:r w:rsidR="007B00A3" w:rsidRPr="00CC2278">
        <w:rPr>
          <w:sz w:val="22"/>
          <w:szCs w:val="22"/>
        </w:rPr>
        <w:t>34 km to the west</w:t>
      </w:r>
      <w:r w:rsidRPr="00CC2278">
        <w:rPr>
          <w:sz w:val="22"/>
          <w:szCs w:val="22"/>
        </w:rPr>
        <w:t xml:space="preserve"> of the proposed </w:t>
      </w:r>
      <w:r w:rsidR="00361078" w:rsidRPr="00CC2278">
        <w:rPr>
          <w:sz w:val="22"/>
          <w:szCs w:val="22"/>
        </w:rPr>
        <w:t xml:space="preserve">survey acquisition area. This cable connects the Victorian and Tasmanian electricity grids (with landfalls at McGauran Beach, Victoria and </w:t>
      </w:r>
      <w:r w:rsidR="00770770" w:rsidRPr="00CC2278">
        <w:rPr>
          <w:sz w:val="22"/>
          <w:szCs w:val="22"/>
        </w:rPr>
        <w:t>Four</w:t>
      </w:r>
      <w:r w:rsidR="00361078" w:rsidRPr="00CC2278">
        <w:rPr>
          <w:sz w:val="22"/>
          <w:szCs w:val="22"/>
        </w:rPr>
        <w:t xml:space="preserve"> Mile </w:t>
      </w:r>
      <w:r w:rsidR="00770770" w:rsidRPr="00CC2278">
        <w:rPr>
          <w:sz w:val="22"/>
          <w:szCs w:val="22"/>
        </w:rPr>
        <w:t>Bluff</w:t>
      </w:r>
      <w:r w:rsidR="00361078" w:rsidRPr="00CC2278">
        <w:rPr>
          <w:sz w:val="22"/>
          <w:szCs w:val="22"/>
        </w:rPr>
        <w:t xml:space="preserve">, Tasmania) and was </w:t>
      </w:r>
      <w:r w:rsidR="00346194" w:rsidRPr="00CC2278">
        <w:rPr>
          <w:sz w:val="22"/>
          <w:szCs w:val="22"/>
        </w:rPr>
        <w:t>laid</w:t>
      </w:r>
      <w:r w:rsidR="00361078" w:rsidRPr="00CC2278">
        <w:rPr>
          <w:sz w:val="22"/>
          <w:szCs w:val="22"/>
        </w:rPr>
        <w:t xml:space="preserve"> in 2004.  </w:t>
      </w:r>
    </w:p>
    <w:p w14:paraId="0135B0F4" w14:textId="77777777" w:rsidR="007B00A3" w:rsidRPr="00CC2278" w:rsidRDefault="007B00A3" w:rsidP="00B405B6">
      <w:pPr>
        <w:autoSpaceDE w:val="0"/>
        <w:autoSpaceDN w:val="0"/>
        <w:adjustRightInd w:val="0"/>
        <w:spacing w:line="240" w:lineRule="auto"/>
        <w:ind w:left="0"/>
        <w:rPr>
          <w:sz w:val="22"/>
          <w:szCs w:val="22"/>
        </w:rPr>
      </w:pPr>
    </w:p>
    <w:p w14:paraId="03D23D1D" w14:textId="2F7FD4B0" w:rsidR="00770770" w:rsidRPr="001B56B5" w:rsidRDefault="00AA08A8" w:rsidP="00891DE1">
      <w:pPr>
        <w:pStyle w:val="ColorfulList-Accent11"/>
        <w:numPr>
          <w:ilvl w:val="0"/>
          <w:numId w:val="100"/>
        </w:numPr>
        <w:autoSpaceDE w:val="0"/>
        <w:autoSpaceDN w:val="0"/>
        <w:adjustRightInd w:val="0"/>
        <w:spacing w:after="240" w:line="240" w:lineRule="auto"/>
        <w:rPr>
          <w:sz w:val="22"/>
          <w:szCs w:val="22"/>
        </w:rPr>
      </w:pPr>
      <w:r w:rsidRPr="00CC2278">
        <w:rPr>
          <w:sz w:val="22"/>
          <w:szCs w:val="22"/>
        </w:rPr>
        <w:t xml:space="preserve">The </w:t>
      </w:r>
      <w:r w:rsidR="00714D09" w:rsidRPr="00CC2278">
        <w:rPr>
          <w:sz w:val="22"/>
          <w:szCs w:val="22"/>
        </w:rPr>
        <w:t xml:space="preserve">ocean </w:t>
      </w:r>
      <w:r w:rsidRPr="00CC2278">
        <w:rPr>
          <w:sz w:val="22"/>
          <w:szCs w:val="22"/>
        </w:rPr>
        <w:t>outfall</w:t>
      </w:r>
      <w:r w:rsidR="00714D09" w:rsidRPr="00CC2278">
        <w:rPr>
          <w:sz w:val="22"/>
          <w:szCs w:val="22"/>
        </w:rPr>
        <w:t>s</w:t>
      </w:r>
      <w:r w:rsidR="00770770" w:rsidRPr="00CC2278">
        <w:rPr>
          <w:sz w:val="22"/>
          <w:szCs w:val="22"/>
        </w:rPr>
        <w:t xml:space="preserve"> </w:t>
      </w:r>
      <w:r w:rsidRPr="00CC2278">
        <w:rPr>
          <w:sz w:val="22"/>
          <w:szCs w:val="22"/>
        </w:rPr>
        <w:t xml:space="preserve">for </w:t>
      </w:r>
      <w:r w:rsidR="00714D09" w:rsidRPr="00CC2278">
        <w:rPr>
          <w:sz w:val="22"/>
          <w:szCs w:val="22"/>
        </w:rPr>
        <w:t xml:space="preserve">ROS at Delray Beach </w:t>
      </w:r>
      <w:r w:rsidR="00243EEF" w:rsidRPr="00CC2278">
        <w:rPr>
          <w:sz w:val="22"/>
          <w:szCs w:val="22"/>
        </w:rPr>
        <w:t>(</w:t>
      </w:r>
      <w:r w:rsidR="003C3DF1" w:rsidRPr="00CC2278">
        <w:rPr>
          <w:sz w:val="22"/>
          <w:szCs w:val="22"/>
        </w:rPr>
        <w:t>1</w:t>
      </w:r>
      <w:r w:rsidR="00243EEF" w:rsidRPr="00CC2278">
        <w:rPr>
          <w:sz w:val="22"/>
          <w:szCs w:val="22"/>
        </w:rPr>
        <w:t xml:space="preserve"> km from the proposed acquisition area) </w:t>
      </w:r>
      <w:r w:rsidR="00714D09" w:rsidRPr="00CC2278">
        <w:rPr>
          <w:sz w:val="22"/>
          <w:szCs w:val="22"/>
        </w:rPr>
        <w:t xml:space="preserve">and the </w:t>
      </w:r>
      <w:r w:rsidR="00770770" w:rsidRPr="00CC2278">
        <w:rPr>
          <w:sz w:val="22"/>
          <w:szCs w:val="22"/>
        </w:rPr>
        <w:t>SWOP</w:t>
      </w:r>
      <w:r w:rsidR="00714D09" w:rsidRPr="00CC2278">
        <w:rPr>
          <w:sz w:val="22"/>
          <w:szCs w:val="22"/>
        </w:rPr>
        <w:t xml:space="preserve"> at McGaurans Beach</w:t>
      </w:r>
      <w:r w:rsidR="00243EEF" w:rsidRPr="00CC2278">
        <w:rPr>
          <w:sz w:val="22"/>
          <w:szCs w:val="22"/>
        </w:rPr>
        <w:t xml:space="preserve"> (</w:t>
      </w:r>
      <w:r w:rsidR="003C3DF1" w:rsidRPr="00CC2278">
        <w:rPr>
          <w:sz w:val="22"/>
          <w:szCs w:val="22"/>
        </w:rPr>
        <w:t>25</w:t>
      </w:r>
      <w:r w:rsidR="00243EEF" w:rsidRPr="00CC2278">
        <w:rPr>
          <w:sz w:val="22"/>
          <w:szCs w:val="22"/>
        </w:rPr>
        <w:t xml:space="preserve"> km </w:t>
      </w:r>
      <w:r w:rsidR="003C3DF1" w:rsidRPr="00CC2278">
        <w:rPr>
          <w:sz w:val="22"/>
          <w:szCs w:val="22"/>
        </w:rPr>
        <w:t xml:space="preserve">southwest </w:t>
      </w:r>
      <w:r w:rsidR="00243EEF" w:rsidRPr="00CC2278">
        <w:rPr>
          <w:sz w:val="22"/>
          <w:szCs w:val="22"/>
        </w:rPr>
        <w:t>from the proposed acquisition area)</w:t>
      </w:r>
      <w:r w:rsidR="00714D09" w:rsidRPr="00CC2278">
        <w:rPr>
          <w:sz w:val="22"/>
          <w:szCs w:val="22"/>
        </w:rPr>
        <w:t>.</w:t>
      </w:r>
      <w:r w:rsidR="00714D09" w:rsidRPr="001B56B5">
        <w:rPr>
          <w:sz w:val="22"/>
          <w:szCs w:val="22"/>
        </w:rPr>
        <w:t xml:space="preserve"> These outfalls are operated by Gippsland Water, and dispose large volumes of highly saline treated wastewater</w:t>
      </w:r>
      <w:r w:rsidR="005B2CB6" w:rsidRPr="001B56B5">
        <w:rPr>
          <w:sz w:val="22"/>
          <w:szCs w:val="22"/>
        </w:rPr>
        <w:t>.</w:t>
      </w:r>
      <w:r w:rsidR="001B56B5">
        <w:rPr>
          <w:sz w:val="22"/>
          <w:szCs w:val="22"/>
        </w:rPr>
        <w:t xml:space="preserve"> </w:t>
      </w:r>
    </w:p>
    <w:p w14:paraId="5B5A4BF7" w14:textId="5B9AF93F" w:rsidR="000908E9" w:rsidRDefault="00CC068C" w:rsidP="009C6F85">
      <w:pPr>
        <w:autoSpaceDE w:val="0"/>
        <w:autoSpaceDN w:val="0"/>
        <w:adjustRightInd w:val="0"/>
        <w:spacing w:line="240" w:lineRule="auto"/>
        <w:ind w:left="0"/>
        <w:rPr>
          <w:b/>
          <w:color w:val="FF0000"/>
        </w:rPr>
      </w:pPr>
      <w:r w:rsidRPr="00346194">
        <w:rPr>
          <w:sz w:val="22"/>
          <w:szCs w:val="22"/>
        </w:rPr>
        <w:t xml:space="preserve">The Commonwealth Department of Communications and the Arts has confirmed with CarbonNet that there are no </w:t>
      </w:r>
      <w:r w:rsidR="00346194" w:rsidRPr="00346194">
        <w:rPr>
          <w:sz w:val="22"/>
          <w:szCs w:val="22"/>
        </w:rPr>
        <w:t xml:space="preserve">submarine cable protection zones in the vicinity of the proposed acquisition area. </w:t>
      </w:r>
      <w:r w:rsidR="00346194">
        <w:rPr>
          <w:sz w:val="22"/>
          <w:szCs w:val="22"/>
        </w:rPr>
        <w:t xml:space="preserve">The nearest telecommunications </w:t>
      </w:r>
      <w:r w:rsidR="007130E3">
        <w:rPr>
          <w:sz w:val="22"/>
          <w:szCs w:val="22"/>
        </w:rPr>
        <w:t xml:space="preserve">cables, which connect Tasmania to the Australian mainland, occur to the west of Wilsons Promontory and are far outside the EMBA. </w:t>
      </w:r>
    </w:p>
    <w:p w14:paraId="05653970" w14:textId="77777777" w:rsidR="00B72B6A" w:rsidRDefault="00B72B6A" w:rsidP="003B467E">
      <w:pPr>
        <w:ind w:left="0"/>
        <w:jc w:val="center"/>
        <w:rPr>
          <w:b/>
          <w:color w:val="FF0000"/>
        </w:rPr>
      </w:pPr>
    </w:p>
    <w:p w14:paraId="1680638F" w14:textId="77777777" w:rsidR="009C6F85" w:rsidRDefault="009C6F85" w:rsidP="003B467E">
      <w:pPr>
        <w:ind w:left="0"/>
        <w:jc w:val="center"/>
        <w:rPr>
          <w:b/>
          <w:color w:val="FF0000"/>
        </w:rPr>
        <w:sectPr w:rsidR="009C6F85" w:rsidSect="009C6F85">
          <w:headerReference w:type="even" r:id="rId229"/>
          <w:headerReference w:type="default" r:id="rId230"/>
          <w:footerReference w:type="default" r:id="rId231"/>
          <w:headerReference w:type="first" r:id="rId232"/>
          <w:pgSz w:w="11906" w:h="16838" w:code="9"/>
          <w:pgMar w:top="1560" w:right="1800" w:bottom="1440" w:left="1551" w:header="994" w:footer="706" w:gutter="0"/>
          <w:cols w:space="708"/>
          <w:docGrid w:linePitch="360"/>
        </w:sectPr>
      </w:pPr>
    </w:p>
    <w:p w14:paraId="1827E648" w14:textId="7C0F360E" w:rsidR="00492905" w:rsidRPr="00B03966" w:rsidRDefault="00FC53B2" w:rsidP="00B03966">
      <w:pPr>
        <w:pStyle w:val="Heading1"/>
        <w:keepLines/>
        <w:numPr>
          <w:ilvl w:val="0"/>
          <w:numId w:val="1"/>
        </w:numPr>
        <w:tabs>
          <w:tab w:val="clear" w:pos="360"/>
        </w:tabs>
        <w:spacing w:before="520" w:after="480" w:line="240" w:lineRule="auto"/>
        <w:rPr>
          <w:rFonts w:cs="Times New Roman"/>
          <w:b/>
          <w:color w:val="064EA8"/>
          <w:kern w:val="0"/>
          <w:sz w:val="36"/>
          <w:lang w:eastAsia="en-US"/>
        </w:rPr>
      </w:pPr>
      <w:r>
        <w:rPr>
          <w:rFonts w:cs="Times New Roman"/>
          <w:b/>
          <w:color w:val="064EA8"/>
          <w:kern w:val="0"/>
          <w:sz w:val="36"/>
          <w:lang w:eastAsia="en-US"/>
        </w:rPr>
        <w:lastRenderedPageBreak/>
        <w:tab/>
      </w:r>
      <w:bookmarkStart w:id="393" w:name="_Toc375214584"/>
      <w:r w:rsidR="00472776">
        <w:rPr>
          <w:rFonts w:cs="Times New Roman"/>
          <w:b/>
          <w:color w:val="064EA8"/>
          <w:kern w:val="0"/>
          <w:sz w:val="36"/>
          <w:lang w:eastAsia="en-US"/>
        </w:rPr>
        <w:t xml:space="preserve">Impact and </w:t>
      </w:r>
      <w:r w:rsidR="00492905" w:rsidRPr="00B03966">
        <w:rPr>
          <w:rFonts w:cs="Times New Roman"/>
          <w:b/>
          <w:color w:val="064EA8"/>
          <w:kern w:val="0"/>
          <w:sz w:val="36"/>
          <w:lang w:eastAsia="en-US"/>
        </w:rPr>
        <w:t>Risk Assessment</w:t>
      </w:r>
      <w:r w:rsidR="009A0A02">
        <w:rPr>
          <w:rFonts w:cs="Times New Roman"/>
          <w:b/>
          <w:color w:val="064EA8"/>
          <w:kern w:val="0"/>
          <w:sz w:val="36"/>
          <w:lang w:eastAsia="en-US"/>
        </w:rPr>
        <w:t xml:space="preserve"> Methodology</w:t>
      </w:r>
      <w:bookmarkEnd w:id="393"/>
    </w:p>
    <w:p w14:paraId="4DBA1D3D" w14:textId="5EF58F81" w:rsidR="00DD631B" w:rsidRDefault="00DD631B" w:rsidP="00DD631B">
      <w:pPr>
        <w:pStyle w:val="bodycopy"/>
        <w:rPr>
          <w:rFonts w:ascii="Arial" w:hAnsi="Arial"/>
          <w:sz w:val="22"/>
          <w:szCs w:val="22"/>
        </w:rPr>
      </w:pPr>
      <w:r w:rsidRPr="00FC53B2">
        <w:rPr>
          <w:rFonts w:ascii="Arial" w:hAnsi="Arial"/>
          <w:sz w:val="22"/>
          <w:szCs w:val="22"/>
        </w:rPr>
        <w:t xml:space="preserve">This chapter </w:t>
      </w:r>
      <w:r w:rsidR="0015230B">
        <w:rPr>
          <w:rFonts w:ascii="Arial" w:hAnsi="Arial"/>
          <w:sz w:val="22"/>
          <w:szCs w:val="22"/>
        </w:rPr>
        <w:t xml:space="preserve">briefly </w:t>
      </w:r>
      <w:r w:rsidRPr="00FC53B2">
        <w:rPr>
          <w:rFonts w:ascii="Arial" w:hAnsi="Arial"/>
          <w:sz w:val="22"/>
          <w:szCs w:val="22"/>
        </w:rPr>
        <w:t xml:space="preserve">outlines the environmental impact and risk assessment methodology employed for the proposed Pelican 3DMSS, in accordance with Regulation 13(5) of the OPGGS(E) and Regulation </w:t>
      </w:r>
      <w:r w:rsidR="001B3B80" w:rsidRPr="00FC53B2">
        <w:rPr>
          <w:rFonts w:ascii="Arial" w:hAnsi="Arial"/>
          <w:sz w:val="22"/>
          <w:szCs w:val="22"/>
        </w:rPr>
        <w:t>15(3)(c)</w:t>
      </w:r>
      <w:r w:rsidRPr="00FC53B2">
        <w:rPr>
          <w:rFonts w:ascii="Arial" w:hAnsi="Arial"/>
          <w:sz w:val="22"/>
          <w:szCs w:val="22"/>
        </w:rPr>
        <w:t xml:space="preserve"> of the OPGGS Regulation</w:t>
      </w:r>
      <w:r w:rsidR="001B3B80" w:rsidRPr="00FC53B2">
        <w:rPr>
          <w:rFonts w:ascii="Arial" w:hAnsi="Arial"/>
          <w:sz w:val="22"/>
          <w:szCs w:val="22"/>
        </w:rPr>
        <w:t>s</w:t>
      </w:r>
      <w:r w:rsidRPr="00FC53B2">
        <w:rPr>
          <w:rFonts w:ascii="Arial" w:hAnsi="Arial"/>
          <w:sz w:val="22"/>
          <w:szCs w:val="22"/>
        </w:rPr>
        <w:t>.</w:t>
      </w:r>
      <w:r w:rsidR="006F2EF9">
        <w:rPr>
          <w:rFonts w:ascii="Arial" w:hAnsi="Arial"/>
          <w:sz w:val="22"/>
          <w:szCs w:val="22"/>
        </w:rPr>
        <w:t xml:space="preserve"> </w:t>
      </w:r>
    </w:p>
    <w:p w14:paraId="579A6E37" w14:textId="45DE4544" w:rsidR="002851ED" w:rsidRPr="00FC53B2" w:rsidRDefault="002851ED" w:rsidP="00145008">
      <w:pPr>
        <w:ind w:left="0"/>
        <w:rPr>
          <w:sz w:val="22"/>
          <w:szCs w:val="22"/>
        </w:rPr>
      </w:pPr>
      <w:r w:rsidRPr="00145008">
        <w:rPr>
          <w:rFonts w:cs="Arial"/>
          <w:sz w:val="22"/>
          <w:szCs w:val="22"/>
        </w:rPr>
        <w:t xml:space="preserve">Note that while ‘impacts’ and ‘risks’ are acknowledged as having different definitions (see </w:t>
      </w:r>
      <w:r w:rsidRPr="002D2FB3">
        <w:rPr>
          <w:rFonts w:cs="Arial"/>
          <w:sz w:val="22"/>
          <w:szCs w:val="22"/>
        </w:rPr>
        <w:t xml:space="preserve">Section </w:t>
      </w:r>
      <w:r w:rsidR="00AF58B0" w:rsidRPr="002D2FB3">
        <w:rPr>
          <w:rFonts w:cs="Arial"/>
          <w:sz w:val="22"/>
          <w:szCs w:val="22"/>
        </w:rPr>
        <w:t>6.5</w:t>
      </w:r>
      <w:r w:rsidRPr="00145008">
        <w:rPr>
          <w:rFonts w:cs="Arial"/>
          <w:sz w:val="22"/>
          <w:szCs w:val="22"/>
        </w:rPr>
        <w:t xml:space="preserve">), the term ‘risk’ is used throughout this chapter when describing the overall methodology of assessing impacts and risks given that AS/NZS 31000:2009 </w:t>
      </w:r>
      <w:r w:rsidR="00145008" w:rsidRPr="00145008">
        <w:rPr>
          <w:rFonts w:cs="Arial"/>
          <w:sz w:val="22"/>
          <w:szCs w:val="22"/>
        </w:rPr>
        <w:t>uses the</w:t>
      </w:r>
      <w:r w:rsidRPr="00145008">
        <w:rPr>
          <w:rFonts w:cs="Arial"/>
          <w:sz w:val="22"/>
          <w:szCs w:val="22"/>
        </w:rPr>
        <w:t xml:space="preserve"> term ‘risk’</w:t>
      </w:r>
      <w:r w:rsidR="00B336C8">
        <w:rPr>
          <w:rFonts w:cs="Arial"/>
          <w:sz w:val="22"/>
          <w:szCs w:val="22"/>
        </w:rPr>
        <w:t xml:space="preserve"> (but is intended to also describe the approach to assessing impacts).</w:t>
      </w:r>
      <w:r w:rsidRPr="00145008">
        <w:rPr>
          <w:rFonts w:cs="Arial"/>
          <w:sz w:val="22"/>
          <w:szCs w:val="22"/>
        </w:rPr>
        <w:t xml:space="preserve"> </w:t>
      </w:r>
    </w:p>
    <w:p w14:paraId="78009921" w14:textId="26112B44" w:rsidR="0027616A" w:rsidRPr="00B03966" w:rsidRDefault="0027616A" w:rsidP="00B03966">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394" w:name="_Toc375214585"/>
      <w:r w:rsidRPr="00B03966">
        <w:rPr>
          <w:rFonts w:cs="Times New Roman"/>
          <w:iCs w:val="0"/>
          <w:color w:val="064EA8"/>
          <w:szCs w:val="26"/>
          <w:lang w:eastAsia="en-US"/>
        </w:rPr>
        <w:t>Risk Assessment Approach</w:t>
      </w:r>
      <w:bookmarkEnd w:id="394"/>
      <w:r w:rsidRPr="00B03966">
        <w:rPr>
          <w:rFonts w:cs="Times New Roman"/>
          <w:iCs w:val="0"/>
          <w:color w:val="064EA8"/>
          <w:szCs w:val="26"/>
          <w:lang w:eastAsia="en-US"/>
        </w:rPr>
        <w:t xml:space="preserve"> </w:t>
      </w:r>
    </w:p>
    <w:p w14:paraId="49FF7D60" w14:textId="77777777" w:rsidR="002E4E3A" w:rsidRPr="00FC53B2" w:rsidRDefault="002E4E3A" w:rsidP="002E4E3A">
      <w:pPr>
        <w:pStyle w:val="bodycopy"/>
        <w:rPr>
          <w:rFonts w:ascii="Arial" w:hAnsi="Arial"/>
          <w:sz w:val="22"/>
          <w:szCs w:val="22"/>
        </w:rPr>
      </w:pPr>
      <w:r w:rsidRPr="00FC53B2">
        <w:rPr>
          <w:rFonts w:ascii="Arial" w:hAnsi="Arial"/>
          <w:sz w:val="22"/>
          <w:szCs w:val="22"/>
        </w:rPr>
        <w:t>The Victorian Government requires that all Departments approach to risk management be compliant with the Australian New Zealand Risk Management Standard ISO31000:2009 (Risk management</w:t>
      </w:r>
      <w:r w:rsidRPr="00FC53B2">
        <w:rPr>
          <w:rFonts w:ascii="Arial" w:hAnsi="Arial"/>
          <w:sz w:val="22"/>
          <w:szCs w:val="22"/>
        </w:rPr>
        <w:softHyphen/>
        <w:t xml:space="preserve">-Principles and guidelines), the directions issued under the </w:t>
      </w:r>
      <w:r w:rsidRPr="00FC53B2">
        <w:rPr>
          <w:rFonts w:ascii="Arial" w:hAnsi="Arial"/>
          <w:i/>
          <w:sz w:val="22"/>
          <w:szCs w:val="22"/>
        </w:rPr>
        <w:t>Financial Management Act 1994</w:t>
      </w:r>
      <w:r w:rsidRPr="00FC53B2">
        <w:rPr>
          <w:rFonts w:ascii="Arial" w:hAnsi="Arial"/>
          <w:sz w:val="22"/>
          <w:szCs w:val="22"/>
        </w:rPr>
        <w:t xml:space="preserve"> (Vic) and the Victorian Government Risk Management Framework </w:t>
      </w:r>
      <w:r w:rsidR="00053AE7" w:rsidRPr="00FC53B2">
        <w:rPr>
          <w:rFonts w:ascii="Arial" w:hAnsi="Arial"/>
          <w:sz w:val="22"/>
          <w:szCs w:val="22"/>
        </w:rPr>
        <w:t xml:space="preserve">(VGRMF) </w:t>
      </w:r>
      <w:r w:rsidRPr="00FC53B2">
        <w:rPr>
          <w:rFonts w:ascii="Arial" w:hAnsi="Arial"/>
          <w:sz w:val="22"/>
          <w:szCs w:val="22"/>
        </w:rPr>
        <w:t>(Department of Treasury and Finance, 2015).</w:t>
      </w:r>
    </w:p>
    <w:p w14:paraId="36E8F008" w14:textId="77777777" w:rsidR="0027616A" w:rsidRPr="00FC53B2" w:rsidRDefault="0027616A" w:rsidP="002E4E3A">
      <w:pPr>
        <w:pStyle w:val="bodycopy"/>
        <w:rPr>
          <w:rFonts w:ascii="Arial" w:hAnsi="Arial"/>
          <w:sz w:val="22"/>
          <w:szCs w:val="22"/>
        </w:rPr>
      </w:pPr>
      <w:r w:rsidRPr="00FC53B2">
        <w:rPr>
          <w:rFonts w:ascii="Arial" w:hAnsi="Arial"/>
          <w:sz w:val="22"/>
          <w:szCs w:val="22"/>
        </w:rPr>
        <w:t xml:space="preserve">The Department’s policy recognises that the approach to implementation of some requirements may need to be varied, to reflect different structures and staffing arrangements within the different business areas within the Department. </w:t>
      </w:r>
      <w:r w:rsidR="0045471B" w:rsidRPr="00FC53B2">
        <w:rPr>
          <w:rFonts w:ascii="Arial" w:hAnsi="Arial"/>
          <w:sz w:val="22"/>
          <w:szCs w:val="22"/>
        </w:rPr>
        <w:t xml:space="preserve">The CarbonNet Project: Project Risk Management </w:t>
      </w:r>
      <w:r w:rsidR="00B17CE6" w:rsidRPr="00FC53B2">
        <w:rPr>
          <w:rFonts w:ascii="Arial" w:hAnsi="Arial"/>
          <w:sz w:val="22"/>
          <w:szCs w:val="22"/>
        </w:rPr>
        <w:t>Strategy</w:t>
      </w:r>
      <w:r w:rsidR="0045471B" w:rsidRPr="00FC53B2">
        <w:rPr>
          <w:rFonts w:ascii="Arial" w:hAnsi="Arial"/>
          <w:sz w:val="22"/>
          <w:szCs w:val="22"/>
        </w:rPr>
        <w:t xml:space="preserve"> (Version </w:t>
      </w:r>
      <w:r w:rsidR="00540F41" w:rsidRPr="00FC53B2">
        <w:rPr>
          <w:rFonts w:ascii="Arial" w:hAnsi="Arial"/>
          <w:sz w:val="22"/>
          <w:szCs w:val="22"/>
        </w:rPr>
        <w:t>3.0</w:t>
      </w:r>
      <w:r w:rsidR="0045471B" w:rsidRPr="00FC53B2">
        <w:rPr>
          <w:rFonts w:ascii="Arial" w:hAnsi="Arial"/>
          <w:sz w:val="22"/>
          <w:szCs w:val="22"/>
        </w:rPr>
        <w:t>)</w:t>
      </w:r>
      <w:r w:rsidR="00540F41" w:rsidRPr="00FC53B2">
        <w:rPr>
          <w:rFonts w:ascii="Arial" w:hAnsi="Arial"/>
          <w:sz w:val="22"/>
          <w:szCs w:val="22"/>
        </w:rPr>
        <w:t xml:space="preserve"> outlines this approach. </w:t>
      </w:r>
    </w:p>
    <w:p w14:paraId="214D2FF9" w14:textId="77777777" w:rsidR="0027616A" w:rsidRPr="00FC53B2" w:rsidRDefault="0027616A" w:rsidP="002E4E3A">
      <w:pPr>
        <w:pStyle w:val="bodycopy"/>
        <w:rPr>
          <w:rFonts w:ascii="Arial" w:hAnsi="Arial"/>
          <w:sz w:val="22"/>
          <w:szCs w:val="22"/>
        </w:rPr>
      </w:pPr>
      <w:r w:rsidRPr="00FC53B2">
        <w:rPr>
          <w:rFonts w:ascii="Arial" w:hAnsi="Arial"/>
          <w:sz w:val="22"/>
          <w:szCs w:val="22"/>
        </w:rPr>
        <w:t>CarbonNet recognises that risk management is an integral part of good governance and management practice. In planning and designing its approach to risk management, the CarbonNet team has sought to embed risk management into the project’s day</w:t>
      </w:r>
      <w:r w:rsidR="00053AE7" w:rsidRPr="00FC53B2">
        <w:rPr>
          <w:rFonts w:ascii="Arial" w:hAnsi="Arial"/>
          <w:sz w:val="22"/>
          <w:szCs w:val="22"/>
        </w:rPr>
        <w:t>-</w:t>
      </w:r>
      <w:r w:rsidRPr="00FC53B2">
        <w:rPr>
          <w:rFonts w:ascii="Arial" w:hAnsi="Arial"/>
          <w:sz w:val="22"/>
          <w:szCs w:val="22"/>
        </w:rPr>
        <w:t>to</w:t>
      </w:r>
      <w:r w:rsidR="00053AE7" w:rsidRPr="00FC53B2">
        <w:rPr>
          <w:rFonts w:ascii="Arial" w:hAnsi="Arial"/>
          <w:sz w:val="22"/>
          <w:szCs w:val="22"/>
        </w:rPr>
        <w:t>-</w:t>
      </w:r>
      <w:r w:rsidRPr="00FC53B2">
        <w:rPr>
          <w:rFonts w:ascii="Arial" w:hAnsi="Arial"/>
          <w:sz w:val="22"/>
          <w:szCs w:val="22"/>
        </w:rPr>
        <w:t>day processes so that risk management is relevant, effective, efficient and sustained.</w:t>
      </w:r>
    </w:p>
    <w:p w14:paraId="75F1CA58" w14:textId="77777777" w:rsidR="00053AE7" w:rsidRPr="00FC53B2" w:rsidRDefault="00053AE7" w:rsidP="0027616A">
      <w:pPr>
        <w:pStyle w:val="bodycopy"/>
        <w:jc w:val="both"/>
        <w:rPr>
          <w:rFonts w:ascii="Arial" w:hAnsi="Arial"/>
          <w:color w:val="0000FF"/>
          <w:sz w:val="22"/>
          <w:szCs w:val="22"/>
        </w:rPr>
      </w:pPr>
      <w:r w:rsidRPr="00FC53B2">
        <w:rPr>
          <w:rFonts w:ascii="Arial" w:hAnsi="Arial"/>
          <w:sz w:val="22"/>
          <w:szCs w:val="22"/>
        </w:rPr>
        <w:t xml:space="preserve">The Risk Management Framework is illustrated </w:t>
      </w:r>
      <w:r w:rsidRPr="00BA73BE">
        <w:rPr>
          <w:rFonts w:ascii="Arial" w:hAnsi="Arial"/>
          <w:sz w:val="22"/>
          <w:szCs w:val="22"/>
        </w:rPr>
        <w:t xml:space="preserve">in </w:t>
      </w:r>
      <w:r w:rsidRPr="004C0F3C">
        <w:rPr>
          <w:rFonts w:ascii="Arial" w:hAnsi="Arial"/>
          <w:sz w:val="22"/>
          <w:szCs w:val="22"/>
        </w:rPr>
        <w:t>Figure 6.1.</w:t>
      </w:r>
    </w:p>
    <w:p w14:paraId="57EC93AB" w14:textId="7BB597A2" w:rsidR="00DC04B7" w:rsidRPr="00B03966" w:rsidRDefault="00DC04B7" w:rsidP="00B03966">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395" w:name="_Toc375214586"/>
      <w:r w:rsidRPr="00B03966">
        <w:rPr>
          <w:rFonts w:cs="Times New Roman"/>
          <w:iCs w:val="0"/>
          <w:color w:val="064EA8"/>
          <w:szCs w:val="26"/>
          <w:lang w:eastAsia="en-US"/>
        </w:rPr>
        <w:t>Risk Management Process</w:t>
      </w:r>
      <w:bookmarkEnd w:id="395"/>
    </w:p>
    <w:p w14:paraId="0ED4F31C" w14:textId="65CC2855" w:rsidR="00DC04B7" w:rsidRDefault="00DC04B7" w:rsidP="00B336C8">
      <w:pPr>
        <w:pStyle w:val="bodycopy"/>
        <w:spacing w:after="240"/>
      </w:pPr>
      <w:r w:rsidRPr="004C0F3C">
        <w:rPr>
          <w:rFonts w:ascii="Arial" w:hAnsi="Arial"/>
          <w:sz w:val="22"/>
          <w:szCs w:val="22"/>
        </w:rPr>
        <w:t>Figure 6.2</w:t>
      </w:r>
      <w:r w:rsidRPr="00FC53B2">
        <w:rPr>
          <w:rFonts w:ascii="Arial" w:hAnsi="Arial"/>
          <w:color w:val="0033CC"/>
          <w:sz w:val="22"/>
          <w:szCs w:val="22"/>
        </w:rPr>
        <w:t xml:space="preserve"> </w:t>
      </w:r>
      <w:r w:rsidRPr="00FC53B2">
        <w:rPr>
          <w:rFonts w:ascii="Arial" w:hAnsi="Arial"/>
          <w:sz w:val="22"/>
          <w:szCs w:val="22"/>
        </w:rPr>
        <w:t xml:space="preserve">illustrates the 5-step risk management process used by CarbonNet, which is consistent with ISO AS/ANZ 31000:2009 and the </w:t>
      </w:r>
      <w:r w:rsidRPr="00BA73BE">
        <w:rPr>
          <w:rFonts w:ascii="Arial" w:hAnsi="Arial"/>
          <w:sz w:val="22"/>
          <w:szCs w:val="22"/>
        </w:rPr>
        <w:t xml:space="preserve">VGRMF. </w:t>
      </w: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7451"/>
      </w:tblGrid>
      <w:tr w:rsidR="00053AE7" w14:paraId="1AA47C34" w14:textId="77777777" w:rsidTr="00B336C8">
        <w:trPr>
          <w:trHeight w:val="5267"/>
          <w:jc w:val="center"/>
        </w:trPr>
        <w:tc>
          <w:tcPr>
            <w:tcW w:w="7451" w:type="dxa"/>
            <w:shd w:val="clear" w:color="auto" w:fill="auto"/>
          </w:tcPr>
          <w:p w14:paraId="1A7F2468" w14:textId="560F2952" w:rsidR="00053AE7" w:rsidRDefault="00713B79" w:rsidP="00514376">
            <w:pPr>
              <w:pStyle w:val="bodycopy"/>
              <w:jc w:val="both"/>
            </w:pPr>
            <w:r w:rsidRPr="00891DE1">
              <w:rPr>
                <w:noProof/>
                <w:sz w:val="30"/>
                <w:szCs w:val="30"/>
              </w:rPr>
              <w:lastRenderedPageBreak/>
              <w:drawing>
                <wp:inline distT="0" distB="0" distL="0" distR="0" wp14:anchorId="4831C58D" wp14:editId="3874991A">
                  <wp:extent cx="4389119" cy="3188084"/>
                  <wp:effectExtent l="0" t="0" r="0" b="0"/>
                  <wp:docPr id="316" name="Picture 38" descr="C:\Users\kellyh\AppData\Local\Microsoft\Windows\Temporary Internet Files\Content.Outlook\8NNHL1G3\VGRMF RM proc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Users\kellyh\AppData\Local\Microsoft\Windows\Temporary Internet Files\Content.Outlook\8NNHL1G3\VGRMF RM process.jpg"/>
                          <pic:cNvPicPr>
                            <a:picLocks noChangeAspect="1" noChangeArrowheads="1"/>
                          </pic:cNvPicPr>
                        </pic:nvPicPr>
                        <pic:blipFill>
                          <a:blip r:embed="rId233" cstate="screen">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4388485" cy="3187700"/>
                          </a:xfrm>
                          <a:prstGeom prst="rect">
                            <a:avLst/>
                          </a:prstGeom>
                          <a:noFill/>
                          <a:ln>
                            <a:noFill/>
                          </a:ln>
                        </pic:spPr>
                      </pic:pic>
                    </a:graphicData>
                  </a:graphic>
                </wp:inline>
              </w:drawing>
            </w:r>
          </w:p>
        </w:tc>
      </w:tr>
    </w:tbl>
    <w:p w14:paraId="333DA93D" w14:textId="77777777" w:rsidR="00053AE7" w:rsidRPr="00472776" w:rsidRDefault="00053AE7" w:rsidP="00053AE7">
      <w:pPr>
        <w:pStyle w:val="bodycopy"/>
        <w:ind w:firstLine="567"/>
        <w:jc w:val="both"/>
        <w:rPr>
          <w:rFonts w:ascii="Arial" w:hAnsi="Arial"/>
          <w:i/>
          <w:sz w:val="16"/>
          <w:szCs w:val="16"/>
        </w:rPr>
      </w:pPr>
      <w:r w:rsidRPr="00472776">
        <w:rPr>
          <w:rFonts w:ascii="Arial" w:hAnsi="Arial"/>
          <w:i/>
          <w:sz w:val="16"/>
          <w:szCs w:val="16"/>
        </w:rPr>
        <w:t xml:space="preserve">Source: </w:t>
      </w:r>
      <w:r w:rsidR="007D2184" w:rsidRPr="00472776">
        <w:rPr>
          <w:rFonts w:ascii="Arial" w:hAnsi="Arial"/>
          <w:i/>
          <w:sz w:val="16"/>
          <w:szCs w:val="16"/>
        </w:rPr>
        <w:t>VGRMF (2015), a</w:t>
      </w:r>
      <w:r w:rsidRPr="00472776">
        <w:rPr>
          <w:rFonts w:ascii="Arial" w:hAnsi="Arial"/>
          <w:i/>
          <w:sz w:val="16"/>
          <w:szCs w:val="16"/>
        </w:rPr>
        <w:t>dapted from AS/ANZ 31000:2009.</w:t>
      </w:r>
    </w:p>
    <w:p w14:paraId="5F925489" w14:textId="77777777" w:rsidR="00053AE7" w:rsidRPr="00472776" w:rsidRDefault="00053AE7" w:rsidP="00053AE7">
      <w:pPr>
        <w:pStyle w:val="bodycopy"/>
        <w:jc w:val="center"/>
        <w:rPr>
          <w:rFonts w:ascii="Arial" w:hAnsi="Arial"/>
          <w:b/>
          <w:sz w:val="20"/>
        </w:rPr>
      </w:pPr>
      <w:r w:rsidRPr="00472776">
        <w:rPr>
          <w:rFonts w:ascii="Arial" w:hAnsi="Arial"/>
          <w:b/>
          <w:sz w:val="20"/>
        </w:rPr>
        <w:t>Figure 6.1.</w:t>
      </w:r>
      <w:r w:rsidRPr="00472776">
        <w:rPr>
          <w:rFonts w:ascii="Arial" w:hAnsi="Arial"/>
          <w:b/>
          <w:sz w:val="20"/>
        </w:rPr>
        <w:tab/>
        <w:t>Risk management framework</w:t>
      </w:r>
    </w:p>
    <w:p w14:paraId="0BC201A3" w14:textId="77777777" w:rsidR="00053AE7" w:rsidRDefault="00053AE7" w:rsidP="00C84F1A">
      <w:pPr>
        <w:pStyle w:val="bodycopy"/>
        <w:jc w:val="both"/>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5646"/>
      </w:tblGrid>
      <w:tr w:rsidR="00053AE7" w14:paraId="2DD8B378" w14:textId="77777777" w:rsidTr="00514376">
        <w:trPr>
          <w:jc w:val="center"/>
        </w:trPr>
        <w:tc>
          <w:tcPr>
            <w:tcW w:w="4786" w:type="dxa"/>
            <w:shd w:val="clear" w:color="auto" w:fill="auto"/>
          </w:tcPr>
          <w:p w14:paraId="2CC572FA" w14:textId="1EB11046" w:rsidR="00053AE7" w:rsidRDefault="00713B79" w:rsidP="00514376">
            <w:pPr>
              <w:pStyle w:val="bodycopy"/>
              <w:jc w:val="both"/>
            </w:pPr>
            <w:r>
              <w:rPr>
                <w:noProof/>
              </w:rPr>
              <w:drawing>
                <wp:inline distT="0" distB="0" distL="0" distR="0" wp14:anchorId="5D57C09C" wp14:editId="0A84FBDD">
                  <wp:extent cx="3447669" cy="3638550"/>
                  <wp:effectExtent l="0" t="0" r="635" b="0"/>
                  <wp:docPr id="317" name="Picture 41" descr="C:\Users\kellyh\AppData\Local\Microsoft\Windows\Temporary Internet Files\Content.Outlook\8NNHL1G3\VGRMF RM framewor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Users\kellyh\AppData\Local\Microsoft\Windows\Temporary Internet Files\Content.Outlook\8NNHL1G3\VGRMF RM framework (2).jpg"/>
                          <pic:cNvPicPr>
                            <a:picLocks noChangeAspect="1" noChangeArrowheads="1"/>
                          </pic:cNvPicPr>
                        </pic:nvPicPr>
                        <pic:blipFill>
                          <a:blip r:embed="rId234" cstate="screen">
                            <a:duotone>
                              <a:schemeClr val="accent1">
                                <a:shade val="45000"/>
                                <a:satMod val="135000"/>
                              </a:schemeClr>
                              <a:prstClr val="white"/>
                            </a:duotone>
                            <a:extLst>
                              <a:ext uri="{28A0092B-C50C-407E-A947-70E740481C1C}">
                                <a14:useLocalDpi xmlns:a14="http://schemas.microsoft.com/office/drawing/2010/main"/>
                              </a:ext>
                            </a:extLst>
                          </a:blip>
                          <a:stretch>
                            <a:fillRect/>
                          </a:stretch>
                        </pic:blipFill>
                        <pic:spPr bwMode="auto">
                          <a:xfrm>
                            <a:off x="0" y="0"/>
                            <a:ext cx="3447415" cy="3638550"/>
                          </a:xfrm>
                          <a:prstGeom prst="rect">
                            <a:avLst/>
                          </a:prstGeom>
                          <a:noFill/>
                          <a:ln>
                            <a:noFill/>
                          </a:ln>
                        </pic:spPr>
                      </pic:pic>
                    </a:graphicData>
                  </a:graphic>
                </wp:inline>
              </w:drawing>
            </w:r>
          </w:p>
        </w:tc>
      </w:tr>
    </w:tbl>
    <w:p w14:paraId="6D69C37B" w14:textId="77777777" w:rsidR="00053AE7" w:rsidRPr="00472776" w:rsidRDefault="00053AE7" w:rsidP="007D2184">
      <w:pPr>
        <w:pStyle w:val="bodycopy"/>
        <w:ind w:left="1843" w:hanging="425"/>
        <w:jc w:val="both"/>
        <w:rPr>
          <w:rFonts w:ascii="Arial" w:hAnsi="Arial"/>
          <w:i/>
          <w:sz w:val="16"/>
          <w:szCs w:val="16"/>
        </w:rPr>
      </w:pPr>
      <w:r w:rsidRPr="00472776">
        <w:rPr>
          <w:rFonts w:ascii="Arial" w:hAnsi="Arial"/>
          <w:i/>
          <w:sz w:val="16"/>
          <w:szCs w:val="16"/>
        </w:rPr>
        <w:t>Source: VGRMF (2015), adapted from AS/ANZ 31000:2009.</w:t>
      </w:r>
    </w:p>
    <w:p w14:paraId="0D7D2B11" w14:textId="77777777" w:rsidR="00053AE7" w:rsidRPr="00FC53B2" w:rsidRDefault="00053AE7" w:rsidP="00053AE7">
      <w:pPr>
        <w:pStyle w:val="bodycopy"/>
        <w:jc w:val="center"/>
        <w:rPr>
          <w:rFonts w:ascii="Arial" w:hAnsi="Arial"/>
          <w:b/>
          <w:sz w:val="20"/>
        </w:rPr>
      </w:pPr>
      <w:r w:rsidRPr="00FC53B2">
        <w:rPr>
          <w:rFonts w:ascii="Arial" w:hAnsi="Arial"/>
          <w:b/>
          <w:sz w:val="20"/>
        </w:rPr>
        <w:t>Figure 6.2.</w:t>
      </w:r>
      <w:r w:rsidRPr="00FC53B2">
        <w:rPr>
          <w:rFonts w:ascii="Arial" w:hAnsi="Arial"/>
          <w:b/>
          <w:sz w:val="20"/>
        </w:rPr>
        <w:tab/>
        <w:t>Risk management process</w:t>
      </w:r>
      <w:r w:rsidR="00DC04B7" w:rsidRPr="00FC53B2">
        <w:rPr>
          <w:rFonts w:ascii="Arial" w:hAnsi="Arial"/>
          <w:b/>
          <w:sz w:val="20"/>
        </w:rPr>
        <w:br/>
      </w:r>
    </w:p>
    <w:p w14:paraId="522D4052" w14:textId="3310D4DF" w:rsidR="00534FD5" w:rsidRPr="00B03966" w:rsidRDefault="00534FD5" w:rsidP="00B03966">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396" w:name="_Toc501230866"/>
      <w:bookmarkStart w:id="397" w:name="_Toc501312657"/>
      <w:bookmarkStart w:id="398" w:name="_Toc375214587"/>
      <w:bookmarkEnd w:id="396"/>
      <w:bookmarkEnd w:id="397"/>
      <w:r w:rsidRPr="00B03966">
        <w:rPr>
          <w:rFonts w:cs="Times New Roman"/>
          <w:iCs w:val="0"/>
          <w:color w:val="064EA8"/>
          <w:szCs w:val="26"/>
          <w:lang w:eastAsia="en-US"/>
        </w:rPr>
        <w:lastRenderedPageBreak/>
        <w:t xml:space="preserve">Risk </w:t>
      </w:r>
      <w:r w:rsidR="00B4409F" w:rsidRPr="00B03966">
        <w:rPr>
          <w:rFonts w:cs="Times New Roman"/>
          <w:iCs w:val="0"/>
          <w:color w:val="064EA8"/>
          <w:szCs w:val="26"/>
          <w:lang w:eastAsia="en-US"/>
        </w:rPr>
        <w:t>I</w:t>
      </w:r>
      <w:r w:rsidRPr="00B03966">
        <w:rPr>
          <w:rFonts w:cs="Times New Roman"/>
          <w:iCs w:val="0"/>
          <w:color w:val="064EA8"/>
          <w:szCs w:val="26"/>
          <w:lang w:eastAsia="en-US"/>
        </w:rPr>
        <w:t>dentification</w:t>
      </w:r>
      <w:bookmarkEnd w:id="398"/>
    </w:p>
    <w:p w14:paraId="49DC44FE" w14:textId="0B7839A6" w:rsidR="00534FD5" w:rsidRPr="00FC53B2" w:rsidRDefault="00534FD5" w:rsidP="00534FD5">
      <w:pPr>
        <w:ind w:left="0"/>
        <w:rPr>
          <w:rFonts w:cs="Arial"/>
          <w:sz w:val="22"/>
          <w:szCs w:val="22"/>
        </w:rPr>
      </w:pPr>
      <w:r w:rsidRPr="00FC53B2">
        <w:rPr>
          <w:rFonts w:cs="Arial"/>
          <w:sz w:val="22"/>
          <w:szCs w:val="22"/>
        </w:rPr>
        <w:t xml:space="preserve">In order to identify the environmental risks associated with this project (together with recommendations for their control), CarbonNet held a preliminary </w:t>
      </w:r>
      <w:r w:rsidR="00F46820">
        <w:rPr>
          <w:rFonts w:cs="Arial"/>
          <w:sz w:val="22"/>
          <w:szCs w:val="22"/>
        </w:rPr>
        <w:t xml:space="preserve">environmental </w:t>
      </w:r>
      <w:r w:rsidRPr="00FC53B2">
        <w:rPr>
          <w:rFonts w:cs="Arial"/>
          <w:sz w:val="22"/>
          <w:szCs w:val="22"/>
        </w:rPr>
        <w:t>risk workshop</w:t>
      </w:r>
      <w:r w:rsidR="00B01A49">
        <w:rPr>
          <w:rFonts w:cs="Arial"/>
          <w:sz w:val="22"/>
          <w:szCs w:val="22"/>
        </w:rPr>
        <w:t xml:space="preserve">, which </w:t>
      </w:r>
      <w:r w:rsidR="000F7796" w:rsidRPr="00FC53B2">
        <w:rPr>
          <w:rFonts w:cs="Arial"/>
          <w:sz w:val="22"/>
          <w:szCs w:val="22"/>
        </w:rPr>
        <w:t xml:space="preserve">identified the </w:t>
      </w:r>
      <w:r w:rsidR="00F46820">
        <w:rPr>
          <w:rFonts w:cs="Arial"/>
          <w:sz w:val="22"/>
          <w:szCs w:val="22"/>
        </w:rPr>
        <w:t xml:space="preserve">impacts and </w:t>
      </w:r>
      <w:r w:rsidR="000F7796" w:rsidRPr="00FC53B2">
        <w:rPr>
          <w:rFonts w:cs="Arial"/>
          <w:sz w:val="22"/>
          <w:szCs w:val="22"/>
        </w:rPr>
        <w:t>risks</w:t>
      </w:r>
      <w:r w:rsidR="00F46820">
        <w:rPr>
          <w:rFonts w:cs="Arial"/>
          <w:sz w:val="22"/>
          <w:szCs w:val="22"/>
        </w:rPr>
        <w:t xml:space="preserve"> of the project at a high level</w:t>
      </w:r>
      <w:r w:rsidR="00B01A49">
        <w:rPr>
          <w:rFonts w:cs="Arial"/>
          <w:sz w:val="22"/>
          <w:szCs w:val="22"/>
        </w:rPr>
        <w:t xml:space="preserve">. This was followed by a detailed risk workship that </w:t>
      </w:r>
      <w:r w:rsidR="000F7796" w:rsidRPr="00FC53B2">
        <w:rPr>
          <w:rFonts w:cs="Arial"/>
          <w:sz w:val="22"/>
          <w:szCs w:val="22"/>
        </w:rPr>
        <w:t xml:space="preserve">focused on refining the </w:t>
      </w:r>
      <w:r w:rsidR="00485F12">
        <w:rPr>
          <w:rFonts w:cs="Arial"/>
          <w:sz w:val="22"/>
          <w:szCs w:val="22"/>
        </w:rPr>
        <w:t>causes</w:t>
      </w:r>
      <w:r w:rsidR="000F7796" w:rsidRPr="00FC53B2">
        <w:rPr>
          <w:rFonts w:cs="Arial"/>
          <w:sz w:val="22"/>
          <w:szCs w:val="22"/>
        </w:rPr>
        <w:t xml:space="preserve"> of </w:t>
      </w:r>
      <w:r w:rsidR="00485F12">
        <w:rPr>
          <w:rFonts w:cs="Arial"/>
          <w:sz w:val="22"/>
          <w:szCs w:val="22"/>
        </w:rPr>
        <w:t xml:space="preserve">the impacts </w:t>
      </w:r>
      <w:r w:rsidR="00BD726A">
        <w:rPr>
          <w:rFonts w:cs="Arial"/>
          <w:sz w:val="22"/>
          <w:szCs w:val="22"/>
        </w:rPr>
        <w:t xml:space="preserve">and </w:t>
      </w:r>
      <w:r w:rsidR="000F7796" w:rsidRPr="00FC53B2">
        <w:rPr>
          <w:rFonts w:cs="Arial"/>
          <w:sz w:val="22"/>
          <w:szCs w:val="22"/>
        </w:rPr>
        <w:t>risks</w:t>
      </w:r>
      <w:r w:rsidR="00485F12">
        <w:rPr>
          <w:rFonts w:cs="Arial"/>
          <w:sz w:val="22"/>
          <w:szCs w:val="22"/>
        </w:rPr>
        <w:t xml:space="preserve">, assigning </w:t>
      </w:r>
      <w:r w:rsidR="000F7796" w:rsidRPr="00FC53B2">
        <w:rPr>
          <w:rFonts w:cs="Arial"/>
          <w:sz w:val="22"/>
          <w:szCs w:val="22"/>
        </w:rPr>
        <w:t>control measures</w:t>
      </w:r>
      <w:r w:rsidR="00257065">
        <w:rPr>
          <w:rFonts w:cs="Arial"/>
          <w:sz w:val="22"/>
          <w:szCs w:val="22"/>
        </w:rPr>
        <w:t xml:space="preserve"> and impact consequences and risk ratings. </w:t>
      </w:r>
    </w:p>
    <w:p w14:paraId="224FA3F6" w14:textId="77777777" w:rsidR="000F7796" w:rsidRPr="00FC53B2" w:rsidRDefault="000F7796" w:rsidP="00534FD5">
      <w:pPr>
        <w:ind w:left="0"/>
        <w:rPr>
          <w:rFonts w:cs="Arial"/>
          <w:sz w:val="22"/>
          <w:szCs w:val="22"/>
        </w:rPr>
      </w:pPr>
    </w:p>
    <w:p w14:paraId="6451C61E" w14:textId="1F978AC1" w:rsidR="00534FD5" w:rsidRPr="00FC53B2" w:rsidRDefault="00534FD5" w:rsidP="00534FD5">
      <w:pPr>
        <w:ind w:left="0"/>
        <w:rPr>
          <w:rFonts w:cs="Arial"/>
          <w:sz w:val="22"/>
          <w:szCs w:val="22"/>
        </w:rPr>
      </w:pPr>
      <w:r w:rsidRPr="00FC53B2">
        <w:rPr>
          <w:rFonts w:cs="Arial"/>
          <w:sz w:val="22"/>
          <w:szCs w:val="22"/>
        </w:rPr>
        <w:t>The outcomes of th</w:t>
      </w:r>
      <w:r w:rsidR="000F7796" w:rsidRPr="00FC53B2">
        <w:rPr>
          <w:rFonts w:cs="Arial"/>
          <w:sz w:val="22"/>
          <w:szCs w:val="22"/>
        </w:rPr>
        <w:t xml:space="preserve">ese workshops </w:t>
      </w:r>
      <w:r w:rsidR="00B01A49">
        <w:rPr>
          <w:rFonts w:cs="Arial"/>
          <w:sz w:val="22"/>
          <w:szCs w:val="22"/>
        </w:rPr>
        <w:t>form</w:t>
      </w:r>
      <w:r w:rsidR="00BD726A">
        <w:rPr>
          <w:rFonts w:cs="Arial"/>
          <w:sz w:val="22"/>
          <w:szCs w:val="22"/>
        </w:rPr>
        <w:t xml:space="preserve"> the basis for the impact and risk assessment in </w:t>
      </w:r>
      <w:r w:rsidRPr="000908E9">
        <w:rPr>
          <w:rFonts w:cs="Arial"/>
          <w:sz w:val="22"/>
          <w:szCs w:val="22"/>
        </w:rPr>
        <w:t xml:space="preserve">Chapter </w:t>
      </w:r>
      <w:r w:rsidR="00B17CE6" w:rsidRPr="000908E9">
        <w:rPr>
          <w:rFonts w:cs="Arial"/>
          <w:sz w:val="22"/>
          <w:szCs w:val="22"/>
        </w:rPr>
        <w:t>7</w:t>
      </w:r>
      <w:r w:rsidRPr="000908E9">
        <w:rPr>
          <w:rFonts w:cs="Arial"/>
          <w:sz w:val="22"/>
          <w:szCs w:val="22"/>
        </w:rPr>
        <w:t>.</w:t>
      </w:r>
      <w:r w:rsidRPr="00FC53B2">
        <w:rPr>
          <w:rFonts w:cs="Arial"/>
          <w:sz w:val="22"/>
          <w:szCs w:val="22"/>
        </w:rPr>
        <w:t xml:space="preserve"> </w:t>
      </w:r>
    </w:p>
    <w:p w14:paraId="302A5E1E" w14:textId="77777777" w:rsidR="00176629" w:rsidRPr="00B03966" w:rsidRDefault="00176629" w:rsidP="00B03966">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399" w:name="_Toc375214588"/>
      <w:r w:rsidRPr="00B03966">
        <w:rPr>
          <w:rFonts w:cs="Times New Roman"/>
          <w:iCs w:val="0"/>
          <w:color w:val="064EA8"/>
          <w:szCs w:val="26"/>
          <w:lang w:eastAsia="en-US"/>
        </w:rPr>
        <w:t xml:space="preserve">Risk </w:t>
      </w:r>
      <w:r w:rsidR="00F003D7" w:rsidRPr="00B03966">
        <w:rPr>
          <w:rFonts w:cs="Times New Roman"/>
          <w:iCs w:val="0"/>
          <w:color w:val="064EA8"/>
          <w:szCs w:val="26"/>
          <w:lang w:eastAsia="en-US"/>
        </w:rPr>
        <w:t>Analysis</w:t>
      </w:r>
      <w:bookmarkEnd w:id="399"/>
    </w:p>
    <w:p w14:paraId="383F514E" w14:textId="77777777" w:rsidR="00E87CE5" w:rsidRDefault="00F003D7" w:rsidP="00176629">
      <w:pPr>
        <w:ind w:left="0"/>
        <w:rPr>
          <w:rFonts w:cs="Arial"/>
          <w:sz w:val="22"/>
          <w:szCs w:val="22"/>
        </w:rPr>
      </w:pPr>
      <w:r w:rsidRPr="00981992">
        <w:rPr>
          <w:rFonts w:cs="Arial"/>
          <w:sz w:val="22"/>
          <w:szCs w:val="22"/>
        </w:rPr>
        <w:t xml:space="preserve">The key process used for analysing risk is to determine the likelihood and the consequence of the risk occurring. </w:t>
      </w:r>
    </w:p>
    <w:p w14:paraId="701F0230" w14:textId="77777777" w:rsidR="00E87CE5" w:rsidRPr="001212F8" w:rsidRDefault="00E87CE5" w:rsidP="00B17CE6">
      <w:pPr>
        <w:pStyle w:val="Heading3"/>
        <w:spacing w:after="120"/>
      </w:pPr>
      <w:bookmarkStart w:id="400" w:name="_Toc479764028"/>
      <w:bookmarkStart w:id="401" w:name="_Toc375214589"/>
      <w:r>
        <w:t>Determining Likelihood</w:t>
      </w:r>
      <w:r w:rsidR="006563AB">
        <w:t xml:space="preserve"> of Risk</w:t>
      </w:r>
      <w:bookmarkEnd w:id="400"/>
      <w:bookmarkEnd w:id="401"/>
    </w:p>
    <w:p w14:paraId="70A3D802" w14:textId="77777777" w:rsidR="00B17CE6" w:rsidRPr="00D61388" w:rsidRDefault="00B75807" w:rsidP="00B75807">
      <w:pPr>
        <w:spacing w:after="240"/>
        <w:ind w:left="0"/>
        <w:rPr>
          <w:rFonts w:cs="Arial"/>
          <w:sz w:val="22"/>
          <w:szCs w:val="22"/>
        </w:rPr>
      </w:pPr>
      <w:r w:rsidRPr="00D61388">
        <w:rPr>
          <w:rFonts w:cs="Arial"/>
          <w:sz w:val="22"/>
          <w:szCs w:val="22"/>
        </w:rPr>
        <w:t xml:space="preserve">Likelihood is defined by CarbonNet </w:t>
      </w:r>
      <w:r w:rsidR="00A31B45" w:rsidRPr="00D61388">
        <w:rPr>
          <w:rFonts w:cs="Arial"/>
          <w:sz w:val="22"/>
          <w:szCs w:val="22"/>
        </w:rPr>
        <w:t xml:space="preserve">(as per ISO 31000:2009) </w:t>
      </w:r>
      <w:r w:rsidRPr="00D61388">
        <w:rPr>
          <w:rFonts w:cs="Arial"/>
          <w:sz w:val="22"/>
          <w:szCs w:val="22"/>
        </w:rPr>
        <w:t xml:space="preserve">as: </w:t>
      </w:r>
    </w:p>
    <w:p w14:paraId="58A2A635" w14:textId="77777777" w:rsidR="00B17CE6" w:rsidRPr="00D61388" w:rsidRDefault="00B75807" w:rsidP="00B17CE6">
      <w:pPr>
        <w:spacing w:after="240"/>
        <w:ind w:left="0" w:firstLine="720"/>
        <w:rPr>
          <w:rFonts w:cs="Arial"/>
          <w:sz w:val="22"/>
          <w:szCs w:val="22"/>
        </w:rPr>
      </w:pPr>
      <w:r w:rsidRPr="00D61388">
        <w:rPr>
          <w:rFonts w:cs="Arial"/>
          <w:i/>
          <w:sz w:val="22"/>
          <w:szCs w:val="22"/>
        </w:rPr>
        <w:t>the chance that the risk/event will occur</w:t>
      </w:r>
      <w:r w:rsidRPr="00D61388">
        <w:rPr>
          <w:rFonts w:cs="Arial"/>
          <w:sz w:val="22"/>
          <w:szCs w:val="22"/>
        </w:rPr>
        <w:t xml:space="preserve">. </w:t>
      </w:r>
    </w:p>
    <w:p w14:paraId="72CF253B" w14:textId="4E2E6061" w:rsidR="00B75807" w:rsidRPr="00D61388" w:rsidRDefault="00B75807" w:rsidP="00B75807">
      <w:pPr>
        <w:spacing w:after="240"/>
        <w:ind w:left="0"/>
        <w:rPr>
          <w:rFonts w:cs="Arial"/>
          <w:sz w:val="22"/>
          <w:szCs w:val="22"/>
        </w:rPr>
      </w:pPr>
      <w:r w:rsidRPr="00D61388">
        <w:rPr>
          <w:rFonts w:cs="Arial"/>
          <w:sz w:val="22"/>
          <w:szCs w:val="22"/>
        </w:rPr>
        <w:t>This is based on the historical or current experience. Existing controls (what is in place now to deal with this event if it does happen) must be considered when the level of likelihood is selected</w:t>
      </w:r>
      <w:r w:rsidR="00A86351" w:rsidRPr="00D61388">
        <w:rPr>
          <w:rFonts w:cs="Arial"/>
          <w:sz w:val="22"/>
          <w:szCs w:val="22"/>
        </w:rPr>
        <w:t>.</w:t>
      </w:r>
      <w:r w:rsidRPr="00D61388">
        <w:rPr>
          <w:rFonts w:eastAsia="MS Mincho"/>
          <w:sz w:val="22"/>
          <w:szCs w:val="22"/>
          <w:lang w:eastAsia="ja-JP"/>
        </w:rPr>
        <w:t xml:space="preserve"> </w:t>
      </w:r>
      <w:r w:rsidRPr="00D61388">
        <w:rPr>
          <w:rFonts w:cs="Arial"/>
          <w:sz w:val="22"/>
          <w:szCs w:val="22"/>
        </w:rPr>
        <w:t xml:space="preserve">The likelihood is selected as </w:t>
      </w:r>
      <w:r w:rsidR="00B01A49">
        <w:rPr>
          <w:rFonts w:cs="Arial"/>
          <w:sz w:val="22"/>
          <w:szCs w:val="22"/>
        </w:rPr>
        <w:t xml:space="preserve">per </w:t>
      </w:r>
      <w:r w:rsidR="00B01A49" w:rsidRPr="004C0F3C">
        <w:rPr>
          <w:rFonts w:cs="Arial"/>
          <w:sz w:val="22"/>
          <w:szCs w:val="22"/>
        </w:rPr>
        <w:t>Table 6.</w:t>
      </w:r>
      <w:r w:rsidR="00681631" w:rsidRPr="004C0F3C">
        <w:rPr>
          <w:rFonts w:cs="Arial"/>
          <w:sz w:val="22"/>
          <w:szCs w:val="22"/>
        </w:rPr>
        <w:t>1</w:t>
      </w:r>
      <w:r w:rsidRPr="004C0F3C">
        <w:rPr>
          <w:rFonts w:cs="Arial"/>
          <w:sz w:val="22"/>
          <w:szCs w:val="22"/>
        </w:rPr>
        <w:t>.</w:t>
      </w:r>
    </w:p>
    <w:p w14:paraId="0FD42A71" w14:textId="54093FB9" w:rsidR="00A86351" w:rsidRPr="00D61388" w:rsidRDefault="00C6289E" w:rsidP="00B75807">
      <w:pPr>
        <w:spacing w:after="240"/>
        <w:ind w:left="0"/>
        <w:rPr>
          <w:rFonts w:cs="Arial"/>
          <w:sz w:val="22"/>
          <w:szCs w:val="22"/>
        </w:rPr>
      </w:pPr>
      <w:r>
        <w:rPr>
          <w:rFonts w:cs="Arial"/>
          <w:sz w:val="22"/>
          <w:szCs w:val="22"/>
        </w:rPr>
        <w:t xml:space="preserve">Chapter 7 presents the </w:t>
      </w:r>
      <w:r w:rsidR="00B4409F" w:rsidRPr="00D61388">
        <w:rPr>
          <w:rFonts w:cs="Arial"/>
          <w:sz w:val="22"/>
          <w:szCs w:val="22"/>
        </w:rPr>
        <w:t xml:space="preserve">‘inherent’ likelihood </w:t>
      </w:r>
      <w:r>
        <w:rPr>
          <w:rFonts w:cs="Arial"/>
          <w:sz w:val="22"/>
          <w:szCs w:val="22"/>
        </w:rPr>
        <w:t xml:space="preserve">for each hazard (pre-treatment) and the </w:t>
      </w:r>
      <w:r w:rsidR="00B4409F" w:rsidRPr="00D61388">
        <w:rPr>
          <w:rFonts w:cs="Arial"/>
          <w:sz w:val="22"/>
          <w:szCs w:val="22"/>
        </w:rPr>
        <w:t>‘residual’</w:t>
      </w:r>
      <w:r>
        <w:rPr>
          <w:rFonts w:cs="Arial"/>
          <w:sz w:val="22"/>
          <w:szCs w:val="22"/>
        </w:rPr>
        <w:t xml:space="preserve"> likelihood (</w:t>
      </w:r>
      <w:r w:rsidR="003E14BB">
        <w:rPr>
          <w:rFonts w:cs="Arial"/>
          <w:sz w:val="22"/>
          <w:szCs w:val="22"/>
        </w:rPr>
        <w:t xml:space="preserve">assuming the successful implementation of </w:t>
      </w:r>
      <w:r>
        <w:rPr>
          <w:rFonts w:cs="Arial"/>
          <w:sz w:val="22"/>
          <w:szCs w:val="22"/>
        </w:rPr>
        <w:t>controls).</w:t>
      </w:r>
    </w:p>
    <w:p w14:paraId="348A2711" w14:textId="45401974" w:rsidR="00B75807" w:rsidRPr="00D61388" w:rsidRDefault="00681631" w:rsidP="00B75807">
      <w:pPr>
        <w:pStyle w:val="TableHeader"/>
        <w:spacing w:after="120"/>
        <w:jc w:val="center"/>
        <w:rPr>
          <w:rFonts w:cs="Tahoma"/>
          <w:sz w:val="20"/>
          <w:szCs w:val="20"/>
        </w:rPr>
      </w:pPr>
      <w:r>
        <w:rPr>
          <w:rFonts w:cs="Tahoma"/>
          <w:sz w:val="20"/>
          <w:szCs w:val="20"/>
        </w:rPr>
        <w:t>Table 6.1</w:t>
      </w:r>
      <w:r w:rsidR="00143B3B">
        <w:rPr>
          <w:rFonts w:cs="Tahoma"/>
          <w:sz w:val="20"/>
          <w:szCs w:val="20"/>
        </w:rPr>
        <w:t>.</w:t>
      </w:r>
      <w:r w:rsidR="00B75807" w:rsidRPr="00D61388">
        <w:rPr>
          <w:rFonts w:cs="Tahoma"/>
          <w:sz w:val="20"/>
          <w:szCs w:val="20"/>
        </w:rPr>
        <w:tab/>
      </w:r>
      <w:r w:rsidR="009A7589">
        <w:rPr>
          <w:rFonts w:cs="Tahoma"/>
          <w:sz w:val="20"/>
          <w:szCs w:val="20"/>
        </w:rPr>
        <w:t>DEDJTR e</w:t>
      </w:r>
      <w:r w:rsidR="00B75807" w:rsidRPr="00D61388">
        <w:rPr>
          <w:rFonts w:cs="Tahoma"/>
          <w:sz w:val="20"/>
          <w:szCs w:val="20"/>
        </w:rPr>
        <w:t>nvironmental risk framework – likelihood of occurrence</w:t>
      </w:r>
    </w:p>
    <w:tbl>
      <w:tblPr>
        <w:tblW w:w="0" w:type="auto"/>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843"/>
        <w:gridCol w:w="5103"/>
        <w:gridCol w:w="1468"/>
      </w:tblGrid>
      <w:tr w:rsidR="00B75807" w:rsidRPr="00D61388" w14:paraId="23433A6A" w14:textId="77777777" w:rsidTr="00997EDC">
        <w:tc>
          <w:tcPr>
            <w:tcW w:w="1843" w:type="dxa"/>
            <w:shd w:val="clear" w:color="auto" w:fill="064EA8"/>
          </w:tcPr>
          <w:p w14:paraId="3309949D" w14:textId="77777777" w:rsidR="00B75807" w:rsidRPr="00D61388" w:rsidRDefault="00B75807" w:rsidP="00514376">
            <w:pPr>
              <w:pStyle w:val="TableText"/>
              <w:spacing w:before="60" w:after="60"/>
              <w:rPr>
                <w:rFonts w:cs="Tahoma"/>
                <w:color w:val="FFFFFF" w:themeColor="background1"/>
                <w:sz w:val="20"/>
                <w:szCs w:val="20"/>
              </w:rPr>
            </w:pPr>
            <w:r w:rsidRPr="00D61388">
              <w:rPr>
                <w:rFonts w:cs="Tahoma"/>
                <w:color w:val="FFFFFF" w:themeColor="background1"/>
                <w:sz w:val="20"/>
                <w:szCs w:val="20"/>
              </w:rPr>
              <w:t>Rating</w:t>
            </w:r>
          </w:p>
        </w:tc>
        <w:tc>
          <w:tcPr>
            <w:tcW w:w="5103" w:type="dxa"/>
            <w:shd w:val="clear" w:color="auto" w:fill="064EA8"/>
          </w:tcPr>
          <w:p w14:paraId="119711EC" w14:textId="77777777" w:rsidR="00B75807" w:rsidRPr="00D61388" w:rsidRDefault="00B75807" w:rsidP="00514376">
            <w:pPr>
              <w:pStyle w:val="TableText"/>
              <w:spacing w:before="60" w:after="60"/>
              <w:rPr>
                <w:rFonts w:cs="Tahoma"/>
                <w:color w:val="FFFFFF" w:themeColor="background1"/>
                <w:sz w:val="20"/>
                <w:szCs w:val="20"/>
              </w:rPr>
            </w:pPr>
            <w:r w:rsidRPr="00D61388">
              <w:rPr>
                <w:rFonts w:cs="Tahoma"/>
                <w:color w:val="FFFFFF" w:themeColor="background1"/>
                <w:sz w:val="20"/>
                <w:szCs w:val="20"/>
              </w:rPr>
              <w:t>Description</w:t>
            </w:r>
          </w:p>
        </w:tc>
        <w:tc>
          <w:tcPr>
            <w:tcW w:w="1468" w:type="dxa"/>
            <w:shd w:val="clear" w:color="auto" w:fill="064EA8"/>
          </w:tcPr>
          <w:p w14:paraId="6B9737C4" w14:textId="01DE77C6" w:rsidR="00B75807" w:rsidRPr="00D61388" w:rsidRDefault="00C6289E" w:rsidP="00514376">
            <w:pPr>
              <w:pStyle w:val="TableText"/>
              <w:spacing w:before="60" w:after="60"/>
              <w:rPr>
                <w:rFonts w:cs="Tahoma"/>
                <w:color w:val="FFFFFF" w:themeColor="background1"/>
                <w:sz w:val="20"/>
                <w:szCs w:val="20"/>
              </w:rPr>
            </w:pPr>
            <w:r>
              <w:rPr>
                <w:rFonts w:cs="Tahoma"/>
                <w:color w:val="FFFFFF" w:themeColor="background1"/>
                <w:sz w:val="20"/>
                <w:szCs w:val="20"/>
              </w:rPr>
              <w:t>Probability</w:t>
            </w:r>
          </w:p>
        </w:tc>
      </w:tr>
      <w:tr w:rsidR="00B75807" w:rsidRPr="00D61388" w14:paraId="3669BB0B" w14:textId="77777777" w:rsidTr="00514376">
        <w:tc>
          <w:tcPr>
            <w:tcW w:w="1843" w:type="dxa"/>
            <w:shd w:val="clear" w:color="auto" w:fill="auto"/>
          </w:tcPr>
          <w:p w14:paraId="6524B0AC" w14:textId="77777777" w:rsidR="00B75807" w:rsidRPr="00D61388" w:rsidRDefault="00B75807" w:rsidP="00514376">
            <w:pPr>
              <w:pStyle w:val="TableText"/>
              <w:spacing w:before="60" w:after="60"/>
              <w:rPr>
                <w:rFonts w:cs="Tahoma"/>
                <w:sz w:val="20"/>
                <w:szCs w:val="20"/>
              </w:rPr>
            </w:pPr>
            <w:r w:rsidRPr="00D61388">
              <w:rPr>
                <w:rFonts w:cs="Tahoma"/>
                <w:sz w:val="20"/>
                <w:szCs w:val="20"/>
              </w:rPr>
              <w:t>Almost certain</w:t>
            </w:r>
          </w:p>
        </w:tc>
        <w:tc>
          <w:tcPr>
            <w:tcW w:w="5103" w:type="dxa"/>
            <w:shd w:val="clear" w:color="auto" w:fill="auto"/>
          </w:tcPr>
          <w:p w14:paraId="4B9AB137" w14:textId="77777777" w:rsidR="00B75807" w:rsidRPr="00D61388" w:rsidRDefault="00B75807" w:rsidP="00514376">
            <w:pPr>
              <w:pStyle w:val="TableText"/>
              <w:spacing w:before="60" w:after="60"/>
              <w:rPr>
                <w:rFonts w:cs="Tahoma"/>
                <w:sz w:val="20"/>
                <w:szCs w:val="20"/>
              </w:rPr>
            </w:pPr>
            <w:r w:rsidRPr="00D61388">
              <w:rPr>
                <w:rFonts w:cs="Tahoma"/>
                <w:sz w:val="20"/>
                <w:szCs w:val="20"/>
              </w:rPr>
              <w:t>Is expected to occur in most circumstances.</w:t>
            </w:r>
          </w:p>
        </w:tc>
        <w:tc>
          <w:tcPr>
            <w:tcW w:w="1468" w:type="dxa"/>
            <w:shd w:val="clear" w:color="auto" w:fill="auto"/>
          </w:tcPr>
          <w:p w14:paraId="088D790E" w14:textId="17DDAA99" w:rsidR="00B75807" w:rsidRPr="00D61388" w:rsidRDefault="000908E9" w:rsidP="000908E9">
            <w:pPr>
              <w:pStyle w:val="TableText"/>
              <w:spacing w:before="60" w:after="60"/>
              <w:rPr>
                <w:rFonts w:cs="Tahoma"/>
                <w:sz w:val="20"/>
                <w:szCs w:val="20"/>
              </w:rPr>
            </w:pPr>
            <w:r>
              <w:rPr>
                <w:rFonts w:cs="Tahoma"/>
                <w:sz w:val="20"/>
                <w:szCs w:val="20"/>
              </w:rPr>
              <w:t>&gt;</w:t>
            </w:r>
            <w:r w:rsidR="00B75807" w:rsidRPr="00D61388">
              <w:rPr>
                <w:rFonts w:cs="Tahoma"/>
                <w:sz w:val="20"/>
                <w:szCs w:val="20"/>
              </w:rPr>
              <w:t>9</w:t>
            </w:r>
            <w:r>
              <w:rPr>
                <w:rFonts w:cs="Tahoma"/>
                <w:sz w:val="20"/>
                <w:szCs w:val="20"/>
              </w:rPr>
              <w:t>5</w:t>
            </w:r>
            <w:r w:rsidR="00B75807" w:rsidRPr="00D61388">
              <w:rPr>
                <w:rFonts w:cs="Tahoma"/>
                <w:sz w:val="20"/>
                <w:szCs w:val="20"/>
              </w:rPr>
              <w:t>-99%</w:t>
            </w:r>
          </w:p>
        </w:tc>
      </w:tr>
      <w:tr w:rsidR="00B75807" w:rsidRPr="00D61388" w14:paraId="52E31428" w14:textId="77777777" w:rsidTr="00514376">
        <w:tc>
          <w:tcPr>
            <w:tcW w:w="1843" w:type="dxa"/>
            <w:shd w:val="clear" w:color="auto" w:fill="auto"/>
          </w:tcPr>
          <w:p w14:paraId="11396E3D" w14:textId="77777777" w:rsidR="00B75807" w:rsidRPr="00D61388" w:rsidRDefault="00B75807" w:rsidP="00514376">
            <w:pPr>
              <w:pStyle w:val="TableText"/>
              <w:spacing w:before="60" w:after="60"/>
              <w:rPr>
                <w:rFonts w:cs="Tahoma"/>
                <w:sz w:val="20"/>
                <w:szCs w:val="20"/>
              </w:rPr>
            </w:pPr>
            <w:r w:rsidRPr="00D61388">
              <w:rPr>
                <w:rFonts w:cs="Tahoma"/>
                <w:sz w:val="20"/>
                <w:szCs w:val="20"/>
              </w:rPr>
              <w:t>Likely</w:t>
            </w:r>
          </w:p>
        </w:tc>
        <w:tc>
          <w:tcPr>
            <w:tcW w:w="5103" w:type="dxa"/>
            <w:shd w:val="clear" w:color="auto" w:fill="auto"/>
          </w:tcPr>
          <w:p w14:paraId="6346DA72" w14:textId="77777777" w:rsidR="00B75807" w:rsidRPr="00D61388" w:rsidRDefault="00B75807" w:rsidP="00514376">
            <w:pPr>
              <w:pStyle w:val="TableText"/>
              <w:spacing w:before="60" w:after="60"/>
              <w:rPr>
                <w:rFonts w:cs="Tahoma"/>
                <w:sz w:val="20"/>
                <w:szCs w:val="20"/>
              </w:rPr>
            </w:pPr>
            <w:r w:rsidRPr="00D61388">
              <w:rPr>
                <w:rFonts w:cs="Tahoma"/>
                <w:sz w:val="20"/>
                <w:szCs w:val="20"/>
              </w:rPr>
              <w:t>Will probably occur in most circumstances.</w:t>
            </w:r>
          </w:p>
        </w:tc>
        <w:tc>
          <w:tcPr>
            <w:tcW w:w="1468" w:type="dxa"/>
            <w:shd w:val="clear" w:color="auto" w:fill="auto"/>
          </w:tcPr>
          <w:p w14:paraId="303741C6" w14:textId="4B1B3A61" w:rsidR="00B75807" w:rsidRPr="00D61388" w:rsidRDefault="000908E9" w:rsidP="000908E9">
            <w:pPr>
              <w:pStyle w:val="TableText"/>
              <w:spacing w:before="60" w:after="60"/>
              <w:rPr>
                <w:rFonts w:cs="Tahoma"/>
                <w:sz w:val="20"/>
                <w:szCs w:val="20"/>
              </w:rPr>
            </w:pPr>
            <w:r>
              <w:rPr>
                <w:rFonts w:cs="Tahoma"/>
                <w:sz w:val="20"/>
                <w:szCs w:val="20"/>
              </w:rPr>
              <w:t>&gt;</w:t>
            </w:r>
            <w:r w:rsidR="00B75807" w:rsidRPr="00D61388">
              <w:rPr>
                <w:rFonts w:cs="Tahoma"/>
                <w:sz w:val="20"/>
                <w:szCs w:val="20"/>
              </w:rPr>
              <w:t>6</w:t>
            </w:r>
            <w:r>
              <w:rPr>
                <w:rFonts w:cs="Tahoma"/>
                <w:sz w:val="20"/>
                <w:szCs w:val="20"/>
              </w:rPr>
              <w:t>0</w:t>
            </w:r>
            <w:r w:rsidR="00B75807" w:rsidRPr="00D61388">
              <w:rPr>
                <w:rFonts w:cs="Tahoma"/>
                <w:sz w:val="20"/>
                <w:szCs w:val="20"/>
              </w:rPr>
              <w:t>-95%</w:t>
            </w:r>
          </w:p>
        </w:tc>
      </w:tr>
      <w:tr w:rsidR="00B75807" w:rsidRPr="00D61388" w14:paraId="5562A751" w14:textId="77777777" w:rsidTr="00514376">
        <w:tc>
          <w:tcPr>
            <w:tcW w:w="1843" w:type="dxa"/>
            <w:shd w:val="clear" w:color="auto" w:fill="auto"/>
          </w:tcPr>
          <w:p w14:paraId="6C892A74" w14:textId="77777777" w:rsidR="00B75807" w:rsidRPr="00D61388" w:rsidRDefault="00B75807" w:rsidP="00514376">
            <w:pPr>
              <w:pStyle w:val="TableText"/>
              <w:spacing w:before="60" w:after="60"/>
              <w:rPr>
                <w:rFonts w:cs="Tahoma"/>
                <w:sz w:val="20"/>
                <w:szCs w:val="20"/>
              </w:rPr>
            </w:pPr>
            <w:r w:rsidRPr="00D61388">
              <w:rPr>
                <w:rFonts w:cs="Tahoma"/>
                <w:sz w:val="20"/>
                <w:szCs w:val="20"/>
              </w:rPr>
              <w:t>Possible</w:t>
            </w:r>
          </w:p>
        </w:tc>
        <w:tc>
          <w:tcPr>
            <w:tcW w:w="5103" w:type="dxa"/>
            <w:shd w:val="clear" w:color="auto" w:fill="auto"/>
          </w:tcPr>
          <w:p w14:paraId="652EA1DE" w14:textId="77777777" w:rsidR="00B75807" w:rsidRPr="00D61388" w:rsidRDefault="00B75807" w:rsidP="00514376">
            <w:pPr>
              <w:pStyle w:val="TableText"/>
              <w:spacing w:before="60" w:after="60"/>
              <w:rPr>
                <w:rFonts w:cs="Tahoma"/>
                <w:sz w:val="20"/>
                <w:szCs w:val="20"/>
              </w:rPr>
            </w:pPr>
            <w:r w:rsidRPr="00D61388">
              <w:rPr>
                <w:rFonts w:cs="Tahoma"/>
                <w:sz w:val="20"/>
                <w:szCs w:val="20"/>
              </w:rPr>
              <w:t>Might occur at some time.</w:t>
            </w:r>
          </w:p>
        </w:tc>
        <w:tc>
          <w:tcPr>
            <w:tcW w:w="1468" w:type="dxa"/>
            <w:shd w:val="clear" w:color="auto" w:fill="auto"/>
          </w:tcPr>
          <w:p w14:paraId="4904BA0F" w14:textId="668B1D03" w:rsidR="00B75807" w:rsidRPr="00D61388" w:rsidRDefault="000908E9" w:rsidP="000908E9">
            <w:pPr>
              <w:pStyle w:val="TableText"/>
              <w:spacing w:before="60" w:after="60"/>
              <w:rPr>
                <w:rFonts w:cs="Tahoma"/>
                <w:sz w:val="20"/>
                <w:szCs w:val="20"/>
              </w:rPr>
            </w:pPr>
            <w:r>
              <w:rPr>
                <w:rFonts w:cs="Tahoma"/>
                <w:sz w:val="20"/>
                <w:szCs w:val="20"/>
              </w:rPr>
              <w:t>&gt;</w:t>
            </w:r>
            <w:r w:rsidR="00B75807" w:rsidRPr="00D61388">
              <w:rPr>
                <w:rFonts w:cs="Tahoma"/>
                <w:sz w:val="20"/>
                <w:szCs w:val="20"/>
              </w:rPr>
              <w:t>4</w:t>
            </w:r>
            <w:r>
              <w:rPr>
                <w:rFonts w:cs="Tahoma"/>
                <w:sz w:val="20"/>
                <w:szCs w:val="20"/>
              </w:rPr>
              <w:t>0</w:t>
            </w:r>
            <w:r w:rsidR="00B75807" w:rsidRPr="00D61388">
              <w:rPr>
                <w:rFonts w:cs="Tahoma"/>
                <w:sz w:val="20"/>
                <w:szCs w:val="20"/>
              </w:rPr>
              <w:t>-60%</w:t>
            </w:r>
          </w:p>
        </w:tc>
      </w:tr>
      <w:tr w:rsidR="00B75807" w:rsidRPr="00D61388" w14:paraId="27C0558F" w14:textId="77777777" w:rsidTr="00514376">
        <w:tc>
          <w:tcPr>
            <w:tcW w:w="1843" w:type="dxa"/>
            <w:shd w:val="clear" w:color="auto" w:fill="auto"/>
          </w:tcPr>
          <w:p w14:paraId="44B9AE69" w14:textId="77777777" w:rsidR="00B75807" w:rsidRPr="00D61388" w:rsidRDefault="00B75807" w:rsidP="00514376">
            <w:pPr>
              <w:pStyle w:val="TableText"/>
              <w:spacing w:before="60" w:after="60"/>
              <w:rPr>
                <w:rFonts w:cs="Tahoma"/>
                <w:sz w:val="20"/>
                <w:szCs w:val="20"/>
              </w:rPr>
            </w:pPr>
            <w:r w:rsidRPr="00D61388">
              <w:rPr>
                <w:rFonts w:cs="Tahoma"/>
                <w:sz w:val="20"/>
                <w:szCs w:val="20"/>
              </w:rPr>
              <w:t>Unlikely</w:t>
            </w:r>
          </w:p>
        </w:tc>
        <w:tc>
          <w:tcPr>
            <w:tcW w:w="5103" w:type="dxa"/>
            <w:shd w:val="clear" w:color="auto" w:fill="auto"/>
          </w:tcPr>
          <w:p w14:paraId="2264BFC6" w14:textId="77777777" w:rsidR="00B75807" w:rsidRPr="00D61388" w:rsidRDefault="00B75807" w:rsidP="00514376">
            <w:pPr>
              <w:pStyle w:val="TableText"/>
              <w:spacing w:before="60" w:after="60"/>
              <w:rPr>
                <w:rFonts w:cs="Tahoma"/>
                <w:sz w:val="20"/>
                <w:szCs w:val="20"/>
              </w:rPr>
            </w:pPr>
            <w:r w:rsidRPr="00D61388">
              <w:rPr>
                <w:rFonts w:cs="Tahoma"/>
                <w:sz w:val="20"/>
                <w:szCs w:val="20"/>
              </w:rPr>
              <w:t>Could occur at some time.</w:t>
            </w:r>
          </w:p>
        </w:tc>
        <w:tc>
          <w:tcPr>
            <w:tcW w:w="1468" w:type="dxa"/>
            <w:shd w:val="clear" w:color="auto" w:fill="auto"/>
          </w:tcPr>
          <w:p w14:paraId="0E1DC94D" w14:textId="01E4D735" w:rsidR="00B75807" w:rsidRPr="00D61388" w:rsidRDefault="000908E9" w:rsidP="00514376">
            <w:pPr>
              <w:pStyle w:val="TableText"/>
              <w:spacing w:before="60" w:after="60"/>
              <w:rPr>
                <w:rFonts w:cs="Tahoma"/>
                <w:sz w:val="20"/>
                <w:szCs w:val="20"/>
              </w:rPr>
            </w:pPr>
            <w:r>
              <w:rPr>
                <w:rFonts w:cs="Tahoma"/>
                <w:sz w:val="20"/>
                <w:szCs w:val="20"/>
              </w:rPr>
              <w:t>&gt;</w:t>
            </w:r>
            <w:r w:rsidR="00B75807" w:rsidRPr="00D61388">
              <w:rPr>
                <w:rFonts w:cs="Tahoma"/>
                <w:sz w:val="20"/>
                <w:szCs w:val="20"/>
              </w:rPr>
              <w:t>5-40%</w:t>
            </w:r>
          </w:p>
        </w:tc>
      </w:tr>
      <w:tr w:rsidR="00B75807" w:rsidRPr="00D61388" w14:paraId="591D5AAD" w14:textId="77777777" w:rsidTr="00514376">
        <w:tc>
          <w:tcPr>
            <w:tcW w:w="1843" w:type="dxa"/>
            <w:shd w:val="clear" w:color="auto" w:fill="auto"/>
          </w:tcPr>
          <w:p w14:paraId="189F0679" w14:textId="77777777" w:rsidR="00B75807" w:rsidRPr="00D61388" w:rsidRDefault="00B75807" w:rsidP="00514376">
            <w:pPr>
              <w:pStyle w:val="TableText"/>
              <w:spacing w:before="60" w:after="60"/>
              <w:rPr>
                <w:rFonts w:cs="Tahoma"/>
                <w:sz w:val="20"/>
                <w:szCs w:val="20"/>
              </w:rPr>
            </w:pPr>
            <w:r w:rsidRPr="00D61388">
              <w:rPr>
                <w:rFonts w:cs="Tahoma"/>
                <w:sz w:val="20"/>
                <w:szCs w:val="20"/>
              </w:rPr>
              <w:t>Rare</w:t>
            </w:r>
          </w:p>
        </w:tc>
        <w:tc>
          <w:tcPr>
            <w:tcW w:w="5103" w:type="dxa"/>
            <w:shd w:val="clear" w:color="auto" w:fill="auto"/>
          </w:tcPr>
          <w:p w14:paraId="27C81A4A" w14:textId="77777777" w:rsidR="00B75807" w:rsidRPr="00D61388" w:rsidRDefault="00B75807" w:rsidP="00514376">
            <w:pPr>
              <w:pStyle w:val="TableText"/>
              <w:spacing w:before="60" w:after="60"/>
              <w:rPr>
                <w:rFonts w:cs="Tahoma"/>
                <w:sz w:val="20"/>
                <w:szCs w:val="20"/>
              </w:rPr>
            </w:pPr>
            <w:r w:rsidRPr="00D61388">
              <w:rPr>
                <w:rFonts w:cs="Tahoma"/>
                <w:sz w:val="20"/>
                <w:szCs w:val="20"/>
              </w:rPr>
              <w:t>May occur only in exceptional circumstances.</w:t>
            </w:r>
          </w:p>
        </w:tc>
        <w:tc>
          <w:tcPr>
            <w:tcW w:w="1468" w:type="dxa"/>
            <w:shd w:val="clear" w:color="auto" w:fill="auto"/>
          </w:tcPr>
          <w:p w14:paraId="42A5438D" w14:textId="77777777" w:rsidR="00B75807" w:rsidRPr="00D61388" w:rsidRDefault="00B75807" w:rsidP="00514376">
            <w:pPr>
              <w:pStyle w:val="TableText"/>
              <w:spacing w:before="60" w:after="60"/>
              <w:rPr>
                <w:rFonts w:cs="Tahoma"/>
                <w:sz w:val="20"/>
                <w:szCs w:val="20"/>
              </w:rPr>
            </w:pPr>
            <w:r w:rsidRPr="00D61388">
              <w:rPr>
                <w:rFonts w:cs="Tahoma"/>
                <w:sz w:val="20"/>
                <w:szCs w:val="20"/>
              </w:rPr>
              <w:t>&lt;5%</w:t>
            </w:r>
          </w:p>
        </w:tc>
      </w:tr>
    </w:tbl>
    <w:p w14:paraId="22CB8562" w14:textId="07C5BC10" w:rsidR="00B02C35" w:rsidRPr="00891DE1" w:rsidRDefault="00B02C35" w:rsidP="00891DE1">
      <w:pPr>
        <w:pStyle w:val="TableText"/>
        <w:tabs>
          <w:tab w:val="left" w:pos="1837"/>
          <w:tab w:val="left" w:pos="6477"/>
        </w:tabs>
        <w:spacing w:before="20" w:after="60"/>
        <w:ind w:left="108"/>
        <w:rPr>
          <w:rFonts w:cs="Tahoma"/>
          <w:i/>
          <w:sz w:val="16"/>
          <w:szCs w:val="16"/>
        </w:rPr>
      </w:pPr>
      <w:bookmarkStart w:id="402" w:name="_Toc479764029"/>
      <w:r w:rsidRPr="00891DE1">
        <w:rPr>
          <w:rFonts w:cs="Tahoma"/>
          <w:i/>
          <w:sz w:val="16"/>
          <w:szCs w:val="16"/>
        </w:rPr>
        <w:t xml:space="preserve">* The probability column assigns a general percentage likelihood of the hazard occurring as a general guide to accompany the description of likelihood.  </w:t>
      </w:r>
      <w:r w:rsidRPr="00891DE1">
        <w:rPr>
          <w:rFonts w:cs="Tahoma"/>
          <w:i/>
          <w:sz w:val="16"/>
          <w:szCs w:val="16"/>
        </w:rPr>
        <w:tab/>
      </w:r>
      <w:r w:rsidRPr="00891DE1">
        <w:rPr>
          <w:rFonts w:cs="Tahoma"/>
          <w:i/>
          <w:sz w:val="16"/>
          <w:szCs w:val="16"/>
        </w:rPr>
        <w:tab/>
      </w:r>
    </w:p>
    <w:p w14:paraId="562C929C" w14:textId="77777777" w:rsidR="00E87CE5" w:rsidRPr="001212F8" w:rsidRDefault="00E87CE5" w:rsidP="00B17CE6">
      <w:pPr>
        <w:pStyle w:val="Heading3"/>
        <w:spacing w:after="120"/>
      </w:pPr>
      <w:bookmarkStart w:id="403" w:name="_Toc375214590"/>
      <w:r>
        <w:t>Determining Consequence</w:t>
      </w:r>
      <w:r w:rsidR="006563AB">
        <w:t xml:space="preserve"> of Risk</w:t>
      </w:r>
      <w:bookmarkEnd w:id="402"/>
      <w:bookmarkEnd w:id="403"/>
    </w:p>
    <w:p w14:paraId="07015CDE" w14:textId="77777777" w:rsidR="00B17CE6" w:rsidRPr="00D61388" w:rsidRDefault="00B75807" w:rsidP="00221A18">
      <w:pPr>
        <w:ind w:left="0"/>
        <w:rPr>
          <w:rFonts w:cs="Arial"/>
          <w:sz w:val="22"/>
          <w:szCs w:val="22"/>
        </w:rPr>
      </w:pPr>
      <w:r w:rsidRPr="00D61388">
        <w:rPr>
          <w:rFonts w:cs="Arial"/>
          <w:sz w:val="22"/>
          <w:szCs w:val="22"/>
        </w:rPr>
        <w:t xml:space="preserve">Consequence is defined </w:t>
      </w:r>
      <w:r w:rsidR="00221A18" w:rsidRPr="00D61388">
        <w:rPr>
          <w:rFonts w:cs="Arial"/>
          <w:sz w:val="22"/>
          <w:szCs w:val="22"/>
        </w:rPr>
        <w:t xml:space="preserve">by CarbonNet </w:t>
      </w:r>
      <w:r w:rsidRPr="00D61388">
        <w:rPr>
          <w:rFonts w:cs="Arial"/>
          <w:sz w:val="22"/>
          <w:szCs w:val="22"/>
        </w:rPr>
        <w:t xml:space="preserve">as: </w:t>
      </w:r>
    </w:p>
    <w:p w14:paraId="5A545D3B" w14:textId="77777777" w:rsidR="00B17CE6" w:rsidRPr="00D61388" w:rsidRDefault="00B17CE6" w:rsidP="00221A18">
      <w:pPr>
        <w:ind w:left="0"/>
        <w:rPr>
          <w:rFonts w:cs="Arial"/>
          <w:sz w:val="22"/>
          <w:szCs w:val="22"/>
        </w:rPr>
      </w:pPr>
    </w:p>
    <w:p w14:paraId="71897D31" w14:textId="77777777" w:rsidR="00B17CE6" w:rsidRPr="00D61388" w:rsidRDefault="00B75807" w:rsidP="00B17CE6">
      <w:pPr>
        <w:rPr>
          <w:rFonts w:cs="Arial"/>
          <w:sz w:val="22"/>
          <w:szCs w:val="22"/>
        </w:rPr>
      </w:pPr>
      <w:r w:rsidRPr="00D61388">
        <w:rPr>
          <w:rFonts w:cs="Arial"/>
          <w:i/>
          <w:sz w:val="22"/>
          <w:szCs w:val="22"/>
        </w:rPr>
        <w:t xml:space="preserve">the possible impact and the extent the risk/event would have in the </w:t>
      </w:r>
      <w:r w:rsidR="00221A18" w:rsidRPr="00D61388">
        <w:rPr>
          <w:rFonts w:cs="Arial"/>
          <w:i/>
          <w:sz w:val="22"/>
          <w:szCs w:val="22"/>
        </w:rPr>
        <w:t>eight categories</w:t>
      </w:r>
      <w:r w:rsidRPr="00D61388">
        <w:rPr>
          <w:rFonts w:cs="Arial"/>
          <w:i/>
          <w:sz w:val="22"/>
          <w:szCs w:val="22"/>
        </w:rPr>
        <w:t xml:space="preserve"> of </w:t>
      </w:r>
      <w:r w:rsidR="00221A18" w:rsidRPr="00D61388">
        <w:rPr>
          <w:rFonts w:cs="Arial"/>
          <w:i/>
          <w:sz w:val="22"/>
          <w:szCs w:val="22"/>
        </w:rPr>
        <w:t>strategy, service delivery, reputation, finance, legal and legislative, safety and wellbeing of staff and visitors, people and culture, and environment</w:t>
      </w:r>
      <w:r w:rsidR="00221A18" w:rsidRPr="00D61388">
        <w:rPr>
          <w:rFonts w:cs="Arial"/>
          <w:sz w:val="22"/>
          <w:szCs w:val="22"/>
        </w:rPr>
        <w:t xml:space="preserve">. </w:t>
      </w:r>
    </w:p>
    <w:p w14:paraId="4294BC0F" w14:textId="77777777" w:rsidR="00B17CE6" w:rsidRPr="00D61388" w:rsidRDefault="00B17CE6" w:rsidP="00221A18">
      <w:pPr>
        <w:ind w:left="0"/>
        <w:rPr>
          <w:rFonts w:cs="Arial"/>
          <w:sz w:val="22"/>
          <w:szCs w:val="22"/>
        </w:rPr>
      </w:pPr>
    </w:p>
    <w:p w14:paraId="0840C140" w14:textId="537E3580" w:rsidR="007B5084" w:rsidRDefault="00221A18" w:rsidP="000908E9">
      <w:pPr>
        <w:ind w:left="0"/>
        <w:rPr>
          <w:rFonts w:cs="Arial"/>
          <w:sz w:val="22"/>
          <w:szCs w:val="22"/>
        </w:rPr>
      </w:pPr>
      <w:r w:rsidRPr="00D61388">
        <w:rPr>
          <w:rFonts w:cs="Arial"/>
          <w:sz w:val="22"/>
          <w:szCs w:val="22"/>
        </w:rPr>
        <w:t xml:space="preserve">The effectiveness of existing controls and likelihood (data available) must be taken into consideration when assessing the extent of the consequences. The </w:t>
      </w:r>
      <w:r w:rsidRPr="00D61388">
        <w:rPr>
          <w:rFonts w:cs="Arial"/>
          <w:sz w:val="22"/>
          <w:szCs w:val="22"/>
        </w:rPr>
        <w:lastRenderedPageBreak/>
        <w:t xml:space="preserve">consequence is selected as per </w:t>
      </w:r>
      <w:r w:rsidRPr="004C0F3C">
        <w:rPr>
          <w:rFonts w:cs="Arial"/>
          <w:sz w:val="22"/>
          <w:szCs w:val="22"/>
        </w:rPr>
        <w:t>Table 6.</w:t>
      </w:r>
      <w:r w:rsidR="00681631" w:rsidRPr="004C0F3C">
        <w:rPr>
          <w:rFonts w:cs="Arial"/>
          <w:sz w:val="22"/>
          <w:szCs w:val="22"/>
        </w:rPr>
        <w:t>2</w:t>
      </w:r>
      <w:r w:rsidR="00EE5673" w:rsidRPr="004C0F3C">
        <w:rPr>
          <w:rFonts w:cs="Arial"/>
          <w:sz w:val="22"/>
          <w:szCs w:val="22"/>
        </w:rPr>
        <w:t xml:space="preserve"> </w:t>
      </w:r>
      <w:r w:rsidR="009A7589" w:rsidRPr="004C0F3C">
        <w:rPr>
          <w:rFonts w:cs="Arial"/>
          <w:sz w:val="22"/>
          <w:szCs w:val="22"/>
        </w:rPr>
        <w:t>(</w:t>
      </w:r>
      <w:r w:rsidR="009A7589" w:rsidRPr="009A7589">
        <w:rPr>
          <w:rFonts w:cs="Arial"/>
          <w:sz w:val="22"/>
          <w:szCs w:val="22"/>
        </w:rPr>
        <w:t>with the environment category highlighted for ease of reference)</w:t>
      </w:r>
      <w:r w:rsidR="00C850F3" w:rsidRPr="009A7589">
        <w:rPr>
          <w:rFonts w:cs="Arial"/>
          <w:sz w:val="22"/>
          <w:szCs w:val="22"/>
        </w:rPr>
        <w:t>.</w:t>
      </w:r>
      <w:r w:rsidR="000908E9" w:rsidRPr="009A7589">
        <w:rPr>
          <w:rFonts w:cs="Arial"/>
          <w:sz w:val="22"/>
          <w:szCs w:val="22"/>
        </w:rPr>
        <w:t xml:space="preserve"> </w:t>
      </w:r>
      <w:r w:rsidR="00923DF3">
        <w:rPr>
          <w:rFonts w:cs="Arial"/>
          <w:sz w:val="22"/>
          <w:szCs w:val="22"/>
        </w:rPr>
        <w:t>Chapter 7 presents the ‘inherent’ consequence for each hazard (pre-treatment) and the ‘residual’ consequence (</w:t>
      </w:r>
      <w:r w:rsidR="003E14BB">
        <w:rPr>
          <w:rFonts w:cs="Arial"/>
          <w:sz w:val="22"/>
          <w:szCs w:val="22"/>
        </w:rPr>
        <w:t>assuming the successful implementation of controls</w:t>
      </w:r>
      <w:r w:rsidR="00923DF3">
        <w:rPr>
          <w:rFonts w:cs="Arial"/>
          <w:sz w:val="22"/>
          <w:szCs w:val="22"/>
        </w:rPr>
        <w:t xml:space="preserve">). </w:t>
      </w:r>
    </w:p>
    <w:p w14:paraId="0BE5217A" w14:textId="77777777" w:rsidR="007B5084" w:rsidRDefault="007B5084" w:rsidP="000908E9">
      <w:pPr>
        <w:ind w:left="0"/>
        <w:rPr>
          <w:rFonts w:cs="Arial"/>
          <w:sz w:val="22"/>
          <w:szCs w:val="22"/>
        </w:rPr>
      </w:pPr>
    </w:p>
    <w:p w14:paraId="0E4A8522" w14:textId="063740CC" w:rsidR="00253B7A" w:rsidRDefault="007325DE" w:rsidP="000908E9">
      <w:pPr>
        <w:ind w:left="0"/>
        <w:rPr>
          <w:rFonts w:cs="Arial"/>
          <w:sz w:val="22"/>
          <w:szCs w:val="22"/>
        </w:rPr>
      </w:pPr>
      <w:r>
        <w:rPr>
          <w:rFonts w:cs="Arial"/>
          <w:sz w:val="22"/>
          <w:szCs w:val="22"/>
        </w:rPr>
        <w:t xml:space="preserve">DEDJTR’s </w:t>
      </w:r>
      <w:r w:rsidR="007B5084">
        <w:rPr>
          <w:rFonts w:cs="Arial"/>
          <w:sz w:val="22"/>
          <w:szCs w:val="22"/>
        </w:rPr>
        <w:t xml:space="preserve">risk framework considers </w:t>
      </w:r>
      <w:r w:rsidR="00B4409F" w:rsidRPr="00D61388">
        <w:rPr>
          <w:rFonts w:cs="Arial"/>
          <w:sz w:val="22"/>
          <w:szCs w:val="22"/>
        </w:rPr>
        <w:t>existing controls when determining risk</w:t>
      </w:r>
      <w:r w:rsidR="007B5084">
        <w:rPr>
          <w:rFonts w:cs="Arial"/>
          <w:sz w:val="22"/>
          <w:szCs w:val="22"/>
        </w:rPr>
        <w:t xml:space="preserve"> (i.e., normally </w:t>
      </w:r>
      <w:r w:rsidR="00B4409F" w:rsidRPr="00D61388">
        <w:rPr>
          <w:rFonts w:cs="Arial"/>
          <w:sz w:val="22"/>
          <w:szCs w:val="22"/>
        </w:rPr>
        <w:t xml:space="preserve">‘inherent’ risk </w:t>
      </w:r>
      <w:r w:rsidR="007B5084">
        <w:rPr>
          <w:rFonts w:cs="Arial"/>
          <w:sz w:val="22"/>
          <w:szCs w:val="22"/>
        </w:rPr>
        <w:t xml:space="preserve">is </w:t>
      </w:r>
      <w:r w:rsidR="00851594">
        <w:rPr>
          <w:rFonts w:cs="Arial"/>
          <w:sz w:val="22"/>
          <w:szCs w:val="22"/>
        </w:rPr>
        <w:t xml:space="preserve">not </w:t>
      </w:r>
      <w:r w:rsidR="00B4409F" w:rsidRPr="00D61388">
        <w:rPr>
          <w:rFonts w:cs="Arial"/>
          <w:sz w:val="22"/>
          <w:szCs w:val="22"/>
        </w:rPr>
        <w:t>considered</w:t>
      </w:r>
      <w:r w:rsidR="007B5084">
        <w:rPr>
          <w:rFonts w:cs="Arial"/>
          <w:sz w:val="22"/>
          <w:szCs w:val="22"/>
        </w:rPr>
        <w:t xml:space="preserve">). However, for this EP, ‘inherent’ risk and/or consequence has been </w:t>
      </w:r>
      <w:r w:rsidR="00EE5673">
        <w:rPr>
          <w:rFonts w:cs="Arial"/>
          <w:sz w:val="22"/>
          <w:szCs w:val="22"/>
        </w:rPr>
        <w:t>presented</w:t>
      </w:r>
      <w:r w:rsidR="00B4409F" w:rsidRPr="00D61388">
        <w:rPr>
          <w:rFonts w:cs="Arial"/>
          <w:sz w:val="22"/>
          <w:szCs w:val="22"/>
        </w:rPr>
        <w:t xml:space="preserve"> </w:t>
      </w:r>
      <w:r w:rsidR="007B5084">
        <w:rPr>
          <w:rFonts w:cs="Arial"/>
          <w:sz w:val="22"/>
          <w:szCs w:val="22"/>
        </w:rPr>
        <w:t>to provide an indication of what the risk and/or consequence would be in the event that the controls fail.</w:t>
      </w:r>
    </w:p>
    <w:p w14:paraId="42A5E660" w14:textId="77777777" w:rsidR="000908E9" w:rsidRPr="00D61388" w:rsidRDefault="000908E9" w:rsidP="000908E9">
      <w:pPr>
        <w:ind w:left="0"/>
        <w:rPr>
          <w:rFonts w:cs="Arial"/>
          <w:sz w:val="22"/>
          <w:szCs w:val="22"/>
        </w:rPr>
      </w:pPr>
    </w:p>
    <w:p w14:paraId="51B233D7" w14:textId="3288386C" w:rsidR="00B02C35" w:rsidRDefault="00221A18" w:rsidP="00891DE1">
      <w:pPr>
        <w:ind w:left="0"/>
        <w:rPr>
          <w:i/>
          <w:sz w:val="16"/>
          <w:szCs w:val="16"/>
        </w:rPr>
      </w:pPr>
      <w:r w:rsidRPr="00D61388">
        <w:rPr>
          <w:rFonts w:cs="Arial"/>
          <w:sz w:val="22"/>
          <w:szCs w:val="22"/>
        </w:rPr>
        <w:t xml:space="preserve">A minimum of one category must be selected (in the case of the EP, this will be ‘environment’). If more than one category is assessed, there are likely to be a number of different consequence ratings. The </w:t>
      </w:r>
      <w:r w:rsidRPr="00D61388">
        <w:rPr>
          <w:rFonts w:cs="Arial"/>
          <w:i/>
          <w:sz w:val="22"/>
          <w:szCs w:val="22"/>
        </w:rPr>
        <w:t>overall</w:t>
      </w:r>
      <w:r w:rsidRPr="00D61388">
        <w:rPr>
          <w:rFonts w:cs="Arial"/>
          <w:sz w:val="22"/>
          <w:szCs w:val="22"/>
        </w:rPr>
        <w:t xml:space="preserve"> consequence rating is that which is the highest consequence in any of the categories assessed. </w:t>
      </w:r>
    </w:p>
    <w:p w14:paraId="3C7BA6F5" w14:textId="4A771E78" w:rsidR="00C55DA9" w:rsidRPr="00891DE1" w:rsidRDefault="00C55DA9" w:rsidP="00891DE1">
      <w:pPr>
        <w:ind w:left="0"/>
        <w:rPr>
          <w:i/>
          <w:sz w:val="16"/>
          <w:szCs w:val="16"/>
        </w:rPr>
        <w:sectPr w:rsidR="00C55DA9" w:rsidRPr="00891DE1" w:rsidSect="00B03966">
          <w:headerReference w:type="even" r:id="rId235"/>
          <w:headerReference w:type="default" r:id="rId236"/>
          <w:footerReference w:type="default" r:id="rId237"/>
          <w:headerReference w:type="first" r:id="rId238"/>
          <w:pgSz w:w="11906" w:h="16838" w:code="9"/>
          <w:pgMar w:top="1244" w:right="1797" w:bottom="1440" w:left="1797" w:header="992" w:footer="709" w:gutter="0"/>
          <w:cols w:space="708"/>
          <w:docGrid w:linePitch="360"/>
        </w:sectPr>
      </w:pPr>
    </w:p>
    <w:p w14:paraId="3D89BADB" w14:textId="2EE94966" w:rsidR="00C850F3" w:rsidRPr="00277762" w:rsidRDefault="00C850F3" w:rsidP="00C850F3">
      <w:pPr>
        <w:pStyle w:val="TableHeader"/>
        <w:spacing w:after="120"/>
        <w:jc w:val="center"/>
        <w:rPr>
          <w:rFonts w:cs="Tahoma"/>
          <w:sz w:val="20"/>
          <w:szCs w:val="20"/>
        </w:rPr>
      </w:pPr>
      <w:r w:rsidRPr="00277762">
        <w:rPr>
          <w:rFonts w:cs="Tahoma"/>
          <w:sz w:val="20"/>
          <w:szCs w:val="20"/>
        </w:rPr>
        <w:lastRenderedPageBreak/>
        <w:t>Table 6.</w:t>
      </w:r>
      <w:r w:rsidR="00681631">
        <w:rPr>
          <w:rFonts w:cs="Tahoma"/>
          <w:sz w:val="20"/>
          <w:szCs w:val="20"/>
        </w:rPr>
        <w:t>2</w:t>
      </w:r>
      <w:r w:rsidR="00143B3B">
        <w:rPr>
          <w:rFonts w:cs="Tahoma"/>
          <w:sz w:val="20"/>
          <w:szCs w:val="20"/>
        </w:rPr>
        <w:t>.</w:t>
      </w:r>
      <w:r w:rsidRPr="00277762">
        <w:rPr>
          <w:rFonts w:cs="Tahoma"/>
          <w:sz w:val="20"/>
          <w:szCs w:val="20"/>
        </w:rPr>
        <w:tab/>
      </w:r>
      <w:r w:rsidR="009A7589">
        <w:rPr>
          <w:rFonts w:cs="Tahoma"/>
          <w:sz w:val="20"/>
          <w:szCs w:val="20"/>
        </w:rPr>
        <w:t>DEDJTR</w:t>
      </w:r>
      <w:r w:rsidRPr="00277762">
        <w:rPr>
          <w:rFonts w:cs="Tahoma"/>
          <w:sz w:val="20"/>
          <w:szCs w:val="20"/>
        </w:rPr>
        <w:t xml:space="preserve"> consequence scale</w:t>
      </w:r>
    </w:p>
    <w:tbl>
      <w:tblPr>
        <w:tblW w:w="139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756"/>
        <w:gridCol w:w="1987"/>
        <w:gridCol w:w="2370"/>
        <w:gridCol w:w="2409"/>
        <w:gridCol w:w="2694"/>
        <w:gridCol w:w="2693"/>
      </w:tblGrid>
      <w:tr w:rsidR="00C84F1A" w:rsidRPr="00277762" w14:paraId="1C6321DC" w14:textId="77777777" w:rsidTr="00997EDC">
        <w:trPr>
          <w:trHeight w:val="463"/>
          <w:tblHeader/>
        </w:trPr>
        <w:tc>
          <w:tcPr>
            <w:tcW w:w="1756" w:type="dxa"/>
            <w:shd w:val="clear" w:color="auto" w:fill="064EA8"/>
            <w:tcMar>
              <w:top w:w="17" w:type="dxa"/>
              <w:left w:w="17" w:type="dxa"/>
              <w:bottom w:w="17" w:type="dxa"/>
              <w:right w:w="17" w:type="dxa"/>
            </w:tcMar>
            <w:vAlign w:val="center"/>
            <w:hideMark/>
          </w:tcPr>
          <w:p w14:paraId="67D237ED" w14:textId="77777777" w:rsidR="00C84F1A" w:rsidRPr="00277762" w:rsidRDefault="00C84F1A" w:rsidP="00E87CE5">
            <w:pPr>
              <w:ind w:hanging="578"/>
              <w:rPr>
                <w:rFonts w:cs="Tahoma"/>
                <w:color w:val="FFFFFF" w:themeColor="background1"/>
                <w:sz w:val="19"/>
                <w:szCs w:val="19"/>
              </w:rPr>
            </w:pPr>
            <w:r w:rsidRPr="00277762">
              <w:rPr>
                <w:rFonts w:cs="Tahoma"/>
                <w:b/>
                <w:bCs/>
                <w:color w:val="FFFFFF" w:themeColor="background1"/>
                <w:sz w:val="19"/>
                <w:szCs w:val="19"/>
              </w:rPr>
              <w:t>Risk Focus</w:t>
            </w:r>
          </w:p>
        </w:tc>
        <w:tc>
          <w:tcPr>
            <w:tcW w:w="1987" w:type="dxa"/>
            <w:shd w:val="clear" w:color="auto" w:fill="064EA8"/>
            <w:tcMar>
              <w:top w:w="17" w:type="dxa"/>
              <w:left w:w="17" w:type="dxa"/>
              <w:bottom w:w="17" w:type="dxa"/>
              <w:right w:w="17" w:type="dxa"/>
            </w:tcMar>
            <w:hideMark/>
          </w:tcPr>
          <w:p w14:paraId="06B86D2C" w14:textId="77777777" w:rsidR="00C84F1A" w:rsidRPr="00277762" w:rsidRDefault="00C84F1A" w:rsidP="00E87CE5">
            <w:pPr>
              <w:ind w:left="87"/>
              <w:rPr>
                <w:rFonts w:cs="Tahoma"/>
                <w:color w:val="FFFFFF" w:themeColor="background1"/>
                <w:sz w:val="19"/>
                <w:szCs w:val="19"/>
              </w:rPr>
            </w:pPr>
            <w:r w:rsidRPr="00277762">
              <w:rPr>
                <w:rFonts w:cs="Tahoma"/>
                <w:b/>
                <w:bCs/>
                <w:color w:val="FFFFFF" w:themeColor="background1"/>
                <w:sz w:val="19"/>
                <w:szCs w:val="19"/>
              </w:rPr>
              <w:t>Insignificant</w:t>
            </w:r>
          </w:p>
          <w:p w14:paraId="6C40DDF0" w14:textId="77777777" w:rsidR="00C84F1A" w:rsidRPr="00277762" w:rsidRDefault="00C84F1A" w:rsidP="00E87CE5">
            <w:pPr>
              <w:ind w:left="87"/>
              <w:rPr>
                <w:rFonts w:cs="Tahoma"/>
                <w:color w:val="FFFFFF" w:themeColor="background1"/>
                <w:sz w:val="19"/>
                <w:szCs w:val="19"/>
              </w:rPr>
            </w:pPr>
            <w:r w:rsidRPr="00277762">
              <w:rPr>
                <w:rFonts w:cs="Tahoma"/>
                <w:bCs/>
                <w:color w:val="FFFFFF" w:themeColor="background1"/>
                <w:sz w:val="19"/>
                <w:szCs w:val="19"/>
              </w:rPr>
              <w:t>Can be managed with no change in operations or additional resources</w:t>
            </w:r>
          </w:p>
        </w:tc>
        <w:tc>
          <w:tcPr>
            <w:tcW w:w="2370" w:type="dxa"/>
            <w:shd w:val="clear" w:color="auto" w:fill="064EA8"/>
            <w:tcMar>
              <w:top w:w="17" w:type="dxa"/>
              <w:left w:w="17" w:type="dxa"/>
              <w:bottom w:w="17" w:type="dxa"/>
              <w:right w:w="17" w:type="dxa"/>
            </w:tcMar>
            <w:hideMark/>
          </w:tcPr>
          <w:p w14:paraId="0F8F3FCB" w14:textId="77777777" w:rsidR="00C84F1A" w:rsidRPr="00277762" w:rsidRDefault="00C84F1A" w:rsidP="00E87CE5">
            <w:pPr>
              <w:ind w:left="85"/>
              <w:rPr>
                <w:rFonts w:cs="Tahoma"/>
                <w:color w:val="FFFFFF" w:themeColor="background1"/>
                <w:sz w:val="19"/>
                <w:szCs w:val="19"/>
              </w:rPr>
            </w:pPr>
            <w:r w:rsidRPr="00277762">
              <w:rPr>
                <w:rFonts w:cs="Tahoma"/>
                <w:b/>
                <w:bCs/>
                <w:color w:val="FFFFFF" w:themeColor="background1"/>
                <w:sz w:val="19"/>
                <w:szCs w:val="19"/>
              </w:rPr>
              <w:t>Minor</w:t>
            </w:r>
          </w:p>
          <w:p w14:paraId="058F0F1D" w14:textId="77777777" w:rsidR="00C84F1A" w:rsidRPr="00277762" w:rsidRDefault="00C84F1A" w:rsidP="00E87CE5">
            <w:pPr>
              <w:ind w:left="85"/>
              <w:rPr>
                <w:rFonts w:cs="Tahoma"/>
                <w:color w:val="FFFFFF" w:themeColor="background1"/>
                <w:sz w:val="19"/>
                <w:szCs w:val="19"/>
              </w:rPr>
            </w:pPr>
            <w:r w:rsidRPr="00277762">
              <w:rPr>
                <w:rFonts w:cs="Tahoma"/>
                <w:bCs/>
                <w:color w:val="FFFFFF" w:themeColor="background1"/>
                <w:sz w:val="19"/>
                <w:szCs w:val="19"/>
              </w:rPr>
              <w:t>Can be managed with no change in operations, but may need resources and priorities to be reallocated</w:t>
            </w:r>
          </w:p>
        </w:tc>
        <w:tc>
          <w:tcPr>
            <w:tcW w:w="2409" w:type="dxa"/>
            <w:tcBorders>
              <w:top w:val="single" w:sz="2" w:space="0" w:color="auto"/>
            </w:tcBorders>
            <w:shd w:val="clear" w:color="auto" w:fill="064EA8"/>
            <w:tcMar>
              <w:top w:w="17" w:type="dxa"/>
              <w:left w:w="17" w:type="dxa"/>
              <w:bottom w:w="17" w:type="dxa"/>
              <w:right w:w="17" w:type="dxa"/>
            </w:tcMar>
            <w:hideMark/>
          </w:tcPr>
          <w:p w14:paraId="5C438022" w14:textId="77777777" w:rsidR="00C84F1A" w:rsidRPr="00277762" w:rsidRDefault="00C84F1A" w:rsidP="00E87CE5">
            <w:pPr>
              <w:ind w:left="124"/>
              <w:rPr>
                <w:rFonts w:cs="Tahoma"/>
                <w:color w:val="FFFFFF" w:themeColor="background1"/>
                <w:sz w:val="19"/>
                <w:szCs w:val="19"/>
              </w:rPr>
            </w:pPr>
            <w:r w:rsidRPr="00277762">
              <w:rPr>
                <w:rFonts w:cs="Tahoma"/>
                <w:b/>
                <w:bCs/>
                <w:color w:val="FFFFFF" w:themeColor="background1"/>
                <w:sz w:val="19"/>
                <w:szCs w:val="19"/>
              </w:rPr>
              <w:t>Moderate</w:t>
            </w:r>
          </w:p>
          <w:p w14:paraId="249785D3" w14:textId="77777777" w:rsidR="00C84F1A" w:rsidRPr="00277762" w:rsidRDefault="00C84F1A" w:rsidP="00E87CE5">
            <w:pPr>
              <w:ind w:left="124"/>
              <w:rPr>
                <w:rFonts w:cs="Tahoma"/>
                <w:color w:val="FFFFFF" w:themeColor="background1"/>
                <w:sz w:val="19"/>
                <w:szCs w:val="19"/>
              </w:rPr>
            </w:pPr>
            <w:r w:rsidRPr="00277762">
              <w:rPr>
                <w:rFonts w:cs="Tahoma"/>
                <w:bCs/>
                <w:color w:val="FFFFFF" w:themeColor="background1"/>
                <w:sz w:val="19"/>
                <w:szCs w:val="19"/>
                <w:lang w:val="en-US"/>
              </w:rPr>
              <w:t>Changes in operations may be required, additional resources needed, and priorities reallocated</w:t>
            </w:r>
          </w:p>
        </w:tc>
        <w:tc>
          <w:tcPr>
            <w:tcW w:w="2694" w:type="dxa"/>
            <w:shd w:val="clear" w:color="auto" w:fill="064EA8"/>
            <w:tcMar>
              <w:top w:w="17" w:type="dxa"/>
              <w:left w:w="17" w:type="dxa"/>
              <w:bottom w:w="17" w:type="dxa"/>
              <w:right w:w="17" w:type="dxa"/>
            </w:tcMar>
            <w:hideMark/>
          </w:tcPr>
          <w:p w14:paraId="63F5B196" w14:textId="77777777" w:rsidR="00C84F1A" w:rsidRPr="00277762" w:rsidRDefault="00C84F1A" w:rsidP="00E87CE5">
            <w:pPr>
              <w:ind w:left="125"/>
              <w:rPr>
                <w:rFonts w:cs="Tahoma"/>
                <w:color w:val="FFFFFF" w:themeColor="background1"/>
                <w:sz w:val="19"/>
                <w:szCs w:val="19"/>
              </w:rPr>
            </w:pPr>
            <w:r w:rsidRPr="00277762">
              <w:rPr>
                <w:rFonts w:cs="Tahoma"/>
                <w:b/>
                <w:bCs/>
                <w:color w:val="FFFFFF" w:themeColor="background1"/>
                <w:sz w:val="19"/>
                <w:szCs w:val="19"/>
              </w:rPr>
              <w:t>Major</w:t>
            </w:r>
          </w:p>
          <w:p w14:paraId="63AAC1B3" w14:textId="77777777" w:rsidR="00C84F1A" w:rsidRPr="00277762" w:rsidRDefault="00C84F1A" w:rsidP="00E87CE5">
            <w:pPr>
              <w:ind w:left="125"/>
              <w:rPr>
                <w:rFonts w:cs="Tahoma"/>
                <w:color w:val="FFFFFF" w:themeColor="background1"/>
                <w:sz w:val="19"/>
                <w:szCs w:val="19"/>
              </w:rPr>
            </w:pPr>
            <w:r w:rsidRPr="00277762">
              <w:rPr>
                <w:rFonts w:cs="Tahoma"/>
                <w:bCs/>
                <w:color w:val="FFFFFF" w:themeColor="background1"/>
                <w:sz w:val="19"/>
                <w:szCs w:val="19"/>
                <w:lang w:val="en-US"/>
              </w:rPr>
              <w:t>Changes in operations and additional resources may be greater than those available to the Group / Division</w:t>
            </w:r>
          </w:p>
        </w:tc>
        <w:tc>
          <w:tcPr>
            <w:tcW w:w="2693" w:type="dxa"/>
            <w:shd w:val="clear" w:color="auto" w:fill="064EA8"/>
            <w:tcMar>
              <w:top w:w="17" w:type="dxa"/>
              <w:left w:w="17" w:type="dxa"/>
              <w:bottom w:w="17" w:type="dxa"/>
              <w:right w:w="17" w:type="dxa"/>
            </w:tcMar>
            <w:hideMark/>
          </w:tcPr>
          <w:p w14:paraId="28D5D3AF" w14:textId="77777777" w:rsidR="00C84F1A" w:rsidRPr="00277762" w:rsidRDefault="00C84F1A" w:rsidP="00E87CE5">
            <w:pPr>
              <w:ind w:left="124"/>
              <w:rPr>
                <w:rFonts w:cs="Tahoma"/>
                <w:color w:val="FFFFFF" w:themeColor="background1"/>
                <w:sz w:val="19"/>
                <w:szCs w:val="19"/>
              </w:rPr>
            </w:pPr>
            <w:r w:rsidRPr="00277762">
              <w:rPr>
                <w:rFonts w:cs="Tahoma"/>
                <w:b/>
                <w:bCs/>
                <w:color w:val="FFFFFF" w:themeColor="background1"/>
                <w:sz w:val="19"/>
                <w:szCs w:val="19"/>
              </w:rPr>
              <w:t>Critical</w:t>
            </w:r>
          </w:p>
          <w:p w14:paraId="2E26AA61" w14:textId="77777777" w:rsidR="00C84F1A" w:rsidRPr="00277762" w:rsidRDefault="00C84F1A" w:rsidP="00E87CE5">
            <w:pPr>
              <w:ind w:left="124"/>
              <w:rPr>
                <w:rFonts w:cs="Tahoma"/>
                <w:color w:val="FFFFFF" w:themeColor="background1"/>
                <w:sz w:val="19"/>
                <w:szCs w:val="19"/>
              </w:rPr>
            </w:pPr>
            <w:r w:rsidRPr="00277762">
              <w:rPr>
                <w:rFonts w:cs="Tahoma"/>
                <w:bCs/>
                <w:color w:val="FFFFFF" w:themeColor="background1"/>
                <w:sz w:val="19"/>
                <w:szCs w:val="19"/>
                <w:lang w:val="en-US"/>
              </w:rPr>
              <w:t>Changes in operations impacts the wider Department, resources required may exceed the Department’s resource capability</w:t>
            </w:r>
          </w:p>
        </w:tc>
      </w:tr>
      <w:tr w:rsidR="00C84F1A" w:rsidRPr="00277762" w14:paraId="28075CB3" w14:textId="77777777" w:rsidTr="00514376">
        <w:trPr>
          <w:trHeight w:val="744"/>
        </w:trPr>
        <w:tc>
          <w:tcPr>
            <w:tcW w:w="1756" w:type="dxa"/>
            <w:shd w:val="clear" w:color="auto" w:fill="D9D9D9"/>
            <w:tcMar>
              <w:top w:w="17" w:type="dxa"/>
              <w:left w:w="17" w:type="dxa"/>
              <w:bottom w:w="17" w:type="dxa"/>
              <w:right w:w="17" w:type="dxa"/>
            </w:tcMar>
            <w:hideMark/>
          </w:tcPr>
          <w:p w14:paraId="2216A780" w14:textId="77777777" w:rsidR="00C84F1A" w:rsidRPr="00534B9F" w:rsidRDefault="00C84F1A" w:rsidP="00E87CE5">
            <w:pPr>
              <w:ind w:left="142"/>
              <w:rPr>
                <w:rFonts w:cs="Tahoma"/>
                <w:sz w:val="18"/>
                <w:szCs w:val="18"/>
              </w:rPr>
            </w:pPr>
            <w:r w:rsidRPr="00534B9F">
              <w:rPr>
                <w:rFonts w:cs="Tahoma"/>
                <w:b/>
                <w:bCs/>
                <w:sz w:val="18"/>
                <w:szCs w:val="18"/>
              </w:rPr>
              <w:t>Strategic</w:t>
            </w:r>
          </w:p>
          <w:p w14:paraId="5A24A447" w14:textId="253EC6AB" w:rsidR="00C84F1A" w:rsidRPr="00534B9F" w:rsidRDefault="00C84F1A" w:rsidP="00534B9F">
            <w:pPr>
              <w:spacing w:line="240" w:lineRule="auto"/>
              <w:ind w:left="142"/>
              <w:rPr>
                <w:rFonts w:cs="Tahoma"/>
                <w:sz w:val="18"/>
                <w:szCs w:val="18"/>
              </w:rPr>
            </w:pPr>
            <w:r w:rsidRPr="00534B9F">
              <w:rPr>
                <w:rFonts w:cs="Tahoma"/>
                <w:sz w:val="18"/>
                <w:szCs w:val="18"/>
              </w:rPr>
              <w:t>Risk event impacts on the ability of the Department/Group/ Division/Program/</w:t>
            </w:r>
            <w:r w:rsidR="00C850F3" w:rsidRPr="00534B9F">
              <w:rPr>
                <w:rFonts w:cs="Tahoma"/>
                <w:sz w:val="18"/>
                <w:szCs w:val="18"/>
              </w:rPr>
              <w:br/>
            </w:r>
            <w:r w:rsidRPr="00534B9F">
              <w:rPr>
                <w:rFonts w:cs="Tahoma"/>
                <w:sz w:val="18"/>
                <w:szCs w:val="18"/>
              </w:rPr>
              <w:t>Project to deliver financial &amp; non-financial outcomes</w:t>
            </w:r>
          </w:p>
        </w:tc>
        <w:tc>
          <w:tcPr>
            <w:tcW w:w="1987" w:type="dxa"/>
            <w:shd w:val="clear" w:color="auto" w:fill="auto"/>
            <w:tcMar>
              <w:top w:w="17" w:type="dxa"/>
              <w:left w:w="17" w:type="dxa"/>
              <w:bottom w:w="17" w:type="dxa"/>
              <w:right w:w="17" w:type="dxa"/>
            </w:tcMar>
            <w:hideMark/>
          </w:tcPr>
          <w:p w14:paraId="4ABF1C45" w14:textId="77777777" w:rsidR="00C84F1A" w:rsidRPr="00534B9F" w:rsidRDefault="00C84F1A" w:rsidP="00E87CE5">
            <w:pPr>
              <w:numPr>
                <w:ilvl w:val="0"/>
                <w:numId w:val="16"/>
              </w:numPr>
              <w:tabs>
                <w:tab w:val="clear" w:pos="360"/>
                <w:tab w:val="num" w:pos="125"/>
                <w:tab w:val="num" w:pos="720"/>
              </w:tabs>
              <w:spacing w:line="240" w:lineRule="auto"/>
              <w:ind w:left="256" w:hanging="142"/>
              <w:rPr>
                <w:rFonts w:cs="Tahoma"/>
                <w:sz w:val="18"/>
                <w:szCs w:val="18"/>
              </w:rPr>
            </w:pPr>
            <w:r w:rsidRPr="00534B9F">
              <w:rPr>
                <w:rFonts w:cs="Tahoma"/>
                <w:sz w:val="18"/>
                <w:szCs w:val="18"/>
              </w:rPr>
              <w:t>Failure to meet up to 1% of stated financial or non-financial outcomes</w:t>
            </w:r>
            <w:r w:rsidR="00C850F3" w:rsidRPr="00534B9F">
              <w:rPr>
                <w:rFonts w:cs="Tahoma"/>
                <w:sz w:val="18"/>
                <w:szCs w:val="18"/>
              </w:rPr>
              <w:t>.</w:t>
            </w:r>
          </w:p>
        </w:tc>
        <w:tc>
          <w:tcPr>
            <w:tcW w:w="2370" w:type="dxa"/>
            <w:shd w:val="clear" w:color="auto" w:fill="auto"/>
            <w:tcMar>
              <w:top w:w="17" w:type="dxa"/>
              <w:left w:w="17" w:type="dxa"/>
              <w:bottom w:w="17" w:type="dxa"/>
              <w:right w:w="17" w:type="dxa"/>
            </w:tcMar>
            <w:hideMark/>
          </w:tcPr>
          <w:p w14:paraId="20AC7329" w14:textId="77777777" w:rsidR="00C84F1A" w:rsidRPr="00534B9F" w:rsidRDefault="00C84F1A" w:rsidP="00E87CE5">
            <w:pPr>
              <w:numPr>
                <w:ilvl w:val="0"/>
                <w:numId w:val="16"/>
              </w:numPr>
              <w:tabs>
                <w:tab w:val="clear" w:pos="360"/>
                <w:tab w:val="num" w:pos="255"/>
                <w:tab w:val="num" w:pos="720"/>
              </w:tabs>
              <w:spacing w:line="240" w:lineRule="auto"/>
              <w:ind w:left="255" w:hanging="141"/>
              <w:rPr>
                <w:rFonts w:cs="Tahoma"/>
                <w:sz w:val="18"/>
                <w:szCs w:val="18"/>
              </w:rPr>
            </w:pPr>
            <w:r w:rsidRPr="00534B9F">
              <w:rPr>
                <w:rFonts w:cs="Tahoma"/>
                <w:sz w:val="18"/>
                <w:szCs w:val="18"/>
              </w:rPr>
              <w:t>Failure to meet 1-5% of stated financial or non-financial outcomes</w:t>
            </w:r>
            <w:r w:rsidR="00C850F3" w:rsidRPr="00534B9F">
              <w:rPr>
                <w:rFonts w:cs="Tahoma"/>
                <w:sz w:val="18"/>
                <w:szCs w:val="18"/>
              </w:rPr>
              <w:t>.</w:t>
            </w:r>
          </w:p>
        </w:tc>
        <w:tc>
          <w:tcPr>
            <w:tcW w:w="2409" w:type="dxa"/>
            <w:shd w:val="clear" w:color="auto" w:fill="auto"/>
            <w:tcMar>
              <w:top w:w="17" w:type="dxa"/>
              <w:left w:w="17" w:type="dxa"/>
              <w:bottom w:w="17" w:type="dxa"/>
              <w:right w:w="17" w:type="dxa"/>
            </w:tcMar>
            <w:hideMark/>
          </w:tcPr>
          <w:p w14:paraId="12CABB8C" w14:textId="77777777" w:rsidR="00C84F1A" w:rsidRPr="00534B9F" w:rsidRDefault="00C84F1A" w:rsidP="00E87CE5">
            <w:pPr>
              <w:numPr>
                <w:ilvl w:val="0"/>
                <w:numId w:val="16"/>
              </w:numPr>
              <w:tabs>
                <w:tab w:val="clear" w:pos="360"/>
                <w:tab w:val="num" w:pos="256"/>
                <w:tab w:val="num" w:pos="720"/>
              </w:tabs>
              <w:spacing w:line="240" w:lineRule="auto"/>
              <w:ind w:left="256" w:hanging="142"/>
              <w:rPr>
                <w:rFonts w:cs="Tahoma"/>
                <w:sz w:val="18"/>
                <w:szCs w:val="18"/>
              </w:rPr>
            </w:pPr>
            <w:r w:rsidRPr="00534B9F">
              <w:rPr>
                <w:rFonts w:cs="Tahoma"/>
                <w:sz w:val="18"/>
                <w:szCs w:val="18"/>
              </w:rPr>
              <w:t>Failure to meet 5-10% of stated financial or non-financial outcomes</w:t>
            </w:r>
            <w:r w:rsidR="00C850F3" w:rsidRPr="00534B9F">
              <w:rPr>
                <w:rFonts w:cs="Tahoma"/>
                <w:sz w:val="18"/>
                <w:szCs w:val="18"/>
              </w:rPr>
              <w:t>.</w:t>
            </w:r>
          </w:p>
        </w:tc>
        <w:tc>
          <w:tcPr>
            <w:tcW w:w="2694" w:type="dxa"/>
            <w:shd w:val="clear" w:color="auto" w:fill="auto"/>
            <w:tcMar>
              <w:top w:w="17" w:type="dxa"/>
              <w:left w:w="17" w:type="dxa"/>
              <w:bottom w:w="17" w:type="dxa"/>
              <w:right w:w="17" w:type="dxa"/>
            </w:tcMar>
            <w:hideMark/>
          </w:tcPr>
          <w:p w14:paraId="0689A090" w14:textId="77777777" w:rsidR="00C84F1A" w:rsidRPr="00534B9F" w:rsidRDefault="00C84F1A" w:rsidP="00E87CE5">
            <w:pPr>
              <w:numPr>
                <w:ilvl w:val="0"/>
                <w:numId w:val="16"/>
              </w:numPr>
              <w:tabs>
                <w:tab w:val="num" w:pos="720"/>
              </w:tabs>
              <w:spacing w:line="240" w:lineRule="auto"/>
              <w:ind w:left="256" w:hanging="142"/>
              <w:rPr>
                <w:rFonts w:cs="Tahoma"/>
                <w:sz w:val="18"/>
                <w:szCs w:val="18"/>
              </w:rPr>
            </w:pPr>
            <w:r w:rsidRPr="00534B9F">
              <w:rPr>
                <w:rFonts w:cs="Tahoma"/>
                <w:sz w:val="18"/>
                <w:szCs w:val="18"/>
              </w:rPr>
              <w:t>Failure to meet 10-20% of stated financial or non-financial outcomes</w:t>
            </w:r>
            <w:r w:rsidR="00C850F3" w:rsidRPr="00534B9F">
              <w:rPr>
                <w:rFonts w:cs="Tahoma"/>
                <w:sz w:val="18"/>
                <w:szCs w:val="18"/>
              </w:rPr>
              <w:t>.</w:t>
            </w:r>
          </w:p>
        </w:tc>
        <w:tc>
          <w:tcPr>
            <w:tcW w:w="2693" w:type="dxa"/>
            <w:shd w:val="clear" w:color="auto" w:fill="auto"/>
            <w:tcMar>
              <w:top w:w="17" w:type="dxa"/>
              <w:left w:w="17" w:type="dxa"/>
              <w:bottom w:w="17" w:type="dxa"/>
              <w:right w:w="17" w:type="dxa"/>
            </w:tcMar>
            <w:hideMark/>
          </w:tcPr>
          <w:p w14:paraId="68E1585A" w14:textId="77777777" w:rsidR="00C84F1A" w:rsidRPr="00534B9F" w:rsidRDefault="00C84F1A" w:rsidP="00E87CE5">
            <w:pPr>
              <w:numPr>
                <w:ilvl w:val="0"/>
                <w:numId w:val="16"/>
              </w:numPr>
              <w:tabs>
                <w:tab w:val="num" w:pos="720"/>
              </w:tabs>
              <w:spacing w:line="240" w:lineRule="auto"/>
              <w:ind w:left="255" w:hanging="142"/>
              <w:rPr>
                <w:rFonts w:cs="Tahoma"/>
                <w:sz w:val="18"/>
                <w:szCs w:val="18"/>
              </w:rPr>
            </w:pPr>
            <w:r w:rsidRPr="00534B9F">
              <w:rPr>
                <w:rFonts w:cs="Tahoma"/>
                <w:sz w:val="18"/>
                <w:szCs w:val="18"/>
              </w:rPr>
              <w:t>Failure to meet greater than 20% of stated financial or non-financial outcomes</w:t>
            </w:r>
            <w:r w:rsidR="00C850F3" w:rsidRPr="00534B9F">
              <w:rPr>
                <w:rFonts w:cs="Tahoma"/>
                <w:sz w:val="18"/>
                <w:szCs w:val="18"/>
              </w:rPr>
              <w:t>.</w:t>
            </w:r>
          </w:p>
        </w:tc>
      </w:tr>
      <w:tr w:rsidR="00C84F1A" w:rsidRPr="00277762" w14:paraId="0F24A296" w14:textId="77777777" w:rsidTr="00277762">
        <w:trPr>
          <w:trHeight w:val="1025"/>
        </w:trPr>
        <w:tc>
          <w:tcPr>
            <w:tcW w:w="1756" w:type="dxa"/>
            <w:shd w:val="clear" w:color="auto" w:fill="D9D9D9"/>
            <w:tcMar>
              <w:top w:w="17" w:type="dxa"/>
              <w:left w:w="17" w:type="dxa"/>
              <w:bottom w:w="17" w:type="dxa"/>
              <w:right w:w="17" w:type="dxa"/>
            </w:tcMar>
            <w:hideMark/>
          </w:tcPr>
          <w:p w14:paraId="3D7BF700" w14:textId="77777777" w:rsidR="00C84F1A" w:rsidRPr="00534B9F" w:rsidRDefault="00C84F1A" w:rsidP="00E87CE5">
            <w:pPr>
              <w:ind w:left="142"/>
              <w:rPr>
                <w:rFonts w:cs="Tahoma"/>
                <w:sz w:val="18"/>
                <w:szCs w:val="18"/>
              </w:rPr>
            </w:pPr>
            <w:r w:rsidRPr="00534B9F">
              <w:rPr>
                <w:rFonts w:cs="Tahoma"/>
                <w:b/>
                <w:bCs/>
                <w:sz w:val="18"/>
                <w:szCs w:val="18"/>
              </w:rPr>
              <w:t>Service Delivery</w:t>
            </w:r>
          </w:p>
          <w:p w14:paraId="57BF88C6" w14:textId="77777777" w:rsidR="00C84F1A" w:rsidRPr="00534B9F" w:rsidRDefault="00C84F1A" w:rsidP="00277762">
            <w:pPr>
              <w:spacing w:line="240" w:lineRule="auto"/>
              <w:ind w:left="142"/>
              <w:rPr>
                <w:rFonts w:cs="Tahoma"/>
                <w:sz w:val="18"/>
                <w:szCs w:val="18"/>
              </w:rPr>
            </w:pPr>
            <w:r w:rsidRPr="00534B9F">
              <w:rPr>
                <w:rFonts w:cs="Tahoma"/>
                <w:sz w:val="18"/>
                <w:szCs w:val="18"/>
              </w:rPr>
              <w:t>Risk event results in impacts to the day-to-day operations of the Department/Group/  Division/Program/ Project</w:t>
            </w:r>
          </w:p>
        </w:tc>
        <w:tc>
          <w:tcPr>
            <w:tcW w:w="1987" w:type="dxa"/>
            <w:shd w:val="clear" w:color="auto" w:fill="auto"/>
            <w:tcMar>
              <w:top w:w="17" w:type="dxa"/>
              <w:left w:w="17" w:type="dxa"/>
              <w:bottom w:w="17" w:type="dxa"/>
              <w:right w:w="17" w:type="dxa"/>
            </w:tcMar>
            <w:hideMark/>
          </w:tcPr>
          <w:p w14:paraId="69EF0299" w14:textId="77777777" w:rsidR="00C84F1A" w:rsidRPr="00534B9F" w:rsidRDefault="00C84F1A" w:rsidP="00E87CE5">
            <w:pPr>
              <w:numPr>
                <w:ilvl w:val="0"/>
                <w:numId w:val="17"/>
              </w:numPr>
              <w:tabs>
                <w:tab w:val="clear" w:pos="360"/>
                <w:tab w:val="num" w:pos="125"/>
              </w:tabs>
              <w:spacing w:line="240" w:lineRule="auto"/>
              <w:ind w:left="256" w:hanging="142"/>
              <w:contextualSpacing/>
              <w:rPr>
                <w:rFonts w:cs="Tahoma"/>
                <w:sz w:val="18"/>
                <w:szCs w:val="18"/>
              </w:rPr>
            </w:pPr>
            <w:r w:rsidRPr="00534B9F">
              <w:rPr>
                <w:rFonts w:cs="Tahoma"/>
                <w:sz w:val="18"/>
                <w:szCs w:val="18"/>
              </w:rPr>
              <w:t>Insignificant impact to the department's capability in providing its services/functions</w:t>
            </w:r>
          </w:p>
          <w:p w14:paraId="11438C4A" w14:textId="488F4708" w:rsidR="00C84F1A" w:rsidRPr="00534B9F" w:rsidRDefault="00C84F1A" w:rsidP="00E87CE5">
            <w:pPr>
              <w:numPr>
                <w:ilvl w:val="0"/>
                <w:numId w:val="17"/>
              </w:numPr>
              <w:tabs>
                <w:tab w:val="clear" w:pos="360"/>
                <w:tab w:val="num" w:pos="125"/>
              </w:tabs>
              <w:spacing w:line="240" w:lineRule="auto"/>
              <w:ind w:left="256" w:hanging="142"/>
              <w:contextualSpacing/>
              <w:rPr>
                <w:rFonts w:cs="Tahoma"/>
                <w:sz w:val="18"/>
                <w:szCs w:val="18"/>
              </w:rPr>
            </w:pPr>
            <w:r w:rsidRPr="00534B9F">
              <w:rPr>
                <w:rFonts w:cs="Tahoma"/>
                <w:sz w:val="18"/>
                <w:szCs w:val="18"/>
              </w:rPr>
              <w:t>No inconvenience to customer/ stakeholders</w:t>
            </w:r>
            <w:r w:rsidR="00C850F3" w:rsidRPr="00534B9F">
              <w:rPr>
                <w:rFonts w:cs="Tahoma"/>
                <w:sz w:val="18"/>
                <w:szCs w:val="18"/>
              </w:rPr>
              <w:t>.</w:t>
            </w:r>
          </w:p>
          <w:p w14:paraId="6769AB27" w14:textId="77777777" w:rsidR="00C84F1A" w:rsidRPr="00534B9F" w:rsidRDefault="00C84F1A" w:rsidP="00E87CE5">
            <w:pPr>
              <w:numPr>
                <w:ilvl w:val="0"/>
                <w:numId w:val="17"/>
              </w:numPr>
              <w:tabs>
                <w:tab w:val="clear" w:pos="360"/>
                <w:tab w:val="num" w:pos="125"/>
              </w:tabs>
              <w:spacing w:line="240" w:lineRule="auto"/>
              <w:ind w:left="256" w:hanging="142"/>
              <w:contextualSpacing/>
              <w:rPr>
                <w:rFonts w:cs="Tahoma"/>
                <w:sz w:val="18"/>
                <w:szCs w:val="18"/>
              </w:rPr>
            </w:pPr>
            <w:r w:rsidRPr="00534B9F">
              <w:rPr>
                <w:rFonts w:cs="Tahoma"/>
                <w:sz w:val="18"/>
                <w:szCs w:val="18"/>
              </w:rPr>
              <w:t>Effect on systems and processes minimal and contained to one program area</w:t>
            </w:r>
            <w:r w:rsidR="00C850F3" w:rsidRPr="00534B9F">
              <w:rPr>
                <w:rFonts w:cs="Tahoma"/>
                <w:sz w:val="18"/>
                <w:szCs w:val="18"/>
              </w:rPr>
              <w:t>.</w:t>
            </w:r>
          </w:p>
          <w:p w14:paraId="5BD7E0D1" w14:textId="77777777" w:rsidR="00C84F1A" w:rsidRPr="00534B9F" w:rsidRDefault="00C84F1A" w:rsidP="00E87CE5">
            <w:pPr>
              <w:numPr>
                <w:ilvl w:val="0"/>
                <w:numId w:val="17"/>
              </w:numPr>
              <w:tabs>
                <w:tab w:val="clear" w:pos="360"/>
                <w:tab w:val="num" w:pos="125"/>
              </w:tabs>
              <w:spacing w:line="240" w:lineRule="auto"/>
              <w:ind w:left="256" w:hanging="142"/>
              <w:contextualSpacing/>
              <w:rPr>
                <w:rFonts w:cs="Tahoma"/>
                <w:sz w:val="18"/>
                <w:szCs w:val="18"/>
              </w:rPr>
            </w:pPr>
            <w:r w:rsidRPr="00534B9F">
              <w:rPr>
                <w:rFonts w:cs="Tahoma"/>
                <w:sz w:val="18"/>
                <w:szCs w:val="18"/>
              </w:rPr>
              <w:t>Impact may be confined to a single business area</w:t>
            </w:r>
            <w:r w:rsidR="00C850F3" w:rsidRPr="00534B9F">
              <w:rPr>
                <w:rFonts w:cs="Tahoma"/>
                <w:sz w:val="18"/>
                <w:szCs w:val="18"/>
              </w:rPr>
              <w:t>.</w:t>
            </w:r>
          </w:p>
          <w:p w14:paraId="03D8901D" w14:textId="77777777" w:rsidR="00C84F1A" w:rsidRPr="00534B9F" w:rsidRDefault="00C84F1A" w:rsidP="00E87CE5">
            <w:pPr>
              <w:numPr>
                <w:ilvl w:val="0"/>
                <w:numId w:val="17"/>
              </w:numPr>
              <w:tabs>
                <w:tab w:val="clear" w:pos="360"/>
                <w:tab w:val="num" w:pos="125"/>
              </w:tabs>
              <w:spacing w:line="240" w:lineRule="auto"/>
              <w:ind w:left="256" w:hanging="142"/>
              <w:contextualSpacing/>
              <w:rPr>
                <w:rFonts w:cs="Tahoma"/>
                <w:sz w:val="18"/>
                <w:szCs w:val="18"/>
              </w:rPr>
            </w:pPr>
            <w:r w:rsidRPr="00534B9F">
              <w:rPr>
                <w:rFonts w:cs="Tahoma"/>
                <w:sz w:val="18"/>
                <w:szCs w:val="18"/>
              </w:rPr>
              <w:t>Minimal management resources required to address event over days</w:t>
            </w:r>
            <w:r w:rsidR="00C850F3" w:rsidRPr="00534B9F">
              <w:rPr>
                <w:rFonts w:cs="Tahoma"/>
                <w:sz w:val="18"/>
                <w:szCs w:val="18"/>
              </w:rPr>
              <w:t>.</w:t>
            </w:r>
          </w:p>
        </w:tc>
        <w:tc>
          <w:tcPr>
            <w:tcW w:w="2370" w:type="dxa"/>
            <w:shd w:val="clear" w:color="auto" w:fill="auto"/>
            <w:tcMar>
              <w:top w:w="17" w:type="dxa"/>
              <w:left w:w="17" w:type="dxa"/>
              <w:bottom w:w="17" w:type="dxa"/>
              <w:right w:w="17" w:type="dxa"/>
            </w:tcMar>
            <w:hideMark/>
          </w:tcPr>
          <w:p w14:paraId="261D6860" w14:textId="646BF7F7" w:rsidR="00C84F1A" w:rsidRPr="00534B9F" w:rsidRDefault="00C84F1A" w:rsidP="00E87CE5">
            <w:pPr>
              <w:numPr>
                <w:ilvl w:val="0"/>
                <w:numId w:val="17"/>
              </w:numPr>
              <w:tabs>
                <w:tab w:val="clear" w:pos="360"/>
                <w:tab w:val="num" w:pos="255"/>
              </w:tabs>
              <w:spacing w:line="240" w:lineRule="auto"/>
              <w:ind w:left="255" w:hanging="141"/>
              <w:contextualSpacing/>
              <w:rPr>
                <w:rFonts w:cs="Tahoma"/>
                <w:sz w:val="18"/>
                <w:szCs w:val="18"/>
              </w:rPr>
            </w:pPr>
            <w:r w:rsidRPr="00534B9F">
              <w:rPr>
                <w:rFonts w:cs="Tahoma"/>
                <w:sz w:val="18"/>
                <w:szCs w:val="18"/>
              </w:rPr>
              <w:t>Minor short</w:t>
            </w:r>
            <w:r w:rsidR="00436A72">
              <w:rPr>
                <w:rFonts w:cs="Tahoma"/>
                <w:sz w:val="18"/>
                <w:szCs w:val="18"/>
              </w:rPr>
              <w:t>-</w:t>
            </w:r>
            <w:r w:rsidRPr="00534B9F">
              <w:rPr>
                <w:rFonts w:cs="Tahoma"/>
                <w:sz w:val="18"/>
                <w:szCs w:val="18"/>
              </w:rPr>
              <w:t>term temporary impact to the department's capability in providing its services/functions</w:t>
            </w:r>
            <w:r w:rsidR="00C850F3" w:rsidRPr="00534B9F">
              <w:rPr>
                <w:rFonts w:cs="Tahoma"/>
                <w:sz w:val="18"/>
                <w:szCs w:val="18"/>
              </w:rPr>
              <w:t>.</w:t>
            </w:r>
            <w:r w:rsidRPr="00534B9F">
              <w:rPr>
                <w:rFonts w:cs="Tahoma"/>
                <w:sz w:val="18"/>
                <w:szCs w:val="18"/>
              </w:rPr>
              <w:t xml:space="preserve"> </w:t>
            </w:r>
          </w:p>
          <w:p w14:paraId="5139FB6C" w14:textId="77777777" w:rsidR="00C84F1A" w:rsidRPr="00534B9F" w:rsidRDefault="00C84F1A" w:rsidP="00E87CE5">
            <w:pPr>
              <w:numPr>
                <w:ilvl w:val="0"/>
                <w:numId w:val="17"/>
              </w:numPr>
              <w:tabs>
                <w:tab w:val="clear" w:pos="360"/>
                <w:tab w:val="num" w:pos="255"/>
              </w:tabs>
              <w:spacing w:line="240" w:lineRule="auto"/>
              <w:ind w:left="255" w:hanging="141"/>
              <w:contextualSpacing/>
              <w:rPr>
                <w:rFonts w:cs="Tahoma"/>
                <w:sz w:val="18"/>
                <w:szCs w:val="18"/>
              </w:rPr>
            </w:pPr>
            <w:r w:rsidRPr="00534B9F">
              <w:rPr>
                <w:rFonts w:cs="Tahoma"/>
                <w:sz w:val="18"/>
                <w:szCs w:val="18"/>
              </w:rPr>
              <w:t>Customers/stakeholders slightly inconvenienced.</w:t>
            </w:r>
          </w:p>
          <w:p w14:paraId="386F4231" w14:textId="77777777" w:rsidR="00C84F1A" w:rsidRPr="00534B9F" w:rsidRDefault="00C84F1A" w:rsidP="00E87CE5">
            <w:pPr>
              <w:numPr>
                <w:ilvl w:val="0"/>
                <w:numId w:val="17"/>
              </w:numPr>
              <w:tabs>
                <w:tab w:val="clear" w:pos="360"/>
                <w:tab w:val="num" w:pos="255"/>
              </w:tabs>
              <w:spacing w:line="240" w:lineRule="auto"/>
              <w:ind w:left="255" w:hanging="141"/>
              <w:contextualSpacing/>
              <w:rPr>
                <w:rFonts w:cs="Tahoma"/>
                <w:sz w:val="18"/>
                <w:szCs w:val="18"/>
              </w:rPr>
            </w:pPr>
            <w:r w:rsidRPr="00534B9F">
              <w:rPr>
                <w:rFonts w:cs="Tahoma"/>
                <w:sz w:val="18"/>
                <w:szCs w:val="18"/>
              </w:rPr>
              <w:t>Effect on systems and processes contained to one Division</w:t>
            </w:r>
            <w:r w:rsidR="00C850F3" w:rsidRPr="00534B9F">
              <w:rPr>
                <w:rFonts w:cs="Tahoma"/>
                <w:sz w:val="18"/>
                <w:szCs w:val="18"/>
              </w:rPr>
              <w:t>.</w:t>
            </w:r>
          </w:p>
          <w:p w14:paraId="1F4B111E" w14:textId="77777777" w:rsidR="00C84F1A" w:rsidRPr="00534B9F" w:rsidRDefault="00C84F1A" w:rsidP="00E87CE5">
            <w:pPr>
              <w:numPr>
                <w:ilvl w:val="0"/>
                <w:numId w:val="17"/>
              </w:numPr>
              <w:tabs>
                <w:tab w:val="clear" w:pos="360"/>
                <w:tab w:val="num" w:pos="255"/>
              </w:tabs>
              <w:spacing w:line="240" w:lineRule="auto"/>
              <w:ind w:left="255" w:hanging="141"/>
              <w:contextualSpacing/>
              <w:rPr>
                <w:rFonts w:cs="Tahoma"/>
                <w:sz w:val="18"/>
                <w:szCs w:val="18"/>
              </w:rPr>
            </w:pPr>
            <w:r w:rsidRPr="00534B9F">
              <w:rPr>
                <w:rFonts w:cs="Tahoma"/>
                <w:sz w:val="18"/>
                <w:szCs w:val="18"/>
              </w:rPr>
              <w:t>Impact may be confined to a single Division</w:t>
            </w:r>
            <w:r w:rsidR="00C850F3" w:rsidRPr="00534B9F">
              <w:rPr>
                <w:rFonts w:cs="Tahoma"/>
                <w:sz w:val="18"/>
                <w:szCs w:val="18"/>
              </w:rPr>
              <w:t>.</w:t>
            </w:r>
          </w:p>
          <w:p w14:paraId="1DDC7209" w14:textId="4D21B983" w:rsidR="00C84F1A" w:rsidRPr="00534B9F" w:rsidRDefault="00C84F1A" w:rsidP="00143B3B">
            <w:pPr>
              <w:numPr>
                <w:ilvl w:val="0"/>
                <w:numId w:val="17"/>
              </w:numPr>
              <w:tabs>
                <w:tab w:val="clear" w:pos="360"/>
                <w:tab w:val="num" w:pos="255"/>
              </w:tabs>
              <w:spacing w:line="240" w:lineRule="auto"/>
              <w:ind w:left="255" w:hanging="141"/>
              <w:contextualSpacing/>
              <w:rPr>
                <w:rFonts w:cs="Tahoma"/>
                <w:sz w:val="18"/>
                <w:szCs w:val="18"/>
              </w:rPr>
            </w:pPr>
            <w:r w:rsidRPr="00534B9F">
              <w:rPr>
                <w:rFonts w:cs="Tahoma"/>
                <w:sz w:val="18"/>
                <w:szCs w:val="18"/>
              </w:rPr>
              <w:t>Some management resources required to</w:t>
            </w:r>
            <w:r w:rsidR="00143B3B">
              <w:rPr>
                <w:rFonts w:cs="Tahoma"/>
                <w:sz w:val="18"/>
                <w:szCs w:val="18"/>
              </w:rPr>
              <w:t xml:space="preserve"> </w:t>
            </w:r>
            <w:r w:rsidRPr="00534B9F">
              <w:rPr>
                <w:rFonts w:cs="Tahoma"/>
                <w:sz w:val="18"/>
                <w:szCs w:val="18"/>
              </w:rPr>
              <w:t>address event over days</w:t>
            </w:r>
            <w:r w:rsidR="00C850F3" w:rsidRPr="00534B9F">
              <w:rPr>
                <w:rFonts w:cs="Tahoma"/>
                <w:sz w:val="18"/>
                <w:szCs w:val="18"/>
              </w:rPr>
              <w:t>.</w:t>
            </w:r>
          </w:p>
        </w:tc>
        <w:tc>
          <w:tcPr>
            <w:tcW w:w="2409" w:type="dxa"/>
            <w:shd w:val="clear" w:color="auto" w:fill="auto"/>
            <w:tcMar>
              <w:top w:w="17" w:type="dxa"/>
              <w:left w:w="17" w:type="dxa"/>
              <w:bottom w:w="17" w:type="dxa"/>
              <w:right w:w="17" w:type="dxa"/>
            </w:tcMar>
            <w:hideMark/>
          </w:tcPr>
          <w:p w14:paraId="2D0F7759" w14:textId="77777777" w:rsidR="00C84F1A" w:rsidRPr="00534B9F" w:rsidRDefault="00C84F1A" w:rsidP="00E87CE5">
            <w:pPr>
              <w:numPr>
                <w:ilvl w:val="0"/>
                <w:numId w:val="17"/>
              </w:numPr>
              <w:tabs>
                <w:tab w:val="clear" w:pos="360"/>
                <w:tab w:val="num" w:pos="256"/>
              </w:tabs>
              <w:spacing w:line="240" w:lineRule="auto"/>
              <w:ind w:left="256" w:hanging="142"/>
              <w:contextualSpacing/>
              <w:rPr>
                <w:rFonts w:cs="Tahoma"/>
                <w:sz w:val="18"/>
                <w:szCs w:val="18"/>
              </w:rPr>
            </w:pPr>
            <w:r w:rsidRPr="00534B9F">
              <w:rPr>
                <w:rFonts w:cs="Tahoma"/>
                <w:sz w:val="18"/>
                <w:szCs w:val="18"/>
              </w:rPr>
              <w:t>Moderate impact to the department's capability in providing its services/functions</w:t>
            </w:r>
            <w:r w:rsidR="00C850F3" w:rsidRPr="00534B9F">
              <w:rPr>
                <w:rFonts w:cs="Tahoma"/>
                <w:sz w:val="18"/>
                <w:szCs w:val="18"/>
              </w:rPr>
              <w:t>.</w:t>
            </w:r>
          </w:p>
          <w:p w14:paraId="45624E06" w14:textId="77777777" w:rsidR="00C84F1A" w:rsidRPr="00534B9F" w:rsidRDefault="00C84F1A" w:rsidP="00E87CE5">
            <w:pPr>
              <w:numPr>
                <w:ilvl w:val="0"/>
                <w:numId w:val="17"/>
              </w:numPr>
              <w:tabs>
                <w:tab w:val="clear" w:pos="360"/>
                <w:tab w:val="num" w:pos="256"/>
              </w:tabs>
              <w:spacing w:line="240" w:lineRule="auto"/>
              <w:ind w:left="256" w:hanging="142"/>
              <w:contextualSpacing/>
              <w:rPr>
                <w:rFonts w:cs="Tahoma"/>
                <w:sz w:val="18"/>
                <w:szCs w:val="18"/>
              </w:rPr>
            </w:pPr>
            <w:r w:rsidRPr="00534B9F">
              <w:rPr>
                <w:rFonts w:cs="Tahoma"/>
                <w:sz w:val="18"/>
                <w:szCs w:val="18"/>
              </w:rPr>
              <w:t>Customers/stakeholders inconvenienced</w:t>
            </w:r>
            <w:r w:rsidR="00C850F3" w:rsidRPr="00534B9F">
              <w:rPr>
                <w:rFonts w:cs="Tahoma"/>
                <w:sz w:val="18"/>
                <w:szCs w:val="18"/>
              </w:rPr>
              <w:t>.</w:t>
            </w:r>
          </w:p>
          <w:p w14:paraId="67581AF6" w14:textId="77777777" w:rsidR="00C84F1A" w:rsidRPr="00534B9F" w:rsidRDefault="00C84F1A" w:rsidP="00E87CE5">
            <w:pPr>
              <w:numPr>
                <w:ilvl w:val="0"/>
                <w:numId w:val="17"/>
              </w:numPr>
              <w:tabs>
                <w:tab w:val="clear" w:pos="360"/>
                <w:tab w:val="num" w:pos="256"/>
              </w:tabs>
              <w:spacing w:line="240" w:lineRule="auto"/>
              <w:ind w:left="256" w:hanging="142"/>
              <w:contextualSpacing/>
              <w:rPr>
                <w:rFonts w:cs="Tahoma"/>
                <w:sz w:val="18"/>
                <w:szCs w:val="18"/>
              </w:rPr>
            </w:pPr>
            <w:r w:rsidRPr="00534B9F">
              <w:rPr>
                <w:rFonts w:cs="Tahoma"/>
                <w:sz w:val="18"/>
                <w:szCs w:val="18"/>
              </w:rPr>
              <w:t>Inability to deliver services for up to one week in at least one Division or Group</w:t>
            </w:r>
            <w:r w:rsidR="00C850F3" w:rsidRPr="00534B9F">
              <w:rPr>
                <w:rFonts w:cs="Tahoma"/>
                <w:sz w:val="18"/>
                <w:szCs w:val="18"/>
              </w:rPr>
              <w:t>.</w:t>
            </w:r>
          </w:p>
          <w:p w14:paraId="3A0F46F4" w14:textId="77777777" w:rsidR="00C84F1A" w:rsidRPr="00534B9F" w:rsidRDefault="00C84F1A" w:rsidP="00E87CE5">
            <w:pPr>
              <w:numPr>
                <w:ilvl w:val="0"/>
                <w:numId w:val="17"/>
              </w:numPr>
              <w:tabs>
                <w:tab w:val="clear" w:pos="360"/>
                <w:tab w:val="num" w:pos="256"/>
              </w:tabs>
              <w:spacing w:line="240" w:lineRule="auto"/>
              <w:ind w:left="256" w:hanging="142"/>
              <w:contextualSpacing/>
              <w:rPr>
                <w:rFonts w:cs="Tahoma"/>
                <w:sz w:val="18"/>
                <w:szCs w:val="18"/>
              </w:rPr>
            </w:pPr>
            <w:r w:rsidRPr="00534B9F">
              <w:rPr>
                <w:rFonts w:cs="Tahoma"/>
                <w:sz w:val="18"/>
                <w:szCs w:val="18"/>
              </w:rPr>
              <w:t>Impact may be confined to a single Division or Group</w:t>
            </w:r>
            <w:r w:rsidR="00C850F3" w:rsidRPr="00534B9F">
              <w:rPr>
                <w:rFonts w:cs="Tahoma"/>
                <w:sz w:val="18"/>
                <w:szCs w:val="18"/>
              </w:rPr>
              <w:t>.</w:t>
            </w:r>
          </w:p>
          <w:p w14:paraId="7721D495" w14:textId="77777777" w:rsidR="00C84F1A" w:rsidRPr="00534B9F" w:rsidRDefault="00C84F1A" w:rsidP="00E87CE5">
            <w:pPr>
              <w:numPr>
                <w:ilvl w:val="0"/>
                <w:numId w:val="17"/>
              </w:numPr>
              <w:tabs>
                <w:tab w:val="clear" w:pos="360"/>
                <w:tab w:val="num" w:pos="256"/>
              </w:tabs>
              <w:spacing w:line="240" w:lineRule="auto"/>
              <w:ind w:left="256" w:hanging="142"/>
              <w:contextualSpacing/>
              <w:rPr>
                <w:rFonts w:cs="Tahoma"/>
                <w:sz w:val="18"/>
                <w:szCs w:val="18"/>
              </w:rPr>
            </w:pPr>
            <w:r w:rsidRPr="00534B9F">
              <w:rPr>
                <w:rFonts w:cs="Tahoma"/>
                <w:sz w:val="18"/>
                <w:szCs w:val="18"/>
              </w:rPr>
              <w:t>Some management resources required to address event over several weeks</w:t>
            </w:r>
            <w:r w:rsidR="00C850F3" w:rsidRPr="00534B9F">
              <w:rPr>
                <w:rFonts w:cs="Tahoma"/>
                <w:sz w:val="18"/>
                <w:szCs w:val="18"/>
              </w:rPr>
              <w:t>.</w:t>
            </w:r>
          </w:p>
        </w:tc>
        <w:tc>
          <w:tcPr>
            <w:tcW w:w="2694" w:type="dxa"/>
            <w:shd w:val="clear" w:color="auto" w:fill="auto"/>
            <w:tcMar>
              <w:top w:w="17" w:type="dxa"/>
              <w:left w:w="17" w:type="dxa"/>
              <w:bottom w:w="17" w:type="dxa"/>
              <w:right w:w="17" w:type="dxa"/>
            </w:tcMar>
            <w:hideMark/>
          </w:tcPr>
          <w:p w14:paraId="67E53F14" w14:textId="77777777" w:rsidR="00C84F1A" w:rsidRPr="00534B9F" w:rsidRDefault="00C84F1A" w:rsidP="00E87CE5">
            <w:pPr>
              <w:numPr>
                <w:ilvl w:val="0"/>
                <w:numId w:val="17"/>
              </w:numPr>
              <w:spacing w:line="240" w:lineRule="auto"/>
              <w:ind w:left="256" w:hanging="142"/>
              <w:contextualSpacing/>
              <w:rPr>
                <w:rFonts w:cs="Tahoma"/>
                <w:sz w:val="18"/>
                <w:szCs w:val="18"/>
              </w:rPr>
            </w:pPr>
            <w:r w:rsidRPr="00534B9F">
              <w:rPr>
                <w:rFonts w:cs="Tahoma"/>
                <w:sz w:val="18"/>
                <w:szCs w:val="18"/>
              </w:rPr>
              <w:t>Continuing difficulties in delivering the department's critical services/functions</w:t>
            </w:r>
            <w:r w:rsidR="00C850F3" w:rsidRPr="00534B9F">
              <w:rPr>
                <w:rFonts w:cs="Tahoma"/>
                <w:sz w:val="18"/>
                <w:szCs w:val="18"/>
              </w:rPr>
              <w:t>.</w:t>
            </w:r>
          </w:p>
          <w:p w14:paraId="60B1D248" w14:textId="77777777" w:rsidR="00C84F1A" w:rsidRPr="00534B9F" w:rsidRDefault="00C84F1A" w:rsidP="00E87CE5">
            <w:pPr>
              <w:numPr>
                <w:ilvl w:val="0"/>
                <w:numId w:val="17"/>
              </w:numPr>
              <w:spacing w:line="240" w:lineRule="auto"/>
              <w:ind w:left="256" w:hanging="142"/>
              <w:contextualSpacing/>
              <w:rPr>
                <w:rFonts w:cs="Tahoma"/>
                <w:sz w:val="18"/>
                <w:szCs w:val="18"/>
              </w:rPr>
            </w:pPr>
            <w:r w:rsidRPr="00534B9F">
              <w:rPr>
                <w:rFonts w:cs="Tahoma"/>
                <w:sz w:val="18"/>
                <w:szCs w:val="18"/>
              </w:rPr>
              <w:t>Major impact on customers/stakeholder</w:t>
            </w:r>
            <w:r w:rsidR="00C850F3" w:rsidRPr="00534B9F">
              <w:rPr>
                <w:rFonts w:cs="Tahoma"/>
                <w:sz w:val="18"/>
                <w:szCs w:val="18"/>
              </w:rPr>
              <w:t>.</w:t>
            </w:r>
          </w:p>
          <w:p w14:paraId="20DD0334" w14:textId="77777777" w:rsidR="00C84F1A" w:rsidRPr="00534B9F" w:rsidRDefault="00C84F1A" w:rsidP="00E87CE5">
            <w:pPr>
              <w:numPr>
                <w:ilvl w:val="0"/>
                <w:numId w:val="17"/>
              </w:numPr>
              <w:spacing w:line="240" w:lineRule="auto"/>
              <w:ind w:left="256" w:hanging="142"/>
              <w:contextualSpacing/>
              <w:rPr>
                <w:rFonts w:cs="Tahoma"/>
                <w:sz w:val="18"/>
                <w:szCs w:val="18"/>
              </w:rPr>
            </w:pPr>
            <w:r w:rsidRPr="00534B9F">
              <w:rPr>
                <w:rFonts w:cs="Tahoma"/>
                <w:sz w:val="18"/>
                <w:szCs w:val="18"/>
              </w:rPr>
              <w:t>Inability to deliver services for between 1-3 weeks across the Department</w:t>
            </w:r>
            <w:r w:rsidR="00C850F3" w:rsidRPr="00534B9F">
              <w:rPr>
                <w:rFonts w:cs="Tahoma"/>
                <w:sz w:val="18"/>
                <w:szCs w:val="18"/>
              </w:rPr>
              <w:t>.</w:t>
            </w:r>
          </w:p>
          <w:p w14:paraId="59D09CB5" w14:textId="77777777" w:rsidR="00C84F1A" w:rsidRPr="00534B9F" w:rsidRDefault="00C84F1A" w:rsidP="00E87CE5">
            <w:pPr>
              <w:numPr>
                <w:ilvl w:val="0"/>
                <w:numId w:val="17"/>
              </w:numPr>
              <w:spacing w:line="240" w:lineRule="auto"/>
              <w:ind w:left="256" w:hanging="142"/>
              <w:contextualSpacing/>
              <w:rPr>
                <w:rFonts w:cs="Tahoma"/>
                <w:sz w:val="18"/>
                <w:szCs w:val="18"/>
              </w:rPr>
            </w:pPr>
            <w:r w:rsidRPr="00534B9F">
              <w:rPr>
                <w:rFonts w:cs="Tahoma"/>
                <w:sz w:val="18"/>
                <w:szCs w:val="18"/>
              </w:rPr>
              <w:t>May impact on multiple Division or Group &amp;/or single locations</w:t>
            </w:r>
            <w:r w:rsidR="00C850F3" w:rsidRPr="00534B9F">
              <w:rPr>
                <w:rFonts w:cs="Tahoma"/>
                <w:sz w:val="18"/>
                <w:szCs w:val="18"/>
              </w:rPr>
              <w:t>.</w:t>
            </w:r>
          </w:p>
          <w:p w14:paraId="3318BC26" w14:textId="77777777" w:rsidR="00C84F1A" w:rsidRPr="00534B9F" w:rsidRDefault="00C84F1A" w:rsidP="00E87CE5">
            <w:pPr>
              <w:numPr>
                <w:ilvl w:val="0"/>
                <w:numId w:val="17"/>
              </w:numPr>
              <w:spacing w:line="240" w:lineRule="auto"/>
              <w:ind w:left="256" w:hanging="142"/>
              <w:contextualSpacing/>
              <w:rPr>
                <w:rFonts w:cs="Tahoma"/>
                <w:sz w:val="18"/>
                <w:szCs w:val="18"/>
              </w:rPr>
            </w:pPr>
            <w:r w:rsidRPr="00534B9F">
              <w:rPr>
                <w:rFonts w:cs="Tahoma"/>
                <w:sz w:val="18"/>
                <w:szCs w:val="18"/>
              </w:rPr>
              <w:t>Significant management resources required to address event over several weeks or months</w:t>
            </w:r>
            <w:r w:rsidR="00C850F3" w:rsidRPr="00534B9F">
              <w:rPr>
                <w:rFonts w:cs="Tahoma"/>
                <w:sz w:val="18"/>
                <w:szCs w:val="18"/>
              </w:rPr>
              <w:t>.</w:t>
            </w:r>
          </w:p>
        </w:tc>
        <w:tc>
          <w:tcPr>
            <w:tcW w:w="2693" w:type="dxa"/>
            <w:shd w:val="clear" w:color="auto" w:fill="auto"/>
            <w:tcMar>
              <w:top w:w="17" w:type="dxa"/>
              <w:left w:w="17" w:type="dxa"/>
              <w:bottom w:w="17" w:type="dxa"/>
              <w:right w:w="17" w:type="dxa"/>
            </w:tcMar>
            <w:hideMark/>
          </w:tcPr>
          <w:p w14:paraId="56F6C2F6" w14:textId="77777777" w:rsidR="00C84F1A" w:rsidRPr="00534B9F" w:rsidRDefault="00C84F1A" w:rsidP="00E87CE5">
            <w:pPr>
              <w:numPr>
                <w:ilvl w:val="0"/>
                <w:numId w:val="17"/>
              </w:numPr>
              <w:spacing w:line="240" w:lineRule="auto"/>
              <w:ind w:left="255" w:hanging="142"/>
              <w:contextualSpacing/>
              <w:rPr>
                <w:rFonts w:cs="Tahoma"/>
                <w:sz w:val="18"/>
                <w:szCs w:val="18"/>
              </w:rPr>
            </w:pPr>
            <w:r w:rsidRPr="00534B9F">
              <w:rPr>
                <w:rFonts w:cs="Tahoma"/>
                <w:sz w:val="18"/>
                <w:szCs w:val="18"/>
              </w:rPr>
              <w:t>Long</w:t>
            </w:r>
            <w:r w:rsidR="00C850F3" w:rsidRPr="00534B9F">
              <w:rPr>
                <w:rFonts w:cs="Tahoma"/>
                <w:sz w:val="18"/>
                <w:szCs w:val="18"/>
              </w:rPr>
              <w:t>-</w:t>
            </w:r>
            <w:r w:rsidRPr="00534B9F">
              <w:rPr>
                <w:rFonts w:cs="Tahoma"/>
                <w:sz w:val="18"/>
                <w:szCs w:val="18"/>
              </w:rPr>
              <w:t>term detrimental effect on the department's capability in providing critical services/functions</w:t>
            </w:r>
            <w:r w:rsidR="00C850F3" w:rsidRPr="00534B9F">
              <w:rPr>
                <w:rFonts w:cs="Tahoma"/>
                <w:sz w:val="18"/>
                <w:szCs w:val="18"/>
              </w:rPr>
              <w:t>.</w:t>
            </w:r>
          </w:p>
          <w:p w14:paraId="53A24A4E" w14:textId="77777777" w:rsidR="00C84F1A" w:rsidRPr="00534B9F" w:rsidRDefault="00C84F1A" w:rsidP="00E87CE5">
            <w:pPr>
              <w:numPr>
                <w:ilvl w:val="0"/>
                <w:numId w:val="17"/>
              </w:numPr>
              <w:spacing w:line="240" w:lineRule="auto"/>
              <w:ind w:left="255" w:hanging="142"/>
              <w:contextualSpacing/>
              <w:rPr>
                <w:rFonts w:cs="Tahoma"/>
                <w:sz w:val="18"/>
                <w:szCs w:val="18"/>
              </w:rPr>
            </w:pPr>
            <w:r w:rsidRPr="00534B9F">
              <w:rPr>
                <w:rFonts w:cs="Tahoma"/>
                <w:sz w:val="18"/>
                <w:szCs w:val="18"/>
              </w:rPr>
              <w:t>Very serious impact to customers/stakeholders.</w:t>
            </w:r>
          </w:p>
          <w:p w14:paraId="1409849B" w14:textId="77777777" w:rsidR="00C84F1A" w:rsidRPr="00534B9F" w:rsidRDefault="00C84F1A" w:rsidP="00E87CE5">
            <w:pPr>
              <w:numPr>
                <w:ilvl w:val="0"/>
                <w:numId w:val="17"/>
              </w:numPr>
              <w:spacing w:line="240" w:lineRule="auto"/>
              <w:ind w:left="255" w:hanging="142"/>
              <w:contextualSpacing/>
              <w:rPr>
                <w:rFonts w:cs="Tahoma"/>
                <w:sz w:val="18"/>
                <w:szCs w:val="18"/>
              </w:rPr>
            </w:pPr>
            <w:r w:rsidRPr="00534B9F">
              <w:rPr>
                <w:rFonts w:cs="Tahoma"/>
                <w:sz w:val="18"/>
                <w:szCs w:val="18"/>
              </w:rPr>
              <w:t>Inability to deliver services for more than 3 weeks across the Department</w:t>
            </w:r>
            <w:r w:rsidR="00C850F3" w:rsidRPr="00534B9F">
              <w:rPr>
                <w:rFonts w:cs="Tahoma"/>
                <w:sz w:val="18"/>
                <w:szCs w:val="18"/>
              </w:rPr>
              <w:t>.</w:t>
            </w:r>
          </w:p>
          <w:p w14:paraId="4C30E1DC" w14:textId="77777777" w:rsidR="00C84F1A" w:rsidRPr="00534B9F" w:rsidRDefault="00C84F1A" w:rsidP="00E87CE5">
            <w:pPr>
              <w:numPr>
                <w:ilvl w:val="0"/>
                <w:numId w:val="17"/>
              </w:numPr>
              <w:spacing w:line="240" w:lineRule="auto"/>
              <w:ind w:left="255" w:hanging="142"/>
              <w:contextualSpacing/>
              <w:rPr>
                <w:rFonts w:cs="Tahoma"/>
                <w:sz w:val="18"/>
                <w:szCs w:val="18"/>
              </w:rPr>
            </w:pPr>
            <w:r w:rsidRPr="00534B9F">
              <w:rPr>
                <w:rFonts w:cs="Tahoma"/>
                <w:sz w:val="18"/>
                <w:szCs w:val="18"/>
              </w:rPr>
              <w:t>May impact on multiple Division or Group, whole Department  &amp;/or multiple regions</w:t>
            </w:r>
            <w:r w:rsidR="00C850F3" w:rsidRPr="00534B9F">
              <w:rPr>
                <w:rFonts w:cs="Tahoma"/>
                <w:sz w:val="18"/>
                <w:szCs w:val="18"/>
              </w:rPr>
              <w:t>.</w:t>
            </w:r>
          </w:p>
          <w:p w14:paraId="0A558D91" w14:textId="77777777" w:rsidR="00C84F1A" w:rsidRPr="00534B9F" w:rsidRDefault="00C84F1A" w:rsidP="00E87CE5">
            <w:pPr>
              <w:numPr>
                <w:ilvl w:val="0"/>
                <w:numId w:val="17"/>
              </w:numPr>
              <w:spacing w:line="240" w:lineRule="auto"/>
              <w:ind w:left="255" w:hanging="142"/>
              <w:contextualSpacing/>
              <w:rPr>
                <w:rFonts w:cs="Tahoma"/>
                <w:sz w:val="18"/>
                <w:szCs w:val="18"/>
              </w:rPr>
            </w:pPr>
            <w:r w:rsidRPr="00534B9F">
              <w:rPr>
                <w:rFonts w:cs="Tahoma"/>
                <w:sz w:val="18"/>
                <w:szCs w:val="18"/>
              </w:rPr>
              <w:t>Complete suspension of normal management activities for several weeks or months in order to address event</w:t>
            </w:r>
            <w:r w:rsidR="00C850F3" w:rsidRPr="00534B9F">
              <w:rPr>
                <w:rFonts w:cs="Tahoma"/>
                <w:sz w:val="18"/>
                <w:szCs w:val="18"/>
              </w:rPr>
              <w:t>.</w:t>
            </w:r>
          </w:p>
        </w:tc>
      </w:tr>
      <w:tr w:rsidR="00C84F1A" w:rsidRPr="00277762" w14:paraId="71BD3C95" w14:textId="77777777" w:rsidTr="00514376">
        <w:trPr>
          <w:trHeight w:val="2431"/>
        </w:trPr>
        <w:tc>
          <w:tcPr>
            <w:tcW w:w="1756" w:type="dxa"/>
            <w:shd w:val="clear" w:color="auto" w:fill="D9D9D9"/>
            <w:tcMar>
              <w:top w:w="17" w:type="dxa"/>
              <w:left w:w="17" w:type="dxa"/>
              <w:bottom w:w="17" w:type="dxa"/>
              <w:right w:w="17" w:type="dxa"/>
            </w:tcMar>
            <w:hideMark/>
          </w:tcPr>
          <w:p w14:paraId="0B7DFCBB" w14:textId="74182BE6" w:rsidR="00C84F1A" w:rsidRPr="00534B9F" w:rsidRDefault="00C84F1A" w:rsidP="00534B9F">
            <w:pPr>
              <w:ind w:left="0" w:firstLine="142"/>
              <w:rPr>
                <w:rFonts w:cs="Tahoma"/>
                <w:b/>
                <w:bCs/>
                <w:sz w:val="18"/>
                <w:szCs w:val="18"/>
              </w:rPr>
            </w:pPr>
            <w:r w:rsidRPr="00534B9F">
              <w:rPr>
                <w:rFonts w:cs="Tahoma"/>
                <w:b/>
                <w:bCs/>
                <w:sz w:val="18"/>
                <w:szCs w:val="18"/>
              </w:rPr>
              <w:lastRenderedPageBreak/>
              <w:t>Reputation</w:t>
            </w:r>
          </w:p>
          <w:p w14:paraId="7B555A29" w14:textId="77777777" w:rsidR="00C84F1A" w:rsidRPr="00534B9F" w:rsidRDefault="00C84F1A" w:rsidP="00277762">
            <w:pPr>
              <w:spacing w:line="240" w:lineRule="auto"/>
              <w:ind w:left="142"/>
              <w:rPr>
                <w:rFonts w:cs="Tahoma"/>
                <w:bCs/>
                <w:sz w:val="18"/>
                <w:szCs w:val="18"/>
              </w:rPr>
            </w:pPr>
            <w:r w:rsidRPr="00534B9F">
              <w:rPr>
                <w:rFonts w:cs="Tahoma"/>
                <w:sz w:val="18"/>
                <w:szCs w:val="18"/>
              </w:rPr>
              <w:t>Risk event has a sustained impact on the reputation of the Department (or of specific Group, Divisions or Programs within the Department) either within Government or external stakeholders.</w:t>
            </w:r>
          </w:p>
        </w:tc>
        <w:tc>
          <w:tcPr>
            <w:tcW w:w="1987" w:type="dxa"/>
            <w:shd w:val="clear" w:color="auto" w:fill="auto"/>
            <w:tcMar>
              <w:top w:w="17" w:type="dxa"/>
              <w:left w:w="17" w:type="dxa"/>
              <w:bottom w:w="17" w:type="dxa"/>
              <w:right w:w="17" w:type="dxa"/>
            </w:tcMar>
            <w:hideMark/>
          </w:tcPr>
          <w:p w14:paraId="1470DAFF" w14:textId="77777777" w:rsidR="00C84F1A" w:rsidRPr="00534B9F" w:rsidRDefault="00C84F1A" w:rsidP="00E87CE5">
            <w:pPr>
              <w:numPr>
                <w:ilvl w:val="0"/>
                <w:numId w:val="17"/>
              </w:numPr>
              <w:tabs>
                <w:tab w:val="clear" w:pos="360"/>
                <w:tab w:val="num" w:pos="125"/>
              </w:tabs>
              <w:spacing w:line="240" w:lineRule="auto"/>
              <w:ind w:left="256" w:hanging="142"/>
              <w:contextualSpacing/>
              <w:rPr>
                <w:rFonts w:cs="Tahoma"/>
                <w:sz w:val="18"/>
                <w:szCs w:val="18"/>
              </w:rPr>
            </w:pPr>
            <w:r w:rsidRPr="00534B9F">
              <w:rPr>
                <w:rFonts w:cs="Tahoma"/>
                <w:sz w:val="18"/>
                <w:szCs w:val="18"/>
              </w:rPr>
              <w:t>Very limited public or political interest</w:t>
            </w:r>
            <w:r w:rsidR="00C850F3" w:rsidRPr="00534B9F">
              <w:rPr>
                <w:rFonts w:cs="Tahoma"/>
                <w:sz w:val="18"/>
                <w:szCs w:val="18"/>
              </w:rPr>
              <w:t>.</w:t>
            </w:r>
          </w:p>
          <w:p w14:paraId="488E251B" w14:textId="77777777" w:rsidR="00C84F1A" w:rsidRPr="00534B9F" w:rsidRDefault="00C84F1A" w:rsidP="00E87CE5">
            <w:pPr>
              <w:numPr>
                <w:ilvl w:val="0"/>
                <w:numId w:val="17"/>
              </w:numPr>
              <w:tabs>
                <w:tab w:val="clear" w:pos="360"/>
                <w:tab w:val="num" w:pos="125"/>
              </w:tabs>
              <w:spacing w:line="240" w:lineRule="auto"/>
              <w:ind w:left="256" w:hanging="142"/>
              <w:contextualSpacing/>
              <w:rPr>
                <w:rFonts w:cs="Tahoma"/>
                <w:sz w:val="18"/>
                <w:szCs w:val="18"/>
              </w:rPr>
            </w:pPr>
            <w:r w:rsidRPr="00534B9F">
              <w:rPr>
                <w:rFonts w:cs="Tahoma"/>
                <w:sz w:val="18"/>
                <w:szCs w:val="18"/>
              </w:rPr>
              <w:t>Minimal adverse local attention (1 day only)</w:t>
            </w:r>
            <w:r w:rsidR="00C850F3" w:rsidRPr="00534B9F">
              <w:rPr>
                <w:rFonts w:cs="Tahoma"/>
                <w:sz w:val="18"/>
                <w:szCs w:val="18"/>
              </w:rPr>
              <w:t>.</w:t>
            </w:r>
          </w:p>
          <w:p w14:paraId="103246B1" w14:textId="77777777" w:rsidR="00C84F1A" w:rsidRPr="00534B9F" w:rsidRDefault="00C84F1A" w:rsidP="00E87CE5">
            <w:pPr>
              <w:numPr>
                <w:ilvl w:val="0"/>
                <w:numId w:val="17"/>
              </w:numPr>
              <w:tabs>
                <w:tab w:val="clear" w:pos="360"/>
                <w:tab w:val="num" w:pos="125"/>
              </w:tabs>
              <w:spacing w:line="240" w:lineRule="auto"/>
              <w:ind w:left="256" w:hanging="142"/>
              <w:contextualSpacing/>
              <w:rPr>
                <w:rFonts w:cs="Tahoma"/>
                <w:sz w:val="18"/>
                <w:szCs w:val="18"/>
              </w:rPr>
            </w:pPr>
            <w:r w:rsidRPr="00534B9F">
              <w:rPr>
                <w:rFonts w:cs="Tahoma"/>
                <w:sz w:val="18"/>
                <w:szCs w:val="18"/>
              </w:rPr>
              <w:t>Relationship with central agency remediated promptly</w:t>
            </w:r>
            <w:r w:rsidR="00C850F3" w:rsidRPr="00534B9F">
              <w:rPr>
                <w:rFonts w:cs="Tahoma"/>
                <w:sz w:val="18"/>
                <w:szCs w:val="18"/>
              </w:rPr>
              <w:t>.</w:t>
            </w:r>
          </w:p>
          <w:p w14:paraId="73CEAB85" w14:textId="77777777" w:rsidR="00C84F1A" w:rsidRPr="00534B9F" w:rsidRDefault="00C84F1A" w:rsidP="00E87CE5">
            <w:pPr>
              <w:numPr>
                <w:ilvl w:val="0"/>
                <w:numId w:val="17"/>
              </w:numPr>
              <w:tabs>
                <w:tab w:val="clear" w:pos="360"/>
                <w:tab w:val="num" w:pos="125"/>
              </w:tabs>
              <w:spacing w:line="240" w:lineRule="auto"/>
              <w:ind w:left="256" w:hanging="142"/>
              <w:contextualSpacing/>
              <w:rPr>
                <w:rFonts w:cs="Tahoma"/>
                <w:sz w:val="18"/>
                <w:szCs w:val="18"/>
              </w:rPr>
            </w:pPr>
            <w:r w:rsidRPr="00534B9F">
              <w:rPr>
                <w:rFonts w:cs="Tahoma"/>
                <w:sz w:val="18"/>
                <w:szCs w:val="18"/>
              </w:rPr>
              <w:t xml:space="preserve">Complaint from one stakeholder. </w:t>
            </w:r>
          </w:p>
          <w:p w14:paraId="5A97087F" w14:textId="77777777" w:rsidR="00C84F1A" w:rsidRPr="00534B9F" w:rsidRDefault="00C84F1A" w:rsidP="00E87CE5">
            <w:pPr>
              <w:numPr>
                <w:ilvl w:val="0"/>
                <w:numId w:val="17"/>
              </w:numPr>
              <w:tabs>
                <w:tab w:val="clear" w:pos="360"/>
                <w:tab w:val="num" w:pos="125"/>
              </w:tabs>
              <w:spacing w:line="240" w:lineRule="auto"/>
              <w:ind w:left="256" w:hanging="142"/>
              <w:contextualSpacing/>
              <w:rPr>
                <w:rFonts w:cs="Tahoma"/>
                <w:sz w:val="18"/>
                <w:szCs w:val="18"/>
              </w:rPr>
            </w:pPr>
            <w:r w:rsidRPr="00534B9F">
              <w:rPr>
                <w:rFonts w:cs="Tahoma"/>
                <w:sz w:val="18"/>
                <w:szCs w:val="18"/>
              </w:rPr>
              <w:t>Complaint or public criticism resolved promptly by day to day management processes</w:t>
            </w:r>
            <w:r w:rsidR="00C850F3" w:rsidRPr="00534B9F">
              <w:rPr>
                <w:rFonts w:cs="Tahoma"/>
                <w:sz w:val="18"/>
                <w:szCs w:val="18"/>
              </w:rPr>
              <w:t>.</w:t>
            </w:r>
            <w:r w:rsidRPr="00534B9F">
              <w:rPr>
                <w:rFonts w:cs="Tahoma"/>
                <w:sz w:val="18"/>
                <w:szCs w:val="18"/>
              </w:rPr>
              <w:t xml:space="preserve">   </w:t>
            </w:r>
          </w:p>
        </w:tc>
        <w:tc>
          <w:tcPr>
            <w:tcW w:w="2370" w:type="dxa"/>
            <w:shd w:val="clear" w:color="auto" w:fill="auto"/>
            <w:tcMar>
              <w:top w:w="17" w:type="dxa"/>
              <w:left w:w="17" w:type="dxa"/>
              <w:bottom w:w="17" w:type="dxa"/>
              <w:right w:w="17" w:type="dxa"/>
            </w:tcMar>
            <w:hideMark/>
          </w:tcPr>
          <w:p w14:paraId="6F2DE1A7" w14:textId="77777777" w:rsidR="00C84F1A" w:rsidRPr="00534B9F" w:rsidRDefault="00C84F1A" w:rsidP="00E87CE5">
            <w:pPr>
              <w:numPr>
                <w:ilvl w:val="0"/>
                <w:numId w:val="18"/>
              </w:numPr>
              <w:tabs>
                <w:tab w:val="clear" w:pos="360"/>
                <w:tab w:val="num" w:pos="255"/>
              </w:tabs>
              <w:spacing w:line="240" w:lineRule="auto"/>
              <w:ind w:left="255" w:hanging="141"/>
              <w:contextualSpacing/>
              <w:rPr>
                <w:rFonts w:cs="Tahoma"/>
                <w:sz w:val="18"/>
                <w:szCs w:val="18"/>
              </w:rPr>
            </w:pPr>
            <w:r w:rsidRPr="00534B9F">
              <w:rPr>
                <w:rFonts w:cs="Tahoma"/>
                <w:sz w:val="18"/>
                <w:szCs w:val="18"/>
              </w:rPr>
              <w:t>Adverse localised public or political interest</w:t>
            </w:r>
            <w:r w:rsidR="00C850F3" w:rsidRPr="00534B9F">
              <w:rPr>
                <w:rFonts w:cs="Tahoma"/>
                <w:sz w:val="18"/>
                <w:szCs w:val="18"/>
              </w:rPr>
              <w:t>.</w:t>
            </w:r>
          </w:p>
          <w:p w14:paraId="4E36A4A0" w14:textId="77777777" w:rsidR="00C84F1A" w:rsidRPr="00534B9F" w:rsidRDefault="00C84F1A" w:rsidP="00E87CE5">
            <w:pPr>
              <w:numPr>
                <w:ilvl w:val="0"/>
                <w:numId w:val="18"/>
              </w:numPr>
              <w:tabs>
                <w:tab w:val="clear" w:pos="360"/>
                <w:tab w:val="num" w:pos="255"/>
              </w:tabs>
              <w:spacing w:line="240" w:lineRule="auto"/>
              <w:ind w:left="255" w:hanging="141"/>
              <w:contextualSpacing/>
              <w:rPr>
                <w:rFonts w:cs="Tahoma"/>
                <w:sz w:val="18"/>
                <w:szCs w:val="18"/>
              </w:rPr>
            </w:pPr>
            <w:r w:rsidRPr="00534B9F">
              <w:rPr>
                <w:rFonts w:cs="Tahoma"/>
                <w:sz w:val="18"/>
                <w:szCs w:val="18"/>
              </w:rPr>
              <w:t>Limited attention on a single issue in local media over a short period (up to 1 week)</w:t>
            </w:r>
            <w:r w:rsidR="00C850F3" w:rsidRPr="00534B9F">
              <w:rPr>
                <w:rFonts w:cs="Tahoma"/>
                <w:sz w:val="18"/>
                <w:szCs w:val="18"/>
              </w:rPr>
              <w:t>.</w:t>
            </w:r>
          </w:p>
          <w:p w14:paraId="215669C4" w14:textId="77777777" w:rsidR="00C84F1A" w:rsidRPr="00534B9F" w:rsidRDefault="00C84F1A" w:rsidP="00E87CE5">
            <w:pPr>
              <w:numPr>
                <w:ilvl w:val="0"/>
                <w:numId w:val="18"/>
              </w:numPr>
              <w:tabs>
                <w:tab w:val="clear" w:pos="360"/>
                <w:tab w:val="num" w:pos="255"/>
              </w:tabs>
              <w:spacing w:line="240" w:lineRule="auto"/>
              <w:ind w:left="255" w:hanging="141"/>
              <w:contextualSpacing/>
              <w:rPr>
                <w:rFonts w:cs="Tahoma"/>
                <w:sz w:val="18"/>
                <w:szCs w:val="18"/>
              </w:rPr>
            </w:pPr>
            <w:r w:rsidRPr="00534B9F">
              <w:rPr>
                <w:rFonts w:cs="Tahoma"/>
                <w:sz w:val="18"/>
                <w:szCs w:val="18"/>
              </w:rPr>
              <w:t>Relationship with central agency requires some management attention</w:t>
            </w:r>
            <w:r w:rsidR="00C850F3" w:rsidRPr="00534B9F">
              <w:rPr>
                <w:rFonts w:cs="Tahoma"/>
                <w:sz w:val="18"/>
                <w:szCs w:val="18"/>
              </w:rPr>
              <w:t>.</w:t>
            </w:r>
            <w:r w:rsidRPr="00534B9F">
              <w:rPr>
                <w:rFonts w:cs="Tahoma"/>
                <w:sz w:val="18"/>
                <w:szCs w:val="18"/>
              </w:rPr>
              <w:t xml:space="preserve"> </w:t>
            </w:r>
          </w:p>
          <w:p w14:paraId="0B243D4D" w14:textId="6BB0B3D6" w:rsidR="00C84F1A" w:rsidRPr="00534B9F" w:rsidRDefault="00C84F1A" w:rsidP="00AB106D">
            <w:pPr>
              <w:numPr>
                <w:ilvl w:val="0"/>
                <w:numId w:val="18"/>
              </w:numPr>
              <w:tabs>
                <w:tab w:val="clear" w:pos="360"/>
                <w:tab w:val="num" w:pos="255"/>
              </w:tabs>
              <w:spacing w:line="240" w:lineRule="auto"/>
              <w:ind w:left="255" w:hanging="141"/>
              <w:contextualSpacing/>
              <w:rPr>
                <w:rFonts w:cs="Tahoma"/>
                <w:sz w:val="18"/>
                <w:szCs w:val="18"/>
              </w:rPr>
            </w:pPr>
            <w:r w:rsidRPr="00534B9F">
              <w:rPr>
                <w:rFonts w:cs="Tahoma"/>
                <w:sz w:val="18"/>
                <w:szCs w:val="18"/>
              </w:rPr>
              <w:t>Complaint or public criticism resolved promptly by day</w:t>
            </w:r>
            <w:r w:rsidR="00AB106D">
              <w:rPr>
                <w:rFonts w:cs="Tahoma"/>
                <w:sz w:val="18"/>
                <w:szCs w:val="18"/>
              </w:rPr>
              <w:t>-</w:t>
            </w:r>
            <w:r w:rsidRPr="00534B9F">
              <w:rPr>
                <w:rFonts w:cs="Tahoma"/>
                <w:sz w:val="18"/>
                <w:szCs w:val="18"/>
              </w:rPr>
              <w:t>to</w:t>
            </w:r>
            <w:r w:rsidR="00AB106D">
              <w:rPr>
                <w:rFonts w:cs="Tahoma"/>
                <w:sz w:val="18"/>
                <w:szCs w:val="18"/>
              </w:rPr>
              <w:t>-</w:t>
            </w:r>
            <w:r w:rsidRPr="00534B9F">
              <w:rPr>
                <w:rFonts w:cs="Tahoma"/>
                <w:sz w:val="18"/>
                <w:szCs w:val="18"/>
              </w:rPr>
              <w:t>day management processes</w:t>
            </w:r>
            <w:r w:rsidR="00C850F3" w:rsidRPr="00534B9F">
              <w:rPr>
                <w:rFonts w:cs="Tahoma"/>
                <w:sz w:val="18"/>
                <w:szCs w:val="18"/>
              </w:rPr>
              <w:t>.</w:t>
            </w:r>
            <w:r w:rsidRPr="00534B9F">
              <w:rPr>
                <w:rFonts w:cs="Tahoma"/>
                <w:sz w:val="18"/>
                <w:szCs w:val="18"/>
              </w:rPr>
              <w:t xml:space="preserve">   </w:t>
            </w:r>
          </w:p>
        </w:tc>
        <w:tc>
          <w:tcPr>
            <w:tcW w:w="2409" w:type="dxa"/>
            <w:shd w:val="clear" w:color="auto" w:fill="auto"/>
            <w:tcMar>
              <w:top w:w="17" w:type="dxa"/>
              <w:left w:w="17" w:type="dxa"/>
              <w:bottom w:w="17" w:type="dxa"/>
              <w:right w:w="17" w:type="dxa"/>
            </w:tcMar>
            <w:hideMark/>
          </w:tcPr>
          <w:p w14:paraId="08507630" w14:textId="77777777" w:rsidR="00C84F1A" w:rsidRPr="00534B9F" w:rsidRDefault="00C84F1A" w:rsidP="00E87CE5">
            <w:pPr>
              <w:numPr>
                <w:ilvl w:val="0"/>
                <w:numId w:val="18"/>
              </w:numPr>
              <w:tabs>
                <w:tab w:val="clear" w:pos="360"/>
                <w:tab w:val="num" w:pos="256"/>
              </w:tabs>
              <w:spacing w:line="240" w:lineRule="auto"/>
              <w:ind w:left="256" w:hanging="142"/>
              <w:contextualSpacing/>
              <w:rPr>
                <w:rFonts w:cs="Tahoma"/>
                <w:sz w:val="18"/>
                <w:szCs w:val="18"/>
              </w:rPr>
            </w:pPr>
            <w:r w:rsidRPr="00534B9F">
              <w:rPr>
                <w:rFonts w:cs="Tahoma"/>
                <w:sz w:val="18"/>
                <w:szCs w:val="18"/>
              </w:rPr>
              <w:t>Adverse localised negative public or political attention</w:t>
            </w:r>
            <w:r w:rsidR="00C850F3" w:rsidRPr="00534B9F">
              <w:rPr>
                <w:rFonts w:cs="Tahoma"/>
                <w:sz w:val="18"/>
                <w:szCs w:val="18"/>
              </w:rPr>
              <w:t>.</w:t>
            </w:r>
          </w:p>
          <w:p w14:paraId="11D2C04B" w14:textId="77777777" w:rsidR="00C84F1A" w:rsidRPr="00534B9F" w:rsidRDefault="00C84F1A" w:rsidP="00E87CE5">
            <w:pPr>
              <w:numPr>
                <w:ilvl w:val="0"/>
                <w:numId w:val="18"/>
              </w:numPr>
              <w:tabs>
                <w:tab w:val="clear" w:pos="360"/>
                <w:tab w:val="num" w:pos="256"/>
              </w:tabs>
              <w:spacing w:line="240" w:lineRule="auto"/>
              <w:ind w:left="256" w:hanging="142"/>
              <w:contextualSpacing/>
              <w:rPr>
                <w:rFonts w:cs="Tahoma"/>
                <w:sz w:val="18"/>
                <w:szCs w:val="18"/>
              </w:rPr>
            </w:pPr>
            <w:r w:rsidRPr="00534B9F">
              <w:rPr>
                <w:rFonts w:cs="Tahoma"/>
                <w:sz w:val="18"/>
                <w:szCs w:val="18"/>
              </w:rPr>
              <w:t>Short term local media attention (up to 2 months)</w:t>
            </w:r>
            <w:r w:rsidR="00C850F3" w:rsidRPr="00534B9F">
              <w:rPr>
                <w:rFonts w:cs="Tahoma"/>
                <w:sz w:val="18"/>
                <w:szCs w:val="18"/>
              </w:rPr>
              <w:t>.</w:t>
            </w:r>
          </w:p>
          <w:p w14:paraId="5D27C134" w14:textId="77777777" w:rsidR="00C84F1A" w:rsidRPr="00534B9F" w:rsidRDefault="00C84F1A" w:rsidP="00E87CE5">
            <w:pPr>
              <w:numPr>
                <w:ilvl w:val="0"/>
                <w:numId w:val="18"/>
              </w:numPr>
              <w:tabs>
                <w:tab w:val="clear" w:pos="360"/>
                <w:tab w:val="num" w:pos="256"/>
              </w:tabs>
              <w:spacing w:line="240" w:lineRule="auto"/>
              <w:ind w:left="256" w:hanging="142"/>
              <w:contextualSpacing/>
              <w:rPr>
                <w:rFonts w:cs="Tahoma"/>
                <w:sz w:val="18"/>
                <w:szCs w:val="18"/>
              </w:rPr>
            </w:pPr>
            <w:r w:rsidRPr="00534B9F">
              <w:rPr>
                <w:rFonts w:cs="Tahoma"/>
                <w:sz w:val="18"/>
                <w:szCs w:val="18"/>
              </w:rPr>
              <w:t>Relationship with central agency requires specific management attention.</w:t>
            </w:r>
          </w:p>
          <w:p w14:paraId="592BDE6D" w14:textId="77777777" w:rsidR="00C84F1A" w:rsidRPr="00534B9F" w:rsidRDefault="00C84F1A" w:rsidP="00E87CE5">
            <w:pPr>
              <w:numPr>
                <w:ilvl w:val="0"/>
                <w:numId w:val="18"/>
              </w:numPr>
              <w:tabs>
                <w:tab w:val="clear" w:pos="360"/>
                <w:tab w:val="num" w:pos="256"/>
              </w:tabs>
              <w:spacing w:line="240" w:lineRule="auto"/>
              <w:ind w:left="256" w:hanging="142"/>
              <w:contextualSpacing/>
              <w:rPr>
                <w:rFonts w:cs="Tahoma"/>
                <w:sz w:val="18"/>
                <w:szCs w:val="18"/>
              </w:rPr>
            </w:pPr>
            <w:r w:rsidRPr="00534B9F">
              <w:rPr>
                <w:rFonts w:cs="Tahoma"/>
                <w:sz w:val="18"/>
                <w:szCs w:val="18"/>
              </w:rPr>
              <w:t>Local community concern on a single issue over a sustained period (up to 2 months)</w:t>
            </w:r>
            <w:r w:rsidR="00C850F3" w:rsidRPr="00534B9F">
              <w:rPr>
                <w:rFonts w:cs="Tahoma"/>
                <w:sz w:val="18"/>
                <w:szCs w:val="18"/>
              </w:rPr>
              <w:t>.</w:t>
            </w:r>
          </w:p>
        </w:tc>
        <w:tc>
          <w:tcPr>
            <w:tcW w:w="2694" w:type="dxa"/>
            <w:shd w:val="clear" w:color="auto" w:fill="auto"/>
            <w:tcMar>
              <w:top w:w="17" w:type="dxa"/>
              <w:left w:w="17" w:type="dxa"/>
              <w:bottom w:w="17" w:type="dxa"/>
              <w:right w:w="17" w:type="dxa"/>
            </w:tcMar>
            <w:hideMark/>
          </w:tcPr>
          <w:p w14:paraId="0300E314" w14:textId="77777777" w:rsidR="00C84F1A" w:rsidRPr="00534B9F" w:rsidRDefault="00C84F1A" w:rsidP="00E87CE5">
            <w:pPr>
              <w:numPr>
                <w:ilvl w:val="0"/>
                <w:numId w:val="18"/>
              </w:numPr>
              <w:spacing w:line="240" w:lineRule="auto"/>
              <w:ind w:left="256" w:hanging="142"/>
              <w:contextualSpacing/>
              <w:rPr>
                <w:rFonts w:cs="Tahoma"/>
                <w:sz w:val="18"/>
                <w:szCs w:val="18"/>
              </w:rPr>
            </w:pPr>
            <w:r w:rsidRPr="00534B9F">
              <w:rPr>
                <w:rFonts w:cs="Tahoma"/>
                <w:sz w:val="18"/>
                <w:szCs w:val="18"/>
              </w:rPr>
              <w:t>Serious adverse public attention at State/National level (6-12 months)</w:t>
            </w:r>
            <w:r w:rsidR="00C850F3" w:rsidRPr="00534B9F">
              <w:rPr>
                <w:rFonts w:cs="Tahoma"/>
                <w:sz w:val="18"/>
                <w:szCs w:val="18"/>
              </w:rPr>
              <w:t>.</w:t>
            </w:r>
          </w:p>
          <w:p w14:paraId="541423D2" w14:textId="77777777" w:rsidR="00C84F1A" w:rsidRPr="00534B9F" w:rsidRDefault="00C84F1A" w:rsidP="00E87CE5">
            <w:pPr>
              <w:numPr>
                <w:ilvl w:val="0"/>
                <w:numId w:val="18"/>
              </w:numPr>
              <w:spacing w:line="240" w:lineRule="auto"/>
              <w:ind w:left="256" w:hanging="142"/>
              <w:contextualSpacing/>
              <w:rPr>
                <w:rFonts w:cs="Tahoma"/>
                <w:sz w:val="18"/>
                <w:szCs w:val="18"/>
              </w:rPr>
            </w:pPr>
            <w:r w:rsidRPr="00534B9F">
              <w:rPr>
                <w:rFonts w:cs="Tahoma"/>
                <w:sz w:val="18"/>
                <w:szCs w:val="18"/>
              </w:rPr>
              <w:t>Negative State/National media on one or more issues over a prolonged period (6-12 months)</w:t>
            </w:r>
            <w:r w:rsidR="00C850F3" w:rsidRPr="00534B9F">
              <w:rPr>
                <w:rFonts w:cs="Tahoma"/>
                <w:sz w:val="18"/>
                <w:szCs w:val="18"/>
              </w:rPr>
              <w:t>.</w:t>
            </w:r>
          </w:p>
          <w:p w14:paraId="23AF19EB" w14:textId="77777777" w:rsidR="00C84F1A" w:rsidRPr="00534B9F" w:rsidRDefault="00C84F1A" w:rsidP="00E87CE5">
            <w:pPr>
              <w:numPr>
                <w:ilvl w:val="0"/>
                <w:numId w:val="18"/>
              </w:numPr>
              <w:spacing w:line="240" w:lineRule="auto"/>
              <w:ind w:left="256" w:hanging="142"/>
              <w:contextualSpacing/>
              <w:rPr>
                <w:rFonts w:cs="Tahoma"/>
                <w:sz w:val="18"/>
                <w:szCs w:val="18"/>
              </w:rPr>
            </w:pPr>
            <w:r w:rsidRPr="00534B9F">
              <w:rPr>
                <w:rFonts w:cs="Tahoma"/>
                <w:sz w:val="18"/>
                <w:szCs w:val="18"/>
              </w:rPr>
              <w:t>Media attention escalates, calls for public enquiry and Ministerial accountability.</w:t>
            </w:r>
          </w:p>
          <w:p w14:paraId="0F8202B3" w14:textId="77777777" w:rsidR="00C84F1A" w:rsidRPr="00534B9F" w:rsidRDefault="00C84F1A" w:rsidP="00E87CE5">
            <w:pPr>
              <w:numPr>
                <w:ilvl w:val="0"/>
                <w:numId w:val="18"/>
              </w:numPr>
              <w:spacing w:line="240" w:lineRule="auto"/>
              <w:ind w:left="256" w:hanging="142"/>
              <w:contextualSpacing/>
              <w:rPr>
                <w:rFonts w:cs="Tahoma"/>
                <w:sz w:val="18"/>
                <w:szCs w:val="18"/>
              </w:rPr>
            </w:pPr>
            <w:r w:rsidRPr="00534B9F">
              <w:rPr>
                <w:rFonts w:cs="Tahoma"/>
                <w:sz w:val="18"/>
                <w:szCs w:val="18"/>
              </w:rPr>
              <w:t>Medium-term negative public interest</w:t>
            </w:r>
            <w:r w:rsidR="00C850F3" w:rsidRPr="00534B9F">
              <w:rPr>
                <w:rFonts w:cs="Tahoma"/>
                <w:sz w:val="18"/>
                <w:szCs w:val="18"/>
              </w:rPr>
              <w:t>.</w:t>
            </w:r>
            <w:r w:rsidRPr="00534B9F">
              <w:rPr>
                <w:rFonts w:cs="Tahoma"/>
                <w:sz w:val="18"/>
                <w:szCs w:val="18"/>
              </w:rPr>
              <w:t xml:space="preserve">  </w:t>
            </w:r>
          </w:p>
          <w:p w14:paraId="09AE3498" w14:textId="77777777" w:rsidR="00C84F1A" w:rsidRPr="00534B9F" w:rsidRDefault="00C84F1A" w:rsidP="00E87CE5">
            <w:pPr>
              <w:numPr>
                <w:ilvl w:val="0"/>
                <w:numId w:val="18"/>
              </w:numPr>
              <w:spacing w:line="240" w:lineRule="auto"/>
              <w:ind w:left="256" w:hanging="142"/>
              <w:contextualSpacing/>
              <w:rPr>
                <w:rFonts w:cs="Tahoma"/>
                <w:sz w:val="18"/>
                <w:szCs w:val="18"/>
              </w:rPr>
            </w:pPr>
            <w:r w:rsidRPr="00534B9F">
              <w:rPr>
                <w:rFonts w:cs="Tahoma"/>
                <w:sz w:val="18"/>
                <w:szCs w:val="18"/>
              </w:rPr>
              <w:t>Correspondence, phone calls  and political interest in Parliament</w:t>
            </w:r>
            <w:r w:rsidR="00C850F3" w:rsidRPr="00534B9F">
              <w:rPr>
                <w:rFonts w:cs="Tahoma"/>
                <w:sz w:val="18"/>
                <w:szCs w:val="18"/>
              </w:rPr>
              <w:t>.</w:t>
            </w:r>
          </w:p>
          <w:p w14:paraId="7B245B18" w14:textId="77777777" w:rsidR="00C84F1A" w:rsidRPr="00534B9F" w:rsidRDefault="00C84F1A" w:rsidP="00E87CE5">
            <w:pPr>
              <w:numPr>
                <w:ilvl w:val="0"/>
                <w:numId w:val="18"/>
              </w:numPr>
              <w:spacing w:line="240" w:lineRule="auto"/>
              <w:ind w:left="256" w:hanging="142"/>
              <w:contextualSpacing/>
              <w:rPr>
                <w:rFonts w:cs="Tahoma"/>
                <w:sz w:val="18"/>
                <w:szCs w:val="18"/>
              </w:rPr>
            </w:pPr>
            <w:r w:rsidRPr="00534B9F">
              <w:rPr>
                <w:rFonts w:cs="Tahoma"/>
                <w:sz w:val="18"/>
                <w:szCs w:val="18"/>
              </w:rPr>
              <w:t>Medium term loss of Government or central agency confidence in the Department.</w:t>
            </w:r>
          </w:p>
        </w:tc>
        <w:tc>
          <w:tcPr>
            <w:tcW w:w="2693" w:type="dxa"/>
            <w:shd w:val="clear" w:color="auto" w:fill="auto"/>
            <w:tcMar>
              <w:top w:w="17" w:type="dxa"/>
              <w:left w:w="17" w:type="dxa"/>
              <w:bottom w:w="17" w:type="dxa"/>
              <w:right w:w="17" w:type="dxa"/>
            </w:tcMar>
            <w:hideMark/>
          </w:tcPr>
          <w:p w14:paraId="3CC7AA8B" w14:textId="77777777" w:rsidR="00C84F1A" w:rsidRPr="00534B9F" w:rsidRDefault="00C84F1A" w:rsidP="00E87CE5">
            <w:pPr>
              <w:numPr>
                <w:ilvl w:val="0"/>
                <w:numId w:val="18"/>
              </w:numPr>
              <w:spacing w:line="240" w:lineRule="auto"/>
              <w:ind w:left="255" w:hanging="142"/>
              <w:contextualSpacing/>
              <w:rPr>
                <w:rFonts w:cs="Tahoma"/>
                <w:sz w:val="18"/>
                <w:szCs w:val="18"/>
              </w:rPr>
            </w:pPr>
            <w:r w:rsidRPr="00534B9F">
              <w:rPr>
                <w:rFonts w:cs="Tahoma"/>
                <w:sz w:val="18"/>
                <w:szCs w:val="18"/>
              </w:rPr>
              <w:t>Very serious public outcry at State/National level (longer than 1</w:t>
            </w:r>
            <w:r w:rsidR="00C850F3" w:rsidRPr="00534B9F">
              <w:rPr>
                <w:rFonts w:cs="Tahoma"/>
                <w:sz w:val="18"/>
                <w:szCs w:val="18"/>
              </w:rPr>
              <w:t xml:space="preserve"> </w:t>
            </w:r>
            <w:r w:rsidRPr="00534B9F">
              <w:rPr>
                <w:rFonts w:cs="Tahoma"/>
                <w:sz w:val="18"/>
                <w:szCs w:val="18"/>
              </w:rPr>
              <w:t>year)</w:t>
            </w:r>
            <w:r w:rsidR="00C850F3" w:rsidRPr="00534B9F">
              <w:rPr>
                <w:rFonts w:cs="Tahoma"/>
                <w:sz w:val="18"/>
                <w:szCs w:val="18"/>
              </w:rPr>
              <w:t>.</w:t>
            </w:r>
          </w:p>
          <w:p w14:paraId="52E67607" w14:textId="77777777" w:rsidR="00C84F1A" w:rsidRPr="00534B9F" w:rsidRDefault="00C84F1A" w:rsidP="00E87CE5">
            <w:pPr>
              <w:numPr>
                <w:ilvl w:val="0"/>
                <w:numId w:val="18"/>
              </w:numPr>
              <w:spacing w:line="240" w:lineRule="auto"/>
              <w:ind w:left="255" w:hanging="142"/>
              <w:contextualSpacing/>
              <w:rPr>
                <w:rFonts w:cs="Tahoma"/>
                <w:sz w:val="18"/>
                <w:szCs w:val="18"/>
              </w:rPr>
            </w:pPr>
            <w:r w:rsidRPr="00534B9F">
              <w:rPr>
                <w:rFonts w:cs="Tahoma"/>
                <w:sz w:val="18"/>
                <w:szCs w:val="18"/>
              </w:rPr>
              <w:t>Negative State/National media over a prolonged period (greater than 1</w:t>
            </w:r>
            <w:r w:rsidR="00C850F3" w:rsidRPr="00534B9F">
              <w:rPr>
                <w:rFonts w:cs="Tahoma"/>
                <w:sz w:val="18"/>
                <w:szCs w:val="18"/>
              </w:rPr>
              <w:t xml:space="preserve"> </w:t>
            </w:r>
            <w:r w:rsidRPr="00534B9F">
              <w:rPr>
                <w:rFonts w:cs="Tahoma"/>
                <w:sz w:val="18"/>
                <w:szCs w:val="18"/>
              </w:rPr>
              <w:t>year)</w:t>
            </w:r>
            <w:r w:rsidR="00C850F3" w:rsidRPr="00534B9F">
              <w:rPr>
                <w:rFonts w:cs="Tahoma"/>
                <w:sz w:val="18"/>
                <w:szCs w:val="18"/>
              </w:rPr>
              <w:t>.</w:t>
            </w:r>
          </w:p>
          <w:p w14:paraId="6E4ADB15" w14:textId="77777777" w:rsidR="00C84F1A" w:rsidRPr="00534B9F" w:rsidRDefault="00C84F1A" w:rsidP="00E87CE5">
            <w:pPr>
              <w:numPr>
                <w:ilvl w:val="0"/>
                <w:numId w:val="18"/>
              </w:numPr>
              <w:spacing w:line="240" w:lineRule="auto"/>
              <w:ind w:left="255" w:hanging="142"/>
              <w:contextualSpacing/>
              <w:rPr>
                <w:rFonts w:cs="Tahoma"/>
                <w:sz w:val="18"/>
                <w:szCs w:val="18"/>
              </w:rPr>
            </w:pPr>
            <w:r w:rsidRPr="00534B9F">
              <w:rPr>
                <w:rFonts w:cs="Tahoma"/>
                <w:sz w:val="18"/>
                <w:szCs w:val="18"/>
              </w:rPr>
              <w:t>On-going or prolonged negative public interest (correspondence and phone calls) and political interest (in Parliament) (longer than 1 year)</w:t>
            </w:r>
            <w:r w:rsidR="00C850F3" w:rsidRPr="00534B9F">
              <w:rPr>
                <w:rFonts w:cs="Tahoma"/>
                <w:sz w:val="18"/>
                <w:szCs w:val="18"/>
              </w:rPr>
              <w:t>.</w:t>
            </w:r>
          </w:p>
          <w:p w14:paraId="48C3AE16" w14:textId="77777777" w:rsidR="00C84F1A" w:rsidRPr="00534B9F" w:rsidRDefault="00C84F1A" w:rsidP="00E87CE5">
            <w:pPr>
              <w:numPr>
                <w:ilvl w:val="0"/>
                <w:numId w:val="18"/>
              </w:numPr>
              <w:spacing w:line="240" w:lineRule="auto"/>
              <w:ind w:left="255" w:hanging="142"/>
              <w:contextualSpacing/>
              <w:rPr>
                <w:rFonts w:cs="Tahoma"/>
                <w:sz w:val="18"/>
                <w:szCs w:val="18"/>
              </w:rPr>
            </w:pPr>
            <w:r w:rsidRPr="00534B9F">
              <w:rPr>
                <w:rFonts w:cs="Tahoma"/>
                <w:sz w:val="18"/>
                <w:szCs w:val="18"/>
              </w:rPr>
              <w:t xml:space="preserve">Ministerial </w:t>
            </w:r>
            <w:r w:rsidR="00C850F3" w:rsidRPr="00534B9F">
              <w:rPr>
                <w:rFonts w:cs="Tahoma"/>
                <w:sz w:val="18"/>
                <w:szCs w:val="18"/>
              </w:rPr>
              <w:t>i</w:t>
            </w:r>
            <w:r w:rsidRPr="00534B9F">
              <w:rPr>
                <w:rFonts w:cs="Tahoma"/>
                <w:sz w:val="18"/>
                <w:szCs w:val="18"/>
              </w:rPr>
              <w:t>nquiry/Royal Commission</w:t>
            </w:r>
            <w:r w:rsidR="00C850F3" w:rsidRPr="00534B9F">
              <w:rPr>
                <w:rFonts w:cs="Tahoma"/>
                <w:sz w:val="18"/>
                <w:szCs w:val="18"/>
              </w:rPr>
              <w:t>.</w:t>
            </w:r>
            <w:r w:rsidRPr="00534B9F">
              <w:rPr>
                <w:rFonts w:cs="Tahoma"/>
                <w:sz w:val="18"/>
                <w:szCs w:val="18"/>
              </w:rPr>
              <w:t xml:space="preserve"> </w:t>
            </w:r>
          </w:p>
          <w:p w14:paraId="15FA6CC5" w14:textId="77777777" w:rsidR="00C84F1A" w:rsidRPr="00534B9F" w:rsidRDefault="00C84F1A" w:rsidP="00E87CE5">
            <w:pPr>
              <w:numPr>
                <w:ilvl w:val="0"/>
                <w:numId w:val="18"/>
              </w:numPr>
              <w:spacing w:line="240" w:lineRule="auto"/>
              <w:ind w:left="255" w:hanging="142"/>
              <w:contextualSpacing/>
              <w:rPr>
                <w:rFonts w:cs="Tahoma"/>
                <w:sz w:val="18"/>
                <w:szCs w:val="18"/>
              </w:rPr>
            </w:pPr>
            <w:r w:rsidRPr="00534B9F">
              <w:rPr>
                <w:rFonts w:cs="Tahoma"/>
                <w:sz w:val="18"/>
                <w:szCs w:val="18"/>
              </w:rPr>
              <w:t>Breakdown of public confidence in the Government/Department/ Minister</w:t>
            </w:r>
            <w:r w:rsidR="00C850F3" w:rsidRPr="00534B9F">
              <w:rPr>
                <w:rFonts w:cs="Tahoma"/>
                <w:sz w:val="18"/>
                <w:szCs w:val="18"/>
              </w:rPr>
              <w:t>.</w:t>
            </w:r>
          </w:p>
          <w:p w14:paraId="432B6ED3" w14:textId="77777777" w:rsidR="00C84F1A" w:rsidRPr="00534B9F" w:rsidRDefault="00C84F1A" w:rsidP="00E87CE5">
            <w:pPr>
              <w:numPr>
                <w:ilvl w:val="0"/>
                <w:numId w:val="18"/>
              </w:numPr>
              <w:spacing w:line="240" w:lineRule="auto"/>
              <w:ind w:left="255" w:hanging="142"/>
              <w:contextualSpacing/>
              <w:rPr>
                <w:rFonts w:cs="Tahoma"/>
                <w:sz w:val="18"/>
                <w:szCs w:val="18"/>
              </w:rPr>
            </w:pPr>
            <w:r w:rsidRPr="00534B9F">
              <w:rPr>
                <w:rFonts w:cs="Tahoma"/>
                <w:sz w:val="18"/>
                <w:szCs w:val="18"/>
              </w:rPr>
              <w:t>Resignation or removal of a Senior Executive and/or Minister</w:t>
            </w:r>
            <w:r w:rsidR="00C850F3" w:rsidRPr="00534B9F">
              <w:rPr>
                <w:rFonts w:cs="Tahoma"/>
                <w:sz w:val="18"/>
                <w:szCs w:val="18"/>
              </w:rPr>
              <w:t>.</w:t>
            </w:r>
          </w:p>
          <w:p w14:paraId="74476366" w14:textId="77777777" w:rsidR="00C84F1A" w:rsidRPr="00534B9F" w:rsidRDefault="00C84F1A" w:rsidP="00E87CE5">
            <w:pPr>
              <w:numPr>
                <w:ilvl w:val="0"/>
                <w:numId w:val="18"/>
              </w:numPr>
              <w:spacing w:line="240" w:lineRule="auto"/>
              <w:ind w:left="255" w:hanging="142"/>
              <w:contextualSpacing/>
              <w:rPr>
                <w:rFonts w:cs="Tahoma"/>
                <w:sz w:val="18"/>
                <w:szCs w:val="18"/>
              </w:rPr>
            </w:pPr>
            <w:r w:rsidRPr="00534B9F">
              <w:rPr>
                <w:rFonts w:cs="Tahoma"/>
                <w:sz w:val="18"/>
                <w:szCs w:val="18"/>
              </w:rPr>
              <w:t>Long</w:t>
            </w:r>
            <w:r w:rsidR="00C850F3" w:rsidRPr="00534B9F">
              <w:rPr>
                <w:rFonts w:cs="Tahoma"/>
                <w:sz w:val="18"/>
                <w:szCs w:val="18"/>
              </w:rPr>
              <w:t>-</w:t>
            </w:r>
            <w:r w:rsidRPr="00534B9F">
              <w:rPr>
                <w:rFonts w:cs="Tahoma"/>
                <w:sz w:val="18"/>
                <w:szCs w:val="18"/>
              </w:rPr>
              <w:t>term loss of Government or central agency trust in the Department</w:t>
            </w:r>
            <w:r w:rsidR="00C850F3" w:rsidRPr="00534B9F">
              <w:rPr>
                <w:rFonts w:cs="Tahoma"/>
                <w:sz w:val="18"/>
                <w:szCs w:val="18"/>
              </w:rPr>
              <w:t>.</w:t>
            </w:r>
          </w:p>
        </w:tc>
      </w:tr>
      <w:tr w:rsidR="00C84F1A" w:rsidRPr="00277762" w14:paraId="536331A3" w14:textId="77777777" w:rsidTr="00514376">
        <w:trPr>
          <w:trHeight w:val="702"/>
        </w:trPr>
        <w:tc>
          <w:tcPr>
            <w:tcW w:w="1756" w:type="dxa"/>
            <w:shd w:val="clear" w:color="auto" w:fill="D9D9D9"/>
            <w:tcMar>
              <w:top w:w="17" w:type="dxa"/>
              <w:left w:w="17" w:type="dxa"/>
              <w:bottom w:w="17" w:type="dxa"/>
              <w:right w:w="17" w:type="dxa"/>
            </w:tcMar>
            <w:hideMark/>
          </w:tcPr>
          <w:p w14:paraId="03CA1C24" w14:textId="5E591183" w:rsidR="00C84F1A" w:rsidRPr="00534B9F" w:rsidRDefault="00AB106D" w:rsidP="00E87CE5">
            <w:pPr>
              <w:ind w:left="0"/>
              <w:rPr>
                <w:rFonts w:cs="Tahoma"/>
                <w:b/>
                <w:bCs/>
                <w:sz w:val="18"/>
                <w:szCs w:val="18"/>
              </w:rPr>
            </w:pPr>
            <w:r>
              <w:rPr>
                <w:rFonts w:cs="Tahoma"/>
                <w:b/>
                <w:bCs/>
                <w:sz w:val="18"/>
                <w:szCs w:val="18"/>
              </w:rPr>
              <w:t xml:space="preserve">   </w:t>
            </w:r>
            <w:r w:rsidR="00C84F1A" w:rsidRPr="00534B9F">
              <w:rPr>
                <w:rFonts w:cs="Tahoma"/>
                <w:b/>
                <w:bCs/>
                <w:sz w:val="18"/>
                <w:szCs w:val="18"/>
              </w:rPr>
              <w:t>Financial</w:t>
            </w:r>
          </w:p>
          <w:p w14:paraId="7BA635DD" w14:textId="77777777" w:rsidR="00C84F1A" w:rsidRPr="00534B9F" w:rsidRDefault="00C84F1A" w:rsidP="00277762">
            <w:pPr>
              <w:spacing w:line="240" w:lineRule="auto"/>
              <w:ind w:left="142"/>
              <w:rPr>
                <w:rFonts w:cs="Tahoma"/>
                <w:sz w:val="18"/>
                <w:szCs w:val="18"/>
              </w:rPr>
            </w:pPr>
            <w:r w:rsidRPr="00534B9F">
              <w:rPr>
                <w:rFonts w:cs="Tahoma"/>
                <w:sz w:val="18"/>
                <w:szCs w:val="18"/>
              </w:rPr>
              <w:t xml:space="preserve">Risk event impacts the financial position/budget of the Department/Group/  Division/Program/ </w:t>
            </w:r>
            <w:r w:rsidRPr="00534B9F">
              <w:rPr>
                <w:rFonts w:cs="Tahoma"/>
                <w:sz w:val="18"/>
                <w:szCs w:val="18"/>
              </w:rPr>
              <w:lastRenderedPageBreak/>
              <w:t>Project</w:t>
            </w:r>
          </w:p>
          <w:p w14:paraId="326D669B" w14:textId="77777777" w:rsidR="00462CB0" w:rsidRPr="00534B9F" w:rsidRDefault="00462CB0" w:rsidP="00E87CE5">
            <w:pPr>
              <w:ind w:left="0"/>
              <w:rPr>
                <w:rFonts w:cs="Tahoma"/>
                <w:bCs/>
                <w:sz w:val="18"/>
                <w:szCs w:val="18"/>
              </w:rPr>
            </w:pPr>
          </w:p>
          <w:p w14:paraId="2A0623F3" w14:textId="77777777" w:rsidR="00462CB0" w:rsidRPr="00534B9F" w:rsidRDefault="00462CB0" w:rsidP="00E87CE5">
            <w:pPr>
              <w:ind w:left="0"/>
              <w:rPr>
                <w:rFonts w:cs="Tahoma"/>
                <w:bCs/>
                <w:sz w:val="18"/>
                <w:szCs w:val="18"/>
              </w:rPr>
            </w:pPr>
          </w:p>
        </w:tc>
        <w:tc>
          <w:tcPr>
            <w:tcW w:w="1987" w:type="dxa"/>
            <w:shd w:val="clear" w:color="auto" w:fill="auto"/>
            <w:tcMar>
              <w:top w:w="17" w:type="dxa"/>
              <w:left w:w="17" w:type="dxa"/>
              <w:bottom w:w="17" w:type="dxa"/>
              <w:right w:w="17" w:type="dxa"/>
            </w:tcMar>
            <w:hideMark/>
          </w:tcPr>
          <w:p w14:paraId="489DDA5F" w14:textId="77777777" w:rsidR="00C84F1A" w:rsidRPr="00534B9F" w:rsidRDefault="00C84F1A" w:rsidP="00E87CE5">
            <w:pPr>
              <w:numPr>
                <w:ilvl w:val="0"/>
                <w:numId w:val="19"/>
              </w:numPr>
              <w:tabs>
                <w:tab w:val="clear" w:pos="360"/>
                <w:tab w:val="num" w:pos="125"/>
              </w:tabs>
              <w:spacing w:line="240" w:lineRule="auto"/>
              <w:ind w:left="256" w:hanging="142"/>
              <w:contextualSpacing/>
              <w:rPr>
                <w:rFonts w:cs="Tahoma"/>
                <w:sz w:val="18"/>
                <w:szCs w:val="18"/>
              </w:rPr>
            </w:pPr>
            <w:r w:rsidRPr="00534B9F">
              <w:rPr>
                <w:rFonts w:cs="Tahoma"/>
                <w:sz w:val="18"/>
                <w:szCs w:val="18"/>
              </w:rPr>
              <w:lastRenderedPageBreak/>
              <w:t>Total Department or Group revenue, expenditure, or budget impacted by up to 1%</w:t>
            </w:r>
            <w:r w:rsidR="00462CB0" w:rsidRPr="00534B9F">
              <w:rPr>
                <w:rFonts w:cs="Tahoma"/>
                <w:sz w:val="18"/>
                <w:szCs w:val="18"/>
              </w:rPr>
              <w:t>.</w:t>
            </w:r>
          </w:p>
          <w:p w14:paraId="6ACF5815" w14:textId="77777777" w:rsidR="00C84F1A" w:rsidRPr="00534B9F" w:rsidRDefault="00C84F1A" w:rsidP="00E87CE5">
            <w:pPr>
              <w:numPr>
                <w:ilvl w:val="0"/>
                <w:numId w:val="19"/>
              </w:numPr>
              <w:tabs>
                <w:tab w:val="clear" w:pos="360"/>
                <w:tab w:val="num" w:pos="125"/>
              </w:tabs>
              <w:spacing w:line="240" w:lineRule="auto"/>
              <w:ind w:left="256" w:hanging="142"/>
              <w:contextualSpacing/>
              <w:rPr>
                <w:rFonts w:cs="Tahoma"/>
                <w:sz w:val="18"/>
                <w:szCs w:val="18"/>
              </w:rPr>
            </w:pPr>
            <w:r w:rsidRPr="00534B9F">
              <w:rPr>
                <w:rFonts w:cs="Tahoma"/>
                <w:sz w:val="18"/>
                <w:szCs w:val="18"/>
              </w:rPr>
              <w:t xml:space="preserve">Insignificant financial loss to industry/ </w:t>
            </w:r>
            <w:r w:rsidRPr="00534B9F">
              <w:rPr>
                <w:rFonts w:cs="Tahoma"/>
                <w:sz w:val="18"/>
                <w:szCs w:val="18"/>
              </w:rPr>
              <w:lastRenderedPageBreak/>
              <w:t>environmental stakeholder</w:t>
            </w:r>
            <w:r w:rsidR="00462CB0" w:rsidRPr="00534B9F">
              <w:rPr>
                <w:rFonts w:cs="Tahoma"/>
                <w:sz w:val="18"/>
                <w:szCs w:val="18"/>
              </w:rPr>
              <w:t>.</w:t>
            </w:r>
          </w:p>
        </w:tc>
        <w:tc>
          <w:tcPr>
            <w:tcW w:w="2370" w:type="dxa"/>
            <w:shd w:val="clear" w:color="auto" w:fill="auto"/>
            <w:tcMar>
              <w:top w:w="17" w:type="dxa"/>
              <w:left w:w="17" w:type="dxa"/>
              <w:bottom w:w="17" w:type="dxa"/>
              <w:right w:w="17" w:type="dxa"/>
            </w:tcMar>
            <w:hideMark/>
          </w:tcPr>
          <w:p w14:paraId="2F731B36" w14:textId="77777777" w:rsidR="00C84F1A" w:rsidRPr="00534B9F" w:rsidRDefault="00C84F1A" w:rsidP="00E87CE5">
            <w:pPr>
              <w:numPr>
                <w:ilvl w:val="0"/>
                <w:numId w:val="20"/>
              </w:numPr>
              <w:tabs>
                <w:tab w:val="clear" w:pos="360"/>
                <w:tab w:val="num" w:pos="255"/>
              </w:tabs>
              <w:spacing w:line="240" w:lineRule="auto"/>
              <w:ind w:left="255" w:hanging="141"/>
              <w:contextualSpacing/>
              <w:rPr>
                <w:rFonts w:cs="Tahoma"/>
                <w:sz w:val="18"/>
                <w:szCs w:val="18"/>
              </w:rPr>
            </w:pPr>
            <w:r w:rsidRPr="00534B9F">
              <w:rPr>
                <w:rFonts w:cs="Tahoma"/>
                <w:sz w:val="18"/>
                <w:szCs w:val="18"/>
              </w:rPr>
              <w:lastRenderedPageBreak/>
              <w:t>Total Department or Group revenue, expenditure, or budget impacted by 1-5%</w:t>
            </w:r>
            <w:r w:rsidR="00462CB0" w:rsidRPr="00534B9F">
              <w:rPr>
                <w:rFonts w:cs="Tahoma"/>
                <w:sz w:val="18"/>
                <w:szCs w:val="18"/>
              </w:rPr>
              <w:t>.</w:t>
            </w:r>
          </w:p>
          <w:p w14:paraId="6DE7AA93" w14:textId="77777777" w:rsidR="00C84F1A" w:rsidRPr="00534B9F" w:rsidRDefault="00C84F1A" w:rsidP="00E87CE5">
            <w:pPr>
              <w:numPr>
                <w:ilvl w:val="0"/>
                <w:numId w:val="20"/>
              </w:numPr>
              <w:tabs>
                <w:tab w:val="clear" w:pos="360"/>
                <w:tab w:val="num" w:pos="255"/>
              </w:tabs>
              <w:spacing w:line="240" w:lineRule="auto"/>
              <w:ind w:left="255" w:hanging="141"/>
              <w:contextualSpacing/>
              <w:rPr>
                <w:rFonts w:cs="Tahoma"/>
                <w:sz w:val="18"/>
                <w:szCs w:val="18"/>
              </w:rPr>
            </w:pPr>
            <w:r w:rsidRPr="00534B9F">
              <w:rPr>
                <w:rFonts w:cs="Tahoma"/>
                <w:sz w:val="18"/>
                <w:szCs w:val="18"/>
              </w:rPr>
              <w:t xml:space="preserve">Minor financial loss to local economy/industry/ environmental </w:t>
            </w:r>
            <w:r w:rsidRPr="00534B9F">
              <w:rPr>
                <w:rFonts w:cs="Tahoma"/>
                <w:sz w:val="18"/>
                <w:szCs w:val="18"/>
              </w:rPr>
              <w:lastRenderedPageBreak/>
              <w:t>stakeholder</w:t>
            </w:r>
            <w:r w:rsidR="00462CB0" w:rsidRPr="00534B9F">
              <w:rPr>
                <w:rFonts w:cs="Tahoma"/>
                <w:sz w:val="18"/>
                <w:szCs w:val="18"/>
              </w:rPr>
              <w:t>.</w:t>
            </w:r>
          </w:p>
        </w:tc>
        <w:tc>
          <w:tcPr>
            <w:tcW w:w="2409" w:type="dxa"/>
            <w:shd w:val="clear" w:color="auto" w:fill="auto"/>
            <w:tcMar>
              <w:top w:w="17" w:type="dxa"/>
              <w:left w:w="17" w:type="dxa"/>
              <w:bottom w:w="17" w:type="dxa"/>
              <w:right w:w="17" w:type="dxa"/>
            </w:tcMar>
            <w:hideMark/>
          </w:tcPr>
          <w:p w14:paraId="6B87BFF0" w14:textId="2900B917" w:rsidR="00C84F1A" w:rsidRPr="00534B9F" w:rsidRDefault="00C84F1A" w:rsidP="00E87CE5">
            <w:pPr>
              <w:numPr>
                <w:ilvl w:val="0"/>
                <w:numId w:val="20"/>
              </w:numPr>
              <w:tabs>
                <w:tab w:val="clear" w:pos="360"/>
                <w:tab w:val="num" w:pos="256"/>
              </w:tabs>
              <w:spacing w:line="240" w:lineRule="auto"/>
              <w:ind w:left="256" w:hanging="142"/>
              <w:contextualSpacing/>
              <w:rPr>
                <w:rFonts w:cs="Tahoma"/>
                <w:sz w:val="18"/>
                <w:szCs w:val="18"/>
              </w:rPr>
            </w:pPr>
            <w:r w:rsidRPr="00534B9F">
              <w:rPr>
                <w:rFonts w:cs="Tahoma"/>
                <w:sz w:val="18"/>
                <w:szCs w:val="18"/>
              </w:rPr>
              <w:lastRenderedPageBreak/>
              <w:t>Total Department or Group revenue, expenditure, or budget impacted by 5-10%</w:t>
            </w:r>
            <w:r w:rsidR="00462CB0" w:rsidRPr="00534B9F">
              <w:rPr>
                <w:rFonts w:cs="Tahoma"/>
                <w:sz w:val="18"/>
                <w:szCs w:val="18"/>
              </w:rPr>
              <w:t>.</w:t>
            </w:r>
          </w:p>
          <w:p w14:paraId="51DB41D0" w14:textId="77777777" w:rsidR="00C84F1A" w:rsidRPr="00534B9F" w:rsidRDefault="00C84F1A" w:rsidP="00E87CE5">
            <w:pPr>
              <w:numPr>
                <w:ilvl w:val="0"/>
                <w:numId w:val="20"/>
              </w:numPr>
              <w:tabs>
                <w:tab w:val="clear" w:pos="360"/>
                <w:tab w:val="num" w:pos="256"/>
              </w:tabs>
              <w:spacing w:line="240" w:lineRule="auto"/>
              <w:ind w:left="256" w:hanging="142"/>
              <w:contextualSpacing/>
              <w:rPr>
                <w:rFonts w:cs="Tahoma"/>
                <w:sz w:val="18"/>
                <w:szCs w:val="18"/>
              </w:rPr>
            </w:pPr>
            <w:r w:rsidRPr="00534B9F">
              <w:rPr>
                <w:rFonts w:cs="Tahoma"/>
                <w:sz w:val="18"/>
                <w:szCs w:val="18"/>
              </w:rPr>
              <w:t xml:space="preserve">Moderate financial loss to region/industry/ environmental </w:t>
            </w:r>
            <w:r w:rsidRPr="00534B9F">
              <w:rPr>
                <w:rFonts w:cs="Tahoma"/>
                <w:sz w:val="18"/>
                <w:szCs w:val="18"/>
              </w:rPr>
              <w:lastRenderedPageBreak/>
              <w:t>stakeholder</w:t>
            </w:r>
            <w:r w:rsidR="00462CB0" w:rsidRPr="00534B9F">
              <w:rPr>
                <w:rFonts w:cs="Tahoma"/>
                <w:sz w:val="18"/>
                <w:szCs w:val="18"/>
              </w:rPr>
              <w:t>.</w:t>
            </w:r>
          </w:p>
        </w:tc>
        <w:tc>
          <w:tcPr>
            <w:tcW w:w="2694" w:type="dxa"/>
            <w:shd w:val="clear" w:color="auto" w:fill="auto"/>
            <w:tcMar>
              <w:top w:w="17" w:type="dxa"/>
              <w:left w:w="17" w:type="dxa"/>
              <w:bottom w:w="17" w:type="dxa"/>
              <w:right w:w="17" w:type="dxa"/>
            </w:tcMar>
            <w:hideMark/>
          </w:tcPr>
          <w:p w14:paraId="6378AA7E" w14:textId="1A01AB47" w:rsidR="00C84F1A" w:rsidRPr="00534B9F" w:rsidRDefault="00C84F1A" w:rsidP="00E87CE5">
            <w:pPr>
              <w:numPr>
                <w:ilvl w:val="0"/>
                <w:numId w:val="20"/>
              </w:numPr>
              <w:spacing w:line="240" w:lineRule="auto"/>
              <w:ind w:left="256" w:hanging="142"/>
              <w:contextualSpacing/>
              <w:rPr>
                <w:rFonts w:cs="Tahoma"/>
                <w:sz w:val="18"/>
                <w:szCs w:val="18"/>
              </w:rPr>
            </w:pPr>
            <w:r w:rsidRPr="00534B9F">
              <w:rPr>
                <w:rFonts w:cs="Tahoma"/>
                <w:sz w:val="18"/>
                <w:szCs w:val="18"/>
              </w:rPr>
              <w:lastRenderedPageBreak/>
              <w:t>Total Department, Group revenue, expenditure, or budget impacted by 10-20%</w:t>
            </w:r>
            <w:r w:rsidR="00462CB0" w:rsidRPr="00534B9F">
              <w:rPr>
                <w:rFonts w:cs="Tahoma"/>
                <w:sz w:val="18"/>
                <w:szCs w:val="18"/>
              </w:rPr>
              <w:t>.</w:t>
            </w:r>
            <w:r w:rsidRPr="00534B9F">
              <w:rPr>
                <w:rFonts w:cs="Tahoma"/>
                <w:sz w:val="18"/>
                <w:szCs w:val="18"/>
              </w:rPr>
              <w:t xml:space="preserve"> </w:t>
            </w:r>
          </w:p>
          <w:p w14:paraId="27318D20" w14:textId="77777777" w:rsidR="00C84F1A" w:rsidRPr="00534B9F" w:rsidRDefault="00C84F1A" w:rsidP="00E87CE5">
            <w:pPr>
              <w:numPr>
                <w:ilvl w:val="0"/>
                <w:numId w:val="20"/>
              </w:numPr>
              <w:spacing w:line="240" w:lineRule="auto"/>
              <w:ind w:left="256" w:hanging="142"/>
              <w:contextualSpacing/>
              <w:rPr>
                <w:rFonts w:cs="Tahoma"/>
                <w:sz w:val="18"/>
                <w:szCs w:val="18"/>
              </w:rPr>
            </w:pPr>
            <w:r w:rsidRPr="00534B9F">
              <w:rPr>
                <w:rFonts w:cs="Tahoma"/>
                <w:sz w:val="18"/>
                <w:szCs w:val="18"/>
              </w:rPr>
              <w:t>Major financial loss to region/industry/environmental stakeholder</w:t>
            </w:r>
            <w:r w:rsidR="00462CB0" w:rsidRPr="00534B9F">
              <w:rPr>
                <w:rFonts w:cs="Tahoma"/>
                <w:sz w:val="18"/>
                <w:szCs w:val="18"/>
              </w:rPr>
              <w:t>.</w:t>
            </w:r>
          </w:p>
        </w:tc>
        <w:tc>
          <w:tcPr>
            <w:tcW w:w="2693" w:type="dxa"/>
            <w:shd w:val="clear" w:color="auto" w:fill="auto"/>
            <w:tcMar>
              <w:top w:w="17" w:type="dxa"/>
              <w:left w:w="17" w:type="dxa"/>
              <w:bottom w:w="17" w:type="dxa"/>
              <w:right w:w="17" w:type="dxa"/>
            </w:tcMar>
            <w:hideMark/>
          </w:tcPr>
          <w:p w14:paraId="32FFC6F0" w14:textId="4D1490B8" w:rsidR="00C84F1A" w:rsidRPr="00534B9F" w:rsidRDefault="00C84F1A" w:rsidP="00E87CE5">
            <w:pPr>
              <w:numPr>
                <w:ilvl w:val="0"/>
                <w:numId w:val="20"/>
              </w:numPr>
              <w:spacing w:line="240" w:lineRule="auto"/>
              <w:ind w:left="255" w:hanging="142"/>
              <w:contextualSpacing/>
              <w:rPr>
                <w:rFonts w:cs="Tahoma"/>
                <w:sz w:val="18"/>
                <w:szCs w:val="18"/>
              </w:rPr>
            </w:pPr>
            <w:r w:rsidRPr="00534B9F">
              <w:rPr>
                <w:rFonts w:cs="Tahoma"/>
                <w:sz w:val="18"/>
                <w:szCs w:val="18"/>
              </w:rPr>
              <w:t>Total Department, Group revenue, expenditure, or budget impacted by more than 20%</w:t>
            </w:r>
            <w:r w:rsidR="00462CB0" w:rsidRPr="00534B9F">
              <w:rPr>
                <w:rFonts w:cs="Tahoma"/>
                <w:sz w:val="18"/>
                <w:szCs w:val="18"/>
              </w:rPr>
              <w:t>.</w:t>
            </w:r>
          </w:p>
          <w:p w14:paraId="197FB583" w14:textId="77777777" w:rsidR="00C84F1A" w:rsidRPr="00534B9F" w:rsidRDefault="00C84F1A" w:rsidP="00E87CE5">
            <w:pPr>
              <w:numPr>
                <w:ilvl w:val="0"/>
                <w:numId w:val="20"/>
              </w:numPr>
              <w:spacing w:line="240" w:lineRule="auto"/>
              <w:ind w:left="255" w:hanging="142"/>
              <w:contextualSpacing/>
              <w:rPr>
                <w:rFonts w:cs="Tahoma"/>
                <w:sz w:val="18"/>
                <w:szCs w:val="18"/>
              </w:rPr>
            </w:pPr>
            <w:r w:rsidRPr="00534B9F">
              <w:rPr>
                <w:rFonts w:cs="Tahoma"/>
                <w:sz w:val="18"/>
                <w:szCs w:val="18"/>
              </w:rPr>
              <w:t xml:space="preserve">Critical financial loss to primary/ industry/environmental </w:t>
            </w:r>
            <w:r w:rsidRPr="00534B9F">
              <w:rPr>
                <w:rFonts w:cs="Tahoma"/>
                <w:sz w:val="18"/>
                <w:szCs w:val="18"/>
              </w:rPr>
              <w:lastRenderedPageBreak/>
              <w:t>stakeholder or the broader state</w:t>
            </w:r>
            <w:r w:rsidR="00462CB0" w:rsidRPr="00534B9F">
              <w:rPr>
                <w:rFonts w:cs="Tahoma"/>
                <w:sz w:val="18"/>
                <w:szCs w:val="18"/>
              </w:rPr>
              <w:t>.</w:t>
            </w:r>
          </w:p>
        </w:tc>
      </w:tr>
      <w:tr w:rsidR="00C84F1A" w:rsidRPr="00277762" w14:paraId="3DE59C67" w14:textId="77777777" w:rsidTr="00514376">
        <w:trPr>
          <w:trHeight w:val="530"/>
        </w:trPr>
        <w:tc>
          <w:tcPr>
            <w:tcW w:w="1756" w:type="dxa"/>
            <w:shd w:val="clear" w:color="auto" w:fill="D9D9D9"/>
            <w:tcMar>
              <w:top w:w="17" w:type="dxa"/>
              <w:left w:w="17" w:type="dxa"/>
              <w:bottom w:w="17" w:type="dxa"/>
              <w:right w:w="17" w:type="dxa"/>
            </w:tcMar>
            <w:hideMark/>
          </w:tcPr>
          <w:p w14:paraId="1F742C42" w14:textId="77777777" w:rsidR="00C84F1A" w:rsidRPr="00534B9F" w:rsidRDefault="00C84F1A" w:rsidP="00534B9F">
            <w:pPr>
              <w:ind w:left="142"/>
              <w:rPr>
                <w:rFonts w:cs="Tahoma"/>
                <w:b/>
                <w:bCs/>
                <w:sz w:val="18"/>
                <w:szCs w:val="18"/>
              </w:rPr>
            </w:pPr>
            <w:r w:rsidRPr="00534B9F">
              <w:rPr>
                <w:rFonts w:cs="Tahoma"/>
                <w:b/>
                <w:bCs/>
                <w:sz w:val="18"/>
                <w:szCs w:val="18"/>
              </w:rPr>
              <w:lastRenderedPageBreak/>
              <w:t>Legal &amp; Legislation</w:t>
            </w:r>
          </w:p>
          <w:p w14:paraId="46D2A4FC" w14:textId="77777777" w:rsidR="00C84F1A" w:rsidRPr="00534B9F" w:rsidRDefault="00C84F1A" w:rsidP="00277762">
            <w:pPr>
              <w:spacing w:line="240" w:lineRule="auto"/>
              <w:ind w:left="142"/>
              <w:rPr>
                <w:rFonts w:cs="Tahoma"/>
                <w:bCs/>
                <w:sz w:val="18"/>
                <w:szCs w:val="18"/>
              </w:rPr>
            </w:pPr>
            <w:r w:rsidRPr="00534B9F">
              <w:rPr>
                <w:rFonts w:cs="Tahoma"/>
                <w:sz w:val="18"/>
                <w:szCs w:val="18"/>
              </w:rPr>
              <w:t>Risk event results in legal consequences</w:t>
            </w:r>
          </w:p>
        </w:tc>
        <w:tc>
          <w:tcPr>
            <w:tcW w:w="1987" w:type="dxa"/>
            <w:shd w:val="clear" w:color="auto" w:fill="auto"/>
            <w:tcMar>
              <w:top w:w="17" w:type="dxa"/>
              <w:left w:w="17" w:type="dxa"/>
              <w:bottom w:w="17" w:type="dxa"/>
              <w:right w:w="17" w:type="dxa"/>
            </w:tcMar>
            <w:hideMark/>
          </w:tcPr>
          <w:p w14:paraId="1A103C8E" w14:textId="77777777" w:rsidR="00C84F1A" w:rsidRPr="00534B9F" w:rsidRDefault="00C84F1A" w:rsidP="00E87CE5">
            <w:pPr>
              <w:numPr>
                <w:ilvl w:val="0"/>
                <w:numId w:val="20"/>
              </w:numPr>
              <w:tabs>
                <w:tab w:val="clear" w:pos="360"/>
                <w:tab w:val="num" w:pos="125"/>
              </w:tabs>
              <w:spacing w:line="240" w:lineRule="auto"/>
              <w:ind w:left="256" w:hanging="142"/>
              <w:contextualSpacing/>
              <w:rPr>
                <w:rFonts w:cs="Tahoma"/>
                <w:sz w:val="18"/>
                <w:szCs w:val="18"/>
              </w:rPr>
            </w:pPr>
            <w:r w:rsidRPr="00534B9F">
              <w:rPr>
                <w:rFonts w:cs="Tahoma"/>
                <w:sz w:val="18"/>
                <w:szCs w:val="18"/>
              </w:rPr>
              <w:t>Non-compliance with legislation, identified internally and resulting in internal acknowledgement and process review</w:t>
            </w:r>
            <w:r w:rsidR="00462CB0" w:rsidRPr="00534B9F">
              <w:rPr>
                <w:rFonts w:cs="Tahoma"/>
                <w:sz w:val="18"/>
                <w:szCs w:val="18"/>
              </w:rPr>
              <w:t>.</w:t>
            </w:r>
          </w:p>
          <w:p w14:paraId="7BEFC15D" w14:textId="77777777" w:rsidR="00C84F1A" w:rsidRPr="00534B9F" w:rsidRDefault="00C84F1A" w:rsidP="00E87CE5">
            <w:pPr>
              <w:numPr>
                <w:ilvl w:val="0"/>
                <w:numId w:val="20"/>
              </w:numPr>
              <w:tabs>
                <w:tab w:val="clear" w:pos="360"/>
                <w:tab w:val="num" w:pos="125"/>
              </w:tabs>
              <w:spacing w:line="240" w:lineRule="auto"/>
              <w:ind w:left="256" w:hanging="142"/>
              <w:contextualSpacing/>
              <w:rPr>
                <w:rFonts w:cs="Tahoma"/>
                <w:sz w:val="18"/>
                <w:szCs w:val="18"/>
              </w:rPr>
            </w:pPr>
            <w:r w:rsidRPr="00534B9F">
              <w:rPr>
                <w:rFonts w:cs="Tahoma"/>
                <w:sz w:val="18"/>
                <w:szCs w:val="18"/>
              </w:rPr>
              <w:t>Minor breach of internal policies and procedures with minimal management resources required</w:t>
            </w:r>
            <w:r w:rsidR="00462CB0" w:rsidRPr="00534B9F">
              <w:rPr>
                <w:rFonts w:cs="Tahoma"/>
                <w:sz w:val="18"/>
                <w:szCs w:val="18"/>
              </w:rPr>
              <w:t>.</w:t>
            </w:r>
          </w:p>
          <w:p w14:paraId="37DA0C50" w14:textId="77777777" w:rsidR="00C84F1A" w:rsidRPr="00534B9F" w:rsidRDefault="00C84F1A" w:rsidP="00E87CE5">
            <w:pPr>
              <w:numPr>
                <w:ilvl w:val="0"/>
                <w:numId w:val="20"/>
              </w:numPr>
              <w:tabs>
                <w:tab w:val="clear" w:pos="360"/>
                <w:tab w:val="num" w:pos="125"/>
              </w:tabs>
              <w:spacing w:line="240" w:lineRule="auto"/>
              <w:ind w:left="256" w:hanging="142"/>
              <w:contextualSpacing/>
              <w:rPr>
                <w:rFonts w:cs="Tahoma"/>
                <w:sz w:val="18"/>
                <w:szCs w:val="18"/>
              </w:rPr>
            </w:pPr>
            <w:r w:rsidRPr="00534B9F">
              <w:rPr>
                <w:rFonts w:cs="Tahoma"/>
                <w:sz w:val="18"/>
                <w:szCs w:val="18"/>
              </w:rPr>
              <w:t>Breach of contract with minimal management resources required</w:t>
            </w:r>
            <w:r w:rsidR="00462CB0" w:rsidRPr="00534B9F">
              <w:rPr>
                <w:rFonts w:cs="Tahoma"/>
                <w:sz w:val="18"/>
                <w:szCs w:val="18"/>
              </w:rPr>
              <w:t>.</w:t>
            </w:r>
          </w:p>
        </w:tc>
        <w:tc>
          <w:tcPr>
            <w:tcW w:w="2370" w:type="dxa"/>
            <w:shd w:val="clear" w:color="auto" w:fill="auto"/>
            <w:tcMar>
              <w:top w:w="17" w:type="dxa"/>
              <w:left w:w="17" w:type="dxa"/>
              <w:bottom w:w="17" w:type="dxa"/>
              <w:right w:w="17" w:type="dxa"/>
            </w:tcMar>
            <w:hideMark/>
          </w:tcPr>
          <w:p w14:paraId="431738E5" w14:textId="77777777" w:rsidR="00C84F1A" w:rsidRPr="00534B9F" w:rsidRDefault="00C84F1A" w:rsidP="00E87CE5">
            <w:pPr>
              <w:numPr>
                <w:ilvl w:val="0"/>
                <w:numId w:val="20"/>
              </w:numPr>
              <w:tabs>
                <w:tab w:val="clear" w:pos="360"/>
                <w:tab w:val="num" w:pos="255"/>
              </w:tabs>
              <w:spacing w:line="240" w:lineRule="auto"/>
              <w:ind w:left="255" w:hanging="141"/>
              <w:contextualSpacing/>
              <w:rPr>
                <w:rFonts w:cs="Tahoma"/>
                <w:sz w:val="18"/>
                <w:szCs w:val="18"/>
              </w:rPr>
            </w:pPr>
            <w:r w:rsidRPr="00534B9F">
              <w:rPr>
                <w:rFonts w:cs="Tahoma"/>
                <w:sz w:val="18"/>
                <w:szCs w:val="18"/>
              </w:rPr>
              <w:t>Issue resolved internally with no further escalation</w:t>
            </w:r>
            <w:r w:rsidR="00462CB0" w:rsidRPr="00534B9F">
              <w:rPr>
                <w:rFonts w:cs="Tahoma"/>
                <w:sz w:val="18"/>
                <w:szCs w:val="18"/>
              </w:rPr>
              <w:t>.</w:t>
            </w:r>
          </w:p>
          <w:p w14:paraId="6CEE8F3E" w14:textId="77777777" w:rsidR="00C84F1A" w:rsidRPr="00534B9F" w:rsidRDefault="00C84F1A" w:rsidP="00E87CE5">
            <w:pPr>
              <w:numPr>
                <w:ilvl w:val="0"/>
                <w:numId w:val="20"/>
              </w:numPr>
              <w:tabs>
                <w:tab w:val="clear" w:pos="360"/>
                <w:tab w:val="num" w:pos="255"/>
              </w:tabs>
              <w:spacing w:line="240" w:lineRule="auto"/>
              <w:ind w:left="255" w:hanging="141"/>
              <w:contextualSpacing/>
              <w:rPr>
                <w:rFonts w:cs="Tahoma"/>
                <w:sz w:val="18"/>
                <w:szCs w:val="18"/>
              </w:rPr>
            </w:pPr>
            <w:r w:rsidRPr="00534B9F">
              <w:rPr>
                <w:rFonts w:cs="Tahoma"/>
                <w:sz w:val="18"/>
                <w:szCs w:val="18"/>
              </w:rPr>
              <w:t>Resulting in prosecution or civil action involving exposure to minor compensation, and/or minor negative precedent</w:t>
            </w:r>
            <w:r w:rsidR="00462CB0" w:rsidRPr="00534B9F">
              <w:rPr>
                <w:rFonts w:cs="Tahoma"/>
                <w:sz w:val="18"/>
                <w:szCs w:val="18"/>
              </w:rPr>
              <w:t>.</w:t>
            </w:r>
          </w:p>
          <w:p w14:paraId="16FA2680" w14:textId="77777777" w:rsidR="00C84F1A" w:rsidRPr="00534B9F" w:rsidRDefault="00C84F1A" w:rsidP="00E87CE5">
            <w:pPr>
              <w:numPr>
                <w:ilvl w:val="0"/>
                <w:numId w:val="20"/>
              </w:numPr>
              <w:tabs>
                <w:tab w:val="clear" w:pos="360"/>
                <w:tab w:val="num" w:pos="255"/>
              </w:tabs>
              <w:spacing w:line="240" w:lineRule="auto"/>
              <w:ind w:left="255" w:hanging="141"/>
              <w:contextualSpacing/>
              <w:rPr>
                <w:rFonts w:cs="Tahoma"/>
                <w:sz w:val="18"/>
                <w:szCs w:val="18"/>
              </w:rPr>
            </w:pPr>
            <w:r w:rsidRPr="00534B9F">
              <w:rPr>
                <w:rFonts w:cs="Tahoma"/>
                <w:sz w:val="18"/>
                <w:szCs w:val="18"/>
              </w:rPr>
              <w:t>Regulatory or contract breach requiring some management resources to address event over days</w:t>
            </w:r>
            <w:r w:rsidR="00462CB0" w:rsidRPr="00534B9F">
              <w:rPr>
                <w:rFonts w:cs="Tahoma"/>
                <w:sz w:val="18"/>
                <w:szCs w:val="18"/>
              </w:rPr>
              <w:t>.</w:t>
            </w:r>
          </w:p>
        </w:tc>
        <w:tc>
          <w:tcPr>
            <w:tcW w:w="2409" w:type="dxa"/>
            <w:shd w:val="clear" w:color="auto" w:fill="auto"/>
            <w:tcMar>
              <w:top w:w="17" w:type="dxa"/>
              <w:left w:w="17" w:type="dxa"/>
              <w:bottom w:w="17" w:type="dxa"/>
              <w:right w:w="17" w:type="dxa"/>
            </w:tcMar>
            <w:hideMark/>
          </w:tcPr>
          <w:p w14:paraId="15A3C269" w14:textId="77777777" w:rsidR="00C84F1A" w:rsidRPr="00534B9F" w:rsidRDefault="00C84F1A" w:rsidP="00E87CE5">
            <w:pPr>
              <w:numPr>
                <w:ilvl w:val="0"/>
                <w:numId w:val="20"/>
              </w:numPr>
              <w:tabs>
                <w:tab w:val="clear" w:pos="360"/>
                <w:tab w:val="num" w:pos="256"/>
              </w:tabs>
              <w:spacing w:line="240" w:lineRule="auto"/>
              <w:ind w:left="256" w:hanging="142"/>
              <w:contextualSpacing/>
              <w:rPr>
                <w:rFonts w:cs="Tahoma"/>
                <w:sz w:val="18"/>
                <w:szCs w:val="18"/>
              </w:rPr>
            </w:pPr>
            <w:r w:rsidRPr="00534B9F">
              <w:rPr>
                <w:rFonts w:cs="Tahoma"/>
                <w:sz w:val="18"/>
                <w:szCs w:val="18"/>
              </w:rPr>
              <w:t>External investigation or report to responsible authority</w:t>
            </w:r>
            <w:r w:rsidR="00462CB0" w:rsidRPr="00534B9F">
              <w:rPr>
                <w:rFonts w:cs="Tahoma"/>
                <w:sz w:val="18"/>
                <w:szCs w:val="18"/>
              </w:rPr>
              <w:t>.</w:t>
            </w:r>
          </w:p>
          <w:p w14:paraId="4665FBAE" w14:textId="1BC95D75" w:rsidR="00C84F1A" w:rsidRPr="00534B9F" w:rsidRDefault="00C84F1A" w:rsidP="00E87CE5">
            <w:pPr>
              <w:numPr>
                <w:ilvl w:val="0"/>
                <w:numId w:val="20"/>
              </w:numPr>
              <w:tabs>
                <w:tab w:val="clear" w:pos="360"/>
                <w:tab w:val="num" w:pos="256"/>
              </w:tabs>
              <w:spacing w:line="240" w:lineRule="auto"/>
              <w:ind w:left="256" w:hanging="142"/>
              <w:contextualSpacing/>
              <w:rPr>
                <w:rFonts w:cs="Tahoma"/>
                <w:sz w:val="18"/>
                <w:szCs w:val="18"/>
              </w:rPr>
            </w:pPr>
            <w:r w:rsidRPr="00534B9F">
              <w:rPr>
                <w:rFonts w:cs="Tahoma"/>
                <w:sz w:val="18"/>
                <w:szCs w:val="18"/>
              </w:rPr>
              <w:t>Prosecution or civil action, with one of moderate level of compensation or moderate level</w:t>
            </w:r>
            <w:r w:rsidR="00462CB0" w:rsidRPr="00534B9F">
              <w:rPr>
                <w:rFonts w:cs="Tahoma"/>
                <w:sz w:val="18"/>
                <w:szCs w:val="18"/>
              </w:rPr>
              <w:t>.</w:t>
            </w:r>
          </w:p>
          <w:p w14:paraId="51750B44" w14:textId="77777777" w:rsidR="00C84F1A" w:rsidRPr="00534B9F" w:rsidRDefault="00C84F1A" w:rsidP="00E87CE5">
            <w:pPr>
              <w:numPr>
                <w:ilvl w:val="0"/>
                <w:numId w:val="20"/>
              </w:numPr>
              <w:tabs>
                <w:tab w:val="clear" w:pos="360"/>
                <w:tab w:val="num" w:pos="256"/>
              </w:tabs>
              <w:spacing w:line="240" w:lineRule="auto"/>
              <w:ind w:left="256" w:hanging="142"/>
              <w:contextualSpacing/>
              <w:rPr>
                <w:rFonts w:cs="Tahoma"/>
                <w:sz w:val="18"/>
                <w:szCs w:val="18"/>
              </w:rPr>
            </w:pPr>
            <w:r w:rsidRPr="00534B9F">
              <w:rPr>
                <w:rFonts w:cs="Tahoma"/>
                <w:sz w:val="18"/>
                <w:szCs w:val="18"/>
              </w:rPr>
              <w:t>Regulatory or contract breach requiring some management resources to address event over several weeks</w:t>
            </w:r>
            <w:r w:rsidR="00462CB0" w:rsidRPr="00534B9F">
              <w:rPr>
                <w:rFonts w:cs="Tahoma"/>
                <w:sz w:val="18"/>
                <w:szCs w:val="18"/>
              </w:rPr>
              <w:t>.</w:t>
            </w:r>
          </w:p>
        </w:tc>
        <w:tc>
          <w:tcPr>
            <w:tcW w:w="2694" w:type="dxa"/>
            <w:shd w:val="clear" w:color="auto" w:fill="auto"/>
            <w:tcMar>
              <w:top w:w="17" w:type="dxa"/>
              <w:left w:w="17" w:type="dxa"/>
              <w:bottom w:w="17" w:type="dxa"/>
              <w:right w:w="17" w:type="dxa"/>
            </w:tcMar>
            <w:hideMark/>
          </w:tcPr>
          <w:p w14:paraId="123E0D5E" w14:textId="77777777" w:rsidR="00C84F1A" w:rsidRPr="00534B9F" w:rsidRDefault="00C84F1A" w:rsidP="00E87CE5">
            <w:pPr>
              <w:numPr>
                <w:ilvl w:val="0"/>
                <w:numId w:val="20"/>
              </w:numPr>
              <w:spacing w:line="240" w:lineRule="auto"/>
              <w:ind w:left="256" w:hanging="142"/>
              <w:contextualSpacing/>
              <w:rPr>
                <w:rFonts w:cs="Tahoma"/>
                <w:sz w:val="18"/>
                <w:szCs w:val="18"/>
              </w:rPr>
            </w:pPr>
            <w:r w:rsidRPr="00534B9F">
              <w:rPr>
                <w:rFonts w:cs="Tahoma"/>
                <w:sz w:val="18"/>
                <w:szCs w:val="18"/>
              </w:rPr>
              <w:t>External investigation or report to responsible authority</w:t>
            </w:r>
            <w:r w:rsidR="00462CB0" w:rsidRPr="00534B9F">
              <w:rPr>
                <w:rFonts w:cs="Tahoma"/>
                <w:sz w:val="18"/>
                <w:szCs w:val="18"/>
              </w:rPr>
              <w:t>.</w:t>
            </w:r>
          </w:p>
          <w:p w14:paraId="71938492" w14:textId="77777777" w:rsidR="00C84F1A" w:rsidRPr="00534B9F" w:rsidRDefault="00C84F1A" w:rsidP="00E87CE5">
            <w:pPr>
              <w:numPr>
                <w:ilvl w:val="0"/>
                <w:numId w:val="20"/>
              </w:numPr>
              <w:spacing w:line="240" w:lineRule="auto"/>
              <w:ind w:left="256" w:hanging="142"/>
              <w:contextualSpacing/>
              <w:rPr>
                <w:rFonts w:cs="Tahoma"/>
                <w:sz w:val="18"/>
                <w:szCs w:val="18"/>
              </w:rPr>
            </w:pPr>
            <w:r w:rsidRPr="00534B9F">
              <w:rPr>
                <w:rFonts w:cs="Tahoma"/>
                <w:sz w:val="18"/>
                <w:szCs w:val="18"/>
              </w:rPr>
              <w:t>Public enquiry (i.e.</w:t>
            </w:r>
            <w:r w:rsidR="00462CB0" w:rsidRPr="00534B9F">
              <w:rPr>
                <w:rFonts w:cs="Tahoma"/>
                <w:sz w:val="18"/>
                <w:szCs w:val="18"/>
              </w:rPr>
              <w:t>,</w:t>
            </w:r>
            <w:r w:rsidRPr="00534B9F">
              <w:rPr>
                <w:rFonts w:cs="Tahoma"/>
                <w:sz w:val="18"/>
                <w:szCs w:val="18"/>
              </w:rPr>
              <w:t xml:space="preserve"> Royal Commission/ Parliamentary Committee)</w:t>
            </w:r>
            <w:r w:rsidR="00462CB0" w:rsidRPr="00534B9F">
              <w:rPr>
                <w:rFonts w:cs="Tahoma"/>
                <w:sz w:val="18"/>
                <w:szCs w:val="18"/>
              </w:rPr>
              <w:t>.</w:t>
            </w:r>
          </w:p>
          <w:p w14:paraId="4351C26F" w14:textId="17130A87" w:rsidR="00C84F1A" w:rsidRPr="00534B9F" w:rsidRDefault="00C84F1A" w:rsidP="00E87CE5">
            <w:pPr>
              <w:numPr>
                <w:ilvl w:val="0"/>
                <w:numId w:val="20"/>
              </w:numPr>
              <w:spacing w:line="240" w:lineRule="auto"/>
              <w:ind w:left="256" w:hanging="142"/>
              <w:contextualSpacing/>
              <w:rPr>
                <w:rFonts w:cs="Tahoma"/>
                <w:sz w:val="18"/>
                <w:szCs w:val="18"/>
              </w:rPr>
            </w:pPr>
            <w:r w:rsidRPr="00534B9F">
              <w:rPr>
                <w:rFonts w:cs="Tahoma"/>
                <w:sz w:val="18"/>
                <w:szCs w:val="18"/>
              </w:rPr>
              <w:t>Prosecution or civil action with high level compensation and high level negative precedent</w:t>
            </w:r>
            <w:r w:rsidR="00462CB0" w:rsidRPr="00534B9F">
              <w:rPr>
                <w:rFonts w:cs="Tahoma"/>
                <w:sz w:val="18"/>
                <w:szCs w:val="18"/>
              </w:rPr>
              <w:t>.</w:t>
            </w:r>
          </w:p>
          <w:p w14:paraId="329CFDA8" w14:textId="50879949" w:rsidR="00C84F1A" w:rsidRPr="00534B9F" w:rsidRDefault="00C84F1A" w:rsidP="00E87CE5">
            <w:pPr>
              <w:numPr>
                <w:ilvl w:val="0"/>
                <w:numId w:val="20"/>
              </w:numPr>
              <w:spacing w:line="240" w:lineRule="auto"/>
              <w:ind w:left="256" w:hanging="142"/>
              <w:contextualSpacing/>
              <w:rPr>
                <w:rFonts w:cs="Tahoma"/>
                <w:sz w:val="18"/>
                <w:szCs w:val="18"/>
              </w:rPr>
            </w:pPr>
            <w:r w:rsidRPr="00534B9F">
              <w:rPr>
                <w:rFonts w:cs="Tahoma"/>
                <w:sz w:val="18"/>
                <w:szCs w:val="18"/>
              </w:rPr>
              <w:t>Sanctions imposed by external regulator</w:t>
            </w:r>
            <w:r w:rsidR="00462CB0" w:rsidRPr="00534B9F">
              <w:rPr>
                <w:rFonts w:cs="Tahoma"/>
                <w:sz w:val="18"/>
                <w:szCs w:val="18"/>
              </w:rPr>
              <w:t>.</w:t>
            </w:r>
          </w:p>
          <w:p w14:paraId="4BBBEDFF" w14:textId="77777777" w:rsidR="00C84F1A" w:rsidRPr="00534B9F" w:rsidRDefault="00C84F1A" w:rsidP="00E87CE5">
            <w:pPr>
              <w:numPr>
                <w:ilvl w:val="0"/>
                <w:numId w:val="20"/>
              </w:numPr>
              <w:spacing w:line="240" w:lineRule="auto"/>
              <w:ind w:left="256" w:hanging="142"/>
              <w:contextualSpacing/>
              <w:rPr>
                <w:rFonts w:cs="Tahoma"/>
                <w:sz w:val="18"/>
                <w:szCs w:val="18"/>
              </w:rPr>
            </w:pPr>
            <w:r w:rsidRPr="00534B9F">
              <w:rPr>
                <w:rFonts w:cs="Tahoma"/>
                <w:sz w:val="18"/>
                <w:szCs w:val="18"/>
              </w:rPr>
              <w:t>Regulatory or contract breach leading to financial penalties less than total Department, Group expenditure impacted by 10-20%</w:t>
            </w:r>
            <w:r w:rsidR="00462CB0" w:rsidRPr="00534B9F">
              <w:rPr>
                <w:rFonts w:cs="Tahoma"/>
                <w:sz w:val="18"/>
                <w:szCs w:val="18"/>
              </w:rPr>
              <w:t>.</w:t>
            </w:r>
          </w:p>
        </w:tc>
        <w:tc>
          <w:tcPr>
            <w:tcW w:w="2693" w:type="dxa"/>
            <w:shd w:val="clear" w:color="auto" w:fill="auto"/>
            <w:tcMar>
              <w:top w:w="17" w:type="dxa"/>
              <w:left w:w="17" w:type="dxa"/>
              <w:bottom w:w="17" w:type="dxa"/>
              <w:right w:w="17" w:type="dxa"/>
            </w:tcMar>
            <w:hideMark/>
          </w:tcPr>
          <w:p w14:paraId="03A632EC" w14:textId="77777777" w:rsidR="00C84F1A" w:rsidRPr="00534B9F" w:rsidRDefault="00C84F1A" w:rsidP="00E87CE5">
            <w:pPr>
              <w:numPr>
                <w:ilvl w:val="0"/>
                <w:numId w:val="20"/>
              </w:numPr>
              <w:spacing w:line="240" w:lineRule="auto"/>
              <w:ind w:left="255" w:hanging="142"/>
              <w:contextualSpacing/>
              <w:rPr>
                <w:rFonts w:cs="Tahoma"/>
                <w:sz w:val="18"/>
                <w:szCs w:val="18"/>
              </w:rPr>
            </w:pPr>
            <w:r w:rsidRPr="00534B9F">
              <w:rPr>
                <w:rFonts w:cs="Tahoma"/>
                <w:sz w:val="18"/>
                <w:szCs w:val="18"/>
              </w:rPr>
              <w:t>Prosecution or civil action leading to imprisonment of an officer</w:t>
            </w:r>
            <w:r w:rsidR="00462CB0" w:rsidRPr="00534B9F">
              <w:rPr>
                <w:rFonts w:cs="Tahoma"/>
                <w:sz w:val="18"/>
                <w:szCs w:val="18"/>
              </w:rPr>
              <w:t>.</w:t>
            </w:r>
          </w:p>
          <w:p w14:paraId="19FC2EB3" w14:textId="77777777" w:rsidR="00C84F1A" w:rsidRPr="00534B9F" w:rsidRDefault="00C84F1A" w:rsidP="00E87CE5">
            <w:pPr>
              <w:numPr>
                <w:ilvl w:val="0"/>
                <w:numId w:val="20"/>
              </w:numPr>
              <w:spacing w:line="240" w:lineRule="auto"/>
              <w:ind w:left="255" w:hanging="142"/>
              <w:contextualSpacing/>
              <w:rPr>
                <w:rFonts w:cs="Tahoma"/>
                <w:sz w:val="18"/>
                <w:szCs w:val="18"/>
              </w:rPr>
            </w:pPr>
            <w:r w:rsidRPr="00534B9F">
              <w:rPr>
                <w:rFonts w:cs="Tahoma"/>
                <w:sz w:val="18"/>
                <w:szCs w:val="18"/>
              </w:rPr>
              <w:t>Public enquiry (i.e.</w:t>
            </w:r>
            <w:r w:rsidR="00462CB0" w:rsidRPr="00534B9F">
              <w:rPr>
                <w:rFonts w:cs="Tahoma"/>
                <w:sz w:val="18"/>
                <w:szCs w:val="18"/>
              </w:rPr>
              <w:t>,</w:t>
            </w:r>
            <w:r w:rsidRPr="00534B9F">
              <w:rPr>
                <w:rFonts w:cs="Tahoma"/>
                <w:sz w:val="18"/>
                <w:szCs w:val="18"/>
              </w:rPr>
              <w:t xml:space="preserve"> Royal Commission/Parliamentary Committee)</w:t>
            </w:r>
            <w:r w:rsidR="00462CB0" w:rsidRPr="00534B9F">
              <w:rPr>
                <w:rFonts w:cs="Tahoma"/>
                <w:sz w:val="18"/>
                <w:szCs w:val="18"/>
              </w:rPr>
              <w:t>.</w:t>
            </w:r>
          </w:p>
          <w:p w14:paraId="7A984DE2" w14:textId="77777777" w:rsidR="00C84F1A" w:rsidRPr="00534B9F" w:rsidRDefault="00C84F1A" w:rsidP="00E87CE5">
            <w:pPr>
              <w:numPr>
                <w:ilvl w:val="0"/>
                <w:numId w:val="20"/>
              </w:numPr>
              <w:spacing w:line="240" w:lineRule="auto"/>
              <w:ind w:left="255" w:hanging="142"/>
              <w:contextualSpacing/>
              <w:rPr>
                <w:rFonts w:cs="Tahoma"/>
                <w:sz w:val="18"/>
                <w:szCs w:val="18"/>
              </w:rPr>
            </w:pPr>
            <w:r w:rsidRPr="00534B9F">
              <w:rPr>
                <w:rFonts w:cs="Tahoma"/>
                <w:sz w:val="18"/>
                <w:szCs w:val="18"/>
              </w:rPr>
              <w:t>Uninsured compensation payments</w:t>
            </w:r>
            <w:r w:rsidR="00462CB0" w:rsidRPr="00534B9F">
              <w:rPr>
                <w:rFonts w:cs="Tahoma"/>
                <w:sz w:val="18"/>
                <w:szCs w:val="18"/>
              </w:rPr>
              <w:t>.</w:t>
            </w:r>
          </w:p>
          <w:p w14:paraId="3FF0D488" w14:textId="77777777" w:rsidR="00C84F1A" w:rsidRPr="00534B9F" w:rsidRDefault="00C84F1A" w:rsidP="00E87CE5">
            <w:pPr>
              <w:numPr>
                <w:ilvl w:val="0"/>
                <w:numId w:val="20"/>
              </w:numPr>
              <w:spacing w:line="240" w:lineRule="auto"/>
              <w:ind w:left="255" w:hanging="142"/>
              <w:contextualSpacing/>
              <w:rPr>
                <w:rFonts w:cs="Tahoma"/>
                <w:sz w:val="18"/>
                <w:szCs w:val="18"/>
              </w:rPr>
            </w:pPr>
            <w:r w:rsidRPr="00534B9F">
              <w:rPr>
                <w:rFonts w:cs="Tahoma"/>
                <w:sz w:val="18"/>
                <w:szCs w:val="18"/>
              </w:rPr>
              <w:t>Negative precedent requiring very serious impact and major reform to the department</w:t>
            </w:r>
            <w:r w:rsidR="00462CB0" w:rsidRPr="00534B9F">
              <w:rPr>
                <w:rFonts w:cs="Tahoma"/>
                <w:sz w:val="18"/>
                <w:szCs w:val="18"/>
              </w:rPr>
              <w:t>.</w:t>
            </w:r>
          </w:p>
          <w:p w14:paraId="151641F2" w14:textId="77777777" w:rsidR="00C84F1A" w:rsidRPr="00534B9F" w:rsidRDefault="00C84F1A" w:rsidP="00E87CE5">
            <w:pPr>
              <w:numPr>
                <w:ilvl w:val="0"/>
                <w:numId w:val="20"/>
              </w:numPr>
              <w:spacing w:line="240" w:lineRule="auto"/>
              <w:ind w:left="255" w:hanging="142"/>
              <w:contextualSpacing/>
              <w:rPr>
                <w:rFonts w:cs="Tahoma"/>
                <w:sz w:val="18"/>
                <w:szCs w:val="18"/>
              </w:rPr>
            </w:pPr>
            <w:r w:rsidRPr="00534B9F">
              <w:rPr>
                <w:rFonts w:cs="Tahoma"/>
                <w:sz w:val="18"/>
                <w:szCs w:val="18"/>
              </w:rPr>
              <w:t>Severe sanctions imposed by external regulator</w:t>
            </w:r>
            <w:r w:rsidR="00462CB0" w:rsidRPr="00534B9F">
              <w:rPr>
                <w:rFonts w:cs="Tahoma"/>
                <w:sz w:val="18"/>
                <w:szCs w:val="18"/>
              </w:rPr>
              <w:t>.</w:t>
            </w:r>
          </w:p>
          <w:p w14:paraId="11ECA0E8" w14:textId="7D1060DB" w:rsidR="00C84F1A" w:rsidRPr="00534B9F" w:rsidRDefault="00C84F1A" w:rsidP="00AB106D">
            <w:pPr>
              <w:numPr>
                <w:ilvl w:val="0"/>
                <w:numId w:val="20"/>
              </w:numPr>
              <w:spacing w:line="240" w:lineRule="auto"/>
              <w:ind w:left="255" w:hanging="142"/>
              <w:contextualSpacing/>
              <w:rPr>
                <w:rFonts w:cs="Tahoma"/>
                <w:sz w:val="18"/>
                <w:szCs w:val="18"/>
              </w:rPr>
            </w:pPr>
            <w:r w:rsidRPr="00534B9F">
              <w:rPr>
                <w:rFonts w:cs="Tahoma"/>
                <w:sz w:val="18"/>
                <w:szCs w:val="18"/>
              </w:rPr>
              <w:t>Major prosecution or litigation with potential financial penalties greater than 20% of the Department, Group expenditure.</w:t>
            </w:r>
          </w:p>
        </w:tc>
      </w:tr>
      <w:tr w:rsidR="00C84F1A" w:rsidRPr="00277762" w14:paraId="3A6C8CE6" w14:textId="77777777" w:rsidTr="00534B9F">
        <w:trPr>
          <w:trHeight w:val="46"/>
        </w:trPr>
        <w:tc>
          <w:tcPr>
            <w:tcW w:w="1756" w:type="dxa"/>
            <w:shd w:val="clear" w:color="auto" w:fill="D9D9D9"/>
            <w:tcMar>
              <w:top w:w="17" w:type="dxa"/>
              <w:left w:w="17" w:type="dxa"/>
              <w:bottom w:w="17" w:type="dxa"/>
              <w:right w:w="17" w:type="dxa"/>
            </w:tcMar>
            <w:hideMark/>
          </w:tcPr>
          <w:p w14:paraId="2CADF722" w14:textId="77777777" w:rsidR="00C84F1A" w:rsidRPr="00534B9F" w:rsidRDefault="00C84F1A" w:rsidP="00534B9F">
            <w:pPr>
              <w:ind w:left="142"/>
              <w:rPr>
                <w:rFonts w:cs="Tahoma"/>
                <w:b/>
                <w:bCs/>
                <w:sz w:val="18"/>
                <w:szCs w:val="18"/>
              </w:rPr>
            </w:pPr>
            <w:r w:rsidRPr="00534B9F">
              <w:rPr>
                <w:rFonts w:cs="Tahoma"/>
                <w:b/>
                <w:bCs/>
                <w:sz w:val="18"/>
                <w:szCs w:val="18"/>
              </w:rPr>
              <w:t>Safety and Wellbeing</w:t>
            </w:r>
          </w:p>
          <w:p w14:paraId="28EE936B" w14:textId="77777777" w:rsidR="00C84F1A" w:rsidRPr="00534B9F" w:rsidRDefault="00C84F1A" w:rsidP="00277762">
            <w:pPr>
              <w:spacing w:line="240" w:lineRule="auto"/>
              <w:ind w:left="142"/>
              <w:rPr>
                <w:rFonts w:cs="Tahoma"/>
                <w:bCs/>
                <w:sz w:val="18"/>
                <w:szCs w:val="18"/>
              </w:rPr>
            </w:pPr>
            <w:r w:rsidRPr="00534B9F">
              <w:rPr>
                <w:rFonts w:cs="Tahoma"/>
                <w:sz w:val="18"/>
                <w:szCs w:val="18"/>
              </w:rPr>
              <w:t>Risk event impacts the safety and wellbeing of staff and visitors</w:t>
            </w:r>
          </w:p>
        </w:tc>
        <w:tc>
          <w:tcPr>
            <w:tcW w:w="1987" w:type="dxa"/>
            <w:shd w:val="clear" w:color="auto" w:fill="auto"/>
            <w:tcMar>
              <w:top w:w="17" w:type="dxa"/>
              <w:left w:w="17" w:type="dxa"/>
              <w:bottom w:w="17" w:type="dxa"/>
              <w:right w:w="17" w:type="dxa"/>
            </w:tcMar>
            <w:hideMark/>
          </w:tcPr>
          <w:p w14:paraId="639A2EF5" w14:textId="77777777" w:rsidR="00C84F1A" w:rsidRPr="00534B9F" w:rsidRDefault="00C84F1A" w:rsidP="00E87CE5">
            <w:pPr>
              <w:numPr>
                <w:ilvl w:val="0"/>
                <w:numId w:val="20"/>
              </w:numPr>
              <w:tabs>
                <w:tab w:val="clear" w:pos="360"/>
                <w:tab w:val="num" w:pos="125"/>
              </w:tabs>
              <w:spacing w:line="276" w:lineRule="auto"/>
              <w:ind w:left="256" w:hanging="142"/>
              <w:contextualSpacing/>
              <w:rPr>
                <w:rFonts w:cs="Tahoma"/>
                <w:sz w:val="18"/>
                <w:szCs w:val="18"/>
              </w:rPr>
            </w:pPr>
            <w:r w:rsidRPr="00534B9F">
              <w:rPr>
                <w:rFonts w:cs="Tahoma"/>
                <w:sz w:val="18"/>
                <w:szCs w:val="18"/>
              </w:rPr>
              <w:t>On-site first aid treatment only</w:t>
            </w:r>
            <w:r w:rsidR="00462CB0" w:rsidRPr="00534B9F">
              <w:rPr>
                <w:rFonts w:cs="Tahoma"/>
                <w:sz w:val="18"/>
                <w:szCs w:val="18"/>
              </w:rPr>
              <w:t>.</w:t>
            </w:r>
          </w:p>
        </w:tc>
        <w:tc>
          <w:tcPr>
            <w:tcW w:w="2370" w:type="dxa"/>
            <w:shd w:val="clear" w:color="auto" w:fill="auto"/>
            <w:tcMar>
              <w:top w:w="17" w:type="dxa"/>
              <w:left w:w="17" w:type="dxa"/>
              <w:bottom w:w="17" w:type="dxa"/>
              <w:right w:w="17" w:type="dxa"/>
            </w:tcMar>
            <w:hideMark/>
          </w:tcPr>
          <w:p w14:paraId="2D086AF6" w14:textId="77777777" w:rsidR="00C84F1A" w:rsidRPr="00534B9F" w:rsidRDefault="00C84F1A" w:rsidP="00E87CE5">
            <w:pPr>
              <w:numPr>
                <w:ilvl w:val="0"/>
                <w:numId w:val="20"/>
              </w:numPr>
              <w:tabs>
                <w:tab w:val="clear" w:pos="360"/>
                <w:tab w:val="num" w:pos="255"/>
              </w:tabs>
              <w:spacing w:line="276" w:lineRule="auto"/>
              <w:ind w:left="255" w:hanging="141"/>
              <w:contextualSpacing/>
              <w:rPr>
                <w:rFonts w:cs="Tahoma"/>
                <w:sz w:val="18"/>
                <w:szCs w:val="18"/>
              </w:rPr>
            </w:pPr>
            <w:r w:rsidRPr="00534B9F">
              <w:rPr>
                <w:rFonts w:cs="Tahoma"/>
                <w:sz w:val="18"/>
                <w:szCs w:val="18"/>
              </w:rPr>
              <w:t>Minor injuries or illness requiring medical attention</w:t>
            </w:r>
            <w:r w:rsidR="00462CB0" w:rsidRPr="00534B9F">
              <w:rPr>
                <w:rFonts w:cs="Tahoma"/>
                <w:sz w:val="18"/>
                <w:szCs w:val="18"/>
              </w:rPr>
              <w:t>.</w:t>
            </w:r>
          </w:p>
        </w:tc>
        <w:tc>
          <w:tcPr>
            <w:tcW w:w="2409" w:type="dxa"/>
            <w:shd w:val="clear" w:color="auto" w:fill="auto"/>
            <w:tcMar>
              <w:top w:w="17" w:type="dxa"/>
              <w:left w:w="17" w:type="dxa"/>
              <w:bottom w:w="17" w:type="dxa"/>
              <w:right w:w="17" w:type="dxa"/>
            </w:tcMar>
            <w:hideMark/>
          </w:tcPr>
          <w:p w14:paraId="36FC1FCE" w14:textId="77777777" w:rsidR="00C84F1A" w:rsidRPr="00534B9F" w:rsidRDefault="00C84F1A" w:rsidP="00E87CE5">
            <w:pPr>
              <w:numPr>
                <w:ilvl w:val="0"/>
                <w:numId w:val="20"/>
              </w:numPr>
              <w:tabs>
                <w:tab w:val="clear" w:pos="360"/>
                <w:tab w:val="num" w:pos="256"/>
              </w:tabs>
              <w:spacing w:line="276" w:lineRule="auto"/>
              <w:ind w:left="256" w:hanging="142"/>
              <w:contextualSpacing/>
              <w:rPr>
                <w:rFonts w:cs="Tahoma"/>
                <w:sz w:val="18"/>
                <w:szCs w:val="18"/>
              </w:rPr>
            </w:pPr>
            <w:r w:rsidRPr="00534B9F">
              <w:rPr>
                <w:rFonts w:cs="Tahoma"/>
                <w:sz w:val="18"/>
                <w:szCs w:val="18"/>
              </w:rPr>
              <w:t>Injury or Illness requiring inpatient hospitalisation</w:t>
            </w:r>
            <w:r w:rsidR="00462CB0" w:rsidRPr="00534B9F">
              <w:rPr>
                <w:rFonts w:cs="Tahoma"/>
                <w:sz w:val="18"/>
                <w:szCs w:val="18"/>
              </w:rPr>
              <w:t>.</w:t>
            </w:r>
          </w:p>
        </w:tc>
        <w:tc>
          <w:tcPr>
            <w:tcW w:w="2694" w:type="dxa"/>
            <w:shd w:val="clear" w:color="auto" w:fill="auto"/>
            <w:tcMar>
              <w:top w:w="17" w:type="dxa"/>
              <w:left w:w="17" w:type="dxa"/>
              <w:bottom w:w="17" w:type="dxa"/>
              <w:right w:w="17" w:type="dxa"/>
            </w:tcMar>
            <w:hideMark/>
          </w:tcPr>
          <w:p w14:paraId="015D03C5" w14:textId="77777777" w:rsidR="00C84F1A" w:rsidRPr="00534B9F" w:rsidRDefault="00C84F1A" w:rsidP="00E87CE5">
            <w:pPr>
              <w:numPr>
                <w:ilvl w:val="0"/>
                <w:numId w:val="20"/>
              </w:numPr>
              <w:spacing w:line="276" w:lineRule="auto"/>
              <w:ind w:left="256" w:hanging="142"/>
              <w:contextualSpacing/>
              <w:rPr>
                <w:rFonts w:cs="Tahoma"/>
                <w:sz w:val="18"/>
                <w:szCs w:val="18"/>
              </w:rPr>
            </w:pPr>
            <w:r w:rsidRPr="00534B9F">
              <w:rPr>
                <w:rFonts w:cs="Tahoma"/>
                <w:sz w:val="18"/>
                <w:szCs w:val="18"/>
              </w:rPr>
              <w:t>Extensive and/or permanent injury or illness</w:t>
            </w:r>
            <w:r w:rsidR="00462CB0" w:rsidRPr="00534B9F">
              <w:rPr>
                <w:rFonts w:cs="Tahoma"/>
                <w:sz w:val="18"/>
                <w:szCs w:val="18"/>
              </w:rPr>
              <w:t>.</w:t>
            </w:r>
          </w:p>
        </w:tc>
        <w:tc>
          <w:tcPr>
            <w:tcW w:w="2693" w:type="dxa"/>
            <w:shd w:val="clear" w:color="auto" w:fill="auto"/>
            <w:tcMar>
              <w:top w:w="17" w:type="dxa"/>
              <w:left w:w="17" w:type="dxa"/>
              <w:bottom w:w="17" w:type="dxa"/>
              <w:right w:w="17" w:type="dxa"/>
            </w:tcMar>
            <w:hideMark/>
          </w:tcPr>
          <w:p w14:paraId="68665F8D" w14:textId="77777777" w:rsidR="00C84F1A" w:rsidRPr="00534B9F" w:rsidRDefault="00C84F1A" w:rsidP="00E87CE5">
            <w:pPr>
              <w:numPr>
                <w:ilvl w:val="0"/>
                <w:numId w:val="20"/>
              </w:numPr>
              <w:spacing w:line="276" w:lineRule="auto"/>
              <w:ind w:left="255" w:hanging="142"/>
              <w:contextualSpacing/>
              <w:rPr>
                <w:rFonts w:cs="Tahoma"/>
                <w:sz w:val="18"/>
                <w:szCs w:val="18"/>
              </w:rPr>
            </w:pPr>
            <w:r w:rsidRPr="00534B9F">
              <w:rPr>
                <w:rFonts w:cs="Tahoma"/>
                <w:sz w:val="18"/>
                <w:szCs w:val="18"/>
              </w:rPr>
              <w:t>Single or multiple deaths or permanent disability or illness</w:t>
            </w:r>
            <w:r w:rsidR="00462CB0" w:rsidRPr="00534B9F">
              <w:rPr>
                <w:rFonts w:cs="Tahoma"/>
                <w:sz w:val="18"/>
                <w:szCs w:val="18"/>
              </w:rPr>
              <w:t>.</w:t>
            </w:r>
          </w:p>
        </w:tc>
      </w:tr>
      <w:tr w:rsidR="00C84F1A" w:rsidRPr="00277762" w14:paraId="08D3A6A5" w14:textId="77777777" w:rsidTr="00514376">
        <w:trPr>
          <w:trHeight w:val="1105"/>
        </w:trPr>
        <w:tc>
          <w:tcPr>
            <w:tcW w:w="1756" w:type="dxa"/>
            <w:shd w:val="clear" w:color="auto" w:fill="D9D9D9"/>
            <w:tcMar>
              <w:top w:w="17" w:type="dxa"/>
              <w:left w:w="17" w:type="dxa"/>
              <w:bottom w:w="17" w:type="dxa"/>
              <w:right w:w="17" w:type="dxa"/>
            </w:tcMar>
            <w:hideMark/>
          </w:tcPr>
          <w:p w14:paraId="71662F57" w14:textId="77777777" w:rsidR="00C84F1A" w:rsidRPr="00534B9F" w:rsidRDefault="00C84F1A" w:rsidP="00534B9F">
            <w:pPr>
              <w:ind w:left="142"/>
              <w:rPr>
                <w:rFonts w:cs="Tahoma"/>
                <w:b/>
                <w:bCs/>
                <w:sz w:val="18"/>
                <w:szCs w:val="18"/>
              </w:rPr>
            </w:pPr>
            <w:r w:rsidRPr="00534B9F">
              <w:rPr>
                <w:rFonts w:cs="Tahoma"/>
                <w:b/>
                <w:bCs/>
                <w:sz w:val="18"/>
                <w:szCs w:val="18"/>
              </w:rPr>
              <w:lastRenderedPageBreak/>
              <w:t>People and Culture</w:t>
            </w:r>
          </w:p>
          <w:p w14:paraId="783309FF" w14:textId="77777777" w:rsidR="00C84F1A" w:rsidRPr="00534B9F" w:rsidRDefault="00C84F1A" w:rsidP="00277762">
            <w:pPr>
              <w:spacing w:line="240" w:lineRule="auto"/>
              <w:ind w:left="142"/>
              <w:rPr>
                <w:rFonts w:cs="Tahoma"/>
                <w:sz w:val="18"/>
                <w:szCs w:val="18"/>
              </w:rPr>
            </w:pPr>
            <w:r w:rsidRPr="00534B9F">
              <w:rPr>
                <w:rFonts w:cs="Tahoma"/>
                <w:sz w:val="18"/>
                <w:szCs w:val="18"/>
              </w:rPr>
              <w:t>Risk event impacts the Department’s people and culture</w:t>
            </w:r>
          </w:p>
          <w:p w14:paraId="59138355" w14:textId="77777777" w:rsidR="00462CB0" w:rsidRPr="00534B9F" w:rsidRDefault="00462CB0" w:rsidP="00E87CE5">
            <w:pPr>
              <w:ind w:left="0"/>
              <w:rPr>
                <w:rFonts w:cs="Tahoma"/>
                <w:bCs/>
                <w:sz w:val="18"/>
                <w:szCs w:val="18"/>
              </w:rPr>
            </w:pPr>
          </w:p>
          <w:p w14:paraId="5CA22BEB" w14:textId="77777777" w:rsidR="00462CB0" w:rsidRPr="00534B9F" w:rsidRDefault="00462CB0" w:rsidP="00E87CE5">
            <w:pPr>
              <w:ind w:left="0"/>
              <w:rPr>
                <w:rFonts w:cs="Tahoma"/>
                <w:bCs/>
                <w:sz w:val="18"/>
                <w:szCs w:val="18"/>
              </w:rPr>
            </w:pPr>
          </w:p>
          <w:p w14:paraId="547BC09E" w14:textId="77777777" w:rsidR="00462CB0" w:rsidRPr="00534B9F" w:rsidRDefault="00462CB0" w:rsidP="00E87CE5">
            <w:pPr>
              <w:ind w:left="0"/>
              <w:rPr>
                <w:rFonts w:cs="Tahoma"/>
                <w:bCs/>
                <w:sz w:val="18"/>
                <w:szCs w:val="18"/>
              </w:rPr>
            </w:pPr>
          </w:p>
          <w:p w14:paraId="2A995CF8" w14:textId="77777777" w:rsidR="00462CB0" w:rsidRPr="00534B9F" w:rsidRDefault="00462CB0" w:rsidP="00E87CE5">
            <w:pPr>
              <w:ind w:left="0"/>
              <w:rPr>
                <w:rFonts w:cs="Tahoma"/>
                <w:bCs/>
                <w:sz w:val="18"/>
                <w:szCs w:val="18"/>
              </w:rPr>
            </w:pPr>
          </w:p>
          <w:p w14:paraId="58905B54" w14:textId="77777777" w:rsidR="00462CB0" w:rsidRPr="00534B9F" w:rsidRDefault="00462CB0" w:rsidP="00E87CE5">
            <w:pPr>
              <w:ind w:left="0"/>
              <w:rPr>
                <w:rFonts w:cs="Tahoma"/>
                <w:bCs/>
                <w:sz w:val="18"/>
                <w:szCs w:val="18"/>
              </w:rPr>
            </w:pPr>
          </w:p>
          <w:p w14:paraId="350C7910" w14:textId="77777777" w:rsidR="00462CB0" w:rsidRPr="00534B9F" w:rsidRDefault="00462CB0" w:rsidP="00E87CE5">
            <w:pPr>
              <w:ind w:left="0"/>
              <w:rPr>
                <w:rFonts w:cs="Tahoma"/>
                <w:bCs/>
                <w:sz w:val="18"/>
                <w:szCs w:val="18"/>
              </w:rPr>
            </w:pPr>
          </w:p>
        </w:tc>
        <w:tc>
          <w:tcPr>
            <w:tcW w:w="1987" w:type="dxa"/>
            <w:shd w:val="clear" w:color="auto" w:fill="auto"/>
            <w:tcMar>
              <w:top w:w="17" w:type="dxa"/>
              <w:left w:w="17" w:type="dxa"/>
              <w:bottom w:w="17" w:type="dxa"/>
              <w:right w:w="17" w:type="dxa"/>
            </w:tcMar>
            <w:hideMark/>
          </w:tcPr>
          <w:p w14:paraId="3A8D2298" w14:textId="77777777" w:rsidR="00C84F1A" w:rsidRPr="00534B9F" w:rsidRDefault="00C84F1A" w:rsidP="00E87CE5">
            <w:pPr>
              <w:numPr>
                <w:ilvl w:val="0"/>
                <w:numId w:val="20"/>
              </w:numPr>
              <w:tabs>
                <w:tab w:val="clear" w:pos="360"/>
                <w:tab w:val="num" w:pos="125"/>
              </w:tabs>
              <w:spacing w:line="240" w:lineRule="auto"/>
              <w:ind w:left="256" w:hanging="142"/>
              <w:contextualSpacing/>
              <w:rPr>
                <w:rFonts w:cs="Tahoma"/>
                <w:sz w:val="18"/>
                <w:szCs w:val="18"/>
              </w:rPr>
            </w:pPr>
            <w:r w:rsidRPr="00534B9F">
              <w:rPr>
                <w:rFonts w:cs="Tahoma"/>
                <w:sz w:val="18"/>
                <w:szCs w:val="18"/>
              </w:rPr>
              <w:t>Staff disgruntlement</w:t>
            </w:r>
          </w:p>
          <w:p w14:paraId="5374FB82" w14:textId="77777777" w:rsidR="00C84F1A" w:rsidRPr="00534B9F" w:rsidRDefault="00C84F1A" w:rsidP="00E87CE5">
            <w:pPr>
              <w:numPr>
                <w:ilvl w:val="0"/>
                <w:numId w:val="20"/>
              </w:numPr>
              <w:tabs>
                <w:tab w:val="clear" w:pos="360"/>
                <w:tab w:val="num" w:pos="125"/>
              </w:tabs>
              <w:spacing w:line="240" w:lineRule="auto"/>
              <w:ind w:left="256" w:hanging="142"/>
              <w:contextualSpacing/>
              <w:rPr>
                <w:rFonts w:cs="Tahoma"/>
                <w:sz w:val="18"/>
                <w:szCs w:val="18"/>
              </w:rPr>
            </w:pPr>
            <w:r w:rsidRPr="00534B9F">
              <w:rPr>
                <w:rFonts w:cs="Tahoma"/>
                <w:sz w:val="18"/>
                <w:szCs w:val="18"/>
              </w:rPr>
              <w:t>Lack of consistency in some practices by staff across department</w:t>
            </w:r>
            <w:r w:rsidR="00462CB0" w:rsidRPr="00534B9F">
              <w:rPr>
                <w:rFonts w:cs="Tahoma"/>
                <w:sz w:val="18"/>
                <w:szCs w:val="18"/>
              </w:rPr>
              <w:t>.</w:t>
            </w:r>
          </w:p>
        </w:tc>
        <w:tc>
          <w:tcPr>
            <w:tcW w:w="2370" w:type="dxa"/>
            <w:shd w:val="clear" w:color="auto" w:fill="auto"/>
            <w:tcMar>
              <w:top w:w="17" w:type="dxa"/>
              <w:left w:w="17" w:type="dxa"/>
              <w:bottom w:w="17" w:type="dxa"/>
              <w:right w:w="17" w:type="dxa"/>
            </w:tcMar>
            <w:hideMark/>
          </w:tcPr>
          <w:p w14:paraId="49E17F58" w14:textId="77777777" w:rsidR="00C84F1A" w:rsidRPr="00534B9F" w:rsidRDefault="00C84F1A" w:rsidP="00E87CE5">
            <w:pPr>
              <w:numPr>
                <w:ilvl w:val="0"/>
                <w:numId w:val="20"/>
              </w:numPr>
              <w:tabs>
                <w:tab w:val="clear" w:pos="360"/>
                <w:tab w:val="num" w:pos="255"/>
              </w:tabs>
              <w:spacing w:line="240" w:lineRule="auto"/>
              <w:ind w:left="255" w:hanging="141"/>
              <w:contextualSpacing/>
              <w:rPr>
                <w:rFonts w:cs="Tahoma"/>
                <w:sz w:val="18"/>
                <w:szCs w:val="18"/>
              </w:rPr>
            </w:pPr>
            <w:r w:rsidRPr="00534B9F">
              <w:rPr>
                <w:rFonts w:cs="Tahoma"/>
                <w:sz w:val="18"/>
                <w:szCs w:val="18"/>
              </w:rPr>
              <w:t>Complaints, passively upset, and uncooperative</w:t>
            </w:r>
            <w:r w:rsidR="00462CB0" w:rsidRPr="00534B9F">
              <w:rPr>
                <w:rFonts w:cs="Tahoma"/>
                <w:sz w:val="18"/>
                <w:szCs w:val="18"/>
              </w:rPr>
              <w:t>.</w:t>
            </w:r>
          </w:p>
          <w:p w14:paraId="6ADF39FE" w14:textId="77777777" w:rsidR="00C84F1A" w:rsidRPr="00534B9F" w:rsidRDefault="00C84F1A" w:rsidP="00E87CE5">
            <w:pPr>
              <w:numPr>
                <w:ilvl w:val="0"/>
                <w:numId w:val="20"/>
              </w:numPr>
              <w:tabs>
                <w:tab w:val="clear" w:pos="360"/>
                <w:tab w:val="num" w:pos="255"/>
              </w:tabs>
              <w:spacing w:line="240" w:lineRule="auto"/>
              <w:ind w:left="255" w:hanging="141"/>
              <w:contextualSpacing/>
              <w:rPr>
                <w:rFonts w:cs="Tahoma"/>
                <w:sz w:val="18"/>
                <w:szCs w:val="18"/>
              </w:rPr>
            </w:pPr>
            <w:r w:rsidRPr="00534B9F">
              <w:rPr>
                <w:rFonts w:cs="Tahoma"/>
                <w:sz w:val="18"/>
                <w:szCs w:val="18"/>
              </w:rPr>
              <w:t>Some staff do not engage and collaborate vertically within a group</w:t>
            </w:r>
            <w:r w:rsidR="00462CB0" w:rsidRPr="00534B9F">
              <w:rPr>
                <w:rFonts w:cs="Tahoma"/>
                <w:sz w:val="18"/>
                <w:szCs w:val="18"/>
              </w:rPr>
              <w:t>.</w:t>
            </w:r>
            <w:r w:rsidRPr="00534B9F">
              <w:rPr>
                <w:rFonts w:cs="Tahoma"/>
                <w:sz w:val="18"/>
                <w:szCs w:val="18"/>
              </w:rPr>
              <w:t xml:space="preserve"> </w:t>
            </w:r>
          </w:p>
          <w:p w14:paraId="10C0BC1D" w14:textId="77777777" w:rsidR="00C84F1A" w:rsidRPr="00534B9F" w:rsidRDefault="00C84F1A" w:rsidP="00E87CE5">
            <w:pPr>
              <w:numPr>
                <w:ilvl w:val="0"/>
                <w:numId w:val="20"/>
              </w:numPr>
              <w:tabs>
                <w:tab w:val="clear" w:pos="360"/>
                <w:tab w:val="num" w:pos="255"/>
              </w:tabs>
              <w:spacing w:line="240" w:lineRule="auto"/>
              <w:ind w:left="255" w:hanging="141"/>
              <w:contextualSpacing/>
              <w:rPr>
                <w:rFonts w:cs="Tahoma"/>
                <w:sz w:val="18"/>
                <w:szCs w:val="18"/>
              </w:rPr>
            </w:pPr>
            <w:r w:rsidRPr="00534B9F">
              <w:rPr>
                <w:rFonts w:cs="Tahoma"/>
                <w:sz w:val="18"/>
                <w:szCs w:val="18"/>
              </w:rPr>
              <w:t>Minimal staff turnover with minimal loss of skills, knowledge and expertise</w:t>
            </w:r>
            <w:r w:rsidR="00462CB0" w:rsidRPr="00534B9F">
              <w:rPr>
                <w:rFonts w:cs="Tahoma"/>
                <w:sz w:val="18"/>
                <w:szCs w:val="18"/>
              </w:rPr>
              <w:t>.</w:t>
            </w:r>
          </w:p>
        </w:tc>
        <w:tc>
          <w:tcPr>
            <w:tcW w:w="2409" w:type="dxa"/>
            <w:shd w:val="clear" w:color="auto" w:fill="auto"/>
            <w:tcMar>
              <w:top w:w="17" w:type="dxa"/>
              <w:left w:w="17" w:type="dxa"/>
              <w:bottom w:w="17" w:type="dxa"/>
              <w:right w:w="17" w:type="dxa"/>
            </w:tcMar>
            <w:hideMark/>
          </w:tcPr>
          <w:p w14:paraId="4CFD5B4F" w14:textId="77777777" w:rsidR="00C84F1A" w:rsidRPr="00534B9F" w:rsidRDefault="00C84F1A" w:rsidP="00E87CE5">
            <w:pPr>
              <w:numPr>
                <w:ilvl w:val="0"/>
                <w:numId w:val="20"/>
              </w:numPr>
              <w:tabs>
                <w:tab w:val="clear" w:pos="360"/>
                <w:tab w:val="num" w:pos="256"/>
              </w:tabs>
              <w:spacing w:line="240" w:lineRule="auto"/>
              <w:ind w:left="256" w:hanging="142"/>
              <w:contextualSpacing/>
              <w:rPr>
                <w:rFonts w:cs="Tahoma"/>
                <w:sz w:val="18"/>
                <w:szCs w:val="18"/>
              </w:rPr>
            </w:pPr>
            <w:r w:rsidRPr="00534B9F">
              <w:rPr>
                <w:rFonts w:cs="Tahoma"/>
                <w:sz w:val="18"/>
                <w:szCs w:val="18"/>
              </w:rPr>
              <w:t>Low morale, disengagement, increased absenteeism and workplace conflict</w:t>
            </w:r>
            <w:r w:rsidR="00462CB0" w:rsidRPr="00534B9F">
              <w:rPr>
                <w:rFonts w:cs="Tahoma"/>
                <w:sz w:val="18"/>
                <w:szCs w:val="18"/>
              </w:rPr>
              <w:t>.</w:t>
            </w:r>
          </w:p>
          <w:p w14:paraId="2EA4B713" w14:textId="77777777" w:rsidR="00C84F1A" w:rsidRPr="00534B9F" w:rsidRDefault="00C84F1A" w:rsidP="00E87CE5">
            <w:pPr>
              <w:numPr>
                <w:ilvl w:val="0"/>
                <w:numId w:val="20"/>
              </w:numPr>
              <w:tabs>
                <w:tab w:val="clear" w:pos="360"/>
                <w:tab w:val="num" w:pos="256"/>
              </w:tabs>
              <w:spacing w:line="240" w:lineRule="auto"/>
              <w:ind w:left="256" w:hanging="142"/>
              <w:contextualSpacing/>
              <w:rPr>
                <w:rFonts w:cs="Tahoma"/>
                <w:sz w:val="18"/>
                <w:szCs w:val="18"/>
              </w:rPr>
            </w:pPr>
            <w:r w:rsidRPr="00534B9F">
              <w:rPr>
                <w:rFonts w:cs="Tahoma"/>
                <w:sz w:val="18"/>
                <w:szCs w:val="18"/>
              </w:rPr>
              <w:t>Some staff are not engaged and there is only partial collaboration vertically within a group and horizontally across groups /divisions</w:t>
            </w:r>
            <w:r w:rsidR="00462CB0" w:rsidRPr="00534B9F">
              <w:rPr>
                <w:rFonts w:cs="Tahoma"/>
                <w:sz w:val="18"/>
                <w:szCs w:val="18"/>
              </w:rPr>
              <w:t>.</w:t>
            </w:r>
          </w:p>
          <w:p w14:paraId="0010116C" w14:textId="77777777" w:rsidR="00C84F1A" w:rsidRPr="00534B9F" w:rsidRDefault="00C84F1A" w:rsidP="00E87CE5">
            <w:pPr>
              <w:numPr>
                <w:ilvl w:val="0"/>
                <w:numId w:val="20"/>
              </w:numPr>
              <w:tabs>
                <w:tab w:val="clear" w:pos="360"/>
                <w:tab w:val="num" w:pos="256"/>
              </w:tabs>
              <w:spacing w:line="240" w:lineRule="auto"/>
              <w:ind w:left="256" w:hanging="142"/>
              <w:contextualSpacing/>
              <w:rPr>
                <w:rFonts w:cs="Tahoma"/>
                <w:sz w:val="18"/>
                <w:szCs w:val="18"/>
              </w:rPr>
            </w:pPr>
            <w:r w:rsidRPr="00534B9F">
              <w:rPr>
                <w:rFonts w:cs="Tahoma"/>
                <w:sz w:val="18"/>
                <w:szCs w:val="18"/>
              </w:rPr>
              <w:t>Minimal turnover of key staff with skills, knowledge and expertise</w:t>
            </w:r>
            <w:r w:rsidR="00462CB0" w:rsidRPr="00534B9F">
              <w:rPr>
                <w:rFonts w:cs="Tahoma"/>
                <w:sz w:val="18"/>
                <w:szCs w:val="18"/>
              </w:rPr>
              <w:t>.</w:t>
            </w:r>
          </w:p>
        </w:tc>
        <w:tc>
          <w:tcPr>
            <w:tcW w:w="2694" w:type="dxa"/>
            <w:shd w:val="clear" w:color="auto" w:fill="auto"/>
            <w:tcMar>
              <w:top w:w="17" w:type="dxa"/>
              <w:left w:w="17" w:type="dxa"/>
              <w:bottom w:w="17" w:type="dxa"/>
              <w:right w:w="17" w:type="dxa"/>
            </w:tcMar>
            <w:hideMark/>
          </w:tcPr>
          <w:p w14:paraId="03791496" w14:textId="77777777" w:rsidR="00C84F1A" w:rsidRPr="00534B9F" w:rsidRDefault="00C84F1A" w:rsidP="00E87CE5">
            <w:pPr>
              <w:numPr>
                <w:ilvl w:val="0"/>
                <w:numId w:val="20"/>
              </w:numPr>
              <w:spacing w:line="240" w:lineRule="auto"/>
              <w:ind w:left="256" w:hanging="142"/>
              <w:contextualSpacing/>
              <w:rPr>
                <w:rFonts w:cs="Tahoma"/>
                <w:sz w:val="18"/>
                <w:szCs w:val="18"/>
              </w:rPr>
            </w:pPr>
            <w:r w:rsidRPr="00534B9F">
              <w:rPr>
                <w:rFonts w:cs="Tahoma"/>
                <w:sz w:val="18"/>
                <w:szCs w:val="18"/>
              </w:rPr>
              <w:t>Major morale issues and high absenteeism</w:t>
            </w:r>
            <w:r w:rsidR="00462CB0" w:rsidRPr="00534B9F">
              <w:rPr>
                <w:rFonts w:cs="Tahoma"/>
                <w:sz w:val="18"/>
                <w:szCs w:val="18"/>
              </w:rPr>
              <w:t>.</w:t>
            </w:r>
          </w:p>
          <w:p w14:paraId="57176262" w14:textId="77777777" w:rsidR="00C84F1A" w:rsidRPr="00534B9F" w:rsidRDefault="00C84F1A" w:rsidP="00E87CE5">
            <w:pPr>
              <w:numPr>
                <w:ilvl w:val="0"/>
                <w:numId w:val="20"/>
              </w:numPr>
              <w:spacing w:line="240" w:lineRule="auto"/>
              <w:ind w:left="256" w:hanging="142"/>
              <w:contextualSpacing/>
              <w:rPr>
                <w:rFonts w:cs="Tahoma"/>
                <w:sz w:val="18"/>
                <w:szCs w:val="18"/>
              </w:rPr>
            </w:pPr>
            <w:r w:rsidRPr="00534B9F">
              <w:rPr>
                <w:rFonts w:cs="Tahoma"/>
                <w:sz w:val="18"/>
                <w:szCs w:val="18"/>
              </w:rPr>
              <w:t>Most staff are not engaged and there is no collaboration vertically within a group and horizontally across groups/divisions</w:t>
            </w:r>
            <w:r w:rsidR="00462CB0" w:rsidRPr="00534B9F">
              <w:rPr>
                <w:rFonts w:cs="Tahoma"/>
                <w:sz w:val="18"/>
                <w:szCs w:val="18"/>
              </w:rPr>
              <w:t>.</w:t>
            </w:r>
          </w:p>
          <w:p w14:paraId="37263152" w14:textId="77777777" w:rsidR="00C84F1A" w:rsidRPr="00534B9F" w:rsidRDefault="00C84F1A" w:rsidP="00E87CE5">
            <w:pPr>
              <w:numPr>
                <w:ilvl w:val="0"/>
                <w:numId w:val="20"/>
              </w:numPr>
              <w:spacing w:line="240" w:lineRule="auto"/>
              <w:ind w:left="256" w:hanging="142"/>
              <w:contextualSpacing/>
              <w:rPr>
                <w:rFonts w:cs="Tahoma"/>
                <w:sz w:val="18"/>
                <w:szCs w:val="18"/>
              </w:rPr>
            </w:pPr>
            <w:r w:rsidRPr="00534B9F">
              <w:rPr>
                <w:rFonts w:cs="Tahoma"/>
                <w:sz w:val="18"/>
                <w:szCs w:val="18"/>
              </w:rPr>
              <w:t>Resignations of key staff with skills, knowledge and expertise</w:t>
            </w:r>
            <w:r w:rsidR="00462CB0" w:rsidRPr="00534B9F">
              <w:rPr>
                <w:rFonts w:cs="Tahoma"/>
                <w:sz w:val="18"/>
                <w:szCs w:val="18"/>
              </w:rPr>
              <w:t>.</w:t>
            </w:r>
          </w:p>
          <w:p w14:paraId="4F3EF7BF" w14:textId="77777777" w:rsidR="00C84F1A" w:rsidRPr="00534B9F" w:rsidRDefault="00C84F1A" w:rsidP="00E87CE5">
            <w:pPr>
              <w:numPr>
                <w:ilvl w:val="0"/>
                <w:numId w:val="20"/>
              </w:numPr>
              <w:spacing w:line="240" w:lineRule="auto"/>
              <w:ind w:left="256" w:hanging="142"/>
              <w:contextualSpacing/>
              <w:rPr>
                <w:rFonts w:cs="Tahoma"/>
                <w:sz w:val="18"/>
                <w:szCs w:val="18"/>
              </w:rPr>
            </w:pPr>
            <w:r w:rsidRPr="00534B9F">
              <w:rPr>
                <w:rFonts w:cs="Tahoma"/>
                <w:sz w:val="18"/>
                <w:szCs w:val="18"/>
              </w:rPr>
              <w:t>Staff are not up skilled to meet Business Plan priorities and commitments</w:t>
            </w:r>
            <w:r w:rsidR="00462CB0" w:rsidRPr="00534B9F">
              <w:rPr>
                <w:rFonts w:cs="Tahoma"/>
                <w:sz w:val="18"/>
                <w:szCs w:val="18"/>
              </w:rPr>
              <w:t>.</w:t>
            </w:r>
          </w:p>
        </w:tc>
        <w:tc>
          <w:tcPr>
            <w:tcW w:w="2693" w:type="dxa"/>
            <w:shd w:val="clear" w:color="auto" w:fill="auto"/>
            <w:tcMar>
              <w:top w:w="17" w:type="dxa"/>
              <w:left w:w="17" w:type="dxa"/>
              <w:bottom w:w="17" w:type="dxa"/>
              <w:right w:w="17" w:type="dxa"/>
            </w:tcMar>
            <w:hideMark/>
          </w:tcPr>
          <w:p w14:paraId="3DB335E0" w14:textId="77777777" w:rsidR="00C84F1A" w:rsidRPr="00534B9F" w:rsidRDefault="00C84F1A" w:rsidP="00E87CE5">
            <w:pPr>
              <w:numPr>
                <w:ilvl w:val="0"/>
                <w:numId w:val="20"/>
              </w:numPr>
              <w:spacing w:line="240" w:lineRule="auto"/>
              <w:ind w:left="255" w:hanging="142"/>
              <w:contextualSpacing/>
              <w:rPr>
                <w:rFonts w:cs="Tahoma"/>
                <w:sz w:val="18"/>
                <w:szCs w:val="18"/>
              </w:rPr>
            </w:pPr>
            <w:r w:rsidRPr="00534B9F">
              <w:rPr>
                <w:rFonts w:cs="Tahoma"/>
                <w:sz w:val="18"/>
                <w:szCs w:val="18"/>
              </w:rPr>
              <w:t>Department wide morale issues and mass absenteeism</w:t>
            </w:r>
            <w:r w:rsidR="00462CB0" w:rsidRPr="00534B9F">
              <w:rPr>
                <w:rFonts w:cs="Tahoma"/>
                <w:sz w:val="18"/>
                <w:szCs w:val="18"/>
              </w:rPr>
              <w:t>.</w:t>
            </w:r>
          </w:p>
          <w:p w14:paraId="1F26A3E6" w14:textId="77777777" w:rsidR="00C84F1A" w:rsidRPr="00534B9F" w:rsidRDefault="00C84F1A" w:rsidP="00E87CE5">
            <w:pPr>
              <w:numPr>
                <w:ilvl w:val="0"/>
                <w:numId w:val="20"/>
              </w:numPr>
              <w:spacing w:line="240" w:lineRule="auto"/>
              <w:ind w:left="255" w:hanging="142"/>
              <w:contextualSpacing/>
              <w:rPr>
                <w:rFonts w:cs="Tahoma"/>
                <w:sz w:val="18"/>
                <w:szCs w:val="18"/>
              </w:rPr>
            </w:pPr>
            <w:r w:rsidRPr="00534B9F">
              <w:rPr>
                <w:rFonts w:cs="Tahoma"/>
                <w:sz w:val="18"/>
                <w:szCs w:val="18"/>
              </w:rPr>
              <w:t>Staff are not engaged and there is no collaboration vertically</w:t>
            </w:r>
          </w:p>
          <w:p w14:paraId="286A7A02" w14:textId="77777777" w:rsidR="00C84F1A" w:rsidRPr="00534B9F" w:rsidRDefault="00C84F1A" w:rsidP="00E87CE5">
            <w:pPr>
              <w:spacing w:line="240" w:lineRule="auto"/>
              <w:ind w:left="255"/>
              <w:contextualSpacing/>
              <w:rPr>
                <w:rFonts w:cs="Tahoma"/>
                <w:sz w:val="18"/>
                <w:szCs w:val="18"/>
              </w:rPr>
            </w:pPr>
            <w:r w:rsidRPr="00534B9F">
              <w:rPr>
                <w:rFonts w:cs="Tahoma"/>
                <w:sz w:val="18"/>
                <w:szCs w:val="18"/>
              </w:rPr>
              <w:t>within a group and horizontally across the Department</w:t>
            </w:r>
            <w:r w:rsidR="00462CB0" w:rsidRPr="00534B9F">
              <w:rPr>
                <w:rFonts w:cs="Tahoma"/>
                <w:sz w:val="18"/>
                <w:szCs w:val="18"/>
              </w:rPr>
              <w:t>.</w:t>
            </w:r>
          </w:p>
          <w:p w14:paraId="17D77532" w14:textId="77777777" w:rsidR="00C84F1A" w:rsidRPr="00534B9F" w:rsidRDefault="00C84F1A" w:rsidP="00E87CE5">
            <w:pPr>
              <w:numPr>
                <w:ilvl w:val="0"/>
                <w:numId w:val="20"/>
              </w:numPr>
              <w:spacing w:line="240" w:lineRule="auto"/>
              <w:ind w:left="255" w:hanging="142"/>
              <w:contextualSpacing/>
              <w:rPr>
                <w:rFonts w:cs="Tahoma"/>
                <w:sz w:val="18"/>
                <w:szCs w:val="18"/>
              </w:rPr>
            </w:pPr>
            <w:r w:rsidRPr="00534B9F">
              <w:rPr>
                <w:rFonts w:cs="Tahoma"/>
                <w:sz w:val="18"/>
                <w:szCs w:val="18"/>
              </w:rPr>
              <w:t>Resignations of large numbers of key management level staff with skills, knowledge and expertise</w:t>
            </w:r>
            <w:r w:rsidR="00462CB0" w:rsidRPr="00534B9F">
              <w:rPr>
                <w:rFonts w:cs="Tahoma"/>
                <w:sz w:val="18"/>
                <w:szCs w:val="18"/>
              </w:rPr>
              <w:t>.</w:t>
            </w:r>
          </w:p>
          <w:p w14:paraId="3FB7CA2B" w14:textId="77777777" w:rsidR="00C84F1A" w:rsidRPr="00534B9F" w:rsidRDefault="00C84F1A" w:rsidP="00E87CE5">
            <w:pPr>
              <w:numPr>
                <w:ilvl w:val="0"/>
                <w:numId w:val="20"/>
              </w:numPr>
              <w:spacing w:line="240" w:lineRule="auto"/>
              <w:ind w:left="255" w:hanging="142"/>
              <w:contextualSpacing/>
              <w:rPr>
                <w:rFonts w:cs="Tahoma"/>
                <w:sz w:val="18"/>
                <w:szCs w:val="18"/>
              </w:rPr>
            </w:pPr>
            <w:r w:rsidRPr="00534B9F">
              <w:rPr>
                <w:rFonts w:cs="Tahoma"/>
                <w:sz w:val="18"/>
                <w:szCs w:val="18"/>
              </w:rPr>
              <w:t>Staff are not up skilled to meet department corporate objectives and key strategic priorities</w:t>
            </w:r>
            <w:r w:rsidR="00462CB0" w:rsidRPr="00534B9F">
              <w:rPr>
                <w:rFonts w:cs="Tahoma"/>
                <w:sz w:val="18"/>
                <w:szCs w:val="18"/>
              </w:rPr>
              <w:t>.</w:t>
            </w:r>
          </w:p>
        </w:tc>
      </w:tr>
      <w:tr w:rsidR="00C84F1A" w:rsidRPr="00277762" w14:paraId="735D7CBE" w14:textId="77777777" w:rsidTr="009A7589">
        <w:trPr>
          <w:trHeight w:val="180"/>
        </w:trPr>
        <w:tc>
          <w:tcPr>
            <w:tcW w:w="1756" w:type="dxa"/>
            <w:shd w:val="clear" w:color="auto" w:fill="D9D9D9"/>
            <w:tcMar>
              <w:top w:w="17" w:type="dxa"/>
              <w:left w:w="17" w:type="dxa"/>
              <w:bottom w:w="17" w:type="dxa"/>
              <w:right w:w="17" w:type="dxa"/>
            </w:tcMar>
            <w:hideMark/>
          </w:tcPr>
          <w:p w14:paraId="3AACC54F" w14:textId="77777777" w:rsidR="00C84F1A" w:rsidRPr="00534B9F" w:rsidRDefault="00C84F1A" w:rsidP="00534B9F">
            <w:pPr>
              <w:ind w:left="0" w:firstLine="142"/>
              <w:rPr>
                <w:rFonts w:cs="Tahoma"/>
                <w:b/>
                <w:bCs/>
                <w:sz w:val="18"/>
                <w:szCs w:val="18"/>
              </w:rPr>
            </w:pPr>
            <w:r w:rsidRPr="00534B9F">
              <w:rPr>
                <w:rFonts w:cs="Tahoma"/>
                <w:b/>
                <w:bCs/>
                <w:sz w:val="18"/>
                <w:szCs w:val="18"/>
              </w:rPr>
              <w:t>Environment</w:t>
            </w:r>
          </w:p>
          <w:p w14:paraId="111A387A" w14:textId="77777777" w:rsidR="00C84F1A" w:rsidRPr="00534B9F" w:rsidRDefault="00C84F1A" w:rsidP="00277762">
            <w:pPr>
              <w:spacing w:line="240" w:lineRule="auto"/>
              <w:ind w:left="142"/>
              <w:rPr>
                <w:rFonts w:cs="Tahoma"/>
                <w:b/>
                <w:bCs/>
                <w:sz w:val="18"/>
                <w:szCs w:val="18"/>
              </w:rPr>
            </w:pPr>
            <w:r w:rsidRPr="00534B9F">
              <w:rPr>
                <w:rFonts w:cs="Tahoma"/>
                <w:sz w:val="18"/>
                <w:szCs w:val="18"/>
              </w:rPr>
              <w:t>Risk event impacts the natural environment</w:t>
            </w:r>
          </w:p>
        </w:tc>
        <w:tc>
          <w:tcPr>
            <w:tcW w:w="1987" w:type="dxa"/>
            <w:shd w:val="clear" w:color="auto" w:fill="CCFFCC"/>
            <w:tcMar>
              <w:top w:w="17" w:type="dxa"/>
              <w:left w:w="17" w:type="dxa"/>
              <w:bottom w:w="17" w:type="dxa"/>
              <w:right w:w="17" w:type="dxa"/>
            </w:tcMar>
            <w:hideMark/>
          </w:tcPr>
          <w:p w14:paraId="35F54C74" w14:textId="77777777" w:rsidR="00C84F1A" w:rsidRPr="00534B9F" w:rsidRDefault="00C84F1A" w:rsidP="00E87CE5">
            <w:pPr>
              <w:numPr>
                <w:ilvl w:val="0"/>
                <w:numId w:val="20"/>
              </w:numPr>
              <w:tabs>
                <w:tab w:val="clear" w:pos="360"/>
                <w:tab w:val="num" w:pos="125"/>
              </w:tabs>
              <w:spacing w:line="240" w:lineRule="auto"/>
              <w:ind w:left="256" w:hanging="142"/>
              <w:contextualSpacing/>
              <w:rPr>
                <w:rFonts w:cs="Tahoma"/>
                <w:sz w:val="18"/>
                <w:szCs w:val="18"/>
              </w:rPr>
            </w:pPr>
            <w:r w:rsidRPr="00534B9F">
              <w:rPr>
                <w:rFonts w:cs="Tahoma"/>
                <w:sz w:val="18"/>
                <w:szCs w:val="18"/>
              </w:rPr>
              <w:t>Negligible effect on the environment</w:t>
            </w:r>
            <w:r w:rsidR="00462CB0" w:rsidRPr="00534B9F">
              <w:rPr>
                <w:rFonts w:cs="Tahoma"/>
                <w:sz w:val="18"/>
                <w:szCs w:val="18"/>
              </w:rPr>
              <w:t>.</w:t>
            </w:r>
          </w:p>
          <w:p w14:paraId="1E82D775" w14:textId="77777777" w:rsidR="00C84F1A" w:rsidRPr="00534B9F" w:rsidRDefault="00C84F1A" w:rsidP="00E87CE5">
            <w:pPr>
              <w:numPr>
                <w:ilvl w:val="0"/>
                <w:numId w:val="20"/>
              </w:numPr>
              <w:tabs>
                <w:tab w:val="clear" w:pos="360"/>
                <w:tab w:val="num" w:pos="125"/>
              </w:tabs>
              <w:spacing w:line="240" w:lineRule="auto"/>
              <w:ind w:left="256" w:hanging="142"/>
              <w:contextualSpacing/>
              <w:rPr>
                <w:rFonts w:cs="Tahoma"/>
                <w:sz w:val="18"/>
                <w:szCs w:val="18"/>
              </w:rPr>
            </w:pPr>
            <w:r w:rsidRPr="00534B9F">
              <w:rPr>
                <w:rFonts w:cs="Tahoma"/>
                <w:sz w:val="18"/>
                <w:szCs w:val="18"/>
              </w:rPr>
              <w:t>Environmental recovery is negligible and/or under 1 year</w:t>
            </w:r>
            <w:r w:rsidR="00462CB0" w:rsidRPr="00534B9F">
              <w:rPr>
                <w:rFonts w:cs="Tahoma"/>
                <w:sz w:val="18"/>
                <w:szCs w:val="18"/>
              </w:rPr>
              <w:t>.</w:t>
            </w:r>
          </w:p>
          <w:p w14:paraId="1C906AC3" w14:textId="77777777" w:rsidR="00C84F1A" w:rsidRPr="00534B9F" w:rsidRDefault="00C84F1A" w:rsidP="00E87CE5">
            <w:pPr>
              <w:numPr>
                <w:ilvl w:val="0"/>
                <w:numId w:val="20"/>
              </w:numPr>
              <w:tabs>
                <w:tab w:val="clear" w:pos="360"/>
                <w:tab w:val="num" w:pos="125"/>
              </w:tabs>
              <w:spacing w:line="240" w:lineRule="auto"/>
              <w:ind w:left="256" w:hanging="142"/>
              <w:contextualSpacing/>
              <w:rPr>
                <w:rFonts w:cs="Tahoma"/>
                <w:sz w:val="18"/>
                <w:szCs w:val="18"/>
              </w:rPr>
            </w:pPr>
            <w:r w:rsidRPr="00534B9F">
              <w:rPr>
                <w:rFonts w:cs="Tahoma"/>
                <w:sz w:val="18"/>
                <w:szCs w:val="18"/>
              </w:rPr>
              <w:t>Contained locally within a single site/area</w:t>
            </w:r>
            <w:r w:rsidR="00462CB0" w:rsidRPr="00534B9F">
              <w:rPr>
                <w:rFonts w:cs="Tahoma"/>
                <w:sz w:val="18"/>
                <w:szCs w:val="18"/>
              </w:rPr>
              <w:t>.</w:t>
            </w:r>
          </w:p>
        </w:tc>
        <w:tc>
          <w:tcPr>
            <w:tcW w:w="2370" w:type="dxa"/>
            <w:shd w:val="clear" w:color="auto" w:fill="CCFFCC"/>
            <w:tcMar>
              <w:top w:w="17" w:type="dxa"/>
              <w:left w:w="17" w:type="dxa"/>
              <w:bottom w:w="17" w:type="dxa"/>
              <w:right w:w="17" w:type="dxa"/>
            </w:tcMar>
            <w:hideMark/>
          </w:tcPr>
          <w:p w14:paraId="6B5C8AB6" w14:textId="77777777" w:rsidR="00C84F1A" w:rsidRPr="00534B9F" w:rsidRDefault="00C84F1A" w:rsidP="00E87CE5">
            <w:pPr>
              <w:numPr>
                <w:ilvl w:val="0"/>
                <w:numId w:val="20"/>
              </w:numPr>
              <w:tabs>
                <w:tab w:val="clear" w:pos="360"/>
                <w:tab w:val="num" w:pos="255"/>
              </w:tabs>
              <w:spacing w:line="240" w:lineRule="auto"/>
              <w:ind w:left="255" w:hanging="141"/>
              <w:contextualSpacing/>
              <w:rPr>
                <w:rFonts w:cs="Tahoma"/>
                <w:sz w:val="18"/>
                <w:szCs w:val="18"/>
              </w:rPr>
            </w:pPr>
            <w:r w:rsidRPr="00534B9F">
              <w:rPr>
                <w:rFonts w:cs="Tahoma"/>
                <w:sz w:val="18"/>
                <w:szCs w:val="18"/>
              </w:rPr>
              <w:t>Limited effect on the environment and/or the</w:t>
            </w:r>
          </w:p>
          <w:p w14:paraId="58425A15" w14:textId="77777777" w:rsidR="00C84F1A" w:rsidRPr="00534B9F" w:rsidRDefault="00C84F1A" w:rsidP="00E87CE5">
            <w:pPr>
              <w:spacing w:line="240" w:lineRule="auto"/>
              <w:ind w:left="255"/>
              <w:contextualSpacing/>
              <w:rPr>
                <w:rFonts w:cs="Tahoma"/>
                <w:sz w:val="18"/>
                <w:szCs w:val="18"/>
              </w:rPr>
            </w:pPr>
            <w:r w:rsidRPr="00534B9F">
              <w:rPr>
                <w:rFonts w:cs="Tahoma"/>
                <w:sz w:val="18"/>
                <w:szCs w:val="18"/>
              </w:rPr>
              <w:t>environment suffers harm for 1-5 years</w:t>
            </w:r>
            <w:r w:rsidR="00462CB0" w:rsidRPr="00534B9F">
              <w:rPr>
                <w:rFonts w:cs="Tahoma"/>
                <w:sz w:val="18"/>
                <w:szCs w:val="18"/>
              </w:rPr>
              <w:t>.</w:t>
            </w:r>
          </w:p>
          <w:p w14:paraId="0486BC1D" w14:textId="77777777" w:rsidR="00C84F1A" w:rsidRPr="00534B9F" w:rsidRDefault="00C84F1A" w:rsidP="00E87CE5">
            <w:pPr>
              <w:numPr>
                <w:ilvl w:val="0"/>
                <w:numId w:val="20"/>
              </w:numPr>
              <w:tabs>
                <w:tab w:val="clear" w:pos="360"/>
                <w:tab w:val="num" w:pos="255"/>
              </w:tabs>
              <w:spacing w:line="240" w:lineRule="auto"/>
              <w:ind w:left="255" w:hanging="141"/>
              <w:contextualSpacing/>
              <w:rPr>
                <w:rFonts w:cs="Tahoma"/>
                <w:sz w:val="18"/>
                <w:szCs w:val="18"/>
              </w:rPr>
            </w:pPr>
            <w:r w:rsidRPr="00534B9F">
              <w:rPr>
                <w:rFonts w:cs="Tahoma"/>
                <w:sz w:val="18"/>
                <w:szCs w:val="18"/>
              </w:rPr>
              <w:t>Environmental recovery on a minor scale up to 5 years</w:t>
            </w:r>
            <w:r w:rsidR="00462CB0" w:rsidRPr="00534B9F">
              <w:rPr>
                <w:rFonts w:cs="Tahoma"/>
                <w:sz w:val="18"/>
                <w:szCs w:val="18"/>
              </w:rPr>
              <w:t>.</w:t>
            </w:r>
          </w:p>
          <w:p w14:paraId="3FEB47E7" w14:textId="77777777" w:rsidR="00C84F1A" w:rsidRPr="00534B9F" w:rsidRDefault="00C84F1A" w:rsidP="00E87CE5">
            <w:pPr>
              <w:numPr>
                <w:ilvl w:val="0"/>
                <w:numId w:val="20"/>
              </w:numPr>
              <w:tabs>
                <w:tab w:val="clear" w:pos="360"/>
                <w:tab w:val="num" w:pos="255"/>
              </w:tabs>
              <w:spacing w:line="240" w:lineRule="auto"/>
              <w:ind w:left="255" w:hanging="141"/>
              <w:contextualSpacing/>
              <w:rPr>
                <w:rFonts w:cs="Tahoma"/>
                <w:sz w:val="18"/>
                <w:szCs w:val="18"/>
              </w:rPr>
            </w:pPr>
            <w:r w:rsidRPr="00534B9F">
              <w:rPr>
                <w:rFonts w:cs="Tahoma"/>
                <w:sz w:val="18"/>
                <w:szCs w:val="18"/>
              </w:rPr>
              <w:t>Restricted to a single township or locality</w:t>
            </w:r>
            <w:r w:rsidR="00462CB0" w:rsidRPr="00534B9F">
              <w:rPr>
                <w:rFonts w:cs="Tahoma"/>
                <w:sz w:val="18"/>
                <w:szCs w:val="18"/>
              </w:rPr>
              <w:t>.</w:t>
            </w:r>
          </w:p>
        </w:tc>
        <w:tc>
          <w:tcPr>
            <w:tcW w:w="2409" w:type="dxa"/>
            <w:shd w:val="clear" w:color="auto" w:fill="CCFFCC"/>
            <w:tcMar>
              <w:top w:w="17" w:type="dxa"/>
              <w:left w:w="17" w:type="dxa"/>
              <w:bottom w:w="17" w:type="dxa"/>
              <w:right w:w="17" w:type="dxa"/>
            </w:tcMar>
            <w:hideMark/>
          </w:tcPr>
          <w:p w14:paraId="40323891" w14:textId="77777777" w:rsidR="00C84F1A" w:rsidRPr="00534B9F" w:rsidRDefault="00C84F1A" w:rsidP="00E87CE5">
            <w:pPr>
              <w:numPr>
                <w:ilvl w:val="0"/>
                <w:numId w:val="20"/>
              </w:numPr>
              <w:tabs>
                <w:tab w:val="clear" w:pos="360"/>
                <w:tab w:val="num" w:pos="256"/>
              </w:tabs>
              <w:spacing w:line="240" w:lineRule="auto"/>
              <w:ind w:left="256" w:hanging="142"/>
              <w:contextualSpacing/>
              <w:rPr>
                <w:rFonts w:cs="Tahoma"/>
                <w:sz w:val="18"/>
                <w:szCs w:val="18"/>
              </w:rPr>
            </w:pPr>
            <w:r w:rsidRPr="00534B9F">
              <w:rPr>
                <w:rFonts w:cs="Tahoma"/>
                <w:sz w:val="18"/>
                <w:szCs w:val="18"/>
              </w:rPr>
              <w:t>Moderate effect on the environment and/or environment suffers harm for 5-10 years</w:t>
            </w:r>
            <w:r w:rsidR="00462CB0" w:rsidRPr="00534B9F">
              <w:rPr>
                <w:rFonts w:cs="Tahoma"/>
                <w:sz w:val="18"/>
                <w:szCs w:val="18"/>
              </w:rPr>
              <w:t>.</w:t>
            </w:r>
          </w:p>
          <w:p w14:paraId="61B0EFBC" w14:textId="6A98ABAE" w:rsidR="00C84F1A" w:rsidRPr="00534B9F" w:rsidRDefault="00C84F1A" w:rsidP="00E87CE5">
            <w:pPr>
              <w:numPr>
                <w:ilvl w:val="0"/>
                <w:numId w:val="20"/>
              </w:numPr>
              <w:tabs>
                <w:tab w:val="clear" w:pos="360"/>
                <w:tab w:val="num" w:pos="256"/>
              </w:tabs>
              <w:spacing w:line="240" w:lineRule="auto"/>
              <w:ind w:left="256" w:hanging="142"/>
              <w:contextualSpacing/>
              <w:rPr>
                <w:rFonts w:cs="Tahoma"/>
                <w:sz w:val="18"/>
                <w:szCs w:val="18"/>
              </w:rPr>
            </w:pPr>
            <w:r w:rsidRPr="00534B9F">
              <w:rPr>
                <w:rFonts w:cs="Tahoma"/>
                <w:sz w:val="18"/>
                <w:szCs w:val="18"/>
              </w:rPr>
              <w:t>Environmental recovery on a moderate scale and/or over a period 5-10 years</w:t>
            </w:r>
            <w:r w:rsidR="00462CB0" w:rsidRPr="00534B9F">
              <w:rPr>
                <w:rFonts w:cs="Tahoma"/>
                <w:sz w:val="18"/>
                <w:szCs w:val="18"/>
              </w:rPr>
              <w:t>.</w:t>
            </w:r>
          </w:p>
          <w:p w14:paraId="5BE9F010" w14:textId="77777777" w:rsidR="00C84F1A" w:rsidRPr="00534B9F" w:rsidRDefault="00C84F1A" w:rsidP="00E87CE5">
            <w:pPr>
              <w:numPr>
                <w:ilvl w:val="0"/>
                <w:numId w:val="20"/>
              </w:numPr>
              <w:tabs>
                <w:tab w:val="clear" w:pos="360"/>
                <w:tab w:val="num" w:pos="256"/>
              </w:tabs>
              <w:spacing w:line="240" w:lineRule="auto"/>
              <w:ind w:left="256" w:hanging="142"/>
              <w:contextualSpacing/>
              <w:rPr>
                <w:rFonts w:cs="Tahoma"/>
                <w:sz w:val="18"/>
                <w:szCs w:val="18"/>
              </w:rPr>
            </w:pPr>
            <w:r w:rsidRPr="00534B9F">
              <w:rPr>
                <w:rFonts w:cs="Tahoma"/>
                <w:sz w:val="18"/>
                <w:szCs w:val="18"/>
              </w:rPr>
              <w:t>Impacts on a municipality or multiple localities</w:t>
            </w:r>
            <w:r w:rsidR="00462CB0" w:rsidRPr="00534B9F">
              <w:rPr>
                <w:rFonts w:cs="Tahoma"/>
                <w:sz w:val="18"/>
                <w:szCs w:val="18"/>
              </w:rPr>
              <w:t>.</w:t>
            </w:r>
          </w:p>
        </w:tc>
        <w:tc>
          <w:tcPr>
            <w:tcW w:w="2694" w:type="dxa"/>
            <w:shd w:val="clear" w:color="auto" w:fill="CCFFCC"/>
            <w:tcMar>
              <w:top w:w="17" w:type="dxa"/>
              <w:left w:w="17" w:type="dxa"/>
              <w:bottom w:w="17" w:type="dxa"/>
              <w:right w:w="17" w:type="dxa"/>
            </w:tcMar>
            <w:hideMark/>
          </w:tcPr>
          <w:p w14:paraId="38AB7DD0" w14:textId="77777777" w:rsidR="00C84F1A" w:rsidRPr="00534B9F" w:rsidRDefault="00C84F1A" w:rsidP="00E87CE5">
            <w:pPr>
              <w:numPr>
                <w:ilvl w:val="0"/>
                <w:numId w:val="20"/>
              </w:numPr>
              <w:spacing w:line="240" w:lineRule="auto"/>
              <w:ind w:left="256" w:hanging="142"/>
              <w:contextualSpacing/>
              <w:rPr>
                <w:rFonts w:cs="Tahoma"/>
                <w:sz w:val="18"/>
                <w:szCs w:val="18"/>
              </w:rPr>
            </w:pPr>
            <w:r w:rsidRPr="00534B9F">
              <w:rPr>
                <w:rFonts w:cs="Tahoma"/>
                <w:sz w:val="18"/>
                <w:szCs w:val="18"/>
              </w:rPr>
              <w:t>Major effect on the environment and/or environment suffers harm for 10-20 years</w:t>
            </w:r>
            <w:r w:rsidR="00462CB0" w:rsidRPr="00534B9F">
              <w:rPr>
                <w:rFonts w:cs="Tahoma"/>
                <w:sz w:val="18"/>
                <w:szCs w:val="18"/>
              </w:rPr>
              <w:t>.</w:t>
            </w:r>
          </w:p>
          <w:p w14:paraId="260672E6" w14:textId="77777777" w:rsidR="00C84F1A" w:rsidRPr="00534B9F" w:rsidRDefault="00C84F1A" w:rsidP="00E87CE5">
            <w:pPr>
              <w:numPr>
                <w:ilvl w:val="0"/>
                <w:numId w:val="20"/>
              </w:numPr>
              <w:spacing w:line="240" w:lineRule="auto"/>
              <w:ind w:left="256" w:hanging="142"/>
              <w:contextualSpacing/>
              <w:rPr>
                <w:rFonts w:cs="Tahoma"/>
                <w:sz w:val="18"/>
                <w:szCs w:val="18"/>
              </w:rPr>
            </w:pPr>
            <w:r w:rsidRPr="00534B9F">
              <w:rPr>
                <w:rFonts w:cs="Tahoma"/>
                <w:sz w:val="18"/>
                <w:szCs w:val="18"/>
              </w:rPr>
              <w:t>Environmental recovery on major scale and/or over a period of 10-20 years</w:t>
            </w:r>
            <w:r w:rsidR="00462CB0" w:rsidRPr="00534B9F">
              <w:rPr>
                <w:rFonts w:cs="Tahoma"/>
                <w:sz w:val="18"/>
                <w:szCs w:val="18"/>
              </w:rPr>
              <w:t>.</w:t>
            </w:r>
          </w:p>
          <w:p w14:paraId="6072AF54" w14:textId="77777777" w:rsidR="00C84F1A" w:rsidRPr="00534B9F" w:rsidRDefault="00C84F1A" w:rsidP="00E87CE5">
            <w:pPr>
              <w:numPr>
                <w:ilvl w:val="0"/>
                <w:numId w:val="20"/>
              </w:numPr>
              <w:spacing w:line="240" w:lineRule="auto"/>
              <w:ind w:left="256" w:hanging="142"/>
              <w:contextualSpacing/>
              <w:rPr>
                <w:rFonts w:cs="Tahoma"/>
                <w:sz w:val="18"/>
                <w:szCs w:val="18"/>
              </w:rPr>
            </w:pPr>
            <w:r w:rsidRPr="00534B9F">
              <w:rPr>
                <w:rFonts w:cs="Tahoma"/>
                <w:sz w:val="18"/>
                <w:szCs w:val="18"/>
              </w:rPr>
              <w:t>Impacts on a region or multiple municipalities</w:t>
            </w:r>
            <w:r w:rsidR="00462CB0" w:rsidRPr="00534B9F">
              <w:rPr>
                <w:rFonts w:cs="Tahoma"/>
                <w:sz w:val="18"/>
                <w:szCs w:val="18"/>
              </w:rPr>
              <w:t>.</w:t>
            </w:r>
          </w:p>
        </w:tc>
        <w:tc>
          <w:tcPr>
            <w:tcW w:w="2693" w:type="dxa"/>
            <w:shd w:val="clear" w:color="auto" w:fill="CCFFCC"/>
            <w:tcMar>
              <w:top w:w="17" w:type="dxa"/>
              <w:left w:w="17" w:type="dxa"/>
              <w:bottom w:w="17" w:type="dxa"/>
              <w:right w:w="17" w:type="dxa"/>
            </w:tcMar>
            <w:hideMark/>
          </w:tcPr>
          <w:p w14:paraId="2ABD1830" w14:textId="77777777" w:rsidR="00C84F1A" w:rsidRPr="00534B9F" w:rsidRDefault="00C84F1A" w:rsidP="00E87CE5">
            <w:pPr>
              <w:numPr>
                <w:ilvl w:val="0"/>
                <w:numId w:val="20"/>
              </w:numPr>
              <w:spacing w:line="240" w:lineRule="auto"/>
              <w:ind w:left="255" w:hanging="142"/>
              <w:contextualSpacing/>
              <w:rPr>
                <w:rFonts w:cs="Tahoma"/>
                <w:sz w:val="18"/>
                <w:szCs w:val="18"/>
              </w:rPr>
            </w:pPr>
            <w:r w:rsidRPr="00534B9F">
              <w:rPr>
                <w:rFonts w:cs="Tahoma"/>
                <w:sz w:val="18"/>
                <w:szCs w:val="18"/>
              </w:rPr>
              <w:t>Very serious effect on the environment and/or environment suffers long term harm (20</w:t>
            </w:r>
            <w:r w:rsidR="00462CB0" w:rsidRPr="00534B9F">
              <w:rPr>
                <w:rFonts w:cs="Tahoma"/>
                <w:sz w:val="18"/>
                <w:szCs w:val="18"/>
              </w:rPr>
              <w:t>+</w:t>
            </w:r>
            <w:r w:rsidRPr="00534B9F">
              <w:rPr>
                <w:rFonts w:cs="Tahoma"/>
                <w:sz w:val="18"/>
                <w:szCs w:val="18"/>
              </w:rPr>
              <w:t xml:space="preserve"> years)</w:t>
            </w:r>
            <w:r w:rsidR="00462CB0" w:rsidRPr="00534B9F">
              <w:rPr>
                <w:rFonts w:cs="Tahoma"/>
                <w:sz w:val="18"/>
                <w:szCs w:val="18"/>
              </w:rPr>
              <w:t>.</w:t>
            </w:r>
          </w:p>
          <w:p w14:paraId="3355A7C7" w14:textId="77777777" w:rsidR="00C84F1A" w:rsidRPr="00534B9F" w:rsidRDefault="00C84F1A" w:rsidP="00E87CE5">
            <w:pPr>
              <w:numPr>
                <w:ilvl w:val="0"/>
                <w:numId w:val="20"/>
              </w:numPr>
              <w:spacing w:line="240" w:lineRule="auto"/>
              <w:ind w:left="255" w:hanging="142"/>
              <w:contextualSpacing/>
              <w:rPr>
                <w:rFonts w:cs="Tahoma"/>
                <w:sz w:val="18"/>
                <w:szCs w:val="18"/>
              </w:rPr>
            </w:pPr>
            <w:r w:rsidRPr="00534B9F">
              <w:rPr>
                <w:rFonts w:cs="Tahoma"/>
                <w:sz w:val="18"/>
                <w:szCs w:val="18"/>
              </w:rPr>
              <w:t>Environmental recovery on a very critical scale and/or over a long period (</w:t>
            </w:r>
            <w:r w:rsidR="00462CB0" w:rsidRPr="00534B9F">
              <w:rPr>
                <w:rFonts w:cs="Tahoma"/>
                <w:sz w:val="18"/>
                <w:szCs w:val="18"/>
              </w:rPr>
              <w:t>&gt;</w:t>
            </w:r>
            <w:r w:rsidRPr="00534B9F">
              <w:rPr>
                <w:rFonts w:cs="Tahoma"/>
                <w:sz w:val="18"/>
                <w:szCs w:val="18"/>
              </w:rPr>
              <w:t>20 years)</w:t>
            </w:r>
            <w:r w:rsidR="00462CB0" w:rsidRPr="00534B9F">
              <w:rPr>
                <w:rFonts w:cs="Tahoma"/>
                <w:sz w:val="18"/>
                <w:szCs w:val="18"/>
              </w:rPr>
              <w:t>.</w:t>
            </w:r>
          </w:p>
          <w:p w14:paraId="78125BED" w14:textId="77777777" w:rsidR="00C84F1A" w:rsidRPr="00534B9F" w:rsidRDefault="00C84F1A" w:rsidP="00E87CE5">
            <w:pPr>
              <w:numPr>
                <w:ilvl w:val="0"/>
                <w:numId w:val="20"/>
              </w:numPr>
              <w:spacing w:line="240" w:lineRule="auto"/>
              <w:ind w:left="255" w:hanging="142"/>
              <w:contextualSpacing/>
              <w:rPr>
                <w:rFonts w:cs="Tahoma"/>
                <w:sz w:val="18"/>
                <w:szCs w:val="18"/>
              </w:rPr>
            </w:pPr>
            <w:r w:rsidRPr="00534B9F">
              <w:rPr>
                <w:rFonts w:cs="Tahoma"/>
                <w:sz w:val="18"/>
                <w:szCs w:val="18"/>
              </w:rPr>
              <w:t>Impacts on the state or multiple regions</w:t>
            </w:r>
            <w:r w:rsidR="00462CB0" w:rsidRPr="00534B9F">
              <w:rPr>
                <w:rFonts w:cs="Tahoma"/>
                <w:sz w:val="18"/>
                <w:szCs w:val="18"/>
              </w:rPr>
              <w:t>.</w:t>
            </w:r>
          </w:p>
        </w:tc>
      </w:tr>
    </w:tbl>
    <w:p w14:paraId="648789B8" w14:textId="77777777" w:rsidR="00C84F1A" w:rsidRDefault="00C84F1A" w:rsidP="0027616A"/>
    <w:p w14:paraId="3EBB4C0F" w14:textId="77777777" w:rsidR="00845878" w:rsidRDefault="00845878" w:rsidP="0027616A">
      <w:pPr>
        <w:sectPr w:rsidR="00845878" w:rsidSect="00277762">
          <w:headerReference w:type="even" r:id="rId239"/>
          <w:headerReference w:type="default" r:id="rId240"/>
          <w:footerReference w:type="default" r:id="rId241"/>
          <w:headerReference w:type="first" r:id="rId242"/>
          <w:pgSz w:w="16838" w:h="11906" w:orient="landscape" w:code="9"/>
          <w:pgMar w:top="456" w:right="1930" w:bottom="1800" w:left="1440" w:header="994" w:footer="706" w:gutter="0"/>
          <w:cols w:space="708"/>
          <w:docGrid w:linePitch="360"/>
        </w:sectPr>
      </w:pPr>
    </w:p>
    <w:p w14:paraId="3261AAB9" w14:textId="77777777" w:rsidR="006563AB" w:rsidRPr="001212F8" w:rsidRDefault="006563AB" w:rsidP="006563AB">
      <w:pPr>
        <w:pStyle w:val="Heading3"/>
      </w:pPr>
      <w:bookmarkStart w:id="404" w:name="_Toc479764030"/>
      <w:bookmarkStart w:id="405" w:name="_Toc375214591"/>
      <w:r>
        <w:lastRenderedPageBreak/>
        <w:t>Determining Risk Rating</w:t>
      </w:r>
      <w:bookmarkEnd w:id="404"/>
      <w:bookmarkEnd w:id="405"/>
    </w:p>
    <w:p w14:paraId="2D90A8CA" w14:textId="3C0F03AE" w:rsidR="00B02C35" w:rsidRPr="00BA73BE" w:rsidRDefault="00C850F3" w:rsidP="006563AB">
      <w:pPr>
        <w:spacing w:after="240"/>
        <w:ind w:left="0"/>
        <w:rPr>
          <w:rFonts w:cs="Arial"/>
          <w:sz w:val="22"/>
          <w:szCs w:val="22"/>
        </w:rPr>
      </w:pPr>
      <w:r w:rsidRPr="00534B9F">
        <w:rPr>
          <w:rFonts w:cs="Arial"/>
          <w:sz w:val="22"/>
          <w:szCs w:val="22"/>
        </w:rPr>
        <w:t>The risk</w:t>
      </w:r>
      <w:r w:rsidR="006563AB" w:rsidRPr="00534B9F">
        <w:rPr>
          <w:rFonts w:cs="Arial"/>
          <w:sz w:val="22"/>
          <w:szCs w:val="22"/>
        </w:rPr>
        <w:t xml:space="preserve"> is determined by ‘multiplying’</w:t>
      </w:r>
      <w:r w:rsidRPr="00534B9F">
        <w:rPr>
          <w:rFonts w:cs="Arial"/>
          <w:sz w:val="22"/>
          <w:szCs w:val="22"/>
        </w:rPr>
        <w:t xml:space="preserve"> likelihood and consequence</w:t>
      </w:r>
      <w:r w:rsidR="006563AB" w:rsidRPr="00534B9F">
        <w:rPr>
          <w:rFonts w:cs="Arial"/>
          <w:sz w:val="22"/>
          <w:szCs w:val="22"/>
        </w:rPr>
        <w:t xml:space="preserve">, as per </w:t>
      </w:r>
      <w:r w:rsidR="006563AB" w:rsidRPr="004C0F3C">
        <w:rPr>
          <w:rFonts w:cs="Arial"/>
          <w:sz w:val="22"/>
          <w:szCs w:val="22"/>
        </w:rPr>
        <w:t>Table 6.</w:t>
      </w:r>
      <w:r w:rsidR="00681631" w:rsidRPr="004C0F3C">
        <w:rPr>
          <w:rFonts w:cs="Arial"/>
          <w:sz w:val="22"/>
          <w:szCs w:val="22"/>
        </w:rPr>
        <w:t>3</w:t>
      </w:r>
      <w:r w:rsidRPr="004C0F3C">
        <w:rPr>
          <w:rFonts w:cs="Arial"/>
          <w:sz w:val="22"/>
          <w:szCs w:val="22"/>
        </w:rPr>
        <w:t>.</w:t>
      </w:r>
      <w:r w:rsidR="00122864">
        <w:rPr>
          <w:rFonts w:cs="Arial"/>
          <w:sz w:val="22"/>
          <w:szCs w:val="22"/>
        </w:rPr>
        <w:t xml:space="preserve">  </w:t>
      </w:r>
      <w:r w:rsidR="00122864" w:rsidRPr="00BA73BE">
        <w:rPr>
          <w:rFonts w:cs="Arial"/>
          <w:sz w:val="22"/>
          <w:szCs w:val="22"/>
        </w:rPr>
        <w:t>The recommended form of action, escalation and monitoring for each risk level is provided in Table 6.</w:t>
      </w:r>
      <w:r w:rsidR="00122864">
        <w:rPr>
          <w:rFonts w:cs="Arial"/>
          <w:sz w:val="22"/>
          <w:szCs w:val="22"/>
        </w:rPr>
        <w:t>4</w:t>
      </w:r>
      <w:r w:rsidR="00122864" w:rsidRPr="00BA73BE">
        <w:rPr>
          <w:rFonts w:cs="Arial"/>
          <w:sz w:val="22"/>
          <w:szCs w:val="22"/>
        </w:rPr>
        <w:t xml:space="preserve">. </w:t>
      </w:r>
    </w:p>
    <w:p w14:paraId="7ED13363" w14:textId="24FF1658" w:rsidR="006563AB" w:rsidRPr="00534B9F" w:rsidRDefault="006563AB" w:rsidP="006563AB">
      <w:pPr>
        <w:pStyle w:val="TableHeader"/>
        <w:spacing w:after="120"/>
        <w:jc w:val="center"/>
        <w:rPr>
          <w:rFonts w:cs="Tahoma"/>
          <w:sz w:val="20"/>
          <w:szCs w:val="20"/>
        </w:rPr>
      </w:pPr>
      <w:r w:rsidRPr="00534B9F">
        <w:rPr>
          <w:rFonts w:cs="Tahoma"/>
          <w:sz w:val="20"/>
          <w:szCs w:val="20"/>
        </w:rPr>
        <w:t>Table 6.</w:t>
      </w:r>
      <w:r w:rsidR="00681631">
        <w:rPr>
          <w:rFonts w:cs="Tahoma"/>
          <w:sz w:val="20"/>
          <w:szCs w:val="20"/>
        </w:rPr>
        <w:t>3</w:t>
      </w:r>
      <w:r w:rsidR="00143B3B">
        <w:rPr>
          <w:rFonts w:cs="Tahoma"/>
          <w:sz w:val="20"/>
          <w:szCs w:val="20"/>
        </w:rPr>
        <w:t>.</w:t>
      </w:r>
      <w:r w:rsidRPr="00534B9F">
        <w:rPr>
          <w:rFonts w:cs="Tahoma"/>
          <w:sz w:val="20"/>
          <w:szCs w:val="20"/>
        </w:rPr>
        <w:tab/>
      </w:r>
      <w:r w:rsidR="006E173E" w:rsidRPr="00534B9F">
        <w:rPr>
          <w:rFonts w:cs="Tahoma"/>
          <w:sz w:val="20"/>
          <w:szCs w:val="20"/>
        </w:rPr>
        <w:t>R</w:t>
      </w:r>
      <w:r w:rsidRPr="00534B9F">
        <w:rPr>
          <w:rFonts w:cs="Tahoma"/>
          <w:sz w:val="20"/>
          <w:szCs w:val="20"/>
        </w:rPr>
        <w:t xml:space="preserve">isk </w:t>
      </w:r>
      <w:r w:rsidR="006E173E" w:rsidRPr="00534B9F">
        <w:rPr>
          <w:rFonts w:cs="Tahoma"/>
          <w:sz w:val="20"/>
          <w:szCs w:val="20"/>
        </w:rPr>
        <w:t xml:space="preserve">matrix </w:t>
      </w:r>
    </w:p>
    <w:tbl>
      <w:tblPr>
        <w:tblW w:w="8364" w:type="dxa"/>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1843"/>
        <w:gridCol w:w="1559"/>
        <w:gridCol w:w="1335"/>
        <w:gridCol w:w="1209"/>
        <w:gridCol w:w="1284"/>
        <w:gridCol w:w="1134"/>
      </w:tblGrid>
      <w:tr w:rsidR="006563AB" w:rsidRPr="006563AB" w14:paraId="64EF2893" w14:textId="77777777" w:rsidTr="00997EDC">
        <w:tc>
          <w:tcPr>
            <w:tcW w:w="1843" w:type="dxa"/>
            <w:vMerge w:val="restart"/>
            <w:tcBorders>
              <w:top w:val="single" w:sz="4" w:space="0" w:color="auto"/>
              <w:left w:val="single" w:sz="4" w:space="0" w:color="auto"/>
              <w:right w:val="single" w:sz="2" w:space="0" w:color="auto"/>
            </w:tcBorders>
            <w:shd w:val="clear" w:color="auto" w:fill="064EA8"/>
            <w:vAlign w:val="center"/>
          </w:tcPr>
          <w:p w14:paraId="3AAD6975" w14:textId="77777777" w:rsidR="006563AB" w:rsidRPr="00534B9F" w:rsidRDefault="006563AB" w:rsidP="00514376">
            <w:pPr>
              <w:ind w:left="0"/>
              <w:rPr>
                <w:rFonts w:cs="Tahoma"/>
                <w:color w:val="FFFFFF" w:themeColor="background1"/>
                <w:sz w:val="18"/>
                <w:szCs w:val="18"/>
              </w:rPr>
            </w:pPr>
            <w:r w:rsidRPr="00534B9F">
              <w:rPr>
                <w:rFonts w:cs="Tahoma"/>
                <w:color w:val="FFFFFF" w:themeColor="background1"/>
                <w:sz w:val="18"/>
                <w:szCs w:val="18"/>
              </w:rPr>
              <w:t>Consequence</w:t>
            </w:r>
          </w:p>
        </w:tc>
        <w:tc>
          <w:tcPr>
            <w:tcW w:w="6521" w:type="dxa"/>
            <w:gridSpan w:val="5"/>
            <w:tcBorders>
              <w:top w:val="single" w:sz="2" w:space="0" w:color="auto"/>
              <w:left w:val="single" w:sz="2" w:space="0" w:color="auto"/>
              <w:bottom w:val="single" w:sz="2" w:space="0" w:color="auto"/>
              <w:right w:val="single" w:sz="2" w:space="0" w:color="auto"/>
            </w:tcBorders>
            <w:shd w:val="clear" w:color="auto" w:fill="064EA8"/>
          </w:tcPr>
          <w:p w14:paraId="29B37729" w14:textId="77777777" w:rsidR="006563AB" w:rsidRPr="00534B9F" w:rsidRDefault="006563AB" w:rsidP="00514376">
            <w:pPr>
              <w:spacing w:before="60" w:after="60"/>
              <w:ind w:left="0"/>
              <w:jc w:val="center"/>
              <w:rPr>
                <w:rFonts w:cs="Tahoma"/>
                <w:b/>
                <w:color w:val="FFFFFF" w:themeColor="background1"/>
                <w:sz w:val="18"/>
                <w:szCs w:val="18"/>
              </w:rPr>
            </w:pPr>
            <w:r w:rsidRPr="00534B9F">
              <w:rPr>
                <w:rFonts w:cs="Tahoma"/>
                <w:b/>
                <w:color w:val="FFFFFF" w:themeColor="background1"/>
                <w:sz w:val="18"/>
                <w:szCs w:val="18"/>
              </w:rPr>
              <w:t>Likelihood</w:t>
            </w:r>
          </w:p>
        </w:tc>
      </w:tr>
      <w:tr w:rsidR="006563AB" w:rsidRPr="006563AB" w14:paraId="495B3E70" w14:textId="77777777" w:rsidTr="00997EDC">
        <w:tc>
          <w:tcPr>
            <w:tcW w:w="1843" w:type="dxa"/>
            <w:vMerge/>
            <w:tcBorders>
              <w:left w:val="single" w:sz="4" w:space="0" w:color="auto"/>
              <w:bottom w:val="single" w:sz="2" w:space="0" w:color="auto"/>
              <w:right w:val="single" w:sz="2" w:space="0" w:color="auto"/>
            </w:tcBorders>
            <w:shd w:val="clear" w:color="auto" w:fill="064EA8"/>
          </w:tcPr>
          <w:p w14:paraId="45F47096" w14:textId="77777777" w:rsidR="006563AB" w:rsidRPr="00534B9F" w:rsidRDefault="006563AB" w:rsidP="00514376">
            <w:pPr>
              <w:ind w:left="0"/>
              <w:rPr>
                <w:rFonts w:cs="Tahoma"/>
                <w:color w:val="FFFFFF" w:themeColor="background1"/>
              </w:rPr>
            </w:pPr>
          </w:p>
        </w:tc>
        <w:tc>
          <w:tcPr>
            <w:tcW w:w="1559" w:type="dxa"/>
            <w:tcBorders>
              <w:top w:val="nil"/>
              <w:left w:val="single" w:sz="2" w:space="0" w:color="auto"/>
              <w:bottom w:val="single" w:sz="2" w:space="0" w:color="auto"/>
              <w:right w:val="nil"/>
            </w:tcBorders>
            <w:shd w:val="clear" w:color="auto" w:fill="064EA8"/>
            <w:vAlign w:val="center"/>
          </w:tcPr>
          <w:p w14:paraId="4D8FF485" w14:textId="77777777" w:rsidR="006563AB" w:rsidRPr="00534B9F" w:rsidRDefault="006563AB" w:rsidP="00514376">
            <w:pPr>
              <w:spacing w:before="60" w:after="60"/>
              <w:ind w:left="0"/>
              <w:jc w:val="center"/>
              <w:rPr>
                <w:rFonts w:cs="Tahoma"/>
                <w:color w:val="FFFFFF" w:themeColor="background1"/>
              </w:rPr>
            </w:pPr>
            <w:r w:rsidRPr="00534B9F">
              <w:rPr>
                <w:rFonts w:cs="Tahoma"/>
                <w:color w:val="FFFFFF" w:themeColor="background1"/>
                <w:sz w:val="18"/>
                <w:szCs w:val="18"/>
              </w:rPr>
              <w:t>Almost certain</w:t>
            </w:r>
          </w:p>
        </w:tc>
        <w:tc>
          <w:tcPr>
            <w:tcW w:w="1335" w:type="dxa"/>
            <w:tcBorders>
              <w:top w:val="nil"/>
              <w:left w:val="single" w:sz="4" w:space="0" w:color="auto"/>
              <w:bottom w:val="single" w:sz="2" w:space="0" w:color="auto"/>
              <w:right w:val="nil"/>
            </w:tcBorders>
            <w:shd w:val="clear" w:color="auto" w:fill="064EA8"/>
            <w:vAlign w:val="center"/>
          </w:tcPr>
          <w:p w14:paraId="26A47DD7" w14:textId="77777777" w:rsidR="006563AB" w:rsidRPr="00534B9F" w:rsidRDefault="006563AB" w:rsidP="00514376">
            <w:pPr>
              <w:spacing w:before="60" w:after="60"/>
              <w:ind w:left="0"/>
              <w:jc w:val="center"/>
              <w:rPr>
                <w:rFonts w:cs="Tahoma"/>
                <w:color w:val="FFFFFF" w:themeColor="background1"/>
              </w:rPr>
            </w:pPr>
            <w:r w:rsidRPr="00534B9F">
              <w:rPr>
                <w:rFonts w:cs="Tahoma"/>
                <w:color w:val="FFFFFF" w:themeColor="background1"/>
                <w:sz w:val="18"/>
                <w:szCs w:val="18"/>
              </w:rPr>
              <w:t>Likely</w:t>
            </w:r>
          </w:p>
        </w:tc>
        <w:tc>
          <w:tcPr>
            <w:tcW w:w="1209" w:type="dxa"/>
            <w:tcBorders>
              <w:top w:val="nil"/>
              <w:left w:val="single" w:sz="4" w:space="0" w:color="auto"/>
              <w:bottom w:val="single" w:sz="2" w:space="0" w:color="auto"/>
              <w:right w:val="nil"/>
            </w:tcBorders>
            <w:shd w:val="clear" w:color="auto" w:fill="064EA8"/>
            <w:vAlign w:val="center"/>
          </w:tcPr>
          <w:p w14:paraId="0F7C6DAF" w14:textId="77777777" w:rsidR="006563AB" w:rsidRPr="00534B9F" w:rsidRDefault="006563AB" w:rsidP="00514376">
            <w:pPr>
              <w:spacing w:before="60" w:after="60"/>
              <w:ind w:left="0"/>
              <w:jc w:val="center"/>
              <w:rPr>
                <w:rFonts w:cs="Tahoma"/>
                <w:color w:val="FFFFFF" w:themeColor="background1"/>
              </w:rPr>
            </w:pPr>
            <w:r w:rsidRPr="00534B9F">
              <w:rPr>
                <w:rFonts w:cs="Tahoma"/>
                <w:color w:val="FFFFFF" w:themeColor="background1"/>
                <w:sz w:val="18"/>
                <w:szCs w:val="18"/>
              </w:rPr>
              <w:t>Possible</w:t>
            </w:r>
          </w:p>
        </w:tc>
        <w:tc>
          <w:tcPr>
            <w:tcW w:w="1284" w:type="dxa"/>
            <w:tcBorders>
              <w:top w:val="nil"/>
              <w:left w:val="single" w:sz="4" w:space="0" w:color="auto"/>
              <w:bottom w:val="single" w:sz="2" w:space="0" w:color="auto"/>
              <w:right w:val="single" w:sz="2" w:space="0" w:color="auto"/>
            </w:tcBorders>
            <w:shd w:val="clear" w:color="auto" w:fill="064EA8"/>
            <w:vAlign w:val="center"/>
          </w:tcPr>
          <w:p w14:paraId="33889E7A" w14:textId="77777777" w:rsidR="006563AB" w:rsidRPr="00534B9F" w:rsidRDefault="006563AB" w:rsidP="00514376">
            <w:pPr>
              <w:spacing w:before="60" w:after="60"/>
              <w:ind w:left="0"/>
              <w:jc w:val="center"/>
              <w:rPr>
                <w:rFonts w:cs="Tahoma"/>
                <w:color w:val="FFFFFF" w:themeColor="background1"/>
              </w:rPr>
            </w:pPr>
            <w:r w:rsidRPr="00534B9F">
              <w:rPr>
                <w:rFonts w:cs="Tahoma"/>
                <w:color w:val="FFFFFF" w:themeColor="background1"/>
                <w:sz w:val="18"/>
                <w:szCs w:val="18"/>
              </w:rPr>
              <w:t>Unlikely</w:t>
            </w:r>
          </w:p>
        </w:tc>
        <w:tc>
          <w:tcPr>
            <w:tcW w:w="1134" w:type="dxa"/>
            <w:tcBorders>
              <w:top w:val="single" w:sz="2" w:space="0" w:color="auto"/>
              <w:left w:val="single" w:sz="2" w:space="0" w:color="auto"/>
              <w:bottom w:val="single" w:sz="2" w:space="0" w:color="auto"/>
              <w:right w:val="single" w:sz="2" w:space="0" w:color="auto"/>
            </w:tcBorders>
            <w:shd w:val="clear" w:color="auto" w:fill="064EA8"/>
            <w:vAlign w:val="center"/>
          </w:tcPr>
          <w:p w14:paraId="1B34883D" w14:textId="77777777" w:rsidR="006563AB" w:rsidRPr="00534B9F" w:rsidRDefault="006563AB" w:rsidP="00514376">
            <w:pPr>
              <w:spacing w:before="60" w:after="60"/>
              <w:ind w:left="0"/>
              <w:jc w:val="center"/>
              <w:rPr>
                <w:rFonts w:cs="Tahoma"/>
                <w:color w:val="FFFFFF" w:themeColor="background1"/>
              </w:rPr>
            </w:pPr>
            <w:r w:rsidRPr="00534B9F">
              <w:rPr>
                <w:rFonts w:cs="Tahoma"/>
                <w:color w:val="FFFFFF" w:themeColor="background1"/>
                <w:sz w:val="18"/>
                <w:szCs w:val="18"/>
              </w:rPr>
              <w:t>Rare</w:t>
            </w:r>
          </w:p>
        </w:tc>
      </w:tr>
      <w:tr w:rsidR="006563AB" w:rsidRPr="006563AB" w14:paraId="30DB4DE6" w14:textId="77777777" w:rsidTr="00514376">
        <w:tc>
          <w:tcPr>
            <w:tcW w:w="1843" w:type="dxa"/>
            <w:tcBorders>
              <w:top w:val="single" w:sz="2" w:space="0" w:color="auto"/>
              <w:left w:val="single" w:sz="2" w:space="0" w:color="auto"/>
              <w:bottom w:val="single" w:sz="2" w:space="0" w:color="auto"/>
              <w:right w:val="single" w:sz="2" w:space="0" w:color="auto"/>
            </w:tcBorders>
            <w:shd w:val="clear" w:color="auto" w:fill="auto"/>
          </w:tcPr>
          <w:p w14:paraId="4C7723F5" w14:textId="77777777" w:rsidR="006563AB" w:rsidRPr="00534B9F" w:rsidRDefault="006563AB" w:rsidP="00B9037F">
            <w:pPr>
              <w:spacing w:before="40" w:after="40" w:line="240" w:lineRule="auto"/>
              <w:ind w:left="0"/>
              <w:rPr>
                <w:rFonts w:cs="Tahoma"/>
                <w:sz w:val="20"/>
                <w:szCs w:val="20"/>
              </w:rPr>
            </w:pPr>
            <w:r w:rsidRPr="00534B9F">
              <w:rPr>
                <w:rFonts w:cs="Tahoma"/>
                <w:sz w:val="20"/>
                <w:szCs w:val="20"/>
              </w:rPr>
              <w:t>5 – Critical</w:t>
            </w:r>
          </w:p>
        </w:tc>
        <w:tc>
          <w:tcPr>
            <w:tcW w:w="1559" w:type="dxa"/>
            <w:tcBorders>
              <w:top w:val="single" w:sz="2" w:space="0" w:color="auto"/>
              <w:left w:val="single" w:sz="2" w:space="0" w:color="auto"/>
              <w:bottom w:val="single" w:sz="2" w:space="0" w:color="auto"/>
              <w:right w:val="single" w:sz="2" w:space="0" w:color="auto"/>
            </w:tcBorders>
            <w:shd w:val="clear" w:color="auto" w:fill="FF0000"/>
          </w:tcPr>
          <w:p w14:paraId="11AB3C9B" w14:textId="77777777" w:rsidR="006563AB" w:rsidRPr="00534B9F" w:rsidRDefault="006563AB" w:rsidP="00B9037F">
            <w:pPr>
              <w:spacing w:before="40" w:after="40" w:line="240" w:lineRule="auto"/>
              <w:ind w:left="-108" w:firstLine="108"/>
              <w:jc w:val="center"/>
              <w:rPr>
                <w:rFonts w:cs="Tahoma"/>
                <w:sz w:val="20"/>
                <w:szCs w:val="20"/>
              </w:rPr>
            </w:pPr>
            <w:r w:rsidRPr="00534B9F">
              <w:rPr>
                <w:rFonts w:cs="Tahoma"/>
                <w:sz w:val="20"/>
                <w:szCs w:val="20"/>
              </w:rPr>
              <w:t>25</w:t>
            </w:r>
          </w:p>
        </w:tc>
        <w:tc>
          <w:tcPr>
            <w:tcW w:w="1335" w:type="dxa"/>
            <w:tcBorders>
              <w:top w:val="single" w:sz="2" w:space="0" w:color="auto"/>
              <w:left w:val="single" w:sz="2" w:space="0" w:color="auto"/>
              <w:bottom w:val="single" w:sz="2" w:space="0" w:color="auto"/>
              <w:right w:val="single" w:sz="2" w:space="0" w:color="auto"/>
            </w:tcBorders>
            <w:shd w:val="clear" w:color="auto" w:fill="FF0000"/>
          </w:tcPr>
          <w:p w14:paraId="7140CE89"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20</w:t>
            </w:r>
          </w:p>
        </w:tc>
        <w:tc>
          <w:tcPr>
            <w:tcW w:w="1209" w:type="dxa"/>
            <w:tcBorders>
              <w:top w:val="single" w:sz="2" w:space="0" w:color="auto"/>
              <w:left w:val="single" w:sz="2" w:space="0" w:color="auto"/>
              <w:bottom w:val="single" w:sz="2" w:space="0" w:color="auto"/>
              <w:right w:val="single" w:sz="2" w:space="0" w:color="auto"/>
            </w:tcBorders>
            <w:shd w:val="clear" w:color="auto" w:fill="FFFF00"/>
          </w:tcPr>
          <w:p w14:paraId="5E4061DE"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15</w:t>
            </w:r>
          </w:p>
        </w:tc>
        <w:tc>
          <w:tcPr>
            <w:tcW w:w="1284" w:type="dxa"/>
            <w:tcBorders>
              <w:top w:val="single" w:sz="2" w:space="0" w:color="auto"/>
              <w:left w:val="single" w:sz="2" w:space="0" w:color="auto"/>
              <w:bottom w:val="single" w:sz="2" w:space="0" w:color="auto"/>
              <w:right w:val="single" w:sz="2" w:space="0" w:color="auto"/>
            </w:tcBorders>
            <w:shd w:val="clear" w:color="auto" w:fill="95B3D7"/>
          </w:tcPr>
          <w:p w14:paraId="66F7647A"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10</w:t>
            </w:r>
          </w:p>
        </w:tc>
        <w:tc>
          <w:tcPr>
            <w:tcW w:w="1134" w:type="dxa"/>
            <w:tcBorders>
              <w:top w:val="single" w:sz="2" w:space="0" w:color="auto"/>
              <w:left w:val="single" w:sz="2" w:space="0" w:color="auto"/>
              <w:bottom w:val="single" w:sz="2" w:space="0" w:color="auto"/>
              <w:right w:val="single" w:sz="2" w:space="0" w:color="auto"/>
            </w:tcBorders>
            <w:shd w:val="clear" w:color="auto" w:fill="95B3D7"/>
          </w:tcPr>
          <w:p w14:paraId="3BD68C90"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5</w:t>
            </w:r>
          </w:p>
        </w:tc>
      </w:tr>
      <w:tr w:rsidR="006563AB" w:rsidRPr="006563AB" w14:paraId="035F11C4" w14:textId="77777777" w:rsidTr="00514376">
        <w:tc>
          <w:tcPr>
            <w:tcW w:w="1843" w:type="dxa"/>
            <w:tcBorders>
              <w:top w:val="single" w:sz="2" w:space="0" w:color="auto"/>
              <w:left w:val="single" w:sz="2" w:space="0" w:color="auto"/>
              <w:bottom w:val="single" w:sz="2" w:space="0" w:color="auto"/>
              <w:right w:val="single" w:sz="2" w:space="0" w:color="auto"/>
            </w:tcBorders>
            <w:shd w:val="clear" w:color="auto" w:fill="auto"/>
          </w:tcPr>
          <w:p w14:paraId="6848455F" w14:textId="77777777" w:rsidR="006563AB" w:rsidRPr="00534B9F" w:rsidRDefault="006563AB" w:rsidP="00B9037F">
            <w:pPr>
              <w:spacing w:before="40" w:after="40" w:line="240" w:lineRule="auto"/>
              <w:ind w:left="0"/>
              <w:rPr>
                <w:rFonts w:cs="Tahoma"/>
                <w:sz w:val="20"/>
                <w:szCs w:val="20"/>
              </w:rPr>
            </w:pPr>
            <w:r w:rsidRPr="00534B9F">
              <w:rPr>
                <w:rFonts w:cs="Tahoma"/>
                <w:sz w:val="20"/>
                <w:szCs w:val="20"/>
              </w:rPr>
              <w:t>4 – Major</w:t>
            </w:r>
          </w:p>
        </w:tc>
        <w:tc>
          <w:tcPr>
            <w:tcW w:w="1559" w:type="dxa"/>
            <w:tcBorders>
              <w:top w:val="single" w:sz="2" w:space="0" w:color="auto"/>
              <w:left w:val="single" w:sz="2" w:space="0" w:color="auto"/>
              <w:bottom w:val="single" w:sz="2" w:space="0" w:color="auto"/>
              <w:right w:val="single" w:sz="2" w:space="0" w:color="auto"/>
            </w:tcBorders>
            <w:shd w:val="clear" w:color="auto" w:fill="FF0000"/>
          </w:tcPr>
          <w:p w14:paraId="379A3F07"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20</w:t>
            </w:r>
          </w:p>
        </w:tc>
        <w:tc>
          <w:tcPr>
            <w:tcW w:w="1335" w:type="dxa"/>
            <w:tcBorders>
              <w:top w:val="single" w:sz="2" w:space="0" w:color="auto"/>
              <w:left w:val="single" w:sz="2" w:space="0" w:color="auto"/>
              <w:bottom w:val="single" w:sz="2" w:space="0" w:color="auto"/>
              <w:right w:val="single" w:sz="2" w:space="0" w:color="auto"/>
            </w:tcBorders>
            <w:shd w:val="clear" w:color="auto" w:fill="FFFF00"/>
          </w:tcPr>
          <w:p w14:paraId="3370D080"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16</w:t>
            </w:r>
          </w:p>
        </w:tc>
        <w:tc>
          <w:tcPr>
            <w:tcW w:w="1209" w:type="dxa"/>
            <w:tcBorders>
              <w:top w:val="single" w:sz="2" w:space="0" w:color="auto"/>
              <w:left w:val="single" w:sz="2" w:space="0" w:color="auto"/>
              <w:bottom w:val="single" w:sz="2" w:space="0" w:color="auto"/>
              <w:right w:val="single" w:sz="2" w:space="0" w:color="auto"/>
            </w:tcBorders>
            <w:shd w:val="clear" w:color="auto" w:fill="FFFF00"/>
          </w:tcPr>
          <w:p w14:paraId="09FB99FE"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12</w:t>
            </w:r>
          </w:p>
        </w:tc>
        <w:tc>
          <w:tcPr>
            <w:tcW w:w="1284" w:type="dxa"/>
            <w:tcBorders>
              <w:top w:val="single" w:sz="2" w:space="0" w:color="auto"/>
              <w:left w:val="single" w:sz="2" w:space="0" w:color="auto"/>
              <w:bottom w:val="single" w:sz="2" w:space="0" w:color="auto"/>
              <w:right w:val="single" w:sz="2" w:space="0" w:color="auto"/>
            </w:tcBorders>
            <w:shd w:val="clear" w:color="auto" w:fill="95B3D7"/>
          </w:tcPr>
          <w:p w14:paraId="144F506F"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8</w:t>
            </w:r>
          </w:p>
        </w:tc>
        <w:tc>
          <w:tcPr>
            <w:tcW w:w="1134" w:type="dxa"/>
            <w:tcBorders>
              <w:top w:val="single" w:sz="2" w:space="0" w:color="auto"/>
              <w:left w:val="single" w:sz="2" w:space="0" w:color="auto"/>
              <w:bottom w:val="single" w:sz="2" w:space="0" w:color="auto"/>
              <w:right w:val="single" w:sz="2" w:space="0" w:color="auto"/>
            </w:tcBorders>
            <w:shd w:val="clear" w:color="auto" w:fill="66FF66"/>
          </w:tcPr>
          <w:p w14:paraId="41CD7DC7"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4</w:t>
            </w:r>
          </w:p>
        </w:tc>
      </w:tr>
      <w:tr w:rsidR="006563AB" w:rsidRPr="006563AB" w14:paraId="498101A8" w14:textId="77777777" w:rsidTr="00514376">
        <w:tc>
          <w:tcPr>
            <w:tcW w:w="1843" w:type="dxa"/>
            <w:tcBorders>
              <w:top w:val="single" w:sz="2" w:space="0" w:color="auto"/>
              <w:left w:val="single" w:sz="2" w:space="0" w:color="auto"/>
              <w:bottom w:val="single" w:sz="2" w:space="0" w:color="auto"/>
              <w:right w:val="single" w:sz="2" w:space="0" w:color="auto"/>
            </w:tcBorders>
            <w:shd w:val="clear" w:color="auto" w:fill="auto"/>
          </w:tcPr>
          <w:p w14:paraId="713930D7" w14:textId="77777777" w:rsidR="006563AB" w:rsidRPr="00534B9F" w:rsidRDefault="006563AB" w:rsidP="00B9037F">
            <w:pPr>
              <w:spacing w:before="40" w:after="40" w:line="240" w:lineRule="auto"/>
              <w:ind w:left="0"/>
              <w:rPr>
                <w:rFonts w:cs="Tahoma"/>
                <w:sz w:val="20"/>
                <w:szCs w:val="20"/>
              </w:rPr>
            </w:pPr>
            <w:r w:rsidRPr="00534B9F">
              <w:rPr>
                <w:rFonts w:cs="Tahoma"/>
                <w:sz w:val="20"/>
                <w:szCs w:val="20"/>
              </w:rPr>
              <w:t>3 – Moderate</w:t>
            </w:r>
          </w:p>
        </w:tc>
        <w:tc>
          <w:tcPr>
            <w:tcW w:w="1559" w:type="dxa"/>
            <w:tcBorders>
              <w:top w:val="single" w:sz="2" w:space="0" w:color="auto"/>
              <w:left w:val="single" w:sz="2" w:space="0" w:color="auto"/>
              <w:bottom w:val="single" w:sz="2" w:space="0" w:color="auto"/>
              <w:right w:val="single" w:sz="2" w:space="0" w:color="auto"/>
            </w:tcBorders>
            <w:shd w:val="clear" w:color="auto" w:fill="FFFF00"/>
          </w:tcPr>
          <w:p w14:paraId="3A13A17D"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15</w:t>
            </w:r>
          </w:p>
        </w:tc>
        <w:tc>
          <w:tcPr>
            <w:tcW w:w="1335" w:type="dxa"/>
            <w:tcBorders>
              <w:top w:val="single" w:sz="2" w:space="0" w:color="auto"/>
              <w:left w:val="single" w:sz="2" w:space="0" w:color="auto"/>
              <w:bottom w:val="single" w:sz="2" w:space="0" w:color="auto"/>
              <w:right w:val="single" w:sz="2" w:space="0" w:color="auto"/>
            </w:tcBorders>
            <w:shd w:val="clear" w:color="auto" w:fill="FFFF00"/>
          </w:tcPr>
          <w:p w14:paraId="1E271C24"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12</w:t>
            </w:r>
          </w:p>
        </w:tc>
        <w:tc>
          <w:tcPr>
            <w:tcW w:w="1209" w:type="dxa"/>
            <w:tcBorders>
              <w:top w:val="single" w:sz="2" w:space="0" w:color="auto"/>
              <w:left w:val="single" w:sz="2" w:space="0" w:color="auto"/>
              <w:bottom w:val="single" w:sz="2" w:space="0" w:color="auto"/>
              <w:right w:val="single" w:sz="2" w:space="0" w:color="auto"/>
            </w:tcBorders>
            <w:shd w:val="clear" w:color="auto" w:fill="95B3D7"/>
          </w:tcPr>
          <w:p w14:paraId="5D6F61D9"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9</w:t>
            </w:r>
          </w:p>
        </w:tc>
        <w:tc>
          <w:tcPr>
            <w:tcW w:w="1284" w:type="dxa"/>
            <w:tcBorders>
              <w:top w:val="single" w:sz="2" w:space="0" w:color="auto"/>
              <w:left w:val="single" w:sz="2" w:space="0" w:color="auto"/>
              <w:bottom w:val="single" w:sz="2" w:space="0" w:color="auto"/>
              <w:right w:val="single" w:sz="2" w:space="0" w:color="auto"/>
            </w:tcBorders>
            <w:shd w:val="clear" w:color="auto" w:fill="95B3D7"/>
          </w:tcPr>
          <w:p w14:paraId="1509BAB2"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6</w:t>
            </w:r>
          </w:p>
        </w:tc>
        <w:tc>
          <w:tcPr>
            <w:tcW w:w="1134" w:type="dxa"/>
            <w:tcBorders>
              <w:top w:val="single" w:sz="2" w:space="0" w:color="auto"/>
              <w:left w:val="single" w:sz="2" w:space="0" w:color="auto"/>
              <w:bottom w:val="single" w:sz="2" w:space="0" w:color="auto"/>
              <w:right w:val="single" w:sz="2" w:space="0" w:color="auto"/>
            </w:tcBorders>
            <w:shd w:val="clear" w:color="auto" w:fill="66FF66"/>
          </w:tcPr>
          <w:p w14:paraId="314BF19E"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3</w:t>
            </w:r>
          </w:p>
        </w:tc>
      </w:tr>
      <w:tr w:rsidR="006563AB" w:rsidRPr="006563AB" w14:paraId="69B6FBD9" w14:textId="77777777" w:rsidTr="00514376">
        <w:tc>
          <w:tcPr>
            <w:tcW w:w="1843" w:type="dxa"/>
            <w:tcBorders>
              <w:top w:val="single" w:sz="2" w:space="0" w:color="auto"/>
              <w:left w:val="single" w:sz="2" w:space="0" w:color="auto"/>
              <w:bottom w:val="single" w:sz="2" w:space="0" w:color="auto"/>
              <w:right w:val="single" w:sz="2" w:space="0" w:color="auto"/>
            </w:tcBorders>
            <w:shd w:val="clear" w:color="auto" w:fill="auto"/>
          </w:tcPr>
          <w:p w14:paraId="752959E7" w14:textId="77777777" w:rsidR="006563AB" w:rsidRPr="00534B9F" w:rsidRDefault="006563AB" w:rsidP="00B9037F">
            <w:pPr>
              <w:spacing w:before="40" w:after="40" w:line="240" w:lineRule="auto"/>
              <w:ind w:left="0"/>
              <w:rPr>
                <w:rFonts w:cs="Tahoma"/>
                <w:sz w:val="20"/>
                <w:szCs w:val="20"/>
              </w:rPr>
            </w:pPr>
            <w:r w:rsidRPr="00534B9F">
              <w:rPr>
                <w:rFonts w:cs="Tahoma"/>
                <w:sz w:val="20"/>
                <w:szCs w:val="20"/>
              </w:rPr>
              <w:t>2 – Minor</w:t>
            </w:r>
          </w:p>
        </w:tc>
        <w:tc>
          <w:tcPr>
            <w:tcW w:w="1559" w:type="dxa"/>
            <w:tcBorders>
              <w:top w:val="single" w:sz="2" w:space="0" w:color="auto"/>
              <w:left w:val="single" w:sz="2" w:space="0" w:color="auto"/>
              <w:bottom w:val="single" w:sz="2" w:space="0" w:color="auto"/>
              <w:right w:val="single" w:sz="2" w:space="0" w:color="auto"/>
            </w:tcBorders>
            <w:shd w:val="clear" w:color="auto" w:fill="95B3D7"/>
          </w:tcPr>
          <w:p w14:paraId="4E6AE4E2"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10</w:t>
            </w:r>
          </w:p>
        </w:tc>
        <w:tc>
          <w:tcPr>
            <w:tcW w:w="1335" w:type="dxa"/>
            <w:tcBorders>
              <w:top w:val="single" w:sz="2" w:space="0" w:color="auto"/>
              <w:left w:val="single" w:sz="2" w:space="0" w:color="auto"/>
              <w:bottom w:val="single" w:sz="2" w:space="0" w:color="auto"/>
              <w:right w:val="single" w:sz="2" w:space="0" w:color="auto"/>
            </w:tcBorders>
            <w:shd w:val="clear" w:color="auto" w:fill="95B3D7"/>
          </w:tcPr>
          <w:p w14:paraId="75DB9694"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8</w:t>
            </w:r>
          </w:p>
        </w:tc>
        <w:tc>
          <w:tcPr>
            <w:tcW w:w="1209" w:type="dxa"/>
            <w:tcBorders>
              <w:top w:val="single" w:sz="2" w:space="0" w:color="auto"/>
              <w:left w:val="single" w:sz="2" w:space="0" w:color="auto"/>
              <w:bottom w:val="single" w:sz="2" w:space="0" w:color="auto"/>
              <w:right w:val="single" w:sz="2" w:space="0" w:color="auto"/>
            </w:tcBorders>
            <w:shd w:val="clear" w:color="auto" w:fill="95B3D7"/>
          </w:tcPr>
          <w:p w14:paraId="042C9BDD"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6</w:t>
            </w:r>
          </w:p>
        </w:tc>
        <w:tc>
          <w:tcPr>
            <w:tcW w:w="1284" w:type="dxa"/>
            <w:tcBorders>
              <w:top w:val="single" w:sz="2" w:space="0" w:color="auto"/>
              <w:left w:val="single" w:sz="2" w:space="0" w:color="auto"/>
              <w:bottom w:val="single" w:sz="2" w:space="0" w:color="auto"/>
              <w:right w:val="single" w:sz="2" w:space="0" w:color="auto"/>
            </w:tcBorders>
            <w:shd w:val="clear" w:color="auto" w:fill="66FF66"/>
          </w:tcPr>
          <w:p w14:paraId="3E641692"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4</w:t>
            </w:r>
          </w:p>
        </w:tc>
        <w:tc>
          <w:tcPr>
            <w:tcW w:w="1134" w:type="dxa"/>
            <w:tcBorders>
              <w:top w:val="single" w:sz="2" w:space="0" w:color="auto"/>
              <w:left w:val="single" w:sz="2" w:space="0" w:color="auto"/>
              <w:bottom w:val="single" w:sz="2" w:space="0" w:color="auto"/>
              <w:right w:val="single" w:sz="2" w:space="0" w:color="auto"/>
            </w:tcBorders>
            <w:shd w:val="clear" w:color="auto" w:fill="66FF66"/>
          </w:tcPr>
          <w:p w14:paraId="20C2BC1A"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2</w:t>
            </w:r>
          </w:p>
        </w:tc>
      </w:tr>
      <w:tr w:rsidR="006563AB" w:rsidRPr="006563AB" w14:paraId="5F98E520" w14:textId="77777777" w:rsidTr="00514376">
        <w:tc>
          <w:tcPr>
            <w:tcW w:w="1843" w:type="dxa"/>
            <w:tcBorders>
              <w:top w:val="single" w:sz="2" w:space="0" w:color="auto"/>
              <w:left w:val="single" w:sz="2" w:space="0" w:color="auto"/>
              <w:bottom w:val="single" w:sz="2" w:space="0" w:color="auto"/>
              <w:right w:val="single" w:sz="2" w:space="0" w:color="auto"/>
            </w:tcBorders>
            <w:shd w:val="clear" w:color="auto" w:fill="auto"/>
          </w:tcPr>
          <w:p w14:paraId="2BE89BD6" w14:textId="06A4C004" w:rsidR="006563AB" w:rsidRPr="00534B9F" w:rsidRDefault="006563AB" w:rsidP="00B9037F">
            <w:pPr>
              <w:spacing w:before="40" w:after="40" w:line="240" w:lineRule="auto"/>
              <w:ind w:left="0"/>
              <w:rPr>
                <w:rFonts w:cs="Tahoma"/>
                <w:sz w:val="20"/>
                <w:szCs w:val="20"/>
              </w:rPr>
            </w:pPr>
            <w:r w:rsidRPr="00534B9F">
              <w:rPr>
                <w:rFonts w:cs="Tahoma"/>
                <w:sz w:val="20"/>
                <w:szCs w:val="20"/>
              </w:rPr>
              <w:t xml:space="preserve">1 </w:t>
            </w:r>
            <w:r w:rsidR="00B9037F" w:rsidRPr="00534B9F">
              <w:rPr>
                <w:rFonts w:cs="Tahoma"/>
                <w:sz w:val="20"/>
                <w:szCs w:val="20"/>
              </w:rPr>
              <w:t>–</w:t>
            </w:r>
            <w:r w:rsidR="00B9037F">
              <w:rPr>
                <w:rFonts w:cs="Tahoma"/>
                <w:sz w:val="20"/>
                <w:szCs w:val="20"/>
              </w:rPr>
              <w:t xml:space="preserve"> </w:t>
            </w:r>
            <w:r w:rsidRPr="00534B9F">
              <w:rPr>
                <w:rFonts w:cs="Tahoma"/>
                <w:sz w:val="20"/>
                <w:szCs w:val="20"/>
              </w:rPr>
              <w:t>Insignificant</w:t>
            </w:r>
          </w:p>
        </w:tc>
        <w:tc>
          <w:tcPr>
            <w:tcW w:w="1559" w:type="dxa"/>
            <w:tcBorders>
              <w:top w:val="single" w:sz="2" w:space="0" w:color="auto"/>
              <w:left w:val="single" w:sz="2" w:space="0" w:color="auto"/>
              <w:bottom w:val="single" w:sz="2" w:space="0" w:color="auto"/>
              <w:right w:val="single" w:sz="2" w:space="0" w:color="auto"/>
            </w:tcBorders>
            <w:shd w:val="clear" w:color="auto" w:fill="95B3D7"/>
          </w:tcPr>
          <w:p w14:paraId="15AF18B7"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5</w:t>
            </w:r>
          </w:p>
        </w:tc>
        <w:tc>
          <w:tcPr>
            <w:tcW w:w="1335" w:type="dxa"/>
            <w:tcBorders>
              <w:top w:val="single" w:sz="2" w:space="0" w:color="auto"/>
              <w:left w:val="single" w:sz="2" w:space="0" w:color="auto"/>
              <w:bottom w:val="single" w:sz="2" w:space="0" w:color="auto"/>
              <w:right w:val="single" w:sz="2" w:space="0" w:color="auto"/>
            </w:tcBorders>
            <w:shd w:val="clear" w:color="auto" w:fill="66FF66"/>
          </w:tcPr>
          <w:p w14:paraId="7953F241"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4</w:t>
            </w:r>
          </w:p>
        </w:tc>
        <w:tc>
          <w:tcPr>
            <w:tcW w:w="1209" w:type="dxa"/>
            <w:tcBorders>
              <w:top w:val="single" w:sz="2" w:space="0" w:color="auto"/>
              <w:left w:val="single" w:sz="2" w:space="0" w:color="auto"/>
              <w:bottom w:val="single" w:sz="2" w:space="0" w:color="auto"/>
              <w:right w:val="single" w:sz="2" w:space="0" w:color="auto"/>
            </w:tcBorders>
            <w:shd w:val="clear" w:color="auto" w:fill="66FF66"/>
          </w:tcPr>
          <w:p w14:paraId="24819649"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3</w:t>
            </w:r>
          </w:p>
        </w:tc>
        <w:tc>
          <w:tcPr>
            <w:tcW w:w="1284" w:type="dxa"/>
            <w:tcBorders>
              <w:top w:val="single" w:sz="2" w:space="0" w:color="auto"/>
              <w:left w:val="single" w:sz="2" w:space="0" w:color="auto"/>
              <w:bottom w:val="single" w:sz="2" w:space="0" w:color="auto"/>
              <w:right w:val="single" w:sz="2" w:space="0" w:color="auto"/>
            </w:tcBorders>
            <w:shd w:val="clear" w:color="auto" w:fill="66FF66"/>
          </w:tcPr>
          <w:p w14:paraId="1A6F2CF0"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2</w:t>
            </w:r>
          </w:p>
        </w:tc>
        <w:tc>
          <w:tcPr>
            <w:tcW w:w="1134" w:type="dxa"/>
            <w:tcBorders>
              <w:top w:val="single" w:sz="2" w:space="0" w:color="auto"/>
              <w:left w:val="single" w:sz="2" w:space="0" w:color="auto"/>
              <w:bottom w:val="single" w:sz="2" w:space="0" w:color="auto"/>
              <w:right w:val="single" w:sz="2" w:space="0" w:color="auto"/>
            </w:tcBorders>
            <w:shd w:val="clear" w:color="auto" w:fill="66FF66"/>
          </w:tcPr>
          <w:p w14:paraId="361BB26E" w14:textId="77777777" w:rsidR="006563AB" w:rsidRPr="00534B9F" w:rsidRDefault="006563AB" w:rsidP="00B9037F">
            <w:pPr>
              <w:spacing w:before="40" w:after="40" w:line="240" w:lineRule="auto"/>
              <w:ind w:left="0"/>
              <w:jc w:val="center"/>
              <w:rPr>
                <w:rFonts w:cs="Tahoma"/>
                <w:sz w:val="20"/>
                <w:szCs w:val="20"/>
              </w:rPr>
            </w:pPr>
            <w:r w:rsidRPr="00534B9F">
              <w:rPr>
                <w:rFonts w:cs="Tahoma"/>
                <w:sz w:val="20"/>
                <w:szCs w:val="20"/>
              </w:rPr>
              <w:t>1</w:t>
            </w:r>
          </w:p>
        </w:tc>
      </w:tr>
    </w:tbl>
    <w:p w14:paraId="079ADB30" w14:textId="77777777" w:rsidR="006563AB" w:rsidRDefault="006563AB" w:rsidP="006563AB"/>
    <w:p w14:paraId="26A6807E" w14:textId="77777777" w:rsidR="00EC6C7B" w:rsidRDefault="00EC6C7B" w:rsidP="006563AB"/>
    <w:p w14:paraId="6C4F59C1" w14:textId="74FE2DE1" w:rsidR="00EC6C7B" w:rsidRPr="00534B9F" w:rsidRDefault="00EC6C7B" w:rsidP="00EC6C7B">
      <w:pPr>
        <w:pStyle w:val="TableHeader"/>
        <w:spacing w:after="120"/>
        <w:jc w:val="center"/>
        <w:rPr>
          <w:rFonts w:cs="Tahoma"/>
          <w:sz w:val="20"/>
          <w:szCs w:val="20"/>
        </w:rPr>
      </w:pPr>
      <w:r w:rsidRPr="00534B9F">
        <w:rPr>
          <w:rFonts w:cs="Tahoma"/>
          <w:sz w:val="20"/>
          <w:szCs w:val="20"/>
        </w:rPr>
        <w:t>Table 6.</w:t>
      </w:r>
      <w:r>
        <w:rPr>
          <w:rFonts w:cs="Tahoma"/>
          <w:sz w:val="20"/>
          <w:szCs w:val="20"/>
        </w:rPr>
        <w:t>4.</w:t>
      </w:r>
      <w:r w:rsidRPr="00534B9F">
        <w:rPr>
          <w:rFonts w:cs="Tahoma"/>
          <w:sz w:val="20"/>
          <w:szCs w:val="20"/>
        </w:rPr>
        <w:tab/>
        <w:t xml:space="preserve">Recommended actions and reporting requirements for each risk level </w:t>
      </w:r>
    </w:p>
    <w:tbl>
      <w:tblPr>
        <w:tblW w:w="0" w:type="auto"/>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878"/>
        <w:gridCol w:w="1139"/>
        <w:gridCol w:w="3643"/>
        <w:gridCol w:w="2713"/>
      </w:tblGrid>
      <w:tr w:rsidR="00EC6C7B" w:rsidRPr="00A31B45" w14:paraId="2BB6EECE" w14:textId="77777777" w:rsidTr="00F121B9">
        <w:tc>
          <w:tcPr>
            <w:tcW w:w="879" w:type="dxa"/>
            <w:shd w:val="clear" w:color="auto" w:fill="064EA8"/>
          </w:tcPr>
          <w:p w14:paraId="3B333075" w14:textId="77777777" w:rsidR="00EC6C7B" w:rsidRPr="00534B9F" w:rsidRDefault="00EC6C7B" w:rsidP="00F121B9">
            <w:pPr>
              <w:spacing w:before="60" w:after="60"/>
              <w:ind w:left="0"/>
              <w:rPr>
                <w:rFonts w:cs="Tahoma"/>
                <w:color w:val="FFFFFF" w:themeColor="background1"/>
                <w:sz w:val="20"/>
                <w:szCs w:val="20"/>
              </w:rPr>
            </w:pPr>
            <w:r w:rsidRPr="00534B9F">
              <w:rPr>
                <w:rFonts w:cs="Tahoma"/>
                <w:color w:val="FFFFFF" w:themeColor="background1"/>
                <w:sz w:val="20"/>
                <w:szCs w:val="20"/>
              </w:rPr>
              <w:t>Rating</w:t>
            </w:r>
          </w:p>
        </w:tc>
        <w:tc>
          <w:tcPr>
            <w:tcW w:w="1106" w:type="dxa"/>
            <w:shd w:val="clear" w:color="auto" w:fill="064EA8"/>
          </w:tcPr>
          <w:p w14:paraId="35D6CF32" w14:textId="77777777" w:rsidR="00EC6C7B" w:rsidRPr="00534B9F" w:rsidRDefault="00EC6C7B" w:rsidP="00F121B9">
            <w:pPr>
              <w:spacing w:before="60" w:after="60"/>
              <w:ind w:left="0"/>
              <w:rPr>
                <w:rFonts w:cs="Tahoma"/>
                <w:color w:val="FFFFFF" w:themeColor="background1"/>
                <w:sz w:val="20"/>
                <w:szCs w:val="20"/>
              </w:rPr>
            </w:pPr>
            <w:r w:rsidRPr="00534B9F">
              <w:rPr>
                <w:rFonts w:cs="Tahoma"/>
                <w:color w:val="FFFFFF" w:themeColor="background1"/>
                <w:sz w:val="20"/>
                <w:szCs w:val="20"/>
              </w:rPr>
              <w:t>Rating level</w:t>
            </w:r>
          </w:p>
        </w:tc>
        <w:tc>
          <w:tcPr>
            <w:tcW w:w="3666" w:type="dxa"/>
            <w:shd w:val="clear" w:color="auto" w:fill="064EA8"/>
          </w:tcPr>
          <w:p w14:paraId="0CD79113" w14:textId="77777777" w:rsidR="00EC6C7B" w:rsidRPr="00534B9F" w:rsidRDefault="00EC6C7B" w:rsidP="00F121B9">
            <w:pPr>
              <w:spacing w:before="60" w:after="60"/>
              <w:ind w:left="0"/>
              <w:rPr>
                <w:rFonts w:cs="Tahoma"/>
                <w:color w:val="FFFFFF" w:themeColor="background1"/>
                <w:sz w:val="20"/>
                <w:szCs w:val="20"/>
              </w:rPr>
            </w:pPr>
            <w:r w:rsidRPr="00534B9F">
              <w:rPr>
                <w:rFonts w:cs="Tahoma"/>
                <w:color w:val="FFFFFF" w:themeColor="background1"/>
                <w:sz w:val="20"/>
                <w:szCs w:val="20"/>
              </w:rPr>
              <w:t>Recommended action</w:t>
            </w:r>
          </w:p>
        </w:tc>
        <w:tc>
          <w:tcPr>
            <w:tcW w:w="2722" w:type="dxa"/>
            <w:shd w:val="clear" w:color="auto" w:fill="064EA8"/>
          </w:tcPr>
          <w:p w14:paraId="44E54C8F" w14:textId="77777777" w:rsidR="00EC6C7B" w:rsidRPr="00534B9F" w:rsidRDefault="00EC6C7B" w:rsidP="00F121B9">
            <w:pPr>
              <w:spacing w:before="60" w:after="60"/>
              <w:ind w:left="0"/>
              <w:rPr>
                <w:rFonts w:cs="Tahoma"/>
                <w:color w:val="FFFFFF" w:themeColor="background1"/>
                <w:sz w:val="20"/>
                <w:szCs w:val="20"/>
              </w:rPr>
            </w:pPr>
            <w:r w:rsidRPr="00534B9F">
              <w:rPr>
                <w:rFonts w:cs="Tahoma"/>
                <w:color w:val="FFFFFF" w:themeColor="background1"/>
                <w:sz w:val="20"/>
                <w:szCs w:val="20"/>
              </w:rPr>
              <w:t>Reporting requirements</w:t>
            </w:r>
          </w:p>
        </w:tc>
      </w:tr>
      <w:tr w:rsidR="00EC6C7B" w:rsidRPr="00A31B45" w14:paraId="393C95AD" w14:textId="77777777" w:rsidTr="00F121B9">
        <w:tc>
          <w:tcPr>
            <w:tcW w:w="879" w:type="dxa"/>
            <w:shd w:val="clear" w:color="auto" w:fill="FF0000"/>
          </w:tcPr>
          <w:p w14:paraId="23F41B0C" w14:textId="77777777" w:rsidR="00EC6C7B" w:rsidRPr="00534B9F" w:rsidRDefault="00EC6C7B" w:rsidP="00F121B9">
            <w:pPr>
              <w:spacing w:before="60" w:after="60"/>
              <w:ind w:left="0"/>
              <w:rPr>
                <w:rFonts w:cs="Tahoma"/>
                <w:sz w:val="20"/>
                <w:szCs w:val="20"/>
              </w:rPr>
            </w:pPr>
            <w:r w:rsidRPr="00534B9F">
              <w:rPr>
                <w:rFonts w:cs="Tahoma"/>
                <w:sz w:val="20"/>
                <w:szCs w:val="20"/>
              </w:rPr>
              <w:t>20-25</w:t>
            </w:r>
          </w:p>
        </w:tc>
        <w:tc>
          <w:tcPr>
            <w:tcW w:w="1106" w:type="dxa"/>
            <w:shd w:val="clear" w:color="auto" w:fill="FF0000"/>
          </w:tcPr>
          <w:p w14:paraId="66BE5667" w14:textId="77777777" w:rsidR="00EC6C7B" w:rsidRPr="00534B9F" w:rsidRDefault="00EC6C7B" w:rsidP="00F121B9">
            <w:pPr>
              <w:spacing w:before="60" w:after="60"/>
              <w:ind w:left="0"/>
              <w:rPr>
                <w:rFonts w:cs="Tahoma"/>
                <w:sz w:val="20"/>
                <w:szCs w:val="20"/>
              </w:rPr>
            </w:pPr>
            <w:r w:rsidRPr="00534B9F">
              <w:rPr>
                <w:rFonts w:cs="Tahoma"/>
                <w:sz w:val="20"/>
                <w:szCs w:val="20"/>
              </w:rPr>
              <w:t>High</w:t>
            </w:r>
          </w:p>
        </w:tc>
        <w:tc>
          <w:tcPr>
            <w:tcW w:w="3666" w:type="dxa"/>
            <w:shd w:val="clear" w:color="auto" w:fill="FF0000"/>
          </w:tcPr>
          <w:p w14:paraId="2F058C5A" w14:textId="77777777" w:rsidR="00EC6C7B" w:rsidRPr="00534B9F" w:rsidRDefault="00EC6C7B" w:rsidP="00F121B9">
            <w:pPr>
              <w:spacing w:before="60" w:after="60"/>
              <w:ind w:left="0"/>
              <w:rPr>
                <w:rFonts w:cs="Tahoma"/>
                <w:sz w:val="20"/>
                <w:szCs w:val="20"/>
              </w:rPr>
            </w:pPr>
            <w:r w:rsidRPr="00534B9F">
              <w:rPr>
                <w:rFonts w:cs="Tahoma"/>
                <w:sz w:val="20"/>
                <w:szCs w:val="20"/>
              </w:rPr>
              <w:t xml:space="preserve">Highest priority in research, planning, decision-making, allocation of resources, treating and monitoring. </w:t>
            </w:r>
          </w:p>
          <w:p w14:paraId="02E637DC" w14:textId="77777777" w:rsidR="00EC6C7B" w:rsidRPr="00534B9F" w:rsidRDefault="00EC6C7B" w:rsidP="00F121B9">
            <w:pPr>
              <w:spacing w:before="60" w:after="60"/>
              <w:ind w:left="0"/>
              <w:rPr>
                <w:rFonts w:cs="Tahoma"/>
                <w:sz w:val="20"/>
                <w:szCs w:val="20"/>
              </w:rPr>
            </w:pPr>
            <w:r w:rsidRPr="00534B9F">
              <w:rPr>
                <w:rFonts w:cs="Tahoma"/>
                <w:sz w:val="20"/>
                <w:szCs w:val="20"/>
              </w:rPr>
              <w:t>Immediate action required by the Executive Manager.</w:t>
            </w:r>
          </w:p>
          <w:p w14:paraId="54F99A42" w14:textId="77777777" w:rsidR="00EC6C7B" w:rsidRPr="00534B9F" w:rsidRDefault="00EC6C7B" w:rsidP="00F121B9">
            <w:pPr>
              <w:spacing w:before="60" w:after="60"/>
              <w:ind w:left="0"/>
              <w:rPr>
                <w:rFonts w:cs="Tahoma"/>
                <w:sz w:val="20"/>
                <w:szCs w:val="20"/>
              </w:rPr>
            </w:pPr>
            <w:r w:rsidRPr="00534B9F">
              <w:rPr>
                <w:rFonts w:cs="Tahoma"/>
                <w:sz w:val="20"/>
                <w:szCs w:val="20"/>
              </w:rPr>
              <w:t xml:space="preserve">Active Management response required. </w:t>
            </w:r>
          </w:p>
        </w:tc>
        <w:tc>
          <w:tcPr>
            <w:tcW w:w="2722" w:type="dxa"/>
            <w:shd w:val="clear" w:color="auto" w:fill="FF0000"/>
          </w:tcPr>
          <w:p w14:paraId="069FBDAF" w14:textId="77777777" w:rsidR="00EC6C7B" w:rsidRPr="00534B9F" w:rsidRDefault="00EC6C7B" w:rsidP="00F121B9">
            <w:pPr>
              <w:spacing w:before="60" w:after="60"/>
              <w:ind w:left="0"/>
              <w:rPr>
                <w:rFonts w:cs="Tahoma"/>
                <w:sz w:val="20"/>
                <w:szCs w:val="20"/>
              </w:rPr>
            </w:pPr>
            <w:r w:rsidRPr="00534B9F">
              <w:rPr>
                <w:rFonts w:cs="Tahoma"/>
                <w:sz w:val="20"/>
                <w:szCs w:val="20"/>
              </w:rPr>
              <w:t xml:space="preserve">The Governing Body (i.e., Steering Committee or Board) must review all high-rated risks. Consideration should be given by Programs/Projects for the inclusion of all high-rated risks in the Division’s risk register. </w:t>
            </w:r>
          </w:p>
        </w:tc>
      </w:tr>
      <w:tr w:rsidR="00EC6C7B" w:rsidRPr="00A31B45" w14:paraId="660195BE" w14:textId="77777777" w:rsidTr="00F121B9">
        <w:tc>
          <w:tcPr>
            <w:tcW w:w="879" w:type="dxa"/>
            <w:shd w:val="clear" w:color="auto" w:fill="FFFF00"/>
          </w:tcPr>
          <w:p w14:paraId="6446E30A" w14:textId="77777777" w:rsidR="00EC6C7B" w:rsidRPr="00534B9F" w:rsidRDefault="00EC6C7B" w:rsidP="00F121B9">
            <w:pPr>
              <w:spacing w:before="60" w:after="60"/>
              <w:ind w:left="0"/>
              <w:rPr>
                <w:rFonts w:cs="Tahoma"/>
                <w:sz w:val="20"/>
                <w:szCs w:val="20"/>
              </w:rPr>
            </w:pPr>
            <w:r w:rsidRPr="00534B9F">
              <w:rPr>
                <w:rFonts w:cs="Tahoma"/>
                <w:sz w:val="20"/>
                <w:szCs w:val="20"/>
              </w:rPr>
              <w:t>12-16</w:t>
            </w:r>
          </w:p>
        </w:tc>
        <w:tc>
          <w:tcPr>
            <w:tcW w:w="1106" w:type="dxa"/>
            <w:shd w:val="clear" w:color="auto" w:fill="FFFF00"/>
          </w:tcPr>
          <w:p w14:paraId="0E80E4A2" w14:textId="77777777" w:rsidR="00EC6C7B" w:rsidRPr="00534B9F" w:rsidRDefault="00EC6C7B" w:rsidP="00F121B9">
            <w:pPr>
              <w:spacing w:before="60" w:after="60"/>
              <w:ind w:left="0"/>
              <w:rPr>
                <w:rFonts w:cs="Tahoma"/>
                <w:sz w:val="20"/>
                <w:szCs w:val="20"/>
              </w:rPr>
            </w:pPr>
            <w:r w:rsidRPr="00534B9F">
              <w:rPr>
                <w:rFonts w:cs="Tahoma"/>
                <w:sz w:val="20"/>
                <w:szCs w:val="20"/>
              </w:rPr>
              <w:t>Significant</w:t>
            </w:r>
          </w:p>
        </w:tc>
        <w:tc>
          <w:tcPr>
            <w:tcW w:w="3666" w:type="dxa"/>
            <w:shd w:val="clear" w:color="auto" w:fill="FFFF00"/>
          </w:tcPr>
          <w:p w14:paraId="01CFC0D8" w14:textId="77777777" w:rsidR="00EC6C7B" w:rsidRPr="00534B9F" w:rsidRDefault="00EC6C7B" w:rsidP="00F121B9">
            <w:pPr>
              <w:spacing w:before="60" w:after="60"/>
              <w:ind w:left="0"/>
              <w:rPr>
                <w:rFonts w:cs="Tahoma"/>
                <w:sz w:val="20"/>
                <w:szCs w:val="20"/>
              </w:rPr>
            </w:pPr>
            <w:r w:rsidRPr="00534B9F">
              <w:rPr>
                <w:rFonts w:cs="Tahoma"/>
                <w:sz w:val="20"/>
                <w:szCs w:val="20"/>
              </w:rPr>
              <w:t xml:space="preserve">High priority in planning, allocation of resources, treatment plans and monitoring. </w:t>
            </w:r>
          </w:p>
          <w:p w14:paraId="1A25D578" w14:textId="77777777" w:rsidR="00EC6C7B" w:rsidRPr="00534B9F" w:rsidRDefault="00EC6C7B" w:rsidP="00F121B9">
            <w:pPr>
              <w:spacing w:before="60" w:after="60"/>
              <w:ind w:left="0"/>
              <w:rPr>
                <w:rFonts w:cs="Tahoma"/>
                <w:sz w:val="20"/>
                <w:szCs w:val="20"/>
              </w:rPr>
            </w:pPr>
            <w:r w:rsidRPr="00534B9F">
              <w:rPr>
                <w:rFonts w:cs="Tahoma"/>
                <w:sz w:val="20"/>
                <w:szCs w:val="20"/>
              </w:rPr>
              <w:t>Action required by the Executive Manager. Regular monitoring response required.</w:t>
            </w:r>
          </w:p>
        </w:tc>
        <w:tc>
          <w:tcPr>
            <w:tcW w:w="2722" w:type="dxa"/>
            <w:shd w:val="clear" w:color="auto" w:fill="FFFF00"/>
          </w:tcPr>
          <w:p w14:paraId="387B1C83" w14:textId="77777777" w:rsidR="00EC6C7B" w:rsidRPr="00534B9F" w:rsidRDefault="00EC6C7B" w:rsidP="00F121B9">
            <w:pPr>
              <w:spacing w:before="60" w:after="60"/>
              <w:ind w:left="0"/>
              <w:rPr>
                <w:rFonts w:cs="Tahoma"/>
                <w:sz w:val="20"/>
                <w:szCs w:val="20"/>
              </w:rPr>
            </w:pPr>
            <w:r w:rsidRPr="00534B9F">
              <w:rPr>
                <w:rFonts w:cs="Tahoma"/>
                <w:sz w:val="20"/>
                <w:szCs w:val="20"/>
              </w:rPr>
              <w:t>The Governing Body (i.e., Steering Committee or Board) must review all significant-rated risks.</w:t>
            </w:r>
          </w:p>
        </w:tc>
      </w:tr>
      <w:tr w:rsidR="00EC6C7B" w:rsidRPr="00A31B45" w14:paraId="00570FED" w14:textId="77777777" w:rsidTr="00F121B9">
        <w:tc>
          <w:tcPr>
            <w:tcW w:w="879" w:type="dxa"/>
            <w:shd w:val="clear" w:color="auto" w:fill="95B3D7"/>
          </w:tcPr>
          <w:p w14:paraId="65DA9727" w14:textId="77777777" w:rsidR="00EC6C7B" w:rsidRPr="00534B9F" w:rsidRDefault="00EC6C7B" w:rsidP="00F121B9">
            <w:pPr>
              <w:spacing w:before="60" w:after="60"/>
              <w:ind w:left="0"/>
              <w:rPr>
                <w:rFonts w:cs="Tahoma"/>
                <w:sz w:val="20"/>
                <w:szCs w:val="20"/>
              </w:rPr>
            </w:pPr>
            <w:r w:rsidRPr="00534B9F">
              <w:rPr>
                <w:rFonts w:cs="Tahoma"/>
                <w:sz w:val="20"/>
                <w:szCs w:val="20"/>
              </w:rPr>
              <w:t>5-10</w:t>
            </w:r>
          </w:p>
        </w:tc>
        <w:tc>
          <w:tcPr>
            <w:tcW w:w="1106" w:type="dxa"/>
            <w:shd w:val="clear" w:color="auto" w:fill="95B3D7"/>
          </w:tcPr>
          <w:p w14:paraId="0DE59A0C" w14:textId="77777777" w:rsidR="00EC6C7B" w:rsidRPr="00534B9F" w:rsidRDefault="00EC6C7B" w:rsidP="00F121B9">
            <w:pPr>
              <w:spacing w:before="60" w:after="60"/>
              <w:ind w:left="0"/>
              <w:rPr>
                <w:rFonts w:cs="Tahoma"/>
                <w:sz w:val="20"/>
                <w:szCs w:val="20"/>
              </w:rPr>
            </w:pPr>
            <w:r w:rsidRPr="00534B9F">
              <w:rPr>
                <w:rFonts w:cs="Tahoma"/>
                <w:sz w:val="20"/>
                <w:szCs w:val="20"/>
              </w:rPr>
              <w:t>Medium</w:t>
            </w:r>
          </w:p>
        </w:tc>
        <w:tc>
          <w:tcPr>
            <w:tcW w:w="3666" w:type="dxa"/>
            <w:shd w:val="clear" w:color="auto" w:fill="95B3D7"/>
          </w:tcPr>
          <w:p w14:paraId="3C5380E5" w14:textId="77777777" w:rsidR="00EC6C7B" w:rsidRPr="00534B9F" w:rsidRDefault="00EC6C7B" w:rsidP="00F121B9">
            <w:pPr>
              <w:spacing w:before="60" w:after="60"/>
              <w:ind w:left="0"/>
              <w:rPr>
                <w:rFonts w:cs="Tahoma"/>
                <w:sz w:val="20"/>
                <w:szCs w:val="20"/>
              </w:rPr>
            </w:pPr>
            <w:r w:rsidRPr="00534B9F">
              <w:rPr>
                <w:rFonts w:cs="Tahoma"/>
                <w:sz w:val="20"/>
                <w:szCs w:val="20"/>
              </w:rPr>
              <w:t xml:space="preserve">Existing controls, treatment plans and monitoring can be managed within existing operational routines.  Action required by the relevant Executive Manager and the Manager of the risk. Periodic monitoring required. </w:t>
            </w:r>
          </w:p>
        </w:tc>
        <w:tc>
          <w:tcPr>
            <w:tcW w:w="2722" w:type="dxa"/>
            <w:shd w:val="clear" w:color="auto" w:fill="95B3D7"/>
          </w:tcPr>
          <w:p w14:paraId="6A84B66B" w14:textId="77777777" w:rsidR="00EC6C7B" w:rsidRPr="00534B9F" w:rsidRDefault="00EC6C7B" w:rsidP="00F121B9">
            <w:pPr>
              <w:spacing w:before="60" w:after="60"/>
              <w:ind w:left="0"/>
              <w:rPr>
                <w:rFonts w:cs="Tahoma"/>
                <w:sz w:val="20"/>
                <w:szCs w:val="20"/>
              </w:rPr>
            </w:pPr>
            <w:r w:rsidRPr="00534B9F">
              <w:rPr>
                <w:rFonts w:cs="Tahoma"/>
                <w:sz w:val="20"/>
                <w:szCs w:val="20"/>
              </w:rPr>
              <w:t>The Program/Project will review all medium-rated risks and determine appropriate actions to lower the target residual risk.</w:t>
            </w:r>
          </w:p>
        </w:tc>
      </w:tr>
      <w:tr w:rsidR="00EC6C7B" w:rsidRPr="00A31B45" w14:paraId="5E24804E" w14:textId="77777777" w:rsidTr="00F121B9">
        <w:tc>
          <w:tcPr>
            <w:tcW w:w="879" w:type="dxa"/>
            <w:shd w:val="clear" w:color="auto" w:fill="66FF66"/>
          </w:tcPr>
          <w:p w14:paraId="270A9D8A" w14:textId="77777777" w:rsidR="00EC6C7B" w:rsidRPr="00534B9F" w:rsidRDefault="00EC6C7B" w:rsidP="00F121B9">
            <w:pPr>
              <w:spacing w:before="60" w:after="60"/>
              <w:ind w:left="0"/>
              <w:rPr>
                <w:rFonts w:cs="Tahoma"/>
                <w:sz w:val="20"/>
                <w:szCs w:val="20"/>
              </w:rPr>
            </w:pPr>
            <w:r w:rsidRPr="00534B9F">
              <w:rPr>
                <w:rFonts w:cs="Tahoma"/>
                <w:sz w:val="20"/>
                <w:szCs w:val="20"/>
              </w:rPr>
              <w:t>1-4</w:t>
            </w:r>
          </w:p>
        </w:tc>
        <w:tc>
          <w:tcPr>
            <w:tcW w:w="1106" w:type="dxa"/>
            <w:shd w:val="clear" w:color="auto" w:fill="66FF66"/>
          </w:tcPr>
          <w:p w14:paraId="5D4A7194" w14:textId="77777777" w:rsidR="00EC6C7B" w:rsidRPr="00534B9F" w:rsidRDefault="00EC6C7B" w:rsidP="00F121B9">
            <w:pPr>
              <w:spacing w:before="60" w:after="60"/>
              <w:ind w:left="0"/>
              <w:rPr>
                <w:rFonts w:cs="Tahoma"/>
                <w:sz w:val="20"/>
                <w:szCs w:val="20"/>
              </w:rPr>
            </w:pPr>
            <w:r w:rsidRPr="00534B9F">
              <w:rPr>
                <w:rFonts w:cs="Tahoma"/>
                <w:sz w:val="20"/>
                <w:szCs w:val="20"/>
              </w:rPr>
              <w:t>Low</w:t>
            </w:r>
          </w:p>
        </w:tc>
        <w:tc>
          <w:tcPr>
            <w:tcW w:w="3666" w:type="dxa"/>
            <w:shd w:val="clear" w:color="auto" w:fill="66FF66"/>
          </w:tcPr>
          <w:p w14:paraId="0BF416B5" w14:textId="77777777" w:rsidR="00EC6C7B" w:rsidRPr="00534B9F" w:rsidRDefault="00EC6C7B" w:rsidP="00F121B9">
            <w:pPr>
              <w:spacing w:before="60" w:after="60"/>
              <w:ind w:left="0"/>
              <w:rPr>
                <w:rFonts w:cs="Tahoma"/>
                <w:sz w:val="20"/>
                <w:szCs w:val="20"/>
              </w:rPr>
            </w:pPr>
            <w:r w:rsidRPr="00534B9F">
              <w:rPr>
                <w:rFonts w:cs="Tahoma"/>
                <w:sz w:val="20"/>
                <w:szCs w:val="20"/>
              </w:rPr>
              <w:t xml:space="preserve">It is expected that the existing controls are effective with minor additional action required. </w:t>
            </w:r>
          </w:p>
          <w:p w14:paraId="2E17CC5C" w14:textId="77777777" w:rsidR="00EC6C7B" w:rsidRPr="00534B9F" w:rsidRDefault="00EC6C7B" w:rsidP="00F121B9">
            <w:pPr>
              <w:spacing w:before="60" w:after="60"/>
              <w:ind w:left="0"/>
              <w:rPr>
                <w:rFonts w:cs="Tahoma"/>
                <w:sz w:val="20"/>
                <w:szCs w:val="20"/>
              </w:rPr>
            </w:pPr>
            <w:r w:rsidRPr="00534B9F">
              <w:rPr>
                <w:rFonts w:cs="Tahoma"/>
                <w:sz w:val="20"/>
                <w:szCs w:val="20"/>
              </w:rPr>
              <w:t>Routine day-to-day management required by the Manager of the risk.</w:t>
            </w:r>
          </w:p>
        </w:tc>
        <w:tc>
          <w:tcPr>
            <w:tcW w:w="2722" w:type="dxa"/>
            <w:shd w:val="clear" w:color="auto" w:fill="66FF66"/>
          </w:tcPr>
          <w:p w14:paraId="6207BE83" w14:textId="77777777" w:rsidR="00EC6C7B" w:rsidRPr="00534B9F" w:rsidRDefault="00EC6C7B" w:rsidP="00F121B9">
            <w:pPr>
              <w:spacing w:before="60" w:after="60"/>
              <w:ind w:left="0"/>
              <w:rPr>
                <w:rFonts w:cs="Tahoma"/>
                <w:sz w:val="20"/>
                <w:szCs w:val="20"/>
              </w:rPr>
            </w:pPr>
            <w:r w:rsidRPr="00534B9F">
              <w:rPr>
                <w:rFonts w:cs="Tahoma"/>
                <w:sz w:val="20"/>
                <w:szCs w:val="20"/>
              </w:rPr>
              <w:t>The Program/Project will review all low-rated risks and determine appropriate controls and monitoring.</w:t>
            </w:r>
          </w:p>
        </w:tc>
      </w:tr>
    </w:tbl>
    <w:p w14:paraId="5C9C1E9D" w14:textId="77777777" w:rsidR="00EC6C7B" w:rsidRDefault="00EC6C7B" w:rsidP="006563AB"/>
    <w:p w14:paraId="78B74215" w14:textId="77777777" w:rsidR="00B4409F" w:rsidRPr="00B03966" w:rsidRDefault="00B4409F" w:rsidP="00B03966">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406" w:name="_Toc479764031"/>
      <w:bookmarkStart w:id="407" w:name="_Ref353698530"/>
      <w:bookmarkStart w:id="408" w:name="_Toc375214592"/>
      <w:r w:rsidRPr="00B03966">
        <w:rPr>
          <w:rFonts w:cs="Times New Roman"/>
          <w:iCs w:val="0"/>
          <w:color w:val="064EA8"/>
          <w:szCs w:val="26"/>
          <w:lang w:eastAsia="en-US"/>
        </w:rPr>
        <w:lastRenderedPageBreak/>
        <w:t>Risk Evaluation</w:t>
      </w:r>
      <w:bookmarkEnd w:id="406"/>
      <w:bookmarkEnd w:id="407"/>
      <w:bookmarkEnd w:id="408"/>
    </w:p>
    <w:p w14:paraId="1156D72A" w14:textId="172655AF" w:rsidR="00122864" w:rsidRPr="00BA73BE" w:rsidRDefault="00122864" w:rsidP="00122864">
      <w:pPr>
        <w:spacing w:after="240" w:line="240" w:lineRule="auto"/>
        <w:ind w:left="0"/>
        <w:rPr>
          <w:rFonts w:cs="Arial"/>
          <w:sz w:val="22"/>
          <w:szCs w:val="22"/>
        </w:rPr>
      </w:pPr>
      <w:r w:rsidRPr="00534B9F">
        <w:rPr>
          <w:rFonts w:cs="Arial"/>
          <w:sz w:val="22"/>
          <w:szCs w:val="22"/>
        </w:rPr>
        <w:t xml:space="preserve">Once the risk rating has been determined, the risk must be evaluated. </w:t>
      </w:r>
      <w:r w:rsidRPr="00BA73BE">
        <w:rPr>
          <w:rFonts w:cs="Arial"/>
          <w:sz w:val="22"/>
          <w:szCs w:val="22"/>
        </w:rPr>
        <w:t>Table 6.</w:t>
      </w:r>
      <w:r>
        <w:rPr>
          <w:rFonts w:cs="Arial"/>
          <w:sz w:val="22"/>
          <w:szCs w:val="22"/>
        </w:rPr>
        <w:t>5</w:t>
      </w:r>
      <w:r w:rsidRPr="00BA73BE">
        <w:rPr>
          <w:rFonts w:cs="Arial"/>
          <w:sz w:val="22"/>
          <w:szCs w:val="22"/>
        </w:rPr>
        <w:t xml:space="preserve"> outlines the appropriate management response and the activities required based upon the risk levels identified in Table 6.</w:t>
      </w:r>
      <w:r>
        <w:rPr>
          <w:rFonts w:cs="Arial"/>
          <w:sz w:val="22"/>
          <w:szCs w:val="22"/>
        </w:rPr>
        <w:t>4</w:t>
      </w:r>
      <w:r w:rsidRPr="00BA73BE">
        <w:rPr>
          <w:rFonts w:cs="Arial"/>
          <w:sz w:val="22"/>
          <w:szCs w:val="22"/>
        </w:rPr>
        <w:t>.</w:t>
      </w:r>
    </w:p>
    <w:p w14:paraId="4B892C2A" w14:textId="653F99B8" w:rsidR="00122864" w:rsidRPr="009A7589" w:rsidRDefault="00122864" w:rsidP="00122864">
      <w:pPr>
        <w:pStyle w:val="TableHeader"/>
        <w:spacing w:after="120"/>
        <w:jc w:val="center"/>
        <w:rPr>
          <w:rFonts w:cs="Tahoma"/>
          <w:sz w:val="20"/>
          <w:szCs w:val="20"/>
        </w:rPr>
      </w:pPr>
      <w:r w:rsidRPr="009A7589">
        <w:rPr>
          <w:rFonts w:cs="Tahoma"/>
          <w:sz w:val="20"/>
          <w:szCs w:val="20"/>
        </w:rPr>
        <w:t>Table 6.</w:t>
      </w:r>
      <w:r>
        <w:rPr>
          <w:rFonts w:cs="Tahoma"/>
          <w:sz w:val="20"/>
          <w:szCs w:val="20"/>
        </w:rPr>
        <w:t>5</w:t>
      </w:r>
      <w:r w:rsidRPr="009A7589">
        <w:rPr>
          <w:rFonts w:cs="Tahoma"/>
          <w:sz w:val="20"/>
          <w:szCs w:val="20"/>
        </w:rPr>
        <w:t>.</w:t>
      </w:r>
      <w:r w:rsidRPr="009A7589">
        <w:rPr>
          <w:rFonts w:cs="Tahoma"/>
          <w:sz w:val="20"/>
          <w:szCs w:val="20"/>
        </w:rPr>
        <w:tab/>
        <w:t xml:space="preserve">Appropriate management responses for each risk level </w:t>
      </w:r>
    </w:p>
    <w:tbl>
      <w:tblPr>
        <w:tblW w:w="83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2"/>
        <w:gridCol w:w="6802"/>
      </w:tblGrid>
      <w:tr w:rsidR="00122864" w:rsidRPr="009A0A02" w14:paraId="1D3EAE28" w14:textId="77777777" w:rsidTr="00F121B9">
        <w:trPr>
          <w:cantSplit/>
          <w:tblHeader/>
        </w:trPr>
        <w:tc>
          <w:tcPr>
            <w:tcW w:w="1562" w:type="dxa"/>
            <w:shd w:val="clear" w:color="auto" w:fill="064EA8"/>
          </w:tcPr>
          <w:p w14:paraId="68703327" w14:textId="77777777" w:rsidR="00122864" w:rsidRPr="009A0A02" w:rsidRDefault="00122864" w:rsidP="00F121B9">
            <w:pPr>
              <w:spacing w:before="60" w:after="60"/>
              <w:ind w:left="34"/>
              <w:rPr>
                <w:rFonts w:cs="Tahoma"/>
                <w:color w:val="FFFFFF" w:themeColor="background1"/>
                <w:sz w:val="20"/>
                <w:szCs w:val="20"/>
              </w:rPr>
            </w:pPr>
            <w:r w:rsidRPr="009A0A02">
              <w:rPr>
                <w:rFonts w:cs="Tahoma"/>
                <w:color w:val="FFFFFF" w:themeColor="background1"/>
                <w:sz w:val="20"/>
                <w:szCs w:val="20"/>
              </w:rPr>
              <w:t>Appropriate management response</w:t>
            </w:r>
          </w:p>
        </w:tc>
        <w:tc>
          <w:tcPr>
            <w:tcW w:w="6802" w:type="dxa"/>
            <w:shd w:val="clear" w:color="auto" w:fill="064EA8"/>
          </w:tcPr>
          <w:p w14:paraId="33674E96" w14:textId="77777777" w:rsidR="00122864" w:rsidRPr="009A0A02" w:rsidRDefault="00122864" w:rsidP="00F121B9">
            <w:pPr>
              <w:spacing w:before="60" w:after="60"/>
              <w:ind w:hanging="686"/>
              <w:rPr>
                <w:rFonts w:cs="Tahoma"/>
                <w:color w:val="FFFFFF" w:themeColor="background1"/>
                <w:sz w:val="20"/>
                <w:szCs w:val="20"/>
              </w:rPr>
            </w:pPr>
            <w:r w:rsidRPr="009A0A02">
              <w:rPr>
                <w:rFonts w:cs="Tahoma"/>
                <w:color w:val="FFFFFF" w:themeColor="background1"/>
                <w:sz w:val="20"/>
                <w:szCs w:val="20"/>
              </w:rPr>
              <w:t>Activities required</w:t>
            </w:r>
          </w:p>
        </w:tc>
      </w:tr>
      <w:tr w:rsidR="00122864" w:rsidRPr="009A0A02" w14:paraId="5246B454" w14:textId="77777777" w:rsidTr="00F121B9">
        <w:trPr>
          <w:cantSplit/>
        </w:trPr>
        <w:tc>
          <w:tcPr>
            <w:tcW w:w="1562" w:type="dxa"/>
            <w:shd w:val="clear" w:color="auto" w:fill="FF0000"/>
          </w:tcPr>
          <w:p w14:paraId="08ABE9F5" w14:textId="77777777" w:rsidR="00122864" w:rsidRPr="00114222" w:rsidRDefault="00122864" w:rsidP="00F121B9">
            <w:pPr>
              <w:tabs>
                <w:tab w:val="left" w:pos="709"/>
                <w:tab w:val="left" w:pos="1418"/>
                <w:tab w:val="left" w:pos="2126"/>
                <w:tab w:val="right" w:pos="9356"/>
              </w:tabs>
              <w:overflowPunct w:val="0"/>
              <w:autoSpaceDE w:val="0"/>
              <w:autoSpaceDN w:val="0"/>
              <w:adjustRightInd w:val="0"/>
              <w:spacing w:before="60" w:after="60"/>
              <w:ind w:left="34"/>
              <w:textAlignment w:val="baseline"/>
              <w:rPr>
                <w:rFonts w:cs="Tahoma"/>
                <w:sz w:val="20"/>
                <w:szCs w:val="20"/>
              </w:rPr>
            </w:pPr>
            <w:r w:rsidRPr="00114222">
              <w:rPr>
                <w:rFonts w:cs="Tahoma"/>
                <w:sz w:val="20"/>
                <w:szCs w:val="20"/>
              </w:rPr>
              <w:t>Active Management</w:t>
            </w:r>
          </w:p>
        </w:tc>
        <w:tc>
          <w:tcPr>
            <w:tcW w:w="6802" w:type="dxa"/>
            <w:shd w:val="clear" w:color="auto" w:fill="auto"/>
          </w:tcPr>
          <w:p w14:paraId="463B2309" w14:textId="77777777" w:rsidR="00122864" w:rsidRPr="009A0A02" w:rsidRDefault="00122864" w:rsidP="00122864">
            <w:pPr>
              <w:numPr>
                <w:ilvl w:val="0"/>
                <w:numId w:val="109"/>
              </w:numPr>
              <w:tabs>
                <w:tab w:val="left" w:pos="1418"/>
                <w:tab w:val="left" w:pos="2126"/>
                <w:tab w:val="right" w:pos="9356"/>
              </w:tabs>
              <w:overflowPunct w:val="0"/>
              <w:autoSpaceDE w:val="0"/>
              <w:autoSpaceDN w:val="0"/>
              <w:adjustRightInd w:val="0"/>
              <w:spacing w:before="60" w:after="60" w:line="240" w:lineRule="auto"/>
              <w:ind w:left="317" w:hanging="283"/>
              <w:textAlignment w:val="baseline"/>
              <w:rPr>
                <w:rFonts w:cs="Tahoma"/>
                <w:sz w:val="20"/>
                <w:szCs w:val="20"/>
              </w:rPr>
            </w:pPr>
            <w:r w:rsidRPr="009A0A02">
              <w:rPr>
                <w:rFonts w:cs="Tahoma"/>
                <w:sz w:val="20"/>
                <w:szCs w:val="20"/>
              </w:rPr>
              <w:t xml:space="preserve">A risk treatment plan(s) must be established and implemented.  </w:t>
            </w:r>
          </w:p>
          <w:p w14:paraId="65BBF199" w14:textId="77777777" w:rsidR="00122864" w:rsidRPr="009A0A02" w:rsidRDefault="00122864" w:rsidP="00122864">
            <w:pPr>
              <w:numPr>
                <w:ilvl w:val="0"/>
                <w:numId w:val="109"/>
              </w:numPr>
              <w:tabs>
                <w:tab w:val="left" w:pos="1418"/>
                <w:tab w:val="left" w:pos="2126"/>
                <w:tab w:val="right" w:pos="9356"/>
              </w:tabs>
              <w:overflowPunct w:val="0"/>
              <w:autoSpaceDE w:val="0"/>
              <w:autoSpaceDN w:val="0"/>
              <w:adjustRightInd w:val="0"/>
              <w:spacing w:before="60" w:after="60" w:line="240" w:lineRule="auto"/>
              <w:ind w:left="317" w:hanging="283"/>
              <w:textAlignment w:val="baseline"/>
              <w:rPr>
                <w:rFonts w:cs="Tahoma"/>
                <w:sz w:val="20"/>
                <w:szCs w:val="20"/>
              </w:rPr>
            </w:pPr>
            <w:r w:rsidRPr="009A0A02">
              <w:rPr>
                <w:rFonts w:cs="Tahoma"/>
                <w:sz w:val="20"/>
                <w:szCs w:val="20"/>
              </w:rPr>
              <w:t>These risks should be embedded in the CarbonNet Project Steering Committees.</w:t>
            </w:r>
          </w:p>
          <w:p w14:paraId="763078E8" w14:textId="77777777" w:rsidR="00122864" w:rsidRPr="009A0A02" w:rsidRDefault="00122864" w:rsidP="00122864">
            <w:pPr>
              <w:numPr>
                <w:ilvl w:val="0"/>
                <w:numId w:val="109"/>
              </w:numPr>
              <w:tabs>
                <w:tab w:val="left" w:pos="1418"/>
                <w:tab w:val="left" w:pos="2126"/>
                <w:tab w:val="right" w:pos="9356"/>
              </w:tabs>
              <w:overflowPunct w:val="0"/>
              <w:autoSpaceDE w:val="0"/>
              <w:autoSpaceDN w:val="0"/>
              <w:adjustRightInd w:val="0"/>
              <w:spacing w:before="60" w:after="60" w:line="240" w:lineRule="auto"/>
              <w:ind w:left="317" w:hanging="283"/>
              <w:textAlignment w:val="baseline"/>
              <w:rPr>
                <w:rFonts w:cs="Tahoma"/>
                <w:sz w:val="20"/>
                <w:szCs w:val="20"/>
              </w:rPr>
            </w:pPr>
            <w:r w:rsidRPr="009A0A02">
              <w:rPr>
                <w:rFonts w:cs="Tahoma"/>
                <w:sz w:val="20"/>
                <w:szCs w:val="20"/>
              </w:rPr>
              <w:t>The risk should be entered on Periscope.</w:t>
            </w:r>
          </w:p>
          <w:p w14:paraId="3C9B65ED" w14:textId="77777777" w:rsidR="00122864" w:rsidRPr="009A0A02" w:rsidRDefault="00122864" w:rsidP="00122864">
            <w:pPr>
              <w:numPr>
                <w:ilvl w:val="0"/>
                <w:numId w:val="109"/>
              </w:numPr>
              <w:tabs>
                <w:tab w:val="left" w:pos="1418"/>
                <w:tab w:val="left" w:pos="2126"/>
                <w:tab w:val="right" w:pos="9356"/>
              </w:tabs>
              <w:overflowPunct w:val="0"/>
              <w:autoSpaceDE w:val="0"/>
              <w:autoSpaceDN w:val="0"/>
              <w:adjustRightInd w:val="0"/>
              <w:spacing w:before="60" w:after="60" w:line="240" w:lineRule="auto"/>
              <w:ind w:left="317" w:hanging="283"/>
              <w:textAlignment w:val="baseline"/>
              <w:rPr>
                <w:rFonts w:cs="Tahoma"/>
                <w:sz w:val="20"/>
                <w:szCs w:val="20"/>
              </w:rPr>
            </w:pPr>
            <w:r w:rsidRPr="009A0A02">
              <w:rPr>
                <w:rFonts w:cs="Tahoma"/>
                <w:sz w:val="20"/>
                <w:szCs w:val="20"/>
              </w:rPr>
              <w:t>A treatment can be entered on Periscope stating that the risk is being monitored.  Progress reports should be entered on Periscope.</w:t>
            </w:r>
          </w:p>
          <w:p w14:paraId="30A20280" w14:textId="77777777" w:rsidR="00122864" w:rsidRPr="009A0A02" w:rsidRDefault="00122864" w:rsidP="00122864">
            <w:pPr>
              <w:numPr>
                <w:ilvl w:val="0"/>
                <w:numId w:val="109"/>
              </w:numPr>
              <w:tabs>
                <w:tab w:val="left" w:pos="1418"/>
                <w:tab w:val="left" w:pos="2126"/>
                <w:tab w:val="right" w:pos="9356"/>
              </w:tabs>
              <w:overflowPunct w:val="0"/>
              <w:autoSpaceDE w:val="0"/>
              <w:autoSpaceDN w:val="0"/>
              <w:adjustRightInd w:val="0"/>
              <w:spacing w:before="60" w:after="60" w:line="240" w:lineRule="auto"/>
              <w:ind w:left="317" w:hanging="283"/>
              <w:textAlignment w:val="baseline"/>
              <w:rPr>
                <w:rFonts w:cs="Tahoma"/>
                <w:sz w:val="20"/>
                <w:szCs w:val="20"/>
              </w:rPr>
            </w:pPr>
            <w:r w:rsidRPr="009A0A02">
              <w:rPr>
                <w:rFonts w:cs="Tahoma"/>
                <w:sz w:val="20"/>
                <w:szCs w:val="20"/>
              </w:rPr>
              <w:t>Risks should be reported to the DEDJTR Risk and Audit Committee.</w:t>
            </w:r>
          </w:p>
        </w:tc>
      </w:tr>
      <w:tr w:rsidR="00122864" w:rsidRPr="009A0A02" w14:paraId="2DE788F2" w14:textId="77777777" w:rsidTr="00F121B9">
        <w:trPr>
          <w:cantSplit/>
        </w:trPr>
        <w:tc>
          <w:tcPr>
            <w:tcW w:w="1562" w:type="dxa"/>
            <w:shd w:val="clear" w:color="auto" w:fill="FFFF00"/>
          </w:tcPr>
          <w:p w14:paraId="7D80CD75" w14:textId="77777777" w:rsidR="00122864" w:rsidRPr="00114222" w:rsidRDefault="00122864" w:rsidP="00F121B9">
            <w:pPr>
              <w:tabs>
                <w:tab w:val="left" w:pos="709"/>
                <w:tab w:val="left" w:pos="1418"/>
                <w:tab w:val="left" w:pos="2126"/>
                <w:tab w:val="right" w:pos="9356"/>
              </w:tabs>
              <w:overflowPunct w:val="0"/>
              <w:autoSpaceDE w:val="0"/>
              <w:autoSpaceDN w:val="0"/>
              <w:adjustRightInd w:val="0"/>
              <w:spacing w:before="60" w:after="60"/>
              <w:ind w:left="34"/>
              <w:textAlignment w:val="baseline"/>
              <w:rPr>
                <w:rFonts w:cs="Tahoma"/>
                <w:sz w:val="20"/>
                <w:szCs w:val="20"/>
              </w:rPr>
            </w:pPr>
            <w:r w:rsidRPr="00114222">
              <w:rPr>
                <w:rFonts w:cs="Tahoma"/>
                <w:sz w:val="20"/>
                <w:szCs w:val="20"/>
              </w:rPr>
              <w:t>Regular Monitoring</w:t>
            </w:r>
          </w:p>
        </w:tc>
        <w:tc>
          <w:tcPr>
            <w:tcW w:w="6802" w:type="dxa"/>
            <w:shd w:val="clear" w:color="auto" w:fill="auto"/>
          </w:tcPr>
          <w:p w14:paraId="515704A1" w14:textId="77777777" w:rsidR="00122864" w:rsidRPr="009A0A02" w:rsidRDefault="00122864" w:rsidP="00122864">
            <w:pPr>
              <w:numPr>
                <w:ilvl w:val="0"/>
                <w:numId w:val="109"/>
              </w:numPr>
              <w:tabs>
                <w:tab w:val="left" w:pos="709"/>
                <w:tab w:val="left" w:pos="1418"/>
                <w:tab w:val="left" w:pos="2126"/>
                <w:tab w:val="right" w:pos="9356"/>
              </w:tabs>
              <w:overflowPunct w:val="0"/>
              <w:autoSpaceDE w:val="0"/>
              <w:autoSpaceDN w:val="0"/>
              <w:adjustRightInd w:val="0"/>
              <w:spacing w:before="60" w:after="60" w:line="240" w:lineRule="auto"/>
              <w:ind w:left="317" w:hanging="283"/>
              <w:textAlignment w:val="baseline"/>
              <w:rPr>
                <w:rFonts w:cs="Tahoma"/>
                <w:sz w:val="20"/>
                <w:szCs w:val="20"/>
              </w:rPr>
            </w:pPr>
            <w:r w:rsidRPr="009A0A02">
              <w:rPr>
                <w:rFonts w:cs="Tahoma"/>
                <w:sz w:val="20"/>
                <w:szCs w:val="20"/>
              </w:rPr>
              <w:t>Existing good treatments should be maintained.</w:t>
            </w:r>
          </w:p>
          <w:p w14:paraId="12596963" w14:textId="77777777" w:rsidR="00122864" w:rsidRPr="009A0A02" w:rsidRDefault="00122864" w:rsidP="00122864">
            <w:pPr>
              <w:numPr>
                <w:ilvl w:val="0"/>
                <w:numId w:val="109"/>
              </w:numPr>
              <w:tabs>
                <w:tab w:val="left" w:pos="709"/>
                <w:tab w:val="left" w:pos="1418"/>
                <w:tab w:val="left" w:pos="2126"/>
                <w:tab w:val="right" w:pos="9356"/>
              </w:tabs>
              <w:overflowPunct w:val="0"/>
              <w:autoSpaceDE w:val="0"/>
              <w:autoSpaceDN w:val="0"/>
              <w:adjustRightInd w:val="0"/>
              <w:spacing w:before="60" w:after="60" w:line="240" w:lineRule="auto"/>
              <w:ind w:left="317" w:hanging="283"/>
              <w:textAlignment w:val="baseline"/>
              <w:rPr>
                <w:rFonts w:cs="Tahoma"/>
                <w:sz w:val="20"/>
                <w:szCs w:val="20"/>
              </w:rPr>
            </w:pPr>
            <w:r w:rsidRPr="009A0A02">
              <w:rPr>
                <w:rFonts w:cs="Tahoma"/>
                <w:sz w:val="20"/>
                <w:szCs w:val="20"/>
              </w:rPr>
              <w:t xml:space="preserve">Additional risk treatments as required should be established and implemented. </w:t>
            </w:r>
          </w:p>
          <w:p w14:paraId="0B2CA6BA" w14:textId="77777777" w:rsidR="00122864" w:rsidRPr="009A0A02" w:rsidRDefault="00122864" w:rsidP="00122864">
            <w:pPr>
              <w:numPr>
                <w:ilvl w:val="0"/>
                <w:numId w:val="109"/>
              </w:numPr>
              <w:tabs>
                <w:tab w:val="left" w:pos="709"/>
                <w:tab w:val="left" w:pos="1418"/>
                <w:tab w:val="left" w:pos="2126"/>
                <w:tab w:val="right" w:pos="9356"/>
              </w:tabs>
              <w:overflowPunct w:val="0"/>
              <w:autoSpaceDE w:val="0"/>
              <w:autoSpaceDN w:val="0"/>
              <w:adjustRightInd w:val="0"/>
              <w:spacing w:before="60" w:after="60" w:line="240" w:lineRule="auto"/>
              <w:ind w:left="317" w:hanging="283"/>
              <w:textAlignment w:val="baseline"/>
              <w:rPr>
                <w:rFonts w:cs="Tahoma"/>
                <w:sz w:val="20"/>
                <w:szCs w:val="20"/>
              </w:rPr>
            </w:pPr>
            <w:r w:rsidRPr="009A0A02">
              <w:rPr>
                <w:rFonts w:cs="Tahoma"/>
                <w:sz w:val="20"/>
                <w:szCs w:val="20"/>
              </w:rPr>
              <w:t>These risks should be embedded in the CarbonNet Project Steering Committees.</w:t>
            </w:r>
            <w:r w:rsidRPr="009A0A02" w:rsidDel="00CF093E">
              <w:rPr>
                <w:rFonts w:cs="Tahoma"/>
                <w:sz w:val="20"/>
                <w:szCs w:val="20"/>
              </w:rPr>
              <w:t xml:space="preserve"> </w:t>
            </w:r>
          </w:p>
          <w:p w14:paraId="4B04E40B" w14:textId="77777777" w:rsidR="00122864" w:rsidRPr="009A0A02" w:rsidRDefault="00122864" w:rsidP="00122864">
            <w:pPr>
              <w:numPr>
                <w:ilvl w:val="0"/>
                <w:numId w:val="109"/>
              </w:numPr>
              <w:tabs>
                <w:tab w:val="left" w:pos="1418"/>
                <w:tab w:val="left" w:pos="2126"/>
                <w:tab w:val="right" w:pos="9356"/>
              </w:tabs>
              <w:overflowPunct w:val="0"/>
              <w:autoSpaceDE w:val="0"/>
              <w:autoSpaceDN w:val="0"/>
              <w:adjustRightInd w:val="0"/>
              <w:spacing w:before="60" w:after="60" w:line="240" w:lineRule="auto"/>
              <w:ind w:left="317" w:hanging="283"/>
              <w:textAlignment w:val="baseline"/>
              <w:rPr>
                <w:rFonts w:cs="Tahoma"/>
                <w:sz w:val="20"/>
                <w:szCs w:val="20"/>
              </w:rPr>
            </w:pPr>
            <w:r w:rsidRPr="009A0A02">
              <w:rPr>
                <w:rFonts w:cs="Tahoma"/>
                <w:sz w:val="20"/>
                <w:szCs w:val="20"/>
              </w:rPr>
              <w:t>The risk should be entered on Periscope.</w:t>
            </w:r>
          </w:p>
          <w:p w14:paraId="15AD55DC" w14:textId="77777777" w:rsidR="00122864" w:rsidRPr="009A0A02" w:rsidRDefault="00122864" w:rsidP="00122864">
            <w:pPr>
              <w:numPr>
                <w:ilvl w:val="0"/>
                <w:numId w:val="109"/>
              </w:numPr>
              <w:tabs>
                <w:tab w:val="left" w:pos="1418"/>
                <w:tab w:val="left" w:pos="2126"/>
                <w:tab w:val="right" w:pos="9356"/>
              </w:tabs>
              <w:overflowPunct w:val="0"/>
              <w:autoSpaceDE w:val="0"/>
              <w:autoSpaceDN w:val="0"/>
              <w:adjustRightInd w:val="0"/>
              <w:spacing w:before="60" w:after="60" w:line="240" w:lineRule="auto"/>
              <w:ind w:left="317" w:hanging="283"/>
              <w:textAlignment w:val="baseline"/>
              <w:rPr>
                <w:rFonts w:cs="Tahoma"/>
                <w:sz w:val="20"/>
                <w:szCs w:val="20"/>
              </w:rPr>
            </w:pPr>
            <w:r w:rsidRPr="009A0A02">
              <w:rPr>
                <w:rFonts w:cs="Tahoma"/>
                <w:sz w:val="20"/>
                <w:szCs w:val="20"/>
              </w:rPr>
              <w:t>A treatment can be entered on Periscope stating that the risk is being monitored. Progress reports should be entered on Periscope.</w:t>
            </w:r>
          </w:p>
          <w:p w14:paraId="35C3A6EC" w14:textId="77777777" w:rsidR="00122864" w:rsidRPr="009A0A02" w:rsidRDefault="00122864" w:rsidP="00122864">
            <w:pPr>
              <w:numPr>
                <w:ilvl w:val="0"/>
                <w:numId w:val="109"/>
              </w:numPr>
              <w:tabs>
                <w:tab w:val="left" w:pos="709"/>
                <w:tab w:val="left" w:pos="1418"/>
                <w:tab w:val="left" w:pos="2126"/>
                <w:tab w:val="right" w:pos="9356"/>
              </w:tabs>
              <w:overflowPunct w:val="0"/>
              <w:autoSpaceDE w:val="0"/>
              <w:autoSpaceDN w:val="0"/>
              <w:adjustRightInd w:val="0"/>
              <w:spacing w:before="60" w:after="60" w:line="240" w:lineRule="auto"/>
              <w:ind w:left="317" w:hanging="283"/>
              <w:textAlignment w:val="baseline"/>
              <w:rPr>
                <w:rFonts w:cs="Tahoma"/>
                <w:sz w:val="20"/>
                <w:szCs w:val="20"/>
              </w:rPr>
            </w:pPr>
            <w:r w:rsidRPr="009A0A02">
              <w:rPr>
                <w:rFonts w:cs="Tahoma"/>
                <w:sz w:val="20"/>
                <w:szCs w:val="20"/>
              </w:rPr>
              <w:t>Risks should be reported to the DEDJTR Risk and Audit Committee.</w:t>
            </w:r>
          </w:p>
        </w:tc>
      </w:tr>
      <w:tr w:rsidR="00122864" w:rsidRPr="009A0A02" w14:paraId="6FFB4A8D" w14:textId="77777777" w:rsidTr="00F121B9">
        <w:trPr>
          <w:cantSplit/>
        </w:trPr>
        <w:tc>
          <w:tcPr>
            <w:tcW w:w="1562" w:type="dxa"/>
            <w:shd w:val="clear" w:color="auto" w:fill="99CCFF"/>
          </w:tcPr>
          <w:p w14:paraId="267D8442" w14:textId="77777777" w:rsidR="00122864" w:rsidRPr="00114222" w:rsidRDefault="00122864" w:rsidP="00F121B9">
            <w:pPr>
              <w:tabs>
                <w:tab w:val="left" w:pos="709"/>
                <w:tab w:val="left" w:pos="1418"/>
                <w:tab w:val="left" w:pos="2126"/>
                <w:tab w:val="right" w:pos="9356"/>
              </w:tabs>
              <w:overflowPunct w:val="0"/>
              <w:autoSpaceDE w:val="0"/>
              <w:autoSpaceDN w:val="0"/>
              <w:adjustRightInd w:val="0"/>
              <w:spacing w:before="60" w:after="60"/>
              <w:ind w:left="34"/>
              <w:textAlignment w:val="baseline"/>
              <w:rPr>
                <w:rFonts w:cs="Tahoma"/>
                <w:sz w:val="20"/>
                <w:szCs w:val="20"/>
              </w:rPr>
            </w:pPr>
            <w:r w:rsidRPr="00114222">
              <w:rPr>
                <w:rFonts w:cs="Tahoma"/>
                <w:sz w:val="20"/>
                <w:szCs w:val="20"/>
              </w:rPr>
              <w:t>Periodic Monitoring</w:t>
            </w:r>
          </w:p>
        </w:tc>
        <w:tc>
          <w:tcPr>
            <w:tcW w:w="6802" w:type="dxa"/>
            <w:shd w:val="clear" w:color="auto" w:fill="auto"/>
          </w:tcPr>
          <w:p w14:paraId="3847915F" w14:textId="77777777" w:rsidR="00122864" w:rsidRPr="009A0A02" w:rsidRDefault="00122864" w:rsidP="00122864">
            <w:pPr>
              <w:numPr>
                <w:ilvl w:val="0"/>
                <w:numId w:val="109"/>
              </w:numPr>
              <w:tabs>
                <w:tab w:val="left" w:pos="1418"/>
                <w:tab w:val="left" w:pos="2126"/>
                <w:tab w:val="right" w:pos="9356"/>
              </w:tabs>
              <w:overflowPunct w:val="0"/>
              <w:autoSpaceDE w:val="0"/>
              <w:autoSpaceDN w:val="0"/>
              <w:adjustRightInd w:val="0"/>
              <w:spacing w:before="60" w:after="60" w:line="240" w:lineRule="auto"/>
              <w:ind w:left="317" w:hanging="283"/>
              <w:textAlignment w:val="baseline"/>
              <w:rPr>
                <w:rFonts w:cs="Tahoma"/>
                <w:sz w:val="20"/>
                <w:szCs w:val="20"/>
              </w:rPr>
            </w:pPr>
            <w:r w:rsidRPr="009A0A02">
              <w:rPr>
                <w:rFonts w:cs="Tahoma"/>
                <w:sz w:val="20"/>
                <w:szCs w:val="20"/>
              </w:rPr>
              <w:t>Risks should be monitored over a quarterly period to ascertain as to whether there are any incidents that could increase the severity of the risk.</w:t>
            </w:r>
          </w:p>
          <w:p w14:paraId="2CA0C899" w14:textId="77777777" w:rsidR="00122864" w:rsidRPr="009A0A02" w:rsidRDefault="00122864" w:rsidP="00122864">
            <w:pPr>
              <w:numPr>
                <w:ilvl w:val="0"/>
                <w:numId w:val="109"/>
              </w:numPr>
              <w:tabs>
                <w:tab w:val="left" w:pos="1418"/>
                <w:tab w:val="left" w:pos="2126"/>
                <w:tab w:val="right" w:pos="9356"/>
              </w:tabs>
              <w:overflowPunct w:val="0"/>
              <w:autoSpaceDE w:val="0"/>
              <w:autoSpaceDN w:val="0"/>
              <w:adjustRightInd w:val="0"/>
              <w:spacing w:before="60" w:after="60" w:line="240" w:lineRule="auto"/>
              <w:ind w:left="317" w:hanging="283"/>
              <w:textAlignment w:val="baseline"/>
              <w:rPr>
                <w:rFonts w:cs="Tahoma"/>
                <w:sz w:val="20"/>
                <w:szCs w:val="20"/>
              </w:rPr>
            </w:pPr>
            <w:r w:rsidRPr="009A0A02">
              <w:rPr>
                <w:rFonts w:cs="Tahoma"/>
                <w:sz w:val="20"/>
                <w:szCs w:val="20"/>
              </w:rPr>
              <w:t xml:space="preserve">The risk should be entered on Periscope. </w:t>
            </w:r>
          </w:p>
          <w:p w14:paraId="2F3C5C51" w14:textId="77777777" w:rsidR="00122864" w:rsidRPr="009A0A02" w:rsidRDefault="00122864" w:rsidP="00122864">
            <w:pPr>
              <w:numPr>
                <w:ilvl w:val="0"/>
                <w:numId w:val="109"/>
              </w:numPr>
              <w:tabs>
                <w:tab w:val="left" w:pos="1418"/>
                <w:tab w:val="left" w:pos="2126"/>
                <w:tab w:val="right" w:pos="9356"/>
              </w:tabs>
              <w:overflowPunct w:val="0"/>
              <w:autoSpaceDE w:val="0"/>
              <w:autoSpaceDN w:val="0"/>
              <w:adjustRightInd w:val="0"/>
              <w:spacing w:before="60" w:after="60" w:line="240" w:lineRule="auto"/>
              <w:ind w:left="317" w:hanging="283"/>
              <w:textAlignment w:val="baseline"/>
              <w:rPr>
                <w:rFonts w:cs="Tahoma"/>
                <w:sz w:val="20"/>
                <w:szCs w:val="20"/>
              </w:rPr>
            </w:pPr>
            <w:r w:rsidRPr="009A0A02">
              <w:rPr>
                <w:rFonts w:cs="Tahoma"/>
                <w:sz w:val="20"/>
                <w:szCs w:val="20"/>
              </w:rPr>
              <w:t>A treatment can be entered on Periscope stating that the risk is being monitored. Progress reports should be entered on Periscope.</w:t>
            </w:r>
          </w:p>
          <w:p w14:paraId="39AE54E3" w14:textId="77777777" w:rsidR="00122864" w:rsidRPr="009A0A02" w:rsidRDefault="00122864" w:rsidP="00122864">
            <w:pPr>
              <w:numPr>
                <w:ilvl w:val="0"/>
                <w:numId w:val="109"/>
              </w:numPr>
              <w:tabs>
                <w:tab w:val="left" w:pos="1418"/>
                <w:tab w:val="left" w:pos="2126"/>
                <w:tab w:val="right" w:pos="9356"/>
              </w:tabs>
              <w:overflowPunct w:val="0"/>
              <w:autoSpaceDE w:val="0"/>
              <w:autoSpaceDN w:val="0"/>
              <w:adjustRightInd w:val="0"/>
              <w:spacing w:before="60" w:after="60" w:line="240" w:lineRule="auto"/>
              <w:ind w:left="317" w:hanging="283"/>
              <w:textAlignment w:val="baseline"/>
              <w:rPr>
                <w:rFonts w:cs="Tahoma"/>
                <w:sz w:val="20"/>
                <w:szCs w:val="20"/>
              </w:rPr>
            </w:pPr>
            <w:r w:rsidRPr="009A0A02">
              <w:rPr>
                <w:rFonts w:cs="Tahoma"/>
                <w:sz w:val="20"/>
                <w:szCs w:val="20"/>
              </w:rPr>
              <w:t xml:space="preserve">Should the severity of the risk increase to ‘Regular Monitoring’ or ‘Active Management’ then Periscope should be amended and the action above followed. </w:t>
            </w:r>
          </w:p>
        </w:tc>
      </w:tr>
      <w:tr w:rsidR="00122864" w:rsidRPr="009A0A02" w14:paraId="03B0A6B9" w14:textId="77777777" w:rsidTr="00F121B9">
        <w:tc>
          <w:tcPr>
            <w:tcW w:w="1562" w:type="dxa"/>
            <w:shd w:val="clear" w:color="auto" w:fill="00FF00"/>
          </w:tcPr>
          <w:p w14:paraId="1667E502" w14:textId="77777777" w:rsidR="00122864" w:rsidRPr="00114222" w:rsidRDefault="00122864" w:rsidP="00F121B9">
            <w:pPr>
              <w:tabs>
                <w:tab w:val="left" w:pos="709"/>
                <w:tab w:val="left" w:pos="1418"/>
                <w:tab w:val="left" w:pos="2126"/>
                <w:tab w:val="right" w:pos="9356"/>
              </w:tabs>
              <w:overflowPunct w:val="0"/>
              <w:autoSpaceDE w:val="0"/>
              <w:autoSpaceDN w:val="0"/>
              <w:adjustRightInd w:val="0"/>
              <w:spacing w:before="60" w:after="60"/>
              <w:ind w:left="34"/>
              <w:textAlignment w:val="baseline"/>
              <w:rPr>
                <w:rFonts w:cs="Tahoma"/>
                <w:sz w:val="20"/>
                <w:szCs w:val="20"/>
              </w:rPr>
            </w:pPr>
            <w:r w:rsidRPr="00114222">
              <w:rPr>
                <w:rFonts w:cs="Tahoma"/>
                <w:sz w:val="20"/>
                <w:szCs w:val="20"/>
              </w:rPr>
              <w:t>No major concern</w:t>
            </w:r>
          </w:p>
        </w:tc>
        <w:tc>
          <w:tcPr>
            <w:tcW w:w="6802" w:type="dxa"/>
          </w:tcPr>
          <w:p w14:paraId="2AC932DA" w14:textId="77777777" w:rsidR="00122864" w:rsidRPr="009A0A02" w:rsidRDefault="00122864" w:rsidP="00122864">
            <w:pPr>
              <w:numPr>
                <w:ilvl w:val="0"/>
                <w:numId w:val="109"/>
              </w:numPr>
              <w:tabs>
                <w:tab w:val="left" w:pos="1418"/>
                <w:tab w:val="left" w:pos="2126"/>
                <w:tab w:val="right" w:pos="9356"/>
              </w:tabs>
              <w:overflowPunct w:val="0"/>
              <w:autoSpaceDE w:val="0"/>
              <w:autoSpaceDN w:val="0"/>
              <w:adjustRightInd w:val="0"/>
              <w:spacing w:before="60" w:after="60" w:line="240" w:lineRule="auto"/>
              <w:ind w:left="317" w:hanging="283"/>
              <w:textAlignment w:val="baseline"/>
              <w:rPr>
                <w:rFonts w:cs="Tahoma"/>
                <w:sz w:val="20"/>
                <w:szCs w:val="20"/>
              </w:rPr>
            </w:pPr>
            <w:r w:rsidRPr="009A0A02">
              <w:rPr>
                <w:rFonts w:cs="Tahoma"/>
                <w:sz w:val="20"/>
                <w:szCs w:val="20"/>
              </w:rPr>
              <w:t>Risks should be reviewed quarterly to ascertain whether the severity of the risk has changed.</w:t>
            </w:r>
          </w:p>
        </w:tc>
      </w:tr>
    </w:tbl>
    <w:p w14:paraId="2AF8AC4C" w14:textId="77777777" w:rsidR="00122864" w:rsidRDefault="00122864" w:rsidP="00122864">
      <w:pPr>
        <w:ind w:left="0"/>
        <w:rPr>
          <w:rFonts w:ascii="Tahoma" w:hAnsi="Tahoma" w:cs="Arial"/>
          <w:szCs w:val="20"/>
        </w:rPr>
      </w:pPr>
    </w:p>
    <w:p w14:paraId="6F9063F0" w14:textId="77777777" w:rsidR="00122864" w:rsidRDefault="00122864" w:rsidP="004B3D50">
      <w:pPr>
        <w:ind w:left="0"/>
        <w:rPr>
          <w:rFonts w:cs="Arial"/>
          <w:sz w:val="22"/>
          <w:szCs w:val="22"/>
        </w:rPr>
      </w:pPr>
    </w:p>
    <w:p w14:paraId="560BDA1A" w14:textId="7A8DC8A4" w:rsidR="004B3D50" w:rsidRPr="009A0A02" w:rsidRDefault="004B3D50" w:rsidP="004B3D50">
      <w:pPr>
        <w:ind w:left="0"/>
        <w:rPr>
          <w:rFonts w:cs="Arial"/>
          <w:sz w:val="22"/>
          <w:szCs w:val="22"/>
        </w:rPr>
      </w:pPr>
      <w:r w:rsidRPr="009A0A02">
        <w:rPr>
          <w:rFonts w:cs="Arial"/>
          <w:sz w:val="22"/>
          <w:szCs w:val="22"/>
        </w:rPr>
        <w:t>The EP detail</w:t>
      </w:r>
      <w:r w:rsidR="00781454">
        <w:rPr>
          <w:rFonts w:cs="Arial"/>
          <w:sz w:val="22"/>
          <w:szCs w:val="22"/>
        </w:rPr>
        <w:t>s</w:t>
      </w:r>
      <w:r w:rsidRPr="009A0A02">
        <w:rPr>
          <w:rFonts w:cs="Arial"/>
          <w:sz w:val="22"/>
          <w:szCs w:val="22"/>
        </w:rPr>
        <w:t xml:space="preserve"> and evaluate the environmental </w:t>
      </w:r>
      <w:r w:rsidRPr="009A0A02">
        <w:rPr>
          <w:rFonts w:cs="Arial"/>
          <w:sz w:val="22"/>
          <w:szCs w:val="22"/>
          <w:u w:val="single"/>
        </w:rPr>
        <w:t>impacts</w:t>
      </w:r>
      <w:r w:rsidRPr="009A0A02">
        <w:rPr>
          <w:rFonts w:cs="Arial"/>
          <w:sz w:val="22"/>
          <w:szCs w:val="22"/>
        </w:rPr>
        <w:t xml:space="preserve"> and </w:t>
      </w:r>
      <w:r w:rsidRPr="009A0A02">
        <w:rPr>
          <w:rFonts w:cs="Arial"/>
          <w:sz w:val="22"/>
          <w:szCs w:val="22"/>
          <w:u w:val="single"/>
        </w:rPr>
        <w:t>risks</w:t>
      </w:r>
      <w:r w:rsidRPr="009A0A02">
        <w:rPr>
          <w:rFonts w:cs="Arial"/>
          <w:sz w:val="22"/>
          <w:szCs w:val="22"/>
        </w:rPr>
        <w:t xml:space="preserve"> for </w:t>
      </w:r>
      <w:r w:rsidR="00781454">
        <w:rPr>
          <w:rFonts w:cs="Arial"/>
          <w:sz w:val="22"/>
          <w:szCs w:val="22"/>
        </w:rPr>
        <w:t>the project</w:t>
      </w:r>
      <w:r w:rsidRPr="009A0A02">
        <w:rPr>
          <w:rFonts w:cs="Arial"/>
          <w:sz w:val="22"/>
          <w:szCs w:val="22"/>
        </w:rPr>
        <w:t xml:space="preserve">, including control measures used to reduce the impacts and risks of the activity to ALARP and an acceptable level. This must include impacts and risks arising directly or indirectly from all activity operations (i.e., planned events) or potential emergency or incident conditions (i.e., incident events). </w:t>
      </w:r>
    </w:p>
    <w:p w14:paraId="1FBAF8DB" w14:textId="77777777" w:rsidR="004B3D50" w:rsidRPr="009A0A02" w:rsidRDefault="004B3D50" w:rsidP="004B3D50">
      <w:pPr>
        <w:ind w:left="0"/>
        <w:rPr>
          <w:rFonts w:cs="Arial"/>
          <w:sz w:val="22"/>
          <w:szCs w:val="22"/>
        </w:rPr>
      </w:pPr>
    </w:p>
    <w:p w14:paraId="62E9A221" w14:textId="77777777" w:rsidR="004B3D50" w:rsidRPr="009A0A02" w:rsidRDefault="004B3D50" w:rsidP="00B17CE6">
      <w:pPr>
        <w:spacing w:after="120"/>
        <w:ind w:left="0"/>
        <w:rPr>
          <w:rFonts w:cs="Arial"/>
          <w:sz w:val="22"/>
          <w:szCs w:val="22"/>
        </w:rPr>
      </w:pPr>
      <w:r w:rsidRPr="009A0A02">
        <w:rPr>
          <w:rFonts w:cs="Arial"/>
          <w:sz w:val="22"/>
          <w:szCs w:val="22"/>
        </w:rPr>
        <w:t xml:space="preserve">For this activity, CarbonNet has determined that impacts and risks are defined as follows: </w:t>
      </w:r>
    </w:p>
    <w:p w14:paraId="37FDAB26" w14:textId="2FF58764" w:rsidR="004B3D50" w:rsidRPr="009A0A02" w:rsidRDefault="004B3D50" w:rsidP="00567567">
      <w:pPr>
        <w:pStyle w:val="ColorfulList-Accent11"/>
        <w:numPr>
          <w:ilvl w:val="0"/>
          <w:numId w:val="108"/>
        </w:numPr>
        <w:rPr>
          <w:rFonts w:cs="Arial"/>
          <w:sz w:val="22"/>
          <w:szCs w:val="22"/>
        </w:rPr>
      </w:pPr>
      <w:r w:rsidRPr="009A0A02">
        <w:rPr>
          <w:rFonts w:cs="Arial"/>
          <w:b/>
          <w:sz w:val="22"/>
          <w:szCs w:val="22"/>
        </w:rPr>
        <w:t>Impacts</w:t>
      </w:r>
      <w:r w:rsidRPr="009A0A02">
        <w:rPr>
          <w:rFonts w:cs="Arial"/>
          <w:sz w:val="22"/>
          <w:szCs w:val="22"/>
        </w:rPr>
        <w:t xml:space="preserve"> result from activities that </w:t>
      </w:r>
      <w:r w:rsidR="00B17CE6" w:rsidRPr="009A0A02">
        <w:rPr>
          <w:rFonts w:cs="Arial"/>
          <w:sz w:val="22"/>
          <w:szCs w:val="22"/>
        </w:rPr>
        <w:t xml:space="preserve">are an inherent part of the activity and </w:t>
      </w:r>
      <w:r w:rsidRPr="009A0A02">
        <w:rPr>
          <w:rFonts w:cs="Arial"/>
          <w:sz w:val="22"/>
          <w:szCs w:val="22"/>
        </w:rPr>
        <w:t xml:space="preserve">will result in a change to the environment or a component of the environment, </w:t>
      </w:r>
      <w:r w:rsidRPr="009A0A02">
        <w:rPr>
          <w:rFonts w:cs="Arial"/>
          <w:sz w:val="22"/>
          <w:szCs w:val="22"/>
        </w:rPr>
        <w:lastRenderedPageBreak/>
        <w:t xml:space="preserve">whether adverse or beneficial. For example, </w:t>
      </w:r>
      <w:r w:rsidR="00B17CE6" w:rsidRPr="009A0A02">
        <w:rPr>
          <w:rFonts w:cs="Arial"/>
          <w:sz w:val="22"/>
          <w:szCs w:val="22"/>
        </w:rPr>
        <w:t xml:space="preserve">acoustic discharges from the seismic source </w:t>
      </w:r>
      <w:r w:rsidR="009A0A02" w:rsidRPr="009A0A02">
        <w:rPr>
          <w:rFonts w:cs="Arial"/>
          <w:sz w:val="22"/>
          <w:szCs w:val="22"/>
        </w:rPr>
        <w:t xml:space="preserve">arrays </w:t>
      </w:r>
      <w:r w:rsidR="00B17CE6" w:rsidRPr="009A0A02">
        <w:rPr>
          <w:rFonts w:cs="Arial"/>
          <w:sz w:val="22"/>
          <w:szCs w:val="22"/>
        </w:rPr>
        <w:t xml:space="preserve">are an impact on the marine environment and cannot be avoided for the activity to achieve its aims. </w:t>
      </w:r>
    </w:p>
    <w:p w14:paraId="199B9E82" w14:textId="6D88615D" w:rsidR="004B3D50" w:rsidRPr="009A0A02" w:rsidRDefault="004B3D50" w:rsidP="00567567">
      <w:pPr>
        <w:pStyle w:val="ColorfulList-Accent11"/>
        <w:numPr>
          <w:ilvl w:val="0"/>
          <w:numId w:val="108"/>
        </w:numPr>
        <w:rPr>
          <w:rFonts w:cs="Arial"/>
          <w:sz w:val="22"/>
          <w:szCs w:val="22"/>
        </w:rPr>
      </w:pPr>
      <w:r w:rsidRPr="009A0A02">
        <w:rPr>
          <w:rFonts w:cs="Arial"/>
          <w:b/>
          <w:sz w:val="22"/>
          <w:szCs w:val="22"/>
        </w:rPr>
        <w:t>Risks</w:t>
      </w:r>
      <w:r w:rsidRPr="009A0A02">
        <w:rPr>
          <w:rFonts w:cs="Arial"/>
          <w:sz w:val="22"/>
          <w:szCs w:val="22"/>
        </w:rPr>
        <w:t xml:space="preserve"> result from activities where a change to the environment or component of the environment </w:t>
      </w:r>
      <w:r w:rsidRPr="009A0A02">
        <w:rPr>
          <w:rFonts w:cs="Arial"/>
          <w:i/>
          <w:sz w:val="22"/>
          <w:szCs w:val="22"/>
        </w:rPr>
        <w:t>may</w:t>
      </w:r>
      <w:r w:rsidRPr="009A0A02">
        <w:rPr>
          <w:rFonts w:cs="Arial"/>
          <w:sz w:val="22"/>
          <w:szCs w:val="22"/>
        </w:rPr>
        <w:t xml:space="preserve"> occur as a result of </w:t>
      </w:r>
      <w:r w:rsidR="00BD5DC0" w:rsidRPr="009A0A02">
        <w:rPr>
          <w:rFonts w:cs="Arial"/>
          <w:sz w:val="22"/>
          <w:szCs w:val="22"/>
        </w:rPr>
        <w:t xml:space="preserve">an event associated with </w:t>
      </w:r>
      <w:r w:rsidRPr="009A0A02">
        <w:rPr>
          <w:rFonts w:cs="Arial"/>
          <w:sz w:val="22"/>
          <w:szCs w:val="22"/>
        </w:rPr>
        <w:t xml:space="preserve">the activity (i.e., there may be </w:t>
      </w:r>
      <w:r w:rsidR="00BD5DC0" w:rsidRPr="009A0A02">
        <w:rPr>
          <w:rFonts w:cs="Arial"/>
          <w:sz w:val="22"/>
          <w:szCs w:val="22"/>
        </w:rPr>
        <w:t>impacts</w:t>
      </w:r>
      <w:r w:rsidRPr="009A0A02">
        <w:rPr>
          <w:rFonts w:cs="Arial"/>
          <w:sz w:val="22"/>
          <w:szCs w:val="22"/>
        </w:rPr>
        <w:t xml:space="preserve"> if the event actually occurs). Risk is a combination of the consequences of an event and </w:t>
      </w:r>
      <w:r w:rsidR="009A0A02" w:rsidRPr="009A0A02">
        <w:rPr>
          <w:rFonts w:cs="Arial"/>
          <w:sz w:val="22"/>
          <w:szCs w:val="22"/>
        </w:rPr>
        <w:t>the associated likelihood of the event occuring</w:t>
      </w:r>
      <w:r w:rsidRPr="009A0A02">
        <w:rPr>
          <w:rFonts w:cs="Arial"/>
          <w:sz w:val="22"/>
          <w:szCs w:val="22"/>
        </w:rPr>
        <w:t>. For example, a hydrocarbon spill may occur if a vessel’s fuel tank is punctured by a collision during the survey. The risk of this event is determined by assessing the consequence of the impact (using factors such as the type and volume of fuel and the nature of the receiving environment) and the likelihood of this event happening (which may be determined qualitatively or quantitatively).</w:t>
      </w:r>
      <w:r w:rsidR="001D297B" w:rsidRPr="009A0A02">
        <w:rPr>
          <w:rFonts w:cs="Arial"/>
          <w:sz w:val="22"/>
          <w:szCs w:val="22"/>
        </w:rPr>
        <w:t xml:space="preserve"> </w:t>
      </w:r>
    </w:p>
    <w:p w14:paraId="77AC3D36" w14:textId="77777777" w:rsidR="00C850F3" w:rsidRPr="00B03966" w:rsidRDefault="00F4015F" w:rsidP="00B03966">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409" w:name="_Toc375214593"/>
      <w:r w:rsidRPr="00B03966">
        <w:rPr>
          <w:rFonts w:cs="Times New Roman"/>
          <w:iCs w:val="0"/>
          <w:color w:val="064EA8"/>
          <w:szCs w:val="26"/>
          <w:lang w:eastAsia="en-US"/>
        </w:rPr>
        <w:t>Risk Treatment</w:t>
      </w:r>
      <w:bookmarkEnd w:id="409"/>
    </w:p>
    <w:p w14:paraId="25B525C6" w14:textId="492423CA" w:rsidR="00F4015F" w:rsidRPr="00B336C8" w:rsidRDefault="00F4015F" w:rsidP="00F4015F">
      <w:pPr>
        <w:ind w:left="0"/>
        <w:rPr>
          <w:rFonts w:cs="Arial"/>
          <w:sz w:val="22"/>
          <w:szCs w:val="22"/>
        </w:rPr>
      </w:pPr>
      <w:bookmarkStart w:id="410" w:name="sec7Dassesstherisks"/>
      <w:bookmarkStart w:id="411" w:name="Sec7_1D"/>
      <w:bookmarkEnd w:id="410"/>
      <w:bookmarkEnd w:id="411"/>
      <w:r w:rsidRPr="00B336C8">
        <w:rPr>
          <w:rFonts w:cs="Arial"/>
          <w:sz w:val="22"/>
          <w:szCs w:val="22"/>
        </w:rPr>
        <w:t xml:space="preserve">Each of the </w:t>
      </w:r>
      <w:r w:rsidR="00B336C8">
        <w:rPr>
          <w:rFonts w:cs="Arial"/>
          <w:sz w:val="22"/>
          <w:szCs w:val="22"/>
        </w:rPr>
        <w:t xml:space="preserve">impacts and </w:t>
      </w:r>
      <w:r w:rsidRPr="00B336C8">
        <w:rPr>
          <w:rFonts w:cs="Arial"/>
          <w:sz w:val="22"/>
          <w:szCs w:val="22"/>
        </w:rPr>
        <w:t>risks identified</w:t>
      </w:r>
      <w:r w:rsidR="00B336C8">
        <w:rPr>
          <w:rFonts w:cs="Arial"/>
          <w:sz w:val="22"/>
          <w:szCs w:val="22"/>
        </w:rPr>
        <w:t xml:space="preserve"> </w:t>
      </w:r>
      <w:r w:rsidRPr="00B336C8">
        <w:rPr>
          <w:rFonts w:cs="Arial"/>
          <w:sz w:val="22"/>
          <w:szCs w:val="22"/>
        </w:rPr>
        <w:t xml:space="preserve">and evaluated in Chapter 7 have associated </w:t>
      </w:r>
      <w:r w:rsidR="00B336C8">
        <w:rPr>
          <w:rFonts w:cs="Arial"/>
          <w:sz w:val="22"/>
          <w:szCs w:val="22"/>
        </w:rPr>
        <w:t>control measures</w:t>
      </w:r>
      <w:r w:rsidRPr="00B336C8">
        <w:rPr>
          <w:rFonts w:cs="Arial"/>
          <w:sz w:val="22"/>
          <w:szCs w:val="22"/>
        </w:rPr>
        <w:t xml:space="preserve">. </w:t>
      </w:r>
    </w:p>
    <w:p w14:paraId="3176D8CC" w14:textId="77777777" w:rsidR="00F4015F" w:rsidRPr="00B336C8" w:rsidRDefault="00F4015F" w:rsidP="00F4015F">
      <w:pPr>
        <w:ind w:left="0"/>
        <w:rPr>
          <w:rFonts w:cs="Arial"/>
          <w:sz w:val="22"/>
          <w:szCs w:val="22"/>
        </w:rPr>
      </w:pPr>
    </w:p>
    <w:p w14:paraId="4F12AAA4" w14:textId="53D8C880" w:rsidR="003E14BB" w:rsidRPr="008D794A" w:rsidRDefault="003E14BB" w:rsidP="003E14BB">
      <w:pPr>
        <w:ind w:left="0"/>
        <w:rPr>
          <w:rFonts w:cs="Arial"/>
          <w:sz w:val="22"/>
          <w:szCs w:val="22"/>
        </w:rPr>
      </w:pPr>
      <w:r w:rsidRPr="008D794A">
        <w:rPr>
          <w:rFonts w:cs="Arial"/>
          <w:sz w:val="22"/>
          <w:szCs w:val="22"/>
        </w:rPr>
        <w:t xml:space="preserve">Factors to be considered when determing </w:t>
      </w:r>
      <w:r w:rsidR="007D1798">
        <w:rPr>
          <w:rFonts w:cs="Arial"/>
          <w:sz w:val="22"/>
          <w:szCs w:val="22"/>
        </w:rPr>
        <w:t>control measures</w:t>
      </w:r>
      <w:r w:rsidRPr="008D794A">
        <w:rPr>
          <w:rFonts w:cs="Arial"/>
          <w:sz w:val="22"/>
          <w:szCs w:val="22"/>
        </w:rPr>
        <w:t xml:space="preserve"> include: </w:t>
      </w:r>
    </w:p>
    <w:p w14:paraId="1A293291" w14:textId="77777777" w:rsidR="003E14BB" w:rsidRPr="008D794A" w:rsidRDefault="003E14BB" w:rsidP="003E14BB">
      <w:pPr>
        <w:ind w:left="0"/>
        <w:rPr>
          <w:rFonts w:cs="Arial"/>
          <w:sz w:val="22"/>
          <w:szCs w:val="22"/>
        </w:rPr>
      </w:pPr>
    </w:p>
    <w:p w14:paraId="3985A81D" w14:textId="77777777" w:rsidR="003E14BB" w:rsidRPr="008D794A" w:rsidRDefault="003E14BB" w:rsidP="003E14BB">
      <w:pPr>
        <w:pStyle w:val="ColorfulList-Accent11"/>
        <w:numPr>
          <w:ilvl w:val="0"/>
          <w:numId w:val="177"/>
        </w:numPr>
        <w:rPr>
          <w:rFonts w:cs="Arial"/>
          <w:sz w:val="22"/>
          <w:szCs w:val="22"/>
        </w:rPr>
      </w:pPr>
      <w:r w:rsidRPr="008D794A">
        <w:rPr>
          <w:rFonts w:cs="Arial"/>
          <w:sz w:val="22"/>
          <w:szCs w:val="22"/>
        </w:rPr>
        <w:t xml:space="preserve">The cost of implementing risk treatment options against the potential benefits – this may take the form of a cost-benefit analysis. </w:t>
      </w:r>
    </w:p>
    <w:p w14:paraId="578F264B" w14:textId="77777777" w:rsidR="003E14BB" w:rsidRPr="008D794A" w:rsidRDefault="003E14BB" w:rsidP="003E14BB">
      <w:pPr>
        <w:pStyle w:val="ColorfulList-Accent11"/>
        <w:numPr>
          <w:ilvl w:val="0"/>
          <w:numId w:val="177"/>
        </w:numPr>
        <w:rPr>
          <w:rFonts w:cs="Arial"/>
          <w:sz w:val="22"/>
          <w:szCs w:val="22"/>
        </w:rPr>
      </w:pPr>
      <w:r w:rsidRPr="008D794A">
        <w:rPr>
          <w:rFonts w:cs="Arial"/>
          <w:sz w:val="22"/>
          <w:szCs w:val="22"/>
        </w:rPr>
        <w:t xml:space="preserve">Legal, legislative compliance and social responsibility – these may override cost, especially with regard to occupational health and safety requirements. </w:t>
      </w:r>
    </w:p>
    <w:p w14:paraId="07BBEA28" w14:textId="29BCE935" w:rsidR="003E14BB" w:rsidRPr="003E14BB" w:rsidRDefault="003E14BB" w:rsidP="00891DE1">
      <w:pPr>
        <w:pStyle w:val="ColorfulList-Accent110"/>
        <w:numPr>
          <w:ilvl w:val="0"/>
          <w:numId w:val="177"/>
        </w:numPr>
        <w:spacing w:after="0" w:line="260" w:lineRule="atLeast"/>
        <w:rPr>
          <w:rFonts w:cs="Arial"/>
          <w:sz w:val="22"/>
          <w:szCs w:val="22"/>
        </w:rPr>
      </w:pPr>
      <w:r w:rsidRPr="003E14BB">
        <w:rPr>
          <w:rFonts w:eastAsia="Times New Roman" w:cs="Arial"/>
          <w:color w:val="auto"/>
          <w:sz w:val="22"/>
          <w:szCs w:val="22"/>
        </w:rPr>
        <w:t>Availability and suitability of ways to eliminate or reduce the hazard – the availability of resources such as infrastructure, equipment and capability need to be considered in light of State policies, procedures, values and behaviours.</w:t>
      </w:r>
    </w:p>
    <w:p w14:paraId="086076D8" w14:textId="04BEC24C" w:rsidR="005E3318" w:rsidRPr="008D794A" w:rsidDel="003E14BB" w:rsidRDefault="005E3318" w:rsidP="00F4015F">
      <w:pPr>
        <w:ind w:left="0"/>
        <w:rPr>
          <w:rFonts w:cs="Arial"/>
          <w:sz w:val="22"/>
          <w:szCs w:val="22"/>
        </w:rPr>
      </w:pPr>
    </w:p>
    <w:p w14:paraId="004FCB7D" w14:textId="2B2C4AE9" w:rsidR="00DD61FA" w:rsidRPr="00540CD0" w:rsidRDefault="00DD61FA" w:rsidP="00CA70D1">
      <w:pPr>
        <w:pStyle w:val="ListParagraph0"/>
        <w:spacing w:after="240" w:line="240" w:lineRule="auto"/>
        <w:rPr>
          <w:rFonts w:cs="Arial"/>
          <w:sz w:val="22"/>
          <w:szCs w:val="22"/>
        </w:rPr>
      </w:pPr>
    </w:p>
    <w:p w14:paraId="70CFC6DE" w14:textId="77777777" w:rsidR="000A60EB" w:rsidRPr="00974521" w:rsidRDefault="000A60EB" w:rsidP="008B779A">
      <w:pPr>
        <w:rPr>
          <w:sz w:val="22"/>
          <w:szCs w:val="22"/>
        </w:rPr>
        <w:sectPr w:rsidR="000A60EB" w:rsidRPr="00974521" w:rsidSect="00534B9F">
          <w:headerReference w:type="even" r:id="rId243"/>
          <w:headerReference w:type="default" r:id="rId244"/>
          <w:footerReference w:type="default" r:id="rId245"/>
          <w:headerReference w:type="first" r:id="rId246"/>
          <w:pgSz w:w="11906" w:h="16838" w:code="9"/>
          <w:pgMar w:top="1242" w:right="1841" w:bottom="1440" w:left="1800" w:header="994" w:footer="706" w:gutter="0"/>
          <w:cols w:space="708"/>
          <w:docGrid w:linePitch="360"/>
        </w:sectPr>
      </w:pPr>
    </w:p>
    <w:p w14:paraId="6E0D1E78" w14:textId="6285688E" w:rsidR="00EE6FC7" w:rsidRPr="00B03966" w:rsidRDefault="00EE6FC7" w:rsidP="00B03966">
      <w:pPr>
        <w:pStyle w:val="Heading1"/>
        <w:keepLines/>
        <w:numPr>
          <w:ilvl w:val="0"/>
          <w:numId w:val="1"/>
        </w:numPr>
        <w:tabs>
          <w:tab w:val="clear" w:pos="360"/>
        </w:tabs>
        <w:spacing w:before="520" w:after="480" w:line="240" w:lineRule="auto"/>
        <w:rPr>
          <w:rFonts w:cs="Times New Roman"/>
          <w:b/>
          <w:color w:val="064EA8"/>
          <w:kern w:val="0"/>
          <w:sz w:val="36"/>
          <w:lang w:eastAsia="en-US"/>
        </w:rPr>
      </w:pPr>
      <w:bookmarkStart w:id="412" w:name="_Toc375214594"/>
      <w:r w:rsidRPr="00B03966">
        <w:rPr>
          <w:rFonts w:cs="Times New Roman"/>
          <w:b/>
          <w:color w:val="064EA8"/>
          <w:kern w:val="0"/>
          <w:sz w:val="36"/>
          <w:lang w:eastAsia="en-US"/>
        </w:rPr>
        <w:lastRenderedPageBreak/>
        <w:t>Environmental Impact and Risk Assessment</w:t>
      </w:r>
      <w:bookmarkEnd w:id="412"/>
    </w:p>
    <w:p w14:paraId="5B0B9C77" w14:textId="28976915" w:rsidR="00EE6FC7" w:rsidRPr="00B700A9" w:rsidRDefault="00EE6FC7" w:rsidP="00EE6FC7">
      <w:pPr>
        <w:pStyle w:val="bodycopy"/>
        <w:rPr>
          <w:rFonts w:ascii="Arial" w:hAnsi="Arial"/>
          <w:sz w:val="22"/>
          <w:szCs w:val="22"/>
          <w:lang w:val="en-US" w:eastAsia="en-US"/>
        </w:rPr>
      </w:pPr>
      <w:r w:rsidRPr="00B700A9">
        <w:rPr>
          <w:rFonts w:ascii="Arial" w:hAnsi="Arial"/>
          <w:sz w:val="22"/>
          <w:szCs w:val="22"/>
          <w:lang w:val="en-US" w:eastAsia="en-US"/>
        </w:rPr>
        <w:t xml:space="preserve">This chapter </w:t>
      </w:r>
      <w:r w:rsidR="00565699" w:rsidRPr="00B700A9">
        <w:rPr>
          <w:rFonts w:ascii="Arial" w:hAnsi="Arial"/>
          <w:sz w:val="22"/>
          <w:szCs w:val="22"/>
          <w:lang w:val="en-US" w:eastAsia="en-US"/>
        </w:rPr>
        <w:t xml:space="preserve">presents the EIA for </w:t>
      </w:r>
      <w:r w:rsidRPr="00B700A9">
        <w:rPr>
          <w:rFonts w:ascii="Arial" w:hAnsi="Arial"/>
          <w:sz w:val="22"/>
          <w:szCs w:val="22"/>
          <w:lang w:val="en-US" w:eastAsia="en-US"/>
        </w:rPr>
        <w:t xml:space="preserve">the environmental impacts and risks </w:t>
      </w:r>
      <w:r w:rsidR="00565699" w:rsidRPr="00B700A9">
        <w:rPr>
          <w:rFonts w:ascii="Arial" w:hAnsi="Arial"/>
          <w:sz w:val="22"/>
          <w:szCs w:val="22"/>
          <w:lang w:val="en-US" w:eastAsia="en-US"/>
        </w:rPr>
        <w:t xml:space="preserve">identified for </w:t>
      </w:r>
      <w:r w:rsidR="00C06F40">
        <w:rPr>
          <w:rFonts w:ascii="Arial" w:hAnsi="Arial"/>
          <w:sz w:val="22"/>
          <w:szCs w:val="22"/>
          <w:lang w:val="en-US" w:eastAsia="en-US"/>
        </w:rPr>
        <w:t xml:space="preserve">the </w:t>
      </w:r>
      <w:r w:rsidR="00DC09C7" w:rsidRPr="00B700A9">
        <w:rPr>
          <w:rFonts w:ascii="Arial" w:hAnsi="Arial"/>
          <w:sz w:val="22"/>
          <w:szCs w:val="22"/>
          <w:lang w:val="en-US" w:eastAsia="en-US"/>
        </w:rPr>
        <w:t>proposed Pelican 3DMSS</w:t>
      </w:r>
      <w:r w:rsidRPr="00B700A9">
        <w:rPr>
          <w:rFonts w:ascii="Arial" w:hAnsi="Arial"/>
          <w:sz w:val="22"/>
          <w:szCs w:val="22"/>
          <w:lang w:val="en-US" w:eastAsia="en-US"/>
        </w:rPr>
        <w:t xml:space="preserve"> using the methodology described in Chapter </w:t>
      </w:r>
      <w:r w:rsidR="00DC09C7" w:rsidRPr="00B700A9">
        <w:rPr>
          <w:rFonts w:ascii="Arial" w:hAnsi="Arial"/>
          <w:sz w:val="22"/>
          <w:szCs w:val="22"/>
          <w:lang w:val="en-US" w:eastAsia="en-US"/>
        </w:rPr>
        <w:t>6</w:t>
      </w:r>
      <w:r w:rsidR="00C06F40">
        <w:rPr>
          <w:rFonts w:ascii="Arial" w:hAnsi="Arial"/>
          <w:sz w:val="22"/>
          <w:szCs w:val="22"/>
          <w:lang w:val="en-US" w:eastAsia="en-US"/>
        </w:rPr>
        <w:t xml:space="preserve">, and outlines </w:t>
      </w:r>
      <w:r w:rsidRPr="00B700A9">
        <w:rPr>
          <w:rFonts w:ascii="Arial" w:hAnsi="Arial"/>
          <w:sz w:val="22"/>
          <w:szCs w:val="22"/>
          <w:lang w:val="en-US" w:eastAsia="en-US"/>
        </w:rPr>
        <w:t xml:space="preserve">the </w:t>
      </w:r>
      <w:r w:rsidR="00C06F40">
        <w:rPr>
          <w:rFonts w:ascii="Arial" w:hAnsi="Arial"/>
          <w:sz w:val="22"/>
          <w:szCs w:val="22"/>
          <w:lang w:val="en-US" w:eastAsia="en-US"/>
        </w:rPr>
        <w:t>control measures</w:t>
      </w:r>
      <w:r w:rsidRPr="00B700A9">
        <w:rPr>
          <w:rFonts w:ascii="Arial" w:hAnsi="Arial"/>
          <w:sz w:val="22"/>
          <w:szCs w:val="22"/>
          <w:lang w:val="en-US" w:eastAsia="en-US"/>
        </w:rPr>
        <w:t xml:space="preserve"> to </w:t>
      </w:r>
      <w:r w:rsidR="001D4AE0" w:rsidRPr="00B700A9">
        <w:rPr>
          <w:rFonts w:ascii="Arial" w:hAnsi="Arial"/>
          <w:sz w:val="22"/>
          <w:szCs w:val="22"/>
          <w:lang w:val="en-US" w:eastAsia="en-US"/>
        </w:rPr>
        <w:t>manage</w:t>
      </w:r>
      <w:r w:rsidRPr="00B700A9">
        <w:rPr>
          <w:rFonts w:ascii="Arial" w:hAnsi="Arial"/>
          <w:sz w:val="22"/>
          <w:szCs w:val="22"/>
          <w:lang w:val="en-US" w:eastAsia="en-US"/>
        </w:rPr>
        <w:t xml:space="preserve"> the impacts and risks.</w:t>
      </w:r>
    </w:p>
    <w:p w14:paraId="677E6E66" w14:textId="540AA5DE" w:rsidR="00EE6FC7" w:rsidRPr="00B700A9" w:rsidRDefault="001D4AE0" w:rsidP="00EE6FC7">
      <w:pPr>
        <w:pStyle w:val="bodycopy"/>
        <w:rPr>
          <w:rFonts w:ascii="Arial" w:hAnsi="Arial"/>
          <w:sz w:val="22"/>
          <w:szCs w:val="22"/>
          <w:lang w:val="en-US" w:eastAsia="en-US"/>
        </w:rPr>
      </w:pPr>
      <w:r w:rsidRPr="00B700A9">
        <w:rPr>
          <w:rFonts w:ascii="Arial" w:hAnsi="Arial"/>
          <w:sz w:val="22"/>
          <w:szCs w:val="22"/>
          <w:lang w:val="en-US" w:eastAsia="en-US"/>
        </w:rPr>
        <w:t xml:space="preserve">The following definitions are used in this section, </w:t>
      </w:r>
      <w:r w:rsidR="00EE6FC7" w:rsidRPr="00B700A9">
        <w:rPr>
          <w:rFonts w:ascii="Arial" w:hAnsi="Arial"/>
          <w:sz w:val="22"/>
          <w:szCs w:val="22"/>
          <w:lang w:val="en-US" w:eastAsia="en-US"/>
        </w:rPr>
        <w:t>as defined in Regulation 4 of the OPPGS(E)</w:t>
      </w:r>
      <w:r w:rsidR="00644054" w:rsidRPr="00B700A9">
        <w:rPr>
          <w:rFonts w:ascii="Arial" w:hAnsi="Arial"/>
          <w:sz w:val="22"/>
          <w:szCs w:val="22"/>
          <w:lang w:val="en-US" w:eastAsia="en-US"/>
        </w:rPr>
        <w:t xml:space="preserve"> </w:t>
      </w:r>
      <w:r w:rsidR="009B28D0">
        <w:rPr>
          <w:rFonts w:ascii="Arial" w:hAnsi="Arial"/>
          <w:sz w:val="22"/>
          <w:szCs w:val="22"/>
          <w:lang w:val="en-US" w:eastAsia="en-US"/>
        </w:rPr>
        <w:t xml:space="preserve">and Regulation 6 of the </w:t>
      </w:r>
      <w:r w:rsidR="00644054" w:rsidRPr="00B700A9">
        <w:rPr>
          <w:rFonts w:ascii="Arial" w:hAnsi="Arial"/>
          <w:sz w:val="22"/>
          <w:szCs w:val="22"/>
          <w:lang w:val="en-US" w:eastAsia="en-US"/>
        </w:rPr>
        <w:t>Victorian OPGGS Regulations</w:t>
      </w:r>
      <w:r w:rsidR="00EE6FC7" w:rsidRPr="00B700A9">
        <w:rPr>
          <w:rFonts w:ascii="Arial" w:hAnsi="Arial"/>
          <w:sz w:val="22"/>
          <w:szCs w:val="22"/>
          <w:lang w:val="en-US" w:eastAsia="en-US"/>
        </w:rPr>
        <w:t>:</w:t>
      </w:r>
    </w:p>
    <w:p w14:paraId="785E31D7" w14:textId="77777777" w:rsidR="00EE6FC7" w:rsidRPr="00B700A9" w:rsidRDefault="00EE6FC7" w:rsidP="00EB4C36">
      <w:pPr>
        <w:pStyle w:val="dotpoints"/>
        <w:spacing w:before="120" w:after="120" w:line="240" w:lineRule="auto"/>
        <w:ind w:left="289" w:hanging="357"/>
        <w:contextualSpacing w:val="0"/>
        <w:rPr>
          <w:rFonts w:ascii="Arial" w:hAnsi="Arial"/>
          <w:sz w:val="22"/>
          <w:szCs w:val="22"/>
          <w:lang w:val="en-US" w:eastAsia="en-US"/>
        </w:rPr>
      </w:pPr>
      <w:r w:rsidRPr="00B700A9">
        <w:rPr>
          <w:rFonts w:ascii="Arial" w:hAnsi="Arial"/>
          <w:i/>
          <w:sz w:val="22"/>
          <w:szCs w:val="22"/>
          <w:lang w:val="en-US" w:eastAsia="en-US"/>
        </w:rPr>
        <w:t>Environmental performance outcome</w:t>
      </w:r>
      <w:r w:rsidRPr="00B700A9">
        <w:rPr>
          <w:rFonts w:ascii="Arial" w:hAnsi="Arial"/>
          <w:sz w:val="22"/>
          <w:szCs w:val="22"/>
          <w:lang w:val="en-US" w:eastAsia="en-US"/>
        </w:rPr>
        <w:t xml:space="preserve"> </w:t>
      </w:r>
      <w:r w:rsidR="00B07F20" w:rsidRPr="00B700A9">
        <w:rPr>
          <w:rFonts w:ascii="Arial" w:hAnsi="Arial"/>
          <w:sz w:val="22"/>
          <w:szCs w:val="22"/>
          <w:lang w:val="en-US" w:eastAsia="en-US"/>
        </w:rPr>
        <w:t xml:space="preserve">(EPO) </w:t>
      </w:r>
      <w:r w:rsidRPr="00B700A9">
        <w:rPr>
          <w:rFonts w:ascii="Arial" w:hAnsi="Arial"/>
          <w:sz w:val="22"/>
          <w:szCs w:val="22"/>
          <w:lang w:val="en-US" w:eastAsia="en-US"/>
        </w:rPr>
        <w:t>– a measurable level of performance required for the management of environmental aspects of an activity to ensure that environmental impacts and risks will be of an acceptable level (i.e., a statement of the environmental objective).</w:t>
      </w:r>
    </w:p>
    <w:p w14:paraId="50AB0FCC" w14:textId="77777777" w:rsidR="00EE6FC7" w:rsidRPr="00B700A9" w:rsidRDefault="00EE6FC7" w:rsidP="00EB4C36">
      <w:pPr>
        <w:pStyle w:val="dotpoints"/>
        <w:spacing w:before="120" w:after="120" w:line="240" w:lineRule="auto"/>
        <w:ind w:left="289" w:hanging="357"/>
        <w:contextualSpacing w:val="0"/>
        <w:rPr>
          <w:rFonts w:ascii="Arial" w:hAnsi="Arial"/>
          <w:sz w:val="22"/>
          <w:szCs w:val="22"/>
          <w:lang w:val="en-US" w:eastAsia="en-US"/>
        </w:rPr>
      </w:pPr>
      <w:r w:rsidRPr="00B700A9">
        <w:rPr>
          <w:rFonts w:ascii="Arial" w:hAnsi="Arial"/>
          <w:i/>
          <w:sz w:val="22"/>
          <w:szCs w:val="22"/>
          <w:lang w:val="en-US" w:eastAsia="en-US"/>
        </w:rPr>
        <w:t>Environmental performance standard</w:t>
      </w:r>
      <w:r w:rsidRPr="00B700A9">
        <w:rPr>
          <w:rFonts w:ascii="Arial" w:hAnsi="Arial"/>
          <w:sz w:val="22"/>
          <w:szCs w:val="22"/>
          <w:lang w:val="en-US" w:eastAsia="en-US"/>
        </w:rPr>
        <w:t xml:space="preserve"> </w:t>
      </w:r>
      <w:r w:rsidR="00B07F20" w:rsidRPr="00B700A9">
        <w:rPr>
          <w:rFonts w:ascii="Arial" w:hAnsi="Arial"/>
          <w:sz w:val="22"/>
          <w:szCs w:val="22"/>
          <w:lang w:val="en-US" w:eastAsia="en-US"/>
        </w:rPr>
        <w:t xml:space="preserve">(EPS) </w:t>
      </w:r>
      <w:r w:rsidRPr="00B700A9">
        <w:rPr>
          <w:rFonts w:ascii="Arial" w:hAnsi="Arial"/>
          <w:sz w:val="22"/>
          <w:szCs w:val="22"/>
          <w:lang w:val="en-US" w:eastAsia="en-US"/>
        </w:rPr>
        <w:t>– a statement of the performance required of a control measure.</w:t>
      </w:r>
    </w:p>
    <w:p w14:paraId="4D89E757" w14:textId="378A0599" w:rsidR="00EE6FC7" w:rsidRPr="00B700A9" w:rsidRDefault="00EE6FC7" w:rsidP="00EB4C36">
      <w:pPr>
        <w:pStyle w:val="dotpoints"/>
        <w:spacing w:before="120" w:after="120" w:line="240" w:lineRule="auto"/>
        <w:ind w:left="289" w:hanging="357"/>
        <w:rPr>
          <w:rFonts w:ascii="Arial" w:hAnsi="Arial"/>
          <w:sz w:val="22"/>
          <w:szCs w:val="22"/>
          <w:lang w:val="en-US" w:eastAsia="en-US"/>
        </w:rPr>
      </w:pPr>
      <w:r w:rsidRPr="00B700A9">
        <w:rPr>
          <w:rFonts w:ascii="Arial" w:hAnsi="Arial"/>
          <w:i/>
          <w:sz w:val="22"/>
          <w:szCs w:val="22"/>
          <w:lang w:val="en-US" w:eastAsia="en-US"/>
        </w:rPr>
        <w:t>Measurement criteria</w:t>
      </w:r>
      <w:r w:rsidRPr="00B700A9">
        <w:rPr>
          <w:rFonts w:ascii="Arial" w:hAnsi="Arial"/>
          <w:sz w:val="22"/>
          <w:szCs w:val="22"/>
          <w:lang w:val="en-US" w:eastAsia="en-US"/>
        </w:rPr>
        <w:t xml:space="preserve"> </w:t>
      </w:r>
      <w:r w:rsidR="009B28D0">
        <w:rPr>
          <w:rFonts w:ascii="Arial" w:hAnsi="Arial"/>
          <w:sz w:val="22"/>
          <w:szCs w:val="22"/>
          <w:lang w:val="en-US" w:eastAsia="en-US"/>
        </w:rPr>
        <w:t xml:space="preserve">(not defined in the regulations) </w:t>
      </w:r>
      <w:r w:rsidRPr="00B700A9">
        <w:rPr>
          <w:rFonts w:ascii="Arial" w:hAnsi="Arial"/>
          <w:sz w:val="22"/>
          <w:szCs w:val="22"/>
          <w:lang w:val="en-US" w:eastAsia="en-US"/>
        </w:rPr>
        <w:t xml:space="preserve">– defines </w:t>
      </w:r>
      <w:r w:rsidR="00B07F20" w:rsidRPr="00B700A9">
        <w:rPr>
          <w:rFonts w:ascii="Arial" w:hAnsi="Arial"/>
          <w:sz w:val="22"/>
          <w:szCs w:val="22"/>
          <w:lang w:val="en-US" w:eastAsia="en-US"/>
        </w:rPr>
        <w:t xml:space="preserve">the measure by which environmental </w:t>
      </w:r>
      <w:r w:rsidRPr="00B700A9">
        <w:rPr>
          <w:rFonts w:ascii="Arial" w:hAnsi="Arial"/>
          <w:sz w:val="22"/>
          <w:szCs w:val="22"/>
          <w:lang w:val="en-US" w:eastAsia="en-US"/>
        </w:rPr>
        <w:t xml:space="preserve">performance will be </w:t>
      </w:r>
      <w:r w:rsidR="00B07F20" w:rsidRPr="00B700A9">
        <w:rPr>
          <w:rFonts w:ascii="Arial" w:hAnsi="Arial"/>
          <w:sz w:val="22"/>
          <w:szCs w:val="22"/>
          <w:lang w:val="en-US" w:eastAsia="en-US"/>
        </w:rPr>
        <w:t>measured to determine whether the EPO has been met</w:t>
      </w:r>
      <w:r w:rsidRPr="00B700A9">
        <w:rPr>
          <w:rFonts w:ascii="Arial" w:hAnsi="Arial"/>
          <w:sz w:val="22"/>
          <w:szCs w:val="22"/>
          <w:lang w:val="en-US" w:eastAsia="en-US"/>
        </w:rPr>
        <w:t>.</w:t>
      </w:r>
    </w:p>
    <w:p w14:paraId="3E7CD377" w14:textId="15F28F1D" w:rsidR="00EE6FC7" w:rsidRPr="00B700A9" w:rsidRDefault="00EE6FC7" w:rsidP="00B700A9">
      <w:pPr>
        <w:pStyle w:val="bodycopy"/>
        <w:spacing w:after="240"/>
        <w:rPr>
          <w:rFonts w:ascii="Arial" w:hAnsi="Arial"/>
          <w:sz w:val="22"/>
          <w:szCs w:val="22"/>
          <w:lang w:val="en-US" w:eastAsia="en-US"/>
        </w:rPr>
      </w:pPr>
      <w:r w:rsidRPr="00B700A9">
        <w:rPr>
          <w:rFonts w:ascii="Arial" w:hAnsi="Arial"/>
          <w:sz w:val="22"/>
          <w:szCs w:val="22"/>
          <w:lang w:val="en-US" w:eastAsia="en-US"/>
        </w:rPr>
        <w:t xml:space="preserve">A summary of the </w:t>
      </w:r>
      <w:r w:rsidR="00EF4E2A">
        <w:rPr>
          <w:rFonts w:ascii="Arial" w:hAnsi="Arial"/>
          <w:sz w:val="22"/>
          <w:szCs w:val="22"/>
          <w:lang w:val="en-US" w:eastAsia="en-US"/>
        </w:rPr>
        <w:t xml:space="preserve">residual </w:t>
      </w:r>
      <w:r w:rsidRPr="00B700A9">
        <w:rPr>
          <w:rFonts w:ascii="Arial" w:hAnsi="Arial"/>
          <w:sz w:val="22"/>
          <w:szCs w:val="22"/>
          <w:lang w:val="en-US" w:eastAsia="en-US"/>
        </w:rPr>
        <w:t xml:space="preserve">impact and risk ratings for each impact identified and assessed in this chapter </w:t>
      </w:r>
      <w:r w:rsidR="00B07F20" w:rsidRPr="00B700A9">
        <w:rPr>
          <w:rFonts w:ascii="Arial" w:hAnsi="Arial"/>
          <w:sz w:val="22"/>
          <w:szCs w:val="22"/>
          <w:lang w:val="en-US" w:eastAsia="en-US"/>
        </w:rPr>
        <w:t>is</w:t>
      </w:r>
      <w:r w:rsidRPr="00B700A9">
        <w:rPr>
          <w:rFonts w:ascii="Arial" w:hAnsi="Arial"/>
          <w:sz w:val="22"/>
          <w:szCs w:val="22"/>
          <w:lang w:val="en-US" w:eastAsia="en-US"/>
        </w:rPr>
        <w:t xml:space="preserve"> </w:t>
      </w:r>
      <w:r w:rsidR="00B07F20" w:rsidRPr="00B700A9">
        <w:rPr>
          <w:rFonts w:ascii="Arial" w:hAnsi="Arial"/>
          <w:sz w:val="22"/>
          <w:szCs w:val="22"/>
          <w:lang w:val="en-US" w:eastAsia="en-US"/>
        </w:rPr>
        <w:t xml:space="preserve">presented </w:t>
      </w:r>
      <w:r w:rsidRPr="00B700A9">
        <w:rPr>
          <w:rFonts w:ascii="Arial" w:hAnsi="Arial"/>
          <w:sz w:val="22"/>
          <w:szCs w:val="22"/>
          <w:lang w:val="en-US" w:eastAsia="en-US"/>
        </w:rPr>
        <w:t xml:space="preserve">in </w:t>
      </w:r>
      <w:r w:rsidR="00A0678B" w:rsidRPr="004C0F3C">
        <w:rPr>
          <w:rFonts w:ascii="Arial" w:hAnsi="Arial"/>
          <w:sz w:val="22"/>
          <w:szCs w:val="22"/>
          <w:lang w:val="en-US" w:eastAsia="en-US"/>
        </w:rPr>
        <w:t>Table 7</w:t>
      </w:r>
      <w:r w:rsidRPr="004C0F3C">
        <w:rPr>
          <w:rFonts w:ascii="Arial" w:hAnsi="Arial"/>
          <w:sz w:val="22"/>
          <w:szCs w:val="22"/>
          <w:lang w:val="en-US" w:eastAsia="en-US"/>
        </w:rPr>
        <w:t>.1.</w:t>
      </w:r>
    </w:p>
    <w:p w14:paraId="55C9546C" w14:textId="52A83142" w:rsidR="00A0678B" w:rsidRPr="0031524E" w:rsidRDefault="00A0678B" w:rsidP="00A0678B">
      <w:pPr>
        <w:pStyle w:val="TableHeader"/>
        <w:spacing w:after="120"/>
        <w:jc w:val="center"/>
        <w:rPr>
          <w:rFonts w:cs="Arial"/>
          <w:sz w:val="20"/>
          <w:szCs w:val="20"/>
        </w:rPr>
      </w:pPr>
      <w:r w:rsidRPr="0031524E">
        <w:rPr>
          <w:rFonts w:cs="Arial"/>
          <w:sz w:val="20"/>
          <w:szCs w:val="20"/>
        </w:rPr>
        <w:t xml:space="preserve">Table </w:t>
      </w:r>
      <w:r w:rsidR="00B07F20" w:rsidRPr="0031524E">
        <w:rPr>
          <w:rFonts w:cs="Arial"/>
          <w:sz w:val="20"/>
          <w:szCs w:val="20"/>
        </w:rPr>
        <w:t>7</w:t>
      </w:r>
      <w:r w:rsidRPr="0031524E">
        <w:rPr>
          <w:rFonts w:cs="Arial"/>
          <w:sz w:val="20"/>
          <w:szCs w:val="20"/>
        </w:rPr>
        <w:t>.1</w:t>
      </w:r>
      <w:r w:rsidR="00EF4850" w:rsidRPr="0031524E">
        <w:rPr>
          <w:rFonts w:cs="Arial"/>
          <w:sz w:val="20"/>
          <w:szCs w:val="20"/>
        </w:rPr>
        <w:t>.</w:t>
      </w:r>
      <w:r w:rsidRPr="0031524E">
        <w:rPr>
          <w:rFonts w:cs="Arial"/>
          <w:sz w:val="20"/>
          <w:szCs w:val="20"/>
        </w:rPr>
        <w:tab/>
      </w:r>
      <w:r w:rsidR="00E241F1" w:rsidRPr="0031524E">
        <w:rPr>
          <w:rFonts w:cs="Arial"/>
          <w:sz w:val="20"/>
          <w:szCs w:val="20"/>
        </w:rPr>
        <w:t xml:space="preserve">Pelican 3DMSS </w:t>
      </w:r>
      <w:r w:rsidR="00EF4E2A">
        <w:rPr>
          <w:rFonts w:cs="Arial"/>
          <w:sz w:val="20"/>
          <w:szCs w:val="20"/>
        </w:rPr>
        <w:t xml:space="preserve">residual </w:t>
      </w:r>
      <w:r w:rsidR="00E241F1" w:rsidRPr="0031524E">
        <w:rPr>
          <w:rFonts w:cs="Arial"/>
          <w:sz w:val="20"/>
          <w:szCs w:val="20"/>
        </w:rPr>
        <w:t>environmental impact and risk ra</w:t>
      </w:r>
      <w:r w:rsidR="008100C0">
        <w:rPr>
          <w:rFonts w:cs="Arial"/>
          <w:sz w:val="20"/>
          <w:szCs w:val="20"/>
        </w:rPr>
        <w:t xml:space="preserve">ting </w:t>
      </w:r>
      <w:r w:rsidR="00E241F1" w:rsidRPr="0031524E">
        <w:rPr>
          <w:rFonts w:cs="Arial"/>
          <w:sz w:val="20"/>
          <w:szCs w:val="20"/>
        </w:rPr>
        <w:t>summar</w:t>
      </w:r>
      <w:r w:rsidR="00EF4E2A">
        <w:rPr>
          <w:rFonts w:cs="Arial"/>
          <w:sz w:val="20"/>
          <w:szCs w:val="20"/>
        </w:rPr>
        <w:t>y</w:t>
      </w:r>
      <w:r w:rsidR="0031524E">
        <w:rPr>
          <w:rFonts w:cs="Arial"/>
          <w:sz w:val="20"/>
          <w:szCs w:val="20"/>
        </w:rPr>
        <w:t xml:space="preserve"> </w:t>
      </w: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647"/>
        <w:gridCol w:w="4105"/>
        <w:gridCol w:w="3113"/>
      </w:tblGrid>
      <w:tr w:rsidR="00AA6226" w:rsidRPr="00B700A9" w14:paraId="14C24F6E" w14:textId="2FF14DD3" w:rsidTr="004C0F3C">
        <w:trPr>
          <w:jc w:val="center"/>
        </w:trPr>
        <w:tc>
          <w:tcPr>
            <w:tcW w:w="4752" w:type="dxa"/>
            <w:gridSpan w:val="2"/>
            <w:shd w:val="clear" w:color="auto" w:fill="064EA8"/>
          </w:tcPr>
          <w:p w14:paraId="6CD55169" w14:textId="77777777" w:rsidR="00AA6226" w:rsidRPr="00B700A9" w:rsidRDefault="00AA6226" w:rsidP="00514376">
            <w:pPr>
              <w:pStyle w:val="TableText"/>
              <w:spacing w:before="60" w:after="60" w:line="240" w:lineRule="auto"/>
              <w:rPr>
                <w:rFonts w:cs="Arial"/>
                <w:color w:val="FFFFFF" w:themeColor="background1"/>
                <w:sz w:val="20"/>
                <w:szCs w:val="20"/>
              </w:rPr>
            </w:pPr>
            <w:r w:rsidRPr="00B700A9">
              <w:rPr>
                <w:rFonts w:cs="Arial"/>
                <w:color w:val="FFFFFF" w:themeColor="background1"/>
                <w:sz w:val="20"/>
                <w:szCs w:val="20"/>
              </w:rPr>
              <w:t>Known hazards (impacts)</w:t>
            </w:r>
          </w:p>
        </w:tc>
        <w:tc>
          <w:tcPr>
            <w:tcW w:w="3113" w:type="dxa"/>
            <w:shd w:val="clear" w:color="auto" w:fill="064EA8"/>
          </w:tcPr>
          <w:p w14:paraId="57435C36" w14:textId="48AFCCF3" w:rsidR="00AA6226" w:rsidRPr="00B700A9" w:rsidRDefault="00AA6226" w:rsidP="00186C1D">
            <w:pPr>
              <w:pStyle w:val="TableText"/>
              <w:spacing w:before="60" w:after="60" w:line="240" w:lineRule="auto"/>
              <w:jc w:val="center"/>
              <w:rPr>
                <w:rFonts w:cs="Arial"/>
                <w:color w:val="FFFFFF" w:themeColor="background1"/>
                <w:sz w:val="20"/>
                <w:szCs w:val="20"/>
              </w:rPr>
            </w:pPr>
            <w:r>
              <w:rPr>
                <w:rFonts w:cs="Arial"/>
                <w:color w:val="FFFFFF" w:themeColor="background1"/>
                <w:sz w:val="20"/>
                <w:szCs w:val="20"/>
              </w:rPr>
              <w:t>Residual consequence</w:t>
            </w:r>
          </w:p>
        </w:tc>
      </w:tr>
      <w:tr w:rsidR="00AA6226" w:rsidRPr="00B700A9" w14:paraId="1EBC905D" w14:textId="77777777" w:rsidTr="004C0F3C">
        <w:trPr>
          <w:jc w:val="center"/>
        </w:trPr>
        <w:tc>
          <w:tcPr>
            <w:tcW w:w="647" w:type="dxa"/>
            <w:vMerge w:val="restart"/>
            <w:shd w:val="clear" w:color="auto" w:fill="auto"/>
          </w:tcPr>
          <w:p w14:paraId="14B3064A" w14:textId="70E2FACC" w:rsidR="00AA6226" w:rsidRPr="00B700A9" w:rsidRDefault="00AA6226" w:rsidP="00514376">
            <w:pPr>
              <w:pStyle w:val="TableText"/>
              <w:spacing w:before="60" w:after="60" w:line="240" w:lineRule="auto"/>
              <w:rPr>
                <w:rFonts w:cs="Arial"/>
                <w:sz w:val="20"/>
                <w:szCs w:val="20"/>
              </w:rPr>
            </w:pPr>
            <w:r>
              <w:rPr>
                <w:rFonts w:cs="Arial"/>
                <w:sz w:val="20"/>
                <w:szCs w:val="20"/>
              </w:rPr>
              <w:t>1</w:t>
            </w:r>
          </w:p>
        </w:tc>
        <w:tc>
          <w:tcPr>
            <w:tcW w:w="7218" w:type="dxa"/>
            <w:gridSpan w:val="2"/>
            <w:shd w:val="clear" w:color="auto" w:fill="auto"/>
          </w:tcPr>
          <w:p w14:paraId="619EA8BF" w14:textId="39979FEC" w:rsidR="00AA6226" w:rsidRPr="00114222" w:rsidRDefault="00AA6226" w:rsidP="00AA6226">
            <w:pPr>
              <w:pStyle w:val="TableText"/>
              <w:spacing w:before="60" w:after="60" w:line="240" w:lineRule="auto"/>
              <w:rPr>
                <w:rFonts w:cs="Arial"/>
                <w:sz w:val="20"/>
                <w:szCs w:val="20"/>
              </w:rPr>
            </w:pPr>
            <w:r>
              <w:rPr>
                <w:rFonts w:cs="Arial"/>
                <w:sz w:val="20"/>
                <w:szCs w:val="20"/>
              </w:rPr>
              <w:t>Underwater sound – impacts to biological receptors</w:t>
            </w:r>
          </w:p>
        </w:tc>
      </w:tr>
      <w:tr w:rsidR="00AA6226" w:rsidRPr="00B700A9" w14:paraId="182A1780" w14:textId="77777777" w:rsidTr="004C0F3C">
        <w:trPr>
          <w:jc w:val="center"/>
        </w:trPr>
        <w:tc>
          <w:tcPr>
            <w:tcW w:w="647" w:type="dxa"/>
            <w:vMerge/>
            <w:shd w:val="clear" w:color="auto" w:fill="auto"/>
          </w:tcPr>
          <w:p w14:paraId="217D3B5D" w14:textId="77777777" w:rsidR="00AA6226" w:rsidRPr="00B700A9" w:rsidRDefault="00AA6226" w:rsidP="00514376">
            <w:pPr>
              <w:pStyle w:val="TableText"/>
              <w:spacing w:before="60" w:after="60" w:line="240" w:lineRule="auto"/>
              <w:rPr>
                <w:rFonts w:cs="Arial"/>
                <w:sz w:val="20"/>
                <w:szCs w:val="20"/>
              </w:rPr>
            </w:pPr>
          </w:p>
        </w:tc>
        <w:tc>
          <w:tcPr>
            <w:tcW w:w="4105" w:type="dxa"/>
            <w:shd w:val="clear" w:color="auto" w:fill="auto"/>
          </w:tcPr>
          <w:p w14:paraId="5C5B2D15" w14:textId="7D78757D" w:rsidR="00AA6226" w:rsidRPr="00B700A9" w:rsidRDefault="00AA6226" w:rsidP="00876CE2">
            <w:pPr>
              <w:pStyle w:val="TableText"/>
              <w:spacing w:before="60" w:after="60" w:line="240" w:lineRule="auto"/>
              <w:rPr>
                <w:rFonts w:cs="Arial"/>
                <w:sz w:val="20"/>
                <w:szCs w:val="20"/>
              </w:rPr>
            </w:pPr>
            <w:r>
              <w:rPr>
                <w:rFonts w:cs="Arial"/>
                <w:sz w:val="20"/>
                <w:szCs w:val="20"/>
              </w:rPr>
              <w:t xml:space="preserve"> – plankton                     </w:t>
            </w:r>
          </w:p>
        </w:tc>
        <w:tc>
          <w:tcPr>
            <w:tcW w:w="3113" w:type="dxa"/>
            <w:shd w:val="clear" w:color="auto" w:fill="CCFFCC"/>
          </w:tcPr>
          <w:p w14:paraId="3B466F56" w14:textId="55F124A7" w:rsidR="00AA6226" w:rsidRDefault="00AA6226" w:rsidP="00FA028C">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3FDBB9FF" w14:textId="77777777" w:rsidTr="004C0F3C">
        <w:trPr>
          <w:jc w:val="center"/>
        </w:trPr>
        <w:tc>
          <w:tcPr>
            <w:tcW w:w="647" w:type="dxa"/>
            <w:vMerge/>
            <w:shd w:val="clear" w:color="auto" w:fill="auto"/>
          </w:tcPr>
          <w:p w14:paraId="62EE242F" w14:textId="77777777" w:rsidR="00AA6226" w:rsidRPr="00B700A9" w:rsidRDefault="00AA6226" w:rsidP="00514376">
            <w:pPr>
              <w:pStyle w:val="TableText"/>
              <w:spacing w:before="60" w:after="60" w:line="240" w:lineRule="auto"/>
              <w:rPr>
                <w:rFonts w:cs="Arial"/>
                <w:sz w:val="20"/>
                <w:szCs w:val="20"/>
              </w:rPr>
            </w:pPr>
          </w:p>
        </w:tc>
        <w:tc>
          <w:tcPr>
            <w:tcW w:w="4105" w:type="dxa"/>
            <w:shd w:val="clear" w:color="auto" w:fill="auto"/>
          </w:tcPr>
          <w:p w14:paraId="64EEF996" w14:textId="77F6102D" w:rsidR="00AA6226" w:rsidRPr="00B700A9" w:rsidRDefault="00AA6226" w:rsidP="00876CE2">
            <w:pPr>
              <w:pStyle w:val="TableText"/>
              <w:spacing w:before="60" w:after="60" w:line="240" w:lineRule="auto"/>
              <w:rPr>
                <w:rFonts w:cs="Arial"/>
                <w:sz w:val="20"/>
                <w:szCs w:val="20"/>
              </w:rPr>
            </w:pPr>
            <w:r>
              <w:rPr>
                <w:rFonts w:cs="Arial"/>
                <w:sz w:val="20"/>
                <w:szCs w:val="20"/>
              </w:rPr>
              <w:t xml:space="preserve"> – fish (with swim bladders)                     </w:t>
            </w:r>
          </w:p>
        </w:tc>
        <w:tc>
          <w:tcPr>
            <w:tcW w:w="3113" w:type="dxa"/>
            <w:shd w:val="clear" w:color="auto" w:fill="CCFFCC"/>
          </w:tcPr>
          <w:p w14:paraId="2C4A779E" w14:textId="1F180358" w:rsidR="00AA6226" w:rsidRDefault="00AA6226" w:rsidP="00FA028C">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4E288B3A" w14:textId="77777777" w:rsidTr="004C0F3C">
        <w:trPr>
          <w:jc w:val="center"/>
        </w:trPr>
        <w:tc>
          <w:tcPr>
            <w:tcW w:w="647" w:type="dxa"/>
            <w:vMerge/>
            <w:shd w:val="clear" w:color="auto" w:fill="auto"/>
          </w:tcPr>
          <w:p w14:paraId="33421D88" w14:textId="77777777" w:rsidR="00AA6226" w:rsidRPr="00B700A9" w:rsidRDefault="00AA6226" w:rsidP="00514376">
            <w:pPr>
              <w:pStyle w:val="TableText"/>
              <w:spacing w:before="60" w:after="60" w:line="240" w:lineRule="auto"/>
              <w:rPr>
                <w:rFonts w:cs="Arial"/>
                <w:sz w:val="20"/>
                <w:szCs w:val="20"/>
              </w:rPr>
            </w:pPr>
          </w:p>
        </w:tc>
        <w:tc>
          <w:tcPr>
            <w:tcW w:w="4105" w:type="dxa"/>
            <w:shd w:val="clear" w:color="auto" w:fill="auto"/>
          </w:tcPr>
          <w:p w14:paraId="0A73B94F" w14:textId="082A6770" w:rsidR="00AA6226" w:rsidRPr="00B700A9" w:rsidRDefault="00AA6226" w:rsidP="00876CE2">
            <w:pPr>
              <w:pStyle w:val="TableText"/>
              <w:spacing w:before="60" w:after="60" w:line="240" w:lineRule="auto"/>
              <w:rPr>
                <w:rFonts w:cs="Arial"/>
                <w:sz w:val="20"/>
                <w:szCs w:val="20"/>
              </w:rPr>
            </w:pPr>
            <w:r>
              <w:rPr>
                <w:rFonts w:cs="Arial"/>
                <w:sz w:val="20"/>
                <w:szCs w:val="20"/>
              </w:rPr>
              <w:t xml:space="preserve"> – fish (without swim bladders)                     </w:t>
            </w:r>
          </w:p>
        </w:tc>
        <w:tc>
          <w:tcPr>
            <w:tcW w:w="3113" w:type="dxa"/>
            <w:shd w:val="clear" w:color="auto" w:fill="CCFFCC"/>
          </w:tcPr>
          <w:p w14:paraId="4474C14D" w14:textId="7745174A" w:rsidR="00AA6226" w:rsidRDefault="00AA6226" w:rsidP="00FA028C">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51A8C052" w14:textId="77777777" w:rsidTr="004C0F3C">
        <w:trPr>
          <w:jc w:val="center"/>
        </w:trPr>
        <w:tc>
          <w:tcPr>
            <w:tcW w:w="647" w:type="dxa"/>
            <w:vMerge/>
            <w:shd w:val="clear" w:color="auto" w:fill="auto"/>
          </w:tcPr>
          <w:p w14:paraId="245A4990" w14:textId="77777777" w:rsidR="00AA6226" w:rsidRPr="00B700A9" w:rsidRDefault="00AA6226" w:rsidP="00514376">
            <w:pPr>
              <w:pStyle w:val="TableText"/>
              <w:spacing w:before="60" w:after="60" w:line="240" w:lineRule="auto"/>
              <w:rPr>
                <w:rFonts w:cs="Arial"/>
                <w:sz w:val="20"/>
                <w:szCs w:val="20"/>
              </w:rPr>
            </w:pPr>
          </w:p>
        </w:tc>
        <w:tc>
          <w:tcPr>
            <w:tcW w:w="4105" w:type="dxa"/>
            <w:shd w:val="clear" w:color="auto" w:fill="auto"/>
          </w:tcPr>
          <w:p w14:paraId="36C4F207" w14:textId="216D653F" w:rsidR="00AA6226" w:rsidRPr="00B700A9" w:rsidRDefault="00AA6226" w:rsidP="00876CE2">
            <w:pPr>
              <w:pStyle w:val="TableText"/>
              <w:spacing w:before="60" w:after="60" w:line="240" w:lineRule="auto"/>
              <w:rPr>
                <w:rFonts w:cs="Arial"/>
                <w:sz w:val="20"/>
                <w:szCs w:val="20"/>
              </w:rPr>
            </w:pPr>
            <w:r>
              <w:rPr>
                <w:rFonts w:cs="Arial"/>
                <w:sz w:val="20"/>
                <w:szCs w:val="20"/>
              </w:rPr>
              <w:t xml:space="preserve"> – cetaceans                     </w:t>
            </w:r>
          </w:p>
        </w:tc>
        <w:tc>
          <w:tcPr>
            <w:tcW w:w="3113" w:type="dxa"/>
            <w:shd w:val="clear" w:color="auto" w:fill="CCFFCC"/>
          </w:tcPr>
          <w:p w14:paraId="74F40D22" w14:textId="309B674C" w:rsidR="00AA6226" w:rsidRDefault="00AA6226" w:rsidP="00FA028C">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74762776" w14:textId="77777777" w:rsidTr="004C0F3C">
        <w:trPr>
          <w:jc w:val="center"/>
        </w:trPr>
        <w:tc>
          <w:tcPr>
            <w:tcW w:w="647" w:type="dxa"/>
            <w:vMerge/>
            <w:shd w:val="clear" w:color="auto" w:fill="auto"/>
          </w:tcPr>
          <w:p w14:paraId="67CEF85A" w14:textId="77777777" w:rsidR="00AA6226" w:rsidRPr="00B700A9" w:rsidRDefault="00AA6226" w:rsidP="00514376">
            <w:pPr>
              <w:pStyle w:val="TableText"/>
              <w:spacing w:before="60" w:after="60" w:line="240" w:lineRule="auto"/>
              <w:rPr>
                <w:rFonts w:cs="Arial"/>
                <w:sz w:val="20"/>
                <w:szCs w:val="20"/>
              </w:rPr>
            </w:pPr>
          </w:p>
        </w:tc>
        <w:tc>
          <w:tcPr>
            <w:tcW w:w="4105" w:type="dxa"/>
            <w:shd w:val="clear" w:color="auto" w:fill="auto"/>
          </w:tcPr>
          <w:p w14:paraId="0A1A7E7F" w14:textId="378299D9" w:rsidR="00AA6226" w:rsidRPr="00B700A9" w:rsidRDefault="00AA6226" w:rsidP="00876CE2">
            <w:pPr>
              <w:pStyle w:val="TableText"/>
              <w:spacing w:before="60" w:after="60" w:line="240" w:lineRule="auto"/>
              <w:rPr>
                <w:rFonts w:cs="Arial"/>
                <w:sz w:val="20"/>
                <w:szCs w:val="20"/>
              </w:rPr>
            </w:pPr>
            <w:r>
              <w:rPr>
                <w:rFonts w:cs="Arial"/>
                <w:sz w:val="20"/>
                <w:szCs w:val="20"/>
              </w:rPr>
              <w:t xml:space="preserve"> – pinnipeds                     </w:t>
            </w:r>
          </w:p>
        </w:tc>
        <w:tc>
          <w:tcPr>
            <w:tcW w:w="3113" w:type="dxa"/>
            <w:shd w:val="clear" w:color="auto" w:fill="CCFFCC"/>
          </w:tcPr>
          <w:p w14:paraId="2DFD9627" w14:textId="54D69A5C" w:rsidR="00AA6226" w:rsidRDefault="00AA6226" w:rsidP="00FA028C">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426AF7D0" w14:textId="77777777" w:rsidTr="004C0F3C">
        <w:trPr>
          <w:jc w:val="center"/>
        </w:trPr>
        <w:tc>
          <w:tcPr>
            <w:tcW w:w="647" w:type="dxa"/>
            <w:vMerge/>
            <w:shd w:val="clear" w:color="auto" w:fill="auto"/>
          </w:tcPr>
          <w:p w14:paraId="4E207D69" w14:textId="77777777" w:rsidR="00AA6226" w:rsidRPr="00B700A9" w:rsidRDefault="00AA6226" w:rsidP="00514376">
            <w:pPr>
              <w:pStyle w:val="TableText"/>
              <w:spacing w:before="60" w:after="60" w:line="240" w:lineRule="auto"/>
              <w:rPr>
                <w:rFonts w:cs="Arial"/>
                <w:sz w:val="20"/>
                <w:szCs w:val="20"/>
              </w:rPr>
            </w:pPr>
          </w:p>
        </w:tc>
        <w:tc>
          <w:tcPr>
            <w:tcW w:w="4105" w:type="dxa"/>
            <w:shd w:val="clear" w:color="auto" w:fill="auto"/>
          </w:tcPr>
          <w:p w14:paraId="4F78171C" w14:textId="665AF1B3" w:rsidR="00AA6226" w:rsidRPr="00B700A9" w:rsidRDefault="00AA6226" w:rsidP="00876CE2">
            <w:pPr>
              <w:pStyle w:val="TableText"/>
              <w:spacing w:before="60" w:after="60" w:line="240" w:lineRule="auto"/>
              <w:rPr>
                <w:rFonts w:cs="Arial"/>
                <w:sz w:val="20"/>
                <w:szCs w:val="20"/>
              </w:rPr>
            </w:pPr>
            <w:r>
              <w:rPr>
                <w:rFonts w:cs="Arial"/>
                <w:sz w:val="20"/>
                <w:szCs w:val="20"/>
              </w:rPr>
              <w:t xml:space="preserve"> – avifauna                     </w:t>
            </w:r>
          </w:p>
        </w:tc>
        <w:tc>
          <w:tcPr>
            <w:tcW w:w="3113" w:type="dxa"/>
            <w:shd w:val="clear" w:color="auto" w:fill="CCFFCC"/>
          </w:tcPr>
          <w:p w14:paraId="30E0FD87" w14:textId="47ECADC3" w:rsidR="00AA6226" w:rsidRDefault="00AA6226" w:rsidP="00FA028C">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6EC4C984" w14:textId="77777777" w:rsidTr="004C0F3C">
        <w:trPr>
          <w:jc w:val="center"/>
        </w:trPr>
        <w:tc>
          <w:tcPr>
            <w:tcW w:w="647" w:type="dxa"/>
            <w:vMerge/>
            <w:shd w:val="clear" w:color="auto" w:fill="auto"/>
          </w:tcPr>
          <w:p w14:paraId="761BCBCE" w14:textId="77777777" w:rsidR="00AA6226" w:rsidRPr="00B700A9" w:rsidRDefault="00AA6226" w:rsidP="00514376">
            <w:pPr>
              <w:pStyle w:val="TableText"/>
              <w:spacing w:before="60" w:after="60" w:line="240" w:lineRule="auto"/>
              <w:rPr>
                <w:rFonts w:cs="Arial"/>
                <w:sz w:val="20"/>
                <w:szCs w:val="20"/>
              </w:rPr>
            </w:pPr>
          </w:p>
        </w:tc>
        <w:tc>
          <w:tcPr>
            <w:tcW w:w="4105" w:type="dxa"/>
            <w:shd w:val="clear" w:color="auto" w:fill="auto"/>
          </w:tcPr>
          <w:p w14:paraId="2366A6CF" w14:textId="6956C272" w:rsidR="00AA6226" w:rsidRPr="00B700A9" w:rsidRDefault="00AA6226" w:rsidP="00876CE2">
            <w:pPr>
              <w:pStyle w:val="TableText"/>
              <w:spacing w:before="60" w:after="60" w:line="240" w:lineRule="auto"/>
              <w:rPr>
                <w:rFonts w:cs="Arial"/>
                <w:sz w:val="20"/>
                <w:szCs w:val="20"/>
              </w:rPr>
            </w:pPr>
            <w:r>
              <w:rPr>
                <w:rFonts w:cs="Arial"/>
                <w:sz w:val="20"/>
                <w:szCs w:val="20"/>
              </w:rPr>
              <w:t xml:space="preserve"> – crustceans (e.g., southern rock lobster)                     </w:t>
            </w:r>
          </w:p>
        </w:tc>
        <w:tc>
          <w:tcPr>
            <w:tcW w:w="3113" w:type="dxa"/>
            <w:shd w:val="clear" w:color="auto" w:fill="33CC33"/>
          </w:tcPr>
          <w:p w14:paraId="65B869EE" w14:textId="00B677BB" w:rsidR="00AA6226" w:rsidRDefault="00AA6226" w:rsidP="00FA028C">
            <w:pPr>
              <w:pStyle w:val="TableText"/>
              <w:spacing w:before="60" w:after="60" w:line="240" w:lineRule="auto"/>
              <w:jc w:val="center"/>
              <w:rPr>
                <w:rFonts w:cs="Arial"/>
                <w:sz w:val="20"/>
                <w:szCs w:val="20"/>
              </w:rPr>
            </w:pPr>
            <w:r>
              <w:rPr>
                <w:rFonts w:cs="Arial"/>
                <w:sz w:val="20"/>
                <w:szCs w:val="20"/>
              </w:rPr>
              <w:t>Minor</w:t>
            </w:r>
          </w:p>
        </w:tc>
      </w:tr>
      <w:tr w:rsidR="00AA6226" w:rsidRPr="00B700A9" w14:paraId="28EB2BB4" w14:textId="77777777" w:rsidTr="004C0F3C">
        <w:trPr>
          <w:jc w:val="center"/>
        </w:trPr>
        <w:tc>
          <w:tcPr>
            <w:tcW w:w="647" w:type="dxa"/>
            <w:vMerge/>
            <w:shd w:val="clear" w:color="auto" w:fill="auto"/>
          </w:tcPr>
          <w:p w14:paraId="10DB9F10" w14:textId="77777777" w:rsidR="00AA6226" w:rsidRPr="00B700A9" w:rsidRDefault="00AA6226" w:rsidP="00514376">
            <w:pPr>
              <w:pStyle w:val="TableText"/>
              <w:spacing w:before="60" w:after="60" w:line="240" w:lineRule="auto"/>
              <w:rPr>
                <w:rFonts w:cs="Arial"/>
                <w:sz w:val="20"/>
                <w:szCs w:val="20"/>
              </w:rPr>
            </w:pPr>
          </w:p>
        </w:tc>
        <w:tc>
          <w:tcPr>
            <w:tcW w:w="4105" w:type="dxa"/>
            <w:shd w:val="clear" w:color="auto" w:fill="auto"/>
          </w:tcPr>
          <w:p w14:paraId="5471E32E" w14:textId="71676563" w:rsidR="00AA6226" w:rsidRPr="00B700A9" w:rsidRDefault="00AA6226" w:rsidP="00876CE2">
            <w:pPr>
              <w:pStyle w:val="TableText"/>
              <w:spacing w:before="60" w:after="60" w:line="240" w:lineRule="auto"/>
              <w:rPr>
                <w:rFonts w:cs="Arial"/>
                <w:sz w:val="20"/>
                <w:szCs w:val="20"/>
              </w:rPr>
            </w:pPr>
            <w:r>
              <w:rPr>
                <w:rFonts w:cs="Arial"/>
                <w:sz w:val="20"/>
                <w:szCs w:val="20"/>
              </w:rPr>
              <w:t xml:space="preserve"> – molluscs (e.g., commercial scallops)                     </w:t>
            </w:r>
          </w:p>
        </w:tc>
        <w:tc>
          <w:tcPr>
            <w:tcW w:w="3113" w:type="dxa"/>
            <w:shd w:val="clear" w:color="auto" w:fill="33CC33"/>
          </w:tcPr>
          <w:p w14:paraId="216132EB" w14:textId="731BF036" w:rsidR="00AA6226" w:rsidRDefault="00AA6226" w:rsidP="00FA028C">
            <w:pPr>
              <w:pStyle w:val="TableText"/>
              <w:spacing w:before="60" w:after="60" w:line="240" w:lineRule="auto"/>
              <w:jc w:val="center"/>
              <w:rPr>
                <w:rFonts w:cs="Arial"/>
                <w:sz w:val="20"/>
                <w:szCs w:val="20"/>
              </w:rPr>
            </w:pPr>
            <w:r>
              <w:rPr>
                <w:rFonts w:cs="Arial"/>
                <w:sz w:val="20"/>
                <w:szCs w:val="20"/>
              </w:rPr>
              <w:t>Minor</w:t>
            </w:r>
          </w:p>
        </w:tc>
      </w:tr>
      <w:tr w:rsidR="00AA6226" w:rsidRPr="00B700A9" w14:paraId="1FA1ADCC" w14:textId="77777777" w:rsidTr="004C0F3C">
        <w:trPr>
          <w:jc w:val="center"/>
        </w:trPr>
        <w:tc>
          <w:tcPr>
            <w:tcW w:w="647" w:type="dxa"/>
            <w:vMerge/>
            <w:shd w:val="clear" w:color="auto" w:fill="auto"/>
          </w:tcPr>
          <w:p w14:paraId="43B9B8FB" w14:textId="77777777" w:rsidR="00AA6226" w:rsidRPr="00B700A9" w:rsidRDefault="00AA6226" w:rsidP="00514376">
            <w:pPr>
              <w:pStyle w:val="TableText"/>
              <w:spacing w:before="60" w:after="60" w:line="240" w:lineRule="auto"/>
              <w:rPr>
                <w:rFonts w:cs="Arial"/>
                <w:sz w:val="20"/>
                <w:szCs w:val="20"/>
              </w:rPr>
            </w:pPr>
          </w:p>
        </w:tc>
        <w:tc>
          <w:tcPr>
            <w:tcW w:w="4105" w:type="dxa"/>
            <w:shd w:val="clear" w:color="auto" w:fill="auto"/>
          </w:tcPr>
          <w:p w14:paraId="46FA4BBA" w14:textId="19800654" w:rsidR="00AA6226" w:rsidRDefault="00AA6226" w:rsidP="00876CE2">
            <w:pPr>
              <w:pStyle w:val="TableText"/>
              <w:spacing w:before="60" w:after="60" w:line="240" w:lineRule="auto"/>
              <w:rPr>
                <w:rFonts w:cs="Arial"/>
                <w:sz w:val="20"/>
                <w:szCs w:val="20"/>
              </w:rPr>
            </w:pPr>
            <w:r>
              <w:rPr>
                <w:rFonts w:cs="Arial"/>
                <w:sz w:val="20"/>
                <w:szCs w:val="20"/>
              </w:rPr>
              <w:t xml:space="preserve"> – turtles                     </w:t>
            </w:r>
          </w:p>
        </w:tc>
        <w:tc>
          <w:tcPr>
            <w:tcW w:w="3113" w:type="dxa"/>
            <w:shd w:val="clear" w:color="auto" w:fill="CCFFCC"/>
          </w:tcPr>
          <w:p w14:paraId="7C13D364" w14:textId="5DD2F2B8" w:rsidR="00AA6226" w:rsidRDefault="00AA6226" w:rsidP="00FA028C">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1AC08C86" w14:textId="77777777" w:rsidTr="004C0F3C">
        <w:trPr>
          <w:jc w:val="center"/>
        </w:trPr>
        <w:tc>
          <w:tcPr>
            <w:tcW w:w="647" w:type="dxa"/>
            <w:tcBorders>
              <w:top w:val="nil"/>
              <w:bottom w:val="nil"/>
            </w:tcBorders>
            <w:shd w:val="clear" w:color="auto" w:fill="auto"/>
          </w:tcPr>
          <w:p w14:paraId="1FF9C4A3" w14:textId="213F96E8" w:rsidR="00AA6226" w:rsidRDefault="00185A15" w:rsidP="00514376">
            <w:pPr>
              <w:pStyle w:val="TableText"/>
              <w:spacing w:before="60" w:after="60" w:line="240" w:lineRule="auto"/>
              <w:rPr>
                <w:rFonts w:cs="Arial"/>
                <w:sz w:val="20"/>
                <w:szCs w:val="20"/>
              </w:rPr>
            </w:pPr>
            <w:r>
              <w:rPr>
                <w:rFonts w:cs="Arial"/>
                <w:sz w:val="20"/>
                <w:szCs w:val="20"/>
              </w:rPr>
              <w:t>2</w:t>
            </w:r>
          </w:p>
        </w:tc>
        <w:tc>
          <w:tcPr>
            <w:tcW w:w="7218" w:type="dxa"/>
            <w:gridSpan w:val="2"/>
            <w:shd w:val="clear" w:color="auto" w:fill="auto"/>
          </w:tcPr>
          <w:p w14:paraId="3C2962D0" w14:textId="391C741B" w:rsidR="00AA6226" w:rsidRDefault="00AA6226" w:rsidP="00AA6226">
            <w:pPr>
              <w:pStyle w:val="TableText"/>
              <w:spacing w:before="60" w:after="60" w:line="240" w:lineRule="auto"/>
              <w:rPr>
                <w:rFonts w:cs="Arial"/>
                <w:sz w:val="20"/>
                <w:szCs w:val="20"/>
              </w:rPr>
            </w:pPr>
            <w:r>
              <w:rPr>
                <w:rFonts w:cs="Arial"/>
                <w:sz w:val="20"/>
                <w:szCs w:val="20"/>
              </w:rPr>
              <w:t>Underwater</w:t>
            </w:r>
            <w:r w:rsidR="00185A15">
              <w:rPr>
                <w:rFonts w:cs="Arial"/>
                <w:sz w:val="20"/>
                <w:szCs w:val="20"/>
              </w:rPr>
              <w:t xml:space="preserve"> sound – disruption to commercial fisheries</w:t>
            </w:r>
          </w:p>
        </w:tc>
      </w:tr>
      <w:tr w:rsidR="00AA6226" w:rsidRPr="00B700A9" w14:paraId="2785E95F" w14:textId="77777777" w:rsidTr="004C0F3C">
        <w:trPr>
          <w:jc w:val="center"/>
        </w:trPr>
        <w:tc>
          <w:tcPr>
            <w:tcW w:w="647" w:type="dxa"/>
            <w:tcBorders>
              <w:top w:val="nil"/>
              <w:bottom w:val="nil"/>
            </w:tcBorders>
            <w:shd w:val="clear" w:color="auto" w:fill="auto"/>
          </w:tcPr>
          <w:p w14:paraId="2B57AD5C" w14:textId="5886C1AC" w:rsidR="00AA6226" w:rsidRDefault="00AA6226" w:rsidP="00514376">
            <w:pPr>
              <w:pStyle w:val="TableText"/>
              <w:spacing w:before="60" w:after="60" w:line="240" w:lineRule="auto"/>
              <w:rPr>
                <w:rFonts w:cs="Arial"/>
                <w:sz w:val="20"/>
                <w:szCs w:val="20"/>
              </w:rPr>
            </w:pPr>
            <w:r>
              <w:rPr>
                <w:rFonts w:cs="Arial"/>
                <w:sz w:val="20"/>
                <w:szCs w:val="20"/>
              </w:rPr>
              <w:t xml:space="preserve"> </w:t>
            </w:r>
          </w:p>
        </w:tc>
        <w:tc>
          <w:tcPr>
            <w:tcW w:w="4105" w:type="dxa"/>
            <w:shd w:val="clear" w:color="auto" w:fill="auto"/>
          </w:tcPr>
          <w:p w14:paraId="5DA26DA6" w14:textId="4EE06B35" w:rsidR="00AA6226" w:rsidRPr="00B700A9" w:rsidRDefault="00AA6226" w:rsidP="00876CE2">
            <w:pPr>
              <w:pStyle w:val="TableText"/>
              <w:spacing w:before="60" w:after="60" w:line="240" w:lineRule="auto"/>
              <w:rPr>
                <w:rFonts w:cs="Arial"/>
                <w:sz w:val="20"/>
                <w:szCs w:val="20"/>
              </w:rPr>
            </w:pPr>
            <w:r>
              <w:rPr>
                <w:rFonts w:cs="Arial"/>
                <w:sz w:val="20"/>
                <w:szCs w:val="20"/>
              </w:rPr>
              <w:t xml:space="preserve"> – commercial scallops (Vic)                     </w:t>
            </w:r>
          </w:p>
        </w:tc>
        <w:tc>
          <w:tcPr>
            <w:tcW w:w="3113" w:type="dxa"/>
            <w:shd w:val="clear" w:color="auto" w:fill="33CC33"/>
          </w:tcPr>
          <w:p w14:paraId="557FEBCD" w14:textId="7FCDB97C" w:rsidR="00AA6226" w:rsidRDefault="00AA6226" w:rsidP="00514376">
            <w:pPr>
              <w:pStyle w:val="TableText"/>
              <w:spacing w:before="60" w:after="60" w:line="240" w:lineRule="auto"/>
              <w:jc w:val="center"/>
              <w:rPr>
                <w:rFonts w:cs="Arial"/>
                <w:sz w:val="20"/>
                <w:szCs w:val="20"/>
              </w:rPr>
            </w:pPr>
            <w:r>
              <w:rPr>
                <w:rFonts w:cs="Arial"/>
                <w:sz w:val="20"/>
                <w:szCs w:val="20"/>
              </w:rPr>
              <w:t>Minor</w:t>
            </w:r>
          </w:p>
        </w:tc>
      </w:tr>
      <w:tr w:rsidR="00AA6226" w:rsidRPr="00B700A9" w14:paraId="7F25990B" w14:textId="77777777" w:rsidTr="004C0F3C">
        <w:trPr>
          <w:jc w:val="center"/>
        </w:trPr>
        <w:tc>
          <w:tcPr>
            <w:tcW w:w="647" w:type="dxa"/>
            <w:tcBorders>
              <w:top w:val="nil"/>
            </w:tcBorders>
            <w:shd w:val="clear" w:color="auto" w:fill="auto"/>
          </w:tcPr>
          <w:p w14:paraId="133E0CEC" w14:textId="77777777" w:rsidR="00AA6226" w:rsidRDefault="00AA6226" w:rsidP="00514376">
            <w:pPr>
              <w:pStyle w:val="TableText"/>
              <w:spacing w:before="60" w:after="60" w:line="240" w:lineRule="auto"/>
              <w:rPr>
                <w:rFonts w:cs="Arial"/>
                <w:sz w:val="20"/>
                <w:szCs w:val="20"/>
              </w:rPr>
            </w:pPr>
          </w:p>
        </w:tc>
        <w:tc>
          <w:tcPr>
            <w:tcW w:w="4105" w:type="dxa"/>
            <w:shd w:val="clear" w:color="auto" w:fill="auto"/>
          </w:tcPr>
          <w:p w14:paraId="4E826591" w14:textId="69678E13" w:rsidR="00AA6226" w:rsidRPr="00B700A9" w:rsidRDefault="00AA6226" w:rsidP="00265441">
            <w:pPr>
              <w:pStyle w:val="TableText"/>
              <w:spacing w:before="60" w:after="60" w:line="240" w:lineRule="auto"/>
              <w:rPr>
                <w:rFonts w:cs="Arial"/>
                <w:sz w:val="20"/>
                <w:szCs w:val="20"/>
              </w:rPr>
            </w:pPr>
            <w:r>
              <w:rPr>
                <w:rFonts w:cs="Arial"/>
                <w:sz w:val="20"/>
                <w:szCs w:val="20"/>
              </w:rPr>
              <w:t xml:space="preserve"> – southern rock lobster (Vic)                     </w:t>
            </w:r>
          </w:p>
        </w:tc>
        <w:tc>
          <w:tcPr>
            <w:tcW w:w="3113" w:type="dxa"/>
            <w:shd w:val="clear" w:color="auto" w:fill="33CC33"/>
          </w:tcPr>
          <w:p w14:paraId="5E18F96C" w14:textId="1251B772" w:rsidR="00AA6226" w:rsidRDefault="00AA6226" w:rsidP="00514376">
            <w:pPr>
              <w:pStyle w:val="TableText"/>
              <w:spacing w:before="60" w:after="60" w:line="240" w:lineRule="auto"/>
              <w:jc w:val="center"/>
              <w:rPr>
                <w:rFonts w:cs="Arial"/>
                <w:sz w:val="20"/>
                <w:szCs w:val="20"/>
              </w:rPr>
            </w:pPr>
            <w:r>
              <w:rPr>
                <w:rFonts w:cs="Arial"/>
                <w:sz w:val="20"/>
                <w:szCs w:val="20"/>
              </w:rPr>
              <w:t>Minor</w:t>
            </w:r>
          </w:p>
        </w:tc>
      </w:tr>
      <w:tr w:rsidR="00AA6226" w:rsidRPr="00B700A9" w14:paraId="5339FE58" w14:textId="77777777" w:rsidTr="004C0F3C">
        <w:trPr>
          <w:jc w:val="center"/>
        </w:trPr>
        <w:tc>
          <w:tcPr>
            <w:tcW w:w="647" w:type="dxa"/>
            <w:tcBorders>
              <w:bottom w:val="nil"/>
            </w:tcBorders>
            <w:shd w:val="clear" w:color="auto" w:fill="auto"/>
          </w:tcPr>
          <w:p w14:paraId="2B9B67FC" w14:textId="77777777" w:rsidR="00AA6226" w:rsidRDefault="00AA6226" w:rsidP="00514376">
            <w:pPr>
              <w:pStyle w:val="TableText"/>
              <w:spacing w:before="60" w:after="60" w:line="240" w:lineRule="auto"/>
              <w:rPr>
                <w:rFonts w:cs="Arial"/>
                <w:sz w:val="20"/>
                <w:szCs w:val="20"/>
              </w:rPr>
            </w:pPr>
          </w:p>
        </w:tc>
        <w:tc>
          <w:tcPr>
            <w:tcW w:w="4105" w:type="dxa"/>
            <w:shd w:val="clear" w:color="auto" w:fill="auto"/>
          </w:tcPr>
          <w:p w14:paraId="03F108B1" w14:textId="582784DC" w:rsidR="00AA6226" w:rsidRPr="00B700A9" w:rsidRDefault="00AA6226" w:rsidP="00265441">
            <w:pPr>
              <w:pStyle w:val="TableText"/>
              <w:spacing w:before="60" w:after="60" w:line="240" w:lineRule="auto"/>
              <w:rPr>
                <w:rFonts w:cs="Arial"/>
                <w:sz w:val="20"/>
                <w:szCs w:val="20"/>
              </w:rPr>
            </w:pPr>
            <w:r>
              <w:rPr>
                <w:rFonts w:cs="Arial"/>
                <w:sz w:val="20"/>
                <w:szCs w:val="20"/>
              </w:rPr>
              <w:t xml:space="preserve"> – ocean access (Vic)                     </w:t>
            </w:r>
          </w:p>
        </w:tc>
        <w:tc>
          <w:tcPr>
            <w:tcW w:w="3113" w:type="dxa"/>
            <w:shd w:val="clear" w:color="auto" w:fill="CCFFCC"/>
          </w:tcPr>
          <w:p w14:paraId="4B3BE12B" w14:textId="5FB0F8F5" w:rsidR="00AA6226" w:rsidRDefault="00AA6226" w:rsidP="00514376">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2189F505" w14:textId="77777777" w:rsidTr="004C0F3C">
        <w:trPr>
          <w:jc w:val="center"/>
        </w:trPr>
        <w:tc>
          <w:tcPr>
            <w:tcW w:w="647" w:type="dxa"/>
            <w:tcBorders>
              <w:top w:val="nil"/>
              <w:bottom w:val="nil"/>
            </w:tcBorders>
            <w:shd w:val="clear" w:color="auto" w:fill="auto"/>
          </w:tcPr>
          <w:p w14:paraId="109609C0" w14:textId="77777777" w:rsidR="00AA6226" w:rsidRDefault="00AA6226" w:rsidP="00514376">
            <w:pPr>
              <w:pStyle w:val="TableText"/>
              <w:spacing w:before="60" w:after="60" w:line="240" w:lineRule="auto"/>
              <w:rPr>
                <w:rFonts w:cs="Arial"/>
                <w:sz w:val="20"/>
                <w:szCs w:val="20"/>
              </w:rPr>
            </w:pPr>
          </w:p>
        </w:tc>
        <w:tc>
          <w:tcPr>
            <w:tcW w:w="4105" w:type="dxa"/>
            <w:shd w:val="clear" w:color="auto" w:fill="auto"/>
          </w:tcPr>
          <w:p w14:paraId="6700D0CE" w14:textId="37FFA20F" w:rsidR="00AA6226" w:rsidRPr="00B700A9" w:rsidRDefault="00AA6226" w:rsidP="00265441">
            <w:pPr>
              <w:pStyle w:val="TableText"/>
              <w:spacing w:before="60" w:after="60" w:line="240" w:lineRule="auto"/>
              <w:rPr>
                <w:rFonts w:cs="Arial"/>
                <w:sz w:val="20"/>
                <w:szCs w:val="20"/>
              </w:rPr>
            </w:pPr>
            <w:r>
              <w:rPr>
                <w:rFonts w:cs="Arial"/>
                <w:sz w:val="20"/>
                <w:szCs w:val="20"/>
              </w:rPr>
              <w:t xml:space="preserve"> – ocean purse seine (Vic)                     </w:t>
            </w:r>
          </w:p>
        </w:tc>
        <w:tc>
          <w:tcPr>
            <w:tcW w:w="3113" w:type="dxa"/>
            <w:shd w:val="clear" w:color="auto" w:fill="CCFFCC"/>
          </w:tcPr>
          <w:p w14:paraId="25574F4D" w14:textId="234BA76C" w:rsidR="00AA6226" w:rsidRDefault="00AA6226" w:rsidP="00514376">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0F3400BD" w14:textId="77777777" w:rsidTr="004C0F3C">
        <w:trPr>
          <w:jc w:val="center"/>
        </w:trPr>
        <w:tc>
          <w:tcPr>
            <w:tcW w:w="647" w:type="dxa"/>
            <w:tcBorders>
              <w:top w:val="nil"/>
              <w:bottom w:val="nil"/>
            </w:tcBorders>
            <w:shd w:val="clear" w:color="auto" w:fill="auto"/>
          </w:tcPr>
          <w:p w14:paraId="182ED4A3" w14:textId="77777777" w:rsidR="00AA6226" w:rsidRDefault="00AA6226" w:rsidP="00514376">
            <w:pPr>
              <w:pStyle w:val="TableText"/>
              <w:spacing w:before="60" w:after="60" w:line="240" w:lineRule="auto"/>
              <w:rPr>
                <w:rFonts w:cs="Arial"/>
                <w:sz w:val="20"/>
                <w:szCs w:val="20"/>
              </w:rPr>
            </w:pPr>
          </w:p>
        </w:tc>
        <w:tc>
          <w:tcPr>
            <w:tcW w:w="4105" w:type="dxa"/>
            <w:shd w:val="clear" w:color="auto" w:fill="auto"/>
          </w:tcPr>
          <w:p w14:paraId="57A026CA" w14:textId="621C3C74" w:rsidR="00AA6226" w:rsidRPr="00B700A9" w:rsidRDefault="00AA6226" w:rsidP="00265441">
            <w:pPr>
              <w:pStyle w:val="TableText"/>
              <w:spacing w:before="60" w:after="60" w:line="240" w:lineRule="auto"/>
              <w:rPr>
                <w:rFonts w:cs="Arial"/>
                <w:sz w:val="20"/>
                <w:szCs w:val="20"/>
              </w:rPr>
            </w:pPr>
            <w:r>
              <w:rPr>
                <w:rFonts w:cs="Arial"/>
                <w:sz w:val="20"/>
                <w:szCs w:val="20"/>
              </w:rPr>
              <w:t xml:space="preserve"> – inshore trawl (Vic)                     </w:t>
            </w:r>
          </w:p>
        </w:tc>
        <w:tc>
          <w:tcPr>
            <w:tcW w:w="3113" w:type="dxa"/>
            <w:shd w:val="clear" w:color="auto" w:fill="CCFFCC"/>
          </w:tcPr>
          <w:p w14:paraId="426A9DC9" w14:textId="28629A99" w:rsidR="00AA6226" w:rsidRDefault="00AA6226" w:rsidP="00514376">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5733C1D6" w14:textId="77777777" w:rsidTr="004C0F3C">
        <w:trPr>
          <w:jc w:val="center"/>
        </w:trPr>
        <w:tc>
          <w:tcPr>
            <w:tcW w:w="647" w:type="dxa"/>
            <w:tcBorders>
              <w:top w:val="nil"/>
              <w:bottom w:val="nil"/>
            </w:tcBorders>
            <w:shd w:val="clear" w:color="auto" w:fill="auto"/>
          </w:tcPr>
          <w:p w14:paraId="03695215" w14:textId="77777777" w:rsidR="00AA6226" w:rsidRDefault="00AA6226" w:rsidP="00514376">
            <w:pPr>
              <w:pStyle w:val="TableText"/>
              <w:spacing w:before="60" w:after="60" w:line="240" w:lineRule="auto"/>
              <w:rPr>
                <w:rFonts w:cs="Arial"/>
                <w:sz w:val="20"/>
                <w:szCs w:val="20"/>
              </w:rPr>
            </w:pPr>
          </w:p>
        </w:tc>
        <w:tc>
          <w:tcPr>
            <w:tcW w:w="4105" w:type="dxa"/>
            <w:shd w:val="clear" w:color="auto" w:fill="auto"/>
          </w:tcPr>
          <w:p w14:paraId="7A7EB469" w14:textId="42540A73" w:rsidR="00AA6226" w:rsidRPr="00B700A9" w:rsidRDefault="00AA6226" w:rsidP="00265441">
            <w:pPr>
              <w:pStyle w:val="TableText"/>
              <w:spacing w:before="60" w:after="60" w:line="240" w:lineRule="auto"/>
              <w:rPr>
                <w:rFonts w:cs="Arial"/>
                <w:sz w:val="20"/>
                <w:szCs w:val="20"/>
              </w:rPr>
            </w:pPr>
            <w:r>
              <w:rPr>
                <w:rFonts w:cs="Arial"/>
                <w:sz w:val="20"/>
                <w:szCs w:val="20"/>
              </w:rPr>
              <w:t xml:space="preserve"> – southern squid jig (Cth)                     </w:t>
            </w:r>
          </w:p>
        </w:tc>
        <w:tc>
          <w:tcPr>
            <w:tcW w:w="3113" w:type="dxa"/>
            <w:shd w:val="clear" w:color="auto" w:fill="CCFFCC"/>
          </w:tcPr>
          <w:p w14:paraId="3B5C18E4" w14:textId="69D1BA8B" w:rsidR="00AA6226" w:rsidRDefault="00AA6226" w:rsidP="00514376">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533E18F9" w14:textId="77777777" w:rsidTr="004C0F3C">
        <w:trPr>
          <w:jc w:val="center"/>
        </w:trPr>
        <w:tc>
          <w:tcPr>
            <w:tcW w:w="647" w:type="dxa"/>
            <w:tcBorders>
              <w:top w:val="nil"/>
            </w:tcBorders>
            <w:shd w:val="clear" w:color="auto" w:fill="auto"/>
          </w:tcPr>
          <w:p w14:paraId="41993BDC" w14:textId="77777777" w:rsidR="00AA6226" w:rsidRDefault="00AA6226" w:rsidP="00514376">
            <w:pPr>
              <w:pStyle w:val="TableText"/>
              <w:spacing w:before="60" w:after="60" w:line="240" w:lineRule="auto"/>
              <w:rPr>
                <w:rFonts w:cs="Arial"/>
                <w:sz w:val="20"/>
                <w:szCs w:val="20"/>
              </w:rPr>
            </w:pPr>
          </w:p>
        </w:tc>
        <w:tc>
          <w:tcPr>
            <w:tcW w:w="4105" w:type="dxa"/>
            <w:shd w:val="clear" w:color="auto" w:fill="auto"/>
          </w:tcPr>
          <w:p w14:paraId="2E9A2F9B" w14:textId="2C6B29E4" w:rsidR="00AA6226" w:rsidRPr="00B700A9" w:rsidRDefault="00AA6226" w:rsidP="00EB4C36">
            <w:pPr>
              <w:pStyle w:val="TableText"/>
              <w:spacing w:before="60" w:after="60" w:line="240" w:lineRule="auto"/>
              <w:rPr>
                <w:rFonts w:cs="Arial"/>
                <w:sz w:val="20"/>
                <w:szCs w:val="20"/>
              </w:rPr>
            </w:pPr>
            <w:r>
              <w:rPr>
                <w:rFonts w:cs="Arial"/>
                <w:sz w:val="20"/>
                <w:szCs w:val="20"/>
              </w:rPr>
              <w:t xml:space="preserve"> – SESS, gillnet and shark hook (Cth)             </w:t>
            </w:r>
          </w:p>
        </w:tc>
        <w:tc>
          <w:tcPr>
            <w:tcW w:w="3113" w:type="dxa"/>
            <w:shd w:val="clear" w:color="auto" w:fill="33CC33"/>
          </w:tcPr>
          <w:p w14:paraId="4A41A404" w14:textId="4F4AB34F" w:rsidR="00AA6226" w:rsidRDefault="00AA6226" w:rsidP="00514376">
            <w:pPr>
              <w:pStyle w:val="TableText"/>
              <w:spacing w:before="60" w:after="60" w:line="240" w:lineRule="auto"/>
              <w:jc w:val="center"/>
              <w:rPr>
                <w:rFonts w:cs="Arial"/>
                <w:sz w:val="20"/>
                <w:szCs w:val="20"/>
              </w:rPr>
            </w:pPr>
            <w:r>
              <w:rPr>
                <w:rFonts w:cs="Arial"/>
                <w:sz w:val="20"/>
                <w:szCs w:val="20"/>
              </w:rPr>
              <w:t>Minor</w:t>
            </w:r>
          </w:p>
        </w:tc>
      </w:tr>
      <w:tr w:rsidR="00AA6226" w:rsidRPr="00B700A9" w14:paraId="03C79E9E" w14:textId="7E565538" w:rsidTr="004C0F3C">
        <w:trPr>
          <w:jc w:val="center"/>
        </w:trPr>
        <w:tc>
          <w:tcPr>
            <w:tcW w:w="647" w:type="dxa"/>
            <w:shd w:val="clear" w:color="auto" w:fill="auto"/>
          </w:tcPr>
          <w:p w14:paraId="2E6462FA" w14:textId="19769CBA" w:rsidR="00AA6226" w:rsidRPr="00B700A9" w:rsidRDefault="00AA6226" w:rsidP="00514376">
            <w:pPr>
              <w:pStyle w:val="TableText"/>
              <w:spacing w:before="60" w:after="60" w:line="240" w:lineRule="auto"/>
              <w:rPr>
                <w:rFonts w:cs="Arial"/>
                <w:sz w:val="20"/>
                <w:szCs w:val="20"/>
              </w:rPr>
            </w:pPr>
            <w:r>
              <w:rPr>
                <w:rFonts w:cs="Arial"/>
                <w:sz w:val="20"/>
                <w:szCs w:val="20"/>
              </w:rPr>
              <w:t>3</w:t>
            </w:r>
          </w:p>
        </w:tc>
        <w:tc>
          <w:tcPr>
            <w:tcW w:w="4105" w:type="dxa"/>
            <w:shd w:val="clear" w:color="auto" w:fill="auto"/>
          </w:tcPr>
          <w:p w14:paraId="5C35D095" w14:textId="77777777" w:rsidR="00AA6226" w:rsidRPr="00B700A9" w:rsidRDefault="00AA6226" w:rsidP="00514376">
            <w:pPr>
              <w:pStyle w:val="TableText"/>
              <w:spacing w:before="60" w:after="60" w:line="240" w:lineRule="auto"/>
              <w:rPr>
                <w:rFonts w:cs="Arial"/>
                <w:sz w:val="20"/>
                <w:szCs w:val="20"/>
              </w:rPr>
            </w:pPr>
            <w:r w:rsidRPr="00B700A9">
              <w:rPr>
                <w:rFonts w:cs="Arial"/>
                <w:sz w:val="20"/>
                <w:szCs w:val="20"/>
              </w:rPr>
              <w:t>Atmospheric emissions</w:t>
            </w:r>
          </w:p>
        </w:tc>
        <w:tc>
          <w:tcPr>
            <w:tcW w:w="3113" w:type="dxa"/>
            <w:shd w:val="clear" w:color="auto" w:fill="CCFFCC"/>
          </w:tcPr>
          <w:p w14:paraId="511051AF" w14:textId="41E78F3E" w:rsidR="00AA6226" w:rsidRPr="00114222" w:rsidRDefault="00AA6226" w:rsidP="00514376">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41580D00" w14:textId="7A1A88A7" w:rsidTr="004C0F3C">
        <w:trPr>
          <w:jc w:val="center"/>
        </w:trPr>
        <w:tc>
          <w:tcPr>
            <w:tcW w:w="647" w:type="dxa"/>
            <w:shd w:val="clear" w:color="auto" w:fill="auto"/>
          </w:tcPr>
          <w:p w14:paraId="1C1CD257" w14:textId="766746B0" w:rsidR="00AA6226" w:rsidRPr="00B700A9" w:rsidRDefault="00AA6226" w:rsidP="00514376">
            <w:pPr>
              <w:pStyle w:val="TableText"/>
              <w:spacing w:before="60" w:after="60" w:line="240" w:lineRule="auto"/>
              <w:rPr>
                <w:rFonts w:cs="Arial"/>
                <w:sz w:val="20"/>
                <w:szCs w:val="20"/>
              </w:rPr>
            </w:pPr>
            <w:r>
              <w:rPr>
                <w:rFonts w:cs="Arial"/>
                <w:sz w:val="20"/>
                <w:szCs w:val="20"/>
              </w:rPr>
              <w:t>4</w:t>
            </w:r>
          </w:p>
        </w:tc>
        <w:tc>
          <w:tcPr>
            <w:tcW w:w="4105" w:type="dxa"/>
            <w:shd w:val="clear" w:color="auto" w:fill="auto"/>
          </w:tcPr>
          <w:p w14:paraId="18BE1D43" w14:textId="77777777" w:rsidR="00AA6226" w:rsidRPr="00B700A9" w:rsidRDefault="00AA6226" w:rsidP="00514376">
            <w:pPr>
              <w:pStyle w:val="TableText"/>
              <w:spacing w:before="60" w:after="60" w:line="240" w:lineRule="auto"/>
              <w:rPr>
                <w:rFonts w:cs="Arial"/>
                <w:sz w:val="20"/>
                <w:szCs w:val="20"/>
              </w:rPr>
            </w:pPr>
            <w:r w:rsidRPr="00B700A9">
              <w:rPr>
                <w:rFonts w:cs="Arial"/>
                <w:sz w:val="20"/>
                <w:szCs w:val="20"/>
              </w:rPr>
              <w:t>Light emissions</w:t>
            </w:r>
          </w:p>
        </w:tc>
        <w:tc>
          <w:tcPr>
            <w:tcW w:w="3113" w:type="dxa"/>
            <w:shd w:val="clear" w:color="auto" w:fill="CCFFCC"/>
          </w:tcPr>
          <w:p w14:paraId="66F965F4" w14:textId="6B6F0AB2" w:rsidR="00AA6226" w:rsidRPr="00114222" w:rsidRDefault="00AA6226" w:rsidP="00514376">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008BDFBB" w14:textId="08C92214" w:rsidTr="004C0F3C">
        <w:trPr>
          <w:jc w:val="center"/>
        </w:trPr>
        <w:tc>
          <w:tcPr>
            <w:tcW w:w="647" w:type="dxa"/>
            <w:shd w:val="clear" w:color="auto" w:fill="auto"/>
          </w:tcPr>
          <w:p w14:paraId="5135830E" w14:textId="730FB3D6" w:rsidR="00AA6226" w:rsidRPr="00B700A9" w:rsidRDefault="00AA6226" w:rsidP="00514376">
            <w:pPr>
              <w:pStyle w:val="TableText"/>
              <w:spacing w:before="60" w:after="60" w:line="240" w:lineRule="auto"/>
              <w:rPr>
                <w:rFonts w:cs="Arial"/>
                <w:sz w:val="20"/>
                <w:szCs w:val="20"/>
              </w:rPr>
            </w:pPr>
            <w:r>
              <w:rPr>
                <w:rFonts w:cs="Arial"/>
                <w:sz w:val="20"/>
                <w:szCs w:val="20"/>
              </w:rPr>
              <w:t>5</w:t>
            </w:r>
          </w:p>
        </w:tc>
        <w:tc>
          <w:tcPr>
            <w:tcW w:w="4105" w:type="dxa"/>
            <w:shd w:val="clear" w:color="auto" w:fill="auto"/>
          </w:tcPr>
          <w:p w14:paraId="0CF18A0A" w14:textId="16428CF7" w:rsidR="00AA6226" w:rsidRPr="00B700A9" w:rsidRDefault="00AA6226" w:rsidP="00514376">
            <w:pPr>
              <w:pStyle w:val="TableText"/>
              <w:spacing w:before="60" w:after="60" w:line="240" w:lineRule="auto"/>
              <w:rPr>
                <w:rFonts w:cs="Arial"/>
                <w:sz w:val="20"/>
                <w:szCs w:val="20"/>
              </w:rPr>
            </w:pPr>
            <w:r w:rsidRPr="00B700A9">
              <w:rPr>
                <w:rFonts w:cs="Arial"/>
                <w:sz w:val="20"/>
                <w:szCs w:val="20"/>
              </w:rPr>
              <w:t>Sewage and grey water discharges</w:t>
            </w:r>
          </w:p>
        </w:tc>
        <w:tc>
          <w:tcPr>
            <w:tcW w:w="3113" w:type="dxa"/>
            <w:shd w:val="clear" w:color="auto" w:fill="CCFFCC"/>
          </w:tcPr>
          <w:p w14:paraId="272D03FA" w14:textId="1DFA5251" w:rsidR="00AA6226" w:rsidRPr="00114222" w:rsidRDefault="00AA6226" w:rsidP="00514376">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3609F704" w14:textId="04FE55D5" w:rsidTr="004C0F3C">
        <w:trPr>
          <w:jc w:val="center"/>
        </w:trPr>
        <w:tc>
          <w:tcPr>
            <w:tcW w:w="647" w:type="dxa"/>
            <w:shd w:val="clear" w:color="auto" w:fill="auto"/>
          </w:tcPr>
          <w:p w14:paraId="69F78307" w14:textId="3C731A25" w:rsidR="00AA6226" w:rsidRPr="00B700A9" w:rsidRDefault="00AA6226" w:rsidP="00514376">
            <w:pPr>
              <w:pStyle w:val="TableText"/>
              <w:spacing w:before="60" w:after="60" w:line="240" w:lineRule="auto"/>
              <w:rPr>
                <w:rFonts w:cs="Arial"/>
                <w:sz w:val="20"/>
                <w:szCs w:val="20"/>
              </w:rPr>
            </w:pPr>
            <w:r>
              <w:rPr>
                <w:rFonts w:cs="Arial"/>
                <w:sz w:val="20"/>
                <w:szCs w:val="20"/>
              </w:rPr>
              <w:t>6</w:t>
            </w:r>
          </w:p>
        </w:tc>
        <w:tc>
          <w:tcPr>
            <w:tcW w:w="4105" w:type="dxa"/>
            <w:shd w:val="clear" w:color="auto" w:fill="auto"/>
          </w:tcPr>
          <w:p w14:paraId="576A8F10" w14:textId="77777777" w:rsidR="00AA6226" w:rsidRPr="00B700A9" w:rsidRDefault="00AA6226" w:rsidP="00514376">
            <w:pPr>
              <w:pStyle w:val="TableText"/>
              <w:spacing w:before="60" w:after="60" w:line="240" w:lineRule="auto"/>
              <w:rPr>
                <w:rFonts w:cs="Arial"/>
                <w:sz w:val="20"/>
                <w:szCs w:val="20"/>
              </w:rPr>
            </w:pPr>
            <w:r w:rsidRPr="00B700A9">
              <w:rPr>
                <w:rFonts w:cs="Arial"/>
                <w:sz w:val="20"/>
                <w:szCs w:val="20"/>
              </w:rPr>
              <w:t>Cooling and brine water discharges</w:t>
            </w:r>
          </w:p>
        </w:tc>
        <w:tc>
          <w:tcPr>
            <w:tcW w:w="3113" w:type="dxa"/>
            <w:shd w:val="clear" w:color="auto" w:fill="CCFFCC"/>
          </w:tcPr>
          <w:p w14:paraId="2C2F6ED9" w14:textId="2734A673" w:rsidR="00AA6226" w:rsidRPr="00114222" w:rsidRDefault="00AA6226" w:rsidP="00514376">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6919D248" w14:textId="32BC4397" w:rsidTr="004C0F3C">
        <w:trPr>
          <w:jc w:val="center"/>
        </w:trPr>
        <w:tc>
          <w:tcPr>
            <w:tcW w:w="647" w:type="dxa"/>
            <w:shd w:val="clear" w:color="auto" w:fill="auto"/>
          </w:tcPr>
          <w:p w14:paraId="77D12CAE" w14:textId="26BECB98" w:rsidR="00AA6226" w:rsidRPr="00B700A9" w:rsidRDefault="00AA6226" w:rsidP="00514376">
            <w:pPr>
              <w:pStyle w:val="TableText"/>
              <w:spacing w:before="60" w:after="60" w:line="240" w:lineRule="auto"/>
              <w:rPr>
                <w:rFonts w:cs="Arial"/>
                <w:sz w:val="20"/>
                <w:szCs w:val="20"/>
              </w:rPr>
            </w:pPr>
            <w:r>
              <w:rPr>
                <w:rFonts w:cs="Arial"/>
                <w:sz w:val="20"/>
                <w:szCs w:val="20"/>
              </w:rPr>
              <w:t>7</w:t>
            </w:r>
          </w:p>
        </w:tc>
        <w:tc>
          <w:tcPr>
            <w:tcW w:w="4105" w:type="dxa"/>
            <w:shd w:val="clear" w:color="auto" w:fill="auto"/>
          </w:tcPr>
          <w:p w14:paraId="2EAC0E84" w14:textId="77777777" w:rsidR="00AA6226" w:rsidRPr="00B700A9" w:rsidRDefault="00AA6226" w:rsidP="00514376">
            <w:pPr>
              <w:pStyle w:val="TableText"/>
              <w:spacing w:before="60" w:after="60" w:line="240" w:lineRule="auto"/>
              <w:rPr>
                <w:rFonts w:cs="Arial"/>
                <w:sz w:val="20"/>
                <w:szCs w:val="20"/>
              </w:rPr>
            </w:pPr>
            <w:r w:rsidRPr="00B700A9">
              <w:rPr>
                <w:rFonts w:cs="Arial"/>
                <w:sz w:val="20"/>
                <w:szCs w:val="20"/>
              </w:rPr>
              <w:t>Putrescible waste discharges</w:t>
            </w:r>
          </w:p>
        </w:tc>
        <w:tc>
          <w:tcPr>
            <w:tcW w:w="3113" w:type="dxa"/>
            <w:shd w:val="clear" w:color="auto" w:fill="CCFFCC"/>
          </w:tcPr>
          <w:p w14:paraId="7B79B9A4" w14:textId="29E24605" w:rsidR="00AA6226" w:rsidRPr="00114222" w:rsidRDefault="00AA6226" w:rsidP="00514376">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04A5EAA7" w14:textId="07D3B4DA" w:rsidTr="004C0F3C">
        <w:trPr>
          <w:jc w:val="center"/>
        </w:trPr>
        <w:tc>
          <w:tcPr>
            <w:tcW w:w="647" w:type="dxa"/>
            <w:shd w:val="clear" w:color="auto" w:fill="auto"/>
          </w:tcPr>
          <w:p w14:paraId="1EA50021" w14:textId="00954B02" w:rsidR="00AA6226" w:rsidRPr="00B700A9" w:rsidRDefault="00AA6226" w:rsidP="00514376">
            <w:pPr>
              <w:pStyle w:val="TableText"/>
              <w:spacing w:before="60" w:after="60" w:line="240" w:lineRule="auto"/>
              <w:rPr>
                <w:rFonts w:cs="Arial"/>
                <w:sz w:val="20"/>
                <w:szCs w:val="20"/>
              </w:rPr>
            </w:pPr>
            <w:r>
              <w:rPr>
                <w:rFonts w:cs="Arial"/>
                <w:sz w:val="20"/>
                <w:szCs w:val="20"/>
              </w:rPr>
              <w:t>8</w:t>
            </w:r>
          </w:p>
        </w:tc>
        <w:tc>
          <w:tcPr>
            <w:tcW w:w="4105" w:type="dxa"/>
            <w:shd w:val="clear" w:color="auto" w:fill="auto"/>
          </w:tcPr>
          <w:p w14:paraId="3B02C203" w14:textId="77777777" w:rsidR="00AA6226" w:rsidRPr="00B700A9" w:rsidRDefault="00AA6226" w:rsidP="00514376">
            <w:pPr>
              <w:pStyle w:val="TableText"/>
              <w:spacing w:before="60" w:after="60" w:line="240" w:lineRule="auto"/>
              <w:rPr>
                <w:rFonts w:cs="Arial"/>
                <w:sz w:val="20"/>
                <w:szCs w:val="20"/>
              </w:rPr>
            </w:pPr>
            <w:r w:rsidRPr="00B700A9">
              <w:rPr>
                <w:rFonts w:cs="Arial"/>
                <w:sz w:val="20"/>
                <w:szCs w:val="20"/>
              </w:rPr>
              <w:t>Deck and bilge water discharges</w:t>
            </w:r>
          </w:p>
        </w:tc>
        <w:tc>
          <w:tcPr>
            <w:tcW w:w="3113" w:type="dxa"/>
            <w:shd w:val="clear" w:color="auto" w:fill="CCFFCC"/>
          </w:tcPr>
          <w:p w14:paraId="5FCDD4CD" w14:textId="68A50927" w:rsidR="00AA6226" w:rsidRPr="00114222" w:rsidRDefault="00AA6226" w:rsidP="00514376">
            <w:pPr>
              <w:pStyle w:val="TableText"/>
              <w:spacing w:before="60" w:after="60" w:line="240" w:lineRule="auto"/>
              <w:jc w:val="center"/>
              <w:rPr>
                <w:rFonts w:cs="Arial"/>
                <w:sz w:val="20"/>
                <w:szCs w:val="20"/>
              </w:rPr>
            </w:pPr>
            <w:r w:rsidRPr="00114222">
              <w:rPr>
                <w:rFonts w:cs="Arial"/>
                <w:sz w:val="20"/>
                <w:szCs w:val="20"/>
              </w:rPr>
              <w:t>Insignificant</w:t>
            </w:r>
          </w:p>
        </w:tc>
      </w:tr>
      <w:tr w:rsidR="00AA6226" w:rsidRPr="00B700A9" w14:paraId="10BFE66D" w14:textId="7669B2DB" w:rsidTr="004C0F3C">
        <w:trPr>
          <w:jc w:val="center"/>
        </w:trPr>
        <w:tc>
          <w:tcPr>
            <w:tcW w:w="4752" w:type="dxa"/>
            <w:gridSpan w:val="2"/>
            <w:shd w:val="clear" w:color="auto" w:fill="064EA8"/>
          </w:tcPr>
          <w:p w14:paraId="7E0FF376" w14:textId="77777777" w:rsidR="00AA6226" w:rsidRPr="00B700A9" w:rsidRDefault="00AA6226" w:rsidP="00514376">
            <w:pPr>
              <w:pStyle w:val="TableText"/>
              <w:spacing w:before="60" w:after="60" w:line="240" w:lineRule="auto"/>
              <w:rPr>
                <w:rFonts w:cs="Arial"/>
                <w:color w:val="FFFFFF" w:themeColor="background1"/>
                <w:sz w:val="20"/>
                <w:szCs w:val="20"/>
              </w:rPr>
            </w:pPr>
            <w:r w:rsidRPr="00B700A9">
              <w:rPr>
                <w:rFonts w:cs="Arial"/>
                <w:color w:val="FFFFFF" w:themeColor="background1"/>
                <w:sz w:val="20"/>
                <w:szCs w:val="20"/>
              </w:rPr>
              <w:t>Potential hazards (risks)</w:t>
            </w:r>
          </w:p>
        </w:tc>
        <w:tc>
          <w:tcPr>
            <w:tcW w:w="3113" w:type="dxa"/>
            <w:shd w:val="clear" w:color="auto" w:fill="064EA8"/>
          </w:tcPr>
          <w:p w14:paraId="4FFF7B76" w14:textId="1746F464" w:rsidR="00AA6226" w:rsidRPr="00114222" w:rsidRDefault="00AA6226" w:rsidP="008C2AAE">
            <w:pPr>
              <w:pStyle w:val="TableText"/>
              <w:spacing w:before="60" w:after="60" w:line="240" w:lineRule="auto"/>
              <w:jc w:val="center"/>
              <w:rPr>
                <w:rFonts w:cs="Arial"/>
                <w:color w:val="FFFFFF" w:themeColor="background1"/>
                <w:sz w:val="20"/>
                <w:szCs w:val="20"/>
              </w:rPr>
            </w:pPr>
            <w:r>
              <w:rPr>
                <w:rFonts w:cs="Arial"/>
                <w:color w:val="FFFFFF" w:themeColor="background1"/>
                <w:sz w:val="20"/>
                <w:szCs w:val="20"/>
              </w:rPr>
              <w:t xml:space="preserve">Residual risk </w:t>
            </w:r>
          </w:p>
        </w:tc>
      </w:tr>
      <w:tr w:rsidR="00AA6226" w:rsidRPr="00B700A9" w14:paraId="56B3D334" w14:textId="05A9277E" w:rsidTr="004C0F3C">
        <w:trPr>
          <w:jc w:val="center"/>
        </w:trPr>
        <w:tc>
          <w:tcPr>
            <w:tcW w:w="647" w:type="dxa"/>
            <w:shd w:val="clear" w:color="auto" w:fill="auto"/>
          </w:tcPr>
          <w:p w14:paraId="429DD73C" w14:textId="5DEE1656" w:rsidR="00AA6226" w:rsidRPr="00B700A9" w:rsidRDefault="00AA6226" w:rsidP="00514376">
            <w:pPr>
              <w:pStyle w:val="TableText"/>
              <w:spacing w:before="60" w:after="60" w:line="240" w:lineRule="auto"/>
              <w:rPr>
                <w:rFonts w:cs="Arial"/>
                <w:sz w:val="20"/>
                <w:szCs w:val="20"/>
              </w:rPr>
            </w:pPr>
            <w:r w:rsidRPr="00B700A9">
              <w:rPr>
                <w:rFonts w:cs="Arial"/>
                <w:sz w:val="20"/>
                <w:szCs w:val="20"/>
              </w:rPr>
              <w:t>9</w:t>
            </w:r>
          </w:p>
        </w:tc>
        <w:tc>
          <w:tcPr>
            <w:tcW w:w="4105" w:type="dxa"/>
            <w:shd w:val="clear" w:color="auto" w:fill="auto"/>
          </w:tcPr>
          <w:p w14:paraId="3C56FCAD" w14:textId="03A9CC37" w:rsidR="00AA6226" w:rsidRPr="00B700A9" w:rsidRDefault="00AA6226" w:rsidP="00EF4850">
            <w:pPr>
              <w:pStyle w:val="TableText"/>
              <w:spacing w:before="60" w:after="60" w:line="240" w:lineRule="auto"/>
              <w:rPr>
                <w:rFonts w:cs="Arial"/>
                <w:sz w:val="20"/>
                <w:szCs w:val="20"/>
              </w:rPr>
            </w:pPr>
            <w:r>
              <w:rPr>
                <w:rFonts w:cs="Arial"/>
                <w:sz w:val="20"/>
                <w:szCs w:val="20"/>
              </w:rPr>
              <w:t xml:space="preserve">Underwater sound – risks to </w:t>
            </w:r>
            <w:r w:rsidRPr="00B700A9">
              <w:rPr>
                <w:rFonts w:cs="Arial"/>
                <w:sz w:val="20"/>
                <w:szCs w:val="20"/>
              </w:rPr>
              <w:t xml:space="preserve">divers and swimmers </w:t>
            </w:r>
          </w:p>
        </w:tc>
        <w:tc>
          <w:tcPr>
            <w:tcW w:w="3113" w:type="dxa"/>
            <w:shd w:val="clear" w:color="auto" w:fill="66FF66"/>
            <w:vAlign w:val="center"/>
          </w:tcPr>
          <w:p w14:paraId="455CC0A0" w14:textId="52A1B609" w:rsidR="00AA6226" w:rsidRPr="00555723" w:rsidRDefault="00AA6226">
            <w:pPr>
              <w:pStyle w:val="TableText"/>
              <w:spacing w:before="60" w:after="60" w:line="240" w:lineRule="auto"/>
              <w:jc w:val="center"/>
              <w:rPr>
                <w:rFonts w:cs="Arial"/>
                <w:sz w:val="20"/>
                <w:szCs w:val="20"/>
              </w:rPr>
            </w:pPr>
            <w:r>
              <w:rPr>
                <w:rFonts w:cs="Arial"/>
                <w:sz w:val="20"/>
                <w:szCs w:val="20"/>
              </w:rPr>
              <w:t>Low</w:t>
            </w:r>
          </w:p>
        </w:tc>
      </w:tr>
      <w:tr w:rsidR="00AA6226" w:rsidRPr="00B700A9" w14:paraId="2C3FAFDD" w14:textId="12568847" w:rsidTr="004C0F3C">
        <w:trPr>
          <w:jc w:val="center"/>
        </w:trPr>
        <w:tc>
          <w:tcPr>
            <w:tcW w:w="647" w:type="dxa"/>
            <w:shd w:val="clear" w:color="auto" w:fill="auto"/>
          </w:tcPr>
          <w:p w14:paraId="4531660C" w14:textId="020D2B98" w:rsidR="00AA6226" w:rsidRPr="00B700A9" w:rsidRDefault="00AA6226" w:rsidP="00514376">
            <w:pPr>
              <w:pStyle w:val="TableText"/>
              <w:spacing w:before="60" w:after="60" w:line="240" w:lineRule="auto"/>
              <w:rPr>
                <w:rFonts w:cs="Arial"/>
                <w:sz w:val="20"/>
                <w:szCs w:val="20"/>
              </w:rPr>
            </w:pPr>
            <w:r w:rsidRPr="00B700A9">
              <w:rPr>
                <w:rFonts w:cs="Arial"/>
                <w:sz w:val="20"/>
                <w:szCs w:val="20"/>
              </w:rPr>
              <w:t>10</w:t>
            </w:r>
          </w:p>
        </w:tc>
        <w:tc>
          <w:tcPr>
            <w:tcW w:w="4105" w:type="dxa"/>
            <w:shd w:val="clear" w:color="auto" w:fill="auto"/>
          </w:tcPr>
          <w:p w14:paraId="1324C4B0" w14:textId="240C1E9E" w:rsidR="00AA6226" w:rsidRPr="00B700A9" w:rsidRDefault="00AA6226" w:rsidP="00514376">
            <w:pPr>
              <w:pStyle w:val="TableText"/>
              <w:spacing w:before="60" w:after="60" w:line="240" w:lineRule="auto"/>
              <w:rPr>
                <w:rFonts w:cs="Arial"/>
                <w:sz w:val="20"/>
                <w:szCs w:val="20"/>
              </w:rPr>
            </w:pPr>
            <w:r w:rsidRPr="00B700A9">
              <w:rPr>
                <w:rFonts w:cs="Arial"/>
                <w:sz w:val="20"/>
                <w:szCs w:val="20"/>
              </w:rPr>
              <w:t>Seabed disturbance</w:t>
            </w:r>
          </w:p>
        </w:tc>
        <w:tc>
          <w:tcPr>
            <w:tcW w:w="3113" w:type="dxa"/>
            <w:shd w:val="clear" w:color="auto" w:fill="66FF66"/>
          </w:tcPr>
          <w:p w14:paraId="1CB6D094" w14:textId="5E7F385A" w:rsidR="00AA6226" w:rsidRPr="00555723" w:rsidRDefault="00AA6226" w:rsidP="00514376">
            <w:pPr>
              <w:pStyle w:val="TableText"/>
              <w:spacing w:before="60" w:after="60" w:line="240" w:lineRule="auto"/>
              <w:jc w:val="center"/>
              <w:rPr>
                <w:rFonts w:cs="Arial"/>
                <w:sz w:val="20"/>
                <w:szCs w:val="20"/>
              </w:rPr>
            </w:pPr>
            <w:r>
              <w:rPr>
                <w:rFonts w:cs="Arial"/>
                <w:sz w:val="20"/>
                <w:szCs w:val="20"/>
              </w:rPr>
              <w:t>Low</w:t>
            </w:r>
          </w:p>
        </w:tc>
      </w:tr>
      <w:tr w:rsidR="00AA6226" w:rsidRPr="00B700A9" w14:paraId="116D437B" w14:textId="2C6C8DDE" w:rsidTr="004C0F3C">
        <w:trPr>
          <w:jc w:val="center"/>
        </w:trPr>
        <w:tc>
          <w:tcPr>
            <w:tcW w:w="647" w:type="dxa"/>
            <w:shd w:val="clear" w:color="auto" w:fill="auto"/>
          </w:tcPr>
          <w:p w14:paraId="31261A1B" w14:textId="4E4E247C" w:rsidR="00AA6226" w:rsidRPr="00B700A9" w:rsidRDefault="00AA6226" w:rsidP="00514376">
            <w:pPr>
              <w:pStyle w:val="TableText"/>
              <w:spacing w:before="60" w:after="60" w:line="240" w:lineRule="auto"/>
              <w:rPr>
                <w:rFonts w:cs="Arial"/>
                <w:sz w:val="20"/>
                <w:szCs w:val="20"/>
              </w:rPr>
            </w:pPr>
            <w:r w:rsidRPr="00B700A9">
              <w:rPr>
                <w:rFonts w:cs="Arial"/>
                <w:sz w:val="20"/>
                <w:szCs w:val="20"/>
              </w:rPr>
              <w:t>11</w:t>
            </w:r>
          </w:p>
        </w:tc>
        <w:tc>
          <w:tcPr>
            <w:tcW w:w="4105" w:type="dxa"/>
            <w:shd w:val="clear" w:color="auto" w:fill="auto"/>
          </w:tcPr>
          <w:p w14:paraId="1DC45986" w14:textId="4D16EC25" w:rsidR="00AA6226" w:rsidRPr="00B700A9" w:rsidRDefault="00AA6226" w:rsidP="00514376">
            <w:pPr>
              <w:pStyle w:val="TableText"/>
              <w:spacing w:before="60" w:after="60" w:line="240" w:lineRule="auto"/>
              <w:rPr>
                <w:rFonts w:cs="Arial"/>
                <w:sz w:val="20"/>
                <w:szCs w:val="20"/>
              </w:rPr>
            </w:pPr>
            <w:r w:rsidRPr="00B700A9">
              <w:rPr>
                <w:rFonts w:cs="Arial"/>
                <w:sz w:val="20"/>
                <w:szCs w:val="20"/>
              </w:rPr>
              <w:t>Accidental overboard disposal of waste</w:t>
            </w:r>
          </w:p>
        </w:tc>
        <w:tc>
          <w:tcPr>
            <w:tcW w:w="3113" w:type="dxa"/>
            <w:shd w:val="clear" w:color="auto" w:fill="66FF66"/>
          </w:tcPr>
          <w:p w14:paraId="5B8B37CB" w14:textId="178971D3" w:rsidR="00AA6226" w:rsidRPr="00555723" w:rsidRDefault="00AA6226" w:rsidP="00514376">
            <w:pPr>
              <w:pStyle w:val="TableText"/>
              <w:spacing w:before="60" w:after="60" w:line="240" w:lineRule="auto"/>
              <w:jc w:val="center"/>
              <w:rPr>
                <w:rFonts w:cs="Arial"/>
                <w:sz w:val="20"/>
                <w:szCs w:val="20"/>
              </w:rPr>
            </w:pPr>
            <w:r>
              <w:rPr>
                <w:rFonts w:cs="Arial"/>
                <w:sz w:val="20"/>
                <w:szCs w:val="20"/>
              </w:rPr>
              <w:t>Low</w:t>
            </w:r>
          </w:p>
        </w:tc>
      </w:tr>
      <w:tr w:rsidR="00AA6226" w:rsidRPr="00B700A9" w14:paraId="39B5D241" w14:textId="06E83ECA" w:rsidTr="004C0F3C">
        <w:trPr>
          <w:jc w:val="center"/>
        </w:trPr>
        <w:tc>
          <w:tcPr>
            <w:tcW w:w="647" w:type="dxa"/>
            <w:shd w:val="clear" w:color="auto" w:fill="auto"/>
          </w:tcPr>
          <w:p w14:paraId="3584EE0B" w14:textId="2788CAE4" w:rsidR="00AA6226" w:rsidRPr="00B700A9" w:rsidRDefault="00AA6226" w:rsidP="00514376">
            <w:pPr>
              <w:pStyle w:val="TableText"/>
              <w:spacing w:before="60" w:after="60" w:line="240" w:lineRule="auto"/>
              <w:rPr>
                <w:rFonts w:cs="Arial"/>
                <w:sz w:val="20"/>
                <w:szCs w:val="20"/>
              </w:rPr>
            </w:pPr>
            <w:r w:rsidRPr="00B700A9">
              <w:rPr>
                <w:rFonts w:cs="Arial"/>
                <w:sz w:val="20"/>
                <w:szCs w:val="20"/>
              </w:rPr>
              <w:t>12</w:t>
            </w:r>
          </w:p>
        </w:tc>
        <w:tc>
          <w:tcPr>
            <w:tcW w:w="4105" w:type="dxa"/>
            <w:shd w:val="clear" w:color="auto" w:fill="auto"/>
          </w:tcPr>
          <w:p w14:paraId="47ACED5E" w14:textId="036E27BA" w:rsidR="00AA6226" w:rsidRPr="00B700A9" w:rsidRDefault="00AA6226" w:rsidP="00514376">
            <w:pPr>
              <w:pStyle w:val="TableText"/>
              <w:spacing w:before="60" w:after="60" w:line="240" w:lineRule="auto"/>
              <w:rPr>
                <w:rFonts w:cs="Arial"/>
                <w:sz w:val="20"/>
                <w:szCs w:val="20"/>
              </w:rPr>
            </w:pPr>
            <w:r w:rsidRPr="00B700A9">
              <w:rPr>
                <w:rFonts w:cs="Arial"/>
                <w:sz w:val="20"/>
                <w:szCs w:val="20"/>
              </w:rPr>
              <w:t>Introduction of marine pests</w:t>
            </w:r>
          </w:p>
        </w:tc>
        <w:tc>
          <w:tcPr>
            <w:tcW w:w="3113" w:type="dxa"/>
            <w:shd w:val="clear" w:color="auto" w:fill="66FF66"/>
          </w:tcPr>
          <w:p w14:paraId="16BD8F45" w14:textId="4E5BA3BC" w:rsidR="00AA6226" w:rsidRPr="00555723" w:rsidRDefault="00AA6226" w:rsidP="00514376">
            <w:pPr>
              <w:pStyle w:val="TableText"/>
              <w:spacing w:before="60" w:after="60" w:line="240" w:lineRule="auto"/>
              <w:jc w:val="center"/>
              <w:rPr>
                <w:rFonts w:cs="Arial"/>
                <w:sz w:val="20"/>
                <w:szCs w:val="20"/>
              </w:rPr>
            </w:pPr>
            <w:r>
              <w:rPr>
                <w:rFonts w:cs="Arial"/>
                <w:sz w:val="20"/>
                <w:szCs w:val="20"/>
              </w:rPr>
              <w:t>Low</w:t>
            </w:r>
          </w:p>
        </w:tc>
      </w:tr>
      <w:tr w:rsidR="00AA6226" w:rsidRPr="00B700A9" w14:paraId="5A87D8AD" w14:textId="012E1347" w:rsidTr="004C0F3C">
        <w:trPr>
          <w:jc w:val="center"/>
        </w:trPr>
        <w:tc>
          <w:tcPr>
            <w:tcW w:w="647" w:type="dxa"/>
            <w:tcBorders>
              <w:bottom w:val="nil"/>
            </w:tcBorders>
            <w:shd w:val="clear" w:color="auto" w:fill="auto"/>
          </w:tcPr>
          <w:p w14:paraId="09236280" w14:textId="0D8E4793" w:rsidR="00AA6226" w:rsidRPr="00B700A9" w:rsidRDefault="00AA6226" w:rsidP="001C2B02">
            <w:pPr>
              <w:pStyle w:val="TableText"/>
              <w:spacing w:before="60" w:after="60" w:line="240" w:lineRule="auto"/>
              <w:rPr>
                <w:rFonts w:cs="Arial"/>
                <w:sz w:val="20"/>
                <w:szCs w:val="20"/>
              </w:rPr>
            </w:pPr>
            <w:r w:rsidRPr="00B700A9">
              <w:rPr>
                <w:rFonts w:cs="Arial"/>
                <w:sz w:val="20"/>
                <w:szCs w:val="20"/>
              </w:rPr>
              <w:t>13</w:t>
            </w:r>
          </w:p>
        </w:tc>
        <w:tc>
          <w:tcPr>
            <w:tcW w:w="4105" w:type="dxa"/>
            <w:shd w:val="clear" w:color="auto" w:fill="auto"/>
          </w:tcPr>
          <w:p w14:paraId="2D8686B1" w14:textId="7A6B3575" w:rsidR="00AA6226" w:rsidRPr="00B700A9" w:rsidRDefault="00AA6226" w:rsidP="00B700A9">
            <w:pPr>
              <w:pStyle w:val="TableText"/>
              <w:spacing w:before="60" w:after="60" w:line="240" w:lineRule="auto"/>
              <w:rPr>
                <w:rFonts w:cs="Arial"/>
                <w:sz w:val="20"/>
                <w:szCs w:val="20"/>
              </w:rPr>
            </w:pPr>
            <w:r>
              <w:rPr>
                <w:rFonts w:cs="Arial"/>
                <w:sz w:val="20"/>
                <w:szCs w:val="20"/>
              </w:rPr>
              <w:t>Displacement of or interference</w:t>
            </w:r>
            <w:r w:rsidRPr="00B700A9">
              <w:rPr>
                <w:rFonts w:cs="Arial"/>
                <w:sz w:val="20"/>
                <w:szCs w:val="20"/>
              </w:rPr>
              <w:t xml:space="preserve"> with third-party vessels</w:t>
            </w:r>
            <w:r>
              <w:rPr>
                <w:rFonts w:cs="Arial"/>
                <w:sz w:val="20"/>
                <w:szCs w:val="20"/>
              </w:rPr>
              <w:t xml:space="preserve"> – displacement</w:t>
            </w:r>
          </w:p>
        </w:tc>
        <w:tc>
          <w:tcPr>
            <w:tcW w:w="3113" w:type="dxa"/>
            <w:shd w:val="clear" w:color="auto" w:fill="66FF66"/>
            <w:vAlign w:val="center"/>
          </w:tcPr>
          <w:p w14:paraId="5FA629A9" w14:textId="4A86C846" w:rsidR="00AA6226" w:rsidRPr="00555723" w:rsidRDefault="00AA6226">
            <w:pPr>
              <w:pStyle w:val="TableText"/>
              <w:spacing w:before="60" w:after="60" w:line="240" w:lineRule="auto"/>
              <w:jc w:val="center"/>
              <w:rPr>
                <w:rFonts w:cs="Arial"/>
                <w:sz w:val="20"/>
                <w:szCs w:val="20"/>
              </w:rPr>
            </w:pPr>
            <w:r>
              <w:rPr>
                <w:rFonts w:cs="Arial"/>
                <w:sz w:val="20"/>
                <w:szCs w:val="20"/>
              </w:rPr>
              <w:t>Low</w:t>
            </w:r>
          </w:p>
        </w:tc>
      </w:tr>
      <w:tr w:rsidR="00AA6226" w:rsidRPr="00B700A9" w14:paraId="5B5786F4" w14:textId="77777777" w:rsidTr="004C0F3C">
        <w:trPr>
          <w:jc w:val="center"/>
        </w:trPr>
        <w:tc>
          <w:tcPr>
            <w:tcW w:w="647" w:type="dxa"/>
            <w:tcBorders>
              <w:top w:val="nil"/>
            </w:tcBorders>
            <w:shd w:val="clear" w:color="auto" w:fill="auto"/>
          </w:tcPr>
          <w:p w14:paraId="7E92A127" w14:textId="77777777" w:rsidR="00AA6226" w:rsidRPr="00B700A9" w:rsidRDefault="00AA6226" w:rsidP="001C2B02">
            <w:pPr>
              <w:pStyle w:val="TableText"/>
              <w:spacing w:before="60" w:after="60" w:line="240" w:lineRule="auto"/>
              <w:rPr>
                <w:rFonts w:cs="Arial"/>
                <w:sz w:val="20"/>
                <w:szCs w:val="20"/>
              </w:rPr>
            </w:pPr>
          </w:p>
        </w:tc>
        <w:tc>
          <w:tcPr>
            <w:tcW w:w="4105" w:type="dxa"/>
            <w:shd w:val="clear" w:color="auto" w:fill="auto"/>
          </w:tcPr>
          <w:p w14:paraId="5A3D5299" w14:textId="47E6F1B3" w:rsidR="00AA6226" w:rsidRPr="00B700A9" w:rsidDel="00B06381" w:rsidRDefault="00AA6226" w:rsidP="008100C0">
            <w:pPr>
              <w:pStyle w:val="TableText"/>
              <w:spacing w:before="60" w:after="60" w:line="240" w:lineRule="auto"/>
              <w:rPr>
                <w:rFonts w:cs="Arial"/>
                <w:sz w:val="20"/>
                <w:szCs w:val="20"/>
              </w:rPr>
            </w:pPr>
            <w:r>
              <w:rPr>
                <w:rFonts w:cs="Arial"/>
                <w:sz w:val="20"/>
                <w:szCs w:val="20"/>
              </w:rPr>
              <w:t xml:space="preserve">                      – interference</w:t>
            </w:r>
          </w:p>
        </w:tc>
        <w:tc>
          <w:tcPr>
            <w:tcW w:w="3113" w:type="dxa"/>
            <w:shd w:val="clear" w:color="auto" w:fill="66FF66"/>
          </w:tcPr>
          <w:p w14:paraId="14B76983" w14:textId="008DF7E0" w:rsidR="00AA6226" w:rsidRDefault="00AA6226" w:rsidP="00514376">
            <w:pPr>
              <w:pStyle w:val="TableText"/>
              <w:spacing w:before="60" w:after="60" w:line="240" w:lineRule="auto"/>
              <w:jc w:val="center"/>
              <w:rPr>
                <w:rFonts w:cs="Arial"/>
                <w:sz w:val="20"/>
                <w:szCs w:val="20"/>
              </w:rPr>
            </w:pPr>
            <w:r>
              <w:rPr>
                <w:rFonts w:cs="Arial"/>
                <w:sz w:val="20"/>
                <w:szCs w:val="20"/>
              </w:rPr>
              <w:t>Low</w:t>
            </w:r>
          </w:p>
        </w:tc>
      </w:tr>
      <w:tr w:rsidR="00AA6226" w:rsidRPr="00B700A9" w14:paraId="1353F7EB" w14:textId="0499324F" w:rsidTr="004C0F3C">
        <w:trPr>
          <w:jc w:val="center"/>
        </w:trPr>
        <w:tc>
          <w:tcPr>
            <w:tcW w:w="647" w:type="dxa"/>
            <w:tcBorders>
              <w:bottom w:val="nil"/>
            </w:tcBorders>
            <w:shd w:val="clear" w:color="auto" w:fill="auto"/>
          </w:tcPr>
          <w:p w14:paraId="2A120DA7" w14:textId="46B9B836" w:rsidR="00AA6226" w:rsidRPr="00B700A9" w:rsidRDefault="00AA6226" w:rsidP="00514376">
            <w:pPr>
              <w:pStyle w:val="TableText"/>
              <w:spacing w:before="60" w:after="60" w:line="240" w:lineRule="auto"/>
              <w:rPr>
                <w:rFonts w:cs="Arial"/>
                <w:sz w:val="20"/>
                <w:szCs w:val="20"/>
              </w:rPr>
            </w:pPr>
            <w:r w:rsidRPr="00B700A9">
              <w:rPr>
                <w:rFonts w:cs="Arial"/>
                <w:sz w:val="20"/>
                <w:szCs w:val="20"/>
              </w:rPr>
              <w:t>14</w:t>
            </w:r>
          </w:p>
        </w:tc>
        <w:tc>
          <w:tcPr>
            <w:tcW w:w="4105" w:type="dxa"/>
            <w:shd w:val="clear" w:color="auto" w:fill="auto"/>
          </w:tcPr>
          <w:p w14:paraId="11A280DC" w14:textId="7DEED05F" w:rsidR="00AA6226" w:rsidRPr="00B700A9" w:rsidRDefault="00AA6226" w:rsidP="00B06381">
            <w:pPr>
              <w:pStyle w:val="TableText"/>
              <w:spacing w:before="60" w:after="60" w:line="240" w:lineRule="auto"/>
              <w:rPr>
                <w:rFonts w:cs="Arial"/>
                <w:sz w:val="20"/>
                <w:szCs w:val="20"/>
              </w:rPr>
            </w:pPr>
            <w:r w:rsidRPr="00B700A9">
              <w:rPr>
                <w:rFonts w:cs="Arial"/>
                <w:sz w:val="20"/>
                <w:szCs w:val="20"/>
              </w:rPr>
              <w:t xml:space="preserve">Interferance with </w:t>
            </w:r>
            <w:r>
              <w:rPr>
                <w:rFonts w:cs="Arial"/>
                <w:sz w:val="20"/>
                <w:szCs w:val="20"/>
              </w:rPr>
              <w:t>marine</w:t>
            </w:r>
            <w:r w:rsidRPr="00B700A9">
              <w:rPr>
                <w:rFonts w:cs="Arial"/>
                <w:sz w:val="20"/>
                <w:szCs w:val="20"/>
              </w:rPr>
              <w:t xml:space="preserve"> infrastructure</w:t>
            </w:r>
            <w:r>
              <w:rPr>
                <w:rFonts w:cs="Arial"/>
                <w:sz w:val="20"/>
                <w:szCs w:val="20"/>
              </w:rPr>
              <w:t xml:space="preserve"> </w:t>
            </w:r>
            <w:r>
              <w:rPr>
                <w:rFonts w:cs="Arial"/>
                <w:sz w:val="20"/>
                <w:szCs w:val="20"/>
              </w:rPr>
              <w:br/>
              <w:t xml:space="preserve"> – pipelines</w:t>
            </w:r>
          </w:p>
        </w:tc>
        <w:tc>
          <w:tcPr>
            <w:tcW w:w="3113" w:type="dxa"/>
            <w:shd w:val="clear" w:color="auto" w:fill="66FF66"/>
            <w:vAlign w:val="center"/>
          </w:tcPr>
          <w:p w14:paraId="042BAD96" w14:textId="6358B353" w:rsidR="00AA6226" w:rsidRPr="00555723" w:rsidRDefault="00AA6226">
            <w:pPr>
              <w:pStyle w:val="TableText"/>
              <w:spacing w:before="60" w:after="60" w:line="240" w:lineRule="auto"/>
              <w:jc w:val="center"/>
              <w:rPr>
                <w:rFonts w:cs="Arial"/>
                <w:sz w:val="20"/>
                <w:szCs w:val="20"/>
              </w:rPr>
            </w:pPr>
            <w:r>
              <w:rPr>
                <w:rFonts w:cs="Arial"/>
                <w:sz w:val="20"/>
                <w:szCs w:val="20"/>
              </w:rPr>
              <w:t>Low</w:t>
            </w:r>
          </w:p>
        </w:tc>
      </w:tr>
      <w:tr w:rsidR="00AA6226" w:rsidRPr="00B700A9" w14:paraId="4F3DE329" w14:textId="77777777" w:rsidTr="004C0F3C">
        <w:trPr>
          <w:jc w:val="center"/>
        </w:trPr>
        <w:tc>
          <w:tcPr>
            <w:tcW w:w="647" w:type="dxa"/>
            <w:tcBorders>
              <w:top w:val="nil"/>
            </w:tcBorders>
            <w:shd w:val="clear" w:color="auto" w:fill="auto"/>
          </w:tcPr>
          <w:p w14:paraId="2AC715AD" w14:textId="77777777" w:rsidR="00AA6226" w:rsidRPr="00B700A9" w:rsidRDefault="00AA6226" w:rsidP="00514376">
            <w:pPr>
              <w:pStyle w:val="TableText"/>
              <w:spacing w:before="60" w:after="60" w:line="240" w:lineRule="auto"/>
              <w:rPr>
                <w:rFonts w:cs="Arial"/>
                <w:sz w:val="20"/>
                <w:szCs w:val="20"/>
              </w:rPr>
            </w:pPr>
          </w:p>
        </w:tc>
        <w:tc>
          <w:tcPr>
            <w:tcW w:w="4105" w:type="dxa"/>
            <w:shd w:val="clear" w:color="auto" w:fill="auto"/>
          </w:tcPr>
          <w:p w14:paraId="32974A8A" w14:textId="6B605868" w:rsidR="00AA6226" w:rsidRPr="00B700A9" w:rsidRDefault="00AA6226" w:rsidP="00B06381">
            <w:pPr>
              <w:pStyle w:val="TableText"/>
              <w:spacing w:before="60" w:after="60" w:line="240" w:lineRule="auto"/>
              <w:rPr>
                <w:rFonts w:cs="Arial"/>
                <w:sz w:val="20"/>
                <w:szCs w:val="20"/>
              </w:rPr>
            </w:pPr>
            <w:r>
              <w:rPr>
                <w:rFonts w:cs="Arial"/>
                <w:sz w:val="20"/>
                <w:szCs w:val="20"/>
              </w:rPr>
              <w:t xml:space="preserve"> – vessels </w:t>
            </w:r>
          </w:p>
        </w:tc>
        <w:tc>
          <w:tcPr>
            <w:tcW w:w="3113" w:type="dxa"/>
            <w:shd w:val="clear" w:color="auto" w:fill="66FF66"/>
          </w:tcPr>
          <w:p w14:paraId="1192FE99" w14:textId="62B1220E" w:rsidR="00AA6226" w:rsidRDefault="00AA6226" w:rsidP="00514376">
            <w:pPr>
              <w:pStyle w:val="TableText"/>
              <w:spacing w:before="60" w:after="60" w:line="240" w:lineRule="auto"/>
              <w:jc w:val="center"/>
              <w:rPr>
                <w:rFonts w:cs="Arial"/>
                <w:sz w:val="20"/>
                <w:szCs w:val="20"/>
              </w:rPr>
            </w:pPr>
            <w:r>
              <w:rPr>
                <w:rFonts w:cs="Arial"/>
                <w:sz w:val="20"/>
                <w:szCs w:val="20"/>
              </w:rPr>
              <w:t>Low</w:t>
            </w:r>
          </w:p>
        </w:tc>
      </w:tr>
      <w:tr w:rsidR="00AA6226" w:rsidRPr="00B700A9" w14:paraId="223D4423" w14:textId="1AAEFF67" w:rsidTr="004C0F3C">
        <w:trPr>
          <w:jc w:val="center"/>
        </w:trPr>
        <w:tc>
          <w:tcPr>
            <w:tcW w:w="647" w:type="dxa"/>
            <w:tcBorders>
              <w:bottom w:val="nil"/>
            </w:tcBorders>
            <w:shd w:val="clear" w:color="auto" w:fill="auto"/>
          </w:tcPr>
          <w:p w14:paraId="1580A75F" w14:textId="7B17F470" w:rsidR="00AA6226" w:rsidRPr="00B700A9" w:rsidRDefault="00AA6226" w:rsidP="00514376">
            <w:pPr>
              <w:pStyle w:val="TableText"/>
              <w:spacing w:before="60" w:after="60" w:line="240" w:lineRule="auto"/>
              <w:rPr>
                <w:rFonts w:cs="Arial"/>
                <w:sz w:val="20"/>
                <w:szCs w:val="20"/>
              </w:rPr>
            </w:pPr>
            <w:r w:rsidRPr="00B700A9">
              <w:rPr>
                <w:rFonts w:cs="Arial"/>
                <w:sz w:val="20"/>
                <w:szCs w:val="20"/>
              </w:rPr>
              <w:t>15</w:t>
            </w:r>
          </w:p>
        </w:tc>
        <w:tc>
          <w:tcPr>
            <w:tcW w:w="4105" w:type="dxa"/>
            <w:shd w:val="clear" w:color="auto" w:fill="auto"/>
          </w:tcPr>
          <w:p w14:paraId="03A1ABB3" w14:textId="3BE4BD53" w:rsidR="00AA6226" w:rsidRPr="00B700A9" w:rsidRDefault="00AA6226" w:rsidP="00B700A9">
            <w:pPr>
              <w:pStyle w:val="TableText"/>
              <w:spacing w:before="60" w:after="60" w:line="240" w:lineRule="auto"/>
              <w:rPr>
                <w:rFonts w:cs="Arial"/>
                <w:sz w:val="20"/>
                <w:szCs w:val="20"/>
              </w:rPr>
            </w:pPr>
            <w:r w:rsidRPr="00B700A9">
              <w:rPr>
                <w:rFonts w:cs="Arial"/>
                <w:sz w:val="20"/>
                <w:szCs w:val="20"/>
              </w:rPr>
              <w:t>Vessel strike or entanglement with megafauna</w:t>
            </w:r>
            <w:r>
              <w:rPr>
                <w:rFonts w:cs="Arial"/>
                <w:sz w:val="20"/>
                <w:szCs w:val="20"/>
              </w:rPr>
              <w:t xml:space="preserve"> – individuals</w:t>
            </w:r>
          </w:p>
        </w:tc>
        <w:tc>
          <w:tcPr>
            <w:tcW w:w="3113" w:type="dxa"/>
            <w:shd w:val="clear" w:color="auto" w:fill="66FF66"/>
            <w:vAlign w:val="center"/>
          </w:tcPr>
          <w:p w14:paraId="4688D6D4" w14:textId="12F72FEC" w:rsidR="00AA6226" w:rsidRDefault="00AA6226">
            <w:pPr>
              <w:pStyle w:val="TableText"/>
              <w:spacing w:before="60" w:after="60" w:line="240" w:lineRule="auto"/>
              <w:jc w:val="center"/>
              <w:rPr>
                <w:rFonts w:cs="Arial"/>
                <w:sz w:val="20"/>
                <w:szCs w:val="20"/>
              </w:rPr>
            </w:pPr>
            <w:r>
              <w:rPr>
                <w:rFonts w:cs="Arial"/>
                <w:sz w:val="20"/>
                <w:szCs w:val="20"/>
              </w:rPr>
              <w:t>Low</w:t>
            </w:r>
          </w:p>
        </w:tc>
      </w:tr>
      <w:tr w:rsidR="00AA6226" w:rsidRPr="00B700A9" w14:paraId="6A33A8A3" w14:textId="77777777" w:rsidTr="004C0F3C">
        <w:trPr>
          <w:jc w:val="center"/>
        </w:trPr>
        <w:tc>
          <w:tcPr>
            <w:tcW w:w="647" w:type="dxa"/>
            <w:tcBorders>
              <w:top w:val="nil"/>
            </w:tcBorders>
            <w:shd w:val="clear" w:color="auto" w:fill="auto"/>
          </w:tcPr>
          <w:p w14:paraId="06A7E069" w14:textId="77777777" w:rsidR="00AA6226" w:rsidRPr="00B700A9" w:rsidRDefault="00AA6226" w:rsidP="00514376">
            <w:pPr>
              <w:pStyle w:val="TableText"/>
              <w:spacing w:before="60" w:after="60" w:line="240" w:lineRule="auto"/>
              <w:rPr>
                <w:rFonts w:cs="Arial"/>
                <w:sz w:val="20"/>
                <w:szCs w:val="20"/>
              </w:rPr>
            </w:pPr>
          </w:p>
        </w:tc>
        <w:tc>
          <w:tcPr>
            <w:tcW w:w="4105" w:type="dxa"/>
            <w:shd w:val="clear" w:color="auto" w:fill="auto"/>
          </w:tcPr>
          <w:p w14:paraId="7158C654" w14:textId="3711FA76" w:rsidR="00AA6226" w:rsidRPr="00B700A9" w:rsidRDefault="00AA6226" w:rsidP="00B06381">
            <w:pPr>
              <w:pStyle w:val="TableText"/>
              <w:spacing w:before="60" w:after="60" w:line="240" w:lineRule="auto"/>
              <w:rPr>
                <w:rFonts w:cs="Arial"/>
                <w:sz w:val="20"/>
                <w:szCs w:val="20"/>
              </w:rPr>
            </w:pPr>
            <w:r>
              <w:rPr>
                <w:rFonts w:cs="Arial"/>
                <w:sz w:val="20"/>
                <w:szCs w:val="20"/>
              </w:rPr>
              <w:t>– population</w:t>
            </w:r>
          </w:p>
        </w:tc>
        <w:tc>
          <w:tcPr>
            <w:tcW w:w="3113" w:type="dxa"/>
            <w:shd w:val="clear" w:color="auto" w:fill="66FF66"/>
          </w:tcPr>
          <w:p w14:paraId="7E5DA945" w14:textId="1DC70709" w:rsidR="00AA6226" w:rsidRDefault="00AA6226" w:rsidP="00514376">
            <w:pPr>
              <w:pStyle w:val="TableText"/>
              <w:spacing w:before="60" w:after="60" w:line="240" w:lineRule="auto"/>
              <w:jc w:val="center"/>
              <w:rPr>
                <w:rFonts w:cs="Arial"/>
                <w:sz w:val="20"/>
                <w:szCs w:val="20"/>
              </w:rPr>
            </w:pPr>
            <w:r>
              <w:rPr>
                <w:rFonts w:cs="Arial"/>
                <w:sz w:val="20"/>
                <w:szCs w:val="20"/>
              </w:rPr>
              <w:t>Low</w:t>
            </w:r>
          </w:p>
        </w:tc>
      </w:tr>
      <w:tr w:rsidR="00AA6226" w:rsidRPr="00B700A9" w14:paraId="2D0D1D79" w14:textId="0AA656A4" w:rsidTr="004C0F3C">
        <w:trPr>
          <w:jc w:val="center"/>
        </w:trPr>
        <w:tc>
          <w:tcPr>
            <w:tcW w:w="647" w:type="dxa"/>
            <w:tcBorders>
              <w:bottom w:val="nil"/>
            </w:tcBorders>
            <w:shd w:val="clear" w:color="auto" w:fill="auto"/>
          </w:tcPr>
          <w:p w14:paraId="236BC7C3" w14:textId="420D93B7" w:rsidR="00AA6226" w:rsidRPr="00B700A9" w:rsidRDefault="00AA6226" w:rsidP="00514376">
            <w:pPr>
              <w:pStyle w:val="TableText"/>
              <w:spacing w:before="60" w:after="60" w:line="240" w:lineRule="auto"/>
              <w:rPr>
                <w:rFonts w:cs="Arial"/>
                <w:sz w:val="20"/>
                <w:szCs w:val="20"/>
              </w:rPr>
            </w:pPr>
            <w:r w:rsidRPr="00B700A9">
              <w:rPr>
                <w:rFonts w:cs="Arial"/>
                <w:sz w:val="20"/>
                <w:szCs w:val="20"/>
              </w:rPr>
              <w:t>16</w:t>
            </w:r>
          </w:p>
        </w:tc>
        <w:tc>
          <w:tcPr>
            <w:tcW w:w="4105" w:type="dxa"/>
            <w:shd w:val="clear" w:color="auto" w:fill="auto"/>
          </w:tcPr>
          <w:p w14:paraId="78DB3D88" w14:textId="3BB4C8FC" w:rsidR="00AA6226" w:rsidRPr="00B700A9" w:rsidRDefault="00AA6226">
            <w:pPr>
              <w:pStyle w:val="TableText"/>
              <w:spacing w:before="60" w:after="60" w:line="240" w:lineRule="auto"/>
              <w:rPr>
                <w:rFonts w:cs="Arial"/>
                <w:sz w:val="20"/>
                <w:szCs w:val="20"/>
              </w:rPr>
            </w:pPr>
            <w:r w:rsidRPr="00B700A9">
              <w:rPr>
                <w:rFonts w:cs="Arial"/>
                <w:sz w:val="20"/>
                <w:szCs w:val="20"/>
              </w:rPr>
              <w:t>Diesel spill</w:t>
            </w:r>
            <w:r>
              <w:rPr>
                <w:rFonts w:cs="Arial"/>
                <w:sz w:val="20"/>
                <w:szCs w:val="20"/>
              </w:rPr>
              <w:t xml:space="preserve"> </w:t>
            </w:r>
          </w:p>
        </w:tc>
        <w:tc>
          <w:tcPr>
            <w:tcW w:w="3113" w:type="dxa"/>
            <w:shd w:val="clear" w:color="auto" w:fill="66FF66"/>
          </w:tcPr>
          <w:p w14:paraId="2A5679F7" w14:textId="23912FB5" w:rsidR="00AA6226" w:rsidRDefault="00AA6226" w:rsidP="00514376">
            <w:pPr>
              <w:pStyle w:val="TableText"/>
              <w:spacing w:before="60" w:after="60" w:line="240" w:lineRule="auto"/>
              <w:jc w:val="center"/>
              <w:rPr>
                <w:rFonts w:cs="Arial"/>
                <w:sz w:val="20"/>
                <w:szCs w:val="20"/>
              </w:rPr>
            </w:pPr>
            <w:r>
              <w:rPr>
                <w:rFonts w:cs="Arial"/>
                <w:sz w:val="20"/>
                <w:szCs w:val="20"/>
              </w:rPr>
              <w:t>Low</w:t>
            </w:r>
          </w:p>
        </w:tc>
      </w:tr>
      <w:tr w:rsidR="00AA6226" w:rsidRPr="00B700A9" w14:paraId="4DA04337" w14:textId="5291CEE6" w:rsidTr="004C0F3C">
        <w:trPr>
          <w:jc w:val="center"/>
        </w:trPr>
        <w:tc>
          <w:tcPr>
            <w:tcW w:w="4752" w:type="dxa"/>
            <w:gridSpan w:val="2"/>
            <w:shd w:val="clear" w:color="auto" w:fill="064EA8"/>
          </w:tcPr>
          <w:p w14:paraId="3D9A4C58" w14:textId="485222CF" w:rsidR="00AA6226" w:rsidRPr="00B700A9" w:rsidRDefault="00AA6226" w:rsidP="00514376">
            <w:pPr>
              <w:pStyle w:val="TableText"/>
              <w:spacing w:before="60" w:after="60" w:line="240" w:lineRule="auto"/>
              <w:rPr>
                <w:rFonts w:cs="Arial"/>
                <w:color w:val="FFFFFF" w:themeColor="background1"/>
                <w:sz w:val="20"/>
                <w:szCs w:val="20"/>
              </w:rPr>
            </w:pPr>
            <w:r w:rsidRPr="00B700A9">
              <w:rPr>
                <w:rFonts w:cs="Arial"/>
                <w:color w:val="FFFFFF" w:themeColor="background1"/>
                <w:sz w:val="20"/>
                <w:szCs w:val="20"/>
              </w:rPr>
              <w:t>Hydrocarbon spill response activities (risks)</w:t>
            </w:r>
          </w:p>
        </w:tc>
        <w:tc>
          <w:tcPr>
            <w:tcW w:w="3113" w:type="dxa"/>
            <w:shd w:val="clear" w:color="auto" w:fill="064EA8"/>
          </w:tcPr>
          <w:p w14:paraId="3EBB230C" w14:textId="44B79B63" w:rsidR="00AA6226" w:rsidRPr="00B700A9" w:rsidRDefault="00AA6226" w:rsidP="008C2AAE">
            <w:pPr>
              <w:pStyle w:val="TableText"/>
              <w:spacing w:before="60" w:after="60" w:line="240" w:lineRule="auto"/>
              <w:jc w:val="center"/>
              <w:rPr>
                <w:rFonts w:cs="Arial"/>
                <w:color w:val="FFFFFF" w:themeColor="background1"/>
                <w:sz w:val="20"/>
                <w:szCs w:val="20"/>
              </w:rPr>
            </w:pPr>
            <w:r>
              <w:rPr>
                <w:rFonts w:cs="Arial"/>
                <w:color w:val="FFFFFF" w:themeColor="background1"/>
                <w:sz w:val="20"/>
                <w:szCs w:val="20"/>
              </w:rPr>
              <w:t xml:space="preserve">Resdiual risk </w:t>
            </w:r>
          </w:p>
        </w:tc>
      </w:tr>
      <w:tr w:rsidR="00AA6226" w:rsidRPr="00B700A9" w14:paraId="598FE246" w14:textId="2C3C66DE" w:rsidTr="004C0F3C">
        <w:trPr>
          <w:jc w:val="center"/>
        </w:trPr>
        <w:tc>
          <w:tcPr>
            <w:tcW w:w="647" w:type="dxa"/>
            <w:shd w:val="clear" w:color="auto" w:fill="auto"/>
          </w:tcPr>
          <w:p w14:paraId="183F7378" w14:textId="0262138F" w:rsidR="00AA6226" w:rsidRPr="00B700A9" w:rsidRDefault="00AA6226" w:rsidP="00514376">
            <w:pPr>
              <w:pStyle w:val="TableText"/>
              <w:spacing w:before="60" w:after="60" w:line="240" w:lineRule="auto"/>
              <w:rPr>
                <w:rFonts w:cs="Arial"/>
                <w:sz w:val="20"/>
                <w:szCs w:val="20"/>
              </w:rPr>
            </w:pPr>
            <w:r w:rsidRPr="00B700A9">
              <w:rPr>
                <w:rFonts w:cs="Arial"/>
                <w:sz w:val="20"/>
                <w:szCs w:val="20"/>
              </w:rPr>
              <w:t>17</w:t>
            </w:r>
          </w:p>
        </w:tc>
        <w:tc>
          <w:tcPr>
            <w:tcW w:w="4105" w:type="dxa"/>
            <w:shd w:val="clear" w:color="auto" w:fill="auto"/>
          </w:tcPr>
          <w:p w14:paraId="553D77F1" w14:textId="0C8AEA7B" w:rsidR="00AA6226" w:rsidRPr="00B700A9" w:rsidRDefault="00AA6226" w:rsidP="00514376">
            <w:pPr>
              <w:pStyle w:val="TableText"/>
              <w:spacing w:before="60" w:after="60" w:line="240" w:lineRule="auto"/>
              <w:rPr>
                <w:rFonts w:cs="Arial"/>
                <w:sz w:val="20"/>
                <w:szCs w:val="20"/>
              </w:rPr>
            </w:pPr>
            <w:r w:rsidRPr="00B700A9">
              <w:rPr>
                <w:rFonts w:cs="Arial"/>
                <w:sz w:val="20"/>
                <w:szCs w:val="20"/>
              </w:rPr>
              <w:t>Surveillance and tracking</w:t>
            </w:r>
          </w:p>
        </w:tc>
        <w:tc>
          <w:tcPr>
            <w:tcW w:w="3113" w:type="dxa"/>
            <w:shd w:val="clear" w:color="auto" w:fill="66FF66"/>
          </w:tcPr>
          <w:p w14:paraId="24430E85" w14:textId="158E6596" w:rsidR="00AA6226" w:rsidRDefault="00AA6226" w:rsidP="00514376">
            <w:pPr>
              <w:pStyle w:val="TableText"/>
              <w:spacing w:before="60" w:after="60" w:line="240" w:lineRule="auto"/>
              <w:jc w:val="center"/>
              <w:rPr>
                <w:rFonts w:cs="Arial"/>
                <w:sz w:val="20"/>
                <w:szCs w:val="20"/>
              </w:rPr>
            </w:pPr>
            <w:r>
              <w:rPr>
                <w:rFonts w:cs="Arial"/>
                <w:sz w:val="20"/>
                <w:szCs w:val="20"/>
              </w:rPr>
              <w:t>Low</w:t>
            </w:r>
          </w:p>
        </w:tc>
      </w:tr>
      <w:tr w:rsidR="00AA6226" w:rsidRPr="00B700A9" w14:paraId="2322F3DE" w14:textId="3B90BCD0" w:rsidTr="004C0F3C">
        <w:trPr>
          <w:jc w:val="center"/>
        </w:trPr>
        <w:tc>
          <w:tcPr>
            <w:tcW w:w="647" w:type="dxa"/>
            <w:tcBorders>
              <w:bottom w:val="nil"/>
            </w:tcBorders>
            <w:shd w:val="clear" w:color="auto" w:fill="auto"/>
          </w:tcPr>
          <w:p w14:paraId="7FE86F04" w14:textId="5AABC738" w:rsidR="00AA6226" w:rsidRPr="00B700A9" w:rsidRDefault="00AA6226" w:rsidP="00514376">
            <w:pPr>
              <w:pStyle w:val="TableText"/>
              <w:spacing w:before="60" w:after="60" w:line="240" w:lineRule="auto"/>
              <w:rPr>
                <w:rFonts w:cs="Arial"/>
                <w:sz w:val="20"/>
                <w:szCs w:val="20"/>
              </w:rPr>
            </w:pPr>
            <w:r w:rsidRPr="00B700A9">
              <w:rPr>
                <w:rFonts w:cs="Arial"/>
                <w:sz w:val="20"/>
                <w:szCs w:val="20"/>
              </w:rPr>
              <w:t>18</w:t>
            </w:r>
          </w:p>
        </w:tc>
        <w:tc>
          <w:tcPr>
            <w:tcW w:w="4105" w:type="dxa"/>
            <w:shd w:val="clear" w:color="auto" w:fill="auto"/>
          </w:tcPr>
          <w:p w14:paraId="12F7F99F" w14:textId="2FFC2134" w:rsidR="00AA6226" w:rsidRPr="00B700A9" w:rsidRDefault="00AA6226" w:rsidP="00514376">
            <w:pPr>
              <w:pStyle w:val="TableText"/>
              <w:spacing w:before="60" w:after="60" w:line="240" w:lineRule="auto"/>
              <w:rPr>
                <w:rFonts w:cs="Arial"/>
                <w:sz w:val="20"/>
                <w:szCs w:val="20"/>
              </w:rPr>
            </w:pPr>
            <w:r w:rsidRPr="00B700A9">
              <w:rPr>
                <w:rFonts w:cs="Arial"/>
                <w:sz w:val="20"/>
                <w:szCs w:val="20"/>
              </w:rPr>
              <w:t>Protection and deflection</w:t>
            </w:r>
            <w:r>
              <w:rPr>
                <w:rFonts w:cs="Arial"/>
                <w:sz w:val="20"/>
                <w:szCs w:val="20"/>
              </w:rPr>
              <w:t xml:space="preserve"> </w:t>
            </w:r>
            <w:r>
              <w:rPr>
                <w:rFonts w:cs="Arial"/>
                <w:sz w:val="20"/>
                <w:szCs w:val="20"/>
              </w:rPr>
              <w:br/>
              <w:t xml:space="preserve"> – nearshore habitat</w:t>
            </w:r>
          </w:p>
        </w:tc>
        <w:tc>
          <w:tcPr>
            <w:tcW w:w="3113" w:type="dxa"/>
            <w:shd w:val="clear" w:color="auto" w:fill="66FF66"/>
            <w:vAlign w:val="center"/>
          </w:tcPr>
          <w:p w14:paraId="3AA84FC1" w14:textId="12DBD9A7" w:rsidR="00AA6226" w:rsidRDefault="00AA6226">
            <w:pPr>
              <w:pStyle w:val="TableText"/>
              <w:spacing w:before="60" w:after="60" w:line="240" w:lineRule="auto"/>
              <w:jc w:val="center"/>
              <w:rPr>
                <w:rFonts w:cs="Arial"/>
                <w:sz w:val="20"/>
                <w:szCs w:val="20"/>
              </w:rPr>
            </w:pPr>
            <w:r>
              <w:rPr>
                <w:rFonts w:cs="Arial"/>
                <w:sz w:val="20"/>
                <w:szCs w:val="20"/>
              </w:rPr>
              <w:t>Low</w:t>
            </w:r>
          </w:p>
        </w:tc>
      </w:tr>
      <w:tr w:rsidR="00AA6226" w:rsidRPr="00B700A9" w14:paraId="0591042D" w14:textId="77777777" w:rsidTr="004C0F3C">
        <w:trPr>
          <w:jc w:val="center"/>
        </w:trPr>
        <w:tc>
          <w:tcPr>
            <w:tcW w:w="647" w:type="dxa"/>
            <w:tcBorders>
              <w:top w:val="nil"/>
              <w:bottom w:val="nil"/>
            </w:tcBorders>
            <w:shd w:val="clear" w:color="auto" w:fill="auto"/>
          </w:tcPr>
          <w:p w14:paraId="5BCF5001" w14:textId="77777777" w:rsidR="00AA6226" w:rsidRPr="00B700A9" w:rsidRDefault="00AA6226" w:rsidP="00514376">
            <w:pPr>
              <w:pStyle w:val="TableText"/>
              <w:spacing w:before="60" w:after="60" w:line="240" w:lineRule="auto"/>
              <w:rPr>
                <w:rFonts w:cs="Arial"/>
                <w:sz w:val="20"/>
                <w:szCs w:val="20"/>
              </w:rPr>
            </w:pPr>
          </w:p>
        </w:tc>
        <w:tc>
          <w:tcPr>
            <w:tcW w:w="4105" w:type="dxa"/>
            <w:shd w:val="clear" w:color="auto" w:fill="auto"/>
          </w:tcPr>
          <w:p w14:paraId="3B3D24BC" w14:textId="704C0A69" w:rsidR="00AA6226" w:rsidRPr="00B700A9" w:rsidRDefault="00AA6226">
            <w:pPr>
              <w:pStyle w:val="TableText"/>
              <w:spacing w:before="60" w:after="60" w:line="240" w:lineRule="auto"/>
              <w:rPr>
                <w:rFonts w:cs="Arial"/>
                <w:sz w:val="20"/>
                <w:szCs w:val="20"/>
              </w:rPr>
            </w:pPr>
            <w:r>
              <w:rPr>
                <w:rFonts w:cs="Arial"/>
                <w:sz w:val="20"/>
                <w:szCs w:val="20"/>
              </w:rPr>
              <w:t xml:space="preserve"> – shoreline habitat</w:t>
            </w:r>
          </w:p>
        </w:tc>
        <w:tc>
          <w:tcPr>
            <w:tcW w:w="3113" w:type="dxa"/>
            <w:shd w:val="clear" w:color="auto" w:fill="66FF66"/>
          </w:tcPr>
          <w:p w14:paraId="0FE5FFBF" w14:textId="58CA27F8" w:rsidR="00AA6226" w:rsidRDefault="00AA6226" w:rsidP="00514376">
            <w:pPr>
              <w:pStyle w:val="TableText"/>
              <w:spacing w:before="60" w:after="60" w:line="240" w:lineRule="auto"/>
              <w:jc w:val="center"/>
              <w:rPr>
                <w:rFonts w:cs="Arial"/>
                <w:sz w:val="20"/>
                <w:szCs w:val="20"/>
              </w:rPr>
            </w:pPr>
            <w:r>
              <w:rPr>
                <w:rFonts w:cs="Arial"/>
                <w:sz w:val="20"/>
                <w:szCs w:val="20"/>
              </w:rPr>
              <w:t>Low</w:t>
            </w:r>
          </w:p>
        </w:tc>
      </w:tr>
      <w:tr w:rsidR="00AA6226" w:rsidRPr="00B700A9" w14:paraId="641E2863" w14:textId="77777777" w:rsidTr="004C0F3C">
        <w:trPr>
          <w:jc w:val="center"/>
        </w:trPr>
        <w:tc>
          <w:tcPr>
            <w:tcW w:w="647" w:type="dxa"/>
            <w:tcBorders>
              <w:top w:val="nil"/>
            </w:tcBorders>
            <w:shd w:val="clear" w:color="auto" w:fill="auto"/>
          </w:tcPr>
          <w:p w14:paraId="369FC9BC" w14:textId="77777777" w:rsidR="00AA6226" w:rsidRPr="00B700A9" w:rsidRDefault="00AA6226" w:rsidP="00514376">
            <w:pPr>
              <w:pStyle w:val="TableText"/>
              <w:spacing w:before="60" w:after="60" w:line="240" w:lineRule="auto"/>
              <w:rPr>
                <w:rFonts w:cs="Arial"/>
                <w:sz w:val="20"/>
                <w:szCs w:val="20"/>
              </w:rPr>
            </w:pPr>
          </w:p>
        </w:tc>
        <w:tc>
          <w:tcPr>
            <w:tcW w:w="4105" w:type="dxa"/>
            <w:shd w:val="clear" w:color="auto" w:fill="auto"/>
          </w:tcPr>
          <w:p w14:paraId="2B0AF855" w14:textId="602743B4" w:rsidR="00AA6226" w:rsidRPr="00B700A9" w:rsidRDefault="00AA6226">
            <w:pPr>
              <w:pStyle w:val="TableText"/>
              <w:spacing w:before="60" w:after="60" w:line="240" w:lineRule="auto"/>
              <w:rPr>
                <w:rFonts w:cs="Arial"/>
                <w:sz w:val="20"/>
                <w:szCs w:val="20"/>
              </w:rPr>
            </w:pPr>
            <w:r>
              <w:rPr>
                <w:rFonts w:cs="Arial"/>
                <w:sz w:val="20"/>
                <w:szCs w:val="20"/>
              </w:rPr>
              <w:t xml:space="preserve"> – fauna disturbance</w:t>
            </w:r>
          </w:p>
        </w:tc>
        <w:tc>
          <w:tcPr>
            <w:tcW w:w="3113" w:type="dxa"/>
            <w:shd w:val="clear" w:color="auto" w:fill="66FF66"/>
          </w:tcPr>
          <w:p w14:paraId="27CC4FCD" w14:textId="5E6C3872" w:rsidR="00AA6226" w:rsidRDefault="00AA6226" w:rsidP="00514376">
            <w:pPr>
              <w:pStyle w:val="TableText"/>
              <w:spacing w:before="60" w:after="60" w:line="240" w:lineRule="auto"/>
              <w:jc w:val="center"/>
              <w:rPr>
                <w:rFonts w:cs="Arial"/>
                <w:sz w:val="20"/>
                <w:szCs w:val="20"/>
              </w:rPr>
            </w:pPr>
            <w:r>
              <w:rPr>
                <w:rFonts w:cs="Arial"/>
                <w:sz w:val="20"/>
                <w:szCs w:val="20"/>
              </w:rPr>
              <w:t>Low</w:t>
            </w:r>
          </w:p>
        </w:tc>
      </w:tr>
      <w:tr w:rsidR="00AA6226" w:rsidRPr="00B700A9" w14:paraId="769F7F5F" w14:textId="660870EF" w:rsidTr="004C0F3C">
        <w:trPr>
          <w:jc w:val="center"/>
        </w:trPr>
        <w:tc>
          <w:tcPr>
            <w:tcW w:w="647" w:type="dxa"/>
            <w:tcBorders>
              <w:bottom w:val="nil"/>
            </w:tcBorders>
            <w:shd w:val="clear" w:color="auto" w:fill="auto"/>
          </w:tcPr>
          <w:p w14:paraId="0EF24DF7" w14:textId="5CF71400" w:rsidR="00AA6226" w:rsidRPr="00B700A9" w:rsidRDefault="00AA6226" w:rsidP="00514376">
            <w:pPr>
              <w:pStyle w:val="TableText"/>
              <w:spacing w:before="60" w:after="60" w:line="240" w:lineRule="auto"/>
              <w:rPr>
                <w:rFonts w:cs="Arial"/>
                <w:sz w:val="20"/>
                <w:szCs w:val="20"/>
              </w:rPr>
            </w:pPr>
            <w:r w:rsidRPr="00B700A9">
              <w:rPr>
                <w:rFonts w:cs="Arial"/>
                <w:sz w:val="20"/>
                <w:szCs w:val="20"/>
              </w:rPr>
              <w:t>19</w:t>
            </w:r>
          </w:p>
        </w:tc>
        <w:tc>
          <w:tcPr>
            <w:tcW w:w="4105" w:type="dxa"/>
            <w:shd w:val="clear" w:color="auto" w:fill="auto"/>
          </w:tcPr>
          <w:p w14:paraId="00A5A6B2" w14:textId="607C096A" w:rsidR="00AA6226" w:rsidRPr="00B700A9" w:rsidRDefault="00AA6226">
            <w:pPr>
              <w:pStyle w:val="TableText"/>
              <w:spacing w:before="60" w:after="60" w:line="240" w:lineRule="auto"/>
              <w:rPr>
                <w:rFonts w:cs="Arial"/>
                <w:sz w:val="20"/>
                <w:szCs w:val="20"/>
              </w:rPr>
            </w:pPr>
            <w:r>
              <w:rPr>
                <w:rFonts w:cs="Arial"/>
                <w:sz w:val="20"/>
                <w:szCs w:val="20"/>
              </w:rPr>
              <w:t>S</w:t>
            </w:r>
            <w:r w:rsidRPr="00B700A9">
              <w:rPr>
                <w:rFonts w:cs="Arial"/>
                <w:sz w:val="20"/>
                <w:szCs w:val="20"/>
              </w:rPr>
              <w:t xml:space="preserve">horeline </w:t>
            </w:r>
            <w:r>
              <w:rPr>
                <w:rFonts w:cs="Arial"/>
                <w:sz w:val="20"/>
                <w:szCs w:val="20"/>
              </w:rPr>
              <w:t xml:space="preserve">assessment and </w:t>
            </w:r>
            <w:r w:rsidRPr="00B700A9">
              <w:rPr>
                <w:rFonts w:cs="Arial"/>
                <w:sz w:val="20"/>
                <w:szCs w:val="20"/>
              </w:rPr>
              <w:t>clean-up</w:t>
            </w:r>
            <w:r>
              <w:rPr>
                <w:rFonts w:cs="Arial"/>
                <w:sz w:val="20"/>
                <w:szCs w:val="20"/>
              </w:rPr>
              <w:br/>
              <w:t xml:space="preserve"> – shoreline habitat</w:t>
            </w:r>
          </w:p>
        </w:tc>
        <w:tc>
          <w:tcPr>
            <w:tcW w:w="3113" w:type="dxa"/>
            <w:shd w:val="clear" w:color="auto" w:fill="95B3D7" w:themeFill="accent1" w:themeFillTint="99"/>
            <w:vAlign w:val="center"/>
          </w:tcPr>
          <w:p w14:paraId="6CE16826" w14:textId="4AECAF6F" w:rsidR="00AA6226" w:rsidRDefault="00AA6226">
            <w:pPr>
              <w:pStyle w:val="TableText"/>
              <w:spacing w:before="60" w:after="60" w:line="240" w:lineRule="auto"/>
              <w:jc w:val="center"/>
              <w:rPr>
                <w:rFonts w:cs="Arial"/>
                <w:sz w:val="20"/>
                <w:szCs w:val="20"/>
              </w:rPr>
            </w:pPr>
            <w:r>
              <w:rPr>
                <w:rFonts w:cs="Arial"/>
                <w:sz w:val="20"/>
                <w:szCs w:val="20"/>
              </w:rPr>
              <w:t>Medium</w:t>
            </w:r>
          </w:p>
        </w:tc>
      </w:tr>
      <w:tr w:rsidR="00AA6226" w:rsidRPr="00B700A9" w14:paraId="24EC7C4C" w14:textId="77777777" w:rsidTr="004C0F3C">
        <w:trPr>
          <w:jc w:val="center"/>
        </w:trPr>
        <w:tc>
          <w:tcPr>
            <w:tcW w:w="647" w:type="dxa"/>
            <w:tcBorders>
              <w:top w:val="nil"/>
              <w:bottom w:val="nil"/>
            </w:tcBorders>
            <w:shd w:val="clear" w:color="auto" w:fill="auto"/>
          </w:tcPr>
          <w:p w14:paraId="362D94A6" w14:textId="77777777" w:rsidR="00AA6226" w:rsidRPr="00B700A9" w:rsidRDefault="00AA6226" w:rsidP="00514376">
            <w:pPr>
              <w:pStyle w:val="TableText"/>
              <w:spacing w:before="60" w:after="60" w:line="240" w:lineRule="auto"/>
              <w:rPr>
                <w:rFonts w:cs="Arial"/>
                <w:sz w:val="20"/>
                <w:szCs w:val="20"/>
              </w:rPr>
            </w:pPr>
          </w:p>
        </w:tc>
        <w:tc>
          <w:tcPr>
            <w:tcW w:w="4105" w:type="dxa"/>
            <w:shd w:val="clear" w:color="auto" w:fill="auto"/>
          </w:tcPr>
          <w:p w14:paraId="0DAC6D23" w14:textId="5314D050" w:rsidR="00AA6226" w:rsidRPr="00B700A9" w:rsidRDefault="00AA6226" w:rsidP="00876CE2">
            <w:pPr>
              <w:pStyle w:val="TableText"/>
              <w:spacing w:before="60" w:after="60" w:line="240" w:lineRule="auto"/>
              <w:rPr>
                <w:rFonts w:cs="Arial"/>
                <w:sz w:val="20"/>
                <w:szCs w:val="20"/>
              </w:rPr>
            </w:pPr>
            <w:r>
              <w:rPr>
                <w:rFonts w:cs="Arial"/>
                <w:sz w:val="20"/>
                <w:szCs w:val="20"/>
              </w:rPr>
              <w:t xml:space="preserve"> – recreational users                     </w:t>
            </w:r>
          </w:p>
        </w:tc>
        <w:tc>
          <w:tcPr>
            <w:tcW w:w="3113" w:type="dxa"/>
            <w:shd w:val="clear" w:color="auto" w:fill="95B3D7" w:themeFill="accent1" w:themeFillTint="99"/>
          </w:tcPr>
          <w:p w14:paraId="799003BE" w14:textId="7512FFF3" w:rsidR="00AA6226" w:rsidRDefault="00AA6226" w:rsidP="001845AD">
            <w:pPr>
              <w:pStyle w:val="TableText"/>
              <w:spacing w:before="60" w:after="60" w:line="240" w:lineRule="auto"/>
              <w:jc w:val="center"/>
              <w:rPr>
                <w:rFonts w:cs="Arial"/>
                <w:sz w:val="20"/>
                <w:szCs w:val="20"/>
              </w:rPr>
            </w:pPr>
            <w:r>
              <w:rPr>
                <w:rFonts w:cs="Arial"/>
                <w:sz w:val="20"/>
                <w:szCs w:val="20"/>
              </w:rPr>
              <w:t>Medium</w:t>
            </w:r>
          </w:p>
        </w:tc>
      </w:tr>
      <w:tr w:rsidR="00AA6226" w:rsidRPr="00B700A9" w14:paraId="493BA056" w14:textId="77777777" w:rsidTr="004C0F3C">
        <w:trPr>
          <w:jc w:val="center"/>
        </w:trPr>
        <w:tc>
          <w:tcPr>
            <w:tcW w:w="647" w:type="dxa"/>
            <w:tcBorders>
              <w:top w:val="nil"/>
            </w:tcBorders>
            <w:shd w:val="clear" w:color="auto" w:fill="auto"/>
          </w:tcPr>
          <w:p w14:paraId="541364F4" w14:textId="77777777" w:rsidR="00AA6226" w:rsidRPr="00B700A9" w:rsidRDefault="00AA6226" w:rsidP="00514376">
            <w:pPr>
              <w:pStyle w:val="TableText"/>
              <w:spacing w:before="60" w:after="60" w:line="240" w:lineRule="auto"/>
              <w:rPr>
                <w:rFonts w:cs="Arial"/>
                <w:sz w:val="20"/>
                <w:szCs w:val="20"/>
              </w:rPr>
            </w:pPr>
          </w:p>
        </w:tc>
        <w:tc>
          <w:tcPr>
            <w:tcW w:w="4105" w:type="dxa"/>
            <w:shd w:val="clear" w:color="auto" w:fill="auto"/>
          </w:tcPr>
          <w:p w14:paraId="0714D7BC" w14:textId="1AF0E222" w:rsidR="00AA6226" w:rsidRPr="00B700A9" w:rsidRDefault="00AA6226" w:rsidP="00876CE2">
            <w:pPr>
              <w:pStyle w:val="TableText"/>
              <w:spacing w:before="60" w:after="60" w:line="240" w:lineRule="auto"/>
              <w:rPr>
                <w:rFonts w:cs="Arial"/>
                <w:sz w:val="20"/>
                <w:szCs w:val="20"/>
              </w:rPr>
            </w:pPr>
            <w:r>
              <w:rPr>
                <w:rFonts w:cs="Arial"/>
                <w:sz w:val="20"/>
                <w:szCs w:val="20"/>
              </w:rPr>
              <w:t xml:space="preserve"> – cultural heritage disturbance</w:t>
            </w:r>
          </w:p>
        </w:tc>
        <w:tc>
          <w:tcPr>
            <w:tcW w:w="3113" w:type="dxa"/>
            <w:shd w:val="clear" w:color="auto" w:fill="66FF66"/>
          </w:tcPr>
          <w:p w14:paraId="65354F99" w14:textId="74F20A2E" w:rsidR="00AA6226" w:rsidRDefault="00AA6226" w:rsidP="001845AD">
            <w:pPr>
              <w:pStyle w:val="TableText"/>
              <w:spacing w:before="60" w:after="60" w:line="240" w:lineRule="auto"/>
              <w:jc w:val="center"/>
              <w:rPr>
                <w:rFonts w:cs="Arial"/>
                <w:sz w:val="20"/>
                <w:szCs w:val="20"/>
              </w:rPr>
            </w:pPr>
            <w:r>
              <w:rPr>
                <w:rFonts w:cs="Arial"/>
                <w:sz w:val="20"/>
                <w:szCs w:val="20"/>
              </w:rPr>
              <w:t>Low</w:t>
            </w:r>
          </w:p>
        </w:tc>
      </w:tr>
      <w:tr w:rsidR="00AA6226" w:rsidRPr="00B700A9" w14:paraId="7D98A2EB" w14:textId="1E656627" w:rsidTr="004C0F3C">
        <w:trPr>
          <w:jc w:val="center"/>
        </w:trPr>
        <w:tc>
          <w:tcPr>
            <w:tcW w:w="647" w:type="dxa"/>
            <w:tcBorders>
              <w:bottom w:val="nil"/>
            </w:tcBorders>
            <w:shd w:val="clear" w:color="auto" w:fill="auto"/>
          </w:tcPr>
          <w:p w14:paraId="5FE6566C" w14:textId="1D52F7BF" w:rsidR="00AA6226" w:rsidRPr="00B700A9" w:rsidRDefault="00AA6226" w:rsidP="00514376">
            <w:pPr>
              <w:pStyle w:val="TableText"/>
              <w:spacing w:before="60" w:after="60" w:line="240" w:lineRule="auto"/>
              <w:rPr>
                <w:rFonts w:cs="Arial"/>
                <w:sz w:val="20"/>
                <w:szCs w:val="20"/>
              </w:rPr>
            </w:pPr>
            <w:r w:rsidRPr="00B700A9">
              <w:rPr>
                <w:rFonts w:cs="Arial"/>
                <w:sz w:val="20"/>
                <w:szCs w:val="20"/>
              </w:rPr>
              <w:t>20</w:t>
            </w:r>
          </w:p>
        </w:tc>
        <w:tc>
          <w:tcPr>
            <w:tcW w:w="4105" w:type="dxa"/>
            <w:shd w:val="clear" w:color="auto" w:fill="auto"/>
          </w:tcPr>
          <w:p w14:paraId="228E5144" w14:textId="0548119A" w:rsidR="00AA6226" w:rsidRPr="00B700A9" w:rsidRDefault="00AA6226" w:rsidP="00514376">
            <w:pPr>
              <w:pStyle w:val="TableText"/>
              <w:spacing w:before="60" w:after="60" w:line="240" w:lineRule="auto"/>
              <w:rPr>
                <w:rFonts w:cs="Arial"/>
                <w:sz w:val="20"/>
                <w:szCs w:val="20"/>
              </w:rPr>
            </w:pPr>
            <w:r w:rsidRPr="00B700A9">
              <w:rPr>
                <w:rFonts w:cs="Arial"/>
                <w:sz w:val="20"/>
                <w:szCs w:val="20"/>
              </w:rPr>
              <w:t>Oiled wildlife response</w:t>
            </w:r>
            <w:r>
              <w:rPr>
                <w:rFonts w:cs="Arial"/>
                <w:sz w:val="20"/>
                <w:szCs w:val="20"/>
              </w:rPr>
              <w:t xml:space="preserve"> – fauna injury</w:t>
            </w:r>
          </w:p>
        </w:tc>
        <w:tc>
          <w:tcPr>
            <w:tcW w:w="3113" w:type="dxa"/>
            <w:shd w:val="clear" w:color="auto" w:fill="66FF66"/>
          </w:tcPr>
          <w:p w14:paraId="330CB2AC" w14:textId="17398AF3" w:rsidR="00AA6226" w:rsidRDefault="00AA6226" w:rsidP="00514376">
            <w:pPr>
              <w:pStyle w:val="TableText"/>
              <w:spacing w:before="60" w:after="60" w:line="240" w:lineRule="auto"/>
              <w:jc w:val="center"/>
              <w:rPr>
                <w:rFonts w:cs="Arial"/>
                <w:sz w:val="20"/>
                <w:szCs w:val="20"/>
              </w:rPr>
            </w:pPr>
            <w:r>
              <w:rPr>
                <w:rFonts w:cs="Arial"/>
                <w:sz w:val="20"/>
                <w:szCs w:val="20"/>
              </w:rPr>
              <w:t>Low</w:t>
            </w:r>
          </w:p>
        </w:tc>
      </w:tr>
      <w:tr w:rsidR="00AA6226" w:rsidRPr="00B700A9" w14:paraId="07A70327" w14:textId="77777777" w:rsidTr="004C0F3C">
        <w:trPr>
          <w:jc w:val="center"/>
        </w:trPr>
        <w:tc>
          <w:tcPr>
            <w:tcW w:w="647" w:type="dxa"/>
            <w:tcBorders>
              <w:top w:val="nil"/>
            </w:tcBorders>
            <w:shd w:val="clear" w:color="auto" w:fill="auto"/>
          </w:tcPr>
          <w:p w14:paraId="25D5A06E" w14:textId="77777777" w:rsidR="00AA6226" w:rsidRPr="00B700A9" w:rsidRDefault="00AA6226" w:rsidP="00514376">
            <w:pPr>
              <w:pStyle w:val="TableText"/>
              <w:spacing w:before="60" w:after="60" w:line="240" w:lineRule="auto"/>
              <w:rPr>
                <w:rFonts w:cs="Arial"/>
                <w:sz w:val="20"/>
                <w:szCs w:val="20"/>
              </w:rPr>
            </w:pPr>
          </w:p>
        </w:tc>
        <w:tc>
          <w:tcPr>
            <w:tcW w:w="4105" w:type="dxa"/>
            <w:shd w:val="clear" w:color="auto" w:fill="auto"/>
          </w:tcPr>
          <w:p w14:paraId="0F78592E" w14:textId="47C254C9" w:rsidR="00AA6226" w:rsidRPr="00B700A9" w:rsidRDefault="00AA6226">
            <w:pPr>
              <w:pStyle w:val="TableText"/>
              <w:spacing w:before="60" w:after="60" w:line="240" w:lineRule="auto"/>
              <w:rPr>
                <w:rFonts w:cs="Arial"/>
                <w:sz w:val="20"/>
                <w:szCs w:val="20"/>
              </w:rPr>
            </w:pPr>
            <w:r>
              <w:rPr>
                <w:rFonts w:cs="Arial"/>
                <w:sz w:val="20"/>
                <w:szCs w:val="20"/>
              </w:rPr>
              <w:t xml:space="preserve">                                          – fauna death</w:t>
            </w:r>
          </w:p>
        </w:tc>
        <w:tc>
          <w:tcPr>
            <w:tcW w:w="3113" w:type="dxa"/>
            <w:shd w:val="clear" w:color="auto" w:fill="66FF66"/>
          </w:tcPr>
          <w:p w14:paraId="42426199" w14:textId="7F049AF7" w:rsidR="00AA6226" w:rsidRDefault="00AA6226" w:rsidP="00514376">
            <w:pPr>
              <w:pStyle w:val="TableText"/>
              <w:spacing w:before="60" w:after="60" w:line="240" w:lineRule="auto"/>
              <w:jc w:val="center"/>
              <w:rPr>
                <w:rFonts w:cs="Arial"/>
                <w:sz w:val="20"/>
                <w:szCs w:val="20"/>
              </w:rPr>
            </w:pPr>
            <w:r>
              <w:rPr>
                <w:rFonts w:cs="Arial"/>
                <w:sz w:val="20"/>
                <w:szCs w:val="20"/>
              </w:rPr>
              <w:t>Low</w:t>
            </w:r>
          </w:p>
        </w:tc>
      </w:tr>
    </w:tbl>
    <w:p w14:paraId="63AF128C" w14:textId="77777777" w:rsidR="00EE6FC7" w:rsidRDefault="00EE6FC7" w:rsidP="00EE6FC7"/>
    <w:p w14:paraId="3ABB0D50" w14:textId="77777777" w:rsidR="00EB4C36" w:rsidRDefault="00EB4C36" w:rsidP="00EE6FC7"/>
    <w:p w14:paraId="4E676464" w14:textId="3DAF3F2E" w:rsidR="00EE6FC7" w:rsidRPr="00B03966" w:rsidRDefault="00B03966" w:rsidP="00B03966">
      <w:pPr>
        <w:pStyle w:val="Heading2"/>
        <w:keepLines/>
        <w:numPr>
          <w:ilvl w:val="1"/>
          <w:numId w:val="1"/>
        </w:numPr>
        <w:tabs>
          <w:tab w:val="clear" w:pos="720"/>
        </w:tabs>
        <w:spacing w:before="400" w:after="200" w:line="240" w:lineRule="auto"/>
        <w:ind w:left="709" w:hanging="709"/>
        <w:rPr>
          <w:rFonts w:cs="Times New Roman"/>
          <w:iCs w:val="0"/>
          <w:color w:val="064EA8"/>
          <w:szCs w:val="26"/>
          <w:lang w:eastAsia="en-US"/>
        </w:rPr>
      </w:pPr>
      <w:bookmarkStart w:id="413" w:name="_Toc320190763"/>
      <w:bookmarkStart w:id="414" w:name="_Toc375214595"/>
      <w:r>
        <w:rPr>
          <w:rFonts w:cs="Times New Roman"/>
          <w:iCs w:val="0"/>
          <w:color w:val="064EA8"/>
          <w:szCs w:val="26"/>
          <w:lang w:eastAsia="en-US"/>
        </w:rPr>
        <w:lastRenderedPageBreak/>
        <w:t xml:space="preserve">IMPACT: </w:t>
      </w:r>
      <w:r w:rsidR="004529A9" w:rsidRPr="00B03966">
        <w:rPr>
          <w:rFonts w:cs="Times New Roman"/>
          <w:iCs w:val="0"/>
          <w:color w:val="064EA8"/>
          <w:szCs w:val="26"/>
          <w:lang w:eastAsia="en-US"/>
        </w:rPr>
        <w:t xml:space="preserve">Generation of </w:t>
      </w:r>
      <w:r w:rsidR="00EE6FC7" w:rsidRPr="00B03966">
        <w:rPr>
          <w:rFonts w:cs="Times New Roman"/>
          <w:iCs w:val="0"/>
          <w:color w:val="064EA8"/>
          <w:szCs w:val="26"/>
          <w:lang w:eastAsia="en-US"/>
        </w:rPr>
        <w:t>Underwater Sound</w:t>
      </w:r>
      <w:bookmarkEnd w:id="413"/>
      <w:r w:rsidR="00E623E1" w:rsidRPr="00B03966">
        <w:rPr>
          <w:rFonts w:cs="Times New Roman"/>
          <w:iCs w:val="0"/>
          <w:color w:val="064EA8"/>
          <w:szCs w:val="26"/>
          <w:lang w:eastAsia="en-US"/>
        </w:rPr>
        <w:t xml:space="preserve"> – </w:t>
      </w:r>
      <w:r w:rsidR="008B00DF">
        <w:rPr>
          <w:rFonts w:cs="Times New Roman"/>
          <w:iCs w:val="0"/>
          <w:color w:val="064EA8"/>
          <w:szCs w:val="26"/>
          <w:lang w:eastAsia="en-US"/>
        </w:rPr>
        <w:t xml:space="preserve">Impacts on </w:t>
      </w:r>
      <w:r w:rsidR="00E623E1" w:rsidRPr="00B03966">
        <w:rPr>
          <w:rFonts w:cs="Times New Roman"/>
          <w:iCs w:val="0"/>
          <w:color w:val="064EA8"/>
          <w:szCs w:val="26"/>
          <w:lang w:eastAsia="en-US"/>
        </w:rPr>
        <w:t xml:space="preserve">Biological </w:t>
      </w:r>
      <w:r w:rsidR="008B00DF">
        <w:rPr>
          <w:rFonts w:cs="Times New Roman"/>
          <w:iCs w:val="0"/>
          <w:color w:val="064EA8"/>
          <w:szCs w:val="26"/>
          <w:lang w:eastAsia="en-US"/>
        </w:rPr>
        <w:t>Receptors</w:t>
      </w:r>
      <w:bookmarkEnd w:id="414"/>
    </w:p>
    <w:p w14:paraId="6F8340DE" w14:textId="77777777" w:rsidR="00B95B5D" w:rsidRPr="00CB03B7" w:rsidRDefault="00B95B5D" w:rsidP="00CB03B7">
      <w:pPr>
        <w:pStyle w:val="Heading3"/>
      </w:pPr>
      <w:bookmarkStart w:id="415" w:name="_Toc477947841"/>
      <w:bookmarkStart w:id="416" w:name="_Toc479764038"/>
      <w:bookmarkStart w:id="417" w:name="_Toc375214596"/>
      <w:r w:rsidRPr="00CB03B7">
        <w:t>Hazard</w:t>
      </w:r>
      <w:bookmarkEnd w:id="415"/>
      <w:bookmarkEnd w:id="416"/>
      <w:bookmarkEnd w:id="417"/>
      <w:r w:rsidRPr="00CB03B7">
        <w:t xml:space="preserve"> </w:t>
      </w:r>
    </w:p>
    <w:p w14:paraId="195C7E1C" w14:textId="77777777" w:rsidR="00B76145" w:rsidRPr="007171A8" w:rsidRDefault="00B76145" w:rsidP="00B95B5D">
      <w:pPr>
        <w:ind w:left="0"/>
        <w:rPr>
          <w:rFonts w:cs="Arial"/>
          <w:sz w:val="22"/>
          <w:szCs w:val="22"/>
        </w:rPr>
      </w:pPr>
      <w:r w:rsidRPr="007171A8">
        <w:rPr>
          <w:rFonts w:cs="Arial"/>
          <w:sz w:val="22"/>
          <w:szCs w:val="22"/>
        </w:rPr>
        <w:t>The following activities will generate underwater sound:</w:t>
      </w:r>
    </w:p>
    <w:p w14:paraId="0C5EBC96" w14:textId="77777777" w:rsidR="00B77FC8" w:rsidRPr="007171A8" w:rsidRDefault="00B77FC8" w:rsidP="00B95B5D">
      <w:pPr>
        <w:ind w:left="0"/>
        <w:rPr>
          <w:rFonts w:cs="Arial"/>
          <w:sz w:val="22"/>
          <w:szCs w:val="22"/>
        </w:rPr>
      </w:pPr>
    </w:p>
    <w:p w14:paraId="297573C0" w14:textId="77777777" w:rsidR="00B76145" w:rsidRPr="007171A8" w:rsidRDefault="00B76145" w:rsidP="00567567">
      <w:pPr>
        <w:pStyle w:val="ColorfulList-Accent11"/>
        <w:numPr>
          <w:ilvl w:val="0"/>
          <w:numId w:val="159"/>
        </w:numPr>
        <w:rPr>
          <w:rFonts w:cs="Arial"/>
          <w:sz w:val="22"/>
          <w:szCs w:val="22"/>
        </w:rPr>
      </w:pPr>
      <w:r w:rsidRPr="007171A8">
        <w:rPr>
          <w:rFonts w:cs="Arial"/>
          <w:sz w:val="22"/>
          <w:szCs w:val="22"/>
        </w:rPr>
        <w:t>Sound pulses from the seismic airgun array; and</w:t>
      </w:r>
    </w:p>
    <w:p w14:paraId="19E65B81" w14:textId="77777777" w:rsidR="00B95B5D" w:rsidRPr="007171A8" w:rsidRDefault="00B76145" w:rsidP="00567567">
      <w:pPr>
        <w:pStyle w:val="ColorfulList-Accent11"/>
        <w:numPr>
          <w:ilvl w:val="0"/>
          <w:numId w:val="159"/>
        </w:numPr>
        <w:rPr>
          <w:rFonts w:cs="Arial"/>
          <w:sz w:val="22"/>
          <w:szCs w:val="22"/>
        </w:rPr>
      </w:pPr>
      <w:r w:rsidRPr="007171A8">
        <w:rPr>
          <w:rFonts w:cs="Arial"/>
          <w:sz w:val="22"/>
          <w:szCs w:val="22"/>
        </w:rPr>
        <w:t xml:space="preserve">Engine noise transmitted through the hull and propeller noise from the </w:t>
      </w:r>
      <w:r w:rsidR="00E623E1" w:rsidRPr="007171A8">
        <w:rPr>
          <w:rFonts w:cs="Arial"/>
          <w:sz w:val="22"/>
          <w:szCs w:val="22"/>
        </w:rPr>
        <w:t>source and support</w:t>
      </w:r>
      <w:r w:rsidRPr="007171A8">
        <w:rPr>
          <w:rFonts w:cs="Arial"/>
          <w:sz w:val="22"/>
          <w:szCs w:val="22"/>
        </w:rPr>
        <w:t xml:space="preserve"> vessels</w:t>
      </w:r>
      <w:r w:rsidR="00B77FC8" w:rsidRPr="007171A8">
        <w:rPr>
          <w:rFonts w:cs="Arial"/>
          <w:sz w:val="22"/>
          <w:szCs w:val="22"/>
        </w:rPr>
        <w:t>.</w:t>
      </w:r>
    </w:p>
    <w:p w14:paraId="355113AB" w14:textId="77777777" w:rsidR="00B95B5D" w:rsidRPr="007171A8" w:rsidRDefault="00B95B5D" w:rsidP="00B95B5D">
      <w:pPr>
        <w:ind w:left="0"/>
        <w:rPr>
          <w:rFonts w:cs="Arial"/>
          <w:sz w:val="22"/>
          <w:szCs w:val="22"/>
        </w:rPr>
      </w:pPr>
    </w:p>
    <w:p w14:paraId="026C5C9E" w14:textId="77777777" w:rsidR="00B95B5D" w:rsidRPr="007171A8" w:rsidRDefault="00B95B5D" w:rsidP="00B77FC8">
      <w:pPr>
        <w:spacing w:after="120" w:line="240" w:lineRule="auto"/>
        <w:ind w:left="0"/>
        <w:rPr>
          <w:rFonts w:cs="Arial"/>
          <w:b/>
          <w:sz w:val="22"/>
          <w:szCs w:val="22"/>
        </w:rPr>
      </w:pPr>
      <w:r w:rsidRPr="007171A8">
        <w:rPr>
          <w:rFonts w:cs="Arial"/>
          <w:b/>
          <w:sz w:val="22"/>
          <w:szCs w:val="22"/>
        </w:rPr>
        <w:t xml:space="preserve">Seismic </w:t>
      </w:r>
      <w:r w:rsidR="00B77FC8" w:rsidRPr="007171A8">
        <w:rPr>
          <w:rFonts w:cs="Arial"/>
          <w:b/>
          <w:sz w:val="22"/>
          <w:szCs w:val="22"/>
        </w:rPr>
        <w:t>source</w:t>
      </w:r>
    </w:p>
    <w:p w14:paraId="1229D68B" w14:textId="053B8DA5" w:rsidR="00B76145" w:rsidRPr="007171A8" w:rsidRDefault="00B76145" w:rsidP="00B95B5D">
      <w:pPr>
        <w:ind w:left="0"/>
        <w:rPr>
          <w:rFonts w:cs="Arial"/>
          <w:sz w:val="22"/>
          <w:szCs w:val="22"/>
        </w:rPr>
      </w:pPr>
      <w:r w:rsidRPr="007171A8">
        <w:rPr>
          <w:rFonts w:cs="Arial"/>
          <w:sz w:val="22"/>
          <w:szCs w:val="22"/>
        </w:rPr>
        <w:t>The dominant source of underwater sound during the seismic survey will be from the operation of th</w:t>
      </w:r>
      <w:r w:rsidR="005D110C" w:rsidRPr="007171A8">
        <w:rPr>
          <w:rFonts w:cs="Arial"/>
          <w:sz w:val="22"/>
          <w:szCs w:val="22"/>
        </w:rPr>
        <w:t>e seismic source (airgun array)</w:t>
      </w:r>
      <w:r w:rsidRPr="007171A8">
        <w:rPr>
          <w:rFonts w:cs="Arial"/>
          <w:sz w:val="22"/>
          <w:szCs w:val="22"/>
        </w:rPr>
        <w:t xml:space="preserve">. </w:t>
      </w:r>
    </w:p>
    <w:p w14:paraId="6A184E5D" w14:textId="77777777" w:rsidR="00B77FC8" w:rsidRPr="007171A8" w:rsidRDefault="00B77FC8" w:rsidP="00B95B5D">
      <w:pPr>
        <w:ind w:left="0"/>
        <w:rPr>
          <w:rFonts w:cs="Arial"/>
          <w:sz w:val="22"/>
          <w:szCs w:val="22"/>
        </w:rPr>
      </w:pPr>
    </w:p>
    <w:p w14:paraId="41833BA6" w14:textId="6A3D9511" w:rsidR="00195DC9" w:rsidRPr="007171A8" w:rsidRDefault="00B76145" w:rsidP="00B95B5D">
      <w:pPr>
        <w:ind w:left="0"/>
        <w:rPr>
          <w:rFonts w:cs="Arial"/>
          <w:sz w:val="22"/>
          <w:szCs w:val="22"/>
        </w:rPr>
      </w:pPr>
      <w:r w:rsidRPr="007171A8">
        <w:rPr>
          <w:rFonts w:cs="Arial"/>
          <w:sz w:val="22"/>
          <w:szCs w:val="22"/>
        </w:rPr>
        <w:t xml:space="preserve">The </w:t>
      </w:r>
      <w:r w:rsidR="005D110C" w:rsidRPr="007171A8">
        <w:rPr>
          <w:rFonts w:cs="Arial"/>
          <w:sz w:val="22"/>
          <w:szCs w:val="22"/>
        </w:rPr>
        <w:t xml:space="preserve">seismic source </w:t>
      </w:r>
      <w:r w:rsidRPr="007171A8">
        <w:rPr>
          <w:rFonts w:cs="Arial"/>
          <w:sz w:val="22"/>
          <w:szCs w:val="22"/>
        </w:rPr>
        <w:t>will be fired at regular intervals</w:t>
      </w:r>
      <w:r w:rsidR="005D110C" w:rsidRPr="007171A8">
        <w:rPr>
          <w:rFonts w:cs="Arial"/>
          <w:sz w:val="22"/>
          <w:szCs w:val="22"/>
        </w:rPr>
        <w:t>,</w:t>
      </w:r>
      <w:r w:rsidRPr="007171A8">
        <w:rPr>
          <w:rFonts w:cs="Arial"/>
          <w:sz w:val="22"/>
          <w:szCs w:val="22"/>
        </w:rPr>
        <w:t xml:space="preserve"> producing pulses of high intensity, low frequency </w:t>
      </w:r>
      <w:r w:rsidR="005D110C" w:rsidRPr="007171A8">
        <w:rPr>
          <w:rFonts w:cs="Arial"/>
          <w:sz w:val="22"/>
          <w:szCs w:val="22"/>
        </w:rPr>
        <w:t>sound</w:t>
      </w:r>
      <w:r w:rsidRPr="007171A8">
        <w:rPr>
          <w:rFonts w:cs="Arial"/>
          <w:sz w:val="22"/>
          <w:szCs w:val="22"/>
        </w:rPr>
        <w:t>. Seismic pulses typically have ~98% of the signal power in dominant frequencies less tha</w:t>
      </w:r>
      <w:r w:rsidR="00B752F7" w:rsidRPr="007171A8">
        <w:rPr>
          <w:rFonts w:cs="Arial"/>
          <w:sz w:val="22"/>
          <w:szCs w:val="22"/>
        </w:rPr>
        <w:t>n 200 Hz; predominantly in the 10</w:t>
      </w:r>
      <w:r w:rsidRPr="007171A8">
        <w:rPr>
          <w:rFonts w:cs="Arial"/>
          <w:sz w:val="22"/>
          <w:szCs w:val="22"/>
        </w:rPr>
        <w:t xml:space="preserve"> to </w:t>
      </w:r>
      <w:r w:rsidR="00B752F7" w:rsidRPr="007171A8">
        <w:rPr>
          <w:rFonts w:cs="Arial"/>
          <w:sz w:val="22"/>
          <w:szCs w:val="22"/>
        </w:rPr>
        <w:t>2</w:t>
      </w:r>
      <w:r w:rsidRPr="007171A8">
        <w:rPr>
          <w:rFonts w:cs="Arial"/>
          <w:sz w:val="22"/>
          <w:szCs w:val="22"/>
        </w:rPr>
        <w:t xml:space="preserve">00 Hz range (McCauley, 1994), which is the range most useful for seismic data imaging. </w:t>
      </w:r>
    </w:p>
    <w:p w14:paraId="62941E6D" w14:textId="77777777" w:rsidR="00195DC9" w:rsidRPr="007171A8" w:rsidRDefault="00195DC9" w:rsidP="00B95B5D">
      <w:pPr>
        <w:ind w:left="0"/>
        <w:rPr>
          <w:rFonts w:cs="Arial"/>
          <w:sz w:val="22"/>
          <w:szCs w:val="22"/>
        </w:rPr>
      </w:pPr>
    </w:p>
    <w:p w14:paraId="6C876494" w14:textId="1ABDDF11" w:rsidR="009A4403" w:rsidRDefault="00B76145" w:rsidP="00B95B5D">
      <w:pPr>
        <w:ind w:left="0"/>
        <w:rPr>
          <w:rFonts w:cs="Arial"/>
          <w:sz w:val="22"/>
          <w:szCs w:val="22"/>
        </w:rPr>
      </w:pPr>
      <w:r w:rsidRPr="007171A8">
        <w:rPr>
          <w:rFonts w:cs="Arial"/>
          <w:sz w:val="22"/>
          <w:szCs w:val="22"/>
        </w:rPr>
        <w:t xml:space="preserve">The </w:t>
      </w:r>
      <w:r w:rsidR="005D110C" w:rsidRPr="007171A8">
        <w:rPr>
          <w:rFonts w:cs="Arial"/>
          <w:sz w:val="22"/>
          <w:szCs w:val="22"/>
        </w:rPr>
        <w:t xml:space="preserve">air gun </w:t>
      </w:r>
      <w:r w:rsidRPr="007171A8">
        <w:rPr>
          <w:rFonts w:cs="Arial"/>
          <w:sz w:val="22"/>
          <w:szCs w:val="22"/>
        </w:rPr>
        <w:t xml:space="preserve">array comprises a series of airguns that are fired in pre-determined order to achieve the desired sound energy and frequency of discharges (shot point interval) with minimal interference. The volume of the airgun array (in cubic inches) is a useful indicator of sound energy (in dB); however, the configuration of individual arrays has a significant effect on the actual power output. </w:t>
      </w:r>
      <w:r w:rsidR="009A4403">
        <w:rPr>
          <w:rFonts w:cs="Arial"/>
          <w:sz w:val="22"/>
          <w:szCs w:val="22"/>
        </w:rPr>
        <w:t xml:space="preserve">CarbonNet commissioned sound transmission loss modelling (STLM) based on a known array configuration that has a higher </w:t>
      </w:r>
      <w:r w:rsidR="000B2016">
        <w:rPr>
          <w:rFonts w:cs="Arial"/>
          <w:sz w:val="22"/>
          <w:szCs w:val="22"/>
        </w:rPr>
        <w:t>volume (3,09</w:t>
      </w:r>
      <w:r w:rsidR="009E6335">
        <w:rPr>
          <w:rFonts w:cs="Arial"/>
          <w:sz w:val="22"/>
          <w:szCs w:val="22"/>
        </w:rPr>
        <w:t>0 cui) that that proposed (2,800</w:t>
      </w:r>
      <w:r w:rsidR="000B2016">
        <w:rPr>
          <w:rFonts w:cs="Arial"/>
          <w:sz w:val="22"/>
          <w:szCs w:val="22"/>
        </w:rPr>
        <w:t xml:space="preserve"> cui). In this way, the STLM results can be considered conservative. </w:t>
      </w:r>
    </w:p>
    <w:p w14:paraId="285B1D8B" w14:textId="77777777" w:rsidR="00FA028C" w:rsidRDefault="00FA028C" w:rsidP="00B95B5D">
      <w:pPr>
        <w:ind w:left="0"/>
        <w:rPr>
          <w:rFonts w:cs="Arial"/>
          <w:sz w:val="22"/>
          <w:szCs w:val="22"/>
        </w:rPr>
      </w:pPr>
    </w:p>
    <w:p w14:paraId="59C6B882" w14:textId="77777777" w:rsidR="00B77FC8" w:rsidRPr="007171A8" w:rsidRDefault="00B77FC8" w:rsidP="00B77FC8">
      <w:pPr>
        <w:spacing w:after="120" w:line="240" w:lineRule="auto"/>
        <w:ind w:left="0"/>
        <w:rPr>
          <w:rFonts w:cs="Arial"/>
          <w:b/>
          <w:sz w:val="22"/>
          <w:szCs w:val="22"/>
        </w:rPr>
      </w:pPr>
      <w:r w:rsidRPr="007171A8">
        <w:rPr>
          <w:rFonts w:cs="Arial"/>
          <w:b/>
          <w:sz w:val="22"/>
          <w:szCs w:val="22"/>
        </w:rPr>
        <w:t>Vessel sound</w:t>
      </w:r>
    </w:p>
    <w:p w14:paraId="37A130AA" w14:textId="7822A7B7" w:rsidR="00B76145" w:rsidRPr="007171A8" w:rsidRDefault="00B76145" w:rsidP="00B77FC8">
      <w:pPr>
        <w:ind w:left="0"/>
        <w:rPr>
          <w:rFonts w:cs="Arial"/>
          <w:sz w:val="22"/>
          <w:szCs w:val="22"/>
        </w:rPr>
      </w:pPr>
      <w:r w:rsidRPr="007171A8">
        <w:rPr>
          <w:rFonts w:cs="Arial"/>
          <w:sz w:val="22"/>
          <w:szCs w:val="22"/>
        </w:rPr>
        <w:t>The</w:t>
      </w:r>
      <w:r w:rsidR="00AF7BA2">
        <w:rPr>
          <w:rFonts w:cs="Arial"/>
          <w:sz w:val="22"/>
          <w:szCs w:val="22"/>
        </w:rPr>
        <w:t xml:space="preserve"> survey</w:t>
      </w:r>
      <w:r w:rsidRPr="007171A8">
        <w:rPr>
          <w:rFonts w:cs="Arial"/>
          <w:sz w:val="22"/>
          <w:szCs w:val="22"/>
        </w:rPr>
        <w:t xml:space="preserve"> </w:t>
      </w:r>
      <w:r w:rsidR="000D00B5" w:rsidRPr="007171A8">
        <w:rPr>
          <w:rFonts w:cs="Arial"/>
          <w:sz w:val="22"/>
          <w:szCs w:val="22"/>
        </w:rPr>
        <w:t xml:space="preserve">and support </w:t>
      </w:r>
      <w:r w:rsidRPr="007171A8">
        <w:rPr>
          <w:rFonts w:cs="Arial"/>
          <w:sz w:val="22"/>
          <w:szCs w:val="22"/>
        </w:rPr>
        <w:t xml:space="preserve">vessels will generate low levels of </w:t>
      </w:r>
      <w:r w:rsidR="000D00B5" w:rsidRPr="007171A8">
        <w:rPr>
          <w:rFonts w:cs="Arial"/>
          <w:sz w:val="22"/>
          <w:szCs w:val="22"/>
        </w:rPr>
        <w:t>sound (engine noise transmitted via that portion of the hull below the sea surface</w:t>
      </w:r>
      <w:r w:rsidR="00550863" w:rsidRPr="007171A8">
        <w:rPr>
          <w:rFonts w:cs="Arial"/>
          <w:sz w:val="22"/>
          <w:szCs w:val="22"/>
        </w:rPr>
        <w:t xml:space="preserve"> and propeller sound</w:t>
      </w:r>
      <w:r w:rsidR="000D00B5" w:rsidRPr="007171A8">
        <w:rPr>
          <w:rFonts w:cs="Arial"/>
          <w:sz w:val="22"/>
          <w:szCs w:val="22"/>
        </w:rPr>
        <w:t>)</w:t>
      </w:r>
      <w:r w:rsidRPr="007171A8">
        <w:rPr>
          <w:rFonts w:cs="Arial"/>
          <w:sz w:val="22"/>
          <w:szCs w:val="22"/>
        </w:rPr>
        <w:t xml:space="preserve">. This sound source will be at a much lower level than that emitted from the airgun array. </w:t>
      </w:r>
      <w:r w:rsidR="00FA028C">
        <w:rPr>
          <w:rFonts w:cs="Arial"/>
          <w:sz w:val="22"/>
          <w:szCs w:val="22"/>
        </w:rPr>
        <w:t>During</w:t>
      </w:r>
      <w:r w:rsidRPr="007171A8">
        <w:rPr>
          <w:rFonts w:cs="Arial"/>
          <w:sz w:val="22"/>
          <w:szCs w:val="22"/>
        </w:rPr>
        <w:t xml:space="preserve"> operation</w:t>
      </w:r>
      <w:r w:rsidR="00FA028C">
        <w:rPr>
          <w:rFonts w:cs="Arial"/>
          <w:sz w:val="22"/>
          <w:szCs w:val="22"/>
        </w:rPr>
        <w:t xml:space="preserve"> of the airgun array</w:t>
      </w:r>
      <w:r w:rsidRPr="007171A8">
        <w:rPr>
          <w:rFonts w:cs="Arial"/>
          <w:sz w:val="22"/>
          <w:szCs w:val="22"/>
        </w:rPr>
        <w:t xml:space="preserve">, the underwater sound generated by </w:t>
      </w:r>
      <w:r w:rsidR="000D00B5" w:rsidRPr="007171A8">
        <w:rPr>
          <w:rFonts w:cs="Arial"/>
          <w:sz w:val="22"/>
          <w:szCs w:val="22"/>
        </w:rPr>
        <w:t xml:space="preserve">the </w:t>
      </w:r>
      <w:r w:rsidRPr="007171A8">
        <w:rPr>
          <w:rFonts w:cs="Arial"/>
          <w:sz w:val="22"/>
          <w:szCs w:val="22"/>
        </w:rPr>
        <w:t xml:space="preserve">vessels will </w:t>
      </w:r>
      <w:r w:rsidR="00FA028C">
        <w:rPr>
          <w:rFonts w:cs="Arial"/>
          <w:sz w:val="22"/>
          <w:szCs w:val="22"/>
        </w:rPr>
        <w:t xml:space="preserve">generally </w:t>
      </w:r>
      <w:r w:rsidRPr="007171A8">
        <w:rPr>
          <w:rFonts w:cs="Arial"/>
          <w:sz w:val="22"/>
          <w:szCs w:val="22"/>
        </w:rPr>
        <w:t xml:space="preserve">be </w:t>
      </w:r>
      <w:r w:rsidR="000D00B5" w:rsidRPr="007171A8">
        <w:rPr>
          <w:rFonts w:cs="Arial"/>
          <w:sz w:val="22"/>
          <w:szCs w:val="22"/>
        </w:rPr>
        <w:t>masked by the airgun sound</w:t>
      </w:r>
      <w:r w:rsidRPr="007171A8">
        <w:rPr>
          <w:rFonts w:cs="Arial"/>
          <w:sz w:val="22"/>
          <w:szCs w:val="22"/>
        </w:rPr>
        <w:t xml:space="preserve">. </w:t>
      </w:r>
    </w:p>
    <w:p w14:paraId="3DD4B0A4" w14:textId="77777777" w:rsidR="00B77FC8" w:rsidRPr="007171A8" w:rsidRDefault="00B77FC8" w:rsidP="00B77FC8">
      <w:pPr>
        <w:ind w:left="0"/>
        <w:rPr>
          <w:rFonts w:cs="Arial"/>
          <w:sz w:val="22"/>
          <w:szCs w:val="22"/>
        </w:rPr>
      </w:pPr>
    </w:p>
    <w:p w14:paraId="66DA6EAA" w14:textId="5B5A407B" w:rsidR="00B77FC8" w:rsidRPr="007171A8" w:rsidRDefault="00B76145" w:rsidP="00B77FC8">
      <w:pPr>
        <w:ind w:left="0"/>
        <w:rPr>
          <w:rFonts w:cs="Arial"/>
          <w:sz w:val="22"/>
          <w:szCs w:val="22"/>
        </w:rPr>
      </w:pPr>
      <w:r w:rsidRPr="007171A8">
        <w:rPr>
          <w:rFonts w:cs="Arial"/>
          <w:sz w:val="22"/>
          <w:szCs w:val="22"/>
        </w:rPr>
        <w:t xml:space="preserve">There will be very limited periods of time when the seismic source is not operational </w:t>
      </w:r>
      <w:r w:rsidR="000D00B5" w:rsidRPr="007171A8">
        <w:rPr>
          <w:rFonts w:cs="Arial"/>
          <w:sz w:val="22"/>
          <w:szCs w:val="22"/>
        </w:rPr>
        <w:t>(</w:t>
      </w:r>
      <w:r w:rsidRPr="007171A8">
        <w:rPr>
          <w:rFonts w:cs="Arial"/>
          <w:sz w:val="22"/>
          <w:szCs w:val="22"/>
        </w:rPr>
        <w:t>e.g.</w:t>
      </w:r>
      <w:r w:rsidR="000D00B5" w:rsidRPr="007171A8">
        <w:rPr>
          <w:rFonts w:cs="Arial"/>
          <w:sz w:val="22"/>
          <w:szCs w:val="22"/>
        </w:rPr>
        <w:t>,</w:t>
      </w:r>
      <w:r w:rsidRPr="007171A8">
        <w:rPr>
          <w:rFonts w:cs="Arial"/>
          <w:sz w:val="22"/>
          <w:szCs w:val="22"/>
        </w:rPr>
        <w:t xml:space="preserve"> during </w:t>
      </w:r>
      <w:r w:rsidR="006A397A" w:rsidRPr="00AD6881">
        <w:rPr>
          <w:rFonts w:cs="Arial"/>
          <w:sz w:val="22"/>
          <w:szCs w:val="22"/>
        </w:rPr>
        <w:t>line turns,</w:t>
      </w:r>
      <w:r w:rsidR="006A397A">
        <w:rPr>
          <w:rFonts w:cs="Arial"/>
          <w:sz w:val="22"/>
          <w:szCs w:val="22"/>
        </w:rPr>
        <w:t xml:space="preserve"> </w:t>
      </w:r>
      <w:r w:rsidRPr="007171A8">
        <w:rPr>
          <w:rFonts w:cs="Arial"/>
          <w:sz w:val="22"/>
          <w:szCs w:val="22"/>
        </w:rPr>
        <w:t>maintenance and marine fauna shut-downs</w:t>
      </w:r>
      <w:r w:rsidR="000D00B5" w:rsidRPr="007171A8">
        <w:rPr>
          <w:rFonts w:cs="Arial"/>
          <w:sz w:val="22"/>
          <w:szCs w:val="22"/>
        </w:rPr>
        <w:t>)</w:t>
      </w:r>
      <w:r w:rsidRPr="007171A8">
        <w:rPr>
          <w:rFonts w:cs="Arial"/>
          <w:sz w:val="22"/>
          <w:szCs w:val="22"/>
        </w:rPr>
        <w:t xml:space="preserve">, during which engine </w:t>
      </w:r>
      <w:r w:rsidR="000D00B5" w:rsidRPr="007171A8">
        <w:rPr>
          <w:rFonts w:cs="Arial"/>
          <w:sz w:val="22"/>
          <w:szCs w:val="22"/>
        </w:rPr>
        <w:t>sound</w:t>
      </w:r>
      <w:r w:rsidRPr="007171A8">
        <w:rPr>
          <w:rFonts w:cs="Arial"/>
          <w:sz w:val="22"/>
          <w:szCs w:val="22"/>
        </w:rPr>
        <w:t xml:space="preserve"> will be the major source. However, it is unlikely that engine </w:t>
      </w:r>
      <w:r w:rsidR="00550863" w:rsidRPr="007171A8">
        <w:rPr>
          <w:rFonts w:cs="Arial"/>
          <w:sz w:val="22"/>
          <w:szCs w:val="22"/>
        </w:rPr>
        <w:t>sound</w:t>
      </w:r>
      <w:r w:rsidRPr="007171A8">
        <w:rPr>
          <w:rFonts w:cs="Arial"/>
          <w:sz w:val="22"/>
          <w:szCs w:val="22"/>
        </w:rPr>
        <w:t xml:space="preserve"> levels will be greater than that of any other </w:t>
      </w:r>
      <w:r w:rsidR="002B7997">
        <w:rPr>
          <w:rFonts w:cs="Arial"/>
          <w:sz w:val="22"/>
          <w:szCs w:val="22"/>
        </w:rPr>
        <w:t xml:space="preserve">similarly-size </w:t>
      </w:r>
      <w:r w:rsidRPr="007171A8">
        <w:rPr>
          <w:rFonts w:cs="Arial"/>
          <w:sz w:val="22"/>
          <w:szCs w:val="22"/>
        </w:rPr>
        <w:t>vessel normally operating in the area</w:t>
      </w:r>
      <w:r w:rsidR="002B7997">
        <w:rPr>
          <w:rFonts w:cs="Arial"/>
          <w:sz w:val="22"/>
          <w:szCs w:val="22"/>
        </w:rPr>
        <w:t xml:space="preserve"> (such as merchant vessels travelling in the nearby </w:t>
      </w:r>
      <w:r w:rsidR="00BF7F9E">
        <w:rPr>
          <w:rFonts w:cs="Arial"/>
          <w:sz w:val="22"/>
          <w:szCs w:val="22"/>
        </w:rPr>
        <w:t xml:space="preserve">shipping </w:t>
      </w:r>
      <w:r w:rsidR="00AF7BA2">
        <w:rPr>
          <w:rFonts w:cs="Arial"/>
          <w:sz w:val="22"/>
          <w:szCs w:val="22"/>
        </w:rPr>
        <w:t>fairway</w:t>
      </w:r>
      <w:r w:rsidR="002B7997">
        <w:rPr>
          <w:rFonts w:cs="Arial"/>
          <w:sz w:val="22"/>
          <w:szCs w:val="22"/>
        </w:rPr>
        <w:t>)</w:t>
      </w:r>
      <w:r w:rsidRPr="007171A8">
        <w:rPr>
          <w:rFonts w:cs="Arial"/>
          <w:sz w:val="22"/>
          <w:szCs w:val="22"/>
        </w:rPr>
        <w:t>. The assessment of underwater sound from general vessel operations below is, therefore, based upon underwater sound from the airgun arrays being the dominant sources.</w:t>
      </w:r>
    </w:p>
    <w:p w14:paraId="203B967A" w14:textId="77777777" w:rsidR="00550863" w:rsidRPr="00CB03B7" w:rsidRDefault="00550863" w:rsidP="00CB03B7">
      <w:pPr>
        <w:pStyle w:val="Heading3"/>
      </w:pPr>
      <w:bookmarkStart w:id="418" w:name="_Toc477947842"/>
      <w:bookmarkStart w:id="419" w:name="_Toc479764039"/>
      <w:bookmarkStart w:id="420" w:name="_Toc375214597"/>
      <w:r w:rsidRPr="00CB03B7">
        <w:t>Known and Potential Environmental Impacts</w:t>
      </w:r>
      <w:bookmarkEnd w:id="418"/>
      <w:bookmarkEnd w:id="419"/>
      <w:bookmarkEnd w:id="420"/>
    </w:p>
    <w:p w14:paraId="29087AC6" w14:textId="235E2682" w:rsidR="00B76145" w:rsidRPr="00BF7F9E" w:rsidRDefault="00B76145" w:rsidP="000F391F">
      <w:pPr>
        <w:spacing w:after="120" w:line="240" w:lineRule="auto"/>
        <w:ind w:left="0"/>
        <w:rPr>
          <w:rFonts w:cs="Arial"/>
          <w:sz w:val="22"/>
          <w:szCs w:val="22"/>
        </w:rPr>
      </w:pPr>
      <w:r w:rsidRPr="00BF7F9E">
        <w:rPr>
          <w:rFonts w:cs="Arial"/>
          <w:sz w:val="22"/>
          <w:szCs w:val="22"/>
        </w:rPr>
        <w:t>In general</w:t>
      </w:r>
      <w:r w:rsidR="000F391F" w:rsidRPr="00BF7F9E">
        <w:rPr>
          <w:rFonts w:cs="Arial"/>
          <w:sz w:val="22"/>
          <w:szCs w:val="22"/>
        </w:rPr>
        <w:t>,</w:t>
      </w:r>
      <w:r w:rsidRPr="00BF7F9E">
        <w:rPr>
          <w:rFonts w:cs="Arial"/>
          <w:sz w:val="22"/>
          <w:szCs w:val="22"/>
        </w:rPr>
        <w:t xml:space="preserve"> the</w:t>
      </w:r>
      <w:r w:rsidR="000F391F" w:rsidRPr="00BF7F9E">
        <w:rPr>
          <w:rFonts w:cs="Arial"/>
          <w:sz w:val="22"/>
          <w:szCs w:val="22"/>
        </w:rPr>
        <w:t xml:space="preserve"> impacts and </w:t>
      </w:r>
      <w:r w:rsidRPr="00BF7F9E">
        <w:rPr>
          <w:rFonts w:cs="Arial"/>
          <w:sz w:val="22"/>
          <w:szCs w:val="22"/>
        </w:rPr>
        <w:t xml:space="preserve">risks </w:t>
      </w:r>
      <w:r w:rsidR="00455BFC" w:rsidRPr="00BF7F9E">
        <w:rPr>
          <w:rFonts w:cs="Arial"/>
          <w:sz w:val="22"/>
          <w:szCs w:val="22"/>
        </w:rPr>
        <w:t xml:space="preserve">resulting from underwater sound </w:t>
      </w:r>
      <w:r w:rsidRPr="00BF7F9E">
        <w:rPr>
          <w:rFonts w:cs="Arial"/>
          <w:sz w:val="22"/>
          <w:szCs w:val="22"/>
        </w:rPr>
        <w:t>are generally well understood with regard to potential mortality and/or physiological injury</w:t>
      </w:r>
      <w:r w:rsidR="00BF7F9E">
        <w:rPr>
          <w:rFonts w:cs="Arial"/>
          <w:sz w:val="22"/>
          <w:szCs w:val="22"/>
        </w:rPr>
        <w:t xml:space="preserve"> for species in the water column</w:t>
      </w:r>
      <w:r w:rsidR="000F391F" w:rsidRPr="00BF7F9E">
        <w:rPr>
          <w:rFonts w:cs="Arial"/>
          <w:sz w:val="22"/>
          <w:szCs w:val="22"/>
        </w:rPr>
        <w:t>,</w:t>
      </w:r>
      <w:r w:rsidRPr="00BF7F9E">
        <w:rPr>
          <w:rFonts w:cs="Arial"/>
          <w:sz w:val="22"/>
          <w:szCs w:val="22"/>
        </w:rPr>
        <w:t xml:space="preserve"> however, uncertainty lies in understanding the spatial and temporal extents of behavioural disturbances and the potential effects on populations</w:t>
      </w:r>
      <w:r w:rsidR="00E36E3B">
        <w:rPr>
          <w:rFonts w:cs="Arial"/>
          <w:sz w:val="22"/>
          <w:szCs w:val="22"/>
        </w:rPr>
        <w:t xml:space="preserve"> and requires the application of context-specific </w:t>
      </w:r>
      <w:r w:rsidR="00E36E3B">
        <w:rPr>
          <w:rFonts w:cs="Arial"/>
          <w:sz w:val="22"/>
          <w:szCs w:val="22"/>
        </w:rPr>
        <w:lastRenderedPageBreak/>
        <w:t>information</w:t>
      </w:r>
      <w:r w:rsidRPr="00BF7F9E">
        <w:rPr>
          <w:rFonts w:cs="Arial"/>
          <w:sz w:val="22"/>
          <w:szCs w:val="22"/>
        </w:rPr>
        <w:t>.</w:t>
      </w:r>
      <w:r w:rsidR="000F391F" w:rsidRPr="00BF7F9E">
        <w:rPr>
          <w:rFonts w:cs="Arial"/>
          <w:sz w:val="22"/>
          <w:szCs w:val="22"/>
        </w:rPr>
        <w:t xml:space="preserve"> </w:t>
      </w:r>
      <w:r w:rsidRPr="00BF7F9E">
        <w:rPr>
          <w:rFonts w:cs="Arial"/>
          <w:sz w:val="22"/>
          <w:szCs w:val="22"/>
        </w:rPr>
        <w:t>The potential environmental impacts to marine fauna from high levels of underwater sound are:</w:t>
      </w:r>
    </w:p>
    <w:p w14:paraId="455AB71A" w14:textId="77777777" w:rsidR="00B76145" w:rsidRPr="00BF7F9E" w:rsidRDefault="00B76145" w:rsidP="00567567">
      <w:pPr>
        <w:pStyle w:val="ColorfulList-Accent11"/>
        <w:numPr>
          <w:ilvl w:val="0"/>
          <w:numId w:val="160"/>
        </w:numPr>
        <w:rPr>
          <w:rFonts w:cs="Arial"/>
          <w:sz w:val="22"/>
          <w:szCs w:val="22"/>
        </w:rPr>
      </w:pPr>
      <w:r w:rsidRPr="00BF7F9E">
        <w:rPr>
          <w:rFonts w:cs="Arial"/>
          <w:sz w:val="22"/>
          <w:szCs w:val="22"/>
        </w:rPr>
        <w:t>Physical injury to auditory tissues or other air-filled organs;</w:t>
      </w:r>
    </w:p>
    <w:p w14:paraId="442F2AA0" w14:textId="5F866177" w:rsidR="00B76145" w:rsidRPr="00BF7F9E" w:rsidRDefault="00B76145" w:rsidP="00567567">
      <w:pPr>
        <w:pStyle w:val="ColorfulList-Accent11"/>
        <w:numPr>
          <w:ilvl w:val="0"/>
          <w:numId w:val="160"/>
        </w:numPr>
        <w:rPr>
          <w:rFonts w:cs="Arial"/>
          <w:sz w:val="22"/>
          <w:szCs w:val="22"/>
        </w:rPr>
      </w:pPr>
      <w:r w:rsidRPr="00BF7F9E">
        <w:rPr>
          <w:rFonts w:cs="Arial"/>
          <w:sz w:val="22"/>
          <w:szCs w:val="22"/>
        </w:rPr>
        <w:t xml:space="preserve">Hearing </w:t>
      </w:r>
      <w:r w:rsidR="00E36E3B">
        <w:rPr>
          <w:rFonts w:cs="Arial"/>
          <w:sz w:val="22"/>
          <w:szCs w:val="22"/>
        </w:rPr>
        <w:t>impairment</w:t>
      </w:r>
      <w:r w:rsidRPr="00BF7F9E">
        <w:rPr>
          <w:rFonts w:cs="Arial"/>
          <w:sz w:val="22"/>
          <w:szCs w:val="22"/>
        </w:rPr>
        <w:t>, temporary threshold shift (TTS</w:t>
      </w:r>
      <w:r w:rsidR="00251CCF">
        <w:rPr>
          <w:rFonts w:cs="Arial"/>
          <w:sz w:val="22"/>
          <w:szCs w:val="22"/>
        </w:rPr>
        <w:t xml:space="preserve"> – the temporary loss of hearing sensitivity caused by excessive noise exposure</w:t>
      </w:r>
      <w:r w:rsidRPr="00BF7F9E">
        <w:rPr>
          <w:rFonts w:cs="Arial"/>
          <w:sz w:val="22"/>
          <w:szCs w:val="22"/>
        </w:rPr>
        <w:t>) or permanent threshold shift (PTS</w:t>
      </w:r>
      <w:r w:rsidR="00251CCF">
        <w:rPr>
          <w:rFonts w:cs="Arial"/>
          <w:sz w:val="22"/>
          <w:szCs w:val="22"/>
        </w:rPr>
        <w:t xml:space="preserve"> – a permanent loss of hearing sensitivity caused by excessive noise exposure, considered an auditory injury</w:t>
      </w:r>
      <w:r w:rsidRPr="00BF7F9E">
        <w:rPr>
          <w:rFonts w:cs="Arial"/>
          <w:sz w:val="22"/>
          <w:szCs w:val="22"/>
        </w:rPr>
        <w:t>);</w:t>
      </w:r>
    </w:p>
    <w:p w14:paraId="60830F38" w14:textId="77777777" w:rsidR="00B76145" w:rsidRPr="00BF7F9E" w:rsidRDefault="00B76145" w:rsidP="00567567">
      <w:pPr>
        <w:pStyle w:val="ColorfulList-Accent11"/>
        <w:numPr>
          <w:ilvl w:val="0"/>
          <w:numId w:val="160"/>
        </w:numPr>
        <w:rPr>
          <w:rFonts w:cs="Arial"/>
          <w:sz w:val="22"/>
          <w:szCs w:val="22"/>
        </w:rPr>
      </w:pPr>
      <w:r w:rsidRPr="00BF7F9E">
        <w:rPr>
          <w:rFonts w:cs="Arial"/>
          <w:sz w:val="22"/>
          <w:szCs w:val="22"/>
        </w:rPr>
        <w:t>Direct behavioural effects through disturbance or displacement, and consequent disruption of natural behaviours or processes (e.g., migration, resting, calving or spawning); and</w:t>
      </w:r>
    </w:p>
    <w:p w14:paraId="1EEBC20B" w14:textId="77777777" w:rsidR="00B76145" w:rsidRPr="00BF7F9E" w:rsidRDefault="00B76145" w:rsidP="00567567">
      <w:pPr>
        <w:pStyle w:val="ColorfulList-Accent11"/>
        <w:numPr>
          <w:ilvl w:val="0"/>
          <w:numId w:val="160"/>
        </w:numPr>
        <w:spacing w:after="240"/>
        <w:ind w:left="714" w:hanging="357"/>
        <w:rPr>
          <w:rFonts w:cs="Arial"/>
          <w:sz w:val="22"/>
          <w:szCs w:val="22"/>
        </w:rPr>
      </w:pPr>
      <w:r w:rsidRPr="00BF7F9E">
        <w:rPr>
          <w:rFonts w:cs="Arial"/>
          <w:sz w:val="22"/>
          <w:szCs w:val="22"/>
        </w:rPr>
        <w:t xml:space="preserve">Indirect behavioural effects by impairing/masking the ability to navigate, find food or communicate, or by affecting the distribution or abundance of prey species. </w:t>
      </w:r>
    </w:p>
    <w:p w14:paraId="557FECA6" w14:textId="1FAF2143" w:rsidR="00B76145" w:rsidRPr="00BF7F9E" w:rsidRDefault="00B76145" w:rsidP="00534555">
      <w:pPr>
        <w:spacing w:after="120" w:line="240" w:lineRule="auto"/>
        <w:ind w:left="0"/>
        <w:rPr>
          <w:rFonts w:cs="Arial"/>
          <w:sz w:val="22"/>
          <w:szCs w:val="22"/>
        </w:rPr>
      </w:pPr>
      <w:r w:rsidRPr="00BF7F9E">
        <w:rPr>
          <w:rFonts w:cs="Arial"/>
          <w:sz w:val="22"/>
          <w:szCs w:val="22"/>
        </w:rPr>
        <w:t xml:space="preserve">Specifically, underwater sound from seismic sources has the potential to </w:t>
      </w:r>
      <w:r w:rsidR="00BF7F9E">
        <w:rPr>
          <w:rFonts w:cs="Arial"/>
          <w:sz w:val="22"/>
          <w:szCs w:val="22"/>
        </w:rPr>
        <w:t xml:space="preserve">adversely </w:t>
      </w:r>
      <w:r w:rsidRPr="00BF7F9E">
        <w:rPr>
          <w:rFonts w:cs="Arial"/>
          <w:sz w:val="22"/>
          <w:szCs w:val="22"/>
        </w:rPr>
        <w:t xml:space="preserve">affect the following environmental values and sensitivities within and in the vicinity of the </w:t>
      </w:r>
      <w:r w:rsidR="000F391F" w:rsidRPr="00BF7F9E">
        <w:rPr>
          <w:rFonts w:cs="Arial"/>
          <w:sz w:val="22"/>
          <w:szCs w:val="22"/>
        </w:rPr>
        <w:t xml:space="preserve">proposed </w:t>
      </w:r>
      <w:r w:rsidRPr="00BF7F9E">
        <w:rPr>
          <w:rFonts w:cs="Arial"/>
          <w:sz w:val="22"/>
          <w:szCs w:val="22"/>
        </w:rPr>
        <w:t>acquisition area, to varying degrees:</w:t>
      </w:r>
    </w:p>
    <w:p w14:paraId="27A66F2D" w14:textId="77777777" w:rsidR="00B76145" w:rsidRPr="00BF7F9E" w:rsidRDefault="00B76145" w:rsidP="00567567">
      <w:pPr>
        <w:pStyle w:val="ColorfulList-Accent11"/>
        <w:numPr>
          <w:ilvl w:val="0"/>
          <w:numId w:val="160"/>
        </w:numPr>
        <w:rPr>
          <w:rFonts w:cs="Arial"/>
          <w:sz w:val="22"/>
          <w:szCs w:val="22"/>
        </w:rPr>
      </w:pPr>
      <w:r w:rsidRPr="00BF7F9E">
        <w:rPr>
          <w:rFonts w:cs="Arial"/>
          <w:sz w:val="22"/>
          <w:szCs w:val="22"/>
        </w:rPr>
        <w:t>Plankton (including commercially important fish larvae/eggs);</w:t>
      </w:r>
    </w:p>
    <w:p w14:paraId="3703E724" w14:textId="77777777" w:rsidR="00B76145" w:rsidRPr="00BF7F9E" w:rsidRDefault="00B76145" w:rsidP="00567567">
      <w:pPr>
        <w:pStyle w:val="ColorfulList-Accent11"/>
        <w:numPr>
          <w:ilvl w:val="0"/>
          <w:numId w:val="160"/>
        </w:numPr>
        <w:rPr>
          <w:rFonts w:cs="Arial"/>
          <w:sz w:val="22"/>
          <w:szCs w:val="22"/>
        </w:rPr>
      </w:pPr>
      <w:r w:rsidRPr="00BF7F9E">
        <w:rPr>
          <w:rFonts w:cs="Arial"/>
          <w:sz w:val="22"/>
          <w:szCs w:val="22"/>
        </w:rPr>
        <w:t>Marine invertebrate assemblages;</w:t>
      </w:r>
    </w:p>
    <w:p w14:paraId="2BC72918" w14:textId="77777777" w:rsidR="00B76145" w:rsidRPr="00BF7F9E" w:rsidRDefault="00B76145" w:rsidP="00567567">
      <w:pPr>
        <w:pStyle w:val="ColorfulList-Accent11"/>
        <w:numPr>
          <w:ilvl w:val="0"/>
          <w:numId w:val="160"/>
        </w:numPr>
        <w:rPr>
          <w:rFonts w:cs="Arial"/>
          <w:sz w:val="22"/>
          <w:szCs w:val="22"/>
        </w:rPr>
      </w:pPr>
      <w:r w:rsidRPr="00BF7F9E">
        <w:rPr>
          <w:rFonts w:cs="Arial"/>
          <w:sz w:val="22"/>
          <w:szCs w:val="22"/>
        </w:rPr>
        <w:t>Fish:</w:t>
      </w:r>
    </w:p>
    <w:p w14:paraId="12804F78" w14:textId="77777777" w:rsidR="00B76145" w:rsidRPr="00BF7F9E" w:rsidRDefault="00B76145" w:rsidP="00567567">
      <w:pPr>
        <w:pStyle w:val="ColorfulList-Accent11"/>
        <w:numPr>
          <w:ilvl w:val="1"/>
          <w:numId w:val="160"/>
        </w:numPr>
        <w:rPr>
          <w:rFonts w:cs="Arial"/>
          <w:sz w:val="22"/>
          <w:szCs w:val="22"/>
        </w:rPr>
      </w:pPr>
      <w:r w:rsidRPr="00BF7F9E">
        <w:rPr>
          <w:rFonts w:cs="Arial"/>
          <w:sz w:val="22"/>
          <w:szCs w:val="22"/>
        </w:rPr>
        <w:t>Mobile pelagic and demersal species that are likely to move away from the source as sound levels increase</w:t>
      </w:r>
      <w:r w:rsidR="000F391F" w:rsidRPr="00BF7F9E">
        <w:rPr>
          <w:rFonts w:cs="Arial"/>
          <w:sz w:val="22"/>
          <w:szCs w:val="22"/>
        </w:rPr>
        <w:t>.</w:t>
      </w:r>
    </w:p>
    <w:p w14:paraId="5F756896" w14:textId="163E205F" w:rsidR="00B76145" w:rsidRPr="00BF7F9E" w:rsidRDefault="00B76145" w:rsidP="00567567">
      <w:pPr>
        <w:pStyle w:val="ColorfulList-Accent11"/>
        <w:numPr>
          <w:ilvl w:val="1"/>
          <w:numId w:val="160"/>
        </w:numPr>
        <w:rPr>
          <w:rFonts w:cs="Arial"/>
          <w:sz w:val="22"/>
          <w:szCs w:val="22"/>
        </w:rPr>
      </w:pPr>
      <w:r w:rsidRPr="00BF7F9E">
        <w:rPr>
          <w:rFonts w:cs="Arial"/>
          <w:sz w:val="22"/>
          <w:szCs w:val="22"/>
        </w:rPr>
        <w:t>Site-attached</w:t>
      </w:r>
      <w:r w:rsidR="00BF7F9E">
        <w:rPr>
          <w:rFonts w:cs="Arial"/>
          <w:sz w:val="22"/>
          <w:szCs w:val="22"/>
        </w:rPr>
        <w:t>/dependent</w:t>
      </w:r>
      <w:r w:rsidRPr="00BF7F9E">
        <w:rPr>
          <w:rFonts w:cs="Arial"/>
          <w:sz w:val="22"/>
          <w:szCs w:val="22"/>
        </w:rPr>
        <w:t xml:space="preserve"> fish species associated with </w:t>
      </w:r>
      <w:r w:rsidR="000F391F" w:rsidRPr="00BF7F9E">
        <w:rPr>
          <w:rFonts w:cs="Arial"/>
          <w:sz w:val="22"/>
          <w:szCs w:val="22"/>
        </w:rPr>
        <w:t>reef habitats</w:t>
      </w:r>
      <w:r w:rsidRPr="00BF7F9E">
        <w:rPr>
          <w:rFonts w:cs="Arial"/>
          <w:sz w:val="22"/>
          <w:szCs w:val="22"/>
        </w:rPr>
        <w:t>. These species are less likely to move away from the sound source and are expected to seek shelter within reef areas.</w:t>
      </w:r>
    </w:p>
    <w:p w14:paraId="363A32F6" w14:textId="77777777" w:rsidR="00B76145" w:rsidRPr="00BF7F9E" w:rsidRDefault="00B76145" w:rsidP="00567567">
      <w:pPr>
        <w:pStyle w:val="ColorfulList-Accent11"/>
        <w:numPr>
          <w:ilvl w:val="0"/>
          <w:numId w:val="160"/>
        </w:numPr>
        <w:rPr>
          <w:rFonts w:cs="Arial"/>
          <w:sz w:val="22"/>
          <w:szCs w:val="22"/>
        </w:rPr>
      </w:pPr>
      <w:r w:rsidRPr="00BF7F9E">
        <w:rPr>
          <w:rFonts w:cs="Arial"/>
          <w:sz w:val="22"/>
          <w:szCs w:val="22"/>
        </w:rPr>
        <w:t>Cetaceans:</w:t>
      </w:r>
    </w:p>
    <w:p w14:paraId="71C1D37E" w14:textId="570B48BB" w:rsidR="00B76145" w:rsidRPr="00BF7F9E" w:rsidRDefault="00FD2659" w:rsidP="00567567">
      <w:pPr>
        <w:pStyle w:val="ColorfulList-Accent11"/>
        <w:numPr>
          <w:ilvl w:val="1"/>
          <w:numId w:val="160"/>
        </w:numPr>
        <w:rPr>
          <w:rFonts w:cs="Arial"/>
          <w:sz w:val="22"/>
          <w:szCs w:val="22"/>
        </w:rPr>
      </w:pPr>
      <w:r w:rsidRPr="00BF7F9E">
        <w:rPr>
          <w:rFonts w:cs="Arial"/>
          <w:sz w:val="22"/>
          <w:szCs w:val="22"/>
        </w:rPr>
        <w:t>M</w:t>
      </w:r>
      <w:r w:rsidR="00B76145" w:rsidRPr="00BF7F9E">
        <w:rPr>
          <w:rFonts w:cs="Arial"/>
          <w:sz w:val="22"/>
          <w:szCs w:val="22"/>
        </w:rPr>
        <w:t>igrating and transient whales known to occur in the region</w:t>
      </w:r>
      <w:r w:rsidRPr="00BF7F9E">
        <w:rPr>
          <w:rFonts w:cs="Arial"/>
          <w:sz w:val="22"/>
          <w:szCs w:val="22"/>
        </w:rPr>
        <w:t xml:space="preserve"> (</w:t>
      </w:r>
      <w:r w:rsidR="00BF7F9E">
        <w:rPr>
          <w:rFonts w:cs="Arial"/>
          <w:sz w:val="22"/>
          <w:szCs w:val="22"/>
        </w:rPr>
        <w:t xml:space="preserve">e.g., </w:t>
      </w:r>
      <w:r w:rsidR="007357B8">
        <w:rPr>
          <w:rFonts w:cs="Arial"/>
          <w:sz w:val="22"/>
          <w:szCs w:val="22"/>
        </w:rPr>
        <w:t>pygmy blue</w:t>
      </w:r>
      <w:r w:rsidRPr="00BF7F9E">
        <w:rPr>
          <w:rFonts w:cs="Arial"/>
          <w:sz w:val="22"/>
          <w:szCs w:val="22"/>
        </w:rPr>
        <w:t xml:space="preserve"> whales)</w:t>
      </w:r>
      <w:r w:rsidR="00B76145" w:rsidRPr="00BF7F9E">
        <w:rPr>
          <w:rFonts w:cs="Arial"/>
          <w:sz w:val="22"/>
          <w:szCs w:val="22"/>
        </w:rPr>
        <w:t>;</w:t>
      </w:r>
    </w:p>
    <w:p w14:paraId="33DB7798" w14:textId="77777777" w:rsidR="00B76145" w:rsidRPr="00BF7F9E" w:rsidRDefault="00B76145" w:rsidP="00567567">
      <w:pPr>
        <w:pStyle w:val="ColorfulList-Accent11"/>
        <w:numPr>
          <w:ilvl w:val="1"/>
          <w:numId w:val="160"/>
        </w:numPr>
        <w:rPr>
          <w:rFonts w:cs="Arial"/>
          <w:sz w:val="22"/>
          <w:szCs w:val="22"/>
        </w:rPr>
      </w:pPr>
      <w:r w:rsidRPr="00BF7F9E">
        <w:rPr>
          <w:rFonts w:cs="Arial"/>
          <w:sz w:val="22"/>
          <w:szCs w:val="22"/>
        </w:rPr>
        <w:t>Dolphin species likely to occur in nearshore habitats (e.g., bottlenose dolphin, common dolphin).</w:t>
      </w:r>
    </w:p>
    <w:p w14:paraId="0587CE93" w14:textId="77777777" w:rsidR="00B76145" w:rsidRPr="00BF7F9E" w:rsidRDefault="00B76145" w:rsidP="00567567">
      <w:pPr>
        <w:pStyle w:val="ColorfulList-Accent11"/>
        <w:numPr>
          <w:ilvl w:val="0"/>
          <w:numId w:val="160"/>
        </w:numPr>
        <w:rPr>
          <w:rFonts w:cs="Arial"/>
          <w:sz w:val="22"/>
          <w:szCs w:val="22"/>
        </w:rPr>
      </w:pPr>
      <w:r w:rsidRPr="00BF7F9E">
        <w:rPr>
          <w:rFonts w:cs="Arial"/>
          <w:sz w:val="22"/>
          <w:szCs w:val="22"/>
        </w:rPr>
        <w:t>Pinnipeds - foraging habitat for the Australian fur seal and New Zealand fur seal;</w:t>
      </w:r>
    </w:p>
    <w:p w14:paraId="460C9466" w14:textId="6FECF3E8" w:rsidR="00B76145" w:rsidRPr="00BF7F9E" w:rsidRDefault="00B76145" w:rsidP="00567567">
      <w:pPr>
        <w:pStyle w:val="ColorfulList-Accent11"/>
        <w:numPr>
          <w:ilvl w:val="0"/>
          <w:numId w:val="160"/>
        </w:numPr>
        <w:rPr>
          <w:rFonts w:cs="Arial"/>
          <w:sz w:val="22"/>
          <w:szCs w:val="22"/>
        </w:rPr>
      </w:pPr>
      <w:r w:rsidRPr="00BF7F9E">
        <w:rPr>
          <w:rFonts w:cs="Arial"/>
          <w:sz w:val="22"/>
          <w:szCs w:val="22"/>
        </w:rPr>
        <w:t>Foraging habitat for seabirds</w:t>
      </w:r>
      <w:r w:rsidR="007357B8">
        <w:rPr>
          <w:rFonts w:cs="Arial"/>
          <w:sz w:val="22"/>
          <w:szCs w:val="22"/>
        </w:rPr>
        <w:t xml:space="preserve"> and shorebirds</w:t>
      </w:r>
      <w:r w:rsidRPr="00BF7F9E">
        <w:rPr>
          <w:rFonts w:cs="Arial"/>
          <w:sz w:val="22"/>
          <w:szCs w:val="22"/>
        </w:rPr>
        <w:t>;</w:t>
      </w:r>
    </w:p>
    <w:p w14:paraId="6BA5F354" w14:textId="705603D7" w:rsidR="00B76145" w:rsidRPr="00BF7F9E" w:rsidRDefault="00B76145" w:rsidP="00567567">
      <w:pPr>
        <w:pStyle w:val="ColorfulList-Accent11"/>
        <w:numPr>
          <w:ilvl w:val="0"/>
          <w:numId w:val="160"/>
        </w:numPr>
        <w:rPr>
          <w:rFonts w:cs="Arial"/>
          <w:sz w:val="22"/>
          <w:szCs w:val="22"/>
        </w:rPr>
      </w:pPr>
      <w:r w:rsidRPr="00BF7F9E">
        <w:rPr>
          <w:rFonts w:cs="Arial"/>
          <w:sz w:val="22"/>
          <w:szCs w:val="22"/>
        </w:rPr>
        <w:t>Target species for commercially</w:t>
      </w:r>
      <w:r w:rsidR="00195DC9" w:rsidRPr="00BF7F9E">
        <w:rPr>
          <w:rFonts w:cs="Arial"/>
          <w:sz w:val="22"/>
          <w:szCs w:val="22"/>
        </w:rPr>
        <w:t>-</w:t>
      </w:r>
      <w:r w:rsidRPr="00BF7F9E">
        <w:rPr>
          <w:rFonts w:cs="Arial"/>
          <w:sz w:val="22"/>
          <w:szCs w:val="22"/>
        </w:rPr>
        <w:t>important fisheries known to o</w:t>
      </w:r>
      <w:r w:rsidR="00195DC9" w:rsidRPr="00BF7F9E">
        <w:rPr>
          <w:rFonts w:cs="Arial"/>
          <w:sz w:val="22"/>
          <w:szCs w:val="22"/>
        </w:rPr>
        <w:t>p</w:t>
      </w:r>
      <w:r w:rsidRPr="00BF7F9E">
        <w:rPr>
          <w:rFonts w:cs="Arial"/>
          <w:sz w:val="22"/>
          <w:szCs w:val="22"/>
        </w:rPr>
        <w:t xml:space="preserve">erate in </w:t>
      </w:r>
      <w:r w:rsidR="00195DC9" w:rsidRPr="00BF7F9E">
        <w:rPr>
          <w:rFonts w:cs="Arial"/>
          <w:sz w:val="22"/>
          <w:szCs w:val="22"/>
        </w:rPr>
        <w:t xml:space="preserve">and around </w:t>
      </w:r>
      <w:r w:rsidRPr="00BF7F9E">
        <w:rPr>
          <w:rFonts w:cs="Arial"/>
          <w:sz w:val="22"/>
          <w:szCs w:val="22"/>
        </w:rPr>
        <w:t xml:space="preserve">the acquisition area (e.g., </w:t>
      </w:r>
      <w:r w:rsidR="00195DC9" w:rsidRPr="00BF7F9E">
        <w:rPr>
          <w:rFonts w:cs="Arial"/>
          <w:sz w:val="22"/>
          <w:szCs w:val="22"/>
        </w:rPr>
        <w:t>scallop, wrasse</w:t>
      </w:r>
      <w:r w:rsidRPr="00BF7F9E">
        <w:rPr>
          <w:rFonts w:cs="Arial"/>
          <w:sz w:val="22"/>
          <w:szCs w:val="22"/>
        </w:rPr>
        <w:t>); and</w:t>
      </w:r>
    </w:p>
    <w:p w14:paraId="5874DB65" w14:textId="77777777" w:rsidR="00B76145" w:rsidRPr="00BF7F9E" w:rsidRDefault="00B76145" w:rsidP="00567567">
      <w:pPr>
        <w:pStyle w:val="ColorfulList-Accent11"/>
        <w:numPr>
          <w:ilvl w:val="0"/>
          <w:numId w:val="160"/>
        </w:numPr>
        <w:spacing w:after="240" w:line="240" w:lineRule="auto"/>
        <w:ind w:left="714" w:hanging="357"/>
        <w:rPr>
          <w:rFonts w:cs="Arial"/>
          <w:sz w:val="22"/>
          <w:szCs w:val="22"/>
        </w:rPr>
      </w:pPr>
      <w:r w:rsidRPr="00BF7F9E">
        <w:rPr>
          <w:rFonts w:cs="Arial"/>
          <w:sz w:val="22"/>
          <w:szCs w:val="22"/>
        </w:rPr>
        <w:t xml:space="preserve">Environmental values of </w:t>
      </w:r>
      <w:r w:rsidR="00195DC9" w:rsidRPr="00BF7F9E">
        <w:rPr>
          <w:rFonts w:cs="Arial"/>
          <w:sz w:val="22"/>
          <w:szCs w:val="22"/>
        </w:rPr>
        <w:t>nearby marine parks.</w:t>
      </w:r>
    </w:p>
    <w:p w14:paraId="16119187" w14:textId="26E5E795" w:rsidR="00195DC9" w:rsidRPr="00BF7F9E" w:rsidRDefault="00B76145" w:rsidP="00550863">
      <w:pPr>
        <w:ind w:left="0"/>
        <w:rPr>
          <w:rFonts w:cs="Arial"/>
          <w:sz w:val="22"/>
          <w:szCs w:val="22"/>
        </w:rPr>
      </w:pPr>
      <w:r w:rsidRPr="00BF7F9E">
        <w:rPr>
          <w:rFonts w:cs="Arial"/>
          <w:sz w:val="22"/>
          <w:szCs w:val="22"/>
        </w:rPr>
        <w:t>The potential impact</w:t>
      </w:r>
      <w:r w:rsidR="00195DC9" w:rsidRPr="00BF7F9E">
        <w:rPr>
          <w:rFonts w:cs="Arial"/>
          <w:sz w:val="22"/>
          <w:szCs w:val="22"/>
        </w:rPr>
        <w:t>s</w:t>
      </w:r>
      <w:r w:rsidRPr="00BF7F9E">
        <w:rPr>
          <w:rFonts w:cs="Arial"/>
          <w:sz w:val="22"/>
          <w:szCs w:val="22"/>
        </w:rPr>
        <w:t xml:space="preserve"> on individual animals from exposure to elevated sound levels above ambient </w:t>
      </w:r>
      <w:r w:rsidR="00195DC9" w:rsidRPr="00BF7F9E">
        <w:rPr>
          <w:rFonts w:cs="Arial"/>
          <w:sz w:val="22"/>
          <w:szCs w:val="22"/>
        </w:rPr>
        <w:t xml:space="preserve">sound levels </w:t>
      </w:r>
      <w:r w:rsidRPr="00BF7F9E">
        <w:rPr>
          <w:rFonts w:cs="Arial"/>
          <w:sz w:val="22"/>
          <w:szCs w:val="22"/>
        </w:rPr>
        <w:t xml:space="preserve">in a given area depends on a number of factors, including the </w:t>
      </w:r>
      <w:r w:rsidR="00455BFC" w:rsidRPr="00BF7F9E">
        <w:rPr>
          <w:rFonts w:cs="Arial"/>
          <w:sz w:val="22"/>
          <w:szCs w:val="22"/>
        </w:rPr>
        <w:t>extent of sound propagation underwater, its frequency characteristics and duration, its distribution relative to the location of the organisms, the sensitivity and range of spectral hearing among species</w:t>
      </w:r>
      <w:r w:rsidR="009C55DA" w:rsidRPr="00BF7F9E">
        <w:rPr>
          <w:rFonts w:cs="Arial"/>
          <w:sz w:val="22"/>
          <w:szCs w:val="22"/>
        </w:rPr>
        <w:t xml:space="preserve"> (Carroll </w:t>
      </w:r>
      <w:r w:rsidR="009C55DA" w:rsidRPr="00BF7F9E">
        <w:rPr>
          <w:rFonts w:cs="Arial"/>
          <w:i/>
          <w:sz w:val="22"/>
          <w:szCs w:val="22"/>
        </w:rPr>
        <w:t>et al</w:t>
      </w:r>
      <w:r w:rsidR="009C55DA" w:rsidRPr="00BF7F9E">
        <w:rPr>
          <w:rFonts w:cs="Arial"/>
          <w:sz w:val="22"/>
          <w:szCs w:val="22"/>
        </w:rPr>
        <w:t xml:space="preserve">., 2017). </w:t>
      </w:r>
    </w:p>
    <w:p w14:paraId="3B08A7BC" w14:textId="77777777" w:rsidR="00195DC9" w:rsidRPr="00BF7F9E" w:rsidRDefault="00195DC9" w:rsidP="00550863">
      <w:pPr>
        <w:ind w:left="0"/>
        <w:rPr>
          <w:rFonts w:cs="Arial"/>
          <w:sz w:val="22"/>
          <w:szCs w:val="22"/>
        </w:rPr>
      </w:pPr>
    </w:p>
    <w:p w14:paraId="561799E8" w14:textId="2D354A98" w:rsidR="00550863" w:rsidRPr="00BF7F9E" w:rsidRDefault="00B752F7" w:rsidP="00550863">
      <w:pPr>
        <w:ind w:left="0"/>
        <w:rPr>
          <w:rFonts w:cs="Arial"/>
          <w:sz w:val="22"/>
          <w:szCs w:val="22"/>
        </w:rPr>
      </w:pPr>
      <w:r w:rsidRPr="00BF7F9E">
        <w:rPr>
          <w:rFonts w:cs="Arial"/>
          <w:sz w:val="22"/>
          <w:szCs w:val="22"/>
        </w:rPr>
        <w:t>T</w:t>
      </w:r>
      <w:r w:rsidR="00B76145" w:rsidRPr="00BF7F9E">
        <w:rPr>
          <w:rFonts w:cs="Arial"/>
          <w:sz w:val="22"/>
          <w:szCs w:val="22"/>
        </w:rPr>
        <w:t xml:space="preserve">he frequency </w:t>
      </w:r>
      <w:r w:rsidR="00FA028C">
        <w:rPr>
          <w:rFonts w:cs="Arial"/>
          <w:sz w:val="22"/>
          <w:szCs w:val="22"/>
        </w:rPr>
        <w:t xml:space="preserve">range from airgun arrays </w:t>
      </w:r>
      <w:r w:rsidR="00B76145" w:rsidRPr="00BF7F9E">
        <w:rPr>
          <w:rFonts w:cs="Arial"/>
          <w:sz w:val="22"/>
          <w:szCs w:val="22"/>
        </w:rPr>
        <w:t xml:space="preserve">overlaps with the frequency range of some marine fauna groups, but is unlikely to be heard by many marine species. </w:t>
      </w:r>
      <w:r w:rsidR="00FA028C">
        <w:rPr>
          <w:rFonts w:cs="Arial"/>
          <w:sz w:val="22"/>
          <w:szCs w:val="22"/>
        </w:rPr>
        <w:t xml:space="preserve">The majority of the energy of the airgun array is predicted to occur below 500 Hz (McPherson </w:t>
      </w:r>
      <w:r w:rsidR="00FA028C" w:rsidRPr="00FA028C">
        <w:rPr>
          <w:rFonts w:cs="Arial"/>
          <w:i/>
          <w:sz w:val="22"/>
          <w:szCs w:val="22"/>
        </w:rPr>
        <w:t>et al</w:t>
      </w:r>
      <w:r w:rsidR="00FA028C">
        <w:rPr>
          <w:rFonts w:cs="Arial"/>
          <w:sz w:val="22"/>
          <w:szCs w:val="22"/>
        </w:rPr>
        <w:t xml:space="preserve">., 2017). </w:t>
      </w:r>
      <w:r w:rsidR="00B76145" w:rsidRPr="00BF7F9E">
        <w:rPr>
          <w:rFonts w:cs="Arial"/>
          <w:sz w:val="22"/>
          <w:szCs w:val="22"/>
        </w:rPr>
        <w:t xml:space="preserve">Those marine species most at risk from acoustic disturbance from seismic operations generally are species that hear and communicate in a similar low frequency range to the range of </w:t>
      </w:r>
      <w:r w:rsidR="007357B8">
        <w:rPr>
          <w:rFonts w:cs="Arial"/>
          <w:sz w:val="22"/>
          <w:szCs w:val="22"/>
        </w:rPr>
        <w:t>sounds</w:t>
      </w:r>
      <w:r w:rsidR="00B76145" w:rsidRPr="00BF7F9E">
        <w:rPr>
          <w:rFonts w:cs="Arial"/>
          <w:sz w:val="22"/>
          <w:szCs w:val="22"/>
        </w:rPr>
        <w:t xml:space="preserve"> produced by seismic sources (particularly baleen whale species). In addition, fish and invertebrate species that are deemed as truly site-attached</w:t>
      </w:r>
      <w:r w:rsidR="008A7C41" w:rsidRPr="00BF7F9E">
        <w:rPr>
          <w:rFonts w:cs="Arial"/>
          <w:sz w:val="22"/>
          <w:szCs w:val="22"/>
        </w:rPr>
        <w:t xml:space="preserve"> (</w:t>
      </w:r>
      <w:r w:rsidR="00B76145" w:rsidRPr="00BF7F9E">
        <w:rPr>
          <w:rFonts w:cs="Arial"/>
          <w:sz w:val="22"/>
          <w:szCs w:val="22"/>
        </w:rPr>
        <w:t>i.e.</w:t>
      </w:r>
      <w:r w:rsidR="008A7C41" w:rsidRPr="00BF7F9E">
        <w:rPr>
          <w:rFonts w:cs="Arial"/>
          <w:sz w:val="22"/>
          <w:szCs w:val="22"/>
        </w:rPr>
        <w:t>,</w:t>
      </w:r>
      <w:r w:rsidR="00B76145" w:rsidRPr="00BF7F9E">
        <w:rPr>
          <w:rFonts w:cs="Arial"/>
          <w:sz w:val="22"/>
          <w:szCs w:val="22"/>
        </w:rPr>
        <w:t xml:space="preserve"> less able to </w:t>
      </w:r>
      <w:r w:rsidR="00B76145" w:rsidRPr="00BF7F9E">
        <w:rPr>
          <w:rFonts w:cs="Arial"/>
          <w:sz w:val="22"/>
          <w:szCs w:val="22"/>
        </w:rPr>
        <w:lastRenderedPageBreak/>
        <w:t>swim away from the moving seismic source due to close associations with benthic features</w:t>
      </w:r>
      <w:r w:rsidR="008A7C41" w:rsidRPr="00BF7F9E">
        <w:rPr>
          <w:rFonts w:cs="Arial"/>
          <w:sz w:val="22"/>
          <w:szCs w:val="22"/>
        </w:rPr>
        <w:t>)</w:t>
      </w:r>
      <w:r w:rsidR="00B76145" w:rsidRPr="00BF7F9E">
        <w:rPr>
          <w:rFonts w:cs="Arial"/>
          <w:sz w:val="22"/>
          <w:szCs w:val="22"/>
        </w:rPr>
        <w:t xml:space="preserve"> are at increased risk from acoustic disturbance.</w:t>
      </w:r>
    </w:p>
    <w:p w14:paraId="64931088" w14:textId="77777777" w:rsidR="00550863" w:rsidRPr="00CB03B7" w:rsidRDefault="00550863" w:rsidP="00CB03B7">
      <w:pPr>
        <w:pStyle w:val="Heading3"/>
      </w:pPr>
      <w:bookmarkStart w:id="421" w:name="_Toc477947844"/>
      <w:bookmarkStart w:id="422" w:name="_Toc479764041"/>
      <w:bookmarkStart w:id="423" w:name="_Ref354923158"/>
      <w:bookmarkStart w:id="424" w:name="_Toc375214598"/>
      <w:r w:rsidRPr="00CB03B7">
        <w:t>Evaluation of Environmental Impacts</w:t>
      </w:r>
      <w:bookmarkEnd w:id="421"/>
      <w:bookmarkEnd w:id="422"/>
      <w:bookmarkEnd w:id="423"/>
      <w:bookmarkEnd w:id="424"/>
    </w:p>
    <w:p w14:paraId="78EE25C4" w14:textId="20822CBC" w:rsidR="00B76145" w:rsidRPr="008A1985" w:rsidRDefault="00B76145" w:rsidP="00550863">
      <w:pPr>
        <w:ind w:left="0"/>
        <w:rPr>
          <w:rFonts w:cs="Arial"/>
          <w:sz w:val="22"/>
          <w:szCs w:val="22"/>
        </w:rPr>
      </w:pPr>
      <w:r w:rsidRPr="008A1985">
        <w:rPr>
          <w:rFonts w:cs="Arial"/>
          <w:sz w:val="22"/>
          <w:szCs w:val="22"/>
        </w:rPr>
        <w:t>Activities that generate underwater sound can affect marine fauna by interfering with aural communication, eliciting changes in behaviour and, potentially, causing either acute or chronic physiological damage. Various studies have investigated the effects of seismic sound upon a range of marine biota</w:t>
      </w:r>
      <w:r w:rsidR="00DD2458" w:rsidRPr="008A1985">
        <w:rPr>
          <w:rFonts w:cs="Arial"/>
          <w:sz w:val="22"/>
          <w:szCs w:val="22"/>
        </w:rPr>
        <w:t xml:space="preserve"> and </w:t>
      </w:r>
      <w:r w:rsidRPr="008A1985">
        <w:rPr>
          <w:rFonts w:cs="Arial"/>
          <w:sz w:val="22"/>
          <w:szCs w:val="22"/>
        </w:rPr>
        <w:t xml:space="preserve">generally concluded that, although a seismic source </w:t>
      </w:r>
      <w:r w:rsidR="00E36E3B">
        <w:rPr>
          <w:rFonts w:cs="Arial"/>
          <w:sz w:val="22"/>
          <w:szCs w:val="22"/>
        </w:rPr>
        <w:t xml:space="preserve">may </w:t>
      </w:r>
      <w:r w:rsidRPr="008A1985">
        <w:rPr>
          <w:rFonts w:cs="Arial"/>
          <w:sz w:val="22"/>
          <w:szCs w:val="22"/>
        </w:rPr>
        <w:t xml:space="preserve">pose a potential risk to individuals in very close proximity to the source, the transitory nature of seismic operations and the limited range over which possible effects can occur make it unlikely that seismic noise poses a significant hazard to populations of marine species (McCauley </w:t>
      </w:r>
      <w:r w:rsidRPr="008A1985">
        <w:rPr>
          <w:rFonts w:cs="Arial"/>
          <w:i/>
          <w:sz w:val="22"/>
          <w:szCs w:val="22"/>
        </w:rPr>
        <w:t>et al</w:t>
      </w:r>
      <w:r w:rsidRPr="008A1985">
        <w:rPr>
          <w:rFonts w:cs="Arial"/>
          <w:sz w:val="22"/>
          <w:szCs w:val="22"/>
        </w:rPr>
        <w:t>., 2000</w:t>
      </w:r>
      <w:r w:rsidR="00AB373B">
        <w:rPr>
          <w:rFonts w:cs="Arial"/>
          <w:sz w:val="22"/>
          <w:szCs w:val="22"/>
        </w:rPr>
        <w:t>a</w:t>
      </w:r>
      <w:r w:rsidRPr="008A1985">
        <w:rPr>
          <w:rFonts w:cs="Arial"/>
          <w:sz w:val="22"/>
          <w:szCs w:val="22"/>
        </w:rPr>
        <w:t xml:space="preserve">; Wardle </w:t>
      </w:r>
      <w:r w:rsidRPr="008A1985">
        <w:rPr>
          <w:rFonts w:cs="Arial"/>
          <w:i/>
          <w:sz w:val="22"/>
          <w:szCs w:val="22"/>
        </w:rPr>
        <w:t>et al</w:t>
      </w:r>
      <w:r w:rsidRPr="008A1985">
        <w:rPr>
          <w:rFonts w:cs="Arial"/>
          <w:sz w:val="22"/>
          <w:szCs w:val="22"/>
        </w:rPr>
        <w:t>., 2001; Gausland, 2000</w:t>
      </w:r>
      <w:r w:rsidR="009C55DA" w:rsidRPr="008A1985">
        <w:rPr>
          <w:rFonts w:cs="Arial"/>
          <w:sz w:val="22"/>
          <w:szCs w:val="22"/>
        </w:rPr>
        <w:t xml:space="preserve">; Thomson </w:t>
      </w:r>
      <w:r w:rsidR="009C55DA" w:rsidRPr="008A1985">
        <w:rPr>
          <w:rFonts w:cs="Arial"/>
          <w:i/>
          <w:sz w:val="22"/>
          <w:szCs w:val="22"/>
        </w:rPr>
        <w:t>et al</w:t>
      </w:r>
      <w:r w:rsidR="009C55DA" w:rsidRPr="008A1985">
        <w:rPr>
          <w:rFonts w:cs="Arial"/>
          <w:sz w:val="22"/>
          <w:szCs w:val="22"/>
        </w:rPr>
        <w:t>, 2014</w:t>
      </w:r>
      <w:r w:rsidRPr="008A1985">
        <w:rPr>
          <w:rFonts w:cs="Arial"/>
          <w:sz w:val="22"/>
          <w:szCs w:val="22"/>
        </w:rPr>
        <w:t>).</w:t>
      </w:r>
      <w:r w:rsidR="009C55DA" w:rsidRPr="008A1985">
        <w:rPr>
          <w:rFonts w:cs="Arial"/>
          <w:sz w:val="22"/>
          <w:szCs w:val="22"/>
        </w:rPr>
        <w:t xml:space="preserve"> </w:t>
      </w:r>
    </w:p>
    <w:p w14:paraId="632BD3C6" w14:textId="77777777" w:rsidR="003843D8" w:rsidRPr="008A1985" w:rsidRDefault="003843D8" w:rsidP="00550863">
      <w:pPr>
        <w:ind w:left="0"/>
        <w:rPr>
          <w:rFonts w:cs="Arial"/>
          <w:sz w:val="22"/>
          <w:szCs w:val="22"/>
        </w:rPr>
      </w:pPr>
    </w:p>
    <w:p w14:paraId="7410939B" w14:textId="3037F058" w:rsidR="00DD2458" w:rsidRPr="008A1985" w:rsidRDefault="003843D8" w:rsidP="00550863">
      <w:pPr>
        <w:ind w:left="0"/>
        <w:rPr>
          <w:rFonts w:cs="Arial"/>
          <w:sz w:val="22"/>
          <w:szCs w:val="22"/>
        </w:rPr>
      </w:pPr>
      <w:r w:rsidRPr="008A1985">
        <w:rPr>
          <w:rFonts w:cs="Arial"/>
          <w:sz w:val="22"/>
          <w:szCs w:val="22"/>
        </w:rPr>
        <w:t xml:space="preserve">The information box below describes how underwater sound is measured and referenced. </w:t>
      </w:r>
    </w:p>
    <w:p w14:paraId="3AFBA6C2" w14:textId="77777777" w:rsidR="003843D8" w:rsidRDefault="003843D8" w:rsidP="00550863">
      <w:pPr>
        <w:ind w:left="0"/>
        <w:rPr>
          <w:rFonts w:ascii="Tahoma" w:hAnsi="Tahoma" w:cs="Arial"/>
          <w:szCs w:val="20"/>
        </w:rPr>
      </w:pP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8055"/>
      </w:tblGrid>
      <w:tr w:rsidR="003843D8" w14:paraId="1549E2ED" w14:textId="77777777" w:rsidTr="00514376">
        <w:tc>
          <w:tcPr>
            <w:tcW w:w="8522" w:type="dxa"/>
            <w:shd w:val="clear" w:color="auto" w:fill="auto"/>
          </w:tcPr>
          <w:p w14:paraId="63392748" w14:textId="160D1821" w:rsidR="003843D8" w:rsidRPr="008A1985" w:rsidRDefault="003843D8" w:rsidP="00514376">
            <w:pPr>
              <w:spacing w:before="120"/>
              <w:ind w:left="0"/>
              <w:rPr>
                <w:i/>
                <w:sz w:val="20"/>
                <w:szCs w:val="20"/>
              </w:rPr>
            </w:pPr>
            <w:r w:rsidRPr="008A1985">
              <w:rPr>
                <w:i/>
                <w:sz w:val="20"/>
                <w:szCs w:val="20"/>
              </w:rPr>
              <w:t xml:space="preserve">The </w:t>
            </w:r>
            <w:r w:rsidRPr="008A1985">
              <w:rPr>
                <w:b/>
                <w:i/>
                <w:sz w:val="20"/>
                <w:szCs w:val="20"/>
              </w:rPr>
              <w:t>decibel (dB)</w:t>
            </w:r>
            <w:r w:rsidRPr="008A1985">
              <w:rPr>
                <w:i/>
                <w:sz w:val="20"/>
                <w:szCs w:val="20"/>
              </w:rPr>
              <w:t xml:space="preserve"> scale is a logarithmic scale that expresses the ratio of two values of a physical quantity. It is used to measure the amplitude or ‘loudness’ of a sound. As the dB scale is</w:t>
            </w:r>
            <w:r w:rsidRPr="008A1985">
              <w:rPr>
                <w:sz w:val="20"/>
                <w:szCs w:val="20"/>
              </w:rPr>
              <w:t xml:space="preserve"> </w:t>
            </w:r>
            <w:r w:rsidRPr="008A1985">
              <w:rPr>
                <w:i/>
                <w:sz w:val="20"/>
                <w:szCs w:val="20"/>
              </w:rPr>
              <w:t>a ratio, it is denoted relative to some reference level, which must be included with dB values if they are to be meaningful. The reference pressure level in underwater acoustics is 1 micropascal (µPa)</w:t>
            </w:r>
            <w:r w:rsidR="006A2484" w:rsidRPr="008A1985">
              <w:rPr>
                <w:i/>
                <w:sz w:val="20"/>
                <w:szCs w:val="20"/>
              </w:rPr>
              <w:t>, w</w:t>
            </w:r>
            <w:r w:rsidRPr="008A1985">
              <w:rPr>
                <w:i/>
                <w:sz w:val="20"/>
                <w:szCs w:val="20"/>
              </w:rPr>
              <w:t>hereas the reference pressure level used in air is 20 μPa, which was selected to match human hearing sensitivity.</w:t>
            </w:r>
          </w:p>
          <w:p w14:paraId="45D691F4" w14:textId="0A76E996" w:rsidR="00FA028C" w:rsidRPr="008A1985" w:rsidRDefault="003843D8" w:rsidP="0007266A">
            <w:pPr>
              <w:spacing w:before="120"/>
              <w:ind w:left="0"/>
              <w:rPr>
                <w:i/>
                <w:sz w:val="20"/>
                <w:szCs w:val="20"/>
              </w:rPr>
            </w:pPr>
            <w:r w:rsidRPr="008A1985">
              <w:rPr>
                <w:i/>
                <w:sz w:val="20"/>
                <w:szCs w:val="20"/>
              </w:rPr>
              <w:t xml:space="preserve">As a result of these differences in reference standards, sound levels in air are not equal to underwater levels. </w:t>
            </w:r>
            <w:r w:rsidR="00FA028C" w:rsidRPr="008A1985">
              <w:rPr>
                <w:i/>
                <w:sz w:val="20"/>
                <w:szCs w:val="20"/>
              </w:rPr>
              <w:t>There are f</w:t>
            </w:r>
            <w:r w:rsidR="00EB6035" w:rsidRPr="008A1985">
              <w:rPr>
                <w:i/>
                <w:sz w:val="20"/>
                <w:szCs w:val="20"/>
              </w:rPr>
              <w:t xml:space="preserve">our </w:t>
            </w:r>
            <w:r w:rsidR="00FA028C" w:rsidRPr="008A1985">
              <w:rPr>
                <w:i/>
                <w:sz w:val="20"/>
                <w:szCs w:val="20"/>
              </w:rPr>
              <w:t>main metrics for underwater sound (ISO</w:t>
            </w:r>
            <w:r w:rsidR="0007266A" w:rsidRPr="008A1985">
              <w:rPr>
                <w:i/>
                <w:sz w:val="20"/>
                <w:szCs w:val="20"/>
              </w:rPr>
              <w:t>/DIS 18405.2:2017</w:t>
            </w:r>
            <w:r w:rsidR="00FA028C" w:rsidRPr="008A1985">
              <w:rPr>
                <w:i/>
                <w:sz w:val="20"/>
                <w:szCs w:val="20"/>
              </w:rPr>
              <w:t>):</w:t>
            </w:r>
          </w:p>
          <w:p w14:paraId="53AA1D79" w14:textId="3C43D6A7" w:rsidR="00FA028C" w:rsidRPr="00265441" w:rsidRDefault="00FA028C" w:rsidP="00265441">
            <w:pPr>
              <w:pStyle w:val="ListParagraph0"/>
              <w:numPr>
                <w:ilvl w:val="0"/>
                <w:numId w:val="407"/>
              </w:numPr>
              <w:spacing w:before="120"/>
              <w:rPr>
                <w:i/>
                <w:sz w:val="20"/>
                <w:szCs w:val="20"/>
              </w:rPr>
            </w:pPr>
            <w:r w:rsidRPr="008A1985">
              <w:rPr>
                <w:i/>
                <w:sz w:val="20"/>
                <w:szCs w:val="20"/>
              </w:rPr>
              <w:t>Z</w:t>
            </w:r>
            <w:r w:rsidRPr="00265441">
              <w:rPr>
                <w:i/>
                <w:sz w:val="20"/>
                <w:szCs w:val="20"/>
              </w:rPr>
              <w:t>ero-to-peak sound pressure</w:t>
            </w:r>
            <w:r w:rsidRPr="008A1985">
              <w:rPr>
                <w:i/>
                <w:sz w:val="20"/>
                <w:szCs w:val="20"/>
              </w:rPr>
              <w:t xml:space="preserve"> (PK), the </w:t>
            </w:r>
            <w:r w:rsidRPr="008A1985">
              <w:rPr>
                <w:rFonts w:cs="Cambria"/>
                <w:color w:val="000000"/>
                <w:sz w:val="20"/>
                <w:szCs w:val="20"/>
              </w:rPr>
              <w:t xml:space="preserve">greatest magnitude of the </w:t>
            </w:r>
            <w:r w:rsidRPr="008A1985">
              <w:rPr>
                <w:rFonts w:cs="Cambria"/>
                <w:i/>
                <w:iCs/>
                <w:color w:val="000000"/>
                <w:sz w:val="20"/>
                <w:szCs w:val="20"/>
              </w:rPr>
              <w:t>sound pressure</w:t>
            </w:r>
            <w:r w:rsidRPr="008A1985">
              <w:rPr>
                <w:rFonts w:cs="Cambria"/>
                <w:color w:val="000000"/>
                <w:sz w:val="20"/>
                <w:szCs w:val="20"/>
              </w:rPr>
              <w:t xml:space="preserve"> </w:t>
            </w:r>
            <w:r w:rsidRPr="000A53E2">
              <w:rPr>
                <w:rFonts w:cs="Cambria"/>
                <w:sz w:val="20"/>
                <w:szCs w:val="20"/>
              </w:rPr>
              <w:t>during a specified time interval, unit: dB re 1 µPa</w:t>
            </w:r>
            <w:r w:rsidR="007F081A" w:rsidRPr="000A53E2">
              <w:rPr>
                <w:rFonts w:cs="Cambria"/>
                <w:sz w:val="20"/>
                <w:szCs w:val="20"/>
              </w:rPr>
              <w:t>;</w:t>
            </w:r>
          </w:p>
          <w:p w14:paraId="40399102" w14:textId="118E9BD0" w:rsidR="00FA028C" w:rsidRPr="000A53E2" w:rsidRDefault="00FA028C" w:rsidP="00FA028C">
            <w:pPr>
              <w:pStyle w:val="ListParagraph0"/>
              <w:numPr>
                <w:ilvl w:val="0"/>
                <w:numId w:val="407"/>
              </w:numPr>
              <w:spacing w:before="120"/>
              <w:rPr>
                <w:i/>
                <w:sz w:val="20"/>
                <w:szCs w:val="20"/>
              </w:rPr>
            </w:pPr>
            <w:r w:rsidRPr="000A53E2">
              <w:rPr>
                <w:i/>
                <w:sz w:val="20"/>
                <w:szCs w:val="20"/>
              </w:rPr>
              <w:t xml:space="preserve">Peak-to-peak sound pressure (PK-PK), </w:t>
            </w:r>
            <w:r w:rsidRPr="000A53E2">
              <w:rPr>
                <w:rFonts w:cs="Cambria"/>
                <w:sz w:val="20"/>
                <w:szCs w:val="20"/>
              </w:rPr>
              <w:t xml:space="preserve">sum of the </w:t>
            </w:r>
            <w:r w:rsidRPr="000A53E2">
              <w:rPr>
                <w:rFonts w:cs="Cambria"/>
                <w:i/>
                <w:iCs/>
                <w:sz w:val="20"/>
                <w:szCs w:val="20"/>
              </w:rPr>
              <w:t xml:space="preserve">peak compressional pressure </w:t>
            </w:r>
            <w:r w:rsidRPr="000A53E2">
              <w:rPr>
                <w:rFonts w:cs="Cambria"/>
                <w:sz w:val="20"/>
                <w:szCs w:val="20"/>
              </w:rPr>
              <w:t xml:space="preserve">and the </w:t>
            </w:r>
            <w:r w:rsidRPr="000A53E2">
              <w:rPr>
                <w:rFonts w:cs="Cambria"/>
                <w:i/>
                <w:iCs/>
                <w:sz w:val="20"/>
                <w:szCs w:val="20"/>
              </w:rPr>
              <w:t xml:space="preserve">peak rarefactional pressure </w:t>
            </w:r>
            <w:r w:rsidRPr="000A53E2">
              <w:rPr>
                <w:rFonts w:cs="Cambria"/>
                <w:sz w:val="20"/>
                <w:szCs w:val="20"/>
              </w:rPr>
              <w:t>during a specified time interval, unit: dB re 1 µPa</w:t>
            </w:r>
            <w:r w:rsidR="007F081A" w:rsidRPr="000A53E2">
              <w:rPr>
                <w:rFonts w:cs="Cambria"/>
                <w:sz w:val="20"/>
                <w:szCs w:val="20"/>
              </w:rPr>
              <w:t>;</w:t>
            </w:r>
          </w:p>
          <w:p w14:paraId="7B7CE2B3" w14:textId="26FC378E" w:rsidR="00FA028C" w:rsidRPr="000A53E2" w:rsidRDefault="00FA028C" w:rsidP="00265441">
            <w:pPr>
              <w:pStyle w:val="ListParagraph0"/>
              <w:numPr>
                <w:ilvl w:val="0"/>
                <w:numId w:val="407"/>
              </w:numPr>
              <w:spacing w:before="120"/>
              <w:rPr>
                <w:rFonts w:eastAsia="MS Mincho" w:cs="Arial"/>
                <w:b/>
                <w:bCs/>
                <w:i/>
                <w:iCs/>
                <w:color w:val="191919"/>
                <w:sz w:val="20"/>
                <w:szCs w:val="20"/>
                <w:lang w:eastAsia="en-US"/>
              </w:rPr>
            </w:pPr>
            <w:r w:rsidRPr="000A53E2">
              <w:rPr>
                <w:i/>
                <w:sz w:val="20"/>
                <w:szCs w:val="20"/>
              </w:rPr>
              <w:t>Root-mean-square sound pressure level (SPL), the decibel ratio of the time-mean-square sound pressure, in a stated frequency band, to the square of the reference sound pressure, unit: dB re 1 µPa</w:t>
            </w:r>
            <w:r w:rsidR="007F081A" w:rsidRPr="000A53E2">
              <w:rPr>
                <w:i/>
                <w:sz w:val="20"/>
                <w:szCs w:val="20"/>
              </w:rPr>
              <w:t>; and</w:t>
            </w:r>
          </w:p>
          <w:p w14:paraId="0111D93A" w14:textId="5122E48D" w:rsidR="00FA028C" w:rsidRPr="00265441" w:rsidRDefault="00FA028C" w:rsidP="00265441">
            <w:pPr>
              <w:pStyle w:val="ListParagraph0"/>
              <w:numPr>
                <w:ilvl w:val="0"/>
                <w:numId w:val="407"/>
              </w:numPr>
              <w:spacing w:before="120"/>
              <w:rPr>
                <w:i/>
                <w:sz w:val="20"/>
                <w:szCs w:val="20"/>
              </w:rPr>
            </w:pPr>
            <w:r w:rsidRPr="008A1985">
              <w:rPr>
                <w:i/>
                <w:sz w:val="20"/>
                <w:szCs w:val="20"/>
              </w:rPr>
              <w:t xml:space="preserve">Sound exposure level (SEL), a measure related to the sound energy in one or more pulses, or the ratio of the </w:t>
            </w:r>
            <w:r w:rsidRPr="008A1985">
              <w:rPr>
                <w:rFonts w:cs="Cambria"/>
                <w:i/>
                <w:iCs/>
                <w:color w:val="000000"/>
                <w:sz w:val="20"/>
                <w:szCs w:val="20"/>
              </w:rPr>
              <w:t xml:space="preserve">time-integrated squared sound pressure </w:t>
            </w:r>
            <w:r w:rsidRPr="008A1985">
              <w:rPr>
                <w:rFonts w:cs="Cambria"/>
                <w:color w:val="000000"/>
                <w:sz w:val="20"/>
                <w:szCs w:val="20"/>
              </w:rPr>
              <w:t>to the specified reference value</w:t>
            </w:r>
            <w:r w:rsidRPr="008A1985">
              <w:rPr>
                <w:i/>
                <w:sz w:val="20"/>
                <w:szCs w:val="20"/>
              </w:rPr>
              <w:t>, unit: dB re 1 µPa</w:t>
            </w:r>
            <w:r w:rsidRPr="008A1985">
              <w:rPr>
                <w:i/>
                <w:sz w:val="20"/>
                <w:szCs w:val="20"/>
                <w:vertAlign w:val="superscript"/>
              </w:rPr>
              <w:t>2</w:t>
            </w:r>
            <w:r w:rsidRPr="008A1985">
              <w:rPr>
                <w:i/>
                <w:sz w:val="20"/>
                <w:szCs w:val="20"/>
              </w:rPr>
              <w:t>·s.</w:t>
            </w:r>
          </w:p>
          <w:p w14:paraId="24C744A3" w14:textId="6BB3697E" w:rsidR="00FA028C" w:rsidRPr="008A1985" w:rsidRDefault="00FA028C" w:rsidP="00FA028C">
            <w:pPr>
              <w:spacing w:before="120"/>
              <w:ind w:left="0"/>
              <w:rPr>
                <w:i/>
                <w:sz w:val="20"/>
                <w:szCs w:val="20"/>
              </w:rPr>
            </w:pPr>
            <w:r w:rsidRPr="008A1985">
              <w:rPr>
                <w:i/>
                <w:sz w:val="20"/>
                <w:szCs w:val="20"/>
              </w:rPr>
              <w:t>SEL is specified in terms of either per-impulse (per-pulse) or accumulation period. In this report, the accumulation period applied is 24 hours, and therefore the SEL is referred to as either per-impulse SEL or SEL</w:t>
            </w:r>
            <w:r w:rsidRPr="00265441">
              <w:rPr>
                <w:i/>
                <w:sz w:val="20"/>
                <w:szCs w:val="20"/>
                <w:vertAlign w:val="subscript"/>
              </w:rPr>
              <w:t>24h</w:t>
            </w:r>
            <w:r w:rsidRPr="008A1985">
              <w:rPr>
                <w:i/>
                <w:sz w:val="20"/>
                <w:szCs w:val="20"/>
              </w:rPr>
              <w:t>.</w:t>
            </w:r>
          </w:p>
          <w:p w14:paraId="472C4FA6" w14:textId="77777777" w:rsidR="00FA028C" w:rsidRPr="008A1985" w:rsidRDefault="003843D8" w:rsidP="00514376">
            <w:pPr>
              <w:spacing w:before="120"/>
              <w:ind w:left="0"/>
              <w:rPr>
                <w:i/>
                <w:sz w:val="20"/>
                <w:szCs w:val="20"/>
              </w:rPr>
            </w:pPr>
            <w:r w:rsidRPr="008A1985">
              <w:rPr>
                <w:i/>
                <w:sz w:val="20"/>
                <w:szCs w:val="20"/>
              </w:rPr>
              <w:t xml:space="preserve">Source level is a measure of sound at a nominal distance of 1 m from </w:t>
            </w:r>
            <w:r w:rsidR="00FA028C" w:rsidRPr="008A1985">
              <w:rPr>
                <w:i/>
                <w:sz w:val="20"/>
                <w:szCs w:val="20"/>
              </w:rPr>
              <w:t>a theoretical point source that radiates the same total sound power as the actual source. It can be expressed as an SPL, SEL or PK. Unit: dB re 1 μPa @ 1 m or dB re 1 µPa</w:t>
            </w:r>
            <w:r w:rsidR="00FA028C" w:rsidRPr="008A1985">
              <w:rPr>
                <w:i/>
                <w:sz w:val="20"/>
                <w:szCs w:val="20"/>
                <w:vertAlign w:val="superscript"/>
              </w:rPr>
              <w:t>2</w:t>
            </w:r>
            <w:r w:rsidR="00FA028C" w:rsidRPr="008A1985">
              <w:rPr>
                <w:i/>
                <w:sz w:val="20"/>
                <w:szCs w:val="20"/>
              </w:rPr>
              <w:t>·s.</w:t>
            </w:r>
          </w:p>
          <w:p w14:paraId="1918A648" w14:textId="77777777" w:rsidR="00FA028C" w:rsidRPr="008A1985" w:rsidRDefault="00FA028C" w:rsidP="00FA028C">
            <w:pPr>
              <w:spacing w:before="120"/>
              <w:ind w:hanging="720"/>
              <w:rPr>
                <w:i/>
                <w:sz w:val="20"/>
                <w:szCs w:val="20"/>
              </w:rPr>
            </w:pPr>
            <w:r w:rsidRPr="008A1985">
              <w:rPr>
                <w:i/>
                <w:sz w:val="20"/>
                <w:szCs w:val="20"/>
              </w:rPr>
              <w:t>This report also considers particle motion metrics:</w:t>
            </w:r>
          </w:p>
          <w:p w14:paraId="61AFDB97" w14:textId="543DC051" w:rsidR="00FA028C" w:rsidRPr="00265441" w:rsidRDefault="00FA028C" w:rsidP="00265441">
            <w:pPr>
              <w:pStyle w:val="ListParagraph0"/>
              <w:numPr>
                <w:ilvl w:val="0"/>
                <w:numId w:val="408"/>
              </w:numPr>
              <w:spacing w:before="120"/>
              <w:rPr>
                <w:i/>
                <w:sz w:val="20"/>
                <w:szCs w:val="20"/>
              </w:rPr>
            </w:pPr>
            <w:r w:rsidRPr="008A1985">
              <w:rPr>
                <w:i/>
                <w:sz w:val="20"/>
                <w:szCs w:val="20"/>
              </w:rPr>
              <w:t>Sound particle velocity</w:t>
            </w:r>
            <w:r w:rsidRPr="008A1985">
              <w:rPr>
                <w:rFonts w:cs="Cambria"/>
                <w:color w:val="000000"/>
                <w:sz w:val="20"/>
                <w:szCs w:val="20"/>
              </w:rPr>
              <w:t xml:space="preserve"> contribution to velocity of a </w:t>
            </w:r>
            <w:r w:rsidRPr="008A1985">
              <w:rPr>
                <w:rFonts w:cs="Cambria"/>
                <w:i/>
                <w:iCs/>
                <w:color w:val="000000"/>
                <w:sz w:val="20"/>
                <w:szCs w:val="20"/>
              </w:rPr>
              <w:t xml:space="preserve">material element </w:t>
            </w:r>
            <w:r w:rsidRPr="008A1985">
              <w:rPr>
                <w:rFonts w:cs="Cambria"/>
                <w:color w:val="000000"/>
                <w:sz w:val="20"/>
                <w:szCs w:val="20"/>
              </w:rPr>
              <w:t xml:space="preserve">caused by the action of </w:t>
            </w:r>
            <w:r w:rsidRPr="008A1985">
              <w:rPr>
                <w:rFonts w:cs="Cambria"/>
                <w:i/>
                <w:iCs/>
                <w:color w:val="000000"/>
                <w:sz w:val="20"/>
                <w:szCs w:val="20"/>
              </w:rPr>
              <w:t xml:space="preserve">sound, in </w:t>
            </w:r>
            <w:r w:rsidRPr="008A1985">
              <w:rPr>
                <w:i/>
                <w:sz w:val="20"/>
                <w:szCs w:val="20"/>
              </w:rPr>
              <w:t>units of metre per second (m/s).</w:t>
            </w:r>
          </w:p>
          <w:p w14:paraId="32881BFA" w14:textId="7BC33565" w:rsidR="00FA028C" w:rsidRPr="00265441" w:rsidRDefault="000A53E2" w:rsidP="00265441">
            <w:pPr>
              <w:pStyle w:val="ListParagraph0"/>
              <w:numPr>
                <w:ilvl w:val="0"/>
                <w:numId w:val="408"/>
              </w:numPr>
              <w:spacing w:before="120"/>
              <w:rPr>
                <w:i/>
                <w:sz w:val="20"/>
                <w:szCs w:val="20"/>
              </w:rPr>
            </w:pPr>
            <w:r w:rsidRPr="000A53E2">
              <w:rPr>
                <w:rFonts w:cs="Cambria"/>
                <w:i/>
                <w:color w:val="000000"/>
                <w:sz w:val="20"/>
                <w:szCs w:val="20"/>
              </w:rPr>
              <w:t>S</w:t>
            </w:r>
            <w:r w:rsidR="00FA028C" w:rsidRPr="000A53E2">
              <w:rPr>
                <w:rFonts w:cs="Cambria"/>
                <w:i/>
                <w:color w:val="000000"/>
                <w:sz w:val="20"/>
                <w:szCs w:val="20"/>
              </w:rPr>
              <w:t xml:space="preserve">ound particle acceleration, the contribution to acceleration of a </w:t>
            </w:r>
            <w:r w:rsidR="00FA028C" w:rsidRPr="000A53E2">
              <w:rPr>
                <w:rFonts w:cs="Cambria"/>
                <w:i/>
                <w:iCs/>
                <w:color w:val="000000"/>
                <w:sz w:val="20"/>
                <w:szCs w:val="20"/>
              </w:rPr>
              <w:t>material element</w:t>
            </w:r>
            <w:r w:rsidR="00FA028C" w:rsidRPr="000A53E2">
              <w:rPr>
                <w:rFonts w:cs="Cambria"/>
                <w:i/>
                <w:color w:val="000000"/>
                <w:sz w:val="20"/>
                <w:szCs w:val="20"/>
              </w:rPr>
              <w:t xml:space="preserve"> caused by the action of</w:t>
            </w:r>
            <w:r w:rsidR="00FA028C" w:rsidRPr="008A1985">
              <w:rPr>
                <w:rFonts w:cs="Cambria"/>
                <w:color w:val="000000"/>
                <w:sz w:val="20"/>
                <w:szCs w:val="20"/>
              </w:rPr>
              <w:t xml:space="preserve"> </w:t>
            </w:r>
            <w:r w:rsidR="00FA028C" w:rsidRPr="008A1985">
              <w:rPr>
                <w:rFonts w:cs="Cambria"/>
                <w:i/>
                <w:iCs/>
                <w:color w:val="000000"/>
                <w:sz w:val="20"/>
                <w:szCs w:val="20"/>
              </w:rPr>
              <w:t>sound, in</w:t>
            </w:r>
            <w:r w:rsidR="00FA028C" w:rsidRPr="008A1985">
              <w:rPr>
                <w:rFonts w:cs="Cambria"/>
                <w:color w:val="000000"/>
                <w:sz w:val="20"/>
                <w:szCs w:val="20"/>
              </w:rPr>
              <w:t xml:space="preserve"> </w:t>
            </w:r>
            <w:r w:rsidR="00FA028C" w:rsidRPr="008A1985">
              <w:rPr>
                <w:i/>
                <w:sz w:val="20"/>
                <w:szCs w:val="20"/>
              </w:rPr>
              <w:t>units of metre per second squared (m/s</w:t>
            </w:r>
            <w:r w:rsidR="00FA028C" w:rsidRPr="00265441">
              <w:rPr>
                <w:i/>
                <w:sz w:val="20"/>
                <w:szCs w:val="20"/>
                <w:vertAlign w:val="superscript"/>
              </w:rPr>
              <w:t>2</w:t>
            </w:r>
            <w:r w:rsidR="00FA028C" w:rsidRPr="008A1985">
              <w:rPr>
                <w:i/>
                <w:sz w:val="20"/>
                <w:szCs w:val="20"/>
              </w:rPr>
              <w:t>).</w:t>
            </w:r>
          </w:p>
          <w:p w14:paraId="1EC20BC2" w14:textId="67D8722A" w:rsidR="003843D8" w:rsidRPr="008A1985" w:rsidRDefault="003843D8" w:rsidP="00FA028C">
            <w:pPr>
              <w:spacing w:before="120"/>
              <w:ind w:left="0"/>
              <w:rPr>
                <w:rFonts w:cs="Arial"/>
                <w:sz w:val="20"/>
                <w:szCs w:val="20"/>
              </w:rPr>
            </w:pPr>
            <w:r w:rsidRPr="008A1985">
              <w:rPr>
                <w:i/>
                <w:sz w:val="20"/>
                <w:szCs w:val="20"/>
              </w:rPr>
              <w:lastRenderedPageBreak/>
              <w:t>Given the multiple measures commonly used to express sound levels, it’s important to ensure any comparisons between specific sound level values ar</w:t>
            </w:r>
            <w:r w:rsidR="00FA028C" w:rsidRPr="008A1985">
              <w:rPr>
                <w:i/>
                <w:sz w:val="20"/>
                <w:szCs w:val="20"/>
              </w:rPr>
              <w:t>e made using the same measures.</w:t>
            </w:r>
          </w:p>
        </w:tc>
      </w:tr>
    </w:tbl>
    <w:p w14:paraId="0739C8B9" w14:textId="77777777" w:rsidR="003843D8" w:rsidRPr="00550863" w:rsidRDefault="003843D8" w:rsidP="00550863">
      <w:pPr>
        <w:ind w:left="0"/>
        <w:rPr>
          <w:rFonts w:ascii="Tahoma" w:hAnsi="Tahoma" w:cs="Arial"/>
          <w:szCs w:val="20"/>
        </w:rPr>
      </w:pPr>
    </w:p>
    <w:p w14:paraId="4ED60579" w14:textId="51843F69" w:rsidR="00B76145" w:rsidRPr="000B0785" w:rsidRDefault="00B76145" w:rsidP="00455BFC">
      <w:pPr>
        <w:spacing w:after="120"/>
        <w:ind w:left="0"/>
        <w:rPr>
          <w:rFonts w:cs="Arial"/>
          <w:b/>
          <w:sz w:val="22"/>
          <w:szCs w:val="22"/>
        </w:rPr>
      </w:pPr>
      <w:r w:rsidRPr="000B0785">
        <w:rPr>
          <w:rFonts w:cs="Arial"/>
          <w:b/>
          <w:sz w:val="22"/>
          <w:szCs w:val="22"/>
        </w:rPr>
        <w:t xml:space="preserve">Sound </w:t>
      </w:r>
      <w:r w:rsidR="000A53E2">
        <w:rPr>
          <w:rFonts w:cs="Arial"/>
          <w:b/>
          <w:sz w:val="22"/>
          <w:szCs w:val="22"/>
        </w:rPr>
        <w:t>T</w:t>
      </w:r>
      <w:r w:rsidR="00485C34" w:rsidRPr="000B0785">
        <w:rPr>
          <w:rFonts w:cs="Arial"/>
          <w:b/>
          <w:sz w:val="22"/>
          <w:szCs w:val="22"/>
        </w:rPr>
        <w:t>ransmission</w:t>
      </w:r>
      <w:r w:rsidRPr="000B0785">
        <w:rPr>
          <w:rFonts w:cs="Arial"/>
          <w:b/>
          <w:sz w:val="22"/>
          <w:szCs w:val="22"/>
        </w:rPr>
        <w:t xml:space="preserve"> </w:t>
      </w:r>
      <w:r w:rsidR="000A53E2">
        <w:rPr>
          <w:rFonts w:cs="Arial"/>
          <w:b/>
          <w:sz w:val="22"/>
          <w:szCs w:val="22"/>
        </w:rPr>
        <w:t>L</w:t>
      </w:r>
      <w:r w:rsidR="00485C34" w:rsidRPr="000B0785">
        <w:rPr>
          <w:rFonts w:cs="Arial"/>
          <w:b/>
          <w:sz w:val="22"/>
          <w:szCs w:val="22"/>
        </w:rPr>
        <w:t xml:space="preserve">oss </w:t>
      </w:r>
      <w:r w:rsidR="000A53E2">
        <w:rPr>
          <w:rFonts w:cs="Arial"/>
          <w:b/>
          <w:sz w:val="22"/>
          <w:szCs w:val="22"/>
        </w:rPr>
        <w:t>M</w:t>
      </w:r>
      <w:r w:rsidRPr="000B0785">
        <w:rPr>
          <w:rFonts w:cs="Arial"/>
          <w:b/>
          <w:sz w:val="22"/>
          <w:szCs w:val="22"/>
        </w:rPr>
        <w:t>odelling</w:t>
      </w:r>
      <w:r w:rsidR="009B28D0">
        <w:rPr>
          <w:rFonts w:cs="Arial"/>
          <w:b/>
          <w:sz w:val="22"/>
          <w:szCs w:val="22"/>
        </w:rPr>
        <w:t xml:space="preserve"> </w:t>
      </w:r>
    </w:p>
    <w:p w14:paraId="4E36466F" w14:textId="72A4A5DE" w:rsidR="00FA4CB5" w:rsidRPr="00F269BD" w:rsidRDefault="00FA4CB5" w:rsidP="00FA4CB5">
      <w:pPr>
        <w:ind w:left="0"/>
        <w:rPr>
          <w:rFonts w:cs="Arial"/>
          <w:sz w:val="22"/>
          <w:szCs w:val="22"/>
        </w:rPr>
      </w:pPr>
      <w:r>
        <w:rPr>
          <w:rFonts w:cs="Arial"/>
          <w:sz w:val="22"/>
          <w:szCs w:val="22"/>
        </w:rPr>
        <w:t xml:space="preserve">While the energy from commercial seismic airgun arrays is highest at low frequencies (typically below 500 Hz), they also produce sound at higher </w:t>
      </w:r>
      <w:r w:rsidRPr="00627DB2">
        <w:rPr>
          <w:rFonts w:cs="Arial"/>
          <w:sz w:val="22"/>
          <w:szCs w:val="22"/>
        </w:rPr>
        <w:t xml:space="preserve">frequencies </w:t>
      </w:r>
      <w:r w:rsidRPr="00627DB2">
        <w:rPr>
          <w:rFonts w:cs="Arial"/>
          <w:sz w:val="22"/>
          <w:szCs w:val="22"/>
        </w:rPr>
        <w:fldChar w:fldCharType="begin">
          <w:fldData xml:space="preserve">PEVuZE5vdGU+PENpdGU+PEF1dGhvcj5IZXJtYW5uc2VuPC9BdXRob3I+PFllYXI+MjAxNTwvWWVh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</w:fldData>
        </w:fldChar>
      </w:r>
      <w:r w:rsidRPr="00627DB2">
        <w:rPr>
          <w:rFonts w:cs="Arial"/>
          <w:sz w:val="22"/>
          <w:szCs w:val="22"/>
        </w:rPr>
        <w:instrText xml:space="preserve"> ADDIN EN.CITE </w:instrText>
      </w:r>
      <w:r w:rsidRPr="00627DB2">
        <w:rPr>
          <w:rFonts w:cs="Arial"/>
          <w:sz w:val="22"/>
          <w:szCs w:val="22"/>
        </w:rPr>
        <w:fldChar w:fldCharType="begin">
          <w:fldData xml:space="preserve">PEVuZE5vdGU+PENpdGU+PEF1dGhvcj5IZXJtYW5uc2VuPC9BdXRob3I+PFllYXI+MjAxNTwvWWVh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</w:fldData>
        </w:fldChar>
      </w:r>
      <w:r w:rsidRPr="00627DB2">
        <w:rPr>
          <w:rFonts w:cs="Arial"/>
          <w:sz w:val="22"/>
          <w:szCs w:val="22"/>
        </w:rPr>
        <w:instrText xml:space="preserve"> ADDIN EN.CITE.DATA </w:instrText>
      </w:r>
      <w:r w:rsidRPr="00627DB2">
        <w:rPr>
          <w:rFonts w:cs="Arial"/>
          <w:sz w:val="22"/>
          <w:szCs w:val="22"/>
        </w:rPr>
      </w:r>
      <w:r w:rsidRPr="00627DB2">
        <w:rPr>
          <w:rFonts w:cs="Arial"/>
          <w:sz w:val="22"/>
          <w:szCs w:val="22"/>
        </w:rPr>
        <w:fldChar w:fldCharType="end"/>
      </w:r>
      <w:r w:rsidRPr="00627DB2">
        <w:rPr>
          <w:rFonts w:cs="Arial"/>
          <w:sz w:val="22"/>
          <w:szCs w:val="22"/>
        </w:rPr>
      </w:r>
      <w:r w:rsidRPr="00627DB2">
        <w:rPr>
          <w:rFonts w:cs="Arial"/>
          <w:sz w:val="22"/>
          <w:szCs w:val="22"/>
        </w:rPr>
        <w:fldChar w:fldCharType="separate"/>
      </w:r>
      <w:r w:rsidRPr="00627DB2">
        <w:rPr>
          <w:rFonts w:cs="Arial"/>
          <w:noProof/>
          <w:sz w:val="22"/>
          <w:szCs w:val="22"/>
        </w:rPr>
        <w:t>(Madsen</w:t>
      </w:r>
      <w:r w:rsidRPr="00627DB2">
        <w:rPr>
          <w:rFonts w:cs="Arial"/>
          <w:i/>
          <w:noProof/>
          <w:sz w:val="22"/>
          <w:szCs w:val="22"/>
        </w:rPr>
        <w:t xml:space="preserve"> et al</w:t>
      </w:r>
      <w:r w:rsidRPr="00627DB2">
        <w:rPr>
          <w:rFonts w:cs="Arial"/>
          <w:noProof/>
          <w:sz w:val="22"/>
          <w:szCs w:val="22"/>
        </w:rPr>
        <w:t xml:space="preserve">., 2006, Hermannsen </w:t>
      </w:r>
      <w:r w:rsidRPr="00627DB2">
        <w:rPr>
          <w:rFonts w:cs="Arial"/>
          <w:i/>
          <w:noProof/>
          <w:sz w:val="22"/>
          <w:szCs w:val="22"/>
        </w:rPr>
        <w:t>et al</w:t>
      </w:r>
      <w:r w:rsidRPr="00627DB2">
        <w:rPr>
          <w:rFonts w:cs="Arial"/>
          <w:noProof/>
          <w:sz w:val="22"/>
          <w:szCs w:val="22"/>
        </w:rPr>
        <w:t xml:space="preserve">., 2015, Popper </w:t>
      </w:r>
      <w:r w:rsidRPr="00627DB2">
        <w:rPr>
          <w:rFonts w:cs="Arial"/>
          <w:i/>
          <w:noProof/>
          <w:sz w:val="22"/>
          <w:szCs w:val="22"/>
        </w:rPr>
        <w:t>et al</w:t>
      </w:r>
      <w:r w:rsidRPr="00627DB2">
        <w:rPr>
          <w:rFonts w:cs="Arial"/>
          <w:noProof/>
          <w:sz w:val="22"/>
          <w:szCs w:val="22"/>
        </w:rPr>
        <w:t>., 2016)</w:t>
      </w:r>
      <w:r w:rsidRPr="00627DB2">
        <w:rPr>
          <w:rFonts w:cs="Arial"/>
          <w:sz w:val="22"/>
          <w:szCs w:val="22"/>
        </w:rPr>
        <w:fldChar w:fldCharType="end"/>
      </w:r>
      <w:r w:rsidRPr="00627DB2">
        <w:rPr>
          <w:rFonts w:cs="Arial"/>
          <w:sz w:val="22"/>
          <w:szCs w:val="22"/>
        </w:rPr>
        <w:t>. Source</w:t>
      </w:r>
      <w:r>
        <w:rPr>
          <w:rFonts w:cs="Arial"/>
          <w:sz w:val="22"/>
          <w:szCs w:val="22"/>
        </w:rPr>
        <w:t xml:space="preserve"> levels depend upon the specific array and its configuration, however a typical commercial airgun array used in Australia can have a horizontal per-impulse SEL source level between 221 and </w:t>
      </w:r>
      <w:r w:rsidRPr="00F269BD">
        <w:rPr>
          <w:rFonts w:cs="Arial"/>
          <w:sz w:val="22"/>
          <w:szCs w:val="22"/>
        </w:rPr>
        <w:t>228 </w:t>
      </w:r>
      <w:r w:rsidRPr="00F269BD">
        <w:rPr>
          <w:sz w:val="22"/>
          <w:szCs w:val="22"/>
        </w:rPr>
        <w:t>dB re 1 µPa</w:t>
      </w:r>
      <w:r w:rsidRPr="00F269BD">
        <w:rPr>
          <w:sz w:val="22"/>
          <w:szCs w:val="22"/>
          <w:vertAlign w:val="superscript"/>
        </w:rPr>
        <w:t>2</w:t>
      </w:r>
      <w:r w:rsidRPr="00F269BD">
        <w:rPr>
          <w:sz w:val="22"/>
          <w:szCs w:val="22"/>
        </w:rPr>
        <w:t>·s</w:t>
      </w:r>
      <w:r>
        <w:rPr>
          <w:sz w:val="22"/>
          <w:szCs w:val="22"/>
        </w:rPr>
        <w:t>.</w:t>
      </w:r>
    </w:p>
    <w:p w14:paraId="4D54EDDE" w14:textId="77777777" w:rsidR="00FA4CB5" w:rsidRDefault="00FA4CB5" w:rsidP="00455BFC">
      <w:pPr>
        <w:ind w:left="0"/>
        <w:rPr>
          <w:rFonts w:cs="Arial"/>
          <w:sz w:val="22"/>
          <w:szCs w:val="22"/>
        </w:rPr>
      </w:pPr>
    </w:p>
    <w:p w14:paraId="3AF3C15F" w14:textId="647B4095" w:rsidR="009350CF" w:rsidRPr="000B0785" w:rsidRDefault="009350CF" w:rsidP="00455BFC">
      <w:pPr>
        <w:ind w:left="0"/>
        <w:rPr>
          <w:rFonts w:cs="Arial"/>
          <w:sz w:val="22"/>
          <w:szCs w:val="22"/>
        </w:rPr>
      </w:pPr>
      <w:r w:rsidRPr="000B0785">
        <w:rPr>
          <w:rFonts w:cs="Arial"/>
          <w:sz w:val="22"/>
          <w:szCs w:val="22"/>
        </w:rPr>
        <w:t>CarbonNet</w:t>
      </w:r>
      <w:r w:rsidR="00B76145" w:rsidRPr="000B0785">
        <w:rPr>
          <w:rFonts w:cs="Arial"/>
          <w:sz w:val="22"/>
          <w:szCs w:val="22"/>
        </w:rPr>
        <w:t xml:space="preserve"> commissioned </w:t>
      </w:r>
      <w:r w:rsidRPr="000B0785">
        <w:rPr>
          <w:rFonts w:cs="Arial"/>
          <w:sz w:val="22"/>
          <w:szCs w:val="22"/>
        </w:rPr>
        <w:t xml:space="preserve">JASCO </w:t>
      </w:r>
      <w:r w:rsidR="00B76145" w:rsidRPr="000B0785">
        <w:rPr>
          <w:rFonts w:cs="Arial"/>
          <w:sz w:val="22"/>
          <w:szCs w:val="22"/>
        </w:rPr>
        <w:t xml:space="preserve">to </w:t>
      </w:r>
      <w:r w:rsidRPr="000B0785">
        <w:rPr>
          <w:rFonts w:cs="Arial"/>
          <w:sz w:val="22"/>
          <w:szCs w:val="22"/>
        </w:rPr>
        <w:t xml:space="preserve">undertake </w:t>
      </w:r>
      <w:r w:rsidR="00B76145" w:rsidRPr="000B0785">
        <w:rPr>
          <w:rFonts w:cs="Arial"/>
          <w:sz w:val="22"/>
          <w:szCs w:val="22"/>
        </w:rPr>
        <w:t xml:space="preserve">STLM for the </w:t>
      </w:r>
      <w:r w:rsidR="0097170D">
        <w:rPr>
          <w:rFonts w:cs="Arial"/>
          <w:sz w:val="22"/>
          <w:szCs w:val="22"/>
        </w:rPr>
        <w:t xml:space="preserve">proposed </w:t>
      </w:r>
      <w:r w:rsidRPr="000B0785">
        <w:rPr>
          <w:rFonts w:cs="Arial"/>
          <w:sz w:val="22"/>
          <w:szCs w:val="22"/>
        </w:rPr>
        <w:t>Pelican</w:t>
      </w:r>
      <w:r w:rsidR="00B76145" w:rsidRPr="000B0785">
        <w:rPr>
          <w:rFonts w:cs="Arial"/>
          <w:sz w:val="22"/>
          <w:szCs w:val="22"/>
        </w:rPr>
        <w:t xml:space="preserve"> 3D</w:t>
      </w:r>
      <w:r w:rsidRPr="000B0785">
        <w:rPr>
          <w:rFonts w:cs="Arial"/>
          <w:sz w:val="22"/>
          <w:szCs w:val="22"/>
        </w:rPr>
        <w:t>M</w:t>
      </w:r>
      <w:r w:rsidR="00B76145" w:rsidRPr="000B0785">
        <w:rPr>
          <w:rFonts w:cs="Arial"/>
          <w:sz w:val="22"/>
          <w:szCs w:val="22"/>
        </w:rPr>
        <w:t xml:space="preserve">SS to </w:t>
      </w:r>
      <w:r w:rsidR="0097170D">
        <w:rPr>
          <w:rFonts w:cs="Arial"/>
          <w:sz w:val="22"/>
          <w:szCs w:val="22"/>
        </w:rPr>
        <w:t>enable</w:t>
      </w:r>
      <w:r w:rsidR="00B76145" w:rsidRPr="000B0785">
        <w:rPr>
          <w:rFonts w:cs="Arial"/>
          <w:sz w:val="22"/>
          <w:szCs w:val="22"/>
        </w:rPr>
        <w:t xml:space="preserve"> </w:t>
      </w:r>
      <w:r w:rsidR="0097170D">
        <w:rPr>
          <w:rFonts w:cs="Arial"/>
          <w:sz w:val="22"/>
          <w:szCs w:val="22"/>
        </w:rPr>
        <w:t xml:space="preserve">an impact assessment specific to the </w:t>
      </w:r>
      <w:r w:rsidR="008058E7">
        <w:rPr>
          <w:rFonts w:cs="Arial"/>
          <w:sz w:val="22"/>
          <w:szCs w:val="22"/>
        </w:rPr>
        <w:t xml:space="preserve">proposed </w:t>
      </w:r>
      <w:r w:rsidR="0097170D">
        <w:rPr>
          <w:rFonts w:cs="Arial"/>
          <w:sz w:val="22"/>
          <w:szCs w:val="22"/>
        </w:rPr>
        <w:t>survey to tbe undertaken.</w:t>
      </w:r>
      <w:r w:rsidRPr="000B0785">
        <w:rPr>
          <w:rFonts w:cs="Arial"/>
          <w:sz w:val="22"/>
          <w:szCs w:val="22"/>
        </w:rPr>
        <w:t xml:space="preserve"> Th</w:t>
      </w:r>
      <w:r w:rsidR="000F6034">
        <w:rPr>
          <w:rFonts w:cs="Arial"/>
          <w:sz w:val="22"/>
          <w:szCs w:val="22"/>
        </w:rPr>
        <w:t xml:space="preserve">e STLM </w:t>
      </w:r>
      <w:r w:rsidRPr="000B0785">
        <w:rPr>
          <w:rFonts w:cs="Arial"/>
          <w:sz w:val="22"/>
          <w:szCs w:val="22"/>
        </w:rPr>
        <w:t>includes:</w:t>
      </w:r>
    </w:p>
    <w:p w14:paraId="344E3586" w14:textId="77777777" w:rsidR="009350CF" w:rsidRPr="000B0785" w:rsidRDefault="009350CF" w:rsidP="00455BFC">
      <w:pPr>
        <w:ind w:left="0"/>
        <w:rPr>
          <w:rFonts w:cs="Arial"/>
          <w:sz w:val="22"/>
          <w:szCs w:val="22"/>
        </w:rPr>
      </w:pPr>
    </w:p>
    <w:p w14:paraId="67697A2E" w14:textId="3B06E8E8" w:rsidR="008058E7" w:rsidRDefault="008058E7" w:rsidP="00567567">
      <w:pPr>
        <w:pStyle w:val="ColorfulList-Accent11"/>
        <w:numPr>
          <w:ilvl w:val="0"/>
          <w:numId w:val="161"/>
        </w:numPr>
        <w:rPr>
          <w:rFonts w:cs="Arial"/>
          <w:sz w:val="22"/>
          <w:szCs w:val="22"/>
        </w:rPr>
      </w:pPr>
      <w:r>
        <w:rPr>
          <w:rFonts w:cs="Arial"/>
          <w:sz w:val="22"/>
          <w:szCs w:val="22"/>
        </w:rPr>
        <w:t>Adoption of a 3,090 cui sound volume from a known array configuration as a conservative basis for modell</w:t>
      </w:r>
      <w:r w:rsidR="009E6335">
        <w:rPr>
          <w:rFonts w:cs="Arial"/>
          <w:sz w:val="22"/>
          <w:szCs w:val="22"/>
        </w:rPr>
        <w:t>ing impacts, noting that a 2,800</w:t>
      </w:r>
      <w:r>
        <w:rPr>
          <w:rFonts w:cs="Arial"/>
          <w:sz w:val="22"/>
          <w:szCs w:val="22"/>
        </w:rPr>
        <w:t xml:space="preserve"> cui volume array is proposed for the survey;</w:t>
      </w:r>
    </w:p>
    <w:p w14:paraId="29D92E9A" w14:textId="20D2EF8C" w:rsidR="000F6034" w:rsidRPr="00EF4E2A" w:rsidRDefault="000F6034" w:rsidP="00567567">
      <w:pPr>
        <w:pStyle w:val="ColorfulList-Accent11"/>
        <w:numPr>
          <w:ilvl w:val="0"/>
          <w:numId w:val="161"/>
        </w:numPr>
        <w:rPr>
          <w:rFonts w:cs="Arial"/>
          <w:sz w:val="22"/>
          <w:szCs w:val="22"/>
        </w:rPr>
      </w:pPr>
      <w:r>
        <w:rPr>
          <w:rFonts w:cs="Arial"/>
          <w:sz w:val="22"/>
          <w:szCs w:val="22"/>
        </w:rPr>
        <w:t xml:space="preserve">Establishing </w:t>
      </w:r>
      <w:r w:rsidR="008058E7">
        <w:rPr>
          <w:rFonts w:cs="Arial"/>
          <w:sz w:val="22"/>
          <w:szCs w:val="22"/>
        </w:rPr>
        <w:t>six</w:t>
      </w:r>
      <w:r>
        <w:rPr>
          <w:rFonts w:cs="Arial"/>
          <w:sz w:val="22"/>
          <w:szCs w:val="22"/>
        </w:rPr>
        <w:t xml:space="preserve"> modelling sites across representative water depths of the proposed </w:t>
      </w:r>
      <w:r w:rsidR="008058E7">
        <w:rPr>
          <w:rFonts w:cs="Arial"/>
          <w:sz w:val="22"/>
          <w:szCs w:val="22"/>
        </w:rPr>
        <w:t>acquisition</w:t>
      </w:r>
      <w:r>
        <w:rPr>
          <w:rFonts w:cs="Arial"/>
          <w:sz w:val="22"/>
          <w:szCs w:val="22"/>
        </w:rPr>
        <w:t xml:space="preserve"> area (12.9 m, </w:t>
      </w:r>
      <w:r w:rsidR="00021DDF">
        <w:rPr>
          <w:rFonts w:cs="Arial"/>
          <w:sz w:val="22"/>
          <w:szCs w:val="22"/>
        </w:rPr>
        <w:t xml:space="preserve">18.7 m, 19 m, </w:t>
      </w:r>
      <w:r>
        <w:rPr>
          <w:rFonts w:cs="Arial"/>
          <w:sz w:val="22"/>
          <w:szCs w:val="22"/>
        </w:rPr>
        <w:t>20.7 m, 26.2 m</w:t>
      </w:r>
      <w:r w:rsidR="00021DDF">
        <w:rPr>
          <w:rFonts w:cs="Arial"/>
          <w:sz w:val="22"/>
          <w:szCs w:val="22"/>
        </w:rPr>
        <w:t xml:space="preserve"> and</w:t>
      </w:r>
      <w:r>
        <w:rPr>
          <w:rFonts w:cs="Arial"/>
          <w:sz w:val="22"/>
          <w:szCs w:val="22"/>
        </w:rPr>
        <w:t xml:space="preserve"> </w:t>
      </w:r>
      <w:r w:rsidR="008E7BBF">
        <w:rPr>
          <w:rFonts w:cs="Arial"/>
          <w:sz w:val="22"/>
          <w:szCs w:val="22"/>
        </w:rPr>
        <w:br/>
      </w:r>
      <w:r>
        <w:rPr>
          <w:rFonts w:cs="Arial"/>
          <w:sz w:val="22"/>
          <w:szCs w:val="22"/>
        </w:rPr>
        <w:t>36.6 m)</w:t>
      </w:r>
      <w:r w:rsidR="001068CF">
        <w:rPr>
          <w:rFonts w:cs="Arial"/>
          <w:sz w:val="22"/>
          <w:szCs w:val="22"/>
        </w:rPr>
        <w:t xml:space="preserve"> (see </w:t>
      </w:r>
      <w:r w:rsidR="001068CF" w:rsidRPr="00EF4E2A">
        <w:rPr>
          <w:rFonts w:cs="Arial"/>
          <w:sz w:val="22"/>
          <w:szCs w:val="22"/>
        </w:rPr>
        <w:t>Table 7.2)</w:t>
      </w:r>
      <w:r w:rsidR="008058E7" w:rsidRPr="00EF4E2A">
        <w:rPr>
          <w:rFonts w:cs="Arial"/>
          <w:sz w:val="22"/>
          <w:szCs w:val="22"/>
        </w:rPr>
        <w:t>;</w:t>
      </w:r>
    </w:p>
    <w:p w14:paraId="3768319E" w14:textId="615896D1" w:rsidR="009350CF" w:rsidRPr="00EF4E2A" w:rsidRDefault="009350CF" w:rsidP="00567567">
      <w:pPr>
        <w:pStyle w:val="ColorfulList-Accent11"/>
        <w:numPr>
          <w:ilvl w:val="0"/>
          <w:numId w:val="161"/>
        </w:numPr>
        <w:rPr>
          <w:rFonts w:cs="Arial"/>
          <w:sz w:val="22"/>
          <w:szCs w:val="22"/>
        </w:rPr>
      </w:pPr>
      <w:r w:rsidRPr="00EF4E2A">
        <w:rPr>
          <w:rFonts w:cs="Arial"/>
          <w:sz w:val="22"/>
          <w:szCs w:val="22"/>
        </w:rPr>
        <w:t xml:space="preserve">Single-shot propagation modelling – sampling at </w:t>
      </w:r>
      <w:r w:rsidR="00F75736" w:rsidRPr="00EF4E2A">
        <w:rPr>
          <w:rFonts w:cs="Arial"/>
          <w:sz w:val="22"/>
          <w:szCs w:val="22"/>
        </w:rPr>
        <w:t>each modelling site</w:t>
      </w:r>
      <w:r w:rsidRPr="00EF4E2A">
        <w:rPr>
          <w:rFonts w:cs="Arial"/>
          <w:sz w:val="22"/>
          <w:szCs w:val="22"/>
        </w:rPr>
        <w:t>;</w:t>
      </w:r>
    </w:p>
    <w:p w14:paraId="1A36BE6D" w14:textId="573C962A" w:rsidR="00D44D20" w:rsidRPr="00EF4E2A" w:rsidRDefault="00D44D20" w:rsidP="00D44D20">
      <w:pPr>
        <w:pStyle w:val="ColorfulList-Accent11"/>
        <w:numPr>
          <w:ilvl w:val="0"/>
          <w:numId w:val="161"/>
        </w:numPr>
        <w:rPr>
          <w:rFonts w:cs="Arial"/>
          <w:sz w:val="22"/>
          <w:szCs w:val="22"/>
        </w:rPr>
      </w:pPr>
      <w:r w:rsidRPr="00EF4E2A">
        <w:rPr>
          <w:rFonts w:cs="Arial"/>
          <w:sz w:val="22"/>
          <w:szCs w:val="22"/>
        </w:rPr>
        <w:t xml:space="preserve">Accumulated sound exposure level (SEL) – 24-hour SELs for three </w:t>
      </w:r>
      <w:r w:rsidR="008058E7" w:rsidRPr="00EF4E2A">
        <w:rPr>
          <w:rFonts w:cs="Arial"/>
          <w:sz w:val="22"/>
          <w:szCs w:val="22"/>
        </w:rPr>
        <w:t xml:space="preserve">survey acquisition </w:t>
      </w:r>
      <w:r w:rsidRPr="00EF4E2A">
        <w:rPr>
          <w:rFonts w:cs="Arial"/>
          <w:sz w:val="22"/>
          <w:szCs w:val="22"/>
        </w:rPr>
        <w:t>scenarios</w:t>
      </w:r>
      <w:r w:rsidR="008E7BBF" w:rsidRPr="00EF4E2A">
        <w:rPr>
          <w:rFonts w:cs="Arial"/>
          <w:sz w:val="22"/>
          <w:szCs w:val="22"/>
        </w:rPr>
        <w:t>;</w:t>
      </w:r>
      <w:r w:rsidR="008058E7" w:rsidRPr="00EF4E2A">
        <w:rPr>
          <w:rFonts w:cs="Arial"/>
          <w:sz w:val="22"/>
          <w:szCs w:val="22"/>
        </w:rPr>
        <w:t xml:space="preserve"> and</w:t>
      </w:r>
    </w:p>
    <w:p w14:paraId="33444F5E" w14:textId="4FEB1958" w:rsidR="009350CF" w:rsidRPr="00EF4E2A" w:rsidRDefault="005E6E66" w:rsidP="00567567">
      <w:pPr>
        <w:pStyle w:val="ColorfulList-Accent11"/>
        <w:numPr>
          <w:ilvl w:val="0"/>
          <w:numId w:val="161"/>
        </w:numPr>
        <w:rPr>
          <w:rFonts w:cs="Arial"/>
          <w:sz w:val="22"/>
          <w:szCs w:val="22"/>
        </w:rPr>
      </w:pPr>
      <w:r w:rsidRPr="00EF4E2A">
        <w:rPr>
          <w:rFonts w:cs="Arial"/>
          <w:sz w:val="22"/>
          <w:szCs w:val="22"/>
        </w:rPr>
        <w:t>Acoustic p</w:t>
      </w:r>
      <w:r w:rsidR="009350CF" w:rsidRPr="00EF4E2A">
        <w:rPr>
          <w:rFonts w:cs="Arial"/>
          <w:sz w:val="22"/>
          <w:szCs w:val="22"/>
        </w:rPr>
        <w:t>article motion – calculations of the maximum vertical particle velocity levels at the surface layer of the seabed directly below the source array at two of the proposed single shot modelling locations</w:t>
      </w:r>
      <w:r w:rsidR="003574D2" w:rsidRPr="00EF4E2A">
        <w:rPr>
          <w:rFonts w:cs="Arial"/>
          <w:sz w:val="22"/>
          <w:szCs w:val="22"/>
        </w:rPr>
        <w:t xml:space="preserve"> (to assess for impacts to </w:t>
      </w:r>
      <w:r w:rsidRPr="00EF4E2A">
        <w:rPr>
          <w:rFonts w:cs="Arial"/>
          <w:sz w:val="22"/>
          <w:szCs w:val="22"/>
        </w:rPr>
        <w:t>benthic</w:t>
      </w:r>
      <w:r w:rsidR="003574D2" w:rsidRPr="00EF4E2A">
        <w:rPr>
          <w:rFonts w:cs="Arial"/>
          <w:sz w:val="22"/>
          <w:szCs w:val="22"/>
        </w:rPr>
        <w:t xml:space="preserve"> species such as scallops and southern rock lobsters)</w:t>
      </w:r>
      <w:r w:rsidR="008058E7" w:rsidRPr="00EF4E2A">
        <w:rPr>
          <w:rFonts w:cs="Arial"/>
          <w:sz w:val="22"/>
          <w:szCs w:val="22"/>
        </w:rPr>
        <w:t>.</w:t>
      </w:r>
      <w:r w:rsidR="009350CF" w:rsidRPr="00EF4E2A">
        <w:rPr>
          <w:rFonts w:cs="Arial"/>
          <w:sz w:val="22"/>
          <w:szCs w:val="22"/>
        </w:rPr>
        <w:t xml:space="preserve"> </w:t>
      </w:r>
    </w:p>
    <w:p w14:paraId="134DD6E1" w14:textId="77777777" w:rsidR="009350CF" w:rsidRPr="00EF4E2A" w:rsidRDefault="009350CF" w:rsidP="00455BFC">
      <w:pPr>
        <w:ind w:left="0"/>
        <w:rPr>
          <w:rFonts w:cs="Arial"/>
          <w:sz w:val="22"/>
          <w:szCs w:val="22"/>
        </w:rPr>
      </w:pPr>
    </w:p>
    <w:p w14:paraId="41342B26" w14:textId="4A59ADF6" w:rsidR="00C139B0" w:rsidRPr="00EF4E2A" w:rsidRDefault="005E6E66" w:rsidP="00C139B0">
      <w:pPr>
        <w:ind w:left="0"/>
        <w:rPr>
          <w:rFonts w:cs="Arial"/>
          <w:sz w:val="22"/>
          <w:szCs w:val="22"/>
        </w:rPr>
      </w:pPr>
      <w:r w:rsidRPr="00EF4E2A">
        <w:rPr>
          <w:rFonts w:cs="Arial"/>
          <w:sz w:val="22"/>
          <w:szCs w:val="22"/>
        </w:rPr>
        <w:t>The pressure related sound level results are presented as SPL, zero-to-peak pressure levels (PK), and either single shot (i.e., per-pulse) or accumulated SEL as appropriate. Acoustic particle motion has been reported in terms of acceleration and velocity.</w:t>
      </w:r>
      <w:r w:rsidR="00C139B0" w:rsidRPr="00EF4E2A">
        <w:rPr>
          <w:rFonts w:cs="Arial"/>
          <w:sz w:val="22"/>
          <w:szCs w:val="22"/>
        </w:rPr>
        <w:t xml:space="preserve"> </w:t>
      </w:r>
    </w:p>
    <w:p w14:paraId="0FECDC9D" w14:textId="77777777" w:rsidR="00C139B0" w:rsidRPr="00EF4E2A" w:rsidRDefault="00C139B0" w:rsidP="00C139B0">
      <w:pPr>
        <w:ind w:left="0"/>
        <w:rPr>
          <w:rFonts w:cs="Arial"/>
          <w:sz w:val="22"/>
          <w:szCs w:val="22"/>
        </w:rPr>
      </w:pPr>
    </w:p>
    <w:p w14:paraId="0CD82371" w14:textId="286EBC91" w:rsidR="00C139B0" w:rsidRDefault="0063350D" w:rsidP="00C139B0">
      <w:pPr>
        <w:ind w:left="0"/>
        <w:rPr>
          <w:rFonts w:cs="Arial"/>
          <w:sz w:val="22"/>
          <w:szCs w:val="22"/>
        </w:rPr>
      </w:pPr>
      <w:r w:rsidRPr="00EF4E2A">
        <w:rPr>
          <w:rFonts w:cs="Arial"/>
          <w:sz w:val="22"/>
          <w:szCs w:val="22"/>
        </w:rPr>
        <w:t xml:space="preserve">Table 7.2 provides the location details for the single shot modelling sites. The representative tow direction for each site is 45° and 225°. </w:t>
      </w:r>
      <w:r w:rsidR="0069708F" w:rsidRPr="00EF4E2A">
        <w:rPr>
          <w:rFonts w:cs="Arial"/>
          <w:sz w:val="22"/>
          <w:szCs w:val="22"/>
        </w:rPr>
        <w:t>Figure 7</w:t>
      </w:r>
      <w:r w:rsidR="00B76145" w:rsidRPr="00EF4E2A">
        <w:rPr>
          <w:rFonts w:cs="Arial"/>
          <w:sz w:val="22"/>
          <w:szCs w:val="22"/>
        </w:rPr>
        <w:t>.1 provides the locations used for short a</w:t>
      </w:r>
      <w:r w:rsidR="0069708F" w:rsidRPr="00EF4E2A">
        <w:rPr>
          <w:rFonts w:cs="Arial"/>
          <w:sz w:val="22"/>
          <w:szCs w:val="22"/>
        </w:rPr>
        <w:t>nd long-range modelling. Table 7</w:t>
      </w:r>
      <w:r w:rsidR="00B76145" w:rsidRPr="00EF4E2A">
        <w:rPr>
          <w:rFonts w:cs="Arial"/>
          <w:sz w:val="22"/>
          <w:szCs w:val="22"/>
        </w:rPr>
        <w:t>.</w:t>
      </w:r>
      <w:r w:rsidRPr="00EF4E2A">
        <w:rPr>
          <w:rFonts w:cs="Arial"/>
          <w:sz w:val="22"/>
          <w:szCs w:val="22"/>
        </w:rPr>
        <w:t>3</w:t>
      </w:r>
      <w:r w:rsidR="00B76145" w:rsidRPr="00EF4E2A">
        <w:rPr>
          <w:rFonts w:cs="Arial"/>
          <w:sz w:val="22"/>
          <w:szCs w:val="22"/>
        </w:rPr>
        <w:t xml:space="preserve"> provides</w:t>
      </w:r>
      <w:r w:rsidR="00B76145" w:rsidRPr="00F75736">
        <w:rPr>
          <w:rFonts w:cs="Arial"/>
          <w:sz w:val="22"/>
          <w:szCs w:val="22"/>
        </w:rPr>
        <w:t xml:space="preserve"> the modelled maximum received SEL and SPL data for these locations.</w:t>
      </w:r>
      <w:r w:rsidR="003574D2" w:rsidRPr="00F75736">
        <w:rPr>
          <w:rFonts w:cs="Arial"/>
          <w:sz w:val="22"/>
          <w:szCs w:val="22"/>
        </w:rPr>
        <w:t xml:space="preserve"> </w:t>
      </w:r>
    </w:p>
    <w:p w14:paraId="5AD46690" w14:textId="77777777" w:rsidR="00C139B0" w:rsidRDefault="00C139B0" w:rsidP="00C139B0">
      <w:pPr>
        <w:ind w:left="0"/>
        <w:rPr>
          <w:rFonts w:cs="Arial"/>
          <w:sz w:val="22"/>
          <w:szCs w:val="22"/>
        </w:rPr>
      </w:pPr>
    </w:p>
    <w:p w14:paraId="0605481A" w14:textId="7E47E875" w:rsidR="001068CF" w:rsidRPr="00C445B4" w:rsidRDefault="00C445B4" w:rsidP="00C445B4">
      <w:pPr>
        <w:spacing w:after="120" w:line="240" w:lineRule="auto"/>
        <w:ind w:left="0"/>
        <w:jc w:val="center"/>
        <w:rPr>
          <w:rFonts w:cs="Arial"/>
          <w:b/>
          <w:sz w:val="20"/>
          <w:szCs w:val="20"/>
        </w:rPr>
      </w:pPr>
      <w:r w:rsidRPr="00C445B4">
        <w:rPr>
          <w:rFonts w:cs="Arial"/>
          <w:b/>
          <w:sz w:val="20"/>
          <w:szCs w:val="20"/>
        </w:rPr>
        <w:t>Table 7.2</w:t>
      </w:r>
      <w:r w:rsidR="00EF4850">
        <w:rPr>
          <w:rFonts w:cs="Arial"/>
          <w:b/>
          <w:sz w:val="20"/>
          <w:szCs w:val="20"/>
        </w:rPr>
        <w:t>.</w:t>
      </w:r>
      <w:r w:rsidRPr="00C445B4">
        <w:rPr>
          <w:rFonts w:cs="Arial"/>
          <w:b/>
          <w:sz w:val="20"/>
          <w:szCs w:val="20"/>
        </w:rPr>
        <w:tab/>
        <w:t>Location details for the six single-shot modelling sites</w:t>
      </w:r>
    </w:p>
    <w:tbl>
      <w:tblPr>
        <w:tblStyle w:val="TableGrid"/>
        <w:tblW w:w="0" w:type="auto"/>
        <w:tblLook w:val="04A0" w:firstRow="1" w:lastRow="0" w:firstColumn="1" w:lastColumn="0" w:noHBand="0" w:noVBand="1"/>
      </w:tblPr>
      <w:tblGrid>
        <w:gridCol w:w="561"/>
        <w:gridCol w:w="2403"/>
        <w:gridCol w:w="1342"/>
        <w:gridCol w:w="1865"/>
        <w:gridCol w:w="1884"/>
      </w:tblGrid>
      <w:tr w:rsidR="0063350D" w:rsidRPr="001068CF" w14:paraId="431FDF89" w14:textId="77777777" w:rsidTr="005F53F3">
        <w:tc>
          <w:tcPr>
            <w:tcW w:w="561" w:type="dxa"/>
            <w:shd w:val="clear" w:color="auto" w:fill="064EA8"/>
          </w:tcPr>
          <w:p w14:paraId="3B0EB0FD" w14:textId="1D42B947" w:rsidR="0063350D" w:rsidRPr="00C445B4" w:rsidRDefault="0063350D" w:rsidP="00C445B4">
            <w:pPr>
              <w:spacing w:before="60" w:after="60" w:line="240" w:lineRule="auto"/>
              <w:ind w:left="0"/>
              <w:rPr>
                <w:rFonts w:cs="Arial"/>
                <w:color w:val="FFFFFF" w:themeColor="background1"/>
                <w:sz w:val="20"/>
                <w:szCs w:val="20"/>
              </w:rPr>
            </w:pPr>
            <w:r w:rsidRPr="00C445B4">
              <w:rPr>
                <w:rFonts w:cs="Arial"/>
                <w:color w:val="FFFFFF" w:themeColor="background1"/>
                <w:sz w:val="20"/>
                <w:szCs w:val="20"/>
              </w:rPr>
              <w:t>Site</w:t>
            </w:r>
          </w:p>
        </w:tc>
        <w:tc>
          <w:tcPr>
            <w:tcW w:w="2524" w:type="dxa"/>
            <w:shd w:val="clear" w:color="auto" w:fill="064EA8"/>
          </w:tcPr>
          <w:p w14:paraId="3E464874" w14:textId="53A2F33D" w:rsidR="0063350D" w:rsidRPr="00C445B4" w:rsidRDefault="00B85058" w:rsidP="00C445B4">
            <w:pPr>
              <w:spacing w:before="60" w:after="60" w:line="240" w:lineRule="auto"/>
              <w:ind w:left="0"/>
              <w:rPr>
                <w:rFonts w:cs="Arial"/>
                <w:color w:val="FFFFFF" w:themeColor="background1"/>
                <w:sz w:val="20"/>
                <w:szCs w:val="20"/>
              </w:rPr>
            </w:pPr>
            <w:r w:rsidRPr="00C445B4">
              <w:rPr>
                <w:rFonts w:cs="Arial"/>
                <w:color w:val="FFFFFF" w:themeColor="background1"/>
                <w:sz w:val="20"/>
                <w:szCs w:val="20"/>
              </w:rPr>
              <w:t>Representitve of</w:t>
            </w:r>
          </w:p>
        </w:tc>
        <w:tc>
          <w:tcPr>
            <w:tcW w:w="1418" w:type="dxa"/>
            <w:shd w:val="clear" w:color="auto" w:fill="064EA8"/>
          </w:tcPr>
          <w:p w14:paraId="3DA89CD2" w14:textId="275D3851" w:rsidR="0063350D" w:rsidRPr="00C445B4" w:rsidRDefault="0063350D" w:rsidP="00C445B4">
            <w:pPr>
              <w:spacing w:before="60" w:after="60" w:line="240" w:lineRule="auto"/>
              <w:ind w:left="0"/>
              <w:rPr>
                <w:rFonts w:cs="Arial"/>
                <w:color w:val="FFFFFF" w:themeColor="background1"/>
                <w:sz w:val="20"/>
                <w:szCs w:val="20"/>
              </w:rPr>
            </w:pPr>
            <w:r w:rsidRPr="00C445B4">
              <w:rPr>
                <w:rFonts w:cs="Arial"/>
                <w:color w:val="FFFFFF" w:themeColor="background1"/>
                <w:sz w:val="20"/>
                <w:szCs w:val="20"/>
              </w:rPr>
              <w:t>Water depth</w:t>
            </w:r>
          </w:p>
        </w:tc>
        <w:tc>
          <w:tcPr>
            <w:tcW w:w="1984" w:type="dxa"/>
            <w:shd w:val="clear" w:color="auto" w:fill="064EA8"/>
          </w:tcPr>
          <w:p w14:paraId="08950600" w14:textId="311FCEF1" w:rsidR="0063350D" w:rsidRPr="00C445B4" w:rsidRDefault="0063350D" w:rsidP="00837E0F">
            <w:pPr>
              <w:spacing w:before="60" w:after="60" w:line="240" w:lineRule="auto"/>
              <w:ind w:left="0"/>
              <w:jc w:val="center"/>
              <w:rPr>
                <w:rFonts w:cs="Arial"/>
                <w:color w:val="FFFFFF" w:themeColor="background1"/>
                <w:sz w:val="20"/>
                <w:szCs w:val="20"/>
              </w:rPr>
            </w:pPr>
            <w:r w:rsidRPr="00C445B4">
              <w:rPr>
                <w:rFonts w:cs="Arial"/>
                <w:color w:val="FFFFFF" w:themeColor="background1"/>
                <w:sz w:val="20"/>
                <w:szCs w:val="20"/>
              </w:rPr>
              <w:t>Latitude</w:t>
            </w:r>
          </w:p>
        </w:tc>
        <w:tc>
          <w:tcPr>
            <w:tcW w:w="1985" w:type="dxa"/>
            <w:shd w:val="clear" w:color="auto" w:fill="064EA8"/>
          </w:tcPr>
          <w:p w14:paraId="5813DC14" w14:textId="2C52B291" w:rsidR="0063350D" w:rsidRPr="00C445B4" w:rsidRDefault="0063350D" w:rsidP="00837E0F">
            <w:pPr>
              <w:spacing w:before="60" w:after="60" w:line="240" w:lineRule="auto"/>
              <w:ind w:left="0"/>
              <w:jc w:val="center"/>
              <w:rPr>
                <w:rFonts w:cs="Arial"/>
                <w:color w:val="FFFFFF" w:themeColor="background1"/>
                <w:sz w:val="20"/>
                <w:szCs w:val="20"/>
              </w:rPr>
            </w:pPr>
            <w:r w:rsidRPr="00C445B4">
              <w:rPr>
                <w:rFonts w:cs="Arial"/>
                <w:color w:val="FFFFFF" w:themeColor="background1"/>
                <w:sz w:val="20"/>
                <w:szCs w:val="20"/>
              </w:rPr>
              <w:t>Longitude</w:t>
            </w:r>
          </w:p>
        </w:tc>
      </w:tr>
      <w:tr w:rsidR="00B85058" w:rsidRPr="001068CF" w14:paraId="6813E0B4" w14:textId="77777777" w:rsidTr="005F53F3">
        <w:tc>
          <w:tcPr>
            <w:tcW w:w="561" w:type="dxa"/>
          </w:tcPr>
          <w:p w14:paraId="38CF6462" w14:textId="40F5360A" w:rsidR="00B85058" w:rsidRPr="00B85058" w:rsidRDefault="00B85058" w:rsidP="00C445B4">
            <w:pPr>
              <w:spacing w:before="60" w:after="60" w:line="240" w:lineRule="auto"/>
              <w:ind w:left="0"/>
              <w:rPr>
                <w:rFonts w:cs="Arial"/>
                <w:sz w:val="20"/>
                <w:szCs w:val="20"/>
              </w:rPr>
            </w:pPr>
            <w:r w:rsidRPr="00B85058">
              <w:rPr>
                <w:rFonts w:cs="Arial"/>
                <w:sz w:val="20"/>
                <w:szCs w:val="20"/>
              </w:rPr>
              <w:t>1</w:t>
            </w:r>
          </w:p>
        </w:tc>
        <w:tc>
          <w:tcPr>
            <w:tcW w:w="2524" w:type="dxa"/>
            <w:vMerge w:val="restart"/>
          </w:tcPr>
          <w:p w14:paraId="70B3F7F5" w14:textId="7E6A6B4A" w:rsidR="00B85058" w:rsidRPr="00B85058" w:rsidRDefault="00B85058" w:rsidP="00C445B4">
            <w:pPr>
              <w:spacing w:before="60" w:after="60" w:line="240" w:lineRule="auto"/>
              <w:ind w:left="0"/>
              <w:rPr>
                <w:rFonts w:cs="Arial"/>
                <w:sz w:val="20"/>
                <w:szCs w:val="20"/>
              </w:rPr>
            </w:pPr>
            <w:r w:rsidRPr="00B85058">
              <w:rPr>
                <w:rFonts w:cs="Arial"/>
                <w:sz w:val="20"/>
                <w:szCs w:val="20"/>
              </w:rPr>
              <w:t>Locations with similar geoacoustic profiles</w:t>
            </w:r>
          </w:p>
        </w:tc>
        <w:tc>
          <w:tcPr>
            <w:tcW w:w="1418" w:type="dxa"/>
            <w:vAlign w:val="bottom"/>
          </w:tcPr>
          <w:p w14:paraId="074AE6BC" w14:textId="6B4C8C7D" w:rsidR="00B85058" w:rsidRPr="00B85058" w:rsidRDefault="00B85058" w:rsidP="00837E0F">
            <w:pPr>
              <w:spacing w:before="60" w:after="60" w:line="240" w:lineRule="auto"/>
              <w:ind w:left="0"/>
              <w:jc w:val="center"/>
              <w:rPr>
                <w:rFonts w:cs="Arial"/>
                <w:sz w:val="20"/>
                <w:szCs w:val="20"/>
              </w:rPr>
            </w:pPr>
            <w:r w:rsidRPr="00B85058">
              <w:rPr>
                <w:sz w:val="20"/>
                <w:szCs w:val="20"/>
              </w:rPr>
              <w:t>12.9</w:t>
            </w:r>
            <w:r>
              <w:rPr>
                <w:sz w:val="20"/>
                <w:szCs w:val="20"/>
              </w:rPr>
              <w:t xml:space="preserve"> m</w:t>
            </w:r>
          </w:p>
        </w:tc>
        <w:tc>
          <w:tcPr>
            <w:tcW w:w="1984" w:type="dxa"/>
          </w:tcPr>
          <w:p w14:paraId="5F8279AF" w14:textId="105878E2" w:rsidR="00B85058" w:rsidRPr="00B85058" w:rsidRDefault="00B85058" w:rsidP="00837E0F">
            <w:pPr>
              <w:spacing w:before="60" w:after="60" w:line="240" w:lineRule="auto"/>
              <w:ind w:left="0"/>
              <w:jc w:val="center"/>
              <w:rPr>
                <w:rFonts w:cs="Arial"/>
                <w:sz w:val="20"/>
                <w:szCs w:val="20"/>
              </w:rPr>
            </w:pPr>
            <w:r w:rsidRPr="00B85058">
              <w:rPr>
                <w:sz w:val="20"/>
                <w:szCs w:val="20"/>
              </w:rPr>
              <w:t>38° 14' 16.582" S</w:t>
            </w:r>
          </w:p>
        </w:tc>
        <w:tc>
          <w:tcPr>
            <w:tcW w:w="1985" w:type="dxa"/>
          </w:tcPr>
          <w:p w14:paraId="2B83220A" w14:textId="2D223EC9" w:rsidR="00B85058" w:rsidRPr="00B85058" w:rsidRDefault="00B85058" w:rsidP="00837E0F">
            <w:pPr>
              <w:spacing w:before="60" w:after="60" w:line="240" w:lineRule="auto"/>
              <w:ind w:left="0"/>
              <w:jc w:val="center"/>
              <w:rPr>
                <w:rFonts w:cs="Arial"/>
                <w:sz w:val="20"/>
                <w:szCs w:val="20"/>
              </w:rPr>
            </w:pPr>
            <w:r w:rsidRPr="00B85058">
              <w:rPr>
                <w:sz w:val="20"/>
                <w:szCs w:val="20"/>
              </w:rPr>
              <w:t>147° 22' 57.745" E</w:t>
            </w:r>
          </w:p>
        </w:tc>
      </w:tr>
      <w:tr w:rsidR="00B85058" w:rsidRPr="001068CF" w14:paraId="29817DF3" w14:textId="77777777" w:rsidTr="005F53F3">
        <w:tc>
          <w:tcPr>
            <w:tcW w:w="561" w:type="dxa"/>
          </w:tcPr>
          <w:p w14:paraId="5DA05B04" w14:textId="1A26EB1C" w:rsidR="00B85058" w:rsidRPr="00B85058" w:rsidRDefault="00B85058" w:rsidP="00C445B4">
            <w:pPr>
              <w:spacing w:before="60" w:after="60" w:line="240" w:lineRule="auto"/>
              <w:ind w:left="0"/>
              <w:rPr>
                <w:rFonts w:cs="Arial"/>
                <w:sz w:val="20"/>
                <w:szCs w:val="20"/>
              </w:rPr>
            </w:pPr>
            <w:r w:rsidRPr="00B85058">
              <w:rPr>
                <w:rFonts w:cs="Arial"/>
                <w:sz w:val="20"/>
                <w:szCs w:val="20"/>
              </w:rPr>
              <w:t>2</w:t>
            </w:r>
          </w:p>
        </w:tc>
        <w:tc>
          <w:tcPr>
            <w:tcW w:w="2524" w:type="dxa"/>
            <w:vMerge/>
          </w:tcPr>
          <w:p w14:paraId="011E6B32" w14:textId="77777777" w:rsidR="00B85058" w:rsidRPr="00B85058" w:rsidRDefault="00B85058" w:rsidP="00C445B4">
            <w:pPr>
              <w:spacing w:before="60" w:after="60" w:line="240" w:lineRule="auto"/>
              <w:ind w:left="0"/>
              <w:rPr>
                <w:rFonts w:cs="Arial"/>
                <w:sz w:val="20"/>
                <w:szCs w:val="20"/>
              </w:rPr>
            </w:pPr>
          </w:p>
        </w:tc>
        <w:tc>
          <w:tcPr>
            <w:tcW w:w="1418" w:type="dxa"/>
            <w:vAlign w:val="bottom"/>
          </w:tcPr>
          <w:p w14:paraId="6BD08B6E" w14:textId="72B6803B" w:rsidR="00B85058" w:rsidRPr="00B85058" w:rsidRDefault="00B85058" w:rsidP="00837E0F">
            <w:pPr>
              <w:spacing w:before="60" w:after="60" w:line="240" w:lineRule="auto"/>
              <w:ind w:left="0"/>
              <w:jc w:val="center"/>
              <w:rPr>
                <w:rFonts w:cs="Arial"/>
                <w:sz w:val="20"/>
                <w:szCs w:val="20"/>
              </w:rPr>
            </w:pPr>
            <w:r w:rsidRPr="00B85058">
              <w:rPr>
                <w:sz w:val="20"/>
                <w:szCs w:val="20"/>
              </w:rPr>
              <w:t>20.7</w:t>
            </w:r>
            <w:r>
              <w:rPr>
                <w:sz w:val="20"/>
                <w:szCs w:val="20"/>
              </w:rPr>
              <w:t xml:space="preserve"> m</w:t>
            </w:r>
          </w:p>
        </w:tc>
        <w:tc>
          <w:tcPr>
            <w:tcW w:w="1984" w:type="dxa"/>
          </w:tcPr>
          <w:p w14:paraId="3A81F924" w14:textId="15CF5FD7" w:rsidR="00B85058" w:rsidRPr="00B85058" w:rsidRDefault="00B85058" w:rsidP="00837E0F">
            <w:pPr>
              <w:spacing w:before="60" w:after="60" w:line="240" w:lineRule="auto"/>
              <w:ind w:left="0"/>
              <w:jc w:val="center"/>
              <w:rPr>
                <w:rFonts w:cs="Arial"/>
                <w:sz w:val="20"/>
                <w:szCs w:val="20"/>
              </w:rPr>
            </w:pPr>
            <w:r w:rsidRPr="00B85058">
              <w:rPr>
                <w:sz w:val="20"/>
                <w:szCs w:val="20"/>
              </w:rPr>
              <w:t>38° 15' 05.969" S</w:t>
            </w:r>
          </w:p>
        </w:tc>
        <w:tc>
          <w:tcPr>
            <w:tcW w:w="1985" w:type="dxa"/>
          </w:tcPr>
          <w:p w14:paraId="273FAF6C" w14:textId="4F9C8522" w:rsidR="00B85058" w:rsidRPr="00B85058" w:rsidRDefault="00B85058" w:rsidP="00837E0F">
            <w:pPr>
              <w:spacing w:before="60" w:after="60" w:line="240" w:lineRule="auto"/>
              <w:ind w:left="0"/>
              <w:jc w:val="center"/>
              <w:rPr>
                <w:rFonts w:cs="Arial"/>
                <w:sz w:val="20"/>
                <w:szCs w:val="20"/>
              </w:rPr>
            </w:pPr>
            <w:r w:rsidRPr="00B85058">
              <w:rPr>
                <w:sz w:val="20"/>
                <w:szCs w:val="20"/>
              </w:rPr>
              <w:t>147° 24' 52.471" E</w:t>
            </w:r>
          </w:p>
        </w:tc>
      </w:tr>
      <w:tr w:rsidR="00B85058" w:rsidRPr="001068CF" w14:paraId="28D93738" w14:textId="77777777" w:rsidTr="005F53F3">
        <w:tc>
          <w:tcPr>
            <w:tcW w:w="561" w:type="dxa"/>
          </w:tcPr>
          <w:p w14:paraId="67C98B06" w14:textId="621663F7" w:rsidR="00B85058" w:rsidRPr="00B85058" w:rsidRDefault="00B85058" w:rsidP="00C445B4">
            <w:pPr>
              <w:spacing w:before="60" w:after="60" w:line="240" w:lineRule="auto"/>
              <w:ind w:left="0"/>
              <w:rPr>
                <w:rFonts w:cs="Arial"/>
                <w:sz w:val="20"/>
                <w:szCs w:val="20"/>
              </w:rPr>
            </w:pPr>
            <w:r w:rsidRPr="00B85058">
              <w:rPr>
                <w:rFonts w:cs="Arial"/>
                <w:sz w:val="20"/>
                <w:szCs w:val="20"/>
              </w:rPr>
              <w:t>3</w:t>
            </w:r>
          </w:p>
        </w:tc>
        <w:tc>
          <w:tcPr>
            <w:tcW w:w="2524" w:type="dxa"/>
            <w:vMerge/>
          </w:tcPr>
          <w:p w14:paraId="19B6AB5E" w14:textId="77777777" w:rsidR="00B85058" w:rsidRPr="00B85058" w:rsidRDefault="00B85058" w:rsidP="00C445B4">
            <w:pPr>
              <w:spacing w:before="60" w:after="60" w:line="240" w:lineRule="auto"/>
              <w:ind w:left="0"/>
              <w:rPr>
                <w:rFonts w:cs="Arial"/>
                <w:sz w:val="20"/>
                <w:szCs w:val="20"/>
              </w:rPr>
            </w:pPr>
          </w:p>
        </w:tc>
        <w:tc>
          <w:tcPr>
            <w:tcW w:w="1418" w:type="dxa"/>
            <w:vAlign w:val="bottom"/>
          </w:tcPr>
          <w:p w14:paraId="39E7446A" w14:textId="5E625C21" w:rsidR="00B85058" w:rsidRPr="00B85058" w:rsidRDefault="00B85058" w:rsidP="00837E0F">
            <w:pPr>
              <w:spacing w:before="60" w:after="60" w:line="240" w:lineRule="auto"/>
              <w:ind w:left="0"/>
              <w:jc w:val="center"/>
              <w:rPr>
                <w:rFonts w:cs="Arial"/>
                <w:sz w:val="20"/>
                <w:szCs w:val="20"/>
              </w:rPr>
            </w:pPr>
            <w:r w:rsidRPr="00B85058">
              <w:rPr>
                <w:sz w:val="20"/>
                <w:szCs w:val="20"/>
              </w:rPr>
              <w:t>26.2</w:t>
            </w:r>
            <w:r>
              <w:rPr>
                <w:sz w:val="20"/>
                <w:szCs w:val="20"/>
              </w:rPr>
              <w:t xml:space="preserve"> m</w:t>
            </w:r>
          </w:p>
        </w:tc>
        <w:tc>
          <w:tcPr>
            <w:tcW w:w="1984" w:type="dxa"/>
          </w:tcPr>
          <w:p w14:paraId="78386B2C" w14:textId="42AC54E0" w:rsidR="00B85058" w:rsidRPr="00B85058" w:rsidRDefault="00B85058" w:rsidP="00837E0F">
            <w:pPr>
              <w:spacing w:before="60" w:after="60" w:line="240" w:lineRule="auto"/>
              <w:ind w:left="0"/>
              <w:jc w:val="center"/>
              <w:rPr>
                <w:rFonts w:cs="Arial"/>
                <w:sz w:val="20"/>
                <w:szCs w:val="20"/>
              </w:rPr>
            </w:pPr>
            <w:r w:rsidRPr="00B85058">
              <w:rPr>
                <w:sz w:val="20"/>
                <w:szCs w:val="20"/>
              </w:rPr>
              <w:t>38° 15' 41.760" S</w:t>
            </w:r>
          </w:p>
        </w:tc>
        <w:tc>
          <w:tcPr>
            <w:tcW w:w="1985" w:type="dxa"/>
          </w:tcPr>
          <w:p w14:paraId="277480EE" w14:textId="6840E1F3" w:rsidR="00B85058" w:rsidRPr="00B85058" w:rsidRDefault="00B85058" w:rsidP="00837E0F">
            <w:pPr>
              <w:spacing w:before="60" w:after="60" w:line="240" w:lineRule="auto"/>
              <w:ind w:left="0"/>
              <w:jc w:val="center"/>
              <w:rPr>
                <w:rFonts w:cs="Arial"/>
                <w:sz w:val="20"/>
                <w:szCs w:val="20"/>
              </w:rPr>
            </w:pPr>
            <w:r w:rsidRPr="00B85058">
              <w:rPr>
                <w:sz w:val="20"/>
                <w:szCs w:val="20"/>
              </w:rPr>
              <w:t>147° 28' 33.685" E</w:t>
            </w:r>
          </w:p>
        </w:tc>
      </w:tr>
      <w:tr w:rsidR="00B85058" w:rsidRPr="001068CF" w14:paraId="6CC69840" w14:textId="77777777" w:rsidTr="005F53F3">
        <w:tc>
          <w:tcPr>
            <w:tcW w:w="561" w:type="dxa"/>
          </w:tcPr>
          <w:p w14:paraId="302833CA" w14:textId="1005EFEC" w:rsidR="00B85058" w:rsidRPr="00B85058" w:rsidRDefault="00B85058" w:rsidP="00C445B4">
            <w:pPr>
              <w:spacing w:before="60" w:after="60" w:line="240" w:lineRule="auto"/>
              <w:ind w:left="0"/>
              <w:rPr>
                <w:rFonts w:cs="Arial"/>
                <w:sz w:val="20"/>
                <w:szCs w:val="20"/>
              </w:rPr>
            </w:pPr>
            <w:r w:rsidRPr="00B85058">
              <w:rPr>
                <w:rFonts w:cs="Arial"/>
                <w:sz w:val="20"/>
                <w:szCs w:val="20"/>
              </w:rPr>
              <w:t>4</w:t>
            </w:r>
          </w:p>
        </w:tc>
        <w:tc>
          <w:tcPr>
            <w:tcW w:w="2524" w:type="dxa"/>
            <w:vMerge/>
          </w:tcPr>
          <w:p w14:paraId="13285848" w14:textId="77777777" w:rsidR="00B85058" w:rsidRPr="00B85058" w:rsidRDefault="00B85058" w:rsidP="00C445B4">
            <w:pPr>
              <w:spacing w:before="60" w:after="60" w:line="240" w:lineRule="auto"/>
              <w:ind w:left="0"/>
              <w:rPr>
                <w:rFonts w:cs="Arial"/>
                <w:sz w:val="20"/>
                <w:szCs w:val="20"/>
              </w:rPr>
            </w:pPr>
          </w:p>
        </w:tc>
        <w:tc>
          <w:tcPr>
            <w:tcW w:w="1418" w:type="dxa"/>
            <w:vAlign w:val="bottom"/>
          </w:tcPr>
          <w:p w14:paraId="11579B10" w14:textId="7E755233" w:rsidR="00B85058" w:rsidRPr="00B85058" w:rsidRDefault="00B85058" w:rsidP="00837E0F">
            <w:pPr>
              <w:spacing w:before="60" w:after="60" w:line="240" w:lineRule="auto"/>
              <w:ind w:left="0"/>
              <w:jc w:val="center"/>
              <w:rPr>
                <w:rFonts w:cs="Arial"/>
                <w:sz w:val="20"/>
                <w:szCs w:val="20"/>
              </w:rPr>
            </w:pPr>
            <w:r w:rsidRPr="00B85058">
              <w:rPr>
                <w:sz w:val="20"/>
                <w:szCs w:val="20"/>
              </w:rPr>
              <w:t>36.6</w:t>
            </w:r>
            <w:r>
              <w:rPr>
                <w:sz w:val="20"/>
                <w:szCs w:val="20"/>
              </w:rPr>
              <w:t xml:space="preserve"> m</w:t>
            </w:r>
          </w:p>
        </w:tc>
        <w:tc>
          <w:tcPr>
            <w:tcW w:w="1984" w:type="dxa"/>
          </w:tcPr>
          <w:p w14:paraId="68E45DA5" w14:textId="1C29198C" w:rsidR="00B85058" w:rsidRPr="00B85058" w:rsidRDefault="00B85058" w:rsidP="00837E0F">
            <w:pPr>
              <w:spacing w:before="60" w:after="60" w:line="240" w:lineRule="auto"/>
              <w:ind w:left="0"/>
              <w:jc w:val="center"/>
              <w:rPr>
                <w:rFonts w:cs="Arial"/>
                <w:sz w:val="20"/>
                <w:szCs w:val="20"/>
              </w:rPr>
            </w:pPr>
            <w:r w:rsidRPr="00B85058">
              <w:rPr>
                <w:sz w:val="20"/>
                <w:szCs w:val="20"/>
              </w:rPr>
              <w:t>38° 16' 16.758" S</w:t>
            </w:r>
          </w:p>
        </w:tc>
        <w:tc>
          <w:tcPr>
            <w:tcW w:w="1985" w:type="dxa"/>
          </w:tcPr>
          <w:p w14:paraId="1BE982EC" w14:textId="6FC5C368" w:rsidR="00B85058" w:rsidRPr="00B85058" w:rsidRDefault="00B85058" w:rsidP="00837E0F">
            <w:pPr>
              <w:spacing w:before="60" w:after="60" w:line="240" w:lineRule="auto"/>
              <w:ind w:left="0"/>
              <w:jc w:val="center"/>
              <w:rPr>
                <w:rFonts w:cs="Arial"/>
                <w:sz w:val="20"/>
                <w:szCs w:val="20"/>
              </w:rPr>
            </w:pPr>
            <w:r w:rsidRPr="00B85058">
              <w:rPr>
                <w:sz w:val="20"/>
                <w:szCs w:val="20"/>
              </w:rPr>
              <w:t>147° 31' 46.707" E</w:t>
            </w:r>
          </w:p>
        </w:tc>
      </w:tr>
      <w:tr w:rsidR="0063350D" w:rsidRPr="001068CF" w14:paraId="52F49CAB" w14:textId="77777777" w:rsidTr="005F53F3">
        <w:tc>
          <w:tcPr>
            <w:tcW w:w="561" w:type="dxa"/>
          </w:tcPr>
          <w:p w14:paraId="19CBC2B8" w14:textId="4ED1E782" w:rsidR="0063350D" w:rsidRPr="00B85058" w:rsidRDefault="0063350D" w:rsidP="00C445B4">
            <w:pPr>
              <w:spacing w:before="60" w:after="60" w:line="240" w:lineRule="auto"/>
              <w:ind w:left="0"/>
              <w:rPr>
                <w:rFonts w:cs="Arial"/>
                <w:sz w:val="20"/>
                <w:szCs w:val="20"/>
              </w:rPr>
            </w:pPr>
            <w:r w:rsidRPr="00B85058">
              <w:rPr>
                <w:rFonts w:cs="Arial"/>
                <w:sz w:val="20"/>
                <w:szCs w:val="20"/>
              </w:rPr>
              <w:t>5</w:t>
            </w:r>
          </w:p>
        </w:tc>
        <w:tc>
          <w:tcPr>
            <w:tcW w:w="2524" w:type="dxa"/>
          </w:tcPr>
          <w:p w14:paraId="6CD632F4" w14:textId="2D5A40A8" w:rsidR="0063350D" w:rsidRPr="00B85058" w:rsidRDefault="00B85058" w:rsidP="00C445B4">
            <w:pPr>
              <w:spacing w:before="60" w:after="60" w:line="240" w:lineRule="auto"/>
              <w:ind w:left="0"/>
              <w:rPr>
                <w:rFonts w:cs="Arial"/>
                <w:sz w:val="20"/>
                <w:szCs w:val="20"/>
              </w:rPr>
            </w:pPr>
            <w:r w:rsidRPr="00B85058">
              <w:rPr>
                <w:rFonts w:cs="Arial"/>
                <w:sz w:val="20"/>
                <w:szCs w:val="20"/>
              </w:rPr>
              <w:t>Nearshore reef feature</w:t>
            </w:r>
          </w:p>
        </w:tc>
        <w:tc>
          <w:tcPr>
            <w:tcW w:w="1418" w:type="dxa"/>
            <w:vAlign w:val="bottom"/>
          </w:tcPr>
          <w:p w14:paraId="38F9BCE0" w14:textId="75DF6429" w:rsidR="0063350D" w:rsidRPr="00B85058" w:rsidRDefault="0063350D" w:rsidP="00837E0F">
            <w:pPr>
              <w:spacing w:before="60" w:after="60" w:line="240" w:lineRule="auto"/>
              <w:ind w:left="0"/>
              <w:jc w:val="center"/>
              <w:rPr>
                <w:rFonts w:cs="Arial"/>
                <w:sz w:val="20"/>
                <w:szCs w:val="20"/>
              </w:rPr>
            </w:pPr>
            <w:r w:rsidRPr="00B85058">
              <w:rPr>
                <w:sz w:val="20"/>
                <w:szCs w:val="20"/>
              </w:rPr>
              <w:t>19</w:t>
            </w:r>
            <w:r w:rsidR="00B85058">
              <w:rPr>
                <w:sz w:val="20"/>
                <w:szCs w:val="20"/>
              </w:rPr>
              <w:t>.0 m</w:t>
            </w:r>
          </w:p>
        </w:tc>
        <w:tc>
          <w:tcPr>
            <w:tcW w:w="1984" w:type="dxa"/>
          </w:tcPr>
          <w:p w14:paraId="5FCFA169" w14:textId="10E66BCA" w:rsidR="0063350D" w:rsidRPr="00B85058" w:rsidRDefault="0063350D" w:rsidP="00837E0F">
            <w:pPr>
              <w:spacing w:before="60" w:after="60" w:line="240" w:lineRule="auto"/>
              <w:ind w:left="0"/>
              <w:jc w:val="center"/>
              <w:rPr>
                <w:rFonts w:cs="Arial"/>
                <w:sz w:val="20"/>
                <w:szCs w:val="20"/>
              </w:rPr>
            </w:pPr>
            <w:r w:rsidRPr="00B85058">
              <w:rPr>
                <w:sz w:val="20"/>
                <w:szCs w:val="20"/>
              </w:rPr>
              <w:t>38° 13' 30.779" S</w:t>
            </w:r>
          </w:p>
        </w:tc>
        <w:tc>
          <w:tcPr>
            <w:tcW w:w="1985" w:type="dxa"/>
          </w:tcPr>
          <w:p w14:paraId="3B701049" w14:textId="72C1D35C" w:rsidR="0063350D" w:rsidRPr="00B85058" w:rsidRDefault="0063350D" w:rsidP="00837E0F">
            <w:pPr>
              <w:spacing w:before="60" w:after="60" w:line="240" w:lineRule="auto"/>
              <w:ind w:left="0"/>
              <w:jc w:val="center"/>
              <w:rPr>
                <w:rFonts w:cs="Arial"/>
                <w:sz w:val="20"/>
                <w:szCs w:val="20"/>
              </w:rPr>
            </w:pPr>
            <w:r w:rsidRPr="00B85058">
              <w:rPr>
                <w:sz w:val="20"/>
                <w:szCs w:val="20"/>
              </w:rPr>
              <w:t>147° 25' 05.491" E</w:t>
            </w:r>
          </w:p>
        </w:tc>
      </w:tr>
      <w:tr w:rsidR="0063350D" w:rsidRPr="001068CF" w14:paraId="10170431" w14:textId="77777777" w:rsidTr="005F53F3">
        <w:tc>
          <w:tcPr>
            <w:tcW w:w="561" w:type="dxa"/>
          </w:tcPr>
          <w:p w14:paraId="0D2B333A" w14:textId="65AB3799" w:rsidR="0063350D" w:rsidRPr="00B85058" w:rsidRDefault="0063350D" w:rsidP="00C445B4">
            <w:pPr>
              <w:spacing w:before="60" w:after="60" w:line="240" w:lineRule="auto"/>
              <w:ind w:left="0"/>
              <w:rPr>
                <w:rFonts w:cs="Arial"/>
                <w:sz w:val="20"/>
                <w:szCs w:val="20"/>
              </w:rPr>
            </w:pPr>
            <w:r w:rsidRPr="00B85058">
              <w:rPr>
                <w:rFonts w:cs="Arial"/>
                <w:sz w:val="20"/>
                <w:szCs w:val="20"/>
              </w:rPr>
              <w:t>6</w:t>
            </w:r>
          </w:p>
        </w:tc>
        <w:tc>
          <w:tcPr>
            <w:tcW w:w="2524" w:type="dxa"/>
          </w:tcPr>
          <w:p w14:paraId="3B2BC32F" w14:textId="37A66BDE" w:rsidR="0063350D" w:rsidRPr="00B85058" w:rsidRDefault="00B85058" w:rsidP="005F53F3">
            <w:pPr>
              <w:spacing w:before="60" w:after="60" w:line="240" w:lineRule="auto"/>
              <w:ind w:left="0"/>
              <w:rPr>
                <w:rFonts w:cs="Arial"/>
                <w:sz w:val="20"/>
                <w:szCs w:val="20"/>
              </w:rPr>
            </w:pPr>
            <w:r w:rsidRPr="00B85058">
              <w:rPr>
                <w:rFonts w:cs="Arial"/>
                <w:sz w:val="20"/>
                <w:szCs w:val="20"/>
              </w:rPr>
              <w:t>Sandy seabed near reef</w:t>
            </w:r>
          </w:p>
        </w:tc>
        <w:tc>
          <w:tcPr>
            <w:tcW w:w="1418" w:type="dxa"/>
            <w:vAlign w:val="bottom"/>
          </w:tcPr>
          <w:p w14:paraId="4D58E926" w14:textId="16127FFE" w:rsidR="0063350D" w:rsidRPr="00B85058" w:rsidRDefault="0063350D" w:rsidP="00837E0F">
            <w:pPr>
              <w:spacing w:before="60" w:after="60" w:line="240" w:lineRule="auto"/>
              <w:ind w:left="0"/>
              <w:jc w:val="center"/>
              <w:rPr>
                <w:rFonts w:cs="Arial"/>
                <w:sz w:val="20"/>
                <w:szCs w:val="20"/>
              </w:rPr>
            </w:pPr>
            <w:r w:rsidRPr="00B85058">
              <w:rPr>
                <w:sz w:val="20"/>
                <w:szCs w:val="20"/>
              </w:rPr>
              <w:t>18.7</w:t>
            </w:r>
            <w:r w:rsidR="00B85058">
              <w:rPr>
                <w:sz w:val="20"/>
                <w:szCs w:val="20"/>
              </w:rPr>
              <w:t xml:space="preserve"> m</w:t>
            </w:r>
          </w:p>
        </w:tc>
        <w:tc>
          <w:tcPr>
            <w:tcW w:w="1984" w:type="dxa"/>
          </w:tcPr>
          <w:p w14:paraId="66F52FAB" w14:textId="10D66C5B" w:rsidR="0063350D" w:rsidRPr="00B85058" w:rsidRDefault="0063350D" w:rsidP="00837E0F">
            <w:pPr>
              <w:spacing w:before="60" w:after="60" w:line="240" w:lineRule="auto"/>
              <w:ind w:left="0"/>
              <w:jc w:val="center"/>
              <w:rPr>
                <w:rFonts w:cs="Arial"/>
                <w:sz w:val="20"/>
                <w:szCs w:val="20"/>
              </w:rPr>
            </w:pPr>
            <w:r w:rsidRPr="00B85058">
              <w:rPr>
                <w:sz w:val="20"/>
                <w:szCs w:val="20"/>
              </w:rPr>
              <w:t>38° 14' 29.552" S</w:t>
            </w:r>
          </w:p>
        </w:tc>
        <w:tc>
          <w:tcPr>
            <w:tcW w:w="1985" w:type="dxa"/>
          </w:tcPr>
          <w:p w14:paraId="67329D4B" w14:textId="0D07A352" w:rsidR="0063350D" w:rsidRPr="00B85058" w:rsidRDefault="0063350D" w:rsidP="00837E0F">
            <w:pPr>
              <w:spacing w:before="60" w:after="60" w:line="240" w:lineRule="auto"/>
              <w:ind w:left="0"/>
              <w:jc w:val="center"/>
              <w:rPr>
                <w:rFonts w:cs="Arial"/>
                <w:sz w:val="20"/>
                <w:szCs w:val="20"/>
              </w:rPr>
            </w:pPr>
            <w:r w:rsidRPr="00B85058">
              <w:rPr>
                <w:sz w:val="20"/>
                <w:szCs w:val="20"/>
              </w:rPr>
              <w:t>147° 23' 35.173" E</w:t>
            </w:r>
          </w:p>
        </w:tc>
      </w:tr>
    </w:tbl>
    <w:p w14:paraId="4478D924" w14:textId="6B2F05FA" w:rsidR="001068CF" w:rsidRPr="00455BFC" w:rsidRDefault="001068CF" w:rsidP="00455BFC">
      <w:pPr>
        <w:ind w:left="0"/>
        <w:rPr>
          <w:rFonts w:ascii="Tahoma" w:hAnsi="Tahoma" w:cs="Arial"/>
          <w:szCs w:val="20"/>
        </w:rPr>
      </w:pPr>
    </w:p>
    <w:tbl>
      <w:tblPr>
        <w:tblW w:w="0" w:type="auto"/>
        <w:tblLook w:val="04A0" w:firstRow="1" w:lastRow="0" w:firstColumn="1" w:lastColumn="0" w:noHBand="0" w:noVBand="1"/>
      </w:tblPr>
      <w:tblGrid>
        <w:gridCol w:w="8055"/>
      </w:tblGrid>
      <w:tr w:rsidR="008A7C41" w14:paraId="262F4C3A" w14:textId="77777777" w:rsidTr="00120AF5">
        <w:tc>
          <w:tcPr>
            <w:tcW w:w="8522" w:type="dxa"/>
            <w:shd w:val="clear" w:color="auto" w:fill="auto"/>
          </w:tcPr>
          <w:p w14:paraId="5E0CA553" w14:textId="11820938" w:rsidR="004F1A88" w:rsidRDefault="0049030C" w:rsidP="00120AF5">
            <w:pPr>
              <w:pStyle w:val="BodyText"/>
              <w:ind w:left="0"/>
              <w:jc w:val="center"/>
            </w:pPr>
            <w:r w:rsidRPr="00352A29">
              <w:rPr>
                <w:noProof/>
              </w:rPr>
              <w:drawing>
                <wp:inline distT="0" distB="0" distL="0" distR="0" wp14:anchorId="10C99410" wp14:editId="6C873730">
                  <wp:extent cx="4970558" cy="3625703"/>
                  <wp:effectExtent l="0" t="0" r="190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D:\JASCO\Projects\2016\P001342-001 - Santos NT MSS Modelling\Modelling_location_Fishburn.png"/>
                          <pic:cNvPicPr>
                            <a:picLocks noChangeAspect="1" noChangeArrowheads="1"/>
                          </pic:cNvPicPr>
                        </pic:nvPicPr>
                        <pic:blipFill>
                          <a:blip r:embed="rId247" cstate="screen">
                            <a:extLst>
                              <a:ext uri="{28A0092B-C50C-407E-A947-70E740481C1C}">
                                <a14:useLocalDpi xmlns:a14="http://schemas.microsoft.com/office/drawing/2010/main"/>
                              </a:ext>
                            </a:extLst>
                          </a:blip>
                          <a:stretch>
                            <a:fillRect/>
                          </a:stretch>
                        </pic:blipFill>
                        <pic:spPr bwMode="auto">
                          <a:xfrm>
                            <a:off x="0" y="0"/>
                            <a:ext cx="4966736" cy="3622915"/>
                          </a:xfrm>
                          <a:prstGeom prst="rect">
                            <a:avLst/>
                          </a:prstGeom>
                          <a:noFill/>
                          <a:ln>
                            <a:noFill/>
                          </a:ln>
                        </pic:spPr>
                      </pic:pic>
                    </a:graphicData>
                  </a:graphic>
                </wp:inline>
              </w:drawing>
            </w:r>
          </w:p>
        </w:tc>
      </w:tr>
    </w:tbl>
    <w:p w14:paraId="7F8C1632" w14:textId="1A5D132B" w:rsidR="00B76145" w:rsidRPr="008A7C41" w:rsidRDefault="0049030C" w:rsidP="00B76145">
      <w:pPr>
        <w:pStyle w:val="Caption"/>
        <w:rPr>
          <w:rFonts w:ascii="Tahoma" w:eastAsia="Times New Roman" w:hAnsi="Tahoma" w:cs="Arial"/>
          <w:b w:val="0"/>
          <w:bCs w:val="0"/>
          <w:i/>
          <w:color w:val="auto"/>
          <w:sz w:val="16"/>
          <w:szCs w:val="16"/>
          <w:lang w:eastAsia="en-AU"/>
        </w:rPr>
      </w:pPr>
      <w:r>
        <w:rPr>
          <w:rFonts w:ascii="Tahoma" w:eastAsia="Times New Roman" w:hAnsi="Tahoma" w:cs="Arial"/>
          <w:b w:val="0"/>
          <w:bCs w:val="0"/>
          <w:i/>
          <w:color w:val="auto"/>
          <w:sz w:val="16"/>
          <w:szCs w:val="16"/>
          <w:lang w:eastAsia="en-AU"/>
        </w:rPr>
        <w:t xml:space="preserve">    </w:t>
      </w:r>
      <w:r w:rsidR="00B76145" w:rsidRPr="008A7C41">
        <w:rPr>
          <w:rFonts w:ascii="Tahoma" w:eastAsia="Times New Roman" w:hAnsi="Tahoma" w:cs="Arial"/>
          <w:b w:val="0"/>
          <w:bCs w:val="0"/>
          <w:i/>
          <w:color w:val="auto"/>
          <w:sz w:val="16"/>
          <w:szCs w:val="16"/>
          <w:lang w:eastAsia="en-AU"/>
        </w:rPr>
        <w:t xml:space="preserve">Source: </w:t>
      </w:r>
      <w:r w:rsidR="008A7C41" w:rsidRPr="008A7C41">
        <w:rPr>
          <w:rFonts w:ascii="Tahoma" w:eastAsia="Times New Roman" w:hAnsi="Tahoma" w:cs="Arial"/>
          <w:b w:val="0"/>
          <w:bCs w:val="0"/>
          <w:i/>
          <w:color w:val="auto"/>
          <w:sz w:val="16"/>
          <w:szCs w:val="16"/>
          <w:lang w:eastAsia="en-AU"/>
        </w:rPr>
        <w:t>JASCO</w:t>
      </w:r>
      <w:r w:rsidR="00B76145" w:rsidRPr="008A7C41">
        <w:rPr>
          <w:rFonts w:ascii="Tahoma" w:eastAsia="Times New Roman" w:hAnsi="Tahoma" w:cs="Arial"/>
          <w:b w:val="0"/>
          <w:bCs w:val="0"/>
          <w:i/>
          <w:color w:val="auto"/>
          <w:sz w:val="16"/>
          <w:szCs w:val="16"/>
          <w:lang w:eastAsia="en-AU"/>
        </w:rPr>
        <w:t xml:space="preserve"> (201</w:t>
      </w:r>
      <w:r w:rsidR="008A7C41" w:rsidRPr="008A7C41">
        <w:rPr>
          <w:rFonts w:ascii="Tahoma" w:eastAsia="Times New Roman" w:hAnsi="Tahoma" w:cs="Arial"/>
          <w:b w:val="0"/>
          <w:bCs w:val="0"/>
          <w:i/>
          <w:color w:val="auto"/>
          <w:sz w:val="16"/>
          <w:szCs w:val="16"/>
          <w:lang w:eastAsia="en-AU"/>
        </w:rPr>
        <w:t>7</w:t>
      </w:r>
      <w:r w:rsidR="00B76145" w:rsidRPr="008A7C41">
        <w:rPr>
          <w:rFonts w:ascii="Tahoma" w:eastAsia="Times New Roman" w:hAnsi="Tahoma" w:cs="Arial"/>
          <w:b w:val="0"/>
          <w:bCs w:val="0"/>
          <w:i/>
          <w:color w:val="auto"/>
          <w:sz w:val="16"/>
          <w:szCs w:val="16"/>
          <w:lang w:eastAsia="en-AU"/>
        </w:rPr>
        <w:t>).</w:t>
      </w:r>
    </w:p>
    <w:p w14:paraId="3C3C8728" w14:textId="4432B41A" w:rsidR="00B76145" w:rsidRPr="00530CA1" w:rsidRDefault="00B76145" w:rsidP="00530CA1">
      <w:pPr>
        <w:pStyle w:val="TableHeader"/>
        <w:spacing w:before="0" w:after="240" w:line="240" w:lineRule="auto"/>
        <w:jc w:val="center"/>
        <w:rPr>
          <w:rFonts w:cs="Tahoma"/>
          <w:sz w:val="20"/>
          <w:szCs w:val="20"/>
        </w:rPr>
      </w:pPr>
      <w:bookmarkStart w:id="425" w:name="_Toc455992494"/>
      <w:r w:rsidRPr="00530CA1">
        <w:rPr>
          <w:rFonts w:cs="Tahoma"/>
          <w:sz w:val="20"/>
          <w:szCs w:val="20"/>
        </w:rPr>
        <w:t xml:space="preserve">Figure </w:t>
      </w:r>
      <w:r w:rsidR="008A7C41" w:rsidRPr="00530CA1">
        <w:rPr>
          <w:rFonts w:cs="Tahoma"/>
          <w:sz w:val="20"/>
          <w:szCs w:val="20"/>
        </w:rPr>
        <w:t>7</w:t>
      </w:r>
      <w:r w:rsidRPr="00530CA1">
        <w:rPr>
          <w:rFonts w:cs="Tahoma"/>
          <w:sz w:val="20"/>
          <w:szCs w:val="20"/>
        </w:rPr>
        <w:t>.1.</w:t>
      </w:r>
      <w:r w:rsidRPr="00530CA1">
        <w:rPr>
          <w:rFonts w:cs="Tahoma"/>
          <w:sz w:val="20"/>
          <w:szCs w:val="20"/>
        </w:rPr>
        <w:tab/>
      </w:r>
      <w:r w:rsidR="00251CCF">
        <w:rPr>
          <w:rFonts w:cs="Tahoma"/>
          <w:sz w:val="20"/>
          <w:szCs w:val="20"/>
        </w:rPr>
        <w:t>T</w:t>
      </w:r>
      <w:r w:rsidR="00251CCF" w:rsidRPr="00530CA1">
        <w:rPr>
          <w:rFonts w:cs="Tahoma"/>
          <w:sz w:val="20"/>
          <w:szCs w:val="20"/>
        </w:rPr>
        <w:t xml:space="preserve">he acoustic modelling site locations </w:t>
      </w:r>
      <w:r w:rsidR="00251CCF">
        <w:rPr>
          <w:rFonts w:cs="Tahoma"/>
          <w:sz w:val="20"/>
          <w:szCs w:val="20"/>
        </w:rPr>
        <w:t>within t</w:t>
      </w:r>
      <w:r w:rsidR="008A7C41" w:rsidRPr="00530CA1">
        <w:rPr>
          <w:rFonts w:cs="Tahoma"/>
          <w:sz w:val="20"/>
          <w:szCs w:val="20"/>
        </w:rPr>
        <w:t xml:space="preserve">he proposed acquisition </w:t>
      </w:r>
      <w:r w:rsidRPr="00530CA1">
        <w:rPr>
          <w:rFonts w:cs="Tahoma"/>
          <w:sz w:val="20"/>
          <w:szCs w:val="20"/>
        </w:rPr>
        <w:t xml:space="preserve">area </w:t>
      </w:r>
      <w:bookmarkEnd w:id="425"/>
    </w:p>
    <w:p w14:paraId="52594D19" w14:textId="7350DF97" w:rsidR="006B39C7" w:rsidRDefault="004821E4" w:rsidP="006B39C7">
      <w:pPr>
        <w:ind w:left="0"/>
        <w:rPr>
          <w:rFonts w:cs="Arial"/>
          <w:sz w:val="22"/>
          <w:szCs w:val="22"/>
        </w:rPr>
      </w:pPr>
      <w:bookmarkStart w:id="426" w:name="_Toc455992538"/>
      <w:r w:rsidRPr="00EF4E2A">
        <w:rPr>
          <w:rFonts w:cs="Arial"/>
          <w:sz w:val="22"/>
          <w:szCs w:val="22"/>
        </w:rPr>
        <w:t>Table 7.3 presents</w:t>
      </w:r>
      <w:r>
        <w:rPr>
          <w:rFonts w:cs="Arial"/>
          <w:sz w:val="22"/>
          <w:szCs w:val="22"/>
        </w:rPr>
        <w:t xml:space="preserve"> </w:t>
      </w:r>
      <w:r w:rsidR="006B39C7" w:rsidRPr="006B39C7">
        <w:rPr>
          <w:rFonts w:cs="Arial"/>
          <w:sz w:val="22"/>
          <w:szCs w:val="22"/>
        </w:rPr>
        <w:t xml:space="preserve">the PK and </w:t>
      </w:r>
      <w:r w:rsidR="007545FC">
        <w:rPr>
          <w:rFonts w:cs="Arial"/>
          <w:sz w:val="22"/>
          <w:szCs w:val="22"/>
        </w:rPr>
        <w:t xml:space="preserve">per-pulse </w:t>
      </w:r>
      <w:r w:rsidR="006B39C7" w:rsidRPr="006B39C7">
        <w:rPr>
          <w:rFonts w:cs="Arial"/>
          <w:sz w:val="22"/>
          <w:szCs w:val="22"/>
        </w:rPr>
        <w:t>SEL source levels in the endfire, broadside, and vertical directions. Here the vertical source level accounting for the surface ghost is also presented for easier comparison to the output of other airgun array source models that include it by default.</w:t>
      </w:r>
    </w:p>
    <w:p w14:paraId="1FCF099E" w14:textId="77777777" w:rsidR="004821E4" w:rsidRPr="006B39C7" w:rsidRDefault="004821E4" w:rsidP="006B39C7">
      <w:pPr>
        <w:ind w:left="0"/>
        <w:rPr>
          <w:rFonts w:cs="Arial"/>
          <w:sz w:val="22"/>
          <w:szCs w:val="22"/>
        </w:rPr>
      </w:pPr>
    </w:p>
    <w:p w14:paraId="6F92BE58" w14:textId="4BCE2FBF" w:rsidR="006B39C7" w:rsidRDefault="006B39C7" w:rsidP="004821E4">
      <w:pPr>
        <w:pStyle w:val="TableHeader"/>
        <w:spacing w:before="0" w:after="240" w:line="240" w:lineRule="auto"/>
        <w:jc w:val="center"/>
        <w:rPr>
          <w:rFonts w:cs="Tahoma"/>
          <w:sz w:val="20"/>
          <w:szCs w:val="20"/>
        </w:rPr>
      </w:pPr>
      <w:bookmarkStart w:id="427" w:name="_Ref377378527"/>
      <w:bookmarkStart w:id="428" w:name="_Toc380408587"/>
      <w:bookmarkStart w:id="429" w:name="_Toc443306681"/>
      <w:bookmarkStart w:id="430" w:name="_Toc469301050"/>
      <w:bookmarkStart w:id="431" w:name="_Toc478634989"/>
      <w:r w:rsidRPr="004821E4">
        <w:rPr>
          <w:rFonts w:cs="Tahoma"/>
          <w:sz w:val="20"/>
          <w:szCs w:val="20"/>
        </w:rPr>
        <w:t>Table </w:t>
      </w:r>
      <w:r w:rsidR="004821E4">
        <w:rPr>
          <w:rFonts w:cs="Tahoma"/>
          <w:sz w:val="20"/>
          <w:szCs w:val="20"/>
        </w:rPr>
        <w:t>7.3</w:t>
      </w:r>
      <w:bookmarkEnd w:id="427"/>
      <w:r w:rsidR="00EF4850">
        <w:rPr>
          <w:rFonts w:cs="Tahoma"/>
          <w:sz w:val="20"/>
          <w:szCs w:val="20"/>
        </w:rPr>
        <w:t>.</w:t>
      </w:r>
      <w:r w:rsidR="00EF4850">
        <w:rPr>
          <w:rFonts w:cs="Tahoma"/>
          <w:sz w:val="20"/>
          <w:szCs w:val="20"/>
        </w:rPr>
        <w:tab/>
      </w:r>
      <w:r w:rsidRPr="004821E4">
        <w:rPr>
          <w:rFonts w:cs="Tahoma"/>
          <w:sz w:val="20"/>
          <w:szCs w:val="20"/>
        </w:rPr>
        <w:t>Source level specifications in the horizontal plane for the 3</w:t>
      </w:r>
      <w:r w:rsidR="004821E4">
        <w:rPr>
          <w:rFonts w:cs="Tahoma"/>
          <w:sz w:val="20"/>
          <w:szCs w:val="20"/>
        </w:rPr>
        <w:t>,</w:t>
      </w:r>
      <w:r w:rsidR="007545FC">
        <w:rPr>
          <w:rFonts w:cs="Tahoma"/>
          <w:sz w:val="20"/>
          <w:szCs w:val="20"/>
        </w:rPr>
        <w:t>0</w:t>
      </w:r>
      <w:r w:rsidRPr="004821E4">
        <w:rPr>
          <w:rFonts w:cs="Tahoma"/>
          <w:sz w:val="20"/>
          <w:szCs w:val="20"/>
        </w:rPr>
        <w:t>90 </w:t>
      </w:r>
      <w:r w:rsidR="004821E4">
        <w:rPr>
          <w:rFonts w:cs="Tahoma"/>
          <w:sz w:val="20"/>
          <w:szCs w:val="20"/>
        </w:rPr>
        <w:t>cu</w:t>
      </w:r>
      <w:r w:rsidRPr="004821E4">
        <w:rPr>
          <w:rFonts w:cs="Tahoma"/>
          <w:sz w:val="20"/>
          <w:szCs w:val="20"/>
        </w:rPr>
        <w:t>i array, for a 5 m tow depth</w:t>
      </w:r>
      <w:r w:rsidR="00CE4715">
        <w:rPr>
          <w:rFonts w:cs="Tahoma"/>
          <w:sz w:val="20"/>
          <w:szCs w:val="20"/>
        </w:rPr>
        <w:t xml:space="preserve"> (s</w:t>
      </w:r>
      <w:bookmarkEnd w:id="428"/>
      <w:bookmarkEnd w:id="429"/>
      <w:bookmarkEnd w:id="430"/>
      <w:bookmarkEnd w:id="431"/>
      <w:r w:rsidRPr="004821E4">
        <w:rPr>
          <w:rFonts w:cs="Tahoma"/>
          <w:sz w:val="20"/>
          <w:szCs w:val="20"/>
        </w:rPr>
        <w:t>ource levels are per-pulse and unweighted</w:t>
      </w:r>
      <w:r w:rsidR="00CE4715">
        <w:rPr>
          <w:rFonts w:cs="Tahoma"/>
          <w:sz w:val="20"/>
          <w:szCs w:val="20"/>
        </w:rPr>
        <w:t>)</w:t>
      </w:r>
    </w:p>
    <w:tbl>
      <w:tblPr>
        <w:tblStyle w:val="TableGrid"/>
        <w:tblW w:w="0" w:type="auto"/>
        <w:jc w:val="center"/>
        <w:tblLook w:val="04A0" w:firstRow="1" w:lastRow="0" w:firstColumn="1" w:lastColumn="0" w:noHBand="0" w:noVBand="1"/>
      </w:tblPr>
      <w:tblGrid>
        <w:gridCol w:w="1951"/>
        <w:gridCol w:w="2126"/>
        <w:gridCol w:w="1843"/>
        <w:gridCol w:w="1985"/>
      </w:tblGrid>
      <w:tr w:rsidR="007545FC" w14:paraId="0EB14305" w14:textId="77777777" w:rsidTr="007545FC">
        <w:trPr>
          <w:jc w:val="center"/>
        </w:trPr>
        <w:tc>
          <w:tcPr>
            <w:tcW w:w="1951" w:type="dxa"/>
            <w:vMerge w:val="restart"/>
            <w:shd w:val="clear" w:color="auto" w:fill="064EA8"/>
          </w:tcPr>
          <w:p w14:paraId="14650635" w14:textId="6D3FE876" w:rsidR="007545FC" w:rsidRPr="005723CF" w:rsidRDefault="007545FC" w:rsidP="00CE4715">
            <w:pPr>
              <w:spacing w:before="60" w:after="60" w:line="240" w:lineRule="auto"/>
              <w:ind w:left="0"/>
              <w:rPr>
                <w:color w:val="FFFFFF" w:themeColor="background1"/>
                <w:sz w:val="20"/>
                <w:szCs w:val="20"/>
              </w:rPr>
            </w:pPr>
            <w:r w:rsidRPr="005723CF">
              <w:rPr>
                <w:color w:val="FFFFFF" w:themeColor="background1"/>
                <w:sz w:val="20"/>
                <w:szCs w:val="20"/>
              </w:rPr>
              <w:t>Direction</w:t>
            </w:r>
          </w:p>
        </w:tc>
        <w:tc>
          <w:tcPr>
            <w:tcW w:w="2126" w:type="dxa"/>
            <w:vMerge w:val="restart"/>
            <w:shd w:val="clear" w:color="auto" w:fill="064EA8"/>
          </w:tcPr>
          <w:p w14:paraId="02ABC9AB" w14:textId="7B0DE3FD" w:rsidR="007545FC" w:rsidRPr="005723CF" w:rsidRDefault="007545FC" w:rsidP="00CE4715">
            <w:pPr>
              <w:spacing w:before="60" w:after="60" w:line="240" w:lineRule="auto"/>
              <w:ind w:left="0"/>
              <w:rPr>
                <w:color w:val="FFFFFF" w:themeColor="background1"/>
                <w:sz w:val="20"/>
                <w:szCs w:val="20"/>
              </w:rPr>
            </w:pPr>
            <w:r w:rsidRPr="005723CF">
              <w:rPr>
                <w:color w:val="FFFFFF" w:themeColor="background1"/>
                <w:sz w:val="20"/>
                <w:szCs w:val="20"/>
              </w:rPr>
              <w:t xml:space="preserve">Peak pressure level </w:t>
            </w:r>
            <w:r>
              <w:rPr>
                <w:color w:val="FFFFFF" w:themeColor="background1"/>
                <w:sz w:val="20"/>
                <w:szCs w:val="20"/>
              </w:rPr>
              <w:br/>
            </w:r>
            <w:r w:rsidRPr="005723CF">
              <w:rPr>
                <w:color w:val="FFFFFF" w:themeColor="background1"/>
                <w:sz w:val="20"/>
                <w:szCs w:val="20"/>
              </w:rPr>
              <w:t>(dB re 1 μPa @ 1 m)</w:t>
            </w:r>
          </w:p>
        </w:tc>
        <w:tc>
          <w:tcPr>
            <w:tcW w:w="3828" w:type="dxa"/>
            <w:gridSpan w:val="2"/>
            <w:shd w:val="clear" w:color="auto" w:fill="064EA8"/>
          </w:tcPr>
          <w:p w14:paraId="05399FBA" w14:textId="51895537" w:rsidR="007545FC" w:rsidRPr="005723CF" w:rsidRDefault="007545FC" w:rsidP="005723CF">
            <w:pPr>
              <w:spacing w:before="60" w:after="60" w:line="240" w:lineRule="auto"/>
              <w:ind w:left="0"/>
              <w:jc w:val="center"/>
              <w:rPr>
                <w:color w:val="FFFFFF" w:themeColor="background1"/>
                <w:sz w:val="20"/>
                <w:szCs w:val="20"/>
              </w:rPr>
            </w:pPr>
            <w:r w:rsidRPr="005723CF">
              <w:rPr>
                <w:color w:val="FFFFFF" w:themeColor="background1"/>
                <w:sz w:val="20"/>
                <w:szCs w:val="20"/>
              </w:rPr>
              <w:t>SEL (dB re 1 μPa</w:t>
            </w:r>
            <w:r w:rsidRPr="005723CF">
              <w:rPr>
                <w:color w:val="FFFFFF" w:themeColor="background1"/>
                <w:sz w:val="20"/>
                <w:szCs w:val="20"/>
                <w:vertAlign w:val="superscript"/>
              </w:rPr>
              <w:t>2</w:t>
            </w:r>
            <w:r w:rsidRPr="005723CF">
              <w:rPr>
                <w:color w:val="FFFFFF" w:themeColor="background1"/>
                <w:sz w:val="20"/>
                <w:szCs w:val="20"/>
              </w:rPr>
              <w:t>·s @ 1 m)</w:t>
            </w:r>
          </w:p>
        </w:tc>
      </w:tr>
      <w:tr w:rsidR="007545FC" w14:paraId="54F79654" w14:textId="77777777" w:rsidTr="007545FC">
        <w:trPr>
          <w:jc w:val="center"/>
        </w:trPr>
        <w:tc>
          <w:tcPr>
            <w:tcW w:w="1951" w:type="dxa"/>
            <w:vMerge/>
            <w:shd w:val="clear" w:color="auto" w:fill="064EA8"/>
          </w:tcPr>
          <w:p w14:paraId="2FE27FAF" w14:textId="77777777" w:rsidR="007545FC" w:rsidRPr="005723CF" w:rsidRDefault="007545FC" w:rsidP="00CE4715">
            <w:pPr>
              <w:spacing w:before="60" w:after="60" w:line="240" w:lineRule="auto"/>
              <w:ind w:left="0"/>
              <w:rPr>
                <w:color w:val="FFFFFF" w:themeColor="background1"/>
                <w:sz w:val="20"/>
                <w:szCs w:val="20"/>
              </w:rPr>
            </w:pPr>
          </w:p>
        </w:tc>
        <w:tc>
          <w:tcPr>
            <w:tcW w:w="2126" w:type="dxa"/>
            <w:vMerge/>
            <w:shd w:val="clear" w:color="auto" w:fill="064EA8"/>
          </w:tcPr>
          <w:p w14:paraId="1F493B83" w14:textId="77777777" w:rsidR="007545FC" w:rsidRPr="005723CF" w:rsidRDefault="007545FC" w:rsidP="00CE4715">
            <w:pPr>
              <w:spacing w:before="60" w:after="60" w:line="240" w:lineRule="auto"/>
              <w:ind w:left="0"/>
              <w:rPr>
                <w:color w:val="FFFFFF" w:themeColor="background1"/>
                <w:sz w:val="20"/>
                <w:szCs w:val="20"/>
              </w:rPr>
            </w:pPr>
          </w:p>
        </w:tc>
        <w:tc>
          <w:tcPr>
            <w:tcW w:w="1843" w:type="dxa"/>
            <w:shd w:val="clear" w:color="auto" w:fill="064EA8"/>
          </w:tcPr>
          <w:p w14:paraId="6946A8AA" w14:textId="4B71578F" w:rsidR="007545FC" w:rsidRPr="005723CF" w:rsidRDefault="007545FC" w:rsidP="008E7BBF">
            <w:pPr>
              <w:spacing w:before="60" w:after="60" w:line="240" w:lineRule="auto"/>
              <w:ind w:left="0"/>
              <w:jc w:val="center"/>
              <w:rPr>
                <w:color w:val="FFFFFF" w:themeColor="background1"/>
                <w:sz w:val="20"/>
                <w:szCs w:val="20"/>
              </w:rPr>
            </w:pPr>
            <w:r w:rsidRPr="005723CF">
              <w:rPr>
                <w:color w:val="FFFFFF" w:themeColor="background1"/>
                <w:sz w:val="20"/>
                <w:szCs w:val="20"/>
              </w:rPr>
              <w:t>10 – 2,000 Hz</w:t>
            </w:r>
          </w:p>
        </w:tc>
        <w:tc>
          <w:tcPr>
            <w:tcW w:w="1985" w:type="dxa"/>
            <w:shd w:val="clear" w:color="auto" w:fill="064EA8"/>
          </w:tcPr>
          <w:p w14:paraId="56C16975" w14:textId="31CAD5F9" w:rsidR="007545FC" w:rsidRPr="005723CF" w:rsidRDefault="007545FC" w:rsidP="00CE4715">
            <w:pPr>
              <w:spacing w:before="60" w:after="60" w:line="240" w:lineRule="auto"/>
              <w:ind w:left="0"/>
              <w:rPr>
                <w:color w:val="FFFFFF" w:themeColor="background1"/>
                <w:sz w:val="20"/>
                <w:szCs w:val="20"/>
              </w:rPr>
            </w:pPr>
            <w:r w:rsidRPr="005723CF">
              <w:rPr>
                <w:color w:val="FFFFFF" w:themeColor="background1"/>
                <w:sz w:val="20"/>
                <w:szCs w:val="20"/>
              </w:rPr>
              <w:t>2,000 – 25,000 Hz</w:t>
            </w:r>
          </w:p>
        </w:tc>
      </w:tr>
      <w:tr w:rsidR="007545FC" w14:paraId="3CA73558" w14:textId="77777777" w:rsidTr="007545FC">
        <w:trPr>
          <w:jc w:val="center"/>
        </w:trPr>
        <w:tc>
          <w:tcPr>
            <w:tcW w:w="1951" w:type="dxa"/>
            <w:vAlign w:val="center"/>
          </w:tcPr>
          <w:p w14:paraId="407C5DEC" w14:textId="42D50C20" w:rsidR="007545FC" w:rsidRPr="00CE4715" w:rsidRDefault="007545FC" w:rsidP="00CE4715">
            <w:pPr>
              <w:spacing w:before="60" w:after="60" w:line="240" w:lineRule="auto"/>
              <w:ind w:left="0"/>
              <w:rPr>
                <w:sz w:val="20"/>
                <w:szCs w:val="20"/>
              </w:rPr>
            </w:pPr>
            <w:r w:rsidRPr="00CE4715">
              <w:rPr>
                <w:sz w:val="20"/>
                <w:szCs w:val="20"/>
              </w:rPr>
              <w:t>Broadside</w:t>
            </w:r>
          </w:p>
        </w:tc>
        <w:tc>
          <w:tcPr>
            <w:tcW w:w="2126" w:type="dxa"/>
            <w:vAlign w:val="center"/>
          </w:tcPr>
          <w:p w14:paraId="7E2C0152" w14:textId="023EF0D6" w:rsidR="007545FC" w:rsidRPr="00CE4715" w:rsidRDefault="007545FC" w:rsidP="005723CF">
            <w:pPr>
              <w:spacing w:before="60" w:after="60" w:line="240" w:lineRule="auto"/>
              <w:ind w:left="0"/>
              <w:jc w:val="center"/>
              <w:rPr>
                <w:sz w:val="20"/>
                <w:szCs w:val="20"/>
              </w:rPr>
            </w:pPr>
            <w:r w:rsidRPr="00CE4715">
              <w:rPr>
                <w:sz w:val="20"/>
                <w:szCs w:val="20"/>
              </w:rPr>
              <w:t>249.4</w:t>
            </w:r>
          </w:p>
        </w:tc>
        <w:tc>
          <w:tcPr>
            <w:tcW w:w="1843" w:type="dxa"/>
            <w:vAlign w:val="center"/>
          </w:tcPr>
          <w:p w14:paraId="7E3AAA32" w14:textId="61B3751F" w:rsidR="007545FC" w:rsidRPr="00CE4715" w:rsidRDefault="007545FC" w:rsidP="007545FC">
            <w:pPr>
              <w:spacing w:before="60" w:after="60" w:line="240" w:lineRule="auto"/>
              <w:ind w:left="0"/>
              <w:jc w:val="center"/>
              <w:rPr>
                <w:sz w:val="20"/>
                <w:szCs w:val="20"/>
              </w:rPr>
            </w:pPr>
            <w:r w:rsidRPr="00CE4715">
              <w:rPr>
                <w:sz w:val="20"/>
                <w:szCs w:val="20"/>
              </w:rPr>
              <w:t>22</w:t>
            </w:r>
            <w:r>
              <w:rPr>
                <w:sz w:val="20"/>
                <w:szCs w:val="20"/>
              </w:rPr>
              <w:t>4</w:t>
            </w:r>
            <w:r w:rsidRPr="00CE4715">
              <w:rPr>
                <w:sz w:val="20"/>
                <w:szCs w:val="20"/>
              </w:rPr>
              <w:t>.</w:t>
            </w:r>
            <w:r>
              <w:rPr>
                <w:sz w:val="20"/>
                <w:szCs w:val="20"/>
              </w:rPr>
              <w:t>4</w:t>
            </w:r>
          </w:p>
        </w:tc>
        <w:tc>
          <w:tcPr>
            <w:tcW w:w="1985" w:type="dxa"/>
            <w:vAlign w:val="center"/>
          </w:tcPr>
          <w:p w14:paraId="2BA03893" w14:textId="6DF4889C" w:rsidR="007545FC" w:rsidRPr="00CE4715" w:rsidRDefault="007545FC" w:rsidP="007545FC">
            <w:pPr>
              <w:spacing w:before="60" w:after="60" w:line="240" w:lineRule="auto"/>
              <w:ind w:left="0"/>
              <w:jc w:val="center"/>
              <w:rPr>
                <w:sz w:val="20"/>
                <w:szCs w:val="20"/>
              </w:rPr>
            </w:pPr>
            <w:r w:rsidRPr="00CE4715">
              <w:rPr>
                <w:sz w:val="20"/>
                <w:szCs w:val="20"/>
              </w:rPr>
              <w:t>18</w:t>
            </w:r>
            <w:r>
              <w:rPr>
                <w:sz w:val="20"/>
                <w:szCs w:val="20"/>
              </w:rPr>
              <w:t>4</w:t>
            </w:r>
            <w:r w:rsidRPr="00CE4715">
              <w:rPr>
                <w:sz w:val="20"/>
                <w:szCs w:val="20"/>
              </w:rPr>
              <w:t>.4</w:t>
            </w:r>
          </w:p>
        </w:tc>
      </w:tr>
      <w:tr w:rsidR="007545FC" w14:paraId="0D3BB15E" w14:textId="77777777" w:rsidTr="007545FC">
        <w:trPr>
          <w:jc w:val="center"/>
        </w:trPr>
        <w:tc>
          <w:tcPr>
            <w:tcW w:w="1951" w:type="dxa"/>
            <w:vAlign w:val="center"/>
          </w:tcPr>
          <w:p w14:paraId="75B657EB" w14:textId="25B3163B" w:rsidR="007545FC" w:rsidRPr="00CE4715" w:rsidRDefault="007545FC" w:rsidP="00CE4715">
            <w:pPr>
              <w:spacing w:before="60" w:after="60" w:line="240" w:lineRule="auto"/>
              <w:ind w:left="0"/>
              <w:rPr>
                <w:sz w:val="20"/>
                <w:szCs w:val="20"/>
              </w:rPr>
            </w:pPr>
            <w:r w:rsidRPr="00CE4715">
              <w:rPr>
                <w:sz w:val="20"/>
                <w:szCs w:val="20"/>
              </w:rPr>
              <w:t>Endfire</w:t>
            </w:r>
          </w:p>
        </w:tc>
        <w:tc>
          <w:tcPr>
            <w:tcW w:w="2126" w:type="dxa"/>
            <w:vAlign w:val="center"/>
          </w:tcPr>
          <w:p w14:paraId="6F57C23D" w14:textId="710E2F17" w:rsidR="007545FC" w:rsidRPr="00CE4715" w:rsidRDefault="007545FC" w:rsidP="007545FC">
            <w:pPr>
              <w:spacing w:before="60" w:after="60" w:line="240" w:lineRule="auto"/>
              <w:ind w:left="0"/>
              <w:jc w:val="center"/>
              <w:rPr>
                <w:sz w:val="20"/>
                <w:szCs w:val="20"/>
              </w:rPr>
            </w:pPr>
            <w:r w:rsidRPr="00CE4715">
              <w:rPr>
                <w:sz w:val="20"/>
                <w:szCs w:val="20"/>
              </w:rPr>
              <w:t>24</w:t>
            </w:r>
            <w:r>
              <w:rPr>
                <w:sz w:val="20"/>
                <w:szCs w:val="20"/>
              </w:rPr>
              <w:t>5</w:t>
            </w:r>
            <w:r w:rsidRPr="00CE4715">
              <w:rPr>
                <w:sz w:val="20"/>
                <w:szCs w:val="20"/>
              </w:rPr>
              <w:t>.6</w:t>
            </w:r>
          </w:p>
        </w:tc>
        <w:tc>
          <w:tcPr>
            <w:tcW w:w="1843" w:type="dxa"/>
            <w:vAlign w:val="center"/>
          </w:tcPr>
          <w:p w14:paraId="2AF91D13" w14:textId="0A4DF770" w:rsidR="007545FC" w:rsidRPr="00CE4715" w:rsidRDefault="007545FC" w:rsidP="007545FC">
            <w:pPr>
              <w:spacing w:before="60" w:after="60" w:line="240" w:lineRule="auto"/>
              <w:ind w:left="0"/>
              <w:jc w:val="center"/>
              <w:rPr>
                <w:sz w:val="20"/>
                <w:szCs w:val="20"/>
              </w:rPr>
            </w:pPr>
            <w:r w:rsidRPr="00CE4715">
              <w:rPr>
                <w:sz w:val="20"/>
                <w:szCs w:val="20"/>
              </w:rPr>
              <w:t>22</w:t>
            </w:r>
            <w:r>
              <w:rPr>
                <w:sz w:val="20"/>
                <w:szCs w:val="20"/>
              </w:rPr>
              <w:t>2</w:t>
            </w:r>
            <w:r w:rsidRPr="00CE4715">
              <w:rPr>
                <w:sz w:val="20"/>
                <w:szCs w:val="20"/>
              </w:rPr>
              <w:t>.9</w:t>
            </w:r>
          </w:p>
        </w:tc>
        <w:tc>
          <w:tcPr>
            <w:tcW w:w="1985" w:type="dxa"/>
            <w:vAlign w:val="center"/>
          </w:tcPr>
          <w:p w14:paraId="31DD2E08" w14:textId="326DF229" w:rsidR="007545FC" w:rsidRPr="00CE4715" w:rsidRDefault="007545FC" w:rsidP="007545FC">
            <w:pPr>
              <w:spacing w:before="60" w:after="60" w:line="240" w:lineRule="auto"/>
              <w:ind w:left="0"/>
              <w:jc w:val="center"/>
              <w:rPr>
                <w:sz w:val="20"/>
                <w:szCs w:val="20"/>
              </w:rPr>
            </w:pPr>
            <w:r w:rsidRPr="00CE4715">
              <w:rPr>
                <w:sz w:val="20"/>
                <w:szCs w:val="20"/>
              </w:rPr>
              <w:t>18</w:t>
            </w:r>
            <w:r>
              <w:rPr>
                <w:sz w:val="20"/>
                <w:szCs w:val="20"/>
              </w:rPr>
              <w:t>7</w:t>
            </w:r>
            <w:r w:rsidRPr="00CE4715">
              <w:rPr>
                <w:sz w:val="20"/>
                <w:szCs w:val="20"/>
              </w:rPr>
              <w:t>.7</w:t>
            </w:r>
          </w:p>
        </w:tc>
      </w:tr>
      <w:tr w:rsidR="007545FC" w14:paraId="5B511910" w14:textId="77777777" w:rsidTr="007545FC">
        <w:trPr>
          <w:jc w:val="center"/>
        </w:trPr>
        <w:tc>
          <w:tcPr>
            <w:tcW w:w="1951" w:type="dxa"/>
            <w:vAlign w:val="center"/>
          </w:tcPr>
          <w:p w14:paraId="46100910" w14:textId="5964D1A8" w:rsidR="007545FC" w:rsidRPr="00CE4715" w:rsidRDefault="007545FC" w:rsidP="00CE4715">
            <w:pPr>
              <w:spacing w:before="60" w:after="60" w:line="240" w:lineRule="auto"/>
              <w:ind w:left="0"/>
              <w:rPr>
                <w:sz w:val="20"/>
                <w:szCs w:val="20"/>
              </w:rPr>
            </w:pPr>
            <w:r w:rsidRPr="00CE4715">
              <w:rPr>
                <w:sz w:val="20"/>
                <w:szCs w:val="20"/>
              </w:rPr>
              <w:t>Vertical (no ghost)</w:t>
            </w:r>
          </w:p>
        </w:tc>
        <w:tc>
          <w:tcPr>
            <w:tcW w:w="2126" w:type="dxa"/>
            <w:vAlign w:val="center"/>
          </w:tcPr>
          <w:p w14:paraId="70388134" w14:textId="0BCC09AE" w:rsidR="007545FC" w:rsidRPr="00CE4715" w:rsidRDefault="007545FC" w:rsidP="005723CF">
            <w:pPr>
              <w:spacing w:before="60" w:after="60" w:line="240" w:lineRule="auto"/>
              <w:ind w:left="0"/>
              <w:jc w:val="center"/>
              <w:rPr>
                <w:sz w:val="20"/>
                <w:szCs w:val="20"/>
              </w:rPr>
            </w:pPr>
            <w:r w:rsidRPr="00CE4715">
              <w:rPr>
                <w:sz w:val="20"/>
                <w:szCs w:val="20"/>
              </w:rPr>
              <w:t>254.6</w:t>
            </w:r>
          </w:p>
        </w:tc>
        <w:tc>
          <w:tcPr>
            <w:tcW w:w="1843" w:type="dxa"/>
            <w:vAlign w:val="center"/>
          </w:tcPr>
          <w:p w14:paraId="1715F807" w14:textId="42DD4DC9" w:rsidR="007545FC" w:rsidRPr="00CE4715" w:rsidRDefault="007545FC" w:rsidP="007545FC">
            <w:pPr>
              <w:spacing w:before="60" w:after="60" w:line="240" w:lineRule="auto"/>
              <w:ind w:left="0"/>
              <w:jc w:val="center"/>
              <w:rPr>
                <w:sz w:val="20"/>
                <w:szCs w:val="20"/>
              </w:rPr>
            </w:pPr>
            <w:r w:rsidRPr="00CE4715">
              <w:rPr>
                <w:sz w:val="20"/>
                <w:szCs w:val="20"/>
              </w:rPr>
              <w:t>228.</w:t>
            </w:r>
            <w:r>
              <w:rPr>
                <w:sz w:val="20"/>
                <w:szCs w:val="20"/>
              </w:rPr>
              <w:t>1</w:t>
            </w:r>
          </w:p>
        </w:tc>
        <w:tc>
          <w:tcPr>
            <w:tcW w:w="1985" w:type="dxa"/>
            <w:vAlign w:val="center"/>
          </w:tcPr>
          <w:p w14:paraId="40D8E189" w14:textId="72D70C86" w:rsidR="007545FC" w:rsidRPr="00CE4715" w:rsidRDefault="007545FC" w:rsidP="007545FC">
            <w:pPr>
              <w:spacing w:before="60" w:after="60" w:line="240" w:lineRule="auto"/>
              <w:ind w:left="0"/>
              <w:jc w:val="center"/>
              <w:rPr>
                <w:sz w:val="20"/>
                <w:szCs w:val="20"/>
              </w:rPr>
            </w:pPr>
            <w:r w:rsidRPr="00CE4715">
              <w:rPr>
                <w:sz w:val="20"/>
                <w:szCs w:val="20"/>
              </w:rPr>
              <w:t>19</w:t>
            </w:r>
            <w:r>
              <w:rPr>
                <w:sz w:val="20"/>
                <w:szCs w:val="20"/>
              </w:rPr>
              <w:t>4</w:t>
            </w:r>
            <w:r w:rsidRPr="00CE4715">
              <w:rPr>
                <w:sz w:val="20"/>
                <w:szCs w:val="20"/>
              </w:rPr>
              <w:t>.</w:t>
            </w:r>
            <w:r>
              <w:rPr>
                <w:sz w:val="20"/>
                <w:szCs w:val="20"/>
              </w:rPr>
              <w:t>9</w:t>
            </w:r>
          </w:p>
        </w:tc>
      </w:tr>
      <w:tr w:rsidR="007545FC" w14:paraId="7F370DD4" w14:textId="77777777" w:rsidTr="007545FC">
        <w:trPr>
          <w:jc w:val="center"/>
        </w:trPr>
        <w:tc>
          <w:tcPr>
            <w:tcW w:w="1951" w:type="dxa"/>
            <w:vAlign w:val="center"/>
          </w:tcPr>
          <w:p w14:paraId="513B61EA" w14:textId="2D29F123" w:rsidR="007545FC" w:rsidRPr="00CE4715" w:rsidRDefault="007545FC" w:rsidP="00CE4715">
            <w:pPr>
              <w:spacing w:before="60" w:after="60" w:line="240" w:lineRule="auto"/>
              <w:ind w:left="0"/>
              <w:rPr>
                <w:sz w:val="20"/>
                <w:szCs w:val="20"/>
              </w:rPr>
            </w:pPr>
            <w:r w:rsidRPr="00CE4715">
              <w:rPr>
                <w:sz w:val="20"/>
                <w:szCs w:val="20"/>
              </w:rPr>
              <w:t>Vertical (with ghost)</w:t>
            </w:r>
          </w:p>
        </w:tc>
        <w:tc>
          <w:tcPr>
            <w:tcW w:w="2126" w:type="dxa"/>
            <w:vAlign w:val="center"/>
          </w:tcPr>
          <w:p w14:paraId="6E282572" w14:textId="2ECF3145" w:rsidR="007545FC" w:rsidRPr="00CE4715" w:rsidRDefault="007545FC" w:rsidP="007545FC">
            <w:pPr>
              <w:spacing w:before="60" w:after="60" w:line="240" w:lineRule="auto"/>
              <w:ind w:left="0"/>
              <w:jc w:val="center"/>
              <w:rPr>
                <w:sz w:val="20"/>
                <w:szCs w:val="20"/>
              </w:rPr>
            </w:pPr>
            <w:r w:rsidRPr="00CE4715">
              <w:rPr>
                <w:sz w:val="20"/>
                <w:szCs w:val="20"/>
              </w:rPr>
              <w:t>254.</w:t>
            </w:r>
            <w:r>
              <w:rPr>
                <w:sz w:val="20"/>
                <w:szCs w:val="20"/>
              </w:rPr>
              <w:t>9</w:t>
            </w:r>
          </w:p>
        </w:tc>
        <w:tc>
          <w:tcPr>
            <w:tcW w:w="1843" w:type="dxa"/>
            <w:vAlign w:val="center"/>
          </w:tcPr>
          <w:p w14:paraId="27E0CEE7" w14:textId="66457A84" w:rsidR="007545FC" w:rsidRPr="00CE4715" w:rsidRDefault="007545FC" w:rsidP="005723CF">
            <w:pPr>
              <w:spacing w:before="60" w:after="60" w:line="240" w:lineRule="auto"/>
              <w:ind w:left="0"/>
              <w:jc w:val="center"/>
              <w:rPr>
                <w:sz w:val="20"/>
                <w:szCs w:val="20"/>
              </w:rPr>
            </w:pPr>
            <w:r>
              <w:rPr>
                <w:sz w:val="20"/>
                <w:szCs w:val="20"/>
              </w:rPr>
              <w:t>230.4</w:t>
            </w:r>
          </w:p>
        </w:tc>
        <w:tc>
          <w:tcPr>
            <w:tcW w:w="1985" w:type="dxa"/>
            <w:vAlign w:val="center"/>
          </w:tcPr>
          <w:p w14:paraId="766E4417" w14:textId="3EFCA103" w:rsidR="007545FC" w:rsidRPr="00CE4715" w:rsidRDefault="007545FC" w:rsidP="007545FC">
            <w:pPr>
              <w:spacing w:before="60" w:after="60" w:line="240" w:lineRule="auto"/>
              <w:ind w:left="0"/>
              <w:jc w:val="center"/>
              <w:rPr>
                <w:sz w:val="20"/>
                <w:szCs w:val="20"/>
              </w:rPr>
            </w:pPr>
            <w:r w:rsidRPr="00CE4715">
              <w:rPr>
                <w:sz w:val="20"/>
                <w:szCs w:val="20"/>
              </w:rPr>
              <w:t>19</w:t>
            </w:r>
            <w:r>
              <w:rPr>
                <w:sz w:val="20"/>
                <w:szCs w:val="20"/>
              </w:rPr>
              <w:t>7</w:t>
            </w:r>
            <w:r w:rsidRPr="00CE4715">
              <w:rPr>
                <w:sz w:val="20"/>
                <w:szCs w:val="20"/>
              </w:rPr>
              <w:t>.9</w:t>
            </w:r>
          </w:p>
        </w:tc>
      </w:tr>
    </w:tbl>
    <w:p w14:paraId="7554AE27" w14:textId="77777777" w:rsidR="00CE4715" w:rsidRDefault="00CE4715" w:rsidP="004821E4">
      <w:pPr>
        <w:pStyle w:val="TableHeader"/>
        <w:spacing w:before="0" w:after="240" w:line="240" w:lineRule="auto"/>
        <w:jc w:val="center"/>
        <w:rPr>
          <w:rFonts w:cs="Tahoma"/>
          <w:sz w:val="20"/>
          <w:szCs w:val="20"/>
        </w:rPr>
      </w:pPr>
    </w:p>
    <w:p w14:paraId="68342E26" w14:textId="260BA8E7" w:rsidR="00251CCF" w:rsidRPr="00251CCF" w:rsidRDefault="00251CCF" w:rsidP="00251CCF">
      <w:pPr>
        <w:spacing w:after="120" w:line="240" w:lineRule="auto"/>
        <w:ind w:left="0"/>
        <w:rPr>
          <w:rFonts w:cs="Arial"/>
          <w:sz w:val="22"/>
          <w:szCs w:val="22"/>
          <w:u w:val="single"/>
        </w:rPr>
      </w:pPr>
      <w:r w:rsidRPr="00251CCF">
        <w:rPr>
          <w:rFonts w:cs="Arial"/>
          <w:sz w:val="22"/>
          <w:szCs w:val="22"/>
          <w:u w:val="single"/>
        </w:rPr>
        <w:t>STLM scenarios</w:t>
      </w:r>
    </w:p>
    <w:p w14:paraId="5A4D4ECD" w14:textId="4B984ECC" w:rsidR="007545FC" w:rsidRDefault="007545FC" w:rsidP="007545FC">
      <w:pPr>
        <w:ind w:left="0"/>
        <w:rPr>
          <w:rFonts w:cs="Arial"/>
          <w:sz w:val="22"/>
          <w:szCs w:val="22"/>
        </w:rPr>
      </w:pPr>
      <w:r>
        <w:rPr>
          <w:rFonts w:cs="Arial"/>
          <w:sz w:val="22"/>
          <w:szCs w:val="22"/>
        </w:rPr>
        <w:t>The following section is an edited extract from the JASCO STLM report</w:t>
      </w:r>
      <w:r w:rsidR="00C6558B">
        <w:rPr>
          <w:rFonts w:cs="Arial"/>
          <w:sz w:val="22"/>
          <w:szCs w:val="22"/>
        </w:rPr>
        <w:t xml:space="preserve"> (McPherson </w:t>
      </w:r>
      <w:r w:rsidR="00C6558B" w:rsidRPr="00C6558B">
        <w:rPr>
          <w:rFonts w:cs="Arial"/>
          <w:i/>
          <w:sz w:val="22"/>
          <w:szCs w:val="22"/>
        </w:rPr>
        <w:t>et al</w:t>
      </w:r>
      <w:r w:rsidR="00C6558B">
        <w:rPr>
          <w:rFonts w:cs="Arial"/>
          <w:sz w:val="22"/>
          <w:szCs w:val="22"/>
        </w:rPr>
        <w:t>., 2017)</w:t>
      </w:r>
      <w:r w:rsidR="008E7BBF">
        <w:rPr>
          <w:rFonts w:cs="Arial"/>
          <w:sz w:val="22"/>
          <w:szCs w:val="22"/>
        </w:rPr>
        <w:t>.</w:t>
      </w:r>
    </w:p>
    <w:p w14:paraId="17BBA1E8" w14:textId="77777777" w:rsidR="007545FC" w:rsidRDefault="007545FC" w:rsidP="007545FC">
      <w:pPr>
        <w:ind w:left="0"/>
        <w:rPr>
          <w:rFonts w:cs="Arial"/>
          <w:sz w:val="22"/>
          <w:szCs w:val="22"/>
        </w:rPr>
      </w:pPr>
    </w:p>
    <w:p w14:paraId="62D4E816" w14:textId="27EB4455" w:rsidR="007545FC" w:rsidRDefault="007545FC" w:rsidP="007545FC">
      <w:pPr>
        <w:ind w:left="0"/>
        <w:rPr>
          <w:rFonts w:cs="Arial"/>
          <w:sz w:val="22"/>
          <w:szCs w:val="22"/>
        </w:rPr>
      </w:pPr>
      <w:r w:rsidRPr="00371D5C">
        <w:rPr>
          <w:rFonts w:cs="Arial"/>
          <w:sz w:val="22"/>
          <w:szCs w:val="22"/>
        </w:rPr>
        <w:t xml:space="preserve">During a seismic survey, a new portion of sound energy is introduced into the environment with each pulse from the airgun array. While some impact criteria are based on per-pulse energy released, others, such as the marine mammal </w:t>
      </w:r>
      <w:r w:rsidRPr="00371D5C">
        <w:rPr>
          <w:rFonts w:cs="Arial"/>
          <w:sz w:val="22"/>
          <w:szCs w:val="22"/>
        </w:rPr>
        <w:lastRenderedPageBreak/>
        <w:t>and fish SEL criteria used in this report account for the total acoustic energy marine fauna is subjected to over a specified period of time, defined in this report as 24 hours</w:t>
      </w:r>
      <w:r>
        <w:rPr>
          <w:rFonts w:cs="Arial"/>
          <w:sz w:val="22"/>
          <w:szCs w:val="22"/>
        </w:rPr>
        <w:t xml:space="preserve"> (SEL</w:t>
      </w:r>
      <w:r w:rsidRPr="00265441">
        <w:rPr>
          <w:rFonts w:cs="Arial"/>
          <w:sz w:val="22"/>
          <w:szCs w:val="22"/>
          <w:vertAlign w:val="subscript"/>
        </w:rPr>
        <w:t>24h</w:t>
      </w:r>
      <w:r>
        <w:rPr>
          <w:rFonts w:cs="Arial"/>
          <w:sz w:val="22"/>
          <w:szCs w:val="22"/>
        </w:rPr>
        <w:t>)</w:t>
      </w:r>
      <w:r w:rsidRPr="00371D5C">
        <w:rPr>
          <w:rFonts w:cs="Arial"/>
          <w:sz w:val="22"/>
          <w:szCs w:val="22"/>
        </w:rPr>
        <w:t>. An accurate assessment of the cumulative acoustic field depends not only on the parameters of each impulse, but also on the number of impulses delivered in a period and the relative positions of the impulses.</w:t>
      </w:r>
    </w:p>
    <w:p w14:paraId="4B3C1062" w14:textId="77777777" w:rsidR="007545FC" w:rsidRDefault="007545FC" w:rsidP="00251CCF">
      <w:pPr>
        <w:ind w:left="0"/>
        <w:rPr>
          <w:rFonts w:cs="Arial"/>
          <w:sz w:val="22"/>
          <w:szCs w:val="22"/>
        </w:rPr>
      </w:pPr>
    </w:p>
    <w:p w14:paraId="6661EA78" w14:textId="1675D5CE" w:rsidR="00251CCF" w:rsidRPr="00EF4E2A" w:rsidRDefault="00251CCF" w:rsidP="00251CCF">
      <w:pPr>
        <w:ind w:left="0"/>
        <w:rPr>
          <w:rFonts w:cs="Arial"/>
          <w:sz w:val="22"/>
          <w:szCs w:val="22"/>
        </w:rPr>
      </w:pPr>
      <w:r w:rsidRPr="00251CCF">
        <w:rPr>
          <w:rFonts w:cs="Arial"/>
          <w:sz w:val="22"/>
          <w:szCs w:val="22"/>
        </w:rPr>
        <w:t xml:space="preserve">Thousands of shots must be modelled to represent 24 hours of seismic operation. </w:t>
      </w:r>
      <w:r w:rsidR="007545FC">
        <w:rPr>
          <w:rFonts w:cs="Arial"/>
          <w:sz w:val="22"/>
          <w:szCs w:val="22"/>
        </w:rPr>
        <w:t>T</w:t>
      </w:r>
      <w:r w:rsidRPr="00251CCF">
        <w:rPr>
          <w:rFonts w:cs="Arial"/>
          <w:sz w:val="22"/>
          <w:szCs w:val="22"/>
        </w:rPr>
        <w:t xml:space="preserve">he process </w:t>
      </w:r>
      <w:r w:rsidR="007545FC">
        <w:rPr>
          <w:rFonts w:cs="Arial"/>
          <w:sz w:val="22"/>
          <w:szCs w:val="22"/>
        </w:rPr>
        <w:t xml:space="preserve">of modelling operations </w:t>
      </w:r>
      <w:r w:rsidRPr="00251CCF">
        <w:rPr>
          <w:rFonts w:cs="Arial"/>
          <w:sz w:val="22"/>
          <w:szCs w:val="22"/>
        </w:rPr>
        <w:t xml:space="preserve">can be made manageable by estimating the acoustic fields based on a limited number of single shot sound fields at representative source locations. In this case, the six single shot model sites formed the library of representative footprints. The survey lines within each 24-hour exposure calculation were segmented by classifying shot points to one of the six representative sites based on geographic similarity as shown in </w:t>
      </w:r>
      <w:r w:rsidR="00CB7C3D" w:rsidRPr="00EF4E2A">
        <w:rPr>
          <w:rFonts w:cs="Arial"/>
          <w:sz w:val="22"/>
          <w:szCs w:val="22"/>
        </w:rPr>
        <w:t>Figure 7.2, Figure 7.3 and Figure 7.4</w:t>
      </w:r>
      <w:r w:rsidRPr="00EF4E2A">
        <w:rPr>
          <w:rFonts w:cs="Arial"/>
          <w:sz w:val="22"/>
          <w:szCs w:val="22"/>
        </w:rPr>
        <w:t>.</w:t>
      </w:r>
    </w:p>
    <w:p w14:paraId="2155833B" w14:textId="77777777" w:rsidR="00CB7C3D" w:rsidRPr="00EF4E2A" w:rsidRDefault="00CB7C3D" w:rsidP="00251CCF">
      <w:pPr>
        <w:ind w:left="0"/>
        <w:rPr>
          <w:rFonts w:cs="Arial"/>
          <w:sz w:val="22"/>
          <w:szCs w:val="22"/>
        </w:rPr>
      </w:pPr>
    </w:p>
    <w:p w14:paraId="68981FBC" w14:textId="3799B216" w:rsidR="00CB7C3D" w:rsidRPr="00EF4E2A" w:rsidRDefault="00251CCF" w:rsidP="00CB7C3D">
      <w:pPr>
        <w:spacing w:after="120" w:line="240" w:lineRule="auto"/>
        <w:ind w:left="0"/>
        <w:rPr>
          <w:rFonts w:cs="Arial"/>
          <w:sz w:val="22"/>
          <w:szCs w:val="22"/>
        </w:rPr>
      </w:pPr>
      <w:r w:rsidRPr="00EF4E2A">
        <w:rPr>
          <w:rFonts w:cs="Arial"/>
          <w:sz w:val="22"/>
          <w:szCs w:val="22"/>
        </w:rPr>
        <w:t xml:space="preserve">Three scenarios were defined for assessing accumulated SEL over 24 hours of seismic operation along the supplied acquisition lines. The scenarios represent possible methods for acquisition, as </w:t>
      </w:r>
      <w:r w:rsidR="00CB7C3D" w:rsidRPr="00EF4E2A">
        <w:rPr>
          <w:rFonts w:cs="Arial"/>
          <w:sz w:val="22"/>
          <w:szCs w:val="22"/>
        </w:rPr>
        <w:t>the</w:t>
      </w:r>
      <w:r w:rsidRPr="00EF4E2A">
        <w:rPr>
          <w:rFonts w:cs="Arial"/>
          <w:sz w:val="22"/>
          <w:szCs w:val="22"/>
        </w:rPr>
        <w:t xml:space="preserve"> survey planning </w:t>
      </w:r>
      <w:r w:rsidR="00D9293D" w:rsidRPr="00EF4E2A">
        <w:rPr>
          <w:rFonts w:cs="Arial"/>
          <w:sz w:val="22"/>
          <w:szCs w:val="22"/>
        </w:rPr>
        <w:t xml:space="preserve">was not </w:t>
      </w:r>
      <w:r w:rsidRPr="00EF4E2A">
        <w:rPr>
          <w:rFonts w:cs="Arial"/>
          <w:sz w:val="22"/>
          <w:szCs w:val="22"/>
        </w:rPr>
        <w:t xml:space="preserve">finalised </w:t>
      </w:r>
      <w:r w:rsidR="00D9293D" w:rsidRPr="00EF4E2A">
        <w:rPr>
          <w:rFonts w:cs="Arial"/>
          <w:sz w:val="22"/>
          <w:szCs w:val="22"/>
        </w:rPr>
        <w:t>at the time the STLM was undertaken</w:t>
      </w:r>
      <w:r w:rsidRPr="00EF4E2A">
        <w:rPr>
          <w:rFonts w:cs="Arial"/>
          <w:sz w:val="22"/>
          <w:szCs w:val="22"/>
        </w:rPr>
        <w:t>.</w:t>
      </w:r>
      <w:r w:rsidR="00CB7C3D" w:rsidRPr="00EF4E2A">
        <w:rPr>
          <w:rFonts w:cs="Arial"/>
          <w:sz w:val="22"/>
          <w:szCs w:val="22"/>
        </w:rPr>
        <w:t xml:space="preserve"> These scenarios are:</w:t>
      </w:r>
    </w:p>
    <w:p w14:paraId="50CFA7D2" w14:textId="0DB33A21" w:rsidR="00CB7C3D" w:rsidRPr="00EF4E2A" w:rsidRDefault="00251CCF" w:rsidP="00CB7C3D">
      <w:pPr>
        <w:pStyle w:val="ListParagraph0"/>
        <w:numPr>
          <w:ilvl w:val="0"/>
          <w:numId w:val="387"/>
        </w:numPr>
        <w:rPr>
          <w:rFonts w:cs="Arial"/>
          <w:sz w:val="22"/>
          <w:szCs w:val="22"/>
        </w:rPr>
      </w:pPr>
      <w:r w:rsidRPr="00EF4E2A">
        <w:rPr>
          <w:rFonts w:cs="Arial"/>
          <w:sz w:val="22"/>
          <w:szCs w:val="22"/>
        </w:rPr>
        <w:t>Scenario 1 (</w:t>
      </w:r>
      <w:r w:rsidR="00CB7C3D" w:rsidRPr="00EF4E2A">
        <w:rPr>
          <w:rFonts w:cs="Arial"/>
          <w:sz w:val="22"/>
          <w:szCs w:val="22"/>
        </w:rPr>
        <w:t>Figure 7.2</w:t>
      </w:r>
      <w:r w:rsidRPr="00EF4E2A">
        <w:rPr>
          <w:rFonts w:cs="Arial"/>
          <w:sz w:val="22"/>
          <w:szCs w:val="22"/>
        </w:rPr>
        <w:t xml:space="preserve">) </w:t>
      </w:r>
      <w:r w:rsidR="00CB7C3D" w:rsidRPr="00EF4E2A">
        <w:rPr>
          <w:rFonts w:cs="Arial"/>
          <w:sz w:val="22"/>
          <w:szCs w:val="22"/>
        </w:rPr>
        <w:t xml:space="preserve">– </w:t>
      </w:r>
      <w:r w:rsidRPr="00EF4E2A">
        <w:rPr>
          <w:rFonts w:cs="Arial"/>
          <w:sz w:val="22"/>
          <w:szCs w:val="22"/>
        </w:rPr>
        <w:t xml:space="preserve">represents an acquisition pattern traversing the entire acquisition area </w:t>
      </w:r>
      <w:r w:rsidR="002265CA" w:rsidRPr="00EF4E2A">
        <w:rPr>
          <w:rFonts w:cs="Arial"/>
          <w:sz w:val="22"/>
          <w:szCs w:val="22"/>
        </w:rPr>
        <w:t>over 24 hours</w:t>
      </w:r>
      <w:r w:rsidR="00CB7C3D" w:rsidRPr="00EF4E2A">
        <w:rPr>
          <w:rFonts w:cs="Arial"/>
          <w:sz w:val="22"/>
          <w:szCs w:val="22"/>
        </w:rPr>
        <w:t>;</w:t>
      </w:r>
      <w:r w:rsidRPr="00EF4E2A">
        <w:rPr>
          <w:rFonts w:cs="Arial"/>
          <w:sz w:val="22"/>
          <w:szCs w:val="22"/>
        </w:rPr>
        <w:t xml:space="preserve"> </w:t>
      </w:r>
    </w:p>
    <w:p w14:paraId="65CA3D15" w14:textId="698476E8" w:rsidR="00CB7C3D" w:rsidRPr="00EF4E2A" w:rsidRDefault="00CB7C3D" w:rsidP="00CB7C3D">
      <w:pPr>
        <w:pStyle w:val="ListParagraph0"/>
        <w:numPr>
          <w:ilvl w:val="0"/>
          <w:numId w:val="387"/>
        </w:numPr>
        <w:rPr>
          <w:rFonts w:cs="Arial"/>
          <w:sz w:val="22"/>
          <w:szCs w:val="22"/>
        </w:rPr>
      </w:pPr>
      <w:r w:rsidRPr="00EF4E2A">
        <w:rPr>
          <w:rFonts w:cs="Arial"/>
          <w:sz w:val="22"/>
          <w:szCs w:val="22"/>
        </w:rPr>
        <w:t xml:space="preserve">Scenario 2 (Figure 7.3) </w:t>
      </w:r>
      <w:r w:rsidRPr="00EF4E2A">
        <w:rPr>
          <w:rFonts w:cs="Arial"/>
          <w:sz w:val="22"/>
          <w:szCs w:val="22"/>
        </w:rPr>
        <w:softHyphen/>
        <w:t xml:space="preserve">– represents </w:t>
      </w:r>
      <w:r w:rsidR="00251CCF" w:rsidRPr="00EF4E2A">
        <w:rPr>
          <w:rFonts w:cs="Arial"/>
          <w:sz w:val="22"/>
          <w:szCs w:val="22"/>
        </w:rPr>
        <w:t xml:space="preserve">sections of a </w:t>
      </w:r>
      <w:r w:rsidR="002265CA" w:rsidRPr="00EF4E2A">
        <w:rPr>
          <w:rFonts w:cs="Arial"/>
          <w:sz w:val="22"/>
          <w:szCs w:val="22"/>
        </w:rPr>
        <w:t xml:space="preserve">tight turn </w:t>
      </w:r>
      <w:r w:rsidR="00251CCF" w:rsidRPr="00EF4E2A">
        <w:rPr>
          <w:rFonts w:cs="Arial"/>
          <w:sz w:val="22"/>
          <w:szCs w:val="22"/>
        </w:rPr>
        <w:t xml:space="preserve">typical ‘racetrack’ type acquisition pattern, </w:t>
      </w:r>
      <w:r w:rsidR="002265CA" w:rsidRPr="00EF4E2A">
        <w:rPr>
          <w:rFonts w:cs="Arial"/>
          <w:sz w:val="22"/>
          <w:szCs w:val="22"/>
        </w:rPr>
        <w:t xml:space="preserve">where the turn was of a 45 minute duration, </w:t>
      </w:r>
      <w:r w:rsidRPr="00EF4E2A">
        <w:rPr>
          <w:rFonts w:cs="Arial"/>
          <w:sz w:val="22"/>
          <w:szCs w:val="22"/>
        </w:rPr>
        <w:t xml:space="preserve">this one </w:t>
      </w:r>
      <w:r w:rsidR="00251CCF" w:rsidRPr="00EF4E2A">
        <w:rPr>
          <w:rFonts w:cs="Arial"/>
          <w:sz w:val="22"/>
          <w:szCs w:val="22"/>
        </w:rPr>
        <w:t>examining an offshore section</w:t>
      </w:r>
      <w:r w:rsidRPr="00EF4E2A">
        <w:rPr>
          <w:rFonts w:cs="Arial"/>
          <w:sz w:val="22"/>
          <w:szCs w:val="22"/>
        </w:rPr>
        <w:t xml:space="preserve">; </w:t>
      </w:r>
    </w:p>
    <w:p w14:paraId="28CDCCE1" w14:textId="3E4D6FFF" w:rsidR="00CB7C3D" w:rsidRPr="00CB7C3D" w:rsidRDefault="00CB7C3D" w:rsidP="00CB7C3D">
      <w:pPr>
        <w:pStyle w:val="ListParagraph0"/>
        <w:numPr>
          <w:ilvl w:val="0"/>
          <w:numId w:val="387"/>
        </w:numPr>
        <w:rPr>
          <w:rFonts w:cs="Arial"/>
          <w:sz w:val="22"/>
          <w:szCs w:val="22"/>
        </w:rPr>
      </w:pPr>
      <w:r w:rsidRPr="00EF4E2A">
        <w:rPr>
          <w:rFonts w:cs="Arial"/>
          <w:sz w:val="22"/>
          <w:szCs w:val="22"/>
        </w:rPr>
        <w:t xml:space="preserve">Scenario 3 (Figure 7.4) </w:t>
      </w:r>
      <w:r w:rsidRPr="00EF4E2A">
        <w:rPr>
          <w:rFonts w:cs="Arial"/>
          <w:sz w:val="22"/>
          <w:szCs w:val="22"/>
        </w:rPr>
        <w:softHyphen/>
        <w:t xml:space="preserve">– represents sections of a </w:t>
      </w:r>
      <w:r w:rsidR="002265CA" w:rsidRPr="00EF4E2A">
        <w:rPr>
          <w:rFonts w:cs="Arial"/>
          <w:sz w:val="22"/>
          <w:szCs w:val="22"/>
        </w:rPr>
        <w:t xml:space="preserve">tight turn </w:t>
      </w:r>
      <w:r w:rsidRPr="00EF4E2A">
        <w:rPr>
          <w:rFonts w:cs="Arial"/>
          <w:sz w:val="22"/>
          <w:szCs w:val="22"/>
        </w:rPr>
        <w:t xml:space="preserve">typical ‘racetrack’ type acquisition pattern, </w:t>
      </w:r>
      <w:r w:rsidR="002265CA" w:rsidRPr="00EF4E2A">
        <w:rPr>
          <w:rFonts w:cs="Arial"/>
          <w:sz w:val="22"/>
          <w:szCs w:val="22"/>
        </w:rPr>
        <w:t>where the turn was of a</w:t>
      </w:r>
      <w:r w:rsidR="002265CA">
        <w:rPr>
          <w:rFonts w:cs="Arial"/>
          <w:sz w:val="22"/>
          <w:szCs w:val="22"/>
        </w:rPr>
        <w:t xml:space="preserve"> 45 minute duration, </w:t>
      </w:r>
      <w:r>
        <w:rPr>
          <w:rFonts w:cs="Arial"/>
          <w:sz w:val="22"/>
          <w:szCs w:val="22"/>
        </w:rPr>
        <w:t xml:space="preserve">this one </w:t>
      </w:r>
      <w:r w:rsidRPr="00CB7C3D">
        <w:rPr>
          <w:rFonts w:cs="Arial"/>
          <w:sz w:val="22"/>
          <w:szCs w:val="22"/>
        </w:rPr>
        <w:t xml:space="preserve">examining </w:t>
      </w:r>
      <w:r w:rsidR="00251CCF" w:rsidRPr="00CB7C3D">
        <w:rPr>
          <w:rFonts w:cs="Arial"/>
          <w:sz w:val="22"/>
          <w:szCs w:val="22"/>
        </w:rPr>
        <w:t xml:space="preserve">a section closer to shore. </w:t>
      </w:r>
    </w:p>
    <w:p w14:paraId="0FD38ED0" w14:textId="77777777" w:rsidR="00CB7C3D" w:rsidRDefault="00CB7C3D" w:rsidP="00251CCF">
      <w:pPr>
        <w:ind w:left="0"/>
        <w:rPr>
          <w:rFonts w:cs="Arial"/>
          <w:sz w:val="22"/>
          <w:szCs w:val="22"/>
        </w:rPr>
      </w:pPr>
    </w:p>
    <w:p w14:paraId="4EB0B682" w14:textId="1E51C08C" w:rsidR="00251CCF" w:rsidRDefault="00251CCF" w:rsidP="00251CCF">
      <w:pPr>
        <w:ind w:left="0"/>
        <w:rPr>
          <w:rFonts w:cs="Arial"/>
          <w:sz w:val="22"/>
          <w:szCs w:val="22"/>
        </w:rPr>
      </w:pPr>
      <w:r w:rsidRPr="00251CCF">
        <w:rPr>
          <w:rFonts w:cs="Arial"/>
          <w:sz w:val="22"/>
          <w:szCs w:val="22"/>
        </w:rPr>
        <w:t>For all scenarios</w:t>
      </w:r>
      <w:r w:rsidR="00D9293D">
        <w:rPr>
          <w:rFonts w:cs="Arial"/>
          <w:sz w:val="22"/>
          <w:szCs w:val="22"/>
        </w:rPr>
        <w:t>,</w:t>
      </w:r>
      <w:r w:rsidRPr="00251CCF">
        <w:rPr>
          <w:rFonts w:cs="Arial"/>
          <w:sz w:val="22"/>
          <w:szCs w:val="22"/>
        </w:rPr>
        <w:t xml:space="preserve"> the vessel is assumed to start at the southern end of the most easterly line, and traverse the survey lines at a speed of approximately 4.5 knots, with a shot interval of 12.5 m</w:t>
      </w:r>
      <w:r w:rsidR="00CB7C3D">
        <w:rPr>
          <w:rFonts w:cs="Arial"/>
          <w:sz w:val="22"/>
          <w:szCs w:val="22"/>
        </w:rPr>
        <w:t>.</w:t>
      </w:r>
    </w:p>
    <w:p w14:paraId="198D934E" w14:textId="77777777" w:rsidR="00CB7C3D" w:rsidRPr="00251CCF" w:rsidRDefault="00CB7C3D" w:rsidP="00251CCF">
      <w:pPr>
        <w:ind w:left="0"/>
        <w:rPr>
          <w:rFonts w:cs="Arial"/>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5"/>
      </w:tblGrid>
      <w:tr w:rsidR="00CB7C3D" w14:paraId="0106A8CF" w14:textId="77777777" w:rsidTr="00D9293D">
        <w:trPr>
          <w:trHeight w:val="5632"/>
        </w:trPr>
        <w:tc>
          <w:tcPr>
            <w:tcW w:w="8055" w:type="dxa"/>
          </w:tcPr>
          <w:p w14:paraId="6EEAC0DE" w14:textId="44A8576D" w:rsidR="00CB7C3D" w:rsidRDefault="0049030C" w:rsidP="007545FC">
            <w:pPr>
              <w:pStyle w:val="TableHeader"/>
              <w:spacing w:before="0" w:after="0" w:line="240" w:lineRule="auto"/>
              <w:jc w:val="center"/>
              <w:rPr>
                <w:rFonts w:cs="Tahoma"/>
                <w:b w:val="0"/>
                <w:sz w:val="20"/>
                <w:szCs w:val="20"/>
                <w:highlight w:val="yellow"/>
              </w:rPr>
            </w:pPr>
            <w:r w:rsidRPr="00352A29">
              <w:rPr>
                <w:noProof/>
              </w:rPr>
              <w:lastRenderedPageBreak/>
              <w:drawing>
                <wp:inline distT="0" distB="0" distL="0" distR="0" wp14:anchorId="4B628B14" wp14:editId="1E7E66F1">
                  <wp:extent cx="4389971" cy="3290089"/>
                  <wp:effectExtent l="0" t="0" r="4445" b="1206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delling_overview _24hlines_forReport.png"/>
                          <pic:cNvPicPr/>
                        </pic:nvPicPr>
                        <pic:blipFill rotWithShape="1">
                          <a:blip r:embed="rId248" cstate="screen">
                            <a:extLst>
                              <a:ext uri="{28A0092B-C50C-407E-A947-70E740481C1C}">
                                <a14:useLocalDpi xmlns:a14="http://schemas.microsoft.com/office/drawing/2010/main"/>
                              </a:ext>
                            </a:extLst>
                          </a:blip>
                          <a:srcRect l="1916" t="3129" r="-1"/>
                          <a:stretch/>
                        </pic:blipFill>
                        <pic:spPr bwMode="auto">
                          <a:xfrm>
                            <a:off x="0" y="0"/>
                            <a:ext cx="4409946" cy="3305059"/>
                          </a:xfrm>
                          <a:prstGeom prst="rect">
                            <a:avLst/>
                          </a:prstGeom>
                          <a:ln>
                            <a:noFill/>
                          </a:ln>
                          <a:extLst>
                            <a:ext uri="{53640926-AAD7-44D8-BBD7-CCE9431645EC}">
                              <a14:shadowObscured xmlns:a14="http://schemas.microsoft.com/office/drawing/2010/main"/>
                            </a:ext>
                          </a:extLst>
                        </pic:spPr>
                      </pic:pic>
                    </a:graphicData>
                  </a:graphic>
                </wp:inline>
              </w:drawing>
            </w:r>
          </w:p>
          <w:p w14:paraId="68D9A7C9" w14:textId="7BCC577A" w:rsidR="00CB7C3D" w:rsidRPr="00CB7C3D" w:rsidRDefault="00CB7C3D" w:rsidP="00D44D20">
            <w:pPr>
              <w:spacing w:line="240" w:lineRule="auto"/>
              <w:ind w:left="0"/>
              <w:contextualSpacing/>
              <w:rPr>
                <w:rFonts w:cs="Arial"/>
                <w:sz w:val="16"/>
                <w:szCs w:val="16"/>
              </w:rPr>
            </w:pPr>
            <w:r w:rsidRPr="00CB7C3D">
              <w:rPr>
                <w:rFonts w:cs="Arial"/>
                <w:sz w:val="16"/>
                <w:szCs w:val="16"/>
              </w:rPr>
              <w:t>The representative sites are color-coded to indicate the model scenario classification scheme used to define the noise footprint for each airgun shot point.</w:t>
            </w:r>
          </w:p>
        </w:tc>
      </w:tr>
    </w:tbl>
    <w:p w14:paraId="1AD3A334" w14:textId="064FED66" w:rsidR="00CB7C3D" w:rsidRPr="00CB7C3D" w:rsidRDefault="00CB7C3D" w:rsidP="00D44D20">
      <w:pPr>
        <w:pStyle w:val="TableHeader"/>
        <w:spacing w:before="0" w:after="120" w:line="240" w:lineRule="auto"/>
        <w:rPr>
          <w:rFonts w:cs="Tahoma"/>
          <w:b w:val="0"/>
          <w:i/>
          <w:sz w:val="16"/>
          <w:szCs w:val="16"/>
        </w:rPr>
      </w:pPr>
      <w:r w:rsidRPr="00CB7C3D">
        <w:rPr>
          <w:rFonts w:cs="Tahoma"/>
          <w:b w:val="0"/>
          <w:i/>
          <w:sz w:val="16"/>
          <w:szCs w:val="16"/>
        </w:rPr>
        <w:t>Source: JASCO (2017).</w:t>
      </w:r>
    </w:p>
    <w:p w14:paraId="66D332F0" w14:textId="77A8B317" w:rsidR="00CB7C3D" w:rsidRPr="00CB7C3D" w:rsidRDefault="00CB7C3D" w:rsidP="00CB7C3D">
      <w:pPr>
        <w:ind w:left="0"/>
        <w:jc w:val="center"/>
        <w:rPr>
          <w:rFonts w:cs="Arial"/>
          <w:b/>
          <w:sz w:val="20"/>
          <w:szCs w:val="20"/>
          <w:specVanish/>
        </w:rPr>
      </w:pPr>
      <w:r w:rsidRPr="00CB7C3D">
        <w:rPr>
          <w:rFonts w:cs="Arial"/>
          <w:b/>
          <w:sz w:val="20"/>
          <w:szCs w:val="20"/>
        </w:rPr>
        <w:t>Figure 7.2.</w:t>
      </w:r>
      <w:r>
        <w:rPr>
          <w:rFonts w:cs="Arial"/>
          <w:b/>
          <w:sz w:val="20"/>
          <w:szCs w:val="20"/>
        </w:rPr>
        <w:tab/>
      </w:r>
      <w:r w:rsidRPr="00CB7C3D">
        <w:rPr>
          <w:rFonts w:cs="Arial"/>
          <w:b/>
          <w:sz w:val="20"/>
          <w:szCs w:val="20"/>
        </w:rPr>
        <w:t>Scenario 1</w:t>
      </w:r>
      <w:r>
        <w:rPr>
          <w:rFonts w:cs="Arial"/>
          <w:b/>
          <w:sz w:val="20"/>
          <w:szCs w:val="20"/>
        </w:rPr>
        <w:t xml:space="preserve"> </w:t>
      </w:r>
      <w:r w:rsidR="00EA3765">
        <w:rPr>
          <w:rFonts w:cs="Arial"/>
          <w:b/>
          <w:sz w:val="20"/>
          <w:szCs w:val="20"/>
        </w:rPr>
        <w:t>–</w:t>
      </w:r>
      <w:r>
        <w:rPr>
          <w:rFonts w:cs="Arial"/>
          <w:b/>
          <w:sz w:val="20"/>
          <w:szCs w:val="20"/>
        </w:rPr>
        <w:t xml:space="preserve"> </w:t>
      </w:r>
      <w:r w:rsidR="00EA3765">
        <w:rPr>
          <w:rFonts w:cs="Arial"/>
          <w:b/>
          <w:sz w:val="20"/>
          <w:szCs w:val="20"/>
        </w:rPr>
        <w:t xml:space="preserve">east to west </w:t>
      </w:r>
      <w:r w:rsidR="00D44D20">
        <w:rPr>
          <w:rFonts w:cs="Arial"/>
          <w:b/>
          <w:sz w:val="20"/>
          <w:szCs w:val="20"/>
        </w:rPr>
        <w:t xml:space="preserve">acquisition </w:t>
      </w:r>
      <w:r w:rsidRPr="00CB7C3D">
        <w:rPr>
          <w:rFonts w:cs="Arial"/>
          <w:b/>
          <w:sz w:val="20"/>
          <w:szCs w:val="20"/>
        </w:rPr>
        <w:t>scenario considered for SEL</w:t>
      </w:r>
      <w:r w:rsidR="00627DB2">
        <w:rPr>
          <w:rFonts w:cs="Arial"/>
          <w:b/>
          <w:sz w:val="20"/>
          <w:szCs w:val="20"/>
          <w:vertAlign w:val="subscript"/>
        </w:rPr>
        <w:t>24h</w:t>
      </w:r>
      <w:r w:rsidRPr="00CB7C3D">
        <w:rPr>
          <w:rFonts w:cs="Arial"/>
          <w:b/>
          <w:sz w:val="20"/>
          <w:szCs w:val="20"/>
          <w:vertAlign w:val="subscript"/>
        </w:rPr>
        <w:t xml:space="preserve"> </w:t>
      </w:r>
      <w:r w:rsidRPr="00CB7C3D">
        <w:rPr>
          <w:rFonts w:cs="Arial"/>
          <w:b/>
          <w:sz w:val="20"/>
          <w:szCs w:val="20"/>
        </w:rPr>
        <w:t>calculations</w:t>
      </w:r>
    </w:p>
    <w:p w14:paraId="7786B80E" w14:textId="56C84F44" w:rsidR="00CB7C3D" w:rsidRDefault="00CB7C3D" w:rsidP="00EE7512">
      <w:pPr>
        <w:pStyle w:val="TableHeader"/>
        <w:spacing w:before="0" w:after="240" w:line="240" w:lineRule="auto"/>
        <w:rPr>
          <w:rFonts w:cs="Tahoma"/>
          <w:b w:val="0"/>
          <w:sz w:val="20"/>
          <w:szCs w:val="20"/>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5"/>
      </w:tblGrid>
      <w:tr w:rsidR="00CB7C3D" w14:paraId="3C81E31E" w14:textId="77777777" w:rsidTr="00EA3765">
        <w:tc>
          <w:tcPr>
            <w:tcW w:w="8522" w:type="dxa"/>
          </w:tcPr>
          <w:p w14:paraId="61734E5B" w14:textId="092EBF47" w:rsidR="00CB7C3D" w:rsidRDefault="0049030C" w:rsidP="007545FC">
            <w:pPr>
              <w:pStyle w:val="TableHeader"/>
              <w:spacing w:before="0" w:after="0" w:line="240" w:lineRule="auto"/>
              <w:jc w:val="center"/>
              <w:rPr>
                <w:rFonts w:cs="Tahoma"/>
                <w:b w:val="0"/>
                <w:sz w:val="20"/>
                <w:szCs w:val="20"/>
                <w:highlight w:val="yellow"/>
              </w:rPr>
            </w:pPr>
            <w:r w:rsidRPr="00352A29">
              <w:rPr>
                <w:noProof/>
              </w:rPr>
              <w:drawing>
                <wp:inline distT="0" distB="0" distL="0" distR="0" wp14:anchorId="0C82D8ED" wp14:editId="12C8A430">
                  <wp:extent cx="4618571" cy="3480567"/>
                  <wp:effectExtent l="0" t="0" r="4445"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delling_overview _24hlines_forReport.png"/>
                          <pic:cNvPicPr/>
                        </pic:nvPicPr>
                        <pic:blipFill>
                          <a:blip r:embed="rId249" cstate="screen">
                            <a:extLst>
                              <a:ext uri="{28A0092B-C50C-407E-A947-70E740481C1C}">
                                <a14:useLocalDpi xmlns:a14="http://schemas.microsoft.com/office/drawing/2010/main"/>
                              </a:ext>
                            </a:extLst>
                          </a:blip>
                          <a:stretch>
                            <a:fillRect/>
                          </a:stretch>
                        </pic:blipFill>
                        <pic:spPr>
                          <a:xfrm>
                            <a:off x="0" y="0"/>
                            <a:ext cx="4641371" cy="3497749"/>
                          </a:xfrm>
                          <a:prstGeom prst="rect">
                            <a:avLst/>
                          </a:prstGeom>
                        </pic:spPr>
                      </pic:pic>
                    </a:graphicData>
                  </a:graphic>
                </wp:inline>
              </w:drawing>
            </w:r>
          </w:p>
          <w:p w14:paraId="1F91EEC6" w14:textId="30AE16A5" w:rsidR="00CB7C3D" w:rsidRPr="00CB7C3D" w:rsidRDefault="00CB7C3D" w:rsidP="00D44D20">
            <w:pPr>
              <w:spacing w:line="240" w:lineRule="auto"/>
              <w:ind w:left="0"/>
              <w:rPr>
                <w:rFonts w:cs="Arial"/>
                <w:sz w:val="16"/>
                <w:szCs w:val="16"/>
              </w:rPr>
            </w:pPr>
            <w:r w:rsidRPr="00CB7C3D">
              <w:rPr>
                <w:rFonts w:cs="Arial"/>
                <w:sz w:val="16"/>
                <w:szCs w:val="16"/>
              </w:rPr>
              <w:t>The representative sites are color-coded to indicate the model scenario classification scheme used to define the noise footprint for each airgun shot point.</w:t>
            </w:r>
          </w:p>
        </w:tc>
      </w:tr>
    </w:tbl>
    <w:p w14:paraId="5DF2D0C9" w14:textId="77777777" w:rsidR="00CB7C3D" w:rsidRPr="00CB7C3D" w:rsidRDefault="00CB7C3D" w:rsidP="00D44D20">
      <w:pPr>
        <w:pStyle w:val="TableHeader"/>
        <w:spacing w:before="0" w:after="120" w:line="240" w:lineRule="auto"/>
        <w:rPr>
          <w:rFonts w:cs="Tahoma"/>
          <w:b w:val="0"/>
          <w:i/>
          <w:sz w:val="16"/>
          <w:szCs w:val="16"/>
        </w:rPr>
      </w:pPr>
      <w:r w:rsidRPr="00CB7C3D">
        <w:rPr>
          <w:rFonts w:cs="Tahoma"/>
          <w:b w:val="0"/>
          <w:i/>
          <w:sz w:val="16"/>
          <w:szCs w:val="16"/>
        </w:rPr>
        <w:t>Source: JASCO (2017).</w:t>
      </w:r>
    </w:p>
    <w:p w14:paraId="47409585" w14:textId="1CD91528" w:rsidR="00CB7C3D" w:rsidRDefault="00CB7C3D" w:rsidP="00CB7C3D">
      <w:pPr>
        <w:ind w:left="0"/>
        <w:jc w:val="center"/>
        <w:rPr>
          <w:rFonts w:cs="Arial"/>
          <w:b/>
          <w:sz w:val="20"/>
          <w:szCs w:val="20"/>
        </w:rPr>
      </w:pPr>
      <w:r>
        <w:rPr>
          <w:rFonts w:cs="Arial"/>
          <w:b/>
          <w:sz w:val="20"/>
          <w:szCs w:val="20"/>
        </w:rPr>
        <w:t>Figure 7.3</w:t>
      </w:r>
      <w:r w:rsidRPr="00CB7C3D">
        <w:rPr>
          <w:rFonts w:cs="Arial"/>
          <w:b/>
          <w:sz w:val="20"/>
          <w:szCs w:val="20"/>
        </w:rPr>
        <w:t>.</w:t>
      </w:r>
      <w:r>
        <w:rPr>
          <w:rFonts w:cs="Arial"/>
          <w:b/>
          <w:sz w:val="20"/>
          <w:szCs w:val="20"/>
        </w:rPr>
        <w:tab/>
      </w:r>
      <w:r w:rsidR="00EA3765">
        <w:rPr>
          <w:rFonts w:cs="Arial"/>
          <w:b/>
          <w:sz w:val="20"/>
          <w:szCs w:val="20"/>
        </w:rPr>
        <w:t>Scenario 2</w:t>
      </w:r>
      <w:r>
        <w:rPr>
          <w:rFonts w:cs="Arial"/>
          <w:b/>
          <w:sz w:val="20"/>
          <w:szCs w:val="20"/>
        </w:rPr>
        <w:t xml:space="preserve"> </w:t>
      </w:r>
      <w:r w:rsidR="00EA3765">
        <w:rPr>
          <w:rFonts w:cs="Arial"/>
          <w:b/>
          <w:sz w:val="20"/>
          <w:szCs w:val="20"/>
        </w:rPr>
        <w:t>–</w:t>
      </w:r>
      <w:r>
        <w:rPr>
          <w:rFonts w:cs="Arial"/>
          <w:b/>
          <w:sz w:val="20"/>
          <w:szCs w:val="20"/>
        </w:rPr>
        <w:t xml:space="preserve"> </w:t>
      </w:r>
      <w:r w:rsidR="00EA3765">
        <w:rPr>
          <w:rFonts w:cs="Arial"/>
          <w:b/>
          <w:sz w:val="20"/>
          <w:szCs w:val="20"/>
        </w:rPr>
        <w:t xml:space="preserve">offshore ‘racetrack’ acquisition </w:t>
      </w:r>
      <w:r w:rsidRPr="00CB7C3D">
        <w:rPr>
          <w:rFonts w:cs="Arial"/>
          <w:b/>
          <w:sz w:val="20"/>
          <w:szCs w:val="20"/>
        </w:rPr>
        <w:t>scenario considered for SEL</w:t>
      </w:r>
      <w:r w:rsidRPr="00CB7C3D">
        <w:rPr>
          <w:rFonts w:cs="Arial"/>
          <w:b/>
          <w:sz w:val="20"/>
          <w:szCs w:val="20"/>
          <w:vertAlign w:val="subscript"/>
        </w:rPr>
        <w:t xml:space="preserve">24h </w:t>
      </w:r>
      <w:r w:rsidRPr="00CB7C3D">
        <w:rPr>
          <w:rFonts w:cs="Arial"/>
          <w:b/>
          <w:sz w:val="20"/>
          <w:szCs w:val="20"/>
        </w:rPr>
        <w:t>calculations</w:t>
      </w:r>
    </w:p>
    <w:p w14:paraId="355C3EAF" w14:textId="77777777" w:rsidR="00D44D20" w:rsidRPr="00CB7C3D" w:rsidRDefault="00D44D20" w:rsidP="00CB7C3D">
      <w:pPr>
        <w:ind w:left="0"/>
        <w:jc w:val="center"/>
        <w:rPr>
          <w:rFonts w:cs="Arial"/>
          <w:b/>
          <w:sz w:val="20"/>
          <w:szCs w:val="20"/>
          <w:specVanish/>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5"/>
      </w:tblGrid>
      <w:tr w:rsidR="00CB7C3D" w14:paraId="4CC2BBAB" w14:textId="77777777" w:rsidTr="00EA3765">
        <w:tc>
          <w:tcPr>
            <w:tcW w:w="8522" w:type="dxa"/>
          </w:tcPr>
          <w:p w14:paraId="212A5522" w14:textId="616CAFA1" w:rsidR="00CB7C3D" w:rsidRDefault="0049030C" w:rsidP="007545FC">
            <w:pPr>
              <w:pStyle w:val="TableHeader"/>
              <w:spacing w:before="0" w:after="0" w:line="240" w:lineRule="auto"/>
              <w:jc w:val="center"/>
              <w:rPr>
                <w:rFonts w:cs="Tahoma"/>
                <w:b w:val="0"/>
                <w:sz w:val="20"/>
                <w:szCs w:val="20"/>
                <w:highlight w:val="yellow"/>
              </w:rPr>
            </w:pPr>
            <w:r w:rsidRPr="00352A29">
              <w:rPr>
                <w:noProof/>
              </w:rPr>
              <w:lastRenderedPageBreak/>
              <w:drawing>
                <wp:inline distT="0" distB="0" distL="0" distR="0" wp14:anchorId="09B6B471" wp14:editId="41351271">
                  <wp:extent cx="4632753" cy="3485042"/>
                  <wp:effectExtent l="0" t="0" r="0"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delling_overview _24hlines_forReport.png"/>
                          <pic:cNvPicPr/>
                        </pic:nvPicPr>
                        <pic:blipFill rotWithShape="1">
                          <a:blip r:embed="rId250" cstate="screen">
                            <a:extLst>
                              <a:ext uri="{28A0092B-C50C-407E-A947-70E740481C1C}">
                                <a14:useLocalDpi xmlns:a14="http://schemas.microsoft.com/office/drawing/2010/main"/>
                              </a:ext>
                            </a:extLst>
                          </a:blip>
                          <a:srcRect l="1834" t="2685"/>
                          <a:stretch/>
                        </pic:blipFill>
                        <pic:spPr bwMode="auto">
                          <a:xfrm>
                            <a:off x="0" y="0"/>
                            <a:ext cx="4647932" cy="3496461"/>
                          </a:xfrm>
                          <a:prstGeom prst="rect">
                            <a:avLst/>
                          </a:prstGeom>
                          <a:ln>
                            <a:noFill/>
                          </a:ln>
                          <a:extLst>
                            <a:ext uri="{53640926-AAD7-44D8-BBD7-CCE9431645EC}">
                              <a14:shadowObscured xmlns:a14="http://schemas.microsoft.com/office/drawing/2010/main"/>
                            </a:ext>
                          </a:extLst>
                        </pic:spPr>
                      </pic:pic>
                    </a:graphicData>
                  </a:graphic>
                </wp:inline>
              </w:drawing>
            </w:r>
          </w:p>
          <w:p w14:paraId="7010BA29" w14:textId="33CD0020" w:rsidR="00CB7C3D" w:rsidRPr="00CB7C3D" w:rsidRDefault="00CB7C3D" w:rsidP="00D44D20">
            <w:pPr>
              <w:spacing w:line="240" w:lineRule="auto"/>
              <w:ind w:left="0"/>
              <w:rPr>
                <w:rFonts w:cs="Arial"/>
                <w:sz w:val="16"/>
                <w:szCs w:val="16"/>
              </w:rPr>
            </w:pPr>
            <w:r w:rsidRPr="00CB7C3D">
              <w:rPr>
                <w:rFonts w:cs="Arial"/>
                <w:sz w:val="16"/>
                <w:szCs w:val="16"/>
              </w:rPr>
              <w:t>The representative sites are color-coded to indicate the model scenario classification scheme used to define the noise footprint for each airgun shot point.</w:t>
            </w:r>
          </w:p>
        </w:tc>
      </w:tr>
    </w:tbl>
    <w:p w14:paraId="65A663DD" w14:textId="77777777" w:rsidR="00CB7C3D" w:rsidRPr="00CB7C3D" w:rsidRDefault="00CB7C3D" w:rsidP="00D44D20">
      <w:pPr>
        <w:pStyle w:val="TableHeader"/>
        <w:spacing w:before="0" w:after="120" w:line="240" w:lineRule="auto"/>
        <w:rPr>
          <w:rFonts w:cs="Tahoma"/>
          <w:b w:val="0"/>
          <w:i/>
          <w:sz w:val="16"/>
          <w:szCs w:val="16"/>
        </w:rPr>
      </w:pPr>
      <w:r w:rsidRPr="00CB7C3D">
        <w:rPr>
          <w:rFonts w:cs="Tahoma"/>
          <w:b w:val="0"/>
          <w:i/>
          <w:sz w:val="16"/>
          <w:szCs w:val="16"/>
        </w:rPr>
        <w:t>Source: JASCO (2017).</w:t>
      </w:r>
    </w:p>
    <w:p w14:paraId="3B51FFD5" w14:textId="01044BB5" w:rsidR="00CB7C3D" w:rsidRPr="00CB7C3D" w:rsidRDefault="00CB7C3D" w:rsidP="00CB7C3D">
      <w:pPr>
        <w:ind w:left="0"/>
        <w:jc w:val="center"/>
        <w:rPr>
          <w:rFonts w:cs="Arial"/>
          <w:b/>
          <w:sz w:val="20"/>
          <w:szCs w:val="20"/>
          <w:specVanish/>
        </w:rPr>
      </w:pPr>
      <w:r>
        <w:rPr>
          <w:rFonts w:cs="Arial"/>
          <w:b/>
          <w:sz w:val="20"/>
          <w:szCs w:val="20"/>
        </w:rPr>
        <w:t>Figure 7.4</w:t>
      </w:r>
      <w:r w:rsidRPr="00CB7C3D">
        <w:rPr>
          <w:rFonts w:cs="Arial"/>
          <w:b/>
          <w:sz w:val="20"/>
          <w:szCs w:val="20"/>
        </w:rPr>
        <w:t>.</w:t>
      </w:r>
      <w:r>
        <w:rPr>
          <w:rFonts w:cs="Arial"/>
          <w:b/>
          <w:sz w:val="20"/>
          <w:szCs w:val="20"/>
        </w:rPr>
        <w:tab/>
      </w:r>
      <w:r w:rsidRPr="00CB7C3D">
        <w:rPr>
          <w:rFonts w:cs="Arial"/>
          <w:b/>
          <w:sz w:val="20"/>
          <w:szCs w:val="20"/>
        </w:rPr>
        <w:t xml:space="preserve">Scenario </w:t>
      </w:r>
      <w:r w:rsidR="00EA3765">
        <w:rPr>
          <w:rFonts w:cs="Arial"/>
          <w:b/>
          <w:sz w:val="20"/>
          <w:szCs w:val="20"/>
        </w:rPr>
        <w:t>3</w:t>
      </w:r>
      <w:r>
        <w:rPr>
          <w:rFonts w:cs="Arial"/>
          <w:b/>
          <w:sz w:val="20"/>
          <w:szCs w:val="20"/>
        </w:rPr>
        <w:t xml:space="preserve"> </w:t>
      </w:r>
      <w:r w:rsidR="00EA3765">
        <w:rPr>
          <w:rFonts w:cs="Arial"/>
          <w:b/>
          <w:sz w:val="20"/>
          <w:szCs w:val="20"/>
        </w:rPr>
        <w:t>–</w:t>
      </w:r>
      <w:r>
        <w:rPr>
          <w:rFonts w:cs="Arial"/>
          <w:b/>
          <w:sz w:val="20"/>
          <w:szCs w:val="20"/>
        </w:rPr>
        <w:t xml:space="preserve"> </w:t>
      </w:r>
      <w:r w:rsidR="00EA3765">
        <w:rPr>
          <w:rFonts w:cs="Arial"/>
          <w:b/>
          <w:sz w:val="20"/>
          <w:szCs w:val="20"/>
        </w:rPr>
        <w:t xml:space="preserve">nearshore ‘racetrack’ acquisition </w:t>
      </w:r>
      <w:r w:rsidRPr="00CB7C3D">
        <w:rPr>
          <w:rFonts w:cs="Arial"/>
          <w:b/>
          <w:sz w:val="20"/>
          <w:szCs w:val="20"/>
        </w:rPr>
        <w:t>scenario considered for SEL</w:t>
      </w:r>
      <w:r w:rsidRPr="00CB7C3D">
        <w:rPr>
          <w:rFonts w:cs="Arial"/>
          <w:b/>
          <w:sz w:val="20"/>
          <w:szCs w:val="20"/>
          <w:vertAlign w:val="subscript"/>
        </w:rPr>
        <w:t xml:space="preserve">24h </w:t>
      </w:r>
      <w:r w:rsidRPr="00CB7C3D">
        <w:rPr>
          <w:rFonts w:cs="Arial"/>
          <w:b/>
          <w:sz w:val="20"/>
          <w:szCs w:val="20"/>
        </w:rPr>
        <w:t>calculations</w:t>
      </w:r>
    </w:p>
    <w:p w14:paraId="13B4FBBE" w14:textId="77777777" w:rsidR="00CB7C3D" w:rsidRDefault="00CB7C3D" w:rsidP="00EE7512">
      <w:pPr>
        <w:pStyle w:val="TableHeader"/>
        <w:spacing w:before="0" w:after="240" w:line="240" w:lineRule="auto"/>
        <w:rPr>
          <w:rFonts w:cs="Tahoma"/>
          <w:b w:val="0"/>
          <w:sz w:val="20"/>
          <w:szCs w:val="20"/>
          <w:highlight w:val="yellow"/>
        </w:rPr>
      </w:pPr>
    </w:p>
    <w:p w14:paraId="33AB78D4" w14:textId="708C121B" w:rsidR="00C17D1C" w:rsidRDefault="00C17D1C" w:rsidP="00EE7512">
      <w:pPr>
        <w:pStyle w:val="TableHeader"/>
        <w:spacing w:before="0" w:after="240" w:line="240" w:lineRule="auto"/>
        <w:rPr>
          <w:rFonts w:cs="Tahoma"/>
          <w:b w:val="0"/>
          <w:sz w:val="20"/>
          <w:szCs w:val="20"/>
          <w:highlight w:val="yellow"/>
        </w:rPr>
      </w:pPr>
      <w:r w:rsidRPr="00891DE1">
        <w:rPr>
          <w:rFonts w:cs="Tahoma"/>
          <w:b w:val="0"/>
          <w:sz w:val="22"/>
          <w:szCs w:val="22"/>
        </w:rPr>
        <w:t>The following sections provide the EIA for underwater seismic sound on the various groups of biological receptors in the proposed acquisition area</w:t>
      </w:r>
      <w:r>
        <w:rPr>
          <w:rFonts w:cs="Tahoma"/>
          <w:b w:val="0"/>
          <w:sz w:val="22"/>
          <w:szCs w:val="22"/>
        </w:rPr>
        <w:t xml:space="preserve">. </w:t>
      </w:r>
    </w:p>
    <w:bookmarkEnd w:id="426"/>
    <w:p w14:paraId="0F4A4DA8" w14:textId="367A76A6" w:rsidR="00B76145" w:rsidRPr="004039F5" w:rsidRDefault="00AA3737" w:rsidP="00E9378B">
      <w:pPr>
        <w:ind w:left="0"/>
        <w:rPr>
          <w:rFonts w:cs="Arial"/>
          <w:b/>
          <w:sz w:val="22"/>
          <w:szCs w:val="22"/>
        </w:rPr>
      </w:pPr>
      <w:r>
        <w:rPr>
          <w:rFonts w:cs="Arial"/>
          <w:b/>
          <w:sz w:val="22"/>
          <w:szCs w:val="22"/>
        </w:rPr>
        <w:t xml:space="preserve">Impacts to </w:t>
      </w:r>
      <w:r w:rsidR="00B76145" w:rsidRPr="004039F5">
        <w:rPr>
          <w:rFonts w:cs="Arial"/>
          <w:b/>
          <w:sz w:val="22"/>
          <w:szCs w:val="22"/>
        </w:rPr>
        <w:t>Plankton</w:t>
      </w:r>
      <w:r w:rsidR="007545FC">
        <w:rPr>
          <w:rFonts w:cs="Arial"/>
          <w:b/>
          <w:sz w:val="22"/>
          <w:szCs w:val="22"/>
        </w:rPr>
        <w:t xml:space="preserve"> </w:t>
      </w:r>
    </w:p>
    <w:p w14:paraId="3091D0D1" w14:textId="77777777" w:rsidR="00E9378B" w:rsidRPr="004039F5" w:rsidRDefault="00E9378B" w:rsidP="00E9378B">
      <w:pPr>
        <w:ind w:left="0"/>
        <w:rPr>
          <w:rFonts w:cs="Arial"/>
          <w:sz w:val="22"/>
          <w:szCs w:val="22"/>
        </w:rPr>
      </w:pPr>
    </w:p>
    <w:p w14:paraId="6504B0E6" w14:textId="41548A6F" w:rsidR="00B76145" w:rsidRPr="004039F5" w:rsidRDefault="00B76145" w:rsidP="00E9378B">
      <w:pPr>
        <w:ind w:left="0"/>
        <w:rPr>
          <w:rFonts w:cs="Arial"/>
          <w:sz w:val="22"/>
          <w:szCs w:val="22"/>
        </w:rPr>
      </w:pPr>
      <w:r w:rsidRPr="004039F5">
        <w:rPr>
          <w:rFonts w:cs="Arial"/>
          <w:sz w:val="22"/>
          <w:szCs w:val="22"/>
        </w:rPr>
        <w:t xml:space="preserve">Plankton </w:t>
      </w:r>
      <w:r w:rsidR="00E9378B" w:rsidRPr="004039F5">
        <w:rPr>
          <w:rFonts w:cs="Arial"/>
          <w:sz w:val="22"/>
          <w:szCs w:val="22"/>
        </w:rPr>
        <w:t xml:space="preserve">(described in Section </w:t>
      </w:r>
      <w:r w:rsidR="00A04972">
        <w:rPr>
          <w:rFonts w:cs="Arial"/>
          <w:sz w:val="22"/>
          <w:szCs w:val="22"/>
        </w:rPr>
        <w:t>5.4.3</w:t>
      </w:r>
      <w:r w:rsidR="00E9378B" w:rsidRPr="004039F5">
        <w:rPr>
          <w:rFonts w:cs="Arial"/>
          <w:sz w:val="22"/>
          <w:szCs w:val="22"/>
        </w:rPr>
        <w:t xml:space="preserve">) </w:t>
      </w:r>
      <w:r w:rsidR="00FA0B33">
        <w:rPr>
          <w:rFonts w:cs="Arial"/>
          <w:sz w:val="22"/>
          <w:szCs w:val="22"/>
        </w:rPr>
        <w:t>are</w:t>
      </w:r>
      <w:r w:rsidRPr="004039F5">
        <w:rPr>
          <w:rFonts w:cs="Arial"/>
          <w:sz w:val="22"/>
          <w:szCs w:val="22"/>
        </w:rPr>
        <w:t xml:space="preserve"> very widely dispersed </w:t>
      </w:r>
      <w:r w:rsidR="00FA0B33">
        <w:rPr>
          <w:rFonts w:cs="Arial"/>
          <w:sz w:val="22"/>
          <w:szCs w:val="22"/>
        </w:rPr>
        <w:t xml:space="preserve">throughout the ocean </w:t>
      </w:r>
      <w:r w:rsidRPr="004039F5">
        <w:rPr>
          <w:rFonts w:cs="Arial"/>
          <w:sz w:val="22"/>
          <w:szCs w:val="22"/>
        </w:rPr>
        <w:t xml:space="preserve">and are transported by prevailing wind and tide driven currents. They cannot take evasive behaviour to avoid seismic sources. However, the potential for population level noise effects is limited due to their </w:t>
      </w:r>
      <w:r w:rsidR="002265CA" w:rsidRPr="004039F5">
        <w:rPr>
          <w:rFonts w:cs="Arial"/>
          <w:sz w:val="22"/>
          <w:szCs w:val="22"/>
        </w:rPr>
        <w:t xml:space="preserve">widespread distribution </w:t>
      </w:r>
      <w:r w:rsidR="002265CA">
        <w:rPr>
          <w:rFonts w:cs="Arial"/>
          <w:sz w:val="22"/>
          <w:szCs w:val="22"/>
        </w:rPr>
        <w:t>and rapid population growth rates</w:t>
      </w:r>
      <w:r w:rsidRPr="004039F5">
        <w:rPr>
          <w:rFonts w:cs="Arial"/>
          <w:sz w:val="22"/>
          <w:szCs w:val="22"/>
        </w:rPr>
        <w:t xml:space="preserve">. This means that only a small percentage of a cohort will be exposed at any one time. </w:t>
      </w:r>
    </w:p>
    <w:p w14:paraId="000352A2" w14:textId="77777777" w:rsidR="00E9378B" w:rsidRPr="004039F5" w:rsidRDefault="00E9378B" w:rsidP="00E9378B">
      <w:pPr>
        <w:ind w:left="0"/>
        <w:rPr>
          <w:rFonts w:cs="Arial"/>
          <w:sz w:val="22"/>
          <w:szCs w:val="22"/>
        </w:rPr>
      </w:pPr>
    </w:p>
    <w:p w14:paraId="0A408A65" w14:textId="21381C2C" w:rsidR="003919EA" w:rsidRPr="003919EA" w:rsidRDefault="003919EA" w:rsidP="003919EA">
      <w:pPr>
        <w:spacing w:after="120" w:line="240" w:lineRule="auto"/>
        <w:ind w:left="0"/>
        <w:rPr>
          <w:rFonts w:cs="Arial"/>
          <w:sz w:val="22"/>
          <w:szCs w:val="22"/>
          <w:u w:val="single"/>
        </w:rPr>
      </w:pPr>
      <w:r w:rsidRPr="003919EA">
        <w:rPr>
          <w:rFonts w:cs="Arial"/>
          <w:sz w:val="22"/>
          <w:szCs w:val="22"/>
          <w:u w:val="single"/>
        </w:rPr>
        <w:t xml:space="preserve">Research </w:t>
      </w:r>
      <w:r w:rsidR="00AA3737">
        <w:rPr>
          <w:rFonts w:cs="Arial"/>
          <w:sz w:val="22"/>
          <w:szCs w:val="22"/>
          <w:u w:val="single"/>
        </w:rPr>
        <w:t>results</w:t>
      </w:r>
    </w:p>
    <w:p w14:paraId="1538A009" w14:textId="77777777" w:rsidR="00A662E3" w:rsidRPr="006748F0" w:rsidRDefault="00A662E3" w:rsidP="00A662E3">
      <w:pPr>
        <w:ind w:left="0"/>
        <w:rPr>
          <w:rFonts w:cs="Arial"/>
          <w:sz w:val="22"/>
          <w:szCs w:val="22"/>
        </w:rPr>
      </w:pPr>
      <w:r w:rsidRPr="006748F0">
        <w:rPr>
          <w:rFonts w:cs="Arial"/>
          <w:sz w:val="22"/>
          <w:szCs w:val="22"/>
        </w:rPr>
        <w:t>Larval stages are often considered more sensitive to stressors than adult stages, but exposure to seismic sound reveals no differences in larval mortality or abundance for fish, crabs or scallops (Carroll </w:t>
      </w:r>
      <w:r w:rsidRPr="00891DE1">
        <w:rPr>
          <w:rFonts w:cs="Arial"/>
          <w:i/>
          <w:sz w:val="22"/>
          <w:szCs w:val="22"/>
        </w:rPr>
        <w:t>et al</w:t>
      </w:r>
      <w:r w:rsidRPr="006748F0">
        <w:rPr>
          <w:rFonts w:cs="Arial"/>
          <w:sz w:val="22"/>
          <w:szCs w:val="22"/>
        </w:rPr>
        <w:t>., 2017).</w:t>
      </w:r>
    </w:p>
    <w:p w14:paraId="2982AD21" w14:textId="77777777" w:rsidR="00A662E3" w:rsidRDefault="00A662E3" w:rsidP="00E9378B">
      <w:pPr>
        <w:ind w:left="0"/>
        <w:rPr>
          <w:rFonts w:cs="Arial"/>
          <w:sz w:val="22"/>
          <w:szCs w:val="22"/>
        </w:rPr>
      </w:pPr>
    </w:p>
    <w:p w14:paraId="1A85B39F" w14:textId="634F9A6A" w:rsidR="00B76145" w:rsidRDefault="00B76145" w:rsidP="00E9378B">
      <w:pPr>
        <w:ind w:left="0"/>
        <w:rPr>
          <w:rFonts w:cs="Arial"/>
          <w:sz w:val="22"/>
          <w:szCs w:val="22"/>
        </w:rPr>
      </w:pPr>
      <w:r w:rsidRPr="004039F5">
        <w:rPr>
          <w:rFonts w:cs="Arial"/>
          <w:sz w:val="22"/>
          <w:szCs w:val="22"/>
        </w:rPr>
        <w:t>Sound-induced mortality in larval fish, where observed, has been in the range of 0.5 to 3 m around the source, in association with relatively high peak energy levels; however, damage may occur out to approximately 5 m (Payne</w:t>
      </w:r>
      <w:r w:rsidR="00971F65">
        <w:rPr>
          <w:rFonts w:cs="Arial"/>
          <w:sz w:val="22"/>
          <w:szCs w:val="22"/>
        </w:rPr>
        <w:t xml:space="preserve"> </w:t>
      </w:r>
      <w:r w:rsidR="00971F65" w:rsidRPr="00971F65">
        <w:rPr>
          <w:rFonts w:cs="Arial"/>
          <w:i/>
          <w:sz w:val="22"/>
          <w:szCs w:val="22"/>
        </w:rPr>
        <w:t>et al</w:t>
      </w:r>
      <w:r w:rsidR="00971F65">
        <w:rPr>
          <w:rFonts w:cs="Arial"/>
          <w:sz w:val="22"/>
          <w:szCs w:val="22"/>
        </w:rPr>
        <w:t>.</w:t>
      </w:r>
      <w:r w:rsidRPr="004039F5">
        <w:rPr>
          <w:rFonts w:cs="Arial"/>
          <w:sz w:val="22"/>
          <w:szCs w:val="22"/>
        </w:rPr>
        <w:t>, 200</w:t>
      </w:r>
      <w:r w:rsidR="00971F65">
        <w:rPr>
          <w:rFonts w:cs="Arial"/>
          <w:sz w:val="22"/>
          <w:szCs w:val="22"/>
        </w:rPr>
        <w:t>8</w:t>
      </w:r>
      <w:r w:rsidRPr="004039F5">
        <w:rPr>
          <w:rFonts w:cs="Arial"/>
          <w:sz w:val="22"/>
          <w:szCs w:val="22"/>
        </w:rPr>
        <w:t xml:space="preserve">). </w:t>
      </w:r>
    </w:p>
    <w:p w14:paraId="799E80CD" w14:textId="77777777" w:rsidR="00A662E3" w:rsidRDefault="00A662E3" w:rsidP="00E9378B">
      <w:pPr>
        <w:ind w:left="0"/>
        <w:rPr>
          <w:rFonts w:cs="Arial"/>
          <w:sz w:val="22"/>
          <w:szCs w:val="22"/>
        </w:rPr>
      </w:pPr>
    </w:p>
    <w:p w14:paraId="5333A206" w14:textId="7FE3C964" w:rsidR="00A662E3" w:rsidRPr="00891DE1" w:rsidRDefault="00A662E3" w:rsidP="00891DE1">
      <w:pPr>
        <w:ind w:left="0"/>
        <w:rPr>
          <w:rFonts w:cs="Arial"/>
          <w:sz w:val="22"/>
          <w:szCs w:val="22"/>
        </w:rPr>
      </w:pPr>
      <w:r w:rsidRPr="00891DE1">
        <w:rPr>
          <w:rFonts w:cs="Arial"/>
          <w:sz w:val="22"/>
          <w:szCs w:val="22"/>
        </w:rPr>
        <w:t xml:space="preserve">In </w:t>
      </w:r>
      <w:r>
        <w:rPr>
          <w:rFonts w:cs="Arial"/>
          <w:sz w:val="22"/>
          <w:szCs w:val="22"/>
        </w:rPr>
        <w:t xml:space="preserve">the </w:t>
      </w:r>
      <w:r w:rsidRPr="00A662E3">
        <w:rPr>
          <w:rFonts w:cs="Arial"/>
          <w:sz w:val="22"/>
          <w:szCs w:val="22"/>
        </w:rPr>
        <w:t xml:space="preserve">USA, trials </w:t>
      </w:r>
      <w:r>
        <w:rPr>
          <w:rFonts w:cs="Arial"/>
          <w:sz w:val="22"/>
          <w:szCs w:val="22"/>
        </w:rPr>
        <w:t>using</w:t>
      </w:r>
      <w:r w:rsidRPr="00A662E3">
        <w:rPr>
          <w:rFonts w:cs="Arial"/>
          <w:sz w:val="22"/>
          <w:szCs w:val="22"/>
        </w:rPr>
        <w:t xml:space="preserve"> seismic </w:t>
      </w:r>
      <w:r>
        <w:rPr>
          <w:rFonts w:cs="Arial"/>
          <w:sz w:val="22"/>
          <w:szCs w:val="22"/>
        </w:rPr>
        <w:t xml:space="preserve">sound from </w:t>
      </w:r>
      <w:r w:rsidRPr="00A662E3">
        <w:rPr>
          <w:rFonts w:cs="Arial"/>
          <w:sz w:val="22"/>
          <w:szCs w:val="22"/>
        </w:rPr>
        <w:t>air</w:t>
      </w:r>
      <w:r w:rsidRPr="00891DE1">
        <w:rPr>
          <w:rFonts w:cs="Arial"/>
          <w:sz w:val="22"/>
          <w:szCs w:val="22"/>
        </w:rPr>
        <w:t>gun</w:t>
      </w:r>
      <w:r>
        <w:rPr>
          <w:rFonts w:cs="Arial"/>
          <w:sz w:val="22"/>
          <w:szCs w:val="22"/>
        </w:rPr>
        <w:t>s</w:t>
      </w:r>
      <w:r w:rsidRPr="00891DE1">
        <w:rPr>
          <w:rFonts w:cs="Arial"/>
          <w:sz w:val="22"/>
          <w:szCs w:val="22"/>
        </w:rPr>
        <w:t xml:space="preserve"> as a method to reduce the survival of non-native lake trout embryos produced high mortalities </w:t>
      </w:r>
      <w:r>
        <w:rPr>
          <w:rFonts w:cs="Arial"/>
          <w:sz w:val="22"/>
          <w:szCs w:val="22"/>
        </w:rPr>
        <w:t xml:space="preserve">of </w:t>
      </w:r>
      <w:r w:rsidRPr="00891DE1">
        <w:rPr>
          <w:rFonts w:cs="Arial"/>
          <w:sz w:val="22"/>
          <w:szCs w:val="22"/>
        </w:rPr>
        <w:t>up to 100%, but only at close range (0.1 m).</w:t>
      </w:r>
      <w:r>
        <w:rPr>
          <w:rFonts w:cs="Arial"/>
          <w:sz w:val="22"/>
          <w:szCs w:val="22"/>
        </w:rPr>
        <w:t xml:space="preserve"> </w:t>
      </w:r>
      <w:r w:rsidRPr="00891DE1">
        <w:rPr>
          <w:rFonts w:cs="Arial"/>
          <w:sz w:val="22"/>
          <w:szCs w:val="22"/>
        </w:rPr>
        <w:t>At distances of 2.7 m</w:t>
      </w:r>
      <w:r>
        <w:rPr>
          <w:rFonts w:cs="Arial"/>
          <w:sz w:val="22"/>
          <w:szCs w:val="22"/>
        </w:rPr>
        <w:t xml:space="preserve"> from the seismic </w:t>
      </w:r>
      <w:r>
        <w:rPr>
          <w:rFonts w:cs="Arial"/>
          <w:sz w:val="22"/>
          <w:szCs w:val="22"/>
        </w:rPr>
        <w:lastRenderedPageBreak/>
        <w:t>source</w:t>
      </w:r>
      <w:r w:rsidRPr="00891DE1">
        <w:rPr>
          <w:rFonts w:cs="Arial"/>
          <w:sz w:val="22"/>
          <w:szCs w:val="22"/>
        </w:rPr>
        <w:t>, mortalities did not differ from those of controls (Cox </w:t>
      </w:r>
      <w:r w:rsidRPr="00891DE1">
        <w:rPr>
          <w:rFonts w:cs="Arial"/>
          <w:i/>
          <w:sz w:val="22"/>
          <w:szCs w:val="22"/>
        </w:rPr>
        <w:t>et al</w:t>
      </w:r>
      <w:r w:rsidRPr="00891DE1">
        <w:rPr>
          <w:rFonts w:cs="Arial"/>
          <w:sz w:val="22"/>
          <w:szCs w:val="22"/>
        </w:rPr>
        <w:t>.</w:t>
      </w:r>
      <w:r>
        <w:rPr>
          <w:rFonts w:cs="Arial"/>
          <w:sz w:val="22"/>
          <w:szCs w:val="22"/>
        </w:rPr>
        <w:t>,</w:t>
      </w:r>
      <w:r w:rsidRPr="00891DE1">
        <w:rPr>
          <w:rFonts w:cs="Arial"/>
          <w:sz w:val="22"/>
          <w:szCs w:val="22"/>
        </w:rPr>
        <w:t> 2012 as cited in NSW DPI</w:t>
      </w:r>
      <w:r w:rsidR="00D9293D">
        <w:rPr>
          <w:rFonts w:cs="Arial"/>
          <w:sz w:val="22"/>
          <w:szCs w:val="22"/>
        </w:rPr>
        <w:t>,</w:t>
      </w:r>
      <w:r w:rsidRPr="00891DE1">
        <w:rPr>
          <w:rFonts w:cs="Arial"/>
          <w:sz w:val="22"/>
          <w:szCs w:val="22"/>
        </w:rPr>
        <w:t xml:space="preserve"> 2014).</w:t>
      </w:r>
    </w:p>
    <w:p w14:paraId="4B14F374" w14:textId="73D7287F" w:rsidR="00A662E3" w:rsidRPr="00891DE1" w:rsidRDefault="00A662E3" w:rsidP="00891DE1">
      <w:pPr>
        <w:ind w:left="0"/>
        <w:rPr>
          <w:rFonts w:cs="Arial"/>
          <w:sz w:val="22"/>
          <w:szCs w:val="22"/>
        </w:rPr>
      </w:pPr>
    </w:p>
    <w:p w14:paraId="7DCC763D" w14:textId="619978AF" w:rsidR="00A662E3" w:rsidRPr="00891DE1" w:rsidRDefault="00A662E3" w:rsidP="00891DE1">
      <w:pPr>
        <w:ind w:left="0"/>
        <w:rPr>
          <w:rFonts w:cs="Arial"/>
          <w:sz w:val="22"/>
          <w:szCs w:val="22"/>
        </w:rPr>
      </w:pPr>
      <w:r w:rsidRPr="00891DE1">
        <w:rPr>
          <w:rFonts w:cs="Arial"/>
          <w:sz w:val="22"/>
          <w:szCs w:val="22"/>
        </w:rPr>
        <w:t>Gausland (2000) noted several studies confirm</w:t>
      </w:r>
      <w:r>
        <w:rPr>
          <w:rFonts w:cs="Arial"/>
          <w:sz w:val="22"/>
          <w:szCs w:val="22"/>
        </w:rPr>
        <w:t>ing</w:t>
      </w:r>
      <w:r w:rsidRPr="00891DE1">
        <w:rPr>
          <w:rFonts w:cs="Arial"/>
          <w:sz w:val="22"/>
          <w:szCs w:val="22"/>
        </w:rPr>
        <w:t xml:space="preserve"> that that signal levels exceeding 230-240 dB re 1 µPa (PK-PK) are necessary for harm to occur and so therefore physical damage can only occur within a few metres from the air guns. </w:t>
      </w:r>
    </w:p>
    <w:p w14:paraId="50C032C1" w14:textId="77777777" w:rsidR="00A662E3" w:rsidRPr="004039F5" w:rsidRDefault="00A662E3" w:rsidP="00E9378B">
      <w:pPr>
        <w:ind w:left="0"/>
        <w:rPr>
          <w:rFonts w:cs="Arial"/>
          <w:sz w:val="22"/>
          <w:szCs w:val="22"/>
        </w:rPr>
      </w:pPr>
    </w:p>
    <w:p w14:paraId="7A238708" w14:textId="60B20F51" w:rsidR="00B76145" w:rsidRPr="004039F5" w:rsidRDefault="00B76145" w:rsidP="00E9378B">
      <w:pPr>
        <w:ind w:left="0"/>
        <w:rPr>
          <w:rFonts w:cs="Arial"/>
          <w:sz w:val="22"/>
          <w:szCs w:val="22"/>
        </w:rPr>
      </w:pPr>
      <w:r w:rsidRPr="004039F5">
        <w:rPr>
          <w:rFonts w:cs="Arial"/>
          <w:sz w:val="22"/>
          <w:szCs w:val="22"/>
        </w:rPr>
        <w:t xml:space="preserve">Booman et al (1996) recorded the highest mortality rates of Norwegian fish eggs and larvae within 1.4 m and low or no mortality and infrequent pathology within 5 m of the seismic source. </w:t>
      </w:r>
    </w:p>
    <w:p w14:paraId="40002C2A" w14:textId="77777777" w:rsidR="00534210" w:rsidRPr="004039F5" w:rsidRDefault="00534210" w:rsidP="00E9378B">
      <w:pPr>
        <w:ind w:left="0"/>
        <w:rPr>
          <w:rFonts w:cs="Arial"/>
          <w:sz w:val="22"/>
          <w:szCs w:val="22"/>
        </w:rPr>
      </w:pPr>
    </w:p>
    <w:p w14:paraId="61AB18DA" w14:textId="77777777" w:rsidR="00B76145" w:rsidRDefault="00B76145" w:rsidP="00946489">
      <w:pPr>
        <w:spacing w:after="240"/>
        <w:ind w:left="0"/>
        <w:rPr>
          <w:rFonts w:cs="Arial"/>
          <w:sz w:val="22"/>
          <w:szCs w:val="22"/>
        </w:rPr>
      </w:pPr>
      <w:r w:rsidRPr="004039F5">
        <w:rPr>
          <w:rFonts w:cs="Arial"/>
          <w:sz w:val="22"/>
          <w:szCs w:val="22"/>
        </w:rPr>
        <w:t xml:space="preserve">An important study, although limited in scope, investigated the consequences </w:t>
      </w:r>
      <w:r w:rsidR="00534210" w:rsidRPr="004039F5">
        <w:rPr>
          <w:rFonts w:cs="Arial"/>
          <w:sz w:val="22"/>
          <w:szCs w:val="22"/>
        </w:rPr>
        <w:t xml:space="preserve">that </w:t>
      </w:r>
      <w:r w:rsidRPr="004039F5">
        <w:rPr>
          <w:rFonts w:cs="Arial"/>
          <w:sz w:val="22"/>
          <w:szCs w:val="22"/>
        </w:rPr>
        <w:t>seismic-induced mortality of fish larvae may have at a population level (Sætre &amp; Ona, 1996). The work was based on the observed mortality figures for larvae and fry at given distances in Booman et al (1996) for five species of fish (cod, saithe, herring, turbot, and plaice). As a worst-case situation, it was estimated that the number of larvae killed during a typical seismic survey (&gt;10 days) was 0.45% of the total larvae population (Sætre &amp; Ona, 1996). When compared with very high natural mortality rates for species (e.g., cod and herring eggs/larvae have a natural mortality of 5 to 15% per day), the potential loss associated with a seismic survey is negligible.</w:t>
      </w:r>
      <w:r w:rsidR="00523859" w:rsidRPr="004039F5">
        <w:rPr>
          <w:rFonts w:cs="Arial"/>
          <w:sz w:val="22"/>
          <w:szCs w:val="22"/>
        </w:rPr>
        <w:t xml:space="preserve"> Parry et al (2002) also indicates there there is no evidence of mortality-associated population effects such as reduced abundance or catch rates in plankton a few hours after exposure. </w:t>
      </w:r>
    </w:p>
    <w:p w14:paraId="16D80A51" w14:textId="2A02785C" w:rsidR="007E7999" w:rsidRDefault="00FA0B33" w:rsidP="007E7999">
      <w:pPr>
        <w:spacing w:after="240"/>
        <w:ind w:left="0"/>
        <w:rPr>
          <w:rFonts w:cs="Arial"/>
          <w:sz w:val="22"/>
          <w:szCs w:val="22"/>
        </w:rPr>
      </w:pPr>
      <w:r>
        <w:rPr>
          <w:rFonts w:cs="Arial"/>
          <w:sz w:val="22"/>
          <w:szCs w:val="22"/>
        </w:rPr>
        <w:t>Despite these results, research released by McCauley et al (2017) stated that there have been no published studies conducted on the impacts of seismic sound on plankton and as such, our understanding of these impacts is still developing. The McCauley et al (2017) study was undertaken in early March 2015, using two replicated experiments in Storm Bay in southeastern Tasmania. It involved the deployment of acoustic noise loggers to measure air gun signals, and us</w:t>
      </w:r>
      <w:r w:rsidR="00675A6A">
        <w:rPr>
          <w:rFonts w:cs="Arial"/>
          <w:sz w:val="22"/>
          <w:szCs w:val="22"/>
        </w:rPr>
        <w:t>ed</w:t>
      </w:r>
      <w:r>
        <w:rPr>
          <w:rFonts w:cs="Arial"/>
          <w:sz w:val="22"/>
          <w:szCs w:val="22"/>
        </w:rPr>
        <w:t xml:space="preserve"> an airgun </w:t>
      </w:r>
      <w:r w:rsidR="00D511EB">
        <w:rPr>
          <w:rFonts w:cs="Arial"/>
          <w:sz w:val="22"/>
          <w:szCs w:val="22"/>
        </w:rPr>
        <w:t xml:space="preserve">volume </w:t>
      </w:r>
      <w:r>
        <w:rPr>
          <w:rFonts w:cs="Arial"/>
          <w:sz w:val="22"/>
          <w:szCs w:val="22"/>
        </w:rPr>
        <w:t>of 150 cui</w:t>
      </w:r>
      <w:r w:rsidR="00D511EB">
        <w:rPr>
          <w:rFonts w:cs="Arial"/>
          <w:sz w:val="22"/>
          <w:szCs w:val="22"/>
        </w:rPr>
        <w:t xml:space="preserve"> and operating pressure of 2,000 psi</w:t>
      </w:r>
      <w:r>
        <w:rPr>
          <w:rFonts w:cs="Arial"/>
          <w:sz w:val="22"/>
          <w:szCs w:val="22"/>
        </w:rPr>
        <w:t xml:space="preserve">. </w:t>
      </w:r>
      <w:r w:rsidR="007E7999" w:rsidRPr="006748F0">
        <w:rPr>
          <w:rFonts w:cs="Arial"/>
          <w:sz w:val="22"/>
          <w:szCs w:val="22"/>
        </w:rPr>
        <w:t>Th</w:t>
      </w:r>
      <w:r w:rsidR="007E7999">
        <w:rPr>
          <w:rFonts w:cs="Arial"/>
          <w:sz w:val="22"/>
          <w:szCs w:val="22"/>
        </w:rPr>
        <w:t>e</w:t>
      </w:r>
      <w:r w:rsidR="007E7999" w:rsidRPr="006748F0">
        <w:rPr>
          <w:rFonts w:cs="Arial"/>
          <w:sz w:val="22"/>
          <w:szCs w:val="22"/>
        </w:rPr>
        <w:t xml:space="preserve"> study measured zooplankton abundance and the proportion of the population that was dead at three distances from </w:t>
      </w:r>
      <w:r w:rsidR="007E7999">
        <w:rPr>
          <w:rFonts w:cs="Arial"/>
          <w:sz w:val="22"/>
          <w:szCs w:val="22"/>
        </w:rPr>
        <w:t xml:space="preserve">the </w:t>
      </w:r>
      <w:r w:rsidR="007E7999" w:rsidRPr="006748F0">
        <w:rPr>
          <w:rFonts w:cs="Arial"/>
          <w:sz w:val="22"/>
          <w:szCs w:val="22"/>
        </w:rPr>
        <w:t>airgun</w:t>
      </w:r>
      <w:r w:rsidR="007E7999">
        <w:rPr>
          <w:rFonts w:cs="Arial"/>
          <w:sz w:val="22"/>
          <w:szCs w:val="22"/>
        </w:rPr>
        <w:t xml:space="preserve"> </w:t>
      </w:r>
      <w:r w:rsidR="007E7999">
        <w:rPr>
          <w:rFonts w:cs="Arial"/>
          <w:sz w:val="22"/>
          <w:szCs w:val="22"/>
        </w:rPr>
        <w:softHyphen/>
        <w:t xml:space="preserve">- </w:t>
      </w:r>
      <w:r w:rsidR="007E7999" w:rsidRPr="006748F0">
        <w:rPr>
          <w:rFonts w:cs="Arial"/>
          <w:sz w:val="22"/>
          <w:szCs w:val="22"/>
        </w:rPr>
        <w:t xml:space="preserve">0, 200 and 800 m. The experiment estimated the proportion of the zooplankton that was dead, both before and after exposure to airgun </w:t>
      </w:r>
      <w:r w:rsidR="007E7999">
        <w:rPr>
          <w:rFonts w:cs="Arial"/>
          <w:sz w:val="22"/>
          <w:szCs w:val="22"/>
        </w:rPr>
        <w:t>sound</w:t>
      </w:r>
      <w:r w:rsidR="007E7999" w:rsidRPr="006748F0">
        <w:rPr>
          <w:rFonts w:cs="Arial"/>
          <w:sz w:val="22"/>
          <w:szCs w:val="22"/>
        </w:rPr>
        <w:t>, using net samples to measure zooplankton abundance, and bioacoustics to identify the distribution of zooplankton. In this study, copepods dominated the mesozooplankton (0.2-20 mm), and impacts were not assessed on microzooplankton (0.02-0.2 mm) or macrozooplankton (&gt;20 mm). There was movement of water through the experimental area, which made interpreting their results more difficult (Richardson</w:t>
      </w:r>
      <w:r w:rsidR="007E7999" w:rsidRPr="006748F0">
        <w:rPr>
          <w:rFonts w:cs="Arial"/>
        </w:rPr>
        <w:t> </w:t>
      </w:r>
      <w:r w:rsidR="007E7999" w:rsidRPr="00891DE1">
        <w:rPr>
          <w:rFonts w:cs="Arial"/>
          <w:i/>
          <w:sz w:val="22"/>
          <w:szCs w:val="22"/>
        </w:rPr>
        <w:t>et al</w:t>
      </w:r>
      <w:r w:rsidR="007E7999" w:rsidRPr="006748F0">
        <w:rPr>
          <w:rFonts w:cs="Arial"/>
          <w:sz w:val="22"/>
          <w:szCs w:val="22"/>
        </w:rPr>
        <w:t>.</w:t>
      </w:r>
      <w:r w:rsidR="007E7999">
        <w:rPr>
          <w:rFonts w:cs="Arial"/>
          <w:sz w:val="22"/>
          <w:szCs w:val="22"/>
        </w:rPr>
        <w:t>,</w:t>
      </w:r>
      <w:r w:rsidR="007E7999" w:rsidRPr="006748F0">
        <w:rPr>
          <w:rFonts w:cs="Arial"/>
        </w:rPr>
        <w:t> </w:t>
      </w:r>
      <w:r w:rsidR="007E7999" w:rsidRPr="006748F0">
        <w:rPr>
          <w:rFonts w:cs="Arial"/>
          <w:sz w:val="22"/>
          <w:szCs w:val="22"/>
        </w:rPr>
        <w:t>2017).</w:t>
      </w:r>
    </w:p>
    <w:p w14:paraId="289DC7AC" w14:textId="4AE6E47A" w:rsidR="00D511EB" w:rsidRDefault="0047239B" w:rsidP="00946489">
      <w:pPr>
        <w:spacing w:after="240"/>
        <w:ind w:left="0"/>
        <w:rPr>
          <w:rFonts w:cs="Arial"/>
          <w:sz w:val="22"/>
          <w:szCs w:val="22"/>
        </w:rPr>
      </w:pPr>
      <w:r>
        <w:rPr>
          <w:rFonts w:cs="Arial"/>
          <w:sz w:val="22"/>
          <w:szCs w:val="22"/>
        </w:rPr>
        <w:t xml:space="preserve">The results of the experiment found </w:t>
      </w:r>
      <w:r w:rsidR="006B7401">
        <w:rPr>
          <w:rFonts w:cs="Arial"/>
          <w:sz w:val="22"/>
          <w:szCs w:val="22"/>
        </w:rPr>
        <w:t>that zooplankton exposure to airguns increased the mortality rate from a natural level of 19% per day to 45% per day (on the day of exposure), with this mortality rate observed out to 1.2 km</w:t>
      </w:r>
      <w:r>
        <w:rPr>
          <w:rFonts w:cs="Arial"/>
          <w:sz w:val="22"/>
          <w:szCs w:val="22"/>
        </w:rPr>
        <w:t xml:space="preserve">. </w:t>
      </w:r>
      <w:r w:rsidR="006A5112">
        <w:rPr>
          <w:rFonts w:cs="Arial"/>
          <w:sz w:val="22"/>
          <w:szCs w:val="22"/>
        </w:rPr>
        <w:t>This is more than two orders of magnitude greater than the 10 m previously assumed (McC</w:t>
      </w:r>
      <w:r w:rsidR="002265CA">
        <w:rPr>
          <w:rFonts w:cs="Arial"/>
          <w:sz w:val="22"/>
          <w:szCs w:val="22"/>
        </w:rPr>
        <w:t>a</w:t>
      </w:r>
      <w:r w:rsidR="006A5112">
        <w:rPr>
          <w:rFonts w:cs="Arial"/>
          <w:sz w:val="22"/>
          <w:szCs w:val="22"/>
        </w:rPr>
        <w:t xml:space="preserve">uley </w:t>
      </w:r>
      <w:r w:rsidR="006A5112" w:rsidRPr="0047239B">
        <w:rPr>
          <w:rFonts w:cs="Arial"/>
          <w:i/>
          <w:sz w:val="22"/>
          <w:szCs w:val="22"/>
        </w:rPr>
        <w:t>et al</w:t>
      </w:r>
      <w:r w:rsidR="006A5112">
        <w:rPr>
          <w:rFonts w:cs="Arial"/>
          <w:sz w:val="22"/>
          <w:szCs w:val="22"/>
        </w:rPr>
        <w:t xml:space="preserve">., 2017). </w:t>
      </w:r>
    </w:p>
    <w:p w14:paraId="74846F9E" w14:textId="2473ADE6" w:rsidR="00FA0B33" w:rsidRDefault="00675A6A" w:rsidP="00946489">
      <w:pPr>
        <w:spacing w:after="240"/>
        <w:ind w:left="0"/>
        <w:rPr>
          <w:rFonts w:cs="Arial"/>
          <w:sz w:val="22"/>
          <w:szCs w:val="22"/>
        </w:rPr>
      </w:pPr>
      <w:r>
        <w:rPr>
          <w:rFonts w:cs="Arial"/>
          <w:sz w:val="22"/>
          <w:szCs w:val="22"/>
        </w:rPr>
        <w:t xml:space="preserve">This study postulates that </w:t>
      </w:r>
      <w:r w:rsidR="00D511EB">
        <w:rPr>
          <w:rFonts w:cs="Arial"/>
          <w:sz w:val="22"/>
          <w:szCs w:val="22"/>
        </w:rPr>
        <w:t>the external sensory hairs that zooplankton possess may be extremely sensitive</w:t>
      </w:r>
      <w:r>
        <w:rPr>
          <w:rFonts w:cs="Arial"/>
          <w:sz w:val="22"/>
          <w:szCs w:val="22"/>
        </w:rPr>
        <w:t xml:space="preserve"> </w:t>
      </w:r>
      <w:r w:rsidR="00D511EB">
        <w:rPr>
          <w:rFonts w:cs="Arial"/>
          <w:sz w:val="22"/>
          <w:szCs w:val="22"/>
        </w:rPr>
        <w:t xml:space="preserve">and in response to seismic sound, may ‘shake’ to the point where damage could accrue to sensory hairs or tissue. Importantly, the study notes that for anthropogenic sources to have significant impacts to plankton at an ecological scale, the spatial or temporal scale of the impact (i.e., </w:t>
      </w:r>
      <w:r w:rsidR="00D511EB">
        <w:rPr>
          <w:rFonts w:cs="Arial"/>
          <w:sz w:val="22"/>
          <w:szCs w:val="22"/>
        </w:rPr>
        <w:lastRenderedPageBreak/>
        <w:t xml:space="preserve">the seismic survey) must also be large when compared to the impacted ecosystem. </w:t>
      </w:r>
    </w:p>
    <w:p w14:paraId="47FFCA7A" w14:textId="219A8D1B" w:rsidR="00920455" w:rsidRDefault="0066041A" w:rsidP="00B503E4">
      <w:pPr>
        <w:spacing w:after="240"/>
        <w:ind w:left="0"/>
        <w:rPr>
          <w:rFonts w:cs="Arial"/>
          <w:sz w:val="22"/>
          <w:szCs w:val="22"/>
        </w:rPr>
      </w:pPr>
      <w:r>
        <w:rPr>
          <w:rFonts w:cs="Arial"/>
          <w:sz w:val="22"/>
          <w:szCs w:val="22"/>
        </w:rPr>
        <w:t>In response to this research, APPEA commissioned the</w:t>
      </w:r>
      <w:r w:rsidRPr="0066041A">
        <w:rPr>
          <w:rFonts w:cs="Arial"/>
          <w:sz w:val="22"/>
          <w:szCs w:val="22"/>
        </w:rPr>
        <w:t xml:space="preserve"> CSIRO to assess the</w:t>
      </w:r>
      <w:r w:rsidR="00B503E4">
        <w:rPr>
          <w:rFonts w:cs="Arial"/>
          <w:sz w:val="22"/>
          <w:szCs w:val="22"/>
        </w:rPr>
        <w:t xml:space="preserve"> </w:t>
      </w:r>
      <w:r w:rsidRPr="0066041A">
        <w:rPr>
          <w:rFonts w:cs="Arial"/>
          <w:sz w:val="22"/>
          <w:szCs w:val="22"/>
        </w:rPr>
        <w:t xml:space="preserve">potential local and regional impacts on zooplankton of a typical </w:t>
      </w:r>
      <w:r w:rsidR="00D9293D">
        <w:rPr>
          <w:rFonts w:cs="Arial"/>
          <w:sz w:val="22"/>
          <w:szCs w:val="22"/>
        </w:rPr>
        <w:t>MSS</w:t>
      </w:r>
      <w:r w:rsidRPr="0066041A">
        <w:rPr>
          <w:rFonts w:cs="Arial"/>
          <w:sz w:val="22"/>
          <w:szCs w:val="22"/>
        </w:rPr>
        <w:t>.</w:t>
      </w:r>
      <w:r w:rsidR="00541787">
        <w:rPr>
          <w:rFonts w:cs="Arial"/>
          <w:sz w:val="22"/>
          <w:szCs w:val="22"/>
        </w:rPr>
        <w:t xml:space="preserve"> </w:t>
      </w:r>
      <w:r w:rsidR="00A212B9">
        <w:rPr>
          <w:rFonts w:cs="Arial"/>
          <w:sz w:val="22"/>
          <w:szCs w:val="22"/>
        </w:rPr>
        <w:t xml:space="preserve">A large-scale seismic survey </w:t>
      </w:r>
      <w:r w:rsidR="009B166D">
        <w:rPr>
          <w:rFonts w:cs="Arial"/>
          <w:sz w:val="22"/>
          <w:szCs w:val="22"/>
        </w:rPr>
        <w:t xml:space="preserve">conducted on the North West Shelf of Australia </w:t>
      </w:r>
      <w:r w:rsidR="00A212B9">
        <w:rPr>
          <w:rFonts w:cs="Arial"/>
          <w:sz w:val="22"/>
          <w:szCs w:val="22"/>
        </w:rPr>
        <w:t xml:space="preserve">was modelled in a hydrodynamic model using the McCauley et al (2017) mortality results. </w:t>
      </w:r>
      <w:r w:rsidR="00541787">
        <w:rPr>
          <w:rFonts w:cs="Arial"/>
          <w:sz w:val="22"/>
          <w:szCs w:val="22"/>
        </w:rPr>
        <w:t xml:space="preserve">This is reported in Richardson et al (2017). </w:t>
      </w:r>
      <w:r w:rsidR="009B166D">
        <w:rPr>
          <w:rFonts w:cs="Arial"/>
          <w:sz w:val="22"/>
          <w:szCs w:val="22"/>
        </w:rPr>
        <w:t>The modelled survey parameters include a survey area of 2,900 km</w:t>
      </w:r>
      <w:r w:rsidR="009B166D" w:rsidRPr="0067051D">
        <w:rPr>
          <w:rFonts w:cs="Arial"/>
          <w:sz w:val="22"/>
          <w:szCs w:val="22"/>
          <w:vertAlign w:val="superscript"/>
        </w:rPr>
        <w:t>2</w:t>
      </w:r>
      <w:r w:rsidR="00096197">
        <w:rPr>
          <w:rFonts w:cs="Arial"/>
          <w:sz w:val="22"/>
          <w:szCs w:val="22"/>
        </w:rPr>
        <w:t xml:space="preserve">, 60 survey lines, waters 300-800 m deep, an airgun source of 3,000-3,200 cui and operating pressure of 2,000 psi. </w:t>
      </w:r>
      <w:r w:rsidR="00541787">
        <w:rPr>
          <w:rFonts w:cs="Arial"/>
          <w:sz w:val="22"/>
          <w:szCs w:val="22"/>
        </w:rPr>
        <w:t>This paper</w:t>
      </w:r>
      <w:r w:rsidR="00B503E4">
        <w:rPr>
          <w:rFonts w:cs="Arial"/>
          <w:sz w:val="22"/>
          <w:szCs w:val="22"/>
        </w:rPr>
        <w:t xml:space="preserve"> reports </w:t>
      </w:r>
      <w:r w:rsidR="00A212B9">
        <w:rPr>
          <w:rFonts w:cs="Arial"/>
          <w:sz w:val="22"/>
          <w:szCs w:val="22"/>
        </w:rPr>
        <w:t xml:space="preserve">that impact is recorded within the survey area and within 15 km of it, but that these impacts are not discernible at the bioregion scale and barely discernible within </w:t>
      </w:r>
      <w:r w:rsidR="00D9293D">
        <w:rPr>
          <w:rFonts w:cs="Arial"/>
          <w:sz w:val="22"/>
          <w:szCs w:val="22"/>
        </w:rPr>
        <w:br/>
      </w:r>
      <w:r w:rsidR="00A212B9">
        <w:rPr>
          <w:rFonts w:cs="Arial"/>
          <w:sz w:val="22"/>
          <w:szCs w:val="22"/>
        </w:rPr>
        <w:t xml:space="preserve">150 km of the survey area. </w:t>
      </w:r>
      <w:r w:rsidR="00920455" w:rsidRPr="00920455">
        <w:rPr>
          <w:rFonts w:cs="Arial"/>
          <w:sz w:val="22"/>
          <w:szCs w:val="22"/>
        </w:rPr>
        <w:t>Zooplankton populations recovered quickly after seismic exposure due to their fast</w:t>
      </w:r>
      <w:r w:rsidR="00920455">
        <w:rPr>
          <w:rFonts w:cs="Arial"/>
          <w:sz w:val="22"/>
          <w:szCs w:val="22"/>
        </w:rPr>
        <w:t xml:space="preserve"> </w:t>
      </w:r>
      <w:r w:rsidR="00920455" w:rsidRPr="00920455">
        <w:rPr>
          <w:rFonts w:cs="Arial"/>
          <w:sz w:val="22"/>
          <w:szCs w:val="22"/>
        </w:rPr>
        <w:t xml:space="preserve">growth rates and </w:t>
      </w:r>
      <w:r w:rsidR="00920455">
        <w:rPr>
          <w:rFonts w:cs="Arial"/>
          <w:sz w:val="22"/>
          <w:szCs w:val="22"/>
        </w:rPr>
        <w:t xml:space="preserve">due to </w:t>
      </w:r>
      <w:r w:rsidR="00920455" w:rsidRPr="00920455">
        <w:rPr>
          <w:rFonts w:cs="Arial"/>
          <w:sz w:val="22"/>
          <w:szCs w:val="22"/>
        </w:rPr>
        <w:t>the dispersal and mixing of zooplankton from both inside and outside of the</w:t>
      </w:r>
      <w:r w:rsidR="00920455">
        <w:rPr>
          <w:rFonts w:cs="Arial"/>
          <w:sz w:val="22"/>
          <w:szCs w:val="22"/>
        </w:rPr>
        <w:t xml:space="preserve"> </w:t>
      </w:r>
      <w:r w:rsidR="00920455" w:rsidRPr="00920455">
        <w:rPr>
          <w:rFonts w:cs="Arial"/>
          <w:sz w:val="22"/>
          <w:szCs w:val="22"/>
        </w:rPr>
        <w:t xml:space="preserve">impacted region. </w:t>
      </w:r>
      <w:r w:rsidR="00220895">
        <w:rPr>
          <w:rFonts w:cs="Arial"/>
          <w:sz w:val="22"/>
          <w:szCs w:val="22"/>
        </w:rPr>
        <w:t xml:space="preserve">The modelling undertaken by Richardson et al (2017) found that while there was a maximum decline of 22% in zooplankton populations in the survey and a 14% </w:t>
      </w:r>
      <w:r w:rsidR="00FE4116">
        <w:rPr>
          <w:rFonts w:cs="Arial"/>
          <w:sz w:val="22"/>
          <w:szCs w:val="22"/>
        </w:rPr>
        <w:t xml:space="preserve">decline within 15 km of the survey area, it took only 3 days following the completion of the survey for zooplankton biomass to recover to pre-seismic survey levels within the survey area and within an area of 15 km around the survey area. </w:t>
      </w:r>
      <w:r w:rsidR="007E7999">
        <w:rPr>
          <w:rFonts w:cs="Arial"/>
          <w:sz w:val="22"/>
          <w:szCs w:val="22"/>
        </w:rPr>
        <w:t>The study notes that because zooplankton growth rates are slower in colder regions (e.g., Bass Strait), the recovery rate of zooplankton populations following exposure to MSS is likely to be slower.</w:t>
      </w:r>
      <w:r w:rsidR="009F15BF">
        <w:rPr>
          <w:rFonts w:cs="Arial"/>
          <w:sz w:val="22"/>
          <w:szCs w:val="22"/>
        </w:rPr>
        <w:t xml:space="preserve"> </w:t>
      </w:r>
    </w:p>
    <w:p w14:paraId="5752D862" w14:textId="429CD596" w:rsidR="009F15BF" w:rsidRPr="001632B8" w:rsidRDefault="009F15BF" w:rsidP="009F15BF">
      <w:pPr>
        <w:ind w:left="0"/>
        <w:rPr>
          <w:rFonts w:cs="Arial"/>
          <w:sz w:val="22"/>
          <w:szCs w:val="22"/>
        </w:rPr>
      </w:pPr>
      <w:r w:rsidRPr="001632B8">
        <w:rPr>
          <w:rFonts w:cs="Arial"/>
          <w:sz w:val="22"/>
          <w:szCs w:val="22"/>
        </w:rPr>
        <w:t>Th</w:t>
      </w:r>
      <w:r>
        <w:rPr>
          <w:rFonts w:cs="Arial"/>
          <w:sz w:val="22"/>
          <w:szCs w:val="22"/>
        </w:rPr>
        <w:t>e IAGC (2017) conducted its own review of the McCauley et al (2017) paper, noting that</w:t>
      </w:r>
      <w:r w:rsidRPr="001632B8">
        <w:rPr>
          <w:rFonts w:cs="Arial"/>
          <w:sz w:val="22"/>
          <w:szCs w:val="22"/>
        </w:rPr>
        <w:t>:</w:t>
      </w:r>
    </w:p>
    <w:p w14:paraId="204410E1" w14:textId="77777777" w:rsidR="009F15BF" w:rsidRPr="001632B8" w:rsidRDefault="009F15BF" w:rsidP="009F15BF">
      <w:pPr>
        <w:ind w:left="0"/>
        <w:rPr>
          <w:rFonts w:cs="Arial"/>
          <w:sz w:val="22"/>
          <w:szCs w:val="22"/>
        </w:rPr>
      </w:pPr>
      <w:r w:rsidRPr="001632B8">
        <w:rPr>
          <w:rFonts w:cs="Arial"/>
          <w:sz w:val="22"/>
          <w:szCs w:val="22"/>
        </w:rPr>
        <w:t> </w:t>
      </w:r>
    </w:p>
    <w:p w14:paraId="6E484314" w14:textId="15BABBDA" w:rsidR="009F15BF" w:rsidRPr="001632B8" w:rsidRDefault="009F15BF" w:rsidP="009F15BF">
      <w:pPr>
        <w:ind w:left="426"/>
        <w:rPr>
          <w:rFonts w:cs="Arial"/>
          <w:sz w:val="22"/>
          <w:szCs w:val="22"/>
        </w:rPr>
      </w:pPr>
      <w:r w:rsidRPr="001632B8">
        <w:rPr>
          <w:rFonts w:cs="Arial"/>
          <w:sz w:val="22"/>
          <w:szCs w:val="22"/>
        </w:rPr>
        <w:t>“</w:t>
      </w:r>
      <w:r>
        <w:rPr>
          <w:rFonts w:cs="Arial"/>
          <w:i/>
          <w:sz w:val="22"/>
          <w:szCs w:val="22"/>
        </w:rPr>
        <w:t>…</w:t>
      </w:r>
      <w:r w:rsidRPr="001632B8">
        <w:rPr>
          <w:rFonts w:cs="Arial"/>
          <w:i/>
          <w:sz w:val="22"/>
          <w:szCs w:val="22"/>
        </w:rPr>
        <w:t xml:space="preserve"> the small sample sizes, the large day-to-day variability in both the baseline and experimental data, and the large number of speculative conclusions that appear inconsistent with the data collected over a two-day period.</w:t>
      </w:r>
      <w:r w:rsidRPr="001632B8">
        <w:rPr>
          <w:rFonts w:cs="Arial"/>
          <w:sz w:val="22"/>
          <w:szCs w:val="22"/>
        </w:rPr>
        <w:t>”</w:t>
      </w:r>
    </w:p>
    <w:p w14:paraId="65425112" w14:textId="77777777" w:rsidR="009F15BF" w:rsidRDefault="009F15BF" w:rsidP="009F15BF">
      <w:pPr>
        <w:ind w:left="0"/>
        <w:rPr>
          <w:sz w:val="22"/>
          <w:szCs w:val="22"/>
        </w:rPr>
      </w:pPr>
    </w:p>
    <w:p w14:paraId="29811016" w14:textId="307B6FE7" w:rsidR="009F15BF" w:rsidRDefault="009F15BF" w:rsidP="009F15BF">
      <w:pPr>
        <w:spacing w:after="240"/>
        <w:ind w:left="0"/>
        <w:rPr>
          <w:rFonts w:cs="Arial"/>
          <w:sz w:val="22"/>
          <w:szCs w:val="22"/>
        </w:rPr>
      </w:pPr>
      <w:r>
        <w:rPr>
          <w:sz w:val="22"/>
          <w:szCs w:val="22"/>
        </w:rPr>
        <w:t xml:space="preserve">The IAGC (2017) also noted that the McCauley et al (2017) paper has not yet been accepted by the expert scientific community. </w:t>
      </w:r>
    </w:p>
    <w:p w14:paraId="4A107EDD" w14:textId="7B554003" w:rsidR="00C54681" w:rsidRPr="003919EA" w:rsidRDefault="00C54681" w:rsidP="00C54681">
      <w:pPr>
        <w:spacing w:after="120" w:line="240" w:lineRule="auto"/>
        <w:ind w:left="0"/>
        <w:rPr>
          <w:rFonts w:cs="Arial"/>
          <w:sz w:val="22"/>
          <w:szCs w:val="22"/>
          <w:u w:val="single"/>
        </w:rPr>
      </w:pPr>
      <w:r>
        <w:rPr>
          <w:rFonts w:cs="Arial"/>
          <w:sz w:val="22"/>
          <w:szCs w:val="22"/>
          <w:u w:val="single"/>
        </w:rPr>
        <w:t>Thresholds adopted for the STLM</w:t>
      </w:r>
    </w:p>
    <w:p w14:paraId="66E51633" w14:textId="315C4F92" w:rsidR="00C54681" w:rsidRDefault="004541BD" w:rsidP="004541BD">
      <w:pPr>
        <w:ind w:left="0"/>
        <w:rPr>
          <w:sz w:val="22"/>
          <w:szCs w:val="22"/>
        </w:rPr>
      </w:pPr>
      <w:r w:rsidRPr="00EF4E2A">
        <w:rPr>
          <w:rFonts w:cs="Arial"/>
          <w:sz w:val="22"/>
          <w:szCs w:val="22"/>
        </w:rPr>
        <w:t>Table 7.</w:t>
      </w:r>
      <w:r w:rsidR="00D511EB" w:rsidRPr="00EF4E2A">
        <w:rPr>
          <w:rFonts w:cs="Arial"/>
          <w:sz w:val="22"/>
          <w:szCs w:val="22"/>
        </w:rPr>
        <w:t>4</w:t>
      </w:r>
      <w:r w:rsidRPr="00D9293D">
        <w:rPr>
          <w:rFonts w:cs="Arial"/>
          <w:color w:val="FF0000"/>
          <w:sz w:val="22"/>
          <w:szCs w:val="22"/>
        </w:rPr>
        <w:t xml:space="preserve"> </w:t>
      </w:r>
      <w:r w:rsidRPr="00C54681">
        <w:rPr>
          <w:rFonts w:cs="Arial"/>
          <w:sz w:val="22"/>
          <w:szCs w:val="22"/>
        </w:rPr>
        <w:t xml:space="preserve">presents the exposure criteria for airguns for </w:t>
      </w:r>
      <w:r w:rsidR="00D32CB1" w:rsidRPr="00C54681">
        <w:rPr>
          <w:rFonts w:cs="Arial"/>
          <w:sz w:val="22"/>
          <w:szCs w:val="22"/>
        </w:rPr>
        <w:t>fish eggs and larvae</w:t>
      </w:r>
      <w:r w:rsidR="004F082E">
        <w:rPr>
          <w:rFonts w:cs="Arial"/>
          <w:sz w:val="22"/>
          <w:szCs w:val="22"/>
        </w:rPr>
        <w:t>. This was</w:t>
      </w:r>
      <w:r w:rsidRPr="00C54681">
        <w:rPr>
          <w:rFonts w:cs="Arial"/>
          <w:sz w:val="22"/>
          <w:szCs w:val="22"/>
        </w:rPr>
        <w:t xml:space="preserve"> de</w:t>
      </w:r>
      <w:r w:rsidR="004F082E">
        <w:rPr>
          <w:rFonts w:cs="Arial"/>
          <w:sz w:val="22"/>
          <w:szCs w:val="22"/>
        </w:rPr>
        <w:t>veloped by Popper at al (2014) based on results from</w:t>
      </w:r>
      <w:r w:rsidR="00C54681" w:rsidRPr="004F082E">
        <w:rPr>
          <w:sz w:val="22"/>
          <w:szCs w:val="22"/>
        </w:rPr>
        <w:t xml:space="preserve"> the Working Group on the Effects of Sound on Fish and Turtles.</w:t>
      </w:r>
      <w:r w:rsidR="004F082E" w:rsidRPr="004F082E">
        <w:rPr>
          <w:sz w:val="22"/>
          <w:szCs w:val="22"/>
        </w:rPr>
        <w:t xml:space="preserve"> </w:t>
      </w:r>
    </w:p>
    <w:p w14:paraId="41C9BA5D" w14:textId="77777777" w:rsidR="00D80D10" w:rsidRDefault="00D80D10" w:rsidP="004541BD">
      <w:pPr>
        <w:ind w:left="0"/>
        <w:rPr>
          <w:sz w:val="22"/>
          <w:szCs w:val="22"/>
        </w:rPr>
      </w:pPr>
    </w:p>
    <w:p w14:paraId="72FF49B7" w14:textId="5A29E646" w:rsidR="00D80D10" w:rsidRDefault="00D80D10" w:rsidP="009F15BF">
      <w:pPr>
        <w:ind w:left="0"/>
        <w:rPr>
          <w:sz w:val="22"/>
          <w:szCs w:val="22"/>
        </w:rPr>
      </w:pPr>
      <w:r>
        <w:rPr>
          <w:sz w:val="22"/>
          <w:szCs w:val="22"/>
        </w:rPr>
        <w:t>The studies undertaken by McCauley et al (2017) and Richardson et al (2017), while important in increasing the industry’s knowledge</w:t>
      </w:r>
      <w:r w:rsidR="00EC2CEC">
        <w:rPr>
          <w:sz w:val="22"/>
          <w:szCs w:val="22"/>
        </w:rPr>
        <w:t xml:space="preserve"> of the </w:t>
      </w:r>
      <w:r w:rsidR="009F15BF">
        <w:rPr>
          <w:sz w:val="22"/>
          <w:szCs w:val="22"/>
        </w:rPr>
        <w:t xml:space="preserve">potential </w:t>
      </w:r>
      <w:r w:rsidR="00EC2CEC">
        <w:rPr>
          <w:sz w:val="22"/>
          <w:szCs w:val="22"/>
        </w:rPr>
        <w:t>impacts</w:t>
      </w:r>
      <w:r w:rsidR="00C502B7">
        <w:rPr>
          <w:sz w:val="22"/>
          <w:szCs w:val="22"/>
        </w:rPr>
        <w:t xml:space="preserve"> of MSS on plankton, do not in themselves set new thresholds for modelling the impacts of MSS on plankton. </w:t>
      </w:r>
      <w:r w:rsidR="00FA28F9">
        <w:rPr>
          <w:sz w:val="22"/>
          <w:szCs w:val="22"/>
        </w:rPr>
        <w:t xml:space="preserve">Consequently, </w:t>
      </w:r>
      <w:r w:rsidR="00C502B7">
        <w:rPr>
          <w:sz w:val="22"/>
          <w:szCs w:val="22"/>
        </w:rPr>
        <w:t xml:space="preserve">CarbonNet has elected to use the thresholds developed by Popper et </w:t>
      </w:r>
      <w:r w:rsidR="00DF7313">
        <w:rPr>
          <w:sz w:val="22"/>
          <w:szCs w:val="22"/>
        </w:rPr>
        <w:t xml:space="preserve">al (2014) </w:t>
      </w:r>
      <w:r w:rsidR="009F15BF">
        <w:rPr>
          <w:sz w:val="22"/>
          <w:szCs w:val="22"/>
        </w:rPr>
        <w:t xml:space="preserve">for the STLM </w:t>
      </w:r>
      <w:r w:rsidR="00DF7313">
        <w:rPr>
          <w:sz w:val="22"/>
          <w:szCs w:val="22"/>
        </w:rPr>
        <w:t xml:space="preserve">as they are well established and represent years of ongoing work in this field. </w:t>
      </w:r>
    </w:p>
    <w:p w14:paraId="0EEBCE07" w14:textId="77777777" w:rsidR="00320821" w:rsidRDefault="00320821" w:rsidP="009F15BF">
      <w:pPr>
        <w:ind w:left="0"/>
        <w:rPr>
          <w:sz w:val="22"/>
          <w:szCs w:val="22"/>
        </w:rPr>
      </w:pPr>
    </w:p>
    <w:p w14:paraId="074B8E4E" w14:textId="77777777" w:rsidR="00320821" w:rsidRDefault="00320821" w:rsidP="009F15BF">
      <w:pPr>
        <w:ind w:left="0"/>
        <w:rPr>
          <w:sz w:val="22"/>
          <w:szCs w:val="22"/>
        </w:rPr>
      </w:pPr>
    </w:p>
    <w:p w14:paraId="789EFCCE" w14:textId="77777777" w:rsidR="00320821" w:rsidRDefault="00320821" w:rsidP="009F15BF">
      <w:pPr>
        <w:ind w:left="0"/>
        <w:rPr>
          <w:sz w:val="22"/>
          <w:szCs w:val="22"/>
        </w:rPr>
      </w:pPr>
    </w:p>
    <w:p w14:paraId="06556D11" w14:textId="77777777" w:rsidR="00320821" w:rsidRDefault="00320821" w:rsidP="009F15BF">
      <w:pPr>
        <w:ind w:left="0"/>
        <w:rPr>
          <w:sz w:val="22"/>
          <w:szCs w:val="22"/>
        </w:rPr>
      </w:pPr>
    </w:p>
    <w:p w14:paraId="1645CCF7" w14:textId="77777777" w:rsidR="00320821" w:rsidRPr="004F082E" w:rsidRDefault="00320821" w:rsidP="009F15BF">
      <w:pPr>
        <w:ind w:left="0"/>
        <w:rPr>
          <w:rFonts w:cs="Arial"/>
          <w:sz w:val="22"/>
          <w:szCs w:val="22"/>
        </w:rPr>
      </w:pPr>
    </w:p>
    <w:p w14:paraId="7D918042" w14:textId="77777777" w:rsidR="00C54681" w:rsidRPr="00C54681" w:rsidRDefault="00C54681" w:rsidP="004541BD">
      <w:pPr>
        <w:ind w:left="0"/>
        <w:rPr>
          <w:rFonts w:cs="Arial"/>
          <w:sz w:val="22"/>
          <w:szCs w:val="22"/>
        </w:rPr>
      </w:pPr>
    </w:p>
    <w:p w14:paraId="7457E765" w14:textId="1840F578" w:rsidR="004541BD" w:rsidRPr="00093CD8" w:rsidRDefault="004541BD" w:rsidP="00093CD8">
      <w:pPr>
        <w:spacing w:after="120" w:line="240" w:lineRule="auto"/>
        <w:ind w:left="0"/>
        <w:jc w:val="center"/>
        <w:rPr>
          <w:rFonts w:cs="Arial"/>
          <w:b/>
          <w:sz w:val="20"/>
          <w:szCs w:val="20"/>
        </w:rPr>
      </w:pPr>
      <w:r w:rsidRPr="00093CD8">
        <w:rPr>
          <w:rFonts w:cs="Arial"/>
          <w:b/>
          <w:sz w:val="20"/>
          <w:szCs w:val="20"/>
        </w:rPr>
        <w:lastRenderedPageBreak/>
        <w:t>Table 7.</w:t>
      </w:r>
      <w:r w:rsidR="00D511EB">
        <w:rPr>
          <w:rFonts w:cs="Arial"/>
          <w:b/>
          <w:sz w:val="20"/>
          <w:szCs w:val="20"/>
        </w:rPr>
        <w:t>4</w:t>
      </w:r>
      <w:r w:rsidR="00AA3737">
        <w:rPr>
          <w:rFonts w:cs="Arial"/>
          <w:b/>
          <w:sz w:val="20"/>
          <w:szCs w:val="20"/>
        </w:rPr>
        <w:t>.</w:t>
      </w:r>
      <w:r w:rsidRPr="00093CD8">
        <w:rPr>
          <w:rFonts w:cs="Arial"/>
          <w:b/>
          <w:sz w:val="20"/>
          <w:szCs w:val="20"/>
        </w:rPr>
        <w:tab/>
        <w:t xml:space="preserve">Exposure criteria for seismic sources </w:t>
      </w:r>
      <w:r w:rsidR="00D32CB1" w:rsidRPr="00093CD8">
        <w:rPr>
          <w:rFonts w:cs="Arial"/>
          <w:b/>
          <w:sz w:val="20"/>
          <w:szCs w:val="20"/>
        </w:rPr>
        <w:t>–</w:t>
      </w:r>
      <w:r w:rsidRPr="00093CD8">
        <w:rPr>
          <w:rFonts w:cs="Arial"/>
          <w:b/>
          <w:sz w:val="20"/>
          <w:szCs w:val="20"/>
        </w:rPr>
        <w:t xml:space="preserve"> </w:t>
      </w:r>
      <w:r w:rsidR="00D32CB1" w:rsidRPr="00093CD8">
        <w:rPr>
          <w:rFonts w:cs="Arial"/>
          <w:b/>
          <w:sz w:val="20"/>
          <w:szCs w:val="20"/>
        </w:rPr>
        <w:t>fish eggs and larvae</w:t>
      </w: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378"/>
        <w:gridCol w:w="1601"/>
        <w:gridCol w:w="1396"/>
        <w:gridCol w:w="1322"/>
        <w:gridCol w:w="1088"/>
        <w:gridCol w:w="1270"/>
      </w:tblGrid>
      <w:tr w:rsidR="004541BD" w:rsidRPr="00A45B0A" w14:paraId="6D010750" w14:textId="77777777" w:rsidTr="0055726F">
        <w:tc>
          <w:tcPr>
            <w:tcW w:w="1526" w:type="dxa"/>
            <w:vMerge w:val="restart"/>
            <w:shd w:val="clear" w:color="auto" w:fill="064EA8"/>
          </w:tcPr>
          <w:p w14:paraId="6B54F1F1" w14:textId="77777777" w:rsidR="004541BD" w:rsidRPr="00A45B0A" w:rsidRDefault="004541BD" w:rsidP="00A45B0A">
            <w:pPr>
              <w:spacing w:before="60" w:after="60" w:line="240" w:lineRule="auto"/>
              <w:ind w:left="0"/>
              <w:rPr>
                <w:rFonts w:cs="Arial"/>
                <w:color w:val="FFFFFF" w:themeColor="background1"/>
                <w:sz w:val="20"/>
                <w:szCs w:val="20"/>
              </w:rPr>
            </w:pPr>
            <w:r w:rsidRPr="00A45B0A">
              <w:rPr>
                <w:rFonts w:cs="Arial"/>
                <w:color w:val="FFFFFF" w:themeColor="background1"/>
                <w:sz w:val="20"/>
                <w:szCs w:val="20"/>
              </w:rPr>
              <w:t>Mortality and potential mortal injury</w:t>
            </w:r>
          </w:p>
        </w:tc>
        <w:tc>
          <w:tcPr>
            <w:tcW w:w="1701" w:type="dxa"/>
            <w:vMerge w:val="restart"/>
            <w:shd w:val="clear" w:color="auto" w:fill="064EA8"/>
          </w:tcPr>
          <w:p w14:paraId="34D2AC41" w14:textId="77777777" w:rsidR="004541BD" w:rsidRPr="00A45B0A" w:rsidRDefault="004541BD" w:rsidP="00A45B0A">
            <w:pPr>
              <w:spacing w:before="60" w:after="60" w:line="240" w:lineRule="auto"/>
              <w:ind w:left="0"/>
              <w:rPr>
                <w:rFonts w:cs="Arial"/>
                <w:color w:val="FFFFFF" w:themeColor="background1"/>
                <w:sz w:val="20"/>
                <w:szCs w:val="20"/>
              </w:rPr>
            </w:pPr>
            <w:r w:rsidRPr="00A45B0A">
              <w:rPr>
                <w:rFonts w:cs="Arial"/>
                <w:color w:val="FFFFFF" w:themeColor="background1"/>
                <w:sz w:val="20"/>
                <w:szCs w:val="20"/>
              </w:rPr>
              <w:t>Distance from the source</w:t>
            </w:r>
          </w:p>
        </w:tc>
        <w:tc>
          <w:tcPr>
            <w:tcW w:w="3969" w:type="dxa"/>
            <w:gridSpan w:val="3"/>
            <w:shd w:val="clear" w:color="auto" w:fill="064EA8"/>
          </w:tcPr>
          <w:p w14:paraId="1126FD47" w14:textId="77777777" w:rsidR="004541BD" w:rsidRPr="00A45B0A" w:rsidRDefault="004541BD" w:rsidP="00A45B0A">
            <w:pPr>
              <w:spacing w:before="60" w:after="60" w:line="240" w:lineRule="auto"/>
              <w:ind w:left="0"/>
              <w:jc w:val="center"/>
              <w:rPr>
                <w:rFonts w:cs="Arial"/>
                <w:color w:val="FFFFFF" w:themeColor="background1"/>
                <w:sz w:val="20"/>
                <w:szCs w:val="20"/>
              </w:rPr>
            </w:pPr>
            <w:r w:rsidRPr="00A45B0A">
              <w:rPr>
                <w:rFonts w:cs="Arial"/>
                <w:color w:val="FFFFFF" w:themeColor="background1"/>
                <w:sz w:val="20"/>
                <w:szCs w:val="20"/>
              </w:rPr>
              <w:t>Impairment</w:t>
            </w:r>
          </w:p>
        </w:tc>
        <w:tc>
          <w:tcPr>
            <w:tcW w:w="1326" w:type="dxa"/>
            <w:vMerge w:val="restart"/>
            <w:shd w:val="clear" w:color="auto" w:fill="064EA8"/>
          </w:tcPr>
          <w:p w14:paraId="1FCF4118" w14:textId="77777777" w:rsidR="004541BD" w:rsidRPr="00A45B0A" w:rsidRDefault="004541BD" w:rsidP="00A45B0A">
            <w:pPr>
              <w:spacing w:before="60" w:after="60" w:line="240" w:lineRule="auto"/>
              <w:ind w:left="0"/>
              <w:jc w:val="center"/>
              <w:rPr>
                <w:rFonts w:cs="Arial"/>
                <w:color w:val="FFFFFF" w:themeColor="background1"/>
                <w:sz w:val="20"/>
                <w:szCs w:val="20"/>
              </w:rPr>
            </w:pPr>
            <w:r w:rsidRPr="00A45B0A">
              <w:rPr>
                <w:rFonts w:cs="Arial"/>
                <w:color w:val="FFFFFF" w:themeColor="background1"/>
                <w:sz w:val="20"/>
                <w:szCs w:val="20"/>
              </w:rPr>
              <w:t>Behaviour</w:t>
            </w:r>
          </w:p>
        </w:tc>
      </w:tr>
      <w:tr w:rsidR="004541BD" w:rsidRPr="00A45B0A" w14:paraId="0C974799" w14:textId="77777777" w:rsidTr="00891DE1">
        <w:tc>
          <w:tcPr>
            <w:tcW w:w="1526" w:type="dxa"/>
            <w:vMerge/>
            <w:tcBorders>
              <w:bottom w:val="single" w:sz="4" w:space="0" w:color="808080"/>
            </w:tcBorders>
            <w:shd w:val="clear" w:color="auto" w:fill="B2A1C7"/>
          </w:tcPr>
          <w:p w14:paraId="5B8280D8" w14:textId="77777777" w:rsidR="004541BD" w:rsidRPr="00A45B0A" w:rsidRDefault="004541BD" w:rsidP="00514376">
            <w:pPr>
              <w:ind w:left="0"/>
              <w:rPr>
                <w:rFonts w:cs="Arial"/>
                <w:sz w:val="20"/>
                <w:szCs w:val="20"/>
              </w:rPr>
            </w:pPr>
          </w:p>
        </w:tc>
        <w:tc>
          <w:tcPr>
            <w:tcW w:w="1701" w:type="dxa"/>
            <w:vMerge/>
            <w:shd w:val="clear" w:color="auto" w:fill="B2A1C7"/>
          </w:tcPr>
          <w:p w14:paraId="3895D72E" w14:textId="77777777" w:rsidR="004541BD" w:rsidRPr="00A45B0A" w:rsidRDefault="004541BD" w:rsidP="00514376">
            <w:pPr>
              <w:ind w:left="0"/>
              <w:jc w:val="center"/>
              <w:rPr>
                <w:rFonts w:cs="Arial"/>
                <w:b/>
                <w:sz w:val="20"/>
                <w:szCs w:val="20"/>
              </w:rPr>
            </w:pPr>
          </w:p>
        </w:tc>
        <w:tc>
          <w:tcPr>
            <w:tcW w:w="1417" w:type="dxa"/>
            <w:shd w:val="clear" w:color="auto" w:fill="064EA8"/>
          </w:tcPr>
          <w:p w14:paraId="676CCB16" w14:textId="77777777" w:rsidR="004541BD" w:rsidRPr="00A45B0A" w:rsidRDefault="004541BD" w:rsidP="00514376">
            <w:pPr>
              <w:ind w:left="0"/>
              <w:jc w:val="center"/>
              <w:rPr>
                <w:rFonts w:cs="Arial"/>
                <w:color w:val="FFFFFF" w:themeColor="background1"/>
                <w:sz w:val="20"/>
                <w:szCs w:val="20"/>
              </w:rPr>
            </w:pPr>
            <w:r w:rsidRPr="00A45B0A">
              <w:rPr>
                <w:rFonts w:cs="Arial"/>
                <w:color w:val="FFFFFF" w:themeColor="background1"/>
                <w:sz w:val="20"/>
                <w:szCs w:val="20"/>
              </w:rPr>
              <w:t>Recoverable injury</w:t>
            </w:r>
          </w:p>
        </w:tc>
        <w:tc>
          <w:tcPr>
            <w:tcW w:w="1418" w:type="dxa"/>
            <w:shd w:val="clear" w:color="auto" w:fill="064EA8"/>
          </w:tcPr>
          <w:p w14:paraId="53B800DA" w14:textId="77777777" w:rsidR="004541BD" w:rsidRPr="00A45B0A" w:rsidRDefault="004541BD" w:rsidP="00514376">
            <w:pPr>
              <w:ind w:left="0"/>
              <w:jc w:val="center"/>
              <w:rPr>
                <w:rFonts w:cs="Arial"/>
                <w:color w:val="FFFFFF" w:themeColor="background1"/>
                <w:sz w:val="20"/>
                <w:szCs w:val="20"/>
              </w:rPr>
            </w:pPr>
            <w:r w:rsidRPr="00A45B0A">
              <w:rPr>
                <w:rFonts w:cs="Arial"/>
                <w:color w:val="FFFFFF" w:themeColor="background1"/>
                <w:sz w:val="20"/>
                <w:szCs w:val="20"/>
              </w:rPr>
              <w:t>TTS</w:t>
            </w:r>
          </w:p>
        </w:tc>
        <w:tc>
          <w:tcPr>
            <w:tcW w:w="1134" w:type="dxa"/>
            <w:shd w:val="clear" w:color="auto" w:fill="064EA8"/>
          </w:tcPr>
          <w:p w14:paraId="5505A0AF" w14:textId="77777777" w:rsidR="004541BD" w:rsidRPr="00A45B0A" w:rsidRDefault="004541BD" w:rsidP="00514376">
            <w:pPr>
              <w:ind w:left="0"/>
              <w:jc w:val="center"/>
              <w:rPr>
                <w:rFonts w:cs="Arial"/>
                <w:color w:val="FFFFFF" w:themeColor="background1"/>
                <w:sz w:val="20"/>
                <w:szCs w:val="20"/>
              </w:rPr>
            </w:pPr>
            <w:r w:rsidRPr="00A45B0A">
              <w:rPr>
                <w:rFonts w:cs="Arial"/>
                <w:color w:val="FFFFFF" w:themeColor="background1"/>
                <w:sz w:val="20"/>
                <w:szCs w:val="20"/>
              </w:rPr>
              <w:t>Masking</w:t>
            </w:r>
          </w:p>
        </w:tc>
        <w:tc>
          <w:tcPr>
            <w:tcW w:w="1326" w:type="dxa"/>
            <w:vMerge/>
            <w:shd w:val="clear" w:color="auto" w:fill="B2A1C7"/>
          </w:tcPr>
          <w:p w14:paraId="53F22C38" w14:textId="77777777" w:rsidR="004541BD" w:rsidRPr="00A45B0A" w:rsidRDefault="004541BD" w:rsidP="00514376">
            <w:pPr>
              <w:ind w:left="0"/>
              <w:rPr>
                <w:rFonts w:cs="Arial"/>
                <w:sz w:val="20"/>
                <w:szCs w:val="20"/>
              </w:rPr>
            </w:pPr>
          </w:p>
        </w:tc>
      </w:tr>
      <w:tr w:rsidR="004541BD" w:rsidRPr="00A45B0A" w14:paraId="27C25D80" w14:textId="77777777" w:rsidTr="00891DE1">
        <w:tc>
          <w:tcPr>
            <w:tcW w:w="1526" w:type="dxa"/>
            <w:vMerge w:val="restart"/>
            <w:tcBorders>
              <w:bottom w:val="single" w:sz="4" w:space="0" w:color="808080"/>
            </w:tcBorders>
            <w:shd w:val="clear" w:color="auto" w:fill="auto"/>
          </w:tcPr>
          <w:p w14:paraId="22A27799" w14:textId="1813372B" w:rsidR="004541BD" w:rsidRPr="00A45B0A" w:rsidRDefault="004541BD" w:rsidP="003C20CF">
            <w:pPr>
              <w:spacing w:before="60" w:after="60" w:line="240" w:lineRule="auto"/>
              <w:ind w:left="0"/>
              <w:rPr>
                <w:rFonts w:cs="Arial"/>
                <w:sz w:val="20"/>
                <w:szCs w:val="20"/>
              </w:rPr>
            </w:pPr>
            <w:r w:rsidRPr="00A45B0A">
              <w:rPr>
                <w:rFonts w:cs="Arial"/>
                <w:sz w:val="20"/>
                <w:szCs w:val="20"/>
              </w:rPr>
              <w:t>210 db SEL</w:t>
            </w:r>
            <w:r w:rsidR="003C20CF" w:rsidRPr="003C20CF">
              <w:rPr>
                <w:rFonts w:cs="Arial"/>
                <w:sz w:val="20"/>
                <w:szCs w:val="20"/>
                <w:vertAlign w:val="subscript"/>
              </w:rPr>
              <w:t>24h</w:t>
            </w:r>
            <w:r w:rsidRPr="00A45B0A">
              <w:rPr>
                <w:rFonts w:cs="Arial"/>
                <w:sz w:val="20"/>
                <w:szCs w:val="20"/>
              </w:rPr>
              <w:t xml:space="preserve"> </w:t>
            </w:r>
            <w:r w:rsidR="00C54681">
              <w:rPr>
                <w:rFonts w:cs="Arial"/>
                <w:sz w:val="20"/>
                <w:szCs w:val="20"/>
              </w:rPr>
              <w:br/>
            </w:r>
            <w:r w:rsidRPr="00A45B0A">
              <w:rPr>
                <w:rFonts w:cs="Arial"/>
                <w:i/>
                <w:sz w:val="20"/>
                <w:szCs w:val="20"/>
              </w:rPr>
              <w:t>or</w:t>
            </w:r>
            <w:r w:rsidR="003C20CF">
              <w:rPr>
                <w:rFonts w:cs="Arial"/>
                <w:sz w:val="20"/>
                <w:szCs w:val="20"/>
              </w:rPr>
              <w:t xml:space="preserve"> </w:t>
            </w:r>
            <w:r w:rsidR="003C20CF">
              <w:rPr>
                <w:rFonts w:cs="Arial"/>
                <w:sz w:val="20"/>
                <w:szCs w:val="20"/>
              </w:rPr>
              <w:br/>
              <w:t>&gt;207 dB PK</w:t>
            </w:r>
          </w:p>
        </w:tc>
        <w:tc>
          <w:tcPr>
            <w:tcW w:w="1701" w:type="dxa"/>
            <w:tcBorders>
              <w:bottom w:val="single" w:sz="4" w:space="0" w:color="808080"/>
            </w:tcBorders>
            <w:shd w:val="clear" w:color="auto" w:fill="auto"/>
          </w:tcPr>
          <w:p w14:paraId="4DD2F934" w14:textId="77777777" w:rsidR="004541BD" w:rsidRPr="00A45B0A" w:rsidRDefault="004541BD" w:rsidP="0055726F">
            <w:pPr>
              <w:spacing w:before="60" w:after="60" w:line="240" w:lineRule="auto"/>
              <w:ind w:left="0"/>
              <w:rPr>
                <w:rFonts w:cs="Arial"/>
                <w:sz w:val="20"/>
                <w:szCs w:val="20"/>
              </w:rPr>
            </w:pPr>
            <w:r w:rsidRPr="00A45B0A">
              <w:rPr>
                <w:rFonts w:cs="Arial"/>
                <w:sz w:val="20"/>
                <w:szCs w:val="20"/>
              </w:rPr>
              <w:t>Near</w:t>
            </w:r>
          </w:p>
        </w:tc>
        <w:tc>
          <w:tcPr>
            <w:tcW w:w="1417" w:type="dxa"/>
            <w:tcBorders>
              <w:bottom w:val="single" w:sz="4" w:space="0" w:color="808080"/>
            </w:tcBorders>
            <w:shd w:val="clear" w:color="auto" w:fill="auto"/>
          </w:tcPr>
          <w:p w14:paraId="31AF2AD1" w14:textId="77777777" w:rsidR="004541BD" w:rsidRPr="00A45B0A" w:rsidRDefault="00D32CB1" w:rsidP="0055726F">
            <w:pPr>
              <w:spacing w:before="60" w:after="60" w:line="240" w:lineRule="auto"/>
              <w:ind w:left="0"/>
              <w:jc w:val="center"/>
              <w:rPr>
                <w:rFonts w:cs="Arial"/>
                <w:sz w:val="20"/>
                <w:szCs w:val="20"/>
              </w:rPr>
            </w:pPr>
            <w:r w:rsidRPr="00A45B0A">
              <w:rPr>
                <w:rFonts w:cs="Arial"/>
                <w:sz w:val="20"/>
                <w:szCs w:val="20"/>
              </w:rPr>
              <w:t>Moderate</w:t>
            </w:r>
          </w:p>
        </w:tc>
        <w:tc>
          <w:tcPr>
            <w:tcW w:w="1418" w:type="dxa"/>
            <w:tcBorders>
              <w:bottom w:val="single" w:sz="4" w:space="0" w:color="808080"/>
            </w:tcBorders>
            <w:shd w:val="clear" w:color="auto" w:fill="auto"/>
          </w:tcPr>
          <w:p w14:paraId="280A4F1F" w14:textId="77777777" w:rsidR="004541BD" w:rsidRPr="00A45B0A" w:rsidRDefault="00D32CB1" w:rsidP="0055726F">
            <w:pPr>
              <w:spacing w:before="60" w:after="60" w:line="240" w:lineRule="auto"/>
              <w:ind w:left="0"/>
              <w:jc w:val="center"/>
              <w:rPr>
                <w:rFonts w:cs="Arial"/>
                <w:sz w:val="20"/>
                <w:szCs w:val="20"/>
              </w:rPr>
            </w:pPr>
            <w:r w:rsidRPr="00A45B0A">
              <w:rPr>
                <w:rFonts w:cs="Arial"/>
                <w:sz w:val="20"/>
                <w:szCs w:val="20"/>
              </w:rPr>
              <w:t>Moderate</w:t>
            </w:r>
          </w:p>
        </w:tc>
        <w:tc>
          <w:tcPr>
            <w:tcW w:w="1134" w:type="dxa"/>
            <w:tcBorders>
              <w:bottom w:val="single" w:sz="4" w:space="0" w:color="808080"/>
            </w:tcBorders>
            <w:shd w:val="clear" w:color="auto" w:fill="auto"/>
          </w:tcPr>
          <w:p w14:paraId="2E8A1EC5" w14:textId="77777777" w:rsidR="004541BD" w:rsidRPr="00A45B0A" w:rsidRDefault="004541BD" w:rsidP="0055726F">
            <w:pPr>
              <w:spacing w:before="60" w:after="60" w:line="240" w:lineRule="auto"/>
              <w:ind w:left="0"/>
              <w:jc w:val="center"/>
              <w:rPr>
                <w:rFonts w:cs="Arial"/>
                <w:sz w:val="20"/>
                <w:szCs w:val="20"/>
              </w:rPr>
            </w:pPr>
            <w:r w:rsidRPr="00A45B0A">
              <w:rPr>
                <w:rFonts w:cs="Arial"/>
                <w:sz w:val="20"/>
                <w:szCs w:val="20"/>
              </w:rPr>
              <w:t>Low</w:t>
            </w:r>
          </w:p>
        </w:tc>
        <w:tc>
          <w:tcPr>
            <w:tcW w:w="1326" w:type="dxa"/>
            <w:tcBorders>
              <w:bottom w:val="single" w:sz="4" w:space="0" w:color="808080"/>
            </w:tcBorders>
            <w:shd w:val="clear" w:color="auto" w:fill="auto"/>
          </w:tcPr>
          <w:p w14:paraId="03CB427D" w14:textId="77777777" w:rsidR="004541BD" w:rsidRPr="00A45B0A" w:rsidRDefault="00D32CB1" w:rsidP="0055726F">
            <w:pPr>
              <w:spacing w:before="60" w:after="60" w:line="240" w:lineRule="auto"/>
              <w:ind w:left="0"/>
              <w:jc w:val="center"/>
              <w:rPr>
                <w:rFonts w:cs="Arial"/>
                <w:sz w:val="20"/>
                <w:szCs w:val="20"/>
              </w:rPr>
            </w:pPr>
            <w:r w:rsidRPr="00A45B0A">
              <w:rPr>
                <w:rFonts w:cs="Arial"/>
                <w:sz w:val="20"/>
                <w:szCs w:val="20"/>
              </w:rPr>
              <w:t>Moderate</w:t>
            </w:r>
          </w:p>
        </w:tc>
      </w:tr>
      <w:tr w:rsidR="004541BD" w:rsidRPr="00A45B0A" w14:paraId="567228B7" w14:textId="77777777" w:rsidTr="00891DE1">
        <w:tc>
          <w:tcPr>
            <w:tcW w:w="1526" w:type="dxa"/>
            <w:vMerge/>
            <w:tcBorders>
              <w:bottom w:val="single" w:sz="4" w:space="0" w:color="808080"/>
            </w:tcBorders>
            <w:shd w:val="clear" w:color="auto" w:fill="auto"/>
          </w:tcPr>
          <w:p w14:paraId="6689B1CB" w14:textId="77777777" w:rsidR="004541BD" w:rsidRPr="00A45B0A" w:rsidRDefault="004541BD" w:rsidP="0055726F">
            <w:pPr>
              <w:spacing w:before="60" w:after="60" w:line="240" w:lineRule="auto"/>
              <w:ind w:left="0"/>
              <w:rPr>
                <w:rFonts w:cs="Arial"/>
                <w:sz w:val="20"/>
                <w:szCs w:val="20"/>
              </w:rPr>
            </w:pPr>
          </w:p>
        </w:tc>
        <w:tc>
          <w:tcPr>
            <w:tcW w:w="1701" w:type="dxa"/>
            <w:tcBorders>
              <w:bottom w:val="single" w:sz="4" w:space="0" w:color="808080"/>
            </w:tcBorders>
            <w:shd w:val="clear" w:color="auto" w:fill="auto"/>
          </w:tcPr>
          <w:p w14:paraId="4B769EB9" w14:textId="77777777" w:rsidR="004541BD" w:rsidRPr="00A45B0A" w:rsidRDefault="004541BD" w:rsidP="0055726F">
            <w:pPr>
              <w:spacing w:before="60" w:after="60" w:line="240" w:lineRule="auto"/>
              <w:ind w:left="0"/>
              <w:rPr>
                <w:rFonts w:cs="Arial"/>
                <w:sz w:val="20"/>
                <w:szCs w:val="20"/>
              </w:rPr>
            </w:pPr>
            <w:r w:rsidRPr="00A45B0A">
              <w:rPr>
                <w:rFonts w:cs="Arial"/>
                <w:sz w:val="20"/>
                <w:szCs w:val="20"/>
              </w:rPr>
              <w:t>Intermediate</w:t>
            </w:r>
          </w:p>
        </w:tc>
        <w:tc>
          <w:tcPr>
            <w:tcW w:w="1417" w:type="dxa"/>
            <w:tcBorders>
              <w:bottom w:val="single" w:sz="4" w:space="0" w:color="808080"/>
            </w:tcBorders>
            <w:shd w:val="clear" w:color="auto" w:fill="auto"/>
          </w:tcPr>
          <w:p w14:paraId="20B40137" w14:textId="77777777" w:rsidR="004541BD" w:rsidRPr="00A45B0A" w:rsidRDefault="004541BD" w:rsidP="0055726F">
            <w:pPr>
              <w:spacing w:before="60" w:after="60" w:line="240" w:lineRule="auto"/>
              <w:ind w:left="0"/>
              <w:jc w:val="center"/>
              <w:rPr>
                <w:rFonts w:cs="Arial"/>
                <w:sz w:val="20"/>
                <w:szCs w:val="20"/>
              </w:rPr>
            </w:pPr>
            <w:r w:rsidRPr="00A45B0A">
              <w:rPr>
                <w:rFonts w:cs="Arial"/>
                <w:sz w:val="20"/>
                <w:szCs w:val="20"/>
              </w:rPr>
              <w:t>Low</w:t>
            </w:r>
          </w:p>
        </w:tc>
        <w:tc>
          <w:tcPr>
            <w:tcW w:w="1418" w:type="dxa"/>
            <w:tcBorders>
              <w:bottom w:val="single" w:sz="4" w:space="0" w:color="808080"/>
            </w:tcBorders>
            <w:shd w:val="clear" w:color="auto" w:fill="auto"/>
          </w:tcPr>
          <w:p w14:paraId="349F64F0" w14:textId="77777777" w:rsidR="004541BD" w:rsidRPr="00A45B0A" w:rsidRDefault="004541BD" w:rsidP="0055726F">
            <w:pPr>
              <w:spacing w:before="60" w:after="60" w:line="240" w:lineRule="auto"/>
              <w:ind w:left="0"/>
              <w:jc w:val="center"/>
              <w:rPr>
                <w:rFonts w:cs="Arial"/>
                <w:sz w:val="20"/>
                <w:szCs w:val="20"/>
              </w:rPr>
            </w:pPr>
            <w:r w:rsidRPr="00A45B0A">
              <w:rPr>
                <w:rFonts w:cs="Arial"/>
                <w:sz w:val="20"/>
                <w:szCs w:val="20"/>
              </w:rPr>
              <w:t>Low</w:t>
            </w:r>
          </w:p>
        </w:tc>
        <w:tc>
          <w:tcPr>
            <w:tcW w:w="1134" w:type="dxa"/>
            <w:tcBorders>
              <w:bottom w:val="single" w:sz="4" w:space="0" w:color="808080"/>
            </w:tcBorders>
            <w:shd w:val="clear" w:color="auto" w:fill="auto"/>
          </w:tcPr>
          <w:p w14:paraId="61F00960" w14:textId="77777777" w:rsidR="004541BD" w:rsidRPr="00A45B0A" w:rsidRDefault="004541BD" w:rsidP="0055726F">
            <w:pPr>
              <w:spacing w:before="60" w:after="60" w:line="240" w:lineRule="auto"/>
              <w:ind w:left="0"/>
              <w:jc w:val="center"/>
              <w:rPr>
                <w:rFonts w:cs="Arial"/>
                <w:sz w:val="20"/>
                <w:szCs w:val="20"/>
              </w:rPr>
            </w:pPr>
            <w:r w:rsidRPr="00A45B0A">
              <w:rPr>
                <w:rFonts w:cs="Arial"/>
                <w:sz w:val="20"/>
                <w:szCs w:val="20"/>
              </w:rPr>
              <w:t>Low</w:t>
            </w:r>
          </w:p>
        </w:tc>
        <w:tc>
          <w:tcPr>
            <w:tcW w:w="1326" w:type="dxa"/>
            <w:tcBorders>
              <w:bottom w:val="single" w:sz="4" w:space="0" w:color="808080"/>
            </w:tcBorders>
            <w:shd w:val="clear" w:color="auto" w:fill="auto"/>
          </w:tcPr>
          <w:p w14:paraId="50A49EEF" w14:textId="77777777" w:rsidR="004541BD" w:rsidRPr="00A45B0A" w:rsidRDefault="00D32CB1" w:rsidP="0055726F">
            <w:pPr>
              <w:spacing w:before="60" w:after="60" w:line="240" w:lineRule="auto"/>
              <w:ind w:left="0"/>
              <w:jc w:val="center"/>
              <w:rPr>
                <w:rFonts w:cs="Arial"/>
                <w:sz w:val="20"/>
                <w:szCs w:val="20"/>
              </w:rPr>
            </w:pPr>
            <w:r w:rsidRPr="00A45B0A">
              <w:rPr>
                <w:rFonts w:cs="Arial"/>
                <w:sz w:val="20"/>
                <w:szCs w:val="20"/>
              </w:rPr>
              <w:t>Low</w:t>
            </w:r>
          </w:p>
        </w:tc>
      </w:tr>
      <w:tr w:rsidR="004541BD" w:rsidRPr="00A45B0A" w14:paraId="50EC3E7F" w14:textId="77777777" w:rsidTr="00891DE1">
        <w:tc>
          <w:tcPr>
            <w:tcW w:w="1526" w:type="dxa"/>
            <w:vMerge/>
            <w:tcBorders>
              <w:bottom w:val="single" w:sz="4" w:space="0" w:color="808080"/>
            </w:tcBorders>
            <w:shd w:val="clear" w:color="auto" w:fill="auto"/>
          </w:tcPr>
          <w:p w14:paraId="7490D1EA" w14:textId="77777777" w:rsidR="004541BD" w:rsidRPr="00A45B0A" w:rsidRDefault="004541BD" w:rsidP="0055726F">
            <w:pPr>
              <w:spacing w:before="60" w:after="60" w:line="240" w:lineRule="auto"/>
              <w:ind w:left="0"/>
              <w:rPr>
                <w:rFonts w:cs="Arial"/>
                <w:sz w:val="20"/>
                <w:szCs w:val="20"/>
              </w:rPr>
            </w:pPr>
          </w:p>
        </w:tc>
        <w:tc>
          <w:tcPr>
            <w:tcW w:w="1701" w:type="dxa"/>
            <w:tcBorders>
              <w:bottom w:val="single" w:sz="4" w:space="0" w:color="808080"/>
            </w:tcBorders>
            <w:shd w:val="clear" w:color="auto" w:fill="auto"/>
          </w:tcPr>
          <w:p w14:paraId="72D1EB40" w14:textId="77777777" w:rsidR="004541BD" w:rsidRPr="00A45B0A" w:rsidRDefault="004541BD" w:rsidP="0055726F">
            <w:pPr>
              <w:spacing w:before="60" w:after="60" w:line="240" w:lineRule="auto"/>
              <w:ind w:left="0"/>
              <w:rPr>
                <w:rFonts w:cs="Arial"/>
                <w:sz w:val="20"/>
                <w:szCs w:val="20"/>
              </w:rPr>
            </w:pPr>
            <w:r w:rsidRPr="00A45B0A">
              <w:rPr>
                <w:rFonts w:cs="Arial"/>
                <w:sz w:val="20"/>
                <w:szCs w:val="20"/>
              </w:rPr>
              <w:t>Far</w:t>
            </w:r>
          </w:p>
        </w:tc>
        <w:tc>
          <w:tcPr>
            <w:tcW w:w="1417" w:type="dxa"/>
            <w:tcBorders>
              <w:bottom w:val="single" w:sz="4" w:space="0" w:color="808080"/>
            </w:tcBorders>
            <w:shd w:val="clear" w:color="auto" w:fill="auto"/>
          </w:tcPr>
          <w:p w14:paraId="7A3AF028" w14:textId="77777777" w:rsidR="004541BD" w:rsidRPr="00A45B0A" w:rsidRDefault="004541BD" w:rsidP="0055726F">
            <w:pPr>
              <w:spacing w:before="60" w:after="60" w:line="240" w:lineRule="auto"/>
              <w:ind w:left="0"/>
              <w:jc w:val="center"/>
              <w:rPr>
                <w:rFonts w:cs="Arial"/>
                <w:sz w:val="20"/>
                <w:szCs w:val="20"/>
              </w:rPr>
            </w:pPr>
            <w:r w:rsidRPr="00A45B0A">
              <w:rPr>
                <w:rFonts w:cs="Arial"/>
                <w:sz w:val="20"/>
                <w:szCs w:val="20"/>
              </w:rPr>
              <w:t>Low</w:t>
            </w:r>
          </w:p>
        </w:tc>
        <w:tc>
          <w:tcPr>
            <w:tcW w:w="1418" w:type="dxa"/>
            <w:tcBorders>
              <w:bottom w:val="single" w:sz="4" w:space="0" w:color="808080"/>
            </w:tcBorders>
            <w:shd w:val="clear" w:color="auto" w:fill="auto"/>
          </w:tcPr>
          <w:p w14:paraId="421C1CC0" w14:textId="77777777" w:rsidR="004541BD" w:rsidRPr="00A45B0A" w:rsidRDefault="004541BD" w:rsidP="0055726F">
            <w:pPr>
              <w:spacing w:before="60" w:after="60" w:line="240" w:lineRule="auto"/>
              <w:ind w:left="0"/>
              <w:jc w:val="center"/>
              <w:rPr>
                <w:rFonts w:cs="Arial"/>
                <w:sz w:val="20"/>
                <w:szCs w:val="20"/>
              </w:rPr>
            </w:pPr>
            <w:r w:rsidRPr="00A45B0A">
              <w:rPr>
                <w:rFonts w:cs="Arial"/>
                <w:sz w:val="20"/>
                <w:szCs w:val="20"/>
              </w:rPr>
              <w:t>Low</w:t>
            </w:r>
          </w:p>
        </w:tc>
        <w:tc>
          <w:tcPr>
            <w:tcW w:w="1134" w:type="dxa"/>
            <w:tcBorders>
              <w:bottom w:val="single" w:sz="4" w:space="0" w:color="808080"/>
            </w:tcBorders>
            <w:shd w:val="clear" w:color="auto" w:fill="auto"/>
          </w:tcPr>
          <w:p w14:paraId="4B87D315" w14:textId="77777777" w:rsidR="004541BD" w:rsidRPr="00A45B0A" w:rsidRDefault="004541BD" w:rsidP="0055726F">
            <w:pPr>
              <w:spacing w:before="60" w:after="60" w:line="240" w:lineRule="auto"/>
              <w:ind w:left="0"/>
              <w:jc w:val="center"/>
              <w:rPr>
                <w:rFonts w:cs="Arial"/>
                <w:sz w:val="20"/>
                <w:szCs w:val="20"/>
              </w:rPr>
            </w:pPr>
            <w:r w:rsidRPr="00A45B0A">
              <w:rPr>
                <w:rFonts w:cs="Arial"/>
                <w:sz w:val="20"/>
                <w:szCs w:val="20"/>
              </w:rPr>
              <w:t>Low</w:t>
            </w:r>
          </w:p>
        </w:tc>
        <w:tc>
          <w:tcPr>
            <w:tcW w:w="1326" w:type="dxa"/>
            <w:tcBorders>
              <w:bottom w:val="single" w:sz="4" w:space="0" w:color="808080"/>
            </w:tcBorders>
            <w:shd w:val="clear" w:color="auto" w:fill="auto"/>
          </w:tcPr>
          <w:p w14:paraId="34B9A499" w14:textId="77777777" w:rsidR="004541BD" w:rsidRPr="00A45B0A" w:rsidRDefault="004541BD" w:rsidP="0055726F">
            <w:pPr>
              <w:spacing w:before="60" w:after="60" w:line="240" w:lineRule="auto"/>
              <w:ind w:left="0"/>
              <w:jc w:val="center"/>
              <w:rPr>
                <w:rFonts w:cs="Arial"/>
                <w:sz w:val="20"/>
                <w:szCs w:val="20"/>
              </w:rPr>
            </w:pPr>
            <w:r w:rsidRPr="00A45B0A">
              <w:rPr>
                <w:rFonts w:cs="Arial"/>
                <w:sz w:val="20"/>
                <w:szCs w:val="20"/>
              </w:rPr>
              <w:t>Low</w:t>
            </w:r>
          </w:p>
        </w:tc>
      </w:tr>
      <w:tr w:rsidR="004541BD" w:rsidRPr="00A45B0A" w14:paraId="6A4F66DF" w14:textId="77777777" w:rsidTr="00891DE1">
        <w:tc>
          <w:tcPr>
            <w:tcW w:w="8522" w:type="dxa"/>
            <w:gridSpan w:val="6"/>
            <w:tcBorders>
              <w:top w:val="single" w:sz="4" w:space="0" w:color="808080"/>
              <w:left w:val="nil"/>
              <w:bottom w:val="nil"/>
              <w:right w:val="nil"/>
            </w:tcBorders>
            <w:shd w:val="clear" w:color="auto" w:fill="auto"/>
          </w:tcPr>
          <w:p w14:paraId="122681D4" w14:textId="3D6552AE" w:rsidR="004541BD" w:rsidRPr="00D9293D" w:rsidRDefault="003C20CF" w:rsidP="00514376">
            <w:pPr>
              <w:spacing w:after="60"/>
              <w:ind w:left="0"/>
              <w:rPr>
                <w:rFonts w:cs="Arial"/>
                <w:sz w:val="18"/>
                <w:szCs w:val="18"/>
              </w:rPr>
            </w:pPr>
            <w:r w:rsidRPr="003C20CF">
              <w:rPr>
                <w:rFonts w:cs="Arial"/>
                <w:sz w:val="18"/>
                <w:szCs w:val="18"/>
              </w:rPr>
              <w:t>Adopted from Popper et al (2014).</w:t>
            </w:r>
          </w:p>
        </w:tc>
      </w:tr>
    </w:tbl>
    <w:p w14:paraId="1573892E" w14:textId="77777777" w:rsidR="005E6A4A" w:rsidRDefault="005E6A4A" w:rsidP="00534210">
      <w:pPr>
        <w:ind w:left="0"/>
        <w:rPr>
          <w:rFonts w:ascii="Tahoma" w:hAnsi="Tahoma" w:cs="Arial"/>
          <w:szCs w:val="20"/>
        </w:rPr>
      </w:pPr>
    </w:p>
    <w:p w14:paraId="3BF2600C" w14:textId="34425B72" w:rsidR="004541BD" w:rsidRPr="003F25B6" w:rsidRDefault="003F25B6" w:rsidP="003F25B6">
      <w:pPr>
        <w:spacing w:after="120" w:line="240" w:lineRule="auto"/>
        <w:ind w:left="0"/>
        <w:rPr>
          <w:rFonts w:cs="Arial"/>
          <w:sz w:val="22"/>
          <w:szCs w:val="22"/>
          <w:u w:val="single"/>
        </w:rPr>
      </w:pPr>
      <w:r w:rsidRPr="003F25B6">
        <w:rPr>
          <w:rFonts w:cs="Arial"/>
          <w:sz w:val="22"/>
          <w:szCs w:val="22"/>
          <w:u w:val="single"/>
        </w:rPr>
        <w:t>STLM results</w:t>
      </w:r>
    </w:p>
    <w:p w14:paraId="424AB9EF" w14:textId="331AA1B2" w:rsidR="008D73E8" w:rsidRDefault="00D511EB" w:rsidP="00534210">
      <w:pPr>
        <w:ind w:left="0"/>
        <w:rPr>
          <w:sz w:val="22"/>
          <w:szCs w:val="22"/>
        </w:rPr>
      </w:pPr>
      <w:r w:rsidRPr="00EF4E2A">
        <w:rPr>
          <w:sz w:val="22"/>
          <w:szCs w:val="22"/>
        </w:rPr>
        <w:t>Table 7.5</w:t>
      </w:r>
      <w:r w:rsidR="00230F91" w:rsidRPr="00EF4E2A">
        <w:rPr>
          <w:sz w:val="22"/>
          <w:szCs w:val="22"/>
        </w:rPr>
        <w:t xml:space="preserve"> presents the </w:t>
      </w:r>
      <w:r w:rsidR="007777C6" w:rsidRPr="00EF4E2A">
        <w:rPr>
          <w:sz w:val="22"/>
          <w:szCs w:val="22"/>
        </w:rPr>
        <w:t xml:space="preserve">STLM </w:t>
      </w:r>
      <w:r w:rsidR="0054060B" w:rsidRPr="00EF4E2A">
        <w:rPr>
          <w:sz w:val="22"/>
          <w:szCs w:val="22"/>
        </w:rPr>
        <w:t>predict</w:t>
      </w:r>
      <w:r w:rsidR="007777C6" w:rsidRPr="00EF4E2A">
        <w:rPr>
          <w:sz w:val="22"/>
          <w:szCs w:val="22"/>
        </w:rPr>
        <w:t xml:space="preserve">ed ranges </w:t>
      </w:r>
      <w:r w:rsidR="0054060B" w:rsidRPr="00EF4E2A">
        <w:rPr>
          <w:sz w:val="22"/>
          <w:szCs w:val="22"/>
        </w:rPr>
        <w:t xml:space="preserve">for the </w:t>
      </w:r>
      <w:r w:rsidR="007777C6" w:rsidRPr="00EF4E2A">
        <w:rPr>
          <w:sz w:val="22"/>
          <w:szCs w:val="22"/>
        </w:rPr>
        <w:t>effects criteria and isopleths</w:t>
      </w:r>
      <w:r w:rsidR="007777C6">
        <w:rPr>
          <w:sz w:val="22"/>
          <w:szCs w:val="22"/>
        </w:rPr>
        <w:t xml:space="preserve"> of interest for fish eggs and larvae (plankton)</w:t>
      </w:r>
      <w:r w:rsidR="00230F91">
        <w:rPr>
          <w:sz w:val="22"/>
          <w:szCs w:val="22"/>
        </w:rPr>
        <w:t xml:space="preserve">. </w:t>
      </w:r>
    </w:p>
    <w:p w14:paraId="718FE29A" w14:textId="77777777" w:rsidR="008D73E8" w:rsidRDefault="008D73E8" w:rsidP="00534210">
      <w:pPr>
        <w:ind w:left="0"/>
        <w:rPr>
          <w:sz w:val="22"/>
          <w:szCs w:val="22"/>
        </w:rPr>
      </w:pPr>
    </w:p>
    <w:p w14:paraId="4DA4805A" w14:textId="5DA94296" w:rsidR="006E2F1B" w:rsidRPr="006E2F1B" w:rsidRDefault="006E2F1B" w:rsidP="006E2F1B">
      <w:pPr>
        <w:spacing w:after="120" w:line="240" w:lineRule="auto"/>
        <w:ind w:left="0"/>
        <w:jc w:val="center"/>
        <w:rPr>
          <w:rFonts w:cs="Arial"/>
          <w:b/>
          <w:sz w:val="20"/>
          <w:szCs w:val="20"/>
          <w:specVanish/>
        </w:rPr>
      </w:pPr>
      <w:r>
        <w:rPr>
          <w:rFonts w:cs="Arial"/>
          <w:b/>
          <w:sz w:val="20"/>
          <w:szCs w:val="20"/>
        </w:rPr>
        <w:t>Table 7.</w:t>
      </w:r>
      <w:r w:rsidR="00D511EB">
        <w:rPr>
          <w:rFonts w:cs="Arial"/>
          <w:b/>
          <w:sz w:val="20"/>
          <w:szCs w:val="20"/>
        </w:rPr>
        <w:t>5</w:t>
      </w:r>
      <w:r>
        <w:rPr>
          <w:rFonts w:cs="Arial"/>
          <w:b/>
          <w:sz w:val="20"/>
          <w:szCs w:val="20"/>
        </w:rPr>
        <w:t>.</w:t>
      </w:r>
      <w:r>
        <w:rPr>
          <w:rFonts w:cs="Arial"/>
          <w:b/>
          <w:sz w:val="20"/>
          <w:szCs w:val="20"/>
        </w:rPr>
        <w:tab/>
      </w:r>
      <w:r w:rsidRPr="006E2F1B">
        <w:rPr>
          <w:rFonts w:cs="Arial"/>
          <w:b/>
          <w:sz w:val="20"/>
          <w:szCs w:val="20"/>
        </w:rPr>
        <w:t>Maximum (R</w:t>
      </w:r>
      <w:r w:rsidRPr="006E2F1B">
        <w:rPr>
          <w:rFonts w:cs="Arial"/>
          <w:b/>
          <w:sz w:val="20"/>
          <w:szCs w:val="20"/>
          <w:vertAlign w:val="subscript"/>
        </w:rPr>
        <w:t>max</w:t>
      </w:r>
      <w:r w:rsidRPr="006E2F1B">
        <w:rPr>
          <w:rFonts w:cs="Arial"/>
          <w:b/>
          <w:sz w:val="20"/>
          <w:szCs w:val="20"/>
        </w:rPr>
        <w:t xml:space="preserve">) horizontal distances from the </w:t>
      </w:r>
      <w:r>
        <w:rPr>
          <w:rFonts w:cs="Arial"/>
          <w:b/>
          <w:sz w:val="20"/>
          <w:szCs w:val="20"/>
        </w:rPr>
        <w:t>source</w:t>
      </w:r>
      <w:r w:rsidRPr="006E2F1B">
        <w:rPr>
          <w:rFonts w:cs="Arial"/>
          <w:b/>
          <w:sz w:val="20"/>
          <w:szCs w:val="20"/>
        </w:rPr>
        <w:t xml:space="preserve"> array to modelled seafloor PK levels from four transects</w:t>
      </w:r>
      <w:r>
        <w:rPr>
          <w:rFonts w:cs="Arial"/>
          <w:b/>
          <w:sz w:val="20"/>
          <w:szCs w:val="20"/>
        </w:rPr>
        <w:t xml:space="preserve"> for fish eggs and larvae</w:t>
      </w:r>
    </w:p>
    <w:tbl>
      <w:tblPr>
        <w:tblStyle w:val="TableGrid"/>
        <w:tblW w:w="0" w:type="auto"/>
        <w:jc w:val="center"/>
        <w:tblLook w:val="04A0" w:firstRow="1" w:lastRow="0" w:firstColumn="1" w:lastColumn="0" w:noHBand="0" w:noVBand="1"/>
      </w:tblPr>
      <w:tblGrid>
        <w:gridCol w:w="2059"/>
        <w:gridCol w:w="1012"/>
        <w:gridCol w:w="1105"/>
        <w:gridCol w:w="1105"/>
        <w:gridCol w:w="1105"/>
        <w:gridCol w:w="1035"/>
      </w:tblGrid>
      <w:tr w:rsidR="003C20CF" w14:paraId="0FDF8042" w14:textId="77777777" w:rsidTr="00D9293D">
        <w:trPr>
          <w:jc w:val="center"/>
        </w:trPr>
        <w:tc>
          <w:tcPr>
            <w:tcW w:w="2059" w:type="dxa"/>
            <w:vMerge w:val="restart"/>
            <w:shd w:val="clear" w:color="auto" w:fill="064EA8"/>
          </w:tcPr>
          <w:p w14:paraId="5A610EBD" w14:textId="5480E7E6" w:rsidR="003C20CF" w:rsidRPr="009E683A" w:rsidRDefault="003C20CF" w:rsidP="009E683A">
            <w:pPr>
              <w:spacing w:before="60" w:after="60"/>
              <w:ind w:left="0"/>
              <w:jc w:val="center"/>
              <w:rPr>
                <w:rFonts w:cs="Arial"/>
                <w:color w:val="FFFFFF" w:themeColor="background1"/>
                <w:sz w:val="20"/>
                <w:szCs w:val="20"/>
              </w:rPr>
            </w:pPr>
            <w:r w:rsidRPr="005723CF">
              <w:rPr>
                <w:color w:val="FFFFFF" w:themeColor="background1"/>
                <w:sz w:val="20"/>
                <w:szCs w:val="20"/>
              </w:rPr>
              <w:t xml:space="preserve">Peak pressure level </w:t>
            </w:r>
            <w:r>
              <w:rPr>
                <w:color w:val="FFFFFF" w:themeColor="background1"/>
                <w:sz w:val="20"/>
                <w:szCs w:val="20"/>
              </w:rPr>
              <w:br/>
              <w:t>(dB re 1 μPa</w:t>
            </w:r>
            <w:r w:rsidRPr="005723CF">
              <w:rPr>
                <w:color w:val="FFFFFF" w:themeColor="background1"/>
                <w:sz w:val="20"/>
                <w:szCs w:val="20"/>
              </w:rPr>
              <w:t>)</w:t>
            </w:r>
          </w:p>
        </w:tc>
        <w:tc>
          <w:tcPr>
            <w:tcW w:w="5362" w:type="dxa"/>
            <w:gridSpan w:val="5"/>
            <w:shd w:val="clear" w:color="auto" w:fill="064EA8"/>
          </w:tcPr>
          <w:p w14:paraId="04A02CB3" w14:textId="392FAEE0" w:rsidR="003C20CF" w:rsidRPr="009E683A" w:rsidRDefault="003C20CF" w:rsidP="006E2F1B">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Distance R</w:t>
            </w:r>
            <w:r>
              <w:rPr>
                <w:rFonts w:cs="Arial"/>
                <w:color w:val="FFFFFF" w:themeColor="background1"/>
                <w:sz w:val="20"/>
                <w:szCs w:val="20"/>
                <w:vertAlign w:val="subscript"/>
              </w:rPr>
              <w:t>max</w:t>
            </w:r>
            <w:r w:rsidRPr="009E683A">
              <w:rPr>
                <w:rFonts w:cs="Arial"/>
                <w:color w:val="FFFFFF" w:themeColor="background1"/>
                <w:sz w:val="20"/>
                <w:szCs w:val="20"/>
              </w:rPr>
              <w:t xml:space="preserve"> (m)</w:t>
            </w:r>
          </w:p>
        </w:tc>
      </w:tr>
      <w:tr w:rsidR="003C20CF" w14:paraId="111A90B2" w14:textId="77777777" w:rsidTr="00D9293D">
        <w:trPr>
          <w:jc w:val="center"/>
        </w:trPr>
        <w:tc>
          <w:tcPr>
            <w:tcW w:w="2059" w:type="dxa"/>
            <w:vMerge/>
            <w:shd w:val="clear" w:color="auto" w:fill="064EA8"/>
          </w:tcPr>
          <w:p w14:paraId="242CE56D" w14:textId="348D50EC" w:rsidR="003C20CF" w:rsidRPr="009E683A" w:rsidRDefault="003C20CF" w:rsidP="009E683A">
            <w:pPr>
              <w:spacing w:before="60" w:after="60" w:line="240" w:lineRule="auto"/>
              <w:ind w:left="0"/>
              <w:jc w:val="center"/>
              <w:rPr>
                <w:rFonts w:cs="Arial"/>
                <w:color w:val="FFFFFF" w:themeColor="background1"/>
                <w:sz w:val="20"/>
                <w:szCs w:val="20"/>
              </w:rPr>
            </w:pPr>
          </w:p>
        </w:tc>
        <w:tc>
          <w:tcPr>
            <w:tcW w:w="1012" w:type="dxa"/>
            <w:shd w:val="clear" w:color="auto" w:fill="064EA8"/>
          </w:tcPr>
          <w:p w14:paraId="6ECECA32" w14:textId="587F3BFB" w:rsidR="003C20CF" w:rsidRPr="009E683A" w:rsidRDefault="003C20CF" w:rsidP="009E683A">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1</w:t>
            </w:r>
          </w:p>
        </w:tc>
        <w:tc>
          <w:tcPr>
            <w:tcW w:w="1105" w:type="dxa"/>
            <w:shd w:val="clear" w:color="auto" w:fill="064EA8"/>
          </w:tcPr>
          <w:p w14:paraId="0E2FE4CA" w14:textId="4A806A1D" w:rsidR="003C20CF" w:rsidRPr="009E683A" w:rsidRDefault="003C20CF" w:rsidP="009E683A">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2</w:t>
            </w:r>
          </w:p>
        </w:tc>
        <w:tc>
          <w:tcPr>
            <w:tcW w:w="1105" w:type="dxa"/>
            <w:shd w:val="clear" w:color="auto" w:fill="064EA8"/>
          </w:tcPr>
          <w:p w14:paraId="5E68E057" w14:textId="3B73ABFC" w:rsidR="003C20CF" w:rsidRPr="009E683A" w:rsidRDefault="003C20CF" w:rsidP="009E683A">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3</w:t>
            </w:r>
          </w:p>
        </w:tc>
        <w:tc>
          <w:tcPr>
            <w:tcW w:w="1105" w:type="dxa"/>
            <w:shd w:val="clear" w:color="auto" w:fill="064EA8"/>
          </w:tcPr>
          <w:p w14:paraId="787343F7" w14:textId="5F99A708" w:rsidR="003C20CF" w:rsidRPr="009E683A" w:rsidRDefault="003C20CF" w:rsidP="009E683A">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4</w:t>
            </w:r>
          </w:p>
        </w:tc>
        <w:tc>
          <w:tcPr>
            <w:tcW w:w="1035" w:type="dxa"/>
            <w:shd w:val="clear" w:color="auto" w:fill="064EA8"/>
          </w:tcPr>
          <w:p w14:paraId="79035D2D" w14:textId="24A9B87F" w:rsidR="003C20CF" w:rsidRPr="009E683A" w:rsidRDefault="003C20CF" w:rsidP="009E683A">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5</w:t>
            </w:r>
          </w:p>
        </w:tc>
      </w:tr>
      <w:tr w:rsidR="003C20CF" w14:paraId="214A4B2B" w14:textId="77777777" w:rsidTr="00D9293D">
        <w:trPr>
          <w:jc w:val="center"/>
        </w:trPr>
        <w:tc>
          <w:tcPr>
            <w:tcW w:w="2059" w:type="dxa"/>
            <w:vAlign w:val="center"/>
          </w:tcPr>
          <w:p w14:paraId="2D2E4676" w14:textId="11813B95" w:rsidR="003C20CF" w:rsidRPr="003C20CF" w:rsidRDefault="003C20CF" w:rsidP="006E2F1B">
            <w:pPr>
              <w:spacing w:before="60" w:after="60" w:line="240" w:lineRule="auto"/>
              <w:ind w:left="0"/>
              <w:jc w:val="center"/>
              <w:rPr>
                <w:rFonts w:cs="Arial"/>
                <w:sz w:val="20"/>
                <w:szCs w:val="20"/>
              </w:rPr>
            </w:pPr>
            <w:r w:rsidRPr="003C20CF">
              <w:rPr>
                <w:rFonts w:cs="Arial"/>
                <w:sz w:val="20"/>
                <w:szCs w:val="20"/>
              </w:rPr>
              <w:t>207</w:t>
            </w:r>
          </w:p>
        </w:tc>
        <w:tc>
          <w:tcPr>
            <w:tcW w:w="1012" w:type="dxa"/>
            <w:shd w:val="clear" w:color="auto" w:fill="FF0000"/>
          </w:tcPr>
          <w:p w14:paraId="2BEA66A5" w14:textId="2C630BE9" w:rsidR="003C20CF" w:rsidRPr="00D9293D" w:rsidRDefault="003C20CF" w:rsidP="009E683A">
            <w:pPr>
              <w:spacing w:before="60" w:after="60" w:line="240" w:lineRule="auto"/>
              <w:ind w:left="0"/>
              <w:jc w:val="center"/>
              <w:rPr>
                <w:rFonts w:cs="Arial"/>
                <w:sz w:val="20"/>
                <w:szCs w:val="20"/>
              </w:rPr>
            </w:pPr>
            <w:r w:rsidRPr="00D9293D">
              <w:rPr>
                <w:rFonts w:cs="Arial"/>
                <w:sz w:val="20"/>
                <w:szCs w:val="20"/>
              </w:rPr>
              <w:t>300</w:t>
            </w:r>
          </w:p>
        </w:tc>
        <w:tc>
          <w:tcPr>
            <w:tcW w:w="1105" w:type="dxa"/>
          </w:tcPr>
          <w:p w14:paraId="5A70835C" w14:textId="36DC1D7A" w:rsidR="003C20CF" w:rsidRPr="003C20CF" w:rsidRDefault="003C20CF" w:rsidP="009E683A">
            <w:pPr>
              <w:spacing w:before="60" w:after="60" w:line="240" w:lineRule="auto"/>
              <w:ind w:left="0"/>
              <w:jc w:val="center"/>
              <w:rPr>
                <w:rFonts w:cs="Arial"/>
                <w:sz w:val="20"/>
                <w:szCs w:val="20"/>
              </w:rPr>
            </w:pPr>
            <w:r w:rsidRPr="003C20CF">
              <w:rPr>
                <w:rFonts w:cs="Arial"/>
                <w:sz w:val="20"/>
                <w:szCs w:val="20"/>
              </w:rPr>
              <w:t>260</w:t>
            </w:r>
          </w:p>
        </w:tc>
        <w:tc>
          <w:tcPr>
            <w:tcW w:w="1105" w:type="dxa"/>
          </w:tcPr>
          <w:p w14:paraId="296C3BD6" w14:textId="60EA00B4" w:rsidR="003C20CF" w:rsidRPr="003C20CF" w:rsidRDefault="003C20CF" w:rsidP="009E683A">
            <w:pPr>
              <w:spacing w:before="60" w:after="60" w:line="240" w:lineRule="auto"/>
              <w:ind w:left="0"/>
              <w:jc w:val="center"/>
              <w:rPr>
                <w:rFonts w:cs="Arial"/>
                <w:sz w:val="20"/>
                <w:szCs w:val="20"/>
              </w:rPr>
            </w:pPr>
            <w:r w:rsidRPr="003C20CF">
              <w:rPr>
                <w:rFonts w:cs="Arial"/>
                <w:sz w:val="20"/>
                <w:szCs w:val="20"/>
              </w:rPr>
              <w:t>230</w:t>
            </w:r>
          </w:p>
        </w:tc>
        <w:tc>
          <w:tcPr>
            <w:tcW w:w="1105" w:type="dxa"/>
          </w:tcPr>
          <w:p w14:paraId="38404B4C" w14:textId="7D339A5D" w:rsidR="003C20CF" w:rsidRPr="003C20CF" w:rsidRDefault="003C20CF" w:rsidP="009E683A">
            <w:pPr>
              <w:spacing w:before="60" w:after="60" w:line="240" w:lineRule="auto"/>
              <w:ind w:left="0"/>
              <w:jc w:val="center"/>
              <w:rPr>
                <w:rFonts w:cs="Arial"/>
                <w:sz w:val="20"/>
                <w:szCs w:val="20"/>
              </w:rPr>
            </w:pPr>
            <w:r w:rsidRPr="003C20CF">
              <w:rPr>
                <w:rFonts w:cs="Arial"/>
                <w:sz w:val="20"/>
                <w:szCs w:val="20"/>
              </w:rPr>
              <w:t>250</w:t>
            </w:r>
          </w:p>
        </w:tc>
        <w:tc>
          <w:tcPr>
            <w:tcW w:w="1035" w:type="dxa"/>
          </w:tcPr>
          <w:p w14:paraId="15957230" w14:textId="24F38A3E" w:rsidR="003C20CF" w:rsidRPr="003C20CF" w:rsidRDefault="003C20CF" w:rsidP="009E683A">
            <w:pPr>
              <w:spacing w:before="60" w:after="60" w:line="240" w:lineRule="auto"/>
              <w:ind w:left="0"/>
              <w:jc w:val="center"/>
              <w:rPr>
                <w:rFonts w:cs="Arial"/>
                <w:sz w:val="20"/>
                <w:szCs w:val="20"/>
              </w:rPr>
            </w:pPr>
            <w:r w:rsidRPr="003C20CF">
              <w:rPr>
                <w:rFonts w:cs="Arial"/>
                <w:sz w:val="20"/>
                <w:szCs w:val="20"/>
              </w:rPr>
              <w:t>220</w:t>
            </w:r>
          </w:p>
        </w:tc>
      </w:tr>
    </w:tbl>
    <w:p w14:paraId="3A896A43" w14:textId="279FE365" w:rsidR="001D2756" w:rsidRPr="001D2756" w:rsidRDefault="001D2756" w:rsidP="001D2756">
      <w:pPr>
        <w:ind w:left="0" w:firstLine="426"/>
        <w:rPr>
          <w:i/>
          <w:sz w:val="18"/>
          <w:szCs w:val="18"/>
        </w:rPr>
      </w:pPr>
      <w:r w:rsidRPr="001D2756">
        <w:rPr>
          <w:i/>
          <w:sz w:val="18"/>
          <w:szCs w:val="18"/>
        </w:rPr>
        <w:t>Cell highlighted in red indicate maximum predicted exten</w:t>
      </w:r>
      <w:r w:rsidR="00A24FEE">
        <w:rPr>
          <w:i/>
          <w:sz w:val="18"/>
          <w:szCs w:val="18"/>
        </w:rPr>
        <w:t>t</w:t>
      </w:r>
      <w:r w:rsidRPr="001D2756">
        <w:rPr>
          <w:i/>
          <w:sz w:val="18"/>
          <w:szCs w:val="18"/>
        </w:rPr>
        <w:t xml:space="preserve"> of sound.</w:t>
      </w:r>
    </w:p>
    <w:p w14:paraId="496A8784" w14:textId="77777777" w:rsidR="003C20CF" w:rsidRDefault="003C20CF" w:rsidP="00534210">
      <w:pPr>
        <w:ind w:left="0"/>
        <w:rPr>
          <w:rFonts w:ascii="Tahoma" w:hAnsi="Tahoma" w:cs="Arial"/>
          <w:szCs w:val="20"/>
        </w:rPr>
      </w:pPr>
    </w:p>
    <w:p w14:paraId="6AB7FF06" w14:textId="75FA24A2" w:rsidR="0054060B" w:rsidRDefault="00A27317" w:rsidP="00A27317">
      <w:pPr>
        <w:ind w:left="0"/>
        <w:rPr>
          <w:sz w:val="22"/>
          <w:szCs w:val="22"/>
        </w:rPr>
      </w:pPr>
      <w:r w:rsidRPr="00EF4E2A">
        <w:rPr>
          <w:sz w:val="22"/>
          <w:szCs w:val="22"/>
        </w:rPr>
        <w:t>Table 7.</w:t>
      </w:r>
      <w:r w:rsidR="00D511EB" w:rsidRPr="00EF4E2A">
        <w:rPr>
          <w:sz w:val="22"/>
          <w:szCs w:val="22"/>
        </w:rPr>
        <w:t>6</w:t>
      </w:r>
      <w:r w:rsidRPr="00EF4E2A">
        <w:rPr>
          <w:sz w:val="22"/>
          <w:szCs w:val="22"/>
        </w:rPr>
        <w:t xml:space="preserve"> presents</w:t>
      </w:r>
      <w:r>
        <w:rPr>
          <w:sz w:val="22"/>
          <w:szCs w:val="22"/>
        </w:rPr>
        <w:t xml:space="preserve"> the </w:t>
      </w:r>
      <w:r w:rsidR="00EB0552">
        <w:rPr>
          <w:sz w:val="22"/>
          <w:szCs w:val="22"/>
        </w:rPr>
        <w:t xml:space="preserve">STLM </w:t>
      </w:r>
      <w:r w:rsidR="006B0F7F">
        <w:rPr>
          <w:sz w:val="22"/>
          <w:szCs w:val="22"/>
        </w:rPr>
        <w:t>SEL</w:t>
      </w:r>
      <w:r w:rsidR="006B5927" w:rsidRPr="006B0F7F">
        <w:rPr>
          <w:sz w:val="22"/>
          <w:szCs w:val="22"/>
          <w:vertAlign w:val="subscript"/>
        </w:rPr>
        <w:t>24</w:t>
      </w:r>
      <w:r w:rsidR="006B0F7F" w:rsidRPr="006B0F7F">
        <w:rPr>
          <w:sz w:val="22"/>
          <w:szCs w:val="22"/>
          <w:vertAlign w:val="subscript"/>
        </w:rPr>
        <w:t>h</w:t>
      </w:r>
      <w:r w:rsidR="006B0F7F">
        <w:rPr>
          <w:sz w:val="22"/>
          <w:szCs w:val="22"/>
        </w:rPr>
        <w:t xml:space="preserve"> </w:t>
      </w:r>
      <w:r>
        <w:rPr>
          <w:sz w:val="22"/>
          <w:szCs w:val="22"/>
        </w:rPr>
        <w:t xml:space="preserve">results </w:t>
      </w:r>
      <w:r w:rsidR="00EB0552">
        <w:rPr>
          <w:sz w:val="22"/>
          <w:szCs w:val="22"/>
        </w:rPr>
        <w:t xml:space="preserve">for three operational scenarios for plankton </w:t>
      </w:r>
      <w:r w:rsidR="0054060B">
        <w:rPr>
          <w:sz w:val="22"/>
          <w:szCs w:val="22"/>
        </w:rPr>
        <w:t>with the estimated ranges to the appropriate cumulative exposure criterion contour</w:t>
      </w:r>
      <w:r>
        <w:rPr>
          <w:sz w:val="22"/>
          <w:szCs w:val="22"/>
        </w:rPr>
        <w:t xml:space="preserve">. </w:t>
      </w:r>
      <w:r w:rsidR="0054060B" w:rsidRPr="0054060B">
        <w:rPr>
          <w:sz w:val="22"/>
          <w:szCs w:val="22"/>
        </w:rPr>
        <w:t xml:space="preserve">The </w:t>
      </w:r>
      <w:r w:rsidR="00675AED">
        <w:rPr>
          <w:sz w:val="22"/>
          <w:szCs w:val="22"/>
        </w:rPr>
        <w:t>distances</w:t>
      </w:r>
      <w:r w:rsidR="0054060B" w:rsidRPr="0054060B">
        <w:rPr>
          <w:sz w:val="22"/>
          <w:szCs w:val="22"/>
        </w:rPr>
        <w:t xml:space="preserve"> in this section represent the perpendicular distance from to the closest survey line to the relevant isopleth.</w:t>
      </w:r>
    </w:p>
    <w:p w14:paraId="4DDA0D99" w14:textId="77777777" w:rsidR="0054060B" w:rsidRDefault="0054060B" w:rsidP="00A27317">
      <w:pPr>
        <w:ind w:left="0"/>
        <w:rPr>
          <w:sz w:val="22"/>
          <w:szCs w:val="22"/>
        </w:rPr>
      </w:pPr>
    </w:p>
    <w:p w14:paraId="1352CF08" w14:textId="0E61FBE3" w:rsidR="008A483F" w:rsidRDefault="008A483F" w:rsidP="008A483F">
      <w:pPr>
        <w:spacing w:after="120" w:line="240" w:lineRule="auto"/>
        <w:ind w:left="0"/>
        <w:jc w:val="center"/>
        <w:rPr>
          <w:rFonts w:ascii="Tahoma" w:hAnsi="Tahoma" w:cs="Arial"/>
          <w:szCs w:val="20"/>
        </w:rPr>
      </w:pPr>
      <w:r>
        <w:rPr>
          <w:rFonts w:cs="Arial"/>
          <w:b/>
          <w:sz w:val="20"/>
          <w:szCs w:val="20"/>
        </w:rPr>
        <w:t>Table 7.</w:t>
      </w:r>
      <w:r w:rsidR="00D511EB">
        <w:rPr>
          <w:rFonts w:cs="Arial"/>
          <w:b/>
          <w:sz w:val="20"/>
          <w:szCs w:val="20"/>
        </w:rPr>
        <w:t>6</w:t>
      </w:r>
      <w:r>
        <w:rPr>
          <w:rFonts w:cs="Arial"/>
          <w:b/>
          <w:sz w:val="20"/>
          <w:szCs w:val="20"/>
        </w:rPr>
        <w:t>.</w:t>
      </w:r>
      <w:r>
        <w:rPr>
          <w:rFonts w:cs="Arial"/>
          <w:b/>
          <w:sz w:val="20"/>
          <w:szCs w:val="20"/>
        </w:rPr>
        <w:tab/>
      </w:r>
      <w:r w:rsidRPr="008A483F">
        <w:rPr>
          <w:rFonts w:cs="Arial"/>
          <w:b/>
          <w:sz w:val="20"/>
          <w:szCs w:val="20"/>
        </w:rPr>
        <w:t>Maximum</w:t>
      </w:r>
      <w:r w:rsidR="001169A1">
        <w:rPr>
          <w:rFonts w:cs="Arial"/>
          <w:b/>
          <w:sz w:val="20"/>
          <w:szCs w:val="20"/>
        </w:rPr>
        <w:t xml:space="preserve">-over-depth distances </w:t>
      </w:r>
      <w:r w:rsidRPr="008A483F">
        <w:rPr>
          <w:rFonts w:cs="Arial"/>
          <w:b/>
          <w:sz w:val="20"/>
          <w:szCs w:val="20"/>
        </w:rPr>
        <w:t>to SEL</w:t>
      </w:r>
      <w:r w:rsidRPr="008A483F">
        <w:rPr>
          <w:rFonts w:cs="Arial"/>
          <w:b/>
          <w:sz w:val="20"/>
          <w:szCs w:val="20"/>
          <w:vertAlign w:val="subscript"/>
        </w:rPr>
        <w:t>24h</w:t>
      </w:r>
      <w:r w:rsidR="001169A1">
        <w:rPr>
          <w:rFonts w:cs="Arial"/>
          <w:b/>
          <w:sz w:val="20"/>
          <w:szCs w:val="20"/>
        </w:rPr>
        <w:t>-</w:t>
      </w:r>
      <w:r w:rsidRPr="008A483F">
        <w:rPr>
          <w:rFonts w:cs="Arial"/>
          <w:b/>
          <w:sz w:val="20"/>
          <w:szCs w:val="20"/>
        </w:rPr>
        <w:t xml:space="preserve">based </w:t>
      </w:r>
      <w:r>
        <w:rPr>
          <w:rFonts w:cs="Arial"/>
          <w:b/>
          <w:sz w:val="20"/>
          <w:szCs w:val="20"/>
        </w:rPr>
        <w:t>plankton</w:t>
      </w:r>
      <w:r w:rsidRPr="008A483F">
        <w:rPr>
          <w:rFonts w:cs="Arial"/>
          <w:b/>
          <w:sz w:val="20"/>
          <w:szCs w:val="20"/>
        </w:rPr>
        <w:t xml:space="preserve"> criteria for three possible scenarios within the Pelican 3DMSS acquisition area</w:t>
      </w:r>
    </w:p>
    <w:tbl>
      <w:tblPr>
        <w:tblStyle w:val="TableGrid"/>
        <w:tblW w:w="0" w:type="auto"/>
        <w:jc w:val="center"/>
        <w:tblLook w:val="04A0" w:firstRow="1" w:lastRow="0" w:firstColumn="1" w:lastColumn="0" w:noHBand="0" w:noVBand="1"/>
      </w:tblPr>
      <w:tblGrid>
        <w:gridCol w:w="1703"/>
        <w:gridCol w:w="898"/>
        <w:gridCol w:w="897"/>
        <w:gridCol w:w="899"/>
        <w:gridCol w:w="897"/>
        <w:gridCol w:w="899"/>
        <w:gridCol w:w="897"/>
      </w:tblGrid>
      <w:tr w:rsidR="006B0F7F" w14:paraId="3707B594" w14:textId="77777777" w:rsidTr="006B0F7F">
        <w:trPr>
          <w:jc w:val="center"/>
        </w:trPr>
        <w:tc>
          <w:tcPr>
            <w:tcW w:w="1703" w:type="dxa"/>
            <w:vMerge w:val="restart"/>
            <w:shd w:val="clear" w:color="auto" w:fill="064EA8"/>
          </w:tcPr>
          <w:p w14:paraId="1D88478C" w14:textId="49739006" w:rsidR="006B0F7F" w:rsidRPr="000D0DBD" w:rsidRDefault="006B0F7F" w:rsidP="006B0F7F">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Threshold for SEL</w:t>
            </w:r>
            <w:r w:rsidRPr="00944C40">
              <w:rPr>
                <w:rFonts w:cs="Arial"/>
                <w:color w:val="FFFFFF" w:themeColor="background1"/>
                <w:sz w:val="20"/>
                <w:szCs w:val="20"/>
                <w:vertAlign w:val="subscript"/>
              </w:rPr>
              <w:t>24h</w:t>
            </w:r>
            <w:r w:rsidRPr="000D0DBD">
              <w:rPr>
                <w:rFonts w:cs="Arial"/>
                <w:color w:val="FFFFFF" w:themeColor="background1"/>
                <w:sz w:val="20"/>
                <w:szCs w:val="20"/>
              </w:rPr>
              <w:t xml:space="preserve"> (</w:t>
            </w:r>
            <w:r>
              <w:rPr>
                <w:rFonts w:cs="Arial"/>
                <w:color w:val="FFFFFF" w:themeColor="background1"/>
                <w:sz w:val="20"/>
                <w:szCs w:val="20"/>
              </w:rPr>
              <w:t>dB</w:t>
            </w:r>
            <w:r w:rsidRPr="000D0DBD">
              <w:rPr>
                <w:rFonts w:cs="Arial"/>
                <w:color w:val="FFFFFF" w:themeColor="background1"/>
                <w:sz w:val="20"/>
                <w:szCs w:val="20"/>
              </w:rPr>
              <w:t xml:space="preserve"> </w:t>
            </w:r>
            <w:r w:rsidRPr="000D0DBD">
              <w:rPr>
                <w:color w:val="FFFFFF" w:themeColor="background1"/>
                <w:sz w:val="20"/>
                <w:szCs w:val="20"/>
              </w:rPr>
              <w:t>re 1 μPa</w:t>
            </w:r>
            <w:r w:rsidRPr="000D0DBD">
              <w:rPr>
                <w:color w:val="FFFFFF" w:themeColor="background1"/>
                <w:sz w:val="20"/>
                <w:szCs w:val="20"/>
                <w:vertAlign w:val="superscript"/>
              </w:rPr>
              <w:t>2</w:t>
            </w:r>
            <w:r>
              <w:rPr>
                <w:color w:val="FFFFFF" w:themeColor="background1"/>
                <w:sz w:val="20"/>
                <w:szCs w:val="20"/>
              </w:rPr>
              <w:t>.s</w:t>
            </w:r>
            <w:r w:rsidRPr="000D0DBD">
              <w:rPr>
                <w:color w:val="FFFFFF" w:themeColor="background1"/>
                <w:sz w:val="20"/>
                <w:szCs w:val="20"/>
              </w:rPr>
              <w:t>)</w:t>
            </w:r>
          </w:p>
        </w:tc>
        <w:tc>
          <w:tcPr>
            <w:tcW w:w="1795" w:type="dxa"/>
            <w:gridSpan w:val="2"/>
            <w:shd w:val="clear" w:color="auto" w:fill="064EA8"/>
          </w:tcPr>
          <w:p w14:paraId="3B3E6DCB" w14:textId="3865252C" w:rsidR="006B0F7F" w:rsidRPr="000D0DBD" w:rsidRDefault="006B0F7F" w:rsidP="006B0F7F">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 xml:space="preserve">Scenario 1 </w:t>
            </w:r>
          </w:p>
        </w:tc>
        <w:tc>
          <w:tcPr>
            <w:tcW w:w="1796" w:type="dxa"/>
            <w:gridSpan w:val="2"/>
            <w:shd w:val="clear" w:color="auto" w:fill="064EA8"/>
          </w:tcPr>
          <w:p w14:paraId="0F089A6F" w14:textId="67C2D4A8" w:rsidR="006B0F7F" w:rsidRPr="000D0DBD" w:rsidRDefault="006B0F7F" w:rsidP="006B0F7F">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 xml:space="preserve">Scenario 2 </w:t>
            </w:r>
          </w:p>
        </w:tc>
        <w:tc>
          <w:tcPr>
            <w:tcW w:w="1796" w:type="dxa"/>
            <w:gridSpan w:val="2"/>
            <w:shd w:val="clear" w:color="auto" w:fill="064EA8"/>
          </w:tcPr>
          <w:p w14:paraId="5B4667C4" w14:textId="67BD646F" w:rsidR="006B0F7F" w:rsidRPr="000D0DBD" w:rsidRDefault="006B0F7F" w:rsidP="006B0F7F">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 xml:space="preserve">Scenario 3 </w:t>
            </w:r>
          </w:p>
        </w:tc>
      </w:tr>
      <w:tr w:rsidR="006B0F7F" w14:paraId="47F35FC9" w14:textId="77777777" w:rsidTr="006B0F7F">
        <w:trPr>
          <w:jc w:val="center"/>
        </w:trPr>
        <w:tc>
          <w:tcPr>
            <w:tcW w:w="1703" w:type="dxa"/>
            <w:vMerge/>
            <w:shd w:val="clear" w:color="auto" w:fill="064EA8"/>
          </w:tcPr>
          <w:p w14:paraId="3DCDAD68" w14:textId="77777777" w:rsidR="006B0F7F" w:rsidRPr="000D0DBD" w:rsidRDefault="006B0F7F" w:rsidP="009329CB">
            <w:pPr>
              <w:spacing w:before="60" w:after="60" w:line="240" w:lineRule="auto"/>
              <w:ind w:left="0"/>
              <w:jc w:val="center"/>
              <w:rPr>
                <w:rFonts w:cs="Arial"/>
                <w:color w:val="FFFFFF" w:themeColor="background1"/>
                <w:sz w:val="20"/>
                <w:szCs w:val="20"/>
              </w:rPr>
            </w:pPr>
          </w:p>
        </w:tc>
        <w:tc>
          <w:tcPr>
            <w:tcW w:w="898" w:type="dxa"/>
            <w:shd w:val="clear" w:color="auto" w:fill="064EA8"/>
            <w:vAlign w:val="center"/>
          </w:tcPr>
          <w:p w14:paraId="168242EE" w14:textId="3B7BA4F9" w:rsidR="006B0F7F" w:rsidRPr="000D0DBD" w:rsidRDefault="006B0F7F" w:rsidP="009329CB">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897" w:type="dxa"/>
            <w:shd w:val="clear" w:color="auto" w:fill="064EA8"/>
            <w:vAlign w:val="center"/>
          </w:tcPr>
          <w:p w14:paraId="1E4E5744" w14:textId="1174C066" w:rsidR="006B0F7F" w:rsidRPr="000D0DBD" w:rsidRDefault="006B0F7F" w:rsidP="009329CB">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c>
          <w:tcPr>
            <w:tcW w:w="899" w:type="dxa"/>
            <w:shd w:val="clear" w:color="auto" w:fill="064EA8"/>
            <w:vAlign w:val="center"/>
          </w:tcPr>
          <w:p w14:paraId="3F89A177" w14:textId="09916851" w:rsidR="006B0F7F" w:rsidRPr="000D0DBD" w:rsidRDefault="006B0F7F" w:rsidP="009329CB">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897" w:type="dxa"/>
            <w:shd w:val="clear" w:color="auto" w:fill="064EA8"/>
            <w:vAlign w:val="center"/>
          </w:tcPr>
          <w:p w14:paraId="1E041751" w14:textId="1847D174" w:rsidR="006B0F7F" w:rsidRPr="000D0DBD" w:rsidRDefault="006B0F7F" w:rsidP="009329CB">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c>
          <w:tcPr>
            <w:tcW w:w="899" w:type="dxa"/>
            <w:shd w:val="clear" w:color="auto" w:fill="064EA8"/>
            <w:vAlign w:val="center"/>
          </w:tcPr>
          <w:p w14:paraId="1DFF4409" w14:textId="5C3986C9" w:rsidR="006B0F7F" w:rsidRPr="000D0DBD" w:rsidRDefault="006B0F7F" w:rsidP="009329CB">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897" w:type="dxa"/>
            <w:shd w:val="clear" w:color="auto" w:fill="064EA8"/>
            <w:vAlign w:val="center"/>
          </w:tcPr>
          <w:p w14:paraId="64E1DD4B" w14:textId="357B7A0D" w:rsidR="006B0F7F" w:rsidRPr="000D0DBD" w:rsidRDefault="006B0F7F" w:rsidP="009329CB">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r>
      <w:tr w:rsidR="006B0F7F" w14:paraId="39B06B02" w14:textId="77777777" w:rsidTr="006B0F7F">
        <w:trPr>
          <w:jc w:val="center"/>
        </w:trPr>
        <w:tc>
          <w:tcPr>
            <w:tcW w:w="7090" w:type="dxa"/>
            <w:gridSpan w:val="7"/>
            <w:shd w:val="clear" w:color="auto" w:fill="D9D9D9" w:themeFill="background1" w:themeFillShade="D9"/>
            <w:vAlign w:val="center"/>
          </w:tcPr>
          <w:p w14:paraId="66111DC8" w14:textId="252A2177" w:rsidR="006B0F7F" w:rsidRPr="009329CB" w:rsidRDefault="006B0F7F" w:rsidP="006B0F7F">
            <w:pPr>
              <w:spacing w:before="60" w:after="60" w:line="240" w:lineRule="auto"/>
              <w:ind w:left="0"/>
              <w:rPr>
                <w:rFonts w:cs="Arial"/>
                <w:sz w:val="20"/>
                <w:szCs w:val="20"/>
              </w:rPr>
            </w:pPr>
            <w:r>
              <w:rPr>
                <w:rFonts w:cs="Arial"/>
                <w:sz w:val="20"/>
                <w:szCs w:val="20"/>
              </w:rPr>
              <w:t>Mortality and potential mortal injury</w:t>
            </w:r>
          </w:p>
        </w:tc>
      </w:tr>
      <w:tr w:rsidR="006B0F7F" w14:paraId="7F7FEBED" w14:textId="77777777" w:rsidTr="00DC4355">
        <w:trPr>
          <w:jc w:val="center"/>
        </w:trPr>
        <w:tc>
          <w:tcPr>
            <w:tcW w:w="1703" w:type="dxa"/>
            <w:vAlign w:val="center"/>
          </w:tcPr>
          <w:p w14:paraId="5EAE7E2E" w14:textId="7AC6A5C3" w:rsidR="006B0F7F" w:rsidRPr="009329CB" w:rsidRDefault="006B0F7F" w:rsidP="009329CB">
            <w:pPr>
              <w:spacing w:before="60" w:after="60" w:line="240" w:lineRule="auto"/>
              <w:ind w:left="0"/>
              <w:jc w:val="center"/>
              <w:rPr>
                <w:rFonts w:cs="Arial"/>
                <w:sz w:val="20"/>
                <w:szCs w:val="20"/>
              </w:rPr>
            </w:pPr>
            <w:r w:rsidRPr="009329CB">
              <w:rPr>
                <w:rFonts w:cs="Arial"/>
                <w:sz w:val="20"/>
                <w:szCs w:val="20"/>
              </w:rPr>
              <w:t>210 </w:t>
            </w:r>
          </w:p>
        </w:tc>
        <w:tc>
          <w:tcPr>
            <w:tcW w:w="898" w:type="dxa"/>
            <w:vAlign w:val="bottom"/>
          </w:tcPr>
          <w:p w14:paraId="672B9495" w14:textId="278E572D" w:rsidR="006B0F7F" w:rsidRPr="009329CB" w:rsidRDefault="006B0F7F" w:rsidP="009329CB">
            <w:pPr>
              <w:spacing w:before="60" w:after="60" w:line="240" w:lineRule="auto"/>
              <w:ind w:left="0"/>
              <w:jc w:val="center"/>
              <w:rPr>
                <w:rFonts w:cs="Arial"/>
                <w:sz w:val="20"/>
                <w:szCs w:val="20"/>
              </w:rPr>
            </w:pPr>
            <w:r>
              <w:rPr>
                <w:rFonts w:cs="Arial"/>
                <w:sz w:val="20"/>
                <w:szCs w:val="20"/>
              </w:rPr>
              <w:t>0.03</w:t>
            </w:r>
          </w:p>
        </w:tc>
        <w:tc>
          <w:tcPr>
            <w:tcW w:w="897" w:type="dxa"/>
            <w:vAlign w:val="bottom"/>
          </w:tcPr>
          <w:p w14:paraId="0DF00B39" w14:textId="54BF18CB" w:rsidR="006B0F7F" w:rsidRPr="009329CB" w:rsidRDefault="006B0F7F" w:rsidP="009329CB">
            <w:pPr>
              <w:spacing w:before="60" w:after="60" w:line="240" w:lineRule="auto"/>
              <w:ind w:left="0"/>
              <w:jc w:val="center"/>
              <w:rPr>
                <w:rFonts w:cs="Arial"/>
                <w:sz w:val="20"/>
                <w:szCs w:val="20"/>
              </w:rPr>
            </w:pPr>
            <w:r>
              <w:rPr>
                <w:rFonts w:cs="Arial"/>
                <w:sz w:val="20"/>
                <w:szCs w:val="20"/>
              </w:rPr>
              <w:t>2.93</w:t>
            </w:r>
          </w:p>
        </w:tc>
        <w:tc>
          <w:tcPr>
            <w:tcW w:w="899" w:type="dxa"/>
            <w:vAlign w:val="bottom"/>
          </w:tcPr>
          <w:p w14:paraId="77C449C6" w14:textId="03ABA454" w:rsidR="006B0F7F" w:rsidRPr="009329CB" w:rsidRDefault="006B0F7F" w:rsidP="009329CB">
            <w:pPr>
              <w:spacing w:before="60" w:after="60" w:line="240" w:lineRule="auto"/>
              <w:ind w:left="0"/>
              <w:jc w:val="center"/>
              <w:rPr>
                <w:rFonts w:cs="Arial"/>
                <w:sz w:val="20"/>
                <w:szCs w:val="20"/>
              </w:rPr>
            </w:pPr>
            <w:r w:rsidRPr="009329CB">
              <w:rPr>
                <w:rFonts w:cs="Arial"/>
                <w:sz w:val="20"/>
                <w:szCs w:val="20"/>
              </w:rPr>
              <w:t>0.04</w:t>
            </w:r>
          </w:p>
        </w:tc>
        <w:tc>
          <w:tcPr>
            <w:tcW w:w="897" w:type="dxa"/>
            <w:vAlign w:val="bottom"/>
          </w:tcPr>
          <w:p w14:paraId="404F2598" w14:textId="61D4BE3C" w:rsidR="006B0F7F" w:rsidRPr="009329CB" w:rsidRDefault="006B0F7F" w:rsidP="009329CB">
            <w:pPr>
              <w:spacing w:before="60" w:after="60" w:line="240" w:lineRule="auto"/>
              <w:ind w:left="0"/>
              <w:jc w:val="center"/>
              <w:rPr>
                <w:rFonts w:cs="Arial"/>
                <w:sz w:val="20"/>
                <w:szCs w:val="20"/>
              </w:rPr>
            </w:pPr>
            <w:r>
              <w:rPr>
                <w:rFonts w:cs="Arial"/>
                <w:sz w:val="20"/>
                <w:szCs w:val="20"/>
              </w:rPr>
              <w:t>4.1</w:t>
            </w:r>
          </w:p>
        </w:tc>
        <w:tc>
          <w:tcPr>
            <w:tcW w:w="899" w:type="dxa"/>
            <w:shd w:val="clear" w:color="auto" w:fill="FF0000"/>
            <w:vAlign w:val="bottom"/>
          </w:tcPr>
          <w:p w14:paraId="37620B04" w14:textId="56A8D5B5" w:rsidR="006B0F7F" w:rsidRPr="009329CB" w:rsidRDefault="006B0F7F" w:rsidP="006B0F7F">
            <w:pPr>
              <w:spacing w:before="60" w:after="60" w:line="240" w:lineRule="auto"/>
              <w:ind w:left="0"/>
              <w:jc w:val="center"/>
              <w:rPr>
                <w:rFonts w:cs="Arial"/>
                <w:sz w:val="20"/>
                <w:szCs w:val="20"/>
              </w:rPr>
            </w:pPr>
            <w:r w:rsidRPr="009329CB">
              <w:rPr>
                <w:rFonts w:cs="Arial"/>
                <w:sz w:val="20"/>
                <w:szCs w:val="20"/>
              </w:rPr>
              <w:t>0.0</w:t>
            </w:r>
            <w:r>
              <w:rPr>
                <w:rFonts w:cs="Arial"/>
                <w:sz w:val="20"/>
                <w:szCs w:val="20"/>
              </w:rPr>
              <w:t>6</w:t>
            </w:r>
          </w:p>
        </w:tc>
        <w:tc>
          <w:tcPr>
            <w:tcW w:w="897" w:type="dxa"/>
            <w:vAlign w:val="bottom"/>
          </w:tcPr>
          <w:p w14:paraId="474D6747" w14:textId="47DE409B" w:rsidR="006B0F7F" w:rsidRPr="009329CB" w:rsidRDefault="006B0F7F" w:rsidP="006B0F7F">
            <w:pPr>
              <w:spacing w:before="60" w:after="60" w:line="240" w:lineRule="auto"/>
              <w:ind w:left="0"/>
              <w:jc w:val="center"/>
              <w:rPr>
                <w:rFonts w:cs="Arial"/>
                <w:sz w:val="20"/>
                <w:szCs w:val="20"/>
              </w:rPr>
            </w:pPr>
            <w:r>
              <w:rPr>
                <w:rFonts w:cs="Arial"/>
                <w:sz w:val="20"/>
                <w:szCs w:val="20"/>
              </w:rPr>
              <w:t>4.85</w:t>
            </w:r>
          </w:p>
        </w:tc>
      </w:tr>
      <w:tr w:rsidR="00BA0BD4" w14:paraId="744A3A35" w14:textId="77777777" w:rsidTr="00BA0BD4">
        <w:trPr>
          <w:jc w:val="center"/>
        </w:trPr>
        <w:tc>
          <w:tcPr>
            <w:tcW w:w="7090" w:type="dxa"/>
            <w:gridSpan w:val="7"/>
            <w:shd w:val="clear" w:color="auto" w:fill="D9D9D9" w:themeFill="background1" w:themeFillShade="D9"/>
            <w:vAlign w:val="center"/>
          </w:tcPr>
          <w:p w14:paraId="0A4E2E13" w14:textId="729F4759" w:rsidR="00BA0BD4" w:rsidRDefault="00BA0BD4" w:rsidP="00BA0BD4">
            <w:pPr>
              <w:spacing w:before="60" w:after="60" w:line="240" w:lineRule="auto"/>
              <w:ind w:left="0"/>
              <w:rPr>
                <w:rFonts w:cs="Arial"/>
                <w:sz w:val="20"/>
                <w:szCs w:val="20"/>
              </w:rPr>
            </w:pPr>
            <w:r>
              <w:rPr>
                <w:rFonts w:cs="Arial"/>
                <w:sz w:val="20"/>
                <w:szCs w:val="20"/>
              </w:rPr>
              <w:t>Recoverable injury</w:t>
            </w:r>
          </w:p>
        </w:tc>
      </w:tr>
      <w:tr w:rsidR="00BA0BD4" w14:paraId="74C66081" w14:textId="77777777" w:rsidTr="00DC4355">
        <w:trPr>
          <w:jc w:val="center"/>
        </w:trPr>
        <w:tc>
          <w:tcPr>
            <w:tcW w:w="1703" w:type="dxa"/>
            <w:vAlign w:val="center"/>
          </w:tcPr>
          <w:p w14:paraId="2A4C93D3" w14:textId="797119A3" w:rsidR="00BA0BD4" w:rsidRPr="009329CB" w:rsidRDefault="00BA0BD4" w:rsidP="009329CB">
            <w:pPr>
              <w:spacing w:before="60" w:after="60" w:line="240" w:lineRule="auto"/>
              <w:ind w:left="0"/>
              <w:jc w:val="center"/>
              <w:rPr>
                <w:rFonts w:cs="Arial"/>
                <w:sz w:val="20"/>
                <w:szCs w:val="20"/>
              </w:rPr>
            </w:pPr>
            <w:r>
              <w:rPr>
                <w:rFonts w:cs="Arial"/>
                <w:sz w:val="20"/>
                <w:szCs w:val="20"/>
              </w:rPr>
              <w:t>203</w:t>
            </w:r>
          </w:p>
        </w:tc>
        <w:tc>
          <w:tcPr>
            <w:tcW w:w="898" w:type="dxa"/>
            <w:vAlign w:val="bottom"/>
          </w:tcPr>
          <w:p w14:paraId="56CFCA83" w14:textId="02F18E43" w:rsidR="00BA0BD4" w:rsidRDefault="00BA0BD4" w:rsidP="009329CB">
            <w:pPr>
              <w:spacing w:before="60" w:after="60" w:line="240" w:lineRule="auto"/>
              <w:ind w:left="0"/>
              <w:jc w:val="center"/>
              <w:rPr>
                <w:rFonts w:cs="Arial"/>
                <w:sz w:val="20"/>
                <w:szCs w:val="20"/>
              </w:rPr>
            </w:pPr>
            <w:r>
              <w:rPr>
                <w:rFonts w:cs="Arial"/>
                <w:sz w:val="20"/>
                <w:szCs w:val="20"/>
              </w:rPr>
              <w:t>0.22</w:t>
            </w:r>
          </w:p>
        </w:tc>
        <w:tc>
          <w:tcPr>
            <w:tcW w:w="897" w:type="dxa"/>
            <w:vAlign w:val="bottom"/>
          </w:tcPr>
          <w:p w14:paraId="7C98DAA7" w14:textId="07EB4030" w:rsidR="00BA0BD4" w:rsidRDefault="00BA0BD4" w:rsidP="009329CB">
            <w:pPr>
              <w:spacing w:before="60" w:after="60" w:line="240" w:lineRule="auto"/>
              <w:ind w:left="0"/>
              <w:jc w:val="center"/>
              <w:rPr>
                <w:rFonts w:cs="Arial"/>
                <w:sz w:val="20"/>
                <w:szCs w:val="20"/>
              </w:rPr>
            </w:pPr>
            <w:r>
              <w:rPr>
                <w:rFonts w:cs="Arial"/>
                <w:sz w:val="20"/>
                <w:szCs w:val="20"/>
              </w:rPr>
              <w:t>31.5</w:t>
            </w:r>
          </w:p>
        </w:tc>
        <w:tc>
          <w:tcPr>
            <w:tcW w:w="899" w:type="dxa"/>
            <w:shd w:val="clear" w:color="auto" w:fill="FF0000"/>
            <w:vAlign w:val="bottom"/>
          </w:tcPr>
          <w:p w14:paraId="0F093B6C" w14:textId="670A2C7B" w:rsidR="00BA0BD4" w:rsidRPr="009329CB" w:rsidRDefault="00BA0BD4" w:rsidP="009329CB">
            <w:pPr>
              <w:spacing w:before="60" w:after="60" w:line="240" w:lineRule="auto"/>
              <w:ind w:left="0"/>
              <w:jc w:val="center"/>
              <w:rPr>
                <w:rFonts w:cs="Arial"/>
                <w:sz w:val="20"/>
                <w:szCs w:val="20"/>
              </w:rPr>
            </w:pPr>
            <w:r>
              <w:rPr>
                <w:rFonts w:cs="Arial"/>
                <w:sz w:val="20"/>
                <w:szCs w:val="20"/>
              </w:rPr>
              <w:t>0.58</w:t>
            </w:r>
          </w:p>
        </w:tc>
        <w:tc>
          <w:tcPr>
            <w:tcW w:w="897" w:type="dxa"/>
            <w:vAlign w:val="bottom"/>
          </w:tcPr>
          <w:p w14:paraId="7039505C" w14:textId="0C59609D" w:rsidR="00BA0BD4" w:rsidRDefault="00BA0BD4" w:rsidP="009329CB">
            <w:pPr>
              <w:spacing w:before="60" w:after="60" w:line="240" w:lineRule="auto"/>
              <w:ind w:left="0"/>
              <w:jc w:val="center"/>
              <w:rPr>
                <w:rFonts w:cs="Arial"/>
                <w:sz w:val="20"/>
                <w:szCs w:val="20"/>
              </w:rPr>
            </w:pPr>
            <w:r>
              <w:rPr>
                <w:rFonts w:cs="Arial"/>
                <w:sz w:val="20"/>
                <w:szCs w:val="20"/>
              </w:rPr>
              <w:t>36.1</w:t>
            </w:r>
          </w:p>
        </w:tc>
        <w:tc>
          <w:tcPr>
            <w:tcW w:w="899" w:type="dxa"/>
            <w:vAlign w:val="bottom"/>
          </w:tcPr>
          <w:p w14:paraId="61CCC71D" w14:textId="5BDC2DD7" w:rsidR="00BA0BD4" w:rsidRPr="009329CB" w:rsidRDefault="00BA0BD4" w:rsidP="006B0F7F">
            <w:pPr>
              <w:spacing w:before="60" w:after="60" w:line="240" w:lineRule="auto"/>
              <w:ind w:left="0"/>
              <w:jc w:val="center"/>
              <w:rPr>
                <w:rFonts w:cs="Arial"/>
                <w:sz w:val="20"/>
                <w:szCs w:val="20"/>
              </w:rPr>
            </w:pPr>
            <w:r>
              <w:rPr>
                <w:rFonts w:cs="Arial"/>
                <w:sz w:val="20"/>
                <w:szCs w:val="20"/>
              </w:rPr>
              <w:t>0.55</w:t>
            </w:r>
          </w:p>
        </w:tc>
        <w:tc>
          <w:tcPr>
            <w:tcW w:w="897" w:type="dxa"/>
            <w:vAlign w:val="bottom"/>
          </w:tcPr>
          <w:p w14:paraId="07FFA0BE" w14:textId="28D783E6" w:rsidR="00BA0BD4" w:rsidRDefault="00BA0BD4" w:rsidP="006B0F7F">
            <w:pPr>
              <w:spacing w:before="60" w:after="60" w:line="240" w:lineRule="auto"/>
              <w:ind w:left="0"/>
              <w:jc w:val="center"/>
              <w:rPr>
                <w:rFonts w:cs="Arial"/>
                <w:sz w:val="20"/>
                <w:szCs w:val="20"/>
              </w:rPr>
            </w:pPr>
            <w:r>
              <w:rPr>
                <w:rFonts w:cs="Arial"/>
                <w:sz w:val="20"/>
                <w:szCs w:val="20"/>
              </w:rPr>
              <w:t>37.6</w:t>
            </w:r>
          </w:p>
        </w:tc>
      </w:tr>
    </w:tbl>
    <w:p w14:paraId="64520B53" w14:textId="1036B377" w:rsidR="001D2756" w:rsidRPr="001D2756" w:rsidRDefault="001D2756" w:rsidP="001D2756">
      <w:pPr>
        <w:ind w:left="0" w:firstLine="567"/>
        <w:rPr>
          <w:i/>
          <w:sz w:val="18"/>
          <w:szCs w:val="18"/>
        </w:rPr>
      </w:pPr>
      <w:r w:rsidRPr="001D2756">
        <w:rPr>
          <w:i/>
          <w:sz w:val="18"/>
          <w:szCs w:val="18"/>
        </w:rPr>
        <w:t>Cells highlighted in red indicate maximum predicted exten</w:t>
      </w:r>
      <w:r w:rsidR="00A24FEE">
        <w:rPr>
          <w:i/>
          <w:sz w:val="18"/>
          <w:szCs w:val="18"/>
        </w:rPr>
        <w:t>t</w:t>
      </w:r>
      <w:r w:rsidRPr="001D2756">
        <w:rPr>
          <w:i/>
          <w:sz w:val="18"/>
          <w:szCs w:val="18"/>
        </w:rPr>
        <w:t xml:space="preserve"> of sound.</w:t>
      </w:r>
    </w:p>
    <w:p w14:paraId="63A37D0B" w14:textId="1A13F56C" w:rsidR="003F25B6" w:rsidRPr="00EB0552" w:rsidRDefault="003F25B6" w:rsidP="00534210">
      <w:pPr>
        <w:ind w:left="0"/>
        <w:rPr>
          <w:rFonts w:cs="Arial"/>
          <w:sz w:val="22"/>
          <w:szCs w:val="22"/>
        </w:rPr>
      </w:pPr>
    </w:p>
    <w:p w14:paraId="45E0F97E" w14:textId="5E56F006" w:rsidR="006B0F7F" w:rsidRDefault="006B0F7F" w:rsidP="006B0F7F">
      <w:pPr>
        <w:ind w:left="0"/>
        <w:rPr>
          <w:rFonts w:cs="Arial"/>
          <w:sz w:val="22"/>
          <w:szCs w:val="22"/>
        </w:rPr>
      </w:pPr>
      <w:r w:rsidRPr="00024A53">
        <w:rPr>
          <w:rFonts w:cs="Arial"/>
          <w:sz w:val="22"/>
          <w:szCs w:val="22"/>
        </w:rPr>
        <w:t>The distance to sound levels associated with mortality and potential mortal injury on</w:t>
      </w:r>
      <w:r>
        <w:rPr>
          <w:rFonts w:cs="Arial"/>
          <w:sz w:val="22"/>
          <w:szCs w:val="22"/>
        </w:rPr>
        <w:t xml:space="preserve"> fish eggs</w:t>
      </w:r>
      <w:r w:rsidRPr="00024A53">
        <w:rPr>
          <w:rFonts w:cs="Arial"/>
          <w:sz w:val="22"/>
          <w:szCs w:val="22"/>
        </w:rPr>
        <w:t xml:space="preserve"> and fish larvae based on Popper et al (2014), using the SEL</w:t>
      </w:r>
      <w:r w:rsidRPr="006B0F7F">
        <w:rPr>
          <w:rFonts w:cs="Arial"/>
          <w:sz w:val="22"/>
          <w:szCs w:val="22"/>
          <w:vertAlign w:val="subscript"/>
        </w:rPr>
        <w:t>24h</w:t>
      </w:r>
      <w:r w:rsidRPr="00024A53">
        <w:rPr>
          <w:rFonts w:cs="Arial"/>
          <w:sz w:val="22"/>
          <w:szCs w:val="22"/>
        </w:rPr>
        <w:t xml:space="preserve"> metric, are smaller than those estimated using the PK</w:t>
      </w:r>
      <w:r>
        <w:rPr>
          <w:rFonts w:cs="Arial"/>
          <w:sz w:val="22"/>
          <w:szCs w:val="22"/>
        </w:rPr>
        <w:t>-</w:t>
      </w:r>
      <w:r w:rsidRPr="00024A53">
        <w:rPr>
          <w:rFonts w:cs="Arial"/>
          <w:sz w:val="22"/>
          <w:szCs w:val="22"/>
        </w:rPr>
        <w:t>based metric. Therefore, in line with the conditions of the criteria, the PK metric should be used to assess these impacts</w:t>
      </w:r>
      <w:r w:rsidR="00BA0BD4">
        <w:rPr>
          <w:rFonts w:cs="Arial"/>
          <w:sz w:val="22"/>
          <w:szCs w:val="22"/>
        </w:rPr>
        <w:t xml:space="preserve">, which is 300 m (see </w:t>
      </w:r>
      <w:r w:rsidR="00BA0BD4" w:rsidRPr="00EF4E2A">
        <w:rPr>
          <w:rFonts w:cs="Arial"/>
          <w:sz w:val="22"/>
          <w:szCs w:val="22"/>
        </w:rPr>
        <w:t>Table 7.5).</w:t>
      </w:r>
    </w:p>
    <w:p w14:paraId="2452EA73" w14:textId="77777777" w:rsidR="00137FD3" w:rsidRDefault="00137FD3" w:rsidP="006B0F7F">
      <w:pPr>
        <w:ind w:left="0"/>
        <w:rPr>
          <w:rFonts w:cs="Arial"/>
          <w:sz w:val="22"/>
          <w:szCs w:val="22"/>
        </w:rPr>
      </w:pPr>
    </w:p>
    <w:p w14:paraId="3DC11D6F" w14:textId="019A71CF" w:rsidR="00137FD3" w:rsidRDefault="00137FD3" w:rsidP="00137FD3">
      <w:pPr>
        <w:ind w:left="0"/>
        <w:rPr>
          <w:sz w:val="22"/>
          <w:szCs w:val="22"/>
        </w:rPr>
      </w:pPr>
      <w:r>
        <w:rPr>
          <w:rFonts w:cs="Arial"/>
          <w:sz w:val="22"/>
          <w:szCs w:val="22"/>
        </w:rPr>
        <w:t xml:space="preserve">CarbonNet acknowledges that the recent studies by </w:t>
      </w:r>
      <w:r>
        <w:rPr>
          <w:sz w:val="22"/>
          <w:szCs w:val="22"/>
        </w:rPr>
        <w:t>McCauley et al (2017) and Richardson et al (2017) prompt the project to consider the degree of certainty in assessing potential impacts, and as such has adopted a precautionary approach as described in the following section.</w:t>
      </w:r>
    </w:p>
    <w:p w14:paraId="1200F4FA" w14:textId="77777777" w:rsidR="003F25B6" w:rsidRPr="00A04972" w:rsidRDefault="003F25B6" w:rsidP="00534210">
      <w:pPr>
        <w:ind w:left="0"/>
        <w:rPr>
          <w:rFonts w:ascii="Tahoma" w:hAnsi="Tahoma" w:cs="Arial"/>
          <w:szCs w:val="20"/>
        </w:rPr>
      </w:pPr>
    </w:p>
    <w:p w14:paraId="363D6F8B" w14:textId="6DECE742" w:rsidR="00D9293D" w:rsidRPr="00D9293D" w:rsidRDefault="00D9293D" w:rsidP="00D9293D">
      <w:pPr>
        <w:spacing w:after="120" w:line="240" w:lineRule="auto"/>
        <w:ind w:left="0"/>
        <w:rPr>
          <w:rFonts w:cs="Arial"/>
          <w:sz w:val="22"/>
          <w:szCs w:val="22"/>
          <w:u w:val="single"/>
        </w:rPr>
      </w:pPr>
      <w:r w:rsidRPr="00D9293D">
        <w:rPr>
          <w:rFonts w:cs="Arial"/>
          <w:sz w:val="22"/>
          <w:szCs w:val="22"/>
          <w:u w:val="single"/>
        </w:rPr>
        <w:lastRenderedPageBreak/>
        <w:t>Predicted impacts</w:t>
      </w:r>
    </w:p>
    <w:p w14:paraId="0F9DE1D2" w14:textId="1BB897E3" w:rsidR="00D75789" w:rsidRDefault="00D75789" w:rsidP="001D7E12">
      <w:pPr>
        <w:spacing w:after="240"/>
        <w:ind w:left="0"/>
        <w:rPr>
          <w:rFonts w:cs="Arial"/>
          <w:sz w:val="22"/>
          <w:szCs w:val="22"/>
        </w:rPr>
      </w:pPr>
      <w:r>
        <w:rPr>
          <w:rFonts w:cs="Arial"/>
          <w:sz w:val="22"/>
          <w:szCs w:val="22"/>
        </w:rPr>
        <w:t>T</w:t>
      </w:r>
      <w:r w:rsidR="001D7E12">
        <w:rPr>
          <w:rFonts w:cs="Arial"/>
          <w:sz w:val="22"/>
          <w:szCs w:val="22"/>
        </w:rPr>
        <w:t xml:space="preserve">he proposed Pelican 3DMSS </w:t>
      </w:r>
      <w:r>
        <w:rPr>
          <w:rFonts w:cs="Arial"/>
          <w:sz w:val="22"/>
          <w:szCs w:val="22"/>
        </w:rPr>
        <w:t>represents</w:t>
      </w:r>
      <w:r w:rsidR="001D7E12">
        <w:rPr>
          <w:rFonts w:cs="Arial"/>
          <w:sz w:val="22"/>
          <w:szCs w:val="22"/>
        </w:rPr>
        <w:t xml:space="preserve"> </w:t>
      </w:r>
      <w:r w:rsidR="0029239E">
        <w:rPr>
          <w:rFonts w:cs="Arial"/>
          <w:sz w:val="22"/>
          <w:szCs w:val="22"/>
        </w:rPr>
        <w:t>5.7</w:t>
      </w:r>
      <w:r w:rsidR="001D7E12">
        <w:rPr>
          <w:rFonts w:cs="Arial"/>
          <w:sz w:val="22"/>
          <w:szCs w:val="22"/>
        </w:rPr>
        <w:t xml:space="preserve">% by area and </w:t>
      </w:r>
      <w:r w:rsidR="0029239E">
        <w:rPr>
          <w:rFonts w:cs="Arial"/>
          <w:sz w:val="22"/>
          <w:szCs w:val="22"/>
        </w:rPr>
        <w:t>up to 77%</w:t>
      </w:r>
      <w:r w:rsidR="001D7E12">
        <w:rPr>
          <w:rFonts w:cs="Arial"/>
          <w:sz w:val="22"/>
          <w:szCs w:val="22"/>
        </w:rPr>
        <w:t xml:space="preserve"> </w:t>
      </w:r>
      <w:r w:rsidR="0029239E">
        <w:rPr>
          <w:rFonts w:cs="Arial"/>
          <w:sz w:val="22"/>
          <w:szCs w:val="22"/>
        </w:rPr>
        <w:t xml:space="preserve">by </w:t>
      </w:r>
      <w:r w:rsidR="001D7E12">
        <w:rPr>
          <w:rFonts w:cs="Arial"/>
          <w:sz w:val="22"/>
          <w:szCs w:val="22"/>
        </w:rPr>
        <w:t>days</w:t>
      </w:r>
      <w:r w:rsidR="0029239E">
        <w:rPr>
          <w:rFonts w:cs="Arial"/>
          <w:sz w:val="22"/>
          <w:szCs w:val="22"/>
        </w:rPr>
        <w:t xml:space="preserve"> (assuming upper estimate of 27 days)</w:t>
      </w:r>
      <w:r w:rsidR="001D7E12">
        <w:rPr>
          <w:rFonts w:cs="Arial"/>
          <w:sz w:val="22"/>
          <w:szCs w:val="22"/>
        </w:rPr>
        <w:t xml:space="preserve"> of the study </w:t>
      </w:r>
      <w:r w:rsidR="0029239E">
        <w:rPr>
          <w:rFonts w:cs="Arial"/>
          <w:sz w:val="22"/>
          <w:szCs w:val="22"/>
        </w:rPr>
        <w:t xml:space="preserve">undertaken by </w:t>
      </w:r>
      <w:r w:rsidR="001D7E12">
        <w:rPr>
          <w:rFonts w:cs="Arial"/>
          <w:sz w:val="22"/>
          <w:szCs w:val="22"/>
        </w:rPr>
        <w:t>Richa</w:t>
      </w:r>
      <w:r w:rsidR="0029239E">
        <w:rPr>
          <w:rFonts w:cs="Arial"/>
          <w:sz w:val="22"/>
          <w:szCs w:val="22"/>
        </w:rPr>
        <w:t>rdson et al (2017).</w:t>
      </w:r>
      <w:r w:rsidR="001D7E12">
        <w:rPr>
          <w:rFonts w:cs="Arial"/>
          <w:sz w:val="22"/>
          <w:szCs w:val="22"/>
        </w:rPr>
        <w:t xml:space="preserve"> </w:t>
      </w:r>
    </w:p>
    <w:p w14:paraId="42004A53" w14:textId="77777777" w:rsidR="00D9293D" w:rsidRDefault="0029239E" w:rsidP="001D7E12">
      <w:pPr>
        <w:spacing w:after="240"/>
        <w:ind w:left="0"/>
        <w:rPr>
          <w:rFonts w:cs="Arial"/>
          <w:sz w:val="22"/>
          <w:szCs w:val="22"/>
        </w:rPr>
      </w:pPr>
      <w:r>
        <w:rPr>
          <w:rFonts w:cs="Arial"/>
          <w:sz w:val="22"/>
          <w:szCs w:val="22"/>
        </w:rPr>
        <w:t xml:space="preserve">The </w:t>
      </w:r>
      <w:r w:rsidR="001D7E12">
        <w:rPr>
          <w:rFonts w:cs="Arial"/>
          <w:sz w:val="22"/>
          <w:szCs w:val="22"/>
        </w:rPr>
        <w:t>hydrodynamic</w:t>
      </w:r>
      <w:r>
        <w:rPr>
          <w:rFonts w:cs="Arial"/>
          <w:sz w:val="22"/>
          <w:szCs w:val="22"/>
        </w:rPr>
        <w:t>s</w:t>
      </w:r>
      <w:r w:rsidR="001D7E12">
        <w:rPr>
          <w:rFonts w:cs="Arial"/>
          <w:sz w:val="22"/>
          <w:szCs w:val="22"/>
        </w:rPr>
        <w:t xml:space="preserve"> of Bass Strait are conducive to continual mixing and replenishment of plankton, noting the slower growth rate of plankton in cooler temperate waters. Taking this into consideration, the outcomes of the Richardon et al (2017) research hold, in that recovery of plankton populations are likely to be in the order of days post-MSS as opposed to weeks. </w:t>
      </w:r>
    </w:p>
    <w:p w14:paraId="5B09B702" w14:textId="77777777" w:rsidR="00D9293D" w:rsidRDefault="00D9293D" w:rsidP="001D7E12">
      <w:pPr>
        <w:spacing w:after="240"/>
        <w:ind w:left="0"/>
        <w:rPr>
          <w:rFonts w:cs="Arial"/>
          <w:sz w:val="22"/>
          <w:szCs w:val="22"/>
        </w:rPr>
      </w:pPr>
      <w:r w:rsidRPr="00D9293D">
        <w:rPr>
          <w:rFonts w:cs="Arial"/>
          <w:sz w:val="22"/>
          <w:szCs w:val="22"/>
        </w:rPr>
        <w:t xml:space="preserve">The proposed acquisition area is not located within an upwelling KEF. The distance to sound levels associated with recoverable injury using the PK metric (being </w:t>
      </w:r>
      <w:r>
        <w:rPr>
          <w:rFonts w:cs="Arial"/>
          <w:sz w:val="22"/>
          <w:szCs w:val="22"/>
        </w:rPr>
        <w:br/>
      </w:r>
      <w:r w:rsidRPr="00D9293D">
        <w:rPr>
          <w:rFonts w:cs="Arial"/>
          <w:sz w:val="22"/>
          <w:szCs w:val="22"/>
        </w:rPr>
        <w:t>300 m) means that seismic sound will not impact the ‘Upwelling East of Eden’ KEF (important phytoplankton blooms that form the basis of productive food chains), which is located 37 km east of the proposed acquisition area.</w:t>
      </w:r>
      <w:r>
        <w:rPr>
          <w:rFonts w:cs="Arial"/>
          <w:sz w:val="22"/>
          <w:szCs w:val="22"/>
        </w:rPr>
        <w:t xml:space="preserve"> </w:t>
      </w:r>
    </w:p>
    <w:p w14:paraId="13E9D699" w14:textId="32DC18D6" w:rsidR="00D9293D" w:rsidRDefault="00D9293D" w:rsidP="001D7E12">
      <w:pPr>
        <w:spacing w:after="240"/>
        <w:ind w:left="0"/>
        <w:rPr>
          <w:rFonts w:cs="Arial"/>
          <w:sz w:val="22"/>
          <w:szCs w:val="22"/>
        </w:rPr>
      </w:pPr>
      <w:r w:rsidRPr="00D9293D">
        <w:rPr>
          <w:rFonts w:cs="Arial"/>
          <w:sz w:val="22"/>
          <w:szCs w:val="22"/>
        </w:rPr>
        <w:t>At a bioregional level, the proposed acquisition area (and associated area of effects on plankton) overlaps a miniscule proportion of the South-east Marine Region (0.01%) with a similarly miniscule overlap with the finer scale ‘Southeast Shelf Transition’ provincial bioregion (0.09%).</w:t>
      </w:r>
    </w:p>
    <w:p w14:paraId="38E16046" w14:textId="1EBEAC6F" w:rsidR="001D7E12" w:rsidRDefault="001D7E12" w:rsidP="001D7E12">
      <w:pPr>
        <w:spacing w:after="240"/>
        <w:ind w:left="0"/>
        <w:rPr>
          <w:rFonts w:cs="Arial"/>
          <w:sz w:val="22"/>
          <w:szCs w:val="22"/>
        </w:rPr>
      </w:pPr>
      <w:r>
        <w:rPr>
          <w:rFonts w:cs="Arial"/>
          <w:sz w:val="22"/>
          <w:szCs w:val="22"/>
        </w:rPr>
        <w:t xml:space="preserve">The timing of the survey avoids the key spawning period </w:t>
      </w:r>
      <w:r w:rsidR="0029239E">
        <w:rPr>
          <w:rFonts w:cs="Arial"/>
          <w:sz w:val="22"/>
          <w:szCs w:val="22"/>
        </w:rPr>
        <w:t xml:space="preserve">(i.e., planktonic phase) </w:t>
      </w:r>
      <w:r>
        <w:rPr>
          <w:rFonts w:cs="Arial"/>
          <w:sz w:val="22"/>
          <w:szCs w:val="22"/>
        </w:rPr>
        <w:t xml:space="preserve">of many species of commercial and recreational fishing species, and is likely to overlap with the </w:t>
      </w:r>
      <w:r w:rsidR="0029239E">
        <w:rPr>
          <w:rFonts w:cs="Arial"/>
          <w:sz w:val="22"/>
          <w:szCs w:val="22"/>
        </w:rPr>
        <w:t xml:space="preserve">influence of the </w:t>
      </w:r>
      <w:r>
        <w:rPr>
          <w:rFonts w:cs="Arial"/>
          <w:sz w:val="22"/>
          <w:szCs w:val="22"/>
        </w:rPr>
        <w:t xml:space="preserve">EAC, meaning that currents travelling from the east will act as a source of replenishment for plankton populations in and around the proposed acquisition area. Consequently, the assessment of impacts to plankton is insignificant. </w:t>
      </w:r>
    </w:p>
    <w:p w14:paraId="19D7ABB5" w14:textId="77777777" w:rsidR="00090AD5" w:rsidRDefault="00DC4355" w:rsidP="00891DE1">
      <w:pPr>
        <w:ind w:left="0"/>
        <w:rPr>
          <w:sz w:val="22"/>
          <w:szCs w:val="22"/>
        </w:rPr>
      </w:pPr>
      <w:r w:rsidRPr="00A04972">
        <w:rPr>
          <w:sz w:val="22"/>
          <w:szCs w:val="22"/>
        </w:rPr>
        <w:t xml:space="preserve">The results </w:t>
      </w:r>
      <w:r w:rsidR="00137FD3">
        <w:rPr>
          <w:sz w:val="22"/>
          <w:szCs w:val="22"/>
        </w:rPr>
        <w:t>of the assessment suggest that the impacts on plankton are likely to be insignificant at both a local and population level or compared with natural variability and mortality rates for plankton organisms.</w:t>
      </w:r>
    </w:p>
    <w:p w14:paraId="13A8379A" w14:textId="030E4D41" w:rsidR="00137FD3" w:rsidRDefault="00137FD3" w:rsidP="00891DE1">
      <w:pPr>
        <w:ind w:left="0"/>
        <w:rPr>
          <w:sz w:val="22"/>
          <w:szCs w:val="22"/>
        </w:rPr>
      </w:pPr>
    </w:p>
    <w:p w14:paraId="52C01CE8" w14:textId="3769D933" w:rsidR="005D6A4A" w:rsidRPr="00891DE1" w:rsidRDefault="005D6A4A" w:rsidP="00891DE1">
      <w:pPr>
        <w:spacing w:after="120"/>
        <w:ind w:left="0"/>
        <w:rPr>
          <w:sz w:val="22"/>
          <w:szCs w:val="22"/>
        </w:rPr>
      </w:pPr>
      <w:r w:rsidRPr="00891DE1">
        <w:rPr>
          <w:sz w:val="22"/>
          <w:szCs w:val="22"/>
        </w:rPr>
        <w:t xml:space="preserve">Any reduction in plankton biomass in and immediately around the proposed acquisition area is not likely to </w:t>
      </w:r>
      <w:r w:rsidR="00137FD3">
        <w:rPr>
          <w:sz w:val="22"/>
          <w:szCs w:val="22"/>
        </w:rPr>
        <w:t xml:space="preserve">have a significant </w:t>
      </w:r>
      <w:r w:rsidRPr="00891DE1">
        <w:rPr>
          <w:sz w:val="22"/>
          <w:szCs w:val="22"/>
        </w:rPr>
        <w:t xml:space="preserve">impact on the </w:t>
      </w:r>
      <w:r w:rsidR="00137FD3">
        <w:rPr>
          <w:sz w:val="22"/>
          <w:szCs w:val="22"/>
        </w:rPr>
        <w:t xml:space="preserve">foraging habits of </w:t>
      </w:r>
      <w:r w:rsidRPr="00891DE1">
        <w:rPr>
          <w:sz w:val="22"/>
          <w:szCs w:val="22"/>
        </w:rPr>
        <w:t xml:space="preserve">baleen whales, such as the pygmy blue whale, because: </w:t>
      </w:r>
    </w:p>
    <w:p w14:paraId="41507688" w14:textId="77777777" w:rsidR="005D6A4A" w:rsidRDefault="005D6A4A" w:rsidP="00137FD3">
      <w:pPr>
        <w:pStyle w:val="ListParagraph0"/>
        <w:numPr>
          <w:ilvl w:val="0"/>
          <w:numId w:val="414"/>
        </w:numPr>
        <w:rPr>
          <w:sz w:val="22"/>
          <w:szCs w:val="22"/>
        </w:rPr>
      </w:pPr>
      <w:r>
        <w:rPr>
          <w:sz w:val="22"/>
          <w:szCs w:val="22"/>
        </w:rPr>
        <w:t>The reduced biomass is temporary;</w:t>
      </w:r>
    </w:p>
    <w:p w14:paraId="5B500F2C" w14:textId="249AFBB9" w:rsidR="005D6A4A" w:rsidRPr="00DC4355" w:rsidRDefault="005D6A4A" w:rsidP="00577950">
      <w:pPr>
        <w:pStyle w:val="ListParagraph0"/>
        <w:numPr>
          <w:ilvl w:val="0"/>
          <w:numId w:val="414"/>
        </w:numPr>
        <w:rPr>
          <w:sz w:val="22"/>
          <w:szCs w:val="22"/>
        </w:rPr>
      </w:pPr>
      <w:r>
        <w:rPr>
          <w:sz w:val="22"/>
          <w:szCs w:val="22"/>
        </w:rPr>
        <w:t>They have vast foraging grounds</w:t>
      </w:r>
      <w:r w:rsidR="003C0BCE">
        <w:rPr>
          <w:sz w:val="22"/>
          <w:szCs w:val="22"/>
        </w:rPr>
        <w:t xml:space="preserve"> with the proposed acquisition area representing a miniscule proportion of these foraging grounds</w:t>
      </w:r>
      <w:r>
        <w:rPr>
          <w:sz w:val="22"/>
          <w:szCs w:val="22"/>
        </w:rPr>
        <w:t xml:space="preserve">. In Victoria, </w:t>
      </w:r>
      <w:r w:rsidR="003C0BCE">
        <w:rPr>
          <w:sz w:val="22"/>
          <w:szCs w:val="22"/>
        </w:rPr>
        <w:t>foraging grounds</w:t>
      </w:r>
      <w:r>
        <w:rPr>
          <w:sz w:val="22"/>
          <w:szCs w:val="22"/>
        </w:rPr>
        <w:t xml:space="preserve"> are concentrated on the southwest coast (associated with the Bonney Upwelling) rather than the Gippsland coast. </w:t>
      </w:r>
    </w:p>
    <w:p w14:paraId="13F64877" w14:textId="77777777" w:rsidR="00DC4355" w:rsidRDefault="00DC4355" w:rsidP="00DC4355">
      <w:pPr>
        <w:ind w:left="0"/>
        <w:rPr>
          <w:color w:val="FF0000"/>
          <w:sz w:val="22"/>
          <w:szCs w:val="22"/>
        </w:rPr>
      </w:pPr>
    </w:p>
    <w:p w14:paraId="1E5ACFC8" w14:textId="52083B04" w:rsidR="00534210" w:rsidRPr="00A45B0A" w:rsidRDefault="00DC4355" w:rsidP="00534210">
      <w:pPr>
        <w:spacing w:after="120"/>
        <w:ind w:left="0"/>
        <w:rPr>
          <w:rFonts w:cs="Arial"/>
          <w:b/>
          <w:sz w:val="22"/>
          <w:szCs w:val="22"/>
        </w:rPr>
      </w:pPr>
      <w:r>
        <w:rPr>
          <w:rFonts w:cs="Arial"/>
          <w:b/>
          <w:sz w:val="22"/>
          <w:szCs w:val="22"/>
        </w:rPr>
        <w:t xml:space="preserve">Impacts to </w:t>
      </w:r>
      <w:r w:rsidR="00534210" w:rsidRPr="00A45B0A">
        <w:rPr>
          <w:rFonts w:cs="Arial"/>
          <w:b/>
          <w:sz w:val="22"/>
          <w:szCs w:val="22"/>
        </w:rPr>
        <w:t>Fish</w:t>
      </w:r>
    </w:p>
    <w:p w14:paraId="14FA0645" w14:textId="0CD36F57" w:rsidR="00C87AAC" w:rsidRDefault="00AF1C68" w:rsidP="00534210">
      <w:pPr>
        <w:ind w:left="0"/>
        <w:rPr>
          <w:rFonts w:cs="Arial"/>
          <w:sz w:val="22"/>
          <w:szCs w:val="22"/>
        </w:rPr>
      </w:pPr>
      <w:r w:rsidRPr="00A45B0A">
        <w:rPr>
          <w:rFonts w:cs="Arial"/>
          <w:sz w:val="22"/>
          <w:szCs w:val="22"/>
        </w:rPr>
        <w:t xml:space="preserve">Fish species known to occur within the proposed acquisition area and surrounds are listed and/or described in Section </w:t>
      </w:r>
      <w:r w:rsidR="00A04972">
        <w:rPr>
          <w:rFonts w:cs="Arial"/>
          <w:sz w:val="22"/>
          <w:szCs w:val="22"/>
        </w:rPr>
        <w:t>5.4.4</w:t>
      </w:r>
      <w:r w:rsidRPr="00A45B0A">
        <w:rPr>
          <w:rFonts w:cs="Arial"/>
          <w:sz w:val="22"/>
          <w:szCs w:val="22"/>
        </w:rPr>
        <w:t xml:space="preserve"> and Section </w:t>
      </w:r>
      <w:r w:rsidR="003162FF">
        <w:rPr>
          <w:rFonts w:cs="Arial"/>
          <w:sz w:val="22"/>
          <w:szCs w:val="22"/>
        </w:rPr>
        <w:t>5.6.3</w:t>
      </w:r>
      <w:r w:rsidRPr="00A45B0A">
        <w:rPr>
          <w:rFonts w:cs="Arial"/>
          <w:sz w:val="22"/>
          <w:szCs w:val="22"/>
        </w:rPr>
        <w:t xml:space="preserve">. </w:t>
      </w:r>
    </w:p>
    <w:p w14:paraId="68512BCD" w14:textId="77777777" w:rsidR="00C87AAC" w:rsidRDefault="00C87AAC" w:rsidP="00534210">
      <w:pPr>
        <w:ind w:left="0"/>
        <w:rPr>
          <w:rFonts w:cs="Arial"/>
          <w:sz w:val="22"/>
          <w:szCs w:val="22"/>
        </w:rPr>
      </w:pPr>
    </w:p>
    <w:p w14:paraId="5F4B6B1B" w14:textId="77777777" w:rsidR="00C87AAC" w:rsidRPr="003919EA" w:rsidRDefault="00C87AAC" w:rsidP="00C87AAC">
      <w:pPr>
        <w:spacing w:after="120" w:line="240" w:lineRule="auto"/>
        <w:ind w:left="0"/>
        <w:rPr>
          <w:rFonts w:cs="Arial"/>
          <w:sz w:val="22"/>
          <w:szCs w:val="22"/>
          <w:u w:val="single"/>
        </w:rPr>
      </w:pPr>
      <w:r w:rsidRPr="003919EA">
        <w:rPr>
          <w:rFonts w:cs="Arial"/>
          <w:sz w:val="22"/>
          <w:szCs w:val="22"/>
          <w:u w:val="single"/>
        </w:rPr>
        <w:t xml:space="preserve">Research </w:t>
      </w:r>
      <w:r>
        <w:rPr>
          <w:rFonts w:cs="Arial"/>
          <w:sz w:val="22"/>
          <w:szCs w:val="22"/>
          <w:u w:val="single"/>
        </w:rPr>
        <w:t>results</w:t>
      </w:r>
    </w:p>
    <w:p w14:paraId="1CE1F89C" w14:textId="26630E0F" w:rsidR="00A01F44" w:rsidRPr="00A45B0A" w:rsidRDefault="00A01F44" w:rsidP="00534210">
      <w:pPr>
        <w:ind w:left="0"/>
        <w:rPr>
          <w:rFonts w:cs="Arial"/>
          <w:sz w:val="22"/>
          <w:szCs w:val="22"/>
        </w:rPr>
      </w:pPr>
      <w:r w:rsidRPr="00A45B0A">
        <w:rPr>
          <w:rFonts w:cs="Arial"/>
          <w:sz w:val="22"/>
          <w:szCs w:val="22"/>
        </w:rPr>
        <w:t xml:space="preserve">All fish studied to date are able to detect sound, with the main auditory organs in teleost (bony) fish being the otolithic organs of the inner ear (Carroll </w:t>
      </w:r>
      <w:r w:rsidRPr="00A45B0A">
        <w:rPr>
          <w:rFonts w:cs="Arial"/>
          <w:i/>
          <w:sz w:val="22"/>
          <w:szCs w:val="22"/>
        </w:rPr>
        <w:t>et al</w:t>
      </w:r>
      <w:r w:rsidRPr="00A45B0A">
        <w:rPr>
          <w:rFonts w:cs="Arial"/>
          <w:sz w:val="22"/>
          <w:szCs w:val="22"/>
        </w:rPr>
        <w:t xml:space="preserve">., 2017). Hearing in fish primarily involved the ability to sense acoustic particle motion via direct inertial stimulation of the otolithic organs or their equivalent. </w:t>
      </w:r>
      <w:r w:rsidRPr="00A45B0A">
        <w:rPr>
          <w:rFonts w:cs="Arial"/>
          <w:sz w:val="22"/>
          <w:szCs w:val="22"/>
        </w:rPr>
        <w:lastRenderedPageBreak/>
        <w:t xml:space="preserve">Many species also have the ability to sense sound pressure using an indirect path of sound stimulation involving gas-filled chambers such as the swim bladder (Carroll </w:t>
      </w:r>
      <w:r w:rsidRPr="00A45B0A">
        <w:rPr>
          <w:rFonts w:cs="Arial"/>
          <w:i/>
          <w:sz w:val="22"/>
          <w:szCs w:val="22"/>
        </w:rPr>
        <w:t>et al</w:t>
      </w:r>
      <w:r w:rsidRPr="00A45B0A">
        <w:rPr>
          <w:rFonts w:cs="Arial"/>
          <w:sz w:val="22"/>
          <w:szCs w:val="22"/>
        </w:rPr>
        <w:t>., 2017).</w:t>
      </w:r>
    </w:p>
    <w:p w14:paraId="240B410E" w14:textId="77777777" w:rsidR="00A01F44" w:rsidRPr="00A45B0A" w:rsidRDefault="00A01F44" w:rsidP="00534210">
      <w:pPr>
        <w:ind w:left="0"/>
        <w:rPr>
          <w:rFonts w:cs="Arial"/>
          <w:sz w:val="22"/>
          <w:szCs w:val="22"/>
        </w:rPr>
      </w:pPr>
    </w:p>
    <w:p w14:paraId="14A2AFD5" w14:textId="64A52A7A" w:rsidR="00502744" w:rsidRDefault="00860306" w:rsidP="00534210">
      <w:pPr>
        <w:ind w:left="0"/>
        <w:rPr>
          <w:rFonts w:cs="Arial"/>
          <w:sz w:val="22"/>
          <w:szCs w:val="22"/>
        </w:rPr>
      </w:pPr>
      <w:r w:rsidRPr="00F52875">
        <w:rPr>
          <w:rFonts w:cs="Arial"/>
          <w:sz w:val="22"/>
          <w:szCs w:val="22"/>
        </w:rPr>
        <w:t>There are substantial differences in auditory capabilities from one fish species to another, hence the use of anatomy to distinguish fish groups, as done by Popper et al. (2014) (</w:t>
      </w:r>
      <w:r w:rsidRPr="00BA05A0">
        <w:rPr>
          <w:rFonts w:cs="Arial"/>
          <w:color w:val="FF0000"/>
          <w:sz w:val="22"/>
          <w:szCs w:val="22"/>
        </w:rPr>
        <w:t xml:space="preserve">Table </w:t>
      </w:r>
      <w:r w:rsidR="00FE38ED" w:rsidRPr="00BA05A0">
        <w:rPr>
          <w:rFonts w:cs="Arial"/>
          <w:color w:val="FF0000"/>
          <w:sz w:val="22"/>
          <w:szCs w:val="22"/>
        </w:rPr>
        <w:t>7.</w:t>
      </w:r>
      <w:r w:rsidR="00BA05A0" w:rsidRPr="00BA05A0">
        <w:rPr>
          <w:rFonts w:cs="Arial"/>
          <w:color w:val="FF0000"/>
          <w:sz w:val="22"/>
          <w:szCs w:val="22"/>
        </w:rPr>
        <w:t>7</w:t>
      </w:r>
      <w:r w:rsidRPr="003162FF">
        <w:rPr>
          <w:rFonts w:cs="Arial"/>
          <w:sz w:val="22"/>
          <w:szCs w:val="22"/>
        </w:rPr>
        <w:t>). Within these categories, two groups have an increased ability to hear. The first of those</w:t>
      </w:r>
      <w:r w:rsidRPr="00F52875">
        <w:rPr>
          <w:rFonts w:cs="Arial"/>
          <w:sz w:val="22"/>
          <w:szCs w:val="22"/>
        </w:rPr>
        <w:t xml:space="preserve"> are fish with swim bladders close, but not intimately connected to the ear, can hear up to about 500 Hz, and are sensitive to both particle motion and sound pressure. Fish with swim bladders mechanically li</w:t>
      </w:r>
      <w:r>
        <w:rPr>
          <w:rFonts w:cs="Arial"/>
          <w:sz w:val="22"/>
          <w:szCs w:val="22"/>
        </w:rPr>
        <w:t>n</w:t>
      </w:r>
      <w:r w:rsidRPr="00F52875">
        <w:rPr>
          <w:rFonts w:cs="Arial"/>
          <w:sz w:val="22"/>
          <w:szCs w:val="22"/>
        </w:rPr>
        <w:t xml:space="preserve">ked to the ear are primarily sensitive to pressure, although they can still detect particle motion. These fishes have the widest hearing range, extending to several kilohertz, </w:t>
      </w:r>
      <w:r>
        <w:rPr>
          <w:rFonts w:cs="Arial"/>
          <w:sz w:val="22"/>
          <w:szCs w:val="22"/>
        </w:rPr>
        <w:t xml:space="preserve">and </w:t>
      </w:r>
      <w:r w:rsidRPr="00F52875">
        <w:rPr>
          <w:rFonts w:cs="Arial"/>
          <w:sz w:val="22"/>
          <w:szCs w:val="22"/>
        </w:rPr>
        <w:t>are generally more sensitive to sound pressure than any of the other groups of fish (Hawkins and Popper</w:t>
      </w:r>
      <w:r>
        <w:rPr>
          <w:rFonts w:cs="Arial"/>
          <w:sz w:val="22"/>
          <w:szCs w:val="22"/>
        </w:rPr>
        <w:t>,</w:t>
      </w:r>
      <w:r w:rsidRPr="00F52875">
        <w:rPr>
          <w:rFonts w:cs="Arial"/>
          <w:sz w:val="22"/>
          <w:szCs w:val="22"/>
        </w:rPr>
        <w:t xml:space="preserve"> 2016). The predominant frequency range of seismic survey sound, which for the </w:t>
      </w:r>
      <w:r>
        <w:rPr>
          <w:rFonts w:cs="Arial"/>
          <w:sz w:val="22"/>
          <w:szCs w:val="22"/>
        </w:rPr>
        <w:t xml:space="preserve">proposed Pelican 3DMSS is below </w:t>
      </w:r>
      <w:r w:rsidRPr="00F52875">
        <w:rPr>
          <w:rFonts w:cs="Arial"/>
          <w:sz w:val="22"/>
          <w:szCs w:val="22"/>
        </w:rPr>
        <w:t>5</w:t>
      </w:r>
      <w:r>
        <w:rPr>
          <w:rFonts w:cs="Arial"/>
          <w:sz w:val="22"/>
          <w:szCs w:val="22"/>
        </w:rPr>
        <w:t>0</w:t>
      </w:r>
      <w:r w:rsidRPr="00F52875">
        <w:rPr>
          <w:rFonts w:cs="Arial"/>
          <w:sz w:val="22"/>
          <w:szCs w:val="22"/>
        </w:rPr>
        <w:t>0 Hz, is within the detectable hearing range of most fish.</w:t>
      </w:r>
    </w:p>
    <w:p w14:paraId="536AFBE9" w14:textId="77777777" w:rsidR="00FE38ED" w:rsidRDefault="00FE38ED" w:rsidP="00534210">
      <w:pPr>
        <w:ind w:left="0"/>
        <w:rPr>
          <w:rFonts w:cs="Arial"/>
          <w:sz w:val="22"/>
          <w:szCs w:val="22"/>
        </w:rPr>
      </w:pPr>
    </w:p>
    <w:p w14:paraId="34593995" w14:textId="2F5B82F5" w:rsidR="00FE38ED" w:rsidRPr="006164CE" w:rsidRDefault="00FE38ED" w:rsidP="00FE38ED">
      <w:pPr>
        <w:spacing w:after="120" w:line="240" w:lineRule="auto"/>
        <w:ind w:left="0"/>
        <w:jc w:val="center"/>
        <w:rPr>
          <w:rFonts w:cs="Arial"/>
          <w:b/>
          <w:sz w:val="20"/>
          <w:szCs w:val="20"/>
        </w:rPr>
      </w:pPr>
      <w:r w:rsidRPr="006164CE">
        <w:rPr>
          <w:rFonts w:cs="Arial"/>
          <w:b/>
          <w:sz w:val="20"/>
          <w:szCs w:val="20"/>
        </w:rPr>
        <w:t>Table 7.</w:t>
      </w:r>
      <w:r w:rsidR="00BA05A0">
        <w:rPr>
          <w:rFonts w:cs="Arial"/>
          <w:b/>
          <w:sz w:val="20"/>
          <w:szCs w:val="20"/>
        </w:rPr>
        <w:t>7</w:t>
      </w:r>
      <w:r>
        <w:rPr>
          <w:rFonts w:cs="Arial"/>
          <w:b/>
          <w:sz w:val="20"/>
          <w:szCs w:val="20"/>
        </w:rPr>
        <w:t>.</w:t>
      </w:r>
      <w:r w:rsidRPr="006164CE">
        <w:rPr>
          <w:rFonts w:cs="Arial"/>
          <w:b/>
          <w:sz w:val="20"/>
          <w:szCs w:val="20"/>
        </w:rPr>
        <w:tab/>
        <w:t>Exposure criteria for seismic sources – fish</w:t>
      </w: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211"/>
        <w:gridCol w:w="1421"/>
        <w:gridCol w:w="1402"/>
        <w:gridCol w:w="1158"/>
        <w:gridCol w:w="1463"/>
        <w:gridCol w:w="1400"/>
      </w:tblGrid>
      <w:tr w:rsidR="00FE38ED" w:rsidRPr="006164CE" w14:paraId="6FD6B331" w14:textId="77777777" w:rsidTr="00217246">
        <w:tc>
          <w:tcPr>
            <w:tcW w:w="1273" w:type="dxa"/>
            <w:vMerge w:val="restart"/>
            <w:shd w:val="clear" w:color="auto" w:fill="064EA8"/>
          </w:tcPr>
          <w:p w14:paraId="5E02CB37" w14:textId="77777777" w:rsidR="00FE38ED" w:rsidRPr="006164CE" w:rsidRDefault="00FE38ED" w:rsidP="00217246">
            <w:pPr>
              <w:spacing w:before="60" w:after="60" w:line="240" w:lineRule="auto"/>
              <w:ind w:left="0"/>
              <w:rPr>
                <w:rFonts w:cs="Arial"/>
                <w:color w:val="FFFFFF" w:themeColor="background1"/>
                <w:sz w:val="20"/>
                <w:szCs w:val="20"/>
              </w:rPr>
            </w:pPr>
            <w:r w:rsidRPr="006164CE">
              <w:rPr>
                <w:rFonts w:cs="Arial"/>
                <w:color w:val="FFFFFF" w:themeColor="background1"/>
                <w:sz w:val="20"/>
                <w:szCs w:val="20"/>
              </w:rPr>
              <w:t>Type of fish</w:t>
            </w:r>
          </w:p>
        </w:tc>
        <w:tc>
          <w:tcPr>
            <w:tcW w:w="1529" w:type="dxa"/>
            <w:vMerge w:val="restart"/>
            <w:shd w:val="clear" w:color="auto" w:fill="064EA8"/>
          </w:tcPr>
          <w:p w14:paraId="2C3ADEC3" w14:textId="77777777" w:rsidR="00FE38ED" w:rsidRPr="006164CE" w:rsidRDefault="00FE38ED" w:rsidP="00217246">
            <w:pPr>
              <w:spacing w:before="60" w:after="60" w:line="240" w:lineRule="auto"/>
              <w:ind w:left="0"/>
              <w:rPr>
                <w:rFonts w:cs="Arial"/>
                <w:color w:val="FFFFFF" w:themeColor="background1"/>
                <w:sz w:val="20"/>
                <w:szCs w:val="20"/>
              </w:rPr>
            </w:pPr>
            <w:r w:rsidRPr="006164CE">
              <w:rPr>
                <w:rFonts w:cs="Arial"/>
                <w:color w:val="FFFFFF" w:themeColor="background1"/>
                <w:sz w:val="20"/>
                <w:szCs w:val="20"/>
              </w:rPr>
              <w:t>Mortality and potential mortal injury</w:t>
            </w:r>
          </w:p>
        </w:tc>
        <w:tc>
          <w:tcPr>
            <w:tcW w:w="4252" w:type="dxa"/>
            <w:gridSpan w:val="3"/>
            <w:shd w:val="clear" w:color="auto" w:fill="064EA8"/>
          </w:tcPr>
          <w:p w14:paraId="6980BA40" w14:textId="77777777" w:rsidR="00FE38ED" w:rsidRPr="006164CE" w:rsidRDefault="00FE38ED" w:rsidP="00217246">
            <w:pPr>
              <w:spacing w:before="60" w:after="60" w:line="240" w:lineRule="auto"/>
              <w:ind w:left="0"/>
              <w:jc w:val="center"/>
              <w:rPr>
                <w:rFonts w:cs="Arial"/>
                <w:color w:val="FFFFFF" w:themeColor="background1"/>
                <w:sz w:val="20"/>
                <w:szCs w:val="20"/>
              </w:rPr>
            </w:pPr>
            <w:r w:rsidRPr="006164CE">
              <w:rPr>
                <w:rFonts w:cs="Arial"/>
                <w:color w:val="FFFFFF" w:themeColor="background1"/>
                <w:sz w:val="20"/>
                <w:szCs w:val="20"/>
              </w:rPr>
              <w:t>Impairment</w:t>
            </w:r>
          </w:p>
        </w:tc>
        <w:tc>
          <w:tcPr>
            <w:tcW w:w="1468" w:type="dxa"/>
            <w:vMerge w:val="restart"/>
            <w:shd w:val="clear" w:color="auto" w:fill="064EA8"/>
          </w:tcPr>
          <w:p w14:paraId="0A761A2C" w14:textId="77777777" w:rsidR="00FE38ED" w:rsidRPr="006164CE" w:rsidRDefault="00FE38ED" w:rsidP="00217246">
            <w:pPr>
              <w:spacing w:before="60" w:after="60" w:line="240" w:lineRule="auto"/>
              <w:ind w:left="0"/>
              <w:jc w:val="center"/>
              <w:rPr>
                <w:rFonts w:cs="Arial"/>
                <w:color w:val="FFFFFF" w:themeColor="background1"/>
                <w:sz w:val="20"/>
                <w:szCs w:val="20"/>
              </w:rPr>
            </w:pPr>
            <w:r w:rsidRPr="006164CE">
              <w:rPr>
                <w:rFonts w:cs="Arial"/>
                <w:color w:val="FFFFFF" w:themeColor="background1"/>
                <w:sz w:val="20"/>
                <w:szCs w:val="20"/>
              </w:rPr>
              <w:t>Behaviour</w:t>
            </w:r>
          </w:p>
        </w:tc>
      </w:tr>
      <w:tr w:rsidR="00FE38ED" w:rsidRPr="006164CE" w14:paraId="0907DA88" w14:textId="77777777" w:rsidTr="00217246">
        <w:tc>
          <w:tcPr>
            <w:tcW w:w="1273" w:type="dxa"/>
            <w:vMerge/>
            <w:shd w:val="clear" w:color="auto" w:fill="B2A1C7"/>
          </w:tcPr>
          <w:p w14:paraId="1AA55B42" w14:textId="77777777" w:rsidR="00FE38ED" w:rsidRPr="006164CE" w:rsidRDefault="00FE38ED" w:rsidP="00217246">
            <w:pPr>
              <w:spacing w:before="60" w:after="60" w:line="240" w:lineRule="auto"/>
              <w:ind w:left="0"/>
              <w:rPr>
                <w:rFonts w:cs="Arial"/>
                <w:sz w:val="20"/>
                <w:szCs w:val="20"/>
              </w:rPr>
            </w:pPr>
          </w:p>
        </w:tc>
        <w:tc>
          <w:tcPr>
            <w:tcW w:w="1529" w:type="dxa"/>
            <w:vMerge/>
            <w:shd w:val="clear" w:color="auto" w:fill="B2A1C7"/>
          </w:tcPr>
          <w:p w14:paraId="54AAC193" w14:textId="77777777" w:rsidR="00FE38ED" w:rsidRPr="006164CE" w:rsidRDefault="00FE38ED" w:rsidP="00217246">
            <w:pPr>
              <w:spacing w:before="60" w:after="60" w:line="240" w:lineRule="auto"/>
              <w:ind w:left="0"/>
              <w:jc w:val="center"/>
              <w:rPr>
                <w:rFonts w:cs="Arial"/>
                <w:b/>
                <w:sz w:val="20"/>
                <w:szCs w:val="20"/>
              </w:rPr>
            </w:pPr>
          </w:p>
        </w:tc>
        <w:tc>
          <w:tcPr>
            <w:tcW w:w="1417" w:type="dxa"/>
            <w:shd w:val="clear" w:color="auto" w:fill="064EA8"/>
          </w:tcPr>
          <w:p w14:paraId="35D112FF" w14:textId="77777777" w:rsidR="00FE38ED" w:rsidRPr="006164CE" w:rsidRDefault="00FE38ED" w:rsidP="00217246">
            <w:pPr>
              <w:spacing w:before="60" w:after="60" w:line="240" w:lineRule="auto"/>
              <w:ind w:left="0"/>
              <w:jc w:val="center"/>
              <w:rPr>
                <w:rFonts w:cs="Arial"/>
                <w:color w:val="FFFFFF" w:themeColor="background1"/>
                <w:sz w:val="20"/>
                <w:szCs w:val="20"/>
              </w:rPr>
            </w:pPr>
            <w:r w:rsidRPr="006164CE">
              <w:rPr>
                <w:rFonts w:cs="Arial"/>
                <w:color w:val="FFFFFF" w:themeColor="background1"/>
                <w:sz w:val="20"/>
                <w:szCs w:val="20"/>
              </w:rPr>
              <w:t>Recoverable injury</w:t>
            </w:r>
          </w:p>
        </w:tc>
        <w:tc>
          <w:tcPr>
            <w:tcW w:w="1276" w:type="dxa"/>
            <w:shd w:val="clear" w:color="auto" w:fill="064EA8"/>
          </w:tcPr>
          <w:p w14:paraId="30D29E60" w14:textId="77777777" w:rsidR="00FE38ED" w:rsidRPr="006164CE" w:rsidRDefault="00FE38ED" w:rsidP="00217246">
            <w:pPr>
              <w:spacing w:before="60" w:after="60" w:line="240" w:lineRule="auto"/>
              <w:ind w:left="0"/>
              <w:jc w:val="center"/>
              <w:rPr>
                <w:rFonts w:cs="Arial"/>
                <w:color w:val="FFFFFF" w:themeColor="background1"/>
                <w:sz w:val="20"/>
                <w:szCs w:val="20"/>
              </w:rPr>
            </w:pPr>
            <w:r w:rsidRPr="006164CE">
              <w:rPr>
                <w:rFonts w:cs="Arial"/>
                <w:color w:val="FFFFFF" w:themeColor="background1"/>
                <w:sz w:val="20"/>
                <w:szCs w:val="20"/>
              </w:rPr>
              <w:t>TTS</w:t>
            </w:r>
          </w:p>
        </w:tc>
        <w:tc>
          <w:tcPr>
            <w:tcW w:w="1559" w:type="dxa"/>
            <w:shd w:val="clear" w:color="auto" w:fill="064EA8"/>
          </w:tcPr>
          <w:p w14:paraId="1B128545" w14:textId="77777777" w:rsidR="00FE38ED" w:rsidRPr="006164CE" w:rsidRDefault="00FE38ED" w:rsidP="00217246">
            <w:pPr>
              <w:spacing w:before="60" w:after="60" w:line="240" w:lineRule="auto"/>
              <w:ind w:left="0"/>
              <w:jc w:val="center"/>
              <w:rPr>
                <w:rFonts w:cs="Arial"/>
                <w:color w:val="FFFFFF" w:themeColor="background1"/>
                <w:sz w:val="20"/>
                <w:szCs w:val="20"/>
              </w:rPr>
            </w:pPr>
            <w:r w:rsidRPr="006164CE">
              <w:rPr>
                <w:rFonts w:cs="Arial"/>
                <w:color w:val="FFFFFF" w:themeColor="background1"/>
                <w:sz w:val="20"/>
                <w:szCs w:val="20"/>
              </w:rPr>
              <w:t>Masking</w:t>
            </w:r>
          </w:p>
        </w:tc>
        <w:tc>
          <w:tcPr>
            <w:tcW w:w="1468" w:type="dxa"/>
            <w:vMerge/>
            <w:shd w:val="clear" w:color="auto" w:fill="064EA8"/>
          </w:tcPr>
          <w:p w14:paraId="308F6AFB" w14:textId="77777777" w:rsidR="00FE38ED" w:rsidRPr="006164CE" w:rsidRDefault="00FE38ED" w:rsidP="00217246">
            <w:pPr>
              <w:spacing w:before="60" w:after="60" w:line="240" w:lineRule="auto"/>
              <w:ind w:left="0"/>
              <w:rPr>
                <w:rFonts w:cs="Arial"/>
                <w:sz w:val="20"/>
                <w:szCs w:val="20"/>
              </w:rPr>
            </w:pPr>
          </w:p>
        </w:tc>
      </w:tr>
      <w:tr w:rsidR="00FE38ED" w:rsidRPr="006164CE" w14:paraId="30848932" w14:textId="77777777" w:rsidTr="00217246">
        <w:tc>
          <w:tcPr>
            <w:tcW w:w="1273" w:type="dxa"/>
            <w:vMerge w:val="restart"/>
            <w:shd w:val="clear" w:color="auto" w:fill="auto"/>
          </w:tcPr>
          <w:p w14:paraId="0D57417E" w14:textId="77777777" w:rsidR="00FE38ED" w:rsidRPr="006164CE" w:rsidRDefault="00FE38ED" w:rsidP="00217246">
            <w:pPr>
              <w:spacing w:before="60" w:after="60" w:line="240" w:lineRule="auto"/>
              <w:ind w:left="0"/>
              <w:rPr>
                <w:rFonts w:cs="Arial"/>
                <w:sz w:val="20"/>
                <w:szCs w:val="20"/>
              </w:rPr>
            </w:pPr>
            <w:r w:rsidRPr="006164CE">
              <w:rPr>
                <w:rFonts w:cs="Arial"/>
                <w:sz w:val="20"/>
                <w:szCs w:val="20"/>
              </w:rPr>
              <w:t>Fish with no swim bladder</w:t>
            </w:r>
          </w:p>
        </w:tc>
        <w:tc>
          <w:tcPr>
            <w:tcW w:w="1529" w:type="dxa"/>
            <w:vMerge w:val="restart"/>
            <w:shd w:val="clear" w:color="auto" w:fill="auto"/>
          </w:tcPr>
          <w:p w14:paraId="67782715" w14:textId="77777777" w:rsidR="00FE38ED" w:rsidRPr="006164CE" w:rsidRDefault="00FE38ED" w:rsidP="00217246">
            <w:pPr>
              <w:spacing w:before="60" w:after="60" w:line="240" w:lineRule="auto"/>
              <w:ind w:left="0"/>
              <w:rPr>
                <w:rFonts w:cs="Arial"/>
                <w:sz w:val="20"/>
                <w:szCs w:val="20"/>
              </w:rPr>
            </w:pPr>
            <w:r w:rsidRPr="006164CE">
              <w:rPr>
                <w:rFonts w:cs="Arial"/>
                <w:sz w:val="20"/>
                <w:szCs w:val="20"/>
              </w:rPr>
              <w:t xml:space="preserve">&gt;219 db 24 hr SEL </w:t>
            </w:r>
            <w:r w:rsidRPr="006164CE">
              <w:rPr>
                <w:rFonts w:cs="Arial"/>
                <w:i/>
                <w:sz w:val="20"/>
                <w:szCs w:val="20"/>
              </w:rPr>
              <w:t>or</w:t>
            </w:r>
            <w:r w:rsidRPr="006164CE">
              <w:rPr>
                <w:rFonts w:cs="Arial"/>
                <w:sz w:val="20"/>
                <w:szCs w:val="20"/>
              </w:rPr>
              <w:t xml:space="preserve"> </w:t>
            </w:r>
            <w:r w:rsidRPr="006164CE">
              <w:rPr>
                <w:rFonts w:cs="Arial"/>
                <w:sz w:val="20"/>
                <w:szCs w:val="20"/>
              </w:rPr>
              <w:br/>
              <w:t>&gt;213 dB peak</w:t>
            </w:r>
          </w:p>
        </w:tc>
        <w:tc>
          <w:tcPr>
            <w:tcW w:w="1417" w:type="dxa"/>
            <w:vMerge w:val="restart"/>
            <w:shd w:val="clear" w:color="auto" w:fill="auto"/>
          </w:tcPr>
          <w:p w14:paraId="07804632"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 xml:space="preserve">&gt;216 db 24 hr SEL </w:t>
            </w:r>
            <w:r w:rsidRPr="006164CE">
              <w:rPr>
                <w:rFonts w:cs="Arial"/>
                <w:i/>
                <w:sz w:val="20"/>
                <w:szCs w:val="20"/>
              </w:rPr>
              <w:t>or</w:t>
            </w:r>
            <w:r w:rsidRPr="006164CE">
              <w:rPr>
                <w:rFonts w:cs="Arial"/>
                <w:sz w:val="20"/>
                <w:szCs w:val="20"/>
              </w:rPr>
              <w:t xml:space="preserve"> </w:t>
            </w:r>
            <w:r w:rsidRPr="006164CE">
              <w:rPr>
                <w:rFonts w:cs="Arial"/>
                <w:sz w:val="20"/>
                <w:szCs w:val="20"/>
              </w:rPr>
              <w:br/>
              <w:t>&gt;213 dB peak</w:t>
            </w:r>
          </w:p>
        </w:tc>
        <w:tc>
          <w:tcPr>
            <w:tcW w:w="1276" w:type="dxa"/>
            <w:vMerge w:val="restart"/>
            <w:shd w:val="clear" w:color="auto" w:fill="auto"/>
          </w:tcPr>
          <w:p w14:paraId="5F119F6A" w14:textId="77777777" w:rsidR="00FE38ED" w:rsidRPr="006164CE" w:rsidRDefault="00FE38ED" w:rsidP="00217246">
            <w:pPr>
              <w:spacing w:before="60" w:after="60" w:line="240" w:lineRule="auto"/>
              <w:ind w:left="0"/>
              <w:jc w:val="center"/>
              <w:rPr>
                <w:rFonts w:cs="Arial"/>
                <w:b/>
                <w:sz w:val="20"/>
                <w:szCs w:val="20"/>
              </w:rPr>
            </w:pPr>
            <w:r w:rsidRPr="006164CE">
              <w:rPr>
                <w:rFonts w:cs="Arial"/>
                <w:sz w:val="20"/>
                <w:szCs w:val="20"/>
              </w:rPr>
              <w:t xml:space="preserve">&gt;186 db </w:t>
            </w:r>
            <w:r>
              <w:rPr>
                <w:rFonts w:cs="Arial"/>
                <w:sz w:val="20"/>
                <w:szCs w:val="20"/>
              </w:rPr>
              <w:br/>
            </w:r>
            <w:r w:rsidRPr="006164CE">
              <w:rPr>
                <w:rFonts w:cs="Arial"/>
                <w:sz w:val="20"/>
                <w:szCs w:val="20"/>
              </w:rPr>
              <w:t xml:space="preserve">24 hr SEL </w:t>
            </w:r>
          </w:p>
        </w:tc>
        <w:tc>
          <w:tcPr>
            <w:tcW w:w="1559" w:type="dxa"/>
            <w:shd w:val="clear" w:color="auto" w:fill="auto"/>
          </w:tcPr>
          <w:p w14:paraId="421D88A3"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(N) Low</w:t>
            </w:r>
          </w:p>
        </w:tc>
        <w:tc>
          <w:tcPr>
            <w:tcW w:w="1468" w:type="dxa"/>
            <w:shd w:val="clear" w:color="auto" w:fill="auto"/>
          </w:tcPr>
          <w:p w14:paraId="020FBAF9"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(N) High</w:t>
            </w:r>
          </w:p>
        </w:tc>
      </w:tr>
      <w:tr w:rsidR="00FE38ED" w:rsidRPr="006164CE" w14:paraId="77CEA25C" w14:textId="77777777" w:rsidTr="00217246">
        <w:tc>
          <w:tcPr>
            <w:tcW w:w="1273" w:type="dxa"/>
            <w:vMerge/>
            <w:shd w:val="clear" w:color="auto" w:fill="auto"/>
          </w:tcPr>
          <w:p w14:paraId="6790197B" w14:textId="77777777" w:rsidR="00FE38ED" w:rsidRPr="006164CE" w:rsidRDefault="00FE38ED" w:rsidP="00217246">
            <w:pPr>
              <w:spacing w:before="60" w:after="60" w:line="240" w:lineRule="auto"/>
              <w:ind w:left="0"/>
              <w:rPr>
                <w:rFonts w:cs="Arial"/>
                <w:sz w:val="20"/>
                <w:szCs w:val="20"/>
              </w:rPr>
            </w:pPr>
          </w:p>
        </w:tc>
        <w:tc>
          <w:tcPr>
            <w:tcW w:w="1529" w:type="dxa"/>
            <w:vMerge/>
            <w:shd w:val="clear" w:color="auto" w:fill="auto"/>
          </w:tcPr>
          <w:p w14:paraId="1E2E7E1E" w14:textId="77777777" w:rsidR="00FE38ED" w:rsidRPr="006164CE" w:rsidRDefault="00FE38ED" w:rsidP="00217246">
            <w:pPr>
              <w:spacing w:before="60" w:after="60" w:line="240" w:lineRule="auto"/>
              <w:ind w:left="0"/>
              <w:rPr>
                <w:rFonts w:cs="Arial"/>
                <w:sz w:val="20"/>
                <w:szCs w:val="20"/>
              </w:rPr>
            </w:pPr>
          </w:p>
        </w:tc>
        <w:tc>
          <w:tcPr>
            <w:tcW w:w="1417" w:type="dxa"/>
            <w:vMerge/>
            <w:shd w:val="clear" w:color="auto" w:fill="auto"/>
          </w:tcPr>
          <w:p w14:paraId="78A91717" w14:textId="77777777" w:rsidR="00FE38ED" w:rsidRPr="006164CE" w:rsidRDefault="00FE38ED" w:rsidP="00217246">
            <w:pPr>
              <w:spacing w:before="60" w:after="60" w:line="240" w:lineRule="auto"/>
              <w:ind w:left="0"/>
              <w:jc w:val="center"/>
              <w:rPr>
                <w:rFonts w:cs="Arial"/>
                <w:sz w:val="20"/>
                <w:szCs w:val="20"/>
              </w:rPr>
            </w:pPr>
          </w:p>
        </w:tc>
        <w:tc>
          <w:tcPr>
            <w:tcW w:w="1276" w:type="dxa"/>
            <w:vMerge/>
            <w:shd w:val="clear" w:color="auto" w:fill="auto"/>
          </w:tcPr>
          <w:p w14:paraId="09E7D787" w14:textId="77777777" w:rsidR="00FE38ED" w:rsidRPr="006164CE" w:rsidRDefault="00FE38ED" w:rsidP="00217246">
            <w:pPr>
              <w:spacing w:before="60" w:after="60" w:line="240" w:lineRule="auto"/>
              <w:ind w:left="0"/>
              <w:jc w:val="center"/>
              <w:rPr>
                <w:rFonts w:cs="Arial"/>
                <w:sz w:val="20"/>
                <w:szCs w:val="20"/>
              </w:rPr>
            </w:pPr>
          </w:p>
        </w:tc>
        <w:tc>
          <w:tcPr>
            <w:tcW w:w="1559" w:type="dxa"/>
            <w:shd w:val="clear" w:color="auto" w:fill="auto"/>
          </w:tcPr>
          <w:p w14:paraId="1E44076C"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(I) Low</w:t>
            </w:r>
          </w:p>
        </w:tc>
        <w:tc>
          <w:tcPr>
            <w:tcW w:w="1468" w:type="dxa"/>
            <w:shd w:val="clear" w:color="auto" w:fill="auto"/>
          </w:tcPr>
          <w:p w14:paraId="32DD889C"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(I) Moderate</w:t>
            </w:r>
          </w:p>
        </w:tc>
      </w:tr>
      <w:tr w:rsidR="00FE38ED" w:rsidRPr="006164CE" w14:paraId="186A954F" w14:textId="77777777" w:rsidTr="00217246">
        <w:tc>
          <w:tcPr>
            <w:tcW w:w="1273" w:type="dxa"/>
            <w:vMerge/>
            <w:shd w:val="clear" w:color="auto" w:fill="auto"/>
          </w:tcPr>
          <w:p w14:paraId="4D378D85" w14:textId="77777777" w:rsidR="00FE38ED" w:rsidRPr="006164CE" w:rsidRDefault="00FE38ED" w:rsidP="00217246">
            <w:pPr>
              <w:spacing w:before="60" w:after="60" w:line="240" w:lineRule="auto"/>
              <w:ind w:left="0"/>
              <w:rPr>
                <w:rFonts w:cs="Arial"/>
                <w:sz w:val="20"/>
                <w:szCs w:val="20"/>
              </w:rPr>
            </w:pPr>
          </w:p>
        </w:tc>
        <w:tc>
          <w:tcPr>
            <w:tcW w:w="1529" w:type="dxa"/>
            <w:vMerge/>
            <w:shd w:val="clear" w:color="auto" w:fill="auto"/>
          </w:tcPr>
          <w:p w14:paraId="673D08F2" w14:textId="77777777" w:rsidR="00FE38ED" w:rsidRPr="006164CE" w:rsidRDefault="00FE38ED" w:rsidP="00217246">
            <w:pPr>
              <w:spacing w:before="60" w:after="60" w:line="240" w:lineRule="auto"/>
              <w:ind w:left="0"/>
              <w:rPr>
                <w:rFonts w:cs="Arial"/>
                <w:sz w:val="20"/>
                <w:szCs w:val="20"/>
              </w:rPr>
            </w:pPr>
          </w:p>
        </w:tc>
        <w:tc>
          <w:tcPr>
            <w:tcW w:w="1417" w:type="dxa"/>
            <w:vMerge/>
            <w:shd w:val="clear" w:color="auto" w:fill="auto"/>
          </w:tcPr>
          <w:p w14:paraId="2B8D1FC1" w14:textId="77777777" w:rsidR="00FE38ED" w:rsidRPr="006164CE" w:rsidRDefault="00FE38ED" w:rsidP="00217246">
            <w:pPr>
              <w:spacing w:before="60" w:after="60" w:line="240" w:lineRule="auto"/>
              <w:ind w:left="0"/>
              <w:jc w:val="center"/>
              <w:rPr>
                <w:rFonts w:cs="Arial"/>
                <w:sz w:val="20"/>
                <w:szCs w:val="20"/>
              </w:rPr>
            </w:pPr>
          </w:p>
        </w:tc>
        <w:tc>
          <w:tcPr>
            <w:tcW w:w="1276" w:type="dxa"/>
            <w:vMerge/>
            <w:shd w:val="clear" w:color="auto" w:fill="auto"/>
          </w:tcPr>
          <w:p w14:paraId="600801E8" w14:textId="77777777" w:rsidR="00FE38ED" w:rsidRPr="006164CE" w:rsidRDefault="00FE38ED" w:rsidP="00217246">
            <w:pPr>
              <w:spacing w:before="60" w:after="60" w:line="240" w:lineRule="auto"/>
              <w:ind w:left="0"/>
              <w:jc w:val="center"/>
              <w:rPr>
                <w:rFonts w:cs="Arial"/>
                <w:sz w:val="20"/>
                <w:szCs w:val="20"/>
              </w:rPr>
            </w:pPr>
          </w:p>
        </w:tc>
        <w:tc>
          <w:tcPr>
            <w:tcW w:w="1559" w:type="dxa"/>
            <w:shd w:val="clear" w:color="auto" w:fill="auto"/>
          </w:tcPr>
          <w:p w14:paraId="2E3E1678"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 xml:space="preserve"> (F) Low</w:t>
            </w:r>
          </w:p>
        </w:tc>
        <w:tc>
          <w:tcPr>
            <w:tcW w:w="1468" w:type="dxa"/>
            <w:shd w:val="clear" w:color="auto" w:fill="auto"/>
          </w:tcPr>
          <w:p w14:paraId="1EF0D6BB"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 xml:space="preserve"> (F) Low</w:t>
            </w:r>
          </w:p>
        </w:tc>
      </w:tr>
      <w:tr w:rsidR="00FE38ED" w:rsidRPr="006164CE" w14:paraId="3873E457" w14:textId="77777777" w:rsidTr="00217246">
        <w:tc>
          <w:tcPr>
            <w:tcW w:w="1273" w:type="dxa"/>
            <w:vMerge w:val="restart"/>
            <w:shd w:val="clear" w:color="auto" w:fill="auto"/>
          </w:tcPr>
          <w:p w14:paraId="4BEEB537" w14:textId="77777777" w:rsidR="00FE38ED" w:rsidRPr="006164CE" w:rsidRDefault="00FE38ED" w:rsidP="00217246">
            <w:pPr>
              <w:spacing w:before="60" w:after="60" w:line="240" w:lineRule="auto"/>
              <w:ind w:left="0"/>
              <w:rPr>
                <w:rFonts w:cs="Arial"/>
                <w:sz w:val="20"/>
                <w:szCs w:val="20"/>
              </w:rPr>
            </w:pPr>
            <w:r w:rsidRPr="006164CE">
              <w:rPr>
                <w:rFonts w:cs="Arial"/>
                <w:sz w:val="20"/>
                <w:szCs w:val="20"/>
              </w:rPr>
              <w:t>Fish with swim bladder not involved in hearing</w:t>
            </w:r>
          </w:p>
        </w:tc>
        <w:tc>
          <w:tcPr>
            <w:tcW w:w="1529" w:type="dxa"/>
            <w:vMerge w:val="restart"/>
            <w:shd w:val="clear" w:color="auto" w:fill="auto"/>
          </w:tcPr>
          <w:p w14:paraId="1FAADDB1" w14:textId="77777777" w:rsidR="00FE38ED" w:rsidRPr="006164CE" w:rsidRDefault="00FE38ED" w:rsidP="00217246">
            <w:pPr>
              <w:spacing w:before="60" w:after="60" w:line="240" w:lineRule="auto"/>
              <w:ind w:left="0"/>
              <w:rPr>
                <w:rFonts w:cs="Arial"/>
                <w:sz w:val="20"/>
                <w:szCs w:val="20"/>
              </w:rPr>
            </w:pPr>
            <w:r w:rsidRPr="006164CE">
              <w:rPr>
                <w:rFonts w:cs="Arial"/>
                <w:sz w:val="20"/>
                <w:szCs w:val="20"/>
              </w:rPr>
              <w:t xml:space="preserve">210 db 24 hr SEL </w:t>
            </w:r>
            <w:r w:rsidRPr="006164CE">
              <w:rPr>
                <w:rFonts w:cs="Arial"/>
                <w:i/>
                <w:sz w:val="20"/>
                <w:szCs w:val="20"/>
              </w:rPr>
              <w:t>or</w:t>
            </w:r>
            <w:r w:rsidRPr="006164CE">
              <w:rPr>
                <w:rFonts w:cs="Arial"/>
                <w:sz w:val="20"/>
                <w:szCs w:val="20"/>
              </w:rPr>
              <w:t xml:space="preserve"> </w:t>
            </w:r>
            <w:r w:rsidRPr="006164CE">
              <w:rPr>
                <w:rFonts w:cs="Arial"/>
                <w:sz w:val="20"/>
                <w:szCs w:val="20"/>
              </w:rPr>
              <w:br/>
              <w:t>&gt;207 dB peak</w:t>
            </w:r>
          </w:p>
        </w:tc>
        <w:tc>
          <w:tcPr>
            <w:tcW w:w="1417" w:type="dxa"/>
            <w:vMerge w:val="restart"/>
            <w:shd w:val="clear" w:color="auto" w:fill="auto"/>
          </w:tcPr>
          <w:p w14:paraId="7907998D"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 xml:space="preserve">&gt;203 db 24 hr SEL </w:t>
            </w:r>
            <w:r w:rsidRPr="006164CE">
              <w:rPr>
                <w:rFonts w:cs="Arial"/>
                <w:i/>
                <w:sz w:val="20"/>
                <w:szCs w:val="20"/>
              </w:rPr>
              <w:t>or</w:t>
            </w:r>
            <w:r w:rsidRPr="006164CE">
              <w:rPr>
                <w:rFonts w:cs="Arial"/>
                <w:sz w:val="20"/>
                <w:szCs w:val="20"/>
              </w:rPr>
              <w:t xml:space="preserve"> </w:t>
            </w:r>
            <w:r w:rsidRPr="006164CE">
              <w:rPr>
                <w:rFonts w:cs="Arial"/>
                <w:sz w:val="20"/>
                <w:szCs w:val="20"/>
              </w:rPr>
              <w:br/>
              <w:t>&gt;207 dB peak</w:t>
            </w:r>
          </w:p>
        </w:tc>
        <w:tc>
          <w:tcPr>
            <w:tcW w:w="1276" w:type="dxa"/>
            <w:vMerge w:val="restart"/>
            <w:shd w:val="clear" w:color="auto" w:fill="auto"/>
          </w:tcPr>
          <w:p w14:paraId="339AB6A7"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 xml:space="preserve">&gt;186 db </w:t>
            </w:r>
            <w:r>
              <w:rPr>
                <w:rFonts w:cs="Arial"/>
                <w:sz w:val="20"/>
                <w:szCs w:val="20"/>
              </w:rPr>
              <w:br/>
            </w:r>
            <w:r w:rsidRPr="006164CE">
              <w:rPr>
                <w:rFonts w:cs="Arial"/>
                <w:sz w:val="20"/>
                <w:szCs w:val="20"/>
              </w:rPr>
              <w:t xml:space="preserve">24 hr SEL </w:t>
            </w:r>
          </w:p>
        </w:tc>
        <w:tc>
          <w:tcPr>
            <w:tcW w:w="1559" w:type="dxa"/>
            <w:shd w:val="clear" w:color="auto" w:fill="auto"/>
          </w:tcPr>
          <w:p w14:paraId="515DE4E1"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(N) Low</w:t>
            </w:r>
          </w:p>
        </w:tc>
        <w:tc>
          <w:tcPr>
            <w:tcW w:w="1468" w:type="dxa"/>
            <w:shd w:val="clear" w:color="auto" w:fill="auto"/>
          </w:tcPr>
          <w:p w14:paraId="1A227F21"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(N) High</w:t>
            </w:r>
          </w:p>
        </w:tc>
      </w:tr>
      <w:tr w:rsidR="00FE38ED" w:rsidRPr="006164CE" w14:paraId="01DA0975" w14:textId="77777777" w:rsidTr="00217246">
        <w:tc>
          <w:tcPr>
            <w:tcW w:w="1273" w:type="dxa"/>
            <w:vMerge/>
            <w:shd w:val="clear" w:color="auto" w:fill="auto"/>
          </w:tcPr>
          <w:p w14:paraId="510B9ECB" w14:textId="77777777" w:rsidR="00FE38ED" w:rsidRPr="006164CE" w:rsidRDefault="00FE38ED" w:rsidP="00217246">
            <w:pPr>
              <w:spacing w:before="60" w:after="60" w:line="240" w:lineRule="auto"/>
              <w:ind w:left="0"/>
              <w:rPr>
                <w:rFonts w:cs="Arial"/>
                <w:sz w:val="20"/>
                <w:szCs w:val="20"/>
              </w:rPr>
            </w:pPr>
          </w:p>
        </w:tc>
        <w:tc>
          <w:tcPr>
            <w:tcW w:w="1529" w:type="dxa"/>
            <w:vMerge/>
            <w:shd w:val="clear" w:color="auto" w:fill="auto"/>
          </w:tcPr>
          <w:p w14:paraId="45D7ACA2" w14:textId="77777777" w:rsidR="00FE38ED" w:rsidRPr="006164CE" w:rsidRDefault="00FE38ED" w:rsidP="00217246">
            <w:pPr>
              <w:spacing w:before="60" w:after="60" w:line="240" w:lineRule="auto"/>
              <w:ind w:left="0"/>
              <w:rPr>
                <w:rFonts w:cs="Arial"/>
                <w:sz w:val="20"/>
                <w:szCs w:val="20"/>
              </w:rPr>
            </w:pPr>
          </w:p>
        </w:tc>
        <w:tc>
          <w:tcPr>
            <w:tcW w:w="1417" w:type="dxa"/>
            <w:vMerge/>
            <w:shd w:val="clear" w:color="auto" w:fill="auto"/>
          </w:tcPr>
          <w:p w14:paraId="7E06A95A" w14:textId="77777777" w:rsidR="00FE38ED" w:rsidRPr="006164CE" w:rsidRDefault="00FE38ED" w:rsidP="00217246">
            <w:pPr>
              <w:spacing w:before="60" w:after="60" w:line="240" w:lineRule="auto"/>
              <w:ind w:left="0"/>
              <w:jc w:val="center"/>
              <w:rPr>
                <w:rFonts w:cs="Arial"/>
                <w:sz w:val="20"/>
                <w:szCs w:val="20"/>
              </w:rPr>
            </w:pPr>
          </w:p>
        </w:tc>
        <w:tc>
          <w:tcPr>
            <w:tcW w:w="1276" w:type="dxa"/>
            <w:vMerge/>
            <w:shd w:val="clear" w:color="auto" w:fill="auto"/>
          </w:tcPr>
          <w:p w14:paraId="609BCE1D" w14:textId="77777777" w:rsidR="00FE38ED" w:rsidRPr="006164CE" w:rsidRDefault="00FE38ED" w:rsidP="00217246">
            <w:pPr>
              <w:spacing w:before="60" w:after="60" w:line="240" w:lineRule="auto"/>
              <w:ind w:left="0"/>
              <w:jc w:val="center"/>
              <w:rPr>
                <w:rFonts w:cs="Arial"/>
                <w:sz w:val="20"/>
                <w:szCs w:val="20"/>
              </w:rPr>
            </w:pPr>
          </w:p>
        </w:tc>
        <w:tc>
          <w:tcPr>
            <w:tcW w:w="1559" w:type="dxa"/>
            <w:shd w:val="clear" w:color="auto" w:fill="auto"/>
          </w:tcPr>
          <w:p w14:paraId="543F2871"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(I) Low</w:t>
            </w:r>
          </w:p>
        </w:tc>
        <w:tc>
          <w:tcPr>
            <w:tcW w:w="1468" w:type="dxa"/>
            <w:shd w:val="clear" w:color="auto" w:fill="auto"/>
          </w:tcPr>
          <w:p w14:paraId="15FF6533"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(I) Moderate</w:t>
            </w:r>
          </w:p>
        </w:tc>
      </w:tr>
      <w:tr w:rsidR="00FE38ED" w:rsidRPr="006164CE" w14:paraId="285A8D4F" w14:textId="77777777" w:rsidTr="00217246">
        <w:tc>
          <w:tcPr>
            <w:tcW w:w="1273" w:type="dxa"/>
            <w:vMerge/>
            <w:shd w:val="clear" w:color="auto" w:fill="auto"/>
          </w:tcPr>
          <w:p w14:paraId="24A97C43" w14:textId="77777777" w:rsidR="00FE38ED" w:rsidRPr="006164CE" w:rsidRDefault="00FE38ED" w:rsidP="00217246">
            <w:pPr>
              <w:spacing w:before="60" w:after="60" w:line="240" w:lineRule="auto"/>
              <w:ind w:left="0"/>
              <w:rPr>
                <w:rFonts w:cs="Arial"/>
                <w:sz w:val="20"/>
                <w:szCs w:val="20"/>
              </w:rPr>
            </w:pPr>
          </w:p>
        </w:tc>
        <w:tc>
          <w:tcPr>
            <w:tcW w:w="1529" w:type="dxa"/>
            <w:vMerge/>
            <w:shd w:val="clear" w:color="auto" w:fill="auto"/>
          </w:tcPr>
          <w:p w14:paraId="1510D702" w14:textId="77777777" w:rsidR="00FE38ED" w:rsidRPr="006164CE" w:rsidRDefault="00FE38ED" w:rsidP="00217246">
            <w:pPr>
              <w:spacing w:before="60" w:after="60" w:line="240" w:lineRule="auto"/>
              <w:ind w:left="0"/>
              <w:rPr>
                <w:rFonts w:cs="Arial"/>
                <w:sz w:val="20"/>
                <w:szCs w:val="20"/>
              </w:rPr>
            </w:pPr>
          </w:p>
        </w:tc>
        <w:tc>
          <w:tcPr>
            <w:tcW w:w="1417" w:type="dxa"/>
            <w:vMerge/>
            <w:shd w:val="clear" w:color="auto" w:fill="auto"/>
          </w:tcPr>
          <w:p w14:paraId="421528D7" w14:textId="77777777" w:rsidR="00FE38ED" w:rsidRPr="006164CE" w:rsidRDefault="00FE38ED" w:rsidP="00217246">
            <w:pPr>
              <w:spacing w:before="60" w:after="60" w:line="240" w:lineRule="auto"/>
              <w:ind w:left="0"/>
              <w:jc w:val="center"/>
              <w:rPr>
                <w:rFonts w:cs="Arial"/>
                <w:sz w:val="20"/>
                <w:szCs w:val="20"/>
              </w:rPr>
            </w:pPr>
          </w:p>
        </w:tc>
        <w:tc>
          <w:tcPr>
            <w:tcW w:w="1276" w:type="dxa"/>
            <w:vMerge/>
            <w:shd w:val="clear" w:color="auto" w:fill="auto"/>
          </w:tcPr>
          <w:p w14:paraId="40CC9407" w14:textId="77777777" w:rsidR="00FE38ED" w:rsidRPr="006164CE" w:rsidRDefault="00FE38ED" w:rsidP="00217246">
            <w:pPr>
              <w:spacing w:before="60" w:after="60" w:line="240" w:lineRule="auto"/>
              <w:ind w:left="0"/>
              <w:jc w:val="center"/>
              <w:rPr>
                <w:rFonts w:cs="Arial"/>
                <w:sz w:val="20"/>
                <w:szCs w:val="20"/>
              </w:rPr>
            </w:pPr>
          </w:p>
        </w:tc>
        <w:tc>
          <w:tcPr>
            <w:tcW w:w="1559" w:type="dxa"/>
            <w:shd w:val="clear" w:color="auto" w:fill="auto"/>
          </w:tcPr>
          <w:p w14:paraId="035794CF"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 xml:space="preserve"> (F) Low</w:t>
            </w:r>
          </w:p>
        </w:tc>
        <w:tc>
          <w:tcPr>
            <w:tcW w:w="1468" w:type="dxa"/>
            <w:shd w:val="clear" w:color="auto" w:fill="auto"/>
          </w:tcPr>
          <w:p w14:paraId="51F46885"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 xml:space="preserve"> (F) Low</w:t>
            </w:r>
          </w:p>
        </w:tc>
      </w:tr>
      <w:tr w:rsidR="00FE38ED" w:rsidRPr="006164CE" w14:paraId="7386AD9B" w14:textId="77777777" w:rsidTr="00217246">
        <w:tc>
          <w:tcPr>
            <w:tcW w:w="1273" w:type="dxa"/>
            <w:vMerge w:val="restart"/>
            <w:shd w:val="clear" w:color="auto" w:fill="auto"/>
          </w:tcPr>
          <w:p w14:paraId="34EBE51E" w14:textId="77777777" w:rsidR="00FE38ED" w:rsidRPr="006164CE" w:rsidRDefault="00FE38ED" w:rsidP="00217246">
            <w:pPr>
              <w:spacing w:before="60" w:after="60" w:line="240" w:lineRule="auto"/>
              <w:ind w:left="0"/>
              <w:rPr>
                <w:rFonts w:cs="Arial"/>
                <w:sz w:val="20"/>
                <w:szCs w:val="20"/>
              </w:rPr>
            </w:pPr>
            <w:r w:rsidRPr="006164CE">
              <w:rPr>
                <w:rFonts w:cs="Arial"/>
                <w:sz w:val="20"/>
                <w:szCs w:val="20"/>
              </w:rPr>
              <w:t>Fish with swim bladder involved in hearing</w:t>
            </w:r>
          </w:p>
        </w:tc>
        <w:tc>
          <w:tcPr>
            <w:tcW w:w="1529" w:type="dxa"/>
            <w:vMerge w:val="restart"/>
            <w:shd w:val="clear" w:color="auto" w:fill="auto"/>
          </w:tcPr>
          <w:p w14:paraId="58C18C6F" w14:textId="77777777" w:rsidR="00FE38ED" w:rsidRPr="006164CE" w:rsidRDefault="00FE38ED" w:rsidP="00217246">
            <w:pPr>
              <w:spacing w:before="60" w:after="60" w:line="240" w:lineRule="auto"/>
              <w:ind w:left="0"/>
              <w:rPr>
                <w:rFonts w:cs="Arial"/>
                <w:sz w:val="20"/>
                <w:szCs w:val="20"/>
              </w:rPr>
            </w:pPr>
            <w:r w:rsidRPr="006164CE">
              <w:rPr>
                <w:rFonts w:cs="Arial"/>
                <w:sz w:val="20"/>
                <w:szCs w:val="20"/>
              </w:rPr>
              <w:t xml:space="preserve">207 db 24 hr SEL </w:t>
            </w:r>
            <w:r w:rsidRPr="006164CE">
              <w:rPr>
                <w:rFonts w:cs="Arial"/>
                <w:i/>
                <w:sz w:val="20"/>
                <w:szCs w:val="20"/>
              </w:rPr>
              <w:t>or</w:t>
            </w:r>
            <w:r w:rsidRPr="006164CE">
              <w:rPr>
                <w:rFonts w:cs="Arial"/>
                <w:sz w:val="20"/>
                <w:szCs w:val="20"/>
              </w:rPr>
              <w:t xml:space="preserve"> </w:t>
            </w:r>
            <w:r w:rsidRPr="006164CE">
              <w:rPr>
                <w:rFonts w:cs="Arial"/>
                <w:sz w:val="20"/>
                <w:szCs w:val="20"/>
              </w:rPr>
              <w:br/>
              <w:t>&gt;207 dB peak</w:t>
            </w:r>
          </w:p>
        </w:tc>
        <w:tc>
          <w:tcPr>
            <w:tcW w:w="1417" w:type="dxa"/>
            <w:vMerge w:val="restart"/>
            <w:shd w:val="clear" w:color="auto" w:fill="auto"/>
          </w:tcPr>
          <w:p w14:paraId="143564AE"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 xml:space="preserve">&gt;203 db 24 hr SEL </w:t>
            </w:r>
            <w:r w:rsidRPr="006164CE">
              <w:rPr>
                <w:rFonts w:cs="Arial"/>
                <w:i/>
                <w:sz w:val="20"/>
                <w:szCs w:val="20"/>
              </w:rPr>
              <w:t>or</w:t>
            </w:r>
            <w:r w:rsidRPr="006164CE">
              <w:rPr>
                <w:rFonts w:cs="Arial"/>
                <w:sz w:val="20"/>
                <w:szCs w:val="20"/>
              </w:rPr>
              <w:t xml:space="preserve"> </w:t>
            </w:r>
            <w:r w:rsidRPr="006164CE">
              <w:rPr>
                <w:rFonts w:cs="Arial"/>
                <w:sz w:val="20"/>
                <w:szCs w:val="20"/>
              </w:rPr>
              <w:br/>
              <w:t>&gt;207 dB peak</w:t>
            </w:r>
          </w:p>
        </w:tc>
        <w:tc>
          <w:tcPr>
            <w:tcW w:w="1276" w:type="dxa"/>
            <w:vMerge w:val="restart"/>
            <w:shd w:val="clear" w:color="auto" w:fill="auto"/>
          </w:tcPr>
          <w:p w14:paraId="5F641F55"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 xml:space="preserve">&gt;186 db </w:t>
            </w:r>
            <w:r>
              <w:rPr>
                <w:rFonts w:cs="Arial"/>
                <w:sz w:val="20"/>
                <w:szCs w:val="20"/>
              </w:rPr>
              <w:br/>
            </w:r>
            <w:r w:rsidRPr="006164CE">
              <w:rPr>
                <w:rFonts w:cs="Arial"/>
                <w:sz w:val="20"/>
                <w:szCs w:val="20"/>
              </w:rPr>
              <w:t xml:space="preserve">24 hr SEL </w:t>
            </w:r>
          </w:p>
        </w:tc>
        <w:tc>
          <w:tcPr>
            <w:tcW w:w="1559" w:type="dxa"/>
            <w:shd w:val="clear" w:color="auto" w:fill="auto"/>
          </w:tcPr>
          <w:p w14:paraId="1F12DB98"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(N) Low</w:t>
            </w:r>
          </w:p>
        </w:tc>
        <w:tc>
          <w:tcPr>
            <w:tcW w:w="1468" w:type="dxa"/>
            <w:shd w:val="clear" w:color="auto" w:fill="auto"/>
          </w:tcPr>
          <w:p w14:paraId="317F1649"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(N) High</w:t>
            </w:r>
          </w:p>
        </w:tc>
      </w:tr>
      <w:tr w:rsidR="00FE38ED" w:rsidRPr="006164CE" w14:paraId="715D1E4F" w14:textId="77777777" w:rsidTr="00217246">
        <w:tc>
          <w:tcPr>
            <w:tcW w:w="1273" w:type="dxa"/>
            <w:vMerge/>
            <w:shd w:val="clear" w:color="auto" w:fill="auto"/>
          </w:tcPr>
          <w:p w14:paraId="10BF1144" w14:textId="77777777" w:rsidR="00FE38ED" w:rsidRPr="006164CE" w:rsidRDefault="00FE38ED" w:rsidP="00217246">
            <w:pPr>
              <w:spacing w:before="60" w:after="60" w:line="240" w:lineRule="auto"/>
              <w:ind w:left="0"/>
              <w:rPr>
                <w:rFonts w:cs="Arial"/>
                <w:sz w:val="20"/>
                <w:szCs w:val="20"/>
              </w:rPr>
            </w:pPr>
          </w:p>
        </w:tc>
        <w:tc>
          <w:tcPr>
            <w:tcW w:w="1529" w:type="dxa"/>
            <w:vMerge/>
            <w:shd w:val="clear" w:color="auto" w:fill="auto"/>
          </w:tcPr>
          <w:p w14:paraId="0D061E38" w14:textId="77777777" w:rsidR="00FE38ED" w:rsidRPr="006164CE" w:rsidRDefault="00FE38ED" w:rsidP="00217246">
            <w:pPr>
              <w:spacing w:before="60" w:after="60" w:line="240" w:lineRule="auto"/>
              <w:ind w:left="0"/>
              <w:rPr>
                <w:rFonts w:cs="Arial"/>
                <w:sz w:val="20"/>
                <w:szCs w:val="20"/>
              </w:rPr>
            </w:pPr>
          </w:p>
        </w:tc>
        <w:tc>
          <w:tcPr>
            <w:tcW w:w="1417" w:type="dxa"/>
            <w:vMerge/>
            <w:shd w:val="clear" w:color="auto" w:fill="auto"/>
          </w:tcPr>
          <w:p w14:paraId="3EC20CE1" w14:textId="77777777" w:rsidR="00FE38ED" w:rsidRPr="006164CE" w:rsidRDefault="00FE38ED" w:rsidP="00217246">
            <w:pPr>
              <w:spacing w:before="60" w:after="60" w:line="240" w:lineRule="auto"/>
              <w:ind w:left="0"/>
              <w:jc w:val="center"/>
              <w:rPr>
                <w:rFonts w:cs="Arial"/>
                <w:sz w:val="20"/>
                <w:szCs w:val="20"/>
              </w:rPr>
            </w:pPr>
          </w:p>
        </w:tc>
        <w:tc>
          <w:tcPr>
            <w:tcW w:w="1276" w:type="dxa"/>
            <w:vMerge/>
            <w:shd w:val="clear" w:color="auto" w:fill="auto"/>
          </w:tcPr>
          <w:p w14:paraId="3574F8F8" w14:textId="77777777" w:rsidR="00FE38ED" w:rsidRPr="006164CE" w:rsidRDefault="00FE38ED" w:rsidP="00217246">
            <w:pPr>
              <w:spacing w:before="60" w:after="60" w:line="240" w:lineRule="auto"/>
              <w:ind w:left="0"/>
              <w:jc w:val="center"/>
              <w:rPr>
                <w:rFonts w:cs="Arial"/>
                <w:sz w:val="20"/>
                <w:szCs w:val="20"/>
              </w:rPr>
            </w:pPr>
          </w:p>
        </w:tc>
        <w:tc>
          <w:tcPr>
            <w:tcW w:w="1559" w:type="dxa"/>
            <w:shd w:val="clear" w:color="auto" w:fill="auto"/>
          </w:tcPr>
          <w:p w14:paraId="638004C7"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(I) Low</w:t>
            </w:r>
          </w:p>
        </w:tc>
        <w:tc>
          <w:tcPr>
            <w:tcW w:w="1468" w:type="dxa"/>
            <w:shd w:val="clear" w:color="auto" w:fill="auto"/>
          </w:tcPr>
          <w:p w14:paraId="41443975"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(I) High</w:t>
            </w:r>
          </w:p>
        </w:tc>
      </w:tr>
      <w:tr w:rsidR="00FE38ED" w:rsidRPr="006164CE" w14:paraId="31DF5461" w14:textId="77777777" w:rsidTr="00217246">
        <w:tc>
          <w:tcPr>
            <w:tcW w:w="1273" w:type="dxa"/>
            <w:vMerge/>
            <w:tcBorders>
              <w:bottom w:val="single" w:sz="4" w:space="0" w:color="808080"/>
            </w:tcBorders>
            <w:shd w:val="clear" w:color="auto" w:fill="auto"/>
          </w:tcPr>
          <w:p w14:paraId="1C60B09E" w14:textId="77777777" w:rsidR="00FE38ED" w:rsidRPr="006164CE" w:rsidRDefault="00FE38ED" w:rsidP="00217246">
            <w:pPr>
              <w:spacing w:before="60" w:after="60" w:line="240" w:lineRule="auto"/>
              <w:ind w:left="0"/>
              <w:rPr>
                <w:rFonts w:cs="Arial"/>
                <w:sz w:val="20"/>
                <w:szCs w:val="20"/>
              </w:rPr>
            </w:pPr>
          </w:p>
        </w:tc>
        <w:tc>
          <w:tcPr>
            <w:tcW w:w="1529" w:type="dxa"/>
            <w:vMerge/>
            <w:tcBorders>
              <w:bottom w:val="single" w:sz="4" w:space="0" w:color="808080"/>
            </w:tcBorders>
            <w:shd w:val="clear" w:color="auto" w:fill="auto"/>
          </w:tcPr>
          <w:p w14:paraId="446450E0" w14:textId="77777777" w:rsidR="00FE38ED" w:rsidRPr="006164CE" w:rsidRDefault="00FE38ED" w:rsidP="00217246">
            <w:pPr>
              <w:spacing w:before="60" w:after="60" w:line="240" w:lineRule="auto"/>
              <w:ind w:left="0"/>
              <w:rPr>
                <w:rFonts w:cs="Arial"/>
                <w:sz w:val="20"/>
                <w:szCs w:val="20"/>
              </w:rPr>
            </w:pPr>
          </w:p>
        </w:tc>
        <w:tc>
          <w:tcPr>
            <w:tcW w:w="1417" w:type="dxa"/>
            <w:vMerge/>
            <w:tcBorders>
              <w:bottom w:val="single" w:sz="4" w:space="0" w:color="808080"/>
            </w:tcBorders>
            <w:shd w:val="clear" w:color="auto" w:fill="auto"/>
          </w:tcPr>
          <w:p w14:paraId="577F730C" w14:textId="77777777" w:rsidR="00FE38ED" w:rsidRPr="006164CE" w:rsidRDefault="00FE38ED" w:rsidP="00217246">
            <w:pPr>
              <w:spacing w:before="60" w:after="60" w:line="240" w:lineRule="auto"/>
              <w:ind w:left="0"/>
              <w:jc w:val="center"/>
              <w:rPr>
                <w:rFonts w:cs="Arial"/>
                <w:sz w:val="20"/>
                <w:szCs w:val="20"/>
              </w:rPr>
            </w:pPr>
          </w:p>
        </w:tc>
        <w:tc>
          <w:tcPr>
            <w:tcW w:w="1276" w:type="dxa"/>
            <w:vMerge/>
            <w:tcBorders>
              <w:bottom w:val="single" w:sz="4" w:space="0" w:color="808080"/>
            </w:tcBorders>
            <w:shd w:val="clear" w:color="auto" w:fill="auto"/>
          </w:tcPr>
          <w:p w14:paraId="4F6D6CC0" w14:textId="77777777" w:rsidR="00FE38ED" w:rsidRPr="006164CE" w:rsidRDefault="00FE38ED" w:rsidP="00217246">
            <w:pPr>
              <w:spacing w:before="60" w:after="60" w:line="240" w:lineRule="auto"/>
              <w:ind w:left="0"/>
              <w:jc w:val="center"/>
              <w:rPr>
                <w:rFonts w:cs="Arial"/>
                <w:sz w:val="20"/>
                <w:szCs w:val="20"/>
              </w:rPr>
            </w:pPr>
          </w:p>
        </w:tc>
        <w:tc>
          <w:tcPr>
            <w:tcW w:w="1559" w:type="dxa"/>
            <w:tcBorders>
              <w:bottom w:val="single" w:sz="4" w:space="0" w:color="808080"/>
            </w:tcBorders>
            <w:shd w:val="clear" w:color="auto" w:fill="auto"/>
          </w:tcPr>
          <w:p w14:paraId="33F1CFFA"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 xml:space="preserve"> (F) Moderate</w:t>
            </w:r>
          </w:p>
        </w:tc>
        <w:tc>
          <w:tcPr>
            <w:tcW w:w="1468" w:type="dxa"/>
            <w:tcBorders>
              <w:bottom w:val="single" w:sz="4" w:space="0" w:color="808080"/>
            </w:tcBorders>
            <w:shd w:val="clear" w:color="auto" w:fill="auto"/>
          </w:tcPr>
          <w:p w14:paraId="5EC47592" w14:textId="77777777" w:rsidR="00FE38ED" w:rsidRPr="006164CE" w:rsidRDefault="00FE38ED" w:rsidP="00217246">
            <w:pPr>
              <w:spacing w:before="60" w:after="60" w:line="240" w:lineRule="auto"/>
              <w:ind w:left="0"/>
              <w:jc w:val="center"/>
              <w:rPr>
                <w:rFonts w:cs="Arial"/>
                <w:sz w:val="20"/>
                <w:szCs w:val="20"/>
              </w:rPr>
            </w:pPr>
            <w:r w:rsidRPr="006164CE">
              <w:rPr>
                <w:rFonts w:cs="Arial"/>
                <w:sz w:val="20"/>
                <w:szCs w:val="20"/>
              </w:rPr>
              <w:t xml:space="preserve"> (F) Moderate</w:t>
            </w:r>
          </w:p>
        </w:tc>
      </w:tr>
      <w:tr w:rsidR="00FE38ED" w:rsidRPr="006164CE" w14:paraId="533EA14C" w14:textId="77777777" w:rsidTr="00217246">
        <w:tc>
          <w:tcPr>
            <w:tcW w:w="8522" w:type="dxa"/>
            <w:gridSpan w:val="6"/>
            <w:tcBorders>
              <w:left w:val="nil"/>
              <w:bottom w:val="nil"/>
              <w:right w:val="nil"/>
            </w:tcBorders>
            <w:shd w:val="clear" w:color="auto" w:fill="auto"/>
          </w:tcPr>
          <w:p w14:paraId="5FB4EE1E" w14:textId="4348584E" w:rsidR="00FE38ED" w:rsidRPr="0066041A" w:rsidRDefault="00FE38ED" w:rsidP="00217246">
            <w:pPr>
              <w:spacing w:after="60"/>
              <w:ind w:left="0"/>
              <w:rPr>
                <w:rFonts w:cs="Arial"/>
                <w:i/>
                <w:sz w:val="18"/>
                <w:szCs w:val="18"/>
              </w:rPr>
            </w:pPr>
            <w:r w:rsidRPr="0066041A">
              <w:rPr>
                <w:rFonts w:cs="Arial"/>
                <w:i/>
                <w:sz w:val="18"/>
                <w:szCs w:val="18"/>
              </w:rPr>
              <w:t xml:space="preserve">Adapted from Popper </w:t>
            </w:r>
            <w:r w:rsidR="0066041A" w:rsidRPr="0066041A">
              <w:rPr>
                <w:rFonts w:cs="Arial"/>
                <w:i/>
                <w:sz w:val="18"/>
                <w:szCs w:val="18"/>
              </w:rPr>
              <w:t>e</w:t>
            </w:r>
            <w:r w:rsidRPr="0066041A">
              <w:rPr>
                <w:rFonts w:cs="Arial"/>
                <w:i/>
                <w:sz w:val="18"/>
                <w:szCs w:val="18"/>
              </w:rPr>
              <w:t>t al (2014).</w:t>
            </w:r>
          </w:p>
          <w:p w14:paraId="3B1FEFC8" w14:textId="77777777" w:rsidR="00FE38ED" w:rsidRPr="006164CE" w:rsidRDefault="00FE38ED" w:rsidP="00217246">
            <w:pPr>
              <w:spacing w:after="60"/>
              <w:ind w:left="0"/>
              <w:rPr>
                <w:rFonts w:cs="Arial"/>
                <w:sz w:val="20"/>
                <w:szCs w:val="20"/>
                <w:u w:val="single"/>
              </w:rPr>
            </w:pPr>
            <w:r w:rsidRPr="006164CE">
              <w:rPr>
                <w:rFonts w:cs="Arial"/>
                <w:sz w:val="20"/>
                <w:szCs w:val="20"/>
                <w:u w:val="single"/>
              </w:rPr>
              <w:t>Distance from the source</w:t>
            </w:r>
          </w:p>
        </w:tc>
      </w:tr>
      <w:tr w:rsidR="00FE38ED" w:rsidRPr="006164CE" w14:paraId="478D16B6" w14:textId="77777777" w:rsidTr="00217246">
        <w:tc>
          <w:tcPr>
            <w:tcW w:w="8522" w:type="dxa"/>
            <w:gridSpan w:val="6"/>
            <w:tcBorders>
              <w:top w:val="nil"/>
              <w:left w:val="nil"/>
              <w:bottom w:val="nil"/>
              <w:right w:val="nil"/>
            </w:tcBorders>
            <w:shd w:val="clear" w:color="auto" w:fill="auto"/>
          </w:tcPr>
          <w:p w14:paraId="24BED20E" w14:textId="77777777" w:rsidR="00FE38ED" w:rsidRPr="006164CE" w:rsidRDefault="00FE38ED" w:rsidP="00217246">
            <w:pPr>
              <w:spacing w:after="60"/>
              <w:ind w:left="0"/>
              <w:rPr>
                <w:rFonts w:cs="Arial"/>
                <w:sz w:val="20"/>
                <w:szCs w:val="20"/>
              </w:rPr>
            </w:pPr>
            <w:r w:rsidRPr="006164CE">
              <w:rPr>
                <w:rFonts w:cs="Arial"/>
                <w:sz w:val="20"/>
                <w:szCs w:val="20"/>
              </w:rPr>
              <w:t>(N) Near = tens of metres.</w:t>
            </w:r>
          </w:p>
        </w:tc>
      </w:tr>
      <w:tr w:rsidR="00FE38ED" w:rsidRPr="006164CE" w14:paraId="2F4067B8" w14:textId="77777777" w:rsidTr="00217246">
        <w:tc>
          <w:tcPr>
            <w:tcW w:w="8522" w:type="dxa"/>
            <w:gridSpan w:val="6"/>
            <w:tcBorders>
              <w:top w:val="nil"/>
              <w:left w:val="nil"/>
              <w:bottom w:val="nil"/>
              <w:right w:val="nil"/>
            </w:tcBorders>
            <w:shd w:val="clear" w:color="auto" w:fill="auto"/>
          </w:tcPr>
          <w:p w14:paraId="0AAD23BB" w14:textId="77777777" w:rsidR="00FE38ED" w:rsidRPr="006164CE" w:rsidRDefault="00FE38ED" w:rsidP="00217246">
            <w:pPr>
              <w:spacing w:after="60"/>
              <w:ind w:left="0"/>
              <w:rPr>
                <w:rFonts w:cs="Arial"/>
                <w:sz w:val="20"/>
                <w:szCs w:val="20"/>
              </w:rPr>
            </w:pPr>
            <w:r w:rsidRPr="006164CE">
              <w:rPr>
                <w:rFonts w:cs="Arial"/>
                <w:sz w:val="20"/>
                <w:szCs w:val="20"/>
              </w:rPr>
              <w:t>(I) Intermediate = within hundreds of metres.</w:t>
            </w:r>
          </w:p>
        </w:tc>
      </w:tr>
      <w:tr w:rsidR="00FE38ED" w:rsidRPr="006164CE" w14:paraId="75D958FF" w14:textId="77777777" w:rsidTr="00217246">
        <w:tc>
          <w:tcPr>
            <w:tcW w:w="8522" w:type="dxa"/>
            <w:gridSpan w:val="6"/>
            <w:tcBorders>
              <w:top w:val="nil"/>
              <w:left w:val="nil"/>
              <w:bottom w:val="nil"/>
              <w:right w:val="nil"/>
            </w:tcBorders>
            <w:shd w:val="clear" w:color="auto" w:fill="auto"/>
          </w:tcPr>
          <w:p w14:paraId="54D7CCD1" w14:textId="77777777" w:rsidR="00FE38ED" w:rsidRPr="006164CE" w:rsidRDefault="00FE38ED" w:rsidP="00217246">
            <w:pPr>
              <w:spacing w:after="60"/>
              <w:ind w:left="0"/>
              <w:rPr>
                <w:rFonts w:cs="Arial"/>
                <w:sz w:val="20"/>
                <w:szCs w:val="20"/>
              </w:rPr>
            </w:pPr>
            <w:r w:rsidRPr="006164CE">
              <w:rPr>
                <w:rFonts w:cs="Arial"/>
                <w:sz w:val="20"/>
                <w:szCs w:val="20"/>
              </w:rPr>
              <w:t>(F) Far = thousands of metres.</w:t>
            </w:r>
          </w:p>
        </w:tc>
      </w:tr>
    </w:tbl>
    <w:p w14:paraId="52A8E4AA" w14:textId="77777777" w:rsidR="00FE38ED" w:rsidRDefault="00FE38ED" w:rsidP="00534210">
      <w:pPr>
        <w:ind w:left="0"/>
        <w:rPr>
          <w:rFonts w:cs="Arial"/>
          <w:sz w:val="22"/>
          <w:szCs w:val="22"/>
        </w:rPr>
      </w:pPr>
    </w:p>
    <w:p w14:paraId="2ED630AD" w14:textId="64BBB569" w:rsidR="00860306" w:rsidRPr="00A45B0A" w:rsidRDefault="00860306" w:rsidP="00534210">
      <w:pPr>
        <w:ind w:left="0"/>
        <w:rPr>
          <w:rFonts w:cs="Arial"/>
          <w:sz w:val="22"/>
          <w:szCs w:val="22"/>
        </w:rPr>
      </w:pPr>
      <w:r w:rsidRPr="00A45B0A">
        <w:rPr>
          <w:rFonts w:cs="Arial"/>
          <w:sz w:val="22"/>
          <w:szCs w:val="22"/>
        </w:rPr>
        <w:t xml:space="preserve">Underwater noise levels significantly higher than ambient levels can have a negative impact on fish, ranging from physical injury or mortality, to temporary effects on hearing and behavioural disturbance effects. </w:t>
      </w:r>
    </w:p>
    <w:p w14:paraId="3F49AC35" w14:textId="77777777" w:rsidR="00534210" w:rsidRPr="00A45B0A" w:rsidRDefault="00534210" w:rsidP="00534210">
      <w:pPr>
        <w:ind w:left="0"/>
        <w:rPr>
          <w:rFonts w:cs="Arial"/>
          <w:sz w:val="22"/>
          <w:szCs w:val="22"/>
        </w:rPr>
      </w:pPr>
    </w:p>
    <w:p w14:paraId="086030EB" w14:textId="77777777" w:rsidR="007A7C9E" w:rsidRDefault="00B76145" w:rsidP="00534210">
      <w:pPr>
        <w:ind w:left="0"/>
        <w:rPr>
          <w:rFonts w:cs="Arial"/>
          <w:sz w:val="22"/>
          <w:szCs w:val="22"/>
        </w:rPr>
      </w:pPr>
      <w:r w:rsidRPr="00A45B0A">
        <w:rPr>
          <w:rFonts w:cs="Arial"/>
          <w:sz w:val="22"/>
          <w:szCs w:val="22"/>
        </w:rPr>
        <w:t xml:space="preserve">The effects of underwater sound on fish within the vicinity of </w:t>
      </w:r>
      <w:r w:rsidR="00534210" w:rsidRPr="00A45B0A">
        <w:rPr>
          <w:rFonts w:cs="Arial"/>
          <w:sz w:val="22"/>
          <w:szCs w:val="22"/>
        </w:rPr>
        <w:t xml:space="preserve">a source </w:t>
      </w:r>
      <w:r w:rsidRPr="00A45B0A">
        <w:rPr>
          <w:rFonts w:cs="Arial"/>
          <w:sz w:val="22"/>
          <w:szCs w:val="22"/>
        </w:rPr>
        <w:t xml:space="preserve">array will vary depending on the size, age, sex and condition of the receptor among other physiological aspects, and the topography of the benthos, water depth, sound intensity and sound duration. The effect of noise on a receptor may be either </w:t>
      </w:r>
      <w:r w:rsidRPr="00A45B0A">
        <w:rPr>
          <w:rFonts w:cs="Arial"/>
          <w:sz w:val="22"/>
          <w:szCs w:val="22"/>
        </w:rPr>
        <w:lastRenderedPageBreak/>
        <w:t>physiological (e.g.</w:t>
      </w:r>
      <w:r w:rsidR="00534210" w:rsidRPr="00A45B0A">
        <w:rPr>
          <w:rFonts w:cs="Arial"/>
          <w:sz w:val="22"/>
          <w:szCs w:val="22"/>
        </w:rPr>
        <w:t>,</w:t>
      </w:r>
      <w:r w:rsidRPr="00A45B0A">
        <w:rPr>
          <w:rFonts w:cs="Arial"/>
          <w:sz w:val="22"/>
          <w:szCs w:val="22"/>
        </w:rPr>
        <w:t xml:space="preserve"> injury or mortality) or behavioural</w:t>
      </w:r>
      <w:r w:rsidR="007A7C9E" w:rsidRPr="00A45B0A">
        <w:rPr>
          <w:rFonts w:cs="Arial"/>
          <w:sz w:val="22"/>
          <w:szCs w:val="22"/>
        </w:rPr>
        <w:t>, as described in the following sub-sections</w:t>
      </w:r>
      <w:r w:rsidRPr="00A45B0A">
        <w:rPr>
          <w:rFonts w:cs="Arial"/>
          <w:sz w:val="22"/>
          <w:szCs w:val="22"/>
        </w:rPr>
        <w:t xml:space="preserve">. </w:t>
      </w:r>
    </w:p>
    <w:p w14:paraId="5EAB853C" w14:textId="77777777" w:rsidR="00860306" w:rsidRDefault="00860306" w:rsidP="00534210">
      <w:pPr>
        <w:ind w:left="0"/>
        <w:rPr>
          <w:rFonts w:cs="Arial"/>
          <w:sz w:val="22"/>
          <w:szCs w:val="22"/>
        </w:rPr>
      </w:pPr>
    </w:p>
    <w:p w14:paraId="7F66A714" w14:textId="77777777" w:rsidR="0057316C" w:rsidRPr="001F5BC4" w:rsidRDefault="0057316C" w:rsidP="0057316C">
      <w:pPr>
        <w:spacing w:after="120"/>
        <w:ind w:left="0"/>
        <w:rPr>
          <w:rFonts w:cs="Arial"/>
          <w:i/>
          <w:sz w:val="22"/>
          <w:szCs w:val="22"/>
        </w:rPr>
      </w:pPr>
      <w:r w:rsidRPr="001F5BC4">
        <w:rPr>
          <w:rFonts w:cs="Arial"/>
          <w:i/>
          <w:sz w:val="22"/>
          <w:szCs w:val="22"/>
        </w:rPr>
        <w:t>Physiological impacts</w:t>
      </w:r>
    </w:p>
    <w:p w14:paraId="2024A321" w14:textId="319D30D3" w:rsidR="007A7C9E" w:rsidRPr="00C87AAC" w:rsidRDefault="00B76145" w:rsidP="00534210">
      <w:pPr>
        <w:ind w:left="0"/>
        <w:rPr>
          <w:rFonts w:cs="Arial"/>
          <w:sz w:val="22"/>
          <w:szCs w:val="22"/>
        </w:rPr>
      </w:pPr>
      <w:r w:rsidRPr="00C87AAC">
        <w:rPr>
          <w:rFonts w:cs="Arial"/>
          <w:sz w:val="22"/>
          <w:szCs w:val="22"/>
        </w:rPr>
        <w:t xml:space="preserve">Direct physical damage may occur to fish if they approach within a few metres </w:t>
      </w:r>
      <w:r w:rsidR="00BA05A0">
        <w:rPr>
          <w:rFonts w:cs="Arial"/>
          <w:sz w:val="22"/>
          <w:szCs w:val="22"/>
        </w:rPr>
        <w:br/>
      </w:r>
      <w:r w:rsidRPr="00C87AAC">
        <w:rPr>
          <w:rFonts w:cs="Arial"/>
          <w:sz w:val="22"/>
          <w:szCs w:val="22"/>
        </w:rPr>
        <w:t xml:space="preserve">(&lt;5 m) of the seismic source (Gausland, 2000; McCauley </w:t>
      </w:r>
      <w:r w:rsidRPr="00C87AAC">
        <w:rPr>
          <w:rFonts w:cs="Arial"/>
          <w:i/>
          <w:sz w:val="22"/>
          <w:szCs w:val="22"/>
        </w:rPr>
        <w:t>et al</w:t>
      </w:r>
      <w:r w:rsidRPr="00C87AAC">
        <w:rPr>
          <w:rFonts w:cs="Arial"/>
          <w:sz w:val="22"/>
          <w:szCs w:val="22"/>
        </w:rPr>
        <w:t>., 2000</w:t>
      </w:r>
      <w:r w:rsidR="00AB373B">
        <w:rPr>
          <w:rFonts w:cs="Arial"/>
          <w:sz w:val="22"/>
          <w:szCs w:val="22"/>
        </w:rPr>
        <w:t>a</w:t>
      </w:r>
      <w:r w:rsidRPr="00C87AAC">
        <w:rPr>
          <w:rFonts w:cs="Arial"/>
          <w:sz w:val="22"/>
          <w:szCs w:val="22"/>
        </w:rPr>
        <w:t xml:space="preserve">; Parvin </w:t>
      </w:r>
      <w:r w:rsidRPr="00C87AAC">
        <w:rPr>
          <w:rFonts w:cs="Arial"/>
          <w:i/>
          <w:sz w:val="22"/>
          <w:szCs w:val="22"/>
        </w:rPr>
        <w:t>et al</w:t>
      </w:r>
      <w:r w:rsidRPr="00C87AAC">
        <w:rPr>
          <w:rFonts w:cs="Arial"/>
          <w:sz w:val="22"/>
          <w:szCs w:val="22"/>
        </w:rPr>
        <w:t xml:space="preserve">., 2007). </w:t>
      </w:r>
    </w:p>
    <w:p w14:paraId="3892DC04" w14:textId="77777777" w:rsidR="00534210" w:rsidRPr="00C87AAC" w:rsidRDefault="00534210" w:rsidP="00534210">
      <w:pPr>
        <w:ind w:left="0"/>
        <w:rPr>
          <w:rFonts w:cs="Arial"/>
          <w:sz w:val="22"/>
          <w:szCs w:val="22"/>
        </w:rPr>
      </w:pPr>
    </w:p>
    <w:p w14:paraId="4216B42F" w14:textId="102B7722" w:rsidR="00EB6A35" w:rsidRDefault="00B76145" w:rsidP="00534210">
      <w:pPr>
        <w:ind w:left="0"/>
        <w:rPr>
          <w:rFonts w:cs="Arial"/>
          <w:sz w:val="22"/>
          <w:szCs w:val="22"/>
        </w:rPr>
      </w:pPr>
      <w:r w:rsidRPr="00C87AAC">
        <w:rPr>
          <w:rFonts w:cs="Arial"/>
          <w:sz w:val="22"/>
          <w:szCs w:val="22"/>
        </w:rPr>
        <w:t xml:space="preserve">Lethal effects of seismic surveys on fish have not been reported, but those with a swim bladder closely connected to the inner ear are more susceptible than those without (McCauley, 1994). Fish with thin-walled, lightly damped and large swim bladders will be most susceptible to mechanical damage or trauma from seismic </w:t>
      </w:r>
      <w:r w:rsidR="0069708F" w:rsidRPr="00C87AAC">
        <w:rPr>
          <w:rFonts w:cs="Arial"/>
          <w:sz w:val="22"/>
          <w:szCs w:val="22"/>
        </w:rPr>
        <w:t>pulses</w:t>
      </w:r>
      <w:r w:rsidRPr="00C87AAC">
        <w:rPr>
          <w:rFonts w:cs="Arial"/>
          <w:sz w:val="22"/>
          <w:szCs w:val="22"/>
        </w:rPr>
        <w:t xml:space="preserve">. Other fish, including the elasmobranchs (sharks and rays), family Scombridae (mackerels and tuna) and many of the flatfish and flounder species do not possess a swim bladder and so are not susceptible to swim bladder-induced trauma (McCauley, </w:t>
      </w:r>
      <w:r w:rsidRPr="003162FF">
        <w:rPr>
          <w:rFonts w:cs="Arial"/>
          <w:sz w:val="22"/>
          <w:szCs w:val="22"/>
        </w:rPr>
        <w:t xml:space="preserve">1994). </w:t>
      </w:r>
      <w:r w:rsidR="00EB6A35" w:rsidRPr="00EF4E2A">
        <w:rPr>
          <w:rFonts w:cs="Arial"/>
          <w:sz w:val="22"/>
          <w:szCs w:val="22"/>
        </w:rPr>
        <w:t>Table 7.</w:t>
      </w:r>
      <w:r w:rsidR="00BA05A0" w:rsidRPr="00EF4E2A">
        <w:rPr>
          <w:rFonts w:cs="Arial"/>
          <w:sz w:val="22"/>
          <w:szCs w:val="22"/>
        </w:rPr>
        <w:t>8</w:t>
      </w:r>
      <w:r w:rsidR="00EB6A35" w:rsidRPr="00EF4E2A">
        <w:rPr>
          <w:rFonts w:cs="Arial"/>
          <w:sz w:val="22"/>
          <w:szCs w:val="22"/>
        </w:rPr>
        <w:t xml:space="preserve"> presents a summary from Carroll et al (201</w:t>
      </w:r>
      <w:r w:rsidR="004D795E" w:rsidRPr="00EF4E2A">
        <w:rPr>
          <w:rFonts w:cs="Arial"/>
          <w:sz w:val="22"/>
          <w:szCs w:val="22"/>
        </w:rPr>
        <w:t>7</w:t>
      </w:r>
      <w:r w:rsidR="00EB6A35" w:rsidRPr="00EF4E2A">
        <w:rPr>
          <w:rFonts w:cs="Arial"/>
          <w:sz w:val="22"/>
          <w:szCs w:val="22"/>
        </w:rPr>
        <w:t>) for investigations into the impacts</w:t>
      </w:r>
      <w:r w:rsidR="00EB6A35" w:rsidRPr="003162FF">
        <w:rPr>
          <w:rFonts w:cs="Arial"/>
          <w:sz w:val="22"/>
          <w:szCs w:val="22"/>
        </w:rPr>
        <w:t xml:space="preserve"> of seismic</w:t>
      </w:r>
      <w:r w:rsidR="00EB6A35">
        <w:rPr>
          <w:rFonts w:cs="Arial"/>
          <w:sz w:val="22"/>
          <w:szCs w:val="22"/>
        </w:rPr>
        <w:t xml:space="preserve"> airgun sound on fish</w:t>
      </w:r>
      <w:r w:rsidR="00932B01">
        <w:rPr>
          <w:rFonts w:cs="Arial"/>
          <w:sz w:val="22"/>
          <w:szCs w:val="22"/>
        </w:rPr>
        <w:t xml:space="preserve">, which supports the assertion that lethal effects of seismic surveys on fish have not been observed. </w:t>
      </w:r>
      <w:r w:rsidR="00BA05A0">
        <w:rPr>
          <w:rFonts w:cs="Arial"/>
          <w:sz w:val="22"/>
          <w:szCs w:val="22"/>
        </w:rPr>
        <w:t>T</w:t>
      </w:r>
      <w:r w:rsidR="00932B01">
        <w:rPr>
          <w:rFonts w:cs="Arial"/>
          <w:sz w:val="22"/>
          <w:szCs w:val="22"/>
        </w:rPr>
        <w:t xml:space="preserve">his table has been edited by JASCO to revise sound units. </w:t>
      </w:r>
    </w:p>
    <w:p w14:paraId="4A0B1423" w14:textId="77777777" w:rsidR="00277333" w:rsidRDefault="00277333" w:rsidP="00534210">
      <w:pPr>
        <w:ind w:left="0"/>
        <w:rPr>
          <w:rFonts w:cs="Arial"/>
          <w:sz w:val="22"/>
          <w:szCs w:val="22"/>
        </w:rPr>
      </w:pPr>
    </w:p>
    <w:p w14:paraId="58B38309" w14:textId="26B77239" w:rsidR="0057316C" w:rsidRPr="001F5BC4" w:rsidRDefault="007A7C9E" w:rsidP="0057316C">
      <w:pPr>
        <w:spacing w:after="120"/>
        <w:ind w:left="0"/>
        <w:rPr>
          <w:rFonts w:cs="Arial"/>
          <w:i/>
          <w:sz w:val="22"/>
          <w:szCs w:val="22"/>
        </w:rPr>
      </w:pPr>
      <w:r w:rsidRPr="001F5BC4">
        <w:rPr>
          <w:rFonts w:cs="Arial"/>
          <w:i/>
          <w:sz w:val="22"/>
          <w:szCs w:val="22"/>
        </w:rPr>
        <w:t>Behavioural impacts</w:t>
      </w:r>
      <w:r w:rsidR="006D0683">
        <w:rPr>
          <w:rFonts w:cs="Arial"/>
          <w:i/>
          <w:sz w:val="22"/>
          <w:szCs w:val="22"/>
        </w:rPr>
        <w:t xml:space="preserve"> </w:t>
      </w:r>
    </w:p>
    <w:p w14:paraId="79B6CBE7" w14:textId="6AEAAC61" w:rsidR="00B76145" w:rsidRPr="00C87AAC" w:rsidRDefault="00B76145" w:rsidP="007A7C9E">
      <w:pPr>
        <w:ind w:left="0"/>
        <w:rPr>
          <w:rFonts w:cs="Arial"/>
          <w:sz w:val="22"/>
          <w:szCs w:val="22"/>
        </w:rPr>
      </w:pPr>
      <w:r w:rsidRPr="00C87AAC">
        <w:rPr>
          <w:rFonts w:cs="Arial"/>
          <w:sz w:val="22"/>
          <w:szCs w:val="22"/>
        </w:rPr>
        <w:t xml:space="preserve">Gausland (2000) postulates that while seismic airgun operation causes little direct physical damage to fish at distances greater than 1-2 m from the source, it is evident that fish respond to sounds emitted from airguns, and that avoidance seems to be the primary response for all species. </w:t>
      </w:r>
    </w:p>
    <w:p w14:paraId="74B962BD" w14:textId="77777777" w:rsidR="007A7C9E" w:rsidRPr="00C87AAC" w:rsidRDefault="007A7C9E" w:rsidP="007A7C9E">
      <w:pPr>
        <w:ind w:left="0"/>
        <w:rPr>
          <w:rFonts w:cs="Arial"/>
          <w:sz w:val="22"/>
          <w:szCs w:val="22"/>
        </w:rPr>
      </w:pPr>
    </w:p>
    <w:p w14:paraId="1C98DC2C" w14:textId="77777777" w:rsidR="006D0683" w:rsidRDefault="006D0683" w:rsidP="006D0683">
      <w:pPr>
        <w:pStyle w:val="ColorfulList-Accent11"/>
        <w:rPr>
          <w:rFonts w:cs="Arial"/>
          <w:sz w:val="22"/>
          <w:szCs w:val="22"/>
        </w:rPr>
        <w:sectPr w:rsidR="006D0683" w:rsidSect="00891DE1">
          <w:pgSz w:w="11906" w:h="16838" w:code="9"/>
          <w:pgMar w:top="840" w:right="2267" w:bottom="1440" w:left="1800" w:header="994" w:footer="706" w:gutter="0"/>
          <w:cols w:space="708"/>
          <w:docGrid w:linePitch="360"/>
        </w:sectPr>
      </w:pPr>
    </w:p>
    <w:p w14:paraId="3605411D" w14:textId="6E85FBBC" w:rsidR="0061430D" w:rsidRPr="0061430D" w:rsidRDefault="0061430D" w:rsidP="0061430D">
      <w:pPr>
        <w:pStyle w:val="ColorfulList-Accent11"/>
        <w:spacing w:after="120" w:line="240" w:lineRule="auto"/>
        <w:jc w:val="center"/>
        <w:rPr>
          <w:rFonts w:cs="Arial"/>
          <w:b/>
          <w:sz w:val="20"/>
          <w:szCs w:val="20"/>
        </w:rPr>
      </w:pPr>
      <w:r w:rsidRPr="0061430D">
        <w:rPr>
          <w:rFonts w:cs="Arial"/>
          <w:b/>
          <w:sz w:val="20"/>
          <w:szCs w:val="20"/>
        </w:rPr>
        <w:lastRenderedPageBreak/>
        <w:t>Table 7.</w:t>
      </w:r>
      <w:r w:rsidR="00363C4E">
        <w:rPr>
          <w:rFonts w:cs="Arial"/>
          <w:b/>
          <w:sz w:val="20"/>
          <w:szCs w:val="20"/>
        </w:rPr>
        <w:t>8</w:t>
      </w:r>
      <w:r w:rsidRPr="0061430D">
        <w:rPr>
          <w:rFonts w:cs="Arial"/>
          <w:b/>
          <w:sz w:val="20"/>
          <w:szCs w:val="20"/>
        </w:rPr>
        <w:t>.</w:t>
      </w:r>
      <w:r w:rsidRPr="0061430D">
        <w:rPr>
          <w:rFonts w:cs="Arial"/>
          <w:b/>
          <w:sz w:val="20"/>
          <w:szCs w:val="20"/>
        </w:rPr>
        <w:tab/>
        <w:t>A summary of the studies conducted on the effects of seismic surveys on fish mortality</w:t>
      </w:r>
    </w:p>
    <w:tbl>
      <w:tblPr>
        <w:tblW w:w="14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1900"/>
        <w:gridCol w:w="1276"/>
        <w:gridCol w:w="1701"/>
        <w:gridCol w:w="1467"/>
        <w:gridCol w:w="1753"/>
        <w:gridCol w:w="2256"/>
        <w:gridCol w:w="1548"/>
        <w:gridCol w:w="2360"/>
      </w:tblGrid>
      <w:tr w:rsidR="00D1722C" w:rsidRPr="001008E7" w14:paraId="12A5AD10" w14:textId="77777777" w:rsidTr="00966786">
        <w:trPr>
          <w:cantSplit/>
          <w:tblHeader/>
        </w:trPr>
        <w:tc>
          <w:tcPr>
            <w:tcW w:w="1900" w:type="dxa"/>
            <w:shd w:val="clear" w:color="auto" w:fill="064EA8"/>
          </w:tcPr>
          <w:p w14:paraId="6A2AE2F3" w14:textId="77777777" w:rsidR="00D1722C" w:rsidRPr="0061430D" w:rsidRDefault="00D1722C" w:rsidP="00D1722C">
            <w:pPr>
              <w:pStyle w:val="TableParagraph"/>
              <w:rPr>
                <w:rFonts w:ascii="Arial" w:hAnsi="Arial"/>
                <w:color w:val="FFFFFF" w:themeColor="background1"/>
                <w:spacing w:val="-1"/>
                <w:sz w:val="20"/>
              </w:rPr>
            </w:pPr>
            <w:r w:rsidRPr="0061430D">
              <w:rPr>
                <w:rFonts w:ascii="Arial" w:hAnsi="Arial"/>
                <w:color w:val="FFFFFF" w:themeColor="background1"/>
                <w:spacing w:val="-1"/>
                <w:sz w:val="20"/>
              </w:rPr>
              <w:t>Organism</w:t>
            </w:r>
          </w:p>
        </w:tc>
        <w:tc>
          <w:tcPr>
            <w:tcW w:w="1276" w:type="dxa"/>
            <w:shd w:val="clear" w:color="auto" w:fill="064EA8"/>
          </w:tcPr>
          <w:p w14:paraId="0A5177E5" w14:textId="77777777" w:rsidR="00D1722C" w:rsidRPr="0061430D" w:rsidRDefault="00D1722C" w:rsidP="0061430D">
            <w:pPr>
              <w:pStyle w:val="TableParagraph"/>
              <w:jc w:val="center"/>
              <w:rPr>
                <w:rFonts w:ascii="Arial" w:hAnsi="Arial"/>
                <w:color w:val="FFFFFF" w:themeColor="background1"/>
                <w:spacing w:val="-1"/>
                <w:sz w:val="20"/>
              </w:rPr>
            </w:pPr>
            <w:r w:rsidRPr="0061430D">
              <w:rPr>
                <w:rFonts w:ascii="Arial" w:hAnsi="Arial"/>
                <w:color w:val="FFFFFF" w:themeColor="background1"/>
                <w:spacing w:val="-1"/>
                <w:sz w:val="20"/>
              </w:rPr>
              <w:t>Source</w:t>
            </w:r>
          </w:p>
        </w:tc>
        <w:tc>
          <w:tcPr>
            <w:tcW w:w="1701" w:type="dxa"/>
            <w:shd w:val="clear" w:color="auto" w:fill="064EA8"/>
          </w:tcPr>
          <w:p w14:paraId="72714A14" w14:textId="77777777" w:rsidR="00D1722C" w:rsidRPr="0061430D" w:rsidRDefault="00D1722C" w:rsidP="0061430D">
            <w:pPr>
              <w:pStyle w:val="TableParagraph"/>
              <w:jc w:val="center"/>
              <w:rPr>
                <w:rFonts w:ascii="Arial" w:eastAsia="Arial" w:hAnsi="Arial" w:cs="Arial"/>
                <w:color w:val="FFFFFF" w:themeColor="background1"/>
                <w:sz w:val="20"/>
                <w:szCs w:val="18"/>
              </w:rPr>
            </w:pPr>
            <w:r w:rsidRPr="0061430D">
              <w:rPr>
                <w:rFonts w:ascii="Arial" w:hAnsi="Arial"/>
                <w:color w:val="FFFFFF" w:themeColor="background1"/>
                <w:spacing w:val="-1"/>
                <w:sz w:val="20"/>
              </w:rPr>
              <w:t>Source</w:t>
            </w:r>
            <w:r w:rsidRPr="0061430D">
              <w:rPr>
                <w:rFonts w:ascii="Arial" w:hAnsi="Arial"/>
                <w:color w:val="FFFFFF" w:themeColor="background1"/>
                <w:spacing w:val="25"/>
                <w:sz w:val="20"/>
              </w:rPr>
              <w:t xml:space="preserve"> </w:t>
            </w:r>
            <w:r w:rsidRPr="0061430D">
              <w:rPr>
                <w:rFonts w:ascii="Arial" w:hAnsi="Arial"/>
                <w:color w:val="FFFFFF" w:themeColor="background1"/>
                <w:spacing w:val="-2"/>
                <w:sz w:val="20"/>
              </w:rPr>
              <w:t>levels</w:t>
            </w:r>
          </w:p>
        </w:tc>
        <w:tc>
          <w:tcPr>
            <w:tcW w:w="1467" w:type="dxa"/>
            <w:shd w:val="clear" w:color="auto" w:fill="064EA8"/>
          </w:tcPr>
          <w:p w14:paraId="7F33E2D0" w14:textId="77777777" w:rsidR="00D1722C" w:rsidRPr="0061430D" w:rsidRDefault="00D1722C" w:rsidP="0061430D">
            <w:pPr>
              <w:pStyle w:val="TableParagraph"/>
              <w:jc w:val="center"/>
              <w:rPr>
                <w:rFonts w:ascii="Arial" w:eastAsia="Arial" w:hAnsi="Arial" w:cs="Arial"/>
                <w:color w:val="FFFFFF" w:themeColor="background1"/>
                <w:sz w:val="20"/>
                <w:szCs w:val="18"/>
              </w:rPr>
            </w:pPr>
            <w:r w:rsidRPr="0061430D">
              <w:rPr>
                <w:rFonts w:ascii="Arial" w:hAnsi="Arial"/>
                <w:color w:val="FFFFFF" w:themeColor="background1"/>
                <w:spacing w:val="-1"/>
                <w:sz w:val="20"/>
              </w:rPr>
              <w:t>Distance of receptor from source</w:t>
            </w:r>
          </w:p>
        </w:tc>
        <w:tc>
          <w:tcPr>
            <w:tcW w:w="1753" w:type="dxa"/>
            <w:shd w:val="clear" w:color="auto" w:fill="064EA8"/>
          </w:tcPr>
          <w:p w14:paraId="04914804" w14:textId="77777777" w:rsidR="00D1722C" w:rsidRPr="0061430D" w:rsidRDefault="00D1722C" w:rsidP="0061430D">
            <w:pPr>
              <w:pStyle w:val="TableParagraph"/>
              <w:jc w:val="center"/>
              <w:rPr>
                <w:rFonts w:ascii="Arial" w:hAnsi="Arial"/>
                <w:color w:val="FFFFFF" w:themeColor="background1"/>
                <w:spacing w:val="-1"/>
                <w:sz w:val="20"/>
              </w:rPr>
            </w:pPr>
            <w:r w:rsidRPr="0061430D">
              <w:rPr>
                <w:rFonts w:ascii="Arial" w:hAnsi="Arial"/>
                <w:color w:val="FFFFFF" w:themeColor="background1"/>
                <w:spacing w:val="-2"/>
                <w:sz w:val="20"/>
              </w:rPr>
              <w:t>Received</w:t>
            </w:r>
            <w:r w:rsidRPr="0061430D">
              <w:rPr>
                <w:rFonts w:ascii="Arial" w:hAnsi="Arial"/>
                <w:color w:val="FFFFFF" w:themeColor="background1"/>
                <w:spacing w:val="26"/>
                <w:sz w:val="20"/>
              </w:rPr>
              <w:t xml:space="preserve"> </w:t>
            </w:r>
            <w:r w:rsidRPr="0061430D">
              <w:rPr>
                <w:rFonts w:ascii="Arial" w:hAnsi="Arial"/>
                <w:color w:val="FFFFFF" w:themeColor="background1"/>
                <w:spacing w:val="-2"/>
                <w:sz w:val="20"/>
              </w:rPr>
              <w:t>levels</w:t>
            </w:r>
            <w:r w:rsidRPr="0061430D">
              <w:rPr>
                <w:rFonts w:ascii="Arial" w:hAnsi="Arial"/>
                <w:color w:val="FFFFFF" w:themeColor="background1"/>
                <w:spacing w:val="25"/>
                <w:sz w:val="20"/>
              </w:rPr>
              <w:t xml:space="preserve"> </w:t>
            </w:r>
          </w:p>
        </w:tc>
        <w:tc>
          <w:tcPr>
            <w:tcW w:w="2256" w:type="dxa"/>
            <w:shd w:val="clear" w:color="auto" w:fill="064EA8"/>
          </w:tcPr>
          <w:p w14:paraId="54847E12" w14:textId="77777777" w:rsidR="00D1722C" w:rsidRPr="0061430D" w:rsidRDefault="00D1722C" w:rsidP="0061430D">
            <w:pPr>
              <w:pStyle w:val="TableParagraph"/>
              <w:jc w:val="center"/>
              <w:rPr>
                <w:rFonts w:ascii="Arial" w:eastAsia="Arial" w:hAnsi="Arial" w:cs="Arial"/>
                <w:color w:val="FFFFFF" w:themeColor="background1"/>
                <w:sz w:val="20"/>
                <w:szCs w:val="20"/>
              </w:rPr>
            </w:pPr>
            <w:r w:rsidRPr="0061430D">
              <w:rPr>
                <w:rFonts w:ascii="Arial" w:hAnsi="Arial"/>
                <w:color w:val="FFFFFF" w:themeColor="background1"/>
                <w:spacing w:val="-1"/>
                <w:sz w:val="20"/>
              </w:rPr>
              <w:t>Results</w:t>
            </w:r>
          </w:p>
        </w:tc>
        <w:tc>
          <w:tcPr>
            <w:tcW w:w="1548" w:type="dxa"/>
            <w:shd w:val="clear" w:color="auto" w:fill="064EA8"/>
          </w:tcPr>
          <w:p w14:paraId="79E5505A" w14:textId="77777777" w:rsidR="00D1722C" w:rsidRPr="0061430D" w:rsidRDefault="00D1722C" w:rsidP="0061430D">
            <w:pPr>
              <w:pStyle w:val="TableParagraph"/>
              <w:rPr>
                <w:rFonts w:ascii="Arial" w:eastAsia="Arial" w:hAnsi="Arial" w:cs="Arial"/>
                <w:color w:val="FFFFFF" w:themeColor="background1"/>
                <w:sz w:val="20"/>
                <w:szCs w:val="20"/>
              </w:rPr>
            </w:pPr>
            <w:r w:rsidRPr="0061430D">
              <w:rPr>
                <w:rFonts w:ascii="Arial" w:hAnsi="Arial"/>
                <w:color w:val="FFFFFF" w:themeColor="background1"/>
                <w:spacing w:val="-1"/>
                <w:sz w:val="20"/>
              </w:rPr>
              <w:t>Reference</w:t>
            </w:r>
          </w:p>
        </w:tc>
        <w:tc>
          <w:tcPr>
            <w:tcW w:w="2360" w:type="dxa"/>
            <w:shd w:val="clear" w:color="auto" w:fill="064EA8"/>
          </w:tcPr>
          <w:p w14:paraId="6D488866" w14:textId="5F4CCEC3" w:rsidR="00D1722C" w:rsidRPr="0061430D" w:rsidRDefault="00D1722C" w:rsidP="00966786">
            <w:pPr>
              <w:pStyle w:val="TableParagraph"/>
              <w:rPr>
                <w:rFonts w:ascii="Arial" w:hAnsi="Arial"/>
                <w:color w:val="FFFFFF" w:themeColor="background1"/>
                <w:spacing w:val="-1"/>
                <w:sz w:val="20"/>
              </w:rPr>
            </w:pPr>
            <w:r w:rsidRPr="0061430D">
              <w:rPr>
                <w:rFonts w:ascii="Arial" w:hAnsi="Arial"/>
                <w:color w:val="FFFFFF" w:themeColor="background1"/>
                <w:spacing w:val="-1"/>
                <w:sz w:val="20"/>
              </w:rPr>
              <w:t>Relevance to Pelican 3D</w:t>
            </w:r>
            <w:r w:rsidR="00966786">
              <w:rPr>
                <w:rFonts w:ascii="Arial" w:hAnsi="Arial"/>
                <w:color w:val="FFFFFF" w:themeColor="background1"/>
                <w:spacing w:val="-1"/>
                <w:sz w:val="20"/>
              </w:rPr>
              <w:t>MSS</w:t>
            </w:r>
          </w:p>
        </w:tc>
      </w:tr>
      <w:tr w:rsidR="00D1722C" w:rsidRPr="001008E7" w14:paraId="1DBE2B08" w14:textId="77777777" w:rsidTr="00966786">
        <w:tc>
          <w:tcPr>
            <w:tcW w:w="1900" w:type="dxa"/>
          </w:tcPr>
          <w:p w14:paraId="18988F80" w14:textId="77777777" w:rsidR="00D1722C" w:rsidRDefault="00D1722C" w:rsidP="00D1722C">
            <w:pPr>
              <w:autoSpaceDE w:val="0"/>
              <w:autoSpaceDN w:val="0"/>
              <w:adjustRightInd w:val="0"/>
              <w:ind w:left="0"/>
              <w:rPr>
                <w:rFonts w:ascii="AdvOT82c4f4c4" w:hAnsi="AdvOT82c4f4c4" w:cs="AdvOT82c4f4c4"/>
                <w:sz w:val="19"/>
                <w:szCs w:val="19"/>
              </w:rPr>
            </w:pPr>
            <w:r>
              <w:rPr>
                <w:rFonts w:ascii="AdvOT82c4f4c4" w:hAnsi="AdvOT82c4f4c4" w:cs="AdvOT82c4f4c4"/>
                <w:sz w:val="19"/>
                <w:szCs w:val="19"/>
              </w:rPr>
              <w:t>Pallid sturgeon (</w:t>
            </w:r>
            <w:r w:rsidRPr="009D7174">
              <w:rPr>
                <w:rFonts w:ascii="AdvTT7d4973e5.I" w:hAnsi="AdvTT7d4973e5.I" w:cs="AdvTT7d4973e5.I"/>
                <w:i/>
                <w:sz w:val="19"/>
                <w:szCs w:val="19"/>
              </w:rPr>
              <w:t>Scaphirhynchus albus</w:t>
            </w:r>
            <w:r>
              <w:rPr>
                <w:rFonts w:ascii="AdvOT82c4f4c4" w:hAnsi="AdvOT82c4f4c4" w:cs="AdvOT82c4f4c4"/>
                <w:sz w:val="19"/>
                <w:szCs w:val="19"/>
              </w:rPr>
              <w:t>) and on Paddlefish</w:t>
            </w:r>
          </w:p>
          <w:p w14:paraId="2FC5D25B" w14:textId="77777777" w:rsidR="00D1722C" w:rsidRPr="001C69C8" w:rsidRDefault="00D1722C" w:rsidP="00D1722C">
            <w:pPr>
              <w:ind w:left="0"/>
              <w:rPr>
                <w:rFonts w:cs="Arial"/>
                <w:sz w:val="20"/>
              </w:rPr>
            </w:pPr>
            <w:r>
              <w:rPr>
                <w:rFonts w:ascii="AdvOT82c4f4c4" w:hAnsi="AdvOT82c4f4c4" w:cs="AdvOT82c4f4c4"/>
                <w:sz w:val="19"/>
                <w:szCs w:val="19"/>
              </w:rPr>
              <w:t>(</w:t>
            </w:r>
            <w:r w:rsidRPr="009D7174">
              <w:rPr>
                <w:rFonts w:ascii="AdvTT7d4973e5.I" w:hAnsi="AdvTT7d4973e5.I" w:cs="AdvTT7d4973e5.I"/>
                <w:i/>
                <w:sz w:val="19"/>
                <w:szCs w:val="19"/>
              </w:rPr>
              <w:t>Polyodon spathula</w:t>
            </w:r>
            <w:r>
              <w:rPr>
                <w:rFonts w:ascii="AdvOT82c4f4c4" w:hAnsi="AdvOT82c4f4c4" w:cs="AdvOT82c4f4c4"/>
                <w:sz w:val="19"/>
                <w:szCs w:val="19"/>
              </w:rPr>
              <w:t>)</w:t>
            </w:r>
            <w:r w:rsidRPr="00BA05A0">
              <w:rPr>
                <w:rFonts w:ascii="AdvOT82c4f4c4" w:hAnsi="AdvOT82c4f4c4" w:cs="AdvOT82c4f4c4"/>
                <w:sz w:val="19"/>
                <w:szCs w:val="19"/>
                <w:vertAlign w:val="superscript"/>
              </w:rPr>
              <w:t>+</w:t>
            </w:r>
          </w:p>
        </w:tc>
        <w:tc>
          <w:tcPr>
            <w:tcW w:w="1276" w:type="dxa"/>
          </w:tcPr>
          <w:p w14:paraId="1B4ADCFE" w14:textId="1911AB5F" w:rsidR="00D1722C" w:rsidRDefault="00D1722C" w:rsidP="00D1722C">
            <w:pPr>
              <w:pStyle w:val="TableParagraph"/>
              <w:rPr>
                <w:rFonts w:ascii="Arial" w:hAnsi="Arial"/>
                <w:spacing w:val="-1"/>
                <w:sz w:val="20"/>
              </w:rPr>
            </w:pPr>
            <w:r>
              <w:rPr>
                <w:rFonts w:ascii="Arial" w:hAnsi="Arial"/>
                <w:spacing w:val="-1"/>
                <w:sz w:val="20"/>
              </w:rPr>
              <w:t>620 cui</w:t>
            </w:r>
            <w:r w:rsidR="006C28BB">
              <w:rPr>
                <w:rFonts w:ascii="Arial" w:hAnsi="Arial"/>
                <w:spacing w:val="-1"/>
                <w:sz w:val="20"/>
              </w:rPr>
              <w:t xml:space="preserve"> airguns</w:t>
            </w:r>
          </w:p>
        </w:tc>
        <w:tc>
          <w:tcPr>
            <w:tcW w:w="1701" w:type="dxa"/>
          </w:tcPr>
          <w:p w14:paraId="220CBD63" w14:textId="51C699F0" w:rsidR="00D1722C" w:rsidRPr="001C69C8" w:rsidRDefault="00D1722C" w:rsidP="006C28BB">
            <w:pPr>
              <w:pStyle w:val="TableParagraph"/>
              <w:rPr>
                <w:rFonts w:ascii="Arial" w:hAnsi="Arial"/>
                <w:sz w:val="20"/>
              </w:rPr>
            </w:pPr>
            <w:r>
              <w:rPr>
                <w:rFonts w:ascii="Arial" w:hAnsi="Arial"/>
                <w:sz w:val="20"/>
              </w:rPr>
              <w:t xml:space="preserve">Not </w:t>
            </w:r>
            <w:r w:rsidR="006C28BB">
              <w:rPr>
                <w:rFonts w:ascii="Arial" w:hAnsi="Arial"/>
                <w:sz w:val="20"/>
              </w:rPr>
              <w:t>r</w:t>
            </w:r>
            <w:r>
              <w:rPr>
                <w:rFonts w:ascii="Arial" w:hAnsi="Arial"/>
                <w:sz w:val="20"/>
              </w:rPr>
              <w:t xml:space="preserve">elevant, </w:t>
            </w:r>
            <w:r w:rsidR="006C28BB">
              <w:rPr>
                <w:rFonts w:ascii="Arial" w:hAnsi="Arial"/>
                <w:sz w:val="20"/>
              </w:rPr>
              <w:br/>
              <w:t>n</w:t>
            </w:r>
            <w:r>
              <w:rPr>
                <w:rFonts w:ascii="Arial" w:hAnsi="Arial"/>
                <w:sz w:val="20"/>
              </w:rPr>
              <w:t>ot shown</w:t>
            </w:r>
          </w:p>
        </w:tc>
        <w:tc>
          <w:tcPr>
            <w:tcW w:w="1467" w:type="dxa"/>
          </w:tcPr>
          <w:p w14:paraId="5DCA52E2" w14:textId="5094F6EB" w:rsidR="00D1722C" w:rsidRDefault="00D1722C" w:rsidP="00D1722C">
            <w:pPr>
              <w:pStyle w:val="TableParagraph"/>
              <w:rPr>
                <w:rFonts w:ascii="Arial" w:hAnsi="Arial"/>
                <w:spacing w:val="-1"/>
                <w:sz w:val="20"/>
              </w:rPr>
            </w:pPr>
            <w:r>
              <w:rPr>
                <w:rFonts w:ascii="Arial" w:hAnsi="Arial"/>
                <w:spacing w:val="-1"/>
                <w:sz w:val="20"/>
              </w:rPr>
              <w:t>0–33.75 m</w:t>
            </w:r>
          </w:p>
          <w:p w14:paraId="35DA92BA" w14:textId="7DD180F7" w:rsidR="00D1722C" w:rsidRDefault="00D1722C" w:rsidP="00D1722C">
            <w:pPr>
              <w:pStyle w:val="TableParagraph"/>
              <w:rPr>
                <w:rFonts w:ascii="Arial" w:hAnsi="Arial"/>
                <w:spacing w:val="-1"/>
                <w:sz w:val="20"/>
              </w:rPr>
            </w:pPr>
            <w:r>
              <w:rPr>
                <w:rFonts w:ascii="Arial" w:hAnsi="Arial"/>
                <w:spacing w:val="-1"/>
                <w:sz w:val="20"/>
              </w:rPr>
              <w:t>Control 160 m</w:t>
            </w:r>
          </w:p>
        </w:tc>
        <w:tc>
          <w:tcPr>
            <w:tcW w:w="1753" w:type="dxa"/>
          </w:tcPr>
          <w:p w14:paraId="15BF279C" w14:textId="77777777" w:rsidR="00D1722C" w:rsidRDefault="00D1722C" w:rsidP="006313E9">
            <w:pPr>
              <w:pStyle w:val="TableParagraph"/>
              <w:rPr>
                <w:rFonts w:ascii="Arial" w:hAnsi="Arial"/>
                <w:sz w:val="20"/>
              </w:rPr>
            </w:pPr>
            <w:r>
              <w:rPr>
                <w:rFonts w:ascii="Arial" w:hAnsi="Arial"/>
                <w:sz w:val="20"/>
              </w:rPr>
              <w:t>206 – 231 PK</w:t>
            </w:r>
          </w:p>
          <w:p w14:paraId="615F3ABA" w14:textId="236EEBEF" w:rsidR="00D1722C" w:rsidRDefault="00D1722C" w:rsidP="006313E9">
            <w:pPr>
              <w:pStyle w:val="TableParagraph"/>
              <w:rPr>
                <w:rFonts w:ascii="Arial" w:hAnsi="Arial"/>
                <w:sz w:val="20"/>
              </w:rPr>
            </w:pPr>
            <w:r>
              <w:rPr>
                <w:rFonts w:ascii="Arial" w:hAnsi="Arial"/>
                <w:sz w:val="20"/>
              </w:rPr>
              <w:t>187 – 205 SEL</w:t>
            </w:r>
            <w:r w:rsidR="006313E9">
              <w:rPr>
                <w:rFonts w:ascii="Arial" w:hAnsi="Arial"/>
                <w:sz w:val="20"/>
              </w:rPr>
              <w:t xml:space="preserve"> </w:t>
            </w:r>
            <w:r>
              <w:rPr>
                <w:rFonts w:ascii="Arial" w:hAnsi="Arial"/>
                <w:sz w:val="20"/>
              </w:rPr>
              <w:t>(single shot)</w:t>
            </w:r>
          </w:p>
          <w:p w14:paraId="1D5CCE1C" w14:textId="77777777" w:rsidR="00D1722C" w:rsidRPr="001C69C8" w:rsidRDefault="00D1722C" w:rsidP="006313E9">
            <w:pPr>
              <w:pStyle w:val="TableParagraph"/>
              <w:rPr>
                <w:rFonts w:ascii="Arial" w:hAnsi="Arial"/>
                <w:sz w:val="20"/>
              </w:rPr>
            </w:pPr>
            <w:r w:rsidRPr="009D7174">
              <w:rPr>
                <w:rFonts w:ascii="Arial" w:hAnsi="Arial"/>
                <w:sz w:val="20"/>
              </w:rPr>
              <w:t xml:space="preserve"> </w:t>
            </w:r>
          </w:p>
        </w:tc>
        <w:tc>
          <w:tcPr>
            <w:tcW w:w="2256" w:type="dxa"/>
          </w:tcPr>
          <w:p w14:paraId="0C5BC82A" w14:textId="77777777" w:rsidR="00D1722C" w:rsidRDefault="00D1722C" w:rsidP="0061430D">
            <w:pPr>
              <w:pStyle w:val="TableParagraph"/>
              <w:rPr>
                <w:rFonts w:ascii="Arial" w:hAnsi="Arial"/>
                <w:sz w:val="20"/>
              </w:rPr>
            </w:pPr>
            <w:r>
              <w:rPr>
                <w:rFonts w:ascii="Arial" w:hAnsi="Arial"/>
                <w:sz w:val="20"/>
              </w:rPr>
              <w:t>N</w:t>
            </w:r>
            <w:r w:rsidRPr="009D7174">
              <w:rPr>
                <w:rFonts w:ascii="Arial" w:hAnsi="Arial"/>
                <w:sz w:val="20"/>
              </w:rPr>
              <w:t xml:space="preserve">o mortality or mortal injury that was </w:t>
            </w:r>
            <w:r>
              <w:rPr>
                <w:rFonts w:ascii="Arial" w:hAnsi="Arial"/>
                <w:sz w:val="20"/>
              </w:rPr>
              <w:t xml:space="preserve">significantly different between </w:t>
            </w:r>
            <w:r w:rsidRPr="009D7174">
              <w:rPr>
                <w:rFonts w:ascii="Arial" w:hAnsi="Arial"/>
                <w:sz w:val="20"/>
              </w:rPr>
              <w:t>controls and the fish exposed to the highest sound energy.</w:t>
            </w:r>
          </w:p>
          <w:p w14:paraId="572BE7B4" w14:textId="77777777" w:rsidR="00D1722C" w:rsidRPr="004D6E2A" w:rsidRDefault="00D1722C" w:rsidP="0061430D">
            <w:pPr>
              <w:pStyle w:val="TableParagraph"/>
              <w:rPr>
                <w:rFonts w:ascii="Arial" w:hAnsi="Arial"/>
                <w:sz w:val="20"/>
              </w:rPr>
            </w:pPr>
            <w:r w:rsidRPr="004D6E2A">
              <w:rPr>
                <w:rFonts w:ascii="Arial" w:hAnsi="Arial"/>
                <w:sz w:val="20"/>
              </w:rPr>
              <w:t>The results do not support the hypothesis that there would be mortality of fish exposed to</w:t>
            </w:r>
          </w:p>
          <w:p w14:paraId="4A64C9EB" w14:textId="77777777" w:rsidR="00D1722C" w:rsidRPr="004D6E2A" w:rsidRDefault="00D1722C" w:rsidP="0061430D">
            <w:pPr>
              <w:pStyle w:val="TableParagraph"/>
              <w:rPr>
                <w:rFonts w:ascii="Arial" w:hAnsi="Arial"/>
                <w:sz w:val="20"/>
              </w:rPr>
            </w:pPr>
            <w:r w:rsidRPr="004D6E2A">
              <w:rPr>
                <w:rFonts w:ascii="Arial" w:hAnsi="Arial"/>
                <w:sz w:val="20"/>
              </w:rPr>
              <w:t>the impulsive airgun sound, at least at peak received sound pressure levels as high as 231 dB re</w:t>
            </w:r>
          </w:p>
          <w:p w14:paraId="17A31AEF" w14:textId="77777777" w:rsidR="00D1722C" w:rsidRDefault="00D1722C" w:rsidP="0061430D">
            <w:pPr>
              <w:pStyle w:val="TableParagraph"/>
              <w:rPr>
                <w:rFonts w:ascii="Arial" w:hAnsi="Arial"/>
                <w:sz w:val="20"/>
              </w:rPr>
            </w:pPr>
            <w:r w:rsidRPr="004D6E2A">
              <w:rPr>
                <w:rFonts w:ascii="Arial" w:hAnsi="Arial"/>
                <w:sz w:val="20"/>
              </w:rPr>
              <w:t>1 μPa.</w:t>
            </w:r>
          </w:p>
        </w:tc>
        <w:tc>
          <w:tcPr>
            <w:tcW w:w="1548" w:type="dxa"/>
          </w:tcPr>
          <w:p w14:paraId="674CFF24" w14:textId="77777777" w:rsidR="00D1722C" w:rsidRDefault="00D1722C" w:rsidP="0061430D">
            <w:pPr>
              <w:pStyle w:val="TableParagraph"/>
              <w:rPr>
                <w:rFonts w:ascii="Arial" w:hAnsi="Arial"/>
                <w:sz w:val="20"/>
              </w:rPr>
            </w:pPr>
            <w:r>
              <w:rPr>
                <w:rFonts w:ascii="Arial" w:hAnsi="Arial"/>
                <w:sz w:val="20"/>
              </w:rPr>
              <w:fldChar w:fldCharType="begin"/>
            </w:r>
            <w:r>
              <w:rPr>
                <w:rFonts w:ascii="Arial" w:hAnsi="Arial"/>
                <w:sz w:val="20"/>
              </w:rPr>
              <w:instrText xml:space="preserve"> ADDIN EN.CITE &lt;EndNote&gt;&lt;Cite&gt;&lt;Author&gt;Popper&lt;/Author&gt;&lt;Year&gt;2016&lt;/Year&gt;&lt;RecNum&gt;877&lt;/RecNum&gt;&lt;DisplayText&gt;(Popper et al. 2016)&lt;/DisplayText&gt;&lt;record&gt;&lt;rec-number&gt;877&lt;/rec-number&gt;&lt;foreign-keys&gt;&lt;key app="EN" db-id="arp55rdtqwd0adetva4p299cdxwxrvpx502w"&gt;877&lt;/key&gt;&lt;/foreign-keys&gt;&lt;ref-type name="Journal Article"&gt;17&lt;/ref-type&gt;&lt;contributors&gt;&lt;authors&gt;&lt;author&gt;Popper, Arthur N&lt;/author&gt;&lt;author&gt;Gross, Jackson A&lt;/author&gt;&lt;author&gt;Carlson, Thomas J&lt;/author&gt;&lt;author&gt;Skalski, John&lt;/author&gt;&lt;author&gt;Young, John V&lt;/author&gt;&lt;author&gt;Hawkins, Anthony D&lt;/author&gt;&lt;author&gt;Zeddies, David&lt;/author&gt;&lt;/authors&gt;&lt;/contributors&gt;&lt;titles&gt;&lt;title&gt;Effects of exposure to the sound from seismic airguns on pallid sturgeon and paddlefish&lt;/title&gt;&lt;secondary-title&gt;PLoS One&lt;/secondary-title&gt;&lt;/titles&gt;&lt;periodical&gt;&lt;full-title&gt;PLoS One&lt;/full-title&gt;&lt;/periodical&gt;&lt;pages&gt;e0159486&lt;/pages&gt;&lt;volume&gt;11&lt;/volume&gt;&lt;number&gt;8&lt;/number&gt;&lt;dates&gt;&lt;year&gt;2016&lt;/year&gt;&lt;/dates&gt;&lt;isbn&gt;1932-6203&lt;/isbn&gt;&lt;urls&gt;&lt;/urls&gt;&lt;/record&gt;&lt;/Cite&gt;&lt;/EndNote&gt;</w:instrText>
            </w:r>
            <w:r>
              <w:rPr>
                <w:rFonts w:ascii="Arial" w:hAnsi="Arial"/>
                <w:sz w:val="20"/>
              </w:rPr>
              <w:fldChar w:fldCharType="separate"/>
            </w:r>
            <w:r>
              <w:rPr>
                <w:rFonts w:ascii="Arial" w:hAnsi="Arial"/>
                <w:noProof/>
                <w:sz w:val="20"/>
              </w:rPr>
              <w:t>(</w:t>
            </w:r>
            <w:hyperlink w:anchor="_ENREF_6" w:tooltip="Popper, 2016 #877" w:history="1">
              <w:r>
                <w:rPr>
                  <w:rFonts w:ascii="Arial" w:hAnsi="Arial"/>
                  <w:noProof/>
                  <w:sz w:val="20"/>
                </w:rPr>
                <w:t>Popper et al. 2016</w:t>
              </w:r>
            </w:hyperlink>
            <w:r>
              <w:rPr>
                <w:rFonts w:ascii="Arial" w:hAnsi="Arial"/>
                <w:noProof/>
                <w:sz w:val="20"/>
              </w:rPr>
              <w:t>)</w:t>
            </w:r>
            <w:r>
              <w:rPr>
                <w:rFonts w:ascii="Arial" w:hAnsi="Arial"/>
                <w:sz w:val="20"/>
              </w:rPr>
              <w:fldChar w:fldCharType="end"/>
            </w:r>
            <w:r w:rsidRPr="00831AA9">
              <w:rPr>
                <w:rFonts w:ascii="Arial" w:hAnsi="Arial"/>
                <w:sz w:val="20"/>
                <w:vertAlign w:val="superscript"/>
              </w:rPr>
              <w:t>C</w:t>
            </w:r>
          </w:p>
        </w:tc>
        <w:tc>
          <w:tcPr>
            <w:tcW w:w="2360" w:type="dxa"/>
          </w:tcPr>
          <w:p w14:paraId="0FE4EA63" w14:textId="0C6E4ED5" w:rsidR="00D1722C" w:rsidRPr="00BA05A0" w:rsidRDefault="00D1722C" w:rsidP="00BA05A0">
            <w:pPr>
              <w:pStyle w:val="TableParagraph"/>
              <w:rPr>
                <w:rFonts w:ascii="Arial" w:hAnsi="Arial"/>
                <w:sz w:val="20"/>
              </w:rPr>
            </w:pPr>
            <w:r w:rsidRPr="00BA05A0">
              <w:rPr>
                <w:rFonts w:ascii="Arial" w:hAnsi="Arial"/>
                <w:sz w:val="20"/>
              </w:rPr>
              <w:t>Highly relevant, indicate</w:t>
            </w:r>
            <w:r w:rsidR="004D6E2A" w:rsidRPr="00BA05A0">
              <w:rPr>
                <w:rFonts w:ascii="Arial" w:hAnsi="Arial"/>
                <w:sz w:val="20"/>
              </w:rPr>
              <w:t>s the</w:t>
            </w:r>
            <w:r w:rsidRPr="00BA05A0">
              <w:rPr>
                <w:rFonts w:ascii="Arial" w:hAnsi="Arial"/>
                <w:sz w:val="20"/>
              </w:rPr>
              <w:t xml:space="preserve"> criteria applied </w:t>
            </w:r>
            <w:r w:rsidR="004D6E2A" w:rsidRPr="00BA05A0">
              <w:rPr>
                <w:rFonts w:ascii="Arial" w:hAnsi="Arial"/>
                <w:sz w:val="20"/>
              </w:rPr>
              <w:t>in</w:t>
            </w:r>
            <w:r w:rsidR="006C28BB" w:rsidRPr="00BA05A0">
              <w:rPr>
                <w:rFonts w:ascii="Arial" w:hAnsi="Arial"/>
                <w:sz w:val="20"/>
              </w:rPr>
              <w:t xml:space="preserve"> </w:t>
            </w:r>
            <w:r w:rsidR="004D6E2A" w:rsidRPr="00BA05A0">
              <w:rPr>
                <w:rFonts w:ascii="Arial" w:hAnsi="Arial"/>
                <w:sz w:val="20"/>
              </w:rPr>
              <w:t>th</w:t>
            </w:r>
            <w:r w:rsidR="006C28BB" w:rsidRPr="00BA05A0">
              <w:rPr>
                <w:rFonts w:ascii="Arial" w:hAnsi="Arial"/>
                <w:sz w:val="20"/>
              </w:rPr>
              <w:t>e</w:t>
            </w:r>
            <w:r w:rsidR="004D6E2A" w:rsidRPr="00BA05A0">
              <w:rPr>
                <w:rFonts w:ascii="Arial" w:hAnsi="Arial"/>
                <w:sz w:val="20"/>
              </w:rPr>
              <w:t xml:space="preserve"> STLM </w:t>
            </w:r>
            <w:r w:rsidRPr="00BA05A0">
              <w:rPr>
                <w:rFonts w:ascii="Arial" w:hAnsi="Arial"/>
                <w:sz w:val="20"/>
              </w:rPr>
              <w:t>are highly conservative</w:t>
            </w:r>
            <w:r w:rsidR="004D6E2A" w:rsidRPr="00BA05A0">
              <w:rPr>
                <w:rFonts w:ascii="Arial" w:hAnsi="Arial"/>
                <w:sz w:val="20"/>
              </w:rPr>
              <w:t>.</w:t>
            </w:r>
            <w:r w:rsidRPr="00BA05A0">
              <w:rPr>
                <w:rFonts w:ascii="Arial" w:hAnsi="Arial"/>
                <w:sz w:val="20"/>
              </w:rPr>
              <w:t xml:space="preserve"> </w:t>
            </w:r>
          </w:p>
          <w:p w14:paraId="5C00976D" w14:textId="77777777" w:rsidR="00D1722C" w:rsidRDefault="00D1722C" w:rsidP="00BA05A0">
            <w:pPr>
              <w:pStyle w:val="TableParagraph"/>
              <w:rPr>
                <w:rFonts w:ascii="Arial" w:hAnsi="Arial"/>
                <w:sz w:val="20"/>
              </w:rPr>
            </w:pPr>
          </w:p>
        </w:tc>
      </w:tr>
      <w:tr w:rsidR="00D1722C" w:rsidRPr="001008E7" w14:paraId="047DB55C" w14:textId="77777777" w:rsidTr="00966786">
        <w:tc>
          <w:tcPr>
            <w:tcW w:w="1900" w:type="dxa"/>
          </w:tcPr>
          <w:p w14:paraId="58F55D40" w14:textId="77777777" w:rsidR="00D1722C" w:rsidRPr="00AF70EE" w:rsidRDefault="00D1722C" w:rsidP="00D1722C">
            <w:pPr>
              <w:ind w:left="0"/>
              <w:rPr>
                <w:rFonts w:cs="Arial"/>
                <w:sz w:val="20"/>
              </w:rPr>
            </w:pPr>
            <w:r w:rsidRPr="001C69C8">
              <w:rPr>
                <w:rFonts w:cs="Arial"/>
                <w:sz w:val="20"/>
              </w:rPr>
              <w:t>European seabass (</w:t>
            </w:r>
            <w:r w:rsidRPr="001C69C8">
              <w:rPr>
                <w:rFonts w:cs="Arial"/>
                <w:i/>
                <w:sz w:val="20"/>
              </w:rPr>
              <w:t>Dicentrarchus labrax</w:t>
            </w:r>
            <w:r w:rsidRPr="001C69C8">
              <w:rPr>
                <w:rFonts w:cs="Arial"/>
                <w:sz w:val="20"/>
              </w:rPr>
              <w:t>)</w:t>
            </w:r>
          </w:p>
        </w:tc>
        <w:tc>
          <w:tcPr>
            <w:tcW w:w="1276" w:type="dxa"/>
          </w:tcPr>
          <w:p w14:paraId="580737FD" w14:textId="77777777" w:rsidR="00D1722C" w:rsidRDefault="00D1722C" w:rsidP="00D1722C">
            <w:pPr>
              <w:pStyle w:val="TableParagraph"/>
              <w:rPr>
                <w:rFonts w:ascii="Arial" w:hAnsi="Arial"/>
                <w:spacing w:val="-1"/>
                <w:sz w:val="20"/>
              </w:rPr>
            </w:pPr>
            <w:r>
              <w:rPr>
                <w:rFonts w:ascii="Arial" w:hAnsi="Arial"/>
                <w:spacing w:val="-1"/>
                <w:sz w:val="20"/>
              </w:rPr>
              <w:t xml:space="preserve">Playbacks (see </w:t>
            </w:r>
            <w:r w:rsidRPr="001C69C8">
              <w:rPr>
                <w:rFonts w:ascii="Arial" w:hAnsi="Arial"/>
                <w:spacing w:val="-1"/>
                <w:sz w:val="20"/>
              </w:rPr>
              <w:t>spectrograms</w:t>
            </w:r>
            <w:r>
              <w:rPr>
                <w:rFonts w:ascii="Arial" w:hAnsi="Arial"/>
                <w:spacing w:val="-1"/>
                <w:sz w:val="20"/>
              </w:rPr>
              <w:t xml:space="preserve"> in </w:t>
            </w:r>
            <w:r>
              <w:rPr>
                <w:rFonts w:ascii="Arial" w:hAnsi="Arial"/>
                <w:spacing w:val="-1"/>
                <w:sz w:val="20"/>
              </w:rPr>
              <w:fldChar w:fldCharType="begin"/>
            </w:r>
            <w:r>
              <w:rPr>
                <w:rFonts w:ascii="Arial" w:hAnsi="Arial"/>
                <w:spacing w:val="-1"/>
                <w:sz w:val="20"/>
              </w:rPr>
              <w:instrText xml:space="preserve"> ADDIN EN.CITE &lt;EndNote&gt;&lt;Cite&gt;&lt;Author&gt;Radford&lt;/Author&gt;&lt;Year&gt;2016&lt;/Year&gt;&lt;RecNum&gt;811&lt;/RecNum&gt;&lt;DisplayText&gt;(Radford et al. 2016)&lt;/DisplayText&gt;&lt;record&gt;&lt;rec-number&gt;811&lt;/rec-number&gt;&lt;foreign-keys&gt;&lt;key app="EN" db-id="arp55rdtqwd0adetva4p299cdxwxrvpx502w"&gt;811&lt;/key&gt;&lt;/foreign-keys&gt;&lt;ref-type name="Journal Article"&gt;17&lt;/ref-type&gt;&lt;contributors&gt;&lt;authors&gt;&lt;author&gt;Radford, Andrew N&lt;/author&gt;&lt;author&gt;Lèbre, Laurie&lt;/author&gt;&lt;author&gt;Lecaillon, Gilles&lt;/author&gt;&lt;author&gt;Nedelec, Sophie L&lt;/author&gt;&lt;author&gt;Simpson, Stephen D&lt;/author&gt;&lt;/authors&gt;&lt;/contributors&gt;&lt;titles&gt;&lt;title&gt;Repeated exposure reduces the response to impulsive noise in European seabass&lt;/title&gt;&lt;secondary-title&gt;Global Change Biology&lt;/secondary-title&gt;&lt;/titles&gt;&lt;periodical&gt;&lt;full-title&gt;Global Change Biology&lt;/full-title&gt;&lt;/periodical&gt;&lt;dates&gt;&lt;year&gt;2016&lt;/year&gt;&lt;/dates&gt;&lt;isbn&gt;1365-2486&lt;/isbn&gt;&lt;urls&gt;&lt;/urls&gt;&lt;/record&gt;&lt;/Cite&gt;&lt;/EndNote&gt;</w:instrText>
            </w:r>
            <w:r>
              <w:rPr>
                <w:rFonts w:ascii="Arial" w:hAnsi="Arial"/>
                <w:spacing w:val="-1"/>
                <w:sz w:val="20"/>
              </w:rPr>
              <w:fldChar w:fldCharType="separate"/>
            </w:r>
            <w:r>
              <w:rPr>
                <w:rFonts w:ascii="Arial" w:hAnsi="Arial"/>
                <w:noProof/>
                <w:spacing w:val="-1"/>
                <w:sz w:val="20"/>
              </w:rPr>
              <w:t>(</w:t>
            </w:r>
            <w:hyperlink w:anchor="_ENREF_8" w:tooltip="Radford, 2016 #811" w:history="1">
              <w:r>
                <w:rPr>
                  <w:rFonts w:ascii="Arial" w:hAnsi="Arial"/>
                  <w:noProof/>
                  <w:spacing w:val="-1"/>
                  <w:sz w:val="20"/>
                </w:rPr>
                <w:t>Radford et al. 2016</w:t>
              </w:r>
            </w:hyperlink>
            <w:r>
              <w:rPr>
                <w:rFonts w:ascii="Arial" w:hAnsi="Arial"/>
                <w:noProof/>
                <w:spacing w:val="-1"/>
                <w:sz w:val="20"/>
              </w:rPr>
              <w:t>)</w:t>
            </w:r>
            <w:r>
              <w:rPr>
                <w:rFonts w:ascii="Arial" w:hAnsi="Arial"/>
                <w:spacing w:val="-1"/>
                <w:sz w:val="20"/>
              </w:rPr>
              <w:fldChar w:fldCharType="end"/>
            </w:r>
            <w:r>
              <w:rPr>
                <w:rFonts w:ascii="Arial" w:hAnsi="Arial"/>
                <w:spacing w:val="-1"/>
                <w:sz w:val="20"/>
              </w:rPr>
              <w:t xml:space="preserve"> </w:t>
            </w:r>
          </w:p>
        </w:tc>
        <w:tc>
          <w:tcPr>
            <w:tcW w:w="1701" w:type="dxa"/>
          </w:tcPr>
          <w:p w14:paraId="03D98EFF" w14:textId="77777777" w:rsidR="00D1722C" w:rsidRPr="001008E7" w:rsidRDefault="00D1722C" w:rsidP="00D1722C">
            <w:pPr>
              <w:pStyle w:val="TableParagraph"/>
              <w:rPr>
                <w:rFonts w:ascii="Arial" w:eastAsia="Arial" w:hAnsi="Arial" w:cs="Arial"/>
                <w:sz w:val="20"/>
                <w:szCs w:val="20"/>
              </w:rPr>
            </w:pPr>
            <w:r>
              <w:rPr>
                <w:rFonts w:ascii="Arial" w:hAnsi="Arial"/>
                <w:sz w:val="20"/>
              </w:rPr>
              <w:t>Not relevant</w:t>
            </w:r>
          </w:p>
        </w:tc>
        <w:tc>
          <w:tcPr>
            <w:tcW w:w="1467" w:type="dxa"/>
          </w:tcPr>
          <w:p w14:paraId="4C4F905F" w14:textId="4DA1BB22" w:rsidR="00D1722C" w:rsidRPr="00AF70EE" w:rsidRDefault="00D1722C" w:rsidP="00D1722C">
            <w:pPr>
              <w:pStyle w:val="TableParagraph"/>
              <w:rPr>
                <w:rFonts w:ascii="Arial" w:hAnsi="Arial"/>
                <w:spacing w:val="-1"/>
                <w:sz w:val="20"/>
              </w:rPr>
            </w:pPr>
            <w:r>
              <w:rPr>
                <w:rFonts w:ascii="Arial" w:hAnsi="Arial"/>
                <w:spacing w:val="-1"/>
                <w:sz w:val="20"/>
              </w:rPr>
              <w:t xml:space="preserve">&lt;1 m </w:t>
            </w:r>
          </w:p>
        </w:tc>
        <w:tc>
          <w:tcPr>
            <w:tcW w:w="1753" w:type="dxa"/>
          </w:tcPr>
          <w:p w14:paraId="12284EEC" w14:textId="77777777" w:rsidR="00D1722C" w:rsidRPr="001008E7" w:rsidRDefault="00D1722C" w:rsidP="006313E9">
            <w:pPr>
              <w:pStyle w:val="TableParagraph"/>
              <w:rPr>
                <w:rFonts w:ascii="Arial" w:hAnsi="Arial"/>
                <w:sz w:val="20"/>
              </w:rPr>
            </w:pPr>
            <w:r>
              <w:rPr>
                <w:rFonts w:ascii="Arial" w:hAnsi="Arial"/>
                <w:sz w:val="20"/>
              </w:rPr>
              <w:t>158.39 PK (replica seismic)</w:t>
            </w:r>
          </w:p>
        </w:tc>
        <w:tc>
          <w:tcPr>
            <w:tcW w:w="2256" w:type="dxa"/>
          </w:tcPr>
          <w:p w14:paraId="2F68602B" w14:textId="77777777" w:rsidR="00D1722C" w:rsidRPr="006313E9" w:rsidRDefault="00D1722C" w:rsidP="0061430D">
            <w:pPr>
              <w:pStyle w:val="TableParagraph"/>
              <w:rPr>
                <w:rFonts w:ascii="Arial" w:hAnsi="Arial" w:cs="Arial"/>
                <w:color w:val="333333"/>
                <w:sz w:val="20"/>
                <w:szCs w:val="20"/>
                <w:shd w:val="clear" w:color="auto" w:fill="F9F9F9"/>
              </w:rPr>
            </w:pPr>
            <w:r w:rsidRPr="006313E9">
              <w:rPr>
                <w:rFonts w:ascii="Arial" w:hAnsi="Arial" w:cs="Arial"/>
                <w:color w:val="333333"/>
                <w:sz w:val="20"/>
                <w:szCs w:val="20"/>
                <w:shd w:val="clear" w:color="auto" w:fill="F9F9F9"/>
              </w:rPr>
              <w:t xml:space="preserve">Naïve fish showed elevated ventilation rates, indicating heightened stress, in response to impulsive additional noise (playbacks of recordings of pile-driving and seismic surveys). However, fish exposed to playbacks of pile-driving or </w:t>
            </w:r>
            <w:r w:rsidRPr="006313E9">
              <w:rPr>
                <w:rFonts w:ascii="Arial" w:hAnsi="Arial" w:cs="Arial"/>
                <w:color w:val="333333"/>
                <w:sz w:val="20"/>
                <w:szCs w:val="20"/>
                <w:shd w:val="clear" w:color="auto" w:fill="F9F9F9"/>
              </w:rPr>
              <w:lastRenderedPageBreak/>
              <w:t xml:space="preserve">seismic noise for 12 weeks no longer responded with an elevated ventilation rate to the same noise type. </w:t>
            </w:r>
          </w:p>
          <w:p w14:paraId="523E2072" w14:textId="77777777" w:rsidR="00D1722C" w:rsidRPr="006313E9" w:rsidRDefault="00D1722C" w:rsidP="0061430D">
            <w:pPr>
              <w:pStyle w:val="TableParagraph"/>
              <w:rPr>
                <w:rFonts w:ascii="Arial" w:hAnsi="Arial" w:cs="Arial"/>
                <w:color w:val="333333"/>
                <w:sz w:val="20"/>
                <w:szCs w:val="20"/>
                <w:shd w:val="clear" w:color="auto" w:fill="F9F9F9"/>
              </w:rPr>
            </w:pPr>
          </w:p>
          <w:p w14:paraId="346F928D" w14:textId="77777777" w:rsidR="00D1722C" w:rsidRPr="006313E9" w:rsidRDefault="00D1722C" w:rsidP="0061430D">
            <w:pPr>
              <w:pStyle w:val="TableParagraph"/>
              <w:rPr>
                <w:rFonts w:ascii="Arial" w:hAnsi="Arial" w:cs="Arial"/>
                <w:color w:val="333333"/>
                <w:sz w:val="20"/>
                <w:szCs w:val="20"/>
                <w:shd w:val="clear" w:color="auto" w:fill="F9F9F9"/>
              </w:rPr>
            </w:pPr>
            <w:r w:rsidRPr="006313E9">
              <w:rPr>
                <w:rFonts w:ascii="Arial" w:hAnsi="Arial" w:cs="Arial"/>
                <w:color w:val="333333"/>
                <w:sz w:val="20"/>
                <w:szCs w:val="20"/>
                <w:shd w:val="clear" w:color="auto" w:fill="F9F9F9"/>
              </w:rPr>
              <w:t xml:space="preserve">Fish exposed long-term to playback of pile-driving noise also no longer responded to short-term playback of seismic noise. </w:t>
            </w:r>
          </w:p>
          <w:p w14:paraId="3755FC98" w14:textId="77777777" w:rsidR="00D1722C" w:rsidRPr="006313E9" w:rsidRDefault="00D1722C" w:rsidP="0061430D">
            <w:pPr>
              <w:pStyle w:val="TableParagraph"/>
              <w:rPr>
                <w:rFonts w:ascii="Arial" w:hAnsi="Arial" w:cs="Arial"/>
                <w:color w:val="333333"/>
                <w:sz w:val="20"/>
                <w:szCs w:val="20"/>
                <w:shd w:val="clear" w:color="auto" w:fill="F9F9F9"/>
              </w:rPr>
            </w:pPr>
          </w:p>
          <w:p w14:paraId="78C83718" w14:textId="7C8BBD4B" w:rsidR="00D1722C" w:rsidRPr="006313E9" w:rsidRDefault="00D1722C" w:rsidP="006313E9">
            <w:pPr>
              <w:pStyle w:val="TableParagraph"/>
              <w:rPr>
                <w:rFonts w:ascii="Arial" w:hAnsi="Arial"/>
                <w:sz w:val="20"/>
                <w:szCs w:val="20"/>
              </w:rPr>
            </w:pPr>
            <w:r w:rsidRPr="006313E9">
              <w:rPr>
                <w:rFonts w:ascii="Arial" w:hAnsi="Arial" w:cs="Arial"/>
                <w:color w:val="333333"/>
                <w:sz w:val="20"/>
                <w:szCs w:val="20"/>
                <w:shd w:val="clear" w:color="auto" w:fill="F9F9F9"/>
              </w:rPr>
              <w:t>The lessened response after repeated exposure</w:t>
            </w:r>
            <w:r w:rsidR="006313E9">
              <w:rPr>
                <w:rFonts w:ascii="Arial" w:hAnsi="Arial" w:cs="Arial"/>
                <w:color w:val="333333"/>
                <w:sz w:val="20"/>
                <w:szCs w:val="20"/>
                <w:shd w:val="clear" w:color="auto" w:fill="F9F9F9"/>
              </w:rPr>
              <w:t xml:space="preserve"> was</w:t>
            </w:r>
            <w:r w:rsidRPr="006313E9">
              <w:rPr>
                <w:rFonts w:ascii="Arial" w:hAnsi="Arial" w:cs="Arial"/>
                <w:color w:val="333333"/>
                <w:sz w:val="20"/>
                <w:szCs w:val="20"/>
                <w:shd w:val="clear" w:color="auto" w:fill="F9F9F9"/>
              </w:rPr>
              <w:t xml:space="preserve"> likely driven by increased tolerance or a change in hearing threshold.</w:t>
            </w:r>
          </w:p>
        </w:tc>
        <w:tc>
          <w:tcPr>
            <w:tcW w:w="1548" w:type="dxa"/>
          </w:tcPr>
          <w:p w14:paraId="33F698CB" w14:textId="77777777" w:rsidR="00D1722C" w:rsidRDefault="00D1722C" w:rsidP="0061430D">
            <w:pPr>
              <w:pStyle w:val="TableParagraph"/>
              <w:rPr>
                <w:rFonts w:ascii="Arial" w:hAnsi="Arial"/>
                <w:sz w:val="20"/>
              </w:rPr>
            </w:pPr>
            <w:r>
              <w:rPr>
                <w:rFonts w:ascii="Arial" w:hAnsi="Arial"/>
                <w:sz w:val="20"/>
              </w:rPr>
              <w:lastRenderedPageBreak/>
              <w:fldChar w:fldCharType="begin"/>
            </w:r>
            <w:r>
              <w:rPr>
                <w:rFonts w:ascii="Arial" w:hAnsi="Arial"/>
                <w:sz w:val="20"/>
              </w:rPr>
              <w:instrText xml:space="preserve"> ADDIN EN.CITE &lt;EndNote&gt;&lt;Cite&gt;&lt;Author&gt;Radford&lt;/Author&gt;&lt;Year&gt;2016&lt;/Year&gt;&lt;RecNum&gt;811&lt;/RecNum&gt;&lt;DisplayText&gt;(Radford et al. 2016)&lt;/DisplayText&gt;&lt;record&gt;&lt;rec-number&gt;811&lt;/rec-number&gt;&lt;foreign-keys&gt;&lt;key app="EN" db-id="arp55rdtqwd0adetva4p299cdxwxrvpx502w"&gt;811&lt;/key&gt;&lt;/foreign-keys&gt;&lt;ref-type name="Journal Article"&gt;17&lt;/ref-type&gt;&lt;contributors&gt;&lt;authors&gt;&lt;author&gt;Radford, Andrew N&lt;/author&gt;&lt;author&gt;Lèbre, Laurie&lt;/author&gt;&lt;author&gt;Lecaillon, Gilles&lt;/author&gt;&lt;author&gt;Nedelec, Sophie L&lt;/author&gt;&lt;author&gt;Simpson, Stephen D&lt;/author&gt;&lt;/authors&gt;&lt;/contributors&gt;&lt;titles&gt;&lt;title&gt;Repeated exposure reduces the response to impulsive noise in European seabass&lt;/title&gt;&lt;secondary-title&gt;Global Change Biology&lt;/secondary-title&gt;&lt;/titles&gt;&lt;periodical&gt;&lt;full-title&gt;Global Change Biology&lt;/full-title&gt;&lt;/periodical&gt;&lt;dates&gt;&lt;year&gt;2016&lt;/year&gt;&lt;/dates&gt;&lt;isbn&gt;1365-2486&lt;/isbn&gt;&lt;urls&gt;&lt;/urls&gt;&lt;/record&gt;&lt;/Cite&gt;&lt;/EndNote&gt;</w:instrText>
            </w:r>
            <w:r>
              <w:rPr>
                <w:rFonts w:ascii="Arial" w:hAnsi="Arial"/>
                <w:sz w:val="20"/>
              </w:rPr>
              <w:fldChar w:fldCharType="separate"/>
            </w:r>
            <w:r>
              <w:rPr>
                <w:rFonts w:ascii="Arial" w:hAnsi="Arial"/>
                <w:noProof/>
                <w:sz w:val="20"/>
              </w:rPr>
              <w:t>(</w:t>
            </w:r>
            <w:hyperlink w:anchor="_ENREF_8" w:tooltip="Radford, 2016 #811" w:history="1">
              <w:r>
                <w:rPr>
                  <w:rFonts w:ascii="Arial" w:hAnsi="Arial"/>
                  <w:noProof/>
                  <w:sz w:val="20"/>
                </w:rPr>
                <w:t>Radford et al. 2016</w:t>
              </w:r>
            </w:hyperlink>
            <w:r>
              <w:rPr>
                <w:rFonts w:ascii="Arial" w:hAnsi="Arial"/>
                <w:noProof/>
                <w:sz w:val="20"/>
              </w:rPr>
              <w:t>)</w:t>
            </w:r>
            <w:r>
              <w:rPr>
                <w:rFonts w:ascii="Arial" w:hAnsi="Arial"/>
                <w:sz w:val="20"/>
              </w:rPr>
              <w:fldChar w:fldCharType="end"/>
            </w:r>
            <w:r w:rsidRPr="001C69C8">
              <w:rPr>
                <w:rFonts w:ascii="Arial" w:hAnsi="Arial"/>
                <w:sz w:val="20"/>
                <w:vertAlign w:val="superscript"/>
              </w:rPr>
              <w:t>*,L</w:t>
            </w:r>
          </w:p>
        </w:tc>
        <w:tc>
          <w:tcPr>
            <w:tcW w:w="2360" w:type="dxa"/>
          </w:tcPr>
          <w:p w14:paraId="16506E01" w14:textId="77777777" w:rsidR="00D1722C" w:rsidRDefault="00D1722C" w:rsidP="0061430D">
            <w:pPr>
              <w:pStyle w:val="TableParagraph"/>
              <w:rPr>
                <w:rFonts w:ascii="Arial" w:hAnsi="Arial"/>
                <w:sz w:val="20"/>
              </w:rPr>
            </w:pPr>
            <w:r>
              <w:rPr>
                <w:rFonts w:ascii="Arial" w:hAnsi="Arial"/>
                <w:sz w:val="20"/>
              </w:rPr>
              <w:t>Not relevant to mortality.</w:t>
            </w:r>
          </w:p>
          <w:p w14:paraId="2698D011" w14:textId="77777777" w:rsidR="00D1722C" w:rsidRDefault="00D1722C" w:rsidP="0061430D">
            <w:pPr>
              <w:pStyle w:val="TableParagraph"/>
              <w:rPr>
                <w:rFonts w:ascii="Arial" w:hAnsi="Arial"/>
                <w:sz w:val="20"/>
              </w:rPr>
            </w:pPr>
            <w:r>
              <w:rPr>
                <w:rFonts w:ascii="Arial" w:hAnsi="Arial"/>
                <w:sz w:val="20"/>
              </w:rPr>
              <w:t>Does suggest that fish not accustomed to seismic will experience increased stress during exposure to a survey.</w:t>
            </w:r>
          </w:p>
          <w:p w14:paraId="4F72DC64" w14:textId="03CA5510" w:rsidR="00D1722C" w:rsidRDefault="00D1722C" w:rsidP="0061430D">
            <w:pPr>
              <w:pStyle w:val="TableParagraph"/>
              <w:rPr>
                <w:rFonts w:ascii="Arial" w:hAnsi="Arial"/>
                <w:sz w:val="20"/>
              </w:rPr>
            </w:pPr>
            <w:r>
              <w:rPr>
                <w:rFonts w:ascii="Arial" w:hAnsi="Arial"/>
                <w:sz w:val="20"/>
              </w:rPr>
              <w:t>This is acknowledge</w:t>
            </w:r>
            <w:r w:rsidR="006313E9">
              <w:rPr>
                <w:rFonts w:ascii="Arial" w:hAnsi="Arial"/>
                <w:sz w:val="20"/>
              </w:rPr>
              <w:t>d in the behavior section of this</w:t>
            </w:r>
            <w:r>
              <w:rPr>
                <w:rFonts w:ascii="Arial" w:hAnsi="Arial"/>
                <w:sz w:val="20"/>
              </w:rPr>
              <w:t xml:space="preserve"> EP.</w:t>
            </w:r>
          </w:p>
        </w:tc>
      </w:tr>
      <w:tr w:rsidR="00D1722C" w:rsidRPr="001008E7" w14:paraId="46C3DC6F" w14:textId="77777777" w:rsidTr="00966786">
        <w:tc>
          <w:tcPr>
            <w:tcW w:w="1900" w:type="dxa"/>
          </w:tcPr>
          <w:p w14:paraId="40F80455" w14:textId="77777777" w:rsidR="00D1722C" w:rsidRPr="001008E7" w:rsidRDefault="00D1722C" w:rsidP="0061430D">
            <w:pPr>
              <w:pStyle w:val="TableParagraph"/>
              <w:rPr>
                <w:rFonts w:ascii="Arial" w:hAnsi="Arial"/>
                <w:sz w:val="20"/>
              </w:rPr>
            </w:pPr>
            <w:r w:rsidRPr="001008E7">
              <w:rPr>
                <w:rFonts w:ascii="Arial" w:hAnsi="Arial"/>
                <w:sz w:val="20"/>
              </w:rPr>
              <w:t>Rainbow trout</w:t>
            </w:r>
            <w:r>
              <w:rPr>
                <w:rFonts w:ascii="Arial" w:hAnsi="Arial"/>
                <w:sz w:val="20"/>
              </w:rPr>
              <w:t xml:space="preserve"> (</w:t>
            </w:r>
            <w:r>
              <w:rPr>
                <w:rFonts w:ascii="Arial" w:hAnsi="Arial"/>
                <w:i/>
                <w:sz w:val="20"/>
              </w:rPr>
              <w:t>Salmo gairdneri</w:t>
            </w:r>
            <w:r>
              <w:rPr>
                <w:rFonts w:ascii="Arial" w:hAnsi="Arial"/>
                <w:sz w:val="20"/>
              </w:rPr>
              <w:t>, Salmon smolt (</w:t>
            </w:r>
            <w:r w:rsidRPr="00E30718">
              <w:rPr>
                <w:rFonts w:ascii="Arial" w:hAnsi="Arial"/>
                <w:i/>
                <w:sz w:val="20"/>
              </w:rPr>
              <w:t>Salmon smolts</w:t>
            </w:r>
            <w:r>
              <w:rPr>
                <w:rFonts w:ascii="Arial" w:hAnsi="Arial"/>
                <w:sz w:val="20"/>
              </w:rPr>
              <w:t xml:space="preserve">) </w:t>
            </w:r>
          </w:p>
        </w:tc>
        <w:tc>
          <w:tcPr>
            <w:tcW w:w="1276" w:type="dxa"/>
          </w:tcPr>
          <w:p w14:paraId="598F44B4" w14:textId="48FFD16A" w:rsidR="00D1722C" w:rsidRPr="000F453C" w:rsidRDefault="006313E9" w:rsidP="006C28BB">
            <w:pPr>
              <w:ind w:left="0"/>
            </w:pPr>
            <w:r>
              <w:rPr>
                <w:spacing w:val="-1"/>
                <w:sz w:val="20"/>
              </w:rPr>
              <w:t>1</w:t>
            </w:r>
            <w:r w:rsidR="00D1722C">
              <w:rPr>
                <w:spacing w:val="-1"/>
                <w:sz w:val="20"/>
              </w:rPr>
              <w:t>30 cui</w:t>
            </w:r>
            <w:r>
              <w:rPr>
                <w:spacing w:val="-1"/>
                <w:sz w:val="20"/>
              </w:rPr>
              <w:t xml:space="preserve"> airgun</w:t>
            </w:r>
            <w:r w:rsidR="006C28BB">
              <w:rPr>
                <w:spacing w:val="-1"/>
                <w:sz w:val="20"/>
              </w:rPr>
              <w:t>s</w:t>
            </w:r>
          </w:p>
        </w:tc>
        <w:tc>
          <w:tcPr>
            <w:tcW w:w="1701" w:type="dxa"/>
          </w:tcPr>
          <w:p w14:paraId="684B99CF" w14:textId="77777777" w:rsidR="00D1722C" w:rsidRDefault="00D1722C" w:rsidP="00D1722C">
            <w:pPr>
              <w:pStyle w:val="TableParagraph"/>
              <w:rPr>
                <w:rFonts w:ascii="Arial" w:hAnsi="Arial"/>
                <w:spacing w:val="-1"/>
                <w:sz w:val="20"/>
              </w:rPr>
            </w:pPr>
            <w:r w:rsidRPr="001008E7">
              <w:rPr>
                <w:rFonts w:ascii="Arial" w:hAnsi="Arial"/>
                <w:spacing w:val="-1"/>
                <w:sz w:val="20"/>
              </w:rPr>
              <w:t>229</w:t>
            </w:r>
          </w:p>
          <w:p w14:paraId="37589409" w14:textId="0175A380" w:rsidR="00D1722C" w:rsidRPr="001008E7" w:rsidRDefault="00D1722C" w:rsidP="00966786">
            <w:pPr>
              <w:pStyle w:val="TableParagraph"/>
              <w:rPr>
                <w:rFonts w:ascii="Arial" w:eastAsia="Arial" w:hAnsi="Arial" w:cs="Arial"/>
                <w:sz w:val="20"/>
                <w:szCs w:val="20"/>
              </w:rPr>
            </w:pPr>
            <w:r>
              <w:rPr>
                <w:rFonts w:ascii="Arial" w:hAnsi="Arial"/>
                <w:spacing w:val="-1"/>
                <w:sz w:val="20"/>
              </w:rPr>
              <w:t>(</w:t>
            </w:r>
            <w:r w:rsidR="00966786">
              <w:rPr>
                <w:rFonts w:ascii="Arial" w:hAnsi="Arial"/>
                <w:spacing w:val="-1"/>
                <w:sz w:val="20"/>
              </w:rPr>
              <w:t>e</w:t>
            </w:r>
            <w:r>
              <w:rPr>
                <w:rFonts w:ascii="Arial" w:hAnsi="Arial"/>
                <w:spacing w:val="-1"/>
                <w:sz w:val="20"/>
              </w:rPr>
              <w:t>stimated, and likely PK)</w:t>
            </w:r>
          </w:p>
        </w:tc>
        <w:tc>
          <w:tcPr>
            <w:tcW w:w="1467" w:type="dxa"/>
          </w:tcPr>
          <w:p w14:paraId="5C33DE15" w14:textId="77777777" w:rsidR="00D1722C" w:rsidRPr="001008E7" w:rsidRDefault="00D1722C" w:rsidP="00D1722C">
            <w:pPr>
              <w:pStyle w:val="TableParagraph"/>
              <w:rPr>
                <w:rFonts w:ascii="Arial" w:eastAsia="Arial" w:hAnsi="Arial" w:cs="Arial"/>
                <w:sz w:val="20"/>
                <w:szCs w:val="20"/>
              </w:rPr>
            </w:pPr>
            <w:r w:rsidRPr="001008E7">
              <w:rPr>
                <w:rFonts w:ascii="Arial" w:hAnsi="Arial"/>
                <w:spacing w:val="-1"/>
                <w:sz w:val="20"/>
              </w:rPr>
              <w:t>150</w:t>
            </w:r>
            <w:r>
              <w:rPr>
                <w:rFonts w:ascii="Arial" w:hAnsi="Arial"/>
                <w:spacing w:val="-1"/>
                <w:sz w:val="20"/>
              </w:rPr>
              <w:t>–</w:t>
            </w:r>
          </w:p>
          <w:p w14:paraId="4CDBAA0A" w14:textId="4C5CC671" w:rsidR="00D1722C" w:rsidRPr="001008E7" w:rsidRDefault="00D1722C" w:rsidP="00D1722C">
            <w:pPr>
              <w:pStyle w:val="TableParagraph"/>
              <w:rPr>
                <w:rFonts w:ascii="Arial" w:eastAsia="Arial" w:hAnsi="Arial" w:cs="Arial"/>
                <w:sz w:val="20"/>
                <w:szCs w:val="20"/>
              </w:rPr>
            </w:pPr>
            <w:r w:rsidRPr="001008E7">
              <w:rPr>
                <w:rFonts w:ascii="Arial" w:hAnsi="Arial"/>
                <w:spacing w:val="-1"/>
                <w:sz w:val="20"/>
              </w:rPr>
              <w:t>4</w:t>
            </w:r>
            <w:r w:rsidR="00966786">
              <w:rPr>
                <w:rFonts w:ascii="Arial" w:hAnsi="Arial"/>
                <w:spacing w:val="-1"/>
                <w:sz w:val="20"/>
              </w:rPr>
              <w:t>,</w:t>
            </w:r>
            <w:r w:rsidRPr="001008E7">
              <w:rPr>
                <w:rFonts w:ascii="Arial" w:hAnsi="Arial"/>
                <w:spacing w:val="-1"/>
                <w:sz w:val="20"/>
              </w:rPr>
              <w:t>000</w:t>
            </w:r>
            <w:r w:rsidR="00966786">
              <w:rPr>
                <w:rFonts w:ascii="Arial" w:hAnsi="Arial"/>
                <w:spacing w:val="-1"/>
                <w:sz w:val="20"/>
              </w:rPr>
              <w:t xml:space="preserve"> m</w:t>
            </w:r>
          </w:p>
        </w:tc>
        <w:tc>
          <w:tcPr>
            <w:tcW w:w="1753" w:type="dxa"/>
          </w:tcPr>
          <w:p w14:paraId="22171661" w14:textId="7ED2FD65" w:rsidR="00D1722C" w:rsidRDefault="00D1722C" w:rsidP="006313E9">
            <w:pPr>
              <w:pStyle w:val="TableParagraph"/>
              <w:ind w:left="35"/>
              <w:rPr>
                <w:rFonts w:ascii="Arial" w:hAnsi="Arial"/>
                <w:spacing w:val="-1"/>
                <w:sz w:val="20"/>
              </w:rPr>
            </w:pPr>
            <w:r w:rsidRPr="001008E7">
              <w:rPr>
                <w:rFonts w:ascii="Arial" w:hAnsi="Arial"/>
                <w:spacing w:val="-1"/>
                <w:sz w:val="20"/>
              </w:rPr>
              <w:t>142</w:t>
            </w:r>
            <w:r>
              <w:rPr>
                <w:rFonts w:ascii="Arial" w:hAnsi="Arial"/>
                <w:spacing w:val="-1"/>
                <w:sz w:val="20"/>
              </w:rPr>
              <w:t xml:space="preserve"> PK-PK at the cages (4</w:t>
            </w:r>
            <w:r w:rsidR="006C28BB">
              <w:rPr>
                <w:rFonts w:ascii="Arial" w:hAnsi="Arial"/>
                <w:spacing w:val="-1"/>
                <w:sz w:val="20"/>
              </w:rPr>
              <w:t xml:space="preserve"> </w:t>
            </w:r>
            <w:r>
              <w:rPr>
                <w:rFonts w:ascii="Arial" w:hAnsi="Arial"/>
                <w:spacing w:val="-1"/>
                <w:sz w:val="20"/>
              </w:rPr>
              <w:t>km) (M)</w:t>
            </w:r>
          </w:p>
          <w:p w14:paraId="6AC24B6C" w14:textId="77777777" w:rsidR="00D1722C" w:rsidRDefault="00D1722C" w:rsidP="006313E9">
            <w:pPr>
              <w:pStyle w:val="TableParagraph"/>
              <w:ind w:left="35"/>
              <w:rPr>
                <w:rFonts w:ascii="Arial" w:hAnsi="Arial"/>
                <w:spacing w:val="-1"/>
                <w:sz w:val="20"/>
              </w:rPr>
            </w:pPr>
          </w:p>
          <w:p w14:paraId="3AD45350" w14:textId="77777777" w:rsidR="00D1722C" w:rsidRPr="001008E7" w:rsidRDefault="00D1722C" w:rsidP="006313E9">
            <w:pPr>
              <w:pStyle w:val="TableParagraph"/>
              <w:ind w:left="35"/>
              <w:rPr>
                <w:rFonts w:ascii="Arial" w:eastAsia="Arial" w:hAnsi="Arial" w:cs="Arial"/>
                <w:sz w:val="20"/>
                <w:szCs w:val="20"/>
              </w:rPr>
            </w:pPr>
            <w:r w:rsidRPr="001008E7">
              <w:rPr>
                <w:rFonts w:ascii="Arial" w:hAnsi="Arial"/>
                <w:spacing w:val="-1"/>
                <w:sz w:val="20"/>
              </w:rPr>
              <w:t>186</w:t>
            </w:r>
            <w:r>
              <w:rPr>
                <w:rFonts w:ascii="Arial" w:eastAsia="Arial" w:hAnsi="Arial" w:cs="Arial"/>
                <w:sz w:val="20"/>
                <w:szCs w:val="20"/>
              </w:rPr>
              <w:t xml:space="preserve"> </w:t>
            </w:r>
            <w:r>
              <w:rPr>
                <w:rFonts w:ascii="Arial" w:hAnsi="Arial"/>
                <w:sz w:val="20"/>
              </w:rPr>
              <w:t>PK-PK at 150 m from airguns (M)</w:t>
            </w:r>
          </w:p>
        </w:tc>
        <w:tc>
          <w:tcPr>
            <w:tcW w:w="2256" w:type="dxa"/>
          </w:tcPr>
          <w:p w14:paraId="7E8CFF2C" w14:textId="77777777" w:rsidR="00D1722C" w:rsidRPr="001008E7" w:rsidRDefault="00D1722C" w:rsidP="0061430D">
            <w:pPr>
              <w:pStyle w:val="TableParagraph"/>
              <w:rPr>
                <w:rFonts w:ascii="Arial" w:eastAsia="Arial" w:hAnsi="Arial" w:cs="Arial"/>
                <w:sz w:val="20"/>
                <w:szCs w:val="20"/>
              </w:rPr>
            </w:pPr>
            <w:r w:rsidRPr="001008E7">
              <w:rPr>
                <w:rFonts w:ascii="Arial" w:hAnsi="Arial"/>
                <w:spacing w:val="-1"/>
                <w:sz w:val="20"/>
              </w:rPr>
              <w:t xml:space="preserve">No </w:t>
            </w:r>
            <w:r>
              <w:rPr>
                <w:rFonts w:ascii="Arial" w:hAnsi="Arial"/>
                <w:spacing w:val="-1"/>
                <w:sz w:val="20"/>
              </w:rPr>
              <w:t>mortality</w:t>
            </w:r>
            <w:r w:rsidRPr="001008E7">
              <w:rPr>
                <w:rFonts w:ascii="Arial" w:hAnsi="Arial"/>
                <w:spacing w:val="-1"/>
                <w:sz w:val="20"/>
              </w:rPr>
              <w:t xml:space="preserve"> observed.</w:t>
            </w:r>
          </w:p>
        </w:tc>
        <w:tc>
          <w:tcPr>
            <w:tcW w:w="1548" w:type="dxa"/>
          </w:tcPr>
          <w:p w14:paraId="02263665" w14:textId="57A375A0" w:rsidR="00D1722C" w:rsidRPr="001008E7" w:rsidRDefault="00D1722C" w:rsidP="0061430D">
            <w:pPr>
              <w:pStyle w:val="TableParagraph"/>
              <w:rPr>
                <w:rFonts w:ascii="Arial" w:eastAsia="Arial" w:hAnsi="Arial" w:cs="Arial"/>
                <w:sz w:val="20"/>
                <w:szCs w:val="20"/>
              </w:rPr>
            </w:pPr>
            <w:r>
              <w:rPr>
                <w:rFonts w:ascii="Arial" w:eastAsia="Arial" w:hAnsi="Arial" w:cs="Arial"/>
                <w:sz w:val="20"/>
                <w:szCs w:val="20"/>
              </w:rPr>
              <w:fldChar w:fldCharType="begin"/>
            </w:r>
            <w:r>
              <w:rPr>
                <w:rFonts w:ascii="Arial" w:eastAsia="Arial" w:hAnsi="Arial" w:cs="Arial"/>
                <w:sz w:val="20"/>
                <w:szCs w:val="20"/>
              </w:rPr>
              <w:instrText xml:space="preserve"> ADDIN EN.CITE &lt;EndNote&gt;&lt;Cite&gt;&lt;Author&gt;Thomsen&lt;/Author&gt;&lt;Year&gt;2002&lt;/Year&gt;&lt;RecNum&gt;712&lt;/RecNum&gt;&lt;DisplayText&gt;(Thomsen 2002)&lt;/DisplayText&gt;&lt;record&gt;&lt;rec-number&gt;712&lt;/rec-number&gt;&lt;foreign-keys&gt;&lt;key app="EN" db-id="arp55rdtqwd0adetva4p299cdxwxrvpx502w"&gt;712&lt;/key&gt;&lt;/foreign-keys&gt;&lt;ref-type name="Thesis"&gt;32&lt;/ref-type&gt;&lt;contributors&gt;&lt;authors&gt;&lt;author&gt;Thomsen, Bjarti&lt;/author&gt;&lt;/authors&gt;&lt;/contributors&gt;&lt;titles&gt;&lt;title&gt;An Experiment on How Seismic Shotting Affects Caged Fish&lt;/title&gt;&lt;/titles&gt;&lt;pages&gt;34&lt;/pages&gt;&lt;volume&gt;Masters of Science&lt;/volume&gt;&lt;dates&gt;&lt;year&gt;2002&lt;/year&gt;&lt;/dates&gt;&lt;publisher&gt;University of Aberdeen&lt;/publisher&gt;&lt;urls&gt;&lt;/urls&gt;&lt;/record&gt;&lt;/Cite&gt;&lt;/EndNote&gt;</w:instrText>
            </w:r>
            <w:r>
              <w:rPr>
                <w:rFonts w:ascii="Arial" w:eastAsia="Arial" w:hAnsi="Arial" w:cs="Arial"/>
                <w:sz w:val="20"/>
                <w:szCs w:val="20"/>
              </w:rPr>
              <w:fldChar w:fldCharType="separate"/>
            </w:r>
            <w:r>
              <w:rPr>
                <w:rFonts w:ascii="Arial" w:eastAsia="Arial" w:hAnsi="Arial" w:cs="Arial"/>
                <w:noProof/>
                <w:sz w:val="20"/>
                <w:szCs w:val="20"/>
              </w:rPr>
              <w:t>(</w:t>
            </w:r>
            <w:hyperlink w:anchor="_ENREF_10" w:tooltip="Thomsen, 2002 #712" w:history="1">
              <w:r>
                <w:rPr>
                  <w:rFonts w:ascii="Arial" w:eastAsia="Arial" w:hAnsi="Arial" w:cs="Arial"/>
                  <w:noProof/>
                  <w:sz w:val="20"/>
                  <w:szCs w:val="20"/>
                </w:rPr>
                <w:t>Thomsen</w:t>
              </w:r>
              <w:r w:rsidR="006313E9">
                <w:rPr>
                  <w:rFonts w:ascii="Arial" w:eastAsia="Arial" w:hAnsi="Arial" w:cs="Arial"/>
                  <w:noProof/>
                  <w:sz w:val="20"/>
                  <w:szCs w:val="20"/>
                </w:rPr>
                <w:t>,</w:t>
              </w:r>
              <w:r>
                <w:rPr>
                  <w:rFonts w:ascii="Arial" w:eastAsia="Arial" w:hAnsi="Arial" w:cs="Arial"/>
                  <w:noProof/>
                  <w:sz w:val="20"/>
                  <w:szCs w:val="20"/>
                </w:rPr>
                <w:t xml:space="preserve"> 2002</w:t>
              </w:r>
            </w:hyperlink>
            <w:r>
              <w:rPr>
                <w:rFonts w:ascii="Arial" w:eastAsia="Arial" w:hAnsi="Arial" w:cs="Arial"/>
                <w:noProof/>
                <w:sz w:val="20"/>
                <w:szCs w:val="20"/>
              </w:rPr>
              <w:t>)</w:t>
            </w:r>
            <w:r>
              <w:rPr>
                <w:rFonts w:ascii="Arial" w:eastAsia="Arial" w:hAnsi="Arial" w:cs="Arial"/>
                <w:sz w:val="20"/>
                <w:szCs w:val="20"/>
              </w:rPr>
              <w:fldChar w:fldCharType="end"/>
            </w:r>
            <w:r w:rsidRPr="006B6671">
              <w:rPr>
                <w:rFonts w:ascii="Arial" w:eastAsia="Arial" w:hAnsi="Arial" w:cs="Arial"/>
                <w:sz w:val="20"/>
                <w:szCs w:val="20"/>
                <w:vertAlign w:val="superscript"/>
              </w:rPr>
              <w:t>*,C,#</w:t>
            </w:r>
            <w:r>
              <w:rPr>
                <w:rFonts w:ascii="Arial" w:eastAsia="Arial" w:hAnsi="Arial" w:cs="Arial"/>
                <w:sz w:val="20"/>
                <w:szCs w:val="20"/>
              </w:rPr>
              <w:t xml:space="preserve"> </w:t>
            </w:r>
          </w:p>
        </w:tc>
        <w:tc>
          <w:tcPr>
            <w:tcW w:w="2360" w:type="dxa"/>
          </w:tcPr>
          <w:p w14:paraId="0F017A77" w14:textId="77777777" w:rsidR="00D1722C" w:rsidRDefault="00D1722C" w:rsidP="0061430D">
            <w:pPr>
              <w:pStyle w:val="TableParagraph"/>
              <w:rPr>
                <w:rFonts w:ascii="Arial" w:eastAsia="Arial" w:hAnsi="Arial" w:cs="Arial"/>
                <w:sz w:val="20"/>
                <w:szCs w:val="20"/>
              </w:rPr>
            </w:pPr>
            <w:r>
              <w:rPr>
                <w:rFonts w:ascii="Arial" w:eastAsia="Arial" w:hAnsi="Arial" w:cs="Arial"/>
                <w:sz w:val="20"/>
                <w:szCs w:val="20"/>
              </w:rPr>
              <w:t>Not relevant to mortality as levels significant lower than those in criteria.</w:t>
            </w:r>
          </w:p>
        </w:tc>
      </w:tr>
      <w:tr w:rsidR="00D1722C" w:rsidRPr="001008E7" w14:paraId="10E21A21" w14:textId="77777777" w:rsidTr="00966786">
        <w:tc>
          <w:tcPr>
            <w:tcW w:w="1900" w:type="dxa"/>
          </w:tcPr>
          <w:p w14:paraId="1FE3E1C6" w14:textId="77777777" w:rsidR="00D1722C" w:rsidRPr="001008E7" w:rsidRDefault="00D1722C" w:rsidP="0061430D">
            <w:pPr>
              <w:pStyle w:val="TableParagraph"/>
              <w:rPr>
                <w:rFonts w:ascii="Arial" w:eastAsia="Arial" w:hAnsi="Arial" w:cs="Arial"/>
                <w:sz w:val="20"/>
                <w:szCs w:val="16"/>
              </w:rPr>
            </w:pPr>
            <w:r w:rsidRPr="001008E7">
              <w:rPr>
                <w:rFonts w:ascii="Arial" w:hAnsi="Arial"/>
                <w:sz w:val="20"/>
              </w:rPr>
              <w:t>Demersal</w:t>
            </w:r>
            <w:r w:rsidRPr="001008E7">
              <w:rPr>
                <w:rFonts w:ascii="Arial" w:hAnsi="Arial"/>
                <w:spacing w:val="-6"/>
                <w:sz w:val="20"/>
              </w:rPr>
              <w:t xml:space="preserve"> </w:t>
            </w:r>
            <w:r w:rsidRPr="001008E7">
              <w:rPr>
                <w:rFonts w:ascii="Arial" w:hAnsi="Arial"/>
                <w:sz w:val="20"/>
              </w:rPr>
              <w:t>fish,</w:t>
            </w:r>
            <w:r w:rsidRPr="001008E7">
              <w:rPr>
                <w:rFonts w:ascii="Arial" w:hAnsi="Arial"/>
                <w:spacing w:val="-5"/>
                <w:sz w:val="20"/>
              </w:rPr>
              <w:t xml:space="preserve"> </w:t>
            </w:r>
            <w:r w:rsidRPr="001008E7">
              <w:rPr>
                <w:rFonts w:ascii="Arial" w:hAnsi="Arial"/>
                <w:sz w:val="20"/>
              </w:rPr>
              <w:t>blue</w:t>
            </w:r>
            <w:r w:rsidRPr="001008E7">
              <w:rPr>
                <w:rFonts w:ascii="Arial" w:hAnsi="Arial"/>
                <w:spacing w:val="-4"/>
                <w:sz w:val="20"/>
              </w:rPr>
              <w:t xml:space="preserve"> </w:t>
            </w:r>
            <w:r w:rsidRPr="001008E7">
              <w:rPr>
                <w:rFonts w:ascii="Arial" w:hAnsi="Arial"/>
                <w:spacing w:val="-1"/>
                <w:sz w:val="20"/>
              </w:rPr>
              <w:t>whiting</w:t>
            </w:r>
            <w:r w:rsidRPr="001008E7">
              <w:rPr>
                <w:rFonts w:ascii="Arial" w:hAnsi="Arial"/>
                <w:spacing w:val="-5"/>
                <w:sz w:val="20"/>
              </w:rPr>
              <w:t xml:space="preserve"> </w:t>
            </w:r>
            <w:r w:rsidRPr="001008E7">
              <w:rPr>
                <w:rFonts w:ascii="Arial" w:hAnsi="Arial"/>
                <w:sz w:val="20"/>
              </w:rPr>
              <w:t>and</w:t>
            </w:r>
            <w:r w:rsidRPr="001008E7">
              <w:rPr>
                <w:rFonts w:ascii="Arial" w:hAnsi="Arial"/>
                <w:spacing w:val="25"/>
                <w:w w:val="99"/>
                <w:sz w:val="20"/>
              </w:rPr>
              <w:t xml:space="preserve"> </w:t>
            </w:r>
            <w:r w:rsidRPr="001008E7">
              <w:rPr>
                <w:rFonts w:ascii="Arial" w:hAnsi="Arial"/>
                <w:sz w:val="20"/>
              </w:rPr>
              <w:t>some</w:t>
            </w:r>
            <w:r w:rsidRPr="001008E7">
              <w:rPr>
                <w:rFonts w:ascii="Arial" w:hAnsi="Arial"/>
                <w:spacing w:val="-6"/>
                <w:sz w:val="20"/>
              </w:rPr>
              <w:t xml:space="preserve"> </w:t>
            </w:r>
            <w:r w:rsidRPr="001008E7">
              <w:rPr>
                <w:rFonts w:ascii="Arial" w:hAnsi="Arial"/>
                <w:sz w:val="20"/>
              </w:rPr>
              <w:t>pelagic</w:t>
            </w:r>
            <w:r w:rsidRPr="001008E7">
              <w:rPr>
                <w:rFonts w:ascii="Arial" w:hAnsi="Arial"/>
                <w:spacing w:val="-6"/>
                <w:sz w:val="20"/>
              </w:rPr>
              <w:t xml:space="preserve"> </w:t>
            </w:r>
            <w:r w:rsidRPr="001008E7">
              <w:rPr>
                <w:rFonts w:ascii="Arial" w:hAnsi="Arial"/>
                <w:sz w:val="20"/>
              </w:rPr>
              <w:t>fish</w:t>
            </w:r>
          </w:p>
        </w:tc>
        <w:tc>
          <w:tcPr>
            <w:tcW w:w="1276" w:type="dxa"/>
          </w:tcPr>
          <w:p w14:paraId="69503734" w14:textId="7046FE3B" w:rsidR="00D1722C" w:rsidRPr="001008E7" w:rsidRDefault="00D1722C" w:rsidP="006313E9">
            <w:pPr>
              <w:pStyle w:val="TableParagraph"/>
              <w:rPr>
                <w:rFonts w:ascii="Arial" w:hAnsi="Arial"/>
                <w:spacing w:val="-1"/>
                <w:sz w:val="20"/>
              </w:rPr>
            </w:pPr>
            <w:r>
              <w:rPr>
                <w:rFonts w:ascii="Arial" w:hAnsi="Arial"/>
                <w:spacing w:val="-1"/>
                <w:sz w:val="20"/>
              </w:rPr>
              <w:t>4</w:t>
            </w:r>
            <w:r w:rsidR="006313E9">
              <w:rPr>
                <w:rFonts w:ascii="Arial" w:hAnsi="Arial"/>
                <w:spacing w:val="-1"/>
                <w:sz w:val="20"/>
              </w:rPr>
              <w:t>,</w:t>
            </w:r>
            <w:r>
              <w:rPr>
                <w:rFonts w:ascii="Arial" w:hAnsi="Arial"/>
                <w:spacing w:val="-1"/>
                <w:sz w:val="20"/>
              </w:rPr>
              <w:t xml:space="preserve">752 </w:t>
            </w:r>
            <w:r w:rsidR="006313E9">
              <w:rPr>
                <w:rFonts w:ascii="Arial" w:hAnsi="Arial"/>
                <w:spacing w:val="-1"/>
                <w:sz w:val="20"/>
              </w:rPr>
              <w:t>cui</w:t>
            </w:r>
            <w:r>
              <w:rPr>
                <w:rFonts w:ascii="Arial" w:hAnsi="Arial"/>
                <w:spacing w:val="-1"/>
                <w:sz w:val="20"/>
              </w:rPr>
              <w:t xml:space="preserve"> </w:t>
            </w:r>
            <w:r w:rsidR="006313E9">
              <w:rPr>
                <w:rFonts w:ascii="Arial" w:hAnsi="Arial"/>
                <w:spacing w:val="-1"/>
                <w:sz w:val="20"/>
              </w:rPr>
              <w:t xml:space="preserve">airgun </w:t>
            </w:r>
            <w:r>
              <w:rPr>
                <w:rFonts w:ascii="Arial" w:hAnsi="Arial"/>
                <w:spacing w:val="-1"/>
                <w:sz w:val="20"/>
              </w:rPr>
              <w:t>array</w:t>
            </w:r>
          </w:p>
        </w:tc>
        <w:tc>
          <w:tcPr>
            <w:tcW w:w="1701" w:type="dxa"/>
          </w:tcPr>
          <w:p w14:paraId="4562A3B3" w14:textId="77777777" w:rsidR="00D1722C" w:rsidRDefault="00D1722C" w:rsidP="00D1722C">
            <w:pPr>
              <w:pStyle w:val="TableParagraph"/>
              <w:rPr>
                <w:rFonts w:ascii="Arial" w:hAnsi="Arial"/>
                <w:spacing w:val="-1"/>
                <w:sz w:val="20"/>
              </w:rPr>
            </w:pPr>
            <w:r w:rsidRPr="001008E7">
              <w:rPr>
                <w:rFonts w:ascii="Arial" w:hAnsi="Arial"/>
                <w:spacing w:val="-1"/>
                <w:sz w:val="20"/>
              </w:rPr>
              <w:t>222</w:t>
            </w:r>
            <w:r>
              <w:rPr>
                <w:rFonts w:ascii="Arial" w:hAnsi="Arial"/>
                <w:spacing w:val="-1"/>
                <w:sz w:val="20"/>
              </w:rPr>
              <w:t>–</w:t>
            </w:r>
            <w:r w:rsidRPr="001008E7">
              <w:rPr>
                <w:rFonts w:ascii="Arial" w:hAnsi="Arial"/>
                <w:spacing w:val="-1"/>
                <w:sz w:val="20"/>
              </w:rPr>
              <w:t>250</w:t>
            </w:r>
            <w:r>
              <w:rPr>
                <w:rFonts w:ascii="Arial" w:hAnsi="Arial"/>
                <w:spacing w:val="-1"/>
                <w:sz w:val="20"/>
              </w:rPr>
              <w:t xml:space="preserve"> PK</w:t>
            </w:r>
          </w:p>
          <w:p w14:paraId="742EF3C0" w14:textId="77777777" w:rsidR="00D1722C" w:rsidRPr="001008E7" w:rsidRDefault="00D1722C" w:rsidP="00D1722C">
            <w:pPr>
              <w:pStyle w:val="TableParagraph"/>
              <w:rPr>
                <w:rFonts w:ascii="Arial" w:hAnsi="Arial"/>
                <w:spacing w:val="-1"/>
                <w:sz w:val="20"/>
              </w:rPr>
            </w:pPr>
          </w:p>
        </w:tc>
        <w:tc>
          <w:tcPr>
            <w:tcW w:w="1467" w:type="dxa"/>
          </w:tcPr>
          <w:p w14:paraId="4849F1E7" w14:textId="77777777" w:rsidR="00D1722C" w:rsidRPr="001008E7" w:rsidRDefault="00D1722C" w:rsidP="00D1722C">
            <w:pPr>
              <w:pStyle w:val="TableParagraph"/>
              <w:rPr>
                <w:rFonts w:ascii="Arial" w:hAnsi="Arial"/>
                <w:spacing w:val="-1"/>
                <w:sz w:val="20"/>
              </w:rPr>
            </w:pPr>
            <w:r w:rsidRPr="001008E7">
              <w:rPr>
                <w:rFonts w:ascii="Arial" w:hAnsi="Arial"/>
                <w:spacing w:val="-1"/>
                <w:sz w:val="20"/>
              </w:rPr>
              <w:t>1</w:t>
            </w:r>
            <w:r>
              <w:rPr>
                <w:rFonts w:ascii="Arial" w:hAnsi="Arial"/>
                <w:spacing w:val="-1"/>
                <w:sz w:val="20"/>
              </w:rPr>
              <w:t>–</w:t>
            </w:r>
            <w:r w:rsidRPr="001008E7">
              <w:rPr>
                <w:rFonts w:ascii="Arial" w:hAnsi="Arial"/>
                <w:spacing w:val="-1"/>
                <w:sz w:val="20"/>
              </w:rPr>
              <w:t>10</w:t>
            </w:r>
            <w:r>
              <w:rPr>
                <w:rFonts w:ascii="Arial" w:hAnsi="Arial"/>
                <w:spacing w:val="-1"/>
                <w:sz w:val="20"/>
              </w:rPr>
              <w:t>,</w:t>
            </w:r>
          </w:p>
          <w:p w14:paraId="57D20D26" w14:textId="1E35BFB2" w:rsidR="00D1722C" w:rsidRPr="001008E7" w:rsidRDefault="00D1722C" w:rsidP="00D1722C">
            <w:pPr>
              <w:pStyle w:val="TableParagraph"/>
              <w:rPr>
                <w:rFonts w:ascii="Arial" w:hAnsi="Arial"/>
                <w:sz w:val="20"/>
              </w:rPr>
            </w:pPr>
            <w:r w:rsidRPr="001008E7">
              <w:rPr>
                <w:rFonts w:ascii="Arial" w:hAnsi="Arial"/>
                <w:sz w:val="20"/>
              </w:rPr>
              <w:t>150</w:t>
            </w:r>
            <w:r>
              <w:rPr>
                <w:rFonts w:ascii="Arial" w:hAnsi="Arial"/>
                <w:spacing w:val="-1"/>
                <w:sz w:val="20"/>
              </w:rPr>
              <w:t>–</w:t>
            </w:r>
            <w:r w:rsidRPr="001008E7">
              <w:rPr>
                <w:rFonts w:ascii="Arial" w:hAnsi="Arial"/>
                <w:sz w:val="20"/>
              </w:rPr>
              <w:t>300</w:t>
            </w:r>
            <w:r w:rsidR="00966786">
              <w:rPr>
                <w:rFonts w:ascii="Arial" w:hAnsi="Arial"/>
                <w:sz w:val="20"/>
              </w:rPr>
              <w:t xml:space="preserve"> m</w:t>
            </w:r>
          </w:p>
        </w:tc>
        <w:tc>
          <w:tcPr>
            <w:tcW w:w="1753" w:type="dxa"/>
          </w:tcPr>
          <w:p w14:paraId="304F49AA" w14:textId="77777777" w:rsidR="00D1722C" w:rsidRPr="001008E7" w:rsidRDefault="00D1722C" w:rsidP="006313E9">
            <w:pPr>
              <w:pStyle w:val="TableParagraph"/>
              <w:ind w:left="35"/>
              <w:rPr>
                <w:rFonts w:ascii="Arial" w:eastAsia="Arial" w:hAnsi="Arial" w:cs="Arial"/>
                <w:sz w:val="20"/>
                <w:szCs w:val="16"/>
              </w:rPr>
            </w:pPr>
            <w:r>
              <w:rPr>
                <w:rFonts w:ascii="Arial" w:hAnsi="Arial"/>
                <w:spacing w:val="-1"/>
                <w:sz w:val="20"/>
              </w:rPr>
              <w:t>200-210 (E)</w:t>
            </w:r>
          </w:p>
        </w:tc>
        <w:tc>
          <w:tcPr>
            <w:tcW w:w="2256" w:type="dxa"/>
          </w:tcPr>
          <w:p w14:paraId="6CC9D6F2" w14:textId="77777777" w:rsidR="00D1722C" w:rsidRPr="001008E7" w:rsidRDefault="00D1722C" w:rsidP="0061430D">
            <w:pPr>
              <w:pStyle w:val="TableParagraph"/>
              <w:rPr>
                <w:rFonts w:ascii="Arial" w:eastAsia="Arial" w:hAnsi="Arial" w:cs="Arial"/>
                <w:sz w:val="20"/>
                <w:szCs w:val="16"/>
              </w:rPr>
            </w:pPr>
            <w:r w:rsidRPr="001008E7">
              <w:rPr>
                <w:rFonts w:ascii="Arial" w:hAnsi="Arial"/>
                <w:sz w:val="20"/>
              </w:rPr>
              <w:t>No</w:t>
            </w:r>
            <w:r w:rsidRPr="001008E7">
              <w:rPr>
                <w:rFonts w:ascii="Arial" w:hAnsi="Arial"/>
                <w:spacing w:val="-6"/>
                <w:sz w:val="20"/>
              </w:rPr>
              <w:t xml:space="preserve"> </w:t>
            </w:r>
            <w:r w:rsidRPr="001008E7">
              <w:rPr>
                <w:rFonts w:ascii="Arial" w:hAnsi="Arial"/>
                <w:sz w:val="20"/>
              </w:rPr>
              <w:t>mortality</w:t>
            </w:r>
            <w:r w:rsidRPr="001008E7">
              <w:rPr>
                <w:rFonts w:ascii="Arial" w:hAnsi="Arial"/>
                <w:spacing w:val="-7"/>
                <w:sz w:val="20"/>
              </w:rPr>
              <w:t xml:space="preserve"> </w:t>
            </w:r>
            <w:r w:rsidRPr="001008E7">
              <w:rPr>
                <w:rFonts w:ascii="Arial" w:hAnsi="Arial"/>
                <w:sz w:val="20"/>
              </w:rPr>
              <w:t>observed.</w:t>
            </w:r>
          </w:p>
        </w:tc>
        <w:tc>
          <w:tcPr>
            <w:tcW w:w="1548" w:type="dxa"/>
          </w:tcPr>
          <w:p w14:paraId="1647FA1A" w14:textId="34E452CB" w:rsidR="00D1722C" w:rsidRPr="001008E7" w:rsidRDefault="00D1722C" w:rsidP="0061430D">
            <w:pPr>
              <w:pStyle w:val="TableParagraph"/>
              <w:rPr>
                <w:rFonts w:ascii="Arial" w:eastAsia="Arial" w:hAnsi="Arial" w:cs="Arial"/>
                <w:sz w:val="20"/>
                <w:szCs w:val="16"/>
              </w:rPr>
            </w:pPr>
            <w:r>
              <w:rPr>
                <w:rFonts w:ascii="Arial" w:eastAsia="Arial" w:hAnsi="Arial" w:cs="Arial"/>
                <w:sz w:val="20"/>
                <w:szCs w:val="16"/>
              </w:rPr>
              <w:fldChar w:fldCharType="begin"/>
            </w:r>
            <w:r>
              <w:rPr>
                <w:rFonts w:ascii="Arial" w:eastAsia="Arial" w:hAnsi="Arial" w:cs="Arial"/>
                <w:sz w:val="20"/>
                <w:szCs w:val="16"/>
              </w:rPr>
              <w:instrText xml:space="preserve"> ADDIN EN.CITE &lt;EndNote&gt;&lt;Cite&gt;&lt;Author&gt;Dalen&lt;/Author&gt;&lt;Year&gt;1987&lt;/Year&gt;&lt;RecNum&gt;185&lt;/RecNum&gt;&lt;DisplayText&gt;(Dalen and Knutsen 1987)&lt;/DisplayText&gt;&lt;record&gt;&lt;rec-number&gt;185&lt;/rec-number&gt;&lt;foreign-keys&gt;&lt;key app="EN" db-id="arp55rdtqwd0adetva4p299cdxwxrvpx502w"&gt;185&lt;/key&gt;&lt;/foreign-keys&gt;&lt;ref-type name="Book Section"&gt;5&lt;/ref-type&gt;&lt;contributors&gt;&lt;authors&gt;&lt;author&gt;Dalen, John&lt;/author&gt;&lt;author&gt;Knutsen, GeirMagne&lt;/author&gt;&lt;/authors&gt;&lt;secondary-authors&gt;&lt;author&gt;Merklinger, HaroldM&lt;/author&gt;&lt;/secondary-authors&gt;&lt;/contributors&gt;&lt;titles&gt;&lt;title&gt;Scaring Effects in Fish and Harmful Effects on Eggs, Larvae and Fry by Offshore Seismic Explorations&lt;/title&gt;&lt;secondary-title&gt;Progress in Underwater Acoustics&lt;/secondary-title&gt;&lt;/titles&gt;&lt;pages&gt;93-102&lt;/pages&gt;&lt;section&gt;12&lt;/section&gt;&lt;dates&gt;&lt;year&gt;1987&lt;/year&gt;&lt;pub-dates&gt;&lt;date&gt;1987/01/01&lt;/date&gt;&lt;/pub-dates&gt;&lt;/dates&gt;&lt;publisher&gt;Springer US&lt;/publisher&gt;&lt;isbn&gt;978-1-4612-9043-8&lt;/isbn&gt;&lt;urls&gt;&lt;related-urls&gt;&lt;url&gt;http://dx.doi.org/10.1007/978-1-4613-1871-2_12&lt;/url&gt;&lt;/related-urls&gt;&lt;/urls&gt;&lt;electronic-resource-num&gt;10.1007/978-1-4613-1871-2_12&lt;/electronic-resource-num&gt;&lt;language&gt;English&lt;/language&gt;&lt;/record&gt;&lt;/Cite&gt;&lt;/EndNote&gt;</w:instrText>
            </w:r>
            <w:r>
              <w:rPr>
                <w:rFonts w:ascii="Arial" w:eastAsia="Arial" w:hAnsi="Arial" w:cs="Arial"/>
                <w:sz w:val="20"/>
                <w:szCs w:val="16"/>
              </w:rPr>
              <w:fldChar w:fldCharType="separate"/>
            </w:r>
            <w:r>
              <w:rPr>
                <w:rFonts w:ascii="Arial" w:eastAsia="Arial" w:hAnsi="Arial" w:cs="Arial"/>
                <w:noProof/>
                <w:sz w:val="20"/>
                <w:szCs w:val="16"/>
              </w:rPr>
              <w:t>(</w:t>
            </w:r>
            <w:hyperlink w:anchor="_ENREF_2" w:tooltip="Dalen, 1987 #185" w:history="1">
              <w:r>
                <w:rPr>
                  <w:rFonts w:ascii="Arial" w:eastAsia="Arial" w:hAnsi="Arial" w:cs="Arial"/>
                  <w:noProof/>
                  <w:sz w:val="20"/>
                  <w:szCs w:val="16"/>
                </w:rPr>
                <w:t>Dalen and Knutsen</w:t>
              </w:r>
              <w:r w:rsidR="006313E9">
                <w:rPr>
                  <w:rFonts w:ascii="Arial" w:eastAsia="Arial" w:hAnsi="Arial" w:cs="Arial"/>
                  <w:noProof/>
                  <w:sz w:val="20"/>
                  <w:szCs w:val="16"/>
                </w:rPr>
                <w:t>,</w:t>
              </w:r>
              <w:r>
                <w:rPr>
                  <w:rFonts w:ascii="Arial" w:eastAsia="Arial" w:hAnsi="Arial" w:cs="Arial"/>
                  <w:noProof/>
                  <w:sz w:val="20"/>
                  <w:szCs w:val="16"/>
                </w:rPr>
                <w:t xml:space="preserve"> 1987</w:t>
              </w:r>
            </w:hyperlink>
            <w:r>
              <w:rPr>
                <w:rFonts w:ascii="Arial" w:eastAsia="Arial" w:hAnsi="Arial" w:cs="Arial"/>
                <w:noProof/>
                <w:sz w:val="20"/>
                <w:szCs w:val="16"/>
              </w:rPr>
              <w:t>)</w:t>
            </w:r>
            <w:r>
              <w:rPr>
                <w:rFonts w:ascii="Arial" w:eastAsia="Arial" w:hAnsi="Arial" w:cs="Arial"/>
                <w:sz w:val="20"/>
                <w:szCs w:val="16"/>
              </w:rPr>
              <w:fldChar w:fldCharType="end"/>
            </w:r>
            <w:r>
              <w:rPr>
                <w:rFonts w:ascii="Arial" w:eastAsia="Arial" w:hAnsi="Arial" w:cs="Arial"/>
                <w:sz w:val="20"/>
                <w:szCs w:val="20"/>
                <w:vertAlign w:val="superscript"/>
              </w:rPr>
              <w:t>*,</w:t>
            </w:r>
            <w:r w:rsidRPr="006B6671">
              <w:rPr>
                <w:rFonts w:ascii="Arial" w:eastAsia="Arial" w:hAnsi="Arial" w:cs="Arial"/>
                <w:sz w:val="20"/>
                <w:szCs w:val="20"/>
                <w:vertAlign w:val="superscript"/>
              </w:rPr>
              <w:t>C,#</w:t>
            </w:r>
          </w:p>
        </w:tc>
        <w:tc>
          <w:tcPr>
            <w:tcW w:w="2360" w:type="dxa"/>
          </w:tcPr>
          <w:p w14:paraId="62527868" w14:textId="77777777" w:rsidR="00D1722C" w:rsidRDefault="00D1722C" w:rsidP="0061430D">
            <w:pPr>
              <w:pStyle w:val="TableParagraph"/>
              <w:rPr>
                <w:rFonts w:ascii="Arial" w:eastAsia="Arial" w:hAnsi="Arial" w:cs="Arial"/>
                <w:sz w:val="20"/>
                <w:szCs w:val="16"/>
              </w:rPr>
            </w:pPr>
            <w:r>
              <w:rPr>
                <w:rFonts w:ascii="Arial" w:hAnsi="Arial"/>
                <w:sz w:val="20"/>
              </w:rPr>
              <w:t xml:space="preserve">Relevant – study with large commercial array. </w:t>
            </w:r>
          </w:p>
        </w:tc>
      </w:tr>
      <w:tr w:rsidR="00D1722C" w:rsidRPr="001008E7" w14:paraId="56F6E0ED" w14:textId="77777777" w:rsidTr="00966786">
        <w:tc>
          <w:tcPr>
            <w:tcW w:w="1900" w:type="dxa"/>
          </w:tcPr>
          <w:p w14:paraId="277E16B6" w14:textId="77777777" w:rsidR="00D1722C" w:rsidRPr="001008E7" w:rsidRDefault="00D1722C" w:rsidP="0061430D">
            <w:pPr>
              <w:pStyle w:val="TableParagraph"/>
              <w:rPr>
                <w:rFonts w:ascii="Arial" w:eastAsia="Arial" w:hAnsi="Arial" w:cs="Arial"/>
                <w:sz w:val="20"/>
                <w:szCs w:val="16"/>
              </w:rPr>
            </w:pPr>
            <w:r w:rsidRPr="001008E7">
              <w:rPr>
                <w:rFonts w:ascii="Arial" w:hAnsi="Arial"/>
                <w:sz w:val="20"/>
              </w:rPr>
              <w:t>Red</w:t>
            </w:r>
            <w:r w:rsidRPr="001008E7">
              <w:rPr>
                <w:rFonts w:ascii="Arial" w:hAnsi="Arial"/>
                <w:spacing w:val="-9"/>
                <w:sz w:val="20"/>
              </w:rPr>
              <w:t xml:space="preserve"> </w:t>
            </w:r>
            <w:r w:rsidRPr="001008E7">
              <w:rPr>
                <w:rFonts w:ascii="Arial" w:hAnsi="Arial"/>
                <w:sz w:val="20"/>
              </w:rPr>
              <w:t>snapper</w:t>
            </w:r>
            <w:r w:rsidRPr="001008E7">
              <w:rPr>
                <w:rFonts w:ascii="Arial" w:hAnsi="Arial"/>
                <w:spacing w:val="-7"/>
                <w:sz w:val="20"/>
              </w:rPr>
              <w:t xml:space="preserve"> </w:t>
            </w:r>
            <w:r w:rsidRPr="001008E7">
              <w:rPr>
                <w:rFonts w:ascii="Arial" w:hAnsi="Arial"/>
                <w:sz w:val="20"/>
              </w:rPr>
              <w:t>(</w:t>
            </w:r>
            <w:r w:rsidRPr="001008E7">
              <w:rPr>
                <w:rFonts w:ascii="Arial" w:hAnsi="Arial"/>
                <w:i/>
                <w:sz w:val="20"/>
              </w:rPr>
              <w:t>Lutjanus</w:t>
            </w:r>
            <w:r w:rsidRPr="001008E7">
              <w:rPr>
                <w:rFonts w:ascii="Arial" w:hAnsi="Arial"/>
                <w:i/>
                <w:spacing w:val="21"/>
                <w:w w:val="99"/>
                <w:sz w:val="20"/>
              </w:rPr>
              <w:t xml:space="preserve"> </w:t>
            </w:r>
            <w:r w:rsidRPr="001008E7">
              <w:rPr>
                <w:rFonts w:ascii="Arial" w:hAnsi="Arial"/>
                <w:i/>
                <w:spacing w:val="-1"/>
                <w:sz w:val="20"/>
              </w:rPr>
              <w:t>synagris</w:t>
            </w:r>
            <w:r>
              <w:rPr>
                <w:rFonts w:ascii="Arial" w:hAnsi="Arial"/>
                <w:spacing w:val="-1"/>
                <w:sz w:val="20"/>
              </w:rPr>
              <w:t xml:space="preserve">), </w:t>
            </w:r>
            <w:r>
              <w:rPr>
                <w:rFonts w:ascii="Arial" w:hAnsi="Arial"/>
                <w:spacing w:val="-1"/>
                <w:sz w:val="20"/>
              </w:rPr>
              <w:lastRenderedPageBreak/>
              <w:t>Schoolmaster snapper (</w:t>
            </w:r>
            <w:r w:rsidRPr="008F1040">
              <w:rPr>
                <w:rFonts w:ascii="Arial" w:hAnsi="Arial"/>
                <w:i/>
                <w:spacing w:val="-1"/>
                <w:sz w:val="20"/>
              </w:rPr>
              <w:t>Lutjanus apodus</w:t>
            </w:r>
            <w:r>
              <w:rPr>
                <w:rFonts w:ascii="Arial" w:hAnsi="Arial"/>
                <w:i/>
                <w:spacing w:val="-1"/>
                <w:sz w:val="20"/>
              </w:rPr>
              <w:t>),</w:t>
            </w:r>
            <w:r>
              <w:rPr>
                <w:rFonts w:ascii="Arial" w:hAnsi="Arial"/>
                <w:spacing w:val="-1"/>
                <w:sz w:val="20"/>
              </w:rPr>
              <w:t>Atlantic spadefish (</w:t>
            </w:r>
            <w:r w:rsidRPr="008F1040">
              <w:rPr>
                <w:rFonts w:ascii="Arial" w:hAnsi="Arial"/>
                <w:i/>
                <w:spacing w:val="-1"/>
                <w:sz w:val="20"/>
              </w:rPr>
              <w:t>Chaetodipterus faber</w:t>
            </w:r>
            <w:r>
              <w:rPr>
                <w:rFonts w:ascii="Arial" w:hAnsi="Arial"/>
                <w:i/>
                <w:spacing w:val="-1"/>
                <w:sz w:val="20"/>
              </w:rPr>
              <w:t>)</w:t>
            </w:r>
          </w:p>
        </w:tc>
        <w:tc>
          <w:tcPr>
            <w:tcW w:w="1276" w:type="dxa"/>
          </w:tcPr>
          <w:p w14:paraId="6A7D4CA5" w14:textId="6E9409C7" w:rsidR="00D1722C" w:rsidRPr="006313E9" w:rsidRDefault="00D1722C" w:rsidP="006313E9">
            <w:pPr>
              <w:pStyle w:val="TableParagraph"/>
              <w:rPr>
                <w:rFonts w:ascii="Arial" w:hAnsi="Arial"/>
                <w:spacing w:val="-1"/>
                <w:sz w:val="20"/>
              </w:rPr>
            </w:pPr>
            <w:r w:rsidRPr="006313E9">
              <w:rPr>
                <w:rFonts w:ascii="Arial" w:hAnsi="Arial"/>
                <w:spacing w:val="-1"/>
                <w:sz w:val="20"/>
              </w:rPr>
              <w:lastRenderedPageBreak/>
              <w:t xml:space="preserve">635 </w:t>
            </w:r>
            <w:r w:rsidR="006313E9">
              <w:rPr>
                <w:rFonts w:ascii="Arial" w:hAnsi="Arial"/>
                <w:spacing w:val="-1"/>
                <w:sz w:val="20"/>
              </w:rPr>
              <w:t xml:space="preserve">cui airgun </w:t>
            </w:r>
            <w:r w:rsidRPr="006313E9">
              <w:rPr>
                <w:rFonts w:ascii="Arial" w:hAnsi="Arial"/>
                <w:spacing w:val="-1"/>
                <w:sz w:val="20"/>
              </w:rPr>
              <w:t>array</w:t>
            </w:r>
          </w:p>
        </w:tc>
        <w:tc>
          <w:tcPr>
            <w:tcW w:w="1701" w:type="dxa"/>
          </w:tcPr>
          <w:p w14:paraId="63F25518" w14:textId="77777777" w:rsidR="00D1722C" w:rsidRDefault="00D1722C" w:rsidP="00D1722C">
            <w:pPr>
              <w:pStyle w:val="TableParagraph"/>
              <w:rPr>
                <w:rFonts w:ascii="Arial" w:hAnsi="Arial"/>
                <w:spacing w:val="-1"/>
                <w:sz w:val="20"/>
              </w:rPr>
            </w:pPr>
            <w:r w:rsidRPr="001008E7">
              <w:rPr>
                <w:rFonts w:ascii="Arial" w:hAnsi="Arial"/>
                <w:spacing w:val="-1"/>
                <w:sz w:val="20"/>
              </w:rPr>
              <w:t>196</w:t>
            </w:r>
            <w:r>
              <w:rPr>
                <w:rFonts w:ascii="Arial" w:hAnsi="Arial"/>
                <w:spacing w:val="-1"/>
                <w:sz w:val="20"/>
              </w:rPr>
              <w:t xml:space="preserve"> PK</w:t>
            </w:r>
          </w:p>
          <w:p w14:paraId="62B75CEC" w14:textId="77777777" w:rsidR="00D1722C" w:rsidRPr="001008E7" w:rsidRDefault="00D1722C" w:rsidP="00D1722C">
            <w:pPr>
              <w:pStyle w:val="TableParagraph"/>
              <w:rPr>
                <w:rFonts w:ascii="Arial" w:hAnsi="Arial"/>
                <w:spacing w:val="-1"/>
                <w:sz w:val="20"/>
              </w:rPr>
            </w:pPr>
          </w:p>
        </w:tc>
        <w:tc>
          <w:tcPr>
            <w:tcW w:w="1467" w:type="dxa"/>
          </w:tcPr>
          <w:p w14:paraId="2F74B675" w14:textId="77777777" w:rsidR="00D1722C" w:rsidRDefault="00D1722C" w:rsidP="00D1722C">
            <w:pPr>
              <w:pStyle w:val="TableParagraph"/>
              <w:rPr>
                <w:rFonts w:ascii="Arial" w:hAnsi="Arial"/>
                <w:sz w:val="20"/>
              </w:rPr>
            </w:pPr>
            <w:r>
              <w:rPr>
                <w:rFonts w:ascii="Arial" w:hAnsi="Arial"/>
                <w:sz w:val="20"/>
              </w:rPr>
              <w:t>7 m horizontal at 5m depth.</w:t>
            </w:r>
          </w:p>
          <w:p w14:paraId="2B886F7C" w14:textId="77777777" w:rsidR="00D1722C" w:rsidRDefault="00D1722C" w:rsidP="00D1722C">
            <w:pPr>
              <w:pStyle w:val="TableParagraph"/>
              <w:rPr>
                <w:rFonts w:ascii="Arial" w:hAnsi="Arial"/>
                <w:sz w:val="20"/>
              </w:rPr>
            </w:pPr>
            <w:r>
              <w:rPr>
                <w:rFonts w:ascii="Arial" w:hAnsi="Arial"/>
                <w:sz w:val="20"/>
              </w:rPr>
              <w:lastRenderedPageBreak/>
              <w:t>2.5 m below array</w:t>
            </w:r>
          </w:p>
          <w:p w14:paraId="2C29BEBE" w14:textId="77777777" w:rsidR="00D1722C" w:rsidRDefault="00D1722C" w:rsidP="00D1722C">
            <w:pPr>
              <w:pStyle w:val="TableParagraph"/>
              <w:rPr>
                <w:rFonts w:ascii="Arial" w:hAnsi="Arial"/>
                <w:sz w:val="20"/>
              </w:rPr>
            </w:pPr>
            <w:r>
              <w:rPr>
                <w:rFonts w:ascii="Arial" w:hAnsi="Arial"/>
                <w:sz w:val="20"/>
              </w:rPr>
              <w:t>And 1 m horizontal distance</w:t>
            </w:r>
          </w:p>
          <w:p w14:paraId="58873891" w14:textId="77777777" w:rsidR="00D1722C" w:rsidRPr="001008E7" w:rsidRDefault="00D1722C" w:rsidP="00D1722C">
            <w:pPr>
              <w:pStyle w:val="TableParagraph"/>
              <w:rPr>
                <w:rFonts w:ascii="Arial" w:hAnsi="Arial"/>
                <w:sz w:val="20"/>
              </w:rPr>
            </w:pPr>
          </w:p>
        </w:tc>
        <w:tc>
          <w:tcPr>
            <w:tcW w:w="1753" w:type="dxa"/>
          </w:tcPr>
          <w:p w14:paraId="5691FFB2" w14:textId="77777777" w:rsidR="00D1722C" w:rsidRPr="001008E7" w:rsidRDefault="00D1722C" w:rsidP="006313E9">
            <w:pPr>
              <w:pStyle w:val="TableParagraph"/>
              <w:ind w:left="35"/>
              <w:rPr>
                <w:rFonts w:ascii="Arial" w:eastAsia="Arial" w:hAnsi="Arial" w:cs="Arial"/>
                <w:sz w:val="20"/>
                <w:szCs w:val="16"/>
              </w:rPr>
            </w:pPr>
            <w:r w:rsidRPr="001008E7">
              <w:rPr>
                <w:rFonts w:ascii="Arial" w:hAnsi="Arial"/>
                <w:sz w:val="20"/>
              </w:rPr>
              <w:lastRenderedPageBreak/>
              <w:t>Not available</w:t>
            </w:r>
          </w:p>
        </w:tc>
        <w:tc>
          <w:tcPr>
            <w:tcW w:w="2256" w:type="dxa"/>
          </w:tcPr>
          <w:p w14:paraId="3A0B3485" w14:textId="77777777" w:rsidR="00D1722C" w:rsidRPr="001008E7" w:rsidRDefault="00D1722C" w:rsidP="0061430D">
            <w:pPr>
              <w:pStyle w:val="TableParagraph"/>
              <w:rPr>
                <w:rFonts w:ascii="Arial" w:eastAsia="Arial" w:hAnsi="Arial" w:cs="Arial"/>
                <w:sz w:val="20"/>
                <w:szCs w:val="16"/>
              </w:rPr>
            </w:pPr>
            <w:r w:rsidRPr="001008E7">
              <w:rPr>
                <w:rFonts w:ascii="Arial" w:hAnsi="Arial"/>
                <w:sz w:val="20"/>
              </w:rPr>
              <w:t>No</w:t>
            </w:r>
            <w:r w:rsidRPr="001008E7">
              <w:rPr>
                <w:rFonts w:ascii="Arial" w:hAnsi="Arial"/>
                <w:spacing w:val="-4"/>
                <w:sz w:val="20"/>
              </w:rPr>
              <w:t xml:space="preserve"> </w:t>
            </w:r>
            <w:r w:rsidRPr="001008E7">
              <w:rPr>
                <w:rFonts w:ascii="Arial" w:hAnsi="Arial"/>
                <w:sz w:val="20"/>
              </w:rPr>
              <w:t>mortality</w:t>
            </w:r>
            <w:r w:rsidRPr="001008E7">
              <w:rPr>
                <w:rFonts w:ascii="Arial" w:hAnsi="Arial"/>
                <w:spacing w:val="-6"/>
                <w:sz w:val="20"/>
              </w:rPr>
              <w:t xml:space="preserve"> </w:t>
            </w:r>
            <w:r w:rsidRPr="001008E7">
              <w:rPr>
                <w:rFonts w:ascii="Arial" w:hAnsi="Arial"/>
                <w:sz w:val="20"/>
              </w:rPr>
              <w:t>at</w:t>
            </w:r>
            <w:r w:rsidRPr="001008E7">
              <w:rPr>
                <w:rFonts w:ascii="Arial" w:hAnsi="Arial"/>
                <w:spacing w:val="-3"/>
                <w:sz w:val="20"/>
              </w:rPr>
              <w:t xml:space="preserve"> </w:t>
            </w:r>
            <w:r w:rsidRPr="001008E7">
              <w:rPr>
                <w:rFonts w:ascii="Arial" w:hAnsi="Arial"/>
                <w:sz w:val="20"/>
              </w:rPr>
              <w:t>any</w:t>
            </w:r>
            <w:r w:rsidRPr="001008E7">
              <w:rPr>
                <w:rFonts w:ascii="Arial" w:hAnsi="Arial"/>
                <w:spacing w:val="-6"/>
                <w:sz w:val="20"/>
              </w:rPr>
              <w:t xml:space="preserve"> </w:t>
            </w:r>
            <w:r w:rsidRPr="001008E7">
              <w:rPr>
                <w:rFonts w:ascii="Arial" w:hAnsi="Arial"/>
                <w:sz w:val="20"/>
              </w:rPr>
              <w:t>distances.</w:t>
            </w:r>
          </w:p>
        </w:tc>
        <w:tc>
          <w:tcPr>
            <w:tcW w:w="1548" w:type="dxa"/>
          </w:tcPr>
          <w:p w14:paraId="5AEA9886" w14:textId="3648FD27" w:rsidR="00D1722C" w:rsidRPr="001008E7" w:rsidRDefault="00D1722C" w:rsidP="0061430D">
            <w:pPr>
              <w:pStyle w:val="TableParagraph"/>
              <w:rPr>
                <w:rFonts w:ascii="Arial" w:eastAsia="Arial" w:hAnsi="Arial" w:cs="Arial"/>
                <w:sz w:val="20"/>
                <w:szCs w:val="16"/>
              </w:rPr>
            </w:pPr>
            <w:r>
              <w:rPr>
                <w:rFonts w:ascii="Arial" w:hAnsi="Arial"/>
                <w:sz w:val="20"/>
              </w:rPr>
              <w:fldChar w:fldCharType="begin"/>
            </w:r>
            <w:r>
              <w:rPr>
                <w:rFonts w:ascii="Arial" w:hAnsi="Arial"/>
                <w:sz w:val="20"/>
              </w:rPr>
              <w:instrText xml:space="preserve"> ADDIN EN.CITE &lt;EndNote&gt;&lt;Cite&gt;&lt;Author&gt;Boeger&lt;/Author&gt;&lt;Year&gt;2006&lt;/Year&gt;&lt;RecNum&gt;43&lt;/RecNum&gt;&lt;DisplayText&gt;(Boeger et al. 2006)&lt;/DisplayText&gt;&lt;record&gt;&lt;rec-number&gt;43&lt;/rec-number&gt;&lt;foreign-keys&gt;&lt;key app="EN" db-id="arp55rdtqwd0adetva4p299cdxwxrvpx502w"&gt;43&lt;/key&gt;&lt;/foreign-keys&gt;&lt;ref-type name="Journal Article"&gt;17&lt;/ref-type&gt;&lt;contributors&gt;&lt;authors&gt;&lt;author&gt;Boeger, W. A.&lt;/author&gt;&lt;author&gt;Pie, M. R.&lt;/author&gt;&lt;author&gt;Ostrensky, A.&lt;/author&gt;&lt;author&gt;Cardoso, M. F.&lt;/author&gt;&lt;/authors&gt;&lt;/contributors&gt;&lt;titles&gt;&lt;title&gt;The effect of exposure to seismic prospecting on coral reef fishes&lt;/title&gt;&lt;secondary-title&gt;Brazilian Journal of Oceanography&lt;/secondary-title&gt;&lt;/titles&gt;&lt;periodical&gt;&lt;full-title&gt;Brazilian Journal of Oceanography&lt;/full-title&gt;&lt;/periodical&gt;&lt;pages&gt;235-239&lt;/pages&gt;&lt;volume&gt;54&lt;/volume&gt;&lt;dates&gt;&lt;year&gt;2006&lt;/year&gt;&lt;/dates&gt;&lt;urls&gt;&lt;/urls&gt;&lt;/record&gt;&lt;/Cite&gt;&lt;/EndNote&gt;</w:instrText>
            </w:r>
            <w:r>
              <w:rPr>
                <w:rFonts w:ascii="Arial" w:hAnsi="Arial"/>
                <w:sz w:val="20"/>
              </w:rPr>
              <w:fldChar w:fldCharType="separate"/>
            </w:r>
            <w:r>
              <w:rPr>
                <w:rFonts w:ascii="Arial" w:hAnsi="Arial"/>
                <w:noProof/>
                <w:sz w:val="20"/>
              </w:rPr>
              <w:t>(</w:t>
            </w:r>
            <w:hyperlink w:anchor="_ENREF_1" w:tooltip="Boeger, 2006 #43" w:history="1">
              <w:r>
                <w:rPr>
                  <w:rFonts w:ascii="Arial" w:hAnsi="Arial"/>
                  <w:noProof/>
                  <w:sz w:val="20"/>
                </w:rPr>
                <w:t>Boeger et al.</w:t>
              </w:r>
              <w:r w:rsidR="006313E9">
                <w:rPr>
                  <w:rFonts w:ascii="Arial" w:hAnsi="Arial"/>
                  <w:noProof/>
                  <w:sz w:val="20"/>
                </w:rPr>
                <w:t>,</w:t>
              </w:r>
              <w:r>
                <w:rPr>
                  <w:rFonts w:ascii="Arial" w:hAnsi="Arial"/>
                  <w:noProof/>
                  <w:sz w:val="20"/>
                </w:rPr>
                <w:t xml:space="preserve"> 2006</w:t>
              </w:r>
            </w:hyperlink>
            <w:r>
              <w:rPr>
                <w:rFonts w:ascii="Arial" w:hAnsi="Arial"/>
                <w:noProof/>
                <w:sz w:val="20"/>
              </w:rPr>
              <w:t>)</w:t>
            </w:r>
            <w:r>
              <w:rPr>
                <w:rFonts w:ascii="Arial" w:hAnsi="Arial"/>
                <w:sz w:val="20"/>
              </w:rPr>
              <w:fldChar w:fldCharType="end"/>
            </w:r>
            <w:r w:rsidRPr="00A9448E">
              <w:rPr>
                <w:rFonts w:ascii="Arial" w:eastAsia="Arial" w:hAnsi="Arial" w:cs="Arial"/>
                <w:sz w:val="20"/>
                <w:szCs w:val="20"/>
                <w:vertAlign w:val="superscript"/>
              </w:rPr>
              <w:t>*,C,#</w:t>
            </w:r>
            <w:r w:rsidRPr="00A9448E">
              <w:rPr>
                <w:rFonts w:ascii="Arial" w:eastAsia="Arial" w:hAnsi="Arial" w:cs="Arial"/>
                <w:sz w:val="20"/>
                <w:szCs w:val="16"/>
              </w:rPr>
              <w:t xml:space="preserve"> </w:t>
            </w:r>
          </w:p>
        </w:tc>
        <w:tc>
          <w:tcPr>
            <w:tcW w:w="2360" w:type="dxa"/>
          </w:tcPr>
          <w:p w14:paraId="74EA2E15" w14:textId="77777777" w:rsidR="00D1722C" w:rsidRDefault="00D1722C" w:rsidP="0061430D">
            <w:pPr>
              <w:pStyle w:val="TableParagraph"/>
              <w:rPr>
                <w:rFonts w:ascii="Arial" w:hAnsi="Arial"/>
                <w:sz w:val="20"/>
              </w:rPr>
            </w:pPr>
            <w:r>
              <w:rPr>
                <w:rFonts w:ascii="Arial" w:hAnsi="Arial"/>
                <w:sz w:val="20"/>
              </w:rPr>
              <w:t xml:space="preserve">Relevant – study with small commercial array. </w:t>
            </w:r>
          </w:p>
        </w:tc>
      </w:tr>
      <w:tr w:rsidR="00D1722C" w:rsidRPr="001008E7" w14:paraId="1160355F" w14:textId="77777777" w:rsidTr="00966786">
        <w:tc>
          <w:tcPr>
            <w:tcW w:w="1900" w:type="dxa"/>
          </w:tcPr>
          <w:p w14:paraId="5595688C" w14:textId="77777777" w:rsidR="00D1722C" w:rsidRPr="001008E7" w:rsidRDefault="00D1722C" w:rsidP="0061430D">
            <w:pPr>
              <w:pStyle w:val="TableParagraph"/>
              <w:rPr>
                <w:rFonts w:ascii="Arial" w:eastAsia="Arial" w:hAnsi="Arial" w:cs="Arial"/>
                <w:sz w:val="20"/>
                <w:szCs w:val="16"/>
              </w:rPr>
            </w:pPr>
            <w:r w:rsidRPr="001008E7">
              <w:rPr>
                <w:rFonts w:ascii="Arial" w:hAnsi="Arial"/>
                <w:sz w:val="20"/>
              </w:rPr>
              <w:t>Sandeel</w:t>
            </w:r>
            <w:r w:rsidRPr="001008E7">
              <w:rPr>
                <w:rFonts w:ascii="Arial" w:eastAsia="Arial" w:hAnsi="Arial" w:cs="Arial"/>
                <w:sz w:val="20"/>
                <w:szCs w:val="16"/>
              </w:rPr>
              <w:t xml:space="preserve"> </w:t>
            </w:r>
            <w:r w:rsidRPr="001008E7">
              <w:rPr>
                <w:rFonts w:ascii="Arial" w:hAnsi="Arial"/>
                <w:sz w:val="20"/>
              </w:rPr>
              <w:t>(</w:t>
            </w:r>
            <w:r w:rsidRPr="001008E7">
              <w:rPr>
                <w:rFonts w:ascii="Arial" w:hAnsi="Arial"/>
                <w:i/>
                <w:sz w:val="20"/>
              </w:rPr>
              <w:t>Ammodytes</w:t>
            </w:r>
            <w:r w:rsidRPr="001008E7">
              <w:rPr>
                <w:rFonts w:ascii="Arial" w:hAnsi="Arial"/>
                <w:i/>
                <w:spacing w:val="-16"/>
                <w:sz w:val="20"/>
              </w:rPr>
              <w:t xml:space="preserve"> </w:t>
            </w:r>
            <w:r w:rsidRPr="001008E7">
              <w:rPr>
                <w:rFonts w:ascii="Arial" w:hAnsi="Arial"/>
                <w:i/>
                <w:sz w:val="20"/>
              </w:rPr>
              <w:t>marinus</w:t>
            </w:r>
            <w:r w:rsidRPr="001008E7">
              <w:rPr>
                <w:rFonts w:ascii="Arial" w:hAnsi="Arial"/>
                <w:sz w:val="20"/>
              </w:rPr>
              <w:t>)</w:t>
            </w:r>
          </w:p>
        </w:tc>
        <w:tc>
          <w:tcPr>
            <w:tcW w:w="1276" w:type="dxa"/>
          </w:tcPr>
          <w:p w14:paraId="6AE68233" w14:textId="0E09F165" w:rsidR="00D1722C" w:rsidRDefault="006C28BB" w:rsidP="00D1722C">
            <w:pPr>
              <w:pStyle w:val="TableParagraph"/>
              <w:rPr>
                <w:rFonts w:ascii="Arial" w:hAnsi="Arial"/>
                <w:spacing w:val="-1"/>
                <w:sz w:val="20"/>
              </w:rPr>
            </w:pPr>
            <w:r>
              <w:rPr>
                <w:rFonts w:ascii="Arial" w:hAnsi="Arial"/>
                <w:spacing w:val="-1"/>
                <w:sz w:val="20"/>
              </w:rPr>
              <w:t>3,090 cui a</w:t>
            </w:r>
            <w:r w:rsidR="00D1722C">
              <w:rPr>
                <w:rFonts w:ascii="Arial" w:hAnsi="Arial"/>
                <w:spacing w:val="-1"/>
                <w:sz w:val="20"/>
              </w:rPr>
              <w:t>irgun</w:t>
            </w:r>
            <w:r>
              <w:rPr>
                <w:rFonts w:ascii="Arial" w:hAnsi="Arial"/>
                <w:spacing w:val="-1"/>
                <w:sz w:val="20"/>
              </w:rPr>
              <w:t xml:space="preserve"> </w:t>
            </w:r>
            <w:r w:rsidR="00D1722C">
              <w:rPr>
                <w:rFonts w:ascii="Arial" w:hAnsi="Arial"/>
                <w:spacing w:val="-1"/>
                <w:sz w:val="20"/>
              </w:rPr>
              <w:t>array</w:t>
            </w:r>
          </w:p>
          <w:p w14:paraId="281DDD75" w14:textId="77777777" w:rsidR="00D1722C" w:rsidRPr="001008E7" w:rsidRDefault="00D1722C" w:rsidP="00D1722C">
            <w:pPr>
              <w:pStyle w:val="TableParagraph"/>
              <w:rPr>
                <w:rFonts w:ascii="Arial" w:hAnsi="Arial"/>
                <w:spacing w:val="-1"/>
                <w:sz w:val="20"/>
              </w:rPr>
            </w:pPr>
          </w:p>
        </w:tc>
        <w:tc>
          <w:tcPr>
            <w:tcW w:w="1701" w:type="dxa"/>
          </w:tcPr>
          <w:p w14:paraId="1CC59FF5" w14:textId="77777777" w:rsidR="00D1722C" w:rsidRDefault="00D1722C" w:rsidP="00D1722C">
            <w:pPr>
              <w:pStyle w:val="TableParagraph"/>
              <w:rPr>
                <w:rFonts w:ascii="Arial" w:hAnsi="Arial"/>
                <w:spacing w:val="-1"/>
                <w:sz w:val="20"/>
              </w:rPr>
            </w:pPr>
            <w:r w:rsidRPr="001008E7">
              <w:rPr>
                <w:rFonts w:ascii="Arial" w:hAnsi="Arial"/>
                <w:spacing w:val="-1"/>
                <w:sz w:val="20"/>
              </w:rPr>
              <w:t>256</w:t>
            </w:r>
            <w:r>
              <w:rPr>
                <w:rFonts w:ascii="Arial" w:hAnsi="Arial"/>
                <w:spacing w:val="-1"/>
                <w:sz w:val="20"/>
              </w:rPr>
              <w:t>.9 PK (vertical)</w:t>
            </w:r>
          </w:p>
          <w:p w14:paraId="6496344C" w14:textId="77777777" w:rsidR="00D1722C" w:rsidRPr="001008E7" w:rsidRDefault="00D1722C" w:rsidP="00D1722C">
            <w:pPr>
              <w:pStyle w:val="TableParagraph"/>
              <w:rPr>
                <w:rFonts w:ascii="Arial" w:hAnsi="Arial"/>
                <w:spacing w:val="-1"/>
                <w:sz w:val="20"/>
              </w:rPr>
            </w:pPr>
            <w:r>
              <w:rPr>
                <w:rFonts w:ascii="Arial" w:hAnsi="Arial"/>
                <w:spacing w:val="-1"/>
                <w:sz w:val="20"/>
              </w:rPr>
              <w:t>247.7 PK broadside</w:t>
            </w:r>
          </w:p>
        </w:tc>
        <w:tc>
          <w:tcPr>
            <w:tcW w:w="1467" w:type="dxa"/>
          </w:tcPr>
          <w:p w14:paraId="71612D96" w14:textId="3B7683FA" w:rsidR="00D1722C" w:rsidRPr="001008E7" w:rsidRDefault="00D1722C" w:rsidP="00D1722C">
            <w:pPr>
              <w:pStyle w:val="TableParagraph"/>
              <w:rPr>
                <w:rFonts w:ascii="Arial" w:hAnsi="Arial"/>
                <w:sz w:val="20"/>
              </w:rPr>
            </w:pPr>
            <w:r w:rsidRPr="001008E7">
              <w:rPr>
                <w:rFonts w:ascii="Arial" w:hAnsi="Arial"/>
                <w:sz w:val="20"/>
              </w:rPr>
              <w:t>55</w:t>
            </w:r>
            <w:r>
              <w:rPr>
                <w:rFonts w:ascii="Arial" w:hAnsi="Arial"/>
                <w:spacing w:val="-1"/>
                <w:sz w:val="20"/>
              </w:rPr>
              <w:t>–</w:t>
            </w:r>
            <w:r w:rsidRPr="001008E7">
              <w:rPr>
                <w:rFonts w:ascii="Arial" w:hAnsi="Arial"/>
                <w:sz w:val="20"/>
              </w:rPr>
              <w:t>7</w:t>
            </w:r>
            <w:r w:rsidR="00966786">
              <w:rPr>
                <w:rFonts w:ascii="Arial" w:hAnsi="Arial"/>
                <w:sz w:val="20"/>
              </w:rPr>
              <w:t>,</w:t>
            </w:r>
            <w:r w:rsidRPr="001008E7">
              <w:rPr>
                <w:rFonts w:ascii="Arial" w:hAnsi="Arial"/>
                <w:sz w:val="20"/>
              </w:rPr>
              <w:t>500</w:t>
            </w:r>
            <w:r w:rsidR="00966786">
              <w:rPr>
                <w:rFonts w:ascii="Arial" w:hAnsi="Arial"/>
                <w:sz w:val="20"/>
              </w:rPr>
              <w:t xml:space="preserve"> m</w:t>
            </w:r>
          </w:p>
        </w:tc>
        <w:tc>
          <w:tcPr>
            <w:tcW w:w="1753" w:type="dxa"/>
          </w:tcPr>
          <w:p w14:paraId="381EB580" w14:textId="77777777" w:rsidR="00D1722C" w:rsidRPr="001008E7" w:rsidRDefault="00D1722C" w:rsidP="006C28BB">
            <w:pPr>
              <w:pStyle w:val="TableParagraph"/>
              <w:rPr>
                <w:rFonts w:ascii="Arial" w:eastAsia="Arial" w:hAnsi="Arial" w:cs="Arial"/>
                <w:sz w:val="20"/>
                <w:szCs w:val="16"/>
              </w:rPr>
            </w:pPr>
            <w:r>
              <w:rPr>
                <w:rFonts w:ascii="Arial" w:hAnsi="Arial"/>
                <w:sz w:val="20"/>
              </w:rPr>
              <w:t>Sand eels within the near-field of the array on the seafloor under tracklines</w:t>
            </w:r>
          </w:p>
        </w:tc>
        <w:tc>
          <w:tcPr>
            <w:tcW w:w="2256" w:type="dxa"/>
          </w:tcPr>
          <w:p w14:paraId="0D25B975" w14:textId="77777777" w:rsidR="00D1722C" w:rsidRPr="001008E7" w:rsidRDefault="00D1722C" w:rsidP="0061430D">
            <w:pPr>
              <w:pStyle w:val="TableParagraph"/>
              <w:rPr>
                <w:rFonts w:ascii="Arial" w:eastAsia="Arial" w:hAnsi="Arial" w:cs="Arial"/>
                <w:sz w:val="20"/>
                <w:szCs w:val="16"/>
              </w:rPr>
            </w:pPr>
            <w:r w:rsidRPr="001008E7">
              <w:rPr>
                <w:rFonts w:ascii="Arial" w:hAnsi="Arial"/>
                <w:sz w:val="20"/>
              </w:rPr>
              <w:t>No</w:t>
            </w:r>
            <w:r w:rsidRPr="001008E7">
              <w:rPr>
                <w:rFonts w:ascii="Arial" w:hAnsi="Arial"/>
                <w:spacing w:val="-5"/>
                <w:sz w:val="20"/>
              </w:rPr>
              <w:t xml:space="preserve"> </w:t>
            </w:r>
            <w:r w:rsidRPr="001008E7">
              <w:rPr>
                <w:rFonts w:ascii="Arial" w:hAnsi="Arial"/>
                <w:sz w:val="20"/>
              </w:rPr>
              <w:t>differences</w:t>
            </w:r>
            <w:r w:rsidRPr="001008E7">
              <w:rPr>
                <w:rFonts w:ascii="Arial" w:hAnsi="Arial"/>
                <w:spacing w:val="-5"/>
                <w:sz w:val="20"/>
              </w:rPr>
              <w:t xml:space="preserve"> </w:t>
            </w:r>
            <w:r w:rsidRPr="001008E7">
              <w:rPr>
                <w:rFonts w:ascii="Arial" w:hAnsi="Arial"/>
                <w:sz w:val="20"/>
              </w:rPr>
              <w:t>in</w:t>
            </w:r>
            <w:r w:rsidRPr="001008E7">
              <w:rPr>
                <w:rFonts w:ascii="Arial" w:hAnsi="Arial"/>
                <w:spacing w:val="-5"/>
                <w:sz w:val="20"/>
              </w:rPr>
              <w:t xml:space="preserve"> </w:t>
            </w:r>
            <w:r w:rsidRPr="001008E7">
              <w:rPr>
                <w:rFonts w:ascii="Arial" w:hAnsi="Arial"/>
                <w:sz w:val="20"/>
              </w:rPr>
              <w:t>mortality</w:t>
            </w:r>
            <w:r w:rsidRPr="001008E7">
              <w:rPr>
                <w:rFonts w:ascii="Arial" w:hAnsi="Arial"/>
                <w:spacing w:val="-7"/>
                <w:sz w:val="20"/>
              </w:rPr>
              <w:t xml:space="preserve"> </w:t>
            </w:r>
            <w:r w:rsidRPr="001008E7">
              <w:rPr>
                <w:rFonts w:ascii="Arial" w:hAnsi="Arial"/>
                <w:sz w:val="20"/>
              </w:rPr>
              <w:t>between</w:t>
            </w:r>
            <w:r w:rsidRPr="001008E7">
              <w:rPr>
                <w:rFonts w:ascii="Arial" w:hAnsi="Arial"/>
                <w:spacing w:val="-5"/>
                <w:sz w:val="20"/>
              </w:rPr>
              <w:t xml:space="preserve"> </w:t>
            </w:r>
            <w:r w:rsidRPr="001008E7">
              <w:rPr>
                <w:rFonts w:ascii="Arial" w:hAnsi="Arial"/>
                <w:sz w:val="20"/>
              </w:rPr>
              <w:t>control</w:t>
            </w:r>
            <w:r w:rsidRPr="001008E7">
              <w:rPr>
                <w:rFonts w:ascii="Arial" w:hAnsi="Arial"/>
                <w:spacing w:val="-6"/>
                <w:sz w:val="20"/>
              </w:rPr>
              <w:t xml:space="preserve"> </w:t>
            </w:r>
            <w:r w:rsidRPr="001008E7">
              <w:rPr>
                <w:rFonts w:ascii="Arial" w:hAnsi="Arial"/>
                <w:sz w:val="20"/>
              </w:rPr>
              <w:t>and</w:t>
            </w:r>
            <w:r w:rsidRPr="001008E7">
              <w:rPr>
                <w:rFonts w:ascii="Arial" w:hAnsi="Arial"/>
                <w:spacing w:val="24"/>
                <w:w w:val="99"/>
                <w:sz w:val="20"/>
              </w:rPr>
              <w:t xml:space="preserve"> </w:t>
            </w:r>
            <w:r w:rsidRPr="001008E7">
              <w:rPr>
                <w:rFonts w:ascii="Arial" w:hAnsi="Arial"/>
                <w:sz w:val="20"/>
              </w:rPr>
              <w:t>experimental</w:t>
            </w:r>
            <w:r w:rsidRPr="001008E7">
              <w:rPr>
                <w:rFonts w:ascii="Arial" w:hAnsi="Arial"/>
                <w:spacing w:val="-16"/>
                <w:sz w:val="20"/>
              </w:rPr>
              <w:t xml:space="preserve"> </w:t>
            </w:r>
            <w:r w:rsidRPr="001008E7">
              <w:rPr>
                <w:rFonts w:ascii="Arial" w:hAnsi="Arial"/>
                <w:sz w:val="20"/>
              </w:rPr>
              <w:t xml:space="preserve">groups attributable to airgun exposure. </w:t>
            </w:r>
            <w:r w:rsidRPr="001008E7">
              <w:rPr>
                <w:rFonts w:ascii="Arial" w:hAnsi="Arial"/>
                <w:spacing w:val="-1"/>
                <w:sz w:val="20"/>
              </w:rPr>
              <w:t>Where mortalities occurred, they were attributed to</w:t>
            </w:r>
            <w:r w:rsidRPr="001008E7">
              <w:rPr>
                <w:rFonts w:ascii="Arial" w:hAnsi="Arial"/>
                <w:spacing w:val="26"/>
                <w:sz w:val="20"/>
              </w:rPr>
              <w:t xml:space="preserve"> </w:t>
            </w:r>
            <w:r w:rsidRPr="001008E7">
              <w:rPr>
                <w:rFonts w:ascii="Arial" w:hAnsi="Arial"/>
                <w:spacing w:val="-1"/>
                <w:sz w:val="20"/>
              </w:rPr>
              <w:t>handling procedures (i.e., similar in control and</w:t>
            </w:r>
            <w:r w:rsidRPr="001008E7">
              <w:rPr>
                <w:rFonts w:ascii="Arial" w:hAnsi="Arial"/>
                <w:spacing w:val="26"/>
                <w:sz w:val="20"/>
              </w:rPr>
              <w:t xml:space="preserve"> </w:t>
            </w:r>
            <w:r w:rsidRPr="001008E7">
              <w:rPr>
                <w:rFonts w:ascii="Arial" w:hAnsi="Arial"/>
                <w:spacing w:val="-1"/>
                <w:sz w:val="20"/>
              </w:rPr>
              <w:t>experimental fish).</w:t>
            </w:r>
          </w:p>
        </w:tc>
        <w:tc>
          <w:tcPr>
            <w:tcW w:w="1548" w:type="dxa"/>
          </w:tcPr>
          <w:p w14:paraId="7B487BB1" w14:textId="39FCA35C" w:rsidR="00D1722C" w:rsidRPr="001008E7" w:rsidRDefault="00D1722C" w:rsidP="0061430D">
            <w:pPr>
              <w:pStyle w:val="TableParagraph"/>
              <w:rPr>
                <w:rFonts w:ascii="Arial" w:eastAsia="Arial" w:hAnsi="Arial" w:cs="Arial"/>
                <w:sz w:val="20"/>
                <w:szCs w:val="16"/>
              </w:rPr>
            </w:pPr>
            <w:r>
              <w:rPr>
                <w:rFonts w:ascii="Arial" w:hAnsi="Arial"/>
                <w:sz w:val="20"/>
              </w:rPr>
              <w:fldChar w:fldCharType="begin">
                <w:fldData xml:space="preserve">PEVuZE5vdGU+PENpdGU+PEF1dGhvcj5IYXNzZWw8L0F1dGhvcj48WWVhcj4yMDAzPC9ZZWFyPjxS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==
</w:fldData>
              </w:fldChar>
            </w:r>
            <w:r>
              <w:rPr>
                <w:rFonts w:ascii="Arial" w:hAnsi="Arial"/>
                <w:sz w:val="20"/>
              </w:rPr>
              <w:instrText xml:space="preserve"> ADDIN EN.CITE </w:instrText>
            </w:r>
            <w:r>
              <w:rPr>
                <w:rFonts w:ascii="Arial" w:hAnsi="Arial"/>
                <w:sz w:val="20"/>
              </w:rPr>
              <w:fldChar w:fldCharType="begin">
                <w:fldData xml:space="preserve">PEVuZE5vdGU+PENpdGU+PEF1dGhvcj5IYXNzZWw8L0F1dGhvcj48WWVhcj4yMDAzPC9ZZWFyPjxS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==
</w:fldData>
              </w:fldChar>
            </w:r>
            <w:r>
              <w:rPr>
                <w:rFonts w:ascii="Arial" w:hAnsi="Arial"/>
                <w:sz w:val="20"/>
              </w:rPr>
              <w:instrText xml:space="preserve"> ADDIN EN.CITE.DATA </w:instrText>
            </w:r>
            <w:r>
              <w:rPr>
                <w:rFonts w:ascii="Arial" w:hAnsi="Arial"/>
                <w:sz w:val="20"/>
              </w:rPr>
            </w:r>
            <w:r>
              <w:rPr>
                <w:rFonts w:ascii="Arial" w:hAnsi="Arial"/>
                <w:sz w:val="20"/>
              </w:rPr>
              <w:fldChar w:fldCharType="end"/>
            </w:r>
            <w:r>
              <w:rPr>
                <w:rFonts w:ascii="Arial" w:hAnsi="Arial"/>
                <w:sz w:val="20"/>
              </w:rPr>
            </w:r>
            <w:r>
              <w:rPr>
                <w:rFonts w:ascii="Arial" w:hAnsi="Arial"/>
                <w:sz w:val="20"/>
              </w:rPr>
              <w:fldChar w:fldCharType="separate"/>
            </w:r>
            <w:r>
              <w:rPr>
                <w:rFonts w:ascii="Arial" w:hAnsi="Arial"/>
                <w:noProof/>
                <w:sz w:val="20"/>
              </w:rPr>
              <w:t>(</w:t>
            </w:r>
            <w:hyperlink w:anchor="_ENREF_3" w:tooltip="Hassel, 2003 #713" w:history="1">
              <w:r>
                <w:rPr>
                  <w:rFonts w:ascii="Arial" w:hAnsi="Arial"/>
                  <w:noProof/>
                  <w:sz w:val="20"/>
                </w:rPr>
                <w:t>Hassel et al.</w:t>
              </w:r>
              <w:r w:rsidR="006C28BB">
                <w:rPr>
                  <w:rFonts w:ascii="Arial" w:hAnsi="Arial"/>
                  <w:noProof/>
                  <w:sz w:val="20"/>
                </w:rPr>
                <w:t>,</w:t>
              </w:r>
              <w:r>
                <w:rPr>
                  <w:rFonts w:ascii="Arial" w:hAnsi="Arial"/>
                  <w:noProof/>
                  <w:sz w:val="20"/>
                </w:rPr>
                <w:t xml:space="preserve"> 2003</w:t>
              </w:r>
            </w:hyperlink>
            <w:r>
              <w:rPr>
                <w:rFonts w:ascii="Arial" w:hAnsi="Arial"/>
                <w:noProof/>
                <w:sz w:val="20"/>
              </w:rPr>
              <w:t xml:space="preserve">, </w:t>
            </w:r>
            <w:hyperlink w:anchor="_ENREF_4" w:tooltip="Hassel, 2004 #30" w:history="1">
              <w:r>
                <w:rPr>
                  <w:rFonts w:ascii="Arial" w:hAnsi="Arial"/>
                  <w:noProof/>
                  <w:sz w:val="20"/>
                </w:rPr>
                <w:t>Hassel et al.</w:t>
              </w:r>
              <w:r w:rsidR="006C28BB">
                <w:rPr>
                  <w:rFonts w:ascii="Arial" w:hAnsi="Arial"/>
                  <w:noProof/>
                  <w:sz w:val="20"/>
                </w:rPr>
                <w:t>,</w:t>
              </w:r>
              <w:r>
                <w:rPr>
                  <w:rFonts w:ascii="Arial" w:hAnsi="Arial"/>
                  <w:noProof/>
                  <w:sz w:val="20"/>
                </w:rPr>
                <w:t xml:space="preserve"> 2004</w:t>
              </w:r>
            </w:hyperlink>
            <w:r>
              <w:rPr>
                <w:rFonts w:ascii="Arial" w:hAnsi="Arial"/>
                <w:noProof/>
                <w:sz w:val="20"/>
              </w:rPr>
              <w:t>)</w:t>
            </w:r>
            <w:r>
              <w:rPr>
                <w:rFonts w:ascii="Arial" w:hAnsi="Arial"/>
                <w:sz w:val="20"/>
              </w:rPr>
              <w:fldChar w:fldCharType="end"/>
            </w:r>
            <w:r>
              <w:rPr>
                <w:rFonts w:ascii="Arial" w:hAnsi="Arial"/>
                <w:sz w:val="20"/>
                <w:vertAlign w:val="superscript"/>
              </w:rPr>
              <w:t>C</w:t>
            </w:r>
          </w:p>
        </w:tc>
        <w:tc>
          <w:tcPr>
            <w:tcW w:w="2360" w:type="dxa"/>
          </w:tcPr>
          <w:p w14:paraId="26BE2C5D" w14:textId="77777777" w:rsidR="00D1722C" w:rsidRDefault="00D1722C" w:rsidP="0061430D">
            <w:pPr>
              <w:pStyle w:val="TableParagraph"/>
              <w:rPr>
                <w:rFonts w:ascii="Arial" w:hAnsi="Arial"/>
                <w:sz w:val="20"/>
              </w:rPr>
            </w:pPr>
            <w:r>
              <w:rPr>
                <w:rFonts w:ascii="Arial" w:hAnsi="Arial"/>
                <w:sz w:val="20"/>
              </w:rPr>
              <w:t>Relevant – study with similar sized commercial array to this survey.</w:t>
            </w:r>
          </w:p>
          <w:p w14:paraId="68B8B763" w14:textId="5B53CC6A" w:rsidR="00D1722C" w:rsidRDefault="00D1722C" w:rsidP="006C28BB">
            <w:pPr>
              <w:pStyle w:val="TableParagraph"/>
              <w:rPr>
                <w:rFonts w:ascii="Arial" w:hAnsi="Arial"/>
                <w:sz w:val="20"/>
              </w:rPr>
            </w:pPr>
            <w:r>
              <w:rPr>
                <w:rFonts w:ascii="Arial" w:hAnsi="Arial"/>
                <w:sz w:val="20"/>
              </w:rPr>
              <w:t>Tracklines directly over habitat</w:t>
            </w:r>
            <w:r w:rsidR="006C28BB">
              <w:rPr>
                <w:rFonts w:ascii="Arial" w:hAnsi="Arial"/>
                <w:sz w:val="20"/>
              </w:rPr>
              <w:t xml:space="preserve"> with </w:t>
            </w:r>
            <w:r>
              <w:rPr>
                <w:rFonts w:ascii="Arial" w:hAnsi="Arial"/>
                <w:sz w:val="20"/>
              </w:rPr>
              <w:t>no impact</w:t>
            </w:r>
            <w:r w:rsidR="006C28BB">
              <w:rPr>
                <w:rFonts w:ascii="Arial" w:hAnsi="Arial"/>
                <w:sz w:val="20"/>
              </w:rPr>
              <w:t xml:space="preserve"> shown</w:t>
            </w:r>
            <w:r>
              <w:rPr>
                <w:rFonts w:ascii="Arial" w:hAnsi="Arial"/>
                <w:sz w:val="20"/>
              </w:rPr>
              <w:t>.</w:t>
            </w:r>
          </w:p>
        </w:tc>
      </w:tr>
      <w:tr w:rsidR="00D1722C" w:rsidRPr="001008E7" w14:paraId="202676DC" w14:textId="77777777" w:rsidTr="00966786">
        <w:tc>
          <w:tcPr>
            <w:tcW w:w="1900" w:type="dxa"/>
          </w:tcPr>
          <w:p w14:paraId="2C6A9133" w14:textId="77777777" w:rsidR="00D1722C" w:rsidRPr="001008E7" w:rsidRDefault="00D1722C" w:rsidP="0061430D">
            <w:pPr>
              <w:pStyle w:val="TableParagraph"/>
              <w:rPr>
                <w:rFonts w:ascii="Arial" w:eastAsia="Arial" w:hAnsi="Arial" w:cs="Arial"/>
                <w:sz w:val="20"/>
                <w:szCs w:val="16"/>
              </w:rPr>
            </w:pPr>
            <w:r w:rsidRPr="001008E7">
              <w:rPr>
                <w:rFonts w:ascii="Arial" w:hAnsi="Arial"/>
                <w:spacing w:val="-1"/>
                <w:sz w:val="20"/>
              </w:rPr>
              <w:t>Twelve</w:t>
            </w:r>
            <w:r w:rsidRPr="001008E7">
              <w:rPr>
                <w:rFonts w:ascii="Arial" w:hAnsi="Arial"/>
                <w:spacing w:val="-11"/>
                <w:sz w:val="20"/>
              </w:rPr>
              <w:t xml:space="preserve"> </w:t>
            </w:r>
            <w:r w:rsidRPr="001008E7">
              <w:rPr>
                <w:rFonts w:ascii="Arial" w:hAnsi="Arial"/>
                <w:sz w:val="20"/>
              </w:rPr>
              <w:t>species</w:t>
            </w:r>
          </w:p>
        </w:tc>
        <w:tc>
          <w:tcPr>
            <w:tcW w:w="1276" w:type="dxa"/>
          </w:tcPr>
          <w:p w14:paraId="3866C1E8" w14:textId="079D6454" w:rsidR="00D1722C" w:rsidRPr="001008E7" w:rsidRDefault="00D1722C" w:rsidP="006C28BB">
            <w:pPr>
              <w:pStyle w:val="TableParagraph"/>
              <w:rPr>
                <w:rFonts w:ascii="Arial" w:hAnsi="Arial"/>
                <w:spacing w:val="-1"/>
                <w:sz w:val="20"/>
              </w:rPr>
            </w:pPr>
            <w:r>
              <w:rPr>
                <w:rFonts w:ascii="Arial" w:hAnsi="Arial"/>
                <w:spacing w:val="-1"/>
                <w:sz w:val="20"/>
              </w:rPr>
              <w:t xml:space="preserve">Single 20 </w:t>
            </w:r>
            <w:r w:rsidR="006C28BB">
              <w:rPr>
                <w:rFonts w:ascii="Arial" w:hAnsi="Arial"/>
                <w:spacing w:val="-1"/>
                <w:sz w:val="20"/>
              </w:rPr>
              <w:t>cui</w:t>
            </w:r>
            <w:r>
              <w:rPr>
                <w:rFonts w:ascii="Arial" w:hAnsi="Arial"/>
                <w:spacing w:val="-1"/>
                <w:sz w:val="20"/>
              </w:rPr>
              <w:t xml:space="preserve"> airgun</w:t>
            </w:r>
          </w:p>
        </w:tc>
        <w:tc>
          <w:tcPr>
            <w:tcW w:w="1701" w:type="dxa"/>
          </w:tcPr>
          <w:p w14:paraId="5929B786" w14:textId="77777777" w:rsidR="00D1722C" w:rsidRPr="001008E7" w:rsidRDefault="00D1722C" w:rsidP="00D1722C">
            <w:pPr>
              <w:pStyle w:val="TableParagraph"/>
              <w:rPr>
                <w:rFonts w:ascii="Arial" w:hAnsi="Arial"/>
                <w:spacing w:val="-1"/>
                <w:sz w:val="20"/>
              </w:rPr>
            </w:pPr>
            <w:r w:rsidRPr="001008E7">
              <w:rPr>
                <w:rFonts w:ascii="Arial" w:hAnsi="Arial"/>
                <w:spacing w:val="-1"/>
                <w:sz w:val="20"/>
              </w:rPr>
              <w:t xml:space="preserve">223 </w:t>
            </w:r>
            <w:r>
              <w:rPr>
                <w:rFonts w:ascii="Arial" w:hAnsi="Arial"/>
                <w:spacing w:val="-1"/>
                <w:sz w:val="20"/>
              </w:rPr>
              <w:t>PK-PK,</w:t>
            </w:r>
          </w:p>
        </w:tc>
        <w:tc>
          <w:tcPr>
            <w:tcW w:w="1467" w:type="dxa"/>
          </w:tcPr>
          <w:p w14:paraId="30726C24" w14:textId="4CB1F2D3" w:rsidR="00D1722C" w:rsidRPr="001008E7" w:rsidRDefault="00D1722C" w:rsidP="00D1722C">
            <w:pPr>
              <w:pStyle w:val="TableParagraph"/>
              <w:rPr>
                <w:rFonts w:ascii="Arial" w:hAnsi="Arial"/>
                <w:sz w:val="20"/>
              </w:rPr>
            </w:pPr>
            <w:r w:rsidRPr="001008E7">
              <w:rPr>
                <w:rFonts w:ascii="Arial" w:hAnsi="Arial"/>
                <w:sz w:val="20"/>
              </w:rPr>
              <w:t>5</w:t>
            </w:r>
            <w:r>
              <w:rPr>
                <w:rFonts w:ascii="Arial" w:hAnsi="Arial"/>
                <w:spacing w:val="-1"/>
                <w:sz w:val="20"/>
              </w:rPr>
              <w:t>–</w:t>
            </w:r>
            <w:r w:rsidRPr="001008E7">
              <w:rPr>
                <w:rFonts w:ascii="Arial" w:hAnsi="Arial"/>
                <w:sz w:val="20"/>
              </w:rPr>
              <w:t>800</w:t>
            </w:r>
            <w:r w:rsidR="00966786">
              <w:rPr>
                <w:rFonts w:ascii="Arial" w:hAnsi="Arial"/>
                <w:sz w:val="20"/>
              </w:rPr>
              <w:t xml:space="preserve"> m</w:t>
            </w:r>
          </w:p>
        </w:tc>
        <w:tc>
          <w:tcPr>
            <w:tcW w:w="1753" w:type="dxa"/>
          </w:tcPr>
          <w:p w14:paraId="30AB8077" w14:textId="77777777" w:rsidR="00D1722C" w:rsidRPr="001008E7" w:rsidRDefault="00D1722C" w:rsidP="006C28BB">
            <w:pPr>
              <w:pStyle w:val="TableParagraph"/>
              <w:rPr>
                <w:rFonts w:ascii="Arial" w:eastAsia="Arial" w:hAnsi="Arial" w:cs="Arial"/>
                <w:sz w:val="20"/>
                <w:szCs w:val="16"/>
              </w:rPr>
            </w:pPr>
            <w:r w:rsidRPr="001008E7">
              <w:rPr>
                <w:rFonts w:ascii="Arial" w:hAnsi="Arial"/>
                <w:sz w:val="20"/>
              </w:rPr>
              <w:t>146</w:t>
            </w:r>
            <w:r w:rsidRPr="001008E7">
              <w:rPr>
                <w:rFonts w:ascii="Arial" w:hAnsi="Arial"/>
                <w:spacing w:val="-2"/>
                <w:sz w:val="20"/>
              </w:rPr>
              <w:t>-</w:t>
            </w:r>
            <w:r w:rsidRPr="001008E7">
              <w:rPr>
                <w:rFonts w:ascii="Arial" w:hAnsi="Arial"/>
                <w:sz w:val="20"/>
              </w:rPr>
              <w:t>195</w:t>
            </w:r>
            <w:r w:rsidRPr="001008E7">
              <w:rPr>
                <w:rFonts w:ascii="Arial" w:hAnsi="Arial"/>
                <w:spacing w:val="-2"/>
                <w:sz w:val="20"/>
              </w:rPr>
              <w:t xml:space="preserve"> </w:t>
            </w:r>
            <w:r>
              <w:rPr>
                <w:rFonts w:ascii="Arial" w:hAnsi="Arial"/>
                <w:sz w:val="20"/>
              </w:rPr>
              <w:t>PK-PK</w:t>
            </w:r>
            <w:r w:rsidRPr="001008E7">
              <w:rPr>
                <w:rFonts w:ascii="Arial" w:hAnsi="Arial"/>
                <w:sz w:val="20"/>
              </w:rPr>
              <w:t xml:space="preserve"> (M)</w:t>
            </w:r>
          </w:p>
        </w:tc>
        <w:tc>
          <w:tcPr>
            <w:tcW w:w="2256" w:type="dxa"/>
          </w:tcPr>
          <w:p w14:paraId="3E6C1179" w14:textId="38032BDE" w:rsidR="00D1722C" w:rsidRPr="001008E7" w:rsidRDefault="00D1722C" w:rsidP="001E7F11">
            <w:pPr>
              <w:pStyle w:val="TableParagraph"/>
              <w:rPr>
                <w:rFonts w:ascii="Arial" w:eastAsia="Arial" w:hAnsi="Arial" w:cs="Arial"/>
                <w:sz w:val="20"/>
                <w:szCs w:val="16"/>
              </w:rPr>
            </w:pPr>
            <w:r w:rsidRPr="001008E7">
              <w:rPr>
                <w:rFonts w:ascii="Arial" w:hAnsi="Arial"/>
                <w:sz w:val="20"/>
              </w:rPr>
              <w:t>No</w:t>
            </w:r>
            <w:r w:rsidRPr="001008E7">
              <w:rPr>
                <w:rFonts w:ascii="Arial" w:hAnsi="Arial"/>
                <w:spacing w:val="-4"/>
                <w:sz w:val="20"/>
              </w:rPr>
              <w:t xml:space="preserve"> </w:t>
            </w:r>
            <w:r w:rsidRPr="001008E7">
              <w:rPr>
                <w:rFonts w:ascii="Arial" w:hAnsi="Arial"/>
                <w:sz w:val="20"/>
              </w:rPr>
              <w:t>immediate</w:t>
            </w:r>
            <w:r w:rsidRPr="001008E7">
              <w:rPr>
                <w:rFonts w:ascii="Arial" w:hAnsi="Arial"/>
                <w:spacing w:val="-3"/>
                <w:sz w:val="20"/>
              </w:rPr>
              <w:t xml:space="preserve"> </w:t>
            </w:r>
            <w:r w:rsidRPr="001008E7">
              <w:rPr>
                <w:rFonts w:ascii="Arial" w:hAnsi="Arial"/>
                <w:spacing w:val="-1"/>
                <w:sz w:val="20"/>
              </w:rPr>
              <w:t>mortality.</w:t>
            </w:r>
            <w:r w:rsidRPr="001008E7">
              <w:rPr>
                <w:rFonts w:ascii="Arial" w:hAnsi="Arial"/>
                <w:spacing w:val="36"/>
                <w:sz w:val="20"/>
              </w:rPr>
              <w:t xml:space="preserve"> </w:t>
            </w:r>
            <w:r w:rsidRPr="001008E7">
              <w:rPr>
                <w:rFonts w:ascii="Arial" w:hAnsi="Arial"/>
                <w:sz w:val="20"/>
              </w:rPr>
              <w:t>No</w:t>
            </w:r>
            <w:r w:rsidRPr="001008E7">
              <w:rPr>
                <w:rFonts w:ascii="Arial" w:hAnsi="Arial"/>
                <w:spacing w:val="-3"/>
                <w:sz w:val="20"/>
              </w:rPr>
              <w:t xml:space="preserve"> </w:t>
            </w:r>
            <w:r w:rsidRPr="001008E7">
              <w:rPr>
                <w:rFonts w:ascii="Arial" w:hAnsi="Arial"/>
                <w:spacing w:val="-1"/>
                <w:sz w:val="20"/>
              </w:rPr>
              <w:t>delayed</w:t>
            </w:r>
            <w:r w:rsidRPr="001008E7">
              <w:rPr>
                <w:rFonts w:ascii="Arial" w:hAnsi="Arial"/>
                <w:spacing w:val="-3"/>
                <w:sz w:val="20"/>
              </w:rPr>
              <w:t xml:space="preserve"> </w:t>
            </w:r>
            <w:r w:rsidRPr="001008E7">
              <w:rPr>
                <w:rFonts w:ascii="Arial" w:hAnsi="Arial"/>
                <w:sz w:val="20"/>
              </w:rPr>
              <w:t>mortality</w:t>
            </w:r>
            <w:r w:rsidRPr="001008E7">
              <w:rPr>
                <w:rFonts w:ascii="Arial" w:hAnsi="Arial"/>
                <w:spacing w:val="-6"/>
                <w:sz w:val="20"/>
              </w:rPr>
              <w:t xml:space="preserve"> </w:t>
            </w:r>
            <w:r w:rsidRPr="001008E7">
              <w:rPr>
                <w:rFonts w:ascii="Arial" w:hAnsi="Arial"/>
                <w:sz w:val="20"/>
              </w:rPr>
              <w:t>(up</w:t>
            </w:r>
            <w:r w:rsidRPr="001008E7">
              <w:rPr>
                <w:rFonts w:ascii="Arial" w:hAnsi="Arial"/>
                <w:spacing w:val="-4"/>
                <w:sz w:val="20"/>
              </w:rPr>
              <w:t xml:space="preserve"> </w:t>
            </w:r>
            <w:r w:rsidRPr="001008E7">
              <w:rPr>
                <w:rFonts w:ascii="Arial" w:hAnsi="Arial"/>
                <w:sz w:val="20"/>
              </w:rPr>
              <w:t>to</w:t>
            </w:r>
            <w:r w:rsidRPr="001008E7">
              <w:rPr>
                <w:rFonts w:ascii="Arial" w:hAnsi="Arial"/>
                <w:spacing w:val="36"/>
                <w:w w:val="99"/>
                <w:sz w:val="20"/>
              </w:rPr>
              <w:t xml:space="preserve"> </w:t>
            </w:r>
            <w:r w:rsidRPr="001008E7">
              <w:rPr>
                <w:rFonts w:ascii="Arial" w:hAnsi="Arial"/>
                <w:sz w:val="20"/>
              </w:rPr>
              <w:t>58</w:t>
            </w:r>
            <w:r w:rsidRPr="001008E7">
              <w:rPr>
                <w:rFonts w:ascii="Arial" w:hAnsi="Arial"/>
                <w:spacing w:val="-4"/>
                <w:sz w:val="20"/>
              </w:rPr>
              <w:t xml:space="preserve"> </w:t>
            </w:r>
            <w:r w:rsidRPr="001008E7">
              <w:rPr>
                <w:rFonts w:ascii="Arial" w:hAnsi="Arial"/>
                <w:spacing w:val="-1"/>
                <w:sz w:val="20"/>
              </w:rPr>
              <w:t>days)</w:t>
            </w:r>
            <w:r w:rsidRPr="001008E7">
              <w:rPr>
                <w:rFonts w:ascii="Arial" w:hAnsi="Arial"/>
                <w:spacing w:val="-4"/>
                <w:sz w:val="20"/>
              </w:rPr>
              <w:t xml:space="preserve"> </w:t>
            </w:r>
            <w:r w:rsidRPr="001008E7">
              <w:rPr>
                <w:rFonts w:ascii="Arial" w:hAnsi="Arial"/>
                <w:sz w:val="20"/>
              </w:rPr>
              <w:t>for</w:t>
            </w:r>
            <w:r w:rsidRPr="001008E7">
              <w:rPr>
                <w:rFonts w:ascii="Arial" w:hAnsi="Arial"/>
                <w:spacing w:val="-3"/>
                <w:sz w:val="20"/>
              </w:rPr>
              <w:t xml:space="preserve"> </w:t>
            </w:r>
            <w:r w:rsidR="001E7F11">
              <w:rPr>
                <w:rFonts w:ascii="Arial" w:hAnsi="Arial"/>
                <w:spacing w:val="-3"/>
                <w:sz w:val="20"/>
              </w:rPr>
              <w:t>one</w:t>
            </w:r>
            <w:r w:rsidRPr="001008E7">
              <w:rPr>
                <w:rFonts w:ascii="Arial" w:hAnsi="Arial"/>
                <w:spacing w:val="-4"/>
                <w:sz w:val="20"/>
              </w:rPr>
              <w:t xml:space="preserve"> </w:t>
            </w:r>
            <w:r w:rsidRPr="001008E7">
              <w:rPr>
                <w:rFonts w:ascii="Arial" w:hAnsi="Arial"/>
                <w:sz w:val="20"/>
              </w:rPr>
              <w:t>species.</w:t>
            </w:r>
          </w:p>
        </w:tc>
        <w:tc>
          <w:tcPr>
            <w:tcW w:w="1548" w:type="dxa"/>
          </w:tcPr>
          <w:p w14:paraId="52E72A4B" w14:textId="6F3BABBC" w:rsidR="00D1722C" w:rsidRPr="001E0350" w:rsidRDefault="00D1722C" w:rsidP="005E4652">
            <w:pPr>
              <w:pStyle w:val="TableParagraph"/>
              <w:rPr>
                <w:rFonts w:ascii="Arial" w:eastAsia="Arial" w:hAnsi="Arial" w:cs="Arial"/>
                <w:sz w:val="20"/>
                <w:szCs w:val="16"/>
              </w:rPr>
            </w:pPr>
            <w:r w:rsidRPr="001E0350">
              <w:rPr>
                <w:rFonts w:ascii="Arial" w:hAnsi="Arial"/>
                <w:sz w:val="20"/>
              </w:rPr>
              <w:fldChar w:fldCharType="begin"/>
            </w:r>
            <w:r>
              <w:rPr>
                <w:rFonts w:ascii="Arial" w:hAnsi="Arial"/>
                <w:sz w:val="20"/>
              </w:rPr>
              <w:instrText xml:space="preserve"> ADDIN EN.CITE &lt;EndNote&gt;&lt;Cite&gt;&lt;Author&gt;McCauley&lt;/Author&gt;&lt;Year&gt;2003&lt;/Year&gt;&lt;RecNum&gt;534&lt;/RecNum&gt;&lt;DisplayText&gt;(McCauley et al. 2003)&lt;/DisplayText&gt;&lt;record&gt;&lt;rec-number&gt;534&lt;/rec-number&gt;&lt;foreign-keys&gt;&lt;key app="EN" db-id="arp55rdtqwd0adetva4p299cdxwxrvpx502w"&gt;534&lt;/key&gt;&lt;/foreign-keys&gt;&lt;ref-type name="Book Section"&gt;5&lt;/ref-type&gt;&lt;contributors&gt;&lt;authors&gt;&lt;author&gt;McCauley, R.D.&lt;/author&gt;&lt;author&gt;Fewtrell, J.&lt;/author&gt;&lt;author&gt;Duncan, A.J.&lt;/author&gt;&lt;author&gt;Jenner, C.&lt;/author&gt;&lt;author&gt;Jenner, M-N.&lt;/author&gt;&lt;author&gt;Penrose, J.D.&lt;/author&gt;&lt;author&gt;Prince, R.I.T.&lt;/author&gt;&lt;author&gt;Adhitya, A.&lt;/author&gt;&lt;author&gt;Murdoch, J.&lt;/author&gt;&lt;author&gt;McCabe, K.&lt;/author&gt;&lt;/authors&gt;&lt;/contributors&gt;&lt;titles&gt;&lt;title&gt;Marine seismic surveys: analysis and propagation of air-gun signals; and effects of exposure on humpback whales, sea turtles, fishes and squid&lt;/title&gt;&lt;secondary-title&gt;Environmental implications of offshore oil and gas development in Australia: further research&lt;/secondary-title&gt;&lt;/titles&gt;&lt;pages&gt;364-521&lt;/pages&gt;&lt;dates&gt;&lt;year&gt;2003&lt;/year&gt;&lt;/dates&gt;&lt;pub-location&gt;Canberra&lt;/pub-location&gt;&lt;publisher&gt;Australian Petroleum Production Exploration Association&lt;/publisher&gt;&lt;urls&gt;&lt;/urls&gt;&lt;/record&gt;&lt;/Cite&gt;&lt;/EndNote&gt;</w:instrText>
            </w:r>
            <w:r w:rsidRPr="001E0350">
              <w:rPr>
                <w:rFonts w:ascii="Arial" w:hAnsi="Arial"/>
                <w:sz w:val="20"/>
              </w:rPr>
              <w:fldChar w:fldCharType="separate"/>
            </w:r>
            <w:r>
              <w:rPr>
                <w:rFonts w:ascii="Arial" w:hAnsi="Arial"/>
                <w:noProof/>
                <w:sz w:val="20"/>
              </w:rPr>
              <w:t>(</w:t>
            </w:r>
            <w:hyperlink w:anchor="_ENREF_5" w:tooltip="McCauley, 2003 #534" w:history="1">
              <w:r>
                <w:rPr>
                  <w:rFonts w:ascii="Arial" w:hAnsi="Arial"/>
                  <w:noProof/>
                  <w:sz w:val="20"/>
                </w:rPr>
                <w:t>McCauley et al.</w:t>
              </w:r>
              <w:r w:rsidR="001E7F11">
                <w:rPr>
                  <w:rFonts w:ascii="Arial" w:hAnsi="Arial"/>
                  <w:noProof/>
                  <w:sz w:val="20"/>
                </w:rPr>
                <w:t>,</w:t>
              </w:r>
              <w:r>
                <w:rPr>
                  <w:rFonts w:ascii="Arial" w:hAnsi="Arial"/>
                  <w:noProof/>
                  <w:sz w:val="20"/>
                </w:rPr>
                <w:t xml:space="preserve"> 2003</w:t>
              </w:r>
            </w:hyperlink>
            <w:r>
              <w:rPr>
                <w:rFonts w:ascii="Arial" w:hAnsi="Arial"/>
                <w:noProof/>
                <w:sz w:val="20"/>
              </w:rPr>
              <w:t>)</w:t>
            </w:r>
            <w:r w:rsidRPr="001E0350">
              <w:rPr>
                <w:rFonts w:ascii="Arial" w:hAnsi="Arial"/>
                <w:sz w:val="20"/>
              </w:rPr>
              <w:fldChar w:fldCharType="end"/>
            </w:r>
            <w:r w:rsidRPr="001E0350">
              <w:rPr>
                <w:rFonts w:ascii="Arial" w:hAnsi="Arial"/>
                <w:sz w:val="20"/>
                <w:vertAlign w:val="superscript"/>
              </w:rPr>
              <w:t>*,C,#</w:t>
            </w:r>
            <w:r w:rsidRPr="00292D0F">
              <w:rPr>
                <w:rFonts w:ascii="Arial" w:hAnsi="Arial"/>
                <w:b/>
                <w:color w:val="00B050"/>
                <w:sz w:val="20"/>
              </w:rPr>
              <w:t xml:space="preserve"> </w:t>
            </w:r>
          </w:p>
        </w:tc>
        <w:tc>
          <w:tcPr>
            <w:tcW w:w="2360" w:type="dxa"/>
          </w:tcPr>
          <w:p w14:paraId="094E6933" w14:textId="539A3D06" w:rsidR="00D1722C" w:rsidRPr="001E0350" w:rsidRDefault="00D1722C" w:rsidP="0061430D">
            <w:pPr>
              <w:pStyle w:val="TableParagraph"/>
              <w:rPr>
                <w:rFonts w:ascii="Arial" w:hAnsi="Arial"/>
                <w:sz w:val="20"/>
              </w:rPr>
            </w:pPr>
            <w:r>
              <w:rPr>
                <w:rFonts w:ascii="Arial" w:hAnsi="Arial"/>
                <w:sz w:val="20"/>
              </w:rPr>
              <w:t xml:space="preserve">Relevant, however this is the only study to have shown this, other studies examining the same thing have shown no damage for </w:t>
            </w:r>
            <w:r>
              <w:rPr>
                <w:rFonts w:ascii="Times-Roman2" w:hAnsi="Times-Roman2" w:cs="Times-Roman2"/>
                <w:color w:val="000000"/>
                <w:sz w:val="20"/>
                <w:szCs w:val="20"/>
                <w:lang w:val="en-AU"/>
              </w:rPr>
              <w:t>several other species (</w:t>
            </w:r>
            <w:r w:rsidR="001E7F11">
              <w:rPr>
                <w:rFonts w:ascii="Times-Roman2" w:hAnsi="Times-Roman2" w:cs="Times-Roman2"/>
                <w:color w:val="000000"/>
                <w:sz w:val="20"/>
                <w:szCs w:val="20"/>
                <w:lang w:val="en-AU"/>
              </w:rPr>
              <w:t xml:space="preserve">e.g., </w:t>
            </w:r>
            <w:r>
              <w:rPr>
                <w:rFonts w:ascii="Times-Roman2" w:hAnsi="Times-Roman2" w:cs="Times-Roman2"/>
                <w:color w:val="000000"/>
                <w:sz w:val="20"/>
                <w:szCs w:val="20"/>
                <w:lang w:val="en-AU"/>
              </w:rPr>
              <w:t xml:space="preserve">Popper </w:t>
            </w:r>
            <w:r w:rsidRPr="001E7F11">
              <w:rPr>
                <w:rFonts w:ascii="Times-Roman2" w:hAnsi="Times-Roman2" w:cs="Times-Roman2"/>
                <w:i/>
                <w:color w:val="000000"/>
                <w:sz w:val="20"/>
                <w:szCs w:val="20"/>
                <w:lang w:val="en-AU"/>
              </w:rPr>
              <w:t>et al</w:t>
            </w:r>
            <w:r>
              <w:rPr>
                <w:rFonts w:ascii="Times-Roman2" w:hAnsi="Times-Roman2" w:cs="Times-Roman2"/>
                <w:color w:val="000000"/>
                <w:sz w:val="20"/>
                <w:szCs w:val="20"/>
                <w:lang w:val="en-AU"/>
              </w:rPr>
              <w:t>.</w:t>
            </w:r>
            <w:r w:rsidR="001E7F11">
              <w:rPr>
                <w:rFonts w:ascii="Times-Roman2" w:hAnsi="Times-Roman2" w:cs="Times-Roman2"/>
                <w:color w:val="000000"/>
                <w:sz w:val="20"/>
                <w:szCs w:val="20"/>
                <w:lang w:val="en-AU"/>
              </w:rPr>
              <w:t>,</w:t>
            </w:r>
            <w:r>
              <w:rPr>
                <w:rFonts w:ascii="Times-Roman2" w:hAnsi="Times-Roman2" w:cs="Times-Roman2"/>
                <w:color w:val="000000"/>
                <w:sz w:val="20"/>
                <w:szCs w:val="20"/>
                <w:lang w:val="en-AU"/>
              </w:rPr>
              <w:t xml:space="preserve"> </w:t>
            </w:r>
            <w:r w:rsidRPr="001E7F11">
              <w:rPr>
                <w:rFonts w:ascii="Times-Roman2" w:hAnsi="Times-Roman2" w:cs="Times-Roman2"/>
                <w:color w:val="auto"/>
                <w:sz w:val="20"/>
                <w:szCs w:val="20"/>
                <w:lang w:val="en-AU"/>
              </w:rPr>
              <w:t xml:space="preserve">2005 ; Song </w:t>
            </w:r>
            <w:r w:rsidRPr="001E7F11">
              <w:rPr>
                <w:rFonts w:ascii="Times-Roman2" w:hAnsi="Times-Roman2" w:cs="Times-Roman2"/>
                <w:i/>
                <w:color w:val="auto"/>
                <w:sz w:val="20"/>
                <w:szCs w:val="20"/>
                <w:lang w:val="en-AU"/>
              </w:rPr>
              <w:t>et al</w:t>
            </w:r>
            <w:r w:rsidRPr="001E7F11">
              <w:rPr>
                <w:rFonts w:ascii="Times-Roman2" w:hAnsi="Times-Roman2" w:cs="Times-Roman2"/>
                <w:color w:val="auto"/>
                <w:sz w:val="20"/>
                <w:szCs w:val="20"/>
                <w:lang w:val="en-AU"/>
              </w:rPr>
              <w:t>.</w:t>
            </w:r>
            <w:r w:rsidR="001E7F11">
              <w:rPr>
                <w:rFonts w:ascii="Times-Roman2" w:hAnsi="Times-Roman2" w:cs="Times-Roman2"/>
                <w:color w:val="auto"/>
                <w:sz w:val="20"/>
                <w:szCs w:val="20"/>
                <w:lang w:val="en-AU"/>
              </w:rPr>
              <w:t>,</w:t>
            </w:r>
            <w:r w:rsidRPr="001E7F11">
              <w:rPr>
                <w:rFonts w:ascii="Times-Roman2" w:hAnsi="Times-Roman2" w:cs="Times-Roman2"/>
                <w:color w:val="auto"/>
                <w:sz w:val="20"/>
                <w:szCs w:val="20"/>
                <w:lang w:val="en-AU"/>
              </w:rPr>
              <w:t xml:space="preserve"> </w:t>
            </w:r>
            <w:r w:rsidR="001E7F11" w:rsidRPr="001E7F11">
              <w:rPr>
                <w:rFonts w:ascii="Times-Roman2" w:hAnsi="Times-Roman2" w:cs="Times-Roman2"/>
                <w:color w:val="auto"/>
                <w:sz w:val="20"/>
                <w:szCs w:val="20"/>
                <w:lang w:val="en-AU"/>
              </w:rPr>
              <w:t>2008</w:t>
            </w:r>
            <w:r w:rsidRPr="001E7F11">
              <w:rPr>
                <w:rFonts w:ascii="Times-Roman2" w:hAnsi="Times-Roman2" w:cs="Times-Roman2"/>
                <w:color w:val="auto"/>
                <w:sz w:val="20"/>
                <w:szCs w:val="20"/>
                <w:lang w:val="en-AU"/>
              </w:rPr>
              <w:t>),</w:t>
            </w:r>
            <w:r>
              <w:rPr>
                <w:rFonts w:ascii="Times-Roman2" w:hAnsi="Times-Roman2" w:cs="Times-Roman2"/>
                <w:color w:val="000000"/>
                <w:sz w:val="20"/>
                <w:szCs w:val="20"/>
                <w:lang w:val="en-AU"/>
              </w:rPr>
              <w:t xml:space="preserve"> see below.</w:t>
            </w:r>
          </w:p>
        </w:tc>
      </w:tr>
      <w:tr w:rsidR="00D1722C" w:rsidRPr="001008E7" w14:paraId="6AB247BB" w14:textId="77777777" w:rsidTr="00966786">
        <w:tc>
          <w:tcPr>
            <w:tcW w:w="1900" w:type="dxa"/>
          </w:tcPr>
          <w:p w14:paraId="7487849F" w14:textId="77777777" w:rsidR="00D1722C" w:rsidRPr="001008E7" w:rsidRDefault="00D1722C" w:rsidP="0061430D">
            <w:pPr>
              <w:pStyle w:val="TableParagraph"/>
              <w:rPr>
                <w:rFonts w:ascii="Arial" w:eastAsia="Arial" w:hAnsi="Arial" w:cs="Arial"/>
                <w:sz w:val="20"/>
                <w:szCs w:val="16"/>
              </w:rPr>
            </w:pPr>
            <w:r w:rsidRPr="001008E7">
              <w:rPr>
                <w:rFonts w:ascii="Arial" w:hAnsi="Arial"/>
                <w:sz w:val="20"/>
              </w:rPr>
              <w:t>Broad</w:t>
            </w:r>
            <w:r w:rsidRPr="001008E7">
              <w:rPr>
                <w:rFonts w:ascii="Arial" w:hAnsi="Arial"/>
                <w:spacing w:val="-9"/>
                <w:sz w:val="20"/>
              </w:rPr>
              <w:t xml:space="preserve"> </w:t>
            </w:r>
            <w:r w:rsidRPr="001008E7">
              <w:rPr>
                <w:rFonts w:ascii="Arial" w:hAnsi="Arial"/>
                <w:spacing w:val="-1"/>
                <w:sz w:val="20"/>
              </w:rPr>
              <w:t>whitefish</w:t>
            </w:r>
            <w:r w:rsidRPr="001008E7">
              <w:rPr>
                <w:rFonts w:ascii="Arial" w:hAnsi="Arial"/>
                <w:spacing w:val="-9"/>
                <w:sz w:val="20"/>
              </w:rPr>
              <w:t xml:space="preserve"> </w:t>
            </w:r>
            <w:r w:rsidRPr="001008E7">
              <w:rPr>
                <w:rFonts w:ascii="Arial" w:hAnsi="Arial"/>
                <w:sz w:val="20"/>
              </w:rPr>
              <w:t>(</w:t>
            </w:r>
            <w:r w:rsidRPr="001008E7">
              <w:rPr>
                <w:rFonts w:ascii="Arial" w:hAnsi="Arial"/>
                <w:i/>
                <w:sz w:val="20"/>
              </w:rPr>
              <w:t>Coregonus</w:t>
            </w:r>
            <w:r w:rsidRPr="001008E7">
              <w:rPr>
                <w:rFonts w:ascii="Arial" w:hAnsi="Arial"/>
                <w:i/>
                <w:spacing w:val="29"/>
                <w:w w:val="99"/>
                <w:sz w:val="20"/>
              </w:rPr>
              <w:t xml:space="preserve"> </w:t>
            </w:r>
            <w:r w:rsidRPr="001008E7">
              <w:rPr>
                <w:rFonts w:ascii="Arial" w:hAnsi="Arial"/>
                <w:i/>
                <w:sz w:val="20"/>
              </w:rPr>
              <w:t>nasus</w:t>
            </w:r>
            <w:r w:rsidRPr="001008E7">
              <w:rPr>
                <w:rFonts w:ascii="Arial" w:hAnsi="Arial"/>
                <w:sz w:val="20"/>
              </w:rPr>
              <w:t>),</w:t>
            </w:r>
            <w:r w:rsidRPr="001008E7">
              <w:rPr>
                <w:rFonts w:ascii="Arial" w:hAnsi="Arial"/>
                <w:spacing w:val="34"/>
                <w:sz w:val="20"/>
              </w:rPr>
              <w:t xml:space="preserve"> </w:t>
            </w:r>
            <w:r w:rsidRPr="001008E7">
              <w:rPr>
                <w:rFonts w:ascii="Arial" w:hAnsi="Arial"/>
                <w:sz w:val="20"/>
              </w:rPr>
              <w:t>lake</w:t>
            </w:r>
            <w:r w:rsidRPr="001008E7">
              <w:rPr>
                <w:rFonts w:ascii="Arial" w:hAnsi="Arial"/>
                <w:spacing w:val="-5"/>
                <w:sz w:val="20"/>
              </w:rPr>
              <w:t xml:space="preserve"> </w:t>
            </w:r>
            <w:r w:rsidRPr="001008E7">
              <w:rPr>
                <w:rFonts w:ascii="Arial" w:hAnsi="Arial"/>
                <w:sz w:val="20"/>
              </w:rPr>
              <w:t>chub</w:t>
            </w:r>
            <w:r w:rsidRPr="001008E7">
              <w:rPr>
                <w:rFonts w:ascii="Arial" w:hAnsi="Arial"/>
                <w:spacing w:val="-5"/>
                <w:sz w:val="20"/>
              </w:rPr>
              <w:t xml:space="preserve"> </w:t>
            </w:r>
            <w:r w:rsidRPr="001008E7">
              <w:rPr>
                <w:rFonts w:ascii="Arial" w:hAnsi="Arial"/>
                <w:sz w:val="20"/>
              </w:rPr>
              <w:t>(</w:t>
            </w:r>
            <w:r w:rsidRPr="001008E7">
              <w:rPr>
                <w:rFonts w:ascii="Arial" w:hAnsi="Arial"/>
                <w:i/>
                <w:sz w:val="20"/>
              </w:rPr>
              <w:t>Couesius</w:t>
            </w:r>
            <w:r w:rsidRPr="001008E7">
              <w:rPr>
                <w:rFonts w:ascii="Arial" w:hAnsi="Arial"/>
                <w:i/>
                <w:w w:val="99"/>
                <w:sz w:val="20"/>
              </w:rPr>
              <w:t xml:space="preserve"> </w:t>
            </w:r>
            <w:r w:rsidRPr="001008E7">
              <w:rPr>
                <w:rFonts w:ascii="Arial" w:hAnsi="Arial"/>
                <w:i/>
                <w:sz w:val="20"/>
              </w:rPr>
              <w:lastRenderedPageBreak/>
              <w:t>plumbeus</w:t>
            </w:r>
            <w:r w:rsidRPr="001008E7">
              <w:rPr>
                <w:rFonts w:ascii="Arial" w:hAnsi="Arial"/>
                <w:sz w:val="20"/>
              </w:rPr>
              <w:t>),</w:t>
            </w:r>
            <w:r w:rsidRPr="001008E7">
              <w:rPr>
                <w:rFonts w:ascii="Arial" w:hAnsi="Arial"/>
                <w:spacing w:val="-8"/>
                <w:sz w:val="20"/>
              </w:rPr>
              <w:t xml:space="preserve"> </w:t>
            </w:r>
            <w:r w:rsidRPr="001008E7">
              <w:rPr>
                <w:rFonts w:ascii="Arial" w:hAnsi="Arial"/>
                <w:spacing w:val="-1"/>
                <w:sz w:val="20"/>
              </w:rPr>
              <w:t>Northern</w:t>
            </w:r>
            <w:r w:rsidRPr="001008E7">
              <w:rPr>
                <w:rFonts w:ascii="Arial" w:hAnsi="Arial"/>
                <w:spacing w:val="-8"/>
                <w:sz w:val="20"/>
              </w:rPr>
              <w:t xml:space="preserve"> </w:t>
            </w:r>
            <w:r w:rsidRPr="001008E7">
              <w:rPr>
                <w:rFonts w:ascii="Arial" w:hAnsi="Arial"/>
                <w:spacing w:val="-1"/>
                <w:sz w:val="20"/>
              </w:rPr>
              <w:t>pike</w:t>
            </w:r>
            <w:r w:rsidRPr="001008E7">
              <w:rPr>
                <w:rFonts w:ascii="Arial" w:hAnsi="Arial"/>
                <w:spacing w:val="-8"/>
                <w:sz w:val="20"/>
              </w:rPr>
              <w:t xml:space="preserve"> </w:t>
            </w:r>
            <w:r w:rsidRPr="001008E7">
              <w:rPr>
                <w:rFonts w:ascii="Arial" w:hAnsi="Arial"/>
                <w:sz w:val="20"/>
              </w:rPr>
              <w:t>(</w:t>
            </w:r>
            <w:r w:rsidRPr="001008E7">
              <w:rPr>
                <w:rFonts w:ascii="Arial" w:hAnsi="Arial"/>
                <w:i/>
                <w:sz w:val="20"/>
              </w:rPr>
              <w:t>Esox</w:t>
            </w:r>
            <w:r w:rsidRPr="001008E7">
              <w:rPr>
                <w:rFonts w:ascii="Arial" w:hAnsi="Arial"/>
                <w:i/>
                <w:spacing w:val="29"/>
                <w:w w:val="99"/>
                <w:sz w:val="20"/>
              </w:rPr>
              <w:t xml:space="preserve"> </w:t>
            </w:r>
            <w:r w:rsidRPr="001008E7">
              <w:rPr>
                <w:rFonts w:ascii="Arial" w:hAnsi="Arial"/>
                <w:i/>
                <w:sz w:val="20"/>
              </w:rPr>
              <w:t>pucius</w:t>
            </w:r>
            <w:r w:rsidRPr="001008E7">
              <w:rPr>
                <w:rFonts w:ascii="Arial" w:hAnsi="Arial"/>
                <w:sz w:val="20"/>
              </w:rPr>
              <w:t>)</w:t>
            </w:r>
            <w:r w:rsidRPr="00F95B5E">
              <w:rPr>
                <w:rFonts w:ascii="Arial" w:hAnsi="Arial"/>
                <w:sz w:val="20"/>
                <w:vertAlign w:val="superscript"/>
              </w:rPr>
              <w:t>+</w:t>
            </w:r>
          </w:p>
        </w:tc>
        <w:tc>
          <w:tcPr>
            <w:tcW w:w="1276" w:type="dxa"/>
          </w:tcPr>
          <w:p w14:paraId="7529A733" w14:textId="000E123A" w:rsidR="00D1722C" w:rsidRPr="001008E7" w:rsidRDefault="00D1722C" w:rsidP="001E7F11">
            <w:pPr>
              <w:pStyle w:val="TableParagraph"/>
              <w:rPr>
                <w:rFonts w:ascii="Arial" w:hAnsi="Arial"/>
                <w:spacing w:val="-1"/>
                <w:sz w:val="20"/>
              </w:rPr>
            </w:pPr>
            <w:r>
              <w:rPr>
                <w:rFonts w:ascii="Arial" w:hAnsi="Arial"/>
                <w:spacing w:val="-1"/>
                <w:sz w:val="20"/>
              </w:rPr>
              <w:lastRenderedPageBreak/>
              <w:t xml:space="preserve">720 </w:t>
            </w:r>
            <w:r w:rsidR="001E7F11">
              <w:rPr>
                <w:rFonts w:ascii="Arial" w:hAnsi="Arial"/>
                <w:spacing w:val="-1"/>
                <w:sz w:val="20"/>
              </w:rPr>
              <w:t xml:space="preserve">cui airgun </w:t>
            </w:r>
            <w:r>
              <w:rPr>
                <w:rFonts w:ascii="Arial" w:hAnsi="Arial"/>
                <w:spacing w:val="-1"/>
                <w:sz w:val="20"/>
              </w:rPr>
              <w:t>array</w:t>
            </w:r>
          </w:p>
        </w:tc>
        <w:tc>
          <w:tcPr>
            <w:tcW w:w="1701" w:type="dxa"/>
          </w:tcPr>
          <w:p w14:paraId="5A00465D" w14:textId="77777777" w:rsidR="00D1722C" w:rsidRPr="001008E7" w:rsidRDefault="00D1722C" w:rsidP="00D1722C">
            <w:pPr>
              <w:pStyle w:val="TableParagraph"/>
              <w:rPr>
                <w:rFonts w:ascii="Arial" w:hAnsi="Arial"/>
                <w:spacing w:val="-1"/>
                <w:sz w:val="20"/>
              </w:rPr>
            </w:pPr>
            <w:r>
              <w:rPr>
                <w:rFonts w:ascii="Arial" w:hAnsi="Arial"/>
                <w:spacing w:val="-1"/>
                <w:sz w:val="20"/>
              </w:rPr>
              <w:t>Not specified, not relevant</w:t>
            </w:r>
          </w:p>
        </w:tc>
        <w:tc>
          <w:tcPr>
            <w:tcW w:w="1467" w:type="dxa"/>
          </w:tcPr>
          <w:p w14:paraId="57983AEB" w14:textId="61BD5CCC" w:rsidR="00D1722C" w:rsidRPr="001008E7" w:rsidRDefault="00D1722C" w:rsidP="00D1722C">
            <w:pPr>
              <w:pStyle w:val="TableParagraph"/>
              <w:rPr>
                <w:rFonts w:ascii="Arial" w:hAnsi="Arial"/>
                <w:sz w:val="20"/>
              </w:rPr>
            </w:pPr>
            <w:r w:rsidRPr="001008E7">
              <w:rPr>
                <w:rFonts w:ascii="Arial" w:hAnsi="Arial"/>
                <w:sz w:val="20"/>
              </w:rPr>
              <w:t>13</w:t>
            </w:r>
            <w:r>
              <w:rPr>
                <w:rFonts w:ascii="Arial" w:hAnsi="Arial"/>
                <w:spacing w:val="-1"/>
                <w:sz w:val="20"/>
              </w:rPr>
              <w:t>–</w:t>
            </w:r>
            <w:r w:rsidRPr="001008E7">
              <w:rPr>
                <w:rFonts w:ascii="Arial" w:hAnsi="Arial"/>
                <w:sz w:val="20"/>
              </w:rPr>
              <w:t>17</w:t>
            </w:r>
            <w:r w:rsidR="00966786">
              <w:rPr>
                <w:rFonts w:ascii="Arial" w:hAnsi="Arial"/>
                <w:sz w:val="20"/>
              </w:rPr>
              <w:t xml:space="preserve"> m</w:t>
            </w:r>
          </w:p>
        </w:tc>
        <w:tc>
          <w:tcPr>
            <w:tcW w:w="1753" w:type="dxa"/>
          </w:tcPr>
          <w:p w14:paraId="0619411C" w14:textId="77777777" w:rsidR="00D1722C" w:rsidRPr="001008E7" w:rsidRDefault="00D1722C" w:rsidP="006C28BB">
            <w:pPr>
              <w:pStyle w:val="TableParagraph"/>
              <w:rPr>
                <w:rFonts w:ascii="Arial" w:hAnsi="Arial"/>
                <w:sz w:val="20"/>
              </w:rPr>
            </w:pPr>
            <w:r w:rsidRPr="001008E7">
              <w:rPr>
                <w:rFonts w:ascii="Arial" w:hAnsi="Arial"/>
                <w:sz w:val="20"/>
              </w:rPr>
              <w:t>Average</w:t>
            </w:r>
            <w:r w:rsidRPr="001008E7">
              <w:rPr>
                <w:rFonts w:ascii="Arial" w:hAnsi="Arial"/>
                <w:spacing w:val="-5"/>
                <w:sz w:val="20"/>
              </w:rPr>
              <w:t xml:space="preserve"> </w:t>
            </w:r>
            <w:r w:rsidRPr="001008E7">
              <w:rPr>
                <w:rFonts w:ascii="Arial" w:hAnsi="Arial"/>
                <w:sz w:val="20"/>
              </w:rPr>
              <w:t>mean</w:t>
            </w:r>
            <w:r w:rsidRPr="001008E7">
              <w:rPr>
                <w:rFonts w:ascii="Arial" w:hAnsi="Arial"/>
                <w:spacing w:val="-4"/>
                <w:sz w:val="20"/>
              </w:rPr>
              <w:t xml:space="preserve"> </w:t>
            </w:r>
            <w:r w:rsidRPr="001008E7">
              <w:rPr>
                <w:rFonts w:ascii="Arial" w:hAnsi="Arial"/>
                <w:sz w:val="20"/>
              </w:rPr>
              <w:t>of</w:t>
            </w:r>
            <w:r w:rsidRPr="001008E7">
              <w:rPr>
                <w:rFonts w:ascii="Arial" w:hAnsi="Arial"/>
                <w:spacing w:val="-4"/>
                <w:sz w:val="20"/>
              </w:rPr>
              <w:t xml:space="preserve"> </w:t>
            </w:r>
            <w:r w:rsidRPr="001008E7">
              <w:rPr>
                <w:rFonts w:ascii="Arial" w:hAnsi="Arial"/>
                <w:sz w:val="20"/>
              </w:rPr>
              <w:t xml:space="preserve">207 </w:t>
            </w:r>
            <w:r>
              <w:rPr>
                <w:rFonts w:ascii="Arial" w:hAnsi="Arial"/>
                <w:sz w:val="20"/>
              </w:rPr>
              <w:t xml:space="preserve">PK </w:t>
            </w:r>
            <w:r w:rsidRPr="001008E7">
              <w:rPr>
                <w:rFonts w:ascii="Arial" w:hAnsi="Arial"/>
                <w:sz w:val="20"/>
              </w:rPr>
              <w:t>(M)</w:t>
            </w:r>
          </w:p>
          <w:p w14:paraId="11E38CB1" w14:textId="35425F98" w:rsidR="00D1722C" w:rsidRPr="001008E7" w:rsidRDefault="00D1722C" w:rsidP="001E7F11">
            <w:pPr>
              <w:pStyle w:val="TableParagraph"/>
              <w:rPr>
                <w:rFonts w:ascii="Arial" w:eastAsia="Arial" w:hAnsi="Arial" w:cs="Arial"/>
                <w:sz w:val="20"/>
                <w:szCs w:val="16"/>
              </w:rPr>
            </w:pPr>
            <w:r w:rsidRPr="001008E7">
              <w:rPr>
                <w:rFonts w:ascii="Arial" w:hAnsi="Arial"/>
                <w:sz w:val="20"/>
              </w:rPr>
              <w:t>Mean</w:t>
            </w:r>
            <w:r w:rsidRPr="001008E7">
              <w:rPr>
                <w:rFonts w:ascii="Arial" w:hAnsi="Arial"/>
                <w:spacing w:val="21"/>
                <w:w w:val="99"/>
                <w:sz w:val="20"/>
              </w:rPr>
              <w:t xml:space="preserve"> </w:t>
            </w:r>
            <w:r w:rsidRPr="001008E7">
              <w:rPr>
                <w:rFonts w:ascii="Arial" w:hAnsi="Arial"/>
                <w:sz w:val="20"/>
              </w:rPr>
              <w:t>SEL</w:t>
            </w:r>
            <w:r w:rsidR="001E7F11">
              <w:rPr>
                <w:rFonts w:ascii="Arial" w:hAnsi="Arial"/>
                <w:sz w:val="20"/>
              </w:rPr>
              <w:t xml:space="preserve"> </w:t>
            </w:r>
            <w:r>
              <w:rPr>
                <w:rFonts w:ascii="Arial" w:hAnsi="Arial"/>
                <w:sz w:val="20"/>
              </w:rPr>
              <w:t>(single shot)</w:t>
            </w:r>
            <w:r w:rsidRPr="001008E7">
              <w:rPr>
                <w:rFonts w:ascii="Arial" w:hAnsi="Arial"/>
                <w:spacing w:val="-5"/>
                <w:sz w:val="20"/>
              </w:rPr>
              <w:t xml:space="preserve"> </w:t>
            </w:r>
            <w:r w:rsidRPr="001008E7">
              <w:rPr>
                <w:rFonts w:ascii="Arial" w:hAnsi="Arial"/>
                <w:sz w:val="20"/>
              </w:rPr>
              <w:t xml:space="preserve">177 </w:t>
            </w:r>
            <w:r w:rsidR="001E7F11">
              <w:rPr>
                <w:rFonts w:ascii="Arial" w:hAnsi="Arial"/>
                <w:sz w:val="20"/>
              </w:rPr>
              <w:t xml:space="preserve">m </w:t>
            </w:r>
            <w:r w:rsidRPr="001008E7">
              <w:rPr>
                <w:rFonts w:ascii="Arial" w:hAnsi="Arial"/>
                <w:sz w:val="20"/>
              </w:rPr>
              <w:t>(M)</w:t>
            </w:r>
          </w:p>
        </w:tc>
        <w:tc>
          <w:tcPr>
            <w:tcW w:w="2256" w:type="dxa"/>
          </w:tcPr>
          <w:p w14:paraId="61991AA5" w14:textId="77777777" w:rsidR="00D1722C" w:rsidRPr="001E7F11" w:rsidRDefault="00D1722C" w:rsidP="001E7F11">
            <w:pPr>
              <w:pStyle w:val="TableParagraph"/>
              <w:rPr>
                <w:rFonts w:ascii="Arial" w:hAnsi="Arial"/>
                <w:sz w:val="20"/>
              </w:rPr>
            </w:pPr>
            <w:r w:rsidRPr="001E7F11">
              <w:rPr>
                <w:rFonts w:ascii="Arial" w:hAnsi="Arial"/>
                <w:sz w:val="20"/>
              </w:rPr>
              <w:t>No mortality of fish from the 3 species held for 24 hours after exposure.</w:t>
            </w:r>
          </w:p>
        </w:tc>
        <w:tc>
          <w:tcPr>
            <w:tcW w:w="1548" w:type="dxa"/>
          </w:tcPr>
          <w:p w14:paraId="49A01C8F" w14:textId="3A734BDE" w:rsidR="00D1722C" w:rsidRDefault="00D1722C" w:rsidP="0061430D">
            <w:pPr>
              <w:pStyle w:val="TableParagraph"/>
              <w:rPr>
                <w:rFonts w:ascii="Arial" w:hAnsi="Arial"/>
                <w:sz w:val="20"/>
                <w:vertAlign w:val="superscript"/>
              </w:rPr>
            </w:pPr>
            <w:r>
              <w:rPr>
                <w:rFonts w:ascii="Arial" w:hAnsi="Arial"/>
                <w:sz w:val="20"/>
              </w:rPr>
              <w:fldChar w:fldCharType="begin"/>
            </w:r>
            <w:r>
              <w:rPr>
                <w:rFonts w:ascii="Arial" w:hAnsi="Arial"/>
                <w:sz w:val="20"/>
              </w:rPr>
              <w:instrText xml:space="preserve"> ADDIN EN.CITE &lt;EndNote&gt;&lt;Cite&gt;&lt;Author&gt;Popper&lt;/Author&gt;&lt;Year&gt;2005&lt;/Year&gt;&lt;RecNum&gt;35&lt;/RecNum&gt;&lt;DisplayText&gt;(Popper et al. 2005)&lt;/DisplayText&gt;&lt;record&gt;&lt;rec-number&gt;35&lt;/rec-number&gt;&lt;foreign-keys&gt;&lt;key app="EN" db-id="arp55rdtqwd0adetva4p299cdxwxrvpx502w"&gt;35&lt;/key&gt;&lt;/foreign-keys&gt;&lt;ref-type name="Journal Article"&gt;17&lt;/ref-type&gt;&lt;contributors&gt;&lt;authors&gt;&lt;author&gt;Popper, Arthur N&lt;/author&gt;&lt;author&gt;Smith, Michael E&lt;/author&gt;&lt;author&gt;Cott, Peter A&lt;/author&gt;&lt;author&gt;Hanna, Bruce W&lt;/author&gt;&lt;author&gt;MacGillivray, Alexander O&lt;/author&gt;&lt;author&gt;Austin, Melanie E&lt;/author&gt;&lt;author&gt;Mann, David A&lt;/author&gt;&lt;/authors&gt;&lt;/contributors&gt;&lt;titles&gt;&lt;title&gt;Effects of exposure to seismic airgun use on hearing of three fish species&lt;/title&gt;&lt;secondary-title&gt;The Journal of the Acoustical Society of America&lt;/secondary-title&gt;&lt;/titles&gt;&lt;periodical&gt;&lt;full-title&gt;The Journal of the Acoustical Society of America&lt;/full-title&gt;&lt;/periodical&gt;&lt;pages&gt;3958-3971&lt;/pages&gt;&lt;volume&gt;117&lt;/volume&gt;&lt;number&gt;6&lt;/number&gt;&lt;dates&gt;&lt;year&gt;2005&lt;/year&gt;&lt;/dates&gt;&lt;isbn&gt;0001-4966&lt;/isbn&gt;&lt;urls&gt;&lt;/urls&gt;&lt;/record&gt;&lt;/Cite&gt;&lt;/EndNote&gt;</w:instrText>
            </w:r>
            <w:r>
              <w:rPr>
                <w:rFonts w:ascii="Arial" w:hAnsi="Arial"/>
                <w:sz w:val="20"/>
              </w:rPr>
              <w:fldChar w:fldCharType="separate"/>
            </w:r>
            <w:r>
              <w:rPr>
                <w:rFonts w:ascii="Arial" w:hAnsi="Arial"/>
                <w:noProof/>
                <w:sz w:val="20"/>
              </w:rPr>
              <w:t>(</w:t>
            </w:r>
            <w:hyperlink w:anchor="_ENREF_7" w:tooltip="Popper, 2005 #35" w:history="1">
              <w:r>
                <w:rPr>
                  <w:rFonts w:ascii="Arial" w:hAnsi="Arial"/>
                  <w:noProof/>
                  <w:sz w:val="20"/>
                </w:rPr>
                <w:t>Popper et al.</w:t>
              </w:r>
              <w:r w:rsidR="001E7F11">
                <w:rPr>
                  <w:rFonts w:ascii="Arial" w:hAnsi="Arial"/>
                  <w:noProof/>
                  <w:sz w:val="20"/>
                </w:rPr>
                <w:t>,</w:t>
              </w:r>
              <w:r>
                <w:rPr>
                  <w:rFonts w:ascii="Arial" w:hAnsi="Arial"/>
                  <w:noProof/>
                  <w:sz w:val="20"/>
                </w:rPr>
                <w:t xml:space="preserve"> 2005</w:t>
              </w:r>
            </w:hyperlink>
            <w:r>
              <w:rPr>
                <w:rFonts w:ascii="Arial" w:hAnsi="Arial"/>
                <w:noProof/>
                <w:sz w:val="20"/>
              </w:rPr>
              <w:t>)</w:t>
            </w:r>
            <w:r>
              <w:rPr>
                <w:rFonts w:ascii="Arial" w:hAnsi="Arial"/>
                <w:sz w:val="20"/>
              </w:rPr>
              <w:fldChar w:fldCharType="end"/>
            </w:r>
            <w:r>
              <w:rPr>
                <w:rFonts w:ascii="Arial" w:hAnsi="Arial"/>
                <w:sz w:val="20"/>
              </w:rPr>
              <w:t>*,</w:t>
            </w:r>
            <w:r w:rsidRPr="006517D7">
              <w:rPr>
                <w:rFonts w:ascii="Arial" w:hAnsi="Arial"/>
                <w:sz w:val="20"/>
                <w:vertAlign w:val="superscript"/>
              </w:rPr>
              <w:t>C1</w:t>
            </w:r>
          </w:p>
          <w:p w14:paraId="1E747404" w14:textId="77777777" w:rsidR="00D1722C" w:rsidRDefault="00D1722C" w:rsidP="0061430D">
            <w:pPr>
              <w:pStyle w:val="TableParagraph"/>
              <w:rPr>
                <w:rFonts w:ascii="Arial" w:hAnsi="Arial"/>
                <w:sz w:val="20"/>
                <w:vertAlign w:val="superscript"/>
              </w:rPr>
            </w:pPr>
          </w:p>
          <w:p w14:paraId="74937DAA" w14:textId="77777777" w:rsidR="00D1722C" w:rsidRDefault="00D1722C" w:rsidP="0061430D">
            <w:pPr>
              <w:pStyle w:val="TableParagraph"/>
              <w:rPr>
                <w:rFonts w:ascii="Arial" w:hAnsi="Arial"/>
                <w:sz w:val="20"/>
                <w:vertAlign w:val="superscript"/>
              </w:rPr>
            </w:pPr>
          </w:p>
          <w:p w14:paraId="5948D625" w14:textId="77777777" w:rsidR="00D1722C" w:rsidRPr="001008E7" w:rsidRDefault="00D1722C" w:rsidP="0061430D">
            <w:pPr>
              <w:pStyle w:val="TableParagraph"/>
              <w:rPr>
                <w:rFonts w:ascii="Arial" w:eastAsia="Arial" w:hAnsi="Arial" w:cs="Arial"/>
                <w:sz w:val="20"/>
                <w:szCs w:val="16"/>
              </w:rPr>
            </w:pPr>
            <w:r>
              <w:rPr>
                <w:rFonts w:ascii="Arial" w:hAnsi="Arial"/>
                <w:sz w:val="20"/>
                <w:vertAlign w:val="superscript"/>
              </w:rPr>
              <w:lastRenderedPageBreak/>
              <w:t>1. Caged outdoor tanks</w:t>
            </w:r>
          </w:p>
        </w:tc>
        <w:tc>
          <w:tcPr>
            <w:tcW w:w="2360" w:type="dxa"/>
          </w:tcPr>
          <w:p w14:paraId="5A4C3F27" w14:textId="77777777" w:rsidR="00D1722C" w:rsidRDefault="00D1722C" w:rsidP="0061430D">
            <w:pPr>
              <w:pStyle w:val="TableParagraph"/>
              <w:rPr>
                <w:rFonts w:ascii="Arial" w:hAnsi="Arial"/>
                <w:sz w:val="20"/>
              </w:rPr>
            </w:pPr>
            <w:r>
              <w:rPr>
                <w:rFonts w:ascii="Arial" w:hAnsi="Arial"/>
                <w:sz w:val="20"/>
              </w:rPr>
              <w:lastRenderedPageBreak/>
              <w:t xml:space="preserve">Relevant – no mortality at close range, </w:t>
            </w:r>
          </w:p>
          <w:p w14:paraId="3A1FA2B8" w14:textId="77777777" w:rsidR="00D1722C" w:rsidRDefault="00D1722C" w:rsidP="0061430D">
            <w:pPr>
              <w:pStyle w:val="TableParagraph"/>
              <w:rPr>
                <w:rFonts w:ascii="Arial" w:hAnsi="Arial"/>
                <w:sz w:val="20"/>
              </w:rPr>
            </w:pPr>
            <w:r>
              <w:rPr>
                <w:rFonts w:ascii="Arial" w:hAnsi="Arial"/>
                <w:sz w:val="20"/>
              </w:rPr>
              <w:t xml:space="preserve">However, limited ability to compare to McCauley </w:t>
            </w:r>
            <w:r>
              <w:rPr>
                <w:rFonts w:ascii="Arial" w:hAnsi="Arial"/>
                <w:sz w:val="20"/>
              </w:rPr>
              <w:lastRenderedPageBreak/>
              <w:t>et al 2004 – different paradigm, species, airgun, and transmission loss environment.</w:t>
            </w:r>
          </w:p>
        </w:tc>
      </w:tr>
      <w:tr w:rsidR="00D1722C" w:rsidRPr="001008E7" w14:paraId="535B2C6E" w14:textId="77777777" w:rsidTr="00966786">
        <w:tc>
          <w:tcPr>
            <w:tcW w:w="1900" w:type="dxa"/>
          </w:tcPr>
          <w:p w14:paraId="696809BE" w14:textId="0EE4E58A" w:rsidR="00D1722C" w:rsidRPr="00505A03" w:rsidRDefault="00D1722C" w:rsidP="001E7F11">
            <w:pPr>
              <w:pStyle w:val="TableParagraph"/>
              <w:rPr>
                <w:rFonts w:ascii="Arial" w:eastAsia="Arial" w:hAnsi="Arial" w:cs="Arial"/>
                <w:sz w:val="20"/>
                <w:szCs w:val="16"/>
                <w:lang w:val="es-ES_tradnl"/>
              </w:rPr>
            </w:pPr>
            <w:r w:rsidRPr="00505A03">
              <w:rPr>
                <w:rFonts w:ascii="Arial" w:hAnsi="Arial"/>
                <w:sz w:val="20"/>
                <w:lang w:val="es-ES_tradnl"/>
              </w:rPr>
              <w:lastRenderedPageBreak/>
              <w:t xml:space="preserve">Juvenile </w:t>
            </w:r>
            <w:r w:rsidR="001E7F11" w:rsidRPr="00505A03">
              <w:rPr>
                <w:rFonts w:ascii="Arial" w:hAnsi="Arial"/>
                <w:sz w:val="20"/>
                <w:lang w:val="es-ES_tradnl"/>
              </w:rPr>
              <w:t>s</w:t>
            </w:r>
            <w:r w:rsidRPr="00505A03">
              <w:rPr>
                <w:rFonts w:ascii="Arial" w:hAnsi="Arial"/>
                <w:sz w:val="20"/>
                <w:lang w:val="es-ES_tradnl"/>
              </w:rPr>
              <w:t>ea</w:t>
            </w:r>
            <w:r w:rsidRPr="00505A03">
              <w:rPr>
                <w:rFonts w:ascii="Arial" w:hAnsi="Arial"/>
                <w:spacing w:val="-7"/>
                <w:sz w:val="20"/>
                <w:lang w:val="es-ES_tradnl"/>
              </w:rPr>
              <w:t xml:space="preserve"> </w:t>
            </w:r>
            <w:r w:rsidRPr="00505A03">
              <w:rPr>
                <w:rFonts w:ascii="Arial" w:hAnsi="Arial"/>
                <w:sz w:val="20"/>
                <w:lang w:val="es-ES_tradnl"/>
              </w:rPr>
              <w:t>bass</w:t>
            </w:r>
            <w:r w:rsidRPr="00505A03">
              <w:rPr>
                <w:rFonts w:ascii="Arial" w:eastAsia="Arial" w:hAnsi="Arial" w:cs="Arial"/>
                <w:sz w:val="20"/>
                <w:szCs w:val="16"/>
                <w:lang w:val="es-ES_tradnl"/>
              </w:rPr>
              <w:t xml:space="preserve"> (</w:t>
            </w:r>
            <w:r w:rsidRPr="00505A03">
              <w:rPr>
                <w:rFonts w:ascii="Arial" w:hAnsi="Arial"/>
                <w:i/>
                <w:sz w:val="20"/>
                <w:lang w:val="es-ES_tradnl"/>
              </w:rPr>
              <w:t>Dicentrarchus</w:t>
            </w:r>
            <w:r w:rsidRPr="00505A03">
              <w:rPr>
                <w:rFonts w:ascii="Arial" w:hAnsi="Arial"/>
                <w:i/>
                <w:spacing w:val="-16"/>
                <w:sz w:val="20"/>
                <w:lang w:val="es-ES_tradnl"/>
              </w:rPr>
              <w:t xml:space="preserve"> </w:t>
            </w:r>
            <w:r w:rsidRPr="00505A03">
              <w:rPr>
                <w:rFonts w:ascii="Arial" w:hAnsi="Arial"/>
                <w:i/>
                <w:sz w:val="20"/>
                <w:lang w:val="es-ES_tradnl"/>
              </w:rPr>
              <w:t>labrax</w:t>
            </w:r>
            <w:r w:rsidRPr="00505A03">
              <w:rPr>
                <w:rFonts w:ascii="Arial" w:hAnsi="Arial"/>
                <w:sz w:val="20"/>
                <w:lang w:val="es-ES_tradnl"/>
              </w:rPr>
              <w:t>)</w:t>
            </w:r>
          </w:p>
        </w:tc>
        <w:tc>
          <w:tcPr>
            <w:tcW w:w="1276" w:type="dxa"/>
          </w:tcPr>
          <w:p w14:paraId="574AB7DB" w14:textId="77777777" w:rsidR="00D1722C" w:rsidRDefault="00D1722C" w:rsidP="00D1722C">
            <w:pPr>
              <w:pStyle w:val="TableParagraph"/>
              <w:rPr>
                <w:rFonts w:ascii="Arial" w:hAnsi="Arial"/>
                <w:spacing w:val="-1"/>
                <w:sz w:val="20"/>
              </w:rPr>
            </w:pPr>
            <w:r>
              <w:rPr>
                <w:rFonts w:ascii="Arial" w:hAnsi="Arial"/>
                <w:spacing w:val="-1"/>
                <w:sz w:val="20"/>
              </w:rPr>
              <w:t xml:space="preserve">Airguns </w:t>
            </w:r>
          </w:p>
          <w:p w14:paraId="687C33BC" w14:textId="77777777" w:rsidR="00D1722C" w:rsidRPr="001008E7" w:rsidRDefault="00D1722C" w:rsidP="00D1722C">
            <w:pPr>
              <w:pStyle w:val="TableParagraph"/>
              <w:rPr>
                <w:rFonts w:ascii="Arial" w:hAnsi="Arial"/>
                <w:spacing w:val="-1"/>
                <w:sz w:val="20"/>
              </w:rPr>
            </w:pPr>
            <w:r>
              <w:rPr>
                <w:rFonts w:ascii="Arial" w:hAnsi="Arial"/>
                <w:spacing w:val="-1"/>
                <w:sz w:val="20"/>
              </w:rPr>
              <w:t>2500 in</w:t>
            </w:r>
            <w:r w:rsidRPr="00C50AD1">
              <w:rPr>
                <w:rFonts w:ascii="Arial" w:hAnsi="Arial"/>
                <w:spacing w:val="-1"/>
                <w:sz w:val="20"/>
                <w:vertAlign w:val="superscript"/>
              </w:rPr>
              <w:t>3</w:t>
            </w:r>
            <w:r>
              <w:rPr>
                <w:rFonts w:ascii="Arial" w:hAnsi="Arial"/>
                <w:spacing w:val="-1"/>
                <w:sz w:val="20"/>
              </w:rPr>
              <w:t xml:space="preserve"> array</w:t>
            </w:r>
          </w:p>
        </w:tc>
        <w:tc>
          <w:tcPr>
            <w:tcW w:w="1701" w:type="dxa"/>
          </w:tcPr>
          <w:p w14:paraId="7FD991B4" w14:textId="77777777" w:rsidR="00D1722C" w:rsidRDefault="00D1722C" w:rsidP="00D1722C">
            <w:pPr>
              <w:pStyle w:val="TableParagraph"/>
              <w:rPr>
                <w:rFonts w:ascii="Arial" w:hAnsi="Arial"/>
                <w:spacing w:val="-1"/>
                <w:sz w:val="20"/>
              </w:rPr>
            </w:pPr>
          </w:p>
          <w:p w14:paraId="58B7A17F" w14:textId="77777777" w:rsidR="00D1722C" w:rsidRPr="001008E7" w:rsidRDefault="00D1722C" w:rsidP="00D1722C">
            <w:pPr>
              <w:pStyle w:val="TableParagraph"/>
              <w:rPr>
                <w:rFonts w:ascii="Arial" w:hAnsi="Arial"/>
                <w:spacing w:val="-1"/>
                <w:sz w:val="20"/>
              </w:rPr>
            </w:pPr>
            <w:r>
              <w:rPr>
                <w:rFonts w:ascii="Arial" w:hAnsi="Arial"/>
                <w:spacing w:val="-1"/>
                <w:sz w:val="20"/>
              </w:rPr>
              <w:t>Not shown</w:t>
            </w:r>
          </w:p>
        </w:tc>
        <w:tc>
          <w:tcPr>
            <w:tcW w:w="1467" w:type="dxa"/>
          </w:tcPr>
          <w:p w14:paraId="17BB6FC3" w14:textId="1A58781E" w:rsidR="00D1722C" w:rsidRPr="001008E7" w:rsidRDefault="00D1722C" w:rsidP="00D1722C">
            <w:pPr>
              <w:pStyle w:val="TableParagraph"/>
              <w:rPr>
                <w:rFonts w:ascii="Arial" w:hAnsi="Arial"/>
                <w:sz w:val="20"/>
              </w:rPr>
            </w:pPr>
            <w:r w:rsidRPr="001008E7">
              <w:rPr>
                <w:rFonts w:ascii="Arial" w:hAnsi="Arial"/>
                <w:sz w:val="20"/>
              </w:rPr>
              <w:t>180</w:t>
            </w:r>
            <w:r>
              <w:rPr>
                <w:rFonts w:ascii="Arial" w:hAnsi="Arial"/>
                <w:spacing w:val="-1"/>
                <w:sz w:val="20"/>
              </w:rPr>
              <w:t>–</w:t>
            </w:r>
            <w:r w:rsidRPr="001008E7">
              <w:rPr>
                <w:rFonts w:ascii="Arial" w:hAnsi="Arial"/>
                <w:sz w:val="20"/>
              </w:rPr>
              <w:t>6</w:t>
            </w:r>
            <w:r w:rsidR="00966786">
              <w:rPr>
                <w:rFonts w:ascii="Arial" w:hAnsi="Arial"/>
                <w:sz w:val="20"/>
              </w:rPr>
              <w:t>,</w:t>
            </w:r>
            <w:r w:rsidRPr="001008E7">
              <w:rPr>
                <w:rFonts w:ascii="Arial" w:hAnsi="Arial"/>
                <w:sz w:val="20"/>
              </w:rPr>
              <w:t>500</w:t>
            </w:r>
            <w:r w:rsidR="00966786">
              <w:rPr>
                <w:rFonts w:ascii="Arial" w:hAnsi="Arial"/>
                <w:sz w:val="20"/>
              </w:rPr>
              <w:t xml:space="preserve"> m</w:t>
            </w:r>
          </w:p>
        </w:tc>
        <w:tc>
          <w:tcPr>
            <w:tcW w:w="1753" w:type="dxa"/>
          </w:tcPr>
          <w:p w14:paraId="0CBB5187" w14:textId="77777777" w:rsidR="00D1722C" w:rsidRPr="00505A03" w:rsidRDefault="00D1722C" w:rsidP="001E7F11">
            <w:pPr>
              <w:pStyle w:val="TableParagraph"/>
              <w:rPr>
                <w:rFonts w:ascii="Arial" w:eastAsia="Arial" w:hAnsi="Arial" w:cs="Arial"/>
                <w:sz w:val="20"/>
                <w:szCs w:val="16"/>
                <w:lang w:val="da-DK"/>
              </w:rPr>
            </w:pPr>
            <w:r w:rsidRPr="00505A03">
              <w:rPr>
                <w:rFonts w:ascii="Arial" w:hAnsi="Arial"/>
                <w:sz w:val="20"/>
                <w:lang w:val="da-DK"/>
              </w:rPr>
              <w:t>210 at 180 m (E)</w:t>
            </w:r>
          </w:p>
          <w:p w14:paraId="093358AD" w14:textId="77777777" w:rsidR="00D1722C" w:rsidRPr="00505A03" w:rsidRDefault="00D1722C" w:rsidP="001E7F11">
            <w:pPr>
              <w:pStyle w:val="TableParagraph"/>
              <w:rPr>
                <w:rFonts w:ascii="Arial" w:eastAsia="Arial" w:hAnsi="Arial" w:cs="Arial"/>
                <w:sz w:val="20"/>
                <w:szCs w:val="16"/>
                <w:lang w:val="da-DK"/>
              </w:rPr>
            </w:pPr>
            <w:r w:rsidRPr="00505A03">
              <w:rPr>
                <w:rFonts w:ascii="Arial" w:hAnsi="Arial"/>
                <w:sz w:val="20"/>
                <w:lang w:val="da-DK"/>
              </w:rPr>
              <w:t>204 at 800 m (E)</w:t>
            </w:r>
          </w:p>
          <w:p w14:paraId="11DD93E8" w14:textId="77777777" w:rsidR="00D1722C" w:rsidRPr="00505A03" w:rsidRDefault="00D1722C" w:rsidP="001E7F11">
            <w:pPr>
              <w:pStyle w:val="TableParagraph"/>
              <w:rPr>
                <w:rFonts w:ascii="Arial" w:eastAsia="Arial" w:hAnsi="Arial" w:cs="Arial"/>
                <w:sz w:val="20"/>
                <w:szCs w:val="16"/>
                <w:lang w:val="da-DK"/>
              </w:rPr>
            </w:pPr>
            <w:r w:rsidRPr="00505A03">
              <w:rPr>
                <w:rFonts w:ascii="Arial" w:hAnsi="Arial"/>
                <w:sz w:val="20"/>
                <w:lang w:val="da-DK"/>
              </w:rPr>
              <w:t>199 at 2500 m (E)</w:t>
            </w:r>
          </w:p>
        </w:tc>
        <w:tc>
          <w:tcPr>
            <w:tcW w:w="2256" w:type="dxa"/>
          </w:tcPr>
          <w:p w14:paraId="7C7FE173" w14:textId="77777777" w:rsidR="00D1722C" w:rsidRPr="001E7F11" w:rsidRDefault="00D1722C" w:rsidP="001E7F11">
            <w:pPr>
              <w:pStyle w:val="TableParagraph"/>
              <w:rPr>
                <w:rFonts w:ascii="Arial" w:hAnsi="Arial"/>
                <w:sz w:val="20"/>
              </w:rPr>
            </w:pPr>
            <w:r w:rsidRPr="001E7F11">
              <w:rPr>
                <w:rFonts w:ascii="Arial" w:hAnsi="Arial"/>
                <w:sz w:val="20"/>
              </w:rPr>
              <w:t>No mortality up to 72 hours post exposure.</w:t>
            </w:r>
          </w:p>
        </w:tc>
        <w:tc>
          <w:tcPr>
            <w:tcW w:w="1548" w:type="dxa"/>
          </w:tcPr>
          <w:p w14:paraId="50F9057E" w14:textId="77777777" w:rsidR="00D1722C" w:rsidRPr="001008E7" w:rsidRDefault="00D1722C" w:rsidP="0061430D">
            <w:pPr>
              <w:pStyle w:val="TableParagraph"/>
              <w:rPr>
                <w:rFonts w:ascii="Arial" w:eastAsia="Arial" w:hAnsi="Arial" w:cs="Arial"/>
                <w:sz w:val="20"/>
                <w:szCs w:val="16"/>
              </w:rPr>
            </w:pPr>
            <w:r>
              <w:rPr>
                <w:rFonts w:ascii="Arial" w:hAnsi="Arial"/>
                <w:sz w:val="20"/>
              </w:rPr>
              <w:fldChar w:fldCharType="begin"/>
            </w:r>
            <w:r>
              <w:rPr>
                <w:rFonts w:ascii="Arial" w:hAnsi="Arial"/>
                <w:sz w:val="20"/>
              </w:rPr>
              <w:instrText xml:space="preserve"> ADDIN EN.CITE &lt;EndNote&gt;&lt;Cite&gt;&lt;Author&gt;Santulli&lt;/Author&gt;&lt;Year&gt;1999&lt;/Year&gt;&lt;RecNum&gt;23383&lt;/RecNum&gt;&lt;DisplayText&gt;(Santulli et al. 1999)&lt;/DisplayText&gt;&lt;record&gt;&lt;rec-number&gt;23383&lt;/rec-number&gt;&lt;foreign-keys&gt;&lt;key app="EN" db-id="avrwfx0posesv7e0p5ixzsx0ssp0v09v222p" timestamp="1461004593"&gt;23383&lt;/key&gt;&lt;/foreign-keys&gt;&lt;ref-type name="Journal Article"&gt;17&lt;/ref-type&gt;&lt;contributors&gt;&lt;authors&gt;&lt;author&gt;Santulli, A.&lt;/author&gt;&lt;author&gt;Modica, A.&lt;/author&gt;&lt;author&gt;Messina, C.&lt;/author&gt;&lt;author&gt;Ceffa, L.&lt;/author&gt;&lt;author&gt;Curatolo, A.&lt;/author&gt;&lt;author&gt;Rivas, G.&lt;/author&gt;&lt;author&gt;Fabi, G.&lt;/author&gt;&lt;author&gt;D’Amelio, V.&lt;/author&gt;&lt;/authors&gt;&lt;/contributors&gt;&lt;titles&gt;&lt;title&gt;Biochemical responses of European sea bass (Dicentrarchus labrax L.) to the stress induced by off shore experimental seismic prospecting&lt;/title&gt;&lt;secondary-title&gt;Marine Pollution Bulletin&lt;/secondary-title&gt;&lt;/titles&gt;&lt;periodical&gt;&lt;full-title&gt;Marine Pollution Bulletin&lt;/full-title&gt;&lt;abbr-1&gt;Mar. Pollut. Bull.&lt;/abbr-1&gt;&lt;abbr-2&gt;Mar Pollut Bull&lt;/abbr-2&gt;&lt;/periodical&gt;&lt;pages&gt;1105-1114&lt;/pages&gt;&lt;volume&gt;38&lt;/volume&gt;&lt;number&gt;12&lt;/number&gt;&lt;keywords&gt;&lt;keyword&gt;air gun&lt;/keyword&gt;&lt;keyword&gt;seismic shock&lt;/keyword&gt;&lt;keyword&gt;stress&lt;/keyword&gt;&lt;keyword&gt;biochemical response&lt;/keyword&gt;&lt;keyword&gt;fish&lt;/keyword&gt;&lt;keyword&gt;Dicentrarchus labrax&lt;/keyword&gt;&lt;/keywords&gt;&lt;dates&gt;&lt;year&gt;1999&lt;/year&gt;&lt;pub-dates&gt;&lt;date&gt;12//&lt;/date&gt;&lt;/pub-dates&gt;&lt;/dates&gt;&lt;isbn&gt;0025-326X&lt;/isbn&gt;&lt;urls&gt;&lt;related-urls&gt;&lt;url&gt;http://www.sciencedirect.com/science/article/pii/S0025326X99001368&lt;/url&gt;&lt;/related-urls&gt;&lt;/urls&gt;&lt;electronic-resource-num&gt;http://dx.doi.org/10.1016/S0025-326X(99)00136-8&lt;/electronic-resource-num&gt;&lt;/record&gt;&lt;/Cite&gt;&lt;/EndNote&gt;</w:instrText>
            </w:r>
            <w:r>
              <w:rPr>
                <w:rFonts w:ascii="Arial" w:hAnsi="Arial"/>
                <w:sz w:val="20"/>
              </w:rPr>
              <w:fldChar w:fldCharType="separate"/>
            </w:r>
            <w:r>
              <w:rPr>
                <w:rFonts w:ascii="Arial" w:hAnsi="Arial"/>
                <w:noProof/>
                <w:sz w:val="20"/>
              </w:rPr>
              <w:t>(</w:t>
            </w:r>
            <w:hyperlink w:anchor="_ENREF_9" w:tooltip="Santulli, 1999 #23383" w:history="1">
              <w:r>
                <w:rPr>
                  <w:rFonts w:ascii="Arial" w:hAnsi="Arial"/>
                  <w:noProof/>
                  <w:sz w:val="20"/>
                </w:rPr>
                <w:t>Santulli et al. 1999</w:t>
              </w:r>
            </w:hyperlink>
            <w:r>
              <w:rPr>
                <w:rFonts w:ascii="Arial" w:hAnsi="Arial"/>
                <w:noProof/>
                <w:sz w:val="20"/>
              </w:rPr>
              <w:t>)</w:t>
            </w:r>
            <w:r>
              <w:rPr>
                <w:rFonts w:ascii="Arial" w:hAnsi="Arial"/>
                <w:sz w:val="20"/>
              </w:rPr>
              <w:fldChar w:fldCharType="end"/>
            </w:r>
            <w:r w:rsidRPr="00597B9B">
              <w:rPr>
                <w:rFonts w:ascii="Arial" w:hAnsi="Arial"/>
                <w:sz w:val="20"/>
                <w:vertAlign w:val="superscript"/>
              </w:rPr>
              <w:t>*,C</w:t>
            </w:r>
          </w:p>
        </w:tc>
        <w:tc>
          <w:tcPr>
            <w:tcW w:w="2360" w:type="dxa"/>
          </w:tcPr>
          <w:p w14:paraId="7C549168" w14:textId="77777777" w:rsidR="00D1722C" w:rsidRDefault="00D1722C" w:rsidP="0061430D">
            <w:pPr>
              <w:pStyle w:val="TableParagraph"/>
              <w:rPr>
                <w:rFonts w:ascii="Arial" w:hAnsi="Arial"/>
                <w:sz w:val="20"/>
              </w:rPr>
            </w:pPr>
            <w:r>
              <w:rPr>
                <w:rFonts w:ascii="Arial" w:hAnsi="Arial"/>
                <w:sz w:val="20"/>
              </w:rPr>
              <w:t xml:space="preserve">Relevant – real world study with commercial array. </w:t>
            </w:r>
          </w:p>
        </w:tc>
      </w:tr>
      <w:tr w:rsidR="00D1722C" w:rsidRPr="001008E7" w14:paraId="06A3F695" w14:textId="77777777" w:rsidTr="00966786">
        <w:trPr>
          <w:trHeight w:val="1943"/>
        </w:trPr>
        <w:tc>
          <w:tcPr>
            <w:tcW w:w="1900" w:type="dxa"/>
          </w:tcPr>
          <w:p w14:paraId="662F6F62" w14:textId="7E468F75" w:rsidR="00D1722C" w:rsidRPr="001008E7" w:rsidRDefault="00D1722C" w:rsidP="0061430D">
            <w:pPr>
              <w:pStyle w:val="TableParagraph"/>
              <w:rPr>
                <w:rFonts w:ascii="Arial" w:hAnsi="Arial"/>
                <w:spacing w:val="21"/>
                <w:w w:val="99"/>
                <w:sz w:val="20"/>
              </w:rPr>
            </w:pPr>
            <w:r w:rsidRPr="001008E7">
              <w:rPr>
                <w:rFonts w:ascii="Arial" w:hAnsi="Arial"/>
                <w:sz w:val="20"/>
              </w:rPr>
              <w:t>Juvenile</w:t>
            </w:r>
            <w:r w:rsidRPr="001008E7">
              <w:rPr>
                <w:rFonts w:ascii="Arial" w:hAnsi="Arial"/>
                <w:spacing w:val="-5"/>
                <w:sz w:val="20"/>
              </w:rPr>
              <w:t xml:space="preserve"> </w:t>
            </w:r>
            <w:r w:rsidRPr="001008E7">
              <w:rPr>
                <w:rFonts w:ascii="Arial" w:hAnsi="Arial"/>
                <w:sz w:val="20"/>
              </w:rPr>
              <w:t>saith</w:t>
            </w:r>
            <w:r>
              <w:rPr>
                <w:rFonts w:ascii="Arial" w:hAnsi="Arial"/>
                <w:sz w:val="20"/>
              </w:rPr>
              <w:t>e</w:t>
            </w:r>
            <w:r w:rsidRPr="001008E7">
              <w:rPr>
                <w:rFonts w:ascii="Arial" w:hAnsi="Arial"/>
                <w:spacing w:val="-5"/>
                <w:sz w:val="20"/>
              </w:rPr>
              <w:t xml:space="preserve"> </w:t>
            </w:r>
            <w:r>
              <w:rPr>
                <w:rFonts w:ascii="Arial" w:hAnsi="Arial"/>
                <w:spacing w:val="-5"/>
                <w:sz w:val="20"/>
              </w:rPr>
              <w:t>(</w:t>
            </w:r>
            <w:r w:rsidRPr="00597B9B">
              <w:rPr>
                <w:rFonts w:ascii="Arial" w:hAnsi="Arial"/>
                <w:i/>
                <w:spacing w:val="-5"/>
                <w:sz w:val="20"/>
              </w:rPr>
              <w:t>Pollachius virens</w:t>
            </w:r>
            <w:r>
              <w:rPr>
                <w:rFonts w:ascii="Arial" w:hAnsi="Arial"/>
                <w:spacing w:val="-5"/>
                <w:sz w:val="20"/>
              </w:rPr>
              <w:t xml:space="preserve">) </w:t>
            </w:r>
            <w:r w:rsidRPr="001008E7">
              <w:rPr>
                <w:rFonts w:ascii="Arial" w:hAnsi="Arial"/>
                <w:spacing w:val="-1"/>
                <w:sz w:val="20"/>
              </w:rPr>
              <w:t>and</w:t>
            </w:r>
            <w:r w:rsidRPr="001008E7">
              <w:rPr>
                <w:rFonts w:ascii="Arial" w:hAnsi="Arial"/>
                <w:spacing w:val="-5"/>
                <w:sz w:val="20"/>
              </w:rPr>
              <w:t xml:space="preserve"> </w:t>
            </w:r>
            <w:r w:rsidRPr="001008E7">
              <w:rPr>
                <w:rFonts w:ascii="Arial" w:hAnsi="Arial"/>
                <w:sz w:val="20"/>
              </w:rPr>
              <w:t>cod</w:t>
            </w:r>
            <w:r>
              <w:rPr>
                <w:rFonts w:ascii="Arial" w:hAnsi="Arial"/>
                <w:sz w:val="20"/>
              </w:rPr>
              <w:t xml:space="preserve"> (</w:t>
            </w:r>
            <w:r w:rsidRPr="00671EA1">
              <w:rPr>
                <w:rFonts w:ascii="Arial" w:hAnsi="Arial"/>
                <w:i/>
                <w:sz w:val="20"/>
              </w:rPr>
              <w:t>Gadus morhua</w:t>
            </w:r>
            <w:r w:rsidRPr="00671EA1">
              <w:rPr>
                <w:rFonts w:ascii="Arial" w:hAnsi="Arial"/>
                <w:sz w:val="20"/>
              </w:rPr>
              <w:t>)</w:t>
            </w:r>
            <w:r w:rsidR="001E7F11">
              <w:rPr>
                <w:rFonts w:ascii="Arial" w:hAnsi="Arial"/>
                <w:sz w:val="20"/>
              </w:rPr>
              <w:t>,</w:t>
            </w:r>
          </w:p>
          <w:p w14:paraId="44D0F16C" w14:textId="6C5175F3" w:rsidR="00D1722C" w:rsidRPr="001008E7" w:rsidRDefault="001E7F11" w:rsidP="001E7F11">
            <w:pPr>
              <w:pStyle w:val="TableParagraph"/>
              <w:rPr>
                <w:rFonts w:ascii="Arial" w:eastAsia="Arial" w:hAnsi="Arial" w:cs="Arial"/>
                <w:sz w:val="20"/>
                <w:szCs w:val="16"/>
              </w:rPr>
            </w:pPr>
            <w:r>
              <w:rPr>
                <w:rFonts w:ascii="Arial" w:hAnsi="Arial"/>
                <w:sz w:val="20"/>
              </w:rPr>
              <w:t>a</w:t>
            </w:r>
            <w:r w:rsidR="00D1722C" w:rsidRPr="001008E7">
              <w:rPr>
                <w:rFonts w:ascii="Arial" w:hAnsi="Arial"/>
                <w:sz w:val="20"/>
              </w:rPr>
              <w:t>dult</w:t>
            </w:r>
            <w:r w:rsidR="00D1722C" w:rsidRPr="001008E7">
              <w:rPr>
                <w:rFonts w:ascii="Arial" w:hAnsi="Arial"/>
                <w:spacing w:val="-6"/>
                <w:sz w:val="20"/>
              </w:rPr>
              <w:t xml:space="preserve"> </w:t>
            </w:r>
            <w:r w:rsidR="00D1722C" w:rsidRPr="001008E7">
              <w:rPr>
                <w:rFonts w:ascii="Arial" w:hAnsi="Arial"/>
                <w:sz w:val="20"/>
              </w:rPr>
              <w:t>pollock</w:t>
            </w:r>
            <w:r w:rsidR="00D1722C" w:rsidRPr="001008E7">
              <w:rPr>
                <w:rFonts w:ascii="Arial" w:hAnsi="Arial"/>
                <w:spacing w:val="-7"/>
                <w:sz w:val="20"/>
              </w:rPr>
              <w:t xml:space="preserve"> </w:t>
            </w:r>
            <w:r w:rsidR="00D1722C">
              <w:rPr>
                <w:rFonts w:ascii="Arial" w:hAnsi="Arial"/>
                <w:spacing w:val="-7"/>
                <w:sz w:val="20"/>
              </w:rPr>
              <w:t>(</w:t>
            </w:r>
            <w:r w:rsidR="00D1722C" w:rsidRPr="00671EA1">
              <w:rPr>
                <w:rFonts w:ascii="Arial" w:hAnsi="Arial"/>
                <w:i/>
                <w:spacing w:val="-7"/>
                <w:sz w:val="20"/>
              </w:rPr>
              <w:t>Pollachius pollachius</w:t>
            </w:r>
            <w:r w:rsidR="00D1722C">
              <w:rPr>
                <w:rFonts w:ascii="Arial" w:hAnsi="Arial"/>
                <w:spacing w:val="-7"/>
                <w:sz w:val="20"/>
              </w:rPr>
              <w:t>)</w:t>
            </w:r>
            <w:r w:rsidR="00D1722C" w:rsidRPr="00671EA1">
              <w:rPr>
                <w:rFonts w:ascii="Arial" w:hAnsi="Arial"/>
                <w:spacing w:val="-7"/>
                <w:sz w:val="20"/>
              </w:rPr>
              <w:t xml:space="preserve"> </w:t>
            </w:r>
            <w:r w:rsidR="00D1722C" w:rsidRPr="001008E7">
              <w:rPr>
                <w:rFonts w:ascii="Arial" w:hAnsi="Arial"/>
                <w:sz w:val="20"/>
              </w:rPr>
              <w:t>and</w:t>
            </w:r>
            <w:r w:rsidR="00D1722C" w:rsidRPr="001008E7">
              <w:rPr>
                <w:rFonts w:ascii="Arial" w:hAnsi="Arial"/>
                <w:spacing w:val="-7"/>
                <w:sz w:val="20"/>
              </w:rPr>
              <w:t xml:space="preserve"> </w:t>
            </w:r>
            <w:r w:rsidR="00D1722C" w:rsidRPr="001008E7">
              <w:rPr>
                <w:rFonts w:ascii="Arial" w:hAnsi="Arial"/>
                <w:sz w:val="20"/>
              </w:rPr>
              <w:t>mackerel</w:t>
            </w:r>
            <w:r w:rsidR="00D1722C">
              <w:rPr>
                <w:rFonts w:ascii="Arial" w:hAnsi="Arial"/>
                <w:sz w:val="20"/>
              </w:rPr>
              <w:t xml:space="preserve"> (</w:t>
            </w:r>
            <w:r w:rsidR="00D1722C" w:rsidRPr="00671EA1">
              <w:rPr>
                <w:rFonts w:ascii="Arial" w:hAnsi="Arial"/>
                <w:i/>
                <w:sz w:val="20"/>
              </w:rPr>
              <w:t>Scomber scombrus</w:t>
            </w:r>
            <w:r w:rsidR="00D1722C">
              <w:rPr>
                <w:rFonts w:ascii="Arial" w:hAnsi="Arial"/>
                <w:sz w:val="20"/>
              </w:rPr>
              <w:t>)</w:t>
            </w:r>
          </w:p>
        </w:tc>
        <w:tc>
          <w:tcPr>
            <w:tcW w:w="1276" w:type="dxa"/>
          </w:tcPr>
          <w:p w14:paraId="1ECA8884" w14:textId="77777777" w:rsidR="00D1722C" w:rsidRDefault="00D1722C" w:rsidP="00D1722C">
            <w:pPr>
              <w:pStyle w:val="TableParagraph"/>
              <w:rPr>
                <w:rFonts w:ascii="Arial" w:eastAsia="Arial" w:hAnsi="Arial" w:cs="Arial"/>
                <w:sz w:val="20"/>
                <w:szCs w:val="13"/>
              </w:rPr>
            </w:pPr>
            <w:r>
              <w:rPr>
                <w:rFonts w:ascii="Arial" w:eastAsia="Arial" w:hAnsi="Arial" w:cs="Arial"/>
                <w:sz w:val="20"/>
                <w:szCs w:val="13"/>
              </w:rPr>
              <w:t>Airguns</w:t>
            </w:r>
          </w:p>
          <w:p w14:paraId="5AE3DFFB" w14:textId="77777777" w:rsidR="00D1722C" w:rsidRPr="001008E7" w:rsidRDefault="00D1722C" w:rsidP="00D1722C">
            <w:pPr>
              <w:pStyle w:val="TableParagraph"/>
              <w:rPr>
                <w:rFonts w:ascii="Arial" w:eastAsia="Arial" w:hAnsi="Arial" w:cs="Arial"/>
                <w:sz w:val="20"/>
                <w:szCs w:val="13"/>
              </w:rPr>
            </w:pPr>
          </w:p>
        </w:tc>
        <w:tc>
          <w:tcPr>
            <w:tcW w:w="1701" w:type="dxa"/>
          </w:tcPr>
          <w:p w14:paraId="73148A94" w14:textId="77777777" w:rsidR="00D1722C" w:rsidRPr="001008E7" w:rsidRDefault="00D1722C" w:rsidP="00D1722C">
            <w:pPr>
              <w:pStyle w:val="TableParagraph"/>
              <w:rPr>
                <w:rFonts w:ascii="Arial" w:eastAsia="Arial" w:hAnsi="Arial" w:cs="Arial"/>
                <w:sz w:val="20"/>
                <w:szCs w:val="13"/>
              </w:rPr>
            </w:pPr>
            <w:r w:rsidRPr="001008E7">
              <w:rPr>
                <w:rFonts w:ascii="Arial" w:eastAsia="Arial" w:hAnsi="Arial" w:cs="Arial"/>
                <w:sz w:val="20"/>
                <w:szCs w:val="13"/>
              </w:rPr>
              <w:t xml:space="preserve">Not </w:t>
            </w:r>
            <w:r>
              <w:rPr>
                <w:rFonts w:ascii="Arial" w:eastAsia="Arial" w:hAnsi="Arial" w:cs="Arial"/>
                <w:sz w:val="20"/>
                <w:szCs w:val="13"/>
              </w:rPr>
              <w:t>shown</w:t>
            </w:r>
          </w:p>
        </w:tc>
        <w:tc>
          <w:tcPr>
            <w:tcW w:w="1467" w:type="dxa"/>
          </w:tcPr>
          <w:p w14:paraId="76154D44" w14:textId="77777777" w:rsidR="00D1722C" w:rsidRPr="001008E7" w:rsidRDefault="00D1722C" w:rsidP="00D1722C">
            <w:pPr>
              <w:pStyle w:val="TableParagraph"/>
              <w:rPr>
                <w:rFonts w:ascii="Arial" w:eastAsia="Arial" w:hAnsi="Arial" w:cs="Arial"/>
                <w:sz w:val="20"/>
                <w:szCs w:val="20"/>
              </w:rPr>
            </w:pPr>
            <w:r>
              <w:rPr>
                <w:rFonts w:ascii="Arial" w:eastAsia="Arial" w:hAnsi="Arial" w:cs="Arial"/>
                <w:sz w:val="20"/>
                <w:szCs w:val="20"/>
              </w:rPr>
              <w:t>109, 16 and 5.3 m</w:t>
            </w:r>
          </w:p>
        </w:tc>
        <w:tc>
          <w:tcPr>
            <w:tcW w:w="1753" w:type="dxa"/>
          </w:tcPr>
          <w:p w14:paraId="48BE6A79" w14:textId="77777777" w:rsidR="00D1722C" w:rsidRPr="001008E7" w:rsidRDefault="00D1722C" w:rsidP="0061430D">
            <w:pPr>
              <w:pStyle w:val="TableParagraph"/>
              <w:rPr>
                <w:rFonts w:ascii="Arial" w:hAnsi="Arial"/>
                <w:b/>
                <w:bCs/>
                <w:sz w:val="20"/>
                <w:szCs w:val="20"/>
              </w:rPr>
            </w:pPr>
            <w:r>
              <w:rPr>
                <w:rFonts w:ascii="Arial" w:hAnsi="Arial"/>
                <w:sz w:val="20"/>
              </w:rPr>
              <w:t>195, 210, 218 PK</w:t>
            </w:r>
          </w:p>
        </w:tc>
        <w:tc>
          <w:tcPr>
            <w:tcW w:w="2256" w:type="dxa"/>
          </w:tcPr>
          <w:p w14:paraId="4C078DE8" w14:textId="77777777" w:rsidR="00D1722C" w:rsidRPr="001E7F11" w:rsidRDefault="00D1722C" w:rsidP="001E7F11">
            <w:pPr>
              <w:pStyle w:val="TableParagraph"/>
              <w:rPr>
                <w:rFonts w:ascii="Arial" w:hAnsi="Arial"/>
                <w:sz w:val="20"/>
              </w:rPr>
            </w:pPr>
            <w:r w:rsidRPr="001E7F11">
              <w:rPr>
                <w:rFonts w:ascii="Arial" w:hAnsi="Arial"/>
                <w:sz w:val="20"/>
              </w:rPr>
              <w:t>No indication of mortality.</w:t>
            </w:r>
          </w:p>
        </w:tc>
        <w:tc>
          <w:tcPr>
            <w:tcW w:w="1548" w:type="dxa"/>
          </w:tcPr>
          <w:p w14:paraId="58DBD0FA" w14:textId="77777777" w:rsidR="00D1722C" w:rsidRPr="001008E7" w:rsidRDefault="00D1722C" w:rsidP="0061430D">
            <w:pPr>
              <w:pStyle w:val="TableParagraph"/>
              <w:rPr>
                <w:rFonts w:ascii="Arial" w:eastAsia="Arial" w:hAnsi="Arial" w:cs="Arial"/>
                <w:sz w:val="20"/>
                <w:szCs w:val="16"/>
              </w:rPr>
            </w:pPr>
            <w:r>
              <w:rPr>
                <w:rFonts w:ascii="Arial" w:hAnsi="Arial"/>
                <w:spacing w:val="-1"/>
                <w:sz w:val="20"/>
              </w:rPr>
              <w:fldChar w:fldCharType="begin"/>
            </w:r>
            <w:r>
              <w:rPr>
                <w:rFonts w:ascii="Arial" w:hAnsi="Arial"/>
                <w:spacing w:val="-1"/>
                <w:sz w:val="20"/>
              </w:rPr>
              <w:instrText xml:space="preserve"> ADDIN EN.CITE &lt;EndNote&gt;&lt;Cite&gt;&lt;Author&gt;Wardle&lt;/Author&gt;&lt;Year&gt;2001&lt;/Year&gt;&lt;RecNum&gt;4&lt;/RecNum&gt;&lt;DisplayText&gt;(Wardle et al. 2001)&lt;/DisplayText&gt;&lt;record&gt;&lt;rec-number&gt;4&lt;/rec-number&gt;&lt;foreign-keys&gt;&lt;key app="EN" db-id="arp55rdtqwd0adetva4p299cdxwxrvpx502w"&gt;4&lt;/key&gt;&lt;/foreign-keys&gt;&lt;ref-type name="Journal Article"&gt;17&lt;/ref-type&gt;&lt;contributors&gt;&lt;authors&gt;&lt;author&gt;Wardle, C. S.&lt;/author&gt;&lt;author&gt;Carter, T. J.&lt;/author&gt;&lt;author&gt;Urquhart, G. G.&lt;/author&gt;&lt;author&gt;Johnstone, A. D. F.&lt;/author&gt;&lt;author&gt;Ziolkowski, A. M.&lt;/author&gt;&lt;author&gt;Hampson, G.&lt;/author&gt;&lt;author&gt;Mackie, D.&lt;/author&gt;&lt;/authors&gt;&lt;/contributors&gt;&lt;titles&gt;&lt;title&gt;Effects of seismic air guns on marine fish&lt;/title&gt;&lt;secondary-title&gt;Continental Shelf Research&lt;/secondary-title&gt;&lt;/titles&gt;&lt;periodical&gt;&lt;full-title&gt;Continental Shelf Research&lt;/full-title&gt;&lt;/periodical&gt;&lt;pages&gt;1005-1027&lt;/pages&gt;&lt;volume&gt;21&lt;/volume&gt;&lt;number&gt;8–10&lt;/number&gt;&lt;keywords&gt;&lt;keyword&gt;Seismic equipment&lt;/keyword&gt;&lt;keyword&gt;Air guns&lt;/keyword&gt;&lt;keyword&gt;Reef fish&lt;/keyword&gt;&lt;keyword&gt;Behaviour&lt;/keyword&gt;&lt;keyword&gt;Scotland&lt;/keyword&gt;&lt;keyword&gt;Atlantic&lt;/keyword&gt;&lt;/keywords&gt;&lt;dates&gt;&lt;year&gt;2001&lt;/year&gt;&lt;/dates&gt;&lt;isbn&gt;0278-4343&lt;/isbn&gt;&lt;urls&gt;&lt;related-urls&gt;&lt;url&gt;http://www.sciencedirect.com/science/article/pii/S0278434300001229&lt;/url&gt;&lt;/related-urls&gt;&lt;/urls&gt;&lt;electronic-resource-num&gt;http://dx.doi.org/10.1016/S0278-4343(00)00122-9&lt;/electronic-resource-num&gt;&lt;access-date&gt;2001/6//&lt;/access-date&gt;&lt;/record&gt;&lt;/Cite&gt;&lt;/EndNote&gt;</w:instrText>
            </w:r>
            <w:r>
              <w:rPr>
                <w:rFonts w:ascii="Arial" w:hAnsi="Arial"/>
                <w:spacing w:val="-1"/>
                <w:sz w:val="20"/>
              </w:rPr>
              <w:fldChar w:fldCharType="separate"/>
            </w:r>
            <w:r>
              <w:rPr>
                <w:rFonts w:ascii="Arial" w:hAnsi="Arial"/>
                <w:noProof/>
                <w:spacing w:val="-1"/>
                <w:sz w:val="20"/>
              </w:rPr>
              <w:t>(</w:t>
            </w:r>
            <w:hyperlink w:anchor="_ENREF_11" w:tooltip="Wardle, 2001 #4" w:history="1">
              <w:r>
                <w:rPr>
                  <w:rFonts w:ascii="Arial" w:hAnsi="Arial"/>
                  <w:noProof/>
                  <w:spacing w:val="-1"/>
                  <w:sz w:val="20"/>
                </w:rPr>
                <w:t>Wardle et al. 2001</w:t>
              </w:r>
            </w:hyperlink>
            <w:r>
              <w:rPr>
                <w:rFonts w:ascii="Arial" w:hAnsi="Arial"/>
                <w:noProof/>
                <w:spacing w:val="-1"/>
                <w:sz w:val="20"/>
              </w:rPr>
              <w:t>)</w:t>
            </w:r>
            <w:r>
              <w:rPr>
                <w:rFonts w:ascii="Arial" w:hAnsi="Arial"/>
                <w:spacing w:val="-1"/>
                <w:sz w:val="20"/>
              </w:rPr>
              <w:fldChar w:fldCharType="end"/>
            </w:r>
            <w:r w:rsidRPr="00597B9B">
              <w:rPr>
                <w:rFonts w:ascii="Arial" w:hAnsi="Arial"/>
                <w:spacing w:val="-1"/>
                <w:sz w:val="20"/>
                <w:vertAlign w:val="subscript"/>
              </w:rPr>
              <w:t>*,F,#</w:t>
            </w:r>
            <w:r w:rsidRPr="00292D0F">
              <w:rPr>
                <w:rFonts w:ascii="Arial" w:hAnsi="Arial"/>
                <w:b/>
                <w:color w:val="00B050"/>
                <w:sz w:val="20"/>
              </w:rPr>
              <w:t xml:space="preserve"> </w:t>
            </w:r>
          </w:p>
        </w:tc>
        <w:tc>
          <w:tcPr>
            <w:tcW w:w="2360" w:type="dxa"/>
          </w:tcPr>
          <w:p w14:paraId="03ECDC8B" w14:textId="1025FF4E" w:rsidR="00D1722C" w:rsidRPr="001E7F11" w:rsidRDefault="00D1722C" w:rsidP="001E7F11">
            <w:pPr>
              <w:pStyle w:val="TableParagraph"/>
              <w:rPr>
                <w:rFonts w:ascii="Arial" w:hAnsi="Arial"/>
                <w:sz w:val="20"/>
              </w:rPr>
            </w:pPr>
            <w:r w:rsidRPr="001E7F11">
              <w:rPr>
                <w:rFonts w:ascii="Arial" w:hAnsi="Arial"/>
                <w:sz w:val="20"/>
              </w:rPr>
              <w:t xml:space="preserve">Highly relevant, indicate criteria applied </w:t>
            </w:r>
            <w:r w:rsidR="001E7F11">
              <w:rPr>
                <w:rFonts w:ascii="Arial" w:hAnsi="Arial"/>
                <w:sz w:val="20"/>
              </w:rPr>
              <w:t xml:space="preserve">to the STLM </w:t>
            </w:r>
            <w:r w:rsidRPr="001E7F11">
              <w:rPr>
                <w:rFonts w:ascii="Arial" w:hAnsi="Arial"/>
                <w:sz w:val="20"/>
              </w:rPr>
              <w:t>are highly conservative</w:t>
            </w:r>
            <w:r w:rsidR="001E7F11">
              <w:rPr>
                <w:rFonts w:ascii="Arial" w:hAnsi="Arial"/>
                <w:sz w:val="20"/>
              </w:rPr>
              <w:t>.</w:t>
            </w:r>
            <w:r w:rsidRPr="001E7F11">
              <w:rPr>
                <w:rFonts w:ascii="Arial" w:hAnsi="Arial"/>
                <w:sz w:val="20"/>
              </w:rPr>
              <w:t xml:space="preserve"> </w:t>
            </w:r>
          </w:p>
          <w:p w14:paraId="30D56C2E" w14:textId="77777777" w:rsidR="00D1722C" w:rsidRPr="001E7F11" w:rsidRDefault="00D1722C" w:rsidP="001E7F11">
            <w:pPr>
              <w:pStyle w:val="TableParagraph"/>
              <w:rPr>
                <w:rFonts w:ascii="Arial" w:hAnsi="Arial"/>
                <w:sz w:val="20"/>
              </w:rPr>
            </w:pPr>
          </w:p>
        </w:tc>
      </w:tr>
    </w:tbl>
    <w:p w14:paraId="1945F568" w14:textId="0223AFE5" w:rsidR="004E72E5" w:rsidRDefault="004E72E5" w:rsidP="00966786">
      <w:pPr>
        <w:ind w:left="0"/>
        <w:rPr>
          <w:i/>
          <w:sz w:val="18"/>
          <w:szCs w:val="18"/>
        </w:rPr>
      </w:pPr>
      <w:r>
        <w:rPr>
          <w:i/>
          <w:sz w:val="18"/>
          <w:szCs w:val="18"/>
        </w:rPr>
        <w:t>Source: Carroll et al (201</w:t>
      </w:r>
      <w:r w:rsidR="004D795E">
        <w:rPr>
          <w:i/>
          <w:sz w:val="18"/>
          <w:szCs w:val="18"/>
        </w:rPr>
        <w:t>7</w:t>
      </w:r>
      <w:r>
        <w:rPr>
          <w:i/>
          <w:sz w:val="18"/>
          <w:szCs w:val="18"/>
        </w:rPr>
        <w:t>).</w:t>
      </w:r>
    </w:p>
    <w:p w14:paraId="7BDC47D7" w14:textId="77777777" w:rsidR="004D6E2A" w:rsidRPr="004E72E5" w:rsidRDefault="00966786" w:rsidP="00966786">
      <w:pPr>
        <w:ind w:left="0"/>
        <w:rPr>
          <w:spacing w:val="-1"/>
          <w:sz w:val="18"/>
          <w:szCs w:val="18"/>
        </w:rPr>
      </w:pPr>
      <w:r w:rsidRPr="004E72E5">
        <w:rPr>
          <w:sz w:val="18"/>
          <w:szCs w:val="18"/>
        </w:rPr>
        <w:t>Sound</w:t>
      </w:r>
      <w:r w:rsidRPr="004E72E5">
        <w:rPr>
          <w:spacing w:val="19"/>
          <w:sz w:val="18"/>
          <w:szCs w:val="18"/>
        </w:rPr>
        <w:t xml:space="preserve"> </w:t>
      </w:r>
      <w:r w:rsidRPr="004E72E5">
        <w:rPr>
          <w:spacing w:val="-1"/>
          <w:sz w:val="18"/>
          <w:szCs w:val="18"/>
        </w:rPr>
        <w:t>levels</w:t>
      </w:r>
      <w:r w:rsidRPr="004E72E5">
        <w:rPr>
          <w:spacing w:val="19"/>
          <w:sz w:val="18"/>
          <w:szCs w:val="18"/>
        </w:rPr>
        <w:t xml:space="preserve"> </w:t>
      </w:r>
      <w:r w:rsidRPr="004E72E5">
        <w:rPr>
          <w:spacing w:val="-1"/>
          <w:sz w:val="18"/>
          <w:szCs w:val="18"/>
        </w:rPr>
        <w:t>are</w:t>
      </w:r>
      <w:r w:rsidRPr="004E72E5">
        <w:rPr>
          <w:spacing w:val="19"/>
          <w:sz w:val="18"/>
          <w:szCs w:val="18"/>
        </w:rPr>
        <w:t xml:space="preserve"> </w:t>
      </w:r>
      <w:r w:rsidRPr="004E72E5">
        <w:rPr>
          <w:sz w:val="18"/>
          <w:szCs w:val="18"/>
        </w:rPr>
        <w:t>reported</w:t>
      </w:r>
      <w:r w:rsidRPr="004E72E5">
        <w:rPr>
          <w:spacing w:val="19"/>
          <w:sz w:val="18"/>
          <w:szCs w:val="18"/>
        </w:rPr>
        <w:t xml:space="preserve"> </w:t>
      </w:r>
      <w:r w:rsidRPr="004E72E5">
        <w:rPr>
          <w:spacing w:val="-1"/>
          <w:sz w:val="18"/>
          <w:szCs w:val="18"/>
        </w:rPr>
        <w:t>as</w:t>
      </w:r>
      <w:r w:rsidRPr="004E72E5">
        <w:rPr>
          <w:spacing w:val="19"/>
          <w:sz w:val="18"/>
          <w:szCs w:val="18"/>
        </w:rPr>
        <w:t xml:space="preserve"> </w:t>
      </w:r>
      <w:r w:rsidRPr="004E72E5">
        <w:rPr>
          <w:sz w:val="18"/>
          <w:szCs w:val="18"/>
        </w:rPr>
        <w:t>zero</w:t>
      </w:r>
      <w:r w:rsidRPr="004E72E5">
        <w:rPr>
          <w:spacing w:val="19"/>
          <w:sz w:val="18"/>
          <w:szCs w:val="18"/>
        </w:rPr>
        <w:t xml:space="preserve"> </w:t>
      </w:r>
      <w:r w:rsidRPr="004E72E5">
        <w:rPr>
          <w:sz w:val="18"/>
          <w:szCs w:val="18"/>
        </w:rPr>
        <w:t>to</w:t>
      </w:r>
      <w:r w:rsidRPr="004E72E5">
        <w:rPr>
          <w:spacing w:val="19"/>
          <w:sz w:val="18"/>
          <w:szCs w:val="18"/>
        </w:rPr>
        <w:t xml:space="preserve"> </w:t>
      </w:r>
      <w:r w:rsidRPr="004E72E5">
        <w:rPr>
          <w:spacing w:val="-1"/>
          <w:sz w:val="18"/>
          <w:szCs w:val="18"/>
        </w:rPr>
        <w:t>peak</w:t>
      </w:r>
      <w:r w:rsidRPr="004E72E5">
        <w:rPr>
          <w:spacing w:val="19"/>
          <w:sz w:val="18"/>
          <w:szCs w:val="18"/>
        </w:rPr>
        <w:t xml:space="preserve"> </w:t>
      </w:r>
      <w:r w:rsidRPr="004E72E5">
        <w:rPr>
          <w:sz w:val="18"/>
          <w:szCs w:val="18"/>
        </w:rPr>
        <w:t>(PK),</w:t>
      </w:r>
      <w:r w:rsidRPr="004E72E5">
        <w:rPr>
          <w:spacing w:val="23"/>
          <w:sz w:val="18"/>
          <w:szCs w:val="18"/>
        </w:rPr>
        <w:t xml:space="preserve"> </w:t>
      </w:r>
      <w:r w:rsidRPr="004E72E5">
        <w:rPr>
          <w:spacing w:val="-1"/>
          <w:sz w:val="18"/>
          <w:szCs w:val="18"/>
        </w:rPr>
        <w:t>peak-</w:t>
      </w:r>
      <w:r w:rsidRPr="004E72E5">
        <w:rPr>
          <w:sz w:val="18"/>
          <w:szCs w:val="18"/>
        </w:rPr>
        <w:t>to-</w:t>
      </w:r>
      <w:r w:rsidRPr="004E72E5">
        <w:rPr>
          <w:spacing w:val="-1"/>
          <w:sz w:val="18"/>
          <w:szCs w:val="18"/>
        </w:rPr>
        <w:t>peak</w:t>
      </w:r>
      <w:r w:rsidRPr="004E72E5">
        <w:rPr>
          <w:spacing w:val="12"/>
          <w:sz w:val="18"/>
          <w:szCs w:val="18"/>
        </w:rPr>
        <w:t xml:space="preserve"> </w:t>
      </w:r>
      <w:r w:rsidRPr="004E72E5">
        <w:rPr>
          <w:sz w:val="18"/>
          <w:szCs w:val="18"/>
        </w:rPr>
        <w:t>(PK-PK),</w:t>
      </w:r>
      <w:r w:rsidRPr="004E72E5">
        <w:rPr>
          <w:spacing w:val="12"/>
          <w:sz w:val="18"/>
          <w:szCs w:val="18"/>
        </w:rPr>
        <w:t xml:space="preserve"> </w:t>
      </w:r>
      <w:r w:rsidRPr="004E72E5">
        <w:rPr>
          <w:sz w:val="18"/>
          <w:szCs w:val="18"/>
        </w:rPr>
        <w:t>root</w:t>
      </w:r>
      <w:r w:rsidRPr="004E72E5">
        <w:rPr>
          <w:spacing w:val="12"/>
          <w:sz w:val="18"/>
          <w:szCs w:val="18"/>
        </w:rPr>
        <w:t>-</w:t>
      </w:r>
      <w:r w:rsidRPr="004E72E5">
        <w:rPr>
          <w:sz w:val="18"/>
          <w:szCs w:val="18"/>
        </w:rPr>
        <w:t>mean</w:t>
      </w:r>
      <w:r w:rsidRPr="004E72E5">
        <w:rPr>
          <w:spacing w:val="12"/>
          <w:sz w:val="18"/>
          <w:szCs w:val="18"/>
        </w:rPr>
        <w:t>-</w:t>
      </w:r>
      <w:r w:rsidRPr="004E72E5">
        <w:rPr>
          <w:sz w:val="18"/>
          <w:szCs w:val="18"/>
        </w:rPr>
        <w:t xml:space="preserve">square SPL (units of </w:t>
      </w:r>
      <w:r w:rsidRPr="004E72E5">
        <w:rPr>
          <w:spacing w:val="-1"/>
          <w:sz w:val="18"/>
          <w:szCs w:val="18"/>
        </w:rPr>
        <w:t>dB</w:t>
      </w:r>
      <w:r w:rsidRPr="004E72E5">
        <w:rPr>
          <w:spacing w:val="19"/>
          <w:sz w:val="18"/>
          <w:szCs w:val="18"/>
        </w:rPr>
        <w:t xml:space="preserve"> </w:t>
      </w:r>
      <w:r w:rsidRPr="004E72E5">
        <w:rPr>
          <w:sz w:val="18"/>
          <w:szCs w:val="18"/>
        </w:rPr>
        <w:t>re</w:t>
      </w:r>
      <w:r w:rsidRPr="004E72E5">
        <w:rPr>
          <w:spacing w:val="19"/>
          <w:sz w:val="18"/>
          <w:szCs w:val="18"/>
        </w:rPr>
        <w:t xml:space="preserve"> </w:t>
      </w:r>
      <w:r w:rsidRPr="004E72E5">
        <w:rPr>
          <w:sz w:val="18"/>
          <w:szCs w:val="18"/>
        </w:rPr>
        <w:t>1</w:t>
      </w:r>
      <w:r w:rsidRPr="004E72E5">
        <w:rPr>
          <w:spacing w:val="19"/>
          <w:sz w:val="18"/>
          <w:szCs w:val="18"/>
        </w:rPr>
        <w:t xml:space="preserve"> </w:t>
      </w:r>
      <w:r w:rsidRPr="004E72E5">
        <w:rPr>
          <w:spacing w:val="-1"/>
          <w:sz w:val="18"/>
          <w:szCs w:val="18"/>
        </w:rPr>
        <w:t>µPa)</w:t>
      </w:r>
      <w:r w:rsidRPr="004E72E5">
        <w:rPr>
          <w:sz w:val="18"/>
          <w:szCs w:val="18"/>
        </w:rPr>
        <w:t xml:space="preserve">, or SEL (units of </w:t>
      </w:r>
      <w:r w:rsidRPr="004E72E5">
        <w:rPr>
          <w:spacing w:val="-1"/>
          <w:sz w:val="18"/>
          <w:szCs w:val="18"/>
        </w:rPr>
        <w:t>dB</w:t>
      </w:r>
      <w:r w:rsidRPr="004E72E5">
        <w:rPr>
          <w:spacing w:val="19"/>
          <w:sz w:val="18"/>
          <w:szCs w:val="18"/>
        </w:rPr>
        <w:t xml:space="preserve"> </w:t>
      </w:r>
      <w:r w:rsidRPr="004E72E5">
        <w:rPr>
          <w:sz w:val="18"/>
          <w:szCs w:val="18"/>
        </w:rPr>
        <w:t>re</w:t>
      </w:r>
      <w:r w:rsidRPr="004E72E5">
        <w:rPr>
          <w:spacing w:val="19"/>
          <w:sz w:val="18"/>
          <w:szCs w:val="18"/>
        </w:rPr>
        <w:t xml:space="preserve"> </w:t>
      </w:r>
      <w:r w:rsidRPr="004E72E5">
        <w:rPr>
          <w:sz w:val="18"/>
          <w:szCs w:val="18"/>
        </w:rPr>
        <w:t>1</w:t>
      </w:r>
      <w:r w:rsidRPr="004E72E5">
        <w:rPr>
          <w:spacing w:val="19"/>
          <w:sz w:val="18"/>
          <w:szCs w:val="18"/>
        </w:rPr>
        <w:t xml:space="preserve"> </w:t>
      </w:r>
      <w:r w:rsidRPr="004E72E5">
        <w:rPr>
          <w:spacing w:val="-1"/>
          <w:sz w:val="18"/>
          <w:szCs w:val="18"/>
        </w:rPr>
        <w:t>µPa</w:t>
      </w:r>
      <w:r w:rsidRPr="004E72E5">
        <w:rPr>
          <w:spacing w:val="-1"/>
          <w:sz w:val="18"/>
          <w:szCs w:val="18"/>
          <w:vertAlign w:val="superscript"/>
        </w:rPr>
        <w:t>2</w:t>
      </w:r>
      <w:r w:rsidRPr="004E72E5">
        <w:rPr>
          <w:spacing w:val="-1"/>
          <w:sz w:val="18"/>
          <w:szCs w:val="18"/>
        </w:rPr>
        <w:t>.s). However, the metric is not always</w:t>
      </w:r>
      <w:r w:rsidRPr="004E72E5">
        <w:rPr>
          <w:spacing w:val="12"/>
          <w:sz w:val="18"/>
          <w:szCs w:val="18"/>
        </w:rPr>
        <w:t xml:space="preserve"> </w:t>
      </w:r>
      <w:r w:rsidRPr="004E72E5">
        <w:rPr>
          <w:spacing w:val="-1"/>
          <w:sz w:val="18"/>
          <w:szCs w:val="18"/>
        </w:rPr>
        <w:t>evident</w:t>
      </w:r>
      <w:r w:rsidRPr="004E72E5">
        <w:rPr>
          <w:spacing w:val="11"/>
          <w:sz w:val="18"/>
          <w:szCs w:val="18"/>
        </w:rPr>
        <w:t xml:space="preserve"> </w:t>
      </w:r>
      <w:r w:rsidRPr="004E72E5">
        <w:rPr>
          <w:sz w:val="18"/>
          <w:szCs w:val="18"/>
        </w:rPr>
        <w:t>from</w:t>
      </w:r>
      <w:r w:rsidRPr="004E72E5">
        <w:rPr>
          <w:spacing w:val="10"/>
          <w:sz w:val="18"/>
          <w:szCs w:val="18"/>
        </w:rPr>
        <w:t xml:space="preserve"> </w:t>
      </w:r>
      <w:r w:rsidRPr="004E72E5">
        <w:rPr>
          <w:sz w:val="18"/>
          <w:szCs w:val="18"/>
        </w:rPr>
        <w:t>the</w:t>
      </w:r>
      <w:r w:rsidRPr="004E72E5">
        <w:rPr>
          <w:spacing w:val="10"/>
          <w:sz w:val="18"/>
          <w:szCs w:val="18"/>
        </w:rPr>
        <w:t xml:space="preserve"> </w:t>
      </w:r>
      <w:r w:rsidRPr="004E72E5">
        <w:rPr>
          <w:spacing w:val="-1"/>
          <w:sz w:val="18"/>
          <w:szCs w:val="18"/>
        </w:rPr>
        <w:t xml:space="preserve">literature. </w:t>
      </w:r>
    </w:p>
    <w:p w14:paraId="1ECAB542" w14:textId="77777777" w:rsidR="004E72E5" w:rsidRPr="004E72E5" w:rsidRDefault="00966786" w:rsidP="00966786">
      <w:pPr>
        <w:ind w:left="0"/>
        <w:rPr>
          <w:spacing w:val="-1"/>
          <w:sz w:val="18"/>
          <w:szCs w:val="18"/>
        </w:rPr>
      </w:pPr>
      <w:r w:rsidRPr="004E72E5">
        <w:rPr>
          <w:spacing w:val="-1"/>
          <w:sz w:val="18"/>
          <w:szCs w:val="18"/>
        </w:rPr>
        <w:t xml:space="preserve">E = estimated, M = measured. </w:t>
      </w:r>
    </w:p>
    <w:p w14:paraId="30C4BAEE" w14:textId="33B00371" w:rsidR="004E72E5" w:rsidRPr="004E72E5" w:rsidRDefault="00966786" w:rsidP="00966786">
      <w:pPr>
        <w:ind w:left="0"/>
        <w:rPr>
          <w:spacing w:val="-1"/>
          <w:sz w:val="18"/>
          <w:szCs w:val="18"/>
        </w:rPr>
      </w:pPr>
      <w:r w:rsidRPr="004E72E5">
        <w:rPr>
          <w:spacing w:val="-1"/>
          <w:sz w:val="18"/>
          <w:szCs w:val="18"/>
        </w:rPr>
        <w:t>* denotes a commercially important species</w:t>
      </w:r>
      <w:r w:rsidR="004E72E5" w:rsidRPr="004E72E5">
        <w:rPr>
          <w:spacing w:val="-1"/>
          <w:sz w:val="18"/>
          <w:szCs w:val="18"/>
        </w:rPr>
        <w:t>.</w:t>
      </w:r>
      <w:r w:rsidRPr="004E72E5">
        <w:rPr>
          <w:spacing w:val="-1"/>
          <w:sz w:val="18"/>
          <w:szCs w:val="18"/>
        </w:rPr>
        <w:t xml:space="preserve"> </w:t>
      </w:r>
    </w:p>
    <w:p w14:paraId="18A94336" w14:textId="6AE1355F" w:rsidR="004E72E5" w:rsidRPr="004E72E5" w:rsidRDefault="004E72E5" w:rsidP="00966786">
      <w:pPr>
        <w:ind w:left="0"/>
        <w:rPr>
          <w:spacing w:val="-1"/>
          <w:sz w:val="18"/>
          <w:szCs w:val="18"/>
        </w:rPr>
      </w:pPr>
      <w:r w:rsidRPr="004E72E5">
        <w:rPr>
          <w:spacing w:val="-1"/>
          <w:sz w:val="18"/>
          <w:szCs w:val="18"/>
        </w:rPr>
        <w:t>+ denotes freshwater species.</w:t>
      </w:r>
      <w:r w:rsidR="00966786" w:rsidRPr="004E72E5">
        <w:rPr>
          <w:spacing w:val="-1"/>
          <w:sz w:val="18"/>
          <w:szCs w:val="18"/>
        </w:rPr>
        <w:t xml:space="preserve"> </w:t>
      </w:r>
    </w:p>
    <w:p w14:paraId="5C2795D5" w14:textId="32C45753" w:rsidR="004E72E5" w:rsidRPr="004E72E5" w:rsidRDefault="00966786" w:rsidP="00966786">
      <w:pPr>
        <w:ind w:left="0"/>
        <w:rPr>
          <w:spacing w:val="-1"/>
          <w:sz w:val="18"/>
          <w:szCs w:val="18"/>
        </w:rPr>
      </w:pPr>
      <w:r w:rsidRPr="004E72E5">
        <w:rPr>
          <w:spacing w:val="-1"/>
          <w:sz w:val="18"/>
          <w:szCs w:val="18"/>
        </w:rPr>
        <w:t>L = la</w:t>
      </w:r>
      <w:r w:rsidR="004E72E5" w:rsidRPr="004E72E5">
        <w:rPr>
          <w:spacing w:val="-1"/>
          <w:sz w:val="18"/>
          <w:szCs w:val="18"/>
        </w:rPr>
        <w:t>boratory experiment (i.e., tank).</w:t>
      </w:r>
      <w:r w:rsidRPr="004E72E5">
        <w:rPr>
          <w:spacing w:val="-1"/>
          <w:sz w:val="18"/>
          <w:szCs w:val="18"/>
        </w:rPr>
        <w:t xml:space="preserve"> </w:t>
      </w:r>
    </w:p>
    <w:p w14:paraId="607D6F10" w14:textId="35A7390B" w:rsidR="004E72E5" w:rsidRPr="004E72E5" w:rsidRDefault="004E72E5" w:rsidP="00966786">
      <w:pPr>
        <w:ind w:left="0"/>
        <w:rPr>
          <w:spacing w:val="-1"/>
          <w:sz w:val="18"/>
          <w:szCs w:val="18"/>
        </w:rPr>
      </w:pPr>
      <w:r w:rsidRPr="004E72E5">
        <w:rPr>
          <w:spacing w:val="-1"/>
          <w:sz w:val="18"/>
          <w:szCs w:val="18"/>
        </w:rPr>
        <w:t>C = caged field experiment.</w:t>
      </w:r>
      <w:r w:rsidR="00966786" w:rsidRPr="004E72E5">
        <w:rPr>
          <w:spacing w:val="-1"/>
          <w:sz w:val="18"/>
          <w:szCs w:val="18"/>
        </w:rPr>
        <w:t xml:space="preserve"> </w:t>
      </w:r>
    </w:p>
    <w:p w14:paraId="64D73B8A" w14:textId="72E39CBC" w:rsidR="004E72E5" w:rsidRPr="004E72E5" w:rsidRDefault="004E72E5" w:rsidP="00966786">
      <w:pPr>
        <w:ind w:left="0"/>
        <w:rPr>
          <w:spacing w:val="-1"/>
          <w:sz w:val="18"/>
          <w:szCs w:val="18"/>
        </w:rPr>
      </w:pPr>
      <w:r w:rsidRPr="004E72E5">
        <w:rPr>
          <w:spacing w:val="-1"/>
          <w:sz w:val="18"/>
          <w:szCs w:val="18"/>
        </w:rPr>
        <w:t>F = field experiment (uncaged).</w:t>
      </w:r>
    </w:p>
    <w:p w14:paraId="2939FFED" w14:textId="77777777" w:rsidR="004E72E5" w:rsidRPr="004E72E5" w:rsidRDefault="00966786" w:rsidP="00966786">
      <w:pPr>
        <w:ind w:left="0"/>
        <w:rPr>
          <w:spacing w:val="-1"/>
          <w:sz w:val="18"/>
          <w:szCs w:val="18"/>
        </w:rPr>
      </w:pPr>
      <w:r w:rsidRPr="004E72E5">
        <w:rPr>
          <w:spacing w:val="-1"/>
          <w:sz w:val="18"/>
          <w:szCs w:val="18"/>
        </w:rPr>
        <w:t>D = desktop study</w:t>
      </w:r>
      <w:r w:rsidR="004E72E5" w:rsidRPr="004E72E5">
        <w:rPr>
          <w:spacing w:val="-1"/>
          <w:sz w:val="18"/>
          <w:szCs w:val="18"/>
        </w:rPr>
        <w:t>.</w:t>
      </w:r>
      <w:r w:rsidRPr="004E72E5">
        <w:rPr>
          <w:spacing w:val="-1"/>
          <w:sz w:val="18"/>
          <w:szCs w:val="18"/>
        </w:rPr>
        <w:t xml:space="preserve"> </w:t>
      </w:r>
    </w:p>
    <w:p w14:paraId="7436CD95" w14:textId="311BF9AB" w:rsidR="00966786" w:rsidRPr="004E72E5" w:rsidRDefault="00966786" w:rsidP="00966786">
      <w:pPr>
        <w:ind w:left="0"/>
        <w:rPr>
          <w:rFonts w:eastAsia="Arial" w:cs="Arial"/>
          <w:sz w:val="18"/>
          <w:szCs w:val="18"/>
        </w:rPr>
      </w:pPr>
      <w:r w:rsidRPr="004E72E5">
        <w:rPr>
          <w:spacing w:val="-1"/>
          <w:sz w:val="18"/>
          <w:szCs w:val="18"/>
        </w:rPr>
        <w:t># = no control.</w:t>
      </w:r>
    </w:p>
    <w:p w14:paraId="307714B4" w14:textId="272274C5" w:rsidR="006D0683" w:rsidRDefault="006D0683" w:rsidP="00966786">
      <w:pPr>
        <w:pStyle w:val="ColorfulList-Accent11"/>
        <w:ind w:left="0"/>
        <w:rPr>
          <w:rFonts w:cs="Arial"/>
          <w:sz w:val="22"/>
          <w:szCs w:val="22"/>
        </w:rPr>
        <w:sectPr w:rsidR="006D0683" w:rsidSect="006D0683">
          <w:headerReference w:type="default" r:id="rId251"/>
          <w:footerReference w:type="default" r:id="rId252"/>
          <w:pgSz w:w="16838" w:h="11906" w:orient="landscape" w:code="9"/>
          <w:pgMar w:top="1800" w:right="840" w:bottom="1800" w:left="1440" w:header="994" w:footer="706" w:gutter="0"/>
          <w:cols w:space="708"/>
          <w:docGrid w:linePitch="360"/>
        </w:sectPr>
      </w:pPr>
    </w:p>
    <w:p w14:paraId="48BF2479" w14:textId="2644978F" w:rsidR="006D0683" w:rsidRPr="00B503E4" w:rsidRDefault="006D0683" w:rsidP="006D0683">
      <w:pPr>
        <w:pStyle w:val="ColorfulList-Accent11"/>
        <w:rPr>
          <w:rFonts w:cs="Arial"/>
          <w:sz w:val="22"/>
          <w:szCs w:val="22"/>
        </w:rPr>
      </w:pPr>
    </w:p>
    <w:p w14:paraId="63A8C63E" w14:textId="00D6844B" w:rsidR="00090AD5" w:rsidRPr="00C87AAC" w:rsidRDefault="00090AD5" w:rsidP="00090AD5">
      <w:pPr>
        <w:ind w:left="0"/>
        <w:rPr>
          <w:rFonts w:cs="Arial"/>
          <w:sz w:val="22"/>
          <w:szCs w:val="22"/>
        </w:rPr>
      </w:pPr>
      <w:r w:rsidRPr="00C87AAC">
        <w:rPr>
          <w:rFonts w:cs="Arial"/>
          <w:sz w:val="22"/>
          <w:szCs w:val="22"/>
        </w:rPr>
        <w:t xml:space="preserve">Available evidence suggests that behavioural change for some fish species may occur, however this is thought to be localised and temporary, with displacement of pelagic or migratory fish populations having insignificant repercussions at a population level (McCauley, 1994). Behavioural changes such as startle or alarm responses are expected to be localised and temporary, with displacement of pelagic or migratory fish likely to have insignificant repercussions at a population level (McCauley, 1994; McCauley &amp; Kent, 2012; Popper </w:t>
      </w:r>
      <w:r w:rsidRPr="00C87AAC">
        <w:rPr>
          <w:rFonts w:cs="Arial"/>
          <w:i/>
          <w:sz w:val="22"/>
          <w:szCs w:val="22"/>
        </w:rPr>
        <w:t>et al</w:t>
      </w:r>
      <w:r w:rsidRPr="00C87AAC">
        <w:rPr>
          <w:rFonts w:cs="Arial"/>
          <w:sz w:val="22"/>
          <w:szCs w:val="22"/>
        </w:rPr>
        <w:t xml:space="preserve">., 2015; Popper </w:t>
      </w:r>
      <w:r w:rsidRPr="00C87AAC">
        <w:rPr>
          <w:rFonts w:cs="Arial"/>
          <w:i/>
          <w:sz w:val="22"/>
          <w:szCs w:val="22"/>
        </w:rPr>
        <w:t>et al</w:t>
      </w:r>
      <w:r w:rsidRPr="00C87AAC">
        <w:rPr>
          <w:rFonts w:cs="Arial"/>
          <w:sz w:val="22"/>
          <w:szCs w:val="22"/>
        </w:rPr>
        <w:t xml:space="preserve">., 2007). </w:t>
      </w:r>
      <w:r w:rsidR="00BA05A0">
        <w:rPr>
          <w:rFonts w:cs="Arial"/>
          <w:sz w:val="22"/>
          <w:szCs w:val="22"/>
        </w:rPr>
        <w:t xml:space="preserve">Studies by </w:t>
      </w:r>
      <w:r w:rsidR="00BA05A0" w:rsidRPr="00C87AAC">
        <w:rPr>
          <w:rFonts w:cs="Arial"/>
          <w:sz w:val="22"/>
          <w:szCs w:val="22"/>
        </w:rPr>
        <w:t>Przeslawski et al (2016</w:t>
      </w:r>
      <w:r w:rsidR="00BA05A0">
        <w:rPr>
          <w:rFonts w:cs="Arial"/>
          <w:sz w:val="22"/>
          <w:szCs w:val="22"/>
        </w:rPr>
        <w:t>b</w:t>
      </w:r>
      <w:r w:rsidR="00BA05A0" w:rsidRPr="00C87AAC">
        <w:rPr>
          <w:rFonts w:cs="Arial"/>
          <w:sz w:val="22"/>
          <w:szCs w:val="22"/>
        </w:rPr>
        <w:t>)</w:t>
      </w:r>
      <w:r w:rsidR="00BA05A0">
        <w:rPr>
          <w:rFonts w:cs="Arial"/>
          <w:sz w:val="22"/>
          <w:szCs w:val="22"/>
        </w:rPr>
        <w:t xml:space="preserve">, </w:t>
      </w:r>
      <w:r w:rsidR="00BA05A0" w:rsidRPr="00B503E4">
        <w:rPr>
          <w:rFonts w:cs="Arial"/>
          <w:sz w:val="22"/>
          <w:szCs w:val="22"/>
        </w:rPr>
        <w:t>Streever et al (2016)</w:t>
      </w:r>
      <w:r w:rsidR="00BA05A0">
        <w:rPr>
          <w:rFonts w:cs="Arial"/>
          <w:sz w:val="22"/>
          <w:szCs w:val="22"/>
        </w:rPr>
        <w:t xml:space="preserve">, </w:t>
      </w:r>
      <w:r w:rsidR="00BA05A0" w:rsidRPr="00C87AAC">
        <w:rPr>
          <w:rFonts w:cs="Arial"/>
          <w:sz w:val="22"/>
          <w:szCs w:val="22"/>
        </w:rPr>
        <w:t>Slotte et al (2004)</w:t>
      </w:r>
      <w:r w:rsidR="00BA05A0">
        <w:rPr>
          <w:rFonts w:cs="Arial"/>
          <w:sz w:val="22"/>
          <w:szCs w:val="22"/>
        </w:rPr>
        <w:t xml:space="preserve">, </w:t>
      </w:r>
      <w:r w:rsidR="00BA05A0" w:rsidRPr="002823B4">
        <w:rPr>
          <w:rFonts w:cs="Arial"/>
          <w:sz w:val="22"/>
          <w:szCs w:val="22"/>
        </w:rPr>
        <w:t>Wardle et al (2001)</w:t>
      </w:r>
      <w:r w:rsidR="00BA05A0">
        <w:rPr>
          <w:rFonts w:cs="Arial"/>
          <w:sz w:val="22"/>
          <w:szCs w:val="22"/>
        </w:rPr>
        <w:t xml:space="preserve">, </w:t>
      </w:r>
      <w:r w:rsidR="00BA05A0" w:rsidRPr="00C87AAC">
        <w:rPr>
          <w:rFonts w:cs="Arial"/>
          <w:sz w:val="22"/>
          <w:szCs w:val="22"/>
        </w:rPr>
        <w:t>McCauley et al (2000)</w:t>
      </w:r>
      <w:r w:rsidR="00BA05A0">
        <w:rPr>
          <w:rFonts w:cs="Arial"/>
          <w:sz w:val="22"/>
          <w:szCs w:val="22"/>
        </w:rPr>
        <w:t xml:space="preserve">, </w:t>
      </w:r>
      <w:r w:rsidR="00BA05A0" w:rsidRPr="00C87AAC">
        <w:rPr>
          <w:rFonts w:cs="Arial"/>
          <w:sz w:val="22"/>
          <w:szCs w:val="22"/>
        </w:rPr>
        <w:t>Dalen et al (1996) and Gausland (2000)</w:t>
      </w:r>
      <w:r w:rsidR="00BA05A0">
        <w:rPr>
          <w:rFonts w:cs="Arial"/>
          <w:sz w:val="22"/>
          <w:szCs w:val="22"/>
        </w:rPr>
        <w:t xml:space="preserve"> </w:t>
      </w:r>
      <w:r w:rsidRPr="00C87AAC">
        <w:rPr>
          <w:rFonts w:cs="Arial"/>
          <w:sz w:val="22"/>
          <w:szCs w:val="22"/>
        </w:rPr>
        <w:t>support this</w:t>
      </w:r>
      <w:r w:rsidR="00BA05A0">
        <w:rPr>
          <w:rFonts w:cs="Arial"/>
          <w:sz w:val="22"/>
          <w:szCs w:val="22"/>
        </w:rPr>
        <w:t>.</w:t>
      </w:r>
    </w:p>
    <w:p w14:paraId="5CCA2E9C" w14:textId="77777777" w:rsidR="00090AD5" w:rsidRPr="00C87AAC" w:rsidRDefault="00090AD5" w:rsidP="00090AD5">
      <w:pPr>
        <w:ind w:left="0"/>
        <w:rPr>
          <w:rFonts w:cs="Arial"/>
          <w:sz w:val="22"/>
          <w:szCs w:val="22"/>
        </w:rPr>
      </w:pPr>
    </w:p>
    <w:p w14:paraId="7EA1BF2D" w14:textId="409DF103" w:rsidR="00B76145" w:rsidRPr="00C87AAC" w:rsidRDefault="00B76145" w:rsidP="00462167">
      <w:pPr>
        <w:ind w:left="0"/>
        <w:rPr>
          <w:rFonts w:cs="Arial"/>
          <w:sz w:val="22"/>
          <w:szCs w:val="22"/>
        </w:rPr>
      </w:pPr>
      <w:r w:rsidRPr="00C87AAC">
        <w:rPr>
          <w:rFonts w:cs="Arial"/>
          <w:sz w:val="22"/>
          <w:szCs w:val="22"/>
        </w:rPr>
        <w:t xml:space="preserve">Impacts to site-attached fish, </w:t>
      </w:r>
      <w:r w:rsidR="00462167" w:rsidRPr="00C87AAC">
        <w:rPr>
          <w:rFonts w:cs="Arial"/>
          <w:sz w:val="22"/>
          <w:szCs w:val="22"/>
        </w:rPr>
        <w:t xml:space="preserve">such as those that may occur in the inshore </w:t>
      </w:r>
      <w:r w:rsidR="00BA05A0">
        <w:rPr>
          <w:rFonts w:cs="Arial"/>
          <w:sz w:val="22"/>
          <w:szCs w:val="22"/>
        </w:rPr>
        <w:t xml:space="preserve">reef </w:t>
      </w:r>
      <w:r w:rsidR="00462167" w:rsidRPr="00C87AAC">
        <w:rPr>
          <w:rFonts w:cs="Arial"/>
          <w:sz w:val="22"/>
          <w:szCs w:val="22"/>
        </w:rPr>
        <w:t xml:space="preserve">areas of the proposed acquisition area, </w:t>
      </w:r>
      <w:r w:rsidRPr="00C87AAC">
        <w:rPr>
          <w:rFonts w:cs="Arial"/>
          <w:sz w:val="22"/>
          <w:szCs w:val="22"/>
        </w:rPr>
        <w:t>can be assessed through comparison with studies undertaken by Woodside at Scott Reef on tropical reef fish during the Maxima 3D seismic survey activities (Woodside, 2012a; b; c). The Scott Reef study identified the following impacts to site-attached reef fish:</w:t>
      </w:r>
    </w:p>
    <w:p w14:paraId="1E3012DE" w14:textId="77777777" w:rsidR="00462167" w:rsidRPr="00C87AAC" w:rsidRDefault="00462167" w:rsidP="00462167">
      <w:pPr>
        <w:ind w:left="0"/>
        <w:rPr>
          <w:rFonts w:cs="Arial"/>
          <w:sz w:val="22"/>
          <w:szCs w:val="22"/>
        </w:rPr>
      </w:pPr>
    </w:p>
    <w:p w14:paraId="35508951" w14:textId="77777777" w:rsidR="00B76145" w:rsidRPr="00C87AAC" w:rsidRDefault="00B76145" w:rsidP="00567567">
      <w:pPr>
        <w:pStyle w:val="ColorfulList-Accent11"/>
        <w:numPr>
          <w:ilvl w:val="0"/>
          <w:numId w:val="161"/>
        </w:numPr>
        <w:rPr>
          <w:rFonts w:cs="Arial"/>
          <w:sz w:val="22"/>
          <w:szCs w:val="22"/>
        </w:rPr>
      </w:pPr>
      <w:r w:rsidRPr="00C87AAC">
        <w:rPr>
          <w:rFonts w:cs="Arial"/>
          <w:sz w:val="22"/>
          <w:szCs w:val="22"/>
        </w:rPr>
        <w:t>No lethal or sub-lethal effects on fish were experienced. Behavioural responses were observed at close range with general movement from the water column to the seabed, however normal feeding behaviour returned within 20 minutes of the survey vessel passing and when the vessel was beyond a distance of 1.5 km (Woodside, 2012a).</w:t>
      </w:r>
    </w:p>
    <w:p w14:paraId="6DB0CAE1" w14:textId="77777777" w:rsidR="00B76145" w:rsidRPr="00C87AAC" w:rsidRDefault="00B76145" w:rsidP="00567567">
      <w:pPr>
        <w:pStyle w:val="ColorfulList-Accent11"/>
        <w:numPr>
          <w:ilvl w:val="0"/>
          <w:numId w:val="161"/>
        </w:numPr>
        <w:rPr>
          <w:rFonts w:cs="Arial"/>
          <w:sz w:val="22"/>
          <w:szCs w:val="22"/>
        </w:rPr>
      </w:pPr>
      <w:r w:rsidRPr="00C87AAC">
        <w:rPr>
          <w:rFonts w:cs="Arial"/>
          <w:sz w:val="22"/>
          <w:szCs w:val="22"/>
        </w:rPr>
        <w:t>Fish exposed to acoustic pulses showed no structural abnormalities, tissue trauma or lesions, or auditory threshold changes (highest exposure level 190 dB re 1μPa</w:t>
      </w:r>
      <w:r w:rsidRPr="00C87AAC">
        <w:rPr>
          <w:rFonts w:cs="Arial"/>
          <w:sz w:val="22"/>
          <w:szCs w:val="22"/>
          <w:vertAlign w:val="superscript"/>
        </w:rPr>
        <w:t>2</w:t>
      </w:r>
      <w:r w:rsidRPr="00C87AAC">
        <w:rPr>
          <w:rFonts w:cs="Arial"/>
          <w:sz w:val="22"/>
          <w:szCs w:val="22"/>
        </w:rPr>
        <w:t xml:space="preserve">.s). However, a small number of damaged hair cells (less than 1% of fish hearing capacity) were observed in fish exposed to acoustic noise (Woodside, 2012b). </w:t>
      </w:r>
    </w:p>
    <w:p w14:paraId="32640D81" w14:textId="77777777" w:rsidR="00B76145" w:rsidRPr="00C87AAC" w:rsidRDefault="00B76145" w:rsidP="00567567">
      <w:pPr>
        <w:pStyle w:val="ColorfulList-Accent11"/>
        <w:numPr>
          <w:ilvl w:val="0"/>
          <w:numId w:val="161"/>
        </w:numPr>
        <w:rPr>
          <w:rFonts w:cs="Arial"/>
          <w:sz w:val="22"/>
          <w:szCs w:val="22"/>
        </w:rPr>
      </w:pPr>
      <w:r w:rsidRPr="00C87AAC">
        <w:rPr>
          <w:rFonts w:cs="Arial"/>
          <w:sz w:val="22"/>
          <w:szCs w:val="22"/>
        </w:rPr>
        <w:t>No significant decreases in the diversity and abundance of fish after the seismic survey were detected compared with the long-term temporal trend before the survey (Woodside, 2012c).</w:t>
      </w:r>
    </w:p>
    <w:p w14:paraId="4366D9C4" w14:textId="77777777" w:rsidR="00B76145" w:rsidRPr="00C87AAC" w:rsidRDefault="00B76145" w:rsidP="00567567">
      <w:pPr>
        <w:pStyle w:val="ColorfulList-Accent11"/>
        <w:numPr>
          <w:ilvl w:val="0"/>
          <w:numId w:val="161"/>
        </w:numPr>
        <w:rPr>
          <w:rFonts w:cs="Arial"/>
          <w:sz w:val="22"/>
          <w:szCs w:val="22"/>
        </w:rPr>
      </w:pPr>
      <w:r w:rsidRPr="00C87AAC">
        <w:rPr>
          <w:rFonts w:cs="Arial"/>
          <w:sz w:val="22"/>
          <w:szCs w:val="22"/>
        </w:rPr>
        <w:t>The lack of significant impacts to fish species considered sensitive because of their site-fidelity requirements (i.e., being restricted to reef habitat and unable move far when the seismic sound approaches) indicates that pelagic fish able to swim away from disturbing noise are likely to be even less at risk of impacts from seismic sound.</w:t>
      </w:r>
    </w:p>
    <w:p w14:paraId="5BBD0E1E" w14:textId="77777777" w:rsidR="00281FB4" w:rsidRPr="00C87AAC" w:rsidRDefault="00281FB4" w:rsidP="00462167">
      <w:pPr>
        <w:ind w:left="0"/>
        <w:rPr>
          <w:rFonts w:cs="Arial"/>
          <w:sz w:val="22"/>
          <w:szCs w:val="22"/>
        </w:rPr>
      </w:pPr>
    </w:p>
    <w:p w14:paraId="7ED36D89" w14:textId="3C7205FE" w:rsidR="00B76145" w:rsidRPr="00C87AAC" w:rsidRDefault="00BA05A0" w:rsidP="00462167">
      <w:pPr>
        <w:ind w:left="0"/>
        <w:rPr>
          <w:rFonts w:cs="Arial"/>
          <w:sz w:val="22"/>
          <w:szCs w:val="22"/>
        </w:rPr>
      </w:pPr>
      <w:r>
        <w:rPr>
          <w:rFonts w:cs="Arial"/>
          <w:sz w:val="22"/>
          <w:szCs w:val="22"/>
        </w:rPr>
        <w:t xml:space="preserve">While </w:t>
      </w:r>
      <w:r w:rsidR="00B76145" w:rsidRPr="00C87AAC">
        <w:rPr>
          <w:rFonts w:cs="Arial"/>
          <w:sz w:val="22"/>
          <w:szCs w:val="22"/>
        </w:rPr>
        <w:t xml:space="preserve">lethal effects to fishes from seismic testing have not been observed, sub-lethal effects have been reasonably well documented. Whilst the ecological effects of sub-lethal effects have not been well studied it is possible that they could expose some fishes to increased mortality via increased predation through lowered fitness (Popper &amp; Hastings, 2009) depending on the fishes’ life history. Additionally, the lack of significant impacts to fish species considered sensitive because of their site-fidelity requirements (i.e., being restricted to reef habitat and unable move far when the seismic sound approaches) indicates that pelagic fish able to swim away from disturbing noise are likely to be even less at risk of impacts from seismic sound.  </w:t>
      </w:r>
    </w:p>
    <w:p w14:paraId="101E1C68" w14:textId="77777777" w:rsidR="00462167" w:rsidRPr="00C87AAC" w:rsidRDefault="00462167" w:rsidP="00462167">
      <w:pPr>
        <w:ind w:left="0"/>
        <w:rPr>
          <w:rFonts w:cs="Arial"/>
          <w:sz w:val="22"/>
          <w:szCs w:val="22"/>
        </w:rPr>
      </w:pPr>
    </w:p>
    <w:p w14:paraId="7FE5A1A5" w14:textId="479C22E8" w:rsidR="00B76145" w:rsidRDefault="00BA05A0" w:rsidP="00462167">
      <w:pPr>
        <w:ind w:left="0"/>
        <w:rPr>
          <w:rFonts w:cs="Arial"/>
          <w:sz w:val="22"/>
          <w:szCs w:val="22"/>
        </w:rPr>
      </w:pPr>
      <w:r>
        <w:rPr>
          <w:rFonts w:cs="Arial"/>
          <w:sz w:val="22"/>
          <w:szCs w:val="22"/>
        </w:rPr>
        <w:t>P</w:t>
      </w:r>
      <w:r w:rsidR="003C66F1" w:rsidRPr="0026146F">
        <w:rPr>
          <w:rFonts w:cs="Arial"/>
          <w:sz w:val="22"/>
          <w:szCs w:val="22"/>
        </w:rPr>
        <w:t>er-</w:t>
      </w:r>
      <w:r w:rsidR="003C66F1" w:rsidRPr="003D778E">
        <w:rPr>
          <w:rFonts w:cs="Arial"/>
          <w:sz w:val="22"/>
          <w:szCs w:val="22"/>
        </w:rPr>
        <w:t xml:space="preserve">pulse </w:t>
      </w:r>
      <w:r w:rsidR="00B76145" w:rsidRPr="003D778E">
        <w:rPr>
          <w:rFonts w:cs="Arial"/>
          <w:sz w:val="22"/>
          <w:szCs w:val="22"/>
        </w:rPr>
        <w:t>SEL</w:t>
      </w:r>
      <w:r w:rsidR="003D778E">
        <w:rPr>
          <w:rFonts w:cs="Arial"/>
          <w:sz w:val="22"/>
          <w:szCs w:val="22"/>
        </w:rPr>
        <w:t>, SPL and accumulated SEL</w:t>
      </w:r>
      <w:r w:rsidR="00B76145" w:rsidRPr="003D778E">
        <w:rPr>
          <w:rFonts w:cs="Arial"/>
          <w:sz w:val="22"/>
          <w:szCs w:val="22"/>
        </w:rPr>
        <w:t xml:space="preserve"> at the boundary of The </w:t>
      </w:r>
      <w:r w:rsidR="0026146F" w:rsidRPr="003D778E">
        <w:rPr>
          <w:rFonts w:cs="Arial"/>
          <w:sz w:val="22"/>
          <w:szCs w:val="22"/>
        </w:rPr>
        <w:t xml:space="preserve">Ninety Mile Beach MNP </w:t>
      </w:r>
      <w:r w:rsidR="001169A1" w:rsidRPr="003D778E">
        <w:rPr>
          <w:rFonts w:cs="Arial"/>
          <w:sz w:val="22"/>
          <w:szCs w:val="22"/>
        </w:rPr>
        <w:t xml:space="preserve">(see Section </w:t>
      </w:r>
      <w:r w:rsidR="001169A1" w:rsidRPr="003D778E">
        <w:rPr>
          <w:rFonts w:cs="Arial"/>
          <w:sz w:val="22"/>
          <w:szCs w:val="22"/>
        </w:rPr>
        <w:fldChar w:fldCharType="begin"/>
      </w:r>
      <w:r w:rsidR="001169A1" w:rsidRPr="003D778E">
        <w:rPr>
          <w:rFonts w:cs="Arial"/>
          <w:sz w:val="22"/>
          <w:szCs w:val="22"/>
        </w:rPr>
        <w:instrText xml:space="preserve"> REF _Ref353714744 \r \h </w:instrText>
      </w:r>
      <w:r w:rsidR="001169A1" w:rsidRPr="003D778E">
        <w:rPr>
          <w:rFonts w:cs="Arial"/>
          <w:sz w:val="22"/>
          <w:szCs w:val="22"/>
        </w:rPr>
      </w:r>
      <w:r w:rsidR="001169A1" w:rsidRPr="003D778E">
        <w:rPr>
          <w:rFonts w:cs="Arial"/>
          <w:sz w:val="22"/>
          <w:szCs w:val="22"/>
        </w:rPr>
        <w:fldChar w:fldCharType="separate"/>
      </w:r>
      <w:r w:rsidR="007C0ECD">
        <w:rPr>
          <w:rFonts w:cs="Arial"/>
          <w:sz w:val="22"/>
          <w:szCs w:val="22"/>
        </w:rPr>
        <w:t>5.1.4</w:t>
      </w:r>
      <w:r w:rsidR="001169A1" w:rsidRPr="003D778E">
        <w:rPr>
          <w:rFonts w:cs="Arial"/>
          <w:sz w:val="22"/>
          <w:szCs w:val="22"/>
        </w:rPr>
        <w:fldChar w:fldCharType="end"/>
      </w:r>
      <w:r w:rsidR="001169A1" w:rsidRPr="003D778E">
        <w:rPr>
          <w:rFonts w:cs="Arial"/>
          <w:sz w:val="22"/>
          <w:szCs w:val="22"/>
        </w:rPr>
        <w:t>)</w:t>
      </w:r>
      <w:r w:rsidR="001169A1">
        <w:rPr>
          <w:rFonts w:cs="Arial"/>
          <w:sz w:val="22"/>
          <w:szCs w:val="22"/>
        </w:rPr>
        <w:t xml:space="preserve"> </w:t>
      </w:r>
      <w:r w:rsidR="0026146F" w:rsidRPr="003D778E">
        <w:rPr>
          <w:rFonts w:cs="Arial"/>
          <w:sz w:val="22"/>
          <w:szCs w:val="22"/>
        </w:rPr>
        <w:t>are</w:t>
      </w:r>
      <w:r w:rsidR="00B76145" w:rsidRPr="003D778E">
        <w:rPr>
          <w:rFonts w:cs="Arial"/>
          <w:sz w:val="22"/>
          <w:szCs w:val="22"/>
        </w:rPr>
        <w:t xml:space="preserve"> </w:t>
      </w:r>
      <w:r w:rsidR="0026146F" w:rsidRPr="003D778E">
        <w:rPr>
          <w:rFonts w:cs="Arial"/>
          <w:sz w:val="22"/>
          <w:szCs w:val="22"/>
        </w:rPr>
        <w:t xml:space="preserve">predicted to be </w:t>
      </w:r>
      <w:r w:rsidR="001169A1">
        <w:rPr>
          <w:rFonts w:cs="Arial"/>
          <w:sz w:val="22"/>
          <w:szCs w:val="22"/>
        </w:rPr>
        <w:t>below levels that create behavioural disturbance</w:t>
      </w:r>
      <w:r w:rsidR="0026146F" w:rsidRPr="003D778E">
        <w:rPr>
          <w:rFonts w:cs="Arial"/>
          <w:sz w:val="22"/>
          <w:szCs w:val="22"/>
        </w:rPr>
        <w:t xml:space="preserve">. </w:t>
      </w:r>
      <w:r w:rsidR="00B76145" w:rsidRPr="003D778E">
        <w:rPr>
          <w:rFonts w:cs="Arial"/>
          <w:sz w:val="22"/>
          <w:szCs w:val="22"/>
        </w:rPr>
        <w:t xml:space="preserve">As such, </w:t>
      </w:r>
      <w:r w:rsidR="0026146F" w:rsidRPr="003D778E">
        <w:rPr>
          <w:rFonts w:cs="Arial"/>
          <w:sz w:val="22"/>
          <w:szCs w:val="22"/>
        </w:rPr>
        <w:t>impacts to fish in the MNP from the MSS are not expected.</w:t>
      </w:r>
      <w:r w:rsidR="00B76145" w:rsidRPr="0026146F">
        <w:rPr>
          <w:rFonts w:cs="Arial"/>
          <w:sz w:val="22"/>
          <w:szCs w:val="22"/>
        </w:rPr>
        <w:t xml:space="preserve"> </w:t>
      </w:r>
    </w:p>
    <w:p w14:paraId="277726D0" w14:textId="77777777" w:rsidR="00462167" w:rsidRPr="00C87AAC" w:rsidRDefault="00462167" w:rsidP="00462167">
      <w:pPr>
        <w:ind w:left="0"/>
        <w:rPr>
          <w:rFonts w:cs="Arial"/>
          <w:sz w:val="22"/>
          <w:szCs w:val="22"/>
        </w:rPr>
      </w:pPr>
    </w:p>
    <w:p w14:paraId="0D5F5504" w14:textId="1AADC15C" w:rsidR="00281FB4" w:rsidRPr="00EF4E2A" w:rsidRDefault="00281FB4" w:rsidP="00462167">
      <w:pPr>
        <w:ind w:left="0"/>
        <w:rPr>
          <w:rFonts w:cs="Arial"/>
          <w:sz w:val="22"/>
          <w:szCs w:val="22"/>
        </w:rPr>
      </w:pPr>
      <w:r w:rsidRPr="00C87AAC">
        <w:rPr>
          <w:rFonts w:cs="Arial"/>
          <w:sz w:val="22"/>
          <w:szCs w:val="22"/>
        </w:rPr>
        <w:t xml:space="preserve">A summary of the potential impacts of low-frequency seismic sound on fish is presented </w:t>
      </w:r>
      <w:r w:rsidRPr="00EF4E2A">
        <w:rPr>
          <w:rFonts w:cs="Arial"/>
          <w:sz w:val="22"/>
          <w:szCs w:val="22"/>
        </w:rPr>
        <w:t>in Figure 7.</w:t>
      </w:r>
      <w:r w:rsidR="0025511A" w:rsidRPr="00EF4E2A">
        <w:rPr>
          <w:rFonts w:cs="Arial"/>
          <w:sz w:val="22"/>
          <w:szCs w:val="22"/>
        </w:rPr>
        <w:t>5</w:t>
      </w:r>
      <w:r w:rsidRPr="00EF4E2A">
        <w:rPr>
          <w:rFonts w:cs="Arial"/>
          <w:sz w:val="22"/>
          <w:szCs w:val="22"/>
        </w:rPr>
        <w:t xml:space="preserve">. </w:t>
      </w:r>
    </w:p>
    <w:p w14:paraId="305751CC" w14:textId="77777777" w:rsidR="0025511A" w:rsidRPr="00EF4E2A" w:rsidRDefault="0025511A" w:rsidP="00462167">
      <w:pPr>
        <w:ind w:left="0"/>
        <w:rPr>
          <w:rFonts w:cs="Arial"/>
          <w:sz w:val="22"/>
          <w:szCs w:val="22"/>
        </w:rPr>
      </w:pPr>
    </w:p>
    <w:p w14:paraId="482C4749" w14:textId="251757D4" w:rsidR="008B4522" w:rsidRDefault="0025511A" w:rsidP="0025511A">
      <w:pPr>
        <w:ind w:left="0"/>
        <w:rPr>
          <w:rFonts w:cs="Arial"/>
          <w:sz w:val="22"/>
          <w:szCs w:val="22"/>
        </w:rPr>
      </w:pPr>
      <w:r w:rsidRPr="00EF4E2A">
        <w:rPr>
          <w:rFonts w:cs="Arial"/>
          <w:sz w:val="22"/>
          <w:szCs w:val="22"/>
        </w:rPr>
        <w:t>Limited research has been conducted on responses from elasmobranchs (shark</w:t>
      </w:r>
      <w:r w:rsidR="009F0959" w:rsidRPr="00EF4E2A">
        <w:rPr>
          <w:rFonts w:cs="Arial"/>
          <w:sz w:val="22"/>
          <w:szCs w:val="22"/>
        </w:rPr>
        <w:t>s</w:t>
      </w:r>
      <w:r w:rsidRPr="00EF4E2A">
        <w:rPr>
          <w:rFonts w:cs="Arial"/>
          <w:sz w:val="22"/>
          <w:szCs w:val="22"/>
        </w:rPr>
        <w:t xml:space="preserve"> and ray</w:t>
      </w:r>
      <w:r w:rsidR="009F0959" w:rsidRPr="00EF4E2A">
        <w:rPr>
          <w:rFonts w:cs="Arial"/>
          <w:sz w:val="22"/>
          <w:szCs w:val="22"/>
        </w:rPr>
        <w:t>s, including juveniles</w:t>
      </w:r>
      <w:r w:rsidRPr="00EF4E2A">
        <w:rPr>
          <w:rFonts w:cs="Arial"/>
          <w:sz w:val="22"/>
          <w:szCs w:val="22"/>
        </w:rPr>
        <w:t>) to marine seismic surveys</w:t>
      </w:r>
      <w:r w:rsidR="009F0959" w:rsidRPr="00EF4E2A">
        <w:rPr>
          <w:rFonts w:cs="Arial"/>
          <w:sz w:val="22"/>
          <w:szCs w:val="22"/>
        </w:rPr>
        <w:t xml:space="preserve"> (as highlighted in Figure 7.5)</w:t>
      </w:r>
      <w:r w:rsidRPr="00EF4E2A">
        <w:rPr>
          <w:rFonts w:cs="Arial"/>
          <w:sz w:val="22"/>
          <w:szCs w:val="22"/>
        </w:rPr>
        <w:t xml:space="preserve">. Sharks and rays differ from bony fish in that they have no accessory organs of hearing (i.e., a swim bladder) and therefore are unlikely </w:t>
      </w:r>
      <w:r w:rsidRPr="00584AEB">
        <w:rPr>
          <w:rFonts w:cs="Arial"/>
          <w:sz w:val="22"/>
          <w:szCs w:val="22"/>
        </w:rPr>
        <w:t xml:space="preserve">to respond to acoustical pressure (Myrberg, 2001). </w:t>
      </w:r>
      <w:r w:rsidRPr="0008049F">
        <w:rPr>
          <w:rFonts w:cs="Arial"/>
          <w:sz w:val="22"/>
          <w:szCs w:val="22"/>
        </w:rPr>
        <w:t xml:space="preserve">Elasmobranchs sense sound via the inner ear </w:t>
      </w:r>
      <w:r>
        <w:rPr>
          <w:rFonts w:cs="Arial"/>
          <w:sz w:val="22"/>
          <w:szCs w:val="22"/>
        </w:rPr>
        <w:t>a</w:t>
      </w:r>
      <w:r w:rsidRPr="0008049F">
        <w:rPr>
          <w:rFonts w:cs="Arial"/>
          <w:sz w:val="22"/>
          <w:szCs w:val="22"/>
        </w:rPr>
        <w:t>nd organs and as they lack a swim bladder it is thought that they are only capable of detecting the particle motion component of acoustic stimuli</w:t>
      </w:r>
      <w:r w:rsidRPr="0008049F" w:rsidDel="0008049F">
        <w:rPr>
          <w:rFonts w:cs="Arial"/>
          <w:sz w:val="22"/>
          <w:szCs w:val="22"/>
        </w:rPr>
        <w:t xml:space="preserve"> </w:t>
      </w:r>
      <w:r w:rsidRPr="00584AEB">
        <w:rPr>
          <w:rFonts w:cs="Arial"/>
          <w:sz w:val="22"/>
          <w:szCs w:val="22"/>
        </w:rPr>
        <w:t xml:space="preserve">(Myrberg, 2001). Klimley and Myrberg (1979) established that an individual shark will suddenly turn and withdraw from a sound source of high intensity (more than 20 dB re 1 µPa above background ambient noise levels) when approaching within 10 m of the sound source. The available evidence indicates sharks will generally avoid seismic sources, so the likely impacts on sharks are expected to be limited to short-term behavioural responses, such as avoidance of waters around the operating seismic array. </w:t>
      </w:r>
      <w:r w:rsidR="004E72E5">
        <w:rPr>
          <w:rFonts w:cs="Arial"/>
          <w:sz w:val="22"/>
          <w:szCs w:val="22"/>
        </w:rPr>
        <w:t xml:space="preserve">For the purposes of this </w:t>
      </w:r>
      <w:r w:rsidR="00EB69EC">
        <w:rPr>
          <w:rFonts w:cs="Arial"/>
          <w:sz w:val="22"/>
          <w:szCs w:val="22"/>
        </w:rPr>
        <w:t xml:space="preserve">EIA </w:t>
      </w:r>
      <w:r w:rsidR="004E72E5">
        <w:rPr>
          <w:rFonts w:cs="Arial"/>
          <w:sz w:val="22"/>
          <w:szCs w:val="22"/>
        </w:rPr>
        <w:t>, sharks are</w:t>
      </w:r>
      <w:r w:rsidR="009F0959">
        <w:rPr>
          <w:rFonts w:cs="Arial"/>
          <w:sz w:val="22"/>
          <w:szCs w:val="22"/>
        </w:rPr>
        <w:t xml:space="preserve"> included in the same group as fish without swim bladders</w:t>
      </w:r>
      <w:r w:rsidR="00363C4E">
        <w:rPr>
          <w:rFonts w:cs="Arial"/>
          <w:sz w:val="22"/>
          <w:szCs w:val="22"/>
        </w:rPr>
        <w:t>.</w:t>
      </w:r>
    </w:p>
    <w:p w14:paraId="418FE452" w14:textId="77777777" w:rsidR="0025511A" w:rsidRDefault="0025511A" w:rsidP="00462167">
      <w:pPr>
        <w:ind w:left="0"/>
        <w:rPr>
          <w:rFonts w:cs="Arial"/>
          <w:sz w:val="22"/>
          <w:szCs w:val="22"/>
        </w:rPr>
      </w:pPr>
    </w:p>
    <w:p w14:paraId="7C9651E3" w14:textId="77777777" w:rsidR="0025511A" w:rsidRPr="003919EA" w:rsidRDefault="0025511A" w:rsidP="0025511A">
      <w:pPr>
        <w:spacing w:after="120" w:line="240" w:lineRule="auto"/>
        <w:ind w:left="0"/>
        <w:rPr>
          <w:rFonts w:cs="Arial"/>
          <w:sz w:val="22"/>
          <w:szCs w:val="22"/>
          <w:u w:val="single"/>
        </w:rPr>
      </w:pPr>
      <w:r>
        <w:rPr>
          <w:rFonts w:cs="Arial"/>
          <w:sz w:val="22"/>
          <w:szCs w:val="22"/>
          <w:u w:val="single"/>
        </w:rPr>
        <w:t>Thresholds adopted for the STLM</w:t>
      </w:r>
    </w:p>
    <w:p w14:paraId="2DD05E56" w14:textId="0B913583" w:rsidR="0025511A" w:rsidRDefault="0025511A" w:rsidP="0025511A">
      <w:pPr>
        <w:ind w:left="0"/>
        <w:rPr>
          <w:sz w:val="22"/>
          <w:szCs w:val="22"/>
        </w:rPr>
      </w:pPr>
      <w:r w:rsidRPr="00EF4E2A">
        <w:rPr>
          <w:rFonts w:cs="Arial"/>
          <w:sz w:val="22"/>
          <w:szCs w:val="22"/>
        </w:rPr>
        <w:t>Table 7.</w:t>
      </w:r>
      <w:r w:rsidR="00363C4E" w:rsidRPr="00EF4E2A">
        <w:rPr>
          <w:rFonts w:cs="Arial"/>
          <w:sz w:val="22"/>
          <w:szCs w:val="22"/>
        </w:rPr>
        <w:t>7</w:t>
      </w:r>
      <w:r w:rsidRPr="00EF4E2A">
        <w:rPr>
          <w:rFonts w:cs="Arial"/>
          <w:sz w:val="22"/>
          <w:szCs w:val="22"/>
        </w:rPr>
        <w:t xml:space="preserve"> </w:t>
      </w:r>
      <w:r w:rsidR="002823B4" w:rsidRPr="00EF4E2A">
        <w:rPr>
          <w:rFonts w:cs="Arial"/>
          <w:sz w:val="22"/>
          <w:szCs w:val="22"/>
        </w:rPr>
        <w:t>(</w:t>
      </w:r>
      <w:r w:rsidR="00363C4E" w:rsidRPr="00EF4E2A">
        <w:rPr>
          <w:rFonts w:cs="Arial"/>
          <w:sz w:val="22"/>
          <w:szCs w:val="22"/>
        </w:rPr>
        <w:t>presented</w:t>
      </w:r>
      <w:r w:rsidR="002823B4" w:rsidRPr="003162FF">
        <w:rPr>
          <w:rFonts w:cs="Arial"/>
          <w:sz w:val="22"/>
          <w:szCs w:val="22"/>
        </w:rPr>
        <w:t xml:space="preserve"> earlier) </w:t>
      </w:r>
      <w:r w:rsidRPr="003162FF">
        <w:rPr>
          <w:rFonts w:cs="Arial"/>
          <w:sz w:val="22"/>
          <w:szCs w:val="22"/>
        </w:rPr>
        <w:t>presents the exposure criteria for airguns for fish. This was developed</w:t>
      </w:r>
      <w:r>
        <w:rPr>
          <w:rFonts w:cs="Arial"/>
          <w:sz w:val="22"/>
          <w:szCs w:val="22"/>
        </w:rPr>
        <w:t xml:space="preserve"> by Popper at al (2014)</w:t>
      </w:r>
      <w:r w:rsidRPr="004F082E">
        <w:rPr>
          <w:sz w:val="22"/>
          <w:szCs w:val="22"/>
        </w:rPr>
        <w:t xml:space="preserve">. </w:t>
      </w:r>
    </w:p>
    <w:p w14:paraId="4836E259" w14:textId="77777777" w:rsidR="0025511A" w:rsidRDefault="0025511A" w:rsidP="00462167">
      <w:pPr>
        <w:ind w:left="0"/>
        <w:rPr>
          <w:rFonts w:cs="Arial"/>
          <w:sz w:val="22"/>
          <w:szCs w:val="22"/>
        </w:rPr>
      </w:pPr>
    </w:p>
    <w:p w14:paraId="792C53FB" w14:textId="388DD409" w:rsidR="0067051D" w:rsidRDefault="0025511A" w:rsidP="00462167">
      <w:pPr>
        <w:ind w:left="0"/>
        <w:rPr>
          <w:sz w:val="22"/>
          <w:szCs w:val="22"/>
        </w:rPr>
      </w:pPr>
      <w:r>
        <w:rPr>
          <w:sz w:val="22"/>
          <w:szCs w:val="22"/>
        </w:rPr>
        <w:t xml:space="preserve">The </w:t>
      </w:r>
      <w:r w:rsidRPr="00891DE1">
        <w:rPr>
          <w:sz w:val="22"/>
          <w:szCs w:val="22"/>
        </w:rPr>
        <w:t xml:space="preserve">SEL metric integrates noise intensity over some period of exposure. Because the period of integration for regulatory assessments is not well defined for sounds that do not have a clear start or end time, or for very long-lasting exposures, it is required to define a time period. This is done for marine mammals in the </w:t>
      </w:r>
      <w:r w:rsidRPr="00891DE1">
        <w:rPr>
          <w:sz w:val="22"/>
          <w:szCs w:val="22"/>
        </w:rPr>
        <w:fldChar w:fldCharType="begin"/>
      </w:r>
      <w:r w:rsidRPr="00891DE1">
        <w:rPr>
          <w:sz w:val="22"/>
          <w:szCs w:val="22"/>
        </w:rPr>
        <w:instrText xml:space="preserve"> ADDIN EN.CITE &lt;EndNote&gt;&lt;Cite AuthorYear="1"&gt;&lt;Author&gt;Southall&lt;/Author&gt;&lt;Year&gt;2007&lt;/Year&gt;&lt;RecNum&gt;22320&lt;/RecNum&gt;&lt;DisplayText&gt;Southall et al. (2007)&lt;/DisplayText&gt;&lt;record&gt;&lt;rec-number&gt;22320&lt;/rec-number&gt;&lt;foreign-keys&gt;&lt;key app="EN" db-id="avrwfx0posesv7e0p5ixzsx0ssp0v09v222p" timestamp="1445373881"&gt;22320&lt;/key&gt;&lt;/foreign-keys&gt;&lt;ref-type name="Journal Article"&gt;17&lt;/ref-type&gt;&lt;contributors&gt;&lt;authors&gt;&lt;author&gt;Southall, B.L.&lt;/author&gt;&lt;author&gt;Bowles, A.E.&lt;/author&gt;&lt;author&gt;Ellison, W.T.&lt;/author&gt;&lt;author&gt;Finneran, J.J.&lt;/author&gt;&lt;author&gt;Gentry, R.L.&lt;/author&gt;&lt;author&gt;Greene, C.R., Jr.&lt;/author&gt;&lt;author&gt;Kastak, D.&lt;/author&gt;&lt;author&gt;Ketten, D.R.&lt;/author&gt;&lt;author&gt;Miller, J.H.&lt;/author&gt;&lt;author&gt;Nachtigall, P.E.&lt;/author&gt;&lt;author&gt;Richardson, W.J.&lt;/author&gt;&lt;author&gt;Thomas, J.A.&lt;/author&gt;&lt;author&gt;Tyack, P.L.&lt;/author&gt;&lt;/authors&gt;&lt;/contributors&gt;&lt;titles&gt;&lt;title&gt;Marine mammal noise exposure criteria: Initial scientific recommendations&lt;/title&gt;&lt;secondary-title&gt;Aquatic Mammals&lt;/secondary-title&gt;&lt;/titles&gt;&lt;periodical&gt;&lt;full-title&gt;Aquatic Mammals&lt;/full-title&gt;&lt;abbr-1&gt;Aquat Mamm&lt;/abbr-1&gt;&lt;abbr-2&gt;Aquat. Mamm.&lt;/abbr-2&gt;&lt;/periodical&gt;&lt;pages&gt;411-521&lt;/pages&gt;&lt;volume&gt;33&lt;/volume&gt;&lt;number&gt;4&lt;/number&gt;&lt;dates&gt;&lt;year&gt;2007&lt;/year&gt;&lt;/dates&gt;&lt;urls&gt;&lt;/urls&gt;&lt;/record&gt;&lt;/Cite&gt;&lt;/EndNote&gt;</w:instrText>
      </w:r>
      <w:r w:rsidRPr="00891DE1">
        <w:rPr>
          <w:sz w:val="22"/>
          <w:szCs w:val="22"/>
        </w:rPr>
        <w:fldChar w:fldCharType="separate"/>
      </w:r>
      <w:r w:rsidRPr="00891DE1">
        <w:rPr>
          <w:sz w:val="22"/>
          <w:szCs w:val="22"/>
        </w:rPr>
        <w:t>Southall et al (2007)</w:t>
      </w:r>
      <w:r w:rsidRPr="00891DE1">
        <w:rPr>
          <w:sz w:val="22"/>
          <w:szCs w:val="22"/>
        </w:rPr>
        <w:fldChar w:fldCharType="end"/>
      </w:r>
      <w:r w:rsidRPr="00891DE1">
        <w:rPr>
          <w:sz w:val="22"/>
          <w:szCs w:val="22"/>
        </w:rPr>
        <w:t xml:space="preserve"> criteria, where it is 24 h</w:t>
      </w:r>
      <w:r>
        <w:rPr>
          <w:sz w:val="22"/>
          <w:szCs w:val="22"/>
        </w:rPr>
        <w:t>ours</w:t>
      </w:r>
      <w:r w:rsidRPr="00891DE1">
        <w:rPr>
          <w:sz w:val="22"/>
          <w:szCs w:val="22"/>
        </w:rPr>
        <w:t xml:space="preserve"> or the duration of the activity, whichever </w:t>
      </w:r>
      <w:r w:rsidR="00363C4E">
        <w:rPr>
          <w:sz w:val="22"/>
          <w:szCs w:val="22"/>
        </w:rPr>
        <w:t xml:space="preserve">is </w:t>
      </w:r>
      <w:r w:rsidRPr="00891DE1">
        <w:rPr>
          <w:sz w:val="22"/>
          <w:szCs w:val="22"/>
        </w:rPr>
        <w:t xml:space="preserve">longer. </w:t>
      </w:r>
    </w:p>
    <w:p w14:paraId="725B6DBD" w14:textId="77777777" w:rsidR="00363C4E" w:rsidRDefault="00363C4E" w:rsidP="00462167">
      <w:pPr>
        <w:ind w:left="0"/>
        <w:rPr>
          <w:sz w:val="22"/>
          <w:szCs w:val="22"/>
        </w:rPr>
      </w:pPr>
    </w:p>
    <w:p w14:paraId="11475584" w14:textId="77777777" w:rsidR="00363C4E" w:rsidRDefault="00363C4E" w:rsidP="00891DE1">
      <w:pPr>
        <w:ind w:left="0"/>
        <w:rPr>
          <w:sz w:val="22"/>
          <w:szCs w:val="22"/>
        </w:rPr>
      </w:pPr>
      <w:r w:rsidRPr="00891DE1">
        <w:rPr>
          <w:sz w:val="22"/>
          <w:szCs w:val="22"/>
        </w:rPr>
        <w:fldChar w:fldCharType="begin"/>
      </w:r>
      <w:r w:rsidRPr="00891DE1">
        <w:rPr>
          <w:sz w:val="22"/>
          <w:szCs w:val="22"/>
        </w:rPr>
        <w:instrText xml:space="preserve"> ADDIN EN.CITE &lt;EndNote&gt;&lt;Cite AuthorYear="1"&gt;&lt;Author&gt;Popper&lt;/Author&gt;&lt;Year&gt;2014&lt;/Year&gt;&lt;RecNum&gt;20428&lt;/RecNum&gt;&lt;DisplayText&gt;Popper et al. (2014)&lt;/DisplayText&gt;&lt;record&gt;&lt;rec-number&gt;20428&lt;/rec-number&gt;&lt;foreign-keys&gt;&lt;key app="EN" db-id="avrwfx0posesv7e0p5ixzsx0ssp0v09v222p" timestamp="1406240774"&gt;20428&lt;/key&gt;&lt;/foreign-keys&gt;&lt;ref-type name="Book"&gt;6&lt;/ref-type&gt;&lt;contributors&gt;&lt;authors&gt;&lt;author&gt;Popper, Arthur N.&lt;/author&gt;&lt;author&gt;Hawkins, Anthony D.&lt;/author&gt;&lt;author&gt;Fay, Richard R.&lt;/author&gt;&lt;author&gt;Mann, David A.&lt;/author&gt;&lt;author&gt;Bartol, Soraya&lt;/author&gt;&lt;author&gt;Carlson, Thomas J.&lt;/author&gt;&lt;author&gt;Coombs, Sheryl&lt;/author&gt;&lt;author&gt;Ellison, William T.&lt;/author&gt;&lt;author&gt;Gentry, Roger L.&lt;/author&gt;&lt;author&gt;Halvorsen, Michele B.&lt;/author&gt;&lt;author&gt;Løkkeborg, Svein&lt;/author&gt;&lt;author&gt;Rogers, Peter H.&lt;/author&gt;&lt;author&gt;Southall, Brandon L.&lt;/author&gt;&lt;author&gt;Zeddies, David G.&lt;/author&gt;&lt;author&gt;Tavolga, William N.&lt;/author&gt;&lt;/authors&gt;&lt;tertiary-authors&gt;&lt;author&gt;Cottingham, James,&lt;/author&gt;&lt;author&gt;Deutsch, Diana&lt;/author&gt;&lt;author&gt;Hamilton, Mark&lt;/author&gt;&lt;author&gt;Hartmann, William&lt;/author&gt;&lt;author&gt;Marston, Philip&lt;/author&gt;&lt;author&gt;Pierce, Allan&lt;/author&gt;&lt;author&gt;Popper, Arthur N.&lt;/author&gt;&lt;author&gt;Ryherd, Erica&lt;/author&gt;&lt;author&gt;Megela Andrea&lt;/author&gt;&lt;author&gt;Siderius, Martin&lt;/author&gt;&lt;author&gt;Xiang, Ning&lt;/author&gt;&lt;author&gt;Yost, William&lt;/author&gt;&lt;/tertiary-authors&gt;&lt;/contributors&gt;&lt;titles&gt;&lt;title&gt;Sound Exposure Guidelines for Fishes and Sea Turtles: A Technical Report prepared by ANSI-Accredited Standards Committee S3/SC1 and registered with ANSI&lt;/title&gt;&lt;secondary-title&gt;SpringerBriefs in Oceanography&lt;/secondary-title&gt;&lt;/titles&gt;&lt;volume&gt;ASA S3/SC1.4 TR-2014&lt;/volume&gt;&lt;section&gt;87&lt;/section&gt;&lt;dates&gt;&lt;year&gt;2014&lt;/year&gt;&lt;pub-dates&gt;&lt;date&gt;April 20, 2014&lt;/date&gt;&lt;/pub-dates&gt;&lt;/dates&gt;&lt;publisher&gt;ASA Press&lt;/publisher&gt;&lt;urls&gt;&lt;/urls&gt;&lt;/record&gt;&lt;/Cite&gt;&lt;/EndNote&gt;</w:instrText>
      </w:r>
      <w:r w:rsidRPr="00891DE1">
        <w:rPr>
          <w:sz w:val="22"/>
          <w:szCs w:val="22"/>
        </w:rPr>
        <w:fldChar w:fldCharType="separate"/>
      </w:r>
      <w:r w:rsidRPr="00891DE1">
        <w:rPr>
          <w:sz w:val="22"/>
          <w:szCs w:val="22"/>
        </w:rPr>
        <w:t>Popper et al (2014)</w:t>
      </w:r>
      <w:r w:rsidRPr="00891DE1">
        <w:rPr>
          <w:sz w:val="22"/>
          <w:szCs w:val="22"/>
        </w:rPr>
        <w:fldChar w:fldCharType="end"/>
      </w:r>
      <w:r w:rsidRPr="00891DE1">
        <w:rPr>
          <w:sz w:val="22"/>
          <w:szCs w:val="22"/>
        </w:rPr>
        <w:t xml:space="preserve"> summari</w:t>
      </w:r>
      <w:r>
        <w:rPr>
          <w:sz w:val="22"/>
          <w:szCs w:val="22"/>
        </w:rPr>
        <w:t>s</w:t>
      </w:r>
      <w:r w:rsidRPr="00891DE1">
        <w:rPr>
          <w:sz w:val="22"/>
          <w:szCs w:val="22"/>
        </w:rPr>
        <w:t>es that in all TTS studies considered, fish that showed TTS recovered to normal hearing levels within 18–24 hours. Due to this, a period of accumulation of 24 h</w:t>
      </w:r>
      <w:r>
        <w:rPr>
          <w:sz w:val="22"/>
          <w:szCs w:val="22"/>
        </w:rPr>
        <w:t>ours</w:t>
      </w:r>
      <w:r w:rsidRPr="00891DE1">
        <w:rPr>
          <w:sz w:val="22"/>
          <w:szCs w:val="22"/>
        </w:rPr>
        <w:t xml:space="preserve"> has been applied in this study for SEL, which is similar to that applied for marine mammals in </w:t>
      </w:r>
      <w:r w:rsidRPr="00891DE1">
        <w:rPr>
          <w:sz w:val="22"/>
          <w:szCs w:val="22"/>
        </w:rPr>
        <w:fldChar w:fldCharType="begin"/>
      </w:r>
      <w:r w:rsidRPr="00891DE1">
        <w:rPr>
          <w:sz w:val="22"/>
          <w:szCs w:val="22"/>
        </w:rPr>
        <w:instrText xml:space="preserve"> ADDIN EN.CITE &lt;EndNote&gt;&lt;Cite AuthorYear="1"&gt;&lt;Author&gt;Southall&lt;/Author&gt;&lt;Year&gt;2007&lt;/Year&gt;&lt;RecNum&gt;22320&lt;/RecNum&gt;&lt;DisplayText&gt;Southall et al. (2007)&lt;/DisplayText&gt;&lt;record&gt;&lt;rec-number&gt;22320&lt;/rec-number&gt;&lt;foreign-keys&gt;&lt;key app="EN" db-id="avrwfx0posesv7e0p5ixzsx0ssp0v09v222p" timestamp="1445373881"&gt;22320&lt;/key&gt;&lt;/foreign-keys&gt;&lt;ref-type name="Journal Article"&gt;17&lt;/ref-type&gt;&lt;contributors&gt;&lt;authors&gt;&lt;author&gt;Southall, B.L.&lt;/author&gt;&lt;author&gt;Bowles, A.E.&lt;/author&gt;&lt;author&gt;Ellison, W.T.&lt;/author&gt;&lt;author&gt;Finneran, J.J.&lt;/author&gt;&lt;author&gt;Gentry, R.L.&lt;/author&gt;&lt;author&gt;Greene, C.R., Jr.&lt;/author&gt;&lt;author&gt;Kastak, D.&lt;/author&gt;&lt;author&gt;Ketten, D.R.&lt;/author&gt;&lt;author&gt;Miller, J.H.&lt;/author&gt;&lt;author&gt;Nachtigall, P.E.&lt;/author&gt;&lt;author&gt;Richardson, W.J.&lt;/author&gt;&lt;author&gt;Thomas, J.A.&lt;/author&gt;&lt;author&gt;Tyack, P.L.&lt;/author&gt;&lt;/authors&gt;&lt;/contributors&gt;&lt;titles&gt;&lt;title&gt;Marine mammal noise exposure criteria: Initial scientific recommendations&lt;/title&gt;&lt;secondary-title&gt;Aquatic Mammals&lt;/secondary-title&gt;&lt;/titles&gt;&lt;periodical&gt;&lt;full-title&gt;Aquatic Mammals&lt;/full-title&gt;&lt;abbr-1&gt;Aquat Mamm&lt;/abbr-1&gt;&lt;abbr-2&gt;Aquat. Mamm.&lt;/abbr-2&gt;&lt;/periodical&gt;&lt;pages&gt;411-521&lt;/pages&gt;&lt;volume&gt;33&lt;/volume&gt;&lt;number&gt;4&lt;/number&gt;&lt;dates&gt;&lt;year&gt;2007&lt;/year&gt;&lt;/dates&gt;&lt;urls&gt;&lt;/urls&gt;&lt;/record&gt;&lt;/Cite&gt;&lt;/EndNote&gt;</w:instrText>
      </w:r>
      <w:r w:rsidRPr="00891DE1">
        <w:rPr>
          <w:sz w:val="22"/>
          <w:szCs w:val="22"/>
        </w:rPr>
        <w:fldChar w:fldCharType="separate"/>
      </w:r>
      <w:r w:rsidRPr="00891DE1">
        <w:rPr>
          <w:sz w:val="22"/>
          <w:szCs w:val="22"/>
        </w:rPr>
        <w:t>Southall et al (2007)</w:t>
      </w:r>
      <w:r w:rsidRPr="00891DE1">
        <w:rPr>
          <w:sz w:val="22"/>
          <w:szCs w:val="22"/>
        </w:rPr>
        <w:fldChar w:fldCharType="end"/>
      </w:r>
      <w:r w:rsidRPr="00891DE1">
        <w:rPr>
          <w:sz w:val="22"/>
          <w:szCs w:val="22"/>
        </w:rPr>
        <w:t xml:space="preserve"> and NMFS </w:t>
      </w:r>
      <w:r w:rsidRPr="00891DE1">
        <w:rPr>
          <w:sz w:val="22"/>
          <w:szCs w:val="22"/>
        </w:rPr>
        <w:fldChar w:fldCharType="begin"/>
      </w:r>
      <w:r w:rsidRPr="00891DE1">
        <w:rPr>
          <w:sz w:val="22"/>
          <w:szCs w:val="22"/>
        </w:rPr>
        <w:instrText xml:space="preserve"> ADDIN EN.CITE &lt;EndNote&gt;&lt;Cite ExcludeAuth="1"&gt;&lt;Author&gt;[NMFS] National Marine Fisheries Service&lt;/Author&gt;&lt;Year&gt;2016&lt;/Year&gt;&lt;RecNum&gt;23705&lt;/RecNum&gt;&lt;DisplayText&gt;(2016)&lt;/DisplayText&gt;&lt;record&gt;&lt;rec-number&gt;23705&lt;/rec-number&gt;&lt;foreign-keys&gt;&lt;key app="EN" db-id="avrwfx0posesv7e0p5ixzsx0ssp0v09v222p" timestamp="1470765598"&gt;23705&lt;/key&gt;&lt;/foreign-keys&gt;&lt;ref-type name="Government Document"&gt;46&lt;/ref-type&gt;&lt;contributors&gt;&lt;authors&gt;&lt;author&gt;[NMFS] National Marine Fisheries Service,&lt;/author&gt;&lt;/authors&gt;&lt;/contributors&gt;&lt;titles&gt;&lt;title&gt;Technical Guidance for Assessing the Effects of Anthropogenic Sound on Marine Mammal Hearing: Underwater Acoustic Thresholds for Onset of Permanent and Temporary Threshold Shifts&lt;/title&gt;&lt;/titles&gt;&lt;pages&gt;178&lt;/pages&gt;&lt;dates&gt;&lt;year&gt;2016&lt;/year&gt;&lt;/dates&gt;&lt;publisher&gt;U.S. Department of Commerce, NOAA. NOAA Technical Memorandum NMFS-OPR-55&lt;/publisher&gt;&lt;urls&gt;&lt;related-urls&gt;&lt;url&gt;http://www.nmfs.noaa.gov/pr/acoustics/Acoustic%20Guidance%20Files/opr-55_acoustic_guidance_tech_memo.pdf&lt;/url&gt;&lt;/related-urls&gt;&lt;/urls&gt;&lt;/record&gt;&lt;/Cite&gt;&lt;/EndNote&gt;</w:instrText>
      </w:r>
      <w:r w:rsidRPr="00891DE1">
        <w:rPr>
          <w:sz w:val="22"/>
          <w:szCs w:val="22"/>
        </w:rPr>
        <w:fldChar w:fldCharType="separate"/>
      </w:r>
      <w:r w:rsidRPr="00891DE1">
        <w:rPr>
          <w:sz w:val="22"/>
          <w:szCs w:val="22"/>
        </w:rPr>
        <w:t>(2016)</w:t>
      </w:r>
      <w:r w:rsidRPr="00891DE1">
        <w:rPr>
          <w:sz w:val="22"/>
          <w:szCs w:val="22"/>
        </w:rPr>
        <w:fldChar w:fldCharType="end"/>
      </w:r>
      <w:r w:rsidRPr="00891DE1">
        <w:rPr>
          <w:sz w:val="22"/>
          <w:szCs w:val="22"/>
        </w:rPr>
        <w:t>.</w:t>
      </w:r>
    </w:p>
    <w:p w14:paraId="78A8603F" w14:textId="77777777" w:rsidR="00363C4E" w:rsidRDefault="00363C4E" w:rsidP="00891DE1">
      <w:pPr>
        <w:ind w:left="0"/>
        <w:rPr>
          <w:sz w:val="22"/>
          <w:szCs w:val="22"/>
        </w:rPr>
      </w:pPr>
    </w:p>
    <w:p w14:paraId="6E815309" w14:textId="77777777" w:rsidR="00363C4E" w:rsidRPr="00C54681" w:rsidRDefault="00363C4E" w:rsidP="00363C4E">
      <w:pPr>
        <w:ind w:left="0"/>
        <w:rPr>
          <w:rFonts w:cs="Arial"/>
          <w:sz w:val="22"/>
          <w:szCs w:val="22"/>
        </w:rPr>
      </w:pPr>
      <w:r>
        <w:rPr>
          <w:sz w:val="22"/>
          <w:szCs w:val="22"/>
        </w:rPr>
        <w:t>The criteria is a dual critieria, with the largest distance resulting from either SEL or PK being required to be applied.</w:t>
      </w:r>
    </w:p>
    <w:p w14:paraId="131E6CF9" w14:textId="77777777" w:rsidR="00363C4E" w:rsidRDefault="00363C4E" w:rsidP="00462167">
      <w:pPr>
        <w:ind w:left="0"/>
        <w:rPr>
          <w:sz w:val="22"/>
          <w:szCs w:val="22"/>
        </w:rPr>
      </w:pPr>
    </w:p>
    <w:p w14:paraId="46B08071" w14:textId="77777777" w:rsidR="0067051D" w:rsidRDefault="0067051D" w:rsidP="00462167">
      <w:pPr>
        <w:ind w:left="0"/>
        <w:rPr>
          <w:sz w:val="22"/>
          <w:szCs w:val="22"/>
        </w:rPr>
      </w:pPr>
    </w:p>
    <w:p w14:paraId="10DCAD01" w14:textId="4BA1D920" w:rsidR="0025511A" w:rsidRDefault="0025511A" w:rsidP="00462167">
      <w:pPr>
        <w:ind w:left="0"/>
        <w:rPr>
          <w:rFonts w:cs="Arial"/>
          <w:sz w:val="22"/>
          <w:szCs w:val="22"/>
        </w:rPr>
        <w:sectPr w:rsidR="0025511A" w:rsidSect="00B03966">
          <w:headerReference w:type="default" r:id="rId253"/>
          <w:footerReference w:type="default" r:id="rId254"/>
          <w:pgSz w:w="11906" w:h="16838" w:code="9"/>
          <w:pgMar w:top="840" w:right="1800" w:bottom="1440" w:left="1800" w:header="994" w:footer="706" w:gutter="0"/>
          <w:cols w:space="708"/>
          <w:docGrid w:linePitch="360"/>
        </w:sectPr>
      </w:pP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4142"/>
      </w:tblGrid>
      <w:tr w:rsidR="00281FB4" w14:paraId="7E391C17" w14:textId="77777777" w:rsidTr="0025511A">
        <w:tc>
          <w:tcPr>
            <w:tcW w:w="14142" w:type="dxa"/>
            <w:shd w:val="clear" w:color="auto" w:fill="auto"/>
          </w:tcPr>
          <w:p w14:paraId="32EB0C06" w14:textId="5CBE9FBB" w:rsidR="00B503E4" w:rsidRPr="0025511A" w:rsidRDefault="0049030C" w:rsidP="0025511A">
            <w:pPr>
              <w:ind w:left="0"/>
              <w:jc w:val="center"/>
              <w:rPr>
                <w:noProof/>
              </w:rPr>
            </w:pPr>
            <w:r>
              <w:rPr>
                <w:noProof/>
              </w:rPr>
              <w:lastRenderedPageBreak/>
              <w:drawing>
                <wp:inline distT="0" distB="0" distL="0" distR="0" wp14:anchorId="6B65EB2F" wp14:editId="3FFC4BDB">
                  <wp:extent cx="6724650" cy="4329571"/>
                  <wp:effectExtent l="0" t="0" r="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5" cstate="screen">
                            <a:extLst>
                              <a:ext uri="{28A0092B-C50C-407E-A947-70E740481C1C}">
                                <a14:useLocalDpi xmlns:a14="http://schemas.microsoft.com/office/drawing/2010/main"/>
                              </a:ext>
                            </a:extLst>
                          </a:blip>
                          <a:srcRect/>
                          <a:stretch/>
                        </pic:blipFill>
                        <pic:spPr bwMode="auto">
                          <a:xfrm>
                            <a:off x="0" y="0"/>
                            <a:ext cx="6730843" cy="4333559"/>
                          </a:xfrm>
                          <a:prstGeom prst="rect">
                            <a:avLst/>
                          </a:prstGeom>
                          <a:ln>
                            <a:noFill/>
                          </a:ln>
                          <a:extLst>
                            <a:ext uri="{53640926-AAD7-44D8-BBD7-CCE9431645EC}">
                              <a14:shadowObscured xmlns:a14="http://schemas.microsoft.com/office/drawing/2010/main"/>
                            </a:ext>
                          </a:extLst>
                        </pic:spPr>
                      </pic:pic>
                    </a:graphicData>
                  </a:graphic>
                </wp:inline>
              </w:drawing>
            </w:r>
          </w:p>
        </w:tc>
      </w:tr>
      <w:tr w:rsidR="00281FB4" w14:paraId="332D8EA2" w14:textId="77777777" w:rsidTr="0025511A">
        <w:tc>
          <w:tcPr>
            <w:tcW w:w="14142" w:type="dxa"/>
            <w:shd w:val="clear" w:color="auto" w:fill="auto"/>
          </w:tcPr>
          <w:p w14:paraId="6FF79D5B" w14:textId="77777777" w:rsidR="00281FB4" w:rsidRPr="00514376" w:rsidRDefault="00281FB4" w:rsidP="00514376">
            <w:pPr>
              <w:autoSpaceDE w:val="0"/>
              <w:autoSpaceDN w:val="0"/>
              <w:adjustRightInd w:val="0"/>
              <w:spacing w:line="240" w:lineRule="auto"/>
              <w:ind w:left="0"/>
              <w:rPr>
                <w:rFonts w:ascii="Tahoma" w:hAnsi="Tahoma" w:cs="Arial"/>
                <w:sz w:val="18"/>
                <w:szCs w:val="18"/>
              </w:rPr>
            </w:pPr>
            <w:r w:rsidRPr="00514376">
              <w:rPr>
                <w:rFonts w:ascii="Tahoma" w:hAnsi="Tahoma" w:cs="Arial"/>
                <w:sz w:val="18"/>
                <w:szCs w:val="18"/>
              </w:rPr>
              <w:t>Impacts are classified according to the sound exposure treatments as:</w:t>
            </w:r>
          </w:p>
          <w:p w14:paraId="095CA7C5" w14:textId="77777777" w:rsidR="00281FB4" w:rsidRPr="00281FB4" w:rsidRDefault="00281FB4" w:rsidP="00567567">
            <w:pPr>
              <w:pStyle w:val="ColorfulList-Accent11"/>
              <w:numPr>
                <w:ilvl w:val="0"/>
                <w:numId w:val="162"/>
              </w:numPr>
              <w:autoSpaceDE w:val="0"/>
              <w:autoSpaceDN w:val="0"/>
              <w:adjustRightInd w:val="0"/>
              <w:spacing w:line="240" w:lineRule="auto"/>
              <w:rPr>
                <w:noProof/>
              </w:rPr>
            </w:pPr>
            <w:r w:rsidRPr="00514376">
              <w:rPr>
                <w:rFonts w:ascii="Tahoma" w:hAnsi="Tahoma" w:cs="Arial"/>
                <w:sz w:val="18"/>
                <w:szCs w:val="18"/>
              </w:rPr>
              <w:t>Realistic (i.e., short bursts of low frequency sound at a distance of &lt;1–2  m); or</w:t>
            </w:r>
          </w:p>
          <w:p w14:paraId="429CDFD9" w14:textId="77777777" w:rsidR="00281FB4" w:rsidRPr="00281FB4" w:rsidRDefault="00281FB4" w:rsidP="0025511A">
            <w:pPr>
              <w:pStyle w:val="ColorfulList-Accent11"/>
              <w:numPr>
                <w:ilvl w:val="0"/>
                <w:numId w:val="162"/>
              </w:numPr>
              <w:autoSpaceDE w:val="0"/>
              <w:autoSpaceDN w:val="0"/>
              <w:adjustRightInd w:val="0"/>
              <w:spacing w:after="120" w:line="240" w:lineRule="auto"/>
              <w:rPr>
                <w:noProof/>
              </w:rPr>
            </w:pPr>
            <w:r w:rsidRPr="00514376">
              <w:rPr>
                <w:rFonts w:ascii="Tahoma" w:hAnsi="Tahoma" w:cs="Arial"/>
                <w:sz w:val="18"/>
                <w:szCs w:val="18"/>
              </w:rPr>
              <w:t xml:space="preserve">Unknown/unrealistic (i.e., long duration and/or short distance of &lt;2 m to sound source, nearfield sound exposure in aquaria). </w:t>
            </w:r>
          </w:p>
          <w:p w14:paraId="174452EA" w14:textId="77777777" w:rsidR="00281FB4" w:rsidRDefault="00281FB4" w:rsidP="00514376">
            <w:pPr>
              <w:autoSpaceDE w:val="0"/>
              <w:autoSpaceDN w:val="0"/>
              <w:adjustRightInd w:val="0"/>
              <w:spacing w:line="240" w:lineRule="auto"/>
              <w:ind w:left="0"/>
              <w:rPr>
                <w:noProof/>
              </w:rPr>
            </w:pPr>
            <w:r w:rsidRPr="00514376">
              <w:rPr>
                <w:rFonts w:ascii="Tahoma" w:hAnsi="Tahoma" w:cs="Arial"/>
                <w:sz w:val="18"/>
                <w:szCs w:val="18"/>
              </w:rPr>
              <w:t>There are significant differences between seismic studies regarding sound exposure and the environment in which studies were conducted.</w:t>
            </w:r>
          </w:p>
        </w:tc>
      </w:tr>
    </w:tbl>
    <w:p w14:paraId="75C5BC75" w14:textId="77777777" w:rsidR="00281FB4" w:rsidRPr="00505A03" w:rsidRDefault="00281FB4" w:rsidP="00584AEB">
      <w:pPr>
        <w:spacing w:before="40" w:after="60" w:line="240" w:lineRule="auto"/>
        <w:ind w:left="0"/>
        <w:rPr>
          <w:rFonts w:cs="Arial"/>
          <w:i/>
          <w:sz w:val="16"/>
          <w:szCs w:val="16"/>
          <w:lang w:val="fr-FR"/>
        </w:rPr>
      </w:pPr>
      <w:r w:rsidRPr="00505A03">
        <w:rPr>
          <w:rFonts w:cs="Arial"/>
          <w:i/>
          <w:sz w:val="16"/>
          <w:szCs w:val="16"/>
          <w:lang w:val="fr-FR"/>
        </w:rPr>
        <w:t>Source: Carroll et al (2017).</w:t>
      </w:r>
    </w:p>
    <w:p w14:paraId="342E8481" w14:textId="79DCE931" w:rsidR="00281FB4" w:rsidRDefault="00281FB4" w:rsidP="0025511A">
      <w:pPr>
        <w:ind w:left="0"/>
        <w:jc w:val="center"/>
        <w:rPr>
          <w:rFonts w:ascii="Tahoma" w:hAnsi="Tahoma" w:cs="Arial"/>
          <w:szCs w:val="20"/>
        </w:rPr>
      </w:pPr>
      <w:r w:rsidRPr="00505A03">
        <w:rPr>
          <w:rFonts w:cs="Arial"/>
          <w:b/>
          <w:sz w:val="20"/>
          <w:szCs w:val="20"/>
          <w:lang w:val="fr-FR"/>
        </w:rPr>
        <w:t>Figure 7.</w:t>
      </w:r>
      <w:r w:rsidR="0025511A" w:rsidRPr="00505A03">
        <w:rPr>
          <w:rFonts w:cs="Arial"/>
          <w:b/>
          <w:sz w:val="20"/>
          <w:szCs w:val="20"/>
          <w:lang w:val="fr-FR"/>
        </w:rPr>
        <w:t>5</w:t>
      </w:r>
      <w:r w:rsidRPr="00505A03">
        <w:rPr>
          <w:rFonts w:cs="Arial"/>
          <w:b/>
          <w:sz w:val="20"/>
          <w:szCs w:val="20"/>
          <w:lang w:val="fr-FR"/>
        </w:rPr>
        <w:t>.</w:t>
      </w:r>
      <w:r w:rsidRPr="00505A03">
        <w:rPr>
          <w:rFonts w:cs="Arial"/>
          <w:b/>
          <w:sz w:val="20"/>
          <w:szCs w:val="20"/>
          <w:lang w:val="fr-FR"/>
        </w:rPr>
        <w:tab/>
      </w:r>
      <w:r w:rsidRPr="00584AEB">
        <w:rPr>
          <w:rFonts w:cs="Arial"/>
          <w:b/>
          <w:sz w:val="20"/>
          <w:szCs w:val="20"/>
        </w:rPr>
        <w:t xml:space="preserve">Summary of potential impacts of low-frequency seismic sound on </w:t>
      </w:r>
      <w:r w:rsidR="00B503E4">
        <w:rPr>
          <w:rFonts w:cs="Arial"/>
          <w:b/>
          <w:sz w:val="20"/>
          <w:szCs w:val="20"/>
        </w:rPr>
        <w:t xml:space="preserve">marine </w:t>
      </w:r>
      <w:r w:rsidRPr="00584AEB">
        <w:rPr>
          <w:rFonts w:cs="Arial"/>
          <w:b/>
          <w:sz w:val="20"/>
          <w:szCs w:val="20"/>
        </w:rPr>
        <w:t>fish</w:t>
      </w:r>
    </w:p>
    <w:p w14:paraId="0432016F" w14:textId="77777777" w:rsidR="0025511A" w:rsidRDefault="0025511A" w:rsidP="00093B6D">
      <w:pPr>
        <w:ind w:left="0"/>
        <w:rPr>
          <w:rFonts w:cs="Arial"/>
          <w:sz w:val="22"/>
          <w:szCs w:val="22"/>
        </w:rPr>
        <w:sectPr w:rsidR="0025511A" w:rsidSect="0025511A">
          <w:footerReference w:type="default" r:id="rId256"/>
          <w:pgSz w:w="16838" w:h="11906" w:orient="landscape" w:code="9"/>
          <w:pgMar w:top="1418" w:right="840" w:bottom="1800" w:left="1440" w:header="994" w:footer="706" w:gutter="0"/>
          <w:cols w:space="708"/>
          <w:docGrid w:linePitch="360"/>
        </w:sectPr>
      </w:pPr>
    </w:p>
    <w:p w14:paraId="24698C8F" w14:textId="77777777" w:rsidR="00882DB0" w:rsidRPr="003F25B6" w:rsidRDefault="00882DB0" w:rsidP="00882DB0">
      <w:pPr>
        <w:spacing w:after="120" w:line="240" w:lineRule="auto"/>
        <w:ind w:left="0"/>
        <w:rPr>
          <w:rFonts w:cs="Arial"/>
          <w:sz w:val="22"/>
          <w:szCs w:val="22"/>
          <w:u w:val="single"/>
        </w:rPr>
      </w:pPr>
      <w:r w:rsidRPr="003F25B6">
        <w:rPr>
          <w:rFonts w:cs="Arial"/>
          <w:sz w:val="22"/>
          <w:szCs w:val="22"/>
          <w:u w:val="single"/>
        </w:rPr>
        <w:lastRenderedPageBreak/>
        <w:t>STLM results</w:t>
      </w:r>
    </w:p>
    <w:p w14:paraId="6325B9EC" w14:textId="1802AB2B" w:rsidR="009B6305" w:rsidRDefault="00882DB0" w:rsidP="00882DB0">
      <w:pPr>
        <w:ind w:left="0"/>
        <w:rPr>
          <w:rFonts w:ascii="Tahoma" w:hAnsi="Tahoma" w:cs="Arial"/>
          <w:szCs w:val="20"/>
        </w:rPr>
      </w:pPr>
      <w:r w:rsidRPr="00EF4E2A">
        <w:rPr>
          <w:sz w:val="22"/>
          <w:szCs w:val="22"/>
        </w:rPr>
        <w:t>Table 7.</w:t>
      </w:r>
      <w:r w:rsidR="00363C4E" w:rsidRPr="00EF4E2A">
        <w:rPr>
          <w:sz w:val="22"/>
          <w:szCs w:val="22"/>
        </w:rPr>
        <w:t>9</w:t>
      </w:r>
      <w:r w:rsidRPr="00363C4E">
        <w:rPr>
          <w:color w:val="FF0000"/>
          <w:sz w:val="22"/>
          <w:szCs w:val="22"/>
        </w:rPr>
        <w:t xml:space="preserve"> </w:t>
      </w:r>
      <w:r w:rsidRPr="003162FF">
        <w:rPr>
          <w:sz w:val="22"/>
          <w:szCs w:val="22"/>
        </w:rPr>
        <w:t>presents</w:t>
      </w:r>
      <w:r>
        <w:rPr>
          <w:sz w:val="22"/>
          <w:szCs w:val="22"/>
        </w:rPr>
        <w:t xml:space="preserve"> the STLM predicted ranges for the per-pulse effects criteria and isopleths of interest for fish. </w:t>
      </w:r>
    </w:p>
    <w:p w14:paraId="395A6F1F" w14:textId="77777777" w:rsidR="009B6305" w:rsidRDefault="009B6305" w:rsidP="00882DB0">
      <w:pPr>
        <w:ind w:left="0"/>
        <w:rPr>
          <w:rFonts w:ascii="Tahoma" w:hAnsi="Tahoma" w:cs="Arial"/>
          <w:szCs w:val="20"/>
        </w:rPr>
      </w:pPr>
    </w:p>
    <w:p w14:paraId="7034C22E" w14:textId="396D491E" w:rsidR="00882DB0" w:rsidRPr="006E2F1B" w:rsidRDefault="00882DB0" w:rsidP="00882DB0">
      <w:pPr>
        <w:spacing w:after="120" w:line="240" w:lineRule="auto"/>
        <w:ind w:left="0"/>
        <w:jc w:val="center"/>
        <w:rPr>
          <w:rFonts w:cs="Arial"/>
          <w:b/>
          <w:sz w:val="20"/>
          <w:szCs w:val="20"/>
          <w:specVanish/>
        </w:rPr>
      </w:pPr>
      <w:r>
        <w:rPr>
          <w:rFonts w:cs="Arial"/>
          <w:b/>
          <w:sz w:val="20"/>
          <w:szCs w:val="20"/>
        </w:rPr>
        <w:t>Table 7.</w:t>
      </w:r>
      <w:r w:rsidR="00363C4E">
        <w:rPr>
          <w:rFonts w:cs="Arial"/>
          <w:b/>
          <w:sz w:val="20"/>
          <w:szCs w:val="20"/>
        </w:rPr>
        <w:t>9</w:t>
      </w:r>
      <w:r>
        <w:rPr>
          <w:rFonts w:cs="Arial"/>
          <w:b/>
          <w:sz w:val="20"/>
          <w:szCs w:val="20"/>
        </w:rPr>
        <w:t>.</w:t>
      </w:r>
      <w:r>
        <w:rPr>
          <w:rFonts w:cs="Arial"/>
          <w:b/>
          <w:sz w:val="20"/>
          <w:szCs w:val="20"/>
        </w:rPr>
        <w:tab/>
      </w:r>
      <w:r w:rsidRPr="006E2F1B">
        <w:rPr>
          <w:rFonts w:cs="Arial"/>
          <w:b/>
          <w:sz w:val="20"/>
          <w:szCs w:val="20"/>
        </w:rPr>
        <w:t>Maximum (R</w:t>
      </w:r>
      <w:r w:rsidRPr="006E2F1B">
        <w:rPr>
          <w:rFonts w:cs="Arial"/>
          <w:b/>
          <w:sz w:val="20"/>
          <w:szCs w:val="20"/>
          <w:vertAlign w:val="subscript"/>
        </w:rPr>
        <w:t>max</w:t>
      </w:r>
      <w:r w:rsidRPr="006E2F1B">
        <w:rPr>
          <w:rFonts w:cs="Arial"/>
          <w:b/>
          <w:sz w:val="20"/>
          <w:szCs w:val="20"/>
        </w:rPr>
        <w:t xml:space="preserve">) horizontal distances from the </w:t>
      </w:r>
      <w:r>
        <w:rPr>
          <w:rFonts w:cs="Arial"/>
          <w:b/>
          <w:sz w:val="20"/>
          <w:szCs w:val="20"/>
        </w:rPr>
        <w:t>source</w:t>
      </w:r>
      <w:r w:rsidRPr="006E2F1B">
        <w:rPr>
          <w:rFonts w:cs="Arial"/>
          <w:b/>
          <w:sz w:val="20"/>
          <w:szCs w:val="20"/>
        </w:rPr>
        <w:t xml:space="preserve"> array to modelled seafloor PK levels from four transects</w:t>
      </w:r>
      <w:r w:rsidR="00852795">
        <w:rPr>
          <w:rFonts w:cs="Arial"/>
          <w:b/>
          <w:sz w:val="20"/>
          <w:szCs w:val="20"/>
        </w:rPr>
        <w:t xml:space="preserve"> for fish</w:t>
      </w:r>
    </w:p>
    <w:tbl>
      <w:tblPr>
        <w:tblStyle w:val="TableGrid"/>
        <w:tblW w:w="8331" w:type="dxa"/>
        <w:tblLook w:val="04A0" w:firstRow="1" w:lastRow="0" w:firstColumn="1" w:lastColumn="0" w:noHBand="0" w:noVBand="1"/>
      </w:tblPr>
      <w:tblGrid>
        <w:gridCol w:w="959"/>
        <w:gridCol w:w="2126"/>
        <w:gridCol w:w="992"/>
        <w:gridCol w:w="993"/>
        <w:gridCol w:w="1134"/>
        <w:gridCol w:w="992"/>
        <w:gridCol w:w="1135"/>
      </w:tblGrid>
      <w:tr w:rsidR="00882DB0" w14:paraId="14F3B439" w14:textId="77777777" w:rsidTr="00F94F9A">
        <w:tc>
          <w:tcPr>
            <w:tcW w:w="959" w:type="dxa"/>
            <w:vMerge w:val="restart"/>
            <w:shd w:val="clear" w:color="auto" w:fill="064EA8"/>
          </w:tcPr>
          <w:p w14:paraId="330A4B0F" w14:textId="4C098693" w:rsidR="00882DB0" w:rsidRPr="000362BD" w:rsidRDefault="000362BD" w:rsidP="000362BD">
            <w:pPr>
              <w:spacing w:before="60" w:after="60" w:line="240" w:lineRule="auto"/>
              <w:ind w:left="0"/>
              <w:rPr>
                <w:rFonts w:cs="Arial"/>
                <w:color w:val="FFFFFF" w:themeColor="background1"/>
                <w:sz w:val="20"/>
                <w:szCs w:val="20"/>
              </w:rPr>
            </w:pPr>
            <w:r w:rsidRPr="000362BD">
              <w:rPr>
                <w:rFonts w:cs="Arial"/>
                <w:color w:val="FFFFFF" w:themeColor="background1"/>
                <w:sz w:val="20"/>
                <w:szCs w:val="20"/>
              </w:rPr>
              <w:t>Type of fish</w:t>
            </w:r>
          </w:p>
        </w:tc>
        <w:tc>
          <w:tcPr>
            <w:tcW w:w="2126" w:type="dxa"/>
            <w:vMerge w:val="restart"/>
            <w:shd w:val="clear" w:color="auto" w:fill="064EA8"/>
          </w:tcPr>
          <w:p w14:paraId="2CEE4B1A" w14:textId="77777777" w:rsidR="00882DB0" w:rsidRPr="009E683A" w:rsidRDefault="00882DB0" w:rsidP="00882DB0">
            <w:pPr>
              <w:spacing w:before="60" w:after="60"/>
              <w:ind w:left="0"/>
              <w:jc w:val="center"/>
              <w:rPr>
                <w:rFonts w:cs="Arial"/>
                <w:color w:val="FFFFFF" w:themeColor="background1"/>
                <w:sz w:val="20"/>
                <w:szCs w:val="20"/>
              </w:rPr>
            </w:pPr>
            <w:r w:rsidRPr="005723CF">
              <w:rPr>
                <w:color w:val="FFFFFF" w:themeColor="background1"/>
                <w:sz w:val="20"/>
                <w:szCs w:val="20"/>
              </w:rPr>
              <w:t xml:space="preserve">Peak pressure level </w:t>
            </w:r>
            <w:r>
              <w:rPr>
                <w:color w:val="FFFFFF" w:themeColor="background1"/>
                <w:sz w:val="20"/>
                <w:szCs w:val="20"/>
              </w:rPr>
              <w:br/>
            </w:r>
            <w:r w:rsidRPr="005723CF">
              <w:rPr>
                <w:color w:val="FFFFFF" w:themeColor="background1"/>
                <w:sz w:val="20"/>
                <w:szCs w:val="20"/>
              </w:rPr>
              <w:t>(dB re 1 μPa @ 1 m)</w:t>
            </w:r>
          </w:p>
        </w:tc>
        <w:tc>
          <w:tcPr>
            <w:tcW w:w="5246" w:type="dxa"/>
            <w:gridSpan w:val="5"/>
            <w:shd w:val="clear" w:color="auto" w:fill="064EA8"/>
          </w:tcPr>
          <w:p w14:paraId="4CC3F751" w14:textId="77777777" w:rsidR="00882DB0" w:rsidRPr="009E683A" w:rsidRDefault="00882DB0" w:rsidP="00882DB0">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Distance R</w:t>
            </w:r>
            <w:r>
              <w:rPr>
                <w:rFonts w:cs="Arial"/>
                <w:color w:val="FFFFFF" w:themeColor="background1"/>
                <w:sz w:val="20"/>
                <w:szCs w:val="20"/>
                <w:vertAlign w:val="subscript"/>
              </w:rPr>
              <w:t>max</w:t>
            </w:r>
            <w:r w:rsidRPr="009E683A">
              <w:rPr>
                <w:rFonts w:cs="Arial"/>
                <w:color w:val="FFFFFF" w:themeColor="background1"/>
                <w:sz w:val="20"/>
                <w:szCs w:val="20"/>
              </w:rPr>
              <w:t xml:space="preserve"> (m)</w:t>
            </w:r>
          </w:p>
        </w:tc>
      </w:tr>
      <w:tr w:rsidR="00F94F9A" w14:paraId="66D96DFA" w14:textId="77777777" w:rsidTr="00F94F9A">
        <w:tc>
          <w:tcPr>
            <w:tcW w:w="959" w:type="dxa"/>
            <w:vMerge/>
            <w:shd w:val="clear" w:color="auto" w:fill="064EA8"/>
          </w:tcPr>
          <w:p w14:paraId="6455A15B" w14:textId="77777777" w:rsidR="00882DB0" w:rsidRPr="005723CF" w:rsidRDefault="00882DB0" w:rsidP="00882DB0">
            <w:pPr>
              <w:spacing w:before="60" w:after="60" w:line="240" w:lineRule="auto"/>
              <w:ind w:left="0"/>
              <w:rPr>
                <w:color w:val="FFFFFF" w:themeColor="background1"/>
                <w:sz w:val="20"/>
                <w:szCs w:val="20"/>
              </w:rPr>
            </w:pPr>
          </w:p>
        </w:tc>
        <w:tc>
          <w:tcPr>
            <w:tcW w:w="2126" w:type="dxa"/>
            <w:vMerge/>
            <w:shd w:val="clear" w:color="auto" w:fill="064EA8"/>
          </w:tcPr>
          <w:p w14:paraId="441C182B" w14:textId="77777777" w:rsidR="00882DB0" w:rsidRPr="009E683A" w:rsidRDefault="00882DB0" w:rsidP="00882DB0">
            <w:pPr>
              <w:spacing w:before="60" w:after="60" w:line="240" w:lineRule="auto"/>
              <w:ind w:left="0"/>
              <w:jc w:val="center"/>
              <w:rPr>
                <w:rFonts w:cs="Arial"/>
                <w:color w:val="FFFFFF" w:themeColor="background1"/>
                <w:sz w:val="20"/>
                <w:szCs w:val="20"/>
              </w:rPr>
            </w:pPr>
          </w:p>
        </w:tc>
        <w:tc>
          <w:tcPr>
            <w:tcW w:w="992" w:type="dxa"/>
            <w:shd w:val="clear" w:color="auto" w:fill="064EA8"/>
          </w:tcPr>
          <w:p w14:paraId="04D809FC" w14:textId="77777777" w:rsidR="00882DB0" w:rsidRPr="009E683A" w:rsidRDefault="00882DB0" w:rsidP="00882DB0">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1</w:t>
            </w:r>
          </w:p>
        </w:tc>
        <w:tc>
          <w:tcPr>
            <w:tcW w:w="993" w:type="dxa"/>
            <w:shd w:val="clear" w:color="auto" w:fill="064EA8"/>
          </w:tcPr>
          <w:p w14:paraId="6F03AC49" w14:textId="77777777" w:rsidR="00882DB0" w:rsidRPr="009E683A" w:rsidRDefault="00882DB0" w:rsidP="00882DB0">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2</w:t>
            </w:r>
          </w:p>
        </w:tc>
        <w:tc>
          <w:tcPr>
            <w:tcW w:w="1134" w:type="dxa"/>
            <w:shd w:val="clear" w:color="auto" w:fill="064EA8"/>
          </w:tcPr>
          <w:p w14:paraId="7AF55F02" w14:textId="77777777" w:rsidR="00882DB0" w:rsidRPr="009E683A" w:rsidRDefault="00882DB0" w:rsidP="00882DB0">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3</w:t>
            </w:r>
          </w:p>
        </w:tc>
        <w:tc>
          <w:tcPr>
            <w:tcW w:w="992" w:type="dxa"/>
            <w:shd w:val="clear" w:color="auto" w:fill="064EA8"/>
          </w:tcPr>
          <w:p w14:paraId="324ABE8C" w14:textId="77777777" w:rsidR="00882DB0" w:rsidRPr="009E683A" w:rsidRDefault="00882DB0" w:rsidP="00882DB0">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4</w:t>
            </w:r>
          </w:p>
        </w:tc>
        <w:tc>
          <w:tcPr>
            <w:tcW w:w="1135" w:type="dxa"/>
            <w:shd w:val="clear" w:color="auto" w:fill="064EA8"/>
          </w:tcPr>
          <w:p w14:paraId="787CCD35" w14:textId="77777777" w:rsidR="00882DB0" w:rsidRPr="009E683A" w:rsidRDefault="00882DB0" w:rsidP="00882DB0">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5</w:t>
            </w:r>
          </w:p>
        </w:tc>
      </w:tr>
      <w:tr w:rsidR="00F94F9A" w14:paraId="3AF84BD8" w14:textId="77777777" w:rsidTr="0025511A">
        <w:tc>
          <w:tcPr>
            <w:tcW w:w="959" w:type="dxa"/>
          </w:tcPr>
          <w:p w14:paraId="43C35E61" w14:textId="56F68EB0" w:rsidR="000362BD" w:rsidRDefault="00F94F9A" w:rsidP="000362BD">
            <w:pPr>
              <w:spacing w:before="60" w:after="60" w:line="240" w:lineRule="auto"/>
              <w:ind w:left="0"/>
              <w:rPr>
                <w:rFonts w:cs="Arial"/>
                <w:sz w:val="20"/>
                <w:szCs w:val="20"/>
              </w:rPr>
            </w:pPr>
            <w:r>
              <w:rPr>
                <w:rFonts w:cs="Arial"/>
                <w:sz w:val="20"/>
                <w:szCs w:val="20"/>
              </w:rPr>
              <w:t>I</w:t>
            </w:r>
          </w:p>
        </w:tc>
        <w:tc>
          <w:tcPr>
            <w:tcW w:w="2126" w:type="dxa"/>
            <w:vAlign w:val="center"/>
          </w:tcPr>
          <w:p w14:paraId="390879DE" w14:textId="21E13B57" w:rsidR="000362BD" w:rsidRDefault="00393F7B" w:rsidP="00882DB0">
            <w:pPr>
              <w:spacing w:before="60" w:after="60" w:line="240" w:lineRule="auto"/>
              <w:ind w:left="0"/>
              <w:jc w:val="center"/>
              <w:rPr>
                <w:rFonts w:cs="Arial"/>
                <w:sz w:val="20"/>
                <w:szCs w:val="20"/>
              </w:rPr>
            </w:pPr>
            <w:r>
              <w:rPr>
                <w:rFonts w:cs="Arial"/>
                <w:sz w:val="20"/>
                <w:szCs w:val="20"/>
              </w:rPr>
              <w:t>213</w:t>
            </w:r>
          </w:p>
        </w:tc>
        <w:tc>
          <w:tcPr>
            <w:tcW w:w="992" w:type="dxa"/>
            <w:vAlign w:val="center"/>
          </w:tcPr>
          <w:p w14:paraId="15381032" w14:textId="637B39FA" w:rsidR="000362BD" w:rsidRPr="009E683A" w:rsidRDefault="009D6E8C" w:rsidP="00393F7B">
            <w:pPr>
              <w:spacing w:before="60" w:after="60" w:line="240" w:lineRule="auto"/>
              <w:ind w:left="0"/>
              <w:jc w:val="center"/>
              <w:rPr>
                <w:rFonts w:cs="Arial"/>
                <w:sz w:val="20"/>
                <w:szCs w:val="20"/>
              </w:rPr>
            </w:pPr>
            <w:r>
              <w:rPr>
                <w:rFonts w:cs="Arial"/>
                <w:sz w:val="20"/>
                <w:szCs w:val="20"/>
              </w:rPr>
              <w:t>80</w:t>
            </w:r>
          </w:p>
        </w:tc>
        <w:tc>
          <w:tcPr>
            <w:tcW w:w="993" w:type="dxa"/>
            <w:vAlign w:val="center"/>
          </w:tcPr>
          <w:p w14:paraId="22D1F9C6" w14:textId="2CF8800A" w:rsidR="000362BD" w:rsidRPr="009E683A" w:rsidRDefault="009D6E8C" w:rsidP="00393F7B">
            <w:pPr>
              <w:spacing w:before="60" w:after="60" w:line="240" w:lineRule="auto"/>
              <w:ind w:left="0"/>
              <w:jc w:val="center"/>
              <w:rPr>
                <w:rFonts w:cs="Arial"/>
                <w:sz w:val="20"/>
                <w:szCs w:val="20"/>
              </w:rPr>
            </w:pPr>
            <w:r>
              <w:rPr>
                <w:rFonts w:cs="Arial"/>
                <w:sz w:val="20"/>
                <w:szCs w:val="20"/>
              </w:rPr>
              <w:t>105</w:t>
            </w:r>
          </w:p>
        </w:tc>
        <w:tc>
          <w:tcPr>
            <w:tcW w:w="1134" w:type="dxa"/>
            <w:vAlign w:val="center"/>
          </w:tcPr>
          <w:p w14:paraId="6C67EFD4" w14:textId="551C6B2D" w:rsidR="000362BD" w:rsidRPr="009E683A" w:rsidRDefault="009D6E8C" w:rsidP="00393F7B">
            <w:pPr>
              <w:spacing w:before="60" w:after="60" w:line="240" w:lineRule="auto"/>
              <w:ind w:left="0"/>
              <w:jc w:val="center"/>
              <w:rPr>
                <w:rFonts w:cs="Arial"/>
                <w:sz w:val="20"/>
                <w:szCs w:val="20"/>
              </w:rPr>
            </w:pPr>
            <w:r>
              <w:rPr>
                <w:rFonts w:cs="Arial"/>
                <w:sz w:val="20"/>
                <w:szCs w:val="20"/>
              </w:rPr>
              <w:t>100</w:t>
            </w:r>
          </w:p>
        </w:tc>
        <w:tc>
          <w:tcPr>
            <w:tcW w:w="992" w:type="dxa"/>
            <w:shd w:val="clear" w:color="auto" w:fill="FF0000"/>
            <w:vAlign w:val="center"/>
          </w:tcPr>
          <w:p w14:paraId="6A687C1E" w14:textId="72096300" w:rsidR="000362BD" w:rsidRPr="009E683A" w:rsidRDefault="009D6E8C" w:rsidP="00393F7B">
            <w:pPr>
              <w:spacing w:before="60" w:after="60" w:line="240" w:lineRule="auto"/>
              <w:ind w:left="0"/>
              <w:jc w:val="center"/>
              <w:rPr>
                <w:rFonts w:cs="Arial"/>
                <w:sz w:val="20"/>
                <w:szCs w:val="20"/>
              </w:rPr>
            </w:pPr>
            <w:r>
              <w:rPr>
                <w:rFonts w:cs="Arial"/>
                <w:sz w:val="20"/>
                <w:szCs w:val="20"/>
              </w:rPr>
              <w:t>115</w:t>
            </w:r>
          </w:p>
        </w:tc>
        <w:tc>
          <w:tcPr>
            <w:tcW w:w="1135" w:type="dxa"/>
            <w:shd w:val="clear" w:color="auto" w:fill="FF0000"/>
            <w:vAlign w:val="center"/>
          </w:tcPr>
          <w:p w14:paraId="456E7E83" w14:textId="56DA84AA" w:rsidR="000362BD" w:rsidRPr="009E683A" w:rsidRDefault="009D6E8C" w:rsidP="00393F7B">
            <w:pPr>
              <w:spacing w:before="60" w:after="60" w:line="240" w:lineRule="auto"/>
              <w:ind w:left="0"/>
              <w:jc w:val="center"/>
              <w:rPr>
                <w:rFonts w:cs="Arial"/>
                <w:sz w:val="20"/>
                <w:szCs w:val="20"/>
              </w:rPr>
            </w:pPr>
            <w:r>
              <w:rPr>
                <w:rFonts w:cs="Arial"/>
                <w:sz w:val="20"/>
                <w:szCs w:val="20"/>
              </w:rPr>
              <w:t>115</w:t>
            </w:r>
          </w:p>
        </w:tc>
      </w:tr>
      <w:tr w:rsidR="00F94F9A" w14:paraId="4625F99B" w14:textId="77777777" w:rsidTr="0025511A">
        <w:trPr>
          <w:trHeight w:val="422"/>
        </w:trPr>
        <w:tc>
          <w:tcPr>
            <w:tcW w:w="959" w:type="dxa"/>
            <w:vAlign w:val="center"/>
          </w:tcPr>
          <w:p w14:paraId="3558CA44" w14:textId="1BEA721A" w:rsidR="00F94F9A" w:rsidRDefault="00F94F9A" w:rsidP="00F94F9A">
            <w:pPr>
              <w:spacing w:before="60" w:after="60" w:line="240" w:lineRule="auto"/>
              <w:ind w:left="0"/>
              <w:rPr>
                <w:rFonts w:cs="Arial"/>
                <w:sz w:val="20"/>
                <w:szCs w:val="20"/>
              </w:rPr>
            </w:pPr>
            <w:r>
              <w:rPr>
                <w:rFonts w:cs="Arial"/>
                <w:sz w:val="20"/>
                <w:szCs w:val="20"/>
              </w:rPr>
              <w:t>II &amp; III</w:t>
            </w:r>
          </w:p>
        </w:tc>
        <w:tc>
          <w:tcPr>
            <w:tcW w:w="2126" w:type="dxa"/>
            <w:vAlign w:val="center"/>
          </w:tcPr>
          <w:p w14:paraId="2A545790" w14:textId="58AE2A22" w:rsidR="00F94F9A" w:rsidRDefault="00F94F9A" w:rsidP="00882DB0">
            <w:pPr>
              <w:spacing w:before="60" w:after="60" w:line="240" w:lineRule="auto"/>
              <w:ind w:left="0"/>
              <w:jc w:val="center"/>
              <w:rPr>
                <w:rFonts w:cs="Arial"/>
                <w:sz w:val="20"/>
                <w:szCs w:val="20"/>
              </w:rPr>
            </w:pPr>
            <w:r>
              <w:rPr>
                <w:rFonts w:cs="Arial"/>
                <w:sz w:val="20"/>
                <w:szCs w:val="20"/>
              </w:rPr>
              <w:t>207</w:t>
            </w:r>
          </w:p>
        </w:tc>
        <w:tc>
          <w:tcPr>
            <w:tcW w:w="992" w:type="dxa"/>
            <w:shd w:val="clear" w:color="auto" w:fill="FF0000"/>
            <w:vAlign w:val="center"/>
          </w:tcPr>
          <w:p w14:paraId="00B00662" w14:textId="05F77FF7" w:rsidR="00F94F9A" w:rsidRPr="009E683A" w:rsidRDefault="009D6E8C" w:rsidP="00393F7B">
            <w:pPr>
              <w:spacing w:before="60" w:after="60" w:line="240" w:lineRule="auto"/>
              <w:ind w:left="0"/>
              <w:jc w:val="center"/>
              <w:rPr>
                <w:rFonts w:cs="Arial"/>
                <w:sz w:val="20"/>
                <w:szCs w:val="20"/>
              </w:rPr>
            </w:pPr>
            <w:r>
              <w:rPr>
                <w:rFonts w:cs="Arial"/>
                <w:sz w:val="20"/>
                <w:szCs w:val="20"/>
              </w:rPr>
              <w:t>300</w:t>
            </w:r>
          </w:p>
        </w:tc>
        <w:tc>
          <w:tcPr>
            <w:tcW w:w="993" w:type="dxa"/>
            <w:vAlign w:val="center"/>
          </w:tcPr>
          <w:p w14:paraId="7BF1939F" w14:textId="7B28FF33" w:rsidR="00F94F9A" w:rsidRPr="009E683A" w:rsidRDefault="009D6E8C" w:rsidP="00393F7B">
            <w:pPr>
              <w:spacing w:before="60" w:after="60" w:line="240" w:lineRule="auto"/>
              <w:ind w:left="0"/>
              <w:jc w:val="center"/>
              <w:rPr>
                <w:rFonts w:cs="Arial"/>
                <w:sz w:val="20"/>
                <w:szCs w:val="20"/>
              </w:rPr>
            </w:pPr>
            <w:r>
              <w:rPr>
                <w:rFonts w:cs="Arial"/>
                <w:sz w:val="20"/>
                <w:szCs w:val="20"/>
              </w:rPr>
              <w:t>260</w:t>
            </w:r>
          </w:p>
        </w:tc>
        <w:tc>
          <w:tcPr>
            <w:tcW w:w="1134" w:type="dxa"/>
            <w:vAlign w:val="center"/>
          </w:tcPr>
          <w:p w14:paraId="7DB9398A" w14:textId="16277904" w:rsidR="00F94F9A" w:rsidRPr="009E683A" w:rsidRDefault="009D6E8C" w:rsidP="00393F7B">
            <w:pPr>
              <w:spacing w:before="60" w:after="60" w:line="240" w:lineRule="auto"/>
              <w:ind w:left="0"/>
              <w:jc w:val="center"/>
              <w:rPr>
                <w:rFonts w:cs="Arial"/>
                <w:sz w:val="20"/>
                <w:szCs w:val="20"/>
              </w:rPr>
            </w:pPr>
            <w:r>
              <w:rPr>
                <w:rFonts w:cs="Arial"/>
                <w:sz w:val="20"/>
                <w:szCs w:val="20"/>
              </w:rPr>
              <w:t>230</w:t>
            </w:r>
          </w:p>
        </w:tc>
        <w:tc>
          <w:tcPr>
            <w:tcW w:w="992" w:type="dxa"/>
            <w:vAlign w:val="center"/>
          </w:tcPr>
          <w:p w14:paraId="45E15566" w14:textId="359323CB" w:rsidR="00F94F9A" w:rsidRPr="009E683A" w:rsidRDefault="009D6E8C" w:rsidP="00393F7B">
            <w:pPr>
              <w:spacing w:before="60" w:after="60" w:line="240" w:lineRule="auto"/>
              <w:ind w:left="0"/>
              <w:jc w:val="center"/>
              <w:rPr>
                <w:rFonts w:cs="Arial"/>
                <w:sz w:val="20"/>
                <w:szCs w:val="20"/>
              </w:rPr>
            </w:pPr>
            <w:r>
              <w:rPr>
                <w:rFonts w:cs="Arial"/>
                <w:sz w:val="20"/>
                <w:szCs w:val="20"/>
              </w:rPr>
              <w:t>250</w:t>
            </w:r>
          </w:p>
        </w:tc>
        <w:tc>
          <w:tcPr>
            <w:tcW w:w="1135" w:type="dxa"/>
            <w:vAlign w:val="center"/>
          </w:tcPr>
          <w:p w14:paraId="7096040A" w14:textId="540448D7" w:rsidR="00F94F9A" w:rsidRPr="009E683A" w:rsidRDefault="009D6E8C" w:rsidP="00393F7B">
            <w:pPr>
              <w:spacing w:before="60" w:after="60" w:line="240" w:lineRule="auto"/>
              <w:ind w:left="0"/>
              <w:jc w:val="center"/>
              <w:rPr>
                <w:rFonts w:cs="Arial"/>
                <w:sz w:val="20"/>
                <w:szCs w:val="20"/>
              </w:rPr>
            </w:pPr>
            <w:r>
              <w:rPr>
                <w:rFonts w:cs="Arial"/>
                <w:sz w:val="20"/>
                <w:szCs w:val="20"/>
              </w:rPr>
              <w:t>220</w:t>
            </w:r>
          </w:p>
        </w:tc>
      </w:tr>
    </w:tbl>
    <w:p w14:paraId="5780C802" w14:textId="2095972F" w:rsidR="001D2756" w:rsidRPr="001D2756" w:rsidRDefault="001D2756" w:rsidP="001D2756">
      <w:pPr>
        <w:ind w:left="0"/>
        <w:rPr>
          <w:i/>
          <w:sz w:val="18"/>
          <w:szCs w:val="18"/>
        </w:rPr>
      </w:pPr>
      <w:r w:rsidRPr="001D2756">
        <w:rPr>
          <w:i/>
          <w:sz w:val="18"/>
          <w:szCs w:val="18"/>
        </w:rPr>
        <w:t>Cells highlighted in red indicate maximum predicted exten</w:t>
      </w:r>
      <w:r w:rsidR="00A24FEE">
        <w:rPr>
          <w:i/>
          <w:sz w:val="18"/>
          <w:szCs w:val="18"/>
        </w:rPr>
        <w:t>t</w:t>
      </w:r>
      <w:r w:rsidRPr="001D2756">
        <w:rPr>
          <w:i/>
          <w:sz w:val="18"/>
          <w:szCs w:val="18"/>
        </w:rPr>
        <w:t xml:space="preserve"> of sound.</w:t>
      </w:r>
    </w:p>
    <w:p w14:paraId="648B8A9B" w14:textId="3E770752" w:rsidR="00F94F9A" w:rsidRPr="00F94F9A" w:rsidRDefault="00F94F9A" w:rsidP="00882DB0">
      <w:pPr>
        <w:ind w:left="0"/>
        <w:rPr>
          <w:rFonts w:cs="Arial"/>
          <w:sz w:val="18"/>
          <w:szCs w:val="18"/>
        </w:rPr>
      </w:pPr>
      <w:r w:rsidRPr="00F94F9A">
        <w:rPr>
          <w:rFonts w:cs="Arial"/>
          <w:sz w:val="18"/>
          <w:szCs w:val="18"/>
        </w:rPr>
        <w:t>I – fish with no swim bladder</w:t>
      </w:r>
    </w:p>
    <w:p w14:paraId="7760A555" w14:textId="699FD3CD" w:rsidR="00F94F9A" w:rsidRPr="00F94F9A" w:rsidRDefault="00F94F9A" w:rsidP="00882DB0">
      <w:pPr>
        <w:ind w:left="0"/>
        <w:rPr>
          <w:rFonts w:cs="Arial"/>
          <w:sz w:val="18"/>
          <w:szCs w:val="18"/>
        </w:rPr>
      </w:pPr>
      <w:r w:rsidRPr="00F94F9A">
        <w:rPr>
          <w:rFonts w:cs="Arial"/>
          <w:sz w:val="18"/>
          <w:szCs w:val="18"/>
        </w:rPr>
        <w:t>II – fish with a swim bladder not involved in hearing.</w:t>
      </w:r>
    </w:p>
    <w:p w14:paraId="799C6B7A" w14:textId="16A67630" w:rsidR="00882DB0" w:rsidRPr="0022547F" w:rsidRDefault="00F94F9A" w:rsidP="00882DB0">
      <w:pPr>
        <w:ind w:left="0"/>
        <w:rPr>
          <w:rFonts w:cs="Arial"/>
          <w:sz w:val="18"/>
          <w:szCs w:val="18"/>
        </w:rPr>
      </w:pPr>
      <w:r w:rsidRPr="00F94F9A">
        <w:rPr>
          <w:rFonts w:cs="Arial"/>
          <w:sz w:val="18"/>
          <w:szCs w:val="18"/>
        </w:rPr>
        <w:t>II – Fish with a swim bladder involved in hearing.</w:t>
      </w:r>
    </w:p>
    <w:p w14:paraId="3969FFBB" w14:textId="77777777" w:rsidR="00603214" w:rsidRDefault="00603214" w:rsidP="00882DB0">
      <w:pPr>
        <w:ind w:left="0"/>
        <w:rPr>
          <w:rFonts w:ascii="Tahoma" w:hAnsi="Tahoma" w:cs="Arial"/>
          <w:szCs w:val="20"/>
        </w:rPr>
      </w:pPr>
    </w:p>
    <w:p w14:paraId="795E18A9" w14:textId="309ADC17" w:rsidR="00A03DC1" w:rsidRPr="00A03DC1" w:rsidRDefault="00882DB0" w:rsidP="0025511A">
      <w:pPr>
        <w:ind w:left="0"/>
        <w:rPr>
          <w:sz w:val="22"/>
          <w:szCs w:val="22"/>
        </w:rPr>
      </w:pPr>
      <w:r w:rsidRPr="00EF4E2A">
        <w:rPr>
          <w:sz w:val="22"/>
          <w:szCs w:val="22"/>
        </w:rPr>
        <w:t>Table 7.</w:t>
      </w:r>
      <w:r w:rsidR="002823B4" w:rsidRPr="00EF4E2A">
        <w:rPr>
          <w:sz w:val="22"/>
          <w:szCs w:val="22"/>
        </w:rPr>
        <w:t>1</w:t>
      </w:r>
      <w:r w:rsidR="00363C4E" w:rsidRPr="00EF4E2A">
        <w:rPr>
          <w:sz w:val="22"/>
          <w:szCs w:val="22"/>
        </w:rPr>
        <w:t>0</w:t>
      </w:r>
      <w:r w:rsidRPr="00EF4E2A">
        <w:rPr>
          <w:sz w:val="22"/>
          <w:szCs w:val="22"/>
        </w:rPr>
        <w:t xml:space="preserve"> presents</w:t>
      </w:r>
      <w:r>
        <w:rPr>
          <w:sz w:val="22"/>
          <w:szCs w:val="22"/>
        </w:rPr>
        <w:t xml:space="preserve"> the </w:t>
      </w:r>
      <w:r w:rsidR="002B643C">
        <w:rPr>
          <w:sz w:val="22"/>
          <w:szCs w:val="22"/>
        </w:rPr>
        <w:t>SEL</w:t>
      </w:r>
      <w:r w:rsidRPr="002B643C">
        <w:rPr>
          <w:sz w:val="22"/>
          <w:szCs w:val="22"/>
          <w:vertAlign w:val="subscript"/>
        </w:rPr>
        <w:t>24h</w:t>
      </w:r>
      <w:r>
        <w:rPr>
          <w:sz w:val="22"/>
          <w:szCs w:val="22"/>
        </w:rPr>
        <w:t xml:space="preserve"> exposure results for three operational scenarios for </w:t>
      </w:r>
      <w:r w:rsidR="000D1520">
        <w:rPr>
          <w:sz w:val="22"/>
          <w:szCs w:val="22"/>
        </w:rPr>
        <w:t>fish</w:t>
      </w:r>
      <w:r>
        <w:rPr>
          <w:sz w:val="22"/>
          <w:szCs w:val="22"/>
        </w:rPr>
        <w:t xml:space="preserve"> with the estimated ranges to the appropriate cumulative exposure criterion contour. </w:t>
      </w:r>
      <w:r w:rsidRPr="0054060B">
        <w:rPr>
          <w:sz w:val="22"/>
          <w:szCs w:val="22"/>
        </w:rPr>
        <w:t xml:space="preserve">The </w:t>
      </w:r>
      <w:r w:rsidR="000A2D94">
        <w:rPr>
          <w:sz w:val="22"/>
          <w:szCs w:val="22"/>
        </w:rPr>
        <w:t>distances</w:t>
      </w:r>
      <w:r w:rsidRPr="0054060B">
        <w:rPr>
          <w:sz w:val="22"/>
          <w:szCs w:val="22"/>
        </w:rPr>
        <w:t xml:space="preserve"> in this section represent the perpendicular distance from to the closest survey line to the relevant isopleth.</w:t>
      </w:r>
      <w:r w:rsidR="00655421">
        <w:rPr>
          <w:sz w:val="22"/>
          <w:szCs w:val="22"/>
        </w:rPr>
        <w:t xml:space="preserve"> </w:t>
      </w:r>
    </w:p>
    <w:p w14:paraId="7323EDE7" w14:textId="77777777" w:rsidR="002823B4" w:rsidRDefault="002823B4" w:rsidP="00882DB0">
      <w:pPr>
        <w:ind w:left="0"/>
        <w:rPr>
          <w:rFonts w:ascii="Tahoma" w:hAnsi="Tahoma" w:cs="Arial"/>
          <w:szCs w:val="20"/>
        </w:rPr>
      </w:pPr>
    </w:p>
    <w:p w14:paraId="0526A9CB" w14:textId="3FFA302D" w:rsidR="00882DB0" w:rsidRDefault="00882DB0" w:rsidP="00882DB0">
      <w:pPr>
        <w:spacing w:after="120" w:line="240" w:lineRule="auto"/>
        <w:ind w:left="0"/>
        <w:jc w:val="center"/>
        <w:rPr>
          <w:rFonts w:ascii="Tahoma" w:hAnsi="Tahoma" w:cs="Arial"/>
          <w:szCs w:val="20"/>
        </w:rPr>
      </w:pPr>
      <w:r>
        <w:rPr>
          <w:rFonts w:cs="Arial"/>
          <w:b/>
          <w:sz w:val="20"/>
          <w:szCs w:val="20"/>
        </w:rPr>
        <w:t>Table 7.</w:t>
      </w:r>
      <w:r w:rsidR="002823B4">
        <w:rPr>
          <w:rFonts w:cs="Arial"/>
          <w:b/>
          <w:sz w:val="20"/>
          <w:szCs w:val="20"/>
        </w:rPr>
        <w:t>1</w:t>
      </w:r>
      <w:r w:rsidR="00363C4E">
        <w:rPr>
          <w:rFonts w:cs="Arial"/>
          <w:b/>
          <w:sz w:val="20"/>
          <w:szCs w:val="20"/>
        </w:rPr>
        <w:t>0</w:t>
      </w:r>
      <w:r>
        <w:rPr>
          <w:rFonts w:cs="Arial"/>
          <w:b/>
          <w:sz w:val="20"/>
          <w:szCs w:val="20"/>
        </w:rPr>
        <w:t>.</w:t>
      </w:r>
      <w:r>
        <w:rPr>
          <w:rFonts w:cs="Arial"/>
          <w:b/>
          <w:sz w:val="20"/>
          <w:szCs w:val="20"/>
        </w:rPr>
        <w:tab/>
      </w:r>
      <w:r w:rsidRPr="008A483F">
        <w:rPr>
          <w:rFonts w:cs="Arial"/>
          <w:b/>
          <w:sz w:val="20"/>
          <w:szCs w:val="20"/>
        </w:rPr>
        <w:t>Maximum-over-depth distances (in km) to SEL</w:t>
      </w:r>
      <w:r w:rsidRPr="008A483F">
        <w:rPr>
          <w:rFonts w:cs="Arial"/>
          <w:b/>
          <w:sz w:val="20"/>
          <w:szCs w:val="20"/>
          <w:vertAlign w:val="subscript"/>
        </w:rPr>
        <w:t>24h</w:t>
      </w:r>
      <w:r w:rsidRPr="008A483F">
        <w:rPr>
          <w:rFonts w:cs="Arial"/>
          <w:b/>
          <w:sz w:val="20"/>
          <w:szCs w:val="20"/>
        </w:rPr>
        <w:t xml:space="preserve"> based </w:t>
      </w:r>
      <w:r w:rsidR="00EE7512">
        <w:rPr>
          <w:rFonts w:cs="Arial"/>
          <w:b/>
          <w:sz w:val="20"/>
          <w:szCs w:val="20"/>
        </w:rPr>
        <w:t>fish</w:t>
      </w:r>
      <w:r w:rsidRPr="008A483F">
        <w:rPr>
          <w:rFonts w:cs="Arial"/>
          <w:b/>
          <w:sz w:val="20"/>
          <w:szCs w:val="20"/>
        </w:rPr>
        <w:t xml:space="preserve"> criteria for three possible scenarios within the Pelican 3DMSS acquisition area</w:t>
      </w:r>
      <w:r w:rsidR="002B643C">
        <w:rPr>
          <w:rFonts w:cs="Arial"/>
          <w:b/>
          <w:sz w:val="20"/>
          <w:szCs w:val="20"/>
        </w:rPr>
        <w:t xml:space="preserve"> </w:t>
      </w:r>
    </w:p>
    <w:tbl>
      <w:tblPr>
        <w:tblStyle w:val="TableGrid"/>
        <w:tblW w:w="0" w:type="auto"/>
        <w:jc w:val="center"/>
        <w:tblLook w:val="04A0" w:firstRow="1" w:lastRow="0" w:firstColumn="1" w:lastColumn="0" w:noHBand="0" w:noVBand="1"/>
      </w:tblPr>
      <w:tblGrid>
        <w:gridCol w:w="863"/>
        <w:gridCol w:w="1655"/>
        <w:gridCol w:w="755"/>
        <w:gridCol w:w="850"/>
        <w:gridCol w:w="709"/>
        <w:gridCol w:w="851"/>
        <w:gridCol w:w="804"/>
        <w:gridCol w:w="992"/>
      </w:tblGrid>
      <w:tr w:rsidR="002B643C" w14:paraId="508C3764" w14:textId="77777777" w:rsidTr="002B643C">
        <w:trPr>
          <w:jc w:val="center"/>
        </w:trPr>
        <w:tc>
          <w:tcPr>
            <w:tcW w:w="863" w:type="dxa"/>
            <w:vMerge w:val="restart"/>
            <w:shd w:val="clear" w:color="auto" w:fill="064EA8"/>
          </w:tcPr>
          <w:p w14:paraId="64789C52" w14:textId="57D713BD" w:rsidR="002B643C" w:rsidRPr="000D0DBD" w:rsidRDefault="002B643C" w:rsidP="00F94F9A">
            <w:pPr>
              <w:spacing w:before="60" w:after="60" w:line="240" w:lineRule="auto"/>
              <w:ind w:left="0"/>
              <w:rPr>
                <w:rFonts w:cs="Arial"/>
                <w:color w:val="FFFFFF" w:themeColor="background1"/>
                <w:sz w:val="20"/>
                <w:szCs w:val="20"/>
              </w:rPr>
            </w:pPr>
            <w:r>
              <w:rPr>
                <w:rFonts w:cs="Arial"/>
                <w:color w:val="FFFFFF" w:themeColor="background1"/>
                <w:sz w:val="20"/>
                <w:szCs w:val="20"/>
              </w:rPr>
              <w:t>Type of fish</w:t>
            </w:r>
          </w:p>
        </w:tc>
        <w:tc>
          <w:tcPr>
            <w:tcW w:w="1655" w:type="dxa"/>
            <w:vMerge w:val="restart"/>
            <w:shd w:val="clear" w:color="auto" w:fill="064EA8"/>
          </w:tcPr>
          <w:p w14:paraId="374C7550" w14:textId="08DEF85F" w:rsidR="002B643C" w:rsidRPr="000D0DBD" w:rsidRDefault="002B643C" w:rsidP="002B643C">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Threshold for SEL</w:t>
            </w:r>
            <w:r w:rsidRPr="00944C40">
              <w:rPr>
                <w:rFonts w:cs="Arial"/>
                <w:color w:val="FFFFFF" w:themeColor="background1"/>
                <w:sz w:val="20"/>
                <w:szCs w:val="20"/>
                <w:vertAlign w:val="subscript"/>
              </w:rPr>
              <w:t>24h</w:t>
            </w:r>
            <w:r w:rsidRPr="000D0DBD">
              <w:rPr>
                <w:rFonts w:cs="Arial"/>
                <w:color w:val="FFFFFF" w:themeColor="background1"/>
                <w:sz w:val="20"/>
                <w:szCs w:val="20"/>
              </w:rPr>
              <w:t xml:space="preserve"> (</w:t>
            </w:r>
            <w:r>
              <w:rPr>
                <w:rFonts w:cs="Arial"/>
                <w:color w:val="FFFFFF" w:themeColor="background1"/>
                <w:sz w:val="20"/>
                <w:szCs w:val="20"/>
              </w:rPr>
              <w:t>dB</w:t>
            </w:r>
            <w:r w:rsidRPr="000D0DBD">
              <w:rPr>
                <w:rFonts w:cs="Arial"/>
                <w:color w:val="FFFFFF" w:themeColor="background1"/>
                <w:sz w:val="20"/>
                <w:szCs w:val="20"/>
              </w:rPr>
              <w:t xml:space="preserve"> </w:t>
            </w:r>
            <w:r w:rsidRPr="000D0DBD">
              <w:rPr>
                <w:color w:val="FFFFFF" w:themeColor="background1"/>
                <w:sz w:val="20"/>
                <w:szCs w:val="20"/>
              </w:rPr>
              <w:t>re 1 μPa</w:t>
            </w:r>
            <w:r w:rsidRPr="000D0DBD">
              <w:rPr>
                <w:color w:val="FFFFFF" w:themeColor="background1"/>
                <w:sz w:val="20"/>
                <w:szCs w:val="20"/>
                <w:vertAlign w:val="superscript"/>
              </w:rPr>
              <w:t>2</w:t>
            </w:r>
            <w:r>
              <w:rPr>
                <w:color w:val="FFFFFF" w:themeColor="background1"/>
                <w:sz w:val="20"/>
                <w:szCs w:val="20"/>
              </w:rPr>
              <w:t>.s</w:t>
            </w:r>
            <w:r w:rsidRPr="000D0DBD">
              <w:rPr>
                <w:color w:val="FFFFFF" w:themeColor="background1"/>
                <w:sz w:val="20"/>
                <w:szCs w:val="20"/>
              </w:rPr>
              <w:t>)</w:t>
            </w:r>
          </w:p>
        </w:tc>
        <w:tc>
          <w:tcPr>
            <w:tcW w:w="1605" w:type="dxa"/>
            <w:gridSpan w:val="2"/>
            <w:shd w:val="clear" w:color="auto" w:fill="064EA8"/>
          </w:tcPr>
          <w:p w14:paraId="0B3D4A1E" w14:textId="3C7D27BF" w:rsidR="002B643C" w:rsidRPr="000D0DBD" w:rsidRDefault="002B643C" w:rsidP="002B643C">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Scenario 1</w:t>
            </w:r>
          </w:p>
        </w:tc>
        <w:tc>
          <w:tcPr>
            <w:tcW w:w="1560" w:type="dxa"/>
            <w:gridSpan w:val="2"/>
            <w:shd w:val="clear" w:color="auto" w:fill="064EA8"/>
          </w:tcPr>
          <w:p w14:paraId="48A1005D" w14:textId="286A9F5B" w:rsidR="002B643C" w:rsidRPr="000D0DBD" w:rsidRDefault="002B643C" w:rsidP="002B643C">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Scenario 2</w:t>
            </w:r>
          </w:p>
        </w:tc>
        <w:tc>
          <w:tcPr>
            <w:tcW w:w="1796" w:type="dxa"/>
            <w:gridSpan w:val="2"/>
            <w:shd w:val="clear" w:color="auto" w:fill="064EA8"/>
          </w:tcPr>
          <w:p w14:paraId="6397C5CD" w14:textId="1D703F27" w:rsidR="002B643C" w:rsidRPr="000D0DBD" w:rsidRDefault="002B643C" w:rsidP="002B643C">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Scenario 3</w:t>
            </w:r>
          </w:p>
        </w:tc>
      </w:tr>
      <w:tr w:rsidR="002B643C" w14:paraId="20303480" w14:textId="77777777" w:rsidTr="002B643C">
        <w:trPr>
          <w:jc w:val="center"/>
        </w:trPr>
        <w:tc>
          <w:tcPr>
            <w:tcW w:w="863" w:type="dxa"/>
            <w:vMerge/>
            <w:shd w:val="clear" w:color="auto" w:fill="064EA8"/>
          </w:tcPr>
          <w:p w14:paraId="01E3D351" w14:textId="77777777" w:rsidR="002B643C" w:rsidRPr="000D0DBD" w:rsidRDefault="002B643C" w:rsidP="00882DB0">
            <w:pPr>
              <w:spacing w:before="60" w:after="60" w:line="240" w:lineRule="auto"/>
              <w:ind w:left="0"/>
              <w:jc w:val="center"/>
              <w:rPr>
                <w:rFonts w:cs="Arial"/>
                <w:color w:val="FFFFFF" w:themeColor="background1"/>
                <w:sz w:val="20"/>
                <w:szCs w:val="20"/>
              </w:rPr>
            </w:pPr>
          </w:p>
        </w:tc>
        <w:tc>
          <w:tcPr>
            <w:tcW w:w="1655" w:type="dxa"/>
            <w:vMerge/>
            <w:shd w:val="clear" w:color="auto" w:fill="064EA8"/>
          </w:tcPr>
          <w:p w14:paraId="2E35E314" w14:textId="0211D9F9" w:rsidR="002B643C" w:rsidRPr="000D0DBD" w:rsidRDefault="002B643C" w:rsidP="00882DB0">
            <w:pPr>
              <w:spacing w:before="60" w:after="60" w:line="240" w:lineRule="auto"/>
              <w:ind w:left="0"/>
              <w:jc w:val="center"/>
              <w:rPr>
                <w:rFonts w:cs="Arial"/>
                <w:color w:val="FFFFFF" w:themeColor="background1"/>
                <w:sz w:val="20"/>
                <w:szCs w:val="20"/>
              </w:rPr>
            </w:pPr>
          </w:p>
        </w:tc>
        <w:tc>
          <w:tcPr>
            <w:tcW w:w="755" w:type="dxa"/>
            <w:shd w:val="clear" w:color="auto" w:fill="064EA8"/>
            <w:vAlign w:val="center"/>
          </w:tcPr>
          <w:p w14:paraId="64553162" w14:textId="77777777" w:rsidR="002B643C" w:rsidRPr="000D0DBD" w:rsidRDefault="002B643C" w:rsidP="00882DB0">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850" w:type="dxa"/>
            <w:shd w:val="clear" w:color="auto" w:fill="064EA8"/>
            <w:vAlign w:val="center"/>
          </w:tcPr>
          <w:p w14:paraId="33546281" w14:textId="77777777" w:rsidR="002B643C" w:rsidRPr="000D0DBD" w:rsidRDefault="002B643C" w:rsidP="00882DB0">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c>
          <w:tcPr>
            <w:tcW w:w="709" w:type="dxa"/>
            <w:shd w:val="clear" w:color="auto" w:fill="064EA8"/>
            <w:vAlign w:val="center"/>
          </w:tcPr>
          <w:p w14:paraId="587CA474" w14:textId="77777777" w:rsidR="002B643C" w:rsidRPr="000D0DBD" w:rsidRDefault="002B643C" w:rsidP="00882DB0">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851" w:type="dxa"/>
            <w:shd w:val="clear" w:color="auto" w:fill="064EA8"/>
            <w:vAlign w:val="center"/>
          </w:tcPr>
          <w:p w14:paraId="40BDCA6F" w14:textId="77777777" w:rsidR="002B643C" w:rsidRPr="000D0DBD" w:rsidRDefault="002B643C" w:rsidP="00882DB0">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c>
          <w:tcPr>
            <w:tcW w:w="804" w:type="dxa"/>
            <w:shd w:val="clear" w:color="auto" w:fill="064EA8"/>
            <w:vAlign w:val="center"/>
          </w:tcPr>
          <w:p w14:paraId="4C0BEB6D" w14:textId="77777777" w:rsidR="002B643C" w:rsidRPr="000D0DBD" w:rsidRDefault="002B643C" w:rsidP="00882DB0">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992" w:type="dxa"/>
            <w:shd w:val="clear" w:color="auto" w:fill="064EA8"/>
            <w:vAlign w:val="center"/>
          </w:tcPr>
          <w:p w14:paraId="00538C0B" w14:textId="77777777" w:rsidR="002B643C" w:rsidRPr="000D0DBD" w:rsidRDefault="002B643C" w:rsidP="00882DB0">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r>
      <w:tr w:rsidR="002B643C" w14:paraId="5AE937C8" w14:textId="77777777" w:rsidTr="002B643C">
        <w:trPr>
          <w:jc w:val="center"/>
        </w:trPr>
        <w:tc>
          <w:tcPr>
            <w:tcW w:w="7479" w:type="dxa"/>
            <w:gridSpan w:val="8"/>
            <w:shd w:val="clear" w:color="auto" w:fill="D9D9D9" w:themeFill="background1" w:themeFillShade="D9"/>
          </w:tcPr>
          <w:p w14:paraId="2256117A" w14:textId="4937ACF2" w:rsidR="002B643C" w:rsidRPr="00A03DC1" w:rsidRDefault="002B643C" w:rsidP="002B643C">
            <w:pPr>
              <w:spacing w:before="60" w:after="60" w:line="240" w:lineRule="auto"/>
              <w:ind w:left="0"/>
              <w:rPr>
                <w:sz w:val="20"/>
                <w:szCs w:val="20"/>
              </w:rPr>
            </w:pPr>
            <w:r>
              <w:rPr>
                <w:sz w:val="20"/>
                <w:szCs w:val="20"/>
              </w:rPr>
              <w:t>Mortality and potential mortal injury</w:t>
            </w:r>
          </w:p>
        </w:tc>
      </w:tr>
      <w:tr w:rsidR="002B643C" w14:paraId="60743113" w14:textId="77777777" w:rsidTr="0025511A">
        <w:trPr>
          <w:jc w:val="center"/>
        </w:trPr>
        <w:tc>
          <w:tcPr>
            <w:tcW w:w="863" w:type="dxa"/>
          </w:tcPr>
          <w:p w14:paraId="09850262" w14:textId="3C61886F" w:rsidR="002B643C" w:rsidRPr="009329CB" w:rsidRDefault="002B643C" w:rsidP="00524561">
            <w:pPr>
              <w:spacing w:before="60" w:after="60" w:line="240" w:lineRule="auto"/>
              <w:ind w:left="0"/>
              <w:rPr>
                <w:rFonts w:cs="Arial"/>
                <w:sz w:val="20"/>
                <w:szCs w:val="20"/>
              </w:rPr>
            </w:pPr>
            <w:r>
              <w:rPr>
                <w:rFonts w:cs="Arial"/>
                <w:sz w:val="20"/>
                <w:szCs w:val="20"/>
              </w:rPr>
              <w:t>I</w:t>
            </w:r>
          </w:p>
        </w:tc>
        <w:tc>
          <w:tcPr>
            <w:tcW w:w="1655" w:type="dxa"/>
            <w:vAlign w:val="center"/>
          </w:tcPr>
          <w:p w14:paraId="4EB92B3D" w14:textId="1E58A449" w:rsidR="002B643C" w:rsidRPr="00A03DC1" w:rsidRDefault="002B643C" w:rsidP="00882DB0">
            <w:pPr>
              <w:spacing w:before="60" w:after="60" w:line="240" w:lineRule="auto"/>
              <w:ind w:left="0"/>
              <w:jc w:val="center"/>
              <w:rPr>
                <w:rFonts w:cs="Arial"/>
                <w:sz w:val="20"/>
                <w:szCs w:val="20"/>
              </w:rPr>
            </w:pPr>
            <w:r w:rsidRPr="00A03DC1">
              <w:rPr>
                <w:sz w:val="20"/>
                <w:szCs w:val="20"/>
              </w:rPr>
              <w:t>219 </w:t>
            </w:r>
          </w:p>
        </w:tc>
        <w:tc>
          <w:tcPr>
            <w:tcW w:w="755" w:type="dxa"/>
            <w:shd w:val="clear" w:color="auto" w:fill="FF0000"/>
            <w:vAlign w:val="bottom"/>
          </w:tcPr>
          <w:p w14:paraId="30BCA17F" w14:textId="49A336F2" w:rsidR="002B643C" w:rsidRPr="00A03DC1" w:rsidRDefault="002B643C" w:rsidP="00882DB0">
            <w:pPr>
              <w:spacing w:before="60" w:after="60" w:line="240" w:lineRule="auto"/>
              <w:ind w:left="0"/>
              <w:jc w:val="center"/>
              <w:rPr>
                <w:rFonts w:cs="Arial"/>
                <w:sz w:val="20"/>
                <w:szCs w:val="20"/>
              </w:rPr>
            </w:pPr>
            <w:r w:rsidRPr="00A03DC1">
              <w:rPr>
                <w:sz w:val="20"/>
                <w:szCs w:val="20"/>
              </w:rPr>
              <w:t>0.02</w:t>
            </w:r>
          </w:p>
        </w:tc>
        <w:tc>
          <w:tcPr>
            <w:tcW w:w="850" w:type="dxa"/>
            <w:vAlign w:val="bottom"/>
          </w:tcPr>
          <w:p w14:paraId="4F8C52E9" w14:textId="157FC51F" w:rsidR="002B643C" w:rsidRPr="00A03DC1" w:rsidRDefault="002B643C" w:rsidP="00882DB0">
            <w:pPr>
              <w:spacing w:before="60" w:after="60" w:line="240" w:lineRule="auto"/>
              <w:ind w:left="0"/>
              <w:jc w:val="center"/>
              <w:rPr>
                <w:rFonts w:cs="Arial"/>
                <w:sz w:val="20"/>
                <w:szCs w:val="20"/>
              </w:rPr>
            </w:pPr>
            <w:r w:rsidRPr="00A03DC1">
              <w:rPr>
                <w:sz w:val="20"/>
                <w:szCs w:val="20"/>
              </w:rPr>
              <w:t>0.60</w:t>
            </w:r>
          </w:p>
        </w:tc>
        <w:tc>
          <w:tcPr>
            <w:tcW w:w="709" w:type="dxa"/>
            <w:shd w:val="clear" w:color="auto" w:fill="FF0000"/>
            <w:vAlign w:val="bottom"/>
          </w:tcPr>
          <w:p w14:paraId="7B2DF5D6" w14:textId="74B0D7B6" w:rsidR="002B643C" w:rsidRPr="00A03DC1" w:rsidRDefault="002B643C" w:rsidP="00882DB0">
            <w:pPr>
              <w:spacing w:before="60" w:after="60" w:line="240" w:lineRule="auto"/>
              <w:ind w:left="0"/>
              <w:jc w:val="center"/>
              <w:rPr>
                <w:rFonts w:cs="Arial"/>
                <w:sz w:val="20"/>
                <w:szCs w:val="20"/>
              </w:rPr>
            </w:pPr>
            <w:r w:rsidRPr="00A03DC1">
              <w:rPr>
                <w:sz w:val="20"/>
                <w:szCs w:val="20"/>
              </w:rPr>
              <w:t>0.02</w:t>
            </w:r>
          </w:p>
        </w:tc>
        <w:tc>
          <w:tcPr>
            <w:tcW w:w="851" w:type="dxa"/>
            <w:vAlign w:val="bottom"/>
          </w:tcPr>
          <w:p w14:paraId="2D3CFC64" w14:textId="3F506764" w:rsidR="002B643C" w:rsidRPr="00A03DC1" w:rsidRDefault="002B643C" w:rsidP="00882DB0">
            <w:pPr>
              <w:spacing w:before="60" w:after="60" w:line="240" w:lineRule="auto"/>
              <w:ind w:left="0"/>
              <w:jc w:val="center"/>
              <w:rPr>
                <w:rFonts w:cs="Arial"/>
                <w:sz w:val="20"/>
                <w:szCs w:val="20"/>
              </w:rPr>
            </w:pPr>
            <w:r w:rsidRPr="00A03DC1">
              <w:rPr>
                <w:sz w:val="20"/>
                <w:szCs w:val="20"/>
              </w:rPr>
              <w:t>1.0</w:t>
            </w:r>
          </w:p>
        </w:tc>
        <w:tc>
          <w:tcPr>
            <w:tcW w:w="804" w:type="dxa"/>
            <w:vAlign w:val="bottom"/>
          </w:tcPr>
          <w:p w14:paraId="17AB66AA" w14:textId="0A9B2DFD" w:rsidR="002B643C" w:rsidRPr="00A03DC1" w:rsidRDefault="002B643C" w:rsidP="00882DB0">
            <w:pPr>
              <w:spacing w:before="60" w:after="60" w:line="240" w:lineRule="auto"/>
              <w:ind w:left="0"/>
              <w:jc w:val="center"/>
              <w:rPr>
                <w:rFonts w:cs="Arial"/>
                <w:sz w:val="20"/>
                <w:szCs w:val="20"/>
              </w:rPr>
            </w:pPr>
            <w:r w:rsidRPr="00A03DC1">
              <w:rPr>
                <w:sz w:val="20"/>
                <w:szCs w:val="20"/>
              </w:rPr>
              <w:t>0.01</w:t>
            </w:r>
          </w:p>
        </w:tc>
        <w:tc>
          <w:tcPr>
            <w:tcW w:w="992" w:type="dxa"/>
            <w:vAlign w:val="bottom"/>
          </w:tcPr>
          <w:p w14:paraId="258E5589" w14:textId="7E400166" w:rsidR="002B643C" w:rsidRPr="00A03DC1" w:rsidRDefault="002B643C" w:rsidP="00882DB0">
            <w:pPr>
              <w:spacing w:before="60" w:after="60" w:line="240" w:lineRule="auto"/>
              <w:ind w:left="0"/>
              <w:jc w:val="center"/>
              <w:rPr>
                <w:rFonts w:cs="Arial"/>
                <w:sz w:val="20"/>
                <w:szCs w:val="20"/>
              </w:rPr>
            </w:pPr>
            <w:r w:rsidRPr="00A03DC1">
              <w:rPr>
                <w:sz w:val="20"/>
                <w:szCs w:val="20"/>
              </w:rPr>
              <w:t>0.28</w:t>
            </w:r>
          </w:p>
        </w:tc>
      </w:tr>
      <w:tr w:rsidR="002B643C" w14:paraId="1C842EEC" w14:textId="77777777" w:rsidTr="0025511A">
        <w:trPr>
          <w:jc w:val="center"/>
        </w:trPr>
        <w:tc>
          <w:tcPr>
            <w:tcW w:w="863" w:type="dxa"/>
          </w:tcPr>
          <w:p w14:paraId="496884B3" w14:textId="04BBDC73" w:rsidR="002B643C" w:rsidRPr="009329CB" w:rsidRDefault="002B643C" w:rsidP="00524561">
            <w:pPr>
              <w:spacing w:before="60" w:after="60" w:line="240" w:lineRule="auto"/>
              <w:ind w:left="0"/>
              <w:rPr>
                <w:rFonts w:cs="Arial"/>
                <w:sz w:val="20"/>
                <w:szCs w:val="20"/>
              </w:rPr>
            </w:pPr>
            <w:r>
              <w:rPr>
                <w:rFonts w:cs="Arial"/>
                <w:sz w:val="20"/>
                <w:szCs w:val="20"/>
              </w:rPr>
              <w:t>II</w:t>
            </w:r>
          </w:p>
        </w:tc>
        <w:tc>
          <w:tcPr>
            <w:tcW w:w="1655" w:type="dxa"/>
            <w:vAlign w:val="center"/>
          </w:tcPr>
          <w:p w14:paraId="49B79B79" w14:textId="7882929F" w:rsidR="002B643C" w:rsidRPr="00A03DC1" w:rsidRDefault="002B643C" w:rsidP="00882DB0">
            <w:pPr>
              <w:spacing w:before="60" w:after="60" w:line="240" w:lineRule="auto"/>
              <w:ind w:left="0"/>
              <w:jc w:val="center"/>
              <w:rPr>
                <w:rFonts w:cs="Arial"/>
                <w:sz w:val="20"/>
                <w:szCs w:val="20"/>
              </w:rPr>
            </w:pPr>
            <w:r w:rsidRPr="00A03DC1">
              <w:rPr>
                <w:sz w:val="20"/>
                <w:szCs w:val="20"/>
              </w:rPr>
              <w:t>210 </w:t>
            </w:r>
          </w:p>
        </w:tc>
        <w:tc>
          <w:tcPr>
            <w:tcW w:w="755" w:type="dxa"/>
            <w:vAlign w:val="bottom"/>
          </w:tcPr>
          <w:p w14:paraId="23D43FA2" w14:textId="6CE10923" w:rsidR="002B643C" w:rsidRPr="00A03DC1" w:rsidRDefault="002B643C" w:rsidP="00882DB0">
            <w:pPr>
              <w:spacing w:before="60" w:after="60" w:line="240" w:lineRule="auto"/>
              <w:ind w:left="0"/>
              <w:jc w:val="center"/>
              <w:rPr>
                <w:rFonts w:cs="Arial"/>
                <w:sz w:val="20"/>
                <w:szCs w:val="20"/>
              </w:rPr>
            </w:pPr>
            <w:r>
              <w:rPr>
                <w:sz w:val="20"/>
                <w:szCs w:val="20"/>
              </w:rPr>
              <w:t>0.03</w:t>
            </w:r>
          </w:p>
        </w:tc>
        <w:tc>
          <w:tcPr>
            <w:tcW w:w="850" w:type="dxa"/>
            <w:vAlign w:val="bottom"/>
          </w:tcPr>
          <w:p w14:paraId="2099F90E" w14:textId="0C0C56DD" w:rsidR="002B643C" w:rsidRPr="00A03DC1" w:rsidRDefault="002B643C" w:rsidP="00882DB0">
            <w:pPr>
              <w:spacing w:before="60" w:after="60" w:line="240" w:lineRule="auto"/>
              <w:ind w:left="0"/>
              <w:jc w:val="center"/>
              <w:rPr>
                <w:rFonts w:cs="Arial"/>
                <w:sz w:val="20"/>
                <w:szCs w:val="20"/>
              </w:rPr>
            </w:pPr>
            <w:r>
              <w:rPr>
                <w:sz w:val="20"/>
                <w:szCs w:val="20"/>
              </w:rPr>
              <w:t>2.93</w:t>
            </w:r>
          </w:p>
        </w:tc>
        <w:tc>
          <w:tcPr>
            <w:tcW w:w="709" w:type="dxa"/>
            <w:vAlign w:val="bottom"/>
          </w:tcPr>
          <w:p w14:paraId="4EA01944" w14:textId="14890645" w:rsidR="002B643C" w:rsidRPr="00A03DC1" w:rsidRDefault="002B643C" w:rsidP="00882DB0">
            <w:pPr>
              <w:spacing w:before="60" w:after="60" w:line="240" w:lineRule="auto"/>
              <w:ind w:left="0"/>
              <w:jc w:val="center"/>
              <w:rPr>
                <w:rFonts w:cs="Arial"/>
                <w:sz w:val="20"/>
                <w:szCs w:val="20"/>
              </w:rPr>
            </w:pPr>
            <w:r w:rsidRPr="00A03DC1">
              <w:rPr>
                <w:sz w:val="20"/>
                <w:szCs w:val="20"/>
              </w:rPr>
              <w:t>0.04</w:t>
            </w:r>
          </w:p>
        </w:tc>
        <w:tc>
          <w:tcPr>
            <w:tcW w:w="851" w:type="dxa"/>
            <w:vAlign w:val="bottom"/>
          </w:tcPr>
          <w:p w14:paraId="6EF612CD" w14:textId="40F407F3" w:rsidR="002B643C" w:rsidRPr="00A03DC1" w:rsidRDefault="002B643C" w:rsidP="00882DB0">
            <w:pPr>
              <w:spacing w:before="60" w:after="60" w:line="240" w:lineRule="auto"/>
              <w:ind w:left="0"/>
              <w:jc w:val="center"/>
              <w:rPr>
                <w:rFonts w:cs="Arial"/>
                <w:sz w:val="20"/>
                <w:szCs w:val="20"/>
              </w:rPr>
            </w:pPr>
            <w:r>
              <w:rPr>
                <w:sz w:val="20"/>
                <w:szCs w:val="20"/>
              </w:rPr>
              <w:t>4.1</w:t>
            </w:r>
          </w:p>
        </w:tc>
        <w:tc>
          <w:tcPr>
            <w:tcW w:w="804" w:type="dxa"/>
            <w:shd w:val="clear" w:color="auto" w:fill="FF0000"/>
            <w:vAlign w:val="bottom"/>
          </w:tcPr>
          <w:p w14:paraId="713C3F27" w14:textId="784FDA2D" w:rsidR="002B643C" w:rsidRPr="00A03DC1" w:rsidRDefault="002B643C" w:rsidP="00882DB0">
            <w:pPr>
              <w:spacing w:before="60" w:after="60" w:line="240" w:lineRule="auto"/>
              <w:ind w:left="0"/>
              <w:jc w:val="center"/>
              <w:rPr>
                <w:rFonts w:cs="Arial"/>
                <w:sz w:val="20"/>
                <w:szCs w:val="20"/>
              </w:rPr>
            </w:pPr>
            <w:r>
              <w:rPr>
                <w:sz w:val="20"/>
                <w:szCs w:val="20"/>
              </w:rPr>
              <w:t>0.06</w:t>
            </w:r>
          </w:p>
        </w:tc>
        <w:tc>
          <w:tcPr>
            <w:tcW w:w="992" w:type="dxa"/>
            <w:vAlign w:val="bottom"/>
          </w:tcPr>
          <w:p w14:paraId="2F4F9E99" w14:textId="104D916D" w:rsidR="002B643C" w:rsidRPr="00A03DC1" w:rsidRDefault="002B643C" w:rsidP="00882DB0">
            <w:pPr>
              <w:spacing w:before="60" w:after="60" w:line="240" w:lineRule="auto"/>
              <w:ind w:left="0"/>
              <w:jc w:val="center"/>
              <w:rPr>
                <w:rFonts w:cs="Arial"/>
                <w:sz w:val="20"/>
                <w:szCs w:val="20"/>
              </w:rPr>
            </w:pPr>
            <w:r>
              <w:rPr>
                <w:sz w:val="20"/>
                <w:szCs w:val="20"/>
              </w:rPr>
              <w:t>4.85</w:t>
            </w:r>
          </w:p>
        </w:tc>
      </w:tr>
      <w:tr w:rsidR="002B643C" w14:paraId="636AE1E3" w14:textId="77777777" w:rsidTr="009529E1">
        <w:trPr>
          <w:jc w:val="center"/>
        </w:trPr>
        <w:tc>
          <w:tcPr>
            <w:tcW w:w="863" w:type="dxa"/>
          </w:tcPr>
          <w:p w14:paraId="1B6D85FD" w14:textId="3604DE40" w:rsidR="002B643C" w:rsidRPr="009329CB" w:rsidRDefault="002B643C" w:rsidP="00524561">
            <w:pPr>
              <w:spacing w:before="60" w:after="60" w:line="240" w:lineRule="auto"/>
              <w:ind w:left="0"/>
              <w:rPr>
                <w:rFonts w:cs="Arial"/>
                <w:sz w:val="20"/>
                <w:szCs w:val="20"/>
              </w:rPr>
            </w:pPr>
            <w:r>
              <w:rPr>
                <w:rFonts w:cs="Arial"/>
                <w:sz w:val="20"/>
                <w:szCs w:val="20"/>
              </w:rPr>
              <w:t>III</w:t>
            </w:r>
          </w:p>
        </w:tc>
        <w:tc>
          <w:tcPr>
            <w:tcW w:w="1655" w:type="dxa"/>
            <w:vAlign w:val="center"/>
          </w:tcPr>
          <w:p w14:paraId="36E7A37F" w14:textId="5810D86F" w:rsidR="002B643C" w:rsidRPr="00A03DC1" w:rsidRDefault="002B643C" w:rsidP="00882DB0">
            <w:pPr>
              <w:spacing w:before="60" w:after="60" w:line="240" w:lineRule="auto"/>
              <w:ind w:left="0"/>
              <w:jc w:val="center"/>
              <w:rPr>
                <w:rFonts w:cs="Arial"/>
                <w:sz w:val="20"/>
                <w:szCs w:val="20"/>
              </w:rPr>
            </w:pPr>
            <w:r w:rsidRPr="00A03DC1">
              <w:rPr>
                <w:sz w:val="20"/>
                <w:szCs w:val="20"/>
              </w:rPr>
              <w:t>207 </w:t>
            </w:r>
          </w:p>
        </w:tc>
        <w:tc>
          <w:tcPr>
            <w:tcW w:w="755" w:type="dxa"/>
            <w:vAlign w:val="bottom"/>
          </w:tcPr>
          <w:p w14:paraId="6F7820B1" w14:textId="6EAEF45D" w:rsidR="002B643C" w:rsidRPr="00A03DC1" w:rsidRDefault="002B643C" w:rsidP="00882DB0">
            <w:pPr>
              <w:spacing w:before="60" w:after="60" w:line="240" w:lineRule="auto"/>
              <w:ind w:left="0"/>
              <w:jc w:val="center"/>
              <w:rPr>
                <w:rFonts w:cs="Arial"/>
                <w:sz w:val="20"/>
                <w:szCs w:val="20"/>
              </w:rPr>
            </w:pPr>
            <w:r>
              <w:rPr>
                <w:sz w:val="20"/>
                <w:szCs w:val="20"/>
              </w:rPr>
              <w:t>0.05</w:t>
            </w:r>
          </w:p>
        </w:tc>
        <w:tc>
          <w:tcPr>
            <w:tcW w:w="850" w:type="dxa"/>
            <w:vAlign w:val="bottom"/>
          </w:tcPr>
          <w:p w14:paraId="6E8B132B" w14:textId="25B3360F" w:rsidR="002B643C" w:rsidRPr="00A03DC1" w:rsidRDefault="002B643C" w:rsidP="00882DB0">
            <w:pPr>
              <w:spacing w:before="60" w:after="60" w:line="240" w:lineRule="auto"/>
              <w:ind w:left="0"/>
              <w:jc w:val="center"/>
              <w:rPr>
                <w:rFonts w:cs="Arial"/>
                <w:sz w:val="20"/>
                <w:szCs w:val="20"/>
              </w:rPr>
            </w:pPr>
            <w:r>
              <w:rPr>
                <w:sz w:val="20"/>
                <w:szCs w:val="20"/>
              </w:rPr>
              <w:t>8.3</w:t>
            </w:r>
          </w:p>
        </w:tc>
        <w:tc>
          <w:tcPr>
            <w:tcW w:w="709" w:type="dxa"/>
            <w:vAlign w:val="bottom"/>
          </w:tcPr>
          <w:p w14:paraId="18AD3992" w14:textId="3E38D292" w:rsidR="002B643C" w:rsidRPr="00A03DC1" w:rsidRDefault="002B643C" w:rsidP="00882DB0">
            <w:pPr>
              <w:spacing w:before="60" w:after="60" w:line="240" w:lineRule="auto"/>
              <w:ind w:left="0"/>
              <w:jc w:val="center"/>
              <w:rPr>
                <w:rFonts w:cs="Arial"/>
                <w:sz w:val="20"/>
                <w:szCs w:val="20"/>
              </w:rPr>
            </w:pPr>
            <w:r>
              <w:rPr>
                <w:sz w:val="20"/>
                <w:szCs w:val="20"/>
              </w:rPr>
              <w:t>0.09</w:t>
            </w:r>
          </w:p>
        </w:tc>
        <w:tc>
          <w:tcPr>
            <w:tcW w:w="851" w:type="dxa"/>
            <w:vAlign w:val="bottom"/>
          </w:tcPr>
          <w:p w14:paraId="488651E8" w14:textId="6F0A07D8" w:rsidR="002B643C" w:rsidRPr="002B643C" w:rsidRDefault="002B643C" w:rsidP="002B643C">
            <w:pPr>
              <w:spacing w:before="60" w:after="60" w:line="240" w:lineRule="auto"/>
              <w:ind w:left="0"/>
              <w:jc w:val="center"/>
              <w:rPr>
                <w:sz w:val="20"/>
                <w:szCs w:val="20"/>
              </w:rPr>
            </w:pPr>
            <w:r>
              <w:rPr>
                <w:sz w:val="20"/>
                <w:szCs w:val="20"/>
              </w:rPr>
              <w:t>18.1</w:t>
            </w:r>
          </w:p>
        </w:tc>
        <w:tc>
          <w:tcPr>
            <w:tcW w:w="804" w:type="dxa"/>
            <w:shd w:val="clear" w:color="auto" w:fill="FF0000"/>
            <w:vAlign w:val="bottom"/>
          </w:tcPr>
          <w:p w14:paraId="64011023" w14:textId="52AB82FE" w:rsidR="002B643C" w:rsidRPr="00A03DC1" w:rsidRDefault="002B643C" w:rsidP="00882DB0">
            <w:pPr>
              <w:spacing w:before="60" w:after="60" w:line="240" w:lineRule="auto"/>
              <w:ind w:left="0"/>
              <w:jc w:val="center"/>
              <w:rPr>
                <w:rFonts w:cs="Arial"/>
                <w:sz w:val="20"/>
                <w:szCs w:val="20"/>
              </w:rPr>
            </w:pPr>
            <w:r>
              <w:rPr>
                <w:sz w:val="20"/>
                <w:szCs w:val="20"/>
              </w:rPr>
              <w:t>0.13</w:t>
            </w:r>
          </w:p>
        </w:tc>
        <w:tc>
          <w:tcPr>
            <w:tcW w:w="992" w:type="dxa"/>
            <w:vAlign w:val="bottom"/>
          </w:tcPr>
          <w:p w14:paraId="17D50D46" w14:textId="07B156EA" w:rsidR="002B643C" w:rsidRPr="00A03DC1" w:rsidRDefault="002B643C" w:rsidP="00882DB0">
            <w:pPr>
              <w:spacing w:before="60" w:after="60" w:line="240" w:lineRule="auto"/>
              <w:ind w:left="0"/>
              <w:jc w:val="center"/>
              <w:rPr>
                <w:rFonts w:cs="Arial"/>
                <w:sz w:val="20"/>
                <w:szCs w:val="20"/>
              </w:rPr>
            </w:pPr>
            <w:r>
              <w:rPr>
                <w:sz w:val="20"/>
                <w:szCs w:val="20"/>
              </w:rPr>
              <w:t>18.6</w:t>
            </w:r>
          </w:p>
        </w:tc>
      </w:tr>
      <w:tr w:rsidR="002B643C" w14:paraId="06161631" w14:textId="77777777" w:rsidTr="002B643C">
        <w:trPr>
          <w:jc w:val="center"/>
        </w:trPr>
        <w:tc>
          <w:tcPr>
            <w:tcW w:w="7479" w:type="dxa"/>
            <w:gridSpan w:val="8"/>
            <w:shd w:val="clear" w:color="auto" w:fill="D9D9D9" w:themeFill="background1" w:themeFillShade="D9"/>
          </w:tcPr>
          <w:p w14:paraId="6B71C16B" w14:textId="4170008F" w:rsidR="002B643C" w:rsidRPr="00A03DC1" w:rsidRDefault="002B643C" w:rsidP="002B643C">
            <w:pPr>
              <w:spacing w:before="60" w:after="60" w:line="240" w:lineRule="auto"/>
              <w:ind w:left="0"/>
              <w:rPr>
                <w:sz w:val="20"/>
                <w:szCs w:val="20"/>
              </w:rPr>
            </w:pPr>
            <w:r>
              <w:rPr>
                <w:sz w:val="20"/>
                <w:szCs w:val="20"/>
              </w:rPr>
              <w:t>Recoverable injury</w:t>
            </w:r>
          </w:p>
        </w:tc>
      </w:tr>
      <w:tr w:rsidR="002B643C" w14:paraId="60A9FF99" w14:textId="77777777" w:rsidTr="009529E1">
        <w:trPr>
          <w:jc w:val="center"/>
        </w:trPr>
        <w:tc>
          <w:tcPr>
            <w:tcW w:w="863" w:type="dxa"/>
          </w:tcPr>
          <w:p w14:paraId="4EAE7DBD" w14:textId="7E78C97E" w:rsidR="002B643C" w:rsidRPr="009329CB" w:rsidRDefault="002B643C" w:rsidP="00524561">
            <w:pPr>
              <w:spacing w:before="60" w:after="60" w:line="240" w:lineRule="auto"/>
              <w:ind w:left="0"/>
              <w:rPr>
                <w:rFonts w:cs="Arial"/>
                <w:sz w:val="20"/>
                <w:szCs w:val="20"/>
              </w:rPr>
            </w:pPr>
            <w:r>
              <w:rPr>
                <w:rFonts w:cs="Arial"/>
                <w:sz w:val="20"/>
                <w:szCs w:val="20"/>
              </w:rPr>
              <w:t>I</w:t>
            </w:r>
          </w:p>
        </w:tc>
        <w:tc>
          <w:tcPr>
            <w:tcW w:w="1655" w:type="dxa"/>
            <w:vAlign w:val="center"/>
          </w:tcPr>
          <w:p w14:paraId="171AA9BC" w14:textId="7F866596" w:rsidR="002B643C" w:rsidRPr="00A03DC1" w:rsidRDefault="002B643C" w:rsidP="00A03DC1">
            <w:pPr>
              <w:spacing w:before="60" w:after="60" w:line="240" w:lineRule="auto"/>
              <w:ind w:left="0"/>
              <w:jc w:val="center"/>
              <w:rPr>
                <w:rFonts w:cs="Arial"/>
                <w:sz w:val="20"/>
                <w:szCs w:val="20"/>
              </w:rPr>
            </w:pPr>
            <w:r w:rsidRPr="00A03DC1">
              <w:rPr>
                <w:sz w:val="20"/>
                <w:szCs w:val="20"/>
              </w:rPr>
              <w:t>216</w:t>
            </w:r>
          </w:p>
        </w:tc>
        <w:tc>
          <w:tcPr>
            <w:tcW w:w="755" w:type="dxa"/>
            <w:shd w:val="clear" w:color="auto" w:fill="FF0000"/>
            <w:vAlign w:val="center"/>
          </w:tcPr>
          <w:p w14:paraId="74EE3E40" w14:textId="71DB55ED" w:rsidR="002B643C" w:rsidRPr="00A03DC1" w:rsidRDefault="002B643C" w:rsidP="00A03DC1">
            <w:pPr>
              <w:spacing w:before="60" w:after="60" w:line="240" w:lineRule="auto"/>
              <w:ind w:left="0"/>
              <w:jc w:val="center"/>
              <w:rPr>
                <w:rFonts w:cs="Arial"/>
                <w:sz w:val="20"/>
                <w:szCs w:val="20"/>
              </w:rPr>
            </w:pPr>
            <w:r w:rsidRPr="00A03DC1">
              <w:rPr>
                <w:sz w:val="20"/>
                <w:szCs w:val="20"/>
              </w:rPr>
              <w:t>0.02</w:t>
            </w:r>
          </w:p>
        </w:tc>
        <w:tc>
          <w:tcPr>
            <w:tcW w:w="850" w:type="dxa"/>
            <w:vAlign w:val="center"/>
          </w:tcPr>
          <w:p w14:paraId="72D71CDA" w14:textId="067C51D3" w:rsidR="002B643C" w:rsidRPr="00A03DC1" w:rsidRDefault="002B643C" w:rsidP="00A03DC1">
            <w:pPr>
              <w:spacing w:before="60" w:after="60" w:line="240" w:lineRule="auto"/>
              <w:ind w:left="0"/>
              <w:jc w:val="center"/>
              <w:rPr>
                <w:rFonts w:cs="Arial"/>
                <w:sz w:val="20"/>
                <w:szCs w:val="20"/>
              </w:rPr>
            </w:pPr>
            <w:r w:rsidRPr="00A03DC1">
              <w:rPr>
                <w:sz w:val="20"/>
                <w:szCs w:val="20"/>
              </w:rPr>
              <w:t>0.60</w:t>
            </w:r>
          </w:p>
        </w:tc>
        <w:tc>
          <w:tcPr>
            <w:tcW w:w="709" w:type="dxa"/>
            <w:shd w:val="clear" w:color="auto" w:fill="FF0000"/>
            <w:vAlign w:val="center"/>
          </w:tcPr>
          <w:p w14:paraId="2DE63702" w14:textId="54FB5346" w:rsidR="002B643C" w:rsidRPr="00A03DC1" w:rsidRDefault="002B643C" w:rsidP="00A03DC1">
            <w:pPr>
              <w:spacing w:before="60" w:after="60" w:line="240" w:lineRule="auto"/>
              <w:ind w:left="0"/>
              <w:jc w:val="center"/>
              <w:rPr>
                <w:rFonts w:cs="Arial"/>
                <w:sz w:val="20"/>
                <w:szCs w:val="20"/>
              </w:rPr>
            </w:pPr>
            <w:r w:rsidRPr="00A03DC1">
              <w:rPr>
                <w:sz w:val="20"/>
                <w:szCs w:val="20"/>
              </w:rPr>
              <w:t>0.02</w:t>
            </w:r>
          </w:p>
        </w:tc>
        <w:tc>
          <w:tcPr>
            <w:tcW w:w="851" w:type="dxa"/>
            <w:vAlign w:val="center"/>
          </w:tcPr>
          <w:p w14:paraId="73D9058A" w14:textId="48B691D3" w:rsidR="002B643C" w:rsidRPr="00A03DC1" w:rsidRDefault="002B643C" w:rsidP="00A03DC1">
            <w:pPr>
              <w:spacing w:before="60" w:after="60" w:line="240" w:lineRule="auto"/>
              <w:ind w:left="0"/>
              <w:jc w:val="center"/>
              <w:rPr>
                <w:rFonts w:cs="Arial"/>
                <w:sz w:val="20"/>
                <w:szCs w:val="20"/>
              </w:rPr>
            </w:pPr>
            <w:r w:rsidRPr="00A03DC1">
              <w:rPr>
                <w:sz w:val="20"/>
                <w:szCs w:val="20"/>
              </w:rPr>
              <w:t>1.0</w:t>
            </w:r>
          </w:p>
        </w:tc>
        <w:tc>
          <w:tcPr>
            <w:tcW w:w="804" w:type="dxa"/>
            <w:vAlign w:val="center"/>
          </w:tcPr>
          <w:p w14:paraId="67B679B7" w14:textId="1F052CFD" w:rsidR="002B643C" w:rsidRPr="00A03DC1" w:rsidRDefault="002B643C" w:rsidP="00A03DC1">
            <w:pPr>
              <w:spacing w:before="60" w:after="60" w:line="240" w:lineRule="auto"/>
              <w:ind w:left="0"/>
              <w:jc w:val="center"/>
              <w:rPr>
                <w:rFonts w:cs="Arial"/>
                <w:sz w:val="20"/>
                <w:szCs w:val="20"/>
              </w:rPr>
            </w:pPr>
            <w:r w:rsidRPr="00A03DC1">
              <w:rPr>
                <w:sz w:val="20"/>
                <w:szCs w:val="20"/>
              </w:rPr>
              <w:t>0.01</w:t>
            </w:r>
          </w:p>
        </w:tc>
        <w:tc>
          <w:tcPr>
            <w:tcW w:w="992" w:type="dxa"/>
            <w:vAlign w:val="center"/>
          </w:tcPr>
          <w:p w14:paraId="5E68419D" w14:textId="2D4095A6" w:rsidR="002B643C" w:rsidRPr="00A03DC1" w:rsidRDefault="002B643C" w:rsidP="00A03DC1">
            <w:pPr>
              <w:spacing w:before="60" w:after="60" w:line="240" w:lineRule="auto"/>
              <w:ind w:left="0"/>
              <w:jc w:val="center"/>
              <w:rPr>
                <w:rFonts w:cs="Arial"/>
                <w:sz w:val="20"/>
                <w:szCs w:val="20"/>
              </w:rPr>
            </w:pPr>
            <w:r>
              <w:rPr>
                <w:sz w:val="20"/>
                <w:szCs w:val="20"/>
              </w:rPr>
              <w:t>0.28</w:t>
            </w:r>
          </w:p>
        </w:tc>
      </w:tr>
      <w:tr w:rsidR="002B643C" w14:paraId="59DDFD78" w14:textId="77777777" w:rsidTr="009529E1">
        <w:trPr>
          <w:jc w:val="center"/>
        </w:trPr>
        <w:tc>
          <w:tcPr>
            <w:tcW w:w="863" w:type="dxa"/>
          </w:tcPr>
          <w:p w14:paraId="17124E50" w14:textId="45530F4E" w:rsidR="002B643C" w:rsidRPr="009329CB" w:rsidRDefault="002B643C" w:rsidP="00A03DC1">
            <w:pPr>
              <w:spacing w:before="60" w:after="60" w:line="240" w:lineRule="auto"/>
              <w:ind w:left="0"/>
              <w:rPr>
                <w:rFonts w:cs="Arial"/>
                <w:sz w:val="20"/>
                <w:szCs w:val="20"/>
              </w:rPr>
            </w:pPr>
            <w:r>
              <w:rPr>
                <w:rFonts w:cs="Arial"/>
                <w:sz w:val="20"/>
                <w:szCs w:val="20"/>
              </w:rPr>
              <w:t>II, III</w:t>
            </w:r>
          </w:p>
        </w:tc>
        <w:tc>
          <w:tcPr>
            <w:tcW w:w="1655" w:type="dxa"/>
            <w:vAlign w:val="center"/>
          </w:tcPr>
          <w:p w14:paraId="34532183" w14:textId="61F42446" w:rsidR="002B643C" w:rsidRPr="00A03DC1" w:rsidRDefault="002B643C" w:rsidP="00A03DC1">
            <w:pPr>
              <w:spacing w:before="60" w:after="60" w:line="240" w:lineRule="auto"/>
              <w:ind w:left="0"/>
              <w:jc w:val="center"/>
              <w:rPr>
                <w:rFonts w:cs="Arial"/>
                <w:sz w:val="20"/>
                <w:szCs w:val="20"/>
              </w:rPr>
            </w:pPr>
            <w:r w:rsidRPr="00A03DC1">
              <w:rPr>
                <w:sz w:val="20"/>
                <w:szCs w:val="20"/>
              </w:rPr>
              <w:t>203</w:t>
            </w:r>
          </w:p>
        </w:tc>
        <w:tc>
          <w:tcPr>
            <w:tcW w:w="755" w:type="dxa"/>
            <w:vAlign w:val="center"/>
          </w:tcPr>
          <w:p w14:paraId="74397F3F" w14:textId="1E614A6C" w:rsidR="002B643C" w:rsidRPr="00A03DC1" w:rsidRDefault="002B643C" w:rsidP="00A03DC1">
            <w:pPr>
              <w:spacing w:before="60" w:after="60" w:line="240" w:lineRule="auto"/>
              <w:ind w:left="0"/>
              <w:jc w:val="center"/>
              <w:rPr>
                <w:rFonts w:cs="Arial"/>
                <w:sz w:val="20"/>
                <w:szCs w:val="20"/>
              </w:rPr>
            </w:pPr>
            <w:r>
              <w:rPr>
                <w:sz w:val="20"/>
                <w:szCs w:val="20"/>
              </w:rPr>
              <w:t>0.22</w:t>
            </w:r>
          </w:p>
        </w:tc>
        <w:tc>
          <w:tcPr>
            <w:tcW w:w="850" w:type="dxa"/>
            <w:vAlign w:val="center"/>
          </w:tcPr>
          <w:p w14:paraId="5CD379DD" w14:textId="612D4456" w:rsidR="002B643C" w:rsidRPr="00A03DC1" w:rsidRDefault="002B643C" w:rsidP="00A03DC1">
            <w:pPr>
              <w:spacing w:before="60" w:after="60" w:line="240" w:lineRule="auto"/>
              <w:ind w:left="0"/>
              <w:jc w:val="center"/>
              <w:rPr>
                <w:rFonts w:cs="Arial"/>
                <w:sz w:val="20"/>
                <w:szCs w:val="20"/>
              </w:rPr>
            </w:pPr>
            <w:r>
              <w:rPr>
                <w:sz w:val="20"/>
                <w:szCs w:val="20"/>
              </w:rPr>
              <w:t>31.5</w:t>
            </w:r>
          </w:p>
        </w:tc>
        <w:tc>
          <w:tcPr>
            <w:tcW w:w="709" w:type="dxa"/>
            <w:shd w:val="clear" w:color="auto" w:fill="FF0000"/>
            <w:vAlign w:val="center"/>
          </w:tcPr>
          <w:p w14:paraId="00E6DAFA" w14:textId="1527F540" w:rsidR="002B643C" w:rsidRPr="00A03DC1" w:rsidRDefault="002B643C" w:rsidP="00A03DC1">
            <w:pPr>
              <w:spacing w:before="60" w:after="60" w:line="240" w:lineRule="auto"/>
              <w:ind w:left="0"/>
              <w:jc w:val="center"/>
              <w:rPr>
                <w:rFonts w:cs="Arial"/>
                <w:sz w:val="20"/>
                <w:szCs w:val="20"/>
              </w:rPr>
            </w:pPr>
            <w:r>
              <w:rPr>
                <w:sz w:val="20"/>
                <w:szCs w:val="20"/>
              </w:rPr>
              <w:t>0.58</w:t>
            </w:r>
          </w:p>
        </w:tc>
        <w:tc>
          <w:tcPr>
            <w:tcW w:w="851" w:type="dxa"/>
            <w:vAlign w:val="center"/>
          </w:tcPr>
          <w:p w14:paraId="336B5388" w14:textId="3D137166" w:rsidR="002B643C" w:rsidRPr="00A03DC1" w:rsidRDefault="002B643C" w:rsidP="00A03DC1">
            <w:pPr>
              <w:spacing w:before="60" w:after="60" w:line="240" w:lineRule="auto"/>
              <w:ind w:left="0"/>
              <w:jc w:val="center"/>
              <w:rPr>
                <w:rFonts w:cs="Arial"/>
                <w:sz w:val="20"/>
                <w:szCs w:val="20"/>
              </w:rPr>
            </w:pPr>
            <w:r>
              <w:rPr>
                <w:sz w:val="20"/>
                <w:szCs w:val="20"/>
              </w:rPr>
              <w:t>36.1</w:t>
            </w:r>
          </w:p>
        </w:tc>
        <w:tc>
          <w:tcPr>
            <w:tcW w:w="804" w:type="dxa"/>
            <w:vAlign w:val="center"/>
          </w:tcPr>
          <w:p w14:paraId="3770506A" w14:textId="3E3341D2" w:rsidR="002B643C" w:rsidRPr="00A03DC1" w:rsidRDefault="002B643C" w:rsidP="00A03DC1">
            <w:pPr>
              <w:spacing w:before="60" w:after="60" w:line="240" w:lineRule="auto"/>
              <w:ind w:left="0"/>
              <w:jc w:val="center"/>
              <w:rPr>
                <w:rFonts w:cs="Arial"/>
                <w:sz w:val="20"/>
                <w:szCs w:val="20"/>
              </w:rPr>
            </w:pPr>
            <w:r>
              <w:rPr>
                <w:sz w:val="20"/>
                <w:szCs w:val="20"/>
              </w:rPr>
              <w:t>0.55</w:t>
            </w:r>
          </w:p>
        </w:tc>
        <w:tc>
          <w:tcPr>
            <w:tcW w:w="992" w:type="dxa"/>
            <w:vAlign w:val="center"/>
          </w:tcPr>
          <w:p w14:paraId="6AC9C6D6" w14:textId="5318968B" w:rsidR="002B643C" w:rsidRPr="00A03DC1" w:rsidRDefault="002B643C" w:rsidP="00A03DC1">
            <w:pPr>
              <w:spacing w:before="60" w:after="60" w:line="240" w:lineRule="auto"/>
              <w:ind w:left="0"/>
              <w:jc w:val="center"/>
              <w:rPr>
                <w:rFonts w:cs="Arial"/>
                <w:sz w:val="20"/>
                <w:szCs w:val="20"/>
              </w:rPr>
            </w:pPr>
            <w:r>
              <w:rPr>
                <w:sz w:val="20"/>
                <w:szCs w:val="20"/>
              </w:rPr>
              <w:t>37.6</w:t>
            </w:r>
          </w:p>
        </w:tc>
      </w:tr>
      <w:tr w:rsidR="002B643C" w14:paraId="663E5B5C" w14:textId="77777777" w:rsidTr="002B643C">
        <w:trPr>
          <w:jc w:val="center"/>
        </w:trPr>
        <w:tc>
          <w:tcPr>
            <w:tcW w:w="7479" w:type="dxa"/>
            <w:gridSpan w:val="8"/>
            <w:shd w:val="clear" w:color="auto" w:fill="D9D9D9" w:themeFill="background1" w:themeFillShade="D9"/>
          </w:tcPr>
          <w:p w14:paraId="358C6653" w14:textId="2FD9401B" w:rsidR="002B643C" w:rsidRPr="00A03DC1" w:rsidRDefault="002B643C" w:rsidP="002B643C">
            <w:pPr>
              <w:spacing w:before="60" w:after="60" w:line="240" w:lineRule="auto"/>
              <w:ind w:left="0"/>
              <w:rPr>
                <w:sz w:val="20"/>
                <w:szCs w:val="20"/>
              </w:rPr>
            </w:pPr>
            <w:r>
              <w:rPr>
                <w:sz w:val="20"/>
                <w:szCs w:val="20"/>
              </w:rPr>
              <w:t>TTS</w:t>
            </w:r>
          </w:p>
        </w:tc>
      </w:tr>
      <w:tr w:rsidR="002B643C" w14:paraId="59A7850E" w14:textId="77777777" w:rsidTr="009529E1">
        <w:trPr>
          <w:jc w:val="center"/>
        </w:trPr>
        <w:tc>
          <w:tcPr>
            <w:tcW w:w="863" w:type="dxa"/>
          </w:tcPr>
          <w:p w14:paraId="3AEA4C06" w14:textId="45B48D61" w:rsidR="002B643C" w:rsidRPr="009329CB" w:rsidRDefault="002B643C" w:rsidP="00524561">
            <w:pPr>
              <w:spacing w:before="60" w:after="60" w:line="240" w:lineRule="auto"/>
              <w:ind w:left="0"/>
              <w:rPr>
                <w:rFonts w:cs="Arial"/>
                <w:sz w:val="20"/>
                <w:szCs w:val="20"/>
              </w:rPr>
            </w:pPr>
            <w:r>
              <w:rPr>
                <w:rFonts w:cs="Arial"/>
                <w:sz w:val="20"/>
                <w:szCs w:val="20"/>
              </w:rPr>
              <w:t>I, II, III</w:t>
            </w:r>
          </w:p>
        </w:tc>
        <w:tc>
          <w:tcPr>
            <w:tcW w:w="1655" w:type="dxa"/>
            <w:vAlign w:val="center"/>
          </w:tcPr>
          <w:p w14:paraId="4973653C" w14:textId="5E0EF97F" w:rsidR="002B643C" w:rsidRPr="00A03DC1" w:rsidRDefault="002B643C" w:rsidP="00A03DC1">
            <w:pPr>
              <w:spacing w:before="60" w:after="60" w:line="240" w:lineRule="auto"/>
              <w:ind w:left="0"/>
              <w:jc w:val="center"/>
              <w:rPr>
                <w:rFonts w:cs="Arial"/>
                <w:sz w:val="20"/>
                <w:szCs w:val="20"/>
              </w:rPr>
            </w:pPr>
            <w:r w:rsidRPr="00A03DC1">
              <w:rPr>
                <w:sz w:val="20"/>
                <w:szCs w:val="20"/>
              </w:rPr>
              <w:t>186</w:t>
            </w:r>
          </w:p>
        </w:tc>
        <w:tc>
          <w:tcPr>
            <w:tcW w:w="755" w:type="dxa"/>
            <w:vAlign w:val="center"/>
          </w:tcPr>
          <w:p w14:paraId="6AFF8D94" w14:textId="1570E049" w:rsidR="002B643C" w:rsidRPr="00A03DC1" w:rsidRDefault="002B643C" w:rsidP="00A03DC1">
            <w:pPr>
              <w:spacing w:before="60" w:after="60" w:line="240" w:lineRule="auto"/>
              <w:ind w:left="0"/>
              <w:jc w:val="center"/>
              <w:rPr>
                <w:rFonts w:cs="Arial"/>
                <w:sz w:val="20"/>
                <w:szCs w:val="20"/>
              </w:rPr>
            </w:pPr>
            <w:r w:rsidRPr="00A03DC1">
              <w:rPr>
                <w:sz w:val="20"/>
                <w:szCs w:val="20"/>
              </w:rPr>
              <w:t>4.8</w:t>
            </w:r>
            <w:r>
              <w:rPr>
                <w:sz w:val="20"/>
                <w:szCs w:val="20"/>
              </w:rPr>
              <w:t>6</w:t>
            </w:r>
          </w:p>
        </w:tc>
        <w:tc>
          <w:tcPr>
            <w:tcW w:w="850" w:type="dxa"/>
            <w:vAlign w:val="center"/>
          </w:tcPr>
          <w:p w14:paraId="68E75E59" w14:textId="2317525F" w:rsidR="002B643C" w:rsidRPr="00A03DC1" w:rsidRDefault="002B643C" w:rsidP="00A03DC1">
            <w:pPr>
              <w:spacing w:before="60" w:after="60" w:line="240" w:lineRule="auto"/>
              <w:ind w:left="0"/>
              <w:jc w:val="center"/>
              <w:rPr>
                <w:rFonts w:cs="Arial"/>
                <w:sz w:val="20"/>
                <w:szCs w:val="20"/>
              </w:rPr>
            </w:pPr>
            <w:r>
              <w:rPr>
                <w:sz w:val="20"/>
                <w:szCs w:val="20"/>
              </w:rPr>
              <w:t>302</w:t>
            </w:r>
          </w:p>
        </w:tc>
        <w:tc>
          <w:tcPr>
            <w:tcW w:w="709" w:type="dxa"/>
            <w:shd w:val="clear" w:color="auto" w:fill="FF0000"/>
            <w:vAlign w:val="center"/>
          </w:tcPr>
          <w:p w14:paraId="2E43F721" w14:textId="38F86820" w:rsidR="002B643C" w:rsidRPr="00A03DC1" w:rsidRDefault="002B643C" w:rsidP="00A03DC1">
            <w:pPr>
              <w:spacing w:before="60" w:after="60" w:line="240" w:lineRule="auto"/>
              <w:ind w:left="0"/>
              <w:jc w:val="center"/>
              <w:rPr>
                <w:rFonts w:cs="Arial"/>
                <w:sz w:val="20"/>
                <w:szCs w:val="20"/>
              </w:rPr>
            </w:pPr>
            <w:r w:rsidRPr="00A03DC1">
              <w:rPr>
                <w:sz w:val="20"/>
                <w:szCs w:val="20"/>
              </w:rPr>
              <w:t>8.1</w:t>
            </w:r>
            <w:r>
              <w:rPr>
                <w:sz w:val="20"/>
                <w:szCs w:val="20"/>
              </w:rPr>
              <w:t>1</w:t>
            </w:r>
          </w:p>
        </w:tc>
        <w:tc>
          <w:tcPr>
            <w:tcW w:w="851" w:type="dxa"/>
            <w:vAlign w:val="center"/>
          </w:tcPr>
          <w:p w14:paraId="006C67BC" w14:textId="5F4F5B91" w:rsidR="002B643C" w:rsidRPr="00A03DC1" w:rsidRDefault="002B643C" w:rsidP="00A03DC1">
            <w:pPr>
              <w:spacing w:before="60" w:after="60" w:line="240" w:lineRule="auto"/>
              <w:ind w:left="0"/>
              <w:jc w:val="center"/>
              <w:rPr>
                <w:rFonts w:cs="Arial"/>
                <w:sz w:val="20"/>
                <w:szCs w:val="20"/>
              </w:rPr>
            </w:pPr>
            <w:r>
              <w:rPr>
                <w:sz w:val="20"/>
                <w:szCs w:val="20"/>
              </w:rPr>
              <w:t>244</w:t>
            </w:r>
          </w:p>
        </w:tc>
        <w:tc>
          <w:tcPr>
            <w:tcW w:w="804" w:type="dxa"/>
            <w:vAlign w:val="center"/>
          </w:tcPr>
          <w:p w14:paraId="59D45A5B" w14:textId="1783F930" w:rsidR="002B643C" w:rsidRPr="00A03DC1" w:rsidRDefault="002B643C" w:rsidP="00A03DC1">
            <w:pPr>
              <w:spacing w:before="60" w:after="60" w:line="240" w:lineRule="auto"/>
              <w:ind w:left="0"/>
              <w:jc w:val="center"/>
              <w:rPr>
                <w:rFonts w:cs="Arial"/>
                <w:sz w:val="20"/>
                <w:szCs w:val="20"/>
              </w:rPr>
            </w:pPr>
            <w:r>
              <w:rPr>
                <w:sz w:val="20"/>
                <w:szCs w:val="20"/>
              </w:rPr>
              <w:t>5.92</w:t>
            </w:r>
          </w:p>
        </w:tc>
        <w:tc>
          <w:tcPr>
            <w:tcW w:w="992" w:type="dxa"/>
            <w:vAlign w:val="center"/>
          </w:tcPr>
          <w:p w14:paraId="429B44B4" w14:textId="66156381" w:rsidR="002B643C" w:rsidRPr="00A03DC1" w:rsidRDefault="002B643C" w:rsidP="00A03DC1">
            <w:pPr>
              <w:spacing w:before="60" w:after="60" w:line="240" w:lineRule="auto"/>
              <w:ind w:left="0"/>
              <w:jc w:val="center"/>
              <w:rPr>
                <w:rFonts w:cs="Arial"/>
                <w:sz w:val="20"/>
                <w:szCs w:val="20"/>
              </w:rPr>
            </w:pPr>
            <w:r>
              <w:rPr>
                <w:sz w:val="20"/>
                <w:szCs w:val="20"/>
              </w:rPr>
              <w:t>190</w:t>
            </w:r>
          </w:p>
        </w:tc>
      </w:tr>
    </w:tbl>
    <w:p w14:paraId="217AC069" w14:textId="4A61BC6E" w:rsidR="001D2756" w:rsidRPr="001D2756" w:rsidRDefault="001D2756" w:rsidP="001D2756">
      <w:pPr>
        <w:ind w:left="0" w:firstLine="426"/>
        <w:rPr>
          <w:i/>
          <w:sz w:val="18"/>
          <w:szCs w:val="18"/>
        </w:rPr>
      </w:pPr>
      <w:r w:rsidRPr="001D2756">
        <w:rPr>
          <w:i/>
          <w:sz w:val="18"/>
          <w:szCs w:val="18"/>
        </w:rPr>
        <w:t>Cells highlighted in red indicate maximum predicted exten</w:t>
      </w:r>
      <w:r w:rsidR="00A24FEE">
        <w:rPr>
          <w:i/>
          <w:sz w:val="18"/>
          <w:szCs w:val="18"/>
        </w:rPr>
        <w:t>t</w:t>
      </w:r>
      <w:r w:rsidRPr="001D2756">
        <w:rPr>
          <w:i/>
          <w:sz w:val="18"/>
          <w:szCs w:val="18"/>
        </w:rPr>
        <w:t xml:space="preserve"> of sound.</w:t>
      </w:r>
    </w:p>
    <w:p w14:paraId="2F645769" w14:textId="77777777" w:rsidR="00363C4E" w:rsidRDefault="00363C4E" w:rsidP="00AF3E67">
      <w:pPr>
        <w:ind w:left="0"/>
        <w:rPr>
          <w:rFonts w:cs="Arial"/>
          <w:sz w:val="22"/>
          <w:szCs w:val="22"/>
        </w:rPr>
      </w:pPr>
    </w:p>
    <w:p w14:paraId="67ACDB5F" w14:textId="77777777" w:rsidR="00AF3E67" w:rsidRDefault="00AF3E67" w:rsidP="00AF3E67">
      <w:pPr>
        <w:ind w:left="0"/>
        <w:rPr>
          <w:rFonts w:cs="Arial"/>
          <w:sz w:val="22"/>
          <w:szCs w:val="22"/>
        </w:rPr>
      </w:pPr>
      <w:r w:rsidRPr="00CD0B1C">
        <w:rPr>
          <w:rFonts w:cs="Arial"/>
          <w:sz w:val="22"/>
          <w:szCs w:val="22"/>
        </w:rPr>
        <w:t>The distance to sound levels associated with mortality and potential mortal injury on fish, fish eggs and fish larvae based on Popper et al. (2014), using the SEL</w:t>
      </w:r>
      <w:r w:rsidRPr="002C0E05">
        <w:rPr>
          <w:rFonts w:cs="Arial"/>
          <w:sz w:val="22"/>
          <w:szCs w:val="22"/>
          <w:vertAlign w:val="subscript"/>
        </w:rPr>
        <w:t>24h</w:t>
      </w:r>
      <w:r w:rsidRPr="00CD0B1C">
        <w:rPr>
          <w:rFonts w:cs="Arial"/>
          <w:sz w:val="22"/>
          <w:szCs w:val="22"/>
        </w:rPr>
        <w:t xml:space="preserve"> metric, are smaller than those estimated using the PK</w:t>
      </w:r>
      <w:r>
        <w:rPr>
          <w:rFonts w:cs="Arial"/>
          <w:sz w:val="22"/>
          <w:szCs w:val="22"/>
        </w:rPr>
        <w:t>-</w:t>
      </w:r>
      <w:r w:rsidRPr="00CD0B1C">
        <w:rPr>
          <w:rFonts w:cs="Arial"/>
          <w:sz w:val="22"/>
          <w:szCs w:val="22"/>
        </w:rPr>
        <w:t>based metric. Therefore, in line with the conditions of the criteria, the PK metric should be used to assess these impacts to fish, turtles, fish eggs, and fish larvae.</w:t>
      </w:r>
    </w:p>
    <w:p w14:paraId="6D68ABDE" w14:textId="77777777" w:rsidR="00AF3E67" w:rsidRPr="00CD0B1C" w:rsidRDefault="00AF3E67" w:rsidP="00AF3E67">
      <w:pPr>
        <w:ind w:left="0"/>
        <w:rPr>
          <w:rFonts w:cs="Arial"/>
          <w:sz w:val="22"/>
          <w:szCs w:val="22"/>
        </w:rPr>
      </w:pPr>
      <w:r w:rsidRPr="00CD0B1C">
        <w:rPr>
          <w:rFonts w:cs="Arial"/>
          <w:sz w:val="22"/>
          <w:szCs w:val="22"/>
        </w:rPr>
        <w:t xml:space="preserve"> </w:t>
      </w:r>
    </w:p>
    <w:p w14:paraId="6396541D" w14:textId="77777777" w:rsidR="00AF3E67" w:rsidRDefault="00AF3E67" w:rsidP="00AF3E67">
      <w:pPr>
        <w:ind w:left="0"/>
        <w:rPr>
          <w:rFonts w:cs="Arial"/>
          <w:sz w:val="22"/>
          <w:szCs w:val="22"/>
        </w:rPr>
      </w:pPr>
      <w:r w:rsidRPr="00CD0B1C">
        <w:rPr>
          <w:rFonts w:cs="Arial"/>
          <w:sz w:val="22"/>
          <w:szCs w:val="22"/>
        </w:rPr>
        <w:t>The relevant sound level for the most sensitive fish groups, fish eggs and fish larvae</w:t>
      </w:r>
      <w:r>
        <w:rPr>
          <w:rFonts w:cs="Arial"/>
          <w:sz w:val="22"/>
          <w:szCs w:val="22"/>
        </w:rPr>
        <w:t>,</w:t>
      </w:r>
      <w:r w:rsidRPr="00CD0B1C">
        <w:rPr>
          <w:rFonts w:cs="Arial"/>
          <w:sz w:val="22"/>
          <w:szCs w:val="22"/>
        </w:rPr>
        <w:t xml:space="preserve"> is 207 dB re 1 µPa PK, and the associated maximum distance is 300 m (Site 1).</w:t>
      </w:r>
    </w:p>
    <w:p w14:paraId="1925CF1A" w14:textId="77777777" w:rsidR="00AF3E67" w:rsidRPr="00CD0B1C" w:rsidRDefault="00AF3E67" w:rsidP="00AF3E67">
      <w:pPr>
        <w:ind w:left="0"/>
        <w:rPr>
          <w:rFonts w:cs="Arial"/>
          <w:sz w:val="22"/>
          <w:szCs w:val="22"/>
        </w:rPr>
      </w:pPr>
    </w:p>
    <w:p w14:paraId="5A86E7DE" w14:textId="77777777" w:rsidR="00AF3E67" w:rsidRDefault="00AF3E67" w:rsidP="00AF3E67">
      <w:pPr>
        <w:ind w:left="0"/>
        <w:rPr>
          <w:rFonts w:cs="Arial"/>
          <w:sz w:val="22"/>
          <w:szCs w:val="22"/>
        </w:rPr>
      </w:pPr>
      <w:r w:rsidRPr="00CD0B1C">
        <w:rPr>
          <w:rFonts w:cs="Arial"/>
          <w:sz w:val="22"/>
          <w:szCs w:val="22"/>
        </w:rPr>
        <w:lastRenderedPageBreak/>
        <w:t>For recoverable injury to fish based on Popper et al (2014), the distance to the sound levels and the metric associated with these distances (either PK or SEL</w:t>
      </w:r>
      <w:r w:rsidRPr="002C0E05">
        <w:rPr>
          <w:rFonts w:cs="Arial"/>
          <w:sz w:val="22"/>
          <w:szCs w:val="22"/>
          <w:vertAlign w:val="subscript"/>
        </w:rPr>
        <w:t>24h</w:t>
      </w:r>
      <w:r w:rsidRPr="00CD0B1C">
        <w:rPr>
          <w:rFonts w:cs="Arial"/>
          <w:sz w:val="22"/>
          <w:szCs w:val="22"/>
        </w:rPr>
        <w:t>), depends on the scenario:</w:t>
      </w:r>
    </w:p>
    <w:p w14:paraId="047A1E2C" w14:textId="77777777" w:rsidR="00AF3E67" w:rsidRPr="00CD0B1C" w:rsidRDefault="00AF3E67" w:rsidP="00AF3E67">
      <w:pPr>
        <w:ind w:left="0"/>
        <w:rPr>
          <w:rFonts w:cs="Arial"/>
          <w:sz w:val="22"/>
          <w:szCs w:val="22"/>
        </w:rPr>
      </w:pPr>
    </w:p>
    <w:p w14:paraId="5BE42E63" w14:textId="77777777" w:rsidR="00AF3E67" w:rsidRPr="002C0E05" w:rsidRDefault="00AF3E67" w:rsidP="00AF3E67">
      <w:pPr>
        <w:pStyle w:val="ListParagraph0"/>
        <w:numPr>
          <w:ilvl w:val="0"/>
          <w:numId w:val="410"/>
        </w:numPr>
        <w:rPr>
          <w:rFonts w:cs="Arial"/>
          <w:sz w:val="22"/>
          <w:szCs w:val="22"/>
        </w:rPr>
      </w:pPr>
      <w:r w:rsidRPr="002C0E05">
        <w:rPr>
          <w:rFonts w:cs="Arial"/>
          <w:sz w:val="22"/>
          <w:szCs w:val="22"/>
        </w:rPr>
        <w:t>Scenario 1: The distance determined using the PK metric is 300 m, which is larger than that determined using SEL</w:t>
      </w:r>
      <w:r w:rsidRPr="002C0E05">
        <w:rPr>
          <w:rFonts w:cs="Arial"/>
          <w:sz w:val="22"/>
          <w:szCs w:val="22"/>
          <w:vertAlign w:val="subscript"/>
        </w:rPr>
        <w:t>24h</w:t>
      </w:r>
      <w:r w:rsidRPr="002C0E05">
        <w:rPr>
          <w:rFonts w:cs="Arial"/>
          <w:sz w:val="22"/>
          <w:szCs w:val="22"/>
        </w:rPr>
        <w:t>, which is 220 m.</w:t>
      </w:r>
    </w:p>
    <w:p w14:paraId="5BD472D7" w14:textId="77777777" w:rsidR="00AF3E67" w:rsidRPr="002C0E05" w:rsidRDefault="00AF3E67" w:rsidP="00AF3E67">
      <w:pPr>
        <w:pStyle w:val="ListParagraph0"/>
        <w:numPr>
          <w:ilvl w:val="0"/>
          <w:numId w:val="410"/>
        </w:numPr>
        <w:rPr>
          <w:rFonts w:cs="Arial"/>
          <w:sz w:val="22"/>
          <w:szCs w:val="22"/>
        </w:rPr>
      </w:pPr>
      <w:r w:rsidRPr="002C0E05">
        <w:rPr>
          <w:rFonts w:cs="Arial"/>
          <w:sz w:val="22"/>
          <w:szCs w:val="22"/>
        </w:rPr>
        <w:t>Scenario 2 and 3: The distance determined using the SEL</w:t>
      </w:r>
      <w:r w:rsidRPr="002C0E05">
        <w:rPr>
          <w:rFonts w:cs="Arial"/>
          <w:sz w:val="22"/>
          <w:szCs w:val="22"/>
          <w:vertAlign w:val="subscript"/>
        </w:rPr>
        <w:t>24h</w:t>
      </w:r>
      <w:r w:rsidRPr="002C0E05">
        <w:rPr>
          <w:rFonts w:cs="Arial"/>
          <w:sz w:val="22"/>
          <w:szCs w:val="22"/>
        </w:rPr>
        <w:t xml:space="preserve"> metric is either 580 or 550 m, which is larger than that determined using PK, which is 300 m.</w:t>
      </w:r>
    </w:p>
    <w:p w14:paraId="00468B02" w14:textId="77777777" w:rsidR="00AF3E67" w:rsidRDefault="00AF3E67" w:rsidP="00AF3E67">
      <w:pPr>
        <w:ind w:left="0"/>
        <w:rPr>
          <w:rFonts w:cs="Arial"/>
          <w:sz w:val="22"/>
          <w:szCs w:val="22"/>
        </w:rPr>
      </w:pPr>
    </w:p>
    <w:p w14:paraId="2D4F8A98" w14:textId="414AEF25" w:rsidR="00AF3E67" w:rsidRPr="003162FF" w:rsidRDefault="00AF3E67" w:rsidP="00AF3E67">
      <w:pPr>
        <w:pStyle w:val="BodyText"/>
        <w:ind w:left="0"/>
        <w:rPr>
          <w:sz w:val="22"/>
          <w:szCs w:val="22"/>
        </w:rPr>
      </w:pPr>
      <w:r w:rsidRPr="00EF4E2A">
        <w:rPr>
          <w:sz w:val="22"/>
          <w:szCs w:val="22"/>
        </w:rPr>
        <w:t>Table 7.</w:t>
      </w:r>
      <w:r w:rsidR="00363C4E" w:rsidRPr="00EF4E2A">
        <w:rPr>
          <w:sz w:val="22"/>
          <w:szCs w:val="22"/>
        </w:rPr>
        <w:t>9</w:t>
      </w:r>
      <w:r w:rsidRPr="00EF4E2A">
        <w:rPr>
          <w:sz w:val="22"/>
          <w:szCs w:val="22"/>
        </w:rPr>
        <w:t xml:space="preserve"> indicates</w:t>
      </w:r>
      <w:r w:rsidRPr="003162FF">
        <w:rPr>
          <w:sz w:val="22"/>
          <w:szCs w:val="22"/>
        </w:rPr>
        <w:t xml:space="preserve"> that the distance to sound levels associated with mortality and potential mortal injury on fish using the PK metric may occur up to a maximum distance of 115 m (for fish without a swim bladder, including elasmobranchs) to </w:t>
      </w:r>
      <w:r w:rsidR="00EF4E2A">
        <w:rPr>
          <w:sz w:val="22"/>
          <w:szCs w:val="22"/>
        </w:rPr>
        <w:br/>
      </w:r>
      <w:r w:rsidRPr="003162FF">
        <w:rPr>
          <w:sz w:val="22"/>
          <w:szCs w:val="22"/>
        </w:rPr>
        <w:t>300 m (for fish with a swim bladder).</w:t>
      </w:r>
    </w:p>
    <w:p w14:paraId="5F84ABE8" w14:textId="695E3F70" w:rsidR="00AF3E67" w:rsidRDefault="00AF3E67" w:rsidP="00AF3E67">
      <w:pPr>
        <w:ind w:left="0"/>
        <w:rPr>
          <w:sz w:val="22"/>
          <w:szCs w:val="22"/>
        </w:rPr>
      </w:pPr>
      <w:r w:rsidRPr="003162FF">
        <w:rPr>
          <w:sz w:val="22"/>
          <w:szCs w:val="22"/>
        </w:rPr>
        <w:t>The results in Table 7.1</w:t>
      </w:r>
      <w:r w:rsidR="00363C4E">
        <w:rPr>
          <w:sz w:val="22"/>
          <w:szCs w:val="22"/>
        </w:rPr>
        <w:t>0</w:t>
      </w:r>
      <w:r w:rsidRPr="003162FF">
        <w:rPr>
          <w:sz w:val="22"/>
          <w:szCs w:val="22"/>
        </w:rPr>
        <w:t xml:space="preserve"> indicate</w:t>
      </w:r>
      <w:r>
        <w:rPr>
          <w:sz w:val="22"/>
          <w:szCs w:val="22"/>
        </w:rPr>
        <w:t xml:space="preserve"> that, assuming fish remain stationary for 24 hours:</w:t>
      </w:r>
    </w:p>
    <w:p w14:paraId="7FC3BE77" w14:textId="77777777" w:rsidR="00AF3E67" w:rsidRDefault="00AF3E67" w:rsidP="00AF3E67">
      <w:pPr>
        <w:ind w:left="0"/>
        <w:rPr>
          <w:sz w:val="22"/>
          <w:szCs w:val="22"/>
        </w:rPr>
      </w:pPr>
    </w:p>
    <w:p w14:paraId="136EDD9C" w14:textId="77777777" w:rsidR="00AF3E67" w:rsidRPr="00A03DC1" w:rsidRDefault="00AF3E67" w:rsidP="00AF3E67">
      <w:pPr>
        <w:pStyle w:val="ListParagraph0"/>
        <w:numPr>
          <w:ilvl w:val="0"/>
          <w:numId w:val="378"/>
        </w:numPr>
        <w:rPr>
          <w:sz w:val="22"/>
          <w:szCs w:val="22"/>
        </w:rPr>
      </w:pPr>
      <w:r>
        <w:rPr>
          <w:sz w:val="22"/>
          <w:szCs w:val="22"/>
        </w:rPr>
        <w:t xml:space="preserve">The distance to sound levels associated with mortality and potential mortal injury </w:t>
      </w:r>
      <w:r w:rsidRPr="00A03DC1">
        <w:rPr>
          <w:sz w:val="22"/>
          <w:szCs w:val="22"/>
        </w:rPr>
        <w:t xml:space="preserve">may occur </w:t>
      </w:r>
      <w:r>
        <w:rPr>
          <w:sz w:val="22"/>
          <w:szCs w:val="22"/>
        </w:rPr>
        <w:t>up to</w:t>
      </w:r>
      <w:r w:rsidRPr="00A03DC1">
        <w:rPr>
          <w:sz w:val="22"/>
          <w:szCs w:val="22"/>
        </w:rPr>
        <w:t xml:space="preserve"> </w:t>
      </w:r>
      <w:r>
        <w:rPr>
          <w:sz w:val="22"/>
          <w:szCs w:val="22"/>
        </w:rPr>
        <w:t xml:space="preserve">a maximum distance </w:t>
      </w:r>
      <w:r w:rsidRPr="004865FA">
        <w:rPr>
          <w:sz w:val="22"/>
          <w:szCs w:val="22"/>
        </w:rPr>
        <w:t>of 20</w:t>
      </w:r>
      <w:r>
        <w:rPr>
          <w:sz w:val="22"/>
          <w:szCs w:val="22"/>
        </w:rPr>
        <w:t>–</w:t>
      </w:r>
      <w:r w:rsidRPr="004865FA">
        <w:rPr>
          <w:sz w:val="22"/>
          <w:szCs w:val="22"/>
        </w:rPr>
        <w:t>100 m</w:t>
      </w:r>
      <w:r w:rsidRPr="00A03DC1">
        <w:rPr>
          <w:sz w:val="22"/>
          <w:szCs w:val="22"/>
        </w:rPr>
        <w:t xml:space="preserve"> from the source array</w:t>
      </w:r>
      <w:r>
        <w:rPr>
          <w:sz w:val="22"/>
          <w:szCs w:val="22"/>
        </w:rPr>
        <w:t>, dependent on the type of fish and scenario;</w:t>
      </w:r>
      <w:r w:rsidRPr="00A03DC1">
        <w:rPr>
          <w:sz w:val="22"/>
          <w:szCs w:val="22"/>
        </w:rPr>
        <w:t xml:space="preserve"> </w:t>
      </w:r>
    </w:p>
    <w:p w14:paraId="1F385F3F" w14:textId="77777777" w:rsidR="00AF3E67" w:rsidRPr="00A03DC1" w:rsidRDefault="00AF3E67" w:rsidP="00AF3E67">
      <w:pPr>
        <w:pStyle w:val="ListParagraph0"/>
        <w:numPr>
          <w:ilvl w:val="0"/>
          <w:numId w:val="378"/>
        </w:numPr>
        <w:rPr>
          <w:sz w:val="22"/>
          <w:szCs w:val="22"/>
        </w:rPr>
      </w:pPr>
      <w:r>
        <w:rPr>
          <w:sz w:val="22"/>
          <w:szCs w:val="22"/>
        </w:rPr>
        <w:t>R</w:t>
      </w:r>
      <w:r w:rsidRPr="00A03DC1">
        <w:rPr>
          <w:sz w:val="22"/>
          <w:szCs w:val="22"/>
        </w:rPr>
        <w:t xml:space="preserve">ecoverable injury may occur </w:t>
      </w:r>
      <w:r>
        <w:rPr>
          <w:sz w:val="22"/>
          <w:szCs w:val="22"/>
        </w:rPr>
        <w:t>up to</w:t>
      </w:r>
      <w:r w:rsidRPr="00A03DC1">
        <w:rPr>
          <w:sz w:val="22"/>
          <w:szCs w:val="22"/>
        </w:rPr>
        <w:t xml:space="preserve"> </w:t>
      </w:r>
      <w:r>
        <w:rPr>
          <w:sz w:val="22"/>
          <w:szCs w:val="22"/>
        </w:rPr>
        <w:t>a maximum distance</w:t>
      </w:r>
      <w:r w:rsidRPr="00A03DC1">
        <w:rPr>
          <w:sz w:val="22"/>
          <w:szCs w:val="22"/>
        </w:rPr>
        <w:t xml:space="preserve"> </w:t>
      </w:r>
      <w:r w:rsidRPr="004865FA">
        <w:rPr>
          <w:sz w:val="22"/>
          <w:szCs w:val="22"/>
        </w:rPr>
        <w:t xml:space="preserve">of </w:t>
      </w:r>
      <w:r>
        <w:rPr>
          <w:sz w:val="22"/>
          <w:szCs w:val="22"/>
        </w:rPr>
        <w:t>2</w:t>
      </w:r>
      <w:r w:rsidRPr="004865FA">
        <w:rPr>
          <w:sz w:val="22"/>
          <w:szCs w:val="22"/>
        </w:rPr>
        <w:t>0</w:t>
      </w:r>
      <w:r>
        <w:rPr>
          <w:sz w:val="22"/>
          <w:szCs w:val="22"/>
        </w:rPr>
        <w:t>–</w:t>
      </w:r>
      <w:r w:rsidRPr="004865FA">
        <w:rPr>
          <w:sz w:val="22"/>
          <w:szCs w:val="22"/>
        </w:rPr>
        <w:t>590 m from</w:t>
      </w:r>
      <w:r w:rsidRPr="00A03DC1">
        <w:rPr>
          <w:sz w:val="22"/>
          <w:szCs w:val="22"/>
        </w:rPr>
        <w:t xml:space="preserve"> the source array, dependent on the </w:t>
      </w:r>
      <w:r>
        <w:rPr>
          <w:sz w:val="22"/>
          <w:szCs w:val="22"/>
        </w:rPr>
        <w:t xml:space="preserve">type of fish and </w:t>
      </w:r>
      <w:r w:rsidRPr="00A03DC1">
        <w:rPr>
          <w:sz w:val="22"/>
          <w:szCs w:val="22"/>
        </w:rPr>
        <w:t>scenario; and</w:t>
      </w:r>
    </w:p>
    <w:p w14:paraId="50AAC8DB" w14:textId="77777777" w:rsidR="00AF3E67" w:rsidRPr="00A03DC1" w:rsidRDefault="00AF3E67" w:rsidP="00AF3E67">
      <w:pPr>
        <w:pStyle w:val="ListParagraph0"/>
        <w:numPr>
          <w:ilvl w:val="0"/>
          <w:numId w:val="378"/>
        </w:numPr>
        <w:spacing w:after="240"/>
        <w:rPr>
          <w:sz w:val="22"/>
          <w:szCs w:val="22"/>
        </w:rPr>
      </w:pPr>
      <w:r w:rsidRPr="00A03DC1">
        <w:rPr>
          <w:sz w:val="22"/>
          <w:szCs w:val="22"/>
        </w:rPr>
        <w:t xml:space="preserve">TTS may occur </w:t>
      </w:r>
      <w:r>
        <w:rPr>
          <w:sz w:val="22"/>
          <w:szCs w:val="22"/>
        </w:rPr>
        <w:t>up to</w:t>
      </w:r>
      <w:r w:rsidRPr="00A03DC1">
        <w:rPr>
          <w:sz w:val="22"/>
          <w:szCs w:val="22"/>
        </w:rPr>
        <w:t xml:space="preserve"> </w:t>
      </w:r>
      <w:r>
        <w:rPr>
          <w:sz w:val="22"/>
          <w:szCs w:val="22"/>
        </w:rPr>
        <w:t>a maximum distance</w:t>
      </w:r>
      <w:r w:rsidRPr="00A03DC1">
        <w:rPr>
          <w:sz w:val="22"/>
          <w:szCs w:val="22"/>
        </w:rPr>
        <w:t xml:space="preserve"> of </w:t>
      </w:r>
      <w:r>
        <w:rPr>
          <w:sz w:val="22"/>
          <w:szCs w:val="22"/>
        </w:rPr>
        <w:t>8</w:t>
      </w:r>
      <w:r w:rsidRPr="00F916F2">
        <w:rPr>
          <w:sz w:val="22"/>
          <w:szCs w:val="22"/>
        </w:rPr>
        <w:t>.1 km from</w:t>
      </w:r>
      <w:r w:rsidRPr="00A03DC1">
        <w:rPr>
          <w:sz w:val="22"/>
          <w:szCs w:val="22"/>
        </w:rPr>
        <w:t xml:space="preserve"> the source array, dependent on </w:t>
      </w:r>
      <w:r>
        <w:rPr>
          <w:sz w:val="22"/>
          <w:szCs w:val="22"/>
        </w:rPr>
        <w:t xml:space="preserve">the type of fish and </w:t>
      </w:r>
      <w:r w:rsidRPr="00A03DC1">
        <w:rPr>
          <w:sz w:val="22"/>
          <w:szCs w:val="22"/>
        </w:rPr>
        <w:t>the scenario</w:t>
      </w:r>
      <w:r>
        <w:rPr>
          <w:sz w:val="22"/>
          <w:szCs w:val="22"/>
        </w:rPr>
        <w:t>.</w:t>
      </w:r>
    </w:p>
    <w:p w14:paraId="5FB48E97" w14:textId="23271BA4" w:rsidR="00363C4E" w:rsidRPr="00363C4E" w:rsidRDefault="00363C4E" w:rsidP="00363C4E">
      <w:pPr>
        <w:spacing w:after="120" w:line="240" w:lineRule="auto"/>
        <w:ind w:left="0"/>
        <w:rPr>
          <w:rFonts w:cs="Arial"/>
          <w:sz w:val="22"/>
          <w:szCs w:val="22"/>
          <w:u w:val="single"/>
        </w:rPr>
      </w:pPr>
      <w:r w:rsidRPr="00363C4E">
        <w:rPr>
          <w:rFonts w:cs="Arial"/>
          <w:sz w:val="22"/>
          <w:szCs w:val="22"/>
          <w:u w:val="single"/>
        </w:rPr>
        <w:t>Predicted impacts</w:t>
      </w:r>
    </w:p>
    <w:p w14:paraId="2054D6AD" w14:textId="77777777" w:rsidR="00363C4E" w:rsidRPr="00363C4E" w:rsidRDefault="00363C4E" w:rsidP="00891DE1">
      <w:pPr>
        <w:ind w:left="0"/>
        <w:rPr>
          <w:rFonts w:cs="Arial"/>
          <w:sz w:val="22"/>
          <w:szCs w:val="22"/>
        </w:rPr>
      </w:pPr>
      <w:r w:rsidRPr="00363C4E">
        <w:rPr>
          <w:rFonts w:cs="Arial"/>
          <w:sz w:val="22"/>
          <w:szCs w:val="22"/>
        </w:rPr>
        <w:t xml:space="preserve">The ecological significance of the physiological and behavioural effects is expected to be low based on the following factors: </w:t>
      </w:r>
    </w:p>
    <w:p w14:paraId="3711F1BB" w14:textId="77777777" w:rsidR="00363C4E" w:rsidRDefault="00363C4E" w:rsidP="00363C4E">
      <w:pPr>
        <w:ind w:left="0"/>
        <w:rPr>
          <w:rFonts w:cs="Arial"/>
          <w:sz w:val="22"/>
          <w:szCs w:val="22"/>
        </w:rPr>
      </w:pPr>
    </w:p>
    <w:p w14:paraId="71BC69A3" w14:textId="77777777" w:rsidR="00363C4E" w:rsidRPr="00885F4A" w:rsidRDefault="00363C4E" w:rsidP="00363C4E">
      <w:pPr>
        <w:pStyle w:val="ListParagraph0"/>
        <w:numPr>
          <w:ilvl w:val="0"/>
          <w:numId w:val="378"/>
        </w:numPr>
        <w:rPr>
          <w:sz w:val="22"/>
          <w:szCs w:val="22"/>
        </w:rPr>
      </w:pPr>
      <w:r w:rsidRPr="00626C5F">
        <w:rPr>
          <w:sz w:val="22"/>
          <w:szCs w:val="22"/>
        </w:rPr>
        <w:t xml:space="preserve">Long-term or permanent displacement of any fish species from the reef habitat is highly unlikely (e.g., Woodside, 2012a;b;c); </w:t>
      </w:r>
    </w:p>
    <w:p w14:paraId="642D744B" w14:textId="77777777" w:rsidR="00363C4E" w:rsidRPr="00891DE1" w:rsidRDefault="00363C4E" w:rsidP="00363C4E">
      <w:pPr>
        <w:pStyle w:val="ListParagraph0"/>
        <w:numPr>
          <w:ilvl w:val="0"/>
          <w:numId w:val="378"/>
        </w:numPr>
        <w:rPr>
          <w:sz w:val="22"/>
          <w:szCs w:val="22"/>
        </w:rPr>
      </w:pPr>
      <w:r w:rsidRPr="004F61C4">
        <w:rPr>
          <w:sz w:val="22"/>
          <w:szCs w:val="22"/>
        </w:rPr>
        <w:t>The short distances from the sound source associated with injury and mortality of fish and larvae are unlikely to affect their predators, including fauna such as seals, dolphins, whales, penguins and other seabirds, due to the vast expanse of similar habit</w:t>
      </w:r>
      <w:r w:rsidRPr="00EB6AC4">
        <w:rPr>
          <w:sz w:val="22"/>
          <w:szCs w:val="22"/>
        </w:rPr>
        <w:t>at and prey available in the region. Like the fish, their predators are also likely to exhibit avoidance behaviour around the seismic source. This means that both fish and their predators are not likely to be present around the operating seismic source, re</w:t>
      </w:r>
      <w:r w:rsidRPr="00891DE1">
        <w:rPr>
          <w:sz w:val="22"/>
          <w:szCs w:val="22"/>
        </w:rPr>
        <w:t xml:space="preserve">sulting in no net loss of feeding opportunities; </w:t>
      </w:r>
    </w:p>
    <w:p w14:paraId="3ED3589B" w14:textId="77777777" w:rsidR="00363C4E" w:rsidRPr="00626C5F" w:rsidRDefault="00363C4E" w:rsidP="00363C4E">
      <w:pPr>
        <w:pStyle w:val="ListParagraph0"/>
        <w:numPr>
          <w:ilvl w:val="0"/>
          <w:numId w:val="378"/>
        </w:numPr>
        <w:rPr>
          <w:sz w:val="22"/>
          <w:szCs w:val="22"/>
        </w:rPr>
      </w:pPr>
      <w:r w:rsidRPr="00891DE1">
        <w:rPr>
          <w:sz w:val="22"/>
          <w:szCs w:val="22"/>
        </w:rPr>
        <w:t xml:space="preserve">The </w:t>
      </w:r>
      <w:r w:rsidRPr="00363C4E">
        <w:rPr>
          <w:sz w:val="22"/>
          <w:szCs w:val="22"/>
        </w:rPr>
        <w:t>MSS</w:t>
      </w:r>
      <w:r w:rsidRPr="00626C5F">
        <w:rPr>
          <w:sz w:val="22"/>
          <w:szCs w:val="22"/>
        </w:rPr>
        <w:t xml:space="preserve"> will not result in destruction or modification of the </w:t>
      </w:r>
      <w:r w:rsidRPr="00363C4E">
        <w:rPr>
          <w:sz w:val="22"/>
          <w:szCs w:val="22"/>
        </w:rPr>
        <w:t xml:space="preserve">sparse </w:t>
      </w:r>
      <w:r w:rsidRPr="00626C5F">
        <w:rPr>
          <w:sz w:val="22"/>
          <w:szCs w:val="22"/>
        </w:rPr>
        <w:t>reef habit</w:t>
      </w:r>
      <w:r w:rsidRPr="00C30B8D">
        <w:rPr>
          <w:sz w:val="22"/>
          <w:szCs w:val="22"/>
        </w:rPr>
        <w:t>at;</w:t>
      </w:r>
      <w:r w:rsidRPr="00363C4E">
        <w:rPr>
          <w:sz w:val="22"/>
          <w:szCs w:val="22"/>
        </w:rPr>
        <w:t xml:space="preserve"> and</w:t>
      </w:r>
    </w:p>
    <w:p w14:paraId="4CFB19B6" w14:textId="77777777" w:rsidR="00363C4E" w:rsidRPr="00C30B8D" w:rsidRDefault="00363C4E" w:rsidP="00363C4E">
      <w:pPr>
        <w:pStyle w:val="ListParagraph0"/>
        <w:numPr>
          <w:ilvl w:val="0"/>
          <w:numId w:val="378"/>
        </w:numPr>
        <w:rPr>
          <w:sz w:val="22"/>
          <w:szCs w:val="22"/>
        </w:rPr>
      </w:pPr>
      <w:r w:rsidRPr="00885F4A">
        <w:rPr>
          <w:sz w:val="22"/>
          <w:szCs w:val="22"/>
        </w:rPr>
        <w:t xml:space="preserve">The timing of the MSS has been narrowed down to February or March, thereby avoiding the peak spawning period of November to January for up to 13 species of commercial </w:t>
      </w:r>
      <w:r w:rsidRPr="00363C4E">
        <w:rPr>
          <w:sz w:val="22"/>
          <w:szCs w:val="22"/>
        </w:rPr>
        <w:t xml:space="preserve">and recreational </w:t>
      </w:r>
      <w:r w:rsidRPr="00626C5F">
        <w:rPr>
          <w:sz w:val="22"/>
          <w:szCs w:val="22"/>
        </w:rPr>
        <w:t xml:space="preserve">fishing </w:t>
      </w:r>
      <w:r w:rsidRPr="00363C4E">
        <w:rPr>
          <w:sz w:val="22"/>
          <w:szCs w:val="22"/>
        </w:rPr>
        <w:t>importance</w:t>
      </w:r>
      <w:r w:rsidRPr="00626C5F">
        <w:rPr>
          <w:sz w:val="22"/>
          <w:szCs w:val="22"/>
        </w:rPr>
        <w:t xml:space="preserve">. </w:t>
      </w:r>
    </w:p>
    <w:p w14:paraId="54014689" w14:textId="77777777" w:rsidR="00363C4E" w:rsidRDefault="00363C4E" w:rsidP="00363C4E">
      <w:pPr>
        <w:ind w:left="0"/>
        <w:rPr>
          <w:rFonts w:cs="Arial"/>
          <w:sz w:val="22"/>
          <w:szCs w:val="22"/>
        </w:rPr>
      </w:pPr>
    </w:p>
    <w:p w14:paraId="58162811" w14:textId="4FFBC545" w:rsidR="00363C4E" w:rsidRPr="00891DE1" w:rsidRDefault="00363C4E" w:rsidP="00891DE1">
      <w:pPr>
        <w:ind w:left="0"/>
        <w:rPr>
          <w:rFonts w:cs="Arial"/>
          <w:sz w:val="22"/>
          <w:szCs w:val="22"/>
        </w:rPr>
      </w:pPr>
      <w:r w:rsidRPr="00891DE1">
        <w:rPr>
          <w:rFonts w:cs="Arial"/>
          <w:sz w:val="22"/>
          <w:szCs w:val="22"/>
        </w:rPr>
        <w:t>Mortality of fish</w:t>
      </w:r>
      <w:r w:rsidRPr="00363C4E">
        <w:rPr>
          <w:rFonts w:cs="Arial"/>
          <w:sz w:val="22"/>
          <w:szCs w:val="22"/>
        </w:rPr>
        <w:t xml:space="preserve"> (both immediate and delayed) </w:t>
      </w:r>
      <w:r w:rsidRPr="00891DE1">
        <w:rPr>
          <w:rFonts w:cs="Arial"/>
          <w:sz w:val="22"/>
          <w:szCs w:val="22"/>
        </w:rPr>
        <w:t>is considered highly unlikely based on no documented cases of fish mortality upon exposure to seismic airgun sound under experimental or field operating conditions</w:t>
      </w:r>
      <w:r w:rsidRPr="00363C4E">
        <w:rPr>
          <w:rFonts w:cs="Arial"/>
          <w:sz w:val="22"/>
          <w:szCs w:val="22"/>
        </w:rPr>
        <w:t>.</w:t>
      </w:r>
    </w:p>
    <w:p w14:paraId="46736548" w14:textId="77777777" w:rsidR="00363C4E" w:rsidRDefault="00363C4E" w:rsidP="00363C4E">
      <w:pPr>
        <w:ind w:left="0"/>
        <w:rPr>
          <w:rFonts w:cs="Arial"/>
          <w:sz w:val="22"/>
          <w:szCs w:val="22"/>
        </w:rPr>
      </w:pPr>
    </w:p>
    <w:p w14:paraId="1D91664C" w14:textId="06D9A757" w:rsidR="00363C4E" w:rsidRDefault="00363C4E" w:rsidP="00363C4E">
      <w:pPr>
        <w:ind w:left="0"/>
        <w:rPr>
          <w:rFonts w:cs="Arial"/>
          <w:sz w:val="22"/>
          <w:szCs w:val="22"/>
        </w:rPr>
      </w:pPr>
      <w:r w:rsidRPr="00363C4E">
        <w:rPr>
          <w:rFonts w:cs="Arial"/>
          <w:sz w:val="22"/>
          <w:szCs w:val="22"/>
        </w:rPr>
        <w:t>The MSS will not have a ‘significant’ impact on critically endangered or vulnerable fish species (see Section 5.4.4) when assessed against the EPBC Act Significant Impact Guidelines 1.1 (DoE, 2013)</w:t>
      </w:r>
      <w:r>
        <w:rPr>
          <w:rFonts w:cs="Arial"/>
          <w:sz w:val="22"/>
          <w:szCs w:val="22"/>
        </w:rPr>
        <w:t>.</w:t>
      </w:r>
    </w:p>
    <w:p w14:paraId="6E0E26E2" w14:textId="77777777" w:rsidR="00363C4E" w:rsidRDefault="00363C4E" w:rsidP="00B041B4">
      <w:pPr>
        <w:ind w:left="0"/>
        <w:rPr>
          <w:rFonts w:cs="Arial"/>
          <w:sz w:val="22"/>
          <w:szCs w:val="22"/>
        </w:rPr>
      </w:pPr>
    </w:p>
    <w:p w14:paraId="69A35412" w14:textId="46BAEDAA" w:rsidR="00577950" w:rsidRDefault="00166517" w:rsidP="00577950">
      <w:pPr>
        <w:ind w:left="0"/>
        <w:rPr>
          <w:rFonts w:ascii="Tahoma" w:hAnsi="Tahoma" w:cs="Arial"/>
          <w:szCs w:val="20"/>
        </w:rPr>
      </w:pPr>
      <w:r>
        <w:rPr>
          <w:rFonts w:cs="Arial"/>
          <w:sz w:val="22"/>
          <w:szCs w:val="22"/>
        </w:rPr>
        <w:lastRenderedPageBreak/>
        <w:t>T</w:t>
      </w:r>
      <w:r w:rsidR="00577950">
        <w:rPr>
          <w:rFonts w:cs="Arial"/>
          <w:sz w:val="22"/>
          <w:szCs w:val="22"/>
        </w:rPr>
        <w:t xml:space="preserve">he impacts on fish </w:t>
      </w:r>
      <w:r w:rsidR="00577950" w:rsidRPr="00A45B0A">
        <w:rPr>
          <w:rFonts w:cs="Arial"/>
          <w:sz w:val="22"/>
          <w:szCs w:val="22"/>
        </w:rPr>
        <w:t xml:space="preserve">are likely to be insignificant at </w:t>
      </w:r>
      <w:r w:rsidR="00577950">
        <w:rPr>
          <w:rFonts w:cs="Arial"/>
          <w:sz w:val="22"/>
          <w:szCs w:val="22"/>
        </w:rPr>
        <w:t xml:space="preserve">both a local and </w:t>
      </w:r>
      <w:r w:rsidR="00577950" w:rsidRPr="00A45B0A">
        <w:rPr>
          <w:rFonts w:cs="Arial"/>
          <w:sz w:val="22"/>
          <w:szCs w:val="22"/>
        </w:rPr>
        <w:t>population level or compared with natural</w:t>
      </w:r>
      <w:r w:rsidR="00577950">
        <w:rPr>
          <w:rFonts w:cs="Arial"/>
          <w:sz w:val="22"/>
          <w:szCs w:val="22"/>
        </w:rPr>
        <w:t xml:space="preserve"> variability</w:t>
      </w:r>
      <w:r w:rsidR="00577950" w:rsidRPr="00A45B0A">
        <w:rPr>
          <w:rFonts w:cs="Arial"/>
          <w:sz w:val="22"/>
          <w:szCs w:val="22"/>
        </w:rPr>
        <w:t>.</w:t>
      </w:r>
    </w:p>
    <w:p w14:paraId="1CB1AAEB" w14:textId="77777777" w:rsidR="00093B6D" w:rsidRPr="00093B6D" w:rsidRDefault="00093B6D" w:rsidP="00093B6D">
      <w:pPr>
        <w:ind w:left="0"/>
        <w:rPr>
          <w:rFonts w:ascii="Tahoma" w:hAnsi="Tahoma" w:cs="Arial"/>
          <w:szCs w:val="20"/>
        </w:rPr>
      </w:pPr>
    </w:p>
    <w:p w14:paraId="66F6C6EB" w14:textId="4B75DBD8" w:rsidR="00AF1C68" w:rsidRPr="003F4ED0" w:rsidRDefault="001D2756" w:rsidP="0057316C">
      <w:pPr>
        <w:spacing w:after="120"/>
        <w:ind w:left="0"/>
        <w:rPr>
          <w:rFonts w:cs="Arial"/>
          <w:b/>
          <w:sz w:val="22"/>
          <w:szCs w:val="22"/>
        </w:rPr>
      </w:pPr>
      <w:r>
        <w:rPr>
          <w:rFonts w:cs="Arial"/>
          <w:b/>
          <w:sz w:val="22"/>
          <w:szCs w:val="22"/>
        </w:rPr>
        <w:t xml:space="preserve">Impacts to </w:t>
      </w:r>
      <w:r w:rsidR="00AF1C68" w:rsidRPr="003F4ED0">
        <w:rPr>
          <w:rFonts w:cs="Arial"/>
          <w:b/>
          <w:sz w:val="22"/>
          <w:szCs w:val="22"/>
        </w:rPr>
        <w:t>Cetaceans</w:t>
      </w:r>
    </w:p>
    <w:p w14:paraId="7076D3C1" w14:textId="12A52C40" w:rsidR="002C0E05" w:rsidRDefault="002C0E05" w:rsidP="002C0E05">
      <w:pPr>
        <w:ind w:left="0"/>
        <w:rPr>
          <w:rFonts w:cs="Arial"/>
          <w:sz w:val="22"/>
          <w:szCs w:val="22"/>
        </w:rPr>
      </w:pPr>
      <w:r w:rsidRPr="002C0E05">
        <w:rPr>
          <w:rFonts w:cs="Arial"/>
          <w:sz w:val="22"/>
          <w:szCs w:val="22"/>
        </w:rPr>
        <w:t xml:space="preserve">Marine mammal species evolved from terrestrial mammals and share basic hearing anatomy and physiology with their terrestrial ancestors. Marine mammals, however, have broader hearing frequency ranges due to the much higher sound speed underwater compared to in air. Odontocetes (toothed whales and dolphins) hear best at higher frequencies, while mysticetes (baleen whales) hear better at lower frequencies </w:t>
      </w:r>
      <w:r w:rsidRPr="002C0E05">
        <w:rPr>
          <w:rFonts w:cs="Arial"/>
          <w:sz w:val="22"/>
          <w:szCs w:val="22"/>
        </w:rPr>
        <w:fldChar w:fldCharType="begin"/>
      </w:r>
      <w:r w:rsidRPr="002C0E05">
        <w:rPr>
          <w:rFonts w:cs="Arial"/>
          <w:sz w:val="22"/>
          <w:szCs w:val="22"/>
        </w:rPr>
        <w:instrText xml:space="preserve"> ADDIN EN.CITE &lt;EndNote&gt;&lt;Cite&gt;&lt;Author&gt;Mooney&lt;/Author&gt;&lt;Year&gt;2012&lt;/Year&gt;&lt;RecNum&gt;23347&lt;/RecNum&gt;&lt;DisplayText&gt;(Wartzok and Ketten 1999, Mooney et al. 2012)&lt;/DisplayText&gt;&lt;record&gt;&lt;rec-number&gt;23347&lt;/rec-number&gt;&lt;foreign-keys&gt;&lt;key app="EN" db-id="avrwfx0posesv7e0p5ixzsx0ssp0v09v222p" timestamp="1461004592"&gt;23347&lt;/key&gt;&lt;/foreign-keys&gt;&lt;ref-type name="Journal Article"&gt;17&lt;/ref-type&gt;&lt;contributors&gt;&lt;authors&gt;&lt;author&gt;Mooney, T.A.&lt;/author&gt;&lt;author&gt;Yamato, M.&lt;/author&gt;&lt;author&gt;Branstetter, B.K.&lt;/author&gt;&lt;/authors&gt;&lt;/contributors&gt;&lt;titles&gt;&lt;title&gt;Hearing in cetaceans: From natural history to experimental biology&lt;/title&gt;&lt;secondary-title&gt;Advances in Marine Biology&lt;/secondary-title&gt;&lt;/titles&gt;&lt;periodical&gt;&lt;full-title&gt;Advances in Marine Biology&lt;/full-title&gt;&lt;abbr-1&gt;Adv Mar Biol&lt;/abbr-1&gt;&lt;abbr-2&gt;Adv. Mar. Biol.&lt;/abbr-2&gt;&lt;/periodical&gt;&lt;pages&gt;197-246&lt;/pages&gt;&lt;volume&gt;63&lt;/volume&gt;&lt;dates&gt;&lt;year&gt;2012&lt;/year&gt;&lt;/dates&gt;&lt;urls&gt;&lt;/urls&gt;&lt;/record&gt;&lt;/Cite&gt;&lt;Cite&gt;&lt;Author&gt;Wartzok&lt;/Author&gt;&lt;Year&gt;1999&lt;/Year&gt;&lt;RecNum&gt;19999&lt;/RecNum&gt;&lt;record&gt;&lt;rec-number&gt;19999&lt;/rec-number&gt;&lt;foreign-keys&gt;&lt;key app="EN" db-id="avrwfx0posesv7e0p5ixzsx0ssp0v09v222p" timestamp="1390585115"&gt;19999&lt;/key&gt;&lt;/foreign-keys&gt;&lt;ref-type name="Book Section"&gt;5&lt;/ref-type&gt;&lt;contributors&gt;&lt;authors&gt;&lt;author&gt;Wartzok, D.&lt;/author&gt;&lt;author&gt;Ketten, D.E.&lt;/author&gt;&lt;/authors&gt;&lt;secondary-authors&gt;&lt;author&gt;Reynolds, J.&lt;/author&gt;&lt;author&gt;Rommel, S.&lt;/author&gt;&lt;/secondary-authors&gt;&lt;/contributors&gt;&lt;titles&gt;&lt;title&gt;Marine Mammal Sensory Systems&lt;/title&gt;&lt;secondary-title&gt;Biology of Marine Mammals&lt;/secondary-title&gt;&lt;/titles&gt;&lt;pages&gt;117-175&lt;/pages&gt;&lt;dates&gt;&lt;year&gt;1999&lt;/year&gt;&lt;/dates&gt;&lt;pub-location&gt;Washington DC&lt;/pub-location&gt;&lt;publisher&gt;Smithsonian Institution Press&lt;/publisher&gt;&lt;urls&gt;&lt;/urls&gt;&lt;/record&gt;&lt;/Cite&gt;&lt;/EndNote&gt;</w:instrText>
      </w:r>
      <w:r w:rsidRPr="002C0E05">
        <w:rPr>
          <w:rFonts w:cs="Arial"/>
          <w:sz w:val="22"/>
          <w:szCs w:val="22"/>
        </w:rPr>
        <w:fldChar w:fldCharType="separate"/>
      </w:r>
      <w:r w:rsidRPr="002C0E05">
        <w:rPr>
          <w:rFonts w:cs="Arial"/>
          <w:sz w:val="22"/>
          <w:szCs w:val="22"/>
        </w:rPr>
        <w:t>(Wartzok and Ketten</w:t>
      </w:r>
      <w:r>
        <w:rPr>
          <w:rFonts w:cs="Arial"/>
          <w:sz w:val="22"/>
          <w:szCs w:val="22"/>
        </w:rPr>
        <w:t>,</w:t>
      </w:r>
      <w:r w:rsidRPr="002C0E05">
        <w:rPr>
          <w:rFonts w:cs="Arial"/>
          <w:sz w:val="22"/>
          <w:szCs w:val="22"/>
        </w:rPr>
        <w:t xml:space="preserve"> 1999</w:t>
      </w:r>
      <w:r>
        <w:rPr>
          <w:rFonts w:cs="Arial"/>
          <w:sz w:val="22"/>
          <w:szCs w:val="22"/>
        </w:rPr>
        <w:t>;</w:t>
      </w:r>
      <w:r w:rsidRPr="002C0E05">
        <w:rPr>
          <w:rFonts w:cs="Arial"/>
          <w:sz w:val="22"/>
          <w:szCs w:val="22"/>
        </w:rPr>
        <w:t xml:space="preserve"> Mooney </w:t>
      </w:r>
      <w:r w:rsidRPr="002C0E05">
        <w:rPr>
          <w:rFonts w:cs="Arial"/>
          <w:i/>
          <w:sz w:val="22"/>
          <w:szCs w:val="22"/>
        </w:rPr>
        <w:t>et al</w:t>
      </w:r>
      <w:r w:rsidRPr="002C0E05">
        <w:rPr>
          <w:rFonts w:cs="Arial"/>
          <w:sz w:val="22"/>
          <w:szCs w:val="22"/>
        </w:rPr>
        <w:t>.</w:t>
      </w:r>
      <w:r>
        <w:rPr>
          <w:rFonts w:cs="Arial"/>
          <w:sz w:val="22"/>
          <w:szCs w:val="22"/>
        </w:rPr>
        <w:t>,</w:t>
      </w:r>
      <w:r w:rsidRPr="002C0E05">
        <w:rPr>
          <w:rFonts w:cs="Arial"/>
          <w:sz w:val="22"/>
          <w:szCs w:val="22"/>
        </w:rPr>
        <w:t xml:space="preserve"> 2012)</w:t>
      </w:r>
      <w:r w:rsidRPr="002C0E05">
        <w:rPr>
          <w:rFonts w:cs="Arial"/>
          <w:sz w:val="22"/>
          <w:szCs w:val="22"/>
        </w:rPr>
        <w:fldChar w:fldCharType="end"/>
      </w:r>
      <w:r w:rsidRPr="002C0E05">
        <w:rPr>
          <w:rFonts w:cs="Arial"/>
          <w:sz w:val="22"/>
          <w:szCs w:val="22"/>
        </w:rPr>
        <w:t xml:space="preserve">. Mysticetes and potentially odontocetes increased their ability to receive sound through the skull and both modified their middle ear structures to increase the amplitude of low-frequency sounds in particular </w:t>
      </w:r>
      <w:r w:rsidRPr="002C0E05">
        <w:rPr>
          <w:rFonts w:cs="Arial"/>
          <w:sz w:val="22"/>
          <w:szCs w:val="22"/>
        </w:rPr>
        <w:fldChar w:fldCharType="begin"/>
      </w:r>
      <w:r w:rsidRPr="002C0E05">
        <w:rPr>
          <w:rFonts w:cs="Arial"/>
          <w:sz w:val="22"/>
          <w:szCs w:val="22"/>
        </w:rPr>
        <w:instrText xml:space="preserve"> ADDIN EN.CITE &lt;EndNote&gt;&lt;Cite&gt;&lt;Author&gt;Ketten&lt;/Author&gt;&lt;Year&gt;1992&lt;/Year&gt;&lt;RecNum&gt;18954&lt;/RecNum&gt;&lt;DisplayText&gt;(Ketten 1992, Cranford and Krysl 2015)&lt;/DisplayText&gt;&lt;record&gt;&lt;rec-number&gt;18954&lt;/rec-number&gt;&lt;foreign-keys&gt;&lt;key app="EN" db-id="avrwfx0posesv7e0p5ixzsx0ssp0v09v222p" timestamp="1386961782"&gt;18954&lt;/key&gt;&lt;/foreign-keys&gt;&lt;ref-type name="Book Section"&gt;5&lt;/ref-type&gt;&lt;contributors&gt;&lt;authors&gt;&lt;author&gt;Ketten, D.R.&lt;/author&gt;&lt;/authors&gt;&lt;secondary-authors&gt;&lt;author&gt;Thomas, J.A.&lt;/author&gt;&lt;author&gt;Kastelein, R.A.&lt;/author&gt;&lt;author&gt;Supin, A.Ya.&lt;/author&gt;&lt;/secondary-authors&gt;&lt;/contributors&gt;&lt;titles&gt;&lt;title&gt;The cetacean ear: form, frequency, and evolution&lt;/title&gt;&lt;secondary-title&gt;Marine Mammal Sensory Systems&lt;/secondary-title&gt;&lt;/titles&gt;&lt;pages&gt;53-75&lt;/pages&gt;&lt;dates&gt;&lt;year&gt;1992&lt;/year&gt;&lt;/dates&gt;&lt;pub-location&gt;New York&lt;/pub-location&gt;&lt;publisher&gt;Plenum Press&lt;/publisher&gt;&lt;urls&gt;&lt;/urls&gt;&lt;/record&gt;&lt;/Cite&gt;&lt;Cite&gt;&lt;Author&gt;Cranford&lt;/Author&gt;&lt;Year&gt;2015&lt;/Year&gt;&lt;RecNum&gt;21918&lt;/RecNum&gt;&lt;record&gt;&lt;rec-number&gt;21918&lt;/rec-number&gt;&lt;foreign-keys&gt;&lt;key app="EN" db-id="avrwfx0posesv7e0p5ixzsx0ssp0v09v222p" timestamp="1427475753"&gt;21918&lt;/key&gt;&lt;/foreign-keys&gt;&lt;ref-type name="Journal Article"&gt;17&lt;/ref-type&gt;&lt;contributors&gt;&lt;authors&gt;&lt;author&gt;Cranford, Ted W&lt;/author&gt;&lt;author&gt;Krysl, Petr&lt;/author&gt;&lt;/authors&gt;&lt;/contributors&gt;&lt;titles&gt;&lt;title&gt;Fin whale sound reception mechanisms: Skull vibration enables low-frequency hearing&lt;/title&gt;&lt;secondary-title&gt;PLOS ONE&lt;/secondary-title&gt;&lt;/titles&gt;&lt;periodical&gt;&lt;full-title&gt;PLoS ONE&lt;/full-title&gt;&lt;abbr-1&gt;PLoS ONE&lt;/abbr-1&gt;&lt;abbr-2&gt;PLoS. ONE&lt;/abbr-2&gt;&lt;/periodical&gt;&lt;pages&gt;e0116222&lt;/pages&gt;&lt;volume&gt;10&lt;/volume&gt;&lt;number&gt;1&lt;/number&gt;&lt;dates&gt;&lt;year&gt;2015&lt;/year&gt;&lt;/dates&gt;&lt;urls&gt;&lt;/urls&gt;&lt;/record&gt;&lt;/Cite&gt;&lt;/EndNote&gt;</w:instrText>
      </w:r>
      <w:r w:rsidRPr="002C0E05">
        <w:rPr>
          <w:rFonts w:cs="Arial"/>
          <w:sz w:val="22"/>
          <w:szCs w:val="22"/>
        </w:rPr>
        <w:fldChar w:fldCharType="separate"/>
      </w:r>
      <w:r w:rsidRPr="002C0E05">
        <w:rPr>
          <w:rFonts w:cs="Arial"/>
          <w:sz w:val="22"/>
          <w:szCs w:val="22"/>
        </w:rPr>
        <w:t>(Ketten</w:t>
      </w:r>
      <w:r>
        <w:rPr>
          <w:rFonts w:cs="Arial"/>
          <w:sz w:val="22"/>
          <w:szCs w:val="22"/>
        </w:rPr>
        <w:t>,</w:t>
      </w:r>
      <w:r w:rsidRPr="002C0E05">
        <w:rPr>
          <w:rFonts w:cs="Arial"/>
          <w:sz w:val="22"/>
          <w:szCs w:val="22"/>
        </w:rPr>
        <w:t xml:space="preserve"> 1992</w:t>
      </w:r>
      <w:r>
        <w:rPr>
          <w:rFonts w:cs="Arial"/>
          <w:sz w:val="22"/>
          <w:szCs w:val="22"/>
        </w:rPr>
        <w:t>;</w:t>
      </w:r>
      <w:r w:rsidRPr="002C0E05">
        <w:rPr>
          <w:rFonts w:cs="Arial"/>
          <w:sz w:val="22"/>
          <w:szCs w:val="22"/>
        </w:rPr>
        <w:t xml:space="preserve"> Cranford and Krysl</w:t>
      </w:r>
      <w:r>
        <w:rPr>
          <w:rFonts w:cs="Arial"/>
          <w:sz w:val="22"/>
          <w:szCs w:val="22"/>
        </w:rPr>
        <w:t>,</w:t>
      </w:r>
      <w:r w:rsidRPr="002C0E05">
        <w:rPr>
          <w:rFonts w:cs="Arial"/>
          <w:sz w:val="22"/>
          <w:szCs w:val="22"/>
        </w:rPr>
        <w:t xml:space="preserve"> 2015)</w:t>
      </w:r>
      <w:r w:rsidRPr="002C0E05">
        <w:rPr>
          <w:rFonts w:cs="Arial"/>
          <w:sz w:val="22"/>
          <w:szCs w:val="22"/>
        </w:rPr>
        <w:fldChar w:fldCharType="end"/>
      </w:r>
      <w:r w:rsidRPr="002C0E05">
        <w:rPr>
          <w:rFonts w:cs="Arial"/>
          <w:sz w:val="22"/>
          <w:szCs w:val="22"/>
        </w:rPr>
        <w:t>.</w:t>
      </w:r>
    </w:p>
    <w:p w14:paraId="659F4A18" w14:textId="77777777" w:rsidR="002C0E05" w:rsidRPr="002C0E05" w:rsidRDefault="002C0E05" w:rsidP="002C0E05">
      <w:pPr>
        <w:ind w:left="0"/>
        <w:rPr>
          <w:rFonts w:cs="Arial"/>
          <w:sz w:val="22"/>
          <w:szCs w:val="22"/>
        </w:rPr>
      </w:pPr>
    </w:p>
    <w:p w14:paraId="19A69737" w14:textId="5943065B" w:rsidR="002C0E05" w:rsidRDefault="002C0E05" w:rsidP="002C0E05">
      <w:pPr>
        <w:ind w:left="0"/>
        <w:rPr>
          <w:rFonts w:cs="Arial"/>
          <w:sz w:val="22"/>
          <w:szCs w:val="22"/>
        </w:rPr>
      </w:pPr>
      <w:r w:rsidRPr="002C0E05">
        <w:rPr>
          <w:rFonts w:cs="Arial"/>
          <w:sz w:val="22"/>
          <w:szCs w:val="22"/>
        </w:rPr>
        <w:t>Sound is very important to whales and dolphins for effective hunting, navigation and communication. Mysticetes (e.g., humpback and blue whales) communicate at low frequencies (20 Hz to approximately 5 kHz) using predominantly tonal type calls. Odontocetes (e.g., killer whales and bottlenose dolphins) communicate using both tonal signals (up to approximately 30 kHz) and echolocation clicks (peak frequencies range from approximately 40 – 130 k</w:t>
      </w:r>
      <w:r>
        <w:rPr>
          <w:rFonts w:cs="Arial"/>
          <w:sz w:val="22"/>
          <w:szCs w:val="22"/>
        </w:rPr>
        <w:t>H</w:t>
      </w:r>
      <w:r w:rsidRPr="002C0E05">
        <w:rPr>
          <w:rFonts w:cs="Arial"/>
          <w:sz w:val="22"/>
          <w:szCs w:val="22"/>
        </w:rPr>
        <w:t xml:space="preserve">z), which they also use for hunting and navigation </w:t>
      </w:r>
      <w:r w:rsidRPr="002C0E05">
        <w:rPr>
          <w:rFonts w:cs="Arial"/>
          <w:sz w:val="22"/>
          <w:szCs w:val="22"/>
        </w:rPr>
        <w:fldChar w:fldCharType="begin"/>
      </w:r>
      <w:r w:rsidRPr="002C0E05">
        <w:rPr>
          <w:rFonts w:cs="Arial"/>
          <w:sz w:val="22"/>
          <w:szCs w:val="22"/>
        </w:rPr>
        <w:instrText xml:space="preserve"> ADDIN EN.CITE &lt;EndNote&gt;&lt;Cite&gt;&lt;Author&gt;Au&lt;/Author&gt;&lt;Year&gt;2000&lt;/Year&gt;&lt;RecNum&gt;8&lt;/RecNum&gt;&lt;DisplayText&gt;(Au et al. 2000)&lt;/DisplayText&gt;&lt;record&gt;&lt;rec-number&gt;8&lt;/rec-number&gt;&lt;foreign-keys&gt;&lt;key app="EN" db-id="d0d99psxt9z9e7evwf4pxzwrwtf92zr9ts20" timestamp="1498017627"&gt;8&lt;/key&gt;&lt;/foreign-keys&gt;&lt;ref-type name="Book"&gt;6&lt;/ref-type&gt;&lt;contributors&gt;&lt;authors&gt;&lt;author&gt;Au, W.W.L.&lt;/author&gt;&lt;author&gt;Popper, A.N.&lt;/author&gt;&lt;author&gt;Fay, R.R.&lt;/author&gt;&lt;/authors&gt;&lt;/contributors&gt;&lt;titles&gt;&lt;title&gt;Hearing by Whales and Dolphins&lt;/title&gt;&lt;/titles&gt;&lt;dates&gt;&lt;year&gt;2000&lt;/year&gt;&lt;/dates&gt;&lt;publisher&gt;Springer New York&lt;/publisher&gt;&lt;isbn&gt;9780387949062&lt;/isbn&gt;&lt;urls&gt;&lt;related-urls&gt;&lt;url&gt;https://books.google.com.au/books?id=qCK4gLHYi2MC&lt;/url&gt;&lt;/related-urls&gt;&lt;/urls&gt;&lt;/record&gt;&lt;/Cite&gt;&lt;/EndNote&gt;</w:instrText>
      </w:r>
      <w:r w:rsidRPr="002C0E05">
        <w:rPr>
          <w:rFonts w:cs="Arial"/>
          <w:sz w:val="22"/>
          <w:szCs w:val="22"/>
        </w:rPr>
        <w:fldChar w:fldCharType="separate"/>
      </w:r>
      <w:r w:rsidRPr="002C0E05">
        <w:rPr>
          <w:rFonts w:cs="Arial"/>
          <w:sz w:val="22"/>
          <w:szCs w:val="22"/>
        </w:rPr>
        <w:t xml:space="preserve">(Au </w:t>
      </w:r>
      <w:r w:rsidRPr="002C0E05">
        <w:rPr>
          <w:rFonts w:cs="Arial"/>
          <w:i/>
          <w:sz w:val="22"/>
          <w:szCs w:val="22"/>
        </w:rPr>
        <w:t>et al</w:t>
      </w:r>
      <w:r w:rsidRPr="002C0E05">
        <w:rPr>
          <w:rFonts w:cs="Arial"/>
          <w:sz w:val="22"/>
          <w:szCs w:val="22"/>
        </w:rPr>
        <w:t>.</w:t>
      </w:r>
      <w:r>
        <w:rPr>
          <w:rFonts w:cs="Arial"/>
          <w:sz w:val="22"/>
          <w:szCs w:val="22"/>
        </w:rPr>
        <w:t>,</w:t>
      </w:r>
      <w:r w:rsidRPr="002C0E05">
        <w:rPr>
          <w:rFonts w:cs="Arial"/>
          <w:sz w:val="22"/>
          <w:szCs w:val="22"/>
        </w:rPr>
        <w:t xml:space="preserve"> 2000)</w:t>
      </w:r>
      <w:r w:rsidRPr="002C0E05">
        <w:rPr>
          <w:rFonts w:cs="Arial"/>
          <w:sz w:val="22"/>
          <w:szCs w:val="22"/>
        </w:rPr>
        <w:fldChar w:fldCharType="end"/>
      </w:r>
      <w:r w:rsidRPr="002C0E05">
        <w:rPr>
          <w:rFonts w:cs="Arial"/>
          <w:sz w:val="22"/>
          <w:szCs w:val="22"/>
        </w:rPr>
        <w:t xml:space="preserve">. </w:t>
      </w:r>
    </w:p>
    <w:p w14:paraId="7B57BE27" w14:textId="77777777" w:rsidR="002C0E05" w:rsidRPr="002C0E05" w:rsidRDefault="002C0E05" w:rsidP="002C0E05">
      <w:pPr>
        <w:ind w:left="0"/>
        <w:rPr>
          <w:rFonts w:cs="Arial"/>
          <w:sz w:val="22"/>
          <w:szCs w:val="22"/>
        </w:rPr>
      </w:pPr>
    </w:p>
    <w:p w14:paraId="2703D573" w14:textId="1D47BE9B" w:rsidR="002C0E05" w:rsidRDefault="002C0E05" w:rsidP="002C0E05">
      <w:pPr>
        <w:ind w:left="0"/>
        <w:rPr>
          <w:rFonts w:cs="Arial"/>
          <w:sz w:val="22"/>
          <w:szCs w:val="22"/>
        </w:rPr>
      </w:pPr>
      <w:r w:rsidRPr="002C0E05">
        <w:rPr>
          <w:rFonts w:cs="Arial"/>
          <w:sz w:val="22"/>
          <w:szCs w:val="22"/>
        </w:rPr>
        <w:t xml:space="preserve">The type and scale of the effect on cetaceans to seismic sounds will depend on a number of factors including the level of exposure, the physical environment, the location of the animal in relation to the sound source, how long the animal is exposed to the sound, the exposure history, how often the sound repeats (repetition period) and the ambient sound level. The context of the exposure plays a critical and complex role in the way an animal might respond </w:t>
      </w:r>
      <w:r w:rsidRPr="002C0E05">
        <w:rPr>
          <w:rFonts w:cs="Arial"/>
          <w:sz w:val="22"/>
          <w:szCs w:val="22"/>
        </w:rPr>
        <w:fldChar w:fldCharType="begin">
          <w:fldData xml:space="preserve">PEVuZE5vdGU+PENpdGU+PEF1dGhvcj5Tb3V0aGFsbDwvQXV0aG9yPjxZZWFyPjIwMTY8L1llYXI+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</w:fldData>
        </w:fldChar>
      </w:r>
      <w:r w:rsidRPr="002C0E05">
        <w:rPr>
          <w:rFonts w:cs="Arial"/>
          <w:sz w:val="22"/>
          <w:szCs w:val="22"/>
        </w:rPr>
        <w:instrText xml:space="preserve"> ADDIN EN.CITE </w:instrText>
      </w:r>
      <w:r w:rsidRPr="002C0E05">
        <w:rPr>
          <w:rFonts w:cs="Arial"/>
          <w:sz w:val="22"/>
          <w:szCs w:val="22"/>
        </w:rPr>
        <w:fldChar w:fldCharType="begin">
          <w:fldData xml:space="preserve">PEVuZE5vdGU+PENpdGU+PEF1dGhvcj5Tb3V0aGFsbDwvQXV0aG9yPjxZZWFyPjIwMTY8L1llYXI+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</w:fldData>
        </w:fldChar>
      </w:r>
      <w:r w:rsidRPr="002C0E05">
        <w:rPr>
          <w:rFonts w:cs="Arial"/>
          <w:sz w:val="22"/>
          <w:szCs w:val="22"/>
        </w:rPr>
        <w:instrText xml:space="preserve"> ADDIN EN.CITE.DATA </w:instrText>
      </w:r>
      <w:r w:rsidRPr="002C0E05">
        <w:rPr>
          <w:rFonts w:cs="Arial"/>
          <w:sz w:val="22"/>
          <w:szCs w:val="22"/>
        </w:rPr>
      </w:r>
      <w:r w:rsidRPr="002C0E05">
        <w:rPr>
          <w:rFonts w:cs="Arial"/>
          <w:sz w:val="22"/>
          <w:szCs w:val="22"/>
        </w:rPr>
        <w:fldChar w:fldCharType="end"/>
      </w:r>
      <w:r w:rsidRPr="002C0E05">
        <w:rPr>
          <w:rFonts w:cs="Arial"/>
          <w:sz w:val="22"/>
          <w:szCs w:val="22"/>
        </w:rPr>
      </w:r>
      <w:r w:rsidRPr="002C0E05">
        <w:rPr>
          <w:rFonts w:cs="Arial"/>
          <w:sz w:val="22"/>
          <w:szCs w:val="22"/>
        </w:rPr>
        <w:fldChar w:fldCharType="separate"/>
      </w:r>
      <w:r w:rsidRPr="002C0E05">
        <w:rPr>
          <w:rFonts w:cs="Arial"/>
          <w:sz w:val="22"/>
          <w:szCs w:val="22"/>
        </w:rPr>
        <w:t xml:space="preserve">(Gomez </w:t>
      </w:r>
      <w:r w:rsidRPr="002C0E05">
        <w:rPr>
          <w:rFonts w:cs="Arial"/>
          <w:i/>
          <w:sz w:val="22"/>
          <w:szCs w:val="22"/>
        </w:rPr>
        <w:t>et a</w:t>
      </w:r>
      <w:r w:rsidRPr="002C0E05">
        <w:rPr>
          <w:rFonts w:cs="Arial"/>
          <w:sz w:val="22"/>
          <w:szCs w:val="22"/>
        </w:rPr>
        <w:t>l.</w:t>
      </w:r>
      <w:r>
        <w:rPr>
          <w:rFonts w:cs="Arial"/>
          <w:sz w:val="22"/>
          <w:szCs w:val="22"/>
        </w:rPr>
        <w:t>,</w:t>
      </w:r>
      <w:r w:rsidRPr="002C0E05">
        <w:rPr>
          <w:rFonts w:cs="Arial"/>
          <w:sz w:val="22"/>
          <w:szCs w:val="22"/>
        </w:rPr>
        <w:t xml:space="preserve"> 2016, Southall </w:t>
      </w:r>
      <w:r w:rsidRPr="002C0E05">
        <w:rPr>
          <w:rFonts w:cs="Arial"/>
          <w:i/>
          <w:sz w:val="22"/>
          <w:szCs w:val="22"/>
        </w:rPr>
        <w:t>et al</w:t>
      </w:r>
      <w:r w:rsidRPr="002C0E05">
        <w:rPr>
          <w:rFonts w:cs="Arial"/>
          <w:sz w:val="22"/>
          <w:szCs w:val="22"/>
        </w:rPr>
        <w:t>.</w:t>
      </w:r>
      <w:r>
        <w:rPr>
          <w:rFonts w:cs="Arial"/>
          <w:sz w:val="22"/>
          <w:szCs w:val="22"/>
        </w:rPr>
        <w:t>,</w:t>
      </w:r>
      <w:r w:rsidRPr="002C0E05">
        <w:rPr>
          <w:rFonts w:cs="Arial"/>
          <w:sz w:val="22"/>
          <w:szCs w:val="22"/>
        </w:rPr>
        <w:t xml:space="preserve"> 2016)</w:t>
      </w:r>
      <w:r w:rsidRPr="002C0E05">
        <w:rPr>
          <w:rFonts w:cs="Arial"/>
          <w:sz w:val="22"/>
          <w:szCs w:val="22"/>
        </w:rPr>
        <w:fldChar w:fldCharType="end"/>
      </w:r>
      <w:r w:rsidRPr="002C0E05">
        <w:rPr>
          <w:rFonts w:cs="Arial"/>
          <w:sz w:val="22"/>
          <w:szCs w:val="22"/>
        </w:rPr>
        <w:t>.</w:t>
      </w:r>
    </w:p>
    <w:p w14:paraId="64681128" w14:textId="77777777" w:rsidR="002C0E05" w:rsidRPr="002C0E05" w:rsidRDefault="002C0E05" w:rsidP="002C0E05">
      <w:pPr>
        <w:ind w:left="0"/>
        <w:rPr>
          <w:rFonts w:cs="Arial"/>
          <w:sz w:val="22"/>
          <w:szCs w:val="22"/>
        </w:rPr>
      </w:pPr>
    </w:p>
    <w:p w14:paraId="1DB05CBD" w14:textId="07670500" w:rsidR="002C0E05" w:rsidRDefault="002C0E05" w:rsidP="002C0E05">
      <w:pPr>
        <w:ind w:left="0"/>
        <w:rPr>
          <w:rFonts w:cs="Arial"/>
          <w:sz w:val="22"/>
          <w:szCs w:val="22"/>
        </w:rPr>
      </w:pPr>
      <w:r w:rsidRPr="007E38D8">
        <w:rPr>
          <w:sz w:val="22"/>
        </w:rPr>
        <w:t>High levels of anthropogenic underwater noise can have potential effects on cetaceans ranging from changes in their acoustic communication, behavioural disturbances and in more severe cases physical injury or mortality</w:t>
      </w:r>
      <w:r>
        <w:rPr>
          <w:sz w:val="22"/>
        </w:rPr>
        <w:t xml:space="preserve"> </w:t>
      </w:r>
      <w:r>
        <w:rPr>
          <w:sz w:val="22"/>
        </w:rPr>
        <w:fldChar w:fldCharType="begin"/>
      </w:r>
      <w:r>
        <w:rPr>
          <w:sz w:val="22"/>
        </w:rPr>
        <w:instrText xml:space="preserve"> ADDIN EN.CITE &lt;EndNote&gt;&lt;Cite&gt;&lt;Author&gt;Richardson&lt;/Author&gt;&lt;Year&gt;1995&lt;/Year&gt;&lt;RecNum&gt;19361&lt;/RecNum&gt;&lt;DisplayText&gt;(Richardson et al. 1995)&lt;/DisplayText&gt;&lt;record&gt;&lt;rec-number&gt;19361&lt;/rec-number&gt;&lt;foreign-keys&gt;&lt;key app="EN" db-id="avrwfx0posesv7e0p5ixzsx0ssp0v09v222p" timestamp="1386961794"&gt;19361&lt;/key&gt;&lt;/foreign-keys&gt;&lt;ref-type name="Book"&gt;6&lt;/ref-type&gt;&lt;contributors&gt;&lt;authors&gt;&lt;author&gt;Richardson, W.J.&lt;/author&gt;&lt;author&gt;Greene, C.R., Jr.&lt;/author&gt;&lt;author&gt;Malme, C.I.&lt;/author&gt;&lt;author&gt;Thomson, D.H.&lt;/author&gt;&lt;/authors&gt;&lt;/contributors&gt;&lt;titles&gt;&lt;title&gt;Marine Mammals and Noise&lt;/title&gt;&lt;/titles&gt;&lt;pages&gt;576&lt;/pages&gt;&lt;dates&gt;&lt;year&gt;1995&lt;/year&gt;&lt;/dates&gt;&lt;pub-location&gt;San Diego, California&lt;/pub-location&gt;&lt;publisher&gt;Academic Press&lt;/publisher&gt;&lt;urls&gt;&lt;/urls&gt;&lt;/record&gt;&lt;/Cite&gt;&lt;/EndNote&gt;</w:instrText>
      </w:r>
      <w:r>
        <w:rPr>
          <w:sz w:val="22"/>
        </w:rPr>
        <w:fldChar w:fldCharType="separate"/>
      </w:r>
      <w:r>
        <w:rPr>
          <w:noProof/>
          <w:sz w:val="22"/>
        </w:rPr>
        <w:t xml:space="preserve">(Richardson </w:t>
      </w:r>
      <w:r w:rsidRPr="002C0E05">
        <w:rPr>
          <w:i/>
          <w:noProof/>
          <w:sz w:val="22"/>
        </w:rPr>
        <w:t>et al</w:t>
      </w:r>
      <w:r>
        <w:rPr>
          <w:noProof/>
          <w:sz w:val="22"/>
        </w:rPr>
        <w:t>., 1995)</w:t>
      </w:r>
      <w:r>
        <w:rPr>
          <w:sz w:val="22"/>
        </w:rPr>
        <w:fldChar w:fldCharType="end"/>
      </w:r>
    </w:p>
    <w:p w14:paraId="11E282C6" w14:textId="77777777" w:rsidR="002C0E05" w:rsidRDefault="002C0E05" w:rsidP="00AF1C68">
      <w:pPr>
        <w:ind w:left="0"/>
        <w:rPr>
          <w:rFonts w:cs="Arial"/>
          <w:sz w:val="22"/>
          <w:szCs w:val="22"/>
        </w:rPr>
      </w:pPr>
    </w:p>
    <w:p w14:paraId="4CEC38B3" w14:textId="77777777" w:rsidR="00E13BBA" w:rsidRPr="003919EA" w:rsidRDefault="00E13BBA" w:rsidP="00E13BBA">
      <w:pPr>
        <w:spacing w:after="120" w:line="240" w:lineRule="auto"/>
        <w:ind w:left="0"/>
        <w:rPr>
          <w:rFonts w:cs="Arial"/>
          <w:sz w:val="22"/>
          <w:szCs w:val="22"/>
          <w:u w:val="single"/>
        </w:rPr>
      </w:pPr>
      <w:r w:rsidRPr="003919EA">
        <w:rPr>
          <w:rFonts w:cs="Arial"/>
          <w:sz w:val="22"/>
          <w:szCs w:val="22"/>
          <w:u w:val="single"/>
        </w:rPr>
        <w:t xml:space="preserve">Research </w:t>
      </w:r>
      <w:r>
        <w:rPr>
          <w:rFonts w:cs="Arial"/>
          <w:sz w:val="22"/>
          <w:szCs w:val="22"/>
          <w:u w:val="single"/>
        </w:rPr>
        <w:t>results</w:t>
      </w:r>
    </w:p>
    <w:p w14:paraId="047A1B1C" w14:textId="77777777" w:rsidR="0057316C" w:rsidRDefault="00CB03B7" w:rsidP="0057316C">
      <w:pPr>
        <w:spacing w:after="120"/>
        <w:ind w:left="0"/>
        <w:rPr>
          <w:rFonts w:cs="Arial"/>
          <w:i/>
          <w:sz w:val="22"/>
          <w:szCs w:val="22"/>
        </w:rPr>
      </w:pPr>
      <w:r w:rsidRPr="00AC67BD">
        <w:rPr>
          <w:rFonts w:cs="Arial"/>
          <w:i/>
          <w:sz w:val="22"/>
          <w:szCs w:val="22"/>
        </w:rPr>
        <w:t xml:space="preserve">Physiological impacts </w:t>
      </w:r>
    </w:p>
    <w:p w14:paraId="0564EEC6" w14:textId="2874FF0C" w:rsidR="002C0E05" w:rsidRPr="007E38D8" w:rsidRDefault="002C0E05" w:rsidP="002C0E05">
      <w:pPr>
        <w:pStyle w:val="BodyText"/>
        <w:keepNext/>
        <w:spacing w:before="120"/>
        <w:ind w:left="0"/>
        <w:rPr>
          <w:sz w:val="22"/>
        </w:rPr>
      </w:pPr>
      <w:r w:rsidRPr="007E38D8">
        <w:rPr>
          <w:sz w:val="22"/>
        </w:rPr>
        <w:t>Physiological impacts such as physical damage to the auditory apparatus</w:t>
      </w:r>
      <w:r w:rsidR="00F668A4">
        <w:rPr>
          <w:sz w:val="22"/>
        </w:rPr>
        <w:t xml:space="preserve"> (</w:t>
      </w:r>
      <w:r w:rsidRPr="007E38D8">
        <w:rPr>
          <w:sz w:val="22"/>
        </w:rPr>
        <w:t>e.g., loss of hair cells or permanently fatigued hair cell receptors</w:t>
      </w:r>
      <w:r w:rsidR="00F668A4">
        <w:rPr>
          <w:sz w:val="22"/>
        </w:rPr>
        <w:t>)</w:t>
      </w:r>
      <w:r w:rsidRPr="007E38D8">
        <w:rPr>
          <w:sz w:val="22"/>
        </w:rPr>
        <w:t xml:space="preserve">, can occur in marine mammals when they are exposed to intense or moderately intense sound levels and could cause permanent or temporary loss of hearing sensitivity. While the loss of hearing sensitivity is usually strongest in the frequency range of the emitted noise, it is not limited to the frequency bands where the noise occurs but can affect a broader hearing range. This is because animals perceive sound structured by a set of auditory bandwidth filters that proportionately increase in width with frequency. </w:t>
      </w:r>
    </w:p>
    <w:p w14:paraId="12D85591" w14:textId="77777777" w:rsidR="00F668A4" w:rsidRDefault="002C0E05" w:rsidP="002C0E05">
      <w:pPr>
        <w:ind w:left="0"/>
        <w:rPr>
          <w:rFonts w:cs="Arial"/>
          <w:sz w:val="22"/>
          <w:szCs w:val="22"/>
        </w:rPr>
      </w:pPr>
      <w:r w:rsidRPr="007E38D8">
        <w:rPr>
          <w:sz w:val="22"/>
        </w:rPr>
        <w:t xml:space="preserve">A TTS is hearing loss from which an animal recovers, usually within a day at most, whereas PTS is hearing loss from which an animal does not recover (permanent hair cell or receptor damage). The severity of TTS is expressed as the duration of hearing impairment and the magnitude of the shift in hearing sensitivity relative to pre-exposure sensitivity, in </w:t>
      </w:r>
      <w:r w:rsidR="00F668A4">
        <w:rPr>
          <w:sz w:val="22"/>
        </w:rPr>
        <w:t>decibles (</w:t>
      </w:r>
      <w:r w:rsidRPr="007E38D8">
        <w:rPr>
          <w:sz w:val="22"/>
        </w:rPr>
        <w:t>dB</w:t>
      </w:r>
      <w:r w:rsidR="00F668A4">
        <w:rPr>
          <w:sz w:val="22"/>
        </w:rPr>
        <w:t>)</w:t>
      </w:r>
      <w:r w:rsidRPr="007E38D8">
        <w:rPr>
          <w:sz w:val="22"/>
        </w:rPr>
        <w:t xml:space="preserve">. TTS occurs at lower exposure levels than PTS. The cumulative effects of repeated TTS, especially if the animal receives another </w:t>
      </w:r>
      <w:r w:rsidRPr="007E38D8">
        <w:rPr>
          <w:sz w:val="22"/>
        </w:rPr>
        <w:lastRenderedPageBreak/>
        <w:t xml:space="preserve">sound exposure near or above the TTS threshold before recovering from the previous sensitivity shift, could cause PTS. If the sound is intense enough, an animal could succumb to PTS without first experiencing TTS </w:t>
      </w:r>
      <w:r w:rsidRPr="007E38D8">
        <w:rPr>
          <w:sz w:val="22"/>
        </w:rPr>
        <w:fldChar w:fldCharType="begin"/>
      </w:r>
      <w:r w:rsidRPr="007E38D8">
        <w:rPr>
          <w:sz w:val="22"/>
        </w:rPr>
        <w:instrText xml:space="preserve"> ADDIN EN.CITE &lt;EndNote&gt;&lt;Cite&gt;&lt;Author&gt;Weilgart&lt;/Author&gt;&lt;Year&gt;2007&lt;/Year&gt;&lt;RecNum&gt;22327&lt;/RecNum&gt;&lt;DisplayText&gt;(Weilgart 2007)&lt;/DisplayText&gt;&lt;record&gt;&lt;rec-number&gt;22327&lt;/rec-number&gt;&lt;foreign-keys&gt;&lt;key app="EN" db-id="avrwfx0posesv7e0p5ixzsx0ssp0v09v222p" timestamp="1445373881"&gt;22327&lt;/key&gt;&lt;/foreign-keys&gt;&lt;ref-type name="Journal Article"&gt;17&lt;/ref-type&gt;&lt;contributors&gt;&lt;authors&gt;&lt;author&gt;Weilgart, L.S.&lt;/author&gt;&lt;/authors&gt;&lt;/contributors&gt;&lt;titles&gt;&lt;title&gt;The impacts of anthropogenic ocean noise on cetaceans and implications for management&lt;/title&gt;&lt;secondary-title&gt;Canadian Journal of Zoology&lt;/secondary-title&gt;&lt;/titles&gt;&lt;periodical&gt;&lt;full-title&gt;Canadian Journal of Zoology&lt;/full-title&gt;&lt;abbr-1&gt;Can J Zool&lt;/abbr-1&gt;&lt;abbr-2&gt;Can. J. Zool.&lt;/abbr-2&gt;&lt;/periodical&gt;&lt;pages&gt;1091-1116&lt;/pages&gt;&lt;volume&gt;85&lt;/volume&gt;&lt;dates&gt;&lt;year&gt;2007&lt;/year&gt;&lt;/dates&gt;&lt;urls&gt;&lt;/urls&gt;&lt;/record&gt;&lt;/Cite&gt;&lt;/EndNote&gt;</w:instrText>
      </w:r>
      <w:r w:rsidRPr="007E38D8">
        <w:rPr>
          <w:sz w:val="22"/>
        </w:rPr>
        <w:fldChar w:fldCharType="separate"/>
      </w:r>
      <w:r w:rsidRPr="007E38D8">
        <w:rPr>
          <w:sz w:val="22"/>
        </w:rPr>
        <w:t>(Weilgart</w:t>
      </w:r>
      <w:r w:rsidR="00F668A4">
        <w:rPr>
          <w:sz w:val="22"/>
        </w:rPr>
        <w:t>,</w:t>
      </w:r>
      <w:r w:rsidRPr="007E38D8">
        <w:rPr>
          <w:sz w:val="22"/>
        </w:rPr>
        <w:t xml:space="preserve"> 2007)</w:t>
      </w:r>
      <w:r w:rsidRPr="007E38D8">
        <w:rPr>
          <w:sz w:val="22"/>
        </w:rPr>
        <w:fldChar w:fldCharType="end"/>
      </w:r>
      <w:r w:rsidRPr="007E38D8">
        <w:rPr>
          <w:sz w:val="22"/>
        </w:rPr>
        <w:t>. Though the relationship between the onset of TTS and the onset of PTS is not fully understood, a specific amount of TTS can be used to predict sound levels that are likely to result in PTS. For example, in establishing</w:t>
      </w:r>
      <w:r w:rsidR="00F668A4">
        <w:rPr>
          <w:sz w:val="22"/>
        </w:rPr>
        <w:t xml:space="preserve"> PTS thresholds, Southall et al</w:t>
      </w:r>
      <w:r w:rsidRPr="007E38D8">
        <w:rPr>
          <w:sz w:val="22"/>
        </w:rPr>
        <w:t xml:space="preserve"> (2007) assume that PTS occurs with 40 decibels of TTS. While there are results from TTS and PTS studies on odontocet</w:t>
      </w:r>
      <w:r>
        <w:rPr>
          <w:sz w:val="22"/>
        </w:rPr>
        <w:t xml:space="preserve">es exposed to impulsive sounds </w:t>
      </w:r>
      <w:r>
        <w:rPr>
          <w:sz w:val="22"/>
        </w:rPr>
        <w:fldChar w:fldCharType="begin"/>
      </w:r>
      <w:r>
        <w:rPr>
          <w:sz w:val="22"/>
        </w:rPr>
        <w:instrText xml:space="preserve"> ADDIN EN.CITE &lt;EndNote&gt;&lt;Cite&gt;&lt;Author&gt;Finneran&lt;/Author&gt;&lt;Year&gt;2016&lt;/Year&gt;&lt;RecNum&gt;23797&lt;/RecNum&gt;&lt;DisplayText&gt;(Finneran 2016)&lt;/DisplayText&gt;&lt;record&gt;&lt;rec-number&gt;23797&lt;/rec-number&gt;&lt;foreign-keys&gt;&lt;key app="EN" db-id="avrwfx0posesv7e0p5ixzsx0ssp0v09v222p" timestamp="1478028422"&gt;23797&lt;/key&gt;&lt;/foreign-keys&gt;&lt;ref-type name="Report"&gt;27&lt;/ref-type&gt;&lt;contributors&gt;&lt;authors&gt;&lt;author&gt;Finneran, J.J.&lt;/author&gt;&lt;/authors&gt;&lt;/contributors&gt;&lt;titles&gt;&lt;title&gt;Auditory weighting functions and TTS/PTS exposure functions for marine mammals exposed to underwater noise&lt;/title&gt;&lt;/titles&gt;&lt;pages&gt;49&lt;/pages&gt;&lt;dates&gt;&lt;year&gt;2016&lt;/year&gt;&lt;pub-dates&gt;&lt;date&gt;May 2016&lt;/date&gt;&lt;/pub-dates&gt;&lt;/dates&gt;&lt;publisher&gt;Technical Report&lt;/publisher&gt;&lt;urls&gt;&lt;/urls&gt;&lt;/record&gt;&lt;/Cite&gt;&lt;/EndNote&gt;</w:instrText>
      </w:r>
      <w:r>
        <w:rPr>
          <w:sz w:val="22"/>
        </w:rPr>
        <w:fldChar w:fldCharType="separate"/>
      </w:r>
      <w:r>
        <w:rPr>
          <w:noProof/>
          <w:sz w:val="22"/>
        </w:rPr>
        <w:t>(Finneran</w:t>
      </w:r>
      <w:r w:rsidR="00F668A4">
        <w:rPr>
          <w:noProof/>
          <w:sz w:val="22"/>
        </w:rPr>
        <w:t>,</w:t>
      </w:r>
      <w:r>
        <w:rPr>
          <w:noProof/>
          <w:sz w:val="22"/>
        </w:rPr>
        <w:t xml:space="preserve"> 2016)</w:t>
      </w:r>
      <w:r>
        <w:rPr>
          <w:sz w:val="22"/>
        </w:rPr>
        <w:fldChar w:fldCharType="end"/>
      </w:r>
      <w:r w:rsidRPr="007E38D8">
        <w:rPr>
          <w:sz w:val="22"/>
        </w:rPr>
        <w:t>, there is no data for mysticetes</w:t>
      </w:r>
      <w:r w:rsidR="00F668A4">
        <w:rPr>
          <w:sz w:val="22"/>
        </w:rPr>
        <w:t xml:space="preserve">. </w:t>
      </w:r>
      <w:r w:rsidR="00084130" w:rsidRPr="00AC67BD">
        <w:rPr>
          <w:rFonts w:cs="Arial"/>
          <w:sz w:val="22"/>
          <w:szCs w:val="22"/>
        </w:rPr>
        <w:t xml:space="preserve">There is no conclusive evidence of a link between sounds of seismic surveys and mortality of ceataceans (Gotz </w:t>
      </w:r>
      <w:r w:rsidR="00084130" w:rsidRPr="00AC67BD">
        <w:rPr>
          <w:rFonts w:cs="Arial"/>
          <w:i/>
          <w:sz w:val="22"/>
          <w:szCs w:val="22"/>
        </w:rPr>
        <w:t>et al</w:t>
      </w:r>
      <w:r w:rsidR="00084130" w:rsidRPr="00AC67BD">
        <w:rPr>
          <w:rFonts w:cs="Arial"/>
          <w:sz w:val="22"/>
          <w:szCs w:val="22"/>
        </w:rPr>
        <w:t>., 2009).</w:t>
      </w:r>
    </w:p>
    <w:p w14:paraId="035B9C20" w14:textId="77777777" w:rsidR="00F668A4" w:rsidRDefault="00F668A4" w:rsidP="002C0E05">
      <w:pPr>
        <w:ind w:left="0"/>
        <w:rPr>
          <w:rFonts w:cs="Arial"/>
          <w:sz w:val="22"/>
          <w:szCs w:val="22"/>
        </w:rPr>
      </w:pPr>
    </w:p>
    <w:p w14:paraId="68856D58" w14:textId="37938E1E" w:rsidR="0049030C" w:rsidRPr="00AC67BD" w:rsidRDefault="00F668A4" w:rsidP="00F668A4">
      <w:pPr>
        <w:ind w:left="0"/>
        <w:rPr>
          <w:rFonts w:cs="Arial"/>
          <w:sz w:val="22"/>
          <w:szCs w:val="22"/>
        </w:rPr>
      </w:pPr>
      <w:r w:rsidRPr="00F668A4">
        <w:rPr>
          <w:rFonts w:cs="Arial"/>
          <w:sz w:val="22"/>
          <w:szCs w:val="22"/>
        </w:rPr>
        <w:t>For seismic surveys in Australian waters, the EPBC Act Policy Statement 2.1 determines suitable exclusion zones with an unweighted per-pulse SEL</w:t>
      </w:r>
      <w:r w:rsidRPr="00F668A4" w:rsidDel="006852C5">
        <w:rPr>
          <w:rFonts w:cs="Arial"/>
          <w:sz w:val="22"/>
          <w:szCs w:val="22"/>
        </w:rPr>
        <w:t xml:space="preserve"> </w:t>
      </w:r>
      <w:r w:rsidRPr="00F668A4">
        <w:rPr>
          <w:rFonts w:cs="Arial"/>
          <w:sz w:val="22"/>
          <w:szCs w:val="22"/>
        </w:rPr>
        <w:t>threshold of 160 dB re 1 µPa</w:t>
      </w:r>
      <w:r w:rsidRPr="00F668A4">
        <w:rPr>
          <w:rFonts w:cs="Arial"/>
          <w:sz w:val="22"/>
          <w:szCs w:val="22"/>
          <w:vertAlign w:val="superscript"/>
        </w:rPr>
        <w:t>2</w:t>
      </w:r>
      <w:r w:rsidRPr="00F668A4">
        <w:rPr>
          <w:rFonts w:cs="Arial"/>
          <w:sz w:val="22"/>
          <w:szCs w:val="22"/>
        </w:rPr>
        <w:t xml:space="preserve">·s </w:t>
      </w:r>
      <w:r w:rsidRPr="00F668A4">
        <w:rPr>
          <w:rFonts w:cs="Arial"/>
          <w:sz w:val="22"/>
          <w:szCs w:val="22"/>
        </w:rPr>
        <w:fldChar w:fldCharType="begin"/>
      </w:r>
      <w:r w:rsidRPr="00F668A4">
        <w:rPr>
          <w:rFonts w:cs="Arial"/>
          <w:sz w:val="22"/>
          <w:szCs w:val="22"/>
        </w:rPr>
        <w:instrText xml:space="preserve"> ADDIN EN.CITE &lt;EndNote&gt;&lt;Cite ExcludeAuth="1"&gt;&lt;Author&gt;[DEWHA] Department of the Environment&lt;/Author&gt;&lt;Year&gt;2008&lt;/Year&gt;&lt;RecNum&gt;22219&lt;/RecNum&gt;&lt;Prefix&gt;DEWHA &lt;/Prefix&gt;&lt;DisplayText&gt;(DEWHA 2008)&lt;/DisplayText&gt;&lt;record&gt;&lt;rec-number&gt;22219&lt;/rec-number&gt;&lt;foreign-keys&gt;&lt;key app="EN" db-id="avrwfx0posesv7e0p5ixzsx0ssp0v09v222p" timestamp="1447368106"&gt;22219&lt;/key&gt;&lt;key app="ENWeb" db-id=""&gt;0&lt;/key&gt;&lt;/foreign-keys&gt;&lt;ref-type name="Government Document"&gt;46&lt;/ref-type&gt;&lt;contributors&gt;&lt;authors&gt;&lt;author&gt;[DEWHA] Department of the Environment, Water, Heritage and the Arts&lt;/author&gt;&lt;/authors&gt;&lt;secondary-authors&gt;&lt;author&gt;Department of the Environment, Water, Heritage and the Arts&lt;/author&gt;&lt;/secondary-authors&gt;&lt;/contributors&gt;&lt;titles&gt;&lt;title&gt;EPBC Act Policy Statement 2.1 - Interaction Between Offshore Seismic Exploration and Whales&lt;/title&gt;&lt;/titles&gt;&lt;pages&gt;14&lt;/pages&gt;&lt;dates&gt;&lt;year&gt;2008&lt;/year&gt;&lt;/dates&gt;&lt;urls&gt;&lt;/urls&gt;&lt;/record&gt;&lt;/Cite&gt;&lt;/EndNote&gt;</w:instrText>
      </w:r>
      <w:r w:rsidRPr="00F668A4">
        <w:rPr>
          <w:rFonts w:cs="Arial"/>
          <w:sz w:val="22"/>
          <w:szCs w:val="22"/>
        </w:rPr>
        <w:fldChar w:fldCharType="separate"/>
      </w:r>
      <w:r w:rsidRPr="00F668A4">
        <w:rPr>
          <w:rFonts w:cs="Arial"/>
          <w:sz w:val="22"/>
          <w:szCs w:val="22"/>
        </w:rPr>
        <w:t>(DEWHA</w:t>
      </w:r>
      <w:r>
        <w:rPr>
          <w:rFonts w:cs="Arial"/>
          <w:sz w:val="22"/>
          <w:szCs w:val="22"/>
        </w:rPr>
        <w:t>,</w:t>
      </w:r>
      <w:r w:rsidRPr="00F668A4">
        <w:rPr>
          <w:rFonts w:cs="Arial"/>
          <w:sz w:val="22"/>
          <w:szCs w:val="22"/>
        </w:rPr>
        <w:t xml:space="preserve"> 2008)</w:t>
      </w:r>
      <w:r w:rsidRPr="00F668A4">
        <w:rPr>
          <w:rFonts w:cs="Arial"/>
          <w:sz w:val="22"/>
          <w:szCs w:val="22"/>
        </w:rPr>
        <w:fldChar w:fldCharType="end"/>
      </w:r>
      <w:r w:rsidRPr="00F668A4">
        <w:rPr>
          <w:rFonts w:cs="Arial"/>
          <w:sz w:val="22"/>
          <w:szCs w:val="22"/>
        </w:rPr>
        <w:t xml:space="preserve">. </w:t>
      </w:r>
      <w:r w:rsidRPr="00AC67BD">
        <w:rPr>
          <w:rFonts w:cs="Arial"/>
          <w:sz w:val="22"/>
          <w:szCs w:val="22"/>
        </w:rPr>
        <w:t xml:space="preserve">This threshold value is used in the policy to determine whale exclusion zones where seismic surveys must lower their acoustic power output, or shut down completely, in order to prevent significant exposure to sound levels that could induce TTS. </w:t>
      </w:r>
      <w:r w:rsidRPr="00F668A4">
        <w:rPr>
          <w:rFonts w:cs="Arial"/>
          <w:sz w:val="22"/>
          <w:szCs w:val="22"/>
        </w:rPr>
        <w:t>Policy Statement 2.1 does not apply to smaller dolphins and porpoises, as DEWHA assessed these cetaceans as having peak hearing sensitivities occurring at higher frequency ranges than those that seismic arrays typically produce.</w:t>
      </w:r>
    </w:p>
    <w:p w14:paraId="6C8123D5" w14:textId="77777777" w:rsidR="00F668A4" w:rsidRDefault="00F668A4" w:rsidP="002C0E05">
      <w:pPr>
        <w:ind w:left="0"/>
        <w:rPr>
          <w:rFonts w:cs="Arial"/>
          <w:sz w:val="22"/>
          <w:szCs w:val="22"/>
        </w:rPr>
      </w:pPr>
    </w:p>
    <w:p w14:paraId="4766F270" w14:textId="77777777" w:rsidR="0057316C" w:rsidRPr="00AC67BD" w:rsidRDefault="00CB03B7" w:rsidP="0057316C">
      <w:pPr>
        <w:spacing w:after="120"/>
        <w:ind w:left="0"/>
        <w:rPr>
          <w:rFonts w:cs="Arial"/>
          <w:i/>
          <w:sz w:val="22"/>
          <w:szCs w:val="22"/>
        </w:rPr>
      </w:pPr>
      <w:r w:rsidRPr="00AC67BD">
        <w:rPr>
          <w:rFonts w:cs="Arial"/>
          <w:i/>
          <w:sz w:val="22"/>
          <w:szCs w:val="22"/>
        </w:rPr>
        <w:t xml:space="preserve">Behavioural impacts </w:t>
      </w:r>
    </w:p>
    <w:p w14:paraId="536F8BA0" w14:textId="77777777" w:rsidR="00CB03B7" w:rsidRPr="00AC67BD" w:rsidRDefault="00B76145" w:rsidP="00AF1C68">
      <w:pPr>
        <w:ind w:left="0"/>
        <w:rPr>
          <w:rFonts w:cs="Arial"/>
          <w:sz w:val="22"/>
          <w:szCs w:val="22"/>
        </w:rPr>
      </w:pPr>
      <w:r w:rsidRPr="00AC67BD">
        <w:rPr>
          <w:rFonts w:cs="Arial"/>
          <w:sz w:val="22"/>
          <w:szCs w:val="22"/>
        </w:rPr>
        <w:t>A secondary concern arising from sound generation is the potential non-physiological effects on cetaceans including:</w:t>
      </w:r>
    </w:p>
    <w:p w14:paraId="794C6A43" w14:textId="77777777" w:rsidR="00B76145" w:rsidRPr="00AC67BD" w:rsidRDefault="00B76145" w:rsidP="00AF1C68">
      <w:pPr>
        <w:ind w:left="0"/>
        <w:rPr>
          <w:rFonts w:cs="Arial"/>
          <w:sz w:val="22"/>
          <w:szCs w:val="22"/>
        </w:rPr>
      </w:pPr>
      <w:r w:rsidRPr="00AC67BD">
        <w:rPr>
          <w:rFonts w:cs="Arial"/>
          <w:sz w:val="22"/>
          <w:szCs w:val="22"/>
        </w:rPr>
        <w:t xml:space="preserve"> </w:t>
      </w:r>
    </w:p>
    <w:p w14:paraId="03959730" w14:textId="77777777" w:rsidR="00B76145" w:rsidRPr="00AC67BD" w:rsidRDefault="00B76145" w:rsidP="00567567">
      <w:pPr>
        <w:pStyle w:val="ColorfulList-Accent11"/>
        <w:numPr>
          <w:ilvl w:val="0"/>
          <w:numId w:val="161"/>
        </w:numPr>
        <w:rPr>
          <w:rFonts w:cs="Arial"/>
          <w:sz w:val="22"/>
          <w:szCs w:val="22"/>
        </w:rPr>
      </w:pPr>
      <w:r w:rsidRPr="00AC67BD">
        <w:rPr>
          <w:rFonts w:cs="Arial"/>
          <w:sz w:val="22"/>
          <w:szCs w:val="22"/>
        </w:rPr>
        <w:t>Increased stress levels;</w:t>
      </w:r>
    </w:p>
    <w:p w14:paraId="1CD5AFE2" w14:textId="77777777" w:rsidR="00B76145" w:rsidRPr="00AC67BD" w:rsidRDefault="00B76145" w:rsidP="00567567">
      <w:pPr>
        <w:pStyle w:val="ColorfulList-Accent11"/>
        <w:numPr>
          <w:ilvl w:val="0"/>
          <w:numId w:val="161"/>
        </w:numPr>
        <w:rPr>
          <w:rFonts w:cs="Arial"/>
          <w:sz w:val="22"/>
          <w:szCs w:val="22"/>
        </w:rPr>
      </w:pPr>
      <w:r w:rsidRPr="00AC67BD">
        <w:rPr>
          <w:rFonts w:cs="Arial"/>
          <w:sz w:val="22"/>
          <w:szCs w:val="22"/>
        </w:rPr>
        <w:t>Disruption to underwater acoustic cues;</w:t>
      </w:r>
    </w:p>
    <w:p w14:paraId="150D4867" w14:textId="399F5649" w:rsidR="00AE044C" w:rsidRDefault="00AE044C" w:rsidP="00567567">
      <w:pPr>
        <w:pStyle w:val="ColorfulList-Accent11"/>
        <w:numPr>
          <w:ilvl w:val="0"/>
          <w:numId w:val="161"/>
        </w:numPr>
        <w:rPr>
          <w:rFonts w:cs="Arial"/>
          <w:sz w:val="22"/>
          <w:szCs w:val="22"/>
        </w:rPr>
      </w:pPr>
      <w:r>
        <w:rPr>
          <w:rFonts w:cs="Arial"/>
          <w:sz w:val="22"/>
          <w:szCs w:val="22"/>
        </w:rPr>
        <w:t>Masking;</w:t>
      </w:r>
    </w:p>
    <w:p w14:paraId="4CC9215B" w14:textId="77777777" w:rsidR="00B76145" w:rsidRPr="00AC67BD" w:rsidRDefault="00B76145" w:rsidP="00567567">
      <w:pPr>
        <w:pStyle w:val="ColorfulList-Accent11"/>
        <w:numPr>
          <w:ilvl w:val="0"/>
          <w:numId w:val="161"/>
        </w:numPr>
        <w:rPr>
          <w:rFonts w:cs="Arial"/>
          <w:sz w:val="22"/>
          <w:szCs w:val="22"/>
        </w:rPr>
      </w:pPr>
      <w:r w:rsidRPr="00AC67BD">
        <w:rPr>
          <w:rFonts w:cs="Arial"/>
          <w:sz w:val="22"/>
          <w:szCs w:val="22"/>
        </w:rPr>
        <w:t>Behavioural changes; and</w:t>
      </w:r>
    </w:p>
    <w:p w14:paraId="5B1178FF" w14:textId="54DB38E4" w:rsidR="00B76145" w:rsidRPr="00AC67BD" w:rsidRDefault="00AE044C" w:rsidP="00567567">
      <w:pPr>
        <w:pStyle w:val="ColorfulList-Accent11"/>
        <w:numPr>
          <w:ilvl w:val="0"/>
          <w:numId w:val="161"/>
        </w:numPr>
        <w:spacing w:after="240"/>
        <w:rPr>
          <w:rFonts w:cs="Arial"/>
          <w:sz w:val="22"/>
          <w:szCs w:val="22"/>
        </w:rPr>
      </w:pPr>
      <w:r>
        <w:rPr>
          <w:rFonts w:cs="Arial"/>
          <w:sz w:val="22"/>
          <w:szCs w:val="22"/>
        </w:rPr>
        <w:t>Displacement</w:t>
      </w:r>
      <w:r w:rsidR="00B76145" w:rsidRPr="00AC67BD">
        <w:rPr>
          <w:rFonts w:cs="Arial"/>
          <w:sz w:val="22"/>
          <w:szCs w:val="22"/>
        </w:rPr>
        <w:t>.</w:t>
      </w:r>
    </w:p>
    <w:p w14:paraId="32BFF6C2" w14:textId="77777777" w:rsidR="00703955" w:rsidRDefault="00AE044C" w:rsidP="00AE044C">
      <w:pPr>
        <w:pStyle w:val="BodyText"/>
        <w:spacing w:before="120"/>
        <w:ind w:left="0"/>
        <w:rPr>
          <w:sz w:val="22"/>
        </w:rPr>
      </w:pPr>
      <w:r w:rsidRPr="007E38D8">
        <w:rPr>
          <w:sz w:val="22"/>
        </w:rPr>
        <w:t xml:space="preserve">Behavioural responses to underwater sound are difficult to determine because animals vary widely in their response type and strength, and the same species exposed to the same sound may react differently </w:t>
      </w:r>
      <w:r w:rsidRPr="007E38D8">
        <w:rPr>
          <w:sz w:val="22"/>
        </w:rPr>
        <w:fldChar w:fldCharType="begin">
          <w:fldData xml:space="preserve">PEVuZE5vdGU+PENpdGU+PEF1dGhvcj5Ob3dhY2VrPC9BdXRob3I+PFllYXI+MjAwNDwvWWVhcj48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=
</w:fldData>
        </w:fldChar>
      </w:r>
      <w:r w:rsidRPr="007E38D8">
        <w:rPr>
          <w:sz w:val="22"/>
        </w:rPr>
        <w:instrText xml:space="preserve"> ADDIN EN.CITE </w:instrText>
      </w:r>
      <w:r w:rsidRPr="007E38D8">
        <w:rPr>
          <w:sz w:val="22"/>
        </w:rPr>
        <w:fldChar w:fldCharType="begin">
          <w:fldData xml:space="preserve">PEVuZE5vdGU+PENpdGU+PEF1dGhvcj5Ob3dhY2VrPC9BdXRob3I+PFllYXI+MjAwNDwvWWVhcj48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=
</w:fldData>
        </w:fldChar>
      </w:r>
      <w:r w:rsidRPr="007E38D8">
        <w:rPr>
          <w:sz w:val="22"/>
        </w:rPr>
        <w:instrText xml:space="preserve"> ADDIN EN.CITE.DATA </w:instrText>
      </w:r>
      <w:r w:rsidRPr="007E38D8">
        <w:rPr>
          <w:sz w:val="22"/>
        </w:rPr>
      </w:r>
      <w:r w:rsidRPr="007E38D8">
        <w:rPr>
          <w:sz w:val="22"/>
        </w:rPr>
        <w:fldChar w:fldCharType="end"/>
      </w:r>
      <w:r w:rsidRPr="007E38D8">
        <w:rPr>
          <w:sz w:val="22"/>
        </w:rPr>
      </w:r>
      <w:r w:rsidRPr="007E38D8">
        <w:rPr>
          <w:sz w:val="22"/>
        </w:rPr>
        <w:fldChar w:fldCharType="separate"/>
      </w:r>
      <w:r w:rsidRPr="007E38D8">
        <w:rPr>
          <w:sz w:val="22"/>
        </w:rPr>
        <w:t>(Nowacek</w:t>
      </w:r>
      <w:r w:rsidRPr="00AE044C">
        <w:rPr>
          <w:i/>
          <w:sz w:val="22"/>
        </w:rPr>
        <w:t xml:space="preserve"> et al</w:t>
      </w:r>
      <w:r w:rsidRPr="007E38D8">
        <w:rPr>
          <w:sz w:val="22"/>
        </w:rPr>
        <w:t>.</w:t>
      </w:r>
      <w:r>
        <w:rPr>
          <w:sz w:val="22"/>
        </w:rPr>
        <w:t>,</w:t>
      </w:r>
      <w:r w:rsidRPr="007E38D8">
        <w:rPr>
          <w:sz w:val="22"/>
        </w:rPr>
        <w:t xml:space="preserve"> 2004, Gomez </w:t>
      </w:r>
      <w:r w:rsidRPr="00AE044C">
        <w:rPr>
          <w:i/>
          <w:sz w:val="22"/>
        </w:rPr>
        <w:t>et al</w:t>
      </w:r>
      <w:r w:rsidRPr="007E38D8">
        <w:rPr>
          <w:sz w:val="22"/>
        </w:rPr>
        <w:t>.</w:t>
      </w:r>
      <w:r>
        <w:rPr>
          <w:sz w:val="22"/>
        </w:rPr>
        <w:t>,</w:t>
      </w:r>
      <w:r w:rsidRPr="007E38D8">
        <w:rPr>
          <w:sz w:val="22"/>
        </w:rPr>
        <w:t xml:space="preserve"> 2016, Southall </w:t>
      </w:r>
      <w:r w:rsidRPr="00AE044C">
        <w:rPr>
          <w:i/>
          <w:sz w:val="22"/>
        </w:rPr>
        <w:t>et al</w:t>
      </w:r>
      <w:r w:rsidRPr="007E38D8">
        <w:rPr>
          <w:sz w:val="22"/>
        </w:rPr>
        <w:t>.</w:t>
      </w:r>
      <w:r>
        <w:rPr>
          <w:sz w:val="22"/>
        </w:rPr>
        <w:t>,</w:t>
      </w:r>
      <w:r w:rsidRPr="007E38D8">
        <w:rPr>
          <w:sz w:val="22"/>
        </w:rPr>
        <w:t xml:space="preserve"> 2016)</w:t>
      </w:r>
      <w:r w:rsidRPr="007E38D8">
        <w:rPr>
          <w:sz w:val="22"/>
        </w:rPr>
        <w:fldChar w:fldCharType="end"/>
      </w:r>
      <w:r w:rsidRPr="007E38D8">
        <w:rPr>
          <w:sz w:val="22"/>
        </w:rPr>
        <w:t>. An individual’s response to a stimulus is influenced by the context in which the animal receives the stimulus and how relevant the individual perceives the stimulus to be. A number of biological and environmental factors can affect an animal’s response</w:t>
      </w:r>
      <w:r w:rsidR="00703955">
        <w:rPr>
          <w:sz w:val="22"/>
        </w:rPr>
        <w:t xml:space="preserve">, such as: </w:t>
      </w:r>
    </w:p>
    <w:p w14:paraId="491D12FD" w14:textId="22523212" w:rsidR="00703955" w:rsidRDefault="00703955" w:rsidP="00703955">
      <w:pPr>
        <w:pStyle w:val="BodyText"/>
        <w:numPr>
          <w:ilvl w:val="0"/>
          <w:numId w:val="549"/>
        </w:numPr>
        <w:spacing w:before="120"/>
        <w:rPr>
          <w:sz w:val="22"/>
        </w:rPr>
      </w:pPr>
      <w:r>
        <w:rPr>
          <w:sz w:val="22"/>
        </w:rPr>
        <w:t>B</w:t>
      </w:r>
      <w:r w:rsidR="00AE044C" w:rsidRPr="007E38D8">
        <w:rPr>
          <w:sz w:val="22"/>
        </w:rPr>
        <w:t>ehavioural state (e.g.</w:t>
      </w:r>
      <w:r w:rsidR="00AE044C">
        <w:rPr>
          <w:sz w:val="22"/>
        </w:rPr>
        <w:t>,</w:t>
      </w:r>
      <w:r w:rsidR="00AE044C" w:rsidRPr="007E38D8">
        <w:rPr>
          <w:sz w:val="22"/>
        </w:rPr>
        <w:t xml:space="preserve"> foraging, travelling or socialising)</w:t>
      </w:r>
      <w:r>
        <w:rPr>
          <w:sz w:val="22"/>
        </w:rPr>
        <w:t>;</w:t>
      </w:r>
      <w:r w:rsidR="00AE044C" w:rsidRPr="007E38D8">
        <w:rPr>
          <w:sz w:val="22"/>
        </w:rPr>
        <w:t xml:space="preserve"> </w:t>
      </w:r>
    </w:p>
    <w:p w14:paraId="5092BCF7" w14:textId="2D869E37" w:rsidR="00703955" w:rsidRDefault="00703955" w:rsidP="00703955">
      <w:pPr>
        <w:pStyle w:val="BodyText"/>
        <w:numPr>
          <w:ilvl w:val="0"/>
          <w:numId w:val="549"/>
        </w:numPr>
        <w:spacing w:before="120"/>
        <w:rPr>
          <w:sz w:val="22"/>
        </w:rPr>
      </w:pPr>
      <w:r>
        <w:rPr>
          <w:sz w:val="22"/>
        </w:rPr>
        <w:t>R</w:t>
      </w:r>
      <w:r w:rsidR="00AE044C" w:rsidRPr="007E38D8">
        <w:rPr>
          <w:sz w:val="22"/>
        </w:rPr>
        <w:t>eproductive state (e.g., female with or without calf, or single male)</w:t>
      </w:r>
      <w:r>
        <w:rPr>
          <w:sz w:val="22"/>
        </w:rPr>
        <w:t>;</w:t>
      </w:r>
      <w:r w:rsidR="00AE044C" w:rsidRPr="007E38D8">
        <w:rPr>
          <w:sz w:val="22"/>
        </w:rPr>
        <w:t xml:space="preserve"> </w:t>
      </w:r>
    </w:p>
    <w:p w14:paraId="416B3C8D" w14:textId="64676084" w:rsidR="00703955" w:rsidRDefault="00703955" w:rsidP="00703955">
      <w:pPr>
        <w:pStyle w:val="BodyText"/>
        <w:numPr>
          <w:ilvl w:val="0"/>
          <w:numId w:val="549"/>
        </w:numPr>
        <w:spacing w:before="120"/>
        <w:rPr>
          <w:sz w:val="22"/>
        </w:rPr>
      </w:pPr>
      <w:r>
        <w:rPr>
          <w:sz w:val="22"/>
        </w:rPr>
        <w:t>A</w:t>
      </w:r>
      <w:r w:rsidR="00AE044C" w:rsidRPr="007E38D8">
        <w:rPr>
          <w:sz w:val="22"/>
        </w:rPr>
        <w:t>ge (juvenile, sub-adult, adult)</w:t>
      </w:r>
      <w:r>
        <w:rPr>
          <w:sz w:val="22"/>
        </w:rPr>
        <w:t>;</w:t>
      </w:r>
      <w:r w:rsidR="00AE044C" w:rsidRPr="007E38D8">
        <w:rPr>
          <w:sz w:val="22"/>
        </w:rPr>
        <w:t xml:space="preserve"> </w:t>
      </w:r>
    </w:p>
    <w:p w14:paraId="509FE608" w14:textId="4743EC3C" w:rsidR="00703955" w:rsidRDefault="00703955" w:rsidP="00703955">
      <w:pPr>
        <w:pStyle w:val="BodyText"/>
        <w:numPr>
          <w:ilvl w:val="0"/>
          <w:numId w:val="549"/>
        </w:numPr>
        <w:spacing w:before="120"/>
        <w:rPr>
          <w:sz w:val="22"/>
        </w:rPr>
      </w:pPr>
      <w:r>
        <w:rPr>
          <w:sz w:val="22"/>
        </w:rPr>
        <w:t>M</w:t>
      </w:r>
      <w:r w:rsidR="00AE044C" w:rsidRPr="007E38D8">
        <w:rPr>
          <w:sz w:val="22"/>
        </w:rPr>
        <w:t>otivational state (e.g., hunger, fear of predation, courtship) at the time of exposure</w:t>
      </w:r>
      <w:r>
        <w:rPr>
          <w:sz w:val="22"/>
        </w:rPr>
        <w:t>; and</w:t>
      </w:r>
    </w:p>
    <w:p w14:paraId="2473D529" w14:textId="5219EA72" w:rsidR="00AE044C" w:rsidRPr="007E38D8" w:rsidRDefault="00703955" w:rsidP="00703955">
      <w:pPr>
        <w:pStyle w:val="BodyText"/>
        <w:numPr>
          <w:ilvl w:val="0"/>
          <w:numId w:val="549"/>
        </w:numPr>
        <w:spacing w:before="120"/>
        <w:rPr>
          <w:sz w:val="22"/>
        </w:rPr>
      </w:pPr>
      <w:r>
        <w:rPr>
          <w:sz w:val="22"/>
        </w:rPr>
        <w:t>P</w:t>
      </w:r>
      <w:r w:rsidR="00AE044C" w:rsidRPr="007E38D8">
        <w:rPr>
          <w:sz w:val="22"/>
        </w:rPr>
        <w:t xml:space="preserve">erceived proximity, motion, and biological meaning of the sound and nature of the sound source. </w:t>
      </w:r>
    </w:p>
    <w:p w14:paraId="0AC5527A" w14:textId="6471CAE5" w:rsidR="00AE044C" w:rsidRDefault="00AE044C" w:rsidP="00AE044C">
      <w:pPr>
        <w:ind w:left="0"/>
        <w:rPr>
          <w:rFonts w:cs="Arial"/>
          <w:b/>
          <w:sz w:val="22"/>
          <w:szCs w:val="22"/>
        </w:rPr>
      </w:pPr>
      <w:r w:rsidRPr="007E38D8">
        <w:rPr>
          <w:sz w:val="22"/>
        </w:rPr>
        <w:t xml:space="preserve">Animals might temporarily avoid anthropogenic sounds, but could display other behaviours such as approaching novel sound sources, increasing vigilance, hiding and/or retreating, that might decrease their foraging time </w:t>
      </w:r>
      <w:r w:rsidRPr="007E38D8">
        <w:rPr>
          <w:sz w:val="22"/>
        </w:rPr>
        <w:fldChar w:fldCharType="begin"/>
      </w:r>
      <w:r w:rsidRPr="007E38D8">
        <w:rPr>
          <w:sz w:val="22"/>
        </w:rPr>
        <w:instrText xml:space="preserve"> ADDIN EN.CITE &lt;EndNote&gt;&lt;Cite&gt;&lt;Author&gt;Purser&lt;/Author&gt;&lt;Year&gt;2011&lt;/Year&gt;&lt;RecNum&gt;22308&lt;/RecNum&gt;&lt;DisplayText&gt;(Purser and Radford 2011)&lt;/DisplayText&gt;&lt;record&gt;&lt;rec-number&gt;22308&lt;/rec-number&gt;&lt;foreign-keys&gt;&lt;key app="EN" db-id="avrwfx0posesv7e0p5ixzsx0ssp0v09v222p" timestamp="1445373881"&gt;22308&lt;/key&gt;&lt;/foreign-keys&gt;&lt;ref-type name="Journal Article"&gt;17&lt;/ref-type&gt;&lt;contributors&gt;&lt;authors&gt;&lt;author&gt;Purser, Julia&lt;/author&gt;&lt;author&gt;Radford, Andrew N&lt;/author&gt;&lt;/authors&gt;&lt;/contributors&gt;&lt;titles&gt;&lt;title&gt;&lt;style face="normal" font="default" size="100%"&gt;Acoustic noise induces attention shifts and reduces foraging performance in three-spined sticklebacks (&lt;/style&gt;&lt;style face="italic" font="default" size="100%"&gt;Gasterosteus aculeatus&lt;/style&gt;&lt;style face="normal" font="default" size="100%"&gt;)&lt;/style&gt;&lt;/title&gt;&lt;secondary-title&gt;PLOS ONE&lt;/secondary-title&gt;&lt;/titles&gt;&lt;periodical&gt;&lt;full-title&gt;PLoS ONE&lt;/full-title&gt;&lt;abbr-1&gt;PLoS ONE&lt;/abbr-1&gt;&lt;abbr-2&gt;PLoS. ONE&lt;/abbr-2&gt;&lt;/periodical&gt;&lt;pages&gt;e17478&lt;/pages&gt;&lt;volume&gt;6&lt;/volume&gt;&lt;number&gt;2&lt;/number&gt;&lt;dates&gt;&lt;year&gt;2011&lt;/year&gt;&lt;/dates&gt;&lt;isbn&gt;1932-6203&lt;/isbn&gt;&lt;urls&gt;&lt;related-urls&gt;&lt;url&gt;http://www.plosone.org/article/info%3Adoi%2F10.1371%2Fjournal.pone.0017478#pone-0017478-g005&lt;/url&gt;&lt;/related-urls&gt;&lt;/urls&gt;&lt;/record&gt;&lt;/Cite&gt;&lt;/EndNote&gt;</w:instrText>
      </w:r>
      <w:r w:rsidRPr="007E38D8">
        <w:rPr>
          <w:sz w:val="22"/>
        </w:rPr>
        <w:fldChar w:fldCharType="separate"/>
      </w:r>
      <w:r w:rsidRPr="007E38D8">
        <w:rPr>
          <w:sz w:val="22"/>
        </w:rPr>
        <w:t>(Purser and Radford</w:t>
      </w:r>
      <w:r>
        <w:rPr>
          <w:sz w:val="22"/>
        </w:rPr>
        <w:t>,</w:t>
      </w:r>
      <w:r w:rsidRPr="007E38D8">
        <w:rPr>
          <w:sz w:val="22"/>
        </w:rPr>
        <w:t xml:space="preserve"> 2011)</w:t>
      </w:r>
      <w:r w:rsidRPr="007E38D8">
        <w:rPr>
          <w:sz w:val="22"/>
        </w:rPr>
        <w:fldChar w:fldCharType="end"/>
      </w:r>
      <w:r w:rsidRPr="007E38D8">
        <w:rPr>
          <w:sz w:val="22"/>
        </w:rPr>
        <w:t xml:space="preserve">. Some cetaceans might also respond acoustically to seismic survey noise in a range </w:t>
      </w:r>
      <w:r w:rsidRPr="007E38D8">
        <w:rPr>
          <w:sz w:val="22"/>
        </w:rPr>
        <w:lastRenderedPageBreak/>
        <w:t>of ways, including by increasing the amplitude of their cal</w:t>
      </w:r>
      <w:r>
        <w:rPr>
          <w:sz w:val="22"/>
        </w:rPr>
        <w:t>ls (Lombard effect)</w:t>
      </w:r>
      <w:r w:rsidRPr="007E38D8">
        <w:rPr>
          <w:sz w:val="22"/>
        </w:rPr>
        <w:t xml:space="preserve">, changing their spectral (frequency content) or temporal vocalisation properties, and in some cases, cease vocalising </w:t>
      </w:r>
      <w:r w:rsidRPr="007E38D8">
        <w:rPr>
          <w:sz w:val="22"/>
        </w:rPr>
        <w:fldChar w:fldCharType="begin">
          <w:fldData xml:space="preserve">PEVuZE5vdGU+PENpdGUgRXhjbHVkZUF1dGg9IjEiPjxBdXRob3I+W0lXQ10gSW50ZXJuYXRpb25h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</w:fldData>
        </w:fldChar>
      </w:r>
      <w:r>
        <w:rPr>
          <w:sz w:val="22"/>
        </w:rPr>
        <w:instrText xml:space="preserve"> ADDIN EN.CITE </w:instrText>
      </w:r>
      <w:r>
        <w:rPr>
          <w:sz w:val="22"/>
        </w:rPr>
        <w:fldChar w:fldCharType="begin">
          <w:fldData xml:space="preserve">PEVuZE5vdGU+PENpdGUgRXhjbHVkZUF1dGg9IjEiPjxBdXRob3I+W0lXQ10gSW50ZXJuYXRpb25h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</w:fldData>
        </w:fldChar>
      </w:r>
      <w:r>
        <w:rPr>
          <w:sz w:val="22"/>
        </w:rPr>
        <w:instrText xml:space="preserve"> ADDIN EN.CITE.DATA </w:instrText>
      </w:r>
      <w:r>
        <w:rPr>
          <w:sz w:val="22"/>
        </w:rPr>
      </w:r>
      <w:r>
        <w:rPr>
          <w:sz w:val="22"/>
        </w:rPr>
        <w:fldChar w:fldCharType="end"/>
      </w:r>
      <w:r w:rsidRPr="007E38D8">
        <w:rPr>
          <w:sz w:val="22"/>
        </w:rPr>
      </w:r>
      <w:r w:rsidRPr="007E38D8">
        <w:rPr>
          <w:sz w:val="22"/>
        </w:rPr>
        <w:fldChar w:fldCharType="separate"/>
      </w:r>
      <w:r w:rsidRPr="007E38D8">
        <w:rPr>
          <w:noProof/>
          <w:sz w:val="22"/>
        </w:rPr>
        <w:t xml:space="preserve">(IWC McDonald </w:t>
      </w:r>
      <w:r w:rsidRPr="00AE044C">
        <w:rPr>
          <w:i/>
          <w:noProof/>
          <w:sz w:val="22"/>
        </w:rPr>
        <w:t>et al</w:t>
      </w:r>
      <w:r w:rsidRPr="007E38D8">
        <w:rPr>
          <w:noProof/>
          <w:sz w:val="22"/>
        </w:rPr>
        <w:t>.</w:t>
      </w:r>
      <w:r>
        <w:rPr>
          <w:noProof/>
          <w:sz w:val="22"/>
        </w:rPr>
        <w:t>,</w:t>
      </w:r>
      <w:r w:rsidRPr="007E38D8">
        <w:rPr>
          <w:noProof/>
          <w:sz w:val="22"/>
        </w:rPr>
        <w:t xml:space="preserve"> 1995</w:t>
      </w:r>
      <w:r>
        <w:rPr>
          <w:noProof/>
          <w:sz w:val="22"/>
        </w:rPr>
        <w:t>;</w:t>
      </w:r>
      <w:r w:rsidRPr="007E38D8">
        <w:rPr>
          <w:noProof/>
          <w:sz w:val="22"/>
        </w:rPr>
        <w:t xml:space="preserve"> 2007, Parks </w:t>
      </w:r>
      <w:r w:rsidRPr="00AE044C">
        <w:rPr>
          <w:i/>
          <w:noProof/>
          <w:sz w:val="22"/>
        </w:rPr>
        <w:t>et al</w:t>
      </w:r>
      <w:r w:rsidRPr="007E38D8">
        <w:rPr>
          <w:noProof/>
          <w:sz w:val="22"/>
        </w:rPr>
        <w:t>.</w:t>
      </w:r>
      <w:r>
        <w:rPr>
          <w:noProof/>
          <w:sz w:val="22"/>
        </w:rPr>
        <w:t>,</w:t>
      </w:r>
      <w:r w:rsidRPr="007E38D8">
        <w:rPr>
          <w:noProof/>
          <w:sz w:val="22"/>
        </w:rPr>
        <w:t xml:space="preserve"> 2007</w:t>
      </w:r>
      <w:r>
        <w:rPr>
          <w:noProof/>
          <w:sz w:val="22"/>
        </w:rPr>
        <w:t>;</w:t>
      </w:r>
      <w:r w:rsidRPr="007E38D8">
        <w:rPr>
          <w:noProof/>
          <w:sz w:val="22"/>
        </w:rPr>
        <w:t xml:space="preserve"> Di Iorio and Clark</w:t>
      </w:r>
      <w:r>
        <w:rPr>
          <w:noProof/>
          <w:sz w:val="22"/>
        </w:rPr>
        <w:t>,</w:t>
      </w:r>
      <w:r w:rsidRPr="007E38D8">
        <w:rPr>
          <w:noProof/>
          <w:sz w:val="22"/>
        </w:rPr>
        <w:t xml:space="preserve"> 2010</w:t>
      </w:r>
      <w:r>
        <w:rPr>
          <w:noProof/>
          <w:sz w:val="22"/>
        </w:rPr>
        <w:t>;</w:t>
      </w:r>
      <w:r w:rsidRPr="007E38D8">
        <w:rPr>
          <w:noProof/>
          <w:sz w:val="22"/>
        </w:rPr>
        <w:t xml:space="preserve"> Castellote </w:t>
      </w:r>
      <w:r w:rsidRPr="00AE044C">
        <w:rPr>
          <w:i/>
          <w:noProof/>
          <w:sz w:val="22"/>
        </w:rPr>
        <w:t>et al</w:t>
      </w:r>
      <w:r w:rsidRPr="007E38D8">
        <w:rPr>
          <w:noProof/>
          <w:sz w:val="22"/>
        </w:rPr>
        <w:t>.</w:t>
      </w:r>
      <w:r>
        <w:rPr>
          <w:noProof/>
          <w:sz w:val="22"/>
        </w:rPr>
        <w:t>,</w:t>
      </w:r>
      <w:r w:rsidRPr="007E38D8">
        <w:rPr>
          <w:noProof/>
          <w:sz w:val="22"/>
        </w:rPr>
        <w:t xml:space="preserve"> 2012</w:t>
      </w:r>
      <w:r>
        <w:rPr>
          <w:noProof/>
          <w:sz w:val="22"/>
        </w:rPr>
        <w:t>;</w:t>
      </w:r>
      <w:r w:rsidRPr="007E38D8">
        <w:rPr>
          <w:noProof/>
          <w:sz w:val="22"/>
        </w:rPr>
        <w:t xml:space="preserve"> Hotchkin and Parks</w:t>
      </w:r>
      <w:r>
        <w:rPr>
          <w:noProof/>
          <w:sz w:val="22"/>
        </w:rPr>
        <w:t>,</w:t>
      </w:r>
      <w:r w:rsidRPr="007E38D8">
        <w:rPr>
          <w:noProof/>
          <w:sz w:val="22"/>
        </w:rPr>
        <w:t xml:space="preserve"> 2013</w:t>
      </w:r>
      <w:r>
        <w:rPr>
          <w:noProof/>
          <w:sz w:val="22"/>
        </w:rPr>
        <w:t>;</w:t>
      </w:r>
      <w:r w:rsidRPr="007E38D8">
        <w:rPr>
          <w:noProof/>
          <w:sz w:val="22"/>
        </w:rPr>
        <w:t xml:space="preserve"> Blackwell </w:t>
      </w:r>
      <w:r w:rsidRPr="00AE044C">
        <w:rPr>
          <w:i/>
          <w:noProof/>
          <w:sz w:val="22"/>
        </w:rPr>
        <w:t>et al</w:t>
      </w:r>
      <w:r w:rsidRPr="007E38D8">
        <w:rPr>
          <w:noProof/>
          <w:sz w:val="22"/>
        </w:rPr>
        <w:t>.</w:t>
      </w:r>
      <w:r>
        <w:rPr>
          <w:noProof/>
          <w:sz w:val="22"/>
        </w:rPr>
        <w:t>,</w:t>
      </w:r>
      <w:r w:rsidRPr="007E38D8">
        <w:rPr>
          <w:noProof/>
          <w:sz w:val="22"/>
        </w:rPr>
        <w:t xml:space="preserve"> 2015)</w:t>
      </w:r>
      <w:r w:rsidRPr="007E38D8">
        <w:rPr>
          <w:sz w:val="22"/>
        </w:rPr>
        <w:fldChar w:fldCharType="end"/>
      </w:r>
      <w:r>
        <w:rPr>
          <w:sz w:val="22"/>
        </w:rPr>
        <w:t xml:space="preserve">. Masking can also occur </w:t>
      </w:r>
      <w:r>
        <w:rPr>
          <w:sz w:val="22"/>
        </w:rPr>
        <w:fldChar w:fldCharType="begin"/>
      </w:r>
      <w:r>
        <w:rPr>
          <w:sz w:val="22"/>
        </w:rPr>
        <w:instrText xml:space="preserve"> ADDIN EN.CITE &lt;EndNote&gt;&lt;Cite&gt;&lt;Author&gt;Erbe&lt;/Author&gt;&lt;Year&gt;2015&lt;/Year&gt;&lt;RecNum&gt;22515&lt;/RecNum&gt;&lt;DisplayText&gt;(Erbe et al. 2015)&lt;/DisplayText&gt;&lt;record&gt;&lt;rec-number&gt;22515&lt;/rec-number&gt;&lt;foreign-keys&gt;&lt;key app="EN" db-id="avrwfx0posesv7e0p5ixzsx0ssp0v09v222p" timestamp="1453139145"&gt;22515&lt;/key&gt;&lt;/foreign-keys&gt;&lt;ref-type name="Journal Article"&gt;17&lt;/ref-type&gt;&lt;contributors&gt;&lt;authors&gt;&lt;author&gt;Erbe, Christine&lt;/author&gt;&lt;author&gt;Reichmuth, Colleen&lt;/author&gt;&lt;author&gt;Cunningham, Kane&lt;/author&gt;&lt;author&gt;Lucke, Klaus&lt;/author&gt;&lt;author&gt;Dooling, Robert&lt;/author&gt;&lt;/authors&gt;&lt;/contributors&gt;&lt;titles&gt;&lt;title&gt;Communication masking in marine mammals: A review and research strategy&lt;/title&gt;&lt;secondary-title&gt;Marine Pollution Bulletin&lt;/secondary-title&gt;&lt;/titles&gt;&lt;periodical&gt;&lt;full-title&gt;Marine Pollution Bulletin&lt;/full-title&gt;&lt;abbr-1&gt;Mar. Pollut. Bull.&lt;/abbr-1&gt;&lt;abbr-2&gt;Mar Pollut Bull&lt;/abbr-2&gt;&lt;/periodical&gt;&lt;dates&gt;&lt;year&gt;2015&lt;/year&gt;&lt;/dates&gt;&lt;isbn&gt;0025-326X&lt;/isbn&gt;&lt;urls&gt;&lt;related-urls&gt;&lt;url&gt;http://dx.doi.org/10.1016/j.marpolbul.2015.12.007&lt;/url&gt;&lt;/related-urls&gt;&lt;/urls&gt;&lt;electronic-resource-num&gt;http://dx.doi.org/10.1016/j.marpolbul.2015.12.007&lt;/electronic-resource-num&gt;&lt;/record&gt;&lt;/Cite&gt;&lt;/EndNote&gt;</w:instrText>
      </w:r>
      <w:r>
        <w:rPr>
          <w:sz w:val="22"/>
        </w:rPr>
        <w:fldChar w:fldCharType="separate"/>
      </w:r>
      <w:r>
        <w:rPr>
          <w:noProof/>
          <w:sz w:val="22"/>
        </w:rPr>
        <w:t xml:space="preserve">(Erbe </w:t>
      </w:r>
      <w:r w:rsidRPr="00AE044C">
        <w:rPr>
          <w:i/>
          <w:noProof/>
          <w:sz w:val="22"/>
        </w:rPr>
        <w:t>et al</w:t>
      </w:r>
      <w:r>
        <w:rPr>
          <w:noProof/>
          <w:sz w:val="22"/>
        </w:rPr>
        <w:t>., 2015)</w:t>
      </w:r>
      <w:r>
        <w:rPr>
          <w:sz w:val="22"/>
        </w:rPr>
        <w:fldChar w:fldCharType="end"/>
      </w:r>
      <w:r>
        <w:rPr>
          <w:sz w:val="22"/>
        </w:rPr>
        <w:t>.</w:t>
      </w:r>
    </w:p>
    <w:p w14:paraId="4EF9B7DC" w14:textId="5B703567" w:rsidR="00AE044C" w:rsidRPr="007E38D8" w:rsidRDefault="00AE044C" w:rsidP="00AE044C">
      <w:pPr>
        <w:pStyle w:val="BodyText"/>
        <w:spacing w:before="120"/>
        <w:ind w:left="0"/>
        <w:rPr>
          <w:sz w:val="22"/>
        </w:rPr>
      </w:pPr>
      <w:r w:rsidRPr="007E38D8">
        <w:rPr>
          <w:sz w:val="22"/>
        </w:rPr>
        <w:t xml:space="preserve">The BRAHSS (Behavioural Response of Australian Humpback whales to Seismic Surveys) project conducted studies at Peregian Beach, Qld, and Dongara, WA, to better understand the behavioural responses of humpback whales to noise from the operation of seismic air gun arrays </w:t>
      </w:r>
      <w:r w:rsidRPr="007E38D8">
        <w:rPr>
          <w:sz w:val="22"/>
        </w:rPr>
        <w:fldChar w:fldCharType="begin"/>
      </w:r>
      <w:r w:rsidRPr="007E38D8">
        <w:rPr>
          <w:sz w:val="22"/>
        </w:rPr>
        <w:instrText xml:space="preserve"> ADDIN EN.CITE &lt;EndNote&gt;&lt;Cite&gt;&lt;Author&gt;Cato&lt;/Author&gt;&lt;Year&gt;2013&lt;/Year&gt;&lt;RecNum&gt;23247&lt;/RecNum&gt;&lt;DisplayText&gt;(Cato et al. 2013)&lt;/DisplayText&gt;&lt;record&gt;&lt;rec-number&gt;23247&lt;/rec-number&gt;&lt;foreign-keys&gt;&lt;key app="EN" db-id="avrwfx0posesv7e0p5ixzsx0ssp0v09v222p" timestamp="1461004592"&gt;23247&lt;/key&gt;&lt;/foreign-keys&gt;&lt;ref-type name="Journal Article"&gt;17&lt;/ref-type&gt;&lt;contributors&gt;&lt;authors&gt;&lt;author&gt;Cato, Douglas H&lt;/author&gt;&lt;author&gt;Noad, Michael J&lt;/author&gt;&lt;author&gt;Dunlop, Rebecca A&lt;/author&gt;&lt;author&gt;McCauley, Robert D&lt;/author&gt;&lt;author&gt;Gales, Nicholas J&lt;/author&gt;&lt;author&gt;Kent, Chandra P Salgado&lt;/author&gt;&lt;author&gt;Kniest, Hendrik&lt;/author&gt;&lt;author&gt;Paton, David&lt;/author&gt;&lt;author&gt;Jenner, K Curt S&lt;/author&gt;&lt;author&gt;Noad, John&lt;/author&gt;&lt;/authors&gt;&lt;/contributors&gt;&lt;titles&gt;&lt;title&gt;A study of the behavioural response of whales to the noise of seismic air guns: Design, methods and progress&lt;/title&gt;&lt;secondary-title&gt;Acoustics Australia&lt;/secondary-title&gt;&lt;/titles&gt;&lt;periodical&gt;&lt;full-title&gt;Acoustics Australia&lt;/full-title&gt;&lt;/periodical&gt;&lt;pages&gt;88-97&lt;/pages&gt;&lt;volume&gt;41&lt;/volume&gt;&lt;number&gt;1&lt;/number&gt;&lt;dates&gt;&lt;year&gt;2013&lt;/year&gt;&lt;/dates&gt;&lt;isbn&gt;0814-6039&lt;/isbn&gt;&lt;urls&gt;&lt;/urls&gt;&lt;/record&gt;&lt;/Cite&gt;&lt;/EndNote&gt;</w:instrText>
      </w:r>
      <w:r w:rsidRPr="007E38D8">
        <w:rPr>
          <w:sz w:val="22"/>
        </w:rPr>
        <w:fldChar w:fldCharType="separate"/>
      </w:r>
      <w:r w:rsidRPr="007E38D8">
        <w:rPr>
          <w:sz w:val="22"/>
        </w:rPr>
        <w:t xml:space="preserve">(Cato </w:t>
      </w:r>
      <w:r w:rsidRPr="00AE044C">
        <w:rPr>
          <w:i/>
          <w:sz w:val="22"/>
        </w:rPr>
        <w:t>et al</w:t>
      </w:r>
      <w:r w:rsidRPr="007E38D8">
        <w:rPr>
          <w:sz w:val="22"/>
        </w:rPr>
        <w:t>.</w:t>
      </w:r>
      <w:r>
        <w:rPr>
          <w:sz w:val="22"/>
        </w:rPr>
        <w:t>,</w:t>
      </w:r>
      <w:r w:rsidRPr="007E38D8">
        <w:rPr>
          <w:sz w:val="22"/>
        </w:rPr>
        <w:t xml:space="preserve"> 2013)</w:t>
      </w:r>
      <w:r w:rsidRPr="007E38D8">
        <w:rPr>
          <w:sz w:val="22"/>
        </w:rPr>
        <w:fldChar w:fldCharType="end"/>
      </w:r>
      <w:r w:rsidRPr="007E38D8">
        <w:rPr>
          <w:sz w:val="22"/>
        </w:rPr>
        <w:t xml:space="preserve">. Results from the first sets of experiments have been published </w:t>
      </w:r>
      <w:r w:rsidRPr="007E38D8">
        <w:rPr>
          <w:sz w:val="22"/>
        </w:rPr>
        <w:fldChar w:fldCharType="begin">
          <w:fldData xml:space="preserve">PEVuZE5vdGU+PENpdGU+PEF1dGhvcj5EdW5sb3A8L0F1dGhvcj48WWVhcj4yMDE1PC9ZZWFyPjxS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</w:fldData>
        </w:fldChar>
      </w:r>
      <w:r w:rsidRPr="007E38D8">
        <w:rPr>
          <w:sz w:val="22"/>
        </w:rPr>
        <w:instrText xml:space="preserve"> ADDIN EN.CITE </w:instrText>
      </w:r>
      <w:r w:rsidRPr="007E38D8">
        <w:rPr>
          <w:sz w:val="22"/>
        </w:rPr>
        <w:fldChar w:fldCharType="begin">
          <w:fldData xml:space="preserve">PEVuZE5vdGU+PENpdGU+PEF1dGhvcj5EdW5sb3A8L0F1dGhvcj48WWVhcj4yMDE1PC9ZZWFyPjxS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</w:fldData>
        </w:fldChar>
      </w:r>
      <w:r w:rsidRPr="007E38D8">
        <w:rPr>
          <w:sz w:val="22"/>
        </w:rPr>
        <w:instrText xml:space="preserve"> ADDIN EN.CITE.DATA </w:instrText>
      </w:r>
      <w:r w:rsidRPr="007E38D8">
        <w:rPr>
          <w:sz w:val="22"/>
        </w:rPr>
      </w:r>
      <w:r w:rsidRPr="007E38D8">
        <w:rPr>
          <w:sz w:val="22"/>
        </w:rPr>
        <w:fldChar w:fldCharType="end"/>
      </w:r>
      <w:r w:rsidRPr="007E38D8">
        <w:rPr>
          <w:sz w:val="22"/>
        </w:rPr>
      </w:r>
      <w:r w:rsidRPr="007E38D8">
        <w:rPr>
          <w:sz w:val="22"/>
        </w:rPr>
        <w:fldChar w:fldCharType="separate"/>
      </w:r>
      <w:r w:rsidRPr="007E38D8">
        <w:rPr>
          <w:sz w:val="22"/>
        </w:rPr>
        <w:t xml:space="preserve">(Dunlop </w:t>
      </w:r>
      <w:r w:rsidRPr="00AE044C">
        <w:rPr>
          <w:i/>
          <w:sz w:val="22"/>
        </w:rPr>
        <w:t>et al</w:t>
      </w:r>
      <w:r w:rsidRPr="007E38D8">
        <w:rPr>
          <w:sz w:val="22"/>
        </w:rPr>
        <w:t>.</w:t>
      </w:r>
      <w:r>
        <w:rPr>
          <w:sz w:val="22"/>
        </w:rPr>
        <w:t>,</w:t>
      </w:r>
      <w:r w:rsidRPr="007E38D8">
        <w:rPr>
          <w:sz w:val="22"/>
        </w:rPr>
        <w:t xml:space="preserve"> 2015</w:t>
      </w:r>
      <w:r>
        <w:rPr>
          <w:sz w:val="22"/>
        </w:rPr>
        <w:t>;</w:t>
      </w:r>
      <w:r w:rsidRPr="007E38D8">
        <w:rPr>
          <w:sz w:val="22"/>
        </w:rPr>
        <w:t xml:space="preserve"> Dunlop </w:t>
      </w:r>
      <w:r w:rsidRPr="00AE044C">
        <w:rPr>
          <w:i/>
          <w:sz w:val="22"/>
        </w:rPr>
        <w:t>et al</w:t>
      </w:r>
      <w:r w:rsidRPr="007E38D8">
        <w:rPr>
          <w:sz w:val="22"/>
        </w:rPr>
        <w:t>.</w:t>
      </w:r>
      <w:r>
        <w:rPr>
          <w:sz w:val="22"/>
        </w:rPr>
        <w:t>,</w:t>
      </w:r>
      <w:r w:rsidRPr="007E38D8">
        <w:rPr>
          <w:sz w:val="22"/>
        </w:rPr>
        <w:t xml:space="preserve"> 2016</w:t>
      </w:r>
      <w:r>
        <w:rPr>
          <w:sz w:val="22"/>
        </w:rPr>
        <w:t>;</w:t>
      </w:r>
      <w:r w:rsidRPr="007E38D8">
        <w:rPr>
          <w:sz w:val="22"/>
        </w:rPr>
        <w:t xml:space="preserve"> Godwin </w:t>
      </w:r>
      <w:r w:rsidRPr="00AE044C">
        <w:rPr>
          <w:i/>
          <w:sz w:val="22"/>
        </w:rPr>
        <w:t>et al</w:t>
      </w:r>
      <w:r w:rsidRPr="007E38D8">
        <w:rPr>
          <w:sz w:val="22"/>
        </w:rPr>
        <w:t>.</w:t>
      </w:r>
      <w:r>
        <w:rPr>
          <w:sz w:val="22"/>
        </w:rPr>
        <w:t>,</w:t>
      </w:r>
      <w:r w:rsidRPr="007E38D8">
        <w:rPr>
          <w:sz w:val="22"/>
        </w:rPr>
        <w:t xml:space="preserve"> 2016)</w:t>
      </w:r>
      <w:r w:rsidRPr="007E38D8">
        <w:rPr>
          <w:sz w:val="22"/>
        </w:rPr>
        <w:fldChar w:fldCharType="end"/>
      </w:r>
      <w:r w:rsidRPr="007E38D8">
        <w:rPr>
          <w:sz w:val="22"/>
        </w:rPr>
        <w:t xml:space="preserve">, together with concurrent studies of the effects of vessel noise on humpback whale communications </w:t>
      </w:r>
      <w:r w:rsidRPr="007E38D8">
        <w:rPr>
          <w:sz w:val="22"/>
        </w:rPr>
        <w:fldChar w:fldCharType="begin"/>
      </w:r>
      <w:r w:rsidRPr="007E38D8">
        <w:rPr>
          <w:sz w:val="22"/>
        </w:rPr>
        <w:instrText xml:space="preserve"> ADDIN EN.CITE &lt;EndNote&gt;&lt;Cite&gt;&lt;Author&gt;Dunlop&lt;/Author&gt;&lt;Year&gt;2016&lt;/Year&gt;&lt;RecNum&gt;23269&lt;/RecNum&gt;&lt;DisplayText&gt;(Dunlop 2016)&lt;/DisplayText&gt;&lt;record&gt;&lt;rec-number&gt;23269&lt;/rec-number&gt;&lt;foreign-keys&gt;&lt;key app="EN" db-id="avrwfx0posesv7e0p5ixzsx0ssp0v09v222p" timestamp="1461004592"&gt;23269&lt;/key&gt;&lt;/foreign-keys&gt;&lt;ref-type name="Journal Article"&gt;17&lt;/ref-type&gt;&lt;contributors&gt;&lt;authors&gt;&lt;author&gt;Dunlop, Rebecca A.&lt;/author&gt;&lt;/authors&gt;&lt;/contributors&gt;&lt;titles&gt;&lt;title&gt;&lt;style face="normal" font="default" size="100%"&gt;The effect of vessel noise on humpback whale, &lt;/style&gt;&lt;style face="italic" font="default" size="100%"&gt;Megaptera novaeangliae&lt;/style&gt;&lt;style face="normal" font="default" size="100%"&gt;, communication behaviour&lt;/style&gt;&lt;/title&gt;&lt;secondary-title&gt;Animal Behaviour&lt;/secondary-title&gt;&lt;/titles&gt;&lt;periodical&gt;&lt;full-title&gt;Animal Behaviour&lt;/full-title&gt;&lt;abbr-1&gt;Anim Behav&lt;/abbr-1&gt;&lt;abbr-2&gt;Anim. Behav.&lt;/abbr-2&gt;&lt;/periodical&gt;&lt;pages&gt;13-21&lt;/pages&gt;&lt;volume&gt;111&lt;/volume&gt;&lt;keywords&gt;&lt;keyword&gt;acoustic communication&lt;/keyword&gt;&lt;keyword&gt;anthropogenic noise&lt;/keyword&gt;&lt;keyword&gt;vocal response&lt;/keyword&gt;&lt;keyword&gt;vocal source level&lt;/keyword&gt;&lt;keyword&gt;wind noise&lt;/keyword&gt;&lt;/keywords&gt;&lt;dates&gt;&lt;year&gt;2016&lt;/year&gt;&lt;pub-dates&gt;&lt;date&gt;1//&lt;/date&gt;&lt;/pub-dates&gt;&lt;/dates&gt;&lt;isbn&gt;0003-3472&lt;/isbn&gt;&lt;urls&gt;&lt;related-urls&gt;&lt;url&gt;http://www.sciencedirect.com/science/article/pii/S0003347215003735&lt;/url&gt;&lt;/related-urls&gt;&lt;/urls&gt;&lt;electronic-resource-num&gt;http://dx.doi.org/10.1016/j.anbehav.2015.10.002&lt;/electronic-resource-num&gt;&lt;/record&gt;&lt;/Cite&gt;&lt;/EndNote&gt;</w:instrText>
      </w:r>
      <w:r w:rsidRPr="007E38D8">
        <w:rPr>
          <w:sz w:val="22"/>
        </w:rPr>
        <w:fldChar w:fldCharType="separate"/>
      </w:r>
      <w:r w:rsidRPr="007E38D8">
        <w:rPr>
          <w:sz w:val="22"/>
        </w:rPr>
        <w:t>(Dunlop</w:t>
      </w:r>
      <w:r w:rsidR="0038287A">
        <w:rPr>
          <w:sz w:val="22"/>
        </w:rPr>
        <w:t>,</w:t>
      </w:r>
      <w:r w:rsidRPr="007E38D8">
        <w:rPr>
          <w:sz w:val="22"/>
        </w:rPr>
        <w:t xml:space="preserve"> 2016)</w:t>
      </w:r>
      <w:r w:rsidRPr="007E38D8">
        <w:rPr>
          <w:sz w:val="22"/>
        </w:rPr>
        <w:fldChar w:fldCharType="end"/>
      </w:r>
      <w:r w:rsidRPr="007E38D8">
        <w:rPr>
          <w:sz w:val="22"/>
        </w:rPr>
        <w:t>. In most exposure scenarios</w:t>
      </w:r>
      <w:r w:rsidR="0038287A">
        <w:rPr>
          <w:sz w:val="22"/>
        </w:rPr>
        <w:t>,</w:t>
      </w:r>
      <w:r w:rsidRPr="007E38D8">
        <w:rPr>
          <w:sz w:val="22"/>
        </w:rPr>
        <w:t xml:space="preserve"> a distance increase from the sound source was observed and interpreted as potential avoidance. The study, however, found no difference in the 'avoidance' response to either ‘ramp-up’ or the constant source producing sounds at a higher level than early ramp-up stages. In fact, a small number of groups showed inspection behaviour of the source during both treatment scenarios. ‘Control’ groups also responded, which suggested that the presence of the </w:t>
      </w:r>
      <w:r w:rsidR="0038287A">
        <w:rPr>
          <w:sz w:val="22"/>
        </w:rPr>
        <w:t>survey</w:t>
      </w:r>
      <w:r w:rsidRPr="007E38D8">
        <w:rPr>
          <w:sz w:val="22"/>
        </w:rPr>
        <w:t xml:space="preserve"> vessel alone had some effect on the behaviour of the whales. Despite this, the majority of groups appeared to avoid the </w:t>
      </w:r>
      <w:r w:rsidR="0038287A">
        <w:rPr>
          <w:sz w:val="22"/>
        </w:rPr>
        <w:t>survey</w:t>
      </w:r>
      <w:r w:rsidRPr="007E38D8">
        <w:rPr>
          <w:sz w:val="22"/>
        </w:rPr>
        <w:t xml:space="preserve"> vessel at distances greater than the radius of most injury</w:t>
      </w:r>
      <w:r w:rsidR="0038287A">
        <w:rPr>
          <w:sz w:val="22"/>
        </w:rPr>
        <w:t>-</w:t>
      </w:r>
      <w:r w:rsidRPr="007E38D8">
        <w:rPr>
          <w:sz w:val="22"/>
        </w:rPr>
        <w:t>based mitigation zones.</w:t>
      </w:r>
    </w:p>
    <w:p w14:paraId="5D0F4CD6" w14:textId="753DA8E1" w:rsidR="00AE044C" w:rsidRPr="007E38D8" w:rsidRDefault="00AE044C" w:rsidP="00AE044C">
      <w:pPr>
        <w:pStyle w:val="BodyText"/>
        <w:spacing w:before="120"/>
        <w:ind w:left="0"/>
        <w:rPr>
          <w:sz w:val="22"/>
        </w:rPr>
      </w:pPr>
      <w:r w:rsidRPr="007E38D8">
        <w:rPr>
          <w:sz w:val="22"/>
        </w:rPr>
        <w:t>Small odontocetes responded to airgun sounds by moving laterally away from the sound,</w:t>
      </w:r>
      <w:r w:rsidRPr="007E38D8" w:rsidDel="0007792A">
        <w:rPr>
          <w:sz w:val="22"/>
        </w:rPr>
        <w:t xml:space="preserve"> </w:t>
      </w:r>
      <w:r w:rsidRPr="007E38D8">
        <w:rPr>
          <w:sz w:val="22"/>
        </w:rPr>
        <w:t xml:space="preserve">showing the strongest lateral spatial avoidance, compared to mysticetes and killer whales </w:t>
      </w:r>
      <w:r w:rsidR="0038287A">
        <w:rPr>
          <w:sz w:val="22"/>
        </w:rPr>
        <w:t>that</w:t>
      </w:r>
      <w:r w:rsidRPr="007E38D8">
        <w:rPr>
          <w:sz w:val="22"/>
        </w:rPr>
        <w:t xml:space="preserve"> showed more localised spatial avoidance. </w:t>
      </w:r>
    </w:p>
    <w:p w14:paraId="23228A59" w14:textId="77777777" w:rsidR="0038287A" w:rsidRPr="0038287A" w:rsidRDefault="0038287A" w:rsidP="0038287A">
      <w:pPr>
        <w:ind w:left="0"/>
        <w:rPr>
          <w:rFonts w:cs="Arial"/>
          <w:sz w:val="22"/>
          <w:szCs w:val="22"/>
        </w:rPr>
      </w:pPr>
      <w:r w:rsidRPr="0038287A">
        <w:rPr>
          <w:rFonts w:cs="Arial"/>
          <w:b/>
          <w:sz w:val="22"/>
          <w:szCs w:val="22"/>
        </w:rPr>
        <w:t>Dolphins.</w:t>
      </w:r>
      <w:r w:rsidRPr="0038287A">
        <w:rPr>
          <w:rFonts w:cs="Arial"/>
          <w:sz w:val="22"/>
          <w:szCs w:val="22"/>
        </w:rPr>
        <w:t xml:space="preserve"> </w:t>
      </w:r>
      <w:r w:rsidR="00B76145" w:rsidRPr="0038287A">
        <w:rPr>
          <w:rFonts w:cs="Arial"/>
          <w:sz w:val="22"/>
          <w:szCs w:val="22"/>
        </w:rPr>
        <w:t xml:space="preserve">The small oceanic dolphins </w:t>
      </w:r>
      <w:r w:rsidR="0057316C" w:rsidRPr="0038287A">
        <w:rPr>
          <w:rFonts w:cs="Arial"/>
          <w:sz w:val="22"/>
          <w:szCs w:val="22"/>
        </w:rPr>
        <w:t>that</w:t>
      </w:r>
      <w:r w:rsidR="00B76145" w:rsidRPr="0038287A">
        <w:rPr>
          <w:rFonts w:cs="Arial"/>
          <w:sz w:val="22"/>
          <w:szCs w:val="22"/>
        </w:rPr>
        <w:t xml:space="preserve"> </w:t>
      </w:r>
      <w:r w:rsidR="0057316C" w:rsidRPr="0038287A">
        <w:rPr>
          <w:rFonts w:cs="Arial"/>
          <w:sz w:val="22"/>
          <w:szCs w:val="22"/>
        </w:rPr>
        <w:t xml:space="preserve">may </w:t>
      </w:r>
      <w:r w:rsidR="00B76145" w:rsidRPr="0038287A">
        <w:rPr>
          <w:rFonts w:cs="Arial"/>
          <w:sz w:val="22"/>
          <w:szCs w:val="22"/>
        </w:rPr>
        <w:t>be encountered during the survey (</w:t>
      </w:r>
      <w:r w:rsidR="0057316C" w:rsidRPr="0038287A">
        <w:rPr>
          <w:rFonts w:cs="Arial"/>
          <w:sz w:val="22"/>
          <w:szCs w:val="22"/>
        </w:rPr>
        <w:t xml:space="preserve">such as the </w:t>
      </w:r>
      <w:r w:rsidR="00B76145" w:rsidRPr="0038287A">
        <w:rPr>
          <w:rFonts w:cs="Arial"/>
          <w:sz w:val="22"/>
          <w:szCs w:val="22"/>
        </w:rPr>
        <w:t xml:space="preserve">bottlenose dolphin </w:t>
      </w:r>
      <w:r w:rsidR="00B76145" w:rsidRPr="0038287A">
        <w:rPr>
          <w:rFonts w:cs="Arial"/>
          <w:i/>
          <w:sz w:val="22"/>
          <w:szCs w:val="22"/>
        </w:rPr>
        <w:t>T. truncatus</w:t>
      </w:r>
      <w:r w:rsidR="00B76145" w:rsidRPr="0038287A">
        <w:rPr>
          <w:rFonts w:cs="Arial"/>
          <w:sz w:val="22"/>
          <w:szCs w:val="22"/>
        </w:rPr>
        <w:t xml:space="preserve"> and common dolphin </w:t>
      </w:r>
      <w:r w:rsidR="00B76145" w:rsidRPr="0038287A">
        <w:rPr>
          <w:rFonts w:cs="Arial"/>
          <w:i/>
          <w:sz w:val="22"/>
          <w:szCs w:val="22"/>
        </w:rPr>
        <w:t>D. delphis</w:t>
      </w:r>
      <w:r w:rsidR="00B76145" w:rsidRPr="0038287A">
        <w:rPr>
          <w:rFonts w:cs="Arial"/>
          <w:sz w:val="22"/>
          <w:szCs w:val="22"/>
        </w:rPr>
        <w:t xml:space="preserve">) have very broad distributions and habitat requirements. Both of these species are known to ride the bow waves of vessels (Bannister </w:t>
      </w:r>
      <w:r w:rsidR="00B76145" w:rsidRPr="0038287A">
        <w:rPr>
          <w:rFonts w:cs="Arial"/>
          <w:i/>
          <w:sz w:val="22"/>
          <w:szCs w:val="22"/>
        </w:rPr>
        <w:t>et al</w:t>
      </w:r>
      <w:r w:rsidR="00B76145" w:rsidRPr="0038287A">
        <w:rPr>
          <w:rFonts w:cs="Arial"/>
          <w:sz w:val="22"/>
          <w:szCs w:val="22"/>
        </w:rPr>
        <w:t xml:space="preserve">., 1996, Perrin, 1998; Ross, 2006; Hawkins </w:t>
      </w:r>
      <w:r w:rsidRPr="0038287A">
        <w:rPr>
          <w:rFonts w:cs="Arial"/>
          <w:sz w:val="22"/>
          <w:szCs w:val="22"/>
        </w:rPr>
        <w:t>and</w:t>
      </w:r>
      <w:r w:rsidR="00B76145" w:rsidRPr="0038287A">
        <w:rPr>
          <w:rFonts w:cs="Arial"/>
          <w:sz w:val="22"/>
          <w:szCs w:val="22"/>
        </w:rPr>
        <w:t xml:space="preserve"> Gartside, 2009; Barkaszi </w:t>
      </w:r>
      <w:r w:rsidR="00B76145" w:rsidRPr="0038287A">
        <w:rPr>
          <w:rFonts w:cs="Arial"/>
          <w:i/>
          <w:sz w:val="22"/>
          <w:szCs w:val="22"/>
        </w:rPr>
        <w:t>et al</w:t>
      </w:r>
      <w:r w:rsidR="00B76145" w:rsidRPr="0038287A">
        <w:rPr>
          <w:rFonts w:cs="Arial"/>
          <w:sz w:val="22"/>
          <w:szCs w:val="22"/>
        </w:rPr>
        <w:t xml:space="preserve">., 2012; Barry </w:t>
      </w:r>
      <w:r w:rsidR="00B76145" w:rsidRPr="0038287A">
        <w:rPr>
          <w:rFonts w:cs="Arial"/>
          <w:i/>
          <w:sz w:val="22"/>
          <w:szCs w:val="22"/>
        </w:rPr>
        <w:t>et al</w:t>
      </w:r>
      <w:r w:rsidR="00B76145" w:rsidRPr="0038287A">
        <w:rPr>
          <w:rFonts w:cs="Arial"/>
          <w:sz w:val="22"/>
          <w:szCs w:val="22"/>
        </w:rPr>
        <w:t xml:space="preserve">., 2012). Bow riding of seismic vessels is also a common occurrence, though likely to occur less frequently when the source is operating. </w:t>
      </w:r>
    </w:p>
    <w:p w14:paraId="5EFCDE97" w14:textId="77777777" w:rsidR="0038287A" w:rsidRPr="0038287A" w:rsidRDefault="0038287A" w:rsidP="0038287A">
      <w:pPr>
        <w:ind w:left="0"/>
        <w:rPr>
          <w:rFonts w:cs="Arial"/>
          <w:sz w:val="22"/>
          <w:szCs w:val="22"/>
        </w:rPr>
      </w:pPr>
    </w:p>
    <w:p w14:paraId="02DC43E7" w14:textId="7F22394B" w:rsidR="000C1F23" w:rsidRPr="0038287A" w:rsidRDefault="000C1F23" w:rsidP="0038287A">
      <w:pPr>
        <w:ind w:left="0"/>
        <w:rPr>
          <w:sz w:val="22"/>
          <w:szCs w:val="22"/>
        </w:rPr>
      </w:pPr>
      <w:r w:rsidRPr="0038287A">
        <w:rPr>
          <w:sz w:val="22"/>
          <w:szCs w:val="22"/>
        </w:rPr>
        <w:t>Burrunan dolphins (</w:t>
      </w:r>
      <w:r w:rsidRPr="0038287A">
        <w:rPr>
          <w:i/>
          <w:sz w:val="22"/>
          <w:szCs w:val="22"/>
        </w:rPr>
        <w:t>Tursiops australis</w:t>
      </w:r>
      <w:r w:rsidRPr="0038287A">
        <w:rPr>
          <w:sz w:val="22"/>
          <w:szCs w:val="22"/>
        </w:rPr>
        <w:t xml:space="preserve">), present in the Gippsland Lakes and Port Phillip Bay, are unlikely to be impacted by the seismic survey for the same reasons (in the event that individual dolphins are swimming between the Gippsland Lakes and Port Phillip Bay at the time of the survey). The resident population in the Gippsland Lakes will not be exposed to the seismic sound, as the coast provides a barrier to sound transmission between the ocean and the lakes. </w:t>
      </w:r>
    </w:p>
    <w:p w14:paraId="5C3E1947" w14:textId="77777777" w:rsidR="000C1F23" w:rsidRPr="00AE044C" w:rsidRDefault="000C1F23" w:rsidP="00CB03B7">
      <w:pPr>
        <w:ind w:left="0"/>
        <w:rPr>
          <w:sz w:val="22"/>
          <w:szCs w:val="22"/>
          <w:highlight w:val="lightGray"/>
        </w:rPr>
      </w:pPr>
    </w:p>
    <w:p w14:paraId="28FD3B0C" w14:textId="509142AA" w:rsidR="0038287A" w:rsidRDefault="0038287A" w:rsidP="00CF0FF9">
      <w:pPr>
        <w:ind w:left="0"/>
        <w:rPr>
          <w:rFonts w:cs="Arial"/>
          <w:sz w:val="22"/>
          <w:szCs w:val="22"/>
        </w:rPr>
      </w:pPr>
      <w:r w:rsidRPr="0038287A">
        <w:rPr>
          <w:rFonts w:cs="Arial"/>
          <w:b/>
          <w:sz w:val="22"/>
          <w:szCs w:val="22"/>
        </w:rPr>
        <w:t>Pygmy blue whales.</w:t>
      </w:r>
      <w:r>
        <w:rPr>
          <w:rFonts w:cs="Arial"/>
          <w:sz w:val="22"/>
          <w:szCs w:val="22"/>
        </w:rPr>
        <w:t xml:space="preserve"> There are very few peer-reviewed papers </w:t>
      </w:r>
      <w:r w:rsidR="00CF0FF9">
        <w:rPr>
          <w:rFonts w:cs="Arial"/>
          <w:sz w:val="22"/>
          <w:szCs w:val="22"/>
        </w:rPr>
        <w:t>that</w:t>
      </w:r>
      <w:r>
        <w:rPr>
          <w:rFonts w:cs="Arial"/>
          <w:sz w:val="22"/>
          <w:szCs w:val="22"/>
        </w:rPr>
        <w:t xml:space="preserve"> examine the responses of blue or pygmy blue whales to seismic surveys. The only study </w:t>
      </w:r>
      <w:r w:rsidR="00CF0FF9">
        <w:rPr>
          <w:rFonts w:cs="Arial"/>
          <w:sz w:val="22"/>
          <w:szCs w:val="22"/>
        </w:rPr>
        <w:t>that</w:t>
      </w:r>
      <w:r>
        <w:rPr>
          <w:rFonts w:cs="Arial"/>
          <w:sz w:val="22"/>
          <w:szCs w:val="22"/>
        </w:rPr>
        <w:t xml:space="preserve"> specifically examines responses was that from </w:t>
      </w:r>
      <w:r w:rsidRPr="00563B32">
        <w:rPr>
          <w:rFonts w:cs="Arial"/>
          <w:sz w:val="22"/>
          <w:szCs w:val="22"/>
        </w:rPr>
        <w:fldChar w:fldCharType="begin"/>
      </w:r>
      <w:r>
        <w:rPr>
          <w:rFonts w:cs="Arial"/>
          <w:sz w:val="22"/>
          <w:szCs w:val="22"/>
        </w:rPr>
        <w:instrText xml:space="preserve"> ADDIN EN.CITE &lt;EndNote&gt;&lt;Cite AuthorYear="1"&gt;&lt;Author&gt;Di Iorio&lt;/Author&gt;&lt;Year&gt;2010&lt;/Year&gt;&lt;RecNum&gt;22248&lt;/RecNum&gt;&lt;DisplayText&gt;Di Iorio and Clark (2010)&lt;/DisplayText&gt;&lt;record&gt;&lt;rec-number&gt;22248&lt;/rec-number&gt;&lt;foreign-keys&gt;&lt;key app="EN" db-id="avrwfx0posesv7e0p5ixzsx0ssp0v09v222p" timestamp="1445373881"&gt;22248&lt;/key&gt;&lt;/foreign-keys&gt;&lt;ref-type name="Journal Article"&gt;17&lt;/ref-type&gt;&lt;contributors&gt;&lt;authors&gt;&lt;author&gt;Di Iorio, Lucia&lt;/author&gt;&lt;author&gt;Clark, Christopher W&lt;/author&gt;&lt;/authors&gt;&lt;/contributors&gt;&lt;titles&gt;&lt;title&gt;Exposure to seismic survey alters blue whale acoustic communication&lt;/title&gt;&lt;secondary-title&gt;Biology letters&lt;/secondary-title&gt;&lt;/titles&gt;&lt;periodical&gt;&lt;full-title&gt;Biology Letters&lt;/full-title&gt;&lt;abbr-1&gt;Biol. Lett.&lt;/abbr-1&gt;&lt;abbr-2&gt;Biol Lett&lt;/abbr-2&gt;&lt;/periodical&gt;&lt;pages&gt;51-54&lt;/pages&gt;&lt;volume&gt;6&lt;/volume&gt;&lt;number&gt;1&lt;/number&gt;&lt;dates&gt;&lt;year&gt;2010&lt;/year&gt;&lt;/dates&gt;&lt;isbn&gt;1744-9561&lt;/isbn&gt;&lt;urls&gt;&lt;/urls&gt;&lt;/record&gt;&lt;/Cite&gt;&lt;/EndNote&gt;</w:instrText>
      </w:r>
      <w:r w:rsidRPr="00563B32">
        <w:rPr>
          <w:rFonts w:cs="Arial"/>
          <w:sz w:val="22"/>
          <w:szCs w:val="22"/>
        </w:rPr>
        <w:fldChar w:fldCharType="separate"/>
      </w:r>
      <w:r>
        <w:rPr>
          <w:rFonts w:cs="Arial"/>
          <w:sz w:val="22"/>
          <w:szCs w:val="22"/>
        </w:rPr>
        <w:t>Di Iorio and Clark (2010)</w:t>
      </w:r>
      <w:r w:rsidRPr="00563B32">
        <w:rPr>
          <w:rFonts w:cs="Arial"/>
          <w:sz w:val="22"/>
          <w:szCs w:val="22"/>
        </w:rPr>
        <w:fldChar w:fldCharType="end"/>
      </w:r>
      <w:r>
        <w:rPr>
          <w:rFonts w:cs="Arial"/>
          <w:sz w:val="22"/>
          <w:szCs w:val="22"/>
        </w:rPr>
        <w:t xml:space="preserve">, who found that </w:t>
      </w:r>
      <w:r w:rsidRPr="00563B32">
        <w:rPr>
          <w:rFonts w:cs="Arial"/>
          <w:sz w:val="22"/>
          <w:szCs w:val="22"/>
        </w:rPr>
        <w:t xml:space="preserve">blue whales increased their discrete, audible calls during a </w:t>
      </w:r>
      <w:r w:rsidR="008916B3">
        <w:rPr>
          <w:rFonts w:cs="Arial"/>
          <w:sz w:val="22"/>
          <w:szCs w:val="22"/>
        </w:rPr>
        <w:t>MSS</w:t>
      </w:r>
      <w:r>
        <w:rPr>
          <w:rFonts w:cs="Arial"/>
          <w:sz w:val="22"/>
          <w:szCs w:val="22"/>
        </w:rPr>
        <w:t>.</w:t>
      </w:r>
    </w:p>
    <w:p w14:paraId="49B7C07B" w14:textId="77777777" w:rsidR="00CF0FF9" w:rsidRDefault="00CF0FF9" w:rsidP="00CF0FF9">
      <w:pPr>
        <w:ind w:left="0"/>
        <w:rPr>
          <w:rFonts w:cs="Arial"/>
          <w:sz w:val="22"/>
          <w:szCs w:val="22"/>
          <w:highlight w:val="lightGray"/>
        </w:rPr>
      </w:pPr>
    </w:p>
    <w:p w14:paraId="4B46C5DA" w14:textId="6825815C" w:rsidR="00B76145" w:rsidRPr="00CF0FF9" w:rsidRDefault="00B76145" w:rsidP="00853AFA">
      <w:pPr>
        <w:spacing w:after="120" w:line="240" w:lineRule="auto"/>
        <w:ind w:left="0"/>
        <w:rPr>
          <w:rFonts w:cs="Arial"/>
          <w:sz w:val="22"/>
          <w:szCs w:val="22"/>
        </w:rPr>
      </w:pPr>
      <w:r w:rsidRPr="00CF0FF9">
        <w:rPr>
          <w:rFonts w:cs="Arial"/>
          <w:sz w:val="22"/>
          <w:szCs w:val="22"/>
        </w:rPr>
        <w:t xml:space="preserve">Numerous seismic surveys have occurred along the Bonney coast since the Blue Whale Study was initiated in 1998. The Blue Whale Study uses aerial surveys to assess distribution and migration movements of marine mammals, with particular attention to great whales, in Bass Strait and the Otway Basin. Aerial surveys of blue whale distributions during </w:t>
      </w:r>
      <w:r w:rsidR="008916B3">
        <w:rPr>
          <w:rFonts w:cs="Arial"/>
          <w:sz w:val="22"/>
          <w:szCs w:val="22"/>
        </w:rPr>
        <w:t>MSS</w:t>
      </w:r>
      <w:r w:rsidRPr="00CF0FF9">
        <w:rPr>
          <w:rFonts w:cs="Arial"/>
          <w:sz w:val="22"/>
          <w:szCs w:val="22"/>
        </w:rPr>
        <w:t xml:space="preserve"> have observed the following: </w:t>
      </w:r>
    </w:p>
    <w:p w14:paraId="752117FB" w14:textId="77777777" w:rsidR="002B7FE9" w:rsidRPr="00CF0FF9" w:rsidRDefault="002B7FE9" w:rsidP="00567567">
      <w:pPr>
        <w:pStyle w:val="ColorfulList-Accent11"/>
        <w:numPr>
          <w:ilvl w:val="0"/>
          <w:numId w:val="161"/>
        </w:numPr>
        <w:rPr>
          <w:rFonts w:cs="Arial"/>
          <w:sz w:val="22"/>
          <w:szCs w:val="22"/>
        </w:rPr>
      </w:pPr>
      <w:r w:rsidRPr="00CF0FF9">
        <w:rPr>
          <w:rFonts w:cs="Arial"/>
          <w:sz w:val="22"/>
          <w:szCs w:val="22"/>
        </w:rPr>
        <w:t xml:space="preserve">In February 2011, during the blue whale peak migration period, aerial surveys (conducted by Origin) observed only a single blue whale within the Astrolabe </w:t>
      </w:r>
      <w:r w:rsidRPr="00CF0FF9">
        <w:rPr>
          <w:rFonts w:cs="Arial"/>
          <w:sz w:val="22"/>
          <w:szCs w:val="22"/>
        </w:rPr>
        <w:lastRenderedPageBreak/>
        <w:t>3DMSS (Otway Basin), and eight blue whales within a 10 km buffer area around the survey area. The total number of blue whale sightings during the February 2011 aerial surveys was 51, of which 42 were located outside the 10 km buffer around the Astrolabe study area. Blue whales continued feeding behaviour at a distance of approximately 30 km from the seismic vessel, irrespective of the seismic operations.</w:t>
      </w:r>
    </w:p>
    <w:p w14:paraId="11A1E595" w14:textId="61B1A0E2" w:rsidR="002B7FE9" w:rsidRPr="00CF0FF9" w:rsidRDefault="002B7FE9" w:rsidP="00567567">
      <w:pPr>
        <w:pStyle w:val="ColorfulList-Accent11"/>
        <w:numPr>
          <w:ilvl w:val="0"/>
          <w:numId w:val="161"/>
        </w:numPr>
        <w:spacing w:after="240"/>
        <w:rPr>
          <w:rFonts w:cs="Arial"/>
          <w:sz w:val="22"/>
          <w:szCs w:val="22"/>
        </w:rPr>
      </w:pPr>
      <w:r w:rsidRPr="00CF0FF9">
        <w:rPr>
          <w:rFonts w:cs="Arial"/>
          <w:sz w:val="22"/>
          <w:szCs w:val="22"/>
        </w:rPr>
        <w:t>Morrice et al (2004) stress that the proximity of whales to seismic vessels must be interpreted in the context of their pressing need to consume tonnes of food per day. Blue whales may need to feed into their zone of acoustic discomfort if the only krill available is in proximity to a seismic vessel. Blue whales have been sighted within approximately 2.4 km of an active seismic source array and cow and calf pairs, which are considered the most sensitive of whale aggregations, were recorded within</w:t>
      </w:r>
      <w:r w:rsidR="004F5C0C">
        <w:rPr>
          <w:rFonts w:cs="Arial"/>
          <w:sz w:val="22"/>
          <w:szCs w:val="22"/>
        </w:rPr>
        <w:t xml:space="preserve"> </w:t>
      </w:r>
      <w:r w:rsidRPr="00CF0FF9">
        <w:rPr>
          <w:rFonts w:cs="Arial"/>
          <w:sz w:val="22"/>
          <w:szCs w:val="22"/>
        </w:rPr>
        <w:t xml:space="preserve">7.1 km (Morrice </w:t>
      </w:r>
      <w:r w:rsidRPr="00CF0FF9">
        <w:rPr>
          <w:rFonts w:cs="Arial"/>
          <w:i/>
          <w:sz w:val="22"/>
          <w:szCs w:val="22"/>
        </w:rPr>
        <w:t>et al</w:t>
      </w:r>
      <w:r w:rsidRPr="00CF0FF9">
        <w:rPr>
          <w:rFonts w:cs="Arial"/>
          <w:sz w:val="22"/>
          <w:szCs w:val="22"/>
        </w:rPr>
        <w:t xml:space="preserve">., 2004). </w:t>
      </w:r>
    </w:p>
    <w:p w14:paraId="0AF1401A" w14:textId="77777777" w:rsidR="002B7FE9" w:rsidRPr="00CF0FF9" w:rsidRDefault="002B7FE9" w:rsidP="00567567">
      <w:pPr>
        <w:pStyle w:val="ColorfulList-Accent11"/>
        <w:numPr>
          <w:ilvl w:val="0"/>
          <w:numId w:val="161"/>
        </w:numPr>
        <w:rPr>
          <w:rFonts w:cs="Arial"/>
          <w:sz w:val="22"/>
          <w:szCs w:val="22"/>
        </w:rPr>
      </w:pPr>
      <w:r w:rsidRPr="00CF0FF9">
        <w:rPr>
          <w:rFonts w:cs="Arial"/>
          <w:sz w:val="22"/>
          <w:szCs w:val="22"/>
        </w:rPr>
        <w:t xml:space="preserve">In December 2003, Santos carried out a 2D seismic survey (3,150 cui source size) in EPP32 west of Kangaroo Island (SA) where blue whales were observed. Some of the whales approached as close as 2.4 km to the operating seismic vessel, feeding on dense krill swarms. </w:t>
      </w:r>
    </w:p>
    <w:p w14:paraId="6434D70C" w14:textId="77777777" w:rsidR="002B7FE9" w:rsidRPr="00CF0FF9" w:rsidRDefault="002B7FE9" w:rsidP="00567567">
      <w:pPr>
        <w:pStyle w:val="ColorfulList-Accent11"/>
        <w:numPr>
          <w:ilvl w:val="0"/>
          <w:numId w:val="161"/>
        </w:numPr>
        <w:rPr>
          <w:rFonts w:cs="Arial"/>
          <w:sz w:val="22"/>
          <w:szCs w:val="22"/>
        </w:rPr>
      </w:pPr>
      <w:r w:rsidRPr="00CF0FF9">
        <w:rPr>
          <w:rFonts w:cs="Arial"/>
          <w:sz w:val="22"/>
          <w:szCs w:val="22"/>
        </w:rPr>
        <w:t xml:space="preserve">During a seismic survey in VIC/P51 in November 2003, blue whales were sighted near krill swarms approximately 18 km from the seismic vessel, and left the area as the vessel approached closer. It is unknown if the approach of the vessel triggered the whales to move from the area. </w:t>
      </w:r>
    </w:p>
    <w:p w14:paraId="5A2ACAA3" w14:textId="77777777" w:rsidR="002B7FE9" w:rsidRPr="00CF0FF9" w:rsidRDefault="002B7FE9" w:rsidP="00567567">
      <w:pPr>
        <w:pStyle w:val="ColorfulList-Accent11"/>
        <w:numPr>
          <w:ilvl w:val="0"/>
          <w:numId w:val="161"/>
        </w:numPr>
        <w:rPr>
          <w:rFonts w:cs="Arial"/>
          <w:sz w:val="22"/>
          <w:szCs w:val="22"/>
        </w:rPr>
      </w:pPr>
      <w:r w:rsidRPr="00CF0FF9">
        <w:rPr>
          <w:rFonts w:cs="Arial"/>
          <w:sz w:val="22"/>
          <w:szCs w:val="22"/>
        </w:rPr>
        <w:t>During November-December 2002, Santos conducted 2D and 3DMSS in VIC/P51 and VIC/P52 (3,150 cui source size) with no blue whale sightings within 60 km of the operating seismic vessel.</w:t>
      </w:r>
    </w:p>
    <w:p w14:paraId="36ACC2E8" w14:textId="77777777" w:rsidR="00B76145" w:rsidRPr="00CF0FF9" w:rsidRDefault="00B76145" w:rsidP="00567567">
      <w:pPr>
        <w:pStyle w:val="ColorfulList-Accent11"/>
        <w:numPr>
          <w:ilvl w:val="0"/>
          <w:numId w:val="161"/>
        </w:numPr>
        <w:rPr>
          <w:rFonts w:cs="Arial"/>
          <w:sz w:val="22"/>
          <w:szCs w:val="22"/>
        </w:rPr>
      </w:pPr>
      <w:r w:rsidRPr="00CF0FF9">
        <w:rPr>
          <w:rFonts w:cs="Arial"/>
          <w:sz w:val="22"/>
          <w:szCs w:val="22"/>
        </w:rPr>
        <w:t>During the 1999-2000 season, Woodside conducted a 3D</w:t>
      </w:r>
      <w:r w:rsidR="002B7FE9" w:rsidRPr="00CF0FF9">
        <w:rPr>
          <w:rFonts w:cs="Arial"/>
          <w:sz w:val="22"/>
          <w:szCs w:val="22"/>
        </w:rPr>
        <w:t>MSS</w:t>
      </w:r>
      <w:r w:rsidRPr="00CF0FF9">
        <w:rPr>
          <w:rFonts w:cs="Arial"/>
          <w:sz w:val="22"/>
          <w:szCs w:val="22"/>
        </w:rPr>
        <w:t xml:space="preserve"> in VIC/P43 (</w:t>
      </w:r>
      <w:r w:rsidR="002B7FE9" w:rsidRPr="00CF0FF9">
        <w:rPr>
          <w:rFonts w:cs="Arial"/>
          <w:sz w:val="22"/>
          <w:szCs w:val="22"/>
        </w:rPr>
        <w:t xml:space="preserve">2,250 cui </w:t>
      </w:r>
      <w:r w:rsidRPr="00CF0FF9">
        <w:rPr>
          <w:rFonts w:cs="Arial"/>
          <w:sz w:val="22"/>
          <w:szCs w:val="22"/>
        </w:rPr>
        <w:t>sound source). During aerial surveys, no blue whales were sighted within 90 km of the operating seismic vessel, despite abundant krill surface swarms in the area.</w:t>
      </w:r>
    </w:p>
    <w:p w14:paraId="1CBE0325" w14:textId="77777777" w:rsidR="00B76145" w:rsidRPr="00CF0FF9" w:rsidRDefault="00B76145" w:rsidP="00567567">
      <w:pPr>
        <w:pStyle w:val="ColorfulList-Accent11"/>
        <w:numPr>
          <w:ilvl w:val="0"/>
          <w:numId w:val="161"/>
        </w:numPr>
        <w:rPr>
          <w:rFonts w:cs="Arial"/>
          <w:sz w:val="22"/>
          <w:szCs w:val="22"/>
        </w:rPr>
      </w:pPr>
      <w:r w:rsidRPr="00CF0FF9">
        <w:rPr>
          <w:rFonts w:cs="Arial"/>
          <w:sz w:val="22"/>
          <w:szCs w:val="22"/>
        </w:rPr>
        <w:t xml:space="preserve">Aspects of the seismic survey that may affect whales (e.g., vessel movements and associated seismic sound) will be transitory at any given location as the vessel traverses the acquisition area at a rate of approximately </w:t>
      </w:r>
      <w:r w:rsidR="002B7FE9" w:rsidRPr="00CF0FF9">
        <w:rPr>
          <w:rFonts w:cs="Arial"/>
          <w:sz w:val="22"/>
          <w:szCs w:val="22"/>
        </w:rPr>
        <w:t>6</w:t>
      </w:r>
      <w:r w:rsidRPr="00CF0FF9">
        <w:rPr>
          <w:rFonts w:cs="Arial"/>
          <w:sz w:val="22"/>
          <w:szCs w:val="22"/>
        </w:rPr>
        <w:t xml:space="preserve"> knots</w:t>
      </w:r>
      <w:r w:rsidR="002B7FE9" w:rsidRPr="00CF0FF9">
        <w:rPr>
          <w:rFonts w:cs="Arial"/>
          <w:sz w:val="22"/>
          <w:szCs w:val="22"/>
        </w:rPr>
        <w:t xml:space="preserve"> (11 km/hr)</w:t>
      </w:r>
      <w:r w:rsidRPr="00CF0FF9">
        <w:rPr>
          <w:rFonts w:cs="Arial"/>
          <w:sz w:val="22"/>
          <w:szCs w:val="22"/>
        </w:rPr>
        <w:t>, and will potentially involve only very temporary and localised exposure. It is considered unlikely that any marine mammals will be exposed to levels likely to cause physiological damage because of their ability to avoid the vessel and seismic source array (McCauley, 1994).</w:t>
      </w:r>
    </w:p>
    <w:p w14:paraId="408B5325" w14:textId="77777777" w:rsidR="002B7FE9" w:rsidRPr="00CF0FF9" w:rsidRDefault="002B7FE9" w:rsidP="002B7FE9">
      <w:pPr>
        <w:pStyle w:val="ColorfulList-Accent11"/>
        <w:rPr>
          <w:rFonts w:cs="Arial"/>
          <w:sz w:val="22"/>
          <w:szCs w:val="22"/>
        </w:rPr>
      </w:pPr>
    </w:p>
    <w:p w14:paraId="3C018ED4" w14:textId="67500A87" w:rsidR="00B76145" w:rsidRPr="00CF0FF9" w:rsidRDefault="00B76145" w:rsidP="002B7FE9">
      <w:pPr>
        <w:ind w:left="0"/>
        <w:rPr>
          <w:rFonts w:cs="Arial"/>
          <w:sz w:val="22"/>
          <w:szCs w:val="22"/>
        </w:rPr>
      </w:pPr>
      <w:r w:rsidRPr="00CF0FF9">
        <w:rPr>
          <w:rFonts w:cs="Arial"/>
          <w:sz w:val="22"/>
          <w:szCs w:val="22"/>
        </w:rPr>
        <w:t xml:space="preserve">Given these observations, it is recognised that the </w:t>
      </w:r>
      <w:r w:rsidR="002B7FE9" w:rsidRPr="00CF0FF9">
        <w:rPr>
          <w:rFonts w:cs="Arial"/>
          <w:sz w:val="22"/>
          <w:szCs w:val="22"/>
        </w:rPr>
        <w:t xml:space="preserve">proposed Pelican 3DMSS </w:t>
      </w:r>
      <w:r w:rsidRPr="00CF0FF9">
        <w:rPr>
          <w:rFonts w:cs="Arial"/>
          <w:sz w:val="22"/>
          <w:szCs w:val="22"/>
        </w:rPr>
        <w:t xml:space="preserve">has the potential to cause behavioural disturbance or avoidance behaviour for </w:t>
      </w:r>
      <w:r w:rsidR="002B7FE9" w:rsidRPr="00CF0FF9">
        <w:rPr>
          <w:rFonts w:cs="Arial"/>
          <w:sz w:val="22"/>
          <w:szCs w:val="22"/>
        </w:rPr>
        <w:t xml:space="preserve">pygmy </w:t>
      </w:r>
      <w:r w:rsidRPr="00CF0FF9">
        <w:rPr>
          <w:rFonts w:cs="Arial"/>
          <w:sz w:val="22"/>
          <w:szCs w:val="22"/>
        </w:rPr>
        <w:t>blue whales</w:t>
      </w:r>
      <w:r w:rsidR="002B7FE9" w:rsidRPr="00CF0FF9">
        <w:rPr>
          <w:rFonts w:cs="Arial"/>
          <w:sz w:val="22"/>
          <w:szCs w:val="22"/>
        </w:rPr>
        <w:t xml:space="preserve">, especially if undertaken during foraging times </w:t>
      </w:r>
      <w:r w:rsidR="00833109" w:rsidRPr="00CF0FF9">
        <w:rPr>
          <w:rFonts w:cs="Arial"/>
          <w:sz w:val="22"/>
          <w:szCs w:val="22"/>
        </w:rPr>
        <w:t xml:space="preserve">(likely to be between January and April in eastern </w:t>
      </w:r>
      <w:r w:rsidR="00CF0FF9">
        <w:rPr>
          <w:rFonts w:cs="Arial"/>
          <w:sz w:val="22"/>
          <w:szCs w:val="22"/>
        </w:rPr>
        <w:t>B</w:t>
      </w:r>
      <w:r w:rsidR="00833109" w:rsidRPr="00CF0FF9">
        <w:rPr>
          <w:rFonts w:cs="Arial"/>
          <w:sz w:val="22"/>
          <w:szCs w:val="22"/>
        </w:rPr>
        <w:t>ass Strait)</w:t>
      </w:r>
      <w:r w:rsidRPr="00CF0FF9">
        <w:rPr>
          <w:rFonts w:cs="Arial"/>
          <w:sz w:val="22"/>
          <w:szCs w:val="22"/>
        </w:rPr>
        <w:t xml:space="preserve">. </w:t>
      </w:r>
    </w:p>
    <w:p w14:paraId="22D1336F" w14:textId="77777777" w:rsidR="002B7FE9" w:rsidRPr="00AE044C" w:rsidRDefault="002B7FE9" w:rsidP="002B7FE9">
      <w:pPr>
        <w:ind w:left="0"/>
        <w:rPr>
          <w:rFonts w:cs="Arial"/>
          <w:sz w:val="22"/>
          <w:szCs w:val="22"/>
          <w:highlight w:val="lightGray"/>
        </w:rPr>
      </w:pPr>
    </w:p>
    <w:p w14:paraId="5BB74B5C" w14:textId="5533EE77" w:rsidR="00CF0FF9" w:rsidRDefault="00DA14DD" w:rsidP="00CF0FF9">
      <w:pPr>
        <w:ind w:left="0"/>
        <w:rPr>
          <w:rFonts w:cs="Arial"/>
          <w:sz w:val="22"/>
          <w:szCs w:val="22"/>
        </w:rPr>
      </w:pPr>
      <w:r w:rsidRPr="00CF0FF9">
        <w:rPr>
          <w:rFonts w:cs="Arial"/>
          <w:b/>
          <w:sz w:val="22"/>
          <w:szCs w:val="22"/>
        </w:rPr>
        <w:t>Southern right whales.</w:t>
      </w:r>
      <w:r w:rsidRPr="00AC67BD">
        <w:rPr>
          <w:rFonts w:cs="Arial"/>
          <w:sz w:val="22"/>
          <w:szCs w:val="22"/>
        </w:rPr>
        <w:t xml:space="preserve"> </w:t>
      </w:r>
      <w:r w:rsidR="00CF0FF9" w:rsidRPr="00CF0FF9">
        <w:rPr>
          <w:rFonts w:cs="Arial"/>
          <w:sz w:val="22"/>
          <w:szCs w:val="22"/>
        </w:rPr>
        <w:t>The closest known calving/nursery grounds to the proposed acquisition area occurs at Logan’s Beach off the southwest Victorian coast (approximately 430 km west of the proposed acquisition area) (</w:t>
      </w:r>
      <w:r w:rsidR="00CF0FF9">
        <w:rPr>
          <w:rFonts w:cs="Arial"/>
          <w:sz w:val="22"/>
          <w:szCs w:val="22"/>
        </w:rPr>
        <w:t>see Section 5.4.5</w:t>
      </w:r>
      <w:r w:rsidR="00CF0FF9" w:rsidRPr="00CF0FF9">
        <w:rPr>
          <w:rFonts w:cs="Arial"/>
          <w:sz w:val="22"/>
          <w:szCs w:val="22"/>
        </w:rPr>
        <w:t>). Southern right whales are therefore unlikely to be present in the BIA for migration/resting on migration (present along the entire Victorian coast) at the time of the survey.</w:t>
      </w:r>
    </w:p>
    <w:p w14:paraId="5EDC216B" w14:textId="77777777" w:rsidR="00CF0FF9" w:rsidRPr="00CF0FF9" w:rsidRDefault="00CF0FF9" w:rsidP="00CF0FF9">
      <w:pPr>
        <w:ind w:left="0"/>
        <w:rPr>
          <w:rFonts w:cs="Arial"/>
          <w:sz w:val="22"/>
          <w:szCs w:val="22"/>
        </w:rPr>
      </w:pPr>
    </w:p>
    <w:p w14:paraId="51B2B614" w14:textId="7E530AC3" w:rsidR="00CF0FF9" w:rsidRPr="00AC67BD" w:rsidRDefault="00CF0FF9" w:rsidP="00CF0FF9">
      <w:pPr>
        <w:ind w:left="0"/>
        <w:rPr>
          <w:rFonts w:cs="Arial"/>
          <w:sz w:val="22"/>
          <w:szCs w:val="22"/>
        </w:rPr>
      </w:pPr>
      <w:r>
        <w:rPr>
          <w:rFonts w:cs="Arial"/>
          <w:sz w:val="22"/>
          <w:szCs w:val="22"/>
        </w:rPr>
        <w:t xml:space="preserve">If southern right whales were migrating during the period of the survey, based on the literature summarised above, it is possible that they will experience masking of their communications, and perhaps exhibit avoidance. </w:t>
      </w:r>
      <w:r w:rsidRPr="00AC67BD">
        <w:rPr>
          <w:rFonts w:cs="Arial"/>
          <w:sz w:val="22"/>
          <w:szCs w:val="22"/>
        </w:rPr>
        <w:t xml:space="preserve">Any localised avoidance of an active seismic source when leaving the coastline could plausibly add a few tens of kilometres to this migration. Such a marginal increase is not considered likely to </w:t>
      </w:r>
      <w:r w:rsidRPr="00AC67BD">
        <w:rPr>
          <w:rFonts w:cs="Arial"/>
          <w:sz w:val="22"/>
          <w:szCs w:val="22"/>
        </w:rPr>
        <w:lastRenderedPageBreak/>
        <w:t xml:space="preserve">significantly affect the metabolic demands of individuals whose migrations occur over </w:t>
      </w:r>
      <w:r>
        <w:rPr>
          <w:rFonts w:cs="Arial"/>
          <w:sz w:val="22"/>
          <w:szCs w:val="22"/>
        </w:rPr>
        <w:t>thousands of kilometres</w:t>
      </w:r>
      <w:r w:rsidRPr="00AC67BD">
        <w:rPr>
          <w:rFonts w:cs="Arial"/>
          <w:sz w:val="22"/>
          <w:szCs w:val="22"/>
        </w:rPr>
        <w:t xml:space="preserve">.  </w:t>
      </w:r>
    </w:p>
    <w:p w14:paraId="2AA62DBF" w14:textId="77777777" w:rsidR="00CF0FF9" w:rsidRPr="00AC67BD" w:rsidRDefault="00CF0FF9" w:rsidP="00CF0FF9">
      <w:pPr>
        <w:rPr>
          <w:rFonts w:cs="Arial"/>
          <w:sz w:val="22"/>
          <w:szCs w:val="22"/>
        </w:rPr>
      </w:pPr>
    </w:p>
    <w:p w14:paraId="1C9BD357" w14:textId="0FD3438B" w:rsidR="005739A9" w:rsidRPr="00AC67BD" w:rsidRDefault="00B76145" w:rsidP="00EE775E">
      <w:pPr>
        <w:spacing w:after="120"/>
        <w:ind w:left="0"/>
        <w:rPr>
          <w:rFonts w:cs="Arial"/>
          <w:sz w:val="22"/>
          <w:szCs w:val="22"/>
        </w:rPr>
      </w:pPr>
      <w:r w:rsidRPr="00CF0FF9">
        <w:rPr>
          <w:rFonts w:cs="Arial"/>
          <w:b/>
          <w:sz w:val="22"/>
          <w:szCs w:val="22"/>
        </w:rPr>
        <w:t xml:space="preserve">Humpback </w:t>
      </w:r>
      <w:r w:rsidR="00EE775E" w:rsidRPr="00CF0FF9">
        <w:rPr>
          <w:rFonts w:cs="Arial"/>
          <w:b/>
          <w:sz w:val="22"/>
          <w:szCs w:val="22"/>
        </w:rPr>
        <w:t>w</w:t>
      </w:r>
      <w:r w:rsidRPr="00CF0FF9">
        <w:rPr>
          <w:rFonts w:cs="Arial"/>
          <w:b/>
          <w:sz w:val="22"/>
          <w:szCs w:val="22"/>
        </w:rPr>
        <w:t>hales</w:t>
      </w:r>
      <w:r w:rsidR="00EE775E" w:rsidRPr="00CF0FF9">
        <w:rPr>
          <w:rFonts w:cs="Arial"/>
          <w:b/>
          <w:sz w:val="22"/>
          <w:szCs w:val="22"/>
        </w:rPr>
        <w:t>.</w:t>
      </w:r>
      <w:r w:rsidR="00EE775E" w:rsidRPr="00AC67BD">
        <w:rPr>
          <w:rFonts w:cs="Arial"/>
          <w:b/>
          <w:sz w:val="22"/>
          <w:szCs w:val="22"/>
        </w:rPr>
        <w:t xml:space="preserve"> </w:t>
      </w:r>
      <w:r w:rsidR="005739A9" w:rsidRPr="00AC67BD">
        <w:rPr>
          <w:rFonts w:cs="Arial"/>
          <w:sz w:val="22"/>
          <w:szCs w:val="22"/>
        </w:rPr>
        <w:t xml:space="preserve">While the migration BIA for humpback whales is </w:t>
      </w:r>
      <w:r w:rsidR="00763212" w:rsidRPr="00AC67BD">
        <w:rPr>
          <w:rFonts w:cs="Arial"/>
          <w:sz w:val="22"/>
          <w:szCs w:val="22"/>
        </w:rPr>
        <w:t xml:space="preserve">only </w:t>
      </w:r>
      <w:r w:rsidR="005739A9" w:rsidRPr="00AC67BD">
        <w:rPr>
          <w:rFonts w:cs="Arial"/>
          <w:sz w:val="22"/>
          <w:szCs w:val="22"/>
        </w:rPr>
        <w:t xml:space="preserve">intersected in the eastern-most portion of the EMBA (beyond the eastern Victorian border), there are occasional sightings of humpback whales in Gippsland from helicopters, vessels and oil and gas production platforms associated with Esso’s production facilities (see Section </w:t>
      </w:r>
      <w:r w:rsidR="005739A9" w:rsidRPr="00AC67BD">
        <w:rPr>
          <w:rFonts w:cs="Arial"/>
          <w:sz w:val="22"/>
          <w:szCs w:val="22"/>
        </w:rPr>
        <w:fldChar w:fldCharType="begin"/>
      </w:r>
      <w:r w:rsidR="005739A9" w:rsidRPr="00AC67BD">
        <w:rPr>
          <w:rFonts w:cs="Arial"/>
          <w:sz w:val="22"/>
          <w:szCs w:val="22"/>
        </w:rPr>
        <w:instrText xml:space="preserve"> REF _Ref476131290 \r \h </w:instrText>
      </w:r>
      <w:r w:rsidR="005739A9" w:rsidRPr="00AC67BD">
        <w:rPr>
          <w:rFonts w:cs="Arial"/>
          <w:sz w:val="22"/>
          <w:szCs w:val="22"/>
        </w:rPr>
      </w:r>
      <w:r w:rsidR="005739A9" w:rsidRPr="00AC67BD">
        <w:rPr>
          <w:rFonts w:cs="Arial"/>
          <w:sz w:val="22"/>
          <w:szCs w:val="22"/>
        </w:rPr>
        <w:fldChar w:fldCharType="separate"/>
      </w:r>
      <w:r w:rsidR="007C0ECD">
        <w:rPr>
          <w:rFonts w:cs="Arial"/>
          <w:sz w:val="22"/>
          <w:szCs w:val="22"/>
        </w:rPr>
        <w:t>5.6.6</w:t>
      </w:r>
      <w:r w:rsidR="005739A9" w:rsidRPr="00AC67BD">
        <w:rPr>
          <w:rFonts w:cs="Arial"/>
          <w:sz w:val="22"/>
          <w:szCs w:val="22"/>
        </w:rPr>
        <w:fldChar w:fldCharType="end"/>
      </w:r>
      <w:r w:rsidR="005739A9" w:rsidRPr="00AC67BD">
        <w:rPr>
          <w:rFonts w:cs="Arial"/>
          <w:sz w:val="22"/>
          <w:szCs w:val="22"/>
        </w:rPr>
        <w:t>)</w:t>
      </w:r>
      <w:r w:rsidR="00E24241">
        <w:rPr>
          <w:rFonts w:cs="Arial"/>
          <w:sz w:val="22"/>
          <w:szCs w:val="22"/>
        </w:rPr>
        <w:t>, with Esso advising that the period from September to November usually results in the most sightings of humpback whales (Bok, pers. comm., March 2017)</w:t>
      </w:r>
      <w:r w:rsidR="005739A9" w:rsidRPr="00AC67BD">
        <w:rPr>
          <w:rFonts w:cs="Arial"/>
          <w:sz w:val="22"/>
          <w:szCs w:val="22"/>
        </w:rPr>
        <w:t xml:space="preserve">. </w:t>
      </w:r>
    </w:p>
    <w:p w14:paraId="381DB72F" w14:textId="2426107D" w:rsidR="00B76145" w:rsidRPr="00AC67BD" w:rsidRDefault="00B76145" w:rsidP="005739A9">
      <w:pPr>
        <w:ind w:left="0"/>
        <w:rPr>
          <w:rFonts w:cs="Arial"/>
          <w:sz w:val="22"/>
          <w:szCs w:val="22"/>
        </w:rPr>
      </w:pPr>
      <w:r w:rsidRPr="00AC67BD">
        <w:rPr>
          <w:rFonts w:cs="Arial"/>
          <w:sz w:val="22"/>
          <w:szCs w:val="22"/>
        </w:rPr>
        <w:t xml:space="preserve">Humpback whales have not been observed to be significantly displaced from their migratory pathways as a result of seismic sound, with the most consistent observed response to seismic activity being an alteration of course and swimming speed (McCauley </w:t>
      </w:r>
      <w:r w:rsidRPr="00AC67BD">
        <w:rPr>
          <w:rFonts w:cs="Arial"/>
          <w:i/>
          <w:sz w:val="22"/>
          <w:szCs w:val="22"/>
        </w:rPr>
        <w:t>et al</w:t>
      </w:r>
      <w:r w:rsidRPr="00AC67BD">
        <w:rPr>
          <w:rFonts w:cs="Arial"/>
          <w:sz w:val="22"/>
          <w:szCs w:val="22"/>
        </w:rPr>
        <w:t>., 2000</w:t>
      </w:r>
      <w:r w:rsidR="00AB373B">
        <w:rPr>
          <w:rFonts w:cs="Arial"/>
          <w:sz w:val="22"/>
          <w:szCs w:val="22"/>
        </w:rPr>
        <w:t>a</w:t>
      </w:r>
      <w:r w:rsidRPr="00AC67BD">
        <w:rPr>
          <w:rFonts w:cs="Arial"/>
          <w:sz w:val="22"/>
          <w:szCs w:val="22"/>
        </w:rPr>
        <w:t xml:space="preserve">). Cows with young calves may have greater susceptibility to acoustic disturbance (McCauley </w:t>
      </w:r>
      <w:r w:rsidRPr="00AC67BD">
        <w:rPr>
          <w:rFonts w:cs="Arial"/>
          <w:i/>
          <w:sz w:val="22"/>
          <w:szCs w:val="22"/>
        </w:rPr>
        <w:t>et al</w:t>
      </w:r>
      <w:r w:rsidRPr="00AC67BD">
        <w:rPr>
          <w:rFonts w:cs="Arial"/>
          <w:sz w:val="22"/>
          <w:szCs w:val="22"/>
        </w:rPr>
        <w:t>., 2000</w:t>
      </w:r>
      <w:r w:rsidR="00AB373B">
        <w:rPr>
          <w:rFonts w:cs="Arial"/>
          <w:sz w:val="22"/>
          <w:szCs w:val="22"/>
        </w:rPr>
        <w:t>a</w:t>
      </w:r>
      <w:r w:rsidRPr="00AC67BD">
        <w:rPr>
          <w:rFonts w:cs="Arial"/>
          <w:sz w:val="22"/>
          <w:szCs w:val="22"/>
        </w:rPr>
        <w:t xml:space="preserve">). </w:t>
      </w:r>
      <w:r w:rsidR="00CF0FF9">
        <w:rPr>
          <w:rFonts w:cs="Arial"/>
          <w:sz w:val="22"/>
          <w:szCs w:val="22"/>
        </w:rPr>
        <w:t xml:space="preserve">The </w:t>
      </w:r>
      <w:r w:rsidR="00CF0FF9" w:rsidRPr="007E38D8">
        <w:rPr>
          <w:sz w:val="22"/>
        </w:rPr>
        <w:t>BRAHSS</w:t>
      </w:r>
      <w:r w:rsidR="00CF0FF9">
        <w:rPr>
          <w:sz w:val="22"/>
        </w:rPr>
        <w:t xml:space="preserve"> experiment previously described found that i</w:t>
      </w:r>
      <w:r w:rsidR="00CF0FF9" w:rsidRPr="007E38D8">
        <w:rPr>
          <w:sz w:val="22"/>
        </w:rPr>
        <w:t>n most exposure scenarios</w:t>
      </w:r>
      <w:r w:rsidR="00CF0FF9">
        <w:rPr>
          <w:sz w:val="22"/>
        </w:rPr>
        <w:t>,</w:t>
      </w:r>
      <w:r w:rsidR="00CF0FF9" w:rsidRPr="007E38D8">
        <w:rPr>
          <w:sz w:val="22"/>
        </w:rPr>
        <w:t xml:space="preserve"> a distance increase from the sound source was observed and interpreted as potential avoidance</w:t>
      </w:r>
      <w:r w:rsidR="00CF0FF9">
        <w:rPr>
          <w:sz w:val="22"/>
        </w:rPr>
        <w:t xml:space="preserve"> from the seismic source.</w:t>
      </w:r>
    </w:p>
    <w:p w14:paraId="6709544C" w14:textId="77777777" w:rsidR="000C52E2" w:rsidRPr="00AC67BD" w:rsidRDefault="000C52E2" w:rsidP="005739A9">
      <w:pPr>
        <w:ind w:left="0"/>
        <w:rPr>
          <w:rFonts w:cs="Arial"/>
          <w:sz w:val="22"/>
          <w:szCs w:val="22"/>
        </w:rPr>
      </w:pPr>
    </w:p>
    <w:p w14:paraId="7FDA288D" w14:textId="540CBF20" w:rsidR="00AC67BD" w:rsidRPr="00AC67BD" w:rsidRDefault="000C08B5" w:rsidP="00AC67BD">
      <w:pPr>
        <w:spacing w:after="120" w:line="240" w:lineRule="auto"/>
        <w:ind w:left="0"/>
        <w:rPr>
          <w:rFonts w:cs="Arial"/>
          <w:sz w:val="22"/>
          <w:szCs w:val="22"/>
          <w:u w:val="single"/>
        </w:rPr>
      </w:pPr>
      <w:r>
        <w:rPr>
          <w:rFonts w:cs="Arial"/>
          <w:sz w:val="22"/>
          <w:szCs w:val="22"/>
          <w:u w:val="single"/>
        </w:rPr>
        <w:t>Th</w:t>
      </w:r>
      <w:r w:rsidR="00AC67BD" w:rsidRPr="00AC67BD">
        <w:rPr>
          <w:rFonts w:cs="Arial"/>
          <w:sz w:val="22"/>
          <w:szCs w:val="22"/>
          <w:u w:val="single"/>
        </w:rPr>
        <w:t>resholds</w:t>
      </w:r>
      <w:r>
        <w:rPr>
          <w:rFonts w:cs="Arial"/>
          <w:sz w:val="22"/>
          <w:szCs w:val="22"/>
          <w:u w:val="single"/>
        </w:rPr>
        <w:t xml:space="preserve"> adopted for the STLM</w:t>
      </w:r>
    </w:p>
    <w:p w14:paraId="7097D233" w14:textId="67D9D0DB" w:rsidR="00BE6224" w:rsidRDefault="00BE6224" w:rsidP="00BE6224">
      <w:pPr>
        <w:spacing w:after="120"/>
        <w:ind w:left="0"/>
        <w:rPr>
          <w:rFonts w:cs="Arial"/>
          <w:sz w:val="22"/>
          <w:szCs w:val="22"/>
        </w:rPr>
      </w:pPr>
      <w:r w:rsidRPr="00C34F92">
        <w:rPr>
          <w:rFonts w:cs="Arial"/>
          <w:sz w:val="22"/>
          <w:szCs w:val="22"/>
        </w:rPr>
        <w:t xml:space="preserve">In August 2016, </w:t>
      </w:r>
      <w:r>
        <w:rPr>
          <w:rFonts w:cs="Arial"/>
          <w:sz w:val="22"/>
          <w:szCs w:val="22"/>
        </w:rPr>
        <w:t xml:space="preserve">the </w:t>
      </w:r>
      <w:r w:rsidRPr="00C34F92">
        <w:rPr>
          <w:rFonts w:cs="Arial"/>
          <w:sz w:val="22"/>
          <w:szCs w:val="22"/>
        </w:rPr>
        <w:t xml:space="preserve">NMFS finalised technical guidance for assessing the effect of anthropogenic sound on marine mammal hearing </w:t>
      </w:r>
      <w:r w:rsidRPr="00C34F92">
        <w:rPr>
          <w:rFonts w:cs="Arial"/>
          <w:sz w:val="22"/>
          <w:szCs w:val="22"/>
        </w:rPr>
        <w:fldChar w:fldCharType="begin"/>
      </w:r>
      <w:r w:rsidRPr="00C34F92">
        <w:rPr>
          <w:rFonts w:cs="Arial"/>
          <w:sz w:val="22"/>
          <w:szCs w:val="22"/>
        </w:rPr>
        <w:instrText xml:space="preserve"> ADDIN EN.CITE &lt;EndNote&gt;&lt;Cite ExcludeAuth="1"&gt;&lt;Author&gt;[NMFS] National Marine Fisheries Service&lt;/Author&gt;&lt;Year&gt;2016&lt;/Year&gt;&lt;RecNum&gt;23705&lt;/RecNum&gt;&lt;Prefix&gt;NMFS &lt;/Prefix&gt;&lt;DisplayText&gt;(NMFS 2016)&lt;/DisplayText&gt;&lt;record&gt;&lt;rec-number&gt;23705&lt;/rec-number&gt;&lt;foreign-keys&gt;&lt;key app="EN" db-id="avrwfx0posesv7e0p5ixzsx0ssp0v09v222p" timestamp="1470765598"&gt;23705&lt;/key&gt;&lt;/foreign-keys&gt;&lt;ref-type name="Government Document"&gt;46&lt;/ref-type&gt;&lt;contributors&gt;&lt;authors&gt;&lt;author&gt;[NMFS] National Marine Fisheries Service,&lt;/author&gt;&lt;/authors&gt;&lt;/contributors&gt;&lt;titles&gt;&lt;title&gt;Technical Guidance for Assessing the Effects of Anthropogenic Sound on Marine Mammal Hearing: Underwater Acoustic Thresholds for Onset of Permanent and Temporary Threshold Shifts&lt;/title&gt;&lt;/titles&gt;&lt;pages&gt;178&lt;/pages&gt;&lt;dates&gt;&lt;year&gt;2016&lt;/year&gt;&lt;/dates&gt;&lt;publisher&gt;U.S. Department of Commerce, NOAA. NOAA Technical Memorandum NMFS-OPR-55&lt;/publisher&gt;&lt;urls&gt;&lt;related-urls&gt;&lt;url&gt;http://www.nmfs.noaa.gov/pr/acoustics/Acoustic%20Guidance%20Files/opr-55_acoustic_guidance_tech_memo.pdf&lt;/url&gt;&lt;/related-urls&gt;&lt;/urls&gt;&lt;/record&gt;&lt;/Cite&gt;&lt;/EndNote&gt;</w:instrText>
      </w:r>
      <w:r w:rsidRPr="00C34F92">
        <w:rPr>
          <w:rFonts w:cs="Arial"/>
          <w:sz w:val="22"/>
          <w:szCs w:val="22"/>
        </w:rPr>
        <w:fldChar w:fldCharType="separate"/>
      </w:r>
      <w:r w:rsidRPr="00C34F92">
        <w:rPr>
          <w:rFonts w:cs="Arial"/>
          <w:sz w:val="22"/>
          <w:szCs w:val="22"/>
        </w:rPr>
        <w:t>(NMFS</w:t>
      </w:r>
      <w:r>
        <w:rPr>
          <w:rFonts w:cs="Arial"/>
          <w:sz w:val="22"/>
          <w:szCs w:val="22"/>
        </w:rPr>
        <w:t>,</w:t>
      </w:r>
      <w:r w:rsidRPr="00C34F92">
        <w:rPr>
          <w:rFonts w:cs="Arial"/>
          <w:sz w:val="22"/>
          <w:szCs w:val="22"/>
        </w:rPr>
        <w:t xml:space="preserve"> 2016)</w:t>
      </w:r>
      <w:r w:rsidRPr="00C34F92">
        <w:rPr>
          <w:rFonts w:cs="Arial"/>
          <w:sz w:val="22"/>
          <w:szCs w:val="22"/>
        </w:rPr>
        <w:fldChar w:fldCharType="end"/>
      </w:r>
      <w:r w:rsidRPr="00C34F92">
        <w:rPr>
          <w:rFonts w:cs="Arial"/>
          <w:sz w:val="22"/>
          <w:szCs w:val="22"/>
        </w:rPr>
        <w:t xml:space="preserve">. </w:t>
      </w:r>
    </w:p>
    <w:p w14:paraId="2AE2A8D7" w14:textId="531DADA3" w:rsidR="00BE6224" w:rsidRDefault="00BE6224" w:rsidP="00BE6224">
      <w:pPr>
        <w:spacing w:after="120"/>
        <w:ind w:left="0"/>
        <w:rPr>
          <w:rFonts w:cs="Arial"/>
          <w:sz w:val="22"/>
          <w:szCs w:val="22"/>
        </w:rPr>
      </w:pPr>
      <w:r w:rsidRPr="00945D9C">
        <w:rPr>
          <w:rFonts w:cs="Arial"/>
          <w:sz w:val="22"/>
          <w:szCs w:val="22"/>
        </w:rPr>
        <w:t>There are two categories of auditory threshold shifts or hearing loss: PTS</w:t>
      </w:r>
      <w:r>
        <w:rPr>
          <w:rFonts w:cs="Arial"/>
          <w:sz w:val="22"/>
          <w:szCs w:val="22"/>
        </w:rPr>
        <w:t xml:space="preserve"> (</w:t>
      </w:r>
      <w:r w:rsidRPr="00945D9C">
        <w:rPr>
          <w:rFonts w:cs="Arial"/>
          <w:sz w:val="22"/>
          <w:szCs w:val="22"/>
        </w:rPr>
        <w:t>a physical injury to an animal’s hearing organs</w:t>
      </w:r>
      <w:r>
        <w:rPr>
          <w:rFonts w:cs="Arial"/>
          <w:sz w:val="22"/>
          <w:szCs w:val="22"/>
        </w:rPr>
        <w:t>)</w:t>
      </w:r>
      <w:r w:rsidRPr="00945D9C">
        <w:rPr>
          <w:rFonts w:cs="Arial"/>
          <w:sz w:val="22"/>
          <w:szCs w:val="22"/>
        </w:rPr>
        <w:t xml:space="preserve"> and TTS </w:t>
      </w:r>
      <w:r>
        <w:rPr>
          <w:rFonts w:cs="Arial"/>
          <w:sz w:val="22"/>
          <w:szCs w:val="22"/>
        </w:rPr>
        <w:t>(</w:t>
      </w:r>
      <w:r w:rsidRPr="00945D9C">
        <w:rPr>
          <w:rFonts w:cs="Arial"/>
          <w:sz w:val="22"/>
          <w:szCs w:val="22"/>
        </w:rPr>
        <w:t>a temporary reduction in an animal’s hearing sensitivity as the result of receptor hair cells in the cochlea becoming fatigued</w:t>
      </w:r>
      <w:r>
        <w:rPr>
          <w:rFonts w:cs="Arial"/>
          <w:sz w:val="22"/>
          <w:szCs w:val="22"/>
        </w:rPr>
        <w:t>)</w:t>
      </w:r>
      <w:r w:rsidRPr="00945D9C">
        <w:rPr>
          <w:rFonts w:cs="Arial"/>
          <w:sz w:val="22"/>
          <w:szCs w:val="22"/>
        </w:rPr>
        <w:t>.</w:t>
      </w:r>
      <w:r>
        <w:rPr>
          <w:rFonts w:cs="Arial"/>
          <w:sz w:val="22"/>
          <w:szCs w:val="22"/>
        </w:rPr>
        <w:t xml:space="preserve"> </w:t>
      </w:r>
      <w:r w:rsidRPr="00945D9C">
        <w:rPr>
          <w:rFonts w:cs="Arial"/>
          <w:sz w:val="22"/>
          <w:szCs w:val="22"/>
        </w:rPr>
        <w:t xml:space="preserve">To assist in assessing the potential for injuries to marine mammals in addition to the application of EPBC Act Policy Statement 2.1, </w:t>
      </w:r>
      <w:r>
        <w:rPr>
          <w:rFonts w:cs="Arial"/>
          <w:sz w:val="22"/>
          <w:szCs w:val="22"/>
        </w:rPr>
        <w:t xml:space="preserve">JASCO’s STLM (and thus </w:t>
      </w:r>
      <w:r w:rsidRPr="00945D9C">
        <w:rPr>
          <w:rFonts w:cs="Arial"/>
          <w:sz w:val="22"/>
          <w:szCs w:val="22"/>
        </w:rPr>
        <w:t>th</w:t>
      </w:r>
      <w:r w:rsidR="004F5C0C">
        <w:rPr>
          <w:rFonts w:cs="Arial"/>
          <w:sz w:val="22"/>
          <w:szCs w:val="22"/>
        </w:rPr>
        <w:t>e</w:t>
      </w:r>
      <w:r w:rsidRPr="00945D9C">
        <w:rPr>
          <w:rFonts w:cs="Arial"/>
          <w:sz w:val="22"/>
          <w:szCs w:val="22"/>
        </w:rPr>
        <w:t xml:space="preserve"> </w:t>
      </w:r>
      <w:r>
        <w:rPr>
          <w:rFonts w:cs="Arial"/>
          <w:sz w:val="22"/>
          <w:szCs w:val="22"/>
        </w:rPr>
        <w:t xml:space="preserve">EP) </w:t>
      </w:r>
      <w:r w:rsidRPr="00945D9C">
        <w:rPr>
          <w:rFonts w:cs="Arial"/>
          <w:sz w:val="22"/>
          <w:szCs w:val="22"/>
        </w:rPr>
        <w:t xml:space="preserve">applies the criteria recommended by NMFS </w:t>
      </w:r>
      <w:r>
        <w:rPr>
          <w:rFonts w:cs="Arial"/>
          <w:sz w:val="22"/>
          <w:szCs w:val="22"/>
        </w:rPr>
        <w:t>(2016).</w:t>
      </w:r>
    </w:p>
    <w:p w14:paraId="03849C91" w14:textId="2F70172E" w:rsidR="00BE6224" w:rsidRPr="00BE6224" w:rsidRDefault="00BE6224" w:rsidP="00BE6224">
      <w:pPr>
        <w:spacing w:after="120"/>
        <w:ind w:left="0"/>
        <w:rPr>
          <w:rFonts w:cs="Arial"/>
          <w:sz w:val="22"/>
          <w:szCs w:val="22"/>
        </w:rPr>
      </w:pPr>
      <w:r w:rsidRPr="00BE6224">
        <w:rPr>
          <w:rFonts w:cs="Arial"/>
          <w:sz w:val="22"/>
          <w:szCs w:val="22"/>
        </w:rPr>
        <w:fldChar w:fldCharType="begin"/>
      </w:r>
      <w:r w:rsidRPr="00BE6224">
        <w:rPr>
          <w:rFonts w:cs="Arial"/>
          <w:sz w:val="22"/>
          <w:szCs w:val="22"/>
        </w:rPr>
        <w:instrText xml:space="preserve"> ADDIN EN.CITE &lt;EndNote&gt;&lt;Cite AuthorYear="1"&gt;&lt;Author&gt;Southall&lt;/Author&gt;&lt;Year&gt;2007&lt;/Year&gt;&lt;RecNum&gt;22320&lt;/RecNum&gt;&lt;DisplayText&gt;Southall et al. (2007)&lt;/DisplayText&gt;&lt;record&gt;&lt;rec-number&gt;22320&lt;/rec-number&gt;&lt;foreign-keys&gt;&lt;key app="EN" db-id="avrwfx0posesv7e0p5ixzsx0ssp0v09v222p" timestamp="1445373881"&gt;22320&lt;/key&gt;&lt;/foreign-keys&gt;&lt;ref-type name="Journal Article"&gt;17&lt;/ref-type&gt;&lt;contributors&gt;&lt;authors&gt;&lt;author&gt;Southall, B.L.&lt;/author&gt;&lt;author&gt;Bowles, A.E.&lt;/author&gt;&lt;author&gt;Ellison, W.T.&lt;/author&gt;&lt;author&gt;Finneran, J.J.&lt;/author&gt;&lt;author&gt;Gentry, R.L.&lt;/author&gt;&lt;author&gt;Greene, C.R., Jr.&lt;/author&gt;&lt;author&gt;Kastak, D.&lt;/author&gt;&lt;author&gt;Ketten, D.R.&lt;/author&gt;&lt;author&gt;Miller, J.H.&lt;/author&gt;&lt;author&gt;Nachtigall, P.E.&lt;/author&gt;&lt;author&gt;Richardson, W.J.&lt;/author&gt;&lt;author&gt;Thomas, J.A.&lt;/author&gt;&lt;author&gt;Tyack, P.L.&lt;/author&gt;&lt;/authors&gt;&lt;/contributors&gt;&lt;titles&gt;&lt;title&gt;Marine mammal noise exposure criteria: Initial scientific recommendations&lt;/title&gt;&lt;secondary-title&gt;Aquatic Mammals&lt;/secondary-title&gt;&lt;/titles&gt;&lt;periodical&gt;&lt;full-title&gt;Aquatic Mammals&lt;/full-title&gt;&lt;abbr-1&gt;Aquat Mamm&lt;/abbr-1&gt;&lt;abbr-2&gt;Aquat. Mamm.&lt;/abbr-2&gt;&lt;/periodical&gt;&lt;pages&gt;411-521&lt;/pages&gt;&lt;volume&gt;33&lt;/volume&gt;&lt;number&gt;4&lt;/number&gt;&lt;dates&gt;&lt;year&gt;2007&lt;/year&gt;&lt;/dates&gt;&lt;urls&gt;&lt;/urls&gt;&lt;/record&gt;&lt;/Cite&gt;&lt;/EndNote&gt;</w:instrText>
      </w:r>
      <w:r w:rsidRPr="00BE6224">
        <w:rPr>
          <w:rFonts w:cs="Arial"/>
          <w:sz w:val="22"/>
          <w:szCs w:val="22"/>
        </w:rPr>
        <w:fldChar w:fldCharType="separate"/>
      </w:r>
      <w:r w:rsidR="00941DCE">
        <w:rPr>
          <w:rFonts w:cs="Arial"/>
          <w:sz w:val="22"/>
          <w:szCs w:val="22"/>
        </w:rPr>
        <w:t>Southall et al</w:t>
      </w:r>
      <w:r w:rsidRPr="00BE6224">
        <w:rPr>
          <w:rFonts w:cs="Arial"/>
          <w:sz w:val="22"/>
          <w:szCs w:val="22"/>
        </w:rPr>
        <w:t xml:space="preserve"> (2007)</w:t>
      </w:r>
      <w:r w:rsidRPr="00BE6224">
        <w:rPr>
          <w:rFonts w:cs="Arial"/>
          <w:sz w:val="22"/>
          <w:szCs w:val="22"/>
        </w:rPr>
        <w:fldChar w:fldCharType="end"/>
      </w:r>
      <w:r w:rsidRPr="00BE6224">
        <w:rPr>
          <w:rFonts w:cs="Arial"/>
          <w:sz w:val="22"/>
          <w:szCs w:val="22"/>
        </w:rPr>
        <w:t xml:space="preserve"> extensively reviewed marine mammal behavioural responses to sounds. Considering the complexity of information in the field, NMFS has historically used a relatively simple sound level criterion for potentially disturbing a marine mammal. For impulsive sounds, this threshold is 160 dB re 1 µPa SPL cetaceans </w:t>
      </w:r>
      <w:r w:rsidRPr="00BE6224">
        <w:rPr>
          <w:rFonts w:cs="Arial"/>
          <w:sz w:val="22"/>
          <w:szCs w:val="22"/>
        </w:rPr>
        <w:fldChar w:fldCharType="begin"/>
      </w:r>
      <w:r w:rsidRPr="00BE6224">
        <w:rPr>
          <w:rFonts w:cs="Arial"/>
          <w:sz w:val="22"/>
          <w:szCs w:val="22"/>
        </w:rPr>
        <w:instrText xml:space="preserve"> ADDIN EN.CITE &lt;EndNote&gt;&lt;Cite ExcludeAuth="1"&gt;&lt;Author&gt;[NMFS] National Marine Fisheries Service&lt;/Author&gt;&lt;Year&gt;2013&lt;/Year&gt;&lt;RecNum&gt;22668&lt;/RecNum&gt;&lt;Prefix&gt;NMFS &lt;/Prefix&gt;&lt;DisplayText&gt;(NMFS 2013)&lt;/DisplayText&gt;&lt;record&gt;&lt;rec-number&gt;22668&lt;/rec-number&gt;&lt;foreign-keys&gt;&lt;key app="EN" db-id="avrwfx0posesv7e0p5ixzsx0ssp0v09v222p" timestamp="1456330879"&gt;22668&lt;/key&gt;&lt;/foreign-keys&gt;&lt;ref-type name="Web Page"&gt;12&lt;/ref-type&gt;&lt;contributors&gt;&lt;authors&gt;&lt;author&gt;[NMFS] National Marine Fisheries Service,&lt;/author&gt;&lt;/authors&gt;&lt;/contributors&gt;&lt;titles&gt;&lt;title&gt;Marine Mammals: Interim Sound Threshold Guidance&lt;/title&gt;&lt;/titles&gt;&lt;dates&gt;&lt;year&gt;2013&lt;/year&gt;&lt;/dates&gt;&lt;publisher&gt;National Marine Fisheries Service, National Oceanic and Atmospheric Administration, U.S. Department of Commerce.&lt;/publisher&gt;&lt;urls&gt;&lt;related-urls&gt;&lt;url&gt;http://www.westcoast.fisheries.noaa.gov/protected_species/marine_mammals/threshold_guidance.html&lt;/url&gt;&lt;/related-urls&gt;&lt;/urls&gt;&lt;/record&gt;&lt;/Cite&gt;&lt;/EndNote&gt;</w:instrText>
      </w:r>
      <w:r w:rsidRPr="00BE6224">
        <w:rPr>
          <w:rFonts w:cs="Arial"/>
          <w:sz w:val="22"/>
          <w:szCs w:val="22"/>
        </w:rPr>
        <w:fldChar w:fldCharType="separate"/>
      </w:r>
      <w:r w:rsidRPr="00BE6224">
        <w:rPr>
          <w:rFonts w:cs="Arial"/>
          <w:sz w:val="22"/>
          <w:szCs w:val="22"/>
        </w:rPr>
        <w:t>(NMFS</w:t>
      </w:r>
      <w:r w:rsidR="00941DCE">
        <w:rPr>
          <w:rFonts w:cs="Arial"/>
          <w:sz w:val="22"/>
          <w:szCs w:val="22"/>
        </w:rPr>
        <w:t>,</w:t>
      </w:r>
      <w:r w:rsidRPr="00BE6224">
        <w:rPr>
          <w:rFonts w:cs="Arial"/>
          <w:sz w:val="22"/>
          <w:szCs w:val="22"/>
        </w:rPr>
        <w:t xml:space="preserve"> 2013)</w:t>
      </w:r>
      <w:r w:rsidRPr="00BE6224">
        <w:rPr>
          <w:rFonts w:cs="Arial"/>
          <w:sz w:val="22"/>
          <w:szCs w:val="22"/>
        </w:rPr>
        <w:fldChar w:fldCharType="end"/>
      </w:r>
      <w:r w:rsidRPr="00BE6224">
        <w:rPr>
          <w:rFonts w:cs="Arial"/>
          <w:sz w:val="22"/>
          <w:szCs w:val="22"/>
        </w:rPr>
        <w:t xml:space="preserve">. </w:t>
      </w:r>
    </w:p>
    <w:p w14:paraId="6992F176" w14:textId="2ABF1662" w:rsidR="00E13BBA" w:rsidRPr="003F4ED0" w:rsidRDefault="00E13BBA" w:rsidP="00E13BBA">
      <w:pPr>
        <w:ind w:left="0"/>
        <w:rPr>
          <w:rFonts w:cs="Arial"/>
          <w:sz w:val="22"/>
          <w:szCs w:val="22"/>
        </w:rPr>
      </w:pPr>
      <w:r w:rsidRPr="003F4ED0">
        <w:rPr>
          <w:rFonts w:cs="Arial"/>
          <w:sz w:val="22"/>
          <w:szCs w:val="22"/>
        </w:rPr>
        <w:t xml:space="preserve">A summary of the </w:t>
      </w:r>
      <w:r w:rsidR="00B8072B">
        <w:rPr>
          <w:rFonts w:cs="Arial"/>
          <w:sz w:val="22"/>
          <w:szCs w:val="22"/>
        </w:rPr>
        <w:t>threshold</w:t>
      </w:r>
      <w:r w:rsidRPr="003F4ED0">
        <w:rPr>
          <w:rFonts w:cs="Arial"/>
          <w:sz w:val="22"/>
          <w:szCs w:val="22"/>
        </w:rPr>
        <w:t xml:space="preserve"> criteria used to assess impacts of underwater sound for each of the cetacean functional hearing groups is presented in </w:t>
      </w:r>
      <w:r w:rsidRPr="00EF4E2A">
        <w:rPr>
          <w:rFonts w:cs="Arial"/>
          <w:sz w:val="22"/>
          <w:szCs w:val="22"/>
        </w:rPr>
        <w:t>Table 7.</w:t>
      </w:r>
      <w:r w:rsidR="00B8072B" w:rsidRPr="00EF4E2A">
        <w:rPr>
          <w:rFonts w:cs="Arial"/>
          <w:sz w:val="22"/>
          <w:szCs w:val="22"/>
        </w:rPr>
        <w:t>1</w:t>
      </w:r>
      <w:r w:rsidR="00005091" w:rsidRPr="00EF4E2A">
        <w:rPr>
          <w:rFonts w:cs="Arial"/>
          <w:sz w:val="22"/>
          <w:szCs w:val="22"/>
        </w:rPr>
        <w:t>1</w:t>
      </w:r>
      <w:r w:rsidRPr="00EF4E2A">
        <w:rPr>
          <w:rFonts w:cs="Arial"/>
          <w:sz w:val="22"/>
          <w:szCs w:val="22"/>
        </w:rPr>
        <w:t>.</w:t>
      </w:r>
    </w:p>
    <w:p w14:paraId="454622D2" w14:textId="77777777" w:rsidR="00E13BBA" w:rsidRDefault="00E13BBA" w:rsidP="00E13BBA">
      <w:pPr>
        <w:ind w:left="0"/>
        <w:rPr>
          <w:rFonts w:ascii="Tahoma" w:hAnsi="Tahoma" w:cs="Arial"/>
          <w:szCs w:val="20"/>
        </w:rPr>
      </w:pPr>
    </w:p>
    <w:p w14:paraId="2EB29BCC" w14:textId="7FCA6DF6" w:rsidR="00E13BBA" w:rsidRPr="00033613" w:rsidRDefault="00E13BBA" w:rsidP="00E13BBA">
      <w:pPr>
        <w:spacing w:after="120"/>
        <w:ind w:left="0"/>
        <w:jc w:val="center"/>
        <w:rPr>
          <w:rFonts w:cs="Arial"/>
          <w:sz w:val="20"/>
          <w:szCs w:val="20"/>
        </w:rPr>
      </w:pPr>
      <w:r w:rsidRPr="00033613">
        <w:rPr>
          <w:rFonts w:cs="Arial"/>
          <w:b/>
          <w:sz w:val="20"/>
          <w:szCs w:val="20"/>
        </w:rPr>
        <w:t>Table 7.</w:t>
      </w:r>
      <w:r w:rsidR="00B8072B">
        <w:rPr>
          <w:rFonts w:cs="Arial"/>
          <w:b/>
          <w:sz w:val="20"/>
          <w:szCs w:val="20"/>
        </w:rPr>
        <w:t>1</w:t>
      </w:r>
      <w:r w:rsidR="00005091">
        <w:rPr>
          <w:rFonts w:cs="Arial"/>
          <w:b/>
          <w:sz w:val="20"/>
          <w:szCs w:val="20"/>
        </w:rPr>
        <w:t>1</w:t>
      </w:r>
      <w:r w:rsidRPr="00033613">
        <w:rPr>
          <w:rFonts w:cs="Arial"/>
          <w:b/>
          <w:sz w:val="20"/>
          <w:szCs w:val="20"/>
        </w:rPr>
        <w:t>.</w:t>
      </w:r>
      <w:r w:rsidRPr="00033613">
        <w:rPr>
          <w:rFonts w:cs="Arial"/>
          <w:b/>
          <w:sz w:val="20"/>
          <w:szCs w:val="20"/>
        </w:rPr>
        <w:tab/>
        <w:t xml:space="preserve">The </w:t>
      </w:r>
      <w:r w:rsidR="002E791F">
        <w:rPr>
          <w:rFonts w:cs="Arial"/>
          <w:b/>
          <w:sz w:val="20"/>
          <w:szCs w:val="20"/>
        </w:rPr>
        <w:t>unweighted per-pulse SPL, SEL and SEL</w:t>
      </w:r>
      <w:r w:rsidR="002E791F" w:rsidRPr="002E791F">
        <w:rPr>
          <w:rFonts w:cs="Arial"/>
          <w:b/>
          <w:sz w:val="20"/>
          <w:szCs w:val="20"/>
          <w:vertAlign w:val="subscript"/>
        </w:rPr>
        <w:t>24h</w:t>
      </w:r>
      <w:r w:rsidR="002E791F">
        <w:rPr>
          <w:rFonts w:cs="Arial"/>
          <w:b/>
          <w:sz w:val="20"/>
          <w:szCs w:val="20"/>
        </w:rPr>
        <w:t xml:space="preserve"> and PK thresholds for acoustic effects on ceteaceans </w:t>
      </w: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242"/>
        <w:gridCol w:w="1843"/>
        <w:gridCol w:w="1843"/>
        <w:gridCol w:w="1843"/>
        <w:gridCol w:w="1559"/>
      </w:tblGrid>
      <w:tr w:rsidR="000A3BDB" w:rsidRPr="00033613" w14:paraId="509CE5AB" w14:textId="77777777" w:rsidTr="00B8072B">
        <w:tc>
          <w:tcPr>
            <w:tcW w:w="1242" w:type="dxa"/>
            <w:vMerge w:val="restart"/>
            <w:shd w:val="clear" w:color="auto" w:fill="064EA8"/>
          </w:tcPr>
          <w:p w14:paraId="150F9BDB" w14:textId="77777777" w:rsidR="000A3BDB" w:rsidRPr="00F81500" w:rsidRDefault="000A3BDB" w:rsidP="00E13BBA">
            <w:pPr>
              <w:spacing w:before="60" w:after="60" w:line="240" w:lineRule="auto"/>
              <w:ind w:left="0"/>
              <w:rPr>
                <w:rFonts w:cs="Arial"/>
                <w:color w:val="FFFFFF" w:themeColor="background1"/>
                <w:sz w:val="20"/>
                <w:szCs w:val="20"/>
              </w:rPr>
            </w:pPr>
            <w:r w:rsidRPr="00F81500">
              <w:rPr>
                <w:rFonts w:cs="Arial"/>
                <w:color w:val="FFFFFF" w:themeColor="background1"/>
                <w:sz w:val="20"/>
                <w:szCs w:val="20"/>
              </w:rPr>
              <w:t>Cetacean hearing group</w:t>
            </w:r>
          </w:p>
        </w:tc>
        <w:tc>
          <w:tcPr>
            <w:tcW w:w="1843" w:type="dxa"/>
            <w:shd w:val="clear" w:color="auto" w:fill="064EA8"/>
          </w:tcPr>
          <w:p w14:paraId="4353480F" w14:textId="37937286" w:rsidR="000A3BDB" w:rsidRDefault="000A3BDB" w:rsidP="00E13BBA">
            <w:pPr>
              <w:spacing w:before="60" w:after="60" w:line="240" w:lineRule="auto"/>
              <w:ind w:left="0"/>
              <w:jc w:val="center"/>
              <w:rPr>
                <w:rFonts w:cs="Arial"/>
                <w:color w:val="FFFFFF" w:themeColor="background1"/>
                <w:sz w:val="20"/>
                <w:szCs w:val="20"/>
              </w:rPr>
            </w:pPr>
            <w:r w:rsidRPr="00F81500">
              <w:rPr>
                <w:rFonts w:cs="Arial"/>
                <w:color w:val="FFFFFF" w:themeColor="background1"/>
                <w:sz w:val="20"/>
                <w:szCs w:val="20"/>
              </w:rPr>
              <w:t>DEWHA</w:t>
            </w:r>
            <w:r>
              <w:rPr>
                <w:rFonts w:cs="Arial"/>
                <w:color w:val="FFFFFF" w:themeColor="background1"/>
                <w:sz w:val="20"/>
                <w:szCs w:val="20"/>
              </w:rPr>
              <w:t xml:space="preserve"> (</w:t>
            </w:r>
            <w:r w:rsidRPr="00F81500">
              <w:rPr>
                <w:rFonts w:cs="Arial"/>
                <w:color w:val="FFFFFF" w:themeColor="background1"/>
                <w:sz w:val="20"/>
                <w:szCs w:val="20"/>
              </w:rPr>
              <w:t>2008)</w:t>
            </w:r>
          </w:p>
        </w:tc>
        <w:tc>
          <w:tcPr>
            <w:tcW w:w="1843" w:type="dxa"/>
            <w:shd w:val="clear" w:color="auto" w:fill="064EA8"/>
          </w:tcPr>
          <w:p w14:paraId="12DAE39F" w14:textId="6DDFF1FC" w:rsidR="000A3BDB" w:rsidRPr="00F81500" w:rsidRDefault="000A3BDB" w:rsidP="00E13BBA">
            <w:pPr>
              <w:spacing w:before="60" w:after="60" w:line="240" w:lineRule="auto"/>
              <w:ind w:left="0"/>
              <w:jc w:val="center"/>
              <w:rPr>
                <w:rFonts w:cs="Arial"/>
                <w:color w:val="FFFFFF" w:themeColor="background1"/>
                <w:sz w:val="20"/>
                <w:szCs w:val="20"/>
              </w:rPr>
            </w:pPr>
            <w:r>
              <w:rPr>
                <w:rFonts w:cs="Arial"/>
                <w:color w:val="FFFFFF" w:themeColor="background1"/>
                <w:sz w:val="20"/>
                <w:szCs w:val="20"/>
              </w:rPr>
              <w:t>NMFS (2013</w:t>
            </w:r>
            <w:r w:rsidRPr="00F81500">
              <w:rPr>
                <w:rFonts w:cs="Arial"/>
                <w:color w:val="FFFFFF" w:themeColor="background1"/>
                <w:sz w:val="20"/>
                <w:szCs w:val="20"/>
              </w:rPr>
              <w:t>)</w:t>
            </w:r>
          </w:p>
        </w:tc>
        <w:tc>
          <w:tcPr>
            <w:tcW w:w="3402" w:type="dxa"/>
            <w:gridSpan w:val="2"/>
            <w:shd w:val="clear" w:color="auto" w:fill="064EA8"/>
          </w:tcPr>
          <w:p w14:paraId="2B1CB633" w14:textId="617D0C06" w:rsidR="000A3BDB" w:rsidRPr="00F81500" w:rsidRDefault="000A3BDB" w:rsidP="00C324FA">
            <w:pPr>
              <w:spacing w:before="60" w:after="60" w:line="240" w:lineRule="auto"/>
              <w:ind w:left="0"/>
              <w:jc w:val="center"/>
              <w:rPr>
                <w:rFonts w:cs="Arial"/>
                <w:color w:val="FFFFFF" w:themeColor="background1"/>
                <w:sz w:val="20"/>
                <w:szCs w:val="20"/>
              </w:rPr>
            </w:pPr>
            <w:r>
              <w:rPr>
                <w:rFonts w:cs="Arial"/>
                <w:color w:val="FFFFFF" w:themeColor="background1"/>
                <w:sz w:val="20"/>
                <w:szCs w:val="20"/>
              </w:rPr>
              <w:t>NMFS (2016)</w:t>
            </w:r>
          </w:p>
        </w:tc>
      </w:tr>
      <w:tr w:rsidR="000A3BDB" w:rsidRPr="00033613" w14:paraId="7ED3A151" w14:textId="77777777" w:rsidTr="00B8072B">
        <w:tc>
          <w:tcPr>
            <w:tcW w:w="1242" w:type="dxa"/>
            <w:vMerge/>
            <w:shd w:val="clear" w:color="auto" w:fill="064EA8"/>
          </w:tcPr>
          <w:p w14:paraId="244E5AAF" w14:textId="77777777" w:rsidR="000A3BDB" w:rsidRPr="00F81500" w:rsidRDefault="000A3BDB" w:rsidP="00E13BBA">
            <w:pPr>
              <w:spacing w:before="60" w:after="60" w:line="240" w:lineRule="auto"/>
              <w:ind w:left="0"/>
              <w:rPr>
                <w:rFonts w:cs="Arial"/>
                <w:color w:val="FFFFFF" w:themeColor="background1"/>
                <w:sz w:val="20"/>
                <w:szCs w:val="20"/>
              </w:rPr>
            </w:pPr>
          </w:p>
        </w:tc>
        <w:tc>
          <w:tcPr>
            <w:tcW w:w="1843" w:type="dxa"/>
            <w:vMerge w:val="restart"/>
            <w:shd w:val="clear" w:color="auto" w:fill="064EA8"/>
          </w:tcPr>
          <w:p w14:paraId="3C37982E" w14:textId="2E9D56DF" w:rsidR="000A3BDB" w:rsidRPr="00F81500" w:rsidRDefault="000A3BDB" w:rsidP="00E13BBA">
            <w:pPr>
              <w:spacing w:before="60" w:after="60" w:line="240" w:lineRule="auto"/>
              <w:ind w:left="0"/>
              <w:jc w:val="center"/>
              <w:rPr>
                <w:rFonts w:cs="Arial"/>
                <w:color w:val="FFFFFF" w:themeColor="background1"/>
                <w:sz w:val="20"/>
                <w:szCs w:val="20"/>
              </w:rPr>
            </w:pPr>
            <w:r w:rsidRPr="00F81500">
              <w:rPr>
                <w:rFonts w:cs="Arial"/>
                <w:color w:val="FFFFFF" w:themeColor="background1"/>
                <w:sz w:val="20"/>
                <w:szCs w:val="20"/>
              </w:rPr>
              <w:t xml:space="preserve">Unweighted </w:t>
            </w:r>
            <w:r>
              <w:rPr>
                <w:rFonts w:cs="Arial"/>
                <w:color w:val="FFFFFF" w:themeColor="background1"/>
                <w:sz w:val="20"/>
                <w:szCs w:val="20"/>
              </w:rPr>
              <w:br/>
            </w:r>
            <w:r w:rsidRPr="00F81500">
              <w:rPr>
                <w:rFonts w:cs="Arial"/>
                <w:color w:val="FFFFFF" w:themeColor="background1"/>
                <w:sz w:val="20"/>
                <w:szCs w:val="20"/>
              </w:rPr>
              <w:t>per</w:t>
            </w:r>
            <w:r>
              <w:rPr>
                <w:rFonts w:cs="Arial"/>
                <w:color w:val="FFFFFF" w:themeColor="background1"/>
                <w:sz w:val="20"/>
                <w:szCs w:val="20"/>
              </w:rPr>
              <w:t>-</w:t>
            </w:r>
            <w:r w:rsidRPr="00F81500">
              <w:rPr>
                <w:rFonts w:cs="Arial"/>
                <w:color w:val="FFFFFF" w:themeColor="background1"/>
                <w:sz w:val="20"/>
                <w:szCs w:val="20"/>
              </w:rPr>
              <w:t xml:space="preserve"> pulse SEL </w:t>
            </w:r>
            <w:r>
              <w:rPr>
                <w:rFonts w:cs="Arial"/>
                <w:color w:val="FFFFFF" w:themeColor="background1"/>
                <w:sz w:val="20"/>
                <w:szCs w:val="20"/>
              </w:rPr>
              <w:br/>
            </w:r>
            <w:r w:rsidRPr="00F81500">
              <w:rPr>
                <w:rFonts w:cs="Arial"/>
                <w:color w:val="FFFFFF" w:themeColor="background1"/>
                <w:sz w:val="20"/>
                <w:szCs w:val="20"/>
              </w:rPr>
              <w:t>(dB re 1 μPa</w:t>
            </w:r>
            <w:r w:rsidRPr="00F81500">
              <w:rPr>
                <w:rFonts w:cs="Arial"/>
                <w:color w:val="FFFFFF" w:themeColor="background1"/>
                <w:sz w:val="20"/>
                <w:szCs w:val="20"/>
                <w:vertAlign w:val="superscript"/>
              </w:rPr>
              <w:t>2</w:t>
            </w:r>
            <w:r w:rsidRPr="00F81500">
              <w:rPr>
                <w:rFonts w:cs="Arial"/>
                <w:color w:val="FFFFFF" w:themeColor="background1"/>
                <w:sz w:val="20"/>
                <w:szCs w:val="20"/>
              </w:rPr>
              <w:t>.s</w:t>
            </w:r>
            <w:r>
              <w:rPr>
                <w:rFonts w:cs="Arial"/>
                <w:color w:val="FFFFFF" w:themeColor="background1"/>
                <w:sz w:val="20"/>
                <w:szCs w:val="20"/>
              </w:rPr>
              <w:t>)</w:t>
            </w:r>
          </w:p>
        </w:tc>
        <w:tc>
          <w:tcPr>
            <w:tcW w:w="1843" w:type="dxa"/>
            <w:shd w:val="clear" w:color="auto" w:fill="064EA8"/>
          </w:tcPr>
          <w:p w14:paraId="6CF9AEB5" w14:textId="6D00367F" w:rsidR="000A3BDB" w:rsidRPr="00F81500" w:rsidRDefault="000A3BDB" w:rsidP="00E13BBA">
            <w:pPr>
              <w:spacing w:before="60" w:after="60" w:line="240" w:lineRule="auto"/>
              <w:ind w:left="0"/>
              <w:jc w:val="center"/>
              <w:rPr>
                <w:rFonts w:cs="Arial"/>
                <w:color w:val="FFFFFF" w:themeColor="background1"/>
                <w:sz w:val="20"/>
                <w:szCs w:val="20"/>
              </w:rPr>
            </w:pPr>
            <w:r w:rsidRPr="00F81500">
              <w:rPr>
                <w:rFonts w:cs="Arial"/>
                <w:color w:val="FFFFFF" w:themeColor="background1"/>
                <w:sz w:val="20"/>
                <w:szCs w:val="20"/>
              </w:rPr>
              <w:t>Behaviour</w:t>
            </w:r>
          </w:p>
        </w:tc>
        <w:tc>
          <w:tcPr>
            <w:tcW w:w="3402" w:type="dxa"/>
            <w:gridSpan w:val="2"/>
            <w:shd w:val="clear" w:color="auto" w:fill="064EA8"/>
          </w:tcPr>
          <w:p w14:paraId="6056D91A" w14:textId="2254B614" w:rsidR="000A3BDB" w:rsidRDefault="000A3BDB" w:rsidP="00E13BBA">
            <w:pPr>
              <w:spacing w:before="60" w:after="60" w:line="240" w:lineRule="auto"/>
              <w:ind w:left="0"/>
              <w:jc w:val="center"/>
              <w:rPr>
                <w:rFonts w:cs="Arial"/>
                <w:color w:val="FFFFFF" w:themeColor="background1"/>
                <w:sz w:val="20"/>
                <w:szCs w:val="20"/>
              </w:rPr>
            </w:pPr>
            <w:r w:rsidRPr="00F81500">
              <w:rPr>
                <w:rFonts w:cs="Arial"/>
                <w:color w:val="FFFFFF" w:themeColor="background1"/>
                <w:sz w:val="20"/>
                <w:szCs w:val="20"/>
              </w:rPr>
              <w:t>Injury</w:t>
            </w:r>
            <w:r w:rsidR="00941DCE">
              <w:rPr>
                <w:rFonts w:cs="Arial"/>
                <w:color w:val="FFFFFF" w:themeColor="background1"/>
                <w:sz w:val="20"/>
                <w:szCs w:val="20"/>
              </w:rPr>
              <w:t xml:space="preserve"> (PTS)</w:t>
            </w:r>
          </w:p>
        </w:tc>
      </w:tr>
      <w:tr w:rsidR="000A3BDB" w:rsidRPr="00033613" w14:paraId="48C8CBBA" w14:textId="77777777" w:rsidTr="00B8072B">
        <w:tc>
          <w:tcPr>
            <w:tcW w:w="1242" w:type="dxa"/>
            <w:vMerge/>
            <w:shd w:val="clear" w:color="auto" w:fill="064EA8"/>
          </w:tcPr>
          <w:p w14:paraId="2E23A3C5" w14:textId="77777777" w:rsidR="000A3BDB" w:rsidRPr="00F81500" w:rsidRDefault="000A3BDB" w:rsidP="00E13BBA">
            <w:pPr>
              <w:spacing w:before="60" w:after="60" w:line="240" w:lineRule="auto"/>
              <w:ind w:left="0"/>
              <w:rPr>
                <w:rFonts w:cs="Arial"/>
                <w:color w:val="FFFFFF" w:themeColor="background1"/>
                <w:sz w:val="20"/>
                <w:szCs w:val="20"/>
              </w:rPr>
            </w:pPr>
          </w:p>
        </w:tc>
        <w:tc>
          <w:tcPr>
            <w:tcW w:w="1843" w:type="dxa"/>
            <w:vMerge/>
            <w:shd w:val="clear" w:color="auto" w:fill="064EA8"/>
          </w:tcPr>
          <w:p w14:paraId="1746F497" w14:textId="77777777" w:rsidR="000A3BDB" w:rsidRPr="00F81500" w:rsidRDefault="000A3BDB" w:rsidP="00E13BBA">
            <w:pPr>
              <w:spacing w:before="60" w:after="60" w:line="240" w:lineRule="auto"/>
              <w:ind w:left="0"/>
              <w:jc w:val="center"/>
              <w:rPr>
                <w:rFonts w:cs="Arial"/>
                <w:color w:val="FFFFFF" w:themeColor="background1"/>
                <w:sz w:val="20"/>
                <w:szCs w:val="20"/>
              </w:rPr>
            </w:pPr>
          </w:p>
        </w:tc>
        <w:tc>
          <w:tcPr>
            <w:tcW w:w="1843" w:type="dxa"/>
            <w:shd w:val="clear" w:color="auto" w:fill="064EA8"/>
          </w:tcPr>
          <w:p w14:paraId="284E7D75" w14:textId="3BD5E1DF" w:rsidR="000A3BDB" w:rsidRPr="00F81500" w:rsidRDefault="000A3BDB" w:rsidP="00E13BBA">
            <w:pPr>
              <w:spacing w:before="60" w:after="60" w:line="240" w:lineRule="auto"/>
              <w:ind w:left="0"/>
              <w:jc w:val="center"/>
              <w:rPr>
                <w:rFonts w:cs="Arial"/>
                <w:color w:val="FFFFFF" w:themeColor="background1"/>
                <w:sz w:val="20"/>
                <w:szCs w:val="20"/>
              </w:rPr>
            </w:pPr>
            <w:r w:rsidRPr="00F81500">
              <w:rPr>
                <w:rFonts w:cs="Arial"/>
                <w:color w:val="FFFFFF" w:themeColor="background1"/>
                <w:sz w:val="20"/>
                <w:szCs w:val="20"/>
              </w:rPr>
              <w:t xml:space="preserve">SPL </w:t>
            </w:r>
            <w:r>
              <w:rPr>
                <w:rFonts w:cs="Arial"/>
                <w:color w:val="FFFFFF" w:themeColor="background1"/>
                <w:sz w:val="20"/>
                <w:szCs w:val="20"/>
              </w:rPr>
              <w:br/>
            </w:r>
            <w:r w:rsidRPr="00F81500">
              <w:rPr>
                <w:rFonts w:cs="Arial"/>
                <w:color w:val="FFFFFF" w:themeColor="background1"/>
                <w:sz w:val="20"/>
                <w:szCs w:val="20"/>
              </w:rPr>
              <w:t>(dB re 1 μPa)</w:t>
            </w:r>
          </w:p>
        </w:tc>
        <w:tc>
          <w:tcPr>
            <w:tcW w:w="1843" w:type="dxa"/>
            <w:shd w:val="clear" w:color="auto" w:fill="064EA8"/>
          </w:tcPr>
          <w:p w14:paraId="662FB084" w14:textId="7B69BBC0" w:rsidR="000A3BDB" w:rsidRPr="00F81500" w:rsidRDefault="000A3BDB" w:rsidP="00941DCE">
            <w:pPr>
              <w:spacing w:before="60" w:after="60" w:line="240" w:lineRule="auto"/>
              <w:ind w:left="0"/>
              <w:jc w:val="center"/>
              <w:rPr>
                <w:rFonts w:cs="Arial"/>
                <w:color w:val="FFFFFF" w:themeColor="background1"/>
                <w:sz w:val="20"/>
                <w:szCs w:val="20"/>
              </w:rPr>
            </w:pPr>
            <w:r>
              <w:rPr>
                <w:rFonts w:cs="Arial"/>
                <w:color w:val="FFFFFF" w:themeColor="background1"/>
                <w:sz w:val="20"/>
                <w:szCs w:val="20"/>
              </w:rPr>
              <w:t>W</w:t>
            </w:r>
            <w:r w:rsidRPr="00F81500">
              <w:rPr>
                <w:rFonts w:cs="Arial"/>
                <w:color w:val="FFFFFF" w:themeColor="background1"/>
                <w:sz w:val="20"/>
                <w:szCs w:val="20"/>
              </w:rPr>
              <w:t>eighted SEL</w:t>
            </w:r>
            <w:r w:rsidRPr="00AE0A98">
              <w:rPr>
                <w:rFonts w:cs="Arial"/>
                <w:color w:val="FFFFFF" w:themeColor="background1"/>
                <w:sz w:val="20"/>
                <w:szCs w:val="20"/>
                <w:vertAlign w:val="subscript"/>
              </w:rPr>
              <w:t xml:space="preserve">24h </w:t>
            </w:r>
            <w:r>
              <w:rPr>
                <w:rFonts w:cs="Arial"/>
                <w:color w:val="FFFFFF" w:themeColor="background1"/>
                <w:sz w:val="20"/>
                <w:szCs w:val="20"/>
                <w:vertAlign w:val="subscript"/>
              </w:rPr>
              <w:br/>
            </w:r>
            <w:r w:rsidRPr="00F81500">
              <w:rPr>
                <w:rFonts w:cs="Arial"/>
                <w:color w:val="FFFFFF" w:themeColor="background1"/>
                <w:sz w:val="20"/>
                <w:szCs w:val="20"/>
              </w:rPr>
              <w:t>(dB re 1 μPa</w:t>
            </w:r>
            <w:r w:rsidRPr="00F81500">
              <w:rPr>
                <w:rFonts w:cs="Arial"/>
                <w:color w:val="FFFFFF" w:themeColor="background1"/>
                <w:sz w:val="20"/>
                <w:szCs w:val="20"/>
                <w:vertAlign w:val="superscript"/>
              </w:rPr>
              <w:t>2</w:t>
            </w:r>
            <w:r w:rsidRPr="00F81500">
              <w:rPr>
                <w:rFonts w:cs="Arial"/>
                <w:color w:val="FFFFFF" w:themeColor="background1"/>
                <w:sz w:val="20"/>
                <w:szCs w:val="20"/>
              </w:rPr>
              <w:t>.s)</w:t>
            </w:r>
          </w:p>
        </w:tc>
        <w:tc>
          <w:tcPr>
            <w:tcW w:w="1559" w:type="dxa"/>
            <w:shd w:val="clear" w:color="auto" w:fill="064EA8"/>
          </w:tcPr>
          <w:p w14:paraId="4E93AEF0" w14:textId="3F5BE46D" w:rsidR="000A3BDB" w:rsidRPr="00F81500" w:rsidRDefault="000A3BDB" w:rsidP="00E13BBA">
            <w:pPr>
              <w:spacing w:before="60" w:after="60" w:line="240" w:lineRule="auto"/>
              <w:ind w:left="0"/>
              <w:jc w:val="center"/>
              <w:rPr>
                <w:rFonts w:cs="Arial"/>
                <w:color w:val="FFFFFF" w:themeColor="background1"/>
                <w:sz w:val="20"/>
                <w:szCs w:val="20"/>
              </w:rPr>
            </w:pPr>
            <w:r>
              <w:rPr>
                <w:rFonts w:cs="Arial"/>
                <w:color w:val="FFFFFF" w:themeColor="background1"/>
                <w:sz w:val="20"/>
                <w:szCs w:val="20"/>
              </w:rPr>
              <w:t xml:space="preserve">PK </w:t>
            </w:r>
            <w:r>
              <w:rPr>
                <w:rFonts w:cs="Arial"/>
                <w:color w:val="FFFFFF" w:themeColor="background1"/>
                <w:sz w:val="20"/>
                <w:szCs w:val="20"/>
              </w:rPr>
              <w:br/>
              <w:t>(</w:t>
            </w:r>
            <w:r w:rsidRPr="00F81500">
              <w:rPr>
                <w:rFonts w:cs="Arial"/>
                <w:color w:val="FFFFFF" w:themeColor="background1"/>
                <w:sz w:val="20"/>
                <w:szCs w:val="20"/>
              </w:rPr>
              <w:t>dB re 1 μPa)</w:t>
            </w:r>
          </w:p>
        </w:tc>
      </w:tr>
      <w:tr w:rsidR="000A3BDB" w:rsidRPr="00033613" w14:paraId="79180442" w14:textId="77777777" w:rsidTr="00B8072B">
        <w:tc>
          <w:tcPr>
            <w:tcW w:w="1242" w:type="dxa"/>
            <w:shd w:val="clear" w:color="auto" w:fill="auto"/>
          </w:tcPr>
          <w:p w14:paraId="76B3C1BB" w14:textId="77777777" w:rsidR="000A3BDB" w:rsidRPr="00033613" w:rsidRDefault="000A3BDB" w:rsidP="00E13BBA">
            <w:pPr>
              <w:spacing w:before="60" w:after="60" w:line="240" w:lineRule="auto"/>
              <w:ind w:left="0"/>
              <w:rPr>
                <w:rFonts w:cs="Arial"/>
                <w:sz w:val="20"/>
                <w:szCs w:val="20"/>
              </w:rPr>
            </w:pPr>
            <w:r w:rsidRPr="00033613">
              <w:rPr>
                <w:rFonts w:cs="Arial"/>
                <w:sz w:val="20"/>
                <w:szCs w:val="20"/>
              </w:rPr>
              <w:t>LFC</w:t>
            </w:r>
          </w:p>
        </w:tc>
        <w:tc>
          <w:tcPr>
            <w:tcW w:w="1843" w:type="dxa"/>
            <w:vMerge w:val="restart"/>
            <w:vAlign w:val="center"/>
          </w:tcPr>
          <w:p w14:paraId="6DE9BC63" w14:textId="48A4D431" w:rsidR="000A3BDB" w:rsidRPr="00033613" w:rsidRDefault="000A3BDB" w:rsidP="000A3BDB">
            <w:pPr>
              <w:spacing w:before="60" w:after="60" w:line="240" w:lineRule="auto"/>
              <w:ind w:left="0"/>
              <w:jc w:val="center"/>
              <w:rPr>
                <w:rFonts w:cs="Arial"/>
                <w:sz w:val="20"/>
                <w:szCs w:val="20"/>
              </w:rPr>
            </w:pPr>
            <w:r>
              <w:rPr>
                <w:rFonts w:cs="Arial"/>
                <w:sz w:val="20"/>
                <w:szCs w:val="20"/>
              </w:rPr>
              <w:t>160</w:t>
            </w:r>
          </w:p>
        </w:tc>
        <w:tc>
          <w:tcPr>
            <w:tcW w:w="1843" w:type="dxa"/>
            <w:vMerge w:val="restart"/>
            <w:shd w:val="clear" w:color="auto" w:fill="auto"/>
            <w:vAlign w:val="center"/>
          </w:tcPr>
          <w:p w14:paraId="691C077C" w14:textId="182210C3" w:rsidR="000A3BDB" w:rsidRPr="00033613" w:rsidRDefault="000A3BDB" w:rsidP="00E13BBA">
            <w:pPr>
              <w:spacing w:before="60" w:after="60" w:line="240" w:lineRule="auto"/>
              <w:ind w:left="0"/>
              <w:jc w:val="center"/>
              <w:rPr>
                <w:rFonts w:cs="Arial"/>
                <w:sz w:val="20"/>
                <w:szCs w:val="20"/>
              </w:rPr>
            </w:pPr>
            <w:r w:rsidRPr="00033613">
              <w:rPr>
                <w:rFonts w:cs="Arial"/>
                <w:sz w:val="20"/>
                <w:szCs w:val="20"/>
              </w:rPr>
              <w:t>160</w:t>
            </w:r>
          </w:p>
        </w:tc>
        <w:tc>
          <w:tcPr>
            <w:tcW w:w="1843" w:type="dxa"/>
            <w:shd w:val="clear" w:color="auto" w:fill="auto"/>
            <w:vAlign w:val="center"/>
          </w:tcPr>
          <w:p w14:paraId="73581741" w14:textId="6AF30B4D" w:rsidR="000A3BDB" w:rsidRPr="00033613" w:rsidRDefault="000A3BDB" w:rsidP="00E13BBA">
            <w:pPr>
              <w:spacing w:before="60" w:after="60" w:line="240" w:lineRule="auto"/>
              <w:ind w:left="0"/>
              <w:jc w:val="center"/>
              <w:rPr>
                <w:rFonts w:cs="Arial"/>
                <w:sz w:val="20"/>
                <w:szCs w:val="20"/>
              </w:rPr>
            </w:pPr>
            <w:r>
              <w:rPr>
                <w:rFonts w:cs="Arial"/>
                <w:sz w:val="20"/>
                <w:szCs w:val="20"/>
              </w:rPr>
              <w:t>183</w:t>
            </w:r>
          </w:p>
        </w:tc>
        <w:tc>
          <w:tcPr>
            <w:tcW w:w="1559" w:type="dxa"/>
            <w:shd w:val="clear" w:color="auto" w:fill="auto"/>
            <w:vAlign w:val="center"/>
          </w:tcPr>
          <w:p w14:paraId="15811872" w14:textId="2A4A5100" w:rsidR="000A3BDB" w:rsidRPr="00033613" w:rsidRDefault="000A3BDB" w:rsidP="00E13BBA">
            <w:pPr>
              <w:spacing w:before="60" w:after="60" w:line="240" w:lineRule="auto"/>
              <w:ind w:left="0"/>
              <w:jc w:val="center"/>
              <w:rPr>
                <w:rFonts w:cs="Arial"/>
                <w:sz w:val="20"/>
                <w:szCs w:val="20"/>
              </w:rPr>
            </w:pPr>
            <w:r>
              <w:rPr>
                <w:rFonts w:cs="Arial"/>
                <w:sz w:val="20"/>
                <w:szCs w:val="20"/>
              </w:rPr>
              <w:t>219</w:t>
            </w:r>
          </w:p>
        </w:tc>
      </w:tr>
      <w:tr w:rsidR="000A3BDB" w:rsidRPr="00033613" w14:paraId="73C46C17" w14:textId="77777777" w:rsidTr="00B8072B">
        <w:tc>
          <w:tcPr>
            <w:tcW w:w="1242" w:type="dxa"/>
            <w:shd w:val="clear" w:color="auto" w:fill="auto"/>
          </w:tcPr>
          <w:p w14:paraId="29684274" w14:textId="77777777" w:rsidR="000A3BDB" w:rsidRPr="00033613" w:rsidRDefault="000A3BDB" w:rsidP="00E13BBA">
            <w:pPr>
              <w:spacing w:before="60" w:after="60" w:line="240" w:lineRule="auto"/>
              <w:ind w:left="0"/>
              <w:rPr>
                <w:rFonts w:cs="Arial"/>
                <w:sz w:val="20"/>
                <w:szCs w:val="20"/>
              </w:rPr>
            </w:pPr>
            <w:r w:rsidRPr="00033613">
              <w:rPr>
                <w:rFonts w:cs="Arial"/>
                <w:sz w:val="20"/>
                <w:szCs w:val="20"/>
              </w:rPr>
              <w:t>MFC</w:t>
            </w:r>
          </w:p>
        </w:tc>
        <w:tc>
          <w:tcPr>
            <w:tcW w:w="1843" w:type="dxa"/>
            <w:vMerge/>
          </w:tcPr>
          <w:p w14:paraId="36169F70" w14:textId="77777777" w:rsidR="000A3BDB" w:rsidRPr="00033613" w:rsidRDefault="000A3BDB" w:rsidP="00E13BBA">
            <w:pPr>
              <w:spacing w:before="60" w:after="60" w:line="240" w:lineRule="auto"/>
              <w:ind w:left="0"/>
              <w:rPr>
                <w:rFonts w:cs="Arial"/>
                <w:sz w:val="20"/>
                <w:szCs w:val="20"/>
              </w:rPr>
            </w:pPr>
          </w:p>
        </w:tc>
        <w:tc>
          <w:tcPr>
            <w:tcW w:w="1843" w:type="dxa"/>
            <w:vMerge/>
            <w:shd w:val="clear" w:color="auto" w:fill="auto"/>
          </w:tcPr>
          <w:p w14:paraId="1FCA13F7" w14:textId="3AED20F8" w:rsidR="000A3BDB" w:rsidRPr="00033613" w:rsidRDefault="000A3BDB" w:rsidP="00E13BBA">
            <w:pPr>
              <w:spacing w:before="60" w:after="60" w:line="240" w:lineRule="auto"/>
              <w:ind w:left="0"/>
              <w:rPr>
                <w:rFonts w:cs="Arial"/>
                <w:sz w:val="20"/>
                <w:szCs w:val="20"/>
              </w:rPr>
            </w:pPr>
          </w:p>
        </w:tc>
        <w:tc>
          <w:tcPr>
            <w:tcW w:w="1843" w:type="dxa"/>
            <w:shd w:val="clear" w:color="auto" w:fill="auto"/>
            <w:vAlign w:val="center"/>
          </w:tcPr>
          <w:p w14:paraId="266CAA92" w14:textId="3394BEB8" w:rsidR="000A3BDB" w:rsidRPr="00033613" w:rsidRDefault="000A3BDB" w:rsidP="00E13BBA">
            <w:pPr>
              <w:spacing w:before="60" w:after="60" w:line="240" w:lineRule="auto"/>
              <w:ind w:left="0"/>
              <w:jc w:val="center"/>
              <w:rPr>
                <w:rFonts w:cs="Arial"/>
                <w:sz w:val="20"/>
                <w:szCs w:val="20"/>
              </w:rPr>
            </w:pPr>
            <w:r>
              <w:rPr>
                <w:rFonts w:cs="Arial"/>
                <w:sz w:val="20"/>
                <w:szCs w:val="20"/>
              </w:rPr>
              <w:t>185</w:t>
            </w:r>
          </w:p>
        </w:tc>
        <w:tc>
          <w:tcPr>
            <w:tcW w:w="1559" w:type="dxa"/>
            <w:shd w:val="clear" w:color="auto" w:fill="auto"/>
            <w:vAlign w:val="center"/>
          </w:tcPr>
          <w:p w14:paraId="31D87397" w14:textId="00123CA7" w:rsidR="000A3BDB" w:rsidRPr="00033613" w:rsidRDefault="000A3BDB" w:rsidP="000A3BDB">
            <w:pPr>
              <w:spacing w:before="60" w:after="60" w:line="240" w:lineRule="auto"/>
              <w:ind w:left="0"/>
              <w:jc w:val="center"/>
              <w:rPr>
                <w:rFonts w:cs="Arial"/>
                <w:sz w:val="20"/>
                <w:szCs w:val="20"/>
              </w:rPr>
            </w:pPr>
            <w:r>
              <w:rPr>
                <w:rFonts w:cs="Arial"/>
                <w:sz w:val="20"/>
                <w:szCs w:val="20"/>
              </w:rPr>
              <w:t>230</w:t>
            </w:r>
          </w:p>
        </w:tc>
      </w:tr>
      <w:tr w:rsidR="000A3BDB" w:rsidRPr="00033613" w14:paraId="4CCBB6F1" w14:textId="77777777" w:rsidTr="00B8072B">
        <w:tc>
          <w:tcPr>
            <w:tcW w:w="1242" w:type="dxa"/>
            <w:shd w:val="clear" w:color="auto" w:fill="auto"/>
          </w:tcPr>
          <w:p w14:paraId="51739ADA" w14:textId="77777777" w:rsidR="000A3BDB" w:rsidRPr="00033613" w:rsidRDefault="000A3BDB" w:rsidP="00E13BBA">
            <w:pPr>
              <w:spacing w:before="60" w:after="60" w:line="240" w:lineRule="auto"/>
              <w:ind w:left="0"/>
              <w:rPr>
                <w:rFonts w:cs="Arial"/>
                <w:sz w:val="20"/>
                <w:szCs w:val="20"/>
              </w:rPr>
            </w:pPr>
            <w:r w:rsidRPr="00033613">
              <w:rPr>
                <w:rFonts w:cs="Arial"/>
                <w:sz w:val="20"/>
                <w:szCs w:val="20"/>
              </w:rPr>
              <w:t>HFC</w:t>
            </w:r>
          </w:p>
        </w:tc>
        <w:tc>
          <w:tcPr>
            <w:tcW w:w="1843" w:type="dxa"/>
            <w:vMerge/>
          </w:tcPr>
          <w:p w14:paraId="2672E517" w14:textId="77777777" w:rsidR="000A3BDB" w:rsidRPr="00033613" w:rsidRDefault="000A3BDB" w:rsidP="00E13BBA">
            <w:pPr>
              <w:spacing w:before="60" w:after="60" w:line="240" w:lineRule="auto"/>
              <w:ind w:left="0"/>
              <w:rPr>
                <w:rFonts w:cs="Arial"/>
                <w:sz w:val="20"/>
                <w:szCs w:val="20"/>
              </w:rPr>
            </w:pPr>
          </w:p>
        </w:tc>
        <w:tc>
          <w:tcPr>
            <w:tcW w:w="1843" w:type="dxa"/>
            <w:vMerge/>
            <w:shd w:val="clear" w:color="auto" w:fill="auto"/>
          </w:tcPr>
          <w:p w14:paraId="5B0877A2" w14:textId="1CEF6142" w:rsidR="000A3BDB" w:rsidRPr="00033613" w:rsidRDefault="000A3BDB" w:rsidP="00E13BBA">
            <w:pPr>
              <w:spacing w:before="60" w:after="60" w:line="240" w:lineRule="auto"/>
              <w:ind w:left="0"/>
              <w:rPr>
                <w:rFonts w:cs="Arial"/>
                <w:sz w:val="20"/>
                <w:szCs w:val="20"/>
              </w:rPr>
            </w:pPr>
          </w:p>
        </w:tc>
        <w:tc>
          <w:tcPr>
            <w:tcW w:w="1843" w:type="dxa"/>
            <w:shd w:val="clear" w:color="auto" w:fill="auto"/>
            <w:vAlign w:val="center"/>
          </w:tcPr>
          <w:p w14:paraId="6EE264E7" w14:textId="0B2F9246" w:rsidR="000A3BDB" w:rsidRPr="00033613" w:rsidRDefault="000A3BDB" w:rsidP="00E13BBA">
            <w:pPr>
              <w:spacing w:before="60" w:after="60" w:line="240" w:lineRule="auto"/>
              <w:ind w:left="0"/>
              <w:jc w:val="center"/>
              <w:rPr>
                <w:rFonts w:cs="Arial"/>
                <w:sz w:val="20"/>
                <w:szCs w:val="20"/>
              </w:rPr>
            </w:pPr>
            <w:r>
              <w:rPr>
                <w:rFonts w:cs="Arial"/>
                <w:sz w:val="20"/>
                <w:szCs w:val="20"/>
              </w:rPr>
              <w:t>155</w:t>
            </w:r>
          </w:p>
        </w:tc>
        <w:tc>
          <w:tcPr>
            <w:tcW w:w="1559" w:type="dxa"/>
            <w:shd w:val="clear" w:color="auto" w:fill="auto"/>
            <w:vAlign w:val="center"/>
          </w:tcPr>
          <w:p w14:paraId="7E45F710" w14:textId="56AD895D" w:rsidR="000A3BDB" w:rsidRPr="00033613" w:rsidRDefault="000A3BDB" w:rsidP="000A3BDB">
            <w:pPr>
              <w:spacing w:before="60" w:after="60" w:line="240" w:lineRule="auto"/>
              <w:ind w:left="0"/>
              <w:jc w:val="center"/>
              <w:rPr>
                <w:rFonts w:cs="Arial"/>
                <w:sz w:val="20"/>
                <w:szCs w:val="20"/>
              </w:rPr>
            </w:pPr>
            <w:r>
              <w:rPr>
                <w:rFonts w:cs="Arial"/>
                <w:sz w:val="20"/>
                <w:szCs w:val="20"/>
              </w:rPr>
              <w:t>202</w:t>
            </w:r>
          </w:p>
        </w:tc>
      </w:tr>
    </w:tbl>
    <w:p w14:paraId="4648471A" w14:textId="48B27DD9" w:rsidR="00E13BBA" w:rsidRPr="00941DCE" w:rsidRDefault="00941DCE" w:rsidP="00E13BBA">
      <w:pPr>
        <w:ind w:left="0"/>
        <w:rPr>
          <w:rFonts w:cs="Arial"/>
          <w:sz w:val="18"/>
          <w:szCs w:val="18"/>
        </w:rPr>
      </w:pPr>
      <w:r w:rsidRPr="00941DCE">
        <w:rPr>
          <w:rFonts w:cs="Arial"/>
          <w:sz w:val="18"/>
          <w:szCs w:val="18"/>
        </w:rPr>
        <w:t>Cetacean functional hearing groups:</w:t>
      </w:r>
    </w:p>
    <w:p w14:paraId="52447B20" w14:textId="77777777" w:rsidR="00941DCE" w:rsidRPr="00941DCE" w:rsidRDefault="00941DCE" w:rsidP="00941DCE">
      <w:pPr>
        <w:pStyle w:val="ColorfulList-Accent11"/>
        <w:numPr>
          <w:ilvl w:val="0"/>
          <w:numId w:val="164"/>
        </w:numPr>
        <w:rPr>
          <w:rFonts w:cs="Arial"/>
          <w:sz w:val="18"/>
          <w:szCs w:val="18"/>
        </w:rPr>
      </w:pPr>
      <w:r w:rsidRPr="00941DCE">
        <w:rPr>
          <w:rFonts w:cs="Arial"/>
          <w:sz w:val="18"/>
          <w:szCs w:val="18"/>
        </w:rPr>
        <w:t>Low-frequency cetaceans (LFC) – mysticetes (baleen whales, including southern right, blue, humpback and fin whales);</w:t>
      </w:r>
    </w:p>
    <w:p w14:paraId="28344CC0" w14:textId="77777777" w:rsidR="00941DCE" w:rsidRPr="00941DCE" w:rsidRDefault="00941DCE" w:rsidP="00941DCE">
      <w:pPr>
        <w:pStyle w:val="ColorfulList-Accent11"/>
        <w:numPr>
          <w:ilvl w:val="0"/>
          <w:numId w:val="164"/>
        </w:numPr>
        <w:rPr>
          <w:rFonts w:cs="Arial"/>
          <w:sz w:val="18"/>
          <w:szCs w:val="18"/>
        </w:rPr>
      </w:pPr>
      <w:r w:rsidRPr="00941DCE">
        <w:rPr>
          <w:rFonts w:cs="Arial"/>
          <w:sz w:val="18"/>
          <w:szCs w:val="18"/>
        </w:rPr>
        <w:lastRenderedPageBreak/>
        <w:t>Mid-frequency cetaceans (MFC) – some odontocetes (toothed whales and dolphins); and</w:t>
      </w:r>
    </w:p>
    <w:p w14:paraId="79711838" w14:textId="3B6B0B24" w:rsidR="00941DCE" w:rsidRPr="00941DCE" w:rsidRDefault="00941DCE" w:rsidP="00941DCE">
      <w:pPr>
        <w:pStyle w:val="ColorfulList-Accent11"/>
        <w:numPr>
          <w:ilvl w:val="0"/>
          <w:numId w:val="164"/>
        </w:numPr>
        <w:rPr>
          <w:rFonts w:cs="Arial"/>
          <w:sz w:val="18"/>
          <w:szCs w:val="18"/>
        </w:rPr>
      </w:pPr>
      <w:r w:rsidRPr="00941DCE">
        <w:rPr>
          <w:rFonts w:cs="Arial"/>
          <w:sz w:val="18"/>
          <w:szCs w:val="18"/>
        </w:rPr>
        <w:t>High-frequency cetaceans (HFC) – odontocetes specialised for using high</w:t>
      </w:r>
      <w:r w:rsidR="000F5D86">
        <w:rPr>
          <w:rFonts w:cs="Arial"/>
          <w:sz w:val="18"/>
          <w:szCs w:val="18"/>
        </w:rPr>
        <w:t xml:space="preserve"> </w:t>
      </w:r>
      <w:r w:rsidRPr="00941DCE">
        <w:rPr>
          <w:rFonts w:cs="Arial"/>
          <w:sz w:val="18"/>
          <w:szCs w:val="18"/>
        </w:rPr>
        <w:t xml:space="preserve">frequencies (e.g., harbour porpoise and Amazon river dolphin). </w:t>
      </w:r>
    </w:p>
    <w:p w14:paraId="67435844" w14:textId="77777777" w:rsidR="00941DCE" w:rsidRDefault="00941DCE" w:rsidP="00E13BBA">
      <w:pPr>
        <w:ind w:left="0"/>
        <w:rPr>
          <w:rFonts w:ascii="Tahoma" w:hAnsi="Tahoma" w:cs="Arial"/>
          <w:szCs w:val="20"/>
        </w:rPr>
      </w:pPr>
    </w:p>
    <w:p w14:paraId="79830665" w14:textId="77777777" w:rsidR="00493D38" w:rsidRPr="003F25B6" w:rsidRDefault="00493D38" w:rsidP="00493D38">
      <w:pPr>
        <w:spacing w:after="120" w:line="240" w:lineRule="auto"/>
        <w:ind w:left="0"/>
        <w:rPr>
          <w:rFonts w:cs="Arial"/>
          <w:sz w:val="22"/>
          <w:szCs w:val="22"/>
          <w:u w:val="single"/>
        </w:rPr>
      </w:pPr>
      <w:r w:rsidRPr="003F25B6">
        <w:rPr>
          <w:rFonts w:cs="Arial"/>
          <w:sz w:val="22"/>
          <w:szCs w:val="22"/>
          <w:u w:val="single"/>
        </w:rPr>
        <w:t>STLM results</w:t>
      </w:r>
    </w:p>
    <w:p w14:paraId="32993A6B" w14:textId="13E977B2" w:rsidR="00493D38" w:rsidRDefault="00493D38" w:rsidP="00493D38">
      <w:pPr>
        <w:ind w:left="0"/>
        <w:rPr>
          <w:sz w:val="22"/>
          <w:szCs w:val="22"/>
        </w:rPr>
      </w:pPr>
      <w:r w:rsidRPr="00EF4E2A">
        <w:rPr>
          <w:sz w:val="22"/>
          <w:szCs w:val="22"/>
        </w:rPr>
        <w:t>Table 7.1</w:t>
      </w:r>
      <w:r w:rsidR="00005091" w:rsidRPr="00EF4E2A">
        <w:rPr>
          <w:sz w:val="22"/>
          <w:szCs w:val="22"/>
        </w:rPr>
        <w:t>2</w:t>
      </w:r>
      <w:r w:rsidRPr="004F5C0C">
        <w:rPr>
          <w:color w:val="FF0000"/>
          <w:sz w:val="22"/>
          <w:szCs w:val="22"/>
        </w:rPr>
        <w:t xml:space="preserve"> </w:t>
      </w:r>
      <w:r>
        <w:rPr>
          <w:sz w:val="22"/>
          <w:szCs w:val="22"/>
        </w:rPr>
        <w:t xml:space="preserve">presents the STLM predicted ranges for the five modelling sites for the per-pulse effects criteria (maximum-over-depth) and isopleths of interest for cetaceans. </w:t>
      </w:r>
    </w:p>
    <w:p w14:paraId="19C15919" w14:textId="77777777" w:rsidR="00C608A7" w:rsidRDefault="00C608A7">
      <w:pPr>
        <w:spacing w:line="240" w:lineRule="auto"/>
        <w:ind w:left="0"/>
        <w:rPr>
          <w:rFonts w:cs="Arial"/>
          <w:b/>
          <w:sz w:val="20"/>
          <w:szCs w:val="20"/>
        </w:rPr>
      </w:pPr>
    </w:p>
    <w:p w14:paraId="6E013FAC" w14:textId="7EA1AEC4" w:rsidR="00247613" w:rsidRDefault="00247613" w:rsidP="00C608A7">
      <w:pPr>
        <w:spacing w:line="240" w:lineRule="auto"/>
        <w:ind w:left="0"/>
        <w:jc w:val="center"/>
        <w:rPr>
          <w:rFonts w:ascii="Tahoma" w:hAnsi="Tahoma" w:cs="Arial"/>
          <w:szCs w:val="20"/>
        </w:rPr>
      </w:pPr>
      <w:r>
        <w:rPr>
          <w:rFonts w:cs="Arial"/>
          <w:b/>
          <w:sz w:val="20"/>
          <w:szCs w:val="20"/>
        </w:rPr>
        <w:t>Table 7.1</w:t>
      </w:r>
      <w:r w:rsidR="00005091">
        <w:rPr>
          <w:rFonts w:cs="Arial"/>
          <w:b/>
          <w:sz w:val="20"/>
          <w:szCs w:val="20"/>
        </w:rPr>
        <w:t>2</w:t>
      </w:r>
      <w:r>
        <w:rPr>
          <w:rFonts w:cs="Arial"/>
          <w:b/>
          <w:sz w:val="20"/>
          <w:szCs w:val="20"/>
        </w:rPr>
        <w:t>.</w:t>
      </w:r>
      <w:r>
        <w:rPr>
          <w:rFonts w:cs="Arial"/>
          <w:b/>
          <w:sz w:val="20"/>
          <w:szCs w:val="20"/>
        </w:rPr>
        <w:tab/>
      </w:r>
      <w:r w:rsidRPr="008A483F">
        <w:rPr>
          <w:rFonts w:cs="Arial"/>
          <w:b/>
          <w:sz w:val="20"/>
          <w:szCs w:val="20"/>
        </w:rPr>
        <w:t>Maximum</w:t>
      </w:r>
      <w:r w:rsidR="00013584">
        <w:rPr>
          <w:rFonts w:cs="Arial"/>
          <w:b/>
          <w:sz w:val="20"/>
          <w:szCs w:val="20"/>
        </w:rPr>
        <w:t xml:space="preserve"> (R</w:t>
      </w:r>
      <w:r w:rsidR="00013584" w:rsidRPr="00776D14">
        <w:rPr>
          <w:rFonts w:cs="Arial"/>
          <w:b/>
          <w:sz w:val="20"/>
          <w:szCs w:val="20"/>
          <w:vertAlign w:val="subscript"/>
        </w:rPr>
        <w:t>max</w:t>
      </w:r>
      <w:r w:rsidR="00013584">
        <w:rPr>
          <w:rFonts w:cs="Arial"/>
          <w:b/>
          <w:sz w:val="20"/>
          <w:szCs w:val="20"/>
        </w:rPr>
        <w:t>) and 95% (R</w:t>
      </w:r>
      <w:r w:rsidR="00013584" w:rsidRPr="00776D14">
        <w:rPr>
          <w:rFonts w:cs="Arial"/>
          <w:b/>
          <w:sz w:val="20"/>
          <w:szCs w:val="20"/>
          <w:vertAlign w:val="subscript"/>
        </w:rPr>
        <w:t>95%</w:t>
      </w:r>
      <w:r w:rsidR="00013584">
        <w:rPr>
          <w:rFonts w:cs="Arial"/>
          <w:b/>
          <w:sz w:val="20"/>
          <w:szCs w:val="20"/>
        </w:rPr>
        <w:t>) horizontal distances (km) from the source arrays to modelled maximum</w:t>
      </w:r>
      <w:r w:rsidRPr="008A483F">
        <w:rPr>
          <w:rFonts w:cs="Arial"/>
          <w:b/>
          <w:sz w:val="20"/>
          <w:szCs w:val="20"/>
        </w:rPr>
        <w:t xml:space="preserve">-over-depth </w:t>
      </w:r>
      <w:r w:rsidR="00013584">
        <w:rPr>
          <w:rFonts w:cs="Arial"/>
          <w:b/>
          <w:sz w:val="20"/>
          <w:szCs w:val="20"/>
        </w:rPr>
        <w:t xml:space="preserve">DEWHA and NFMA </w:t>
      </w:r>
      <w:r w:rsidR="00776D14">
        <w:rPr>
          <w:rFonts w:cs="Arial"/>
          <w:b/>
          <w:sz w:val="20"/>
          <w:szCs w:val="20"/>
        </w:rPr>
        <w:t>marine mammal be</w:t>
      </w:r>
      <w:r w:rsidR="00353EDD">
        <w:rPr>
          <w:rFonts w:cs="Arial"/>
          <w:b/>
          <w:sz w:val="20"/>
          <w:szCs w:val="20"/>
        </w:rPr>
        <w:t>h</w:t>
      </w:r>
      <w:r w:rsidR="00776D14">
        <w:rPr>
          <w:rFonts w:cs="Arial"/>
          <w:b/>
          <w:sz w:val="20"/>
          <w:szCs w:val="20"/>
        </w:rPr>
        <w:t xml:space="preserve">aviour </w:t>
      </w:r>
      <w:r w:rsidR="00DD0FB6">
        <w:rPr>
          <w:rFonts w:cs="Arial"/>
          <w:b/>
          <w:sz w:val="20"/>
          <w:szCs w:val="20"/>
        </w:rPr>
        <w:t>criteria</w:t>
      </w:r>
    </w:p>
    <w:tbl>
      <w:tblPr>
        <w:tblStyle w:val="TableGrid"/>
        <w:tblW w:w="9085" w:type="dxa"/>
        <w:tblLayout w:type="fixed"/>
        <w:tblLook w:val="04A0" w:firstRow="1" w:lastRow="0" w:firstColumn="1" w:lastColumn="0" w:noHBand="0" w:noVBand="1"/>
      </w:tblPr>
      <w:tblGrid>
        <w:gridCol w:w="1951"/>
        <w:gridCol w:w="713"/>
        <w:gridCol w:w="714"/>
        <w:gridCol w:w="686"/>
        <w:gridCol w:w="741"/>
        <w:gridCol w:w="686"/>
        <w:gridCol w:w="741"/>
        <w:gridCol w:w="686"/>
        <w:gridCol w:w="741"/>
        <w:gridCol w:w="720"/>
        <w:gridCol w:w="706"/>
      </w:tblGrid>
      <w:tr w:rsidR="008F472F" w14:paraId="644641AA" w14:textId="77777777" w:rsidTr="008F472F">
        <w:tc>
          <w:tcPr>
            <w:tcW w:w="1951" w:type="dxa"/>
            <w:vMerge w:val="restart"/>
            <w:shd w:val="clear" w:color="auto" w:fill="064EA8"/>
          </w:tcPr>
          <w:p w14:paraId="3C97D859" w14:textId="1D8F6E65" w:rsidR="008F472F" w:rsidRPr="000D0DBD" w:rsidRDefault="008F472F" w:rsidP="008F472F">
            <w:pPr>
              <w:spacing w:before="60" w:after="60" w:line="240" w:lineRule="auto"/>
              <w:ind w:left="0"/>
              <w:rPr>
                <w:rFonts w:cs="Arial"/>
                <w:color w:val="FFFFFF" w:themeColor="background1"/>
                <w:sz w:val="20"/>
                <w:szCs w:val="20"/>
              </w:rPr>
            </w:pPr>
            <w:r w:rsidRPr="000D0DBD">
              <w:rPr>
                <w:rFonts w:cs="Arial"/>
                <w:color w:val="FFFFFF" w:themeColor="background1"/>
                <w:sz w:val="20"/>
                <w:szCs w:val="20"/>
              </w:rPr>
              <w:t xml:space="preserve">Threshold </w:t>
            </w:r>
          </w:p>
        </w:tc>
        <w:tc>
          <w:tcPr>
            <w:tcW w:w="1427" w:type="dxa"/>
            <w:gridSpan w:val="2"/>
            <w:shd w:val="clear" w:color="auto" w:fill="064EA8"/>
          </w:tcPr>
          <w:p w14:paraId="2869F53D" w14:textId="035A9CC3" w:rsidR="008F472F" w:rsidRPr="000D0DBD" w:rsidRDefault="008F472F" w:rsidP="008F472F">
            <w:pPr>
              <w:spacing w:before="60" w:after="60" w:line="240" w:lineRule="auto"/>
              <w:ind w:left="0"/>
              <w:jc w:val="center"/>
              <w:rPr>
                <w:rFonts w:cs="Arial"/>
                <w:color w:val="FFFFFF" w:themeColor="background1"/>
                <w:sz w:val="20"/>
                <w:szCs w:val="20"/>
              </w:rPr>
            </w:pPr>
            <w:r>
              <w:rPr>
                <w:rFonts w:cs="Arial"/>
                <w:color w:val="FFFFFF" w:themeColor="background1"/>
                <w:sz w:val="20"/>
                <w:szCs w:val="20"/>
              </w:rPr>
              <w:t>Site 1</w:t>
            </w:r>
          </w:p>
        </w:tc>
        <w:tc>
          <w:tcPr>
            <w:tcW w:w="1427" w:type="dxa"/>
            <w:gridSpan w:val="2"/>
            <w:shd w:val="clear" w:color="auto" w:fill="064EA8"/>
          </w:tcPr>
          <w:p w14:paraId="28539990" w14:textId="463C9791" w:rsidR="008F472F" w:rsidRPr="000D0DBD" w:rsidRDefault="008F472F" w:rsidP="008F472F">
            <w:pPr>
              <w:spacing w:before="60" w:after="60" w:line="240" w:lineRule="auto"/>
              <w:ind w:left="0"/>
              <w:jc w:val="center"/>
              <w:rPr>
                <w:rFonts w:cs="Arial"/>
                <w:color w:val="FFFFFF" w:themeColor="background1"/>
                <w:sz w:val="20"/>
                <w:szCs w:val="20"/>
              </w:rPr>
            </w:pPr>
            <w:r>
              <w:rPr>
                <w:rFonts w:cs="Arial"/>
                <w:color w:val="FFFFFF" w:themeColor="background1"/>
                <w:sz w:val="20"/>
                <w:szCs w:val="20"/>
              </w:rPr>
              <w:t>Site 2</w:t>
            </w:r>
          </w:p>
        </w:tc>
        <w:tc>
          <w:tcPr>
            <w:tcW w:w="1427" w:type="dxa"/>
            <w:gridSpan w:val="2"/>
            <w:shd w:val="clear" w:color="auto" w:fill="064EA8"/>
          </w:tcPr>
          <w:p w14:paraId="2A36EAE0" w14:textId="11AE81DB" w:rsidR="008F472F" w:rsidRPr="000D0DBD" w:rsidRDefault="008F472F" w:rsidP="007F492D">
            <w:pPr>
              <w:spacing w:before="60" w:after="60" w:line="240" w:lineRule="auto"/>
              <w:ind w:left="0"/>
              <w:jc w:val="center"/>
              <w:rPr>
                <w:rFonts w:cs="Arial"/>
                <w:color w:val="FFFFFF" w:themeColor="background1"/>
                <w:sz w:val="20"/>
                <w:szCs w:val="20"/>
              </w:rPr>
            </w:pPr>
            <w:r>
              <w:rPr>
                <w:rFonts w:cs="Arial"/>
                <w:color w:val="FFFFFF" w:themeColor="background1"/>
                <w:sz w:val="20"/>
                <w:szCs w:val="20"/>
              </w:rPr>
              <w:t>Site 3</w:t>
            </w:r>
          </w:p>
        </w:tc>
        <w:tc>
          <w:tcPr>
            <w:tcW w:w="1427" w:type="dxa"/>
            <w:gridSpan w:val="2"/>
            <w:shd w:val="clear" w:color="auto" w:fill="064EA8"/>
          </w:tcPr>
          <w:p w14:paraId="17DD6ABF" w14:textId="343C51EE" w:rsidR="008F472F" w:rsidRPr="000D0DBD" w:rsidRDefault="008F472F" w:rsidP="007F492D">
            <w:pPr>
              <w:spacing w:before="60" w:after="60" w:line="240" w:lineRule="auto"/>
              <w:ind w:left="0"/>
              <w:jc w:val="center"/>
              <w:rPr>
                <w:rFonts w:cs="Arial"/>
                <w:color w:val="FFFFFF" w:themeColor="background1"/>
                <w:sz w:val="20"/>
                <w:szCs w:val="20"/>
              </w:rPr>
            </w:pPr>
            <w:r>
              <w:rPr>
                <w:rFonts w:cs="Arial"/>
                <w:color w:val="FFFFFF" w:themeColor="background1"/>
                <w:sz w:val="20"/>
                <w:szCs w:val="20"/>
              </w:rPr>
              <w:t>Site 4</w:t>
            </w:r>
          </w:p>
        </w:tc>
        <w:tc>
          <w:tcPr>
            <w:tcW w:w="1426" w:type="dxa"/>
            <w:gridSpan w:val="2"/>
            <w:shd w:val="clear" w:color="auto" w:fill="064EA8"/>
          </w:tcPr>
          <w:p w14:paraId="2454CCEC" w14:textId="2A9E1B74" w:rsidR="008F472F" w:rsidRPr="000D0DBD" w:rsidRDefault="008F472F" w:rsidP="007F492D">
            <w:pPr>
              <w:spacing w:before="60" w:after="60" w:line="240" w:lineRule="auto"/>
              <w:ind w:left="0"/>
              <w:jc w:val="center"/>
              <w:rPr>
                <w:rFonts w:cs="Arial"/>
                <w:color w:val="FFFFFF" w:themeColor="background1"/>
                <w:sz w:val="20"/>
                <w:szCs w:val="20"/>
              </w:rPr>
            </w:pPr>
            <w:r>
              <w:rPr>
                <w:rFonts w:cs="Arial"/>
                <w:color w:val="FFFFFF" w:themeColor="background1"/>
                <w:sz w:val="20"/>
                <w:szCs w:val="20"/>
              </w:rPr>
              <w:t>Site 5</w:t>
            </w:r>
          </w:p>
        </w:tc>
      </w:tr>
      <w:tr w:rsidR="008F472F" w14:paraId="72DE41D2" w14:textId="77777777" w:rsidTr="008F472F">
        <w:tc>
          <w:tcPr>
            <w:tcW w:w="1951" w:type="dxa"/>
            <w:vMerge/>
            <w:shd w:val="clear" w:color="auto" w:fill="064EA8"/>
          </w:tcPr>
          <w:p w14:paraId="42AFD66C" w14:textId="77777777" w:rsidR="008F472F" w:rsidRPr="000D0DBD" w:rsidRDefault="008F472F" w:rsidP="00247613">
            <w:pPr>
              <w:spacing w:before="60" w:after="60" w:line="240" w:lineRule="auto"/>
              <w:ind w:left="0"/>
              <w:jc w:val="center"/>
              <w:rPr>
                <w:rFonts w:cs="Arial"/>
                <w:color w:val="FFFFFF" w:themeColor="background1"/>
                <w:sz w:val="20"/>
                <w:szCs w:val="20"/>
              </w:rPr>
            </w:pPr>
          </w:p>
        </w:tc>
        <w:tc>
          <w:tcPr>
            <w:tcW w:w="713" w:type="dxa"/>
            <w:shd w:val="clear" w:color="auto" w:fill="064EA8"/>
            <w:vAlign w:val="center"/>
          </w:tcPr>
          <w:p w14:paraId="2D1CCFF0" w14:textId="17ED5220" w:rsidR="008F472F" w:rsidRPr="000D0DBD" w:rsidRDefault="008F472F" w:rsidP="00247613">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714" w:type="dxa"/>
            <w:shd w:val="clear" w:color="auto" w:fill="064EA8"/>
            <w:vAlign w:val="center"/>
          </w:tcPr>
          <w:p w14:paraId="7260DC3E" w14:textId="06744A74" w:rsidR="008F472F" w:rsidRPr="000D0DBD" w:rsidRDefault="008F472F" w:rsidP="00247613">
            <w:pPr>
              <w:spacing w:before="60" w:after="60" w:line="240" w:lineRule="auto"/>
              <w:ind w:left="0"/>
              <w:jc w:val="center"/>
              <w:rPr>
                <w:rFonts w:cs="Arial"/>
                <w:color w:val="FFFFFF" w:themeColor="background1"/>
                <w:sz w:val="20"/>
                <w:szCs w:val="20"/>
              </w:rPr>
            </w:pPr>
            <w:r>
              <w:rPr>
                <w:rFonts w:cs="Arial"/>
                <w:color w:val="FFFFFF" w:themeColor="background1"/>
                <w:sz w:val="20"/>
                <w:szCs w:val="20"/>
              </w:rPr>
              <w:t>R</w:t>
            </w:r>
            <w:r w:rsidRPr="008F472F">
              <w:rPr>
                <w:rFonts w:cs="Arial"/>
                <w:color w:val="FFFFFF" w:themeColor="background1"/>
                <w:sz w:val="20"/>
                <w:szCs w:val="20"/>
                <w:vertAlign w:val="subscript"/>
              </w:rPr>
              <w:t xml:space="preserve">95% </w:t>
            </w:r>
            <w:r w:rsidRPr="000D0DBD">
              <w:rPr>
                <w:rFonts w:cs="Arial"/>
                <w:color w:val="FFFFFF" w:themeColor="background1"/>
                <w:sz w:val="20"/>
                <w:szCs w:val="20"/>
              </w:rPr>
              <w:t>(km)</w:t>
            </w:r>
          </w:p>
        </w:tc>
        <w:tc>
          <w:tcPr>
            <w:tcW w:w="686" w:type="dxa"/>
            <w:shd w:val="clear" w:color="auto" w:fill="064EA8"/>
            <w:vAlign w:val="center"/>
          </w:tcPr>
          <w:p w14:paraId="6EC1D528" w14:textId="03F1E813" w:rsidR="008F472F" w:rsidRPr="000D0DBD" w:rsidRDefault="008F472F" w:rsidP="00247613">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741" w:type="dxa"/>
            <w:shd w:val="clear" w:color="auto" w:fill="064EA8"/>
            <w:vAlign w:val="center"/>
          </w:tcPr>
          <w:p w14:paraId="1D1B5D43" w14:textId="4745B885" w:rsidR="008F472F" w:rsidRPr="000D0DBD" w:rsidRDefault="008F472F" w:rsidP="008F472F">
            <w:pPr>
              <w:spacing w:before="60" w:after="60" w:line="240" w:lineRule="auto"/>
              <w:ind w:left="0"/>
              <w:jc w:val="center"/>
              <w:rPr>
                <w:rFonts w:cs="Arial"/>
                <w:color w:val="FFFFFF" w:themeColor="background1"/>
                <w:sz w:val="20"/>
                <w:szCs w:val="20"/>
              </w:rPr>
            </w:pPr>
            <w:r>
              <w:rPr>
                <w:rFonts w:cs="Arial"/>
                <w:color w:val="FFFFFF" w:themeColor="background1"/>
                <w:sz w:val="20"/>
                <w:szCs w:val="20"/>
              </w:rPr>
              <w:t>R</w:t>
            </w:r>
            <w:r w:rsidRPr="008F472F">
              <w:rPr>
                <w:rFonts w:cs="Arial"/>
                <w:color w:val="FFFFFF" w:themeColor="background1"/>
                <w:sz w:val="20"/>
                <w:szCs w:val="20"/>
                <w:vertAlign w:val="subscript"/>
              </w:rPr>
              <w:t xml:space="preserve">95% </w:t>
            </w:r>
            <w:r w:rsidRPr="000D0DBD">
              <w:rPr>
                <w:rFonts w:cs="Arial"/>
                <w:color w:val="FFFFFF" w:themeColor="background1"/>
                <w:sz w:val="20"/>
                <w:szCs w:val="20"/>
              </w:rPr>
              <w:t>(km)</w:t>
            </w:r>
          </w:p>
        </w:tc>
        <w:tc>
          <w:tcPr>
            <w:tcW w:w="686" w:type="dxa"/>
            <w:shd w:val="clear" w:color="auto" w:fill="064EA8"/>
            <w:vAlign w:val="center"/>
          </w:tcPr>
          <w:p w14:paraId="3DD5A563" w14:textId="77777777" w:rsidR="008F472F" w:rsidRPr="000D0DBD" w:rsidRDefault="008F472F" w:rsidP="00247613">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741" w:type="dxa"/>
            <w:shd w:val="clear" w:color="auto" w:fill="064EA8"/>
            <w:vAlign w:val="center"/>
          </w:tcPr>
          <w:p w14:paraId="48369CD5" w14:textId="609F57C3" w:rsidR="008F472F" w:rsidRPr="000D0DBD" w:rsidRDefault="008F472F" w:rsidP="00247613">
            <w:pPr>
              <w:spacing w:before="60" w:after="60" w:line="240" w:lineRule="auto"/>
              <w:ind w:left="0"/>
              <w:jc w:val="center"/>
              <w:rPr>
                <w:rFonts w:cs="Arial"/>
                <w:color w:val="FFFFFF" w:themeColor="background1"/>
                <w:sz w:val="20"/>
                <w:szCs w:val="20"/>
              </w:rPr>
            </w:pPr>
            <w:r>
              <w:rPr>
                <w:rFonts w:cs="Arial"/>
                <w:color w:val="FFFFFF" w:themeColor="background1"/>
                <w:sz w:val="20"/>
                <w:szCs w:val="20"/>
              </w:rPr>
              <w:t>R</w:t>
            </w:r>
            <w:r w:rsidRPr="008F472F">
              <w:rPr>
                <w:rFonts w:cs="Arial"/>
                <w:color w:val="FFFFFF" w:themeColor="background1"/>
                <w:sz w:val="20"/>
                <w:szCs w:val="20"/>
                <w:vertAlign w:val="subscript"/>
              </w:rPr>
              <w:t xml:space="preserve">95% </w:t>
            </w:r>
            <w:r w:rsidRPr="000D0DBD">
              <w:rPr>
                <w:rFonts w:cs="Arial"/>
                <w:color w:val="FFFFFF" w:themeColor="background1"/>
                <w:sz w:val="20"/>
                <w:szCs w:val="20"/>
              </w:rPr>
              <w:t>(km)</w:t>
            </w:r>
          </w:p>
        </w:tc>
        <w:tc>
          <w:tcPr>
            <w:tcW w:w="686" w:type="dxa"/>
            <w:shd w:val="clear" w:color="auto" w:fill="064EA8"/>
            <w:vAlign w:val="center"/>
          </w:tcPr>
          <w:p w14:paraId="722B775C" w14:textId="77777777" w:rsidR="008F472F" w:rsidRPr="000D0DBD" w:rsidRDefault="008F472F" w:rsidP="00247613">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741" w:type="dxa"/>
            <w:shd w:val="clear" w:color="auto" w:fill="064EA8"/>
            <w:vAlign w:val="center"/>
          </w:tcPr>
          <w:p w14:paraId="088EF86A" w14:textId="26BE80D8" w:rsidR="008F472F" w:rsidRPr="000D0DBD" w:rsidRDefault="008F472F" w:rsidP="00247613">
            <w:pPr>
              <w:spacing w:before="60" w:after="60" w:line="240" w:lineRule="auto"/>
              <w:ind w:left="0"/>
              <w:jc w:val="center"/>
              <w:rPr>
                <w:rFonts w:cs="Arial"/>
                <w:color w:val="FFFFFF" w:themeColor="background1"/>
                <w:sz w:val="20"/>
                <w:szCs w:val="20"/>
              </w:rPr>
            </w:pPr>
            <w:r>
              <w:rPr>
                <w:rFonts w:cs="Arial"/>
                <w:color w:val="FFFFFF" w:themeColor="background1"/>
                <w:sz w:val="20"/>
                <w:szCs w:val="20"/>
              </w:rPr>
              <w:t>R</w:t>
            </w:r>
            <w:r w:rsidRPr="008F472F">
              <w:rPr>
                <w:rFonts w:cs="Arial"/>
                <w:color w:val="FFFFFF" w:themeColor="background1"/>
                <w:sz w:val="20"/>
                <w:szCs w:val="20"/>
                <w:vertAlign w:val="subscript"/>
              </w:rPr>
              <w:t xml:space="preserve">95% </w:t>
            </w:r>
            <w:r w:rsidRPr="000D0DBD">
              <w:rPr>
                <w:rFonts w:cs="Arial"/>
                <w:color w:val="FFFFFF" w:themeColor="background1"/>
                <w:sz w:val="20"/>
                <w:szCs w:val="20"/>
              </w:rPr>
              <w:t>(km)</w:t>
            </w:r>
          </w:p>
        </w:tc>
        <w:tc>
          <w:tcPr>
            <w:tcW w:w="720" w:type="dxa"/>
            <w:shd w:val="clear" w:color="auto" w:fill="064EA8"/>
            <w:vAlign w:val="center"/>
          </w:tcPr>
          <w:p w14:paraId="6FDCB4E0" w14:textId="77777777" w:rsidR="008F472F" w:rsidRPr="000D0DBD" w:rsidRDefault="008F472F" w:rsidP="00247613">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706" w:type="dxa"/>
            <w:shd w:val="clear" w:color="auto" w:fill="064EA8"/>
            <w:vAlign w:val="center"/>
          </w:tcPr>
          <w:p w14:paraId="0113E253" w14:textId="3CCC6FB4" w:rsidR="008F472F" w:rsidRPr="000D0DBD" w:rsidRDefault="008F472F" w:rsidP="00247613">
            <w:pPr>
              <w:spacing w:before="60" w:after="60" w:line="240" w:lineRule="auto"/>
              <w:ind w:left="0"/>
              <w:jc w:val="center"/>
              <w:rPr>
                <w:rFonts w:cs="Arial"/>
                <w:color w:val="FFFFFF" w:themeColor="background1"/>
                <w:sz w:val="20"/>
                <w:szCs w:val="20"/>
              </w:rPr>
            </w:pPr>
            <w:r>
              <w:rPr>
                <w:rFonts w:cs="Arial"/>
                <w:color w:val="FFFFFF" w:themeColor="background1"/>
                <w:sz w:val="20"/>
                <w:szCs w:val="20"/>
              </w:rPr>
              <w:t>R</w:t>
            </w:r>
            <w:r w:rsidRPr="008F472F">
              <w:rPr>
                <w:rFonts w:cs="Arial"/>
                <w:color w:val="FFFFFF" w:themeColor="background1"/>
                <w:sz w:val="20"/>
                <w:szCs w:val="20"/>
                <w:vertAlign w:val="subscript"/>
              </w:rPr>
              <w:t xml:space="preserve">95% </w:t>
            </w:r>
            <w:r w:rsidRPr="000D0DBD">
              <w:rPr>
                <w:rFonts w:cs="Arial"/>
                <w:color w:val="FFFFFF" w:themeColor="background1"/>
                <w:sz w:val="20"/>
                <w:szCs w:val="20"/>
              </w:rPr>
              <w:t>(km)</w:t>
            </w:r>
          </w:p>
        </w:tc>
      </w:tr>
      <w:tr w:rsidR="003E292F" w14:paraId="454352D9" w14:textId="77777777" w:rsidTr="009C090B">
        <w:tc>
          <w:tcPr>
            <w:tcW w:w="1951" w:type="dxa"/>
          </w:tcPr>
          <w:p w14:paraId="25934759" w14:textId="1563A85F" w:rsidR="003E292F" w:rsidRPr="00247613" w:rsidRDefault="003E292F" w:rsidP="005F6E5E">
            <w:pPr>
              <w:spacing w:before="60" w:after="60" w:line="240" w:lineRule="auto"/>
              <w:ind w:left="0"/>
              <w:rPr>
                <w:sz w:val="20"/>
                <w:szCs w:val="20"/>
              </w:rPr>
            </w:pPr>
            <w:r w:rsidRPr="00247613">
              <w:rPr>
                <w:sz w:val="20"/>
                <w:szCs w:val="20"/>
              </w:rPr>
              <w:t xml:space="preserve">DEWHA </w:t>
            </w:r>
            <w:r>
              <w:rPr>
                <w:sz w:val="20"/>
                <w:szCs w:val="20"/>
              </w:rPr>
              <w:t>(2008).</w:t>
            </w:r>
            <w:r w:rsidRPr="00247613">
              <w:rPr>
                <w:sz w:val="20"/>
                <w:szCs w:val="20"/>
              </w:rPr>
              <w:t xml:space="preserve"> Unweighted per-pulse SEL: 160 dB re 1 µPa</w:t>
            </w:r>
            <w:r w:rsidRPr="003E292F">
              <w:rPr>
                <w:sz w:val="20"/>
                <w:szCs w:val="20"/>
                <w:vertAlign w:val="superscript"/>
              </w:rPr>
              <w:t>2</w:t>
            </w:r>
            <w:r w:rsidRPr="00247613">
              <w:rPr>
                <w:sz w:val="20"/>
                <w:szCs w:val="20"/>
              </w:rPr>
              <w:t>·s</w:t>
            </w:r>
          </w:p>
        </w:tc>
        <w:tc>
          <w:tcPr>
            <w:tcW w:w="713" w:type="dxa"/>
            <w:vAlign w:val="center"/>
          </w:tcPr>
          <w:p w14:paraId="1E24D629" w14:textId="26D9E460" w:rsidR="003E292F" w:rsidRPr="005F6E5E" w:rsidRDefault="003E292F" w:rsidP="003E292F">
            <w:pPr>
              <w:spacing w:before="60" w:after="60" w:line="240" w:lineRule="auto"/>
              <w:ind w:left="0"/>
              <w:jc w:val="center"/>
              <w:rPr>
                <w:rFonts w:cs="Arial"/>
                <w:sz w:val="20"/>
                <w:szCs w:val="20"/>
              </w:rPr>
            </w:pPr>
            <w:r w:rsidRPr="003E292F">
              <w:rPr>
                <w:rFonts w:cs="Arial"/>
                <w:sz w:val="20"/>
                <w:szCs w:val="20"/>
              </w:rPr>
              <w:t>3.3</w:t>
            </w:r>
            <w:r w:rsidR="00941DCE">
              <w:rPr>
                <w:rFonts w:cs="Arial"/>
                <w:sz w:val="20"/>
                <w:szCs w:val="20"/>
              </w:rPr>
              <w:t>0</w:t>
            </w:r>
          </w:p>
        </w:tc>
        <w:tc>
          <w:tcPr>
            <w:tcW w:w="714" w:type="dxa"/>
            <w:vAlign w:val="center"/>
          </w:tcPr>
          <w:p w14:paraId="0638988C" w14:textId="1836D470" w:rsidR="003E292F" w:rsidRPr="005F6E5E" w:rsidRDefault="00941DCE" w:rsidP="003E292F">
            <w:pPr>
              <w:spacing w:before="60" w:after="60" w:line="240" w:lineRule="auto"/>
              <w:ind w:left="0"/>
              <w:jc w:val="center"/>
              <w:rPr>
                <w:rFonts w:cs="Arial"/>
                <w:sz w:val="20"/>
                <w:szCs w:val="20"/>
              </w:rPr>
            </w:pPr>
            <w:r>
              <w:rPr>
                <w:rFonts w:cs="Arial"/>
                <w:sz w:val="20"/>
                <w:szCs w:val="20"/>
              </w:rPr>
              <w:t>2.62</w:t>
            </w:r>
          </w:p>
        </w:tc>
        <w:tc>
          <w:tcPr>
            <w:tcW w:w="686" w:type="dxa"/>
            <w:shd w:val="clear" w:color="auto" w:fill="FFFFFF" w:themeFill="background1"/>
            <w:vAlign w:val="center"/>
          </w:tcPr>
          <w:p w14:paraId="4440E86F" w14:textId="42A57345" w:rsidR="003E292F" w:rsidRPr="005F6E5E" w:rsidRDefault="00941DCE" w:rsidP="003E292F">
            <w:pPr>
              <w:spacing w:before="60" w:after="60" w:line="240" w:lineRule="auto"/>
              <w:ind w:left="0"/>
              <w:jc w:val="center"/>
              <w:rPr>
                <w:rFonts w:cs="Arial"/>
                <w:sz w:val="20"/>
                <w:szCs w:val="20"/>
              </w:rPr>
            </w:pPr>
            <w:r>
              <w:rPr>
                <w:rFonts w:cs="Arial"/>
                <w:sz w:val="20"/>
                <w:szCs w:val="20"/>
              </w:rPr>
              <w:t>3.28</w:t>
            </w:r>
          </w:p>
        </w:tc>
        <w:tc>
          <w:tcPr>
            <w:tcW w:w="741" w:type="dxa"/>
            <w:vAlign w:val="center"/>
          </w:tcPr>
          <w:p w14:paraId="0921BF4C" w14:textId="0579CE4F" w:rsidR="003E292F" w:rsidRPr="005F6E5E" w:rsidRDefault="00941DCE" w:rsidP="003E292F">
            <w:pPr>
              <w:spacing w:before="60" w:after="60" w:line="240" w:lineRule="auto"/>
              <w:ind w:left="0"/>
              <w:jc w:val="center"/>
              <w:rPr>
                <w:rFonts w:cs="Arial"/>
                <w:sz w:val="20"/>
                <w:szCs w:val="20"/>
              </w:rPr>
            </w:pPr>
            <w:r>
              <w:rPr>
                <w:rFonts w:cs="Arial"/>
                <w:sz w:val="20"/>
                <w:szCs w:val="20"/>
              </w:rPr>
              <w:t>2.81</w:t>
            </w:r>
          </w:p>
        </w:tc>
        <w:tc>
          <w:tcPr>
            <w:tcW w:w="686" w:type="dxa"/>
            <w:vAlign w:val="center"/>
          </w:tcPr>
          <w:p w14:paraId="6EB47955" w14:textId="689E94DF" w:rsidR="003E292F" w:rsidRPr="005F6E5E" w:rsidRDefault="00941DCE" w:rsidP="003E292F">
            <w:pPr>
              <w:spacing w:before="60" w:after="60" w:line="240" w:lineRule="auto"/>
              <w:ind w:left="0"/>
              <w:jc w:val="center"/>
              <w:rPr>
                <w:rFonts w:cs="Arial"/>
                <w:sz w:val="20"/>
                <w:szCs w:val="20"/>
              </w:rPr>
            </w:pPr>
            <w:r>
              <w:rPr>
                <w:rFonts w:cs="Arial"/>
                <w:sz w:val="20"/>
                <w:szCs w:val="20"/>
              </w:rPr>
              <w:t>3.72</w:t>
            </w:r>
          </w:p>
        </w:tc>
        <w:tc>
          <w:tcPr>
            <w:tcW w:w="741" w:type="dxa"/>
            <w:vAlign w:val="center"/>
          </w:tcPr>
          <w:p w14:paraId="1C9FB0F6" w14:textId="7FEBD7A7" w:rsidR="003E292F" w:rsidRPr="005F6E5E" w:rsidRDefault="00941DCE" w:rsidP="003E292F">
            <w:pPr>
              <w:spacing w:before="60" w:after="60" w:line="240" w:lineRule="auto"/>
              <w:ind w:left="0"/>
              <w:jc w:val="center"/>
              <w:rPr>
                <w:rFonts w:cs="Arial"/>
                <w:sz w:val="20"/>
                <w:szCs w:val="20"/>
              </w:rPr>
            </w:pPr>
            <w:r>
              <w:rPr>
                <w:rFonts w:cs="Arial"/>
                <w:sz w:val="20"/>
                <w:szCs w:val="20"/>
              </w:rPr>
              <w:t>2.93</w:t>
            </w:r>
          </w:p>
        </w:tc>
        <w:tc>
          <w:tcPr>
            <w:tcW w:w="686" w:type="dxa"/>
            <w:shd w:val="clear" w:color="auto" w:fill="FF0000"/>
            <w:vAlign w:val="center"/>
          </w:tcPr>
          <w:p w14:paraId="3554833E" w14:textId="10072A27" w:rsidR="003E292F" w:rsidRPr="005F6E5E" w:rsidRDefault="00941DCE" w:rsidP="003E292F">
            <w:pPr>
              <w:spacing w:before="60" w:after="60" w:line="240" w:lineRule="auto"/>
              <w:ind w:left="0"/>
              <w:jc w:val="center"/>
              <w:rPr>
                <w:rFonts w:cs="Arial"/>
                <w:sz w:val="20"/>
                <w:szCs w:val="20"/>
              </w:rPr>
            </w:pPr>
            <w:r>
              <w:rPr>
                <w:rFonts w:cs="Arial"/>
                <w:sz w:val="20"/>
                <w:szCs w:val="20"/>
              </w:rPr>
              <w:t>3.84</w:t>
            </w:r>
          </w:p>
        </w:tc>
        <w:tc>
          <w:tcPr>
            <w:tcW w:w="741" w:type="dxa"/>
            <w:vAlign w:val="center"/>
          </w:tcPr>
          <w:p w14:paraId="063BAC02" w14:textId="424C82F5" w:rsidR="003E292F" w:rsidRPr="005F6E5E" w:rsidRDefault="00941DCE" w:rsidP="003E292F">
            <w:pPr>
              <w:spacing w:before="60" w:after="60" w:line="240" w:lineRule="auto"/>
              <w:ind w:left="0"/>
              <w:jc w:val="center"/>
              <w:rPr>
                <w:rFonts w:cs="Arial"/>
                <w:sz w:val="20"/>
                <w:szCs w:val="20"/>
              </w:rPr>
            </w:pPr>
            <w:r>
              <w:rPr>
                <w:rFonts w:cs="Arial"/>
                <w:sz w:val="20"/>
                <w:szCs w:val="20"/>
              </w:rPr>
              <w:t>3.17</w:t>
            </w:r>
          </w:p>
        </w:tc>
        <w:tc>
          <w:tcPr>
            <w:tcW w:w="720" w:type="dxa"/>
            <w:vAlign w:val="center"/>
          </w:tcPr>
          <w:p w14:paraId="3A426AF8" w14:textId="34069415" w:rsidR="003E292F" w:rsidRPr="005F6E5E" w:rsidRDefault="00941DCE" w:rsidP="003E292F">
            <w:pPr>
              <w:spacing w:before="60" w:after="60" w:line="240" w:lineRule="auto"/>
              <w:ind w:left="0"/>
              <w:jc w:val="center"/>
              <w:rPr>
                <w:rFonts w:cs="Arial"/>
                <w:sz w:val="20"/>
                <w:szCs w:val="20"/>
              </w:rPr>
            </w:pPr>
            <w:r>
              <w:rPr>
                <w:rFonts w:cs="Arial"/>
                <w:sz w:val="20"/>
                <w:szCs w:val="20"/>
              </w:rPr>
              <w:t>3.72</w:t>
            </w:r>
          </w:p>
        </w:tc>
        <w:tc>
          <w:tcPr>
            <w:tcW w:w="706" w:type="dxa"/>
            <w:vAlign w:val="center"/>
          </w:tcPr>
          <w:p w14:paraId="210E864F" w14:textId="46793316" w:rsidR="003E292F" w:rsidRPr="005F6E5E" w:rsidRDefault="00941DCE" w:rsidP="003E292F">
            <w:pPr>
              <w:spacing w:before="60" w:after="60" w:line="240" w:lineRule="auto"/>
              <w:ind w:left="0"/>
              <w:jc w:val="center"/>
              <w:rPr>
                <w:rFonts w:cs="Arial"/>
                <w:sz w:val="20"/>
                <w:szCs w:val="20"/>
              </w:rPr>
            </w:pPr>
            <w:r>
              <w:rPr>
                <w:rFonts w:cs="Arial"/>
                <w:sz w:val="20"/>
                <w:szCs w:val="20"/>
              </w:rPr>
              <w:t>2.93</w:t>
            </w:r>
          </w:p>
        </w:tc>
      </w:tr>
      <w:tr w:rsidR="003E292F" w14:paraId="05FA6245" w14:textId="77777777" w:rsidTr="009C090B">
        <w:tc>
          <w:tcPr>
            <w:tcW w:w="1951" w:type="dxa"/>
          </w:tcPr>
          <w:p w14:paraId="77BB125C" w14:textId="72B77288" w:rsidR="003E292F" w:rsidRPr="00247613" w:rsidRDefault="003E292F" w:rsidP="005F6E5E">
            <w:pPr>
              <w:spacing w:before="60" w:after="60" w:line="240" w:lineRule="auto"/>
              <w:ind w:left="0"/>
              <w:rPr>
                <w:sz w:val="20"/>
                <w:szCs w:val="20"/>
              </w:rPr>
            </w:pPr>
            <w:r w:rsidRPr="00247613">
              <w:rPr>
                <w:sz w:val="20"/>
                <w:szCs w:val="20"/>
              </w:rPr>
              <w:t xml:space="preserve">NMFS </w:t>
            </w:r>
            <w:r>
              <w:rPr>
                <w:sz w:val="20"/>
                <w:szCs w:val="20"/>
              </w:rPr>
              <w:t>(2013).</w:t>
            </w:r>
            <w:r w:rsidRPr="00247613">
              <w:rPr>
                <w:sz w:val="20"/>
                <w:szCs w:val="20"/>
              </w:rPr>
              <w:t xml:space="preserve"> Marine mammal behaviour, SPL: 160 dB re 1 µPa</w:t>
            </w:r>
          </w:p>
        </w:tc>
        <w:tc>
          <w:tcPr>
            <w:tcW w:w="713" w:type="dxa"/>
            <w:vAlign w:val="center"/>
          </w:tcPr>
          <w:p w14:paraId="5EBC5319" w14:textId="792FDC9D" w:rsidR="003E292F" w:rsidRPr="008F472F" w:rsidRDefault="00941DCE" w:rsidP="003E292F">
            <w:pPr>
              <w:spacing w:before="60" w:after="60" w:line="240" w:lineRule="auto"/>
              <w:ind w:left="0"/>
              <w:jc w:val="center"/>
              <w:rPr>
                <w:rFonts w:cs="Arial"/>
                <w:sz w:val="20"/>
                <w:szCs w:val="20"/>
              </w:rPr>
            </w:pPr>
            <w:r>
              <w:rPr>
                <w:rFonts w:cs="Arial"/>
                <w:sz w:val="20"/>
                <w:szCs w:val="20"/>
              </w:rPr>
              <w:t>6.14</w:t>
            </w:r>
          </w:p>
        </w:tc>
        <w:tc>
          <w:tcPr>
            <w:tcW w:w="714" w:type="dxa"/>
            <w:vAlign w:val="center"/>
          </w:tcPr>
          <w:p w14:paraId="79CCD3B3" w14:textId="44FB4473" w:rsidR="003E292F" w:rsidRPr="008F472F" w:rsidRDefault="00941DCE" w:rsidP="003E292F">
            <w:pPr>
              <w:spacing w:before="60" w:after="60" w:line="240" w:lineRule="auto"/>
              <w:ind w:left="0"/>
              <w:jc w:val="center"/>
              <w:rPr>
                <w:rFonts w:cs="Arial"/>
                <w:sz w:val="20"/>
                <w:szCs w:val="20"/>
              </w:rPr>
            </w:pPr>
            <w:r>
              <w:rPr>
                <w:rFonts w:cs="Arial"/>
                <w:sz w:val="20"/>
                <w:szCs w:val="20"/>
              </w:rPr>
              <w:t>5.07</w:t>
            </w:r>
          </w:p>
        </w:tc>
        <w:tc>
          <w:tcPr>
            <w:tcW w:w="686" w:type="dxa"/>
            <w:shd w:val="clear" w:color="auto" w:fill="FFFFFF" w:themeFill="background1"/>
            <w:vAlign w:val="center"/>
          </w:tcPr>
          <w:p w14:paraId="41E27044" w14:textId="3D4F8653" w:rsidR="003E292F" w:rsidRPr="008F472F" w:rsidRDefault="00941DCE" w:rsidP="003E292F">
            <w:pPr>
              <w:spacing w:before="60" w:after="60" w:line="240" w:lineRule="auto"/>
              <w:ind w:left="0"/>
              <w:jc w:val="center"/>
              <w:rPr>
                <w:rFonts w:cs="Arial"/>
                <w:sz w:val="20"/>
                <w:szCs w:val="20"/>
              </w:rPr>
            </w:pPr>
            <w:r>
              <w:rPr>
                <w:rFonts w:cs="Arial"/>
                <w:sz w:val="20"/>
                <w:szCs w:val="20"/>
              </w:rPr>
              <w:t>6.01</w:t>
            </w:r>
          </w:p>
        </w:tc>
        <w:tc>
          <w:tcPr>
            <w:tcW w:w="741" w:type="dxa"/>
            <w:vAlign w:val="center"/>
          </w:tcPr>
          <w:p w14:paraId="26F9AC75" w14:textId="3E600708" w:rsidR="003E292F" w:rsidRPr="008F472F" w:rsidRDefault="00941DCE" w:rsidP="003E292F">
            <w:pPr>
              <w:spacing w:before="60" w:after="60" w:line="240" w:lineRule="auto"/>
              <w:ind w:left="0"/>
              <w:jc w:val="center"/>
              <w:rPr>
                <w:rFonts w:cs="Arial"/>
                <w:sz w:val="20"/>
                <w:szCs w:val="20"/>
              </w:rPr>
            </w:pPr>
            <w:r>
              <w:rPr>
                <w:rFonts w:cs="Arial"/>
                <w:sz w:val="20"/>
                <w:szCs w:val="20"/>
              </w:rPr>
              <w:t>4.92</w:t>
            </w:r>
          </w:p>
        </w:tc>
        <w:tc>
          <w:tcPr>
            <w:tcW w:w="686" w:type="dxa"/>
            <w:vAlign w:val="center"/>
          </w:tcPr>
          <w:p w14:paraId="5359D07B" w14:textId="27B55C75" w:rsidR="003E292F" w:rsidRPr="008F472F" w:rsidRDefault="00941DCE" w:rsidP="003E292F">
            <w:pPr>
              <w:spacing w:before="60" w:after="60" w:line="240" w:lineRule="auto"/>
              <w:ind w:left="0"/>
              <w:jc w:val="center"/>
              <w:rPr>
                <w:rFonts w:cs="Arial"/>
                <w:sz w:val="20"/>
                <w:szCs w:val="20"/>
              </w:rPr>
            </w:pPr>
            <w:r>
              <w:rPr>
                <w:rFonts w:cs="Arial"/>
                <w:sz w:val="20"/>
                <w:szCs w:val="20"/>
              </w:rPr>
              <w:t>7.48</w:t>
            </w:r>
          </w:p>
        </w:tc>
        <w:tc>
          <w:tcPr>
            <w:tcW w:w="741" w:type="dxa"/>
            <w:vAlign w:val="center"/>
          </w:tcPr>
          <w:p w14:paraId="379FDF91" w14:textId="0D54411E" w:rsidR="003E292F" w:rsidRPr="008F472F" w:rsidRDefault="00941DCE" w:rsidP="003E292F">
            <w:pPr>
              <w:spacing w:before="60" w:after="60" w:line="240" w:lineRule="auto"/>
              <w:ind w:left="0"/>
              <w:jc w:val="center"/>
              <w:rPr>
                <w:rFonts w:cs="Arial"/>
                <w:sz w:val="20"/>
                <w:szCs w:val="20"/>
              </w:rPr>
            </w:pPr>
            <w:r>
              <w:rPr>
                <w:rFonts w:cs="Arial"/>
                <w:sz w:val="20"/>
                <w:szCs w:val="20"/>
              </w:rPr>
              <w:t>5.46</w:t>
            </w:r>
          </w:p>
        </w:tc>
        <w:tc>
          <w:tcPr>
            <w:tcW w:w="686" w:type="dxa"/>
            <w:shd w:val="clear" w:color="auto" w:fill="FF0000"/>
            <w:vAlign w:val="center"/>
          </w:tcPr>
          <w:p w14:paraId="0B509233" w14:textId="56FEC77E" w:rsidR="003E292F" w:rsidRPr="008F472F" w:rsidRDefault="00941DCE" w:rsidP="003E292F">
            <w:pPr>
              <w:spacing w:before="60" w:after="60" w:line="240" w:lineRule="auto"/>
              <w:ind w:left="0"/>
              <w:jc w:val="center"/>
              <w:rPr>
                <w:rFonts w:cs="Arial"/>
                <w:sz w:val="20"/>
                <w:szCs w:val="20"/>
              </w:rPr>
            </w:pPr>
            <w:r>
              <w:rPr>
                <w:rFonts w:cs="Arial"/>
                <w:sz w:val="20"/>
                <w:szCs w:val="20"/>
              </w:rPr>
              <w:t>8.13</w:t>
            </w:r>
          </w:p>
        </w:tc>
        <w:tc>
          <w:tcPr>
            <w:tcW w:w="741" w:type="dxa"/>
            <w:vAlign w:val="center"/>
          </w:tcPr>
          <w:p w14:paraId="2D055DCF" w14:textId="67B672C8" w:rsidR="003E292F" w:rsidRPr="008F472F" w:rsidRDefault="00941DCE" w:rsidP="003E292F">
            <w:pPr>
              <w:spacing w:before="60" w:after="60" w:line="240" w:lineRule="auto"/>
              <w:ind w:left="0"/>
              <w:jc w:val="center"/>
              <w:rPr>
                <w:rFonts w:cs="Arial"/>
                <w:sz w:val="20"/>
                <w:szCs w:val="20"/>
              </w:rPr>
            </w:pPr>
            <w:r>
              <w:rPr>
                <w:rFonts w:cs="Arial"/>
                <w:sz w:val="20"/>
                <w:szCs w:val="20"/>
              </w:rPr>
              <w:t>6.28</w:t>
            </w:r>
          </w:p>
        </w:tc>
        <w:tc>
          <w:tcPr>
            <w:tcW w:w="720" w:type="dxa"/>
            <w:vAlign w:val="center"/>
          </w:tcPr>
          <w:p w14:paraId="41EC9947" w14:textId="4ECD74C1" w:rsidR="003E292F" w:rsidRPr="008F472F" w:rsidRDefault="00941DCE" w:rsidP="003E292F">
            <w:pPr>
              <w:spacing w:before="60" w:after="60" w:line="240" w:lineRule="auto"/>
              <w:ind w:left="0"/>
              <w:jc w:val="center"/>
              <w:rPr>
                <w:rFonts w:cs="Arial"/>
                <w:sz w:val="20"/>
                <w:szCs w:val="20"/>
              </w:rPr>
            </w:pPr>
            <w:r>
              <w:rPr>
                <w:rFonts w:cs="Arial"/>
                <w:sz w:val="20"/>
                <w:szCs w:val="20"/>
              </w:rPr>
              <w:t>6.68</w:t>
            </w:r>
          </w:p>
        </w:tc>
        <w:tc>
          <w:tcPr>
            <w:tcW w:w="706" w:type="dxa"/>
            <w:vAlign w:val="center"/>
          </w:tcPr>
          <w:p w14:paraId="2CC112C9" w14:textId="1FFEEE33" w:rsidR="003E292F" w:rsidRPr="008F472F" w:rsidRDefault="00941DCE" w:rsidP="003E292F">
            <w:pPr>
              <w:spacing w:before="60" w:after="60" w:line="240" w:lineRule="auto"/>
              <w:ind w:left="0"/>
              <w:jc w:val="center"/>
              <w:rPr>
                <w:rFonts w:cs="Arial"/>
                <w:sz w:val="20"/>
                <w:szCs w:val="20"/>
              </w:rPr>
            </w:pPr>
            <w:r>
              <w:rPr>
                <w:rFonts w:cs="Arial"/>
                <w:sz w:val="20"/>
                <w:szCs w:val="20"/>
              </w:rPr>
              <w:t>5.32</w:t>
            </w:r>
          </w:p>
        </w:tc>
      </w:tr>
    </w:tbl>
    <w:p w14:paraId="173E34F5" w14:textId="690C836F" w:rsidR="00133C7F" w:rsidRPr="001D2756" w:rsidRDefault="001D2756" w:rsidP="00D0278A">
      <w:pPr>
        <w:ind w:left="0"/>
        <w:rPr>
          <w:i/>
          <w:sz w:val="18"/>
          <w:szCs w:val="18"/>
        </w:rPr>
      </w:pPr>
      <w:r w:rsidRPr="001D2756">
        <w:rPr>
          <w:i/>
          <w:sz w:val="18"/>
          <w:szCs w:val="18"/>
        </w:rPr>
        <w:t>Cells highlighted in red indicate maximum predicted exten</w:t>
      </w:r>
      <w:r w:rsidR="00A24FEE">
        <w:rPr>
          <w:i/>
          <w:sz w:val="18"/>
          <w:szCs w:val="18"/>
        </w:rPr>
        <w:t>t</w:t>
      </w:r>
      <w:r w:rsidRPr="001D2756">
        <w:rPr>
          <w:i/>
          <w:sz w:val="18"/>
          <w:szCs w:val="18"/>
        </w:rPr>
        <w:t xml:space="preserve"> of sound.</w:t>
      </w:r>
    </w:p>
    <w:p w14:paraId="438807C5" w14:textId="77777777" w:rsidR="00133C7F" w:rsidRDefault="00133C7F" w:rsidP="00133C7F">
      <w:pPr>
        <w:rPr>
          <w:sz w:val="22"/>
          <w:szCs w:val="22"/>
        </w:rPr>
      </w:pPr>
    </w:p>
    <w:p w14:paraId="057A176D" w14:textId="1BBAA3DE" w:rsidR="00410A78" w:rsidRDefault="00D0278A" w:rsidP="00711D8B">
      <w:pPr>
        <w:spacing w:after="240" w:line="240" w:lineRule="auto"/>
        <w:ind w:left="0"/>
        <w:rPr>
          <w:sz w:val="22"/>
          <w:szCs w:val="22"/>
        </w:rPr>
      </w:pPr>
      <w:r w:rsidRPr="00EF4E2A">
        <w:rPr>
          <w:sz w:val="22"/>
          <w:szCs w:val="22"/>
        </w:rPr>
        <w:t>Table 7.1</w:t>
      </w:r>
      <w:r w:rsidR="00005091" w:rsidRPr="00EF4E2A">
        <w:rPr>
          <w:sz w:val="22"/>
          <w:szCs w:val="22"/>
        </w:rPr>
        <w:t>3</w:t>
      </w:r>
      <w:r w:rsidRPr="004F5C0C">
        <w:rPr>
          <w:color w:val="FF0000"/>
          <w:sz w:val="22"/>
          <w:szCs w:val="22"/>
        </w:rPr>
        <w:t xml:space="preserve"> </w:t>
      </w:r>
      <w:r w:rsidRPr="00811096">
        <w:rPr>
          <w:sz w:val="22"/>
          <w:szCs w:val="22"/>
        </w:rPr>
        <w:t>presents</w:t>
      </w:r>
      <w:r>
        <w:rPr>
          <w:sz w:val="22"/>
          <w:szCs w:val="22"/>
        </w:rPr>
        <w:t xml:space="preserve"> the STLM predicted ranges for the five modelling sites for the per-pulse effects criteria (seafloor </w:t>
      </w:r>
      <w:r w:rsidR="009C090B">
        <w:rPr>
          <w:sz w:val="22"/>
          <w:szCs w:val="22"/>
        </w:rPr>
        <w:t>PK</w:t>
      </w:r>
      <w:r>
        <w:rPr>
          <w:sz w:val="22"/>
          <w:szCs w:val="22"/>
        </w:rPr>
        <w:t xml:space="preserve"> levels) and isopleths of interest for cetaceans. </w:t>
      </w:r>
    </w:p>
    <w:p w14:paraId="64FB6A28" w14:textId="5FC6FF0B" w:rsidR="00493D38" w:rsidRPr="0097042F" w:rsidRDefault="00493D38" w:rsidP="00891DE1">
      <w:pPr>
        <w:spacing w:after="240"/>
        <w:ind w:left="0"/>
        <w:rPr>
          <w:rFonts w:cs="Arial"/>
          <w:sz w:val="22"/>
          <w:szCs w:val="22"/>
        </w:rPr>
      </w:pPr>
      <w:r w:rsidRPr="0097042F">
        <w:rPr>
          <w:rFonts w:cs="Arial"/>
          <w:sz w:val="22"/>
          <w:szCs w:val="22"/>
        </w:rPr>
        <w:t xml:space="preserve">Marine mammals could experience PTS based on the criteria applied </w:t>
      </w:r>
      <w:r w:rsidRPr="0097042F">
        <w:rPr>
          <w:rFonts w:cs="Arial"/>
          <w:sz w:val="22"/>
          <w:szCs w:val="22"/>
        </w:rPr>
        <w:fldChar w:fldCharType="begin"/>
      </w:r>
      <w:r w:rsidRPr="0097042F">
        <w:rPr>
          <w:rFonts w:cs="Arial"/>
          <w:sz w:val="22"/>
          <w:szCs w:val="22"/>
        </w:rPr>
        <w:instrText xml:space="preserve"> ADDIN EN.CITE &lt;EndNote&gt;&lt;Cite ExcludeAuth="1"&gt;&lt;Author&gt;[NMFS] National Marine Fisheries Service&lt;/Author&gt;&lt;Year&gt;2016&lt;/Year&gt;&lt;RecNum&gt;23705&lt;/RecNum&gt;&lt;Prefix&gt;NMFS &lt;/Prefix&gt;&lt;DisplayText&gt;(NMFS 2016)&lt;/DisplayText&gt;&lt;record&gt;&lt;rec-number&gt;23705&lt;/rec-number&gt;&lt;foreign-keys&gt;&lt;key app="EN" db-id="avrwfx0posesv7e0p5ixzsx0ssp0v09v222p" timestamp="1470765598"&gt;23705&lt;/key&gt;&lt;/foreign-keys&gt;&lt;ref-type name="Government Document"&gt;46&lt;/ref-type&gt;&lt;contributors&gt;&lt;authors&gt;&lt;author&gt;[NMFS] National Marine Fisheries Service,&lt;/author&gt;&lt;/authors&gt;&lt;/contributors&gt;&lt;titles&gt;&lt;title&gt;Technical Guidance for Assessing the Effects of Anthropogenic Sound on Marine Mammal Hearing: Underwater Acoustic Thresholds for Onset of Permanent and Temporary Threshold Shifts&lt;/title&gt;&lt;/titles&gt;&lt;pages&gt;178&lt;/pages&gt;&lt;dates&gt;&lt;year&gt;2016&lt;/year&gt;&lt;/dates&gt;&lt;publisher&gt;U.S. Department of Commerce, NOAA. NOAA Technical Memorandum NMFS-OPR-55&lt;/publisher&gt;&lt;urls&gt;&lt;related-urls&gt;&lt;url&gt;http://www.nmfs.noaa.gov/pr/acoustics/Acoustic%20Guidance%20Files/opr-55_acoustic_guidance_tech_memo.pdf&lt;/url&gt;&lt;/related-urls&gt;&lt;/urls&gt;&lt;/record&gt;&lt;/Cite&gt;&lt;/EndNote&gt;</w:instrText>
      </w:r>
      <w:r w:rsidRPr="0097042F">
        <w:rPr>
          <w:rFonts w:cs="Arial"/>
          <w:sz w:val="22"/>
          <w:szCs w:val="22"/>
        </w:rPr>
        <w:fldChar w:fldCharType="separate"/>
      </w:r>
      <w:r w:rsidRPr="0097042F">
        <w:rPr>
          <w:rFonts w:cs="Arial"/>
          <w:sz w:val="22"/>
          <w:szCs w:val="22"/>
        </w:rPr>
        <w:t>(</w:t>
      </w:r>
      <w:hyperlink w:anchor="_ENREF_6" w:tooltip="[NMFS] National Marine Fisheries Service, 2016 #23705" w:history="1">
        <w:r w:rsidRPr="0097042F">
          <w:rPr>
            <w:rFonts w:cs="Arial"/>
            <w:sz w:val="22"/>
            <w:szCs w:val="22"/>
          </w:rPr>
          <w:t>NMFS</w:t>
        </w:r>
        <w:r>
          <w:rPr>
            <w:rFonts w:cs="Arial"/>
            <w:sz w:val="22"/>
            <w:szCs w:val="22"/>
          </w:rPr>
          <w:t>,</w:t>
        </w:r>
        <w:r w:rsidRPr="0097042F">
          <w:rPr>
            <w:rFonts w:cs="Arial"/>
            <w:sz w:val="22"/>
            <w:szCs w:val="22"/>
          </w:rPr>
          <w:t xml:space="preserve"> 2016</w:t>
        </w:r>
      </w:hyperlink>
      <w:r w:rsidRPr="0097042F">
        <w:rPr>
          <w:rFonts w:cs="Arial"/>
          <w:sz w:val="22"/>
          <w:szCs w:val="22"/>
        </w:rPr>
        <w:t>)</w:t>
      </w:r>
      <w:r w:rsidRPr="0097042F">
        <w:rPr>
          <w:rFonts w:cs="Arial"/>
          <w:sz w:val="22"/>
          <w:szCs w:val="22"/>
        </w:rPr>
        <w:fldChar w:fldCharType="end"/>
      </w:r>
      <w:r w:rsidRPr="0097042F">
        <w:rPr>
          <w:rFonts w:cs="Arial"/>
          <w:sz w:val="22"/>
          <w:szCs w:val="22"/>
        </w:rPr>
        <w:t xml:space="preserve">. This is a dual metric criterion, requiring consideration of both PK and accumulated SEL. The peak pressure criteria were exceeded at a maximum horizontal distance of 60 m for </w:t>
      </w:r>
      <w:r>
        <w:rPr>
          <w:rFonts w:cs="Arial"/>
          <w:sz w:val="22"/>
          <w:szCs w:val="22"/>
        </w:rPr>
        <w:t>LFC</w:t>
      </w:r>
      <w:r w:rsidRPr="0097042F">
        <w:rPr>
          <w:rFonts w:cs="Arial"/>
          <w:sz w:val="22"/>
          <w:szCs w:val="22"/>
        </w:rPr>
        <w:t xml:space="preserve">, within 15 m for </w:t>
      </w:r>
      <w:r>
        <w:rPr>
          <w:rFonts w:cs="Arial"/>
          <w:sz w:val="22"/>
          <w:szCs w:val="22"/>
        </w:rPr>
        <w:t>MFC and</w:t>
      </w:r>
      <w:r w:rsidRPr="0097042F">
        <w:rPr>
          <w:rFonts w:cs="Arial"/>
          <w:sz w:val="22"/>
          <w:szCs w:val="22"/>
        </w:rPr>
        <w:t xml:space="preserve"> 540 m for </w:t>
      </w:r>
      <w:r>
        <w:rPr>
          <w:rFonts w:cs="Arial"/>
          <w:sz w:val="22"/>
          <w:szCs w:val="22"/>
        </w:rPr>
        <w:t>HFC</w:t>
      </w:r>
      <w:r w:rsidRPr="0097042F">
        <w:rPr>
          <w:rFonts w:cs="Arial"/>
          <w:sz w:val="22"/>
          <w:szCs w:val="22"/>
        </w:rPr>
        <w:t>. Distances are from the centre of the array, but as the array is not a point source (8 </w:t>
      </w:r>
      <w:r>
        <w:rPr>
          <w:rFonts w:cs="Arial"/>
          <w:sz w:val="22"/>
          <w:szCs w:val="22"/>
        </w:rPr>
        <w:t>x</w:t>
      </w:r>
      <w:r w:rsidRPr="0097042F">
        <w:rPr>
          <w:rFonts w:cs="Arial"/>
          <w:sz w:val="22"/>
          <w:szCs w:val="22"/>
        </w:rPr>
        <w:t xml:space="preserve"> 14 m), the actual ranges from the edge of the airgun array are small for all but </w:t>
      </w:r>
      <w:r w:rsidR="004F5C0C">
        <w:rPr>
          <w:rFonts w:cs="Arial"/>
          <w:sz w:val="22"/>
          <w:szCs w:val="22"/>
        </w:rPr>
        <w:t>HFC</w:t>
      </w:r>
      <w:r w:rsidRPr="0097042F">
        <w:rPr>
          <w:rFonts w:cs="Arial"/>
          <w:sz w:val="22"/>
          <w:szCs w:val="22"/>
        </w:rPr>
        <w:t>. The maximum distances are all associated with Site 1.</w:t>
      </w:r>
    </w:p>
    <w:p w14:paraId="37E15D41" w14:textId="622D4F7E" w:rsidR="00410A78" w:rsidRPr="006E2F1B" w:rsidRDefault="00410A78" w:rsidP="00410A78">
      <w:pPr>
        <w:spacing w:after="120" w:line="240" w:lineRule="auto"/>
        <w:ind w:left="0"/>
        <w:jc w:val="center"/>
        <w:rPr>
          <w:rFonts w:cs="Arial"/>
          <w:b/>
          <w:sz w:val="20"/>
          <w:szCs w:val="20"/>
          <w:specVanish/>
        </w:rPr>
      </w:pPr>
      <w:r>
        <w:rPr>
          <w:rFonts w:cs="Arial"/>
          <w:b/>
          <w:sz w:val="20"/>
          <w:szCs w:val="20"/>
        </w:rPr>
        <w:t>Table 7.</w:t>
      </w:r>
      <w:r w:rsidR="00776D14">
        <w:rPr>
          <w:rFonts w:cs="Arial"/>
          <w:b/>
          <w:sz w:val="20"/>
          <w:szCs w:val="20"/>
        </w:rPr>
        <w:t>1</w:t>
      </w:r>
      <w:r w:rsidR="00005091">
        <w:rPr>
          <w:rFonts w:cs="Arial"/>
          <w:b/>
          <w:sz w:val="20"/>
          <w:szCs w:val="20"/>
        </w:rPr>
        <w:t>3</w:t>
      </w:r>
      <w:r>
        <w:rPr>
          <w:rFonts w:cs="Arial"/>
          <w:b/>
          <w:sz w:val="20"/>
          <w:szCs w:val="20"/>
        </w:rPr>
        <w:t>.</w:t>
      </w:r>
      <w:r>
        <w:rPr>
          <w:rFonts w:cs="Arial"/>
          <w:b/>
          <w:sz w:val="20"/>
          <w:szCs w:val="20"/>
        </w:rPr>
        <w:tab/>
      </w:r>
      <w:r w:rsidRPr="006E2F1B">
        <w:rPr>
          <w:rFonts w:cs="Arial"/>
          <w:b/>
          <w:sz w:val="20"/>
          <w:szCs w:val="20"/>
        </w:rPr>
        <w:t>Maximum (R</w:t>
      </w:r>
      <w:r w:rsidRPr="006E2F1B">
        <w:rPr>
          <w:rFonts w:cs="Arial"/>
          <w:b/>
          <w:sz w:val="20"/>
          <w:szCs w:val="20"/>
          <w:vertAlign w:val="subscript"/>
        </w:rPr>
        <w:t>max</w:t>
      </w:r>
      <w:r w:rsidRPr="006E2F1B">
        <w:rPr>
          <w:rFonts w:cs="Arial"/>
          <w:b/>
          <w:sz w:val="20"/>
          <w:szCs w:val="20"/>
        </w:rPr>
        <w:t xml:space="preserve">) horizontal distances from the </w:t>
      </w:r>
      <w:r>
        <w:rPr>
          <w:rFonts w:cs="Arial"/>
          <w:b/>
          <w:sz w:val="20"/>
          <w:szCs w:val="20"/>
        </w:rPr>
        <w:t>source</w:t>
      </w:r>
      <w:r w:rsidRPr="006E2F1B">
        <w:rPr>
          <w:rFonts w:cs="Arial"/>
          <w:b/>
          <w:sz w:val="20"/>
          <w:szCs w:val="20"/>
        </w:rPr>
        <w:t xml:space="preserve"> array to modelled seafloor PK levels from four transects</w:t>
      </w:r>
      <w:r>
        <w:rPr>
          <w:rFonts w:cs="Arial"/>
          <w:b/>
          <w:sz w:val="20"/>
          <w:szCs w:val="20"/>
        </w:rPr>
        <w:t xml:space="preserve"> for </w:t>
      </w:r>
      <w:r w:rsidR="00746136">
        <w:rPr>
          <w:rFonts w:cs="Arial"/>
          <w:b/>
          <w:sz w:val="20"/>
          <w:szCs w:val="20"/>
        </w:rPr>
        <w:t>cetaceans</w:t>
      </w:r>
    </w:p>
    <w:tbl>
      <w:tblPr>
        <w:tblStyle w:val="TableGrid"/>
        <w:tblW w:w="8331" w:type="dxa"/>
        <w:tblLook w:val="04A0" w:firstRow="1" w:lastRow="0" w:firstColumn="1" w:lastColumn="0" w:noHBand="0" w:noVBand="1"/>
      </w:tblPr>
      <w:tblGrid>
        <w:gridCol w:w="959"/>
        <w:gridCol w:w="2126"/>
        <w:gridCol w:w="992"/>
        <w:gridCol w:w="993"/>
        <w:gridCol w:w="1134"/>
        <w:gridCol w:w="992"/>
        <w:gridCol w:w="1135"/>
      </w:tblGrid>
      <w:tr w:rsidR="00410A78" w14:paraId="674E18B4" w14:textId="77777777" w:rsidTr="00410A78">
        <w:tc>
          <w:tcPr>
            <w:tcW w:w="959" w:type="dxa"/>
            <w:vMerge w:val="restart"/>
            <w:shd w:val="clear" w:color="auto" w:fill="064EA8"/>
          </w:tcPr>
          <w:p w14:paraId="5BC36A57" w14:textId="4D11FF6D" w:rsidR="00410A78" w:rsidRPr="000362BD" w:rsidRDefault="00DB2EAF" w:rsidP="00410A78">
            <w:pPr>
              <w:spacing w:before="60" w:after="60" w:line="240" w:lineRule="auto"/>
              <w:ind w:left="0"/>
              <w:rPr>
                <w:rFonts w:cs="Arial"/>
                <w:color w:val="FFFFFF" w:themeColor="background1"/>
                <w:sz w:val="20"/>
                <w:szCs w:val="20"/>
              </w:rPr>
            </w:pPr>
            <w:r>
              <w:rPr>
                <w:rFonts w:cs="Arial"/>
                <w:color w:val="FFFFFF" w:themeColor="background1"/>
                <w:sz w:val="20"/>
                <w:szCs w:val="20"/>
              </w:rPr>
              <w:t>Group</w:t>
            </w:r>
          </w:p>
        </w:tc>
        <w:tc>
          <w:tcPr>
            <w:tcW w:w="2126" w:type="dxa"/>
            <w:vMerge w:val="restart"/>
            <w:shd w:val="clear" w:color="auto" w:fill="064EA8"/>
          </w:tcPr>
          <w:p w14:paraId="72D382BD" w14:textId="77777777" w:rsidR="00410A78" w:rsidRPr="009E683A" w:rsidRDefault="00410A78" w:rsidP="00410A78">
            <w:pPr>
              <w:spacing w:before="60" w:after="60"/>
              <w:ind w:left="0"/>
              <w:jc w:val="center"/>
              <w:rPr>
                <w:rFonts w:cs="Arial"/>
                <w:color w:val="FFFFFF" w:themeColor="background1"/>
                <w:sz w:val="20"/>
                <w:szCs w:val="20"/>
              </w:rPr>
            </w:pPr>
            <w:r w:rsidRPr="005723CF">
              <w:rPr>
                <w:color w:val="FFFFFF" w:themeColor="background1"/>
                <w:sz w:val="20"/>
                <w:szCs w:val="20"/>
              </w:rPr>
              <w:t xml:space="preserve">Peak pressure level </w:t>
            </w:r>
            <w:r>
              <w:rPr>
                <w:color w:val="FFFFFF" w:themeColor="background1"/>
                <w:sz w:val="20"/>
                <w:szCs w:val="20"/>
              </w:rPr>
              <w:br/>
            </w:r>
            <w:r w:rsidRPr="005723CF">
              <w:rPr>
                <w:color w:val="FFFFFF" w:themeColor="background1"/>
                <w:sz w:val="20"/>
                <w:szCs w:val="20"/>
              </w:rPr>
              <w:t>(dB re 1 μPa @ 1 m)</w:t>
            </w:r>
          </w:p>
        </w:tc>
        <w:tc>
          <w:tcPr>
            <w:tcW w:w="5246" w:type="dxa"/>
            <w:gridSpan w:val="5"/>
            <w:shd w:val="clear" w:color="auto" w:fill="064EA8"/>
          </w:tcPr>
          <w:p w14:paraId="374B8585" w14:textId="77777777" w:rsidR="00410A78" w:rsidRPr="009E683A" w:rsidRDefault="00410A78" w:rsidP="00410A78">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Distance R</w:t>
            </w:r>
            <w:r>
              <w:rPr>
                <w:rFonts w:cs="Arial"/>
                <w:color w:val="FFFFFF" w:themeColor="background1"/>
                <w:sz w:val="20"/>
                <w:szCs w:val="20"/>
                <w:vertAlign w:val="subscript"/>
              </w:rPr>
              <w:t>max</w:t>
            </w:r>
            <w:r w:rsidRPr="009E683A">
              <w:rPr>
                <w:rFonts w:cs="Arial"/>
                <w:color w:val="FFFFFF" w:themeColor="background1"/>
                <w:sz w:val="20"/>
                <w:szCs w:val="20"/>
              </w:rPr>
              <w:t xml:space="preserve"> (m)</w:t>
            </w:r>
          </w:p>
        </w:tc>
      </w:tr>
      <w:tr w:rsidR="00410A78" w14:paraId="501CF3CB" w14:textId="77777777" w:rsidTr="00410A78">
        <w:tc>
          <w:tcPr>
            <w:tcW w:w="959" w:type="dxa"/>
            <w:vMerge/>
            <w:shd w:val="clear" w:color="auto" w:fill="064EA8"/>
          </w:tcPr>
          <w:p w14:paraId="3A16A5FB" w14:textId="77777777" w:rsidR="00410A78" w:rsidRPr="005723CF" w:rsidRDefault="00410A78" w:rsidP="00410A78">
            <w:pPr>
              <w:spacing w:before="60" w:after="60" w:line="240" w:lineRule="auto"/>
              <w:ind w:left="0"/>
              <w:rPr>
                <w:color w:val="FFFFFF" w:themeColor="background1"/>
                <w:sz w:val="20"/>
                <w:szCs w:val="20"/>
              </w:rPr>
            </w:pPr>
          </w:p>
        </w:tc>
        <w:tc>
          <w:tcPr>
            <w:tcW w:w="2126" w:type="dxa"/>
            <w:vMerge/>
            <w:shd w:val="clear" w:color="auto" w:fill="064EA8"/>
          </w:tcPr>
          <w:p w14:paraId="11EA59F0" w14:textId="77777777" w:rsidR="00410A78" w:rsidRPr="009E683A" w:rsidRDefault="00410A78" w:rsidP="00410A78">
            <w:pPr>
              <w:spacing w:before="60" w:after="60" w:line="240" w:lineRule="auto"/>
              <w:ind w:left="0"/>
              <w:jc w:val="center"/>
              <w:rPr>
                <w:rFonts w:cs="Arial"/>
                <w:color w:val="FFFFFF" w:themeColor="background1"/>
                <w:sz w:val="20"/>
                <w:szCs w:val="20"/>
              </w:rPr>
            </w:pPr>
          </w:p>
        </w:tc>
        <w:tc>
          <w:tcPr>
            <w:tcW w:w="992" w:type="dxa"/>
            <w:shd w:val="clear" w:color="auto" w:fill="064EA8"/>
          </w:tcPr>
          <w:p w14:paraId="6689182A" w14:textId="77777777" w:rsidR="00410A78" w:rsidRPr="009E683A" w:rsidRDefault="00410A78" w:rsidP="00410A78">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1</w:t>
            </w:r>
          </w:p>
        </w:tc>
        <w:tc>
          <w:tcPr>
            <w:tcW w:w="993" w:type="dxa"/>
            <w:shd w:val="clear" w:color="auto" w:fill="064EA8"/>
          </w:tcPr>
          <w:p w14:paraId="3470E424" w14:textId="77777777" w:rsidR="00410A78" w:rsidRPr="009E683A" w:rsidRDefault="00410A78" w:rsidP="00410A78">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2</w:t>
            </w:r>
          </w:p>
        </w:tc>
        <w:tc>
          <w:tcPr>
            <w:tcW w:w="1134" w:type="dxa"/>
            <w:shd w:val="clear" w:color="auto" w:fill="064EA8"/>
          </w:tcPr>
          <w:p w14:paraId="69ED0D98" w14:textId="77777777" w:rsidR="00410A78" w:rsidRPr="009E683A" w:rsidRDefault="00410A78" w:rsidP="00410A78">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3</w:t>
            </w:r>
          </w:p>
        </w:tc>
        <w:tc>
          <w:tcPr>
            <w:tcW w:w="992" w:type="dxa"/>
            <w:shd w:val="clear" w:color="auto" w:fill="064EA8"/>
          </w:tcPr>
          <w:p w14:paraId="462F7C3A" w14:textId="77777777" w:rsidR="00410A78" w:rsidRPr="009E683A" w:rsidRDefault="00410A78" w:rsidP="00410A78">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4</w:t>
            </w:r>
          </w:p>
        </w:tc>
        <w:tc>
          <w:tcPr>
            <w:tcW w:w="1135" w:type="dxa"/>
            <w:shd w:val="clear" w:color="auto" w:fill="064EA8"/>
          </w:tcPr>
          <w:p w14:paraId="26BD8826" w14:textId="77777777" w:rsidR="00410A78" w:rsidRPr="009E683A" w:rsidRDefault="00410A78" w:rsidP="00410A78">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5</w:t>
            </w:r>
          </w:p>
        </w:tc>
      </w:tr>
      <w:tr w:rsidR="00776D14" w14:paraId="341EBA19" w14:textId="77777777" w:rsidTr="007372B8">
        <w:tc>
          <w:tcPr>
            <w:tcW w:w="959" w:type="dxa"/>
          </w:tcPr>
          <w:p w14:paraId="18AE863C" w14:textId="12B198DA" w:rsidR="00776D14" w:rsidRDefault="00776D14" w:rsidP="00410A78">
            <w:pPr>
              <w:spacing w:before="60" w:after="60" w:line="240" w:lineRule="auto"/>
              <w:ind w:left="0"/>
              <w:rPr>
                <w:rFonts w:cs="Arial"/>
                <w:sz w:val="20"/>
                <w:szCs w:val="20"/>
              </w:rPr>
            </w:pPr>
            <w:r>
              <w:rPr>
                <w:rFonts w:cs="Arial"/>
                <w:sz w:val="20"/>
                <w:szCs w:val="20"/>
              </w:rPr>
              <w:t>LFC</w:t>
            </w:r>
          </w:p>
        </w:tc>
        <w:tc>
          <w:tcPr>
            <w:tcW w:w="2126" w:type="dxa"/>
            <w:vAlign w:val="center"/>
          </w:tcPr>
          <w:p w14:paraId="7A606138" w14:textId="70DA1921" w:rsidR="00776D14" w:rsidRDefault="00776D14" w:rsidP="00410A78">
            <w:pPr>
              <w:spacing w:before="60" w:after="60" w:line="240" w:lineRule="auto"/>
              <w:ind w:left="0"/>
              <w:jc w:val="center"/>
              <w:rPr>
                <w:rFonts w:cs="Arial"/>
                <w:sz w:val="20"/>
                <w:szCs w:val="20"/>
              </w:rPr>
            </w:pPr>
            <w:r>
              <w:rPr>
                <w:rFonts w:cs="Arial"/>
                <w:sz w:val="20"/>
                <w:szCs w:val="20"/>
              </w:rPr>
              <w:t>219</w:t>
            </w:r>
          </w:p>
        </w:tc>
        <w:tc>
          <w:tcPr>
            <w:tcW w:w="992" w:type="dxa"/>
            <w:shd w:val="clear" w:color="auto" w:fill="FF0000"/>
            <w:vAlign w:val="center"/>
          </w:tcPr>
          <w:p w14:paraId="5E7E8EBD" w14:textId="3A28E516" w:rsidR="00776D14" w:rsidRPr="009E683A" w:rsidRDefault="0097042F" w:rsidP="00410A78">
            <w:pPr>
              <w:spacing w:before="60" w:after="60" w:line="240" w:lineRule="auto"/>
              <w:ind w:left="0"/>
              <w:jc w:val="center"/>
              <w:rPr>
                <w:rFonts w:cs="Arial"/>
                <w:sz w:val="20"/>
                <w:szCs w:val="20"/>
              </w:rPr>
            </w:pPr>
            <w:r>
              <w:rPr>
                <w:rFonts w:cs="Arial"/>
                <w:sz w:val="20"/>
                <w:szCs w:val="20"/>
              </w:rPr>
              <w:t>60</w:t>
            </w:r>
          </w:p>
        </w:tc>
        <w:tc>
          <w:tcPr>
            <w:tcW w:w="993" w:type="dxa"/>
            <w:vAlign w:val="center"/>
          </w:tcPr>
          <w:p w14:paraId="3836C9FE" w14:textId="03C41BAE" w:rsidR="00776D14" w:rsidRPr="009E683A" w:rsidRDefault="0097042F" w:rsidP="00410A78">
            <w:pPr>
              <w:spacing w:before="60" w:after="60" w:line="240" w:lineRule="auto"/>
              <w:ind w:left="0"/>
              <w:jc w:val="center"/>
              <w:rPr>
                <w:rFonts w:cs="Arial"/>
                <w:sz w:val="20"/>
                <w:szCs w:val="20"/>
              </w:rPr>
            </w:pPr>
            <w:r>
              <w:rPr>
                <w:rFonts w:cs="Arial"/>
                <w:sz w:val="20"/>
                <w:szCs w:val="20"/>
              </w:rPr>
              <w:t>35</w:t>
            </w:r>
          </w:p>
        </w:tc>
        <w:tc>
          <w:tcPr>
            <w:tcW w:w="1134" w:type="dxa"/>
            <w:vAlign w:val="center"/>
          </w:tcPr>
          <w:p w14:paraId="28EFED3E" w14:textId="2F1589D6" w:rsidR="00776D14" w:rsidRPr="009E683A" w:rsidRDefault="0097042F" w:rsidP="00410A78">
            <w:pPr>
              <w:spacing w:before="60" w:after="60" w:line="240" w:lineRule="auto"/>
              <w:ind w:left="0"/>
              <w:jc w:val="center"/>
              <w:rPr>
                <w:rFonts w:cs="Arial"/>
                <w:sz w:val="20"/>
                <w:szCs w:val="20"/>
              </w:rPr>
            </w:pPr>
            <w:r>
              <w:rPr>
                <w:rFonts w:cs="Arial"/>
                <w:sz w:val="20"/>
                <w:szCs w:val="20"/>
              </w:rPr>
              <w:t>45</w:t>
            </w:r>
          </w:p>
        </w:tc>
        <w:tc>
          <w:tcPr>
            <w:tcW w:w="992" w:type="dxa"/>
            <w:vAlign w:val="center"/>
          </w:tcPr>
          <w:p w14:paraId="176D2071" w14:textId="368EDD1E" w:rsidR="00776D14" w:rsidRPr="009E683A" w:rsidRDefault="00776D14" w:rsidP="00410A78">
            <w:pPr>
              <w:spacing w:before="60" w:after="60" w:line="240" w:lineRule="auto"/>
              <w:ind w:left="0"/>
              <w:jc w:val="center"/>
              <w:rPr>
                <w:rFonts w:cs="Arial"/>
                <w:sz w:val="20"/>
                <w:szCs w:val="20"/>
              </w:rPr>
            </w:pPr>
            <w:r w:rsidRPr="00776D14">
              <w:rPr>
                <w:rFonts w:cs="Arial"/>
                <w:sz w:val="20"/>
                <w:szCs w:val="20"/>
              </w:rPr>
              <w:t>40</w:t>
            </w:r>
          </w:p>
        </w:tc>
        <w:tc>
          <w:tcPr>
            <w:tcW w:w="1135" w:type="dxa"/>
            <w:vAlign w:val="center"/>
          </w:tcPr>
          <w:p w14:paraId="50825C60" w14:textId="42C822A2" w:rsidR="00776D14" w:rsidRPr="009E683A" w:rsidRDefault="0097042F" w:rsidP="00410A78">
            <w:pPr>
              <w:spacing w:before="60" w:after="60" w:line="240" w:lineRule="auto"/>
              <w:ind w:left="0"/>
              <w:jc w:val="center"/>
              <w:rPr>
                <w:rFonts w:cs="Arial"/>
                <w:sz w:val="20"/>
                <w:szCs w:val="20"/>
              </w:rPr>
            </w:pPr>
            <w:r>
              <w:rPr>
                <w:rFonts w:cs="Arial"/>
                <w:sz w:val="20"/>
                <w:szCs w:val="20"/>
              </w:rPr>
              <w:t>50</w:t>
            </w:r>
          </w:p>
        </w:tc>
      </w:tr>
      <w:tr w:rsidR="00776D14" w14:paraId="7BC8D8CF" w14:textId="77777777" w:rsidTr="007372B8">
        <w:trPr>
          <w:trHeight w:val="422"/>
        </w:trPr>
        <w:tc>
          <w:tcPr>
            <w:tcW w:w="959" w:type="dxa"/>
            <w:vAlign w:val="center"/>
          </w:tcPr>
          <w:p w14:paraId="19D62827" w14:textId="6CBEEDCE" w:rsidR="00776D14" w:rsidRDefault="00776D14" w:rsidP="00410A78">
            <w:pPr>
              <w:spacing w:before="60" w:after="60" w:line="240" w:lineRule="auto"/>
              <w:ind w:left="0"/>
              <w:rPr>
                <w:rFonts w:cs="Arial"/>
                <w:sz w:val="20"/>
                <w:szCs w:val="20"/>
              </w:rPr>
            </w:pPr>
            <w:r>
              <w:rPr>
                <w:rFonts w:cs="Arial"/>
                <w:sz w:val="20"/>
                <w:szCs w:val="20"/>
              </w:rPr>
              <w:t>MFC</w:t>
            </w:r>
          </w:p>
        </w:tc>
        <w:tc>
          <w:tcPr>
            <w:tcW w:w="2126" w:type="dxa"/>
            <w:vAlign w:val="center"/>
          </w:tcPr>
          <w:p w14:paraId="47CF1631" w14:textId="608F8C26" w:rsidR="00776D14" w:rsidRDefault="00776D14" w:rsidP="00410A78">
            <w:pPr>
              <w:spacing w:before="60" w:after="60" w:line="240" w:lineRule="auto"/>
              <w:ind w:left="0"/>
              <w:jc w:val="center"/>
              <w:rPr>
                <w:rFonts w:cs="Arial"/>
                <w:sz w:val="20"/>
                <w:szCs w:val="20"/>
              </w:rPr>
            </w:pPr>
            <w:r>
              <w:rPr>
                <w:rFonts w:cs="Arial"/>
                <w:sz w:val="20"/>
                <w:szCs w:val="20"/>
              </w:rPr>
              <w:t>230</w:t>
            </w:r>
          </w:p>
        </w:tc>
        <w:tc>
          <w:tcPr>
            <w:tcW w:w="992" w:type="dxa"/>
            <w:shd w:val="clear" w:color="auto" w:fill="FF0000"/>
            <w:vAlign w:val="center"/>
          </w:tcPr>
          <w:p w14:paraId="6E932E37" w14:textId="672D78B5" w:rsidR="00776D14" w:rsidRPr="009E683A" w:rsidRDefault="0097042F" w:rsidP="00410A78">
            <w:pPr>
              <w:spacing w:before="60" w:after="60" w:line="240" w:lineRule="auto"/>
              <w:ind w:left="0"/>
              <w:jc w:val="center"/>
              <w:rPr>
                <w:rFonts w:cs="Arial"/>
                <w:sz w:val="20"/>
                <w:szCs w:val="20"/>
              </w:rPr>
            </w:pPr>
            <w:r>
              <w:rPr>
                <w:rFonts w:cs="Arial"/>
                <w:sz w:val="20"/>
                <w:szCs w:val="20"/>
              </w:rPr>
              <w:t>15</w:t>
            </w:r>
          </w:p>
        </w:tc>
        <w:tc>
          <w:tcPr>
            <w:tcW w:w="993" w:type="dxa"/>
            <w:vAlign w:val="center"/>
          </w:tcPr>
          <w:p w14:paraId="1F60DAB6" w14:textId="58A19352" w:rsidR="00776D14" w:rsidRPr="009E683A" w:rsidRDefault="00776D14" w:rsidP="00410A78">
            <w:pPr>
              <w:spacing w:before="60" w:after="60" w:line="240" w:lineRule="auto"/>
              <w:ind w:left="0"/>
              <w:jc w:val="center"/>
              <w:rPr>
                <w:rFonts w:cs="Arial"/>
                <w:sz w:val="20"/>
                <w:szCs w:val="20"/>
              </w:rPr>
            </w:pPr>
            <w:r w:rsidRPr="00776D14">
              <w:rPr>
                <w:rFonts w:cs="Arial"/>
                <w:sz w:val="20"/>
                <w:szCs w:val="20"/>
              </w:rPr>
              <w:t>10</w:t>
            </w:r>
          </w:p>
        </w:tc>
        <w:tc>
          <w:tcPr>
            <w:tcW w:w="1134" w:type="dxa"/>
            <w:vAlign w:val="center"/>
          </w:tcPr>
          <w:p w14:paraId="61B32CCA" w14:textId="0868122A" w:rsidR="00776D14" w:rsidRPr="009E683A" w:rsidRDefault="0097042F" w:rsidP="00410A78">
            <w:pPr>
              <w:spacing w:before="60" w:after="60" w:line="240" w:lineRule="auto"/>
              <w:ind w:left="0"/>
              <w:jc w:val="center"/>
              <w:rPr>
                <w:rFonts w:cs="Arial"/>
                <w:sz w:val="20"/>
                <w:szCs w:val="20"/>
              </w:rPr>
            </w:pPr>
            <w:r>
              <w:rPr>
                <w:rFonts w:cs="Arial"/>
                <w:sz w:val="20"/>
                <w:szCs w:val="20"/>
              </w:rPr>
              <w:t>5</w:t>
            </w:r>
          </w:p>
        </w:tc>
        <w:tc>
          <w:tcPr>
            <w:tcW w:w="992" w:type="dxa"/>
            <w:vAlign w:val="center"/>
          </w:tcPr>
          <w:p w14:paraId="31CA35D3" w14:textId="1FE024AE" w:rsidR="00776D14" w:rsidRPr="009E683A" w:rsidRDefault="0097042F" w:rsidP="00410A78">
            <w:pPr>
              <w:spacing w:before="60" w:after="60" w:line="240" w:lineRule="auto"/>
              <w:ind w:left="0"/>
              <w:jc w:val="center"/>
              <w:rPr>
                <w:rFonts w:cs="Arial"/>
                <w:sz w:val="20"/>
                <w:szCs w:val="20"/>
              </w:rPr>
            </w:pPr>
            <w:r>
              <w:rPr>
                <w:rFonts w:cs="Arial"/>
                <w:sz w:val="20"/>
                <w:szCs w:val="20"/>
              </w:rPr>
              <w:t>5</w:t>
            </w:r>
          </w:p>
        </w:tc>
        <w:tc>
          <w:tcPr>
            <w:tcW w:w="1135" w:type="dxa"/>
            <w:vAlign w:val="center"/>
          </w:tcPr>
          <w:p w14:paraId="357F9D78" w14:textId="68ACFDDF" w:rsidR="00776D14" w:rsidRPr="009E683A" w:rsidRDefault="0097042F" w:rsidP="00410A78">
            <w:pPr>
              <w:spacing w:before="60" w:after="60" w:line="240" w:lineRule="auto"/>
              <w:ind w:left="0"/>
              <w:jc w:val="center"/>
              <w:rPr>
                <w:rFonts w:cs="Arial"/>
                <w:sz w:val="20"/>
                <w:szCs w:val="20"/>
              </w:rPr>
            </w:pPr>
            <w:r>
              <w:rPr>
                <w:rFonts w:cs="Arial"/>
                <w:sz w:val="20"/>
                <w:szCs w:val="20"/>
              </w:rPr>
              <w:t>10</w:t>
            </w:r>
          </w:p>
        </w:tc>
      </w:tr>
      <w:tr w:rsidR="0097042F" w14:paraId="47B9473D" w14:textId="77777777" w:rsidTr="007372B8">
        <w:trPr>
          <w:trHeight w:val="422"/>
        </w:trPr>
        <w:tc>
          <w:tcPr>
            <w:tcW w:w="959" w:type="dxa"/>
            <w:vAlign w:val="center"/>
          </w:tcPr>
          <w:p w14:paraId="78736C19" w14:textId="2DCF1AC2" w:rsidR="0097042F" w:rsidRDefault="0097042F" w:rsidP="0097042F">
            <w:pPr>
              <w:spacing w:before="60" w:after="60" w:line="240" w:lineRule="auto"/>
              <w:ind w:left="0"/>
              <w:rPr>
                <w:rFonts w:cs="Arial"/>
                <w:sz w:val="20"/>
                <w:szCs w:val="20"/>
              </w:rPr>
            </w:pPr>
            <w:r>
              <w:rPr>
                <w:rFonts w:cs="Arial"/>
                <w:sz w:val="20"/>
                <w:szCs w:val="20"/>
              </w:rPr>
              <w:t>HFC</w:t>
            </w:r>
          </w:p>
        </w:tc>
        <w:tc>
          <w:tcPr>
            <w:tcW w:w="2126" w:type="dxa"/>
            <w:vAlign w:val="center"/>
          </w:tcPr>
          <w:p w14:paraId="7F06E2C7" w14:textId="4BB496D6" w:rsidR="0097042F" w:rsidRDefault="006A58B8" w:rsidP="00410A78">
            <w:pPr>
              <w:spacing w:before="60" w:after="60" w:line="240" w:lineRule="auto"/>
              <w:ind w:left="0"/>
              <w:jc w:val="center"/>
              <w:rPr>
                <w:rFonts w:cs="Arial"/>
                <w:sz w:val="20"/>
                <w:szCs w:val="20"/>
              </w:rPr>
            </w:pPr>
            <w:r>
              <w:rPr>
                <w:rFonts w:cs="Arial"/>
                <w:sz w:val="20"/>
                <w:szCs w:val="20"/>
              </w:rPr>
              <w:t>202</w:t>
            </w:r>
          </w:p>
        </w:tc>
        <w:tc>
          <w:tcPr>
            <w:tcW w:w="992" w:type="dxa"/>
            <w:shd w:val="clear" w:color="auto" w:fill="FF0000"/>
            <w:vAlign w:val="center"/>
          </w:tcPr>
          <w:p w14:paraId="4636FB7B" w14:textId="1B309541" w:rsidR="0097042F" w:rsidRPr="00776D14" w:rsidRDefault="0097042F" w:rsidP="00410A78">
            <w:pPr>
              <w:spacing w:before="60" w:after="60" w:line="240" w:lineRule="auto"/>
              <w:ind w:left="0"/>
              <w:jc w:val="center"/>
              <w:rPr>
                <w:rFonts w:cs="Arial"/>
                <w:sz w:val="20"/>
                <w:szCs w:val="20"/>
              </w:rPr>
            </w:pPr>
            <w:r>
              <w:rPr>
                <w:rFonts w:cs="Arial"/>
                <w:sz w:val="20"/>
                <w:szCs w:val="20"/>
              </w:rPr>
              <w:t>540*</w:t>
            </w:r>
          </w:p>
        </w:tc>
        <w:tc>
          <w:tcPr>
            <w:tcW w:w="993" w:type="dxa"/>
            <w:vAlign w:val="center"/>
          </w:tcPr>
          <w:p w14:paraId="465A7C05" w14:textId="31DAA918" w:rsidR="0097042F" w:rsidRPr="00776D14" w:rsidRDefault="0097042F" w:rsidP="00410A78">
            <w:pPr>
              <w:spacing w:before="60" w:after="60" w:line="240" w:lineRule="auto"/>
              <w:ind w:left="0"/>
              <w:jc w:val="center"/>
              <w:rPr>
                <w:rFonts w:cs="Arial"/>
                <w:sz w:val="20"/>
                <w:szCs w:val="20"/>
              </w:rPr>
            </w:pPr>
            <w:r>
              <w:rPr>
                <w:rFonts w:cs="Arial"/>
                <w:sz w:val="20"/>
                <w:szCs w:val="20"/>
              </w:rPr>
              <w:t>500*</w:t>
            </w:r>
          </w:p>
        </w:tc>
        <w:tc>
          <w:tcPr>
            <w:tcW w:w="1134" w:type="dxa"/>
            <w:vAlign w:val="center"/>
          </w:tcPr>
          <w:p w14:paraId="18549998" w14:textId="325B2A0F" w:rsidR="0097042F" w:rsidRPr="00776D14" w:rsidRDefault="0097042F" w:rsidP="00410A78">
            <w:pPr>
              <w:spacing w:before="60" w:after="60" w:line="240" w:lineRule="auto"/>
              <w:ind w:left="0"/>
              <w:jc w:val="center"/>
              <w:rPr>
                <w:rFonts w:cs="Arial"/>
                <w:sz w:val="20"/>
                <w:szCs w:val="20"/>
              </w:rPr>
            </w:pPr>
            <w:r>
              <w:rPr>
                <w:rFonts w:cs="Arial"/>
                <w:sz w:val="20"/>
                <w:szCs w:val="20"/>
              </w:rPr>
              <w:t>390</w:t>
            </w:r>
          </w:p>
        </w:tc>
        <w:tc>
          <w:tcPr>
            <w:tcW w:w="992" w:type="dxa"/>
            <w:vAlign w:val="center"/>
          </w:tcPr>
          <w:p w14:paraId="00952487" w14:textId="6E695CA2" w:rsidR="0097042F" w:rsidRPr="00776D14" w:rsidRDefault="0097042F" w:rsidP="00410A78">
            <w:pPr>
              <w:spacing w:before="60" w:after="60" w:line="240" w:lineRule="auto"/>
              <w:ind w:left="0"/>
              <w:jc w:val="center"/>
              <w:rPr>
                <w:rFonts w:cs="Arial"/>
                <w:sz w:val="20"/>
                <w:szCs w:val="20"/>
              </w:rPr>
            </w:pPr>
            <w:r>
              <w:rPr>
                <w:rFonts w:cs="Arial"/>
                <w:sz w:val="20"/>
                <w:szCs w:val="20"/>
              </w:rPr>
              <w:t>370</w:t>
            </w:r>
          </w:p>
        </w:tc>
        <w:tc>
          <w:tcPr>
            <w:tcW w:w="1135" w:type="dxa"/>
            <w:vAlign w:val="center"/>
          </w:tcPr>
          <w:p w14:paraId="74A70D61" w14:textId="5B13B53A" w:rsidR="0097042F" w:rsidRPr="00776D14" w:rsidRDefault="0097042F" w:rsidP="00410A78">
            <w:pPr>
              <w:spacing w:before="60" w:after="60" w:line="240" w:lineRule="auto"/>
              <w:ind w:left="0"/>
              <w:jc w:val="center"/>
              <w:rPr>
                <w:rFonts w:cs="Arial"/>
                <w:sz w:val="20"/>
                <w:szCs w:val="20"/>
              </w:rPr>
            </w:pPr>
            <w:r>
              <w:rPr>
                <w:rFonts w:cs="Arial"/>
                <w:sz w:val="20"/>
                <w:szCs w:val="20"/>
              </w:rPr>
              <w:t>130</w:t>
            </w:r>
          </w:p>
        </w:tc>
      </w:tr>
    </w:tbl>
    <w:p w14:paraId="3EE977B2" w14:textId="616C84D4" w:rsidR="0097042F" w:rsidRDefault="0097042F" w:rsidP="004F5C0C">
      <w:pPr>
        <w:pStyle w:val="Tablefootnote"/>
        <w:spacing w:after="120"/>
        <w:rPr>
          <w:lang w:val="en-CA"/>
        </w:rPr>
      </w:pPr>
      <w:r>
        <w:rPr>
          <w:sz w:val="20"/>
          <w:lang w:val="en-CA"/>
        </w:rPr>
        <w:t>*</w:t>
      </w:r>
      <w:r>
        <w:rPr>
          <w:lang w:val="en-CA"/>
        </w:rPr>
        <w:t xml:space="preserve"> Ranges extrapolated using n log(r) + A</w:t>
      </w:r>
    </w:p>
    <w:p w14:paraId="2CEEAE1D" w14:textId="12B68382" w:rsidR="007372B8" w:rsidRPr="001D2756" w:rsidRDefault="007372B8" w:rsidP="007372B8">
      <w:pPr>
        <w:spacing w:after="240"/>
        <w:ind w:left="0"/>
        <w:rPr>
          <w:i/>
          <w:sz w:val="18"/>
          <w:szCs w:val="18"/>
        </w:rPr>
      </w:pPr>
      <w:r w:rsidRPr="001D2756">
        <w:rPr>
          <w:i/>
          <w:sz w:val="18"/>
          <w:szCs w:val="18"/>
        </w:rPr>
        <w:t>Cells highlighted in red indicate maximum predicted exten</w:t>
      </w:r>
      <w:r w:rsidR="00A24FEE">
        <w:rPr>
          <w:i/>
          <w:sz w:val="18"/>
          <w:szCs w:val="18"/>
        </w:rPr>
        <w:t>t</w:t>
      </w:r>
      <w:r w:rsidRPr="001D2756">
        <w:rPr>
          <w:i/>
          <w:sz w:val="18"/>
          <w:szCs w:val="18"/>
        </w:rPr>
        <w:t xml:space="preserve"> of sound.</w:t>
      </w:r>
    </w:p>
    <w:p w14:paraId="1311E724" w14:textId="7F4F786D" w:rsidR="00E30BD8" w:rsidRDefault="0099504F" w:rsidP="00711D8B">
      <w:pPr>
        <w:spacing w:after="240" w:line="240" w:lineRule="auto"/>
        <w:ind w:left="0"/>
        <w:rPr>
          <w:color w:val="000000" w:themeColor="text1"/>
          <w:sz w:val="22"/>
          <w:szCs w:val="22"/>
        </w:rPr>
      </w:pPr>
      <w:r>
        <w:rPr>
          <w:color w:val="000000" w:themeColor="text1"/>
          <w:sz w:val="22"/>
          <w:szCs w:val="22"/>
        </w:rPr>
        <w:t xml:space="preserve">The </w:t>
      </w:r>
      <w:r w:rsidR="006A58B8">
        <w:rPr>
          <w:color w:val="000000" w:themeColor="text1"/>
          <w:sz w:val="22"/>
          <w:szCs w:val="22"/>
        </w:rPr>
        <w:t>SEL</w:t>
      </w:r>
      <w:r w:rsidR="006A58B8" w:rsidRPr="006A58B8">
        <w:rPr>
          <w:color w:val="000000" w:themeColor="text1"/>
          <w:sz w:val="22"/>
          <w:szCs w:val="22"/>
          <w:vertAlign w:val="subscript"/>
        </w:rPr>
        <w:t>24h</w:t>
      </w:r>
      <w:r w:rsidR="006A58B8">
        <w:rPr>
          <w:color w:val="000000" w:themeColor="text1"/>
          <w:sz w:val="22"/>
          <w:szCs w:val="22"/>
        </w:rPr>
        <w:t xml:space="preserve"> </w:t>
      </w:r>
      <w:r w:rsidR="00A53952" w:rsidRPr="00A53952">
        <w:rPr>
          <w:color w:val="000000" w:themeColor="text1"/>
          <w:sz w:val="22"/>
          <w:szCs w:val="22"/>
        </w:rPr>
        <w:t>exposure results are presented for three possible operational scenarios</w:t>
      </w:r>
      <w:r w:rsidR="00655421">
        <w:rPr>
          <w:color w:val="000000" w:themeColor="text1"/>
          <w:sz w:val="22"/>
          <w:szCs w:val="22"/>
        </w:rPr>
        <w:t xml:space="preserve"> (as </w:t>
      </w:r>
      <w:r w:rsidR="00A53952" w:rsidRPr="00A53952">
        <w:rPr>
          <w:color w:val="000000" w:themeColor="text1"/>
          <w:sz w:val="22"/>
          <w:szCs w:val="22"/>
        </w:rPr>
        <w:t xml:space="preserve">described </w:t>
      </w:r>
      <w:r w:rsidR="00655421">
        <w:rPr>
          <w:color w:val="000000" w:themeColor="text1"/>
          <w:sz w:val="22"/>
          <w:szCs w:val="22"/>
        </w:rPr>
        <w:t>earlier in this section)</w:t>
      </w:r>
      <w:r w:rsidR="00A53952" w:rsidRPr="00A53952">
        <w:rPr>
          <w:color w:val="000000" w:themeColor="text1"/>
          <w:sz w:val="22"/>
          <w:szCs w:val="22"/>
        </w:rPr>
        <w:t xml:space="preserve">. </w:t>
      </w:r>
      <w:r w:rsidR="00A53952" w:rsidRPr="00EF4E2A">
        <w:rPr>
          <w:sz w:val="22"/>
          <w:szCs w:val="22"/>
        </w:rPr>
        <w:t>Table</w:t>
      </w:r>
      <w:r w:rsidRPr="00EF4E2A">
        <w:rPr>
          <w:sz w:val="22"/>
          <w:szCs w:val="22"/>
        </w:rPr>
        <w:t xml:space="preserve"> 7.1</w:t>
      </w:r>
      <w:r w:rsidR="00005091" w:rsidRPr="00EF4E2A">
        <w:rPr>
          <w:sz w:val="22"/>
          <w:szCs w:val="22"/>
        </w:rPr>
        <w:t>4</w:t>
      </w:r>
      <w:r w:rsidRPr="004F5C0C">
        <w:rPr>
          <w:color w:val="FF0000"/>
          <w:sz w:val="22"/>
          <w:szCs w:val="22"/>
        </w:rPr>
        <w:t xml:space="preserve"> </w:t>
      </w:r>
      <w:r w:rsidR="00A53952" w:rsidRPr="00A53952">
        <w:rPr>
          <w:color w:val="000000" w:themeColor="text1"/>
          <w:sz w:val="22"/>
          <w:szCs w:val="22"/>
        </w:rPr>
        <w:t>show</w:t>
      </w:r>
      <w:r>
        <w:rPr>
          <w:color w:val="000000" w:themeColor="text1"/>
          <w:sz w:val="22"/>
          <w:szCs w:val="22"/>
        </w:rPr>
        <w:t>s</w:t>
      </w:r>
      <w:r w:rsidR="00A53952" w:rsidRPr="00A53952">
        <w:rPr>
          <w:color w:val="000000" w:themeColor="text1"/>
          <w:sz w:val="22"/>
          <w:szCs w:val="22"/>
        </w:rPr>
        <w:t xml:space="preserve"> the estimated ranges to the appropriate cumulative exposure criterion contour for </w:t>
      </w:r>
      <w:r w:rsidR="007015EC">
        <w:rPr>
          <w:color w:val="000000" w:themeColor="text1"/>
          <w:sz w:val="22"/>
          <w:szCs w:val="22"/>
        </w:rPr>
        <w:t>cetaceans</w:t>
      </w:r>
      <w:r w:rsidR="00A53952" w:rsidRPr="00A53952">
        <w:rPr>
          <w:color w:val="000000" w:themeColor="text1"/>
          <w:sz w:val="22"/>
          <w:szCs w:val="22"/>
        </w:rPr>
        <w:t xml:space="preserve">. The radii in this </w:t>
      </w:r>
      <w:r w:rsidR="00DF1948">
        <w:rPr>
          <w:color w:val="000000" w:themeColor="text1"/>
          <w:sz w:val="22"/>
          <w:szCs w:val="22"/>
        </w:rPr>
        <w:lastRenderedPageBreak/>
        <w:t>table</w:t>
      </w:r>
      <w:r w:rsidR="00A53952" w:rsidRPr="00A53952">
        <w:rPr>
          <w:color w:val="000000" w:themeColor="text1"/>
          <w:sz w:val="22"/>
          <w:szCs w:val="22"/>
        </w:rPr>
        <w:t xml:space="preserve"> represent the perpendicular distance from to the closest survey line to the relevant isopleth.</w:t>
      </w:r>
    </w:p>
    <w:p w14:paraId="0D69CF73" w14:textId="189BF71A" w:rsidR="00410A78" w:rsidRDefault="00410A78" w:rsidP="00891DE1">
      <w:pPr>
        <w:spacing w:after="240" w:line="240" w:lineRule="auto"/>
        <w:ind w:left="0"/>
        <w:rPr>
          <w:rFonts w:ascii="Tahoma" w:hAnsi="Tahoma" w:cs="Arial"/>
          <w:szCs w:val="20"/>
        </w:rPr>
      </w:pPr>
      <w:r>
        <w:rPr>
          <w:rFonts w:cs="Arial"/>
          <w:b/>
          <w:sz w:val="20"/>
          <w:szCs w:val="20"/>
        </w:rPr>
        <w:t>Table 7.1</w:t>
      </w:r>
      <w:r w:rsidR="00005091">
        <w:rPr>
          <w:rFonts w:cs="Arial"/>
          <w:b/>
          <w:sz w:val="20"/>
          <w:szCs w:val="20"/>
        </w:rPr>
        <w:t>4</w:t>
      </w:r>
      <w:r>
        <w:rPr>
          <w:rFonts w:cs="Arial"/>
          <w:b/>
          <w:sz w:val="20"/>
          <w:szCs w:val="20"/>
        </w:rPr>
        <w:t>.</w:t>
      </w:r>
      <w:r>
        <w:rPr>
          <w:rFonts w:cs="Arial"/>
          <w:b/>
          <w:sz w:val="20"/>
          <w:szCs w:val="20"/>
        </w:rPr>
        <w:tab/>
      </w:r>
      <w:r w:rsidRPr="008A483F">
        <w:rPr>
          <w:rFonts w:cs="Arial"/>
          <w:b/>
          <w:sz w:val="20"/>
          <w:szCs w:val="20"/>
        </w:rPr>
        <w:t>Maximum-over-depth distances (in km) to SEL</w:t>
      </w:r>
      <w:r w:rsidRPr="008A483F">
        <w:rPr>
          <w:rFonts w:cs="Arial"/>
          <w:b/>
          <w:sz w:val="20"/>
          <w:szCs w:val="20"/>
          <w:vertAlign w:val="subscript"/>
        </w:rPr>
        <w:t>24h</w:t>
      </w:r>
      <w:r w:rsidR="0059371E">
        <w:rPr>
          <w:rFonts w:cs="Arial"/>
          <w:b/>
          <w:sz w:val="20"/>
          <w:szCs w:val="20"/>
        </w:rPr>
        <w:t>-</w:t>
      </w:r>
      <w:r w:rsidRPr="008A483F">
        <w:rPr>
          <w:rFonts w:cs="Arial"/>
          <w:b/>
          <w:sz w:val="20"/>
          <w:szCs w:val="20"/>
        </w:rPr>
        <w:t xml:space="preserve">based </w:t>
      </w:r>
      <w:r w:rsidR="0059371E">
        <w:rPr>
          <w:rFonts w:cs="Arial"/>
          <w:b/>
          <w:sz w:val="20"/>
          <w:szCs w:val="20"/>
        </w:rPr>
        <w:t>marine mammal</w:t>
      </w:r>
      <w:r w:rsidRPr="008A483F">
        <w:rPr>
          <w:rFonts w:cs="Arial"/>
          <w:b/>
          <w:sz w:val="20"/>
          <w:szCs w:val="20"/>
        </w:rPr>
        <w:t xml:space="preserve"> criteria for three possible scenarios within the Pelican 3DMSS acquisition area</w:t>
      </w:r>
      <w:r w:rsidR="006A58B8">
        <w:rPr>
          <w:rFonts w:cs="Arial"/>
          <w:b/>
          <w:sz w:val="20"/>
          <w:szCs w:val="20"/>
        </w:rPr>
        <w:t xml:space="preserve"> </w:t>
      </w:r>
    </w:p>
    <w:tbl>
      <w:tblPr>
        <w:tblStyle w:val="TableGrid"/>
        <w:tblW w:w="0" w:type="auto"/>
        <w:jc w:val="center"/>
        <w:tblLayout w:type="fixed"/>
        <w:tblLook w:val="04A0" w:firstRow="1" w:lastRow="0" w:firstColumn="1" w:lastColumn="0" w:noHBand="0" w:noVBand="1"/>
      </w:tblPr>
      <w:tblGrid>
        <w:gridCol w:w="774"/>
        <w:gridCol w:w="1602"/>
        <w:gridCol w:w="993"/>
        <w:gridCol w:w="850"/>
        <w:gridCol w:w="709"/>
        <w:gridCol w:w="992"/>
        <w:gridCol w:w="851"/>
        <w:gridCol w:w="992"/>
      </w:tblGrid>
      <w:tr w:rsidR="006A58B8" w14:paraId="333E697C" w14:textId="77777777" w:rsidTr="006A58B8">
        <w:trPr>
          <w:jc w:val="center"/>
        </w:trPr>
        <w:tc>
          <w:tcPr>
            <w:tcW w:w="774" w:type="dxa"/>
            <w:vMerge w:val="restart"/>
            <w:shd w:val="clear" w:color="auto" w:fill="064EA8"/>
          </w:tcPr>
          <w:p w14:paraId="1C95C121" w14:textId="1B8B6EC5" w:rsidR="006A58B8" w:rsidRDefault="006A58B8" w:rsidP="00410A78">
            <w:pPr>
              <w:spacing w:before="60" w:after="60"/>
              <w:ind w:left="0"/>
              <w:rPr>
                <w:rFonts w:cs="Arial"/>
                <w:color w:val="FFFFFF" w:themeColor="background1"/>
                <w:sz w:val="20"/>
                <w:szCs w:val="20"/>
              </w:rPr>
            </w:pPr>
            <w:r>
              <w:rPr>
                <w:rFonts w:cs="Arial"/>
                <w:color w:val="FFFFFF" w:themeColor="background1"/>
                <w:sz w:val="20"/>
                <w:szCs w:val="20"/>
              </w:rPr>
              <w:t>Group</w:t>
            </w:r>
          </w:p>
        </w:tc>
        <w:tc>
          <w:tcPr>
            <w:tcW w:w="1602" w:type="dxa"/>
            <w:vMerge w:val="restart"/>
            <w:shd w:val="clear" w:color="auto" w:fill="064EA8"/>
          </w:tcPr>
          <w:p w14:paraId="381ECE3B" w14:textId="28E165F5" w:rsidR="006A58B8" w:rsidRPr="000D0DBD" w:rsidRDefault="006A58B8" w:rsidP="006A58B8">
            <w:pPr>
              <w:spacing w:before="60" w:after="60"/>
              <w:ind w:left="0"/>
              <w:jc w:val="center"/>
              <w:rPr>
                <w:rFonts w:cs="Arial"/>
                <w:color w:val="FFFFFF" w:themeColor="background1"/>
                <w:sz w:val="20"/>
                <w:szCs w:val="20"/>
              </w:rPr>
            </w:pPr>
            <w:r w:rsidRPr="000D0DBD">
              <w:rPr>
                <w:rFonts w:cs="Arial"/>
                <w:color w:val="FFFFFF" w:themeColor="background1"/>
                <w:sz w:val="20"/>
                <w:szCs w:val="20"/>
              </w:rPr>
              <w:t>Threshold for SEL</w:t>
            </w:r>
            <w:r w:rsidRPr="00944C40">
              <w:rPr>
                <w:rFonts w:cs="Arial"/>
                <w:color w:val="FFFFFF" w:themeColor="background1"/>
                <w:sz w:val="20"/>
                <w:szCs w:val="20"/>
                <w:vertAlign w:val="subscript"/>
              </w:rPr>
              <w:t>24h</w:t>
            </w:r>
            <w:r w:rsidRPr="000D0DBD">
              <w:rPr>
                <w:rFonts w:cs="Arial"/>
                <w:color w:val="FFFFFF" w:themeColor="background1"/>
                <w:sz w:val="20"/>
                <w:szCs w:val="20"/>
              </w:rPr>
              <w:t xml:space="preserve"> (</w:t>
            </w:r>
            <w:r>
              <w:rPr>
                <w:rFonts w:cs="Arial"/>
                <w:color w:val="FFFFFF" w:themeColor="background1"/>
                <w:sz w:val="20"/>
                <w:szCs w:val="20"/>
              </w:rPr>
              <w:t>dB</w:t>
            </w:r>
            <w:r w:rsidRPr="000D0DBD">
              <w:rPr>
                <w:rFonts w:cs="Arial"/>
                <w:color w:val="FFFFFF" w:themeColor="background1"/>
                <w:sz w:val="20"/>
                <w:szCs w:val="20"/>
              </w:rPr>
              <w:t xml:space="preserve"> </w:t>
            </w:r>
            <w:r w:rsidRPr="000D0DBD">
              <w:rPr>
                <w:color w:val="FFFFFF" w:themeColor="background1"/>
                <w:sz w:val="20"/>
                <w:szCs w:val="20"/>
              </w:rPr>
              <w:t>re 1 μPa</w:t>
            </w:r>
            <w:r w:rsidRPr="000D0DBD">
              <w:rPr>
                <w:color w:val="FFFFFF" w:themeColor="background1"/>
                <w:sz w:val="20"/>
                <w:szCs w:val="20"/>
                <w:vertAlign w:val="superscript"/>
              </w:rPr>
              <w:t>2</w:t>
            </w:r>
            <w:r>
              <w:rPr>
                <w:color w:val="FFFFFF" w:themeColor="background1"/>
                <w:sz w:val="20"/>
                <w:szCs w:val="20"/>
              </w:rPr>
              <w:t>.s</w:t>
            </w:r>
            <w:r w:rsidRPr="000D0DBD">
              <w:rPr>
                <w:color w:val="FFFFFF" w:themeColor="background1"/>
                <w:sz w:val="20"/>
                <w:szCs w:val="20"/>
              </w:rPr>
              <w:t>)</w:t>
            </w:r>
          </w:p>
        </w:tc>
        <w:tc>
          <w:tcPr>
            <w:tcW w:w="1843" w:type="dxa"/>
            <w:gridSpan w:val="2"/>
            <w:shd w:val="clear" w:color="auto" w:fill="064EA8"/>
          </w:tcPr>
          <w:p w14:paraId="2E6F67AA" w14:textId="1B126396" w:rsidR="006A58B8" w:rsidRPr="000D0DBD" w:rsidRDefault="006A58B8" w:rsidP="00410A78">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Scenario 1</w:t>
            </w:r>
          </w:p>
        </w:tc>
        <w:tc>
          <w:tcPr>
            <w:tcW w:w="1701" w:type="dxa"/>
            <w:gridSpan w:val="2"/>
            <w:shd w:val="clear" w:color="auto" w:fill="064EA8"/>
          </w:tcPr>
          <w:p w14:paraId="58962FC2" w14:textId="3FA9F99F" w:rsidR="006A58B8" w:rsidRPr="000D0DBD" w:rsidRDefault="006A58B8" w:rsidP="006A58B8">
            <w:pPr>
              <w:spacing w:before="60" w:after="60"/>
              <w:ind w:left="0"/>
              <w:jc w:val="center"/>
              <w:rPr>
                <w:rFonts w:cs="Arial"/>
                <w:color w:val="FFFFFF" w:themeColor="background1"/>
                <w:sz w:val="20"/>
                <w:szCs w:val="20"/>
              </w:rPr>
            </w:pPr>
            <w:r w:rsidRPr="000D0DBD">
              <w:rPr>
                <w:rFonts w:cs="Arial"/>
                <w:color w:val="FFFFFF" w:themeColor="background1"/>
                <w:sz w:val="20"/>
                <w:szCs w:val="20"/>
              </w:rPr>
              <w:t xml:space="preserve">Scenario 2 </w:t>
            </w:r>
          </w:p>
        </w:tc>
        <w:tc>
          <w:tcPr>
            <w:tcW w:w="1843" w:type="dxa"/>
            <w:gridSpan w:val="2"/>
            <w:shd w:val="clear" w:color="auto" w:fill="064EA8"/>
          </w:tcPr>
          <w:p w14:paraId="14B307C9" w14:textId="76DA1EED" w:rsidR="006A58B8" w:rsidRPr="000D0DBD" w:rsidRDefault="006A58B8" w:rsidP="006A58B8">
            <w:pPr>
              <w:spacing w:before="60" w:after="60"/>
              <w:ind w:left="0"/>
              <w:jc w:val="center"/>
              <w:rPr>
                <w:rFonts w:cs="Arial"/>
                <w:color w:val="FFFFFF" w:themeColor="background1"/>
                <w:sz w:val="20"/>
                <w:szCs w:val="20"/>
              </w:rPr>
            </w:pPr>
            <w:r w:rsidRPr="000D0DBD">
              <w:rPr>
                <w:rFonts w:cs="Arial"/>
                <w:color w:val="FFFFFF" w:themeColor="background1"/>
                <w:sz w:val="20"/>
                <w:szCs w:val="20"/>
              </w:rPr>
              <w:t xml:space="preserve">Scenario 3 </w:t>
            </w:r>
          </w:p>
        </w:tc>
      </w:tr>
      <w:tr w:rsidR="006A58B8" w14:paraId="05C1B399" w14:textId="77777777" w:rsidTr="006A58B8">
        <w:trPr>
          <w:jc w:val="center"/>
        </w:trPr>
        <w:tc>
          <w:tcPr>
            <w:tcW w:w="774" w:type="dxa"/>
            <w:vMerge/>
            <w:shd w:val="clear" w:color="auto" w:fill="064EA8"/>
          </w:tcPr>
          <w:p w14:paraId="5E0BAF6B" w14:textId="77777777" w:rsidR="006A58B8" w:rsidRPr="000D0DBD" w:rsidRDefault="006A58B8" w:rsidP="00410A78">
            <w:pPr>
              <w:spacing w:before="60" w:after="60" w:line="240" w:lineRule="auto"/>
              <w:ind w:left="0"/>
              <w:jc w:val="center"/>
              <w:rPr>
                <w:rFonts w:cs="Arial"/>
                <w:color w:val="FFFFFF" w:themeColor="background1"/>
                <w:sz w:val="20"/>
                <w:szCs w:val="20"/>
              </w:rPr>
            </w:pPr>
          </w:p>
        </w:tc>
        <w:tc>
          <w:tcPr>
            <w:tcW w:w="1602" w:type="dxa"/>
            <w:vMerge/>
            <w:shd w:val="clear" w:color="auto" w:fill="064EA8"/>
          </w:tcPr>
          <w:p w14:paraId="015588F9" w14:textId="77777777" w:rsidR="006A58B8" w:rsidRPr="000D0DBD" w:rsidRDefault="006A58B8" w:rsidP="00410A78">
            <w:pPr>
              <w:spacing w:before="60" w:after="60" w:line="240" w:lineRule="auto"/>
              <w:ind w:left="0"/>
              <w:jc w:val="center"/>
              <w:rPr>
                <w:rFonts w:cs="Arial"/>
                <w:color w:val="FFFFFF" w:themeColor="background1"/>
                <w:sz w:val="20"/>
                <w:szCs w:val="20"/>
              </w:rPr>
            </w:pPr>
          </w:p>
        </w:tc>
        <w:tc>
          <w:tcPr>
            <w:tcW w:w="993" w:type="dxa"/>
            <w:shd w:val="clear" w:color="auto" w:fill="064EA8"/>
            <w:vAlign w:val="center"/>
          </w:tcPr>
          <w:p w14:paraId="4974578D" w14:textId="77777777" w:rsidR="006A58B8" w:rsidRPr="000D0DBD" w:rsidRDefault="006A58B8" w:rsidP="00410A78">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850" w:type="dxa"/>
            <w:shd w:val="clear" w:color="auto" w:fill="064EA8"/>
            <w:vAlign w:val="center"/>
          </w:tcPr>
          <w:p w14:paraId="0F4FA4AD" w14:textId="77777777" w:rsidR="006A58B8" w:rsidRPr="000D0DBD" w:rsidRDefault="006A58B8" w:rsidP="00410A78">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c>
          <w:tcPr>
            <w:tcW w:w="709" w:type="dxa"/>
            <w:shd w:val="clear" w:color="auto" w:fill="064EA8"/>
            <w:vAlign w:val="center"/>
          </w:tcPr>
          <w:p w14:paraId="2A5E0ACD" w14:textId="77777777" w:rsidR="006A58B8" w:rsidRPr="000D0DBD" w:rsidRDefault="006A58B8" w:rsidP="00410A78">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992" w:type="dxa"/>
            <w:shd w:val="clear" w:color="auto" w:fill="064EA8"/>
            <w:vAlign w:val="center"/>
          </w:tcPr>
          <w:p w14:paraId="74D11D9B" w14:textId="77777777" w:rsidR="006A58B8" w:rsidRPr="000D0DBD" w:rsidRDefault="006A58B8" w:rsidP="00410A78">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c>
          <w:tcPr>
            <w:tcW w:w="851" w:type="dxa"/>
            <w:shd w:val="clear" w:color="auto" w:fill="064EA8"/>
            <w:vAlign w:val="center"/>
          </w:tcPr>
          <w:p w14:paraId="1569B9EC" w14:textId="77777777" w:rsidR="006A58B8" w:rsidRPr="000D0DBD" w:rsidRDefault="006A58B8" w:rsidP="00410A78">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992" w:type="dxa"/>
            <w:shd w:val="clear" w:color="auto" w:fill="064EA8"/>
            <w:vAlign w:val="center"/>
          </w:tcPr>
          <w:p w14:paraId="140E5AE5" w14:textId="77777777" w:rsidR="006A58B8" w:rsidRPr="000D0DBD" w:rsidRDefault="006A58B8" w:rsidP="00410A78">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r>
      <w:tr w:rsidR="006A58B8" w14:paraId="73D50CC9" w14:textId="77777777" w:rsidTr="00DE495E">
        <w:trPr>
          <w:jc w:val="center"/>
        </w:trPr>
        <w:tc>
          <w:tcPr>
            <w:tcW w:w="774" w:type="dxa"/>
          </w:tcPr>
          <w:p w14:paraId="55638CA0" w14:textId="53684834" w:rsidR="006A58B8" w:rsidRPr="009329CB" w:rsidRDefault="006A58B8" w:rsidP="00410A78">
            <w:pPr>
              <w:spacing w:before="60" w:after="60" w:line="240" w:lineRule="auto"/>
              <w:ind w:left="0"/>
              <w:rPr>
                <w:rFonts w:cs="Arial"/>
                <w:sz w:val="20"/>
                <w:szCs w:val="20"/>
              </w:rPr>
            </w:pPr>
            <w:r>
              <w:rPr>
                <w:rFonts w:cs="Arial"/>
                <w:sz w:val="20"/>
                <w:szCs w:val="20"/>
              </w:rPr>
              <w:t>LFC</w:t>
            </w:r>
          </w:p>
        </w:tc>
        <w:tc>
          <w:tcPr>
            <w:tcW w:w="1602" w:type="dxa"/>
            <w:vAlign w:val="center"/>
          </w:tcPr>
          <w:p w14:paraId="6716BF2C" w14:textId="2C4F0AE6" w:rsidR="006A58B8" w:rsidRPr="00A03DC1" w:rsidRDefault="006A58B8" w:rsidP="00410A78">
            <w:pPr>
              <w:spacing w:before="60" w:after="60" w:line="240" w:lineRule="auto"/>
              <w:ind w:left="0"/>
              <w:jc w:val="center"/>
              <w:rPr>
                <w:rFonts w:cs="Arial"/>
                <w:sz w:val="20"/>
                <w:szCs w:val="20"/>
              </w:rPr>
            </w:pPr>
            <w:r>
              <w:rPr>
                <w:sz w:val="20"/>
                <w:szCs w:val="20"/>
              </w:rPr>
              <w:t>183</w:t>
            </w:r>
          </w:p>
        </w:tc>
        <w:tc>
          <w:tcPr>
            <w:tcW w:w="993" w:type="dxa"/>
          </w:tcPr>
          <w:p w14:paraId="6EB0EE26" w14:textId="45300C34" w:rsidR="006A58B8" w:rsidRPr="00DB2EAF" w:rsidRDefault="006A58B8" w:rsidP="00410A78">
            <w:pPr>
              <w:spacing w:before="60" w:after="60" w:line="240" w:lineRule="auto"/>
              <w:ind w:left="0"/>
              <w:jc w:val="center"/>
              <w:rPr>
                <w:sz w:val="20"/>
                <w:szCs w:val="20"/>
              </w:rPr>
            </w:pPr>
            <w:r>
              <w:rPr>
                <w:sz w:val="20"/>
                <w:szCs w:val="20"/>
              </w:rPr>
              <w:t>3.29</w:t>
            </w:r>
          </w:p>
        </w:tc>
        <w:tc>
          <w:tcPr>
            <w:tcW w:w="850" w:type="dxa"/>
          </w:tcPr>
          <w:p w14:paraId="14AD089D" w14:textId="63CF0F4D" w:rsidR="006A58B8" w:rsidRPr="00DB2EAF" w:rsidRDefault="006A58B8" w:rsidP="00410A78">
            <w:pPr>
              <w:spacing w:before="60" w:after="60" w:line="240" w:lineRule="auto"/>
              <w:ind w:left="0"/>
              <w:jc w:val="center"/>
              <w:rPr>
                <w:sz w:val="20"/>
                <w:szCs w:val="20"/>
              </w:rPr>
            </w:pPr>
            <w:r>
              <w:rPr>
                <w:sz w:val="20"/>
                <w:szCs w:val="20"/>
              </w:rPr>
              <w:t>230.0</w:t>
            </w:r>
          </w:p>
        </w:tc>
        <w:tc>
          <w:tcPr>
            <w:tcW w:w="709" w:type="dxa"/>
            <w:shd w:val="clear" w:color="auto" w:fill="FF0000"/>
          </w:tcPr>
          <w:p w14:paraId="308F4EAE" w14:textId="233D9C34" w:rsidR="006A58B8" w:rsidRPr="00DB2EAF" w:rsidRDefault="006A58B8" w:rsidP="00410A78">
            <w:pPr>
              <w:spacing w:before="60" w:after="60" w:line="240" w:lineRule="auto"/>
              <w:ind w:left="0"/>
              <w:jc w:val="center"/>
              <w:rPr>
                <w:sz w:val="20"/>
                <w:szCs w:val="20"/>
              </w:rPr>
            </w:pPr>
            <w:r>
              <w:rPr>
                <w:sz w:val="20"/>
                <w:szCs w:val="20"/>
              </w:rPr>
              <w:t>6.8</w:t>
            </w:r>
          </w:p>
        </w:tc>
        <w:tc>
          <w:tcPr>
            <w:tcW w:w="992" w:type="dxa"/>
          </w:tcPr>
          <w:p w14:paraId="04CA46BA" w14:textId="66DC67EF" w:rsidR="006A58B8" w:rsidRPr="00DB2EAF" w:rsidRDefault="006A58B8" w:rsidP="00410A78">
            <w:pPr>
              <w:spacing w:before="60" w:after="60" w:line="240" w:lineRule="auto"/>
              <w:ind w:left="0"/>
              <w:jc w:val="center"/>
              <w:rPr>
                <w:sz w:val="20"/>
                <w:szCs w:val="20"/>
              </w:rPr>
            </w:pPr>
            <w:r>
              <w:rPr>
                <w:sz w:val="20"/>
                <w:szCs w:val="20"/>
              </w:rPr>
              <w:t>165.0</w:t>
            </w:r>
          </w:p>
        </w:tc>
        <w:tc>
          <w:tcPr>
            <w:tcW w:w="851" w:type="dxa"/>
          </w:tcPr>
          <w:p w14:paraId="5F07F50E" w14:textId="002655E4" w:rsidR="006A58B8" w:rsidRPr="00DB2EAF" w:rsidRDefault="006A58B8" w:rsidP="00410A78">
            <w:pPr>
              <w:spacing w:before="60" w:after="60" w:line="240" w:lineRule="auto"/>
              <w:ind w:left="0"/>
              <w:jc w:val="center"/>
              <w:rPr>
                <w:sz w:val="20"/>
                <w:szCs w:val="20"/>
              </w:rPr>
            </w:pPr>
            <w:r>
              <w:rPr>
                <w:sz w:val="20"/>
                <w:szCs w:val="20"/>
              </w:rPr>
              <w:t>4.58</w:t>
            </w:r>
          </w:p>
        </w:tc>
        <w:tc>
          <w:tcPr>
            <w:tcW w:w="992" w:type="dxa"/>
          </w:tcPr>
          <w:p w14:paraId="4F510FB9" w14:textId="5DD6B706" w:rsidR="006A58B8" w:rsidRPr="00DB2EAF" w:rsidRDefault="006A58B8" w:rsidP="00410A78">
            <w:pPr>
              <w:spacing w:before="60" w:after="60" w:line="240" w:lineRule="auto"/>
              <w:ind w:left="0"/>
              <w:jc w:val="center"/>
              <w:rPr>
                <w:sz w:val="20"/>
                <w:szCs w:val="20"/>
              </w:rPr>
            </w:pPr>
            <w:r>
              <w:rPr>
                <w:sz w:val="20"/>
                <w:szCs w:val="20"/>
              </w:rPr>
              <w:t>129.0</w:t>
            </w:r>
          </w:p>
        </w:tc>
      </w:tr>
      <w:tr w:rsidR="006A58B8" w14:paraId="4CDA5788" w14:textId="77777777" w:rsidTr="006A58B8">
        <w:trPr>
          <w:jc w:val="center"/>
        </w:trPr>
        <w:tc>
          <w:tcPr>
            <w:tcW w:w="774" w:type="dxa"/>
          </w:tcPr>
          <w:p w14:paraId="4F588064" w14:textId="32C4F444" w:rsidR="006A58B8" w:rsidRPr="009329CB" w:rsidRDefault="006A58B8" w:rsidP="00410A78">
            <w:pPr>
              <w:spacing w:before="60" w:after="60" w:line="240" w:lineRule="auto"/>
              <w:ind w:left="0"/>
              <w:rPr>
                <w:rFonts w:cs="Arial"/>
                <w:sz w:val="20"/>
                <w:szCs w:val="20"/>
              </w:rPr>
            </w:pPr>
            <w:r>
              <w:rPr>
                <w:rFonts w:cs="Arial"/>
                <w:sz w:val="20"/>
                <w:szCs w:val="20"/>
              </w:rPr>
              <w:t>MFC</w:t>
            </w:r>
          </w:p>
        </w:tc>
        <w:tc>
          <w:tcPr>
            <w:tcW w:w="1602" w:type="dxa"/>
            <w:vAlign w:val="center"/>
          </w:tcPr>
          <w:p w14:paraId="11426275" w14:textId="1798CB59" w:rsidR="006A58B8" w:rsidRPr="00A03DC1" w:rsidRDefault="006A58B8" w:rsidP="00410A78">
            <w:pPr>
              <w:spacing w:before="60" w:after="60" w:line="240" w:lineRule="auto"/>
              <w:ind w:left="0"/>
              <w:jc w:val="center"/>
              <w:rPr>
                <w:rFonts w:cs="Arial"/>
                <w:sz w:val="20"/>
                <w:szCs w:val="20"/>
              </w:rPr>
            </w:pPr>
            <w:r>
              <w:rPr>
                <w:sz w:val="20"/>
                <w:szCs w:val="20"/>
              </w:rPr>
              <w:t>185</w:t>
            </w:r>
          </w:p>
        </w:tc>
        <w:tc>
          <w:tcPr>
            <w:tcW w:w="993" w:type="dxa"/>
            <w:vAlign w:val="bottom"/>
          </w:tcPr>
          <w:p w14:paraId="3AC7EC16" w14:textId="23FDAFF3" w:rsidR="006A58B8" w:rsidRPr="00A03DC1" w:rsidRDefault="006A58B8" w:rsidP="00410A78">
            <w:pPr>
              <w:spacing w:before="60" w:after="60" w:line="240" w:lineRule="auto"/>
              <w:ind w:left="0"/>
              <w:jc w:val="center"/>
              <w:rPr>
                <w:rFonts w:cs="Arial"/>
                <w:sz w:val="20"/>
                <w:szCs w:val="20"/>
              </w:rPr>
            </w:pPr>
            <w:r>
              <w:rPr>
                <w:rFonts w:cs="Arial"/>
                <w:sz w:val="20"/>
                <w:szCs w:val="20"/>
              </w:rPr>
              <w:t>-</w:t>
            </w:r>
          </w:p>
        </w:tc>
        <w:tc>
          <w:tcPr>
            <w:tcW w:w="850" w:type="dxa"/>
            <w:vAlign w:val="bottom"/>
          </w:tcPr>
          <w:p w14:paraId="22B8C9B5" w14:textId="5653C236" w:rsidR="006A58B8" w:rsidRPr="00A03DC1" w:rsidRDefault="006A58B8" w:rsidP="00410A78">
            <w:pPr>
              <w:spacing w:before="60" w:after="60" w:line="240" w:lineRule="auto"/>
              <w:ind w:left="0"/>
              <w:jc w:val="center"/>
              <w:rPr>
                <w:rFonts w:cs="Arial"/>
                <w:sz w:val="20"/>
                <w:szCs w:val="20"/>
              </w:rPr>
            </w:pPr>
            <w:r>
              <w:rPr>
                <w:rFonts w:cs="Arial"/>
                <w:sz w:val="20"/>
                <w:szCs w:val="20"/>
              </w:rPr>
              <w:t>-</w:t>
            </w:r>
          </w:p>
        </w:tc>
        <w:tc>
          <w:tcPr>
            <w:tcW w:w="709" w:type="dxa"/>
            <w:vAlign w:val="bottom"/>
          </w:tcPr>
          <w:p w14:paraId="6CCA2B78" w14:textId="236E769E" w:rsidR="006A58B8" w:rsidRPr="00A03DC1" w:rsidRDefault="006A58B8" w:rsidP="00410A78">
            <w:pPr>
              <w:spacing w:before="60" w:after="60" w:line="240" w:lineRule="auto"/>
              <w:ind w:left="0"/>
              <w:jc w:val="center"/>
              <w:rPr>
                <w:rFonts w:cs="Arial"/>
                <w:sz w:val="20"/>
                <w:szCs w:val="20"/>
              </w:rPr>
            </w:pPr>
            <w:r>
              <w:rPr>
                <w:rFonts w:cs="Arial"/>
                <w:sz w:val="20"/>
                <w:szCs w:val="20"/>
              </w:rPr>
              <w:t>-</w:t>
            </w:r>
          </w:p>
        </w:tc>
        <w:tc>
          <w:tcPr>
            <w:tcW w:w="992" w:type="dxa"/>
            <w:vAlign w:val="bottom"/>
          </w:tcPr>
          <w:p w14:paraId="22F27BC7" w14:textId="5FC9483D" w:rsidR="006A58B8" w:rsidRPr="00A03DC1" w:rsidRDefault="006A58B8" w:rsidP="00410A78">
            <w:pPr>
              <w:spacing w:before="60" w:after="60" w:line="240" w:lineRule="auto"/>
              <w:ind w:left="0"/>
              <w:jc w:val="center"/>
              <w:rPr>
                <w:rFonts w:cs="Arial"/>
                <w:sz w:val="20"/>
                <w:szCs w:val="20"/>
              </w:rPr>
            </w:pPr>
            <w:r>
              <w:rPr>
                <w:rFonts w:cs="Arial"/>
                <w:sz w:val="20"/>
                <w:szCs w:val="20"/>
              </w:rPr>
              <w:t>-</w:t>
            </w:r>
          </w:p>
        </w:tc>
        <w:tc>
          <w:tcPr>
            <w:tcW w:w="851" w:type="dxa"/>
            <w:vAlign w:val="bottom"/>
          </w:tcPr>
          <w:p w14:paraId="4B834B66" w14:textId="47E538E2" w:rsidR="006A58B8" w:rsidRPr="00A03DC1" w:rsidRDefault="006A58B8" w:rsidP="00410A78">
            <w:pPr>
              <w:spacing w:before="60" w:after="60" w:line="240" w:lineRule="auto"/>
              <w:ind w:left="0"/>
              <w:jc w:val="center"/>
              <w:rPr>
                <w:rFonts w:cs="Arial"/>
                <w:sz w:val="20"/>
                <w:szCs w:val="20"/>
              </w:rPr>
            </w:pPr>
            <w:r>
              <w:rPr>
                <w:rFonts w:cs="Arial"/>
                <w:sz w:val="20"/>
                <w:szCs w:val="20"/>
              </w:rPr>
              <w:t>-</w:t>
            </w:r>
          </w:p>
        </w:tc>
        <w:tc>
          <w:tcPr>
            <w:tcW w:w="992" w:type="dxa"/>
            <w:vAlign w:val="bottom"/>
          </w:tcPr>
          <w:p w14:paraId="06F05430" w14:textId="3FC3FF15" w:rsidR="006A58B8" w:rsidRPr="00A03DC1" w:rsidRDefault="006A58B8" w:rsidP="00410A78">
            <w:pPr>
              <w:spacing w:before="60" w:after="60" w:line="240" w:lineRule="auto"/>
              <w:ind w:left="0"/>
              <w:jc w:val="center"/>
              <w:rPr>
                <w:rFonts w:cs="Arial"/>
                <w:sz w:val="20"/>
                <w:szCs w:val="20"/>
              </w:rPr>
            </w:pPr>
            <w:r>
              <w:rPr>
                <w:rFonts w:cs="Arial"/>
                <w:sz w:val="20"/>
                <w:szCs w:val="20"/>
              </w:rPr>
              <w:t>-</w:t>
            </w:r>
          </w:p>
        </w:tc>
      </w:tr>
      <w:tr w:rsidR="006A58B8" w14:paraId="022F6600" w14:textId="77777777" w:rsidTr="00DE495E">
        <w:trPr>
          <w:jc w:val="center"/>
        </w:trPr>
        <w:tc>
          <w:tcPr>
            <w:tcW w:w="774" w:type="dxa"/>
          </w:tcPr>
          <w:p w14:paraId="63EC867F" w14:textId="6F68BA0E" w:rsidR="006A58B8" w:rsidRDefault="006A58B8" w:rsidP="00410A78">
            <w:pPr>
              <w:spacing w:before="60" w:after="60" w:line="240" w:lineRule="auto"/>
              <w:ind w:left="0"/>
              <w:rPr>
                <w:rFonts w:cs="Arial"/>
                <w:sz w:val="20"/>
                <w:szCs w:val="20"/>
              </w:rPr>
            </w:pPr>
            <w:r>
              <w:rPr>
                <w:rFonts w:cs="Arial"/>
                <w:sz w:val="20"/>
                <w:szCs w:val="20"/>
              </w:rPr>
              <w:t>HFC</w:t>
            </w:r>
          </w:p>
        </w:tc>
        <w:tc>
          <w:tcPr>
            <w:tcW w:w="1602" w:type="dxa"/>
            <w:vAlign w:val="center"/>
          </w:tcPr>
          <w:p w14:paraId="03F09D8B" w14:textId="1FB6A3CD" w:rsidR="006A58B8" w:rsidRDefault="006A58B8" w:rsidP="00410A78">
            <w:pPr>
              <w:spacing w:before="60" w:after="60" w:line="240" w:lineRule="auto"/>
              <w:ind w:left="0"/>
              <w:jc w:val="center"/>
              <w:rPr>
                <w:sz w:val="20"/>
                <w:szCs w:val="20"/>
              </w:rPr>
            </w:pPr>
            <w:r>
              <w:rPr>
                <w:sz w:val="20"/>
                <w:szCs w:val="20"/>
              </w:rPr>
              <w:t>155</w:t>
            </w:r>
          </w:p>
        </w:tc>
        <w:tc>
          <w:tcPr>
            <w:tcW w:w="993" w:type="dxa"/>
            <w:vAlign w:val="bottom"/>
          </w:tcPr>
          <w:p w14:paraId="40D88416" w14:textId="1138388D" w:rsidR="006A58B8" w:rsidRDefault="006A58B8" w:rsidP="00410A78">
            <w:pPr>
              <w:spacing w:before="60" w:after="60" w:line="240" w:lineRule="auto"/>
              <w:ind w:left="0"/>
              <w:jc w:val="center"/>
              <w:rPr>
                <w:rFonts w:cs="Arial"/>
                <w:sz w:val="20"/>
                <w:szCs w:val="20"/>
              </w:rPr>
            </w:pPr>
            <w:r>
              <w:rPr>
                <w:rFonts w:cs="Arial"/>
                <w:sz w:val="20"/>
                <w:szCs w:val="20"/>
              </w:rPr>
              <w:t>0.03</w:t>
            </w:r>
          </w:p>
        </w:tc>
        <w:tc>
          <w:tcPr>
            <w:tcW w:w="850" w:type="dxa"/>
            <w:vAlign w:val="bottom"/>
          </w:tcPr>
          <w:p w14:paraId="4D50085F" w14:textId="34DE24C2" w:rsidR="006A58B8" w:rsidRDefault="006A58B8" w:rsidP="00410A78">
            <w:pPr>
              <w:spacing w:before="60" w:after="60" w:line="240" w:lineRule="auto"/>
              <w:ind w:left="0"/>
              <w:jc w:val="center"/>
              <w:rPr>
                <w:rFonts w:cs="Arial"/>
                <w:sz w:val="20"/>
                <w:szCs w:val="20"/>
              </w:rPr>
            </w:pPr>
            <w:r>
              <w:rPr>
                <w:rFonts w:cs="Arial"/>
                <w:sz w:val="20"/>
                <w:szCs w:val="20"/>
              </w:rPr>
              <w:t>4.61</w:t>
            </w:r>
          </w:p>
        </w:tc>
        <w:tc>
          <w:tcPr>
            <w:tcW w:w="709" w:type="dxa"/>
            <w:vAlign w:val="bottom"/>
          </w:tcPr>
          <w:p w14:paraId="125E1030" w14:textId="4934EE68" w:rsidR="006A58B8" w:rsidRDefault="006A58B8" w:rsidP="00410A78">
            <w:pPr>
              <w:spacing w:before="60" w:after="60" w:line="240" w:lineRule="auto"/>
              <w:ind w:left="0"/>
              <w:jc w:val="center"/>
              <w:rPr>
                <w:rFonts w:cs="Arial"/>
                <w:sz w:val="20"/>
                <w:szCs w:val="20"/>
              </w:rPr>
            </w:pPr>
            <w:r>
              <w:rPr>
                <w:rFonts w:cs="Arial"/>
                <w:sz w:val="20"/>
                <w:szCs w:val="20"/>
              </w:rPr>
              <w:t>0.07</w:t>
            </w:r>
          </w:p>
        </w:tc>
        <w:tc>
          <w:tcPr>
            <w:tcW w:w="992" w:type="dxa"/>
            <w:vAlign w:val="bottom"/>
          </w:tcPr>
          <w:p w14:paraId="3D9FB597" w14:textId="0EAAF403" w:rsidR="006A58B8" w:rsidRDefault="006A58B8" w:rsidP="00410A78">
            <w:pPr>
              <w:spacing w:before="60" w:after="60" w:line="240" w:lineRule="auto"/>
              <w:ind w:left="0"/>
              <w:jc w:val="center"/>
              <w:rPr>
                <w:rFonts w:cs="Arial"/>
                <w:sz w:val="20"/>
                <w:szCs w:val="20"/>
              </w:rPr>
            </w:pPr>
            <w:r>
              <w:rPr>
                <w:rFonts w:cs="Arial"/>
                <w:sz w:val="20"/>
                <w:szCs w:val="20"/>
              </w:rPr>
              <w:t>8.04</w:t>
            </w:r>
          </w:p>
        </w:tc>
        <w:tc>
          <w:tcPr>
            <w:tcW w:w="851" w:type="dxa"/>
            <w:shd w:val="clear" w:color="auto" w:fill="FF0000"/>
            <w:vAlign w:val="bottom"/>
          </w:tcPr>
          <w:p w14:paraId="33062584" w14:textId="4F5FBD9A" w:rsidR="006A58B8" w:rsidRDefault="006A58B8" w:rsidP="00410A78">
            <w:pPr>
              <w:spacing w:before="60" w:after="60" w:line="240" w:lineRule="auto"/>
              <w:ind w:left="0"/>
              <w:jc w:val="center"/>
              <w:rPr>
                <w:rFonts w:cs="Arial"/>
                <w:sz w:val="20"/>
                <w:szCs w:val="20"/>
              </w:rPr>
            </w:pPr>
            <w:r>
              <w:rPr>
                <w:rFonts w:cs="Arial"/>
                <w:sz w:val="20"/>
                <w:szCs w:val="20"/>
              </w:rPr>
              <w:t>0.08</w:t>
            </w:r>
          </w:p>
        </w:tc>
        <w:tc>
          <w:tcPr>
            <w:tcW w:w="992" w:type="dxa"/>
            <w:vAlign w:val="bottom"/>
          </w:tcPr>
          <w:p w14:paraId="0DDA139F" w14:textId="26F9A4B9" w:rsidR="006A58B8" w:rsidRDefault="006A58B8" w:rsidP="00410A78">
            <w:pPr>
              <w:spacing w:before="60" w:after="60" w:line="240" w:lineRule="auto"/>
              <w:ind w:left="0"/>
              <w:jc w:val="center"/>
              <w:rPr>
                <w:rFonts w:cs="Arial"/>
                <w:sz w:val="20"/>
                <w:szCs w:val="20"/>
              </w:rPr>
            </w:pPr>
            <w:r>
              <w:rPr>
                <w:rFonts w:cs="Arial"/>
                <w:sz w:val="20"/>
                <w:szCs w:val="20"/>
              </w:rPr>
              <w:t>12.6</w:t>
            </w:r>
          </w:p>
        </w:tc>
      </w:tr>
    </w:tbl>
    <w:p w14:paraId="38CCECAA" w14:textId="7C76346C" w:rsidR="00DE495E" w:rsidRDefault="00DE495E" w:rsidP="00DE495E">
      <w:pPr>
        <w:spacing w:after="240"/>
        <w:ind w:left="0"/>
        <w:rPr>
          <w:i/>
          <w:sz w:val="18"/>
          <w:szCs w:val="18"/>
        </w:rPr>
      </w:pPr>
      <w:r w:rsidRPr="001D2756">
        <w:rPr>
          <w:i/>
          <w:sz w:val="18"/>
          <w:szCs w:val="18"/>
        </w:rPr>
        <w:t>Cells highlighted in red indicate maximum predicted exten</w:t>
      </w:r>
      <w:r w:rsidR="00A24FEE">
        <w:rPr>
          <w:i/>
          <w:sz w:val="18"/>
          <w:szCs w:val="18"/>
        </w:rPr>
        <w:t>t</w:t>
      </w:r>
      <w:r w:rsidRPr="001D2756">
        <w:rPr>
          <w:i/>
          <w:sz w:val="18"/>
          <w:szCs w:val="18"/>
        </w:rPr>
        <w:t xml:space="preserve"> of sound.</w:t>
      </w:r>
    </w:p>
    <w:p w14:paraId="500C5177" w14:textId="70158E43" w:rsidR="00577950" w:rsidRPr="00811096" w:rsidRDefault="00577950" w:rsidP="00577950">
      <w:pPr>
        <w:ind w:left="0"/>
        <w:rPr>
          <w:sz w:val="22"/>
          <w:szCs w:val="22"/>
        </w:rPr>
      </w:pPr>
      <w:r w:rsidRPr="005B7D74">
        <w:rPr>
          <w:sz w:val="22"/>
          <w:szCs w:val="22"/>
        </w:rPr>
        <w:t>The</w:t>
      </w:r>
      <w:r>
        <w:rPr>
          <w:sz w:val="22"/>
          <w:szCs w:val="22"/>
        </w:rPr>
        <w:t xml:space="preserve"> </w:t>
      </w:r>
      <w:r w:rsidRPr="005B7D74">
        <w:rPr>
          <w:sz w:val="22"/>
          <w:szCs w:val="22"/>
        </w:rPr>
        <w:t xml:space="preserve">results </w:t>
      </w:r>
      <w:r>
        <w:rPr>
          <w:sz w:val="22"/>
          <w:szCs w:val="22"/>
        </w:rPr>
        <w:t xml:space="preserve">from </w:t>
      </w:r>
      <w:r w:rsidRPr="00EF4E2A">
        <w:rPr>
          <w:sz w:val="22"/>
          <w:szCs w:val="22"/>
        </w:rPr>
        <w:t>Table 7.1</w:t>
      </w:r>
      <w:r w:rsidR="00005091" w:rsidRPr="00EF4E2A">
        <w:rPr>
          <w:sz w:val="22"/>
          <w:szCs w:val="22"/>
        </w:rPr>
        <w:t>2</w:t>
      </w:r>
      <w:r w:rsidRPr="00EF4E2A">
        <w:rPr>
          <w:sz w:val="22"/>
          <w:szCs w:val="22"/>
        </w:rPr>
        <w:t xml:space="preserve"> predict that the maximum distance at which the NMFS (2013) marine mammal behavioural response criterion of 160 dB re 1 µPa could be exceeded is 8.13 km. The results from Table 7.1</w:t>
      </w:r>
      <w:r w:rsidR="00005091" w:rsidRPr="00EF4E2A">
        <w:rPr>
          <w:sz w:val="22"/>
          <w:szCs w:val="22"/>
        </w:rPr>
        <w:t>4</w:t>
      </w:r>
      <w:r w:rsidRPr="00EF4E2A">
        <w:rPr>
          <w:sz w:val="22"/>
          <w:szCs w:val="22"/>
        </w:rPr>
        <w:t xml:space="preserve"> predict</w:t>
      </w:r>
      <w:r w:rsidRPr="00811096">
        <w:rPr>
          <w:sz w:val="22"/>
          <w:szCs w:val="22"/>
        </w:rPr>
        <w:t xml:space="preserve"> that the maximum distance at which PTS onset may occur is 6.8 km.</w:t>
      </w:r>
    </w:p>
    <w:p w14:paraId="039E2836" w14:textId="77777777" w:rsidR="00577950" w:rsidRPr="00811096" w:rsidRDefault="00577950" w:rsidP="00577950">
      <w:pPr>
        <w:ind w:left="0"/>
        <w:rPr>
          <w:rFonts w:cs="Arial"/>
          <w:sz w:val="22"/>
          <w:szCs w:val="22"/>
        </w:rPr>
      </w:pPr>
    </w:p>
    <w:p w14:paraId="737A26C9" w14:textId="1038F8F2" w:rsidR="004F5C0C" w:rsidRPr="004F5C0C" w:rsidRDefault="004F5C0C" w:rsidP="004F5C0C">
      <w:pPr>
        <w:spacing w:after="120" w:line="240" w:lineRule="auto"/>
        <w:ind w:left="0"/>
        <w:rPr>
          <w:rFonts w:cs="Arial"/>
          <w:sz w:val="22"/>
          <w:szCs w:val="22"/>
          <w:u w:val="single"/>
        </w:rPr>
      </w:pPr>
      <w:r w:rsidRPr="004F5C0C">
        <w:rPr>
          <w:rFonts w:cs="Arial"/>
          <w:sz w:val="22"/>
          <w:szCs w:val="22"/>
          <w:u w:val="single"/>
        </w:rPr>
        <w:t>Predicted impacts</w:t>
      </w:r>
    </w:p>
    <w:p w14:paraId="65795B42" w14:textId="77777777" w:rsidR="00577950" w:rsidRDefault="00577950" w:rsidP="00577950">
      <w:pPr>
        <w:ind w:left="0"/>
        <w:rPr>
          <w:rFonts w:cs="Arial"/>
          <w:sz w:val="22"/>
          <w:szCs w:val="22"/>
        </w:rPr>
      </w:pPr>
      <w:r>
        <w:rPr>
          <w:rFonts w:cs="Arial"/>
          <w:sz w:val="22"/>
          <w:szCs w:val="22"/>
        </w:rPr>
        <w:t>C</w:t>
      </w:r>
      <w:r w:rsidRPr="00C07DB7">
        <w:rPr>
          <w:rFonts w:cs="Arial"/>
          <w:sz w:val="22"/>
          <w:szCs w:val="22"/>
        </w:rPr>
        <w:t xml:space="preserve">etaceans </w:t>
      </w:r>
      <w:r>
        <w:rPr>
          <w:rFonts w:cs="Arial"/>
          <w:sz w:val="22"/>
          <w:szCs w:val="22"/>
        </w:rPr>
        <w:t xml:space="preserve">may be exposed to sound levels that cause behavioural effects or TTS (within a few kilometres of the source). However, the known temporal and spatial characteristics of cetaceans that may occur in and around the proposed acquisition area make it unlikely that they will be impacted in this manner because: </w:t>
      </w:r>
    </w:p>
    <w:p w14:paraId="7BAEE34A" w14:textId="77777777" w:rsidR="00577950" w:rsidRDefault="00577950" w:rsidP="00577950">
      <w:pPr>
        <w:ind w:left="0"/>
        <w:rPr>
          <w:rFonts w:cs="Arial"/>
          <w:sz w:val="22"/>
          <w:szCs w:val="22"/>
        </w:rPr>
      </w:pPr>
    </w:p>
    <w:p w14:paraId="7F5298CC" w14:textId="77777777" w:rsidR="00577950" w:rsidRPr="00493D38" w:rsidRDefault="00577950" w:rsidP="00577950">
      <w:pPr>
        <w:pStyle w:val="ListParagraph0"/>
        <w:numPr>
          <w:ilvl w:val="0"/>
          <w:numId w:val="380"/>
        </w:numPr>
        <w:spacing w:before="40" w:after="40" w:line="240" w:lineRule="auto"/>
        <w:ind w:left="714" w:hanging="357"/>
        <w:rPr>
          <w:rFonts w:cs="Arial"/>
          <w:sz w:val="22"/>
          <w:szCs w:val="22"/>
        </w:rPr>
      </w:pPr>
      <w:r w:rsidRPr="00493D38">
        <w:rPr>
          <w:rFonts w:cs="Arial"/>
          <w:sz w:val="22"/>
          <w:szCs w:val="22"/>
        </w:rPr>
        <w:t>There is no defined nearshore migration corridor for southern right whales, and their presence in and around the proposed acquisition area is likely to be limited to the months outside of the survey period (generally between May and October).</w:t>
      </w:r>
    </w:p>
    <w:p w14:paraId="1EBCC12C" w14:textId="77777777" w:rsidR="00577950" w:rsidRDefault="00577950" w:rsidP="00577950">
      <w:pPr>
        <w:pStyle w:val="bodycopy"/>
        <w:numPr>
          <w:ilvl w:val="0"/>
          <w:numId w:val="380"/>
        </w:numPr>
        <w:spacing w:before="40" w:after="40"/>
        <w:ind w:left="714" w:hanging="357"/>
        <w:rPr>
          <w:rFonts w:ascii="Arial" w:hAnsi="Arial"/>
          <w:sz w:val="22"/>
          <w:szCs w:val="22"/>
        </w:rPr>
      </w:pPr>
      <w:r w:rsidRPr="00493D38">
        <w:rPr>
          <w:rFonts w:ascii="Arial" w:hAnsi="Arial"/>
          <w:sz w:val="22"/>
          <w:szCs w:val="22"/>
        </w:rPr>
        <w:t xml:space="preserve">Southern right whales are unlikely to be present in or near the acquisition area at the time of the survey and that the closest known calving/nursery grounds to the proposed acquisition area occurs at Logan’s Beach off the southwest Victorian coast (approximately 430 km west of the proposed acquisition area), the effects of seismic sound on southern right whales are likely to be negligible.   </w:t>
      </w:r>
    </w:p>
    <w:p w14:paraId="4A4B8096" w14:textId="77777777" w:rsidR="00577950" w:rsidRPr="00493D38" w:rsidRDefault="00577950" w:rsidP="00577950">
      <w:pPr>
        <w:pStyle w:val="bodycopy"/>
        <w:numPr>
          <w:ilvl w:val="0"/>
          <w:numId w:val="380"/>
        </w:numPr>
        <w:spacing w:before="40" w:after="40"/>
        <w:ind w:left="714" w:hanging="357"/>
        <w:rPr>
          <w:rFonts w:ascii="Arial" w:hAnsi="Arial"/>
          <w:sz w:val="22"/>
          <w:szCs w:val="22"/>
        </w:rPr>
      </w:pPr>
      <w:r w:rsidRPr="00493D38">
        <w:rPr>
          <w:rFonts w:ascii="Arial" w:hAnsi="Arial"/>
          <w:sz w:val="22"/>
          <w:szCs w:val="22"/>
        </w:rPr>
        <w:t xml:space="preserve">Pygmy blue whales are unlikely to be present in the area (they are known to occur mainly in southwest Victoria, with a low possibility of occurrence in or around the proposed acquisition area towards the tail end of the proposed survey period). The risk of significantly reducing foraging habitat as a consequence of sound generated by the seismic survey is considered to be negligible. </w:t>
      </w:r>
    </w:p>
    <w:p w14:paraId="4D90DEE5" w14:textId="77777777" w:rsidR="00577950" w:rsidRPr="00493D38" w:rsidRDefault="00577950" w:rsidP="00577950">
      <w:pPr>
        <w:pStyle w:val="ListParagraph0"/>
        <w:numPr>
          <w:ilvl w:val="0"/>
          <w:numId w:val="380"/>
        </w:numPr>
        <w:spacing w:before="40" w:after="40" w:line="240" w:lineRule="auto"/>
        <w:ind w:left="714" w:hanging="357"/>
        <w:rPr>
          <w:rFonts w:cs="Arial"/>
          <w:sz w:val="22"/>
          <w:szCs w:val="22"/>
        </w:rPr>
      </w:pPr>
      <w:r w:rsidRPr="00493D38">
        <w:rPr>
          <w:rFonts w:cs="Arial"/>
          <w:sz w:val="22"/>
          <w:szCs w:val="22"/>
        </w:rPr>
        <w:t>Humpback whales may be encountered in the proposed acquisition area during their southern migration in November and December, but this likelihood is considered low due to their preference for migrating along the edge of the continental shelf (in water depths of about 200 m).</w:t>
      </w:r>
    </w:p>
    <w:p w14:paraId="49C3E051" w14:textId="3937D7D5" w:rsidR="00577950" w:rsidRPr="00493D38" w:rsidRDefault="00577950" w:rsidP="00577950">
      <w:pPr>
        <w:pStyle w:val="ListParagraph0"/>
        <w:numPr>
          <w:ilvl w:val="0"/>
          <w:numId w:val="380"/>
        </w:numPr>
        <w:spacing w:before="40" w:after="40" w:line="240" w:lineRule="auto"/>
        <w:ind w:left="714" w:hanging="357"/>
        <w:rPr>
          <w:color w:val="000000" w:themeColor="text1"/>
          <w:sz w:val="22"/>
          <w:szCs w:val="22"/>
        </w:rPr>
      </w:pPr>
      <w:r w:rsidRPr="00493D38">
        <w:rPr>
          <w:color w:val="000000" w:themeColor="text1"/>
          <w:sz w:val="22"/>
          <w:szCs w:val="22"/>
        </w:rPr>
        <w:t xml:space="preserve">In the absence of BIAs in and around the proposed acquisition area for cetacean breeding and calving, it is highly unlikely that cetaceans will mill around in this area (or remain stationary) for a 24-hour period, so the cumulative SELs noted in </w:t>
      </w:r>
      <w:r w:rsidRPr="00EF4E2A">
        <w:rPr>
          <w:sz w:val="22"/>
          <w:szCs w:val="22"/>
        </w:rPr>
        <w:t>Table 7.1</w:t>
      </w:r>
      <w:r w:rsidR="00005091" w:rsidRPr="00EF4E2A">
        <w:rPr>
          <w:sz w:val="22"/>
          <w:szCs w:val="22"/>
        </w:rPr>
        <w:t>2</w:t>
      </w:r>
      <w:r w:rsidRPr="004F5C0C">
        <w:rPr>
          <w:color w:val="FF0000"/>
          <w:sz w:val="22"/>
          <w:szCs w:val="22"/>
        </w:rPr>
        <w:t xml:space="preserve"> </w:t>
      </w:r>
      <w:r w:rsidRPr="00811096">
        <w:rPr>
          <w:sz w:val="22"/>
          <w:szCs w:val="22"/>
        </w:rPr>
        <w:t>are</w:t>
      </w:r>
      <w:r w:rsidRPr="00493D38">
        <w:rPr>
          <w:color w:val="000000" w:themeColor="text1"/>
          <w:sz w:val="22"/>
          <w:szCs w:val="22"/>
        </w:rPr>
        <w:t xml:space="preserve"> unlikely to be realised. </w:t>
      </w:r>
    </w:p>
    <w:p w14:paraId="7A815731" w14:textId="77777777" w:rsidR="00577950" w:rsidRDefault="00577950" w:rsidP="00577950">
      <w:pPr>
        <w:pStyle w:val="ListParagraph0"/>
        <w:numPr>
          <w:ilvl w:val="0"/>
          <w:numId w:val="380"/>
        </w:numPr>
        <w:spacing w:before="40" w:after="40" w:line="240" w:lineRule="auto"/>
        <w:ind w:left="714" w:hanging="357"/>
        <w:rPr>
          <w:rFonts w:cs="Arial"/>
          <w:sz w:val="22"/>
          <w:szCs w:val="22"/>
        </w:rPr>
      </w:pPr>
      <w:r w:rsidRPr="00493D38">
        <w:rPr>
          <w:rFonts w:cs="Arial"/>
          <w:sz w:val="22"/>
          <w:szCs w:val="22"/>
        </w:rPr>
        <w:t xml:space="preserve">Cetaceans have an observed ability to avoid vessels and acoustic sound sources. </w:t>
      </w:r>
    </w:p>
    <w:p w14:paraId="68C8A550" w14:textId="0EBBFB05" w:rsidR="004F5C0C" w:rsidRPr="004F5C0C" w:rsidRDefault="004F5C0C" w:rsidP="004F5C0C">
      <w:pPr>
        <w:pStyle w:val="bodycopy"/>
        <w:numPr>
          <w:ilvl w:val="0"/>
          <w:numId w:val="380"/>
        </w:numPr>
        <w:spacing w:before="40" w:after="40"/>
        <w:ind w:left="714" w:hanging="357"/>
        <w:rPr>
          <w:rFonts w:ascii="Arial" w:hAnsi="Arial"/>
          <w:sz w:val="22"/>
          <w:szCs w:val="22"/>
        </w:rPr>
      </w:pPr>
      <w:r w:rsidRPr="004F5C0C">
        <w:rPr>
          <w:rFonts w:ascii="Arial" w:hAnsi="Arial"/>
          <w:sz w:val="22"/>
          <w:szCs w:val="22"/>
        </w:rPr>
        <w:lastRenderedPageBreak/>
        <w:t>The MSS will not have a ‘significant’ impact on critically endangered or vulnerable cetacean species (see Section 5.4.5) when assessed against the EPBC Act Significant Impact Guidelines 1.1 (DoE, 2013)</w:t>
      </w:r>
      <w:r>
        <w:rPr>
          <w:rFonts w:ascii="Arial" w:hAnsi="Arial"/>
          <w:sz w:val="22"/>
          <w:szCs w:val="22"/>
        </w:rPr>
        <w:t>.</w:t>
      </w:r>
    </w:p>
    <w:p w14:paraId="39334AC8" w14:textId="4EFAF5DA" w:rsidR="00577950" w:rsidRPr="00577950" w:rsidRDefault="00577950" w:rsidP="00891DE1">
      <w:pPr>
        <w:pStyle w:val="ListParagraph0"/>
        <w:numPr>
          <w:ilvl w:val="0"/>
          <w:numId w:val="380"/>
        </w:numPr>
        <w:spacing w:after="240"/>
        <w:rPr>
          <w:i/>
          <w:sz w:val="18"/>
          <w:szCs w:val="18"/>
        </w:rPr>
      </w:pPr>
      <w:r w:rsidRPr="00891DE1">
        <w:rPr>
          <w:rFonts w:cs="Arial"/>
          <w:sz w:val="22"/>
          <w:szCs w:val="22"/>
        </w:rPr>
        <w:t>Soft start and start-up delay procedures (implemented by MMOs) will be implemented during the survey.</w:t>
      </w:r>
    </w:p>
    <w:p w14:paraId="711D266D" w14:textId="5C999D6C" w:rsidR="00577950" w:rsidRDefault="00577950" w:rsidP="00577950">
      <w:pPr>
        <w:ind w:left="0"/>
        <w:rPr>
          <w:rFonts w:ascii="Tahoma" w:hAnsi="Tahoma" w:cs="Arial"/>
          <w:szCs w:val="20"/>
        </w:rPr>
      </w:pPr>
      <w:r>
        <w:rPr>
          <w:rFonts w:cs="Arial"/>
          <w:sz w:val="22"/>
          <w:szCs w:val="22"/>
        </w:rPr>
        <w:t xml:space="preserve">The impacts on cetaceans </w:t>
      </w:r>
      <w:r w:rsidRPr="00A45B0A">
        <w:rPr>
          <w:rFonts w:cs="Arial"/>
          <w:sz w:val="22"/>
          <w:szCs w:val="22"/>
        </w:rPr>
        <w:t xml:space="preserve">are likely to be insignificant at </w:t>
      </w:r>
      <w:r>
        <w:rPr>
          <w:rFonts w:cs="Arial"/>
          <w:sz w:val="22"/>
          <w:szCs w:val="22"/>
        </w:rPr>
        <w:t xml:space="preserve">both a local and </w:t>
      </w:r>
      <w:r w:rsidRPr="00A45B0A">
        <w:rPr>
          <w:rFonts w:cs="Arial"/>
          <w:sz w:val="22"/>
          <w:szCs w:val="22"/>
        </w:rPr>
        <w:t>population level.</w:t>
      </w:r>
    </w:p>
    <w:p w14:paraId="3CE43715" w14:textId="77777777" w:rsidR="002A02AF" w:rsidRDefault="002A02AF" w:rsidP="009C090B">
      <w:pPr>
        <w:ind w:left="0"/>
        <w:rPr>
          <w:sz w:val="22"/>
          <w:szCs w:val="22"/>
        </w:rPr>
      </w:pPr>
    </w:p>
    <w:p w14:paraId="633C3D97" w14:textId="6C49C1DF" w:rsidR="003843D8" w:rsidRPr="00D90A76" w:rsidRDefault="006678F3" w:rsidP="00D90A76">
      <w:pPr>
        <w:ind w:left="0"/>
        <w:rPr>
          <w:rFonts w:cs="Arial"/>
          <w:b/>
          <w:sz w:val="22"/>
          <w:szCs w:val="22"/>
        </w:rPr>
      </w:pPr>
      <w:r>
        <w:rPr>
          <w:rFonts w:cs="Arial"/>
          <w:b/>
          <w:sz w:val="22"/>
          <w:szCs w:val="22"/>
        </w:rPr>
        <w:t xml:space="preserve">Impacts to </w:t>
      </w:r>
      <w:r w:rsidR="003843D8" w:rsidRPr="00D90A76">
        <w:rPr>
          <w:rFonts w:cs="Arial"/>
          <w:b/>
          <w:sz w:val="22"/>
          <w:szCs w:val="22"/>
        </w:rPr>
        <w:t>Pinnipeds</w:t>
      </w:r>
    </w:p>
    <w:p w14:paraId="4268ED14" w14:textId="77777777" w:rsidR="00D90A76" w:rsidRDefault="00D90A76" w:rsidP="0034003E">
      <w:pPr>
        <w:ind w:left="0"/>
        <w:rPr>
          <w:rFonts w:cs="Arial"/>
          <w:sz w:val="22"/>
          <w:szCs w:val="22"/>
        </w:rPr>
      </w:pPr>
    </w:p>
    <w:p w14:paraId="1913A5B8" w14:textId="77777777" w:rsidR="00B12534" w:rsidRDefault="0034003E" w:rsidP="0034003E">
      <w:pPr>
        <w:ind w:left="0"/>
        <w:rPr>
          <w:rFonts w:cs="Arial"/>
          <w:sz w:val="22"/>
          <w:szCs w:val="22"/>
        </w:rPr>
      </w:pPr>
      <w:r w:rsidRPr="00D90A76">
        <w:rPr>
          <w:rFonts w:cs="Arial"/>
          <w:sz w:val="22"/>
          <w:szCs w:val="22"/>
        </w:rPr>
        <w:t xml:space="preserve">Pinnipeds (seals and sea lions) produce sounds over a generally lower and more restricted bandwidth (generally from 100 Hz to several tens of kHz) than cetaceans. Their sounds are used primarily in critical social and reproductive interactions (Southall </w:t>
      </w:r>
      <w:r w:rsidRPr="000C08B5">
        <w:rPr>
          <w:rFonts w:cs="Arial"/>
          <w:i/>
          <w:sz w:val="22"/>
          <w:szCs w:val="22"/>
        </w:rPr>
        <w:t>et al</w:t>
      </w:r>
      <w:r w:rsidRPr="00D90A76">
        <w:rPr>
          <w:rFonts w:cs="Arial"/>
          <w:sz w:val="22"/>
          <w:szCs w:val="22"/>
        </w:rPr>
        <w:t xml:space="preserve">., 2007). Most pinniped species have peak sensitivities between 1 and 20 kHz (NRC, 2003). </w:t>
      </w:r>
    </w:p>
    <w:p w14:paraId="54CDD688" w14:textId="77777777" w:rsidR="00233F73" w:rsidRDefault="00233F73" w:rsidP="0034003E">
      <w:pPr>
        <w:ind w:left="0"/>
        <w:rPr>
          <w:rFonts w:cs="Arial"/>
          <w:sz w:val="22"/>
          <w:szCs w:val="22"/>
        </w:rPr>
      </w:pPr>
    </w:p>
    <w:p w14:paraId="77AC14E5" w14:textId="0D114B43" w:rsidR="00233F73" w:rsidRDefault="00233F73" w:rsidP="0034003E">
      <w:pPr>
        <w:ind w:left="0"/>
        <w:rPr>
          <w:rFonts w:cs="Arial"/>
          <w:sz w:val="22"/>
          <w:szCs w:val="22"/>
        </w:rPr>
      </w:pPr>
      <w:r>
        <w:rPr>
          <w:rFonts w:cs="Arial"/>
          <w:sz w:val="22"/>
          <w:szCs w:val="22"/>
        </w:rPr>
        <w:t xml:space="preserve">Pinnipeds are divided into two groups: </w:t>
      </w:r>
    </w:p>
    <w:p w14:paraId="2C9C8E71" w14:textId="77777777" w:rsidR="00233F73" w:rsidRDefault="00233F73" w:rsidP="0034003E">
      <w:pPr>
        <w:ind w:left="0"/>
        <w:rPr>
          <w:rFonts w:cs="Arial"/>
          <w:sz w:val="22"/>
          <w:szCs w:val="22"/>
        </w:rPr>
      </w:pPr>
    </w:p>
    <w:p w14:paraId="6AD0DC4A" w14:textId="414A71D0" w:rsidR="00233F73" w:rsidRDefault="00233F73" w:rsidP="00233F73">
      <w:pPr>
        <w:pStyle w:val="ListParagraph0"/>
        <w:numPr>
          <w:ilvl w:val="0"/>
          <w:numId w:val="411"/>
        </w:numPr>
        <w:rPr>
          <w:rFonts w:cs="Arial"/>
          <w:sz w:val="22"/>
          <w:szCs w:val="22"/>
        </w:rPr>
      </w:pPr>
      <w:r w:rsidRPr="00233F73">
        <w:rPr>
          <w:rFonts w:cs="Arial"/>
          <w:sz w:val="22"/>
          <w:szCs w:val="22"/>
        </w:rPr>
        <w:t xml:space="preserve">Otariid pinnipeds </w:t>
      </w:r>
      <w:r w:rsidR="00181529">
        <w:rPr>
          <w:rFonts w:cs="Arial"/>
          <w:sz w:val="22"/>
          <w:szCs w:val="22"/>
        </w:rPr>
        <w:t>–</w:t>
      </w:r>
      <w:r w:rsidR="00181529">
        <w:rPr>
          <w:rFonts w:cs="Arial"/>
          <w:sz w:val="22"/>
          <w:szCs w:val="22"/>
        </w:rPr>
        <w:softHyphen/>
      </w:r>
      <w:r>
        <w:rPr>
          <w:rFonts w:cs="Arial"/>
          <w:sz w:val="22"/>
          <w:szCs w:val="22"/>
        </w:rPr>
        <w:t xml:space="preserve"> fur seals and sea lions </w:t>
      </w:r>
      <w:r w:rsidRPr="00233F73">
        <w:rPr>
          <w:rFonts w:cs="Arial"/>
          <w:sz w:val="22"/>
          <w:szCs w:val="22"/>
        </w:rPr>
        <w:t>(‘eared’ seals, using foreflippers for propulsion)</w:t>
      </w:r>
      <w:r>
        <w:rPr>
          <w:rFonts w:cs="Arial"/>
          <w:sz w:val="22"/>
          <w:szCs w:val="22"/>
        </w:rPr>
        <w:t xml:space="preserve">. This is the group of most relevance to this project </w:t>
      </w:r>
      <w:r w:rsidR="00432CB4">
        <w:rPr>
          <w:rFonts w:cs="Arial"/>
          <w:sz w:val="22"/>
          <w:szCs w:val="22"/>
        </w:rPr>
        <w:t xml:space="preserve">(see Section 5.4.6). </w:t>
      </w:r>
    </w:p>
    <w:p w14:paraId="2934C047" w14:textId="3CD051C6" w:rsidR="00432CB4" w:rsidRPr="00233F73" w:rsidRDefault="00432CB4" w:rsidP="00233F73">
      <w:pPr>
        <w:pStyle w:val="ListParagraph0"/>
        <w:numPr>
          <w:ilvl w:val="0"/>
          <w:numId w:val="411"/>
        </w:numPr>
        <w:rPr>
          <w:rFonts w:cs="Arial"/>
          <w:sz w:val="22"/>
          <w:szCs w:val="22"/>
        </w:rPr>
      </w:pPr>
      <w:r>
        <w:rPr>
          <w:rFonts w:cs="Arial"/>
          <w:sz w:val="22"/>
          <w:szCs w:val="22"/>
        </w:rPr>
        <w:t xml:space="preserve">Phocid pinnipeds – true seals (‘earless’ species). </w:t>
      </w:r>
    </w:p>
    <w:p w14:paraId="7028CB86" w14:textId="6A36E0CF" w:rsidR="000C08B5" w:rsidRDefault="000C08B5" w:rsidP="000C08B5">
      <w:pPr>
        <w:spacing w:after="120" w:line="240" w:lineRule="auto"/>
        <w:ind w:left="0"/>
        <w:rPr>
          <w:rFonts w:cs="Arial"/>
          <w:sz w:val="22"/>
          <w:szCs w:val="22"/>
        </w:rPr>
      </w:pPr>
    </w:p>
    <w:p w14:paraId="511641D8" w14:textId="4909C0D6" w:rsidR="000C08B5" w:rsidRPr="003F25B6" w:rsidRDefault="000C08B5" w:rsidP="000C08B5">
      <w:pPr>
        <w:spacing w:after="120" w:line="240" w:lineRule="auto"/>
        <w:ind w:left="0"/>
        <w:rPr>
          <w:rFonts w:cs="Arial"/>
          <w:sz w:val="22"/>
          <w:szCs w:val="22"/>
          <w:u w:val="single"/>
        </w:rPr>
      </w:pPr>
      <w:r>
        <w:rPr>
          <w:rFonts w:cs="Arial"/>
          <w:sz w:val="22"/>
          <w:szCs w:val="22"/>
          <w:u w:val="single"/>
        </w:rPr>
        <w:t>Reseach</w:t>
      </w:r>
      <w:r w:rsidRPr="003F25B6">
        <w:rPr>
          <w:rFonts w:cs="Arial"/>
          <w:sz w:val="22"/>
          <w:szCs w:val="22"/>
          <w:u w:val="single"/>
        </w:rPr>
        <w:t xml:space="preserve"> results</w:t>
      </w:r>
    </w:p>
    <w:p w14:paraId="57D0BC11" w14:textId="7F76E1A6" w:rsidR="00B76145" w:rsidRPr="00222D00" w:rsidRDefault="00B028CE" w:rsidP="003843D8">
      <w:pPr>
        <w:ind w:left="0"/>
        <w:rPr>
          <w:rFonts w:cs="Arial"/>
          <w:sz w:val="22"/>
          <w:szCs w:val="22"/>
        </w:rPr>
      </w:pPr>
      <w:r w:rsidRPr="00222D00">
        <w:rPr>
          <w:rFonts w:cs="Arial"/>
          <w:sz w:val="22"/>
          <w:szCs w:val="22"/>
        </w:rPr>
        <w:t>Pinnipeds</w:t>
      </w:r>
      <w:r w:rsidR="00B76145" w:rsidRPr="00222D00">
        <w:rPr>
          <w:rFonts w:cs="Arial"/>
          <w:sz w:val="22"/>
          <w:szCs w:val="22"/>
        </w:rPr>
        <w:t xml:space="preserve"> may tolerate seismic pulses of high intensity and may be able to approach operating seismic vessels to a close range because their hearing is poor in low frequencies (McCauley, 1994). However, </w:t>
      </w:r>
      <w:r w:rsidR="00A45A5B" w:rsidRPr="00222D00">
        <w:rPr>
          <w:rFonts w:cs="Arial"/>
          <w:sz w:val="22"/>
          <w:szCs w:val="22"/>
        </w:rPr>
        <w:t>it is</w:t>
      </w:r>
      <w:r w:rsidR="00B76145" w:rsidRPr="00222D00">
        <w:rPr>
          <w:rFonts w:cs="Arial"/>
          <w:sz w:val="22"/>
          <w:szCs w:val="22"/>
        </w:rPr>
        <w:t xml:space="preserve"> also suggest</w:t>
      </w:r>
      <w:r w:rsidR="00A45A5B" w:rsidRPr="00222D00">
        <w:rPr>
          <w:rFonts w:cs="Arial"/>
          <w:sz w:val="22"/>
          <w:szCs w:val="22"/>
        </w:rPr>
        <w:t>ed</w:t>
      </w:r>
      <w:r w:rsidR="00B76145" w:rsidRPr="00222D00">
        <w:rPr>
          <w:rFonts w:cs="Arial"/>
          <w:sz w:val="22"/>
          <w:szCs w:val="22"/>
        </w:rPr>
        <w:t xml:space="preserve"> that </w:t>
      </w:r>
      <w:r w:rsidR="001D2D2C">
        <w:rPr>
          <w:rFonts w:cs="Arial"/>
          <w:sz w:val="22"/>
          <w:szCs w:val="22"/>
        </w:rPr>
        <w:t>MSS</w:t>
      </w:r>
      <w:r w:rsidR="00B76145" w:rsidRPr="00222D00">
        <w:rPr>
          <w:rFonts w:cs="Arial"/>
          <w:sz w:val="22"/>
          <w:szCs w:val="22"/>
        </w:rPr>
        <w:t xml:space="preserve"> may affect </w:t>
      </w:r>
      <w:r w:rsidRPr="00222D00">
        <w:rPr>
          <w:rFonts w:cs="Arial"/>
          <w:sz w:val="22"/>
          <w:szCs w:val="22"/>
        </w:rPr>
        <w:t>pinniped</w:t>
      </w:r>
      <w:r w:rsidR="00B76145" w:rsidRPr="00222D00">
        <w:rPr>
          <w:rFonts w:cs="Arial"/>
          <w:sz w:val="22"/>
          <w:szCs w:val="22"/>
        </w:rPr>
        <w:t xml:space="preserve"> prey abundance or behaviour, particularly if the survey runs for long periods. </w:t>
      </w:r>
    </w:p>
    <w:p w14:paraId="7DCBB096" w14:textId="77777777" w:rsidR="003843D8" w:rsidRPr="00222D00" w:rsidRDefault="003843D8" w:rsidP="003843D8">
      <w:pPr>
        <w:ind w:left="0"/>
        <w:rPr>
          <w:rFonts w:cs="Arial"/>
          <w:sz w:val="22"/>
          <w:szCs w:val="22"/>
        </w:rPr>
      </w:pPr>
    </w:p>
    <w:p w14:paraId="0A427796" w14:textId="258120C6" w:rsidR="00B76145" w:rsidRPr="00222D00" w:rsidRDefault="00B76145" w:rsidP="003843D8">
      <w:pPr>
        <w:ind w:left="0"/>
        <w:rPr>
          <w:rFonts w:cs="Arial"/>
          <w:sz w:val="22"/>
          <w:szCs w:val="22"/>
        </w:rPr>
      </w:pPr>
      <w:r w:rsidRPr="00222D00">
        <w:rPr>
          <w:rFonts w:cs="Arial"/>
          <w:sz w:val="22"/>
          <w:szCs w:val="22"/>
        </w:rPr>
        <w:t>Fur seals are less sensitive to low frequency sounds (&lt;1 kHz) than to higher frequencies (&gt;1 kHz). McCauley (1994) suggests that the sound frequency of seismic air gun pulses is below the greatest hearing sensitivity of Otariid pinnipeds, but data is lacking for Australian species. Aerial sounds produced by the Australian fur</w:t>
      </w:r>
      <w:r w:rsidR="000C08B5">
        <w:rPr>
          <w:rFonts w:cs="Arial"/>
          <w:sz w:val="22"/>
          <w:szCs w:val="22"/>
        </w:rPr>
        <w:t>-</w:t>
      </w:r>
      <w:r w:rsidRPr="00222D00">
        <w:rPr>
          <w:rFonts w:cs="Arial"/>
          <w:sz w:val="22"/>
          <w:szCs w:val="22"/>
        </w:rPr>
        <w:t>seal (</w:t>
      </w:r>
      <w:r w:rsidRPr="000C08B5">
        <w:rPr>
          <w:rFonts w:cs="Arial"/>
          <w:i/>
          <w:sz w:val="22"/>
          <w:szCs w:val="22"/>
        </w:rPr>
        <w:t>Arctocephalus pusillis</w:t>
      </w:r>
      <w:r w:rsidRPr="00222D00">
        <w:rPr>
          <w:rFonts w:cs="Arial"/>
          <w:sz w:val="22"/>
          <w:szCs w:val="22"/>
        </w:rPr>
        <w:t>) have strong tonal components at frequencies that are less than 1 kHz, although they all range up to 6 kHz with most energy between 2-4 kHz. If the low frequency components of calls are used</w:t>
      </w:r>
      <w:r w:rsidR="000C08B5">
        <w:rPr>
          <w:rFonts w:cs="Arial"/>
          <w:sz w:val="22"/>
          <w:szCs w:val="22"/>
        </w:rPr>
        <w:t>,</w:t>
      </w:r>
      <w:r w:rsidRPr="00222D00">
        <w:rPr>
          <w:rFonts w:cs="Arial"/>
          <w:sz w:val="22"/>
          <w:szCs w:val="22"/>
        </w:rPr>
        <w:t xml:space="preserve"> then seals may also hear at low frequency and may be </w:t>
      </w:r>
      <w:r w:rsidR="00B028CE" w:rsidRPr="00222D00">
        <w:rPr>
          <w:rFonts w:cs="Arial"/>
          <w:sz w:val="22"/>
          <w:szCs w:val="22"/>
        </w:rPr>
        <w:t xml:space="preserve">affected by </w:t>
      </w:r>
      <w:r w:rsidRPr="00222D00">
        <w:rPr>
          <w:rFonts w:cs="Arial"/>
          <w:sz w:val="22"/>
          <w:szCs w:val="22"/>
        </w:rPr>
        <w:t xml:space="preserve">seismic </w:t>
      </w:r>
      <w:r w:rsidR="00B028CE" w:rsidRPr="00222D00">
        <w:rPr>
          <w:rFonts w:cs="Arial"/>
          <w:sz w:val="22"/>
          <w:szCs w:val="22"/>
        </w:rPr>
        <w:t xml:space="preserve">source </w:t>
      </w:r>
      <w:r w:rsidRPr="00222D00">
        <w:rPr>
          <w:rFonts w:cs="Arial"/>
          <w:sz w:val="22"/>
          <w:szCs w:val="22"/>
        </w:rPr>
        <w:t>pulses.</w:t>
      </w:r>
      <w:r w:rsidR="00B028CE" w:rsidRPr="00222D00">
        <w:rPr>
          <w:rFonts w:cs="Arial"/>
          <w:sz w:val="22"/>
          <w:szCs w:val="22"/>
        </w:rPr>
        <w:t xml:space="preserve"> </w:t>
      </w:r>
      <w:r w:rsidRPr="00222D00">
        <w:rPr>
          <w:rFonts w:cs="Arial"/>
          <w:sz w:val="22"/>
          <w:szCs w:val="22"/>
        </w:rPr>
        <w:t>However, Shaughnessy (1999) states that seismic activity will only be a threat to pinnipeds if it takes place close to critical habitats</w:t>
      </w:r>
      <w:r w:rsidR="00B12534" w:rsidRPr="00222D00">
        <w:rPr>
          <w:rFonts w:cs="Arial"/>
          <w:sz w:val="22"/>
          <w:szCs w:val="22"/>
        </w:rPr>
        <w:t>.</w:t>
      </w:r>
      <w:r w:rsidR="00B028CE" w:rsidRPr="00222D00">
        <w:rPr>
          <w:rFonts w:cs="Arial"/>
          <w:sz w:val="22"/>
          <w:szCs w:val="22"/>
        </w:rPr>
        <w:t xml:space="preserve"> </w:t>
      </w:r>
    </w:p>
    <w:p w14:paraId="32F26A2B" w14:textId="77777777" w:rsidR="003843D8" w:rsidRPr="00222D00" w:rsidRDefault="003843D8" w:rsidP="003843D8">
      <w:pPr>
        <w:ind w:left="0"/>
        <w:rPr>
          <w:rFonts w:cs="Arial"/>
          <w:sz w:val="22"/>
          <w:szCs w:val="22"/>
        </w:rPr>
      </w:pPr>
    </w:p>
    <w:p w14:paraId="18DFC1B3" w14:textId="730AEFA4" w:rsidR="00B76145" w:rsidRPr="00222D00" w:rsidRDefault="00B76145" w:rsidP="003843D8">
      <w:pPr>
        <w:ind w:left="0"/>
        <w:rPr>
          <w:rFonts w:cs="Arial"/>
          <w:sz w:val="22"/>
          <w:szCs w:val="22"/>
        </w:rPr>
      </w:pPr>
      <w:r w:rsidRPr="00222D00">
        <w:rPr>
          <w:rFonts w:cs="Arial"/>
          <w:sz w:val="22"/>
          <w:szCs w:val="22"/>
        </w:rPr>
        <w:t>Gotz et al (2009) reports that controlled exposure experiments with small airguns (215 – 224 dB re 1 μPa) were carried out over 1 h</w:t>
      </w:r>
      <w:r w:rsidR="000C08B5">
        <w:rPr>
          <w:rFonts w:cs="Arial"/>
          <w:sz w:val="22"/>
          <w:szCs w:val="22"/>
        </w:rPr>
        <w:t>ou</w:t>
      </w:r>
      <w:r w:rsidRPr="00222D00">
        <w:rPr>
          <w:rFonts w:cs="Arial"/>
          <w:sz w:val="22"/>
          <w:szCs w:val="22"/>
        </w:rPr>
        <w:t>r to individual harbour seals (</w:t>
      </w:r>
      <w:r w:rsidRPr="000C08B5">
        <w:rPr>
          <w:rFonts w:cs="Arial"/>
          <w:i/>
          <w:sz w:val="22"/>
          <w:szCs w:val="22"/>
        </w:rPr>
        <w:t>Phoca vitulina</w:t>
      </w:r>
      <w:r w:rsidRPr="00222D00">
        <w:rPr>
          <w:rFonts w:cs="Arial"/>
          <w:sz w:val="22"/>
          <w:szCs w:val="22"/>
        </w:rPr>
        <w:t>) and grey seals (</w:t>
      </w:r>
      <w:r w:rsidRPr="000C08B5">
        <w:rPr>
          <w:rFonts w:cs="Arial"/>
          <w:i/>
          <w:sz w:val="22"/>
          <w:szCs w:val="22"/>
        </w:rPr>
        <w:t>Halichoerus grypus</w:t>
      </w:r>
      <w:r w:rsidRPr="00222D00">
        <w:rPr>
          <w:rFonts w:cs="Arial"/>
          <w:sz w:val="22"/>
          <w:szCs w:val="22"/>
        </w:rPr>
        <w:t>), and in seven out of eight trials with harbour seals, the animals exhibited strong avoidance reactions. Two harbour seals equipped with heart rate tags showed immediate, but short-term, startle responses to the initial airgun pulses. The behaviour of all harbour seals return</w:t>
      </w:r>
      <w:r w:rsidR="00005091">
        <w:rPr>
          <w:rFonts w:cs="Arial"/>
          <w:sz w:val="22"/>
          <w:szCs w:val="22"/>
        </w:rPr>
        <w:t>s</w:t>
      </w:r>
      <w:r w:rsidRPr="00222D00">
        <w:rPr>
          <w:rFonts w:cs="Arial"/>
          <w:sz w:val="22"/>
          <w:szCs w:val="22"/>
        </w:rPr>
        <w:t xml:space="preserve"> to normal soon after the end of each trial, even in areas where disturbance occurred on several consecutive days. Only one harbour seal showed no detectable response to the airguns and approached the airgun to within 300 m</w:t>
      </w:r>
      <w:r w:rsidR="00B12534" w:rsidRPr="00222D00">
        <w:rPr>
          <w:rFonts w:cs="Arial"/>
          <w:sz w:val="22"/>
          <w:szCs w:val="22"/>
        </w:rPr>
        <w:t>,</w:t>
      </w:r>
      <w:r w:rsidRPr="00222D00">
        <w:rPr>
          <w:rFonts w:cs="Arial"/>
          <w:sz w:val="22"/>
          <w:szCs w:val="22"/>
        </w:rPr>
        <w:t xml:space="preserve"> and seals remaining in the water returned to pre-trial behaviours within two hours of the end of the experiment </w:t>
      </w:r>
      <w:r w:rsidRPr="00222D00">
        <w:rPr>
          <w:rFonts w:cs="Arial"/>
          <w:sz w:val="22"/>
          <w:szCs w:val="22"/>
        </w:rPr>
        <w:lastRenderedPageBreak/>
        <w:t xml:space="preserve">(Gotz </w:t>
      </w:r>
      <w:r w:rsidRPr="000C08B5">
        <w:rPr>
          <w:rFonts w:cs="Arial"/>
          <w:i/>
          <w:sz w:val="22"/>
          <w:szCs w:val="22"/>
        </w:rPr>
        <w:t>et al</w:t>
      </w:r>
      <w:r w:rsidRPr="00222D00">
        <w:rPr>
          <w:rFonts w:cs="Arial"/>
          <w:sz w:val="22"/>
          <w:szCs w:val="22"/>
        </w:rPr>
        <w:t>., 2009). General avoidance behaviour of other northern hemisphere seal species was exhibited at exposure levels above 170 dB re 1 μPa.</w:t>
      </w:r>
    </w:p>
    <w:p w14:paraId="5B16ADD8" w14:textId="4CF6EC0C" w:rsidR="00EE775E" w:rsidRDefault="00EE775E" w:rsidP="000B17F2">
      <w:pPr>
        <w:spacing w:after="120" w:line="240" w:lineRule="auto"/>
        <w:ind w:left="0"/>
        <w:rPr>
          <w:rFonts w:cs="Arial"/>
          <w:sz w:val="22"/>
          <w:szCs w:val="22"/>
        </w:rPr>
      </w:pPr>
    </w:p>
    <w:p w14:paraId="0B666B98" w14:textId="77777777" w:rsidR="000B17F2" w:rsidRPr="003F25B6" w:rsidRDefault="000B17F2" w:rsidP="000B17F2">
      <w:pPr>
        <w:spacing w:after="120" w:line="240" w:lineRule="auto"/>
        <w:ind w:left="0"/>
        <w:rPr>
          <w:rFonts w:cs="Arial"/>
          <w:sz w:val="22"/>
          <w:szCs w:val="22"/>
          <w:u w:val="single"/>
        </w:rPr>
      </w:pPr>
      <w:r>
        <w:rPr>
          <w:rFonts w:cs="Arial"/>
          <w:sz w:val="22"/>
          <w:szCs w:val="22"/>
          <w:u w:val="single"/>
        </w:rPr>
        <w:t>Thresholds adopted for the STLM</w:t>
      </w:r>
    </w:p>
    <w:p w14:paraId="733A5319" w14:textId="52275B17" w:rsidR="000B17F2" w:rsidRDefault="000B17F2" w:rsidP="000B17F2">
      <w:pPr>
        <w:ind w:left="0"/>
        <w:rPr>
          <w:rFonts w:cs="Arial"/>
          <w:sz w:val="22"/>
          <w:szCs w:val="22"/>
        </w:rPr>
      </w:pPr>
      <w:r w:rsidRPr="00D90A76">
        <w:rPr>
          <w:rFonts w:cs="Arial"/>
          <w:sz w:val="22"/>
          <w:szCs w:val="22"/>
        </w:rPr>
        <w:t>The NOAA (201</w:t>
      </w:r>
      <w:r w:rsidR="006C4E37">
        <w:rPr>
          <w:rFonts w:cs="Arial"/>
          <w:sz w:val="22"/>
          <w:szCs w:val="22"/>
        </w:rPr>
        <w:t>6</w:t>
      </w:r>
      <w:r w:rsidRPr="00D90A76">
        <w:rPr>
          <w:rFonts w:cs="Arial"/>
          <w:sz w:val="22"/>
          <w:szCs w:val="22"/>
        </w:rPr>
        <w:t xml:space="preserve">) guidance suggests that seals are split into two groups based on functional hearing and PTS onset thresholds levels, as outlined in </w:t>
      </w:r>
      <w:r w:rsidRPr="00EF4E2A">
        <w:rPr>
          <w:rFonts w:cs="Arial"/>
          <w:sz w:val="22"/>
          <w:szCs w:val="22"/>
        </w:rPr>
        <w:t>Table 7.1</w:t>
      </w:r>
      <w:r w:rsidR="00005091" w:rsidRPr="00EF4E2A">
        <w:rPr>
          <w:rFonts w:cs="Arial"/>
          <w:sz w:val="22"/>
          <w:szCs w:val="22"/>
        </w:rPr>
        <w:t>5</w:t>
      </w:r>
      <w:r w:rsidRPr="00EF4E2A">
        <w:rPr>
          <w:rFonts w:cs="Arial"/>
          <w:sz w:val="22"/>
          <w:szCs w:val="22"/>
        </w:rPr>
        <w:t>.</w:t>
      </w:r>
      <w:r w:rsidR="008A71F9">
        <w:rPr>
          <w:rFonts w:cs="Arial"/>
          <w:sz w:val="22"/>
          <w:szCs w:val="22"/>
        </w:rPr>
        <w:t xml:space="preserve"> </w:t>
      </w:r>
    </w:p>
    <w:p w14:paraId="288D9D48" w14:textId="77777777" w:rsidR="000D09A4" w:rsidRDefault="000D09A4" w:rsidP="00233F73">
      <w:pPr>
        <w:spacing w:after="120"/>
        <w:ind w:left="0"/>
        <w:jc w:val="center"/>
        <w:rPr>
          <w:rFonts w:cs="Arial"/>
          <w:b/>
          <w:sz w:val="20"/>
          <w:szCs w:val="20"/>
        </w:rPr>
      </w:pPr>
    </w:p>
    <w:p w14:paraId="480E1D48" w14:textId="4ADE7246" w:rsidR="00233F73" w:rsidRDefault="000B17F2" w:rsidP="00233F73">
      <w:pPr>
        <w:spacing w:after="120"/>
        <w:ind w:left="0"/>
        <w:jc w:val="center"/>
        <w:rPr>
          <w:rFonts w:cs="Arial"/>
          <w:sz w:val="22"/>
          <w:szCs w:val="22"/>
        </w:rPr>
      </w:pPr>
      <w:r w:rsidRPr="008A71F9">
        <w:rPr>
          <w:rFonts w:cs="Arial"/>
          <w:b/>
          <w:sz w:val="20"/>
          <w:szCs w:val="20"/>
        </w:rPr>
        <w:t>Table 7.1</w:t>
      </w:r>
      <w:r w:rsidR="00005091">
        <w:rPr>
          <w:rFonts w:cs="Arial"/>
          <w:b/>
          <w:sz w:val="20"/>
          <w:szCs w:val="20"/>
        </w:rPr>
        <w:t>5</w:t>
      </w:r>
      <w:r w:rsidRPr="008A71F9">
        <w:rPr>
          <w:rFonts w:cs="Arial"/>
          <w:b/>
          <w:sz w:val="20"/>
          <w:szCs w:val="20"/>
        </w:rPr>
        <w:t>.</w:t>
      </w:r>
      <w:r w:rsidRPr="008A71F9">
        <w:rPr>
          <w:rFonts w:cs="Arial"/>
          <w:b/>
          <w:sz w:val="20"/>
          <w:szCs w:val="20"/>
        </w:rPr>
        <w:tab/>
        <w:t xml:space="preserve">The </w:t>
      </w:r>
      <w:r w:rsidR="00233F73">
        <w:rPr>
          <w:rFonts w:cs="Arial"/>
          <w:b/>
          <w:sz w:val="20"/>
          <w:szCs w:val="20"/>
        </w:rPr>
        <w:t>unweighted per-pulse SPL, SEL and SEL</w:t>
      </w:r>
      <w:r w:rsidR="00233F73" w:rsidRPr="00DE495E">
        <w:rPr>
          <w:rFonts w:cs="Arial"/>
          <w:b/>
          <w:sz w:val="20"/>
          <w:szCs w:val="20"/>
          <w:vertAlign w:val="subscript"/>
        </w:rPr>
        <w:t>24h</w:t>
      </w:r>
      <w:r w:rsidR="00233F73">
        <w:rPr>
          <w:rFonts w:cs="Arial"/>
          <w:b/>
          <w:sz w:val="20"/>
          <w:szCs w:val="20"/>
        </w:rPr>
        <w:t xml:space="preserve"> and PK thresholds </w:t>
      </w:r>
      <w:r w:rsidRPr="008A71F9">
        <w:rPr>
          <w:rFonts w:cs="Arial"/>
          <w:b/>
          <w:sz w:val="20"/>
          <w:szCs w:val="20"/>
        </w:rPr>
        <w:t xml:space="preserve">for </w:t>
      </w:r>
      <w:r w:rsidR="00233F73">
        <w:rPr>
          <w:rFonts w:cs="Arial"/>
          <w:b/>
          <w:sz w:val="20"/>
          <w:szCs w:val="20"/>
        </w:rPr>
        <w:t xml:space="preserve">acoustic effects on </w:t>
      </w:r>
      <w:r w:rsidR="0068150E">
        <w:rPr>
          <w:rFonts w:cs="Arial"/>
          <w:b/>
          <w:sz w:val="20"/>
          <w:szCs w:val="20"/>
        </w:rPr>
        <w:t>pinniepds</w:t>
      </w: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809"/>
        <w:gridCol w:w="1701"/>
        <w:gridCol w:w="1560"/>
        <w:gridCol w:w="1842"/>
        <w:gridCol w:w="1418"/>
      </w:tblGrid>
      <w:tr w:rsidR="00233F73" w:rsidRPr="00033613" w14:paraId="4F0D0C28" w14:textId="77777777" w:rsidTr="00233F73">
        <w:tc>
          <w:tcPr>
            <w:tcW w:w="1809" w:type="dxa"/>
            <w:vMerge w:val="restart"/>
            <w:shd w:val="clear" w:color="auto" w:fill="064EA8"/>
          </w:tcPr>
          <w:p w14:paraId="5965A41D" w14:textId="246D2685" w:rsidR="00233F73" w:rsidRPr="00F81500" w:rsidRDefault="00233F73" w:rsidP="00233F73">
            <w:pPr>
              <w:spacing w:before="60" w:after="60" w:line="240" w:lineRule="auto"/>
              <w:ind w:left="0"/>
              <w:rPr>
                <w:rFonts w:cs="Arial"/>
                <w:color w:val="FFFFFF" w:themeColor="background1"/>
                <w:sz w:val="20"/>
                <w:szCs w:val="20"/>
              </w:rPr>
            </w:pPr>
            <w:r>
              <w:rPr>
                <w:rFonts w:cs="Arial"/>
                <w:color w:val="FFFFFF" w:themeColor="background1"/>
                <w:sz w:val="20"/>
                <w:szCs w:val="20"/>
              </w:rPr>
              <w:t>H</w:t>
            </w:r>
            <w:r w:rsidRPr="00F81500">
              <w:rPr>
                <w:rFonts w:cs="Arial"/>
                <w:color w:val="FFFFFF" w:themeColor="background1"/>
                <w:sz w:val="20"/>
                <w:szCs w:val="20"/>
              </w:rPr>
              <w:t>earing group</w:t>
            </w:r>
          </w:p>
        </w:tc>
        <w:tc>
          <w:tcPr>
            <w:tcW w:w="1701" w:type="dxa"/>
            <w:shd w:val="clear" w:color="auto" w:fill="064EA8"/>
          </w:tcPr>
          <w:p w14:paraId="2B55DE47" w14:textId="77777777" w:rsidR="00233F73" w:rsidRDefault="00233F73" w:rsidP="00392F61">
            <w:pPr>
              <w:spacing w:before="60" w:after="60" w:line="240" w:lineRule="auto"/>
              <w:ind w:left="0"/>
              <w:jc w:val="center"/>
              <w:rPr>
                <w:rFonts w:cs="Arial"/>
                <w:color w:val="FFFFFF" w:themeColor="background1"/>
                <w:sz w:val="20"/>
                <w:szCs w:val="20"/>
              </w:rPr>
            </w:pPr>
            <w:r w:rsidRPr="00F81500">
              <w:rPr>
                <w:rFonts w:cs="Arial"/>
                <w:color w:val="FFFFFF" w:themeColor="background1"/>
                <w:sz w:val="20"/>
                <w:szCs w:val="20"/>
              </w:rPr>
              <w:t>DEWHA</w:t>
            </w:r>
            <w:r>
              <w:rPr>
                <w:rFonts w:cs="Arial"/>
                <w:color w:val="FFFFFF" w:themeColor="background1"/>
                <w:sz w:val="20"/>
                <w:szCs w:val="20"/>
              </w:rPr>
              <w:t xml:space="preserve"> (</w:t>
            </w:r>
            <w:r w:rsidRPr="00F81500">
              <w:rPr>
                <w:rFonts w:cs="Arial"/>
                <w:color w:val="FFFFFF" w:themeColor="background1"/>
                <w:sz w:val="20"/>
                <w:szCs w:val="20"/>
              </w:rPr>
              <w:t>2008)</w:t>
            </w:r>
          </w:p>
        </w:tc>
        <w:tc>
          <w:tcPr>
            <w:tcW w:w="1560" w:type="dxa"/>
            <w:shd w:val="clear" w:color="auto" w:fill="064EA8"/>
          </w:tcPr>
          <w:p w14:paraId="183D194B" w14:textId="77777777" w:rsidR="00233F73" w:rsidRPr="00F81500" w:rsidRDefault="00233F73" w:rsidP="00392F61">
            <w:pPr>
              <w:spacing w:before="60" w:after="60" w:line="240" w:lineRule="auto"/>
              <w:ind w:left="0"/>
              <w:jc w:val="center"/>
              <w:rPr>
                <w:rFonts w:cs="Arial"/>
                <w:color w:val="FFFFFF" w:themeColor="background1"/>
                <w:sz w:val="20"/>
                <w:szCs w:val="20"/>
              </w:rPr>
            </w:pPr>
            <w:r>
              <w:rPr>
                <w:rFonts w:cs="Arial"/>
                <w:color w:val="FFFFFF" w:themeColor="background1"/>
                <w:sz w:val="20"/>
                <w:szCs w:val="20"/>
              </w:rPr>
              <w:t>NMFS (2013</w:t>
            </w:r>
            <w:r w:rsidRPr="00F81500">
              <w:rPr>
                <w:rFonts w:cs="Arial"/>
                <w:color w:val="FFFFFF" w:themeColor="background1"/>
                <w:sz w:val="20"/>
                <w:szCs w:val="20"/>
              </w:rPr>
              <w:t>)</w:t>
            </w:r>
          </w:p>
        </w:tc>
        <w:tc>
          <w:tcPr>
            <w:tcW w:w="3260" w:type="dxa"/>
            <w:gridSpan w:val="2"/>
            <w:shd w:val="clear" w:color="auto" w:fill="064EA8"/>
          </w:tcPr>
          <w:p w14:paraId="7B00215E" w14:textId="77777777" w:rsidR="00233F73" w:rsidRPr="00F81500" w:rsidRDefault="00233F73" w:rsidP="00392F61">
            <w:pPr>
              <w:spacing w:before="60" w:after="60" w:line="240" w:lineRule="auto"/>
              <w:ind w:left="0"/>
              <w:jc w:val="center"/>
              <w:rPr>
                <w:rFonts w:cs="Arial"/>
                <w:color w:val="FFFFFF" w:themeColor="background1"/>
                <w:sz w:val="20"/>
                <w:szCs w:val="20"/>
              </w:rPr>
            </w:pPr>
            <w:r>
              <w:rPr>
                <w:rFonts w:cs="Arial"/>
                <w:color w:val="FFFFFF" w:themeColor="background1"/>
                <w:sz w:val="20"/>
                <w:szCs w:val="20"/>
              </w:rPr>
              <w:t>NMFS (2016)</w:t>
            </w:r>
          </w:p>
        </w:tc>
      </w:tr>
      <w:tr w:rsidR="00233F73" w:rsidRPr="00033613" w14:paraId="0820B7AE" w14:textId="77777777" w:rsidTr="00233F73">
        <w:tc>
          <w:tcPr>
            <w:tcW w:w="1809" w:type="dxa"/>
            <w:vMerge/>
            <w:shd w:val="clear" w:color="auto" w:fill="064EA8"/>
          </w:tcPr>
          <w:p w14:paraId="429841DC" w14:textId="77777777" w:rsidR="00233F73" w:rsidRPr="00F81500" w:rsidRDefault="00233F73" w:rsidP="00392F61">
            <w:pPr>
              <w:spacing w:before="60" w:after="60" w:line="240" w:lineRule="auto"/>
              <w:ind w:left="0"/>
              <w:rPr>
                <w:rFonts w:cs="Arial"/>
                <w:color w:val="FFFFFF" w:themeColor="background1"/>
                <w:sz w:val="20"/>
                <w:szCs w:val="20"/>
              </w:rPr>
            </w:pPr>
          </w:p>
        </w:tc>
        <w:tc>
          <w:tcPr>
            <w:tcW w:w="1701" w:type="dxa"/>
            <w:vMerge w:val="restart"/>
            <w:shd w:val="clear" w:color="auto" w:fill="064EA8"/>
          </w:tcPr>
          <w:p w14:paraId="66235AE7" w14:textId="77777777" w:rsidR="00233F73" w:rsidRPr="00F81500" w:rsidRDefault="00233F73" w:rsidP="00392F61">
            <w:pPr>
              <w:spacing w:before="60" w:after="60" w:line="240" w:lineRule="auto"/>
              <w:ind w:left="0"/>
              <w:jc w:val="center"/>
              <w:rPr>
                <w:rFonts w:cs="Arial"/>
                <w:color w:val="FFFFFF" w:themeColor="background1"/>
                <w:sz w:val="20"/>
                <w:szCs w:val="20"/>
              </w:rPr>
            </w:pPr>
            <w:r w:rsidRPr="00F81500">
              <w:rPr>
                <w:rFonts w:cs="Arial"/>
                <w:color w:val="FFFFFF" w:themeColor="background1"/>
                <w:sz w:val="20"/>
                <w:szCs w:val="20"/>
              </w:rPr>
              <w:t xml:space="preserve">Unweighted </w:t>
            </w:r>
            <w:r>
              <w:rPr>
                <w:rFonts w:cs="Arial"/>
                <w:color w:val="FFFFFF" w:themeColor="background1"/>
                <w:sz w:val="20"/>
                <w:szCs w:val="20"/>
              </w:rPr>
              <w:br/>
            </w:r>
            <w:r w:rsidRPr="00F81500">
              <w:rPr>
                <w:rFonts w:cs="Arial"/>
                <w:color w:val="FFFFFF" w:themeColor="background1"/>
                <w:sz w:val="20"/>
                <w:szCs w:val="20"/>
              </w:rPr>
              <w:t>per</w:t>
            </w:r>
            <w:r>
              <w:rPr>
                <w:rFonts w:cs="Arial"/>
                <w:color w:val="FFFFFF" w:themeColor="background1"/>
                <w:sz w:val="20"/>
                <w:szCs w:val="20"/>
              </w:rPr>
              <w:t>-</w:t>
            </w:r>
            <w:r w:rsidRPr="00F81500">
              <w:rPr>
                <w:rFonts w:cs="Arial"/>
                <w:color w:val="FFFFFF" w:themeColor="background1"/>
                <w:sz w:val="20"/>
                <w:szCs w:val="20"/>
              </w:rPr>
              <w:t xml:space="preserve"> pulse SEL </w:t>
            </w:r>
            <w:r>
              <w:rPr>
                <w:rFonts w:cs="Arial"/>
                <w:color w:val="FFFFFF" w:themeColor="background1"/>
                <w:sz w:val="20"/>
                <w:szCs w:val="20"/>
              </w:rPr>
              <w:br/>
            </w:r>
            <w:r w:rsidRPr="00F81500">
              <w:rPr>
                <w:rFonts w:cs="Arial"/>
                <w:color w:val="FFFFFF" w:themeColor="background1"/>
                <w:sz w:val="20"/>
                <w:szCs w:val="20"/>
              </w:rPr>
              <w:t>(dB re 1 μPa</w:t>
            </w:r>
            <w:r w:rsidRPr="00F81500">
              <w:rPr>
                <w:rFonts w:cs="Arial"/>
                <w:color w:val="FFFFFF" w:themeColor="background1"/>
                <w:sz w:val="20"/>
                <w:szCs w:val="20"/>
                <w:vertAlign w:val="superscript"/>
              </w:rPr>
              <w:t>2</w:t>
            </w:r>
            <w:r w:rsidRPr="00F81500">
              <w:rPr>
                <w:rFonts w:cs="Arial"/>
                <w:color w:val="FFFFFF" w:themeColor="background1"/>
                <w:sz w:val="20"/>
                <w:szCs w:val="20"/>
              </w:rPr>
              <w:t>.s</w:t>
            </w:r>
            <w:r>
              <w:rPr>
                <w:rFonts w:cs="Arial"/>
                <w:color w:val="FFFFFF" w:themeColor="background1"/>
                <w:sz w:val="20"/>
                <w:szCs w:val="20"/>
              </w:rPr>
              <w:t>)</w:t>
            </w:r>
          </w:p>
        </w:tc>
        <w:tc>
          <w:tcPr>
            <w:tcW w:w="1560" w:type="dxa"/>
            <w:shd w:val="clear" w:color="auto" w:fill="064EA8"/>
          </w:tcPr>
          <w:p w14:paraId="756342C8" w14:textId="77777777" w:rsidR="00233F73" w:rsidRPr="00F81500" w:rsidRDefault="00233F73" w:rsidP="00392F61">
            <w:pPr>
              <w:spacing w:before="60" w:after="60" w:line="240" w:lineRule="auto"/>
              <w:ind w:left="0"/>
              <w:jc w:val="center"/>
              <w:rPr>
                <w:rFonts w:cs="Arial"/>
                <w:color w:val="FFFFFF" w:themeColor="background1"/>
                <w:sz w:val="20"/>
                <w:szCs w:val="20"/>
              </w:rPr>
            </w:pPr>
            <w:r w:rsidRPr="00F81500">
              <w:rPr>
                <w:rFonts w:cs="Arial"/>
                <w:color w:val="FFFFFF" w:themeColor="background1"/>
                <w:sz w:val="20"/>
                <w:szCs w:val="20"/>
              </w:rPr>
              <w:t>Behaviour</w:t>
            </w:r>
          </w:p>
        </w:tc>
        <w:tc>
          <w:tcPr>
            <w:tcW w:w="3260" w:type="dxa"/>
            <w:gridSpan w:val="2"/>
            <w:shd w:val="clear" w:color="auto" w:fill="064EA8"/>
          </w:tcPr>
          <w:p w14:paraId="7C05DDF3" w14:textId="77777777" w:rsidR="00233F73" w:rsidRDefault="00233F73" w:rsidP="00392F61">
            <w:pPr>
              <w:spacing w:before="60" w:after="60" w:line="240" w:lineRule="auto"/>
              <w:ind w:left="0"/>
              <w:jc w:val="center"/>
              <w:rPr>
                <w:rFonts w:cs="Arial"/>
                <w:color w:val="FFFFFF" w:themeColor="background1"/>
                <w:sz w:val="20"/>
                <w:szCs w:val="20"/>
              </w:rPr>
            </w:pPr>
            <w:r w:rsidRPr="00F81500">
              <w:rPr>
                <w:rFonts w:cs="Arial"/>
                <w:color w:val="FFFFFF" w:themeColor="background1"/>
                <w:sz w:val="20"/>
                <w:szCs w:val="20"/>
              </w:rPr>
              <w:t>Injury</w:t>
            </w:r>
            <w:r>
              <w:rPr>
                <w:rFonts w:cs="Arial"/>
                <w:color w:val="FFFFFF" w:themeColor="background1"/>
                <w:sz w:val="20"/>
                <w:szCs w:val="20"/>
              </w:rPr>
              <w:t xml:space="preserve"> (PTS)</w:t>
            </w:r>
          </w:p>
        </w:tc>
      </w:tr>
      <w:tr w:rsidR="00233F73" w:rsidRPr="00033613" w14:paraId="00AFCAD1" w14:textId="77777777" w:rsidTr="00233F73">
        <w:tc>
          <w:tcPr>
            <w:tcW w:w="1809" w:type="dxa"/>
            <w:vMerge/>
            <w:shd w:val="clear" w:color="auto" w:fill="064EA8"/>
          </w:tcPr>
          <w:p w14:paraId="6A334030" w14:textId="77777777" w:rsidR="00233F73" w:rsidRPr="00F81500" w:rsidRDefault="00233F73" w:rsidP="00392F61">
            <w:pPr>
              <w:spacing w:before="60" w:after="60" w:line="240" w:lineRule="auto"/>
              <w:ind w:left="0"/>
              <w:rPr>
                <w:rFonts w:cs="Arial"/>
                <w:color w:val="FFFFFF" w:themeColor="background1"/>
                <w:sz w:val="20"/>
                <w:szCs w:val="20"/>
              </w:rPr>
            </w:pPr>
          </w:p>
        </w:tc>
        <w:tc>
          <w:tcPr>
            <w:tcW w:w="1701" w:type="dxa"/>
            <w:vMerge/>
            <w:shd w:val="clear" w:color="auto" w:fill="064EA8"/>
          </w:tcPr>
          <w:p w14:paraId="4B325132" w14:textId="77777777" w:rsidR="00233F73" w:rsidRPr="00F81500" w:rsidRDefault="00233F73" w:rsidP="00392F61">
            <w:pPr>
              <w:spacing w:before="60" w:after="60" w:line="240" w:lineRule="auto"/>
              <w:ind w:left="0"/>
              <w:jc w:val="center"/>
              <w:rPr>
                <w:rFonts w:cs="Arial"/>
                <w:color w:val="FFFFFF" w:themeColor="background1"/>
                <w:sz w:val="20"/>
                <w:szCs w:val="20"/>
              </w:rPr>
            </w:pPr>
          </w:p>
        </w:tc>
        <w:tc>
          <w:tcPr>
            <w:tcW w:w="1560" w:type="dxa"/>
            <w:shd w:val="clear" w:color="auto" w:fill="064EA8"/>
          </w:tcPr>
          <w:p w14:paraId="6461CA3F" w14:textId="77777777" w:rsidR="00233F73" w:rsidRPr="00F81500" w:rsidRDefault="00233F73" w:rsidP="00392F61">
            <w:pPr>
              <w:spacing w:before="60" w:after="60" w:line="240" w:lineRule="auto"/>
              <w:ind w:left="0"/>
              <w:jc w:val="center"/>
              <w:rPr>
                <w:rFonts w:cs="Arial"/>
                <w:color w:val="FFFFFF" w:themeColor="background1"/>
                <w:sz w:val="20"/>
                <w:szCs w:val="20"/>
              </w:rPr>
            </w:pPr>
            <w:r w:rsidRPr="00F81500">
              <w:rPr>
                <w:rFonts w:cs="Arial"/>
                <w:color w:val="FFFFFF" w:themeColor="background1"/>
                <w:sz w:val="20"/>
                <w:szCs w:val="20"/>
              </w:rPr>
              <w:t xml:space="preserve">SPL </w:t>
            </w:r>
            <w:r>
              <w:rPr>
                <w:rFonts w:cs="Arial"/>
                <w:color w:val="FFFFFF" w:themeColor="background1"/>
                <w:sz w:val="20"/>
                <w:szCs w:val="20"/>
              </w:rPr>
              <w:br/>
            </w:r>
            <w:r w:rsidRPr="00F81500">
              <w:rPr>
                <w:rFonts w:cs="Arial"/>
                <w:color w:val="FFFFFF" w:themeColor="background1"/>
                <w:sz w:val="20"/>
                <w:szCs w:val="20"/>
              </w:rPr>
              <w:t>(dB re 1 μPa)</w:t>
            </w:r>
          </w:p>
        </w:tc>
        <w:tc>
          <w:tcPr>
            <w:tcW w:w="1842" w:type="dxa"/>
            <w:shd w:val="clear" w:color="auto" w:fill="064EA8"/>
          </w:tcPr>
          <w:p w14:paraId="1698BFFC" w14:textId="77777777" w:rsidR="00233F73" w:rsidRPr="00F81500" w:rsidRDefault="00233F73" w:rsidP="00392F61">
            <w:pPr>
              <w:spacing w:before="60" w:after="60" w:line="240" w:lineRule="auto"/>
              <w:ind w:left="0"/>
              <w:jc w:val="center"/>
              <w:rPr>
                <w:rFonts w:cs="Arial"/>
                <w:color w:val="FFFFFF" w:themeColor="background1"/>
                <w:sz w:val="20"/>
                <w:szCs w:val="20"/>
              </w:rPr>
            </w:pPr>
            <w:r>
              <w:rPr>
                <w:rFonts w:cs="Arial"/>
                <w:color w:val="FFFFFF" w:themeColor="background1"/>
                <w:sz w:val="20"/>
                <w:szCs w:val="20"/>
              </w:rPr>
              <w:t>W</w:t>
            </w:r>
            <w:r w:rsidRPr="00F81500">
              <w:rPr>
                <w:rFonts w:cs="Arial"/>
                <w:color w:val="FFFFFF" w:themeColor="background1"/>
                <w:sz w:val="20"/>
                <w:szCs w:val="20"/>
              </w:rPr>
              <w:t>eighted SEL</w:t>
            </w:r>
            <w:r w:rsidRPr="00AE0A98">
              <w:rPr>
                <w:rFonts w:cs="Arial"/>
                <w:color w:val="FFFFFF" w:themeColor="background1"/>
                <w:sz w:val="20"/>
                <w:szCs w:val="20"/>
                <w:vertAlign w:val="subscript"/>
              </w:rPr>
              <w:t xml:space="preserve">24h </w:t>
            </w:r>
            <w:r>
              <w:rPr>
                <w:rFonts w:cs="Arial"/>
                <w:color w:val="FFFFFF" w:themeColor="background1"/>
                <w:sz w:val="20"/>
                <w:szCs w:val="20"/>
                <w:vertAlign w:val="subscript"/>
              </w:rPr>
              <w:br/>
            </w:r>
            <w:r w:rsidRPr="00F81500">
              <w:rPr>
                <w:rFonts w:cs="Arial"/>
                <w:color w:val="FFFFFF" w:themeColor="background1"/>
                <w:sz w:val="20"/>
                <w:szCs w:val="20"/>
              </w:rPr>
              <w:t>(dB re 1 μPa</w:t>
            </w:r>
            <w:r w:rsidRPr="00F81500">
              <w:rPr>
                <w:rFonts w:cs="Arial"/>
                <w:color w:val="FFFFFF" w:themeColor="background1"/>
                <w:sz w:val="20"/>
                <w:szCs w:val="20"/>
                <w:vertAlign w:val="superscript"/>
              </w:rPr>
              <w:t>2</w:t>
            </w:r>
            <w:r w:rsidRPr="00F81500">
              <w:rPr>
                <w:rFonts w:cs="Arial"/>
                <w:color w:val="FFFFFF" w:themeColor="background1"/>
                <w:sz w:val="20"/>
                <w:szCs w:val="20"/>
              </w:rPr>
              <w:t>.s)</w:t>
            </w:r>
          </w:p>
        </w:tc>
        <w:tc>
          <w:tcPr>
            <w:tcW w:w="1418" w:type="dxa"/>
            <w:shd w:val="clear" w:color="auto" w:fill="064EA8"/>
          </w:tcPr>
          <w:p w14:paraId="7D09EC01" w14:textId="77777777" w:rsidR="00233F73" w:rsidRPr="00F81500" w:rsidRDefault="00233F73" w:rsidP="00392F61">
            <w:pPr>
              <w:spacing w:before="60" w:after="60" w:line="240" w:lineRule="auto"/>
              <w:ind w:left="0"/>
              <w:jc w:val="center"/>
              <w:rPr>
                <w:rFonts w:cs="Arial"/>
                <w:color w:val="FFFFFF" w:themeColor="background1"/>
                <w:sz w:val="20"/>
                <w:szCs w:val="20"/>
              </w:rPr>
            </w:pPr>
            <w:r>
              <w:rPr>
                <w:rFonts w:cs="Arial"/>
                <w:color w:val="FFFFFF" w:themeColor="background1"/>
                <w:sz w:val="20"/>
                <w:szCs w:val="20"/>
              </w:rPr>
              <w:t xml:space="preserve">PK </w:t>
            </w:r>
            <w:r>
              <w:rPr>
                <w:rFonts w:cs="Arial"/>
                <w:color w:val="FFFFFF" w:themeColor="background1"/>
                <w:sz w:val="20"/>
                <w:szCs w:val="20"/>
              </w:rPr>
              <w:br/>
              <w:t>(</w:t>
            </w:r>
            <w:r w:rsidRPr="00F81500">
              <w:rPr>
                <w:rFonts w:cs="Arial"/>
                <w:color w:val="FFFFFF" w:themeColor="background1"/>
                <w:sz w:val="20"/>
                <w:szCs w:val="20"/>
              </w:rPr>
              <w:t>dB re 1 μPa)</w:t>
            </w:r>
          </w:p>
        </w:tc>
      </w:tr>
      <w:tr w:rsidR="00233F73" w:rsidRPr="00033613" w14:paraId="79A146BE" w14:textId="77777777" w:rsidTr="00233F73">
        <w:tc>
          <w:tcPr>
            <w:tcW w:w="1809" w:type="dxa"/>
            <w:shd w:val="clear" w:color="auto" w:fill="auto"/>
          </w:tcPr>
          <w:p w14:paraId="73046F57" w14:textId="533E48AA" w:rsidR="00233F73" w:rsidRPr="00033613" w:rsidRDefault="007D5F69" w:rsidP="00432CB4">
            <w:pPr>
              <w:spacing w:before="60" w:after="60" w:line="240" w:lineRule="auto"/>
              <w:ind w:left="0"/>
              <w:rPr>
                <w:rFonts w:cs="Arial"/>
                <w:sz w:val="20"/>
                <w:szCs w:val="20"/>
              </w:rPr>
            </w:pPr>
            <w:r w:rsidRPr="000C08B5">
              <w:rPr>
                <w:rFonts w:cs="Arial"/>
                <w:sz w:val="20"/>
                <w:szCs w:val="20"/>
              </w:rPr>
              <w:t xml:space="preserve">Phocid </w:t>
            </w:r>
            <w:r w:rsidR="00233F73" w:rsidRPr="000C08B5">
              <w:rPr>
                <w:rFonts w:cs="Arial"/>
                <w:sz w:val="20"/>
                <w:szCs w:val="20"/>
              </w:rPr>
              <w:t xml:space="preserve">pinnipeds </w:t>
            </w:r>
            <w:r w:rsidR="00432CB4">
              <w:rPr>
                <w:rFonts w:cs="Arial"/>
                <w:sz w:val="20"/>
                <w:szCs w:val="20"/>
              </w:rPr>
              <w:t>in water</w:t>
            </w:r>
          </w:p>
        </w:tc>
        <w:tc>
          <w:tcPr>
            <w:tcW w:w="1701" w:type="dxa"/>
            <w:vMerge w:val="restart"/>
            <w:vAlign w:val="center"/>
          </w:tcPr>
          <w:p w14:paraId="52D7E087" w14:textId="4B62A11D" w:rsidR="00233F73" w:rsidRPr="00033613" w:rsidRDefault="00233F73" w:rsidP="00392F61">
            <w:pPr>
              <w:spacing w:before="60" w:after="60" w:line="240" w:lineRule="auto"/>
              <w:ind w:left="0"/>
              <w:jc w:val="center"/>
              <w:rPr>
                <w:rFonts w:cs="Arial"/>
                <w:sz w:val="20"/>
                <w:szCs w:val="20"/>
              </w:rPr>
            </w:pPr>
            <w:r>
              <w:rPr>
                <w:rFonts w:cs="Arial"/>
                <w:sz w:val="20"/>
                <w:szCs w:val="20"/>
              </w:rPr>
              <w:t>Not applicable</w:t>
            </w:r>
          </w:p>
        </w:tc>
        <w:tc>
          <w:tcPr>
            <w:tcW w:w="1560" w:type="dxa"/>
            <w:vMerge w:val="restart"/>
            <w:vAlign w:val="center"/>
          </w:tcPr>
          <w:p w14:paraId="36A1ABB2" w14:textId="4655562D" w:rsidR="00233F73" w:rsidRPr="00033613" w:rsidRDefault="00233F73" w:rsidP="00392F61">
            <w:pPr>
              <w:spacing w:before="60" w:after="60" w:line="240" w:lineRule="auto"/>
              <w:ind w:left="0"/>
              <w:jc w:val="center"/>
              <w:rPr>
                <w:rFonts w:cs="Arial"/>
                <w:sz w:val="20"/>
                <w:szCs w:val="20"/>
              </w:rPr>
            </w:pPr>
            <w:r w:rsidRPr="00033613">
              <w:rPr>
                <w:rFonts w:cs="Arial"/>
                <w:sz w:val="20"/>
                <w:szCs w:val="20"/>
              </w:rPr>
              <w:t>160</w:t>
            </w:r>
          </w:p>
        </w:tc>
        <w:tc>
          <w:tcPr>
            <w:tcW w:w="1842" w:type="dxa"/>
            <w:shd w:val="clear" w:color="auto" w:fill="auto"/>
            <w:vAlign w:val="center"/>
          </w:tcPr>
          <w:p w14:paraId="73449A30" w14:textId="1BB4AECC" w:rsidR="00233F73" w:rsidRPr="00033613" w:rsidRDefault="00233F73" w:rsidP="00392F61">
            <w:pPr>
              <w:spacing w:before="60" w:after="60" w:line="240" w:lineRule="auto"/>
              <w:ind w:left="0"/>
              <w:jc w:val="center"/>
              <w:rPr>
                <w:rFonts w:cs="Arial"/>
                <w:sz w:val="20"/>
                <w:szCs w:val="20"/>
              </w:rPr>
            </w:pPr>
            <w:r>
              <w:rPr>
                <w:rFonts w:cs="Arial"/>
                <w:sz w:val="20"/>
                <w:szCs w:val="20"/>
              </w:rPr>
              <w:t>185</w:t>
            </w:r>
          </w:p>
        </w:tc>
        <w:tc>
          <w:tcPr>
            <w:tcW w:w="1418" w:type="dxa"/>
            <w:shd w:val="clear" w:color="auto" w:fill="auto"/>
            <w:vAlign w:val="center"/>
          </w:tcPr>
          <w:p w14:paraId="29DC0B11" w14:textId="33BC8C00" w:rsidR="00233F73" w:rsidRPr="00033613" w:rsidRDefault="00233F73" w:rsidP="00392F61">
            <w:pPr>
              <w:spacing w:before="60" w:after="60" w:line="240" w:lineRule="auto"/>
              <w:ind w:left="0"/>
              <w:jc w:val="center"/>
              <w:rPr>
                <w:rFonts w:cs="Arial"/>
                <w:sz w:val="20"/>
                <w:szCs w:val="20"/>
              </w:rPr>
            </w:pPr>
            <w:r>
              <w:rPr>
                <w:rFonts w:cs="Arial"/>
                <w:sz w:val="20"/>
                <w:szCs w:val="20"/>
              </w:rPr>
              <w:t>218</w:t>
            </w:r>
          </w:p>
        </w:tc>
      </w:tr>
      <w:tr w:rsidR="00233F73" w:rsidRPr="00033613" w14:paraId="1CFDE73D" w14:textId="77777777" w:rsidTr="00233F73">
        <w:tc>
          <w:tcPr>
            <w:tcW w:w="1809" w:type="dxa"/>
            <w:shd w:val="clear" w:color="auto" w:fill="auto"/>
          </w:tcPr>
          <w:p w14:paraId="3B23D060" w14:textId="17767B86" w:rsidR="00233F73" w:rsidRPr="00033613" w:rsidRDefault="007D5F69" w:rsidP="007D5F69">
            <w:pPr>
              <w:spacing w:before="60" w:after="60" w:line="240" w:lineRule="auto"/>
              <w:ind w:left="0"/>
              <w:rPr>
                <w:rFonts w:cs="Arial"/>
                <w:sz w:val="20"/>
                <w:szCs w:val="20"/>
              </w:rPr>
            </w:pPr>
            <w:r w:rsidRPr="000C08B5">
              <w:rPr>
                <w:rFonts w:cs="Arial"/>
                <w:sz w:val="20"/>
                <w:szCs w:val="20"/>
              </w:rPr>
              <w:t xml:space="preserve">Otariid </w:t>
            </w:r>
            <w:r w:rsidR="00233F73" w:rsidRPr="000C08B5">
              <w:rPr>
                <w:rFonts w:cs="Arial"/>
                <w:sz w:val="20"/>
                <w:szCs w:val="20"/>
              </w:rPr>
              <w:t>pinnipeds</w:t>
            </w:r>
            <w:r w:rsidR="00432CB4">
              <w:rPr>
                <w:rFonts w:cs="Arial"/>
                <w:sz w:val="20"/>
                <w:szCs w:val="20"/>
              </w:rPr>
              <w:t xml:space="preserve"> in water</w:t>
            </w:r>
            <w:r w:rsidR="00233F73" w:rsidRPr="000C08B5">
              <w:rPr>
                <w:rFonts w:cs="Arial"/>
                <w:sz w:val="20"/>
                <w:szCs w:val="20"/>
              </w:rPr>
              <w:t xml:space="preserve"> </w:t>
            </w:r>
          </w:p>
        </w:tc>
        <w:tc>
          <w:tcPr>
            <w:tcW w:w="1701" w:type="dxa"/>
            <w:vMerge/>
          </w:tcPr>
          <w:p w14:paraId="16C2B2E2" w14:textId="77777777" w:rsidR="00233F73" w:rsidRPr="00033613" w:rsidRDefault="00233F73" w:rsidP="00392F61">
            <w:pPr>
              <w:spacing w:before="60" w:after="60" w:line="240" w:lineRule="auto"/>
              <w:ind w:left="0"/>
              <w:rPr>
                <w:rFonts w:cs="Arial"/>
                <w:sz w:val="20"/>
                <w:szCs w:val="20"/>
              </w:rPr>
            </w:pPr>
          </w:p>
        </w:tc>
        <w:tc>
          <w:tcPr>
            <w:tcW w:w="1560" w:type="dxa"/>
            <w:vMerge/>
          </w:tcPr>
          <w:p w14:paraId="0B1CC2C4" w14:textId="1D3509B9" w:rsidR="00233F73" w:rsidRPr="00033613" w:rsidRDefault="00233F73" w:rsidP="00392F61">
            <w:pPr>
              <w:spacing w:before="60" w:after="60" w:line="240" w:lineRule="auto"/>
              <w:ind w:left="0"/>
              <w:rPr>
                <w:rFonts w:cs="Arial"/>
                <w:sz w:val="20"/>
                <w:szCs w:val="20"/>
              </w:rPr>
            </w:pPr>
          </w:p>
        </w:tc>
        <w:tc>
          <w:tcPr>
            <w:tcW w:w="1842" w:type="dxa"/>
            <w:shd w:val="clear" w:color="auto" w:fill="auto"/>
            <w:vAlign w:val="center"/>
          </w:tcPr>
          <w:p w14:paraId="696881E3" w14:textId="1F76C7E7" w:rsidR="00233F73" w:rsidRPr="00033613" w:rsidRDefault="00233F73" w:rsidP="00392F61">
            <w:pPr>
              <w:spacing w:before="60" w:after="60" w:line="240" w:lineRule="auto"/>
              <w:ind w:left="0"/>
              <w:jc w:val="center"/>
              <w:rPr>
                <w:rFonts w:cs="Arial"/>
                <w:sz w:val="20"/>
                <w:szCs w:val="20"/>
              </w:rPr>
            </w:pPr>
            <w:r>
              <w:rPr>
                <w:rFonts w:cs="Arial"/>
                <w:sz w:val="20"/>
                <w:szCs w:val="20"/>
              </w:rPr>
              <w:t>203</w:t>
            </w:r>
          </w:p>
        </w:tc>
        <w:tc>
          <w:tcPr>
            <w:tcW w:w="1418" w:type="dxa"/>
            <w:shd w:val="clear" w:color="auto" w:fill="auto"/>
            <w:vAlign w:val="center"/>
          </w:tcPr>
          <w:p w14:paraId="694BD381" w14:textId="5EB0C6B2" w:rsidR="00233F73" w:rsidRPr="00033613" w:rsidRDefault="00233F73" w:rsidP="00392F61">
            <w:pPr>
              <w:spacing w:before="60" w:after="60" w:line="240" w:lineRule="auto"/>
              <w:ind w:left="0"/>
              <w:jc w:val="center"/>
              <w:rPr>
                <w:rFonts w:cs="Arial"/>
                <w:sz w:val="20"/>
                <w:szCs w:val="20"/>
              </w:rPr>
            </w:pPr>
            <w:r>
              <w:rPr>
                <w:rFonts w:cs="Arial"/>
                <w:sz w:val="20"/>
                <w:szCs w:val="20"/>
              </w:rPr>
              <w:t>232</w:t>
            </w:r>
          </w:p>
        </w:tc>
      </w:tr>
    </w:tbl>
    <w:p w14:paraId="1E7AADBB" w14:textId="77777777" w:rsidR="004261B0" w:rsidRDefault="004261B0" w:rsidP="000C08B5">
      <w:pPr>
        <w:spacing w:after="120" w:line="240" w:lineRule="auto"/>
        <w:ind w:left="0"/>
        <w:rPr>
          <w:rFonts w:cs="Arial"/>
          <w:sz w:val="22"/>
          <w:szCs w:val="22"/>
          <w:u w:val="single"/>
        </w:rPr>
      </w:pPr>
    </w:p>
    <w:p w14:paraId="791F46DB" w14:textId="77777777" w:rsidR="000C08B5" w:rsidRPr="003F25B6" w:rsidRDefault="000C08B5" w:rsidP="000C08B5">
      <w:pPr>
        <w:spacing w:after="120" w:line="240" w:lineRule="auto"/>
        <w:ind w:left="0"/>
        <w:rPr>
          <w:rFonts w:cs="Arial"/>
          <w:sz w:val="22"/>
          <w:szCs w:val="22"/>
          <w:u w:val="single"/>
        </w:rPr>
      </w:pPr>
      <w:r w:rsidRPr="003F25B6">
        <w:rPr>
          <w:rFonts w:cs="Arial"/>
          <w:sz w:val="22"/>
          <w:szCs w:val="22"/>
          <w:u w:val="single"/>
        </w:rPr>
        <w:t>STLM results</w:t>
      </w:r>
    </w:p>
    <w:p w14:paraId="4D172407" w14:textId="52D2B701" w:rsidR="000C08B5" w:rsidRDefault="000C08B5" w:rsidP="000C08B5">
      <w:pPr>
        <w:ind w:left="0"/>
        <w:rPr>
          <w:sz w:val="22"/>
          <w:szCs w:val="22"/>
        </w:rPr>
      </w:pPr>
      <w:r w:rsidRPr="00EF4E2A">
        <w:rPr>
          <w:sz w:val="22"/>
          <w:szCs w:val="22"/>
        </w:rPr>
        <w:t>Table 7.</w:t>
      </w:r>
      <w:r w:rsidR="007D5F69" w:rsidRPr="00EF4E2A">
        <w:rPr>
          <w:sz w:val="22"/>
          <w:szCs w:val="22"/>
        </w:rPr>
        <w:t>1</w:t>
      </w:r>
      <w:r w:rsidR="00005091" w:rsidRPr="00EF4E2A">
        <w:rPr>
          <w:sz w:val="22"/>
          <w:szCs w:val="22"/>
        </w:rPr>
        <w:t>6</w:t>
      </w:r>
      <w:r w:rsidRPr="00005091">
        <w:rPr>
          <w:color w:val="FF0000"/>
          <w:sz w:val="22"/>
          <w:szCs w:val="22"/>
        </w:rPr>
        <w:t xml:space="preserve"> </w:t>
      </w:r>
      <w:r>
        <w:rPr>
          <w:sz w:val="22"/>
          <w:szCs w:val="22"/>
        </w:rPr>
        <w:t xml:space="preserve">presents </w:t>
      </w:r>
      <w:r w:rsidR="007D5F69">
        <w:rPr>
          <w:sz w:val="22"/>
          <w:szCs w:val="22"/>
        </w:rPr>
        <w:t xml:space="preserve">the STLM predicted ranges for the five modelling sites for the per-pulse effects criteria (seafloor peak levels) and isopleths of interest for pinnipeds. </w:t>
      </w:r>
    </w:p>
    <w:p w14:paraId="341D0ECC" w14:textId="77777777" w:rsidR="00432CB4" w:rsidRDefault="00432CB4" w:rsidP="000C08B5">
      <w:pPr>
        <w:ind w:left="0"/>
        <w:rPr>
          <w:sz w:val="22"/>
          <w:szCs w:val="22"/>
        </w:rPr>
      </w:pPr>
    </w:p>
    <w:p w14:paraId="00FABBE9" w14:textId="78C37774" w:rsidR="007D5F69" w:rsidRPr="006E2F1B" w:rsidRDefault="007D5F69" w:rsidP="007D5F69">
      <w:pPr>
        <w:spacing w:after="120" w:line="240" w:lineRule="auto"/>
        <w:ind w:left="0"/>
        <w:jc w:val="center"/>
        <w:rPr>
          <w:rFonts w:cs="Arial"/>
          <w:b/>
          <w:sz w:val="20"/>
          <w:szCs w:val="20"/>
          <w:specVanish/>
        </w:rPr>
      </w:pPr>
      <w:r>
        <w:rPr>
          <w:rFonts w:cs="Arial"/>
          <w:b/>
          <w:sz w:val="20"/>
          <w:szCs w:val="20"/>
        </w:rPr>
        <w:t>Table 7.1</w:t>
      </w:r>
      <w:r w:rsidR="00005091">
        <w:rPr>
          <w:rFonts w:cs="Arial"/>
          <w:b/>
          <w:sz w:val="20"/>
          <w:szCs w:val="20"/>
        </w:rPr>
        <w:t>6</w:t>
      </w:r>
      <w:r>
        <w:rPr>
          <w:rFonts w:cs="Arial"/>
          <w:b/>
          <w:sz w:val="20"/>
          <w:szCs w:val="20"/>
        </w:rPr>
        <w:t>.</w:t>
      </w:r>
      <w:r>
        <w:rPr>
          <w:rFonts w:cs="Arial"/>
          <w:b/>
          <w:sz w:val="20"/>
          <w:szCs w:val="20"/>
        </w:rPr>
        <w:tab/>
      </w:r>
      <w:r w:rsidRPr="006E2F1B">
        <w:rPr>
          <w:rFonts w:cs="Arial"/>
          <w:b/>
          <w:sz w:val="20"/>
          <w:szCs w:val="20"/>
        </w:rPr>
        <w:t>Maximum (R</w:t>
      </w:r>
      <w:r w:rsidRPr="006E2F1B">
        <w:rPr>
          <w:rFonts w:cs="Arial"/>
          <w:b/>
          <w:sz w:val="20"/>
          <w:szCs w:val="20"/>
          <w:vertAlign w:val="subscript"/>
        </w:rPr>
        <w:t>max</w:t>
      </w:r>
      <w:r w:rsidRPr="006E2F1B">
        <w:rPr>
          <w:rFonts w:cs="Arial"/>
          <w:b/>
          <w:sz w:val="20"/>
          <w:szCs w:val="20"/>
        </w:rPr>
        <w:t xml:space="preserve">) horizontal distances from the </w:t>
      </w:r>
      <w:r>
        <w:rPr>
          <w:rFonts w:cs="Arial"/>
          <w:b/>
          <w:sz w:val="20"/>
          <w:szCs w:val="20"/>
        </w:rPr>
        <w:t>source</w:t>
      </w:r>
      <w:r w:rsidRPr="006E2F1B">
        <w:rPr>
          <w:rFonts w:cs="Arial"/>
          <w:b/>
          <w:sz w:val="20"/>
          <w:szCs w:val="20"/>
        </w:rPr>
        <w:t xml:space="preserve"> array to modelled seafloor PK levels from four transects</w:t>
      </w:r>
      <w:r w:rsidR="00DD0FB6">
        <w:rPr>
          <w:rFonts w:cs="Arial"/>
          <w:b/>
          <w:sz w:val="20"/>
          <w:szCs w:val="20"/>
        </w:rPr>
        <w:t xml:space="preserve"> for pinnipeds</w:t>
      </w:r>
    </w:p>
    <w:tbl>
      <w:tblPr>
        <w:tblStyle w:val="TableGrid"/>
        <w:tblW w:w="8331" w:type="dxa"/>
        <w:tblLook w:val="04A0" w:firstRow="1" w:lastRow="0" w:firstColumn="1" w:lastColumn="0" w:noHBand="0" w:noVBand="1"/>
      </w:tblPr>
      <w:tblGrid>
        <w:gridCol w:w="2518"/>
        <w:gridCol w:w="1559"/>
        <w:gridCol w:w="851"/>
        <w:gridCol w:w="850"/>
        <w:gridCol w:w="851"/>
        <w:gridCol w:w="850"/>
        <w:gridCol w:w="852"/>
      </w:tblGrid>
      <w:tr w:rsidR="007D5F69" w14:paraId="1BBDCCEA" w14:textId="77777777" w:rsidTr="007D5F69">
        <w:tc>
          <w:tcPr>
            <w:tcW w:w="2518" w:type="dxa"/>
            <w:vMerge w:val="restart"/>
            <w:shd w:val="clear" w:color="auto" w:fill="064EA8"/>
          </w:tcPr>
          <w:p w14:paraId="2E07858E" w14:textId="77777777" w:rsidR="007D5F69" w:rsidRPr="000362BD" w:rsidRDefault="007D5F69" w:rsidP="00392F61">
            <w:pPr>
              <w:spacing w:before="60" w:after="60" w:line="240" w:lineRule="auto"/>
              <w:ind w:left="0"/>
              <w:rPr>
                <w:rFonts w:cs="Arial"/>
                <w:color w:val="FFFFFF" w:themeColor="background1"/>
                <w:sz w:val="20"/>
                <w:szCs w:val="20"/>
              </w:rPr>
            </w:pPr>
            <w:r>
              <w:rPr>
                <w:rFonts w:cs="Arial"/>
                <w:color w:val="FFFFFF" w:themeColor="background1"/>
                <w:sz w:val="20"/>
                <w:szCs w:val="20"/>
              </w:rPr>
              <w:t>Group</w:t>
            </w:r>
          </w:p>
        </w:tc>
        <w:tc>
          <w:tcPr>
            <w:tcW w:w="1559" w:type="dxa"/>
            <w:vMerge w:val="restart"/>
            <w:shd w:val="clear" w:color="auto" w:fill="064EA8"/>
          </w:tcPr>
          <w:p w14:paraId="719B5CFE" w14:textId="464FAD1A" w:rsidR="007D5F69" w:rsidRPr="009E683A" w:rsidRDefault="007D5F69" w:rsidP="007D5F69">
            <w:pPr>
              <w:spacing w:before="60" w:after="60"/>
              <w:ind w:left="0"/>
              <w:jc w:val="center"/>
              <w:rPr>
                <w:rFonts w:cs="Arial"/>
                <w:color w:val="FFFFFF" w:themeColor="background1"/>
                <w:sz w:val="20"/>
                <w:szCs w:val="20"/>
              </w:rPr>
            </w:pPr>
            <w:r>
              <w:rPr>
                <w:color w:val="FFFFFF" w:themeColor="background1"/>
                <w:sz w:val="20"/>
                <w:szCs w:val="20"/>
              </w:rPr>
              <w:t>PK</w:t>
            </w:r>
            <w:r w:rsidRPr="005723CF">
              <w:rPr>
                <w:color w:val="FFFFFF" w:themeColor="background1"/>
                <w:sz w:val="20"/>
                <w:szCs w:val="20"/>
              </w:rPr>
              <w:t xml:space="preserve"> </w:t>
            </w:r>
            <w:r>
              <w:rPr>
                <w:color w:val="FFFFFF" w:themeColor="background1"/>
                <w:sz w:val="20"/>
                <w:szCs w:val="20"/>
              </w:rPr>
              <w:t xml:space="preserve">threshold </w:t>
            </w:r>
            <w:r>
              <w:rPr>
                <w:color w:val="FFFFFF" w:themeColor="background1"/>
                <w:sz w:val="20"/>
                <w:szCs w:val="20"/>
              </w:rPr>
              <w:br/>
            </w:r>
            <w:r w:rsidRPr="005723CF">
              <w:rPr>
                <w:color w:val="FFFFFF" w:themeColor="background1"/>
                <w:sz w:val="20"/>
                <w:szCs w:val="20"/>
              </w:rPr>
              <w:t>(dB re 1 μPa)</w:t>
            </w:r>
          </w:p>
        </w:tc>
        <w:tc>
          <w:tcPr>
            <w:tcW w:w="4254" w:type="dxa"/>
            <w:gridSpan w:val="5"/>
            <w:shd w:val="clear" w:color="auto" w:fill="064EA8"/>
          </w:tcPr>
          <w:p w14:paraId="704B81C1" w14:textId="77777777" w:rsidR="007D5F69" w:rsidRPr="009E683A" w:rsidRDefault="007D5F69" w:rsidP="00392F61">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Distance R</w:t>
            </w:r>
            <w:r>
              <w:rPr>
                <w:rFonts w:cs="Arial"/>
                <w:color w:val="FFFFFF" w:themeColor="background1"/>
                <w:sz w:val="20"/>
                <w:szCs w:val="20"/>
                <w:vertAlign w:val="subscript"/>
              </w:rPr>
              <w:t>max</w:t>
            </w:r>
            <w:r w:rsidRPr="009E683A">
              <w:rPr>
                <w:rFonts w:cs="Arial"/>
                <w:color w:val="FFFFFF" w:themeColor="background1"/>
                <w:sz w:val="20"/>
                <w:szCs w:val="20"/>
              </w:rPr>
              <w:t xml:space="preserve"> (m)</w:t>
            </w:r>
          </w:p>
        </w:tc>
      </w:tr>
      <w:tr w:rsidR="007D5F69" w14:paraId="2AE67B96" w14:textId="77777777" w:rsidTr="007D5F69">
        <w:tc>
          <w:tcPr>
            <w:tcW w:w="2518" w:type="dxa"/>
            <w:vMerge/>
            <w:shd w:val="clear" w:color="auto" w:fill="064EA8"/>
          </w:tcPr>
          <w:p w14:paraId="5B6AF3F7" w14:textId="77777777" w:rsidR="007D5F69" w:rsidRPr="005723CF" w:rsidRDefault="007D5F69" w:rsidP="00392F61">
            <w:pPr>
              <w:spacing w:before="60" w:after="60" w:line="240" w:lineRule="auto"/>
              <w:ind w:left="0"/>
              <w:rPr>
                <w:color w:val="FFFFFF" w:themeColor="background1"/>
                <w:sz w:val="20"/>
                <w:szCs w:val="20"/>
              </w:rPr>
            </w:pPr>
          </w:p>
        </w:tc>
        <w:tc>
          <w:tcPr>
            <w:tcW w:w="1559" w:type="dxa"/>
            <w:vMerge/>
            <w:shd w:val="clear" w:color="auto" w:fill="064EA8"/>
          </w:tcPr>
          <w:p w14:paraId="311E2518" w14:textId="77777777" w:rsidR="007D5F69" w:rsidRPr="009E683A" w:rsidRDefault="007D5F69" w:rsidP="00392F61">
            <w:pPr>
              <w:spacing w:before="60" w:after="60" w:line="240" w:lineRule="auto"/>
              <w:ind w:left="0"/>
              <w:jc w:val="center"/>
              <w:rPr>
                <w:rFonts w:cs="Arial"/>
                <w:color w:val="FFFFFF" w:themeColor="background1"/>
                <w:sz w:val="20"/>
                <w:szCs w:val="20"/>
              </w:rPr>
            </w:pPr>
          </w:p>
        </w:tc>
        <w:tc>
          <w:tcPr>
            <w:tcW w:w="851" w:type="dxa"/>
            <w:shd w:val="clear" w:color="auto" w:fill="064EA8"/>
          </w:tcPr>
          <w:p w14:paraId="6C81E5CE" w14:textId="77777777" w:rsidR="007D5F69" w:rsidRPr="009E683A" w:rsidRDefault="007D5F69" w:rsidP="00392F61">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1</w:t>
            </w:r>
          </w:p>
        </w:tc>
        <w:tc>
          <w:tcPr>
            <w:tcW w:w="850" w:type="dxa"/>
            <w:shd w:val="clear" w:color="auto" w:fill="064EA8"/>
          </w:tcPr>
          <w:p w14:paraId="4E59F2BE" w14:textId="77777777" w:rsidR="007D5F69" w:rsidRPr="009E683A" w:rsidRDefault="007D5F69" w:rsidP="00392F61">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2</w:t>
            </w:r>
          </w:p>
        </w:tc>
        <w:tc>
          <w:tcPr>
            <w:tcW w:w="851" w:type="dxa"/>
            <w:shd w:val="clear" w:color="auto" w:fill="064EA8"/>
          </w:tcPr>
          <w:p w14:paraId="6BC233DE" w14:textId="77777777" w:rsidR="007D5F69" w:rsidRPr="009E683A" w:rsidRDefault="007D5F69" w:rsidP="00392F61">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3</w:t>
            </w:r>
          </w:p>
        </w:tc>
        <w:tc>
          <w:tcPr>
            <w:tcW w:w="850" w:type="dxa"/>
            <w:shd w:val="clear" w:color="auto" w:fill="064EA8"/>
          </w:tcPr>
          <w:p w14:paraId="144CCB7B" w14:textId="77777777" w:rsidR="007D5F69" w:rsidRPr="009E683A" w:rsidRDefault="007D5F69" w:rsidP="00392F61">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4</w:t>
            </w:r>
          </w:p>
        </w:tc>
        <w:tc>
          <w:tcPr>
            <w:tcW w:w="852" w:type="dxa"/>
            <w:shd w:val="clear" w:color="auto" w:fill="064EA8"/>
          </w:tcPr>
          <w:p w14:paraId="6126DC83" w14:textId="77777777" w:rsidR="007D5F69" w:rsidRPr="009E683A" w:rsidRDefault="007D5F69" w:rsidP="00392F61">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5</w:t>
            </w:r>
          </w:p>
        </w:tc>
      </w:tr>
      <w:tr w:rsidR="007D5F69" w14:paraId="31121839" w14:textId="77777777" w:rsidTr="00DE495E">
        <w:tc>
          <w:tcPr>
            <w:tcW w:w="2518" w:type="dxa"/>
          </w:tcPr>
          <w:p w14:paraId="671FF5D8" w14:textId="50C9D94C" w:rsidR="007D5F69" w:rsidRDefault="007D5F69" w:rsidP="00392F61">
            <w:pPr>
              <w:spacing w:before="60" w:after="60" w:line="240" w:lineRule="auto"/>
              <w:ind w:left="0"/>
              <w:rPr>
                <w:rFonts w:cs="Arial"/>
                <w:sz w:val="20"/>
                <w:szCs w:val="20"/>
              </w:rPr>
            </w:pPr>
            <w:r w:rsidRPr="000C08B5">
              <w:rPr>
                <w:rFonts w:cs="Arial"/>
                <w:sz w:val="20"/>
                <w:szCs w:val="20"/>
              </w:rPr>
              <w:t xml:space="preserve">Phocid pinnipeds </w:t>
            </w:r>
            <w:r>
              <w:rPr>
                <w:rFonts w:cs="Arial"/>
                <w:sz w:val="20"/>
                <w:szCs w:val="20"/>
              </w:rPr>
              <w:t>in water</w:t>
            </w:r>
          </w:p>
        </w:tc>
        <w:tc>
          <w:tcPr>
            <w:tcW w:w="1559" w:type="dxa"/>
            <w:vAlign w:val="center"/>
          </w:tcPr>
          <w:p w14:paraId="50273CD4" w14:textId="304E3BB9" w:rsidR="007D5F69" w:rsidRDefault="007D5F69" w:rsidP="00392F61">
            <w:pPr>
              <w:spacing w:before="60" w:after="60" w:line="240" w:lineRule="auto"/>
              <w:ind w:left="0"/>
              <w:jc w:val="center"/>
              <w:rPr>
                <w:rFonts w:cs="Arial"/>
                <w:sz w:val="20"/>
                <w:szCs w:val="20"/>
              </w:rPr>
            </w:pPr>
            <w:r>
              <w:rPr>
                <w:rFonts w:cs="Arial"/>
                <w:sz w:val="20"/>
                <w:szCs w:val="20"/>
              </w:rPr>
              <w:t>218</w:t>
            </w:r>
          </w:p>
        </w:tc>
        <w:tc>
          <w:tcPr>
            <w:tcW w:w="851" w:type="dxa"/>
            <w:shd w:val="clear" w:color="auto" w:fill="FF0000"/>
            <w:vAlign w:val="center"/>
          </w:tcPr>
          <w:p w14:paraId="0C55774C" w14:textId="695856D6" w:rsidR="007D5F69" w:rsidRPr="009E683A" w:rsidRDefault="007D5F69" w:rsidP="00392F61">
            <w:pPr>
              <w:spacing w:before="60" w:after="60" w:line="240" w:lineRule="auto"/>
              <w:ind w:left="0"/>
              <w:jc w:val="center"/>
              <w:rPr>
                <w:rFonts w:cs="Arial"/>
                <w:sz w:val="20"/>
                <w:szCs w:val="20"/>
              </w:rPr>
            </w:pPr>
            <w:r>
              <w:rPr>
                <w:rFonts w:cs="Arial"/>
                <w:sz w:val="20"/>
                <w:szCs w:val="20"/>
              </w:rPr>
              <w:t>65</w:t>
            </w:r>
          </w:p>
        </w:tc>
        <w:tc>
          <w:tcPr>
            <w:tcW w:w="850" w:type="dxa"/>
            <w:vAlign w:val="center"/>
          </w:tcPr>
          <w:p w14:paraId="45CE4FC3" w14:textId="1A3108D6" w:rsidR="007D5F69" w:rsidRPr="009E683A" w:rsidRDefault="007D5F69" w:rsidP="00392F61">
            <w:pPr>
              <w:spacing w:before="60" w:after="60" w:line="240" w:lineRule="auto"/>
              <w:ind w:left="0"/>
              <w:jc w:val="center"/>
              <w:rPr>
                <w:rFonts w:cs="Arial"/>
                <w:sz w:val="20"/>
                <w:szCs w:val="20"/>
              </w:rPr>
            </w:pPr>
            <w:r>
              <w:rPr>
                <w:rFonts w:cs="Arial"/>
                <w:sz w:val="20"/>
                <w:szCs w:val="20"/>
              </w:rPr>
              <w:t>35</w:t>
            </w:r>
          </w:p>
        </w:tc>
        <w:tc>
          <w:tcPr>
            <w:tcW w:w="851" w:type="dxa"/>
            <w:vAlign w:val="center"/>
          </w:tcPr>
          <w:p w14:paraId="16D6CBAD" w14:textId="4D1EA117" w:rsidR="007D5F69" w:rsidRPr="009E683A" w:rsidRDefault="007D5F69" w:rsidP="00392F61">
            <w:pPr>
              <w:spacing w:before="60" w:after="60" w:line="240" w:lineRule="auto"/>
              <w:ind w:left="0"/>
              <w:jc w:val="center"/>
              <w:rPr>
                <w:rFonts w:cs="Arial"/>
                <w:sz w:val="20"/>
                <w:szCs w:val="20"/>
              </w:rPr>
            </w:pPr>
            <w:r>
              <w:rPr>
                <w:rFonts w:cs="Arial"/>
                <w:sz w:val="20"/>
                <w:szCs w:val="20"/>
              </w:rPr>
              <w:t>55</w:t>
            </w:r>
          </w:p>
        </w:tc>
        <w:tc>
          <w:tcPr>
            <w:tcW w:w="850" w:type="dxa"/>
            <w:vAlign w:val="center"/>
          </w:tcPr>
          <w:p w14:paraId="49506B89" w14:textId="4C2DA244" w:rsidR="007D5F69" w:rsidRPr="009E683A" w:rsidRDefault="007D5F69" w:rsidP="00392F61">
            <w:pPr>
              <w:spacing w:before="60" w:after="60" w:line="240" w:lineRule="auto"/>
              <w:ind w:left="0"/>
              <w:jc w:val="center"/>
              <w:rPr>
                <w:rFonts w:cs="Arial"/>
                <w:sz w:val="20"/>
                <w:szCs w:val="20"/>
              </w:rPr>
            </w:pPr>
            <w:r>
              <w:rPr>
                <w:rFonts w:cs="Arial"/>
                <w:sz w:val="20"/>
                <w:szCs w:val="20"/>
              </w:rPr>
              <w:t>50</w:t>
            </w:r>
          </w:p>
        </w:tc>
        <w:tc>
          <w:tcPr>
            <w:tcW w:w="852" w:type="dxa"/>
            <w:vAlign w:val="center"/>
          </w:tcPr>
          <w:p w14:paraId="2D3A4FBF" w14:textId="77777777" w:rsidR="007D5F69" w:rsidRPr="009E683A" w:rsidRDefault="007D5F69" w:rsidP="00392F61">
            <w:pPr>
              <w:spacing w:before="60" w:after="60" w:line="240" w:lineRule="auto"/>
              <w:ind w:left="0"/>
              <w:jc w:val="center"/>
              <w:rPr>
                <w:rFonts w:cs="Arial"/>
                <w:sz w:val="20"/>
                <w:szCs w:val="20"/>
              </w:rPr>
            </w:pPr>
            <w:r>
              <w:rPr>
                <w:rFonts w:cs="Arial"/>
                <w:sz w:val="20"/>
                <w:szCs w:val="20"/>
              </w:rPr>
              <w:t>50</w:t>
            </w:r>
          </w:p>
        </w:tc>
      </w:tr>
      <w:tr w:rsidR="007D5F69" w14:paraId="1D0FD8E2" w14:textId="77777777" w:rsidTr="00DE495E">
        <w:trPr>
          <w:trHeight w:val="422"/>
        </w:trPr>
        <w:tc>
          <w:tcPr>
            <w:tcW w:w="2518" w:type="dxa"/>
          </w:tcPr>
          <w:p w14:paraId="1E380146" w14:textId="66545B54" w:rsidR="007D5F69" w:rsidRDefault="007D5F69" w:rsidP="00392F61">
            <w:pPr>
              <w:spacing w:before="60" w:after="60" w:line="240" w:lineRule="auto"/>
              <w:ind w:left="0"/>
              <w:rPr>
                <w:rFonts w:cs="Arial"/>
                <w:sz w:val="20"/>
                <w:szCs w:val="20"/>
              </w:rPr>
            </w:pPr>
            <w:r w:rsidRPr="000C08B5">
              <w:rPr>
                <w:rFonts w:cs="Arial"/>
                <w:sz w:val="20"/>
                <w:szCs w:val="20"/>
              </w:rPr>
              <w:t>Otariid pinnipeds</w:t>
            </w:r>
            <w:r>
              <w:rPr>
                <w:rFonts w:cs="Arial"/>
                <w:sz w:val="20"/>
                <w:szCs w:val="20"/>
              </w:rPr>
              <w:t xml:space="preserve"> in water</w:t>
            </w:r>
            <w:r w:rsidRPr="000C08B5">
              <w:rPr>
                <w:rFonts w:cs="Arial"/>
                <w:sz w:val="20"/>
                <w:szCs w:val="20"/>
              </w:rPr>
              <w:t xml:space="preserve"> </w:t>
            </w:r>
          </w:p>
        </w:tc>
        <w:tc>
          <w:tcPr>
            <w:tcW w:w="1559" w:type="dxa"/>
            <w:vAlign w:val="center"/>
          </w:tcPr>
          <w:p w14:paraId="6595A79B" w14:textId="4001AFFE" w:rsidR="007D5F69" w:rsidRDefault="007D5F69" w:rsidP="00392F61">
            <w:pPr>
              <w:spacing w:before="60" w:after="60" w:line="240" w:lineRule="auto"/>
              <w:ind w:left="0"/>
              <w:jc w:val="center"/>
              <w:rPr>
                <w:rFonts w:cs="Arial"/>
                <w:sz w:val="20"/>
                <w:szCs w:val="20"/>
              </w:rPr>
            </w:pPr>
            <w:r>
              <w:rPr>
                <w:rFonts w:cs="Arial"/>
                <w:sz w:val="20"/>
                <w:szCs w:val="20"/>
              </w:rPr>
              <w:t>232</w:t>
            </w:r>
          </w:p>
        </w:tc>
        <w:tc>
          <w:tcPr>
            <w:tcW w:w="851" w:type="dxa"/>
            <w:shd w:val="clear" w:color="auto" w:fill="FF0000"/>
            <w:vAlign w:val="center"/>
          </w:tcPr>
          <w:p w14:paraId="394BC298" w14:textId="18A5EF99" w:rsidR="007D5F69" w:rsidRPr="009E683A" w:rsidRDefault="007D5F69" w:rsidP="00392F61">
            <w:pPr>
              <w:spacing w:before="60" w:after="60" w:line="240" w:lineRule="auto"/>
              <w:ind w:left="0"/>
              <w:jc w:val="center"/>
              <w:rPr>
                <w:rFonts w:cs="Arial"/>
                <w:sz w:val="20"/>
                <w:szCs w:val="20"/>
              </w:rPr>
            </w:pPr>
            <w:r>
              <w:rPr>
                <w:rFonts w:cs="Arial"/>
                <w:sz w:val="20"/>
                <w:szCs w:val="20"/>
              </w:rPr>
              <w:t>10</w:t>
            </w:r>
          </w:p>
        </w:tc>
        <w:tc>
          <w:tcPr>
            <w:tcW w:w="850" w:type="dxa"/>
            <w:vAlign w:val="center"/>
          </w:tcPr>
          <w:p w14:paraId="2A752087" w14:textId="6E0F7034" w:rsidR="007D5F69" w:rsidRPr="009E683A" w:rsidRDefault="007D5F69" w:rsidP="00392F61">
            <w:pPr>
              <w:spacing w:before="60" w:after="60" w:line="240" w:lineRule="auto"/>
              <w:ind w:left="0"/>
              <w:jc w:val="center"/>
              <w:rPr>
                <w:rFonts w:cs="Arial"/>
                <w:sz w:val="20"/>
                <w:szCs w:val="20"/>
              </w:rPr>
            </w:pPr>
            <w:r>
              <w:rPr>
                <w:rFonts w:cs="Arial"/>
                <w:sz w:val="20"/>
                <w:szCs w:val="20"/>
              </w:rPr>
              <w:t>5</w:t>
            </w:r>
          </w:p>
        </w:tc>
        <w:tc>
          <w:tcPr>
            <w:tcW w:w="851" w:type="dxa"/>
            <w:vAlign w:val="center"/>
          </w:tcPr>
          <w:p w14:paraId="6A6DB6AE" w14:textId="67051FAC" w:rsidR="007D5F69" w:rsidRPr="009E683A" w:rsidRDefault="007D5F69" w:rsidP="00392F61">
            <w:pPr>
              <w:spacing w:before="60" w:after="60" w:line="240" w:lineRule="auto"/>
              <w:ind w:left="0"/>
              <w:jc w:val="center"/>
              <w:rPr>
                <w:rFonts w:cs="Arial"/>
                <w:sz w:val="20"/>
                <w:szCs w:val="20"/>
              </w:rPr>
            </w:pPr>
            <w:r>
              <w:rPr>
                <w:rFonts w:cs="Arial"/>
                <w:sz w:val="20"/>
                <w:szCs w:val="20"/>
              </w:rPr>
              <w:t>-</w:t>
            </w:r>
          </w:p>
        </w:tc>
        <w:tc>
          <w:tcPr>
            <w:tcW w:w="850" w:type="dxa"/>
            <w:vAlign w:val="center"/>
          </w:tcPr>
          <w:p w14:paraId="0E0610AC" w14:textId="01A9C33B" w:rsidR="007D5F69" w:rsidRPr="009E683A" w:rsidRDefault="007D5F69" w:rsidP="00392F61">
            <w:pPr>
              <w:spacing w:before="60" w:after="60" w:line="240" w:lineRule="auto"/>
              <w:ind w:left="0"/>
              <w:jc w:val="center"/>
              <w:rPr>
                <w:rFonts w:cs="Arial"/>
                <w:sz w:val="20"/>
                <w:szCs w:val="20"/>
              </w:rPr>
            </w:pPr>
            <w:r>
              <w:rPr>
                <w:rFonts w:cs="Arial"/>
                <w:sz w:val="20"/>
                <w:szCs w:val="20"/>
              </w:rPr>
              <w:t>-</w:t>
            </w:r>
          </w:p>
        </w:tc>
        <w:tc>
          <w:tcPr>
            <w:tcW w:w="852" w:type="dxa"/>
            <w:vAlign w:val="center"/>
          </w:tcPr>
          <w:p w14:paraId="19BA59B3" w14:textId="4507D616" w:rsidR="007D5F69" w:rsidRPr="009E683A" w:rsidRDefault="007D5F69" w:rsidP="00392F61">
            <w:pPr>
              <w:spacing w:before="60" w:after="60" w:line="240" w:lineRule="auto"/>
              <w:ind w:left="0"/>
              <w:jc w:val="center"/>
              <w:rPr>
                <w:rFonts w:cs="Arial"/>
                <w:sz w:val="20"/>
                <w:szCs w:val="20"/>
              </w:rPr>
            </w:pPr>
            <w:r>
              <w:rPr>
                <w:rFonts w:cs="Arial"/>
                <w:sz w:val="20"/>
                <w:szCs w:val="20"/>
              </w:rPr>
              <w:t>5</w:t>
            </w:r>
          </w:p>
        </w:tc>
      </w:tr>
    </w:tbl>
    <w:p w14:paraId="59CD847F" w14:textId="777B79F0" w:rsidR="00432CB4" w:rsidRPr="00DE495E" w:rsidRDefault="007D5F69" w:rsidP="000C08B5">
      <w:pPr>
        <w:ind w:left="0"/>
        <w:rPr>
          <w:i/>
          <w:sz w:val="22"/>
          <w:szCs w:val="22"/>
        </w:rPr>
      </w:pPr>
      <w:r w:rsidRPr="00DE495E">
        <w:rPr>
          <w:i/>
          <w:sz w:val="18"/>
          <w:szCs w:val="18"/>
        </w:rPr>
        <w:t>Dashed line indicates threshold is not reached.</w:t>
      </w:r>
    </w:p>
    <w:p w14:paraId="1C72198D" w14:textId="263DFCD8" w:rsidR="00DE495E" w:rsidRPr="001D2756" w:rsidRDefault="00DE495E" w:rsidP="00DE495E">
      <w:pPr>
        <w:spacing w:after="240"/>
        <w:ind w:left="0"/>
        <w:rPr>
          <w:i/>
          <w:sz w:val="18"/>
          <w:szCs w:val="18"/>
        </w:rPr>
      </w:pPr>
      <w:r w:rsidRPr="001D2756">
        <w:rPr>
          <w:i/>
          <w:sz w:val="18"/>
          <w:szCs w:val="18"/>
        </w:rPr>
        <w:t>Cells highlighted in red indicate maximum predicted exten</w:t>
      </w:r>
      <w:r w:rsidR="00A24FEE">
        <w:rPr>
          <w:i/>
          <w:sz w:val="18"/>
          <w:szCs w:val="18"/>
        </w:rPr>
        <w:t>t</w:t>
      </w:r>
      <w:r w:rsidRPr="001D2756">
        <w:rPr>
          <w:i/>
          <w:sz w:val="18"/>
          <w:szCs w:val="18"/>
        </w:rPr>
        <w:t xml:space="preserve"> of sound.</w:t>
      </w:r>
    </w:p>
    <w:p w14:paraId="5EA85C4B" w14:textId="5F50FE2B" w:rsidR="007D5F69" w:rsidRDefault="007D5F69" w:rsidP="007D5F69">
      <w:pPr>
        <w:spacing w:after="240" w:line="240" w:lineRule="auto"/>
        <w:ind w:left="0"/>
        <w:rPr>
          <w:color w:val="000000" w:themeColor="text1"/>
          <w:sz w:val="22"/>
          <w:szCs w:val="22"/>
        </w:rPr>
      </w:pPr>
      <w:r w:rsidRPr="00181529">
        <w:rPr>
          <w:color w:val="000000" w:themeColor="text1"/>
          <w:sz w:val="22"/>
          <w:szCs w:val="22"/>
        </w:rPr>
        <w:t>The SEL</w:t>
      </w:r>
      <w:r w:rsidRPr="00181529">
        <w:rPr>
          <w:color w:val="000000" w:themeColor="text1"/>
          <w:sz w:val="22"/>
          <w:szCs w:val="22"/>
          <w:vertAlign w:val="subscript"/>
        </w:rPr>
        <w:t>24h</w:t>
      </w:r>
      <w:r w:rsidRPr="00181529">
        <w:rPr>
          <w:color w:val="000000" w:themeColor="text1"/>
          <w:sz w:val="22"/>
          <w:szCs w:val="22"/>
        </w:rPr>
        <w:t xml:space="preserve"> exposure results are presented for three possible operational scenarios (as described earlier in this section). </w:t>
      </w:r>
      <w:r w:rsidRPr="00EF4E2A">
        <w:rPr>
          <w:sz w:val="22"/>
          <w:szCs w:val="22"/>
        </w:rPr>
        <w:t>Table 7.</w:t>
      </w:r>
      <w:r w:rsidR="00005091" w:rsidRPr="00EF4E2A">
        <w:rPr>
          <w:sz w:val="22"/>
          <w:szCs w:val="22"/>
        </w:rPr>
        <w:t>17</w:t>
      </w:r>
      <w:r w:rsidRPr="00005091">
        <w:rPr>
          <w:color w:val="FF0000"/>
          <w:sz w:val="22"/>
          <w:szCs w:val="22"/>
        </w:rPr>
        <w:t xml:space="preserve"> </w:t>
      </w:r>
      <w:r w:rsidRPr="00181529">
        <w:rPr>
          <w:color w:val="000000" w:themeColor="text1"/>
          <w:sz w:val="22"/>
          <w:szCs w:val="22"/>
        </w:rPr>
        <w:t>shows the estimated ranges to the appropriate cumulative exposure criterion contour for pinnipeds. The radii in this table represent the perpendicular distance from the closest survey line to the relevant isopleth.</w:t>
      </w:r>
      <w:r w:rsidR="00181529">
        <w:rPr>
          <w:color w:val="000000" w:themeColor="text1"/>
          <w:sz w:val="22"/>
          <w:szCs w:val="22"/>
        </w:rPr>
        <w:t xml:space="preserve"> These results indicate that otariid pinnipeds (the group present in the EMBA)</w:t>
      </w:r>
      <w:r>
        <w:rPr>
          <w:color w:val="000000" w:themeColor="text1"/>
          <w:sz w:val="22"/>
          <w:szCs w:val="22"/>
        </w:rPr>
        <w:t xml:space="preserve"> </w:t>
      </w:r>
      <w:r w:rsidR="00181529">
        <w:rPr>
          <w:color w:val="000000" w:themeColor="text1"/>
          <w:sz w:val="22"/>
          <w:szCs w:val="22"/>
        </w:rPr>
        <w:t xml:space="preserve">are not impacted by cumulative sound. </w:t>
      </w:r>
    </w:p>
    <w:p w14:paraId="67C54A12" w14:textId="77777777" w:rsidR="00E30BD8" w:rsidRDefault="00E30BD8">
      <w:pPr>
        <w:spacing w:line="240" w:lineRule="auto"/>
        <w:ind w:left="0"/>
        <w:rPr>
          <w:rFonts w:cs="Arial"/>
          <w:b/>
          <w:sz w:val="20"/>
          <w:szCs w:val="20"/>
        </w:rPr>
      </w:pPr>
      <w:r>
        <w:rPr>
          <w:rFonts w:cs="Arial"/>
          <w:b/>
          <w:sz w:val="20"/>
          <w:szCs w:val="20"/>
        </w:rPr>
        <w:br w:type="page"/>
      </w:r>
    </w:p>
    <w:p w14:paraId="7BE98F4C" w14:textId="73969F92" w:rsidR="007D5F69" w:rsidRDefault="007D5F69" w:rsidP="007D5F69">
      <w:pPr>
        <w:spacing w:after="120" w:line="240" w:lineRule="auto"/>
        <w:ind w:left="0"/>
        <w:jc w:val="center"/>
        <w:rPr>
          <w:rFonts w:ascii="Tahoma" w:hAnsi="Tahoma" w:cs="Arial"/>
          <w:szCs w:val="20"/>
        </w:rPr>
      </w:pPr>
      <w:r>
        <w:rPr>
          <w:rFonts w:cs="Arial"/>
          <w:b/>
          <w:sz w:val="20"/>
          <w:szCs w:val="20"/>
        </w:rPr>
        <w:lastRenderedPageBreak/>
        <w:t>Table 7.</w:t>
      </w:r>
      <w:r w:rsidR="00005091">
        <w:rPr>
          <w:rFonts w:cs="Arial"/>
          <w:b/>
          <w:sz w:val="20"/>
          <w:szCs w:val="20"/>
        </w:rPr>
        <w:t>17</w:t>
      </w:r>
      <w:r>
        <w:rPr>
          <w:rFonts w:cs="Arial"/>
          <w:b/>
          <w:sz w:val="20"/>
          <w:szCs w:val="20"/>
        </w:rPr>
        <w:t>.</w:t>
      </w:r>
      <w:r>
        <w:rPr>
          <w:rFonts w:cs="Arial"/>
          <w:b/>
          <w:sz w:val="20"/>
          <w:szCs w:val="20"/>
        </w:rPr>
        <w:tab/>
      </w:r>
      <w:r w:rsidRPr="008A483F">
        <w:rPr>
          <w:rFonts w:cs="Arial"/>
          <w:b/>
          <w:sz w:val="20"/>
          <w:szCs w:val="20"/>
        </w:rPr>
        <w:t>Maximum-over-depth distances (in km) to SEL</w:t>
      </w:r>
      <w:r w:rsidRPr="008A483F">
        <w:rPr>
          <w:rFonts w:cs="Arial"/>
          <w:b/>
          <w:sz w:val="20"/>
          <w:szCs w:val="20"/>
          <w:vertAlign w:val="subscript"/>
        </w:rPr>
        <w:t>24h</w:t>
      </w:r>
      <w:r w:rsidR="00181529">
        <w:rPr>
          <w:rFonts w:cs="Arial"/>
          <w:b/>
          <w:sz w:val="20"/>
          <w:szCs w:val="20"/>
        </w:rPr>
        <w:t xml:space="preserve"> </w:t>
      </w:r>
      <w:r w:rsidRPr="008A483F">
        <w:rPr>
          <w:rFonts w:cs="Arial"/>
          <w:b/>
          <w:sz w:val="20"/>
          <w:szCs w:val="20"/>
        </w:rPr>
        <w:t xml:space="preserve">based </w:t>
      </w:r>
      <w:r>
        <w:rPr>
          <w:rFonts w:cs="Arial"/>
          <w:b/>
          <w:sz w:val="20"/>
          <w:szCs w:val="20"/>
        </w:rPr>
        <w:t>pinniped injury</w:t>
      </w:r>
      <w:r w:rsidRPr="008A483F">
        <w:rPr>
          <w:rFonts w:cs="Arial"/>
          <w:b/>
          <w:sz w:val="20"/>
          <w:szCs w:val="20"/>
        </w:rPr>
        <w:t xml:space="preserve"> criteria for three possible scenarios within the Pelican 3DMSS acquisition area</w:t>
      </w:r>
      <w:r>
        <w:rPr>
          <w:rFonts w:cs="Arial"/>
          <w:b/>
          <w:sz w:val="20"/>
          <w:szCs w:val="20"/>
        </w:rPr>
        <w:t xml:space="preserve"> </w:t>
      </w:r>
    </w:p>
    <w:tbl>
      <w:tblPr>
        <w:tblStyle w:val="TableGrid"/>
        <w:tblW w:w="0" w:type="auto"/>
        <w:jc w:val="center"/>
        <w:tblLayout w:type="fixed"/>
        <w:tblLook w:val="04A0" w:firstRow="1" w:lastRow="0" w:firstColumn="1" w:lastColumn="0" w:noHBand="0" w:noVBand="1"/>
      </w:tblPr>
      <w:tblGrid>
        <w:gridCol w:w="1636"/>
        <w:gridCol w:w="1560"/>
        <w:gridCol w:w="850"/>
        <w:gridCol w:w="851"/>
        <w:gridCol w:w="850"/>
        <w:gridCol w:w="851"/>
        <w:gridCol w:w="850"/>
        <w:gridCol w:w="728"/>
      </w:tblGrid>
      <w:tr w:rsidR="007D5F69" w14:paraId="0767E5F1" w14:textId="77777777" w:rsidTr="007D5F69">
        <w:trPr>
          <w:jc w:val="center"/>
        </w:trPr>
        <w:tc>
          <w:tcPr>
            <w:tcW w:w="1636" w:type="dxa"/>
            <w:vMerge w:val="restart"/>
            <w:shd w:val="clear" w:color="auto" w:fill="064EA8"/>
          </w:tcPr>
          <w:p w14:paraId="4A2B3F95" w14:textId="77777777" w:rsidR="007D5F69" w:rsidRDefault="007D5F69" w:rsidP="00392F61">
            <w:pPr>
              <w:spacing w:before="60" w:after="60"/>
              <w:ind w:left="0"/>
              <w:rPr>
                <w:rFonts w:cs="Arial"/>
                <w:color w:val="FFFFFF" w:themeColor="background1"/>
                <w:sz w:val="20"/>
                <w:szCs w:val="20"/>
              </w:rPr>
            </w:pPr>
            <w:r>
              <w:rPr>
                <w:rFonts w:cs="Arial"/>
                <w:color w:val="FFFFFF" w:themeColor="background1"/>
                <w:sz w:val="20"/>
                <w:szCs w:val="20"/>
              </w:rPr>
              <w:t>Group</w:t>
            </w:r>
          </w:p>
        </w:tc>
        <w:tc>
          <w:tcPr>
            <w:tcW w:w="1560" w:type="dxa"/>
            <w:vMerge w:val="restart"/>
            <w:shd w:val="clear" w:color="auto" w:fill="064EA8"/>
          </w:tcPr>
          <w:p w14:paraId="78332366" w14:textId="77777777" w:rsidR="007D5F69" w:rsidRPr="000D0DBD" w:rsidRDefault="007D5F69" w:rsidP="00392F61">
            <w:pPr>
              <w:spacing w:before="60" w:after="60"/>
              <w:ind w:left="0"/>
              <w:jc w:val="center"/>
              <w:rPr>
                <w:rFonts w:cs="Arial"/>
                <w:color w:val="FFFFFF" w:themeColor="background1"/>
                <w:sz w:val="20"/>
                <w:szCs w:val="20"/>
              </w:rPr>
            </w:pPr>
            <w:r w:rsidRPr="000D0DBD">
              <w:rPr>
                <w:rFonts w:cs="Arial"/>
                <w:color w:val="FFFFFF" w:themeColor="background1"/>
                <w:sz w:val="20"/>
                <w:szCs w:val="20"/>
              </w:rPr>
              <w:t>Threshold for SEL</w:t>
            </w:r>
            <w:r w:rsidRPr="00944C40">
              <w:rPr>
                <w:rFonts w:cs="Arial"/>
                <w:color w:val="FFFFFF" w:themeColor="background1"/>
                <w:sz w:val="20"/>
                <w:szCs w:val="20"/>
                <w:vertAlign w:val="subscript"/>
              </w:rPr>
              <w:t>24h</w:t>
            </w:r>
            <w:r w:rsidRPr="000D0DBD">
              <w:rPr>
                <w:rFonts w:cs="Arial"/>
                <w:color w:val="FFFFFF" w:themeColor="background1"/>
                <w:sz w:val="20"/>
                <w:szCs w:val="20"/>
              </w:rPr>
              <w:t xml:space="preserve"> (</w:t>
            </w:r>
            <w:r>
              <w:rPr>
                <w:rFonts w:cs="Arial"/>
                <w:color w:val="FFFFFF" w:themeColor="background1"/>
                <w:sz w:val="20"/>
                <w:szCs w:val="20"/>
              </w:rPr>
              <w:t>dB</w:t>
            </w:r>
            <w:r w:rsidRPr="000D0DBD">
              <w:rPr>
                <w:rFonts w:cs="Arial"/>
                <w:color w:val="FFFFFF" w:themeColor="background1"/>
                <w:sz w:val="20"/>
                <w:szCs w:val="20"/>
              </w:rPr>
              <w:t xml:space="preserve"> </w:t>
            </w:r>
            <w:r w:rsidRPr="000D0DBD">
              <w:rPr>
                <w:color w:val="FFFFFF" w:themeColor="background1"/>
                <w:sz w:val="20"/>
                <w:szCs w:val="20"/>
              </w:rPr>
              <w:t>re 1 μPa</w:t>
            </w:r>
            <w:r w:rsidRPr="000D0DBD">
              <w:rPr>
                <w:color w:val="FFFFFF" w:themeColor="background1"/>
                <w:sz w:val="20"/>
                <w:szCs w:val="20"/>
                <w:vertAlign w:val="superscript"/>
              </w:rPr>
              <w:t>2</w:t>
            </w:r>
            <w:r>
              <w:rPr>
                <w:color w:val="FFFFFF" w:themeColor="background1"/>
                <w:sz w:val="20"/>
                <w:szCs w:val="20"/>
              </w:rPr>
              <w:t>.s</w:t>
            </w:r>
            <w:r w:rsidRPr="000D0DBD">
              <w:rPr>
                <w:color w:val="FFFFFF" w:themeColor="background1"/>
                <w:sz w:val="20"/>
                <w:szCs w:val="20"/>
              </w:rPr>
              <w:t>)</w:t>
            </w:r>
          </w:p>
        </w:tc>
        <w:tc>
          <w:tcPr>
            <w:tcW w:w="1701" w:type="dxa"/>
            <w:gridSpan w:val="2"/>
            <w:shd w:val="clear" w:color="auto" w:fill="064EA8"/>
          </w:tcPr>
          <w:p w14:paraId="5CE1EBF3" w14:textId="77777777" w:rsidR="007D5F69" w:rsidRPr="000D0DBD" w:rsidRDefault="007D5F69" w:rsidP="00392F61">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Scenario 1</w:t>
            </w:r>
          </w:p>
        </w:tc>
        <w:tc>
          <w:tcPr>
            <w:tcW w:w="1701" w:type="dxa"/>
            <w:gridSpan w:val="2"/>
            <w:shd w:val="clear" w:color="auto" w:fill="064EA8"/>
          </w:tcPr>
          <w:p w14:paraId="6225B8B2" w14:textId="77777777" w:rsidR="007D5F69" w:rsidRPr="000D0DBD" w:rsidRDefault="007D5F69" w:rsidP="00392F61">
            <w:pPr>
              <w:spacing w:before="60" w:after="60"/>
              <w:ind w:left="0"/>
              <w:jc w:val="center"/>
              <w:rPr>
                <w:rFonts w:cs="Arial"/>
                <w:color w:val="FFFFFF" w:themeColor="background1"/>
                <w:sz w:val="20"/>
                <w:szCs w:val="20"/>
              </w:rPr>
            </w:pPr>
            <w:r w:rsidRPr="000D0DBD">
              <w:rPr>
                <w:rFonts w:cs="Arial"/>
                <w:color w:val="FFFFFF" w:themeColor="background1"/>
                <w:sz w:val="20"/>
                <w:szCs w:val="20"/>
              </w:rPr>
              <w:t xml:space="preserve">Scenario 2 </w:t>
            </w:r>
          </w:p>
        </w:tc>
        <w:tc>
          <w:tcPr>
            <w:tcW w:w="1578" w:type="dxa"/>
            <w:gridSpan w:val="2"/>
            <w:shd w:val="clear" w:color="auto" w:fill="064EA8"/>
          </w:tcPr>
          <w:p w14:paraId="5C2B6253" w14:textId="77777777" w:rsidR="007D5F69" w:rsidRPr="000D0DBD" w:rsidRDefault="007D5F69" w:rsidP="00392F61">
            <w:pPr>
              <w:spacing w:before="60" w:after="60"/>
              <w:ind w:left="0"/>
              <w:jc w:val="center"/>
              <w:rPr>
                <w:rFonts w:cs="Arial"/>
                <w:color w:val="FFFFFF" w:themeColor="background1"/>
                <w:sz w:val="20"/>
                <w:szCs w:val="20"/>
              </w:rPr>
            </w:pPr>
            <w:r w:rsidRPr="000D0DBD">
              <w:rPr>
                <w:rFonts w:cs="Arial"/>
                <w:color w:val="FFFFFF" w:themeColor="background1"/>
                <w:sz w:val="20"/>
                <w:szCs w:val="20"/>
              </w:rPr>
              <w:t xml:space="preserve">Scenario 3 </w:t>
            </w:r>
          </w:p>
        </w:tc>
      </w:tr>
      <w:tr w:rsidR="007D5F69" w14:paraId="77F43C0F" w14:textId="77777777" w:rsidTr="007D5F69">
        <w:trPr>
          <w:jc w:val="center"/>
        </w:trPr>
        <w:tc>
          <w:tcPr>
            <w:tcW w:w="1636" w:type="dxa"/>
            <w:vMerge/>
            <w:shd w:val="clear" w:color="auto" w:fill="064EA8"/>
          </w:tcPr>
          <w:p w14:paraId="37ED1595" w14:textId="77777777" w:rsidR="007D5F69" w:rsidRPr="000D0DBD" w:rsidRDefault="007D5F69" w:rsidP="00392F61">
            <w:pPr>
              <w:spacing w:before="60" w:after="60" w:line="240" w:lineRule="auto"/>
              <w:ind w:left="0"/>
              <w:jc w:val="center"/>
              <w:rPr>
                <w:rFonts w:cs="Arial"/>
                <w:color w:val="FFFFFF" w:themeColor="background1"/>
                <w:sz w:val="20"/>
                <w:szCs w:val="20"/>
              </w:rPr>
            </w:pPr>
          </w:p>
        </w:tc>
        <w:tc>
          <w:tcPr>
            <w:tcW w:w="1560" w:type="dxa"/>
            <w:vMerge/>
            <w:shd w:val="clear" w:color="auto" w:fill="064EA8"/>
          </w:tcPr>
          <w:p w14:paraId="1D61D677" w14:textId="77777777" w:rsidR="007D5F69" w:rsidRPr="000D0DBD" w:rsidRDefault="007D5F69" w:rsidP="00392F61">
            <w:pPr>
              <w:spacing w:before="60" w:after="60" w:line="240" w:lineRule="auto"/>
              <w:ind w:left="0"/>
              <w:jc w:val="center"/>
              <w:rPr>
                <w:rFonts w:cs="Arial"/>
                <w:color w:val="FFFFFF" w:themeColor="background1"/>
                <w:sz w:val="20"/>
                <w:szCs w:val="20"/>
              </w:rPr>
            </w:pPr>
          </w:p>
        </w:tc>
        <w:tc>
          <w:tcPr>
            <w:tcW w:w="850" w:type="dxa"/>
            <w:shd w:val="clear" w:color="auto" w:fill="064EA8"/>
            <w:vAlign w:val="center"/>
          </w:tcPr>
          <w:p w14:paraId="4D6D44D5" w14:textId="77777777" w:rsidR="007D5F69" w:rsidRPr="000D0DBD" w:rsidRDefault="007D5F69" w:rsidP="00392F61">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851" w:type="dxa"/>
            <w:shd w:val="clear" w:color="auto" w:fill="064EA8"/>
            <w:vAlign w:val="center"/>
          </w:tcPr>
          <w:p w14:paraId="73F682A8" w14:textId="77777777" w:rsidR="007D5F69" w:rsidRPr="000D0DBD" w:rsidRDefault="007D5F69" w:rsidP="00392F61">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c>
          <w:tcPr>
            <w:tcW w:w="850" w:type="dxa"/>
            <w:shd w:val="clear" w:color="auto" w:fill="064EA8"/>
            <w:vAlign w:val="center"/>
          </w:tcPr>
          <w:p w14:paraId="52FF5AB8" w14:textId="77777777" w:rsidR="007D5F69" w:rsidRPr="000D0DBD" w:rsidRDefault="007D5F69" w:rsidP="00392F61">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851" w:type="dxa"/>
            <w:shd w:val="clear" w:color="auto" w:fill="064EA8"/>
            <w:vAlign w:val="center"/>
          </w:tcPr>
          <w:p w14:paraId="29483011" w14:textId="77777777" w:rsidR="007D5F69" w:rsidRPr="000D0DBD" w:rsidRDefault="007D5F69" w:rsidP="00392F61">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c>
          <w:tcPr>
            <w:tcW w:w="850" w:type="dxa"/>
            <w:shd w:val="clear" w:color="auto" w:fill="064EA8"/>
            <w:vAlign w:val="center"/>
          </w:tcPr>
          <w:p w14:paraId="5168D33E" w14:textId="77777777" w:rsidR="007D5F69" w:rsidRPr="000D0DBD" w:rsidRDefault="007D5F69" w:rsidP="00392F61">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728" w:type="dxa"/>
            <w:shd w:val="clear" w:color="auto" w:fill="064EA8"/>
            <w:vAlign w:val="center"/>
          </w:tcPr>
          <w:p w14:paraId="3D7CCDE9" w14:textId="77777777" w:rsidR="007D5F69" w:rsidRPr="000D0DBD" w:rsidRDefault="007D5F69" w:rsidP="00392F61">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r>
      <w:tr w:rsidR="007D5F69" w14:paraId="07707D2D" w14:textId="77777777" w:rsidTr="00432B74">
        <w:trPr>
          <w:jc w:val="center"/>
        </w:trPr>
        <w:tc>
          <w:tcPr>
            <w:tcW w:w="1636" w:type="dxa"/>
          </w:tcPr>
          <w:p w14:paraId="6FB0F22C" w14:textId="7596EA25" w:rsidR="007D5F69" w:rsidRPr="009329CB" w:rsidRDefault="007D5F69" w:rsidP="00392F61">
            <w:pPr>
              <w:spacing w:before="60" w:after="60" w:line="240" w:lineRule="auto"/>
              <w:ind w:left="0"/>
              <w:rPr>
                <w:rFonts w:cs="Arial"/>
                <w:sz w:val="20"/>
                <w:szCs w:val="20"/>
              </w:rPr>
            </w:pPr>
            <w:r w:rsidRPr="000C08B5">
              <w:rPr>
                <w:rFonts w:cs="Arial"/>
                <w:sz w:val="20"/>
                <w:szCs w:val="20"/>
              </w:rPr>
              <w:t xml:space="preserve">Phocid pinnipeds </w:t>
            </w:r>
            <w:r>
              <w:rPr>
                <w:rFonts w:cs="Arial"/>
                <w:sz w:val="20"/>
                <w:szCs w:val="20"/>
              </w:rPr>
              <w:t>in water</w:t>
            </w:r>
          </w:p>
        </w:tc>
        <w:tc>
          <w:tcPr>
            <w:tcW w:w="1560" w:type="dxa"/>
            <w:vAlign w:val="center"/>
          </w:tcPr>
          <w:p w14:paraId="72478362" w14:textId="7CF8DC06" w:rsidR="007D5F69" w:rsidRPr="00A03DC1" w:rsidRDefault="007D5F69" w:rsidP="00392F61">
            <w:pPr>
              <w:spacing w:before="60" w:after="60" w:line="240" w:lineRule="auto"/>
              <w:ind w:left="0"/>
              <w:jc w:val="center"/>
              <w:rPr>
                <w:rFonts w:cs="Arial"/>
                <w:sz w:val="20"/>
                <w:szCs w:val="20"/>
              </w:rPr>
            </w:pPr>
            <w:r>
              <w:rPr>
                <w:rFonts w:cs="Arial"/>
                <w:sz w:val="20"/>
                <w:szCs w:val="20"/>
              </w:rPr>
              <w:t>185</w:t>
            </w:r>
          </w:p>
        </w:tc>
        <w:tc>
          <w:tcPr>
            <w:tcW w:w="850" w:type="dxa"/>
            <w:vAlign w:val="center"/>
          </w:tcPr>
          <w:p w14:paraId="3C883B1E" w14:textId="08489194" w:rsidR="007D5F69" w:rsidRPr="00DB2EAF" w:rsidRDefault="007D5F69" w:rsidP="007D5F69">
            <w:pPr>
              <w:spacing w:before="60" w:after="60" w:line="240" w:lineRule="auto"/>
              <w:ind w:left="0"/>
              <w:jc w:val="center"/>
              <w:rPr>
                <w:sz w:val="20"/>
                <w:szCs w:val="20"/>
              </w:rPr>
            </w:pPr>
            <w:r>
              <w:rPr>
                <w:sz w:val="20"/>
                <w:szCs w:val="20"/>
              </w:rPr>
              <w:t>0.07</w:t>
            </w:r>
          </w:p>
        </w:tc>
        <w:tc>
          <w:tcPr>
            <w:tcW w:w="851" w:type="dxa"/>
            <w:vAlign w:val="center"/>
          </w:tcPr>
          <w:p w14:paraId="5150B2C2" w14:textId="7546F82F" w:rsidR="007D5F69" w:rsidRPr="00DB2EAF" w:rsidRDefault="007D5F69" w:rsidP="007D5F69">
            <w:pPr>
              <w:spacing w:before="60" w:after="60" w:line="240" w:lineRule="auto"/>
              <w:ind w:left="0"/>
              <w:jc w:val="center"/>
              <w:rPr>
                <w:sz w:val="20"/>
                <w:szCs w:val="20"/>
              </w:rPr>
            </w:pPr>
            <w:r>
              <w:rPr>
                <w:sz w:val="20"/>
                <w:szCs w:val="20"/>
              </w:rPr>
              <w:t>4.16</w:t>
            </w:r>
          </w:p>
        </w:tc>
        <w:tc>
          <w:tcPr>
            <w:tcW w:w="850" w:type="dxa"/>
            <w:vAlign w:val="center"/>
          </w:tcPr>
          <w:p w14:paraId="1FE6938C" w14:textId="26C6CEB3" w:rsidR="007D5F69" w:rsidRPr="00DB2EAF" w:rsidRDefault="007D5F69" w:rsidP="007D5F69">
            <w:pPr>
              <w:spacing w:before="60" w:after="60" w:line="240" w:lineRule="auto"/>
              <w:ind w:left="0"/>
              <w:jc w:val="center"/>
              <w:rPr>
                <w:sz w:val="20"/>
                <w:szCs w:val="20"/>
              </w:rPr>
            </w:pPr>
            <w:r>
              <w:rPr>
                <w:sz w:val="20"/>
                <w:szCs w:val="20"/>
              </w:rPr>
              <w:t>0.08</w:t>
            </w:r>
          </w:p>
        </w:tc>
        <w:tc>
          <w:tcPr>
            <w:tcW w:w="851" w:type="dxa"/>
            <w:vAlign w:val="center"/>
          </w:tcPr>
          <w:p w14:paraId="6BB717E1" w14:textId="6E4BCA83" w:rsidR="007D5F69" w:rsidRPr="00DB2EAF" w:rsidRDefault="007D5F69" w:rsidP="007D5F69">
            <w:pPr>
              <w:spacing w:before="60" w:after="60" w:line="240" w:lineRule="auto"/>
              <w:ind w:left="0"/>
              <w:jc w:val="center"/>
              <w:rPr>
                <w:sz w:val="20"/>
                <w:szCs w:val="20"/>
              </w:rPr>
            </w:pPr>
            <w:r>
              <w:rPr>
                <w:sz w:val="20"/>
                <w:szCs w:val="20"/>
              </w:rPr>
              <w:t>12.6</w:t>
            </w:r>
          </w:p>
        </w:tc>
        <w:tc>
          <w:tcPr>
            <w:tcW w:w="850" w:type="dxa"/>
            <w:shd w:val="clear" w:color="auto" w:fill="FF0000"/>
            <w:vAlign w:val="center"/>
          </w:tcPr>
          <w:p w14:paraId="6A1C1184" w14:textId="23DACDFF" w:rsidR="007D5F69" w:rsidRPr="00DB2EAF" w:rsidRDefault="007D5F69" w:rsidP="007D5F69">
            <w:pPr>
              <w:spacing w:before="60" w:after="60" w:line="240" w:lineRule="auto"/>
              <w:ind w:left="0"/>
              <w:jc w:val="center"/>
              <w:rPr>
                <w:sz w:val="20"/>
                <w:szCs w:val="20"/>
              </w:rPr>
            </w:pPr>
            <w:r>
              <w:rPr>
                <w:sz w:val="20"/>
                <w:szCs w:val="20"/>
              </w:rPr>
              <w:t>0.11</w:t>
            </w:r>
          </w:p>
        </w:tc>
        <w:tc>
          <w:tcPr>
            <w:tcW w:w="728" w:type="dxa"/>
            <w:vAlign w:val="center"/>
          </w:tcPr>
          <w:p w14:paraId="51D8DBAE" w14:textId="02FE48CB" w:rsidR="007D5F69" w:rsidRPr="00DB2EAF" w:rsidRDefault="007D5F69" w:rsidP="007D5F69">
            <w:pPr>
              <w:spacing w:before="60" w:after="60" w:line="240" w:lineRule="auto"/>
              <w:ind w:left="0"/>
              <w:jc w:val="center"/>
              <w:rPr>
                <w:sz w:val="20"/>
                <w:szCs w:val="20"/>
              </w:rPr>
            </w:pPr>
            <w:r>
              <w:rPr>
                <w:sz w:val="20"/>
                <w:szCs w:val="20"/>
              </w:rPr>
              <w:t>15.9</w:t>
            </w:r>
          </w:p>
        </w:tc>
      </w:tr>
      <w:tr w:rsidR="007D5F69" w14:paraId="3C0096D7" w14:textId="77777777" w:rsidTr="007D5F69">
        <w:trPr>
          <w:jc w:val="center"/>
        </w:trPr>
        <w:tc>
          <w:tcPr>
            <w:tcW w:w="1636" w:type="dxa"/>
          </w:tcPr>
          <w:p w14:paraId="017EEE75" w14:textId="02A4A8A5" w:rsidR="007D5F69" w:rsidRPr="009329CB" w:rsidRDefault="007D5F69" w:rsidP="00392F61">
            <w:pPr>
              <w:spacing w:before="60" w:after="60" w:line="240" w:lineRule="auto"/>
              <w:ind w:left="0"/>
              <w:rPr>
                <w:rFonts w:cs="Arial"/>
                <w:sz w:val="20"/>
                <w:szCs w:val="20"/>
              </w:rPr>
            </w:pPr>
            <w:r w:rsidRPr="000C08B5">
              <w:rPr>
                <w:rFonts w:cs="Arial"/>
                <w:sz w:val="20"/>
                <w:szCs w:val="20"/>
              </w:rPr>
              <w:t>Otariid pinnipeds</w:t>
            </w:r>
            <w:r>
              <w:rPr>
                <w:rFonts w:cs="Arial"/>
                <w:sz w:val="20"/>
                <w:szCs w:val="20"/>
              </w:rPr>
              <w:t xml:space="preserve"> in water</w:t>
            </w:r>
            <w:r w:rsidRPr="000C08B5">
              <w:rPr>
                <w:rFonts w:cs="Arial"/>
                <w:sz w:val="20"/>
                <w:szCs w:val="20"/>
              </w:rPr>
              <w:t xml:space="preserve"> </w:t>
            </w:r>
          </w:p>
        </w:tc>
        <w:tc>
          <w:tcPr>
            <w:tcW w:w="1560" w:type="dxa"/>
            <w:vAlign w:val="center"/>
          </w:tcPr>
          <w:p w14:paraId="7D8EC070" w14:textId="0604C609" w:rsidR="007D5F69" w:rsidRPr="00A03DC1" w:rsidRDefault="007D5F69" w:rsidP="00392F61">
            <w:pPr>
              <w:spacing w:before="60" w:after="60" w:line="240" w:lineRule="auto"/>
              <w:ind w:left="0"/>
              <w:jc w:val="center"/>
              <w:rPr>
                <w:rFonts w:cs="Arial"/>
                <w:sz w:val="20"/>
                <w:szCs w:val="20"/>
              </w:rPr>
            </w:pPr>
            <w:r>
              <w:rPr>
                <w:rFonts w:cs="Arial"/>
                <w:sz w:val="20"/>
                <w:szCs w:val="20"/>
              </w:rPr>
              <w:t>203</w:t>
            </w:r>
          </w:p>
        </w:tc>
        <w:tc>
          <w:tcPr>
            <w:tcW w:w="850" w:type="dxa"/>
            <w:vAlign w:val="center"/>
          </w:tcPr>
          <w:p w14:paraId="687982E5" w14:textId="77777777" w:rsidR="007D5F69" w:rsidRPr="00A03DC1" w:rsidRDefault="007D5F69" w:rsidP="007D5F69">
            <w:pPr>
              <w:spacing w:before="60" w:after="60" w:line="240" w:lineRule="auto"/>
              <w:ind w:left="0"/>
              <w:jc w:val="center"/>
              <w:rPr>
                <w:rFonts w:cs="Arial"/>
                <w:sz w:val="20"/>
                <w:szCs w:val="20"/>
              </w:rPr>
            </w:pPr>
            <w:r>
              <w:rPr>
                <w:rFonts w:cs="Arial"/>
                <w:sz w:val="20"/>
                <w:szCs w:val="20"/>
              </w:rPr>
              <w:t>-</w:t>
            </w:r>
          </w:p>
        </w:tc>
        <w:tc>
          <w:tcPr>
            <w:tcW w:w="851" w:type="dxa"/>
            <w:vAlign w:val="center"/>
          </w:tcPr>
          <w:p w14:paraId="189F7A50" w14:textId="77777777" w:rsidR="007D5F69" w:rsidRPr="00A03DC1" w:rsidRDefault="007D5F69" w:rsidP="007D5F69">
            <w:pPr>
              <w:spacing w:before="60" w:after="60" w:line="240" w:lineRule="auto"/>
              <w:ind w:left="0"/>
              <w:jc w:val="center"/>
              <w:rPr>
                <w:rFonts w:cs="Arial"/>
                <w:sz w:val="20"/>
                <w:szCs w:val="20"/>
              </w:rPr>
            </w:pPr>
            <w:r>
              <w:rPr>
                <w:rFonts w:cs="Arial"/>
                <w:sz w:val="20"/>
                <w:szCs w:val="20"/>
              </w:rPr>
              <w:t>-</w:t>
            </w:r>
          </w:p>
        </w:tc>
        <w:tc>
          <w:tcPr>
            <w:tcW w:w="850" w:type="dxa"/>
            <w:vAlign w:val="center"/>
          </w:tcPr>
          <w:p w14:paraId="392410DA" w14:textId="77777777" w:rsidR="007D5F69" w:rsidRPr="00A03DC1" w:rsidRDefault="007D5F69" w:rsidP="007D5F69">
            <w:pPr>
              <w:spacing w:before="60" w:after="60" w:line="240" w:lineRule="auto"/>
              <w:ind w:left="0"/>
              <w:jc w:val="center"/>
              <w:rPr>
                <w:rFonts w:cs="Arial"/>
                <w:sz w:val="20"/>
                <w:szCs w:val="20"/>
              </w:rPr>
            </w:pPr>
            <w:r>
              <w:rPr>
                <w:rFonts w:cs="Arial"/>
                <w:sz w:val="20"/>
                <w:szCs w:val="20"/>
              </w:rPr>
              <w:t>-</w:t>
            </w:r>
          </w:p>
        </w:tc>
        <w:tc>
          <w:tcPr>
            <w:tcW w:w="851" w:type="dxa"/>
            <w:vAlign w:val="center"/>
          </w:tcPr>
          <w:p w14:paraId="37A7411B" w14:textId="77777777" w:rsidR="007D5F69" w:rsidRPr="00A03DC1" w:rsidRDefault="007D5F69" w:rsidP="007D5F69">
            <w:pPr>
              <w:spacing w:before="60" w:after="60" w:line="240" w:lineRule="auto"/>
              <w:ind w:left="0"/>
              <w:jc w:val="center"/>
              <w:rPr>
                <w:rFonts w:cs="Arial"/>
                <w:sz w:val="20"/>
                <w:szCs w:val="20"/>
              </w:rPr>
            </w:pPr>
            <w:r>
              <w:rPr>
                <w:rFonts w:cs="Arial"/>
                <w:sz w:val="20"/>
                <w:szCs w:val="20"/>
              </w:rPr>
              <w:t>-</w:t>
            </w:r>
          </w:p>
        </w:tc>
        <w:tc>
          <w:tcPr>
            <w:tcW w:w="850" w:type="dxa"/>
            <w:vAlign w:val="center"/>
          </w:tcPr>
          <w:p w14:paraId="26796E58" w14:textId="77777777" w:rsidR="007D5F69" w:rsidRPr="00A03DC1" w:rsidRDefault="007D5F69" w:rsidP="007D5F69">
            <w:pPr>
              <w:spacing w:before="60" w:after="60" w:line="240" w:lineRule="auto"/>
              <w:ind w:left="0"/>
              <w:jc w:val="center"/>
              <w:rPr>
                <w:rFonts w:cs="Arial"/>
                <w:sz w:val="20"/>
                <w:szCs w:val="20"/>
              </w:rPr>
            </w:pPr>
            <w:r>
              <w:rPr>
                <w:rFonts w:cs="Arial"/>
                <w:sz w:val="20"/>
                <w:szCs w:val="20"/>
              </w:rPr>
              <w:t>-</w:t>
            </w:r>
          </w:p>
        </w:tc>
        <w:tc>
          <w:tcPr>
            <w:tcW w:w="728" w:type="dxa"/>
            <w:vAlign w:val="center"/>
          </w:tcPr>
          <w:p w14:paraId="1B8AEF07" w14:textId="77777777" w:rsidR="007D5F69" w:rsidRPr="00A03DC1" w:rsidRDefault="007D5F69" w:rsidP="007D5F69">
            <w:pPr>
              <w:spacing w:before="60" w:after="60" w:line="240" w:lineRule="auto"/>
              <w:ind w:left="0"/>
              <w:jc w:val="center"/>
              <w:rPr>
                <w:rFonts w:cs="Arial"/>
                <w:sz w:val="20"/>
                <w:szCs w:val="20"/>
              </w:rPr>
            </w:pPr>
            <w:r>
              <w:rPr>
                <w:rFonts w:cs="Arial"/>
                <w:sz w:val="20"/>
                <w:szCs w:val="20"/>
              </w:rPr>
              <w:t>-</w:t>
            </w:r>
          </w:p>
        </w:tc>
      </w:tr>
    </w:tbl>
    <w:p w14:paraId="3C60D48D" w14:textId="4F789B99" w:rsidR="00432CB4" w:rsidRDefault="007D5F69" w:rsidP="000C08B5">
      <w:pPr>
        <w:ind w:left="0"/>
        <w:rPr>
          <w:i/>
          <w:sz w:val="18"/>
          <w:szCs w:val="18"/>
        </w:rPr>
      </w:pPr>
      <w:r>
        <w:rPr>
          <w:sz w:val="18"/>
          <w:szCs w:val="18"/>
        </w:rPr>
        <w:t xml:space="preserve"> </w:t>
      </w:r>
      <w:r w:rsidRPr="0068150E">
        <w:rPr>
          <w:i/>
          <w:sz w:val="18"/>
          <w:szCs w:val="18"/>
        </w:rPr>
        <w:t xml:space="preserve">Dashed line indicates threshold is not reached. </w:t>
      </w:r>
    </w:p>
    <w:p w14:paraId="77927D99" w14:textId="68306AE6" w:rsidR="00432B74" w:rsidRPr="001D2756" w:rsidRDefault="00432B74" w:rsidP="00432B74">
      <w:pPr>
        <w:spacing w:after="240"/>
        <w:ind w:left="0"/>
        <w:rPr>
          <w:i/>
          <w:sz w:val="18"/>
          <w:szCs w:val="18"/>
        </w:rPr>
      </w:pPr>
      <w:r w:rsidRPr="001D2756">
        <w:rPr>
          <w:i/>
          <w:sz w:val="18"/>
          <w:szCs w:val="18"/>
        </w:rPr>
        <w:t>Cells highlighted in red indicate maximum predicted exten</w:t>
      </w:r>
      <w:r w:rsidR="00A24FEE">
        <w:rPr>
          <w:i/>
          <w:sz w:val="18"/>
          <w:szCs w:val="18"/>
        </w:rPr>
        <w:t>t</w:t>
      </w:r>
      <w:r w:rsidRPr="001D2756">
        <w:rPr>
          <w:i/>
          <w:sz w:val="18"/>
          <w:szCs w:val="18"/>
        </w:rPr>
        <w:t xml:space="preserve"> of sound.</w:t>
      </w:r>
    </w:p>
    <w:p w14:paraId="5BD7917F" w14:textId="7ED017C3" w:rsidR="000D09A4" w:rsidRDefault="005D6226" w:rsidP="00891DE1">
      <w:pPr>
        <w:spacing w:after="240" w:line="240" w:lineRule="auto"/>
        <w:ind w:left="0"/>
        <w:rPr>
          <w:rFonts w:cs="Arial"/>
          <w:sz w:val="22"/>
          <w:szCs w:val="22"/>
        </w:rPr>
      </w:pPr>
      <w:r>
        <w:rPr>
          <w:rFonts w:cs="Arial"/>
          <w:sz w:val="22"/>
          <w:szCs w:val="22"/>
        </w:rPr>
        <w:t xml:space="preserve">The STLM results indicate that the </w:t>
      </w:r>
      <w:r w:rsidRPr="00CD0B1C">
        <w:rPr>
          <w:rFonts w:cs="Arial"/>
          <w:sz w:val="22"/>
          <w:szCs w:val="22"/>
        </w:rPr>
        <w:t xml:space="preserve">distance to sound levels associated with </w:t>
      </w:r>
      <w:r>
        <w:rPr>
          <w:rFonts w:cs="Arial"/>
          <w:sz w:val="22"/>
          <w:szCs w:val="22"/>
        </w:rPr>
        <w:t>the onset of PTS (using the SEL</w:t>
      </w:r>
      <w:r w:rsidRPr="00432B74">
        <w:rPr>
          <w:rFonts w:cs="Arial"/>
          <w:sz w:val="22"/>
          <w:szCs w:val="22"/>
          <w:vertAlign w:val="subscript"/>
        </w:rPr>
        <w:t>24h</w:t>
      </w:r>
      <w:r>
        <w:rPr>
          <w:rFonts w:cs="Arial"/>
          <w:sz w:val="22"/>
          <w:szCs w:val="22"/>
        </w:rPr>
        <w:t xml:space="preserve"> metric) is not reached for Otariid pinnipeds (</w:t>
      </w:r>
      <w:r w:rsidRPr="00EF4E2A">
        <w:rPr>
          <w:rFonts w:cs="Arial"/>
          <w:sz w:val="22"/>
          <w:szCs w:val="22"/>
        </w:rPr>
        <w:t>see Table 7.</w:t>
      </w:r>
      <w:r w:rsidR="00005091" w:rsidRPr="00EF4E2A">
        <w:rPr>
          <w:rFonts w:cs="Arial"/>
          <w:sz w:val="22"/>
          <w:szCs w:val="22"/>
        </w:rPr>
        <w:t>17</w:t>
      </w:r>
      <w:r w:rsidRPr="00EF4E2A">
        <w:rPr>
          <w:rFonts w:cs="Arial"/>
          <w:sz w:val="22"/>
          <w:szCs w:val="22"/>
        </w:rPr>
        <w:t>), and only reached within 10 m using the PK metric (see Table 7.1</w:t>
      </w:r>
      <w:r w:rsidR="00005091" w:rsidRPr="00EF4E2A">
        <w:rPr>
          <w:rFonts w:cs="Arial"/>
          <w:sz w:val="22"/>
          <w:szCs w:val="22"/>
        </w:rPr>
        <w:t>6</w:t>
      </w:r>
      <w:r w:rsidRPr="00EF4E2A">
        <w:rPr>
          <w:rFonts w:cs="Arial"/>
          <w:sz w:val="22"/>
          <w:szCs w:val="22"/>
        </w:rPr>
        <w:t xml:space="preserve">). As described in Section </w:t>
      </w:r>
      <w:r w:rsidRPr="00EF4E2A">
        <w:rPr>
          <w:rFonts w:cs="Arial"/>
          <w:sz w:val="22"/>
          <w:szCs w:val="22"/>
        </w:rPr>
        <w:fldChar w:fldCharType="begin"/>
      </w:r>
      <w:r w:rsidRPr="00EF4E2A">
        <w:rPr>
          <w:rFonts w:cs="Arial"/>
          <w:sz w:val="22"/>
          <w:szCs w:val="22"/>
        </w:rPr>
        <w:instrText xml:space="preserve"> REF _Ref476145534 \r \h  \* MERGEFORMAT </w:instrText>
      </w:r>
      <w:r w:rsidRPr="00EF4E2A">
        <w:rPr>
          <w:rFonts w:cs="Arial"/>
          <w:sz w:val="22"/>
          <w:szCs w:val="22"/>
        </w:rPr>
      </w:r>
      <w:r w:rsidRPr="00EF4E2A">
        <w:rPr>
          <w:rFonts w:cs="Arial"/>
          <w:sz w:val="22"/>
          <w:szCs w:val="22"/>
        </w:rPr>
        <w:fldChar w:fldCharType="separate"/>
      </w:r>
      <w:r w:rsidR="007C0ECD">
        <w:rPr>
          <w:rFonts w:cs="Arial"/>
          <w:sz w:val="22"/>
          <w:szCs w:val="22"/>
        </w:rPr>
        <w:t>5.4.6</w:t>
      </w:r>
      <w:r w:rsidRPr="00EF4E2A">
        <w:rPr>
          <w:rFonts w:cs="Arial"/>
          <w:sz w:val="22"/>
          <w:szCs w:val="22"/>
        </w:rPr>
        <w:fldChar w:fldCharType="end"/>
      </w:r>
      <w:r w:rsidRPr="00EF4E2A">
        <w:rPr>
          <w:rFonts w:cs="Arial"/>
          <w:sz w:val="22"/>
          <w:szCs w:val="22"/>
        </w:rPr>
        <w:t>, the proposed acquisition area is located a significant</w:t>
      </w:r>
      <w:r w:rsidRPr="00222D00">
        <w:rPr>
          <w:rFonts w:cs="Arial"/>
          <w:sz w:val="22"/>
          <w:szCs w:val="22"/>
        </w:rPr>
        <w:t xml:space="preserve"> distance from known critical locations (i.e., breeding sites) of the Australian fur</w:t>
      </w:r>
      <w:r>
        <w:rPr>
          <w:rFonts w:cs="Arial"/>
          <w:sz w:val="22"/>
          <w:szCs w:val="22"/>
        </w:rPr>
        <w:t>-</w:t>
      </w:r>
      <w:r w:rsidRPr="00222D00">
        <w:rPr>
          <w:rFonts w:cs="Arial"/>
          <w:sz w:val="22"/>
          <w:szCs w:val="22"/>
        </w:rPr>
        <w:t>seal and New Zealand fur</w:t>
      </w:r>
      <w:r>
        <w:rPr>
          <w:rFonts w:cs="Arial"/>
          <w:sz w:val="22"/>
          <w:szCs w:val="22"/>
        </w:rPr>
        <w:t>-</w:t>
      </w:r>
      <w:r w:rsidRPr="00222D00">
        <w:rPr>
          <w:rFonts w:cs="Arial"/>
          <w:sz w:val="22"/>
          <w:szCs w:val="22"/>
        </w:rPr>
        <w:t>seal.</w:t>
      </w:r>
      <w:r>
        <w:rPr>
          <w:rFonts w:cs="Arial"/>
          <w:sz w:val="22"/>
          <w:szCs w:val="22"/>
        </w:rPr>
        <w:t xml:space="preserve"> </w:t>
      </w:r>
    </w:p>
    <w:p w14:paraId="77F593C5" w14:textId="74748CB6" w:rsidR="000D09A4" w:rsidRDefault="00005091">
      <w:pPr>
        <w:spacing w:after="120" w:line="240" w:lineRule="auto"/>
        <w:ind w:left="0"/>
        <w:rPr>
          <w:rFonts w:cs="Arial"/>
          <w:sz w:val="22"/>
          <w:szCs w:val="22"/>
          <w:u w:val="single"/>
        </w:rPr>
      </w:pPr>
      <w:r w:rsidRPr="00005091">
        <w:rPr>
          <w:rFonts w:cs="Arial"/>
          <w:sz w:val="22"/>
          <w:szCs w:val="22"/>
          <w:u w:val="single"/>
        </w:rPr>
        <w:t>Predicetd impacts</w:t>
      </w:r>
    </w:p>
    <w:p w14:paraId="0A999A02" w14:textId="6A5A4C8C" w:rsidR="00005091" w:rsidRDefault="00005091" w:rsidP="00005091">
      <w:pPr>
        <w:ind w:left="0"/>
        <w:rPr>
          <w:rFonts w:cs="Arial"/>
          <w:sz w:val="22"/>
          <w:szCs w:val="22"/>
        </w:rPr>
      </w:pPr>
      <w:r>
        <w:rPr>
          <w:rFonts w:cs="Arial"/>
          <w:sz w:val="22"/>
          <w:szCs w:val="22"/>
        </w:rPr>
        <w:t xml:space="preserve">The impacts on fur-seals </w:t>
      </w:r>
      <w:r w:rsidRPr="00A45B0A">
        <w:rPr>
          <w:rFonts w:cs="Arial"/>
          <w:sz w:val="22"/>
          <w:szCs w:val="22"/>
        </w:rPr>
        <w:t>are likely to be insignificant</w:t>
      </w:r>
      <w:r>
        <w:rPr>
          <w:rFonts w:cs="Arial"/>
          <w:sz w:val="22"/>
          <w:szCs w:val="22"/>
        </w:rPr>
        <w:t xml:space="preserve"> because:</w:t>
      </w:r>
    </w:p>
    <w:p w14:paraId="4DA755DA" w14:textId="77777777" w:rsidR="00005091" w:rsidRDefault="00005091" w:rsidP="00B9071E">
      <w:pPr>
        <w:ind w:left="0"/>
        <w:rPr>
          <w:rFonts w:cs="Arial"/>
          <w:sz w:val="22"/>
          <w:szCs w:val="22"/>
        </w:rPr>
      </w:pPr>
    </w:p>
    <w:p w14:paraId="66EB4357" w14:textId="6B08717E" w:rsidR="00005091" w:rsidRDefault="00005091" w:rsidP="00005091">
      <w:pPr>
        <w:pStyle w:val="ListParagraph0"/>
        <w:numPr>
          <w:ilvl w:val="0"/>
          <w:numId w:val="411"/>
        </w:numPr>
        <w:rPr>
          <w:rFonts w:cs="Arial"/>
          <w:sz w:val="22"/>
          <w:szCs w:val="22"/>
        </w:rPr>
      </w:pPr>
      <w:r w:rsidRPr="00005091">
        <w:rPr>
          <w:rFonts w:cs="Arial"/>
          <w:sz w:val="22"/>
          <w:szCs w:val="22"/>
        </w:rPr>
        <w:t>Pinnipeds are omnipresent throughout the South-east Marine Bioregion. There is no limiting habitat restricting these species to foraging only within the proposed acquisition area, with breeding taking place outside the proposed acquisition area</w:t>
      </w:r>
      <w:r>
        <w:rPr>
          <w:rFonts w:cs="Arial"/>
          <w:sz w:val="22"/>
          <w:szCs w:val="22"/>
        </w:rPr>
        <w:t>.</w:t>
      </w:r>
    </w:p>
    <w:p w14:paraId="2DFF00C1" w14:textId="3DF6CF48" w:rsidR="00005091" w:rsidRDefault="00005091" w:rsidP="00005091">
      <w:pPr>
        <w:pStyle w:val="ListParagraph0"/>
        <w:numPr>
          <w:ilvl w:val="0"/>
          <w:numId w:val="411"/>
        </w:numPr>
        <w:rPr>
          <w:rFonts w:cs="Arial"/>
          <w:sz w:val="22"/>
          <w:szCs w:val="22"/>
        </w:rPr>
      </w:pPr>
      <w:r>
        <w:rPr>
          <w:rFonts w:cs="Arial"/>
          <w:sz w:val="22"/>
          <w:szCs w:val="22"/>
        </w:rPr>
        <w:t>T</w:t>
      </w:r>
      <w:r w:rsidRPr="00005091">
        <w:rPr>
          <w:rFonts w:cs="Arial"/>
          <w:sz w:val="22"/>
          <w:szCs w:val="22"/>
        </w:rPr>
        <w:t>emporary avoidance is likely to be the single largest effect on pinnipeds</w:t>
      </w:r>
      <w:r>
        <w:rPr>
          <w:rFonts w:cs="Arial"/>
          <w:sz w:val="22"/>
          <w:szCs w:val="22"/>
        </w:rPr>
        <w:t>.</w:t>
      </w:r>
    </w:p>
    <w:p w14:paraId="20A0AFA3" w14:textId="699021B6" w:rsidR="00005091" w:rsidRDefault="00005091" w:rsidP="00005091">
      <w:pPr>
        <w:pStyle w:val="ListParagraph0"/>
        <w:numPr>
          <w:ilvl w:val="0"/>
          <w:numId w:val="411"/>
        </w:numPr>
        <w:rPr>
          <w:rFonts w:cs="Arial"/>
          <w:sz w:val="22"/>
          <w:szCs w:val="22"/>
        </w:rPr>
      </w:pPr>
      <w:r>
        <w:rPr>
          <w:rFonts w:cs="Arial"/>
          <w:sz w:val="22"/>
          <w:szCs w:val="22"/>
        </w:rPr>
        <w:t>Th</w:t>
      </w:r>
      <w:r w:rsidRPr="00005091">
        <w:rPr>
          <w:rFonts w:cs="Arial"/>
          <w:sz w:val="22"/>
          <w:szCs w:val="22"/>
        </w:rPr>
        <w:t>e severity of the MSS on pinnipeds will be insignificant as the STLM indicate that the distance to sound levels associated with the onset of PTS (using the SEL</w:t>
      </w:r>
      <w:r w:rsidRPr="00005091">
        <w:rPr>
          <w:rFonts w:cs="Arial"/>
          <w:sz w:val="22"/>
          <w:szCs w:val="22"/>
          <w:vertAlign w:val="subscript"/>
        </w:rPr>
        <w:t>24h</w:t>
      </w:r>
      <w:r w:rsidRPr="00005091">
        <w:rPr>
          <w:rFonts w:cs="Arial"/>
          <w:sz w:val="22"/>
          <w:szCs w:val="22"/>
        </w:rPr>
        <w:t xml:space="preserve"> metric) is not reached for fur-seals</w:t>
      </w:r>
      <w:r>
        <w:rPr>
          <w:rFonts w:cs="Arial"/>
          <w:sz w:val="22"/>
          <w:szCs w:val="22"/>
        </w:rPr>
        <w:t>.</w:t>
      </w:r>
    </w:p>
    <w:p w14:paraId="6A83435C" w14:textId="77777777" w:rsidR="00005091" w:rsidRDefault="00005091" w:rsidP="00B9071E">
      <w:pPr>
        <w:ind w:left="0"/>
        <w:rPr>
          <w:rFonts w:cs="Arial"/>
          <w:sz w:val="22"/>
          <w:szCs w:val="22"/>
        </w:rPr>
      </w:pPr>
    </w:p>
    <w:p w14:paraId="3B322085" w14:textId="3693A0EF" w:rsidR="00B76145" w:rsidRPr="000C08B5" w:rsidRDefault="00432B74" w:rsidP="000C08B5">
      <w:pPr>
        <w:ind w:left="0"/>
        <w:rPr>
          <w:rFonts w:cs="Arial"/>
          <w:b/>
          <w:sz w:val="22"/>
          <w:szCs w:val="22"/>
        </w:rPr>
      </w:pPr>
      <w:r>
        <w:rPr>
          <w:rFonts w:cs="Arial"/>
          <w:b/>
          <w:sz w:val="22"/>
          <w:szCs w:val="22"/>
        </w:rPr>
        <w:t xml:space="preserve">Impacts to </w:t>
      </w:r>
      <w:r w:rsidR="00B76145" w:rsidRPr="000C08B5">
        <w:rPr>
          <w:rFonts w:cs="Arial"/>
          <w:b/>
          <w:sz w:val="22"/>
          <w:szCs w:val="22"/>
        </w:rPr>
        <w:t>Avifauna</w:t>
      </w:r>
      <w:r w:rsidR="00E76F66">
        <w:rPr>
          <w:rFonts w:cs="Arial"/>
          <w:b/>
          <w:sz w:val="22"/>
          <w:szCs w:val="22"/>
        </w:rPr>
        <w:t xml:space="preserve"> </w:t>
      </w:r>
    </w:p>
    <w:p w14:paraId="7C5FA63E" w14:textId="77777777" w:rsidR="000C08B5" w:rsidRDefault="000C08B5" w:rsidP="000C08B5">
      <w:pPr>
        <w:ind w:left="0"/>
        <w:rPr>
          <w:rFonts w:cs="Arial"/>
          <w:sz w:val="22"/>
          <w:szCs w:val="22"/>
        </w:rPr>
      </w:pPr>
    </w:p>
    <w:p w14:paraId="0D166529" w14:textId="77777777" w:rsidR="00910B0B" w:rsidRPr="000C08B5" w:rsidRDefault="00910B0B" w:rsidP="000C08B5">
      <w:pPr>
        <w:spacing w:after="120" w:line="240" w:lineRule="auto"/>
        <w:ind w:left="0"/>
        <w:rPr>
          <w:rFonts w:cs="Arial"/>
          <w:sz w:val="22"/>
          <w:szCs w:val="22"/>
          <w:u w:val="single"/>
        </w:rPr>
      </w:pPr>
      <w:r w:rsidRPr="000C08B5">
        <w:rPr>
          <w:rFonts w:cs="Arial"/>
          <w:sz w:val="22"/>
          <w:szCs w:val="22"/>
          <w:u w:val="single"/>
        </w:rPr>
        <w:t>Seabirds</w:t>
      </w:r>
    </w:p>
    <w:p w14:paraId="2F339D61" w14:textId="77777777" w:rsidR="00B76145" w:rsidRPr="000C08B5" w:rsidRDefault="00B76145" w:rsidP="00971706">
      <w:pPr>
        <w:ind w:left="0"/>
        <w:rPr>
          <w:rFonts w:cs="Arial"/>
          <w:sz w:val="22"/>
          <w:szCs w:val="22"/>
        </w:rPr>
      </w:pPr>
      <w:r w:rsidRPr="000C08B5">
        <w:rPr>
          <w:rFonts w:cs="Arial"/>
          <w:sz w:val="22"/>
          <w:szCs w:val="22"/>
        </w:rPr>
        <w:t xml:space="preserve">The </w:t>
      </w:r>
      <w:r w:rsidR="00971706" w:rsidRPr="000C08B5">
        <w:rPr>
          <w:rFonts w:cs="Arial"/>
          <w:sz w:val="22"/>
          <w:szCs w:val="22"/>
        </w:rPr>
        <w:t xml:space="preserve">proposed </w:t>
      </w:r>
      <w:r w:rsidRPr="000C08B5">
        <w:rPr>
          <w:rFonts w:cs="Arial"/>
          <w:sz w:val="22"/>
          <w:szCs w:val="22"/>
        </w:rPr>
        <w:t xml:space="preserve">acquisition area contains potential foraging habitat for a diverse array of seabirds. In the event that individual birds or flocks are present in the acquisition area during operations, vessel movement is expected to temporarily deter them from foraging in the immediate vicinity of the vessel. The risk of underwater sound significantly impacting a population of any given species or even individuals </w:t>
      </w:r>
      <w:r w:rsidR="00971706" w:rsidRPr="000C08B5">
        <w:rPr>
          <w:rFonts w:cs="Arial"/>
          <w:sz w:val="22"/>
          <w:szCs w:val="22"/>
        </w:rPr>
        <w:t xml:space="preserve">(during plunge/dive feeding) </w:t>
      </w:r>
      <w:r w:rsidRPr="000C08B5">
        <w:rPr>
          <w:rFonts w:cs="Arial"/>
          <w:sz w:val="22"/>
          <w:szCs w:val="22"/>
        </w:rPr>
        <w:t xml:space="preserve">is extremely low. </w:t>
      </w:r>
    </w:p>
    <w:p w14:paraId="6A2950A7" w14:textId="77777777" w:rsidR="00971706" w:rsidRPr="000C08B5" w:rsidRDefault="00971706" w:rsidP="00971706">
      <w:pPr>
        <w:ind w:left="0"/>
        <w:rPr>
          <w:rFonts w:cs="Arial"/>
          <w:sz w:val="22"/>
          <w:szCs w:val="22"/>
        </w:rPr>
      </w:pPr>
    </w:p>
    <w:p w14:paraId="4E07FC45" w14:textId="706C88CE" w:rsidR="00B76145" w:rsidRPr="000C08B5" w:rsidRDefault="00B76145" w:rsidP="00971706">
      <w:pPr>
        <w:ind w:left="0"/>
        <w:rPr>
          <w:rFonts w:cs="Arial"/>
          <w:sz w:val="22"/>
          <w:szCs w:val="22"/>
        </w:rPr>
      </w:pPr>
      <w:r w:rsidRPr="000C08B5">
        <w:rPr>
          <w:rFonts w:cs="Arial"/>
          <w:sz w:val="22"/>
          <w:szCs w:val="22"/>
        </w:rPr>
        <w:t xml:space="preserve">An indirect impact may occur if </w:t>
      </w:r>
      <w:r w:rsidR="00971706" w:rsidRPr="000C08B5">
        <w:rPr>
          <w:rFonts w:cs="Arial"/>
          <w:sz w:val="22"/>
          <w:szCs w:val="22"/>
        </w:rPr>
        <w:t>seismic source</w:t>
      </w:r>
      <w:r w:rsidRPr="000C08B5">
        <w:rPr>
          <w:rFonts w:cs="Arial"/>
          <w:sz w:val="22"/>
          <w:szCs w:val="22"/>
        </w:rPr>
        <w:t xml:space="preserve"> discharges cause changes to the abundance or behaviour of prey species</w:t>
      </w:r>
      <w:r w:rsidR="00971706" w:rsidRPr="000C08B5">
        <w:rPr>
          <w:rFonts w:cs="Arial"/>
          <w:sz w:val="22"/>
          <w:szCs w:val="22"/>
        </w:rPr>
        <w:t xml:space="preserve"> (fish)</w:t>
      </w:r>
      <w:r w:rsidRPr="000C08B5">
        <w:rPr>
          <w:rFonts w:cs="Arial"/>
          <w:sz w:val="22"/>
          <w:szCs w:val="22"/>
        </w:rPr>
        <w:t>. However, the extent to which temporary ‘descending’ or ‘tightening’ responses of schooling prey fish such as pilchards (if it occurs) affects availability to avifaunal predators either positively or negatively, is not known.</w:t>
      </w:r>
      <w:r w:rsidR="00971706" w:rsidRPr="000C08B5">
        <w:rPr>
          <w:rFonts w:cs="Arial"/>
          <w:sz w:val="22"/>
          <w:szCs w:val="22"/>
        </w:rPr>
        <w:t xml:space="preserve"> </w:t>
      </w:r>
    </w:p>
    <w:p w14:paraId="2365C899" w14:textId="77777777" w:rsidR="00971706" w:rsidRPr="000C08B5" w:rsidRDefault="00971706" w:rsidP="00971706">
      <w:pPr>
        <w:ind w:left="0"/>
        <w:rPr>
          <w:rFonts w:cs="Arial"/>
          <w:sz w:val="22"/>
          <w:szCs w:val="22"/>
        </w:rPr>
      </w:pPr>
    </w:p>
    <w:p w14:paraId="12CD4DC8" w14:textId="433BF2D1" w:rsidR="00971706" w:rsidRPr="000C08B5" w:rsidRDefault="00971706" w:rsidP="00971706">
      <w:pPr>
        <w:ind w:left="0"/>
        <w:rPr>
          <w:rFonts w:cs="Arial"/>
          <w:sz w:val="22"/>
          <w:szCs w:val="22"/>
        </w:rPr>
      </w:pPr>
      <w:r w:rsidRPr="000C08B5">
        <w:rPr>
          <w:rFonts w:cs="Arial"/>
          <w:sz w:val="22"/>
          <w:szCs w:val="22"/>
        </w:rPr>
        <w:t>Seabird</w:t>
      </w:r>
      <w:r w:rsidR="00B76145" w:rsidRPr="000C08B5">
        <w:rPr>
          <w:rFonts w:cs="Arial"/>
          <w:sz w:val="22"/>
          <w:szCs w:val="22"/>
        </w:rPr>
        <w:t xml:space="preserve"> species that may occur in the </w:t>
      </w:r>
      <w:r w:rsidRPr="000C08B5">
        <w:rPr>
          <w:rFonts w:cs="Arial"/>
          <w:sz w:val="22"/>
          <w:szCs w:val="22"/>
        </w:rPr>
        <w:t>proposed acquisition</w:t>
      </w:r>
      <w:r w:rsidR="00B76145" w:rsidRPr="000C08B5">
        <w:rPr>
          <w:rFonts w:cs="Arial"/>
          <w:sz w:val="22"/>
          <w:szCs w:val="22"/>
        </w:rPr>
        <w:t xml:space="preserve"> area (</w:t>
      </w:r>
      <w:r w:rsidRPr="000C08B5">
        <w:rPr>
          <w:rFonts w:cs="Arial"/>
          <w:sz w:val="22"/>
          <w:szCs w:val="22"/>
        </w:rPr>
        <w:t xml:space="preserve">see </w:t>
      </w:r>
      <w:r w:rsidR="00B76145" w:rsidRPr="000C08B5">
        <w:rPr>
          <w:rFonts w:cs="Arial"/>
          <w:sz w:val="22"/>
          <w:szCs w:val="22"/>
        </w:rPr>
        <w:t xml:space="preserve">Section </w:t>
      </w:r>
      <w:r w:rsidRPr="000C08B5">
        <w:rPr>
          <w:rFonts w:cs="Arial"/>
          <w:sz w:val="22"/>
          <w:szCs w:val="22"/>
        </w:rPr>
        <w:fldChar w:fldCharType="begin"/>
      </w:r>
      <w:r w:rsidRPr="000C08B5">
        <w:rPr>
          <w:rFonts w:cs="Arial"/>
          <w:sz w:val="22"/>
          <w:szCs w:val="22"/>
        </w:rPr>
        <w:instrText xml:space="preserve"> REF _Ref476148105 \r \h  \* MERGEFORMAT </w:instrText>
      </w:r>
      <w:r w:rsidRPr="000C08B5">
        <w:rPr>
          <w:rFonts w:cs="Arial"/>
          <w:sz w:val="22"/>
          <w:szCs w:val="22"/>
        </w:rPr>
      </w:r>
      <w:r w:rsidRPr="000C08B5">
        <w:rPr>
          <w:rFonts w:cs="Arial"/>
          <w:sz w:val="22"/>
          <w:szCs w:val="22"/>
        </w:rPr>
        <w:fldChar w:fldCharType="separate"/>
      </w:r>
      <w:r w:rsidR="007C0ECD">
        <w:rPr>
          <w:rFonts w:cs="Arial"/>
          <w:sz w:val="22"/>
          <w:szCs w:val="22"/>
        </w:rPr>
        <w:t>5.4.8</w:t>
      </w:r>
      <w:r w:rsidRPr="000C08B5">
        <w:rPr>
          <w:rFonts w:cs="Arial"/>
          <w:sz w:val="22"/>
          <w:szCs w:val="22"/>
        </w:rPr>
        <w:fldChar w:fldCharType="end"/>
      </w:r>
      <w:r w:rsidR="00B76145" w:rsidRPr="000C08B5">
        <w:rPr>
          <w:rFonts w:cs="Arial"/>
          <w:sz w:val="22"/>
          <w:szCs w:val="22"/>
        </w:rPr>
        <w:t xml:space="preserve">) all have considerable foraging habitat </w:t>
      </w:r>
      <w:r w:rsidRPr="000C08B5">
        <w:rPr>
          <w:rFonts w:cs="Arial"/>
          <w:sz w:val="22"/>
          <w:szCs w:val="22"/>
        </w:rPr>
        <w:t>present throughout Bass Strait</w:t>
      </w:r>
      <w:r w:rsidR="00B76145" w:rsidRPr="000C08B5">
        <w:rPr>
          <w:rFonts w:cs="Arial"/>
          <w:sz w:val="22"/>
          <w:szCs w:val="22"/>
        </w:rPr>
        <w:t xml:space="preserve">. The </w:t>
      </w:r>
      <w:r w:rsidRPr="000C08B5">
        <w:rPr>
          <w:rFonts w:cs="Arial"/>
          <w:sz w:val="22"/>
          <w:szCs w:val="22"/>
        </w:rPr>
        <w:t>small</w:t>
      </w:r>
      <w:r w:rsidR="00B76145" w:rsidRPr="000C08B5">
        <w:rPr>
          <w:rFonts w:cs="Arial"/>
          <w:sz w:val="22"/>
          <w:szCs w:val="22"/>
        </w:rPr>
        <w:t xml:space="preserve"> size </w:t>
      </w:r>
      <w:r w:rsidR="00B76145" w:rsidRPr="000C08B5">
        <w:rPr>
          <w:rFonts w:cs="Arial"/>
          <w:sz w:val="22"/>
          <w:szCs w:val="22"/>
        </w:rPr>
        <w:lastRenderedPageBreak/>
        <w:t xml:space="preserve">of the </w:t>
      </w:r>
      <w:r w:rsidRPr="000C08B5">
        <w:rPr>
          <w:rFonts w:cs="Arial"/>
          <w:sz w:val="22"/>
          <w:szCs w:val="22"/>
        </w:rPr>
        <w:t xml:space="preserve">proposed </w:t>
      </w:r>
      <w:r w:rsidR="00B76145" w:rsidRPr="000C08B5">
        <w:rPr>
          <w:rFonts w:cs="Arial"/>
          <w:sz w:val="22"/>
          <w:szCs w:val="22"/>
        </w:rPr>
        <w:t xml:space="preserve">acquisition area is not significant relative to their normal foraging environment. </w:t>
      </w:r>
      <w:r w:rsidRPr="000C08B5">
        <w:rPr>
          <w:rFonts w:cs="Arial"/>
          <w:sz w:val="22"/>
          <w:szCs w:val="22"/>
        </w:rPr>
        <w:t>Any temporary dispersal of prey species (i.e., fish) due to acquisition activities would not result in any significant decrease in availability of prey species that is of biological significance for these populations.</w:t>
      </w:r>
    </w:p>
    <w:p w14:paraId="692DADF9" w14:textId="77777777" w:rsidR="00971706" w:rsidRPr="000C08B5" w:rsidRDefault="00971706" w:rsidP="00971706">
      <w:pPr>
        <w:ind w:left="0"/>
        <w:rPr>
          <w:rFonts w:cs="Arial"/>
          <w:sz w:val="22"/>
          <w:szCs w:val="22"/>
        </w:rPr>
      </w:pPr>
    </w:p>
    <w:p w14:paraId="18780BC4" w14:textId="5CE10CD9" w:rsidR="00971706" w:rsidRPr="000C08B5" w:rsidRDefault="00D0586A" w:rsidP="00971706">
      <w:pPr>
        <w:ind w:left="0"/>
        <w:rPr>
          <w:rFonts w:cs="Arial"/>
          <w:sz w:val="22"/>
          <w:szCs w:val="22"/>
        </w:rPr>
      </w:pPr>
      <w:r>
        <w:rPr>
          <w:rFonts w:cs="Arial"/>
          <w:sz w:val="22"/>
          <w:szCs w:val="22"/>
        </w:rPr>
        <w:t>Threatened a</w:t>
      </w:r>
      <w:r w:rsidR="00971706" w:rsidRPr="000C08B5">
        <w:rPr>
          <w:rFonts w:cs="Arial"/>
          <w:sz w:val="22"/>
          <w:szCs w:val="22"/>
        </w:rPr>
        <w:t>lbatross and petrel</w:t>
      </w:r>
      <w:r>
        <w:rPr>
          <w:rFonts w:cs="Arial"/>
          <w:sz w:val="22"/>
          <w:szCs w:val="22"/>
        </w:rPr>
        <w:t xml:space="preserve"> specie</w:t>
      </w:r>
      <w:r w:rsidR="00971706" w:rsidRPr="000C08B5">
        <w:rPr>
          <w:rFonts w:cs="Arial"/>
          <w:sz w:val="22"/>
          <w:szCs w:val="22"/>
        </w:rPr>
        <w:t xml:space="preserve">s are generally absent from the region during the warmer months of southern Australia, meaning they are unlikely to be present (or at least not in high numbers) at the time of the survey. </w:t>
      </w:r>
    </w:p>
    <w:p w14:paraId="50681DAB" w14:textId="77777777" w:rsidR="00971706" w:rsidRPr="00971706" w:rsidRDefault="00971706" w:rsidP="00971706">
      <w:pPr>
        <w:ind w:left="0"/>
        <w:rPr>
          <w:rFonts w:ascii="Tahoma" w:hAnsi="Tahoma" w:cs="Arial"/>
          <w:szCs w:val="20"/>
        </w:rPr>
      </w:pPr>
    </w:p>
    <w:p w14:paraId="4546FD31" w14:textId="77777777" w:rsidR="00910B0B" w:rsidRPr="000C08B5" w:rsidRDefault="00910B0B" w:rsidP="000C08B5">
      <w:pPr>
        <w:spacing w:after="120" w:line="240" w:lineRule="auto"/>
        <w:ind w:left="0"/>
        <w:rPr>
          <w:rFonts w:cs="Arial"/>
          <w:sz w:val="22"/>
          <w:szCs w:val="22"/>
          <w:u w:val="single"/>
        </w:rPr>
      </w:pPr>
      <w:r w:rsidRPr="000C08B5">
        <w:rPr>
          <w:rFonts w:cs="Arial"/>
          <w:sz w:val="22"/>
          <w:szCs w:val="22"/>
          <w:u w:val="single"/>
        </w:rPr>
        <w:t>Shorebirds</w:t>
      </w:r>
    </w:p>
    <w:p w14:paraId="4F6C12FF" w14:textId="77777777" w:rsidR="00B76145" w:rsidRPr="000C08B5" w:rsidRDefault="00971706" w:rsidP="00971706">
      <w:pPr>
        <w:ind w:left="0"/>
        <w:rPr>
          <w:rFonts w:cs="Arial"/>
          <w:sz w:val="22"/>
          <w:szCs w:val="22"/>
        </w:rPr>
      </w:pPr>
      <w:r w:rsidRPr="000C08B5">
        <w:rPr>
          <w:rFonts w:cs="Arial"/>
          <w:sz w:val="22"/>
          <w:szCs w:val="22"/>
        </w:rPr>
        <w:t>S</w:t>
      </w:r>
      <w:r w:rsidR="00B76145" w:rsidRPr="000C08B5">
        <w:rPr>
          <w:rFonts w:cs="Arial"/>
          <w:sz w:val="22"/>
          <w:szCs w:val="22"/>
        </w:rPr>
        <w:t>hore</w:t>
      </w:r>
      <w:r w:rsidRPr="000C08B5">
        <w:rPr>
          <w:rFonts w:cs="Arial"/>
          <w:sz w:val="22"/>
          <w:szCs w:val="22"/>
        </w:rPr>
        <w:t xml:space="preserve">bird species </w:t>
      </w:r>
      <w:r w:rsidR="00B76145" w:rsidRPr="000C08B5">
        <w:rPr>
          <w:rFonts w:cs="Arial"/>
          <w:sz w:val="22"/>
          <w:szCs w:val="22"/>
        </w:rPr>
        <w:t xml:space="preserve">such as the Australian fairy tern and hooder plover are not expected to be affected by </w:t>
      </w:r>
      <w:r w:rsidRPr="000C08B5">
        <w:rPr>
          <w:rFonts w:cs="Arial"/>
          <w:sz w:val="22"/>
          <w:szCs w:val="22"/>
        </w:rPr>
        <w:t>seismic survey</w:t>
      </w:r>
      <w:r w:rsidR="00B76145" w:rsidRPr="000C08B5">
        <w:rPr>
          <w:rFonts w:cs="Arial"/>
          <w:sz w:val="22"/>
          <w:szCs w:val="22"/>
        </w:rPr>
        <w:t xml:space="preserve"> activities, given their </w:t>
      </w:r>
      <w:r w:rsidRPr="000C08B5">
        <w:rPr>
          <w:rFonts w:cs="Arial"/>
          <w:sz w:val="22"/>
          <w:szCs w:val="22"/>
        </w:rPr>
        <w:t xml:space="preserve">preference for species of </w:t>
      </w:r>
      <w:r w:rsidR="00B76145" w:rsidRPr="000C08B5">
        <w:rPr>
          <w:rFonts w:cs="Arial"/>
          <w:sz w:val="22"/>
          <w:szCs w:val="22"/>
        </w:rPr>
        <w:t xml:space="preserve">prey </w:t>
      </w:r>
      <w:r w:rsidRPr="000C08B5">
        <w:rPr>
          <w:rFonts w:cs="Arial"/>
          <w:sz w:val="22"/>
          <w:szCs w:val="22"/>
        </w:rPr>
        <w:t xml:space="preserve">occurring within the intertidal part of the coastline. </w:t>
      </w:r>
    </w:p>
    <w:p w14:paraId="0021A472" w14:textId="77777777" w:rsidR="00971706" w:rsidRPr="000C08B5" w:rsidRDefault="00971706" w:rsidP="00971706">
      <w:pPr>
        <w:ind w:left="0"/>
        <w:rPr>
          <w:rFonts w:cs="Arial"/>
          <w:sz w:val="22"/>
          <w:szCs w:val="22"/>
        </w:rPr>
      </w:pPr>
    </w:p>
    <w:p w14:paraId="25AE5ACB" w14:textId="77777777" w:rsidR="00910B0B" w:rsidRPr="006D73D0" w:rsidRDefault="00910B0B" w:rsidP="006D73D0">
      <w:pPr>
        <w:spacing w:after="120" w:line="240" w:lineRule="auto"/>
        <w:ind w:left="0"/>
        <w:rPr>
          <w:rFonts w:cs="Arial"/>
          <w:sz w:val="22"/>
          <w:szCs w:val="22"/>
          <w:u w:val="single"/>
        </w:rPr>
      </w:pPr>
      <w:r w:rsidRPr="006D73D0">
        <w:rPr>
          <w:rFonts w:cs="Arial"/>
          <w:sz w:val="22"/>
          <w:szCs w:val="22"/>
          <w:u w:val="single"/>
        </w:rPr>
        <w:t>Other birds</w:t>
      </w:r>
    </w:p>
    <w:p w14:paraId="58B84956" w14:textId="1CA9F23F" w:rsidR="00B76145" w:rsidRPr="00A62F7C" w:rsidRDefault="00B76145" w:rsidP="00910B0B">
      <w:pPr>
        <w:ind w:left="0"/>
        <w:rPr>
          <w:rFonts w:cs="Arial"/>
          <w:sz w:val="22"/>
          <w:szCs w:val="22"/>
        </w:rPr>
      </w:pPr>
      <w:r w:rsidRPr="006D73D0">
        <w:rPr>
          <w:rFonts w:cs="Arial"/>
          <w:b/>
          <w:sz w:val="22"/>
          <w:szCs w:val="22"/>
        </w:rPr>
        <w:t xml:space="preserve">Little </w:t>
      </w:r>
      <w:r w:rsidR="00910B0B" w:rsidRPr="006D73D0">
        <w:rPr>
          <w:rFonts w:cs="Arial"/>
          <w:b/>
          <w:sz w:val="22"/>
          <w:szCs w:val="22"/>
        </w:rPr>
        <w:t>p</w:t>
      </w:r>
      <w:r w:rsidRPr="006D73D0">
        <w:rPr>
          <w:rFonts w:cs="Arial"/>
          <w:b/>
          <w:sz w:val="22"/>
          <w:szCs w:val="22"/>
        </w:rPr>
        <w:t>enguins</w:t>
      </w:r>
      <w:r w:rsidR="00910B0B" w:rsidRPr="00A62F7C">
        <w:rPr>
          <w:rFonts w:cs="Arial"/>
          <w:sz w:val="22"/>
          <w:szCs w:val="22"/>
        </w:rPr>
        <w:t xml:space="preserve">. </w:t>
      </w:r>
      <w:r w:rsidRPr="00A62F7C">
        <w:rPr>
          <w:rFonts w:cs="Arial"/>
          <w:sz w:val="22"/>
          <w:szCs w:val="22"/>
        </w:rPr>
        <w:t>Penguins communicate via calls (vocalisations)</w:t>
      </w:r>
      <w:r w:rsidR="006D73D0">
        <w:rPr>
          <w:rFonts w:cs="Arial"/>
          <w:sz w:val="22"/>
          <w:szCs w:val="22"/>
        </w:rPr>
        <w:t xml:space="preserve"> that allow partners to recognis</w:t>
      </w:r>
      <w:r w:rsidRPr="00A62F7C">
        <w:rPr>
          <w:rFonts w:cs="Arial"/>
          <w:sz w:val="22"/>
          <w:szCs w:val="22"/>
        </w:rPr>
        <w:t>e each other and their chick. There is a lack of information on the auditory systems and communication of penguins</w:t>
      </w:r>
      <w:r w:rsidR="00910B0B" w:rsidRPr="00A62F7C">
        <w:rPr>
          <w:rFonts w:cs="Arial"/>
          <w:sz w:val="22"/>
          <w:szCs w:val="22"/>
        </w:rPr>
        <w:t>,</w:t>
      </w:r>
      <w:r w:rsidRPr="00A62F7C">
        <w:rPr>
          <w:rFonts w:cs="Arial"/>
          <w:sz w:val="22"/>
          <w:szCs w:val="22"/>
        </w:rPr>
        <w:t xml:space="preserve"> however the hearing range of most birds lies between 0.1 - 8 kHz (McCauley, 1994). It is therefore inferred that penguins have relatively poor hearing thresholds in the lower frequencies, </w:t>
      </w:r>
      <w:r w:rsidR="00910B0B" w:rsidRPr="00A62F7C">
        <w:rPr>
          <w:rFonts w:cs="Arial"/>
          <w:sz w:val="22"/>
          <w:szCs w:val="22"/>
        </w:rPr>
        <w:t xml:space="preserve">which is </w:t>
      </w:r>
      <w:r w:rsidRPr="00A62F7C">
        <w:rPr>
          <w:rFonts w:cs="Arial"/>
          <w:sz w:val="22"/>
          <w:szCs w:val="22"/>
        </w:rPr>
        <w:t xml:space="preserve">where seismic surveys have the most energy (10-250 Hz) (McCauley, 1994). This is supported in part by observations made by dedicated on-board MMO personnel of little penguins approaching seismic vessels during </w:t>
      </w:r>
      <w:r w:rsidR="00910B0B" w:rsidRPr="00A62F7C">
        <w:rPr>
          <w:rFonts w:cs="Arial"/>
          <w:sz w:val="22"/>
          <w:szCs w:val="22"/>
        </w:rPr>
        <w:t>survey acquisition</w:t>
      </w:r>
      <w:r w:rsidRPr="00A62F7C">
        <w:rPr>
          <w:rFonts w:cs="Arial"/>
          <w:sz w:val="22"/>
          <w:szCs w:val="22"/>
        </w:rPr>
        <w:t xml:space="preserve"> in eastern Bass Strait during 2001 and 2002 (Doodie, pers. comm., 2003; Pinzone, pers. obs., 2003), while previous seismic surveys conducted in the Otway region observed a similar situation, suggesting that this species is not disturbed by the seismic sound source. It may be that the penguins are unaffected as they are in the seismic ‘shadow’ area, predominantly above the downward focus of the pulse. </w:t>
      </w:r>
    </w:p>
    <w:p w14:paraId="30E24D8C" w14:textId="77777777" w:rsidR="00910B0B" w:rsidRPr="00A62F7C" w:rsidRDefault="00910B0B" w:rsidP="00910B0B">
      <w:pPr>
        <w:ind w:left="0"/>
        <w:rPr>
          <w:rFonts w:cs="Arial"/>
          <w:sz w:val="22"/>
          <w:szCs w:val="22"/>
        </w:rPr>
      </w:pPr>
    </w:p>
    <w:p w14:paraId="1375D503" w14:textId="78A4BC18" w:rsidR="00B76145" w:rsidRPr="006D73D0" w:rsidRDefault="00B76145" w:rsidP="00910B0B">
      <w:pPr>
        <w:ind w:left="0"/>
        <w:rPr>
          <w:rFonts w:cs="Arial"/>
          <w:sz w:val="22"/>
          <w:szCs w:val="22"/>
        </w:rPr>
      </w:pPr>
      <w:r w:rsidRPr="006D73D0">
        <w:rPr>
          <w:rFonts w:cs="Arial"/>
          <w:sz w:val="22"/>
          <w:szCs w:val="22"/>
        </w:rPr>
        <w:t>P</w:t>
      </w:r>
      <w:r w:rsidR="00B06BAB" w:rsidRPr="006D73D0">
        <w:rPr>
          <w:rFonts w:cs="Arial"/>
          <w:sz w:val="22"/>
          <w:szCs w:val="22"/>
        </w:rPr>
        <w:t>assive acoustic monitoring (P</w:t>
      </w:r>
      <w:r w:rsidRPr="006D73D0">
        <w:rPr>
          <w:rFonts w:cs="Arial"/>
          <w:sz w:val="22"/>
          <w:szCs w:val="22"/>
        </w:rPr>
        <w:t>AM</w:t>
      </w:r>
      <w:r w:rsidR="00B06BAB" w:rsidRPr="006D73D0">
        <w:rPr>
          <w:rFonts w:cs="Arial"/>
          <w:sz w:val="22"/>
          <w:szCs w:val="22"/>
        </w:rPr>
        <w:t>)</w:t>
      </w:r>
      <w:r w:rsidRPr="006D73D0">
        <w:rPr>
          <w:rFonts w:cs="Arial"/>
          <w:sz w:val="22"/>
          <w:szCs w:val="22"/>
        </w:rPr>
        <w:t xml:space="preserve"> commissioned by Origin and undertaken from April 2012 to January 2013, 5 km offshore from the coastline east of Warrnambool</w:t>
      </w:r>
      <w:r w:rsidR="00F01B5D">
        <w:rPr>
          <w:rFonts w:cs="Arial"/>
          <w:sz w:val="22"/>
          <w:szCs w:val="22"/>
        </w:rPr>
        <w:t xml:space="preserve"> in southwest Victoria</w:t>
      </w:r>
      <w:r w:rsidRPr="006D73D0">
        <w:rPr>
          <w:rFonts w:cs="Arial"/>
          <w:sz w:val="22"/>
          <w:szCs w:val="22"/>
        </w:rPr>
        <w:t xml:space="preserve">, identified that ambient underwater noise in coastal areas is generally higher than further offshore, with a mean of 110 dB re 1 µPa and maximum of 161 dB re 1 µPa (McCauley &amp; Gavrilov, 2013). </w:t>
      </w:r>
    </w:p>
    <w:p w14:paraId="2A79864B" w14:textId="77777777" w:rsidR="00910B0B" w:rsidRPr="006D73D0" w:rsidRDefault="00910B0B" w:rsidP="00910B0B">
      <w:pPr>
        <w:ind w:left="0"/>
        <w:rPr>
          <w:rFonts w:cs="Arial"/>
          <w:sz w:val="22"/>
          <w:szCs w:val="22"/>
        </w:rPr>
      </w:pPr>
    </w:p>
    <w:p w14:paraId="1321B98D" w14:textId="4D0E22B3" w:rsidR="00B76145" w:rsidRPr="006D73D0" w:rsidRDefault="00B76145" w:rsidP="00910B0B">
      <w:pPr>
        <w:ind w:left="0"/>
        <w:rPr>
          <w:rFonts w:cs="Arial"/>
          <w:sz w:val="22"/>
          <w:szCs w:val="22"/>
        </w:rPr>
      </w:pPr>
      <w:r w:rsidRPr="006D73D0">
        <w:rPr>
          <w:rFonts w:cs="Arial"/>
          <w:sz w:val="22"/>
          <w:szCs w:val="22"/>
        </w:rPr>
        <w:t>During the 2014 Enterprise 3D</w:t>
      </w:r>
      <w:r w:rsidR="009162E9" w:rsidRPr="006D73D0">
        <w:rPr>
          <w:rFonts w:cs="Arial"/>
          <w:sz w:val="22"/>
          <w:szCs w:val="22"/>
        </w:rPr>
        <w:t xml:space="preserve"> transition zone seismic survey</w:t>
      </w:r>
      <w:r w:rsidRPr="006D73D0">
        <w:rPr>
          <w:rFonts w:cs="Arial"/>
          <w:sz w:val="22"/>
          <w:szCs w:val="22"/>
        </w:rPr>
        <w:t xml:space="preserve"> (2,500 cui</w:t>
      </w:r>
      <w:r w:rsidR="006D73D0">
        <w:rPr>
          <w:rFonts w:cs="Arial"/>
          <w:sz w:val="22"/>
          <w:szCs w:val="22"/>
        </w:rPr>
        <w:t xml:space="preserve"> </w:t>
      </w:r>
      <w:r w:rsidR="006D73D0" w:rsidRPr="006D73D0">
        <w:rPr>
          <w:rFonts w:cs="Arial"/>
          <w:sz w:val="22"/>
          <w:szCs w:val="22"/>
        </w:rPr>
        <w:t xml:space="preserve">source </w:t>
      </w:r>
      <w:r w:rsidR="006D73D0">
        <w:rPr>
          <w:rFonts w:cs="Arial"/>
          <w:sz w:val="22"/>
          <w:szCs w:val="22"/>
        </w:rPr>
        <w:t>array</w:t>
      </w:r>
      <w:r w:rsidRPr="006D73D0">
        <w:rPr>
          <w:rFonts w:cs="Arial"/>
          <w:sz w:val="22"/>
          <w:szCs w:val="22"/>
        </w:rPr>
        <w:t xml:space="preserve">), undertaken in Victorian coastal waters in depth ranges 20 to 65 m and located 1 km from the coast, breeding little penguin adults were equipped with GPS and depth recorders before and concomitantly with seismic survey activities in the vicinity of known colonies. The differences in behaviour characteristics of the little penguin, such as trip duration, maximum distance travelled during foraging, path length, dive frequency, dive time and average dive depth between survey and non-survey periods was not statistically significant, confirming little penguins do not appear to be disturbed by seismic sound sources (Pichegru </w:t>
      </w:r>
      <w:r w:rsidRPr="006D73D0">
        <w:rPr>
          <w:rFonts w:cs="Arial"/>
          <w:i/>
          <w:sz w:val="22"/>
          <w:szCs w:val="22"/>
        </w:rPr>
        <w:t>et al</w:t>
      </w:r>
      <w:r w:rsidRPr="006D73D0">
        <w:rPr>
          <w:rFonts w:cs="Arial"/>
          <w:sz w:val="22"/>
          <w:szCs w:val="22"/>
        </w:rPr>
        <w:t>., 2016).</w:t>
      </w:r>
    </w:p>
    <w:p w14:paraId="0FD80295" w14:textId="77777777" w:rsidR="00B76145" w:rsidRPr="006D73D0" w:rsidRDefault="00B76145" w:rsidP="006D73D0">
      <w:pPr>
        <w:ind w:left="0"/>
        <w:rPr>
          <w:rFonts w:cs="Arial"/>
          <w:sz w:val="22"/>
          <w:szCs w:val="22"/>
        </w:rPr>
      </w:pPr>
      <w:r w:rsidRPr="006D73D0">
        <w:rPr>
          <w:rFonts w:cs="Arial"/>
          <w:sz w:val="22"/>
          <w:szCs w:val="22"/>
        </w:rPr>
        <w:t xml:space="preserve">          </w:t>
      </w:r>
    </w:p>
    <w:p w14:paraId="6CE7D5FC" w14:textId="4380BCBC" w:rsidR="00B76145" w:rsidRDefault="00B76145" w:rsidP="00910B0B">
      <w:pPr>
        <w:ind w:left="0"/>
        <w:rPr>
          <w:rFonts w:cs="Arial"/>
          <w:sz w:val="22"/>
          <w:szCs w:val="22"/>
        </w:rPr>
      </w:pPr>
      <w:r w:rsidRPr="006D73D0">
        <w:rPr>
          <w:rFonts w:cs="Arial"/>
          <w:sz w:val="22"/>
          <w:szCs w:val="22"/>
        </w:rPr>
        <w:t xml:space="preserve">As with other predatory avifauna, penguins may be indirectly affected if air gun discharges alter the abundance or behaviour of prey. However, given this species routinely forages over distances of 15 – 50 km from their colonies and are highly mobile in the water, this is not expected to have any significant impact to the species. </w:t>
      </w:r>
      <w:r w:rsidR="00C556D7" w:rsidRPr="006D73D0">
        <w:rPr>
          <w:rFonts w:cs="Arial"/>
          <w:sz w:val="22"/>
          <w:szCs w:val="22"/>
        </w:rPr>
        <w:t xml:space="preserve">The nearest known breeding colony of penguins is located 139 km west of the proposed survey area at Wilsons Promontory. Given that little penguins forage within 5-25 km of the coast during the breeding season, and up to 75 km from the coast at </w:t>
      </w:r>
      <w:r w:rsidR="00C556D7" w:rsidRPr="006D73D0">
        <w:rPr>
          <w:rFonts w:cs="Arial"/>
          <w:sz w:val="22"/>
          <w:szCs w:val="22"/>
        </w:rPr>
        <w:lastRenderedPageBreak/>
        <w:t xml:space="preserve">other times (SARDI, 2011), it is unlikely that high numbers of little penguins will be found in the proposed </w:t>
      </w:r>
      <w:r w:rsidR="006D73D0">
        <w:rPr>
          <w:rFonts w:cs="Arial"/>
          <w:sz w:val="22"/>
          <w:szCs w:val="22"/>
        </w:rPr>
        <w:t>acquisition</w:t>
      </w:r>
      <w:r w:rsidR="00C556D7" w:rsidRPr="006D73D0">
        <w:rPr>
          <w:rFonts w:cs="Arial"/>
          <w:sz w:val="22"/>
          <w:szCs w:val="22"/>
        </w:rPr>
        <w:t xml:space="preserve"> area.</w:t>
      </w:r>
    </w:p>
    <w:p w14:paraId="2DB84572" w14:textId="77777777" w:rsidR="003E2A58" w:rsidRDefault="003E2A58" w:rsidP="00910B0B">
      <w:pPr>
        <w:ind w:left="0"/>
        <w:rPr>
          <w:rFonts w:cs="Arial"/>
          <w:sz w:val="22"/>
          <w:szCs w:val="22"/>
        </w:rPr>
      </w:pPr>
    </w:p>
    <w:p w14:paraId="3CD54C97" w14:textId="5DE823F5" w:rsidR="003E2A58" w:rsidRPr="003E2A58" w:rsidRDefault="003E2A58" w:rsidP="003E2A58">
      <w:pPr>
        <w:spacing w:after="120" w:line="240" w:lineRule="auto"/>
        <w:ind w:left="0"/>
        <w:rPr>
          <w:rFonts w:cs="Arial"/>
          <w:sz w:val="22"/>
          <w:szCs w:val="22"/>
          <w:u w:val="single"/>
        </w:rPr>
      </w:pPr>
      <w:r w:rsidRPr="003E2A58">
        <w:rPr>
          <w:rFonts w:cs="Arial"/>
          <w:sz w:val="22"/>
          <w:szCs w:val="22"/>
          <w:u w:val="single"/>
        </w:rPr>
        <w:t>Predicted impacts</w:t>
      </w:r>
    </w:p>
    <w:p w14:paraId="35B34539" w14:textId="77777777" w:rsidR="00CE6AF6" w:rsidRDefault="008D4D80" w:rsidP="00910B0B">
      <w:pPr>
        <w:ind w:left="0"/>
        <w:rPr>
          <w:rFonts w:cs="Arial"/>
          <w:sz w:val="22"/>
          <w:szCs w:val="22"/>
        </w:rPr>
      </w:pPr>
      <w:r>
        <w:rPr>
          <w:rFonts w:cs="Arial"/>
          <w:sz w:val="22"/>
          <w:szCs w:val="22"/>
        </w:rPr>
        <w:t xml:space="preserve">As most seabirds spend very little time under the water surface, and when they do it is for several seconds at a time, impacts to seabirds are predicted to be nil to negligible. The proposed acquisition area does not contain spatially limiting food sources, with Bass Strait providing abundant foraging grounds. </w:t>
      </w:r>
    </w:p>
    <w:p w14:paraId="1CC4D54B" w14:textId="77777777" w:rsidR="00CE6AF6" w:rsidRDefault="00CE6AF6" w:rsidP="00910B0B">
      <w:pPr>
        <w:ind w:left="0"/>
        <w:rPr>
          <w:rFonts w:cs="Arial"/>
          <w:sz w:val="22"/>
          <w:szCs w:val="22"/>
        </w:rPr>
      </w:pPr>
    </w:p>
    <w:p w14:paraId="163080FC" w14:textId="0015DE14" w:rsidR="00B76145" w:rsidRPr="006D73D0" w:rsidRDefault="000E3FB2" w:rsidP="006D73D0">
      <w:pPr>
        <w:ind w:left="0"/>
        <w:rPr>
          <w:rFonts w:cs="Arial"/>
          <w:b/>
          <w:sz w:val="22"/>
          <w:szCs w:val="22"/>
        </w:rPr>
      </w:pPr>
      <w:r>
        <w:rPr>
          <w:rFonts w:cs="Arial"/>
          <w:b/>
          <w:sz w:val="22"/>
          <w:szCs w:val="22"/>
        </w:rPr>
        <w:t xml:space="preserve">Impacts to </w:t>
      </w:r>
      <w:r w:rsidR="00B76145" w:rsidRPr="006D73D0">
        <w:rPr>
          <w:rFonts w:cs="Arial"/>
          <w:b/>
          <w:sz w:val="22"/>
          <w:szCs w:val="22"/>
        </w:rPr>
        <w:t>Marine invertebrates</w:t>
      </w:r>
      <w:r w:rsidR="00CF4AEF" w:rsidRPr="006D73D0">
        <w:rPr>
          <w:rFonts w:cs="Arial"/>
          <w:b/>
          <w:sz w:val="22"/>
          <w:szCs w:val="22"/>
        </w:rPr>
        <w:t xml:space="preserve"> </w:t>
      </w:r>
      <w:r w:rsidR="00F45E02">
        <w:rPr>
          <w:rFonts w:cs="Arial"/>
          <w:b/>
          <w:sz w:val="22"/>
          <w:szCs w:val="22"/>
        </w:rPr>
        <w:t>- Scallops</w:t>
      </w:r>
    </w:p>
    <w:p w14:paraId="22EE38D9" w14:textId="77777777" w:rsidR="006D73D0" w:rsidRDefault="006D73D0" w:rsidP="009162E9">
      <w:pPr>
        <w:ind w:left="0"/>
        <w:rPr>
          <w:rFonts w:cs="Arial"/>
          <w:sz w:val="22"/>
          <w:szCs w:val="22"/>
        </w:rPr>
      </w:pPr>
    </w:p>
    <w:p w14:paraId="0768D735" w14:textId="2F2F0D50" w:rsidR="000B17F2" w:rsidRPr="003919EA" w:rsidRDefault="000B17F2" w:rsidP="000B17F2">
      <w:pPr>
        <w:spacing w:after="120" w:line="240" w:lineRule="auto"/>
        <w:ind w:left="0"/>
        <w:rPr>
          <w:rFonts w:cs="Arial"/>
          <w:sz w:val="22"/>
          <w:szCs w:val="22"/>
          <w:u w:val="single"/>
        </w:rPr>
      </w:pPr>
      <w:r w:rsidRPr="003919EA">
        <w:rPr>
          <w:rFonts w:cs="Arial"/>
          <w:sz w:val="22"/>
          <w:szCs w:val="22"/>
          <w:u w:val="single"/>
        </w:rPr>
        <w:t xml:space="preserve">Research </w:t>
      </w:r>
      <w:r>
        <w:rPr>
          <w:rFonts w:cs="Arial"/>
          <w:sz w:val="22"/>
          <w:szCs w:val="22"/>
          <w:u w:val="single"/>
        </w:rPr>
        <w:t>results – invertebrates in general</w:t>
      </w:r>
    </w:p>
    <w:p w14:paraId="5DD11285" w14:textId="0A51EB59" w:rsidR="00B76145" w:rsidRDefault="00B76145" w:rsidP="009162E9">
      <w:pPr>
        <w:ind w:left="0"/>
        <w:rPr>
          <w:rFonts w:cs="Arial"/>
          <w:sz w:val="22"/>
          <w:szCs w:val="22"/>
        </w:rPr>
      </w:pPr>
      <w:r w:rsidRPr="006D73D0">
        <w:rPr>
          <w:rFonts w:cs="Arial"/>
          <w:sz w:val="22"/>
          <w:szCs w:val="22"/>
        </w:rPr>
        <w:t>Invertebrates detect sound by sensing either the ‘particle motion’</w:t>
      </w:r>
      <w:r w:rsidR="00E03F10" w:rsidRPr="006D73D0">
        <w:rPr>
          <w:rFonts w:cs="Arial"/>
          <w:sz w:val="22"/>
          <w:szCs w:val="22"/>
        </w:rPr>
        <w:t xml:space="preserve"> (Przeslawski </w:t>
      </w:r>
      <w:r w:rsidR="00E03F10" w:rsidRPr="006D73D0">
        <w:rPr>
          <w:rFonts w:cs="Arial"/>
          <w:i/>
          <w:sz w:val="22"/>
          <w:szCs w:val="22"/>
        </w:rPr>
        <w:t>et al</w:t>
      </w:r>
      <w:r w:rsidR="00E03F10" w:rsidRPr="006D73D0">
        <w:rPr>
          <w:rFonts w:cs="Arial"/>
          <w:sz w:val="22"/>
          <w:szCs w:val="22"/>
        </w:rPr>
        <w:t>., 2016</w:t>
      </w:r>
      <w:r w:rsidR="00B100C7">
        <w:rPr>
          <w:rFonts w:cs="Arial"/>
          <w:sz w:val="22"/>
          <w:szCs w:val="22"/>
        </w:rPr>
        <w:t>a;b</w:t>
      </w:r>
      <w:r w:rsidR="00135A30" w:rsidRPr="006D73D0">
        <w:rPr>
          <w:rFonts w:cs="Arial"/>
          <w:sz w:val="22"/>
          <w:szCs w:val="22"/>
        </w:rPr>
        <w:t xml:space="preserve">; Carroll </w:t>
      </w:r>
      <w:r w:rsidR="00135A30" w:rsidRPr="006D73D0">
        <w:rPr>
          <w:rFonts w:cs="Arial"/>
          <w:i/>
          <w:sz w:val="22"/>
          <w:szCs w:val="22"/>
        </w:rPr>
        <w:t>et al</w:t>
      </w:r>
      <w:r w:rsidR="00135A30" w:rsidRPr="006D73D0">
        <w:rPr>
          <w:rFonts w:cs="Arial"/>
          <w:sz w:val="22"/>
          <w:szCs w:val="22"/>
        </w:rPr>
        <w:t>., 201</w:t>
      </w:r>
      <w:r w:rsidR="004D795E">
        <w:rPr>
          <w:rFonts w:cs="Arial"/>
          <w:sz w:val="22"/>
          <w:szCs w:val="22"/>
        </w:rPr>
        <w:t>7</w:t>
      </w:r>
      <w:r w:rsidR="00E03F10" w:rsidRPr="006D73D0">
        <w:rPr>
          <w:rFonts w:cs="Arial"/>
          <w:sz w:val="22"/>
          <w:szCs w:val="22"/>
        </w:rPr>
        <w:t>)</w:t>
      </w:r>
      <w:r w:rsidRPr="006D73D0">
        <w:rPr>
          <w:rFonts w:cs="Arial"/>
          <w:sz w:val="22"/>
          <w:szCs w:val="22"/>
        </w:rPr>
        <w:t xml:space="preserve">, through other external and internal physiological structures such as hairs, statocysts and muscles; or ‘pressure’ component (or both) of a sound field in the marine environment. </w:t>
      </w:r>
      <w:r w:rsidR="00135A30" w:rsidRPr="006D73D0">
        <w:rPr>
          <w:rFonts w:cs="Arial"/>
          <w:sz w:val="22"/>
          <w:szCs w:val="22"/>
        </w:rPr>
        <w:t xml:space="preserve">Because they lack gas-filled bladders, marine invertebrates are unable to detect the pressure changes associated with sound waves (Carroll </w:t>
      </w:r>
      <w:r w:rsidR="00135A30" w:rsidRPr="006D73D0">
        <w:rPr>
          <w:rFonts w:cs="Arial"/>
          <w:i/>
          <w:sz w:val="22"/>
          <w:szCs w:val="22"/>
        </w:rPr>
        <w:t>et al</w:t>
      </w:r>
      <w:r w:rsidR="00135A30" w:rsidRPr="006D73D0">
        <w:rPr>
          <w:rFonts w:cs="Arial"/>
          <w:sz w:val="22"/>
          <w:szCs w:val="22"/>
        </w:rPr>
        <w:t>., 201</w:t>
      </w:r>
      <w:r w:rsidR="004D795E">
        <w:rPr>
          <w:rFonts w:cs="Arial"/>
          <w:sz w:val="22"/>
          <w:szCs w:val="22"/>
        </w:rPr>
        <w:t>7</w:t>
      </w:r>
      <w:r w:rsidR="000C08BC" w:rsidRPr="006D73D0">
        <w:rPr>
          <w:rFonts w:cs="Arial"/>
          <w:sz w:val="22"/>
          <w:szCs w:val="22"/>
        </w:rPr>
        <w:t>; Parry &amp; Gason, 2006</w:t>
      </w:r>
      <w:r w:rsidR="00135A30" w:rsidRPr="006D73D0">
        <w:rPr>
          <w:rFonts w:cs="Arial"/>
          <w:sz w:val="22"/>
          <w:szCs w:val="22"/>
        </w:rPr>
        <w:t>).</w:t>
      </w:r>
    </w:p>
    <w:p w14:paraId="521D15EB" w14:textId="77777777" w:rsidR="00A3691E" w:rsidRDefault="00A3691E" w:rsidP="009162E9">
      <w:pPr>
        <w:ind w:left="0"/>
        <w:rPr>
          <w:rFonts w:cs="Arial"/>
          <w:sz w:val="22"/>
          <w:szCs w:val="22"/>
        </w:rPr>
      </w:pPr>
    </w:p>
    <w:p w14:paraId="5D3BE43D" w14:textId="299E9BF0" w:rsidR="00A3691E" w:rsidRPr="00A3691E" w:rsidRDefault="00A3691E" w:rsidP="00A3691E">
      <w:pPr>
        <w:ind w:left="0"/>
        <w:rPr>
          <w:rFonts w:cs="Arial"/>
          <w:sz w:val="22"/>
          <w:szCs w:val="22"/>
        </w:rPr>
      </w:pPr>
      <w:r w:rsidRPr="00A3691E">
        <w:rPr>
          <w:rFonts w:cs="Arial"/>
          <w:sz w:val="22"/>
          <w:szCs w:val="22"/>
        </w:rPr>
        <w:t>However, all cephalopods as well as some bivalves, echinoderms and crustaceans have a sac-like structure called a statocyst</w:t>
      </w:r>
      <w:r>
        <w:rPr>
          <w:rFonts w:cs="Arial"/>
          <w:sz w:val="22"/>
          <w:szCs w:val="22"/>
        </w:rPr>
        <w:t>,</w:t>
      </w:r>
      <w:r w:rsidRPr="00A3691E">
        <w:rPr>
          <w:rFonts w:cs="Arial"/>
          <w:sz w:val="22"/>
          <w:szCs w:val="22"/>
        </w:rPr>
        <w:t xml:space="preserve"> which includes a mineralised mass (statolith) and associated sensory hairs </w:t>
      </w:r>
      <w:r w:rsidRPr="001E4928">
        <w:rPr>
          <w:rFonts w:cs="Arial"/>
          <w:sz w:val="22"/>
          <w:szCs w:val="22"/>
        </w:rPr>
        <w:fldChar w:fldCharType="begin"/>
      </w:r>
      <w:r w:rsidRPr="00A3691E">
        <w:rPr>
          <w:rFonts w:cs="Arial"/>
          <w:sz w:val="22"/>
          <w:szCs w:val="22"/>
        </w:rPr>
        <w:instrText xml:space="preserve"> ADDIN EN.CITE &lt;EndNote&gt;&lt;Cite&gt;&lt;Author&gt;Carroll&lt;/Author&gt;&lt;Year&gt;2016&lt;/Year&gt;&lt;RecNum&gt;300&lt;/RecNum&gt;&lt;DisplayText&gt;(Carroll et al. 2016)&lt;/DisplayText&gt;&lt;record&gt;&lt;rec-number&gt;300&lt;/rec-number&gt;&lt;foreign-keys&gt;&lt;key app="EN" db-id="tt9aad9vpwvppfet9d5v0959weet20drdvp0" timestamp="1498091586"&gt;300&lt;/key&gt;&lt;/foreign-keys&gt;&lt;ref-type name="Journal Article"&gt;17&lt;/ref-type&gt;&lt;contributors&gt;&lt;authors&gt;&lt;author&gt;Carroll, A. G.&lt;/author&gt;&lt;author&gt;Przeslawski, R.&lt;/author&gt;&lt;author&gt;Duncan, A.&lt;/author&gt;&lt;author&gt;Gunning, M.&lt;/author&gt;&lt;author&gt;Bruce, B.&lt;/author&gt;&lt;/authors&gt;&lt;/contributors&gt;&lt;titles&gt;&lt;title&gt;A critical review of the potential impacts of marine seismic surveys on fish and invertebrates&lt;/title&gt;&lt;secondary-title&gt;Marine Pollution Bulletin&lt;/secondary-title&gt;&lt;/titles&gt;&lt;periodical&gt;&lt;full-title&gt;Marine Pollution Bulletin&lt;/full-title&gt;&lt;/periodical&gt;&lt;keywords&gt;&lt;keyword&gt;Anthropogenic noise&lt;/keyword&gt;&lt;keyword&gt;Marine fauna&lt;/keyword&gt;&lt;keyword&gt;Low-frequency sound&lt;/keyword&gt;&lt;keyword&gt;Response indicators&lt;/keyword&gt;&lt;/keywords&gt;&lt;dates&gt;&lt;year&gt;2016&lt;/year&gt;&lt;/dates&gt;&lt;isbn&gt;0025-326X&lt;/isbn&gt;&lt;urls&gt;&lt;related-urls&gt;&lt;url&gt;http://www.sciencedirect.com/science/article/pii/S0025326X16309584&lt;/url&gt;&lt;/related-urls&gt;&lt;/urls&gt;&lt;electronic-resource-num&gt;http://dx.doi.org/10.1016/j.marpolbul.2016.11.038&lt;/electronic-resource-num&gt;&lt;/record&gt;&lt;/Cite&gt;&lt;/EndNote&gt;</w:instrText>
      </w:r>
      <w:r w:rsidRPr="001E4928">
        <w:rPr>
          <w:rFonts w:cs="Arial"/>
          <w:sz w:val="22"/>
          <w:szCs w:val="22"/>
        </w:rPr>
        <w:fldChar w:fldCharType="separate"/>
      </w:r>
      <w:r w:rsidRPr="00A3691E">
        <w:rPr>
          <w:rFonts w:cs="Arial"/>
          <w:sz w:val="22"/>
          <w:szCs w:val="22"/>
        </w:rPr>
        <w:t xml:space="preserve">(Carroll </w:t>
      </w:r>
      <w:r w:rsidRPr="00A3691E">
        <w:rPr>
          <w:rFonts w:cs="Arial"/>
          <w:i/>
          <w:sz w:val="22"/>
          <w:szCs w:val="22"/>
        </w:rPr>
        <w:t>et al</w:t>
      </w:r>
      <w:r w:rsidRPr="00A3691E">
        <w:rPr>
          <w:rFonts w:cs="Arial"/>
          <w:sz w:val="22"/>
          <w:szCs w:val="22"/>
        </w:rPr>
        <w:t>.</w:t>
      </w:r>
      <w:r>
        <w:rPr>
          <w:rFonts w:cs="Arial"/>
          <w:sz w:val="22"/>
          <w:szCs w:val="22"/>
        </w:rPr>
        <w:t>,</w:t>
      </w:r>
      <w:r w:rsidRPr="00A3691E">
        <w:rPr>
          <w:rFonts w:cs="Arial"/>
          <w:sz w:val="22"/>
          <w:szCs w:val="22"/>
        </w:rPr>
        <w:t xml:space="preserve"> 201</w:t>
      </w:r>
      <w:r w:rsidR="004D795E">
        <w:rPr>
          <w:rFonts w:cs="Arial"/>
          <w:sz w:val="22"/>
          <w:szCs w:val="22"/>
        </w:rPr>
        <w:t>7</w:t>
      </w:r>
      <w:r w:rsidRPr="00A3691E">
        <w:rPr>
          <w:rFonts w:cs="Arial"/>
          <w:sz w:val="22"/>
          <w:szCs w:val="22"/>
        </w:rPr>
        <w:t>)</w:t>
      </w:r>
      <w:r w:rsidRPr="001E4928">
        <w:rPr>
          <w:rFonts w:cs="Arial"/>
          <w:sz w:val="22"/>
          <w:szCs w:val="22"/>
        </w:rPr>
        <w:fldChar w:fldCharType="end"/>
      </w:r>
      <w:r w:rsidRPr="00A3691E">
        <w:rPr>
          <w:rFonts w:cs="Arial"/>
          <w:sz w:val="22"/>
          <w:szCs w:val="22"/>
        </w:rPr>
        <w:t xml:space="preserve">. The statocyst organs are utilised by animals to maintain their equilibrium and orientation and to direct their movements through the water. Although there is little information available on the functioning of these sensory organs, it has been suggested that marine invertebrates are sensitive to low-frequency sounds and that this sensitivity is not directly linked to sound pressure but to particle motion detection </w:t>
      </w:r>
      <w:r w:rsidRPr="00A3691E">
        <w:rPr>
          <w:rFonts w:cs="Arial"/>
          <w:sz w:val="22"/>
          <w:szCs w:val="22"/>
        </w:rPr>
        <w:fldChar w:fldCharType="begin">
          <w:fldData xml:space="preserve">PEVuZE5vdGU+PENpdGU+PEF1dGhvcj5BbmRyw6k8L0F1dGhvcj48WWVhcj4yMDE2PC9ZZWFyPjxS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</w:fldData>
        </w:fldChar>
      </w:r>
      <w:r w:rsidRPr="00A3691E">
        <w:rPr>
          <w:rFonts w:cs="Arial"/>
          <w:sz w:val="22"/>
          <w:szCs w:val="22"/>
        </w:rPr>
        <w:instrText xml:space="preserve"> ADDIN EN.CITE </w:instrText>
      </w:r>
      <w:r w:rsidRPr="00A3691E">
        <w:rPr>
          <w:rFonts w:cs="Arial"/>
          <w:sz w:val="22"/>
          <w:szCs w:val="22"/>
        </w:rPr>
        <w:fldChar w:fldCharType="begin">
          <w:fldData xml:space="preserve">PEVuZE5vdGU+PENpdGU+PEF1dGhvcj5BbmRyw6k8L0F1dGhvcj48WWVhcj4yMDE2PC9ZZWFyPjxS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</w:fldData>
        </w:fldChar>
      </w:r>
      <w:r w:rsidRPr="00A3691E">
        <w:rPr>
          <w:rFonts w:cs="Arial"/>
          <w:sz w:val="22"/>
          <w:szCs w:val="22"/>
        </w:rPr>
        <w:instrText xml:space="preserve"> ADDIN EN.CITE.DATA </w:instrText>
      </w:r>
      <w:r w:rsidRPr="00A3691E">
        <w:rPr>
          <w:rFonts w:cs="Arial"/>
          <w:sz w:val="22"/>
          <w:szCs w:val="22"/>
        </w:rPr>
      </w:r>
      <w:r w:rsidRPr="00A3691E">
        <w:rPr>
          <w:rFonts w:cs="Arial"/>
          <w:sz w:val="22"/>
          <w:szCs w:val="22"/>
        </w:rPr>
        <w:fldChar w:fldCharType="end"/>
      </w:r>
      <w:r w:rsidRPr="00A3691E">
        <w:rPr>
          <w:rFonts w:cs="Arial"/>
          <w:sz w:val="22"/>
          <w:szCs w:val="22"/>
        </w:rPr>
      </w:r>
      <w:r w:rsidRPr="00A3691E">
        <w:rPr>
          <w:rFonts w:cs="Arial"/>
          <w:sz w:val="22"/>
          <w:szCs w:val="22"/>
        </w:rPr>
        <w:fldChar w:fldCharType="separate"/>
      </w:r>
      <w:r w:rsidRPr="00A3691E">
        <w:rPr>
          <w:rFonts w:cs="Arial"/>
          <w:sz w:val="22"/>
          <w:szCs w:val="22"/>
        </w:rPr>
        <w:t xml:space="preserve">(André </w:t>
      </w:r>
      <w:r w:rsidRPr="00DA6279">
        <w:rPr>
          <w:rFonts w:cs="Arial"/>
          <w:i/>
          <w:sz w:val="22"/>
          <w:szCs w:val="22"/>
        </w:rPr>
        <w:t>et al</w:t>
      </w:r>
      <w:r w:rsidRPr="00A3691E">
        <w:rPr>
          <w:rFonts w:cs="Arial"/>
          <w:sz w:val="22"/>
          <w:szCs w:val="22"/>
        </w:rPr>
        <w:t>.</w:t>
      </w:r>
      <w:r w:rsidR="00DA6279">
        <w:rPr>
          <w:rFonts w:cs="Arial"/>
          <w:sz w:val="22"/>
          <w:szCs w:val="22"/>
        </w:rPr>
        <w:t>,</w:t>
      </w:r>
      <w:r w:rsidRPr="00A3691E">
        <w:rPr>
          <w:rFonts w:cs="Arial"/>
          <w:sz w:val="22"/>
          <w:szCs w:val="22"/>
        </w:rPr>
        <w:t xml:space="preserve"> 2016</w:t>
      </w:r>
      <w:r w:rsidR="00DA6279">
        <w:rPr>
          <w:rFonts w:cs="Arial"/>
          <w:sz w:val="22"/>
          <w:szCs w:val="22"/>
        </w:rPr>
        <w:t>;</w:t>
      </w:r>
      <w:r w:rsidRPr="00A3691E">
        <w:rPr>
          <w:rFonts w:cs="Arial"/>
          <w:sz w:val="22"/>
          <w:szCs w:val="22"/>
        </w:rPr>
        <w:t xml:space="preserve"> Edmonds </w:t>
      </w:r>
      <w:r w:rsidRPr="00DA6279">
        <w:rPr>
          <w:rFonts w:cs="Arial"/>
          <w:i/>
          <w:sz w:val="22"/>
          <w:szCs w:val="22"/>
        </w:rPr>
        <w:t>et al</w:t>
      </w:r>
      <w:r w:rsidRPr="00A3691E">
        <w:rPr>
          <w:rFonts w:cs="Arial"/>
          <w:sz w:val="22"/>
          <w:szCs w:val="22"/>
        </w:rPr>
        <w:t>.</w:t>
      </w:r>
      <w:r w:rsidR="00DA6279">
        <w:rPr>
          <w:rFonts w:cs="Arial"/>
          <w:sz w:val="22"/>
          <w:szCs w:val="22"/>
        </w:rPr>
        <w:t>,</w:t>
      </w:r>
      <w:r w:rsidRPr="00A3691E">
        <w:rPr>
          <w:rFonts w:cs="Arial"/>
          <w:sz w:val="22"/>
          <w:szCs w:val="22"/>
        </w:rPr>
        <w:t xml:space="preserve"> 2016</w:t>
      </w:r>
      <w:r w:rsidR="00DA6279">
        <w:rPr>
          <w:rFonts w:cs="Arial"/>
          <w:sz w:val="22"/>
          <w:szCs w:val="22"/>
        </w:rPr>
        <w:t>;</w:t>
      </w:r>
      <w:r w:rsidRPr="00A3691E">
        <w:rPr>
          <w:rFonts w:cs="Arial"/>
          <w:sz w:val="22"/>
          <w:szCs w:val="22"/>
        </w:rPr>
        <w:t xml:space="preserve"> Roberts and Breithaupt</w:t>
      </w:r>
      <w:r w:rsidR="00DA6279">
        <w:rPr>
          <w:rFonts w:cs="Arial"/>
          <w:sz w:val="22"/>
          <w:szCs w:val="22"/>
        </w:rPr>
        <w:t>,</w:t>
      </w:r>
      <w:r w:rsidRPr="00A3691E">
        <w:rPr>
          <w:rFonts w:cs="Arial"/>
          <w:sz w:val="22"/>
          <w:szCs w:val="22"/>
        </w:rPr>
        <w:t xml:space="preserve"> 2016)</w:t>
      </w:r>
      <w:r w:rsidRPr="00A3691E">
        <w:rPr>
          <w:rFonts w:cs="Arial"/>
          <w:sz w:val="22"/>
          <w:szCs w:val="22"/>
        </w:rPr>
        <w:fldChar w:fldCharType="end"/>
      </w:r>
      <w:r w:rsidRPr="00A3691E">
        <w:rPr>
          <w:rFonts w:cs="Arial"/>
          <w:sz w:val="22"/>
          <w:szCs w:val="22"/>
        </w:rPr>
        <w:t xml:space="preserve">. </w:t>
      </w:r>
    </w:p>
    <w:p w14:paraId="5DAFE481" w14:textId="77777777" w:rsidR="00A3691E" w:rsidRPr="00A3691E" w:rsidRDefault="00A3691E" w:rsidP="00A3691E">
      <w:pPr>
        <w:ind w:left="0"/>
        <w:rPr>
          <w:rFonts w:cs="Arial"/>
          <w:sz w:val="22"/>
          <w:szCs w:val="22"/>
        </w:rPr>
      </w:pPr>
    </w:p>
    <w:p w14:paraId="40DEB73B" w14:textId="3EE2538A" w:rsidR="00A3691E" w:rsidRDefault="00A3691E" w:rsidP="00A3691E">
      <w:pPr>
        <w:ind w:left="0"/>
        <w:rPr>
          <w:rFonts w:cs="Arial"/>
          <w:sz w:val="22"/>
          <w:szCs w:val="22"/>
        </w:rPr>
      </w:pPr>
      <w:r w:rsidRPr="00A3691E">
        <w:rPr>
          <w:rFonts w:cs="Arial"/>
          <w:sz w:val="22"/>
          <w:szCs w:val="22"/>
        </w:rPr>
        <w:t xml:space="preserve">There has recently been a number of comprehensive reviews of seismic noise impacts to invertebrates </w:t>
      </w:r>
      <w:r w:rsidRPr="00A3691E">
        <w:rPr>
          <w:rFonts w:cs="Arial"/>
          <w:sz w:val="22"/>
          <w:szCs w:val="22"/>
        </w:rPr>
        <w:fldChar w:fldCharType="begin"/>
      </w:r>
      <w:r w:rsidRPr="00A3691E">
        <w:rPr>
          <w:rFonts w:cs="Arial"/>
          <w:sz w:val="22"/>
          <w:szCs w:val="22"/>
        </w:rPr>
        <w:instrText xml:space="preserve"> ADDIN EN.CITE &lt;EndNote&gt;&lt;Cite&gt;&lt;Author&gt;de Soto&lt;/Author&gt;&lt;Year&gt;2016&lt;/Year&gt;&lt;RecNum&gt;23258&lt;/RecNum&gt;&lt;DisplayText&gt;(de Soto 2016)&lt;/DisplayText&gt;&lt;record&gt;&lt;rec-number&gt;23258&lt;/rec-number&gt;&lt;foreign-keys&gt;&lt;key app="EN" db-id="avrwfx0posesv7e0p5ixzsx0ssp0v09v222p" timestamp="1461004592"&gt;23258&lt;/key&gt;&lt;/foreign-keys&gt;&lt;ref-type name="Journal Article"&gt;17&lt;/ref-type&gt;&lt;contributors&gt;&lt;authors&gt;&lt;author&gt;de Soto, N. A.&lt;/author&gt;&lt;/authors&gt;&lt;/contributors&gt;&lt;auth-address&gt;Department of Animal Biology, Biodiversity, Marine Ecology, and Conservation (BIOECOMAC), University of La Laguna, Tenerife, Canary Islands, Spain. naguilar@ull.es.&amp;#xD;Sea Mammal Research Unit (SMRU), University of St. Andrews, St. Andrews, Fife, KY16 8LB, UK. naguilar@ull.es.&lt;/auth-address&gt;&lt;titles&gt;&lt;title&gt;Peer-reviewed studies on the effects of anthropogenic noise on marine invertebrates: From scallop larvae to giant squid&lt;/title&gt;&lt;secondary-title&gt;Adv Exp Med Biol&lt;/secondary-title&gt;&lt;alt-title&gt;Advances in experimental medicine and biology&lt;/alt-title&gt;&lt;/titles&gt;&lt;periodical&gt;&lt;full-title&gt;Advances in Experimental Medicine and Biology&lt;/full-title&gt;&lt;abbr-1&gt;Adv Exp Med Biol&lt;/abbr-1&gt;&lt;abbr-2&gt;Adv. Exp. Med. Biol.&lt;/abbr-2&gt;&lt;/periodical&gt;&lt;alt-periodical&gt;&lt;full-title&gt;Advances in Experimental Medicine and Biology&lt;/full-title&gt;&lt;abbr-1&gt;Adv Exp Med Biol&lt;/abbr-1&gt;&lt;abbr-2&gt;Adv. Exp. Med. Biol.&lt;/abbr-2&gt;&lt;/alt-periodical&gt;&lt;pages&gt;17-26&lt;/pages&gt;&lt;volume&gt;875&lt;/volume&gt;&lt;edition&gt;2015/11/28&lt;/edition&gt;&lt;keywords&gt;&lt;keyword&gt;Larval development&lt;/keyword&gt;&lt;keyword&gt;Seismic exploration&lt;/keyword&gt;&lt;keyword&gt;Shipping&lt;/keyword&gt;&lt;keyword&gt;Underwater noise&lt;/keyword&gt;&lt;/keywords&gt;&lt;dates&gt;&lt;year&gt;2016&lt;/year&gt;&lt;/dates&gt;&lt;isbn&gt;0065-2598 (Print)&amp;#xD;0065-2598&lt;/isbn&gt;&lt;accession-num&gt;26610940&lt;/accession-num&gt;&lt;urls&gt;&lt;/urls&gt;&lt;electronic-resource-num&gt;10.1007/978-1-4939-2981-8_3&lt;/electronic-resource-num&gt;&lt;language&gt;eng&lt;/language&gt;&lt;/record&gt;&lt;/Cite&gt;&lt;/EndNote&gt;</w:instrText>
      </w:r>
      <w:r w:rsidRPr="00A3691E">
        <w:rPr>
          <w:rFonts w:cs="Arial"/>
          <w:sz w:val="22"/>
          <w:szCs w:val="22"/>
        </w:rPr>
        <w:fldChar w:fldCharType="separate"/>
      </w:r>
      <w:r w:rsidRPr="00A3691E">
        <w:rPr>
          <w:rFonts w:cs="Arial"/>
          <w:sz w:val="22"/>
          <w:szCs w:val="22"/>
        </w:rPr>
        <w:t>(de Soto</w:t>
      </w:r>
      <w:r w:rsidR="00DA6279">
        <w:rPr>
          <w:rFonts w:cs="Arial"/>
          <w:sz w:val="22"/>
          <w:szCs w:val="22"/>
        </w:rPr>
        <w:t>,</w:t>
      </w:r>
      <w:r w:rsidRPr="00A3691E">
        <w:rPr>
          <w:rFonts w:cs="Arial"/>
          <w:sz w:val="22"/>
          <w:szCs w:val="22"/>
        </w:rPr>
        <w:t xml:space="preserve"> 2016)</w:t>
      </w:r>
      <w:r w:rsidRPr="00A3691E">
        <w:rPr>
          <w:rFonts w:cs="Arial"/>
          <w:sz w:val="22"/>
          <w:szCs w:val="22"/>
        </w:rPr>
        <w:fldChar w:fldCharType="end"/>
      </w:r>
      <w:r w:rsidRPr="00A3691E">
        <w:rPr>
          <w:rFonts w:cs="Arial"/>
          <w:sz w:val="22"/>
          <w:szCs w:val="22"/>
        </w:rPr>
        <w:t xml:space="preserve">, including </w:t>
      </w:r>
      <w:r w:rsidRPr="00A3691E">
        <w:rPr>
          <w:rFonts w:cs="Arial"/>
          <w:sz w:val="22"/>
          <w:szCs w:val="22"/>
        </w:rPr>
        <w:fldChar w:fldCharType="begin"/>
      </w:r>
      <w:r w:rsidRPr="00A3691E">
        <w:rPr>
          <w:rFonts w:cs="Arial"/>
          <w:sz w:val="22"/>
          <w:szCs w:val="22"/>
        </w:rPr>
        <w:instrText xml:space="preserve"> ADDIN EN.CITE &lt;EndNote&gt;&lt;Cite AuthorYear="1"&gt;&lt;Author&gt;Carroll&lt;/Author&gt;&lt;Year&gt;2017&lt;/Year&gt;&lt;RecNum&gt;23861&lt;/RecNum&gt;&lt;DisplayText&gt;Carroll et al. (2017)&lt;/DisplayText&gt;&lt;record&gt;&lt;rec-number&gt;23861&lt;/rec-number&gt;&lt;foreign-keys&gt;&lt;key app="EN" db-id="avrwfx0posesv7e0p5ixzsx0ssp0v09v222p" timestamp="1484170114"&gt;23861&lt;/key&gt;&lt;/foreign-keys&gt;&lt;ref-type name="Journal Article"&gt;17&lt;/ref-type&gt;&lt;contributors&gt;&lt;authors&gt;&lt;author&gt;Carroll, A.G.&lt;/author&gt;&lt;author&gt;Przeslawski, R.&lt;/author&gt;&lt;author&gt;Duncan, A.&lt;/author&gt;&lt;author&gt;Gunning, M.&lt;/author&gt;&lt;author&gt;Bruce, B.&lt;/author&gt;&lt;/authors&gt;&lt;/contributors&gt;&lt;titles&gt;&lt;title&gt;A critical review of the potential impacts of marine seismic surveys on fish &amp;amp; invertebrates&lt;/title&gt;&lt;secondary-title&gt;Marine Pollution Bulletin&lt;/secondary-title&gt;&lt;/titles&gt;&lt;periodical&gt;&lt;full-title&gt;Marine Pollution Bulletin&lt;/full-title&gt;&lt;abbr-1&gt;Mar. Pollut. Bull.&lt;/abbr-1&gt;&lt;abbr-2&gt;Mar Pollut Bull&lt;/abbr-2&gt;&lt;/periodical&gt;&lt;pages&gt;9-24&lt;/pages&gt;&lt;volume&gt;114&lt;/volume&gt;&lt;dates&gt;&lt;year&gt;2017&lt;/year&gt;&lt;/dates&gt;&lt;isbn&gt;0025-326X&lt;/isbn&gt;&lt;urls&gt;&lt;related-urls&gt;&lt;url&gt;http://www.sciencedirect.com/science/article/pii/S0025326X16309584&lt;/url&gt;&lt;/related-urls&gt;&lt;/urls&gt;&lt;electronic-resource-num&gt;http://dx.doi.org/10.1016/j.marpolbul.2016.11.038&lt;/electronic-resource-num&gt;&lt;/record&gt;&lt;/Cite&gt;&lt;/EndNote&gt;</w:instrText>
      </w:r>
      <w:r w:rsidRPr="00A3691E">
        <w:rPr>
          <w:rFonts w:cs="Arial"/>
          <w:sz w:val="22"/>
          <w:szCs w:val="22"/>
        </w:rPr>
        <w:fldChar w:fldCharType="separate"/>
      </w:r>
      <w:r w:rsidR="00DA6279">
        <w:rPr>
          <w:rFonts w:cs="Arial"/>
          <w:sz w:val="22"/>
          <w:szCs w:val="22"/>
        </w:rPr>
        <w:t>Carroll et al</w:t>
      </w:r>
      <w:r w:rsidRPr="00A3691E">
        <w:rPr>
          <w:rFonts w:cs="Arial"/>
          <w:sz w:val="22"/>
          <w:szCs w:val="22"/>
        </w:rPr>
        <w:t xml:space="preserve"> (2017)</w:t>
      </w:r>
      <w:r w:rsidRPr="00A3691E">
        <w:rPr>
          <w:rFonts w:cs="Arial"/>
          <w:sz w:val="22"/>
          <w:szCs w:val="22"/>
        </w:rPr>
        <w:fldChar w:fldCharType="end"/>
      </w:r>
      <w:r w:rsidRPr="00A3691E">
        <w:rPr>
          <w:rFonts w:cs="Arial"/>
          <w:sz w:val="22"/>
          <w:szCs w:val="22"/>
        </w:rPr>
        <w:t xml:space="preserve"> and </w:t>
      </w:r>
      <w:r>
        <w:rPr>
          <w:rFonts w:cs="Arial"/>
          <w:sz w:val="22"/>
          <w:szCs w:val="22"/>
        </w:rPr>
        <w:fldChar w:fldCharType="begin"/>
      </w:r>
      <w:r>
        <w:rPr>
          <w:rFonts w:cs="Arial"/>
          <w:sz w:val="22"/>
          <w:szCs w:val="22"/>
        </w:rPr>
        <w:instrText xml:space="preserve"> ADDIN EN.CITE &lt;EndNote&gt;&lt;Cite AuthorYear="1"&gt;&lt;Author&gt;Edmonds&lt;/Author&gt;&lt;Year&gt;2016&lt;/Year&gt;&lt;RecNum&gt;23944&lt;/RecNum&gt;&lt;DisplayText&gt;Edmonds et al. (2016)&lt;/DisplayText&gt;&lt;record&gt;&lt;rec-number&gt;23944&lt;/rec-number&gt;&lt;foreign-keys&gt;&lt;key app="EN" db-id="avrwfx0posesv7e0p5ixzsx0ssp0v09v222p" timestamp="1484770702"&gt;23944&lt;/key&gt;&lt;/foreign-keys&gt;&lt;ref-type name="Journal Article"&gt;17&lt;/ref-type&gt;&lt;contributors&gt;&lt;authors&gt;&lt;author&gt;Edmonds, Nathan J.&lt;/author&gt;&lt;author&gt;Firmin, Christopher J.&lt;/author&gt;&lt;author&gt;Goldsmith, Denise&lt;/author&gt;&lt;author&gt;Faulkner, Rebecca C.&lt;/author&gt;&lt;author&gt;Wood, Daniel T.&lt;/author&gt;&lt;/authors&gt;&lt;/contributors&gt;&lt;titles&gt;&lt;title&gt;A review of crustacean sensitivity to high amplitude underwater noise: Data needs for effective risk assessment in relation to UK commercial species&lt;/title&gt;&lt;secondary-title&gt;Marine Pollution Bulletin&lt;/secondary-title&gt;&lt;/titles&gt;&lt;periodical&gt;&lt;full-title&gt;Marine Pollution Bulletin&lt;/full-title&gt;&lt;abbr-1&gt;Mar. Pollut. Bull.&lt;/abbr-1&gt;&lt;abbr-2&gt;Mar Pollut Bull&lt;/abbr-2&gt;&lt;/periodical&gt;&lt;pages&gt;5-11&lt;/pages&gt;&lt;volume&gt;108&lt;/volume&gt;&lt;number&gt;1–2&lt;/number&gt;&lt;keywords&gt;&lt;keyword&gt;Lobster&lt;/keyword&gt;&lt;keyword&gt;Crab&lt;/keyword&gt;&lt;keyword&gt;Fisheries&lt;/keyword&gt;&lt;keyword&gt;Noise&lt;/keyword&gt;&lt;keyword&gt;Piling&lt;/keyword&gt;&lt;keyword&gt;Seismic&lt;/keyword&gt;&lt;/keywords&gt;&lt;dates&gt;&lt;year&gt;2016&lt;/year&gt;&lt;pub-dates&gt;&lt;date&gt;7/15/&lt;/date&gt;&lt;/pub-dates&gt;&lt;/dates&gt;&lt;isbn&gt;0025-326X&lt;/isbn&gt;&lt;urls&gt;&lt;related-urls&gt;&lt;url&gt;http://www.sciencedirect.com/science/article/pii/S0025326X16302892&lt;/url&gt;&lt;/related-urls&gt;&lt;/urls&gt;&lt;electronic-resource-num&gt;http://dx.doi.org/10.1016/j.marpolbul.2016.05.006&lt;/electronic-resource-num&gt;&lt;/record&gt;&lt;/Cite&gt;&lt;/EndNote&gt;</w:instrText>
      </w:r>
      <w:r>
        <w:rPr>
          <w:rFonts w:cs="Arial"/>
          <w:sz w:val="22"/>
          <w:szCs w:val="22"/>
        </w:rPr>
        <w:fldChar w:fldCharType="separate"/>
      </w:r>
      <w:r>
        <w:rPr>
          <w:rFonts w:cs="Arial"/>
          <w:sz w:val="22"/>
          <w:szCs w:val="22"/>
        </w:rPr>
        <w:t>Edmonds et al (2016)</w:t>
      </w:r>
      <w:r>
        <w:rPr>
          <w:rFonts w:cs="Arial"/>
          <w:sz w:val="22"/>
          <w:szCs w:val="22"/>
        </w:rPr>
        <w:fldChar w:fldCharType="end"/>
      </w:r>
      <w:r>
        <w:rPr>
          <w:rFonts w:cs="Arial"/>
          <w:sz w:val="22"/>
          <w:szCs w:val="22"/>
        </w:rPr>
        <w:t xml:space="preserve">, and reviews </w:t>
      </w:r>
      <w:r w:rsidR="00DA6279">
        <w:rPr>
          <w:rFonts w:cs="Arial"/>
          <w:sz w:val="22"/>
          <w:szCs w:val="22"/>
        </w:rPr>
        <w:t>that</w:t>
      </w:r>
      <w:r>
        <w:rPr>
          <w:rFonts w:cs="Arial"/>
          <w:sz w:val="22"/>
          <w:szCs w:val="22"/>
        </w:rPr>
        <w:t xml:space="preserve"> have focused generally on behavioural impacts </w:t>
      </w:r>
      <w:r>
        <w:rPr>
          <w:rFonts w:cs="Arial"/>
          <w:sz w:val="22"/>
          <w:szCs w:val="22"/>
        </w:rPr>
        <w:fldChar w:fldCharType="begin"/>
      </w:r>
      <w:r>
        <w:rPr>
          <w:rFonts w:cs="Arial"/>
          <w:sz w:val="22"/>
          <w:szCs w:val="22"/>
        </w:rPr>
        <w:instrText xml:space="preserve"> ADDIN EN.CITE &lt;EndNote&gt;&lt;Cite&gt;&lt;Author&gt;Tidau&lt;/Author&gt;&lt;Year&gt;2016&lt;/Year&gt;&lt;RecNum&gt;11&lt;/RecNum&gt;&lt;Prefix&gt;e.g. &lt;/Prefix&gt;&lt;DisplayText&gt;(e.g. Tidau and Briffa 2016)&lt;/DisplayText&gt;&lt;record&gt;&lt;rec-number&gt;11&lt;/rec-number&gt;&lt;foreign-keys&gt;&lt;key app="EN" db-id="d0d99psxt9z9e7evwf4pxzwrwtf92zr9ts20" timestamp="1498106543"&gt;11&lt;/key&gt;&lt;/foreign-keys&gt;&lt;ref-type name="Journal Article"&gt;17&lt;/ref-type&gt;&lt;contributors&gt;&lt;authors&gt;&lt;author&gt;Svenja Tidau&lt;/author&gt;&lt;author&gt;Mark Briffa&lt;/author&gt;&lt;/authors&gt;&lt;/contributors&gt;&lt;titles&gt;&lt;title&gt;Review on behavioral impacts of aquatic noise on crustaceans&lt;/title&gt;&lt;secondary-title&gt;Proceedings of Meetings on Acoustics&lt;/secondary-title&gt;&lt;/titles&gt;&lt;periodical&gt;&lt;full-title&gt;Proceedings of Meetings on Acoustics&lt;/full-title&gt;&lt;/periodical&gt;&lt;pages&gt;010028&lt;/pages&gt;&lt;volume&gt;27&lt;/volume&gt;&lt;number&gt;1&lt;/number&gt;&lt;dates&gt;&lt;year&gt;2016&lt;/year&gt;&lt;/dates&gt;&lt;urls&gt;&lt;related-urls&gt;&lt;url&gt;http://asa.scitation.org/doi/abs/10.1121/2.0000302&lt;/url&gt;&lt;/related-urls&gt;&lt;/urls&gt;&lt;electronic-resource-num&gt;10.1121/2.0000302&lt;/electronic-resource-num&gt;&lt;/record&gt;&lt;/Cite&gt;&lt;/EndNote&gt;</w:instrText>
      </w:r>
      <w:r>
        <w:rPr>
          <w:rFonts w:cs="Arial"/>
          <w:sz w:val="22"/>
          <w:szCs w:val="22"/>
        </w:rPr>
        <w:fldChar w:fldCharType="separate"/>
      </w:r>
      <w:r>
        <w:rPr>
          <w:rFonts w:cs="Arial"/>
          <w:sz w:val="22"/>
          <w:szCs w:val="22"/>
        </w:rPr>
        <w:t>(e.g.</w:t>
      </w:r>
      <w:r w:rsidR="00DA6279">
        <w:rPr>
          <w:rFonts w:cs="Arial"/>
          <w:sz w:val="22"/>
          <w:szCs w:val="22"/>
        </w:rPr>
        <w:t>,</w:t>
      </w:r>
      <w:r>
        <w:rPr>
          <w:rFonts w:cs="Arial"/>
          <w:sz w:val="22"/>
          <w:szCs w:val="22"/>
        </w:rPr>
        <w:t xml:space="preserve"> Tidau and Briffa</w:t>
      </w:r>
      <w:r w:rsidR="00DA6279">
        <w:rPr>
          <w:rFonts w:cs="Arial"/>
          <w:sz w:val="22"/>
          <w:szCs w:val="22"/>
        </w:rPr>
        <w:t>,</w:t>
      </w:r>
      <w:r>
        <w:rPr>
          <w:rFonts w:cs="Arial"/>
          <w:sz w:val="22"/>
          <w:szCs w:val="22"/>
        </w:rPr>
        <w:t xml:space="preserve"> 2016)</w:t>
      </w:r>
      <w:r>
        <w:rPr>
          <w:rFonts w:cs="Arial"/>
          <w:sz w:val="22"/>
          <w:szCs w:val="22"/>
        </w:rPr>
        <w:fldChar w:fldCharType="end"/>
      </w:r>
      <w:r>
        <w:rPr>
          <w:rFonts w:cs="Arial"/>
          <w:sz w:val="22"/>
          <w:szCs w:val="22"/>
        </w:rPr>
        <w:t>.</w:t>
      </w:r>
    </w:p>
    <w:p w14:paraId="0BAB9BB8" w14:textId="77777777" w:rsidR="00DA6279" w:rsidRDefault="00DA6279" w:rsidP="00A3691E">
      <w:pPr>
        <w:ind w:left="0"/>
        <w:rPr>
          <w:rFonts w:cs="Arial"/>
          <w:sz w:val="22"/>
          <w:szCs w:val="22"/>
        </w:rPr>
      </w:pPr>
    </w:p>
    <w:p w14:paraId="223192B3" w14:textId="7E3A7A94" w:rsidR="00DA6279" w:rsidRPr="00DA6279" w:rsidRDefault="00DA6279" w:rsidP="00DA6279">
      <w:pPr>
        <w:ind w:left="0"/>
        <w:rPr>
          <w:rFonts w:cs="Arial"/>
          <w:sz w:val="22"/>
          <w:szCs w:val="22"/>
        </w:rPr>
      </w:pPr>
      <w:r w:rsidRPr="00DA6279">
        <w:rPr>
          <w:rFonts w:cs="Arial"/>
          <w:sz w:val="22"/>
          <w:szCs w:val="22"/>
        </w:rPr>
        <w:t xml:space="preserve">Larval stages are often considered more sensitive to stressors than adult stages, but exposure to seismic sound reveals no differences in larval mortality or abundance for fish </w:t>
      </w:r>
      <w:r w:rsidRPr="00DA6279">
        <w:rPr>
          <w:rFonts w:cs="Arial"/>
          <w:sz w:val="22"/>
          <w:szCs w:val="22"/>
        </w:rPr>
        <w:fldChar w:fldCharType="begin"/>
      </w:r>
      <w:r w:rsidRPr="00DA6279">
        <w:rPr>
          <w:rFonts w:cs="Arial"/>
          <w:sz w:val="22"/>
          <w:szCs w:val="22"/>
        </w:rPr>
        <w:instrText xml:space="preserve"> ADDIN EN.CITE &lt;EndNote&gt;&lt;Cite&gt;&lt;Author&gt;Popper&lt;/Author&gt;&lt;Year&gt;2014&lt;/Year&gt;&lt;RecNum&gt;20428&lt;/RecNum&gt;&lt;DisplayText&gt;(Popper et al. 2014)&lt;/DisplayText&gt;&lt;record&gt;&lt;rec-number&gt;20428&lt;/rec-number&gt;&lt;foreign-keys&gt;&lt;key app="EN" db-id="avrwfx0posesv7e0p5ixzsx0ssp0v09v222p" timestamp="1406240774"&gt;20428&lt;/key&gt;&lt;/foreign-keys&gt;&lt;ref-type name="Book"&gt;6&lt;/ref-type&gt;&lt;contributors&gt;&lt;authors&gt;&lt;author&gt;Popper, Arthur N.&lt;/author&gt;&lt;author&gt;Hawkins, Anthony D.&lt;/author&gt;&lt;author&gt;Fay, Richard R.&lt;/author&gt;&lt;author&gt;Mann, David A.&lt;/author&gt;&lt;author&gt;Bartol, Soraya&lt;/author&gt;&lt;author&gt;Carlson, Thomas J.&lt;/author&gt;&lt;author&gt;Coombs, Sheryl&lt;/author&gt;&lt;author&gt;Ellison, William T.&lt;/author&gt;&lt;author&gt;Gentry, Roger L.&lt;/author&gt;&lt;author&gt;Halvorsen, Michele B.&lt;/author&gt;&lt;author&gt;Løkkeborg, Svein&lt;/author&gt;&lt;author&gt;Rogers, Peter H.&lt;/author&gt;&lt;author&gt;Southall, Brandon L.&lt;/author&gt;&lt;author&gt;Zeddies, David G.&lt;/author&gt;&lt;author&gt;Tavolga, William N.&lt;/author&gt;&lt;/authors&gt;&lt;tertiary-authors&gt;&lt;author&gt;Cottingham, James,&lt;/author&gt;&lt;author&gt;Deutsch, Diana&lt;/author&gt;&lt;author&gt;Hamilton, Mark&lt;/author&gt;&lt;author&gt;Hartmann, William&lt;/author&gt;&lt;author&gt;Marston, Philip&lt;/author&gt;&lt;author&gt;Pierce, Allan&lt;/author&gt;&lt;author&gt;Popper, Arthur N.&lt;/author&gt;&lt;author&gt;Ryherd, Erica&lt;/author&gt;&lt;author&gt;Megela Andrea&lt;/author&gt;&lt;author&gt;Siderius, Martin&lt;/author&gt;&lt;author&gt;Xiang, Ning&lt;/author&gt;&lt;author&gt;Yost, William&lt;/author&gt;&lt;/tertiary-authors&gt;&lt;/contributors&gt;&lt;titles&gt;&lt;title&gt;Sound Exposure Guidelines for Fishes and Sea Turtles: A Technical Report prepared by ANSI-Accredited Standards Committee S3/SC1 and registered with ANSI&lt;/title&gt;&lt;secondary-title&gt;SpringerBriefs in Oceanography&lt;/secondary-title&gt;&lt;/titles&gt;&lt;volume&gt;ASA S3/SC1.4 TR-2014&lt;/volume&gt;&lt;section&gt;87&lt;/section&gt;&lt;dates&gt;&lt;year&gt;2014&lt;/year&gt;&lt;pub-dates&gt;&lt;date&gt;April 20, 2014&lt;/date&gt;&lt;/pub-dates&gt;&lt;/dates&gt;&lt;publisher&gt;ASA Press&lt;/publisher&gt;&lt;urls&gt;&lt;/urls&gt;&lt;/record&gt;&lt;/Cite&gt;&lt;/EndNote&gt;</w:instrText>
      </w:r>
      <w:r w:rsidRPr="00DA6279">
        <w:rPr>
          <w:rFonts w:cs="Arial"/>
          <w:sz w:val="22"/>
          <w:szCs w:val="22"/>
        </w:rPr>
        <w:fldChar w:fldCharType="separate"/>
      </w:r>
      <w:r w:rsidRPr="00DA6279">
        <w:rPr>
          <w:rFonts w:cs="Arial"/>
          <w:sz w:val="22"/>
          <w:szCs w:val="22"/>
        </w:rPr>
        <w:t xml:space="preserve">(Popper </w:t>
      </w:r>
      <w:r w:rsidRPr="00DA6279">
        <w:rPr>
          <w:rFonts w:cs="Arial"/>
          <w:i/>
          <w:sz w:val="22"/>
          <w:szCs w:val="22"/>
        </w:rPr>
        <w:t>et al</w:t>
      </w:r>
      <w:r w:rsidRPr="00DA6279">
        <w:rPr>
          <w:rFonts w:cs="Arial"/>
          <w:sz w:val="22"/>
          <w:szCs w:val="22"/>
        </w:rPr>
        <w:t>.</w:t>
      </w:r>
      <w:r>
        <w:rPr>
          <w:rFonts w:cs="Arial"/>
          <w:sz w:val="22"/>
          <w:szCs w:val="22"/>
        </w:rPr>
        <w:t>,</w:t>
      </w:r>
      <w:r w:rsidRPr="00DA6279">
        <w:rPr>
          <w:rFonts w:cs="Arial"/>
          <w:sz w:val="22"/>
          <w:szCs w:val="22"/>
        </w:rPr>
        <w:t xml:space="preserve"> 2014)</w:t>
      </w:r>
      <w:r w:rsidRPr="00DA6279">
        <w:rPr>
          <w:rFonts w:cs="Arial"/>
          <w:sz w:val="22"/>
          <w:szCs w:val="22"/>
        </w:rPr>
        <w:fldChar w:fldCharType="end"/>
      </w:r>
      <w:r w:rsidRPr="00DA6279">
        <w:rPr>
          <w:rFonts w:cs="Arial"/>
          <w:sz w:val="22"/>
          <w:szCs w:val="22"/>
        </w:rPr>
        <w:t xml:space="preserve">, crabs </w:t>
      </w:r>
      <w:r w:rsidRPr="00DA6279">
        <w:rPr>
          <w:rFonts w:cs="Arial"/>
          <w:sz w:val="22"/>
          <w:szCs w:val="22"/>
        </w:rPr>
        <w:fldChar w:fldCharType="begin"/>
      </w:r>
      <w:r w:rsidRPr="00DA6279">
        <w:rPr>
          <w:rFonts w:cs="Arial"/>
          <w:sz w:val="22"/>
          <w:szCs w:val="22"/>
        </w:rPr>
        <w:instrText xml:space="preserve"> ADDIN EN.CITE &lt;EndNote&gt;&lt;Cite&gt;&lt;Author&gt;Pearson&lt;/Author&gt;&lt;Year&gt;1994&lt;/Year&gt;&lt;RecNum&gt;19288&lt;/RecNum&gt;&lt;DisplayText&gt;(Pearson et al. 1994)&lt;/DisplayText&gt;&lt;record&gt;&lt;rec-number&gt;19288&lt;/rec-number&gt;&lt;foreign-keys&gt;&lt;key app="EN" db-id="avrwfx0posesv7e0p5ixzsx0ssp0v09v222p" timestamp="1386961790"&gt;19288&lt;/key&gt;&lt;/foreign-keys&gt;&lt;ref-type name="Journal Article"&gt;17&lt;/ref-type&gt;&lt;contributors&gt;&lt;authors&gt;&lt;author&gt;Pearson, Walter H.&lt;/author&gt;&lt;author&gt;Skalski, John R.&lt;/author&gt;&lt;author&gt;Sulkin, Stephen D.&lt;/author&gt;&lt;author&gt;Malme, Charles I.&lt;/author&gt;&lt;/authors&gt;&lt;/contributors&gt;&lt;titles&gt;&lt;title&gt;Effects of seismic energy releases on the survival and development of zoeal larvae of dungeness crab (Cancer magister)&lt;/title&gt;&lt;secondary-title&gt;Marine Environmental Research&lt;/secondary-title&gt;&lt;/titles&gt;&lt;periodical&gt;&lt;full-title&gt;Marine Environmental Research&lt;/full-title&gt;&lt;abbr-1&gt;Mar. Environ. Res.&lt;/abbr-1&gt;&lt;abbr-2&gt;Mar Environ Res&lt;/abbr-2&gt;&lt;/periodical&gt;&lt;pages&gt;93-113&lt;/pages&gt;&lt;volume&gt;38&lt;/volume&gt;&lt;number&gt;2&lt;/number&gt;&lt;dates&gt;&lt;year&gt;1994&lt;/year&gt;&lt;/dates&gt;&lt;isbn&gt;0141-1136&lt;/isbn&gt;&lt;urls&gt;&lt;related-urls&gt;&lt;url&gt;http://www.sciencedirect.com/science/article/pii/0141113694900035&lt;/url&gt;&lt;/related-urls&gt;&lt;/urls&gt;&lt;electronic-resource-num&gt;10.1016/0141-1136(94)90003-5&lt;/electronic-resource-num&gt;&lt;/record&gt;&lt;/Cite&gt;&lt;/EndNote&gt;</w:instrText>
      </w:r>
      <w:r w:rsidRPr="00DA6279">
        <w:rPr>
          <w:rFonts w:cs="Arial"/>
          <w:sz w:val="22"/>
          <w:szCs w:val="22"/>
        </w:rPr>
        <w:fldChar w:fldCharType="separate"/>
      </w:r>
      <w:r w:rsidRPr="00DA6279">
        <w:rPr>
          <w:rFonts w:cs="Arial"/>
          <w:sz w:val="22"/>
          <w:szCs w:val="22"/>
        </w:rPr>
        <w:t xml:space="preserve">(Pearson </w:t>
      </w:r>
      <w:r w:rsidRPr="00DA6279">
        <w:rPr>
          <w:rFonts w:cs="Arial"/>
          <w:i/>
          <w:sz w:val="22"/>
          <w:szCs w:val="22"/>
        </w:rPr>
        <w:t>et al</w:t>
      </w:r>
      <w:r w:rsidRPr="00DA6279">
        <w:rPr>
          <w:rFonts w:cs="Arial"/>
          <w:sz w:val="22"/>
          <w:szCs w:val="22"/>
        </w:rPr>
        <w:t>.</w:t>
      </w:r>
      <w:r>
        <w:rPr>
          <w:rFonts w:cs="Arial"/>
          <w:sz w:val="22"/>
          <w:szCs w:val="22"/>
        </w:rPr>
        <w:t>,</w:t>
      </w:r>
      <w:r w:rsidRPr="00DA6279">
        <w:rPr>
          <w:rFonts w:cs="Arial"/>
          <w:sz w:val="22"/>
          <w:szCs w:val="22"/>
        </w:rPr>
        <w:t xml:space="preserve"> 1994)</w:t>
      </w:r>
      <w:r w:rsidRPr="00DA6279">
        <w:rPr>
          <w:rFonts w:cs="Arial"/>
          <w:sz w:val="22"/>
          <w:szCs w:val="22"/>
        </w:rPr>
        <w:fldChar w:fldCharType="end"/>
      </w:r>
      <w:r w:rsidRPr="00DA6279">
        <w:rPr>
          <w:rFonts w:cs="Arial"/>
          <w:sz w:val="22"/>
          <w:szCs w:val="22"/>
        </w:rPr>
        <w:t xml:space="preserve"> or scallops (Carroll </w:t>
      </w:r>
      <w:r w:rsidRPr="00DA6279">
        <w:rPr>
          <w:rFonts w:cs="Arial"/>
          <w:i/>
          <w:sz w:val="22"/>
          <w:szCs w:val="22"/>
        </w:rPr>
        <w:t>et al</w:t>
      </w:r>
      <w:r w:rsidRPr="00DA6279">
        <w:rPr>
          <w:rFonts w:cs="Arial"/>
          <w:sz w:val="22"/>
          <w:szCs w:val="22"/>
        </w:rPr>
        <w:t>.</w:t>
      </w:r>
      <w:r>
        <w:rPr>
          <w:rFonts w:cs="Arial"/>
          <w:sz w:val="22"/>
          <w:szCs w:val="22"/>
        </w:rPr>
        <w:t>,</w:t>
      </w:r>
      <w:r w:rsidRPr="00DA6279">
        <w:rPr>
          <w:rFonts w:cs="Arial"/>
          <w:sz w:val="22"/>
          <w:szCs w:val="22"/>
        </w:rPr>
        <w:t xml:space="preserve"> 201</w:t>
      </w:r>
      <w:r w:rsidR="004D795E">
        <w:rPr>
          <w:rFonts w:cs="Arial"/>
          <w:sz w:val="22"/>
          <w:szCs w:val="22"/>
        </w:rPr>
        <w:t>7</w:t>
      </w:r>
      <w:r w:rsidRPr="00DA6279">
        <w:rPr>
          <w:rFonts w:cs="Arial"/>
          <w:sz w:val="22"/>
          <w:szCs w:val="22"/>
        </w:rPr>
        <w:t>).</w:t>
      </w:r>
    </w:p>
    <w:p w14:paraId="62D596A5" w14:textId="77777777" w:rsidR="00DA6279" w:rsidRPr="00DA6279" w:rsidRDefault="00DA6279" w:rsidP="00DA6279">
      <w:pPr>
        <w:ind w:left="0"/>
        <w:rPr>
          <w:rFonts w:cs="Arial"/>
          <w:sz w:val="22"/>
          <w:szCs w:val="22"/>
        </w:rPr>
      </w:pPr>
    </w:p>
    <w:p w14:paraId="3A793C03" w14:textId="04B94AAC" w:rsidR="00996A40" w:rsidRPr="006D73D0" w:rsidRDefault="00996A40" w:rsidP="00996A40">
      <w:pPr>
        <w:ind w:left="0"/>
        <w:rPr>
          <w:rFonts w:cs="Arial"/>
          <w:sz w:val="22"/>
          <w:szCs w:val="22"/>
        </w:rPr>
      </w:pPr>
      <w:r w:rsidRPr="006D73D0">
        <w:rPr>
          <w:rFonts w:cs="Arial"/>
          <w:sz w:val="22"/>
          <w:szCs w:val="22"/>
        </w:rPr>
        <w:t xml:space="preserve">Marine invertebrates generally have far lower mobility than pelagic vertebrates and are often localised to particular microhabitats. As such, they generally have less ability to avoid seismic sound by moving away from an area. The exception to this are cephalopods that are very mobile and </w:t>
      </w:r>
      <w:r w:rsidR="001C4170">
        <w:rPr>
          <w:rFonts w:cs="Arial"/>
          <w:sz w:val="22"/>
          <w:szCs w:val="22"/>
        </w:rPr>
        <w:t xml:space="preserve">have the ability </w:t>
      </w:r>
      <w:r w:rsidRPr="006D73D0">
        <w:rPr>
          <w:rFonts w:cs="Arial"/>
          <w:sz w:val="22"/>
          <w:szCs w:val="22"/>
        </w:rPr>
        <w:t>to move away from areas where sound levels might have the capacity to cause physiological damage.</w:t>
      </w:r>
    </w:p>
    <w:p w14:paraId="44D8AA5A" w14:textId="77777777" w:rsidR="00DA6279" w:rsidRDefault="00DA6279" w:rsidP="00A3691E">
      <w:pPr>
        <w:ind w:left="0"/>
        <w:rPr>
          <w:rFonts w:cs="Arial"/>
          <w:sz w:val="22"/>
          <w:szCs w:val="22"/>
        </w:rPr>
      </w:pPr>
    </w:p>
    <w:p w14:paraId="4962ECA8" w14:textId="65C975D2" w:rsidR="001252F5" w:rsidRPr="006D73D0" w:rsidRDefault="00B76145" w:rsidP="009162E9">
      <w:pPr>
        <w:ind w:left="0"/>
        <w:rPr>
          <w:rFonts w:cs="Arial"/>
          <w:sz w:val="22"/>
          <w:szCs w:val="22"/>
        </w:rPr>
      </w:pPr>
      <w:r w:rsidRPr="006D73D0">
        <w:rPr>
          <w:rFonts w:cs="Arial"/>
          <w:sz w:val="22"/>
          <w:szCs w:val="22"/>
        </w:rPr>
        <w:t xml:space="preserve">There is, however, no evidence of population level impacts on invertebrates from seismic noise. McCauley et al (2000) extensively reviewed seismic surveys and their effects on marine life, reporting that the amount of exposure to air gun signals for the larvae of a given invertebrate species will depend upon its abundance, spatial distribution, depth distribution, seasonal timing and the persistence of seismic surveys in the region where it occurs. McCauley et al (2000) concluded that a single seismic survey has a negligible impact on larval supply by comparisons with the size </w:t>
      </w:r>
      <w:r w:rsidRPr="006D73D0">
        <w:rPr>
          <w:rFonts w:cs="Arial"/>
          <w:sz w:val="22"/>
          <w:szCs w:val="22"/>
        </w:rPr>
        <w:lastRenderedPageBreak/>
        <w:t>of the larval populations involved.</w:t>
      </w:r>
      <w:r w:rsidR="001252F5" w:rsidRPr="006D73D0">
        <w:rPr>
          <w:rFonts w:cs="Arial"/>
          <w:sz w:val="22"/>
          <w:szCs w:val="22"/>
        </w:rPr>
        <w:t xml:space="preserve"> </w:t>
      </w:r>
      <w:r w:rsidR="0011255B">
        <w:rPr>
          <w:rFonts w:cs="Arial"/>
          <w:sz w:val="22"/>
          <w:szCs w:val="22"/>
        </w:rPr>
        <w:t xml:space="preserve">This has been supported by the conclusions of Day et al (2016a) and </w:t>
      </w:r>
      <w:r w:rsidR="001252F5" w:rsidRPr="006D73D0">
        <w:rPr>
          <w:rFonts w:cs="Arial"/>
          <w:sz w:val="22"/>
          <w:szCs w:val="22"/>
        </w:rPr>
        <w:t>Przeslawski et al (2016</w:t>
      </w:r>
      <w:r w:rsidR="00BE3C1A">
        <w:rPr>
          <w:rFonts w:cs="Arial"/>
          <w:sz w:val="22"/>
          <w:szCs w:val="22"/>
        </w:rPr>
        <w:t>b</w:t>
      </w:r>
      <w:r w:rsidR="001252F5" w:rsidRPr="006D73D0">
        <w:rPr>
          <w:rFonts w:cs="Arial"/>
          <w:sz w:val="22"/>
          <w:szCs w:val="22"/>
        </w:rPr>
        <w:t>)</w:t>
      </w:r>
      <w:r w:rsidR="0011255B">
        <w:rPr>
          <w:rFonts w:cs="Arial"/>
          <w:sz w:val="22"/>
          <w:szCs w:val="22"/>
        </w:rPr>
        <w:t xml:space="preserve">. </w:t>
      </w:r>
      <w:r w:rsidR="0011255B" w:rsidRPr="006D73D0">
        <w:rPr>
          <w:rFonts w:cs="Arial"/>
          <w:sz w:val="22"/>
          <w:szCs w:val="22"/>
        </w:rPr>
        <w:t>Przeslawski et al (2016</w:t>
      </w:r>
      <w:r w:rsidR="00BE3C1A">
        <w:rPr>
          <w:rFonts w:cs="Arial"/>
          <w:sz w:val="22"/>
          <w:szCs w:val="22"/>
        </w:rPr>
        <w:t>b</w:t>
      </w:r>
      <w:r w:rsidR="0011255B" w:rsidRPr="006D73D0">
        <w:rPr>
          <w:rFonts w:cs="Arial"/>
          <w:sz w:val="22"/>
          <w:szCs w:val="22"/>
        </w:rPr>
        <w:t>)</w:t>
      </w:r>
      <w:r w:rsidR="0011255B">
        <w:rPr>
          <w:rFonts w:cs="Arial"/>
          <w:sz w:val="22"/>
          <w:szCs w:val="22"/>
        </w:rPr>
        <w:t xml:space="preserve"> also </w:t>
      </w:r>
      <w:r w:rsidR="001252F5" w:rsidRPr="006D73D0">
        <w:rPr>
          <w:rFonts w:cs="Arial"/>
          <w:sz w:val="22"/>
          <w:szCs w:val="22"/>
        </w:rPr>
        <w:t>note that various studies conducted in the 2000s detected no significant differences to marine invertebrates between sites exposed to seismic operations and those not exposed.</w:t>
      </w:r>
    </w:p>
    <w:p w14:paraId="731DBA1A" w14:textId="77777777" w:rsidR="001252F5" w:rsidRPr="006D73D0" w:rsidRDefault="001252F5" w:rsidP="009162E9">
      <w:pPr>
        <w:ind w:left="0"/>
        <w:rPr>
          <w:rFonts w:cs="Arial"/>
          <w:sz w:val="22"/>
          <w:szCs w:val="22"/>
        </w:rPr>
      </w:pPr>
    </w:p>
    <w:p w14:paraId="4A26DD9A" w14:textId="201B53BF" w:rsidR="00C77A1D" w:rsidRDefault="007E3F17" w:rsidP="009162E9">
      <w:pPr>
        <w:ind w:left="0"/>
        <w:rPr>
          <w:rFonts w:cs="Arial"/>
          <w:sz w:val="22"/>
          <w:szCs w:val="22"/>
        </w:rPr>
      </w:pPr>
      <w:r w:rsidRPr="00B77BDC">
        <w:rPr>
          <w:rFonts w:cs="Arial"/>
          <w:sz w:val="22"/>
          <w:szCs w:val="22"/>
        </w:rPr>
        <w:t xml:space="preserve">A summary of the potential impacts of low-frequency sound on various responses of marine invertebrates is presented in </w:t>
      </w:r>
      <w:r w:rsidRPr="00EF4E2A">
        <w:rPr>
          <w:rFonts w:cs="Arial"/>
          <w:sz w:val="22"/>
          <w:szCs w:val="22"/>
        </w:rPr>
        <w:t>Figure 7.</w:t>
      </w:r>
      <w:r w:rsidR="00B75C22" w:rsidRPr="00EF4E2A">
        <w:rPr>
          <w:rFonts w:cs="Arial"/>
          <w:sz w:val="22"/>
          <w:szCs w:val="22"/>
        </w:rPr>
        <w:t>6</w:t>
      </w:r>
      <w:r w:rsidRPr="00EF4E2A">
        <w:rPr>
          <w:rFonts w:cs="Arial"/>
          <w:sz w:val="22"/>
          <w:szCs w:val="22"/>
        </w:rPr>
        <w:t xml:space="preserve"> (from</w:t>
      </w:r>
      <w:r w:rsidRPr="00B77BDC">
        <w:rPr>
          <w:rFonts w:cs="Arial"/>
          <w:sz w:val="22"/>
          <w:szCs w:val="22"/>
        </w:rPr>
        <w:t xml:space="preserve"> </w:t>
      </w:r>
      <w:r w:rsidR="00B75C22">
        <w:rPr>
          <w:rFonts w:cs="Arial"/>
          <w:sz w:val="22"/>
          <w:szCs w:val="22"/>
        </w:rPr>
        <w:t xml:space="preserve">Carroll </w:t>
      </w:r>
      <w:r w:rsidRPr="00B77BDC">
        <w:rPr>
          <w:rFonts w:cs="Arial"/>
          <w:i/>
          <w:sz w:val="22"/>
          <w:szCs w:val="22"/>
        </w:rPr>
        <w:t>et al</w:t>
      </w:r>
      <w:r w:rsidRPr="00B77BDC">
        <w:rPr>
          <w:rFonts w:cs="Arial"/>
          <w:sz w:val="22"/>
          <w:szCs w:val="22"/>
        </w:rPr>
        <w:t>., 201</w:t>
      </w:r>
      <w:r w:rsidR="00B75C22">
        <w:rPr>
          <w:rFonts w:cs="Arial"/>
          <w:sz w:val="22"/>
          <w:szCs w:val="22"/>
        </w:rPr>
        <w:t>7</w:t>
      </w:r>
      <w:r w:rsidR="00BA3FBD">
        <w:rPr>
          <w:rFonts w:cs="Arial"/>
          <w:sz w:val="22"/>
          <w:szCs w:val="22"/>
        </w:rPr>
        <w:t>).</w:t>
      </w:r>
    </w:p>
    <w:p w14:paraId="3B49AAC1" w14:textId="4B38742B" w:rsidR="007E3F17" w:rsidRPr="00FB2A23" w:rsidRDefault="00FC79B0" w:rsidP="007E3F17">
      <w:pPr>
        <w:spacing w:after="120"/>
        <w:ind w:left="0"/>
        <w:rPr>
          <w:rFonts w:cs="Arial"/>
          <w:sz w:val="22"/>
          <w:szCs w:val="22"/>
          <w:u w:val="single"/>
        </w:rPr>
      </w:pPr>
      <w:r w:rsidRPr="00FC79B0" w:rsidDel="00237272">
        <w:rPr>
          <w:rFonts w:cs="Arial"/>
          <w:sz w:val="22"/>
          <w:szCs w:val="22"/>
        </w:rPr>
        <w:t xml:space="preserve"> </w:t>
      </w:r>
      <w:r w:rsidR="00594614">
        <w:rPr>
          <w:rFonts w:cs="Arial"/>
          <w:sz w:val="22"/>
          <w:szCs w:val="22"/>
          <w:u w:val="single"/>
        </w:rPr>
        <w:t xml:space="preserve">Research results </w:t>
      </w:r>
      <w:r w:rsidR="00237272">
        <w:rPr>
          <w:rFonts w:cs="Arial"/>
          <w:sz w:val="22"/>
          <w:szCs w:val="22"/>
          <w:u w:val="single"/>
        </w:rPr>
        <w:t>–</w:t>
      </w:r>
      <w:r w:rsidR="00594614">
        <w:rPr>
          <w:rFonts w:cs="Arial"/>
          <w:sz w:val="22"/>
          <w:szCs w:val="22"/>
          <w:u w:val="single"/>
        </w:rPr>
        <w:t xml:space="preserve"> m</w:t>
      </w:r>
      <w:r w:rsidR="007E3F17" w:rsidRPr="00FB2A23">
        <w:rPr>
          <w:rFonts w:cs="Arial"/>
          <w:sz w:val="22"/>
          <w:szCs w:val="22"/>
          <w:u w:val="single"/>
        </w:rPr>
        <w:t>olluscs</w:t>
      </w:r>
      <w:r w:rsidR="00237272">
        <w:rPr>
          <w:rFonts w:cs="Arial"/>
          <w:sz w:val="22"/>
          <w:szCs w:val="22"/>
          <w:u w:val="single"/>
        </w:rPr>
        <w:t xml:space="preserve"> (including scallops)</w:t>
      </w:r>
    </w:p>
    <w:p w14:paraId="12B5810A" w14:textId="264162CA" w:rsidR="006561E8" w:rsidRPr="00891DE1" w:rsidRDefault="006561E8" w:rsidP="00891DE1">
      <w:pPr>
        <w:ind w:left="0"/>
        <w:rPr>
          <w:rFonts w:cs="Arial"/>
          <w:sz w:val="22"/>
          <w:szCs w:val="22"/>
        </w:rPr>
      </w:pPr>
      <w:r w:rsidRPr="006D73D0">
        <w:rPr>
          <w:rFonts w:cs="Arial"/>
          <w:sz w:val="22"/>
          <w:szCs w:val="22"/>
        </w:rPr>
        <w:t>This section assesses impacts to</w:t>
      </w:r>
      <w:r>
        <w:rPr>
          <w:rFonts w:cs="Arial"/>
          <w:sz w:val="22"/>
          <w:szCs w:val="22"/>
        </w:rPr>
        <w:t xml:space="preserve"> m</w:t>
      </w:r>
      <w:r w:rsidRPr="00891DE1">
        <w:rPr>
          <w:rFonts w:cs="Arial"/>
          <w:sz w:val="22"/>
          <w:szCs w:val="22"/>
        </w:rPr>
        <w:t>olluscs</w:t>
      </w:r>
      <w:r w:rsidR="00EA2FC8">
        <w:rPr>
          <w:rFonts w:cs="Arial"/>
          <w:sz w:val="22"/>
          <w:szCs w:val="22"/>
        </w:rPr>
        <w:t xml:space="preserve">, which </w:t>
      </w:r>
      <w:r w:rsidRPr="00891DE1">
        <w:rPr>
          <w:rFonts w:cs="Arial"/>
          <w:sz w:val="22"/>
          <w:szCs w:val="22"/>
        </w:rPr>
        <w:t>belong to the Mollusca phylum</w:t>
      </w:r>
      <w:r w:rsidR="00EA2FC8">
        <w:rPr>
          <w:rFonts w:cs="Arial"/>
          <w:sz w:val="22"/>
          <w:szCs w:val="22"/>
        </w:rPr>
        <w:t>. M</w:t>
      </w:r>
      <w:r w:rsidRPr="00891DE1">
        <w:rPr>
          <w:rFonts w:cs="Arial"/>
          <w:sz w:val="22"/>
          <w:szCs w:val="22"/>
        </w:rPr>
        <w:t>olluscs are distinguished by three features, these being the presence of a mantle (a cavity used for breathing and excretion), a radula (a ‘rasping’ tongue, except for bivalves) and the structure of the nervous system. Molluscs include scallops, abalone, oysters, clams, mussels, limpets, squids, octopus and cuttlefish.</w:t>
      </w:r>
    </w:p>
    <w:p w14:paraId="1CA42EB5" w14:textId="77777777" w:rsidR="006561E8" w:rsidRDefault="006561E8" w:rsidP="00DC7ED7">
      <w:pPr>
        <w:ind w:left="0"/>
        <w:rPr>
          <w:rFonts w:cs="Arial"/>
          <w:sz w:val="22"/>
          <w:szCs w:val="22"/>
        </w:rPr>
      </w:pPr>
    </w:p>
    <w:p w14:paraId="14288BB4" w14:textId="5C4EFCDA" w:rsidR="00DC7ED7" w:rsidRPr="00FB2A23" w:rsidRDefault="00B76145" w:rsidP="00DC7ED7">
      <w:pPr>
        <w:ind w:left="0"/>
        <w:rPr>
          <w:rFonts w:cs="Arial"/>
          <w:sz w:val="22"/>
          <w:szCs w:val="22"/>
        </w:rPr>
      </w:pPr>
      <w:r w:rsidRPr="00FB2A23">
        <w:rPr>
          <w:rFonts w:cs="Arial"/>
          <w:sz w:val="22"/>
          <w:szCs w:val="22"/>
        </w:rPr>
        <w:t xml:space="preserve">The potential impacts of </w:t>
      </w:r>
      <w:r w:rsidR="006A4058" w:rsidRPr="00FB2A23">
        <w:rPr>
          <w:rFonts w:cs="Arial"/>
          <w:sz w:val="22"/>
          <w:szCs w:val="22"/>
        </w:rPr>
        <w:t xml:space="preserve">seismic </w:t>
      </w:r>
      <w:r w:rsidRPr="00FB2A23">
        <w:rPr>
          <w:rFonts w:cs="Arial"/>
          <w:sz w:val="22"/>
          <w:szCs w:val="22"/>
        </w:rPr>
        <w:t>sound on molluscs</w:t>
      </w:r>
      <w:r w:rsidR="006A4058" w:rsidRPr="00FB2A23">
        <w:rPr>
          <w:rFonts w:cs="Arial"/>
          <w:sz w:val="22"/>
          <w:szCs w:val="22"/>
        </w:rPr>
        <w:t xml:space="preserve"> has not, until very recently,</w:t>
      </w:r>
      <w:r w:rsidRPr="00FB2A23">
        <w:rPr>
          <w:rFonts w:cs="Arial"/>
          <w:sz w:val="22"/>
          <w:szCs w:val="22"/>
        </w:rPr>
        <w:t xml:space="preserve"> </w:t>
      </w:r>
      <w:r w:rsidR="006A4058" w:rsidRPr="00FB2A23">
        <w:rPr>
          <w:rFonts w:cs="Arial"/>
          <w:sz w:val="22"/>
          <w:szCs w:val="22"/>
        </w:rPr>
        <w:t xml:space="preserve">been </w:t>
      </w:r>
      <w:r w:rsidRPr="00FB2A23">
        <w:rPr>
          <w:rFonts w:cs="Arial"/>
          <w:sz w:val="22"/>
          <w:szCs w:val="22"/>
        </w:rPr>
        <w:t xml:space="preserve">well studied. </w:t>
      </w:r>
    </w:p>
    <w:p w14:paraId="728426D8" w14:textId="77777777" w:rsidR="00B76145" w:rsidRPr="00FB2A23" w:rsidRDefault="00B76145" w:rsidP="00DC7ED7">
      <w:pPr>
        <w:ind w:left="0"/>
        <w:rPr>
          <w:rFonts w:cs="Arial"/>
          <w:sz w:val="22"/>
          <w:szCs w:val="22"/>
        </w:rPr>
      </w:pPr>
      <w:r w:rsidRPr="00FB2A23">
        <w:rPr>
          <w:rFonts w:cs="Arial"/>
          <w:sz w:val="22"/>
          <w:szCs w:val="22"/>
        </w:rPr>
        <w:t xml:space="preserve"> </w:t>
      </w:r>
    </w:p>
    <w:p w14:paraId="6B32BDC5" w14:textId="2433624D" w:rsidR="00C049F8" w:rsidRPr="00C049F8" w:rsidRDefault="00C049F8" w:rsidP="00C049F8">
      <w:pPr>
        <w:ind w:left="0"/>
        <w:rPr>
          <w:rFonts w:cs="Arial"/>
          <w:sz w:val="22"/>
          <w:szCs w:val="22"/>
        </w:rPr>
      </w:pPr>
      <w:r w:rsidRPr="00C411CB">
        <w:rPr>
          <w:rFonts w:cs="Arial"/>
          <w:sz w:val="22"/>
          <w:szCs w:val="22"/>
        </w:rPr>
        <w:t>The most recent Australian studies have focussed on the molluscs of key commercial fishing value, the Bass Strait commercial scallop (</w:t>
      </w:r>
      <w:r w:rsidRPr="00C049F8">
        <w:rPr>
          <w:rFonts w:cs="Arial"/>
          <w:i/>
          <w:sz w:val="22"/>
          <w:szCs w:val="22"/>
        </w:rPr>
        <w:t>Pecten fumatus</w:t>
      </w:r>
      <w:r w:rsidRPr="00C411CB">
        <w:rPr>
          <w:rFonts w:cs="Arial"/>
          <w:sz w:val="22"/>
          <w:szCs w:val="22"/>
        </w:rPr>
        <w:t>). This has included g</w:t>
      </w:r>
      <w:r w:rsidRPr="00C049F8">
        <w:rPr>
          <w:rFonts w:cs="Arial"/>
          <w:sz w:val="22"/>
          <w:szCs w:val="22"/>
        </w:rPr>
        <w:t xml:space="preserve">rey literature studies conducted by </w:t>
      </w:r>
      <w:r w:rsidRPr="00C049F8">
        <w:rPr>
          <w:rFonts w:cs="Arial"/>
          <w:sz w:val="22"/>
          <w:szCs w:val="22"/>
        </w:rPr>
        <w:fldChar w:fldCharType="begin"/>
      </w:r>
      <w:r w:rsidRPr="00C049F8">
        <w:rPr>
          <w:rFonts w:cs="Arial"/>
          <w:sz w:val="22"/>
          <w:szCs w:val="22"/>
        </w:rPr>
        <w:instrText xml:space="preserve"> ADDIN EN.CITE &lt;EndNote&gt;&lt;Cite AuthorYear="1"&gt;&lt;Author&gt;Parry&lt;/Author&gt;&lt;Year&gt;2002&lt;/Year&gt;&lt;RecNum&gt;23869&lt;/RecNum&gt;&lt;DisplayText&gt;Parry et al. (2002)&lt;/DisplayText&gt;&lt;record&gt;&lt;rec-number&gt;23869&lt;/rec-number&gt;&lt;foreign-keys&gt;&lt;key app="EN" db-id="avrwfx0posesv7e0p5ixzsx0ssp0v09v222p" timestamp="1484170114"&gt;23869&lt;/key&gt;&lt;/foreign-keys&gt;&lt;ref-type name="Report"&gt;27&lt;/ref-type&gt;&lt;contributors&gt;&lt;authors&gt;&lt;author&gt;Parry, G.D.&lt;/author&gt;&lt;author&gt;Heislers, S.&lt;/author&gt;&lt;author&gt;Werner, G.F.&lt;/author&gt;&lt;author&gt;Asplin, M.D.&lt;/author&gt;&lt;author&gt;Gason, A.&lt;/author&gt;&lt;/authors&gt;&lt;/contributors&gt;&lt;titles&gt;&lt;title&gt;Assessment of Environmental Effects of Seismic Testing on Scallop Fisheries in Bass Strait&lt;/title&gt;&lt;/titles&gt;&lt;dates&gt;&lt;year&gt;2002&lt;/year&gt;&lt;/dates&gt;&lt;pub-location&gt;Queenscliff, Victoria&lt;/pub-location&gt;&lt;publisher&gt;Marine and Freshwater Resources Institute Report No. 50. Marine and Freshwater Institute&lt;/publisher&gt;&lt;urls&gt;&lt;/urls&gt;&lt;/record&gt;&lt;/Cite&gt;&lt;/EndNote&gt;</w:instrText>
      </w:r>
      <w:r w:rsidRPr="00C049F8">
        <w:rPr>
          <w:rFonts w:cs="Arial"/>
          <w:sz w:val="22"/>
          <w:szCs w:val="22"/>
        </w:rPr>
        <w:fldChar w:fldCharType="separate"/>
      </w:r>
      <w:r w:rsidRPr="00C049F8">
        <w:rPr>
          <w:rFonts w:cs="Arial"/>
          <w:sz w:val="22"/>
          <w:szCs w:val="22"/>
        </w:rPr>
        <w:t>Parry et al (2002)</w:t>
      </w:r>
      <w:r w:rsidRPr="00C049F8">
        <w:rPr>
          <w:rFonts w:cs="Arial"/>
          <w:sz w:val="22"/>
          <w:szCs w:val="22"/>
        </w:rPr>
        <w:fldChar w:fldCharType="end"/>
      </w:r>
      <w:r w:rsidRPr="00C049F8">
        <w:rPr>
          <w:rFonts w:cs="Arial"/>
          <w:sz w:val="22"/>
          <w:szCs w:val="22"/>
        </w:rPr>
        <w:t xml:space="preserve">, </w:t>
      </w:r>
      <w:r w:rsidRPr="00C049F8">
        <w:rPr>
          <w:rFonts w:cs="Arial"/>
          <w:sz w:val="22"/>
          <w:szCs w:val="22"/>
        </w:rPr>
        <w:fldChar w:fldCharType="begin"/>
      </w:r>
      <w:r w:rsidRPr="00C049F8">
        <w:rPr>
          <w:rFonts w:cs="Arial"/>
          <w:sz w:val="22"/>
          <w:szCs w:val="22"/>
        </w:rPr>
        <w:instrText xml:space="preserve"> ADDIN EN.CITE &lt;EndNote&gt;&lt;Cite AuthorYear="1"&gt;&lt;Author&gt;Harrington&lt;/Author&gt;&lt;Year&gt;2010&lt;/Year&gt;&lt;RecNum&gt;23807&lt;/RecNum&gt;&lt;DisplayText&gt;Harrington et al. (2010)&lt;/DisplayText&gt;&lt;record&gt;&lt;rec-number&gt;13&lt;/rec-number&gt;&lt;foreign-keys&gt;&lt;key app="EN" db-id="vf5taexr70r9wrerf2352ztoewspzvs9xvfz" timestamp="1482373754"&gt;13&lt;/key&gt;&lt;/foreign-keys&gt;&lt;ref-type name="Report"&gt;27&lt;/ref-type&gt;&lt;contributors&gt;&lt;authors&gt;&lt;author&gt;Harrington, JJ&lt;/author&gt;&lt;author&gt;McAllister, J&lt;/author&gt;&lt;author&gt;Semmens, JM  &lt;/author&gt;&lt;/authors&gt;&lt;/contributors&gt;&lt;titles&gt;&lt;title&gt;&lt;style face="normal" font="default" size="100%"&gt;Assessing the short-term impact of seismic surveys on adult commercial scallops (&lt;/style&gt;&lt;style face="italic" font="default" size="100%"&gt;Pecten fumatus&lt;/style&gt;&lt;style face="normal" font="default" size="100%"&gt;) in Bass Strait&lt;/style&gt;&lt;/title&gt;&lt;/titles&gt;&lt;dates&gt;&lt;year&gt;2010&lt;/year&gt;&lt;/dates&gt;&lt;publisher&gt;Tasmanian Aquaculture and Fisheries Institute, University of Tasmania&lt;/publisher&gt;&lt;urls&gt;&lt;/urls&gt;&lt;/record&gt;&lt;/Cite&gt;&lt;/EndNote&gt;</w:instrText>
      </w:r>
      <w:r w:rsidRPr="00C049F8">
        <w:rPr>
          <w:rFonts w:cs="Arial"/>
          <w:sz w:val="22"/>
          <w:szCs w:val="22"/>
        </w:rPr>
        <w:fldChar w:fldCharType="separate"/>
      </w:r>
      <w:r w:rsidRPr="00C049F8">
        <w:rPr>
          <w:rFonts w:cs="Arial"/>
          <w:sz w:val="22"/>
          <w:szCs w:val="22"/>
        </w:rPr>
        <w:t>Harrington et al (2010)</w:t>
      </w:r>
      <w:r w:rsidRPr="00C049F8">
        <w:rPr>
          <w:rFonts w:cs="Arial"/>
          <w:sz w:val="22"/>
          <w:szCs w:val="22"/>
        </w:rPr>
        <w:fldChar w:fldCharType="end"/>
      </w:r>
      <w:r w:rsidRPr="00C049F8">
        <w:rPr>
          <w:rFonts w:cs="Arial"/>
          <w:sz w:val="22"/>
          <w:szCs w:val="22"/>
        </w:rPr>
        <w:t xml:space="preserve">, </w:t>
      </w:r>
      <w:r>
        <w:rPr>
          <w:rFonts w:cs="Arial"/>
          <w:sz w:val="22"/>
          <w:szCs w:val="22"/>
        </w:rPr>
        <w:t>D</w:t>
      </w:r>
      <w:r w:rsidRPr="00C049F8">
        <w:rPr>
          <w:rFonts w:cs="Arial"/>
          <w:sz w:val="22"/>
          <w:szCs w:val="22"/>
        </w:rPr>
        <w:t>ay et al (2016</w:t>
      </w:r>
      <w:r w:rsidR="00C04BA8">
        <w:rPr>
          <w:rFonts w:cs="Arial"/>
          <w:sz w:val="22"/>
          <w:szCs w:val="22"/>
        </w:rPr>
        <w:t>a;b</w:t>
      </w:r>
      <w:r w:rsidRPr="00C049F8">
        <w:rPr>
          <w:rFonts w:cs="Arial"/>
          <w:sz w:val="22"/>
          <w:szCs w:val="22"/>
        </w:rPr>
        <w:t xml:space="preserve">) and </w:t>
      </w:r>
      <w:r w:rsidRPr="00C411CB">
        <w:rPr>
          <w:rFonts w:cs="Arial"/>
          <w:sz w:val="22"/>
          <w:szCs w:val="22"/>
        </w:rPr>
        <w:t xml:space="preserve">Przeslawski et al (2016a), and the summary of Przeslawski et al (2016a) in Przeslawski et al (2016b). The </w:t>
      </w:r>
      <w:r w:rsidRPr="00C049F8">
        <w:rPr>
          <w:rFonts w:cs="Arial"/>
          <w:sz w:val="22"/>
          <w:szCs w:val="22"/>
        </w:rPr>
        <w:fldChar w:fldCharType="begin"/>
      </w:r>
      <w:r w:rsidRPr="00C049F8">
        <w:rPr>
          <w:rFonts w:cs="Arial"/>
          <w:sz w:val="22"/>
          <w:szCs w:val="22"/>
        </w:rPr>
        <w:instrText xml:space="preserve"> ADDIN EN.CITE &lt;EndNote&gt;&lt;Cite AuthorYear="1"&gt;&lt;Author&gt;Parry&lt;/Author&gt;&lt;Year&gt;2002&lt;/Year&gt;&lt;RecNum&gt;23869&lt;/RecNum&gt;&lt;DisplayText&gt;Parry et al. (2002)&lt;/DisplayText&gt;&lt;record&gt;&lt;rec-number&gt;23869&lt;/rec-number&gt;&lt;foreign-keys&gt;&lt;key app="EN" db-id="avrwfx0posesv7e0p5ixzsx0ssp0v09v222p" timestamp="1484170114"&gt;23869&lt;/key&gt;&lt;/foreign-keys&gt;&lt;ref-type name="Report"&gt;27&lt;/ref-type&gt;&lt;contributors&gt;&lt;authors&gt;&lt;author&gt;Parry, G.D.&lt;/author&gt;&lt;author&gt;Heislers, S.&lt;/author&gt;&lt;author&gt;Werner, G.F.&lt;/author&gt;&lt;author&gt;Asplin, M.D.&lt;/author&gt;&lt;author&gt;Gason, A.&lt;/author&gt;&lt;/authors&gt;&lt;/contributors&gt;&lt;titles&gt;&lt;title&gt;Assessment of Environmental Effects of Seismic Testing on Scallop Fisheries in Bass Strait&lt;/title&gt;&lt;/titles&gt;&lt;dates&gt;&lt;year&gt;2002&lt;/year&gt;&lt;/dates&gt;&lt;pub-location&gt;Queenscliff, Victoria&lt;/pub-location&gt;&lt;publisher&gt;Marine and Freshwater Resources Institute Report No. 50. Marine and Freshwater Institute&lt;/publisher&gt;&lt;urls&gt;&lt;/urls&gt;&lt;/record&gt;&lt;/Cite&gt;&lt;/EndNote&gt;</w:instrText>
      </w:r>
      <w:r w:rsidRPr="00C049F8">
        <w:rPr>
          <w:rFonts w:cs="Arial"/>
          <w:sz w:val="22"/>
          <w:szCs w:val="22"/>
        </w:rPr>
        <w:fldChar w:fldCharType="separate"/>
      </w:r>
      <w:r w:rsidRPr="00C049F8">
        <w:rPr>
          <w:rFonts w:cs="Arial"/>
          <w:sz w:val="22"/>
          <w:szCs w:val="22"/>
        </w:rPr>
        <w:t>Parry et al (2002)</w:t>
      </w:r>
      <w:r w:rsidRPr="00C049F8">
        <w:rPr>
          <w:rFonts w:cs="Arial"/>
          <w:sz w:val="22"/>
          <w:szCs w:val="22"/>
        </w:rPr>
        <w:fldChar w:fldCharType="end"/>
      </w:r>
      <w:r w:rsidRPr="00C049F8">
        <w:rPr>
          <w:rFonts w:cs="Arial"/>
          <w:sz w:val="22"/>
          <w:szCs w:val="22"/>
        </w:rPr>
        <w:t xml:space="preserve"> and </w:t>
      </w:r>
      <w:r w:rsidRPr="00C049F8">
        <w:rPr>
          <w:rFonts w:cs="Arial"/>
          <w:sz w:val="22"/>
          <w:szCs w:val="22"/>
        </w:rPr>
        <w:fldChar w:fldCharType="begin"/>
      </w:r>
      <w:r w:rsidRPr="00C049F8">
        <w:rPr>
          <w:rFonts w:cs="Arial"/>
          <w:sz w:val="22"/>
          <w:szCs w:val="22"/>
        </w:rPr>
        <w:instrText xml:space="preserve"> ADDIN EN.CITE &lt;EndNote&gt;&lt;Cite AuthorYear="1"&gt;&lt;Author&gt;Harrington&lt;/Author&gt;&lt;Year&gt;2010&lt;/Year&gt;&lt;RecNum&gt;23807&lt;/RecNum&gt;&lt;DisplayText&gt;Harrington et al. (2010)&lt;/DisplayText&gt;&lt;record&gt;&lt;rec-number&gt;13&lt;/rec-number&gt;&lt;foreign-keys&gt;&lt;key app="EN" db-id="vf5taexr70r9wrerf2352ztoewspzvs9xvfz" timestamp="1482373754"&gt;13&lt;/key&gt;&lt;/foreign-keys&gt;&lt;ref-type name="Report"&gt;27&lt;/ref-type&gt;&lt;contributors&gt;&lt;authors&gt;&lt;author&gt;Harrington, JJ&lt;/author&gt;&lt;author&gt;McAllister, J&lt;/author&gt;&lt;author&gt;Semmens, JM  &lt;/author&gt;&lt;/authors&gt;&lt;/contributors&gt;&lt;titles&gt;&lt;title&gt;&lt;style face="normal" font="default" size="100%"&gt;Assessing the short-term impact of seismic surveys on adult commercial scallops (&lt;/style&gt;&lt;style face="italic" font="default" size="100%"&gt;Pecten fumatus&lt;/style&gt;&lt;style face="normal" font="default" size="100%"&gt;) in Bass Strait&lt;/style&gt;&lt;/title&gt;&lt;/titles&gt;&lt;dates&gt;&lt;year&gt;2010&lt;/year&gt;&lt;/dates&gt;&lt;publisher&gt;Tasmanian Aquaculture and Fisheries Institute, University of Tasmania&lt;/publisher&gt;&lt;urls&gt;&lt;/urls&gt;&lt;/record&gt;&lt;/Cite&gt;&lt;/EndNote&gt;</w:instrText>
      </w:r>
      <w:r w:rsidRPr="00C049F8">
        <w:rPr>
          <w:rFonts w:cs="Arial"/>
          <w:sz w:val="22"/>
          <w:szCs w:val="22"/>
        </w:rPr>
        <w:fldChar w:fldCharType="separate"/>
      </w:r>
      <w:r w:rsidRPr="00C049F8">
        <w:rPr>
          <w:rFonts w:cs="Arial"/>
          <w:sz w:val="22"/>
          <w:szCs w:val="22"/>
        </w:rPr>
        <w:t>Harrington et al (2010)</w:t>
      </w:r>
      <w:r w:rsidRPr="00C049F8">
        <w:rPr>
          <w:rFonts w:cs="Arial"/>
          <w:sz w:val="22"/>
          <w:szCs w:val="22"/>
        </w:rPr>
        <w:fldChar w:fldCharType="end"/>
      </w:r>
      <w:r w:rsidRPr="00C049F8">
        <w:rPr>
          <w:rFonts w:cs="Arial"/>
          <w:sz w:val="22"/>
          <w:szCs w:val="22"/>
        </w:rPr>
        <w:t xml:space="preserve"> studies had experimental design issues </w:t>
      </w:r>
      <w:r w:rsidRPr="00C049F8">
        <w:rPr>
          <w:rFonts w:cs="Arial"/>
          <w:sz w:val="22"/>
          <w:szCs w:val="22"/>
        </w:rPr>
        <w:fldChar w:fldCharType="begin"/>
      </w:r>
      <w:r w:rsidRPr="00C049F8">
        <w:rPr>
          <w:rFonts w:cs="Arial"/>
          <w:sz w:val="22"/>
          <w:szCs w:val="22"/>
        </w:rPr>
        <w:instrText xml:space="preserve"> ADDIN EN.CITE &lt;EndNote&gt;&lt;Cite&gt;&lt;Author&gt;Carroll&lt;/Author&gt;&lt;Year&gt;2017&lt;/Year&gt;&lt;RecNum&gt;23861&lt;/RecNum&gt;&lt;DisplayText&gt;(Carroll et al. 2017)&lt;/DisplayText&gt;&lt;record&gt;&lt;rec-number&gt;23861&lt;/rec-number&gt;&lt;foreign-keys&gt;&lt;key app="EN" db-id="avrwfx0posesv7e0p5ixzsx0ssp0v09v222p" timestamp="1484170114"&gt;23861&lt;/key&gt;&lt;/foreign-keys&gt;&lt;ref-type name="Journal Article"&gt;17&lt;/ref-type&gt;&lt;contributors&gt;&lt;authors&gt;&lt;author&gt;Carroll, A.G.&lt;/author&gt;&lt;author&gt;Przeslawski, R.&lt;/author&gt;&lt;author&gt;Duncan, A.&lt;/author&gt;&lt;author&gt;Gunning, M.&lt;/author&gt;&lt;author&gt;Bruce, B.&lt;/author&gt;&lt;/authors&gt;&lt;/contributors&gt;&lt;titles&gt;&lt;title&gt;A critical review of the potential impacts of marine seismic surveys on fish &amp;amp; invertebrates&lt;/title&gt;&lt;secondary-title&gt;Marine Pollution Bulletin&lt;/secondary-title&gt;&lt;/titles&gt;&lt;periodical&gt;&lt;full-title&gt;Marine Pollution Bulletin&lt;/full-title&gt;&lt;abbr-1&gt;Mar. Pollut. Bull.&lt;/abbr-1&gt;&lt;abbr-2&gt;Mar Pollut Bull&lt;/abbr-2&gt;&lt;/periodical&gt;&lt;pages&gt;9-24&lt;/pages&gt;&lt;volume&gt;114&lt;/volume&gt;&lt;dates&gt;&lt;year&gt;2017&lt;/year&gt;&lt;/dates&gt;&lt;isbn&gt;0025-326X&lt;/isbn&gt;&lt;urls&gt;&lt;related-urls&gt;&lt;url&gt;http://www.sciencedirect.com/science/article/pii/S0025326X16309584&lt;/url&gt;&lt;/related-urls&gt;&lt;/urls&gt;&lt;electronic-resource-num&gt;http://dx.doi.org/10.1016/j.marpolbul.2016.11.038&lt;/electronic-resource-num&gt;&lt;/record&gt;&lt;/Cite&gt;&lt;/EndNote&gt;</w:instrText>
      </w:r>
      <w:r w:rsidRPr="00C049F8">
        <w:rPr>
          <w:rFonts w:cs="Arial"/>
          <w:sz w:val="22"/>
          <w:szCs w:val="22"/>
        </w:rPr>
        <w:fldChar w:fldCharType="separate"/>
      </w:r>
      <w:r w:rsidRPr="00C049F8">
        <w:rPr>
          <w:rFonts w:cs="Arial"/>
          <w:sz w:val="22"/>
          <w:szCs w:val="22"/>
        </w:rPr>
        <w:t xml:space="preserve">(Carroll </w:t>
      </w:r>
      <w:r w:rsidRPr="00C049F8">
        <w:rPr>
          <w:rFonts w:cs="Arial"/>
          <w:i/>
          <w:sz w:val="22"/>
          <w:szCs w:val="22"/>
        </w:rPr>
        <w:t>et al.</w:t>
      </w:r>
      <w:r>
        <w:rPr>
          <w:rFonts w:cs="Arial"/>
          <w:sz w:val="22"/>
          <w:szCs w:val="22"/>
        </w:rPr>
        <w:t>,</w:t>
      </w:r>
      <w:r w:rsidRPr="00C049F8">
        <w:rPr>
          <w:rFonts w:cs="Arial"/>
          <w:sz w:val="22"/>
          <w:szCs w:val="22"/>
        </w:rPr>
        <w:t xml:space="preserve"> 2017)</w:t>
      </w:r>
      <w:r w:rsidRPr="00C049F8">
        <w:rPr>
          <w:rFonts w:cs="Arial"/>
          <w:sz w:val="22"/>
          <w:szCs w:val="22"/>
        </w:rPr>
        <w:fldChar w:fldCharType="end"/>
      </w:r>
      <w:r w:rsidRPr="00C049F8">
        <w:rPr>
          <w:rFonts w:cs="Arial"/>
          <w:sz w:val="22"/>
          <w:szCs w:val="22"/>
        </w:rPr>
        <w:t xml:space="preserve"> which complicates the comparison of results, however they were opportunistic and still contribute useful information. </w:t>
      </w:r>
      <w:r w:rsidRPr="00C049F8">
        <w:rPr>
          <w:rFonts w:cs="Arial"/>
          <w:sz w:val="22"/>
          <w:szCs w:val="22"/>
        </w:rPr>
        <w:fldChar w:fldCharType="begin"/>
      </w:r>
      <w:r w:rsidRPr="00C049F8">
        <w:rPr>
          <w:rFonts w:cs="Arial"/>
          <w:sz w:val="22"/>
          <w:szCs w:val="22"/>
        </w:rPr>
        <w:instrText xml:space="preserve"> ADDIN EN.CITE &lt;EndNote&gt;&lt;Cite AuthorYear="1"&gt;&lt;Author&gt;Parry&lt;/Author&gt;&lt;Year&gt;2002&lt;/Year&gt;&lt;RecNum&gt;23869&lt;/RecNum&gt;&lt;DisplayText&gt;Parry et al. (2002)&lt;/DisplayText&gt;&lt;record&gt;&lt;rec-number&gt;23869&lt;/rec-number&gt;&lt;foreign-keys&gt;&lt;key app="EN" db-id="avrwfx0posesv7e0p5ixzsx0ssp0v09v222p" timestamp="1484170114"&gt;23869&lt;/key&gt;&lt;/foreign-keys&gt;&lt;ref-type name="Report"&gt;27&lt;/ref-type&gt;&lt;contributors&gt;&lt;authors&gt;&lt;author&gt;Parry, G.D.&lt;/author&gt;&lt;author&gt;Heislers, S.&lt;/author&gt;&lt;author&gt;Werner, G.F.&lt;/author&gt;&lt;author&gt;Asplin, M.D.&lt;/author&gt;&lt;author&gt;Gason, A.&lt;/author&gt;&lt;/authors&gt;&lt;/contributors&gt;&lt;titles&gt;&lt;title&gt;Assessment of Environmental Effects of Seismic Testing on Scallop Fisheries in Bass Strait&lt;/title&gt;&lt;/titles&gt;&lt;dates&gt;&lt;year&gt;2002&lt;/year&gt;&lt;/dates&gt;&lt;pub-location&gt;Queenscliff, Victoria&lt;/pub-location&gt;&lt;publisher&gt;Marine and Freshwater Resources Institute Report No. 50. Marine and Freshwater Institute&lt;/publisher&gt;&lt;urls&gt;&lt;/urls&gt;&lt;/record&gt;&lt;/Cite&gt;&lt;/EndNote&gt;</w:instrText>
      </w:r>
      <w:r w:rsidRPr="00C049F8">
        <w:rPr>
          <w:rFonts w:cs="Arial"/>
          <w:sz w:val="22"/>
          <w:szCs w:val="22"/>
        </w:rPr>
        <w:fldChar w:fldCharType="separate"/>
      </w:r>
      <w:r>
        <w:rPr>
          <w:rFonts w:cs="Arial"/>
          <w:sz w:val="22"/>
          <w:szCs w:val="22"/>
        </w:rPr>
        <w:t>Parry et al</w:t>
      </w:r>
      <w:r w:rsidRPr="00C049F8">
        <w:rPr>
          <w:rFonts w:cs="Arial"/>
          <w:sz w:val="22"/>
          <w:szCs w:val="22"/>
        </w:rPr>
        <w:t xml:space="preserve"> (2002)</w:t>
      </w:r>
      <w:r w:rsidRPr="00C049F8">
        <w:rPr>
          <w:rFonts w:cs="Arial"/>
          <w:sz w:val="22"/>
          <w:szCs w:val="22"/>
        </w:rPr>
        <w:fldChar w:fldCharType="end"/>
      </w:r>
      <w:r w:rsidRPr="00C049F8">
        <w:rPr>
          <w:rFonts w:cs="Arial"/>
          <w:sz w:val="22"/>
          <w:szCs w:val="22"/>
        </w:rPr>
        <w:t xml:space="preserve"> is not considered as relevant as the scallops were suspended in nets during exposure, and as such, were not subject to the ground</w:t>
      </w:r>
      <w:r>
        <w:rPr>
          <w:rFonts w:cs="Arial"/>
          <w:sz w:val="22"/>
          <w:szCs w:val="22"/>
        </w:rPr>
        <w:t>-</w:t>
      </w:r>
      <w:r w:rsidRPr="00C049F8">
        <w:rPr>
          <w:rFonts w:cs="Arial"/>
          <w:sz w:val="22"/>
          <w:szCs w:val="22"/>
        </w:rPr>
        <w:t>borne vibrations.</w:t>
      </w:r>
    </w:p>
    <w:p w14:paraId="06F1BE7C" w14:textId="77777777" w:rsidR="00C049F8" w:rsidRDefault="00C049F8" w:rsidP="00DC7ED7">
      <w:pPr>
        <w:ind w:left="0"/>
        <w:rPr>
          <w:rFonts w:cs="Arial"/>
          <w:sz w:val="22"/>
          <w:szCs w:val="22"/>
        </w:rPr>
      </w:pPr>
    </w:p>
    <w:p w14:paraId="7EF608A4" w14:textId="1F8D63BF" w:rsidR="00C049F8" w:rsidRPr="00C411CB" w:rsidRDefault="00C049F8" w:rsidP="00C049F8">
      <w:pPr>
        <w:ind w:left="0"/>
        <w:rPr>
          <w:rFonts w:cs="Arial"/>
          <w:sz w:val="22"/>
          <w:szCs w:val="22"/>
        </w:rPr>
      </w:pPr>
      <w:r w:rsidRPr="00C049F8">
        <w:rPr>
          <w:rFonts w:cs="Arial"/>
          <w:sz w:val="22"/>
          <w:szCs w:val="22"/>
        </w:rPr>
        <w:t>It is important to note that in shallow water environments that scallops inhabit, sound pressure measurements cannot be directly related to particle motion, and to accurately characterise particle motion in these habitats, it is necessary to make</w:t>
      </w:r>
      <w:r w:rsidR="00123729">
        <w:rPr>
          <w:rFonts w:cs="Arial"/>
          <w:sz w:val="22"/>
          <w:szCs w:val="22"/>
        </w:rPr>
        <w:t xml:space="preserve"> </w:t>
      </w:r>
      <w:r w:rsidRPr="00C049F8">
        <w:rPr>
          <w:rFonts w:cs="Arial"/>
          <w:sz w:val="22"/>
          <w:szCs w:val="22"/>
        </w:rPr>
        <w:t xml:space="preserve">measurements using particle-motion sensors, in particular accelerometers </w:t>
      </w:r>
      <w:r w:rsidRPr="00C049F8">
        <w:rPr>
          <w:rFonts w:cs="Arial"/>
          <w:sz w:val="22"/>
          <w:szCs w:val="22"/>
        </w:rPr>
        <w:fldChar w:fldCharType="begin"/>
      </w:r>
      <w:r w:rsidRPr="00C049F8">
        <w:rPr>
          <w:rFonts w:cs="Arial"/>
          <w:sz w:val="22"/>
          <w:szCs w:val="22"/>
        </w:rPr>
        <w:instrText xml:space="preserve"> ADDIN EN.CITE &lt;EndNote&gt;&lt;Cite&gt;&lt;Author&gt;Nedelec&lt;/Author&gt;&lt;Year&gt;2016&lt;/Year&gt;&lt;RecNum&gt;23168&lt;/RecNum&gt;&lt;DisplayText&gt;(Nedelec et al. 2016)&lt;/DisplayText&gt;&lt;record&gt;&lt;rec-number&gt;23168&lt;/rec-number&gt;&lt;foreign-keys&gt;&lt;key app="EN" db-id="avrwfx0posesv7e0p5ixzsx0ssp0v09v222p" timestamp="1457453466"&gt;23168&lt;/key&gt;&lt;/foreign-keys&gt;&lt;ref-type name="Journal Article"&gt;17&lt;/ref-type&gt;&lt;contributors&gt;&lt;authors&gt;&lt;author&gt;Nedelec, Sophie L.&lt;/author&gt;&lt;author&gt;Campbell, James&lt;/author&gt;&lt;author&gt;Radford, Andrew N.&lt;/author&gt;&lt;author&gt;Simpson, Stephen D.&lt;/author&gt;&lt;author&gt;Merchant, Nathan D.&lt;/author&gt;&lt;/authors&gt;&lt;/contributors&gt;&lt;titles&gt;&lt;title&gt;Particle motion: the missing link in underwater acoustic ecology&lt;/title&gt;&lt;secondary-title&gt;Methods in Ecology and Evolution&lt;/secondary-title&gt;&lt;/titles&gt;&lt;periodical&gt;&lt;full-title&gt;Methods in Ecology and Evolution&lt;/full-title&gt;&lt;/periodical&gt;&lt;pages&gt;1-7&lt;/pages&gt;&lt;keywords&gt;&lt;keyword&gt;accelerometer&lt;/keyword&gt;&lt;keyword&gt;aquatic invertebrates&lt;/keyword&gt;&lt;keyword&gt;bioacoustics&lt;/keyword&gt;&lt;keyword&gt;fish&lt;/keyword&gt;&lt;keyword&gt;paPAM&lt;/keyword&gt;&lt;keyword&gt;Particle motion&lt;/keyword&gt;&lt;keyword&gt;sound analysis programme&lt;/keyword&gt;&lt;keyword&gt;underwater acoustics&lt;/keyword&gt;&lt;/keywords&gt;&lt;dates&gt;&lt;year&gt;2016&lt;/year&gt;&lt;/dates&gt;&lt;isbn&gt;2041-210X&lt;/isbn&gt;&lt;urls&gt;&lt;related-urls&gt;&lt;url&gt;http://dx.doi.org/10.1111/2041-210X.12544&lt;/url&gt;&lt;/related-urls&gt;&lt;/urls&gt;&lt;electronic-resource-num&gt;10.1111/2041-210X.12544&lt;/electronic-resource-num&gt;&lt;/record&gt;&lt;/Cite&gt;&lt;/EndNote&gt;</w:instrText>
      </w:r>
      <w:r w:rsidRPr="00C049F8">
        <w:rPr>
          <w:rFonts w:cs="Arial"/>
          <w:sz w:val="22"/>
          <w:szCs w:val="22"/>
        </w:rPr>
        <w:fldChar w:fldCharType="separate"/>
      </w:r>
      <w:r w:rsidRPr="00C049F8">
        <w:rPr>
          <w:rFonts w:cs="Arial"/>
          <w:sz w:val="22"/>
          <w:szCs w:val="22"/>
        </w:rPr>
        <w:t xml:space="preserve">(Nedelec </w:t>
      </w:r>
      <w:r w:rsidRPr="00C049F8">
        <w:rPr>
          <w:rFonts w:cs="Arial"/>
          <w:i/>
          <w:sz w:val="22"/>
          <w:szCs w:val="22"/>
        </w:rPr>
        <w:t>et al</w:t>
      </w:r>
      <w:r w:rsidRPr="00C049F8">
        <w:rPr>
          <w:rFonts w:cs="Arial"/>
          <w:sz w:val="22"/>
          <w:szCs w:val="22"/>
        </w:rPr>
        <w:t>.</w:t>
      </w:r>
      <w:r>
        <w:rPr>
          <w:rFonts w:cs="Arial"/>
          <w:sz w:val="22"/>
          <w:szCs w:val="22"/>
        </w:rPr>
        <w:t>,</w:t>
      </w:r>
      <w:r w:rsidRPr="00C049F8">
        <w:rPr>
          <w:rFonts w:cs="Arial"/>
          <w:sz w:val="22"/>
          <w:szCs w:val="22"/>
        </w:rPr>
        <w:t xml:space="preserve"> 2016)</w:t>
      </w:r>
      <w:r w:rsidRPr="00C049F8">
        <w:rPr>
          <w:rFonts w:cs="Arial"/>
          <w:sz w:val="22"/>
          <w:szCs w:val="22"/>
        </w:rPr>
        <w:fldChar w:fldCharType="end"/>
      </w:r>
      <w:r w:rsidRPr="00C049F8">
        <w:rPr>
          <w:rFonts w:cs="Arial"/>
          <w:sz w:val="22"/>
          <w:szCs w:val="22"/>
        </w:rPr>
        <w:t xml:space="preserve">. </w:t>
      </w:r>
    </w:p>
    <w:p w14:paraId="08322D95" w14:textId="77777777" w:rsidR="006A4058" w:rsidRDefault="006A4058" w:rsidP="00DC7ED7">
      <w:pPr>
        <w:ind w:left="0"/>
        <w:rPr>
          <w:rFonts w:ascii="Tahoma" w:hAnsi="Tahoma" w:cs="Arial"/>
          <w:szCs w:val="20"/>
        </w:rPr>
      </w:pPr>
    </w:p>
    <w:p w14:paraId="4EBACE35" w14:textId="77777777" w:rsidR="00C049F8" w:rsidRPr="00FB2A23" w:rsidRDefault="00C049F8" w:rsidP="00C049F8">
      <w:pPr>
        <w:ind w:left="0"/>
        <w:rPr>
          <w:rFonts w:cs="Arial"/>
          <w:i/>
          <w:sz w:val="22"/>
          <w:szCs w:val="22"/>
        </w:rPr>
      </w:pPr>
      <w:r w:rsidRPr="00FB2A23">
        <w:rPr>
          <w:rFonts w:cs="Arial"/>
          <w:i/>
          <w:sz w:val="22"/>
          <w:szCs w:val="22"/>
        </w:rPr>
        <w:t>TAFI 2010 Bass Strait study</w:t>
      </w:r>
    </w:p>
    <w:p w14:paraId="6F85B7DE" w14:textId="77777777" w:rsidR="00C049F8" w:rsidRPr="00FB2A23" w:rsidRDefault="00C049F8" w:rsidP="00C049F8">
      <w:pPr>
        <w:ind w:left="0"/>
        <w:rPr>
          <w:rFonts w:cs="Arial"/>
          <w:sz w:val="22"/>
          <w:szCs w:val="22"/>
        </w:rPr>
      </w:pPr>
    </w:p>
    <w:p w14:paraId="34FE996C" w14:textId="3577A511" w:rsidR="00C91C50" w:rsidRDefault="00C049F8" w:rsidP="00C049F8">
      <w:pPr>
        <w:ind w:left="0"/>
        <w:rPr>
          <w:rFonts w:cs="Arial"/>
          <w:sz w:val="22"/>
          <w:szCs w:val="22"/>
        </w:rPr>
      </w:pPr>
      <w:r w:rsidRPr="00FB2A23">
        <w:rPr>
          <w:rFonts w:cs="Arial"/>
          <w:sz w:val="22"/>
          <w:szCs w:val="22"/>
        </w:rPr>
        <w:t xml:space="preserve">The Tasmanian Aquaculture and Fisheries Institute (TAFI) was commissioned by AFMA (as reported in Harrington </w:t>
      </w:r>
      <w:r w:rsidRPr="00FB2A23">
        <w:rPr>
          <w:rFonts w:cs="Arial"/>
          <w:i/>
          <w:sz w:val="22"/>
          <w:szCs w:val="22"/>
        </w:rPr>
        <w:t>et al</w:t>
      </w:r>
      <w:r w:rsidRPr="00FB2A23">
        <w:rPr>
          <w:rFonts w:cs="Arial"/>
          <w:sz w:val="22"/>
          <w:szCs w:val="22"/>
        </w:rPr>
        <w:t xml:space="preserve">., 2010) to undertake a before-after-control-impact (BACI) </w:t>
      </w:r>
      <w:r w:rsidRPr="00FB2A23">
        <w:rPr>
          <w:rFonts w:cs="Arial"/>
          <w:i/>
          <w:sz w:val="22"/>
          <w:szCs w:val="22"/>
        </w:rPr>
        <w:t>in situ</w:t>
      </w:r>
      <w:r w:rsidRPr="00FB2A23">
        <w:rPr>
          <w:rFonts w:cs="Arial"/>
          <w:sz w:val="22"/>
          <w:szCs w:val="22"/>
        </w:rPr>
        <w:t xml:space="preserve"> survey to determine if short-term impacts of a MSS on adult scallops in eastern Bass Strait (north of Flinders Island) could be detected. The 2D MSS was run for </w:t>
      </w:r>
      <w:r w:rsidR="00237272">
        <w:rPr>
          <w:rFonts w:cs="Arial"/>
          <w:sz w:val="22"/>
          <w:szCs w:val="22"/>
        </w:rPr>
        <w:t>the Geological Survey of</w:t>
      </w:r>
      <w:r w:rsidR="00237272" w:rsidRPr="00FB2A23">
        <w:rPr>
          <w:rFonts w:cs="Arial"/>
          <w:sz w:val="22"/>
          <w:szCs w:val="22"/>
        </w:rPr>
        <w:t xml:space="preserve"> </w:t>
      </w:r>
      <w:r w:rsidRPr="00FB2A23">
        <w:rPr>
          <w:rFonts w:cs="Arial"/>
          <w:sz w:val="22"/>
          <w:szCs w:val="22"/>
        </w:rPr>
        <w:t xml:space="preserve">Victoria between February and April 2010, using a single airgun array with a volume of 4,130 cui and operating pressure of 2,000 psi. Part of the survey was conducted over a known commercial scallop bed. Scallop dredging was undertaken about 6 weeks prior to the MSS and 8 weeks after the conclusion of the MSS. </w:t>
      </w:r>
      <w:r w:rsidR="00C91C50" w:rsidRPr="00C411CB">
        <w:rPr>
          <w:rFonts w:cs="Arial"/>
          <w:sz w:val="22"/>
          <w:szCs w:val="22"/>
        </w:rPr>
        <w:t>Scallops were collected by means of dredging in order to assess the abundance of live and dead scallops within the impacted and control sites. Animals collected in the surveys were separated into one of four shell categories; live scallops, clappers (very new dead scallops with two shell halves still joined together), new dead shells and old dead shells. Sub-lethal impacts were investigated by examining changes in roe and meat condition within each of the areas sampled.</w:t>
      </w:r>
    </w:p>
    <w:p w14:paraId="798E8175" w14:textId="77777777" w:rsidR="00C91C50" w:rsidRDefault="00C91C50" w:rsidP="00C049F8">
      <w:pPr>
        <w:ind w:left="0"/>
        <w:rPr>
          <w:rFonts w:cs="Arial"/>
          <w:sz w:val="22"/>
          <w:szCs w:val="22"/>
        </w:rPr>
      </w:pPr>
    </w:p>
    <w:p w14:paraId="77EBC013" w14:textId="265081C1" w:rsidR="00C049F8" w:rsidRPr="00FB2A23" w:rsidRDefault="00C049F8" w:rsidP="00C049F8">
      <w:pPr>
        <w:ind w:left="0"/>
        <w:rPr>
          <w:rFonts w:cs="Arial"/>
          <w:sz w:val="22"/>
          <w:szCs w:val="22"/>
        </w:rPr>
      </w:pPr>
      <w:r w:rsidRPr="00FB2A23">
        <w:rPr>
          <w:rFonts w:cs="Arial"/>
          <w:sz w:val="22"/>
          <w:szCs w:val="22"/>
        </w:rPr>
        <w:lastRenderedPageBreak/>
        <w:t xml:space="preserve">Results of this study were: </w:t>
      </w:r>
    </w:p>
    <w:p w14:paraId="2A347F7B" w14:textId="77777777" w:rsidR="00C049F8" w:rsidRPr="00FB2A23" w:rsidRDefault="00C049F8" w:rsidP="00C049F8">
      <w:pPr>
        <w:ind w:left="0"/>
        <w:rPr>
          <w:rFonts w:cs="Arial"/>
          <w:sz w:val="22"/>
          <w:szCs w:val="22"/>
        </w:rPr>
      </w:pPr>
    </w:p>
    <w:p w14:paraId="3B0B5EC9" w14:textId="77777777" w:rsidR="00C049F8" w:rsidRPr="00FB2A23" w:rsidRDefault="00C049F8" w:rsidP="00C049F8">
      <w:pPr>
        <w:pStyle w:val="ColorfulList-Accent11"/>
        <w:numPr>
          <w:ilvl w:val="0"/>
          <w:numId w:val="169"/>
        </w:numPr>
        <w:rPr>
          <w:rFonts w:cs="Arial"/>
          <w:sz w:val="22"/>
          <w:szCs w:val="22"/>
        </w:rPr>
      </w:pPr>
      <w:r w:rsidRPr="00FB2A23">
        <w:rPr>
          <w:rFonts w:cs="Arial"/>
          <w:sz w:val="22"/>
          <w:szCs w:val="22"/>
        </w:rPr>
        <w:t>Live scallops were the most abundant shell category identified in all sample locations during both the before and after surveys.</w:t>
      </w:r>
    </w:p>
    <w:p w14:paraId="3E401B56" w14:textId="77777777" w:rsidR="00C049F8" w:rsidRPr="00FB2A23" w:rsidRDefault="00C049F8" w:rsidP="00C049F8">
      <w:pPr>
        <w:pStyle w:val="ColorfulList-Accent11"/>
        <w:numPr>
          <w:ilvl w:val="0"/>
          <w:numId w:val="169"/>
        </w:numPr>
        <w:rPr>
          <w:rFonts w:cs="Arial"/>
          <w:sz w:val="22"/>
          <w:szCs w:val="22"/>
        </w:rPr>
      </w:pPr>
      <w:r>
        <w:rPr>
          <w:rFonts w:cs="Arial"/>
          <w:sz w:val="22"/>
          <w:szCs w:val="22"/>
        </w:rPr>
        <w:t>There were n</w:t>
      </w:r>
      <w:r w:rsidRPr="00FB2A23">
        <w:rPr>
          <w:rFonts w:cs="Arial"/>
          <w:sz w:val="22"/>
          <w:szCs w:val="22"/>
        </w:rPr>
        <w:t>o statistical differences in live scallop abundances in any of the stratum before and after seismic surveying, as would have been expected if MSS had a lethal effect on scallop survivorship.</w:t>
      </w:r>
    </w:p>
    <w:p w14:paraId="3C6595AC" w14:textId="77777777" w:rsidR="00C049F8" w:rsidRPr="00FB2A23" w:rsidRDefault="00C049F8" w:rsidP="00C049F8">
      <w:pPr>
        <w:pStyle w:val="ColorfulList-Accent11"/>
        <w:numPr>
          <w:ilvl w:val="0"/>
          <w:numId w:val="169"/>
        </w:numPr>
        <w:rPr>
          <w:rFonts w:cs="Arial"/>
          <w:sz w:val="22"/>
          <w:szCs w:val="22"/>
        </w:rPr>
      </w:pPr>
      <w:r w:rsidRPr="00FB2A23">
        <w:rPr>
          <w:rFonts w:cs="Arial"/>
          <w:sz w:val="22"/>
          <w:szCs w:val="22"/>
        </w:rPr>
        <w:t>The length frequency distribution of all shell categories remained unchanged within the impacted and semi-impacted survey stratum after seismic surveying</w:t>
      </w:r>
    </w:p>
    <w:p w14:paraId="202BC2C0" w14:textId="77777777" w:rsidR="00C049F8" w:rsidRPr="00FB2A23" w:rsidRDefault="00C049F8" w:rsidP="00C049F8">
      <w:pPr>
        <w:pStyle w:val="ColorfulList-Accent11"/>
        <w:numPr>
          <w:ilvl w:val="0"/>
          <w:numId w:val="169"/>
        </w:numPr>
        <w:rPr>
          <w:rFonts w:cs="Arial"/>
          <w:sz w:val="22"/>
          <w:szCs w:val="22"/>
        </w:rPr>
      </w:pPr>
      <w:r w:rsidRPr="00FB2A23">
        <w:rPr>
          <w:rFonts w:cs="Arial"/>
          <w:sz w:val="22"/>
          <w:szCs w:val="22"/>
        </w:rPr>
        <w:t>Greater than 90% of scallops caught from all survey strata during both surveys were classified as normal meats.</w:t>
      </w:r>
    </w:p>
    <w:p w14:paraId="49DAFC5E" w14:textId="77777777" w:rsidR="00C049F8" w:rsidRPr="00FB2A23" w:rsidRDefault="00C049F8" w:rsidP="00C049F8">
      <w:pPr>
        <w:ind w:left="0"/>
        <w:rPr>
          <w:rFonts w:cs="Arial"/>
          <w:sz w:val="22"/>
          <w:szCs w:val="22"/>
        </w:rPr>
      </w:pPr>
    </w:p>
    <w:p w14:paraId="592FE02B" w14:textId="5FA130FF" w:rsidR="00C049F8" w:rsidRDefault="00C049F8" w:rsidP="00DC7ED7">
      <w:pPr>
        <w:ind w:left="0"/>
        <w:rPr>
          <w:sz w:val="22"/>
          <w:szCs w:val="22"/>
        </w:rPr>
      </w:pPr>
      <w:r w:rsidRPr="00FB2A23">
        <w:rPr>
          <w:rFonts w:cs="Arial"/>
          <w:sz w:val="22"/>
          <w:szCs w:val="22"/>
        </w:rPr>
        <w:t>The study concluded that there was no evidence of a short-term (&lt;2 months) impact on the survival or health of adult commercial scallops in this fishery</w:t>
      </w:r>
      <w:r w:rsidR="00C91C50">
        <w:rPr>
          <w:rFonts w:cs="Arial"/>
          <w:sz w:val="22"/>
          <w:szCs w:val="22"/>
        </w:rPr>
        <w:t xml:space="preserve">, </w:t>
      </w:r>
      <w:r w:rsidR="00C91C50" w:rsidRPr="00C411CB">
        <w:rPr>
          <w:sz w:val="22"/>
          <w:szCs w:val="22"/>
        </w:rPr>
        <w:t xml:space="preserve">though </w:t>
      </w:r>
      <w:r w:rsidR="00237272">
        <w:rPr>
          <w:sz w:val="22"/>
          <w:szCs w:val="22"/>
        </w:rPr>
        <w:t xml:space="preserve">it was reported </w:t>
      </w:r>
      <w:r w:rsidR="00C91C50" w:rsidRPr="00C411CB">
        <w:rPr>
          <w:sz w:val="22"/>
          <w:szCs w:val="22"/>
        </w:rPr>
        <w:t>there was a later die-off of these scallops</w:t>
      </w:r>
      <w:r w:rsidR="00C91C50">
        <w:rPr>
          <w:sz w:val="22"/>
          <w:szCs w:val="22"/>
        </w:rPr>
        <w:t>.</w:t>
      </w:r>
      <w:r w:rsidR="00237272">
        <w:rPr>
          <w:sz w:val="22"/>
          <w:szCs w:val="22"/>
        </w:rPr>
        <w:t xml:space="preserve"> No further information is available about the extent o</w:t>
      </w:r>
      <w:r w:rsidR="005E6A4A">
        <w:rPr>
          <w:sz w:val="22"/>
          <w:szCs w:val="22"/>
        </w:rPr>
        <w:t>r</w:t>
      </w:r>
      <w:r w:rsidR="00237272">
        <w:rPr>
          <w:sz w:val="22"/>
          <w:szCs w:val="22"/>
        </w:rPr>
        <w:t xml:space="preserve"> cause of this die-off. </w:t>
      </w:r>
    </w:p>
    <w:p w14:paraId="6039BD66" w14:textId="77777777" w:rsidR="00C91C50" w:rsidRDefault="00C91C50" w:rsidP="00DC7ED7">
      <w:pPr>
        <w:ind w:left="0"/>
        <w:rPr>
          <w:sz w:val="22"/>
          <w:szCs w:val="22"/>
        </w:rPr>
      </w:pPr>
    </w:p>
    <w:p w14:paraId="080B693A" w14:textId="61452568" w:rsidR="00242C7A" w:rsidRPr="00FB2A23" w:rsidRDefault="00453B73" w:rsidP="00742419">
      <w:pPr>
        <w:ind w:left="0"/>
        <w:rPr>
          <w:rFonts w:cs="Arial"/>
          <w:sz w:val="22"/>
          <w:szCs w:val="22"/>
        </w:rPr>
      </w:pPr>
      <w:r w:rsidRPr="00FB2A23">
        <w:rPr>
          <w:rFonts w:cs="Arial"/>
          <w:i/>
          <w:sz w:val="22"/>
          <w:szCs w:val="22"/>
        </w:rPr>
        <w:t xml:space="preserve">GA-FRDC </w:t>
      </w:r>
      <w:r w:rsidR="00242C7A" w:rsidRPr="00FB2A23">
        <w:rPr>
          <w:rFonts w:cs="Arial"/>
          <w:i/>
          <w:sz w:val="22"/>
          <w:szCs w:val="22"/>
        </w:rPr>
        <w:t xml:space="preserve">2015 </w:t>
      </w:r>
      <w:r w:rsidRPr="00FB2A23">
        <w:rPr>
          <w:rFonts w:cs="Arial"/>
          <w:i/>
          <w:sz w:val="22"/>
          <w:szCs w:val="22"/>
        </w:rPr>
        <w:t>Bass Strait study</w:t>
      </w:r>
      <w:r w:rsidRPr="00FB2A23">
        <w:rPr>
          <w:rFonts w:cs="Arial"/>
          <w:sz w:val="22"/>
          <w:szCs w:val="22"/>
        </w:rPr>
        <w:t xml:space="preserve"> </w:t>
      </w:r>
    </w:p>
    <w:p w14:paraId="38D07D1C" w14:textId="77777777" w:rsidR="00242C7A" w:rsidRPr="00FB2A23" w:rsidRDefault="00242C7A" w:rsidP="00742419">
      <w:pPr>
        <w:ind w:left="0"/>
        <w:rPr>
          <w:rFonts w:cs="Arial"/>
          <w:sz w:val="22"/>
          <w:szCs w:val="22"/>
        </w:rPr>
      </w:pPr>
    </w:p>
    <w:p w14:paraId="46F5BA5A" w14:textId="5F844082" w:rsidR="00C91C50" w:rsidRPr="00FB2A23" w:rsidRDefault="00C91C50" w:rsidP="00C91C50">
      <w:pPr>
        <w:ind w:left="0"/>
        <w:rPr>
          <w:rFonts w:cs="Arial"/>
          <w:sz w:val="22"/>
          <w:szCs w:val="22"/>
        </w:rPr>
      </w:pPr>
      <w:r>
        <w:rPr>
          <w:rFonts w:cs="Arial"/>
          <w:sz w:val="22"/>
          <w:szCs w:val="22"/>
        </w:rPr>
        <w:t xml:space="preserve">Rachel </w:t>
      </w:r>
      <w:r w:rsidRPr="00FB2A23">
        <w:rPr>
          <w:rFonts w:cs="Arial"/>
          <w:sz w:val="22"/>
          <w:szCs w:val="22"/>
        </w:rPr>
        <w:t>Przeslawski</w:t>
      </w:r>
      <w:r>
        <w:rPr>
          <w:rFonts w:cs="Arial"/>
          <w:sz w:val="22"/>
          <w:szCs w:val="22"/>
        </w:rPr>
        <w:t xml:space="preserve"> advised CarbonNet in March 2017 that it</w:t>
      </w:r>
      <w:r w:rsidRPr="00FB2A23">
        <w:rPr>
          <w:rFonts w:cs="Arial"/>
          <w:sz w:val="22"/>
          <w:szCs w:val="22"/>
        </w:rPr>
        <w:t xml:space="preserve"> is important to note that th</w:t>
      </w:r>
      <w:r>
        <w:rPr>
          <w:rFonts w:cs="Arial"/>
          <w:sz w:val="22"/>
          <w:szCs w:val="22"/>
        </w:rPr>
        <w:t>e</w:t>
      </w:r>
      <w:r w:rsidRPr="00FB2A23">
        <w:rPr>
          <w:rFonts w:cs="Arial"/>
          <w:sz w:val="22"/>
          <w:szCs w:val="22"/>
        </w:rPr>
        <w:t xml:space="preserve"> study reported by Przeslawski et al (2016</w:t>
      </w:r>
      <w:r w:rsidR="00F7093F">
        <w:rPr>
          <w:rFonts w:cs="Arial"/>
          <w:sz w:val="22"/>
          <w:szCs w:val="22"/>
        </w:rPr>
        <w:t>b</w:t>
      </w:r>
      <w:r w:rsidRPr="00FB2A23">
        <w:rPr>
          <w:rFonts w:cs="Arial"/>
          <w:sz w:val="22"/>
          <w:szCs w:val="22"/>
        </w:rPr>
        <w:t>) supersedes Przeslawski et al (2016</w:t>
      </w:r>
      <w:r w:rsidR="00F7093F">
        <w:rPr>
          <w:rFonts w:cs="Arial"/>
          <w:sz w:val="22"/>
          <w:szCs w:val="22"/>
        </w:rPr>
        <w:t>a</w:t>
      </w:r>
      <w:r w:rsidRPr="00FB2A23">
        <w:rPr>
          <w:rFonts w:cs="Arial"/>
          <w:sz w:val="22"/>
          <w:szCs w:val="22"/>
        </w:rPr>
        <w:t>) (</w:t>
      </w:r>
      <w:r w:rsidRPr="00FB2A23">
        <w:rPr>
          <w:rFonts w:cs="Arial"/>
          <w:i/>
          <w:sz w:val="22"/>
          <w:szCs w:val="22"/>
        </w:rPr>
        <w:t>Potential short-term impacts of marine seismic surveys on scallops in the Gippsland Basin</w:t>
      </w:r>
      <w:r w:rsidRPr="00FB2A23">
        <w:rPr>
          <w:rFonts w:cs="Arial"/>
          <w:sz w:val="22"/>
          <w:szCs w:val="22"/>
        </w:rPr>
        <w:t>), as Przeslawski et al (2016</w:t>
      </w:r>
      <w:r w:rsidR="00F7093F">
        <w:rPr>
          <w:rFonts w:cs="Arial"/>
          <w:sz w:val="22"/>
          <w:szCs w:val="22"/>
        </w:rPr>
        <w:t>b</w:t>
      </w:r>
      <w:r w:rsidRPr="00FB2A23">
        <w:rPr>
          <w:rFonts w:cs="Arial"/>
          <w:sz w:val="22"/>
          <w:szCs w:val="22"/>
        </w:rPr>
        <w:t>) includes and expands upon the results</w:t>
      </w:r>
      <w:r>
        <w:rPr>
          <w:rFonts w:cs="Arial"/>
          <w:sz w:val="22"/>
          <w:szCs w:val="22"/>
        </w:rPr>
        <w:t xml:space="preserve"> presented in </w:t>
      </w:r>
      <w:r w:rsidRPr="00FB2A23">
        <w:rPr>
          <w:rFonts w:cs="Arial"/>
          <w:sz w:val="22"/>
          <w:szCs w:val="22"/>
        </w:rPr>
        <w:t>Przeslawski et al (2016</w:t>
      </w:r>
      <w:r w:rsidR="00F7093F">
        <w:rPr>
          <w:rFonts w:cs="Arial"/>
          <w:sz w:val="22"/>
          <w:szCs w:val="22"/>
        </w:rPr>
        <w:t>a</w:t>
      </w:r>
      <w:r w:rsidRPr="00FB2A23">
        <w:rPr>
          <w:rFonts w:cs="Arial"/>
          <w:sz w:val="22"/>
          <w:szCs w:val="22"/>
        </w:rPr>
        <w:t xml:space="preserve">). </w:t>
      </w:r>
    </w:p>
    <w:p w14:paraId="181DB6AD" w14:textId="77777777" w:rsidR="00C91C50" w:rsidRDefault="00C91C50" w:rsidP="00DC7ED7">
      <w:pPr>
        <w:ind w:left="0"/>
        <w:rPr>
          <w:rFonts w:cs="Arial"/>
          <w:sz w:val="22"/>
          <w:szCs w:val="22"/>
        </w:rPr>
      </w:pPr>
    </w:p>
    <w:p w14:paraId="50113888" w14:textId="785570C8" w:rsidR="00C91C50" w:rsidRDefault="00C91C50" w:rsidP="00C91C50">
      <w:pPr>
        <w:ind w:left="0"/>
        <w:rPr>
          <w:rFonts w:cs="Arial"/>
          <w:sz w:val="22"/>
          <w:szCs w:val="22"/>
        </w:rPr>
      </w:pPr>
      <w:r w:rsidRPr="00C91C50">
        <w:rPr>
          <w:rFonts w:cs="Arial"/>
          <w:sz w:val="22"/>
          <w:szCs w:val="22"/>
        </w:rPr>
        <w:t xml:space="preserve">The </w:t>
      </w:r>
      <w:r>
        <w:rPr>
          <w:rFonts w:cs="Arial"/>
          <w:sz w:val="22"/>
          <w:szCs w:val="22"/>
        </w:rPr>
        <w:t xml:space="preserve">GA-FRDC </w:t>
      </w:r>
      <w:r w:rsidRPr="00C91C50">
        <w:rPr>
          <w:rFonts w:cs="Arial"/>
          <w:sz w:val="22"/>
          <w:szCs w:val="22"/>
        </w:rPr>
        <w:t xml:space="preserve">study detailed in </w:t>
      </w:r>
      <w:r w:rsidRPr="00C411CB">
        <w:rPr>
          <w:rFonts w:cs="Arial"/>
          <w:sz w:val="22"/>
          <w:szCs w:val="22"/>
        </w:rPr>
        <w:t>Przeslawski et al (2016a</w:t>
      </w:r>
      <w:r w:rsidR="00F7093F">
        <w:rPr>
          <w:rFonts w:cs="Arial"/>
          <w:sz w:val="22"/>
          <w:szCs w:val="22"/>
        </w:rPr>
        <w:t>;</w:t>
      </w:r>
      <w:r w:rsidRPr="00C411CB">
        <w:rPr>
          <w:rFonts w:cs="Arial"/>
          <w:sz w:val="22"/>
          <w:szCs w:val="22"/>
        </w:rPr>
        <w:t>b)</w:t>
      </w:r>
      <w:r w:rsidRPr="00C91C50">
        <w:rPr>
          <w:rFonts w:cs="Arial"/>
          <w:sz w:val="22"/>
          <w:szCs w:val="22"/>
        </w:rPr>
        <w:t xml:space="preserve"> focused on potential short-term impacts of </w:t>
      </w:r>
      <w:r>
        <w:rPr>
          <w:rFonts w:cs="Arial"/>
          <w:sz w:val="22"/>
          <w:szCs w:val="22"/>
        </w:rPr>
        <w:t>MSS</w:t>
      </w:r>
      <w:r w:rsidRPr="00C91C50">
        <w:rPr>
          <w:rFonts w:cs="Arial"/>
          <w:sz w:val="22"/>
          <w:szCs w:val="22"/>
        </w:rPr>
        <w:t xml:space="preserve"> on scallops in the Gippsland Basin. This study was carried out by Geoscience Australia in collaboration with the Australian Maritime College in response to concerns from the fishing industry about an April 2015 </w:t>
      </w:r>
      <w:r>
        <w:rPr>
          <w:rFonts w:cs="Arial"/>
          <w:sz w:val="22"/>
          <w:szCs w:val="22"/>
        </w:rPr>
        <w:t>MSS</w:t>
      </w:r>
      <w:r w:rsidRPr="00C91C50">
        <w:rPr>
          <w:rFonts w:cs="Arial"/>
          <w:sz w:val="22"/>
          <w:szCs w:val="22"/>
        </w:rPr>
        <w:t xml:space="preserve"> in the Gippsland Basin. The study aimed to acquire baseline data that might be useful in quantifying the potential impacts of seismic operations on marine organisms and their habitats. From March to June 2015, </w:t>
      </w:r>
      <w:r>
        <w:rPr>
          <w:rFonts w:cs="Arial"/>
          <w:sz w:val="22"/>
          <w:szCs w:val="22"/>
        </w:rPr>
        <w:t>the</w:t>
      </w:r>
      <w:r w:rsidRPr="00C91C50">
        <w:rPr>
          <w:rFonts w:cs="Arial"/>
          <w:sz w:val="22"/>
          <w:szCs w:val="22"/>
        </w:rPr>
        <w:t xml:space="preserve"> 2D MSS </w:t>
      </w:r>
      <w:r>
        <w:rPr>
          <w:rFonts w:cs="Arial"/>
          <w:sz w:val="22"/>
          <w:szCs w:val="22"/>
        </w:rPr>
        <w:t xml:space="preserve">took place </w:t>
      </w:r>
      <w:r w:rsidRPr="00FB2A23">
        <w:rPr>
          <w:rFonts w:cs="Arial"/>
          <w:sz w:val="22"/>
          <w:szCs w:val="22"/>
        </w:rPr>
        <w:t>(2,530 cui source array, pressure of 2,000 psi)</w:t>
      </w:r>
      <w:r w:rsidRPr="00C91C50">
        <w:rPr>
          <w:rFonts w:cs="Arial"/>
          <w:sz w:val="22"/>
          <w:szCs w:val="22"/>
        </w:rPr>
        <w:t>, and in conjunction several field experiments were conducted to investigate the potential impacts of airgun operations on scallops and other marine invertebrates in the Gippsland Basin. The experimental components included:</w:t>
      </w:r>
    </w:p>
    <w:p w14:paraId="24E3E253" w14:textId="77777777" w:rsidR="00C91C50" w:rsidRPr="00C91C50" w:rsidRDefault="00C91C50" w:rsidP="00C91C50">
      <w:pPr>
        <w:ind w:left="0"/>
        <w:rPr>
          <w:rFonts w:cs="Arial"/>
          <w:sz w:val="22"/>
          <w:szCs w:val="22"/>
        </w:rPr>
      </w:pPr>
    </w:p>
    <w:p w14:paraId="3FB2963E" w14:textId="048C3524" w:rsidR="00C91C50" w:rsidRPr="00C91C50" w:rsidRDefault="00C91C50" w:rsidP="00C91C50">
      <w:pPr>
        <w:pStyle w:val="ColorfulList-Accent110"/>
        <w:numPr>
          <w:ilvl w:val="0"/>
          <w:numId w:val="168"/>
        </w:numPr>
        <w:spacing w:after="0" w:line="260" w:lineRule="atLeast"/>
        <w:rPr>
          <w:rFonts w:eastAsia="Times New Roman" w:cs="Arial"/>
          <w:color w:val="auto"/>
          <w:sz w:val="22"/>
          <w:szCs w:val="22"/>
        </w:rPr>
      </w:pPr>
      <w:r>
        <w:rPr>
          <w:rFonts w:eastAsia="Times New Roman" w:cs="Arial"/>
          <w:color w:val="auto"/>
          <w:sz w:val="22"/>
          <w:szCs w:val="22"/>
        </w:rPr>
        <w:t>S</w:t>
      </w:r>
      <w:r w:rsidRPr="00C91C50">
        <w:rPr>
          <w:rFonts w:eastAsia="Times New Roman" w:cs="Arial"/>
          <w:color w:val="auto"/>
          <w:sz w:val="22"/>
          <w:szCs w:val="22"/>
        </w:rPr>
        <w:t xml:space="preserve">ound monitoring with moored hydrophones – four stations; </w:t>
      </w:r>
    </w:p>
    <w:p w14:paraId="413AA463" w14:textId="42D1535C" w:rsidR="00C91C50" w:rsidRPr="00C91C50" w:rsidRDefault="00C91C50" w:rsidP="00C91C50">
      <w:pPr>
        <w:pStyle w:val="ColorfulList-Accent110"/>
        <w:numPr>
          <w:ilvl w:val="0"/>
          <w:numId w:val="168"/>
        </w:numPr>
        <w:spacing w:after="0" w:line="260" w:lineRule="atLeast"/>
        <w:rPr>
          <w:rFonts w:eastAsia="Times New Roman" w:cs="Arial"/>
          <w:color w:val="auto"/>
          <w:sz w:val="22"/>
          <w:szCs w:val="22"/>
        </w:rPr>
      </w:pPr>
      <w:r>
        <w:rPr>
          <w:rFonts w:eastAsia="Times New Roman" w:cs="Arial"/>
          <w:color w:val="auto"/>
          <w:sz w:val="22"/>
          <w:szCs w:val="22"/>
        </w:rPr>
        <w:t>S</w:t>
      </w:r>
      <w:r w:rsidRPr="00C91C50">
        <w:rPr>
          <w:rFonts w:eastAsia="Times New Roman" w:cs="Arial"/>
          <w:color w:val="auto"/>
          <w:sz w:val="22"/>
          <w:szCs w:val="22"/>
        </w:rPr>
        <w:t xml:space="preserve">ound modelling using both field-based and theoretical approaches; </w:t>
      </w:r>
    </w:p>
    <w:p w14:paraId="01C137F8" w14:textId="5D555582" w:rsidR="00C91C50" w:rsidRPr="00C91C50" w:rsidRDefault="00C91C50" w:rsidP="00C91C50">
      <w:pPr>
        <w:pStyle w:val="ColorfulList-Accent110"/>
        <w:numPr>
          <w:ilvl w:val="0"/>
          <w:numId w:val="168"/>
        </w:numPr>
        <w:spacing w:after="0" w:line="260" w:lineRule="atLeast"/>
        <w:rPr>
          <w:rFonts w:eastAsia="Times New Roman" w:cs="Arial"/>
          <w:color w:val="auto"/>
          <w:sz w:val="22"/>
          <w:szCs w:val="22"/>
        </w:rPr>
      </w:pPr>
      <w:r>
        <w:rPr>
          <w:rFonts w:eastAsia="Times New Roman" w:cs="Arial"/>
          <w:color w:val="auto"/>
          <w:sz w:val="22"/>
          <w:szCs w:val="22"/>
        </w:rPr>
        <w:t>S</w:t>
      </w:r>
      <w:r w:rsidRPr="00C91C50">
        <w:rPr>
          <w:rFonts w:eastAsia="Times New Roman" w:cs="Arial"/>
          <w:color w:val="auto"/>
          <w:sz w:val="22"/>
          <w:szCs w:val="22"/>
        </w:rPr>
        <w:t xml:space="preserve">eafloor image analysis from </w:t>
      </w:r>
      <w:r w:rsidRPr="00FB2A23">
        <w:rPr>
          <w:rFonts w:cs="Arial"/>
          <w:sz w:val="22"/>
          <w:szCs w:val="22"/>
        </w:rPr>
        <w:t xml:space="preserve">autonomous underwater vehicle </w:t>
      </w:r>
      <w:r>
        <w:rPr>
          <w:rFonts w:cs="Arial"/>
          <w:sz w:val="22"/>
          <w:szCs w:val="22"/>
        </w:rPr>
        <w:t>(</w:t>
      </w:r>
      <w:r w:rsidRPr="00C91C50">
        <w:rPr>
          <w:rFonts w:eastAsia="Times New Roman" w:cs="Arial"/>
          <w:color w:val="auto"/>
          <w:sz w:val="22"/>
          <w:szCs w:val="22"/>
        </w:rPr>
        <w:t>AUVs</w:t>
      </w:r>
      <w:r>
        <w:rPr>
          <w:rFonts w:eastAsia="Times New Roman" w:cs="Arial"/>
          <w:color w:val="auto"/>
          <w:sz w:val="22"/>
          <w:szCs w:val="22"/>
        </w:rPr>
        <w:t>)</w:t>
      </w:r>
      <w:r w:rsidRPr="00C91C50">
        <w:rPr>
          <w:rFonts w:eastAsia="Times New Roman" w:cs="Arial"/>
          <w:color w:val="auto"/>
          <w:sz w:val="22"/>
          <w:szCs w:val="22"/>
        </w:rPr>
        <w:t xml:space="preserve">; </w:t>
      </w:r>
      <w:r>
        <w:rPr>
          <w:rFonts w:eastAsia="Times New Roman" w:cs="Arial"/>
          <w:color w:val="auto"/>
          <w:sz w:val="22"/>
          <w:szCs w:val="22"/>
        </w:rPr>
        <w:t>and</w:t>
      </w:r>
    </w:p>
    <w:p w14:paraId="6C8CDBF0" w14:textId="2E808202" w:rsidR="00C91C50" w:rsidRPr="00C91C50" w:rsidRDefault="00C91C50" w:rsidP="00C91C50">
      <w:pPr>
        <w:pStyle w:val="ColorfulList-Accent110"/>
        <w:numPr>
          <w:ilvl w:val="0"/>
          <w:numId w:val="168"/>
        </w:numPr>
        <w:spacing w:after="240" w:line="260" w:lineRule="atLeast"/>
        <w:rPr>
          <w:rFonts w:eastAsia="Times New Roman" w:cs="Arial"/>
          <w:color w:val="auto"/>
          <w:sz w:val="22"/>
          <w:szCs w:val="22"/>
        </w:rPr>
      </w:pPr>
      <w:r>
        <w:rPr>
          <w:rFonts w:eastAsia="Times New Roman" w:cs="Arial"/>
          <w:color w:val="auto"/>
          <w:sz w:val="22"/>
          <w:szCs w:val="22"/>
        </w:rPr>
        <w:t>A</w:t>
      </w:r>
      <w:r w:rsidRPr="00C91C50">
        <w:rPr>
          <w:rFonts w:eastAsia="Times New Roman" w:cs="Arial"/>
          <w:color w:val="auto"/>
          <w:sz w:val="22"/>
          <w:szCs w:val="22"/>
        </w:rPr>
        <w:t xml:space="preserve">nalysis of scallops collected from dredging. </w:t>
      </w:r>
    </w:p>
    <w:p w14:paraId="5BFAEEAD" w14:textId="6E3E5F98" w:rsidR="00C91C50" w:rsidRDefault="00C91C50" w:rsidP="00C91C50">
      <w:pPr>
        <w:spacing w:after="240"/>
        <w:ind w:left="0"/>
        <w:rPr>
          <w:rFonts w:cs="Arial"/>
          <w:sz w:val="22"/>
          <w:szCs w:val="22"/>
        </w:rPr>
      </w:pPr>
      <w:r w:rsidRPr="00C411CB">
        <w:rPr>
          <w:sz w:val="22"/>
          <w:szCs w:val="22"/>
        </w:rPr>
        <w:t xml:space="preserve">Each component incorporated control (&gt; 10 km from seismic survey) and experimental (0–1 km from seismic survey) zones, and data was acquired both before and two months after the seismic survey where possible. </w:t>
      </w:r>
      <w:r w:rsidRPr="00C411CB">
        <w:rPr>
          <w:rFonts w:cs="Arial"/>
          <w:sz w:val="22"/>
          <w:szCs w:val="22"/>
        </w:rPr>
        <w:t xml:space="preserve">Two methods were used to assess scallop condition in response to the </w:t>
      </w:r>
      <w:r w:rsidR="00201C1F">
        <w:rPr>
          <w:rFonts w:cs="Arial"/>
          <w:sz w:val="22"/>
          <w:szCs w:val="22"/>
        </w:rPr>
        <w:t>MSS</w:t>
      </w:r>
      <w:r w:rsidRPr="00C411CB">
        <w:rPr>
          <w:rFonts w:cs="Arial"/>
          <w:sz w:val="22"/>
          <w:szCs w:val="22"/>
        </w:rPr>
        <w:t xml:space="preserve">; dredging (using a commercial box dredge) and the use of AUV to quantify scallop condition </w:t>
      </w:r>
      <w:r w:rsidRPr="00C411CB">
        <w:rPr>
          <w:rFonts w:cs="Arial"/>
          <w:i/>
          <w:sz w:val="22"/>
          <w:szCs w:val="22"/>
        </w:rPr>
        <w:t>in situ</w:t>
      </w:r>
      <w:r w:rsidRPr="00C411CB">
        <w:rPr>
          <w:rFonts w:cs="Arial"/>
          <w:sz w:val="22"/>
          <w:szCs w:val="22"/>
        </w:rPr>
        <w:t>.</w:t>
      </w:r>
    </w:p>
    <w:p w14:paraId="135B5410" w14:textId="77777777" w:rsidR="00C91C50" w:rsidRDefault="007A76C2" w:rsidP="00594614">
      <w:pPr>
        <w:spacing w:after="240"/>
        <w:ind w:left="0"/>
        <w:rPr>
          <w:rFonts w:cs="Arial"/>
          <w:sz w:val="22"/>
          <w:szCs w:val="22"/>
        </w:rPr>
      </w:pPr>
      <w:r w:rsidRPr="00FB2A23">
        <w:rPr>
          <w:rFonts w:cs="Arial"/>
          <w:sz w:val="22"/>
          <w:szCs w:val="22"/>
        </w:rPr>
        <w:t xml:space="preserve">All live scallops were photographed to quantify size, and at least 10 ten animals (if available) from each dredge were opened and photographed to examine various metrics of scallop condition. Samples were frozen for analysis of fatty acids and </w:t>
      </w:r>
      <w:r w:rsidRPr="00FB2A23">
        <w:rPr>
          <w:rFonts w:cs="Arial"/>
          <w:sz w:val="22"/>
          <w:szCs w:val="22"/>
        </w:rPr>
        <w:lastRenderedPageBreak/>
        <w:t xml:space="preserve">sterols to identify potential depletion of energy reserves due to excessive summing activity in response to the seismic source. The </w:t>
      </w:r>
      <w:r w:rsidR="00C91C50">
        <w:rPr>
          <w:rFonts w:cs="Arial"/>
          <w:sz w:val="22"/>
          <w:szCs w:val="22"/>
        </w:rPr>
        <w:t>AUV imagery showed:</w:t>
      </w:r>
    </w:p>
    <w:p w14:paraId="7A5142B3" w14:textId="648E8DEE" w:rsidR="00C91C50" w:rsidRPr="00C91C50" w:rsidRDefault="00C91C50" w:rsidP="00C91C50">
      <w:pPr>
        <w:pStyle w:val="ColorfulList-Accent110"/>
        <w:numPr>
          <w:ilvl w:val="0"/>
          <w:numId w:val="168"/>
        </w:numPr>
        <w:spacing w:after="0" w:line="260" w:lineRule="atLeast"/>
        <w:rPr>
          <w:rFonts w:eastAsia="Times New Roman" w:cs="Arial"/>
          <w:color w:val="auto"/>
          <w:sz w:val="22"/>
          <w:szCs w:val="22"/>
        </w:rPr>
      </w:pPr>
      <w:r w:rsidRPr="00C91C50">
        <w:rPr>
          <w:rFonts w:eastAsia="Times New Roman" w:cs="Arial"/>
          <w:color w:val="auto"/>
          <w:sz w:val="22"/>
          <w:szCs w:val="22"/>
        </w:rPr>
        <w:t xml:space="preserve">There was no interaction between zones (experimental, control) and time (short-term, long-term) on commercial scallop types (live, clapper, dead shell, unknown), indicating that no long-term effects attributable to the </w:t>
      </w:r>
      <w:r>
        <w:rPr>
          <w:rFonts w:eastAsia="Times New Roman" w:cs="Arial"/>
          <w:color w:val="auto"/>
          <w:sz w:val="22"/>
          <w:szCs w:val="22"/>
        </w:rPr>
        <w:t xml:space="preserve">MSS </w:t>
      </w:r>
      <w:r w:rsidRPr="00C91C50">
        <w:rPr>
          <w:rFonts w:eastAsia="Times New Roman" w:cs="Arial"/>
          <w:color w:val="auto"/>
          <w:sz w:val="22"/>
          <w:szCs w:val="22"/>
        </w:rPr>
        <w:t xml:space="preserve">were detected on commercial scallops. It is noted though that short-term or moderate effects could not be tested due to the lack of AUV data before the </w:t>
      </w:r>
      <w:r>
        <w:rPr>
          <w:rFonts w:eastAsia="Times New Roman" w:cs="Arial"/>
          <w:color w:val="auto"/>
          <w:sz w:val="22"/>
          <w:szCs w:val="22"/>
        </w:rPr>
        <w:t>MSS</w:t>
      </w:r>
      <w:r w:rsidRPr="00C91C50">
        <w:rPr>
          <w:rFonts w:eastAsia="Times New Roman" w:cs="Arial"/>
          <w:color w:val="auto"/>
          <w:sz w:val="22"/>
          <w:szCs w:val="22"/>
        </w:rPr>
        <w:t xml:space="preserve">. </w:t>
      </w:r>
    </w:p>
    <w:p w14:paraId="1A78BF5F" w14:textId="77777777" w:rsidR="00C91C50" w:rsidRPr="00C411CB" w:rsidRDefault="00C91C50" w:rsidP="00C91C50">
      <w:pPr>
        <w:pStyle w:val="ColorfulList-Accent110"/>
        <w:numPr>
          <w:ilvl w:val="0"/>
          <w:numId w:val="168"/>
        </w:numPr>
        <w:spacing w:after="0" w:line="260" w:lineRule="atLeast"/>
        <w:rPr>
          <w:rFonts w:eastAsia="Times New Roman" w:cs="Arial"/>
          <w:color w:val="auto"/>
          <w:sz w:val="22"/>
          <w:szCs w:val="22"/>
        </w:rPr>
      </w:pPr>
      <w:r w:rsidRPr="00C411CB">
        <w:rPr>
          <w:rFonts w:eastAsia="Times New Roman" w:cs="Arial"/>
          <w:color w:val="auto"/>
          <w:sz w:val="22"/>
          <w:szCs w:val="22"/>
        </w:rPr>
        <w:t>There were negligible dead doughboy scallops (clappers and shells) detected in the experimental zone during short- or long-term survey, indicating an absence of adverse impacts of the MSS.</w:t>
      </w:r>
    </w:p>
    <w:p w14:paraId="4BE7CE88" w14:textId="1520DDD9" w:rsidR="00C91C50" w:rsidRPr="00C91C50" w:rsidRDefault="00C91C50" w:rsidP="00C91C50">
      <w:pPr>
        <w:pStyle w:val="ColorfulList-Accent110"/>
        <w:numPr>
          <w:ilvl w:val="0"/>
          <w:numId w:val="168"/>
        </w:numPr>
        <w:spacing w:after="0" w:line="260" w:lineRule="atLeast"/>
        <w:rPr>
          <w:rFonts w:eastAsia="Times New Roman" w:cs="Arial"/>
          <w:color w:val="auto"/>
          <w:sz w:val="22"/>
          <w:szCs w:val="22"/>
        </w:rPr>
      </w:pPr>
      <w:r w:rsidRPr="00C91C50">
        <w:rPr>
          <w:rFonts w:eastAsia="Times New Roman" w:cs="Arial"/>
          <w:color w:val="auto"/>
          <w:sz w:val="22"/>
          <w:szCs w:val="22"/>
        </w:rPr>
        <w:t xml:space="preserve">The dredging results indicated that: </w:t>
      </w:r>
    </w:p>
    <w:p w14:paraId="1E562F6F" w14:textId="18DED1FC" w:rsidR="00C91C50" w:rsidRPr="00C411CB" w:rsidRDefault="00C91C50" w:rsidP="00C91C50">
      <w:pPr>
        <w:pStyle w:val="ColorfulList-Accent110"/>
        <w:numPr>
          <w:ilvl w:val="1"/>
          <w:numId w:val="168"/>
        </w:numPr>
        <w:spacing w:after="0" w:line="260" w:lineRule="atLeast"/>
        <w:ind w:left="1418" w:hanging="425"/>
        <w:rPr>
          <w:rFonts w:cs="Arial"/>
          <w:sz w:val="22"/>
          <w:szCs w:val="22"/>
        </w:rPr>
      </w:pPr>
      <w:r w:rsidRPr="00C411CB">
        <w:rPr>
          <w:rFonts w:cs="Arial"/>
          <w:sz w:val="22"/>
          <w:szCs w:val="22"/>
        </w:rPr>
        <w:t>The abundance of live scallops and recently dead scallop shells were not significantly different amo</w:t>
      </w:r>
      <w:r w:rsidR="00ED0632">
        <w:rPr>
          <w:rFonts w:cs="Arial"/>
          <w:sz w:val="22"/>
          <w:szCs w:val="22"/>
        </w:rPr>
        <w:t>u</w:t>
      </w:r>
      <w:r w:rsidRPr="00C411CB">
        <w:rPr>
          <w:rFonts w:cs="Arial"/>
          <w:sz w:val="22"/>
          <w:szCs w:val="22"/>
        </w:rPr>
        <w:t>ng zone or time.</w:t>
      </w:r>
    </w:p>
    <w:p w14:paraId="6B668771" w14:textId="77777777" w:rsidR="00C91C50" w:rsidRPr="00C411CB" w:rsidRDefault="00C91C50" w:rsidP="00C91C50">
      <w:pPr>
        <w:pStyle w:val="ColorfulList-Accent110"/>
        <w:numPr>
          <w:ilvl w:val="1"/>
          <w:numId w:val="168"/>
        </w:numPr>
        <w:spacing w:after="0" w:line="260" w:lineRule="atLeast"/>
        <w:ind w:left="1418" w:hanging="425"/>
        <w:rPr>
          <w:rFonts w:cs="Arial"/>
          <w:sz w:val="22"/>
          <w:szCs w:val="22"/>
        </w:rPr>
      </w:pPr>
      <w:r w:rsidRPr="00C411CB">
        <w:rPr>
          <w:rFonts w:cs="Arial"/>
          <w:sz w:val="22"/>
          <w:szCs w:val="22"/>
        </w:rPr>
        <w:t>There was no effect of zone or time on commercial scallop shell assemblages, nor any interactions.</w:t>
      </w:r>
    </w:p>
    <w:p w14:paraId="5766FD40" w14:textId="77777777" w:rsidR="00C91C50" w:rsidRPr="00C411CB" w:rsidRDefault="00C91C50" w:rsidP="00C91C50">
      <w:pPr>
        <w:pStyle w:val="ColorfulList-Accent110"/>
        <w:numPr>
          <w:ilvl w:val="1"/>
          <w:numId w:val="168"/>
        </w:numPr>
        <w:spacing w:after="0" w:line="260" w:lineRule="atLeast"/>
        <w:ind w:left="1418" w:hanging="425"/>
        <w:rPr>
          <w:rFonts w:cs="Arial"/>
          <w:sz w:val="22"/>
          <w:szCs w:val="22"/>
        </w:rPr>
      </w:pPr>
      <w:r w:rsidRPr="00C411CB">
        <w:rPr>
          <w:rFonts w:cs="Arial"/>
          <w:sz w:val="22"/>
          <w:szCs w:val="22"/>
        </w:rPr>
        <w:t xml:space="preserve">There was no detectable impact due to the MSS on commercial scallop shell size (growth), adductor muscle diameter, gonad size or gonad stage. </w:t>
      </w:r>
    </w:p>
    <w:p w14:paraId="250E5C30" w14:textId="77777777" w:rsidR="00C91C50" w:rsidRPr="00C411CB" w:rsidRDefault="00C91C50" w:rsidP="00C91C50">
      <w:pPr>
        <w:pStyle w:val="ColorfulList-Accent110"/>
        <w:numPr>
          <w:ilvl w:val="1"/>
          <w:numId w:val="168"/>
        </w:numPr>
        <w:spacing w:after="0" w:line="260" w:lineRule="atLeast"/>
        <w:ind w:left="1418" w:hanging="425"/>
        <w:rPr>
          <w:rFonts w:cs="Arial"/>
          <w:sz w:val="22"/>
          <w:szCs w:val="22"/>
        </w:rPr>
      </w:pPr>
      <w:r w:rsidRPr="00C411CB">
        <w:rPr>
          <w:rFonts w:cs="Arial"/>
          <w:sz w:val="22"/>
          <w:szCs w:val="22"/>
        </w:rPr>
        <w:t>There was a significant effect of zone, with scallops in the control zone showing smaller shells, adductor muscles and gonads than in the experimental zone. This relationshop existed before and after the survey.</w:t>
      </w:r>
    </w:p>
    <w:p w14:paraId="32F37268" w14:textId="372A7867" w:rsidR="00C91C50" w:rsidRPr="00C411CB" w:rsidRDefault="00C91C50" w:rsidP="00C91C50">
      <w:pPr>
        <w:pStyle w:val="ColorfulList-Accent110"/>
        <w:numPr>
          <w:ilvl w:val="1"/>
          <w:numId w:val="168"/>
        </w:numPr>
        <w:spacing w:after="0" w:line="260" w:lineRule="atLeast"/>
        <w:ind w:left="1418" w:hanging="425"/>
        <w:rPr>
          <w:rFonts w:cs="Arial"/>
          <w:sz w:val="22"/>
          <w:szCs w:val="22"/>
        </w:rPr>
      </w:pPr>
      <w:r w:rsidRPr="00C411CB">
        <w:rPr>
          <w:rFonts w:cs="Arial"/>
          <w:sz w:val="22"/>
          <w:szCs w:val="22"/>
        </w:rPr>
        <w:t>Commercial scallops showed no differences in fatty acids, sterols or the ratio of fatty acids to sterols amo</w:t>
      </w:r>
      <w:r w:rsidR="00ED0632">
        <w:rPr>
          <w:rFonts w:cs="Arial"/>
          <w:sz w:val="22"/>
          <w:szCs w:val="22"/>
        </w:rPr>
        <w:t>u</w:t>
      </w:r>
      <w:r w:rsidRPr="00C411CB">
        <w:rPr>
          <w:rFonts w:cs="Arial"/>
          <w:sz w:val="22"/>
          <w:szCs w:val="22"/>
        </w:rPr>
        <w:t>ng zone or time.</w:t>
      </w:r>
    </w:p>
    <w:p w14:paraId="4078D8DF" w14:textId="3C34717A" w:rsidR="00C91C50" w:rsidRPr="00C91C50" w:rsidRDefault="00C91C50" w:rsidP="00C91C50">
      <w:pPr>
        <w:pStyle w:val="ColorfulList-Accent110"/>
        <w:numPr>
          <w:ilvl w:val="0"/>
          <w:numId w:val="168"/>
        </w:numPr>
        <w:spacing w:after="0" w:line="260" w:lineRule="atLeast"/>
        <w:rPr>
          <w:rFonts w:eastAsia="Times New Roman" w:cs="Arial"/>
          <w:color w:val="auto"/>
          <w:sz w:val="22"/>
          <w:szCs w:val="22"/>
        </w:rPr>
      </w:pPr>
      <w:r w:rsidRPr="00C91C50">
        <w:rPr>
          <w:rFonts w:eastAsia="Times New Roman" w:cs="Arial"/>
          <w:color w:val="auto"/>
          <w:sz w:val="22"/>
          <w:szCs w:val="22"/>
        </w:rPr>
        <w:t>There is no clear evidence of adverse effects on scallops due to this survey, although in the study area assessed</w:t>
      </w:r>
      <w:r>
        <w:rPr>
          <w:rFonts w:eastAsia="Times New Roman" w:cs="Arial"/>
          <w:color w:val="auto"/>
          <w:sz w:val="22"/>
          <w:szCs w:val="22"/>
        </w:rPr>
        <w:t>,</w:t>
      </w:r>
      <w:r w:rsidRPr="00C91C50">
        <w:rPr>
          <w:rFonts w:eastAsia="Times New Roman" w:cs="Arial"/>
          <w:color w:val="auto"/>
          <w:sz w:val="22"/>
          <w:szCs w:val="22"/>
        </w:rPr>
        <w:t xml:space="preserve"> commercial scallops (</w:t>
      </w:r>
      <w:r w:rsidRPr="00C91C50">
        <w:rPr>
          <w:rFonts w:eastAsia="Times New Roman" w:cs="Arial"/>
          <w:i/>
          <w:color w:val="auto"/>
          <w:sz w:val="22"/>
          <w:szCs w:val="22"/>
        </w:rPr>
        <w:t>P. fumatus</w:t>
      </w:r>
      <w:r w:rsidRPr="00C91C50">
        <w:rPr>
          <w:rFonts w:eastAsia="Times New Roman" w:cs="Arial"/>
          <w:color w:val="auto"/>
          <w:sz w:val="22"/>
          <w:szCs w:val="22"/>
        </w:rPr>
        <w:t xml:space="preserve">) were </w:t>
      </w:r>
      <w:r w:rsidR="00237272">
        <w:rPr>
          <w:rFonts w:eastAsia="Times New Roman" w:cs="Arial"/>
          <w:color w:val="auto"/>
          <w:sz w:val="22"/>
          <w:szCs w:val="22"/>
        </w:rPr>
        <w:t xml:space="preserve">present but </w:t>
      </w:r>
      <w:r w:rsidRPr="00C91C50">
        <w:rPr>
          <w:rFonts w:eastAsia="Times New Roman" w:cs="Arial"/>
          <w:color w:val="auto"/>
          <w:sz w:val="22"/>
          <w:szCs w:val="22"/>
        </w:rPr>
        <w:t>not abundant.</w:t>
      </w:r>
    </w:p>
    <w:p w14:paraId="7724BBB9" w14:textId="77777777" w:rsidR="00C91C50" w:rsidRPr="00C91C50" w:rsidRDefault="00C91C50" w:rsidP="005B559C">
      <w:pPr>
        <w:pStyle w:val="ColorfulList-Accent110"/>
        <w:numPr>
          <w:ilvl w:val="0"/>
          <w:numId w:val="168"/>
        </w:numPr>
        <w:spacing w:after="240" w:line="260" w:lineRule="atLeast"/>
        <w:rPr>
          <w:rFonts w:eastAsia="Times New Roman" w:cs="Arial"/>
          <w:color w:val="auto"/>
          <w:sz w:val="22"/>
          <w:szCs w:val="22"/>
        </w:rPr>
      </w:pPr>
      <w:r w:rsidRPr="00C91C50">
        <w:rPr>
          <w:rFonts w:eastAsia="Times New Roman" w:cs="Arial"/>
          <w:color w:val="auto"/>
          <w:sz w:val="22"/>
          <w:szCs w:val="22"/>
        </w:rPr>
        <w:t>There were no detectable impacts of the MSS on the abundance of live scallops, catch of live or dead scallops or gonad condition.</w:t>
      </w:r>
    </w:p>
    <w:p w14:paraId="39FBA35D" w14:textId="231DCB0B" w:rsidR="005B559C" w:rsidRPr="000B05B8" w:rsidRDefault="005B559C" w:rsidP="005B559C">
      <w:pPr>
        <w:ind w:left="0"/>
        <w:rPr>
          <w:rFonts w:cs="Arial"/>
          <w:sz w:val="22"/>
          <w:szCs w:val="22"/>
        </w:rPr>
      </w:pPr>
      <w:r w:rsidRPr="00EF4E2A">
        <w:rPr>
          <w:rFonts w:cs="Arial"/>
          <w:sz w:val="22"/>
          <w:szCs w:val="22"/>
        </w:rPr>
        <w:t>Table 7.</w:t>
      </w:r>
      <w:r w:rsidR="000B05B8" w:rsidRPr="00EF4E2A">
        <w:rPr>
          <w:rFonts w:cs="Arial"/>
          <w:sz w:val="22"/>
          <w:szCs w:val="22"/>
        </w:rPr>
        <w:t>18</w:t>
      </w:r>
      <w:r w:rsidRPr="00EF4E2A">
        <w:rPr>
          <w:rFonts w:cs="Arial"/>
          <w:sz w:val="22"/>
          <w:szCs w:val="22"/>
        </w:rPr>
        <w:t xml:space="preserve"> (</w:t>
      </w:r>
      <w:r w:rsidRPr="000B05B8">
        <w:rPr>
          <w:rFonts w:cs="Arial"/>
          <w:sz w:val="22"/>
          <w:szCs w:val="22"/>
        </w:rPr>
        <w:t xml:space="preserve">from Przeslawski </w:t>
      </w:r>
      <w:r w:rsidRPr="000B05B8">
        <w:rPr>
          <w:rFonts w:cs="Arial"/>
          <w:i/>
          <w:sz w:val="22"/>
          <w:szCs w:val="22"/>
        </w:rPr>
        <w:t>et al</w:t>
      </w:r>
      <w:r w:rsidRPr="000B05B8">
        <w:rPr>
          <w:rFonts w:cs="Arial"/>
          <w:sz w:val="22"/>
          <w:szCs w:val="22"/>
        </w:rPr>
        <w:t xml:space="preserve">., 2016b) summarises the studies and results of the investigations into the impacts of MSS on scallops, while this section provides a more </w:t>
      </w:r>
      <w:r w:rsidR="000B05B8" w:rsidRPr="000B05B8">
        <w:rPr>
          <w:rFonts w:cs="Arial"/>
          <w:sz w:val="22"/>
          <w:szCs w:val="22"/>
        </w:rPr>
        <w:t>in-depth</w:t>
      </w:r>
      <w:r w:rsidRPr="000B05B8">
        <w:rPr>
          <w:rFonts w:cs="Arial"/>
          <w:sz w:val="22"/>
          <w:szCs w:val="22"/>
        </w:rPr>
        <w:t xml:space="preserve"> discussion of the findings from these recent studies. </w:t>
      </w:r>
    </w:p>
    <w:p w14:paraId="2E0A720B" w14:textId="77777777" w:rsidR="005840A4" w:rsidRPr="000B05B8" w:rsidRDefault="005840A4" w:rsidP="005B559C">
      <w:pPr>
        <w:ind w:left="0"/>
        <w:rPr>
          <w:rFonts w:cs="Arial"/>
          <w:sz w:val="22"/>
          <w:szCs w:val="22"/>
        </w:rPr>
      </w:pPr>
    </w:p>
    <w:p w14:paraId="37A8880B" w14:textId="77777777" w:rsidR="005840A4" w:rsidRDefault="005840A4" w:rsidP="005840A4">
      <w:pPr>
        <w:spacing w:after="240"/>
        <w:ind w:left="0"/>
        <w:rPr>
          <w:sz w:val="22"/>
          <w:szCs w:val="22"/>
        </w:rPr>
      </w:pPr>
      <w:r w:rsidRPr="000B05B8">
        <w:rPr>
          <w:sz w:val="22"/>
          <w:szCs w:val="22"/>
        </w:rPr>
        <w:t>However, due of the high variance amongst sites small or sub-lethal changes resulting from acoustic exposure may have been obscured, but it was argued that detection of large effects such as mass mortalities would have been detected. They recommended that future studies should focus efforts on the long-term or physiological effects of MSS on scallops and other invertebrates, rather</w:t>
      </w:r>
      <w:r w:rsidRPr="00C411CB">
        <w:rPr>
          <w:sz w:val="22"/>
          <w:szCs w:val="22"/>
        </w:rPr>
        <w:t xml:space="preserve"> than short-term gross effects such as mortality.</w:t>
      </w:r>
    </w:p>
    <w:p w14:paraId="7D5B6E6F" w14:textId="77777777" w:rsidR="005840A4" w:rsidRDefault="005840A4" w:rsidP="005B559C">
      <w:pPr>
        <w:ind w:left="0"/>
        <w:rPr>
          <w:rFonts w:ascii="Tahoma" w:hAnsi="Tahoma" w:cs="Arial"/>
          <w:szCs w:val="20"/>
        </w:rPr>
      </w:pPr>
    </w:p>
    <w:p w14:paraId="289D49AD" w14:textId="77777777" w:rsidR="00F347BD" w:rsidRPr="00FB2A23" w:rsidRDefault="00F347BD" w:rsidP="00DC7ED7">
      <w:pPr>
        <w:ind w:left="0"/>
        <w:rPr>
          <w:rFonts w:cs="Arial"/>
          <w:sz w:val="22"/>
          <w:szCs w:val="22"/>
        </w:rPr>
        <w:sectPr w:rsidR="00F347BD" w:rsidRPr="00FB2A23" w:rsidSect="00320821">
          <w:headerReference w:type="even" r:id="rId257"/>
          <w:headerReference w:type="default" r:id="rId258"/>
          <w:footerReference w:type="default" r:id="rId259"/>
          <w:headerReference w:type="first" r:id="rId260"/>
          <w:pgSz w:w="11906" w:h="16838" w:code="9"/>
          <w:pgMar w:top="1525" w:right="1800" w:bottom="1440" w:left="1800" w:header="994" w:footer="706" w:gutter="0"/>
          <w:cols w:space="708"/>
          <w:docGrid w:linePitch="360"/>
        </w:sectPr>
      </w:pPr>
    </w:p>
    <w:p w14:paraId="352046BE" w14:textId="173626FA" w:rsidR="00F347BD" w:rsidRPr="00594614" w:rsidRDefault="007E3F17" w:rsidP="007E3F17">
      <w:pPr>
        <w:spacing w:after="120"/>
        <w:ind w:left="0"/>
        <w:jc w:val="center"/>
        <w:rPr>
          <w:rFonts w:cs="Arial"/>
          <w:b/>
          <w:sz w:val="20"/>
          <w:szCs w:val="20"/>
        </w:rPr>
      </w:pPr>
      <w:r w:rsidRPr="00594614">
        <w:rPr>
          <w:rFonts w:cs="Arial"/>
          <w:b/>
          <w:sz w:val="20"/>
          <w:szCs w:val="20"/>
        </w:rPr>
        <w:lastRenderedPageBreak/>
        <w:t>Table 7.</w:t>
      </w:r>
      <w:r w:rsidR="000B05B8">
        <w:rPr>
          <w:rFonts w:cs="Arial"/>
          <w:b/>
          <w:sz w:val="20"/>
          <w:szCs w:val="20"/>
        </w:rPr>
        <w:t>18</w:t>
      </w:r>
      <w:r w:rsidRPr="00594614">
        <w:rPr>
          <w:rFonts w:cs="Arial"/>
          <w:b/>
          <w:sz w:val="20"/>
          <w:szCs w:val="20"/>
        </w:rPr>
        <w:t>.</w:t>
      </w:r>
      <w:r w:rsidRPr="00594614">
        <w:rPr>
          <w:rFonts w:cs="Arial"/>
          <w:b/>
          <w:sz w:val="20"/>
          <w:szCs w:val="20"/>
        </w:rPr>
        <w:tab/>
        <w:t>Summary of studies investigating the effects of MSS on scallops</w:t>
      </w: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2876"/>
      </w:tblGrid>
      <w:tr w:rsidR="00F347BD" w14:paraId="5E399D47" w14:textId="77777777" w:rsidTr="00514376">
        <w:trPr>
          <w:jc w:val="center"/>
        </w:trPr>
        <w:tc>
          <w:tcPr>
            <w:tcW w:w="12866" w:type="dxa"/>
            <w:shd w:val="clear" w:color="auto" w:fill="auto"/>
          </w:tcPr>
          <w:p w14:paraId="3246B925" w14:textId="1381FCF2" w:rsidR="00F347BD" w:rsidRPr="00514376" w:rsidRDefault="0049030C" w:rsidP="00514376">
            <w:pPr>
              <w:ind w:left="0"/>
              <w:rPr>
                <w:rFonts w:ascii="Tahoma" w:hAnsi="Tahoma" w:cs="Arial"/>
                <w:szCs w:val="20"/>
              </w:rPr>
            </w:pPr>
            <w:r>
              <w:rPr>
                <w:noProof/>
              </w:rPr>
              <w:drawing>
                <wp:inline distT="0" distB="0" distL="0" distR="0" wp14:anchorId="50F52AC2" wp14:editId="68762D1D">
                  <wp:extent cx="8030492" cy="4762500"/>
                  <wp:effectExtent l="0" t="0" r="8890" b="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1" cstate="screen">
                            <a:extLst>
                              <a:ext uri="{28A0092B-C50C-407E-A947-70E740481C1C}">
                                <a14:useLocalDpi xmlns:a14="http://schemas.microsoft.com/office/drawing/2010/main"/>
                              </a:ext>
                            </a:extLst>
                          </a:blip>
                          <a:srcRect/>
                          <a:stretch/>
                        </pic:blipFill>
                        <pic:spPr bwMode="auto">
                          <a:xfrm>
                            <a:off x="0" y="0"/>
                            <a:ext cx="8040255" cy="476829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35388A7" w14:textId="3BB61A92" w:rsidR="007E3F17" w:rsidRPr="00594614" w:rsidRDefault="007E3F17" w:rsidP="00594614">
      <w:pPr>
        <w:spacing w:line="240" w:lineRule="auto"/>
        <w:ind w:left="0" w:firstLine="425"/>
        <w:rPr>
          <w:rFonts w:cs="Arial"/>
          <w:i/>
          <w:sz w:val="16"/>
          <w:szCs w:val="16"/>
        </w:rPr>
      </w:pPr>
      <w:r w:rsidRPr="00594614">
        <w:rPr>
          <w:rFonts w:cs="Arial"/>
          <w:i/>
          <w:sz w:val="16"/>
          <w:szCs w:val="16"/>
        </w:rPr>
        <w:t>Source: Przeslawski et al (</w:t>
      </w:r>
      <w:r w:rsidRPr="005B559C">
        <w:rPr>
          <w:rFonts w:cs="Arial"/>
          <w:i/>
          <w:sz w:val="16"/>
          <w:szCs w:val="16"/>
        </w:rPr>
        <w:t>2016</w:t>
      </w:r>
      <w:r w:rsidR="00594614" w:rsidRPr="005B559C">
        <w:rPr>
          <w:rFonts w:cs="Arial"/>
          <w:i/>
          <w:sz w:val="16"/>
          <w:szCs w:val="16"/>
        </w:rPr>
        <w:t>b</w:t>
      </w:r>
      <w:r w:rsidRPr="005B559C">
        <w:rPr>
          <w:rFonts w:cs="Arial"/>
          <w:i/>
          <w:sz w:val="16"/>
          <w:szCs w:val="16"/>
        </w:rPr>
        <w:t>).</w:t>
      </w:r>
    </w:p>
    <w:p w14:paraId="16AE6309" w14:textId="77777777" w:rsidR="00F347BD" w:rsidRDefault="00F347BD" w:rsidP="00DC7ED7">
      <w:pPr>
        <w:ind w:left="0"/>
        <w:rPr>
          <w:rFonts w:ascii="Tahoma" w:hAnsi="Tahoma" w:cs="Arial"/>
          <w:szCs w:val="20"/>
        </w:rPr>
        <w:sectPr w:rsidR="00F347BD" w:rsidSect="00191E8E">
          <w:headerReference w:type="even" r:id="rId262"/>
          <w:headerReference w:type="default" r:id="rId263"/>
          <w:footerReference w:type="default" r:id="rId264"/>
          <w:headerReference w:type="first" r:id="rId265"/>
          <w:pgSz w:w="16838" w:h="11906" w:orient="landscape" w:code="9"/>
          <w:pgMar w:top="1800" w:right="1930" w:bottom="1800" w:left="1440" w:header="994" w:footer="706" w:gutter="0"/>
          <w:cols w:space="708"/>
          <w:docGrid w:linePitch="360"/>
        </w:sectPr>
      </w:pPr>
    </w:p>
    <w:p w14:paraId="0185F337" w14:textId="4EED50DC" w:rsidR="00340907" w:rsidRPr="00FB2A23" w:rsidRDefault="00340907" w:rsidP="00340907">
      <w:pPr>
        <w:ind w:left="0"/>
        <w:rPr>
          <w:rFonts w:cs="Arial"/>
          <w:sz w:val="22"/>
          <w:szCs w:val="22"/>
        </w:rPr>
      </w:pPr>
      <w:r w:rsidRPr="00FB2A23">
        <w:rPr>
          <w:rFonts w:cs="Arial"/>
          <w:i/>
          <w:sz w:val="22"/>
          <w:szCs w:val="22"/>
        </w:rPr>
        <w:lastRenderedPageBreak/>
        <w:t>UTAS-FRDC 2014 Tasmanian study</w:t>
      </w:r>
    </w:p>
    <w:p w14:paraId="0AD0413A" w14:textId="77777777" w:rsidR="00340907" w:rsidRPr="00FB2A23" w:rsidRDefault="00340907" w:rsidP="00340907">
      <w:pPr>
        <w:ind w:left="0"/>
        <w:rPr>
          <w:rFonts w:cs="Arial"/>
          <w:sz w:val="22"/>
          <w:szCs w:val="22"/>
        </w:rPr>
      </w:pPr>
    </w:p>
    <w:p w14:paraId="1FF26682" w14:textId="44D1E1BB" w:rsidR="00C530BA" w:rsidRDefault="00340907" w:rsidP="00340907">
      <w:pPr>
        <w:ind w:left="0"/>
        <w:rPr>
          <w:rFonts w:cs="Arial"/>
          <w:sz w:val="22"/>
          <w:szCs w:val="22"/>
        </w:rPr>
      </w:pPr>
      <w:r w:rsidRPr="00FB2A23">
        <w:rPr>
          <w:rFonts w:cs="Arial"/>
          <w:sz w:val="22"/>
          <w:szCs w:val="22"/>
        </w:rPr>
        <w:t>In the UTAS-FRDC field experimental (manipulative) study reported by Day et al (2016</w:t>
      </w:r>
      <w:r w:rsidR="00C04BA8">
        <w:rPr>
          <w:rFonts w:cs="Arial"/>
          <w:sz w:val="22"/>
          <w:szCs w:val="22"/>
        </w:rPr>
        <w:t>a</w:t>
      </w:r>
      <w:r w:rsidRPr="00FB2A23">
        <w:rPr>
          <w:rFonts w:cs="Arial"/>
          <w:sz w:val="22"/>
          <w:szCs w:val="22"/>
        </w:rPr>
        <w:t xml:space="preserve">), </w:t>
      </w:r>
      <w:r w:rsidR="00237272">
        <w:rPr>
          <w:rFonts w:cs="Arial"/>
          <w:sz w:val="22"/>
          <w:szCs w:val="22"/>
        </w:rPr>
        <w:t xml:space="preserve">sample populations of </w:t>
      </w:r>
      <w:r w:rsidRPr="00FB2A23">
        <w:rPr>
          <w:rFonts w:cs="Arial"/>
          <w:sz w:val="22"/>
          <w:szCs w:val="22"/>
        </w:rPr>
        <w:t xml:space="preserve">scallops </w:t>
      </w:r>
      <w:r w:rsidR="00237272">
        <w:rPr>
          <w:rFonts w:cs="Arial"/>
          <w:sz w:val="22"/>
          <w:szCs w:val="22"/>
        </w:rPr>
        <w:t xml:space="preserve">(20 individuals in each cohort) </w:t>
      </w:r>
      <w:r w:rsidRPr="00FB2A23">
        <w:rPr>
          <w:rFonts w:cs="Arial"/>
          <w:sz w:val="22"/>
          <w:szCs w:val="22"/>
        </w:rPr>
        <w:t xml:space="preserve">were exposed to the same seismic source parameters and similar exposure conditions during 2013, 2014 and 2015. </w:t>
      </w:r>
    </w:p>
    <w:p w14:paraId="61AB72CB" w14:textId="77777777" w:rsidR="00C530BA" w:rsidRDefault="00C530BA" w:rsidP="00340907">
      <w:pPr>
        <w:ind w:left="0"/>
        <w:rPr>
          <w:rFonts w:cs="Arial"/>
          <w:sz w:val="22"/>
          <w:szCs w:val="22"/>
        </w:rPr>
      </w:pPr>
    </w:p>
    <w:p w14:paraId="095FC099" w14:textId="3227E098" w:rsidR="00C530BA" w:rsidRDefault="00C530BA" w:rsidP="00340907">
      <w:pPr>
        <w:ind w:left="0"/>
        <w:rPr>
          <w:rFonts w:cs="Arial"/>
          <w:sz w:val="22"/>
          <w:szCs w:val="22"/>
        </w:rPr>
      </w:pPr>
      <w:r w:rsidRPr="00DD653E">
        <w:rPr>
          <w:rFonts w:cs="Arial"/>
          <w:sz w:val="22"/>
          <w:szCs w:val="22"/>
        </w:rPr>
        <w:t xml:space="preserve">The research program involved exposure of cohorts of </w:t>
      </w:r>
      <w:r w:rsidR="002D7182" w:rsidRPr="00891DE1">
        <w:rPr>
          <w:rFonts w:cs="Arial"/>
          <w:sz w:val="22"/>
          <w:szCs w:val="22"/>
        </w:rPr>
        <w:t>scallops</w:t>
      </w:r>
      <w:r w:rsidRPr="00DD653E">
        <w:rPr>
          <w:rFonts w:cs="Arial"/>
          <w:sz w:val="22"/>
          <w:szCs w:val="22"/>
        </w:rPr>
        <w:t xml:space="preserve"> to multiple se</w:t>
      </w:r>
      <w:r w:rsidRPr="002D7182">
        <w:rPr>
          <w:rFonts w:cs="Arial"/>
          <w:sz w:val="22"/>
          <w:szCs w:val="22"/>
        </w:rPr>
        <w:t xml:space="preserve">ismic airgun pulses </w:t>
      </w:r>
      <w:r w:rsidR="002D7182" w:rsidRPr="00891DE1">
        <w:rPr>
          <w:rFonts w:cs="Arial"/>
          <w:sz w:val="22"/>
          <w:szCs w:val="22"/>
        </w:rPr>
        <w:t xml:space="preserve">in </w:t>
      </w:r>
      <w:r w:rsidRPr="00DD653E">
        <w:rPr>
          <w:rFonts w:cs="Arial"/>
          <w:sz w:val="22"/>
          <w:szCs w:val="22"/>
        </w:rPr>
        <w:t>sandy substrate</w:t>
      </w:r>
      <w:r w:rsidRPr="002D7182">
        <w:rPr>
          <w:rFonts w:cs="Arial"/>
          <w:sz w:val="22"/>
          <w:szCs w:val="22"/>
        </w:rPr>
        <w:t xml:space="preserve"> in 10-12 m water depths off the coast of Tasmania. The exposed </w:t>
      </w:r>
      <w:r w:rsidR="002D7182" w:rsidRPr="00891DE1">
        <w:rPr>
          <w:rFonts w:cs="Arial"/>
          <w:sz w:val="22"/>
          <w:szCs w:val="22"/>
        </w:rPr>
        <w:t>scallops</w:t>
      </w:r>
      <w:r w:rsidRPr="00DD653E">
        <w:rPr>
          <w:rFonts w:cs="Arial"/>
          <w:sz w:val="22"/>
          <w:szCs w:val="22"/>
        </w:rPr>
        <w:t xml:space="preserve"> </w:t>
      </w:r>
      <w:r w:rsidRPr="002D7182">
        <w:rPr>
          <w:rFonts w:cs="Arial"/>
          <w:sz w:val="22"/>
          <w:szCs w:val="22"/>
        </w:rPr>
        <w:t xml:space="preserve">and control lobsters (no exposure) were examined during subsequent analyses undertaken at 0, 14, and 120 days post-exposure. Exposure experiments were undertaken in July 2013 (45 cui airgun, 2,000 psi), July 2014 (150 cui airgun, 1,300 psi and 2,000 psi) and February 2015 (150 cui airgun, 2,000 psi). The airgun was towed at approximately 5 m depth from a distance of 1 km away </w:t>
      </w:r>
      <w:r w:rsidR="002D7182" w:rsidRPr="00891DE1">
        <w:rPr>
          <w:rFonts w:cs="Arial"/>
          <w:sz w:val="22"/>
          <w:szCs w:val="22"/>
        </w:rPr>
        <w:t xml:space="preserve">from the scallop enclosure </w:t>
      </w:r>
      <w:r w:rsidRPr="00DD653E">
        <w:rPr>
          <w:rFonts w:cs="Arial"/>
          <w:sz w:val="22"/>
          <w:szCs w:val="22"/>
        </w:rPr>
        <w:t xml:space="preserve">and at a speed of approximately 3-4 nm per hour (approximately 5.5-7.4 km/hr) and the shot interval was 11.6 seconds. </w:t>
      </w:r>
      <w:r w:rsidRPr="002D7182">
        <w:rPr>
          <w:rFonts w:cs="Arial"/>
          <w:sz w:val="22"/>
          <w:szCs w:val="22"/>
        </w:rPr>
        <w:t>The maximum calculated exposures were 212 dB re 1 µPaPK-PK, a per-pulse SEL of 190 dB re 1 µPa</w:t>
      </w:r>
      <w:r w:rsidRPr="002D7182">
        <w:rPr>
          <w:rFonts w:cs="Arial"/>
          <w:sz w:val="22"/>
          <w:szCs w:val="22"/>
          <w:vertAlign w:val="superscript"/>
        </w:rPr>
        <w:t>2</w:t>
      </w:r>
      <w:r w:rsidRPr="002D7182">
        <w:rPr>
          <w:rFonts w:cs="Arial"/>
          <w:sz w:val="22"/>
          <w:szCs w:val="22"/>
        </w:rPr>
        <w:t xml:space="preserve">.s, an accumulated SEL of 199 dB re </w:t>
      </w:r>
      <w:r w:rsidR="00EA48C0">
        <w:rPr>
          <w:rFonts w:cs="Arial"/>
          <w:sz w:val="22"/>
          <w:szCs w:val="22"/>
        </w:rPr>
        <w:br/>
      </w:r>
      <w:r w:rsidRPr="002D7182">
        <w:rPr>
          <w:rFonts w:cs="Arial"/>
          <w:sz w:val="22"/>
          <w:szCs w:val="22"/>
        </w:rPr>
        <w:t>1 µPa</w:t>
      </w:r>
      <w:r w:rsidRPr="002D7182">
        <w:rPr>
          <w:rFonts w:cs="Arial"/>
          <w:sz w:val="22"/>
          <w:szCs w:val="22"/>
          <w:vertAlign w:val="superscript"/>
        </w:rPr>
        <w:t>2</w:t>
      </w:r>
      <w:r w:rsidRPr="002D7182">
        <w:rPr>
          <w:rFonts w:cs="Arial"/>
          <w:sz w:val="22"/>
          <w:szCs w:val="22"/>
        </w:rPr>
        <w:t>.s and maximum peak magnitude of ground acceleration of 68 ms</w:t>
      </w:r>
      <w:r w:rsidRPr="002D7182">
        <w:rPr>
          <w:rFonts w:cs="Arial"/>
          <w:sz w:val="22"/>
          <w:szCs w:val="22"/>
          <w:vertAlign w:val="superscript"/>
        </w:rPr>
        <w:t>-2</w:t>
      </w:r>
      <w:r w:rsidRPr="002D7182">
        <w:rPr>
          <w:rFonts w:cs="Arial"/>
          <w:sz w:val="22"/>
          <w:szCs w:val="22"/>
        </w:rPr>
        <w:t>. However, this was likely an outlier.</w:t>
      </w:r>
    </w:p>
    <w:p w14:paraId="396C61CF" w14:textId="77777777" w:rsidR="00C530BA" w:rsidRDefault="00C530BA" w:rsidP="00340907">
      <w:pPr>
        <w:ind w:left="0"/>
        <w:rPr>
          <w:rFonts w:cs="Arial"/>
          <w:sz w:val="22"/>
          <w:szCs w:val="22"/>
        </w:rPr>
      </w:pPr>
    </w:p>
    <w:p w14:paraId="7263030B" w14:textId="31533F2D" w:rsidR="00340907" w:rsidRPr="00FB2A23" w:rsidRDefault="00340907" w:rsidP="00340907">
      <w:pPr>
        <w:ind w:left="0"/>
        <w:rPr>
          <w:rFonts w:cs="Arial"/>
          <w:sz w:val="22"/>
          <w:szCs w:val="22"/>
        </w:rPr>
      </w:pPr>
      <w:r w:rsidRPr="00FB2A23">
        <w:rPr>
          <w:rFonts w:cs="Arial"/>
          <w:sz w:val="22"/>
          <w:szCs w:val="22"/>
        </w:rPr>
        <w:t xml:space="preserve">Captive scallops were subject to multiple passes from the </w:t>
      </w:r>
      <w:r w:rsidR="007A76C2">
        <w:rPr>
          <w:rFonts w:cs="Arial"/>
          <w:sz w:val="22"/>
          <w:szCs w:val="22"/>
        </w:rPr>
        <w:t>MSS</w:t>
      </w:r>
      <w:r w:rsidRPr="00FB2A23">
        <w:rPr>
          <w:rFonts w:cs="Arial"/>
          <w:sz w:val="22"/>
          <w:szCs w:val="22"/>
        </w:rPr>
        <w:t xml:space="preserve"> source at close range; zero passes (control specimens), one, two and four passes. A summary of the results and conclusions for the commercial scallop is as follows:</w:t>
      </w:r>
    </w:p>
    <w:p w14:paraId="5B78B272" w14:textId="77777777" w:rsidR="00340907" w:rsidRPr="00FB2A23" w:rsidRDefault="00340907" w:rsidP="00340907">
      <w:pPr>
        <w:ind w:left="0"/>
        <w:rPr>
          <w:rFonts w:cs="Arial"/>
          <w:sz w:val="22"/>
          <w:szCs w:val="22"/>
        </w:rPr>
      </w:pPr>
    </w:p>
    <w:p w14:paraId="4062A1CC" w14:textId="77777777" w:rsidR="00340907" w:rsidRPr="00FB2A23" w:rsidRDefault="00340907" w:rsidP="00567567">
      <w:pPr>
        <w:pStyle w:val="ColorfulList-Accent11"/>
        <w:numPr>
          <w:ilvl w:val="0"/>
          <w:numId w:val="167"/>
        </w:numPr>
        <w:rPr>
          <w:rFonts w:cs="Arial"/>
          <w:sz w:val="22"/>
          <w:szCs w:val="22"/>
        </w:rPr>
      </w:pPr>
      <w:r w:rsidRPr="00FB2A23">
        <w:rPr>
          <w:rFonts w:cs="Arial"/>
          <w:sz w:val="22"/>
          <w:szCs w:val="22"/>
        </w:rPr>
        <w:t>Exposures did not result in immediate mass mortalities, and overall mortality rates in all three experiments were at the low end of the range of naturally occurring mortality rates in the wild (documented as ranging between 11-51%, with a 6-year mean of 38%). Gwyther and McShane (1988) recorded natural mortality rates in scallops in Port Phillip Bay of up to 40%.</w:t>
      </w:r>
    </w:p>
    <w:p w14:paraId="22E5D58B" w14:textId="4E9367FF" w:rsidR="00340907" w:rsidRPr="00FB2A23" w:rsidRDefault="00340907" w:rsidP="00567567">
      <w:pPr>
        <w:pStyle w:val="ColorfulList-Accent11"/>
        <w:numPr>
          <w:ilvl w:val="0"/>
          <w:numId w:val="167"/>
        </w:numPr>
        <w:rPr>
          <w:rFonts w:cs="Arial"/>
          <w:sz w:val="22"/>
          <w:szCs w:val="22"/>
        </w:rPr>
      </w:pPr>
      <w:r w:rsidRPr="00FB2A23">
        <w:rPr>
          <w:rFonts w:cs="Arial"/>
          <w:sz w:val="22"/>
          <w:szCs w:val="22"/>
        </w:rPr>
        <w:t xml:space="preserve">Repeated exposures resulted in increased mortality </w:t>
      </w:r>
      <w:r w:rsidR="00237272">
        <w:rPr>
          <w:rFonts w:cs="Arial"/>
          <w:sz w:val="22"/>
          <w:szCs w:val="22"/>
        </w:rPr>
        <w:t xml:space="preserve">rates </w:t>
      </w:r>
      <w:r w:rsidRPr="00FB2A23">
        <w:rPr>
          <w:rFonts w:cs="Arial"/>
          <w:sz w:val="22"/>
          <w:szCs w:val="22"/>
        </w:rPr>
        <w:t xml:space="preserve">with time post-exposure when compared with control specimens. </w:t>
      </w:r>
    </w:p>
    <w:p w14:paraId="663E0571" w14:textId="77777777" w:rsidR="00340907" w:rsidRPr="00FB2A23" w:rsidRDefault="00340907" w:rsidP="00567567">
      <w:pPr>
        <w:pStyle w:val="ColorfulList-Accent11"/>
        <w:numPr>
          <w:ilvl w:val="0"/>
          <w:numId w:val="167"/>
        </w:numPr>
        <w:rPr>
          <w:rFonts w:cs="Arial"/>
          <w:sz w:val="22"/>
          <w:szCs w:val="22"/>
        </w:rPr>
      </w:pPr>
      <w:r w:rsidRPr="00FB2A23">
        <w:rPr>
          <w:rFonts w:cs="Arial"/>
          <w:sz w:val="22"/>
          <w:szCs w:val="22"/>
        </w:rPr>
        <w:t xml:space="preserve">After 120 days, the following mortalities were recorded for the 0-pass, 1-pass, 2-pass and 4-pass treatments: </w:t>
      </w:r>
    </w:p>
    <w:p w14:paraId="7463B8FB" w14:textId="77777777" w:rsidR="00340907" w:rsidRPr="00FB2A23" w:rsidRDefault="00340907" w:rsidP="00567567">
      <w:pPr>
        <w:pStyle w:val="ColorfulList-Accent11"/>
        <w:numPr>
          <w:ilvl w:val="1"/>
          <w:numId w:val="167"/>
        </w:numPr>
        <w:rPr>
          <w:rFonts w:cs="Arial"/>
          <w:sz w:val="22"/>
          <w:szCs w:val="22"/>
        </w:rPr>
      </w:pPr>
      <w:r w:rsidRPr="00FB2A23">
        <w:rPr>
          <w:rFonts w:cs="Arial"/>
          <w:sz w:val="22"/>
          <w:szCs w:val="22"/>
        </w:rPr>
        <w:t>2013 experiment - mortalities of 3.8%, 8.9%, 10.3% and 13.3% were recorded.</w:t>
      </w:r>
    </w:p>
    <w:p w14:paraId="30BC7BD5" w14:textId="77777777" w:rsidR="00340907" w:rsidRPr="00FB2A23" w:rsidRDefault="00340907" w:rsidP="00567567">
      <w:pPr>
        <w:pStyle w:val="ColorfulList-Accent11"/>
        <w:numPr>
          <w:ilvl w:val="1"/>
          <w:numId w:val="167"/>
        </w:numPr>
        <w:rPr>
          <w:rFonts w:cs="Arial"/>
          <w:sz w:val="22"/>
          <w:szCs w:val="22"/>
        </w:rPr>
      </w:pPr>
      <w:r w:rsidRPr="00FB2A23">
        <w:rPr>
          <w:rFonts w:cs="Arial"/>
          <w:sz w:val="22"/>
          <w:szCs w:val="22"/>
        </w:rPr>
        <w:t>2014 experiment - mortalities of 3.6%, 11.3%, 16% and 17.5% were recorded.</w:t>
      </w:r>
    </w:p>
    <w:p w14:paraId="49E75D97" w14:textId="42CDA17E" w:rsidR="00340907" w:rsidRPr="00FB2A23" w:rsidRDefault="00340907" w:rsidP="00567567">
      <w:pPr>
        <w:pStyle w:val="ColorfulList-Accent11"/>
        <w:numPr>
          <w:ilvl w:val="1"/>
          <w:numId w:val="167"/>
        </w:numPr>
        <w:rPr>
          <w:rFonts w:cs="Arial"/>
          <w:sz w:val="22"/>
          <w:szCs w:val="22"/>
        </w:rPr>
      </w:pPr>
      <w:r w:rsidRPr="00FB2A23">
        <w:rPr>
          <w:rFonts w:cs="Arial"/>
          <w:sz w:val="22"/>
          <w:szCs w:val="22"/>
        </w:rPr>
        <w:t xml:space="preserve">2015 experiment - complete mortality of all control and exposed scallops occurred by day 120. </w:t>
      </w:r>
    </w:p>
    <w:p w14:paraId="4BFE4112" w14:textId="77777777" w:rsidR="00340907" w:rsidRPr="00FB2A23" w:rsidRDefault="00340907" w:rsidP="00567567">
      <w:pPr>
        <w:pStyle w:val="ColorfulList-Accent11"/>
        <w:numPr>
          <w:ilvl w:val="0"/>
          <w:numId w:val="167"/>
        </w:numPr>
        <w:rPr>
          <w:rFonts w:cs="Arial"/>
          <w:sz w:val="22"/>
          <w:szCs w:val="22"/>
        </w:rPr>
      </w:pPr>
      <w:r w:rsidRPr="00FB2A23">
        <w:rPr>
          <w:rFonts w:cs="Arial"/>
          <w:sz w:val="22"/>
          <w:szCs w:val="22"/>
        </w:rPr>
        <w:t>Most mortalities were recorded 120 days following multiple passes of the seismic source, indicating that exposures may have a chronic effect on scallops.</w:t>
      </w:r>
    </w:p>
    <w:p w14:paraId="741339DC" w14:textId="77777777" w:rsidR="00340907" w:rsidRPr="00FB2A23" w:rsidRDefault="00340907" w:rsidP="00567567">
      <w:pPr>
        <w:pStyle w:val="ColorfulList-Accent11"/>
        <w:numPr>
          <w:ilvl w:val="0"/>
          <w:numId w:val="167"/>
        </w:numPr>
        <w:rPr>
          <w:rFonts w:cs="Arial"/>
          <w:sz w:val="22"/>
          <w:szCs w:val="22"/>
        </w:rPr>
      </w:pPr>
      <w:r w:rsidRPr="00FB2A23">
        <w:rPr>
          <w:rFonts w:cs="Arial"/>
          <w:sz w:val="22"/>
          <w:szCs w:val="22"/>
        </w:rPr>
        <w:t>Haemolymph biochemistry was also impacted up to 120 days post-exposure.</w:t>
      </w:r>
    </w:p>
    <w:p w14:paraId="209FA376" w14:textId="77777777" w:rsidR="00340907" w:rsidRPr="00FB2A23" w:rsidRDefault="00340907" w:rsidP="00567567">
      <w:pPr>
        <w:pStyle w:val="ColorfulList-Accent11"/>
        <w:numPr>
          <w:ilvl w:val="0"/>
          <w:numId w:val="167"/>
        </w:numPr>
        <w:rPr>
          <w:rFonts w:cs="Arial"/>
          <w:sz w:val="22"/>
          <w:szCs w:val="22"/>
        </w:rPr>
      </w:pPr>
      <w:r w:rsidRPr="00FB2A23">
        <w:rPr>
          <w:rFonts w:cs="Arial"/>
          <w:sz w:val="22"/>
          <w:szCs w:val="22"/>
        </w:rPr>
        <w:t xml:space="preserve">Scallop behaviour was altered by exposure to air gun signals, with a decrease in classic behaviours (positioning, mantle irrigation and swimming) and increase in novel behaviours. Exposure did not elicit energetically expensive behaviours such as swimming or extensive valve closure.  </w:t>
      </w:r>
    </w:p>
    <w:p w14:paraId="274EA722" w14:textId="77777777" w:rsidR="00340907" w:rsidRPr="00FB2A23" w:rsidRDefault="00340907" w:rsidP="00567567">
      <w:pPr>
        <w:pStyle w:val="ColorfulList-Accent11"/>
        <w:numPr>
          <w:ilvl w:val="0"/>
          <w:numId w:val="167"/>
        </w:numPr>
        <w:rPr>
          <w:rFonts w:cs="Arial"/>
          <w:sz w:val="22"/>
          <w:szCs w:val="22"/>
        </w:rPr>
      </w:pPr>
      <w:r w:rsidRPr="00FB2A23">
        <w:rPr>
          <w:rFonts w:cs="Arial"/>
          <w:sz w:val="22"/>
          <w:szCs w:val="22"/>
        </w:rPr>
        <w:t xml:space="preserve">Scallop reflexes were affected, with exposure resulting in faster recessing in sediments and some specimens in one experiment showing a possible reduced ability to right itself following exposure. </w:t>
      </w:r>
    </w:p>
    <w:p w14:paraId="0F6E7ED9" w14:textId="77777777" w:rsidR="00340907" w:rsidRPr="00FB2A23" w:rsidRDefault="00340907" w:rsidP="00567567">
      <w:pPr>
        <w:pStyle w:val="ColorfulList-Accent11"/>
        <w:numPr>
          <w:ilvl w:val="0"/>
          <w:numId w:val="167"/>
        </w:numPr>
        <w:spacing w:after="240"/>
        <w:rPr>
          <w:rFonts w:cs="Arial"/>
          <w:sz w:val="22"/>
          <w:szCs w:val="22"/>
        </w:rPr>
      </w:pPr>
      <w:r w:rsidRPr="00FB2A23">
        <w:rPr>
          <w:rFonts w:cs="Arial"/>
          <w:sz w:val="22"/>
          <w:szCs w:val="22"/>
        </w:rPr>
        <w:t xml:space="preserve">Additional measurements were made measuring adductor muscle mass; shell length, width and height; and whole animal mass, wet tissue mass and </w:t>
      </w:r>
      <w:r w:rsidRPr="00FB2A23">
        <w:rPr>
          <w:rFonts w:cs="Arial"/>
          <w:sz w:val="22"/>
          <w:szCs w:val="22"/>
        </w:rPr>
        <w:lastRenderedPageBreak/>
        <w:t>shell mass. None of these measurements showed any statistical difference between control and exposure level.</w:t>
      </w:r>
    </w:p>
    <w:p w14:paraId="6BACF869" w14:textId="07DF8F1B" w:rsidR="002A6721" w:rsidRPr="002A6721" w:rsidRDefault="002A6721" w:rsidP="002A6721">
      <w:pPr>
        <w:ind w:left="0"/>
        <w:rPr>
          <w:rFonts w:cs="Arial"/>
          <w:sz w:val="22"/>
          <w:szCs w:val="22"/>
        </w:rPr>
      </w:pPr>
      <w:r w:rsidRPr="00C411CB">
        <w:rPr>
          <w:rFonts w:cs="Arial"/>
          <w:sz w:val="22"/>
          <w:szCs w:val="22"/>
        </w:rPr>
        <w:t xml:space="preserve">The results indicate that exposure to impulses from an airgun source associated with a </w:t>
      </w:r>
      <w:r>
        <w:rPr>
          <w:rFonts w:cs="Arial"/>
          <w:sz w:val="22"/>
          <w:szCs w:val="22"/>
        </w:rPr>
        <w:t>MSS</w:t>
      </w:r>
      <w:r w:rsidRPr="00C411CB">
        <w:rPr>
          <w:rFonts w:cs="Arial"/>
          <w:sz w:val="22"/>
          <w:szCs w:val="22"/>
        </w:rPr>
        <w:t xml:space="preserve"> may result in the mortality of some scallops as well as some impaired reflexes and immunity response if the seismic source passes in close proximity or directly overhead. </w:t>
      </w:r>
      <w:r w:rsidRPr="002A6721">
        <w:rPr>
          <w:rFonts w:cs="Arial"/>
          <w:sz w:val="22"/>
          <w:szCs w:val="22"/>
        </w:rPr>
        <w:t>Day et al (2016</w:t>
      </w:r>
      <w:r w:rsidR="00C04BA8">
        <w:rPr>
          <w:rFonts w:cs="Arial"/>
          <w:sz w:val="22"/>
          <w:szCs w:val="22"/>
        </w:rPr>
        <w:t>a</w:t>
      </w:r>
      <w:r w:rsidRPr="002A6721">
        <w:rPr>
          <w:rFonts w:cs="Arial"/>
          <w:sz w:val="22"/>
          <w:szCs w:val="22"/>
        </w:rPr>
        <w:t xml:space="preserve">) </w:t>
      </w:r>
      <w:r w:rsidRPr="00C411CB">
        <w:rPr>
          <w:rFonts w:cs="Arial"/>
          <w:sz w:val="22"/>
          <w:szCs w:val="22"/>
        </w:rPr>
        <w:t xml:space="preserve">also </w:t>
      </w:r>
      <w:r w:rsidRPr="002A6721">
        <w:rPr>
          <w:rFonts w:cs="Arial"/>
          <w:sz w:val="22"/>
          <w:szCs w:val="22"/>
        </w:rPr>
        <w:t xml:space="preserve">indicated that exposure, particularly repeated exposure, did result in significantly increased mortality compared to unexposed controls. </w:t>
      </w:r>
    </w:p>
    <w:p w14:paraId="65C2C2F6" w14:textId="77777777" w:rsidR="002A6721" w:rsidRPr="00C411CB" w:rsidRDefault="002A6721" w:rsidP="002A6721">
      <w:pPr>
        <w:ind w:left="0"/>
        <w:rPr>
          <w:rFonts w:cs="Arial"/>
          <w:sz w:val="22"/>
          <w:szCs w:val="22"/>
        </w:rPr>
      </w:pPr>
    </w:p>
    <w:p w14:paraId="7BBE4A14" w14:textId="15A5B83F" w:rsidR="002A6721" w:rsidRDefault="002A6721" w:rsidP="002A6721">
      <w:pPr>
        <w:ind w:left="0"/>
        <w:rPr>
          <w:rFonts w:cs="Arial"/>
          <w:sz w:val="22"/>
          <w:szCs w:val="22"/>
        </w:rPr>
      </w:pPr>
      <w:r w:rsidRPr="002A6721">
        <w:rPr>
          <w:rFonts w:cs="Arial"/>
          <w:sz w:val="22"/>
          <w:szCs w:val="22"/>
        </w:rPr>
        <w:t>The authors of Day et al (2016</w:t>
      </w:r>
      <w:r w:rsidR="0081583F">
        <w:rPr>
          <w:rFonts w:cs="Arial"/>
          <w:sz w:val="22"/>
          <w:szCs w:val="22"/>
        </w:rPr>
        <w:t>a</w:t>
      </w:r>
      <w:r w:rsidRPr="002A6721">
        <w:rPr>
          <w:rFonts w:cs="Arial"/>
          <w:sz w:val="22"/>
          <w:szCs w:val="22"/>
        </w:rPr>
        <w:t>) rejected the hypothesis that ‘exposure to seismic airguns causes immediate mass mortality, defined as an increase in mortality rate of sufficient proportion to affect population size significantly’.</w:t>
      </w:r>
    </w:p>
    <w:p w14:paraId="60BE0458" w14:textId="77777777" w:rsidR="002A6721" w:rsidRPr="002A6721" w:rsidRDefault="002A6721" w:rsidP="002A6721">
      <w:pPr>
        <w:ind w:left="0"/>
        <w:rPr>
          <w:rFonts w:cs="Arial"/>
          <w:sz w:val="22"/>
          <w:szCs w:val="22"/>
        </w:rPr>
      </w:pPr>
    </w:p>
    <w:p w14:paraId="4E2CE4FD" w14:textId="6753FA35" w:rsidR="002A6721" w:rsidRDefault="00C530BA" w:rsidP="002A6721">
      <w:pPr>
        <w:ind w:left="0"/>
        <w:rPr>
          <w:rFonts w:cs="Arial"/>
          <w:sz w:val="22"/>
          <w:szCs w:val="22"/>
        </w:rPr>
      </w:pPr>
      <w:r w:rsidRPr="00891DE1">
        <w:rPr>
          <w:rFonts w:cs="Arial"/>
          <w:sz w:val="22"/>
          <w:szCs w:val="22"/>
        </w:rPr>
        <w:t>T</w:t>
      </w:r>
      <w:r w:rsidR="002A6721" w:rsidRPr="009F3D4F">
        <w:rPr>
          <w:rFonts w:cs="Arial"/>
          <w:sz w:val="22"/>
          <w:szCs w:val="22"/>
        </w:rPr>
        <w:t>he experimental mortality rates at 120 days’ post</w:t>
      </w:r>
      <w:r w:rsidRPr="00891DE1">
        <w:rPr>
          <w:rFonts w:cs="Arial"/>
          <w:sz w:val="22"/>
          <w:szCs w:val="22"/>
        </w:rPr>
        <w:t>-</w:t>
      </w:r>
      <w:r w:rsidR="002A6721" w:rsidRPr="009F3D4F">
        <w:rPr>
          <w:rFonts w:cs="Arial"/>
          <w:sz w:val="22"/>
          <w:szCs w:val="22"/>
        </w:rPr>
        <w:t xml:space="preserve">seismic airgun exposure were between 9.4% and 20%. These </w:t>
      </w:r>
      <w:r w:rsidRPr="00891DE1">
        <w:rPr>
          <w:rFonts w:cs="Arial"/>
          <w:sz w:val="22"/>
          <w:szCs w:val="22"/>
        </w:rPr>
        <w:t>are</w:t>
      </w:r>
      <w:r w:rsidRPr="00DD653E">
        <w:rPr>
          <w:rFonts w:cs="Arial"/>
          <w:sz w:val="22"/>
          <w:szCs w:val="22"/>
        </w:rPr>
        <w:t xml:space="preserve"> </w:t>
      </w:r>
      <w:r w:rsidR="002A6721" w:rsidRPr="009F3D4F">
        <w:rPr>
          <w:rFonts w:cs="Arial"/>
          <w:sz w:val="22"/>
          <w:szCs w:val="22"/>
        </w:rPr>
        <w:t>towards the low end of what might be expected from natural mortality rates. Even the highest levels of mortality recorded, 17.5% and 20% suffered by 4-pass treatments from the 2014 and 2015 experiments, were assessed by the authors to be modest compared to naturally occurring mortality rates in scallops.</w:t>
      </w:r>
    </w:p>
    <w:p w14:paraId="0B613CC5" w14:textId="77777777" w:rsidR="002A6721" w:rsidRPr="002A6721" w:rsidRDefault="002A6721" w:rsidP="002A6721">
      <w:pPr>
        <w:ind w:left="0"/>
        <w:rPr>
          <w:rFonts w:cs="Arial"/>
          <w:sz w:val="22"/>
          <w:szCs w:val="22"/>
        </w:rPr>
      </w:pPr>
    </w:p>
    <w:p w14:paraId="6DD4D287" w14:textId="77777777" w:rsidR="00E71951" w:rsidRDefault="00E71951" w:rsidP="00340907">
      <w:pPr>
        <w:ind w:left="0"/>
        <w:rPr>
          <w:rFonts w:cs="Arial"/>
          <w:sz w:val="22"/>
          <w:szCs w:val="22"/>
        </w:rPr>
      </w:pPr>
    </w:p>
    <w:p w14:paraId="1351ECF8" w14:textId="49E9404D" w:rsidR="00C04DCD" w:rsidRDefault="00C04DCD" w:rsidP="00E71951">
      <w:pPr>
        <w:ind w:left="0"/>
        <w:rPr>
          <w:rFonts w:cs="Arial"/>
          <w:sz w:val="22"/>
          <w:szCs w:val="22"/>
        </w:rPr>
      </w:pPr>
    </w:p>
    <w:p w14:paraId="71AE7C96" w14:textId="77777777" w:rsidR="00E71951" w:rsidRDefault="00E71951" w:rsidP="00E71951">
      <w:pPr>
        <w:ind w:left="0"/>
        <w:rPr>
          <w:rFonts w:cs="Arial"/>
          <w:sz w:val="22"/>
          <w:szCs w:val="22"/>
        </w:rPr>
      </w:pPr>
    </w:p>
    <w:p w14:paraId="4DEE7FF3" w14:textId="77777777" w:rsidR="00E71951" w:rsidRPr="00B77BDC" w:rsidRDefault="00E71951" w:rsidP="00E71951">
      <w:pPr>
        <w:ind w:left="0"/>
        <w:rPr>
          <w:rFonts w:cs="Arial"/>
          <w:sz w:val="22"/>
          <w:szCs w:val="22"/>
        </w:rPr>
        <w:sectPr w:rsidR="00E71951" w:rsidRPr="00B77BDC" w:rsidSect="00B03966">
          <w:headerReference w:type="default" r:id="rId266"/>
          <w:footerReference w:type="default" r:id="rId267"/>
          <w:pgSz w:w="11906" w:h="16838" w:code="9"/>
          <w:pgMar w:top="840" w:right="1800" w:bottom="1440" w:left="1800" w:header="994" w:footer="706" w:gutter="0"/>
          <w:cols w:space="708"/>
          <w:docGrid w:linePitch="360"/>
        </w:sectPr>
      </w:pPr>
    </w:p>
    <w:tbl>
      <w:tblPr>
        <w:tblW w:w="0" w:type="auto"/>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1590"/>
      </w:tblGrid>
      <w:tr w:rsidR="00E71951" w14:paraId="539D5E57" w14:textId="77777777" w:rsidTr="00E71951">
        <w:trPr>
          <w:jc w:val="center"/>
        </w:trPr>
        <w:tc>
          <w:tcPr>
            <w:tcW w:w="11590" w:type="dxa"/>
            <w:shd w:val="clear" w:color="auto" w:fill="auto"/>
          </w:tcPr>
          <w:p w14:paraId="51AF780D" w14:textId="1454AA42" w:rsidR="00E71951" w:rsidRPr="00B75C22" w:rsidRDefault="0049030C" w:rsidP="00E71951">
            <w:pPr>
              <w:ind w:left="0"/>
              <w:jc w:val="center"/>
              <w:rPr>
                <w:noProof/>
              </w:rPr>
            </w:pPr>
            <w:r>
              <w:rPr>
                <w:noProof/>
              </w:rPr>
              <w:lastRenderedPageBreak/>
              <w:drawing>
                <wp:inline distT="0" distB="0" distL="0" distR="0" wp14:anchorId="1445C177" wp14:editId="531BB1EB">
                  <wp:extent cx="5499100" cy="3935793"/>
                  <wp:effectExtent l="0" t="0" r="0" b="1270"/>
                  <wp:docPr id="747" name="Picture 747" descr="Macintosh HD:Users:Giulio:Desktop:Screen Shot 2017-08-03 at 2.25.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Giulio:Desktop:Screen Shot 2017-08-03 at 2.25.16 PM.png"/>
                          <pic:cNvPicPr>
                            <a:picLocks noChangeAspect="1" noChangeArrowheads="1"/>
                          </pic:cNvPicPr>
                        </pic:nvPicPr>
                        <pic:blipFill>
                          <a:blip r:embed="rId268" cstate="screen">
                            <a:extLst>
                              <a:ext uri="{28A0092B-C50C-407E-A947-70E740481C1C}">
                                <a14:useLocalDpi xmlns:a14="http://schemas.microsoft.com/office/drawing/2010/main"/>
                              </a:ext>
                            </a:extLst>
                          </a:blip>
                          <a:srcRect/>
                          <a:stretch>
                            <a:fillRect/>
                          </a:stretch>
                        </pic:blipFill>
                        <pic:spPr bwMode="auto">
                          <a:xfrm>
                            <a:off x="0" y="0"/>
                            <a:ext cx="5500036" cy="3936463"/>
                          </a:xfrm>
                          <a:prstGeom prst="rect">
                            <a:avLst/>
                          </a:prstGeom>
                          <a:noFill/>
                          <a:ln>
                            <a:noFill/>
                          </a:ln>
                        </pic:spPr>
                      </pic:pic>
                    </a:graphicData>
                  </a:graphic>
                </wp:inline>
              </w:drawing>
            </w:r>
          </w:p>
        </w:tc>
      </w:tr>
      <w:tr w:rsidR="00E71951" w14:paraId="4EFC8D90" w14:textId="77777777" w:rsidTr="00E71951">
        <w:trPr>
          <w:jc w:val="center"/>
        </w:trPr>
        <w:tc>
          <w:tcPr>
            <w:tcW w:w="11590" w:type="dxa"/>
            <w:shd w:val="clear" w:color="auto" w:fill="auto"/>
          </w:tcPr>
          <w:p w14:paraId="573924B8" w14:textId="77777777" w:rsidR="00E71951" w:rsidRPr="00FC79B0" w:rsidRDefault="00E71951" w:rsidP="00E71951">
            <w:pPr>
              <w:autoSpaceDE w:val="0"/>
              <w:autoSpaceDN w:val="0"/>
              <w:adjustRightInd w:val="0"/>
              <w:spacing w:line="240" w:lineRule="auto"/>
              <w:ind w:left="0"/>
              <w:rPr>
                <w:rFonts w:cs="Arial"/>
                <w:sz w:val="18"/>
                <w:szCs w:val="18"/>
              </w:rPr>
            </w:pPr>
            <w:r w:rsidRPr="00FC79B0">
              <w:rPr>
                <w:rFonts w:cs="Arial"/>
                <w:sz w:val="18"/>
                <w:szCs w:val="18"/>
              </w:rPr>
              <w:t>Impacts are classified according to the sound exposure treatments as:</w:t>
            </w:r>
          </w:p>
          <w:p w14:paraId="46427D03" w14:textId="77777777" w:rsidR="00E71951" w:rsidRPr="00FC79B0" w:rsidRDefault="00E71951" w:rsidP="00E71951">
            <w:pPr>
              <w:pStyle w:val="ColorfulList-Accent11"/>
              <w:numPr>
                <w:ilvl w:val="0"/>
                <w:numId w:val="162"/>
              </w:numPr>
              <w:autoSpaceDE w:val="0"/>
              <w:autoSpaceDN w:val="0"/>
              <w:adjustRightInd w:val="0"/>
              <w:spacing w:line="240" w:lineRule="auto"/>
              <w:rPr>
                <w:rFonts w:cs="Arial"/>
                <w:noProof/>
              </w:rPr>
            </w:pPr>
            <w:r w:rsidRPr="00FC79B0">
              <w:rPr>
                <w:rFonts w:cs="Arial"/>
                <w:sz w:val="18"/>
                <w:szCs w:val="18"/>
              </w:rPr>
              <w:t>Realistic (i.e., short bursts of low frequency sound at a distance of &lt;1–2 m); or</w:t>
            </w:r>
          </w:p>
          <w:p w14:paraId="7FC2B194" w14:textId="77777777" w:rsidR="00E71951" w:rsidRPr="00FC79B0" w:rsidRDefault="00E71951" w:rsidP="00E71951">
            <w:pPr>
              <w:pStyle w:val="ColorfulList-Accent11"/>
              <w:numPr>
                <w:ilvl w:val="0"/>
                <w:numId w:val="162"/>
              </w:numPr>
              <w:autoSpaceDE w:val="0"/>
              <w:autoSpaceDN w:val="0"/>
              <w:adjustRightInd w:val="0"/>
              <w:spacing w:after="120" w:line="240" w:lineRule="auto"/>
              <w:rPr>
                <w:rFonts w:cs="Arial"/>
                <w:noProof/>
              </w:rPr>
            </w:pPr>
            <w:r w:rsidRPr="00FC79B0">
              <w:rPr>
                <w:rFonts w:cs="Arial"/>
                <w:sz w:val="18"/>
                <w:szCs w:val="18"/>
              </w:rPr>
              <w:t xml:space="preserve">Unknown/unrealistic (i.e., long duration and/or short distance of &lt;2 m to sound source, nearfield sound exposure in aquaria). </w:t>
            </w:r>
          </w:p>
          <w:p w14:paraId="6B2384A2" w14:textId="77777777" w:rsidR="00E71951" w:rsidRPr="00FC79B0" w:rsidRDefault="00E71951" w:rsidP="00E71951">
            <w:pPr>
              <w:ind w:left="0"/>
              <w:rPr>
                <w:rFonts w:cs="Arial"/>
                <w:sz w:val="18"/>
                <w:szCs w:val="18"/>
              </w:rPr>
            </w:pPr>
            <w:r w:rsidRPr="00FC79B0">
              <w:rPr>
                <w:rFonts w:cs="Arial"/>
                <w:sz w:val="18"/>
                <w:szCs w:val="18"/>
              </w:rPr>
              <w:t>There are significant differences between seismic studies regarding sound exposure and the environment in which studies were conducted.</w:t>
            </w:r>
          </w:p>
          <w:p w14:paraId="4CA41D15" w14:textId="77777777" w:rsidR="00E71951" w:rsidRDefault="00E71951" w:rsidP="00E71951">
            <w:pPr>
              <w:ind w:left="0"/>
              <w:rPr>
                <w:noProof/>
              </w:rPr>
            </w:pPr>
          </w:p>
        </w:tc>
      </w:tr>
    </w:tbl>
    <w:p w14:paraId="49CFAC79" w14:textId="77777777" w:rsidR="00E71951" w:rsidRPr="00505A03" w:rsidRDefault="00E71951" w:rsidP="00E71951">
      <w:pPr>
        <w:spacing w:after="120"/>
        <w:ind w:left="0" w:firstLine="851"/>
        <w:rPr>
          <w:rFonts w:cs="Arial"/>
          <w:i/>
          <w:sz w:val="16"/>
          <w:szCs w:val="16"/>
          <w:lang w:val="fr-FR"/>
        </w:rPr>
      </w:pPr>
      <w:r w:rsidRPr="00505A03">
        <w:rPr>
          <w:rFonts w:cs="Arial"/>
          <w:i/>
          <w:sz w:val="16"/>
          <w:szCs w:val="16"/>
          <w:lang w:val="fr-FR"/>
        </w:rPr>
        <w:t>Source: Carroll et al (2017).</w:t>
      </w:r>
    </w:p>
    <w:p w14:paraId="3F186BA8" w14:textId="77777777" w:rsidR="00E71951" w:rsidRPr="00B77BDC" w:rsidRDefault="00E71951" w:rsidP="00E71951">
      <w:pPr>
        <w:ind w:left="0"/>
        <w:jc w:val="center"/>
        <w:rPr>
          <w:rFonts w:cs="Arial"/>
          <w:b/>
          <w:sz w:val="20"/>
          <w:szCs w:val="20"/>
        </w:rPr>
      </w:pPr>
      <w:r w:rsidRPr="00505A03">
        <w:rPr>
          <w:rFonts w:cs="Arial"/>
          <w:b/>
          <w:sz w:val="20"/>
          <w:szCs w:val="20"/>
          <w:lang w:val="fr-FR"/>
        </w:rPr>
        <w:t>Figure 7.6.</w:t>
      </w:r>
      <w:r w:rsidRPr="00505A03">
        <w:rPr>
          <w:rFonts w:cs="Arial"/>
          <w:b/>
          <w:sz w:val="20"/>
          <w:szCs w:val="20"/>
          <w:lang w:val="fr-FR"/>
        </w:rPr>
        <w:tab/>
      </w:r>
      <w:r w:rsidRPr="00B77BDC">
        <w:rPr>
          <w:rFonts w:cs="Arial"/>
          <w:b/>
          <w:sz w:val="20"/>
          <w:szCs w:val="20"/>
        </w:rPr>
        <w:t>A summary of the potential impacts of low-frequency sound on various responses of marine invertebrates</w:t>
      </w:r>
    </w:p>
    <w:p w14:paraId="26E6F3BC" w14:textId="77777777" w:rsidR="00E71951" w:rsidRPr="00B77BDC" w:rsidRDefault="00E71951" w:rsidP="00E71951">
      <w:pPr>
        <w:ind w:left="0"/>
        <w:jc w:val="center"/>
        <w:rPr>
          <w:rFonts w:cs="Arial"/>
          <w:b/>
          <w:sz w:val="20"/>
          <w:szCs w:val="20"/>
        </w:rPr>
        <w:sectPr w:rsidR="00E71951" w:rsidRPr="00B77BDC" w:rsidSect="00191E8E">
          <w:headerReference w:type="even" r:id="rId269"/>
          <w:headerReference w:type="default" r:id="rId270"/>
          <w:footerReference w:type="default" r:id="rId271"/>
          <w:headerReference w:type="first" r:id="rId272"/>
          <w:pgSz w:w="16838" w:h="11906" w:orient="landscape" w:code="9"/>
          <w:pgMar w:top="1800" w:right="1930" w:bottom="1800" w:left="1440" w:header="994" w:footer="706" w:gutter="0"/>
          <w:cols w:space="708"/>
          <w:docGrid w:linePitch="360"/>
        </w:sectPr>
      </w:pPr>
    </w:p>
    <w:p w14:paraId="6A14CC37" w14:textId="77777777" w:rsidR="00237272" w:rsidRDefault="00237272" w:rsidP="00237272">
      <w:pPr>
        <w:ind w:left="0"/>
        <w:rPr>
          <w:rFonts w:cs="Arial"/>
          <w:sz w:val="22"/>
          <w:szCs w:val="22"/>
          <w:u w:val="single"/>
        </w:rPr>
      </w:pPr>
      <w:r w:rsidRPr="00260A89">
        <w:rPr>
          <w:rFonts w:cs="Arial"/>
          <w:sz w:val="22"/>
          <w:szCs w:val="22"/>
          <w:u w:val="single"/>
        </w:rPr>
        <w:lastRenderedPageBreak/>
        <w:t>Thresholds for STLM</w:t>
      </w:r>
    </w:p>
    <w:p w14:paraId="3AEB5217" w14:textId="77777777" w:rsidR="00237272" w:rsidRPr="00260A89" w:rsidRDefault="00237272" w:rsidP="00237272">
      <w:pPr>
        <w:ind w:left="0"/>
        <w:rPr>
          <w:rFonts w:cs="Arial"/>
          <w:sz w:val="22"/>
          <w:szCs w:val="22"/>
          <w:u w:val="single"/>
        </w:rPr>
      </w:pPr>
    </w:p>
    <w:p w14:paraId="73AA429F" w14:textId="7D0E3A74" w:rsidR="00AF47E5" w:rsidRDefault="00237272" w:rsidP="00237272">
      <w:pPr>
        <w:ind w:left="0"/>
        <w:rPr>
          <w:rFonts w:cs="Arial"/>
          <w:sz w:val="22"/>
          <w:szCs w:val="22"/>
        </w:rPr>
      </w:pPr>
      <w:r w:rsidRPr="0029358B">
        <w:rPr>
          <w:rFonts w:cs="Arial"/>
          <w:sz w:val="22"/>
          <w:szCs w:val="22"/>
        </w:rPr>
        <w:t xml:space="preserve">The </w:t>
      </w:r>
      <w:r>
        <w:rPr>
          <w:rFonts w:cs="Arial"/>
          <w:sz w:val="22"/>
          <w:szCs w:val="22"/>
        </w:rPr>
        <w:t>Day et al (2016a)</w:t>
      </w:r>
      <w:r w:rsidRPr="0029358B">
        <w:rPr>
          <w:rFonts w:cs="Arial"/>
          <w:sz w:val="22"/>
          <w:szCs w:val="22"/>
        </w:rPr>
        <w:t xml:space="preserve"> study is one of the first to report persistent physiological </w:t>
      </w:r>
      <w:r w:rsidR="00AF47E5">
        <w:rPr>
          <w:rFonts w:cs="Arial"/>
          <w:sz w:val="22"/>
          <w:szCs w:val="22"/>
        </w:rPr>
        <w:t xml:space="preserve">effects (for scallops and lobsters) </w:t>
      </w:r>
      <w:r w:rsidRPr="0029358B">
        <w:rPr>
          <w:rFonts w:cs="Arial"/>
          <w:sz w:val="22"/>
          <w:szCs w:val="22"/>
        </w:rPr>
        <w:t xml:space="preserve">and increased mortality (for scallops) from exposure to an airgun. </w:t>
      </w:r>
      <w:r w:rsidR="00AF47E5">
        <w:rPr>
          <w:rFonts w:cs="Arial"/>
          <w:sz w:val="22"/>
          <w:szCs w:val="22"/>
        </w:rPr>
        <w:t>However</w:t>
      </w:r>
      <w:r w:rsidR="00AF47E5" w:rsidRPr="00260A89">
        <w:rPr>
          <w:rFonts w:cs="Arial"/>
          <w:sz w:val="22"/>
          <w:szCs w:val="22"/>
        </w:rPr>
        <w:t>, the science a</w:t>
      </w:r>
      <w:r w:rsidR="00AF47E5">
        <w:rPr>
          <w:rFonts w:cs="Arial"/>
          <w:sz w:val="22"/>
          <w:szCs w:val="22"/>
        </w:rPr>
        <w:t>round which metrics relate to a potential</w:t>
      </w:r>
      <w:r w:rsidR="00AF47E5" w:rsidRPr="00260A89">
        <w:rPr>
          <w:rFonts w:cs="Arial"/>
          <w:sz w:val="22"/>
          <w:szCs w:val="22"/>
        </w:rPr>
        <w:t xml:space="preserve"> effect, and the relationship therefore to impact, is an area </w:t>
      </w:r>
      <w:r w:rsidR="00AF47E5">
        <w:rPr>
          <w:rFonts w:cs="Arial"/>
          <w:sz w:val="22"/>
          <w:szCs w:val="22"/>
        </w:rPr>
        <w:t>needing further</w:t>
      </w:r>
      <w:r w:rsidR="00AF47E5" w:rsidRPr="00260A89">
        <w:rPr>
          <w:rFonts w:cs="Arial"/>
          <w:sz w:val="22"/>
          <w:szCs w:val="22"/>
        </w:rPr>
        <w:t xml:space="preserve"> research</w:t>
      </w:r>
      <w:r w:rsidR="00AF47E5">
        <w:rPr>
          <w:rFonts w:cs="Arial"/>
          <w:sz w:val="22"/>
          <w:szCs w:val="22"/>
        </w:rPr>
        <w:t>.</w:t>
      </w:r>
    </w:p>
    <w:p w14:paraId="2E6F23F2" w14:textId="77777777" w:rsidR="00AF47E5" w:rsidRDefault="00AF47E5" w:rsidP="00237272">
      <w:pPr>
        <w:ind w:left="0"/>
        <w:rPr>
          <w:rFonts w:cs="Arial"/>
          <w:sz w:val="22"/>
          <w:szCs w:val="22"/>
        </w:rPr>
      </w:pPr>
    </w:p>
    <w:p w14:paraId="5FB8E1A3" w14:textId="77777777" w:rsidR="00AF47E5" w:rsidRDefault="00AF47E5" w:rsidP="00AF47E5">
      <w:pPr>
        <w:ind w:left="0"/>
        <w:rPr>
          <w:rFonts w:cs="Arial"/>
          <w:sz w:val="22"/>
          <w:szCs w:val="22"/>
        </w:rPr>
      </w:pPr>
      <w:r w:rsidRPr="00C411CB">
        <w:rPr>
          <w:rFonts w:cs="Arial"/>
          <w:sz w:val="22"/>
          <w:szCs w:val="22"/>
        </w:rPr>
        <w:t>NOPSEMA has publicly stated that the seafloor levels derived from Day et al (2016</w:t>
      </w:r>
      <w:r>
        <w:rPr>
          <w:rFonts w:cs="Arial"/>
          <w:sz w:val="22"/>
          <w:szCs w:val="22"/>
        </w:rPr>
        <w:t>a</w:t>
      </w:r>
      <w:r w:rsidRPr="00C411CB">
        <w:rPr>
          <w:rFonts w:cs="Arial"/>
          <w:sz w:val="22"/>
          <w:szCs w:val="22"/>
        </w:rPr>
        <w:t>) should be used to assist in the assessment of</w:t>
      </w:r>
      <w:r>
        <w:rPr>
          <w:rFonts w:cs="Arial"/>
          <w:sz w:val="22"/>
          <w:szCs w:val="22"/>
        </w:rPr>
        <w:t xml:space="preserve"> potential</w:t>
      </w:r>
      <w:r w:rsidRPr="00C411CB">
        <w:rPr>
          <w:rFonts w:cs="Arial"/>
          <w:sz w:val="22"/>
          <w:szCs w:val="22"/>
        </w:rPr>
        <w:t xml:space="preserve"> impacts on scallops </w:t>
      </w:r>
      <w:r>
        <w:rPr>
          <w:rFonts w:cs="Arial"/>
          <w:sz w:val="22"/>
          <w:szCs w:val="22"/>
        </w:rPr>
        <w:t>(</w:t>
      </w:r>
      <w:r w:rsidRPr="00C411CB">
        <w:rPr>
          <w:rFonts w:cs="Arial"/>
          <w:sz w:val="22"/>
          <w:szCs w:val="22"/>
        </w:rPr>
        <w:t>and lobster</w:t>
      </w:r>
      <w:r>
        <w:rPr>
          <w:rFonts w:cs="Arial"/>
          <w:sz w:val="22"/>
          <w:szCs w:val="22"/>
        </w:rPr>
        <w:t>)</w:t>
      </w:r>
      <w:r w:rsidRPr="00C411CB">
        <w:rPr>
          <w:rFonts w:cs="Arial"/>
          <w:sz w:val="22"/>
          <w:szCs w:val="22"/>
        </w:rPr>
        <w:t xml:space="preserve"> in the absence of definitive established thresholds</w:t>
      </w:r>
      <w:r>
        <w:rPr>
          <w:rFonts w:cs="Arial"/>
          <w:sz w:val="22"/>
          <w:szCs w:val="22"/>
        </w:rPr>
        <w:t>.</w:t>
      </w:r>
    </w:p>
    <w:p w14:paraId="44828F1B" w14:textId="77777777" w:rsidR="00AF47E5" w:rsidRDefault="00AF47E5" w:rsidP="00237272">
      <w:pPr>
        <w:ind w:left="0"/>
        <w:rPr>
          <w:rFonts w:cs="Arial"/>
          <w:sz w:val="22"/>
          <w:szCs w:val="22"/>
        </w:rPr>
      </w:pPr>
    </w:p>
    <w:p w14:paraId="70B91CB6" w14:textId="25DB3ED5" w:rsidR="00237272" w:rsidRDefault="00AF47E5" w:rsidP="00237272">
      <w:pPr>
        <w:ind w:left="0"/>
        <w:rPr>
          <w:rFonts w:cs="Arial"/>
          <w:sz w:val="22"/>
          <w:szCs w:val="22"/>
        </w:rPr>
      </w:pPr>
      <w:r>
        <w:rPr>
          <w:rFonts w:cs="Arial"/>
          <w:sz w:val="22"/>
          <w:szCs w:val="22"/>
        </w:rPr>
        <w:t xml:space="preserve">It is not </w:t>
      </w:r>
      <w:r w:rsidR="00237272" w:rsidRPr="0029358B">
        <w:rPr>
          <w:rFonts w:cs="Arial"/>
          <w:sz w:val="22"/>
          <w:szCs w:val="22"/>
        </w:rPr>
        <w:t xml:space="preserve">clear from </w:t>
      </w:r>
      <w:r>
        <w:rPr>
          <w:rFonts w:cs="Arial"/>
          <w:sz w:val="22"/>
          <w:szCs w:val="22"/>
        </w:rPr>
        <w:t xml:space="preserve">the Day et al (2016a) experiment </w:t>
      </w:r>
      <w:r w:rsidR="00237272" w:rsidRPr="0029358B">
        <w:rPr>
          <w:rFonts w:cs="Arial"/>
          <w:sz w:val="22"/>
          <w:szCs w:val="22"/>
        </w:rPr>
        <w:t>whether the effects observed resulted from the particle motion to which the</w:t>
      </w:r>
      <w:r>
        <w:rPr>
          <w:rFonts w:cs="Arial"/>
          <w:sz w:val="22"/>
          <w:szCs w:val="22"/>
        </w:rPr>
        <w:t xml:space="preserve"> animals </w:t>
      </w:r>
      <w:r w:rsidR="00237272" w:rsidRPr="0029358B">
        <w:rPr>
          <w:rFonts w:cs="Arial"/>
          <w:sz w:val="22"/>
          <w:szCs w:val="22"/>
        </w:rPr>
        <w:t>were exposed, or whether it was exposure to sound pressure that resulted in the effects.</w:t>
      </w:r>
      <w:r w:rsidR="00237272">
        <w:rPr>
          <w:rFonts w:cs="Arial"/>
          <w:sz w:val="22"/>
          <w:szCs w:val="22"/>
        </w:rPr>
        <w:t xml:space="preserve"> This complicates the analysis in terms of presenting a metric for application in an impact assessment.</w:t>
      </w:r>
    </w:p>
    <w:p w14:paraId="088F6297" w14:textId="77777777" w:rsidR="00237272" w:rsidRDefault="00237272" w:rsidP="00237272">
      <w:pPr>
        <w:ind w:left="0"/>
        <w:rPr>
          <w:rFonts w:cs="Arial"/>
          <w:sz w:val="22"/>
          <w:szCs w:val="22"/>
        </w:rPr>
      </w:pPr>
    </w:p>
    <w:p w14:paraId="7FC5E0B1" w14:textId="45BFAC1C" w:rsidR="00237272" w:rsidRDefault="00237272" w:rsidP="00237272">
      <w:pPr>
        <w:ind w:left="0"/>
        <w:rPr>
          <w:rFonts w:cs="Arial"/>
          <w:sz w:val="22"/>
          <w:szCs w:val="22"/>
        </w:rPr>
      </w:pPr>
      <w:r w:rsidRPr="00260A89">
        <w:rPr>
          <w:rFonts w:cs="Arial"/>
          <w:sz w:val="22"/>
          <w:szCs w:val="22"/>
        </w:rPr>
        <w:t xml:space="preserve">Additionally, cumulative metrics like the SEL used in many studies must be treated with caution, particularly when considering more than one pulse. During a real seismic survey there may be short periods of high sound exposure interspersed with longer periods of much reduced exposure. Attempts to estimate an average exposure level may result in false conclusions about the effects of sound exposure. Recent studies have provided quantitative data to define the levels of impulsive sound that result in the onset of physical injury to fish (e.g., </w:t>
      </w:r>
      <w:r w:rsidRPr="00260A89">
        <w:rPr>
          <w:rFonts w:cs="Arial"/>
          <w:sz w:val="22"/>
          <w:szCs w:val="22"/>
        </w:rPr>
        <w:fldChar w:fldCharType="begin">
          <w:fldData xml:space="preserve">PEVuZE5vdGU+PENpdGU+PEF1dGhvcj5DYXNwZXI8L0F1dGhvcj48WWVhcj4yMDEzPC9ZZWFyPjxS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</w:fldData>
        </w:fldChar>
      </w:r>
      <w:r w:rsidRPr="00260A89">
        <w:rPr>
          <w:rFonts w:cs="Arial"/>
          <w:sz w:val="22"/>
          <w:szCs w:val="22"/>
        </w:rPr>
        <w:instrText xml:space="preserve"> ADDIN EN.CITE </w:instrText>
      </w:r>
      <w:r w:rsidRPr="00260A89">
        <w:rPr>
          <w:rFonts w:cs="Arial"/>
          <w:sz w:val="22"/>
          <w:szCs w:val="22"/>
        </w:rPr>
        <w:fldChar w:fldCharType="begin">
          <w:fldData xml:space="preserve">PEVuZE5vdGU+PENpdGU+PEF1dGhvcj5DYXNwZXI8L0F1dGhvcj48WWVhcj4yMDEzPC9ZZWFyPjxS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</w:fldData>
        </w:fldChar>
      </w:r>
      <w:r w:rsidRPr="00260A89">
        <w:rPr>
          <w:rFonts w:cs="Arial"/>
          <w:sz w:val="22"/>
          <w:szCs w:val="22"/>
        </w:rPr>
        <w:instrText xml:space="preserve"> ADDIN EN.CITE.DATA </w:instrText>
      </w:r>
      <w:r w:rsidRPr="00260A89">
        <w:rPr>
          <w:rFonts w:cs="Arial"/>
          <w:sz w:val="22"/>
          <w:szCs w:val="22"/>
        </w:rPr>
      </w:r>
      <w:r w:rsidRPr="00260A89">
        <w:rPr>
          <w:rFonts w:cs="Arial"/>
          <w:sz w:val="22"/>
          <w:szCs w:val="22"/>
        </w:rPr>
        <w:fldChar w:fldCharType="end"/>
      </w:r>
      <w:r w:rsidRPr="00260A89">
        <w:rPr>
          <w:rFonts w:cs="Arial"/>
          <w:sz w:val="22"/>
          <w:szCs w:val="22"/>
        </w:rPr>
      </w:r>
      <w:r w:rsidRPr="00260A89">
        <w:rPr>
          <w:rFonts w:cs="Arial"/>
          <w:sz w:val="22"/>
          <w:szCs w:val="22"/>
        </w:rPr>
        <w:fldChar w:fldCharType="separate"/>
      </w:r>
      <w:r w:rsidRPr="00260A89">
        <w:rPr>
          <w:rFonts w:cs="Arial"/>
          <w:sz w:val="22"/>
          <w:szCs w:val="22"/>
        </w:rPr>
        <w:t xml:space="preserve">(Halvorsen </w:t>
      </w:r>
      <w:r w:rsidRPr="000B7B57">
        <w:rPr>
          <w:rFonts w:cs="Arial"/>
          <w:i/>
          <w:sz w:val="22"/>
          <w:szCs w:val="22"/>
        </w:rPr>
        <w:t>et al</w:t>
      </w:r>
      <w:r w:rsidRPr="00260A89">
        <w:rPr>
          <w:rFonts w:cs="Arial"/>
          <w:sz w:val="22"/>
          <w:szCs w:val="22"/>
        </w:rPr>
        <w:t>.</w:t>
      </w:r>
      <w:r>
        <w:rPr>
          <w:rFonts w:cs="Arial"/>
          <w:sz w:val="22"/>
          <w:szCs w:val="22"/>
        </w:rPr>
        <w:t>,</w:t>
      </w:r>
      <w:r w:rsidRPr="00260A89">
        <w:rPr>
          <w:rFonts w:cs="Arial"/>
          <w:sz w:val="22"/>
          <w:szCs w:val="22"/>
        </w:rPr>
        <w:t xml:space="preserve"> 2011, 2012</w:t>
      </w:r>
      <w:r>
        <w:rPr>
          <w:rFonts w:cs="Arial"/>
          <w:sz w:val="22"/>
          <w:szCs w:val="22"/>
        </w:rPr>
        <w:t>;</w:t>
      </w:r>
      <w:r w:rsidRPr="00260A89">
        <w:rPr>
          <w:rFonts w:cs="Arial"/>
          <w:sz w:val="22"/>
          <w:szCs w:val="22"/>
        </w:rPr>
        <w:t xml:space="preserve"> Casper </w:t>
      </w:r>
      <w:r w:rsidRPr="000B7B57">
        <w:rPr>
          <w:rFonts w:cs="Arial"/>
          <w:i/>
          <w:sz w:val="22"/>
          <w:szCs w:val="22"/>
        </w:rPr>
        <w:t>et al</w:t>
      </w:r>
      <w:r w:rsidRPr="00260A89">
        <w:rPr>
          <w:rFonts w:cs="Arial"/>
          <w:sz w:val="22"/>
          <w:szCs w:val="22"/>
        </w:rPr>
        <w:t>.</w:t>
      </w:r>
      <w:r>
        <w:rPr>
          <w:rFonts w:cs="Arial"/>
          <w:sz w:val="22"/>
          <w:szCs w:val="22"/>
        </w:rPr>
        <w:t>,</w:t>
      </w:r>
      <w:r w:rsidRPr="00260A89">
        <w:rPr>
          <w:rFonts w:cs="Arial"/>
          <w:sz w:val="22"/>
          <w:szCs w:val="22"/>
        </w:rPr>
        <w:t xml:space="preserve"> 2013)</w:t>
      </w:r>
      <w:r w:rsidRPr="00260A89">
        <w:rPr>
          <w:rFonts w:cs="Arial"/>
          <w:sz w:val="22"/>
          <w:szCs w:val="22"/>
        </w:rPr>
        <w:fldChar w:fldCharType="end"/>
      </w:r>
      <w:r w:rsidRPr="00260A89">
        <w:rPr>
          <w:rFonts w:cs="Arial"/>
          <w:sz w:val="22"/>
          <w:szCs w:val="22"/>
        </w:rPr>
        <w:t xml:space="preserve">. From these studies, the investigators were able to reject the hypothesis (referred to as the “equal energy hypothesis”) that the same type and severity of injury would occur for the same total cumulative energy level of exposure (SEL) regardless of how that was reached (e.g., through many low-energy impulsive sounds or fewer high-energy impulsive sounds). The way the energy is delivered, in terms of both the duty cycle (the proportion of time during which sound is present) and the energy within the individual pulses of sound, will influence the effects of sound exposure, whether these effects are in terms of injury or behavioural responses. </w:t>
      </w:r>
    </w:p>
    <w:p w14:paraId="6549DC16" w14:textId="77777777" w:rsidR="00237272" w:rsidRPr="00260A89" w:rsidRDefault="00237272" w:rsidP="00237272">
      <w:pPr>
        <w:ind w:left="0"/>
        <w:rPr>
          <w:rFonts w:cs="Arial"/>
          <w:sz w:val="22"/>
          <w:szCs w:val="22"/>
        </w:rPr>
      </w:pPr>
    </w:p>
    <w:p w14:paraId="46C82329" w14:textId="69F29D00" w:rsidR="00AF47E5" w:rsidRDefault="00237272" w:rsidP="00237272">
      <w:pPr>
        <w:ind w:left="0"/>
        <w:rPr>
          <w:rFonts w:cs="Arial"/>
          <w:sz w:val="22"/>
          <w:szCs w:val="22"/>
        </w:rPr>
      </w:pPr>
      <w:r w:rsidRPr="00260A89">
        <w:rPr>
          <w:rFonts w:cs="Arial"/>
          <w:sz w:val="22"/>
          <w:szCs w:val="22"/>
        </w:rPr>
        <w:t>It has been determined for this EP based upon discussions with JASCO</w:t>
      </w:r>
      <w:r w:rsidR="00FC79B0">
        <w:rPr>
          <w:rFonts w:cs="Arial"/>
          <w:sz w:val="22"/>
          <w:szCs w:val="22"/>
        </w:rPr>
        <w:t xml:space="preserve"> </w:t>
      </w:r>
      <w:r w:rsidRPr="00260A89">
        <w:rPr>
          <w:rFonts w:cs="Arial"/>
          <w:sz w:val="22"/>
          <w:szCs w:val="22"/>
        </w:rPr>
        <w:t xml:space="preserve">that the </w:t>
      </w:r>
      <w:r w:rsidR="00AF47E5">
        <w:rPr>
          <w:rFonts w:cs="Arial"/>
          <w:sz w:val="22"/>
          <w:szCs w:val="22"/>
        </w:rPr>
        <w:t xml:space="preserve">key sound parameter for the assessment of potential impacts on scallops is likely to be  </w:t>
      </w:r>
      <w:r w:rsidR="00AF47E5" w:rsidRPr="00260A89">
        <w:rPr>
          <w:rFonts w:cs="Arial"/>
          <w:sz w:val="22"/>
          <w:szCs w:val="22"/>
        </w:rPr>
        <w:t>associated with particle motion exposure combined with a cumulative property (e.g., proportional to the total energy received, time above a threshold, or number and duty cycle of exposures), but such a metric does not yet exist to their knowledge, and it has not been examined experimentally</w:t>
      </w:r>
      <w:r w:rsidR="00AF47E5">
        <w:rPr>
          <w:rFonts w:cs="Arial"/>
          <w:sz w:val="22"/>
          <w:szCs w:val="22"/>
        </w:rPr>
        <w:t>.</w:t>
      </w:r>
    </w:p>
    <w:p w14:paraId="59AD3FDA" w14:textId="77777777" w:rsidR="00C90E25" w:rsidRDefault="00C90E25" w:rsidP="00237272">
      <w:pPr>
        <w:ind w:left="0"/>
        <w:rPr>
          <w:rFonts w:cs="Arial"/>
          <w:sz w:val="22"/>
          <w:szCs w:val="22"/>
        </w:rPr>
      </w:pPr>
    </w:p>
    <w:p w14:paraId="10125999" w14:textId="77777777" w:rsidR="00C90E25" w:rsidRDefault="00C90E25" w:rsidP="00C90E25">
      <w:pPr>
        <w:ind w:left="0"/>
        <w:rPr>
          <w:rFonts w:cs="Arial"/>
          <w:sz w:val="22"/>
          <w:szCs w:val="22"/>
        </w:rPr>
      </w:pPr>
      <w:r w:rsidRPr="00260A89">
        <w:rPr>
          <w:rFonts w:cs="Arial"/>
          <w:sz w:val="22"/>
          <w:szCs w:val="22"/>
        </w:rPr>
        <w:t>The measurements made by Day et al (2016</w:t>
      </w:r>
      <w:r>
        <w:rPr>
          <w:rFonts w:cs="Arial"/>
          <w:sz w:val="22"/>
          <w:szCs w:val="22"/>
        </w:rPr>
        <w:t>a</w:t>
      </w:r>
      <w:r w:rsidRPr="00260A89">
        <w:rPr>
          <w:rFonts w:cs="Arial"/>
          <w:sz w:val="22"/>
          <w:szCs w:val="22"/>
        </w:rPr>
        <w:t>) using bottom</w:t>
      </w:r>
      <w:r>
        <w:rPr>
          <w:rFonts w:cs="Arial"/>
          <w:sz w:val="22"/>
          <w:szCs w:val="22"/>
        </w:rPr>
        <w:t>-</w:t>
      </w:r>
      <w:r w:rsidRPr="00260A89">
        <w:rPr>
          <w:rFonts w:cs="Arial"/>
          <w:sz w:val="22"/>
          <w:szCs w:val="22"/>
        </w:rPr>
        <w:t>mounted accelerometers were presented in units of maximum absolute magnitude of acceleration per airgun shot, in linear (ms</w:t>
      </w:r>
      <w:r w:rsidRPr="003C2541">
        <w:rPr>
          <w:rFonts w:cs="Arial"/>
          <w:sz w:val="22"/>
          <w:szCs w:val="22"/>
          <w:vertAlign w:val="superscript"/>
        </w:rPr>
        <w:t>-2</w:t>
      </w:r>
      <w:r w:rsidRPr="00260A89">
        <w:rPr>
          <w:rFonts w:cs="Arial"/>
          <w:sz w:val="22"/>
          <w:szCs w:val="22"/>
        </w:rPr>
        <w:t>) or dB values (dB re 1ms</w:t>
      </w:r>
      <w:r w:rsidRPr="003C2541">
        <w:rPr>
          <w:rFonts w:cs="Arial"/>
          <w:sz w:val="22"/>
          <w:szCs w:val="22"/>
          <w:vertAlign w:val="superscript"/>
        </w:rPr>
        <w:t>-2</w:t>
      </w:r>
      <w:r w:rsidRPr="00260A89">
        <w:rPr>
          <w:rFonts w:cs="Arial"/>
          <w:sz w:val="22"/>
          <w:szCs w:val="22"/>
        </w:rPr>
        <w:t xml:space="preserve">). As particle motion is a vector quantity, different metrics were explored but the simplest was chosen - the maximum magnitude of the three component acceleration vector - termed the ground roll acceleration by the authors. </w:t>
      </w:r>
    </w:p>
    <w:p w14:paraId="2B03F383" w14:textId="77777777" w:rsidR="00C90E25" w:rsidRPr="00260A89" w:rsidRDefault="00C90E25" w:rsidP="00C90E25">
      <w:pPr>
        <w:ind w:left="0"/>
        <w:rPr>
          <w:rFonts w:cs="Arial"/>
          <w:sz w:val="22"/>
          <w:szCs w:val="22"/>
        </w:rPr>
      </w:pPr>
    </w:p>
    <w:p w14:paraId="51A1B384" w14:textId="77777777" w:rsidR="00C90E25" w:rsidRDefault="00C90E25" w:rsidP="00C90E25">
      <w:pPr>
        <w:ind w:left="0"/>
        <w:rPr>
          <w:rFonts w:cs="Arial"/>
          <w:sz w:val="22"/>
          <w:szCs w:val="22"/>
        </w:rPr>
      </w:pPr>
      <w:r w:rsidRPr="00B77BDC">
        <w:rPr>
          <w:rFonts w:cs="Arial"/>
          <w:sz w:val="22"/>
          <w:szCs w:val="22"/>
        </w:rPr>
        <w:t>Day et al (2016</w:t>
      </w:r>
      <w:r>
        <w:rPr>
          <w:rFonts w:cs="Arial"/>
          <w:sz w:val="22"/>
          <w:szCs w:val="22"/>
        </w:rPr>
        <w:t>a</w:t>
      </w:r>
      <w:r w:rsidRPr="00B77BDC">
        <w:rPr>
          <w:rFonts w:cs="Arial"/>
          <w:sz w:val="22"/>
          <w:szCs w:val="22"/>
        </w:rPr>
        <w:t>)</w:t>
      </w:r>
      <w:r>
        <w:rPr>
          <w:rFonts w:cs="Arial"/>
          <w:sz w:val="22"/>
          <w:szCs w:val="22"/>
        </w:rPr>
        <w:t xml:space="preserve"> included a section which </w:t>
      </w:r>
      <w:r w:rsidRPr="0029358B">
        <w:rPr>
          <w:rFonts w:cs="Arial"/>
          <w:sz w:val="22"/>
          <w:szCs w:val="22"/>
        </w:rPr>
        <w:t>attempted to relate their measured exposures with those incurred by the operation of a hypothetical commercial array in a 3D survey of 5 sail lines with 400 m line spacing and 25</w:t>
      </w:r>
      <w:r>
        <w:rPr>
          <w:rFonts w:cs="Arial"/>
          <w:sz w:val="22"/>
          <w:szCs w:val="22"/>
        </w:rPr>
        <w:t xml:space="preserve"> </w:t>
      </w:r>
      <w:r w:rsidRPr="0029358B">
        <w:rPr>
          <w:rFonts w:cs="Arial"/>
          <w:sz w:val="22"/>
          <w:szCs w:val="22"/>
        </w:rPr>
        <w:t>m shot intervals.</w:t>
      </w:r>
      <w:r>
        <w:rPr>
          <w:rFonts w:cs="Arial"/>
          <w:sz w:val="22"/>
          <w:szCs w:val="22"/>
        </w:rPr>
        <w:t xml:space="preserve"> </w:t>
      </w:r>
      <w:r w:rsidRPr="0029358B">
        <w:rPr>
          <w:rFonts w:cs="Arial"/>
          <w:sz w:val="22"/>
          <w:szCs w:val="22"/>
        </w:rPr>
        <w:t>The relationship for the maximum magnitude of ground roll with range was derived from a 3</w:t>
      </w:r>
      <w:r>
        <w:rPr>
          <w:rFonts w:cs="Arial"/>
          <w:sz w:val="22"/>
          <w:szCs w:val="22"/>
        </w:rPr>
        <w:t>,</w:t>
      </w:r>
      <w:r w:rsidRPr="0029358B">
        <w:rPr>
          <w:rFonts w:cs="Arial"/>
          <w:sz w:val="22"/>
          <w:szCs w:val="22"/>
        </w:rPr>
        <w:t xml:space="preserve">130 </w:t>
      </w:r>
      <w:r>
        <w:rPr>
          <w:rFonts w:cs="Arial"/>
          <w:sz w:val="22"/>
          <w:szCs w:val="22"/>
        </w:rPr>
        <w:t xml:space="preserve">cui </w:t>
      </w:r>
      <w:r w:rsidRPr="0029358B">
        <w:rPr>
          <w:rFonts w:cs="Arial"/>
          <w:sz w:val="22"/>
          <w:szCs w:val="22"/>
        </w:rPr>
        <w:t xml:space="preserve">source operating in 40 m of water, and this </w:t>
      </w:r>
      <w:r>
        <w:rPr>
          <w:rFonts w:cs="Arial"/>
          <w:sz w:val="22"/>
          <w:szCs w:val="22"/>
        </w:rPr>
        <w:t xml:space="preserve">transmission loss </w:t>
      </w:r>
      <w:r w:rsidRPr="0029358B">
        <w:rPr>
          <w:rFonts w:cs="Arial"/>
          <w:sz w:val="22"/>
          <w:szCs w:val="22"/>
        </w:rPr>
        <w:t xml:space="preserve">function was </w:t>
      </w:r>
      <w:r w:rsidRPr="0029358B">
        <w:rPr>
          <w:rFonts w:cs="Arial"/>
          <w:sz w:val="22"/>
          <w:szCs w:val="22"/>
        </w:rPr>
        <w:lastRenderedPageBreak/>
        <w:t xml:space="preserve">used to predict maximum magnitude of ground roll. </w:t>
      </w:r>
      <w:r>
        <w:rPr>
          <w:rFonts w:cs="Arial"/>
          <w:sz w:val="22"/>
          <w:szCs w:val="22"/>
        </w:rPr>
        <w:t xml:space="preserve">However, </w:t>
      </w:r>
      <w:r w:rsidRPr="0029358B">
        <w:rPr>
          <w:rFonts w:cs="Arial"/>
          <w:sz w:val="22"/>
          <w:szCs w:val="22"/>
        </w:rPr>
        <w:t xml:space="preserve">the derivation or use of the </w:t>
      </w:r>
      <w:r>
        <w:rPr>
          <w:rFonts w:cs="Arial"/>
          <w:sz w:val="22"/>
          <w:szCs w:val="22"/>
        </w:rPr>
        <w:t>transmission loss</w:t>
      </w:r>
      <w:r w:rsidRPr="0029358B">
        <w:rPr>
          <w:rFonts w:cs="Arial"/>
          <w:sz w:val="22"/>
          <w:szCs w:val="22"/>
        </w:rPr>
        <w:t xml:space="preserve"> function</w:t>
      </w:r>
      <w:r>
        <w:rPr>
          <w:rFonts w:cs="Arial"/>
          <w:sz w:val="22"/>
          <w:szCs w:val="22"/>
        </w:rPr>
        <w:t xml:space="preserve"> used by Day et al was not clear</w:t>
      </w:r>
      <w:r w:rsidRPr="0029358B">
        <w:rPr>
          <w:rFonts w:cs="Arial"/>
          <w:sz w:val="22"/>
          <w:szCs w:val="22"/>
        </w:rPr>
        <w:t>, making it difficult to evaluate, thereby limiting confidence in its use</w:t>
      </w:r>
      <w:r>
        <w:rPr>
          <w:rFonts w:cs="Arial"/>
          <w:sz w:val="22"/>
          <w:szCs w:val="22"/>
        </w:rPr>
        <w:t xml:space="preserve"> or application</w:t>
      </w:r>
      <w:r w:rsidRPr="0029358B">
        <w:rPr>
          <w:rFonts w:cs="Arial"/>
          <w:sz w:val="22"/>
          <w:szCs w:val="22"/>
        </w:rPr>
        <w:t>.</w:t>
      </w:r>
      <w:r>
        <w:rPr>
          <w:rFonts w:cs="Arial"/>
          <w:sz w:val="22"/>
          <w:szCs w:val="22"/>
        </w:rPr>
        <w:t xml:space="preserve"> </w:t>
      </w:r>
    </w:p>
    <w:p w14:paraId="4370C15E" w14:textId="77777777" w:rsidR="00C90E25" w:rsidRDefault="00C90E25" w:rsidP="00C90E25">
      <w:pPr>
        <w:ind w:left="0"/>
        <w:rPr>
          <w:rFonts w:cs="Arial"/>
          <w:sz w:val="22"/>
          <w:szCs w:val="22"/>
        </w:rPr>
      </w:pPr>
    </w:p>
    <w:p w14:paraId="667776B8" w14:textId="1B7DE936" w:rsidR="00C90E25" w:rsidRDefault="00C90E25" w:rsidP="00C90E25">
      <w:pPr>
        <w:ind w:left="0"/>
        <w:rPr>
          <w:rFonts w:cs="Arial"/>
          <w:sz w:val="22"/>
          <w:szCs w:val="22"/>
        </w:rPr>
      </w:pPr>
      <w:r>
        <w:rPr>
          <w:rFonts w:cs="Arial"/>
          <w:sz w:val="22"/>
          <w:szCs w:val="22"/>
        </w:rPr>
        <w:t>A</w:t>
      </w:r>
      <w:r w:rsidRPr="0029358B">
        <w:rPr>
          <w:rFonts w:cs="Arial"/>
          <w:sz w:val="22"/>
          <w:szCs w:val="22"/>
        </w:rPr>
        <w:t xml:space="preserve"> regression of particle acceleration vs. range for the single 150 </w:t>
      </w:r>
      <w:r>
        <w:rPr>
          <w:rFonts w:cs="Arial"/>
          <w:sz w:val="22"/>
          <w:szCs w:val="22"/>
        </w:rPr>
        <w:t xml:space="preserve">cui </w:t>
      </w:r>
      <w:r w:rsidRPr="0029358B">
        <w:rPr>
          <w:rFonts w:cs="Arial"/>
          <w:sz w:val="22"/>
          <w:szCs w:val="22"/>
        </w:rPr>
        <w:t xml:space="preserve">airgun used in </w:t>
      </w:r>
      <w:r w:rsidRPr="00B77BDC">
        <w:rPr>
          <w:rFonts w:cs="Arial"/>
          <w:sz w:val="22"/>
          <w:szCs w:val="22"/>
        </w:rPr>
        <w:t>Day et al (2016)</w:t>
      </w:r>
      <w:r>
        <w:rPr>
          <w:rFonts w:cs="Arial"/>
          <w:sz w:val="22"/>
          <w:szCs w:val="22"/>
        </w:rPr>
        <w:t xml:space="preserve"> </w:t>
      </w:r>
      <w:r w:rsidRPr="0029358B">
        <w:rPr>
          <w:rFonts w:cs="Arial"/>
          <w:sz w:val="22"/>
          <w:szCs w:val="22"/>
        </w:rPr>
        <w:t>(minimum range of 6 m) showed that acceleration at 10 and 100 m range were typically 26 and 5 ms</w:t>
      </w:r>
      <w:r w:rsidRPr="00701F62">
        <w:rPr>
          <w:rFonts w:cs="Arial"/>
          <w:sz w:val="22"/>
          <w:szCs w:val="22"/>
          <w:vertAlign w:val="superscript"/>
        </w:rPr>
        <w:t>-2</w:t>
      </w:r>
      <w:r w:rsidRPr="0029358B">
        <w:rPr>
          <w:rFonts w:cs="Arial"/>
          <w:sz w:val="22"/>
          <w:szCs w:val="22"/>
        </w:rPr>
        <w:t xml:space="preserve">, respectively. </w:t>
      </w:r>
      <w:r>
        <w:rPr>
          <w:rFonts w:cs="Arial"/>
          <w:sz w:val="22"/>
          <w:szCs w:val="22"/>
        </w:rPr>
        <w:t>CarbonNet will present particle acceleration results at 10m, 100m and 500m  ranges to inform the predicted  impacts.</w:t>
      </w:r>
    </w:p>
    <w:p w14:paraId="22903DCD" w14:textId="283EFACC" w:rsidR="00237272" w:rsidRPr="00260A89" w:rsidRDefault="00237272" w:rsidP="00237272">
      <w:pPr>
        <w:ind w:left="0"/>
        <w:rPr>
          <w:rFonts w:cs="Arial"/>
          <w:sz w:val="22"/>
          <w:szCs w:val="22"/>
        </w:rPr>
      </w:pPr>
    </w:p>
    <w:p w14:paraId="5EBAE23A" w14:textId="4285ABCE" w:rsidR="00C90E25" w:rsidRDefault="00C90E25" w:rsidP="00237272">
      <w:pPr>
        <w:ind w:left="0"/>
        <w:rPr>
          <w:rFonts w:cs="Arial"/>
          <w:sz w:val="22"/>
          <w:szCs w:val="22"/>
        </w:rPr>
      </w:pPr>
      <w:r>
        <w:rPr>
          <w:rFonts w:cs="Arial"/>
          <w:sz w:val="22"/>
          <w:szCs w:val="22"/>
        </w:rPr>
        <w:t xml:space="preserve">CarbonNet has also assessed the pressure metrics in the STLM reporting for completeness (and comparison to Day </w:t>
      </w:r>
      <w:r w:rsidRPr="00FC79B0">
        <w:rPr>
          <w:rFonts w:cs="Arial"/>
          <w:i/>
          <w:sz w:val="22"/>
          <w:szCs w:val="22"/>
        </w:rPr>
        <w:t>et al</w:t>
      </w:r>
      <w:r>
        <w:rPr>
          <w:rFonts w:cs="Arial"/>
          <w:sz w:val="22"/>
          <w:szCs w:val="22"/>
        </w:rPr>
        <w:t xml:space="preserve">., 2016a): </w:t>
      </w:r>
    </w:p>
    <w:p w14:paraId="1024B450" w14:textId="77777777" w:rsidR="00237272" w:rsidRPr="00C411CB" w:rsidRDefault="00237272" w:rsidP="00237272">
      <w:pPr>
        <w:ind w:left="0"/>
        <w:rPr>
          <w:rFonts w:cs="Arial"/>
          <w:sz w:val="22"/>
          <w:szCs w:val="22"/>
        </w:rPr>
      </w:pPr>
    </w:p>
    <w:p w14:paraId="6B2620D3" w14:textId="77777777" w:rsidR="00237272" w:rsidRPr="00505A03" w:rsidRDefault="00237272" w:rsidP="00237272">
      <w:pPr>
        <w:pStyle w:val="ListParagraph0"/>
        <w:numPr>
          <w:ilvl w:val="0"/>
          <w:numId w:val="384"/>
        </w:numPr>
        <w:rPr>
          <w:rFonts w:cs="Arial"/>
          <w:sz w:val="22"/>
          <w:szCs w:val="22"/>
          <w:lang w:val="it-IT"/>
        </w:rPr>
      </w:pPr>
      <w:r w:rsidRPr="00505A03">
        <w:rPr>
          <w:rFonts w:cs="Arial"/>
          <w:sz w:val="22"/>
          <w:szCs w:val="22"/>
          <w:lang w:val="it-IT"/>
        </w:rPr>
        <w:t xml:space="preserve">Per-pulse SEL: 186–190 dB re 1 </w:t>
      </w:r>
      <w:r w:rsidRPr="00C411CB">
        <w:rPr>
          <w:rFonts w:cs="Arial"/>
          <w:sz w:val="22"/>
          <w:szCs w:val="22"/>
        </w:rPr>
        <w:t>μ</w:t>
      </w:r>
      <w:r w:rsidRPr="00505A03">
        <w:rPr>
          <w:rFonts w:cs="Arial"/>
          <w:sz w:val="22"/>
          <w:szCs w:val="22"/>
          <w:lang w:val="it-IT"/>
        </w:rPr>
        <w:t>Pa</w:t>
      </w:r>
      <w:r w:rsidRPr="00505A03">
        <w:rPr>
          <w:rFonts w:cs="Arial"/>
          <w:sz w:val="22"/>
          <w:szCs w:val="22"/>
          <w:vertAlign w:val="superscript"/>
          <w:lang w:val="it-IT"/>
        </w:rPr>
        <w:t>2</w:t>
      </w:r>
      <w:r w:rsidRPr="00505A03">
        <w:rPr>
          <w:rFonts w:cs="Arial"/>
          <w:sz w:val="22"/>
          <w:szCs w:val="22"/>
          <w:lang w:val="it-IT"/>
        </w:rPr>
        <w:t>.s</w:t>
      </w:r>
    </w:p>
    <w:p w14:paraId="30C62E99" w14:textId="77777777" w:rsidR="00237272" w:rsidRPr="00C411CB" w:rsidRDefault="00237272" w:rsidP="00237272">
      <w:pPr>
        <w:pStyle w:val="ListParagraph0"/>
        <w:numPr>
          <w:ilvl w:val="0"/>
          <w:numId w:val="384"/>
        </w:numPr>
        <w:rPr>
          <w:rFonts w:cs="Arial"/>
          <w:sz w:val="22"/>
          <w:szCs w:val="22"/>
        </w:rPr>
      </w:pPr>
      <w:r w:rsidRPr="00C411CB">
        <w:rPr>
          <w:rFonts w:cs="Arial"/>
          <w:sz w:val="22"/>
          <w:szCs w:val="22"/>
        </w:rPr>
        <w:t>Accumulated SEL: 192–199 dB re 1 μPa</w:t>
      </w:r>
      <w:r w:rsidRPr="00C411CB">
        <w:rPr>
          <w:rFonts w:cs="Arial"/>
          <w:sz w:val="22"/>
          <w:szCs w:val="22"/>
          <w:vertAlign w:val="superscript"/>
        </w:rPr>
        <w:t>2</w:t>
      </w:r>
      <w:r w:rsidRPr="00C411CB">
        <w:rPr>
          <w:rFonts w:cs="Arial"/>
          <w:sz w:val="22"/>
          <w:szCs w:val="22"/>
        </w:rPr>
        <w:t>.s</w:t>
      </w:r>
    </w:p>
    <w:p w14:paraId="3DF6654B" w14:textId="77777777" w:rsidR="00237272" w:rsidRPr="00C411CB" w:rsidRDefault="00237272" w:rsidP="00237272">
      <w:pPr>
        <w:pStyle w:val="ListParagraph0"/>
        <w:numPr>
          <w:ilvl w:val="0"/>
          <w:numId w:val="384"/>
        </w:numPr>
        <w:spacing w:after="240" w:line="240" w:lineRule="auto"/>
        <w:ind w:left="714" w:hanging="357"/>
        <w:rPr>
          <w:rFonts w:cs="Arial"/>
          <w:sz w:val="22"/>
          <w:szCs w:val="22"/>
        </w:rPr>
      </w:pPr>
      <w:r w:rsidRPr="00C411CB">
        <w:rPr>
          <w:rFonts w:cs="Arial"/>
          <w:sz w:val="22"/>
          <w:szCs w:val="22"/>
        </w:rPr>
        <w:t>Peak-peak pressure: 209–212 dB re 1 μPa</w:t>
      </w:r>
      <w:r>
        <w:rPr>
          <w:rFonts w:cs="Arial"/>
          <w:sz w:val="22"/>
          <w:szCs w:val="22"/>
        </w:rPr>
        <w:t>.</w:t>
      </w:r>
    </w:p>
    <w:p w14:paraId="1C43A4C5" w14:textId="44661CFD" w:rsidR="00237272" w:rsidRDefault="00237272" w:rsidP="00237272">
      <w:pPr>
        <w:ind w:left="0"/>
        <w:rPr>
          <w:rFonts w:cs="Arial"/>
          <w:sz w:val="22"/>
          <w:szCs w:val="22"/>
        </w:rPr>
      </w:pPr>
      <w:r>
        <w:rPr>
          <w:rFonts w:cs="Arial"/>
          <w:sz w:val="22"/>
          <w:szCs w:val="22"/>
        </w:rPr>
        <w:t xml:space="preserve">Additionally, </w:t>
      </w:r>
      <w:r w:rsidR="00C90E25">
        <w:rPr>
          <w:rFonts w:cs="Arial"/>
          <w:sz w:val="22"/>
          <w:szCs w:val="22"/>
        </w:rPr>
        <w:t xml:space="preserve">in acknowledgement of the uncertainties in the evolving science and adopting a precautionary approach, CarbonNet has also considered the established sound pressure metric of </w:t>
      </w:r>
      <w:r>
        <w:rPr>
          <w:rFonts w:cs="Arial"/>
          <w:sz w:val="22"/>
          <w:szCs w:val="22"/>
        </w:rPr>
        <w:t xml:space="preserve">PK-PK </w:t>
      </w:r>
      <w:r w:rsidRPr="009A2E44">
        <w:rPr>
          <w:rFonts w:cs="Arial"/>
          <w:sz w:val="22"/>
          <w:szCs w:val="22"/>
        </w:rPr>
        <w:t>202 dB re 1 μPa from Payne et al (2007)</w:t>
      </w:r>
      <w:r>
        <w:rPr>
          <w:rFonts w:cs="Arial"/>
          <w:sz w:val="22"/>
          <w:szCs w:val="22"/>
        </w:rPr>
        <w:t xml:space="preserve"> </w:t>
      </w:r>
      <w:r w:rsidR="00C90E25">
        <w:rPr>
          <w:rFonts w:cs="Arial"/>
          <w:sz w:val="22"/>
          <w:szCs w:val="22"/>
        </w:rPr>
        <w:t xml:space="preserve">as it is </w:t>
      </w:r>
      <w:r w:rsidR="00C90E25" w:rsidRPr="009A2E44">
        <w:rPr>
          <w:rFonts w:cs="Arial"/>
          <w:sz w:val="22"/>
          <w:szCs w:val="22"/>
        </w:rPr>
        <w:t xml:space="preserve">shown </w:t>
      </w:r>
      <w:r w:rsidR="00C90E25">
        <w:rPr>
          <w:rFonts w:cs="Arial"/>
          <w:sz w:val="22"/>
          <w:szCs w:val="22"/>
        </w:rPr>
        <w:t xml:space="preserve">to have </w:t>
      </w:r>
      <w:r w:rsidR="00C90E25" w:rsidRPr="009A2E44">
        <w:rPr>
          <w:rFonts w:cs="Arial"/>
          <w:sz w:val="22"/>
          <w:szCs w:val="22"/>
        </w:rPr>
        <w:t>no effect</w:t>
      </w:r>
      <w:r w:rsidR="00C90E25">
        <w:rPr>
          <w:rFonts w:cs="Arial"/>
          <w:sz w:val="22"/>
          <w:szCs w:val="22"/>
        </w:rPr>
        <w:t xml:space="preserve"> on delayed mortality or damage to mechano-sensory systems associated with animal equilibrium and posture.</w:t>
      </w:r>
    </w:p>
    <w:p w14:paraId="7CB48E0E" w14:textId="77777777" w:rsidR="009F3D4F" w:rsidRDefault="009F3D4F" w:rsidP="00237272">
      <w:pPr>
        <w:ind w:left="0"/>
        <w:rPr>
          <w:rFonts w:cs="Arial"/>
          <w:sz w:val="22"/>
          <w:szCs w:val="22"/>
        </w:rPr>
      </w:pPr>
    </w:p>
    <w:p w14:paraId="6581E81D" w14:textId="5161111C" w:rsidR="00594614" w:rsidRPr="000B17F2" w:rsidRDefault="00594614" w:rsidP="00594614">
      <w:pPr>
        <w:spacing w:after="120" w:line="240" w:lineRule="auto"/>
        <w:ind w:left="0"/>
        <w:rPr>
          <w:rFonts w:cs="Arial"/>
          <w:sz w:val="22"/>
          <w:szCs w:val="22"/>
          <w:u w:val="single"/>
        </w:rPr>
      </w:pPr>
      <w:r w:rsidRPr="000B17F2">
        <w:rPr>
          <w:rFonts w:cs="Arial"/>
          <w:sz w:val="22"/>
          <w:szCs w:val="22"/>
          <w:u w:val="single"/>
        </w:rPr>
        <w:t>STLM results</w:t>
      </w:r>
      <w:r w:rsidR="00CE4340" w:rsidRPr="00CE4340">
        <w:rPr>
          <w:rFonts w:cs="Arial"/>
          <w:sz w:val="22"/>
          <w:szCs w:val="22"/>
        </w:rPr>
        <w:t xml:space="preserve"> </w:t>
      </w:r>
    </w:p>
    <w:p w14:paraId="6B0B6043" w14:textId="1DF0336A" w:rsidR="00666E21" w:rsidRDefault="00594614" w:rsidP="00594614">
      <w:pPr>
        <w:ind w:left="0"/>
        <w:rPr>
          <w:rFonts w:cs="Arial"/>
          <w:sz w:val="22"/>
          <w:szCs w:val="22"/>
        </w:rPr>
      </w:pPr>
      <w:r w:rsidRPr="00B77BDC">
        <w:rPr>
          <w:rFonts w:cs="Arial"/>
          <w:sz w:val="22"/>
          <w:szCs w:val="22"/>
        </w:rPr>
        <w:t xml:space="preserve">The </w:t>
      </w:r>
      <w:r w:rsidR="00666E21">
        <w:rPr>
          <w:rFonts w:cs="Arial"/>
          <w:sz w:val="22"/>
          <w:szCs w:val="22"/>
        </w:rPr>
        <w:t xml:space="preserve">following tables provide information on the predicted </w:t>
      </w:r>
      <w:r w:rsidR="00BB219A">
        <w:rPr>
          <w:rFonts w:cs="Arial"/>
          <w:sz w:val="22"/>
          <w:szCs w:val="22"/>
        </w:rPr>
        <w:t xml:space="preserve">particle motion levels </w:t>
      </w:r>
      <w:r w:rsidR="00AC0AE3">
        <w:rPr>
          <w:rFonts w:cs="Arial"/>
          <w:sz w:val="22"/>
          <w:szCs w:val="22"/>
        </w:rPr>
        <w:t xml:space="preserve">and sound </w:t>
      </w:r>
      <w:r w:rsidR="00BB219A">
        <w:rPr>
          <w:rFonts w:cs="Arial"/>
          <w:sz w:val="22"/>
          <w:szCs w:val="22"/>
        </w:rPr>
        <w:t>relevant to potential</w:t>
      </w:r>
      <w:r w:rsidR="00666E21">
        <w:rPr>
          <w:rFonts w:cs="Arial"/>
          <w:sz w:val="22"/>
          <w:szCs w:val="22"/>
        </w:rPr>
        <w:t xml:space="preserve"> effect</w:t>
      </w:r>
      <w:r w:rsidR="00BB219A">
        <w:rPr>
          <w:rFonts w:cs="Arial"/>
          <w:sz w:val="22"/>
          <w:szCs w:val="22"/>
        </w:rPr>
        <w:t>s</w:t>
      </w:r>
      <w:r w:rsidR="00666E21">
        <w:rPr>
          <w:rFonts w:cs="Arial"/>
          <w:sz w:val="22"/>
          <w:szCs w:val="22"/>
        </w:rPr>
        <w:t xml:space="preserve"> </w:t>
      </w:r>
      <w:r w:rsidR="00BB219A">
        <w:rPr>
          <w:rFonts w:cs="Arial"/>
          <w:sz w:val="22"/>
          <w:szCs w:val="22"/>
        </w:rPr>
        <w:t xml:space="preserve">on </w:t>
      </w:r>
      <w:r w:rsidR="00AC0AE3">
        <w:rPr>
          <w:rFonts w:cs="Arial"/>
          <w:sz w:val="22"/>
          <w:szCs w:val="22"/>
        </w:rPr>
        <w:t xml:space="preserve">scallops </w:t>
      </w:r>
      <w:r w:rsidR="00EA487D">
        <w:rPr>
          <w:rFonts w:cs="Arial"/>
          <w:sz w:val="22"/>
          <w:szCs w:val="22"/>
        </w:rPr>
        <w:t xml:space="preserve"> </w:t>
      </w:r>
      <w:r w:rsidR="00666E21">
        <w:rPr>
          <w:rFonts w:cs="Arial"/>
          <w:sz w:val="22"/>
          <w:szCs w:val="22"/>
        </w:rPr>
        <w:t>from the proposed Pelican 3DMSS</w:t>
      </w:r>
      <w:r w:rsidR="00AC0AE3">
        <w:rPr>
          <w:rFonts w:cs="Arial"/>
          <w:sz w:val="22"/>
          <w:szCs w:val="22"/>
        </w:rPr>
        <w:t xml:space="preserve"> at two representative sites (Site 3 and Site 6)</w:t>
      </w:r>
      <w:r w:rsidR="00666E21">
        <w:rPr>
          <w:rFonts w:cs="Arial"/>
          <w:sz w:val="22"/>
          <w:szCs w:val="22"/>
        </w:rPr>
        <w:t xml:space="preserve">. </w:t>
      </w:r>
    </w:p>
    <w:p w14:paraId="1C5DEAE1" w14:textId="77777777" w:rsidR="00666E21" w:rsidRDefault="00666E21" w:rsidP="00594614">
      <w:pPr>
        <w:ind w:left="0"/>
        <w:rPr>
          <w:rFonts w:cs="Arial"/>
          <w:sz w:val="22"/>
          <w:szCs w:val="22"/>
        </w:rPr>
      </w:pPr>
    </w:p>
    <w:p w14:paraId="0196BCFA" w14:textId="77777777" w:rsidR="00AC0AE3" w:rsidRDefault="00AC0AE3" w:rsidP="00AC0AE3">
      <w:pPr>
        <w:ind w:left="0"/>
        <w:rPr>
          <w:sz w:val="22"/>
          <w:szCs w:val="22"/>
        </w:rPr>
      </w:pPr>
      <w:r>
        <w:rPr>
          <w:sz w:val="22"/>
          <w:szCs w:val="22"/>
        </w:rPr>
        <w:t>P</w:t>
      </w:r>
      <w:r w:rsidRPr="00463C8E">
        <w:rPr>
          <w:sz w:val="22"/>
          <w:szCs w:val="22"/>
        </w:rPr>
        <w:t>article motion estimates were computed in the time-domain from synthetic waveform calculations. As VSTACK does not compute particle motion directly, particle acceleration and velocity were derived mathematically from the numerical gradient of the acoustic pressure.</w:t>
      </w:r>
    </w:p>
    <w:p w14:paraId="0EDC6AC3" w14:textId="77777777" w:rsidR="00AC0AE3" w:rsidRDefault="00AC0AE3" w:rsidP="00AC0AE3">
      <w:pPr>
        <w:ind w:left="0"/>
        <w:rPr>
          <w:color w:val="0432FF"/>
          <w:sz w:val="22"/>
          <w:szCs w:val="22"/>
        </w:rPr>
      </w:pPr>
    </w:p>
    <w:p w14:paraId="38F86733" w14:textId="77777777" w:rsidR="00AC0AE3" w:rsidRPr="00EF4E2A" w:rsidRDefault="00AC0AE3" w:rsidP="00AC0AE3">
      <w:pPr>
        <w:ind w:left="0"/>
        <w:rPr>
          <w:sz w:val="22"/>
          <w:szCs w:val="22"/>
        </w:rPr>
      </w:pPr>
      <w:r w:rsidRPr="00EF4E2A">
        <w:rPr>
          <w:sz w:val="22"/>
          <w:szCs w:val="22"/>
        </w:rPr>
        <w:t>Figure 7.7 and Figure 7.8 show maximum particle acceleration and velocity, respectively, as a function of horizontal range from the centre of the airgun arrays. The assessment has focused on particle acceleration, as this is the metric that was presented in Day et al (2016a).</w:t>
      </w:r>
    </w:p>
    <w:p w14:paraId="2C9BE2E3" w14:textId="77777777" w:rsidR="00AC0AE3" w:rsidRPr="00EF4E2A" w:rsidRDefault="00AC0AE3" w:rsidP="00AC0AE3">
      <w:pPr>
        <w:ind w:left="0"/>
        <w:rPr>
          <w:sz w:val="22"/>
          <w:szCs w:val="22"/>
        </w:rPr>
      </w:pPr>
    </w:p>
    <w:p w14:paraId="735BE80B" w14:textId="77777777" w:rsidR="00AC0AE3" w:rsidRPr="00EF4E2A" w:rsidRDefault="00AC0AE3" w:rsidP="00AC0AE3">
      <w:pPr>
        <w:ind w:left="0"/>
        <w:rPr>
          <w:sz w:val="22"/>
          <w:szCs w:val="22"/>
        </w:rPr>
      </w:pPr>
      <w:r w:rsidRPr="00EF4E2A">
        <w:rPr>
          <w:sz w:val="22"/>
          <w:szCs w:val="22"/>
        </w:rPr>
        <w:t>At close range, the maximum particle acceleration was larger at Site 6 (18.7 m water depth) than at Site 3 (26.2 m water depth). This difference is due to the shallower water at Site 6, as the distance between the array and the seafloor is less than in deeper waters. The maximum particle acceleration for both sites is greater than 73 ms</w:t>
      </w:r>
      <w:r w:rsidRPr="00EF4E2A">
        <w:rPr>
          <w:sz w:val="22"/>
          <w:szCs w:val="22"/>
          <w:vertAlign w:val="superscript"/>
        </w:rPr>
        <w:t>-2</w:t>
      </w:r>
      <w:r w:rsidRPr="00EF4E2A">
        <w:rPr>
          <w:sz w:val="22"/>
          <w:szCs w:val="22"/>
        </w:rPr>
        <w:t xml:space="preserve"> out to a distance of 35 m from the centre of the array, and from a distance of 40 to 100 m has a median decay rate of approximately 5.8 ms</w:t>
      </w:r>
      <w:r w:rsidRPr="00EF4E2A">
        <w:rPr>
          <w:sz w:val="22"/>
          <w:szCs w:val="22"/>
          <w:vertAlign w:val="superscript"/>
        </w:rPr>
        <w:t>-2</w:t>
      </w:r>
      <w:r w:rsidRPr="00EF4E2A">
        <w:rPr>
          <w:sz w:val="22"/>
          <w:szCs w:val="22"/>
        </w:rPr>
        <w:t xml:space="preserve"> every 10 m.</w:t>
      </w:r>
    </w:p>
    <w:p w14:paraId="27E1D613" w14:textId="77777777" w:rsidR="00AC0AE3" w:rsidRPr="00EF4E2A" w:rsidRDefault="00AC0AE3" w:rsidP="00AC0AE3">
      <w:pPr>
        <w:ind w:left="0"/>
        <w:rPr>
          <w:sz w:val="22"/>
          <w:szCs w:val="22"/>
        </w:rPr>
      </w:pPr>
    </w:p>
    <w:p w14:paraId="312403B5" w14:textId="72D3F9D2" w:rsidR="00AC0AE3" w:rsidRPr="00812790" w:rsidRDefault="00AC0AE3" w:rsidP="00AC0AE3">
      <w:pPr>
        <w:ind w:left="0"/>
        <w:rPr>
          <w:sz w:val="22"/>
          <w:szCs w:val="22"/>
        </w:rPr>
      </w:pPr>
      <w:r w:rsidRPr="00EF4E2A">
        <w:rPr>
          <w:sz w:val="22"/>
          <w:szCs w:val="22"/>
        </w:rPr>
        <w:t>Table 7.</w:t>
      </w:r>
      <w:r w:rsidR="00FC79B0" w:rsidRPr="00EF4E2A">
        <w:rPr>
          <w:sz w:val="22"/>
          <w:szCs w:val="22"/>
        </w:rPr>
        <w:t>19</w:t>
      </w:r>
      <w:r w:rsidRPr="00EF4E2A">
        <w:rPr>
          <w:sz w:val="22"/>
          <w:szCs w:val="22"/>
        </w:rPr>
        <w:t xml:space="preserve"> presents the results for the maximum particle acceleration and velocity ranges, and of note are higher than the values reported in Day et al notwithstanding the limitations in interpreting and applying this experimental data. However</w:t>
      </w:r>
      <w:r w:rsidR="00FC79B0" w:rsidRPr="00EF4E2A">
        <w:rPr>
          <w:sz w:val="22"/>
          <w:szCs w:val="22"/>
        </w:rPr>
        <w:t>,</w:t>
      </w:r>
      <w:r w:rsidRPr="00EF4E2A">
        <w:rPr>
          <w:sz w:val="22"/>
          <w:szCs w:val="22"/>
        </w:rPr>
        <w:t xml:space="preserve"> Day et al</w:t>
      </w:r>
      <w:r w:rsidRPr="00D70321">
        <w:rPr>
          <w:sz w:val="22"/>
          <w:szCs w:val="22"/>
        </w:rPr>
        <w:t xml:space="preserve"> (2016a) also reference an unpublished maximum particle acceleration measurement of 6.2 m/s</w:t>
      </w:r>
      <w:r w:rsidRPr="00D70321">
        <w:rPr>
          <w:sz w:val="22"/>
          <w:szCs w:val="22"/>
          <w:vertAlign w:val="superscript"/>
        </w:rPr>
        <w:t>2</w:t>
      </w:r>
      <w:r w:rsidRPr="00D70321">
        <w:rPr>
          <w:sz w:val="22"/>
          <w:szCs w:val="22"/>
        </w:rPr>
        <w:t xml:space="preserve"> from a 3,130 cui airgun array at 477 m range in 36 m of water, which is comparable to the acceleration predicted in this study.</w:t>
      </w:r>
      <w:r w:rsidRPr="00D70321" w:rsidDel="003D3944">
        <w:rPr>
          <w:sz w:val="22"/>
          <w:szCs w:val="22"/>
        </w:rPr>
        <w:t xml:space="preserve"> </w:t>
      </w:r>
    </w:p>
    <w:p w14:paraId="6D7EB649" w14:textId="77777777" w:rsidR="00AC0AE3" w:rsidRDefault="00AC0AE3" w:rsidP="00AC0AE3">
      <w:pPr>
        <w:ind w:left="0"/>
        <w:rPr>
          <w:sz w:val="22"/>
          <w:szCs w:val="22"/>
        </w:rPr>
      </w:pPr>
    </w:p>
    <w:p w14:paraId="6B7BB6CB" w14:textId="77777777" w:rsidR="00AC0AE3" w:rsidRDefault="00AC0AE3" w:rsidP="00AC0AE3">
      <w:pPr>
        <w:ind w:left="0"/>
        <w:rPr>
          <w:sz w:val="22"/>
          <w:szCs w:val="22"/>
        </w:rPr>
      </w:pPr>
    </w:p>
    <w:p w14:paraId="793272C2" w14:textId="48D9DF74" w:rsidR="00BE6247" w:rsidRDefault="00BE6247" w:rsidP="00594614">
      <w:pPr>
        <w:ind w:left="0"/>
        <w:rPr>
          <w:rFonts w:cs="Arial"/>
          <w:sz w:val="22"/>
          <w:szCs w:val="22"/>
        </w:rPr>
      </w:pPr>
    </w:p>
    <w:tbl>
      <w:tblPr>
        <w:tblStyle w:val="TableGrid"/>
        <w:tblW w:w="0" w:type="auto"/>
        <w:tblLook w:val="04A0" w:firstRow="1" w:lastRow="0" w:firstColumn="1" w:lastColumn="0" w:noHBand="0" w:noVBand="1"/>
      </w:tblPr>
      <w:tblGrid>
        <w:gridCol w:w="8522"/>
      </w:tblGrid>
      <w:tr w:rsidR="00AC0AE3" w14:paraId="515143DD" w14:textId="77777777" w:rsidTr="00AC0AE3">
        <w:tc>
          <w:tcPr>
            <w:tcW w:w="8522" w:type="dxa"/>
          </w:tcPr>
          <w:p w14:paraId="4752DF67" w14:textId="695E5036" w:rsidR="00AC0AE3" w:rsidRDefault="00AC0AE3" w:rsidP="00AC0AE3">
            <w:pPr>
              <w:spacing w:before="120" w:after="120" w:line="240" w:lineRule="auto"/>
              <w:ind w:left="0"/>
              <w:rPr>
                <w:sz w:val="22"/>
                <w:szCs w:val="22"/>
              </w:rPr>
            </w:pPr>
            <w:r>
              <w:rPr>
                <w:sz w:val="22"/>
                <w:szCs w:val="22"/>
              </w:rPr>
              <w:t xml:space="preserve">              </w:t>
            </w:r>
            <w:r w:rsidR="0049030C">
              <w:rPr>
                <w:noProof/>
              </w:rPr>
              <w:drawing>
                <wp:inline distT="0" distB="0" distL="0" distR="0" wp14:anchorId="62A6D835" wp14:editId="35C141AC">
                  <wp:extent cx="4114800" cy="3009900"/>
                  <wp:effectExtent l="0" t="0" r="0" b="0"/>
                  <wp:docPr id="97" name="Picture 97" descr="Acceleration_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celeration_ylog"/>
                          <pic:cNvPicPr>
                            <a:picLocks noChangeAspect="1" noChangeArrowheads="1"/>
                          </pic:cNvPicPr>
                        </pic:nvPicPr>
                        <pic:blipFill>
                          <a:blip r:embed="rId273" cstate="screen">
                            <a:extLst>
                              <a:ext uri="{28A0092B-C50C-407E-A947-70E740481C1C}">
                                <a14:useLocalDpi xmlns:a14="http://schemas.microsoft.com/office/drawing/2010/main"/>
                              </a:ext>
                            </a:extLst>
                          </a:blip>
                          <a:srcRect/>
                          <a:stretch>
                            <a:fillRect/>
                          </a:stretch>
                        </pic:blipFill>
                        <pic:spPr bwMode="auto">
                          <a:xfrm>
                            <a:off x="0" y="0"/>
                            <a:ext cx="4114800" cy="3009900"/>
                          </a:xfrm>
                          <a:prstGeom prst="rect">
                            <a:avLst/>
                          </a:prstGeom>
                          <a:noFill/>
                          <a:ln>
                            <a:noFill/>
                          </a:ln>
                        </pic:spPr>
                      </pic:pic>
                    </a:graphicData>
                  </a:graphic>
                </wp:inline>
              </w:drawing>
            </w:r>
          </w:p>
        </w:tc>
      </w:tr>
    </w:tbl>
    <w:p w14:paraId="35A56022" w14:textId="77777777" w:rsidR="00AC0AE3" w:rsidRPr="00505A03" w:rsidRDefault="00AC0AE3" w:rsidP="00AC0AE3">
      <w:pPr>
        <w:spacing w:after="120" w:line="240" w:lineRule="auto"/>
        <w:ind w:left="0"/>
        <w:contextualSpacing/>
        <w:rPr>
          <w:i/>
          <w:sz w:val="16"/>
          <w:szCs w:val="16"/>
          <w:lang w:val="fr-FR"/>
        </w:rPr>
      </w:pPr>
      <w:r w:rsidRPr="00505A03">
        <w:rPr>
          <w:i/>
          <w:sz w:val="16"/>
          <w:szCs w:val="16"/>
          <w:lang w:val="fr-FR"/>
        </w:rPr>
        <w:t>Source: McPherson et al (2017).</w:t>
      </w:r>
    </w:p>
    <w:p w14:paraId="2465D2F1" w14:textId="77777777" w:rsidR="00AC0AE3" w:rsidRPr="00505A03" w:rsidRDefault="00AC0AE3" w:rsidP="00AC0AE3">
      <w:pPr>
        <w:spacing w:after="120" w:line="240" w:lineRule="auto"/>
        <w:ind w:left="0"/>
        <w:contextualSpacing/>
        <w:rPr>
          <w:i/>
          <w:sz w:val="16"/>
          <w:szCs w:val="16"/>
          <w:lang w:val="fr-FR"/>
        </w:rPr>
      </w:pPr>
    </w:p>
    <w:p w14:paraId="715A322D" w14:textId="77777777" w:rsidR="00AC0AE3" w:rsidRPr="00666E21" w:rsidRDefault="00AC0AE3" w:rsidP="00AC0AE3">
      <w:pPr>
        <w:spacing w:after="120" w:line="240" w:lineRule="auto"/>
        <w:ind w:left="0"/>
        <w:jc w:val="center"/>
        <w:rPr>
          <w:rFonts w:cs="Arial"/>
          <w:b/>
          <w:sz w:val="20"/>
          <w:szCs w:val="20"/>
        </w:rPr>
      </w:pPr>
      <w:r w:rsidRPr="00505A03">
        <w:rPr>
          <w:rFonts w:cs="Arial"/>
          <w:b/>
          <w:sz w:val="20"/>
          <w:szCs w:val="20"/>
          <w:lang w:val="fr-FR"/>
        </w:rPr>
        <w:t>Figure 7.7.</w:t>
      </w:r>
      <w:r w:rsidRPr="00505A03">
        <w:rPr>
          <w:rFonts w:cs="Arial"/>
          <w:b/>
          <w:sz w:val="20"/>
          <w:szCs w:val="20"/>
          <w:lang w:val="fr-FR"/>
        </w:rPr>
        <w:tab/>
      </w:r>
      <w:r w:rsidRPr="00666E21">
        <w:rPr>
          <w:rFonts w:cs="Arial"/>
          <w:b/>
          <w:sz w:val="20"/>
          <w:szCs w:val="20"/>
        </w:rPr>
        <w:t xml:space="preserve">Maximum particle </w:t>
      </w:r>
      <w:r w:rsidRPr="00666E21">
        <w:rPr>
          <w:rFonts w:cs="Arial"/>
          <w:b/>
          <w:sz w:val="20"/>
          <w:szCs w:val="20"/>
          <w:u w:val="single"/>
        </w:rPr>
        <w:t>acceleration</w:t>
      </w:r>
      <w:r w:rsidRPr="00666E21">
        <w:rPr>
          <w:rFonts w:cs="Arial"/>
          <w:b/>
          <w:sz w:val="20"/>
          <w:szCs w:val="20"/>
        </w:rPr>
        <w:t xml:space="preserve"> at the seafloor as a function of horizontal range from the centre of the airgun arrays in the broadside direction</w:t>
      </w:r>
    </w:p>
    <w:p w14:paraId="2C43E541" w14:textId="77777777" w:rsidR="00AC0AE3" w:rsidRDefault="00AC0AE3" w:rsidP="00AC0AE3">
      <w:pPr>
        <w:pStyle w:val="BodyText"/>
        <w:keepNext/>
      </w:pPr>
    </w:p>
    <w:tbl>
      <w:tblPr>
        <w:tblStyle w:val="TableGrid"/>
        <w:tblW w:w="0" w:type="auto"/>
        <w:tblLook w:val="04A0" w:firstRow="1" w:lastRow="0" w:firstColumn="1" w:lastColumn="0" w:noHBand="0" w:noVBand="1"/>
      </w:tblPr>
      <w:tblGrid>
        <w:gridCol w:w="8522"/>
      </w:tblGrid>
      <w:tr w:rsidR="00AC0AE3" w14:paraId="07F1E944" w14:textId="77777777" w:rsidTr="00AC0AE3">
        <w:tc>
          <w:tcPr>
            <w:tcW w:w="8522" w:type="dxa"/>
          </w:tcPr>
          <w:p w14:paraId="43BEC0A9" w14:textId="6238171C" w:rsidR="00AC0AE3" w:rsidRDefault="0049030C" w:rsidP="00AC0AE3">
            <w:pPr>
              <w:spacing w:before="120" w:after="120" w:line="240" w:lineRule="auto"/>
              <w:ind w:left="0"/>
              <w:jc w:val="center"/>
              <w:rPr>
                <w:rFonts w:cs="Arial"/>
                <w:b/>
                <w:sz w:val="20"/>
                <w:szCs w:val="20"/>
              </w:rPr>
            </w:pPr>
            <w:r>
              <w:rPr>
                <w:noProof/>
              </w:rPr>
              <w:drawing>
                <wp:inline distT="0" distB="0" distL="0" distR="0" wp14:anchorId="6A6F5C8D" wp14:editId="4D3E858F">
                  <wp:extent cx="4114800" cy="3009900"/>
                  <wp:effectExtent l="0" t="0" r="0" b="0"/>
                  <wp:docPr id="98" name="Picture 98" descr="Velocity_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locity_ylog"/>
                          <pic:cNvPicPr>
                            <a:picLocks noChangeAspect="1" noChangeArrowheads="1"/>
                          </pic:cNvPicPr>
                        </pic:nvPicPr>
                        <pic:blipFill>
                          <a:blip r:embed="rId274" cstate="screen">
                            <a:extLst>
                              <a:ext uri="{28A0092B-C50C-407E-A947-70E740481C1C}">
                                <a14:useLocalDpi xmlns:a14="http://schemas.microsoft.com/office/drawing/2010/main"/>
                              </a:ext>
                            </a:extLst>
                          </a:blip>
                          <a:srcRect/>
                          <a:stretch>
                            <a:fillRect/>
                          </a:stretch>
                        </pic:blipFill>
                        <pic:spPr bwMode="auto">
                          <a:xfrm>
                            <a:off x="0" y="0"/>
                            <a:ext cx="4114800" cy="3009900"/>
                          </a:xfrm>
                          <a:prstGeom prst="rect">
                            <a:avLst/>
                          </a:prstGeom>
                          <a:noFill/>
                          <a:ln>
                            <a:noFill/>
                          </a:ln>
                        </pic:spPr>
                      </pic:pic>
                    </a:graphicData>
                  </a:graphic>
                </wp:inline>
              </w:drawing>
            </w:r>
          </w:p>
        </w:tc>
      </w:tr>
    </w:tbl>
    <w:p w14:paraId="668E8F52" w14:textId="77777777" w:rsidR="00AC0AE3" w:rsidRPr="00505A03" w:rsidRDefault="00AC0AE3" w:rsidP="00AC0AE3">
      <w:pPr>
        <w:spacing w:after="120" w:line="240" w:lineRule="auto"/>
        <w:ind w:left="0"/>
        <w:contextualSpacing/>
        <w:rPr>
          <w:i/>
          <w:sz w:val="16"/>
          <w:szCs w:val="16"/>
          <w:lang w:val="fr-FR"/>
        </w:rPr>
      </w:pPr>
      <w:r w:rsidRPr="00505A03">
        <w:rPr>
          <w:i/>
          <w:sz w:val="16"/>
          <w:szCs w:val="16"/>
          <w:lang w:val="fr-FR"/>
        </w:rPr>
        <w:t>Source: McPherson et al (2017).</w:t>
      </w:r>
    </w:p>
    <w:p w14:paraId="061D30C8" w14:textId="77777777" w:rsidR="00AC0AE3" w:rsidRPr="00505A03" w:rsidRDefault="00AC0AE3" w:rsidP="00AC0AE3">
      <w:pPr>
        <w:spacing w:after="120" w:line="240" w:lineRule="auto"/>
        <w:ind w:left="0"/>
        <w:contextualSpacing/>
        <w:rPr>
          <w:i/>
          <w:sz w:val="16"/>
          <w:szCs w:val="16"/>
          <w:lang w:val="fr-FR"/>
        </w:rPr>
      </w:pPr>
    </w:p>
    <w:p w14:paraId="28E52307" w14:textId="77777777" w:rsidR="00AC0AE3" w:rsidRPr="00666E21" w:rsidRDefault="00AC0AE3" w:rsidP="00AC0AE3">
      <w:pPr>
        <w:spacing w:after="120" w:line="240" w:lineRule="auto"/>
        <w:ind w:left="0"/>
        <w:jc w:val="center"/>
        <w:rPr>
          <w:rFonts w:cs="Arial"/>
          <w:b/>
          <w:sz w:val="20"/>
          <w:szCs w:val="20"/>
        </w:rPr>
      </w:pPr>
      <w:r w:rsidRPr="00505A03">
        <w:rPr>
          <w:rFonts w:cs="Arial"/>
          <w:b/>
          <w:sz w:val="20"/>
          <w:szCs w:val="20"/>
          <w:lang w:val="fr-FR"/>
        </w:rPr>
        <w:t>Figure 7.8.</w:t>
      </w:r>
      <w:r w:rsidRPr="00505A03">
        <w:rPr>
          <w:rFonts w:cs="Arial"/>
          <w:b/>
          <w:sz w:val="20"/>
          <w:szCs w:val="20"/>
          <w:lang w:val="fr-FR"/>
        </w:rPr>
        <w:tab/>
      </w:r>
      <w:r w:rsidRPr="00666E21">
        <w:rPr>
          <w:rFonts w:cs="Arial"/>
          <w:b/>
          <w:sz w:val="20"/>
          <w:szCs w:val="20"/>
        </w:rPr>
        <w:t xml:space="preserve">Maximum particle </w:t>
      </w:r>
      <w:r w:rsidRPr="00666E21">
        <w:rPr>
          <w:rFonts w:cs="Arial"/>
          <w:b/>
          <w:sz w:val="20"/>
          <w:szCs w:val="20"/>
          <w:u w:val="single"/>
        </w:rPr>
        <w:t>velocity</w:t>
      </w:r>
      <w:r w:rsidRPr="00666E21">
        <w:rPr>
          <w:rFonts w:cs="Arial"/>
          <w:b/>
          <w:sz w:val="20"/>
          <w:szCs w:val="20"/>
        </w:rPr>
        <w:t xml:space="preserve"> at the seafloor as a function of horizontal range from the centre of the airgun arrays in the broadside direction</w:t>
      </w:r>
    </w:p>
    <w:p w14:paraId="2E2E61F5" w14:textId="77777777" w:rsidR="00BE6247" w:rsidRDefault="00BE6247" w:rsidP="00594614">
      <w:pPr>
        <w:ind w:left="0"/>
        <w:rPr>
          <w:rFonts w:cs="Arial"/>
          <w:sz w:val="22"/>
          <w:szCs w:val="22"/>
        </w:rPr>
      </w:pPr>
    </w:p>
    <w:p w14:paraId="252C600E" w14:textId="77777777" w:rsidR="00CD583F" w:rsidRDefault="00CD583F" w:rsidP="00AC0AE3">
      <w:pPr>
        <w:spacing w:after="120" w:line="240" w:lineRule="auto"/>
        <w:ind w:left="0"/>
        <w:jc w:val="center"/>
        <w:rPr>
          <w:rFonts w:cs="Arial"/>
          <w:b/>
          <w:sz w:val="20"/>
          <w:szCs w:val="20"/>
        </w:rPr>
      </w:pPr>
    </w:p>
    <w:p w14:paraId="326DD27A" w14:textId="77777777" w:rsidR="00CD583F" w:rsidRDefault="00CD583F" w:rsidP="00AC0AE3">
      <w:pPr>
        <w:spacing w:after="120" w:line="240" w:lineRule="auto"/>
        <w:ind w:left="0"/>
        <w:jc w:val="center"/>
        <w:rPr>
          <w:rFonts w:cs="Arial"/>
          <w:b/>
          <w:sz w:val="20"/>
          <w:szCs w:val="20"/>
        </w:rPr>
      </w:pPr>
    </w:p>
    <w:p w14:paraId="3A30608C" w14:textId="77777777" w:rsidR="00CD583F" w:rsidRDefault="00CD583F" w:rsidP="00AC0AE3">
      <w:pPr>
        <w:spacing w:after="120" w:line="240" w:lineRule="auto"/>
        <w:ind w:left="0"/>
        <w:jc w:val="center"/>
        <w:rPr>
          <w:rFonts w:cs="Arial"/>
          <w:b/>
          <w:sz w:val="20"/>
          <w:szCs w:val="20"/>
        </w:rPr>
      </w:pPr>
    </w:p>
    <w:p w14:paraId="19FAEE1B" w14:textId="76740E50" w:rsidR="00AC0AE3" w:rsidRPr="003A0C99" w:rsidRDefault="00AC0AE3" w:rsidP="00AC0AE3">
      <w:pPr>
        <w:spacing w:after="120" w:line="240" w:lineRule="auto"/>
        <w:ind w:left="0"/>
        <w:jc w:val="center"/>
        <w:rPr>
          <w:rFonts w:cs="Arial"/>
          <w:b/>
          <w:sz w:val="20"/>
          <w:szCs w:val="20"/>
        </w:rPr>
      </w:pPr>
      <w:r>
        <w:rPr>
          <w:rFonts w:cs="Arial"/>
          <w:b/>
          <w:sz w:val="20"/>
          <w:szCs w:val="20"/>
        </w:rPr>
        <w:lastRenderedPageBreak/>
        <w:t>Table 7.</w:t>
      </w:r>
      <w:r w:rsidR="00FC79B0">
        <w:rPr>
          <w:rFonts w:cs="Arial"/>
          <w:b/>
          <w:sz w:val="20"/>
          <w:szCs w:val="20"/>
        </w:rPr>
        <w:t>19</w:t>
      </w:r>
      <w:r>
        <w:rPr>
          <w:rFonts w:cs="Arial"/>
          <w:b/>
          <w:sz w:val="20"/>
          <w:szCs w:val="20"/>
        </w:rPr>
        <w:t>.</w:t>
      </w:r>
      <w:r>
        <w:rPr>
          <w:rFonts w:cs="Arial"/>
          <w:b/>
          <w:sz w:val="20"/>
          <w:szCs w:val="20"/>
        </w:rPr>
        <w:tab/>
      </w:r>
      <w:r w:rsidRPr="003A0C99">
        <w:rPr>
          <w:rFonts w:cs="Arial"/>
          <w:b/>
          <w:sz w:val="20"/>
          <w:szCs w:val="20"/>
        </w:rPr>
        <w:t>Maximum particle acceleration and velocity at range</w:t>
      </w:r>
    </w:p>
    <w:tbl>
      <w:tblPr>
        <w:tblStyle w:val="TableGrid"/>
        <w:tblW w:w="5353" w:type="dxa"/>
        <w:jc w:val="center"/>
        <w:tblLayout w:type="fixed"/>
        <w:tblLook w:val="04A0" w:firstRow="1" w:lastRow="0" w:firstColumn="1" w:lastColumn="0" w:noHBand="0" w:noVBand="1"/>
      </w:tblPr>
      <w:tblGrid>
        <w:gridCol w:w="1242"/>
        <w:gridCol w:w="1985"/>
        <w:gridCol w:w="2126"/>
      </w:tblGrid>
      <w:tr w:rsidR="00AC0AE3" w:rsidRPr="000D0DBD" w14:paraId="48DB3B64" w14:textId="77777777" w:rsidTr="00AC0AE3">
        <w:trPr>
          <w:trHeight w:val="589"/>
          <w:jc w:val="center"/>
        </w:trPr>
        <w:tc>
          <w:tcPr>
            <w:tcW w:w="1242" w:type="dxa"/>
            <w:shd w:val="clear" w:color="auto" w:fill="064EA8"/>
          </w:tcPr>
          <w:p w14:paraId="4A8D344F" w14:textId="77777777" w:rsidR="00AC0AE3" w:rsidRPr="000D0DBD" w:rsidRDefault="00AC0AE3" w:rsidP="00AC0AE3">
            <w:pPr>
              <w:spacing w:before="60" w:after="60"/>
              <w:ind w:left="0"/>
              <w:rPr>
                <w:rFonts w:cs="Arial"/>
                <w:color w:val="FFFFFF" w:themeColor="background1"/>
                <w:sz w:val="20"/>
                <w:szCs w:val="20"/>
              </w:rPr>
            </w:pPr>
            <w:r>
              <w:rPr>
                <w:rFonts w:cs="Arial"/>
                <w:color w:val="FFFFFF" w:themeColor="background1"/>
                <w:sz w:val="20"/>
                <w:szCs w:val="20"/>
              </w:rPr>
              <w:t>Range (m)</w:t>
            </w:r>
          </w:p>
        </w:tc>
        <w:tc>
          <w:tcPr>
            <w:tcW w:w="1985" w:type="dxa"/>
            <w:shd w:val="clear" w:color="auto" w:fill="064EA8"/>
          </w:tcPr>
          <w:p w14:paraId="261CA4E0" w14:textId="77777777" w:rsidR="00AC0AE3" w:rsidRPr="000D0DBD" w:rsidRDefault="00AC0AE3" w:rsidP="00AC0AE3">
            <w:pPr>
              <w:spacing w:before="60" w:after="60" w:line="240" w:lineRule="auto"/>
              <w:ind w:left="0"/>
              <w:jc w:val="center"/>
              <w:rPr>
                <w:rFonts w:cs="Arial"/>
                <w:color w:val="FFFFFF" w:themeColor="background1"/>
                <w:sz w:val="20"/>
                <w:szCs w:val="20"/>
              </w:rPr>
            </w:pPr>
            <w:r>
              <w:rPr>
                <w:rFonts w:cs="Arial"/>
                <w:color w:val="FFFFFF" w:themeColor="background1"/>
                <w:sz w:val="20"/>
                <w:szCs w:val="20"/>
              </w:rPr>
              <w:t xml:space="preserve">Maximum distance </w:t>
            </w:r>
            <w:r>
              <w:rPr>
                <w:rFonts w:cs="Arial"/>
                <w:color w:val="FFFFFF" w:themeColor="background1"/>
                <w:sz w:val="20"/>
                <w:szCs w:val="20"/>
              </w:rPr>
              <w:br/>
              <w:t>(m/s</w:t>
            </w:r>
            <w:r w:rsidRPr="003A0C99">
              <w:rPr>
                <w:rFonts w:cs="Arial"/>
                <w:color w:val="FFFFFF" w:themeColor="background1"/>
                <w:sz w:val="20"/>
                <w:szCs w:val="20"/>
                <w:vertAlign w:val="superscript"/>
              </w:rPr>
              <w:t>-2</w:t>
            </w:r>
            <w:r>
              <w:rPr>
                <w:rFonts w:cs="Arial"/>
                <w:color w:val="FFFFFF" w:themeColor="background1"/>
                <w:sz w:val="20"/>
                <w:szCs w:val="20"/>
              </w:rPr>
              <w:t>)</w:t>
            </w:r>
          </w:p>
        </w:tc>
        <w:tc>
          <w:tcPr>
            <w:tcW w:w="2126" w:type="dxa"/>
            <w:shd w:val="clear" w:color="auto" w:fill="064EA8"/>
          </w:tcPr>
          <w:p w14:paraId="33EDE79D" w14:textId="77777777" w:rsidR="00AC0AE3" w:rsidRDefault="00AC0AE3" w:rsidP="00AC0AE3">
            <w:pPr>
              <w:spacing w:before="60" w:after="60" w:line="240" w:lineRule="auto"/>
              <w:ind w:left="0"/>
              <w:jc w:val="center"/>
              <w:rPr>
                <w:rFonts w:cs="Arial"/>
                <w:color w:val="FFFFFF" w:themeColor="background1"/>
                <w:sz w:val="20"/>
                <w:szCs w:val="20"/>
              </w:rPr>
            </w:pPr>
            <w:r>
              <w:rPr>
                <w:rFonts w:cs="Arial"/>
                <w:color w:val="FFFFFF" w:themeColor="background1"/>
                <w:sz w:val="20"/>
                <w:szCs w:val="20"/>
              </w:rPr>
              <w:t>Maximum velocity (mm/s</w:t>
            </w:r>
            <w:r w:rsidRPr="003A0C99">
              <w:rPr>
                <w:rFonts w:cs="Arial"/>
                <w:color w:val="FFFFFF" w:themeColor="background1"/>
                <w:sz w:val="20"/>
                <w:szCs w:val="20"/>
                <w:vertAlign w:val="superscript"/>
              </w:rPr>
              <w:t>-1</w:t>
            </w:r>
            <w:r>
              <w:rPr>
                <w:rFonts w:cs="Arial"/>
                <w:color w:val="FFFFFF" w:themeColor="background1"/>
                <w:sz w:val="20"/>
                <w:szCs w:val="20"/>
              </w:rPr>
              <w:t>)</w:t>
            </w:r>
          </w:p>
        </w:tc>
      </w:tr>
      <w:tr w:rsidR="00AC0AE3" w:rsidRPr="00B877F7" w14:paraId="10AB4B66" w14:textId="77777777" w:rsidTr="00AC0AE3">
        <w:trPr>
          <w:jc w:val="center"/>
        </w:trPr>
        <w:tc>
          <w:tcPr>
            <w:tcW w:w="1242" w:type="dxa"/>
            <w:vAlign w:val="center"/>
          </w:tcPr>
          <w:p w14:paraId="1D823E80" w14:textId="77777777" w:rsidR="00AC0AE3" w:rsidRPr="00A03DC1" w:rsidRDefault="00AC0AE3" w:rsidP="00AC0AE3">
            <w:pPr>
              <w:spacing w:before="60" w:after="60" w:line="240" w:lineRule="auto"/>
              <w:ind w:left="0"/>
              <w:rPr>
                <w:rFonts w:cs="Arial"/>
                <w:sz w:val="20"/>
                <w:szCs w:val="20"/>
              </w:rPr>
            </w:pPr>
            <w:r>
              <w:rPr>
                <w:rFonts w:cs="Arial"/>
                <w:sz w:val="20"/>
                <w:szCs w:val="20"/>
              </w:rPr>
              <w:t>10</w:t>
            </w:r>
          </w:p>
        </w:tc>
        <w:tc>
          <w:tcPr>
            <w:tcW w:w="1985" w:type="dxa"/>
            <w:vAlign w:val="bottom"/>
          </w:tcPr>
          <w:p w14:paraId="28A47FCE" w14:textId="77777777" w:rsidR="00AC0AE3" w:rsidRPr="00B877F7" w:rsidRDefault="00AC0AE3" w:rsidP="00AC0AE3">
            <w:pPr>
              <w:spacing w:before="60" w:after="60" w:line="240" w:lineRule="auto"/>
              <w:ind w:left="0"/>
              <w:jc w:val="center"/>
              <w:rPr>
                <w:rFonts w:cs="Arial"/>
                <w:sz w:val="20"/>
                <w:szCs w:val="20"/>
              </w:rPr>
            </w:pPr>
            <w:r>
              <w:rPr>
                <w:rFonts w:cs="Arial"/>
                <w:sz w:val="20"/>
                <w:szCs w:val="20"/>
              </w:rPr>
              <w:t>87.9</w:t>
            </w:r>
          </w:p>
        </w:tc>
        <w:tc>
          <w:tcPr>
            <w:tcW w:w="2126" w:type="dxa"/>
          </w:tcPr>
          <w:p w14:paraId="49C7CA5E" w14:textId="77777777" w:rsidR="00AC0AE3" w:rsidRDefault="00AC0AE3" w:rsidP="00AC0AE3">
            <w:pPr>
              <w:spacing w:before="60" w:after="60" w:line="240" w:lineRule="auto"/>
              <w:ind w:left="0"/>
              <w:jc w:val="center"/>
              <w:rPr>
                <w:rFonts w:cs="Arial"/>
                <w:sz w:val="20"/>
                <w:szCs w:val="20"/>
              </w:rPr>
            </w:pPr>
            <w:r>
              <w:rPr>
                <w:rFonts w:cs="Arial"/>
                <w:sz w:val="20"/>
                <w:szCs w:val="20"/>
              </w:rPr>
              <w:t>150.2</w:t>
            </w:r>
          </w:p>
        </w:tc>
      </w:tr>
      <w:tr w:rsidR="00AC0AE3" w:rsidRPr="00A03DC1" w14:paraId="590500C7" w14:textId="77777777" w:rsidTr="00AC0AE3">
        <w:trPr>
          <w:jc w:val="center"/>
        </w:trPr>
        <w:tc>
          <w:tcPr>
            <w:tcW w:w="1242" w:type="dxa"/>
            <w:vAlign w:val="center"/>
          </w:tcPr>
          <w:p w14:paraId="167833F7" w14:textId="77777777" w:rsidR="00AC0AE3" w:rsidRPr="00A03DC1" w:rsidRDefault="00AC0AE3" w:rsidP="00AC0AE3">
            <w:pPr>
              <w:spacing w:before="60" w:after="60" w:line="240" w:lineRule="auto"/>
              <w:ind w:left="0"/>
              <w:rPr>
                <w:rFonts w:cs="Arial"/>
                <w:sz w:val="20"/>
                <w:szCs w:val="20"/>
              </w:rPr>
            </w:pPr>
            <w:r>
              <w:rPr>
                <w:rFonts w:cs="Arial"/>
                <w:sz w:val="20"/>
                <w:szCs w:val="20"/>
              </w:rPr>
              <w:t>100</w:t>
            </w:r>
          </w:p>
        </w:tc>
        <w:tc>
          <w:tcPr>
            <w:tcW w:w="1985" w:type="dxa"/>
            <w:vAlign w:val="bottom"/>
          </w:tcPr>
          <w:p w14:paraId="1C6E4F24" w14:textId="77777777" w:rsidR="00AC0AE3" w:rsidRPr="00A03DC1" w:rsidRDefault="00AC0AE3" w:rsidP="00AC0AE3">
            <w:pPr>
              <w:spacing w:before="60" w:after="60" w:line="240" w:lineRule="auto"/>
              <w:ind w:left="0"/>
              <w:jc w:val="center"/>
              <w:rPr>
                <w:rFonts w:cs="Arial"/>
                <w:sz w:val="20"/>
                <w:szCs w:val="20"/>
              </w:rPr>
            </w:pPr>
            <w:r>
              <w:rPr>
                <w:rFonts w:cs="Arial"/>
                <w:sz w:val="20"/>
                <w:szCs w:val="20"/>
              </w:rPr>
              <w:t>23.6</w:t>
            </w:r>
          </w:p>
        </w:tc>
        <w:tc>
          <w:tcPr>
            <w:tcW w:w="2126" w:type="dxa"/>
          </w:tcPr>
          <w:p w14:paraId="4EDEEBB3" w14:textId="77777777" w:rsidR="00AC0AE3" w:rsidRDefault="00AC0AE3" w:rsidP="00AC0AE3">
            <w:pPr>
              <w:spacing w:before="60" w:after="60" w:line="240" w:lineRule="auto"/>
              <w:ind w:left="0"/>
              <w:jc w:val="center"/>
              <w:rPr>
                <w:rFonts w:cs="Arial"/>
                <w:sz w:val="20"/>
                <w:szCs w:val="20"/>
              </w:rPr>
            </w:pPr>
            <w:r>
              <w:rPr>
                <w:rFonts w:cs="Arial"/>
                <w:sz w:val="20"/>
                <w:szCs w:val="20"/>
              </w:rPr>
              <w:t>23.8</w:t>
            </w:r>
          </w:p>
        </w:tc>
      </w:tr>
      <w:tr w:rsidR="00AC0AE3" w14:paraId="3AFCCE54" w14:textId="77777777" w:rsidTr="00AC0AE3">
        <w:trPr>
          <w:jc w:val="center"/>
        </w:trPr>
        <w:tc>
          <w:tcPr>
            <w:tcW w:w="1242" w:type="dxa"/>
            <w:vAlign w:val="center"/>
          </w:tcPr>
          <w:p w14:paraId="2FFBA876" w14:textId="77777777" w:rsidR="00AC0AE3" w:rsidRPr="00B877F7" w:rsidRDefault="00AC0AE3" w:rsidP="00AC0AE3">
            <w:pPr>
              <w:spacing w:before="60" w:after="60" w:line="240" w:lineRule="auto"/>
              <w:ind w:left="0"/>
              <w:rPr>
                <w:rFonts w:cs="Arial"/>
                <w:sz w:val="20"/>
                <w:szCs w:val="20"/>
              </w:rPr>
            </w:pPr>
            <w:r>
              <w:rPr>
                <w:rFonts w:cs="Arial"/>
                <w:sz w:val="20"/>
                <w:szCs w:val="20"/>
              </w:rPr>
              <w:t>500</w:t>
            </w:r>
          </w:p>
        </w:tc>
        <w:tc>
          <w:tcPr>
            <w:tcW w:w="1985" w:type="dxa"/>
            <w:vAlign w:val="bottom"/>
          </w:tcPr>
          <w:p w14:paraId="647A8C5C" w14:textId="77777777" w:rsidR="00AC0AE3" w:rsidRDefault="00AC0AE3" w:rsidP="00AC0AE3">
            <w:pPr>
              <w:spacing w:before="60" w:after="60" w:line="240" w:lineRule="auto"/>
              <w:ind w:left="0"/>
              <w:jc w:val="center"/>
              <w:rPr>
                <w:rFonts w:cs="Arial"/>
                <w:sz w:val="20"/>
                <w:szCs w:val="20"/>
              </w:rPr>
            </w:pPr>
            <w:r>
              <w:rPr>
                <w:rFonts w:cs="Arial"/>
                <w:sz w:val="20"/>
                <w:szCs w:val="20"/>
              </w:rPr>
              <w:t>5.4</w:t>
            </w:r>
          </w:p>
        </w:tc>
        <w:tc>
          <w:tcPr>
            <w:tcW w:w="2126" w:type="dxa"/>
          </w:tcPr>
          <w:p w14:paraId="4C6788ED" w14:textId="77777777" w:rsidR="00AC0AE3" w:rsidRDefault="00AC0AE3" w:rsidP="00AC0AE3">
            <w:pPr>
              <w:spacing w:before="60" w:after="60" w:line="240" w:lineRule="auto"/>
              <w:ind w:left="0"/>
              <w:jc w:val="center"/>
              <w:rPr>
                <w:rFonts w:cs="Arial"/>
                <w:sz w:val="20"/>
                <w:szCs w:val="20"/>
              </w:rPr>
            </w:pPr>
            <w:r>
              <w:rPr>
                <w:rFonts w:cs="Arial"/>
                <w:sz w:val="20"/>
                <w:szCs w:val="20"/>
              </w:rPr>
              <w:t>4.7</w:t>
            </w:r>
          </w:p>
        </w:tc>
      </w:tr>
    </w:tbl>
    <w:p w14:paraId="6AAEC302" w14:textId="77777777" w:rsidR="00666E21" w:rsidRDefault="00666E21" w:rsidP="00594614">
      <w:pPr>
        <w:ind w:left="0"/>
        <w:rPr>
          <w:rFonts w:cs="Arial"/>
          <w:sz w:val="22"/>
          <w:szCs w:val="22"/>
        </w:rPr>
      </w:pPr>
    </w:p>
    <w:p w14:paraId="30B9EBB3" w14:textId="3C56692A" w:rsidR="00AC0AE3" w:rsidRDefault="00AC0AE3" w:rsidP="00AC0AE3">
      <w:pPr>
        <w:ind w:left="0"/>
        <w:rPr>
          <w:rFonts w:cs="Arial"/>
          <w:sz w:val="22"/>
          <w:szCs w:val="22"/>
        </w:rPr>
      </w:pPr>
      <w:r w:rsidRPr="00666E21">
        <w:rPr>
          <w:rFonts w:cs="Arial"/>
          <w:sz w:val="22"/>
          <w:szCs w:val="22"/>
        </w:rPr>
        <w:t xml:space="preserve">Per-pulse results for the </w:t>
      </w:r>
      <w:r>
        <w:rPr>
          <w:rFonts w:cs="Arial"/>
          <w:sz w:val="22"/>
          <w:szCs w:val="22"/>
        </w:rPr>
        <w:t>proposed survey</w:t>
      </w:r>
      <w:r w:rsidRPr="00666E21">
        <w:rPr>
          <w:rFonts w:cs="Arial"/>
          <w:sz w:val="22"/>
          <w:szCs w:val="22"/>
        </w:rPr>
        <w:t xml:space="preserve"> are presented </w:t>
      </w:r>
      <w:r>
        <w:rPr>
          <w:rFonts w:cs="Arial"/>
          <w:sz w:val="22"/>
          <w:szCs w:val="22"/>
        </w:rPr>
        <w:t>for the</w:t>
      </w:r>
      <w:r w:rsidRPr="00666E21">
        <w:rPr>
          <w:rFonts w:cs="Arial"/>
          <w:sz w:val="22"/>
          <w:szCs w:val="22"/>
        </w:rPr>
        <w:t xml:space="preserve"> five </w:t>
      </w:r>
      <w:r>
        <w:rPr>
          <w:rFonts w:cs="Arial"/>
          <w:sz w:val="22"/>
          <w:szCs w:val="22"/>
        </w:rPr>
        <w:t xml:space="preserve">underwater sound </w:t>
      </w:r>
      <w:r w:rsidRPr="00666E21">
        <w:rPr>
          <w:rFonts w:cs="Arial"/>
          <w:sz w:val="22"/>
          <w:szCs w:val="22"/>
        </w:rPr>
        <w:t xml:space="preserve">modelling </w:t>
      </w:r>
      <w:r>
        <w:rPr>
          <w:rFonts w:cs="Arial"/>
          <w:sz w:val="22"/>
          <w:szCs w:val="22"/>
        </w:rPr>
        <w:t xml:space="preserve">representative </w:t>
      </w:r>
      <w:r w:rsidRPr="00666E21">
        <w:rPr>
          <w:rFonts w:cs="Arial"/>
          <w:sz w:val="22"/>
          <w:szCs w:val="22"/>
        </w:rPr>
        <w:t>sites</w:t>
      </w:r>
      <w:r>
        <w:rPr>
          <w:rFonts w:cs="Arial"/>
          <w:sz w:val="22"/>
          <w:szCs w:val="22"/>
        </w:rPr>
        <w:t xml:space="preserve">, with </w:t>
      </w:r>
      <w:r w:rsidRPr="00EF4E2A">
        <w:rPr>
          <w:rFonts w:cs="Arial"/>
          <w:sz w:val="22"/>
          <w:szCs w:val="22"/>
        </w:rPr>
        <w:t>Table 7.2</w:t>
      </w:r>
      <w:r w:rsidR="00FC79B0" w:rsidRPr="00EF4E2A">
        <w:rPr>
          <w:rFonts w:cs="Arial"/>
          <w:sz w:val="22"/>
          <w:szCs w:val="22"/>
        </w:rPr>
        <w:t>0</w:t>
      </w:r>
      <w:r w:rsidRPr="00EF4E2A">
        <w:rPr>
          <w:rFonts w:cs="Arial"/>
          <w:sz w:val="22"/>
          <w:szCs w:val="22"/>
        </w:rPr>
        <w:t xml:space="preserve"> showing</w:t>
      </w:r>
      <w:r>
        <w:rPr>
          <w:rFonts w:cs="Arial"/>
          <w:sz w:val="22"/>
          <w:szCs w:val="22"/>
        </w:rPr>
        <w:t xml:space="preserve"> the </w:t>
      </w:r>
      <w:r w:rsidRPr="00666E21">
        <w:rPr>
          <w:rFonts w:cs="Arial"/>
          <w:sz w:val="22"/>
          <w:szCs w:val="22"/>
        </w:rPr>
        <w:t xml:space="preserve">estimated ranges for the various applicable per-pulse </w:t>
      </w:r>
      <w:r>
        <w:rPr>
          <w:rFonts w:cs="Arial"/>
          <w:sz w:val="22"/>
          <w:szCs w:val="22"/>
        </w:rPr>
        <w:t xml:space="preserve">SEL </w:t>
      </w:r>
      <w:r w:rsidRPr="00666E21">
        <w:rPr>
          <w:rFonts w:cs="Arial"/>
          <w:sz w:val="22"/>
          <w:szCs w:val="22"/>
        </w:rPr>
        <w:t xml:space="preserve">isopleths of interest </w:t>
      </w:r>
      <w:r>
        <w:rPr>
          <w:rFonts w:cs="Arial"/>
          <w:sz w:val="22"/>
          <w:szCs w:val="22"/>
        </w:rPr>
        <w:t>(using the R</w:t>
      </w:r>
      <w:r w:rsidRPr="00143DCC">
        <w:rPr>
          <w:rFonts w:cs="Arial"/>
          <w:sz w:val="22"/>
          <w:szCs w:val="22"/>
          <w:vertAlign w:val="subscript"/>
        </w:rPr>
        <w:t>max</w:t>
      </w:r>
      <w:r>
        <w:rPr>
          <w:rFonts w:cs="Arial"/>
          <w:sz w:val="22"/>
          <w:szCs w:val="22"/>
        </w:rPr>
        <w:t xml:space="preserve"> for the sake of conservativeness, the largest distances are highlighted in red). </w:t>
      </w:r>
    </w:p>
    <w:p w14:paraId="7FDFCCD6" w14:textId="77777777" w:rsidR="00AC0AE3" w:rsidRDefault="00AC0AE3" w:rsidP="00594614">
      <w:pPr>
        <w:ind w:left="0"/>
        <w:rPr>
          <w:rFonts w:cs="Arial"/>
          <w:sz w:val="22"/>
          <w:szCs w:val="22"/>
        </w:rPr>
      </w:pPr>
    </w:p>
    <w:p w14:paraId="38378FCB" w14:textId="29A99D24" w:rsidR="00C10577" w:rsidRDefault="00C10577" w:rsidP="00C10577">
      <w:pPr>
        <w:spacing w:after="120" w:line="240" w:lineRule="auto"/>
        <w:ind w:left="0"/>
        <w:jc w:val="center"/>
        <w:rPr>
          <w:rFonts w:cs="Arial"/>
          <w:b/>
          <w:sz w:val="20"/>
          <w:szCs w:val="20"/>
        </w:rPr>
      </w:pPr>
      <w:r>
        <w:rPr>
          <w:rFonts w:cs="Arial"/>
          <w:b/>
          <w:sz w:val="20"/>
          <w:szCs w:val="20"/>
        </w:rPr>
        <w:t>Table 7.</w:t>
      </w:r>
      <w:r w:rsidR="00CE6AF6">
        <w:rPr>
          <w:rFonts w:cs="Arial"/>
          <w:b/>
          <w:sz w:val="20"/>
          <w:szCs w:val="20"/>
        </w:rPr>
        <w:t>2</w:t>
      </w:r>
      <w:r w:rsidR="00FC79B0">
        <w:rPr>
          <w:rFonts w:cs="Arial"/>
          <w:b/>
          <w:sz w:val="20"/>
          <w:szCs w:val="20"/>
        </w:rPr>
        <w:t>0</w:t>
      </w:r>
      <w:r>
        <w:rPr>
          <w:rFonts w:cs="Arial"/>
          <w:b/>
          <w:sz w:val="20"/>
          <w:szCs w:val="20"/>
        </w:rPr>
        <w:t>.</w:t>
      </w:r>
      <w:r>
        <w:rPr>
          <w:rFonts w:cs="Arial"/>
          <w:b/>
          <w:sz w:val="20"/>
          <w:szCs w:val="20"/>
        </w:rPr>
        <w:tab/>
      </w:r>
      <w:r w:rsidRPr="008A483F">
        <w:rPr>
          <w:rFonts w:cs="Arial"/>
          <w:b/>
          <w:sz w:val="20"/>
          <w:szCs w:val="20"/>
        </w:rPr>
        <w:t>Maximum</w:t>
      </w:r>
      <w:r>
        <w:rPr>
          <w:rFonts w:cs="Arial"/>
          <w:b/>
          <w:sz w:val="20"/>
          <w:szCs w:val="20"/>
        </w:rPr>
        <w:t xml:space="preserve"> (R</w:t>
      </w:r>
      <w:r w:rsidRPr="00776D14">
        <w:rPr>
          <w:rFonts w:cs="Arial"/>
          <w:b/>
          <w:sz w:val="20"/>
          <w:szCs w:val="20"/>
          <w:vertAlign w:val="subscript"/>
        </w:rPr>
        <w:t>max</w:t>
      </w:r>
      <w:r>
        <w:rPr>
          <w:rFonts w:cs="Arial"/>
          <w:b/>
          <w:sz w:val="20"/>
          <w:szCs w:val="20"/>
        </w:rPr>
        <w:t>) and 95% (R</w:t>
      </w:r>
      <w:r w:rsidRPr="00776D14">
        <w:rPr>
          <w:rFonts w:cs="Arial"/>
          <w:b/>
          <w:sz w:val="20"/>
          <w:szCs w:val="20"/>
          <w:vertAlign w:val="subscript"/>
        </w:rPr>
        <w:t>95%</w:t>
      </w:r>
      <w:r>
        <w:rPr>
          <w:rFonts w:cs="Arial"/>
          <w:b/>
          <w:sz w:val="20"/>
          <w:szCs w:val="20"/>
        </w:rPr>
        <w:t xml:space="preserve">) horizontal distances (km) from the source array to modelled </w:t>
      </w:r>
      <w:r w:rsidR="00F7093F">
        <w:rPr>
          <w:rFonts w:cs="Arial"/>
          <w:b/>
          <w:sz w:val="20"/>
          <w:szCs w:val="20"/>
        </w:rPr>
        <w:t xml:space="preserve">seafloor per-pulse </w:t>
      </w:r>
      <w:r w:rsidR="00E66040" w:rsidRPr="00E66040">
        <w:rPr>
          <w:rFonts w:cs="Arial"/>
          <w:b/>
          <w:sz w:val="20"/>
          <w:szCs w:val="20"/>
          <w:u w:val="single"/>
        </w:rPr>
        <w:t>SEL</w:t>
      </w:r>
      <w:r w:rsidR="00F7093F">
        <w:rPr>
          <w:rFonts w:cs="Arial"/>
          <w:b/>
          <w:sz w:val="20"/>
          <w:szCs w:val="20"/>
        </w:rPr>
        <w:t xml:space="preserve"> isopleths</w:t>
      </w:r>
    </w:p>
    <w:tbl>
      <w:tblPr>
        <w:tblStyle w:val="TableGrid"/>
        <w:tblW w:w="9085" w:type="dxa"/>
        <w:tblLayout w:type="fixed"/>
        <w:tblLook w:val="04A0" w:firstRow="1" w:lastRow="0" w:firstColumn="1" w:lastColumn="0" w:noHBand="0" w:noVBand="1"/>
      </w:tblPr>
      <w:tblGrid>
        <w:gridCol w:w="1951"/>
        <w:gridCol w:w="713"/>
        <w:gridCol w:w="714"/>
        <w:gridCol w:w="686"/>
        <w:gridCol w:w="741"/>
        <w:gridCol w:w="686"/>
        <w:gridCol w:w="741"/>
        <w:gridCol w:w="686"/>
        <w:gridCol w:w="741"/>
        <w:gridCol w:w="720"/>
        <w:gridCol w:w="706"/>
      </w:tblGrid>
      <w:tr w:rsidR="00F7093F" w14:paraId="755DF34C" w14:textId="77777777" w:rsidTr="00217246">
        <w:tc>
          <w:tcPr>
            <w:tcW w:w="1951" w:type="dxa"/>
            <w:vMerge w:val="restart"/>
            <w:shd w:val="clear" w:color="auto" w:fill="064EA8"/>
          </w:tcPr>
          <w:p w14:paraId="78B29B70" w14:textId="671A4A82" w:rsidR="00F7093F" w:rsidRPr="00505A03" w:rsidRDefault="00F7093F" w:rsidP="00F7093F">
            <w:pPr>
              <w:spacing w:before="60" w:after="60" w:line="240" w:lineRule="auto"/>
              <w:ind w:left="0"/>
              <w:rPr>
                <w:rFonts w:cs="Arial"/>
                <w:color w:val="FFFFFF" w:themeColor="background1"/>
                <w:sz w:val="20"/>
                <w:szCs w:val="20"/>
                <w:lang w:val="it-IT"/>
              </w:rPr>
            </w:pPr>
            <w:r w:rsidRPr="00505A03">
              <w:rPr>
                <w:rFonts w:cs="Arial"/>
                <w:color w:val="FFFFFF" w:themeColor="background1"/>
                <w:sz w:val="20"/>
                <w:szCs w:val="20"/>
                <w:lang w:val="it-IT"/>
              </w:rPr>
              <w:t xml:space="preserve">Per-pulse SEL </w:t>
            </w:r>
            <w:r w:rsidRPr="00505A03">
              <w:rPr>
                <w:rFonts w:cs="Arial"/>
                <w:color w:val="FFFFFF" w:themeColor="background1"/>
                <w:sz w:val="20"/>
                <w:szCs w:val="20"/>
                <w:lang w:val="it-IT"/>
              </w:rPr>
              <w:br/>
              <w:t>(dB re 1</w:t>
            </w:r>
            <w:r w:rsidRPr="00E66040">
              <w:rPr>
                <w:rFonts w:cs="Arial"/>
                <w:color w:val="FFFFFF" w:themeColor="background1"/>
                <w:sz w:val="22"/>
                <w:szCs w:val="22"/>
              </w:rPr>
              <w:t>μ</w:t>
            </w:r>
            <w:r w:rsidRPr="00505A03">
              <w:rPr>
                <w:rFonts w:cs="Arial"/>
                <w:color w:val="FFFFFF" w:themeColor="background1"/>
                <w:sz w:val="20"/>
                <w:szCs w:val="20"/>
                <w:lang w:val="it-IT"/>
              </w:rPr>
              <w:t>Pa</w:t>
            </w:r>
            <w:r w:rsidRPr="00505A03">
              <w:rPr>
                <w:rFonts w:cs="Arial"/>
                <w:color w:val="FFFFFF" w:themeColor="background1"/>
                <w:sz w:val="20"/>
                <w:szCs w:val="20"/>
                <w:vertAlign w:val="superscript"/>
                <w:lang w:val="it-IT"/>
              </w:rPr>
              <w:t>2</w:t>
            </w:r>
            <w:r w:rsidRPr="00505A03">
              <w:rPr>
                <w:rFonts w:cs="Arial"/>
                <w:color w:val="FFFFFF" w:themeColor="background1"/>
                <w:sz w:val="20"/>
                <w:szCs w:val="20"/>
                <w:lang w:val="it-IT"/>
              </w:rPr>
              <w:t>.s)</w:t>
            </w:r>
          </w:p>
        </w:tc>
        <w:tc>
          <w:tcPr>
            <w:tcW w:w="1427" w:type="dxa"/>
            <w:gridSpan w:val="2"/>
            <w:shd w:val="clear" w:color="auto" w:fill="064EA8"/>
          </w:tcPr>
          <w:p w14:paraId="77020FDF" w14:textId="77777777" w:rsidR="00F7093F" w:rsidRPr="000D0DBD" w:rsidRDefault="00F7093F" w:rsidP="00217246">
            <w:pPr>
              <w:spacing w:before="60" w:after="60" w:line="240" w:lineRule="auto"/>
              <w:ind w:left="0"/>
              <w:jc w:val="center"/>
              <w:rPr>
                <w:rFonts w:cs="Arial"/>
                <w:color w:val="FFFFFF" w:themeColor="background1"/>
                <w:sz w:val="20"/>
                <w:szCs w:val="20"/>
              </w:rPr>
            </w:pPr>
            <w:r>
              <w:rPr>
                <w:rFonts w:cs="Arial"/>
                <w:color w:val="FFFFFF" w:themeColor="background1"/>
                <w:sz w:val="20"/>
                <w:szCs w:val="20"/>
              </w:rPr>
              <w:t>Site 1</w:t>
            </w:r>
          </w:p>
        </w:tc>
        <w:tc>
          <w:tcPr>
            <w:tcW w:w="1427" w:type="dxa"/>
            <w:gridSpan w:val="2"/>
            <w:shd w:val="clear" w:color="auto" w:fill="064EA8"/>
          </w:tcPr>
          <w:p w14:paraId="2527C557" w14:textId="77777777" w:rsidR="00F7093F" w:rsidRPr="000D0DBD" w:rsidRDefault="00F7093F" w:rsidP="00217246">
            <w:pPr>
              <w:spacing w:before="60" w:after="60" w:line="240" w:lineRule="auto"/>
              <w:ind w:left="0"/>
              <w:jc w:val="center"/>
              <w:rPr>
                <w:rFonts w:cs="Arial"/>
                <w:color w:val="FFFFFF" w:themeColor="background1"/>
                <w:sz w:val="20"/>
                <w:szCs w:val="20"/>
              </w:rPr>
            </w:pPr>
            <w:r>
              <w:rPr>
                <w:rFonts w:cs="Arial"/>
                <w:color w:val="FFFFFF" w:themeColor="background1"/>
                <w:sz w:val="20"/>
                <w:szCs w:val="20"/>
              </w:rPr>
              <w:t>Site 2</w:t>
            </w:r>
          </w:p>
        </w:tc>
        <w:tc>
          <w:tcPr>
            <w:tcW w:w="1427" w:type="dxa"/>
            <w:gridSpan w:val="2"/>
            <w:shd w:val="clear" w:color="auto" w:fill="064EA8"/>
          </w:tcPr>
          <w:p w14:paraId="01CA60AB" w14:textId="77777777" w:rsidR="00F7093F" w:rsidRPr="000D0DBD" w:rsidRDefault="00F7093F" w:rsidP="00217246">
            <w:pPr>
              <w:spacing w:before="60" w:after="60" w:line="240" w:lineRule="auto"/>
              <w:ind w:left="0"/>
              <w:jc w:val="center"/>
              <w:rPr>
                <w:rFonts w:cs="Arial"/>
                <w:color w:val="FFFFFF" w:themeColor="background1"/>
                <w:sz w:val="20"/>
                <w:szCs w:val="20"/>
              </w:rPr>
            </w:pPr>
            <w:r>
              <w:rPr>
                <w:rFonts w:cs="Arial"/>
                <w:color w:val="FFFFFF" w:themeColor="background1"/>
                <w:sz w:val="20"/>
                <w:szCs w:val="20"/>
              </w:rPr>
              <w:t>Site 3</w:t>
            </w:r>
          </w:p>
        </w:tc>
        <w:tc>
          <w:tcPr>
            <w:tcW w:w="1427" w:type="dxa"/>
            <w:gridSpan w:val="2"/>
            <w:shd w:val="clear" w:color="auto" w:fill="064EA8"/>
          </w:tcPr>
          <w:p w14:paraId="4BEB2D3A" w14:textId="77777777" w:rsidR="00F7093F" w:rsidRPr="000D0DBD" w:rsidRDefault="00F7093F" w:rsidP="00217246">
            <w:pPr>
              <w:spacing w:before="60" w:after="60" w:line="240" w:lineRule="auto"/>
              <w:ind w:left="0"/>
              <w:jc w:val="center"/>
              <w:rPr>
                <w:rFonts w:cs="Arial"/>
                <w:color w:val="FFFFFF" w:themeColor="background1"/>
                <w:sz w:val="20"/>
                <w:szCs w:val="20"/>
              </w:rPr>
            </w:pPr>
            <w:r>
              <w:rPr>
                <w:rFonts w:cs="Arial"/>
                <w:color w:val="FFFFFF" w:themeColor="background1"/>
                <w:sz w:val="20"/>
                <w:szCs w:val="20"/>
              </w:rPr>
              <w:t>Site 4</w:t>
            </w:r>
          </w:p>
        </w:tc>
        <w:tc>
          <w:tcPr>
            <w:tcW w:w="1426" w:type="dxa"/>
            <w:gridSpan w:val="2"/>
            <w:shd w:val="clear" w:color="auto" w:fill="064EA8"/>
          </w:tcPr>
          <w:p w14:paraId="1832F140" w14:textId="77777777" w:rsidR="00F7093F" w:rsidRPr="000D0DBD" w:rsidRDefault="00F7093F" w:rsidP="00217246">
            <w:pPr>
              <w:spacing w:before="60" w:after="60" w:line="240" w:lineRule="auto"/>
              <w:ind w:left="0"/>
              <w:jc w:val="center"/>
              <w:rPr>
                <w:rFonts w:cs="Arial"/>
                <w:color w:val="FFFFFF" w:themeColor="background1"/>
                <w:sz w:val="20"/>
                <w:szCs w:val="20"/>
              </w:rPr>
            </w:pPr>
            <w:r>
              <w:rPr>
                <w:rFonts w:cs="Arial"/>
                <w:color w:val="FFFFFF" w:themeColor="background1"/>
                <w:sz w:val="20"/>
                <w:szCs w:val="20"/>
              </w:rPr>
              <w:t>Site 5</w:t>
            </w:r>
          </w:p>
        </w:tc>
      </w:tr>
      <w:tr w:rsidR="00F7093F" w14:paraId="6409648B" w14:textId="77777777" w:rsidTr="00217246">
        <w:tc>
          <w:tcPr>
            <w:tcW w:w="1951" w:type="dxa"/>
            <w:vMerge/>
            <w:shd w:val="clear" w:color="auto" w:fill="064EA8"/>
          </w:tcPr>
          <w:p w14:paraId="304B9CA7" w14:textId="77777777" w:rsidR="00F7093F" w:rsidRPr="000D0DBD" w:rsidRDefault="00F7093F" w:rsidP="00217246">
            <w:pPr>
              <w:spacing w:before="60" w:after="60" w:line="240" w:lineRule="auto"/>
              <w:ind w:left="0"/>
              <w:jc w:val="center"/>
              <w:rPr>
                <w:rFonts w:cs="Arial"/>
                <w:color w:val="FFFFFF" w:themeColor="background1"/>
                <w:sz w:val="20"/>
                <w:szCs w:val="20"/>
              </w:rPr>
            </w:pPr>
          </w:p>
        </w:tc>
        <w:tc>
          <w:tcPr>
            <w:tcW w:w="713" w:type="dxa"/>
            <w:shd w:val="clear" w:color="auto" w:fill="064EA8"/>
            <w:vAlign w:val="center"/>
          </w:tcPr>
          <w:p w14:paraId="5FC577AD" w14:textId="6980D46E" w:rsidR="00F7093F" w:rsidRPr="000D0DBD" w:rsidRDefault="00F7093F" w:rsidP="00416EB8">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(m)</w:t>
            </w:r>
          </w:p>
        </w:tc>
        <w:tc>
          <w:tcPr>
            <w:tcW w:w="714" w:type="dxa"/>
            <w:shd w:val="clear" w:color="auto" w:fill="064EA8"/>
            <w:vAlign w:val="center"/>
          </w:tcPr>
          <w:p w14:paraId="358D0CDA" w14:textId="0E626BA3" w:rsidR="00F7093F" w:rsidRPr="000D0DBD" w:rsidRDefault="00F7093F" w:rsidP="00416EB8">
            <w:pPr>
              <w:spacing w:before="60" w:after="60" w:line="240" w:lineRule="auto"/>
              <w:ind w:left="0"/>
              <w:jc w:val="center"/>
              <w:rPr>
                <w:rFonts w:cs="Arial"/>
                <w:color w:val="FFFFFF" w:themeColor="background1"/>
                <w:sz w:val="20"/>
                <w:szCs w:val="20"/>
              </w:rPr>
            </w:pPr>
            <w:r>
              <w:rPr>
                <w:rFonts w:cs="Arial"/>
                <w:color w:val="FFFFFF" w:themeColor="background1"/>
                <w:sz w:val="20"/>
                <w:szCs w:val="20"/>
              </w:rPr>
              <w:t>R</w:t>
            </w:r>
            <w:r w:rsidRPr="008F472F">
              <w:rPr>
                <w:rFonts w:cs="Arial"/>
                <w:color w:val="FFFFFF" w:themeColor="background1"/>
                <w:sz w:val="20"/>
                <w:szCs w:val="20"/>
                <w:vertAlign w:val="subscript"/>
              </w:rPr>
              <w:t xml:space="preserve">95% </w:t>
            </w:r>
            <w:r w:rsidRPr="000D0DBD">
              <w:rPr>
                <w:rFonts w:cs="Arial"/>
                <w:color w:val="FFFFFF" w:themeColor="background1"/>
                <w:sz w:val="20"/>
                <w:szCs w:val="20"/>
              </w:rPr>
              <w:t>(m)</w:t>
            </w:r>
          </w:p>
        </w:tc>
        <w:tc>
          <w:tcPr>
            <w:tcW w:w="686" w:type="dxa"/>
            <w:shd w:val="clear" w:color="auto" w:fill="064EA8"/>
            <w:vAlign w:val="center"/>
          </w:tcPr>
          <w:p w14:paraId="7F32DB56" w14:textId="70C8005D" w:rsidR="00F7093F" w:rsidRPr="000D0DBD" w:rsidRDefault="00F7093F" w:rsidP="00416EB8">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(m)</w:t>
            </w:r>
          </w:p>
        </w:tc>
        <w:tc>
          <w:tcPr>
            <w:tcW w:w="741" w:type="dxa"/>
            <w:shd w:val="clear" w:color="auto" w:fill="064EA8"/>
            <w:vAlign w:val="center"/>
          </w:tcPr>
          <w:p w14:paraId="5D1571C5" w14:textId="43C2D9CF" w:rsidR="00F7093F" w:rsidRPr="000D0DBD" w:rsidRDefault="00F7093F" w:rsidP="00416EB8">
            <w:pPr>
              <w:spacing w:before="60" w:after="60" w:line="240" w:lineRule="auto"/>
              <w:ind w:left="0"/>
              <w:jc w:val="center"/>
              <w:rPr>
                <w:rFonts w:cs="Arial"/>
                <w:color w:val="FFFFFF" w:themeColor="background1"/>
                <w:sz w:val="20"/>
                <w:szCs w:val="20"/>
              </w:rPr>
            </w:pPr>
            <w:r>
              <w:rPr>
                <w:rFonts w:cs="Arial"/>
                <w:color w:val="FFFFFF" w:themeColor="background1"/>
                <w:sz w:val="20"/>
                <w:szCs w:val="20"/>
              </w:rPr>
              <w:t>R</w:t>
            </w:r>
            <w:r w:rsidRPr="008F472F">
              <w:rPr>
                <w:rFonts w:cs="Arial"/>
                <w:color w:val="FFFFFF" w:themeColor="background1"/>
                <w:sz w:val="20"/>
                <w:szCs w:val="20"/>
                <w:vertAlign w:val="subscript"/>
              </w:rPr>
              <w:t xml:space="preserve">95% </w:t>
            </w:r>
            <w:r w:rsidRPr="000D0DBD">
              <w:rPr>
                <w:rFonts w:cs="Arial"/>
                <w:color w:val="FFFFFF" w:themeColor="background1"/>
                <w:sz w:val="20"/>
                <w:szCs w:val="20"/>
              </w:rPr>
              <w:t>(m)</w:t>
            </w:r>
          </w:p>
        </w:tc>
        <w:tc>
          <w:tcPr>
            <w:tcW w:w="686" w:type="dxa"/>
            <w:shd w:val="clear" w:color="auto" w:fill="064EA8"/>
            <w:vAlign w:val="center"/>
          </w:tcPr>
          <w:p w14:paraId="1ABA7241" w14:textId="252AB4F0" w:rsidR="00F7093F" w:rsidRPr="000D0DBD" w:rsidRDefault="00F7093F" w:rsidP="00416EB8">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(m)</w:t>
            </w:r>
          </w:p>
        </w:tc>
        <w:tc>
          <w:tcPr>
            <w:tcW w:w="741" w:type="dxa"/>
            <w:shd w:val="clear" w:color="auto" w:fill="064EA8"/>
            <w:vAlign w:val="center"/>
          </w:tcPr>
          <w:p w14:paraId="7DBDD95D" w14:textId="726C33C0" w:rsidR="00F7093F" w:rsidRPr="000D0DBD" w:rsidRDefault="00F7093F" w:rsidP="00416EB8">
            <w:pPr>
              <w:spacing w:before="60" w:after="60" w:line="240" w:lineRule="auto"/>
              <w:ind w:left="0"/>
              <w:jc w:val="center"/>
              <w:rPr>
                <w:rFonts w:cs="Arial"/>
                <w:color w:val="FFFFFF" w:themeColor="background1"/>
                <w:sz w:val="20"/>
                <w:szCs w:val="20"/>
              </w:rPr>
            </w:pPr>
            <w:r>
              <w:rPr>
                <w:rFonts w:cs="Arial"/>
                <w:color w:val="FFFFFF" w:themeColor="background1"/>
                <w:sz w:val="20"/>
                <w:szCs w:val="20"/>
              </w:rPr>
              <w:t>R</w:t>
            </w:r>
            <w:r w:rsidRPr="008F472F">
              <w:rPr>
                <w:rFonts w:cs="Arial"/>
                <w:color w:val="FFFFFF" w:themeColor="background1"/>
                <w:sz w:val="20"/>
                <w:szCs w:val="20"/>
                <w:vertAlign w:val="subscript"/>
              </w:rPr>
              <w:t xml:space="preserve">95% </w:t>
            </w:r>
            <w:r w:rsidRPr="000D0DBD">
              <w:rPr>
                <w:rFonts w:cs="Arial"/>
                <w:color w:val="FFFFFF" w:themeColor="background1"/>
                <w:sz w:val="20"/>
                <w:szCs w:val="20"/>
              </w:rPr>
              <w:t>(m)</w:t>
            </w:r>
          </w:p>
        </w:tc>
        <w:tc>
          <w:tcPr>
            <w:tcW w:w="686" w:type="dxa"/>
            <w:shd w:val="clear" w:color="auto" w:fill="064EA8"/>
            <w:vAlign w:val="center"/>
          </w:tcPr>
          <w:p w14:paraId="7748B600" w14:textId="3C0A416A" w:rsidR="00F7093F" w:rsidRPr="000D0DBD" w:rsidRDefault="00F7093F" w:rsidP="00416EB8">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(m)</w:t>
            </w:r>
          </w:p>
        </w:tc>
        <w:tc>
          <w:tcPr>
            <w:tcW w:w="741" w:type="dxa"/>
            <w:shd w:val="clear" w:color="auto" w:fill="064EA8"/>
            <w:vAlign w:val="center"/>
          </w:tcPr>
          <w:p w14:paraId="3B7B0986" w14:textId="707C524D" w:rsidR="00F7093F" w:rsidRPr="000D0DBD" w:rsidRDefault="00F7093F" w:rsidP="00416EB8">
            <w:pPr>
              <w:spacing w:before="60" w:after="60" w:line="240" w:lineRule="auto"/>
              <w:ind w:left="0"/>
              <w:jc w:val="center"/>
              <w:rPr>
                <w:rFonts w:cs="Arial"/>
                <w:color w:val="FFFFFF" w:themeColor="background1"/>
                <w:sz w:val="20"/>
                <w:szCs w:val="20"/>
              </w:rPr>
            </w:pPr>
            <w:r>
              <w:rPr>
                <w:rFonts w:cs="Arial"/>
                <w:color w:val="FFFFFF" w:themeColor="background1"/>
                <w:sz w:val="20"/>
                <w:szCs w:val="20"/>
              </w:rPr>
              <w:t>R</w:t>
            </w:r>
            <w:r w:rsidRPr="008F472F">
              <w:rPr>
                <w:rFonts w:cs="Arial"/>
                <w:color w:val="FFFFFF" w:themeColor="background1"/>
                <w:sz w:val="20"/>
                <w:szCs w:val="20"/>
                <w:vertAlign w:val="subscript"/>
              </w:rPr>
              <w:t xml:space="preserve">95% </w:t>
            </w:r>
            <w:r w:rsidRPr="000D0DBD">
              <w:rPr>
                <w:rFonts w:cs="Arial"/>
                <w:color w:val="FFFFFF" w:themeColor="background1"/>
                <w:sz w:val="20"/>
                <w:szCs w:val="20"/>
              </w:rPr>
              <w:t>(m)</w:t>
            </w:r>
          </w:p>
        </w:tc>
        <w:tc>
          <w:tcPr>
            <w:tcW w:w="720" w:type="dxa"/>
            <w:shd w:val="clear" w:color="auto" w:fill="064EA8"/>
            <w:vAlign w:val="center"/>
          </w:tcPr>
          <w:p w14:paraId="7A292654" w14:textId="6C6E4928" w:rsidR="00F7093F" w:rsidRPr="000D0DBD" w:rsidRDefault="00F7093F" w:rsidP="00416EB8">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(m)</w:t>
            </w:r>
          </w:p>
        </w:tc>
        <w:tc>
          <w:tcPr>
            <w:tcW w:w="706" w:type="dxa"/>
            <w:shd w:val="clear" w:color="auto" w:fill="064EA8"/>
            <w:vAlign w:val="center"/>
          </w:tcPr>
          <w:p w14:paraId="17B05DC1" w14:textId="5DF98707" w:rsidR="00F7093F" w:rsidRPr="000D0DBD" w:rsidRDefault="00F7093F" w:rsidP="00416EB8">
            <w:pPr>
              <w:spacing w:before="60" w:after="60" w:line="240" w:lineRule="auto"/>
              <w:ind w:left="0"/>
              <w:jc w:val="center"/>
              <w:rPr>
                <w:rFonts w:cs="Arial"/>
                <w:color w:val="FFFFFF" w:themeColor="background1"/>
                <w:sz w:val="20"/>
                <w:szCs w:val="20"/>
              </w:rPr>
            </w:pPr>
            <w:r>
              <w:rPr>
                <w:rFonts w:cs="Arial"/>
                <w:color w:val="FFFFFF" w:themeColor="background1"/>
                <w:sz w:val="20"/>
                <w:szCs w:val="20"/>
              </w:rPr>
              <w:t>R</w:t>
            </w:r>
            <w:r w:rsidRPr="008F472F">
              <w:rPr>
                <w:rFonts w:cs="Arial"/>
                <w:color w:val="FFFFFF" w:themeColor="background1"/>
                <w:sz w:val="20"/>
                <w:szCs w:val="20"/>
                <w:vertAlign w:val="subscript"/>
              </w:rPr>
              <w:t xml:space="preserve">95% </w:t>
            </w:r>
            <w:r w:rsidRPr="000D0DBD">
              <w:rPr>
                <w:rFonts w:cs="Arial"/>
                <w:color w:val="FFFFFF" w:themeColor="background1"/>
                <w:sz w:val="20"/>
                <w:szCs w:val="20"/>
              </w:rPr>
              <w:t>(m)</w:t>
            </w:r>
          </w:p>
        </w:tc>
      </w:tr>
      <w:tr w:rsidR="00F7093F" w14:paraId="3017ED4B" w14:textId="77777777" w:rsidTr="00F7093F">
        <w:tc>
          <w:tcPr>
            <w:tcW w:w="1951" w:type="dxa"/>
          </w:tcPr>
          <w:p w14:paraId="57630183" w14:textId="77777777" w:rsidR="00F7093F" w:rsidRPr="00247613" w:rsidRDefault="00F7093F" w:rsidP="00217246">
            <w:pPr>
              <w:spacing w:before="60" w:after="60" w:line="240" w:lineRule="auto"/>
              <w:ind w:left="0"/>
              <w:rPr>
                <w:sz w:val="20"/>
                <w:szCs w:val="20"/>
              </w:rPr>
            </w:pPr>
            <w:r w:rsidRPr="00E66040">
              <w:rPr>
                <w:sz w:val="20"/>
                <w:szCs w:val="20"/>
              </w:rPr>
              <w:t>190</w:t>
            </w:r>
          </w:p>
        </w:tc>
        <w:tc>
          <w:tcPr>
            <w:tcW w:w="713" w:type="dxa"/>
            <w:shd w:val="clear" w:color="auto" w:fill="FF0000"/>
          </w:tcPr>
          <w:p w14:paraId="0C3DD057" w14:textId="63668F89" w:rsidR="00F7093F" w:rsidRPr="003E292F" w:rsidRDefault="00F7093F" w:rsidP="00217246">
            <w:pPr>
              <w:spacing w:before="60" w:after="60" w:line="240" w:lineRule="auto"/>
              <w:ind w:left="0"/>
              <w:jc w:val="center"/>
              <w:rPr>
                <w:rFonts w:cs="Arial"/>
                <w:sz w:val="20"/>
                <w:szCs w:val="20"/>
              </w:rPr>
            </w:pPr>
            <w:r>
              <w:rPr>
                <w:rFonts w:cs="Arial"/>
                <w:sz w:val="20"/>
                <w:szCs w:val="20"/>
              </w:rPr>
              <w:t>150</w:t>
            </w:r>
          </w:p>
        </w:tc>
        <w:tc>
          <w:tcPr>
            <w:tcW w:w="714" w:type="dxa"/>
          </w:tcPr>
          <w:p w14:paraId="3A6E539A" w14:textId="709D5EA5" w:rsidR="00F7093F" w:rsidRPr="003E292F" w:rsidRDefault="00F7093F" w:rsidP="00217246">
            <w:pPr>
              <w:spacing w:before="60" w:after="60" w:line="240" w:lineRule="auto"/>
              <w:ind w:left="0"/>
              <w:jc w:val="center"/>
              <w:rPr>
                <w:rFonts w:cs="Arial"/>
                <w:sz w:val="20"/>
                <w:szCs w:val="20"/>
              </w:rPr>
            </w:pPr>
            <w:r>
              <w:rPr>
                <w:rFonts w:cs="Arial"/>
                <w:sz w:val="20"/>
                <w:szCs w:val="20"/>
              </w:rPr>
              <w:t>120</w:t>
            </w:r>
          </w:p>
        </w:tc>
        <w:tc>
          <w:tcPr>
            <w:tcW w:w="686" w:type="dxa"/>
          </w:tcPr>
          <w:p w14:paraId="358A050D" w14:textId="6044E503" w:rsidR="00F7093F" w:rsidRPr="003E292F" w:rsidRDefault="00F7093F" w:rsidP="00217246">
            <w:pPr>
              <w:spacing w:before="60" w:after="60" w:line="240" w:lineRule="auto"/>
              <w:ind w:left="0"/>
              <w:jc w:val="center"/>
              <w:rPr>
                <w:rFonts w:cs="Arial"/>
                <w:sz w:val="20"/>
                <w:szCs w:val="20"/>
              </w:rPr>
            </w:pPr>
            <w:r>
              <w:rPr>
                <w:rFonts w:cs="Arial"/>
                <w:sz w:val="20"/>
                <w:szCs w:val="20"/>
              </w:rPr>
              <w:t>100</w:t>
            </w:r>
          </w:p>
        </w:tc>
        <w:tc>
          <w:tcPr>
            <w:tcW w:w="741" w:type="dxa"/>
          </w:tcPr>
          <w:p w14:paraId="0AF08FDA" w14:textId="4E1294B5" w:rsidR="00F7093F" w:rsidRPr="003E292F" w:rsidRDefault="00F7093F" w:rsidP="00217246">
            <w:pPr>
              <w:spacing w:before="60" w:after="60" w:line="240" w:lineRule="auto"/>
              <w:ind w:left="0"/>
              <w:jc w:val="center"/>
              <w:rPr>
                <w:rFonts w:cs="Arial"/>
                <w:sz w:val="20"/>
                <w:szCs w:val="20"/>
              </w:rPr>
            </w:pPr>
            <w:r>
              <w:rPr>
                <w:rFonts w:cs="Arial"/>
                <w:sz w:val="20"/>
                <w:szCs w:val="20"/>
              </w:rPr>
              <w:t>90</w:t>
            </w:r>
          </w:p>
        </w:tc>
        <w:tc>
          <w:tcPr>
            <w:tcW w:w="686" w:type="dxa"/>
          </w:tcPr>
          <w:p w14:paraId="49CB66A7" w14:textId="39DFBDD2" w:rsidR="00F7093F" w:rsidRPr="003E292F" w:rsidRDefault="00F7093F" w:rsidP="00217246">
            <w:pPr>
              <w:spacing w:before="60" w:after="60" w:line="240" w:lineRule="auto"/>
              <w:ind w:left="0"/>
              <w:jc w:val="center"/>
              <w:rPr>
                <w:rFonts w:cs="Arial"/>
                <w:sz w:val="20"/>
                <w:szCs w:val="20"/>
              </w:rPr>
            </w:pPr>
            <w:r>
              <w:rPr>
                <w:rFonts w:cs="Arial"/>
                <w:sz w:val="20"/>
                <w:szCs w:val="20"/>
              </w:rPr>
              <w:t>110</w:t>
            </w:r>
          </w:p>
        </w:tc>
        <w:tc>
          <w:tcPr>
            <w:tcW w:w="741" w:type="dxa"/>
          </w:tcPr>
          <w:p w14:paraId="1B2DE0F3" w14:textId="5781E180" w:rsidR="00F7093F" w:rsidRPr="003E292F" w:rsidRDefault="00F7093F" w:rsidP="00217246">
            <w:pPr>
              <w:spacing w:before="60" w:after="60" w:line="240" w:lineRule="auto"/>
              <w:ind w:left="0"/>
              <w:jc w:val="center"/>
              <w:rPr>
                <w:rFonts w:cs="Arial"/>
                <w:sz w:val="20"/>
                <w:szCs w:val="20"/>
              </w:rPr>
            </w:pPr>
            <w:r>
              <w:rPr>
                <w:rFonts w:cs="Arial"/>
                <w:sz w:val="20"/>
                <w:szCs w:val="20"/>
              </w:rPr>
              <w:t>90</w:t>
            </w:r>
          </w:p>
        </w:tc>
        <w:tc>
          <w:tcPr>
            <w:tcW w:w="686" w:type="dxa"/>
          </w:tcPr>
          <w:p w14:paraId="4A1B7A4E" w14:textId="2CB4DEE4" w:rsidR="00F7093F" w:rsidRPr="003E292F" w:rsidRDefault="00F7093F" w:rsidP="00217246">
            <w:pPr>
              <w:spacing w:before="60" w:after="60" w:line="240" w:lineRule="auto"/>
              <w:ind w:left="0"/>
              <w:jc w:val="center"/>
              <w:rPr>
                <w:rFonts w:cs="Arial"/>
                <w:sz w:val="20"/>
                <w:szCs w:val="20"/>
              </w:rPr>
            </w:pPr>
            <w:r>
              <w:rPr>
                <w:rFonts w:cs="Arial"/>
                <w:sz w:val="20"/>
                <w:szCs w:val="20"/>
              </w:rPr>
              <w:t>120</w:t>
            </w:r>
          </w:p>
        </w:tc>
        <w:tc>
          <w:tcPr>
            <w:tcW w:w="741" w:type="dxa"/>
          </w:tcPr>
          <w:p w14:paraId="1B2FECBD" w14:textId="31D7A02E" w:rsidR="00F7093F" w:rsidRPr="003E292F" w:rsidRDefault="00F7093F" w:rsidP="00217246">
            <w:pPr>
              <w:spacing w:before="60" w:after="60" w:line="240" w:lineRule="auto"/>
              <w:ind w:left="0"/>
              <w:jc w:val="center"/>
              <w:rPr>
                <w:rFonts w:cs="Arial"/>
                <w:sz w:val="20"/>
                <w:szCs w:val="20"/>
              </w:rPr>
            </w:pPr>
            <w:r>
              <w:rPr>
                <w:rFonts w:cs="Arial"/>
                <w:sz w:val="20"/>
                <w:szCs w:val="20"/>
              </w:rPr>
              <w:t>100</w:t>
            </w:r>
          </w:p>
        </w:tc>
        <w:tc>
          <w:tcPr>
            <w:tcW w:w="720" w:type="dxa"/>
          </w:tcPr>
          <w:p w14:paraId="1899BF71" w14:textId="3828C5E6" w:rsidR="00F7093F" w:rsidRPr="003E292F" w:rsidRDefault="00F7093F" w:rsidP="00217246">
            <w:pPr>
              <w:spacing w:before="60" w:after="60" w:line="240" w:lineRule="auto"/>
              <w:ind w:left="0"/>
              <w:jc w:val="center"/>
              <w:rPr>
                <w:rFonts w:cs="Arial"/>
                <w:sz w:val="20"/>
                <w:szCs w:val="20"/>
              </w:rPr>
            </w:pPr>
            <w:r>
              <w:rPr>
                <w:rFonts w:cs="Arial"/>
                <w:sz w:val="20"/>
                <w:szCs w:val="20"/>
              </w:rPr>
              <w:t>140</w:t>
            </w:r>
          </w:p>
        </w:tc>
        <w:tc>
          <w:tcPr>
            <w:tcW w:w="706" w:type="dxa"/>
          </w:tcPr>
          <w:p w14:paraId="5D520F0A" w14:textId="0F3CE372" w:rsidR="00F7093F" w:rsidRPr="003E292F" w:rsidRDefault="00F7093F" w:rsidP="00217246">
            <w:pPr>
              <w:spacing w:before="60" w:after="60" w:line="240" w:lineRule="auto"/>
              <w:ind w:left="0"/>
              <w:jc w:val="center"/>
              <w:rPr>
                <w:rFonts w:cs="Arial"/>
                <w:sz w:val="20"/>
                <w:szCs w:val="20"/>
              </w:rPr>
            </w:pPr>
            <w:r>
              <w:rPr>
                <w:rFonts w:cs="Arial"/>
                <w:sz w:val="20"/>
                <w:szCs w:val="20"/>
              </w:rPr>
              <w:t>130</w:t>
            </w:r>
          </w:p>
        </w:tc>
      </w:tr>
      <w:tr w:rsidR="00F7093F" w14:paraId="2526F986" w14:textId="77777777" w:rsidTr="00F7093F">
        <w:tc>
          <w:tcPr>
            <w:tcW w:w="1951" w:type="dxa"/>
          </w:tcPr>
          <w:p w14:paraId="20F716FD" w14:textId="77777777" w:rsidR="00F7093F" w:rsidRPr="00247613" w:rsidRDefault="00F7093F" w:rsidP="00217246">
            <w:pPr>
              <w:spacing w:before="60" w:after="60" w:line="240" w:lineRule="auto"/>
              <w:ind w:left="0"/>
              <w:rPr>
                <w:sz w:val="20"/>
                <w:szCs w:val="20"/>
              </w:rPr>
            </w:pPr>
            <w:r w:rsidRPr="00E66040">
              <w:rPr>
                <w:sz w:val="20"/>
                <w:szCs w:val="20"/>
              </w:rPr>
              <w:t>18</w:t>
            </w:r>
            <w:r>
              <w:rPr>
                <w:sz w:val="20"/>
                <w:szCs w:val="20"/>
              </w:rPr>
              <w:t>9</w:t>
            </w:r>
          </w:p>
        </w:tc>
        <w:tc>
          <w:tcPr>
            <w:tcW w:w="713" w:type="dxa"/>
            <w:shd w:val="clear" w:color="auto" w:fill="FF0000"/>
          </w:tcPr>
          <w:p w14:paraId="423998FD" w14:textId="2DEE4C8E" w:rsidR="00F7093F" w:rsidRPr="003E292F" w:rsidRDefault="00F7093F" w:rsidP="00217246">
            <w:pPr>
              <w:spacing w:before="60" w:after="60" w:line="240" w:lineRule="auto"/>
              <w:ind w:left="0"/>
              <w:jc w:val="center"/>
              <w:rPr>
                <w:rFonts w:cs="Arial"/>
                <w:sz w:val="20"/>
                <w:szCs w:val="20"/>
              </w:rPr>
            </w:pPr>
            <w:r>
              <w:rPr>
                <w:rFonts w:cs="Arial"/>
                <w:sz w:val="20"/>
                <w:szCs w:val="20"/>
              </w:rPr>
              <w:t>160</w:t>
            </w:r>
          </w:p>
        </w:tc>
        <w:tc>
          <w:tcPr>
            <w:tcW w:w="714" w:type="dxa"/>
          </w:tcPr>
          <w:p w14:paraId="36AEFAC7" w14:textId="29FBA9A5" w:rsidR="00F7093F" w:rsidRPr="003E292F" w:rsidRDefault="00F7093F" w:rsidP="00217246">
            <w:pPr>
              <w:spacing w:before="60" w:after="60" w:line="240" w:lineRule="auto"/>
              <w:ind w:left="0"/>
              <w:jc w:val="center"/>
              <w:rPr>
                <w:rFonts w:cs="Arial"/>
                <w:sz w:val="20"/>
                <w:szCs w:val="20"/>
              </w:rPr>
            </w:pPr>
            <w:r>
              <w:rPr>
                <w:rFonts w:cs="Arial"/>
                <w:sz w:val="20"/>
                <w:szCs w:val="20"/>
              </w:rPr>
              <w:t>130</w:t>
            </w:r>
          </w:p>
        </w:tc>
        <w:tc>
          <w:tcPr>
            <w:tcW w:w="686" w:type="dxa"/>
          </w:tcPr>
          <w:p w14:paraId="71D7681A" w14:textId="36A7F26A" w:rsidR="00F7093F" w:rsidRPr="003E292F" w:rsidRDefault="00F7093F" w:rsidP="00217246">
            <w:pPr>
              <w:spacing w:before="60" w:after="60" w:line="240" w:lineRule="auto"/>
              <w:ind w:left="0"/>
              <w:jc w:val="center"/>
              <w:rPr>
                <w:rFonts w:cs="Arial"/>
                <w:sz w:val="20"/>
                <w:szCs w:val="20"/>
              </w:rPr>
            </w:pPr>
            <w:r>
              <w:rPr>
                <w:rFonts w:cs="Arial"/>
                <w:sz w:val="20"/>
                <w:szCs w:val="20"/>
              </w:rPr>
              <w:t>110</w:t>
            </w:r>
          </w:p>
        </w:tc>
        <w:tc>
          <w:tcPr>
            <w:tcW w:w="741" w:type="dxa"/>
          </w:tcPr>
          <w:p w14:paraId="6FC1960B" w14:textId="640B8D52" w:rsidR="00F7093F" w:rsidRPr="003E292F" w:rsidRDefault="00F7093F" w:rsidP="00217246">
            <w:pPr>
              <w:spacing w:before="60" w:after="60" w:line="240" w:lineRule="auto"/>
              <w:ind w:left="0"/>
              <w:jc w:val="center"/>
              <w:rPr>
                <w:rFonts w:cs="Arial"/>
                <w:sz w:val="20"/>
                <w:szCs w:val="20"/>
              </w:rPr>
            </w:pPr>
            <w:r>
              <w:rPr>
                <w:rFonts w:cs="Arial"/>
                <w:sz w:val="20"/>
                <w:szCs w:val="20"/>
              </w:rPr>
              <w:t>90</w:t>
            </w:r>
          </w:p>
        </w:tc>
        <w:tc>
          <w:tcPr>
            <w:tcW w:w="686" w:type="dxa"/>
          </w:tcPr>
          <w:p w14:paraId="70A613B6" w14:textId="2A396133" w:rsidR="00F7093F" w:rsidRPr="003E292F" w:rsidRDefault="00F7093F" w:rsidP="00217246">
            <w:pPr>
              <w:spacing w:before="60" w:after="60" w:line="240" w:lineRule="auto"/>
              <w:ind w:left="0"/>
              <w:jc w:val="center"/>
              <w:rPr>
                <w:rFonts w:cs="Arial"/>
                <w:sz w:val="20"/>
                <w:szCs w:val="20"/>
              </w:rPr>
            </w:pPr>
            <w:r>
              <w:rPr>
                <w:rFonts w:cs="Arial"/>
                <w:sz w:val="20"/>
                <w:szCs w:val="20"/>
              </w:rPr>
              <w:t>110</w:t>
            </w:r>
          </w:p>
        </w:tc>
        <w:tc>
          <w:tcPr>
            <w:tcW w:w="741" w:type="dxa"/>
          </w:tcPr>
          <w:p w14:paraId="2E4F26BA" w14:textId="7652B645" w:rsidR="00F7093F" w:rsidRPr="003E292F" w:rsidRDefault="00F7093F" w:rsidP="00217246">
            <w:pPr>
              <w:spacing w:before="60" w:after="60" w:line="240" w:lineRule="auto"/>
              <w:ind w:left="0"/>
              <w:jc w:val="center"/>
              <w:rPr>
                <w:rFonts w:cs="Arial"/>
                <w:sz w:val="20"/>
                <w:szCs w:val="20"/>
              </w:rPr>
            </w:pPr>
            <w:r>
              <w:rPr>
                <w:rFonts w:cs="Arial"/>
                <w:sz w:val="20"/>
                <w:szCs w:val="20"/>
              </w:rPr>
              <w:t>100</w:t>
            </w:r>
          </w:p>
        </w:tc>
        <w:tc>
          <w:tcPr>
            <w:tcW w:w="686" w:type="dxa"/>
          </w:tcPr>
          <w:p w14:paraId="2D8D7FEB" w14:textId="5E275F9D" w:rsidR="00F7093F" w:rsidRPr="003E292F" w:rsidRDefault="00F7093F" w:rsidP="00217246">
            <w:pPr>
              <w:spacing w:before="60" w:after="60" w:line="240" w:lineRule="auto"/>
              <w:ind w:left="0"/>
              <w:jc w:val="center"/>
              <w:rPr>
                <w:rFonts w:cs="Arial"/>
                <w:sz w:val="20"/>
                <w:szCs w:val="20"/>
              </w:rPr>
            </w:pPr>
            <w:r>
              <w:rPr>
                <w:rFonts w:cs="Arial"/>
                <w:sz w:val="20"/>
                <w:szCs w:val="20"/>
              </w:rPr>
              <w:t>120</w:t>
            </w:r>
          </w:p>
        </w:tc>
        <w:tc>
          <w:tcPr>
            <w:tcW w:w="741" w:type="dxa"/>
          </w:tcPr>
          <w:p w14:paraId="287125C0" w14:textId="278BEF1E" w:rsidR="00F7093F" w:rsidRPr="003E292F" w:rsidRDefault="00F7093F" w:rsidP="00217246">
            <w:pPr>
              <w:spacing w:before="60" w:after="60" w:line="240" w:lineRule="auto"/>
              <w:ind w:left="0"/>
              <w:jc w:val="center"/>
              <w:rPr>
                <w:rFonts w:cs="Arial"/>
                <w:sz w:val="20"/>
                <w:szCs w:val="20"/>
              </w:rPr>
            </w:pPr>
            <w:r>
              <w:rPr>
                <w:rFonts w:cs="Arial"/>
                <w:sz w:val="20"/>
                <w:szCs w:val="20"/>
              </w:rPr>
              <w:t>110</w:t>
            </w:r>
          </w:p>
        </w:tc>
        <w:tc>
          <w:tcPr>
            <w:tcW w:w="720" w:type="dxa"/>
          </w:tcPr>
          <w:p w14:paraId="17C20640" w14:textId="3E6106A6" w:rsidR="00F7093F" w:rsidRPr="003E292F" w:rsidRDefault="00F7093F" w:rsidP="00217246">
            <w:pPr>
              <w:spacing w:before="60" w:after="60" w:line="240" w:lineRule="auto"/>
              <w:ind w:left="0"/>
              <w:jc w:val="center"/>
              <w:rPr>
                <w:rFonts w:cs="Arial"/>
                <w:sz w:val="20"/>
                <w:szCs w:val="20"/>
              </w:rPr>
            </w:pPr>
            <w:r>
              <w:rPr>
                <w:rFonts w:cs="Arial"/>
                <w:sz w:val="20"/>
                <w:szCs w:val="20"/>
              </w:rPr>
              <w:t>150</w:t>
            </w:r>
          </w:p>
        </w:tc>
        <w:tc>
          <w:tcPr>
            <w:tcW w:w="706" w:type="dxa"/>
          </w:tcPr>
          <w:p w14:paraId="09769461" w14:textId="2B48E35A" w:rsidR="00F7093F" w:rsidRPr="003E292F" w:rsidRDefault="00F7093F" w:rsidP="00217246">
            <w:pPr>
              <w:spacing w:before="60" w:after="60" w:line="240" w:lineRule="auto"/>
              <w:ind w:left="0"/>
              <w:jc w:val="center"/>
              <w:rPr>
                <w:rFonts w:cs="Arial"/>
                <w:sz w:val="20"/>
                <w:szCs w:val="20"/>
              </w:rPr>
            </w:pPr>
            <w:r>
              <w:rPr>
                <w:rFonts w:cs="Arial"/>
                <w:sz w:val="20"/>
                <w:szCs w:val="20"/>
              </w:rPr>
              <w:t>140</w:t>
            </w:r>
          </w:p>
        </w:tc>
      </w:tr>
      <w:tr w:rsidR="00F7093F" w14:paraId="3368D4BD" w14:textId="77777777" w:rsidTr="00F7093F">
        <w:tc>
          <w:tcPr>
            <w:tcW w:w="1951" w:type="dxa"/>
          </w:tcPr>
          <w:p w14:paraId="633F4A91" w14:textId="77777777" w:rsidR="00F7093F" w:rsidRPr="00247613" w:rsidRDefault="00F7093F" w:rsidP="00217246">
            <w:pPr>
              <w:spacing w:before="60" w:after="60" w:line="240" w:lineRule="auto"/>
              <w:ind w:left="0"/>
              <w:rPr>
                <w:sz w:val="20"/>
                <w:szCs w:val="20"/>
              </w:rPr>
            </w:pPr>
            <w:r w:rsidRPr="00E66040">
              <w:rPr>
                <w:sz w:val="20"/>
                <w:szCs w:val="20"/>
              </w:rPr>
              <w:t>1</w:t>
            </w:r>
            <w:r>
              <w:rPr>
                <w:sz w:val="20"/>
                <w:szCs w:val="20"/>
              </w:rPr>
              <w:t>88</w:t>
            </w:r>
          </w:p>
        </w:tc>
        <w:tc>
          <w:tcPr>
            <w:tcW w:w="713" w:type="dxa"/>
            <w:shd w:val="clear" w:color="auto" w:fill="FFFFFF" w:themeFill="background1"/>
          </w:tcPr>
          <w:p w14:paraId="0E1C820F" w14:textId="2646AD64" w:rsidR="00F7093F" w:rsidRPr="003E292F" w:rsidRDefault="00F7093F" w:rsidP="00217246">
            <w:pPr>
              <w:spacing w:before="60" w:after="60" w:line="240" w:lineRule="auto"/>
              <w:ind w:left="0"/>
              <w:jc w:val="center"/>
              <w:rPr>
                <w:rFonts w:cs="Arial"/>
                <w:sz w:val="20"/>
                <w:szCs w:val="20"/>
              </w:rPr>
            </w:pPr>
            <w:r>
              <w:rPr>
                <w:rFonts w:cs="Arial"/>
                <w:sz w:val="20"/>
                <w:szCs w:val="20"/>
              </w:rPr>
              <w:t>170</w:t>
            </w:r>
          </w:p>
        </w:tc>
        <w:tc>
          <w:tcPr>
            <w:tcW w:w="714" w:type="dxa"/>
          </w:tcPr>
          <w:p w14:paraId="76B623B5" w14:textId="332AE04B" w:rsidR="00F7093F" w:rsidRPr="003E292F" w:rsidRDefault="00F7093F" w:rsidP="00217246">
            <w:pPr>
              <w:spacing w:before="60" w:after="60" w:line="240" w:lineRule="auto"/>
              <w:ind w:left="0"/>
              <w:jc w:val="center"/>
              <w:rPr>
                <w:rFonts w:cs="Arial"/>
                <w:sz w:val="20"/>
                <w:szCs w:val="20"/>
              </w:rPr>
            </w:pPr>
            <w:r>
              <w:rPr>
                <w:rFonts w:cs="Arial"/>
                <w:sz w:val="20"/>
                <w:szCs w:val="20"/>
              </w:rPr>
              <w:t>140</w:t>
            </w:r>
          </w:p>
        </w:tc>
        <w:tc>
          <w:tcPr>
            <w:tcW w:w="686" w:type="dxa"/>
          </w:tcPr>
          <w:p w14:paraId="4484C1AD" w14:textId="0A38B1A3" w:rsidR="00F7093F" w:rsidRPr="003E292F" w:rsidRDefault="00F7093F" w:rsidP="00217246">
            <w:pPr>
              <w:spacing w:before="60" w:after="60" w:line="240" w:lineRule="auto"/>
              <w:ind w:left="0"/>
              <w:jc w:val="center"/>
              <w:rPr>
                <w:rFonts w:cs="Arial"/>
                <w:sz w:val="20"/>
                <w:szCs w:val="20"/>
              </w:rPr>
            </w:pPr>
            <w:r>
              <w:rPr>
                <w:rFonts w:cs="Arial"/>
                <w:sz w:val="20"/>
                <w:szCs w:val="20"/>
              </w:rPr>
              <w:t>160</w:t>
            </w:r>
          </w:p>
        </w:tc>
        <w:tc>
          <w:tcPr>
            <w:tcW w:w="741" w:type="dxa"/>
          </w:tcPr>
          <w:p w14:paraId="3406EB7B" w14:textId="016BC733" w:rsidR="00F7093F" w:rsidRPr="003E292F" w:rsidRDefault="00F7093F" w:rsidP="00217246">
            <w:pPr>
              <w:spacing w:before="60" w:after="60" w:line="240" w:lineRule="auto"/>
              <w:ind w:left="0"/>
              <w:jc w:val="center"/>
              <w:rPr>
                <w:rFonts w:cs="Arial"/>
                <w:sz w:val="20"/>
                <w:szCs w:val="20"/>
              </w:rPr>
            </w:pPr>
            <w:r>
              <w:rPr>
                <w:rFonts w:cs="Arial"/>
                <w:sz w:val="20"/>
                <w:szCs w:val="20"/>
              </w:rPr>
              <w:t>130</w:t>
            </w:r>
          </w:p>
        </w:tc>
        <w:tc>
          <w:tcPr>
            <w:tcW w:w="686" w:type="dxa"/>
          </w:tcPr>
          <w:p w14:paraId="08849B2A" w14:textId="4431F8B9" w:rsidR="00F7093F" w:rsidRPr="003E292F" w:rsidRDefault="00F7093F" w:rsidP="00217246">
            <w:pPr>
              <w:spacing w:before="60" w:after="60" w:line="240" w:lineRule="auto"/>
              <w:ind w:left="0"/>
              <w:jc w:val="center"/>
              <w:rPr>
                <w:rFonts w:cs="Arial"/>
                <w:sz w:val="20"/>
                <w:szCs w:val="20"/>
              </w:rPr>
            </w:pPr>
            <w:r>
              <w:rPr>
                <w:rFonts w:cs="Arial"/>
                <w:sz w:val="20"/>
                <w:szCs w:val="20"/>
              </w:rPr>
              <w:t>120</w:t>
            </w:r>
          </w:p>
        </w:tc>
        <w:tc>
          <w:tcPr>
            <w:tcW w:w="741" w:type="dxa"/>
          </w:tcPr>
          <w:p w14:paraId="624146B0" w14:textId="65932B9D" w:rsidR="00F7093F" w:rsidRPr="003E292F" w:rsidRDefault="00F7093F" w:rsidP="00217246">
            <w:pPr>
              <w:spacing w:before="60" w:after="60" w:line="240" w:lineRule="auto"/>
              <w:ind w:left="0"/>
              <w:jc w:val="center"/>
              <w:rPr>
                <w:rFonts w:cs="Arial"/>
                <w:sz w:val="20"/>
                <w:szCs w:val="20"/>
              </w:rPr>
            </w:pPr>
            <w:r>
              <w:rPr>
                <w:rFonts w:cs="Arial"/>
                <w:sz w:val="20"/>
                <w:szCs w:val="20"/>
              </w:rPr>
              <w:t>110</w:t>
            </w:r>
          </w:p>
        </w:tc>
        <w:tc>
          <w:tcPr>
            <w:tcW w:w="686" w:type="dxa"/>
          </w:tcPr>
          <w:p w14:paraId="7D41C31F" w14:textId="7DBB0736" w:rsidR="00F7093F" w:rsidRPr="003E292F" w:rsidRDefault="00F7093F" w:rsidP="00217246">
            <w:pPr>
              <w:spacing w:before="60" w:after="60" w:line="240" w:lineRule="auto"/>
              <w:ind w:left="0"/>
              <w:jc w:val="center"/>
              <w:rPr>
                <w:rFonts w:cs="Arial"/>
                <w:sz w:val="20"/>
                <w:szCs w:val="20"/>
              </w:rPr>
            </w:pPr>
            <w:r>
              <w:rPr>
                <w:rFonts w:cs="Arial"/>
                <w:sz w:val="20"/>
                <w:szCs w:val="20"/>
              </w:rPr>
              <w:t>130</w:t>
            </w:r>
          </w:p>
        </w:tc>
        <w:tc>
          <w:tcPr>
            <w:tcW w:w="741" w:type="dxa"/>
          </w:tcPr>
          <w:p w14:paraId="5EE77FC2" w14:textId="3B4B1F11" w:rsidR="00F7093F" w:rsidRPr="003E292F" w:rsidRDefault="00F7093F" w:rsidP="00217246">
            <w:pPr>
              <w:spacing w:before="60" w:after="60" w:line="240" w:lineRule="auto"/>
              <w:ind w:left="0"/>
              <w:jc w:val="center"/>
              <w:rPr>
                <w:rFonts w:cs="Arial"/>
                <w:sz w:val="20"/>
                <w:szCs w:val="20"/>
              </w:rPr>
            </w:pPr>
            <w:r>
              <w:rPr>
                <w:rFonts w:cs="Arial"/>
                <w:sz w:val="20"/>
                <w:szCs w:val="20"/>
              </w:rPr>
              <w:t>110</w:t>
            </w:r>
          </w:p>
        </w:tc>
        <w:tc>
          <w:tcPr>
            <w:tcW w:w="720" w:type="dxa"/>
            <w:shd w:val="clear" w:color="auto" w:fill="FF0000"/>
          </w:tcPr>
          <w:p w14:paraId="721D2D49" w14:textId="4EA96F2C" w:rsidR="00F7093F" w:rsidRPr="003E292F" w:rsidRDefault="00F7093F" w:rsidP="00217246">
            <w:pPr>
              <w:spacing w:before="60" w:after="60" w:line="240" w:lineRule="auto"/>
              <w:ind w:left="0"/>
              <w:jc w:val="center"/>
              <w:rPr>
                <w:rFonts w:cs="Arial"/>
                <w:sz w:val="20"/>
                <w:szCs w:val="20"/>
              </w:rPr>
            </w:pPr>
            <w:r>
              <w:rPr>
                <w:rFonts w:cs="Arial"/>
                <w:sz w:val="20"/>
                <w:szCs w:val="20"/>
              </w:rPr>
              <w:t>220</w:t>
            </w:r>
          </w:p>
        </w:tc>
        <w:tc>
          <w:tcPr>
            <w:tcW w:w="706" w:type="dxa"/>
          </w:tcPr>
          <w:p w14:paraId="645F345E" w14:textId="76B9E349" w:rsidR="00F7093F" w:rsidRPr="003E292F" w:rsidRDefault="00F7093F" w:rsidP="00217246">
            <w:pPr>
              <w:spacing w:before="60" w:after="60" w:line="240" w:lineRule="auto"/>
              <w:ind w:left="0"/>
              <w:jc w:val="center"/>
              <w:rPr>
                <w:rFonts w:cs="Arial"/>
                <w:sz w:val="20"/>
                <w:szCs w:val="20"/>
              </w:rPr>
            </w:pPr>
            <w:r>
              <w:rPr>
                <w:rFonts w:cs="Arial"/>
                <w:sz w:val="20"/>
                <w:szCs w:val="20"/>
              </w:rPr>
              <w:t>150</w:t>
            </w:r>
          </w:p>
        </w:tc>
      </w:tr>
      <w:tr w:rsidR="00F7093F" w14:paraId="47AE4B0D" w14:textId="77777777" w:rsidTr="00F7093F">
        <w:tc>
          <w:tcPr>
            <w:tcW w:w="1951" w:type="dxa"/>
          </w:tcPr>
          <w:p w14:paraId="57B6214A" w14:textId="77777777" w:rsidR="00F7093F" w:rsidRPr="00247613" w:rsidRDefault="00F7093F" w:rsidP="00217246">
            <w:pPr>
              <w:spacing w:before="60" w:after="60" w:line="240" w:lineRule="auto"/>
              <w:ind w:left="0"/>
              <w:rPr>
                <w:sz w:val="20"/>
                <w:szCs w:val="20"/>
              </w:rPr>
            </w:pPr>
            <w:r w:rsidRPr="00E66040">
              <w:rPr>
                <w:sz w:val="20"/>
                <w:szCs w:val="20"/>
              </w:rPr>
              <w:t>1</w:t>
            </w:r>
            <w:r>
              <w:rPr>
                <w:sz w:val="20"/>
                <w:szCs w:val="20"/>
              </w:rPr>
              <w:t>87</w:t>
            </w:r>
          </w:p>
        </w:tc>
        <w:tc>
          <w:tcPr>
            <w:tcW w:w="713" w:type="dxa"/>
          </w:tcPr>
          <w:p w14:paraId="0127EA6E" w14:textId="0076A9ED" w:rsidR="00F7093F" w:rsidRPr="003E292F" w:rsidRDefault="00F7093F" w:rsidP="00217246">
            <w:pPr>
              <w:spacing w:before="60" w:after="60" w:line="240" w:lineRule="auto"/>
              <w:ind w:left="0"/>
              <w:jc w:val="center"/>
              <w:rPr>
                <w:rFonts w:cs="Arial"/>
                <w:sz w:val="20"/>
                <w:szCs w:val="20"/>
              </w:rPr>
            </w:pPr>
            <w:r>
              <w:rPr>
                <w:rFonts w:cs="Arial"/>
                <w:sz w:val="20"/>
                <w:szCs w:val="20"/>
              </w:rPr>
              <w:t>180</w:t>
            </w:r>
          </w:p>
        </w:tc>
        <w:tc>
          <w:tcPr>
            <w:tcW w:w="714" w:type="dxa"/>
          </w:tcPr>
          <w:p w14:paraId="73592991" w14:textId="0EEB5CB7" w:rsidR="00F7093F" w:rsidRPr="003E292F" w:rsidRDefault="00F7093F" w:rsidP="00217246">
            <w:pPr>
              <w:spacing w:before="60" w:after="60" w:line="240" w:lineRule="auto"/>
              <w:ind w:left="0"/>
              <w:jc w:val="center"/>
              <w:rPr>
                <w:rFonts w:cs="Arial"/>
                <w:sz w:val="20"/>
                <w:szCs w:val="20"/>
              </w:rPr>
            </w:pPr>
            <w:r>
              <w:rPr>
                <w:rFonts w:cs="Arial"/>
                <w:sz w:val="20"/>
                <w:szCs w:val="20"/>
              </w:rPr>
              <w:t>160</w:t>
            </w:r>
          </w:p>
        </w:tc>
        <w:tc>
          <w:tcPr>
            <w:tcW w:w="686" w:type="dxa"/>
          </w:tcPr>
          <w:p w14:paraId="3E9C94F1" w14:textId="3C0377BB" w:rsidR="00F7093F" w:rsidRPr="003E292F" w:rsidRDefault="00F7093F" w:rsidP="00217246">
            <w:pPr>
              <w:spacing w:before="60" w:after="60" w:line="240" w:lineRule="auto"/>
              <w:ind w:left="0"/>
              <w:jc w:val="center"/>
              <w:rPr>
                <w:rFonts w:cs="Arial"/>
                <w:sz w:val="20"/>
                <w:szCs w:val="20"/>
              </w:rPr>
            </w:pPr>
            <w:r>
              <w:rPr>
                <w:rFonts w:cs="Arial"/>
                <w:sz w:val="20"/>
                <w:szCs w:val="20"/>
              </w:rPr>
              <w:t>170</w:t>
            </w:r>
          </w:p>
        </w:tc>
        <w:tc>
          <w:tcPr>
            <w:tcW w:w="741" w:type="dxa"/>
          </w:tcPr>
          <w:p w14:paraId="180AAAC2" w14:textId="1EC5A34E" w:rsidR="00F7093F" w:rsidRPr="003E292F" w:rsidRDefault="00F7093F" w:rsidP="00217246">
            <w:pPr>
              <w:spacing w:before="60" w:after="60" w:line="240" w:lineRule="auto"/>
              <w:ind w:left="0"/>
              <w:jc w:val="center"/>
              <w:rPr>
                <w:rFonts w:cs="Arial"/>
                <w:sz w:val="20"/>
                <w:szCs w:val="20"/>
              </w:rPr>
            </w:pPr>
            <w:r>
              <w:rPr>
                <w:rFonts w:cs="Arial"/>
                <w:sz w:val="20"/>
                <w:szCs w:val="20"/>
              </w:rPr>
              <w:t>150</w:t>
            </w:r>
          </w:p>
        </w:tc>
        <w:tc>
          <w:tcPr>
            <w:tcW w:w="686" w:type="dxa"/>
          </w:tcPr>
          <w:p w14:paraId="6C4599B5" w14:textId="4C1FAF94" w:rsidR="00F7093F" w:rsidRPr="003E292F" w:rsidRDefault="00F7093F" w:rsidP="00217246">
            <w:pPr>
              <w:spacing w:before="60" w:after="60" w:line="240" w:lineRule="auto"/>
              <w:ind w:left="0"/>
              <w:jc w:val="center"/>
              <w:rPr>
                <w:rFonts w:cs="Arial"/>
                <w:sz w:val="20"/>
                <w:szCs w:val="20"/>
              </w:rPr>
            </w:pPr>
            <w:r>
              <w:rPr>
                <w:rFonts w:cs="Arial"/>
                <w:sz w:val="20"/>
                <w:szCs w:val="20"/>
              </w:rPr>
              <w:t>140</w:t>
            </w:r>
          </w:p>
        </w:tc>
        <w:tc>
          <w:tcPr>
            <w:tcW w:w="741" w:type="dxa"/>
          </w:tcPr>
          <w:p w14:paraId="4526AEAA" w14:textId="59FD1C0C" w:rsidR="00F7093F" w:rsidRPr="003E292F" w:rsidRDefault="00F7093F" w:rsidP="00217246">
            <w:pPr>
              <w:spacing w:before="60" w:after="60" w:line="240" w:lineRule="auto"/>
              <w:ind w:left="0"/>
              <w:jc w:val="center"/>
              <w:rPr>
                <w:rFonts w:cs="Arial"/>
                <w:sz w:val="20"/>
                <w:szCs w:val="20"/>
              </w:rPr>
            </w:pPr>
            <w:r>
              <w:rPr>
                <w:rFonts w:cs="Arial"/>
                <w:sz w:val="20"/>
                <w:szCs w:val="20"/>
              </w:rPr>
              <w:t>110</w:t>
            </w:r>
          </w:p>
        </w:tc>
        <w:tc>
          <w:tcPr>
            <w:tcW w:w="686" w:type="dxa"/>
          </w:tcPr>
          <w:p w14:paraId="7807779C" w14:textId="0B10A752" w:rsidR="00F7093F" w:rsidRPr="003E292F" w:rsidRDefault="00F7093F" w:rsidP="00217246">
            <w:pPr>
              <w:spacing w:before="60" w:after="60" w:line="240" w:lineRule="auto"/>
              <w:ind w:left="0"/>
              <w:jc w:val="center"/>
              <w:rPr>
                <w:rFonts w:cs="Arial"/>
                <w:sz w:val="20"/>
                <w:szCs w:val="20"/>
              </w:rPr>
            </w:pPr>
            <w:r>
              <w:rPr>
                <w:rFonts w:cs="Arial"/>
                <w:sz w:val="20"/>
                <w:szCs w:val="20"/>
              </w:rPr>
              <w:t>140</w:t>
            </w:r>
          </w:p>
        </w:tc>
        <w:tc>
          <w:tcPr>
            <w:tcW w:w="741" w:type="dxa"/>
          </w:tcPr>
          <w:p w14:paraId="5184A34B" w14:textId="4BF3AFC2" w:rsidR="00F7093F" w:rsidRPr="003E292F" w:rsidRDefault="00F7093F" w:rsidP="00217246">
            <w:pPr>
              <w:spacing w:before="60" w:after="60" w:line="240" w:lineRule="auto"/>
              <w:ind w:left="0"/>
              <w:jc w:val="center"/>
              <w:rPr>
                <w:rFonts w:cs="Arial"/>
                <w:sz w:val="20"/>
                <w:szCs w:val="20"/>
              </w:rPr>
            </w:pPr>
            <w:r>
              <w:rPr>
                <w:rFonts w:cs="Arial"/>
                <w:sz w:val="20"/>
                <w:szCs w:val="20"/>
              </w:rPr>
              <w:t>120</w:t>
            </w:r>
          </w:p>
        </w:tc>
        <w:tc>
          <w:tcPr>
            <w:tcW w:w="720" w:type="dxa"/>
            <w:shd w:val="clear" w:color="auto" w:fill="FF0000"/>
          </w:tcPr>
          <w:p w14:paraId="6879453E" w14:textId="551ADAED" w:rsidR="00F7093F" w:rsidRPr="003E292F" w:rsidRDefault="00F7093F" w:rsidP="00217246">
            <w:pPr>
              <w:spacing w:before="60" w:after="60" w:line="240" w:lineRule="auto"/>
              <w:ind w:left="0"/>
              <w:jc w:val="center"/>
              <w:rPr>
                <w:rFonts w:cs="Arial"/>
                <w:sz w:val="20"/>
                <w:szCs w:val="20"/>
              </w:rPr>
            </w:pPr>
            <w:r>
              <w:rPr>
                <w:rFonts w:cs="Arial"/>
                <w:sz w:val="20"/>
                <w:szCs w:val="20"/>
              </w:rPr>
              <w:t>240</w:t>
            </w:r>
          </w:p>
        </w:tc>
        <w:tc>
          <w:tcPr>
            <w:tcW w:w="706" w:type="dxa"/>
          </w:tcPr>
          <w:p w14:paraId="0F6242EE" w14:textId="5451578A" w:rsidR="00F7093F" w:rsidRPr="003E292F" w:rsidRDefault="00F7093F" w:rsidP="00217246">
            <w:pPr>
              <w:spacing w:before="60" w:after="60" w:line="240" w:lineRule="auto"/>
              <w:ind w:left="0"/>
              <w:jc w:val="center"/>
              <w:rPr>
                <w:rFonts w:cs="Arial"/>
                <w:sz w:val="20"/>
                <w:szCs w:val="20"/>
              </w:rPr>
            </w:pPr>
            <w:r>
              <w:rPr>
                <w:rFonts w:cs="Arial"/>
                <w:sz w:val="20"/>
                <w:szCs w:val="20"/>
              </w:rPr>
              <w:t>200</w:t>
            </w:r>
          </w:p>
        </w:tc>
      </w:tr>
      <w:tr w:rsidR="00F7093F" w14:paraId="5BEF993C" w14:textId="77777777" w:rsidTr="00F7093F">
        <w:tc>
          <w:tcPr>
            <w:tcW w:w="1951" w:type="dxa"/>
          </w:tcPr>
          <w:p w14:paraId="0481FA1B" w14:textId="77777777" w:rsidR="00F7093F" w:rsidRPr="00247613" w:rsidRDefault="00F7093F" w:rsidP="00217246">
            <w:pPr>
              <w:spacing w:before="60" w:after="60" w:line="240" w:lineRule="auto"/>
              <w:ind w:left="0"/>
              <w:rPr>
                <w:sz w:val="20"/>
                <w:szCs w:val="20"/>
              </w:rPr>
            </w:pPr>
            <w:r>
              <w:rPr>
                <w:sz w:val="20"/>
                <w:szCs w:val="20"/>
              </w:rPr>
              <w:t>186</w:t>
            </w:r>
          </w:p>
        </w:tc>
        <w:tc>
          <w:tcPr>
            <w:tcW w:w="713" w:type="dxa"/>
          </w:tcPr>
          <w:p w14:paraId="0964A31F" w14:textId="63619F58" w:rsidR="00F7093F" w:rsidRPr="003E292F" w:rsidRDefault="00F7093F" w:rsidP="00217246">
            <w:pPr>
              <w:spacing w:before="60" w:after="60" w:line="240" w:lineRule="auto"/>
              <w:ind w:left="0"/>
              <w:jc w:val="center"/>
              <w:rPr>
                <w:rFonts w:cs="Arial"/>
                <w:sz w:val="20"/>
                <w:szCs w:val="20"/>
              </w:rPr>
            </w:pPr>
            <w:r>
              <w:rPr>
                <w:rFonts w:cs="Arial"/>
                <w:sz w:val="20"/>
                <w:szCs w:val="20"/>
              </w:rPr>
              <w:t>190</w:t>
            </w:r>
          </w:p>
        </w:tc>
        <w:tc>
          <w:tcPr>
            <w:tcW w:w="714" w:type="dxa"/>
          </w:tcPr>
          <w:p w14:paraId="74D29069" w14:textId="7650862F" w:rsidR="00F7093F" w:rsidRPr="003E292F" w:rsidRDefault="00F7093F" w:rsidP="00217246">
            <w:pPr>
              <w:spacing w:before="60" w:after="60" w:line="240" w:lineRule="auto"/>
              <w:ind w:left="0"/>
              <w:jc w:val="center"/>
              <w:rPr>
                <w:rFonts w:cs="Arial"/>
                <w:sz w:val="20"/>
                <w:szCs w:val="20"/>
              </w:rPr>
            </w:pPr>
            <w:r>
              <w:rPr>
                <w:rFonts w:cs="Arial"/>
                <w:sz w:val="20"/>
                <w:szCs w:val="20"/>
              </w:rPr>
              <w:t>170</w:t>
            </w:r>
          </w:p>
        </w:tc>
        <w:tc>
          <w:tcPr>
            <w:tcW w:w="686" w:type="dxa"/>
          </w:tcPr>
          <w:p w14:paraId="4CFAF62B" w14:textId="6C151FA4" w:rsidR="00F7093F" w:rsidRPr="003E292F" w:rsidRDefault="00F7093F" w:rsidP="00217246">
            <w:pPr>
              <w:spacing w:before="60" w:after="60" w:line="240" w:lineRule="auto"/>
              <w:ind w:left="0"/>
              <w:jc w:val="center"/>
              <w:rPr>
                <w:rFonts w:cs="Arial"/>
                <w:sz w:val="20"/>
                <w:szCs w:val="20"/>
              </w:rPr>
            </w:pPr>
            <w:r>
              <w:rPr>
                <w:rFonts w:cs="Arial"/>
                <w:sz w:val="20"/>
                <w:szCs w:val="20"/>
              </w:rPr>
              <w:t>180</w:t>
            </w:r>
          </w:p>
        </w:tc>
        <w:tc>
          <w:tcPr>
            <w:tcW w:w="741" w:type="dxa"/>
          </w:tcPr>
          <w:p w14:paraId="52C2AA5C" w14:textId="1F16AE85" w:rsidR="00F7093F" w:rsidRPr="003E292F" w:rsidRDefault="00F7093F" w:rsidP="00217246">
            <w:pPr>
              <w:spacing w:before="60" w:after="60" w:line="240" w:lineRule="auto"/>
              <w:ind w:left="0"/>
              <w:jc w:val="center"/>
              <w:rPr>
                <w:rFonts w:cs="Arial"/>
                <w:sz w:val="20"/>
                <w:szCs w:val="20"/>
              </w:rPr>
            </w:pPr>
            <w:r>
              <w:rPr>
                <w:rFonts w:cs="Arial"/>
                <w:sz w:val="20"/>
                <w:szCs w:val="20"/>
              </w:rPr>
              <w:t>150</w:t>
            </w:r>
          </w:p>
        </w:tc>
        <w:tc>
          <w:tcPr>
            <w:tcW w:w="686" w:type="dxa"/>
          </w:tcPr>
          <w:p w14:paraId="110E63FE" w14:textId="769FA53E" w:rsidR="00F7093F" w:rsidRPr="003E292F" w:rsidRDefault="00F7093F" w:rsidP="00217246">
            <w:pPr>
              <w:spacing w:before="60" w:after="60" w:line="240" w:lineRule="auto"/>
              <w:ind w:left="0"/>
              <w:jc w:val="center"/>
              <w:rPr>
                <w:rFonts w:cs="Arial"/>
                <w:sz w:val="20"/>
                <w:szCs w:val="20"/>
              </w:rPr>
            </w:pPr>
            <w:r>
              <w:rPr>
                <w:rFonts w:cs="Arial"/>
                <w:sz w:val="20"/>
                <w:szCs w:val="20"/>
              </w:rPr>
              <w:t>150</w:t>
            </w:r>
          </w:p>
        </w:tc>
        <w:tc>
          <w:tcPr>
            <w:tcW w:w="741" w:type="dxa"/>
          </w:tcPr>
          <w:p w14:paraId="701EAF35" w14:textId="5E29D56B" w:rsidR="00F7093F" w:rsidRPr="003E292F" w:rsidRDefault="00F7093F" w:rsidP="00217246">
            <w:pPr>
              <w:spacing w:before="60" w:after="60" w:line="240" w:lineRule="auto"/>
              <w:ind w:left="0"/>
              <w:jc w:val="center"/>
              <w:rPr>
                <w:rFonts w:cs="Arial"/>
                <w:sz w:val="20"/>
                <w:szCs w:val="20"/>
              </w:rPr>
            </w:pPr>
            <w:r>
              <w:rPr>
                <w:rFonts w:cs="Arial"/>
                <w:sz w:val="20"/>
                <w:szCs w:val="20"/>
              </w:rPr>
              <w:t>120</w:t>
            </w:r>
          </w:p>
        </w:tc>
        <w:tc>
          <w:tcPr>
            <w:tcW w:w="686" w:type="dxa"/>
          </w:tcPr>
          <w:p w14:paraId="64347D56" w14:textId="18EF9C47" w:rsidR="00F7093F" w:rsidRPr="003E292F" w:rsidRDefault="00F7093F" w:rsidP="00217246">
            <w:pPr>
              <w:spacing w:before="60" w:after="60" w:line="240" w:lineRule="auto"/>
              <w:ind w:left="0"/>
              <w:jc w:val="center"/>
              <w:rPr>
                <w:rFonts w:cs="Arial"/>
                <w:sz w:val="20"/>
                <w:szCs w:val="20"/>
              </w:rPr>
            </w:pPr>
            <w:r>
              <w:rPr>
                <w:rFonts w:cs="Arial"/>
                <w:sz w:val="20"/>
                <w:szCs w:val="20"/>
              </w:rPr>
              <w:t>150</w:t>
            </w:r>
          </w:p>
        </w:tc>
        <w:tc>
          <w:tcPr>
            <w:tcW w:w="741" w:type="dxa"/>
          </w:tcPr>
          <w:p w14:paraId="4CB93A76" w14:textId="5EAA847C" w:rsidR="00F7093F" w:rsidRPr="003E292F" w:rsidRDefault="00F7093F" w:rsidP="00217246">
            <w:pPr>
              <w:spacing w:before="60" w:after="60" w:line="240" w:lineRule="auto"/>
              <w:ind w:left="0"/>
              <w:jc w:val="center"/>
              <w:rPr>
                <w:rFonts w:cs="Arial"/>
                <w:sz w:val="20"/>
                <w:szCs w:val="20"/>
              </w:rPr>
            </w:pPr>
            <w:r>
              <w:rPr>
                <w:rFonts w:cs="Arial"/>
                <w:sz w:val="20"/>
                <w:szCs w:val="20"/>
              </w:rPr>
              <w:t>120</w:t>
            </w:r>
          </w:p>
        </w:tc>
        <w:tc>
          <w:tcPr>
            <w:tcW w:w="720" w:type="dxa"/>
            <w:shd w:val="clear" w:color="auto" w:fill="FF0000"/>
          </w:tcPr>
          <w:p w14:paraId="7904A21F" w14:textId="024D9E2D" w:rsidR="00F7093F" w:rsidRPr="003E292F" w:rsidRDefault="00F7093F" w:rsidP="00217246">
            <w:pPr>
              <w:spacing w:before="60" w:after="60" w:line="240" w:lineRule="auto"/>
              <w:ind w:left="0"/>
              <w:jc w:val="center"/>
              <w:rPr>
                <w:rFonts w:cs="Arial"/>
                <w:sz w:val="20"/>
                <w:szCs w:val="20"/>
              </w:rPr>
            </w:pPr>
            <w:r>
              <w:rPr>
                <w:rFonts w:cs="Arial"/>
                <w:sz w:val="20"/>
                <w:szCs w:val="20"/>
              </w:rPr>
              <w:t>260</w:t>
            </w:r>
          </w:p>
        </w:tc>
        <w:tc>
          <w:tcPr>
            <w:tcW w:w="706" w:type="dxa"/>
          </w:tcPr>
          <w:p w14:paraId="41CC769F" w14:textId="4F9828D1" w:rsidR="00F7093F" w:rsidRPr="003E292F" w:rsidRDefault="00F7093F" w:rsidP="00217246">
            <w:pPr>
              <w:spacing w:before="60" w:after="60" w:line="240" w:lineRule="auto"/>
              <w:ind w:left="0"/>
              <w:jc w:val="center"/>
              <w:rPr>
                <w:rFonts w:cs="Arial"/>
                <w:sz w:val="20"/>
                <w:szCs w:val="20"/>
              </w:rPr>
            </w:pPr>
            <w:r>
              <w:rPr>
                <w:rFonts w:cs="Arial"/>
                <w:sz w:val="20"/>
                <w:szCs w:val="20"/>
              </w:rPr>
              <w:t>220</w:t>
            </w:r>
          </w:p>
        </w:tc>
      </w:tr>
    </w:tbl>
    <w:p w14:paraId="1A5627C7" w14:textId="54C2886C" w:rsidR="00E9672B" w:rsidRPr="001D2756" w:rsidRDefault="00E9672B" w:rsidP="00E9672B">
      <w:pPr>
        <w:spacing w:after="240"/>
        <w:ind w:left="0"/>
        <w:rPr>
          <w:i/>
          <w:sz w:val="18"/>
          <w:szCs w:val="18"/>
        </w:rPr>
      </w:pPr>
      <w:r w:rsidRPr="001D2756">
        <w:rPr>
          <w:i/>
          <w:sz w:val="18"/>
          <w:szCs w:val="18"/>
        </w:rPr>
        <w:t>Cells highlighted in red indicate maximum predicted exten</w:t>
      </w:r>
      <w:r w:rsidR="00A24FEE">
        <w:rPr>
          <w:i/>
          <w:sz w:val="18"/>
          <w:szCs w:val="18"/>
        </w:rPr>
        <w:t>t</w:t>
      </w:r>
      <w:r w:rsidRPr="001D2756">
        <w:rPr>
          <w:i/>
          <w:sz w:val="18"/>
          <w:szCs w:val="18"/>
        </w:rPr>
        <w:t xml:space="preserve"> of sound.</w:t>
      </w:r>
    </w:p>
    <w:p w14:paraId="1BDB1BC9" w14:textId="6AFE357C" w:rsidR="00E9672B" w:rsidRPr="00D70321" w:rsidRDefault="00E9672B" w:rsidP="00E9672B">
      <w:pPr>
        <w:ind w:left="0"/>
        <w:rPr>
          <w:rFonts w:cs="Arial"/>
          <w:sz w:val="22"/>
          <w:szCs w:val="22"/>
        </w:rPr>
      </w:pPr>
      <w:r w:rsidRPr="00EF4E2A">
        <w:rPr>
          <w:rFonts w:cs="Arial"/>
          <w:sz w:val="22"/>
          <w:szCs w:val="22"/>
        </w:rPr>
        <w:t>Table 7.</w:t>
      </w:r>
      <w:r w:rsidR="00ED0632" w:rsidRPr="00EF4E2A">
        <w:rPr>
          <w:rFonts w:cs="Arial"/>
          <w:sz w:val="22"/>
          <w:szCs w:val="22"/>
        </w:rPr>
        <w:t>2</w:t>
      </w:r>
      <w:r w:rsidR="00FC79B0" w:rsidRPr="00EF4E2A">
        <w:rPr>
          <w:rFonts w:cs="Arial"/>
          <w:sz w:val="22"/>
          <w:szCs w:val="22"/>
        </w:rPr>
        <w:t>1</w:t>
      </w:r>
      <w:r w:rsidRPr="00EF4E2A">
        <w:rPr>
          <w:rFonts w:cs="Arial"/>
          <w:sz w:val="22"/>
          <w:szCs w:val="22"/>
        </w:rPr>
        <w:t xml:space="preserve"> shows</w:t>
      </w:r>
      <w:r w:rsidRPr="00D70321">
        <w:rPr>
          <w:rFonts w:cs="Arial"/>
          <w:sz w:val="22"/>
          <w:szCs w:val="22"/>
        </w:rPr>
        <w:t xml:space="preserve"> the estimated maximum horizontal distances from the source array to modelled seabed PK-PK levels from four transects</w:t>
      </w:r>
      <w:r w:rsidR="00217246" w:rsidRPr="00D70321">
        <w:rPr>
          <w:rFonts w:cs="Arial"/>
          <w:sz w:val="22"/>
          <w:szCs w:val="22"/>
        </w:rPr>
        <w:t xml:space="preserve"> at the five modelling sites</w:t>
      </w:r>
      <w:r w:rsidRPr="00D70321">
        <w:rPr>
          <w:rFonts w:cs="Arial"/>
          <w:sz w:val="22"/>
          <w:szCs w:val="22"/>
        </w:rPr>
        <w:t>.</w:t>
      </w:r>
      <w:r w:rsidR="00CD583F">
        <w:rPr>
          <w:rFonts w:cs="Arial"/>
          <w:sz w:val="22"/>
          <w:szCs w:val="22"/>
        </w:rPr>
        <w:t xml:space="preserve"> </w:t>
      </w:r>
    </w:p>
    <w:p w14:paraId="6B0C2AC3" w14:textId="77777777" w:rsidR="00724389" w:rsidRDefault="00724389" w:rsidP="00E9672B">
      <w:pPr>
        <w:ind w:left="0"/>
        <w:rPr>
          <w:rFonts w:cs="Arial"/>
          <w:sz w:val="22"/>
          <w:szCs w:val="22"/>
        </w:rPr>
      </w:pPr>
    </w:p>
    <w:p w14:paraId="59B2AE9E" w14:textId="5D0A255A" w:rsidR="00E9672B" w:rsidRPr="006E2F1B" w:rsidRDefault="00E9672B">
      <w:pPr>
        <w:spacing w:after="120" w:line="240" w:lineRule="auto"/>
        <w:ind w:left="0"/>
        <w:jc w:val="center"/>
        <w:rPr>
          <w:rFonts w:cs="Arial"/>
          <w:b/>
          <w:sz w:val="20"/>
          <w:szCs w:val="20"/>
          <w:specVanish/>
        </w:rPr>
      </w:pPr>
      <w:r>
        <w:rPr>
          <w:rFonts w:cs="Arial"/>
          <w:b/>
          <w:sz w:val="20"/>
          <w:szCs w:val="20"/>
        </w:rPr>
        <w:t>Table 7.</w:t>
      </w:r>
      <w:r w:rsidR="00ED0632">
        <w:rPr>
          <w:rFonts w:cs="Arial"/>
          <w:b/>
          <w:sz w:val="20"/>
          <w:szCs w:val="20"/>
        </w:rPr>
        <w:t>2</w:t>
      </w:r>
      <w:r w:rsidR="00FC79B0">
        <w:rPr>
          <w:rFonts w:cs="Arial"/>
          <w:b/>
          <w:sz w:val="20"/>
          <w:szCs w:val="20"/>
        </w:rPr>
        <w:t>1</w:t>
      </w:r>
      <w:r>
        <w:rPr>
          <w:rFonts w:cs="Arial"/>
          <w:b/>
          <w:sz w:val="20"/>
          <w:szCs w:val="20"/>
        </w:rPr>
        <w:t>.</w:t>
      </w:r>
      <w:r>
        <w:rPr>
          <w:rFonts w:cs="Arial"/>
          <w:b/>
          <w:sz w:val="20"/>
          <w:szCs w:val="20"/>
        </w:rPr>
        <w:tab/>
      </w:r>
      <w:r w:rsidRPr="006E2F1B">
        <w:rPr>
          <w:rFonts w:cs="Arial"/>
          <w:b/>
          <w:sz w:val="20"/>
          <w:szCs w:val="20"/>
        </w:rPr>
        <w:t>Maximum (R</w:t>
      </w:r>
      <w:r w:rsidRPr="006E2F1B">
        <w:rPr>
          <w:rFonts w:cs="Arial"/>
          <w:b/>
          <w:sz w:val="20"/>
          <w:szCs w:val="20"/>
          <w:vertAlign w:val="subscript"/>
        </w:rPr>
        <w:t>max</w:t>
      </w:r>
      <w:r w:rsidRPr="006E2F1B">
        <w:rPr>
          <w:rFonts w:cs="Arial"/>
          <w:b/>
          <w:sz w:val="20"/>
          <w:szCs w:val="20"/>
        </w:rPr>
        <w:t xml:space="preserve">) horizontal distances from the </w:t>
      </w:r>
      <w:r>
        <w:rPr>
          <w:rFonts w:cs="Arial"/>
          <w:b/>
          <w:sz w:val="20"/>
          <w:szCs w:val="20"/>
        </w:rPr>
        <w:t>source</w:t>
      </w:r>
      <w:r w:rsidRPr="006E2F1B">
        <w:rPr>
          <w:rFonts w:cs="Arial"/>
          <w:b/>
          <w:sz w:val="20"/>
          <w:szCs w:val="20"/>
        </w:rPr>
        <w:t xml:space="preserve"> array to modelled sea</w:t>
      </w:r>
      <w:r>
        <w:rPr>
          <w:rFonts w:cs="Arial"/>
          <w:b/>
          <w:sz w:val="20"/>
          <w:szCs w:val="20"/>
        </w:rPr>
        <w:t xml:space="preserve">bed </w:t>
      </w:r>
      <w:r w:rsidRPr="006E2F1B">
        <w:rPr>
          <w:rFonts w:cs="Arial"/>
          <w:b/>
          <w:sz w:val="20"/>
          <w:szCs w:val="20"/>
        </w:rPr>
        <w:t>PK</w:t>
      </w:r>
      <w:r>
        <w:rPr>
          <w:rFonts w:cs="Arial"/>
          <w:b/>
          <w:sz w:val="20"/>
          <w:szCs w:val="20"/>
        </w:rPr>
        <w:t>-PK</w:t>
      </w:r>
      <w:r w:rsidRPr="006E2F1B">
        <w:rPr>
          <w:rFonts w:cs="Arial"/>
          <w:b/>
          <w:sz w:val="20"/>
          <w:szCs w:val="20"/>
        </w:rPr>
        <w:t xml:space="preserve"> levels from four transects</w:t>
      </w:r>
    </w:p>
    <w:tbl>
      <w:tblPr>
        <w:tblStyle w:val="TableGrid"/>
        <w:tblW w:w="9074" w:type="dxa"/>
        <w:tblLook w:val="04A0" w:firstRow="1" w:lastRow="0" w:firstColumn="1" w:lastColumn="0" w:noHBand="0" w:noVBand="1"/>
      </w:tblPr>
      <w:tblGrid>
        <w:gridCol w:w="2126"/>
        <w:gridCol w:w="1389"/>
        <w:gridCol w:w="1390"/>
        <w:gridCol w:w="1389"/>
        <w:gridCol w:w="1390"/>
        <w:gridCol w:w="1390"/>
      </w:tblGrid>
      <w:tr w:rsidR="00E9672B" w14:paraId="29B73D49" w14:textId="77777777" w:rsidTr="00217246">
        <w:tc>
          <w:tcPr>
            <w:tcW w:w="2126" w:type="dxa"/>
            <w:vMerge w:val="restart"/>
            <w:shd w:val="clear" w:color="auto" w:fill="064EA8"/>
          </w:tcPr>
          <w:p w14:paraId="36E1DC69" w14:textId="77777777" w:rsidR="00E9672B" w:rsidRPr="009E683A" w:rsidRDefault="00E9672B" w:rsidP="00217246">
            <w:pPr>
              <w:spacing w:before="60" w:after="60"/>
              <w:ind w:left="0"/>
              <w:rPr>
                <w:rFonts w:cs="Arial"/>
                <w:color w:val="FFFFFF" w:themeColor="background1"/>
                <w:sz w:val="20"/>
                <w:szCs w:val="20"/>
              </w:rPr>
            </w:pPr>
            <w:r w:rsidRPr="005723CF">
              <w:rPr>
                <w:color w:val="FFFFFF" w:themeColor="background1"/>
                <w:sz w:val="20"/>
                <w:szCs w:val="20"/>
              </w:rPr>
              <w:t>Peak</w:t>
            </w:r>
            <w:r>
              <w:rPr>
                <w:color w:val="FFFFFF" w:themeColor="background1"/>
                <w:sz w:val="20"/>
                <w:szCs w:val="20"/>
              </w:rPr>
              <w:t xml:space="preserve">-peak </w:t>
            </w:r>
            <w:r w:rsidRPr="005723CF">
              <w:rPr>
                <w:color w:val="FFFFFF" w:themeColor="background1"/>
                <w:sz w:val="20"/>
                <w:szCs w:val="20"/>
              </w:rPr>
              <w:t xml:space="preserve">pressure level </w:t>
            </w:r>
            <w:r>
              <w:rPr>
                <w:color w:val="FFFFFF" w:themeColor="background1"/>
                <w:sz w:val="20"/>
                <w:szCs w:val="20"/>
              </w:rPr>
              <w:t>threshold</w:t>
            </w:r>
            <w:r>
              <w:rPr>
                <w:color w:val="FFFFFF" w:themeColor="background1"/>
                <w:sz w:val="20"/>
                <w:szCs w:val="20"/>
              </w:rPr>
              <w:br/>
            </w:r>
            <w:r w:rsidRPr="005723CF">
              <w:rPr>
                <w:color w:val="FFFFFF" w:themeColor="background1"/>
                <w:sz w:val="20"/>
                <w:szCs w:val="20"/>
              </w:rPr>
              <w:t>(dB re 1 μPa)</w:t>
            </w:r>
          </w:p>
        </w:tc>
        <w:tc>
          <w:tcPr>
            <w:tcW w:w="6948" w:type="dxa"/>
            <w:gridSpan w:val="5"/>
            <w:shd w:val="clear" w:color="auto" w:fill="064EA8"/>
          </w:tcPr>
          <w:p w14:paraId="11D16909" w14:textId="77777777" w:rsidR="00E9672B" w:rsidRPr="009E683A" w:rsidRDefault="00E9672B" w:rsidP="00217246">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Distance R</w:t>
            </w:r>
            <w:r>
              <w:rPr>
                <w:rFonts w:cs="Arial"/>
                <w:color w:val="FFFFFF" w:themeColor="background1"/>
                <w:sz w:val="20"/>
                <w:szCs w:val="20"/>
                <w:vertAlign w:val="subscript"/>
              </w:rPr>
              <w:t>max</w:t>
            </w:r>
            <w:r w:rsidRPr="009E683A">
              <w:rPr>
                <w:rFonts w:cs="Arial"/>
                <w:color w:val="FFFFFF" w:themeColor="background1"/>
                <w:sz w:val="20"/>
                <w:szCs w:val="20"/>
              </w:rPr>
              <w:t xml:space="preserve"> (m)</w:t>
            </w:r>
          </w:p>
        </w:tc>
      </w:tr>
      <w:tr w:rsidR="00E9672B" w14:paraId="72E01099" w14:textId="77777777" w:rsidTr="00217246">
        <w:tc>
          <w:tcPr>
            <w:tcW w:w="2126" w:type="dxa"/>
            <w:vMerge/>
            <w:shd w:val="clear" w:color="auto" w:fill="064EA8"/>
          </w:tcPr>
          <w:p w14:paraId="75B6EA24" w14:textId="77777777" w:rsidR="00E9672B" w:rsidRPr="009E683A" w:rsidRDefault="00E9672B" w:rsidP="00217246">
            <w:pPr>
              <w:spacing w:before="60" w:after="60" w:line="240" w:lineRule="auto"/>
              <w:ind w:left="0"/>
              <w:jc w:val="center"/>
              <w:rPr>
                <w:rFonts w:cs="Arial"/>
                <w:color w:val="FFFFFF" w:themeColor="background1"/>
                <w:sz w:val="20"/>
                <w:szCs w:val="20"/>
              </w:rPr>
            </w:pPr>
          </w:p>
        </w:tc>
        <w:tc>
          <w:tcPr>
            <w:tcW w:w="1389" w:type="dxa"/>
            <w:shd w:val="clear" w:color="auto" w:fill="064EA8"/>
            <w:vAlign w:val="center"/>
          </w:tcPr>
          <w:p w14:paraId="05415201" w14:textId="77777777" w:rsidR="00E9672B" w:rsidRPr="009E683A" w:rsidRDefault="00E9672B" w:rsidP="00217246">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1</w:t>
            </w:r>
          </w:p>
        </w:tc>
        <w:tc>
          <w:tcPr>
            <w:tcW w:w="1390" w:type="dxa"/>
            <w:shd w:val="clear" w:color="auto" w:fill="064EA8"/>
            <w:vAlign w:val="center"/>
          </w:tcPr>
          <w:p w14:paraId="35F3ABA2" w14:textId="77777777" w:rsidR="00E9672B" w:rsidRPr="009E683A" w:rsidRDefault="00E9672B" w:rsidP="00217246">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2</w:t>
            </w:r>
          </w:p>
        </w:tc>
        <w:tc>
          <w:tcPr>
            <w:tcW w:w="1389" w:type="dxa"/>
            <w:shd w:val="clear" w:color="auto" w:fill="064EA8"/>
            <w:vAlign w:val="center"/>
          </w:tcPr>
          <w:p w14:paraId="600C3353" w14:textId="77777777" w:rsidR="00E9672B" w:rsidRPr="009E683A" w:rsidRDefault="00E9672B" w:rsidP="00217246">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3</w:t>
            </w:r>
          </w:p>
        </w:tc>
        <w:tc>
          <w:tcPr>
            <w:tcW w:w="1390" w:type="dxa"/>
            <w:shd w:val="clear" w:color="auto" w:fill="064EA8"/>
            <w:vAlign w:val="center"/>
          </w:tcPr>
          <w:p w14:paraId="4F19F050" w14:textId="77777777" w:rsidR="00E9672B" w:rsidRPr="009E683A" w:rsidRDefault="00E9672B" w:rsidP="00217246">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4</w:t>
            </w:r>
          </w:p>
        </w:tc>
        <w:tc>
          <w:tcPr>
            <w:tcW w:w="1390" w:type="dxa"/>
            <w:shd w:val="clear" w:color="auto" w:fill="064EA8"/>
            <w:vAlign w:val="center"/>
          </w:tcPr>
          <w:p w14:paraId="3124FBE3" w14:textId="77777777" w:rsidR="00E9672B" w:rsidRPr="009E683A" w:rsidRDefault="00E9672B" w:rsidP="00217246">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5</w:t>
            </w:r>
          </w:p>
        </w:tc>
      </w:tr>
      <w:tr w:rsidR="00E9672B" w14:paraId="761E0F6B" w14:textId="77777777" w:rsidTr="00E9672B">
        <w:tc>
          <w:tcPr>
            <w:tcW w:w="2126" w:type="dxa"/>
            <w:vAlign w:val="center"/>
          </w:tcPr>
          <w:p w14:paraId="18E9B552" w14:textId="77777777" w:rsidR="00E9672B" w:rsidRDefault="00E9672B" w:rsidP="00217246">
            <w:pPr>
              <w:spacing w:before="60" w:after="60" w:line="240" w:lineRule="auto"/>
              <w:ind w:left="0"/>
              <w:rPr>
                <w:rFonts w:cs="Arial"/>
                <w:sz w:val="20"/>
                <w:szCs w:val="20"/>
              </w:rPr>
            </w:pPr>
            <w:r>
              <w:rPr>
                <w:rFonts w:cs="Arial"/>
                <w:sz w:val="20"/>
                <w:szCs w:val="20"/>
              </w:rPr>
              <w:t>213</w:t>
            </w:r>
          </w:p>
        </w:tc>
        <w:tc>
          <w:tcPr>
            <w:tcW w:w="1389" w:type="dxa"/>
            <w:shd w:val="clear" w:color="auto" w:fill="FF0000"/>
            <w:vAlign w:val="center"/>
          </w:tcPr>
          <w:p w14:paraId="58DDC84E" w14:textId="77777777" w:rsidR="00E9672B" w:rsidRPr="00096223" w:rsidRDefault="00E9672B" w:rsidP="00217246">
            <w:pPr>
              <w:spacing w:before="60" w:after="60" w:line="240" w:lineRule="auto"/>
              <w:ind w:left="0"/>
              <w:jc w:val="center"/>
              <w:rPr>
                <w:rFonts w:cs="Arial"/>
                <w:sz w:val="20"/>
                <w:szCs w:val="20"/>
              </w:rPr>
            </w:pPr>
            <w:r>
              <w:rPr>
                <w:rFonts w:cs="Arial"/>
                <w:sz w:val="20"/>
                <w:szCs w:val="20"/>
              </w:rPr>
              <w:t>260</w:t>
            </w:r>
          </w:p>
        </w:tc>
        <w:tc>
          <w:tcPr>
            <w:tcW w:w="1390" w:type="dxa"/>
            <w:vAlign w:val="center"/>
          </w:tcPr>
          <w:p w14:paraId="4F5A370B" w14:textId="77777777" w:rsidR="00E9672B" w:rsidRPr="00096223" w:rsidRDefault="00E9672B" w:rsidP="00217246">
            <w:pPr>
              <w:spacing w:before="60" w:after="60" w:line="240" w:lineRule="auto"/>
              <w:ind w:left="0"/>
              <w:jc w:val="center"/>
              <w:rPr>
                <w:rFonts w:cs="Arial"/>
                <w:sz w:val="20"/>
                <w:szCs w:val="20"/>
              </w:rPr>
            </w:pPr>
            <w:r>
              <w:rPr>
                <w:rFonts w:cs="Arial"/>
                <w:sz w:val="20"/>
                <w:szCs w:val="20"/>
              </w:rPr>
              <w:t>190</w:t>
            </w:r>
          </w:p>
        </w:tc>
        <w:tc>
          <w:tcPr>
            <w:tcW w:w="1389" w:type="dxa"/>
            <w:vAlign w:val="center"/>
          </w:tcPr>
          <w:p w14:paraId="52FE919D" w14:textId="77777777" w:rsidR="00E9672B" w:rsidRPr="00096223" w:rsidRDefault="00E9672B" w:rsidP="00217246">
            <w:pPr>
              <w:spacing w:before="60" w:after="60" w:line="240" w:lineRule="auto"/>
              <w:ind w:left="0"/>
              <w:jc w:val="center"/>
              <w:rPr>
                <w:rFonts w:cs="Arial"/>
                <w:sz w:val="20"/>
                <w:szCs w:val="20"/>
              </w:rPr>
            </w:pPr>
            <w:r>
              <w:rPr>
                <w:rFonts w:cs="Arial"/>
                <w:sz w:val="20"/>
                <w:szCs w:val="20"/>
              </w:rPr>
              <w:t>220</w:t>
            </w:r>
          </w:p>
        </w:tc>
        <w:tc>
          <w:tcPr>
            <w:tcW w:w="1390" w:type="dxa"/>
            <w:vAlign w:val="center"/>
          </w:tcPr>
          <w:p w14:paraId="0B250E1A" w14:textId="77777777" w:rsidR="00E9672B" w:rsidRPr="00096223" w:rsidRDefault="00E9672B" w:rsidP="00217246">
            <w:pPr>
              <w:spacing w:before="60" w:after="60" w:line="240" w:lineRule="auto"/>
              <w:ind w:left="0"/>
              <w:jc w:val="center"/>
              <w:rPr>
                <w:rFonts w:cs="Arial"/>
                <w:sz w:val="20"/>
                <w:szCs w:val="20"/>
              </w:rPr>
            </w:pPr>
            <w:r>
              <w:rPr>
                <w:rFonts w:cs="Arial"/>
                <w:sz w:val="20"/>
                <w:szCs w:val="20"/>
              </w:rPr>
              <w:t>240</w:t>
            </w:r>
          </w:p>
        </w:tc>
        <w:tc>
          <w:tcPr>
            <w:tcW w:w="1390" w:type="dxa"/>
            <w:vAlign w:val="center"/>
          </w:tcPr>
          <w:p w14:paraId="279ABBA9" w14:textId="77777777" w:rsidR="00E9672B" w:rsidRPr="00096223" w:rsidRDefault="00E9672B" w:rsidP="00217246">
            <w:pPr>
              <w:spacing w:before="60" w:after="60" w:line="240" w:lineRule="auto"/>
              <w:ind w:left="0"/>
              <w:jc w:val="center"/>
              <w:rPr>
                <w:rFonts w:cs="Arial"/>
                <w:sz w:val="20"/>
                <w:szCs w:val="20"/>
              </w:rPr>
            </w:pPr>
            <w:r>
              <w:rPr>
                <w:rFonts w:cs="Arial"/>
                <w:sz w:val="20"/>
                <w:szCs w:val="20"/>
              </w:rPr>
              <w:t>210</w:t>
            </w:r>
          </w:p>
        </w:tc>
      </w:tr>
      <w:tr w:rsidR="00E9672B" w14:paraId="3AB07AA0" w14:textId="77777777" w:rsidTr="00E9672B">
        <w:tc>
          <w:tcPr>
            <w:tcW w:w="2126" w:type="dxa"/>
            <w:vAlign w:val="center"/>
          </w:tcPr>
          <w:p w14:paraId="7A427195" w14:textId="77777777" w:rsidR="00E9672B" w:rsidRDefault="00E9672B" w:rsidP="00217246">
            <w:pPr>
              <w:spacing w:before="60" w:after="60" w:line="240" w:lineRule="auto"/>
              <w:ind w:left="0"/>
              <w:rPr>
                <w:rFonts w:cs="Arial"/>
                <w:sz w:val="20"/>
                <w:szCs w:val="20"/>
              </w:rPr>
            </w:pPr>
            <w:r>
              <w:rPr>
                <w:rFonts w:cs="Arial"/>
                <w:sz w:val="20"/>
                <w:szCs w:val="20"/>
              </w:rPr>
              <w:t>212</w:t>
            </w:r>
          </w:p>
        </w:tc>
        <w:tc>
          <w:tcPr>
            <w:tcW w:w="1389" w:type="dxa"/>
            <w:shd w:val="clear" w:color="auto" w:fill="FF0000"/>
            <w:vAlign w:val="center"/>
          </w:tcPr>
          <w:p w14:paraId="620C48C1"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310</w:t>
            </w:r>
          </w:p>
        </w:tc>
        <w:tc>
          <w:tcPr>
            <w:tcW w:w="1390" w:type="dxa"/>
            <w:vAlign w:val="center"/>
          </w:tcPr>
          <w:p w14:paraId="0C4FF60C"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240</w:t>
            </w:r>
          </w:p>
        </w:tc>
        <w:tc>
          <w:tcPr>
            <w:tcW w:w="1389" w:type="dxa"/>
            <w:vAlign w:val="center"/>
          </w:tcPr>
          <w:p w14:paraId="729EED58"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230</w:t>
            </w:r>
          </w:p>
        </w:tc>
        <w:tc>
          <w:tcPr>
            <w:tcW w:w="1390" w:type="dxa"/>
            <w:vAlign w:val="center"/>
          </w:tcPr>
          <w:p w14:paraId="560431A4"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260</w:t>
            </w:r>
          </w:p>
        </w:tc>
        <w:tc>
          <w:tcPr>
            <w:tcW w:w="1390" w:type="dxa"/>
            <w:vAlign w:val="center"/>
          </w:tcPr>
          <w:p w14:paraId="79F15756"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220</w:t>
            </w:r>
          </w:p>
        </w:tc>
      </w:tr>
      <w:tr w:rsidR="00E9672B" w14:paraId="2853278D" w14:textId="77777777" w:rsidTr="00E9672B">
        <w:trPr>
          <w:trHeight w:val="422"/>
        </w:trPr>
        <w:tc>
          <w:tcPr>
            <w:tcW w:w="2126" w:type="dxa"/>
            <w:vAlign w:val="center"/>
          </w:tcPr>
          <w:p w14:paraId="1F5D13AF" w14:textId="77777777" w:rsidR="00E9672B" w:rsidRDefault="00E9672B" w:rsidP="00217246">
            <w:pPr>
              <w:spacing w:before="60" w:after="60" w:line="240" w:lineRule="auto"/>
              <w:ind w:left="0"/>
              <w:rPr>
                <w:rFonts w:cs="Arial"/>
                <w:sz w:val="20"/>
                <w:szCs w:val="20"/>
              </w:rPr>
            </w:pPr>
            <w:r>
              <w:rPr>
                <w:rFonts w:cs="Arial"/>
                <w:sz w:val="20"/>
                <w:szCs w:val="20"/>
              </w:rPr>
              <w:t>211</w:t>
            </w:r>
          </w:p>
        </w:tc>
        <w:tc>
          <w:tcPr>
            <w:tcW w:w="1389" w:type="dxa"/>
            <w:shd w:val="clear" w:color="auto" w:fill="FF0000"/>
            <w:vAlign w:val="center"/>
          </w:tcPr>
          <w:p w14:paraId="50C8E5F5"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380</w:t>
            </w:r>
          </w:p>
        </w:tc>
        <w:tc>
          <w:tcPr>
            <w:tcW w:w="1390" w:type="dxa"/>
            <w:vAlign w:val="center"/>
          </w:tcPr>
          <w:p w14:paraId="462AC97C"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240</w:t>
            </w:r>
          </w:p>
        </w:tc>
        <w:tc>
          <w:tcPr>
            <w:tcW w:w="1389" w:type="dxa"/>
            <w:vAlign w:val="center"/>
          </w:tcPr>
          <w:p w14:paraId="72807FF2"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230</w:t>
            </w:r>
          </w:p>
        </w:tc>
        <w:tc>
          <w:tcPr>
            <w:tcW w:w="1390" w:type="dxa"/>
            <w:vAlign w:val="center"/>
          </w:tcPr>
          <w:p w14:paraId="46B96851"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270</w:t>
            </w:r>
          </w:p>
        </w:tc>
        <w:tc>
          <w:tcPr>
            <w:tcW w:w="1390" w:type="dxa"/>
            <w:vAlign w:val="center"/>
          </w:tcPr>
          <w:p w14:paraId="51E3B993"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230</w:t>
            </w:r>
          </w:p>
        </w:tc>
      </w:tr>
      <w:tr w:rsidR="00E9672B" w14:paraId="14C32BBB" w14:textId="77777777" w:rsidTr="00E9672B">
        <w:tc>
          <w:tcPr>
            <w:tcW w:w="2126" w:type="dxa"/>
            <w:vAlign w:val="center"/>
          </w:tcPr>
          <w:p w14:paraId="19211C53" w14:textId="77777777" w:rsidR="00E9672B" w:rsidRDefault="00E9672B" w:rsidP="00217246">
            <w:pPr>
              <w:spacing w:before="60" w:after="60" w:line="240" w:lineRule="auto"/>
              <w:ind w:left="0"/>
              <w:rPr>
                <w:rFonts w:cs="Arial"/>
                <w:sz w:val="20"/>
                <w:szCs w:val="20"/>
              </w:rPr>
            </w:pPr>
            <w:r>
              <w:rPr>
                <w:rFonts w:cs="Arial"/>
                <w:sz w:val="20"/>
                <w:szCs w:val="20"/>
              </w:rPr>
              <w:t>210</w:t>
            </w:r>
          </w:p>
        </w:tc>
        <w:tc>
          <w:tcPr>
            <w:tcW w:w="1389" w:type="dxa"/>
            <w:shd w:val="clear" w:color="auto" w:fill="FF0000"/>
            <w:vAlign w:val="center"/>
          </w:tcPr>
          <w:p w14:paraId="2648564C"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400</w:t>
            </w:r>
          </w:p>
        </w:tc>
        <w:tc>
          <w:tcPr>
            <w:tcW w:w="1390" w:type="dxa"/>
            <w:vAlign w:val="center"/>
          </w:tcPr>
          <w:p w14:paraId="402379A7"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270</w:t>
            </w:r>
          </w:p>
        </w:tc>
        <w:tc>
          <w:tcPr>
            <w:tcW w:w="1389" w:type="dxa"/>
            <w:vAlign w:val="center"/>
          </w:tcPr>
          <w:p w14:paraId="2BFEBF8E"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280</w:t>
            </w:r>
          </w:p>
        </w:tc>
        <w:tc>
          <w:tcPr>
            <w:tcW w:w="1390" w:type="dxa"/>
            <w:vAlign w:val="center"/>
          </w:tcPr>
          <w:p w14:paraId="670773CA"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270</w:t>
            </w:r>
          </w:p>
        </w:tc>
        <w:tc>
          <w:tcPr>
            <w:tcW w:w="1390" w:type="dxa"/>
            <w:vAlign w:val="center"/>
          </w:tcPr>
          <w:p w14:paraId="23F1F7FB"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240</w:t>
            </w:r>
          </w:p>
        </w:tc>
      </w:tr>
      <w:tr w:rsidR="00E9672B" w14:paraId="570DCF5D" w14:textId="77777777" w:rsidTr="00E9672B">
        <w:trPr>
          <w:trHeight w:val="410"/>
        </w:trPr>
        <w:tc>
          <w:tcPr>
            <w:tcW w:w="2126" w:type="dxa"/>
            <w:vAlign w:val="center"/>
          </w:tcPr>
          <w:p w14:paraId="1E716CB8" w14:textId="77777777" w:rsidR="00E9672B" w:rsidRDefault="00E9672B" w:rsidP="00217246">
            <w:pPr>
              <w:spacing w:before="60" w:after="60" w:line="240" w:lineRule="auto"/>
              <w:ind w:left="0"/>
              <w:rPr>
                <w:rFonts w:cs="Arial"/>
                <w:sz w:val="20"/>
                <w:szCs w:val="20"/>
              </w:rPr>
            </w:pPr>
            <w:r>
              <w:rPr>
                <w:rFonts w:cs="Arial"/>
                <w:sz w:val="20"/>
                <w:szCs w:val="20"/>
              </w:rPr>
              <w:t>209</w:t>
            </w:r>
          </w:p>
        </w:tc>
        <w:tc>
          <w:tcPr>
            <w:tcW w:w="1389" w:type="dxa"/>
            <w:shd w:val="clear" w:color="auto" w:fill="FF0000"/>
            <w:vAlign w:val="center"/>
          </w:tcPr>
          <w:p w14:paraId="006482C6"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400</w:t>
            </w:r>
          </w:p>
        </w:tc>
        <w:tc>
          <w:tcPr>
            <w:tcW w:w="1390" w:type="dxa"/>
            <w:vAlign w:val="center"/>
          </w:tcPr>
          <w:p w14:paraId="2AF994B0"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340</w:t>
            </w:r>
          </w:p>
        </w:tc>
        <w:tc>
          <w:tcPr>
            <w:tcW w:w="1389" w:type="dxa"/>
            <w:vAlign w:val="center"/>
          </w:tcPr>
          <w:p w14:paraId="43C9E49A"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340</w:t>
            </w:r>
          </w:p>
        </w:tc>
        <w:tc>
          <w:tcPr>
            <w:tcW w:w="1390" w:type="dxa"/>
            <w:vAlign w:val="center"/>
          </w:tcPr>
          <w:p w14:paraId="3353C6CE"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280</w:t>
            </w:r>
          </w:p>
        </w:tc>
        <w:tc>
          <w:tcPr>
            <w:tcW w:w="1390" w:type="dxa"/>
            <w:vAlign w:val="center"/>
          </w:tcPr>
          <w:p w14:paraId="2FFEA507" w14:textId="77777777" w:rsidR="00E9672B" w:rsidRPr="009E683A" w:rsidRDefault="00E9672B" w:rsidP="00217246">
            <w:pPr>
              <w:spacing w:before="60" w:after="60" w:line="240" w:lineRule="auto"/>
              <w:ind w:left="0"/>
              <w:jc w:val="center"/>
              <w:rPr>
                <w:rFonts w:cs="Arial"/>
                <w:sz w:val="20"/>
                <w:szCs w:val="20"/>
              </w:rPr>
            </w:pPr>
            <w:r>
              <w:rPr>
                <w:rFonts w:cs="Arial"/>
                <w:sz w:val="20"/>
                <w:szCs w:val="20"/>
              </w:rPr>
              <w:t>240</w:t>
            </w:r>
          </w:p>
        </w:tc>
      </w:tr>
      <w:tr w:rsidR="00E9672B" w14:paraId="4A491FE0" w14:textId="77777777" w:rsidTr="00E9672B">
        <w:trPr>
          <w:trHeight w:val="410"/>
        </w:trPr>
        <w:tc>
          <w:tcPr>
            <w:tcW w:w="2126" w:type="dxa"/>
            <w:vAlign w:val="center"/>
          </w:tcPr>
          <w:p w14:paraId="47D90A1C" w14:textId="77777777" w:rsidR="00E9672B" w:rsidRDefault="00E9672B" w:rsidP="00217246">
            <w:pPr>
              <w:spacing w:before="60" w:after="60" w:line="240" w:lineRule="auto"/>
              <w:ind w:left="0"/>
              <w:rPr>
                <w:rFonts w:cs="Arial"/>
                <w:sz w:val="20"/>
                <w:szCs w:val="20"/>
              </w:rPr>
            </w:pPr>
            <w:r>
              <w:rPr>
                <w:rFonts w:cs="Arial"/>
                <w:sz w:val="20"/>
                <w:szCs w:val="20"/>
              </w:rPr>
              <w:t>202*</w:t>
            </w:r>
          </w:p>
        </w:tc>
        <w:tc>
          <w:tcPr>
            <w:tcW w:w="1389" w:type="dxa"/>
            <w:shd w:val="clear" w:color="auto" w:fill="FF0000"/>
            <w:vAlign w:val="center"/>
          </w:tcPr>
          <w:p w14:paraId="6C65C084" w14:textId="77777777" w:rsidR="00E9672B" w:rsidRPr="00096223" w:rsidRDefault="00E9672B" w:rsidP="00217246">
            <w:pPr>
              <w:spacing w:before="60" w:after="60" w:line="240" w:lineRule="auto"/>
              <w:ind w:left="0"/>
              <w:jc w:val="center"/>
              <w:rPr>
                <w:rFonts w:cs="Arial"/>
                <w:sz w:val="20"/>
                <w:szCs w:val="20"/>
              </w:rPr>
            </w:pPr>
            <w:r>
              <w:rPr>
                <w:rFonts w:cs="Arial"/>
                <w:sz w:val="20"/>
                <w:szCs w:val="20"/>
              </w:rPr>
              <w:t>1,220</w:t>
            </w:r>
          </w:p>
        </w:tc>
        <w:tc>
          <w:tcPr>
            <w:tcW w:w="1390" w:type="dxa"/>
            <w:vAlign w:val="center"/>
          </w:tcPr>
          <w:p w14:paraId="16977AD2" w14:textId="77777777" w:rsidR="00E9672B" w:rsidRPr="00096223" w:rsidRDefault="00E9672B" w:rsidP="00217246">
            <w:pPr>
              <w:spacing w:before="60" w:after="60" w:line="240" w:lineRule="auto"/>
              <w:ind w:left="0"/>
              <w:jc w:val="center"/>
              <w:rPr>
                <w:rFonts w:cs="Arial"/>
                <w:sz w:val="20"/>
                <w:szCs w:val="20"/>
              </w:rPr>
            </w:pPr>
            <w:r>
              <w:rPr>
                <w:rFonts w:cs="Arial"/>
                <w:sz w:val="20"/>
                <w:szCs w:val="20"/>
              </w:rPr>
              <w:t>1,020</w:t>
            </w:r>
          </w:p>
        </w:tc>
        <w:tc>
          <w:tcPr>
            <w:tcW w:w="1389" w:type="dxa"/>
            <w:vAlign w:val="center"/>
          </w:tcPr>
          <w:p w14:paraId="4C4F8F4C" w14:textId="77777777" w:rsidR="00E9672B" w:rsidRPr="00096223" w:rsidRDefault="00E9672B" w:rsidP="00217246">
            <w:pPr>
              <w:spacing w:before="60" w:after="60" w:line="240" w:lineRule="auto"/>
              <w:ind w:left="0"/>
              <w:jc w:val="center"/>
              <w:rPr>
                <w:rFonts w:cs="Arial"/>
                <w:sz w:val="20"/>
                <w:szCs w:val="20"/>
              </w:rPr>
            </w:pPr>
            <w:r>
              <w:rPr>
                <w:rFonts w:cs="Arial"/>
                <w:sz w:val="20"/>
                <w:szCs w:val="20"/>
              </w:rPr>
              <w:t>910</w:t>
            </w:r>
          </w:p>
        </w:tc>
        <w:tc>
          <w:tcPr>
            <w:tcW w:w="1390" w:type="dxa"/>
            <w:vAlign w:val="center"/>
          </w:tcPr>
          <w:p w14:paraId="23393B9D" w14:textId="77777777" w:rsidR="00E9672B" w:rsidRPr="00096223" w:rsidRDefault="00E9672B" w:rsidP="00217246">
            <w:pPr>
              <w:spacing w:before="60" w:after="60" w:line="240" w:lineRule="auto"/>
              <w:ind w:left="0"/>
              <w:jc w:val="center"/>
              <w:rPr>
                <w:rFonts w:cs="Arial"/>
                <w:sz w:val="20"/>
                <w:szCs w:val="20"/>
              </w:rPr>
            </w:pPr>
            <w:r>
              <w:rPr>
                <w:rFonts w:cs="Arial"/>
                <w:sz w:val="20"/>
                <w:szCs w:val="20"/>
              </w:rPr>
              <w:t>830</w:t>
            </w:r>
          </w:p>
        </w:tc>
        <w:tc>
          <w:tcPr>
            <w:tcW w:w="1390" w:type="dxa"/>
            <w:vAlign w:val="center"/>
          </w:tcPr>
          <w:p w14:paraId="65B0CA2D" w14:textId="77777777" w:rsidR="00E9672B" w:rsidRPr="00096223" w:rsidRDefault="00E9672B" w:rsidP="00217246">
            <w:pPr>
              <w:spacing w:before="60" w:after="60" w:line="240" w:lineRule="auto"/>
              <w:ind w:left="0"/>
              <w:jc w:val="center"/>
              <w:rPr>
                <w:rFonts w:cs="Arial"/>
                <w:sz w:val="20"/>
                <w:szCs w:val="20"/>
              </w:rPr>
            </w:pPr>
            <w:r>
              <w:rPr>
                <w:rFonts w:cs="Arial"/>
                <w:sz w:val="20"/>
                <w:szCs w:val="20"/>
              </w:rPr>
              <w:t>540</w:t>
            </w:r>
          </w:p>
        </w:tc>
      </w:tr>
    </w:tbl>
    <w:p w14:paraId="7258B40E" w14:textId="399E4C07" w:rsidR="00E9672B" w:rsidRPr="00CE4340" w:rsidRDefault="00E9672B" w:rsidP="00E9672B">
      <w:pPr>
        <w:ind w:left="0"/>
        <w:rPr>
          <w:sz w:val="22"/>
          <w:szCs w:val="22"/>
        </w:rPr>
      </w:pPr>
      <w:r>
        <w:rPr>
          <w:sz w:val="22"/>
          <w:szCs w:val="22"/>
        </w:rPr>
        <w:t xml:space="preserve">* </w:t>
      </w:r>
      <w:r w:rsidRPr="003A0C99">
        <w:rPr>
          <w:i/>
          <w:sz w:val="18"/>
          <w:szCs w:val="18"/>
        </w:rPr>
        <w:t>Ranges extrapolated using n log(r) + A</w:t>
      </w:r>
      <w:r w:rsidR="008158F4">
        <w:rPr>
          <w:i/>
          <w:sz w:val="18"/>
          <w:szCs w:val="18"/>
        </w:rPr>
        <w:t xml:space="preserve">. The 202 dB re 1uPa threshold resprents the observation by Payne et al (2007) of no effects. </w:t>
      </w:r>
    </w:p>
    <w:p w14:paraId="7640C5BF" w14:textId="5CFBC305" w:rsidR="00E9672B" w:rsidRPr="001D2756" w:rsidRDefault="00E9672B" w:rsidP="00E9672B">
      <w:pPr>
        <w:spacing w:after="240"/>
        <w:ind w:left="0"/>
        <w:rPr>
          <w:i/>
          <w:sz w:val="18"/>
          <w:szCs w:val="18"/>
        </w:rPr>
      </w:pPr>
      <w:r w:rsidRPr="001D2756">
        <w:rPr>
          <w:i/>
          <w:sz w:val="18"/>
          <w:szCs w:val="18"/>
        </w:rPr>
        <w:t>Cells highlighted in red indicate maximum predicted exten</w:t>
      </w:r>
      <w:r w:rsidR="00A24FEE">
        <w:rPr>
          <w:i/>
          <w:sz w:val="18"/>
          <w:szCs w:val="18"/>
        </w:rPr>
        <w:t>t</w:t>
      </w:r>
      <w:r w:rsidRPr="001D2756">
        <w:rPr>
          <w:i/>
          <w:sz w:val="18"/>
          <w:szCs w:val="18"/>
        </w:rPr>
        <w:t xml:space="preserve"> of sound.</w:t>
      </w:r>
    </w:p>
    <w:p w14:paraId="430FBF15" w14:textId="77777777" w:rsidR="00CD583F" w:rsidRDefault="00CD583F" w:rsidP="00CD583F">
      <w:pPr>
        <w:ind w:left="0"/>
        <w:rPr>
          <w:rFonts w:cs="Arial"/>
          <w:sz w:val="22"/>
          <w:szCs w:val="22"/>
        </w:rPr>
      </w:pPr>
    </w:p>
    <w:p w14:paraId="4E226C6F" w14:textId="77777777" w:rsidR="00CD583F" w:rsidRDefault="00CD583F" w:rsidP="00CD583F">
      <w:pPr>
        <w:ind w:left="0"/>
        <w:rPr>
          <w:rFonts w:cs="Arial"/>
          <w:sz w:val="22"/>
          <w:szCs w:val="22"/>
        </w:rPr>
      </w:pPr>
    </w:p>
    <w:p w14:paraId="1DCFAC3F" w14:textId="1AC8F277" w:rsidR="00CD583F" w:rsidRDefault="00CD583F" w:rsidP="00CD583F">
      <w:pPr>
        <w:ind w:left="0"/>
        <w:rPr>
          <w:rFonts w:cs="Arial"/>
          <w:sz w:val="22"/>
          <w:szCs w:val="22"/>
        </w:rPr>
      </w:pPr>
      <w:r w:rsidRPr="00C41138">
        <w:rPr>
          <w:rFonts w:cs="Arial"/>
          <w:sz w:val="22"/>
          <w:szCs w:val="22"/>
        </w:rPr>
        <w:lastRenderedPageBreak/>
        <w:t>Table 7.2</w:t>
      </w:r>
      <w:r w:rsidR="00FC79B0" w:rsidRPr="00C41138">
        <w:rPr>
          <w:rFonts w:cs="Arial"/>
          <w:sz w:val="22"/>
          <w:szCs w:val="22"/>
        </w:rPr>
        <w:t>2</w:t>
      </w:r>
      <w:r w:rsidRPr="00FC79B0">
        <w:rPr>
          <w:rFonts w:cs="Arial"/>
          <w:color w:val="FF0000"/>
          <w:sz w:val="22"/>
          <w:szCs w:val="22"/>
        </w:rPr>
        <w:t xml:space="preserve"> </w:t>
      </w:r>
      <w:r>
        <w:rPr>
          <w:rFonts w:cs="Arial"/>
          <w:sz w:val="22"/>
          <w:szCs w:val="22"/>
        </w:rPr>
        <w:t xml:space="preserve">provides the 24-hour cumulative exposure results for the proposed survey for the three cumulative exposure scenarios, showing the estimated ranges to the seabed isopleths. </w:t>
      </w:r>
      <w:r w:rsidRPr="00194B51">
        <w:rPr>
          <w:rFonts w:cs="Arial"/>
          <w:sz w:val="22"/>
          <w:szCs w:val="22"/>
        </w:rPr>
        <w:t xml:space="preserve">The </w:t>
      </w:r>
      <w:r>
        <w:rPr>
          <w:rFonts w:cs="Arial"/>
          <w:sz w:val="22"/>
          <w:szCs w:val="22"/>
        </w:rPr>
        <w:t>distances</w:t>
      </w:r>
      <w:r w:rsidRPr="00194B51">
        <w:rPr>
          <w:rFonts w:cs="Arial"/>
          <w:sz w:val="22"/>
          <w:szCs w:val="22"/>
        </w:rPr>
        <w:t xml:space="preserve"> represent the perpendicular distance from to the closest survey line to the relevant isopleth</w:t>
      </w:r>
      <w:r>
        <w:rPr>
          <w:rFonts w:cs="Arial"/>
          <w:sz w:val="22"/>
          <w:szCs w:val="22"/>
        </w:rPr>
        <w:t>.</w:t>
      </w:r>
    </w:p>
    <w:p w14:paraId="469E8C6E" w14:textId="77777777" w:rsidR="00194B51" w:rsidRDefault="00194B51" w:rsidP="00C10577">
      <w:pPr>
        <w:ind w:left="0"/>
        <w:rPr>
          <w:sz w:val="22"/>
          <w:szCs w:val="22"/>
        </w:rPr>
      </w:pPr>
    </w:p>
    <w:p w14:paraId="3A23D13B" w14:textId="6947DD1D" w:rsidR="00B877F7" w:rsidRDefault="00B877F7" w:rsidP="00B877F7">
      <w:pPr>
        <w:spacing w:after="120" w:line="240" w:lineRule="auto"/>
        <w:ind w:left="0"/>
        <w:jc w:val="center"/>
        <w:rPr>
          <w:rFonts w:ascii="Tahoma" w:hAnsi="Tahoma" w:cs="Arial"/>
          <w:szCs w:val="20"/>
        </w:rPr>
      </w:pPr>
      <w:r>
        <w:rPr>
          <w:rFonts w:cs="Arial"/>
          <w:b/>
          <w:sz w:val="20"/>
          <w:szCs w:val="20"/>
        </w:rPr>
        <w:t>Table 7.</w:t>
      </w:r>
      <w:r w:rsidR="00F774BF">
        <w:rPr>
          <w:rFonts w:cs="Arial"/>
          <w:b/>
          <w:sz w:val="20"/>
          <w:szCs w:val="20"/>
        </w:rPr>
        <w:t>2</w:t>
      </w:r>
      <w:r w:rsidR="00FC79B0">
        <w:rPr>
          <w:rFonts w:cs="Arial"/>
          <w:b/>
          <w:sz w:val="20"/>
          <w:szCs w:val="20"/>
        </w:rPr>
        <w:t>2</w:t>
      </w:r>
      <w:r>
        <w:rPr>
          <w:rFonts w:cs="Arial"/>
          <w:b/>
          <w:sz w:val="20"/>
          <w:szCs w:val="20"/>
        </w:rPr>
        <w:t>.</w:t>
      </w:r>
      <w:r>
        <w:rPr>
          <w:rFonts w:cs="Arial"/>
          <w:b/>
          <w:sz w:val="20"/>
          <w:szCs w:val="20"/>
        </w:rPr>
        <w:tab/>
        <w:t xml:space="preserve">Horizontal distances </w:t>
      </w:r>
      <w:r w:rsidRPr="008A483F">
        <w:rPr>
          <w:rFonts w:cs="Arial"/>
          <w:b/>
          <w:sz w:val="20"/>
          <w:szCs w:val="20"/>
        </w:rPr>
        <w:t xml:space="preserve">(in km) to </w:t>
      </w:r>
      <w:r>
        <w:rPr>
          <w:rFonts w:cs="Arial"/>
          <w:b/>
          <w:sz w:val="20"/>
          <w:szCs w:val="20"/>
        </w:rPr>
        <w:t xml:space="preserve">seabed </w:t>
      </w:r>
      <w:r w:rsidRPr="008A483F">
        <w:rPr>
          <w:rFonts w:cs="Arial"/>
          <w:b/>
          <w:sz w:val="20"/>
          <w:szCs w:val="20"/>
        </w:rPr>
        <w:t>SEL</w:t>
      </w:r>
      <w:r w:rsidRPr="008A483F">
        <w:rPr>
          <w:rFonts w:cs="Arial"/>
          <w:b/>
          <w:sz w:val="20"/>
          <w:szCs w:val="20"/>
          <w:vertAlign w:val="subscript"/>
        </w:rPr>
        <w:t>24h</w:t>
      </w:r>
      <w:r>
        <w:rPr>
          <w:rFonts w:cs="Arial"/>
          <w:b/>
          <w:sz w:val="20"/>
          <w:szCs w:val="20"/>
          <w:vertAlign w:val="subscript"/>
        </w:rPr>
        <w:t xml:space="preserve">r </w:t>
      </w:r>
      <w:r>
        <w:rPr>
          <w:rFonts w:cs="Arial"/>
          <w:b/>
          <w:sz w:val="20"/>
          <w:szCs w:val="20"/>
        </w:rPr>
        <w:t>isoplethsfor three possible sce</w:t>
      </w:r>
      <w:r w:rsidR="00194B51">
        <w:rPr>
          <w:rFonts w:cs="Arial"/>
          <w:b/>
          <w:sz w:val="20"/>
          <w:szCs w:val="20"/>
        </w:rPr>
        <w:t>n</w:t>
      </w:r>
      <w:r>
        <w:rPr>
          <w:rFonts w:cs="Arial"/>
          <w:b/>
          <w:sz w:val="20"/>
          <w:szCs w:val="20"/>
        </w:rPr>
        <w:t xml:space="preserve">arios within </w:t>
      </w:r>
      <w:r w:rsidRPr="008A483F">
        <w:rPr>
          <w:rFonts w:cs="Arial"/>
          <w:b/>
          <w:sz w:val="20"/>
          <w:szCs w:val="20"/>
        </w:rPr>
        <w:t>the Pelican 3DMSS acquisition area</w:t>
      </w:r>
    </w:p>
    <w:tbl>
      <w:tblPr>
        <w:tblStyle w:val="TableGrid"/>
        <w:tblW w:w="9039" w:type="dxa"/>
        <w:tblLayout w:type="fixed"/>
        <w:tblLook w:val="04A0" w:firstRow="1" w:lastRow="0" w:firstColumn="1" w:lastColumn="0" w:noHBand="0" w:noVBand="1"/>
      </w:tblPr>
      <w:tblGrid>
        <w:gridCol w:w="1809"/>
        <w:gridCol w:w="1205"/>
        <w:gridCol w:w="1205"/>
        <w:gridCol w:w="1205"/>
        <w:gridCol w:w="1205"/>
        <w:gridCol w:w="1205"/>
        <w:gridCol w:w="1205"/>
      </w:tblGrid>
      <w:tr w:rsidR="00D3058C" w14:paraId="607AE0BA" w14:textId="77777777" w:rsidTr="00D3058C">
        <w:trPr>
          <w:trHeight w:val="710"/>
        </w:trPr>
        <w:tc>
          <w:tcPr>
            <w:tcW w:w="1809" w:type="dxa"/>
            <w:vMerge w:val="restart"/>
            <w:shd w:val="clear" w:color="auto" w:fill="064EA8"/>
          </w:tcPr>
          <w:p w14:paraId="31658CB2" w14:textId="6EBEB475" w:rsidR="00D3058C" w:rsidRPr="000D0DBD" w:rsidRDefault="00D3058C" w:rsidP="00194B51">
            <w:pPr>
              <w:spacing w:before="60" w:after="60"/>
              <w:ind w:left="0"/>
              <w:rPr>
                <w:rFonts w:cs="Arial"/>
                <w:color w:val="FFFFFF" w:themeColor="background1"/>
                <w:sz w:val="20"/>
                <w:szCs w:val="20"/>
              </w:rPr>
            </w:pPr>
            <w:r w:rsidRPr="000D0DBD">
              <w:rPr>
                <w:rFonts w:cs="Arial"/>
                <w:color w:val="FFFFFF" w:themeColor="background1"/>
                <w:sz w:val="20"/>
                <w:szCs w:val="20"/>
              </w:rPr>
              <w:t>SEL</w:t>
            </w:r>
            <w:r>
              <w:rPr>
                <w:rFonts w:cs="Arial"/>
                <w:color w:val="FFFFFF" w:themeColor="background1"/>
                <w:sz w:val="20"/>
                <w:szCs w:val="20"/>
                <w:vertAlign w:val="subscript"/>
              </w:rPr>
              <w:t>24h</w:t>
            </w:r>
            <w:r w:rsidRPr="000D0DBD">
              <w:rPr>
                <w:rFonts w:cs="Arial"/>
                <w:color w:val="FFFFFF" w:themeColor="background1"/>
                <w:sz w:val="20"/>
                <w:szCs w:val="20"/>
              </w:rPr>
              <w:t xml:space="preserve"> </w:t>
            </w:r>
            <w:r>
              <w:rPr>
                <w:rFonts w:cs="Arial"/>
                <w:color w:val="FFFFFF" w:themeColor="background1"/>
                <w:sz w:val="20"/>
                <w:szCs w:val="20"/>
              </w:rPr>
              <w:t>isopleth</w:t>
            </w:r>
            <w:r>
              <w:rPr>
                <w:rFonts w:cs="Arial"/>
                <w:color w:val="FFFFFF" w:themeColor="background1"/>
                <w:sz w:val="20"/>
                <w:szCs w:val="20"/>
              </w:rPr>
              <w:br/>
            </w:r>
            <w:r w:rsidRPr="000D0DBD">
              <w:rPr>
                <w:rFonts w:cs="Arial"/>
                <w:color w:val="FFFFFF" w:themeColor="background1"/>
                <w:sz w:val="20"/>
                <w:szCs w:val="20"/>
              </w:rPr>
              <w:t>(</w:t>
            </w:r>
            <w:r>
              <w:rPr>
                <w:rFonts w:cs="Arial"/>
                <w:color w:val="FFFFFF" w:themeColor="background1"/>
                <w:sz w:val="20"/>
                <w:szCs w:val="20"/>
              </w:rPr>
              <w:t>dB</w:t>
            </w:r>
            <w:r w:rsidRPr="000D0DBD">
              <w:rPr>
                <w:rFonts w:cs="Arial"/>
                <w:color w:val="FFFFFF" w:themeColor="background1"/>
                <w:sz w:val="20"/>
                <w:szCs w:val="20"/>
              </w:rPr>
              <w:t xml:space="preserve"> </w:t>
            </w:r>
            <w:r w:rsidRPr="000D0DBD">
              <w:rPr>
                <w:color w:val="FFFFFF" w:themeColor="background1"/>
                <w:sz w:val="20"/>
                <w:szCs w:val="20"/>
              </w:rPr>
              <w:t>re 1 μPa</w:t>
            </w:r>
            <w:r w:rsidRPr="000D0DBD">
              <w:rPr>
                <w:color w:val="FFFFFF" w:themeColor="background1"/>
                <w:sz w:val="20"/>
                <w:szCs w:val="20"/>
                <w:vertAlign w:val="superscript"/>
              </w:rPr>
              <w:t>2</w:t>
            </w:r>
            <w:r>
              <w:rPr>
                <w:color w:val="FFFFFF" w:themeColor="background1"/>
                <w:sz w:val="20"/>
                <w:szCs w:val="20"/>
              </w:rPr>
              <w:t>.s</w:t>
            </w:r>
            <w:r w:rsidRPr="000D0DBD">
              <w:rPr>
                <w:color w:val="FFFFFF" w:themeColor="background1"/>
                <w:sz w:val="20"/>
                <w:szCs w:val="20"/>
              </w:rPr>
              <w:t>)</w:t>
            </w:r>
          </w:p>
        </w:tc>
        <w:tc>
          <w:tcPr>
            <w:tcW w:w="2410" w:type="dxa"/>
            <w:gridSpan w:val="2"/>
            <w:shd w:val="clear" w:color="auto" w:fill="064EA8"/>
          </w:tcPr>
          <w:p w14:paraId="224D52BD" w14:textId="77777777" w:rsidR="00D3058C" w:rsidRPr="000D0DBD" w:rsidRDefault="00D3058C" w:rsidP="00156F76">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Scenario 1</w:t>
            </w:r>
          </w:p>
        </w:tc>
        <w:tc>
          <w:tcPr>
            <w:tcW w:w="2410" w:type="dxa"/>
            <w:gridSpan w:val="2"/>
            <w:shd w:val="clear" w:color="auto" w:fill="064EA8"/>
          </w:tcPr>
          <w:p w14:paraId="0B7F6027" w14:textId="3D2C5CF8" w:rsidR="00D3058C" w:rsidRPr="000D0DBD" w:rsidRDefault="00D3058C" w:rsidP="00D3058C">
            <w:pPr>
              <w:spacing w:before="60" w:after="60"/>
              <w:ind w:left="0"/>
              <w:jc w:val="center"/>
              <w:rPr>
                <w:rFonts w:cs="Arial"/>
                <w:color w:val="FFFFFF" w:themeColor="background1"/>
                <w:sz w:val="20"/>
                <w:szCs w:val="20"/>
              </w:rPr>
            </w:pPr>
            <w:r w:rsidRPr="000D0DBD">
              <w:rPr>
                <w:rFonts w:cs="Arial"/>
                <w:color w:val="FFFFFF" w:themeColor="background1"/>
                <w:sz w:val="20"/>
                <w:szCs w:val="20"/>
              </w:rPr>
              <w:t xml:space="preserve">Scenario 2 </w:t>
            </w:r>
          </w:p>
        </w:tc>
        <w:tc>
          <w:tcPr>
            <w:tcW w:w="2410" w:type="dxa"/>
            <w:gridSpan w:val="2"/>
            <w:shd w:val="clear" w:color="auto" w:fill="064EA8"/>
          </w:tcPr>
          <w:p w14:paraId="30985ED5" w14:textId="69F75E19" w:rsidR="00D3058C" w:rsidRPr="000D0DBD" w:rsidRDefault="00D3058C" w:rsidP="00D3058C">
            <w:pPr>
              <w:spacing w:before="60" w:after="60"/>
              <w:ind w:left="0"/>
              <w:jc w:val="center"/>
              <w:rPr>
                <w:rFonts w:cs="Arial"/>
                <w:color w:val="FFFFFF" w:themeColor="background1"/>
                <w:sz w:val="20"/>
                <w:szCs w:val="20"/>
              </w:rPr>
            </w:pPr>
            <w:r w:rsidRPr="000D0DBD">
              <w:rPr>
                <w:rFonts w:cs="Arial"/>
                <w:color w:val="FFFFFF" w:themeColor="background1"/>
                <w:sz w:val="20"/>
                <w:szCs w:val="20"/>
              </w:rPr>
              <w:t xml:space="preserve">Scenario 3 </w:t>
            </w:r>
          </w:p>
        </w:tc>
      </w:tr>
      <w:tr w:rsidR="00D3058C" w14:paraId="453A6182" w14:textId="77777777" w:rsidTr="00D3058C">
        <w:tc>
          <w:tcPr>
            <w:tcW w:w="1809" w:type="dxa"/>
            <w:vMerge/>
            <w:shd w:val="clear" w:color="auto" w:fill="064EA8"/>
          </w:tcPr>
          <w:p w14:paraId="1F370DCC" w14:textId="77777777" w:rsidR="00D3058C" w:rsidRPr="000D0DBD" w:rsidRDefault="00D3058C" w:rsidP="00156F76">
            <w:pPr>
              <w:spacing w:before="60" w:after="60" w:line="240" w:lineRule="auto"/>
              <w:ind w:left="0"/>
              <w:jc w:val="center"/>
              <w:rPr>
                <w:rFonts w:cs="Arial"/>
                <w:color w:val="FFFFFF" w:themeColor="background1"/>
                <w:sz w:val="20"/>
                <w:szCs w:val="20"/>
              </w:rPr>
            </w:pPr>
          </w:p>
        </w:tc>
        <w:tc>
          <w:tcPr>
            <w:tcW w:w="1205" w:type="dxa"/>
            <w:shd w:val="clear" w:color="auto" w:fill="064EA8"/>
            <w:vAlign w:val="center"/>
          </w:tcPr>
          <w:p w14:paraId="1E191477" w14:textId="77777777" w:rsidR="00D3058C" w:rsidRPr="000D0DBD" w:rsidRDefault="00D3058C" w:rsidP="00156F76">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1205" w:type="dxa"/>
            <w:shd w:val="clear" w:color="auto" w:fill="064EA8"/>
            <w:vAlign w:val="center"/>
          </w:tcPr>
          <w:p w14:paraId="4332EC67" w14:textId="77777777" w:rsidR="00D3058C" w:rsidRPr="000D0DBD" w:rsidRDefault="00D3058C" w:rsidP="00156F76">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c>
          <w:tcPr>
            <w:tcW w:w="1205" w:type="dxa"/>
            <w:shd w:val="clear" w:color="auto" w:fill="064EA8"/>
            <w:vAlign w:val="center"/>
          </w:tcPr>
          <w:p w14:paraId="7E6028E7" w14:textId="77777777" w:rsidR="00D3058C" w:rsidRPr="000D0DBD" w:rsidRDefault="00D3058C" w:rsidP="00156F76">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1205" w:type="dxa"/>
            <w:shd w:val="clear" w:color="auto" w:fill="064EA8"/>
            <w:vAlign w:val="center"/>
          </w:tcPr>
          <w:p w14:paraId="4A0E1E8D" w14:textId="77777777" w:rsidR="00D3058C" w:rsidRPr="000D0DBD" w:rsidRDefault="00D3058C" w:rsidP="00156F76">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c>
          <w:tcPr>
            <w:tcW w:w="1205" w:type="dxa"/>
            <w:shd w:val="clear" w:color="auto" w:fill="064EA8"/>
            <w:vAlign w:val="center"/>
          </w:tcPr>
          <w:p w14:paraId="1AB6F226" w14:textId="77777777" w:rsidR="00D3058C" w:rsidRPr="000D0DBD" w:rsidRDefault="00D3058C" w:rsidP="00156F76">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1205" w:type="dxa"/>
            <w:shd w:val="clear" w:color="auto" w:fill="064EA8"/>
            <w:vAlign w:val="center"/>
          </w:tcPr>
          <w:p w14:paraId="777456FF" w14:textId="77777777" w:rsidR="00D3058C" w:rsidRPr="000D0DBD" w:rsidRDefault="00D3058C" w:rsidP="00156F76">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r>
      <w:tr w:rsidR="00D3058C" w14:paraId="27B12094" w14:textId="77777777" w:rsidTr="00D3058C">
        <w:tc>
          <w:tcPr>
            <w:tcW w:w="1809" w:type="dxa"/>
            <w:vAlign w:val="center"/>
          </w:tcPr>
          <w:p w14:paraId="15722CC4" w14:textId="6530CA2E" w:rsidR="00D3058C" w:rsidRPr="00A03DC1" w:rsidRDefault="00D3058C" w:rsidP="00B877F7">
            <w:pPr>
              <w:spacing w:before="60" w:after="60" w:line="240" w:lineRule="auto"/>
              <w:ind w:left="0"/>
              <w:rPr>
                <w:rFonts w:cs="Arial"/>
                <w:sz w:val="20"/>
                <w:szCs w:val="20"/>
              </w:rPr>
            </w:pPr>
            <w:r w:rsidRPr="00B877F7">
              <w:rPr>
                <w:rFonts w:cs="Arial"/>
                <w:sz w:val="20"/>
                <w:szCs w:val="20"/>
              </w:rPr>
              <w:t>199</w:t>
            </w:r>
          </w:p>
        </w:tc>
        <w:tc>
          <w:tcPr>
            <w:tcW w:w="1205" w:type="dxa"/>
            <w:vAlign w:val="bottom"/>
          </w:tcPr>
          <w:p w14:paraId="582C1160" w14:textId="251DD6C1" w:rsidR="00D3058C" w:rsidRPr="00B877F7" w:rsidRDefault="00D3058C" w:rsidP="00156F76">
            <w:pPr>
              <w:spacing w:before="60" w:after="60" w:line="240" w:lineRule="auto"/>
              <w:ind w:left="0"/>
              <w:jc w:val="center"/>
              <w:rPr>
                <w:rFonts w:cs="Arial"/>
                <w:sz w:val="20"/>
                <w:szCs w:val="20"/>
              </w:rPr>
            </w:pPr>
            <w:r w:rsidRPr="00B877F7">
              <w:rPr>
                <w:rFonts w:cs="Arial"/>
                <w:sz w:val="20"/>
                <w:szCs w:val="20"/>
              </w:rPr>
              <w:t>0.9</w:t>
            </w:r>
            <w:r>
              <w:rPr>
                <w:rFonts w:cs="Arial"/>
                <w:sz w:val="20"/>
                <w:szCs w:val="20"/>
              </w:rPr>
              <w:t>1</w:t>
            </w:r>
          </w:p>
        </w:tc>
        <w:tc>
          <w:tcPr>
            <w:tcW w:w="1205" w:type="dxa"/>
            <w:vAlign w:val="bottom"/>
          </w:tcPr>
          <w:p w14:paraId="2DA3763A" w14:textId="3F8777BA" w:rsidR="00D3058C" w:rsidRPr="00B877F7" w:rsidRDefault="00D3058C" w:rsidP="00156F76">
            <w:pPr>
              <w:spacing w:before="60" w:after="60" w:line="240" w:lineRule="auto"/>
              <w:ind w:left="0"/>
              <w:jc w:val="center"/>
              <w:rPr>
                <w:rFonts w:cs="Arial"/>
                <w:sz w:val="20"/>
                <w:szCs w:val="20"/>
              </w:rPr>
            </w:pPr>
            <w:r>
              <w:rPr>
                <w:rFonts w:cs="Arial"/>
                <w:sz w:val="20"/>
                <w:szCs w:val="20"/>
              </w:rPr>
              <w:t>117</w:t>
            </w:r>
          </w:p>
        </w:tc>
        <w:tc>
          <w:tcPr>
            <w:tcW w:w="1205" w:type="dxa"/>
            <w:vAlign w:val="bottom"/>
          </w:tcPr>
          <w:p w14:paraId="41929609" w14:textId="61A1B28E" w:rsidR="00D3058C" w:rsidRPr="00B877F7" w:rsidRDefault="00D3058C" w:rsidP="00156F76">
            <w:pPr>
              <w:spacing w:before="60" w:after="60" w:line="240" w:lineRule="auto"/>
              <w:ind w:left="0"/>
              <w:jc w:val="center"/>
              <w:rPr>
                <w:rFonts w:cs="Arial"/>
                <w:sz w:val="20"/>
                <w:szCs w:val="20"/>
              </w:rPr>
            </w:pPr>
            <w:r>
              <w:rPr>
                <w:rFonts w:cs="Arial"/>
                <w:sz w:val="20"/>
                <w:szCs w:val="20"/>
              </w:rPr>
              <w:t>1.73</w:t>
            </w:r>
          </w:p>
        </w:tc>
        <w:tc>
          <w:tcPr>
            <w:tcW w:w="1205" w:type="dxa"/>
            <w:vAlign w:val="bottom"/>
          </w:tcPr>
          <w:p w14:paraId="2F92BCB9" w14:textId="50A29CAA" w:rsidR="00D3058C" w:rsidRPr="00B877F7" w:rsidRDefault="00D3058C" w:rsidP="00156F76">
            <w:pPr>
              <w:spacing w:before="60" w:after="60" w:line="240" w:lineRule="auto"/>
              <w:ind w:left="0"/>
              <w:jc w:val="center"/>
              <w:rPr>
                <w:rFonts w:cs="Arial"/>
                <w:sz w:val="20"/>
                <w:szCs w:val="20"/>
              </w:rPr>
            </w:pPr>
            <w:r>
              <w:rPr>
                <w:rFonts w:cs="Arial"/>
                <w:sz w:val="20"/>
                <w:szCs w:val="20"/>
              </w:rPr>
              <w:t>59.8</w:t>
            </w:r>
          </w:p>
        </w:tc>
        <w:tc>
          <w:tcPr>
            <w:tcW w:w="1205" w:type="dxa"/>
            <w:vAlign w:val="bottom"/>
          </w:tcPr>
          <w:p w14:paraId="2B5EDCCD" w14:textId="054EA2FC" w:rsidR="00D3058C" w:rsidRPr="00B877F7" w:rsidRDefault="00D3058C" w:rsidP="00156F76">
            <w:pPr>
              <w:spacing w:before="60" w:after="60" w:line="240" w:lineRule="auto"/>
              <w:ind w:left="0"/>
              <w:jc w:val="center"/>
              <w:rPr>
                <w:rFonts w:cs="Arial"/>
                <w:sz w:val="20"/>
                <w:szCs w:val="20"/>
              </w:rPr>
            </w:pPr>
            <w:r>
              <w:rPr>
                <w:rFonts w:cs="Arial"/>
                <w:sz w:val="20"/>
                <w:szCs w:val="20"/>
              </w:rPr>
              <w:t>1.16</w:t>
            </w:r>
          </w:p>
        </w:tc>
        <w:tc>
          <w:tcPr>
            <w:tcW w:w="1205" w:type="dxa"/>
            <w:vAlign w:val="bottom"/>
          </w:tcPr>
          <w:p w14:paraId="714964E9" w14:textId="18338F47" w:rsidR="00D3058C" w:rsidRPr="00B877F7" w:rsidRDefault="00D3058C" w:rsidP="00156F76">
            <w:pPr>
              <w:spacing w:before="60" w:after="60" w:line="240" w:lineRule="auto"/>
              <w:ind w:left="0"/>
              <w:jc w:val="center"/>
              <w:rPr>
                <w:rFonts w:cs="Arial"/>
                <w:sz w:val="20"/>
                <w:szCs w:val="20"/>
              </w:rPr>
            </w:pPr>
            <w:r>
              <w:rPr>
                <w:rFonts w:cs="Arial"/>
                <w:sz w:val="20"/>
                <w:szCs w:val="20"/>
              </w:rPr>
              <w:t>58.4</w:t>
            </w:r>
          </w:p>
        </w:tc>
      </w:tr>
      <w:tr w:rsidR="00D3058C" w14:paraId="5D512577" w14:textId="77777777" w:rsidTr="00D3058C">
        <w:tc>
          <w:tcPr>
            <w:tcW w:w="1809" w:type="dxa"/>
            <w:vAlign w:val="center"/>
          </w:tcPr>
          <w:p w14:paraId="752FDE4B" w14:textId="5440E72F" w:rsidR="00D3058C" w:rsidRPr="00A03DC1" w:rsidRDefault="00D3058C" w:rsidP="00B877F7">
            <w:pPr>
              <w:spacing w:before="60" w:after="60" w:line="240" w:lineRule="auto"/>
              <w:ind w:left="0"/>
              <w:rPr>
                <w:rFonts w:cs="Arial"/>
                <w:sz w:val="20"/>
                <w:szCs w:val="20"/>
              </w:rPr>
            </w:pPr>
            <w:r w:rsidRPr="00B877F7">
              <w:rPr>
                <w:rFonts w:cs="Arial"/>
                <w:sz w:val="20"/>
                <w:szCs w:val="20"/>
              </w:rPr>
              <w:t>198</w:t>
            </w:r>
          </w:p>
        </w:tc>
        <w:tc>
          <w:tcPr>
            <w:tcW w:w="1205" w:type="dxa"/>
            <w:vAlign w:val="bottom"/>
          </w:tcPr>
          <w:p w14:paraId="486FD5D0" w14:textId="7DA9826F" w:rsidR="00D3058C" w:rsidRPr="00A03DC1" w:rsidRDefault="00D3058C" w:rsidP="00156F76">
            <w:pPr>
              <w:spacing w:before="60" w:after="60" w:line="240" w:lineRule="auto"/>
              <w:ind w:left="0"/>
              <w:jc w:val="center"/>
              <w:rPr>
                <w:rFonts w:cs="Arial"/>
                <w:sz w:val="20"/>
                <w:szCs w:val="20"/>
              </w:rPr>
            </w:pPr>
            <w:r>
              <w:rPr>
                <w:rFonts w:cs="Arial"/>
                <w:sz w:val="20"/>
                <w:szCs w:val="20"/>
              </w:rPr>
              <w:t>0.92</w:t>
            </w:r>
          </w:p>
        </w:tc>
        <w:tc>
          <w:tcPr>
            <w:tcW w:w="1205" w:type="dxa"/>
            <w:vAlign w:val="bottom"/>
          </w:tcPr>
          <w:p w14:paraId="056A5C11" w14:textId="1A3D6EB8" w:rsidR="00D3058C" w:rsidRPr="00A03DC1" w:rsidRDefault="00D3058C" w:rsidP="00156F76">
            <w:pPr>
              <w:spacing w:before="60" w:after="60" w:line="240" w:lineRule="auto"/>
              <w:ind w:left="0"/>
              <w:jc w:val="center"/>
              <w:rPr>
                <w:rFonts w:cs="Arial"/>
                <w:sz w:val="20"/>
                <w:szCs w:val="20"/>
              </w:rPr>
            </w:pPr>
            <w:r>
              <w:rPr>
                <w:rFonts w:cs="Arial"/>
                <w:sz w:val="20"/>
                <w:szCs w:val="20"/>
              </w:rPr>
              <w:t>133</w:t>
            </w:r>
          </w:p>
        </w:tc>
        <w:tc>
          <w:tcPr>
            <w:tcW w:w="1205" w:type="dxa"/>
            <w:vAlign w:val="bottom"/>
          </w:tcPr>
          <w:p w14:paraId="050377A2" w14:textId="2DE09299" w:rsidR="00D3058C" w:rsidRPr="00A03DC1" w:rsidRDefault="00D3058C" w:rsidP="00156F76">
            <w:pPr>
              <w:spacing w:before="60" w:after="60" w:line="240" w:lineRule="auto"/>
              <w:ind w:left="0"/>
              <w:jc w:val="center"/>
              <w:rPr>
                <w:rFonts w:cs="Arial"/>
                <w:sz w:val="20"/>
                <w:szCs w:val="20"/>
              </w:rPr>
            </w:pPr>
            <w:r>
              <w:rPr>
                <w:rFonts w:cs="Arial"/>
                <w:sz w:val="20"/>
                <w:szCs w:val="20"/>
              </w:rPr>
              <w:t>2.05</w:t>
            </w:r>
          </w:p>
        </w:tc>
        <w:tc>
          <w:tcPr>
            <w:tcW w:w="1205" w:type="dxa"/>
            <w:vAlign w:val="bottom"/>
          </w:tcPr>
          <w:p w14:paraId="711140DD" w14:textId="7905DE42" w:rsidR="00D3058C" w:rsidRPr="00A03DC1" w:rsidRDefault="00D3058C" w:rsidP="00156F76">
            <w:pPr>
              <w:spacing w:before="60" w:after="60" w:line="240" w:lineRule="auto"/>
              <w:ind w:left="0"/>
              <w:jc w:val="center"/>
              <w:rPr>
                <w:rFonts w:cs="Arial"/>
                <w:sz w:val="20"/>
                <w:szCs w:val="20"/>
              </w:rPr>
            </w:pPr>
            <w:r>
              <w:rPr>
                <w:rFonts w:cs="Arial"/>
                <w:sz w:val="20"/>
                <w:szCs w:val="20"/>
              </w:rPr>
              <w:t>67.1</w:t>
            </w:r>
          </w:p>
        </w:tc>
        <w:tc>
          <w:tcPr>
            <w:tcW w:w="1205" w:type="dxa"/>
            <w:vAlign w:val="bottom"/>
          </w:tcPr>
          <w:p w14:paraId="3DF25546" w14:textId="0C8D71FC" w:rsidR="00D3058C" w:rsidRPr="00A03DC1" w:rsidRDefault="00D3058C" w:rsidP="00156F76">
            <w:pPr>
              <w:spacing w:before="60" w:after="60" w:line="240" w:lineRule="auto"/>
              <w:ind w:left="0"/>
              <w:jc w:val="center"/>
              <w:rPr>
                <w:rFonts w:cs="Arial"/>
                <w:sz w:val="20"/>
                <w:szCs w:val="20"/>
              </w:rPr>
            </w:pPr>
            <w:r>
              <w:rPr>
                <w:rFonts w:cs="Arial"/>
                <w:sz w:val="20"/>
                <w:szCs w:val="20"/>
              </w:rPr>
              <w:t>1.39</w:t>
            </w:r>
          </w:p>
        </w:tc>
        <w:tc>
          <w:tcPr>
            <w:tcW w:w="1205" w:type="dxa"/>
            <w:vAlign w:val="bottom"/>
          </w:tcPr>
          <w:p w14:paraId="14BE22FE" w14:textId="0886C2FC" w:rsidR="00D3058C" w:rsidRPr="00A03DC1" w:rsidRDefault="00D3058C" w:rsidP="00156F76">
            <w:pPr>
              <w:spacing w:before="60" w:after="60" w:line="240" w:lineRule="auto"/>
              <w:ind w:left="0"/>
              <w:jc w:val="center"/>
              <w:rPr>
                <w:rFonts w:cs="Arial"/>
                <w:sz w:val="20"/>
                <w:szCs w:val="20"/>
              </w:rPr>
            </w:pPr>
            <w:r>
              <w:rPr>
                <w:rFonts w:cs="Arial"/>
                <w:sz w:val="20"/>
                <w:szCs w:val="20"/>
              </w:rPr>
              <w:t>64.6</w:t>
            </w:r>
          </w:p>
        </w:tc>
      </w:tr>
      <w:tr w:rsidR="00D3058C" w14:paraId="317FAD86" w14:textId="77777777" w:rsidTr="00D3058C">
        <w:tc>
          <w:tcPr>
            <w:tcW w:w="1809" w:type="dxa"/>
            <w:vAlign w:val="center"/>
          </w:tcPr>
          <w:p w14:paraId="0C108050" w14:textId="5FB728DD" w:rsidR="00D3058C" w:rsidRPr="00B877F7" w:rsidRDefault="00D3058C" w:rsidP="00B877F7">
            <w:pPr>
              <w:spacing w:before="60" w:after="60" w:line="240" w:lineRule="auto"/>
              <w:ind w:left="0"/>
              <w:rPr>
                <w:rFonts w:cs="Arial"/>
                <w:sz w:val="20"/>
                <w:szCs w:val="20"/>
              </w:rPr>
            </w:pPr>
            <w:r w:rsidRPr="00B877F7">
              <w:rPr>
                <w:rFonts w:cs="Arial"/>
                <w:sz w:val="20"/>
                <w:szCs w:val="20"/>
              </w:rPr>
              <w:t>197</w:t>
            </w:r>
          </w:p>
        </w:tc>
        <w:tc>
          <w:tcPr>
            <w:tcW w:w="1205" w:type="dxa"/>
            <w:vAlign w:val="bottom"/>
          </w:tcPr>
          <w:p w14:paraId="70173555" w14:textId="4FEFF07C" w:rsidR="00D3058C" w:rsidRDefault="00D3058C" w:rsidP="00156F76">
            <w:pPr>
              <w:spacing w:before="60" w:after="60" w:line="240" w:lineRule="auto"/>
              <w:ind w:left="0"/>
              <w:jc w:val="center"/>
              <w:rPr>
                <w:rFonts w:cs="Arial"/>
                <w:sz w:val="20"/>
                <w:szCs w:val="20"/>
              </w:rPr>
            </w:pPr>
            <w:r>
              <w:rPr>
                <w:rFonts w:cs="Arial"/>
                <w:sz w:val="20"/>
                <w:szCs w:val="20"/>
              </w:rPr>
              <w:t>0.98</w:t>
            </w:r>
          </w:p>
        </w:tc>
        <w:tc>
          <w:tcPr>
            <w:tcW w:w="1205" w:type="dxa"/>
            <w:vAlign w:val="bottom"/>
          </w:tcPr>
          <w:p w14:paraId="4565E787" w14:textId="2AA5EE97" w:rsidR="00D3058C" w:rsidRDefault="00D3058C" w:rsidP="00156F76">
            <w:pPr>
              <w:spacing w:before="60" w:after="60" w:line="240" w:lineRule="auto"/>
              <w:ind w:left="0"/>
              <w:jc w:val="center"/>
              <w:rPr>
                <w:rFonts w:cs="Arial"/>
                <w:sz w:val="20"/>
                <w:szCs w:val="20"/>
              </w:rPr>
            </w:pPr>
            <w:r>
              <w:rPr>
                <w:rFonts w:cs="Arial"/>
                <w:sz w:val="20"/>
                <w:szCs w:val="20"/>
              </w:rPr>
              <w:t>148</w:t>
            </w:r>
          </w:p>
        </w:tc>
        <w:tc>
          <w:tcPr>
            <w:tcW w:w="1205" w:type="dxa"/>
            <w:vAlign w:val="bottom"/>
          </w:tcPr>
          <w:p w14:paraId="42CD20E9" w14:textId="693C09FE" w:rsidR="00D3058C" w:rsidRDefault="00D3058C" w:rsidP="00156F76">
            <w:pPr>
              <w:spacing w:before="60" w:after="60" w:line="240" w:lineRule="auto"/>
              <w:ind w:left="0"/>
              <w:jc w:val="center"/>
              <w:rPr>
                <w:rFonts w:cs="Arial"/>
                <w:sz w:val="20"/>
                <w:szCs w:val="20"/>
              </w:rPr>
            </w:pPr>
            <w:r>
              <w:rPr>
                <w:rFonts w:cs="Arial"/>
                <w:sz w:val="20"/>
                <w:szCs w:val="20"/>
              </w:rPr>
              <w:t>2.39</w:t>
            </w:r>
          </w:p>
        </w:tc>
        <w:tc>
          <w:tcPr>
            <w:tcW w:w="1205" w:type="dxa"/>
            <w:vAlign w:val="bottom"/>
          </w:tcPr>
          <w:p w14:paraId="527456FF" w14:textId="74116B79" w:rsidR="00D3058C" w:rsidRDefault="00D3058C" w:rsidP="00156F76">
            <w:pPr>
              <w:spacing w:before="60" w:after="60" w:line="240" w:lineRule="auto"/>
              <w:ind w:left="0"/>
              <w:jc w:val="center"/>
              <w:rPr>
                <w:rFonts w:cs="Arial"/>
                <w:sz w:val="20"/>
                <w:szCs w:val="20"/>
              </w:rPr>
            </w:pPr>
            <w:r>
              <w:rPr>
                <w:rFonts w:cs="Arial"/>
                <w:sz w:val="20"/>
                <w:szCs w:val="20"/>
              </w:rPr>
              <w:t>74.9</w:t>
            </w:r>
          </w:p>
        </w:tc>
        <w:tc>
          <w:tcPr>
            <w:tcW w:w="1205" w:type="dxa"/>
            <w:vAlign w:val="bottom"/>
          </w:tcPr>
          <w:p w14:paraId="543A51FF" w14:textId="74780D05" w:rsidR="00D3058C" w:rsidRDefault="00D3058C" w:rsidP="00156F76">
            <w:pPr>
              <w:spacing w:before="60" w:after="60" w:line="240" w:lineRule="auto"/>
              <w:ind w:left="0"/>
              <w:jc w:val="center"/>
              <w:rPr>
                <w:rFonts w:cs="Arial"/>
                <w:sz w:val="20"/>
                <w:szCs w:val="20"/>
              </w:rPr>
            </w:pPr>
            <w:r>
              <w:rPr>
                <w:rFonts w:cs="Arial"/>
                <w:sz w:val="20"/>
                <w:szCs w:val="20"/>
              </w:rPr>
              <w:t>1.94</w:t>
            </w:r>
          </w:p>
        </w:tc>
        <w:tc>
          <w:tcPr>
            <w:tcW w:w="1205" w:type="dxa"/>
            <w:vAlign w:val="bottom"/>
          </w:tcPr>
          <w:p w14:paraId="5C6889EA" w14:textId="70B91019" w:rsidR="00D3058C" w:rsidRDefault="00D3058C" w:rsidP="00156F76">
            <w:pPr>
              <w:spacing w:before="60" w:after="60" w:line="240" w:lineRule="auto"/>
              <w:ind w:left="0"/>
              <w:jc w:val="center"/>
              <w:rPr>
                <w:rFonts w:cs="Arial"/>
                <w:sz w:val="20"/>
                <w:szCs w:val="20"/>
              </w:rPr>
            </w:pPr>
            <w:r>
              <w:rPr>
                <w:rFonts w:cs="Arial"/>
                <w:sz w:val="20"/>
                <w:szCs w:val="20"/>
              </w:rPr>
              <w:t>71.2</w:t>
            </w:r>
          </w:p>
        </w:tc>
      </w:tr>
      <w:tr w:rsidR="00D3058C" w14:paraId="36DE952F" w14:textId="77777777" w:rsidTr="00D3058C">
        <w:tc>
          <w:tcPr>
            <w:tcW w:w="1809" w:type="dxa"/>
            <w:vAlign w:val="center"/>
          </w:tcPr>
          <w:p w14:paraId="268D9EA7" w14:textId="747C130D" w:rsidR="00D3058C" w:rsidRPr="00B877F7" w:rsidRDefault="00D3058C" w:rsidP="00B877F7">
            <w:pPr>
              <w:spacing w:before="60" w:after="60" w:line="240" w:lineRule="auto"/>
              <w:ind w:left="0"/>
              <w:rPr>
                <w:rFonts w:cs="Arial"/>
                <w:sz w:val="20"/>
                <w:szCs w:val="20"/>
              </w:rPr>
            </w:pPr>
            <w:r w:rsidRPr="00B877F7">
              <w:rPr>
                <w:rFonts w:cs="Arial"/>
                <w:sz w:val="20"/>
                <w:szCs w:val="20"/>
              </w:rPr>
              <w:t>196</w:t>
            </w:r>
          </w:p>
        </w:tc>
        <w:tc>
          <w:tcPr>
            <w:tcW w:w="1205" w:type="dxa"/>
            <w:vAlign w:val="bottom"/>
          </w:tcPr>
          <w:p w14:paraId="220C2FE1" w14:textId="0E222837" w:rsidR="00D3058C" w:rsidRDefault="00D3058C" w:rsidP="00156F76">
            <w:pPr>
              <w:spacing w:before="60" w:after="60" w:line="240" w:lineRule="auto"/>
              <w:ind w:left="0"/>
              <w:jc w:val="center"/>
              <w:rPr>
                <w:rFonts w:cs="Arial"/>
                <w:sz w:val="20"/>
                <w:szCs w:val="20"/>
              </w:rPr>
            </w:pPr>
            <w:r>
              <w:rPr>
                <w:rFonts w:cs="Arial"/>
                <w:sz w:val="20"/>
                <w:szCs w:val="20"/>
              </w:rPr>
              <w:t>1.16</w:t>
            </w:r>
          </w:p>
        </w:tc>
        <w:tc>
          <w:tcPr>
            <w:tcW w:w="1205" w:type="dxa"/>
            <w:vAlign w:val="bottom"/>
          </w:tcPr>
          <w:p w14:paraId="4895A1F4" w14:textId="0858AC7D" w:rsidR="00D3058C" w:rsidRDefault="00D3058C" w:rsidP="00156F76">
            <w:pPr>
              <w:spacing w:before="60" w:after="60" w:line="240" w:lineRule="auto"/>
              <w:ind w:left="0"/>
              <w:jc w:val="center"/>
              <w:rPr>
                <w:rFonts w:cs="Arial"/>
                <w:sz w:val="20"/>
                <w:szCs w:val="20"/>
              </w:rPr>
            </w:pPr>
            <w:r>
              <w:rPr>
                <w:rFonts w:cs="Arial"/>
                <w:sz w:val="20"/>
                <w:szCs w:val="20"/>
              </w:rPr>
              <w:t>158</w:t>
            </w:r>
          </w:p>
        </w:tc>
        <w:tc>
          <w:tcPr>
            <w:tcW w:w="1205" w:type="dxa"/>
            <w:vAlign w:val="bottom"/>
          </w:tcPr>
          <w:p w14:paraId="4C3A1B65" w14:textId="070923D2" w:rsidR="00D3058C" w:rsidRDefault="00D3058C" w:rsidP="00156F76">
            <w:pPr>
              <w:spacing w:before="60" w:after="60" w:line="240" w:lineRule="auto"/>
              <w:ind w:left="0"/>
              <w:jc w:val="center"/>
              <w:rPr>
                <w:rFonts w:cs="Arial"/>
                <w:sz w:val="20"/>
                <w:szCs w:val="20"/>
              </w:rPr>
            </w:pPr>
            <w:r>
              <w:rPr>
                <w:rFonts w:cs="Arial"/>
                <w:sz w:val="20"/>
                <w:szCs w:val="20"/>
              </w:rPr>
              <w:t>2.74</w:t>
            </w:r>
          </w:p>
        </w:tc>
        <w:tc>
          <w:tcPr>
            <w:tcW w:w="1205" w:type="dxa"/>
            <w:vAlign w:val="bottom"/>
          </w:tcPr>
          <w:p w14:paraId="6C39C59C" w14:textId="1F3D823E" w:rsidR="00D3058C" w:rsidRDefault="00D3058C" w:rsidP="00156F76">
            <w:pPr>
              <w:spacing w:before="60" w:after="60" w:line="240" w:lineRule="auto"/>
              <w:ind w:left="0"/>
              <w:jc w:val="center"/>
              <w:rPr>
                <w:rFonts w:cs="Arial"/>
                <w:sz w:val="20"/>
                <w:szCs w:val="20"/>
              </w:rPr>
            </w:pPr>
            <w:r>
              <w:rPr>
                <w:rFonts w:cs="Arial"/>
                <w:sz w:val="20"/>
                <w:szCs w:val="20"/>
              </w:rPr>
              <w:t>83.3</w:t>
            </w:r>
          </w:p>
        </w:tc>
        <w:tc>
          <w:tcPr>
            <w:tcW w:w="1205" w:type="dxa"/>
            <w:vAlign w:val="bottom"/>
          </w:tcPr>
          <w:p w14:paraId="7F5EDC4B" w14:textId="74811513" w:rsidR="00D3058C" w:rsidRDefault="00D3058C" w:rsidP="00156F76">
            <w:pPr>
              <w:spacing w:before="60" w:after="60" w:line="240" w:lineRule="auto"/>
              <w:ind w:left="0"/>
              <w:jc w:val="center"/>
              <w:rPr>
                <w:rFonts w:cs="Arial"/>
                <w:sz w:val="20"/>
                <w:szCs w:val="20"/>
              </w:rPr>
            </w:pPr>
            <w:r>
              <w:rPr>
                <w:rFonts w:cs="Arial"/>
                <w:sz w:val="20"/>
                <w:szCs w:val="20"/>
              </w:rPr>
              <w:t>2.26</w:t>
            </w:r>
          </w:p>
        </w:tc>
        <w:tc>
          <w:tcPr>
            <w:tcW w:w="1205" w:type="dxa"/>
            <w:vAlign w:val="bottom"/>
          </w:tcPr>
          <w:p w14:paraId="7536155D" w14:textId="3D48EEF3" w:rsidR="00D3058C" w:rsidRDefault="00D3058C" w:rsidP="00156F76">
            <w:pPr>
              <w:spacing w:before="60" w:after="60" w:line="240" w:lineRule="auto"/>
              <w:ind w:left="0"/>
              <w:jc w:val="center"/>
              <w:rPr>
                <w:rFonts w:cs="Arial"/>
                <w:sz w:val="20"/>
                <w:szCs w:val="20"/>
              </w:rPr>
            </w:pPr>
            <w:r>
              <w:rPr>
                <w:rFonts w:cs="Arial"/>
                <w:sz w:val="20"/>
                <w:szCs w:val="20"/>
              </w:rPr>
              <w:t>78.5</w:t>
            </w:r>
          </w:p>
        </w:tc>
      </w:tr>
      <w:tr w:rsidR="00D3058C" w14:paraId="0E173789" w14:textId="77777777" w:rsidTr="00D3058C">
        <w:tc>
          <w:tcPr>
            <w:tcW w:w="1809" w:type="dxa"/>
            <w:vAlign w:val="center"/>
          </w:tcPr>
          <w:p w14:paraId="2180A24F" w14:textId="17B2488F" w:rsidR="00D3058C" w:rsidRPr="00B877F7" w:rsidRDefault="00D3058C" w:rsidP="00B877F7">
            <w:pPr>
              <w:spacing w:before="60" w:after="60" w:line="240" w:lineRule="auto"/>
              <w:ind w:left="0"/>
              <w:rPr>
                <w:rFonts w:cs="Arial"/>
                <w:sz w:val="20"/>
                <w:szCs w:val="20"/>
              </w:rPr>
            </w:pPr>
            <w:r w:rsidRPr="00B877F7">
              <w:rPr>
                <w:rFonts w:cs="Arial"/>
                <w:sz w:val="20"/>
                <w:szCs w:val="20"/>
              </w:rPr>
              <w:t>195</w:t>
            </w:r>
          </w:p>
        </w:tc>
        <w:tc>
          <w:tcPr>
            <w:tcW w:w="1205" w:type="dxa"/>
            <w:vAlign w:val="bottom"/>
          </w:tcPr>
          <w:p w14:paraId="5EDF78C7" w14:textId="537EBAD5" w:rsidR="00D3058C" w:rsidRDefault="00D3058C" w:rsidP="00156F76">
            <w:pPr>
              <w:spacing w:before="60" w:after="60" w:line="240" w:lineRule="auto"/>
              <w:ind w:left="0"/>
              <w:jc w:val="center"/>
              <w:rPr>
                <w:rFonts w:cs="Arial"/>
                <w:sz w:val="20"/>
                <w:szCs w:val="20"/>
              </w:rPr>
            </w:pPr>
            <w:r>
              <w:rPr>
                <w:rFonts w:cs="Arial"/>
                <w:sz w:val="20"/>
                <w:szCs w:val="20"/>
              </w:rPr>
              <w:t>1.4</w:t>
            </w:r>
          </w:p>
        </w:tc>
        <w:tc>
          <w:tcPr>
            <w:tcW w:w="1205" w:type="dxa"/>
            <w:vAlign w:val="bottom"/>
          </w:tcPr>
          <w:p w14:paraId="3E296075" w14:textId="4D178AD6" w:rsidR="00D3058C" w:rsidRDefault="00D3058C" w:rsidP="00156F76">
            <w:pPr>
              <w:spacing w:before="60" w:after="60" w:line="240" w:lineRule="auto"/>
              <w:ind w:left="0"/>
              <w:jc w:val="center"/>
              <w:rPr>
                <w:rFonts w:cs="Arial"/>
                <w:sz w:val="20"/>
                <w:szCs w:val="20"/>
              </w:rPr>
            </w:pPr>
            <w:r>
              <w:rPr>
                <w:rFonts w:cs="Arial"/>
                <w:sz w:val="20"/>
                <w:szCs w:val="20"/>
              </w:rPr>
              <w:t>168</w:t>
            </w:r>
          </w:p>
        </w:tc>
        <w:tc>
          <w:tcPr>
            <w:tcW w:w="1205" w:type="dxa"/>
            <w:vAlign w:val="bottom"/>
          </w:tcPr>
          <w:p w14:paraId="68EA8CE8" w14:textId="45DE61BD" w:rsidR="00D3058C" w:rsidRDefault="00D3058C" w:rsidP="00156F76">
            <w:pPr>
              <w:spacing w:before="60" w:after="60" w:line="240" w:lineRule="auto"/>
              <w:ind w:left="0"/>
              <w:jc w:val="center"/>
              <w:rPr>
                <w:rFonts w:cs="Arial"/>
                <w:sz w:val="20"/>
                <w:szCs w:val="20"/>
              </w:rPr>
            </w:pPr>
            <w:r>
              <w:rPr>
                <w:rFonts w:cs="Arial"/>
                <w:sz w:val="20"/>
                <w:szCs w:val="20"/>
              </w:rPr>
              <w:t>3.13</w:t>
            </w:r>
          </w:p>
        </w:tc>
        <w:tc>
          <w:tcPr>
            <w:tcW w:w="1205" w:type="dxa"/>
            <w:vAlign w:val="bottom"/>
          </w:tcPr>
          <w:p w14:paraId="092C9E17" w14:textId="270496C9" w:rsidR="00D3058C" w:rsidRDefault="00D3058C" w:rsidP="00156F76">
            <w:pPr>
              <w:spacing w:before="60" w:after="60" w:line="240" w:lineRule="auto"/>
              <w:ind w:left="0"/>
              <w:jc w:val="center"/>
              <w:rPr>
                <w:rFonts w:cs="Arial"/>
                <w:sz w:val="20"/>
                <w:szCs w:val="20"/>
              </w:rPr>
            </w:pPr>
            <w:r>
              <w:rPr>
                <w:rFonts w:cs="Arial"/>
                <w:sz w:val="20"/>
                <w:szCs w:val="20"/>
              </w:rPr>
              <w:t>92.4</w:t>
            </w:r>
          </w:p>
        </w:tc>
        <w:tc>
          <w:tcPr>
            <w:tcW w:w="1205" w:type="dxa"/>
            <w:vAlign w:val="bottom"/>
          </w:tcPr>
          <w:p w14:paraId="0FB98ADC" w14:textId="303105E8" w:rsidR="00D3058C" w:rsidRDefault="00D3058C" w:rsidP="00156F76">
            <w:pPr>
              <w:spacing w:before="60" w:after="60" w:line="240" w:lineRule="auto"/>
              <w:ind w:left="0"/>
              <w:jc w:val="center"/>
              <w:rPr>
                <w:rFonts w:cs="Arial"/>
                <w:sz w:val="20"/>
                <w:szCs w:val="20"/>
              </w:rPr>
            </w:pPr>
            <w:r>
              <w:rPr>
                <w:rFonts w:cs="Arial"/>
                <w:sz w:val="20"/>
                <w:szCs w:val="20"/>
              </w:rPr>
              <w:t>2.6</w:t>
            </w:r>
          </w:p>
        </w:tc>
        <w:tc>
          <w:tcPr>
            <w:tcW w:w="1205" w:type="dxa"/>
            <w:vAlign w:val="bottom"/>
          </w:tcPr>
          <w:p w14:paraId="5C10DDBB" w14:textId="740055B6" w:rsidR="00D3058C" w:rsidRDefault="00D3058C" w:rsidP="00156F76">
            <w:pPr>
              <w:spacing w:before="60" w:after="60" w:line="240" w:lineRule="auto"/>
              <w:ind w:left="0"/>
              <w:jc w:val="center"/>
              <w:rPr>
                <w:rFonts w:cs="Arial"/>
                <w:sz w:val="20"/>
                <w:szCs w:val="20"/>
              </w:rPr>
            </w:pPr>
            <w:r>
              <w:rPr>
                <w:rFonts w:cs="Arial"/>
                <w:sz w:val="20"/>
                <w:szCs w:val="20"/>
              </w:rPr>
              <w:t>86.3</w:t>
            </w:r>
          </w:p>
        </w:tc>
      </w:tr>
      <w:tr w:rsidR="00D3058C" w14:paraId="4A1A4CDE" w14:textId="77777777" w:rsidTr="00D3058C">
        <w:tc>
          <w:tcPr>
            <w:tcW w:w="1809" w:type="dxa"/>
            <w:vAlign w:val="center"/>
          </w:tcPr>
          <w:p w14:paraId="09EA7443" w14:textId="4E7ABB8D" w:rsidR="00D3058C" w:rsidRPr="00B877F7" w:rsidRDefault="00D3058C" w:rsidP="00B877F7">
            <w:pPr>
              <w:spacing w:before="60" w:after="60" w:line="240" w:lineRule="auto"/>
              <w:ind w:left="0"/>
              <w:rPr>
                <w:rFonts w:cs="Arial"/>
                <w:sz w:val="20"/>
                <w:szCs w:val="20"/>
              </w:rPr>
            </w:pPr>
            <w:r w:rsidRPr="00B877F7">
              <w:rPr>
                <w:rFonts w:cs="Arial"/>
                <w:sz w:val="20"/>
                <w:szCs w:val="20"/>
              </w:rPr>
              <w:t>194</w:t>
            </w:r>
          </w:p>
        </w:tc>
        <w:tc>
          <w:tcPr>
            <w:tcW w:w="1205" w:type="dxa"/>
            <w:vAlign w:val="bottom"/>
          </w:tcPr>
          <w:p w14:paraId="027ADD79" w14:textId="5FEA19A7" w:rsidR="00D3058C" w:rsidRDefault="00D3058C" w:rsidP="00156F76">
            <w:pPr>
              <w:spacing w:before="60" w:after="60" w:line="240" w:lineRule="auto"/>
              <w:ind w:left="0"/>
              <w:jc w:val="center"/>
              <w:rPr>
                <w:rFonts w:cs="Arial"/>
                <w:sz w:val="20"/>
                <w:szCs w:val="20"/>
              </w:rPr>
            </w:pPr>
            <w:r>
              <w:rPr>
                <w:rFonts w:cs="Arial"/>
                <w:sz w:val="20"/>
                <w:szCs w:val="20"/>
              </w:rPr>
              <w:t>1.68</w:t>
            </w:r>
          </w:p>
        </w:tc>
        <w:tc>
          <w:tcPr>
            <w:tcW w:w="1205" w:type="dxa"/>
            <w:vAlign w:val="bottom"/>
          </w:tcPr>
          <w:p w14:paraId="3E8F2819" w14:textId="53054E93" w:rsidR="00D3058C" w:rsidRDefault="00D3058C" w:rsidP="00156F76">
            <w:pPr>
              <w:spacing w:before="60" w:after="60" w:line="240" w:lineRule="auto"/>
              <w:ind w:left="0"/>
              <w:jc w:val="center"/>
              <w:rPr>
                <w:rFonts w:cs="Arial"/>
                <w:sz w:val="20"/>
                <w:szCs w:val="20"/>
              </w:rPr>
            </w:pPr>
            <w:r>
              <w:rPr>
                <w:rFonts w:cs="Arial"/>
                <w:sz w:val="20"/>
                <w:szCs w:val="20"/>
              </w:rPr>
              <w:t>179</w:t>
            </w:r>
          </w:p>
        </w:tc>
        <w:tc>
          <w:tcPr>
            <w:tcW w:w="1205" w:type="dxa"/>
            <w:vAlign w:val="bottom"/>
          </w:tcPr>
          <w:p w14:paraId="55236E39" w14:textId="635FE4A0" w:rsidR="00D3058C" w:rsidRDefault="00D3058C" w:rsidP="00156F76">
            <w:pPr>
              <w:spacing w:before="60" w:after="60" w:line="240" w:lineRule="auto"/>
              <w:ind w:left="0"/>
              <w:jc w:val="center"/>
              <w:rPr>
                <w:rFonts w:cs="Arial"/>
                <w:sz w:val="20"/>
                <w:szCs w:val="20"/>
              </w:rPr>
            </w:pPr>
            <w:r>
              <w:rPr>
                <w:rFonts w:cs="Arial"/>
                <w:sz w:val="20"/>
                <w:szCs w:val="20"/>
              </w:rPr>
              <w:t>3.53</w:t>
            </w:r>
          </w:p>
        </w:tc>
        <w:tc>
          <w:tcPr>
            <w:tcW w:w="1205" w:type="dxa"/>
            <w:vAlign w:val="bottom"/>
          </w:tcPr>
          <w:p w14:paraId="4B48535A" w14:textId="4E603628" w:rsidR="00D3058C" w:rsidRDefault="00D3058C" w:rsidP="00156F76">
            <w:pPr>
              <w:spacing w:before="60" w:after="60" w:line="240" w:lineRule="auto"/>
              <w:ind w:left="0"/>
              <w:jc w:val="center"/>
              <w:rPr>
                <w:rFonts w:cs="Arial"/>
                <w:sz w:val="20"/>
                <w:szCs w:val="20"/>
              </w:rPr>
            </w:pPr>
            <w:r>
              <w:rPr>
                <w:rFonts w:cs="Arial"/>
                <w:sz w:val="20"/>
                <w:szCs w:val="20"/>
              </w:rPr>
              <w:t>103</w:t>
            </w:r>
          </w:p>
        </w:tc>
        <w:tc>
          <w:tcPr>
            <w:tcW w:w="1205" w:type="dxa"/>
            <w:vAlign w:val="bottom"/>
          </w:tcPr>
          <w:p w14:paraId="30B28AF3" w14:textId="4A23DE23" w:rsidR="00D3058C" w:rsidRDefault="00D3058C" w:rsidP="00156F76">
            <w:pPr>
              <w:spacing w:before="60" w:after="60" w:line="240" w:lineRule="auto"/>
              <w:ind w:left="0"/>
              <w:jc w:val="center"/>
              <w:rPr>
                <w:rFonts w:cs="Arial"/>
                <w:sz w:val="20"/>
                <w:szCs w:val="20"/>
              </w:rPr>
            </w:pPr>
            <w:r>
              <w:rPr>
                <w:rFonts w:cs="Arial"/>
                <w:sz w:val="20"/>
                <w:szCs w:val="20"/>
              </w:rPr>
              <w:t>2.97</w:t>
            </w:r>
          </w:p>
        </w:tc>
        <w:tc>
          <w:tcPr>
            <w:tcW w:w="1205" w:type="dxa"/>
            <w:vAlign w:val="bottom"/>
          </w:tcPr>
          <w:p w14:paraId="4C894B4B" w14:textId="2EBE17AD" w:rsidR="00D3058C" w:rsidRDefault="00D3058C" w:rsidP="00156F76">
            <w:pPr>
              <w:spacing w:before="60" w:after="60" w:line="240" w:lineRule="auto"/>
              <w:ind w:left="0"/>
              <w:jc w:val="center"/>
              <w:rPr>
                <w:rFonts w:cs="Arial"/>
                <w:sz w:val="20"/>
                <w:szCs w:val="20"/>
              </w:rPr>
            </w:pPr>
            <w:r>
              <w:rPr>
                <w:rFonts w:cs="Arial"/>
                <w:sz w:val="20"/>
                <w:szCs w:val="20"/>
              </w:rPr>
              <w:t>94.7</w:t>
            </w:r>
          </w:p>
        </w:tc>
      </w:tr>
      <w:tr w:rsidR="00D3058C" w14:paraId="38CAD6FD" w14:textId="77777777" w:rsidTr="00D3058C">
        <w:tc>
          <w:tcPr>
            <w:tcW w:w="1809" w:type="dxa"/>
            <w:vAlign w:val="center"/>
          </w:tcPr>
          <w:p w14:paraId="46F17BD7" w14:textId="2BA986A6" w:rsidR="00D3058C" w:rsidRPr="00B877F7" w:rsidRDefault="00D3058C" w:rsidP="00B877F7">
            <w:pPr>
              <w:spacing w:before="60" w:after="60" w:line="240" w:lineRule="auto"/>
              <w:ind w:left="0"/>
              <w:rPr>
                <w:rFonts w:cs="Arial"/>
                <w:sz w:val="20"/>
                <w:szCs w:val="20"/>
              </w:rPr>
            </w:pPr>
            <w:r w:rsidRPr="00B877F7">
              <w:rPr>
                <w:rFonts w:cs="Arial"/>
                <w:sz w:val="20"/>
                <w:szCs w:val="20"/>
              </w:rPr>
              <w:t>193</w:t>
            </w:r>
          </w:p>
        </w:tc>
        <w:tc>
          <w:tcPr>
            <w:tcW w:w="1205" w:type="dxa"/>
            <w:vAlign w:val="bottom"/>
          </w:tcPr>
          <w:p w14:paraId="3928D04E" w14:textId="03E37975" w:rsidR="00D3058C" w:rsidRDefault="00D3058C" w:rsidP="00156F76">
            <w:pPr>
              <w:spacing w:before="60" w:after="60" w:line="240" w:lineRule="auto"/>
              <w:ind w:left="0"/>
              <w:jc w:val="center"/>
              <w:rPr>
                <w:rFonts w:cs="Arial"/>
                <w:sz w:val="20"/>
                <w:szCs w:val="20"/>
              </w:rPr>
            </w:pPr>
            <w:r>
              <w:rPr>
                <w:rFonts w:cs="Arial"/>
                <w:sz w:val="20"/>
                <w:szCs w:val="20"/>
              </w:rPr>
              <w:t>1.96</w:t>
            </w:r>
          </w:p>
        </w:tc>
        <w:tc>
          <w:tcPr>
            <w:tcW w:w="1205" w:type="dxa"/>
            <w:vAlign w:val="bottom"/>
          </w:tcPr>
          <w:p w14:paraId="6DCC1B12" w14:textId="736E02F0" w:rsidR="00D3058C" w:rsidRDefault="00D3058C" w:rsidP="00156F76">
            <w:pPr>
              <w:spacing w:before="60" w:after="60" w:line="240" w:lineRule="auto"/>
              <w:ind w:left="0"/>
              <w:jc w:val="center"/>
              <w:rPr>
                <w:rFonts w:cs="Arial"/>
                <w:sz w:val="20"/>
                <w:szCs w:val="20"/>
              </w:rPr>
            </w:pPr>
            <w:r>
              <w:rPr>
                <w:rFonts w:cs="Arial"/>
                <w:sz w:val="20"/>
                <w:szCs w:val="20"/>
              </w:rPr>
              <w:t>190</w:t>
            </w:r>
          </w:p>
        </w:tc>
        <w:tc>
          <w:tcPr>
            <w:tcW w:w="1205" w:type="dxa"/>
            <w:vAlign w:val="bottom"/>
          </w:tcPr>
          <w:p w14:paraId="464D68A7" w14:textId="7DA3551F" w:rsidR="00D3058C" w:rsidRDefault="00D3058C" w:rsidP="00156F76">
            <w:pPr>
              <w:spacing w:before="60" w:after="60" w:line="240" w:lineRule="auto"/>
              <w:ind w:left="0"/>
              <w:jc w:val="center"/>
              <w:rPr>
                <w:rFonts w:cs="Arial"/>
                <w:sz w:val="20"/>
                <w:szCs w:val="20"/>
              </w:rPr>
            </w:pPr>
            <w:r>
              <w:rPr>
                <w:rFonts w:cs="Arial"/>
                <w:sz w:val="20"/>
                <w:szCs w:val="20"/>
              </w:rPr>
              <w:t>3.93</w:t>
            </w:r>
          </w:p>
        </w:tc>
        <w:tc>
          <w:tcPr>
            <w:tcW w:w="1205" w:type="dxa"/>
            <w:vAlign w:val="bottom"/>
          </w:tcPr>
          <w:p w14:paraId="22B4B4A6" w14:textId="17E3569A" w:rsidR="00D3058C" w:rsidRDefault="00D3058C" w:rsidP="00156F76">
            <w:pPr>
              <w:spacing w:before="60" w:after="60" w:line="240" w:lineRule="auto"/>
              <w:ind w:left="0"/>
              <w:jc w:val="center"/>
              <w:rPr>
                <w:rFonts w:cs="Arial"/>
                <w:sz w:val="20"/>
                <w:szCs w:val="20"/>
              </w:rPr>
            </w:pPr>
            <w:r>
              <w:rPr>
                <w:rFonts w:cs="Arial"/>
                <w:sz w:val="20"/>
                <w:szCs w:val="20"/>
              </w:rPr>
              <w:t>114</w:t>
            </w:r>
          </w:p>
        </w:tc>
        <w:tc>
          <w:tcPr>
            <w:tcW w:w="1205" w:type="dxa"/>
            <w:vAlign w:val="bottom"/>
          </w:tcPr>
          <w:p w14:paraId="0982FFF4" w14:textId="6F6D8E2E" w:rsidR="00D3058C" w:rsidRDefault="00D3058C" w:rsidP="00156F76">
            <w:pPr>
              <w:spacing w:before="60" w:after="60" w:line="240" w:lineRule="auto"/>
              <w:ind w:left="0"/>
              <w:jc w:val="center"/>
              <w:rPr>
                <w:rFonts w:cs="Arial"/>
                <w:sz w:val="20"/>
                <w:szCs w:val="20"/>
              </w:rPr>
            </w:pPr>
            <w:r>
              <w:rPr>
                <w:rFonts w:cs="Arial"/>
                <w:sz w:val="20"/>
                <w:szCs w:val="20"/>
              </w:rPr>
              <w:t>3.31</w:t>
            </w:r>
          </w:p>
        </w:tc>
        <w:tc>
          <w:tcPr>
            <w:tcW w:w="1205" w:type="dxa"/>
            <w:vAlign w:val="bottom"/>
          </w:tcPr>
          <w:p w14:paraId="01A1D73C" w14:textId="59AC6D00" w:rsidR="00D3058C" w:rsidRDefault="00D3058C" w:rsidP="00156F76">
            <w:pPr>
              <w:spacing w:before="60" w:after="60" w:line="240" w:lineRule="auto"/>
              <w:ind w:left="0"/>
              <w:jc w:val="center"/>
              <w:rPr>
                <w:rFonts w:cs="Arial"/>
                <w:sz w:val="20"/>
                <w:szCs w:val="20"/>
              </w:rPr>
            </w:pPr>
            <w:r>
              <w:rPr>
                <w:rFonts w:cs="Arial"/>
                <w:sz w:val="20"/>
                <w:szCs w:val="20"/>
              </w:rPr>
              <w:t>104</w:t>
            </w:r>
          </w:p>
        </w:tc>
      </w:tr>
      <w:tr w:rsidR="00D3058C" w14:paraId="3ED3B8A6" w14:textId="77777777" w:rsidTr="00620787">
        <w:tc>
          <w:tcPr>
            <w:tcW w:w="1809" w:type="dxa"/>
            <w:vAlign w:val="center"/>
          </w:tcPr>
          <w:p w14:paraId="7DBD433A" w14:textId="30CED7D5" w:rsidR="00D3058C" w:rsidRPr="00B877F7" w:rsidRDefault="00D3058C" w:rsidP="00B877F7">
            <w:pPr>
              <w:spacing w:before="60" w:after="60" w:line="240" w:lineRule="auto"/>
              <w:ind w:left="0"/>
              <w:rPr>
                <w:rFonts w:cs="Arial"/>
                <w:sz w:val="20"/>
                <w:szCs w:val="20"/>
              </w:rPr>
            </w:pPr>
            <w:r w:rsidRPr="00B877F7">
              <w:rPr>
                <w:rFonts w:cs="Arial"/>
                <w:sz w:val="20"/>
                <w:szCs w:val="20"/>
              </w:rPr>
              <w:t>192</w:t>
            </w:r>
          </w:p>
        </w:tc>
        <w:tc>
          <w:tcPr>
            <w:tcW w:w="1205" w:type="dxa"/>
            <w:shd w:val="clear" w:color="auto" w:fill="FF0000"/>
            <w:vAlign w:val="bottom"/>
          </w:tcPr>
          <w:p w14:paraId="60C91263" w14:textId="2E7A0C4E" w:rsidR="00D3058C" w:rsidRDefault="00D3058C" w:rsidP="00156F76">
            <w:pPr>
              <w:spacing w:before="60" w:after="60" w:line="240" w:lineRule="auto"/>
              <w:ind w:left="0"/>
              <w:jc w:val="center"/>
              <w:rPr>
                <w:rFonts w:cs="Arial"/>
                <w:sz w:val="20"/>
                <w:szCs w:val="20"/>
              </w:rPr>
            </w:pPr>
            <w:r>
              <w:rPr>
                <w:rFonts w:cs="Arial"/>
                <w:sz w:val="20"/>
                <w:szCs w:val="20"/>
              </w:rPr>
              <w:t>2.17</w:t>
            </w:r>
          </w:p>
        </w:tc>
        <w:tc>
          <w:tcPr>
            <w:tcW w:w="1205" w:type="dxa"/>
            <w:vAlign w:val="bottom"/>
          </w:tcPr>
          <w:p w14:paraId="1CD345CB" w14:textId="179D2A49" w:rsidR="00D3058C" w:rsidRDefault="00D3058C" w:rsidP="00156F76">
            <w:pPr>
              <w:spacing w:before="60" w:after="60" w:line="240" w:lineRule="auto"/>
              <w:ind w:left="0"/>
              <w:jc w:val="center"/>
              <w:rPr>
                <w:rFonts w:cs="Arial"/>
                <w:sz w:val="20"/>
                <w:szCs w:val="20"/>
              </w:rPr>
            </w:pPr>
            <w:r>
              <w:rPr>
                <w:rFonts w:cs="Arial"/>
                <w:sz w:val="20"/>
                <w:szCs w:val="20"/>
              </w:rPr>
              <w:t>202</w:t>
            </w:r>
          </w:p>
        </w:tc>
        <w:tc>
          <w:tcPr>
            <w:tcW w:w="1205" w:type="dxa"/>
            <w:shd w:val="clear" w:color="auto" w:fill="FF0000"/>
            <w:vAlign w:val="bottom"/>
          </w:tcPr>
          <w:p w14:paraId="47F26D24" w14:textId="46A6676E" w:rsidR="00D3058C" w:rsidRDefault="00D3058C" w:rsidP="00156F76">
            <w:pPr>
              <w:spacing w:before="60" w:after="60" w:line="240" w:lineRule="auto"/>
              <w:ind w:left="0"/>
              <w:jc w:val="center"/>
              <w:rPr>
                <w:rFonts w:cs="Arial"/>
                <w:sz w:val="20"/>
                <w:szCs w:val="20"/>
              </w:rPr>
            </w:pPr>
            <w:r>
              <w:rPr>
                <w:rFonts w:cs="Arial"/>
                <w:sz w:val="20"/>
                <w:szCs w:val="20"/>
              </w:rPr>
              <w:t>4.33</w:t>
            </w:r>
          </w:p>
        </w:tc>
        <w:tc>
          <w:tcPr>
            <w:tcW w:w="1205" w:type="dxa"/>
            <w:vAlign w:val="bottom"/>
          </w:tcPr>
          <w:p w14:paraId="3A51DCDD" w14:textId="704DFD94" w:rsidR="00D3058C" w:rsidRDefault="00D3058C" w:rsidP="00156F76">
            <w:pPr>
              <w:spacing w:before="60" w:after="60" w:line="240" w:lineRule="auto"/>
              <w:ind w:left="0"/>
              <w:jc w:val="center"/>
              <w:rPr>
                <w:rFonts w:cs="Arial"/>
                <w:sz w:val="20"/>
                <w:szCs w:val="20"/>
              </w:rPr>
            </w:pPr>
            <w:r>
              <w:rPr>
                <w:rFonts w:cs="Arial"/>
                <w:sz w:val="20"/>
                <w:szCs w:val="20"/>
              </w:rPr>
              <w:t>126</w:t>
            </w:r>
          </w:p>
        </w:tc>
        <w:tc>
          <w:tcPr>
            <w:tcW w:w="1205" w:type="dxa"/>
            <w:shd w:val="clear" w:color="auto" w:fill="FF0000"/>
            <w:vAlign w:val="bottom"/>
          </w:tcPr>
          <w:p w14:paraId="7192DB81" w14:textId="62261B8F" w:rsidR="00D3058C" w:rsidRDefault="00D3058C" w:rsidP="00156F76">
            <w:pPr>
              <w:spacing w:before="60" w:after="60" w:line="240" w:lineRule="auto"/>
              <w:ind w:left="0"/>
              <w:jc w:val="center"/>
              <w:rPr>
                <w:rFonts w:cs="Arial"/>
                <w:sz w:val="20"/>
                <w:szCs w:val="20"/>
              </w:rPr>
            </w:pPr>
            <w:r>
              <w:rPr>
                <w:rFonts w:cs="Arial"/>
                <w:sz w:val="20"/>
                <w:szCs w:val="20"/>
              </w:rPr>
              <w:t>3.65</w:t>
            </w:r>
          </w:p>
        </w:tc>
        <w:tc>
          <w:tcPr>
            <w:tcW w:w="1205" w:type="dxa"/>
            <w:vAlign w:val="bottom"/>
          </w:tcPr>
          <w:p w14:paraId="29FBE02C" w14:textId="0A484C84" w:rsidR="00D3058C" w:rsidRDefault="00D3058C" w:rsidP="00156F76">
            <w:pPr>
              <w:spacing w:before="60" w:after="60" w:line="240" w:lineRule="auto"/>
              <w:ind w:left="0"/>
              <w:jc w:val="center"/>
              <w:rPr>
                <w:rFonts w:cs="Arial"/>
                <w:sz w:val="20"/>
                <w:szCs w:val="20"/>
              </w:rPr>
            </w:pPr>
            <w:r>
              <w:rPr>
                <w:rFonts w:cs="Arial"/>
                <w:sz w:val="20"/>
                <w:szCs w:val="20"/>
              </w:rPr>
              <w:t>113</w:t>
            </w:r>
          </w:p>
        </w:tc>
      </w:tr>
    </w:tbl>
    <w:p w14:paraId="32B84239" w14:textId="4196EAC9" w:rsidR="00620787" w:rsidRPr="001D2756" w:rsidRDefault="00620787" w:rsidP="00620787">
      <w:pPr>
        <w:spacing w:after="240"/>
        <w:ind w:left="0"/>
        <w:rPr>
          <w:i/>
          <w:sz w:val="18"/>
          <w:szCs w:val="18"/>
        </w:rPr>
      </w:pPr>
      <w:r w:rsidRPr="001D2756">
        <w:rPr>
          <w:i/>
          <w:sz w:val="18"/>
          <w:szCs w:val="18"/>
        </w:rPr>
        <w:t>Cells highlighted in red indicate maximum predicted exten</w:t>
      </w:r>
      <w:r w:rsidR="00A24FEE">
        <w:rPr>
          <w:i/>
          <w:sz w:val="18"/>
          <w:szCs w:val="18"/>
        </w:rPr>
        <w:t>t</w:t>
      </w:r>
      <w:r w:rsidRPr="001D2756">
        <w:rPr>
          <w:i/>
          <w:sz w:val="18"/>
          <w:szCs w:val="18"/>
        </w:rPr>
        <w:t xml:space="preserve"> of sound</w:t>
      </w:r>
      <w:r>
        <w:rPr>
          <w:i/>
          <w:sz w:val="18"/>
          <w:szCs w:val="18"/>
        </w:rPr>
        <w:t xml:space="preserve"> for each scenario</w:t>
      </w:r>
      <w:r w:rsidRPr="001D2756">
        <w:rPr>
          <w:i/>
          <w:sz w:val="18"/>
          <w:szCs w:val="18"/>
        </w:rPr>
        <w:t>.</w:t>
      </w:r>
    </w:p>
    <w:p w14:paraId="5D375333" w14:textId="148E4C3F" w:rsidR="009F3D4F" w:rsidRPr="00D70321" w:rsidRDefault="00AC0AE3" w:rsidP="00AC0AE3">
      <w:pPr>
        <w:ind w:left="0"/>
        <w:rPr>
          <w:rFonts w:cs="Arial"/>
          <w:sz w:val="22"/>
          <w:szCs w:val="22"/>
        </w:rPr>
      </w:pPr>
      <w:r w:rsidRPr="00D70321">
        <w:rPr>
          <w:rFonts w:cs="Arial"/>
          <w:sz w:val="22"/>
          <w:szCs w:val="22"/>
        </w:rPr>
        <w:t xml:space="preserve">In summary, the maximum distances and areas associated with the various sound metrics for crustaceans and bivalves are presented in </w:t>
      </w:r>
      <w:r w:rsidRPr="00C41138">
        <w:rPr>
          <w:rFonts w:cs="Arial"/>
          <w:sz w:val="22"/>
          <w:szCs w:val="22"/>
        </w:rPr>
        <w:t>Tables 7.2</w:t>
      </w:r>
      <w:r w:rsidR="00FC79B0" w:rsidRPr="00C41138">
        <w:rPr>
          <w:rFonts w:cs="Arial"/>
          <w:sz w:val="22"/>
          <w:szCs w:val="22"/>
        </w:rPr>
        <w:t>3</w:t>
      </w:r>
      <w:r w:rsidRPr="00C41138">
        <w:rPr>
          <w:rFonts w:cs="Arial"/>
          <w:sz w:val="22"/>
          <w:szCs w:val="22"/>
        </w:rPr>
        <w:t xml:space="preserve"> to </w:t>
      </w:r>
      <w:r w:rsidR="00FC79B0" w:rsidRPr="00C41138">
        <w:rPr>
          <w:rFonts w:cs="Arial"/>
          <w:sz w:val="22"/>
          <w:szCs w:val="22"/>
        </w:rPr>
        <w:t xml:space="preserve">Table </w:t>
      </w:r>
      <w:r w:rsidRPr="00C41138">
        <w:rPr>
          <w:rFonts w:cs="Arial"/>
          <w:sz w:val="22"/>
          <w:szCs w:val="22"/>
        </w:rPr>
        <w:t>7.2</w:t>
      </w:r>
      <w:r w:rsidR="00FC79B0" w:rsidRPr="00C41138">
        <w:rPr>
          <w:rFonts w:cs="Arial"/>
          <w:sz w:val="22"/>
          <w:szCs w:val="22"/>
        </w:rPr>
        <w:t>5</w:t>
      </w:r>
      <w:r w:rsidRPr="00C41138">
        <w:rPr>
          <w:rFonts w:cs="Arial"/>
          <w:sz w:val="22"/>
          <w:szCs w:val="22"/>
        </w:rPr>
        <w:t>.</w:t>
      </w:r>
    </w:p>
    <w:p w14:paraId="48FB67F6" w14:textId="77777777" w:rsidR="00AC0AE3" w:rsidRDefault="00AC0AE3" w:rsidP="00C10577">
      <w:pPr>
        <w:ind w:left="0"/>
        <w:rPr>
          <w:sz w:val="22"/>
          <w:szCs w:val="22"/>
          <w:highlight w:val="lightGray"/>
        </w:rPr>
      </w:pPr>
    </w:p>
    <w:p w14:paraId="09A05525" w14:textId="1FFD70D9" w:rsidR="00AC0AE3" w:rsidRPr="003A0C99" w:rsidRDefault="00AC0AE3" w:rsidP="00AC0AE3">
      <w:pPr>
        <w:spacing w:after="120" w:line="240" w:lineRule="auto"/>
        <w:ind w:left="0"/>
        <w:jc w:val="center"/>
        <w:rPr>
          <w:rFonts w:cs="Arial"/>
          <w:b/>
          <w:sz w:val="20"/>
          <w:szCs w:val="20"/>
        </w:rPr>
      </w:pPr>
      <w:r>
        <w:rPr>
          <w:rFonts w:cs="Arial"/>
          <w:b/>
          <w:sz w:val="20"/>
          <w:szCs w:val="20"/>
        </w:rPr>
        <w:t>Table 7.2</w:t>
      </w:r>
      <w:r w:rsidR="00FC79B0">
        <w:rPr>
          <w:rFonts w:cs="Arial"/>
          <w:b/>
          <w:sz w:val="20"/>
          <w:szCs w:val="20"/>
        </w:rPr>
        <w:t>3</w:t>
      </w:r>
      <w:r>
        <w:rPr>
          <w:rFonts w:cs="Arial"/>
          <w:b/>
          <w:sz w:val="20"/>
          <w:szCs w:val="20"/>
        </w:rPr>
        <w:t>.</w:t>
      </w:r>
      <w:r>
        <w:rPr>
          <w:rFonts w:cs="Arial"/>
          <w:b/>
          <w:sz w:val="20"/>
          <w:szCs w:val="20"/>
        </w:rPr>
        <w:tab/>
      </w:r>
      <w:r w:rsidRPr="003A0C99">
        <w:rPr>
          <w:rFonts w:cs="Arial"/>
          <w:b/>
          <w:sz w:val="20"/>
          <w:szCs w:val="20"/>
        </w:rPr>
        <w:t>Maximum seafloor per-pulse SEL at range</w:t>
      </w:r>
    </w:p>
    <w:tbl>
      <w:tblPr>
        <w:tblStyle w:val="TableGrid"/>
        <w:tblW w:w="4361" w:type="dxa"/>
        <w:jc w:val="center"/>
        <w:tblLayout w:type="fixed"/>
        <w:tblLook w:val="04A0" w:firstRow="1" w:lastRow="0" w:firstColumn="1" w:lastColumn="0" w:noHBand="0" w:noVBand="1"/>
      </w:tblPr>
      <w:tblGrid>
        <w:gridCol w:w="2660"/>
        <w:gridCol w:w="1701"/>
      </w:tblGrid>
      <w:tr w:rsidR="00AC0AE3" w:rsidRPr="000D0DBD" w14:paraId="5E98ACDD" w14:textId="77777777" w:rsidTr="00AC0AE3">
        <w:trPr>
          <w:trHeight w:val="703"/>
          <w:jc w:val="center"/>
        </w:trPr>
        <w:tc>
          <w:tcPr>
            <w:tcW w:w="2660" w:type="dxa"/>
            <w:shd w:val="clear" w:color="auto" w:fill="064EA8"/>
          </w:tcPr>
          <w:p w14:paraId="66EF180C" w14:textId="77777777" w:rsidR="00AC0AE3" w:rsidRPr="000D0DBD" w:rsidRDefault="00AC0AE3" w:rsidP="00AC0AE3">
            <w:pPr>
              <w:spacing w:before="60" w:after="60"/>
              <w:ind w:left="0"/>
              <w:rPr>
                <w:rFonts w:cs="Arial"/>
                <w:color w:val="FFFFFF" w:themeColor="background1"/>
                <w:sz w:val="20"/>
                <w:szCs w:val="20"/>
              </w:rPr>
            </w:pPr>
            <w:r>
              <w:rPr>
                <w:rFonts w:cs="Arial"/>
                <w:color w:val="FFFFFF" w:themeColor="background1"/>
                <w:sz w:val="20"/>
                <w:szCs w:val="20"/>
              </w:rPr>
              <w:t>Per-pulse SEL at seafloor</w:t>
            </w:r>
            <w:r>
              <w:rPr>
                <w:rFonts w:cs="Arial"/>
                <w:color w:val="FFFFFF" w:themeColor="background1"/>
                <w:sz w:val="20"/>
                <w:szCs w:val="20"/>
              </w:rPr>
              <w:br/>
            </w:r>
            <w:r w:rsidRPr="000D0DBD">
              <w:rPr>
                <w:rFonts w:cs="Arial"/>
                <w:color w:val="FFFFFF" w:themeColor="background1"/>
                <w:sz w:val="20"/>
                <w:szCs w:val="20"/>
              </w:rPr>
              <w:t>(</w:t>
            </w:r>
            <w:r>
              <w:rPr>
                <w:rFonts w:cs="Arial"/>
                <w:color w:val="FFFFFF" w:themeColor="background1"/>
                <w:sz w:val="20"/>
                <w:szCs w:val="20"/>
              </w:rPr>
              <w:t>dB</w:t>
            </w:r>
            <w:r w:rsidRPr="000D0DBD">
              <w:rPr>
                <w:rFonts w:cs="Arial"/>
                <w:color w:val="FFFFFF" w:themeColor="background1"/>
                <w:sz w:val="20"/>
                <w:szCs w:val="20"/>
              </w:rPr>
              <w:t xml:space="preserve"> </w:t>
            </w:r>
            <w:r w:rsidRPr="000D0DBD">
              <w:rPr>
                <w:color w:val="FFFFFF" w:themeColor="background1"/>
                <w:sz w:val="20"/>
                <w:szCs w:val="20"/>
              </w:rPr>
              <w:t>re 1 μPa</w:t>
            </w:r>
            <w:r w:rsidRPr="000D0DBD">
              <w:rPr>
                <w:color w:val="FFFFFF" w:themeColor="background1"/>
                <w:sz w:val="20"/>
                <w:szCs w:val="20"/>
                <w:vertAlign w:val="superscript"/>
              </w:rPr>
              <w:t>2</w:t>
            </w:r>
            <w:r>
              <w:rPr>
                <w:color w:val="FFFFFF" w:themeColor="background1"/>
                <w:sz w:val="20"/>
                <w:szCs w:val="20"/>
              </w:rPr>
              <w:t>.s</w:t>
            </w:r>
            <w:r w:rsidRPr="000D0DBD">
              <w:rPr>
                <w:color w:val="FFFFFF" w:themeColor="background1"/>
                <w:sz w:val="20"/>
                <w:szCs w:val="20"/>
              </w:rPr>
              <w:t>)</w:t>
            </w:r>
          </w:p>
        </w:tc>
        <w:tc>
          <w:tcPr>
            <w:tcW w:w="1701" w:type="dxa"/>
            <w:shd w:val="clear" w:color="auto" w:fill="064EA8"/>
          </w:tcPr>
          <w:p w14:paraId="7D7A799E" w14:textId="77777777" w:rsidR="00AC0AE3" w:rsidRPr="000D0DBD" w:rsidRDefault="00AC0AE3" w:rsidP="00AC0AE3">
            <w:pPr>
              <w:spacing w:before="60" w:after="60" w:line="240" w:lineRule="auto"/>
              <w:ind w:left="0"/>
              <w:jc w:val="center"/>
              <w:rPr>
                <w:rFonts w:cs="Arial"/>
                <w:color w:val="FFFFFF" w:themeColor="background1"/>
                <w:sz w:val="20"/>
                <w:szCs w:val="20"/>
              </w:rPr>
            </w:pPr>
            <w:r>
              <w:rPr>
                <w:rFonts w:cs="Arial"/>
                <w:color w:val="FFFFFF" w:themeColor="background1"/>
                <w:sz w:val="20"/>
                <w:szCs w:val="20"/>
              </w:rPr>
              <w:t>Maximum distance (m)</w:t>
            </w:r>
          </w:p>
        </w:tc>
      </w:tr>
      <w:tr w:rsidR="00AC0AE3" w:rsidRPr="00B877F7" w14:paraId="6EF5A462" w14:textId="77777777" w:rsidTr="00AC0AE3">
        <w:trPr>
          <w:jc w:val="center"/>
        </w:trPr>
        <w:tc>
          <w:tcPr>
            <w:tcW w:w="2660" w:type="dxa"/>
            <w:vAlign w:val="center"/>
          </w:tcPr>
          <w:p w14:paraId="222C8DE7" w14:textId="77777777" w:rsidR="00AC0AE3" w:rsidRPr="00A03DC1" w:rsidRDefault="00AC0AE3" w:rsidP="00AC0AE3">
            <w:pPr>
              <w:spacing w:before="60" w:after="60" w:line="240" w:lineRule="auto"/>
              <w:ind w:left="0"/>
              <w:rPr>
                <w:rFonts w:cs="Arial"/>
                <w:sz w:val="20"/>
                <w:szCs w:val="20"/>
              </w:rPr>
            </w:pPr>
            <w:r>
              <w:rPr>
                <w:rFonts w:cs="Arial"/>
                <w:sz w:val="20"/>
                <w:szCs w:val="20"/>
              </w:rPr>
              <w:t>190</w:t>
            </w:r>
          </w:p>
        </w:tc>
        <w:tc>
          <w:tcPr>
            <w:tcW w:w="1701" w:type="dxa"/>
            <w:vAlign w:val="bottom"/>
          </w:tcPr>
          <w:p w14:paraId="224C94D0" w14:textId="77777777" w:rsidR="00AC0AE3" w:rsidRPr="00B877F7" w:rsidRDefault="00AC0AE3" w:rsidP="00AC0AE3">
            <w:pPr>
              <w:spacing w:before="60" w:after="60" w:line="240" w:lineRule="auto"/>
              <w:ind w:left="0"/>
              <w:jc w:val="center"/>
              <w:rPr>
                <w:rFonts w:cs="Arial"/>
                <w:sz w:val="20"/>
                <w:szCs w:val="20"/>
              </w:rPr>
            </w:pPr>
            <w:r>
              <w:rPr>
                <w:rFonts w:cs="Arial"/>
                <w:sz w:val="20"/>
                <w:szCs w:val="20"/>
              </w:rPr>
              <w:t>150</w:t>
            </w:r>
          </w:p>
        </w:tc>
      </w:tr>
      <w:tr w:rsidR="00AC0AE3" w:rsidRPr="00A03DC1" w14:paraId="7CF4DE71" w14:textId="77777777" w:rsidTr="00AC0AE3">
        <w:trPr>
          <w:jc w:val="center"/>
        </w:trPr>
        <w:tc>
          <w:tcPr>
            <w:tcW w:w="2660" w:type="dxa"/>
            <w:vAlign w:val="center"/>
          </w:tcPr>
          <w:p w14:paraId="60B045FA" w14:textId="77777777" w:rsidR="00AC0AE3" w:rsidRPr="00A03DC1" w:rsidRDefault="00AC0AE3" w:rsidP="00AC0AE3">
            <w:pPr>
              <w:spacing w:before="60" w:after="60" w:line="240" w:lineRule="auto"/>
              <w:ind w:left="0"/>
              <w:rPr>
                <w:rFonts w:cs="Arial"/>
                <w:sz w:val="20"/>
                <w:szCs w:val="20"/>
              </w:rPr>
            </w:pPr>
            <w:r>
              <w:rPr>
                <w:rFonts w:cs="Arial"/>
                <w:sz w:val="20"/>
                <w:szCs w:val="20"/>
              </w:rPr>
              <w:t>189</w:t>
            </w:r>
          </w:p>
        </w:tc>
        <w:tc>
          <w:tcPr>
            <w:tcW w:w="1701" w:type="dxa"/>
            <w:vAlign w:val="bottom"/>
          </w:tcPr>
          <w:p w14:paraId="657963C1" w14:textId="77777777" w:rsidR="00AC0AE3" w:rsidRPr="00A03DC1" w:rsidRDefault="00AC0AE3" w:rsidP="00AC0AE3">
            <w:pPr>
              <w:spacing w:before="60" w:after="60" w:line="240" w:lineRule="auto"/>
              <w:ind w:left="0"/>
              <w:jc w:val="center"/>
              <w:rPr>
                <w:rFonts w:cs="Arial"/>
                <w:sz w:val="20"/>
                <w:szCs w:val="20"/>
              </w:rPr>
            </w:pPr>
            <w:r>
              <w:rPr>
                <w:rFonts w:cs="Arial"/>
                <w:sz w:val="20"/>
                <w:szCs w:val="20"/>
              </w:rPr>
              <w:t>160</w:t>
            </w:r>
          </w:p>
        </w:tc>
      </w:tr>
      <w:tr w:rsidR="00AC0AE3" w14:paraId="69F276DF" w14:textId="77777777" w:rsidTr="00AC0AE3">
        <w:trPr>
          <w:jc w:val="center"/>
        </w:trPr>
        <w:tc>
          <w:tcPr>
            <w:tcW w:w="2660" w:type="dxa"/>
            <w:vAlign w:val="center"/>
          </w:tcPr>
          <w:p w14:paraId="59069481" w14:textId="77777777" w:rsidR="00AC0AE3" w:rsidRPr="00B877F7" w:rsidRDefault="00AC0AE3" w:rsidP="00AC0AE3">
            <w:pPr>
              <w:spacing w:before="60" w:after="60" w:line="240" w:lineRule="auto"/>
              <w:ind w:left="0"/>
              <w:rPr>
                <w:rFonts w:cs="Arial"/>
                <w:sz w:val="20"/>
                <w:szCs w:val="20"/>
              </w:rPr>
            </w:pPr>
            <w:r>
              <w:rPr>
                <w:rFonts w:cs="Arial"/>
                <w:sz w:val="20"/>
                <w:szCs w:val="20"/>
              </w:rPr>
              <w:t>188</w:t>
            </w:r>
          </w:p>
        </w:tc>
        <w:tc>
          <w:tcPr>
            <w:tcW w:w="1701" w:type="dxa"/>
            <w:vAlign w:val="bottom"/>
          </w:tcPr>
          <w:p w14:paraId="6C7BF1A7" w14:textId="77777777" w:rsidR="00AC0AE3" w:rsidRDefault="00AC0AE3" w:rsidP="00AC0AE3">
            <w:pPr>
              <w:spacing w:before="60" w:after="60" w:line="240" w:lineRule="auto"/>
              <w:ind w:left="0"/>
              <w:jc w:val="center"/>
              <w:rPr>
                <w:rFonts w:cs="Arial"/>
                <w:sz w:val="20"/>
                <w:szCs w:val="20"/>
              </w:rPr>
            </w:pPr>
            <w:r>
              <w:rPr>
                <w:rFonts w:cs="Arial"/>
                <w:sz w:val="20"/>
                <w:szCs w:val="20"/>
              </w:rPr>
              <w:t>220</w:t>
            </w:r>
          </w:p>
        </w:tc>
      </w:tr>
      <w:tr w:rsidR="00AC0AE3" w14:paraId="43E0187C" w14:textId="77777777" w:rsidTr="00AC0AE3">
        <w:trPr>
          <w:jc w:val="center"/>
        </w:trPr>
        <w:tc>
          <w:tcPr>
            <w:tcW w:w="2660" w:type="dxa"/>
            <w:vAlign w:val="center"/>
          </w:tcPr>
          <w:p w14:paraId="15C735BC" w14:textId="77777777" w:rsidR="00AC0AE3" w:rsidRPr="00B877F7" w:rsidRDefault="00AC0AE3" w:rsidP="00AC0AE3">
            <w:pPr>
              <w:spacing w:before="60" w:after="60" w:line="240" w:lineRule="auto"/>
              <w:ind w:left="0"/>
              <w:rPr>
                <w:rFonts w:cs="Arial"/>
                <w:sz w:val="20"/>
                <w:szCs w:val="20"/>
              </w:rPr>
            </w:pPr>
            <w:r>
              <w:rPr>
                <w:rFonts w:cs="Arial"/>
                <w:sz w:val="20"/>
                <w:szCs w:val="20"/>
              </w:rPr>
              <w:t>187</w:t>
            </w:r>
          </w:p>
        </w:tc>
        <w:tc>
          <w:tcPr>
            <w:tcW w:w="1701" w:type="dxa"/>
            <w:vAlign w:val="bottom"/>
          </w:tcPr>
          <w:p w14:paraId="16653648" w14:textId="77777777" w:rsidR="00AC0AE3" w:rsidRDefault="00AC0AE3" w:rsidP="00AC0AE3">
            <w:pPr>
              <w:spacing w:before="60" w:after="60" w:line="240" w:lineRule="auto"/>
              <w:ind w:left="0"/>
              <w:jc w:val="center"/>
              <w:rPr>
                <w:rFonts w:cs="Arial"/>
                <w:sz w:val="20"/>
                <w:szCs w:val="20"/>
              </w:rPr>
            </w:pPr>
            <w:r>
              <w:rPr>
                <w:rFonts w:cs="Arial"/>
                <w:sz w:val="20"/>
                <w:szCs w:val="20"/>
              </w:rPr>
              <w:t>240</w:t>
            </w:r>
          </w:p>
        </w:tc>
      </w:tr>
      <w:tr w:rsidR="00AC0AE3" w14:paraId="13252D40" w14:textId="77777777" w:rsidTr="00AC0AE3">
        <w:trPr>
          <w:jc w:val="center"/>
        </w:trPr>
        <w:tc>
          <w:tcPr>
            <w:tcW w:w="2660" w:type="dxa"/>
            <w:vAlign w:val="center"/>
          </w:tcPr>
          <w:p w14:paraId="07182CF5" w14:textId="77777777" w:rsidR="00AC0AE3" w:rsidRPr="00B877F7" w:rsidRDefault="00AC0AE3" w:rsidP="00AC0AE3">
            <w:pPr>
              <w:spacing w:before="60" w:after="60" w:line="240" w:lineRule="auto"/>
              <w:ind w:left="0"/>
              <w:rPr>
                <w:rFonts w:cs="Arial"/>
                <w:sz w:val="20"/>
                <w:szCs w:val="20"/>
              </w:rPr>
            </w:pPr>
            <w:r>
              <w:rPr>
                <w:rFonts w:cs="Arial"/>
                <w:sz w:val="20"/>
                <w:szCs w:val="20"/>
              </w:rPr>
              <w:t>186</w:t>
            </w:r>
          </w:p>
        </w:tc>
        <w:tc>
          <w:tcPr>
            <w:tcW w:w="1701" w:type="dxa"/>
            <w:vAlign w:val="bottom"/>
          </w:tcPr>
          <w:p w14:paraId="458179A9" w14:textId="77777777" w:rsidR="00AC0AE3" w:rsidRDefault="00AC0AE3" w:rsidP="00AC0AE3">
            <w:pPr>
              <w:spacing w:before="60" w:after="60" w:line="240" w:lineRule="auto"/>
              <w:ind w:left="0"/>
              <w:jc w:val="center"/>
              <w:rPr>
                <w:rFonts w:cs="Arial"/>
                <w:sz w:val="20"/>
                <w:szCs w:val="20"/>
              </w:rPr>
            </w:pPr>
            <w:r>
              <w:rPr>
                <w:rFonts w:cs="Arial"/>
                <w:sz w:val="20"/>
                <w:szCs w:val="20"/>
              </w:rPr>
              <w:t>260</w:t>
            </w:r>
          </w:p>
        </w:tc>
      </w:tr>
    </w:tbl>
    <w:p w14:paraId="1445B676" w14:textId="77777777" w:rsidR="00AC0AE3" w:rsidRDefault="00AC0AE3" w:rsidP="00AC0AE3">
      <w:pPr>
        <w:ind w:left="0"/>
        <w:rPr>
          <w:rFonts w:cs="Arial"/>
          <w:sz w:val="22"/>
          <w:szCs w:val="22"/>
        </w:rPr>
      </w:pPr>
    </w:p>
    <w:p w14:paraId="517587E9" w14:textId="7EF25D49" w:rsidR="00AC0AE3" w:rsidRPr="009D2517" w:rsidRDefault="00AC0AE3" w:rsidP="00AC0AE3">
      <w:pPr>
        <w:spacing w:after="120" w:line="240" w:lineRule="auto"/>
        <w:ind w:left="0"/>
        <w:jc w:val="center"/>
        <w:rPr>
          <w:rFonts w:cs="Arial"/>
          <w:b/>
          <w:sz w:val="20"/>
          <w:szCs w:val="20"/>
        </w:rPr>
      </w:pPr>
      <w:r>
        <w:rPr>
          <w:rFonts w:cs="Arial"/>
          <w:b/>
          <w:sz w:val="20"/>
          <w:szCs w:val="20"/>
        </w:rPr>
        <w:t>Table 7.2</w:t>
      </w:r>
      <w:r w:rsidR="00FC79B0">
        <w:rPr>
          <w:rFonts w:cs="Arial"/>
          <w:b/>
          <w:sz w:val="20"/>
          <w:szCs w:val="20"/>
        </w:rPr>
        <w:t>4</w:t>
      </w:r>
      <w:r>
        <w:rPr>
          <w:rFonts w:cs="Arial"/>
          <w:b/>
          <w:sz w:val="20"/>
          <w:szCs w:val="20"/>
        </w:rPr>
        <w:t>.</w:t>
      </w:r>
      <w:r>
        <w:rPr>
          <w:rFonts w:cs="Arial"/>
          <w:b/>
          <w:sz w:val="20"/>
          <w:szCs w:val="20"/>
        </w:rPr>
        <w:tab/>
      </w:r>
      <w:r w:rsidRPr="009D2517">
        <w:rPr>
          <w:rFonts w:cs="Arial"/>
          <w:b/>
          <w:sz w:val="20"/>
          <w:szCs w:val="20"/>
        </w:rPr>
        <w:t xml:space="preserve">Maximum seafloor </w:t>
      </w:r>
      <w:r>
        <w:rPr>
          <w:rFonts w:cs="Arial"/>
          <w:b/>
          <w:sz w:val="20"/>
          <w:szCs w:val="20"/>
        </w:rPr>
        <w:t>PK-PK</w:t>
      </w:r>
      <w:r w:rsidRPr="009D2517">
        <w:rPr>
          <w:rFonts w:cs="Arial"/>
          <w:b/>
          <w:sz w:val="20"/>
          <w:szCs w:val="20"/>
        </w:rPr>
        <w:t xml:space="preserve"> at range</w:t>
      </w:r>
    </w:p>
    <w:tbl>
      <w:tblPr>
        <w:tblStyle w:val="TableGrid"/>
        <w:tblW w:w="4219" w:type="dxa"/>
        <w:jc w:val="center"/>
        <w:tblLayout w:type="fixed"/>
        <w:tblLook w:val="04A0" w:firstRow="1" w:lastRow="0" w:firstColumn="1" w:lastColumn="0" w:noHBand="0" w:noVBand="1"/>
      </w:tblPr>
      <w:tblGrid>
        <w:gridCol w:w="2493"/>
        <w:gridCol w:w="1726"/>
      </w:tblGrid>
      <w:tr w:rsidR="00AC0AE3" w:rsidRPr="000D0DBD" w14:paraId="6F6121CC" w14:textId="77777777" w:rsidTr="00AC0AE3">
        <w:trPr>
          <w:trHeight w:val="719"/>
          <w:jc w:val="center"/>
        </w:trPr>
        <w:tc>
          <w:tcPr>
            <w:tcW w:w="2493" w:type="dxa"/>
            <w:shd w:val="clear" w:color="auto" w:fill="064EA8"/>
          </w:tcPr>
          <w:p w14:paraId="24EBD495" w14:textId="77777777" w:rsidR="00AC0AE3" w:rsidRPr="000D0DBD" w:rsidRDefault="00AC0AE3" w:rsidP="00AC0AE3">
            <w:pPr>
              <w:spacing w:before="60" w:after="60"/>
              <w:ind w:left="0"/>
              <w:rPr>
                <w:rFonts w:cs="Arial"/>
                <w:color w:val="FFFFFF" w:themeColor="background1"/>
                <w:sz w:val="20"/>
                <w:szCs w:val="20"/>
              </w:rPr>
            </w:pPr>
            <w:r>
              <w:rPr>
                <w:rFonts w:cs="Arial"/>
                <w:color w:val="FFFFFF" w:themeColor="background1"/>
                <w:sz w:val="20"/>
                <w:szCs w:val="20"/>
              </w:rPr>
              <w:t xml:space="preserve">PK-PK pressure level threshold </w:t>
            </w:r>
            <w:r w:rsidRPr="000D0DBD">
              <w:rPr>
                <w:rFonts w:cs="Arial"/>
                <w:color w:val="FFFFFF" w:themeColor="background1"/>
                <w:sz w:val="20"/>
                <w:szCs w:val="20"/>
              </w:rPr>
              <w:t>(</w:t>
            </w:r>
            <w:r>
              <w:rPr>
                <w:rFonts w:cs="Arial"/>
                <w:color w:val="FFFFFF" w:themeColor="background1"/>
                <w:sz w:val="20"/>
                <w:szCs w:val="20"/>
              </w:rPr>
              <w:t>dB</w:t>
            </w:r>
            <w:r w:rsidRPr="000D0DBD">
              <w:rPr>
                <w:rFonts w:cs="Arial"/>
                <w:color w:val="FFFFFF" w:themeColor="background1"/>
                <w:sz w:val="20"/>
                <w:szCs w:val="20"/>
              </w:rPr>
              <w:t xml:space="preserve"> </w:t>
            </w:r>
            <w:r w:rsidRPr="000D0DBD">
              <w:rPr>
                <w:color w:val="FFFFFF" w:themeColor="background1"/>
                <w:sz w:val="20"/>
                <w:szCs w:val="20"/>
              </w:rPr>
              <w:t>re 1 μPa)</w:t>
            </w:r>
          </w:p>
        </w:tc>
        <w:tc>
          <w:tcPr>
            <w:tcW w:w="1726" w:type="dxa"/>
            <w:shd w:val="clear" w:color="auto" w:fill="064EA8"/>
          </w:tcPr>
          <w:p w14:paraId="064710EE" w14:textId="77777777" w:rsidR="00AC0AE3" w:rsidRPr="000D0DBD" w:rsidRDefault="00AC0AE3" w:rsidP="00AC0AE3">
            <w:pPr>
              <w:spacing w:before="60" w:after="60" w:line="240" w:lineRule="auto"/>
              <w:ind w:left="0"/>
              <w:jc w:val="center"/>
              <w:rPr>
                <w:rFonts w:cs="Arial"/>
                <w:color w:val="FFFFFF" w:themeColor="background1"/>
                <w:sz w:val="20"/>
                <w:szCs w:val="20"/>
              </w:rPr>
            </w:pPr>
            <w:r>
              <w:rPr>
                <w:rFonts w:cs="Arial"/>
                <w:color w:val="FFFFFF" w:themeColor="background1"/>
                <w:sz w:val="20"/>
                <w:szCs w:val="20"/>
              </w:rPr>
              <w:t>Maximum distance (m)</w:t>
            </w:r>
          </w:p>
        </w:tc>
      </w:tr>
      <w:tr w:rsidR="00AC0AE3" w:rsidRPr="00B877F7" w14:paraId="757BE083" w14:textId="77777777" w:rsidTr="00AC0AE3">
        <w:trPr>
          <w:jc w:val="center"/>
        </w:trPr>
        <w:tc>
          <w:tcPr>
            <w:tcW w:w="2493" w:type="dxa"/>
            <w:vAlign w:val="center"/>
          </w:tcPr>
          <w:p w14:paraId="7C5A76CF" w14:textId="77777777" w:rsidR="00AC0AE3" w:rsidRPr="00A03DC1" w:rsidRDefault="00AC0AE3" w:rsidP="00AC0AE3">
            <w:pPr>
              <w:spacing w:before="60" w:after="60" w:line="240" w:lineRule="auto"/>
              <w:ind w:left="0"/>
              <w:rPr>
                <w:rFonts w:cs="Arial"/>
                <w:sz w:val="20"/>
                <w:szCs w:val="20"/>
              </w:rPr>
            </w:pPr>
            <w:r>
              <w:rPr>
                <w:rFonts w:cs="Arial"/>
                <w:sz w:val="20"/>
                <w:szCs w:val="20"/>
              </w:rPr>
              <w:t>213</w:t>
            </w:r>
          </w:p>
        </w:tc>
        <w:tc>
          <w:tcPr>
            <w:tcW w:w="1726" w:type="dxa"/>
            <w:vAlign w:val="bottom"/>
          </w:tcPr>
          <w:p w14:paraId="358CCC06" w14:textId="77777777" w:rsidR="00AC0AE3" w:rsidRPr="00B877F7" w:rsidRDefault="00AC0AE3" w:rsidP="00AC0AE3">
            <w:pPr>
              <w:spacing w:before="60" w:after="60" w:line="240" w:lineRule="auto"/>
              <w:ind w:left="0"/>
              <w:jc w:val="center"/>
              <w:rPr>
                <w:rFonts w:cs="Arial"/>
                <w:sz w:val="20"/>
                <w:szCs w:val="20"/>
              </w:rPr>
            </w:pPr>
            <w:r>
              <w:rPr>
                <w:rFonts w:cs="Arial"/>
                <w:sz w:val="20"/>
                <w:szCs w:val="20"/>
              </w:rPr>
              <w:t>260</w:t>
            </w:r>
          </w:p>
        </w:tc>
      </w:tr>
      <w:tr w:rsidR="00AC0AE3" w:rsidRPr="00A03DC1" w14:paraId="3F7E3BDD" w14:textId="77777777" w:rsidTr="00AC0AE3">
        <w:trPr>
          <w:jc w:val="center"/>
        </w:trPr>
        <w:tc>
          <w:tcPr>
            <w:tcW w:w="2493" w:type="dxa"/>
            <w:vAlign w:val="center"/>
          </w:tcPr>
          <w:p w14:paraId="2C60F5BB" w14:textId="77777777" w:rsidR="00AC0AE3" w:rsidRPr="00A03DC1" w:rsidRDefault="00AC0AE3" w:rsidP="00AC0AE3">
            <w:pPr>
              <w:spacing w:before="60" w:after="60" w:line="240" w:lineRule="auto"/>
              <w:ind w:left="0"/>
              <w:rPr>
                <w:rFonts w:cs="Arial"/>
                <w:sz w:val="20"/>
                <w:szCs w:val="20"/>
              </w:rPr>
            </w:pPr>
            <w:r>
              <w:rPr>
                <w:rFonts w:cs="Arial"/>
                <w:sz w:val="20"/>
                <w:szCs w:val="20"/>
              </w:rPr>
              <w:t>212</w:t>
            </w:r>
          </w:p>
        </w:tc>
        <w:tc>
          <w:tcPr>
            <w:tcW w:w="1726" w:type="dxa"/>
            <w:vAlign w:val="bottom"/>
          </w:tcPr>
          <w:p w14:paraId="1EBFCF3E" w14:textId="77777777" w:rsidR="00AC0AE3" w:rsidRPr="00A03DC1" w:rsidRDefault="00AC0AE3" w:rsidP="00AC0AE3">
            <w:pPr>
              <w:spacing w:before="60" w:after="60" w:line="240" w:lineRule="auto"/>
              <w:ind w:left="0"/>
              <w:jc w:val="center"/>
              <w:rPr>
                <w:rFonts w:cs="Arial"/>
                <w:sz w:val="20"/>
                <w:szCs w:val="20"/>
              </w:rPr>
            </w:pPr>
            <w:r>
              <w:rPr>
                <w:rFonts w:cs="Arial"/>
                <w:sz w:val="20"/>
                <w:szCs w:val="20"/>
              </w:rPr>
              <w:t>310</w:t>
            </w:r>
          </w:p>
        </w:tc>
      </w:tr>
      <w:tr w:rsidR="00AC0AE3" w14:paraId="6B259E00" w14:textId="77777777" w:rsidTr="00AC0AE3">
        <w:trPr>
          <w:jc w:val="center"/>
        </w:trPr>
        <w:tc>
          <w:tcPr>
            <w:tcW w:w="2493" w:type="dxa"/>
            <w:vAlign w:val="center"/>
          </w:tcPr>
          <w:p w14:paraId="68CB6BEB" w14:textId="77777777" w:rsidR="00AC0AE3" w:rsidRPr="00B877F7" w:rsidRDefault="00AC0AE3" w:rsidP="00AC0AE3">
            <w:pPr>
              <w:spacing w:before="60" w:after="60" w:line="240" w:lineRule="auto"/>
              <w:ind w:left="0"/>
              <w:rPr>
                <w:rFonts w:cs="Arial"/>
                <w:sz w:val="20"/>
                <w:szCs w:val="20"/>
              </w:rPr>
            </w:pPr>
            <w:r>
              <w:rPr>
                <w:rFonts w:cs="Arial"/>
                <w:sz w:val="20"/>
                <w:szCs w:val="20"/>
              </w:rPr>
              <w:t>211</w:t>
            </w:r>
          </w:p>
        </w:tc>
        <w:tc>
          <w:tcPr>
            <w:tcW w:w="1726" w:type="dxa"/>
            <w:vAlign w:val="bottom"/>
          </w:tcPr>
          <w:p w14:paraId="5EF80005" w14:textId="77777777" w:rsidR="00AC0AE3" w:rsidRDefault="00AC0AE3" w:rsidP="00AC0AE3">
            <w:pPr>
              <w:spacing w:before="60" w:after="60" w:line="240" w:lineRule="auto"/>
              <w:ind w:left="0"/>
              <w:jc w:val="center"/>
              <w:rPr>
                <w:rFonts w:cs="Arial"/>
                <w:sz w:val="20"/>
                <w:szCs w:val="20"/>
              </w:rPr>
            </w:pPr>
            <w:r>
              <w:rPr>
                <w:rFonts w:cs="Arial"/>
                <w:sz w:val="20"/>
                <w:szCs w:val="20"/>
              </w:rPr>
              <w:t>380</w:t>
            </w:r>
          </w:p>
        </w:tc>
      </w:tr>
      <w:tr w:rsidR="00AC0AE3" w14:paraId="12B6A7A5" w14:textId="77777777" w:rsidTr="00AC0AE3">
        <w:trPr>
          <w:jc w:val="center"/>
        </w:trPr>
        <w:tc>
          <w:tcPr>
            <w:tcW w:w="2493" w:type="dxa"/>
            <w:vAlign w:val="center"/>
          </w:tcPr>
          <w:p w14:paraId="1D2B4C34" w14:textId="77777777" w:rsidR="00AC0AE3" w:rsidRPr="00B877F7" w:rsidRDefault="00AC0AE3" w:rsidP="00AC0AE3">
            <w:pPr>
              <w:spacing w:before="60" w:after="60" w:line="240" w:lineRule="auto"/>
              <w:ind w:left="0"/>
              <w:rPr>
                <w:rFonts w:cs="Arial"/>
                <w:sz w:val="20"/>
                <w:szCs w:val="20"/>
              </w:rPr>
            </w:pPr>
            <w:r>
              <w:rPr>
                <w:rFonts w:cs="Arial"/>
                <w:sz w:val="20"/>
                <w:szCs w:val="20"/>
              </w:rPr>
              <w:t>210</w:t>
            </w:r>
          </w:p>
        </w:tc>
        <w:tc>
          <w:tcPr>
            <w:tcW w:w="1726" w:type="dxa"/>
            <w:vAlign w:val="bottom"/>
          </w:tcPr>
          <w:p w14:paraId="21173771" w14:textId="77777777" w:rsidR="00AC0AE3" w:rsidRDefault="00AC0AE3" w:rsidP="00AC0AE3">
            <w:pPr>
              <w:spacing w:before="60" w:after="60" w:line="240" w:lineRule="auto"/>
              <w:ind w:left="0"/>
              <w:jc w:val="center"/>
              <w:rPr>
                <w:rFonts w:cs="Arial"/>
                <w:sz w:val="20"/>
                <w:szCs w:val="20"/>
              </w:rPr>
            </w:pPr>
            <w:r>
              <w:rPr>
                <w:rFonts w:cs="Arial"/>
                <w:sz w:val="20"/>
                <w:szCs w:val="20"/>
              </w:rPr>
              <w:t>400</w:t>
            </w:r>
          </w:p>
        </w:tc>
      </w:tr>
      <w:tr w:rsidR="00AC0AE3" w14:paraId="4653129C" w14:textId="77777777" w:rsidTr="00AC0AE3">
        <w:trPr>
          <w:jc w:val="center"/>
        </w:trPr>
        <w:tc>
          <w:tcPr>
            <w:tcW w:w="2493" w:type="dxa"/>
            <w:vAlign w:val="center"/>
          </w:tcPr>
          <w:p w14:paraId="044A2443" w14:textId="77777777" w:rsidR="00AC0AE3" w:rsidRPr="00B877F7" w:rsidRDefault="00AC0AE3" w:rsidP="00AC0AE3">
            <w:pPr>
              <w:spacing w:before="60" w:after="60" w:line="240" w:lineRule="auto"/>
              <w:ind w:left="0"/>
              <w:rPr>
                <w:rFonts w:cs="Arial"/>
                <w:sz w:val="20"/>
                <w:szCs w:val="20"/>
              </w:rPr>
            </w:pPr>
            <w:r>
              <w:rPr>
                <w:rFonts w:cs="Arial"/>
                <w:sz w:val="20"/>
                <w:szCs w:val="20"/>
              </w:rPr>
              <w:t>209</w:t>
            </w:r>
          </w:p>
        </w:tc>
        <w:tc>
          <w:tcPr>
            <w:tcW w:w="1726" w:type="dxa"/>
            <w:vAlign w:val="bottom"/>
          </w:tcPr>
          <w:p w14:paraId="2B5DBE1C" w14:textId="77777777" w:rsidR="00AC0AE3" w:rsidRDefault="00AC0AE3" w:rsidP="00AC0AE3">
            <w:pPr>
              <w:spacing w:before="60" w:after="60" w:line="240" w:lineRule="auto"/>
              <w:ind w:left="0"/>
              <w:jc w:val="center"/>
              <w:rPr>
                <w:rFonts w:cs="Arial"/>
                <w:sz w:val="20"/>
                <w:szCs w:val="20"/>
              </w:rPr>
            </w:pPr>
            <w:r>
              <w:rPr>
                <w:rFonts w:cs="Arial"/>
                <w:sz w:val="20"/>
                <w:szCs w:val="20"/>
              </w:rPr>
              <w:t>400</w:t>
            </w:r>
          </w:p>
        </w:tc>
      </w:tr>
      <w:tr w:rsidR="00AC0AE3" w14:paraId="32BA6F5B" w14:textId="77777777" w:rsidTr="00AC0AE3">
        <w:trPr>
          <w:jc w:val="center"/>
        </w:trPr>
        <w:tc>
          <w:tcPr>
            <w:tcW w:w="2493" w:type="dxa"/>
            <w:vAlign w:val="center"/>
          </w:tcPr>
          <w:p w14:paraId="7BFDCDB9" w14:textId="77777777" w:rsidR="00AC0AE3" w:rsidRPr="00B877F7" w:rsidRDefault="00AC0AE3" w:rsidP="00AC0AE3">
            <w:pPr>
              <w:spacing w:before="60" w:after="60" w:line="240" w:lineRule="auto"/>
              <w:ind w:left="0"/>
              <w:rPr>
                <w:rFonts w:cs="Arial"/>
                <w:sz w:val="20"/>
                <w:szCs w:val="20"/>
              </w:rPr>
            </w:pPr>
            <w:r>
              <w:rPr>
                <w:rFonts w:cs="Arial"/>
                <w:sz w:val="20"/>
                <w:szCs w:val="20"/>
              </w:rPr>
              <w:t>202*</w:t>
            </w:r>
          </w:p>
        </w:tc>
        <w:tc>
          <w:tcPr>
            <w:tcW w:w="1726" w:type="dxa"/>
            <w:vAlign w:val="bottom"/>
          </w:tcPr>
          <w:p w14:paraId="52CA375B" w14:textId="77777777" w:rsidR="00AC0AE3" w:rsidRDefault="00AC0AE3" w:rsidP="00AC0AE3">
            <w:pPr>
              <w:spacing w:before="60" w:after="60" w:line="240" w:lineRule="auto"/>
              <w:ind w:left="0"/>
              <w:jc w:val="center"/>
              <w:rPr>
                <w:rFonts w:cs="Arial"/>
                <w:sz w:val="20"/>
                <w:szCs w:val="20"/>
              </w:rPr>
            </w:pPr>
            <w:r>
              <w:rPr>
                <w:rFonts w:cs="Arial"/>
                <w:sz w:val="20"/>
                <w:szCs w:val="20"/>
              </w:rPr>
              <w:t>1,220</w:t>
            </w:r>
          </w:p>
        </w:tc>
      </w:tr>
    </w:tbl>
    <w:p w14:paraId="354ED2F8" w14:textId="77777777" w:rsidR="00AC0AE3" w:rsidRPr="00CE4340" w:rsidRDefault="00AC0AE3" w:rsidP="00AC0AE3">
      <w:pPr>
        <w:ind w:left="0" w:firstLine="2127"/>
        <w:rPr>
          <w:sz w:val="22"/>
          <w:szCs w:val="22"/>
        </w:rPr>
      </w:pPr>
      <w:r>
        <w:rPr>
          <w:sz w:val="22"/>
          <w:szCs w:val="22"/>
        </w:rPr>
        <w:t xml:space="preserve">* </w:t>
      </w:r>
      <w:r w:rsidRPr="003A0C99">
        <w:rPr>
          <w:i/>
          <w:sz w:val="18"/>
          <w:szCs w:val="18"/>
        </w:rPr>
        <w:t>Ranges extrapolated using n log(r) + A</w:t>
      </w:r>
    </w:p>
    <w:p w14:paraId="2C0056ED" w14:textId="77777777" w:rsidR="00AC0AE3" w:rsidRDefault="00AC0AE3" w:rsidP="00AC0AE3">
      <w:pPr>
        <w:ind w:left="0"/>
        <w:jc w:val="center"/>
        <w:rPr>
          <w:rFonts w:cs="Arial"/>
          <w:b/>
          <w:sz w:val="20"/>
          <w:szCs w:val="20"/>
        </w:rPr>
      </w:pPr>
    </w:p>
    <w:p w14:paraId="24138BFB" w14:textId="7BE23D3C" w:rsidR="00AC0AE3" w:rsidRPr="003A0C99" w:rsidRDefault="00AC0AE3" w:rsidP="00AC0AE3">
      <w:pPr>
        <w:spacing w:after="120" w:line="240" w:lineRule="auto"/>
        <w:ind w:left="0"/>
        <w:jc w:val="center"/>
        <w:rPr>
          <w:rFonts w:cs="Arial"/>
          <w:b/>
          <w:sz w:val="20"/>
          <w:szCs w:val="20"/>
        </w:rPr>
      </w:pPr>
      <w:r>
        <w:rPr>
          <w:rFonts w:cs="Arial"/>
          <w:b/>
          <w:sz w:val="20"/>
          <w:szCs w:val="20"/>
        </w:rPr>
        <w:t>Table 7.2</w:t>
      </w:r>
      <w:r w:rsidR="00FC79B0">
        <w:rPr>
          <w:rFonts w:cs="Arial"/>
          <w:b/>
          <w:sz w:val="20"/>
          <w:szCs w:val="20"/>
        </w:rPr>
        <w:t>5</w:t>
      </w:r>
      <w:r>
        <w:rPr>
          <w:rFonts w:cs="Arial"/>
          <w:b/>
          <w:sz w:val="20"/>
          <w:szCs w:val="20"/>
        </w:rPr>
        <w:t>.</w:t>
      </w:r>
      <w:r>
        <w:rPr>
          <w:rFonts w:cs="Arial"/>
          <w:b/>
          <w:sz w:val="20"/>
          <w:szCs w:val="20"/>
        </w:rPr>
        <w:tab/>
      </w:r>
      <w:r w:rsidRPr="003A0C99">
        <w:rPr>
          <w:rFonts w:cs="Arial"/>
          <w:b/>
          <w:sz w:val="20"/>
          <w:szCs w:val="20"/>
        </w:rPr>
        <w:t>Maximum SEL</w:t>
      </w:r>
      <w:r w:rsidRPr="00E44CF8">
        <w:rPr>
          <w:rFonts w:cs="Arial"/>
          <w:b/>
          <w:sz w:val="20"/>
          <w:szCs w:val="20"/>
        </w:rPr>
        <w:t>24h</w:t>
      </w:r>
      <w:r w:rsidRPr="003A0C99">
        <w:rPr>
          <w:rFonts w:cs="Arial"/>
          <w:b/>
          <w:sz w:val="20"/>
          <w:szCs w:val="20"/>
        </w:rPr>
        <w:t xml:space="preserve"> at range and ensonfied area</w:t>
      </w:r>
    </w:p>
    <w:tbl>
      <w:tblPr>
        <w:tblStyle w:val="TableGrid"/>
        <w:tblW w:w="4786" w:type="dxa"/>
        <w:jc w:val="center"/>
        <w:tblLayout w:type="fixed"/>
        <w:tblLook w:val="04A0" w:firstRow="1" w:lastRow="0" w:firstColumn="1" w:lastColumn="0" w:noHBand="0" w:noVBand="1"/>
      </w:tblPr>
      <w:tblGrid>
        <w:gridCol w:w="1809"/>
        <w:gridCol w:w="1418"/>
        <w:gridCol w:w="1559"/>
      </w:tblGrid>
      <w:tr w:rsidR="00AC0AE3" w:rsidRPr="000D0DBD" w14:paraId="64B40C19" w14:textId="77777777" w:rsidTr="00AC0AE3">
        <w:trPr>
          <w:trHeight w:val="385"/>
          <w:jc w:val="center"/>
        </w:trPr>
        <w:tc>
          <w:tcPr>
            <w:tcW w:w="1809" w:type="dxa"/>
            <w:vMerge w:val="restart"/>
            <w:shd w:val="clear" w:color="auto" w:fill="064EA8"/>
          </w:tcPr>
          <w:p w14:paraId="1CEDD369" w14:textId="77777777" w:rsidR="00AC0AE3" w:rsidRPr="000D0DBD" w:rsidRDefault="00AC0AE3" w:rsidP="00AC0AE3">
            <w:pPr>
              <w:spacing w:before="60" w:after="60"/>
              <w:ind w:left="0"/>
              <w:rPr>
                <w:rFonts w:cs="Arial"/>
                <w:color w:val="FFFFFF" w:themeColor="background1"/>
                <w:sz w:val="20"/>
                <w:szCs w:val="20"/>
              </w:rPr>
            </w:pPr>
            <w:r w:rsidRPr="000D0DBD">
              <w:rPr>
                <w:rFonts w:cs="Arial"/>
                <w:color w:val="FFFFFF" w:themeColor="background1"/>
                <w:sz w:val="20"/>
                <w:szCs w:val="20"/>
              </w:rPr>
              <w:t>SEL</w:t>
            </w:r>
            <w:r>
              <w:rPr>
                <w:rFonts w:cs="Arial"/>
                <w:color w:val="FFFFFF" w:themeColor="background1"/>
                <w:sz w:val="20"/>
                <w:szCs w:val="20"/>
                <w:vertAlign w:val="subscript"/>
              </w:rPr>
              <w:t>24h</w:t>
            </w:r>
            <w:r w:rsidRPr="000D0DBD">
              <w:rPr>
                <w:rFonts w:cs="Arial"/>
                <w:color w:val="FFFFFF" w:themeColor="background1"/>
                <w:sz w:val="20"/>
                <w:szCs w:val="20"/>
              </w:rPr>
              <w:t xml:space="preserve"> </w:t>
            </w:r>
            <w:r>
              <w:rPr>
                <w:rFonts w:cs="Arial"/>
                <w:color w:val="FFFFFF" w:themeColor="background1"/>
                <w:sz w:val="20"/>
                <w:szCs w:val="20"/>
              </w:rPr>
              <w:t>isopleth</w:t>
            </w:r>
            <w:r>
              <w:rPr>
                <w:rFonts w:cs="Arial"/>
                <w:color w:val="FFFFFF" w:themeColor="background1"/>
                <w:sz w:val="20"/>
                <w:szCs w:val="20"/>
              </w:rPr>
              <w:br/>
            </w:r>
            <w:r w:rsidRPr="000D0DBD">
              <w:rPr>
                <w:rFonts w:cs="Arial"/>
                <w:color w:val="FFFFFF" w:themeColor="background1"/>
                <w:sz w:val="20"/>
                <w:szCs w:val="20"/>
              </w:rPr>
              <w:t>(</w:t>
            </w:r>
            <w:r>
              <w:rPr>
                <w:rFonts w:cs="Arial"/>
                <w:color w:val="FFFFFF" w:themeColor="background1"/>
                <w:sz w:val="20"/>
                <w:szCs w:val="20"/>
              </w:rPr>
              <w:t>dB</w:t>
            </w:r>
            <w:r w:rsidRPr="000D0DBD">
              <w:rPr>
                <w:rFonts w:cs="Arial"/>
                <w:color w:val="FFFFFF" w:themeColor="background1"/>
                <w:sz w:val="20"/>
                <w:szCs w:val="20"/>
              </w:rPr>
              <w:t xml:space="preserve"> </w:t>
            </w:r>
            <w:r w:rsidRPr="000D0DBD">
              <w:rPr>
                <w:color w:val="FFFFFF" w:themeColor="background1"/>
                <w:sz w:val="20"/>
                <w:szCs w:val="20"/>
              </w:rPr>
              <w:t>re 1 μPa</w:t>
            </w:r>
            <w:r w:rsidRPr="000D0DBD">
              <w:rPr>
                <w:color w:val="FFFFFF" w:themeColor="background1"/>
                <w:sz w:val="20"/>
                <w:szCs w:val="20"/>
                <w:vertAlign w:val="superscript"/>
              </w:rPr>
              <w:t>2</w:t>
            </w:r>
            <w:r>
              <w:rPr>
                <w:color w:val="FFFFFF" w:themeColor="background1"/>
                <w:sz w:val="20"/>
                <w:szCs w:val="20"/>
              </w:rPr>
              <w:t>.s</w:t>
            </w:r>
            <w:r w:rsidRPr="000D0DBD">
              <w:rPr>
                <w:color w:val="FFFFFF" w:themeColor="background1"/>
                <w:sz w:val="20"/>
                <w:szCs w:val="20"/>
              </w:rPr>
              <w:t>)</w:t>
            </w:r>
          </w:p>
        </w:tc>
        <w:tc>
          <w:tcPr>
            <w:tcW w:w="2977" w:type="dxa"/>
            <w:gridSpan w:val="2"/>
            <w:shd w:val="clear" w:color="auto" w:fill="064EA8"/>
          </w:tcPr>
          <w:p w14:paraId="6AD41199" w14:textId="77777777" w:rsidR="00AC0AE3" w:rsidRPr="000D0DBD" w:rsidRDefault="00AC0AE3" w:rsidP="00AC0AE3">
            <w:pPr>
              <w:spacing w:before="60" w:after="60" w:line="240" w:lineRule="auto"/>
              <w:ind w:left="0"/>
              <w:jc w:val="center"/>
              <w:rPr>
                <w:rFonts w:cs="Arial"/>
                <w:color w:val="FFFFFF" w:themeColor="background1"/>
                <w:sz w:val="20"/>
                <w:szCs w:val="20"/>
              </w:rPr>
            </w:pPr>
            <w:r>
              <w:rPr>
                <w:rFonts w:cs="Arial"/>
                <w:color w:val="FFFFFF" w:themeColor="background1"/>
                <w:sz w:val="20"/>
                <w:szCs w:val="20"/>
              </w:rPr>
              <w:t>Maximum distance and area</w:t>
            </w:r>
          </w:p>
        </w:tc>
      </w:tr>
      <w:tr w:rsidR="00AC0AE3" w:rsidRPr="000D0DBD" w14:paraId="53EC77AD" w14:textId="77777777" w:rsidTr="00AC0AE3">
        <w:trPr>
          <w:jc w:val="center"/>
        </w:trPr>
        <w:tc>
          <w:tcPr>
            <w:tcW w:w="1809" w:type="dxa"/>
            <w:vMerge/>
            <w:shd w:val="clear" w:color="auto" w:fill="064EA8"/>
          </w:tcPr>
          <w:p w14:paraId="6A40FC1D" w14:textId="77777777" w:rsidR="00AC0AE3" w:rsidRPr="000D0DBD" w:rsidRDefault="00AC0AE3" w:rsidP="00AC0AE3">
            <w:pPr>
              <w:spacing w:before="60" w:after="60" w:line="240" w:lineRule="auto"/>
              <w:ind w:left="0"/>
              <w:jc w:val="center"/>
              <w:rPr>
                <w:rFonts w:cs="Arial"/>
                <w:color w:val="FFFFFF" w:themeColor="background1"/>
                <w:sz w:val="20"/>
                <w:szCs w:val="20"/>
              </w:rPr>
            </w:pPr>
          </w:p>
        </w:tc>
        <w:tc>
          <w:tcPr>
            <w:tcW w:w="1418" w:type="dxa"/>
            <w:shd w:val="clear" w:color="auto" w:fill="064EA8"/>
            <w:vAlign w:val="center"/>
          </w:tcPr>
          <w:p w14:paraId="5A14C6FD" w14:textId="77777777" w:rsidR="00AC0AE3" w:rsidRPr="000D0DBD" w:rsidRDefault="00AC0AE3" w:rsidP="00AC0AE3">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1559" w:type="dxa"/>
            <w:shd w:val="clear" w:color="auto" w:fill="064EA8"/>
            <w:vAlign w:val="center"/>
          </w:tcPr>
          <w:p w14:paraId="6A22CBAC" w14:textId="77777777" w:rsidR="00AC0AE3" w:rsidRPr="000D0DBD" w:rsidRDefault="00AC0AE3" w:rsidP="00AC0AE3">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r>
      <w:tr w:rsidR="00AC0AE3" w:rsidRPr="00B877F7" w14:paraId="04B9F176" w14:textId="77777777" w:rsidTr="00AC0AE3">
        <w:trPr>
          <w:jc w:val="center"/>
        </w:trPr>
        <w:tc>
          <w:tcPr>
            <w:tcW w:w="1809" w:type="dxa"/>
            <w:vAlign w:val="center"/>
          </w:tcPr>
          <w:p w14:paraId="31B7FACB" w14:textId="77777777" w:rsidR="00AC0AE3" w:rsidRPr="00A03DC1" w:rsidRDefault="00AC0AE3" w:rsidP="00AC0AE3">
            <w:pPr>
              <w:spacing w:before="60" w:after="60" w:line="240" w:lineRule="auto"/>
              <w:ind w:left="0"/>
              <w:rPr>
                <w:rFonts w:cs="Arial"/>
                <w:sz w:val="20"/>
                <w:szCs w:val="20"/>
              </w:rPr>
            </w:pPr>
            <w:r w:rsidRPr="00B877F7">
              <w:rPr>
                <w:rFonts w:cs="Arial"/>
                <w:sz w:val="20"/>
                <w:szCs w:val="20"/>
              </w:rPr>
              <w:t>199</w:t>
            </w:r>
          </w:p>
        </w:tc>
        <w:tc>
          <w:tcPr>
            <w:tcW w:w="1418" w:type="dxa"/>
            <w:vAlign w:val="bottom"/>
          </w:tcPr>
          <w:p w14:paraId="7A1D1A81" w14:textId="77777777" w:rsidR="00AC0AE3" w:rsidRPr="00B877F7" w:rsidRDefault="00AC0AE3" w:rsidP="00AC0AE3">
            <w:pPr>
              <w:spacing w:before="60" w:after="60" w:line="240" w:lineRule="auto"/>
              <w:ind w:left="0"/>
              <w:jc w:val="center"/>
              <w:rPr>
                <w:rFonts w:cs="Arial"/>
                <w:sz w:val="20"/>
                <w:szCs w:val="20"/>
              </w:rPr>
            </w:pPr>
            <w:r>
              <w:rPr>
                <w:rFonts w:cs="Arial"/>
                <w:sz w:val="20"/>
                <w:szCs w:val="20"/>
              </w:rPr>
              <w:t>1.73</w:t>
            </w:r>
          </w:p>
        </w:tc>
        <w:tc>
          <w:tcPr>
            <w:tcW w:w="1559" w:type="dxa"/>
            <w:vAlign w:val="bottom"/>
          </w:tcPr>
          <w:p w14:paraId="498EC21F" w14:textId="77777777" w:rsidR="00AC0AE3" w:rsidRPr="00B877F7" w:rsidRDefault="00AC0AE3" w:rsidP="00AC0AE3">
            <w:pPr>
              <w:spacing w:before="60" w:after="60" w:line="240" w:lineRule="auto"/>
              <w:ind w:left="0"/>
              <w:jc w:val="center"/>
              <w:rPr>
                <w:rFonts w:cs="Arial"/>
                <w:sz w:val="20"/>
                <w:szCs w:val="20"/>
              </w:rPr>
            </w:pPr>
            <w:r>
              <w:rPr>
                <w:rFonts w:cs="Arial"/>
                <w:sz w:val="20"/>
                <w:szCs w:val="20"/>
              </w:rPr>
              <w:t>117</w:t>
            </w:r>
          </w:p>
        </w:tc>
      </w:tr>
      <w:tr w:rsidR="00AC0AE3" w:rsidRPr="00A03DC1" w14:paraId="4B8F3328" w14:textId="77777777" w:rsidTr="00AC0AE3">
        <w:trPr>
          <w:jc w:val="center"/>
        </w:trPr>
        <w:tc>
          <w:tcPr>
            <w:tcW w:w="1809" w:type="dxa"/>
            <w:vAlign w:val="center"/>
          </w:tcPr>
          <w:p w14:paraId="6C70F94E" w14:textId="77777777" w:rsidR="00AC0AE3" w:rsidRPr="00A03DC1" w:rsidRDefault="00AC0AE3" w:rsidP="00AC0AE3">
            <w:pPr>
              <w:spacing w:before="60" w:after="60" w:line="240" w:lineRule="auto"/>
              <w:ind w:left="0"/>
              <w:rPr>
                <w:rFonts w:cs="Arial"/>
                <w:sz w:val="20"/>
                <w:szCs w:val="20"/>
              </w:rPr>
            </w:pPr>
            <w:r w:rsidRPr="00B877F7">
              <w:rPr>
                <w:rFonts w:cs="Arial"/>
                <w:sz w:val="20"/>
                <w:szCs w:val="20"/>
              </w:rPr>
              <w:t>198</w:t>
            </w:r>
          </w:p>
        </w:tc>
        <w:tc>
          <w:tcPr>
            <w:tcW w:w="1418" w:type="dxa"/>
            <w:vAlign w:val="bottom"/>
          </w:tcPr>
          <w:p w14:paraId="45192371" w14:textId="77777777" w:rsidR="00AC0AE3" w:rsidRPr="00A03DC1" w:rsidRDefault="00AC0AE3" w:rsidP="00AC0AE3">
            <w:pPr>
              <w:spacing w:before="60" w:after="60" w:line="240" w:lineRule="auto"/>
              <w:ind w:left="0"/>
              <w:jc w:val="center"/>
              <w:rPr>
                <w:rFonts w:cs="Arial"/>
                <w:sz w:val="20"/>
                <w:szCs w:val="20"/>
              </w:rPr>
            </w:pPr>
            <w:r>
              <w:rPr>
                <w:rFonts w:cs="Arial"/>
                <w:sz w:val="20"/>
                <w:szCs w:val="20"/>
              </w:rPr>
              <w:t>2.05</w:t>
            </w:r>
          </w:p>
        </w:tc>
        <w:tc>
          <w:tcPr>
            <w:tcW w:w="1559" w:type="dxa"/>
            <w:vAlign w:val="bottom"/>
          </w:tcPr>
          <w:p w14:paraId="70717480" w14:textId="77777777" w:rsidR="00AC0AE3" w:rsidRPr="00A03DC1" w:rsidRDefault="00AC0AE3" w:rsidP="00AC0AE3">
            <w:pPr>
              <w:spacing w:before="60" w:after="60" w:line="240" w:lineRule="auto"/>
              <w:ind w:left="0"/>
              <w:jc w:val="center"/>
              <w:rPr>
                <w:rFonts w:cs="Arial"/>
                <w:sz w:val="20"/>
                <w:szCs w:val="20"/>
              </w:rPr>
            </w:pPr>
            <w:r>
              <w:rPr>
                <w:rFonts w:cs="Arial"/>
                <w:sz w:val="20"/>
                <w:szCs w:val="20"/>
              </w:rPr>
              <w:t>133</w:t>
            </w:r>
          </w:p>
        </w:tc>
      </w:tr>
      <w:tr w:rsidR="00AC0AE3" w14:paraId="249B114E" w14:textId="77777777" w:rsidTr="00AC0AE3">
        <w:trPr>
          <w:jc w:val="center"/>
        </w:trPr>
        <w:tc>
          <w:tcPr>
            <w:tcW w:w="1809" w:type="dxa"/>
            <w:vAlign w:val="center"/>
          </w:tcPr>
          <w:p w14:paraId="4FAA6B82" w14:textId="77777777" w:rsidR="00AC0AE3" w:rsidRPr="00B877F7" w:rsidRDefault="00AC0AE3" w:rsidP="00AC0AE3">
            <w:pPr>
              <w:spacing w:before="60" w:after="60" w:line="240" w:lineRule="auto"/>
              <w:ind w:left="0"/>
              <w:rPr>
                <w:rFonts w:cs="Arial"/>
                <w:sz w:val="20"/>
                <w:szCs w:val="20"/>
              </w:rPr>
            </w:pPr>
            <w:r w:rsidRPr="00B877F7">
              <w:rPr>
                <w:rFonts w:cs="Arial"/>
                <w:sz w:val="20"/>
                <w:szCs w:val="20"/>
              </w:rPr>
              <w:t>197</w:t>
            </w:r>
          </w:p>
        </w:tc>
        <w:tc>
          <w:tcPr>
            <w:tcW w:w="1418" w:type="dxa"/>
            <w:vAlign w:val="bottom"/>
          </w:tcPr>
          <w:p w14:paraId="57EB3C3B" w14:textId="77777777" w:rsidR="00AC0AE3" w:rsidRDefault="00AC0AE3" w:rsidP="00AC0AE3">
            <w:pPr>
              <w:spacing w:before="60" w:after="60" w:line="240" w:lineRule="auto"/>
              <w:ind w:left="0"/>
              <w:jc w:val="center"/>
              <w:rPr>
                <w:rFonts w:cs="Arial"/>
                <w:sz w:val="20"/>
                <w:szCs w:val="20"/>
              </w:rPr>
            </w:pPr>
            <w:r>
              <w:rPr>
                <w:rFonts w:cs="Arial"/>
                <w:sz w:val="20"/>
                <w:szCs w:val="20"/>
              </w:rPr>
              <w:t>2.39</w:t>
            </w:r>
          </w:p>
        </w:tc>
        <w:tc>
          <w:tcPr>
            <w:tcW w:w="1559" w:type="dxa"/>
            <w:vAlign w:val="bottom"/>
          </w:tcPr>
          <w:p w14:paraId="767293C0" w14:textId="77777777" w:rsidR="00AC0AE3" w:rsidRDefault="00AC0AE3" w:rsidP="00AC0AE3">
            <w:pPr>
              <w:spacing w:before="60" w:after="60" w:line="240" w:lineRule="auto"/>
              <w:ind w:left="0"/>
              <w:jc w:val="center"/>
              <w:rPr>
                <w:rFonts w:cs="Arial"/>
                <w:sz w:val="20"/>
                <w:szCs w:val="20"/>
              </w:rPr>
            </w:pPr>
            <w:r>
              <w:rPr>
                <w:rFonts w:cs="Arial"/>
                <w:sz w:val="20"/>
                <w:szCs w:val="20"/>
              </w:rPr>
              <w:t>148</w:t>
            </w:r>
          </w:p>
        </w:tc>
      </w:tr>
      <w:tr w:rsidR="00AC0AE3" w14:paraId="5CC3BED1" w14:textId="77777777" w:rsidTr="00AC0AE3">
        <w:trPr>
          <w:jc w:val="center"/>
        </w:trPr>
        <w:tc>
          <w:tcPr>
            <w:tcW w:w="1809" w:type="dxa"/>
            <w:vAlign w:val="center"/>
          </w:tcPr>
          <w:p w14:paraId="6BF3AE08" w14:textId="77777777" w:rsidR="00AC0AE3" w:rsidRPr="00B877F7" w:rsidRDefault="00AC0AE3" w:rsidP="00AC0AE3">
            <w:pPr>
              <w:spacing w:before="60" w:after="60" w:line="240" w:lineRule="auto"/>
              <w:ind w:left="0"/>
              <w:rPr>
                <w:rFonts w:cs="Arial"/>
                <w:sz w:val="20"/>
                <w:szCs w:val="20"/>
              </w:rPr>
            </w:pPr>
            <w:r w:rsidRPr="00B877F7">
              <w:rPr>
                <w:rFonts w:cs="Arial"/>
                <w:sz w:val="20"/>
                <w:szCs w:val="20"/>
              </w:rPr>
              <w:t>196</w:t>
            </w:r>
          </w:p>
        </w:tc>
        <w:tc>
          <w:tcPr>
            <w:tcW w:w="1418" w:type="dxa"/>
            <w:vAlign w:val="bottom"/>
          </w:tcPr>
          <w:p w14:paraId="7E685ACB" w14:textId="77777777" w:rsidR="00AC0AE3" w:rsidRDefault="00AC0AE3" w:rsidP="00AC0AE3">
            <w:pPr>
              <w:spacing w:before="60" w:after="60" w:line="240" w:lineRule="auto"/>
              <w:ind w:left="0"/>
              <w:jc w:val="center"/>
              <w:rPr>
                <w:rFonts w:cs="Arial"/>
                <w:sz w:val="20"/>
                <w:szCs w:val="20"/>
              </w:rPr>
            </w:pPr>
            <w:r>
              <w:rPr>
                <w:rFonts w:cs="Arial"/>
                <w:sz w:val="20"/>
                <w:szCs w:val="20"/>
              </w:rPr>
              <w:t>2.74</w:t>
            </w:r>
          </w:p>
        </w:tc>
        <w:tc>
          <w:tcPr>
            <w:tcW w:w="1559" w:type="dxa"/>
            <w:vAlign w:val="bottom"/>
          </w:tcPr>
          <w:p w14:paraId="0470218D" w14:textId="77777777" w:rsidR="00AC0AE3" w:rsidRDefault="00AC0AE3" w:rsidP="00AC0AE3">
            <w:pPr>
              <w:spacing w:before="60" w:after="60" w:line="240" w:lineRule="auto"/>
              <w:ind w:left="0"/>
              <w:jc w:val="center"/>
              <w:rPr>
                <w:rFonts w:cs="Arial"/>
                <w:sz w:val="20"/>
                <w:szCs w:val="20"/>
              </w:rPr>
            </w:pPr>
            <w:r>
              <w:rPr>
                <w:rFonts w:cs="Arial"/>
                <w:sz w:val="20"/>
                <w:szCs w:val="20"/>
              </w:rPr>
              <w:t>158</w:t>
            </w:r>
          </w:p>
        </w:tc>
      </w:tr>
      <w:tr w:rsidR="00AC0AE3" w14:paraId="771D85D8" w14:textId="77777777" w:rsidTr="00AC0AE3">
        <w:trPr>
          <w:jc w:val="center"/>
        </w:trPr>
        <w:tc>
          <w:tcPr>
            <w:tcW w:w="1809" w:type="dxa"/>
            <w:vAlign w:val="center"/>
          </w:tcPr>
          <w:p w14:paraId="5C7C324A" w14:textId="77777777" w:rsidR="00AC0AE3" w:rsidRPr="00B877F7" w:rsidRDefault="00AC0AE3" w:rsidP="00AC0AE3">
            <w:pPr>
              <w:spacing w:before="60" w:after="60" w:line="240" w:lineRule="auto"/>
              <w:ind w:left="0"/>
              <w:rPr>
                <w:rFonts w:cs="Arial"/>
                <w:sz w:val="20"/>
                <w:szCs w:val="20"/>
              </w:rPr>
            </w:pPr>
            <w:r w:rsidRPr="00B877F7">
              <w:rPr>
                <w:rFonts w:cs="Arial"/>
                <w:sz w:val="20"/>
                <w:szCs w:val="20"/>
              </w:rPr>
              <w:t>195</w:t>
            </w:r>
          </w:p>
        </w:tc>
        <w:tc>
          <w:tcPr>
            <w:tcW w:w="1418" w:type="dxa"/>
            <w:vAlign w:val="bottom"/>
          </w:tcPr>
          <w:p w14:paraId="23A21CF9" w14:textId="77777777" w:rsidR="00AC0AE3" w:rsidRDefault="00AC0AE3" w:rsidP="00AC0AE3">
            <w:pPr>
              <w:spacing w:before="60" w:after="60" w:line="240" w:lineRule="auto"/>
              <w:ind w:left="0"/>
              <w:jc w:val="center"/>
              <w:rPr>
                <w:rFonts w:cs="Arial"/>
                <w:sz w:val="20"/>
                <w:szCs w:val="20"/>
              </w:rPr>
            </w:pPr>
            <w:r>
              <w:rPr>
                <w:rFonts w:cs="Arial"/>
                <w:sz w:val="20"/>
                <w:szCs w:val="20"/>
              </w:rPr>
              <w:t>3.13</w:t>
            </w:r>
          </w:p>
        </w:tc>
        <w:tc>
          <w:tcPr>
            <w:tcW w:w="1559" w:type="dxa"/>
            <w:vAlign w:val="bottom"/>
          </w:tcPr>
          <w:p w14:paraId="1D3E3900" w14:textId="77777777" w:rsidR="00AC0AE3" w:rsidRDefault="00AC0AE3" w:rsidP="00AC0AE3">
            <w:pPr>
              <w:spacing w:before="60" w:after="60" w:line="240" w:lineRule="auto"/>
              <w:ind w:left="0"/>
              <w:jc w:val="center"/>
              <w:rPr>
                <w:rFonts w:cs="Arial"/>
                <w:sz w:val="20"/>
                <w:szCs w:val="20"/>
              </w:rPr>
            </w:pPr>
            <w:r>
              <w:rPr>
                <w:rFonts w:cs="Arial"/>
                <w:sz w:val="20"/>
                <w:szCs w:val="20"/>
              </w:rPr>
              <w:t>168</w:t>
            </w:r>
          </w:p>
        </w:tc>
      </w:tr>
      <w:tr w:rsidR="00AC0AE3" w14:paraId="16E978F3" w14:textId="77777777" w:rsidTr="00AC0AE3">
        <w:trPr>
          <w:jc w:val="center"/>
        </w:trPr>
        <w:tc>
          <w:tcPr>
            <w:tcW w:w="1809" w:type="dxa"/>
            <w:vAlign w:val="center"/>
          </w:tcPr>
          <w:p w14:paraId="42A4AF4C" w14:textId="77777777" w:rsidR="00AC0AE3" w:rsidRPr="00B877F7" w:rsidRDefault="00AC0AE3" w:rsidP="00AC0AE3">
            <w:pPr>
              <w:spacing w:before="60" w:after="60" w:line="240" w:lineRule="auto"/>
              <w:ind w:left="0"/>
              <w:rPr>
                <w:rFonts w:cs="Arial"/>
                <w:sz w:val="20"/>
                <w:szCs w:val="20"/>
              </w:rPr>
            </w:pPr>
            <w:r w:rsidRPr="00B877F7">
              <w:rPr>
                <w:rFonts w:cs="Arial"/>
                <w:sz w:val="20"/>
                <w:szCs w:val="20"/>
              </w:rPr>
              <w:t>194</w:t>
            </w:r>
          </w:p>
        </w:tc>
        <w:tc>
          <w:tcPr>
            <w:tcW w:w="1418" w:type="dxa"/>
            <w:vAlign w:val="bottom"/>
          </w:tcPr>
          <w:p w14:paraId="42E5CBCE" w14:textId="77777777" w:rsidR="00AC0AE3" w:rsidRDefault="00AC0AE3" w:rsidP="00AC0AE3">
            <w:pPr>
              <w:spacing w:before="60" w:after="60" w:line="240" w:lineRule="auto"/>
              <w:ind w:left="0"/>
              <w:jc w:val="center"/>
              <w:rPr>
                <w:rFonts w:cs="Arial"/>
                <w:sz w:val="20"/>
                <w:szCs w:val="20"/>
              </w:rPr>
            </w:pPr>
            <w:r>
              <w:rPr>
                <w:rFonts w:cs="Arial"/>
                <w:sz w:val="20"/>
                <w:szCs w:val="20"/>
              </w:rPr>
              <w:t>3.53</w:t>
            </w:r>
          </w:p>
        </w:tc>
        <w:tc>
          <w:tcPr>
            <w:tcW w:w="1559" w:type="dxa"/>
            <w:vAlign w:val="bottom"/>
          </w:tcPr>
          <w:p w14:paraId="04C86579" w14:textId="77777777" w:rsidR="00AC0AE3" w:rsidRDefault="00AC0AE3" w:rsidP="00AC0AE3">
            <w:pPr>
              <w:spacing w:before="60" w:after="60" w:line="240" w:lineRule="auto"/>
              <w:ind w:left="0"/>
              <w:jc w:val="center"/>
              <w:rPr>
                <w:rFonts w:cs="Arial"/>
                <w:sz w:val="20"/>
                <w:szCs w:val="20"/>
              </w:rPr>
            </w:pPr>
            <w:r>
              <w:rPr>
                <w:rFonts w:cs="Arial"/>
                <w:sz w:val="20"/>
                <w:szCs w:val="20"/>
              </w:rPr>
              <w:t>179</w:t>
            </w:r>
          </w:p>
        </w:tc>
      </w:tr>
      <w:tr w:rsidR="00AC0AE3" w14:paraId="0E5A49E7" w14:textId="77777777" w:rsidTr="00AC0AE3">
        <w:trPr>
          <w:jc w:val="center"/>
        </w:trPr>
        <w:tc>
          <w:tcPr>
            <w:tcW w:w="1809" w:type="dxa"/>
            <w:vAlign w:val="center"/>
          </w:tcPr>
          <w:p w14:paraId="15D1B947" w14:textId="77777777" w:rsidR="00AC0AE3" w:rsidRPr="00B877F7" w:rsidRDefault="00AC0AE3" w:rsidP="00AC0AE3">
            <w:pPr>
              <w:spacing w:before="60" w:after="60" w:line="240" w:lineRule="auto"/>
              <w:ind w:left="0"/>
              <w:rPr>
                <w:rFonts w:cs="Arial"/>
                <w:sz w:val="20"/>
                <w:szCs w:val="20"/>
              </w:rPr>
            </w:pPr>
            <w:r w:rsidRPr="00B877F7">
              <w:rPr>
                <w:rFonts w:cs="Arial"/>
                <w:sz w:val="20"/>
                <w:szCs w:val="20"/>
              </w:rPr>
              <w:t>193</w:t>
            </w:r>
          </w:p>
        </w:tc>
        <w:tc>
          <w:tcPr>
            <w:tcW w:w="1418" w:type="dxa"/>
            <w:vAlign w:val="bottom"/>
          </w:tcPr>
          <w:p w14:paraId="29BD98B5" w14:textId="77777777" w:rsidR="00AC0AE3" w:rsidRDefault="00AC0AE3" w:rsidP="00AC0AE3">
            <w:pPr>
              <w:spacing w:before="60" w:after="60" w:line="240" w:lineRule="auto"/>
              <w:ind w:left="0"/>
              <w:jc w:val="center"/>
              <w:rPr>
                <w:rFonts w:cs="Arial"/>
                <w:sz w:val="20"/>
                <w:szCs w:val="20"/>
              </w:rPr>
            </w:pPr>
            <w:r>
              <w:rPr>
                <w:rFonts w:cs="Arial"/>
                <w:sz w:val="20"/>
                <w:szCs w:val="20"/>
              </w:rPr>
              <w:t>3.93</w:t>
            </w:r>
          </w:p>
        </w:tc>
        <w:tc>
          <w:tcPr>
            <w:tcW w:w="1559" w:type="dxa"/>
            <w:vAlign w:val="bottom"/>
          </w:tcPr>
          <w:p w14:paraId="69982F45" w14:textId="77777777" w:rsidR="00AC0AE3" w:rsidRDefault="00AC0AE3" w:rsidP="00AC0AE3">
            <w:pPr>
              <w:spacing w:before="60" w:after="60" w:line="240" w:lineRule="auto"/>
              <w:ind w:left="0"/>
              <w:jc w:val="center"/>
              <w:rPr>
                <w:rFonts w:cs="Arial"/>
                <w:sz w:val="20"/>
                <w:szCs w:val="20"/>
              </w:rPr>
            </w:pPr>
            <w:r>
              <w:rPr>
                <w:rFonts w:cs="Arial"/>
                <w:sz w:val="20"/>
                <w:szCs w:val="20"/>
              </w:rPr>
              <w:t>190</w:t>
            </w:r>
          </w:p>
        </w:tc>
      </w:tr>
      <w:tr w:rsidR="00AC0AE3" w14:paraId="6C9B649F" w14:textId="77777777" w:rsidTr="00AC0AE3">
        <w:trPr>
          <w:jc w:val="center"/>
        </w:trPr>
        <w:tc>
          <w:tcPr>
            <w:tcW w:w="1809" w:type="dxa"/>
            <w:vAlign w:val="center"/>
          </w:tcPr>
          <w:p w14:paraId="38D1E29C" w14:textId="77777777" w:rsidR="00AC0AE3" w:rsidRPr="00B877F7" w:rsidRDefault="00AC0AE3" w:rsidP="00AC0AE3">
            <w:pPr>
              <w:spacing w:before="60" w:after="60" w:line="240" w:lineRule="auto"/>
              <w:ind w:left="0"/>
              <w:rPr>
                <w:rFonts w:cs="Arial"/>
                <w:sz w:val="20"/>
                <w:szCs w:val="20"/>
              </w:rPr>
            </w:pPr>
            <w:r w:rsidRPr="00B877F7">
              <w:rPr>
                <w:rFonts w:cs="Arial"/>
                <w:sz w:val="20"/>
                <w:szCs w:val="20"/>
              </w:rPr>
              <w:t>192</w:t>
            </w:r>
          </w:p>
        </w:tc>
        <w:tc>
          <w:tcPr>
            <w:tcW w:w="1418" w:type="dxa"/>
            <w:vAlign w:val="bottom"/>
          </w:tcPr>
          <w:p w14:paraId="66EF3D48" w14:textId="77777777" w:rsidR="00AC0AE3" w:rsidRDefault="00AC0AE3" w:rsidP="00AC0AE3">
            <w:pPr>
              <w:spacing w:before="60" w:after="60" w:line="240" w:lineRule="auto"/>
              <w:ind w:left="0"/>
              <w:jc w:val="center"/>
              <w:rPr>
                <w:rFonts w:cs="Arial"/>
                <w:sz w:val="20"/>
                <w:szCs w:val="20"/>
              </w:rPr>
            </w:pPr>
            <w:r>
              <w:rPr>
                <w:rFonts w:cs="Arial"/>
                <w:sz w:val="20"/>
                <w:szCs w:val="20"/>
              </w:rPr>
              <w:t>4.33</w:t>
            </w:r>
          </w:p>
        </w:tc>
        <w:tc>
          <w:tcPr>
            <w:tcW w:w="1559" w:type="dxa"/>
            <w:vAlign w:val="bottom"/>
          </w:tcPr>
          <w:p w14:paraId="030EDF5B" w14:textId="77777777" w:rsidR="00AC0AE3" w:rsidRDefault="00AC0AE3" w:rsidP="00AC0AE3">
            <w:pPr>
              <w:spacing w:before="60" w:after="60" w:line="240" w:lineRule="auto"/>
              <w:ind w:left="0"/>
              <w:jc w:val="center"/>
              <w:rPr>
                <w:rFonts w:cs="Arial"/>
                <w:sz w:val="20"/>
                <w:szCs w:val="20"/>
              </w:rPr>
            </w:pPr>
            <w:r>
              <w:rPr>
                <w:rFonts w:cs="Arial"/>
                <w:sz w:val="20"/>
                <w:szCs w:val="20"/>
              </w:rPr>
              <w:t>202</w:t>
            </w:r>
          </w:p>
        </w:tc>
      </w:tr>
    </w:tbl>
    <w:p w14:paraId="6FD03430" w14:textId="77777777" w:rsidR="00AC0AE3" w:rsidRDefault="00AC0AE3" w:rsidP="00C10577">
      <w:pPr>
        <w:ind w:left="0"/>
        <w:rPr>
          <w:sz w:val="22"/>
          <w:szCs w:val="22"/>
          <w:highlight w:val="lightGray"/>
        </w:rPr>
      </w:pPr>
    </w:p>
    <w:p w14:paraId="321B6A33" w14:textId="77777777" w:rsidR="00E44CF8" w:rsidRPr="00D70321" w:rsidRDefault="00E44CF8" w:rsidP="00C10577">
      <w:pPr>
        <w:ind w:left="0"/>
        <w:rPr>
          <w:sz w:val="22"/>
          <w:szCs w:val="22"/>
        </w:rPr>
      </w:pPr>
    </w:p>
    <w:p w14:paraId="31540EF3" w14:textId="00CE4657" w:rsidR="00FC79B0" w:rsidRPr="00FC79B0" w:rsidRDefault="00FC79B0" w:rsidP="00FC79B0">
      <w:pPr>
        <w:spacing w:after="120" w:line="240" w:lineRule="auto"/>
        <w:ind w:left="0"/>
        <w:rPr>
          <w:rFonts w:cs="Arial"/>
          <w:sz w:val="22"/>
          <w:szCs w:val="22"/>
          <w:u w:val="single"/>
        </w:rPr>
      </w:pPr>
      <w:r w:rsidRPr="00FC79B0">
        <w:rPr>
          <w:rFonts w:cs="Arial"/>
          <w:sz w:val="22"/>
          <w:szCs w:val="22"/>
          <w:u w:val="single"/>
        </w:rPr>
        <w:t>Predicted impacts</w:t>
      </w:r>
    </w:p>
    <w:p w14:paraId="2446B5CB" w14:textId="15DE6C18" w:rsidR="00E44CF8" w:rsidRPr="00D70321" w:rsidRDefault="00E44CF8" w:rsidP="00E44CF8">
      <w:pPr>
        <w:ind w:left="0"/>
        <w:rPr>
          <w:rFonts w:cs="Arial"/>
          <w:sz w:val="22"/>
          <w:szCs w:val="22"/>
        </w:rPr>
      </w:pPr>
      <w:r w:rsidRPr="00D70321">
        <w:rPr>
          <w:rFonts w:cs="Arial"/>
          <w:sz w:val="22"/>
          <w:szCs w:val="22"/>
        </w:rPr>
        <w:t>The discussion in the section</w:t>
      </w:r>
      <w:r w:rsidR="00A13EF5">
        <w:rPr>
          <w:rFonts w:cs="Arial"/>
          <w:sz w:val="22"/>
          <w:szCs w:val="22"/>
        </w:rPr>
        <w:t>s</w:t>
      </w:r>
      <w:r w:rsidRPr="00D70321">
        <w:rPr>
          <w:rFonts w:cs="Arial"/>
          <w:sz w:val="22"/>
          <w:szCs w:val="22"/>
        </w:rPr>
        <w:t xml:space="preserve"> </w:t>
      </w:r>
      <w:r w:rsidR="00A13EF5">
        <w:rPr>
          <w:rFonts w:cs="Arial"/>
          <w:sz w:val="22"/>
          <w:szCs w:val="22"/>
        </w:rPr>
        <w:t xml:space="preserve">above </w:t>
      </w:r>
      <w:r w:rsidRPr="00D70321">
        <w:rPr>
          <w:rFonts w:cs="Arial"/>
          <w:sz w:val="22"/>
          <w:szCs w:val="22"/>
        </w:rPr>
        <w:t>outline that the science around which metrics relate to a</w:t>
      </w:r>
      <w:r w:rsidR="00A13EF5">
        <w:rPr>
          <w:rFonts w:cs="Arial"/>
          <w:sz w:val="22"/>
          <w:szCs w:val="22"/>
        </w:rPr>
        <w:t xml:space="preserve"> pote</w:t>
      </w:r>
      <w:r w:rsidRPr="00D70321">
        <w:rPr>
          <w:rFonts w:cs="Arial"/>
          <w:sz w:val="22"/>
          <w:szCs w:val="22"/>
        </w:rPr>
        <w:t>n</w:t>
      </w:r>
      <w:r w:rsidR="00A13EF5">
        <w:rPr>
          <w:rFonts w:cs="Arial"/>
          <w:sz w:val="22"/>
          <w:szCs w:val="22"/>
        </w:rPr>
        <w:t>tial</w:t>
      </w:r>
      <w:r w:rsidRPr="00D70321">
        <w:rPr>
          <w:rFonts w:cs="Arial"/>
          <w:sz w:val="22"/>
          <w:szCs w:val="22"/>
        </w:rPr>
        <w:t xml:space="preserve"> effect</w:t>
      </w:r>
      <w:r w:rsidR="00A13EF5">
        <w:rPr>
          <w:rFonts w:cs="Arial"/>
          <w:sz w:val="22"/>
          <w:szCs w:val="22"/>
        </w:rPr>
        <w:t xml:space="preserve"> on scallops</w:t>
      </w:r>
      <w:r w:rsidRPr="00D70321">
        <w:rPr>
          <w:rFonts w:cs="Arial"/>
          <w:sz w:val="22"/>
          <w:szCs w:val="22"/>
        </w:rPr>
        <w:t xml:space="preserve">, and the relationship therefore to impact, is an area </w:t>
      </w:r>
      <w:r w:rsidR="00A13EF5">
        <w:rPr>
          <w:rFonts w:cs="Arial"/>
          <w:sz w:val="22"/>
          <w:szCs w:val="22"/>
        </w:rPr>
        <w:t>in need of</w:t>
      </w:r>
      <w:r w:rsidR="00A13EF5" w:rsidRPr="00D70321">
        <w:rPr>
          <w:rFonts w:cs="Arial"/>
          <w:sz w:val="22"/>
          <w:szCs w:val="22"/>
        </w:rPr>
        <w:t xml:space="preserve"> </w:t>
      </w:r>
      <w:r w:rsidR="00A13EF5">
        <w:rPr>
          <w:rFonts w:cs="Arial"/>
          <w:sz w:val="22"/>
          <w:szCs w:val="22"/>
        </w:rPr>
        <w:t xml:space="preserve">further </w:t>
      </w:r>
      <w:r w:rsidRPr="00D70321">
        <w:rPr>
          <w:rFonts w:cs="Arial"/>
          <w:sz w:val="22"/>
          <w:szCs w:val="22"/>
        </w:rPr>
        <w:t xml:space="preserve">research. </w:t>
      </w:r>
    </w:p>
    <w:p w14:paraId="47B8E132" w14:textId="77777777" w:rsidR="00E44CF8" w:rsidRPr="00D70321" w:rsidRDefault="00E44CF8" w:rsidP="00E44CF8">
      <w:pPr>
        <w:ind w:left="0"/>
        <w:rPr>
          <w:rFonts w:cs="Arial"/>
          <w:sz w:val="22"/>
          <w:szCs w:val="22"/>
        </w:rPr>
      </w:pPr>
    </w:p>
    <w:p w14:paraId="1AA41AB3" w14:textId="783946F1" w:rsidR="00E44CF8" w:rsidRPr="00D70321" w:rsidRDefault="00E44CF8" w:rsidP="00E44CF8">
      <w:pPr>
        <w:ind w:left="0"/>
        <w:rPr>
          <w:rFonts w:cs="Arial"/>
          <w:sz w:val="22"/>
          <w:szCs w:val="22"/>
        </w:rPr>
      </w:pPr>
      <w:r w:rsidRPr="00D70321">
        <w:rPr>
          <w:rFonts w:cs="Arial"/>
          <w:sz w:val="22"/>
          <w:szCs w:val="22"/>
        </w:rPr>
        <w:t>Impacts have been determined though</w:t>
      </w:r>
      <w:r w:rsidR="00C90E25">
        <w:rPr>
          <w:rFonts w:cs="Arial"/>
          <w:sz w:val="22"/>
          <w:szCs w:val="22"/>
        </w:rPr>
        <w:t xml:space="preserve"> </w:t>
      </w:r>
      <w:r w:rsidRPr="00D70321">
        <w:rPr>
          <w:rFonts w:cs="Arial"/>
          <w:sz w:val="22"/>
          <w:szCs w:val="22"/>
        </w:rPr>
        <w:t>consideration of these results, the observations from Day et al (2016</w:t>
      </w:r>
      <w:r w:rsidR="00836602" w:rsidRPr="00D70321">
        <w:rPr>
          <w:rFonts w:cs="Arial"/>
          <w:sz w:val="22"/>
          <w:szCs w:val="22"/>
        </w:rPr>
        <w:t>a</w:t>
      </w:r>
      <w:r w:rsidRPr="00D70321">
        <w:rPr>
          <w:rFonts w:cs="Arial"/>
          <w:sz w:val="22"/>
          <w:szCs w:val="22"/>
        </w:rPr>
        <w:t>), Przeslawski et al (2016a;b)</w:t>
      </w:r>
      <w:r w:rsidR="00A13EF5">
        <w:rPr>
          <w:rFonts w:cs="Arial"/>
          <w:sz w:val="22"/>
          <w:szCs w:val="22"/>
        </w:rPr>
        <w:t>,</w:t>
      </w:r>
      <w:r w:rsidRPr="00D70321">
        <w:rPr>
          <w:rFonts w:cs="Arial"/>
          <w:sz w:val="22"/>
          <w:szCs w:val="22"/>
        </w:rPr>
        <w:t xml:space="preserve"> Harrington et al (2010)</w:t>
      </w:r>
      <w:r w:rsidR="00A13EF5">
        <w:rPr>
          <w:rFonts w:cs="Arial"/>
          <w:sz w:val="22"/>
          <w:szCs w:val="22"/>
        </w:rPr>
        <w:t xml:space="preserve"> and Payne (2007)</w:t>
      </w:r>
      <w:r w:rsidRPr="00D70321">
        <w:rPr>
          <w:rFonts w:cs="Arial"/>
          <w:sz w:val="22"/>
          <w:szCs w:val="22"/>
        </w:rPr>
        <w:t xml:space="preserve">, the habitat present within and close to the proposed acquisition area, and the </w:t>
      </w:r>
      <w:r w:rsidR="00A13EF5">
        <w:rPr>
          <w:rFonts w:cs="Arial"/>
          <w:sz w:val="22"/>
          <w:szCs w:val="22"/>
        </w:rPr>
        <w:t xml:space="preserve">potential </w:t>
      </w:r>
      <w:r w:rsidRPr="00D70321">
        <w:rPr>
          <w:rFonts w:cs="Arial"/>
          <w:sz w:val="22"/>
          <w:szCs w:val="22"/>
        </w:rPr>
        <w:t xml:space="preserve">presence of </w:t>
      </w:r>
      <w:r w:rsidR="00A13EF5">
        <w:rPr>
          <w:rFonts w:cs="Arial"/>
          <w:sz w:val="22"/>
          <w:szCs w:val="22"/>
        </w:rPr>
        <w:t xml:space="preserve">scallops. </w:t>
      </w:r>
    </w:p>
    <w:p w14:paraId="22C0E24C" w14:textId="77777777" w:rsidR="00E44CF8" w:rsidRPr="00D70321" w:rsidRDefault="00E44CF8" w:rsidP="00E44CF8">
      <w:pPr>
        <w:ind w:left="0"/>
        <w:rPr>
          <w:rFonts w:cs="Arial"/>
          <w:sz w:val="22"/>
          <w:szCs w:val="22"/>
        </w:rPr>
      </w:pPr>
    </w:p>
    <w:p w14:paraId="73072173" w14:textId="2482FEA4" w:rsidR="00C55036" w:rsidRPr="00474E28" w:rsidRDefault="00C55036" w:rsidP="00C55036">
      <w:pPr>
        <w:ind w:left="0"/>
        <w:rPr>
          <w:rFonts w:cs="Arial"/>
          <w:i/>
          <w:sz w:val="22"/>
          <w:szCs w:val="22"/>
        </w:rPr>
      </w:pPr>
      <w:r w:rsidRPr="00474E28">
        <w:rPr>
          <w:rFonts w:cs="Arial"/>
          <w:i/>
          <w:sz w:val="22"/>
          <w:szCs w:val="22"/>
        </w:rPr>
        <w:t xml:space="preserve">Increased </w:t>
      </w:r>
      <w:r>
        <w:rPr>
          <w:rFonts w:cs="Arial"/>
          <w:i/>
          <w:sz w:val="22"/>
          <w:szCs w:val="22"/>
        </w:rPr>
        <w:t>s</w:t>
      </w:r>
      <w:r w:rsidRPr="00474E28">
        <w:rPr>
          <w:rFonts w:cs="Arial"/>
          <w:i/>
          <w:sz w:val="22"/>
          <w:szCs w:val="22"/>
        </w:rPr>
        <w:t xml:space="preserve">tress and </w:t>
      </w:r>
      <w:r>
        <w:rPr>
          <w:rFonts w:cs="Arial"/>
          <w:i/>
          <w:sz w:val="22"/>
          <w:szCs w:val="22"/>
        </w:rPr>
        <w:t>r</w:t>
      </w:r>
      <w:r w:rsidRPr="00474E28">
        <w:rPr>
          <w:rFonts w:cs="Arial"/>
          <w:i/>
          <w:sz w:val="22"/>
          <w:szCs w:val="22"/>
        </w:rPr>
        <w:t xml:space="preserve">isk of </w:t>
      </w:r>
      <w:r>
        <w:rPr>
          <w:rFonts w:cs="Arial"/>
          <w:i/>
          <w:sz w:val="22"/>
          <w:szCs w:val="22"/>
        </w:rPr>
        <w:t>m</w:t>
      </w:r>
      <w:r w:rsidRPr="00474E28">
        <w:rPr>
          <w:rFonts w:cs="Arial"/>
          <w:i/>
          <w:sz w:val="22"/>
          <w:szCs w:val="22"/>
        </w:rPr>
        <w:t>ortality (up to 100 m)</w:t>
      </w:r>
    </w:p>
    <w:p w14:paraId="739B365B" w14:textId="77777777" w:rsidR="00C55036" w:rsidRDefault="00C55036" w:rsidP="00C55036">
      <w:pPr>
        <w:ind w:left="0"/>
        <w:rPr>
          <w:rFonts w:cs="Arial"/>
          <w:sz w:val="22"/>
          <w:szCs w:val="22"/>
        </w:rPr>
      </w:pPr>
    </w:p>
    <w:p w14:paraId="24812B62" w14:textId="71F431B8" w:rsidR="00C55036" w:rsidRDefault="00C55036" w:rsidP="00C55036">
      <w:pPr>
        <w:ind w:left="0"/>
        <w:rPr>
          <w:rFonts w:cs="Arial"/>
          <w:sz w:val="22"/>
          <w:szCs w:val="22"/>
        </w:rPr>
      </w:pPr>
      <w:r>
        <w:rPr>
          <w:rFonts w:cs="Arial"/>
          <w:sz w:val="22"/>
          <w:szCs w:val="22"/>
        </w:rPr>
        <w:t>Scallops, if present</w:t>
      </w:r>
      <w:r w:rsidRPr="009D2517">
        <w:rPr>
          <w:rFonts w:cs="Arial"/>
          <w:sz w:val="22"/>
          <w:szCs w:val="22"/>
        </w:rPr>
        <w:t xml:space="preserve"> within 100 m of the array</w:t>
      </w:r>
      <w:r>
        <w:rPr>
          <w:rFonts w:cs="Arial"/>
          <w:sz w:val="22"/>
          <w:szCs w:val="22"/>
        </w:rPr>
        <w:t>,</w:t>
      </w:r>
      <w:r w:rsidRPr="009D2517">
        <w:rPr>
          <w:rFonts w:cs="Arial"/>
          <w:sz w:val="22"/>
          <w:szCs w:val="22"/>
        </w:rPr>
        <w:t xml:space="preserve"> will be exposed to </w:t>
      </w:r>
      <w:r>
        <w:rPr>
          <w:rFonts w:cs="Arial"/>
          <w:sz w:val="22"/>
          <w:szCs w:val="22"/>
        </w:rPr>
        <w:t xml:space="preserve">sound </w:t>
      </w:r>
      <w:r w:rsidRPr="009D2517">
        <w:rPr>
          <w:rFonts w:cs="Arial"/>
          <w:sz w:val="22"/>
          <w:szCs w:val="22"/>
        </w:rPr>
        <w:t>levels greater than tho</w:t>
      </w:r>
      <w:r>
        <w:rPr>
          <w:rFonts w:cs="Arial"/>
          <w:sz w:val="22"/>
          <w:szCs w:val="22"/>
        </w:rPr>
        <w:t>se studied in Day et al</w:t>
      </w:r>
      <w:r w:rsidRPr="009D2517">
        <w:rPr>
          <w:rFonts w:cs="Arial"/>
          <w:sz w:val="22"/>
          <w:szCs w:val="22"/>
        </w:rPr>
        <w:t xml:space="preserve"> (2016</w:t>
      </w:r>
      <w:r>
        <w:rPr>
          <w:rFonts w:cs="Arial"/>
          <w:sz w:val="22"/>
          <w:szCs w:val="22"/>
        </w:rPr>
        <w:t>a</w:t>
      </w:r>
      <w:r w:rsidRPr="009D2517">
        <w:rPr>
          <w:rFonts w:cs="Arial"/>
          <w:sz w:val="22"/>
          <w:szCs w:val="22"/>
        </w:rPr>
        <w:t xml:space="preserve">), </w:t>
      </w:r>
      <w:r>
        <w:rPr>
          <w:rFonts w:cs="Arial"/>
          <w:sz w:val="22"/>
          <w:szCs w:val="22"/>
        </w:rPr>
        <w:t xml:space="preserve">which could potentially lead to </w:t>
      </w:r>
      <w:r w:rsidRPr="00474E28">
        <w:rPr>
          <w:rFonts w:cs="Arial"/>
          <w:sz w:val="22"/>
          <w:szCs w:val="22"/>
        </w:rPr>
        <w:t>increased stress, and therefore a higher risk of longer term mortality, but not ma</w:t>
      </w:r>
      <w:r w:rsidRPr="009D2517">
        <w:rPr>
          <w:rFonts w:cs="Arial"/>
          <w:sz w:val="22"/>
          <w:szCs w:val="22"/>
        </w:rPr>
        <w:t xml:space="preserve">ss mortality </w:t>
      </w:r>
      <w:r w:rsidRPr="009D2517">
        <w:rPr>
          <w:rFonts w:cs="Arial"/>
          <w:sz w:val="22"/>
          <w:szCs w:val="22"/>
        </w:rPr>
        <w:fldChar w:fldCharType="begin"/>
      </w:r>
      <w:r w:rsidRPr="009D2517">
        <w:rPr>
          <w:rFonts w:cs="Arial"/>
          <w:sz w:val="22"/>
          <w:szCs w:val="22"/>
        </w:rPr>
        <w:instrText xml:space="preserve"> ADDIN EN.CITE &lt;EndNote&gt;&lt;Cite&gt;&lt;Author&gt;Przeslawski&lt;/Author&gt;&lt;Year&gt;2016&lt;/Year&gt;&lt;RecNum&gt;23816&lt;/RecNum&gt;&lt;DisplayText&gt;(Przeslawski et al. 2016a)&lt;/DisplayText&gt;&lt;record&gt;&lt;rec-number&gt;14&lt;/rec-number&gt;&lt;foreign-keys&gt;&lt;key app="EN" db-id="vf5taexr70r9wrerf2352ztoewspzvs9xvfz" timestamp="1482373754"&gt;14&lt;/key&gt;&lt;/foreign-keys&gt;&lt;ref-type name="Report"&gt;27&lt;/ref-type&gt;&lt;contributors&gt;&lt;authors&gt;&lt;author&gt;Przeslawski, R.&lt;/author&gt;&lt;author&gt;Hurt, L.&lt;/author&gt;&lt;author&gt;Forrest, A.&lt;/author&gt;&lt;author&gt;Carroll, A.&lt;/author&gt;&lt;author&gt;Geoscience Australia,&lt;/author&gt;&lt;/authors&gt;&lt;/contributors&gt;&lt;titles&gt;&lt;title&gt;Potential short-term impacts of marine seismic surveys on scallops in the Gippsland Basin, Canberra, April&lt;/title&gt;&lt;/titles&gt;&lt;dates&gt;&lt;year&gt;2016&lt;/year&gt;&lt;/dates&gt;&lt;publisher&gt;CC BY 3.0&lt;/publisher&gt;&lt;urls&gt;&lt;/urls&gt;&lt;/record&gt;&lt;/Cite&gt;&lt;/EndNote&gt;</w:instrText>
      </w:r>
      <w:r w:rsidRPr="009D2517">
        <w:rPr>
          <w:rFonts w:cs="Arial"/>
          <w:sz w:val="22"/>
          <w:szCs w:val="22"/>
        </w:rPr>
        <w:fldChar w:fldCharType="separate"/>
      </w:r>
      <w:r w:rsidRPr="009D2517">
        <w:rPr>
          <w:rFonts w:cs="Arial"/>
          <w:sz w:val="22"/>
          <w:szCs w:val="22"/>
        </w:rPr>
        <w:t xml:space="preserve">(Przeslawski </w:t>
      </w:r>
      <w:r w:rsidRPr="009D2517">
        <w:rPr>
          <w:rFonts w:cs="Arial"/>
          <w:i/>
          <w:sz w:val="22"/>
          <w:szCs w:val="22"/>
        </w:rPr>
        <w:t>et al.</w:t>
      </w:r>
      <w:r>
        <w:rPr>
          <w:rFonts w:cs="Arial"/>
          <w:sz w:val="22"/>
          <w:szCs w:val="22"/>
        </w:rPr>
        <w:t>,</w:t>
      </w:r>
      <w:r w:rsidRPr="009D2517">
        <w:rPr>
          <w:rFonts w:cs="Arial"/>
          <w:sz w:val="22"/>
          <w:szCs w:val="22"/>
        </w:rPr>
        <w:t xml:space="preserve"> 2016a)</w:t>
      </w:r>
      <w:r w:rsidRPr="009D2517">
        <w:rPr>
          <w:rFonts w:cs="Arial"/>
          <w:sz w:val="22"/>
          <w:szCs w:val="22"/>
        </w:rPr>
        <w:fldChar w:fldCharType="end"/>
      </w:r>
      <w:r w:rsidRPr="009D2517">
        <w:rPr>
          <w:rFonts w:cs="Arial"/>
          <w:sz w:val="22"/>
          <w:szCs w:val="22"/>
        </w:rPr>
        <w:t xml:space="preserve">. </w:t>
      </w:r>
    </w:p>
    <w:p w14:paraId="4475B755" w14:textId="77777777" w:rsidR="00C55036" w:rsidRDefault="00C55036" w:rsidP="00A13EF5">
      <w:pPr>
        <w:ind w:left="0"/>
        <w:rPr>
          <w:rFonts w:cs="Arial"/>
          <w:sz w:val="22"/>
          <w:szCs w:val="22"/>
        </w:rPr>
      </w:pPr>
    </w:p>
    <w:p w14:paraId="79B367FC" w14:textId="66EF53DE" w:rsidR="00C55036" w:rsidRPr="00474E28" w:rsidRDefault="00C55036" w:rsidP="00C55036">
      <w:pPr>
        <w:ind w:left="0"/>
        <w:rPr>
          <w:rFonts w:cs="Arial"/>
          <w:i/>
          <w:sz w:val="22"/>
          <w:szCs w:val="22"/>
        </w:rPr>
      </w:pPr>
      <w:r w:rsidRPr="00474E28">
        <w:rPr>
          <w:rFonts w:cs="Arial"/>
          <w:i/>
          <w:sz w:val="22"/>
          <w:szCs w:val="22"/>
        </w:rPr>
        <w:t xml:space="preserve">Impaired </w:t>
      </w:r>
      <w:r>
        <w:rPr>
          <w:rFonts w:cs="Arial"/>
          <w:i/>
          <w:sz w:val="22"/>
          <w:szCs w:val="22"/>
        </w:rPr>
        <w:t>r</w:t>
      </w:r>
      <w:r w:rsidRPr="00474E28">
        <w:rPr>
          <w:rFonts w:cs="Arial"/>
          <w:i/>
          <w:sz w:val="22"/>
          <w:szCs w:val="22"/>
        </w:rPr>
        <w:t>eflexes</w:t>
      </w:r>
      <w:r>
        <w:rPr>
          <w:rFonts w:cs="Arial"/>
          <w:i/>
          <w:sz w:val="22"/>
          <w:szCs w:val="22"/>
        </w:rPr>
        <w:t>, i</w:t>
      </w:r>
      <w:r w:rsidRPr="00474E28">
        <w:rPr>
          <w:rFonts w:cs="Arial"/>
          <w:i/>
          <w:sz w:val="22"/>
          <w:szCs w:val="22"/>
        </w:rPr>
        <w:t xml:space="preserve">mmunity </w:t>
      </w:r>
      <w:r>
        <w:rPr>
          <w:rFonts w:cs="Arial"/>
          <w:i/>
          <w:sz w:val="22"/>
          <w:szCs w:val="22"/>
        </w:rPr>
        <w:t>r</w:t>
      </w:r>
      <w:r w:rsidRPr="00474E28">
        <w:rPr>
          <w:rFonts w:cs="Arial"/>
          <w:i/>
          <w:sz w:val="22"/>
          <w:szCs w:val="22"/>
        </w:rPr>
        <w:t>esponse</w:t>
      </w:r>
      <w:r>
        <w:rPr>
          <w:rFonts w:cs="Arial"/>
          <w:i/>
          <w:sz w:val="22"/>
          <w:szCs w:val="22"/>
        </w:rPr>
        <w:t xml:space="preserve"> and potential increased mortality (260 m)</w:t>
      </w:r>
    </w:p>
    <w:p w14:paraId="72A92874" w14:textId="77777777" w:rsidR="00C55036" w:rsidRDefault="00C55036" w:rsidP="00C55036">
      <w:pPr>
        <w:ind w:left="0"/>
        <w:rPr>
          <w:rFonts w:cs="Arial"/>
          <w:sz w:val="22"/>
          <w:szCs w:val="22"/>
        </w:rPr>
      </w:pPr>
    </w:p>
    <w:p w14:paraId="5E81D85C" w14:textId="77777777" w:rsidR="00C55036" w:rsidRDefault="00C55036" w:rsidP="00C55036">
      <w:pPr>
        <w:ind w:left="0"/>
        <w:rPr>
          <w:rFonts w:cs="Arial"/>
          <w:sz w:val="22"/>
          <w:szCs w:val="22"/>
        </w:rPr>
      </w:pPr>
      <w:r w:rsidRPr="009D2517">
        <w:rPr>
          <w:rFonts w:cs="Arial"/>
          <w:sz w:val="22"/>
          <w:szCs w:val="22"/>
        </w:rPr>
        <w:t xml:space="preserve">Considering the </w:t>
      </w:r>
      <w:r>
        <w:rPr>
          <w:rFonts w:cs="Arial"/>
          <w:sz w:val="22"/>
          <w:szCs w:val="22"/>
        </w:rPr>
        <w:t xml:space="preserve">highest </w:t>
      </w:r>
      <w:r w:rsidRPr="009D2517">
        <w:rPr>
          <w:rFonts w:cs="Arial"/>
          <w:sz w:val="22"/>
          <w:szCs w:val="22"/>
        </w:rPr>
        <w:t xml:space="preserve">exposure levels </w:t>
      </w:r>
      <w:r>
        <w:rPr>
          <w:rFonts w:cs="Arial"/>
          <w:sz w:val="22"/>
          <w:szCs w:val="22"/>
        </w:rPr>
        <w:t>in</w:t>
      </w:r>
      <w:r w:rsidRPr="009D2517">
        <w:rPr>
          <w:rFonts w:cs="Arial"/>
          <w:sz w:val="22"/>
          <w:szCs w:val="22"/>
        </w:rPr>
        <w:t xml:space="preserve"> Day et al (2016</w:t>
      </w:r>
      <w:r>
        <w:rPr>
          <w:rFonts w:cs="Arial"/>
          <w:sz w:val="22"/>
          <w:szCs w:val="22"/>
        </w:rPr>
        <w:t>a</w:t>
      </w:r>
      <w:r w:rsidRPr="009D2517">
        <w:rPr>
          <w:rFonts w:cs="Arial"/>
          <w:sz w:val="22"/>
          <w:szCs w:val="22"/>
        </w:rPr>
        <w:t xml:space="preserve">), 213 dB re 1 μPa (PK-PK) and 26 or 37.57 </w:t>
      </w:r>
      <w:r w:rsidRPr="00C411CB">
        <w:rPr>
          <w:rFonts w:cs="Arial"/>
          <w:sz w:val="22"/>
          <w:szCs w:val="22"/>
        </w:rPr>
        <w:t>ms</w:t>
      </w:r>
      <w:r w:rsidRPr="009D2517">
        <w:rPr>
          <w:rFonts w:cs="Arial"/>
          <w:sz w:val="22"/>
          <w:szCs w:val="22"/>
          <w:vertAlign w:val="superscript"/>
        </w:rPr>
        <w:t>-2</w:t>
      </w:r>
      <w:r w:rsidRPr="009D2517">
        <w:rPr>
          <w:rFonts w:cs="Arial"/>
          <w:sz w:val="22"/>
          <w:szCs w:val="22"/>
        </w:rPr>
        <w:t>, these align with a distance of 260 m (PK-PK, 213 dB re 1 μPa) and approximately 100 or 70 m (particle acceleration)</w:t>
      </w:r>
      <w:r>
        <w:rPr>
          <w:rFonts w:cs="Arial"/>
          <w:sz w:val="22"/>
          <w:szCs w:val="22"/>
        </w:rPr>
        <w:t xml:space="preserve"> from the STLM for the Pelican 3DMSS</w:t>
      </w:r>
      <w:r w:rsidRPr="009D2517">
        <w:rPr>
          <w:rFonts w:cs="Arial"/>
          <w:sz w:val="22"/>
          <w:szCs w:val="22"/>
        </w:rPr>
        <w:t xml:space="preserve">. </w:t>
      </w:r>
    </w:p>
    <w:p w14:paraId="365622C1" w14:textId="77777777" w:rsidR="00C55036" w:rsidRDefault="00C55036" w:rsidP="00C55036">
      <w:pPr>
        <w:ind w:left="0"/>
        <w:rPr>
          <w:rFonts w:cs="Arial"/>
          <w:sz w:val="22"/>
          <w:szCs w:val="22"/>
        </w:rPr>
      </w:pPr>
    </w:p>
    <w:p w14:paraId="21801E15" w14:textId="73D76908" w:rsidR="00C55036" w:rsidRDefault="00C55036" w:rsidP="00C55036">
      <w:pPr>
        <w:ind w:left="0"/>
        <w:rPr>
          <w:rFonts w:cs="Arial"/>
          <w:sz w:val="22"/>
          <w:szCs w:val="22"/>
        </w:rPr>
      </w:pPr>
      <w:r w:rsidRPr="009D2517">
        <w:rPr>
          <w:rFonts w:cs="Arial"/>
          <w:sz w:val="22"/>
          <w:szCs w:val="22"/>
        </w:rPr>
        <w:t>Therefore</w:t>
      </w:r>
      <w:r w:rsidR="00FC79B0">
        <w:rPr>
          <w:rFonts w:cs="Arial"/>
          <w:sz w:val="22"/>
          <w:szCs w:val="22"/>
        </w:rPr>
        <w:t>,</w:t>
      </w:r>
      <w:r w:rsidRPr="009D2517">
        <w:rPr>
          <w:rFonts w:cs="Arial"/>
          <w:sz w:val="22"/>
          <w:szCs w:val="22"/>
        </w:rPr>
        <w:t xml:space="preserve"> within the </w:t>
      </w:r>
      <w:r>
        <w:rPr>
          <w:rFonts w:cs="Arial"/>
          <w:sz w:val="22"/>
          <w:szCs w:val="22"/>
        </w:rPr>
        <w:t xml:space="preserve">proposed </w:t>
      </w:r>
      <w:r w:rsidRPr="009D2517">
        <w:rPr>
          <w:rFonts w:cs="Arial"/>
          <w:sz w:val="22"/>
          <w:szCs w:val="22"/>
        </w:rPr>
        <w:t xml:space="preserve">acquisition area, and at approximately these radii from each seismic impulse location, </w:t>
      </w:r>
      <w:r>
        <w:rPr>
          <w:rFonts w:cs="Arial"/>
          <w:sz w:val="22"/>
          <w:szCs w:val="22"/>
        </w:rPr>
        <w:t xml:space="preserve">scallops </w:t>
      </w:r>
      <w:r w:rsidRPr="009D2517">
        <w:rPr>
          <w:rFonts w:cs="Arial"/>
          <w:sz w:val="22"/>
          <w:szCs w:val="22"/>
        </w:rPr>
        <w:t>will be exposed to PK-PK pressure and particle acceleration levels equivalent to those measured by Day et al (2016</w:t>
      </w:r>
      <w:r>
        <w:rPr>
          <w:rFonts w:cs="Arial"/>
          <w:sz w:val="22"/>
          <w:szCs w:val="22"/>
        </w:rPr>
        <w:t>a</w:t>
      </w:r>
      <w:r w:rsidRPr="009D2517">
        <w:rPr>
          <w:rFonts w:cs="Arial"/>
          <w:sz w:val="22"/>
          <w:szCs w:val="22"/>
        </w:rPr>
        <w:t xml:space="preserve">), levels potentially associated with the higher levels of effect. </w:t>
      </w:r>
    </w:p>
    <w:p w14:paraId="4B0EC88C" w14:textId="77777777" w:rsidR="00C55036" w:rsidRDefault="00C55036" w:rsidP="00C55036">
      <w:pPr>
        <w:ind w:left="0"/>
        <w:rPr>
          <w:rFonts w:cs="Arial"/>
          <w:sz w:val="22"/>
          <w:szCs w:val="22"/>
        </w:rPr>
      </w:pPr>
    </w:p>
    <w:p w14:paraId="11307030" w14:textId="77777777" w:rsidR="00C55036" w:rsidRPr="002A6721" w:rsidRDefault="00C55036" w:rsidP="00C55036">
      <w:pPr>
        <w:ind w:left="0"/>
        <w:rPr>
          <w:rFonts w:cs="Arial"/>
          <w:sz w:val="22"/>
          <w:szCs w:val="22"/>
        </w:rPr>
      </w:pPr>
      <w:r w:rsidRPr="009D2517">
        <w:rPr>
          <w:rFonts w:cs="Arial"/>
          <w:sz w:val="22"/>
          <w:szCs w:val="22"/>
        </w:rPr>
        <w:t>For simplicity</w:t>
      </w:r>
      <w:r>
        <w:rPr>
          <w:rFonts w:cs="Arial"/>
          <w:sz w:val="22"/>
          <w:szCs w:val="22"/>
        </w:rPr>
        <w:t>,</w:t>
      </w:r>
      <w:r w:rsidRPr="009D2517">
        <w:rPr>
          <w:rFonts w:cs="Arial"/>
          <w:sz w:val="22"/>
          <w:szCs w:val="22"/>
        </w:rPr>
        <w:t xml:space="preserve"> this has been approximated to the range </w:t>
      </w:r>
      <w:r>
        <w:rPr>
          <w:rFonts w:cs="Arial"/>
          <w:sz w:val="22"/>
          <w:szCs w:val="22"/>
        </w:rPr>
        <w:t>of</w:t>
      </w:r>
      <w:r w:rsidRPr="009D2517">
        <w:rPr>
          <w:rFonts w:cs="Arial"/>
          <w:sz w:val="22"/>
          <w:szCs w:val="22"/>
        </w:rPr>
        <w:t xml:space="preserve"> the PK-PK metric, 260 m. Therefore</w:t>
      </w:r>
      <w:r>
        <w:rPr>
          <w:rFonts w:cs="Arial"/>
          <w:sz w:val="22"/>
          <w:szCs w:val="22"/>
        </w:rPr>
        <w:t>,</w:t>
      </w:r>
      <w:r w:rsidRPr="009D2517">
        <w:rPr>
          <w:rFonts w:cs="Arial"/>
          <w:sz w:val="22"/>
          <w:szCs w:val="22"/>
        </w:rPr>
        <w:t xml:space="preserve"> </w:t>
      </w:r>
      <w:r>
        <w:rPr>
          <w:rFonts w:cs="Arial"/>
          <w:sz w:val="22"/>
          <w:szCs w:val="22"/>
        </w:rPr>
        <w:t>scallops</w:t>
      </w:r>
      <w:r w:rsidRPr="009D2517">
        <w:rPr>
          <w:rFonts w:cs="Arial"/>
          <w:sz w:val="22"/>
          <w:szCs w:val="22"/>
        </w:rPr>
        <w:t xml:space="preserve"> within this distance </w:t>
      </w:r>
      <w:r>
        <w:rPr>
          <w:rFonts w:cs="Arial"/>
          <w:sz w:val="22"/>
          <w:szCs w:val="22"/>
        </w:rPr>
        <w:t xml:space="preserve">(260 m) </w:t>
      </w:r>
      <w:r w:rsidRPr="009D2517">
        <w:rPr>
          <w:rFonts w:cs="Arial"/>
          <w:sz w:val="22"/>
          <w:szCs w:val="22"/>
        </w:rPr>
        <w:t>from each seismic impulse location</w:t>
      </w:r>
      <w:r>
        <w:rPr>
          <w:rFonts w:cs="Arial"/>
          <w:sz w:val="22"/>
          <w:szCs w:val="22"/>
        </w:rPr>
        <w:t xml:space="preserve">, if present, may </w:t>
      </w:r>
      <w:r w:rsidRPr="009D2517">
        <w:rPr>
          <w:rFonts w:cs="Arial"/>
          <w:sz w:val="22"/>
          <w:szCs w:val="22"/>
        </w:rPr>
        <w:t>experience</w:t>
      </w:r>
      <w:r>
        <w:rPr>
          <w:rFonts w:cs="Arial"/>
          <w:sz w:val="22"/>
          <w:szCs w:val="22"/>
        </w:rPr>
        <w:t xml:space="preserve"> </w:t>
      </w:r>
      <w:r w:rsidRPr="00AB7293">
        <w:rPr>
          <w:rFonts w:cs="Arial"/>
          <w:sz w:val="22"/>
          <w:szCs w:val="22"/>
        </w:rPr>
        <w:t xml:space="preserve">some </w:t>
      </w:r>
      <w:r w:rsidRPr="00474E28">
        <w:rPr>
          <w:rFonts w:cs="Arial"/>
          <w:sz w:val="22"/>
          <w:szCs w:val="22"/>
        </w:rPr>
        <w:t>impaired reflexes and immunity response.</w:t>
      </w:r>
      <w:r w:rsidRPr="00DD653E">
        <w:rPr>
          <w:rFonts w:cs="Arial"/>
          <w:sz w:val="22"/>
          <w:szCs w:val="22"/>
        </w:rPr>
        <w:t xml:space="preserve"> </w:t>
      </w:r>
      <w:r w:rsidRPr="00474E28">
        <w:rPr>
          <w:rFonts w:cs="Arial"/>
          <w:sz w:val="22"/>
          <w:szCs w:val="22"/>
        </w:rPr>
        <w:t>E</w:t>
      </w:r>
      <w:r w:rsidRPr="00DD653E">
        <w:rPr>
          <w:rFonts w:cs="Arial"/>
          <w:sz w:val="22"/>
          <w:szCs w:val="22"/>
        </w:rPr>
        <w:t xml:space="preserve">xposure, particularly repeated exposure, </w:t>
      </w:r>
      <w:r w:rsidRPr="00474E28">
        <w:rPr>
          <w:rFonts w:cs="Arial"/>
          <w:sz w:val="22"/>
          <w:szCs w:val="22"/>
        </w:rPr>
        <w:t xml:space="preserve">may </w:t>
      </w:r>
      <w:r w:rsidRPr="00DD653E">
        <w:rPr>
          <w:rFonts w:cs="Arial"/>
          <w:sz w:val="22"/>
          <w:szCs w:val="22"/>
        </w:rPr>
        <w:t xml:space="preserve">result in </w:t>
      </w:r>
      <w:r w:rsidRPr="00AB7293">
        <w:rPr>
          <w:rFonts w:cs="Arial"/>
          <w:sz w:val="22"/>
          <w:szCs w:val="22"/>
        </w:rPr>
        <w:t xml:space="preserve">increased mortality </w:t>
      </w:r>
      <w:r w:rsidRPr="00474E28">
        <w:rPr>
          <w:rFonts w:cs="Arial"/>
          <w:sz w:val="22"/>
          <w:szCs w:val="22"/>
        </w:rPr>
        <w:t xml:space="preserve">rates </w:t>
      </w:r>
      <w:r w:rsidRPr="00DD653E">
        <w:rPr>
          <w:rFonts w:cs="Arial"/>
          <w:sz w:val="22"/>
          <w:szCs w:val="22"/>
        </w:rPr>
        <w:t>compared to</w:t>
      </w:r>
      <w:r w:rsidRPr="00474E28">
        <w:rPr>
          <w:rFonts w:cs="Arial"/>
          <w:sz w:val="22"/>
          <w:szCs w:val="22"/>
        </w:rPr>
        <w:t xml:space="preserve"> scallops not exposed to the seismic sound</w:t>
      </w:r>
      <w:r w:rsidRPr="00DD653E">
        <w:rPr>
          <w:rFonts w:cs="Arial"/>
          <w:sz w:val="22"/>
          <w:szCs w:val="22"/>
        </w:rPr>
        <w:t>.</w:t>
      </w:r>
      <w:r w:rsidRPr="002A6721">
        <w:rPr>
          <w:rFonts w:cs="Arial"/>
          <w:sz w:val="22"/>
          <w:szCs w:val="22"/>
        </w:rPr>
        <w:t xml:space="preserve"> </w:t>
      </w:r>
    </w:p>
    <w:p w14:paraId="3F99F35A" w14:textId="77777777" w:rsidR="00A13EF5" w:rsidRDefault="00A13EF5" w:rsidP="009D2517">
      <w:pPr>
        <w:ind w:left="0"/>
        <w:rPr>
          <w:rFonts w:cs="Arial"/>
          <w:sz w:val="22"/>
          <w:szCs w:val="22"/>
        </w:rPr>
      </w:pPr>
    </w:p>
    <w:p w14:paraId="1AC1C4A7" w14:textId="762FF473" w:rsidR="00335F70" w:rsidRPr="00891DE1" w:rsidRDefault="00335F70" w:rsidP="009D2517">
      <w:pPr>
        <w:ind w:left="0"/>
        <w:rPr>
          <w:rFonts w:cs="Arial"/>
          <w:i/>
          <w:sz w:val="22"/>
          <w:szCs w:val="22"/>
        </w:rPr>
      </w:pPr>
      <w:r w:rsidRPr="00891DE1">
        <w:rPr>
          <w:rFonts w:cs="Arial"/>
          <w:i/>
          <w:sz w:val="22"/>
          <w:szCs w:val="22"/>
        </w:rPr>
        <w:lastRenderedPageBreak/>
        <w:t xml:space="preserve">Behavioural </w:t>
      </w:r>
      <w:r w:rsidR="00C55036">
        <w:rPr>
          <w:rFonts w:cs="Arial"/>
          <w:i/>
          <w:sz w:val="22"/>
          <w:szCs w:val="22"/>
        </w:rPr>
        <w:t>e</w:t>
      </w:r>
      <w:r w:rsidRPr="00891DE1">
        <w:rPr>
          <w:rFonts w:cs="Arial"/>
          <w:i/>
          <w:sz w:val="22"/>
          <w:szCs w:val="22"/>
        </w:rPr>
        <w:t>ffects</w:t>
      </w:r>
      <w:r>
        <w:rPr>
          <w:rFonts w:cs="Arial"/>
          <w:i/>
          <w:sz w:val="22"/>
          <w:szCs w:val="22"/>
        </w:rPr>
        <w:t xml:space="preserve"> (400 m)</w:t>
      </w:r>
    </w:p>
    <w:p w14:paraId="16A1EEF9" w14:textId="77777777" w:rsidR="00335F70" w:rsidRDefault="00335F70" w:rsidP="009D2517">
      <w:pPr>
        <w:ind w:left="0"/>
        <w:rPr>
          <w:rFonts w:cs="Arial"/>
          <w:sz w:val="22"/>
          <w:szCs w:val="22"/>
        </w:rPr>
      </w:pPr>
    </w:p>
    <w:p w14:paraId="5EAE7C41" w14:textId="286B551A" w:rsidR="009D2517" w:rsidRDefault="00C55036" w:rsidP="009D2517">
      <w:pPr>
        <w:ind w:left="0"/>
        <w:rPr>
          <w:rFonts w:cs="Arial"/>
          <w:sz w:val="22"/>
          <w:szCs w:val="22"/>
        </w:rPr>
      </w:pPr>
      <w:r>
        <w:rPr>
          <w:rFonts w:cs="Arial"/>
          <w:sz w:val="22"/>
          <w:szCs w:val="22"/>
        </w:rPr>
        <w:t>A</w:t>
      </w:r>
      <w:r w:rsidR="009D2517" w:rsidRPr="009D2517">
        <w:rPr>
          <w:rFonts w:cs="Arial"/>
          <w:sz w:val="22"/>
          <w:szCs w:val="22"/>
        </w:rPr>
        <w:t>pplying the results from Day et al (2016</w:t>
      </w:r>
      <w:r w:rsidR="00836602">
        <w:rPr>
          <w:rFonts w:cs="Arial"/>
          <w:sz w:val="22"/>
          <w:szCs w:val="22"/>
        </w:rPr>
        <w:t>a</w:t>
      </w:r>
      <w:r w:rsidR="009D2517" w:rsidRPr="009D2517">
        <w:rPr>
          <w:rFonts w:cs="Arial"/>
          <w:sz w:val="22"/>
          <w:szCs w:val="22"/>
        </w:rPr>
        <w:t xml:space="preserve">), effects </w:t>
      </w:r>
      <w:r w:rsidR="00A13EF5">
        <w:rPr>
          <w:rFonts w:cs="Arial"/>
          <w:sz w:val="22"/>
          <w:szCs w:val="22"/>
        </w:rPr>
        <w:t>could be</w:t>
      </w:r>
      <w:r w:rsidR="00A13EF5" w:rsidRPr="009D2517">
        <w:rPr>
          <w:rFonts w:cs="Arial"/>
          <w:sz w:val="22"/>
          <w:szCs w:val="22"/>
        </w:rPr>
        <w:t xml:space="preserve"> </w:t>
      </w:r>
      <w:r w:rsidR="009D2517" w:rsidRPr="009D2517">
        <w:rPr>
          <w:rFonts w:cs="Arial"/>
          <w:sz w:val="22"/>
          <w:szCs w:val="22"/>
        </w:rPr>
        <w:t xml:space="preserve">expected </w:t>
      </w:r>
      <w:r w:rsidR="00A13EF5">
        <w:rPr>
          <w:rFonts w:cs="Arial"/>
          <w:sz w:val="22"/>
          <w:szCs w:val="22"/>
        </w:rPr>
        <w:t xml:space="preserve">if scallops were </w:t>
      </w:r>
      <w:r w:rsidR="009D2517" w:rsidRPr="009D2517">
        <w:rPr>
          <w:rFonts w:cs="Arial"/>
          <w:sz w:val="22"/>
          <w:szCs w:val="22"/>
        </w:rPr>
        <w:t xml:space="preserve">closer to the array. As behavioural effects were observed </w:t>
      </w:r>
      <w:r w:rsidR="00A13EF5">
        <w:rPr>
          <w:rFonts w:cs="Arial"/>
          <w:sz w:val="22"/>
          <w:szCs w:val="22"/>
        </w:rPr>
        <w:t>by Day et al (2016</w:t>
      </w:r>
      <w:r w:rsidR="00444012">
        <w:rPr>
          <w:rFonts w:cs="Arial"/>
          <w:sz w:val="22"/>
          <w:szCs w:val="22"/>
        </w:rPr>
        <w:t>a</w:t>
      </w:r>
      <w:r w:rsidR="00A13EF5">
        <w:rPr>
          <w:rFonts w:cs="Arial"/>
          <w:sz w:val="22"/>
          <w:szCs w:val="22"/>
        </w:rPr>
        <w:t xml:space="preserve">) </w:t>
      </w:r>
      <w:r w:rsidR="009D2517" w:rsidRPr="009D2517">
        <w:rPr>
          <w:rFonts w:cs="Arial"/>
          <w:sz w:val="22"/>
          <w:szCs w:val="22"/>
        </w:rPr>
        <w:t xml:space="preserve">at 209 dB re 1 μPa (PK-PK), </w:t>
      </w:r>
      <w:r w:rsidR="001A514D">
        <w:rPr>
          <w:rFonts w:cs="Arial"/>
          <w:sz w:val="22"/>
          <w:szCs w:val="22"/>
        </w:rPr>
        <w:t xml:space="preserve">these behavioural effects </w:t>
      </w:r>
      <w:r w:rsidR="00502744">
        <w:rPr>
          <w:rFonts w:cs="Arial"/>
          <w:sz w:val="22"/>
          <w:szCs w:val="22"/>
        </w:rPr>
        <w:t xml:space="preserve">on scallops, if present, </w:t>
      </w:r>
      <w:r w:rsidR="001A514D">
        <w:rPr>
          <w:rFonts w:cs="Arial"/>
          <w:sz w:val="22"/>
          <w:szCs w:val="22"/>
        </w:rPr>
        <w:t xml:space="preserve">are </w:t>
      </w:r>
      <w:r w:rsidR="009D2517" w:rsidRPr="009D2517">
        <w:rPr>
          <w:rFonts w:cs="Arial"/>
          <w:sz w:val="22"/>
          <w:szCs w:val="22"/>
        </w:rPr>
        <w:t xml:space="preserve">predicted to occur at a distance of 400 m from </w:t>
      </w:r>
      <w:r w:rsidR="00A13EF5">
        <w:rPr>
          <w:rFonts w:cs="Arial"/>
          <w:sz w:val="22"/>
          <w:szCs w:val="22"/>
        </w:rPr>
        <w:t xml:space="preserve">each seismic impulse location for the proposed Pelican 3DMSS </w:t>
      </w:r>
      <w:r w:rsidR="009D2517" w:rsidRPr="009D2517">
        <w:rPr>
          <w:rFonts w:cs="Arial"/>
          <w:sz w:val="22"/>
          <w:szCs w:val="22"/>
        </w:rPr>
        <w:t>(</w:t>
      </w:r>
      <w:r w:rsidR="00A13EF5">
        <w:rPr>
          <w:rFonts w:cs="Arial"/>
          <w:sz w:val="22"/>
          <w:szCs w:val="22"/>
        </w:rPr>
        <w:t xml:space="preserve">which corresponds to a </w:t>
      </w:r>
      <w:r w:rsidR="009D2517" w:rsidRPr="009D2517">
        <w:rPr>
          <w:rFonts w:cs="Arial"/>
          <w:sz w:val="22"/>
          <w:szCs w:val="22"/>
        </w:rPr>
        <w:t xml:space="preserve">maximum particle acceleration predicted </w:t>
      </w:r>
      <w:r w:rsidR="00A13EF5">
        <w:rPr>
          <w:rFonts w:cs="Arial"/>
          <w:sz w:val="22"/>
          <w:szCs w:val="22"/>
        </w:rPr>
        <w:t>of</w:t>
      </w:r>
      <w:r w:rsidR="009D2517" w:rsidRPr="009D2517">
        <w:rPr>
          <w:rFonts w:cs="Arial"/>
          <w:sz w:val="22"/>
          <w:szCs w:val="22"/>
        </w:rPr>
        <w:t xml:space="preserve"> 7</w:t>
      </w:r>
      <w:r w:rsidR="009D2517" w:rsidRPr="007D3311">
        <w:rPr>
          <w:rFonts w:cs="Arial"/>
          <w:sz w:val="22"/>
          <w:szCs w:val="22"/>
        </w:rPr>
        <w:t xml:space="preserve"> </w:t>
      </w:r>
      <w:r w:rsidR="009D2517" w:rsidRPr="00C411CB">
        <w:rPr>
          <w:rFonts w:cs="Arial"/>
          <w:sz w:val="22"/>
          <w:szCs w:val="22"/>
        </w:rPr>
        <w:t>ms</w:t>
      </w:r>
      <w:r w:rsidR="009D2517" w:rsidRPr="009D2517">
        <w:rPr>
          <w:rFonts w:cs="Arial"/>
          <w:sz w:val="22"/>
          <w:szCs w:val="22"/>
          <w:vertAlign w:val="superscript"/>
        </w:rPr>
        <w:t>-2</w:t>
      </w:r>
      <w:r w:rsidR="001A514D">
        <w:rPr>
          <w:rFonts w:cs="Arial"/>
          <w:sz w:val="22"/>
          <w:szCs w:val="22"/>
        </w:rPr>
        <w:t>).</w:t>
      </w:r>
    </w:p>
    <w:p w14:paraId="2301D380" w14:textId="77777777" w:rsidR="001A514D" w:rsidRDefault="001A514D" w:rsidP="009D2517">
      <w:pPr>
        <w:ind w:left="0"/>
        <w:rPr>
          <w:rFonts w:cs="Arial"/>
          <w:sz w:val="22"/>
          <w:szCs w:val="22"/>
        </w:rPr>
      </w:pPr>
    </w:p>
    <w:p w14:paraId="25EB092D" w14:textId="7ADFACC6" w:rsidR="00C55036" w:rsidRPr="00891DE1" w:rsidRDefault="00C55036" w:rsidP="00C55036">
      <w:pPr>
        <w:ind w:left="0"/>
        <w:rPr>
          <w:rFonts w:cs="Arial"/>
          <w:i/>
          <w:sz w:val="22"/>
          <w:szCs w:val="22"/>
        </w:rPr>
      </w:pPr>
      <w:r w:rsidRPr="00891DE1">
        <w:rPr>
          <w:rFonts w:cs="Arial"/>
          <w:i/>
          <w:sz w:val="22"/>
          <w:szCs w:val="22"/>
        </w:rPr>
        <w:t>No Effects (beyond 1,220 m)</w:t>
      </w:r>
    </w:p>
    <w:p w14:paraId="44CBDCF6" w14:textId="77777777" w:rsidR="00C55036" w:rsidRDefault="00C55036" w:rsidP="00C55036">
      <w:pPr>
        <w:ind w:left="0"/>
        <w:rPr>
          <w:rFonts w:cs="Arial"/>
          <w:sz w:val="22"/>
          <w:szCs w:val="22"/>
        </w:rPr>
      </w:pPr>
    </w:p>
    <w:p w14:paraId="33CAEE53" w14:textId="29E55F9A" w:rsidR="00C55036" w:rsidRDefault="00C55036" w:rsidP="00C55036">
      <w:pPr>
        <w:ind w:left="0"/>
        <w:rPr>
          <w:rFonts w:cs="Arial"/>
          <w:sz w:val="22"/>
          <w:szCs w:val="22"/>
        </w:rPr>
      </w:pPr>
      <w:r>
        <w:rPr>
          <w:rFonts w:cs="Arial"/>
          <w:sz w:val="22"/>
          <w:szCs w:val="22"/>
        </w:rPr>
        <w:t xml:space="preserve">Applying the observation by </w:t>
      </w:r>
      <w:r w:rsidRPr="009D2517">
        <w:rPr>
          <w:rFonts w:cs="Arial"/>
          <w:sz w:val="22"/>
          <w:szCs w:val="22"/>
        </w:rPr>
        <w:t xml:space="preserve">Payne et al (2007) of no effects at 202 dB re 1 μPa (PK-PK), no effects on </w:t>
      </w:r>
      <w:r>
        <w:rPr>
          <w:rFonts w:cs="Arial"/>
          <w:sz w:val="22"/>
          <w:szCs w:val="22"/>
        </w:rPr>
        <w:t xml:space="preserve">scallops, if present, are expected beyond </w:t>
      </w:r>
      <w:r w:rsidRPr="009D2517">
        <w:rPr>
          <w:rFonts w:cs="Arial"/>
          <w:sz w:val="22"/>
          <w:szCs w:val="22"/>
        </w:rPr>
        <w:t>a distance of 1.2 km from each seismic impulse location</w:t>
      </w:r>
      <w:r>
        <w:rPr>
          <w:rFonts w:cs="Arial"/>
          <w:sz w:val="22"/>
          <w:szCs w:val="22"/>
        </w:rPr>
        <w:t xml:space="preserve"> for the proposed Pelican 3DMSS</w:t>
      </w:r>
      <w:r w:rsidRPr="009D2517">
        <w:rPr>
          <w:rFonts w:cs="Arial"/>
          <w:sz w:val="22"/>
          <w:szCs w:val="22"/>
        </w:rPr>
        <w:t xml:space="preserve">. </w:t>
      </w:r>
    </w:p>
    <w:p w14:paraId="0B25BA9A" w14:textId="77777777" w:rsidR="00C55036" w:rsidRDefault="00C55036" w:rsidP="00C55036">
      <w:pPr>
        <w:ind w:left="0"/>
        <w:rPr>
          <w:rFonts w:cs="Arial"/>
          <w:sz w:val="22"/>
          <w:szCs w:val="22"/>
        </w:rPr>
      </w:pPr>
    </w:p>
    <w:p w14:paraId="41744E42" w14:textId="101E41B8" w:rsidR="00C55036" w:rsidRDefault="00C55036" w:rsidP="00C55036">
      <w:pPr>
        <w:ind w:left="0"/>
        <w:rPr>
          <w:rFonts w:cs="Arial"/>
          <w:sz w:val="22"/>
          <w:szCs w:val="22"/>
        </w:rPr>
      </w:pPr>
      <w:r w:rsidRPr="00C55DDF" w:rsidDel="00C359FE">
        <w:rPr>
          <w:rFonts w:cs="Arial"/>
          <w:sz w:val="22"/>
          <w:szCs w:val="22"/>
        </w:rPr>
        <w:t>For the scallops dredged by a fisher to the immediate northeast of the proposed survey area</w:t>
      </w:r>
      <w:r>
        <w:rPr>
          <w:rFonts w:cs="Arial"/>
          <w:sz w:val="22"/>
          <w:szCs w:val="22"/>
        </w:rPr>
        <w:t xml:space="preserve"> in July 2017</w:t>
      </w:r>
      <w:r w:rsidRPr="00C55DDF" w:rsidDel="00C359FE">
        <w:rPr>
          <w:rFonts w:cs="Arial"/>
          <w:sz w:val="22"/>
          <w:szCs w:val="22"/>
        </w:rPr>
        <w:t xml:space="preserve"> (see Section </w:t>
      </w:r>
      <w:r w:rsidDel="00C359FE">
        <w:rPr>
          <w:rFonts w:cs="Arial"/>
          <w:sz w:val="22"/>
          <w:szCs w:val="22"/>
        </w:rPr>
        <w:t>5.6.3</w:t>
      </w:r>
      <w:r w:rsidRPr="00C55DDF" w:rsidDel="00C359FE">
        <w:rPr>
          <w:rFonts w:cs="Arial"/>
          <w:sz w:val="22"/>
          <w:szCs w:val="22"/>
        </w:rPr>
        <w:t xml:space="preserve">), which is closest to and at a similar depth to STLM site 4, the distance to the no effects ‘threshold’ of 202 dB re 1 μPa (PK-PK) is 830 m (see </w:t>
      </w:r>
      <w:r w:rsidRPr="00C41138" w:rsidDel="00C359FE">
        <w:rPr>
          <w:rFonts w:cs="Arial"/>
          <w:sz w:val="22"/>
          <w:szCs w:val="22"/>
        </w:rPr>
        <w:t>Table 7.2</w:t>
      </w:r>
      <w:r w:rsidR="009E021C" w:rsidRPr="00C41138">
        <w:rPr>
          <w:rFonts w:cs="Arial"/>
          <w:sz w:val="22"/>
          <w:szCs w:val="22"/>
        </w:rPr>
        <w:t>1</w:t>
      </w:r>
      <w:r w:rsidRPr="00C41138" w:rsidDel="00C359FE">
        <w:rPr>
          <w:rFonts w:cs="Arial"/>
          <w:sz w:val="22"/>
          <w:szCs w:val="22"/>
        </w:rPr>
        <w:t>). As the scallops recovered during the experimental dredge to the northeast</w:t>
      </w:r>
      <w:r w:rsidRPr="00C55DDF" w:rsidDel="00C359FE">
        <w:rPr>
          <w:rFonts w:cs="Arial"/>
          <w:sz w:val="22"/>
          <w:szCs w:val="22"/>
        </w:rPr>
        <w:t xml:space="preserve"> of the survey area are located 840 m from the proposed acquisition area, these scallops are not likely to be affected by the survey. </w:t>
      </w:r>
    </w:p>
    <w:p w14:paraId="3E3EF0B1" w14:textId="77777777" w:rsidR="00C55036" w:rsidRDefault="00C55036" w:rsidP="009D2517">
      <w:pPr>
        <w:ind w:left="0"/>
        <w:rPr>
          <w:rFonts w:cs="Arial"/>
          <w:sz w:val="22"/>
          <w:szCs w:val="22"/>
        </w:rPr>
      </w:pPr>
    </w:p>
    <w:p w14:paraId="4F2ECBEC" w14:textId="5A935A7E" w:rsidR="0037172B" w:rsidRDefault="0037172B" w:rsidP="0037172B">
      <w:pPr>
        <w:ind w:left="0"/>
        <w:rPr>
          <w:rFonts w:cs="Arial"/>
          <w:sz w:val="22"/>
          <w:szCs w:val="22"/>
        </w:rPr>
      </w:pPr>
      <w:r>
        <w:rPr>
          <w:rFonts w:cs="Arial"/>
          <w:sz w:val="22"/>
          <w:szCs w:val="22"/>
        </w:rPr>
        <w:t>CarbonNet has assessed the potential impact on local populations of scallops as ‘minor.</w:t>
      </w:r>
      <w:r w:rsidR="007E25AE">
        <w:rPr>
          <w:rFonts w:cs="Arial"/>
          <w:sz w:val="22"/>
          <w:szCs w:val="22"/>
        </w:rPr>
        <w:t>’</w:t>
      </w:r>
      <w:r>
        <w:rPr>
          <w:rFonts w:cs="Arial"/>
          <w:sz w:val="22"/>
          <w:szCs w:val="22"/>
        </w:rPr>
        <w:t xml:space="preserve">  </w:t>
      </w:r>
    </w:p>
    <w:p w14:paraId="64138B3E" w14:textId="1A8C3789" w:rsidR="00227393" w:rsidRPr="0037172B" w:rsidRDefault="00227393" w:rsidP="009D2517">
      <w:pPr>
        <w:ind w:left="0"/>
        <w:rPr>
          <w:rFonts w:cs="Arial"/>
          <w:sz w:val="22"/>
          <w:szCs w:val="22"/>
        </w:rPr>
      </w:pPr>
    </w:p>
    <w:p w14:paraId="55A9F6DE" w14:textId="4D28CC38" w:rsidR="00EF4067" w:rsidRDefault="00F45E02" w:rsidP="00594614">
      <w:pPr>
        <w:spacing w:after="120" w:line="240" w:lineRule="auto"/>
        <w:ind w:left="0"/>
        <w:rPr>
          <w:rFonts w:cs="Arial"/>
          <w:b/>
          <w:sz w:val="22"/>
          <w:szCs w:val="22"/>
        </w:rPr>
      </w:pPr>
      <w:r>
        <w:rPr>
          <w:rFonts w:cs="Arial"/>
          <w:b/>
          <w:sz w:val="22"/>
          <w:szCs w:val="22"/>
        </w:rPr>
        <w:t>Impacts to Marine Invertebrates – Southern Rock Lobsters</w:t>
      </w:r>
    </w:p>
    <w:p w14:paraId="0F5760E0" w14:textId="77777777" w:rsidR="00F45E02" w:rsidRPr="00891DE1" w:rsidRDefault="00F45E02" w:rsidP="00F45E02">
      <w:pPr>
        <w:spacing w:after="120" w:line="240" w:lineRule="auto"/>
        <w:ind w:left="0"/>
        <w:rPr>
          <w:rFonts w:cs="Arial"/>
          <w:i/>
          <w:sz w:val="22"/>
          <w:szCs w:val="22"/>
        </w:rPr>
      </w:pPr>
      <w:r w:rsidRPr="00891DE1">
        <w:rPr>
          <w:rFonts w:cs="Arial"/>
          <w:i/>
          <w:sz w:val="22"/>
          <w:szCs w:val="22"/>
        </w:rPr>
        <w:t>Research results – invertebrates in general</w:t>
      </w:r>
    </w:p>
    <w:p w14:paraId="74707A9D" w14:textId="0A5DDF5B" w:rsidR="00EF4067" w:rsidRDefault="00F45E02" w:rsidP="00F45E02">
      <w:pPr>
        <w:spacing w:after="120" w:line="240" w:lineRule="auto"/>
        <w:ind w:left="0"/>
        <w:rPr>
          <w:rFonts w:cs="Arial"/>
          <w:b/>
          <w:sz w:val="22"/>
          <w:szCs w:val="22"/>
        </w:rPr>
      </w:pPr>
      <w:r>
        <w:rPr>
          <w:rFonts w:cs="Arial"/>
          <w:sz w:val="22"/>
          <w:szCs w:val="22"/>
        </w:rPr>
        <w:t>As per ‘scallops.’</w:t>
      </w:r>
    </w:p>
    <w:p w14:paraId="5B74E64A" w14:textId="7F66B59A" w:rsidR="00601840" w:rsidRPr="00891DE1" w:rsidRDefault="00601840" w:rsidP="00601840">
      <w:pPr>
        <w:spacing w:after="120" w:line="240" w:lineRule="auto"/>
        <w:ind w:left="0"/>
        <w:rPr>
          <w:rFonts w:cs="Arial"/>
          <w:i/>
          <w:sz w:val="22"/>
          <w:szCs w:val="22"/>
        </w:rPr>
      </w:pPr>
      <w:r w:rsidRPr="00891DE1">
        <w:rPr>
          <w:rFonts w:cs="Arial"/>
          <w:i/>
          <w:sz w:val="22"/>
          <w:szCs w:val="22"/>
        </w:rPr>
        <w:t>Research results</w:t>
      </w:r>
    </w:p>
    <w:p w14:paraId="2EB38817" w14:textId="69B514B7" w:rsidR="00601840" w:rsidRPr="00E71951" w:rsidRDefault="00601840" w:rsidP="00601840">
      <w:pPr>
        <w:ind w:left="0"/>
        <w:rPr>
          <w:rFonts w:cs="Arial"/>
          <w:sz w:val="22"/>
          <w:szCs w:val="22"/>
        </w:rPr>
      </w:pPr>
      <w:r w:rsidRPr="006D73D0">
        <w:rPr>
          <w:rFonts w:cs="Arial"/>
          <w:sz w:val="22"/>
          <w:szCs w:val="22"/>
        </w:rPr>
        <w:t>This section assesses impacts to</w:t>
      </w:r>
      <w:r>
        <w:rPr>
          <w:rFonts w:cs="Arial"/>
          <w:sz w:val="22"/>
          <w:szCs w:val="22"/>
        </w:rPr>
        <w:t xml:space="preserve"> c</w:t>
      </w:r>
      <w:r w:rsidRPr="00E71951">
        <w:rPr>
          <w:rFonts w:cs="Arial"/>
          <w:sz w:val="22"/>
          <w:szCs w:val="22"/>
        </w:rPr>
        <w:t>rustaceans</w:t>
      </w:r>
      <w:r>
        <w:rPr>
          <w:rFonts w:cs="Arial"/>
          <w:sz w:val="22"/>
          <w:szCs w:val="22"/>
        </w:rPr>
        <w:t xml:space="preserve">, which </w:t>
      </w:r>
      <w:r w:rsidRPr="00E71951">
        <w:rPr>
          <w:rFonts w:cs="Arial"/>
          <w:sz w:val="22"/>
          <w:szCs w:val="22"/>
        </w:rPr>
        <w:t>belong to the Arthropoda phylum</w:t>
      </w:r>
      <w:r>
        <w:rPr>
          <w:rFonts w:cs="Arial"/>
          <w:sz w:val="22"/>
          <w:szCs w:val="22"/>
        </w:rPr>
        <w:t xml:space="preserve">. </w:t>
      </w:r>
      <w:r w:rsidRPr="00E71951">
        <w:rPr>
          <w:rFonts w:cs="Arial"/>
          <w:sz w:val="22"/>
          <w:szCs w:val="22"/>
        </w:rPr>
        <w:t>Crustaceans include rock lobsters, prawns, crabs, and barnacles.</w:t>
      </w:r>
    </w:p>
    <w:p w14:paraId="3878A0B7" w14:textId="77777777" w:rsidR="00601840" w:rsidRDefault="00601840" w:rsidP="00601840">
      <w:pPr>
        <w:ind w:left="0"/>
        <w:rPr>
          <w:rFonts w:cs="Arial"/>
          <w:sz w:val="22"/>
          <w:szCs w:val="22"/>
        </w:rPr>
      </w:pPr>
    </w:p>
    <w:p w14:paraId="06BA5577" w14:textId="77777777" w:rsidR="00601840" w:rsidRPr="00B77BDC" w:rsidRDefault="00601840" w:rsidP="00601840">
      <w:pPr>
        <w:ind w:left="0"/>
        <w:rPr>
          <w:rFonts w:cs="Arial"/>
          <w:sz w:val="22"/>
          <w:szCs w:val="22"/>
        </w:rPr>
      </w:pPr>
      <w:r w:rsidRPr="00B77BDC">
        <w:rPr>
          <w:rFonts w:cs="Arial"/>
          <w:sz w:val="22"/>
          <w:szCs w:val="22"/>
        </w:rPr>
        <w:t>Specific studies examining the effect of seismic survey signals on crustaceans, including larval stages, are relatively rare, though recent Australian studies (</w:t>
      </w:r>
      <w:r>
        <w:rPr>
          <w:rFonts w:cs="Arial"/>
          <w:sz w:val="22"/>
          <w:szCs w:val="22"/>
        </w:rPr>
        <w:t xml:space="preserve">e.g., Day </w:t>
      </w:r>
      <w:r w:rsidRPr="00B75C22">
        <w:rPr>
          <w:rFonts w:cs="Arial"/>
          <w:i/>
          <w:sz w:val="22"/>
          <w:szCs w:val="22"/>
        </w:rPr>
        <w:t>et al</w:t>
      </w:r>
      <w:r>
        <w:rPr>
          <w:rFonts w:cs="Arial"/>
          <w:sz w:val="22"/>
          <w:szCs w:val="22"/>
        </w:rPr>
        <w:t xml:space="preserve">., 2016a; </w:t>
      </w:r>
      <w:r w:rsidRPr="00B77BDC">
        <w:rPr>
          <w:rFonts w:cs="Arial"/>
          <w:sz w:val="22"/>
          <w:szCs w:val="22"/>
        </w:rPr>
        <w:t xml:space="preserve">Przeslawski </w:t>
      </w:r>
      <w:r w:rsidRPr="00B77BDC">
        <w:rPr>
          <w:rFonts w:cs="Arial"/>
          <w:i/>
          <w:sz w:val="22"/>
          <w:szCs w:val="22"/>
        </w:rPr>
        <w:t>et al</w:t>
      </w:r>
      <w:r w:rsidRPr="00B77BDC">
        <w:rPr>
          <w:rFonts w:cs="Arial"/>
          <w:sz w:val="22"/>
          <w:szCs w:val="22"/>
        </w:rPr>
        <w:t>., 2016</w:t>
      </w:r>
      <w:r>
        <w:rPr>
          <w:rFonts w:cs="Arial"/>
          <w:sz w:val="22"/>
          <w:szCs w:val="22"/>
        </w:rPr>
        <w:t xml:space="preserve">a;b and reviews by Carroll </w:t>
      </w:r>
      <w:r w:rsidRPr="005E7750">
        <w:rPr>
          <w:rFonts w:cs="Arial"/>
          <w:i/>
          <w:sz w:val="22"/>
          <w:szCs w:val="22"/>
        </w:rPr>
        <w:t>et al</w:t>
      </w:r>
      <w:r>
        <w:rPr>
          <w:rFonts w:cs="Arial"/>
          <w:sz w:val="22"/>
          <w:szCs w:val="22"/>
        </w:rPr>
        <w:t>., 2017</w:t>
      </w:r>
      <w:r w:rsidRPr="00B77BDC">
        <w:rPr>
          <w:rFonts w:cs="Arial"/>
          <w:sz w:val="22"/>
          <w:szCs w:val="22"/>
        </w:rPr>
        <w:t xml:space="preserve">), have aimed to narrow the knowledge gap. </w:t>
      </w:r>
    </w:p>
    <w:p w14:paraId="356D668F" w14:textId="77777777" w:rsidR="00601840" w:rsidRDefault="00601840" w:rsidP="00601840">
      <w:pPr>
        <w:ind w:left="0"/>
        <w:rPr>
          <w:rFonts w:cs="Arial"/>
          <w:sz w:val="22"/>
          <w:szCs w:val="22"/>
        </w:rPr>
      </w:pPr>
    </w:p>
    <w:p w14:paraId="436ED51F" w14:textId="77777777" w:rsidR="00601840" w:rsidRDefault="00601840" w:rsidP="00601840">
      <w:pPr>
        <w:ind w:left="0"/>
        <w:rPr>
          <w:rFonts w:cs="Arial"/>
          <w:sz w:val="22"/>
          <w:szCs w:val="22"/>
        </w:rPr>
      </w:pPr>
      <w:r>
        <w:rPr>
          <w:rFonts w:cs="Arial"/>
          <w:sz w:val="22"/>
          <w:szCs w:val="22"/>
        </w:rPr>
        <w:t xml:space="preserve">The following studies conducted outside Australia, but considered in the recent review papers, are highly relevant in establishing possible impacts to crustaceans present in the proposed acquisition area: </w:t>
      </w:r>
    </w:p>
    <w:p w14:paraId="0DF2D337" w14:textId="77777777" w:rsidR="00601840" w:rsidRPr="001634A3" w:rsidRDefault="00601840" w:rsidP="00601840">
      <w:pPr>
        <w:ind w:left="0"/>
        <w:rPr>
          <w:rFonts w:ascii="Tahoma" w:hAnsi="Tahoma" w:cs="Arial"/>
          <w:szCs w:val="20"/>
        </w:rPr>
      </w:pPr>
    </w:p>
    <w:p w14:paraId="379DAD5D" w14:textId="77777777" w:rsidR="00601840" w:rsidRDefault="00601840" w:rsidP="00601840">
      <w:pPr>
        <w:pStyle w:val="ListParagraph0"/>
        <w:numPr>
          <w:ilvl w:val="0"/>
          <w:numId w:val="419"/>
        </w:numPr>
        <w:spacing w:after="120" w:line="240" w:lineRule="auto"/>
        <w:ind w:left="714" w:hanging="357"/>
        <w:rPr>
          <w:rFonts w:cs="Arial"/>
          <w:sz w:val="22"/>
          <w:szCs w:val="22"/>
        </w:rPr>
      </w:pPr>
      <w:r w:rsidRPr="00FB2A23">
        <w:rPr>
          <w:rFonts w:cs="Arial"/>
          <w:sz w:val="22"/>
          <w:szCs w:val="22"/>
        </w:rPr>
        <w:t>Wale et al (2013) undertook controlled tank-based experiments and showed that noise from lower level sources, such as ships, altered behaviour in the shallow water European shore crab (</w:t>
      </w:r>
      <w:r w:rsidRPr="000D306A">
        <w:rPr>
          <w:rFonts w:cs="Arial"/>
          <w:i/>
          <w:sz w:val="22"/>
          <w:szCs w:val="22"/>
        </w:rPr>
        <w:t>Cancer maenus</w:t>
      </w:r>
      <w:r w:rsidRPr="00FB2A23">
        <w:rPr>
          <w:rFonts w:cs="Arial"/>
          <w:sz w:val="22"/>
          <w:szCs w:val="22"/>
        </w:rPr>
        <w:t>) by disrupting feeding, slowing reaction time to threats, and hastening turn-over times for crabs placed on their backs.</w:t>
      </w:r>
    </w:p>
    <w:p w14:paraId="37108E18" w14:textId="77777777" w:rsidR="00601840" w:rsidRPr="00FB2A23" w:rsidRDefault="00601840" w:rsidP="00601840">
      <w:pPr>
        <w:pStyle w:val="ListParagraph0"/>
        <w:numPr>
          <w:ilvl w:val="0"/>
          <w:numId w:val="419"/>
        </w:numPr>
        <w:rPr>
          <w:rFonts w:cs="Arial"/>
          <w:sz w:val="22"/>
          <w:szCs w:val="22"/>
        </w:rPr>
      </w:pPr>
      <w:r w:rsidRPr="00FB2A23">
        <w:rPr>
          <w:rFonts w:cs="Arial"/>
          <w:sz w:val="22"/>
          <w:szCs w:val="22"/>
        </w:rPr>
        <w:t>Payne et al (2007) conducted a pilot study of the effects of exposure to seismic sound on various health endpoints of the American lobster (</w:t>
      </w:r>
      <w:r w:rsidRPr="0052486D">
        <w:rPr>
          <w:rFonts w:cs="Arial"/>
          <w:i/>
          <w:sz w:val="22"/>
          <w:szCs w:val="22"/>
        </w:rPr>
        <w:t>Homarus americanus</w:t>
      </w:r>
      <w:r w:rsidRPr="00FB2A23">
        <w:rPr>
          <w:rFonts w:cs="Arial"/>
          <w:sz w:val="22"/>
          <w:szCs w:val="22"/>
        </w:rPr>
        <w:t xml:space="preserve">). Adult lobsters were exposed either 20 to 200 times to 202 dB re 1μPap-p or 50 times to 227 dB re 1μPap-p, and then monitored for changes to survival, food consumption, turnover rate, serum protein level, serum enzyme levels, and serum calcium level. It is noted that lobsters exposed to </w:t>
      </w:r>
      <w:r w:rsidRPr="00FB2A23">
        <w:rPr>
          <w:rFonts w:cs="Arial"/>
          <w:sz w:val="22"/>
          <w:szCs w:val="22"/>
        </w:rPr>
        <w:lastRenderedPageBreak/>
        <w:t>seismic pulses were located at very close range to the source (~2 m). The SEL that the lobster were exposed to was not described in the report but can be estimated to be up to 207 dB re 1 μPa</w:t>
      </w:r>
      <w:r w:rsidRPr="00AF4CB8">
        <w:rPr>
          <w:rFonts w:cs="Arial"/>
          <w:sz w:val="22"/>
          <w:szCs w:val="22"/>
          <w:vertAlign w:val="superscript"/>
        </w:rPr>
        <w:t>2</w:t>
      </w:r>
      <w:r w:rsidRPr="00FB2A23">
        <w:rPr>
          <w:rFonts w:cs="Arial"/>
          <w:sz w:val="22"/>
          <w:szCs w:val="22"/>
        </w:rPr>
        <w:t xml:space="preserve">·s. Observations were made over a period of a few days to several months. </w:t>
      </w:r>
    </w:p>
    <w:p w14:paraId="1128093C" w14:textId="77777777" w:rsidR="00601840" w:rsidRDefault="00601840" w:rsidP="00601840">
      <w:pPr>
        <w:pStyle w:val="ColorfulList-Accent11"/>
        <w:numPr>
          <w:ilvl w:val="1"/>
          <w:numId w:val="386"/>
        </w:numPr>
        <w:rPr>
          <w:rFonts w:cs="Arial"/>
          <w:sz w:val="22"/>
          <w:szCs w:val="22"/>
        </w:rPr>
      </w:pPr>
      <w:r w:rsidRPr="00FB2A23">
        <w:rPr>
          <w:rFonts w:cs="Arial"/>
          <w:sz w:val="22"/>
          <w:szCs w:val="22"/>
        </w:rPr>
        <w:t>Results indicated no effects on delayed mortality or damage to the mechanosensory systems associated with animal equilibrium and posture (as assessed by turnover rate).</w:t>
      </w:r>
    </w:p>
    <w:p w14:paraId="47F70675" w14:textId="77777777" w:rsidR="00601840" w:rsidRPr="00FB2A23" w:rsidRDefault="00601840" w:rsidP="00601840">
      <w:pPr>
        <w:pStyle w:val="ColorfulList-Accent11"/>
        <w:numPr>
          <w:ilvl w:val="1"/>
          <w:numId w:val="386"/>
        </w:numPr>
        <w:rPr>
          <w:rFonts w:cs="Arial"/>
          <w:sz w:val="22"/>
          <w:szCs w:val="22"/>
        </w:rPr>
      </w:pPr>
      <w:r w:rsidRPr="00FB2A23">
        <w:rPr>
          <w:rFonts w:cs="Arial"/>
          <w:sz w:val="22"/>
          <w:szCs w:val="22"/>
        </w:rPr>
        <w:t xml:space="preserve">There was a decrease in the levels of serum protein, particular serum enzymes and serum calcium in the haemolymph of animals exposed to seismic sound. Statistically significant differences were noted in serum protein at 12 days post-exposure, serum enzymes at 5 days post-exposure, and serum calcium at 12 days post-exposure. Serum enzymes are valuable in detecting major organ damage whereby enzymes leak into the blood upon cellular rupture. Within this study two enzymes, Aspartate transaminase (AST) and Creatine kinase (CK), were not elevated in seismic-exposed animals reflecting the absence of major cellular rupture or necrosis being affected by seismic including high exposure conditions. Similar results were obtained in studies with snow crabs (Christian </w:t>
      </w:r>
      <w:r w:rsidRPr="00FB2A23">
        <w:rPr>
          <w:rFonts w:cs="Arial"/>
          <w:i/>
          <w:sz w:val="22"/>
          <w:szCs w:val="22"/>
        </w:rPr>
        <w:t>et al</w:t>
      </w:r>
      <w:r w:rsidRPr="00FB2A23">
        <w:rPr>
          <w:rFonts w:cs="Arial"/>
          <w:sz w:val="22"/>
          <w:szCs w:val="22"/>
        </w:rPr>
        <w:t xml:space="preserve">., 2003). However, there was evidence of decreased serum enzymes in some trials, indicating the possibility of hemodilution or uptake of excess water by the animals. A similar decrease in serum protein and calcium was noted in some trials indicating a potential for disturbance to osmoregulation (i.e., the process by which the body regulates the osmotic pressure of any organisms’ fluids in order to keep the homeostasis of the organisms' water level constant). Altogether, the results suggest a potential for osmo-regulatory disturbance in lobsters exposed to seismic.  </w:t>
      </w:r>
    </w:p>
    <w:p w14:paraId="6ABF912A" w14:textId="77777777" w:rsidR="00601840" w:rsidRPr="00FB2A23" w:rsidRDefault="00601840" w:rsidP="00601840">
      <w:pPr>
        <w:pStyle w:val="ColorfulList-Accent11"/>
        <w:numPr>
          <w:ilvl w:val="1"/>
          <w:numId w:val="386"/>
        </w:numPr>
        <w:spacing w:after="120" w:line="240" w:lineRule="auto"/>
        <w:contextualSpacing w:val="0"/>
        <w:rPr>
          <w:rFonts w:cs="Arial"/>
          <w:sz w:val="22"/>
          <w:szCs w:val="22"/>
        </w:rPr>
      </w:pPr>
      <w:r w:rsidRPr="00FB2A23">
        <w:rPr>
          <w:rFonts w:cs="Arial"/>
          <w:sz w:val="22"/>
          <w:szCs w:val="22"/>
        </w:rPr>
        <w:t xml:space="preserve">During the histological analysis conducted 4 months post-exposure, no structural differences in hepatopancreatic tissues were noted, which would denote cell or tissue rupture, necrosis or inflammation. There was also no evidence of tissue necrosis or inflammation in the ovaries. However, histology identified elevated deposits of carbohydrates, thought to be glycogen, in the hepatopancreas of seismic-exposed animals. Such abnormal accumulations are believed to be due to disturbance in cellular processes connected with synthesis and secretion, however, the report concludes that further research is required to assess whether this particular observation is due to organ stress. These studies are noted as being exploratory in nature, with the authors cautioning against over-interpretation. </w:t>
      </w:r>
    </w:p>
    <w:p w14:paraId="5230F038" w14:textId="77777777" w:rsidR="00601840" w:rsidRPr="00FB2A23" w:rsidRDefault="00601840" w:rsidP="00601840">
      <w:pPr>
        <w:pStyle w:val="ColorfulList-Accent11"/>
        <w:numPr>
          <w:ilvl w:val="0"/>
          <w:numId w:val="167"/>
        </w:numPr>
        <w:spacing w:after="120"/>
        <w:rPr>
          <w:rFonts w:cs="Arial"/>
          <w:sz w:val="22"/>
          <w:szCs w:val="22"/>
        </w:rPr>
      </w:pPr>
      <w:r w:rsidRPr="00FB2A23">
        <w:rPr>
          <w:rFonts w:cs="Arial"/>
          <w:sz w:val="22"/>
          <w:szCs w:val="22"/>
        </w:rPr>
        <w:t xml:space="preserve">A pilot study on snow crabs (Christian </w:t>
      </w:r>
      <w:r w:rsidRPr="00FB2A23">
        <w:rPr>
          <w:rFonts w:cs="Arial"/>
          <w:i/>
          <w:sz w:val="22"/>
          <w:szCs w:val="22"/>
        </w:rPr>
        <w:t>et al</w:t>
      </w:r>
      <w:r w:rsidRPr="00FB2A23">
        <w:rPr>
          <w:rFonts w:cs="Arial"/>
          <w:sz w:val="22"/>
          <w:szCs w:val="22"/>
        </w:rPr>
        <w:t>., 2003; 2004) exposed captive adult male snow crabs, egg-carrying</w:t>
      </w:r>
      <w:r>
        <w:rPr>
          <w:rFonts w:cs="Arial"/>
          <w:sz w:val="22"/>
          <w:szCs w:val="22"/>
        </w:rPr>
        <w:t xml:space="preserve"> female snow crabs, and fertilis</w:t>
      </w:r>
      <w:r w:rsidRPr="00FB2A23">
        <w:rPr>
          <w:rFonts w:cs="Arial"/>
          <w:sz w:val="22"/>
          <w:szCs w:val="22"/>
        </w:rPr>
        <w:t>ed snow crab eggs to variable SPLs (191–221 dB re 1 μPa</w:t>
      </w:r>
      <w:r w:rsidRPr="00FB2A23">
        <w:rPr>
          <w:rFonts w:cs="Arial"/>
          <w:sz w:val="22"/>
          <w:szCs w:val="22"/>
          <w:vertAlign w:val="subscript"/>
        </w:rPr>
        <w:t>0-p</w:t>
      </w:r>
      <w:r w:rsidRPr="00FB2A23">
        <w:rPr>
          <w:rFonts w:cs="Arial"/>
          <w:sz w:val="22"/>
          <w:szCs w:val="22"/>
        </w:rPr>
        <w:t>) and SELs (&lt;130–187 dB re 1 μPa</w:t>
      </w:r>
      <w:r w:rsidRPr="00FB2A23">
        <w:rPr>
          <w:rFonts w:cs="Arial"/>
          <w:sz w:val="22"/>
          <w:szCs w:val="22"/>
          <w:vertAlign w:val="superscript"/>
        </w:rPr>
        <w:t>2</w:t>
      </w:r>
      <w:r w:rsidRPr="00FB2A23">
        <w:rPr>
          <w:rFonts w:cs="Arial"/>
          <w:sz w:val="22"/>
          <w:szCs w:val="22"/>
        </w:rPr>
        <w:t xml:space="preserve">·s) under controlled field experimental conditions. The crabs were exposed to 200 discharges over a 33-minute period. </w:t>
      </w:r>
    </w:p>
    <w:p w14:paraId="3A7C66C4" w14:textId="77777777" w:rsidR="00601840" w:rsidRPr="00FB2A23" w:rsidRDefault="00601840" w:rsidP="00601840">
      <w:pPr>
        <w:pStyle w:val="ColorfulList-Accent11"/>
        <w:numPr>
          <w:ilvl w:val="1"/>
          <w:numId w:val="167"/>
        </w:numPr>
        <w:rPr>
          <w:rFonts w:cs="Arial"/>
          <w:sz w:val="22"/>
          <w:szCs w:val="22"/>
        </w:rPr>
      </w:pPr>
      <w:r w:rsidRPr="00FB2A23">
        <w:rPr>
          <w:rFonts w:cs="Arial"/>
          <w:sz w:val="22"/>
          <w:szCs w:val="22"/>
        </w:rPr>
        <w:t>Neither acute nor chronic (12 weeks post-exposure) mortality was observed for the adult crabs.</w:t>
      </w:r>
    </w:p>
    <w:p w14:paraId="517F3F8C" w14:textId="77777777" w:rsidR="00601840" w:rsidRPr="00FB2A23" w:rsidRDefault="00601840" w:rsidP="00601840">
      <w:pPr>
        <w:pStyle w:val="ColorfulList-Accent11"/>
        <w:numPr>
          <w:ilvl w:val="1"/>
          <w:numId w:val="167"/>
        </w:numPr>
        <w:rPr>
          <w:rFonts w:cs="Arial"/>
          <w:sz w:val="22"/>
          <w:szCs w:val="22"/>
        </w:rPr>
      </w:pPr>
      <w:r w:rsidRPr="00FB2A23">
        <w:rPr>
          <w:rFonts w:cs="Arial"/>
          <w:sz w:val="22"/>
          <w:szCs w:val="22"/>
        </w:rPr>
        <w:t>There was a significant difference in the development rate noted between th</w:t>
      </w:r>
      <w:r>
        <w:rPr>
          <w:rFonts w:cs="Arial"/>
          <w:sz w:val="22"/>
          <w:szCs w:val="22"/>
        </w:rPr>
        <w:t>e exposed and unexposed fertilis</w:t>
      </w:r>
      <w:r w:rsidRPr="00FB2A23">
        <w:rPr>
          <w:rFonts w:cs="Arial"/>
          <w:sz w:val="22"/>
          <w:szCs w:val="22"/>
        </w:rPr>
        <w:t xml:space="preserve">ed eggs/embryos in this study with the egg mass exposed to seismic energy demonstrating a higher proportion of less-developed eggs than the unexposed mass. However, this experiment was performed on eggs stripped from a single berried female and cultured in a laboratory for six weeks prior </w:t>
      </w:r>
      <w:r w:rsidRPr="00FB2A23">
        <w:rPr>
          <w:rFonts w:cs="Arial"/>
          <w:sz w:val="22"/>
          <w:szCs w:val="22"/>
        </w:rPr>
        <w:lastRenderedPageBreak/>
        <w:t xml:space="preserve">to exposure and eighteen weeks following exposure. Subsequent work on larvae that had been exposed to seismic array signals as embryos but were allowed to hatch normally without being stripped from berried females did not suffer any negative effects (Payne </w:t>
      </w:r>
      <w:r w:rsidRPr="00FB2A23">
        <w:rPr>
          <w:rFonts w:cs="Arial"/>
          <w:i/>
          <w:sz w:val="22"/>
          <w:szCs w:val="22"/>
        </w:rPr>
        <w:t>et al</w:t>
      </w:r>
      <w:r w:rsidRPr="00FB2A23">
        <w:rPr>
          <w:rFonts w:cs="Arial"/>
          <w:sz w:val="22"/>
          <w:szCs w:val="22"/>
        </w:rPr>
        <w:t>., 2008).</w:t>
      </w:r>
    </w:p>
    <w:p w14:paraId="19B5CF9A" w14:textId="77777777" w:rsidR="00601840" w:rsidRPr="00FB2A23" w:rsidRDefault="00601840" w:rsidP="00601840">
      <w:pPr>
        <w:pStyle w:val="ColorfulList-Accent11"/>
        <w:numPr>
          <w:ilvl w:val="1"/>
          <w:numId w:val="167"/>
        </w:numPr>
        <w:spacing w:after="120" w:line="240" w:lineRule="auto"/>
        <w:ind w:left="1502" w:hanging="357"/>
        <w:contextualSpacing w:val="0"/>
        <w:rPr>
          <w:rFonts w:cs="Arial"/>
          <w:sz w:val="22"/>
          <w:szCs w:val="22"/>
        </w:rPr>
      </w:pPr>
      <w:r w:rsidRPr="00FB2A23">
        <w:rPr>
          <w:rFonts w:cs="Arial"/>
          <w:sz w:val="22"/>
          <w:szCs w:val="22"/>
        </w:rPr>
        <w:t xml:space="preserve">Stress indicators in the haemolymph of adult male snow crabs were monitored immediately after exposure of the animals to seismic survey sound (Christian </w:t>
      </w:r>
      <w:r w:rsidRPr="00FB2A23">
        <w:rPr>
          <w:rFonts w:cs="Arial"/>
          <w:i/>
          <w:sz w:val="22"/>
          <w:szCs w:val="22"/>
        </w:rPr>
        <w:t>et al</w:t>
      </w:r>
      <w:r w:rsidRPr="00FB2A23">
        <w:rPr>
          <w:rFonts w:cs="Arial"/>
          <w:sz w:val="22"/>
          <w:szCs w:val="22"/>
        </w:rPr>
        <w:t>., 2003; 2004) and at various intervals after exposure. No significant acute or chronic differences between exposed and unexposed animals in terms of the stress indicators (e.g., proteins, enzymes, cell type count) were observed.</w:t>
      </w:r>
    </w:p>
    <w:p w14:paraId="6EEA1671" w14:textId="77777777" w:rsidR="00601840" w:rsidRPr="00FB2A23" w:rsidRDefault="00601840" w:rsidP="00601840">
      <w:pPr>
        <w:pStyle w:val="ColorfulList-Accent11"/>
        <w:numPr>
          <w:ilvl w:val="0"/>
          <w:numId w:val="167"/>
        </w:numPr>
        <w:spacing w:after="120"/>
        <w:ind w:left="782" w:hanging="357"/>
        <w:contextualSpacing w:val="0"/>
        <w:rPr>
          <w:rFonts w:cs="Arial"/>
          <w:sz w:val="22"/>
          <w:szCs w:val="22"/>
        </w:rPr>
      </w:pPr>
      <w:r w:rsidRPr="00FB2A23">
        <w:rPr>
          <w:rFonts w:cs="Arial"/>
          <w:sz w:val="22"/>
          <w:szCs w:val="22"/>
        </w:rPr>
        <w:t>Christian et al (2003) also investigated the behavioural effects of exposure to seismic survey sound on snow crabs. Caged animals on the ocean bottom at a depth of 50 m were monitored with a remote video camera during exposure to seismic sound and did not exhibit any overt startle response during the exposure period. Eight animals were equipped with ultrasonic tags, released, and monitored for multiple days prior to exposure and after exposure. None of the tagged animals left the immediate area after exposure to the seismic survey sound. Five animals were captured in the snow crab commercial fishery the following year, one at the release location, one 35 km from the release location, and three at intermediate distances from the release location.</w:t>
      </w:r>
    </w:p>
    <w:p w14:paraId="256BE28A" w14:textId="77777777" w:rsidR="00601840" w:rsidRPr="00FB2A23" w:rsidRDefault="00601840" w:rsidP="00601840">
      <w:pPr>
        <w:pStyle w:val="ColorfulList-Accent11"/>
        <w:numPr>
          <w:ilvl w:val="0"/>
          <w:numId w:val="167"/>
        </w:numPr>
        <w:spacing w:after="120"/>
        <w:ind w:left="782" w:hanging="357"/>
        <w:contextualSpacing w:val="0"/>
        <w:rPr>
          <w:rFonts w:cs="Arial"/>
          <w:sz w:val="22"/>
          <w:szCs w:val="22"/>
        </w:rPr>
      </w:pPr>
      <w:r w:rsidRPr="00FB2A23">
        <w:rPr>
          <w:rFonts w:cs="Arial"/>
          <w:sz w:val="22"/>
          <w:szCs w:val="22"/>
        </w:rPr>
        <w:t>In 2003, a collaborative study was conducted in the southern Gulf of St. Lawrence, Canada, to investigate the effects of exposure to sound from a commercial seismic survey on egg-bearing female snow crabs (DFO, 2004). Caged animals were placed on the ocean bottom at a location within the survey area and at a location outside of the survey area. The maximum received SPL was ~195 dB re 1 μPa</w:t>
      </w:r>
      <w:r w:rsidRPr="00FB2A23">
        <w:rPr>
          <w:rFonts w:cs="Arial"/>
          <w:sz w:val="22"/>
          <w:szCs w:val="22"/>
          <w:vertAlign w:val="subscript"/>
        </w:rPr>
        <w:t>0-p</w:t>
      </w:r>
      <w:r w:rsidRPr="00FB2A23">
        <w:rPr>
          <w:rFonts w:cs="Arial"/>
          <w:sz w:val="22"/>
          <w:szCs w:val="22"/>
        </w:rPr>
        <w:t>. The crabs were exposed for 132 hours of the survey, equivalent to thousands of seismic shots of varying received SPLs. The animals were retrieved and transferred to laboratories for analyses. Neither acute nor chronic lethal or sub-lethal injury to the female crabs or crab embryos was indicated. DFO (2004) reported that some exposed individuals had short-term soiling of gills, antennules and statocysts, bruising of the hepatopancreas and ovary, and detached outer membranes of oocytes. However, they were found to be completely cleaned of sediment when sampled five months later and any differences could not be conclusively linked to exposure to seismic survey sound.</w:t>
      </w:r>
    </w:p>
    <w:p w14:paraId="36DE9AC8" w14:textId="77777777" w:rsidR="00601840" w:rsidRDefault="00601840" w:rsidP="00601840">
      <w:pPr>
        <w:pStyle w:val="ColorfulList-Accent11"/>
        <w:numPr>
          <w:ilvl w:val="0"/>
          <w:numId w:val="167"/>
        </w:numPr>
        <w:spacing w:after="120" w:line="240" w:lineRule="auto"/>
        <w:ind w:left="782" w:hanging="357"/>
        <w:contextualSpacing w:val="0"/>
        <w:rPr>
          <w:rFonts w:cs="Arial"/>
          <w:sz w:val="22"/>
          <w:szCs w:val="22"/>
        </w:rPr>
      </w:pPr>
      <w:r w:rsidRPr="00C24D79">
        <w:rPr>
          <w:rFonts w:cs="Arial"/>
          <w:sz w:val="22"/>
          <w:szCs w:val="22"/>
        </w:rPr>
        <w:t>In a field study, Pearson et al (1994) exposed Stage II larvae of the dungeness crab to single discharges from a seven-airgun array and compared their mortality and development rates with those of unexposed larvae. For immediate and long-term survival and time to molt, this study did not reveal any statistically significant differences between the exposed and unexposed larvae, even those exposed within 1 m of the seismic source.</w:t>
      </w:r>
    </w:p>
    <w:p w14:paraId="14E4AB8C" w14:textId="77777777" w:rsidR="00601840" w:rsidRPr="00C24D79" w:rsidRDefault="00601840" w:rsidP="00601840">
      <w:pPr>
        <w:pStyle w:val="ColorfulList-Accent11"/>
        <w:numPr>
          <w:ilvl w:val="0"/>
          <w:numId w:val="167"/>
        </w:numPr>
        <w:contextualSpacing w:val="0"/>
        <w:rPr>
          <w:rFonts w:cs="Arial"/>
          <w:sz w:val="22"/>
          <w:szCs w:val="22"/>
        </w:rPr>
      </w:pPr>
      <w:r>
        <w:rPr>
          <w:rFonts w:cs="Arial"/>
          <w:sz w:val="22"/>
          <w:szCs w:val="22"/>
        </w:rPr>
        <w:t xml:space="preserve">Morris et al (2017) undertook a study into the effects of 2D MSS on the snow crab fishery. </w:t>
      </w:r>
      <w:r w:rsidRPr="0052486D">
        <w:rPr>
          <w:rFonts w:cs="Arial"/>
          <w:sz w:val="22"/>
          <w:szCs w:val="22"/>
        </w:rPr>
        <w:t>Snow crab harvesters in Atlantic Canada contend that seismic noise from widespread hydrocarbon</w:t>
      </w:r>
      <w:r w:rsidRPr="00C24D79">
        <w:rPr>
          <w:rFonts w:cs="Arial"/>
          <w:sz w:val="22"/>
          <w:szCs w:val="22"/>
        </w:rPr>
        <w:t xml:space="preserve"> </w:t>
      </w:r>
      <w:r w:rsidRPr="0052486D">
        <w:rPr>
          <w:rFonts w:cs="Arial"/>
          <w:sz w:val="22"/>
          <w:szCs w:val="22"/>
        </w:rPr>
        <w:t xml:space="preserve">exploration has strong negative effects on catch rates. </w:t>
      </w:r>
      <w:r>
        <w:rPr>
          <w:rFonts w:cs="Arial"/>
          <w:sz w:val="22"/>
          <w:szCs w:val="22"/>
        </w:rPr>
        <w:t xml:space="preserve">This study </w:t>
      </w:r>
      <w:r w:rsidRPr="0052486D">
        <w:rPr>
          <w:rFonts w:cs="Arial"/>
          <w:sz w:val="22"/>
          <w:szCs w:val="22"/>
        </w:rPr>
        <w:t xml:space="preserve">repeated a Before-After-Control-Impact </w:t>
      </w:r>
      <w:r>
        <w:rPr>
          <w:rFonts w:cs="Arial"/>
          <w:sz w:val="22"/>
          <w:szCs w:val="22"/>
        </w:rPr>
        <w:t xml:space="preserve">(BACI) </w:t>
      </w:r>
      <w:r w:rsidRPr="0052486D">
        <w:rPr>
          <w:rFonts w:cs="Arial"/>
          <w:sz w:val="22"/>
          <w:szCs w:val="22"/>
        </w:rPr>
        <w:t>study</w:t>
      </w:r>
      <w:r w:rsidRPr="00C24D79">
        <w:rPr>
          <w:rFonts w:cs="Arial"/>
          <w:sz w:val="22"/>
          <w:szCs w:val="22"/>
        </w:rPr>
        <w:t xml:space="preserve"> </w:t>
      </w:r>
      <w:r w:rsidRPr="0052486D">
        <w:rPr>
          <w:rFonts w:cs="Arial"/>
          <w:sz w:val="22"/>
          <w:szCs w:val="22"/>
        </w:rPr>
        <w:t>over two years to assess the effects of industry scale seismic exposure on catch rates of snow crab along the</w:t>
      </w:r>
      <w:r w:rsidRPr="00C24D79">
        <w:rPr>
          <w:rFonts w:cs="Arial"/>
          <w:sz w:val="22"/>
          <w:szCs w:val="22"/>
        </w:rPr>
        <w:t xml:space="preserve"> </w:t>
      </w:r>
      <w:r w:rsidRPr="0052486D">
        <w:rPr>
          <w:rFonts w:cs="Arial"/>
          <w:sz w:val="22"/>
          <w:szCs w:val="22"/>
        </w:rPr>
        <w:t xml:space="preserve">continental slope of the Grand Banks </w:t>
      </w:r>
      <w:r>
        <w:rPr>
          <w:rFonts w:cs="Arial"/>
          <w:sz w:val="22"/>
          <w:szCs w:val="22"/>
        </w:rPr>
        <w:t xml:space="preserve">(North Atlantic Ocean) </w:t>
      </w:r>
      <w:r w:rsidRPr="0052486D">
        <w:rPr>
          <w:rFonts w:cs="Arial"/>
          <w:sz w:val="22"/>
          <w:szCs w:val="22"/>
        </w:rPr>
        <w:t>of Newfoundland</w:t>
      </w:r>
      <w:r>
        <w:rPr>
          <w:rFonts w:cs="Arial"/>
          <w:sz w:val="22"/>
          <w:szCs w:val="22"/>
        </w:rPr>
        <w:t>, Canada</w:t>
      </w:r>
      <w:r w:rsidRPr="0052486D">
        <w:rPr>
          <w:rFonts w:cs="Arial"/>
          <w:sz w:val="22"/>
          <w:szCs w:val="22"/>
        </w:rPr>
        <w:t xml:space="preserve">. </w:t>
      </w:r>
      <w:r>
        <w:rPr>
          <w:rFonts w:cs="Arial"/>
          <w:sz w:val="22"/>
          <w:szCs w:val="22"/>
        </w:rPr>
        <w:t>The</w:t>
      </w:r>
      <w:r w:rsidRPr="0052486D">
        <w:rPr>
          <w:rFonts w:cs="Arial"/>
          <w:sz w:val="22"/>
          <w:szCs w:val="22"/>
        </w:rPr>
        <w:t xml:space="preserve"> results did not support the contention that </w:t>
      </w:r>
      <w:r>
        <w:rPr>
          <w:rFonts w:cs="Arial"/>
          <w:sz w:val="22"/>
          <w:szCs w:val="22"/>
        </w:rPr>
        <w:t>MSS</w:t>
      </w:r>
      <w:r w:rsidRPr="00C24D79">
        <w:rPr>
          <w:rFonts w:cs="Arial"/>
          <w:sz w:val="22"/>
          <w:szCs w:val="22"/>
        </w:rPr>
        <w:t xml:space="preserve"> </w:t>
      </w:r>
      <w:r w:rsidRPr="0052486D">
        <w:rPr>
          <w:rFonts w:cs="Arial"/>
          <w:sz w:val="22"/>
          <w:szCs w:val="22"/>
        </w:rPr>
        <w:t>negatively affects catch rates in shorter term (i.e.</w:t>
      </w:r>
      <w:r>
        <w:rPr>
          <w:rFonts w:cs="Arial"/>
          <w:sz w:val="22"/>
          <w:szCs w:val="22"/>
        </w:rPr>
        <w:t>,</w:t>
      </w:r>
      <w:r w:rsidRPr="0052486D">
        <w:rPr>
          <w:rFonts w:cs="Arial"/>
          <w:sz w:val="22"/>
          <w:szCs w:val="22"/>
        </w:rPr>
        <w:t xml:space="preserve"> within days) or longer time frames (weeks). However,</w:t>
      </w:r>
      <w:r w:rsidRPr="00C24D79">
        <w:rPr>
          <w:rFonts w:cs="Arial"/>
          <w:sz w:val="22"/>
          <w:szCs w:val="22"/>
        </w:rPr>
        <w:t xml:space="preserve"> </w:t>
      </w:r>
      <w:r w:rsidRPr="0052486D">
        <w:rPr>
          <w:rFonts w:cs="Arial"/>
          <w:sz w:val="22"/>
          <w:szCs w:val="22"/>
        </w:rPr>
        <w:t xml:space="preserve">significant differences </w:t>
      </w:r>
      <w:r w:rsidRPr="0052486D">
        <w:rPr>
          <w:rFonts w:cs="Arial"/>
          <w:sz w:val="22"/>
          <w:szCs w:val="22"/>
        </w:rPr>
        <w:lastRenderedPageBreak/>
        <w:t>in catches were observed across study areas and years. While the inherent variability of</w:t>
      </w:r>
      <w:r w:rsidRPr="00C24D79">
        <w:rPr>
          <w:rFonts w:cs="Arial"/>
          <w:sz w:val="22"/>
          <w:szCs w:val="22"/>
        </w:rPr>
        <w:t xml:space="preserve"> </w:t>
      </w:r>
      <w:r w:rsidRPr="0052486D">
        <w:rPr>
          <w:rFonts w:cs="Arial"/>
          <w:sz w:val="22"/>
          <w:szCs w:val="22"/>
        </w:rPr>
        <w:t xml:space="preserve">the CPUE data limited the statistical power of this study, </w:t>
      </w:r>
      <w:r>
        <w:rPr>
          <w:rFonts w:cs="Arial"/>
          <w:sz w:val="22"/>
          <w:szCs w:val="22"/>
        </w:rPr>
        <w:t xml:space="preserve">the </w:t>
      </w:r>
      <w:r w:rsidRPr="0052486D">
        <w:rPr>
          <w:rFonts w:cs="Arial"/>
          <w:sz w:val="22"/>
          <w:szCs w:val="22"/>
        </w:rPr>
        <w:t>results do suggest that if seismic effects on snow</w:t>
      </w:r>
      <w:r w:rsidRPr="00C24D79">
        <w:rPr>
          <w:rFonts w:cs="Arial"/>
          <w:sz w:val="22"/>
          <w:szCs w:val="22"/>
        </w:rPr>
        <w:t xml:space="preserve"> </w:t>
      </w:r>
      <w:r w:rsidRPr="0052486D">
        <w:rPr>
          <w:rFonts w:cs="Arial"/>
          <w:sz w:val="22"/>
          <w:szCs w:val="22"/>
        </w:rPr>
        <w:t>crab harvests do exist, they are smaller than changes related to natural spatial and temporal variation.</w:t>
      </w:r>
    </w:p>
    <w:p w14:paraId="2395D8E0" w14:textId="77777777" w:rsidR="00601840" w:rsidRDefault="00601840" w:rsidP="00601840">
      <w:pPr>
        <w:ind w:left="0"/>
        <w:rPr>
          <w:rFonts w:cs="Arial"/>
          <w:sz w:val="22"/>
          <w:szCs w:val="22"/>
        </w:rPr>
      </w:pPr>
    </w:p>
    <w:p w14:paraId="46ADD9FF" w14:textId="77777777" w:rsidR="00601840" w:rsidRPr="00924683" w:rsidRDefault="00601840" w:rsidP="00601840">
      <w:pPr>
        <w:ind w:left="0"/>
        <w:rPr>
          <w:rFonts w:cs="Arial"/>
          <w:sz w:val="22"/>
          <w:szCs w:val="22"/>
        </w:rPr>
      </w:pPr>
      <w:r w:rsidRPr="00924683">
        <w:rPr>
          <w:rFonts w:cs="Arial"/>
          <w:sz w:val="22"/>
          <w:szCs w:val="22"/>
        </w:rPr>
        <w:t>In order to further understand interactions between seismic operations and marine invertebrates, the CarbonNet Project contributed funding (along with the Commonwealth Government’s Fisheries Research Development Corporation [FRDC] and Origin Energy Ltd) to a research program assessing the impact of marine seismic surveys on the commercial scallop (</w:t>
      </w:r>
      <w:r w:rsidRPr="00924683">
        <w:rPr>
          <w:rFonts w:cs="Arial"/>
          <w:i/>
          <w:sz w:val="22"/>
          <w:szCs w:val="22"/>
        </w:rPr>
        <w:t>Pecten fumatus</w:t>
      </w:r>
      <w:r w:rsidRPr="00924683">
        <w:rPr>
          <w:rFonts w:cs="Arial"/>
          <w:sz w:val="22"/>
          <w:szCs w:val="22"/>
        </w:rPr>
        <w:t>) and southern rock lobster (</w:t>
      </w:r>
      <w:r w:rsidRPr="00924683">
        <w:rPr>
          <w:rFonts w:cs="Arial"/>
          <w:i/>
          <w:sz w:val="22"/>
          <w:szCs w:val="22"/>
        </w:rPr>
        <w:t>Jasus edwardsii</w:t>
      </w:r>
      <w:r w:rsidRPr="00924683">
        <w:rPr>
          <w:rFonts w:cs="Arial"/>
          <w:sz w:val="22"/>
          <w:szCs w:val="22"/>
        </w:rPr>
        <w:t xml:space="preserve">). This program study was undertaken by researchers from the Institute for Marine and Antarctic Studies (IMAS) at the University of Tasmania, with the report (Day </w:t>
      </w:r>
      <w:r w:rsidRPr="00924683">
        <w:rPr>
          <w:rFonts w:cs="Arial"/>
          <w:i/>
          <w:sz w:val="22"/>
          <w:szCs w:val="22"/>
        </w:rPr>
        <w:t>et al</w:t>
      </w:r>
      <w:r w:rsidRPr="00924683">
        <w:rPr>
          <w:rFonts w:cs="Arial"/>
          <w:sz w:val="22"/>
          <w:szCs w:val="22"/>
        </w:rPr>
        <w:t>., 2016</w:t>
      </w:r>
      <w:r>
        <w:rPr>
          <w:rFonts w:cs="Arial"/>
          <w:sz w:val="22"/>
          <w:szCs w:val="22"/>
        </w:rPr>
        <w:t>a</w:t>
      </w:r>
      <w:r w:rsidRPr="00924683">
        <w:rPr>
          <w:rFonts w:cs="Arial"/>
          <w:sz w:val="22"/>
          <w:szCs w:val="22"/>
        </w:rPr>
        <w:t xml:space="preserve">) released in October 2016. Information from this report as it relates to southern rock lobsters is provided herein. </w:t>
      </w:r>
    </w:p>
    <w:p w14:paraId="1690F690" w14:textId="77777777" w:rsidR="00601840" w:rsidRPr="00924683" w:rsidRDefault="00601840" w:rsidP="00601840">
      <w:pPr>
        <w:ind w:left="0"/>
        <w:rPr>
          <w:rFonts w:cs="Arial"/>
          <w:sz w:val="22"/>
          <w:szCs w:val="22"/>
        </w:rPr>
      </w:pPr>
    </w:p>
    <w:p w14:paraId="524FAD81" w14:textId="77777777" w:rsidR="00601840" w:rsidRDefault="00601840" w:rsidP="00601840">
      <w:pPr>
        <w:spacing w:after="120"/>
        <w:ind w:left="0"/>
        <w:rPr>
          <w:rFonts w:cs="Arial"/>
          <w:sz w:val="22"/>
          <w:szCs w:val="22"/>
          <w:u w:val="single"/>
        </w:rPr>
      </w:pPr>
      <w:r w:rsidRPr="00924683">
        <w:rPr>
          <w:rFonts w:cs="Arial"/>
          <w:sz w:val="22"/>
          <w:szCs w:val="22"/>
        </w:rPr>
        <w:t xml:space="preserve">The research program involved exposure of cohorts of southern rock lobster to multiple seismic airgun pulses at two sites (sandy substrate and limestone rock platform), both in 10-12 m water depths off the coast of Tasmania. The exposed lobsters were captive and control lobsters (no exposure) were also examined during subsequent analyses undertaken at 0, 14, and 120 days post-exposure. Exposure experiments were undertaken in July 2013 (45 cui airgun, 2,000 psi), July 2014 (150 cui airgun, 1,300 psi and 2,000 psi) and February 2015 (150 cui airgun, 2,000 psi). The airgun was towed at approximately 5 m depth from a distance of 1 km away and at a speed of approximately 3-4 nm per hour (approximately 5.5-7.4 km/hr) and the shot interval was 11.6 seconds. The seismic source circled in close proximity to the lobster pots. The maximum </w:t>
      </w:r>
      <w:r>
        <w:rPr>
          <w:rFonts w:cs="Arial"/>
          <w:sz w:val="22"/>
          <w:szCs w:val="22"/>
        </w:rPr>
        <w:t>calculated</w:t>
      </w:r>
      <w:r w:rsidRPr="00924683">
        <w:rPr>
          <w:rFonts w:cs="Arial"/>
          <w:sz w:val="22"/>
          <w:szCs w:val="22"/>
        </w:rPr>
        <w:t xml:space="preserve"> exposures were </w:t>
      </w:r>
      <w:r>
        <w:rPr>
          <w:rFonts w:cs="Arial"/>
          <w:sz w:val="22"/>
          <w:szCs w:val="22"/>
        </w:rPr>
        <w:t>212</w:t>
      </w:r>
      <w:r w:rsidRPr="00924683">
        <w:rPr>
          <w:rFonts w:cs="Arial"/>
          <w:sz w:val="22"/>
          <w:szCs w:val="22"/>
        </w:rPr>
        <w:t xml:space="preserve"> </w:t>
      </w:r>
      <w:r>
        <w:rPr>
          <w:rFonts w:cs="Arial"/>
          <w:sz w:val="22"/>
          <w:szCs w:val="22"/>
        </w:rPr>
        <w:t>dB re 1</w:t>
      </w:r>
      <w:r w:rsidRPr="00DF45A4">
        <w:rPr>
          <w:rFonts w:cs="Arial"/>
          <w:sz w:val="22"/>
          <w:szCs w:val="22"/>
        </w:rPr>
        <w:t xml:space="preserve"> </w:t>
      </w:r>
      <w:r w:rsidRPr="00924683">
        <w:rPr>
          <w:rFonts w:cs="Arial"/>
          <w:sz w:val="22"/>
          <w:szCs w:val="22"/>
        </w:rPr>
        <w:t>µPa</w:t>
      </w:r>
      <w:r>
        <w:rPr>
          <w:rFonts w:cs="Arial"/>
          <w:sz w:val="22"/>
          <w:szCs w:val="22"/>
        </w:rPr>
        <w:t xml:space="preserve">PK-PK, a per-pulse SEL of 190 </w:t>
      </w:r>
      <w:r w:rsidRPr="00924683">
        <w:rPr>
          <w:rFonts w:cs="Arial"/>
          <w:sz w:val="22"/>
          <w:szCs w:val="22"/>
        </w:rPr>
        <w:t>dB re 1 µPa</w:t>
      </w:r>
      <w:r w:rsidRPr="00924683">
        <w:rPr>
          <w:rFonts w:cs="Arial"/>
          <w:sz w:val="22"/>
          <w:szCs w:val="22"/>
          <w:vertAlign w:val="superscript"/>
        </w:rPr>
        <w:t>2</w:t>
      </w:r>
      <w:r>
        <w:rPr>
          <w:rFonts w:cs="Arial"/>
          <w:sz w:val="22"/>
          <w:szCs w:val="22"/>
        </w:rPr>
        <w:t>.s</w:t>
      </w:r>
      <w:r w:rsidRPr="00924683">
        <w:rPr>
          <w:rFonts w:cs="Arial"/>
          <w:sz w:val="22"/>
          <w:szCs w:val="22"/>
        </w:rPr>
        <w:t xml:space="preserve">, </w:t>
      </w:r>
      <w:r>
        <w:rPr>
          <w:rFonts w:cs="Arial"/>
          <w:sz w:val="22"/>
          <w:szCs w:val="22"/>
        </w:rPr>
        <w:t>an accumulated SEL of 199</w:t>
      </w:r>
      <w:r w:rsidRPr="00924683">
        <w:rPr>
          <w:rFonts w:cs="Arial"/>
          <w:sz w:val="22"/>
          <w:szCs w:val="22"/>
        </w:rPr>
        <w:t xml:space="preserve"> dB re 1 µPa</w:t>
      </w:r>
      <w:r w:rsidRPr="00924683">
        <w:rPr>
          <w:rFonts w:cs="Arial"/>
          <w:sz w:val="22"/>
          <w:szCs w:val="22"/>
          <w:vertAlign w:val="superscript"/>
        </w:rPr>
        <w:t>2</w:t>
      </w:r>
      <w:r>
        <w:rPr>
          <w:rFonts w:cs="Arial"/>
          <w:sz w:val="22"/>
          <w:szCs w:val="22"/>
        </w:rPr>
        <w:t>.s</w:t>
      </w:r>
      <w:r w:rsidRPr="00924683">
        <w:rPr>
          <w:rFonts w:cs="Arial"/>
          <w:sz w:val="22"/>
          <w:szCs w:val="22"/>
        </w:rPr>
        <w:t xml:space="preserve"> and maximum peak magnitude of ground acceleration of 68 ms</w:t>
      </w:r>
      <w:r w:rsidRPr="00924683">
        <w:rPr>
          <w:rFonts w:cs="Arial"/>
          <w:sz w:val="22"/>
          <w:szCs w:val="22"/>
          <w:vertAlign w:val="superscript"/>
        </w:rPr>
        <w:t>-2</w:t>
      </w:r>
      <w:r w:rsidRPr="00924683">
        <w:rPr>
          <w:rFonts w:cs="Arial"/>
          <w:sz w:val="22"/>
          <w:szCs w:val="22"/>
        </w:rPr>
        <w:t>.</w:t>
      </w:r>
      <w:r>
        <w:rPr>
          <w:rFonts w:cs="Arial"/>
          <w:sz w:val="22"/>
          <w:szCs w:val="22"/>
        </w:rPr>
        <w:t xml:space="preserve"> However, this was likely an outlier. </w:t>
      </w:r>
    </w:p>
    <w:p w14:paraId="55C01ABC" w14:textId="3D465A5E" w:rsidR="00601840" w:rsidRPr="00B77BDC" w:rsidRDefault="00601840" w:rsidP="00601840">
      <w:pPr>
        <w:ind w:left="0"/>
        <w:rPr>
          <w:rFonts w:cs="Arial"/>
          <w:sz w:val="22"/>
          <w:szCs w:val="22"/>
        </w:rPr>
      </w:pPr>
      <w:r>
        <w:rPr>
          <w:rFonts w:cs="Arial"/>
          <w:sz w:val="22"/>
          <w:szCs w:val="22"/>
        </w:rPr>
        <w:t>While a</w:t>
      </w:r>
      <w:r w:rsidRPr="00C80201">
        <w:rPr>
          <w:rFonts w:cs="Arial"/>
          <w:sz w:val="22"/>
          <w:szCs w:val="22"/>
        </w:rPr>
        <w:t xml:space="preserve"> regression of particle acceleration v</w:t>
      </w:r>
      <w:r>
        <w:rPr>
          <w:rFonts w:cs="Arial"/>
          <w:sz w:val="22"/>
          <w:szCs w:val="22"/>
        </w:rPr>
        <w:t>er</w:t>
      </w:r>
      <w:r w:rsidRPr="00C80201">
        <w:rPr>
          <w:rFonts w:cs="Arial"/>
          <w:sz w:val="22"/>
          <w:szCs w:val="22"/>
        </w:rPr>
        <w:t>s</w:t>
      </w:r>
      <w:r>
        <w:rPr>
          <w:rFonts w:cs="Arial"/>
          <w:sz w:val="22"/>
          <w:szCs w:val="22"/>
        </w:rPr>
        <w:t>us</w:t>
      </w:r>
      <w:r w:rsidRPr="00C80201">
        <w:rPr>
          <w:rFonts w:cs="Arial"/>
          <w:sz w:val="22"/>
          <w:szCs w:val="22"/>
        </w:rPr>
        <w:t xml:space="preserve"> range for the single 150 </w:t>
      </w:r>
      <w:r>
        <w:rPr>
          <w:rFonts w:cs="Arial"/>
          <w:sz w:val="22"/>
          <w:szCs w:val="22"/>
        </w:rPr>
        <w:t xml:space="preserve">cui </w:t>
      </w:r>
      <w:r w:rsidRPr="00C80201">
        <w:rPr>
          <w:rFonts w:cs="Arial"/>
          <w:sz w:val="22"/>
          <w:szCs w:val="22"/>
        </w:rPr>
        <w:t>airgun used in the study (minimum range of 6 m) showed that acceleration at 10 and 100 m range were typically 26 and 5 ms</w:t>
      </w:r>
      <w:r w:rsidRPr="007613AD">
        <w:rPr>
          <w:rFonts w:cs="Arial"/>
          <w:sz w:val="22"/>
          <w:szCs w:val="22"/>
          <w:vertAlign w:val="superscript"/>
        </w:rPr>
        <w:t>-2</w:t>
      </w:r>
      <w:r w:rsidRPr="00C80201">
        <w:rPr>
          <w:rFonts w:cs="Arial"/>
          <w:sz w:val="22"/>
          <w:szCs w:val="22"/>
        </w:rPr>
        <w:t xml:space="preserve"> respectively</w:t>
      </w:r>
      <w:r w:rsidR="008939BD">
        <w:rPr>
          <w:rFonts w:cs="Arial"/>
          <w:sz w:val="22"/>
          <w:szCs w:val="22"/>
        </w:rPr>
        <w:t>,</w:t>
      </w:r>
      <w:r>
        <w:rPr>
          <w:rFonts w:cs="Arial"/>
          <w:sz w:val="22"/>
          <w:szCs w:val="22"/>
        </w:rPr>
        <w:t xml:space="preserve"> </w:t>
      </w:r>
      <w:r w:rsidRPr="00B77BDC">
        <w:rPr>
          <w:rFonts w:cs="Arial"/>
          <w:sz w:val="22"/>
          <w:szCs w:val="22"/>
        </w:rPr>
        <w:t>Day et al (2016</w:t>
      </w:r>
      <w:r>
        <w:rPr>
          <w:rFonts w:cs="Arial"/>
          <w:sz w:val="22"/>
          <w:szCs w:val="22"/>
        </w:rPr>
        <w:t>a</w:t>
      </w:r>
      <w:r w:rsidRPr="00B77BDC">
        <w:rPr>
          <w:rFonts w:cs="Arial"/>
          <w:sz w:val="22"/>
          <w:szCs w:val="22"/>
        </w:rPr>
        <w:t>) describes findings related to seismic exposure of egg-bearing female spiny lobsters and subsequent larval development, which concludes:</w:t>
      </w:r>
    </w:p>
    <w:p w14:paraId="45CE7537" w14:textId="77777777" w:rsidR="00601840" w:rsidRPr="000D306A" w:rsidRDefault="00601840" w:rsidP="00601840">
      <w:pPr>
        <w:ind w:left="0"/>
        <w:rPr>
          <w:rFonts w:cs="Arial"/>
          <w:sz w:val="22"/>
          <w:szCs w:val="22"/>
          <w:highlight w:val="lightGray"/>
        </w:rPr>
      </w:pPr>
    </w:p>
    <w:p w14:paraId="1C738D6F" w14:textId="77777777" w:rsidR="00601840" w:rsidRPr="007613AD" w:rsidRDefault="00601840" w:rsidP="00601840">
      <w:pPr>
        <w:pStyle w:val="ListParagraph0"/>
        <w:numPr>
          <w:ilvl w:val="0"/>
          <w:numId w:val="382"/>
        </w:numPr>
        <w:rPr>
          <w:rFonts w:cs="Arial"/>
          <w:sz w:val="22"/>
          <w:szCs w:val="22"/>
        </w:rPr>
      </w:pPr>
      <w:r w:rsidRPr="007613AD">
        <w:rPr>
          <w:rFonts w:cs="Arial"/>
          <w:sz w:val="22"/>
          <w:szCs w:val="22"/>
        </w:rPr>
        <w:t>Exposure to seismic sound did not result in any mortalities of adult lobsters, even at close proximity.</w:t>
      </w:r>
    </w:p>
    <w:p w14:paraId="1805959F" w14:textId="77777777" w:rsidR="00601840" w:rsidRPr="007613AD" w:rsidRDefault="00601840" w:rsidP="00601840">
      <w:pPr>
        <w:pStyle w:val="ListParagraph0"/>
        <w:numPr>
          <w:ilvl w:val="0"/>
          <w:numId w:val="382"/>
        </w:numPr>
        <w:rPr>
          <w:rFonts w:cs="Arial"/>
          <w:sz w:val="22"/>
          <w:szCs w:val="22"/>
        </w:rPr>
      </w:pPr>
      <w:r w:rsidRPr="007613AD">
        <w:rPr>
          <w:rFonts w:cs="Arial"/>
          <w:sz w:val="22"/>
          <w:szCs w:val="22"/>
        </w:rPr>
        <w:t>There was no difference in fecundity between control and exposed lobsters.</w:t>
      </w:r>
    </w:p>
    <w:p w14:paraId="2949B461" w14:textId="77777777" w:rsidR="00601840" w:rsidRPr="007613AD" w:rsidRDefault="00601840" w:rsidP="00601840">
      <w:pPr>
        <w:pStyle w:val="ListParagraph0"/>
        <w:numPr>
          <w:ilvl w:val="0"/>
          <w:numId w:val="382"/>
        </w:numPr>
        <w:rPr>
          <w:rFonts w:cs="Arial"/>
          <w:sz w:val="22"/>
          <w:szCs w:val="22"/>
        </w:rPr>
      </w:pPr>
      <w:r w:rsidRPr="007613AD">
        <w:rPr>
          <w:rFonts w:cs="Arial"/>
          <w:sz w:val="22"/>
          <w:szCs w:val="22"/>
        </w:rPr>
        <w:t>A small but significant difference in the length of the larvae was observed in the exposed lobsters. No difference was found in width or dry mass of the larvae and no hatches were found to suffer from high mortality rates or deformities.</w:t>
      </w:r>
    </w:p>
    <w:p w14:paraId="0B99A8E2" w14:textId="77777777" w:rsidR="00601840" w:rsidRPr="007613AD" w:rsidRDefault="00601840" w:rsidP="00601840">
      <w:pPr>
        <w:pStyle w:val="ListParagraph0"/>
        <w:numPr>
          <w:ilvl w:val="0"/>
          <w:numId w:val="382"/>
        </w:numPr>
        <w:rPr>
          <w:rFonts w:cs="Arial"/>
          <w:sz w:val="22"/>
          <w:szCs w:val="22"/>
        </w:rPr>
      </w:pPr>
      <w:r w:rsidRPr="007613AD">
        <w:rPr>
          <w:rFonts w:cs="Arial"/>
          <w:sz w:val="22"/>
          <w:szCs w:val="22"/>
        </w:rPr>
        <w:t>No energy difference was identified between larvae from control and exposed lobsters.</w:t>
      </w:r>
    </w:p>
    <w:p w14:paraId="20F0B00F" w14:textId="77777777" w:rsidR="00601840" w:rsidRPr="007613AD" w:rsidRDefault="00601840" w:rsidP="00601840">
      <w:pPr>
        <w:pStyle w:val="ListParagraph0"/>
        <w:numPr>
          <w:ilvl w:val="0"/>
          <w:numId w:val="382"/>
        </w:numPr>
        <w:rPr>
          <w:rFonts w:cs="Arial"/>
          <w:sz w:val="22"/>
          <w:szCs w:val="22"/>
        </w:rPr>
      </w:pPr>
      <w:r w:rsidRPr="007613AD">
        <w:rPr>
          <w:rFonts w:cs="Arial"/>
          <w:sz w:val="22"/>
          <w:szCs w:val="22"/>
        </w:rPr>
        <w:t xml:space="preserve">Larval activity/survival between control and exposed lobster groups was not significant. Overall there were no differences in the quantity or quality of hatched larvae, indicating that the condition and development of spiny lobster embryos were not adversely affected by air gun exposure. </w:t>
      </w:r>
    </w:p>
    <w:p w14:paraId="4C9EEDA4" w14:textId="77777777" w:rsidR="00601840" w:rsidRPr="007613AD" w:rsidRDefault="00601840" w:rsidP="00601840">
      <w:pPr>
        <w:pStyle w:val="ListParagraph0"/>
        <w:numPr>
          <w:ilvl w:val="0"/>
          <w:numId w:val="382"/>
        </w:numPr>
        <w:rPr>
          <w:rFonts w:cs="Arial"/>
          <w:sz w:val="22"/>
          <w:szCs w:val="22"/>
        </w:rPr>
      </w:pPr>
      <w:r w:rsidRPr="007613AD">
        <w:rPr>
          <w:rFonts w:cs="Arial"/>
          <w:sz w:val="22"/>
          <w:szCs w:val="22"/>
        </w:rPr>
        <w:t>The ability of exposed lobsters, and one cohort of control lobsters, to right themselves, a complex reflex, was compromised in the long term (120 days post-exposure) in three of the four experiments. This response was linked to damage to sensory hairs of the statocyst, the primary mechano-sensory and balance organ in lobsters.</w:t>
      </w:r>
    </w:p>
    <w:p w14:paraId="080F7D48" w14:textId="77777777" w:rsidR="00601840" w:rsidRPr="007613AD" w:rsidRDefault="00601840" w:rsidP="00601840">
      <w:pPr>
        <w:pStyle w:val="ListParagraph0"/>
        <w:numPr>
          <w:ilvl w:val="0"/>
          <w:numId w:val="382"/>
        </w:numPr>
        <w:rPr>
          <w:rFonts w:cs="Arial"/>
          <w:sz w:val="22"/>
          <w:szCs w:val="22"/>
        </w:rPr>
      </w:pPr>
      <w:r w:rsidRPr="007613AD">
        <w:rPr>
          <w:rFonts w:cs="Arial"/>
          <w:sz w:val="22"/>
          <w:szCs w:val="22"/>
        </w:rPr>
        <w:lastRenderedPageBreak/>
        <w:t xml:space="preserve">Tail extension, a simple behavioural reflex response, showed reduction in exposed lobsters in one of the four experiments. However, it is unclear how significant this finding is, as the warm summer water conditions during this particular experiment may be a contributing factor. </w:t>
      </w:r>
    </w:p>
    <w:p w14:paraId="5545D852" w14:textId="77777777" w:rsidR="00601840" w:rsidRPr="007613AD" w:rsidRDefault="00601840" w:rsidP="00601840">
      <w:pPr>
        <w:pStyle w:val="ListParagraph0"/>
        <w:numPr>
          <w:ilvl w:val="0"/>
          <w:numId w:val="382"/>
        </w:numPr>
        <w:rPr>
          <w:rFonts w:cs="Arial"/>
          <w:sz w:val="22"/>
          <w:szCs w:val="22"/>
        </w:rPr>
      </w:pPr>
      <w:r w:rsidRPr="007613AD">
        <w:rPr>
          <w:rFonts w:cs="Arial"/>
          <w:sz w:val="22"/>
          <w:szCs w:val="22"/>
        </w:rPr>
        <w:t>Haemolymph (blood) biochemistry showed little effects on metabolic and respiratory stress, or vitality following exposure.</w:t>
      </w:r>
    </w:p>
    <w:p w14:paraId="73889F39" w14:textId="77777777" w:rsidR="00601840" w:rsidRPr="007613AD" w:rsidRDefault="00601840" w:rsidP="00601840">
      <w:pPr>
        <w:pStyle w:val="ListParagraph0"/>
        <w:numPr>
          <w:ilvl w:val="0"/>
          <w:numId w:val="382"/>
        </w:numPr>
        <w:rPr>
          <w:rFonts w:cs="Arial"/>
          <w:sz w:val="22"/>
          <w:szCs w:val="22"/>
        </w:rPr>
      </w:pPr>
      <w:r w:rsidRPr="007613AD">
        <w:rPr>
          <w:rFonts w:cs="Arial"/>
          <w:sz w:val="22"/>
          <w:szCs w:val="22"/>
        </w:rPr>
        <w:t>Haemocyte count (indicative of immune response function) in exposed lobsters showed a long-term decline to 120 days post-exposure. However, haemocyte counts subsequently recovered to double the number of haemocytes in control lobsters at 365 days post-exposure, which may indicate a possible immune response to pathogens.</w:t>
      </w:r>
    </w:p>
    <w:p w14:paraId="5B513AF3" w14:textId="77777777" w:rsidR="00601840" w:rsidRDefault="00601840" w:rsidP="00601840">
      <w:pPr>
        <w:pStyle w:val="ListParagraph0"/>
        <w:numPr>
          <w:ilvl w:val="0"/>
          <w:numId w:val="382"/>
        </w:numPr>
        <w:rPr>
          <w:sz w:val="22"/>
        </w:rPr>
      </w:pPr>
      <w:r w:rsidRPr="00EF364C">
        <w:rPr>
          <w:sz w:val="22"/>
        </w:rPr>
        <w:t>Seismic exposure did not cause any immediate mass mortality. The authors rejected the hypothesis that ‘exposure to seismic airguns causes immediate mass mortality, defined as an increase in mortality rate of sufficient proportion to affect population size significantly’. Not considering when both the control and exposed groups suffered mass mortality, the experimental mortality rates at 120 days’ post-seismic airgun exposure were between 9.4% and 20%. These fall towards the low end of what might be expected from natural mortality rates. Even the highest levels of mortality recorded, 17.5% and 20% suffered by 4-pass treatments from the 2014 and 2015 experiments, were assessed by the authors to be modest compared to naturally occurring mortality rates</w:t>
      </w:r>
      <w:r>
        <w:rPr>
          <w:sz w:val="22"/>
        </w:rPr>
        <w:t>.</w:t>
      </w:r>
    </w:p>
    <w:p w14:paraId="564F762F" w14:textId="77777777" w:rsidR="00601840" w:rsidRPr="00EF364C" w:rsidRDefault="00601840" w:rsidP="00601840">
      <w:pPr>
        <w:pStyle w:val="ListParagraph0"/>
        <w:rPr>
          <w:sz w:val="22"/>
        </w:rPr>
      </w:pPr>
    </w:p>
    <w:p w14:paraId="4175D738" w14:textId="77777777" w:rsidR="00601840" w:rsidRPr="00643629" w:rsidRDefault="00601840" w:rsidP="00601840">
      <w:pPr>
        <w:ind w:left="0"/>
        <w:rPr>
          <w:rFonts w:cs="Arial"/>
          <w:sz w:val="22"/>
          <w:szCs w:val="22"/>
        </w:rPr>
      </w:pPr>
      <w:r w:rsidRPr="00643629">
        <w:rPr>
          <w:rFonts w:cs="Arial"/>
          <w:sz w:val="22"/>
          <w:szCs w:val="22"/>
        </w:rPr>
        <w:t>Overall, no direct lethal effects to adult lobsters or impacts to embryos were observed and impacts were limited to statocyst condition, behavioural reflexes and immune response functions in adult lobsters. Day et al (2016</w:t>
      </w:r>
      <w:r>
        <w:rPr>
          <w:rFonts w:cs="Arial"/>
          <w:sz w:val="22"/>
          <w:szCs w:val="22"/>
        </w:rPr>
        <w:t>a</w:t>
      </w:r>
      <w:r w:rsidRPr="00643629">
        <w:rPr>
          <w:rFonts w:cs="Arial"/>
          <w:sz w:val="22"/>
          <w:szCs w:val="22"/>
        </w:rPr>
        <w:t xml:space="preserve">) note that these effects could have some affect on longer-term survivability. </w:t>
      </w:r>
    </w:p>
    <w:p w14:paraId="60CE59A1" w14:textId="77777777" w:rsidR="00601840" w:rsidRPr="00643629" w:rsidRDefault="00601840" w:rsidP="00601840">
      <w:pPr>
        <w:ind w:left="0"/>
        <w:rPr>
          <w:rFonts w:cs="Arial"/>
          <w:sz w:val="22"/>
          <w:szCs w:val="22"/>
        </w:rPr>
      </w:pPr>
    </w:p>
    <w:p w14:paraId="675170F8" w14:textId="77777777" w:rsidR="00601840" w:rsidRPr="00643629" w:rsidRDefault="00601840" w:rsidP="00601840">
      <w:pPr>
        <w:ind w:left="0"/>
        <w:rPr>
          <w:rFonts w:cs="Arial"/>
          <w:sz w:val="22"/>
          <w:szCs w:val="22"/>
        </w:rPr>
      </w:pPr>
      <w:r w:rsidRPr="00643629">
        <w:rPr>
          <w:rFonts w:cs="Arial"/>
          <w:sz w:val="22"/>
          <w:szCs w:val="22"/>
        </w:rPr>
        <w:t>However, Day et al (2016</w:t>
      </w:r>
      <w:r>
        <w:rPr>
          <w:rFonts w:cs="Arial"/>
          <w:sz w:val="22"/>
          <w:szCs w:val="22"/>
        </w:rPr>
        <w:t>a</w:t>
      </w:r>
      <w:r w:rsidRPr="00643629">
        <w:rPr>
          <w:rFonts w:cs="Arial"/>
          <w:sz w:val="22"/>
          <w:szCs w:val="22"/>
        </w:rPr>
        <w:t xml:space="preserve">) also report that lobsters used for the 2014 experiments, which were collected from the Crayfish Point Reserve in the Derwent Estuary near Taroona, were found to have pre-existing damage to statocysts, likely resulting from prolonged exposure to shipping traffic noise in shallow water at this location. The lobster population at Crayfish Point Reserve has been subject to long-term monitoring. The population is thought to be at carrying capacity (Kordjazi </w:t>
      </w:r>
      <w:r w:rsidRPr="00643629">
        <w:rPr>
          <w:rFonts w:cs="Arial"/>
          <w:i/>
          <w:sz w:val="22"/>
          <w:szCs w:val="22"/>
        </w:rPr>
        <w:t>et al</w:t>
      </w:r>
      <w:r w:rsidRPr="00643629">
        <w:rPr>
          <w:rFonts w:cs="Arial"/>
          <w:sz w:val="22"/>
          <w:szCs w:val="22"/>
        </w:rPr>
        <w:t xml:space="preserve">., 2015) and survival rates within this reserve have been estimated through capture and release studies at around </w:t>
      </w:r>
      <w:r>
        <w:rPr>
          <w:rFonts w:cs="Arial"/>
          <w:sz w:val="22"/>
          <w:szCs w:val="22"/>
        </w:rPr>
        <w:t xml:space="preserve">95% (Green and Gardner, 2009). </w:t>
      </w:r>
    </w:p>
    <w:p w14:paraId="3A67C11F" w14:textId="77777777" w:rsidR="00601840" w:rsidRPr="00643629" w:rsidRDefault="00601840" w:rsidP="00601840">
      <w:pPr>
        <w:ind w:left="0"/>
        <w:rPr>
          <w:rFonts w:cs="Arial"/>
          <w:sz w:val="22"/>
          <w:szCs w:val="22"/>
        </w:rPr>
      </w:pPr>
    </w:p>
    <w:p w14:paraId="396892BC" w14:textId="77777777" w:rsidR="00601840" w:rsidRPr="00643629" w:rsidRDefault="00601840" w:rsidP="00601840">
      <w:pPr>
        <w:ind w:left="0"/>
        <w:rPr>
          <w:rFonts w:cs="Arial"/>
          <w:sz w:val="22"/>
          <w:szCs w:val="22"/>
        </w:rPr>
      </w:pPr>
      <w:r w:rsidRPr="00643629">
        <w:rPr>
          <w:rFonts w:cs="Arial"/>
          <w:sz w:val="22"/>
          <w:szCs w:val="22"/>
        </w:rPr>
        <w:t xml:space="preserve">The abundance of southern rock lobsters within the Crayfish Point Reserve can reasonably be ascribed to the exclusion of the lobster fishery since 1971. Lobster populations within marine protected areas have consistently been found to demonstrate higher biomass and higher abundance of larger size classes than lobster populations subject to fishing pressure (Barret </w:t>
      </w:r>
      <w:r w:rsidRPr="00643629">
        <w:rPr>
          <w:rFonts w:cs="Arial"/>
          <w:i/>
          <w:sz w:val="22"/>
          <w:szCs w:val="22"/>
        </w:rPr>
        <w:t>et al</w:t>
      </w:r>
      <w:r w:rsidRPr="00643629">
        <w:rPr>
          <w:rFonts w:cs="Arial"/>
          <w:sz w:val="22"/>
          <w:szCs w:val="22"/>
        </w:rPr>
        <w:t>., 2009a</w:t>
      </w:r>
      <w:r>
        <w:rPr>
          <w:rFonts w:cs="Arial"/>
          <w:sz w:val="22"/>
          <w:szCs w:val="22"/>
        </w:rPr>
        <w:t>;</w:t>
      </w:r>
      <w:r w:rsidRPr="00643629">
        <w:rPr>
          <w:rFonts w:cs="Arial"/>
          <w:sz w:val="22"/>
          <w:szCs w:val="22"/>
        </w:rPr>
        <w:t xml:space="preserve">b; Young </w:t>
      </w:r>
      <w:r w:rsidRPr="00643629">
        <w:rPr>
          <w:rFonts w:cs="Arial"/>
          <w:i/>
          <w:sz w:val="22"/>
          <w:szCs w:val="22"/>
        </w:rPr>
        <w:t>et al</w:t>
      </w:r>
      <w:r w:rsidRPr="00643629">
        <w:rPr>
          <w:rFonts w:cs="Arial"/>
          <w:sz w:val="22"/>
          <w:szCs w:val="22"/>
        </w:rPr>
        <w:t xml:space="preserve">., 2016). Barret et al (2009) suggested that exploitation had reduced southern rock lobster biomass in the fishery adjacent to the Maria Island marine protected area, east coast Tasmania, to &lt;10% of natural values, with consequent severe ecological effects on rocky reef ecosystems (Ling </w:t>
      </w:r>
      <w:r w:rsidRPr="00643629">
        <w:rPr>
          <w:rFonts w:cs="Arial"/>
          <w:i/>
          <w:sz w:val="22"/>
          <w:szCs w:val="22"/>
        </w:rPr>
        <w:t>et al</w:t>
      </w:r>
      <w:r w:rsidRPr="00643629">
        <w:rPr>
          <w:rFonts w:cs="Arial"/>
          <w:sz w:val="22"/>
          <w:szCs w:val="22"/>
        </w:rPr>
        <w:t>., 2009, Ling &amp; Johnson, 2012).</w:t>
      </w:r>
    </w:p>
    <w:p w14:paraId="7BD21348" w14:textId="77777777" w:rsidR="00601840" w:rsidRPr="00643629" w:rsidRDefault="00601840" w:rsidP="00601840">
      <w:pPr>
        <w:ind w:left="0"/>
        <w:rPr>
          <w:rFonts w:cs="Arial"/>
          <w:sz w:val="22"/>
          <w:szCs w:val="22"/>
        </w:rPr>
      </w:pPr>
    </w:p>
    <w:p w14:paraId="453A9AF4" w14:textId="4F05AC7A" w:rsidR="00601840" w:rsidRPr="00643629" w:rsidRDefault="00601840" w:rsidP="00601840">
      <w:pPr>
        <w:ind w:left="0"/>
        <w:rPr>
          <w:rFonts w:cs="Arial"/>
          <w:sz w:val="22"/>
          <w:szCs w:val="22"/>
        </w:rPr>
      </w:pPr>
      <w:r w:rsidRPr="00643629">
        <w:rPr>
          <w:rFonts w:cs="Arial"/>
          <w:sz w:val="22"/>
          <w:szCs w:val="22"/>
        </w:rPr>
        <w:t>Thus</w:t>
      </w:r>
      <w:r w:rsidR="008939BD">
        <w:rPr>
          <w:rFonts w:cs="Arial"/>
          <w:sz w:val="22"/>
          <w:szCs w:val="22"/>
        </w:rPr>
        <w:t>,</w:t>
      </w:r>
      <w:r w:rsidRPr="00643629">
        <w:rPr>
          <w:rFonts w:cs="Arial"/>
          <w:sz w:val="22"/>
          <w:szCs w:val="22"/>
        </w:rPr>
        <w:t xml:space="preserve"> whilst the ecological effects of damaged statocysts in the southern rock lobster has not been the subject of dedicated experimental studies, long-term monitoring of the lobster population with damaged statocysts at Cray Point Reserve indicates that any population-level survivability effects are not significant and, importantly, ecological effects are likely to be negligible relative to the effect of fishing mortality.</w:t>
      </w:r>
    </w:p>
    <w:p w14:paraId="74576EC2" w14:textId="77777777" w:rsidR="00601840" w:rsidRPr="000D306A" w:rsidRDefault="00601840" w:rsidP="00601840">
      <w:pPr>
        <w:ind w:left="0"/>
        <w:rPr>
          <w:rFonts w:cs="Arial"/>
          <w:sz w:val="22"/>
          <w:szCs w:val="22"/>
          <w:highlight w:val="lightGray"/>
        </w:rPr>
      </w:pPr>
    </w:p>
    <w:p w14:paraId="59410CCC" w14:textId="77777777" w:rsidR="00601840" w:rsidRPr="0025202F" w:rsidRDefault="00601840" w:rsidP="00601840">
      <w:pPr>
        <w:ind w:left="0"/>
        <w:rPr>
          <w:rFonts w:cs="Arial"/>
          <w:sz w:val="22"/>
          <w:szCs w:val="22"/>
        </w:rPr>
      </w:pPr>
      <w:r w:rsidRPr="0025202F">
        <w:rPr>
          <w:rFonts w:cs="Arial"/>
          <w:sz w:val="22"/>
          <w:szCs w:val="22"/>
        </w:rPr>
        <w:lastRenderedPageBreak/>
        <w:t xml:space="preserve">On the basis of these studies, the following broad conclusions can be drawn about impacts to southern rock lobster exposed to seismic surveys in water depths similar to that of the proposed Pelican 3DMSS: </w:t>
      </w:r>
    </w:p>
    <w:p w14:paraId="2F94E5EC" w14:textId="77777777" w:rsidR="00601840" w:rsidRPr="0025202F" w:rsidRDefault="00601840" w:rsidP="00601840">
      <w:pPr>
        <w:ind w:left="0"/>
        <w:rPr>
          <w:rFonts w:cs="Arial"/>
          <w:sz w:val="22"/>
          <w:szCs w:val="22"/>
        </w:rPr>
      </w:pPr>
    </w:p>
    <w:p w14:paraId="7E455337" w14:textId="77777777" w:rsidR="00601840" w:rsidRPr="0025202F" w:rsidRDefault="00601840" w:rsidP="00601840">
      <w:pPr>
        <w:pStyle w:val="ListParagraph0"/>
        <w:numPr>
          <w:ilvl w:val="0"/>
          <w:numId w:val="383"/>
        </w:numPr>
        <w:rPr>
          <w:rFonts w:cs="Arial"/>
          <w:sz w:val="22"/>
          <w:szCs w:val="22"/>
        </w:rPr>
      </w:pPr>
      <w:r w:rsidRPr="0025202F">
        <w:rPr>
          <w:rFonts w:cs="Arial"/>
          <w:sz w:val="22"/>
          <w:szCs w:val="22"/>
        </w:rPr>
        <w:t>Mortality of adult lobsters at a rate greater than natural mortality is unlikely;</w:t>
      </w:r>
    </w:p>
    <w:p w14:paraId="449665EF" w14:textId="77777777" w:rsidR="00601840" w:rsidRPr="0025202F" w:rsidRDefault="00601840" w:rsidP="00601840">
      <w:pPr>
        <w:pStyle w:val="ListParagraph0"/>
        <w:numPr>
          <w:ilvl w:val="0"/>
          <w:numId w:val="383"/>
        </w:numPr>
        <w:rPr>
          <w:rFonts w:cs="Arial"/>
          <w:sz w:val="22"/>
          <w:szCs w:val="22"/>
        </w:rPr>
      </w:pPr>
      <w:r w:rsidRPr="0025202F">
        <w:rPr>
          <w:rFonts w:cs="Arial"/>
          <w:sz w:val="22"/>
          <w:szCs w:val="22"/>
        </w:rPr>
        <w:t>Increased mortality, delayed development or abnormal development to the egg mass carried by any ‘berried’ females, if present, or larvae produced from those eggs, is highly unlikely;</w:t>
      </w:r>
    </w:p>
    <w:p w14:paraId="58D14C87" w14:textId="77777777" w:rsidR="00601840" w:rsidRPr="0025202F" w:rsidRDefault="00601840" w:rsidP="00601840">
      <w:pPr>
        <w:pStyle w:val="ListParagraph0"/>
        <w:numPr>
          <w:ilvl w:val="0"/>
          <w:numId w:val="383"/>
        </w:numPr>
        <w:rPr>
          <w:rFonts w:cs="Arial"/>
          <w:sz w:val="22"/>
          <w:szCs w:val="22"/>
        </w:rPr>
      </w:pPr>
      <w:r w:rsidRPr="0025202F">
        <w:rPr>
          <w:rFonts w:cs="Arial"/>
          <w:sz w:val="22"/>
          <w:szCs w:val="22"/>
        </w:rPr>
        <w:t>Changes to heamolymph biochemistry, an indicator of acute or chronic metabolic stress, in adult lobsters in close proximity to the acoustic source are unlikely;</w:t>
      </w:r>
    </w:p>
    <w:p w14:paraId="7071B48D" w14:textId="77777777" w:rsidR="00601840" w:rsidRPr="0025202F" w:rsidRDefault="00601840" w:rsidP="00601840">
      <w:pPr>
        <w:pStyle w:val="ListParagraph0"/>
        <w:numPr>
          <w:ilvl w:val="0"/>
          <w:numId w:val="383"/>
        </w:numPr>
        <w:rPr>
          <w:rFonts w:cs="Arial"/>
          <w:sz w:val="22"/>
          <w:szCs w:val="22"/>
        </w:rPr>
      </w:pPr>
      <w:r w:rsidRPr="0025202F">
        <w:rPr>
          <w:rFonts w:cs="Arial"/>
          <w:sz w:val="22"/>
          <w:szCs w:val="22"/>
        </w:rPr>
        <w:t xml:space="preserve">Damage to statocysts in adults lobsters in close proximity to the acoustic source is likely, and it is not known whether a significantly damaged statocyst or impaired reflexes might disadvantage the growth or survival of lobsters in the wild; </w:t>
      </w:r>
    </w:p>
    <w:p w14:paraId="5528796F" w14:textId="77777777" w:rsidR="00601840" w:rsidRPr="0025202F" w:rsidRDefault="00601840" w:rsidP="00601840">
      <w:pPr>
        <w:pStyle w:val="ListParagraph0"/>
        <w:numPr>
          <w:ilvl w:val="0"/>
          <w:numId w:val="383"/>
        </w:numPr>
        <w:rPr>
          <w:rFonts w:cs="Arial"/>
          <w:sz w:val="22"/>
          <w:szCs w:val="22"/>
        </w:rPr>
      </w:pPr>
      <w:r w:rsidRPr="0025202F">
        <w:rPr>
          <w:rFonts w:cs="Arial"/>
          <w:sz w:val="22"/>
          <w:szCs w:val="22"/>
        </w:rPr>
        <w:t xml:space="preserve">Statocyst damage is known to exist in wild southern rock lobster populations that have very high survival rates and are near carrying capacity; </w:t>
      </w:r>
    </w:p>
    <w:p w14:paraId="0CC78D0A" w14:textId="77777777" w:rsidR="00601840" w:rsidRPr="0025202F" w:rsidRDefault="00601840" w:rsidP="00601840">
      <w:pPr>
        <w:pStyle w:val="ListParagraph0"/>
        <w:numPr>
          <w:ilvl w:val="0"/>
          <w:numId w:val="383"/>
        </w:numPr>
        <w:rPr>
          <w:rFonts w:cs="Arial"/>
          <w:sz w:val="22"/>
          <w:szCs w:val="22"/>
        </w:rPr>
      </w:pPr>
      <w:r w:rsidRPr="0025202F">
        <w:rPr>
          <w:rFonts w:cs="Arial"/>
          <w:sz w:val="22"/>
          <w:szCs w:val="22"/>
        </w:rPr>
        <w:t>Changes to haemocyte count, an indicator of immune response function, in adult lobsters in close proximity to the acoustic source is likely; and</w:t>
      </w:r>
    </w:p>
    <w:p w14:paraId="5E7A79D2" w14:textId="77777777" w:rsidR="00601840" w:rsidRPr="00DF74BC" w:rsidRDefault="00601840" w:rsidP="00601840">
      <w:pPr>
        <w:pStyle w:val="ListParagraph0"/>
        <w:numPr>
          <w:ilvl w:val="0"/>
          <w:numId w:val="383"/>
        </w:numPr>
        <w:spacing w:after="240"/>
        <w:rPr>
          <w:rFonts w:cs="Arial"/>
          <w:sz w:val="22"/>
          <w:szCs w:val="22"/>
        </w:rPr>
      </w:pPr>
      <w:r w:rsidRPr="00DF74BC">
        <w:rPr>
          <w:rFonts w:cs="Arial"/>
          <w:sz w:val="22"/>
          <w:szCs w:val="22"/>
        </w:rPr>
        <w:t>Increase</w:t>
      </w:r>
      <w:r>
        <w:rPr>
          <w:rFonts w:cs="Arial"/>
          <w:sz w:val="22"/>
          <w:szCs w:val="22"/>
        </w:rPr>
        <w:t xml:space="preserve">d probability </w:t>
      </w:r>
      <w:r w:rsidRPr="006703E7">
        <w:rPr>
          <w:rFonts w:cs="Arial"/>
          <w:sz w:val="22"/>
          <w:szCs w:val="22"/>
        </w:rPr>
        <w:t>of mortality, delayed development or abnormal development of crustacean larvae in the water column is only possible at very close range.</w:t>
      </w:r>
    </w:p>
    <w:p w14:paraId="46A85918" w14:textId="16DE5C94" w:rsidR="00601840" w:rsidRPr="00891DE1" w:rsidRDefault="00601840" w:rsidP="00594614">
      <w:pPr>
        <w:spacing w:after="120" w:line="240" w:lineRule="auto"/>
        <w:ind w:left="0"/>
        <w:rPr>
          <w:rFonts w:cs="Arial"/>
          <w:i/>
          <w:sz w:val="22"/>
          <w:szCs w:val="22"/>
        </w:rPr>
      </w:pPr>
      <w:r w:rsidRPr="00891DE1">
        <w:rPr>
          <w:rFonts w:cs="Arial"/>
          <w:i/>
          <w:sz w:val="22"/>
          <w:szCs w:val="22"/>
        </w:rPr>
        <w:t>STLM Thresholds</w:t>
      </w:r>
    </w:p>
    <w:p w14:paraId="42461D49" w14:textId="4D083F3A" w:rsidR="00601840" w:rsidRDefault="00601840" w:rsidP="00891DE1">
      <w:pPr>
        <w:spacing w:after="240" w:line="240" w:lineRule="auto"/>
        <w:ind w:left="0"/>
        <w:rPr>
          <w:rFonts w:cs="Arial"/>
          <w:sz w:val="22"/>
          <w:szCs w:val="22"/>
        </w:rPr>
      </w:pPr>
      <w:r>
        <w:rPr>
          <w:rFonts w:cs="Arial"/>
          <w:sz w:val="22"/>
          <w:szCs w:val="22"/>
        </w:rPr>
        <w:t>As per ‘scallops.’</w:t>
      </w:r>
    </w:p>
    <w:p w14:paraId="506E7D7E" w14:textId="2ABAE713" w:rsidR="00601840" w:rsidRPr="00891DE1" w:rsidRDefault="00601840" w:rsidP="00594614">
      <w:pPr>
        <w:spacing w:after="120" w:line="240" w:lineRule="auto"/>
        <w:ind w:left="0"/>
        <w:rPr>
          <w:rFonts w:cs="Arial"/>
          <w:i/>
          <w:sz w:val="22"/>
          <w:szCs w:val="22"/>
        </w:rPr>
      </w:pPr>
      <w:r w:rsidRPr="00891DE1">
        <w:rPr>
          <w:rFonts w:cs="Arial"/>
          <w:i/>
          <w:sz w:val="22"/>
          <w:szCs w:val="22"/>
        </w:rPr>
        <w:t>STLM Results</w:t>
      </w:r>
    </w:p>
    <w:p w14:paraId="39D13A6B" w14:textId="68B631E8" w:rsidR="00601840" w:rsidRDefault="00601840" w:rsidP="00891DE1">
      <w:pPr>
        <w:spacing w:after="240" w:line="240" w:lineRule="auto"/>
        <w:ind w:left="0"/>
        <w:rPr>
          <w:rFonts w:cs="Arial"/>
          <w:sz w:val="22"/>
          <w:szCs w:val="22"/>
        </w:rPr>
      </w:pPr>
      <w:r>
        <w:rPr>
          <w:rFonts w:cs="Arial"/>
          <w:sz w:val="22"/>
          <w:szCs w:val="22"/>
        </w:rPr>
        <w:t>As per ‘scallops.’</w:t>
      </w:r>
    </w:p>
    <w:p w14:paraId="27B6A67A" w14:textId="7519E9ED" w:rsidR="008939BD" w:rsidRPr="008939BD" w:rsidRDefault="008939BD" w:rsidP="008939BD">
      <w:pPr>
        <w:spacing w:after="120" w:line="240" w:lineRule="auto"/>
        <w:ind w:left="0"/>
        <w:rPr>
          <w:rFonts w:cs="Arial"/>
          <w:sz w:val="22"/>
          <w:szCs w:val="22"/>
          <w:u w:val="single"/>
        </w:rPr>
      </w:pPr>
      <w:r w:rsidRPr="008939BD">
        <w:rPr>
          <w:rFonts w:cs="Arial"/>
          <w:sz w:val="22"/>
          <w:szCs w:val="22"/>
          <w:u w:val="single"/>
        </w:rPr>
        <w:t>Predicted impacts</w:t>
      </w:r>
    </w:p>
    <w:p w14:paraId="0FBB6838" w14:textId="79FC009F" w:rsidR="0037172B" w:rsidRPr="00D70321" w:rsidRDefault="0037172B" w:rsidP="0037172B">
      <w:pPr>
        <w:ind w:left="0"/>
        <w:rPr>
          <w:rFonts w:cs="Arial"/>
          <w:sz w:val="22"/>
          <w:szCs w:val="22"/>
        </w:rPr>
      </w:pPr>
      <w:r w:rsidRPr="00D70321">
        <w:rPr>
          <w:rFonts w:cs="Arial"/>
          <w:sz w:val="22"/>
          <w:szCs w:val="22"/>
        </w:rPr>
        <w:t>The discussion in the section</w:t>
      </w:r>
      <w:r>
        <w:rPr>
          <w:rFonts w:cs="Arial"/>
          <w:sz w:val="22"/>
          <w:szCs w:val="22"/>
        </w:rPr>
        <w:t>s above outline</w:t>
      </w:r>
      <w:r w:rsidRPr="00D70321">
        <w:rPr>
          <w:rFonts w:cs="Arial"/>
          <w:sz w:val="22"/>
          <w:szCs w:val="22"/>
        </w:rPr>
        <w:t xml:space="preserve"> that the science a</w:t>
      </w:r>
      <w:r>
        <w:rPr>
          <w:rFonts w:cs="Arial"/>
          <w:sz w:val="22"/>
          <w:szCs w:val="22"/>
        </w:rPr>
        <w:t>round which metrics relate to a potential</w:t>
      </w:r>
      <w:r w:rsidRPr="00D70321">
        <w:rPr>
          <w:rFonts w:cs="Arial"/>
          <w:sz w:val="22"/>
          <w:szCs w:val="22"/>
        </w:rPr>
        <w:t xml:space="preserve"> effect</w:t>
      </w:r>
      <w:r>
        <w:rPr>
          <w:rFonts w:cs="Arial"/>
          <w:sz w:val="22"/>
          <w:szCs w:val="22"/>
        </w:rPr>
        <w:t xml:space="preserve"> on rock lobsters</w:t>
      </w:r>
      <w:r w:rsidRPr="00D70321">
        <w:rPr>
          <w:rFonts w:cs="Arial"/>
          <w:sz w:val="22"/>
          <w:szCs w:val="22"/>
        </w:rPr>
        <w:t xml:space="preserve">, and the relationship therefore to impact, is an area </w:t>
      </w:r>
      <w:r>
        <w:rPr>
          <w:rFonts w:cs="Arial"/>
          <w:sz w:val="22"/>
          <w:szCs w:val="22"/>
        </w:rPr>
        <w:t>in need of further</w:t>
      </w:r>
      <w:r w:rsidRPr="00D70321">
        <w:rPr>
          <w:rFonts w:cs="Arial"/>
          <w:sz w:val="22"/>
          <w:szCs w:val="22"/>
        </w:rPr>
        <w:t xml:space="preserve"> research. </w:t>
      </w:r>
    </w:p>
    <w:p w14:paraId="2399EE22" w14:textId="77777777" w:rsidR="0037172B" w:rsidRPr="00D70321" w:rsidRDefault="0037172B" w:rsidP="0037172B">
      <w:pPr>
        <w:ind w:left="0"/>
        <w:rPr>
          <w:rFonts w:cs="Arial"/>
          <w:sz w:val="22"/>
          <w:szCs w:val="22"/>
        </w:rPr>
      </w:pPr>
    </w:p>
    <w:p w14:paraId="289426F0" w14:textId="2433A51D" w:rsidR="0004476C" w:rsidRPr="00D70321" w:rsidRDefault="0004476C" w:rsidP="0004476C">
      <w:pPr>
        <w:ind w:left="0"/>
        <w:rPr>
          <w:rFonts w:cs="Arial"/>
          <w:sz w:val="22"/>
          <w:szCs w:val="22"/>
        </w:rPr>
      </w:pPr>
      <w:r w:rsidRPr="00D70321">
        <w:rPr>
          <w:rFonts w:cs="Arial"/>
          <w:sz w:val="22"/>
          <w:szCs w:val="22"/>
        </w:rPr>
        <w:t>Impacts have been determined though</w:t>
      </w:r>
      <w:r>
        <w:rPr>
          <w:rFonts w:cs="Arial"/>
          <w:sz w:val="22"/>
          <w:szCs w:val="22"/>
        </w:rPr>
        <w:t xml:space="preserve"> </w:t>
      </w:r>
      <w:r w:rsidRPr="00D70321">
        <w:rPr>
          <w:rFonts w:cs="Arial"/>
          <w:sz w:val="22"/>
          <w:szCs w:val="22"/>
        </w:rPr>
        <w:t>consideration of these results, the observations from Day et al (2016a), Przeslawski et al (2016a;b)</w:t>
      </w:r>
      <w:r>
        <w:rPr>
          <w:rFonts w:cs="Arial"/>
          <w:sz w:val="22"/>
          <w:szCs w:val="22"/>
        </w:rPr>
        <w:t>,</w:t>
      </w:r>
      <w:r w:rsidRPr="00D70321">
        <w:rPr>
          <w:rFonts w:cs="Arial"/>
          <w:sz w:val="22"/>
          <w:szCs w:val="22"/>
        </w:rPr>
        <w:t xml:space="preserve"> Harrington et al (2010)</w:t>
      </w:r>
      <w:r>
        <w:rPr>
          <w:rFonts w:cs="Arial"/>
          <w:sz w:val="22"/>
          <w:szCs w:val="22"/>
        </w:rPr>
        <w:t xml:space="preserve"> and Payne (2007)</w:t>
      </w:r>
      <w:r w:rsidRPr="00D70321">
        <w:rPr>
          <w:rFonts w:cs="Arial"/>
          <w:sz w:val="22"/>
          <w:szCs w:val="22"/>
        </w:rPr>
        <w:t xml:space="preserve">, the habitat present within and close to the proposed acquisition area, and the </w:t>
      </w:r>
      <w:r>
        <w:rPr>
          <w:rFonts w:cs="Arial"/>
          <w:sz w:val="22"/>
          <w:szCs w:val="22"/>
        </w:rPr>
        <w:t xml:space="preserve">potential </w:t>
      </w:r>
      <w:r w:rsidRPr="00D70321">
        <w:rPr>
          <w:rFonts w:cs="Arial"/>
          <w:sz w:val="22"/>
          <w:szCs w:val="22"/>
        </w:rPr>
        <w:t xml:space="preserve">presence of </w:t>
      </w:r>
      <w:r>
        <w:rPr>
          <w:rFonts w:cs="Arial"/>
          <w:sz w:val="22"/>
          <w:szCs w:val="22"/>
        </w:rPr>
        <w:t xml:space="preserve">southern rock lobsters. </w:t>
      </w:r>
    </w:p>
    <w:p w14:paraId="56A69177" w14:textId="77777777" w:rsidR="0004476C" w:rsidRPr="00D70321" w:rsidRDefault="0004476C" w:rsidP="0004476C">
      <w:pPr>
        <w:ind w:left="0"/>
        <w:rPr>
          <w:rFonts w:cs="Arial"/>
          <w:sz w:val="22"/>
          <w:szCs w:val="22"/>
        </w:rPr>
      </w:pPr>
    </w:p>
    <w:p w14:paraId="4F27589F" w14:textId="77777777" w:rsidR="0004476C" w:rsidRPr="00474E28" w:rsidRDefault="0004476C" w:rsidP="0004476C">
      <w:pPr>
        <w:ind w:left="0"/>
        <w:rPr>
          <w:rFonts w:cs="Arial"/>
          <w:i/>
          <w:sz w:val="22"/>
          <w:szCs w:val="22"/>
        </w:rPr>
      </w:pPr>
      <w:r w:rsidRPr="00474E28">
        <w:rPr>
          <w:rFonts w:cs="Arial"/>
          <w:i/>
          <w:sz w:val="22"/>
          <w:szCs w:val="22"/>
        </w:rPr>
        <w:t xml:space="preserve">Increased </w:t>
      </w:r>
      <w:r>
        <w:rPr>
          <w:rFonts w:cs="Arial"/>
          <w:i/>
          <w:sz w:val="22"/>
          <w:szCs w:val="22"/>
        </w:rPr>
        <w:t>s</w:t>
      </w:r>
      <w:r w:rsidRPr="00474E28">
        <w:rPr>
          <w:rFonts w:cs="Arial"/>
          <w:i/>
          <w:sz w:val="22"/>
          <w:szCs w:val="22"/>
        </w:rPr>
        <w:t xml:space="preserve">tress and </w:t>
      </w:r>
      <w:r>
        <w:rPr>
          <w:rFonts w:cs="Arial"/>
          <w:i/>
          <w:sz w:val="22"/>
          <w:szCs w:val="22"/>
        </w:rPr>
        <w:t>r</w:t>
      </w:r>
      <w:r w:rsidRPr="00474E28">
        <w:rPr>
          <w:rFonts w:cs="Arial"/>
          <w:i/>
          <w:sz w:val="22"/>
          <w:szCs w:val="22"/>
        </w:rPr>
        <w:t xml:space="preserve">isk of </w:t>
      </w:r>
      <w:r>
        <w:rPr>
          <w:rFonts w:cs="Arial"/>
          <w:i/>
          <w:sz w:val="22"/>
          <w:szCs w:val="22"/>
        </w:rPr>
        <w:t>m</w:t>
      </w:r>
      <w:r w:rsidRPr="00474E28">
        <w:rPr>
          <w:rFonts w:cs="Arial"/>
          <w:i/>
          <w:sz w:val="22"/>
          <w:szCs w:val="22"/>
        </w:rPr>
        <w:t>ortality (up to 100 m)</w:t>
      </w:r>
    </w:p>
    <w:p w14:paraId="337FB629" w14:textId="77777777" w:rsidR="0004476C" w:rsidRDefault="0004476C" w:rsidP="0004476C">
      <w:pPr>
        <w:ind w:left="0"/>
        <w:rPr>
          <w:rFonts w:cs="Arial"/>
          <w:sz w:val="22"/>
          <w:szCs w:val="22"/>
        </w:rPr>
      </w:pPr>
    </w:p>
    <w:p w14:paraId="457C1A09" w14:textId="7FE04653" w:rsidR="0004476C" w:rsidRDefault="0061707B" w:rsidP="0004476C">
      <w:pPr>
        <w:ind w:left="0"/>
        <w:rPr>
          <w:rFonts w:cs="Arial"/>
          <w:sz w:val="22"/>
          <w:szCs w:val="22"/>
        </w:rPr>
      </w:pPr>
      <w:r>
        <w:rPr>
          <w:rFonts w:cs="Arial"/>
          <w:sz w:val="22"/>
          <w:szCs w:val="22"/>
        </w:rPr>
        <w:t>R</w:t>
      </w:r>
      <w:r w:rsidR="0004476C">
        <w:rPr>
          <w:rFonts w:cs="Arial"/>
          <w:sz w:val="22"/>
          <w:szCs w:val="22"/>
        </w:rPr>
        <w:t>ock lobsters, if present</w:t>
      </w:r>
      <w:r w:rsidR="0004476C" w:rsidRPr="009D2517">
        <w:rPr>
          <w:rFonts w:cs="Arial"/>
          <w:sz w:val="22"/>
          <w:szCs w:val="22"/>
        </w:rPr>
        <w:t xml:space="preserve"> within 100 m of the array</w:t>
      </w:r>
      <w:r w:rsidR="0004476C">
        <w:rPr>
          <w:rFonts w:cs="Arial"/>
          <w:sz w:val="22"/>
          <w:szCs w:val="22"/>
        </w:rPr>
        <w:t>,</w:t>
      </w:r>
      <w:r w:rsidR="0004476C" w:rsidRPr="009D2517">
        <w:rPr>
          <w:rFonts w:cs="Arial"/>
          <w:sz w:val="22"/>
          <w:szCs w:val="22"/>
        </w:rPr>
        <w:t xml:space="preserve"> will be exposed to </w:t>
      </w:r>
      <w:r w:rsidR="0004476C">
        <w:rPr>
          <w:rFonts w:cs="Arial"/>
          <w:sz w:val="22"/>
          <w:szCs w:val="22"/>
        </w:rPr>
        <w:t xml:space="preserve">sound </w:t>
      </w:r>
      <w:r w:rsidR="0004476C" w:rsidRPr="009D2517">
        <w:rPr>
          <w:rFonts w:cs="Arial"/>
          <w:sz w:val="22"/>
          <w:szCs w:val="22"/>
        </w:rPr>
        <w:t>levels greater than tho</w:t>
      </w:r>
      <w:r w:rsidR="0004476C">
        <w:rPr>
          <w:rFonts w:cs="Arial"/>
          <w:sz w:val="22"/>
          <w:szCs w:val="22"/>
        </w:rPr>
        <w:t>se studied in Day et al</w:t>
      </w:r>
      <w:r w:rsidR="0004476C" w:rsidRPr="009D2517">
        <w:rPr>
          <w:rFonts w:cs="Arial"/>
          <w:sz w:val="22"/>
          <w:szCs w:val="22"/>
        </w:rPr>
        <w:t xml:space="preserve"> (2016</w:t>
      </w:r>
      <w:r w:rsidR="0004476C">
        <w:rPr>
          <w:rFonts w:cs="Arial"/>
          <w:sz w:val="22"/>
          <w:szCs w:val="22"/>
        </w:rPr>
        <w:t>a</w:t>
      </w:r>
      <w:r w:rsidR="0004476C" w:rsidRPr="009D2517">
        <w:rPr>
          <w:rFonts w:cs="Arial"/>
          <w:sz w:val="22"/>
          <w:szCs w:val="22"/>
        </w:rPr>
        <w:t xml:space="preserve">), </w:t>
      </w:r>
      <w:r w:rsidR="0004476C">
        <w:rPr>
          <w:rFonts w:cs="Arial"/>
          <w:sz w:val="22"/>
          <w:szCs w:val="22"/>
        </w:rPr>
        <w:t xml:space="preserve">which could potentially lead to </w:t>
      </w:r>
      <w:r w:rsidR="0004476C" w:rsidRPr="00474E28">
        <w:rPr>
          <w:rFonts w:cs="Arial"/>
          <w:sz w:val="22"/>
          <w:szCs w:val="22"/>
        </w:rPr>
        <w:t>increased stress, and therefore a higher risk of longer term mortality, but not ma</w:t>
      </w:r>
      <w:r w:rsidR="0004476C" w:rsidRPr="009D2517">
        <w:rPr>
          <w:rFonts w:cs="Arial"/>
          <w:sz w:val="22"/>
          <w:szCs w:val="22"/>
        </w:rPr>
        <w:t xml:space="preserve">ss mortality </w:t>
      </w:r>
      <w:r w:rsidR="0004476C" w:rsidRPr="009D2517">
        <w:rPr>
          <w:rFonts w:cs="Arial"/>
          <w:sz w:val="22"/>
          <w:szCs w:val="22"/>
        </w:rPr>
        <w:fldChar w:fldCharType="begin"/>
      </w:r>
      <w:r w:rsidR="0004476C" w:rsidRPr="009D2517">
        <w:rPr>
          <w:rFonts w:cs="Arial"/>
          <w:sz w:val="22"/>
          <w:szCs w:val="22"/>
        </w:rPr>
        <w:instrText xml:space="preserve"> ADDIN EN.CITE &lt;EndNote&gt;&lt;Cite&gt;&lt;Author&gt;Przeslawski&lt;/Author&gt;&lt;Year&gt;2016&lt;/Year&gt;&lt;RecNum&gt;23816&lt;/RecNum&gt;&lt;DisplayText&gt;(Przeslawski et al. 2016a)&lt;/DisplayText&gt;&lt;record&gt;&lt;rec-number&gt;14&lt;/rec-number&gt;&lt;foreign-keys&gt;&lt;key app="EN" db-id="vf5taexr70r9wrerf2352ztoewspzvs9xvfz" timestamp="1482373754"&gt;14&lt;/key&gt;&lt;/foreign-keys&gt;&lt;ref-type name="Report"&gt;27&lt;/ref-type&gt;&lt;contributors&gt;&lt;authors&gt;&lt;author&gt;Przeslawski, R.&lt;/author&gt;&lt;author&gt;Hurt, L.&lt;/author&gt;&lt;author&gt;Forrest, A.&lt;/author&gt;&lt;author&gt;Carroll, A.&lt;/author&gt;&lt;author&gt;Geoscience Australia,&lt;/author&gt;&lt;/authors&gt;&lt;/contributors&gt;&lt;titles&gt;&lt;title&gt;Potential short-term impacts of marine seismic surveys on scallops in the Gippsland Basin, Canberra, April&lt;/title&gt;&lt;/titles&gt;&lt;dates&gt;&lt;year&gt;2016&lt;/year&gt;&lt;/dates&gt;&lt;publisher&gt;CC BY 3.0&lt;/publisher&gt;&lt;urls&gt;&lt;/urls&gt;&lt;/record&gt;&lt;/Cite&gt;&lt;/EndNote&gt;</w:instrText>
      </w:r>
      <w:r w:rsidR="0004476C" w:rsidRPr="009D2517">
        <w:rPr>
          <w:rFonts w:cs="Arial"/>
          <w:sz w:val="22"/>
          <w:szCs w:val="22"/>
        </w:rPr>
        <w:fldChar w:fldCharType="separate"/>
      </w:r>
      <w:r w:rsidR="0004476C" w:rsidRPr="009D2517">
        <w:rPr>
          <w:rFonts w:cs="Arial"/>
          <w:sz w:val="22"/>
          <w:szCs w:val="22"/>
        </w:rPr>
        <w:t xml:space="preserve">(Przeslawski </w:t>
      </w:r>
      <w:r w:rsidR="0004476C" w:rsidRPr="009D2517">
        <w:rPr>
          <w:rFonts w:cs="Arial"/>
          <w:i/>
          <w:sz w:val="22"/>
          <w:szCs w:val="22"/>
        </w:rPr>
        <w:t>et al.</w:t>
      </w:r>
      <w:r w:rsidR="0004476C">
        <w:rPr>
          <w:rFonts w:cs="Arial"/>
          <w:sz w:val="22"/>
          <w:szCs w:val="22"/>
        </w:rPr>
        <w:t>,</w:t>
      </w:r>
      <w:r w:rsidR="0004476C" w:rsidRPr="009D2517">
        <w:rPr>
          <w:rFonts w:cs="Arial"/>
          <w:sz w:val="22"/>
          <w:szCs w:val="22"/>
        </w:rPr>
        <w:t xml:space="preserve"> 2016a)</w:t>
      </w:r>
      <w:r w:rsidR="0004476C" w:rsidRPr="009D2517">
        <w:rPr>
          <w:rFonts w:cs="Arial"/>
          <w:sz w:val="22"/>
          <w:szCs w:val="22"/>
        </w:rPr>
        <w:fldChar w:fldCharType="end"/>
      </w:r>
      <w:r w:rsidR="0004476C" w:rsidRPr="009D2517">
        <w:rPr>
          <w:rFonts w:cs="Arial"/>
          <w:sz w:val="22"/>
          <w:szCs w:val="22"/>
        </w:rPr>
        <w:t xml:space="preserve">. </w:t>
      </w:r>
    </w:p>
    <w:p w14:paraId="44FFAEA0" w14:textId="77777777" w:rsidR="0004476C" w:rsidRDefault="0004476C" w:rsidP="0004476C">
      <w:pPr>
        <w:ind w:left="0"/>
        <w:rPr>
          <w:rFonts w:cs="Arial"/>
          <w:sz w:val="22"/>
          <w:szCs w:val="22"/>
        </w:rPr>
      </w:pPr>
    </w:p>
    <w:p w14:paraId="1FDB046C" w14:textId="77777777" w:rsidR="0004476C" w:rsidRPr="00474E28" w:rsidRDefault="0004476C" w:rsidP="0004476C">
      <w:pPr>
        <w:ind w:left="0"/>
        <w:rPr>
          <w:rFonts w:cs="Arial"/>
          <w:i/>
          <w:sz w:val="22"/>
          <w:szCs w:val="22"/>
        </w:rPr>
      </w:pPr>
      <w:r w:rsidRPr="00474E28">
        <w:rPr>
          <w:rFonts w:cs="Arial"/>
          <w:i/>
          <w:sz w:val="22"/>
          <w:szCs w:val="22"/>
        </w:rPr>
        <w:t xml:space="preserve">Impaired </w:t>
      </w:r>
      <w:r>
        <w:rPr>
          <w:rFonts w:cs="Arial"/>
          <w:i/>
          <w:sz w:val="22"/>
          <w:szCs w:val="22"/>
        </w:rPr>
        <w:t>r</w:t>
      </w:r>
      <w:r w:rsidRPr="00474E28">
        <w:rPr>
          <w:rFonts w:cs="Arial"/>
          <w:i/>
          <w:sz w:val="22"/>
          <w:szCs w:val="22"/>
        </w:rPr>
        <w:t>eflexes</w:t>
      </w:r>
      <w:r>
        <w:rPr>
          <w:rFonts w:cs="Arial"/>
          <w:i/>
          <w:sz w:val="22"/>
          <w:szCs w:val="22"/>
        </w:rPr>
        <w:t>, i</w:t>
      </w:r>
      <w:r w:rsidRPr="00474E28">
        <w:rPr>
          <w:rFonts w:cs="Arial"/>
          <w:i/>
          <w:sz w:val="22"/>
          <w:szCs w:val="22"/>
        </w:rPr>
        <w:t xml:space="preserve">mmunity </w:t>
      </w:r>
      <w:r>
        <w:rPr>
          <w:rFonts w:cs="Arial"/>
          <w:i/>
          <w:sz w:val="22"/>
          <w:szCs w:val="22"/>
        </w:rPr>
        <w:t>r</w:t>
      </w:r>
      <w:r w:rsidRPr="00474E28">
        <w:rPr>
          <w:rFonts w:cs="Arial"/>
          <w:i/>
          <w:sz w:val="22"/>
          <w:szCs w:val="22"/>
        </w:rPr>
        <w:t>esponse</w:t>
      </w:r>
      <w:r>
        <w:rPr>
          <w:rFonts w:cs="Arial"/>
          <w:i/>
          <w:sz w:val="22"/>
          <w:szCs w:val="22"/>
        </w:rPr>
        <w:t xml:space="preserve"> and potential increased mortality (260 m)</w:t>
      </w:r>
    </w:p>
    <w:p w14:paraId="304563F9" w14:textId="77777777" w:rsidR="0004476C" w:rsidRDefault="0004476C" w:rsidP="0004476C">
      <w:pPr>
        <w:ind w:left="0"/>
        <w:rPr>
          <w:rFonts w:cs="Arial"/>
          <w:sz w:val="22"/>
          <w:szCs w:val="22"/>
        </w:rPr>
      </w:pPr>
    </w:p>
    <w:p w14:paraId="71191EE5" w14:textId="77777777" w:rsidR="0004476C" w:rsidRDefault="0004476C" w:rsidP="0004476C">
      <w:pPr>
        <w:ind w:left="0"/>
        <w:rPr>
          <w:rFonts w:cs="Arial"/>
          <w:sz w:val="22"/>
          <w:szCs w:val="22"/>
        </w:rPr>
      </w:pPr>
      <w:r w:rsidRPr="009D2517">
        <w:rPr>
          <w:rFonts w:cs="Arial"/>
          <w:sz w:val="22"/>
          <w:szCs w:val="22"/>
        </w:rPr>
        <w:t xml:space="preserve">Considering the </w:t>
      </w:r>
      <w:r>
        <w:rPr>
          <w:rFonts w:cs="Arial"/>
          <w:sz w:val="22"/>
          <w:szCs w:val="22"/>
        </w:rPr>
        <w:t xml:space="preserve">highest </w:t>
      </w:r>
      <w:r w:rsidRPr="009D2517">
        <w:rPr>
          <w:rFonts w:cs="Arial"/>
          <w:sz w:val="22"/>
          <w:szCs w:val="22"/>
        </w:rPr>
        <w:t xml:space="preserve">exposure levels </w:t>
      </w:r>
      <w:r>
        <w:rPr>
          <w:rFonts w:cs="Arial"/>
          <w:sz w:val="22"/>
          <w:szCs w:val="22"/>
        </w:rPr>
        <w:t>in</w:t>
      </w:r>
      <w:r w:rsidRPr="009D2517">
        <w:rPr>
          <w:rFonts w:cs="Arial"/>
          <w:sz w:val="22"/>
          <w:szCs w:val="22"/>
        </w:rPr>
        <w:t xml:space="preserve"> Day et al (2016</w:t>
      </w:r>
      <w:r>
        <w:rPr>
          <w:rFonts w:cs="Arial"/>
          <w:sz w:val="22"/>
          <w:szCs w:val="22"/>
        </w:rPr>
        <w:t>a</w:t>
      </w:r>
      <w:r w:rsidRPr="009D2517">
        <w:rPr>
          <w:rFonts w:cs="Arial"/>
          <w:sz w:val="22"/>
          <w:szCs w:val="22"/>
        </w:rPr>
        <w:t xml:space="preserve">), 213 dB re 1 μPa (PK-PK) and 26 or 37.57 </w:t>
      </w:r>
      <w:r w:rsidRPr="00C411CB">
        <w:rPr>
          <w:rFonts w:cs="Arial"/>
          <w:sz w:val="22"/>
          <w:szCs w:val="22"/>
        </w:rPr>
        <w:t>ms</w:t>
      </w:r>
      <w:r w:rsidRPr="009D2517">
        <w:rPr>
          <w:rFonts w:cs="Arial"/>
          <w:sz w:val="22"/>
          <w:szCs w:val="22"/>
          <w:vertAlign w:val="superscript"/>
        </w:rPr>
        <w:t>-2</w:t>
      </w:r>
      <w:r w:rsidRPr="009D2517">
        <w:rPr>
          <w:rFonts w:cs="Arial"/>
          <w:sz w:val="22"/>
          <w:szCs w:val="22"/>
        </w:rPr>
        <w:t>, these align with a distance of 260 m (PK-PK, 213 dB re 1 μPa) and approximately 100 or 70 m (particle acceleration)</w:t>
      </w:r>
      <w:r>
        <w:rPr>
          <w:rFonts w:cs="Arial"/>
          <w:sz w:val="22"/>
          <w:szCs w:val="22"/>
        </w:rPr>
        <w:t xml:space="preserve"> from the STLM for the Pelican 3DMSS</w:t>
      </w:r>
      <w:r w:rsidRPr="009D2517">
        <w:rPr>
          <w:rFonts w:cs="Arial"/>
          <w:sz w:val="22"/>
          <w:szCs w:val="22"/>
        </w:rPr>
        <w:t xml:space="preserve">. </w:t>
      </w:r>
    </w:p>
    <w:p w14:paraId="6BC3366B" w14:textId="77777777" w:rsidR="0004476C" w:rsidRDefault="0004476C" w:rsidP="0004476C">
      <w:pPr>
        <w:ind w:left="0"/>
        <w:rPr>
          <w:rFonts w:cs="Arial"/>
          <w:sz w:val="22"/>
          <w:szCs w:val="22"/>
        </w:rPr>
      </w:pPr>
    </w:p>
    <w:p w14:paraId="3B0B910C" w14:textId="19988254" w:rsidR="0004476C" w:rsidRDefault="0004476C" w:rsidP="0004476C">
      <w:pPr>
        <w:ind w:left="0"/>
        <w:rPr>
          <w:rFonts w:cs="Arial"/>
          <w:sz w:val="22"/>
          <w:szCs w:val="22"/>
        </w:rPr>
      </w:pPr>
      <w:r w:rsidRPr="009D2517">
        <w:rPr>
          <w:rFonts w:cs="Arial"/>
          <w:sz w:val="22"/>
          <w:szCs w:val="22"/>
        </w:rPr>
        <w:t>Therefore</w:t>
      </w:r>
      <w:r w:rsidR="008939BD">
        <w:rPr>
          <w:rFonts w:cs="Arial"/>
          <w:sz w:val="22"/>
          <w:szCs w:val="22"/>
        </w:rPr>
        <w:t>,</w:t>
      </w:r>
      <w:r w:rsidRPr="009D2517">
        <w:rPr>
          <w:rFonts w:cs="Arial"/>
          <w:sz w:val="22"/>
          <w:szCs w:val="22"/>
        </w:rPr>
        <w:t xml:space="preserve"> within the </w:t>
      </w:r>
      <w:r>
        <w:rPr>
          <w:rFonts w:cs="Arial"/>
          <w:sz w:val="22"/>
          <w:szCs w:val="22"/>
        </w:rPr>
        <w:t xml:space="preserve">proposed </w:t>
      </w:r>
      <w:r w:rsidRPr="009D2517">
        <w:rPr>
          <w:rFonts w:cs="Arial"/>
          <w:sz w:val="22"/>
          <w:szCs w:val="22"/>
        </w:rPr>
        <w:t xml:space="preserve">acquisition area, and at approximately these radii from each seismic impulse location, </w:t>
      </w:r>
      <w:r>
        <w:rPr>
          <w:rFonts w:cs="Arial"/>
          <w:sz w:val="22"/>
          <w:szCs w:val="22"/>
        </w:rPr>
        <w:t xml:space="preserve">rock lobsters </w:t>
      </w:r>
      <w:r w:rsidRPr="009D2517">
        <w:rPr>
          <w:rFonts w:cs="Arial"/>
          <w:sz w:val="22"/>
          <w:szCs w:val="22"/>
        </w:rPr>
        <w:t>will be exposed to PK-PK pressure and particle acceleration levels equivalent to those measured by Day et al (2016</w:t>
      </w:r>
      <w:r>
        <w:rPr>
          <w:rFonts w:cs="Arial"/>
          <w:sz w:val="22"/>
          <w:szCs w:val="22"/>
        </w:rPr>
        <w:t>a</w:t>
      </w:r>
      <w:r w:rsidRPr="009D2517">
        <w:rPr>
          <w:rFonts w:cs="Arial"/>
          <w:sz w:val="22"/>
          <w:szCs w:val="22"/>
        </w:rPr>
        <w:t xml:space="preserve">), levels potentially associated with the higher levels of effect. </w:t>
      </w:r>
    </w:p>
    <w:p w14:paraId="45C83BAC" w14:textId="77777777" w:rsidR="0004476C" w:rsidRDefault="0004476C" w:rsidP="0004476C">
      <w:pPr>
        <w:ind w:left="0"/>
        <w:rPr>
          <w:rFonts w:cs="Arial"/>
          <w:sz w:val="22"/>
          <w:szCs w:val="22"/>
        </w:rPr>
      </w:pPr>
    </w:p>
    <w:p w14:paraId="70E7CE35" w14:textId="77777777" w:rsidR="0004476C" w:rsidRDefault="0004476C" w:rsidP="0004476C">
      <w:pPr>
        <w:ind w:left="0"/>
        <w:rPr>
          <w:rFonts w:cs="Arial"/>
          <w:sz w:val="22"/>
          <w:szCs w:val="22"/>
        </w:rPr>
      </w:pPr>
      <w:r w:rsidRPr="009D2517">
        <w:rPr>
          <w:rFonts w:cs="Arial"/>
          <w:sz w:val="22"/>
          <w:szCs w:val="22"/>
        </w:rPr>
        <w:t>For simplicity</w:t>
      </w:r>
      <w:r>
        <w:rPr>
          <w:rFonts w:cs="Arial"/>
          <w:sz w:val="22"/>
          <w:szCs w:val="22"/>
        </w:rPr>
        <w:t>,</w:t>
      </w:r>
      <w:r w:rsidRPr="009D2517">
        <w:rPr>
          <w:rFonts w:cs="Arial"/>
          <w:sz w:val="22"/>
          <w:szCs w:val="22"/>
        </w:rPr>
        <w:t xml:space="preserve"> this has been approximated to the range </w:t>
      </w:r>
      <w:r>
        <w:rPr>
          <w:rFonts w:cs="Arial"/>
          <w:sz w:val="22"/>
          <w:szCs w:val="22"/>
        </w:rPr>
        <w:t>of</w:t>
      </w:r>
      <w:r w:rsidRPr="009D2517">
        <w:rPr>
          <w:rFonts w:cs="Arial"/>
          <w:sz w:val="22"/>
          <w:szCs w:val="22"/>
        </w:rPr>
        <w:t xml:space="preserve"> the PK-PK metric, 260 m. Therefore</w:t>
      </w:r>
      <w:r>
        <w:rPr>
          <w:rFonts w:cs="Arial"/>
          <w:sz w:val="22"/>
          <w:szCs w:val="22"/>
        </w:rPr>
        <w:t>,</w:t>
      </w:r>
      <w:r w:rsidRPr="009D2517">
        <w:rPr>
          <w:rFonts w:cs="Arial"/>
          <w:sz w:val="22"/>
          <w:szCs w:val="22"/>
        </w:rPr>
        <w:t xml:space="preserve"> </w:t>
      </w:r>
      <w:r>
        <w:rPr>
          <w:rFonts w:cs="Arial"/>
          <w:sz w:val="22"/>
          <w:szCs w:val="22"/>
        </w:rPr>
        <w:t>rock lobsters</w:t>
      </w:r>
      <w:r w:rsidRPr="009D2517">
        <w:rPr>
          <w:rFonts w:cs="Arial"/>
          <w:sz w:val="22"/>
          <w:szCs w:val="22"/>
        </w:rPr>
        <w:t xml:space="preserve"> within this distance </w:t>
      </w:r>
      <w:r>
        <w:rPr>
          <w:rFonts w:cs="Arial"/>
          <w:sz w:val="22"/>
          <w:szCs w:val="22"/>
        </w:rPr>
        <w:t xml:space="preserve">(260 m) </w:t>
      </w:r>
      <w:r w:rsidRPr="009D2517">
        <w:rPr>
          <w:rFonts w:cs="Arial"/>
          <w:sz w:val="22"/>
          <w:szCs w:val="22"/>
        </w:rPr>
        <w:t>from each seismic impulse location</w:t>
      </w:r>
      <w:r>
        <w:rPr>
          <w:rFonts w:cs="Arial"/>
          <w:sz w:val="22"/>
          <w:szCs w:val="22"/>
        </w:rPr>
        <w:t xml:space="preserve">, if present, may </w:t>
      </w:r>
      <w:r w:rsidRPr="009D2517">
        <w:rPr>
          <w:rFonts w:cs="Arial"/>
          <w:sz w:val="22"/>
          <w:szCs w:val="22"/>
        </w:rPr>
        <w:t>experience</w:t>
      </w:r>
      <w:r>
        <w:rPr>
          <w:rFonts w:cs="Arial"/>
          <w:sz w:val="22"/>
          <w:szCs w:val="22"/>
        </w:rPr>
        <w:t>:</w:t>
      </w:r>
    </w:p>
    <w:p w14:paraId="5D4DA1F2" w14:textId="77777777" w:rsidR="0004476C" w:rsidRDefault="0004476C" w:rsidP="0004476C">
      <w:pPr>
        <w:ind w:left="0"/>
        <w:rPr>
          <w:rFonts w:cs="Arial"/>
          <w:sz w:val="22"/>
          <w:szCs w:val="22"/>
        </w:rPr>
      </w:pPr>
    </w:p>
    <w:p w14:paraId="63F6E6DD" w14:textId="77777777" w:rsidR="0004476C" w:rsidRPr="00891DE1" w:rsidRDefault="0004476C" w:rsidP="0004476C">
      <w:pPr>
        <w:pStyle w:val="ColorfulList-Accent110"/>
        <w:numPr>
          <w:ilvl w:val="0"/>
          <w:numId w:val="167"/>
        </w:numPr>
        <w:spacing w:after="0" w:line="260" w:lineRule="atLeast"/>
        <w:rPr>
          <w:rFonts w:eastAsia="Times New Roman" w:cs="Arial"/>
          <w:color w:val="auto"/>
          <w:sz w:val="22"/>
          <w:szCs w:val="22"/>
        </w:rPr>
      </w:pPr>
      <w:r w:rsidRPr="00891DE1">
        <w:rPr>
          <w:rFonts w:eastAsia="Times New Roman" w:cs="Arial"/>
          <w:color w:val="auto"/>
          <w:sz w:val="22"/>
          <w:szCs w:val="22"/>
        </w:rPr>
        <w:t>Damage to statocysts in adult lobsters and changes in reflexes;</w:t>
      </w:r>
    </w:p>
    <w:p w14:paraId="12039D35" w14:textId="77777777" w:rsidR="0004476C" w:rsidRPr="00891DE1" w:rsidRDefault="0004476C" w:rsidP="0004476C">
      <w:pPr>
        <w:pStyle w:val="ColorfulList-Accent110"/>
        <w:numPr>
          <w:ilvl w:val="0"/>
          <w:numId w:val="167"/>
        </w:numPr>
        <w:spacing w:after="0" w:line="260" w:lineRule="atLeast"/>
        <w:rPr>
          <w:rFonts w:eastAsia="Times New Roman" w:cs="Arial"/>
          <w:color w:val="auto"/>
          <w:sz w:val="22"/>
          <w:szCs w:val="22"/>
        </w:rPr>
      </w:pPr>
      <w:r w:rsidRPr="00891DE1">
        <w:rPr>
          <w:rFonts w:eastAsia="Times New Roman" w:cs="Arial"/>
          <w:color w:val="auto"/>
          <w:sz w:val="22"/>
          <w:szCs w:val="22"/>
        </w:rPr>
        <w:t xml:space="preserve">Changes to haemocyte count, an indicator of immune response function; </w:t>
      </w:r>
    </w:p>
    <w:p w14:paraId="2FB2AEEE" w14:textId="77777777" w:rsidR="0004476C" w:rsidRPr="00891DE1" w:rsidRDefault="0004476C" w:rsidP="0004476C">
      <w:pPr>
        <w:pStyle w:val="ColorfulList-Accent110"/>
        <w:numPr>
          <w:ilvl w:val="0"/>
          <w:numId w:val="167"/>
        </w:numPr>
        <w:spacing w:after="0" w:line="260" w:lineRule="atLeast"/>
        <w:rPr>
          <w:rFonts w:eastAsia="Times New Roman" w:cs="Arial"/>
          <w:color w:val="auto"/>
          <w:sz w:val="22"/>
          <w:szCs w:val="22"/>
        </w:rPr>
      </w:pPr>
      <w:r w:rsidRPr="00891DE1">
        <w:rPr>
          <w:rFonts w:eastAsia="Times New Roman" w:cs="Arial"/>
          <w:color w:val="auto"/>
          <w:sz w:val="22"/>
          <w:szCs w:val="22"/>
        </w:rPr>
        <w:t>Increased probability of mortality; and</w:t>
      </w:r>
    </w:p>
    <w:p w14:paraId="74EDAE89" w14:textId="77777777" w:rsidR="0004476C" w:rsidRPr="00891DE1" w:rsidRDefault="0004476C" w:rsidP="0004476C">
      <w:pPr>
        <w:pStyle w:val="ColorfulList-Accent110"/>
        <w:numPr>
          <w:ilvl w:val="0"/>
          <w:numId w:val="167"/>
        </w:numPr>
        <w:spacing w:after="0" w:line="260" w:lineRule="atLeast"/>
        <w:rPr>
          <w:rFonts w:eastAsia="Times New Roman" w:cs="Arial"/>
          <w:color w:val="auto"/>
          <w:sz w:val="22"/>
          <w:szCs w:val="22"/>
        </w:rPr>
      </w:pPr>
      <w:r w:rsidRPr="00891DE1">
        <w:rPr>
          <w:rFonts w:eastAsia="Times New Roman" w:cs="Arial"/>
          <w:color w:val="auto"/>
          <w:sz w:val="22"/>
          <w:szCs w:val="22"/>
        </w:rPr>
        <w:t>Delayed development or abnormal development of crustacean larvae.</w:t>
      </w:r>
    </w:p>
    <w:p w14:paraId="00D41A05" w14:textId="77777777" w:rsidR="0004476C" w:rsidRDefault="0004476C" w:rsidP="0004476C">
      <w:pPr>
        <w:ind w:left="0"/>
        <w:rPr>
          <w:rFonts w:cs="Arial"/>
          <w:sz w:val="22"/>
          <w:szCs w:val="22"/>
        </w:rPr>
      </w:pPr>
    </w:p>
    <w:p w14:paraId="1F8553EE" w14:textId="77777777" w:rsidR="0004476C" w:rsidRPr="00474E28" w:rsidRDefault="0004476C" w:rsidP="0004476C">
      <w:pPr>
        <w:ind w:left="0"/>
        <w:rPr>
          <w:rFonts w:cs="Arial"/>
          <w:i/>
          <w:sz w:val="22"/>
          <w:szCs w:val="22"/>
        </w:rPr>
      </w:pPr>
      <w:r w:rsidRPr="00474E28">
        <w:rPr>
          <w:rFonts w:cs="Arial"/>
          <w:i/>
          <w:sz w:val="22"/>
          <w:szCs w:val="22"/>
        </w:rPr>
        <w:t xml:space="preserve">Behavioural </w:t>
      </w:r>
      <w:r>
        <w:rPr>
          <w:rFonts w:cs="Arial"/>
          <w:i/>
          <w:sz w:val="22"/>
          <w:szCs w:val="22"/>
        </w:rPr>
        <w:t>e</w:t>
      </w:r>
      <w:r w:rsidRPr="00474E28">
        <w:rPr>
          <w:rFonts w:cs="Arial"/>
          <w:i/>
          <w:sz w:val="22"/>
          <w:szCs w:val="22"/>
        </w:rPr>
        <w:t>ffects</w:t>
      </w:r>
      <w:r>
        <w:rPr>
          <w:rFonts w:cs="Arial"/>
          <w:i/>
          <w:sz w:val="22"/>
          <w:szCs w:val="22"/>
        </w:rPr>
        <w:t xml:space="preserve"> (400 m)</w:t>
      </w:r>
    </w:p>
    <w:p w14:paraId="58F19678" w14:textId="77777777" w:rsidR="0004476C" w:rsidRDefault="0004476C" w:rsidP="0004476C">
      <w:pPr>
        <w:ind w:left="0"/>
        <w:rPr>
          <w:rFonts w:cs="Arial"/>
          <w:sz w:val="22"/>
          <w:szCs w:val="22"/>
        </w:rPr>
      </w:pPr>
    </w:p>
    <w:p w14:paraId="47265E99" w14:textId="46A01A6D" w:rsidR="0004476C" w:rsidRDefault="0004476C" w:rsidP="0004476C">
      <w:pPr>
        <w:ind w:left="0"/>
        <w:rPr>
          <w:rFonts w:cs="Arial"/>
          <w:sz w:val="22"/>
          <w:szCs w:val="22"/>
        </w:rPr>
      </w:pPr>
      <w:r>
        <w:rPr>
          <w:rFonts w:cs="Arial"/>
          <w:sz w:val="22"/>
          <w:szCs w:val="22"/>
        </w:rPr>
        <w:t>A</w:t>
      </w:r>
      <w:r w:rsidRPr="009D2517">
        <w:rPr>
          <w:rFonts w:cs="Arial"/>
          <w:sz w:val="22"/>
          <w:szCs w:val="22"/>
        </w:rPr>
        <w:t>pplying the results from Day et al (2016</w:t>
      </w:r>
      <w:r>
        <w:rPr>
          <w:rFonts w:cs="Arial"/>
          <w:sz w:val="22"/>
          <w:szCs w:val="22"/>
        </w:rPr>
        <w:t>a</w:t>
      </w:r>
      <w:r w:rsidRPr="009D2517">
        <w:rPr>
          <w:rFonts w:cs="Arial"/>
          <w:sz w:val="22"/>
          <w:szCs w:val="22"/>
        </w:rPr>
        <w:t xml:space="preserve">), effects </w:t>
      </w:r>
      <w:r>
        <w:rPr>
          <w:rFonts w:cs="Arial"/>
          <w:sz w:val="22"/>
          <w:szCs w:val="22"/>
        </w:rPr>
        <w:t>could be</w:t>
      </w:r>
      <w:r w:rsidRPr="009D2517">
        <w:rPr>
          <w:rFonts w:cs="Arial"/>
          <w:sz w:val="22"/>
          <w:szCs w:val="22"/>
        </w:rPr>
        <w:t xml:space="preserve"> expected </w:t>
      </w:r>
      <w:r>
        <w:rPr>
          <w:rFonts w:cs="Arial"/>
          <w:sz w:val="22"/>
          <w:szCs w:val="22"/>
        </w:rPr>
        <w:t xml:space="preserve">if lobsters were </w:t>
      </w:r>
      <w:r w:rsidRPr="009D2517">
        <w:rPr>
          <w:rFonts w:cs="Arial"/>
          <w:sz w:val="22"/>
          <w:szCs w:val="22"/>
        </w:rPr>
        <w:t xml:space="preserve">closer to the array. As behavioural effects were observed </w:t>
      </w:r>
      <w:r>
        <w:rPr>
          <w:rFonts w:cs="Arial"/>
          <w:sz w:val="22"/>
          <w:szCs w:val="22"/>
        </w:rPr>
        <w:t xml:space="preserve">by Day et al (2016a) </w:t>
      </w:r>
      <w:r w:rsidRPr="009D2517">
        <w:rPr>
          <w:rFonts w:cs="Arial"/>
          <w:sz w:val="22"/>
          <w:szCs w:val="22"/>
        </w:rPr>
        <w:t xml:space="preserve">at 209 dB re 1 μPa (PK-PK), </w:t>
      </w:r>
      <w:r>
        <w:rPr>
          <w:rFonts w:cs="Arial"/>
          <w:sz w:val="22"/>
          <w:szCs w:val="22"/>
        </w:rPr>
        <w:t xml:space="preserve">these behavioural effects on rock lobsters, if present, are </w:t>
      </w:r>
      <w:r w:rsidRPr="009D2517">
        <w:rPr>
          <w:rFonts w:cs="Arial"/>
          <w:sz w:val="22"/>
          <w:szCs w:val="22"/>
        </w:rPr>
        <w:t xml:space="preserve">predicted to occur at a distance of 400 m from </w:t>
      </w:r>
      <w:r>
        <w:rPr>
          <w:rFonts w:cs="Arial"/>
          <w:sz w:val="22"/>
          <w:szCs w:val="22"/>
        </w:rPr>
        <w:t xml:space="preserve">each seismic impulse location for the proposed Pelican 3DMSS </w:t>
      </w:r>
      <w:r w:rsidRPr="009D2517">
        <w:rPr>
          <w:rFonts w:cs="Arial"/>
          <w:sz w:val="22"/>
          <w:szCs w:val="22"/>
        </w:rPr>
        <w:t>(</w:t>
      </w:r>
      <w:r>
        <w:rPr>
          <w:rFonts w:cs="Arial"/>
          <w:sz w:val="22"/>
          <w:szCs w:val="22"/>
        </w:rPr>
        <w:t xml:space="preserve">which corresponds to a </w:t>
      </w:r>
      <w:r w:rsidRPr="009D2517">
        <w:rPr>
          <w:rFonts w:cs="Arial"/>
          <w:sz w:val="22"/>
          <w:szCs w:val="22"/>
        </w:rPr>
        <w:t xml:space="preserve">maximum particle acceleration predicted </w:t>
      </w:r>
      <w:r>
        <w:rPr>
          <w:rFonts w:cs="Arial"/>
          <w:sz w:val="22"/>
          <w:szCs w:val="22"/>
        </w:rPr>
        <w:t>of</w:t>
      </w:r>
      <w:r w:rsidRPr="009D2517">
        <w:rPr>
          <w:rFonts w:cs="Arial"/>
          <w:sz w:val="22"/>
          <w:szCs w:val="22"/>
        </w:rPr>
        <w:t xml:space="preserve"> 7</w:t>
      </w:r>
      <w:r w:rsidRPr="007D3311">
        <w:rPr>
          <w:rFonts w:cs="Arial"/>
          <w:sz w:val="22"/>
          <w:szCs w:val="22"/>
        </w:rPr>
        <w:t xml:space="preserve"> </w:t>
      </w:r>
      <w:r w:rsidRPr="00C411CB">
        <w:rPr>
          <w:rFonts w:cs="Arial"/>
          <w:sz w:val="22"/>
          <w:szCs w:val="22"/>
        </w:rPr>
        <w:t>ms</w:t>
      </w:r>
      <w:r w:rsidRPr="009D2517">
        <w:rPr>
          <w:rFonts w:cs="Arial"/>
          <w:sz w:val="22"/>
          <w:szCs w:val="22"/>
          <w:vertAlign w:val="superscript"/>
        </w:rPr>
        <w:t>-2</w:t>
      </w:r>
      <w:r>
        <w:rPr>
          <w:rFonts w:cs="Arial"/>
          <w:sz w:val="22"/>
          <w:szCs w:val="22"/>
        </w:rPr>
        <w:t>).</w:t>
      </w:r>
    </w:p>
    <w:p w14:paraId="2607E7BA" w14:textId="77777777" w:rsidR="0004476C" w:rsidRDefault="0004476C" w:rsidP="0004476C">
      <w:pPr>
        <w:ind w:left="0"/>
        <w:rPr>
          <w:rFonts w:cs="Arial"/>
          <w:sz w:val="22"/>
          <w:szCs w:val="22"/>
        </w:rPr>
      </w:pPr>
    </w:p>
    <w:p w14:paraId="1851A3BD" w14:textId="51637137" w:rsidR="0004476C" w:rsidRPr="00474E28" w:rsidRDefault="0004476C" w:rsidP="0004476C">
      <w:pPr>
        <w:ind w:left="0"/>
        <w:rPr>
          <w:rFonts w:cs="Arial"/>
          <w:i/>
          <w:sz w:val="22"/>
          <w:szCs w:val="22"/>
        </w:rPr>
      </w:pPr>
      <w:r w:rsidRPr="00474E28">
        <w:rPr>
          <w:rFonts w:cs="Arial"/>
          <w:i/>
          <w:sz w:val="22"/>
          <w:szCs w:val="22"/>
        </w:rPr>
        <w:t xml:space="preserve">No </w:t>
      </w:r>
      <w:r w:rsidR="0061707B">
        <w:rPr>
          <w:rFonts w:cs="Arial"/>
          <w:i/>
          <w:sz w:val="22"/>
          <w:szCs w:val="22"/>
        </w:rPr>
        <w:t>e</w:t>
      </w:r>
      <w:r w:rsidRPr="00474E28">
        <w:rPr>
          <w:rFonts w:cs="Arial"/>
          <w:i/>
          <w:sz w:val="22"/>
          <w:szCs w:val="22"/>
        </w:rPr>
        <w:t>ffects (beyond 1,220 m)</w:t>
      </w:r>
    </w:p>
    <w:p w14:paraId="0F0342FC" w14:textId="77777777" w:rsidR="0004476C" w:rsidRDefault="0004476C" w:rsidP="0004476C">
      <w:pPr>
        <w:ind w:left="0"/>
        <w:rPr>
          <w:rFonts w:cs="Arial"/>
          <w:sz w:val="22"/>
          <w:szCs w:val="22"/>
        </w:rPr>
      </w:pPr>
    </w:p>
    <w:p w14:paraId="0B2D6F4E" w14:textId="6578AF42" w:rsidR="0004476C" w:rsidRDefault="0004476C" w:rsidP="0004476C">
      <w:pPr>
        <w:ind w:left="0"/>
        <w:rPr>
          <w:rFonts w:cs="Arial"/>
          <w:sz w:val="22"/>
          <w:szCs w:val="22"/>
        </w:rPr>
      </w:pPr>
      <w:r>
        <w:rPr>
          <w:rFonts w:cs="Arial"/>
          <w:sz w:val="22"/>
          <w:szCs w:val="22"/>
        </w:rPr>
        <w:t xml:space="preserve">Applying the observation by </w:t>
      </w:r>
      <w:r w:rsidRPr="009D2517">
        <w:rPr>
          <w:rFonts w:cs="Arial"/>
          <w:sz w:val="22"/>
          <w:szCs w:val="22"/>
        </w:rPr>
        <w:t xml:space="preserve">Payne et al (2007) of no effects at 202 dB re 1 μPa (PK-PK), no effects on </w:t>
      </w:r>
      <w:r>
        <w:rPr>
          <w:rFonts w:cs="Arial"/>
          <w:sz w:val="22"/>
          <w:szCs w:val="22"/>
        </w:rPr>
        <w:t xml:space="preserve">rock lobsters, if present, are expected beyond </w:t>
      </w:r>
      <w:r w:rsidRPr="009D2517">
        <w:rPr>
          <w:rFonts w:cs="Arial"/>
          <w:sz w:val="22"/>
          <w:szCs w:val="22"/>
        </w:rPr>
        <w:t xml:space="preserve"> a distance of 1.2 km from each seismic impulse location</w:t>
      </w:r>
      <w:r>
        <w:rPr>
          <w:rFonts w:cs="Arial"/>
          <w:sz w:val="22"/>
          <w:szCs w:val="22"/>
        </w:rPr>
        <w:t xml:space="preserve"> for the proposed Pelican 3DMSS</w:t>
      </w:r>
      <w:r w:rsidRPr="009D2517">
        <w:rPr>
          <w:rFonts w:cs="Arial"/>
          <w:sz w:val="22"/>
          <w:szCs w:val="22"/>
        </w:rPr>
        <w:t xml:space="preserve">. </w:t>
      </w:r>
    </w:p>
    <w:p w14:paraId="5F3DE4B0" w14:textId="77777777" w:rsidR="0004476C" w:rsidRDefault="0004476C" w:rsidP="0004476C">
      <w:pPr>
        <w:ind w:left="0"/>
        <w:rPr>
          <w:rFonts w:cs="Arial"/>
          <w:sz w:val="22"/>
          <w:szCs w:val="22"/>
        </w:rPr>
      </w:pPr>
    </w:p>
    <w:p w14:paraId="1B414F76" w14:textId="7C14F3DF" w:rsidR="002F6D0E" w:rsidRDefault="002F6D0E" w:rsidP="002F6D0E">
      <w:pPr>
        <w:ind w:left="0"/>
        <w:rPr>
          <w:rFonts w:cs="Arial"/>
          <w:sz w:val="22"/>
          <w:szCs w:val="22"/>
        </w:rPr>
      </w:pPr>
      <w:r>
        <w:rPr>
          <w:rFonts w:cs="Arial"/>
          <w:sz w:val="22"/>
          <w:szCs w:val="22"/>
        </w:rPr>
        <w:t>CarbonNet has assessed the potential impact on local populations of rock lobsters as ‘minor.</w:t>
      </w:r>
      <w:r w:rsidR="008939BD">
        <w:rPr>
          <w:rFonts w:cs="Arial"/>
          <w:sz w:val="22"/>
          <w:szCs w:val="22"/>
        </w:rPr>
        <w:t>’</w:t>
      </w:r>
      <w:r>
        <w:rPr>
          <w:rFonts w:cs="Arial"/>
          <w:sz w:val="22"/>
          <w:szCs w:val="22"/>
        </w:rPr>
        <w:t xml:space="preserve">  </w:t>
      </w:r>
    </w:p>
    <w:p w14:paraId="40A72A9E" w14:textId="77777777" w:rsidR="005676E7" w:rsidRDefault="005676E7" w:rsidP="00A55752">
      <w:pPr>
        <w:ind w:left="0"/>
        <w:rPr>
          <w:rFonts w:cs="Arial"/>
          <w:sz w:val="22"/>
          <w:szCs w:val="22"/>
        </w:rPr>
      </w:pPr>
    </w:p>
    <w:p w14:paraId="54B29188" w14:textId="3F8CD4B1" w:rsidR="00B76145" w:rsidRPr="00594614" w:rsidRDefault="00C0162C" w:rsidP="00594614">
      <w:pPr>
        <w:spacing w:after="120" w:line="240" w:lineRule="auto"/>
        <w:ind w:left="0"/>
        <w:rPr>
          <w:rFonts w:cs="Arial"/>
          <w:b/>
          <w:sz w:val="22"/>
          <w:szCs w:val="22"/>
        </w:rPr>
      </w:pPr>
      <w:r>
        <w:rPr>
          <w:rFonts w:cs="Arial"/>
          <w:b/>
          <w:sz w:val="22"/>
          <w:szCs w:val="22"/>
        </w:rPr>
        <w:t xml:space="preserve">Impacts to </w:t>
      </w:r>
      <w:r w:rsidR="00946489" w:rsidRPr="00594614">
        <w:rPr>
          <w:rFonts w:cs="Arial"/>
          <w:b/>
          <w:sz w:val="22"/>
          <w:szCs w:val="22"/>
        </w:rPr>
        <w:t>Turtles</w:t>
      </w:r>
      <w:r w:rsidR="00ED34CA">
        <w:rPr>
          <w:rFonts w:cs="Arial"/>
          <w:b/>
          <w:sz w:val="22"/>
          <w:szCs w:val="22"/>
        </w:rPr>
        <w:t xml:space="preserve"> </w:t>
      </w:r>
    </w:p>
    <w:p w14:paraId="43849A84" w14:textId="34A0C378" w:rsidR="00594614" w:rsidRPr="00594614" w:rsidRDefault="00594614" w:rsidP="00594614">
      <w:pPr>
        <w:spacing w:after="120" w:line="240" w:lineRule="auto"/>
        <w:ind w:left="0"/>
        <w:rPr>
          <w:rFonts w:cs="Arial"/>
          <w:sz w:val="22"/>
          <w:szCs w:val="22"/>
          <w:u w:val="single"/>
        </w:rPr>
      </w:pPr>
      <w:r>
        <w:rPr>
          <w:rFonts w:cs="Arial"/>
          <w:sz w:val="22"/>
          <w:szCs w:val="22"/>
          <w:u w:val="single"/>
        </w:rPr>
        <w:t>Research results</w:t>
      </w:r>
    </w:p>
    <w:p w14:paraId="1435110B" w14:textId="303D67D9" w:rsidR="00ED34CA" w:rsidRDefault="00ED34CA" w:rsidP="00ED34CA">
      <w:pPr>
        <w:ind w:left="0"/>
        <w:rPr>
          <w:rFonts w:cs="Arial"/>
          <w:sz w:val="22"/>
          <w:szCs w:val="22"/>
        </w:rPr>
      </w:pPr>
      <w:r w:rsidRPr="00ED34CA">
        <w:rPr>
          <w:rFonts w:cs="Arial"/>
          <w:sz w:val="22"/>
          <w:szCs w:val="22"/>
        </w:rPr>
        <w:t xml:space="preserve">There is limited information on sea turtle hearing. Morphological studies of green and loggerhead turtles </w:t>
      </w:r>
      <w:r w:rsidRPr="00ED34CA">
        <w:rPr>
          <w:rFonts w:cs="Arial"/>
          <w:sz w:val="22"/>
          <w:szCs w:val="22"/>
        </w:rPr>
        <w:fldChar w:fldCharType="begin">
          <w:fldData xml:space="preserve">PEVuZE5vdGU+PENpdGU+PEF1dGhvcj5SaWRnd2F5PC9BdXRob3I+PFllYXI+MTk2OTwvWWVhcj48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</w:fldData>
        </w:fldChar>
      </w:r>
      <w:r w:rsidRPr="00ED34CA">
        <w:rPr>
          <w:rFonts w:cs="Arial"/>
          <w:sz w:val="22"/>
          <w:szCs w:val="22"/>
        </w:rPr>
        <w:instrText xml:space="preserve"> ADDIN EN.CITE </w:instrText>
      </w:r>
      <w:r w:rsidRPr="00ED34CA">
        <w:rPr>
          <w:rFonts w:cs="Arial"/>
          <w:sz w:val="22"/>
          <w:szCs w:val="22"/>
        </w:rPr>
        <w:fldChar w:fldCharType="begin">
          <w:fldData xml:space="preserve">PEVuZE5vdGU+PENpdGU+PEF1dGhvcj5SaWRnd2F5PC9BdXRob3I+PFllYXI+MTk2OTwvWWVhcj48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</w:fldData>
        </w:fldChar>
      </w:r>
      <w:r w:rsidRPr="00ED34CA">
        <w:rPr>
          <w:rFonts w:cs="Arial"/>
          <w:sz w:val="22"/>
          <w:szCs w:val="22"/>
        </w:rPr>
        <w:instrText xml:space="preserve"> ADDIN EN.CITE.DATA </w:instrText>
      </w:r>
      <w:r w:rsidRPr="00ED34CA">
        <w:rPr>
          <w:rFonts w:cs="Arial"/>
          <w:sz w:val="22"/>
          <w:szCs w:val="22"/>
        </w:rPr>
      </w:r>
      <w:r w:rsidRPr="00ED34CA">
        <w:rPr>
          <w:rFonts w:cs="Arial"/>
          <w:sz w:val="22"/>
          <w:szCs w:val="22"/>
        </w:rPr>
        <w:fldChar w:fldCharType="end"/>
      </w:r>
      <w:r w:rsidRPr="00ED34CA">
        <w:rPr>
          <w:rFonts w:cs="Arial"/>
          <w:sz w:val="22"/>
          <w:szCs w:val="22"/>
        </w:rPr>
      </w:r>
      <w:r w:rsidRPr="00ED34CA">
        <w:rPr>
          <w:rFonts w:cs="Arial"/>
          <w:sz w:val="22"/>
          <w:szCs w:val="22"/>
        </w:rPr>
        <w:fldChar w:fldCharType="separate"/>
      </w:r>
      <w:r w:rsidRPr="00ED34CA">
        <w:rPr>
          <w:rFonts w:cs="Arial"/>
          <w:sz w:val="22"/>
          <w:szCs w:val="22"/>
        </w:rPr>
        <w:t xml:space="preserve">(Ridgway </w:t>
      </w:r>
      <w:r w:rsidRPr="00ED34CA">
        <w:rPr>
          <w:rFonts w:cs="Arial"/>
          <w:i/>
          <w:sz w:val="22"/>
          <w:szCs w:val="22"/>
        </w:rPr>
        <w:t>et al</w:t>
      </w:r>
      <w:r w:rsidRPr="00ED34CA">
        <w:rPr>
          <w:rFonts w:cs="Arial"/>
          <w:sz w:val="22"/>
          <w:szCs w:val="22"/>
        </w:rPr>
        <w:t>.</w:t>
      </w:r>
      <w:r>
        <w:rPr>
          <w:rFonts w:cs="Arial"/>
          <w:sz w:val="22"/>
          <w:szCs w:val="22"/>
        </w:rPr>
        <w:t>,</w:t>
      </w:r>
      <w:r w:rsidRPr="00ED34CA">
        <w:rPr>
          <w:rFonts w:cs="Arial"/>
          <w:sz w:val="22"/>
          <w:szCs w:val="22"/>
        </w:rPr>
        <w:t xml:space="preserve"> 1969</w:t>
      </w:r>
      <w:r>
        <w:rPr>
          <w:rFonts w:cs="Arial"/>
          <w:sz w:val="22"/>
          <w:szCs w:val="22"/>
        </w:rPr>
        <w:t>;</w:t>
      </w:r>
      <w:r w:rsidRPr="00ED34CA">
        <w:rPr>
          <w:rFonts w:cs="Arial"/>
          <w:sz w:val="22"/>
          <w:szCs w:val="22"/>
        </w:rPr>
        <w:t xml:space="preserve"> Wever</w:t>
      </w:r>
      <w:r>
        <w:rPr>
          <w:rFonts w:cs="Arial"/>
          <w:sz w:val="22"/>
          <w:szCs w:val="22"/>
        </w:rPr>
        <w:t>,</w:t>
      </w:r>
      <w:r w:rsidRPr="00ED34CA">
        <w:rPr>
          <w:rFonts w:cs="Arial"/>
          <w:sz w:val="22"/>
          <w:szCs w:val="22"/>
        </w:rPr>
        <w:t xml:space="preserve"> 1978</w:t>
      </w:r>
      <w:r>
        <w:rPr>
          <w:rFonts w:cs="Arial"/>
          <w:sz w:val="22"/>
          <w:szCs w:val="22"/>
        </w:rPr>
        <w:t>;</w:t>
      </w:r>
      <w:r w:rsidRPr="00ED34CA">
        <w:rPr>
          <w:rFonts w:cs="Arial"/>
          <w:sz w:val="22"/>
          <w:szCs w:val="22"/>
        </w:rPr>
        <w:t xml:space="preserve"> Lenhardt </w:t>
      </w:r>
      <w:r w:rsidRPr="00ED34CA">
        <w:rPr>
          <w:rFonts w:cs="Arial"/>
          <w:i/>
          <w:sz w:val="22"/>
          <w:szCs w:val="22"/>
        </w:rPr>
        <w:t>et al</w:t>
      </w:r>
      <w:r w:rsidRPr="00ED34CA">
        <w:rPr>
          <w:rFonts w:cs="Arial"/>
          <w:sz w:val="22"/>
          <w:szCs w:val="22"/>
        </w:rPr>
        <w:t>.</w:t>
      </w:r>
      <w:r>
        <w:rPr>
          <w:rFonts w:cs="Arial"/>
          <w:sz w:val="22"/>
          <w:szCs w:val="22"/>
        </w:rPr>
        <w:t>,</w:t>
      </w:r>
      <w:r w:rsidRPr="00ED34CA">
        <w:rPr>
          <w:rFonts w:cs="Arial"/>
          <w:sz w:val="22"/>
          <w:szCs w:val="22"/>
        </w:rPr>
        <w:t xml:space="preserve"> 1985)</w:t>
      </w:r>
      <w:r w:rsidRPr="00ED34CA">
        <w:rPr>
          <w:rFonts w:cs="Arial"/>
          <w:sz w:val="22"/>
          <w:szCs w:val="22"/>
        </w:rPr>
        <w:fldChar w:fldCharType="end"/>
      </w:r>
      <w:r w:rsidRPr="00ED34CA">
        <w:rPr>
          <w:rFonts w:cs="Arial"/>
          <w:sz w:val="22"/>
          <w:szCs w:val="22"/>
        </w:rPr>
        <w:t xml:space="preserve"> found that the sea turtle ear is similar to other reptile ears, but has some adaptations for underwater listening. A thick layer of fat may conduct sound to the ear in a similar manner as the fat in jawbones of odontocetes </w:t>
      </w:r>
      <w:r w:rsidRPr="00ED34CA">
        <w:rPr>
          <w:rFonts w:cs="Arial"/>
          <w:sz w:val="22"/>
          <w:szCs w:val="22"/>
        </w:rPr>
        <w:fldChar w:fldCharType="begin"/>
      </w:r>
      <w:r w:rsidRPr="00ED34CA">
        <w:rPr>
          <w:rFonts w:cs="Arial"/>
          <w:sz w:val="22"/>
          <w:szCs w:val="22"/>
        </w:rPr>
        <w:instrText xml:space="preserve"> ADDIN EN.CITE &lt;EndNote&gt;&lt;Cite&gt;&lt;Author&gt;Ketten&lt;/Author&gt;&lt;Year&gt;1999&lt;/Year&gt;&lt;RecNum&gt;20185&lt;/RecNum&gt;&lt;DisplayText&gt;(Ketten et al. 1999)&lt;/DisplayText&gt;&lt;record&gt;&lt;rec-number&gt;20185&lt;/rec-number&gt;&lt;foreign-keys&gt;&lt;key app="EN" db-id="avrwfx0posesv7e0p5ixzsx0ssp0v09v222p" timestamp="1399570595"&gt;20185&lt;/key&gt;&lt;/foreign-keys&gt;&lt;ref-type name="Journal Article"&gt;17&lt;/ref-type&gt;&lt;contributors&gt;&lt;authors&gt;&lt;author&gt;Ketten, Darlene R&lt;/author&gt;&lt;author&gt;Merigo, Connie&lt;/author&gt;&lt;author&gt;Chiddick, Elisabeth&lt;/author&gt;&lt;author&gt;Krum, Howard&lt;/author&gt;&lt;author&gt;Melvin, Edward F&lt;/author&gt;&lt;/authors&gt;&lt;/contributors&gt;&lt;titles&gt;&lt;title&gt;Acoustic fatheads: parallel evolution of underwater sound reception mechanisms in dolphins, turtles, and sea birds&lt;/title&gt;&lt;secondary-title&gt;Journal of the Acoustical Society of America&lt;/secondary-title&gt;&lt;/titles&gt;&lt;periodical&gt;&lt;full-title&gt;Journal of the Acoustical Society of America&lt;/full-title&gt;&lt;abbr-1&gt;J. Acoust. Soc. Am.&lt;/abbr-1&gt;&lt;abbr-2&gt;J Acoust Soc Am&lt;/abbr-2&gt;&lt;/periodical&gt;&lt;pages&gt;1110&lt;/pages&gt;&lt;volume&gt;105&lt;/volume&gt;&lt;number&gt;2&lt;/number&gt;&lt;dates&gt;&lt;year&gt;1999&lt;/year&gt;&lt;/dates&gt;&lt;isbn&gt;0001-4966&lt;/isbn&gt;&lt;urls&gt;&lt;/urls&gt;&lt;/record&gt;&lt;/Cite&gt;&lt;/EndNote&gt;</w:instrText>
      </w:r>
      <w:r w:rsidRPr="00ED34CA">
        <w:rPr>
          <w:rFonts w:cs="Arial"/>
          <w:sz w:val="22"/>
          <w:szCs w:val="22"/>
        </w:rPr>
        <w:fldChar w:fldCharType="separate"/>
      </w:r>
      <w:r w:rsidRPr="00ED34CA">
        <w:rPr>
          <w:rFonts w:cs="Arial"/>
          <w:sz w:val="22"/>
          <w:szCs w:val="22"/>
        </w:rPr>
        <w:t xml:space="preserve">(Ketten </w:t>
      </w:r>
      <w:r w:rsidRPr="00ED34CA">
        <w:rPr>
          <w:rFonts w:cs="Arial"/>
          <w:i/>
          <w:sz w:val="22"/>
          <w:szCs w:val="22"/>
        </w:rPr>
        <w:t>et al</w:t>
      </w:r>
      <w:r w:rsidRPr="00ED34CA">
        <w:rPr>
          <w:rFonts w:cs="Arial"/>
          <w:sz w:val="22"/>
          <w:szCs w:val="22"/>
        </w:rPr>
        <w:t>.</w:t>
      </w:r>
      <w:r>
        <w:rPr>
          <w:rFonts w:cs="Arial"/>
          <w:sz w:val="22"/>
          <w:szCs w:val="22"/>
        </w:rPr>
        <w:t>,</w:t>
      </w:r>
      <w:r w:rsidRPr="00ED34CA">
        <w:rPr>
          <w:rFonts w:cs="Arial"/>
          <w:sz w:val="22"/>
          <w:szCs w:val="22"/>
        </w:rPr>
        <w:t xml:space="preserve"> 1999)</w:t>
      </w:r>
      <w:r w:rsidRPr="00ED34CA">
        <w:rPr>
          <w:rFonts w:cs="Arial"/>
          <w:sz w:val="22"/>
          <w:szCs w:val="22"/>
        </w:rPr>
        <w:fldChar w:fldCharType="end"/>
      </w:r>
      <w:r w:rsidRPr="00ED34CA">
        <w:rPr>
          <w:rFonts w:cs="Arial"/>
          <w:sz w:val="22"/>
          <w:szCs w:val="22"/>
        </w:rPr>
        <w:t xml:space="preserve">, but sea turtles also retain an air cavity that presumably increases sensitivity to sound pressure. Sea turtles have lower underwater hearing thresholds than those in air, owing to resonance of the aforementioned middle ear cavity, and hence they hear best underwater </w:t>
      </w:r>
      <w:r w:rsidRPr="00ED34CA">
        <w:rPr>
          <w:rFonts w:cs="Arial"/>
          <w:sz w:val="22"/>
          <w:szCs w:val="22"/>
        </w:rPr>
        <w:fldChar w:fldCharType="begin"/>
      </w:r>
      <w:r w:rsidRPr="00ED34CA">
        <w:rPr>
          <w:rFonts w:cs="Arial"/>
          <w:sz w:val="22"/>
          <w:szCs w:val="22"/>
        </w:rPr>
        <w:instrText xml:space="preserve"> ADDIN EN.CITE &lt;EndNote&gt;&lt;Cite&gt;&lt;Author&gt;Willis&lt;/Author&gt;&lt;Year&gt;2016&lt;/Year&gt;&lt;RecNum&gt;23410&lt;/RecNum&gt;&lt;DisplayText&gt;(Willis 2016)&lt;/DisplayText&gt;&lt;record&gt;&lt;rec-number&gt;23410&lt;/rec-number&gt;&lt;foreign-keys&gt;&lt;key app="EN" db-id="avrwfx0posesv7e0p5ixzsx0ssp0v09v222p" timestamp="1461004593"&gt;23410&lt;/key&gt;&lt;/foreign-keys&gt;&lt;ref-type name="Book Section"&gt;5&lt;/ref-type&gt;&lt;contributors&gt;&lt;authors&gt;&lt;author&gt;Willis, Katie L.&lt;/author&gt;&lt;/authors&gt;&lt;secondary-authors&gt;&lt;author&gt;Popper, N. Arthur&lt;/author&gt;&lt;author&gt;Hawkins, Anthony&lt;/author&gt;&lt;/secondary-authors&gt;&lt;/contributors&gt;&lt;titles&gt;&lt;title&gt;Underwater Hearing in Turtles&lt;/title&gt;&lt;secondary-title&gt;The Effects of Noise on Aquatic Life II&lt;/secondary-title&gt;&lt;/titles&gt;&lt;pages&gt;1229-1235&lt;/pages&gt;&lt;dates&gt;&lt;year&gt;2016&lt;/year&gt;&lt;/dates&gt;&lt;pub-location&gt;New York, NY&lt;/pub-location&gt;&lt;publisher&gt;Springer New York&lt;/publisher&gt;&lt;isbn&gt;978-1-4939-2981-8&lt;/isbn&gt;&lt;label&gt;Willis2016&lt;/label&gt;&lt;urls&gt;&lt;related-urls&gt;&lt;url&gt;http://dx.doi.org/10.1007/978-1-4939-2981-8_154&lt;/url&gt;&lt;/related-urls&gt;&lt;/urls&gt;&lt;electronic-resource-num&gt;10.1007/978-1-4939-2981-8_154&lt;/electronic-resource-num&gt;&lt;/record&gt;&lt;/Cite&gt;&lt;/EndNote&gt;</w:instrText>
      </w:r>
      <w:r w:rsidRPr="00ED34CA">
        <w:rPr>
          <w:rFonts w:cs="Arial"/>
          <w:sz w:val="22"/>
          <w:szCs w:val="22"/>
        </w:rPr>
        <w:fldChar w:fldCharType="separate"/>
      </w:r>
      <w:r w:rsidRPr="00ED34CA">
        <w:rPr>
          <w:rFonts w:cs="Arial"/>
          <w:sz w:val="22"/>
          <w:szCs w:val="22"/>
        </w:rPr>
        <w:t>(Willis</w:t>
      </w:r>
      <w:r>
        <w:rPr>
          <w:rFonts w:cs="Arial"/>
          <w:sz w:val="22"/>
          <w:szCs w:val="22"/>
        </w:rPr>
        <w:t>,</w:t>
      </w:r>
      <w:r w:rsidRPr="00ED34CA">
        <w:rPr>
          <w:rFonts w:cs="Arial"/>
          <w:sz w:val="22"/>
          <w:szCs w:val="22"/>
        </w:rPr>
        <w:t xml:space="preserve"> 2016)</w:t>
      </w:r>
      <w:r w:rsidRPr="00ED34CA">
        <w:rPr>
          <w:rFonts w:cs="Arial"/>
          <w:sz w:val="22"/>
          <w:szCs w:val="22"/>
        </w:rPr>
        <w:fldChar w:fldCharType="end"/>
      </w:r>
      <w:r w:rsidRPr="00ED34CA">
        <w:rPr>
          <w:rFonts w:cs="Arial"/>
          <w:sz w:val="22"/>
          <w:szCs w:val="22"/>
        </w:rPr>
        <w:t>.</w:t>
      </w:r>
    </w:p>
    <w:p w14:paraId="4D9A3704" w14:textId="77777777" w:rsidR="00ED34CA" w:rsidRPr="00ED34CA" w:rsidRDefault="00ED34CA" w:rsidP="00ED34CA">
      <w:pPr>
        <w:ind w:left="0"/>
        <w:rPr>
          <w:rFonts w:cs="Arial"/>
          <w:sz w:val="22"/>
          <w:szCs w:val="22"/>
        </w:rPr>
      </w:pPr>
    </w:p>
    <w:p w14:paraId="52DBA1D2" w14:textId="45899FBA" w:rsidR="00ED34CA" w:rsidRDefault="00ED34CA" w:rsidP="00ED34CA">
      <w:pPr>
        <w:ind w:left="0"/>
        <w:rPr>
          <w:rFonts w:cs="Arial"/>
          <w:sz w:val="22"/>
          <w:szCs w:val="22"/>
        </w:rPr>
      </w:pPr>
      <w:r w:rsidRPr="00ED34CA">
        <w:rPr>
          <w:rFonts w:cs="Arial"/>
          <w:sz w:val="22"/>
          <w:szCs w:val="22"/>
        </w:rPr>
        <w:t>Electrophysiological and behavioural studies on green and loggerhead sea turtles found their hearing frequency range to be approximately 50–2</w:t>
      </w:r>
      <w:r>
        <w:rPr>
          <w:rFonts w:cs="Arial"/>
          <w:sz w:val="22"/>
          <w:szCs w:val="22"/>
        </w:rPr>
        <w:t>,</w:t>
      </w:r>
      <w:r w:rsidRPr="00ED34CA">
        <w:rPr>
          <w:rFonts w:cs="Arial"/>
          <w:sz w:val="22"/>
          <w:szCs w:val="22"/>
        </w:rPr>
        <w:t xml:space="preserve">000 Hz, with highest sensitivity to sounds between 200 and 400 Hz </w:t>
      </w:r>
      <w:r w:rsidRPr="00ED34CA">
        <w:rPr>
          <w:rFonts w:cs="Arial"/>
          <w:sz w:val="22"/>
          <w:szCs w:val="22"/>
        </w:rPr>
        <w:fldChar w:fldCharType="begin"/>
      </w:r>
      <w:r w:rsidRPr="00ED34CA">
        <w:rPr>
          <w:rFonts w:cs="Arial"/>
          <w:sz w:val="22"/>
          <w:szCs w:val="22"/>
        </w:rPr>
        <w:instrText xml:space="preserve"> ADDIN EN.CITE &lt;EndNote&gt;&lt;Cite&gt;&lt;Author&gt;!!! INVALID CITATION !!! (Ridgway et al. 1969, Bartol et al. 1999, Ketten and Bartol 2005, Bartol and Ketten 2006, Yudhana et al. 2010, Piniak et al. 2011, Lavender et al. 2012, Lavender et al. 2014)&lt;/Author&gt;&lt;RecNum&gt;0&lt;/RecNum&gt;&lt;DisplayText&gt;( !!! INVALID CITATION !!! (Ridgway et al. 1969, Bartol et al. 1999, Ketten and Bartol 2005, Bartol and Ketten 2006, Yudhana et al. 2010, Piniak et al. 2011, Lavender et al. 2012, Lavender et al. 2014))&lt;/DisplayText&gt;&lt;record&gt;&lt;dates&gt;&lt;year&gt;!!! INVALID CITATION !!! (Ridgway et al. 1969, Bartol et al. 1999, Ketten and Bartol 2005, Bartol and Ketten 2006, Yudhana et al. 2010, Piniak et al. 2011, Lavender et al. 2012, Lavender et al. 2014)&lt;/year&gt;&lt;/dates&gt;&lt;/record&gt;&lt;/Cite&gt;&lt;/EndNote&gt;</w:instrText>
      </w:r>
      <w:r w:rsidRPr="00ED34CA">
        <w:rPr>
          <w:rFonts w:cs="Arial"/>
          <w:sz w:val="22"/>
          <w:szCs w:val="22"/>
        </w:rPr>
        <w:fldChar w:fldCharType="separate"/>
      </w:r>
      <w:r w:rsidRPr="00ED34CA">
        <w:rPr>
          <w:rFonts w:cs="Arial"/>
          <w:sz w:val="22"/>
          <w:szCs w:val="22"/>
        </w:rPr>
        <w:t xml:space="preserve">(Ridgway </w:t>
      </w:r>
      <w:r w:rsidRPr="00ED34CA">
        <w:rPr>
          <w:rFonts w:cs="Arial"/>
          <w:i/>
          <w:sz w:val="22"/>
          <w:szCs w:val="22"/>
        </w:rPr>
        <w:t>et al.</w:t>
      </w:r>
      <w:r>
        <w:rPr>
          <w:rFonts w:cs="Arial"/>
          <w:sz w:val="22"/>
          <w:szCs w:val="22"/>
        </w:rPr>
        <w:t>,</w:t>
      </w:r>
      <w:r w:rsidRPr="00ED34CA">
        <w:rPr>
          <w:rFonts w:cs="Arial"/>
          <w:sz w:val="22"/>
          <w:szCs w:val="22"/>
        </w:rPr>
        <w:t xml:space="preserve"> 1969, Bartol </w:t>
      </w:r>
      <w:r w:rsidRPr="00ED34CA">
        <w:rPr>
          <w:rFonts w:cs="Arial"/>
          <w:i/>
          <w:sz w:val="22"/>
          <w:szCs w:val="22"/>
        </w:rPr>
        <w:t>et al</w:t>
      </w:r>
      <w:r w:rsidRPr="00ED34CA">
        <w:rPr>
          <w:rFonts w:cs="Arial"/>
          <w:sz w:val="22"/>
          <w:szCs w:val="22"/>
        </w:rPr>
        <w:t>.</w:t>
      </w:r>
      <w:r>
        <w:rPr>
          <w:rFonts w:cs="Arial"/>
          <w:sz w:val="22"/>
          <w:szCs w:val="22"/>
        </w:rPr>
        <w:t>,</w:t>
      </w:r>
      <w:r w:rsidRPr="00ED34CA">
        <w:rPr>
          <w:rFonts w:cs="Arial"/>
          <w:sz w:val="22"/>
          <w:szCs w:val="22"/>
        </w:rPr>
        <w:t xml:space="preserve"> 1999</w:t>
      </w:r>
      <w:r>
        <w:rPr>
          <w:rFonts w:cs="Arial"/>
          <w:sz w:val="22"/>
          <w:szCs w:val="22"/>
        </w:rPr>
        <w:t>;</w:t>
      </w:r>
      <w:r w:rsidRPr="00ED34CA">
        <w:rPr>
          <w:rFonts w:cs="Arial"/>
          <w:sz w:val="22"/>
          <w:szCs w:val="22"/>
        </w:rPr>
        <w:t xml:space="preserve"> Ketten and Bartol</w:t>
      </w:r>
      <w:r>
        <w:rPr>
          <w:rFonts w:cs="Arial"/>
          <w:sz w:val="22"/>
          <w:szCs w:val="22"/>
        </w:rPr>
        <w:t>,</w:t>
      </w:r>
      <w:r w:rsidRPr="00ED34CA">
        <w:rPr>
          <w:rFonts w:cs="Arial"/>
          <w:sz w:val="22"/>
          <w:szCs w:val="22"/>
        </w:rPr>
        <w:t xml:space="preserve"> 2005</w:t>
      </w:r>
      <w:r>
        <w:rPr>
          <w:rFonts w:cs="Arial"/>
          <w:sz w:val="22"/>
          <w:szCs w:val="22"/>
        </w:rPr>
        <w:t>;</w:t>
      </w:r>
      <w:r w:rsidRPr="00ED34CA">
        <w:rPr>
          <w:rFonts w:cs="Arial"/>
          <w:sz w:val="22"/>
          <w:szCs w:val="22"/>
        </w:rPr>
        <w:t xml:space="preserve"> Bartol and Ketten</w:t>
      </w:r>
      <w:r>
        <w:rPr>
          <w:rFonts w:cs="Arial"/>
          <w:sz w:val="22"/>
          <w:szCs w:val="22"/>
        </w:rPr>
        <w:t>,</w:t>
      </w:r>
      <w:r w:rsidRPr="00ED34CA">
        <w:rPr>
          <w:rFonts w:cs="Arial"/>
          <w:sz w:val="22"/>
          <w:szCs w:val="22"/>
        </w:rPr>
        <w:t xml:space="preserve"> 2006</w:t>
      </w:r>
      <w:r>
        <w:rPr>
          <w:rFonts w:cs="Arial"/>
          <w:sz w:val="22"/>
          <w:szCs w:val="22"/>
        </w:rPr>
        <w:t>;</w:t>
      </w:r>
      <w:r w:rsidRPr="00ED34CA">
        <w:rPr>
          <w:rFonts w:cs="Arial"/>
          <w:sz w:val="22"/>
          <w:szCs w:val="22"/>
        </w:rPr>
        <w:t xml:space="preserve"> Yudhana </w:t>
      </w:r>
      <w:r w:rsidRPr="00ED34CA">
        <w:rPr>
          <w:rFonts w:cs="Arial"/>
          <w:i/>
          <w:sz w:val="22"/>
          <w:szCs w:val="22"/>
        </w:rPr>
        <w:t>et al</w:t>
      </w:r>
      <w:r w:rsidRPr="00ED34CA">
        <w:rPr>
          <w:rFonts w:cs="Arial"/>
          <w:sz w:val="22"/>
          <w:szCs w:val="22"/>
        </w:rPr>
        <w:t>.</w:t>
      </w:r>
      <w:r>
        <w:rPr>
          <w:rFonts w:cs="Arial"/>
          <w:sz w:val="22"/>
          <w:szCs w:val="22"/>
        </w:rPr>
        <w:t>,</w:t>
      </w:r>
      <w:r w:rsidRPr="00ED34CA">
        <w:rPr>
          <w:rFonts w:cs="Arial"/>
          <w:sz w:val="22"/>
          <w:szCs w:val="22"/>
        </w:rPr>
        <w:t xml:space="preserve"> 2010, Piniak </w:t>
      </w:r>
      <w:r w:rsidRPr="00ED34CA">
        <w:rPr>
          <w:rFonts w:cs="Arial"/>
          <w:i/>
          <w:sz w:val="22"/>
          <w:szCs w:val="22"/>
        </w:rPr>
        <w:t>et al</w:t>
      </w:r>
      <w:r w:rsidRPr="00ED34CA">
        <w:rPr>
          <w:rFonts w:cs="Arial"/>
          <w:sz w:val="22"/>
          <w:szCs w:val="22"/>
        </w:rPr>
        <w:t>.</w:t>
      </w:r>
      <w:r>
        <w:rPr>
          <w:rFonts w:cs="Arial"/>
          <w:sz w:val="22"/>
          <w:szCs w:val="22"/>
        </w:rPr>
        <w:t>,</w:t>
      </w:r>
      <w:r w:rsidRPr="00ED34CA">
        <w:rPr>
          <w:rFonts w:cs="Arial"/>
          <w:sz w:val="22"/>
          <w:szCs w:val="22"/>
        </w:rPr>
        <w:t xml:space="preserve"> 2011, Lavender </w:t>
      </w:r>
      <w:r w:rsidRPr="00ED34CA">
        <w:rPr>
          <w:rFonts w:cs="Arial"/>
          <w:i/>
          <w:sz w:val="22"/>
          <w:szCs w:val="22"/>
        </w:rPr>
        <w:t>et al</w:t>
      </w:r>
      <w:r w:rsidRPr="00ED34CA">
        <w:rPr>
          <w:rFonts w:cs="Arial"/>
          <w:sz w:val="22"/>
          <w:szCs w:val="22"/>
        </w:rPr>
        <w:t>.</w:t>
      </w:r>
      <w:r>
        <w:rPr>
          <w:rFonts w:cs="Arial"/>
          <w:sz w:val="22"/>
          <w:szCs w:val="22"/>
        </w:rPr>
        <w:t>,</w:t>
      </w:r>
      <w:r w:rsidRPr="00ED34CA">
        <w:rPr>
          <w:rFonts w:cs="Arial"/>
          <w:sz w:val="22"/>
          <w:szCs w:val="22"/>
        </w:rPr>
        <w:t xml:space="preserve"> 2012, Lavender </w:t>
      </w:r>
      <w:r w:rsidRPr="00ED34CA">
        <w:rPr>
          <w:rFonts w:cs="Arial"/>
          <w:i/>
          <w:sz w:val="22"/>
          <w:szCs w:val="22"/>
        </w:rPr>
        <w:t xml:space="preserve">et </w:t>
      </w:r>
      <w:r w:rsidRPr="004F36FD">
        <w:rPr>
          <w:rFonts w:cs="Arial"/>
          <w:i/>
          <w:sz w:val="22"/>
          <w:szCs w:val="22"/>
        </w:rPr>
        <w:t>al</w:t>
      </w:r>
      <w:r w:rsidRPr="00ED34CA">
        <w:rPr>
          <w:rFonts w:cs="Arial"/>
          <w:sz w:val="22"/>
          <w:szCs w:val="22"/>
        </w:rPr>
        <w:t>.</w:t>
      </w:r>
      <w:r>
        <w:rPr>
          <w:rFonts w:cs="Arial"/>
          <w:sz w:val="22"/>
          <w:szCs w:val="22"/>
        </w:rPr>
        <w:t>,</w:t>
      </w:r>
      <w:r w:rsidRPr="00ED34CA">
        <w:rPr>
          <w:rFonts w:cs="Arial"/>
          <w:sz w:val="22"/>
          <w:szCs w:val="22"/>
        </w:rPr>
        <w:t xml:space="preserve"> 2014))</w:t>
      </w:r>
      <w:r w:rsidRPr="00ED34CA">
        <w:rPr>
          <w:rFonts w:cs="Arial"/>
          <w:sz w:val="22"/>
          <w:szCs w:val="22"/>
        </w:rPr>
        <w:fldChar w:fldCharType="end"/>
      </w:r>
      <w:r w:rsidRPr="00ED34CA">
        <w:rPr>
          <w:rFonts w:cs="Arial"/>
          <w:sz w:val="22"/>
          <w:szCs w:val="22"/>
        </w:rPr>
        <w:t xml:space="preserve">, although these studies were all conducted in-air. Underwater audiograms are only available for three species. Two of these species, the red-eared slider </w:t>
      </w:r>
      <w:r w:rsidRPr="00ED34CA">
        <w:rPr>
          <w:rFonts w:cs="Arial"/>
          <w:sz w:val="22"/>
          <w:szCs w:val="22"/>
        </w:rPr>
        <w:fldChar w:fldCharType="begin"/>
      </w:r>
      <w:r w:rsidRPr="00ED34CA">
        <w:rPr>
          <w:rFonts w:cs="Arial"/>
          <w:sz w:val="22"/>
          <w:szCs w:val="22"/>
        </w:rPr>
        <w:instrText xml:space="preserve"> ADDIN EN.CITE &lt;EndNote&gt;&lt;Cite&gt;&lt;Author&gt;!!! INVALID CITATION !!! (Christensen-Dalsgaard et al. 2012)&lt;/Author&gt;&lt;RecNum&gt;0&lt;/RecNum&gt;&lt;DisplayText&gt;( !!! INVALID CITATION !!! (Christensen-Dalsgaard et al. 2012))&lt;/DisplayText&gt;&lt;record&gt;&lt;dates&gt;&lt;year&gt;!!! INVALID CITATION !!! (Christensen-Dalsgaard et al. 2012)&lt;/year&gt;&lt;/dates&gt;&lt;/record&gt;&lt;/Cite&gt;&lt;/EndNote&gt;</w:instrText>
      </w:r>
      <w:r w:rsidRPr="00ED34CA">
        <w:rPr>
          <w:rFonts w:cs="Arial"/>
          <w:sz w:val="22"/>
          <w:szCs w:val="22"/>
        </w:rPr>
        <w:fldChar w:fldCharType="separate"/>
      </w:r>
      <w:r w:rsidRPr="00ED34CA">
        <w:rPr>
          <w:rFonts w:cs="Arial"/>
          <w:sz w:val="22"/>
          <w:szCs w:val="22"/>
        </w:rPr>
        <w:t xml:space="preserve">(Christensen-Dalsgaard </w:t>
      </w:r>
      <w:r w:rsidRPr="00ED34CA">
        <w:rPr>
          <w:rFonts w:cs="Arial"/>
          <w:i/>
          <w:sz w:val="22"/>
          <w:szCs w:val="22"/>
        </w:rPr>
        <w:t>et al</w:t>
      </w:r>
      <w:r w:rsidRPr="00ED34CA">
        <w:rPr>
          <w:rFonts w:cs="Arial"/>
          <w:sz w:val="22"/>
          <w:szCs w:val="22"/>
        </w:rPr>
        <w:t>.</w:t>
      </w:r>
      <w:r>
        <w:rPr>
          <w:rFonts w:cs="Arial"/>
          <w:sz w:val="22"/>
          <w:szCs w:val="22"/>
        </w:rPr>
        <w:t>,</w:t>
      </w:r>
      <w:r w:rsidRPr="00ED34CA">
        <w:rPr>
          <w:rFonts w:cs="Arial"/>
          <w:sz w:val="22"/>
          <w:szCs w:val="22"/>
        </w:rPr>
        <w:t xml:space="preserve"> </w:t>
      </w:r>
      <w:r w:rsidRPr="00ED34CA">
        <w:rPr>
          <w:rFonts w:cs="Arial"/>
          <w:sz w:val="22"/>
          <w:szCs w:val="22"/>
        </w:rPr>
        <w:lastRenderedPageBreak/>
        <w:t>2012)</w:t>
      </w:r>
      <w:r w:rsidRPr="00ED34CA">
        <w:rPr>
          <w:rFonts w:cs="Arial"/>
          <w:sz w:val="22"/>
          <w:szCs w:val="22"/>
        </w:rPr>
        <w:fldChar w:fldCharType="end"/>
      </w:r>
      <w:r w:rsidRPr="00ED34CA">
        <w:rPr>
          <w:rFonts w:cs="Arial"/>
          <w:sz w:val="22"/>
          <w:szCs w:val="22"/>
        </w:rPr>
        <w:t xml:space="preserve">, the loggerhead turtle </w:t>
      </w:r>
      <w:r w:rsidRPr="00ED34CA">
        <w:rPr>
          <w:rFonts w:cs="Arial"/>
          <w:sz w:val="22"/>
          <w:szCs w:val="22"/>
        </w:rPr>
        <w:fldChar w:fldCharType="begin"/>
      </w:r>
      <w:r w:rsidRPr="00ED34CA">
        <w:rPr>
          <w:rFonts w:cs="Arial"/>
          <w:sz w:val="22"/>
          <w:szCs w:val="22"/>
        </w:rPr>
        <w:instrText xml:space="preserve"> ADDIN EN.CITE &lt;EndNote&gt;&lt;Cite&gt;&lt;Author&gt;Martin&lt;/Author&gt;&lt;Year&gt;2012&lt;/Year&gt;&lt;RecNum&gt;23332&lt;/RecNum&gt;&lt;DisplayText&gt;(Martin et al. 2012)&lt;/DisplayText&gt;&lt;record&gt;&lt;rec-number&gt;23332&lt;/rec-number&gt;&lt;foreign-keys&gt;&lt;key app="EN" db-id="avrwfx0posesv7e0p5ixzsx0ssp0v09v222p" timestamp="1461004592"&gt;23332&lt;/key&gt;&lt;/foreign-keys&gt;&lt;ref-type name="Journal Article"&gt;17&lt;/ref-type&gt;&lt;contributors&gt;&lt;authors&gt;&lt;author&gt;Martin, Kelly J.&lt;/author&gt;&lt;author&gt;Alessi, Sarah C.&lt;/author&gt;&lt;author&gt;Gaspard, Joseph C.&lt;/author&gt;&lt;author&gt;Tucker, Anton D.&lt;/author&gt;&lt;author&gt;Bauer, Gordon B.&lt;/author&gt;&lt;author&gt;Mann, David A.&lt;/author&gt;&lt;/authors&gt;&lt;/contributors&gt;&lt;titles&gt;&lt;title&gt;&lt;style face="normal" font="default" size="100%"&gt;Underwater hearing in the loggerhead turtle (&lt;/style&gt;&lt;style face="italic" font="default" size="100%"&gt;Caretta caretta&lt;/style&gt;&lt;style face="normal" font="default" size="100%"&gt;): A comparison of behavioral and auditory evoked potential audiograms&lt;/style&gt;&lt;/title&gt;&lt;secondary-title&gt;Journal of Experimental Biology&lt;/secondary-title&gt;&lt;/titles&gt;&lt;periodical&gt;&lt;full-title&gt;Journal of Experimental Biology&lt;/full-title&gt;&lt;abbr-1&gt;J. Exp. Biol.&lt;/abbr-1&gt;&lt;abbr-2&gt;J Exp Biol&lt;/abbr-2&gt;&lt;/periodical&gt;&lt;pages&gt;3001-3009&lt;/pages&gt;&lt;volume&gt;215&lt;/volume&gt;&lt;number&gt;17&lt;/number&gt;&lt;dates&gt;&lt;year&gt;2012&lt;/year&gt;&lt;pub-dates&gt;&lt;date&gt;September 1, 2012&lt;/date&gt;&lt;/pub-dates&gt;&lt;/dates&gt;&lt;urls&gt;&lt;related-urls&gt;&lt;url&gt;http://jeb.biologists.org/content/jexbio/215/17/3001.full.pdf&lt;/url&gt;&lt;/related-urls&gt;&lt;/urls&gt;&lt;electronic-resource-num&gt;10.1242/jeb.066324&lt;/electronic-resource-num&gt;&lt;/record&gt;&lt;/Cite&gt;&lt;/EndNote&gt;</w:instrText>
      </w:r>
      <w:r w:rsidRPr="00ED34CA">
        <w:rPr>
          <w:rFonts w:cs="Arial"/>
          <w:sz w:val="22"/>
          <w:szCs w:val="22"/>
        </w:rPr>
        <w:fldChar w:fldCharType="separate"/>
      </w:r>
      <w:r w:rsidRPr="00ED34CA">
        <w:rPr>
          <w:rFonts w:cs="Arial"/>
          <w:sz w:val="22"/>
          <w:szCs w:val="22"/>
        </w:rPr>
        <w:t xml:space="preserve">(Martin </w:t>
      </w:r>
      <w:r w:rsidRPr="00ED34CA">
        <w:rPr>
          <w:rFonts w:cs="Arial"/>
          <w:i/>
          <w:sz w:val="22"/>
          <w:szCs w:val="22"/>
        </w:rPr>
        <w:t>et al</w:t>
      </w:r>
      <w:r w:rsidRPr="00ED34CA">
        <w:rPr>
          <w:rFonts w:cs="Arial"/>
          <w:sz w:val="22"/>
          <w:szCs w:val="22"/>
        </w:rPr>
        <w:t>.</w:t>
      </w:r>
      <w:r>
        <w:rPr>
          <w:rFonts w:cs="Arial"/>
          <w:sz w:val="22"/>
          <w:szCs w:val="22"/>
        </w:rPr>
        <w:t>,</w:t>
      </w:r>
      <w:r w:rsidRPr="00ED34CA">
        <w:rPr>
          <w:rFonts w:cs="Arial"/>
          <w:sz w:val="22"/>
          <w:szCs w:val="22"/>
        </w:rPr>
        <w:t xml:space="preserve"> 2012)</w:t>
      </w:r>
      <w:r w:rsidRPr="00ED34CA">
        <w:rPr>
          <w:rFonts w:cs="Arial"/>
          <w:sz w:val="22"/>
          <w:szCs w:val="22"/>
        </w:rPr>
        <w:fldChar w:fldCharType="end"/>
      </w:r>
      <w:r w:rsidRPr="00ED34CA">
        <w:rPr>
          <w:rFonts w:cs="Arial"/>
          <w:sz w:val="22"/>
          <w:szCs w:val="22"/>
        </w:rPr>
        <w:t xml:space="preserve">, both demonstrated higher sensitivity at around 500 Hz </w:t>
      </w:r>
      <w:r w:rsidRPr="00ED34CA">
        <w:rPr>
          <w:rFonts w:cs="Arial"/>
          <w:sz w:val="22"/>
          <w:szCs w:val="22"/>
        </w:rPr>
        <w:fldChar w:fldCharType="begin"/>
      </w:r>
      <w:r w:rsidRPr="00ED34CA">
        <w:rPr>
          <w:rFonts w:cs="Arial"/>
          <w:sz w:val="22"/>
          <w:szCs w:val="22"/>
        </w:rPr>
        <w:instrText xml:space="preserve"> ADDIN EN.CITE &lt;EndNote&gt;&lt;Cite&gt;&lt;Author&gt;Willis&lt;/Author&gt;&lt;Year&gt;2016&lt;/Year&gt;&lt;RecNum&gt;23410&lt;/RecNum&gt;&lt;DisplayText&gt;(Willis 2016)&lt;/DisplayText&gt;&lt;record&gt;&lt;rec-number&gt;23410&lt;/rec-number&gt;&lt;foreign-keys&gt;&lt;key app="EN" db-id="avrwfx0posesv7e0p5ixzsx0ssp0v09v222p" timestamp="1461004593"&gt;23410&lt;/key&gt;&lt;/foreign-keys&gt;&lt;ref-type name="Book Section"&gt;5&lt;/ref-type&gt;&lt;contributors&gt;&lt;authors&gt;&lt;author&gt;Willis, Katie L.&lt;/author&gt;&lt;/authors&gt;&lt;secondary-authors&gt;&lt;author&gt;Popper, N. Arthur&lt;/author&gt;&lt;author&gt;Hawkins, Anthony&lt;/author&gt;&lt;/secondary-authors&gt;&lt;/contributors&gt;&lt;titles&gt;&lt;title&gt;Underwater Hearing in Turtles&lt;/title&gt;&lt;secondary-title&gt;The Effects of Noise on Aquatic Life II&lt;/secondary-title&gt;&lt;/titles&gt;&lt;pages&gt;1229-1235&lt;/pages&gt;&lt;dates&gt;&lt;year&gt;2016&lt;/year&gt;&lt;/dates&gt;&lt;pub-location&gt;New York, NY&lt;/pub-location&gt;&lt;publisher&gt;Springer New York&lt;/publisher&gt;&lt;isbn&gt;978-1-4939-2981-8&lt;/isbn&gt;&lt;label&gt;Willis2016&lt;/label&gt;&lt;urls&gt;&lt;related-urls&gt;&lt;url&gt;http://dx.doi.org/10.1007/978-1-4939-2981-8_154&lt;/url&gt;&lt;/related-urls&gt;&lt;/urls&gt;&lt;electronic-resource-num&gt;10.1007/978-1-4939-2981-8_154&lt;/electronic-resource-num&gt;&lt;/record&gt;&lt;/Cite&gt;&lt;/EndNote&gt;</w:instrText>
      </w:r>
      <w:r w:rsidRPr="00ED34CA">
        <w:rPr>
          <w:rFonts w:cs="Arial"/>
          <w:sz w:val="22"/>
          <w:szCs w:val="22"/>
        </w:rPr>
        <w:fldChar w:fldCharType="separate"/>
      </w:r>
      <w:r w:rsidRPr="00ED34CA">
        <w:rPr>
          <w:rFonts w:cs="Arial"/>
          <w:sz w:val="22"/>
          <w:szCs w:val="22"/>
        </w:rPr>
        <w:t>(Willis</w:t>
      </w:r>
      <w:r>
        <w:rPr>
          <w:rFonts w:cs="Arial"/>
          <w:sz w:val="22"/>
          <w:szCs w:val="22"/>
        </w:rPr>
        <w:t>,</w:t>
      </w:r>
      <w:r w:rsidRPr="00ED34CA">
        <w:rPr>
          <w:rFonts w:cs="Arial"/>
          <w:sz w:val="22"/>
          <w:szCs w:val="22"/>
        </w:rPr>
        <w:t xml:space="preserve"> 2016)</w:t>
      </w:r>
      <w:r w:rsidRPr="00ED34CA">
        <w:rPr>
          <w:rFonts w:cs="Arial"/>
          <w:sz w:val="22"/>
          <w:szCs w:val="22"/>
        </w:rPr>
        <w:fldChar w:fldCharType="end"/>
      </w:r>
      <w:r w:rsidRPr="00ED34CA">
        <w:rPr>
          <w:rFonts w:cs="Arial"/>
          <w:sz w:val="22"/>
          <w:szCs w:val="22"/>
        </w:rPr>
        <w:t xml:space="preserve">. Recent work on green turtles has refined their maximum underwater sensitivity to be between 200 and 400 Hz </w:t>
      </w:r>
      <w:r w:rsidRPr="00ED34CA">
        <w:rPr>
          <w:rFonts w:cs="Arial"/>
          <w:sz w:val="22"/>
          <w:szCs w:val="22"/>
        </w:rPr>
        <w:fldChar w:fldCharType="begin"/>
      </w:r>
      <w:r w:rsidRPr="00ED34CA">
        <w:rPr>
          <w:rFonts w:cs="Arial"/>
          <w:sz w:val="22"/>
          <w:szCs w:val="22"/>
        </w:rPr>
        <w:instrText xml:space="preserve"> ADDIN EN.CITE &lt;EndNote&gt;&lt;Cite&gt;&lt;Author&gt;Piniak&lt;/Author&gt;&lt;Year&gt;2016&lt;/Year&gt;&lt;RecNum&gt;15&lt;/RecNum&gt;&lt;DisplayText&gt;(Piniak et al. 2016)&lt;/DisplayText&gt;&lt;record&gt;&lt;rec-number&gt;15&lt;/rec-number&gt;&lt;foreign-keys&gt;&lt;key app="EN" db-id="dxp299xd5t5srserswtvz9vfewxtrzaaa2r2" timestamp="1485306838"&gt;15&lt;/key&gt;&lt;/foreign-keys&gt;&lt;ref-type name="Journal Article"&gt;17&lt;/ref-type&gt;&lt;contributors&gt;&lt;authors&gt;&lt;author&gt;Piniak, Wendy E. D.&lt;/author&gt;&lt;author&gt;Mann, David A.&lt;/author&gt;&lt;author&gt;Harms, Craig A.&lt;/author&gt;&lt;author&gt;Jones, T. Todd&lt;/author&gt;&lt;author&gt;Eckert, Scott A.&lt;/author&gt;&lt;/authors&gt;&lt;/contributors&gt;&lt;titles&gt;&lt;title&gt;Hearing in the Juvenile Green Sea Turtle (Chelonia mydas): A Comparison of Underwater and Aerial Hearing Using Auditory Evoked Potentials&lt;/title&gt;&lt;secondary-title&gt;PLOS ONE&lt;/secondary-title&gt;&lt;/titles&gt;&lt;periodical&gt;&lt;full-title&gt;PLOS ONE&lt;/full-title&gt;&lt;/periodical&gt;&lt;pages&gt;e0159711&lt;/pages&gt;&lt;volume&gt;11&lt;/volume&gt;&lt;number&gt;10&lt;/number&gt;&lt;dates&gt;&lt;year&gt;2016&lt;/year&gt;&lt;/dates&gt;&lt;publisher&gt;Public Library of Science&lt;/publisher&gt;&lt;urls&gt;&lt;related-urls&gt;&lt;url&gt;http://dx.doi.org/10.1371%2Fjournal.pone.0159711&lt;/url&gt;&lt;/related-urls&gt;&lt;/urls&gt;&lt;electronic-resource-num&gt;10.1371/journal.pone.0159711&lt;/electronic-resource-num&gt;&lt;/record&gt;&lt;/Cite&gt;&lt;/EndNote&gt;</w:instrText>
      </w:r>
      <w:r w:rsidRPr="00ED34CA">
        <w:rPr>
          <w:rFonts w:cs="Arial"/>
          <w:sz w:val="22"/>
          <w:szCs w:val="22"/>
        </w:rPr>
        <w:fldChar w:fldCharType="separate"/>
      </w:r>
      <w:r w:rsidRPr="00ED34CA">
        <w:rPr>
          <w:rFonts w:cs="Arial"/>
          <w:sz w:val="22"/>
          <w:szCs w:val="22"/>
        </w:rPr>
        <w:t xml:space="preserve">(Piniak </w:t>
      </w:r>
      <w:r w:rsidRPr="00ED34CA">
        <w:rPr>
          <w:rFonts w:cs="Arial"/>
          <w:i/>
          <w:sz w:val="22"/>
          <w:szCs w:val="22"/>
        </w:rPr>
        <w:t>et al</w:t>
      </w:r>
      <w:r w:rsidRPr="00ED34CA">
        <w:rPr>
          <w:rFonts w:cs="Arial"/>
          <w:sz w:val="22"/>
          <w:szCs w:val="22"/>
        </w:rPr>
        <w:t>.</w:t>
      </w:r>
      <w:r>
        <w:rPr>
          <w:rFonts w:cs="Arial"/>
          <w:sz w:val="22"/>
          <w:szCs w:val="22"/>
        </w:rPr>
        <w:t>,</w:t>
      </w:r>
      <w:r w:rsidRPr="00ED34CA">
        <w:rPr>
          <w:rFonts w:cs="Arial"/>
          <w:sz w:val="22"/>
          <w:szCs w:val="22"/>
        </w:rPr>
        <w:t xml:space="preserve"> 2016)</w:t>
      </w:r>
      <w:r w:rsidRPr="00ED34CA">
        <w:rPr>
          <w:rFonts w:cs="Arial"/>
          <w:sz w:val="22"/>
          <w:szCs w:val="22"/>
        </w:rPr>
        <w:fldChar w:fldCharType="end"/>
      </w:r>
      <w:r w:rsidRPr="00ED34CA">
        <w:rPr>
          <w:rFonts w:cs="Arial"/>
          <w:sz w:val="22"/>
          <w:szCs w:val="22"/>
        </w:rPr>
        <w:t xml:space="preserve">. </w:t>
      </w:r>
      <w:r w:rsidRPr="00ED34CA">
        <w:rPr>
          <w:rFonts w:cs="Arial"/>
          <w:sz w:val="22"/>
          <w:szCs w:val="22"/>
        </w:rPr>
        <w:fldChar w:fldCharType="begin"/>
      </w:r>
      <w:r w:rsidRPr="00ED34CA">
        <w:rPr>
          <w:rFonts w:cs="Arial"/>
          <w:sz w:val="22"/>
          <w:szCs w:val="22"/>
        </w:rPr>
        <w:instrText xml:space="preserve"> ADDIN EN.CITE &lt;EndNote&gt;&lt;Cite&gt;&lt;Author&gt;Yudhana&lt;/Author&gt;&lt;Year&gt;2010&lt;/Year&gt;&lt;RecNum&gt;19693&lt;/RecNum&gt;&lt;DisplayText&gt;(Yudhana et al. 2010)&lt;/DisplayText&gt;&lt;record&gt;&lt;rec-number&gt;19693&lt;/rec-number&gt;&lt;foreign-keys&gt;&lt;key app="EN" db-id="avrwfx0posesv7e0p5ixzsx0ssp0v09v222p" timestamp="1386961806"&gt;19693&lt;/key&gt;&lt;/foreign-keys&gt;&lt;ref-type name="Journal Article"&gt;17&lt;/ref-type&gt;&lt;contributors&gt;&lt;authors&gt;&lt;author&gt;Yudhana, Anton&lt;/author&gt;&lt;author&gt;Sunardi, Jafri Din&lt;/author&gt;&lt;author&gt;Abdullah, Syed&lt;/author&gt;&lt;author&gt;Hassan, Raja Bidin Raja&lt;/author&gt;&lt;/authors&gt;&lt;/contributors&gt;&lt;titles&gt;&lt;title&gt;Turtle hearing capability based on ABR signal assessment&lt;/title&gt;&lt;secondary-title&gt;Telkomnika&lt;/secondary-title&gt;&lt;/titles&gt;&lt;periodical&gt;&lt;full-title&gt;Telkomnika&lt;/full-title&gt;&lt;/periodical&gt;&lt;pages&gt;187-194&lt;/pages&gt;&lt;volume&gt;8&lt;/volume&gt;&lt;dates&gt;&lt;year&gt;2010&lt;/year&gt;&lt;/dates&gt;&lt;urls&gt;&lt;/urls&gt;&lt;/record&gt;&lt;/Cite&gt;&lt;/EndNote&gt;</w:instrText>
      </w:r>
      <w:r w:rsidRPr="00ED34CA">
        <w:rPr>
          <w:rFonts w:cs="Arial"/>
          <w:sz w:val="22"/>
          <w:szCs w:val="22"/>
        </w:rPr>
        <w:fldChar w:fldCharType="separate"/>
      </w:r>
      <w:r w:rsidRPr="00ED34CA">
        <w:rPr>
          <w:rFonts w:cs="Arial"/>
          <w:sz w:val="22"/>
          <w:szCs w:val="22"/>
        </w:rPr>
        <w:t xml:space="preserve">Yudhana et al </w:t>
      </w:r>
      <w:r>
        <w:rPr>
          <w:rFonts w:cs="Arial"/>
          <w:sz w:val="22"/>
          <w:szCs w:val="22"/>
        </w:rPr>
        <w:t>(</w:t>
      </w:r>
      <w:r w:rsidRPr="00ED34CA">
        <w:rPr>
          <w:rFonts w:cs="Arial"/>
          <w:sz w:val="22"/>
          <w:szCs w:val="22"/>
        </w:rPr>
        <w:t>2010</w:t>
      </w:r>
      <w:r w:rsidRPr="00ED34CA">
        <w:rPr>
          <w:rFonts w:cs="Arial"/>
          <w:sz w:val="22"/>
          <w:szCs w:val="22"/>
        </w:rPr>
        <w:fldChar w:fldCharType="end"/>
      </w:r>
      <w:r>
        <w:rPr>
          <w:rFonts w:cs="Arial"/>
          <w:sz w:val="22"/>
          <w:szCs w:val="22"/>
        </w:rPr>
        <w:t>)</w:t>
      </w:r>
      <w:r w:rsidRPr="00ED34CA">
        <w:rPr>
          <w:rFonts w:cs="Arial"/>
          <w:sz w:val="22"/>
          <w:szCs w:val="22"/>
        </w:rPr>
        <w:t xml:space="preserve"> measured auditory brainstem responses from two hawksbill turtles in Malaysia and found that peak frequency sensitivity occurred at 457 Hz in one turtle and at 508 Hz in the other.</w:t>
      </w:r>
    </w:p>
    <w:p w14:paraId="4BC16A80" w14:textId="77777777" w:rsidR="00ED34CA" w:rsidRPr="00ED34CA" w:rsidRDefault="00ED34CA" w:rsidP="00ED34CA">
      <w:pPr>
        <w:ind w:left="0"/>
        <w:rPr>
          <w:rFonts w:cs="Arial"/>
          <w:sz w:val="22"/>
          <w:szCs w:val="22"/>
        </w:rPr>
      </w:pPr>
    </w:p>
    <w:p w14:paraId="4EDBD26D" w14:textId="1B858653" w:rsidR="00ED34CA" w:rsidRDefault="00ED34CA" w:rsidP="00ED34CA">
      <w:pPr>
        <w:ind w:left="0"/>
        <w:rPr>
          <w:rFonts w:cs="Arial"/>
          <w:sz w:val="22"/>
          <w:szCs w:val="22"/>
        </w:rPr>
      </w:pPr>
      <w:r w:rsidRPr="00ED34CA">
        <w:rPr>
          <w:rFonts w:cs="Arial"/>
          <w:sz w:val="22"/>
          <w:szCs w:val="22"/>
        </w:rPr>
        <w:fldChar w:fldCharType="begin"/>
      </w:r>
      <w:r w:rsidRPr="00ED34CA">
        <w:rPr>
          <w:rFonts w:cs="Arial"/>
          <w:sz w:val="22"/>
          <w:szCs w:val="22"/>
        </w:rPr>
        <w:instrText xml:space="preserve"> ADDIN EN.CITE &lt;EndNote&gt;&lt;Cite AuthorYear="1"&gt;&lt;Author&gt;Nelms&lt;/Author&gt;&lt;Year&gt;2016&lt;/Year&gt;&lt;RecNum&gt;22723&lt;/RecNum&gt;&lt;DisplayText&gt;Nelms et al. (2016)&lt;/DisplayText&gt;&lt;record&gt;&lt;rec-number&gt;22723&lt;/rec-number&gt;&lt;foreign-keys&gt;&lt;key app="EN" db-id="avrwfx0posesv7e0p5ixzsx0ssp0v09v222p" timestamp="1456782846"&gt;22723&lt;/key&gt;&lt;/foreign-keys&gt;&lt;ref-type name="Journal Article"&gt;17&lt;/ref-type&gt;&lt;contributors&gt;&lt;authors&gt;&lt;author&gt;Nelms, Sarah E&lt;/author&gt;&lt;author&gt;Piniak, Wendy ED&lt;/author&gt;&lt;author&gt;Weir, Caroline R&lt;/author&gt;&lt;author&gt;Godley, Brendan J&lt;/author&gt;&lt;/authors&gt;&lt;/contributors&gt;&lt;titles&gt;&lt;title&gt;Seismic surveys and marine turtles: An underestimated global threat?&lt;/title&gt;&lt;secondary-title&gt;Biological Conservation&lt;/secondary-title&gt;&lt;/titles&gt;&lt;periodical&gt;&lt;full-title&gt;Biological Conservation&lt;/full-title&gt;&lt;abbr-1&gt;Biol. Conserv.&lt;/abbr-1&gt;&lt;abbr-2&gt;Biol Conserv&lt;/abbr-2&gt;&lt;/periodical&gt;&lt;pages&gt;49-65&lt;/pages&gt;&lt;volume&gt;193&lt;/volume&gt;&lt;dates&gt;&lt;year&gt;2016&lt;/year&gt;&lt;/dates&gt;&lt;isbn&gt;0006-3207&lt;/isbn&gt;&lt;urls&gt;&lt;/urls&gt;&lt;/record&gt;&lt;/Cite&gt;&lt;/EndNote&gt;</w:instrText>
      </w:r>
      <w:r w:rsidRPr="00ED34CA">
        <w:rPr>
          <w:rFonts w:cs="Arial"/>
          <w:sz w:val="22"/>
          <w:szCs w:val="22"/>
        </w:rPr>
        <w:fldChar w:fldCharType="separate"/>
      </w:r>
      <w:r w:rsidRPr="00ED34CA">
        <w:rPr>
          <w:rFonts w:cs="Arial"/>
          <w:sz w:val="22"/>
          <w:szCs w:val="22"/>
        </w:rPr>
        <w:t>Nelms et al (2016)</w:t>
      </w:r>
      <w:r w:rsidRPr="00ED34CA">
        <w:rPr>
          <w:rFonts w:cs="Arial"/>
          <w:sz w:val="22"/>
          <w:szCs w:val="22"/>
        </w:rPr>
        <w:fldChar w:fldCharType="end"/>
      </w:r>
      <w:r w:rsidRPr="00ED34CA">
        <w:rPr>
          <w:rFonts w:cs="Arial"/>
          <w:sz w:val="22"/>
          <w:szCs w:val="22"/>
        </w:rPr>
        <w:t xml:space="preserve"> conducted a review of seismic surveys and turtles </w:t>
      </w:r>
      <w:r>
        <w:rPr>
          <w:rFonts w:cs="Arial"/>
          <w:sz w:val="22"/>
          <w:szCs w:val="22"/>
        </w:rPr>
        <w:t>that</w:t>
      </w:r>
      <w:r w:rsidRPr="00ED34CA">
        <w:rPr>
          <w:rFonts w:cs="Arial"/>
          <w:sz w:val="22"/>
          <w:szCs w:val="22"/>
        </w:rPr>
        <w:t xml:space="preserve"> considers the studies detailed below. A common theme is the complex nature of the studies, from the interpretation of behavioural responses, determining responses due to airguns or vessel noise/presence, through to difficulties in visually detecting animals. Most studies looking at the effect of seismic noise on marine turtles have focused on behavioural responses</w:t>
      </w:r>
      <w:r w:rsidR="00BE2CFA">
        <w:rPr>
          <w:rFonts w:cs="Arial"/>
          <w:sz w:val="22"/>
          <w:szCs w:val="22"/>
        </w:rPr>
        <w:t xml:space="preserve"> given that </w:t>
      </w:r>
      <w:r w:rsidRPr="00ED34CA">
        <w:rPr>
          <w:rFonts w:cs="Arial"/>
          <w:sz w:val="22"/>
          <w:szCs w:val="22"/>
        </w:rPr>
        <w:t>physiological impacts are more difficult to observe in living animals.</w:t>
      </w:r>
    </w:p>
    <w:p w14:paraId="3EC5D00A" w14:textId="77777777" w:rsidR="00ED34CA" w:rsidRPr="00ED34CA" w:rsidRDefault="00ED34CA" w:rsidP="00ED34CA">
      <w:pPr>
        <w:ind w:left="0"/>
        <w:rPr>
          <w:rFonts w:cs="Arial"/>
          <w:sz w:val="22"/>
          <w:szCs w:val="22"/>
        </w:rPr>
      </w:pPr>
    </w:p>
    <w:p w14:paraId="622470F8" w14:textId="4ADCAE51" w:rsidR="00ED34CA" w:rsidRPr="00ED34CA" w:rsidRDefault="00ED34CA" w:rsidP="00ED34CA">
      <w:pPr>
        <w:ind w:left="0"/>
        <w:rPr>
          <w:rFonts w:cs="Arial"/>
          <w:sz w:val="22"/>
          <w:szCs w:val="22"/>
        </w:rPr>
      </w:pPr>
      <w:r w:rsidRPr="00ED34CA">
        <w:rPr>
          <w:rFonts w:cs="Arial"/>
          <w:sz w:val="22"/>
          <w:szCs w:val="22"/>
        </w:rPr>
        <w:t xml:space="preserve">Sea turtles have been shown to avoid low-frequency sounds </w:t>
      </w:r>
      <w:r w:rsidRPr="00ED34CA">
        <w:rPr>
          <w:rFonts w:cs="Arial"/>
          <w:sz w:val="22"/>
          <w:szCs w:val="22"/>
        </w:rPr>
        <w:fldChar w:fldCharType="begin"/>
      </w:r>
      <w:r w:rsidRPr="00ED34CA">
        <w:rPr>
          <w:rFonts w:cs="Arial"/>
          <w:sz w:val="22"/>
          <w:szCs w:val="22"/>
        </w:rPr>
        <w:instrText xml:space="preserve"> ADDIN EN.CITE &lt;EndNote&gt;&lt;Cite&gt;&lt;Author&gt;Lenhardt&lt;/Author&gt;&lt;Year&gt;1994&lt;/Year&gt;&lt;RecNum&gt;19019&lt;/RecNum&gt;&lt;DisplayText&gt;(Lenhardt 1994)&lt;/DisplayText&gt;&lt;record&gt;&lt;rec-number&gt;19019&lt;/rec-number&gt;&lt;foreign-keys&gt;&lt;key app="EN" db-id="avrwfx0posesv7e0p5ixzsx0ssp0v09v222p" timestamp="1386961784"&gt;19019&lt;/key&gt;&lt;/foreign-keys&gt;&lt;ref-type name="Conference Paper"&gt;47&lt;/ref-type&gt;&lt;contributors&gt;&lt;authors&gt;&lt;author&gt;Lenhardt, M.L.&lt;/author&gt;&lt;/authors&gt;&lt;secondary-authors&gt;&lt;author&gt;K.A. Bjorndal&lt;/author&gt;&lt;author&gt;A.B. Bolten&lt;/author&gt;&lt;author&gt;D.A. Johnson&lt;/author&gt;&lt;author&gt;P.J. Eliazar&lt;/author&gt;&lt;/secondary-authors&gt;&lt;/contributors&gt;&lt;titles&gt;&lt;title&gt;&lt;style face="normal" font="default" size="100%"&gt;Seismic and very low frequency sound induced behaviors in captive loggerhead marine turtles (&lt;/style&gt;&lt;style face="italic" font="default" size="100%"&gt;Caretta caretta&lt;/style&gt;&lt;style face="normal" font="default" size="100%"&gt;)&lt;/style&gt;&lt;/title&gt;&lt;secondary-title&gt;14th Annual Symposium on Sea Turtle Biology and Conservation&lt;/secondary-title&gt;&lt;/titles&gt;&lt;pages&gt;238-241&lt;/pages&gt;&lt;dates&gt;&lt;year&gt;1994&lt;/year&gt;&lt;/dates&gt;&lt;pub-location&gt;Springfield, Virginia&lt;/pub-location&gt;&lt;publisher&gt;NOAA Technical Memorandum, NMFS-SEFSC-351, National Technical Information Service&lt;/publisher&gt;&lt;urls&gt;&lt;/urls&gt;&lt;/record&gt;&lt;/Cite&gt;&lt;/EndNote&gt;</w:instrText>
      </w:r>
      <w:r w:rsidRPr="00ED34CA">
        <w:rPr>
          <w:rFonts w:cs="Arial"/>
          <w:sz w:val="22"/>
          <w:szCs w:val="22"/>
        </w:rPr>
        <w:fldChar w:fldCharType="separate"/>
      </w:r>
      <w:r w:rsidRPr="00ED34CA">
        <w:rPr>
          <w:rFonts w:cs="Arial"/>
          <w:sz w:val="22"/>
          <w:szCs w:val="22"/>
        </w:rPr>
        <w:t>(Lenhardt</w:t>
      </w:r>
      <w:r w:rsidR="00EF434E">
        <w:rPr>
          <w:rFonts w:cs="Arial"/>
          <w:sz w:val="22"/>
          <w:szCs w:val="22"/>
        </w:rPr>
        <w:t>,</w:t>
      </w:r>
      <w:r w:rsidRPr="00ED34CA">
        <w:rPr>
          <w:rFonts w:cs="Arial"/>
          <w:sz w:val="22"/>
          <w:szCs w:val="22"/>
        </w:rPr>
        <w:t xml:space="preserve"> 1994)</w:t>
      </w:r>
      <w:r w:rsidRPr="00ED34CA">
        <w:rPr>
          <w:rFonts w:cs="Arial"/>
          <w:sz w:val="22"/>
          <w:szCs w:val="22"/>
        </w:rPr>
        <w:fldChar w:fldCharType="end"/>
      </w:r>
      <w:r w:rsidRPr="00ED34CA">
        <w:rPr>
          <w:rFonts w:cs="Arial"/>
          <w:sz w:val="22"/>
          <w:szCs w:val="22"/>
        </w:rPr>
        <w:t xml:space="preserve"> and sounds from an airgun </w:t>
      </w:r>
      <w:r w:rsidRPr="00ED34CA">
        <w:rPr>
          <w:rFonts w:cs="Arial"/>
          <w:sz w:val="22"/>
          <w:szCs w:val="22"/>
        </w:rPr>
        <w:fldChar w:fldCharType="begin"/>
      </w:r>
      <w:r w:rsidRPr="00ED34CA">
        <w:rPr>
          <w:rFonts w:cs="Arial"/>
          <w:sz w:val="22"/>
          <w:szCs w:val="22"/>
        </w:rPr>
        <w:instrText xml:space="preserve"> ADDIN EN.CITE &lt;EndNote&gt;&lt;Cite&gt;&lt;Author&gt;O&amp;apos;Hara&lt;/Author&gt;&lt;Year&gt;1990&lt;/Year&gt;&lt;RecNum&gt;19256&lt;/RecNum&gt;&lt;DisplayText&gt;(O&amp;apos;Hara and Wilcox 1990)&lt;/DisplayText&gt;&lt;record&gt;&lt;rec-number&gt;19256&lt;/rec-number&gt;&lt;foreign-keys&gt;&lt;key app="EN" db-id="avrwfx0posesv7e0p5ixzsx0ssp0v09v222p" timestamp="1386961789"&gt;19256&lt;/key&gt;&lt;/foreign-keys&gt;&lt;ref-type name="Journal Article"&gt;17&lt;/ref-type&gt;&lt;contributors&gt;&lt;authors&gt;&lt;author&gt;O&amp;apos;Hara, J.&lt;/author&gt;&lt;author&gt;Wilcox, J.R.&lt;/author&gt;&lt;/authors&gt;&lt;/contributors&gt;&lt;titles&gt;&lt;title&gt;&lt;style face="normal" font="default" size="100%"&gt;Avoidance responses of loggerhead turtles, &lt;/style&gt;&lt;style face="italic" font="default" size="100%"&gt;Caretta caretta&lt;/style&gt;&lt;style face="normal" font="default" size="100%"&gt;, to low frequency sound&lt;/style&gt;&lt;/title&gt;&lt;secondary-title&gt;Copeia&lt;/secondary-title&gt;&lt;/titles&gt;&lt;periodical&gt;&lt;full-title&gt;Copeia&lt;/full-title&gt;&lt;abbr-1&gt;Copeia&lt;/abbr-1&gt;&lt;abbr-2&gt;Copeia&lt;/abbr-2&gt;&lt;/periodical&gt;&lt;pages&gt;564-567&lt;/pages&gt;&lt;volume&gt;2&lt;/volume&gt;&lt;dates&gt;&lt;year&gt;1990&lt;/year&gt;&lt;/dates&gt;&lt;urls&gt;&lt;related-urls&gt;&lt;url&gt;http://www.jstor.org/discover/10.2307/1446362&lt;/url&gt;&lt;/related-urls&gt;&lt;/urls&gt;&lt;/record&gt;&lt;/Cite&gt;&lt;/EndNote&gt;</w:instrText>
      </w:r>
      <w:r w:rsidRPr="00ED34CA">
        <w:rPr>
          <w:rFonts w:cs="Arial"/>
          <w:sz w:val="22"/>
          <w:szCs w:val="22"/>
        </w:rPr>
        <w:fldChar w:fldCharType="separate"/>
      </w:r>
      <w:r w:rsidRPr="00ED34CA">
        <w:rPr>
          <w:rFonts w:cs="Arial"/>
          <w:sz w:val="22"/>
          <w:szCs w:val="22"/>
        </w:rPr>
        <w:t>(O'Hara and Wilcox</w:t>
      </w:r>
      <w:r w:rsidR="00EF434E">
        <w:rPr>
          <w:rFonts w:cs="Arial"/>
          <w:sz w:val="22"/>
          <w:szCs w:val="22"/>
        </w:rPr>
        <w:t>,</w:t>
      </w:r>
      <w:r w:rsidRPr="00ED34CA">
        <w:rPr>
          <w:rFonts w:cs="Arial"/>
          <w:sz w:val="22"/>
          <w:szCs w:val="22"/>
        </w:rPr>
        <w:t xml:space="preserve"> 1990)</w:t>
      </w:r>
      <w:r w:rsidRPr="00ED34CA">
        <w:rPr>
          <w:rFonts w:cs="Arial"/>
          <w:sz w:val="22"/>
          <w:szCs w:val="22"/>
        </w:rPr>
        <w:fldChar w:fldCharType="end"/>
      </w:r>
      <w:r w:rsidRPr="00ED34CA">
        <w:rPr>
          <w:rFonts w:cs="Arial"/>
          <w:sz w:val="22"/>
          <w:szCs w:val="22"/>
        </w:rPr>
        <w:t xml:space="preserve">, but these reports did not note received sound levels. </w:t>
      </w:r>
    </w:p>
    <w:p w14:paraId="274FA424" w14:textId="77777777" w:rsidR="00EF434E" w:rsidRDefault="00EF434E" w:rsidP="00ED34CA">
      <w:pPr>
        <w:ind w:left="0"/>
        <w:rPr>
          <w:rFonts w:cs="Arial"/>
          <w:sz w:val="22"/>
          <w:szCs w:val="22"/>
        </w:rPr>
      </w:pPr>
    </w:p>
    <w:p w14:paraId="6F9AD82A" w14:textId="325F5E89" w:rsidR="00ED34CA" w:rsidRPr="00ED34CA" w:rsidRDefault="00ED34CA" w:rsidP="006F6987">
      <w:pPr>
        <w:spacing w:after="120" w:line="240" w:lineRule="auto"/>
        <w:ind w:left="0"/>
        <w:rPr>
          <w:rFonts w:cs="Arial"/>
          <w:sz w:val="22"/>
          <w:szCs w:val="22"/>
        </w:rPr>
      </w:pPr>
      <w:r w:rsidRPr="00ED34CA">
        <w:rPr>
          <w:rFonts w:cs="Arial"/>
          <w:sz w:val="22"/>
          <w:szCs w:val="22"/>
        </w:rPr>
        <w:t xml:space="preserve">Weir (2007) carried out observations from onboard a seismic survey vessel during a 10-month 3D </w:t>
      </w:r>
      <w:r w:rsidR="00EF434E">
        <w:rPr>
          <w:rFonts w:cs="Arial"/>
          <w:sz w:val="22"/>
          <w:szCs w:val="22"/>
        </w:rPr>
        <w:t>MSS</w:t>
      </w:r>
      <w:r w:rsidRPr="00ED34CA">
        <w:rPr>
          <w:rFonts w:cs="Arial"/>
          <w:sz w:val="22"/>
          <w:szCs w:val="22"/>
        </w:rPr>
        <w:t xml:space="preserve"> offshore from West Africa, concluding that:</w:t>
      </w:r>
    </w:p>
    <w:p w14:paraId="2263B3E1" w14:textId="7E8A4487" w:rsidR="00ED34CA" w:rsidRPr="00EF434E" w:rsidRDefault="00ED34CA" w:rsidP="006F6987">
      <w:pPr>
        <w:spacing w:after="240" w:line="240" w:lineRule="auto"/>
        <w:ind w:left="425" w:right="510"/>
        <w:rPr>
          <w:rFonts w:cs="Arial"/>
          <w:i/>
          <w:sz w:val="22"/>
          <w:szCs w:val="22"/>
        </w:rPr>
      </w:pPr>
      <w:r w:rsidRPr="00EF434E">
        <w:rPr>
          <w:rFonts w:cs="Arial"/>
          <w:i/>
          <w:sz w:val="22"/>
          <w:szCs w:val="22"/>
        </w:rPr>
        <w:t>“..There was indication that turtles occurred closer to the source during guns-off than full-array, with double the sighting rate during guns-off in all distance bands within 1</w:t>
      </w:r>
      <w:r w:rsidR="00EF434E">
        <w:rPr>
          <w:rFonts w:cs="Arial"/>
          <w:i/>
          <w:sz w:val="22"/>
          <w:szCs w:val="22"/>
        </w:rPr>
        <w:t>,</w:t>
      </w:r>
      <w:r w:rsidRPr="00EF434E">
        <w:rPr>
          <w:rFonts w:cs="Arial"/>
          <w:i/>
          <w:sz w:val="22"/>
          <w:szCs w:val="22"/>
        </w:rPr>
        <w:t>000 m of the array.”</w:t>
      </w:r>
    </w:p>
    <w:p w14:paraId="65F87283" w14:textId="34BA6EDC" w:rsidR="00ED34CA" w:rsidRPr="00ED34CA" w:rsidRDefault="00ED34CA" w:rsidP="00ED34CA">
      <w:pPr>
        <w:ind w:left="0"/>
        <w:rPr>
          <w:rFonts w:cs="Arial"/>
          <w:sz w:val="22"/>
          <w:szCs w:val="22"/>
        </w:rPr>
      </w:pPr>
      <w:r w:rsidRPr="00ED34CA">
        <w:rPr>
          <w:rFonts w:cs="Arial"/>
          <w:sz w:val="22"/>
          <w:szCs w:val="22"/>
        </w:rPr>
        <w:t xml:space="preserve">The reduction in </w:t>
      </w:r>
      <w:r w:rsidR="00EF434E">
        <w:rPr>
          <w:rFonts w:cs="Arial"/>
          <w:sz w:val="22"/>
          <w:szCs w:val="22"/>
        </w:rPr>
        <w:t xml:space="preserve">the </w:t>
      </w:r>
      <w:r w:rsidRPr="00ED34CA">
        <w:rPr>
          <w:rFonts w:cs="Arial"/>
          <w:sz w:val="22"/>
          <w:szCs w:val="22"/>
        </w:rPr>
        <w:t>number of turtles observed within 1,000 m during operation of a full airgun array (Weir</w:t>
      </w:r>
      <w:r w:rsidR="00EF434E">
        <w:rPr>
          <w:rFonts w:cs="Arial"/>
          <w:sz w:val="22"/>
          <w:szCs w:val="22"/>
        </w:rPr>
        <w:t>,</w:t>
      </w:r>
      <w:r w:rsidRPr="00ED34CA">
        <w:rPr>
          <w:rFonts w:cs="Arial"/>
          <w:sz w:val="22"/>
          <w:szCs w:val="22"/>
        </w:rPr>
        <w:t xml:space="preserve"> 2007) is therefore reasonably consistent with the observations of McCauley et al (2003), which indicated an avoidance response threshold of approximately 175 dB re 1 μPa (SPL).</w:t>
      </w:r>
    </w:p>
    <w:p w14:paraId="4382D05A" w14:textId="77777777" w:rsidR="00ED34CA" w:rsidRDefault="00ED34CA" w:rsidP="00340907">
      <w:pPr>
        <w:ind w:left="0"/>
        <w:rPr>
          <w:rFonts w:cs="Arial"/>
          <w:sz w:val="22"/>
          <w:szCs w:val="22"/>
        </w:rPr>
      </w:pPr>
    </w:p>
    <w:p w14:paraId="7CA79A28" w14:textId="77777777" w:rsidR="006473FF" w:rsidRPr="00594614" w:rsidRDefault="006473FF" w:rsidP="006473FF">
      <w:pPr>
        <w:ind w:left="0"/>
        <w:rPr>
          <w:rFonts w:cs="Arial"/>
          <w:sz w:val="22"/>
          <w:szCs w:val="22"/>
        </w:rPr>
      </w:pPr>
      <w:r w:rsidRPr="00594614">
        <w:rPr>
          <w:rFonts w:cs="Arial"/>
          <w:sz w:val="22"/>
          <w:szCs w:val="22"/>
        </w:rPr>
        <w:t xml:space="preserve">At very close distances to the seismic array, there is also the possibility of temporary hearing impairment or perhaps even permanent hearing damage to turtles. However, there are very few data on temporary hearing loss and no data on permanent hearing loss in sea turtles exposed to airgun pulses. Although some information is available about effects of exposure to sounds from a single airgun on captive sea turtles, the long-term acoustic effects (if any) of a full-scale MSS on free-ranging sea turtles are unknown. The greatest impact is likely to occur if seismic operations occur in or near areas where turtles concentrate, and at seasons when turtles are concentrated there. </w:t>
      </w:r>
    </w:p>
    <w:p w14:paraId="2E3906B4" w14:textId="77777777" w:rsidR="00A364A1" w:rsidRDefault="00A364A1" w:rsidP="0004791D">
      <w:pPr>
        <w:ind w:left="0"/>
        <w:rPr>
          <w:rFonts w:cs="Arial"/>
          <w:sz w:val="22"/>
          <w:szCs w:val="22"/>
        </w:rPr>
      </w:pPr>
    </w:p>
    <w:p w14:paraId="3F7AACF6" w14:textId="77777777" w:rsidR="00A364A1" w:rsidRPr="003919EA" w:rsidRDefault="00A364A1" w:rsidP="00A364A1">
      <w:pPr>
        <w:spacing w:after="120" w:line="240" w:lineRule="auto"/>
        <w:ind w:left="0"/>
        <w:rPr>
          <w:rFonts w:cs="Arial"/>
          <w:sz w:val="22"/>
          <w:szCs w:val="22"/>
          <w:u w:val="single"/>
        </w:rPr>
      </w:pPr>
      <w:r>
        <w:rPr>
          <w:rFonts w:cs="Arial"/>
          <w:sz w:val="22"/>
          <w:szCs w:val="22"/>
          <w:u w:val="single"/>
        </w:rPr>
        <w:t>Thresholds adopted for the STLM</w:t>
      </w:r>
    </w:p>
    <w:p w14:paraId="604A26FE" w14:textId="7AC065FF" w:rsidR="00A364A1" w:rsidRDefault="00A364A1" w:rsidP="00A364A1">
      <w:pPr>
        <w:ind w:left="0"/>
        <w:rPr>
          <w:sz w:val="22"/>
          <w:szCs w:val="22"/>
        </w:rPr>
      </w:pPr>
      <w:r w:rsidRPr="00C41138">
        <w:rPr>
          <w:rFonts w:cs="Arial"/>
          <w:sz w:val="22"/>
          <w:szCs w:val="22"/>
        </w:rPr>
        <w:t>Table 7.</w:t>
      </w:r>
      <w:r w:rsidR="008939BD" w:rsidRPr="00C41138">
        <w:rPr>
          <w:rFonts w:cs="Arial"/>
          <w:sz w:val="22"/>
          <w:szCs w:val="22"/>
        </w:rPr>
        <w:t>26</w:t>
      </w:r>
      <w:r w:rsidRPr="00C41138">
        <w:rPr>
          <w:rFonts w:cs="Arial"/>
          <w:sz w:val="22"/>
          <w:szCs w:val="22"/>
        </w:rPr>
        <w:t xml:space="preserve"> presents the exposure criteria for airguns for turtles. This was developed by Popper at</w:t>
      </w:r>
      <w:r>
        <w:rPr>
          <w:rFonts w:cs="Arial"/>
          <w:sz w:val="22"/>
          <w:szCs w:val="22"/>
        </w:rPr>
        <w:t xml:space="preserve"> al (2014) based on results from</w:t>
      </w:r>
      <w:r w:rsidRPr="004F082E">
        <w:rPr>
          <w:sz w:val="22"/>
          <w:szCs w:val="22"/>
        </w:rPr>
        <w:t xml:space="preserve"> the Working Group on the Effects of Sound on Fish and Turtles. </w:t>
      </w:r>
    </w:p>
    <w:p w14:paraId="55870322" w14:textId="77777777" w:rsidR="00EF434E" w:rsidRDefault="00EF434E" w:rsidP="00A364A1">
      <w:pPr>
        <w:ind w:left="0"/>
        <w:rPr>
          <w:sz w:val="22"/>
          <w:szCs w:val="22"/>
        </w:rPr>
      </w:pPr>
    </w:p>
    <w:p w14:paraId="17C6BF02" w14:textId="7904ED31" w:rsidR="00A364A1" w:rsidRDefault="00EF434E" w:rsidP="00A364A1">
      <w:pPr>
        <w:ind w:left="0"/>
        <w:rPr>
          <w:rFonts w:cs="Arial"/>
          <w:sz w:val="22"/>
          <w:szCs w:val="22"/>
        </w:rPr>
      </w:pPr>
      <w:r w:rsidRPr="00EF434E">
        <w:rPr>
          <w:rFonts w:cs="Arial"/>
          <w:sz w:val="22"/>
          <w:szCs w:val="22"/>
        </w:rPr>
        <w:t xml:space="preserve">Additionally, based on the limited data in regards to noise levels that illicit a behavioral response in turtles, </w:t>
      </w:r>
      <w:r>
        <w:rPr>
          <w:rFonts w:cs="Arial"/>
          <w:sz w:val="22"/>
          <w:szCs w:val="22"/>
        </w:rPr>
        <w:t xml:space="preserve">a </w:t>
      </w:r>
      <w:r w:rsidRPr="00EF434E">
        <w:rPr>
          <w:rFonts w:cs="Arial"/>
          <w:sz w:val="22"/>
          <w:szCs w:val="22"/>
        </w:rPr>
        <w:t xml:space="preserve">level of 166 dB re 1 μPa drawn from NSF (2011) is typically applied, both in Australia and by NMFS, as the threshold level at which behavioural disturbance could occur. </w:t>
      </w:r>
    </w:p>
    <w:p w14:paraId="46B5EFF8" w14:textId="77777777" w:rsidR="00E44CF8" w:rsidRDefault="00E44CF8" w:rsidP="00A364A1">
      <w:pPr>
        <w:ind w:left="0"/>
        <w:rPr>
          <w:rFonts w:cs="Arial"/>
          <w:sz w:val="22"/>
          <w:szCs w:val="22"/>
        </w:rPr>
      </w:pPr>
    </w:p>
    <w:p w14:paraId="73CBD84D" w14:textId="77777777" w:rsidR="009E021C" w:rsidRDefault="009E021C" w:rsidP="00A364A1">
      <w:pPr>
        <w:ind w:left="0"/>
        <w:rPr>
          <w:rFonts w:cs="Arial"/>
          <w:sz w:val="22"/>
          <w:szCs w:val="22"/>
        </w:rPr>
      </w:pPr>
    </w:p>
    <w:p w14:paraId="6E360578" w14:textId="77777777" w:rsidR="009E021C" w:rsidRDefault="009E021C" w:rsidP="00A364A1">
      <w:pPr>
        <w:ind w:left="0"/>
        <w:rPr>
          <w:rFonts w:cs="Arial"/>
          <w:sz w:val="22"/>
          <w:szCs w:val="22"/>
        </w:rPr>
      </w:pPr>
    </w:p>
    <w:p w14:paraId="297CC468" w14:textId="77777777" w:rsidR="009E021C" w:rsidRDefault="009E021C" w:rsidP="00A364A1">
      <w:pPr>
        <w:ind w:left="0"/>
        <w:rPr>
          <w:rFonts w:cs="Arial"/>
          <w:sz w:val="22"/>
          <w:szCs w:val="22"/>
        </w:rPr>
      </w:pPr>
    </w:p>
    <w:p w14:paraId="32878E57" w14:textId="77777777" w:rsidR="009E021C" w:rsidRDefault="009E021C" w:rsidP="00A364A1">
      <w:pPr>
        <w:ind w:left="0"/>
        <w:rPr>
          <w:rFonts w:cs="Arial"/>
          <w:sz w:val="22"/>
          <w:szCs w:val="22"/>
        </w:rPr>
      </w:pPr>
    </w:p>
    <w:p w14:paraId="3E9A764F" w14:textId="5A0ABBB4" w:rsidR="00A364A1" w:rsidRPr="006164CE" w:rsidRDefault="00A364A1" w:rsidP="00A364A1">
      <w:pPr>
        <w:spacing w:after="120" w:line="240" w:lineRule="auto"/>
        <w:ind w:left="0"/>
        <w:jc w:val="center"/>
        <w:rPr>
          <w:rFonts w:cs="Arial"/>
          <w:b/>
          <w:sz w:val="20"/>
          <w:szCs w:val="20"/>
        </w:rPr>
      </w:pPr>
      <w:r w:rsidRPr="006164CE">
        <w:rPr>
          <w:rFonts w:cs="Arial"/>
          <w:b/>
          <w:sz w:val="20"/>
          <w:szCs w:val="20"/>
        </w:rPr>
        <w:lastRenderedPageBreak/>
        <w:t>Table 7.</w:t>
      </w:r>
      <w:r w:rsidR="008939BD">
        <w:rPr>
          <w:rFonts w:cs="Arial"/>
          <w:b/>
          <w:sz w:val="20"/>
          <w:szCs w:val="20"/>
        </w:rPr>
        <w:t>26</w:t>
      </w:r>
      <w:r w:rsidR="007F6C35">
        <w:rPr>
          <w:rFonts w:cs="Arial"/>
          <w:b/>
          <w:sz w:val="20"/>
          <w:szCs w:val="20"/>
        </w:rPr>
        <w:t>.</w:t>
      </w:r>
      <w:r w:rsidRPr="006164CE">
        <w:rPr>
          <w:rFonts w:cs="Arial"/>
          <w:b/>
          <w:sz w:val="20"/>
          <w:szCs w:val="20"/>
        </w:rPr>
        <w:tab/>
        <w:t xml:space="preserve">Exposure criteria for seismic sources – </w:t>
      </w:r>
      <w:r>
        <w:rPr>
          <w:rFonts w:cs="Arial"/>
          <w:b/>
          <w:sz w:val="20"/>
          <w:szCs w:val="20"/>
        </w:rPr>
        <w:t>turtles</w:t>
      </w:r>
    </w:p>
    <w:tbl>
      <w:tblPr>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426"/>
        <w:gridCol w:w="1407"/>
        <w:gridCol w:w="1919"/>
        <w:gridCol w:w="1328"/>
        <w:gridCol w:w="1135"/>
        <w:gridCol w:w="1307"/>
      </w:tblGrid>
      <w:tr w:rsidR="00EF434E" w:rsidRPr="006164CE" w14:paraId="7258A149" w14:textId="77777777" w:rsidTr="00EF434E">
        <w:tc>
          <w:tcPr>
            <w:tcW w:w="1426" w:type="dxa"/>
            <w:vMerge w:val="restart"/>
            <w:shd w:val="clear" w:color="auto" w:fill="064EA8"/>
          </w:tcPr>
          <w:p w14:paraId="58394ED2" w14:textId="77777777" w:rsidR="00EF434E" w:rsidRPr="006164CE" w:rsidRDefault="00EF434E" w:rsidP="00AD0F55">
            <w:pPr>
              <w:spacing w:before="60" w:after="60" w:line="240" w:lineRule="auto"/>
              <w:ind w:left="0"/>
              <w:rPr>
                <w:rFonts w:cs="Arial"/>
                <w:color w:val="FFFFFF" w:themeColor="background1"/>
                <w:sz w:val="20"/>
                <w:szCs w:val="20"/>
              </w:rPr>
            </w:pPr>
            <w:r w:rsidRPr="006164CE">
              <w:rPr>
                <w:rFonts w:cs="Arial"/>
                <w:color w:val="FFFFFF" w:themeColor="background1"/>
                <w:sz w:val="20"/>
                <w:szCs w:val="20"/>
              </w:rPr>
              <w:t>Mortality and potential mortal injury</w:t>
            </w:r>
          </w:p>
        </w:tc>
        <w:tc>
          <w:tcPr>
            <w:tcW w:w="1407" w:type="dxa"/>
            <w:vMerge w:val="restart"/>
            <w:shd w:val="clear" w:color="auto" w:fill="064EA8"/>
          </w:tcPr>
          <w:p w14:paraId="01B7A4F7" w14:textId="42DD1528" w:rsidR="00EF434E" w:rsidRPr="006164CE" w:rsidRDefault="00EF434E" w:rsidP="00EF434E">
            <w:pPr>
              <w:spacing w:before="60" w:after="60" w:line="240" w:lineRule="auto"/>
              <w:ind w:left="0"/>
              <w:rPr>
                <w:rFonts w:cs="Arial"/>
                <w:color w:val="FFFFFF" w:themeColor="background1"/>
                <w:sz w:val="20"/>
                <w:szCs w:val="20"/>
              </w:rPr>
            </w:pPr>
            <w:r>
              <w:rPr>
                <w:rFonts w:cs="Arial"/>
                <w:color w:val="FFFFFF" w:themeColor="background1"/>
                <w:sz w:val="20"/>
                <w:szCs w:val="20"/>
              </w:rPr>
              <w:t>Distance from the source</w:t>
            </w:r>
          </w:p>
        </w:tc>
        <w:tc>
          <w:tcPr>
            <w:tcW w:w="4382" w:type="dxa"/>
            <w:gridSpan w:val="3"/>
            <w:shd w:val="clear" w:color="auto" w:fill="064EA8"/>
          </w:tcPr>
          <w:p w14:paraId="2991AF53" w14:textId="704427CC" w:rsidR="00EF434E" w:rsidRPr="006164CE" w:rsidRDefault="00EF434E" w:rsidP="00AD0F55">
            <w:pPr>
              <w:spacing w:before="60" w:after="60" w:line="240" w:lineRule="auto"/>
              <w:ind w:left="0"/>
              <w:jc w:val="center"/>
              <w:rPr>
                <w:rFonts w:cs="Arial"/>
                <w:color w:val="FFFFFF" w:themeColor="background1"/>
                <w:sz w:val="20"/>
                <w:szCs w:val="20"/>
              </w:rPr>
            </w:pPr>
            <w:r w:rsidRPr="006164CE">
              <w:rPr>
                <w:rFonts w:cs="Arial"/>
                <w:color w:val="FFFFFF" w:themeColor="background1"/>
                <w:sz w:val="20"/>
                <w:szCs w:val="20"/>
              </w:rPr>
              <w:t>Impairment</w:t>
            </w:r>
          </w:p>
        </w:tc>
        <w:tc>
          <w:tcPr>
            <w:tcW w:w="1307" w:type="dxa"/>
            <w:vMerge w:val="restart"/>
            <w:shd w:val="clear" w:color="auto" w:fill="064EA8"/>
            <w:vAlign w:val="center"/>
          </w:tcPr>
          <w:p w14:paraId="54FFBF3E" w14:textId="77777777" w:rsidR="00EF434E" w:rsidRPr="006164CE" w:rsidRDefault="00EF434E" w:rsidP="00EF434E">
            <w:pPr>
              <w:spacing w:before="60" w:after="60" w:line="240" w:lineRule="auto"/>
              <w:ind w:left="0"/>
              <w:jc w:val="center"/>
              <w:rPr>
                <w:rFonts w:cs="Arial"/>
                <w:color w:val="FFFFFF" w:themeColor="background1"/>
                <w:sz w:val="20"/>
                <w:szCs w:val="20"/>
              </w:rPr>
            </w:pPr>
            <w:r w:rsidRPr="006164CE">
              <w:rPr>
                <w:rFonts w:cs="Arial"/>
                <w:color w:val="FFFFFF" w:themeColor="background1"/>
                <w:sz w:val="20"/>
                <w:szCs w:val="20"/>
              </w:rPr>
              <w:t>Behaviour</w:t>
            </w:r>
          </w:p>
        </w:tc>
      </w:tr>
      <w:tr w:rsidR="00EF434E" w:rsidRPr="006164CE" w14:paraId="13A8B26E" w14:textId="77777777" w:rsidTr="00EF434E">
        <w:tc>
          <w:tcPr>
            <w:tcW w:w="1426" w:type="dxa"/>
            <w:vMerge/>
            <w:shd w:val="clear" w:color="auto" w:fill="B2A1C7"/>
          </w:tcPr>
          <w:p w14:paraId="53D49C10" w14:textId="77777777" w:rsidR="00EF434E" w:rsidRPr="006164CE" w:rsidRDefault="00EF434E" w:rsidP="00AD0F55">
            <w:pPr>
              <w:spacing w:before="60" w:after="60" w:line="240" w:lineRule="auto"/>
              <w:ind w:left="0"/>
              <w:jc w:val="center"/>
              <w:rPr>
                <w:rFonts w:cs="Arial"/>
                <w:b/>
                <w:sz w:val="20"/>
                <w:szCs w:val="20"/>
              </w:rPr>
            </w:pPr>
          </w:p>
        </w:tc>
        <w:tc>
          <w:tcPr>
            <w:tcW w:w="1407" w:type="dxa"/>
            <w:vMerge/>
            <w:shd w:val="clear" w:color="auto" w:fill="064EA8"/>
          </w:tcPr>
          <w:p w14:paraId="2527D23A" w14:textId="77777777" w:rsidR="00EF434E" w:rsidRPr="006164CE" w:rsidRDefault="00EF434E" w:rsidP="00AD0F55">
            <w:pPr>
              <w:spacing w:before="60" w:after="60" w:line="240" w:lineRule="auto"/>
              <w:ind w:left="0"/>
              <w:jc w:val="center"/>
              <w:rPr>
                <w:rFonts w:cs="Arial"/>
                <w:color w:val="FFFFFF" w:themeColor="background1"/>
                <w:sz w:val="20"/>
                <w:szCs w:val="20"/>
              </w:rPr>
            </w:pPr>
          </w:p>
        </w:tc>
        <w:tc>
          <w:tcPr>
            <w:tcW w:w="1919" w:type="dxa"/>
            <w:shd w:val="clear" w:color="auto" w:fill="064EA8"/>
          </w:tcPr>
          <w:p w14:paraId="1E73EE93" w14:textId="7D4041C3" w:rsidR="00EF434E" w:rsidRPr="006164CE" w:rsidRDefault="00EF434E" w:rsidP="00AD0F55">
            <w:pPr>
              <w:spacing w:before="60" w:after="60" w:line="240" w:lineRule="auto"/>
              <w:ind w:left="0"/>
              <w:jc w:val="center"/>
              <w:rPr>
                <w:rFonts w:cs="Arial"/>
                <w:color w:val="FFFFFF" w:themeColor="background1"/>
                <w:sz w:val="20"/>
                <w:szCs w:val="20"/>
              </w:rPr>
            </w:pPr>
            <w:r w:rsidRPr="006164CE">
              <w:rPr>
                <w:rFonts w:cs="Arial"/>
                <w:color w:val="FFFFFF" w:themeColor="background1"/>
                <w:sz w:val="20"/>
                <w:szCs w:val="20"/>
              </w:rPr>
              <w:t>Recoverable injury</w:t>
            </w:r>
          </w:p>
        </w:tc>
        <w:tc>
          <w:tcPr>
            <w:tcW w:w="1328" w:type="dxa"/>
            <w:shd w:val="clear" w:color="auto" w:fill="064EA8"/>
          </w:tcPr>
          <w:p w14:paraId="6094524B" w14:textId="77777777" w:rsidR="00EF434E" w:rsidRPr="006164CE" w:rsidRDefault="00EF434E" w:rsidP="00AD0F55">
            <w:pPr>
              <w:spacing w:before="60" w:after="60" w:line="240" w:lineRule="auto"/>
              <w:ind w:left="0"/>
              <w:jc w:val="center"/>
              <w:rPr>
                <w:rFonts w:cs="Arial"/>
                <w:color w:val="FFFFFF" w:themeColor="background1"/>
                <w:sz w:val="20"/>
                <w:szCs w:val="20"/>
              </w:rPr>
            </w:pPr>
            <w:r w:rsidRPr="006164CE">
              <w:rPr>
                <w:rFonts w:cs="Arial"/>
                <w:color w:val="FFFFFF" w:themeColor="background1"/>
                <w:sz w:val="20"/>
                <w:szCs w:val="20"/>
              </w:rPr>
              <w:t>TTS</w:t>
            </w:r>
          </w:p>
        </w:tc>
        <w:tc>
          <w:tcPr>
            <w:tcW w:w="1135" w:type="dxa"/>
            <w:shd w:val="clear" w:color="auto" w:fill="064EA8"/>
          </w:tcPr>
          <w:p w14:paraId="3525FFBB" w14:textId="77777777" w:rsidR="00EF434E" w:rsidRPr="006164CE" w:rsidRDefault="00EF434E" w:rsidP="00AD0F55">
            <w:pPr>
              <w:spacing w:before="60" w:after="60" w:line="240" w:lineRule="auto"/>
              <w:ind w:left="0"/>
              <w:jc w:val="center"/>
              <w:rPr>
                <w:rFonts w:cs="Arial"/>
                <w:color w:val="FFFFFF" w:themeColor="background1"/>
                <w:sz w:val="20"/>
                <w:szCs w:val="20"/>
              </w:rPr>
            </w:pPr>
            <w:r w:rsidRPr="006164CE">
              <w:rPr>
                <w:rFonts w:cs="Arial"/>
                <w:color w:val="FFFFFF" w:themeColor="background1"/>
                <w:sz w:val="20"/>
                <w:szCs w:val="20"/>
              </w:rPr>
              <w:t>Masking</w:t>
            </w:r>
          </w:p>
        </w:tc>
        <w:tc>
          <w:tcPr>
            <w:tcW w:w="1307" w:type="dxa"/>
            <w:vMerge/>
            <w:shd w:val="clear" w:color="auto" w:fill="064EA8"/>
          </w:tcPr>
          <w:p w14:paraId="0DD085C6" w14:textId="77777777" w:rsidR="00EF434E" w:rsidRPr="006164CE" w:rsidRDefault="00EF434E" w:rsidP="00AD0F55">
            <w:pPr>
              <w:spacing w:before="60" w:after="60" w:line="240" w:lineRule="auto"/>
              <w:ind w:left="0"/>
              <w:rPr>
                <w:rFonts w:cs="Arial"/>
                <w:sz w:val="20"/>
                <w:szCs w:val="20"/>
              </w:rPr>
            </w:pPr>
          </w:p>
        </w:tc>
      </w:tr>
      <w:tr w:rsidR="00EF434E" w:rsidRPr="006164CE" w14:paraId="4BDDFADC" w14:textId="77777777" w:rsidTr="00EF434E">
        <w:tc>
          <w:tcPr>
            <w:tcW w:w="1426" w:type="dxa"/>
            <w:vMerge w:val="restart"/>
            <w:shd w:val="clear" w:color="auto" w:fill="auto"/>
          </w:tcPr>
          <w:p w14:paraId="16890195" w14:textId="3F08794A" w:rsidR="00EF434E" w:rsidRPr="006164CE" w:rsidRDefault="00EF434E" w:rsidP="00A364A1">
            <w:pPr>
              <w:spacing w:before="60" w:after="60" w:line="240" w:lineRule="auto"/>
              <w:ind w:left="0"/>
              <w:rPr>
                <w:rFonts w:cs="Arial"/>
                <w:sz w:val="20"/>
                <w:szCs w:val="20"/>
              </w:rPr>
            </w:pPr>
            <w:r w:rsidRPr="006164CE">
              <w:rPr>
                <w:rFonts w:cs="Arial"/>
                <w:sz w:val="20"/>
                <w:szCs w:val="20"/>
              </w:rPr>
              <w:t>21</w:t>
            </w:r>
            <w:r>
              <w:rPr>
                <w:rFonts w:cs="Arial"/>
                <w:sz w:val="20"/>
                <w:szCs w:val="20"/>
              </w:rPr>
              <w:t>0</w:t>
            </w:r>
            <w:r w:rsidRPr="006164CE">
              <w:rPr>
                <w:rFonts w:cs="Arial"/>
                <w:sz w:val="20"/>
                <w:szCs w:val="20"/>
              </w:rPr>
              <w:t xml:space="preserve"> db 24hr SEL </w:t>
            </w:r>
            <w:r w:rsidRPr="006164CE">
              <w:rPr>
                <w:rFonts w:cs="Arial"/>
                <w:i/>
                <w:sz w:val="20"/>
                <w:szCs w:val="20"/>
              </w:rPr>
              <w:t>or</w:t>
            </w:r>
            <w:r w:rsidRPr="006164CE">
              <w:rPr>
                <w:rFonts w:cs="Arial"/>
                <w:sz w:val="20"/>
                <w:szCs w:val="20"/>
              </w:rPr>
              <w:t xml:space="preserve"> </w:t>
            </w:r>
            <w:r w:rsidRPr="006164CE">
              <w:rPr>
                <w:rFonts w:cs="Arial"/>
                <w:sz w:val="20"/>
                <w:szCs w:val="20"/>
              </w:rPr>
              <w:br/>
              <w:t>&gt;2</w:t>
            </w:r>
            <w:r>
              <w:rPr>
                <w:rFonts w:cs="Arial"/>
                <w:sz w:val="20"/>
                <w:szCs w:val="20"/>
              </w:rPr>
              <w:t>07</w:t>
            </w:r>
            <w:r w:rsidRPr="006164CE">
              <w:rPr>
                <w:rFonts w:cs="Arial"/>
                <w:sz w:val="20"/>
                <w:szCs w:val="20"/>
              </w:rPr>
              <w:t xml:space="preserve"> dB peak</w:t>
            </w:r>
          </w:p>
        </w:tc>
        <w:tc>
          <w:tcPr>
            <w:tcW w:w="1407" w:type="dxa"/>
          </w:tcPr>
          <w:p w14:paraId="5FBF3A83" w14:textId="36816930" w:rsidR="00EF434E" w:rsidRDefault="00EF434E" w:rsidP="00EF434E">
            <w:pPr>
              <w:spacing w:before="60" w:after="60" w:line="240" w:lineRule="auto"/>
              <w:ind w:left="0"/>
              <w:rPr>
                <w:rFonts w:cs="Arial"/>
                <w:sz w:val="20"/>
                <w:szCs w:val="20"/>
              </w:rPr>
            </w:pPr>
            <w:r>
              <w:rPr>
                <w:rFonts w:cs="Arial"/>
                <w:sz w:val="20"/>
                <w:szCs w:val="20"/>
              </w:rPr>
              <w:t>Near</w:t>
            </w:r>
          </w:p>
        </w:tc>
        <w:tc>
          <w:tcPr>
            <w:tcW w:w="1919" w:type="dxa"/>
            <w:shd w:val="clear" w:color="auto" w:fill="auto"/>
            <w:vAlign w:val="center"/>
          </w:tcPr>
          <w:p w14:paraId="210E631C" w14:textId="427026A9" w:rsidR="00EF434E" w:rsidRPr="006164CE" w:rsidRDefault="00EF434E" w:rsidP="00A364A1">
            <w:pPr>
              <w:spacing w:before="60" w:after="60" w:line="240" w:lineRule="auto"/>
              <w:ind w:left="0"/>
              <w:jc w:val="center"/>
              <w:rPr>
                <w:rFonts w:cs="Arial"/>
                <w:sz w:val="20"/>
                <w:szCs w:val="20"/>
              </w:rPr>
            </w:pPr>
            <w:r>
              <w:rPr>
                <w:rFonts w:cs="Arial"/>
                <w:sz w:val="20"/>
                <w:szCs w:val="20"/>
              </w:rPr>
              <w:t>Moderate</w:t>
            </w:r>
          </w:p>
        </w:tc>
        <w:tc>
          <w:tcPr>
            <w:tcW w:w="1328" w:type="dxa"/>
            <w:shd w:val="clear" w:color="auto" w:fill="auto"/>
            <w:vAlign w:val="center"/>
          </w:tcPr>
          <w:p w14:paraId="3FFCE291" w14:textId="6387E68D" w:rsidR="00EF434E" w:rsidRPr="006164CE" w:rsidRDefault="00EF434E" w:rsidP="00A364A1">
            <w:pPr>
              <w:spacing w:before="60" w:after="60" w:line="240" w:lineRule="auto"/>
              <w:ind w:left="0"/>
              <w:jc w:val="center"/>
              <w:rPr>
                <w:rFonts w:cs="Arial"/>
                <w:b/>
                <w:sz w:val="20"/>
                <w:szCs w:val="20"/>
              </w:rPr>
            </w:pPr>
            <w:r>
              <w:rPr>
                <w:rFonts w:cs="Arial"/>
                <w:sz w:val="20"/>
                <w:szCs w:val="20"/>
              </w:rPr>
              <w:t>Moderate</w:t>
            </w:r>
          </w:p>
        </w:tc>
        <w:tc>
          <w:tcPr>
            <w:tcW w:w="1135" w:type="dxa"/>
            <w:shd w:val="clear" w:color="auto" w:fill="auto"/>
            <w:vAlign w:val="center"/>
          </w:tcPr>
          <w:p w14:paraId="638CB3C2" w14:textId="6FA4A229" w:rsidR="00EF434E" w:rsidRPr="006164CE" w:rsidRDefault="00EF434E" w:rsidP="00A364A1">
            <w:pPr>
              <w:spacing w:before="60" w:after="60" w:line="240" w:lineRule="auto"/>
              <w:ind w:left="0"/>
              <w:jc w:val="center"/>
              <w:rPr>
                <w:rFonts w:cs="Arial"/>
                <w:sz w:val="20"/>
                <w:szCs w:val="20"/>
              </w:rPr>
            </w:pPr>
            <w:r w:rsidRPr="006164CE">
              <w:rPr>
                <w:rFonts w:cs="Arial"/>
                <w:sz w:val="20"/>
                <w:szCs w:val="20"/>
              </w:rPr>
              <w:t>Low</w:t>
            </w:r>
          </w:p>
        </w:tc>
        <w:tc>
          <w:tcPr>
            <w:tcW w:w="1307" w:type="dxa"/>
            <w:shd w:val="clear" w:color="auto" w:fill="auto"/>
            <w:vAlign w:val="center"/>
          </w:tcPr>
          <w:p w14:paraId="27D90693" w14:textId="19EDF12A" w:rsidR="00EF434E" w:rsidRPr="006164CE" w:rsidRDefault="00EF434E" w:rsidP="00A364A1">
            <w:pPr>
              <w:spacing w:before="60" w:after="60" w:line="240" w:lineRule="auto"/>
              <w:ind w:left="0"/>
              <w:jc w:val="center"/>
              <w:rPr>
                <w:rFonts w:cs="Arial"/>
                <w:sz w:val="20"/>
                <w:szCs w:val="20"/>
              </w:rPr>
            </w:pPr>
            <w:r>
              <w:rPr>
                <w:rFonts w:cs="Arial"/>
                <w:sz w:val="20"/>
                <w:szCs w:val="20"/>
              </w:rPr>
              <w:t>Moderate</w:t>
            </w:r>
          </w:p>
        </w:tc>
      </w:tr>
      <w:tr w:rsidR="00EF434E" w:rsidRPr="006164CE" w14:paraId="6633D468" w14:textId="77777777" w:rsidTr="00EF434E">
        <w:tc>
          <w:tcPr>
            <w:tcW w:w="1426" w:type="dxa"/>
            <w:vMerge/>
            <w:shd w:val="clear" w:color="auto" w:fill="auto"/>
          </w:tcPr>
          <w:p w14:paraId="42E0C84B" w14:textId="77777777" w:rsidR="00EF434E" w:rsidRPr="006164CE" w:rsidRDefault="00EF434E" w:rsidP="00AD0F55">
            <w:pPr>
              <w:spacing w:before="60" w:after="60" w:line="240" w:lineRule="auto"/>
              <w:ind w:left="0"/>
              <w:rPr>
                <w:rFonts w:cs="Arial"/>
                <w:sz w:val="20"/>
                <w:szCs w:val="20"/>
              </w:rPr>
            </w:pPr>
          </w:p>
        </w:tc>
        <w:tc>
          <w:tcPr>
            <w:tcW w:w="1407" w:type="dxa"/>
          </w:tcPr>
          <w:p w14:paraId="6B0570E7" w14:textId="1DAD1F1F" w:rsidR="00EF434E" w:rsidRDefault="00EF434E" w:rsidP="00EF434E">
            <w:pPr>
              <w:spacing w:before="60" w:after="60" w:line="240" w:lineRule="auto"/>
              <w:ind w:left="0"/>
              <w:rPr>
                <w:rFonts w:cs="Arial"/>
                <w:sz w:val="20"/>
                <w:szCs w:val="20"/>
              </w:rPr>
            </w:pPr>
            <w:r>
              <w:rPr>
                <w:rFonts w:cs="Arial"/>
                <w:sz w:val="20"/>
                <w:szCs w:val="20"/>
              </w:rPr>
              <w:t>Intermediate</w:t>
            </w:r>
          </w:p>
        </w:tc>
        <w:tc>
          <w:tcPr>
            <w:tcW w:w="1919" w:type="dxa"/>
            <w:shd w:val="clear" w:color="auto" w:fill="auto"/>
            <w:vAlign w:val="center"/>
          </w:tcPr>
          <w:p w14:paraId="4470C0A9" w14:textId="58498BE2" w:rsidR="00EF434E" w:rsidRPr="006164CE" w:rsidRDefault="00EF434E" w:rsidP="00A364A1">
            <w:pPr>
              <w:spacing w:before="60" w:after="60" w:line="240" w:lineRule="auto"/>
              <w:ind w:left="0"/>
              <w:jc w:val="center"/>
              <w:rPr>
                <w:rFonts w:cs="Arial"/>
                <w:sz w:val="20"/>
                <w:szCs w:val="20"/>
              </w:rPr>
            </w:pPr>
            <w:r>
              <w:rPr>
                <w:rFonts w:cs="Arial"/>
                <w:sz w:val="20"/>
                <w:szCs w:val="20"/>
              </w:rPr>
              <w:t>Low</w:t>
            </w:r>
          </w:p>
        </w:tc>
        <w:tc>
          <w:tcPr>
            <w:tcW w:w="1328" w:type="dxa"/>
            <w:shd w:val="clear" w:color="auto" w:fill="auto"/>
            <w:vAlign w:val="center"/>
          </w:tcPr>
          <w:p w14:paraId="349BDDF3" w14:textId="18883CB6" w:rsidR="00EF434E" w:rsidRPr="006164CE" w:rsidRDefault="00EF434E" w:rsidP="00A364A1">
            <w:pPr>
              <w:spacing w:before="60" w:after="60" w:line="240" w:lineRule="auto"/>
              <w:ind w:left="0"/>
              <w:jc w:val="center"/>
              <w:rPr>
                <w:rFonts w:cs="Arial"/>
                <w:sz w:val="20"/>
                <w:szCs w:val="20"/>
              </w:rPr>
            </w:pPr>
            <w:r>
              <w:rPr>
                <w:rFonts w:cs="Arial"/>
                <w:sz w:val="20"/>
                <w:szCs w:val="20"/>
              </w:rPr>
              <w:t>Low</w:t>
            </w:r>
          </w:p>
        </w:tc>
        <w:tc>
          <w:tcPr>
            <w:tcW w:w="1135" w:type="dxa"/>
            <w:shd w:val="clear" w:color="auto" w:fill="auto"/>
            <w:vAlign w:val="center"/>
          </w:tcPr>
          <w:p w14:paraId="5A9E82DA" w14:textId="3D8DE344" w:rsidR="00EF434E" w:rsidRPr="006164CE" w:rsidRDefault="00EF434E" w:rsidP="00A364A1">
            <w:pPr>
              <w:spacing w:before="60" w:after="60" w:line="240" w:lineRule="auto"/>
              <w:ind w:left="0"/>
              <w:jc w:val="center"/>
              <w:rPr>
                <w:rFonts w:cs="Arial"/>
                <w:sz w:val="20"/>
                <w:szCs w:val="20"/>
              </w:rPr>
            </w:pPr>
            <w:r w:rsidRPr="006164CE">
              <w:rPr>
                <w:rFonts w:cs="Arial"/>
                <w:sz w:val="20"/>
                <w:szCs w:val="20"/>
              </w:rPr>
              <w:t>Low</w:t>
            </w:r>
          </w:p>
        </w:tc>
        <w:tc>
          <w:tcPr>
            <w:tcW w:w="1307" w:type="dxa"/>
            <w:shd w:val="clear" w:color="auto" w:fill="auto"/>
            <w:vAlign w:val="center"/>
          </w:tcPr>
          <w:p w14:paraId="0E0EBB4B" w14:textId="075476AE" w:rsidR="00EF434E" w:rsidRPr="006164CE" w:rsidRDefault="00EF434E" w:rsidP="00A364A1">
            <w:pPr>
              <w:spacing w:before="60" w:after="60" w:line="240" w:lineRule="auto"/>
              <w:ind w:left="0"/>
              <w:jc w:val="center"/>
              <w:rPr>
                <w:rFonts w:cs="Arial"/>
                <w:sz w:val="20"/>
                <w:szCs w:val="20"/>
              </w:rPr>
            </w:pPr>
            <w:r>
              <w:rPr>
                <w:rFonts w:cs="Arial"/>
                <w:sz w:val="20"/>
                <w:szCs w:val="20"/>
              </w:rPr>
              <w:t>Low</w:t>
            </w:r>
          </w:p>
        </w:tc>
      </w:tr>
      <w:tr w:rsidR="00EF434E" w:rsidRPr="006164CE" w14:paraId="5F4B21B6" w14:textId="77777777" w:rsidTr="00EF434E">
        <w:tc>
          <w:tcPr>
            <w:tcW w:w="1426" w:type="dxa"/>
            <w:vMerge/>
            <w:shd w:val="clear" w:color="auto" w:fill="auto"/>
          </w:tcPr>
          <w:p w14:paraId="5D3954A3" w14:textId="77777777" w:rsidR="00EF434E" w:rsidRPr="006164CE" w:rsidRDefault="00EF434E" w:rsidP="00AD0F55">
            <w:pPr>
              <w:spacing w:before="60" w:after="60" w:line="240" w:lineRule="auto"/>
              <w:ind w:left="0"/>
              <w:rPr>
                <w:rFonts w:cs="Arial"/>
                <w:sz w:val="20"/>
                <w:szCs w:val="20"/>
              </w:rPr>
            </w:pPr>
          </w:p>
        </w:tc>
        <w:tc>
          <w:tcPr>
            <w:tcW w:w="1407" w:type="dxa"/>
          </w:tcPr>
          <w:p w14:paraId="277090E4" w14:textId="158FA315" w:rsidR="00EF434E" w:rsidRDefault="00EF434E" w:rsidP="00EF434E">
            <w:pPr>
              <w:spacing w:before="60" w:after="60" w:line="240" w:lineRule="auto"/>
              <w:ind w:left="0"/>
              <w:rPr>
                <w:rFonts w:cs="Arial"/>
                <w:sz w:val="20"/>
                <w:szCs w:val="20"/>
              </w:rPr>
            </w:pPr>
            <w:r>
              <w:rPr>
                <w:rFonts w:cs="Arial"/>
                <w:sz w:val="20"/>
                <w:szCs w:val="20"/>
              </w:rPr>
              <w:t>Far</w:t>
            </w:r>
          </w:p>
        </w:tc>
        <w:tc>
          <w:tcPr>
            <w:tcW w:w="1919" w:type="dxa"/>
            <w:shd w:val="clear" w:color="auto" w:fill="auto"/>
            <w:vAlign w:val="center"/>
          </w:tcPr>
          <w:p w14:paraId="7B70D3BE" w14:textId="4E59B5EB" w:rsidR="00EF434E" w:rsidRPr="006164CE" w:rsidRDefault="00EF434E" w:rsidP="00A364A1">
            <w:pPr>
              <w:spacing w:before="60" w:after="60" w:line="240" w:lineRule="auto"/>
              <w:ind w:left="0"/>
              <w:jc w:val="center"/>
              <w:rPr>
                <w:rFonts w:cs="Arial"/>
                <w:sz w:val="20"/>
                <w:szCs w:val="20"/>
              </w:rPr>
            </w:pPr>
            <w:r>
              <w:rPr>
                <w:rFonts w:cs="Arial"/>
                <w:sz w:val="20"/>
                <w:szCs w:val="20"/>
              </w:rPr>
              <w:t>Low</w:t>
            </w:r>
          </w:p>
        </w:tc>
        <w:tc>
          <w:tcPr>
            <w:tcW w:w="1328" w:type="dxa"/>
            <w:shd w:val="clear" w:color="auto" w:fill="auto"/>
            <w:vAlign w:val="center"/>
          </w:tcPr>
          <w:p w14:paraId="32781AC2" w14:textId="62A4E7DD" w:rsidR="00EF434E" w:rsidRPr="006164CE" w:rsidRDefault="00EF434E" w:rsidP="00A364A1">
            <w:pPr>
              <w:spacing w:before="60" w:after="60" w:line="240" w:lineRule="auto"/>
              <w:ind w:left="0"/>
              <w:jc w:val="center"/>
              <w:rPr>
                <w:rFonts w:cs="Arial"/>
                <w:sz w:val="20"/>
                <w:szCs w:val="20"/>
              </w:rPr>
            </w:pPr>
            <w:r>
              <w:rPr>
                <w:rFonts w:cs="Arial"/>
                <w:sz w:val="20"/>
                <w:szCs w:val="20"/>
              </w:rPr>
              <w:t>Low</w:t>
            </w:r>
          </w:p>
        </w:tc>
        <w:tc>
          <w:tcPr>
            <w:tcW w:w="1135" w:type="dxa"/>
            <w:shd w:val="clear" w:color="auto" w:fill="auto"/>
            <w:vAlign w:val="center"/>
          </w:tcPr>
          <w:p w14:paraId="44A74C55" w14:textId="6B5FEDE9" w:rsidR="00EF434E" w:rsidRPr="006164CE" w:rsidRDefault="00EF434E" w:rsidP="00A364A1">
            <w:pPr>
              <w:spacing w:before="60" w:after="60" w:line="240" w:lineRule="auto"/>
              <w:ind w:left="0"/>
              <w:jc w:val="center"/>
              <w:rPr>
                <w:rFonts w:cs="Arial"/>
                <w:sz w:val="20"/>
                <w:szCs w:val="20"/>
              </w:rPr>
            </w:pPr>
            <w:r w:rsidRPr="006164CE">
              <w:rPr>
                <w:rFonts w:cs="Arial"/>
                <w:sz w:val="20"/>
                <w:szCs w:val="20"/>
              </w:rPr>
              <w:t>Low</w:t>
            </w:r>
          </w:p>
        </w:tc>
        <w:tc>
          <w:tcPr>
            <w:tcW w:w="1307" w:type="dxa"/>
            <w:shd w:val="clear" w:color="auto" w:fill="auto"/>
            <w:vAlign w:val="center"/>
          </w:tcPr>
          <w:p w14:paraId="61283A22" w14:textId="5A3701AC" w:rsidR="00EF434E" w:rsidRPr="006164CE" w:rsidRDefault="00EF434E" w:rsidP="00A364A1">
            <w:pPr>
              <w:spacing w:before="60" w:after="60" w:line="240" w:lineRule="auto"/>
              <w:ind w:left="0"/>
              <w:jc w:val="center"/>
              <w:rPr>
                <w:rFonts w:cs="Arial"/>
                <w:sz w:val="20"/>
                <w:szCs w:val="20"/>
              </w:rPr>
            </w:pPr>
            <w:r w:rsidRPr="006164CE">
              <w:rPr>
                <w:rFonts w:cs="Arial"/>
                <w:sz w:val="20"/>
                <w:szCs w:val="20"/>
              </w:rPr>
              <w:t>Low</w:t>
            </w:r>
          </w:p>
        </w:tc>
      </w:tr>
      <w:tr w:rsidR="00291C70" w:rsidRPr="006164CE" w14:paraId="2EFD42BF" w14:textId="77777777" w:rsidTr="00E90408">
        <w:tc>
          <w:tcPr>
            <w:tcW w:w="8522" w:type="dxa"/>
            <w:gridSpan w:val="6"/>
            <w:tcBorders>
              <w:left w:val="nil"/>
              <w:bottom w:val="nil"/>
              <w:right w:val="nil"/>
            </w:tcBorders>
          </w:tcPr>
          <w:p w14:paraId="35C25F31" w14:textId="17F5CC13" w:rsidR="00A24FEE" w:rsidRPr="001D2756" w:rsidRDefault="00A24FEE" w:rsidP="00A24FEE">
            <w:pPr>
              <w:ind w:left="0"/>
              <w:rPr>
                <w:i/>
                <w:sz w:val="18"/>
                <w:szCs w:val="18"/>
              </w:rPr>
            </w:pPr>
            <w:r w:rsidRPr="001D2756">
              <w:rPr>
                <w:i/>
                <w:sz w:val="18"/>
                <w:szCs w:val="18"/>
              </w:rPr>
              <w:t>Cells highlighted in red indicate maximum predicted exten</w:t>
            </w:r>
            <w:r>
              <w:rPr>
                <w:i/>
                <w:sz w:val="18"/>
                <w:szCs w:val="18"/>
              </w:rPr>
              <w:t>t</w:t>
            </w:r>
            <w:r w:rsidRPr="001D2756">
              <w:rPr>
                <w:i/>
                <w:sz w:val="18"/>
                <w:szCs w:val="18"/>
              </w:rPr>
              <w:t xml:space="preserve"> of sound.</w:t>
            </w:r>
          </w:p>
          <w:p w14:paraId="3A321931" w14:textId="24733D5E" w:rsidR="00291C70" w:rsidRPr="00EF434E" w:rsidRDefault="00291C70" w:rsidP="00A24FEE">
            <w:pPr>
              <w:ind w:left="0"/>
              <w:rPr>
                <w:rFonts w:cs="Arial"/>
                <w:sz w:val="18"/>
                <w:szCs w:val="18"/>
                <w:u w:val="single"/>
              </w:rPr>
            </w:pPr>
            <w:r w:rsidRPr="00EF434E">
              <w:rPr>
                <w:rFonts w:cs="Arial"/>
                <w:sz w:val="18"/>
                <w:szCs w:val="18"/>
                <w:u w:val="single"/>
              </w:rPr>
              <w:t>Distance from the source</w:t>
            </w:r>
          </w:p>
        </w:tc>
      </w:tr>
      <w:tr w:rsidR="00291C70" w:rsidRPr="006164CE" w14:paraId="39E69553" w14:textId="77777777" w:rsidTr="00E90408">
        <w:tc>
          <w:tcPr>
            <w:tcW w:w="8522" w:type="dxa"/>
            <w:gridSpan w:val="6"/>
            <w:tcBorders>
              <w:top w:val="nil"/>
              <w:left w:val="nil"/>
              <w:bottom w:val="nil"/>
              <w:right w:val="nil"/>
            </w:tcBorders>
          </w:tcPr>
          <w:p w14:paraId="44F659FA" w14:textId="69325C28" w:rsidR="00291C70" w:rsidRPr="00EF434E" w:rsidRDefault="00291C70" w:rsidP="00AD0F55">
            <w:pPr>
              <w:spacing w:after="60"/>
              <w:ind w:left="0"/>
              <w:rPr>
                <w:rFonts w:cs="Arial"/>
                <w:sz w:val="18"/>
                <w:szCs w:val="18"/>
              </w:rPr>
            </w:pPr>
            <w:r w:rsidRPr="00EF434E">
              <w:rPr>
                <w:rFonts w:cs="Arial"/>
                <w:sz w:val="18"/>
                <w:szCs w:val="18"/>
              </w:rPr>
              <w:t>Near = tens of metres.</w:t>
            </w:r>
          </w:p>
        </w:tc>
      </w:tr>
      <w:tr w:rsidR="00291C70" w:rsidRPr="006164CE" w14:paraId="125B3767" w14:textId="77777777" w:rsidTr="00E90408">
        <w:tc>
          <w:tcPr>
            <w:tcW w:w="8522" w:type="dxa"/>
            <w:gridSpan w:val="6"/>
            <w:tcBorders>
              <w:top w:val="nil"/>
              <w:left w:val="nil"/>
              <w:bottom w:val="nil"/>
              <w:right w:val="nil"/>
            </w:tcBorders>
          </w:tcPr>
          <w:p w14:paraId="5DFB7242" w14:textId="70CE3FC2" w:rsidR="00291C70" w:rsidRPr="00EF434E" w:rsidRDefault="00291C70" w:rsidP="00AD0F55">
            <w:pPr>
              <w:spacing w:after="60"/>
              <w:ind w:left="0"/>
              <w:rPr>
                <w:rFonts w:cs="Arial"/>
                <w:sz w:val="18"/>
                <w:szCs w:val="18"/>
              </w:rPr>
            </w:pPr>
            <w:r w:rsidRPr="00EF434E">
              <w:rPr>
                <w:rFonts w:cs="Arial"/>
                <w:sz w:val="18"/>
                <w:szCs w:val="18"/>
              </w:rPr>
              <w:t>Intermediate = within hundreds of metres.</w:t>
            </w:r>
          </w:p>
        </w:tc>
      </w:tr>
      <w:tr w:rsidR="00291C70" w:rsidRPr="006164CE" w14:paraId="6EF1263A" w14:textId="77777777" w:rsidTr="00E90408">
        <w:tc>
          <w:tcPr>
            <w:tcW w:w="8522" w:type="dxa"/>
            <w:gridSpan w:val="6"/>
            <w:tcBorders>
              <w:top w:val="nil"/>
              <w:left w:val="nil"/>
              <w:bottom w:val="nil"/>
              <w:right w:val="nil"/>
            </w:tcBorders>
          </w:tcPr>
          <w:p w14:paraId="506933B2" w14:textId="1B0FD1A2" w:rsidR="00291C70" w:rsidRPr="00EF434E" w:rsidRDefault="00291C70" w:rsidP="00AD0F55">
            <w:pPr>
              <w:spacing w:after="60"/>
              <w:ind w:left="0"/>
              <w:rPr>
                <w:rFonts w:cs="Arial"/>
                <w:sz w:val="18"/>
                <w:szCs w:val="18"/>
              </w:rPr>
            </w:pPr>
            <w:r w:rsidRPr="00EF434E">
              <w:rPr>
                <w:rFonts w:cs="Arial"/>
                <w:sz w:val="18"/>
                <w:szCs w:val="18"/>
              </w:rPr>
              <w:t>Far = thousands of metres.</w:t>
            </w:r>
          </w:p>
        </w:tc>
      </w:tr>
    </w:tbl>
    <w:p w14:paraId="2713E414" w14:textId="77777777" w:rsidR="00A364A1" w:rsidRPr="00093B6D" w:rsidRDefault="00A364A1" w:rsidP="00A364A1">
      <w:pPr>
        <w:ind w:left="0"/>
        <w:rPr>
          <w:rFonts w:ascii="Tahoma" w:hAnsi="Tahoma" w:cs="Arial"/>
          <w:szCs w:val="20"/>
        </w:rPr>
      </w:pPr>
    </w:p>
    <w:p w14:paraId="4121AA08" w14:textId="77777777" w:rsidR="00A364A1" w:rsidRPr="003F25B6" w:rsidRDefault="00A364A1" w:rsidP="00A364A1">
      <w:pPr>
        <w:spacing w:after="120" w:line="240" w:lineRule="auto"/>
        <w:ind w:left="0"/>
        <w:rPr>
          <w:rFonts w:cs="Arial"/>
          <w:sz w:val="22"/>
          <w:szCs w:val="22"/>
          <w:u w:val="single"/>
        </w:rPr>
      </w:pPr>
      <w:r w:rsidRPr="003F25B6">
        <w:rPr>
          <w:rFonts w:cs="Arial"/>
          <w:sz w:val="22"/>
          <w:szCs w:val="22"/>
          <w:u w:val="single"/>
        </w:rPr>
        <w:t>STLM results</w:t>
      </w:r>
    </w:p>
    <w:p w14:paraId="4384DBC8" w14:textId="07356DC5" w:rsidR="00A364A1" w:rsidRDefault="00A364A1" w:rsidP="00A364A1">
      <w:pPr>
        <w:ind w:left="0"/>
        <w:rPr>
          <w:rFonts w:ascii="Tahoma" w:hAnsi="Tahoma" w:cs="Arial"/>
          <w:szCs w:val="20"/>
        </w:rPr>
      </w:pPr>
      <w:r w:rsidRPr="00C41138">
        <w:rPr>
          <w:sz w:val="22"/>
          <w:szCs w:val="22"/>
        </w:rPr>
        <w:t>Table 7.</w:t>
      </w:r>
      <w:r w:rsidR="008939BD" w:rsidRPr="00C41138">
        <w:rPr>
          <w:sz w:val="22"/>
          <w:szCs w:val="22"/>
        </w:rPr>
        <w:t>27</w:t>
      </w:r>
      <w:r w:rsidRPr="00C41138">
        <w:rPr>
          <w:sz w:val="22"/>
          <w:szCs w:val="22"/>
        </w:rPr>
        <w:t xml:space="preserve"> presents</w:t>
      </w:r>
      <w:r>
        <w:rPr>
          <w:sz w:val="22"/>
          <w:szCs w:val="22"/>
        </w:rPr>
        <w:t xml:space="preserve"> the STLM predicted ranges for the per-pulse effects criteria and isopleths of interest for turtles for both source array options. </w:t>
      </w:r>
    </w:p>
    <w:p w14:paraId="5AF0708E" w14:textId="77777777" w:rsidR="00A364A1" w:rsidRDefault="00A364A1" w:rsidP="00A364A1">
      <w:pPr>
        <w:ind w:left="0"/>
        <w:rPr>
          <w:rFonts w:ascii="Tahoma" w:hAnsi="Tahoma" w:cs="Arial"/>
          <w:szCs w:val="20"/>
        </w:rPr>
      </w:pPr>
    </w:p>
    <w:p w14:paraId="551ADCD0" w14:textId="2CCAD036" w:rsidR="00A364A1" w:rsidRPr="006E2F1B" w:rsidRDefault="00A364A1" w:rsidP="00A364A1">
      <w:pPr>
        <w:spacing w:after="120" w:line="240" w:lineRule="auto"/>
        <w:ind w:left="0"/>
        <w:jc w:val="center"/>
        <w:rPr>
          <w:rFonts w:cs="Arial"/>
          <w:b/>
          <w:sz w:val="20"/>
          <w:szCs w:val="20"/>
          <w:specVanish/>
        </w:rPr>
      </w:pPr>
      <w:r>
        <w:rPr>
          <w:rFonts w:cs="Arial"/>
          <w:b/>
          <w:sz w:val="20"/>
          <w:szCs w:val="20"/>
        </w:rPr>
        <w:t>Table 7.</w:t>
      </w:r>
      <w:r w:rsidR="008939BD">
        <w:rPr>
          <w:rFonts w:cs="Arial"/>
          <w:b/>
          <w:sz w:val="20"/>
          <w:szCs w:val="20"/>
        </w:rPr>
        <w:t>27</w:t>
      </w:r>
      <w:r w:rsidR="007F6C35">
        <w:rPr>
          <w:rFonts w:cs="Arial"/>
          <w:b/>
          <w:sz w:val="20"/>
          <w:szCs w:val="20"/>
        </w:rPr>
        <w:t>.</w:t>
      </w:r>
      <w:r>
        <w:rPr>
          <w:rFonts w:cs="Arial"/>
          <w:b/>
          <w:sz w:val="20"/>
          <w:szCs w:val="20"/>
        </w:rPr>
        <w:tab/>
      </w:r>
      <w:r w:rsidRPr="006E2F1B">
        <w:rPr>
          <w:rFonts w:cs="Arial"/>
          <w:b/>
          <w:sz w:val="20"/>
          <w:szCs w:val="20"/>
        </w:rPr>
        <w:t>Maximum (R</w:t>
      </w:r>
      <w:r w:rsidRPr="006E2F1B">
        <w:rPr>
          <w:rFonts w:cs="Arial"/>
          <w:b/>
          <w:sz w:val="20"/>
          <w:szCs w:val="20"/>
          <w:vertAlign w:val="subscript"/>
        </w:rPr>
        <w:t>max</w:t>
      </w:r>
      <w:r w:rsidRPr="006E2F1B">
        <w:rPr>
          <w:rFonts w:cs="Arial"/>
          <w:b/>
          <w:sz w:val="20"/>
          <w:szCs w:val="20"/>
        </w:rPr>
        <w:t xml:space="preserve">) horizontal distances from the </w:t>
      </w:r>
      <w:r>
        <w:rPr>
          <w:rFonts w:cs="Arial"/>
          <w:b/>
          <w:sz w:val="20"/>
          <w:szCs w:val="20"/>
        </w:rPr>
        <w:t>source</w:t>
      </w:r>
      <w:r w:rsidRPr="006E2F1B">
        <w:rPr>
          <w:rFonts w:cs="Arial"/>
          <w:b/>
          <w:sz w:val="20"/>
          <w:szCs w:val="20"/>
        </w:rPr>
        <w:t xml:space="preserve"> array to modelled seafloor PK levels from four transects</w:t>
      </w:r>
      <w:r>
        <w:rPr>
          <w:rFonts w:cs="Arial"/>
          <w:b/>
          <w:sz w:val="20"/>
          <w:szCs w:val="20"/>
        </w:rPr>
        <w:t xml:space="preserve"> for turtles</w:t>
      </w:r>
    </w:p>
    <w:tbl>
      <w:tblPr>
        <w:tblStyle w:val="TableGrid"/>
        <w:tblW w:w="8607" w:type="dxa"/>
        <w:tblLook w:val="04A0" w:firstRow="1" w:lastRow="0" w:firstColumn="1" w:lastColumn="0" w:noHBand="0" w:noVBand="1"/>
      </w:tblPr>
      <w:tblGrid>
        <w:gridCol w:w="2129"/>
        <w:gridCol w:w="1293"/>
        <w:gridCol w:w="1296"/>
        <w:gridCol w:w="1296"/>
        <w:gridCol w:w="1296"/>
        <w:gridCol w:w="1297"/>
      </w:tblGrid>
      <w:tr w:rsidR="00A364A1" w14:paraId="711C1AC6" w14:textId="77777777" w:rsidTr="00A364A1">
        <w:tc>
          <w:tcPr>
            <w:tcW w:w="2129" w:type="dxa"/>
            <w:vMerge w:val="restart"/>
            <w:shd w:val="clear" w:color="auto" w:fill="064EA8"/>
          </w:tcPr>
          <w:p w14:paraId="4FA253D6" w14:textId="77777777" w:rsidR="00A364A1" w:rsidRPr="009E683A" w:rsidRDefault="00A364A1" w:rsidP="00AD0F55">
            <w:pPr>
              <w:spacing w:before="60" w:after="60"/>
              <w:ind w:left="0"/>
              <w:jc w:val="center"/>
              <w:rPr>
                <w:rFonts w:cs="Arial"/>
                <w:color w:val="FFFFFF" w:themeColor="background1"/>
                <w:sz w:val="20"/>
                <w:szCs w:val="20"/>
              </w:rPr>
            </w:pPr>
            <w:r w:rsidRPr="005723CF">
              <w:rPr>
                <w:color w:val="FFFFFF" w:themeColor="background1"/>
                <w:sz w:val="20"/>
                <w:szCs w:val="20"/>
              </w:rPr>
              <w:t xml:space="preserve">Peak pressure level </w:t>
            </w:r>
            <w:r>
              <w:rPr>
                <w:color w:val="FFFFFF" w:themeColor="background1"/>
                <w:sz w:val="20"/>
                <w:szCs w:val="20"/>
              </w:rPr>
              <w:br/>
            </w:r>
            <w:r w:rsidRPr="005723CF">
              <w:rPr>
                <w:color w:val="FFFFFF" w:themeColor="background1"/>
                <w:sz w:val="20"/>
                <w:szCs w:val="20"/>
              </w:rPr>
              <w:t>(dB re 1 μPa @ 1 m)</w:t>
            </w:r>
          </w:p>
        </w:tc>
        <w:tc>
          <w:tcPr>
            <w:tcW w:w="6478" w:type="dxa"/>
            <w:gridSpan w:val="5"/>
            <w:shd w:val="clear" w:color="auto" w:fill="064EA8"/>
          </w:tcPr>
          <w:p w14:paraId="2177198E" w14:textId="77777777" w:rsidR="00A364A1" w:rsidRPr="009E683A" w:rsidRDefault="00A364A1" w:rsidP="00AD0F55">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Distance R</w:t>
            </w:r>
            <w:r>
              <w:rPr>
                <w:rFonts w:cs="Arial"/>
                <w:color w:val="FFFFFF" w:themeColor="background1"/>
                <w:sz w:val="20"/>
                <w:szCs w:val="20"/>
                <w:vertAlign w:val="subscript"/>
              </w:rPr>
              <w:t>max</w:t>
            </w:r>
            <w:r w:rsidRPr="009E683A">
              <w:rPr>
                <w:rFonts w:cs="Arial"/>
                <w:color w:val="FFFFFF" w:themeColor="background1"/>
                <w:sz w:val="20"/>
                <w:szCs w:val="20"/>
              </w:rPr>
              <w:t xml:space="preserve"> (m)</w:t>
            </w:r>
          </w:p>
        </w:tc>
      </w:tr>
      <w:tr w:rsidR="00A364A1" w14:paraId="37544F83" w14:textId="77777777" w:rsidTr="00A364A1">
        <w:tc>
          <w:tcPr>
            <w:tcW w:w="2129" w:type="dxa"/>
            <w:vMerge/>
            <w:shd w:val="clear" w:color="auto" w:fill="064EA8"/>
          </w:tcPr>
          <w:p w14:paraId="41FE1FE0" w14:textId="77777777" w:rsidR="00A364A1" w:rsidRPr="009E683A" w:rsidRDefault="00A364A1" w:rsidP="00AD0F55">
            <w:pPr>
              <w:spacing w:before="60" w:after="60" w:line="240" w:lineRule="auto"/>
              <w:ind w:left="0"/>
              <w:jc w:val="center"/>
              <w:rPr>
                <w:rFonts w:cs="Arial"/>
                <w:color w:val="FFFFFF" w:themeColor="background1"/>
                <w:sz w:val="20"/>
                <w:szCs w:val="20"/>
              </w:rPr>
            </w:pPr>
          </w:p>
        </w:tc>
        <w:tc>
          <w:tcPr>
            <w:tcW w:w="1293" w:type="dxa"/>
            <w:shd w:val="clear" w:color="auto" w:fill="064EA8"/>
          </w:tcPr>
          <w:p w14:paraId="4D19B8C7" w14:textId="77777777" w:rsidR="00A364A1" w:rsidRPr="009E683A" w:rsidRDefault="00A364A1" w:rsidP="00AD0F55">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1</w:t>
            </w:r>
          </w:p>
        </w:tc>
        <w:tc>
          <w:tcPr>
            <w:tcW w:w="1296" w:type="dxa"/>
            <w:shd w:val="clear" w:color="auto" w:fill="064EA8"/>
          </w:tcPr>
          <w:p w14:paraId="6ED2936A" w14:textId="77777777" w:rsidR="00A364A1" w:rsidRPr="009E683A" w:rsidRDefault="00A364A1" w:rsidP="00AD0F55">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2</w:t>
            </w:r>
          </w:p>
        </w:tc>
        <w:tc>
          <w:tcPr>
            <w:tcW w:w="1296" w:type="dxa"/>
            <w:shd w:val="clear" w:color="auto" w:fill="064EA8"/>
          </w:tcPr>
          <w:p w14:paraId="1F6E43A5" w14:textId="77777777" w:rsidR="00A364A1" w:rsidRPr="009E683A" w:rsidRDefault="00A364A1" w:rsidP="00AD0F55">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3</w:t>
            </w:r>
          </w:p>
        </w:tc>
        <w:tc>
          <w:tcPr>
            <w:tcW w:w="1296" w:type="dxa"/>
            <w:shd w:val="clear" w:color="auto" w:fill="064EA8"/>
          </w:tcPr>
          <w:p w14:paraId="6425C76A" w14:textId="77777777" w:rsidR="00A364A1" w:rsidRPr="009E683A" w:rsidRDefault="00A364A1" w:rsidP="00AD0F55">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4</w:t>
            </w:r>
          </w:p>
        </w:tc>
        <w:tc>
          <w:tcPr>
            <w:tcW w:w="1297" w:type="dxa"/>
            <w:shd w:val="clear" w:color="auto" w:fill="064EA8"/>
          </w:tcPr>
          <w:p w14:paraId="1860095F" w14:textId="77777777" w:rsidR="00A364A1" w:rsidRPr="009E683A" w:rsidRDefault="00A364A1" w:rsidP="00AD0F55">
            <w:pPr>
              <w:spacing w:before="60" w:after="60" w:line="240" w:lineRule="auto"/>
              <w:ind w:left="0"/>
              <w:jc w:val="center"/>
              <w:rPr>
                <w:rFonts w:cs="Arial"/>
                <w:color w:val="FFFFFF" w:themeColor="background1"/>
                <w:sz w:val="20"/>
                <w:szCs w:val="20"/>
              </w:rPr>
            </w:pPr>
            <w:r w:rsidRPr="009E683A">
              <w:rPr>
                <w:rFonts w:cs="Arial"/>
                <w:color w:val="FFFFFF" w:themeColor="background1"/>
                <w:sz w:val="20"/>
                <w:szCs w:val="20"/>
              </w:rPr>
              <w:t>Site 5</w:t>
            </w:r>
          </w:p>
        </w:tc>
      </w:tr>
      <w:tr w:rsidR="00A364A1" w14:paraId="02B241C9" w14:textId="77777777" w:rsidTr="00A24FEE">
        <w:tc>
          <w:tcPr>
            <w:tcW w:w="2129" w:type="dxa"/>
            <w:vAlign w:val="center"/>
          </w:tcPr>
          <w:p w14:paraId="2DEF2CE0" w14:textId="75AAF1A5" w:rsidR="00A364A1" w:rsidRDefault="00A364A1" w:rsidP="00A364A1">
            <w:pPr>
              <w:spacing w:before="60" w:after="60" w:line="240" w:lineRule="auto"/>
              <w:ind w:left="0"/>
              <w:rPr>
                <w:rFonts w:cs="Arial"/>
                <w:sz w:val="20"/>
                <w:szCs w:val="20"/>
              </w:rPr>
            </w:pPr>
            <w:r>
              <w:rPr>
                <w:rFonts w:cs="Arial"/>
                <w:sz w:val="20"/>
                <w:szCs w:val="20"/>
              </w:rPr>
              <w:t>207</w:t>
            </w:r>
          </w:p>
        </w:tc>
        <w:tc>
          <w:tcPr>
            <w:tcW w:w="1293" w:type="dxa"/>
            <w:shd w:val="clear" w:color="auto" w:fill="FF0000"/>
            <w:vAlign w:val="center"/>
          </w:tcPr>
          <w:p w14:paraId="4B99541B" w14:textId="157ACDEF" w:rsidR="00A364A1" w:rsidRPr="009E683A" w:rsidRDefault="00291C70" w:rsidP="00AD0F55">
            <w:pPr>
              <w:spacing w:before="60" w:after="60" w:line="240" w:lineRule="auto"/>
              <w:ind w:left="0"/>
              <w:jc w:val="center"/>
              <w:rPr>
                <w:rFonts w:cs="Arial"/>
                <w:sz w:val="20"/>
                <w:szCs w:val="20"/>
              </w:rPr>
            </w:pPr>
            <w:r>
              <w:rPr>
                <w:rFonts w:cs="Arial"/>
                <w:sz w:val="20"/>
                <w:szCs w:val="20"/>
              </w:rPr>
              <w:t>300</w:t>
            </w:r>
          </w:p>
        </w:tc>
        <w:tc>
          <w:tcPr>
            <w:tcW w:w="1296" w:type="dxa"/>
            <w:vAlign w:val="center"/>
          </w:tcPr>
          <w:p w14:paraId="543C7BA1" w14:textId="233AFC41" w:rsidR="00A364A1" w:rsidRPr="009E683A" w:rsidRDefault="00291C70" w:rsidP="00AD0F55">
            <w:pPr>
              <w:spacing w:before="60" w:after="60" w:line="240" w:lineRule="auto"/>
              <w:ind w:left="0"/>
              <w:jc w:val="center"/>
              <w:rPr>
                <w:rFonts w:cs="Arial"/>
                <w:sz w:val="20"/>
                <w:szCs w:val="20"/>
              </w:rPr>
            </w:pPr>
            <w:r>
              <w:rPr>
                <w:rFonts w:cs="Arial"/>
                <w:sz w:val="20"/>
                <w:szCs w:val="20"/>
              </w:rPr>
              <w:t>260</w:t>
            </w:r>
          </w:p>
        </w:tc>
        <w:tc>
          <w:tcPr>
            <w:tcW w:w="1296" w:type="dxa"/>
            <w:vAlign w:val="center"/>
          </w:tcPr>
          <w:p w14:paraId="2F5FB7F1" w14:textId="28EC0675" w:rsidR="00A364A1" w:rsidRPr="009E683A" w:rsidRDefault="00291C70" w:rsidP="00AD0F55">
            <w:pPr>
              <w:spacing w:before="60" w:after="60" w:line="240" w:lineRule="auto"/>
              <w:ind w:left="0"/>
              <w:jc w:val="center"/>
              <w:rPr>
                <w:rFonts w:cs="Arial"/>
                <w:sz w:val="20"/>
                <w:szCs w:val="20"/>
              </w:rPr>
            </w:pPr>
            <w:r>
              <w:rPr>
                <w:rFonts w:cs="Arial"/>
                <w:sz w:val="20"/>
                <w:szCs w:val="20"/>
              </w:rPr>
              <w:t>230</w:t>
            </w:r>
          </w:p>
        </w:tc>
        <w:tc>
          <w:tcPr>
            <w:tcW w:w="1296" w:type="dxa"/>
            <w:vAlign w:val="center"/>
          </w:tcPr>
          <w:p w14:paraId="062053F9" w14:textId="01C07CDE" w:rsidR="00A364A1" w:rsidRPr="009E683A" w:rsidRDefault="00291C70" w:rsidP="00AD0F55">
            <w:pPr>
              <w:spacing w:before="60" w:after="60" w:line="240" w:lineRule="auto"/>
              <w:ind w:left="0"/>
              <w:jc w:val="center"/>
              <w:rPr>
                <w:rFonts w:cs="Arial"/>
                <w:sz w:val="20"/>
                <w:szCs w:val="20"/>
              </w:rPr>
            </w:pPr>
            <w:r>
              <w:rPr>
                <w:rFonts w:cs="Arial"/>
                <w:sz w:val="20"/>
                <w:szCs w:val="20"/>
              </w:rPr>
              <w:t>250</w:t>
            </w:r>
          </w:p>
        </w:tc>
        <w:tc>
          <w:tcPr>
            <w:tcW w:w="1297" w:type="dxa"/>
            <w:vAlign w:val="center"/>
          </w:tcPr>
          <w:p w14:paraId="21422C82" w14:textId="5082F344" w:rsidR="00A364A1" w:rsidRPr="009E683A" w:rsidRDefault="00291C70" w:rsidP="00AD0F55">
            <w:pPr>
              <w:spacing w:before="60" w:after="60" w:line="240" w:lineRule="auto"/>
              <w:ind w:left="0"/>
              <w:jc w:val="center"/>
              <w:rPr>
                <w:rFonts w:cs="Arial"/>
                <w:sz w:val="20"/>
                <w:szCs w:val="20"/>
              </w:rPr>
            </w:pPr>
            <w:r>
              <w:rPr>
                <w:rFonts w:cs="Arial"/>
                <w:sz w:val="20"/>
                <w:szCs w:val="20"/>
              </w:rPr>
              <w:t>220</w:t>
            </w:r>
          </w:p>
        </w:tc>
      </w:tr>
    </w:tbl>
    <w:p w14:paraId="7CCAA859" w14:textId="4D999F92" w:rsidR="00A24FEE" w:rsidRPr="001D2756" w:rsidRDefault="00A24FEE" w:rsidP="00A24FEE">
      <w:pPr>
        <w:spacing w:after="240"/>
        <w:ind w:left="0"/>
        <w:rPr>
          <w:i/>
          <w:sz w:val="18"/>
          <w:szCs w:val="18"/>
        </w:rPr>
      </w:pPr>
      <w:r w:rsidRPr="001D2756">
        <w:rPr>
          <w:i/>
          <w:sz w:val="18"/>
          <w:szCs w:val="18"/>
        </w:rPr>
        <w:t>Cells highlighted in red indicate maximum predicted exten</w:t>
      </w:r>
      <w:r>
        <w:rPr>
          <w:i/>
          <w:sz w:val="18"/>
          <w:szCs w:val="18"/>
        </w:rPr>
        <w:t>t</w:t>
      </w:r>
      <w:r w:rsidRPr="001D2756">
        <w:rPr>
          <w:i/>
          <w:sz w:val="18"/>
          <w:szCs w:val="18"/>
        </w:rPr>
        <w:t xml:space="preserve"> of sound.</w:t>
      </w:r>
    </w:p>
    <w:p w14:paraId="46E6C90E" w14:textId="21593931" w:rsidR="00AB7293" w:rsidRDefault="00107DB7" w:rsidP="0004791D">
      <w:pPr>
        <w:ind w:left="0"/>
        <w:rPr>
          <w:rFonts w:cs="Arial"/>
          <w:sz w:val="22"/>
          <w:szCs w:val="22"/>
        </w:rPr>
      </w:pPr>
      <w:r w:rsidRPr="00C41138">
        <w:rPr>
          <w:rFonts w:cs="Arial"/>
          <w:sz w:val="22"/>
          <w:szCs w:val="22"/>
        </w:rPr>
        <w:t>Table 7.</w:t>
      </w:r>
      <w:r w:rsidR="008939BD" w:rsidRPr="00C41138">
        <w:rPr>
          <w:rFonts w:cs="Arial"/>
          <w:sz w:val="22"/>
          <w:szCs w:val="22"/>
        </w:rPr>
        <w:t>28</w:t>
      </w:r>
      <w:r w:rsidRPr="008939BD">
        <w:rPr>
          <w:rFonts w:cs="Arial"/>
          <w:color w:val="FF0000"/>
          <w:sz w:val="22"/>
          <w:szCs w:val="22"/>
        </w:rPr>
        <w:t xml:space="preserve"> </w:t>
      </w:r>
      <w:r w:rsidR="00DD00A3" w:rsidRPr="00A9083B">
        <w:rPr>
          <w:rFonts w:cs="Arial"/>
          <w:sz w:val="22"/>
          <w:szCs w:val="22"/>
        </w:rPr>
        <w:t>presents</w:t>
      </w:r>
      <w:r w:rsidR="00DD00A3">
        <w:rPr>
          <w:rFonts w:cs="Arial"/>
          <w:sz w:val="22"/>
          <w:szCs w:val="22"/>
        </w:rPr>
        <w:t xml:space="preserve"> </w:t>
      </w:r>
      <w:r w:rsidR="00DF625F">
        <w:rPr>
          <w:rFonts w:cs="Arial"/>
          <w:sz w:val="22"/>
          <w:szCs w:val="22"/>
        </w:rPr>
        <w:t xml:space="preserve">the </w:t>
      </w:r>
      <w:r w:rsidR="00DF625F" w:rsidRPr="00DF625F">
        <w:rPr>
          <w:sz w:val="22"/>
          <w:szCs w:val="22"/>
        </w:rPr>
        <w:t>24</w:t>
      </w:r>
      <w:r w:rsidR="00DF625F" w:rsidRPr="006473FF">
        <w:rPr>
          <w:sz w:val="22"/>
          <w:szCs w:val="22"/>
        </w:rPr>
        <w:t xml:space="preserve">-hour cumulative exposure results for the three possible operational scenarios, and indicates </w:t>
      </w:r>
      <w:r w:rsidR="006473FF" w:rsidRPr="006473FF">
        <w:rPr>
          <w:rFonts w:cs="Arial"/>
          <w:sz w:val="22"/>
          <w:szCs w:val="22"/>
        </w:rPr>
        <w:t>indicate</w:t>
      </w:r>
      <w:r w:rsidR="006473FF">
        <w:rPr>
          <w:rFonts w:cs="Arial"/>
          <w:sz w:val="22"/>
          <w:szCs w:val="22"/>
        </w:rPr>
        <w:t xml:space="preserve"> that scenario 1 results in the smallest area of underwater sound exposure over a 24-hour period </w:t>
      </w:r>
      <w:r w:rsidR="00FA5A65">
        <w:rPr>
          <w:rFonts w:cs="Arial"/>
          <w:sz w:val="22"/>
          <w:szCs w:val="22"/>
        </w:rPr>
        <w:t xml:space="preserve">compared </w:t>
      </w:r>
      <w:r w:rsidR="00A24FEE">
        <w:rPr>
          <w:rFonts w:cs="Arial"/>
          <w:sz w:val="22"/>
          <w:szCs w:val="22"/>
        </w:rPr>
        <w:t>with</w:t>
      </w:r>
      <w:r w:rsidR="006473FF">
        <w:rPr>
          <w:rFonts w:cs="Arial"/>
          <w:sz w:val="22"/>
          <w:szCs w:val="22"/>
        </w:rPr>
        <w:t xml:space="preserve"> scenarios 2 and 3.</w:t>
      </w:r>
    </w:p>
    <w:p w14:paraId="1EBBEE56" w14:textId="77777777" w:rsidR="00AB7293" w:rsidRDefault="00AB7293" w:rsidP="0004791D">
      <w:pPr>
        <w:ind w:left="0"/>
        <w:rPr>
          <w:rFonts w:cs="Arial"/>
          <w:sz w:val="22"/>
          <w:szCs w:val="22"/>
        </w:rPr>
      </w:pPr>
    </w:p>
    <w:p w14:paraId="063D9F81" w14:textId="0188A56F" w:rsidR="00DD00A3" w:rsidRDefault="00DD00A3" w:rsidP="00DD00A3">
      <w:pPr>
        <w:spacing w:after="120" w:line="240" w:lineRule="auto"/>
        <w:ind w:left="0"/>
        <w:jc w:val="center"/>
        <w:rPr>
          <w:rFonts w:ascii="Tahoma" w:hAnsi="Tahoma" w:cs="Arial"/>
          <w:szCs w:val="20"/>
        </w:rPr>
      </w:pPr>
      <w:r>
        <w:rPr>
          <w:rFonts w:cs="Arial"/>
          <w:b/>
          <w:sz w:val="20"/>
          <w:szCs w:val="20"/>
        </w:rPr>
        <w:t>Table 7.</w:t>
      </w:r>
      <w:r w:rsidR="008939BD">
        <w:rPr>
          <w:rFonts w:cs="Arial"/>
          <w:b/>
          <w:sz w:val="20"/>
          <w:szCs w:val="20"/>
        </w:rPr>
        <w:t>28</w:t>
      </w:r>
      <w:r>
        <w:rPr>
          <w:rFonts w:cs="Arial"/>
          <w:b/>
          <w:sz w:val="20"/>
          <w:szCs w:val="20"/>
        </w:rPr>
        <w:t>.</w:t>
      </w:r>
      <w:r>
        <w:rPr>
          <w:rFonts w:cs="Arial"/>
          <w:b/>
          <w:sz w:val="20"/>
          <w:szCs w:val="20"/>
        </w:rPr>
        <w:tab/>
      </w:r>
      <w:r w:rsidRPr="008A483F">
        <w:rPr>
          <w:rFonts w:cs="Arial"/>
          <w:b/>
          <w:sz w:val="20"/>
          <w:szCs w:val="20"/>
        </w:rPr>
        <w:t>Maximum-over-depth distances (in km) to SEL</w:t>
      </w:r>
      <w:r w:rsidRPr="008A483F">
        <w:rPr>
          <w:rFonts w:cs="Arial"/>
          <w:b/>
          <w:sz w:val="20"/>
          <w:szCs w:val="20"/>
          <w:vertAlign w:val="subscript"/>
        </w:rPr>
        <w:t>24h</w:t>
      </w:r>
      <w:r>
        <w:rPr>
          <w:rFonts w:cs="Arial"/>
          <w:b/>
          <w:sz w:val="20"/>
          <w:szCs w:val="20"/>
        </w:rPr>
        <w:t>-</w:t>
      </w:r>
      <w:r w:rsidRPr="008A483F">
        <w:rPr>
          <w:rFonts w:cs="Arial"/>
          <w:b/>
          <w:sz w:val="20"/>
          <w:szCs w:val="20"/>
        </w:rPr>
        <w:t xml:space="preserve">based </w:t>
      </w:r>
      <w:r>
        <w:rPr>
          <w:rFonts w:cs="Arial"/>
          <w:b/>
          <w:sz w:val="20"/>
          <w:szCs w:val="20"/>
        </w:rPr>
        <w:t>turtle</w:t>
      </w:r>
      <w:r w:rsidRPr="008A483F">
        <w:rPr>
          <w:rFonts w:cs="Arial"/>
          <w:b/>
          <w:sz w:val="20"/>
          <w:szCs w:val="20"/>
        </w:rPr>
        <w:t xml:space="preserve"> criteria for three possible scenarios within the Pelican 3DMSS acquisition area</w:t>
      </w:r>
      <w:r w:rsidR="00B93D11">
        <w:rPr>
          <w:rFonts w:cs="Arial"/>
          <w:b/>
          <w:sz w:val="20"/>
          <w:szCs w:val="20"/>
        </w:rPr>
        <w:t xml:space="preserve"> </w:t>
      </w:r>
    </w:p>
    <w:tbl>
      <w:tblPr>
        <w:tblStyle w:val="TableGrid"/>
        <w:tblW w:w="8472" w:type="dxa"/>
        <w:tblLook w:val="04A0" w:firstRow="1" w:lastRow="0" w:firstColumn="1" w:lastColumn="0" w:noHBand="0" w:noVBand="1"/>
      </w:tblPr>
      <w:tblGrid>
        <w:gridCol w:w="2131"/>
        <w:gridCol w:w="954"/>
        <w:gridCol w:w="1134"/>
        <w:gridCol w:w="992"/>
        <w:gridCol w:w="1134"/>
        <w:gridCol w:w="993"/>
        <w:gridCol w:w="1134"/>
      </w:tblGrid>
      <w:tr w:rsidR="00C827B5" w14:paraId="7E34AD1E" w14:textId="77777777" w:rsidTr="00B93D11">
        <w:trPr>
          <w:trHeight w:val="369"/>
        </w:trPr>
        <w:tc>
          <w:tcPr>
            <w:tcW w:w="2131" w:type="dxa"/>
            <w:vMerge w:val="restart"/>
            <w:shd w:val="clear" w:color="auto" w:fill="064EA8"/>
          </w:tcPr>
          <w:p w14:paraId="29E3BAD6" w14:textId="166A4CF9" w:rsidR="00C827B5" w:rsidRPr="000D0DBD" w:rsidRDefault="00C827B5" w:rsidP="00B93D11">
            <w:pPr>
              <w:spacing w:before="60" w:after="60"/>
              <w:ind w:left="0"/>
              <w:rPr>
                <w:rFonts w:cs="Arial"/>
                <w:color w:val="FFFFFF" w:themeColor="background1"/>
                <w:sz w:val="20"/>
                <w:szCs w:val="20"/>
              </w:rPr>
            </w:pPr>
            <w:r w:rsidRPr="000D0DBD">
              <w:rPr>
                <w:rFonts w:cs="Arial"/>
                <w:color w:val="FFFFFF" w:themeColor="background1"/>
                <w:sz w:val="20"/>
                <w:szCs w:val="20"/>
              </w:rPr>
              <w:t>Threshold for SEL</w:t>
            </w:r>
            <w:r w:rsidRPr="00944C40">
              <w:rPr>
                <w:rFonts w:cs="Arial"/>
                <w:color w:val="FFFFFF" w:themeColor="background1"/>
                <w:sz w:val="20"/>
                <w:szCs w:val="20"/>
                <w:vertAlign w:val="subscript"/>
              </w:rPr>
              <w:t>24h</w:t>
            </w:r>
            <w:r w:rsidRPr="000D0DBD">
              <w:rPr>
                <w:rFonts w:cs="Arial"/>
                <w:color w:val="FFFFFF" w:themeColor="background1"/>
                <w:sz w:val="20"/>
                <w:szCs w:val="20"/>
              </w:rPr>
              <w:t xml:space="preserve"> (</w:t>
            </w:r>
            <w:r>
              <w:rPr>
                <w:rFonts w:cs="Arial"/>
                <w:color w:val="FFFFFF" w:themeColor="background1"/>
                <w:sz w:val="20"/>
                <w:szCs w:val="20"/>
              </w:rPr>
              <w:t>dB</w:t>
            </w:r>
            <w:r w:rsidRPr="000D0DBD">
              <w:rPr>
                <w:rFonts w:cs="Arial"/>
                <w:color w:val="FFFFFF" w:themeColor="background1"/>
                <w:sz w:val="20"/>
                <w:szCs w:val="20"/>
              </w:rPr>
              <w:t xml:space="preserve"> </w:t>
            </w:r>
            <w:r w:rsidRPr="000D0DBD">
              <w:rPr>
                <w:color w:val="FFFFFF" w:themeColor="background1"/>
                <w:sz w:val="20"/>
                <w:szCs w:val="20"/>
              </w:rPr>
              <w:t>re 1 μPa</w:t>
            </w:r>
            <w:r w:rsidRPr="000D0DBD">
              <w:rPr>
                <w:color w:val="FFFFFF" w:themeColor="background1"/>
                <w:sz w:val="20"/>
                <w:szCs w:val="20"/>
                <w:vertAlign w:val="superscript"/>
              </w:rPr>
              <w:t>2</w:t>
            </w:r>
            <w:r>
              <w:rPr>
                <w:color w:val="FFFFFF" w:themeColor="background1"/>
                <w:sz w:val="20"/>
                <w:szCs w:val="20"/>
              </w:rPr>
              <w:t>.s</w:t>
            </w:r>
            <w:r w:rsidRPr="000D0DBD">
              <w:rPr>
                <w:color w:val="FFFFFF" w:themeColor="background1"/>
                <w:sz w:val="20"/>
                <w:szCs w:val="20"/>
              </w:rPr>
              <w:t>)</w:t>
            </w:r>
          </w:p>
        </w:tc>
        <w:tc>
          <w:tcPr>
            <w:tcW w:w="2088" w:type="dxa"/>
            <w:gridSpan w:val="2"/>
            <w:shd w:val="clear" w:color="auto" w:fill="064EA8"/>
          </w:tcPr>
          <w:p w14:paraId="60A58E01" w14:textId="77777777" w:rsidR="00C827B5" w:rsidRPr="000D0DBD" w:rsidRDefault="00C827B5" w:rsidP="00AD0F55">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Scenario 1</w:t>
            </w:r>
          </w:p>
        </w:tc>
        <w:tc>
          <w:tcPr>
            <w:tcW w:w="2126" w:type="dxa"/>
            <w:gridSpan w:val="2"/>
            <w:shd w:val="clear" w:color="auto" w:fill="064EA8"/>
          </w:tcPr>
          <w:p w14:paraId="6E2C6064" w14:textId="700BA4D5" w:rsidR="00C827B5" w:rsidRPr="000D0DBD" w:rsidRDefault="00C827B5" w:rsidP="00B93D11">
            <w:pPr>
              <w:spacing w:before="60" w:after="60"/>
              <w:ind w:left="0"/>
              <w:jc w:val="center"/>
              <w:rPr>
                <w:rFonts w:cs="Arial"/>
                <w:color w:val="FFFFFF" w:themeColor="background1"/>
                <w:sz w:val="20"/>
                <w:szCs w:val="20"/>
              </w:rPr>
            </w:pPr>
            <w:r w:rsidRPr="000D0DBD">
              <w:rPr>
                <w:rFonts w:cs="Arial"/>
                <w:color w:val="FFFFFF" w:themeColor="background1"/>
                <w:sz w:val="20"/>
                <w:szCs w:val="20"/>
              </w:rPr>
              <w:t xml:space="preserve">Scenario 2 </w:t>
            </w:r>
          </w:p>
        </w:tc>
        <w:tc>
          <w:tcPr>
            <w:tcW w:w="2127" w:type="dxa"/>
            <w:gridSpan w:val="2"/>
            <w:shd w:val="clear" w:color="auto" w:fill="064EA8"/>
          </w:tcPr>
          <w:p w14:paraId="377AD470" w14:textId="09BF650F" w:rsidR="00C827B5" w:rsidRPr="000D0DBD" w:rsidRDefault="00C827B5" w:rsidP="00B93D11">
            <w:pPr>
              <w:spacing w:before="60" w:after="60"/>
              <w:ind w:left="0"/>
              <w:jc w:val="center"/>
              <w:rPr>
                <w:rFonts w:cs="Arial"/>
                <w:color w:val="FFFFFF" w:themeColor="background1"/>
                <w:sz w:val="20"/>
                <w:szCs w:val="20"/>
              </w:rPr>
            </w:pPr>
            <w:r w:rsidRPr="000D0DBD">
              <w:rPr>
                <w:rFonts w:cs="Arial"/>
                <w:color w:val="FFFFFF" w:themeColor="background1"/>
                <w:sz w:val="20"/>
                <w:szCs w:val="20"/>
              </w:rPr>
              <w:t xml:space="preserve">Scenario 3 </w:t>
            </w:r>
          </w:p>
        </w:tc>
      </w:tr>
      <w:tr w:rsidR="00C827B5" w14:paraId="50AFE58D" w14:textId="77777777" w:rsidTr="00B93D11">
        <w:tc>
          <w:tcPr>
            <w:tcW w:w="2131" w:type="dxa"/>
            <w:vMerge/>
            <w:shd w:val="clear" w:color="auto" w:fill="064EA8"/>
          </w:tcPr>
          <w:p w14:paraId="578C62D1" w14:textId="77777777" w:rsidR="00C827B5" w:rsidRPr="000D0DBD" w:rsidRDefault="00C827B5" w:rsidP="00AD0F55">
            <w:pPr>
              <w:spacing w:before="60" w:after="60" w:line="240" w:lineRule="auto"/>
              <w:ind w:left="0"/>
              <w:jc w:val="center"/>
              <w:rPr>
                <w:rFonts w:cs="Arial"/>
                <w:color w:val="FFFFFF" w:themeColor="background1"/>
                <w:sz w:val="20"/>
                <w:szCs w:val="20"/>
              </w:rPr>
            </w:pPr>
          </w:p>
        </w:tc>
        <w:tc>
          <w:tcPr>
            <w:tcW w:w="954" w:type="dxa"/>
            <w:shd w:val="clear" w:color="auto" w:fill="064EA8"/>
            <w:vAlign w:val="center"/>
          </w:tcPr>
          <w:p w14:paraId="3FB7C1A5" w14:textId="77777777" w:rsidR="00C827B5" w:rsidRPr="000D0DBD" w:rsidRDefault="00C827B5" w:rsidP="00AD0F55">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1134" w:type="dxa"/>
            <w:shd w:val="clear" w:color="auto" w:fill="064EA8"/>
            <w:vAlign w:val="center"/>
          </w:tcPr>
          <w:p w14:paraId="078CA8FE" w14:textId="77777777" w:rsidR="00C827B5" w:rsidRPr="000D0DBD" w:rsidRDefault="00C827B5" w:rsidP="00AD0F55">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c>
          <w:tcPr>
            <w:tcW w:w="992" w:type="dxa"/>
            <w:shd w:val="clear" w:color="auto" w:fill="064EA8"/>
            <w:vAlign w:val="center"/>
          </w:tcPr>
          <w:p w14:paraId="23E05A6C" w14:textId="77777777" w:rsidR="00C827B5" w:rsidRPr="000D0DBD" w:rsidRDefault="00C827B5" w:rsidP="00AD0F55">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1134" w:type="dxa"/>
            <w:shd w:val="clear" w:color="auto" w:fill="064EA8"/>
            <w:vAlign w:val="center"/>
          </w:tcPr>
          <w:p w14:paraId="70F99B9A" w14:textId="77777777" w:rsidR="00C827B5" w:rsidRPr="000D0DBD" w:rsidRDefault="00C827B5" w:rsidP="00AD0F55">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c>
          <w:tcPr>
            <w:tcW w:w="993" w:type="dxa"/>
            <w:shd w:val="clear" w:color="auto" w:fill="064EA8"/>
            <w:vAlign w:val="center"/>
          </w:tcPr>
          <w:p w14:paraId="32D34FE4" w14:textId="77777777" w:rsidR="00C827B5" w:rsidRPr="000D0DBD" w:rsidRDefault="00C827B5" w:rsidP="00AD0F55">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1134" w:type="dxa"/>
            <w:shd w:val="clear" w:color="auto" w:fill="064EA8"/>
            <w:vAlign w:val="center"/>
          </w:tcPr>
          <w:p w14:paraId="6FACBBDC" w14:textId="77777777" w:rsidR="00C827B5" w:rsidRPr="000D0DBD" w:rsidRDefault="00C827B5" w:rsidP="00AD0F55">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Area (km</w:t>
            </w:r>
            <w:r w:rsidRPr="000D0DBD">
              <w:rPr>
                <w:rFonts w:cs="Arial"/>
                <w:color w:val="FFFFFF" w:themeColor="background1"/>
                <w:sz w:val="20"/>
                <w:szCs w:val="20"/>
                <w:vertAlign w:val="superscript"/>
              </w:rPr>
              <w:t>2</w:t>
            </w:r>
            <w:r w:rsidRPr="000D0DBD">
              <w:rPr>
                <w:rFonts w:cs="Arial"/>
                <w:color w:val="FFFFFF" w:themeColor="background1"/>
                <w:sz w:val="20"/>
                <w:szCs w:val="20"/>
              </w:rPr>
              <w:t>)</w:t>
            </w:r>
          </w:p>
        </w:tc>
      </w:tr>
      <w:tr w:rsidR="00C827B5" w14:paraId="31085D32" w14:textId="77777777" w:rsidTr="00A24FEE">
        <w:tc>
          <w:tcPr>
            <w:tcW w:w="2131" w:type="dxa"/>
          </w:tcPr>
          <w:p w14:paraId="3554D57B" w14:textId="3FB30D44" w:rsidR="00C827B5" w:rsidRPr="00A03DC1" w:rsidRDefault="00C827B5" w:rsidP="00DD00A3">
            <w:pPr>
              <w:spacing w:before="60" w:after="60" w:line="240" w:lineRule="auto"/>
              <w:ind w:left="0"/>
              <w:rPr>
                <w:rFonts w:cs="Arial"/>
                <w:sz w:val="20"/>
                <w:szCs w:val="20"/>
              </w:rPr>
            </w:pPr>
            <w:r>
              <w:rPr>
                <w:sz w:val="20"/>
                <w:szCs w:val="20"/>
              </w:rPr>
              <w:t>210</w:t>
            </w:r>
          </w:p>
        </w:tc>
        <w:tc>
          <w:tcPr>
            <w:tcW w:w="954" w:type="dxa"/>
            <w:vAlign w:val="bottom"/>
          </w:tcPr>
          <w:p w14:paraId="128E9F56" w14:textId="2525A3A0" w:rsidR="00C827B5" w:rsidRPr="00A03DC1" w:rsidRDefault="00C827B5" w:rsidP="00AD0F55">
            <w:pPr>
              <w:spacing w:before="60" w:after="60" w:line="240" w:lineRule="auto"/>
              <w:ind w:left="0"/>
              <w:jc w:val="center"/>
              <w:rPr>
                <w:rFonts w:cs="Arial"/>
                <w:sz w:val="20"/>
                <w:szCs w:val="20"/>
              </w:rPr>
            </w:pPr>
            <w:r w:rsidRPr="00A03DC1">
              <w:rPr>
                <w:sz w:val="20"/>
                <w:szCs w:val="20"/>
              </w:rPr>
              <w:t>0.0</w:t>
            </w:r>
            <w:r w:rsidR="00B93D11">
              <w:rPr>
                <w:sz w:val="20"/>
                <w:szCs w:val="20"/>
              </w:rPr>
              <w:t>3</w:t>
            </w:r>
          </w:p>
        </w:tc>
        <w:tc>
          <w:tcPr>
            <w:tcW w:w="1134" w:type="dxa"/>
            <w:vAlign w:val="bottom"/>
          </w:tcPr>
          <w:p w14:paraId="04835CF2" w14:textId="48C1EDDF" w:rsidR="00C827B5" w:rsidRPr="00A03DC1" w:rsidRDefault="00B93D11" w:rsidP="00AD0F55">
            <w:pPr>
              <w:spacing w:before="60" w:after="60" w:line="240" w:lineRule="auto"/>
              <w:ind w:left="0"/>
              <w:jc w:val="center"/>
              <w:rPr>
                <w:rFonts w:cs="Arial"/>
                <w:sz w:val="20"/>
                <w:szCs w:val="20"/>
              </w:rPr>
            </w:pPr>
            <w:r>
              <w:rPr>
                <w:sz w:val="20"/>
                <w:szCs w:val="20"/>
              </w:rPr>
              <w:t>2.93</w:t>
            </w:r>
          </w:p>
        </w:tc>
        <w:tc>
          <w:tcPr>
            <w:tcW w:w="992" w:type="dxa"/>
            <w:vAlign w:val="bottom"/>
          </w:tcPr>
          <w:p w14:paraId="2B4F34EA" w14:textId="1FE366EE" w:rsidR="00C827B5" w:rsidRPr="00A03DC1" w:rsidRDefault="00C827B5" w:rsidP="00AD0F55">
            <w:pPr>
              <w:spacing w:before="60" w:after="60" w:line="240" w:lineRule="auto"/>
              <w:ind w:left="0"/>
              <w:jc w:val="center"/>
              <w:rPr>
                <w:rFonts w:cs="Arial"/>
                <w:sz w:val="20"/>
                <w:szCs w:val="20"/>
              </w:rPr>
            </w:pPr>
            <w:r w:rsidRPr="00A03DC1">
              <w:rPr>
                <w:sz w:val="20"/>
                <w:szCs w:val="20"/>
              </w:rPr>
              <w:t>0.0</w:t>
            </w:r>
            <w:r>
              <w:rPr>
                <w:sz w:val="20"/>
                <w:szCs w:val="20"/>
              </w:rPr>
              <w:t>4</w:t>
            </w:r>
          </w:p>
        </w:tc>
        <w:tc>
          <w:tcPr>
            <w:tcW w:w="1134" w:type="dxa"/>
            <w:vAlign w:val="bottom"/>
          </w:tcPr>
          <w:p w14:paraId="18ADC2C9" w14:textId="6FC1F15D" w:rsidR="00C827B5" w:rsidRPr="00A03DC1" w:rsidRDefault="00B93D11" w:rsidP="00AD0F55">
            <w:pPr>
              <w:spacing w:before="60" w:after="60" w:line="240" w:lineRule="auto"/>
              <w:ind w:left="0"/>
              <w:jc w:val="center"/>
              <w:rPr>
                <w:rFonts w:cs="Arial"/>
                <w:sz w:val="20"/>
                <w:szCs w:val="20"/>
              </w:rPr>
            </w:pPr>
            <w:r>
              <w:rPr>
                <w:sz w:val="20"/>
                <w:szCs w:val="20"/>
              </w:rPr>
              <w:t>4.1</w:t>
            </w:r>
          </w:p>
        </w:tc>
        <w:tc>
          <w:tcPr>
            <w:tcW w:w="993" w:type="dxa"/>
            <w:shd w:val="clear" w:color="auto" w:fill="FF0000"/>
            <w:vAlign w:val="bottom"/>
          </w:tcPr>
          <w:p w14:paraId="5D166153" w14:textId="1B3E070E" w:rsidR="00C827B5" w:rsidRPr="00A03DC1" w:rsidRDefault="00B93D11" w:rsidP="00AD0F55">
            <w:pPr>
              <w:spacing w:before="60" w:after="60" w:line="240" w:lineRule="auto"/>
              <w:ind w:left="0"/>
              <w:jc w:val="center"/>
              <w:rPr>
                <w:rFonts w:cs="Arial"/>
                <w:sz w:val="20"/>
                <w:szCs w:val="20"/>
              </w:rPr>
            </w:pPr>
            <w:r>
              <w:rPr>
                <w:sz w:val="20"/>
                <w:szCs w:val="20"/>
              </w:rPr>
              <w:t>0.06</w:t>
            </w:r>
          </w:p>
        </w:tc>
        <w:tc>
          <w:tcPr>
            <w:tcW w:w="1134" w:type="dxa"/>
            <w:vAlign w:val="bottom"/>
          </w:tcPr>
          <w:p w14:paraId="3EA091DB" w14:textId="414530B4" w:rsidR="00C827B5" w:rsidRPr="00A03DC1" w:rsidRDefault="00B93D11" w:rsidP="00AD0F55">
            <w:pPr>
              <w:spacing w:before="60" w:after="60" w:line="240" w:lineRule="auto"/>
              <w:ind w:left="0"/>
              <w:jc w:val="center"/>
              <w:rPr>
                <w:rFonts w:cs="Arial"/>
                <w:sz w:val="20"/>
                <w:szCs w:val="20"/>
              </w:rPr>
            </w:pPr>
            <w:r>
              <w:rPr>
                <w:sz w:val="20"/>
                <w:szCs w:val="20"/>
              </w:rPr>
              <w:t>4.85</w:t>
            </w:r>
          </w:p>
        </w:tc>
      </w:tr>
    </w:tbl>
    <w:p w14:paraId="4BA2C42D" w14:textId="2444D379" w:rsidR="00A24FEE" w:rsidRPr="001D2756" w:rsidRDefault="00A24FEE" w:rsidP="00A24FEE">
      <w:pPr>
        <w:spacing w:after="240"/>
        <w:ind w:left="0"/>
        <w:rPr>
          <w:i/>
          <w:sz w:val="18"/>
          <w:szCs w:val="18"/>
        </w:rPr>
      </w:pPr>
      <w:r w:rsidRPr="001D2756">
        <w:rPr>
          <w:i/>
          <w:sz w:val="18"/>
          <w:szCs w:val="18"/>
        </w:rPr>
        <w:t>Cells highlighted in red indicate maximum predicted exten</w:t>
      </w:r>
      <w:r>
        <w:rPr>
          <w:i/>
          <w:sz w:val="18"/>
          <w:szCs w:val="18"/>
        </w:rPr>
        <w:t>t</w:t>
      </w:r>
      <w:r w:rsidRPr="001D2756">
        <w:rPr>
          <w:i/>
          <w:sz w:val="18"/>
          <w:szCs w:val="18"/>
        </w:rPr>
        <w:t xml:space="preserve"> of sound.</w:t>
      </w:r>
    </w:p>
    <w:p w14:paraId="72A1B86E" w14:textId="61A57DB4" w:rsidR="006473FF" w:rsidRPr="003F25B6" w:rsidRDefault="00A24FEE" w:rsidP="006473FF">
      <w:pPr>
        <w:spacing w:after="120" w:line="240" w:lineRule="auto"/>
        <w:ind w:left="0"/>
        <w:rPr>
          <w:rFonts w:cs="Arial"/>
          <w:sz w:val="22"/>
          <w:szCs w:val="22"/>
          <w:u w:val="single"/>
        </w:rPr>
      </w:pPr>
      <w:r>
        <w:rPr>
          <w:rFonts w:cs="Arial"/>
          <w:sz w:val="22"/>
          <w:szCs w:val="22"/>
          <w:u w:val="single"/>
        </w:rPr>
        <w:t>Predicted i</w:t>
      </w:r>
      <w:r w:rsidR="006473FF">
        <w:rPr>
          <w:rFonts w:cs="Arial"/>
          <w:sz w:val="22"/>
          <w:szCs w:val="22"/>
          <w:u w:val="single"/>
        </w:rPr>
        <w:t>mpacts</w:t>
      </w:r>
    </w:p>
    <w:p w14:paraId="6A73A958" w14:textId="7EA34E21" w:rsidR="00FF63E5" w:rsidRDefault="00B76145" w:rsidP="00340907">
      <w:pPr>
        <w:ind w:left="0"/>
        <w:rPr>
          <w:rFonts w:cs="Arial"/>
          <w:sz w:val="22"/>
          <w:szCs w:val="22"/>
        </w:rPr>
      </w:pPr>
      <w:r w:rsidRPr="00594614">
        <w:rPr>
          <w:rFonts w:cs="Arial"/>
          <w:sz w:val="22"/>
          <w:szCs w:val="22"/>
        </w:rPr>
        <w:t xml:space="preserve">The acquisition area for the </w:t>
      </w:r>
      <w:r w:rsidR="0004791D" w:rsidRPr="00594614">
        <w:rPr>
          <w:rFonts w:cs="Arial"/>
          <w:sz w:val="22"/>
          <w:szCs w:val="22"/>
        </w:rPr>
        <w:t>Pelican 3DMSS</w:t>
      </w:r>
      <w:r w:rsidRPr="00594614">
        <w:rPr>
          <w:rFonts w:cs="Arial"/>
          <w:sz w:val="22"/>
          <w:szCs w:val="22"/>
        </w:rPr>
        <w:t xml:space="preserve"> does not overlap </w:t>
      </w:r>
      <w:r w:rsidR="006473FF">
        <w:rPr>
          <w:rFonts w:cs="Arial"/>
          <w:sz w:val="22"/>
          <w:szCs w:val="22"/>
        </w:rPr>
        <w:t>any</w:t>
      </w:r>
      <w:r w:rsidRPr="00594614">
        <w:rPr>
          <w:rFonts w:cs="Arial"/>
          <w:sz w:val="22"/>
          <w:szCs w:val="22"/>
        </w:rPr>
        <w:t xml:space="preserve"> marine turtle</w:t>
      </w:r>
      <w:r w:rsidR="006473FF">
        <w:rPr>
          <w:rFonts w:cs="Arial"/>
          <w:sz w:val="22"/>
          <w:szCs w:val="22"/>
        </w:rPr>
        <w:t xml:space="preserve"> BIA</w:t>
      </w:r>
      <w:r w:rsidRPr="00594614">
        <w:rPr>
          <w:rFonts w:cs="Arial"/>
          <w:sz w:val="22"/>
          <w:szCs w:val="22"/>
        </w:rPr>
        <w:t>s and the likelihood of encounter</w:t>
      </w:r>
      <w:r w:rsidR="006473FF">
        <w:rPr>
          <w:rFonts w:cs="Arial"/>
          <w:sz w:val="22"/>
          <w:szCs w:val="22"/>
        </w:rPr>
        <w:t>ing</w:t>
      </w:r>
      <w:r w:rsidRPr="00594614">
        <w:rPr>
          <w:rFonts w:cs="Arial"/>
          <w:sz w:val="22"/>
          <w:szCs w:val="22"/>
        </w:rPr>
        <w:t xml:space="preserve"> </w:t>
      </w:r>
      <w:r w:rsidR="00A24FEE">
        <w:rPr>
          <w:rFonts w:cs="Arial"/>
          <w:sz w:val="22"/>
          <w:szCs w:val="22"/>
        </w:rPr>
        <w:t xml:space="preserve">marine </w:t>
      </w:r>
      <w:r w:rsidR="006473FF">
        <w:rPr>
          <w:rFonts w:cs="Arial"/>
          <w:sz w:val="22"/>
          <w:szCs w:val="22"/>
        </w:rPr>
        <w:t xml:space="preserve">turtles off the Victorian coast </w:t>
      </w:r>
      <w:r w:rsidRPr="00594614">
        <w:rPr>
          <w:rFonts w:cs="Arial"/>
          <w:sz w:val="22"/>
          <w:szCs w:val="22"/>
        </w:rPr>
        <w:t>is considered very low</w:t>
      </w:r>
      <w:r w:rsidR="0004791D" w:rsidRPr="00594614">
        <w:rPr>
          <w:rFonts w:cs="Arial"/>
          <w:sz w:val="22"/>
          <w:szCs w:val="22"/>
        </w:rPr>
        <w:t xml:space="preserve"> (see Section </w:t>
      </w:r>
      <w:r w:rsidR="00A9083B">
        <w:rPr>
          <w:rFonts w:cs="Arial"/>
          <w:sz w:val="22"/>
          <w:szCs w:val="22"/>
        </w:rPr>
        <w:t>5.4.7</w:t>
      </w:r>
      <w:r w:rsidR="0004791D" w:rsidRPr="00594614">
        <w:rPr>
          <w:rFonts w:cs="Arial"/>
          <w:sz w:val="22"/>
          <w:szCs w:val="22"/>
        </w:rPr>
        <w:t>)</w:t>
      </w:r>
      <w:r w:rsidRPr="00594614">
        <w:rPr>
          <w:rFonts w:cs="Arial"/>
          <w:sz w:val="22"/>
          <w:szCs w:val="22"/>
        </w:rPr>
        <w:t>. Based on th</w:t>
      </w:r>
      <w:r w:rsidR="0004791D" w:rsidRPr="00594614">
        <w:rPr>
          <w:rFonts w:cs="Arial"/>
          <w:sz w:val="22"/>
          <w:szCs w:val="22"/>
        </w:rPr>
        <w:t xml:space="preserve">is and </w:t>
      </w:r>
      <w:r w:rsidR="00107DB7" w:rsidRPr="00594614">
        <w:rPr>
          <w:rFonts w:cs="Arial"/>
          <w:sz w:val="22"/>
          <w:szCs w:val="22"/>
        </w:rPr>
        <w:t>the</w:t>
      </w:r>
      <w:r w:rsidRPr="00594614">
        <w:rPr>
          <w:rFonts w:cs="Arial"/>
          <w:sz w:val="22"/>
          <w:szCs w:val="22"/>
        </w:rPr>
        <w:t xml:space="preserve"> ad</w:t>
      </w:r>
      <w:r w:rsidR="00107DB7" w:rsidRPr="00594614">
        <w:rPr>
          <w:rFonts w:cs="Arial"/>
          <w:sz w:val="22"/>
          <w:szCs w:val="22"/>
        </w:rPr>
        <w:t xml:space="preserve">option of soft-start procedures, </w:t>
      </w:r>
      <w:r w:rsidRPr="00594614">
        <w:rPr>
          <w:rFonts w:cs="Arial"/>
          <w:sz w:val="22"/>
          <w:szCs w:val="22"/>
        </w:rPr>
        <w:t xml:space="preserve">the risk of </w:t>
      </w:r>
      <w:r w:rsidR="006473FF">
        <w:rPr>
          <w:rFonts w:cs="Arial"/>
          <w:sz w:val="22"/>
          <w:szCs w:val="22"/>
        </w:rPr>
        <w:t xml:space="preserve">injury or mortality to individual turtles is negligible (as is the potential for impacts to turtles at a population level). </w:t>
      </w:r>
    </w:p>
    <w:p w14:paraId="58704933" w14:textId="77777777" w:rsidR="0004791D" w:rsidRPr="00340907" w:rsidRDefault="0004791D" w:rsidP="00340907">
      <w:pPr>
        <w:ind w:left="0"/>
        <w:rPr>
          <w:rFonts w:ascii="Tahoma" w:hAnsi="Tahoma" w:cs="Arial"/>
          <w:szCs w:val="20"/>
        </w:rPr>
      </w:pPr>
    </w:p>
    <w:p w14:paraId="66B50670" w14:textId="1AD1F3C3" w:rsidR="00B76145" w:rsidRPr="00E939A7" w:rsidRDefault="00A24FEE" w:rsidP="004374F1">
      <w:pPr>
        <w:spacing w:after="120"/>
        <w:ind w:left="0"/>
        <w:rPr>
          <w:rFonts w:cs="Arial"/>
          <w:b/>
          <w:sz w:val="22"/>
          <w:szCs w:val="22"/>
        </w:rPr>
      </w:pPr>
      <w:r>
        <w:rPr>
          <w:rFonts w:cs="Arial"/>
          <w:b/>
          <w:sz w:val="22"/>
          <w:szCs w:val="22"/>
        </w:rPr>
        <w:t xml:space="preserve">Impacts to </w:t>
      </w:r>
      <w:r w:rsidR="00B76145" w:rsidRPr="00E939A7">
        <w:rPr>
          <w:rFonts w:cs="Arial"/>
          <w:b/>
          <w:sz w:val="22"/>
          <w:szCs w:val="22"/>
        </w:rPr>
        <w:t xml:space="preserve">Marine </w:t>
      </w:r>
      <w:r w:rsidR="00995ECB">
        <w:rPr>
          <w:rFonts w:cs="Arial"/>
          <w:b/>
          <w:sz w:val="22"/>
          <w:szCs w:val="22"/>
        </w:rPr>
        <w:t>Protected Areas</w:t>
      </w:r>
      <w:r w:rsidR="00423C9E">
        <w:rPr>
          <w:rFonts w:cs="Arial"/>
          <w:b/>
          <w:sz w:val="22"/>
          <w:szCs w:val="22"/>
        </w:rPr>
        <w:t xml:space="preserve"> </w:t>
      </w:r>
    </w:p>
    <w:p w14:paraId="3DB42D60" w14:textId="368C2182" w:rsidR="00995ECB" w:rsidRDefault="00B76145" w:rsidP="004374F1">
      <w:pPr>
        <w:ind w:left="0"/>
        <w:rPr>
          <w:rFonts w:cs="Arial"/>
          <w:sz w:val="22"/>
          <w:szCs w:val="22"/>
        </w:rPr>
      </w:pPr>
      <w:r w:rsidRPr="00E939A7">
        <w:rPr>
          <w:rFonts w:cs="Arial"/>
          <w:sz w:val="22"/>
          <w:szCs w:val="22"/>
        </w:rPr>
        <w:t xml:space="preserve">The conservation values of marine </w:t>
      </w:r>
      <w:r w:rsidR="00995ECB">
        <w:rPr>
          <w:rFonts w:cs="Arial"/>
          <w:sz w:val="22"/>
          <w:szCs w:val="22"/>
        </w:rPr>
        <w:t>protected areas</w:t>
      </w:r>
      <w:r w:rsidRPr="00E939A7">
        <w:rPr>
          <w:rFonts w:cs="Arial"/>
          <w:sz w:val="22"/>
          <w:szCs w:val="22"/>
        </w:rPr>
        <w:t xml:space="preserve"> in proximity and affected by the </w:t>
      </w:r>
      <w:r w:rsidR="00DF3B4B" w:rsidRPr="00E939A7">
        <w:rPr>
          <w:rFonts w:cs="Arial"/>
          <w:sz w:val="22"/>
          <w:szCs w:val="22"/>
        </w:rPr>
        <w:t xml:space="preserve">proposed Pelican 3DMSS </w:t>
      </w:r>
      <w:r w:rsidRPr="00E939A7">
        <w:rPr>
          <w:rFonts w:cs="Arial"/>
          <w:sz w:val="22"/>
          <w:szCs w:val="22"/>
        </w:rPr>
        <w:t xml:space="preserve">are described in Section </w:t>
      </w:r>
      <w:r w:rsidR="00AA0138">
        <w:rPr>
          <w:rFonts w:cs="Arial"/>
          <w:sz w:val="22"/>
          <w:szCs w:val="22"/>
        </w:rPr>
        <w:t>5.2.1</w:t>
      </w:r>
      <w:r w:rsidR="00DF3B4B" w:rsidRPr="00E939A7">
        <w:rPr>
          <w:rFonts w:cs="Arial"/>
          <w:sz w:val="22"/>
          <w:szCs w:val="22"/>
        </w:rPr>
        <w:t xml:space="preserve"> and Section </w:t>
      </w:r>
      <w:r w:rsidR="00AA0138">
        <w:rPr>
          <w:rFonts w:cs="Arial"/>
          <w:sz w:val="22"/>
          <w:szCs w:val="22"/>
        </w:rPr>
        <w:t>5.2.9</w:t>
      </w:r>
      <w:r w:rsidRPr="00E939A7">
        <w:rPr>
          <w:rFonts w:cs="Arial"/>
          <w:sz w:val="22"/>
          <w:szCs w:val="22"/>
        </w:rPr>
        <w:t>.</w:t>
      </w:r>
      <w:r w:rsidR="0014676E">
        <w:rPr>
          <w:rFonts w:cs="Arial"/>
          <w:sz w:val="22"/>
          <w:szCs w:val="22"/>
        </w:rPr>
        <w:t xml:space="preserve"> </w:t>
      </w:r>
      <w:r w:rsidR="00E939A7">
        <w:rPr>
          <w:rFonts w:cs="Arial"/>
          <w:sz w:val="22"/>
          <w:szCs w:val="22"/>
        </w:rPr>
        <w:t xml:space="preserve">The </w:t>
      </w:r>
      <w:r w:rsidR="00E939A7">
        <w:rPr>
          <w:rFonts w:cs="Arial"/>
          <w:sz w:val="22"/>
          <w:szCs w:val="22"/>
        </w:rPr>
        <w:lastRenderedPageBreak/>
        <w:t xml:space="preserve">nearest marine protected area to the </w:t>
      </w:r>
      <w:r w:rsidR="00E939A7" w:rsidRPr="00E939A7">
        <w:rPr>
          <w:rFonts w:cs="Arial"/>
          <w:sz w:val="22"/>
          <w:szCs w:val="22"/>
        </w:rPr>
        <w:t xml:space="preserve">proposed acquisition area </w:t>
      </w:r>
      <w:r w:rsidR="00E939A7">
        <w:rPr>
          <w:rFonts w:cs="Arial"/>
          <w:sz w:val="22"/>
          <w:szCs w:val="22"/>
        </w:rPr>
        <w:t>is t</w:t>
      </w:r>
      <w:r w:rsidRPr="00E939A7">
        <w:rPr>
          <w:rFonts w:cs="Arial"/>
          <w:sz w:val="22"/>
          <w:szCs w:val="22"/>
        </w:rPr>
        <w:t xml:space="preserve">he </w:t>
      </w:r>
      <w:r w:rsidR="00BA63DB" w:rsidRPr="00E939A7">
        <w:rPr>
          <w:rFonts w:cs="Arial"/>
          <w:sz w:val="22"/>
          <w:szCs w:val="22"/>
        </w:rPr>
        <w:t xml:space="preserve">Ninety Mile Beach </w:t>
      </w:r>
      <w:r w:rsidR="00E939A7">
        <w:rPr>
          <w:rFonts w:cs="Arial"/>
          <w:sz w:val="22"/>
          <w:szCs w:val="22"/>
        </w:rPr>
        <w:t>MNP,</w:t>
      </w:r>
      <w:r w:rsidRPr="00E939A7">
        <w:rPr>
          <w:rFonts w:cs="Arial"/>
          <w:sz w:val="22"/>
          <w:szCs w:val="22"/>
        </w:rPr>
        <w:t xml:space="preserve"> </w:t>
      </w:r>
      <w:r w:rsidR="00BA63DB" w:rsidRPr="00E939A7">
        <w:rPr>
          <w:rFonts w:cs="Arial"/>
          <w:sz w:val="22"/>
          <w:szCs w:val="22"/>
        </w:rPr>
        <w:t>located 14.5 km</w:t>
      </w:r>
      <w:r w:rsidRPr="00E939A7">
        <w:rPr>
          <w:rFonts w:cs="Arial"/>
          <w:sz w:val="22"/>
          <w:szCs w:val="22"/>
        </w:rPr>
        <w:t xml:space="preserve"> </w:t>
      </w:r>
      <w:r w:rsidR="00E939A7">
        <w:rPr>
          <w:rFonts w:cs="Arial"/>
          <w:sz w:val="22"/>
          <w:szCs w:val="22"/>
        </w:rPr>
        <w:t>to the southwest</w:t>
      </w:r>
      <w:r w:rsidRPr="00E939A7">
        <w:rPr>
          <w:rFonts w:cs="Arial"/>
          <w:sz w:val="22"/>
          <w:szCs w:val="22"/>
        </w:rPr>
        <w:t xml:space="preserve">. </w:t>
      </w:r>
      <w:r w:rsidR="00995ECB">
        <w:rPr>
          <w:rFonts w:cs="Arial"/>
          <w:sz w:val="22"/>
          <w:szCs w:val="22"/>
        </w:rPr>
        <w:t xml:space="preserve">The nearest CMR </w:t>
      </w:r>
      <w:r w:rsidR="00675AED">
        <w:rPr>
          <w:rFonts w:cs="Arial"/>
          <w:sz w:val="22"/>
          <w:szCs w:val="22"/>
        </w:rPr>
        <w:t xml:space="preserve">(Beagle) </w:t>
      </w:r>
      <w:r w:rsidR="00995ECB">
        <w:rPr>
          <w:rFonts w:cs="Arial"/>
          <w:sz w:val="22"/>
          <w:szCs w:val="22"/>
        </w:rPr>
        <w:t xml:space="preserve">is located 88 km to the southwest of the proposed acquisition area, outside the </w:t>
      </w:r>
      <w:r w:rsidR="00423C9E">
        <w:rPr>
          <w:rFonts w:cs="Arial"/>
          <w:sz w:val="22"/>
          <w:szCs w:val="22"/>
        </w:rPr>
        <w:t xml:space="preserve">proposed survey’s </w:t>
      </w:r>
      <w:r w:rsidR="00995ECB">
        <w:rPr>
          <w:rFonts w:cs="Arial"/>
          <w:sz w:val="22"/>
          <w:szCs w:val="22"/>
        </w:rPr>
        <w:t xml:space="preserve">underwater sound </w:t>
      </w:r>
      <w:r w:rsidR="00423C9E">
        <w:rPr>
          <w:rFonts w:cs="Arial"/>
          <w:sz w:val="22"/>
          <w:szCs w:val="22"/>
        </w:rPr>
        <w:t>EMBA</w:t>
      </w:r>
      <w:r w:rsidR="00995ECB">
        <w:rPr>
          <w:rFonts w:cs="Arial"/>
          <w:sz w:val="22"/>
          <w:szCs w:val="22"/>
        </w:rPr>
        <w:t xml:space="preserve">. </w:t>
      </w:r>
    </w:p>
    <w:p w14:paraId="0827105B" w14:textId="77777777" w:rsidR="00995ECB" w:rsidRDefault="00995ECB" w:rsidP="004374F1">
      <w:pPr>
        <w:ind w:left="0"/>
        <w:rPr>
          <w:rFonts w:cs="Arial"/>
          <w:sz w:val="22"/>
          <w:szCs w:val="22"/>
        </w:rPr>
      </w:pPr>
    </w:p>
    <w:p w14:paraId="481D27A5" w14:textId="1C8B47D0" w:rsidR="00B76145" w:rsidRDefault="00E939A7" w:rsidP="004374F1">
      <w:pPr>
        <w:ind w:left="0"/>
        <w:rPr>
          <w:rFonts w:cs="Arial"/>
          <w:sz w:val="22"/>
          <w:szCs w:val="22"/>
        </w:rPr>
      </w:pPr>
      <w:r>
        <w:rPr>
          <w:rFonts w:cs="Arial"/>
          <w:sz w:val="22"/>
          <w:szCs w:val="22"/>
        </w:rPr>
        <w:t xml:space="preserve">The STLM </w:t>
      </w:r>
      <w:r w:rsidR="00B76145" w:rsidRPr="00E939A7">
        <w:rPr>
          <w:rFonts w:cs="Arial"/>
          <w:sz w:val="22"/>
          <w:szCs w:val="22"/>
        </w:rPr>
        <w:t xml:space="preserve">has identified that the received sound at the </w:t>
      </w:r>
      <w:r w:rsidR="006A46B5">
        <w:rPr>
          <w:rFonts w:cs="Arial"/>
          <w:sz w:val="22"/>
          <w:szCs w:val="22"/>
        </w:rPr>
        <w:t xml:space="preserve">eastern-most </w:t>
      </w:r>
      <w:r w:rsidR="00A24FEE">
        <w:rPr>
          <w:rFonts w:cs="Arial"/>
          <w:sz w:val="22"/>
          <w:szCs w:val="22"/>
        </w:rPr>
        <w:t xml:space="preserve">offshore </w:t>
      </w:r>
      <w:r w:rsidR="00B76145" w:rsidRPr="00E939A7">
        <w:rPr>
          <w:rFonts w:cs="Arial"/>
          <w:sz w:val="22"/>
          <w:szCs w:val="22"/>
        </w:rPr>
        <w:t xml:space="preserve">boundary of </w:t>
      </w:r>
      <w:r w:rsidR="00BA63DB" w:rsidRPr="0014676E">
        <w:rPr>
          <w:rFonts w:cs="Arial"/>
          <w:sz w:val="22"/>
          <w:szCs w:val="22"/>
        </w:rPr>
        <w:t xml:space="preserve">this </w:t>
      </w:r>
      <w:r w:rsidRPr="0014676E">
        <w:rPr>
          <w:rFonts w:cs="Arial"/>
          <w:sz w:val="22"/>
          <w:szCs w:val="22"/>
        </w:rPr>
        <w:t>MNP</w:t>
      </w:r>
      <w:r w:rsidR="00BA63DB" w:rsidRPr="0014676E">
        <w:rPr>
          <w:rFonts w:cs="Arial"/>
          <w:sz w:val="22"/>
          <w:szCs w:val="22"/>
        </w:rPr>
        <w:t xml:space="preserve"> </w:t>
      </w:r>
      <w:r w:rsidR="00B76145" w:rsidRPr="0014676E">
        <w:rPr>
          <w:rFonts w:cs="Arial"/>
          <w:sz w:val="22"/>
          <w:szCs w:val="22"/>
        </w:rPr>
        <w:t xml:space="preserve">will not exceed </w:t>
      </w:r>
      <w:r w:rsidRPr="0014676E">
        <w:rPr>
          <w:rFonts w:cs="Arial"/>
          <w:sz w:val="22"/>
          <w:szCs w:val="22"/>
        </w:rPr>
        <w:t>any thresholds likely to cause behavioural impacts to fish, cetaceans, crustaceans or bivalves</w:t>
      </w:r>
      <w:r w:rsidR="0014676E" w:rsidRPr="0014676E">
        <w:rPr>
          <w:rFonts w:cs="Arial"/>
          <w:sz w:val="22"/>
          <w:szCs w:val="22"/>
        </w:rPr>
        <w:t>,</w:t>
      </w:r>
      <w:r w:rsidR="0014676E">
        <w:rPr>
          <w:rFonts w:cs="Arial"/>
          <w:sz w:val="22"/>
          <w:szCs w:val="22"/>
        </w:rPr>
        <w:t xml:space="preserve"> or disturbance to divers, as outlined in </w:t>
      </w:r>
      <w:r w:rsidR="0014676E" w:rsidRPr="00C41138">
        <w:rPr>
          <w:rFonts w:cs="Arial"/>
          <w:sz w:val="22"/>
          <w:szCs w:val="22"/>
        </w:rPr>
        <w:t>Table 7.</w:t>
      </w:r>
      <w:r w:rsidR="00E66941" w:rsidRPr="00C41138">
        <w:rPr>
          <w:rFonts w:cs="Arial"/>
          <w:sz w:val="22"/>
          <w:szCs w:val="22"/>
        </w:rPr>
        <w:t>29</w:t>
      </w:r>
      <w:r w:rsidR="00B93D11" w:rsidRPr="00C41138">
        <w:rPr>
          <w:rFonts w:cs="Arial"/>
          <w:sz w:val="22"/>
          <w:szCs w:val="22"/>
        </w:rPr>
        <w:t xml:space="preserve"> and Table 7.</w:t>
      </w:r>
      <w:r w:rsidR="004F36FD" w:rsidRPr="00C41138">
        <w:rPr>
          <w:rFonts w:cs="Arial"/>
          <w:sz w:val="22"/>
          <w:szCs w:val="22"/>
        </w:rPr>
        <w:t>3</w:t>
      </w:r>
      <w:r w:rsidR="00E66941" w:rsidRPr="00C41138">
        <w:rPr>
          <w:rFonts w:cs="Arial"/>
          <w:sz w:val="22"/>
          <w:szCs w:val="22"/>
        </w:rPr>
        <w:t>0</w:t>
      </w:r>
      <w:r w:rsidR="0014676E" w:rsidRPr="00C41138">
        <w:rPr>
          <w:rFonts w:cs="Arial"/>
          <w:sz w:val="22"/>
          <w:szCs w:val="22"/>
        </w:rPr>
        <w:t>.</w:t>
      </w:r>
      <w:r w:rsidR="0014676E">
        <w:rPr>
          <w:rFonts w:cs="Arial"/>
          <w:sz w:val="22"/>
          <w:szCs w:val="22"/>
        </w:rPr>
        <w:t xml:space="preserve"> </w:t>
      </w:r>
    </w:p>
    <w:p w14:paraId="110068EF" w14:textId="77777777" w:rsidR="0014676E" w:rsidRDefault="0014676E" w:rsidP="004374F1">
      <w:pPr>
        <w:ind w:left="0"/>
        <w:rPr>
          <w:rFonts w:cs="Arial"/>
          <w:sz w:val="22"/>
          <w:szCs w:val="22"/>
        </w:rPr>
      </w:pPr>
    </w:p>
    <w:p w14:paraId="601C7902" w14:textId="37368142" w:rsidR="00604EAF" w:rsidRPr="00604EAF" w:rsidRDefault="00604EAF" w:rsidP="00604EAF">
      <w:pPr>
        <w:pStyle w:val="Caption"/>
        <w:spacing w:after="120"/>
        <w:jc w:val="center"/>
        <w:rPr>
          <w:rFonts w:ascii="Arial" w:hAnsi="Arial" w:cs="Arial"/>
          <w:color w:val="auto"/>
          <w:sz w:val="20"/>
          <w:szCs w:val="20"/>
        </w:rPr>
      </w:pPr>
      <w:r>
        <w:rPr>
          <w:rFonts w:ascii="Arial" w:hAnsi="Arial" w:cs="Arial"/>
          <w:color w:val="auto"/>
          <w:sz w:val="20"/>
          <w:szCs w:val="20"/>
        </w:rPr>
        <w:t>Table 7.</w:t>
      </w:r>
      <w:r w:rsidR="00E66941">
        <w:rPr>
          <w:rFonts w:ascii="Arial" w:hAnsi="Arial" w:cs="Arial"/>
          <w:color w:val="auto"/>
          <w:sz w:val="20"/>
          <w:szCs w:val="20"/>
        </w:rPr>
        <w:t>29</w:t>
      </w:r>
      <w:r w:rsidR="007F6C35">
        <w:rPr>
          <w:rFonts w:ascii="Arial" w:hAnsi="Arial" w:cs="Arial"/>
          <w:color w:val="auto"/>
          <w:sz w:val="20"/>
          <w:szCs w:val="20"/>
        </w:rPr>
        <w:t>.</w:t>
      </w:r>
      <w:r w:rsidR="007F6C35">
        <w:rPr>
          <w:rFonts w:ascii="Arial" w:hAnsi="Arial" w:cs="Arial"/>
          <w:color w:val="auto"/>
          <w:sz w:val="20"/>
          <w:szCs w:val="20"/>
        </w:rPr>
        <w:tab/>
      </w:r>
      <w:r>
        <w:rPr>
          <w:rFonts w:ascii="Arial" w:hAnsi="Arial" w:cs="Arial"/>
          <w:color w:val="auto"/>
          <w:sz w:val="20"/>
          <w:szCs w:val="20"/>
        </w:rPr>
        <w:t>Underwater sound results at the eastern</w:t>
      </w:r>
      <w:r w:rsidR="00B93D11">
        <w:rPr>
          <w:rFonts w:ascii="Arial" w:hAnsi="Arial" w:cs="Arial"/>
          <w:color w:val="auto"/>
          <w:sz w:val="20"/>
          <w:szCs w:val="20"/>
        </w:rPr>
        <w:t>-most</w:t>
      </w:r>
      <w:r>
        <w:rPr>
          <w:rFonts w:ascii="Arial" w:hAnsi="Arial" w:cs="Arial"/>
          <w:color w:val="auto"/>
          <w:sz w:val="20"/>
          <w:szCs w:val="20"/>
        </w:rPr>
        <w:t xml:space="preserve"> </w:t>
      </w:r>
      <w:r w:rsidR="00A24FEE">
        <w:rPr>
          <w:rFonts w:ascii="Arial" w:hAnsi="Arial" w:cs="Arial"/>
          <w:color w:val="auto"/>
          <w:sz w:val="20"/>
          <w:szCs w:val="20"/>
        </w:rPr>
        <w:t xml:space="preserve">offshore </w:t>
      </w:r>
      <w:r>
        <w:rPr>
          <w:rFonts w:ascii="Arial" w:hAnsi="Arial" w:cs="Arial"/>
          <w:color w:val="auto"/>
          <w:sz w:val="20"/>
          <w:szCs w:val="20"/>
        </w:rPr>
        <w:t xml:space="preserve">boundary of the Ninety Mile Beach MNP </w:t>
      </w:r>
    </w:p>
    <w:tbl>
      <w:tblPr>
        <w:tblStyle w:val="TableGrid"/>
        <w:tblW w:w="6912" w:type="dxa"/>
        <w:jc w:val="center"/>
        <w:tblLook w:val="04A0" w:firstRow="1" w:lastRow="0" w:firstColumn="1" w:lastColumn="0" w:noHBand="0" w:noVBand="1"/>
      </w:tblPr>
      <w:tblGrid>
        <w:gridCol w:w="1382"/>
        <w:gridCol w:w="1382"/>
        <w:gridCol w:w="1383"/>
        <w:gridCol w:w="1382"/>
        <w:gridCol w:w="1383"/>
      </w:tblGrid>
      <w:tr w:rsidR="00B93D11" w:rsidRPr="0014676E" w14:paraId="74524E5D" w14:textId="77777777" w:rsidTr="00B93D11">
        <w:trPr>
          <w:jc w:val="center"/>
        </w:trPr>
        <w:tc>
          <w:tcPr>
            <w:tcW w:w="6912" w:type="dxa"/>
            <w:gridSpan w:val="5"/>
            <w:shd w:val="clear" w:color="auto" w:fill="064EA8"/>
          </w:tcPr>
          <w:p w14:paraId="60B5BF47" w14:textId="75D43860" w:rsidR="00B93D11" w:rsidRPr="0014676E" w:rsidRDefault="00B93D11" w:rsidP="0014676E">
            <w:pPr>
              <w:spacing w:before="60" w:after="60"/>
              <w:ind w:left="0"/>
              <w:jc w:val="center"/>
              <w:rPr>
                <w:rFonts w:cs="Arial"/>
                <w:color w:val="FFFFFF" w:themeColor="background1"/>
                <w:sz w:val="20"/>
                <w:szCs w:val="20"/>
              </w:rPr>
            </w:pPr>
            <w:r>
              <w:rPr>
                <w:rFonts w:cs="Arial"/>
                <w:color w:val="FFFFFF" w:themeColor="background1"/>
                <w:sz w:val="20"/>
                <w:szCs w:val="20"/>
              </w:rPr>
              <w:t xml:space="preserve">Received SPL (dB re 1 </w:t>
            </w:r>
            <w:r w:rsidRPr="000D0DBD">
              <w:rPr>
                <w:color w:val="FFFFFF" w:themeColor="background1"/>
                <w:sz w:val="20"/>
                <w:szCs w:val="20"/>
              </w:rPr>
              <w:t>μ</w:t>
            </w:r>
            <w:r>
              <w:rPr>
                <w:rFonts w:cs="Arial"/>
                <w:color w:val="FFFFFF" w:themeColor="background1"/>
                <w:sz w:val="20"/>
                <w:szCs w:val="20"/>
              </w:rPr>
              <w:t xml:space="preserve">Pa) </w:t>
            </w:r>
          </w:p>
        </w:tc>
      </w:tr>
      <w:tr w:rsidR="00B93D11" w:rsidRPr="0014676E" w14:paraId="7AE75E22" w14:textId="77777777" w:rsidTr="00B93D11">
        <w:trPr>
          <w:jc w:val="center"/>
        </w:trPr>
        <w:tc>
          <w:tcPr>
            <w:tcW w:w="1382" w:type="dxa"/>
            <w:shd w:val="clear" w:color="auto" w:fill="064EA8"/>
          </w:tcPr>
          <w:p w14:paraId="6E1BA4F5" w14:textId="5735C618" w:rsidR="00B93D11" w:rsidRPr="0014676E" w:rsidRDefault="00B93D11" w:rsidP="0014676E">
            <w:pPr>
              <w:spacing w:before="60" w:after="60"/>
              <w:ind w:left="0"/>
              <w:jc w:val="center"/>
              <w:rPr>
                <w:rFonts w:cs="Arial"/>
                <w:color w:val="FFFFFF" w:themeColor="background1"/>
                <w:sz w:val="20"/>
                <w:szCs w:val="20"/>
              </w:rPr>
            </w:pPr>
            <w:r w:rsidRPr="0014676E">
              <w:rPr>
                <w:rFonts w:cs="Arial"/>
                <w:color w:val="FFFFFF" w:themeColor="background1"/>
                <w:sz w:val="20"/>
                <w:szCs w:val="20"/>
              </w:rPr>
              <w:t>Site 1</w:t>
            </w:r>
          </w:p>
        </w:tc>
        <w:tc>
          <w:tcPr>
            <w:tcW w:w="1382" w:type="dxa"/>
            <w:shd w:val="clear" w:color="auto" w:fill="064EA8"/>
          </w:tcPr>
          <w:p w14:paraId="35944EA7" w14:textId="44FD6CD9" w:rsidR="00B93D11" w:rsidRPr="0014676E" w:rsidRDefault="00B93D11" w:rsidP="0014676E">
            <w:pPr>
              <w:spacing w:before="60" w:after="60"/>
              <w:ind w:left="0"/>
              <w:jc w:val="center"/>
              <w:rPr>
                <w:rFonts w:cs="Arial"/>
                <w:color w:val="FFFFFF" w:themeColor="background1"/>
                <w:sz w:val="20"/>
                <w:szCs w:val="20"/>
              </w:rPr>
            </w:pPr>
            <w:r w:rsidRPr="0014676E">
              <w:rPr>
                <w:rFonts w:cs="Arial"/>
                <w:color w:val="FFFFFF" w:themeColor="background1"/>
                <w:sz w:val="20"/>
                <w:szCs w:val="20"/>
              </w:rPr>
              <w:t>Site 2</w:t>
            </w:r>
          </w:p>
        </w:tc>
        <w:tc>
          <w:tcPr>
            <w:tcW w:w="1383" w:type="dxa"/>
            <w:shd w:val="clear" w:color="auto" w:fill="064EA8"/>
          </w:tcPr>
          <w:p w14:paraId="159A3C0E" w14:textId="49458A69" w:rsidR="00B93D11" w:rsidRPr="0014676E" w:rsidRDefault="00B93D11" w:rsidP="0014676E">
            <w:pPr>
              <w:spacing w:before="60" w:after="60"/>
              <w:ind w:left="0"/>
              <w:jc w:val="center"/>
              <w:rPr>
                <w:rFonts w:cs="Arial"/>
                <w:color w:val="FFFFFF" w:themeColor="background1"/>
                <w:sz w:val="20"/>
                <w:szCs w:val="20"/>
              </w:rPr>
            </w:pPr>
            <w:r w:rsidRPr="0014676E">
              <w:rPr>
                <w:rFonts w:cs="Arial"/>
                <w:color w:val="FFFFFF" w:themeColor="background1"/>
                <w:sz w:val="20"/>
                <w:szCs w:val="20"/>
              </w:rPr>
              <w:t>Site 3</w:t>
            </w:r>
          </w:p>
        </w:tc>
        <w:tc>
          <w:tcPr>
            <w:tcW w:w="1382" w:type="dxa"/>
            <w:shd w:val="clear" w:color="auto" w:fill="064EA8"/>
          </w:tcPr>
          <w:p w14:paraId="58FEA154" w14:textId="0BDBC639" w:rsidR="00B93D11" w:rsidRPr="0014676E" w:rsidRDefault="00B93D11" w:rsidP="0014676E">
            <w:pPr>
              <w:spacing w:before="60" w:after="60"/>
              <w:ind w:left="0"/>
              <w:jc w:val="center"/>
              <w:rPr>
                <w:rFonts w:cs="Arial"/>
                <w:color w:val="FFFFFF" w:themeColor="background1"/>
                <w:sz w:val="20"/>
                <w:szCs w:val="20"/>
              </w:rPr>
            </w:pPr>
            <w:r w:rsidRPr="0014676E">
              <w:rPr>
                <w:rFonts w:cs="Arial"/>
                <w:color w:val="FFFFFF" w:themeColor="background1"/>
                <w:sz w:val="20"/>
                <w:szCs w:val="20"/>
              </w:rPr>
              <w:t>Site 4</w:t>
            </w:r>
          </w:p>
        </w:tc>
        <w:tc>
          <w:tcPr>
            <w:tcW w:w="1383" w:type="dxa"/>
            <w:shd w:val="clear" w:color="auto" w:fill="064EA8"/>
          </w:tcPr>
          <w:p w14:paraId="3B7FEEDB" w14:textId="095037A7" w:rsidR="00B93D11" w:rsidRPr="0014676E" w:rsidRDefault="00B93D11" w:rsidP="0014676E">
            <w:pPr>
              <w:spacing w:before="60" w:after="60"/>
              <w:ind w:left="0"/>
              <w:jc w:val="center"/>
              <w:rPr>
                <w:rFonts w:cs="Arial"/>
                <w:color w:val="FFFFFF" w:themeColor="background1"/>
                <w:sz w:val="20"/>
                <w:szCs w:val="20"/>
              </w:rPr>
            </w:pPr>
            <w:r w:rsidRPr="0014676E">
              <w:rPr>
                <w:rFonts w:cs="Arial"/>
                <w:color w:val="FFFFFF" w:themeColor="background1"/>
                <w:sz w:val="20"/>
                <w:szCs w:val="20"/>
              </w:rPr>
              <w:t>Site 5</w:t>
            </w:r>
          </w:p>
        </w:tc>
      </w:tr>
      <w:tr w:rsidR="00B93D11" w:rsidRPr="0014676E" w14:paraId="6A67232F" w14:textId="77777777" w:rsidTr="00A24FEE">
        <w:trPr>
          <w:jc w:val="center"/>
        </w:trPr>
        <w:tc>
          <w:tcPr>
            <w:tcW w:w="1382" w:type="dxa"/>
            <w:shd w:val="clear" w:color="auto" w:fill="FF0000"/>
            <w:vAlign w:val="center"/>
          </w:tcPr>
          <w:p w14:paraId="266F84C6" w14:textId="368CF0C6" w:rsidR="00B93D11" w:rsidRPr="0014676E" w:rsidRDefault="00B93D11" w:rsidP="008004D3">
            <w:pPr>
              <w:spacing w:before="60" w:after="60"/>
              <w:ind w:left="0"/>
              <w:jc w:val="center"/>
              <w:rPr>
                <w:rFonts w:cs="Arial"/>
                <w:sz w:val="20"/>
                <w:szCs w:val="20"/>
              </w:rPr>
            </w:pPr>
            <w:r>
              <w:rPr>
                <w:rFonts w:cs="Arial"/>
                <w:sz w:val="20"/>
                <w:szCs w:val="20"/>
              </w:rPr>
              <w:t>132.0</w:t>
            </w:r>
          </w:p>
        </w:tc>
        <w:tc>
          <w:tcPr>
            <w:tcW w:w="1382" w:type="dxa"/>
            <w:vAlign w:val="center"/>
          </w:tcPr>
          <w:p w14:paraId="1F455DE6" w14:textId="04C3A097" w:rsidR="00B93D11" w:rsidRPr="0014676E" w:rsidRDefault="00B93D11" w:rsidP="0014676E">
            <w:pPr>
              <w:spacing w:before="60" w:after="60"/>
              <w:ind w:left="0"/>
              <w:jc w:val="center"/>
              <w:rPr>
                <w:rFonts w:cs="Arial"/>
                <w:sz w:val="20"/>
                <w:szCs w:val="20"/>
              </w:rPr>
            </w:pPr>
            <w:r>
              <w:rPr>
                <w:rFonts w:cs="Arial"/>
                <w:sz w:val="20"/>
                <w:szCs w:val="20"/>
              </w:rPr>
              <w:t>131.5</w:t>
            </w:r>
          </w:p>
        </w:tc>
        <w:tc>
          <w:tcPr>
            <w:tcW w:w="1383" w:type="dxa"/>
            <w:vAlign w:val="center"/>
          </w:tcPr>
          <w:p w14:paraId="432FFC59" w14:textId="666156B6" w:rsidR="00B93D11" w:rsidRPr="0014676E" w:rsidRDefault="00B93D11" w:rsidP="0014676E">
            <w:pPr>
              <w:spacing w:before="60" w:after="60"/>
              <w:ind w:left="0"/>
              <w:jc w:val="center"/>
              <w:rPr>
                <w:rFonts w:cs="Arial"/>
                <w:sz w:val="20"/>
                <w:szCs w:val="20"/>
              </w:rPr>
            </w:pPr>
            <w:r>
              <w:rPr>
                <w:rFonts w:cs="Arial"/>
                <w:sz w:val="20"/>
                <w:szCs w:val="20"/>
              </w:rPr>
              <w:t>128.0</w:t>
            </w:r>
          </w:p>
        </w:tc>
        <w:tc>
          <w:tcPr>
            <w:tcW w:w="1382" w:type="dxa"/>
            <w:vAlign w:val="center"/>
          </w:tcPr>
          <w:p w14:paraId="22F0BA3A" w14:textId="3036E8BE" w:rsidR="00B93D11" w:rsidRPr="0014676E" w:rsidRDefault="00B93D11" w:rsidP="0014676E">
            <w:pPr>
              <w:spacing w:before="60" w:after="60"/>
              <w:ind w:left="0"/>
              <w:jc w:val="center"/>
              <w:rPr>
                <w:rFonts w:cs="Arial"/>
                <w:sz w:val="20"/>
                <w:szCs w:val="20"/>
              </w:rPr>
            </w:pPr>
            <w:r>
              <w:rPr>
                <w:rFonts w:cs="Arial"/>
                <w:sz w:val="20"/>
                <w:szCs w:val="20"/>
              </w:rPr>
              <w:t>122.8</w:t>
            </w:r>
          </w:p>
        </w:tc>
        <w:tc>
          <w:tcPr>
            <w:tcW w:w="1383" w:type="dxa"/>
            <w:vAlign w:val="center"/>
          </w:tcPr>
          <w:p w14:paraId="0824F906" w14:textId="5039F3D7" w:rsidR="00B93D11" w:rsidRPr="0014676E" w:rsidRDefault="00B93D11" w:rsidP="0014676E">
            <w:pPr>
              <w:spacing w:before="60" w:after="60"/>
              <w:ind w:left="0"/>
              <w:jc w:val="center"/>
              <w:rPr>
                <w:rFonts w:cs="Arial"/>
                <w:sz w:val="20"/>
                <w:szCs w:val="20"/>
              </w:rPr>
            </w:pPr>
            <w:r>
              <w:rPr>
                <w:rFonts w:cs="Arial"/>
                <w:sz w:val="20"/>
                <w:szCs w:val="20"/>
              </w:rPr>
              <w:t>130.2</w:t>
            </w:r>
          </w:p>
        </w:tc>
      </w:tr>
    </w:tbl>
    <w:p w14:paraId="0CFC47DC" w14:textId="77777777" w:rsidR="00A24FEE" w:rsidRPr="001D2756" w:rsidRDefault="00A24FEE" w:rsidP="00A24FEE">
      <w:pPr>
        <w:spacing w:after="240"/>
        <w:ind w:left="0" w:firstLine="709"/>
        <w:rPr>
          <w:i/>
          <w:sz w:val="18"/>
          <w:szCs w:val="18"/>
        </w:rPr>
      </w:pPr>
      <w:r w:rsidRPr="001D2756">
        <w:rPr>
          <w:i/>
          <w:sz w:val="18"/>
          <w:szCs w:val="18"/>
        </w:rPr>
        <w:t>Cells highlighted in red indicate maximum predicted exten</w:t>
      </w:r>
      <w:r>
        <w:rPr>
          <w:i/>
          <w:sz w:val="18"/>
          <w:szCs w:val="18"/>
        </w:rPr>
        <w:t>t</w:t>
      </w:r>
      <w:r w:rsidRPr="001D2756">
        <w:rPr>
          <w:i/>
          <w:sz w:val="18"/>
          <w:szCs w:val="18"/>
        </w:rPr>
        <w:t xml:space="preserve"> of sound.</w:t>
      </w:r>
    </w:p>
    <w:p w14:paraId="444E24E6" w14:textId="3D3F561F" w:rsidR="001A3AB4" w:rsidRDefault="001A3AB4" w:rsidP="001A3AB4">
      <w:pPr>
        <w:ind w:left="0"/>
        <w:rPr>
          <w:sz w:val="22"/>
          <w:szCs w:val="22"/>
        </w:rPr>
      </w:pPr>
    </w:p>
    <w:p w14:paraId="548A16C1" w14:textId="25299C45" w:rsidR="00B93D11" w:rsidRPr="00604EAF" w:rsidRDefault="00B93D11" w:rsidP="00B93D11">
      <w:pPr>
        <w:pStyle w:val="Caption"/>
        <w:spacing w:after="120"/>
        <w:jc w:val="center"/>
        <w:rPr>
          <w:rFonts w:ascii="Arial" w:hAnsi="Arial" w:cs="Arial"/>
          <w:color w:val="auto"/>
          <w:sz w:val="20"/>
          <w:szCs w:val="20"/>
        </w:rPr>
      </w:pPr>
      <w:r>
        <w:rPr>
          <w:rFonts w:ascii="Arial" w:hAnsi="Arial" w:cs="Arial"/>
          <w:color w:val="auto"/>
          <w:sz w:val="20"/>
          <w:szCs w:val="20"/>
        </w:rPr>
        <w:t>Table 7.</w:t>
      </w:r>
      <w:r w:rsidR="004F36FD">
        <w:rPr>
          <w:rFonts w:ascii="Arial" w:hAnsi="Arial" w:cs="Arial"/>
          <w:color w:val="auto"/>
          <w:sz w:val="20"/>
          <w:szCs w:val="20"/>
        </w:rPr>
        <w:t>3</w:t>
      </w:r>
      <w:r w:rsidR="00E66941">
        <w:rPr>
          <w:rFonts w:ascii="Arial" w:hAnsi="Arial" w:cs="Arial"/>
          <w:color w:val="auto"/>
          <w:sz w:val="20"/>
          <w:szCs w:val="20"/>
        </w:rPr>
        <w:t>0</w:t>
      </w:r>
      <w:r>
        <w:rPr>
          <w:rFonts w:ascii="Arial" w:hAnsi="Arial" w:cs="Arial"/>
          <w:color w:val="auto"/>
          <w:sz w:val="20"/>
          <w:szCs w:val="20"/>
        </w:rPr>
        <w:t>.</w:t>
      </w:r>
      <w:r>
        <w:rPr>
          <w:rFonts w:ascii="Arial" w:hAnsi="Arial" w:cs="Arial"/>
          <w:color w:val="auto"/>
          <w:sz w:val="20"/>
          <w:szCs w:val="20"/>
        </w:rPr>
        <w:tab/>
        <w:t xml:space="preserve">Maximum-over-depth distances (in km) to </w:t>
      </w:r>
      <w:r w:rsidRPr="00A24FEE">
        <w:rPr>
          <w:rFonts w:ascii="Arial" w:hAnsi="Arial" w:cs="Arial"/>
          <w:color w:val="auto"/>
          <w:sz w:val="20"/>
          <w:szCs w:val="20"/>
        </w:rPr>
        <w:t>SEL</w:t>
      </w:r>
      <w:r w:rsidRPr="00A24FEE">
        <w:rPr>
          <w:rFonts w:ascii="Arial" w:hAnsi="Arial" w:cs="Arial"/>
          <w:color w:val="auto"/>
          <w:sz w:val="20"/>
          <w:szCs w:val="20"/>
          <w:vertAlign w:val="subscript"/>
        </w:rPr>
        <w:t>24h</w:t>
      </w:r>
      <w:r w:rsidR="006A46B5" w:rsidRPr="00A24FEE">
        <w:rPr>
          <w:rFonts w:ascii="Arial" w:hAnsi="Arial" w:cs="Arial"/>
          <w:color w:val="auto"/>
          <w:sz w:val="20"/>
          <w:szCs w:val="20"/>
        </w:rPr>
        <w:t xml:space="preserve"> </w:t>
      </w:r>
      <w:r w:rsidRPr="00A24FEE">
        <w:rPr>
          <w:rFonts w:ascii="Arial" w:hAnsi="Arial" w:cs="Arial"/>
          <w:color w:val="auto"/>
          <w:sz w:val="20"/>
          <w:szCs w:val="20"/>
        </w:rPr>
        <w:t>at the eastern</w:t>
      </w:r>
      <w:r>
        <w:rPr>
          <w:rFonts w:ascii="Arial" w:hAnsi="Arial" w:cs="Arial"/>
          <w:color w:val="auto"/>
          <w:sz w:val="20"/>
          <w:szCs w:val="20"/>
        </w:rPr>
        <w:t xml:space="preserve">-most </w:t>
      </w:r>
      <w:r w:rsidR="00A24FEE">
        <w:rPr>
          <w:rFonts w:ascii="Arial" w:hAnsi="Arial" w:cs="Arial"/>
          <w:color w:val="auto"/>
          <w:sz w:val="20"/>
          <w:szCs w:val="20"/>
        </w:rPr>
        <w:t xml:space="preserve">offshore </w:t>
      </w:r>
      <w:r>
        <w:rPr>
          <w:rFonts w:ascii="Arial" w:hAnsi="Arial" w:cs="Arial"/>
          <w:color w:val="auto"/>
          <w:sz w:val="20"/>
          <w:szCs w:val="20"/>
        </w:rPr>
        <w:t>boundary of the Ninety M</w:t>
      </w:r>
      <w:r w:rsidR="001B3850">
        <w:rPr>
          <w:rFonts w:ascii="Arial" w:hAnsi="Arial" w:cs="Arial"/>
          <w:color w:val="auto"/>
          <w:sz w:val="20"/>
          <w:szCs w:val="20"/>
        </w:rPr>
        <w:t>ile Beach MNP</w:t>
      </w:r>
    </w:p>
    <w:tbl>
      <w:tblPr>
        <w:tblStyle w:val="TableGrid"/>
        <w:tblW w:w="5847" w:type="dxa"/>
        <w:jc w:val="center"/>
        <w:tblLook w:val="04A0" w:firstRow="1" w:lastRow="0" w:firstColumn="1" w:lastColumn="0" w:noHBand="0" w:noVBand="1"/>
      </w:tblPr>
      <w:tblGrid>
        <w:gridCol w:w="1736"/>
        <w:gridCol w:w="1985"/>
        <w:gridCol w:w="2126"/>
      </w:tblGrid>
      <w:tr w:rsidR="00B93D11" w:rsidRPr="0014676E" w14:paraId="3B7DAB57" w14:textId="77777777" w:rsidTr="00423C9E">
        <w:trPr>
          <w:jc w:val="center"/>
        </w:trPr>
        <w:tc>
          <w:tcPr>
            <w:tcW w:w="5847" w:type="dxa"/>
            <w:gridSpan w:val="3"/>
            <w:shd w:val="clear" w:color="auto" w:fill="064EA8"/>
          </w:tcPr>
          <w:p w14:paraId="1ECD0D23" w14:textId="48B29C8D" w:rsidR="00B93D11" w:rsidRPr="0014676E" w:rsidRDefault="00B93D11" w:rsidP="00C6558B">
            <w:pPr>
              <w:spacing w:before="60" w:after="60"/>
              <w:ind w:left="0"/>
              <w:jc w:val="center"/>
              <w:rPr>
                <w:rFonts w:cs="Arial"/>
                <w:color w:val="FFFFFF" w:themeColor="background1"/>
                <w:sz w:val="20"/>
                <w:szCs w:val="20"/>
              </w:rPr>
            </w:pPr>
            <w:r>
              <w:rPr>
                <w:rFonts w:cs="Arial"/>
                <w:color w:val="FFFFFF" w:themeColor="background1"/>
                <w:sz w:val="20"/>
                <w:szCs w:val="20"/>
              </w:rPr>
              <w:t>Received SEL</w:t>
            </w:r>
            <w:r w:rsidRPr="00B93D11">
              <w:rPr>
                <w:rFonts w:cs="Arial"/>
                <w:color w:val="FFFFFF" w:themeColor="background1"/>
                <w:sz w:val="20"/>
                <w:szCs w:val="20"/>
                <w:vertAlign w:val="subscript"/>
              </w:rPr>
              <w:t>24h</w:t>
            </w:r>
            <w:r>
              <w:rPr>
                <w:rFonts w:cs="Arial"/>
                <w:color w:val="FFFFFF" w:themeColor="background1"/>
                <w:sz w:val="20"/>
                <w:szCs w:val="20"/>
              </w:rPr>
              <w:t xml:space="preserve"> (dB re 1 </w:t>
            </w:r>
            <w:r w:rsidRPr="000D0DBD">
              <w:rPr>
                <w:color w:val="FFFFFF" w:themeColor="background1"/>
                <w:sz w:val="20"/>
                <w:szCs w:val="20"/>
              </w:rPr>
              <w:t>μ</w:t>
            </w:r>
            <w:r>
              <w:rPr>
                <w:rFonts w:cs="Arial"/>
                <w:color w:val="FFFFFF" w:themeColor="background1"/>
                <w:sz w:val="20"/>
                <w:szCs w:val="20"/>
              </w:rPr>
              <w:t>Pa</w:t>
            </w:r>
            <w:r w:rsidRPr="00B93D11">
              <w:rPr>
                <w:rFonts w:cs="Arial"/>
                <w:color w:val="FFFFFF" w:themeColor="background1"/>
                <w:sz w:val="20"/>
                <w:szCs w:val="20"/>
                <w:vertAlign w:val="superscript"/>
              </w:rPr>
              <w:t>2</w:t>
            </w:r>
            <w:r>
              <w:rPr>
                <w:rFonts w:cs="Arial"/>
                <w:color w:val="FFFFFF" w:themeColor="background1"/>
                <w:sz w:val="20"/>
                <w:szCs w:val="20"/>
              </w:rPr>
              <w:t>.s)</w:t>
            </w:r>
          </w:p>
        </w:tc>
      </w:tr>
      <w:tr w:rsidR="00B93D11" w:rsidRPr="0014676E" w14:paraId="589BF3F3" w14:textId="77777777" w:rsidTr="00423C9E">
        <w:trPr>
          <w:jc w:val="center"/>
        </w:trPr>
        <w:tc>
          <w:tcPr>
            <w:tcW w:w="1736" w:type="dxa"/>
            <w:shd w:val="clear" w:color="auto" w:fill="064EA8"/>
          </w:tcPr>
          <w:p w14:paraId="28AF34BD" w14:textId="367A3942" w:rsidR="00B93D11" w:rsidRPr="0014676E" w:rsidRDefault="00B93D11" w:rsidP="00C6558B">
            <w:pPr>
              <w:spacing w:before="60" w:after="60"/>
              <w:ind w:left="0"/>
              <w:jc w:val="center"/>
              <w:rPr>
                <w:rFonts w:cs="Arial"/>
                <w:color w:val="FFFFFF" w:themeColor="background1"/>
                <w:sz w:val="20"/>
                <w:szCs w:val="20"/>
              </w:rPr>
            </w:pPr>
            <w:r>
              <w:rPr>
                <w:rFonts w:cs="Arial"/>
                <w:color w:val="FFFFFF" w:themeColor="background1"/>
                <w:sz w:val="20"/>
                <w:szCs w:val="20"/>
              </w:rPr>
              <w:t>Scenario</w:t>
            </w:r>
            <w:r w:rsidRPr="0014676E">
              <w:rPr>
                <w:rFonts w:cs="Arial"/>
                <w:color w:val="FFFFFF" w:themeColor="background1"/>
                <w:sz w:val="20"/>
                <w:szCs w:val="20"/>
              </w:rPr>
              <w:t xml:space="preserve"> 1</w:t>
            </w:r>
          </w:p>
        </w:tc>
        <w:tc>
          <w:tcPr>
            <w:tcW w:w="1985" w:type="dxa"/>
            <w:shd w:val="clear" w:color="auto" w:fill="064EA8"/>
          </w:tcPr>
          <w:p w14:paraId="6486F227" w14:textId="5DF1C6FB" w:rsidR="00B93D11" w:rsidRPr="0014676E" w:rsidRDefault="00B93D11" w:rsidP="00C6558B">
            <w:pPr>
              <w:spacing w:before="60" w:after="60"/>
              <w:ind w:left="0"/>
              <w:jc w:val="center"/>
              <w:rPr>
                <w:rFonts w:cs="Arial"/>
                <w:color w:val="FFFFFF" w:themeColor="background1"/>
                <w:sz w:val="20"/>
                <w:szCs w:val="20"/>
              </w:rPr>
            </w:pPr>
            <w:r>
              <w:rPr>
                <w:rFonts w:cs="Arial"/>
                <w:color w:val="FFFFFF" w:themeColor="background1"/>
                <w:sz w:val="20"/>
                <w:szCs w:val="20"/>
              </w:rPr>
              <w:t>Scenario 2</w:t>
            </w:r>
          </w:p>
        </w:tc>
        <w:tc>
          <w:tcPr>
            <w:tcW w:w="2126" w:type="dxa"/>
            <w:shd w:val="clear" w:color="auto" w:fill="064EA8"/>
          </w:tcPr>
          <w:p w14:paraId="2804BB8E" w14:textId="4F93A2A0" w:rsidR="00B93D11" w:rsidRPr="0014676E" w:rsidRDefault="00B93D11" w:rsidP="00C6558B">
            <w:pPr>
              <w:spacing w:before="60" w:after="60"/>
              <w:ind w:left="0"/>
              <w:jc w:val="center"/>
              <w:rPr>
                <w:rFonts w:cs="Arial"/>
                <w:color w:val="FFFFFF" w:themeColor="background1"/>
                <w:sz w:val="20"/>
                <w:szCs w:val="20"/>
              </w:rPr>
            </w:pPr>
            <w:r>
              <w:rPr>
                <w:rFonts w:cs="Arial"/>
                <w:color w:val="FFFFFF" w:themeColor="background1"/>
                <w:sz w:val="20"/>
                <w:szCs w:val="20"/>
              </w:rPr>
              <w:t>Scenario 3</w:t>
            </w:r>
          </w:p>
        </w:tc>
      </w:tr>
      <w:tr w:rsidR="00B93D11" w:rsidRPr="0014676E" w14:paraId="67BCC256" w14:textId="77777777" w:rsidTr="00A24FEE">
        <w:trPr>
          <w:jc w:val="center"/>
        </w:trPr>
        <w:tc>
          <w:tcPr>
            <w:tcW w:w="1736" w:type="dxa"/>
            <w:vAlign w:val="center"/>
          </w:tcPr>
          <w:p w14:paraId="71EAA869" w14:textId="6DC6E9D0" w:rsidR="00B93D11" w:rsidRPr="0014676E" w:rsidRDefault="00B93D11" w:rsidP="00C6558B">
            <w:pPr>
              <w:spacing w:before="60" w:after="60"/>
              <w:ind w:left="0"/>
              <w:jc w:val="center"/>
              <w:rPr>
                <w:rFonts w:cs="Arial"/>
                <w:sz w:val="20"/>
                <w:szCs w:val="20"/>
              </w:rPr>
            </w:pPr>
            <w:r>
              <w:rPr>
                <w:rFonts w:cs="Arial"/>
                <w:sz w:val="20"/>
                <w:szCs w:val="20"/>
              </w:rPr>
              <w:t>160.1</w:t>
            </w:r>
          </w:p>
        </w:tc>
        <w:tc>
          <w:tcPr>
            <w:tcW w:w="1985" w:type="dxa"/>
            <w:vAlign w:val="center"/>
          </w:tcPr>
          <w:p w14:paraId="524BBD01" w14:textId="02BC94B7" w:rsidR="00B93D11" w:rsidRPr="0014676E" w:rsidRDefault="00B93D11" w:rsidP="00C6558B">
            <w:pPr>
              <w:spacing w:before="60" w:after="60"/>
              <w:ind w:left="0"/>
              <w:jc w:val="center"/>
              <w:rPr>
                <w:rFonts w:cs="Arial"/>
                <w:sz w:val="20"/>
                <w:szCs w:val="20"/>
              </w:rPr>
            </w:pPr>
            <w:r>
              <w:rPr>
                <w:rFonts w:cs="Arial"/>
                <w:sz w:val="20"/>
                <w:szCs w:val="20"/>
              </w:rPr>
              <w:t>155.9</w:t>
            </w:r>
          </w:p>
        </w:tc>
        <w:tc>
          <w:tcPr>
            <w:tcW w:w="2126" w:type="dxa"/>
            <w:shd w:val="clear" w:color="auto" w:fill="FF0000"/>
            <w:vAlign w:val="center"/>
          </w:tcPr>
          <w:p w14:paraId="3E9EA8C1" w14:textId="2A4F0163" w:rsidR="00B93D11" w:rsidRPr="0014676E" w:rsidRDefault="00B93D11" w:rsidP="00C6558B">
            <w:pPr>
              <w:spacing w:before="60" w:after="60"/>
              <w:ind w:left="0"/>
              <w:jc w:val="center"/>
              <w:rPr>
                <w:rFonts w:cs="Arial"/>
                <w:sz w:val="20"/>
                <w:szCs w:val="20"/>
              </w:rPr>
            </w:pPr>
            <w:r>
              <w:rPr>
                <w:rFonts w:cs="Arial"/>
                <w:sz w:val="20"/>
                <w:szCs w:val="20"/>
              </w:rPr>
              <w:t>164.6</w:t>
            </w:r>
          </w:p>
        </w:tc>
      </w:tr>
    </w:tbl>
    <w:p w14:paraId="455D7D71" w14:textId="77777777" w:rsidR="00A24FEE" w:rsidRPr="001D2756" w:rsidRDefault="00A24FEE" w:rsidP="00A24FEE">
      <w:pPr>
        <w:spacing w:after="240"/>
        <w:ind w:left="0" w:firstLine="1276"/>
        <w:rPr>
          <w:i/>
          <w:sz w:val="18"/>
          <w:szCs w:val="18"/>
        </w:rPr>
      </w:pPr>
      <w:r w:rsidRPr="001D2756">
        <w:rPr>
          <w:i/>
          <w:sz w:val="18"/>
          <w:szCs w:val="18"/>
        </w:rPr>
        <w:t>Cells highlighted in red indicate maximum predicted exten</w:t>
      </w:r>
      <w:r>
        <w:rPr>
          <w:i/>
          <w:sz w:val="18"/>
          <w:szCs w:val="18"/>
        </w:rPr>
        <w:t>t</w:t>
      </w:r>
      <w:r w:rsidRPr="001D2756">
        <w:rPr>
          <w:i/>
          <w:sz w:val="18"/>
          <w:szCs w:val="18"/>
        </w:rPr>
        <w:t xml:space="preserve"> of sound.</w:t>
      </w:r>
    </w:p>
    <w:p w14:paraId="27E8E5AC" w14:textId="77777777" w:rsidR="004F36FD" w:rsidRDefault="004F36FD" w:rsidP="004374F1">
      <w:pPr>
        <w:ind w:left="0"/>
        <w:rPr>
          <w:rFonts w:cs="Arial"/>
          <w:sz w:val="22"/>
          <w:szCs w:val="22"/>
        </w:rPr>
      </w:pPr>
    </w:p>
    <w:p w14:paraId="3A58D0FA" w14:textId="485CBAAA" w:rsidR="00485C34" w:rsidRPr="009336E4" w:rsidRDefault="00E66941" w:rsidP="009336E4">
      <w:pPr>
        <w:ind w:left="0"/>
        <w:rPr>
          <w:rFonts w:ascii="Tahoma" w:hAnsi="Tahoma" w:cs="Arial"/>
          <w:szCs w:val="20"/>
        </w:rPr>
      </w:pPr>
      <w:r>
        <w:rPr>
          <w:rFonts w:cs="Arial"/>
          <w:sz w:val="22"/>
          <w:szCs w:val="22"/>
        </w:rPr>
        <w:t>N</w:t>
      </w:r>
      <w:r w:rsidR="00B76145" w:rsidRPr="00604EAF">
        <w:rPr>
          <w:rFonts w:cs="Arial"/>
          <w:sz w:val="22"/>
          <w:szCs w:val="22"/>
        </w:rPr>
        <w:t xml:space="preserve">o impacts to the management strategies for the </w:t>
      </w:r>
      <w:r>
        <w:rPr>
          <w:rFonts w:cs="Arial"/>
          <w:sz w:val="22"/>
          <w:szCs w:val="22"/>
        </w:rPr>
        <w:t>Ninety Mile Beach MNP</w:t>
      </w:r>
      <w:r w:rsidR="00B76145" w:rsidRPr="00604EAF">
        <w:rPr>
          <w:rFonts w:cs="Arial"/>
          <w:sz w:val="22"/>
          <w:szCs w:val="22"/>
        </w:rPr>
        <w:t xml:space="preserve"> due to underwater sound generated by the </w:t>
      </w:r>
      <w:r w:rsidR="00664302">
        <w:rPr>
          <w:rFonts w:cs="Arial"/>
          <w:sz w:val="22"/>
          <w:szCs w:val="22"/>
        </w:rPr>
        <w:t>proposed MSS</w:t>
      </w:r>
      <w:r w:rsidR="00664302" w:rsidRPr="00604EAF">
        <w:rPr>
          <w:rFonts w:cs="Arial"/>
          <w:sz w:val="22"/>
          <w:szCs w:val="22"/>
        </w:rPr>
        <w:t xml:space="preserve"> </w:t>
      </w:r>
      <w:r w:rsidR="00B76145" w:rsidRPr="00604EAF">
        <w:rPr>
          <w:rFonts w:cs="Arial"/>
          <w:sz w:val="22"/>
          <w:szCs w:val="22"/>
        </w:rPr>
        <w:t>are predicted to occur.</w:t>
      </w:r>
      <w:r w:rsidR="00B76145" w:rsidRPr="00E939A7">
        <w:rPr>
          <w:rFonts w:cs="Arial"/>
          <w:sz w:val="22"/>
          <w:szCs w:val="22"/>
        </w:rPr>
        <w:t xml:space="preserve"> </w:t>
      </w:r>
    </w:p>
    <w:p w14:paraId="7C55E201" w14:textId="0ECDE9B1" w:rsidR="00EE6FC7" w:rsidRPr="00B06B3D" w:rsidRDefault="002A2708" w:rsidP="00B06B3D">
      <w:pPr>
        <w:pStyle w:val="Heading3"/>
      </w:pPr>
      <w:bookmarkStart w:id="432" w:name="_Toc477947847"/>
      <w:bookmarkStart w:id="433" w:name="_Toc479764044"/>
      <w:bookmarkStart w:id="434" w:name="_Toc375214599"/>
      <w:r>
        <w:t xml:space="preserve">Control Measures &amp; </w:t>
      </w:r>
      <w:r w:rsidR="00F72980" w:rsidRPr="00B06B3D">
        <w:t>Impact</w:t>
      </w:r>
      <w:r w:rsidR="00EE6FC7" w:rsidRPr="00B06B3D">
        <w:t xml:space="preserve"> </w:t>
      </w:r>
      <w:bookmarkEnd w:id="432"/>
      <w:bookmarkEnd w:id="433"/>
      <w:r>
        <w:t>Consequence</w:t>
      </w:r>
      <w:bookmarkEnd w:id="434"/>
    </w:p>
    <w:p w14:paraId="5072EDB5" w14:textId="3E7ADB64" w:rsidR="005E6E08" w:rsidRDefault="005E6E08" w:rsidP="00EE6FC7">
      <w:pPr>
        <w:pStyle w:val="BodyText"/>
        <w:ind w:left="0"/>
        <w:rPr>
          <w:rFonts w:cs="Arial"/>
          <w:sz w:val="22"/>
          <w:szCs w:val="22"/>
        </w:rPr>
      </w:pPr>
      <w:r>
        <w:rPr>
          <w:rFonts w:cs="Arial"/>
          <w:sz w:val="22"/>
          <w:szCs w:val="22"/>
        </w:rPr>
        <w:t xml:space="preserve">The following control measures will be implemented to minimise the impacts of underwater sound on biological receptors: </w:t>
      </w:r>
    </w:p>
    <w:p w14:paraId="641616F0" w14:textId="5406F42E" w:rsidR="005E6E08" w:rsidRPr="005E6E08" w:rsidRDefault="005E6E08" w:rsidP="005E6E08">
      <w:pPr>
        <w:pStyle w:val="ListParagraph0"/>
        <w:numPr>
          <w:ilvl w:val="0"/>
          <w:numId w:val="383"/>
        </w:numPr>
        <w:rPr>
          <w:rFonts w:cs="Arial"/>
          <w:sz w:val="22"/>
          <w:szCs w:val="22"/>
        </w:rPr>
      </w:pPr>
      <w:r w:rsidRPr="005E6E08">
        <w:rPr>
          <w:rFonts w:cs="Arial"/>
          <w:sz w:val="22"/>
          <w:szCs w:val="22"/>
        </w:rPr>
        <w:t xml:space="preserve">The underwater sound validation study is undertaken during the in order to validate the STLM results and determine whether the effects of MSS on benthic invertebrate remain within the 1,220 m radius zone.  </w:t>
      </w:r>
    </w:p>
    <w:p w14:paraId="71395D89" w14:textId="31F9B7A5" w:rsidR="005E6E08" w:rsidRDefault="005E6E08" w:rsidP="005E6E08">
      <w:pPr>
        <w:pStyle w:val="ListParagraph0"/>
        <w:numPr>
          <w:ilvl w:val="0"/>
          <w:numId w:val="383"/>
        </w:numPr>
        <w:rPr>
          <w:rFonts w:cs="Arial"/>
          <w:sz w:val="22"/>
          <w:szCs w:val="22"/>
        </w:rPr>
      </w:pPr>
      <w:r w:rsidRPr="005E6E08">
        <w:rPr>
          <w:rFonts w:cs="Arial"/>
          <w:sz w:val="22"/>
          <w:szCs w:val="22"/>
        </w:rPr>
        <w:t>A marine environmental assessment is undertaken pre- and post-MSS (in order to determine whether mass mortality of commercial scallops or southern rock lobsters attributable to the MSS occurs.</w:t>
      </w:r>
    </w:p>
    <w:p w14:paraId="17457032" w14:textId="6D259F6E" w:rsidR="005E6E08" w:rsidRPr="005E6E08" w:rsidRDefault="005E6E08" w:rsidP="000077FF">
      <w:pPr>
        <w:pStyle w:val="ListParagraph0"/>
        <w:numPr>
          <w:ilvl w:val="0"/>
          <w:numId w:val="383"/>
        </w:numPr>
        <w:rPr>
          <w:rFonts w:cs="Arial"/>
          <w:i/>
          <w:sz w:val="22"/>
          <w:szCs w:val="22"/>
        </w:rPr>
      </w:pPr>
      <w:r w:rsidRPr="00891DE1">
        <w:rPr>
          <w:rFonts w:cs="Arial"/>
          <w:i/>
          <w:sz w:val="22"/>
          <w:szCs w:val="22"/>
        </w:rPr>
        <w:t>Conditional EPS:</w:t>
      </w:r>
      <w:r w:rsidRPr="005E6E08">
        <w:rPr>
          <w:rFonts w:cs="Arial"/>
          <w:i/>
          <w:sz w:val="22"/>
          <w:szCs w:val="22"/>
        </w:rPr>
        <w:t xml:space="preserve"> </w:t>
      </w:r>
      <w:r w:rsidRPr="00891DE1">
        <w:rPr>
          <w:rFonts w:cs="Arial"/>
          <w:i/>
          <w:sz w:val="22"/>
          <w:szCs w:val="22"/>
        </w:rPr>
        <w:t>A further assessment is conducted within 5 years in order to quantify the abundance of commercial scallops, in the context of the most recent whole of scallop fishery stock assessment data.</w:t>
      </w:r>
    </w:p>
    <w:p w14:paraId="5DEDF44C" w14:textId="4E35872B" w:rsidR="005E6E08" w:rsidRDefault="005E6E08" w:rsidP="005E6E08">
      <w:pPr>
        <w:pStyle w:val="ListParagraph0"/>
        <w:numPr>
          <w:ilvl w:val="0"/>
          <w:numId w:val="383"/>
        </w:numPr>
        <w:rPr>
          <w:rFonts w:cs="Arial"/>
          <w:sz w:val="22"/>
          <w:szCs w:val="22"/>
        </w:rPr>
      </w:pPr>
      <w:r w:rsidRPr="005E6E08">
        <w:rPr>
          <w:rFonts w:cs="Arial"/>
          <w:sz w:val="22"/>
          <w:szCs w:val="22"/>
        </w:rPr>
        <w:t xml:space="preserve">CarbonNet has modified its operating window to exclude November and December (in addition to January) so as to avoid overlapping with the most important period of the year for spawning and larval dispersal </w:t>
      </w:r>
      <w:r w:rsidRPr="00891DE1">
        <w:rPr>
          <w:rFonts w:cs="Arial"/>
          <w:sz w:val="22"/>
          <w:szCs w:val="22"/>
        </w:rPr>
        <w:t>for many fish of commercial and recreational fishing importance.</w:t>
      </w:r>
    </w:p>
    <w:p w14:paraId="508160BE" w14:textId="0BA8E7AC" w:rsidR="005E6E08" w:rsidRPr="005E6E08" w:rsidRDefault="005E6E08" w:rsidP="005E6E08">
      <w:pPr>
        <w:pStyle w:val="ListParagraph0"/>
        <w:numPr>
          <w:ilvl w:val="0"/>
          <w:numId w:val="383"/>
        </w:numPr>
        <w:rPr>
          <w:rFonts w:cs="Arial"/>
          <w:sz w:val="22"/>
          <w:szCs w:val="22"/>
        </w:rPr>
      </w:pPr>
      <w:r w:rsidRPr="005E6E08">
        <w:rPr>
          <w:rFonts w:cs="Arial"/>
          <w:sz w:val="22"/>
          <w:szCs w:val="22"/>
        </w:rPr>
        <w:t>The EPBC Act Policy 2.1 Part A Standard Management Procedures (Section A.3) is implemented for the duration of the survey from the survey vessel.</w:t>
      </w:r>
    </w:p>
    <w:p w14:paraId="1454874A" w14:textId="77777777" w:rsidR="005E6E08" w:rsidRDefault="005E6E08" w:rsidP="005E6E08">
      <w:pPr>
        <w:pStyle w:val="ListParagraph0"/>
        <w:numPr>
          <w:ilvl w:val="0"/>
          <w:numId w:val="383"/>
        </w:numPr>
        <w:rPr>
          <w:rFonts w:cs="Arial"/>
          <w:sz w:val="22"/>
          <w:szCs w:val="22"/>
        </w:rPr>
      </w:pPr>
      <w:r w:rsidRPr="005E6E08">
        <w:rPr>
          <w:rFonts w:cs="Arial"/>
          <w:sz w:val="22"/>
          <w:szCs w:val="22"/>
        </w:rPr>
        <w:t>Two MMOs will be contracted and will be based aboard the survey vessel.</w:t>
      </w:r>
    </w:p>
    <w:p w14:paraId="1747EB30" w14:textId="77777777" w:rsidR="005E6E08" w:rsidRPr="005E6E08" w:rsidRDefault="005E6E08" w:rsidP="005E6E08">
      <w:pPr>
        <w:pStyle w:val="ListParagraph0"/>
        <w:numPr>
          <w:ilvl w:val="0"/>
          <w:numId w:val="383"/>
        </w:numPr>
        <w:rPr>
          <w:rFonts w:cs="Arial"/>
          <w:sz w:val="22"/>
          <w:szCs w:val="22"/>
        </w:rPr>
      </w:pPr>
      <w:r w:rsidRPr="005E6E08">
        <w:rPr>
          <w:rFonts w:cs="Arial"/>
          <w:sz w:val="22"/>
          <w:szCs w:val="22"/>
        </w:rPr>
        <w:lastRenderedPageBreak/>
        <w:t>In accordance with Part A.2 of the EPBC Act Policy Statement 2.1 (Part A), the MMOs undertake cetacean awareness sessions for key vessel crew.</w:t>
      </w:r>
    </w:p>
    <w:p w14:paraId="7366EA40" w14:textId="1786BB59" w:rsidR="005E6E08" w:rsidRPr="005E6E08" w:rsidRDefault="005E6E08" w:rsidP="005E6E08">
      <w:pPr>
        <w:pStyle w:val="ListParagraph0"/>
        <w:numPr>
          <w:ilvl w:val="0"/>
          <w:numId w:val="383"/>
        </w:numPr>
        <w:rPr>
          <w:rFonts w:cs="Arial"/>
          <w:sz w:val="22"/>
          <w:szCs w:val="22"/>
        </w:rPr>
      </w:pPr>
      <w:r w:rsidRPr="005E6E08">
        <w:rPr>
          <w:rFonts w:cs="Arial"/>
          <w:sz w:val="22"/>
          <w:szCs w:val="22"/>
        </w:rPr>
        <w:t>CarbonNet will ensure the MMOs conduct marine mammal observations for the duration of the survey (including during soft starts) and are trained and experienced in the requirements of the policy.</w:t>
      </w:r>
    </w:p>
    <w:p w14:paraId="469028EC" w14:textId="237EB4F0" w:rsidR="005E6E08" w:rsidRPr="005E6E08" w:rsidRDefault="005E6E08" w:rsidP="005E6E08">
      <w:pPr>
        <w:pStyle w:val="ListParagraph0"/>
        <w:numPr>
          <w:ilvl w:val="0"/>
          <w:numId w:val="383"/>
        </w:numPr>
        <w:rPr>
          <w:rFonts w:cs="Arial"/>
          <w:sz w:val="22"/>
          <w:szCs w:val="22"/>
        </w:rPr>
      </w:pPr>
      <w:r w:rsidRPr="005E6E08">
        <w:rPr>
          <w:rFonts w:cs="Arial"/>
          <w:sz w:val="22"/>
          <w:szCs w:val="22"/>
        </w:rPr>
        <w:t>Cetacean strategy will be discussed each day to assess all available data on whale presence. This information will be used to inform the operational strategy for the following day.</w:t>
      </w:r>
    </w:p>
    <w:p w14:paraId="032654AF" w14:textId="311740BD" w:rsidR="005E6E08" w:rsidRPr="005E6E08" w:rsidRDefault="005E6E08" w:rsidP="005E6E08">
      <w:pPr>
        <w:pStyle w:val="ListParagraph0"/>
        <w:numPr>
          <w:ilvl w:val="0"/>
          <w:numId w:val="383"/>
        </w:numPr>
        <w:rPr>
          <w:rFonts w:cs="Arial"/>
          <w:sz w:val="22"/>
          <w:szCs w:val="22"/>
        </w:rPr>
      </w:pPr>
      <w:r w:rsidRPr="005E6E08">
        <w:rPr>
          <w:rFonts w:cs="Arial"/>
          <w:sz w:val="22"/>
          <w:szCs w:val="22"/>
        </w:rPr>
        <w:t>CarbonNet will report cetacean sightings online to the DoEE within 2 months of survey completion using the online Cetacean Sightings Application</w:t>
      </w:r>
      <w:r>
        <w:rPr>
          <w:rFonts w:cs="Arial"/>
          <w:sz w:val="22"/>
          <w:szCs w:val="22"/>
        </w:rPr>
        <w:t xml:space="preserve"> (</w:t>
      </w:r>
      <w:hyperlink r:id="rId275" w:history="1">
        <w:r w:rsidRPr="005E6E08">
          <w:rPr>
            <w:sz w:val="22"/>
            <w:szCs w:val="22"/>
          </w:rPr>
          <w:t>http://www.marinemammals.gov.au/sorp/sightings</w:t>
        </w:r>
      </w:hyperlink>
      <w:r>
        <w:rPr>
          <w:rFonts w:cs="Arial"/>
          <w:sz w:val="22"/>
          <w:szCs w:val="22"/>
        </w:rPr>
        <w:t>)</w:t>
      </w:r>
      <w:r w:rsidRPr="005E6E08">
        <w:rPr>
          <w:rFonts w:cs="Arial"/>
          <w:sz w:val="22"/>
          <w:szCs w:val="22"/>
        </w:rPr>
        <w:t>.</w:t>
      </w:r>
    </w:p>
    <w:p w14:paraId="2E942762" w14:textId="5B70DED8" w:rsidR="005E6E08" w:rsidRPr="005E6E08" w:rsidRDefault="005E6E08" w:rsidP="005E6E08">
      <w:pPr>
        <w:pStyle w:val="ListParagraph0"/>
        <w:numPr>
          <w:ilvl w:val="0"/>
          <w:numId w:val="383"/>
        </w:numPr>
        <w:rPr>
          <w:rFonts w:cs="Arial"/>
          <w:sz w:val="22"/>
          <w:szCs w:val="22"/>
        </w:rPr>
      </w:pPr>
      <w:r>
        <w:rPr>
          <w:rFonts w:cs="Arial"/>
          <w:sz w:val="22"/>
          <w:szCs w:val="22"/>
        </w:rPr>
        <w:t>I</w:t>
      </w:r>
      <w:r w:rsidRPr="005E6E08">
        <w:rPr>
          <w:rFonts w:cs="Arial"/>
          <w:sz w:val="22"/>
          <w:szCs w:val="22"/>
        </w:rPr>
        <w:t>n the event that CarbonNet is made aware of the potential for another survey/s to take place in the same area at the same time as this survey</w:t>
      </w:r>
      <w:r>
        <w:rPr>
          <w:rFonts w:cs="Arial"/>
          <w:sz w:val="22"/>
          <w:szCs w:val="22"/>
        </w:rPr>
        <w:t xml:space="preserve"> (CarbonNet is currently unaware of any such plans)</w:t>
      </w:r>
      <w:r w:rsidRPr="005E6E08">
        <w:rPr>
          <w:rFonts w:cs="Arial"/>
          <w:sz w:val="22"/>
          <w:szCs w:val="22"/>
        </w:rPr>
        <w:t>, at least a 40 km (21 nm) separation will be maintained between active sources to ensure sound from one source doesn’t interfere with sound from the other and to reduce the possibility of cumulative sound impacts.</w:t>
      </w:r>
    </w:p>
    <w:p w14:paraId="47CBF8DB" w14:textId="565D8E5C" w:rsidR="005E6E08" w:rsidRPr="005E6E08" w:rsidRDefault="005E6E08" w:rsidP="004B51A6">
      <w:pPr>
        <w:pStyle w:val="ListParagraph0"/>
        <w:numPr>
          <w:ilvl w:val="0"/>
          <w:numId w:val="383"/>
        </w:numPr>
        <w:spacing w:after="240" w:line="240" w:lineRule="auto"/>
        <w:ind w:left="714" w:hanging="357"/>
        <w:rPr>
          <w:rFonts w:cs="Arial"/>
          <w:sz w:val="22"/>
          <w:szCs w:val="22"/>
        </w:rPr>
      </w:pPr>
      <w:r w:rsidRPr="005E6E08">
        <w:rPr>
          <w:rFonts w:cs="Arial"/>
          <w:sz w:val="22"/>
          <w:szCs w:val="22"/>
        </w:rPr>
        <w:t>Engines and thrusters are maintained in accordance with manufacturer’s instructions via the Planned Maintenance System (PMS) to ensure they are operating efficiently.</w:t>
      </w:r>
    </w:p>
    <w:p w14:paraId="7716C498" w14:textId="5D023E99" w:rsidR="005E6E08" w:rsidRDefault="005E6E08" w:rsidP="00EE6FC7">
      <w:pPr>
        <w:pStyle w:val="BodyText"/>
        <w:ind w:left="0"/>
        <w:rPr>
          <w:rFonts w:cs="Arial"/>
          <w:sz w:val="22"/>
          <w:szCs w:val="22"/>
        </w:rPr>
      </w:pPr>
      <w:r w:rsidRPr="006464A1">
        <w:rPr>
          <w:rFonts w:cs="Arial"/>
          <w:sz w:val="22"/>
          <w:szCs w:val="22"/>
        </w:rPr>
        <w:t>Table 7.31</w:t>
      </w:r>
      <w:r w:rsidRPr="000E6B32">
        <w:rPr>
          <w:rFonts w:cs="Arial"/>
          <w:color w:val="FF0000"/>
          <w:sz w:val="22"/>
          <w:szCs w:val="22"/>
        </w:rPr>
        <w:t xml:space="preserve"> </w:t>
      </w:r>
      <w:r>
        <w:rPr>
          <w:rFonts w:cs="Arial"/>
          <w:sz w:val="22"/>
          <w:szCs w:val="22"/>
        </w:rPr>
        <w:t xml:space="preserve">presents the </w:t>
      </w:r>
      <w:r w:rsidR="00FC28F8">
        <w:rPr>
          <w:rFonts w:cs="Arial"/>
          <w:sz w:val="22"/>
          <w:szCs w:val="22"/>
        </w:rPr>
        <w:t xml:space="preserve">residual (post-control) </w:t>
      </w:r>
      <w:r>
        <w:rPr>
          <w:rFonts w:cs="Arial"/>
          <w:sz w:val="22"/>
          <w:szCs w:val="22"/>
        </w:rPr>
        <w:t>impact consequence ratings</w:t>
      </w:r>
      <w:r w:rsidR="00FC28F8">
        <w:rPr>
          <w:rFonts w:cs="Arial"/>
          <w:sz w:val="22"/>
          <w:szCs w:val="22"/>
        </w:rPr>
        <w:t>.</w:t>
      </w:r>
    </w:p>
    <w:p w14:paraId="0829289A" w14:textId="333A3F00" w:rsidR="00EE6FC7" w:rsidRPr="00B01A90" w:rsidRDefault="00EE6FC7" w:rsidP="003F5B7F">
      <w:pPr>
        <w:pStyle w:val="TableHeader"/>
        <w:spacing w:after="120"/>
        <w:jc w:val="center"/>
        <w:rPr>
          <w:rFonts w:cs="Arial"/>
          <w:sz w:val="20"/>
          <w:szCs w:val="20"/>
        </w:rPr>
      </w:pPr>
      <w:bookmarkStart w:id="435" w:name="_Ref421256740"/>
      <w:bookmarkStart w:id="436" w:name="_Toc401327410"/>
      <w:bookmarkStart w:id="437" w:name="_Toc427335841"/>
      <w:r w:rsidRPr="00B01A90">
        <w:rPr>
          <w:rFonts w:cs="Arial"/>
          <w:sz w:val="20"/>
          <w:szCs w:val="20"/>
        </w:rPr>
        <w:t xml:space="preserve">Table </w:t>
      </w:r>
      <w:r w:rsidR="000763D8">
        <w:rPr>
          <w:rFonts w:cs="Arial"/>
          <w:sz w:val="20"/>
          <w:szCs w:val="20"/>
        </w:rPr>
        <w:t>7.</w:t>
      </w:r>
      <w:r w:rsidR="004F36FD">
        <w:rPr>
          <w:rFonts w:cs="Arial"/>
          <w:sz w:val="20"/>
          <w:szCs w:val="20"/>
        </w:rPr>
        <w:t>3</w:t>
      </w:r>
      <w:r w:rsidR="00FC28F8">
        <w:rPr>
          <w:rFonts w:cs="Arial"/>
          <w:sz w:val="20"/>
          <w:szCs w:val="20"/>
        </w:rPr>
        <w:t>1</w:t>
      </w:r>
      <w:bookmarkEnd w:id="435"/>
      <w:r w:rsidRPr="00B01A90">
        <w:rPr>
          <w:rFonts w:cs="Arial"/>
          <w:sz w:val="20"/>
          <w:szCs w:val="20"/>
        </w:rPr>
        <w:t>.</w:t>
      </w:r>
      <w:r w:rsidRPr="00B01A90">
        <w:rPr>
          <w:rFonts w:cs="Arial"/>
          <w:sz w:val="20"/>
          <w:szCs w:val="20"/>
        </w:rPr>
        <w:tab/>
        <w:t xml:space="preserve">Underwater sound </w:t>
      </w:r>
      <w:bookmarkEnd w:id="436"/>
      <w:bookmarkEnd w:id="437"/>
      <w:r w:rsidR="002A2708">
        <w:rPr>
          <w:rFonts w:cs="Arial"/>
          <w:sz w:val="20"/>
          <w:szCs w:val="20"/>
        </w:rPr>
        <w:t>impact consequence for</w:t>
      </w:r>
      <w:r w:rsidR="00AF1F25">
        <w:rPr>
          <w:rFonts w:cs="Arial"/>
          <w:sz w:val="20"/>
          <w:szCs w:val="20"/>
        </w:rPr>
        <w:t xml:space="preserve"> biological receptors</w:t>
      </w:r>
      <w:r w:rsidR="00C777DA">
        <w:rPr>
          <w:rFonts w:cs="Arial"/>
          <w:sz w:val="20"/>
          <w:szCs w:val="20"/>
        </w:rPr>
        <w:t xml:space="preserve"> </w:t>
      </w:r>
    </w:p>
    <w:tbl>
      <w:tblPr>
        <w:tblW w:w="7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3260"/>
      </w:tblGrid>
      <w:tr w:rsidR="00BD427A" w:rsidRPr="00F96F59" w14:paraId="467FE23D" w14:textId="7EDB4B6E" w:rsidTr="009822DA">
        <w:trPr>
          <w:cantSplit/>
          <w:jc w:val="center"/>
        </w:trPr>
        <w:tc>
          <w:tcPr>
            <w:tcW w:w="4503" w:type="dxa"/>
            <w:shd w:val="clear" w:color="auto" w:fill="064EA8"/>
          </w:tcPr>
          <w:p w14:paraId="270FB8DA" w14:textId="77777777" w:rsidR="00BD427A" w:rsidRPr="009822DA" w:rsidRDefault="00BD427A" w:rsidP="00002CA0">
            <w:pPr>
              <w:pStyle w:val="TableText"/>
              <w:spacing w:before="60" w:after="60" w:line="240" w:lineRule="auto"/>
              <w:rPr>
                <w:rFonts w:cs="Arial"/>
                <w:color w:val="FFFFFF" w:themeColor="background1"/>
                <w:sz w:val="20"/>
                <w:szCs w:val="20"/>
              </w:rPr>
            </w:pPr>
            <w:r w:rsidRPr="009822DA">
              <w:rPr>
                <w:rFonts w:cs="Arial"/>
                <w:color w:val="FFFFFF" w:themeColor="background1"/>
                <w:sz w:val="20"/>
                <w:szCs w:val="20"/>
              </w:rPr>
              <w:t>Receptor</w:t>
            </w:r>
          </w:p>
        </w:tc>
        <w:tc>
          <w:tcPr>
            <w:tcW w:w="3260" w:type="dxa"/>
            <w:shd w:val="clear" w:color="auto" w:fill="064EA8"/>
          </w:tcPr>
          <w:p w14:paraId="3DE9A416" w14:textId="0014066E" w:rsidR="00BD427A" w:rsidRPr="009822DA" w:rsidRDefault="00BD427A" w:rsidP="00002CA0">
            <w:pPr>
              <w:pStyle w:val="TableText"/>
              <w:spacing w:before="60" w:after="60" w:line="240" w:lineRule="auto"/>
              <w:jc w:val="center"/>
              <w:rPr>
                <w:rFonts w:cs="Arial"/>
                <w:color w:val="FFFFFF" w:themeColor="background1"/>
                <w:sz w:val="20"/>
                <w:szCs w:val="20"/>
              </w:rPr>
            </w:pPr>
            <w:r w:rsidRPr="009822DA">
              <w:rPr>
                <w:rFonts w:cs="Arial"/>
                <w:color w:val="FFFFFF" w:themeColor="background1"/>
                <w:sz w:val="20"/>
                <w:szCs w:val="20"/>
              </w:rPr>
              <w:t>Residual</w:t>
            </w:r>
          </w:p>
        </w:tc>
      </w:tr>
      <w:tr w:rsidR="00BD427A" w:rsidRPr="00F96F59" w14:paraId="1E64B3F3" w14:textId="4748B3D6" w:rsidTr="006464A1">
        <w:trPr>
          <w:cantSplit/>
          <w:jc w:val="center"/>
        </w:trPr>
        <w:tc>
          <w:tcPr>
            <w:tcW w:w="4503" w:type="dxa"/>
            <w:shd w:val="clear" w:color="auto" w:fill="FFFFFF" w:themeFill="background1"/>
            <w:vAlign w:val="center"/>
          </w:tcPr>
          <w:p w14:paraId="33172915" w14:textId="77777777" w:rsidR="00BD427A" w:rsidRPr="00F96F59" w:rsidRDefault="00BD427A" w:rsidP="00002CA0">
            <w:pPr>
              <w:pStyle w:val="TableText"/>
              <w:spacing w:before="60" w:after="60" w:line="240" w:lineRule="auto"/>
              <w:rPr>
                <w:rFonts w:cs="Arial"/>
                <w:sz w:val="20"/>
                <w:szCs w:val="20"/>
              </w:rPr>
            </w:pPr>
            <w:r w:rsidRPr="00F96F59">
              <w:rPr>
                <w:rFonts w:cs="Arial"/>
                <w:sz w:val="20"/>
                <w:szCs w:val="20"/>
              </w:rPr>
              <w:t>Plankton</w:t>
            </w:r>
          </w:p>
        </w:tc>
        <w:tc>
          <w:tcPr>
            <w:tcW w:w="3260" w:type="dxa"/>
            <w:shd w:val="clear" w:color="auto" w:fill="CCFFCC"/>
            <w:vAlign w:val="center"/>
          </w:tcPr>
          <w:p w14:paraId="4B27FC65" w14:textId="35C01409" w:rsidR="00BD427A" w:rsidRDefault="00BD427A" w:rsidP="00002CA0">
            <w:pPr>
              <w:pStyle w:val="TableText"/>
              <w:spacing w:before="60" w:after="60" w:line="240" w:lineRule="auto"/>
              <w:jc w:val="center"/>
              <w:rPr>
                <w:rFonts w:cs="Arial"/>
                <w:sz w:val="20"/>
                <w:szCs w:val="20"/>
              </w:rPr>
            </w:pPr>
            <w:r>
              <w:rPr>
                <w:rFonts w:cs="Arial"/>
                <w:sz w:val="20"/>
                <w:szCs w:val="20"/>
              </w:rPr>
              <w:t>Insignificant</w:t>
            </w:r>
          </w:p>
        </w:tc>
      </w:tr>
      <w:tr w:rsidR="00BD427A" w:rsidRPr="00F96F59" w14:paraId="6A70C3AC" w14:textId="580A9EDC" w:rsidTr="006464A1">
        <w:trPr>
          <w:cantSplit/>
          <w:jc w:val="center"/>
        </w:trPr>
        <w:tc>
          <w:tcPr>
            <w:tcW w:w="4503" w:type="dxa"/>
            <w:shd w:val="clear" w:color="auto" w:fill="FFFFFF" w:themeFill="background1"/>
            <w:vAlign w:val="center"/>
          </w:tcPr>
          <w:p w14:paraId="185821D5" w14:textId="77777777" w:rsidR="00BD427A" w:rsidRPr="00F96F59" w:rsidRDefault="00BD427A" w:rsidP="00002CA0">
            <w:pPr>
              <w:pStyle w:val="TableText"/>
              <w:spacing w:before="60" w:after="60" w:line="240" w:lineRule="auto"/>
              <w:rPr>
                <w:rFonts w:cs="Arial"/>
                <w:sz w:val="20"/>
                <w:szCs w:val="20"/>
              </w:rPr>
            </w:pPr>
            <w:r w:rsidRPr="00F96F59">
              <w:rPr>
                <w:rFonts w:cs="Arial"/>
                <w:sz w:val="20"/>
                <w:szCs w:val="20"/>
              </w:rPr>
              <w:t>Fish</w:t>
            </w:r>
            <w:r>
              <w:rPr>
                <w:rFonts w:cs="Arial"/>
                <w:sz w:val="20"/>
                <w:szCs w:val="20"/>
              </w:rPr>
              <w:t xml:space="preserve"> – with swim bladders</w:t>
            </w:r>
          </w:p>
        </w:tc>
        <w:tc>
          <w:tcPr>
            <w:tcW w:w="3260" w:type="dxa"/>
            <w:shd w:val="clear" w:color="auto" w:fill="CCFFCC"/>
            <w:vAlign w:val="center"/>
          </w:tcPr>
          <w:p w14:paraId="2A7D348A" w14:textId="24CD5C10" w:rsidR="00BD427A" w:rsidRDefault="00BD427A" w:rsidP="00002CA0">
            <w:pPr>
              <w:pStyle w:val="TableText"/>
              <w:spacing w:before="60" w:after="60" w:line="240" w:lineRule="auto"/>
              <w:jc w:val="center"/>
              <w:rPr>
                <w:rFonts w:cs="Arial"/>
                <w:sz w:val="20"/>
                <w:szCs w:val="20"/>
              </w:rPr>
            </w:pPr>
            <w:r>
              <w:rPr>
                <w:rFonts w:cs="Arial"/>
                <w:sz w:val="20"/>
                <w:szCs w:val="20"/>
              </w:rPr>
              <w:t>Insignificant</w:t>
            </w:r>
          </w:p>
        </w:tc>
      </w:tr>
      <w:tr w:rsidR="00BD427A" w14:paraId="168D8656" w14:textId="20556B13" w:rsidTr="006464A1">
        <w:trPr>
          <w:cantSplit/>
          <w:jc w:val="center"/>
        </w:trPr>
        <w:tc>
          <w:tcPr>
            <w:tcW w:w="4503" w:type="dxa"/>
            <w:shd w:val="clear" w:color="auto" w:fill="FFFFFF" w:themeFill="background1"/>
            <w:vAlign w:val="center"/>
          </w:tcPr>
          <w:p w14:paraId="030F8377" w14:textId="77777777" w:rsidR="00BD427A" w:rsidRPr="00F96F59" w:rsidRDefault="00BD427A" w:rsidP="00002CA0">
            <w:pPr>
              <w:pStyle w:val="TableText"/>
              <w:spacing w:before="60" w:after="60" w:line="240" w:lineRule="auto"/>
              <w:rPr>
                <w:rFonts w:cs="Arial"/>
                <w:sz w:val="20"/>
                <w:szCs w:val="20"/>
              </w:rPr>
            </w:pPr>
            <w:r>
              <w:rPr>
                <w:rFonts w:cs="Arial"/>
                <w:sz w:val="20"/>
                <w:szCs w:val="20"/>
              </w:rPr>
              <w:t>Fish – without swim bladders</w:t>
            </w:r>
          </w:p>
        </w:tc>
        <w:tc>
          <w:tcPr>
            <w:tcW w:w="3260" w:type="dxa"/>
            <w:shd w:val="clear" w:color="auto" w:fill="CCFFCC"/>
            <w:vAlign w:val="center"/>
          </w:tcPr>
          <w:p w14:paraId="07F982AF" w14:textId="75518D87" w:rsidR="00BD427A" w:rsidRDefault="00BD427A" w:rsidP="00002CA0">
            <w:pPr>
              <w:pStyle w:val="TableText"/>
              <w:spacing w:before="60" w:after="60" w:line="240" w:lineRule="auto"/>
              <w:jc w:val="center"/>
              <w:rPr>
                <w:rFonts w:cs="Arial"/>
                <w:sz w:val="20"/>
                <w:szCs w:val="20"/>
              </w:rPr>
            </w:pPr>
            <w:r>
              <w:rPr>
                <w:rFonts w:cs="Arial"/>
                <w:sz w:val="20"/>
                <w:szCs w:val="20"/>
              </w:rPr>
              <w:t>Insignificant</w:t>
            </w:r>
          </w:p>
        </w:tc>
      </w:tr>
      <w:tr w:rsidR="00BD427A" w:rsidRPr="00F96F59" w14:paraId="3D1742E8" w14:textId="0A1731B2" w:rsidTr="006464A1">
        <w:trPr>
          <w:cantSplit/>
          <w:jc w:val="center"/>
        </w:trPr>
        <w:tc>
          <w:tcPr>
            <w:tcW w:w="4503" w:type="dxa"/>
            <w:shd w:val="clear" w:color="auto" w:fill="FFFFFF" w:themeFill="background1"/>
            <w:vAlign w:val="center"/>
          </w:tcPr>
          <w:p w14:paraId="4E674010" w14:textId="77777777" w:rsidR="00BD427A" w:rsidRPr="00F96F59" w:rsidRDefault="00BD427A" w:rsidP="00002CA0">
            <w:pPr>
              <w:pStyle w:val="TableText"/>
              <w:spacing w:before="60" w:after="60" w:line="240" w:lineRule="auto"/>
              <w:rPr>
                <w:rFonts w:cs="Arial"/>
                <w:sz w:val="20"/>
                <w:szCs w:val="20"/>
              </w:rPr>
            </w:pPr>
            <w:r w:rsidRPr="00F96F59">
              <w:rPr>
                <w:rFonts w:cs="Arial"/>
                <w:sz w:val="20"/>
                <w:szCs w:val="20"/>
              </w:rPr>
              <w:t>Cetaceans</w:t>
            </w:r>
          </w:p>
        </w:tc>
        <w:tc>
          <w:tcPr>
            <w:tcW w:w="3260" w:type="dxa"/>
            <w:shd w:val="clear" w:color="auto" w:fill="CCFFCC"/>
            <w:vAlign w:val="center"/>
          </w:tcPr>
          <w:p w14:paraId="36DA1D08" w14:textId="44D6EFB6" w:rsidR="00BD427A" w:rsidRDefault="00BD427A" w:rsidP="00002CA0">
            <w:pPr>
              <w:pStyle w:val="TableText"/>
              <w:spacing w:before="60" w:after="60" w:line="240" w:lineRule="auto"/>
              <w:jc w:val="center"/>
              <w:rPr>
                <w:rFonts w:cs="Arial"/>
                <w:sz w:val="20"/>
                <w:szCs w:val="20"/>
              </w:rPr>
            </w:pPr>
            <w:r>
              <w:rPr>
                <w:rFonts w:cs="Arial"/>
                <w:sz w:val="20"/>
                <w:szCs w:val="20"/>
              </w:rPr>
              <w:t>Insignificant</w:t>
            </w:r>
          </w:p>
        </w:tc>
      </w:tr>
      <w:tr w:rsidR="00BD427A" w:rsidRPr="00F96F59" w14:paraId="2726F9CF" w14:textId="68988B8E" w:rsidTr="006464A1">
        <w:trPr>
          <w:cantSplit/>
          <w:jc w:val="center"/>
        </w:trPr>
        <w:tc>
          <w:tcPr>
            <w:tcW w:w="4503" w:type="dxa"/>
            <w:shd w:val="clear" w:color="auto" w:fill="FFFFFF" w:themeFill="background1"/>
            <w:vAlign w:val="center"/>
          </w:tcPr>
          <w:p w14:paraId="406E99C5" w14:textId="77777777" w:rsidR="00BD427A" w:rsidRPr="00F96F59" w:rsidRDefault="00BD427A" w:rsidP="00002CA0">
            <w:pPr>
              <w:pStyle w:val="TableText"/>
              <w:spacing w:before="60" w:after="60" w:line="240" w:lineRule="auto"/>
              <w:rPr>
                <w:rFonts w:cs="Arial"/>
                <w:sz w:val="20"/>
                <w:szCs w:val="20"/>
              </w:rPr>
            </w:pPr>
            <w:r w:rsidRPr="00F96F59">
              <w:rPr>
                <w:rFonts w:cs="Arial"/>
                <w:sz w:val="20"/>
                <w:szCs w:val="20"/>
              </w:rPr>
              <w:t>Pinnipeds</w:t>
            </w:r>
          </w:p>
        </w:tc>
        <w:tc>
          <w:tcPr>
            <w:tcW w:w="3260" w:type="dxa"/>
            <w:shd w:val="clear" w:color="auto" w:fill="CCFFCC"/>
            <w:vAlign w:val="center"/>
          </w:tcPr>
          <w:p w14:paraId="3F2EA3A6" w14:textId="68B555F2" w:rsidR="00BD427A" w:rsidRDefault="00BD427A" w:rsidP="00002CA0">
            <w:pPr>
              <w:pStyle w:val="TableText"/>
              <w:spacing w:before="60" w:after="60" w:line="240" w:lineRule="auto"/>
              <w:jc w:val="center"/>
              <w:rPr>
                <w:rFonts w:cs="Arial"/>
                <w:sz w:val="20"/>
                <w:szCs w:val="20"/>
              </w:rPr>
            </w:pPr>
            <w:r>
              <w:rPr>
                <w:rFonts w:cs="Arial"/>
                <w:sz w:val="20"/>
                <w:szCs w:val="20"/>
              </w:rPr>
              <w:t>Insignificant</w:t>
            </w:r>
          </w:p>
        </w:tc>
      </w:tr>
      <w:tr w:rsidR="00BD427A" w:rsidRPr="00F96F59" w14:paraId="2697B78A" w14:textId="7B48E1B5" w:rsidTr="006464A1">
        <w:trPr>
          <w:cantSplit/>
          <w:jc w:val="center"/>
        </w:trPr>
        <w:tc>
          <w:tcPr>
            <w:tcW w:w="4503" w:type="dxa"/>
            <w:shd w:val="clear" w:color="auto" w:fill="FFFFFF" w:themeFill="background1"/>
            <w:vAlign w:val="center"/>
          </w:tcPr>
          <w:p w14:paraId="1D4A50BE" w14:textId="77777777" w:rsidR="00BD427A" w:rsidRPr="00F96F59" w:rsidRDefault="00BD427A" w:rsidP="00002CA0">
            <w:pPr>
              <w:pStyle w:val="TableText"/>
              <w:spacing w:before="60" w:after="60" w:line="240" w:lineRule="auto"/>
              <w:rPr>
                <w:rFonts w:cs="Arial"/>
                <w:sz w:val="20"/>
                <w:szCs w:val="20"/>
              </w:rPr>
            </w:pPr>
            <w:r w:rsidRPr="00F96F59">
              <w:rPr>
                <w:rFonts w:cs="Arial"/>
                <w:sz w:val="20"/>
                <w:szCs w:val="20"/>
              </w:rPr>
              <w:t>Avifauna</w:t>
            </w:r>
          </w:p>
        </w:tc>
        <w:tc>
          <w:tcPr>
            <w:tcW w:w="3260" w:type="dxa"/>
            <w:shd w:val="clear" w:color="auto" w:fill="CCFFCC"/>
            <w:vAlign w:val="center"/>
          </w:tcPr>
          <w:p w14:paraId="3607C4C1" w14:textId="0FAF1C5A" w:rsidR="00BD427A" w:rsidRDefault="00BD427A" w:rsidP="00002CA0">
            <w:pPr>
              <w:pStyle w:val="TableText"/>
              <w:spacing w:before="60" w:after="60" w:line="240" w:lineRule="auto"/>
              <w:jc w:val="center"/>
              <w:rPr>
                <w:rFonts w:cs="Arial"/>
                <w:sz w:val="20"/>
                <w:szCs w:val="20"/>
              </w:rPr>
            </w:pPr>
            <w:r>
              <w:rPr>
                <w:rFonts w:cs="Arial"/>
                <w:sz w:val="20"/>
                <w:szCs w:val="20"/>
              </w:rPr>
              <w:t>Insignificant</w:t>
            </w:r>
          </w:p>
        </w:tc>
      </w:tr>
      <w:tr w:rsidR="00BD427A" w:rsidRPr="00F96F59" w14:paraId="481B9A61" w14:textId="6313FE72" w:rsidTr="006464A1">
        <w:trPr>
          <w:cantSplit/>
          <w:jc w:val="center"/>
        </w:trPr>
        <w:tc>
          <w:tcPr>
            <w:tcW w:w="4503" w:type="dxa"/>
            <w:shd w:val="clear" w:color="auto" w:fill="FFFFFF" w:themeFill="background1"/>
            <w:vAlign w:val="center"/>
          </w:tcPr>
          <w:p w14:paraId="2568E6E0" w14:textId="77777777" w:rsidR="00BD427A" w:rsidRPr="00F96F59" w:rsidRDefault="00BD427A" w:rsidP="00002CA0">
            <w:pPr>
              <w:pStyle w:val="TableText"/>
              <w:spacing w:before="60" w:after="60" w:line="240" w:lineRule="auto"/>
              <w:rPr>
                <w:rFonts w:cs="Arial"/>
                <w:sz w:val="20"/>
                <w:szCs w:val="20"/>
              </w:rPr>
            </w:pPr>
            <w:r w:rsidRPr="00F96F59">
              <w:rPr>
                <w:rFonts w:cs="Arial"/>
                <w:sz w:val="20"/>
                <w:szCs w:val="20"/>
              </w:rPr>
              <w:t>Crustaceans (</w:t>
            </w:r>
            <w:r>
              <w:rPr>
                <w:rFonts w:cs="Arial"/>
                <w:sz w:val="20"/>
                <w:szCs w:val="20"/>
              </w:rPr>
              <w:t xml:space="preserve">e.g., </w:t>
            </w:r>
            <w:r w:rsidRPr="00F96F59">
              <w:rPr>
                <w:rFonts w:cs="Arial"/>
                <w:sz w:val="20"/>
                <w:szCs w:val="20"/>
              </w:rPr>
              <w:t>southern rock lobster)</w:t>
            </w:r>
          </w:p>
        </w:tc>
        <w:tc>
          <w:tcPr>
            <w:tcW w:w="3260" w:type="dxa"/>
            <w:shd w:val="clear" w:color="auto" w:fill="66FF99"/>
            <w:vAlign w:val="center"/>
          </w:tcPr>
          <w:p w14:paraId="11154F8E" w14:textId="4BDF70B3" w:rsidR="00BD427A" w:rsidRDefault="00BD427A" w:rsidP="00002CA0">
            <w:pPr>
              <w:pStyle w:val="TableText"/>
              <w:spacing w:before="60" w:after="60" w:line="240" w:lineRule="auto"/>
              <w:jc w:val="center"/>
              <w:rPr>
                <w:rFonts w:cs="Arial"/>
                <w:sz w:val="20"/>
                <w:szCs w:val="20"/>
              </w:rPr>
            </w:pPr>
            <w:r>
              <w:rPr>
                <w:rFonts w:cs="Arial"/>
                <w:sz w:val="20"/>
                <w:szCs w:val="20"/>
              </w:rPr>
              <w:t>Minor</w:t>
            </w:r>
          </w:p>
        </w:tc>
      </w:tr>
      <w:tr w:rsidR="00BD427A" w:rsidRPr="00F96F59" w14:paraId="4E348F9C" w14:textId="7999C2E3" w:rsidTr="006464A1">
        <w:trPr>
          <w:cantSplit/>
          <w:jc w:val="center"/>
        </w:trPr>
        <w:tc>
          <w:tcPr>
            <w:tcW w:w="4503" w:type="dxa"/>
            <w:shd w:val="clear" w:color="auto" w:fill="FFFFFF" w:themeFill="background1"/>
            <w:vAlign w:val="center"/>
          </w:tcPr>
          <w:p w14:paraId="65FE566D" w14:textId="77777777" w:rsidR="00BD427A" w:rsidRPr="00F96F59" w:rsidRDefault="00BD427A" w:rsidP="00002CA0">
            <w:pPr>
              <w:pStyle w:val="TableText"/>
              <w:spacing w:before="60" w:after="60" w:line="240" w:lineRule="auto"/>
              <w:rPr>
                <w:rFonts w:cs="Arial"/>
                <w:sz w:val="20"/>
                <w:szCs w:val="20"/>
              </w:rPr>
            </w:pPr>
            <w:r w:rsidRPr="00F96F59">
              <w:rPr>
                <w:rFonts w:cs="Arial"/>
                <w:sz w:val="20"/>
                <w:szCs w:val="20"/>
              </w:rPr>
              <w:t>Molluscs (</w:t>
            </w:r>
            <w:r>
              <w:rPr>
                <w:rFonts w:cs="Arial"/>
                <w:sz w:val="20"/>
                <w:szCs w:val="20"/>
              </w:rPr>
              <w:t xml:space="preserve">e.g., </w:t>
            </w:r>
            <w:r w:rsidRPr="00F96F59">
              <w:rPr>
                <w:rFonts w:cs="Arial"/>
                <w:sz w:val="20"/>
                <w:szCs w:val="20"/>
              </w:rPr>
              <w:t>scallops)</w:t>
            </w:r>
          </w:p>
        </w:tc>
        <w:tc>
          <w:tcPr>
            <w:tcW w:w="3260" w:type="dxa"/>
            <w:shd w:val="clear" w:color="auto" w:fill="66FF99"/>
            <w:vAlign w:val="center"/>
          </w:tcPr>
          <w:p w14:paraId="1AD68989" w14:textId="55F37238" w:rsidR="00BD427A" w:rsidRDefault="00BD427A" w:rsidP="00002CA0">
            <w:pPr>
              <w:pStyle w:val="TableText"/>
              <w:spacing w:before="60" w:after="60" w:line="240" w:lineRule="auto"/>
              <w:jc w:val="center"/>
              <w:rPr>
                <w:rFonts w:cs="Arial"/>
                <w:sz w:val="20"/>
                <w:szCs w:val="20"/>
              </w:rPr>
            </w:pPr>
            <w:r>
              <w:rPr>
                <w:rFonts w:cs="Arial"/>
                <w:sz w:val="20"/>
                <w:szCs w:val="20"/>
              </w:rPr>
              <w:t>Minor</w:t>
            </w:r>
          </w:p>
        </w:tc>
      </w:tr>
      <w:tr w:rsidR="00BD427A" w:rsidRPr="00F96F59" w14:paraId="0F141CD7" w14:textId="3367050B" w:rsidTr="006464A1">
        <w:trPr>
          <w:cantSplit/>
          <w:jc w:val="center"/>
        </w:trPr>
        <w:tc>
          <w:tcPr>
            <w:tcW w:w="4503" w:type="dxa"/>
            <w:shd w:val="clear" w:color="auto" w:fill="FFFFFF" w:themeFill="background1"/>
            <w:vAlign w:val="center"/>
          </w:tcPr>
          <w:p w14:paraId="517628A4" w14:textId="77777777" w:rsidR="00BD427A" w:rsidRPr="00F96F59" w:rsidRDefault="00BD427A" w:rsidP="00002CA0">
            <w:pPr>
              <w:pStyle w:val="TableText"/>
              <w:spacing w:before="60" w:after="60" w:line="240" w:lineRule="auto"/>
              <w:rPr>
                <w:rFonts w:cs="Arial"/>
                <w:sz w:val="20"/>
                <w:szCs w:val="20"/>
              </w:rPr>
            </w:pPr>
            <w:r w:rsidRPr="00F96F59">
              <w:rPr>
                <w:rFonts w:cs="Arial"/>
                <w:sz w:val="20"/>
                <w:szCs w:val="20"/>
              </w:rPr>
              <w:t>Turtles</w:t>
            </w:r>
          </w:p>
        </w:tc>
        <w:tc>
          <w:tcPr>
            <w:tcW w:w="3260" w:type="dxa"/>
            <w:shd w:val="clear" w:color="auto" w:fill="CCFFCC"/>
            <w:vAlign w:val="center"/>
          </w:tcPr>
          <w:p w14:paraId="12393A49" w14:textId="7771BD76" w:rsidR="00BD427A" w:rsidRDefault="00BD427A" w:rsidP="00002CA0">
            <w:pPr>
              <w:pStyle w:val="TableText"/>
              <w:spacing w:before="60" w:after="60" w:line="240" w:lineRule="auto"/>
              <w:jc w:val="center"/>
              <w:rPr>
                <w:rFonts w:cs="Arial"/>
                <w:sz w:val="20"/>
                <w:szCs w:val="20"/>
              </w:rPr>
            </w:pPr>
            <w:r>
              <w:rPr>
                <w:rFonts w:cs="Arial"/>
                <w:sz w:val="20"/>
                <w:szCs w:val="20"/>
              </w:rPr>
              <w:t>Insignificant</w:t>
            </w:r>
          </w:p>
        </w:tc>
      </w:tr>
    </w:tbl>
    <w:p w14:paraId="54E812D0" w14:textId="77777777" w:rsidR="00EE6FC7" w:rsidRDefault="00EE6FC7" w:rsidP="00EE6FC7"/>
    <w:p w14:paraId="0F4E17F4" w14:textId="2F8ADC31" w:rsidR="001308B3" w:rsidRPr="00B03966" w:rsidRDefault="00B365F4" w:rsidP="001308B3">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438" w:name="_Toc501230882"/>
      <w:bookmarkStart w:id="439" w:name="_Toc501312673"/>
      <w:bookmarkStart w:id="440" w:name="_Toc375214600"/>
      <w:bookmarkEnd w:id="438"/>
      <w:bookmarkEnd w:id="439"/>
      <w:r>
        <w:rPr>
          <w:rFonts w:cs="Times New Roman"/>
          <w:iCs w:val="0"/>
          <w:color w:val="064EA8"/>
          <w:szCs w:val="26"/>
          <w:lang w:eastAsia="en-US"/>
        </w:rPr>
        <w:t xml:space="preserve">INDIRECT </w:t>
      </w:r>
      <w:r w:rsidR="001308B3">
        <w:rPr>
          <w:rFonts w:cs="Times New Roman"/>
          <w:iCs w:val="0"/>
          <w:color w:val="064EA8"/>
          <w:szCs w:val="26"/>
          <w:lang w:eastAsia="en-US"/>
        </w:rPr>
        <w:t xml:space="preserve">IMPACT: </w:t>
      </w:r>
      <w:r>
        <w:rPr>
          <w:rFonts w:cs="Times New Roman"/>
          <w:iCs w:val="0"/>
          <w:color w:val="064EA8"/>
          <w:szCs w:val="26"/>
          <w:lang w:eastAsia="en-US"/>
        </w:rPr>
        <w:t xml:space="preserve">Potential </w:t>
      </w:r>
      <w:r w:rsidR="001308B3">
        <w:rPr>
          <w:rFonts w:cs="Times New Roman"/>
          <w:iCs w:val="0"/>
          <w:color w:val="064EA8"/>
          <w:szCs w:val="26"/>
          <w:lang w:eastAsia="en-US"/>
        </w:rPr>
        <w:t xml:space="preserve">Disruption to </w:t>
      </w:r>
      <w:r w:rsidR="001308B3" w:rsidRPr="00B03966">
        <w:rPr>
          <w:rFonts w:cs="Times New Roman"/>
          <w:iCs w:val="0"/>
          <w:color w:val="064EA8"/>
          <w:szCs w:val="26"/>
          <w:lang w:eastAsia="en-US"/>
        </w:rPr>
        <w:t>Fisheries</w:t>
      </w:r>
      <w:r w:rsidR="001308B3">
        <w:rPr>
          <w:rFonts w:cs="Times New Roman"/>
          <w:iCs w:val="0"/>
          <w:color w:val="064EA8"/>
          <w:szCs w:val="26"/>
          <w:lang w:eastAsia="en-US"/>
        </w:rPr>
        <w:t xml:space="preserve"> from Underwater Sound</w:t>
      </w:r>
      <w:bookmarkEnd w:id="440"/>
    </w:p>
    <w:p w14:paraId="41F9AACE" w14:textId="77777777" w:rsidR="001308B3" w:rsidRPr="00B06B3D" w:rsidRDefault="001308B3" w:rsidP="001308B3">
      <w:pPr>
        <w:pStyle w:val="Heading3"/>
        <w:spacing w:after="120"/>
      </w:pPr>
      <w:bookmarkStart w:id="441" w:name="_Toc375214601"/>
      <w:r w:rsidRPr="00B06B3D">
        <w:t>Hazard</w:t>
      </w:r>
      <w:bookmarkEnd w:id="441"/>
    </w:p>
    <w:p w14:paraId="221A7F66" w14:textId="5C8F9F77" w:rsidR="001308B3" w:rsidRPr="00B700A9" w:rsidRDefault="001308B3" w:rsidP="001308B3">
      <w:pPr>
        <w:ind w:left="0"/>
        <w:rPr>
          <w:rFonts w:cs="Arial"/>
          <w:sz w:val="22"/>
          <w:szCs w:val="22"/>
        </w:rPr>
      </w:pPr>
      <w:r w:rsidRPr="00B700A9">
        <w:rPr>
          <w:rFonts w:cs="Arial"/>
          <w:sz w:val="22"/>
          <w:szCs w:val="22"/>
        </w:rPr>
        <w:t xml:space="preserve">The proposed MSS may disrupt </w:t>
      </w:r>
      <w:r>
        <w:rPr>
          <w:rFonts w:cs="Arial"/>
          <w:sz w:val="22"/>
          <w:szCs w:val="22"/>
        </w:rPr>
        <w:t xml:space="preserve">the sustainability of commercial </w:t>
      </w:r>
      <w:r w:rsidR="00DD653E">
        <w:rPr>
          <w:rFonts w:cs="Arial"/>
          <w:sz w:val="22"/>
          <w:szCs w:val="22"/>
        </w:rPr>
        <w:t xml:space="preserve">and recreational </w:t>
      </w:r>
      <w:r w:rsidRPr="00B700A9">
        <w:rPr>
          <w:rFonts w:cs="Arial"/>
          <w:sz w:val="22"/>
          <w:szCs w:val="22"/>
        </w:rPr>
        <w:t>fisheries because of physical, behavioural or physiological responses in fish target</w:t>
      </w:r>
      <w:r w:rsidR="00DD653E">
        <w:rPr>
          <w:rFonts w:cs="Arial"/>
          <w:sz w:val="22"/>
          <w:szCs w:val="22"/>
        </w:rPr>
        <w:t xml:space="preserve"> </w:t>
      </w:r>
      <w:r w:rsidRPr="00B700A9">
        <w:rPr>
          <w:rFonts w:cs="Arial"/>
          <w:sz w:val="22"/>
          <w:szCs w:val="22"/>
        </w:rPr>
        <w:t>s</w:t>
      </w:r>
      <w:r w:rsidR="00DD653E">
        <w:rPr>
          <w:rFonts w:cs="Arial"/>
          <w:sz w:val="22"/>
          <w:szCs w:val="22"/>
        </w:rPr>
        <w:t>pecies</w:t>
      </w:r>
      <w:r w:rsidRPr="00B700A9">
        <w:rPr>
          <w:rFonts w:cs="Arial"/>
          <w:sz w:val="22"/>
          <w:szCs w:val="22"/>
        </w:rPr>
        <w:t xml:space="preserve"> (Carroll </w:t>
      </w:r>
      <w:r w:rsidRPr="003717BA">
        <w:rPr>
          <w:rFonts w:cs="Arial"/>
          <w:i/>
          <w:sz w:val="22"/>
          <w:szCs w:val="22"/>
        </w:rPr>
        <w:t>et al</w:t>
      </w:r>
      <w:r w:rsidRPr="00B700A9">
        <w:rPr>
          <w:rFonts w:cs="Arial"/>
          <w:sz w:val="22"/>
          <w:szCs w:val="22"/>
        </w:rPr>
        <w:t xml:space="preserve">., 2017). </w:t>
      </w:r>
    </w:p>
    <w:p w14:paraId="6D96285F" w14:textId="0CE5887A" w:rsidR="001308B3" w:rsidRDefault="001308B3" w:rsidP="001308B3">
      <w:pPr>
        <w:pStyle w:val="Heading3"/>
      </w:pPr>
      <w:bookmarkStart w:id="442" w:name="_Toc375214602"/>
      <w:r>
        <w:t xml:space="preserve">Potential Environmental </w:t>
      </w:r>
      <w:r w:rsidR="00827495">
        <w:t>Impacts</w:t>
      </w:r>
      <w:bookmarkEnd w:id="442"/>
    </w:p>
    <w:p w14:paraId="3497A6D2" w14:textId="1CDE1451" w:rsidR="001308B3" w:rsidRPr="00B700A9" w:rsidRDefault="001308B3" w:rsidP="001308B3">
      <w:pPr>
        <w:spacing w:after="120"/>
        <w:ind w:left="0"/>
        <w:rPr>
          <w:rFonts w:cs="Arial"/>
          <w:sz w:val="22"/>
          <w:szCs w:val="22"/>
        </w:rPr>
      </w:pPr>
      <w:r w:rsidRPr="00B700A9">
        <w:rPr>
          <w:rFonts w:cs="Arial"/>
          <w:sz w:val="22"/>
          <w:szCs w:val="22"/>
        </w:rPr>
        <w:t xml:space="preserve">The potential </w:t>
      </w:r>
      <w:r w:rsidR="00827495">
        <w:rPr>
          <w:rFonts w:cs="Arial"/>
          <w:sz w:val="22"/>
          <w:szCs w:val="22"/>
        </w:rPr>
        <w:t>impacts</w:t>
      </w:r>
      <w:r w:rsidR="00827495" w:rsidRPr="00B700A9">
        <w:rPr>
          <w:rFonts w:cs="Arial"/>
          <w:sz w:val="22"/>
          <w:szCs w:val="22"/>
        </w:rPr>
        <w:t xml:space="preserve"> </w:t>
      </w:r>
      <w:r w:rsidRPr="00B700A9">
        <w:rPr>
          <w:rFonts w:cs="Arial"/>
          <w:sz w:val="22"/>
          <w:szCs w:val="22"/>
        </w:rPr>
        <w:t xml:space="preserve">of underwater sound on commercial </w:t>
      </w:r>
      <w:r w:rsidR="00DD653E">
        <w:rPr>
          <w:rFonts w:cs="Arial"/>
          <w:sz w:val="22"/>
          <w:szCs w:val="22"/>
        </w:rPr>
        <w:t xml:space="preserve">and recreational </w:t>
      </w:r>
      <w:r w:rsidRPr="00B700A9">
        <w:rPr>
          <w:rFonts w:cs="Arial"/>
          <w:sz w:val="22"/>
          <w:szCs w:val="22"/>
        </w:rPr>
        <w:t xml:space="preserve">fisheries are: </w:t>
      </w:r>
    </w:p>
    <w:p w14:paraId="38E785C1" w14:textId="77777777" w:rsidR="001308B3" w:rsidRPr="00B700A9" w:rsidRDefault="001308B3" w:rsidP="001308B3">
      <w:pPr>
        <w:pStyle w:val="ColorfulList-Accent11"/>
        <w:numPr>
          <w:ilvl w:val="0"/>
          <w:numId w:val="171"/>
        </w:numPr>
        <w:rPr>
          <w:rFonts w:cs="Arial"/>
          <w:sz w:val="22"/>
          <w:szCs w:val="22"/>
        </w:rPr>
      </w:pPr>
      <w:r w:rsidRPr="00B700A9">
        <w:rPr>
          <w:rFonts w:cs="Arial"/>
          <w:sz w:val="22"/>
          <w:szCs w:val="22"/>
        </w:rPr>
        <w:lastRenderedPageBreak/>
        <w:t>Localised and temporary exclusion of fishing operators from fishing grounds, with a consequent potential decrease in fish catch and associated income; and</w:t>
      </w:r>
    </w:p>
    <w:p w14:paraId="2503112F" w14:textId="75BF8BB0" w:rsidR="001308B3" w:rsidRPr="00B700A9" w:rsidRDefault="001308B3" w:rsidP="001308B3">
      <w:pPr>
        <w:pStyle w:val="ColorfulList-Accent11"/>
        <w:numPr>
          <w:ilvl w:val="0"/>
          <w:numId w:val="171"/>
        </w:numPr>
        <w:rPr>
          <w:rFonts w:cs="Arial"/>
          <w:sz w:val="22"/>
          <w:szCs w:val="22"/>
        </w:rPr>
      </w:pPr>
      <w:r w:rsidRPr="00B700A9">
        <w:rPr>
          <w:rFonts w:cs="Arial"/>
          <w:sz w:val="22"/>
          <w:szCs w:val="22"/>
        </w:rPr>
        <w:t xml:space="preserve">Physiological or behavioural changes in target species that results in a lower catch </w:t>
      </w:r>
      <w:r>
        <w:rPr>
          <w:rFonts w:cs="Arial"/>
          <w:sz w:val="22"/>
          <w:szCs w:val="22"/>
        </w:rPr>
        <w:t xml:space="preserve">intensity </w:t>
      </w:r>
      <w:r w:rsidRPr="00B700A9">
        <w:rPr>
          <w:rFonts w:cs="Arial"/>
          <w:sz w:val="22"/>
          <w:szCs w:val="22"/>
        </w:rPr>
        <w:t xml:space="preserve">in the short- or long-term, with a consequent potential decrease in associated </w:t>
      </w:r>
      <w:r w:rsidR="00DD653E">
        <w:rPr>
          <w:rFonts w:cs="Arial"/>
          <w:sz w:val="22"/>
          <w:szCs w:val="22"/>
        </w:rPr>
        <w:t xml:space="preserve">catch and </w:t>
      </w:r>
      <w:r w:rsidRPr="00B700A9">
        <w:rPr>
          <w:rFonts w:cs="Arial"/>
          <w:sz w:val="22"/>
          <w:szCs w:val="22"/>
        </w:rPr>
        <w:t>income.</w:t>
      </w:r>
    </w:p>
    <w:p w14:paraId="35DB62F3" w14:textId="77777777" w:rsidR="000E6B32" w:rsidRDefault="000E6B32" w:rsidP="001308B3">
      <w:pPr>
        <w:ind w:left="0"/>
        <w:rPr>
          <w:rFonts w:cs="Arial"/>
          <w:sz w:val="22"/>
          <w:szCs w:val="22"/>
        </w:rPr>
      </w:pPr>
    </w:p>
    <w:p w14:paraId="4A89BC08" w14:textId="77777777" w:rsidR="001308B3" w:rsidRPr="00B700A9" w:rsidRDefault="001308B3" w:rsidP="001308B3">
      <w:pPr>
        <w:ind w:left="0"/>
        <w:rPr>
          <w:rFonts w:cs="Arial"/>
          <w:sz w:val="22"/>
          <w:szCs w:val="22"/>
        </w:rPr>
      </w:pPr>
      <w:r w:rsidRPr="00B700A9">
        <w:rPr>
          <w:rFonts w:cs="Arial"/>
          <w:sz w:val="22"/>
          <w:szCs w:val="22"/>
        </w:rPr>
        <w:t>Commercial fisheries that are known to operate within the underwater sound EMBA are:</w:t>
      </w:r>
    </w:p>
    <w:p w14:paraId="20FF48DD" w14:textId="77777777" w:rsidR="001308B3" w:rsidRPr="00B700A9" w:rsidRDefault="001308B3" w:rsidP="001308B3">
      <w:pPr>
        <w:ind w:left="0"/>
        <w:rPr>
          <w:rFonts w:cs="Arial"/>
          <w:sz w:val="22"/>
          <w:szCs w:val="22"/>
        </w:rPr>
      </w:pPr>
    </w:p>
    <w:p w14:paraId="7C9B0479" w14:textId="77777777" w:rsidR="001308B3" w:rsidRPr="00B700A9" w:rsidRDefault="001308B3" w:rsidP="001308B3">
      <w:pPr>
        <w:pStyle w:val="ColorfulList-Accent11"/>
        <w:ind w:left="360"/>
        <w:rPr>
          <w:rFonts w:cs="Arial"/>
          <w:sz w:val="22"/>
          <w:szCs w:val="22"/>
          <w:u w:val="single"/>
        </w:rPr>
      </w:pPr>
      <w:r w:rsidRPr="00B700A9">
        <w:rPr>
          <w:rFonts w:cs="Arial"/>
          <w:sz w:val="22"/>
          <w:szCs w:val="22"/>
          <w:u w:val="single"/>
        </w:rPr>
        <w:t>Victorian fisheries</w:t>
      </w:r>
    </w:p>
    <w:p w14:paraId="62078D04" w14:textId="77777777" w:rsidR="001308B3" w:rsidRPr="00B700A9" w:rsidRDefault="001308B3" w:rsidP="001308B3">
      <w:pPr>
        <w:pStyle w:val="ColorfulList-Accent11"/>
        <w:numPr>
          <w:ilvl w:val="0"/>
          <w:numId w:val="172"/>
        </w:numPr>
        <w:rPr>
          <w:rFonts w:cs="Arial"/>
          <w:sz w:val="22"/>
          <w:szCs w:val="22"/>
        </w:rPr>
      </w:pPr>
      <w:r w:rsidRPr="00B700A9">
        <w:rPr>
          <w:rFonts w:cs="Arial"/>
          <w:sz w:val="22"/>
          <w:szCs w:val="22"/>
        </w:rPr>
        <w:t xml:space="preserve">Ocean access; </w:t>
      </w:r>
    </w:p>
    <w:p w14:paraId="56B9C46B" w14:textId="77777777" w:rsidR="001308B3" w:rsidRPr="00B700A9" w:rsidRDefault="001308B3" w:rsidP="001308B3">
      <w:pPr>
        <w:pStyle w:val="ColorfulList-Accent11"/>
        <w:numPr>
          <w:ilvl w:val="0"/>
          <w:numId w:val="172"/>
        </w:numPr>
        <w:rPr>
          <w:rFonts w:cs="Arial"/>
          <w:sz w:val="22"/>
          <w:szCs w:val="22"/>
        </w:rPr>
      </w:pPr>
      <w:r w:rsidRPr="00B700A9">
        <w:rPr>
          <w:rFonts w:cs="Arial"/>
          <w:sz w:val="22"/>
          <w:szCs w:val="22"/>
        </w:rPr>
        <w:t xml:space="preserve">Ocean purse seine; </w:t>
      </w:r>
    </w:p>
    <w:p w14:paraId="2FB12147" w14:textId="77777777" w:rsidR="001308B3" w:rsidRPr="00B700A9" w:rsidRDefault="001308B3" w:rsidP="001308B3">
      <w:pPr>
        <w:pStyle w:val="ColorfulList-Accent11"/>
        <w:numPr>
          <w:ilvl w:val="0"/>
          <w:numId w:val="172"/>
        </w:numPr>
        <w:rPr>
          <w:rFonts w:cs="Arial"/>
          <w:sz w:val="22"/>
          <w:szCs w:val="22"/>
        </w:rPr>
      </w:pPr>
      <w:r w:rsidRPr="00B700A9">
        <w:rPr>
          <w:rFonts w:cs="Arial"/>
          <w:sz w:val="22"/>
          <w:szCs w:val="22"/>
        </w:rPr>
        <w:t>Inshore trawl;</w:t>
      </w:r>
    </w:p>
    <w:p w14:paraId="3956638E" w14:textId="77777777" w:rsidR="001308B3" w:rsidRPr="00B700A9" w:rsidRDefault="001308B3" w:rsidP="001308B3">
      <w:pPr>
        <w:pStyle w:val="ColorfulList-Accent11"/>
        <w:numPr>
          <w:ilvl w:val="0"/>
          <w:numId w:val="172"/>
        </w:numPr>
        <w:rPr>
          <w:rFonts w:cs="Arial"/>
          <w:sz w:val="22"/>
          <w:szCs w:val="22"/>
        </w:rPr>
      </w:pPr>
      <w:r w:rsidRPr="00B700A9">
        <w:rPr>
          <w:rFonts w:cs="Arial"/>
          <w:sz w:val="22"/>
          <w:szCs w:val="22"/>
        </w:rPr>
        <w:t>Scallop;</w:t>
      </w:r>
      <w:r>
        <w:rPr>
          <w:rFonts w:cs="Arial"/>
          <w:sz w:val="22"/>
          <w:szCs w:val="22"/>
        </w:rPr>
        <w:t xml:space="preserve"> and</w:t>
      </w:r>
    </w:p>
    <w:p w14:paraId="4236125B" w14:textId="77777777" w:rsidR="001308B3" w:rsidRPr="00B700A9" w:rsidRDefault="001308B3" w:rsidP="001308B3">
      <w:pPr>
        <w:pStyle w:val="ColorfulList-Accent11"/>
        <w:numPr>
          <w:ilvl w:val="0"/>
          <w:numId w:val="172"/>
        </w:numPr>
        <w:rPr>
          <w:rFonts w:cs="Arial"/>
          <w:sz w:val="22"/>
          <w:szCs w:val="22"/>
        </w:rPr>
      </w:pPr>
      <w:r w:rsidRPr="00B700A9">
        <w:rPr>
          <w:rFonts w:cs="Arial"/>
          <w:sz w:val="22"/>
          <w:szCs w:val="22"/>
        </w:rPr>
        <w:t>Southern rock lobster</w:t>
      </w:r>
      <w:r>
        <w:rPr>
          <w:rFonts w:cs="Arial"/>
          <w:sz w:val="22"/>
          <w:szCs w:val="22"/>
        </w:rPr>
        <w:t>.</w:t>
      </w:r>
      <w:r w:rsidRPr="00B700A9">
        <w:rPr>
          <w:rFonts w:cs="Arial"/>
          <w:sz w:val="22"/>
          <w:szCs w:val="22"/>
        </w:rPr>
        <w:t xml:space="preserve"> </w:t>
      </w:r>
    </w:p>
    <w:p w14:paraId="2F6B09BF" w14:textId="77777777" w:rsidR="001308B3" w:rsidRPr="00B700A9" w:rsidRDefault="001308B3" w:rsidP="001308B3">
      <w:pPr>
        <w:pStyle w:val="ColorfulList-Accent11"/>
        <w:ind w:left="360"/>
        <w:rPr>
          <w:rFonts w:cs="Arial"/>
          <w:sz w:val="22"/>
          <w:szCs w:val="22"/>
          <w:u w:val="single"/>
        </w:rPr>
      </w:pPr>
      <w:r w:rsidRPr="00B700A9">
        <w:rPr>
          <w:rFonts w:cs="Arial"/>
          <w:sz w:val="22"/>
          <w:szCs w:val="22"/>
          <w:u w:val="single"/>
        </w:rPr>
        <w:t>Commonwealth fisheries</w:t>
      </w:r>
    </w:p>
    <w:p w14:paraId="3861B250" w14:textId="77777777" w:rsidR="001308B3" w:rsidRDefault="001308B3" w:rsidP="001308B3">
      <w:pPr>
        <w:pStyle w:val="ColorfulList-Accent11"/>
        <w:numPr>
          <w:ilvl w:val="0"/>
          <w:numId w:val="172"/>
        </w:numPr>
        <w:rPr>
          <w:rFonts w:cs="Arial"/>
          <w:sz w:val="22"/>
          <w:szCs w:val="22"/>
        </w:rPr>
      </w:pPr>
      <w:r w:rsidRPr="00B700A9">
        <w:rPr>
          <w:rFonts w:cs="Arial"/>
          <w:sz w:val="22"/>
          <w:szCs w:val="22"/>
        </w:rPr>
        <w:t>Gillnet and shark hook sector (SESS).</w:t>
      </w:r>
    </w:p>
    <w:p w14:paraId="6CA154D8" w14:textId="77777777" w:rsidR="00B365F4" w:rsidRDefault="00B365F4" w:rsidP="00891DE1">
      <w:pPr>
        <w:pStyle w:val="ColorfulList-Accent11"/>
        <w:rPr>
          <w:rFonts w:cs="Arial"/>
          <w:sz w:val="22"/>
          <w:szCs w:val="22"/>
        </w:rPr>
      </w:pPr>
    </w:p>
    <w:p w14:paraId="484ACAE1" w14:textId="50AB8FE7" w:rsidR="00DD653E" w:rsidRPr="00B700A9" w:rsidRDefault="00DD653E" w:rsidP="00891DE1">
      <w:pPr>
        <w:pStyle w:val="ColorfulList-Accent11"/>
        <w:ind w:left="0"/>
        <w:rPr>
          <w:rFonts w:cs="Arial"/>
          <w:sz w:val="22"/>
          <w:szCs w:val="22"/>
        </w:rPr>
      </w:pPr>
      <w:r>
        <w:rPr>
          <w:rFonts w:cs="Arial"/>
          <w:sz w:val="22"/>
          <w:szCs w:val="22"/>
        </w:rPr>
        <w:t xml:space="preserve">Recreational fishers target mostly fin fish species (e.g., snapper, whiting, flathead and salmon, see Section 5.6.4), both from the shore and from boats. Recreational fishing competition organisers have expressed concern regarding the timing and duration of the proposed MSS for their competitions. Potential impacts to these recreational fishing targets are captured under the ‘fin fish’ section following.  </w:t>
      </w:r>
    </w:p>
    <w:p w14:paraId="17027D4F" w14:textId="31A738B9" w:rsidR="001308B3" w:rsidRDefault="001308B3" w:rsidP="001308B3">
      <w:pPr>
        <w:pStyle w:val="Heading3"/>
        <w:spacing w:after="120"/>
      </w:pPr>
      <w:bookmarkStart w:id="443" w:name="_Toc375214603"/>
      <w:r>
        <w:t xml:space="preserve">Evaluation of </w:t>
      </w:r>
      <w:r w:rsidR="00DD653E">
        <w:t xml:space="preserve">Potential </w:t>
      </w:r>
      <w:r>
        <w:t>Environmental</w:t>
      </w:r>
      <w:r w:rsidR="00DD653E">
        <w:t xml:space="preserve"> </w:t>
      </w:r>
      <w:r w:rsidR="004B24C5">
        <w:t>Impacts</w:t>
      </w:r>
      <w:bookmarkEnd w:id="443"/>
    </w:p>
    <w:p w14:paraId="558DF5CC" w14:textId="77777777" w:rsidR="001308B3" w:rsidRPr="00B700A9" w:rsidRDefault="001308B3" w:rsidP="001308B3">
      <w:pPr>
        <w:spacing w:after="120" w:line="240" w:lineRule="auto"/>
        <w:ind w:left="0"/>
        <w:rPr>
          <w:rFonts w:cs="Arial"/>
          <w:b/>
          <w:sz w:val="22"/>
          <w:szCs w:val="22"/>
        </w:rPr>
      </w:pPr>
      <w:r>
        <w:rPr>
          <w:rFonts w:cs="Arial"/>
          <w:b/>
          <w:sz w:val="22"/>
          <w:szCs w:val="22"/>
        </w:rPr>
        <w:t xml:space="preserve">Fin Fish </w:t>
      </w:r>
    </w:p>
    <w:p w14:paraId="421B727E" w14:textId="36AE6F97" w:rsidR="001308B3" w:rsidRPr="00B700A9" w:rsidRDefault="001308B3" w:rsidP="001308B3">
      <w:pPr>
        <w:ind w:left="0"/>
        <w:rPr>
          <w:rFonts w:cs="Arial"/>
          <w:sz w:val="22"/>
          <w:szCs w:val="22"/>
        </w:rPr>
      </w:pPr>
      <w:r w:rsidRPr="00B700A9">
        <w:rPr>
          <w:rFonts w:cs="Arial"/>
          <w:sz w:val="22"/>
          <w:szCs w:val="22"/>
        </w:rPr>
        <w:t xml:space="preserve">The discussion of underwater sound impacts on </w:t>
      </w:r>
      <w:r>
        <w:rPr>
          <w:rFonts w:cs="Arial"/>
          <w:sz w:val="22"/>
          <w:szCs w:val="22"/>
        </w:rPr>
        <w:t>fin fish</w:t>
      </w:r>
      <w:r w:rsidRPr="00B700A9">
        <w:rPr>
          <w:rFonts w:cs="Arial"/>
          <w:sz w:val="22"/>
          <w:szCs w:val="22"/>
        </w:rPr>
        <w:t xml:space="preserve"> species is relevant to the </w:t>
      </w:r>
      <w:r w:rsidR="00664302">
        <w:rPr>
          <w:rFonts w:cs="Arial"/>
          <w:sz w:val="22"/>
          <w:szCs w:val="22"/>
        </w:rPr>
        <w:t>Victorian O</w:t>
      </w:r>
      <w:r w:rsidRPr="00B700A9">
        <w:rPr>
          <w:rFonts w:cs="Arial"/>
          <w:sz w:val="22"/>
          <w:szCs w:val="22"/>
        </w:rPr>
        <w:t xml:space="preserve">cean </w:t>
      </w:r>
      <w:r w:rsidR="00664302">
        <w:rPr>
          <w:rFonts w:cs="Arial"/>
          <w:sz w:val="22"/>
          <w:szCs w:val="22"/>
        </w:rPr>
        <w:t>A</w:t>
      </w:r>
      <w:r w:rsidRPr="00B700A9">
        <w:rPr>
          <w:rFonts w:cs="Arial"/>
          <w:sz w:val="22"/>
          <w:szCs w:val="22"/>
        </w:rPr>
        <w:t xml:space="preserve">ccess (shark, salmon and snapper), </w:t>
      </w:r>
      <w:r w:rsidR="003D5BA6">
        <w:rPr>
          <w:rFonts w:cs="Arial"/>
          <w:sz w:val="22"/>
          <w:szCs w:val="22"/>
        </w:rPr>
        <w:t>Victorian O</w:t>
      </w:r>
      <w:r w:rsidRPr="00B700A9">
        <w:rPr>
          <w:rFonts w:cs="Arial"/>
          <w:sz w:val="22"/>
          <w:szCs w:val="22"/>
        </w:rPr>
        <w:t xml:space="preserve">cean </w:t>
      </w:r>
      <w:r w:rsidR="003D5BA6">
        <w:rPr>
          <w:rFonts w:cs="Arial"/>
          <w:sz w:val="22"/>
          <w:szCs w:val="22"/>
        </w:rPr>
        <w:t>P</w:t>
      </w:r>
      <w:r w:rsidRPr="00B700A9">
        <w:rPr>
          <w:rFonts w:cs="Arial"/>
          <w:sz w:val="22"/>
          <w:szCs w:val="22"/>
        </w:rPr>
        <w:t xml:space="preserve">urse </w:t>
      </w:r>
      <w:r w:rsidR="003D5BA6">
        <w:rPr>
          <w:rFonts w:cs="Arial"/>
          <w:sz w:val="22"/>
          <w:szCs w:val="22"/>
        </w:rPr>
        <w:t>S</w:t>
      </w:r>
      <w:r w:rsidRPr="00B700A9">
        <w:rPr>
          <w:rFonts w:cs="Arial"/>
          <w:sz w:val="22"/>
          <w:szCs w:val="22"/>
        </w:rPr>
        <w:t>eine (sardine, salmon and sprat)</w:t>
      </w:r>
      <w:r>
        <w:rPr>
          <w:rFonts w:cs="Arial"/>
          <w:sz w:val="22"/>
          <w:szCs w:val="22"/>
        </w:rPr>
        <w:t>,</w:t>
      </w:r>
      <w:r w:rsidRPr="00B700A9">
        <w:rPr>
          <w:rFonts w:cs="Arial"/>
          <w:sz w:val="22"/>
          <w:szCs w:val="22"/>
        </w:rPr>
        <w:t xml:space="preserve"> </w:t>
      </w:r>
      <w:r w:rsidR="003D5BA6">
        <w:rPr>
          <w:rFonts w:cs="Arial"/>
          <w:sz w:val="22"/>
          <w:szCs w:val="22"/>
        </w:rPr>
        <w:t>Victorian I</w:t>
      </w:r>
      <w:r w:rsidRPr="00B700A9">
        <w:rPr>
          <w:rFonts w:cs="Arial"/>
          <w:sz w:val="22"/>
          <w:szCs w:val="22"/>
        </w:rPr>
        <w:t xml:space="preserve">nshore </w:t>
      </w:r>
      <w:r w:rsidR="003D5BA6">
        <w:rPr>
          <w:rFonts w:cs="Arial"/>
          <w:sz w:val="22"/>
          <w:szCs w:val="22"/>
        </w:rPr>
        <w:t>T</w:t>
      </w:r>
      <w:r w:rsidRPr="00B700A9">
        <w:rPr>
          <w:rFonts w:cs="Arial"/>
          <w:sz w:val="22"/>
          <w:szCs w:val="22"/>
        </w:rPr>
        <w:t>rawl (prawn, flathead, shark)</w:t>
      </w:r>
      <w:r w:rsidR="00DD653E">
        <w:rPr>
          <w:rFonts w:cs="Arial"/>
          <w:sz w:val="22"/>
          <w:szCs w:val="22"/>
        </w:rPr>
        <w:t>,</w:t>
      </w:r>
      <w:r w:rsidRPr="00B700A9">
        <w:rPr>
          <w:rFonts w:cs="Arial"/>
          <w:sz w:val="22"/>
          <w:szCs w:val="22"/>
        </w:rPr>
        <w:t xml:space="preserve"> </w:t>
      </w:r>
      <w:r w:rsidR="003D5BA6">
        <w:rPr>
          <w:rFonts w:cs="Arial"/>
          <w:sz w:val="22"/>
          <w:szCs w:val="22"/>
        </w:rPr>
        <w:t>the Commonwealth SESS (</w:t>
      </w:r>
      <w:r>
        <w:rPr>
          <w:rFonts w:cs="Arial"/>
          <w:sz w:val="22"/>
          <w:szCs w:val="22"/>
        </w:rPr>
        <w:t>gillnet and shark hook sector</w:t>
      </w:r>
      <w:r w:rsidR="003D5BA6">
        <w:rPr>
          <w:rFonts w:cs="Arial"/>
          <w:sz w:val="22"/>
          <w:szCs w:val="22"/>
        </w:rPr>
        <w:t>)</w:t>
      </w:r>
      <w:r>
        <w:rPr>
          <w:rFonts w:cs="Arial"/>
          <w:sz w:val="22"/>
          <w:szCs w:val="22"/>
        </w:rPr>
        <w:t xml:space="preserve"> </w:t>
      </w:r>
      <w:r w:rsidR="00DD653E">
        <w:rPr>
          <w:rFonts w:cs="Arial"/>
          <w:sz w:val="22"/>
          <w:szCs w:val="22"/>
        </w:rPr>
        <w:t xml:space="preserve">commercial </w:t>
      </w:r>
      <w:r w:rsidRPr="00B700A9">
        <w:rPr>
          <w:rFonts w:cs="Arial"/>
          <w:sz w:val="22"/>
          <w:szCs w:val="22"/>
        </w:rPr>
        <w:t>fisheries</w:t>
      </w:r>
      <w:r w:rsidR="00DD653E">
        <w:rPr>
          <w:rFonts w:cs="Arial"/>
          <w:sz w:val="22"/>
          <w:szCs w:val="22"/>
        </w:rPr>
        <w:t xml:space="preserve"> and the recreational fishery</w:t>
      </w:r>
      <w:r w:rsidRPr="00B700A9">
        <w:rPr>
          <w:rFonts w:cs="Arial"/>
          <w:sz w:val="22"/>
          <w:szCs w:val="22"/>
        </w:rPr>
        <w:t>.</w:t>
      </w:r>
    </w:p>
    <w:p w14:paraId="32042E61" w14:textId="77777777" w:rsidR="001308B3" w:rsidRPr="00B700A9" w:rsidRDefault="001308B3" w:rsidP="001308B3">
      <w:pPr>
        <w:ind w:left="0"/>
        <w:rPr>
          <w:rFonts w:cs="Arial"/>
          <w:sz w:val="22"/>
          <w:szCs w:val="22"/>
        </w:rPr>
      </w:pPr>
    </w:p>
    <w:p w14:paraId="65741A93" w14:textId="5CFBC6BA" w:rsidR="001308B3" w:rsidRPr="00B700A9" w:rsidRDefault="001308B3" w:rsidP="001308B3">
      <w:pPr>
        <w:ind w:left="0"/>
        <w:rPr>
          <w:rFonts w:cs="Arial"/>
          <w:sz w:val="22"/>
          <w:szCs w:val="22"/>
        </w:rPr>
      </w:pPr>
      <w:r w:rsidRPr="00B700A9">
        <w:rPr>
          <w:rFonts w:cs="Arial"/>
          <w:sz w:val="22"/>
          <w:szCs w:val="22"/>
        </w:rPr>
        <w:t xml:space="preserve">Fish may avoid areas of seismic activity, and fish schools may disperse or change feeding behaviour patterns, resulting in fewer fish being attracted to baited traps or hooks. This can potentially reduce the availability of commercially valuable species or recreationally targeted species. Some studies support the view of many commercial fishers that seismic surveys scare fish away (except for reef-dwelling [i.e., site-attached] fish), but there is minimal information on the time taken for fish to return after the completion of surveys, with overseas studies indicating fish returning within one to five days after the completion of the survey (Parry &amp; Gason, 2006). Other studies investigating sound impacts on fish catch statistics identify catch rates do not change significantly. </w:t>
      </w:r>
    </w:p>
    <w:p w14:paraId="322C635A" w14:textId="77777777" w:rsidR="001308B3" w:rsidRPr="00B700A9" w:rsidRDefault="001308B3" w:rsidP="001308B3">
      <w:pPr>
        <w:ind w:left="0"/>
        <w:rPr>
          <w:rFonts w:cs="Arial"/>
          <w:sz w:val="22"/>
          <w:szCs w:val="22"/>
        </w:rPr>
      </w:pPr>
    </w:p>
    <w:p w14:paraId="6BEC4763" w14:textId="77777777" w:rsidR="001308B3" w:rsidRPr="00B700A9" w:rsidRDefault="001308B3" w:rsidP="001308B3">
      <w:pPr>
        <w:ind w:left="0"/>
        <w:rPr>
          <w:rFonts w:cs="Arial"/>
          <w:sz w:val="22"/>
          <w:szCs w:val="22"/>
        </w:rPr>
      </w:pPr>
      <w:r w:rsidRPr="00B700A9">
        <w:rPr>
          <w:rFonts w:cs="Arial"/>
          <w:sz w:val="22"/>
          <w:szCs w:val="22"/>
        </w:rPr>
        <w:t>McCauley (1994) identified that the nature and extent of behavioural change in fish species will vary according to the species involved, with evidence indicating that for some fish species seismic sound is no more than a nuisance factor. Fisheries and Oceans Canada (2004) reviewed scientific information available on the impacts of MSS on fish and concluded that the ecological significance on fish is expected to be low, except where there may be a dispersion of spawning aggregations or deflections in migration paths, however, the magnitude of effects will be dependent on the biology of the species and the extent of the dispersion or deflection.</w:t>
      </w:r>
    </w:p>
    <w:p w14:paraId="627B9D0B" w14:textId="77777777" w:rsidR="001308B3" w:rsidRPr="00B700A9" w:rsidRDefault="001308B3" w:rsidP="001308B3">
      <w:pPr>
        <w:ind w:left="0"/>
        <w:rPr>
          <w:rFonts w:cs="Arial"/>
          <w:sz w:val="22"/>
          <w:szCs w:val="22"/>
        </w:rPr>
      </w:pPr>
    </w:p>
    <w:p w14:paraId="3B44A768" w14:textId="77777777" w:rsidR="001308B3" w:rsidRPr="00B700A9" w:rsidRDefault="001308B3" w:rsidP="001308B3">
      <w:pPr>
        <w:ind w:left="0"/>
        <w:rPr>
          <w:rFonts w:cs="Arial"/>
          <w:sz w:val="22"/>
          <w:szCs w:val="22"/>
        </w:rPr>
      </w:pPr>
      <w:r w:rsidRPr="00B700A9">
        <w:rPr>
          <w:rFonts w:cs="Arial"/>
          <w:sz w:val="22"/>
          <w:szCs w:val="22"/>
        </w:rPr>
        <w:t>Any reduction in spawning or recruitment success may reduce the yield of a species in subsequent years. This can, in turn, contribute to longer-term impacts due to a reduction in spawning stock for the following year. Studies show that effects on fish eggs and larvae populations within survey areas are insignificant, especially when considered with respect to population size and the natural mortality rates for these organisms (McCauley, 1994).</w:t>
      </w:r>
    </w:p>
    <w:p w14:paraId="53D716A6" w14:textId="77777777" w:rsidR="001308B3" w:rsidRPr="00B700A9" w:rsidRDefault="001308B3" w:rsidP="001308B3">
      <w:pPr>
        <w:ind w:left="0"/>
        <w:rPr>
          <w:rFonts w:cs="Arial"/>
          <w:sz w:val="22"/>
          <w:szCs w:val="22"/>
        </w:rPr>
      </w:pPr>
    </w:p>
    <w:p w14:paraId="7D8CBE49" w14:textId="77777777" w:rsidR="001308B3" w:rsidRPr="00B700A9" w:rsidRDefault="001308B3" w:rsidP="001308B3">
      <w:pPr>
        <w:ind w:left="0"/>
        <w:rPr>
          <w:rFonts w:cs="Arial"/>
          <w:sz w:val="22"/>
          <w:szCs w:val="22"/>
        </w:rPr>
      </w:pPr>
      <w:r w:rsidRPr="00B700A9">
        <w:rPr>
          <w:rFonts w:cs="Arial"/>
          <w:sz w:val="22"/>
          <w:szCs w:val="22"/>
        </w:rPr>
        <w:t>Geoscience Australia examined fisheries catches and catch rates for the potential effects of Bass Strait MSS in a desktop study (GA, 2014). The finfish species studied were school whiting (</w:t>
      </w:r>
      <w:r w:rsidRPr="00B700A9">
        <w:rPr>
          <w:rFonts w:cs="Arial"/>
          <w:i/>
          <w:sz w:val="22"/>
          <w:szCs w:val="22"/>
        </w:rPr>
        <w:t>Sillago flindersi</w:t>
      </w:r>
      <w:r w:rsidRPr="00B700A9">
        <w:rPr>
          <w:rFonts w:cs="Arial"/>
          <w:sz w:val="22"/>
          <w:szCs w:val="22"/>
        </w:rPr>
        <w:t>), tiger flathead (</w:t>
      </w:r>
      <w:r w:rsidRPr="00B700A9">
        <w:rPr>
          <w:rFonts w:cs="Arial"/>
          <w:i/>
          <w:sz w:val="22"/>
          <w:szCs w:val="22"/>
        </w:rPr>
        <w:t>Neoplatycephalus richardsoni</w:t>
      </w:r>
      <w:r w:rsidRPr="00B700A9">
        <w:rPr>
          <w:rFonts w:cs="Arial"/>
          <w:sz w:val="22"/>
          <w:szCs w:val="22"/>
        </w:rPr>
        <w:t>), silver warehou (</w:t>
      </w:r>
      <w:r w:rsidRPr="00B700A9">
        <w:rPr>
          <w:rFonts w:cs="Arial"/>
          <w:i/>
          <w:sz w:val="22"/>
          <w:szCs w:val="22"/>
        </w:rPr>
        <w:t>Seriolella punctata</w:t>
      </w:r>
      <w:r w:rsidRPr="00B700A9">
        <w:rPr>
          <w:rFonts w:cs="Arial"/>
          <w:sz w:val="22"/>
          <w:szCs w:val="22"/>
        </w:rPr>
        <w:t>) and gummy shark (</w:t>
      </w:r>
      <w:r w:rsidRPr="00B700A9">
        <w:rPr>
          <w:rFonts w:cs="Arial"/>
          <w:i/>
          <w:sz w:val="22"/>
          <w:szCs w:val="22"/>
        </w:rPr>
        <w:t>Mustelus antarcticus</w:t>
      </w:r>
      <w:r w:rsidRPr="00B700A9">
        <w:rPr>
          <w:rFonts w:cs="Arial"/>
          <w:sz w:val="22"/>
          <w:szCs w:val="22"/>
        </w:rPr>
        <w:t>), all of which are expected to occur in the proposed acquisition area. The study concluded that despite attempting novel and relatively sophisticated methods to try to separate the effects of various factors through to effect catch rates, no clear negative (or positive) effects of MSS on fishe</w:t>
      </w:r>
      <w:r>
        <w:rPr>
          <w:rFonts w:cs="Arial"/>
          <w:sz w:val="22"/>
          <w:szCs w:val="22"/>
        </w:rPr>
        <w:t>ries catch rates were detected</w:t>
      </w:r>
      <w:r w:rsidRPr="00B700A9">
        <w:rPr>
          <w:rFonts w:cs="Arial"/>
          <w:sz w:val="22"/>
          <w:szCs w:val="22"/>
        </w:rPr>
        <w:t>.</w:t>
      </w:r>
    </w:p>
    <w:p w14:paraId="1B6CEA83" w14:textId="77777777" w:rsidR="001308B3" w:rsidRPr="00B700A9" w:rsidRDefault="001308B3" w:rsidP="001308B3">
      <w:pPr>
        <w:ind w:left="0"/>
        <w:rPr>
          <w:rFonts w:cs="Arial"/>
          <w:sz w:val="22"/>
          <w:szCs w:val="22"/>
        </w:rPr>
      </w:pPr>
    </w:p>
    <w:p w14:paraId="3C6D5DF6" w14:textId="77777777" w:rsidR="001308B3" w:rsidRPr="00B700A9" w:rsidRDefault="001308B3" w:rsidP="001308B3">
      <w:pPr>
        <w:ind w:left="0"/>
        <w:rPr>
          <w:rFonts w:cs="Arial"/>
          <w:sz w:val="22"/>
          <w:szCs w:val="22"/>
        </w:rPr>
      </w:pPr>
      <w:r w:rsidRPr="00B700A9">
        <w:rPr>
          <w:rFonts w:cs="Arial"/>
          <w:sz w:val="22"/>
          <w:szCs w:val="22"/>
        </w:rPr>
        <w:t>Przeslawski et al (2016</w:t>
      </w:r>
      <w:r>
        <w:rPr>
          <w:rFonts w:cs="Arial"/>
          <w:sz w:val="22"/>
          <w:szCs w:val="22"/>
        </w:rPr>
        <w:t>b</w:t>
      </w:r>
      <w:r w:rsidRPr="00B700A9">
        <w:rPr>
          <w:rFonts w:cs="Arial"/>
          <w:sz w:val="22"/>
          <w:szCs w:val="22"/>
        </w:rPr>
        <w:t>) present the results of a GMEM project undertaken in 2015 (</w:t>
      </w:r>
      <w:r w:rsidRPr="004E79CF">
        <w:rPr>
          <w:rFonts w:cs="Arial"/>
          <w:sz w:val="22"/>
          <w:szCs w:val="22"/>
        </w:rPr>
        <w:t>see Section 7.1.4).</w:t>
      </w:r>
      <w:r w:rsidRPr="00B700A9">
        <w:rPr>
          <w:rFonts w:cs="Arial"/>
          <w:sz w:val="22"/>
          <w:szCs w:val="22"/>
        </w:rPr>
        <w:t xml:space="preserve"> Assessing fish catch rates was one of several project components, and was monitored using tagged tiger flathead (</w:t>
      </w:r>
      <w:r w:rsidRPr="00B700A9">
        <w:rPr>
          <w:rFonts w:cs="Arial"/>
          <w:i/>
          <w:sz w:val="22"/>
          <w:szCs w:val="22"/>
        </w:rPr>
        <w:t>Neoplatycephalus richardsoni</w:t>
      </w:r>
      <w:r w:rsidRPr="00B700A9">
        <w:rPr>
          <w:rFonts w:cs="Arial"/>
          <w:sz w:val="22"/>
          <w:szCs w:val="22"/>
        </w:rPr>
        <w:t>), gummy shark (</w:t>
      </w:r>
      <w:r w:rsidRPr="00B700A9">
        <w:rPr>
          <w:rFonts w:cs="Arial"/>
          <w:i/>
          <w:sz w:val="22"/>
          <w:szCs w:val="22"/>
        </w:rPr>
        <w:t>Mustelus antarcticus</w:t>
      </w:r>
      <w:r w:rsidRPr="00B700A9">
        <w:rPr>
          <w:rFonts w:cs="Arial"/>
          <w:sz w:val="22"/>
          <w:szCs w:val="22"/>
        </w:rPr>
        <w:t>), and swellshark (</w:t>
      </w:r>
      <w:r w:rsidRPr="00B700A9">
        <w:rPr>
          <w:rFonts w:cs="Arial"/>
          <w:i/>
          <w:sz w:val="22"/>
          <w:szCs w:val="22"/>
        </w:rPr>
        <w:t>Cephaloscyllium laticeps</w:t>
      </w:r>
      <w:r w:rsidRPr="00B700A9">
        <w:rPr>
          <w:rFonts w:cs="Arial"/>
          <w:sz w:val="22"/>
          <w:szCs w:val="22"/>
        </w:rPr>
        <w:t>) released within acoustic arrays in the experimental and control zones. Commercial catch data from 15 species in the region were used to quantify any differences that may have been attributed to the 2015 Geoscience Australian 2D MSS</w:t>
      </w:r>
      <w:r>
        <w:rPr>
          <w:rFonts w:cs="Arial"/>
          <w:sz w:val="22"/>
          <w:szCs w:val="22"/>
        </w:rPr>
        <w:t>, which was undertaken 25 km south of the proposed acquisition area</w:t>
      </w:r>
      <w:r w:rsidRPr="00B700A9">
        <w:rPr>
          <w:rFonts w:cs="Arial"/>
          <w:sz w:val="22"/>
          <w:szCs w:val="22"/>
        </w:rPr>
        <w:t xml:space="preserve">. The results from this study with regard to catch analysis were: </w:t>
      </w:r>
    </w:p>
    <w:p w14:paraId="4ABA6CF3" w14:textId="77777777" w:rsidR="001308B3" w:rsidRPr="00B700A9" w:rsidRDefault="001308B3" w:rsidP="001308B3">
      <w:pPr>
        <w:ind w:left="0"/>
        <w:rPr>
          <w:rFonts w:cs="Arial"/>
          <w:sz w:val="22"/>
          <w:szCs w:val="22"/>
        </w:rPr>
      </w:pPr>
    </w:p>
    <w:p w14:paraId="6CF28429" w14:textId="77777777" w:rsidR="001308B3" w:rsidRPr="00B700A9" w:rsidRDefault="001308B3" w:rsidP="001308B3">
      <w:pPr>
        <w:pStyle w:val="ColorfulList-Accent11"/>
        <w:numPr>
          <w:ilvl w:val="0"/>
          <w:numId w:val="181"/>
        </w:numPr>
        <w:rPr>
          <w:rFonts w:cs="Arial"/>
          <w:sz w:val="22"/>
          <w:szCs w:val="22"/>
        </w:rPr>
      </w:pPr>
      <w:r w:rsidRPr="00B700A9">
        <w:rPr>
          <w:rFonts w:cs="Arial"/>
          <w:sz w:val="22"/>
          <w:szCs w:val="22"/>
        </w:rPr>
        <w:t xml:space="preserve">Nine out of 15 species indicated significant deviations (p ≤0.05) from their predicted catch rates after the survey, with deviations being gear-specific in species caught across both gear types. </w:t>
      </w:r>
    </w:p>
    <w:p w14:paraId="2EC50997" w14:textId="77777777" w:rsidR="001308B3" w:rsidRPr="00B700A9" w:rsidRDefault="001308B3" w:rsidP="001308B3">
      <w:pPr>
        <w:pStyle w:val="ColorfulList-Accent11"/>
        <w:numPr>
          <w:ilvl w:val="0"/>
          <w:numId w:val="181"/>
        </w:numPr>
        <w:rPr>
          <w:rFonts w:cs="Arial"/>
          <w:sz w:val="22"/>
          <w:szCs w:val="22"/>
        </w:rPr>
      </w:pPr>
      <w:r w:rsidRPr="00B700A9">
        <w:rPr>
          <w:rFonts w:cs="Arial"/>
          <w:sz w:val="22"/>
          <w:szCs w:val="22"/>
        </w:rPr>
        <w:t xml:space="preserve">No species indicated significant before and after deviations in catch across more than one gear type. </w:t>
      </w:r>
    </w:p>
    <w:p w14:paraId="580DA086" w14:textId="77777777" w:rsidR="001308B3" w:rsidRPr="00B700A9" w:rsidRDefault="001308B3" w:rsidP="001308B3">
      <w:pPr>
        <w:pStyle w:val="ColorfulList-Accent11"/>
        <w:numPr>
          <w:ilvl w:val="0"/>
          <w:numId w:val="181"/>
        </w:numPr>
        <w:rPr>
          <w:rFonts w:cs="Arial"/>
          <w:sz w:val="22"/>
          <w:szCs w:val="22"/>
        </w:rPr>
      </w:pPr>
      <w:r w:rsidRPr="00B700A9">
        <w:rPr>
          <w:rFonts w:cs="Arial"/>
          <w:sz w:val="22"/>
          <w:szCs w:val="22"/>
        </w:rPr>
        <w:t xml:space="preserve">Across all gear types, six species (tiger flathead, goatfish, elephantfish, boarfish, broadnose shark and school shark) indicated increases in catch subsequent to the seismic survey. </w:t>
      </w:r>
    </w:p>
    <w:p w14:paraId="1DD41723" w14:textId="77777777" w:rsidR="001308B3" w:rsidRPr="00B700A9" w:rsidRDefault="001308B3" w:rsidP="001308B3">
      <w:pPr>
        <w:pStyle w:val="ColorfulList-Accent11"/>
        <w:numPr>
          <w:ilvl w:val="0"/>
          <w:numId w:val="181"/>
        </w:numPr>
        <w:rPr>
          <w:rFonts w:cs="Arial"/>
          <w:sz w:val="22"/>
          <w:szCs w:val="22"/>
        </w:rPr>
      </w:pPr>
      <w:r w:rsidRPr="00B700A9">
        <w:rPr>
          <w:rFonts w:cs="Arial"/>
          <w:sz w:val="22"/>
          <w:szCs w:val="22"/>
        </w:rPr>
        <w:t xml:space="preserve">Three species (gummy shark, red gurnard, sawshark) indicated decreases in catch. </w:t>
      </w:r>
    </w:p>
    <w:p w14:paraId="6C88671D" w14:textId="77777777" w:rsidR="001308B3" w:rsidRPr="00B700A9" w:rsidRDefault="001308B3" w:rsidP="001308B3">
      <w:pPr>
        <w:pStyle w:val="ColorfulList-Accent11"/>
        <w:numPr>
          <w:ilvl w:val="0"/>
          <w:numId w:val="181"/>
        </w:numPr>
        <w:rPr>
          <w:rFonts w:cs="Arial"/>
          <w:sz w:val="22"/>
          <w:szCs w:val="22"/>
        </w:rPr>
      </w:pPr>
      <w:r w:rsidRPr="00B700A9">
        <w:rPr>
          <w:rFonts w:cs="Arial"/>
          <w:sz w:val="22"/>
          <w:szCs w:val="22"/>
        </w:rPr>
        <w:t>Of these species, most were caught using Danish Seine, which was the more common of the two fishing operation across the area examined (no Danish seine fishing occurs in the proposed acquisition area).</w:t>
      </w:r>
    </w:p>
    <w:p w14:paraId="47E8B5BA" w14:textId="77777777" w:rsidR="001308B3" w:rsidRPr="00B700A9" w:rsidRDefault="001308B3" w:rsidP="001308B3">
      <w:pPr>
        <w:ind w:left="0"/>
        <w:rPr>
          <w:rFonts w:cs="Arial"/>
          <w:sz w:val="22"/>
          <w:szCs w:val="22"/>
        </w:rPr>
      </w:pPr>
    </w:p>
    <w:p w14:paraId="45907384" w14:textId="77777777" w:rsidR="001308B3" w:rsidRPr="00B700A9" w:rsidRDefault="001308B3" w:rsidP="001308B3">
      <w:pPr>
        <w:ind w:left="0"/>
        <w:rPr>
          <w:rFonts w:cs="Arial"/>
          <w:sz w:val="22"/>
          <w:szCs w:val="22"/>
        </w:rPr>
      </w:pPr>
      <w:r w:rsidRPr="00B700A9">
        <w:rPr>
          <w:rFonts w:cs="Arial"/>
          <w:sz w:val="22"/>
          <w:szCs w:val="22"/>
        </w:rPr>
        <w:t xml:space="preserve">This GMEM study notes that many factors can account for changes in logbook recorded catch rates, such as differences in fishing practices, market forces and environmental effects (e.g., sea surface temperature) that influence the distribution and catchability of species. It also notes that the catchability results support previous work in which the effects of seismic surveys on catch seem to vary among species and gear types. </w:t>
      </w:r>
    </w:p>
    <w:p w14:paraId="51AC6BB7" w14:textId="77777777" w:rsidR="001308B3" w:rsidRPr="00B700A9" w:rsidRDefault="001308B3" w:rsidP="001308B3">
      <w:pPr>
        <w:ind w:left="0"/>
        <w:rPr>
          <w:rFonts w:cs="Arial"/>
          <w:sz w:val="22"/>
          <w:szCs w:val="22"/>
        </w:rPr>
      </w:pPr>
    </w:p>
    <w:p w14:paraId="5EAD205F" w14:textId="77777777" w:rsidR="001308B3" w:rsidRPr="00B700A9" w:rsidRDefault="001308B3" w:rsidP="001308B3">
      <w:pPr>
        <w:ind w:left="0"/>
        <w:rPr>
          <w:rFonts w:cs="Arial"/>
          <w:sz w:val="22"/>
          <w:szCs w:val="22"/>
        </w:rPr>
      </w:pPr>
      <w:r w:rsidRPr="00B700A9">
        <w:rPr>
          <w:rFonts w:cs="Arial"/>
          <w:sz w:val="22"/>
          <w:szCs w:val="22"/>
        </w:rPr>
        <w:t>Carroll et al (2017) also undertook a desktop review of the potential impacts of MSS on fish (and invertebrates). It found that commercial trawl and longline catches of Atlantic cod (</w:t>
      </w:r>
      <w:r w:rsidRPr="009B5965">
        <w:rPr>
          <w:rFonts w:cs="Arial"/>
          <w:i/>
          <w:sz w:val="22"/>
          <w:szCs w:val="22"/>
        </w:rPr>
        <w:t>Gadus morhua</w:t>
      </w:r>
      <w:r w:rsidRPr="00B700A9">
        <w:rPr>
          <w:rFonts w:cs="Arial"/>
          <w:sz w:val="22"/>
          <w:szCs w:val="22"/>
        </w:rPr>
        <w:t>) and haddock (</w:t>
      </w:r>
      <w:r w:rsidRPr="009B5965">
        <w:rPr>
          <w:rFonts w:cs="Arial"/>
          <w:i/>
          <w:sz w:val="22"/>
          <w:szCs w:val="22"/>
        </w:rPr>
        <w:t>Melanogrammus aeglefinus</w:t>
      </w:r>
      <w:r w:rsidRPr="00B700A9">
        <w:rPr>
          <w:rFonts w:cs="Arial"/>
          <w:sz w:val="22"/>
          <w:szCs w:val="22"/>
        </w:rPr>
        <w:t xml:space="preserve">) have been shown to fall by 45% and 70%, respectively, five days after MSS in the Barents Sea, which was hypothesized to be the result of fish displaying avoidance behaviour. </w:t>
      </w:r>
      <w:r w:rsidRPr="00B700A9">
        <w:rPr>
          <w:rFonts w:cs="Arial"/>
          <w:sz w:val="22"/>
          <w:szCs w:val="22"/>
        </w:rPr>
        <w:lastRenderedPageBreak/>
        <w:t>Similar reductions were also demonstrated in the hook-and-line fishery for rockfish (</w:t>
      </w:r>
      <w:r w:rsidRPr="009B5965">
        <w:rPr>
          <w:rFonts w:cs="Arial"/>
          <w:i/>
          <w:sz w:val="22"/>
          <w:szCs w:val="22"/>
        </w:rPr>
        <w:t>Sebastes</w:t>
      </w:r>
      <w:r w:rsidRPr="00B700A9">
        <w:rPr>
          <w:rFonts w:cs="Arial"/>
          <w:sz w:val="22"/>
          <w:szCs w:val="22"/>
        </w:rPr>
        <w:t xml:space="preserve"> spp.) off the Californian coast, hypotehsized to be the result of decreased responsiveness to baited hooks associated with an alarm behavioural response. A companion behavioural study showed that alarm and startle responses were not sustained following the removal of the sound source, </w:t>
      </w:r>
      <w:r>
        <w:rPr>
          <w:rFonts w:cs="Arial"/>
          <w:sz w:val="22"/>
          <w:szCs w:val="22"/>
        </w:rPr>
        <w:t>s</w:t>
      </w:r>
      <w:r w:rsidRPr="00B700A9">
        <w:rPr>
          <w:rFonts w:cs="Arial"/>
          <w:sz w:val="22"/>
          <w:szCs w:val="22"/>
        </w:rPr>
        <w:t>uggesting that the effects on fishing may be transitory, primarily occurring during the sound exposure itself.</w:t>
      </w:r>
    </w:p>
    <w:p w14:paraId="32BFD4FF" w14:textId="77777777" w:rsidR="001308B3" w:rsidRPr="00B700A9" w:rsidRDefault="001308B3" w:rsidP="001308B3">
      <w:pPr>
        <w:ind w:left="0"/>
        <w:rPr>
          <w:rFonts w:cs="Arial"/>
          <w:sz w:val="22"/>
          <w:szCs w:val="22"/>
        </w:rPr>
      </w:pPr>
    </w:p>
    <w:p w14:paraId="378A5CEF" w14:textId="29B7C4A2" w:rsidR="001308B3" w:rsidRDefault="001308B3" w:rsidP="001308B3">
      <w:pPr>
        <w:ind w:left="0"/>
        <w:rPr>
          <w:rFonts w:cs="Arial"/>
          <w:i/>
          <w:sz w:val="22"/>
          <w:szCs w:val="22"/>
        </w:rPr>
      </w:pPr>
      <w:r w:rsidRPr="00493D8C">
        <w:rPr>
          <w:rFonts w:cs="Arial"/>
          <w:i/>
          <w:sz w:val="22"/>
          <w:szCs w:val="22"/>
        </w:rPr>
        <w:t xml:space="preserve">How </w:t>
      </w:r>
      <w:r w:rsidR="00B365F4">
        <w:rPr>
          <w:rFonts w:cs="Arial"/>
          <w:i/>
          <w:sz w:val="22"/>
          <w:szCs w:val="22"/>
        </w:rPr>
        <w:t>M</w:t>
      </w:r>
      <w:r w:rsidRPr="00493D8C">
        <w:rPr>
          <w:rFonts w:cs="Arial"/>
          <w:i/>
          <w:sz w:val="22"/>
          <w:szCs w:val="22"/>
        </w:rPr>
        <w:t xml:space="preserve">ay </w:t>
      </w:r>
      <w:r w:rsidR="00B365F4">
        <w:rPr>
          <w:rFonts w:cs="Arial"/>
          <w:i/>
          <w:sz w:val="22"/>
          <w:szCs w:val="22"/>
        </w:rPr>
        <w:t>the F</w:t>
      </w:r>
      <w:r w:rsidRPr="00493D8C">
        <w:rPr>
          <w:rFonts w:cs="Arial"/>
          <w:i/>
          <w:sz w:val="22"/>
          <w:szCs w:val="22"/>
        </w:rPr>
        <w:t>ish</w:t>
      </w:r>
      <w:r w:rsidR="00B365F4">
        <w:rPr>
          <w:rFonts w:cs="Arial"/>
          <w:i/>
          <w:sz w:val="22"/>
          <w:szCs w:val="22"/>
        </w:rPr>
        <w:t xml:space="preserve">ery </w:t>
      </w:r>
      <w:r w:rsidRPr="00493D8C">
        <w:rPr>
          <w:rFonts w:cs="Arial"/>
          <w:i/>
          <w:sz w:val="22"/>
          <w:szCs w:val="22"/>
        </w:rPr>
        <w:t xml:space="preserve">be </w:t>
      </w:r>
      <w:r w:rsidR="00B365F4">
        <w:rPr>
          <w:rFonts w:cs="Arial"/>
          <w:i/>
          <w:sz w:val="22"/>
          <w:szCs w:val="22"/>
        </w:rPr>
        <w:t>A</w:t>
      </w:r>
      <w:r w:rsidRPr="00493D8C">
        <w:rPr>
          <w:rFonts w:cs="Arial"/>
          <w:i/>
          <w:sz w:val="22"/>
          <w:szCs w:val="22"/>
        </w:rPr>
        <w:t>ffected?</w:t>
      </w:r>
    </w:p>
    <w:p w14:paraId="521C2127" w14:textId="77777777" w:rsidR="001308B3" w:rsidRPr="00493D8C" w:rsidRDefault="001308B3" w:rsidP="001308B3">
      <w:pPr>
        <w:ind w:left="0"/>
        <w:rPr>
          <w:rFonts w:cs="Arial"/>
          <w:i/>
          <w:sz w:val="22"/>
          <w:szCs w:val="22"/>
        </w:rPr>
      </w:pPr>
    </w:p>
    <w:p w14:paraId="432ADDA5" w14:textId="142C8590" w:rsidR="007B6DB4" w:rsidRDefault="001308B3" w:rsidP="00891DE1">
      <w:pPr>
        <w:spacing w:after="120"/>
        <w:ind w:left="0"/>
        <w:rPr>
          <w:rFonts w:cs="Arial"/>
          <w:sz w:val="22"/>
          <w:szCs w:val="22"/>
        </w:rPr>
      </w:pPr>
      <w:r w:rsidRPr="00493D8C">
        <w:rPr>
          <w:rFonts w:cs="Arial"/>
          <w:sz w:val="22"/>
          <w:szCs w:val="22"/>
        </w:rPr>
        <w:t>In summary, potential impacts to commercial fin fish stock from the proposed MSS</w:t>
      </w:r>
      <w:r w:rsidR="0032032E">
        <w:rPr>
          <w:rFonts w:cs="Arial"/>
          <w:sz w:val="22"/>
          <w:szCs w:val="22"/>
        </w:rPr>
        <w:t xml:space="preserve"> are limited to a t</w:t>
      </w:r>
      <w:r w:rsidRPr="00493D8C">
        <w:rPr>
          <w:rFonts w:cs="Arial"/>
          <w:sz w:val="22"/>
          <w:szCs w:val="22"/>
        </w:rPr>
        <w:t xml:space="preserve">emporary reduction in fish catch within the </w:t>
      </w:r>
      <w:r>
        <w:rPr>
          <w:rFonts w:cs="Arial"/>
          <w:sz w:val="22"/>
          <w:szCs w:val="22"/>
        </w:rPr>
        <w:t>proposed acquisition</w:t>
      </w:r>
      <w:r w:rsidRPr="00493D8C">
        <w:rPr>
          <w:rFonts w:cs="Arial"/>
          <w:sz w:val="22"/>
          <w:szCs w:val="22"/>
        </w:rPr>
        <w:t xml:space="preserve"> area due to lateral displacement from seismic source operation or deeper depth range for fish species with an affinity for seabed stuctures</w:t>
      </w:r>
      <w:r w:rsidR="007B6DB4">
        <w:rPr>
          <w:rFonts w:cs="Arial"/>
          <w:sz w:val="22"/>
          <w:szCs w:val="22"/>
        </w:rPr>
        <w:t>.</w:t>
      </w:r>
    </w:p>
    <w:p w14:paraId="5E85D669" w14:textId="3C169AB6" w:rsidR="007B6DB4" w:rsidRDefault="007B6DB4" w:rsidP="00891DE1">
      <w:pPr>
        <w:pStyle w:val="ColorfulList-Accent110"/>
        <w:spacing w:after="0" w:line="260" w:lineRule="atLeast"/>
        <w:ind w:hanging="720"/>
        <w:rPr>
          <w:rFonts w:cs="Arial"/>
          <w:sz w:val="22"/>
          <w:szCs w:val="22"/>
        </w:rPr>
      </w:pPr>
      <w:r>
        <w:rPr>
          <w:rFonts w:cs="Arial"/>
          <w:sz w:val="22"/>
          <w:szCs w:val="22"/>
        </w:rPr>
        <w:t xml:space="preserve">Impacts </w:t>
      </w:r>
      <w:r w:rsidR="0032032E">
        <w:rPr>
          <w:rFonts w:cs="Arial"/>
          <w:sz w:val="22"/>
          <w:szCs w:val="22"/>
        </w:rPr>
        <w:t xml:space="preserve">to the fishery </w:t>
      </w:r>
      <w:r>
        <w:rPr>
          <w:rFonts w:cs="Arial"/>
          <w:sz w:val="22"/>
          <w:szCs w:val="22"/>
        </w:rPr>
        <w:t xml:space="preserve">are minimised because: </w:t>
      </w:r>
    </w:p>
    <w:p w14:paraId="4F7F6152" w14:textId="77777777" w:rsidR="007B6DB4" w:rsidRPr="00493D8C" w:rsidRDefault="007B6DB4" w:rsidP="00891DE1">
      <w:pPr>
        <w:pStyle w:val="ColorfulList-Accent110"/>
        <w:spacing w:after="0" w:line="260" w:lineRule="atLeast"/>
        <w:rPr>
          <w:rFonts w:cs="Arial"/>
          <w:sz w:val="22"/>
          <w:szCs w:val="22"/>
        </w:rPr>
      </w:pPr>
    </w:p>
    <w:p w14:paraId="5648594F" w14:textId="51153761" w:rsidR="001308B3" w:rsidRDefault="0032032E" w:rsidP="001308B3">
      <w:pPr>
        <w:pStyle w:val="ColorfulList-Accent110"/>
        <w:numPr>
          <w:ilvl w:val="0"/>
          <w:numId w:val="179"/>
        </w:numPr>
        <w:spacing w:after="0" w:line="260" w:lineRule="atLeast"/>
        <w:rPr>
          <w:rFonts w:cs="Arial"/>
          <w:sz w:val="22"/>
          <w:szCs w:val="22"/>
        </w:rPr>
      </w:pPr>
      <w:r>
        <w:rPr>
          <w:rFonts w:cs="Arial"/>
          <w:sz w:val="22"/>
          <w:szCs w:val="22"/>
        </w:rPr>
        <w:t xml:space="preserve">The small survey area </w:t>
      </w:r>
      <w:r w:rsidR="00D06BE8">
        <w:rPr>
          <w:rFonts w:cs="Arial"/>
          <w:sz w:val="22"/>
          <w:szCs w:val="22"/>
        </w:rPr>
        <w:t xml:space="preserve">and timing </w:t>
      </w:r>
      <w:r>
        <w:rPr>
          <w:rFonts w:cs="Arial"/>
          <w:sz w:val="22"/>
          <w:szCs w:val="22"/>
        </w:rPr>
        <w:t>means there will be n</w:t>
      </w:r>
      <w:r w:rsidR="001308B3" w:rsidRPr="00493D8C">
        <w:rPr>
          <w:rFonts w:cs="Arial"/>
          <w:sz w:val="22"/>
          <w:szCs w:val="22"/>
        </w:rPr>
        <w:t xml:space="preserve">egligible impacts to spawning or recruitment success </w:t>
      </w:r>
      <w:r>
        <w:rPr>
          <w:rFonts w:cs="Arial"/>
          <w:sz w:val="22"/>
          <w:szCs w:val="22"/>
        </w:rPr>
        <w:t xml:space="preserve">at the population </w:t>
      </w:r>
      <w:r w:rsidR="009E5EC0">
        <w:rPr>
          <w:rFonts w:cs="Arial"/>
          <w:sz w:val="22"/>
          <w:szCs w:val="22"/>
        </w:rPr>
        <w:t xml:space="preserve">or fishery </w:t>
      </w:r>
      <w:r>
        <w:rPr>
          <w:rFonts w:cs="Arial"/>
          <w:sz w:val="22"/>
          <w:szCs w:val="22"/>
        </w:rPr>
        <w:t>level</w:t>
      </w:r>
      <w:r w:rsidR="009E5EC0">
        <w:rPr>
          <w:rFonts w:cs="Arial"/>
          <w:sz w:val="22"/>
          <w:szCs w:val="22"/>
        </w:rPr>
        <w:t>;</w:t>
      </w:r>
    </w:p>
    <w:p w14:paraId="25FA341A" w14:textId="792FA9ED" w:rsidR="0032032E" w:rsidRDefault="009E5EC0" w:rsidP="001308B3">
      <w:pPr>
        <w:pStyle w:val="ColorfulList-Accent110"/>
        <w:numPr>
          <w:ilvl w:val="0"/>
          <w:numId w:val="179"/>
        </w:numPr>
        <w:spacing w:after="0" w:line="260" w:lineRule="atLeast"/>
        <w:rPr>
          <w:rFonts w:cs="Arial"/>
          <w:sz w:val="22"/>
          <w:szCs w:val="22"/>
        </w:rPr>
      </w:pPr>
      <w:r>
        <w:rPr>
          <w:rFonts w:cs="Arial"/>
          <w:sz w:val="22"/>
          <w:szCs w:val="22"/>
        </w:rPr>
        <w:t xml:space="preserve">There are </w:t>
      </w:r>
      <w:r w:rsidR="0032032E" w:rsidRPr="00493D8C">
        <w:rPr>
          <w:rFonts w:cs="Arial"/>
          <w:sz w:val="22"/>
          <w:szCs w:val="22"/>
        </w:rPr>
        <w:t>no unique</w:t>
      </w:r>
      <w:r>
        <w:rPr>
          <w:rFonts w:cs="Arial"/>
          <w:sz w:val="22"/>
          <w:szCs w:val="22"/>
        </w:rPr>
        <w:t xml:space="preserve"> or </w:t>
      </w:r>
      <w:r w:rsidR="0032032E" w:rsidRPr="00493D8C">
        <w:rPr>
          <w:rFonts w:cs="Arial"/>
          <w:sz w:val="22"/>
          <w:szCs w:val="22"/>
        </w:rPr>
        <w:t xml:space="preserve">geographically restricted seabed features or </w:t>
      </w:r>
      <w:r>
        <w:rPr>
          <w:rFonts w:cs="Arial"/>
          <w:sz w:val="22"/>
          <w:szCs w:val="22"/>
        </w:rPr>
        <w:t xml:space="preserve">fishing target </w:t>
      </w:r>
      <w:r w:rsidR="0032032E" w:rsidRPr="00493D8C">
        <w:rPr>
          <w:rFonts w:cs="Arial"/>
          <w:sz w:val="22"/>
          <w:szCs w:val="22"/>
        </w:rPr>
        <w:t>species identified</w:t>
      </w:r>
      <w:r>
        <w:rPr>
          <w:rFonts w:cs="Arial"/>
          <w:sz w:val="22"/>
          <w:szCs w:val="22"/>
        </w:rPr>
        <w:t xml:space="preserve"> in or around the proposed acquisition area;</w:t>
      </w:r>
    </w:p>
    <w:p w14:paraId="310A839E" w14:textId="3496F42A" w:rsidR="007B6DB4" w:rsidRDefault="007B6DB4" w:rsidP="001308B3">
      <w:pPr>
        <w:pStyle w:val="ColorfulList-Accent110"/>
        <w:numPr>
          <w:ilvl w:val="0"/>
          <w:numId w:val="179"/>
        </w:numPr>
        <w:spacing w:after="0" w:line="260" w:lineRule="atLeast"/>
        <w:rPr>
          <w:rFonts w:cs="Arial"/>
          <w:sz w:val="22"/>
          <w:szCs w:val="22"/>
        </w:rPr>
      </w:pPr>
      <w:r>
        <w:rPr>
          <w:rFonts w:cs="Arial"/>
          <w:sz w:val="22"/>
          <w:szCs w:val="22"/>
        </w:rPr>
        <w:t xml:space="preserve">Sharks are not as susceptible to seismic sound </w:t>
      </w:r>
      <w:r w:rsidR="0032032E">
        <w:rPr>
          <w:rFonts w:cs="Arial"/>
          <w:sz w:val="22"/>
          <w:szCs w:val="22"/>
        </w:rPr>
        <w:t>because they lack a swim bladder.</w:t>
      </w:r>
    </w:p>
    <w:p w14:paraId="08145F82" w14:textId="7AE1E44D" w:rsidR="002111E4" w:rsidRDefault="002111E4" w:rsidP="001308B3">
      <w:pPr>
        <w:pStyle w:val="ColorfulList-Accent110"/>
        <w:numPr>
          <w:ilvl w:val="0"/>
          <w:numId w:val="179"/>
        </w:numPr>
        <w:spacing w:after="0" w:line="260" w:lineRule="atLeast"/>
        <w:rPr>
          <w:rFonts w:cs="Arial"/>
          <w:sz w:val="22"/>
          <w:szCs w:val="22"/>
        </w:rPr>
      </w:pPr>
      <w:r>
        <w:rPr>
          <w:rFonts w:cs="Arial"/>
          <w:sz w:val="22"/>
          <w:szCs w:val="22"/>
        </w:rPr>
        <w:t xml:space="preserve">The fishing intensity of the </w:t>
      </w:r>
      <w:r w:rsidR="00D06BE8">
        <w:rPr>
          <w:rFonts w:cs="Arial"/>
          <w:sz w:val="22"/>
          <w:szCs w:val="22"/>
        </w:rPr>
        <w:t xml:space="preserve">Ocean Purse Seine and </w:t>
      </w:r>
      <w:r>
        <w:rPr>
          <w:rFonts w:cs="Arial"/>
          <w:sz w:val="22"/>
          <w:szCs w:val="22"/>
        </w:rPr>
        <w:t xml:space="preserve">SESS (gillnet and hook sector) fishery is widespread throughout Bass Strait and a temporary exclusion </w:t>
      </w:r>
      <w:r w:rsidR="004B24C5">
        <w:rPr>
          <w:rFonts w:cs="Arial"/>
          <w:sz w:val="22"/>
          <w:szCs w:val="22"/>
        </w:rPr>
        <w:t>from the acquisition area will not present a material loss of catch/income.</w:t>
      </w:r>
      <w:r>
        <w:rPr>
          <w:rFonts w:cs="Arial"/>
          <w:sz w:val="22"/>
          <w:szCs w:val="22"/>
        </w:rPr>
        <w:t xml:space="preserve"> </w:t>
      </w:r>
    </w:p>
    <w:p w14:paraId="3096FD26" w14:textId="77777777" w:rsidR="001308B3" w:rsidRPr="00493D8C" w:rsidRDefault="001308B3" w:rsidP="001308B3">
      <w:pPr>
        <w:ind w:left="0"/>
        <w:rPr>
          <w:rFonts w:cs="Arial"/>
          <w:sz w:val="22"/>
          <w:szCs w:val="22"/>
        </w:rPr>
      </w:pPr>
    </w:p>
    <w:p w14:paraId="2B7A5F4A" w14:textId="77777777" w:rsidR="001308B3" w:rsidRDefault="001308B3" w:rsidP="001308B3">
      <w:pPr>
        <w:ind w:left="0"/>
        <w:rPr>
          <w:rFonts w:cs="Arial"/>
          <w:i/>
          <w:sz w:val="22"/>
          <w:szCs w:val="22"/>
        </w:rPr>
      </w:pPr>
      <w:r w:rsidRPr="00493D8C">
        <w:rPr>
          <w:rFonts w:cs="Arial"/>
          <w:i/>
          <w:sz w:val="22"/>
          <w:szCs w:val="22"/>
        </w:rPr>
        <w:t xml:space="preserve">Significance to Individual Fishers </w:t>
      </w:r>
    </w:p>
    <w:p w14:paraId="10A67479" w14:textId="77777777" w:rsidR="001308B3" w:rsidRPr="00493D8C" w:rsidRDefault="001308B3" w:rsidP="001308B3">
      <w:pPr>
        <w:ind w:left="0"/>
        <w:rPr>
          <w:rFonts w:cs="Arial"/>
          <w:i/>
          <w:sz w:val="22"/>
          <w:szCs w:val="22"/>
        </w:rPr>
      </w:pPr>
    </w:p>
    <w:p w14:paraId="5CCF1096" w14:textId="623CC852" w:rsidR="001308B3" w:rsidRPr="00493D8C" w:rsidRDefault="001308B3" w:rsidP="001308B3">
      <w:pPr>
        <w:spacing w:after="120" w:line="240" w:lineRule="auto"/>
        <w:ind w:left="0"/>
        <w:rPr>
          <w:rFonts w:cs="Arial"/>
          <w:sz w:val="22"/>
          <w:szCs w:val="22"/>
        </w:rPr>
      </w:pPr>
      <w:r w:rsidRPr="00493D8C">
        <w:rPr>
          <w:rFonts w:cs="Arial"/>
          <w:sz w:val="22"/>
          <w:szCs w:val="22"/>
        </w:rPr>
        <w:t xml:space="preserve">The area of the fin fish fisheries overlapped by the proposed acquisition area varies depending on the fishery. For Commonwealth fin fish fisheries, the area of overlap is 0.02% or </w:t>
      </w:r>
      <w:r w:rsidRPr="00676C42">
        <w:rPr>
          <w:rFonts w:cs="Arial"/>
          <w:sz w:val="22"/>
          <w:szCs w:val="22"/>
        </w:rPr>
        <w:t>less (see Table 5.1</w:t>
      </w:r>
      <w:r w:rsidR="00676C42" w:rsidRPr="00676C42">
        <w:rPr>
          <w:rFonts w:cs="Arial"/>
          <w:sz w:val="22"/>
          <w:szCs w:val="22"/>
        </w:rPr>
        <w:t>2</w:t>
      </w:r>
      <w:r w:rsidRPr="00676C42">
        <w:rPr>
          <w:rFonts w:cs="Arial"/>
          <w:sz w:val="22"/>
          <w:szCs w:val="22"/>
        </w:rPr>
        <w:t>), while for Victorian fisheries, it is mostly unknown (though only 0.4% for the wrasse fishery, see Table 5.1</w:t>
      </w:r>
      <w:r w:rsidR="00676C42" w:rsidRPr="00676C42">
        <w:rPr>
          <w:rFonts w:cs="Arial"/>
          <w:sz w:val="22"/>
          <w:szCs w:val="22"/>
        </w:rPr>
        <w:t>5</w:t>
      </w:r>
      <w:r w:rsidRPr="00676C42">
        <w:rPr>
          <w:rFonts w:cs="Arial"/>
          <w:sz w:val="22"/>
          <w:szCs w:val="22"/>
        </w:rPr>
        <w:t>).</w:t>
      </w:r>
      <w:r w:rsidRPr="00493D8C">
        <w:rPr>
          <w:rFonts w:cs="Arial"/>
          <w:sz w:val="22"/>
          <w:szCs w:val="22"/>
        </w:rPr>
        <w:t xml:space="preserve"> There is insufficient catch and financial data for these fisheries </w:t>
      </w:r>
      <w:r w:rsidR="00D06BE8">
        <w:rPr>
          <w:rFonts w:cs="Arial"/>
          <w:sz w:val="22"/>
          <w:szCs w:val="22"/>
        </w:rPr>
        <w:t xml:space="preserve">available to CarbonNet </w:t>
      </w:r>
      <w:r w:rsidRPr="00493D8C">
        <w:rPr>
          <w:rFonts w:cs="Arial"/>
          <w:sz w:val="22"/>
          <w:szCs w:val="22"/>
        </w:rPr>
        <w:t xml:space="preserve">to allow for a detailed estimate on the impacts to catch and landing value to be made. </w:t>
      </w:r>
    </w:p>
    <w:p w14:paraId="733E00B2" w14:textId="50DDEC39" w:rsidR="00D06BE8" w:rsidRDefault="001308B3" w:rsidP="001308B3">
      <w:pPr>
        <w:ind w:left="0"/>
        <w:rPr>
          <w:rFonts w:cs="Arial"/>
          <w:sz w:val="22"/>
          <w:szCs w:val="22"/>
        </w:rPr>
      </w:pPr>
      <w:r w:rsidRPr="00493D8C">
        <w:rPr>
          <w:rFonts w:cs="Arial"/>
          <w:sz w:val="22"/>
          <w:szCs w:val="22"/>
        </w:rPr>
        <w:t xml:space="preserve">On this basis, given the small </w:t>
      </w:r>
      <w:r>
        <w:rPr>
          <w:rFonts w:cs="Arial"/>
          <w:sz w:val="22"/>
          <w:szCs w:val="22"/>
        </w:rPr>
        <w:t>acquisition</w:t>
      </w:r>
      <w:r w:rsidRPr="00493D8C">
        <w:rPr>
          <w:rFonts w:cs="Arial"/>
          <w:sz w:val="22"/>
          <w:szCs w:val="22"/>
        </w:rPr>
        <w:t xml:space="preserve"> area compared with the available fishing area</w:t>
      </w:r>
      <w:r>
        <w:rPr>
          <w:rFonts w:cs="Arial"/>
          <w:sz w:val="22"/>
          <w:szCs w:val="22"/>
        </w:rPr>
        <w:t xml:space="preserve"> (the entire Victorian coastline for the Victorian fisheries, and Commonwealth waters throughout southeastern Australia for the Commonwealth fisheries)</w:t>
      </w:r>
      <w:r w:rsidRPr="00493D8C">
        <w:rPr>
          <w:rFonts w:cs="Arial"/>
          <w:sz w:val="22"/>
          <w:szCs w:val="22"/>
        </w:rPr>
        <w:t xml:space="preserve">, </w:t>
      </w:r>
      <w:r>
        <w:rPr>
          <w:rFonts w:cs="Arial"/>
          <w:sz w:val="22"/>
          <w:szCs w:val="22"/>
        </w:rPr>
        <w:t xml:space="preserve">the risk of </w:t>
      </w:r>
      <w:r w:rsidRPr="00B700A9">
        <w:rPr>
          <w:rFonts w:cs="Arial"/>
          <w:sz w:val="22"/>
          <w:szCs w:val="22"/>
        </w:rPr>
        <w:t>disrupt</w:t>
      </w:r>
      <w:r>
        <w:rPr>
          <w:rFonts w:cs="Arial"/>
          <w:sz w:val="22"/>
          <w:szCs w:val="22"/>
        </w:rPr>
        <w:t>ing</w:t>
      </w:r>
      <w:r w:rsidRPr="00B700A9">
        <w:rPr>
          <w:rFonts w:cs="Arial"/>
          <w:sz w:val="22"/>
          <w:szCs w:val="22"/>
        </w:rPr>
        <w:t xml:space="preserve"> </w:t>
      </w:r>
      <w:r>
        <w:rPr>
          <w:rFonts w:cs="Arial"/>
          <w:sz w:val="22"/>
          <w:szCs w:val="22"/>
        </w:rPr>
        <w:t xml:space="preserve">the sustainability of the commercial fin fish </w:t>
      </w:r>
      <w:r w:rsidRPr="00B700A9">
        <w:rPr>
          <w:rFonts w:cs="Arial"/>
          <w:sz w:val="22"/>
          <w:szCs w:val="22"/>
        </w:rPr>
        <w:t>fisher</w:t>
      </w:r>
      <w:r>
        <w:rPr>
          <w:rFonts w:cs="Arial"/>
          <w:sz w:val="22"/>
          <w:szCs w:val="22"/>
        </w:rPr>
        <w:t>y is</w:t>
      </w:r>
      <w:r w:rsidRPr="00493D8C">
        <w:rPr>
          <w:rFonts w:cs="Arial"/>
          <w:sz w:val="22"/>
          <w:szCs w:val="22"/>
        </w:rPr>
        <w:t xml:space="preserve"> </w:t>
      </w:r>
      <w:r>
        <w:rPr>
          <w:rFonts w:cs="Arial"/>
          <w:sz w:val="22"/>
          <w:szCs w:val="22"/>
        </w:rPr>
        <w:t xml:space="preserve">negligible, being highly </w:t>
      </w:r>
      <w:r w:rsidRPr="00493D8C">
        <w:rPr>
          <w:rFonts w:cs="Arial"/>
          <w:sz w:val="22"/>
          <w:szCs w:val="22"/>
        </w:rPr>
        <w:t>localised and with no lasting effects.</w:t>
      </w:r>
    </w:p>
    <w:p w14:paraId="1DADF3BF" w14:textId="77777777" w:rsidR="00D06BE8" w:rsidRDefault="00D06BE8" w:rsidP="001308B3">
      <w:pPr>
        <w:ind w:left="0"/>
        <w:rPr>
          <w:rFonts w:cs="Arial"/>
          <w:sz w:val="22"/>
          <w:szCs w:val="22"/>
        </w:rPr>
      </w:pPr>
    </w:p>
    <w:p w14:paraId="1C1A5F96" w14:textId="77777777" w:rsidR="00D96A99" w:rsidRPr="00474E28" w:rsidRDefault="00D96A99" w:rsidP="00D96A99">
      <w:pPr>
        <w:ind w:left="0"/>
        <w:rPr>
          <w:rFonts w:cs="Arial"/>
          <w:sz w:val="22"/>
          <w:szCs w:val="22"/>
        </w:rPr>
      </w:pPr>
      <w:r w:rsidRPr="00474E28">
        <w:rPr>
          <w:rFonts w:cs="Arial"/>
          <w:sz w:val="22"/>
          <w:szCs w:val="22"/>
        </w:rPr>
        <w:t xml:space="preserve">Potential impacts to </w:t>
      </w:r>
      <w:r>
        <w:rPr>
          <w:rFonts w:cs="Arial"/>
          <w:sz w:val="22"/>
          <w:szCs w:val="22"/>
        </w:rPr>
        <w:t xml:space="preserve">commercial </w:t>
      </w:r>
      <w:r w:rsidRPr="00474E28">
        <w:rPr>
          <w:rFonts w:cs="Arial"/>
          <w:sz w:val="22"/>
          <w:szCs w:val="22"/>
        </w:rPr>
        <w:t xml:space="preserve">fishers during the survey period (all of which may result in varying short-term economic impacts depending on how individual fishers operate) include: </w:t>
      </w:r>
      <w:r w:rsidRPr="00474E28">
        <w:rPr>
          <w:rFonts w:cs="Arial"/>
          <w:sz w:val="22"/>
          <w:szCs w:val="22"/>
        </w:rPr>
        <w:br/>
      </w:r>
    </w:p>
    <w:p w14:paraId="3AD1C067" w14:textId="77777777" w:rsidR="00D96A99" w:rsidRPr="00474E28" w:rsidRDefault="00D96A99" w:rsidP="00D96A99">
      <w:pPr>
        <w:pStyle w:val="ColorfulList-Accent11"/>
        <w:numPr>
          <w:ilvl w:val="0"/>
          <w:numId w:val="179"/>
        </w:numPr>
        <w:rPr>
          <w:rFonts w:cs="Arial"/>
          <w:sz w:val="22"/>
          <w:szCs w:val="22"/>
        </w:rPr>
      </w:pPr>
      <w:r w:rsidRPr="00474E28">
        <w:rPr>
          <w:rFonts w:cs="Arial"/>
          <w:sz w:val="22"/>
          <w:szCs w:val="22"/>
        </w:rPr>
        <w:t xml:space="preserve">Disruption: inability to fish in the operational area during the survey period; </w:t>
      </w:r>
    </w:p>
    <w:p w14:paraId="1BCF1121" w14:textId="77777777" w:rsidR="00D96A99" w:rsidRPr="00474E28" w:rsidRDefault="00D96A99" w:rsidP="00D96A99">
      <w:pPr>
        <w:pStyle w:val="ColorfulList-Accent11"/>
        <w:numPr>
          <w:ilvl w:val="0"/>
          <w:numId w:val="179"/>
        </w:numPr>
        <w:rPr>
          <w:rFonts w:cs="Arial"/>
          <w:sz w:val="22"/>
          <w:szCs w:val="22"/>
        </w:rPr>
      </w:pPr>
      <w:r w:rsidRPr="00474E28">
        <w:rPr>
          <w:rFonts w:cs="Arial"/>
          <w:sz w:val="22"/>
          <w:szCs w:val="22"/>
        </w:rPr>
        <w:t xml:space="preserve">Inability to substitute/mitigate: inability to simply fish elsewhere (i.e., substitute) without a risk of lower CPUE; </w:t>
      </w:r>
    </w:p>
    <w:p w14:paraId="71D0CD11" w14:textId="77777777" w:rsidR="00D96A99" w:rsidRPr="00474E28" w:rsidRDefault="00D96A99" w:rsidP="00D96A99">
      <w:pPr>
        <w:pStyle w:val="ColorfulList-Accent11"/>
        <w:numPr>
          <w:ilvl w:val="0"/>
          <w:numId w:val="179"/>
        </w:numPr>
        <w:rPr>
          <w:rFonts w:cs="Arial"/>
          <w:sz w:val="22"/>
          <w:szCs w:val="22"/>
        </w:rPr>
      </w:pPr>
      <w:r w:rsidRPr="00474E28">
        <w:rPr>
          <w:rFonts w:cs="Arial"/>
          <w:sz w:val="22"/>
          <w:szCs w:val="22"/>
        </w:rPr>
        <w:t>Inability to substitute/mitigate (timing can impact price): even if a fisher could substitute by fishing at a different time in the season (e.g., before or after the survey) and achieve the same catch and CPUE, it may be at a time when the beach price is lower; and</w:t>
      </w:r>
    </w:p>
    <w:p w14:paraId="7257FA36" w14:textId="77777777" w:rsidR="00D96A99" w:rsidRPr="00474E28" w:rsidRDefault="00D96A99" w:rsidP="00D96A99">
      <w:pPr>
        <w:pStyle w:val="ColorfulList-Accent11"/>
        <w:numPr>
          <w:ilvl w:val="0"/>
          <w:numId w:val="179"/>
        </w:numPr>
        <w:rPr>
          <w:rFonts w:cs="Arial"/>
          <w:sz w:val="22"/>
          <w:szCs w:val="22"/>
        </w:rPr>
      </w:pPr>
      <w:r w:rsidRPr="00474E28">
        <w:rPr>
          <w:rFonts w:cs="Arial"/>
          <w:sz w:val="22"/>
          <w:szCs w:val="22"/>
        </w:rPr>
        <w:lastRenderedPageBreak/>
        <w:t xml:space="preserve">Displacement: disrupted fishers may fish elsewhere, displacing other fishers and resulting in a risk of lower catch rates or lower CPUE for both categories of fisher (which can also threaten the well understood protocols adopted by the fishers in terms of where they usually fish). </w:t>
      </w:r>
    </w:p>
    <w:p w14:paraId="75D589F4" w14:textId="77777777" w:rsidR="00D96A99" w:rsidRDefault="00D96A99" w:rsidP="001308B3">
      <w:pPr>
        <w:ind w:left="0"/>
        <w:rPr>
          <w:rFonts w:cs="Arial"/>
          <w:sz w:val="22"/>
          <w:szCs w:val="22"/>
        </w:rPr>
      </w:pPr>
    </w:p>
    <w:p w14:paraId="05972690" w14:textId="2ACACAA4" w:rsidR="00D06BE8" w:rsidRDefault="00D06BE8" w:rsidP="001308B3">
      <w:pPr>
        <w:ind w:left="0"/>
        <w:rPr>
          <w:rFonts w:cs="Arial"/>
          <w:sz w:val="22"/>
          <w:szCs w:val="22"/>
        </w:rPr>
      </w:pPr>
      <w:r>
        <w:rPr>
          <w:rFonts w:cs="Arial"/>
          <w:sz w:val="22"/>
          <w:szCs w:val="22"/>
        </w:rPr>
        <w:t xml:space="preserve">Potential impacts to recreational fishers is expected to be negligible given that the proposed MSS will avoid operating during the peak holiday season (when recreational fishing levels are high) and because of the vast shoreline and open ocean available for fishing. </w:t>
      </w:r>
    </w:p>
    <w:p w14:paraId="5FDB6F76" w14:textId="77777777" w:rsidR="00D06BE8" w:rsidRDefault="00D06BE8" w:rsidP="001308B3">
      <w:pPr>
        <w:ind w:left="0"/>
        <w:rPr>
          <w:rFonts w:cs="Arial"/>
          <w:sz w:val="22"/>
          <w:szCs w:val="22"/>
        </w:rPr>
      </w:pPr>
    </w:p>
    <w:p w14:paraId="3B01E6F9" w14:textId="071439BA" w:rsidR="00D06BE8" w:rsidRDefault="00D06BE8" w:rsidP="001308B3">
      <w:pPr>
        <w:ind w:left="0"/>
        <w:rPr>
          <w:rFonts w:cs="Arial"/>
          <w:sz w:val="22"/>
          <w:szCs w:val="22"/>
        </w:rPr>
      </w:pPr>
      <w:r>
        <w:rPr>
          <w:rFonts w:cs="Arial"/>
          <w:sz w:val="22"/>
          <w:szCs w:val="22"/>
        </w:rPr>
        <w:t xml:space="preserve">Potential impacts to fishers during the recreational fishing competitions is expected to be negligible given that the proposed MSS will avoid operating during these competitions and that although fish may be scared away during MSS, some studies (e.g., </w:t>
      </w:r>
      <w:r w:rsidRPr="00B700A9">
        <w:rPr>
          <w:rFonts w:cs="Arial"/>
          <w:sz w:val="22"/>
          <w:szCs w:val="22"/>
        </w:rPr>
        <w:t>Parry &amp; Gason, 2006</w:t>
      </w:r>
      <w:r>
        <w:rPr>
          <w:rFonts w:cs="Arial"/>
          <w:sz w:val="22"/>
          <w:szCs w:val="22"/>
        </w:rPr>
        <w:t xml:space="preserve">) </w:t>
      </w:r>
      <w:r w:rsidRPr="00B700A9">
        <w:rPr>
          <w:rFonts w:cs="Arial"/>
          <w:sz w:val="22"/>
          <w:szCs w:val="22"/>
        </w:rPr>
        <w:t>indicat</w:t>
      </w:r>
      <w:r>
        <w:rPr>
          <w:rFonts w:cs="Arial"/>
          <w:sz w:val="22"/>
          <w:szCs w:val="22"/>
        </w:rPr>
        <w:t>e</w:t>
      </w:r>
      <w:r w:rsidRPr="00B700A9">
        <w:rPr>
          <w:rFonts w:cs="Arial"/>
          <w:sz w:val="22"/>
          <w:szCs w:val="22"/>
        </w:rPr>
        <w:t xml:space="preserve"> </w:t>
      </w:r>
      <w:r>
        <w:rPr>
          <w:rFonts w:cs="Arial"/>
          <w:sz w:val="22"/>
          <w:szCs w:val="22"/>
        </w:rPr>
        <w:t xml:space="preserve">that </w:t>
      </w:r>
      <w:r w:rsidRPr="00B700A9">
        <w:rPr>
          <w:rFonts w:cs="Arial"/>
          <w:sz w:val="22"/>
          <w:szCs w:val="22"/>
        </w:rPr>
        <w:t xml:space="preserve">fish return within one to five days after the completion of the </w:t>
      </w:r>
      <w:r>
        <w:rPr>
          <w:rFonts w:cs="Arial"/>
          <w:sz w:val="22"/>
          <w:szCs w:val="22"/>
        </w:rPr>
        <w:t>MSS</w:t>
      </w:r>
      <w:r w:rsidRPr="00B700A9">
        <w:rPr>
          <w:rFonts w:cs="Arial"/>
          <w:sz w:val="22"/>
          <w:szCs w:val="22"/>
        </w:rPr>
        <w:t>.</w:t>
      </w:r>
    </w:p>
    <w:p w14:paraId="79DD274F" w14:textId="77777777" w:rsidR="00D96A99" w:rsidRDefault="00D96A99" w:rsidP="001308B3">
      <w:pPr>
        <w:ind w:left="0"/>
        <w:rPr>
          <w:rFonts w:cs="Arial"/>
          <w:sz w:val="22"/>
          <w:szCs w:val="22"/>
        </w:rPr>
      </w:pPr>
    </w:p>
    <w:p w14:paraId="1EB0A16D" w14:textId="52368325" w:rsidR="001308B3" w:rsidRPr="00B700A9" w:rsidRDefault="009E7A01" w:rsidP="001308B3">
      <w:pPr>
        <w:spacing w:after="120"/>
        <w:ind w:left="0"/>
        <w:rPr>
          <w:rFonts w:cs="Arial"/>
          <w:b/>
          <w:sz w:val="22"/>
          <w:szCs w:val="22"/>
        </w:rPr>
      </w:pPr>
      <w:r>
        <w:rPr>
          <w:rFonts w:cs="Arial"/>
          <w:b/>
          <w:sz w:val="22"/>
          <w:szCs w:val="22"/>
        </w:rPr>
        <w:t xml:space="preserve">Commercial </w:t>
      </w:r>
      <w:r w:rsidR="001308B3" w:rsidRPr="00B700A9">
        <w:rPr>
          <w:rFonts w:cs="Arial"/>
          <w:b/>
          <w:sz w:val="22"/>
          <w:szCs w:val="22"/>
        </w:rPr>
        <w:t>Scallops</w:t>
      </w:r>
    </w:p>
    <w:p w14:paraId="792D9056" w14:textId="3E745F7B" w:rsidR="001308B3" w:rsidRDefault="001308B3" w:rsidP="001308B3">
      <w:pPr>
        <w:ind w:left="0"/>
        <w:rPr>
          <w:rFonts w:cs="Arial"/>
          <w:sz w:val="22"/>
          <w:szCs w:val="22"/>
        </w:rPr>
      </w:pPr>
      <w:r w:rsidRPr="00B700A9">
        <w:rPr>
          <w:rFonts w:cs="Arial"/>
          <w:sz w:val="22"/>
          <w:szCs w:val="22"/>
        </w:rPr>
        <w:t xml:space="preserve">As identified in Chapter 4, potential impacts to </w:t>
      </w:r>
      <w:r w:rsidR="00645C8A">
        <w:rPr>
          <w:rFonts w:cs="Arial"/>
          <w:sz w:val="22"/>
          <w:szCs w:val="22"/>
        </w:rPr>
        <w:t xml:space="preserve">the </w:t>
      </w:r>
      <w:r w:rsidRPr="00B700A9">
        <w:rPr>
          <w:rFonts w:cs="Arial"/>
          <w:sz w:val="22"/>
          <w:szCs w:val="22"/>
        </w:rPr>
        <w:t xml:space="preserve">commercial scallop catch is a key concern expressed </w:t>
      </w:r>
      <w:r>
        <w:rPr>
          <w:rFonts w:cs="Arial"/>
          <w:sz w:val="22"/>
          <w:szCs w:val="22"/>
        </w:rPr>
        <w:t xml:space="preserve">by some fisheries stakeholders, the key stakeholders being the VSFA and SIV. </w:t>
      </w:r>
      <w:r w:rsidRPr="00B700A9">
        <w:rPr>
          <w:rFonts w:cs="Arial"/>
          <w:sz w:val="22"/>
          <w:szCs w:val="22"/>
        </w:rPr>
        <w:t xml:space="preserve">This section provides a </w:t>
      </w:r>
      <w:r>
        <w:rPr>
          <w:rFonts w:cs="Arial"/>
          <w:sz w:val="22"/>
          <w:szCs w:val="22"/>
        </w:rPr>
        <w:t>commercial scallop (</w:t>
      </w:r>
      <w:r w:rsidRPr="00DC6CBB">
        <w:rPr>
          <w:rFonts w:cs="Arial"/>
          <w:i/>
          <w:sz w:val="22"/>
          <w:szCs w:val="22"/>
        </w:rPr>
        <w:t>Pecten fumatus</w:t>
      </w:r>
      <w:r>
        <w:rPr>
          <w:rFonts w:cs="Arial"/>
          <w:sz w:val="22"/>
          <w:szCs w:val="22"/>
        </w:rPr>
        <w:t xml:space="preserve">) </w:t>
      </w:r>
      <w:r w:rsidRPr="00B700A9">
        <w:rPr>
          <w:rFonts w:cs="Arial"/>
          <w:sz w:val="22"/>
          <w:szCs w:val="22"/>
        </w:rPr>
        <w:t xml:space="preserve">fishery-specific discussion of potential impacts. </w:t>
      </w:r>
    </w:p>
    <w:p w14:paraId="640726DB" w14:textId="77777777" w:rsidR="001308B3" w:rsidRDefault="001308B3" w:rsidP="001308B3">
      <w:pPr>
        <w:ind w:left="0"/>
        <w:rPr>
          <w:rFonts w:cs="Arial"/>
          <w:sz w:val="22"/>
          <w:szCs w:val="22"/>
        </w:rPr>
      </w:pPr>
    </w:p>
    <w:p w14:paraId="016A83E4" w14:textId="77777777" w:rsidR="001308B3" w:rsidRDefault="001308B3" w:rsidP="001308B3">
      <w:pPr>
        <w:spacing w:after="120" w:line="240" w:lineRule="auto"/>
        <w:ind w:left="0"/>
        <w:rPr>
          <w:rFonts w:cs="Arial"/>
          <w:sz w:val="22"/>
          <w:szCs w:val="22"/>
        </w:rPr>
      </w:pPr>
      <w:r>
        <w:rPr>
          <w:rFonts w:cs="Arial"/>
          <w:sz w:val="22"/>
          <w:szCs w:val="22"/>
        </w:rPr>
        <w:t xml:space="preserve">It is important to note that for context in this discussion: </w:t>
      </w:r>
    </w:p>
    <w:p w14:paraId="6E527D9E" w14:textId="77777777" w:rsidR="001308B3" w:rsidRDefault="001308B3" w:rsidP="001308B3">
      <w:pPr>
        <w:pStyle w:val="ColorfulList-Accent11"/>
        <w:numPr>
          <w:ilvl w:val="0"/>
          <w:numId w:val="180"/>
        </w:numPr>
        <w:rPr>
          <w:rFonts w:cs="Arial"/>
          <w:sz w:val="22"/>
          <w:szCs w:val="22"/>
        </w:rPr>
      </w:pPr>
      <w:r w:rsidRPr="00630250">
        <w:rPr>
          <w:rFonts w:cs="Arial"/>
          <w:sz w:val="22"/>
          <w:szCs w:val="22"/>
        </w:rPr>
        <w:t xml:space="preserve">The </w:t>
      </w:r>
      <w:r>
        <w:rPr>
          <w:rFonts w:cs="Arial"/>
          <w:sz w:val="22"/>
          <w:szCs w:val="22"/>
        </w:rPr>
        <w:t>proposed acquisition</w:t>
      </w:r>
      <w:r w:rsidRPr="00630250">
        <w:rPr>
          <w:rFonts w:cs="Arial"/>
          <w:sz w:val="22"/>
          <w:szCs w:val="22"/>
        </w:rPr>
        <w:t xml:space="preserve"> area intersects only </w:t>
      </w:r>
      <w:r>
        <w:rPr>
          <w:rFonts w:cs="Arial"/>
          <w:sz w:val="22"/>
          <w:szCs w:val="22"/>
        </w:rPr>
        <w:t>0.11</w:t>
      </w:r>
      <w:r w:rsidRPr="00630250">
        <w:rPr>
          <w:rFonts w:cs="Arial"/>
          <w:sz w:val="22"/>
          <w:szCs w:val="22"/>
        </w:rPr>
        <w:t>% of this fishery</w:t>
      </w:r>
      <w:r>
        <w:rPr>
          <w:rFonts w:cs="Arial"/>
          <w:sz w:val="22"/>
          <w:szCs w:val="22"/>
        </w:rPr>
        <w:t xml:space="preserve"> and the operational area intersects 0.21% of the fishery by area</w:t>
      </w:r>
      <w:r w:rsidRPr="00630250">
        <w:rPr>
          <w:rFonts w:cs="Arial"/>
          <w:sz w:val="22"/>
          <w:szCs w:val="22"/>
        </w:rPr>
        <w:t xml:space="preserve">; </w:t>
      </w:r>
    </w:p>
    <w:p w14:paraId="6DAA14A7" w14:textId="77777777" w:rsidR="001308B3" w:rsidRDefault="001308B3" w:rsidP="001308B3">
      <w:pPr>
        <w:pStyle w:val="ColorfulList-Accent11"/>
        <w:numPr>
          <w:ilvl w:val="0"/>
          <w:numId w:val="180"/>
        </w:numPr>
        <w:rPr>
          <w:rFonts w:cs="Arial"/>
          <w:sz w:val="22"/>
          <w:szCs w:val="22"/>
        </w:rPr>
      </w:pPr>
      <w:r>
        <w:rPr>
          <w:rFonts w:cs="Arial"/>
          <w:sz w:val="22"/>
          <w:szCs w:val="22"/>
        </w:rPr>
        <w:t>Anecdotal information from some fishing industry organisations claim that scallop beds exist within the proposed acquisition area, but the location of these has not been declared to CarbonNet; and</w:t>
      </w:r>
    </w:p>
    <w:p w14:paraId="30E73272" w14:textId="2DF745F3" w:rsidR="001308B3" w:rsidRDefault="001308B3" w:rsidP="001308B3">
      <w:pPr>
        <w:pStyle w:val="ColorfulList-Accent11"/>
        <w:numPr>
          <w:ilvl w:val="0"/>
          <w:numId w:val="180"/>
        </w:numPr>
        <w:rPr>
          <w:rFonts w:cs="Arial"/>
          <w:sz w:val="22"/>
          <w:szCs w:val="22"/>
        </w:rPr>
      </w:pPr>
      <w:r>
        <w:rPr>
          <w:rFonts w:cs="Arial"/>
          <w:sz w:val="22"/>
          <w:szCs w:val="22"/>
        </w:rPr>
        <w:t xml:space="preserve">The marine environmental </w:t>
      </w:r>
      <w:r w:rsidR="009E7A01">
        <w:rPr>
          <w:rFonts w:cs="Arial"/>
          <w:sz w:val="22"/>
          <w:szCs w:val="22"/>
        </w:rPr>
        <w:t xml:space="preserve">assessment </w:t>
      </w:r>
      <w:r>
        <w:rPr>
          <w:rFonts w:cs="Arial"/>
          <w:sz w:val="22"/>
          <w:szCs w:val="22"/>
        </w:rPr>
        <w:t>commissioned by CarbonNet and undertaken in April 2017 found few areas containing scallops, and these few locations did not have commercial beds of scallops.</w:t>
      </w:r>
    </w:p>
    <w:p w14:paraId="308708EC" w14:textId="77777777" w:rsidR="001308B3" w:rsidRPr="00B700A9" w:rsidRDefault="001308B3" w:rsidP="001308B3">
      <w:pPr>
        <w:ind w:left="0"/>
        <w:rPr>
          <w:rFonts w:cs="Arial"/>
          <w:sz w:val="22"/>
          <w:szCs w:val="22"/>
        </w:rPr>
      </w:pPr>
    </w:p>
    <w:p w14:paraId="476E007A" w14:textId="77777777" w:rsidR="001308B3" w:rsidRPr="00B700A9" w:rsidRDefault="001308B3" w:rsidP="001308B3">
      <w:pPr>
        <w:spacing w:after="120" w:line="240" w:lineRule="auto"/>
        <w:ind w:left="0"/>
        <w:rPr>
          <w:rFonts w:cs="Arial"/>
          <w:sz w:val="22"/>
          <w:szCs w:val="22"/>
        </w:rPr>
      </w:pPr>
      <w:r>
        <w:rPr>
          <w:rFonts w:cs="Arial"/>
          <w:sz w:val="22"/>
          <w:szCs w:val="22"/>
        </w:rPr>
        <w:t>Several</w:t>
      </w:r>
      <w:r w:rsidRPr="00B700A9">
        <w:rPr>
          <w:rFonts w:cs="Arial"/>
          <w:sz w:val="22"/>
          <w:szCs w:val="22"/>
        </w:rPr>
        <w:t xml:space="preserve"> studies have been undertaken with respect to </w:t>
      </w:r>
      <w:r>
        <w:rPr>
          <w:rFonts w:cs="Arial"/>
          <w:sz w:val="22"/>
          <w:szCs w:val="22"/>
        </w:rPr>
        <w:t>the effects of MSS</w:t>
      </w:r>
      <w:r w:rsidRPr="00B700A9">
        <w:rPr>
          <w:rFonts w:cs="Arial"/>
          <w:sz w:val="22"/>
          <w:szCs w:val="22"/>
        </w:rPr>
        <w:t xml:space="preserve"> sound on </w:t>
      </w:r>
      <w:r>
        <w:rPr>
          <w:rFonts w:cs="Arial"/>
          <w:sz w:val="22"/>
          <w:szCs w:val="22"/>
        </w:rPr>
        <w:t xml:space="preserve">fisheries </w:t>
      </w:r>
      <w:r w:rsidRPr="00B700A9">
        <w:rPr>
          <w:rFonts w:cs="Arial"/>
          <w:sz w:val="22"/>
          <w:szCs w:val="22"/>
        </w:rPr>
        <w:t xml:space="preserve">catch data with respect to molluscs including gastropods (abalone, snails) and bivalves (scallops). The following studies are available: </w:t>
      </w:r>
    </w:p>
    <w:p w14:paraId="621531BE" w14:textId="77777777" w:rsidR="001308B3" w:rsidRDefault="001308B3" w:rsidP="001308B3">
      <w:pPr>
        <w:pStyle w:val="ListParagraph0"/>
        <w:numPr>
          <w:ilvl w:val="0"/>
          <w:numId w:val="179"/>
        </w:numPr>
        <w:rPr>
          <w:rFonts w:cs="Arial"/>
          <w:sz w:val="22"/>
          <w:szCs w:val="22"/>
        </w:rPr>
      </w:pPr>
      <w:r>
        <w:rPr>
          <w:rFonts w:cs="Arial"/>
          <w:sz w:val="22"/>
          <w:szCs w:val="22"/>
        </w:rPr>
        <w:t xml:space="preserve">Przeslawski et al (2016b) (as summarised in Section 7.1.4) found that based on a 2D MSS undertaken in western Bass Strait in April 2015, and using </w:t>
      </w:r>
      <w:r w:rsidRPr="000F2278">
        <w:rPr>
          <w:rFonts w:cs="Arial"/>
          <w:i/>
          <w:sz w:val="22"/>
          <w:szCs w:val="22"/>
        </w:rPr>
        <w:t>in situ</w:t>
      </w:r>
      <w:r>
        <w:rPr>
          <w:rFonts w:cs="Arial"/>
          <w:sz w:val="22"/>
          <w:szCs w:val="22"/>
        </w:rPr>
        <w:t xml:space="preserve"> monitoring, there were no detectable impacts on the abundance of live scallops, catch of live or dead scallops, or gonad condition. </w:t>
      </w:r>
    </w:p>
    <w:p w14:paraId="622235AA" w14:textId="7BB8FFA1" w:rsidR="001308B3" w:rsidRPr="00750E17" w:rsidRDefault="001308B3" w:rsidP="001308B3">
      <w:pPr>
        <w:pStyle w:val="ListParagraph0"/>
        <w:numPr>
          <w:ilvl w:val="0"/>
          <w:numId w:val="179"/>
        </w:numPr>
        <w:rPr>
          <w:rFonts w:cs="Arial"/>
          <w:sz w:val="22"/>
          <w:szCs w:val="22"/>
        </w:rPr>
      </w:pPr>
      <w:r>
        <w:rPr>
          <w:rFonts w:cs="Arial"/>
          <w:sz w:val="22"/>
          <w:szCs w:val="22"/>
        </w:rPr>
        <w:t>T</w:t>
      </w:r>
      <w:r w:rsidRPr="00750E17">
        <w:rPr>
          <w:rFonts w:cs="Arial"/>
          <w:sz w:val="22"/>
          <w:szCs w:val="22"/>
        </w:rPr>
        <w:t xml:space="preserve">he CSIRO and Geoscience Australia (Thomson </w:t>
      </w:r>
      <w:r w:rsidRPr="00750E17">
        <w:rPr>
          <w:rFonts w:cs="Arial"/>
          <w:i/>
          <w:sz w:val="22"/>
          <w:szCs w:val="22"/>
        </w:rPr>
        <w:t>et al</w:t>
      </w:r>
      <w:r w:rsidRPr="00750E17">
        <w:rPr>
          <w:rFonts w:cs="Arial"/>
          <w:sz w:val="22"/>
          <w:szCs w:val="22"/>
        </w:rPr>
        <w:t xml:space="preserve">., 2014) examined fisheries catches (10 species of interest) and catch rates for potential effects from 183 seismic surveys undertaken in the Gippsland Basin (Bass Strait). Study species included the </w:t>
      </w:r>
      <w:r w:rsidR="00645C8A">
        <w:rPr>
          <w:rFonts w:cs="Arial"/>
          <w:sz w:val="22"/>
          <w:szCs w:val="22"/>
        </w:rPr>
        <w:t>commercial</w:t>
      </w:r>
      <w:r w:rsidRPr="00750E17">
        <w:rPr>
          <w:rFonts w:cs="Arial"/>
          <w:sz w:val="22"/>
          <w:szCs w:val="22"/>
        </w:rPr>
        <w:t xml:space="preserve"> scallop (</w:t>
      </w:r>
      <w:r w:rsidRPr="00750E17">
        <w:rPr>
          <w:rFonts w:cs="Arial"/>
          <w:i/>
          <w:sz w:val="22"/>
          <w:szCs w:val="22"/>
        </w:rPr>
        <w:t>Pecten fumatus</w:t>
      </w:r>
      <w:r w:rsidRPr="00750E17">
        <w:rPr>
          <w:rFonts w:cs="Arial"/>
          <w:sz w:val="22"/>
          <w:szCs w:val="22"/>
        </w:rPr>
        <w:t>)</w:t>
      </w:r>
      <w:r w:rsidR="00645C8A">
        <w:rPr>
          <w:rFonts w:cs="Arial"/>
          <w:sz w:val="22"/>
          <w:szCs w:val="22"/>
        </w:rPr>
        <w:t xml:space="preserve"> and</w:t>
      </w:r>
      <w:r w:rsidRPr="00750E17">
        <w:rPr>
          <w:rFonts w:cs="Arial"/>
          <w:sz w:val="22"/>
          <w:szCs w:val="22"/>
        </w:rPr>
        <w:t xml:space="preserve"> found no clear or consistent relationships between </w:t>
      </w:r>
      <w:r>
        <w:rPr>
          <w:rFonts w:cs="Arial"/>
          <w:sz w:val="22"/>
          <w:szCs w:val="22"/>
        </w:rPr>
        <w:t>MSS</w:t>
      </w:r>
      <w:r w:rsidRPr="00750E17">
        <w:rPr>
          <w:rFonts w:cs="Arial"/>
          <w:sz w:val="22"/>
          <w:szCs w:val="22"/>
        </w:rPr>
        <w:t xml:space="preserve"> and subsequent fisheries catch rates. </w:t>
      </w:r>
    </w:p>
    <w:p w14:paraId="5571AD52" w14:textId="77777777" w:rsidR="001308B3" w:rsidRPr="00B700A9" w:rsidRDefault="001308B3" w:rsidP="001308B3">
      <w:pPr>
        <w:pStyle w:val="ColorfulList-Accent11"/>
        <w:numPr>
          <w:ilvl w:val="0"/>
          <w:numId w:val="179"/>
        </w:numPr>
        <w:rPr>
          <w:rFonts w:cs="Arial"/>
          <w:sz w:val="22"/>
          <w:szCs w:val="22"/>
        </w:rPr>
      </w:pPr>
      <w:r w:rsidRPr="00B700A9">
        <w:rPr>
          <w:rFonts w:cs="Arial"/>
          <w:sz w:val="22"/>
          <w:szCs w:val="22"/>
        </w:rPr>
        <w:t>Harrington et al (2010) studied the short-term effects of seismic surveys on adult commercial scallops (</w:t>
      </w:r>
      <w:r w:rsidRPr="00ED4B20">
        <w:rPr>
          <w:rFonts w:cs="Arial"/>
          <w:i/>
          <w:sz w:val="22"/>
          <w:szCs w:val="22"/>
        </w:rPr>
        <w:t>Pecten fumatus</w:t>
      </w:r>
      <w:r w:rsidRPr="00B700A9">
        <w:rPr>
          <w:rFonts w:cs="Arial"/>
          <w:sz w:val="22"/>
          <w:szCs w:val="22"/>
        </w:rPr>
        <w:t xml:space="preserve">) within the </w:t>
      </w:r>
      <w:r>
        <w:rPr>
          <w:rFonts w:cs="Arial"/>
          <w:sz w:val="22"/>
          <w:szCs w:val="22"/>
        </w:rPr>
        <w:t xml:space="preserve">Bass Strait Central Zone Scallop Fishery </w:t>
      </w:r>
      <w:r w:rsidRPr="00B700A9">
        <w:rPr>
          <w:rFonts w:cs="Arial"/>
          <w:sz w:val="22"/>
          <w:szCs w:val="22"/>
        </w:rPr>
        <w:t xml:space="preserve">between February and June 2010 located in water depths of approximately 70 m. The study aimed to determine the survival and health of adult scallops within impacted (directly below seismic survey transects), semi-impacted (within the seismic survey transect grid) and control (outside of the seismic survey transect grid) strata two months after seismic </w:t>
      </w:r>
      <w:r w:rsidRPr="00B700A9">
        <w:rPr>
          <w:rFonts w:cs="Arial"/>
          <w:sz w:val="22"/>
          <w:szCs w:val="22"/>
        </w:rPr>
        <w:lastRenderedPageBreak/>
        <w:t>surveying. No change in the abundance of live scallops (or related change in dead scallop categories) or macroscopic gonad and meat condition was detected after seismic surveying within either the control, impacted or semi-impacted strata. There was also no observable change in the size frequency distribution of scallops in the impacted and semi-impacted strata following seismic surveying. Harrington et al (2010) concluded that no short-term (&lt; 2 months) effects on the survival or health of adult scallops were detected after the seismic survey.</w:t>
      </w:r>
    </w:p>
    <w:p w14:paraId="05131895" w14:textId="77777777" w:rsidR="001308B3" w:rsidRPr="00B700A9" w:rsidRDefault="001308B3" w:rsidP="001308B3">
      <w:pPr>
        <w:pStyle w:val="ColorfulList-Accent11"/>
        <w:numPr>
          <w:ilvl w:val="0"/>
          <w:numId w:val="179"/>
        </w:numPr>
        <w:rPr>
          <w:rFonts w:cs="Arial"/>
          <w:sz w:val="22"/>
          <w:szCs w:val="22"/>
        </w:rPr>
      </w:pPr>
      <w:r w:rsidRPr="00B700A9">
        <w:rPr>
          <w:rFonts w:cs="Arial"/>
          <w:sz w:val="22"/>
          <w:szCs w:val="22"/>
        </w:rPr>
        <w:t>Parry et al (2002) also found no evidence of a lethal impact of seismic surveying on commercial scallops in Bass Strait. However, this experiment suspended scallops in the water column where they may not be exposed to the same sound or vibration stimuli compared to scallops on the benthos because low frequency seismic waves interact and travel through the sediment and reflect at the sediment/water interface. For example, Walmsley (2007) showed that substratum vibrations resulted in shell closure of cockles. Persistent seabed vibrations, which result in continued shell opening and closure, could potentially result in cessation of filter feeding and decreased health and survival of affected individuals.</w:t>
      </w:r>
    </w:p>
    <w:p w14:paraId="57CDCE60" w14:textId="77777777" w:rsidR="001308B3" w:rsidRPr="00B700A9" w:rsidRDefault="001308B3" w:rsidP="001308B3">
      <w:pPr>
        <w:ind w:left="0"/>
        <w:rPr>
          <w:rFonts w:cs="Arial"/>
          <w:sz w:val="22"/>
          <w:szCs w:val="22"/>
        </w:rPr>
      </w:pPr>
    </w:p>
    <w:p w14:paraId="0D7321C7" w14:textId="77777777" w:rsidR="001308B3" w:rsidRDefault="001308B3" w:rsidP="001308B3">
      <w:pPr>
        <w:ind w:left="0"/>
        <w:rPr>
          <w:rFonts w:cs="Arial"/>
          <w:sz w:val="22"/>
          <w:szCs w:val="22"/>
        </w:rPr>
      </w:pPr>
      <w:r>
        <w:rPr>
          <w:rFonts w:cs="Arial"/>
          <w:sz w:val="22"/>
          <w:szCs w:val="22"/>
        </w:rPr>
        <w:t xml:space="preserve">The UTAS-FRDC 2014 study (reported by Day et al (2016a), as summarised in Section 7.1.4) indicates that there was no evidence of short-term (&lt; 2 months) impacts on scallop catch rates, but in the long-term (after 120 days), scallop mortality rates increased. This contrasts with the findings of the Przeslawski et al (2016b) study (as noted above). </w:t>
      </w:r>
      <w:r w:rsidRPr="00C411CB">
        <w:rPr>
          <w:rFonts w:cs="Arial"/>
          <w:sz w:val="22"/>
          <w:szCs w:val="22"/>
        </w:rPr>
        <w:t xml:space="preserve">The results indicate that exposure to impulses from an airgun source associated with a </w:t>
      </w:r>
      <w:r>
        <w:rPr>
          <w:rFonts w:cs="Arial"/>
          <w:sz w:val="22"/>
          <w:szCs w:val="22"/>
        </w:rPr>
        <w:t>MSS</w:t>
      </w:r>
      <w:r w:rsidRPr="00C411CB">
        <w:rPr>
          <w:rFonts w:cs="Arial"/>
          <w:sz w:val="22"/>
          <w:szCs w:val="22"/>
        </w:rPr>
        <w:t xml:space="preserve"> may result in the mortality of some scallops as well as some impaired reflexes and immunity response if the seismic source passes in close proximity or directly overhead. </w:t>
      </w:r>
      <w:r w:rsidRPr="002A6721">
        <w:rPr>
          <w:rFonts w:cs="Arial"/>
          <w:sz w:val="22"/>
          <w:szCs w:val="22"/>
        </w:rPr>
        <w:t>Day et al (2016</w:t>
      </w:r>
      <w:r>
        <w:rPr>
          <w:rFonts w:cs="Arial"/>
          <w:sz w:val="22"/>
          <w:szCs w:val="22"/>
        </w:rPr>
        <w:t>a</w:t>
      </w:r>
      <w:r w:rsidRPr="002A6721">
        <w:rPr>
          <w:rFonts w:cs="Arial"/>
          <w:sz w:val="22"/>
          <w:szCs w:val="22"/>
        </w:rPr>
        <w:t xml:space="preserve">) </w:t>
      </w:r>
      <w:r w:rsidRPr="00C411CB">
        <w:rPr>
          <w:rFonts w:cs="Arial"/>
          <w:sz w:val="22"/>
          <w:szCs w:val="22"/>
        </w:rPr>
        <w:t xml:space="preserve">also </w:t>
      </w:r>
      <w:r w:rsidRPr="002A6721">
        <w:rPr>
          <w:rFonts w:cs="Arial"/>
          <w:sz w:val="22"/>
          <w:szCs w:val="22"/>
        </w:rPr>
        <w:t>indicated that exposure, particularly repeated exposure, did result in increased mortality compared to unexposed controls</w:t>
      </w:r>
      <w:r>
        <w:rPr>
          <w:rFonts w:cs="Arial"/>
          <w:sz w:val="22"/>
          <w:szCs w:val="22"/>
        </w:rPr>
        <w:t>.</w:t>
      </w:r>
    </w:p>
    <w:p w14:paraId="14E38E29" w14:textId="77777777" w:rsidR="001308B3" w:rsidRDefault="001308B3" w:rsidP="001308B3">
      <w:pPr>
        <w:ind w:left="0"/>
        <w:rPr>
          <w:rFonts w:cs="Arial"/>
          <w:sz w:val="22"/>
          <w:szCs w:val="22"/>
        </w:rPr>
      </w:pPr>
    </w:p>
    <w:p w14:paraId="78D17D94" w14:textId="59EAE087" w:rsidR="001308B3" w:rsidRPr="005A6E97" w:rsidRDefault="001308B3" w:rsidP="001308B3">
      <w:pPr>
        <w:ind w:left="0"/>
        <w:rPr>
          <w:rFonts w:cs="Arial"/>
          <w:i/>
          <w:sz w:val="22"/>
          <w:szCs w:val="22"/>
        </w:rPr>
      </w:pPr>
      <w:r w:rsidRPr="005A6E97">
        <w:rPr>
          <w:rFonts w:cs="Arial"/>
          <w:i/>
          <w:sz w:val="22"/>
          <w:szCs w:val="22"/>
        </w:rPr>
        <w:t xml:space="preserve">How </w:t>
      </w:r>
      <w:r w:rsidR="009E7A01">
        <w:rPr>
          <w:rFonts w:cs="Arial"/>
          <w:i/>
          <w:sz w:val="22"/>
          <w:szCs w:val="22"/>
        </w:rPr>
        <w:t>the F</w:t>
      </w:r>
      <w:r w:rsidRPr="005A6E97">
        <w:rPr>
          <w:rFonts w:cs="Arial"/>
          <w:i/>
          <w:sz w:val="22"/>
          <w:szCs w:val="22"/>
        </w:rPr>
        <w:t>ish</w:t>
      </w:r>
      <w:r w:rsidR="009E7A01">
        <w:rPr>
          <w:rFonts w:cs="Arial"/>
          <w:i/>
          <w:sz w:val="22"/>
          <w:szCs w:val="22"/>
        </w:rPr>
        <w:t xml:space="preserve">ery </w:t>
      </w:r>
      <w:r w:rsidR="004C7D5F">
        <w:rPr>
          <w:rFonts w:cs="Arial"/>
          <w:i/>
          <w:sz w:val="22"/>
          <w:szCs w:val="22"/>
        </w:rPr>
        <w:t xml:space="preserve">may </w:t>
      </w:r>
      <w:r w:rsidRPr="005A6E97">
        <w:rPr>
          <w:rFonts w:cs="Arial"/>
          <w:i/>
          <w:sz w:val="22"/>
          <w:szCs w:val="22"/>
        </w:rPr>
        <w:t xml:space="preserve">be </w:t>
      </w:r>
      <w:r w:rsidR="009E7A01">
        <w:rPr>
          <w:rFonts w:cs="Arial"/>
          <w:i/>
          <w:sz w:val="22"/>
          <w:szCs w:val="22"/>
        </w:rPr>
        <w:t>A</w:t>
      </w:r>
      <w:r w:rsidRPr="005A6E97">
        <w:rPr>
          <w:rFonts w:cs="Arial"/>
          <w:i/>
          <w:sz w:val="22"/>
          <w:szCs w:val="22"/>
        </w:rPr>
        <w:t>ffected</w:t>
      </w:r>
      <w:r w:rsidR="004A12F0">
        <w:rPr>
          <w:rFonts w:cs="Arial"/>
          <w:i/>
          <w:sz w:val="22"/>
          <w:szCs w:val="22"/>
        </w:rPr>
        <w:t xml:space="preserve"> </w:t>
      </w:r>
    </w:p>
    <w:p w14:paraId="17CB89EF" w14:textId="77777777" w:rsidR="001308B3" w:rsidRDefault="001308B3" w:rsidP="001308B3">
      <w:pPr>
        <w:ind w:left="0"/>
        <w:rPr>
          <w:rFonts w:cs="Arial"/>
          <w:sz w:val="22"/>
          <w:szCs w:val="22"/>
        </w:rPr>
      </w:pPr>
    </w:p>
    <w:p w14:paraId="76775057" w14:textId="189B2EE1" w:rsidR="001308B3" w:rsidRPr="00B700A9" w:rsidRDefault="001308B3" w:rsidP="001308B3">
      <w:pPr>
        <w:ind w:left="0"/>
        <w:rPr>
          <w:rFonts w:cs="Arial"/>
          <w:sz w:val="22"/>
          <w:szCs w:val="22"/>
        </w:rPr>
      </w:pPr>
      <w:r w:rsidRPr="00B700A9">
        <w:rPr>
          <w:rFonts w:cs="Arial"/>
          <w:sz w:val="22"/>
          <w:szCs w:val="22"/>
        </w:rPr>
        <w:t xml:space="preserve">Catch and effort data is available from </w:t>
      </w:r>
      <w:r>
        <w:rPr>
          <w:rFonts w:cs="Arial"/>
          <w:sz w:val="22"/>
          <w:szCs w:val="22"/>
        </w:rPr>
        <w:t>VFA</w:t>
      </w:r>
      <w:r w:rsidRPr="00B700A9">
        <w:rPr>
          <w:rFonts w:cs="Arial"/>
          <w:sz w:val="22"/>
          <w:szCs w:val="22"/>
        </w:rPr>
        <w:t xml:space="preserve"> only for grids that have information comprised from five or more data sources (the “five fisher rule”). </w:t>
      </w:r>
      <w:r w:rsidR="002F6768">
        <w:rPr>
          <w:rFonts w:cs="Arial"/>
          <w:sz w:val="22"/>
          <w:szCs w:val="22"/>
        </w:rPr>
        <w:t>Where fewer than five fishers are active, data is often aggregated across fisheries, making it difficult for CarbonNet to assess potential impacts.</w:t>
      </w:r>
      <w:r w:rsidR="002F6768" w:rsidRPr="00B700A9">
        <w:rPr>
          <w:rFonts w:cs="Arial"/>
          <w:sz w:val="22"/>
          <w:szCs w:val="22"/>
        </w:rPr>
        <w:t xml:space="preserve"> </w:t>
      </w:r>
      <w:r w:rsidR="000D218B">
        <w:rPr>
          <w:rFonts w:cs="Arial"/>
          <w:sz w:val="22"/>
          <w:szCs w:val="22"/>
        </w:rPr>
        <w:t xml:space="preserve">The two fishing grid cells overlapped by the </w:t>
      </w:r>
      <w:r w:rsidR="002F6768">
        <w:rPr>
          <w:rFonts w:cs="Arial"/>
          <w:sz w:val="22"/>
          <w:szCs w:val="22"/>
        </w:rPr>
        <w:t xml:space="preserve">proposed </w:t>
      </w:r>
      <w:r w:rsidR="000D218B">
        <w:rPr>
          <w:rFonts w:cs="Arial"/>
          <w:sz w:val="22"/>
          <w:szCs w:val="22"/>
        </w:rPr>
        <w:t>acquisition area (noting that the acquisition area extends into a third grid cell [E38]</w:t>
      </w:r>
      <w:r w:rsidR="000D218B" w:rsidRPr="00B700A9">
        <w:rPr>
          <w:rFonts w:cs="Arial"/>
          <w:sz w:val="22"/>
          <w:szCs w:val="22"/>
        </w:rPr>
        <w:t xml:space="preserve"> </w:t>
      </w:r>
      <w:r w:rsidR="000D218B">
        <w:rPr>
          <w:rFonts w:cs="Arial"/>
          <w:sz w:val="22"/>
          <w:szCs w:val="22"/>
        </w:rPr>
        <w:t xml:space="preserve">by only several meters and is therefore excluded from analysis herein) </w:t>
      </w:r>
      <w:r w:rsidRPr="00B700A9">
        <w:rPr>
          <w:rFonts w:cs="Arial"/>
          <w:sz w:val="22"/>
          <w:szCs w:val="22"/>
        </w:rPr>
        <w:t xml:space="preserve">were fished by fewer than five fishers from 2010/11 to </w:t>
      </w:r>
      <w:r>
        <w:rPr>
          <w:rFonts w:cs="Arial"/>
          <w:sz w:val="22"/>
          <w:szCs w:val="22"/>
        </w:rPr>
        <w:t>2015/16</w:t>
      </w:r>
      <w:r w:rsidRPr="00B700A9">
        <w:rPr>
          <w:rFonts w:cs="Arial"/>
          <w:sz w:val="22"/>
          <w:szCs w:val="22"/>
        </w:rPr>
        <w:t xml:space="preserve">. </w:t>
      </w:r>
    </w:p>
    <w:p w14:paraId="5A52147D" w14:textId="77777777" w:rsidR="001308B3" w:rsidRPr="00B700A9" w:rsidRDefault="001308B3" w:rsidP="001308B3">
      <w:pPr>
        <w:ind w:left="0"/>
        <w:rPr>
          <w:rFonts w:cs="Arial"/>
          <w:sz w:val="22"/>
          <w:szCs w:val="22"/>
        </w:rPr>
      </w:pPr>
    </w:p>
    <w:p w14:paraId="062930B4" w14:textId="1C2FAD82" w:rsidR="00DA6B2E" w:rsidRPr="00CB170D" w:rsidRDefault="00DA6B2E" w:rsidP="00DA6B2E">
      <w:pPr>
        <w:ind w:left="0"/>
        <w:rPr>
          <w:rFonts w:cs="Arial"/>
          <w:sz w:val="22"/>
          <w:szCs w:val="22"/>
        </w:rPr>
      </w:pPr>
      <w:r>
        <w:rPr>
          <w:rFonts w:cs="Arial"/>
          <w:sz w:val="22"/>
          <w:szCs w:val="22"/>
        </w:rPr>
        <w:t xml:space="preserve">Noting that scallop fishers have stated that no scallop fishing has taken place in the proposed acquisition area for the last 7-8 years (to allow for stock replenishment), but that scallop beds may be present, CarbonNet has used historic fishing catch data to assess potential impacts on scallop catch. Commercial scallop catch data from Lakes entrance is provided in DPI (2005) for the years 1970 to 2004. </w:t>
      </w:r>
      <w:r w:rsidR="00EC6C91">
        <w:rPr>
          <w:rFonts w:cs="Arial"/>
          <w:sz w:val="22"/>
          <w:szCs w:val="22"/>
        </w:rPr>
        <w:t xml:space="preserve">This illustrates the </w:t>
      </w:r>
      <w:r w:rsidR="00EC6C91" w:rsidRPr="00CB170D">
        <w:rPr>
          <w:rFonts w:cs="Arial"/>
          <w:sz w:val="22"/>
          <w:szCs w:val="22"/>
        </w:rPr>
        <w:t xml:space="preserve">highly variable nature of the scallop fishery. </w:t>
      </w:r>
      <w:r w:rsidRPr="00CB170D">
        <w:rPr>
          <w:rFonts w:cs="Arial"/>
          <w:sz w:val="22"/>
          <w:szCs w:val="22"/>
        </w:rPr>
        <w:t xml:space="preserve">For the years 1998-2003, </w:t>
      </w:r>
      <w:r w:rsidR="00EC6C91" w:rsidRPr="00CB170D">
        <w:rPr>
          <w:rFonts w:cs="Arial"/>
          <w:sz w:val="22"/>
          <w:szCs w:val="22"/>
        </w:rPr>
        <w:t xml:space="preserve">scallop catch data is available and </w:t>
      </w:r>
      <w:r w:rsidRPr="00CB170D">
        <w:rPr>
          <w:rFonts w:cs="Arial"/>
          <w:sz w:val="22"/>
          <w:szCs w:val="22"/>
        </w:rPr>
        <w:t>broken down according to catch and effort grid cells (</w:t>
      </w:r>
      <w:r w:rsidR="00EC6C91" w:rsidRPr="00CB170D">
        <w:rPr>
          <w:rFonts w:cs="Arial"/>
          <w:sz w:val="22"/>
          <w:szCs w:val="22"/>
        </w:rPr>
        <w:t xml:space="preserve">see </w:t>
      </w:r>
      <w:r w:rsidRPr="00CB170D">
        <w:rPr>
          <w:rFonts w:cs="Arial"/>
          <w:sz w:val="22"/>
          <w:szCs w:val="22"/>
        </w:rPr>
        <w:t xml:space="preserve">Figure </w:t>
      </w:r>
      <w:r w:rsidR="00EC6C91" w:rsidRPr="00CB170D">
        <w:rPr>
          <w:rFonts w:cs="Arial"/>
          <w:sz w:val="22"/>
          <w:szCs w:val="22"/>
        </w:rPr>
        <w:t>5.</w:t>
      </w:r>
      <w:r w:rsidR="00CB170D" w:rsidRPr="00CB170D">
        <w:rPr>
          <w:rFonts w:cs="Arial"/>
          <w:sz w:val="22"/>
          <w:szCs w:val="22"/>
        </w:rPr>
        <w:t>3</w:t>
      </w:r>
      <w:r w:rsidR="00A92BC2" w:rsidRPr="00CB170D">
        <w:rPr>
          <w:rFonts w:cs="Arial"/>
          <w:sz w:val="22"/>
          <w:szCs w:val="22"/>
        </w:rPr>
        <w:t>5</w:t>
      </w:r>
      <w:r w:rsidRPr="00CB170D">
        <w:rPr>
          <w:rFonts w:cs="Arial"/>
          <w:sz w:val="22"/>
          <w:szCs w:val="22"/>
        </w:rPr>
        <w:t xml:space="preserve">). This figure illustrates that historically, the area to the immediate northeast of the proposed acquisition area had greater catches than other areas along the coast. </w:t>
      </w:r>
    </w:p>
    <w:p w14:paraId="753E20AF" w14:textId="77777777" w:rsidR="00DA6B2E" w:rsidRPr="00CB170D" w:rsidRDefault="00DA6B2E" w:rsidP="00DA6B2E">
      <w:pPr>
        <w:ind w:left="0"/>
        <w:rPr>
          <w:rFonts w:cs="Arial"/>
          <w:sz w:val="22"/>
          <w:szCs w:val="22"/>
        </w:rPr>
      </w:pPr>
    </w:p>
    <w:p w14:paraId="521067E1" w14:textId="29D47F22" w:rsidR="00DA6B2E" w:rsidRDefault="00EC6C91" w:rsidP="00DA6B2E">
      <w:pPr>
        <w:ind w:left="0"/>
        <w:rPr>
          <w:rFonts w:cs="Arial"/>
          <w:sz w:val="22"/>
          <w:szCs w:val="22"/>
        </w:rPr>
      </w:pPr>
      <w:r w:rsidRPr="00CB170D">
        <w:rPr>
          <w:sz w:val="22"/>
          <w:szCs w:val="22"/>
        </w:rPr>
        <w:t>Based on Figure 5.</w:t>
      </w:r>
      <w:r w:rsidR="00CB170D" w:rsidRPr="00CB170D">
        <w:rPr>
          <w:sz w:val="22"/>
          <w:szCs w:val="22"/>
        </w:rPr>
        <w:t>3</w:t>
      </w:r>
      <w:r w:rsidRPr="00CB170D">
        <w:rPr>
          <w:sz w:val="22"/>
          <w:szCs w:val="22"/>
        </w:rPr>
        <w:t xml:space="preserve">5, and taking the upper estimate of catch, the two fishing grid cells intersected by the proposed acquisition area had catches of 133 tonnes (E39) and 265 tonnes (E40) for the 6 years between 1998 and 2003. As the proposed </w:t>
      </w:r>
      <w:r w:rsidRPr="00CB170D">
        <w:rPr>
          <w:sz w:val="22"/>
          <w:szCs w:val="22"/>
        </w:rPr>
        <w:lastRenderedPageBreak/>
        <w:t>acquisition area overlaps grid cell E39 by ~50% and grid cell E40 by ~25%, this equates to 66.25 tonnes from each of these two cells over six years (or 11.1 tonnes per year for those six years). This equates to an approximate catch of 22.2 tonnes from the proposed acquisition year for the 6 years from 1998 to 2003 (noting this is an upper estimate based on the coarse data provided in the map). Of the total catch for these years, again based on the upper estimate provided in Figure 5.</w:t>
      </w:r>
      <w:r w:rsidR="00CB170D" w:rsidRPr="00CB170D">
        <w:rPr>
          <w:sz w:val="22"/>
          <w:szCs w:val="22"/>
        </w:rPr>
        <w:t>3</w:t>
      </w:r>
      <w:r w:rsidRPr="00CB170D">
        <w:rPr>
          <w:sz w:val="22"/>
          <w:szCs w:val="22"/>
        </w:rPr>
        <w:t>5, this 22.2 tonnes represents 1.85% of the total average annual catch calculated upon th</w:t>
      </w:r>
      <w:r w:rsidRPr="00A92BC2">
        <w:rPr>
          <w:sz w:val="22"/>
          <w:szCs w:val="22"/>
        </w:rPr>
        <w:t>e</w:t>
      </w:r>
      <w:r>
        <w:rPr>
          <w:sz w:val="22"/>
          <w:szCs w:val="22"/>
        </w:rPr>
        <w:t xml:space="preserve"> same basis for those six years. This demonstrates that although the area to the immediate northeast of the proposed acquisition area was an important scallop fishing ground, the Pelican acquisition area represented only a small portion of the total fishery’s catch. By extension, if fishing was currently taking place within the proposed acquisition area, it may continue to represent a small percentage of the fishery’s catch.</w:t>
      </w:r>
      <w:r w:rsidR="00DA6B2E">
        <w:rPr>
          <w:rFonts w:cs="Arial"/>
          <w:sz w:val="22"/>
          <w:szCs w:val="22"/>
        </w:rPr>
        <w:t xml:space="preserve"> </w:t>
      </w:r>
    </w:p>
    <w:p w14:paraId="5A6E154D" w14:textId="77777777" w:rsidR="00DA6B2E" w:rsidRDefault="00DA6B2E" w:rsidP="00DA6B2E">
      <w:pPr>
        <w:ind w:left="0"/>
        <w:rPr>
          <w:rFonts w:cs="Arial"/>
          <w:sz w:val="22"/>
          <w:szCs w:val="22"/>
        </w:rPr>
      </w:pPr>
    </w:p>
    <w:p w14:paraId="4C3420C2" w14:textId="471332D5" w:rsidR="00DA6B2E" w:rsidRDefault="00DA6B2E" w:rsidP="00DA6B2E">
      <w:pPr>
        <w:ind w:left="0"/>
        <w:rPr>
          <w:rFonts w:cs="Arial"/>
          <w:sz w:val="22"/>
          <w:szCs w:val="22"/>
        </w:rPr>
      </w:pPr>
      <w:r>
        <w:rPr>
          <w:rFonts w:cs="Arial"/>
          <w:sz w:val="22"/>
          <w:szCs w:val="22"/>
        </w:rPr>
        <w:t>The proposed Pelican 3DMSS</w:t>
      </w:r>
      <w:r w:rsidRPr="00B700A9">
        <w:rPr>
          <w:rFonts w:cs="Arial"/>
          <w:sz w:val="22"/>
          <w:szCs w:val="22"/>
        </w:rPr>
        <w:t xml:space="preserve"> </w:t>
      </w:r>
      <w:r>
        <w:rPr>
          <w:rFonts w:cs="Arial"/>
          <w:sz w:val="22"/>
          <w:szCs w:val="22"/>
        </w:rPr>
        <w:t>is not</w:t>
      </w:r>
      <w:r w:rsidRPr="00B700A9">
        <w:rPr>
          <w:rFonts w:cs="Arial"/>
          <w:sz w:val="22"/>
          <w:szCs w:val="22"/>
        </w:rPr>
        <w:t xml:space="preserve"> expected to cause a </w:t>
      </w:r>
      <w:r w:rsidR="00EC6C91">
        <w:rPr>
          <w:rFonts w:cs="Arial"/>
          <w:sz w:val="22"/>
          <w:szCs w:val="22"/>
        </w:rPr>
        <w:t xml:space="preserve">material </w:t>
      </w:r>
      <w:r w:rsidRPr="00B700A9">
        <w:rPr>
          <w:rFonts w:cs="Arial"/>
          <w:sz w:val="22"/>
          <w:szCs w:val="22"/>
        </w:rPr>
        <w:t xml:space="preserve">reduction in </w:t>
      </w:r>
      <w:r>
        <w:rPr>
          <w:rFonts w:cs="Arial"/>
          <w:sz w:val="22"/>
          <w:szCs w:val="22"/>
        </w:rPr>
        <w:t>annual</w:t>
      </w:r>
      <w:r w:rsidRPr="00B700A9">
        <w:rPr>
          <w:rFonts w:cs="Arial"/>
          <w:sz w:val="22"/>
          <w:szCs w:val="22"/>
        </w:rPr>
        <w:t xml:space="preserve"> </w:t>
      </w:r>
      <w:r>
        <w:rPr>
          <w:rFonts w:cs="Arial"/>
          <w:sz w:val="22"/>
          <w:szCs w:val="22"/>
        </w:rPr>
        <w:t xml:space="preserve">fishery </w:t>
      </w:r>
      <w:r w:rsidRPr="00B700A9">
        <w:rPr>
          <w:rFonts w:cs="Arial"/>
          <w:sz w:val="22"/>
          <w:szCs w:val="22"/>
        </w:rPr>
        <w:t>catch rates</w:t>
      </w:r>
      <w:r>
        <w:rPr>
          <w:rFonts w:cs="Arial"/>
          <w:sz w:val="22"/>
          <w:szCs w:val="22"/>
        </w:rPr>
        <w:t xml:space="preserve"> of commercial scallops because:</w:t>
      </w:r>
    </w:p>
    <w:p w14:paraId="06D9A100" w14:textId="77777777" w:rsidR="00DA6B2E" w:rsidRDefault="00DA6B2E" w:rsidP="00DA6B2E">
      <w:pPr>
        <w:ind w:left="0"/>
        <w:rPr>
          <w:rFonts w:cs="Arial"/>
          <w:sz w:val="22"/>
          <w:szCs w:val="22"/>
        </w:rPr>
      </w:pPr>
    </w:p>
    <w:p w14:paraId="66022D67" w14:textId="77777777" w:rsidR="00DA6B2E" w:rsidRDefault="00DA6B2E" w:rsidP="00DA6B2E">
      <w:pPr>
        <w:pStyle w:val="ListParagraph0"/>
        <w:numPr>
          <w:ilvl w:val="0"/>
          <w:numId w:val="172"/>
        </w:numPr>
        <w:rPr>
          <w:rFonts w:cs="Arial"/>
          <w:sz w:val="22"/>
          <w:szCs w:val="22"/>
        </w:rPr>
      </w:pPr>
      <w:r w:rsidRPr="00716DF2">
        <w:rPr>
          <w:rFonts w:cs="Arial"/>
          <w:sz w:val="22"/>
          <w:szCs w:val="22"/>
        </w:rPr>
        <w:t xml:space="preserve">Based on a desktop review of many studies, Carroll et al (2017) conclude that the potential effects of seismic </w:t>
      </w:r>
      <w:r>
        <w:rPr>
          <w:rFonts w:cs="Arial"/>
          <w:sz w:val="22"/>
          <w:szCs w:val="22"/>
        </w:rPr>
        <w:t>pulses</w:t>
      </w:r>
      <w:r w:rsidRPr="00716DF2">
        <w:rPr>
          <w:rFonts w:cs="Arial"/>
          <w:sz w:val="22"/>
          <w:szCs w:val="22"/>
        </w:rPr>
        <w:t xml:space="preserve"> on catch rates or abundances of bivalves show no significant differences between sites exposed to seismic operations and those not exposed</w:t>
      </w:r>
      <w:r>
        <w:rPr>
          <w:rFonts w:cs="Arial"/>
          <w:sz w:val="22"/>
          <w:szCs w:val="22"/>
        </w:rPr>
        <w:t>;</w:t>
      </w:r>
      <w:r w:rsidRPr="00716DF2">
        <w:rPr>
          <w:rFonts w:cs="Arial"/>
          <w:sz w:val="22"/>
          <w:szCs w:val="22"/>
        </w:rPr>
        <w:t xml:space="preserve"> </w:t>
      </w:r>
    </w:p>
    <w:p w14:paraId="7C94AF4B" w14:textId="555C8CD8" w:rsidR="00DA6B2E" w:rsidRDefault="00EC6C91" w:rsidP="00DA6B2E">
      <w:pPr>
        <w:pStyle w:val="ListParagraph0"/>
        <w:numPr>
          <w:ilvl w:val="0"/>
          <w:numId w:val="172"/>
        </w:numPr>
        <w:rPr>
          <w:rFonts w:cs="Arial"/>
          <w:sz w:val="22"/>
          <w:szCs w:val="22"/>
        </w:rPr>
      </w:pPr>
      <w:r>
        <w:rPr>
          <w:rFonts w:cs="Arial"/>
          <w:sz w:val="22"/>
          <w:szCs w:val="22"/>
        </w:rPr>
        <w:t xml:space="preserve">Presence </w:t>
      </w:r>
      <w:r w:rsidR="00DA6B2E" w:rsidRPr="0071450C">
        <w:rPr>
          <w:rFonts w:cs="Arial"/>
          <w:sz w:val="22"/>
          <w:szCs w:val="22"/>
        </w:rPr>
        <w:t xml:space="preserve">of commercial beds of </w:t>
      </w:r>
      <w:r w:rsidR="00DA6B2E" w:rsidRPr="0071450C">
        <w:rPr>
          <w:rFonts w:cs="Arial"/>
          <w:i/>
          <w:sz w:val="22"/>
          <w:szCs w:val="22"/>
        </w:rPr>
        <w:t>Pecten fumatus</w:t>
      </w:r>
      <w:r w:rsidR="00DA6B2E" w:rsidRPr="0071450C">
        <w:rPr>
          <w:rFonts w:cs="Arial"/>
          <w:sz w:val="22"/>
          <w:szCs w:val="22"/>
        </w:rPr>
        <w:t xml:space="preserve"> within the </w:t>
      </w:r>
      <w:r w:rsidR="00DA6B2E">
        <w:rPr>
          <w:rFonts w:cs="Arial"/>
          <w:sz w:val="22"/>
          <w:szCs w:val="22"/>
        </w:rPr>
        <w:t xml:space="preserve">proposed </w:t>
      </w:r>
      <w:r w:rsidR="00DA6B2E" w:rsidRPr="0071450C">
        <w:rPr>
          <w:rFonts w:cs="Arial"/>
          <w:sz w:val="22"/>
          <w:szCs w:val="22"/>
        </w:rPr>
        <w:t xml:space="preserve">acquisition area </w:t>
      </w:r>
      <w:r>
        <w:rPr>
          <w:rFonts w:cs="Arial"/>
          <w:sz w:val="22"/>
          <w:szCs w:val="22"/>
        </w:rPr>
        <w:t xml:space="preserve">has not been established </w:t>
      </w:r>
      <w:r w:rsidR="00DA6B2E" w:rsidRPr="0071450C">
        <w:rPr>
          <w:rFonts w:cs="Arial"/>
          <w:sz w:val="22"/>
          <w:szCs w:val="22"/>
        </w:rPr>
        <w:t xml:space="preserve">(based on CarbonNet’s </w:t>
      </w:r>
      <w:r w:rsidR="00827495">
        <w:rPr>
          <w:rFonts w:cs="Arial"/>
          <w:sz w:val="22"/>
          <w:szCs w:val="22"/>
        </w:rPr>
        <w:t>habitat</w:t>
      </w:r>
      <w:r w:rsidR="00DA6B2E" w:rsidRPr="0071450C">
        <w:rPr>
          <w:rFonts w:cs="Arial"/>
          <w:sz w:val="22"/>
          <w:szCs w:val="22"/>
        </w:rPr>
        <w:t xml:space="preserve"> assessment)</w:t>
      </w:r>
      <w:r w:rsidR="00DA6B2E">
        <w:rPr>
          <w:rFonts w:cs="Arial"/>
          <w:sz w:val="22"/>
          <w:szCs w:val="22"/>
        </w:rPr>
        <w:t>;</w:t>
      </w:r>
    </w:p>
    <w:p w14:paraId="6F15B925" w14:textId="77777777" w:rsidR="00DA6B2E" w:rsidRDefault="00DA6B2E" w:rsidP="00DA6B2E">
      <w:pPr>
        <w:pStyle w:val="ListParagraph0"/>
        <w:numPr>
          <w:ilvl w:val="0"/>
          <w:numId w:val="172"/>
        </w:numPr>
        <w:rPr>
          <w:rFonts w:cs="Arial"/>
          <w:sz w:val="22"/>
          <w:szCs w:val="22"/>
        </w:rPr>
      </w:pPr>
      <w:r>
        <w:rPr>
          <w:rFonts w:cs="Arial"/>
          <w:sz w:val="22"/>
          <w:szCs w:val="22"/>
        </w:rPr>
        <w:t>The survey is of a very short duration (a maximum of 27 days, but more likely 13-16 days), representing 4.4 to 7.4% of the duration of the fishing season (which is year-round);</w:t>
      </w:r>
    </w:p>
    <w:p w14:paraId="2F6CA5AC" w14:textId="5A942996" w:rsidR="00DA6B2E" w:rsidRDefault="00DA6B2E" w:rsidP="00DA6B2E">
      <w:pPr>
        <w:pStyle w:val="ListParagraph0"/>
        <w:numPr>
          <w:ilvl w:val="0"/>
          <w:numId w:val="172"/>
        </w:numPr>
        <w:rPr>
          <w:rFonts w:cs="Arial"/>
          <w:sz w:val="22"/>
          <w:szCs w:val="22"/>
        </w:rPr>
      </w:pPr>
      <w:r>
        <w:rPr>
          <w:rFonts w:cs="Arial"/>
          <w:sz w:val="22"/>
          <w:szCs w:val="22"/>
        </w:rPr>
        <w:t>The proposed acquisition area represents 0.11% of the total Victorian scallop fishery</w:t>
      </w:r>
      <w:r w:rsidR="00EC6C91">
        <w:rPr>
          <w:rFonts w:cs="Arial"/>
          <w:sz w:val="22"/>
          <w:szCs w:val="22"/>
        </w:rPr>
        <w:t xml:space="preserve"> by area and 1.85% based on historical catch rates</w:t>
      </w:r>
      <w:r>
        <w:rPr>
          <w:rFonts w:cs="Arial"/>
          <w:sz w:val="22"/>
          <w:szCs w:val="22"/>
        </w:rPr>
        <w:t xml:space="preserve">; </w:t>
      </w:r>
    </w:p>
    <w:p w14:paraId="761C7A3E" w14:textId="77777777" w:rsidR="00DA6B2E" w:rsidRDefault="00DA6B2E" w:rsidP="00DA6B2E">
      <w:pPr>
        <w:pStyle w:val="ListParagraph0"/>
        <w:numPr>
          <w:ilvl w:val="0"/>
          <w:numId w:val="172"/>
        </w:numPr>
        <w:rPr>
          <w:rFonts w:cs="Arial"/>
          <w:sz w:val="22"/>
          <w:szCs w:val="22"/>
        </w:rPr>
      </w:pPr>
      <w:r>
        <w:rPr>
          <w:rFonts w:cs="Arial"/>
          <w:sz w:val="22"/>
          <w:szCs w:val="22"/>
        </w:rPr>
        <w:t>The potential zone of impact to scallops (see ‘Impacts to Scallops’ in Section 7.1.4), which are based on conservative sound pressure metrics, is tiny in context of the fishery (at both a local and regional level); and</w:t>
      </w:r>
    </w:p>
    <w:p w14:paraId="6C49D9EF" w14:textId="0B090E98" w:rsidR="0057143D" w:rsidRDefault="00DA6B2E" w:rsidP="00891DE1">
      <w:pPr>
        <w:pStyle w:val="ListParagraph0"/>
        <w:numPr>
          <w:ilvl w:val="0"/>
          <w:numId w:val="172"/>
        </w:numPr>
        <w:rPr>
          <w:rFonts w:cs="Arial"/>
          <w:sz w:val="22"/>
          <w:szCs w:val="22"/>
        </w:rPr>
      </w:pPr>
      <w:r>
        <w:rPr>
          <w:rFonts w:cs="Arial"/>
          <w:sz w:val="22"/>
          <w:szCs w:val="22"/>
        </w:rPr>
        <w:t>M</w:t>
      </w:r>
      <w:r w:rsidRPr="0071450C">
        <w:rPr>
          <w:rFonts w:cs="Arial"/>
          <w:sz w:val="22"/>
          <w:szCs w:val="22"/>
        </w:rPr>
        <w:t>any Victorian scallop fisheres are licensed to fish within the adjoining Commonwealth scallop fishery</w:t>
      </w:r>
      <w:r>
        <w:rPr>
          <w:rFonts w:cs="Arial"/>
          <w:sz w:val="22"/>
          <w:szCs w:val="22"/>
        </w:rPr>
        <w:t>, meaning that they have alternative areas to fish (assuming that commercially-viable scallop beds are present).</w:t>
      </w:r>
    </w:p>
    <w:p w14:paraId="08C287DF" w14:textId="77777777" w:rsidR="00DA6B2E" w:rsidRDefault="00DA6B2E" w:rsidP="00DA6B2E">
      <w:pPr>
        <w:ind w:left="0"/>
        <w:rPr>
          <w:rFonts w:cs="Arial"/>
          <w:sz w:val="22"/>
          <w:szCs w:val="22"/>
        </w:rPr>
      </w:pPr>
    </w:p>
    <w:p w14:paraId="4BA74F49" w14:textId="256FE24D" w:rsidR="001308B3" w:rsidRPr="00B700A9" w:rsidRDefault="001308B3" w:rsidP="001308B3">
      <w:pPr>
        <w:ind w:left="0"/>
        <w:rPr>
          <w:rFonts w:cs="Arial"/>
          <w:i/>
          <w:sz w:val="22"/>
          <w:szCs w:val="22"/>
        </w:rPr>
      </w:pPr>
      <w:r w:rsidRPr="00B700A9">
        <w:rPr>
          <w:rFonts w:cs="Arial"/>
          <w:i/>
          <w:sz w:val="22"/>
          <w:szCs w:val="22"/>
        </w:rPr>
        <w:t>Significance to Individual Fishers</w:t>
      </w:r>
    </w:p>
    <w:p w14:paraId="6C99727E" w14:textId="77777777" w:rsidR="001308B3" w:rsidRPr="00B700A9" w:rsidRDefault="001308B3" w:rsidP="001308B3">
      <w:pPr>
        <w:ind w:left="0"/>
        <w:rPr>
          <w:rFonts w:cs="Arial"/>
          <w:sz w:val="22"/>
          <w:szCs w:val="22"/>
        </w:rPr>
      </w:pPr>
    </w:p>
    <w:p w14:paraId="18F69939" w14:textId="1524CF5E" w:rsidR="00DA6B2E" w:rsidRDefault="001308B3" w:rsidP="00DA6B2E">
      <w:pPr>
        <w:ind w:left="0"/>
        <w:rPr>
          <w:rFonts w:cs="Arial"/>
          <w:sz w:val="22"/>
          <w:szCs w:val="22"/>
        </w:rPr>
      </w:pPr>
      <w:r>
        <w:rPr>
          <w:rFonts w:cs="Arial"/>
          <w:sz w:val="22"/>
          <w:szCs w:val="22"/>
        </w:rPr>
        <w:t>Based on information available to CarbonNet, fewer</w:t>
      </w:r>
      <w:r w:rsidRPr="00B700A9">
        <w:rPr>
          <w:rFonts w:cs="Arial"/>
          <w:sz w:val="22"/>
          <w:szCs w:val="22"/>
        </w:rPr>
        <w:t xml:space="preserve"> than five commercial fishers fish in the </w:t>
      </w:r>
      <w:r>
        <w:rPr>
          <w:rFonts w:cs="Arial"/>
          <w:sz w:val="22"/>
          <w:szCs w:val="22"/>
        </w:rPr>
        <w:t>proposed acquisition</w:t>
      </w:r>
      <w:r w:rsidRPr="00B700A9">
        <w:rPr>
          <w:rFonts w:cs="Arial"/>
          <w:sz w:val="22"/>
          <w:szCs w:val="22"/>
        </w:rPr>
        <w:t xml:space="preserve"> area</w:t>
      </w:r>
      <w:r>
        <w:rPr>
          <w:rFonts w:cs="Arial"/>
          <w:sz w:val="22"/>
          <w:szCs w:val="22"/>
        </w:rPr>
        <w:t xml:space="preserve">. </w:t>
      </w:r>
      <w:r w:rsidR="00DA6B2E">
        <w:rPr>
          <w:rFonts w:cs="Arial"/>
          <w:sz w:val="22"/>
          <w:szCs w:val="22"/>
        </w:rPr>
        <w:t>The proposed Pelican 3DMSS</w:t>
      </w:r>
      <w:r w:rsidR="00DA6B2E" w:rsidRPr="00B700A9">
        <w:rPr>
          <w:rFonts w:cs="Arial"/>
          <w:sz w:val="22"/>
          <w:szCs w:val="22"/>
        </w:rPr>
        <w:t xml:space="preserve"> </w:t>
      </w:r>
      <w:r w:rsidR="00DA6B2E">
        <w:rPr>
          <w:rFonts w:cs="Arial"/>
          <w:sz w:val="22"/>
          <w:szCs w:val="22"/>
        </w:rPr>
        <w:t>is not</w:t>
      </w:r>
      <w:r w:rsidR="00DA6B2E" w:rsidRPr="00B700A9">
        <w:rPr>
          <w:rFonts w:cs="Arial"/>
          <w:sz w:val="22"/>
          <w:szCs w:val="22"/>
        </w:rPr>
        <w:t xml:space="preserve"> expected to cause </w:t>
      </w:r>
      <w:r w:rsidR="00DA6B2E">
        <w:rPr>
          <w:rFonts w:cs="Arial"/>
          <w:sz w:val="22"/>
          <w:szCs w:val="22"/>
        </w:rPr>
        <w:t>significant impacts to individual commercial scallop fishers because:</w:t>
      </w:r>
    </w:p>
    <w:p w14:paraId="4760EAC9" w14:textId="77777777" w:rsidR="00DA6B2E" w:rsidRDefault="00DA6B2E" w:rsidP="00DA6B2E">
      <w:pPr>
        <w:ind w:left="0"/>
        <w:rPr>
          <w:rFonts w:cs="Arial"/>
          <w:sz w:val="22"/>
          <w:szCs w:val="22"/>
        </w:rPr>
      </w:pPr>
    </w:p>
    <w:p w14:paraId="6C1BFB02" w14:textId="73F4D825" w:rsidR="00DA6B2E" w:rsidRDefault="00DA6B2E" w:rsidP="00DA6B2E">
      <w:pPr>
        <w:pStyle w:val="ListParagraph0"/>
        <w:numPr>
          <w:ilvl w:val="0"/>
          <w:numId w:val="522"/>
        </w:numPr>
        <w:rPr>
          <w:rFonts w:cs="Arial"/>
          <w:sz w:val="22"/>
          <w:szCs w:val="22"/>
        </w:rPr>
      </w:pPr>
      <w:r>
        <w:rPr>
          <w:rFonts w:cs="Arial"/>
          <w:sz w:val="22"/>
          <w:szCs w:val="22"/>
        </w:rPr>
        <w:t>The</w:t>
      </w:r>
      <w:r w:rsidR="00EC6C91">
        <w:rPr>
          <w:rFonts w:cs="Arial"/>
          <w:sz w:val="22"/>
          <w:szCs w:val="22"/>
        </w:rPr>
        <w:t xml:space="preserve"> presence of </w:t>
      </w:r>
      <w:r w:rsidRPr="00343535">
        <w:rPr>
          <w:rFonts w:cs="Arial"/>
          <w:sz w:val="22"/>
          <w:szCs w:val="22"/>
        </w:rPr>
        <w:t xml:space="preserve">commercial beds of </w:t>
      </w:r>
      <w:r w:rsidRPr="00343535">
        <w:rPr>
          <w:rFonts w:cs="Arial"/>
          <w:i/>
          <w:sz w:val="22"/>
          <w:szCs w:val="22"/>
        </w:rPr>
        <w:t>Pecten fumatus</w:t>
      </w:r>
      <w:r w:rsidRPr="00343535">
        <w:rPr>
          <w:rFonts w:cs="Arial"/>
          <w:sz w:val="22"/>
          <w:szCs w:val="22"/>
        </w:rPr>
        <w:t xml:space="preserve"> within the </w:t>
      </w:r>
      <w:r>
        <w:rPr>
          <w:rFonts w:cs="Arial"/>
          <w:sz w:val="22"/>
          <w:szCs w:val="22"/>
        </w:rPr>
        <w:t xml:space="preserve">proposed </w:t>
      </w:r>
      <w:r w:rsidRPr="00343535">
        <w:rPr>
          <w:rFonts w:cs="Arial"/>
          <w:sz w:val="22"/>
          <w:szCs w:val="22"/>
        </w:rPr>
        <w:t xml:space="preserve">acquisition area </w:t>
      </w:r>
      <w:r w:rsidR="00EC6C91">
        <w:rPr>
          <w:rFonts w:cs="Arial"/>
          <w:sz w:val="22"/>
          <w:szCs w:val="22"/>
        </w:rPr>
        <w:t xml:space="preserve">is yet to be established </w:t>
      </w:r>
      <w:r w:rsidRPr="00343535">
        <w:rPr>
          <w:rFonts w:cs="Arial"/>
          <w:sz w:val="22"/>
          <w:szCs w:val="22"/>
        </w:rPr>
        <w:t>(based on CarbonNet’s video assessment)</w:t>
      </w:r>
      <w:r>
        <w:rPr>
          <w:rFonts w:cs="Arial"/>
          <w:sz w:val="22"/>
          <w:szCs w:val="22"/>
        </w:rPr>
        <w:t>;</w:t>
      </w:r>
    </w:p>
    <w:p w14:paraId="08795B57" w14:textId="77777777" w:rsidR="00DA6B2E" w:rsidRDefault="00DA6B2E" w:rsidP="00DA6B2E">
      <w:pPr>
        <w:pStyle w:val="ListParagraph0"/>
        <w:numPr>
          <w:ilvl w:val="0"/>
          <w:numId w:val="522"/>
        </w:numPr>
        <w:rPr>
          <w:rFonts w:cs="Arial"/>
          <w:sz w:val="22"/>
          <w:szCs w:val="22"/>
        </w:rPr>
      </w:pPr>
      <w:r>
        <w:rPr>
          <w:rFonts w:cs="Arial"/>
          <w:sz w:val="22"/>
          <w:szCs w:val="22"/>
        </w:rPr>
        <w:t>Fewer than five commercial fishers fish in the proposed acquisition area and m</w:t>
      </w:r>
      <w:r w:rsidRPr="00343535">
        <w:rPr>
          <w:rFonts w:cs="Arial"/>
          <w:sz w:val="22"/>
          <w:szCs w:val="22"/>
        </w:rPr>
        <w:t>any Victorian scallop fisheres are licensed to fish within the adjoining Commonwealth scallop fishery</w:t>
      </w:r>
      <w:r>
        <w:rPr>
          <w:rFonts w:cs="Arial"/>
          <w:sz w:val="22"/>
          <w:szCs w:val="22"/>
        </w:rPr>
        <w:t>, meaning that they have alternative areas to fish;</w:t>
      </w:r>
    </w:p>
    <w:p w14:paraId="32B1C364" w14:textId="6A22E8DA" w:rsidR="00DA6B2E" w:rsidRDefault="00DA6B2E" w:rsidP="00DA6B2E">
      <w:pPr>
        <w:pStyle w:val="ListParagraph0"/>
        <w:numPr>
          <w:ilvl w:val="0"/>
          <w:numId w:val="522"/>
        </w:numPr>
        <w:rPr>
          <w:rFonts w:cs="Arial"/>
          <w:sz w:val="22"/>
          <w:szCs w:val="22"/>
        </w:rPr>
      </w:pPr>
      <w:r>
        <w:rPr>
          <w:rFonts w:cs="Arial"/>
          <w:sz w:val="22"/>
          <w:szCs w:val="22"/>
        </w:rPr>
        <w:t xml:space="preserve">The survey is of a very short duration (a maximum of </w:t>
      </w:r>
      <w:r w:rsidR="0085332C">
        <w:rPr>
          <w:rFonts w:cs="Arial"/>
          <w:sz w:val="22"/>
          <w:szCs w:val="22"/>
        </w:rPr>
        <w:t>27</w:t>
      </w:r>
      <w:r>
        <w:rPr>
          <w:rFonts w:cs="Arial"/>
          <w:sz w:val="22"/>
          <w:szCs w:val="22"/>
        </w:rPr>
        <w:t xml:space="preserve"> days</w:t>
      </w:r>
      <w:r w:rsidR="0085332C">
        <w:rPr>
          <w:rFonts w:cs="Arial"/>
          <w:sz w:val="22"/>
          <w:szCs w:val="22"/>
        </w:rPr>
        <w:t>, more likely 13-16 days</w:t>
      </w:r>
      <w:r>
        <w:rPr>
          <w:rFonts w:cs="Arial"/>
          <w:sz w:val="22"/>
          <w:szCs w:val="22"/>
        </w:rPr>
        <w:t>), representing 4.4</w:t>
      </w:r>
      <w:r w:rsidR="0085332C">
        <w:rPr>
          <w:rFonts w:cs="Arial"/>
          <w:sz w:val="22"/>
          <w:szCs w:val="22"/>
        </w:rPr>
        <w:t>% to 7.4</w:t>
      </w:r>
      <w:r>
        <w:rPr>
          <w:rFonts w:cs="Arial"/>
          <w:sz w:val="22"/>
          <w:szCs w:val="22"/>
        </w:rPr>
        <w:t>% of the duration of the fishing season (which is 12 months);</w:t>
      </w:r>
    </w:p>
    <w:p w14:paraId="68A1A24D" w14:textId="1314FAF5" w:rsidR="00DA6B2E" w:rsidRDefault="00DA6B2E" w:rsidP="00DA6B2E">
      <w:pPr>
        <w:pStyle w:val="ListParagraph0"/>
        <w:numPr>
          <w:ilvl w:val="0"/>
          <w:numId w:val="522"/>
        </w:numPr>
        <w:rPr>
          <w:rFonts w:cs="Arial"/>
          <w:sz w:val="22"/>
          <w:szCs w:val="22"/>
        </w:rPr>
      </w:pPr>
      <w:r>
        <w:rPr>
          <w:rFonts w:cs="Arial"/>
          <w:sz w:val="22"/>
          <w:szCs w:val="22"/>
        </w:rPr>
        <w:lastRenderedPageBreak/>
        <w:t>The proposed acquisition area represents 0.11% of the total Victorian scallop fishery</w:t>
      </w:r>
      <w:r w:rsidR="00EC6C91">
        <w:rPr>
          <w:rFonts w:cs="Arial"/>
          <w:sz w:val="22"/>
          <w:szCs w:val="22"/>
        </w:rPr>
        <w:t xml:space="preserve"> by area and 1.85% by historical catch rates</w:t>
      </w:r>
      <w:r>
        <w:rPr>
          <w:rFonts w:cs="Arial"/>
          <w:sz w:val="22"/>
          <w:szCs w:val="22"/>
        </w:rPr>
        <w:t xml:space="preserve">; </w:t>
      </w:r>
    </w:p>
    <w:p w14:paraId="1BDC4F0C" w14:textId="35BEA98D" w:rsidR="00DA6B2E" w:rsidRDefault="00DA6B2E" w:rsidP="00DA6B2E">
      <w:pPr>
        <w:pStyle w:val="ListParagraph0"/>
        <w:numPr>
          <w:ilvl w:val="0"/>
          <w:numId w:val="522"/>
        </w:numPr>
        <w:rPr>
          <w:rFonts w:cs="Arial"/>
          <w:sz w:val="22"/>
          <w:szCs w:val="22"/>
        </w:rPr>
      </w:pPr>
      <w:r>
        <w:rPr>
          <w:rFonts w:cs="Arial"/>
          <w:sz w:val="22"/>
          <w:szCs w:val="22"/>
        </w:rPr>
        <w:t>T</w:t>
      </w:r>
      <w:r w:rsidRPr="0071450C">
        <w:rPr>
          <w:rFonts w:cs="Arial"/>
          <w:sz w:val="22"/>
          <w:szCs w:val="22"/>
        </w:rPr>
        <w:t>he</w:t>
      </w:r>
      <w:r>
        <w:rPr>
          <w:rFonts w:cs="Arial"/>
          <w:sz w:val="22"/>
          <w:szCs w:val="22"/>
        </w:rPr>
        <w:t>re</w:t>
      </w:r>
      <w:r w:rsidRPr="0071450C">
        <w:rPr>
          <w:rFonts w:cs="Arial"/>
          <w:sz w:val="22"/>
          <w:szCs w:val="22"/>
        </w:rPr>
        <w:t xml:space="preserve"> </w:t>
      </w:r>
      <w:r>
        <w:rPr>
          <w:rFonts w:cs="Arial"/>
          <w:sz w:val="22"/>
          <w:szCs w:val="22"/>
        </w:rPr>
        <w:t xml:space="preserve">has been no </w:t>
      </w:r>
      <w:r w:rsidRPr="0071450C">
        <w:rPr>
          <w:rFonts w:cs="Arial"/>
          <w:sz w:val="22"/>
          <w:szCs w:val="22"/>
        </w:rPr>
        <w:t>fishing in the area over the last 7-8 years</w:t>
      </w:r>
      <w:r>
        <w:rPr>
          <w:rFonts w:cs="Arial"/>
          <w:sz w:val="22"/>
          <w:szCs w:val="22"/>
        </w:rPr>
        <w:t>;</w:t>
      </w:r>
      <w:r w:rsidR="002C100E">
        <w:rPr>
          <w:rFonts w:cs="Arial"/>
          <w:sz w:val="22"/>
          <w:szCs w:val="22"/>
        </w:rPr>
        <w:t xml:space="preserve"> and</w:t>
      </w:r>
    </w:p>
    <w:p w14:paraId="216BAD52" w14:textId="26EC31B1" w:rsidR="00DA6B2E" w:rsidRDefault="00DA6B2E" w:rsidP="00891DE1">
      <w:pPr>
        <w:pStyle w:val="ListParagraph0"/>
        <w:numPr>
          <w:ilvl w:val="0"/>
          <w:numId w:val="522"/>
        </w:numPr>
        <w:rPr>
          <w:rFonts w:cs="Arial"/>
          <w:sz w:val="22"/>
          <w:szCs w:val="22"/>
        </w:rPr>
      </w:pPr>
      <w:r>
        <w:rPr>
          <w:rFonts w:cs="Arial"/>
          <w:sz w:val="22"/>
          <w:szCs w:val="22"/>
        </w:rPr>
        <w:t xml:space="preserve">The potential importance of </w:t>
      </w:r>
      <w:r w:rsidRPr="0071450C">
        <w:rPr>
          <w:rFonts w:cs="Arial"/>
          <w:sz w:val="22"/>
          <w:szCs w:val="22"/>
        </w:rPr>
        <w:t xml:space="preserve">the proposed acquisition area </w:t>
      </w:r>
      <w:r>
        <w:rPr>
          <w:rFonts w:cs="Arial"/>
          <w:sz w:val="22"/>
          <w:szCs w:val="22"/>
        </w:rPr>
        <w:t xml:space="preserve">for future harvesting (and certainly a </w:t>
      </w:r>
      <w:r w:rsidRPr="00343535">
        <w:rPr>
          <w:rFonts w:cs="Arial"/>
          <w:sz w:val="22"/>
          <w:szCs w:val="22"/>
        </w:rPr>
        <w:t>201</w:t>
      </w:r>
      <w:r w:rsidR="002C100E">
        <w:rPr>
          <w:rFonts w:cs="Arial"/>
          <w:sz w:val="22"/>
          <w:szCs w:val="22"/>
        </w:rPr>
        <w:t>7</w:t>
      </w:r>
      <w:r w:rsidRPr="00343535">
        <w:rPr>
          <w:rFonts w:cs="Arial"/>
          <w:sz w:val="22"/>
          <w:szCs w:val="22"/>
        </w:rPr>
        <w:t>/1</w:t>
      </w:r>
      <w:r w:rsidR="002C100E">
        <w:rPr>
          <w:rFonts w:cs="Arial"/>
          <w:sz w:val="22"/>
          <w:szCs w:val="22"/>
        </w:rPr>
        <w:t>8</w:t>
      </w:r>
      <w:r w:rsidRPr="00343535">
        <w:rPr>
          <w:rFonts w:cs="Arial"/>
          <w:sz w:val="22"/>
          <w:szCs w:val="22"/>
        </w:rPr>
        <w:t xml:space="preserve"> </w:t>
      </w:r>
      <w:r>
        <w:rPr>
          <w:rFonts w:cs="Arial"/>
          <w:sz w:val="22"/>
          <w:szCs w:val="22"/>
        </w:rPr>
        <w:t>harvest)</w:t>
      </w:r>
      <w:r w:rsidRPr="00343535">
        <w:rPr>
          <w:rFonts w:cs="Arial"/>
          <w:sz w:val="22"/>
          <w:szCs w:val="22"/>
        </w:rPr>
        <w:t xml:space="preserve"> </w:t>
      </w:r>
      <w:r>
        <w:rPr>
          <w:rFonts w:cs="Arial"/>
          <w:sz w:val="22"/>
          <w:szCs w:val="22"/>
        </w:rPr>
        <w:t>is speculative</w:t>
      </w:r>
      <w:r w:rsidR="002C100E" w:rsidRPr="002C100E">
        <w:rPr>
          <w:rFonts w:cs="Arial"/>
          <w:sz w:val="22"/>
          <w:szCs w:val="22"/>
        </w:rPr>
        <w:t xml:space="preserve"> </w:t>
      </w:r>
      <w:r w:rsidR="002C100E">
        <w:rPr>
          <w:rFonts w:cs="Arial"/>
          <w:sz w:val="22"/>
          <w:szCs w:val="22"/>
        </w:rPr>
        <w:t>in the absence of a recent scallop fishery stock assessment (the last one was undertaken in 2012)</w:t>
      </w:r>
      <w:r>
        <w:rPr>
          <w:rFonts w:cs="Arial"/>
          <w:sz w:val="22"/>
          <w:szCs w:val="22"/>
        </w:rPr>
        <w:t>.</w:t>
      </w:r>
    </w:p>
    <w:p w14:paraId="3D570734" w14:textId="77777777" w:rsidR="001308B3" w:rsidRPr="00B700A9" w:rsidRDefault="001308B3" w:rsidP="001308B3">
      <w:pPr>
        <w:ind w:left="0"/>
        <w:rPr>
          <w:rFonts w:cs="Arial"/>
          <w:sz w:val="22"/>
          <w:szCs w:val="22"/>
        </w:rPr>
      </w:pPr>
    </w:p>
    <w:p w14:paraId="65A45027" w14:textId="77777777" w:rsidR="00D96A99" w:rsidRPr="00474E28" w:rsidRDefault="00D96A99" w:rsidP="00D96A99">
      <w:pPr>
        <w:ind w:left="0"/>
        <w:rPr>
          <w:rFonts w:cs="Arial"/>
          <w:sz w:val="22"/>
          <w:szCs w:val="22"/>
        </w:rPr>
      </w:pPr>
      <w:r w:rsidRPr="00474E28">
        <w:rPr>
          <w:rFonts w:cs="Arial"/>
          <w:sz w:val="22"/>
          <w:szCs w:val="22"/>
        </w:rPr>
        <w:t xml:space="preserve">Potential impacts to </w:t>
      </w:r>
      <w:r>
        <w:rPr>
          <w:rFonts w:cs="Arial"/>
          <w:sz w:val="22"/>
          <w:szCs w:val="22"/>
        </w:rPr>
        <w:t xml:space="preserve">commercial </w:t>
      </w:r>
      <w:r w:rsidRPr="00474E28">
        <w:rPr>
          <w:rFonts w:cs="Arial"/>
          <w:sz w:val="22"/>
          <w:szCs w:val="22"/>
        </w:rPr>
        <w:t xml:space="preserve">fishers during the survey period (all of which may result in varying short-term economic impacts depending on how individual fishers operate) include: </w:t>
      </w:r>
      <w:r w:rsidRPr="00474E28">
        <w:rPr>
          <w:rFonts w:cs="Arial"/>
          <w:sz w:val="22"/>
          <w:szCs w:val="22"/>
        </w:rPr>
        <w:br/>
      </w:r>
    </w:p>
    <w:p w14:paraId="6BA3C9CC" w14:textId="77777777" w:rsidR="00D96A99" w:rsidRPr="00474E28" w:rsidRDefault="00D96A99" w:rsidP="00D96A99">
      <w:pPr>
        <w:pStyle w:val="ColorfulList-Accent11"/>
        <w:numPr>
          <w:ilvl w:val="0"/>
          <w:numId w:val="179"/>
        </w:numPr>
        <w:rPr>
          <w:rFonts w:cs="Arial"/>
          <w:sz w:val="22"/>
          <w:szCs w:val="22"/>
        </w:rPr>
      </w:pPr>
      <w:r w:rsidRPr="00474E28">
        <w:rPr>
          <w:rFonts w:cs="Arial"/>
          <w:sz w:val="22"/>
          <w:szCs w:val="22"/>
        </w:rPr>
        <w:t xml:space="preserve">Disruption: inability to fish in the operational area during the survey period; </w:t>
      </w:r>
    </w:p>
    <w:p w14:paraId="05818AF4" w14:textId="77777777" w:rsidR="00D96A99" w:rsidRPr="00474E28" w:rsidRDefault="00D96A99" w:rsidP="00D96A99">
      <w:pPr>
        <w:pStyle w:val="ColorfulList-Accent11"/>
        <w:numPr>
          <w:ilvl w:val="0"/>
          <w:numId w:val="179"/>
        </w:numPr>
        <w:rPr>
          <w:rFonts w:cs="Arial"/>
          <w:sz w:val="22"/>
          <w:szCs w:val="22"/>
        </w:rPr>
      </w:pPr>
      <w:r w:rsidRPr="00474E28">
        <w:rPr>
          <w:rFonts w:cs="Arial"/>
          <w:sz w:val="22"/>
          <w:szCs w:val="22"/>
        </w:rPr>
        <w:t xml:space="preserve">Inability to substitute/mitigate: inability to simply fish elsewhere (i.e., substitute) without a risk of lower CPUE; </w:t>
      </w:r>
    </w:p>
    <w:p w14:paraId="55BC5F12" w14:textId="77777777" w:rsidR="00D96A99" w:rsidRPr="00474E28" w:rsidRDefault="00D96A99" w:rsidP="00D96A99">
      <w:pPr>
        <w:pStyle w:val="ColorfulList-Accent11"/>
        <w:numPr>
          <w:ilvl w:val="0"/>
          <w:numId w:val="179"/>
        </w:numPr>
        <w:rPr>
          <w:rFonts w:cs="Arial"/>
          <w:sz w:val="22"/>
          <w:szCs w:val="22"/>
        </w:rPr>
      </w:pPr>
      <w:r w:rsidRPr="00474E28">
        <w:rPr>
          <w:rFonts w:cs="Arial"/>
          <w:sz w:val="22"/>
          <w:szCs w:val="22"/>
        </w:rPr>
        <w:t>Inability to substitute/mitigate (timing can impact price): even if a fisher could substitute by fishing at a different time in the season (e.g., before or after the survey) and achieve the same catch and CPUE, it may be at a time when the beach price is lower; and</w:t>
      </w:r>
    </w:p>
    <w:p w14:paraId="36982ABA" w14:textId="77777777" w:rsidR="00D96A99" w:rsidRPr="00474E28" w:rsidRDefault="00D96A99" w:rsidP="00D96A99">
      <w:pPr>
        <w:pStyle w:val="ColorfulList-Accent11"/>
        <w:numPr>
          <w:ilvl w:val="0"/>
          <w:numId w:val="179"/>
        </w:numPr>
        <w:rPr>
          <w:rFonts w:cs="Arial"/>
          <w:sz w:val="22"/>
          <w:szCs w:val="22"/>
        </w:rPr>
      </w:pPr>
      <w:r w:rsidRPr="00474E28">
        <w:rPr>
          <w:rFonts w:cs="Arial"/>
          <w:sz w:val="22"/>
          <w:szCs w:val="22"/>
        </w:rPr>
        <w:t xml:space="preserve">Displacement: disrupted fishers may fish elsewhere, displacing other fishers and resulting in a risk of lower catch rates or lower CPUE for both categories of fisher (which can also threaten the well understood protocols adopted by the fishers in terms of where they usually fish). </w:t>
      </w:r>
    </w:p>
    <w:p w14:paraId="524CC166" w14:textId="77777777" w:rsidR="00D96A99" w:rsidRDefault="00D96A99" w:rsidP="001375FE">
      <w:pPr>
        <w:ind w:left="0"/>
        <w:rPr>
          <w:rFonts w:cs="Arial"/>
          <w:i/>
          <w:sz w:val="22"/>
          <w:szCs w:val="22"/>
        </w:rPr>
      </w:pPr>
    </w:p>
    <w:p w14:paraId="4EBC2B02" w14:textId="77777777" w:rsidR="001308B3" w:rsidRPr="00B700A9" w:rsidRDefault="001308B3" w:rsidP="001308B3">
      <w:pPr>
        <w:spacing w:after="120" w:line="240" w:lineRule="auto"/>
        <w:ind w:left="0"/>
        <w:rPr>
          <w:rFonts w:cs="Arial"/>
          <w:b/>
          <w:sz w:val="22"/>
          <w:szCs w:val="22"/>
        </w:rPr>
      </w:pPr>
      <w:r w:rsidRPr="00B700A9">
        <w:rPr>
          <w:rFonts w:cs="Arial"/>
          <w:b/>
          <w:sz w:val="22"/>
          <w:szCs w:val="22"/>
        </w:rPr>
        <w:t>Southern Rock Lobster</w:t>
      </w:r>
    </w:p>
    <w:p w14:paraId="23CAD2C1" w14:textId="77777777" w:rsidR="001308B3" w:rsidRDefault="001308B3" w:rsidP="001308B3">
      <w:pPr>
        <w:ind w:left="0"/>
        <w:rPr>
          <w:rFonts w:cs="Arial"/>
          <w:sz w:val="22"/>
          <w:szCs w:val="22"/>
        </w:rPr>
      </w:pPr>
      <w:r w:rsidRPr="00B700A9">
        <w:rPr>
          <w:rFonts w:cs="Arial"/>
          <w:sz w:val="22"/>
          <w:szCs w:val="22"/>
        </w:rPr>
        <w:t xml:space="preserve">As identified in Chapter 4, potential impacts to commercial </w:t>
      </w:r>
      <w:r>
        <w:rPr>
          <w:rFonts w:cs="Arial"/>
          <w:sz w:val="22"/>
          <w:szCs w:val="22"/>
        </w:rPr>
        <w:t>rock lobster</w:t>
      </w:r>
      <w:r w:rsidRPr="00B700A9">
        <w:rPr>
          <w:rFonts w:cs="Arial"/>
          <w:sz w:val="22"/>
          <w:szCs w:val="22"/>
        </w:rPr>
        <w:t xml:space="preserve"> catch is a key concern expressed </w:t>
      </w:r>
      <w:r>
        <w:rPr>
          <w:rFonts w:cs="Arial"/>
          <w:sz w:val="22"/>
          <w:szCs w:val="22"/>
        </w:rPr>
        <w:t xml:space="preserve">by the VRLA and SIV. </w:t>
      </w:r>
      <w:r w:rsidRPr="00B700A9">
        <w:rPr>
          <w:rFonts w:cs="Arial"/>
          <w:sz w:val="22"/>
          <w:szCs w:val="22"/>
        </w:rPr>
        <w:t xml:space="preserve">This section provides a </w:t>
      </w:r>
      <w:r>
        <w:rPr>
          <w:rFonts w:cs="Arial"/>
          <w:sz w:val="22"/>
          <w:szCs w:val="22"/>
        </w:rPr>
        <w:t>commercial southern rock lobster (</w:t>
      </w:r>
      <w:r w:rsidRPr="006E7471">
        <w:rPr>
          <w:rFonts w:cs="Arial"/>
          <w:i/>
          <w:sz w:val="22"/>
          <w:szCs w:val="22"/>
        </w:rPr>
        <w:t>Jasus edwardsii</w:t>
      </w:r>
      <w:r>
        <w:rPr>
          <w:rFonts w:cs="Arial"/>
          <w:sz w:val="22"/>
          <w:szCs w:val="22"/>
        </w:rPr>
        <w:t xml:space="preserve">) </w:t>
      </w:r>
      <w:r w:rsidRPr="00B700A9">
        <w:rPr>
          <w:rFonts w:cs="Arial"/>
          <w:sz w:val="22"/>
          <w:szCs w:val="22"/>
        </w:rPr>
        <w:t>fishery-specific discussion of potential impacts.</w:t>
      </w:r>
    </w:p>
    <w:p w14:paraId="37040696" w14:textId="77777777" w:rsidR="001308B3" w:rsidRDefault="001308B3" w:rsidP="001308B3">
      <w:pPr>
        <w:ind w:left="0"/>
        <w:rPr>
          <w:rFonts w:cs="Arial"/>
          <w:sz w:val="22"/>
          <w:szCs w:val="22"/>
        </w:rPr>
      </w:pPr>
    </w:p>
    <w:p w14:paraId="307D857B" w14:textId="77777777" w:rsidR="001308B3" w:rsidRDefault="001308B3" w:rsidP="001308B3">
      <w:pPr>
        <w:spacing w:after="120" w:line="240" w:lineRule="auto"/>
        <w:ind w:left="0"/>
        <w:rPr>
          <w:rFonts w:cs="Arial"/>
          <w:sz w:val="22"/>
          <w:szCs w:val="22"/>
        </w:rPr>
      </w:pPr>
      <w:r>
        <w:rPr>
          <w:rFonts w:cs="Arial"/>
          <w:sz w:val="22"/>
          <w:szCs w:val="22"/>
        </w:rPr>
        <w:t xml:space="preserve">It is important to note that for context in this discussion: </w:t>
      </w:r>
    </w:p>
    <w:p w14:paraId="5A76831E" w14:textId="77777777" w:rsidR="001308B3" w:rsidRDefault="001308B3" w:rsidP="001308B3">
      <w:pPr>
        <w:pStyle w:val="ColorfulList-Accent11"/>
        <w:numPr>
          <w:ilvl w:val="0"/>
          <w:numId w:val="180"/>
        </w:numPr>
        <w:rPr>
          <w:rFonts w:cs="Arial"/>
          <w:sz w:val="22"/>
          <w:szCs w:val="22"/>
        </w:rPr>
      </w:pPr>
      <w:r w:rsidRPr="00630250">
        <w:rPr>
          <w:rFonts w:cs="Arial"/>
          <w:sz w:val="22"/>
          <w:szCs w:val="22"/>
        </w:rPr>
        <w:t xml:space="preserve">The </w:t>
      </w:r>
      <w:r>
        <w:rPr>
          <w:rFonts w:cs="Arial"/>
          <w:sz w:val="22"/>
          <w:szCs w:val="22"/>
        </w:rPr>
        <w:t>proposed acquisition</w:t>
      </w:r>
      <w:r w:rsidRPr="00630250">
        <w:rPr>
          <w:rFonts w:cs="Arial"/>
          <w:sz w:val="22"/>
          <w:szCs w:val="22"/>
        </w:rPr>
        <w:t xml:space="preserve"> area intersects </w:t>
      </w:r>
      <w:r>
        <w:rPr>
          <w:rFonts w:cs="Arial"/>
          <w:sz w:val="22"/>
          <w:szCs w:val="22"/>
        </w:rPr>
        <w:t>0.26</w:t>
      </w:r>
      <w:r w:rsidRPr="00630250">
        <w:rPr>
          <w:rFonts w:cs="Arial"/>
          <w:sz w:val="22"/>
          <w:szCs w:val="22"/>
        </w:rPr>
        <w:t>% of this fishery</w:t>
      </w:r>
      <w:r>
        <w:rPr>
          <w:rFonts w:cs="Arial"/>
          <w:sz w:val="22"/>
          <w:szCs w:val="22"/>
        </w:rPr>
        <w:t xml:space="preserve"> and the operational area intersects 0.52% of the fishery by area (both calculations based on the fishery’s eastern zone)</w:t>
      </w:r>
      <w:r w:rsidRPr="00630250">
        <w:rPr>
          <w:rFonts w:cs="Arial"/>
          <w:sz w:val="22"/>
          <w:szCs w:val="22"/>
        </w:rPr>
        <w:t xml:space="preserve">; </w:t>
      </w:r>
    </w:p>
    <w:p w14:paraId="0F910206" w14:textId="7FB0D6C9" w:rsidR="001308B3" w:rsidRDefault="001308B3" w:rsidP="001308B3">
      <w:pPr>
        <w:pStyle w:val="ColorfulList-Accent11"/>
        <w:numPr>
          <w:ilvl w:val="0"/>
          <w:numId w:val="180"/>
        </w:numPr>
        <w:rPr>
          <w:rFonts w:cs="Arial"/>
          <w:sz w:val="22"/>
          <w:szCs w:val="22"/>
        </w:rPr>
      </w:pPr>
      <w:r>
        <w:rPr>
          <w:rFonts w:cs="Arial"/>
          <w:sz w:val="22"/>
          <w:szCs w:val="22"/>
        </w:rPr>
        <w:t>Anecdotal information indicates that only a very small section of reef within the proposed acquisition area is fished for rock lobsters</w:t>
      </w:r>
      <w:r w:rsidR="00DB4FF4">
        <w:rPr>
          <w:rFonts w:cs="Arial"/>
          <w:sz w:val="22"/>
          <w:szCs w:val="22"/>
        </w:rPr>
        <w:t xml:space="preserve"> (within Victorian state waters)</w:t>
      </w:r>
      <w:r>
        <w:rPr>
          <w:rFonts w:cs="Arial"/>
          <w:sz w:val="22"/>
          <w:szCs w:val="22"/>
        </w:rPr>
        <w:t xml:space="preserve">; </w:t>
      </w:r>
    </w:p>
    <w:p w14:paraId="490757C7" w14:textId="57FEC846" w:rsidR="001308B3" w:rsidRPr="00630250" w:rsidRDefault="001308B3" w:rsidP="001308B3">
      <w:pPr>
        <w:pStyle w:val="ColorfulList-Accent11"/>
        <w:numPr>
          <w:ilvl w:val="0"/>
          <w:numId w:val="180"/>
        </w:numPr>
        <w:rPr>
          <w:rFonts w:cs="Arial"/>
          <w:sz w:val="22"/>
          <w:szCs w:val="22"/>
        </w:rPr>
      </w:pPr>
      <w:r>
        <w:rPr>
          <w:rFonts w:cs="Arial"/>
          <w:sz w:val="22"/>
          <w:szCs w:val="22"/>
        </w:rPr>
        <w:t>There is a low catch rate for the proposed acquisition area (with catch value representing less than 1% of the annual value of the fishery in the Eastern Zone); and</w:t>
      </w:r>
      <w:r w:rsidRPr="00630250">
        <w:rPr>
          <w:rFonts w:cs="Arial"/>
          <w:sz w:val="22"/>
          <w:szCs w:val="22"/>
        </w:rPr>
        <w:t xml:space="preserve"> </w:t>
      </w:r>
    </w:p>
    <w:p w14:paraId="39BF3E97" w14:textId="3E2CCEB0" w:rsidR="001308B3" w:rsidRPr="00B700A9" w:rsidRDefault="001308B3" w:rsidP="001308B3">
      <w:pPr>
        <w:pStyle w:val="ColorfulList-Accent11"/>
        <w:numPr>
          <w:ilvl w:val="0"/>
          <w:numId w:val="180"/>
        </w:numPr>
        <w:rPr>
          <w:rFonts w:cs="Arial"/>
          <w:sz w:val="22"/>
          <w:szCs w:val="22"/>
        </w:rPr>
      </w:pPr>
      <w:r>
        <w:rPr>
          <w:rFonts w:cs="Arial"/>
          <w:sz w:val="22"/>
          <w:szCs w:val="22"/>
        </w:rPr>
        <w:t>The marine environmental survey commissioned by CarbonNet and undertaken in April 2017 found few areas of reef suitable as rock lobster habitat, and in these areas, no rock lobsters were observed</w:t>
      </w:r>
      <w:r w:rsidR="00DB4FF4">
        <w:rPr>
          <w:rFonts w:cs="Arial"/>
          <w:sz w:val="22"/>
          <w:szCs w:val="22"/>
        </w:rPr>
        <w:t xml:space="preserve"> (see Section 5.4.1)</w:t>
      </w:r>
      <w:r>
        <w:rPr>
          <w:rFonts w:cs="Arial"/>
          <w:sz w:val="22"/>
          <w:szCs w:val="22"/>
        </w:rPr>
        <w:t xml:space="preserve">. </w:t>
      </w:r>
      <w:r w:rsidRPr="00B700A9">
        <w:rPr>
          <w:rFonts w:cs="Arial"/>
          <w:sz w:val="22"/>
          <w:szCs w:val="22"/>
        </w:rPr>
        <w:t xml:space="preserve"> </w:t>
      </w:r>
    </w:p>
    <w:p w14:paraId="78D103C3" w14:textId="77777777" w:rsidR="001308B3" w:rsidRPr="00B700A9" w:rsidRDefault="001308B3" w:rsidP="001308B3">
      <w:pPr>
        <w:ind w:left="0"/>
        <w:rPr>
          <w:rFonts w:cs="Arial"/>
          <w:sz w:val="22"/>
          <w:szCs w:val="22"/>
        </w:rPr>
      </w:pPr>
    </w:p>
    <w:p w14:paraId="058A590A" w14:textId="77777777" w:rsidR="001308B3" w:rsidRPr="00B700A9" w:rsidRDefault="001308B3" w:rsidP="001308B3">
      <w:pPr>
        <w:ind w:left="0"/>
        <w:rPr>
          <w:rFonts w:cs="Arial"/>
          <w:sz w:val="22"/>
          <w:szCs w:val="22"/>
        </w:rPr>
      </w:pPr>
      <w:r w:rsidRPr="00B700A9">
        <w:rPr>
          <w:rFonts w:cs="Arial"/>
          <w:sz w:val="22"/>
          <w:szCs w:val="22"/>
        </w:rPr>
        <w:t>Southern rock lobster has been commercially fished prior to seismic surveys commenced in the Bass Strait in the early 1960s. Studies on the effects of 33 seismic surveys undertaken between 1978 and 2003 on the southern rock lobster fishery in the waters off southwest Victoria did not find any impacts to the catch rates of rock lobsters in the weeks and years after the surveys (Parry &amp; Gason, 2006).</w:t>
      </w:r>
    </w:p>
    <w:p w14:paraId="2786783A" w14:textId="77777777" w:rsidR="001308B3" w:rsidRPr="00B700A9" w:rsidRDefault="001308B3" w:rsidP="001308B3">
      <w:pPr>
        <w:ind w:left="0"/>
        <w:rPr>
          <w:rFonts w:cs="Arial"/>
          <w:sz w:val="22"/>
          <w:szCs w:val="22"/>
        </w:rPr>
      </w:pPr>
    </w:p>
    <w:p w14:paraId="6CBF0742" w14:textId="77777777" w:rsidR="001308B3" w:rsidRPr="00B700A9" w:rsidRDefault="001308B3" w:rsidP="001308B3">
      <w:pPr>
        <w:ind w:left="0"/>
        <w:rPr>
          <w:rFonts w:cs="Arial"/>
          <w:sz w:val="22"/>
          <w:szCs w:val="22"/>
        </w:rPr>
      </w:pPr>
      <w:r w:rsidRPr="00B700A9">
        <w:rPr>
          <w:rFonts w:cs="Arial"/>
          <w:sz w:val="22"/>
          <w:szCs w:val="22"/>
        </w:rPr>
        <w:lastRenderedPageBreak/>
        <w:t xml:space="preserve">A decline in the abundance of southern rock lobster has been extensively documented throughout the entire range off southern Australia, inferred either from the results of stock assessments or from trends in puerulus and catch rates (Linnane </w:t>
      </w:r>
      <w:r w:rsidRPr="00B700A9">
        <w:rPr>
          <w:rFonts w:cs="Arial"/>
          <w:i/>
          <w:sz w:val="22"/>
          <w:szCs w:val="22"/>
        </w:rPr>
        <w:t>et al</w:t>
      </w:r>
      <w:r w:rsidRPr="00B700A9">
        <w:rPr>
          <w:rFonts w:cs="Arial"/>
          <w:sz w:val="22"/>
          <w:szCs w:val="22"/>
        </w:rPr>
        <w:t xml:space="preserve">., 2010). One of the factors for this decline is a high commercial harvest rate (&gt;40% in many years in some areas) (Punt </w:t>
      </w:r>
      <w:r w:rsidRPr="00B700A9">
        <w:rPr>
          <w:rFonts w:cs="Arial"/>
          <w:i/>
          <w:sz w:val="22"/>
          <w:szCs w:val="22"/>
        </w:rPr>
        <w:t>et al</w:t>
      </w:r>
      <w:r w:rsidRPr="00B700A9">
        <w:rPr>
          <w:rFonts w:cs="Arial"/>
          <w:sz w:val="22"/>
          <w:szCs w:val="22"/>
        </w:rPr>
        <w:t>., 201</w:t>
      </w:r>
      <w:r>
        <w:rPr>
          <w:rFonts w:cs="Arial"/>
          <w:sz w:val="22"/>
          <w:szCs w:val="22"/>
        </w:rPr>
        <w:t>2</w:t>
      </w:r>
      <w:r w:rsidRPr="00B700A9">
        <w:rPr>
          <w:rFonts w:cs="Arial"/>
          <w:sz w:val="22"/>
          <w:szCs w:val="22"/>
        </w:rPr>
        <w:t xml:space="preserve">). There is strong evidence for rapid increase in lobster abundance following removal of fishing pressure (e.g., MacDiarmid &amp; Breen, 1993 and Barrett </w:t>
      </w:r>
      <w:r w:rsidRPr="00B700A9">
        <w:rPr>
          <w:rFonts w:cs="Arial"/>
          <w:i/>
          <w:sz w:val="22"/>
          <w:szCs w:val="22"/>
        </w:rPr>
        <w:t>et al</w:t>
      </w:r>
      <w:r w:rsidRPr="00B700A9">
        <w:rPr>
          <w:rFonts w:cs="Arial"/>
          <w:sz w:val="22"/>
          <w:szCs w:val="22"/>
        </w:rPr>
        <w:t xml:space="preserve">., 2009). </w:t>
      </w:r>
    </w:p>
    <w:p w14:paraId="77866609" w14:textId="77777777" w:rsidR="001308B3" w:rsidRPr="00B700A9" w:rsidRDefault="001308B3" w:rsidP="001308B3">
      <w:pPr>
        <w:ind w:left="0"/>
        <w:rPr>
          <w:rFonts w:cs="Arial"/>
          <w:sz w:val="22"/>
          <w:szCs w:val="22"/>
        </w:rPr>
      </w:pPr>
    </w:p>
    <w:p w14:paraId="7A05593B" w14:textId="77777777" w:rsidR="001308B3" w:rsidRPr="00B700A9" w:rsidRDefault="001308B3" w:rsidP="001308B3">
      <w:pPr>
        <w:spacing w:after="120" w:line="240" w:lineRule="auto"/>
        <w:ind w:left="0"/>
        <w:rPr>
          <w:rFonts w:cs="Arial"/>
          <w:sz w:val="22"/>
          <w:szCs w:val="22"/>
        </w:rPr>
      </w:pPr>
      <w:r w:rsidRPr="00B700A9">
        <w:rPr>
          <w:rFonts w:cs="Arial"/>
          <w:sz w:val="22"/>
          <w:szCs w:val="22"/>
        </w:rPr>
        <w:t xml:space="preserve">In addition to fisheries impacts, recent simultaneous patterns of decline across the Australian range of the southern rock lobster have led various authors (e.g., Linnane </w:t>
      </w:r>
      <w:r w:rsidRPr="00B700A9">
        <w:rPr>
          <w:rFonts w:cs="Arial"/>
          <w:i/>
          <w:sz w:val="22"/>
          <w:szCs w:val="22"/>
        </w:rPr>
        <w:t>et al</w:t>
      </w:r>
      <w:r w:rsidRPr="00B700A9">
        <w:rPr>
          <w:rFonts w:cs="Arial"/>
          <w:sz w:val="22"/>
          <w:szCs w:val="22"/>
        </w:rPr>
        <w:t xml:space="preserve">., 2010 and Punt </w:t>
      </w:r>
      <w:r w:rsidRPr="00B700A9">
        <w:rPr>
          <w:rFonts w:cs="Arial"/>
          <w:i/>
          <w:sz w:val="22"/>
          <w:szCs w:val="22"/>
        </w:rPr>
        <w:t>et al</w:t>
      </w:r>
      <w:r w:rsidRPr="00B700A9">
        <w:rPr>
          <w:rFonts w:cs="Arial"/>
          <w:sz w:val="22"/>
          <w:szCs w:val="22"/>
        </w:rPr>
        <w:t>., 201</w:t>
      </w:r>
      <w:r>
        <w:rPr>
          <w:rFonts w:cs="Arial"/>
          <w:sz w:val="22"/>
          <w:szCs w:val="22"/>
        </w:rPr>
        <w:t>2</w:t>
      </w:r>
      <w:r w:rsidRPr="00B700A9">
        <w:rPr>
          <w:rFonts w:cs="Arial"/>
          <w:sz w:val="22"/>
          <w:szCs w:val="22"/>
        </w:rPr>
        <w:t>) to suggest that large-scale environmental influences may be playing a role. As summarised in Punt et al (201</w:t>
      </w:r>
      <w:r>
        <w:rPr>
          <w:rFonts w:cs="Arial"/>
          <w:sz w:val="22"/>
          <w:szCs w:val="22"/>
        </w:rPr>
        <w:t>2</w:t>
      </w:r>
      <w:r w:rsidRPr="00B700A9">
        <w:rPr>
          <w:rFonts w:cs="Arial"/>
          <w:sz w:val="22"/>
          <w:szCs w:val="22"/>
        </w:rPr>
        <w:t xml:space="preserve">), there are several possible mechanisms by which large-scale environmental change can impact the dynamics of lobster populations including, including the impacts of: </w:t>
      </w:r>
    </w:p>
    <w:p w14:paraId="3A3D3747" w14:textId="77777777" w:rsidR="001308B3" w:rsidRPr="00B700A9" w:rsidRDefault="001308B3" w:rsidP="001308B3">
      <w:pPr>
        <w:pStyle w:val="ColorfulList-Accent11"/>
        <w:numPr>
          <w:ilvl w:val="0"/>
          <w:numId w:val="179"/>
        </w:numPr>
        <w:rPr>
          <w:rFonts w:cs="Arial"/>
          <w:sz w:val="22"/>
          <w:szCs w:val="22"/>
        </w:rPr>
      </w:pPr>
      <w:r w:rsidRPr="00B700A9">
        <w:rPr>
          <w:rFonts w:cs="Arial"/>
          <w:sz w:val="22"/>
          <w:szCs w:val="22"/>
        </w:rPr>
        <w:t xml:space="preserve">Temperature on larval survival and growth; </w:t>
      </w:r>
    </w:p>
    <w:p w14:paraId="597E6899" w14:textId="77777777" w:rsidR="001308B3" w:rsidRPr="00B700A9" w:rsidRDefault="001308B3" w:rsidP="001308B3">
      <w:pPr>
        <w:pStyle w:val="ColorfulList-Accent11"/>
        <w:numPr>
          <w:ilvl w:val="0"/>
          <w:numId w:val="179"/>
        </w:numPr>
        <w:rPr>
          <w:rFonts w:cs="Arial"/>
          <w:sz w:val="22"/>
          <w:szCs w:val="22"/>
        </w:rPr>
      </w:pPr>
      <w:r w:rsidRPr="00B700A9">
        <w:rPr>
          <w:rFonts w:cs="Arial"/>
          <w:sz w:val="22"/>
          <w:szCs w:val="22"/>
        </w:rPr>
        <w:t xml:space="preserve">Changing ocean currents on recruitment due to the lengthy pelagic phase; and </w:t>
      </w:r>
    </w:p>
    <w:p w14:paraId="617F8C33" w14:textId="77777777" w:rsidR="001308B3" w:rsidRPr="00B700A9" w:rsidRDefault="001308B3" w:rsidP="001308B3">
      <w:pPr>
        <w:pStyle w:val="ColorfulList-Accent11"/>
        <w:numPr>
          <w:ilvl w:val="0"/>
          <w:numId w:val="179"/>
        </w:numPr>
        <w:rPr>
          <w:rFonts w:cs="Arial"/>
          <w:sz w:val="22"/>
          <w:szCs w:val="22"/>
        </w:rPr>
      </w:pPr>
      <w:r w:rsidRPr="00B700A9">
        <w:rPr>
          <w:rFonts w:cs="Arial"/>
          <w:sz w:val="22"/>
          <w:szCs w:val="22"/>
        </w:rPr>
        <w:t xml:space="preserve">Upwelling intensity, where extreme cold-water events reduce growth rates of adult lobsters. </w:t>
      </w:r>
    </w:p>
    <w:p w14:paraId="75325977" w14:textId="77777777" w:rsidR="001308B3" w:rsidRPr="00B700A9" w:rsidRDefault="001308B3" w:rsidP="001308B3">
      <w:pPr>
        <w:pStyle w:val="ColorfulList-Accent11"/>
        <w:numPr>
          <w:ilvl w:val="0"/>
          <w:numId w:val="179"/>
        </w:numPr>
        <w:spacing w:after="240" w:line="240" w:lineRule="auto"/>
        <w:ind w:left="714" w:hanging="357"/>
        <w:rPr>
          <w:rFonts w:cs="Arial"/>
          <w:sz w:val="22"/>
          <w:szCs w:val="22"/>
        </w:rPr>
      </w:pPr>
      <w:r w:rsidRPr="00B700A9">
        <w:rPr>
          <w:rFonts w:cs="Arial"/>
          <w:sz w:val="22"/>
          <w:szCs w:val="22"/>
        </w:rPr>
        <w:t xml:space="preserve">A reduction in kelp habitat driven by climatic changes has also been identified as a potential cause of reduced puerulus settlement in waters off eastern Tasmania (Hinojosa </w:t>
      </w:r>
      <w:r w:rsidRPr="00B700A9">
        <w:rPr>
          <w:rFonts w:cs="Arial"/>
          <w:i/>
          <w:sz w:val="22"/>
          <w:szCs w:val="22"/>
        </w:rPr>
        <w:t>et al</w:t>
      </w:r>
      <w:r w:rsidRPr="00B700A9">
        <w:rPr>
          <w:rFonts w:cs="Arial"/>
          <w:sz w:val="22"/>
          <w:szCs w:val="22"/>
        </w:rPr>
        <w:t>., 2014).</w:t>
      </w:r>
    </w:p>
    <w:p w14:paraId="279F1B60" w14:textId="0FA04D80" w:rsidR="001308B3" w:rsidRPr="00B700A9" w:rsidRDefault="001308B3" w:rsidP="001308B3">
      <w:pPr>
        <w:ind w:left="0"/>
        <w:rPr>
          <w:rFonts w:cs="Arial"/>
          <w:sz w:val="22"/>
          <w:szCs w:val="22"/>
        </w:rPr>
      </w:pPr>
      <w:r w:rsidRPr="00B700A9">
        <w:rPr>
          <w:rFonts w:cs="Arial"/>
          <w:sz w:val="22"/>
          <w:szCs w:val="22"/>
        </w:rPr>
        <w:t>Similarly, investigations into sustained below</w:t>
      </w:r>
      <w:r w:rsidR="00251A06">
        <w:rPr>
          <w:rFonts w:cs="Arial"/>
          <w:sz w:val="22"/>
          <w:szCs w:val="22"/>
        </w:rPr>
        <w:t>-</w:t>
      </w:r>
      <w:r w:rsidRPr="00B700A9">
        <w:rPr>
          <w:rFonts w:cs="Arial"/>
          <w:sz w:val="22"/>
          <w:szCs w:val="22"/>
        </w:rPr>
        <w:t xml:space="preserve">average puerulus settlement of western rock lobster have concluded that the decline is most likely driven by higher water temperatures at the time of the onset of spawning (October) since the mid-2000s. Statistical analysis shows that most (71%) of the variation in puerulus settlement was explained by the timing of spawning, storm activity during autumn/spring, and offshore water temperatures in February (Caputi </w:t>
      </w:r>
      <w:r w:rsidRPr="00B700A9">
        <w:rPr>
          <w:rFonts w:cs="Arial"/>
          <w:i/>
          <w:sz w:val="22"/>
          <w:szCs w:val="22"/>
        </w:rPr>
        <w:t>et al</w:t>
      </w:r>
      <w:r w:rsidRPr="00B700A9">
        <w:rPr>
          <w:rFonts w:cs="Arial"/>
          <w:sz w:val="22"/>
          <w:szCs w:val="22"/>
        </w:rPr>
        <w:t>., 2014).</w:t>
      </w:r>
    </w:p>
    <w:p w14:paraId="1DE9EFFE" w14:textId="77777777" w:rsidR="001308B3" w:rsidRPr="00B700A9" w:rsidRDefault="001308B3" w:rsidP="001308B3">
      <w:pPr>
        <w:ind w:left="0"/>
        <w:rPr>
          <w:rFonts w:cs="Arial"/>
          <w:sz w:val="22"/>
          <w:szCs w:val="22"/>
        </w:rPr>
      </w:pPr>
    </w:p>
    <w:p w14:paraId="32A8AD01" w14:textId="77777777" w:rsidR="001308B3" w:rsidRPr="00B700A9" w:rsidRDefault="001308B3" w:rsidP="001308B3">
      <w:pPr>
        <w:ind w:left="0"/>
        <w:rPr>
          <w:rFonts w:cs="Arial"/>
          <w:sz w:val="22"/>
          <w:szCs w:val="22"/>
        </w:rPr>
      </w:pPr>
      <w:r w:rsidRPr="00B700A9">
        <w:rPr>
          <w:rFonts w:cs="Arial"/>
          <w:sz w:val="22"/>
          <w:szCs w:val="22"/>
        </w:rPr>
        <w:t>Day et al (2016</w:t>
      </w:r>
      <w:r>
        <w:rPr>
          <w:rFonts w:cs="Arial"/>
          <w:sz w:val="22"/>
          <w:szCs w:val="22"/>
        </w:rPr>
        <w:t>a</w:t>
      </w:r>
      <w:r w:rsidRPr="00B700A9">
        <w:rPr>
          <w:rFonts w:cs="Arial"/>
          <w:sz w:val="22"/>
          <w:szCs w:val="22"/>
        </w:rPr>
        <w:t>) note that there was no effect from seismic exposure on lobster survival and the nutritional condition of control and exposed lobsters improved considerably during the prolonged (120-365 days) post-exposure period. They conclude that impacts to statocyst morphology, behavioural reflexes and immune response functions in adult lobsters with seismic exposure was relatively minor (see Section 7.1.1), but consequences may be greater for animal fitness in more difficult wild conditions.</w:t>
      </w:r>
    </w:p>
    <w:p w14:paraId="0C01CF04" w14:textId="77777777" w:rsidR="001308B3" w:rsidRPr="00B700A9" w:rsidRDefault="001308B3" w:rsidP="001308B3">
      <w:pPr>
        <w:ind w:left="0"/>
        <w:rPr>
          <w:rFonts w:cs="Arial"/>
          <w:sz w:val="22"/>
          <w:szCs w:val="22"/>
        </w:rPr>
      </w:pPr>
    </w:p>
    <w:p w14:paraId="3C6F8327" w14:textId="77777777" w:rsidR="001308B3" w:rsidRPr="00B700A9" w:rsidRDefault="001308B3" w:rsidP="001308B3">
      <w:pPr>
        <w:ind w:left="0"/>
        <w:rPr>
          <w:rFonts w:cs="Arial"/>
          <w:i/>
          <w:sz w:val="22"/>
          <w:szCs w:val="22"/>
        </w:rPr>
      </w:pPr>
      <w:r w:rsidRPr="00B700A9">
        <w:rPr>
          <w:rFonts w:cs="Arial"/>
          <w:i/>
          <w:sz w:val="22"/>
          <w:szCs w:val="22"/>
        </w:rPr>
        <w:t>Potential consequences of the sub-lethal effects in the Eastern zone (abundance and recruitment)</w:t>
      </w:r>
    </w:p>
    <w:p w14:paraId="1D073993" w14:textId="77777777" w:rsidR="001308B3" w:rsidRPr="00B700A9" w:rsidRDefault="001308B3" w:rsidP="001308B3">
      <w:pPr>
        <w:ind w:left="0"/>
        <w:rPr>
          <w:rFonts w:cs="Arial"/>
          <w:sz w:val="22"/>
          <w:szCs w:val="22"/>
        </w:rPr>
      </w:pPr>
    </w:p>
    <w:p w14:paraId="39387E0A" w14:textId="77777777" w:rsidR="001308B3" w:rsidRPr="00B700A9" w:rsidRDefault="001308B3" w:rsidP="001308B3">
      <w:pPr>
        <w:ind w:left="0"/>
        <w:rPr>
          <w:rFonts w:cs="Arial"/>
          <w:sz w:val="22"/>
          <w:szCs w:val="22"/>
        </w:rPr>
      </w:pPr>
      <w:r w:rsidRPr="00B700A9">
        <w:rPr>
          <w:rFonts w:cs="Arial"/>
          <w:sz w:val="22"/>
          <w:szCs w:val="22"/>
        </w:rPr>
        <w:t xml:space="preserve">The two features that are of most importance to determining </w:t>
      </w:r>
      <w:r>
        <w:rPr>
          <w:rFonts w:cs="Arial"/>
          <w:sz w:val="22"/>
          <w:szCs w:val="22"/>
        </w:rPr>
        <w:t>risks</w:t>
      </w:r>
      <w:r w:rsidRPr="00B700A9">
        <w:rPr>
          <w:rFonts w:cs="Arial"/>
          <w:sz w:val="22"/>
          <w:szCs w:val="22"/>
        </w:rPr>
        <w:t xml:space="preserve"> in the Eastern Zone of the Victorian southern rock lobster fish</w:t>
      </w:r>
      <w:r>
        <w:rPr>
          <w:rFonts w:cs="Arial"/>
          <w:sz w:val="22"/>
          <w:szCs w:val="22"/>
        </w:rPr>
        <w:t>er</w:t>
      </w:r>
      <w:r w:rsidRPr="00B700A9">
        <w:rPr>
          <w:rFonts w:cs="Arial"/>
          <w:sz w:val="22"/>
          <w:szCs w:val="22"/>
        </w:rPr>
        <w:t xml:space="preserve">y are abundance and recruitment. While not fully explored in the FRDC study (Day </w:t>
      </w:r>
      <w:r w:rsidRPr="00B700A9">
        <w:rPr>
          <w:rFonts w:cs="Arial"/>
          <w:i/>
          <w:sz w:val="22"/>
          <w:szCs w:val="22"/>
        </w:rPr>
        <w:t>et al</w:t>
      </w:r>
      <w:r w:rsidRPr="00B700A9">
        <w:rPr>
          <w:rFonts w:cs="Arial"/>
          <w:sz w:val="22"/>
          <w:szCs w:val="22"/>
        </w:rPr>
        <w:t>., 2016</w:t>
      </w:r>
      <w:r>
        <w:rPr>
          <w:rFonts w:cs="Arial"/>
          <w:sz w:val="22"/>
          <w:szCs w:val="22"/>
        </w:rPr>
        <w:t>a</w:t>
      </w:r>
      <w:r w:rsidRPr="00B700A9">
        <w:rPr>
          <w:rFonts w:cs="Arial"/>
          <w:sz w:val="22"/>
          <w:szCs w:val="22"/>
        </w:rPr>
        <w:t>), reduced mobility and immunity could impact survival of affected lobsters in the wild (and therefore abundance). For example, the study didn’t conclude whether the sub-lethal effects observed would reduce an affected lobster’s ability to compete for food or avoid predators. The FRDC report did conclude that early stage embryos showed no effect (and were resilient to exposure and that subsequent recruitment should be unaffected). However, it did not assess the effect of seismic exposure on hatched larvae in the water column.</w:t>
      </w:r>
    </w:p>
    <w:p w14:paraId="474823F8" w14:textId="77777777" w:rsidR="001308B3" w:rsidRPr="00B700A9" w:rsidRDefault="001308B3" w:rsidP="001308B3">
      <w:pPr>
        <w:ind w:left="0"/>
        <w:rPr>
          <w:rFonts w:cs="Arial"/>
          <w:sz w:val="22"/>
          <w:szCs w:val="22"/>
        </w:rPr>
      </w:pPr>
      <w:r w:rsidRPr="00B700A9">
        <w:rPr>
          <w:rFonts w:cs="Arial"/>
          <w:sz w:val="22"/>
          <w:szCs w:val="22"/>
        </w:rPr>
        <w:t xml:space="preserve"> </w:t>
      </w:r>
    </w:p>
    <w:p w14:paraId="3598AEDF" w14:textId="77777777" w:rsidR="001308B3" w:rsidRPr="00B700A9" w:rsidRDefault="001308B3" w:rsidP="001308B3">
      <w:pPr>
        <w:ind w:left="0"/>
        <w:rPr>
          <w:rFonts w:cs="Arial"/>
          <w:sz w:val="22"/>
          <w:szCs w:val="22"/>
        </w:rPr>
      </w:pPr>
      <w:r w:rsidRPr="00B700A9">
        <w:rPr>
          <w:rFonts w:cs="Arial"/>
          <w:sz w:val="22"/>
          <w:szCs w:val="22"/>
        </w:rPr>
        <w:lastRenderedPageBreak/>
        <w:t>Factors that mitigate against a material impact on larvae (and therefore recruitment) include:</w:t>
      </w:r>
    </w:p>
    <w:p w14:paraId="3D796951" w14:textId="77777777" w:rsidR="001308B3" w:rsidRPr="00B700A9" w:rsidRDefault="001308B3" w:rsidP="001308B3">
      <w:pPr>
        <w:ind w:left="0"/>
        <w:rPr>
          <w:rFonts w:cs="Arial"/>
          <w:sz w:val="22"/>
          <w:szCs w:val="22"/>
        </w:rPr>
      </w:pPr>
    </w:p>
    <w:p w14:paraId="75CA2D20" w14:textId="77777777" w:rsidR="001308B3" w:rsidRPr="00B700A9" w:rsidRDefault="001308B3" w:rsidP="001308B3">
      <w:pPr>
        <w:pStyle w:val="ColorfulList-Accent11"/>
        <w:numPr>
          <w:ilvl w:val="0"/>
          <w:numId w:val="179"/>
        </w:numPr>
        <w:rPr>
          <w:rFonts w:cs="Arial"/>
          <w:sz w:val="22"/>
          <w:szCs w:val="22"/>
        </w:rPr>
      </w:pPr>
      <w:r w:rsidRPr="00B700A9">
        <w:rPr>
          <w:rFonts w:cs="Arial"/>
          <w:sz w:val="22"/>
          <w:szCs w:val="22"/>
        </w:rPr>
        <w:t>The short duration of the survey (</w:t>
      </w:r>
      <w:r>
        <w:rPr>
          <w:rFonts w:cs="Arial"/>
          <w:sz w:val="22"/>
          <w:szCs w:val="22"/>
        </w:rPr>
        <w:t>13</w:t>
      </w:r>
      <w:r w:rsidRPr="00B700A9">
        <w:rPr>
          <w:rFonts w:cs="Arial"/>
          <w:sz w:val="22"/>
          <w:szCs w:val="22"/>
        </w:rPr>
        <w:t xml:space="preserve"> to </w:t>
      </w:r>
      <w:r>
        <w:rPr>
          <w:rFonts w:cs="Arial"/>
          <w:sz w:val="22"/>
          <w:szCs w:val="22"/>
        </w:rPr>
        <w:t>16</w:t>
      </w:r>
      <w:r w:rsidRPr="00B700A9">
        <w:rPr>
          <w:rFonts w:cs="Arial"/>
          <w:sz w:val="22"/>
          <w:szCs w:val="22"/>
        </w:rPr>
        <w:t xml:space="preserve"> days) relative to the breeding cycle (up to 90 days); </w:t>
      </w:r>
    </w:p>
    <w:p w14:paraId="6832299F" w14:textId="77777777" w:rsidR="001308B3" w:rsidRDefault="001308B3" w:rsidP="001308B3">
      <w:pPr>
        <w:pStyle w:val="ColorfulList-Accent11"/>
        <w:numPr>
          <w:ilvl w:val="0"/>
          <w:numId w:val="179"/>
        </w:numPr>
        <w:rPr>
          <w:rFonts w:cs="Arial"/>
          <w:sz w:val="22"/>
          <w:szCs w:val="22"/>
        </w:rPr>
      </w:pPr>
      <w:r>
        <w:rPr>
          <w:rFonts w:cs="Arial"/>
          <w:sz w:val="22"/>
          <w:szCs w:val="22"/>
        </w:rPr>
        <w:t>The limited extent of key rock lobster habitat in the operational area;</w:t>
      </w:r>
    </w:p>
    <w:p w14:paraId="6773A27C" w14:textId="77777777" w:rsidR="001308B3" w:rsidRPr="00B700A9" w:rsidRDefault="001308B3" w:rsidP="001308B3">
      <w:pPr>
        <w:pStyle w:val="ColorfulList-Accent11"/>
        <w:numPr>
          <w:ilvl w:val="0"/>
          <w:numId w:val="179"/>
        </w:numPr>
        <w:rPr>
          <w:rFonts w:cs="Arial"/>
          <w:sz w:val="22"/>
          <w:szCs w:val="22"/>
        </w:rPr>
      </w:pPr>
      <w:r w:rsidRPr="00B700A9">
        <w:rPr>
          <w:rFonts w:cs="Arial"/>
          <w:sz w:val="22"/>
          <w:szCs w:val="22"/>
        </w:rPr>
        <w:t>The avoidance of peak puerulus settlement that occurs between July and September</w:t>
      </w:r>
      <w:r>
        <w:rPr>
          <w:rFonts w:cs="Arial"/>
          <w:sz w:val="22"/>
          <w:szCs w:val="22"/>
        </w:rPr>
        <w:t xml:space="preserve"> (and possible avoidance of </w:t>
      </w:r>
      <w:r w:rsidRPr="00B700A9">
        <w:rPr>
          <w:rFonts w:cs="Arial"/>
          <w:sz w:val="22"/>
          <w:szCs w:val="22"/>
        </w:rPr>
        <w:t xml:space="preserve">peak larval hatching season in </w:t>
      </w:r>
      <w:r w:rsidRPr="00017E14">
        <w:rPr>
          <w:rFonts w:cs="Arial"/>
          <w:sz w:val="22"/>
          <w:szCs w:val="22"/>
        </w:rPr>
        <w:t>November</w:t>
      </w:r>
      <w:r>
        <w:rPr>
          <w:rFonts w:cs="Arial"/>
          <w:sz w:val="22"/>
          <w:szCs w:val="22"/>
        </w:rPr>
        <w:t>, depending on exact survey timing</w:t>
      </w:r>
      <w:r w:rsidRPr="00017E14">
        <w:rPr>
          <w:rFonts w:cs="Arial"/>
          <w:sz w:val="22"/>
          <w:szCs w:val="22"/>
        </w:rPr>
        <w:t>);</w:t>
      </w:r>
      <w:r w:rsidRPr="00B700A9">
        <w:rPr>
          <w:rFonts w:cs="Arial"/>
          <w:sz w:val="22"/>
          <w:szCs w:val="22"/>
        </w:rPr>
        <w:t xml:space="preserve"> </w:t>
      </w:r>
    </w:p>
    <w:p w14:paraId="5A2D5433" w14:textId="77777777" w:rsidR="001308B3" w:rsidRPr="00B700A9" w:rsidRDefault="001308B3" w:rsidP="001308B3">
      <w:pPr>
        <w:pStyle w:val="ColorfulList-Accent11"/>
        <w:numPr>
          <w:ilvl w:val="0"/>
          <w:numId w:val="179"/>
        </w:numPr>
        <w:rPr>
          <w:rFonts w:cs="Arial"/>
          <w:sz w:val="22"/>
          <w:szCs w:val="22"/>
        </w:rPr>
      </w:pPr>
      <w:r w:rsidRPr="00B700A9">
        <w:rPr>
          <w:rFonts w:cs="Arial"/>
          <w:sz w:val="22"/>
          <w:szCs w:val="22"/>
        </w:rPr>
        <w:t>The distance from key larval production areas (for example, continuous and expansive rocky reefs further east along the coast and in southwest Victoria); and</w:t>
      </w:r>
    </w:p>
    <w:p w14:paraId="18040A9C" w14:textId="77777777" w:rsidR="001308B3" w:rsidRPr="00B700A9" w:rsidRDefault="001308B3" w:rsidP="001308B3">
      <w:pPr>
        <w:pStyle w:val="ColorfulList-Accent11"/>
        <w:numPr>
          <w:ilvl w:val="0"/>
          <w:numId w:val="179"/>
        </w:numPr>
        <w:rPr>
          <w:rFonts w:cs="Arial"/>
          <w:sz w:val="22"/>
          <w:szCs w:val="22"/>
        </w:rPr>
      </w:pPr>
      <w:r w:rsidRPr="00B700A9">
        <w:rPr>
          <w:rFonts w:cs="Arial"/>
          <w:sz w:val="22"/>
          <w:szCs w:val="22"/>
        </w:rPr>
        <w:t>Significant dispersion of larvae by currents and winds prior to the puerulus settling inshore.</w:t>
      </w:r>
    </w:p>
    <w:p w14:paraId="6E17D398" w14:textId="77777777" w:rsidR="001308B3" w:rsidRPr="00B700A9" w:rsidRDefault="001308B3" w:rsidP="001308B3">
      <w:pPr>
        <w:ind w:left="0"/>
        <w:rPr>
          <w:rFonts w:cs="Arial"/>
          <w:sz w:val="22"/>
          <w:szCs w:val="22"/>
        </w:rPr>
      </w:pPr>
    </w:p>
    <w:p w14:paraId="231D4EA7" w14:textId="77777777" w:rsidR="001308B3" w:rsidRPr="00B700A9" w:rsidRDefault="001308B3" w:rsidP="001308B3">
      <w:pPr>
        <w:ind w:left="0"/>
        <w:rPr>
          <w:rFonts w:cs="Arial"/>
          <w:i/>
          <w:sz w:val="22"/>
          <w:szCs w:val="22"/>
        </w:rPr>
      </w:pPr>
      <w:r w:rsidRPr="00B700A9">
        <w:rPr>
          <w:rFonts w:cs="Arial"/>
          <w:i/>
          <w:sz w:val="22"/>
          <w:szCs w:val="22"/>
        </w:rPr>
        <w:t>Assessment of correlation between MSS and catch</w:t>
      </w:r>
    </w:p>
    <w:p w14:paraId="365F2DD1" w14:textId="77777777" w:rsidR="001308B3" w:rsidRPr="00B700A9" w:rsidRDefault="001308B3" w:rsidP="001308B3">
      <w:pPr>
        <w:ind w:left="0"/>
        <w:rPr>
          <w:rFonts w:cs="Arial"/>
          <w:sz w:val="22"/>
          <w:szCs w:val="22"/>
        </w:rPr>
      </w:pPr>
    </w:p>
    <w:p w14:paraId="7C6D79E6" w14:textId="77777777" w:rsidR="001308B3" w:rsidRPr="00B700A9" w:rsidRDefault="001308B3" w:rsidP="001308B3">
      <w:pPr>
        <w:ind w:left="0"/>
        <w:rPr>
          <w:rFonts w:cs="Arial"/>
          <w:sz w:val="22"/>
          <w:szCs w:val="22"/>
        </w:rPr>
      </w:pPr>
      <w:r w:rsidRPr="00B700A9">
        <w:rPr>
          <w:rFonts w:cs="Arial"/>
          <w:sz w:val="22"/>
          <w:szCs w:val="22"/>
        </w:rPr>
        <w:t xml:space="preserve">One way to test whether there are population impacts on lobsters is to consult the documented history of annual lobster catches in the region, where seismic surveys have been conducted regularly over recent decades. </w:t>
      </w:r>
    </w:p>
    <w:p w14:paraId="0EEA57A1" w14:textId="77777777" w:rsidR="001308B3" w:rsidRPr="00B700A9" w:rsidRDefault="001308B3" w:rsidP="001308B3">
      <w:pPr>
        <w:ind w:left="0"/>
        <w:rPr>
          <w:rFonts w:cs="Arial"/>
          <w:sz w:val="22"/>
          <w:szCs w:val="22"/>
        </w:rPr>
      </w:pPr>
    </w:p>
    <w:p w14:paraId="4F3084B1" w14:textId="415E4071" w:rsidR="001308B3" w:rsidRPr="00B700A9" w:rsidRDefault="001308B3" w:rsidP="001308B3">
      <w:pPr>
        <w:ind w:left="0"/>
        <w:rPr>
          <w:rFonts w:cs="Arial"/>
          <w:sz w:val="22"/>
          <w:szCs w:val="22"/>
        </w:rPr>
      </w:pPr>
      <w:r w:rsidRPr="00B700A9">
        <w:rPr>
          <w:rFonts w:cs="Arial"/>
          <w:sz w:val="22"/>
          <w:szCs w:val="22"/>
        </w:rPr>
        <w:t xml:space="preserve">Parry and Gason (2006) undertook a statistical analysis of CPUE data collected over nearly 30 years in the Victorian southern rock lobster fishery (in southwest Victoria) that showed no influence of historical 2D and 3D MSS activity. Analyses looked at short-term (weekly) and long-term variations (up to 7 years) in CPUE to determine whether changes were correlated with the MSS. The surveys occurred in water depths ranging from 10 m to 150 m. The study included surveys occurring during the rock lobster spawning period as well as during the rock lobster fishing season and so would have interacted with adult lobsters and larvae in the same way that the proposed Pelican 3DMSS may. This study found no evidence that catch rates were affected in the weeks or years following the surveys, however Day </w:t>
      </w:r>
      <w:r w:rsidRPr="00ED1210">
        <w:rPr>
          <w:rFonts w:cs="Arial"/>
          <w:sz w:val="22"/>
          <w:szCs w:val="22"/>
        </w:rPr>
        <w:t>et al (2016a)</w:t>
      </w:r>
      <w:r w:rsidRPr="00B700A9">
        <w:rPr>
          <w:rFonts w:cs="Arial"/>
          <w:sz w:val="22"/>
          <w:szCs w:val="22"/>
        </w:rPr>
        <w:t xml:space="preserve"> suggest that catch rates would have had to decrease by around 50% for this study to detect a result. In addition, it is acknowledged that the authors caution that most of MSS occurred in ‘deep water’ and therefore the statistical power of the analyses of short term (weekly) effects on catch rates from surveys in shallow water depths may provide less statistical certainty than the long</w:t>
      </w:r>
      <w:r w:rsidR="00251A06">
        <w:rPr>
          <w:rFonts w:cs="Arial"/>
          <w:sz w:val="22"/>
          <w:szCs w:val="22"/>
        </w:rPr>
        <w:t>-</w:t>
      </w:r>
      <w:r w:rsidRPr="00B700A9">
        <w:rPr>
          <w:rFonts w:cs="Arial"/>
          <w:sz w:val="22"/>
          <w:szCs w:val="22"/>
        </w:rPr>
        <w:t xml:space="preserve">term analyses (the shallower surveys were represented by lower levels of survey effort, lower rock lobster abundance and lower levels of fishing effort). The distinction made by Parry and Gason (2006) between ‘deep’ and ‘shallow’ water surveys corresponds with water depths greater than or less than 50 m, so the results are still applicable to the proposed survey. The long-term analyses were less sensitive and so the statistical power of these results was not affected.  </w:t>
      </w:r>
    </w:p>
    <w:p w14:paraId="135F65E7" w14:textId="77777777" w:rsidR="001308B3" w:rsidRPr="00B700A9" w:rsidRDefault="001308B3" w:rsidP="001308B3">
      <w:pPr>
        <w:ind w:left="0"/>
        <w:rPr>
          <w:rFonts w:cs="Arial"/>
          <w:sz w:val="22"/>
          <w:szCs w:val="22"/>
        </w:rPr>
      </w:pPr>
    </w:p>
    <w:p w14:paraId="4DD4FC19" w14:textId="77777777" w:rsidR="001308B3" w:rsidRPr="00B700A9" w:rsidRDefault="001308B3" w:rsidP="001308B3">
      <w:pPr>
        <w:ind w:left="0"/>
        <w:rPr>
          <w:rFonts w:cs="Arial"/>
          <w:sz w:val="22"/>
          <w:szCs w:val="22"/>
        </w:rPr>
      </w:pPr>
      <w:r w:rsidRPr="00577540">
        <w:rPr>
          <w:rFonts w:cs="Arial"/>
          <w:sz w:val="22"/>
          <w:szCs w:val="22"/>
        </w:rPr>
        <w:t xml:space="preserve">Literature suggests this situation applies to species that use broadcast reproductive strategies, releasing eggs or larvae in vast numbers. For example, at a population level, trillions of southern rock lobster larvae hatch in the spring and are widely dispersed as plankton in the Southern Ocean and southern Tasman Sea. The vast disparity between the scale of effect of airgun discharges during a </w:t>
      </w:r>
      <w:r>
        <w:rPr>
          <w:rFonts w:cs="Arial"/>
          <w:sz w:val="22"/>
          <w:szCs w:val="22"/>
        </w:rPr>
        <w:t>MSS</w:t>
      </w:r>
      <w:r w:rsidRPr="00577540">
        <w:rPr>
          <w:rFonts w:cs="Arial"/>
          <w:sz w:val="22"/>
          <w:szCs w:val="22"/>
        </w:rPr>
        <w:t xml:space="preserve"> and the trans-ocean dispersal of trillions of lobster larvae strongly indicates a negligible affect at a population level from airgun discharges (McCauley, 1994).</w:t>
      </w:r>
      <w:r w:rsidRPr="00B700A9">
        <w:rPr>
          <w:rFonts w:cs="Arial"/>
          <w:sz w:val="22"/>
          <w:szCs w:val="22"/>
        </w:rPr>
        <w:t xml:space="preserve"> </w:t>
      </w:r>
    </w:p>
    <w:p w14:paraId="7ED83939" w14:textId="77777777" w:rsidR="001308B3" w:rsidRPr="00B700A9" w:rsidRDefault="001308B3" w:rsidP="001308B3">
      <w:pPr>
        <w:ind w:left="0"/>
        <w:rPr>
          <w:rFonts w:cs="Arial"/>
          <w:sz w:val="22"/>
          <w:szCs w:val="22"/>
        </w:rPr>
      </w:pPr>
    </w:p>
    <w:p w14:paraId="4818405C" w14:textId="13C6CA61" w:rsidR="001308B3" w:rsidRPr="00B700A9" w:rsidRDefault="001308B3" w:rsidP="001308B3">
      <w:pPr>
        <w:ind w:left="0"/>
        <w:rPr>
          <w:rFonts w:cs="Arial"/>
          <w:i/>
          <w:sz w:val="22"/>
          <w:szCs w:val="22"/>
        </w:rPr>
      </w:pPr>
      <w:r w:rsidRPr="00B700A9">
        <w:rPr>
          <w:rFonts w:cs="Arial"/>
          <w:i/>
          <w:sz w:val="22"/>
          <w:szCs w:val="22"/>
        </w:rPr>
        <w:t xml:space="preserve">How </w:t>
      </w:r>
      <w:r w:rsidR="00DB4FF4">
        <w:rPr>
          <w:rFonts w:cs="Arial"/>
          <w:i/>
          <w:sz w:val="22"/>
          <w:szCs w:val="22"/>
        </w:rPr>
        <w:t>the F</w:t>
      </w:r>
      <w:r w:rsidRPr="00B700A9">
        <w:rPr>
          <w:rFonts w:cs="Arial"/>
          <w:i/>
          <w:sz w:val="22"/>
          <w:szCs w:val="22"/>
        </w:rPr>
        <w:t>ish</w:t>
      </w:r>
      <w:r w:rsidR="00DB4FF4">
        <w:rPr>
          <w:rFonts w:cs="Arial"/>
          <w:i/>
          <w:sz w:val="22"/>
          <w:szCs w:val="22"/>
        </w:rPr>
        <w:t>ery</w:t>
      </w:r>
      <w:r w:rsidRPr="00B700A9">
        <w:rPr>
          <w:rFonts w:cs="Arial"/>
          <w:i/>
          <w:sz w:val="22"/>
          <w:szCs w:val="22"/>
        </w:rPr>
        <w:t xml:space="preserve"> </w:t>
      </w:r>
      <w:r w:rsidR="004C7D5F">
        <w:rPr>
          <w:rFonts w:cs="Arial"/>
          <w:i/>
          <w:sz w:val="22"/>
          <w:szCs w:val="22"/>
        </w:rPr>
        <w:t xml:space="preserve">may </w:t>
      </w:r>
      <w:r w:rsidRPr="00B700A9">
        <w:rPr>
          <w:rFonts w:cs="Arial"/>
          <w:i/>
          <w:sz w:val="22"/>
          <w:szCs w:val="22"/>
        </w:rPr>
        <w:t xml:space="preserve">be </w:t>
      </w:r>
      <w:r w:rsidR="00DB4FF4">
        <w:rPr>
          <w:rFonts w:cs="Arial"/>
          <w:i/>
          <w:sz w:val="22"/>
          <w:szCs w:val="22"/>
        </w:rPr>
        <w:t>A</w:t>
      </w:r>
      <w:r w:rsidRPr="00B700A9">
        <w:rPr>
          <w:rFonts w:cs="Arial"/>
          <w:i/>
          <w:sz w:val="22"/>
          <w:szCs w:val="22"/>
        </w:rPr>
        <w:t>ffected</w:t>
      </w:r>
    </w:p>
    <w:p w14:paraId="6569DE9D" w14:textId="77777777" w:rsidR="001308B3" w:rsidRPr="00B700A9" w:rsidRDefault="001308B3" w:rsidP="001308B3">
      <w:pPr>
        <w:ind w:left="0"/>
        <w:rPr>
          <w:rFonts w:cs="Arial"/>
          <w:sz w:val="22"/>
          <w:szCs w:val="22"/>
        </w:rPr>
      </w:pPr>
    </w:p>
    <w:p w14:paraId="32889757" w14:textId="1A93F7D4" w:rsidR="001308B3" w:rsidRPr="00B700A9" w:rsidRDefault="00251A06" w:rsidP="001308B3">
      <w:pPr>
        <w:ind w:left="0"/>
        <w:rPr>
          <w:rFonts w:cs="Arial"/>
          <w:sz w:val="22"/>
          <w:szCs w:val="22"/>
        </w:rPr>
      </w:pPr>
      <w:r>
        <w:rPr>
          <w:rFonts w:cs="Arial"/>
          <w:sz w:val="22"/>
          <w:szCs w:val="22"/>
        </w:rPr>
        <w:lastRenderedPageBreak/>
        <w:t>I</w:t>
      </w:r>
      <w:r w:rsidR="001308B3" w:rsidRPr="00B700A9">
        <w:rPr>
          <w:rFonts w:cs="Arial"/>
          <w:sz w:val="22"/>
          <w:szCs w:val="22"/>
        </w:rPr>
        <w:t xml:space="preserve">t has been predicted that the proposed Pelican 3DMSS survey will not result in a serious or irreversible impact to the </w:t>
      </w:r>
      <w:r w:rsidR="001308B3">
        <w:rPr>
          <w:rFonts w:cs="Arial"/>
          <w:sz w:val="22"/>
          <w:szCs w:val="22"/>
        </w:rPr>
        <w:t>Eastern Zone</w:t>
      </w:r>
      <w:r w:rsidR="001308B3" w:rsidRPr="00B700A9">
        <w:rPr>
          <w:rFonts w:cs="Arial"/>
          <w:sz w:val="22"/>
          <w:szCs w:val="22"/>
        </w:rPr>
        <w:t xml:space="preserve"> southern rock lobster population. However, there may be impacts on abundance and recruitment, as well as impacts on lobsters within the </w:t>
      </w:r>
      <w:r w:rsidR="001308B3">
        <w:rPr>
          <w:rFonts w:cs="Arial"/>
          <w:sz w:val="22"/>
          <w:szCs w:val="22"/>
        </w:rPr>
        <w:t>operational</w:t>
      </w:r>
      <w:r w:rsidR="001308B3" w:rsidRPr="00B700A9">
        <w:rPr>
          <w:rFonts w:cs="Arial"/>
          <w:sz w:val="22"/>
          <w:szCs w:val="22"/>
        </w:rPr>
        <w:t xml:space="preserve"> area (including catchability effects), which could affect the fishing industry.  </w:t>
      </w:r>
    </w:p>
    <w:p w14:paraId="3D22A485" w14:textId="77777777" w:rsidR="001308B3" w:rsidRPr="00B700A9" w:rsidRDefault="001308B3" w:rsidP="001308B3">
      <w:pPr>
        <w:ind w:left="0"/>
        <w:rPr>
          <w:rFonts w:cs="Arial"/>
          <w:sz w:val="22"/>
          <w:szCs w:val="22"/>
        </w:rPr>
      </w:pPr>
    </w:p>
    <w:p w14:paraId="750E59D4" w14:textId="4E413773" w:rsidR="001308B3" w:rsidRPr="00B700A9" w:rsidRDefault="001308B3" w:rsidP="001308B3">
      <w:pPr>
        <w:ind w:left="0"/>
        <w:rPr>
          <w:rFonts w:cs="Arial"/>
          <w:sz w:val="22"/>
          <w:szCs w:val="22"/>
        </w:rPr>
      </w:pPr>
      <w:r w:rsidRPr="00B700A9">
        <w:rPr>
          <w:rFonts w:cs="Arial"/>
          <w:sz w:val="22"/>
          <w:szCs w:val="22"/>
        </w:rPr>
        <w:t>In total, approximately 3,600 tonnes of Victorian southern rock lobsters are caught each year across 6 fishery zones in the South Australian, Victorian and Tasmanian fisheries.</w:t>
      </w:r>
    </w:p>
    <w:p w14:paraId="42992036" w14:textId="77777777" w:rsidR="001308B3" w:rsidRPr="00B700A9" w:rsidRDefault="001308B3" w:rsidP="001308B3">
      <w:pPr>
        <w:ind w:left="0"/>
        <w:rPr>
          <w:rFonts w:cs="Arial"/>
          <w:sz w:val="22"/>
          <w:szCs w:val="22"/>
        </w:rPr>
      </w:pPr>
    </w:p>
    <w:p w14:paraId="71EDF8CE" w14:textId="0E27CBF3" w:rsidR="001308B3" w:rsidRPr="00B700A9" w:rsidRDefault="001308B3" w:rsidP="001308B3">
      <w:pPr>
        <w:ind w:left="0"/>
        <w:rPr>
          <w:rFonts w:cs="Arial"/>
          <w:sz w:val="22"/>
          <w:szCs w:val="22"/>
        </w:rPr>
      </w:pPr>
      <w:r w:rsidRPr="00B700A9">
        <w:rPr>
          <w:rFonts w:cs="Arial"/>
          <w:sz w:val="22"/>
          <w:szCs w:val="22"/>
        </w:rPr>
        <w:t xml:space="preserve">There were 25 </w:t>
      </w:r>
      <w:r>
        <w:rPr>
          <w:rFonts w:cs="Arial"/>
          <w:sz w:val="22"/>
          <w:szCs w:val="22"/>
        </w:rPr>
        <w:t xml:space="preserve">active </w:t>
      </w:r>
      <w:r w:rsidRPr="00B700A9">
        <w:rPr>
          <w:rFonts w:cs="Arial"/>
          <w:sz w:val="22"/>
          <w:szCs w:val="22"/>
        </w:rPr>
        <w:t>southern rock lobster licenses for the Eastern Zone in 2014/15</w:t>
      </w:r>
      <w:r w:rsidR="00251A06">
        <w:rPr>
          <w:rFonts w:cs="Arial"/>
          <w:sz w:val="22"/>
          <w:szCs w:val="22"/>
        </w:rPr>
        <w:t>, with</w:t>
      </w:r>
      <w:r>
        <w:rPr>
          <w:rFonts w:cs="Arial"/>
          <w:sz w:val="22"/>
          <w:szCs w:val="22"/>
        </w:rPr>
        <w:t xml:space="preserve"> only six fishers active from 2007 to 2016</w:t>
      </w:r>
      <w:r w:rsidRPr="00B700A9">
        <w:rPr>
          <w:rFonts w:cs="Arial"/>
          <w:sz w:val="22"/>
          <w:szCs w:val="22"/>
        </w:rPr>
        <w:t xml:space="preserve">. The catch is caught in baited pots, and there is a limit on the number of pots that may be used as well as a seasonal quota. That quota is divided into transferrable units and allocated to the licensed fishers. Fishers report catch and effort data to </w:t>
      </w:r>
      <w:r>
        <w:rPr>
          <w:rFonts w:cs="Arial"/>
          <w:sz w:val="22"/>
          <w:szCs w:val="22"/>
        </w:rPr>
        <w:t xml:space="preserve">the VFA </w:t>
      </w:r>
      <w:r w:rsidRPr="00B700A9">
        <w:rPr>
          <w:rFonts w:cs="Arial"/>
          <w:sz w:val="22"/>
          <w:szCs w:val="22"/>
        </w:rPr>
        <w:t xml:space="preserve">using a grid system to record location. </w:t>
      </w:r>
      <w:r w:rsidR="00DB4FF4">
        <w:rPr>
          <w:rFonts w:cs="Arial"/>
          <w:sz w:val="22"/>
          <w:szCs w:val="22"/>
        </w:rPr>
        <w:t>Two</w:t>
      </w:r>
      <w:r w:rsidR="00DB4FF4" w:rsidRPr="00B700A9">
        <w:rPr>
          <w:rFonts w:cs="Arial"/>
          <w:sz w:val="22"/>
          <w:szCs w:val="22"/>
        </w:rPr>
        <w:t xml:space="preserve"> </w:t>
      </w:r>
      <w:r w:rsidRPr="00B700A9">
        <w:rPr>
          <w:rFonts w:cs="Arial"/>
          <w:sz w:val="22"/>
          <w:szCs w:val="22"/>
        </w:rPr>
        <w:t>fishing grid</w:t>
      </w:r>
      <w:r w:rsidR="00DB4FF4">
        <w:rPr>
          <w:rFonts w:cs="Arial"/>
          <w:sz w:val="22"/>
          <w:szCs w:val="22"/>
        </w:rPr>
        <w:t xml:space="preserve"> cell</w:t>
      </w:r>
      <w:r w:rsidRPr="00B700A9">
        <w:rPr>
          <w:rFonts w:cs="Arial"/>
          <w:sz w:val="22"/>
          <w:szCs w:val="22"/>
        </w:rPr>
        <w:t xml:space="preserve">s intersect the </w:t>
      </w:r>
      <w:r>
        <w:rPr>
          <w:rFonts w:cs="Arial"/>
          <w:sz w:val="22"/>
          <w:szCs w:val="22"/>
        </w:rPr>
        <w:t>proposed acquisition</w:t>
      </w:r>
      <w:r w:rsidRPr="00B700A9">
        <w:rPr>
          <w:rFonts w:cs="Arial"/>
          <w:sz w:val="22"/>
          <w:szCs w:val="22"/>
        </w:rPr>
        <w:t xml:space="preserve"> area (E39 and E40) </w:t>
      </w:r>
      <w:r w:rsidR="00DB4FF4">
        <w:rPr>
          <w:rFonts w:cs="Arial"/>
          <w:sz w:val="22"/>
          <w:szCs w:val="22"/>
        </w:rPr>
        <w:t>noting that the acquisition area extends into grid cells E38</w:t>
      </w:r>
      <w:r w:rsidR="00DB4FF4" w:rsidRPr="00B700A9">
        <w:rPr>
          <w:rFonts w:cs="Arial"/>
          <w:sz w:val="22"/>
          <w:szCs w:val="22"/>
        </w:rPr>
        <w:t xml:space="preserve"> </w:t>
      </w:r>
      <w:r w:rsidR="00DB4FF4">
        <w:rPr>
          <w:rFonts w:cs="Arial"/>
          <w:sz w:val="22"/>
          <w:szCs w:val="22"/>
        </w:rPr>
        <w:t>by only several meters and is therefore excluded from analysis herein</w:t>
      </w:r>
      <w:r w:rsidRPr="00B621B4">
        <w:rPr>
          <w:rFonts w:cs="Arial"/>
          <w:sz w:val="22"/>
          <w:szCs w:val="22"/>
        </w:rPr>
        <w:t>.</w:t>
      </w:r>
      <w:r w:rsidRPr="00B700A9">
        <w:rPr>
          <w:rFonts w:cs="Arial"/>
          <w:sz w:val="22"/>
          <w:szCs w:val="22"/>
        </w:rPr>
        <w:t xml:space="preserve"> </w:t>
      </w:r>
    </w:p>
    <w:p w14:paraId="516EDC23" w14:textId="77777777" w:rsidR="001308B3" w:rsidRPr="00B700A9" w:rsidRDefault="001308B3" w:rsidP="001308B3">
      <w:pPr>
        <w:ind w:left="0"/>
        <w:rPr>
          <w:rFonts w:cs="Arial"/>
          <w:sz w:val="22"/>
          <w:szCs w:val="22"/>
        </w:rPr>
      </w:pPr>
    </w:p>
    <w:p w14:paraId="762D0AFE" w14:textId="6B484871" w:rsidR="0014126E" w:rsidRDefault="001308B3" w:rsidP="0014126E">
      <w:pPr>
        <w:ind w:left="0"/>
        <w:rPr>
          <w:rFonts w:cs="Arial"/>
          <w:sz w:val="22"/>
          <w:szCs w:val="22"/>
        </w:rPr>
      </w:pPr>
      <w:r w:rsidRPr="00B700A9">
        <w:rPr>
          <w:rFonts w:cs="Arial"/>
          <w:sz w:val="22"/>
          <w:szCs w:val="22"/>
        </w:rPr>
        <w:t xml:space="preserve">Catch and effort data is available from </w:t>
      </w:r>
      <w:r>
        <w:rPr>
          <w:rFonts w:cs="Arial"/>
          <w:sz w:val="22"/>
          <w:szCs w:val="22"/>
        </w:rPr>
        <w:t xml:space="preserve">the VFA </w:t>
      </w:r>
      <w:r w:rsidRPr="00B700A9">
        <w:rPr>
          <w:rFonts w:cs="Arial"/>
          <w:sz w:val="22"/>
          <w:szCs w:val="22"/>
        </w:rPr>
        <w:t xml:space="preserve">only for grids that have information comprised from five or more data sources (the “five fisher rule”). </w:t>
      </w:r>
      <w:r w:rsidR="00DB4FF4">
        <w:rPr>
          <w:rFonts w:cs="Arial"/>
          <w:sz w:val="22"/>
          <w:szCs w:val="22"/>
        </w:rPr>
        <w:t xml:space="preserve">The two </w:t>
      </w:r>
      <w:r w:rsidRPr="00B700A9">
        <w:rPr>
          <w:rFonts w:cs="Arial"/>
          <w:sz w:val="22"/>
          <w:szCs w:val="22"/>
        </w:rPr>
        <w:t>affected fishing grid</w:t>
      </w:r>
      <w:r w:rsidR="00DB4FF4">
        <w:rPr>
          <w:rFonts w:cs="Arial"/>
          <w:sz w:val="22"/>
          <w:szCs w:val="22"/>
        </w:rPr>
        <w:t xml:space="preserve"> cell</w:t>
      </w:r>
      <w:r w:rsidRPr="00B700A9">
        <w:rPr>
          <w:rFonts w:cs="Arial"/>
          <w:sz w:val="22"/>
          <w:szCs w:val="22"/>
        </w:rPr>
        <w:t>s were fished by fewer than five fishers from 201</w:t>
      </w:r>
      <w:r w:rsidR="00DB4FF4">
        <w:rPr>
          <w:rFonts w:cs="Arial"/>
          <w:sz w:val="22"/>
          <w:szCs w:val="22"/>
        </w:rPr>
        <w:t>1</w:t>
      </w:r>
      <w:r w:rsidRPr="00B700A9">
        <w:rPr>
          <w:rFonts w:cs="Arial"/>
          <w:sz w:val="22"/>
          <w:szCs w:val="22"/>
        </w:rPr>
        <w:t>/1</w:t>
      </w:r>
      <w:r w:rsidR="00DB4FF4">
        <w:rPr>
          <w:rFonts w:cs="Arial"/>
          <w:sz w:val="22"/>
          <w:szCs w:val="22"/>
        </w:rPr>
        <w:t>2</w:t>
      </w:r>
      <w:r w:rsidRPr="00B700A9">
        <w:rPr>
          <w:rFonts w:cs="Arial"/>
          <w:sz w:val="22"/>
          <w:szCs w:val="22"/>
        </w:rPr>
        <w:t xml:space="preserve"> to </w:t>
      </w:r>
      <w:r>
        <w:rPr>
          <w:rFonts w:cs="Arial"/>
          <w:sz w:val="22"/>
          <w:szCs w:val="22"/>
        </w:rPr>
        <w:t>2015/16</w:t>
      </w:r>
      <w:r w:rsidRPr="00B700A9">
        <w:rPr>
          <w:rFonts w:cs="Arial"/>
          <w:sz w:val="22"/>
          <w:szCs w:val="22"/>
        </w:rPr>
        <w:t xml:space="preserve">. This makes it nearly impossible to accurately estimate the mean annual catch for these fishing grids. </w:t>
      </w:r>
      <w:r w:rsidR="0014126E">
        <w:rPr>
          <w:rFonts w:cs="Arial"/>
          <w:sz w:val="22"/>
          <w:szCs w:val="22"/>
        </w:rPr>
        <w:t>However, the following co</w:t>
      </w:r>
      <w:r w:rsidR="00251A06">
        <w:rPr>
          <w:rFonts w:cs="Arial"/>
          <w:sz w:val="22"/>
          <w:szCs w:val="22"/>
        </w:rPr>
        <w:t>a</w:t>
      </w:r>
      <w:r w:rsidR="0014126E">
        <w:rPr>
          <w:rFonts w:cs="Arial"/>
          <w:sz w:val="22"/>
          <w:szCs w:val="22"/>
        </w:rPr>
        <w:t>rse analysis of catch and value for the proposed acquisition area is possible based on DEDJTR (2016) and DPI (2016) data reports:</w:t>
      </w:r>
    </w:p>
    <w:p w14:paraId="390BA849" w14:textId="77777777" w:rsidR="0014126E" w:rsidRDefault="0014126E" w:rsidP="0014126E">
      <w:pPr>
        <w:ind w:left="0"/>
        <w:rPr>
          <w:rFonts w:cs="Arial"/>
          <w:sz w:val="22"/>
          <w:szCs w:val="22"/>
        </w:rPr>
      </w:pPr>
    </w:p>
    <w:p w14:paraId="0F43D5A9" w14:textId="538AC516" w:rsidR="0014126E" w:rsidRPr="004F6C08" w:rsidRDefault="0014126E" w:rsidP="0014126E">
      <w:pPr>
        <w:numPr>
          <w:ilvl w:val="0"/>
          <w:numId w:val="182"/>
        </w:numPr>
        <w:rPr>
          <w:rFonts w:cs="Arial"/>
          <w:sz w:val="22"/>
          <w:szCs w:val="22"/>
        </w:rPr>
      </w:pPr>
      <w:r w:rsidRPr="004F6C08">
        <w:rPr>
          <w:rFonts w:cs="Arial"/>
          <w:sz w:val="22"/>
          <w:szCs w:val="22"/>
        </w:rPr>
        <w:t>The catches for the five years from 2011/12 to 2015/16 in the eastern zone was 273 tonnes (average 54.6 tonnes/year)</w:t>
      </w:r>
      <w:r w:rsidR="004F6C08">
        <w:rPr>
          <w:rFonts w:cs="Arial"/>
          <w:sz w:val="22"/>
          <w:szCs w:val="22"/>
        </w:rPr>
        <w:t>;</w:t>
      </w:r>
    </w:p>
    <w:p w14:paraId="38685F67" w14:textId="32159E99" w:rsidR="0014126E" w:rsidRPr="004F6C08" w:rsidRDefault="0014126E" w:rsidP="0014126E">
      <w:pPr>
        <w:numPr>
          <w:ilvl w:val="0"/>
          <w:numId w:val="182"/>
        </w:numPr>
        <w:rPr>
          <w:rFonts w:cs="Arial"/>
          <w:sz w:val="22"/>
          <w:szCs w:val="22"/>
        </w:rPr>
      </w:pPr>
      <w:r w:rsidRPr="004F6C08">
        <w:rPr>
          <w:rFonts w:cs="Arial"/>
          <w:sz w:val="22"/>
          <w:szCs w:val="22"/>
        </w:rPr>
        <w:t>There are 448 VFA catch and effort grid cells in the southern rock lobster eastern zone</w:t>
      </w:r>
      <w:r w:rsidR="004F6C08">
        <w:rPr>
          <w:rFonts w:cs="Arial"/>
          <w:sz w:val="22"/>
          <w:szCs w:val="22"/>
        </w:rPr>
        <w:t>;</w:t>
      </w:r>
      <w:r w:rsidRPr="004F6C08">
        <w:rPr>
          <w:rFonts w:cs="Arial"/>
          <w:sz w:val="22"/>
          <w:szCs w:val="22"/>
        </w:rPr>
        <w:t xml:space="preserve"> </w:t>
      </w:r>
      <w:r w:rsidR="004F6C08">
        <w:rPr>
          <w:rFonts w:cs="Arial"/>
          <w:sz w:val="22"/>
          <w:szCs w:val="22"/>
        </w:rPr>
        <w:t>and</w:t>
      </w:r>
    </w:p>
    <w:p w14:paraId="2FEDBE70" w14:textId="71C1C7A9" w:rsidR="007127B0" w:rsidRDefault="0014126E" w:rsidP="007127B0">
      <w:pPr>
        <w:pStyle w:val="ColorfulList-Accent11"/>
        <w:numPr>
          <w:ilvl w:val="0"/>
          <w:numId w:val="180"/>
        </w:numPr>
        <w:rPr>
          <w:rFonts w:cs="Arial"/>
          <w:sz w:val="22"/>
          <w:szCs w:val="22"/>
        </w:rPr>
      </w:pPr>
      <w:r w:rsidRPr="004F6C08">
        <w:rPr>
          <w:rFonts w:cs="Arial"/>
          <w:sz w:val="22"/>
          <w:szCs w:val="22"/>
        </w:rPr>
        <w:t>The proposed acquisition area intersects two of these grid cells (covering less than</w:t>
      </w:r>
      <w:r>
        <w:rPr>
          <w:rFonts w:cs="Arial"/>
          <w:sz w:val="22"/>
          <w:szCs w:val="22"/>
        </w:rPr>
        <w:t xml:space="preserve"> 50% of both cells combined</w:t>
      </w:r>
      <w:r w:rsidR="004F6C08">
        <w:rPr>
          <w:rFonts w:cs="Arial"/>
          <w:sz w:val="22"/>
          <w:szCs w:val="22"/>
        </w:rPr>
        <w:t>, or 1 of the 448 catch and effort grid cells in total</w:t>
      </w:r>
      <w:r>
        <w:rPr>
          <w:rFonts w:cs="Arial"/>
          <w:sz w:val="22"/>
          <w:szCs w:val="22"/>
        </w:rPr>
        <w:t>)</w:t>
      </w:r>
      <w:r w:rsidRPr="0071450C">
        <w:rPr>
          <w:rFonts w:cs="Arial"/>
          <w:sz w:val="22"/>
          <w:szCs w:val="22"/>
        </w:rPr>
        <w:t xml:space="preserve">. </w:t>
      </w:r>
      <w:r w:rsidR="007127B0">
        <w:rPr>
          <w:rFonts w:cs="Arial"/>
          <w:sz w:val="22"/>
          <w:szCs w:val="22"/>
        </w:rPr>
        <w:t>This represents 0.26</w:t>
      </w:r>
      <w:r w:rsidR="007127B0" w:rsidRPr="00630250">
        <w:rPr>
          <w:rFonts w:cs="Arial"/>
          <w:sz w:val="22"/>
          <w:szCs w:val="22"/>
        </w:rPr>
        <w:t>% of this fishery</w:t>
      </w:r>
      <w:r w:rsidR="007127B0">
        <w:rPr>
          <w:rFonts w:cs="Arial"/>
          <w:sz w:val="22"/>
          <w:szCs w:val="22"/>
        </w:rPr>
        <w:t xml:space="preserve"> by area and 0.12 tonnes/year of catch (both calculations based on the fishery’s eastern zone)</w:t>
      </w:r>
      <w:r w:rsidR="004F6C08">
        <w:rPr>
          <w:rFonts w:cs="Arial"/>
          <w:sz w:val="22"/>
          <w:szCs w:val="22"/>
        </w:rPr>
        <w:t>.</w:t>
      </w:r>
      <w:r w:rsidR="007127B0" w:rsidRPr="00630250">
        <w:rPr>
          <w:rFonts w:cs="Arial"/>
          <w:sz w:val="22"/>
          <w:szCs w:val="22"/>
        </w:rPr>
        <w:t xml:space="preserve"> </w:t>
      </w:r>
    </w:p>
    <w:p w14:paraId="52359D81" w14:textId="77777777" w:rsidR="00AB0E89" w:rsidRDefault="00AB0E89" w:rsidP="001308B3">
      <w:pPr>
        <w:ind w:left="0"/>
        <w:rPr>
          <w:rFonts w:cs="Arial"/>
          <w:sz w:val="22"/>
          <w:szCs w:val="22"/>
        </w:rPr>
      </w:pPr>
    </w:p>
    <w:p w14:paraId="13916601" w14:textId="5BDDD084" w:rsidR="001308B3" w:rsidRPr="00B700A9" w:rsidRDefault="0014126E" w:rsidP="001308B3">
      <w:pPr>
        <w:ind w:left="0"/>
        <w:rPr>
          <w:rFonts w:cs="Arial"/>
          <w:i/>
          <w:sz w:val="22"/>
          <w:szCs w:val="22"/>
        </w:rPr>
      </w:pPr>
      <w:r>
        <w:rPr>
          <w:rFonts w:cs="Arial"/>
          <w:i/>
          <w:sz w:val="22"/>
          <w:szCs w:val="22"/>
        </w:rPr>
        <w:t xml:space="preserve">Impacts to </w:t>
      </w:r>
      <w:r w:rsidR="001308B3" w:rsidRPr="00B700A9">
        <w:rPr>
          <w:rFonts w:cs="Arial"/>
          <w:i/>
          <w:sz w:val="22"/>
          <w:szCs w:val="22"/>
        </w:rPr>
        <w:t>Catchability</w:t>
      </w:r>
    </w:p>
    <w:p w14:paraId="4C02FE64" w14:textId="77777777" w:rsidR="001308B3" w:rsidRPr="00B700A9" w:rsidRDefault="001308B3" w:rsidP="001308B3">
      <w:pPr>
        <w:ind w:left="0"/>
        <w:rPr>
          <w:rFonts w:cs="Arial"/>
          <w:sz w:val="22"/>
          <w:szCs w:val="22"/>
        </w:rPr>
      </w:pPr>
    </w:p>
    <w:p w14:paraId="29E62DDA" w14:textId="77777777" w:rsidR="001308B3" w:rsidRPr="00B700A9" w:rsidRDefault="001308B3" w:rsidP="001308B3">
      <w:pPr>
        <w:ind w:left="0"/>
        <w:rPr>
          <w:rFonts w:cs="Arial"/>
          <w:sz w:val="22"/>
          <w:szCs w:val="22"/>
        </w:rPr>
      </w:pPr>
      <w:r w:rsidRPr="00B700A9">
        <w:rPr>
          <w:rFonts w:cs="Arial"/>
          <w:sz w:val="22"/>
          <w:szCs w:val="22"/>
        </w:rPr>
        <w:t>In relation to catchability, the primary physiological response detected in the Day et al (2016</w:t>
      </w:r>
      <w:r>
        <w:rPr>
          <w:rFonts w:cs="Arial"/>
          <w:sz w:val="22"/>
          <w:szCs w:val="22"/>
        </w:rPr>
        <w:t>a;b</w:t>
      </w:r>
      <w:r w:rsidRPr="00B700A9">
        <w:rPr>
          <w:rFonts w:cs="Arial"/>
          <w:sz w:val="22"/>
          <w:szCs w:val="22"/>
        </w:rPr>
        <w:t xml:space="preserve">) study that points to a loss of function in the exposed lobsters that may translate to reduced mobility or sensory ability (and thus catchability) is damage to the statocyst. Impairment to spatial orientation ability due to statocyst damage may reduce the ability of a southern rock lobster to navigate to and enter a baited trap. A lobster’s ability to locate food is also a factor. </w:t>
      </w:r>
    </w:p>
    <w:p w14:paraId="7E79D0C5" w14:textId="77777777" w:rsidR="001308B3" w:rsidRPr="00B700A9" w:rsidRDefault="001308B3" w:rsidP="001308B3">
      <w:pPr>
        <w:ind w:left="0"/>
        <w:rPr>
          <w:rFonts w:cs="Arial"/>
          <w:sz w:val="22"/>
          <w:szCs w:val="22"/>
        </w:rPr>
      </w:pPr>
    </w:p>
    <w:p w14:paraId="224B07D6" w14:textId="77777777" w:rsidR="001308B3" w:rsidRPr="00B700A9" w:rsidRDefault="001308B3" w:rsidP="001308B3">
      <w:pPr>
        <w:ind w:left="0"/>
        <w:rPr>
          <w:rFonts w:cs="Arial"/>
          <w:sz w:val="22"/>
          <w:szCs w:val="22"/>
        </w:rPr>
      </w:pPr>
      <w:r w:rsidRPr="00B700A9">
        <w:rPr>
          <w:rFonts w:cs="Arial"/>
          <w:sz w:val="22"/>
          <w:szCs w:val="22"/>
        </w:rPr>
        <w:t>Assessments of the catchability of the southern rock lobster population with impaired statocysts within the CPSR have been undertaken by Ziegler et al (2002</w:t>
      </w:r>
      <w:r>
        <w:rPr>
          <w:rFonts w:cs="Arial"/>
          <w:sz w:val="22"/>
          <w:szCs w:val="22"/>
        </w:rPr>
        <w:t>a;b</w:t>
      </w:r>
      <w:r w:rsidRPr="00B700A9">
        <w:rPr>
          <w:rFonts w:cs="Arial"/>
          <w:sz w:val="22"/>
          <w:szCs w:val="22"/>
        </w:rPr>
        <w:t xml:space="preserve">) by comparing catch rates obtained in the trapping surveys to the density of lobsters on the reef determined through underwater observations. Catch rates of males and females and the sex ratio of trapped lobsters was found to vary strongly with season, implying that catchability varies seasonally and with sex. Catchability generally increased with size, with larger lobsters over-represented in the catch. No indication of low or impaired catch rates were presented in these studies and suggest that there </w:t>
      </w:r>
      <w:r w:rsidRPr="00B700A9">
        <w:rPr>
          <w:rFonts w:cs="Arial"/>
          <w:sz w:val="22"/>
          <w:szCs w:val="22"/>
        </w:rPr>
        <w:lastRenderedPageBreak/>
        <w:t xml:space="preserve">is no highly significant effect on catchability due to statocyst damage. However the methods used preclude a direct comparison with catch rates reported by commercial fishers in adjacent areas. </w:t>
      </w:r>
    </w:p>
    <w:p w14:paraId="3378505E" w14:textId="77777777" w:rsidR="001308B3" w:rsidRPr="00B700A9" w:rsidRDefault="001308B3" w:rsidP="001308B3">
      <w:pPr>
        <w:ind w:left="0"/>
        <w:rPr>
          <w:rFonts w:cs="Arial"/>
          <w:sz w:val="22"/>
          <w:szCs w:val="22"/>
        </w:rPr>
      </w:pPr>
      <w:r w:rsidRPr="00B700A9">
        <w:rPr>
          <w:rFonts w:cs="Arial"/>
          <w:sz w:val="22"/>
          <w:szCs w:val="22"/>
        </w:rPr>
        <w:t xml:space="preserve"> </w:t>
      </w:r>
    </w:p>
    <w:p w14:paraId="29B005C2" w14:textId="77777777" w:rsidR="001308B3" w:rsidRDefault="001308B3" w:rsidP="001308B3">
      <w:pPr>
        <w:ind w:left="0"/>
        <w:rPr>
          <w:rFonts w:cs="Arial"/>
          <w:sz w:val="22"/>
          <w:szCs w:val="22"/>
        </w:rPr>
      </w:pPr>
      <w:r w:rsidRPr="00B700A9">
        <w:rPr>
          <w:rFonts w:cs="Arial"/>
          <w:sz w:val="22"/>
          <w:szCs w:val="22"/>
        </w:rPr>
        <w:t xml:space="preserve">Chemosensory systems have been identified as centrally involved to the feeding behaviour of rock lobsters (Derby and Atema, 1981; Derby </w:t>
      </w:r>
      <w:r w:rsidRPr="00B700A9">
        <w:rPr>
          <w:rFonts w:cs="Arial"/>
          <w:i/>
          <w:sz w:val="22"/>
          <w:szCs w:val="22"/>
        </w:rPr>
        <w:t>et al</w:t>
      </w:r>
      <w:r w:rsidRPr="00B700A9">
        <w:rPr>
          <w:rFonts w:cs="Arial"/>
          <w:sz w:val="22"/>
          <w:szCs w:val="22"/>
        </w:rPr>
        <w:t>., 2001). Whilst the FRDC study did not directly assess chemosensory systems, no change in nutritional status of adult lobsters was observed that could be attributed to seismic exposure. The nutritional condition of all lobsters improved considerably during the prolonged period post-exposure period (120-365 days). This finding suggests that the lobsters’ chemoreceptory facilities that would influence the lobsters’ ability to locate food (e.g., bait within traps) were not impaired.</w:t>
      </w:r>
    </w:p>
    <w:p w14:paraId="60D9B49F" w14:textId="77777777" w:rsidR="001308B3" w:rsidRPr="00B700A9" w:rsidRDefault="001308B3" w:rsidP="001308B3">
      <w:pPr>
        <w:ind w:left="0"/>
        <w:rPr>
          <w:rFonts w:cs="Arial"/>
          <w:i/>
          <w:sz w:val="22"/>
          <w:szCs w:val="22"/>
        </w:rPr>
      </w:pPr>
    </w:p>
    <w:p w14:paraId="1AF32D1A" w14:textId="3BD669BF" w:rsidR="001308B3" w:rsidRPr="00B700A9" w:rsidRDefault="001308B3" w:rsidP="001308B3">
      <w:pPr>
        <w:ind w:left="0"/>
        <w:rPr>
          <w:rFonts w:cs="Arial"/>
          <w:i/>
          <w:sz w:val="22"/>
          <w:szCs w:val="22"/>
        </w:rPr>
      </w:pPr>
      <w:r w:rsidRPr="00B700A9">
        <w:rPr>
          <w:rFonts w:cs="Arial"/>
          <w:i/>
          <w:sz w:val="22"/>
          <w:szCs w:val="22"/>
        </w:rPr>
        <w:t>Significance to Individual Fishers</w:t>
      </w:r>
    </w:p>
    <w:p w14:paraId="7E160327" w14:textId="77777777" w:rsidR="001308B3" w:rsidRPr="00B700A9" w:rsidRDefault="001308B3" w:rsidP="001308B3">
      <w:pPr>
        <w:ind w:left="0"/>
        <w:rPr>
          <w:rFonts w:cs="Arial"/>
          <w:sz w:val="22"/>
          <w:szCs w:val="22"/>
        </w:rPr>
      </w:pPr>
    </w:p>
    <w:p w14:paraId="68A055CC" w14:textId="5A9EF3C2" w:rsidR="0014126E" w:rsidRDefault="0014126E" w:rsidP="001308B3">
      <w:pPr>
        <w:ind w:left="0"/>
        <w:rPr>
          <w:rFonts w:cs="Arial"/>
          <w:sz w:val="22"/>
          <w:szCs w:val="22"/>
        </w:rPr>
      </w:pPr>
      <w:r>
        <w:rPr>
          <w:rFonts w:cs="Arial"/>
          <w:sz w:val="22"/>
          <w:szCs w:val="22"/>
        </w:rPr>
        <w:t>Based on the information available to CarbonNet, f</w:t>
      </w:r>
      <w:r w:rsidR="001308B3">
        <w:rPr>
          <w:rFonts w:cs="Arial"/>
          <w:sz w:val="22"/>
          <w:szCs w:val="22"/>
        </w:rPr>
        <w:t>ewer</w:t>
      </w:r>
      <w:r w:rsidR="001308B3" w:rsidRPr="00B700A9">
        <w:rPr>
          <w:rFonts w:cs="Arial"/>
          <w:sz w:val="22"/>
          <w:szCs w:val="22"/>
        </w:rPr>
        <w:t xml:space="preserve"> than five commercial fishers fish in the </w:t>
      </w:r>
      <w:r w:rsidR="001308B3">
        <w:rPr>
          <w:rFonts w:cs="Arial"/>
          <w:sz w:val="22"/>
          <w:szCs w:val="22"/>
        </w:rPr>
        <w:t>acquisition</w:t>
      </w:r>
      <w:r w:rsidR="001308B3" w:rsidRPr="00B700A9">
        <w:rPr>
          <w:rFonts w:cs="Arial"/>
          <w:sz w:val="22"/>
          <w:szCs w:val="22"/>
        </w:rPr>
        <w:t xml:space="preserve"> area</w:t>
      </w:r>
      <w:r>
        <w:rPr>
          <w:rFonts w:cs="Arial"/>
          <w:sz w:val="22"/>
          <w:szCs w:val="22"/>
        </w:rPr>
        <w:t>. A</w:t>
      </w:r>
      <w:r w:rsidR="001308B3">
        <w:rPr>
          <w:rFonts w:cs="Arial"/>
          <w:sz w:val="22"/>
          <w:szCs w:val="22"/>
        </w:rPr>
        <w:t>necdotal information suggest</w:t>
      </w:r>
      <w:r>
        <w:rPr>
          <w:rFonts w:cs="Arial"/>
          <w:sz w:val="22"/>
          <w:szCs w:val="22"/>
        </w:rPr>
        <w:t>s</w:t>
      </w:r>
      <w:r w:rsidR="001308B3">
        <w:rPr>
          <w:rFonts w:cs="Arial"/>
          <w:sz w:val="22"/>
          <w:szCs w:val="22"/>
        </w:rPr>
        <w:t xml:space="preserve"> only one </w:t>
      </w:r>
      <w:r>
        <w:rPr>
          <w:rFonts w:cs="Arial"/>
          <w:sz w:val="22"/>
          <w:szCs w:val="22"/>
        </w:rPr>
        <w:t xml:space="preserve">rock lobster </w:t>
      </w:r>
      <w:r w:rsidR="001308B3">
        <w:rPr>
          <w:rFonts w:cs="Arial"/>
          <w:sz w:val="22"/>
          <w:szCs w:val="22"/>
        </w:rPr>
        <w:t>fisher occasionally works in the area</w:t>
      </w:r>
      <w:r w:rsidR="001308B3" w:rsidRPr="00B700A9">
        <w:rPr>
          <w:rFonts w:cs="Arial"/>
          <w:sz w:val="22"/>
          <w:szCs w:val="22"/>
        </w:rPr>
        <w:t xml:space="preserve">, </w:t>
      </w:r>
      <w:r>
        <w:rPr>
          <w:rFonts w:cs="Arial"/>
          <w:sz w:val="22"/>
          <w:szCs w:val="22"/>
        </w:rPr>
        <w:t xml:space="preserve">with no rock lobster fishers having made themselves known to CarbonNet during the stakeholder consultation process. </w:t>
      </w:r>
    </w:p>
    <w:p w14:paraId="37940987" w14:textId="77777777" w:rsidR="00251A06" w:rsidRDefault="00251A06" w:rsidP="001308B3">
      <w:pPr>
        <w:ind w:left="0"/>
        <w:rPr>
          <w:rFonts w:cs="Arial"/>
          <w:sz w:val="22"/>
          <w:szCs w:val="22"/>
        </w:rPr>
      </w:pPr>
    </w:p>
    <w:p w14:paraId="5CD008B0" w14:textId="77777777" w:rsidR="0014126E" w:rsidRDefault="0014126E" w:rsidP="0014126E">
      <w:pPr>
        <w:ind w:left="0"/>
        <w:rPr>
          <w:rFonts w:cs="Arial"/>
          <w:sz w:val="22"/>
          <w:szCs w:val="22"/>
        </w:rPr>
      </w:pPr>
      <w:r>
        <w:rPr>
          <w:rFonts w:cs="Arial"/>
          <w:sz w:val="22"/>
          <w:szCs w:val="22"/>
        </w:rPr>
        <w:t>The proposed Pelican 3DMSS</w:t>
      </w:r>
      <w:r w:rsidRPr="00B700A9">
        <w:rPr>
          <w:rFonts w:cs="Arial"/>
          <w:sz w:val="22"/>
          <w:szCs w:val="22"/>
        </w:rPr>
        <w:t xml:space="preserve"> </w:t>
      </w:r>
      <w:r>
        <w:rPr>
          <w:rFonts w:cs="Arial"/>
          <w:sz w:val="22"/>
          <w:szCs w:val="22"/>
        </w:rPr>
        <w:t>is not</w:t>
      </w:r>
      <w:r w:rsidRPr="00B700A9">
        <w:rPr>
          <w:rFonts w:cs="Arial"/>
          <w:sz w:val="22"/>
          <w:szCs w:val="22"/>
        </w:rPr>
        <w:t xml:space="preserve"> expected to cause </w:t>
      </w:r>
      <w:r>
        <w:rPr>
          <w:rFonts w:cs="Arial"/>
          <w:sz w:val="22"/>
          <w:szCs w:val="22"/>
        </w:rPr>
        <w:t>significant financial impacts to this individual commercial rock lobster fisher (or multiple fishers) because:</w:t>
      </w:r>
    </w:p>
    <w:p w14:paraId="33EA2DC4" w14:textId="77777777" w:rsidR="0014126E" w:rsidRDefault="0014126E" w:rsidP="0014126E">
      <w:pPr>
        <w:ind w:left="0"/>
        <w:rPr>
          <w:rFonts w:cs="Arial"/>
          <w:sz w:val="22"/>
          <w:szCs w:val="22"/>
        </w:rPr>
      </w:pPr>
    </w:p>
    <w:p w14:paraId="39EA8C46" w14:textId="77777777" w:rsidR="0014126E" w:rsidRDefault="0014126E" w:rsidP="0014126E">
      <w:pPr>
        <w:pStyle w:val="ListParagraph0"/>
        <w:numPr>
          <w:ilvl w:val="0"/>
          <w:numId w:val="522"/>
        </w:numPr>
        <w:rPr>
          <w:rFonts w:cs="Arial"/>
          <w:sz w:val="22"/>
          <w:szCs w:val="22"/>
        </w:rPr>
      </w:pPr>
      <w:r>
        <w:rPr>
          <w:rFonts w:cs="Arial"/>
          <w:sz w:val="22"/>
          <w:szCs w:val="22"/>
        </w:rPr>
        <w:t xml:space="preserve">Based on CarbonNet’s marine habitat assessment and LiDAR mapping, there is </w:t>
      </w:r>
      <w:r w:rsidRPr="00B700A9">
        <w:rPr>
          <w:rFonts w:cs="Arial"/>
          <w:sz w:val="22"/>
          <w:szCs w:val="22"/>
        </w:rPr>
        <w:t>limited area of rocky reef in the proposed acquisition area that is suitable for commercial rock lobster fishing</w:t>
      </w:r>
      <w:r>
        <w:rPr>
          <w:rFonts w:cs="Arial"/>
          <w:sz w:val="22"/>
          <w:szCs w:val="22"/>
        </w:rPr>
        <w:t>, and on its own is therefore not likely to represent a significant fishing ground for individual fishers;</w:t>
      </w:r>
    </w:p>
    <w:p w14:paraId="76142BA0" w14:textId="0911EAA2" w:rsidR="0014126E" w:rsidRDefault="0014126E" w:rsidP="0014126E">
      <w:pPr>
        <w:pStyle w:val="ListParagraph0"/>
        <w:numPr>
          <w:ilvl w:val="0"/>
          <w:numId w:val="522"/>
        </w:numPr>
        <w:rPr>
          <w:rFonts w:cs="Arial"/>
          <w:sz w:val="22"/>
          <w:szCs w:val="22"/>
        </w:rPr>
      </w:pPr>
      <w:r>
        <w:rPr>
          <w:rFonts w:cs="Arial"/>
          <w:sz w:val="22"/>
          <w:szCs w:val="22"/>
        </w:rPr>
        <w:t xml:space="preserve">The rocky reef present within the proposed acquisition area is not limited to this locality – it is present </w:t>
      </w:r>
      <w:r w:rsidR="004C7D5F">
        <w:rPr>
          <w:rFonts w:cs="Arial"/>
          <w:sz w:val="22"/>
          <w:szCs w:val="22"/>
        </w:rPr>
        <w:t xml:space="preserve">in patches </w:t>
      </w:r>
      <w:r>
        <w:rPr>
          <w:rFonts w:cs="Arial"/>
          <w:sz w:val="22"/>
          <w:szCs w:val="22"/>
        </w:rPr>
        <w:t>along the Ninety Mile Beach (see Section 5.1.2). As such, this fisher (or fishers) has access to much larger fishing grounds, meaning that there are alternative areas to fish;</w:t>
      </w:r>
    </w:p>
    <w:p w14:paraId="7EDA7CED" w14:textId="6DE845DD" w:rsidR="0014126E" w:rsidRDefault="0014126E" w:rsidP="0014126E">
      <w:pPr>
        <w:pStyle w:val="ListParagraph0"/>
        <w:numPr>
          <w:ilvl w:val="0"/>
          <w:numId w:val="522"/>
        </w:numPr>
        <w:rPr>
          <w:rFonts w:cs="Arial"/>
          <w:sz w:val="22"/>
          <w:szCs w:val="22"/>
        </w:rPr>
      </w:pPr>
      <w:r>
        <w:rPr>
          <w:rFonts w:cs="Arial"/>
          <w:sz w:val="22"/>
          <w:szCs w:val="22"/>
        </w:rPr>
        <w:t xml:space="preserve">The survey is of a very short duration (a maximum of 27 days, but more likely 13-16 days), representing 8% to 13.8% of the duration of the fishing season (which is 6.5 months of the year); </w:t>
      </w:r>
      <w:r w:rsidR="00AB0E89">
        <w:rPr>
          <w:rFonts w:cs="Arial"/>
          <w:sz w:val="22"/>
          <w:szCs w:val="22"/>
        </w:rPr>
        <w:t>and</w:t>
      </w:r>
    </w:p>
    <w:p w14:paraId="1EF78E34" w14:textId="655C97DA" w:rsidR="0014126E" w:rsidRDefault="0014126E" w:rsidP="0014126E">
      <w:pPr>
        <w:pStyle w:val="ListParagraph0"/>
        <w:numPr>
          <w:ilvl w:val="0"/>
          <w:numId w:val="522"/>
        </w:numPr>
        <w:rPr>
          <w:rFonts w:cs="Arial"/>
          <w:sz w:val="22"/>
          <w:szCs w:val="22"/>
        </w:rPr>
      </w:pPr>
      <w:r>
        <w:rPr>
          <w:rFonts w:cs="Arial"/>
          <w:sz w:val="22"/>
          <w:szCs w:val="22"/>
        </w:rPr>
        <w:t>The proposed acquisition area represents 0.26% of the eastern zone of the southern rock lobster fishery</w:t>
      </w:r>
      <w:r w:rsidR="00AB0E89">
        <w:rPr>
          <w:rFonts w:cs="Arial"/>
          <w:sz w:val="22"/>
          <w:szCs w:val="22"/>
        </w:rPr>
        <w:t xml:space="preserve">. </w:t>
      </w:r>
    </w:p>
    <w:p w14:paraId="3701DE06" w14:textId="77777777" w:rsidR="001308B3" w:rsidRPr="00B700A9" w:rsidRDefault="001308B3" w:rsidP="001308B3">
      <w:pPr>
        <w:ind w:left="0"/>
        <w:rPr>
          <w:rFonts w:cs="Arial"/>
          <w:sz w:val="22"/>
          <w:szCs w:val="22"/>
        </w:rPr>
      </w:pPr>
    </w:p>
    <w:p w14:paraId="6C049162" w14:textId="77777777" w:rsidR="0089700C" w:rsidRPr="00891DE1" w:rsidRDefault="0089700C" w:rsidP="0089700C">
      <w:pPr>
        <w:ind w:left="0"/>
        <w:rPr>
          <w:rFonts w:cs="Arial"/>
          <w:sz w:val="22"/>
          <w:szCs w:val="22"/>
        </w:rPr>
      </w:pPr>
      <w:r w:rsidRPr="00891DE1">
        <w:rPr>
          <w:rFonts w:cs="Arial"/>
          <w:sz w:val="22"/>
          <w:szCs w:val="22"/>
        </w:rPr>
        <w:t xml:space="preserve">Potential impacts to fishers during the survey period (all of which may result in varying short-term economic impacts depending on how individual fishers operate) include: </w:t>
      </w:r>
      <w:r w:rsidRPr="00891DE1">
        <w:rPr>
          <w:rFonts w:cs="Arial"/>
          <w:sz w:val="22"/>
          <w:szCs w:val="22"/>
        </w:rPr>
        <w:br/>
      </w:r>
    </w:p>
    <w:p w14:paraId="064A4F65" w14:textId="77777777" w:rsidR="0089700C" w:rsidRPr="00891DE1" w:rsidRDefault="0089700C" w:rsidP="0089700C">
      <w:pPr>
        <w:pStyle w:val="ColorfulList-Accent11"/>
        <w:numPr>
          <w:ilvl w:val="0"/>
          <w:numId w:val="179"/>
        </w:numPr>
        <w:rPr>
          <w:rFonts w:cs="Arial"/>
          <w:sz w:val="22"/>
          <w:szCs w:val="22"/>
        </w:rPr>
      </w:pPr>
      <w:r w:rsidRPr="00891DE1">
        <w:rPr>
          <w:rFonts w:cs="Arial"/>
          <w:sz w:val="22"/>
          <w:szCs w:val="22"/>
        </w:rPr>
        <w:t xml:space="preserve">Disruption: inability to fish in the operational area during the survey period; </w:t>
      </w:r>
    </w:p>
    <w:p w14:paraId="6BD493A8" w14:textId="77777777" w:rsidR="0089700C" w:rsidRPr="00891DE1" w:rsidRDefault="0089700C" w:rsidP="0089700C">
      <w:pPr>
        <w:pStyle w:val="ColorfulList-Accent11"/>
        <w:numPr>
          <w:ilvl w:val="0"/>
          <w:numId w:val="179"/>
        </w:numPr>
        <w:rPr>
          <w:rFonts w:cs="Arial"/>
          <w:sz w:val="22"/>
          <w:szCs w:val="22"/>
        </w:rPr>
      </w:pPr>
      <w:r w:rsidRPr="00891DE1">
        <w:rPr>
          <w:rFonts w:cs="Arial"/>
          <w:sz w:val="22"/>
          <w:szCs w:val="22"/>
        </w:rPr>
        <w:t xml:space="preserve">Inability to substitute/mitigate: inability to simply fish elsewhere (i.e., substitute) without a risk of lower CPUE; </w:t>
      </w:r>
    </w:p>
    <w:p w14:paraId="55317630" w14:textId="77777777" w:rsidR="0089700C" w:rsidRPr="00891DE1" w:rsidRDefault="0089700C" w:rsidP="0089700C">
      <w:pPr>
        <w:pStyle w:val="ColorfulList-Accent11"/>
        <w:numPr>
          <w:ilvl w:val="0"/>
          <w:numId w:val="179"/>
        </w:numPr>
        <w:rPr>
          <w:rFonts w:cs="Arial"/>
          <w:sz w:val="22"/>
          <w:szCs w:val="22"/>
        </w:rPr>
      </w:pPr>
      <w:r w:rsidRPr="00891DE1">
        <w:rPr>
          <w:rFonts w:cs="Arial"/>
          <w:sz w:val="22"/>
          <w:szCs w:val="22"/>
        </w:rPr>
        <w:t>Inability to substitute/mitigate (timing can impact price): even if a fisher could substitute by fishing at a different time in the season (e.g., before or after the survey) and achieve the same catch and CPUE, it may be at a time when the beach price is lower; and</w:t>
      </w:r>
    </w:p>
    <w:p w14:paraId="658FE754" w14:textId="77777777" w:rsidR="0089700C" w:rsidRPr="00891DE1" w:rsidRDefault="0089700C" w:rsidP="0089700C">
      <w:pPr>
        <w:pStyle w:val="ColorfulList-Accent11"/>
        <w:numPr>
          <w:ilvl w:val="0"/>
          <w:numId w:val="179"/>
        </w:numPr>
        <w:rPr>
          <w:rFonts w:cs="Arial"/>
          <w:sz w:val="22"/>
          <w:szCs w:val="22"/>
        </w:rPr>
      </w:pPr>
      <w:r w:rsidRPr="00891DE1">
        <w:rPr>
          <w:rFonts w:cs="Arial"/>
          <w:sz w:val="22"/>
          <w:szCs w:val="22"/>
        </w:rPr>
        <w:t xml:space="preserve">Displacement: disrupted fishers may fish elsewhere, displacing other fishers and resulting in a risk of lower catch rates or lower CPUE for both categories of fisher (which can also threaten the well understood protocols adopted by the fishers in terms of where they usually fish). </w:t>
      </w:r>
    </w:p>
    <w:p w14:paraId="5CAA5DD3" w14:textId="77777777" w:rsidR="0089700C" w:rsidRPr="00891DE1" w:rsidRDefault="0089700C" w:rsidP="0089700C">
      <w:pPr>
        <w:ind w:left="0"/>
        <w:rPr>
          <w:rFonts w:cs="Arial"/>
          <w:sz w:val="22"/>
          <w:szCs w:val="22"/>
        </w:rPr>
      </w:pPr>
    </w:p>
    <w:p w14:paraId="10E4953D" w14:textId="376F3037" w:rsidR="001308B3" w:rsidRPr="00B700A9" w:rsidRDefault="0089700C" w:rsidP="001308B3">
      <w:pPr>
        <w:ind w:left="0"/>
        <w:rPr>
          <w:rFonts w:cs="Arial"/>
          <w:sz w:val="22"/>
          <w:szCs w:val="22"/>
        </w:rPr>
      </w:pPr>
      <w:r w:rsidRPr="00891DE1">
        <w:rPr>
          <w:rFonts w:cs="Arial"/>
          <w:sz w:val="22"/>
          <w:szCs w:val="22"/>
        </w:rPr>
        <w:lastRenderedPageBreak/>
        <w:t>In summary, on the basis of the above catch information and recent studies undertaken by Day et al (2016a;b) into the impacts of MSS on southern rock lobsters, there will be no signifcant effects to catch rates in the short- or long-term and therefore a low risk of detrimentally affecting the sustainability of the southern rock lobster fishery.</w:t>
      </w:r>
      <w:r>
        <w:rPr>
          <w:rFonts w:cs="Arial"/>
          <w:sz w:val="22"/>
          <w:szCs w:val="22"/>
        </w:rPr>
        <w:t xml:space="preserve">  </w:t>
      </w:r>
      <w:r w:rsidR="001308B3" w:rsidRPr="00B700A9">
        <w:rPr>
          <w:rFonts w:cs="Arial"/>
          <w:sz w:val="22"/>
          <w:szCs w:val="22"/>
        </w:rPr>
        <w:t xml:space="preserve"> </w:t>
      </w:r>
    </w:p>
    <w:p w14:paraId="2C3E120A" w14:textId="4262CD86" w:rsidR="001308B3" w:rsidRPr="00B06B3D" w:rsidRDefault="002A2708" w:rsidP="001308B3">
      <w:pPr>
        <w:pStyle w:val="Heading3"/>
      </w:pPr>
      <w:bookmarkStart w:id="444" w:name="_Toc375214604"/>
      <w:r>
        <w:t xml:space="preserve">Control Measures &amp; </w:t>
      </w:r>
      <w:r w:rsidR="0014299A">
        <w:t>Impact</w:t>
      </w:r>
      <w:r w:rsidR="0014299A" w:rsidRPr="00B06B3D">
        <w:t xml:space="preserve"> </w:t>
      </w:r>
      <w:r>
        <w:t>Consequence</w:t>
      </w:r>
      <w:bookmarkEnd w:id="444"/>
    </w:p>
    <w:p w14:paraId="2DF23283" w14:textId="76B85038" w:rsidR="004B51A6" w:rsidRDefault="004B51A6" w:rsidP="004B51A6">
      <w:pPr>
        <w:pStyle w:val="BodyText"/>
        <w:ind w:left="0"/>
        <w:rPr>
          <w:rFonts w:cs="Arial"/>
          <w:sz w:val="22"/>
          <w:szCs w:val="22"/>
        </w:rPr>
      </w:pPr>
      <w:r>
        <w:rPr>
          <w:rFonts w:cs="Arial"/>
          <w:sz w:val="22"/>
          <w:szCs w:val="22"/>
        </w:rPr>
        <w:t xml:space="preserve">The following control measures will be implemented to minimise the impacts of underwater sound on commercial fisheries: </w:t>
      </w:r>
    </w:p>
    <w:p w14:paraId="056996A8" w14:textId="232BFA88" w:rsidR="008D0141" w:rsidRPr="008D0141" w:rsidRDefault="008D0141" w:rsidP="008D0141">
      <w:pPr>
        <w:pStyle w:val="ColorfulList-Accent110"/>
        <w:numPr>
          <w:ilvl w:val="0"/>
          <w:numId w:val="179"/>
        </w:numPr>
        <w:spacing w:after="0" w:line="260" w:lineRule="atLeast"/>
        <w:rPr>
          <w:rFonts w:eastAsia="Times New Roman" w:cs="Arial"/>
          <w:color w:val="auto"/>
          <w:sz w:val="22"/>
          <w:szCs w:val="22"/>
        </w:rPr>
      </w:pPr>
      <w:r w:rsidRPr="008D0141">
        <w:rPr>
          <w:rFonts w:eastAsia="Times New Roman" w:cs="Arial"/>
          <w:color w:val="auto"/>
          <w:sz w:val="22"/>
          <w:szCs w:val="22"/>
        </w:rPr>
        <w:t>Advice to AMSA and Transport Safety Victoria is provided several weeks prior to initial mobilisation to the survey location and prior to final demobilisation from location.</w:t>
      </w:r>
    </w:p>
    <w:p w14:paraId="34F8CD85" w14:textId="77777777" w:rsidR="008D0141" w:rsidRPr="008D0141" w:rsidRDefault="008D0141" w:rsidP="008D0141">
      <w:pPr>
        <w:pStyle w:val="ColorfulList-Accent110"/>
        <w:numPr>
          <w:ilvl w:val="0"/>
          <w:numId w:val="179"/>
        </w:numPr>
        <w:spacing w:after="0" w:line="260" w:lineRule="atLeast"/>
        <w:rPr>
          <w:rFonts w:eastAsia="Times New Roman" w:cs="Arial"/>
          <w:color w:val="auto"/>
          <w:sz w:val="22"/>
          <w:szCs w:val="22"/>
        </w:rPr>
      </w:pPr>
      <w:r w:rsidRPr="008D0141">
        <w:rPr>
          <w:rFonts w:eastAsia="Times New Roman" w:cs="Arial"/>
          <w:color w:val="auto"/>
          <w:sz w:val="22"/>
          <w:szCs w:val="22"/>
        </w:rPr>
        <w:t>The Vessel Master and crew are appropriately qualified in accordance with the:</w:t>
      </w:r>
    </w:p>
    <w:p w14:paraId="47F12D99" w14:textId="77777777" w:rsidR="008D0141" w:rsidRPr="008D0141" w:rsidRDefault="008D0141" w:rsidP="008D0141">
      <w:pPr>
        <w:pStyle w:val="ColorfulList-Accent110"/>
        <w:numPr>
          <w:ilvl w:val="1"/>
          <w:numId w:val="179"/>
        </w:numPr>
        <w:spacing w:after="0" w:line="260" w:lineRule="atLeast"/>
        <w:rPr>
          <w:rFonts w:eastAsia="Times New Roman" w:cs="Arial"/>
          <w:color w:val="auto"/>
          <w:sz w:val="22"/>
          <w:szCs w:val="22"/>
        </w:rPr>
      </w:pPr>
      <w:r w:rsidRPr="008D0141">
        <w:rPr>
          <w:rFonts w:eastAsia="Times New Roman" w:cs="Arial"/>
          <w:i/>
          <w:color w:val="auto"/>
          <w:sz w:val="22"/>
          <w:szCs w:val="22"/>
        </w:rPr>
        <w:t>Marine Safety (Domestic Commercial Vessel) National Law Act 2012</w:t>
      </w:r>
      <w:r w:rsidRPr="008D0141">
        <w:rPr>
          <w:rFonts w:eastAsia="Times New Roman" w:cs="Arial"/>
          <w:color w:val="auto"/>
          <w:sz w:val="22"/>
          <w:szCs w:val="22"/>
        </w:rPr>
        <w:t xml:space="preserve"> Section 48 (Issue certificate of operation) for a domestic commercial vessel; or</w:t>
      </w:r>
    </w:p>
    <w:p w14:paraId="3EC54CC0" w14:textId="0A6F2EF6" w:rsidR="008D0141" w:rsidRPr="008D0141" w:rsidRDefault="008D0141" w:rsidP="008D0141">
      <w:pPr>
        <w:pStyle w:val="ColorfulList-Accent110"/>
        <w:numPr>
          <w:ilvl w:val="1"/>
          <w:numId w:val="179"/>
        </w:numPr>
        <w:spacing w:after="0" w:line="260" w:lineRule="atLeast"/>
        <w:rPr>
          <w:rFonts w:eastAsia="Times New Roman" w:cs="Arial"/>
          <w:color w:val="auto"/>
          <w:sz w:val="22"/>
          <w:szCs w:val="22"/>
        </w:rPr>
      </w:pPr>
      <w:r w:rsidRPr="008D0141">
        <w:rPr>
          <w:rFonts w:eastAsia="Times New Roman" w:cs="Arial"/>
          <w:color w:val="auto"/>
          <w:sz w:val="22"/>
          <w:szCs w:val="22"/>
        </w:rPr>
        <w:t>If a regulated Australian vessel, in accordance with AMSA Marine Orders Part 3 (Seagoing qualifications) (e.g., International Convention of Standards of Training, Certification and Watch keeping for Seafarers [STCW95], to operate radio equipment in order to minimise the chance of collisions (as appropriate).</w:t>
      </w:r>
    </w:p>
    <w:p w14:paraId="321E318D" w14:textId="6373560F" w:rsidR="008D0141" w:rsidRPr="008D0141" w:rsidRDefault="008D0141" w:rsidP="008D0141">
      <w:pPr>
        <w:pStyle w:val="ColorfulList-Accent110"/>
        <w:numPr>
          <w:ilvl w:val="0"/>
          <w:numId w:val="179"/>
        </w:numPr>
        <w:spacing w:after="0" w:line="260" w:lineRule="atLeast"/>
        <w:rPr>
          <w:rFonts w:eastAsia="Times New Roman" w:cs="Arial"/>
          <w:color w:val="auto"/>
          <w:sz w:val="22"/>
          <w:szCs w:val="22"/>
        </w:rPr>
      </w:pPr>
      <w:r w:rsidRPr="008D0141">
        <w:rPr>
          <w:rFonts w:eastAsia="Times New Roman" w:cs="Arial"/>
          <w:color w:val="auto"/>
          <w:sz w:val="22"/>
          <w:szCs w:val="22"/>
        </w:rPr>
        <w:t>A notification is issued to fishery stakeholders who operate in the acquisition area at least four weeks prior to the survey commencing.</w:t>
      </w:r>
    </w:p>
    <w:p w14:paraId="4B5FB2DB" w14:textId="0567648B" w:rsidR="008D0141" w:rsidRPr="008D0141" w:rsidRDefault="008D0141" w:rsidP="008D0141">
      <w:pPr>
        <w:pStyle w:val="ColorfulList-Accent110"/>
        <w:numPr>
          <w:ilvl w:val="0"/>
          <w:numId w:val="179"/>
        </w:numPr>
        <w:spacing w:after="0" w:line="260" w:lineRule="atLeast"/>
        <w:rPr>
          <w:rFonts w:eastAsia="Times New Roman" w:cs="Arial"/>
          <w:color w:val="auto"/>
          <w:sz w:val="22"/>
          <w:szCs w:val="22"/>
        </w:rPr>
      </w:pPr>
      <w:r w:rsidRPr="008D0141">
        <w:rPr>
          <w:rFonts w:eastAsia="Times New Roman" w:cs="Arial"/>
          <w:color w:val="auto"/>
          <w:sz w:val="22"/>
          <w:szCs w:val="22"/>
        </w:rPr>
        <w:t>Notifications are in place at local towns (i.e., Golden Beach, Paradise Beach and Seaspray) for at least three weeks prior to and during the MSS to advise of the survey activities.</w:t>
      </w:r>
    </w:p>
    <w:p w14:paraId="2EE92D58" w14:textId="0B170833" w:rsidR="008D0141" w:rsidRPr="008D0141" w:rsidRDefault="008D0141" w:rsidP="008D0141">
      <w:pPr>
        <w:pStyle w:val="ColorfulList-Accent110"/>
        <w:numPr>
          <w:ilvl w:val="0"/>
          <w:numId w:val="179"/>
        </w:numPr>
        <w:spacing w:after="0" w:line="260" w:lineRule="atLeast"/>
        <w:rPr>
          <w:rFonts w:eastAsia="Times New Roman" w:cs="Arial"/>
          <w:color w:val="auto"/>
          <w:sz w:val="22"/>
          <w:szCs w:val="22"/>
        </w:rPr>
      </w:pPr>
      <w:r w:rsidRPr="008D0141">
        <w:rPr>
          <w:rFonts w:eastAsia="Times New Roman" w:cs="Arial"/>
          <w:color w:val="auto"/>
          <w:sz w:val="22"/>
          <w:szCs w:val="22"/>
        </w:rPr>
        <w:t>Navigation, identification and communication equipment is functional and in use in accordance with AMSA Marine Order Part 30 (Prevention of collisions) or National Standard for Commercial Vessel 2015 (as appropriate).</w:t>
      </w:r>
    </w:p>
    <w:p w14:paraId="427D5ED6" w14:textId="3A86989A" w:rsidR="008D0141" w:rsidRPr="008D0141" w:rsidRDefault="008D0141" w:rsidP="008D0141">
      <w:pPr>
        <w:pStyle w:val="ColorfulList-Accent110"/>
        <w:numPr>
          <w:ilvl w:val="0"/>
          <w:numId w:val="179"/>
        </w:numPr>
        <w:spacing w:after="0" w:line="260" w:lineRule="atLeast"/>
        <w:rPr>
          <w:rFonts w:eastAsia="Times New Roman" w:cs="Arial"/>
          <w:color w:val="auto"/>
          <w:sz w:val="22"/>
          <w:szCs w:val="22"/>
        </w:rPr>
      </w:pPr>
      <w:r w:rsidRPr="008D0141">
        <w:rPr>
          <w:rFonts w:eastAsia="Times New Roman" w:cs="Arial"/>
          <w:color w:val="auto"/>
          <w:sz w:val="22"/>
          <w:szCs w:val="22"/>
        </w:rPr>
        <w:t>In the event that CarbonNet is made aware of the potential for another survey/s to take place in the same area at the same time as this survey, at least a 40 km (21 nm) separation will be maintained between active sources to ensure sound from one source doesn’t interfere with sound from the other and to reduce the possibility of cumulative sound impacts.</w:t>
      </w:r>
    </w:p>
    <w:p w14:paraId="5EAC17B9" w14:textId="69FFFD52" w:rsidR="008D0141" w:rsidRPr="008D0141" w:rsidRDefault="008D0141" w:rsidP="008D0141">
      <w:pPr>
        <w:pStyle w:val="ColorfulList-Accent110"/>
        <w:numPr>
          <w:ilvl w:val="0"/>
          <w:numId w:val="179"/>
        </w:numPr>
        <w:spacing w:after="0" w:line="260" w:lineRule="atLeast"/>
        <w:rPr>
          <w:rFonts w:eastAsia="Times New Roman" w:cs="Arial"/>
          <w:color w:val="auto"/>
          <w:sz w:val="22"/>
          <w:szCs w:val="22"/>
        </w:rPr>
      </w:pPr>
      <w:r w:rsidRPr="008D0141">
        <w:rPr>
          <w:rFonts w:eastAsia="Times New Roman" w:cs="Arial"/>
          <w:color w:val="auto"/>
          <w:sz w:val="22"/>
          <w:szCs w:val="22"/>
        </w:rPr>
        <w:t>CarbonNet has modified its operating window to exclude November and December (in addition to January) so as to avoid overlapping with the most important period of the year for spawning and larval dispersal of many fish of commercial and recreational fishing importance.</w:t>
      </w:r>
    </w:p>
    <w:p w14:paraId="315D6416" w14:textId="754F5B48" w:rsidR="008D0141" w:rsidRPr="008D0141" w:rsidRDefault="008D0141" w:rsidP="008D0141">
      <w:pPr>
        <w:pStyle w:val="ColorfulList-Accent110"/>
        <w:numPr>
          <w:ilvl w:val="0"/>
          <w:numId w:val="179"/>
        </w:numPr>
        <w:spacing w:after="0" w:line="260" w:lineRule="atLeast"/>
        <w:rPr>
          <w:rFonts w:eastAsia="Times New Roman" w:cs="Arial"/>
          <w:color w:val="auto"/>
          <w:sz w:val="22"/>
          <w:szCs w:val="22"/>
        </w:rPr>
      </w:pPr>
      <w:r w:rsidRPr="008D0141">
        <w:rPr>
          <w:rFonts w:eastAsia="Times New Roman" w:cs="Arial"/>
          <w:color w:val="auto"/>
          <w:sz w:val="22"/>
          <w:szCs w:val="22"/>
        </w:rPr>
        <w:t>A marine environmental assessment is undertaken pre- and post-MSS in order to determine whether immediate mass mortality of commercial scallops or southern rock lobsters takes place during the MSS.</w:t>
      </w:r>
    </w:p>
    <w:p w14:paraId="25004FB0" w14:textId="006DDEFB" w:rsidR="008D0141" w:rsidRPr="008D0141" w:rsidRDefault="008D0141" w:rsidP="008D0141">
      <w:pPr>
        <w:pStyle w:val="ColorfulList-Accent110"/>
        <w:numPr>
          <w:ilvl w:val="0"/>
          <w:numId w:val="179"/>
        </w:numPr>
        <w:spacing w:after="240"/>
        <w:ind w:left="714" w:hanging="357"/>
        <w:rPr>
          <w:rFonts w:eastAsia="Times New Roman" w:cs="Arial"/>
          <w:color w:val="auto"/>
          <w:sz w:val="22"/>
          <w:szCs w:val="22"/>
        </w:rPr>
      </w:pPr>
      <w:r w:rsidRPr="008D0141">
        <w:rPr>
          <w:rFonts w:eastAsia="Times New Roman" w:cs="Arial"/>
          <w:color w:val="auto"/>
          <w:sz w:val="22"/>
          <w:szCs w:val="22"/>
        </w:rPr>
        <w:t xml:space="preserve">The underwater sound validation study is undertaken during the MSS in order to validate the STLM results and determine whether the effects of MSS on benthic invertebrate remain within the 1,220 m radius zone.  </w:t>
      </w:r>
    </w:p>
    <w:p w14:paraId="5AD9CD01" w14:textId="1318849B" w:rsidR="004B51A6" w:rsidRDefault="004B51A6" w:rsidP="004B51A6">
      <w:pPr>
        <w:pStyle w:val="BodyText"/>
        <w:spacing w:after="240"/>
        <w:ind w:left="0"/>
        <w:rPr>
          <w:rFonts w:cs="Arial"/>
          <w:sz w:val="22"/>
          <w:szCs w:val="22"/>
        </w:rPr>
      </w:pPr>
      <w:r w:rsidRPr="00C41138">
        <w:rPr>
          <w:rFonts w:cs="Arial"/>
          <w:sz w:val="22"/>
          <w:szCs w:val="22"/>
        </w:rPr>
        <w:t>Table 7.32</w:t>
      </w:r>
      <w:r w:rsidRPr="000E6B32">
        <w:rPr>
          <w:rFonts w:cs="Arial"/>
          <w:color w:val="FF0000"/>
          <w:sz w:val="22"/>
          <w:szCs w:val="22"/>
        </w:rPr>
        <w:t xml:space="preserve"> </w:t>
      </w:r>
      <w:r>
        <w:rPr>
          <w:rFonts w:cs="Arial"/>
          <w:sz w:val="22"/>
          <w:szCs w:val="22"/>
        </w:rPr>
        <w:t>presents the residual (post-control) impact consequence ratings.</w:t>
      </w:r>
    </w:p>
    <w:p w14:paraId="4FD98239" w14:textId="77777777" w:rsidR="00C41138" w:rsidRDefault="00C41138" w:rsidP="004B51A6">
      <w:pPr>
        <w:pStyle w:val="BodyText"/>
        <w:spacing w:after="240"/>
        <w:ind w:left="0"/>
        <w:rPr>
          <w:rFonts w:cs="Arial"/>
          <w:sz w:val="22"/>
          <w:szCs w:val="22"/>
        </w:rPr>
      </w:pPr>
    </w:p>
    <w:p w14:paraId="0D0F8403" w14:textId="7E7829F3" w:rsidR="001308B3" w:rsidRDefault="001308B3" w:rsidP="001308B3">
      <w:pPr>
        <w:pStyle w:val="TableHeader"/>
        <w:spacing w:after="120"/>
        <w:jc w:val="center"/>
        <w:rPr>
          <w:rFonts w:cs="Arial"/>
          <w:sz w:val="20"/>
          <w:szCs w:val="20"/>
        </w:rPr>
      </w:pPr>
      <w:r w:rsidRPr="00B700A9">
        <w:rPr>
          <w:rFonts w:cs="Arial"/>
          <w:sz w:val="20"/>
          <w:szCs w:val="20"/>
        </w:rPr>
        <w:t xml:space="preserve">Table </w:t>
      </w:r>
      <w:r>
        <w:rPr>
          <w:rFonts w:cs="Arial"/>
          <w:sz w:val="20"/>
          <w:szCs w:val="20"/>
        </w:rPr>
        <w:t>7.</w:t>
      </w:r>
      <w:r w:rsidR="008D0141">
        <w:rPr>
          <w:rFonts w:cs="Arial"/>
          <w:sz w:val="20"/>
          <w:szCs w:val="20"/>
        </w:rPr>
        <w:t>3</w:t>
      </w:r>
      <w:r w:rsidR="0089700C">
        <w:rPr>
          <w:rFonts w:cs="Arial"/>
          <w:sz w:val="20"/>
          <w:szCs w:val="20"/>
        </w:rPr>
        <w:t>2</w:t>
      </w:r>
      <w:r w:rsidRPr="00B700A9">
        <w:rPr>
          <w:rFonts w:cs="Arial"/>
          <w:sz w:val="20"/>
          <w:szCs w:val="20"/>
        </w:rPr>
        <w:t>.</w:t>
      </w:r>
      <w:r w:rsidRPr="00B700A9">
        <w:rPr>
          <w:rFonts w:cs="Arial"/>
          <w:sz w:val="20"/>
          <w:szCs w:val="20"/>
        </w:rPr>
        <w:tab/>
      </w:r>
      <w:r w:rsidR="0014299A">
        <w:rPr>
          <w:rFonts w:cs="Arial"/>
          <w:sz w:val="20"/>
          <w:szCs w:val="20"/>
        </w:rPr>
        <w:t xml:space="preserve">Impact </w:t>
      </w:r>
      <w:r w:rsidR="002A2708">
        <w:rPr>
          <w:rFonts w:cs="Arial"/>
          <w:sz w:val="20"/>
          <w:szCs w:val="20"/>
        </w:rPr>
        <w:t>conserquence</w:t>
      </w:r>
      <w:r>
        <w:rPr>
          <w:rFonts w:cs="Arial"/>
          <w:sz w:val="20"/>
          <w:szCs w:val="20"/>
        </w:rPr>
        <w:t xml:space="preserve"> for effects of underwater sound on commercial</w:t>
      </w:r>
      <w:r w:rsidRPr="00B700A9">
        <w:rPr>
          <w:rFonts w:cs="Arial"/>
          <w:sz w:val="20"/>
          <w:szCs w:val="20"/>
        </w:rPr>
        <w:t xml:space="preserve"> </w:t>
      </w:r>
      <w:r w:rsidR="00E7364D">
        <w:rPr>
          <w:rFonts w:cs="Arial"/>
          <w:sz w:val="20"/>
          <w:szCs w:val="20"/>
        </w:rPr>
        <w:t xml:space="preserve">and recreational </w:t>
      </w:r>
      <w:r w:rsidRPr="00B700A9">
        <w:rPr>
          <w:rFonts w:cs="Arial"/>
          <w:sz w:val="20"/>
          <w:szCs w:val="20"/>
        </w:rPr>
        <w:t>fisheries</w:t>
      </w:r>
      <w:r w:rsidR="009822DA">
        <w:rPr>
          <w:rFonts w:cs="Arial"/>
          <w:sz w:val="20"/>
          <w:szCs w:val="20"/>
        </w:rPr>
        <w:t xml:space="preserve"> (using environmental and financial definitions of consequence)</w:t>
      </w:r>
    </w:p>
    <w:tbl>
      <w:tblPr>
        <w:tblW w:w="6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3827"/>
      </w:tblGrid>
      <w:tr w:rsidR="001D636F" w:rsidRPr="00B700A9" w14:paraId="7339B572" w14:textId="575BE794" w:rsidTr="009822DA">
        <w:trPr>
          <w:cantSplit/>
          <w:jc w:val="center"/>
        </w:trPr>
        <w:tc>
          <w:tcPr>
            <w:tcW w:w="3085" w:type="dxa"/>
            <w:shd w:val="clear" w:color="auto" w:fill="064EA8"/>
          </w:tcPr>
          <w:p w14:paraId="0969B6C2" w14:textId="77777777" w:rsidR="001D636F" w:rsidRPr="009822DA" w:rsidRDefault="001D636F" w:rsidP="008D0141">
            <w:pPr>
              <w:pStyle w:val="TableText"/>
              <w:spacing w:before="60" w:after="60" w:line="240" w:lineRule="auto"/>
              <w:jc w:val="center"/>
              <w:rPr>
                <w:rFonts w:cs="Arial"/>
                <w:color w:val="FFFFFF" w:themeColor="background1"/>
                <w:sz w:val="20"/>
                <w:szCs w:val="20"/>
              </w:rPr>
            </w:pPr>
            <w:r w:rsidRPr="009822DA">
              <w:rPr>
                <w:rFonts w:cs="Arial"/>
                <w:color w:val="FFFFFF" w:themeColor="background1"/>
                <w:sz w:val="20"/>
                <w:szCs w:val="20"/>
              </w:rPr>
              <w:lastRenderedPageBreak/>
              <w:t>Fishery</w:t>
            </w:r>
          </w:p>
        </w:tc>
        <w:tc>
          <w:tcPr>
            <w:tcW w:w="3827" w:type="dxa"/>
            <w:shd w:val="clear" w:color="auto" w:fill="064EA8"/>
          </w:tcPr>
          <w:p w14:paraId="7BD00A34" w14:textId="220C59B4" w:rsidR="001D636F" w:rsidRPr="009822DA" w:rsidDel="00665D08" w:rsidRDefault="001D636F" w:rsidP="008D0141">
            <w:pPr>
              <w:pStyle w:val="TableText"/>
              <w:spacing w:before="60" w:after="60" w:line="240" w:lineRule="auto"/>
              <w:jc w:val="center"/>
              <w:rPr>
                <w:rFonts w:cs="Arial"/>
                <w:color w:val="FFFFFF" w:themeColor="background1"/>
                <w:sz w:val="20"/>
                <w:szCs w:val="20"/>
              </w:rPr>
            </w:pPr>
            <w:r w:rsidRPr="009822DA">
              <w:rPr>
                <w:rFonts w:cs="Arial"/>
                <w:color w:val="FFFFFF" w:themeColor="background1"/>
                <w:sz w:val="20"/>
                <w:szCs w:val="20"/>
              </w:rPr>
              <w:t>Residual</w:t>
            </w:r>
          </w:p>
        </w:tc>
      </w:tr>
      <w:tr w:rsidR="001D636F" w:rsidRPr="00B700A9" w14:paraId="2D073F04" w14:textId="77246D3D" w:rsidTr="00C41138">
        <w:trPr>
          <w:cantSplit/>
          <w:jc w:val="center"/>
        </w:trPr>
        <w:tc>
          <w:tcPr>
            <w:tcW w:w="3085" w:type="dxa"/>
            <w:shd w:val="clear" w:color="auto" w:fill="auto"/>
            <w:vAlign w:val="center"/>
          </w:tcPr>
          <w:p w14:paraId="07F2D1F9" w14:textId="57623D3C" w:rsidR="001D636F" w:rsidRPr="00B700A9" w:rsidRDefault="001D636F" w:rsidP="001308B3">
            <w:pPr>
              <w:pStyle w:val="TableText"/>
              <w:rPr>
                <w:rFonts w:cs="Arial"/>
                <w:sz w:val="20"/>
                <w:szCs w:val="20"/>
              </w:rPr>
            </w:pPr>
            <w:r w:rsidRPr="00B700A9">
              <w:rPr>
                <w:rFonts w:cs="Arial"/>
                <w:sz w:val="20"/>
                <w:szCs w:val="20"/>
              </w:rPr>
              <w:t>Scallop (Vic)</w:t>
            </w:r>
            <w:r>
              <w:rPr>
                <w:rFonts w:cs="Arial"/>
                <w:sz w:val="20"/>
                <w:szCs w:val="20"/>
              </w:rPr>
              <w:t>*</w:t>
            </w:r>
          </w:p>
        </w:tc>
        <w:tc>
          <w:tcPr>
            <w:tcW w:w="3827" w:type="dxa"/>
            <w:shd w:val="clear" w:color="auto" w:fill="00FF00"/>
            <w:vAlign w:val="center"/>
          </w:tcPr>
          <w:p w14:paraId="4B7FC335" w14:textId="3C3B1A32" w:rsidR="001D636F" w:rsidRDefault="001D636F" w:rsidP="001308B3">
            <w:pPr>
              <w:pStyle w:val="TableText"/>
              <w:jc w:val="center"/>
              <w:rPr>
                <w:rFonts w:cs="Arial"/>
                <w:sz w:val="20"/>
                <w:szCs w:val="20"/>
              </w:rPr>
            </w:pPr>
            <w:r>
              <w:rPr>
                <w:rFonts w:cs="Arial"/>
                <w:sz w:val="20"/>
                <w:szCs w:val="20"/>
              </w:rPr>
              <w:t>Minor</w:t>
            </w:r>
          </w:p>
        </w:tc>
      </w:tr>
      <w:tr w:rsidR="001D636F" w:rsidRPr="00E30878" w14:paraId="058A5027" w14:textId="7F70A071" w:rsidTr="00C41138">
        <w:trPr>
          <w:cantSplit/>
          <w:jc w:val="center"/>
        </w:trPr>
        <w:tc>
          <w:tcPr>
            <w:tcW w:w="3085" w:type="dxa"/>
            <w:shd w:val="clear" w:color="auto" w:fill="auto"/>
            <w:vAlign w:val="center"/>
          </w:tcPr>
          <w:p w14:paraId="0A095074" w14:textId="6ED41CBB" w:rsidR="001D636F" w:rsidRPr="00B700A9" w:rsidRDefault="001D636F" w:rsidP="001308B3">
            <w:pPr>
              <w:pStyle w:val="TableText"/>
              <w:rPr>
                <w:rFonts w:cs="Arial"/>
                <w:sz w:val="20"/>
                <w:szCs w:val="20"/>
              </w:rPr>
            </w:pPr>
            <w:r w:rsidRPr="00B700A9">
              <w:rPr>
                <w:rFonts w:cs="Arial"/>
                <w:sz w:val="20"/>
                <w:szCs w:val="20"/>
              </w:rPr>
              <w:t>Rock lobster (Vic)</w:t>
            </w:r>
            <w:r>
              <w:rPr>
                <w:rFonts w:cs="Arial"/>
                <w:sz w:val="20"/>
                <w:szCs w:val="20"/>
              </w:rPr>
              <w:t>*</w:t>
            </w:r>
          </w:p>
        </w:tc>
        <w:tc>
          <w:tcPr>
            <w:tcW w:w="3827" w:type="dxa"/>
            <w:shd w:val="clear" w:color="auto" w:fill="00FF00"/>
          </w:tcPr>
          <w:p w14:paraId="1EC8073D" w14:textId="62EE504D" w:rsidR="001D636F" w:rsidRDefault="001D636F" w:rsidP="001308B3">
            <w:pPr>
              <w:pStyle w:val="TableText"/>
              <w:jc w:val="center"/>
              <w:rPr>
                <w:rFonts w:cs="Arial"/>
                <w:sz w:val="20"/>
                <w:szCs w:val="20"/>
              </w:rPr>
            </w:pPr>
            <w:r>
              <w:rPr>
                <w:rFonts w:cs="Arial"/>
                <w:sz w:val="20"/>
                <w:szCs w:val="20"/>
              </w:rPr>
              <w:t>Minor</w:t>
            </w:r>
            <w:r w:rsidRPr="00933F79" w:rsidDel="00665D08">
              <w:rPr>
                <w:rFonts w:cs="Arial"/>
                <w:sz w:val="20"/>
                <w:szCs w:val="20"/>
                <w:highlight w:val="yellow"/>
              </w:rPr>
              <w:t xml:space="preserve"> </w:t>
            </w:r>
          </w:p>
        </w:tc>
      </w:tr>
      <w:tr w:rsidR="001D636F" w:rsidRPr="00E30878" w14:paraId="5A0B8995" w14:textId="7ACA701F" w:rsidTr="00C41138">
        <w:trPr>
          <w:cantSplit/>
          <w:jc w:val="center"/>
        </w:trPr>
        <w:tc>
          <w:tcPr>
            <w:tcW w:w="3085" w:type="dxa"/>
            <w:shd w:val="clear" w:color="auto" w:fill="auto"/>
            <w:vAlign w:val="center"/>
          </w:tcPr>
          <w:p w14:paraId="263189D0" w14:textId="77777777" w:rsidR="001D636F" w:rsidRPr="00B700A9" w:rsidRDefault="001D636F" w:rsidP="001308B3">
            <w:pPr>
              <w:pStyle w:val="TableText"/>
              <w:rPr>
                <w:rFonts w:cs="Arial"/>
                <w:sz w:val="20"/>
                <w:szCs w:val="20"/>
              </w:rPr>
            </w:pPr>
            <w:r w:rsidRPr="00B700A9">
              <w:rPr>
                <w:rFonts w:cs="Arial"/>
                <w:sz w:val="20"/>
                <w:szCs w:val="20"/>
              </w:rPr>
              <w:t>Ocean access (Vic)</w:t>
            </w:r>
          </w:p>
        </w:tc>
        <w:tc>
          <w:tcPr>
            <w:tcW w:w="3827" w:type="dxa"/>
            <w:shd w:val="clear" w:color="auto" w:fill="CCFFCC"/>
          </w:tcPr>
          <w:p w14:paraId="433C419C" w14:textId="48260507" w:rsidR="001D636F" w:rsidRDefault="001D636F" w:rsidP="001308B3">
            <w:pPr>
              <w:pStyle w:val="TableText"/>
              <w:jc w:val="center"/>
              <w:rPr>
                <w:rFonts w:cs="Arial"/>
                <w:sz w:val="20"/>
                <w:szCs w:val="20"/>
              </w:rPr>
            </w:pPr>
            <w:r>
              <w:rPr>
                <w:rFonts w:cs="Arial"/>
                <w:sz w:val="20"/>
                <w:szCs w:val="20"/>
              </w:rPr>
              <w:t>Insignificant</w:t>
            </w:r>
          </w:p>
        </w:tc>
      </w:tr>
      <w:tr w:rsidR="001D636F" w:rsidRPr="00E30878" w14:paraId="1B403319" w14:textId="79ADCA52" w:rsidTr="00C41138">
        <w:trPr>
          <w:cantSplit/>
          <w:jc w:val="center"/>
        </w:trPr>
        <w:tc>
          <w:tcPr>
            <w:tcW w:w="3085" w:type="dxa"/>
            <w:shd w:val="clear" w:color="auto" w:fill="auto"/>
            <w:vAlign w:val="center"/>
          </w:tcPr>
          <w:p w14:paraId="07AA0508" w14:textId="77777777" w:rsidR="001D636F" w:rsidRPr="00B700A9" w:rsidRDefault="001D636F" w:rsidP="001308B3">
            <w:pPr>
              <w:pStyle w:val="TableText"/>
              <w:rPr>
                <w:rFonts w:cs="Arial"/>
                <w:sz w:val="20"/>
                <w:szCs w:val="20"/>
              </w:rPr>
            </w:pPr>
            <w:r w:rsidRPr="00B700A9">
              <w:rPr>
                <w:rFonts w:cs="Arial"/>
                <w:sz w:val="20"/>
                <w:szCs w:val="20"/>
              </w:rPr>
              <w:t>Ocean purse seine (Vic)</w:t>
            </w:r>
          </w:p>
        </w:tc>
        <w:tc>
          <w:tcPr>
            <w:tcW w:w="3827" w:type="dxa"/>
            <w:shd w:val="clear" w:color="auto" w:fill="CCFFCC"/>
          </w:tcPr>
          <w:p w14:paraId="1B37A507" w14:textId="759BBBF3" w:rsidR="001D636F" w:rsidRDefault="001D636F" w:rsidP="001308B3">
            <w:pPr>
              <w:pStyle w:val="TableText"/>
              <w:jc w:val="center"/>
              <w:rPr>
                <w:rFonts w:cs="Arial"/>
                <w:sz w:val="20"/>
                <w:szCs w:val="20"/>
              </w:rPr>
            </w:pPr>
            <w:r>
              <w:rPr>
                <w:rFonts w:cs="Arial"/>
                <w:sz w:val="20"/>
                <w:szCs w:val="20"/>
              </w:rPr>
              <w:t>Insignificant</w:t>
            </w:r>
          </w:p>
        </w:tc>
      </w:tr>
      <w:tr w:rsidR="001D636F" w:rsidRPr="00E30878" w14:paraId="78F0B657" w14:textId="40C2AD1F" w:rsidTr="00C41138">
        <w:trPr>
          <w:cantSplit/>
          <w:jc w:val="center"/>
        </w:trPr>
        <w:tc>
          <w:tcPr>
            <w:tcW w:w="3085" w:type="dxa"/>
            <w:shd w:val="clear" w:color="auto" w:fill="auto"/>
            <w:vAlign w:val="center"/>
          </w:tcPr>
          <w:p w14:paraId="08F5010E" w14:textId="77777777" w:rsidR="001D636F" w:rsidRPr="00B700A9" w:rsidRDefault="001D636F" w:rsidP="001308B3">
            <w:pPr>
              <w:pStyle w:val="TableText"/>
              <w:rPr>
                <w:rFonts w:cs="Arial"/>
                <w:sz w:val="20"/>
                <w:szCs w:val="20"/>
              </w:rPr>
            </w:pPr>
            <w:r w:rsidRPr="00B700A9">
              <w:rPr>
                <w:rFonts w:cs="Arial"/>
                <w:sz w:val="20"/>
                <w:szCs w:val="20"/>
              </w:rPr>
              <w:t>Inshore trawl (Vic)</w:t>
            </w:r>
          </w:p>
        </w:tc>
        <w:tc>
          <w:tcPr>
            <w:tcW w:w="3827" w:type="dxa"/>
            <w:shd w:val="clear" w:color="auto" w:fill="CCFFCC"/>
          </w:tcPr>
          <w:p w14:paraId="07786538" w14:textId="72865462" w:rsidR="001D636F" w:rsidRDefault="001D636F" w:rsidP="001308B3">
            <w:pPr>
              <w:pStyle w:val="TableText"/>
              <w:jc w:val="center"/>
              <w:rPr>
                <w:rFonts w:cs="Arial"/>
                <w:sz w:val="20"/>
                <w:szCs w:val="20"/>
              </w:rPr>
            </w:pPr>
            <w:r>
              <w:rPr>
                <w:rFonts w:cs="Arial"/>
                <w:sz w:val="20"/>
                <w:szCs w:val="20"/>
              </w:rPr>
              <w:t>Insignificant</w:t>
            </w:r>
          </w:p>
        </w:tc>
      </w:tr>
      <w:tr w:rsidR="001D636F" w:rsidRPr="00E30878" w14:paraId="3F29F70B" w14:textId="30CFB87D" w:rsidTr="00C41138">
        <w:trPr>
          <w:cantSplit/>
          <w:jc w:val="center"/>
        </w:trPr>
        <w:tc>
          <w:tcPr>
            <w:tcW w:w="3085" w:type="dxa"/>
            <w:shd w:val="clear" w:color="auto" w:fill="auto"/>
            <w:vAlign w:val="center"/>
          </w:tcPr>
          <w:p w14:paraId="45902509" w14:textId="77777777" w:rsidR="001D636F" w:rsidRPr="00B700A9" w:rsidRDefault="001D636F" w:rsidP="001308B3">
            <w:pPr>
              <w:pStyle w:val="TableText"/>
              <w:rPr>
                <w:rFonts w:cs="Arial"/>
                <w:sz w:val="20"/>
                <w:szCs w:val="20"/>
              </w:rPr>
            </w:pPr>
            <w:r w:rsidRPr="00B700A9">
              <w:rPr>
                <w:rFonts w:cs="Arial"/>
                <w:sz w:val="20"/>
                <w:szCs w:val="20"/>
              </w:rPr>
              <w:t>Southern squid jig (Cth)</w:t>
            </w:r>
          </w:p>
        </w:tc>
        <w:tc>
          <w:tcPr>
            <w:tcW w:w="3827" w:type="dxa"/>
            <w:shd w:val="clear" w:color="auto" w:fill="CCFFCC"/>
          </w:tcPr>
          <w:p w14:paraId="2BE54E28" w14:textId="26601E3A" w:rsidR="001D636F" w:rsidRDefault="001D636F" w:rsidP="001308B3">
            <w:pPr>
              <w:pStyle w:val="TableText"/>
              <w:jc w:val="center"/>
              <w:rPr>
                <w:rFonts w:cs="Arial"/>
                <w:sz w:val="20"/>
                <w:szCs w:val="20"/>
              </w:rPr>
            </w:pPr>
            <w:r>
              <w:rPr>
                <w:rFonts w:cs="Arial"/>
                <w:sz w:val="20"/>
                <w:szCs w:val="20"/>
              </w:rPr>
              <w:t>Insignificant</w:t>
            </w:r>
          </w:p>
        </w:tc>
      </w:tr>
      <w:tr w:rsidR="001D636F" w:rsidRPr="00E30878" w14:paraId="3687FF08" w14:textId="16F41798" w:rsidTr="00C41138">
        <w:trPr>
          <w:cantSplit/>
          <w:jc w:val="center"/>
        </w:trPr>
        <w:tc>
          <w:tcPr>
            <w:tcW w:w="3085" w:type="dxa"/>
            <w:shd w:val="clear" w:color="auto" w:fill="auto"/>
            <w:vAlign w:val="center"/>
          </w:tcPr>
          <w:p w14:paraId="47F7281A" w14:textId="77777777" w:rsidR="001D636F" w:rsidRPr="00B700A9" w:rsidRDefault="001D636F" w:rsidP="001308B3">
            <w:pPr>
              <w:pStyle w:val="TableText"/>
              <w:rPr>
                <w:rFonts w:cs="Arial"/>
                <w:sz w:val="20"/>
                <w:szCs w:val="20"/>
              </w:rPr>
            </w:pPr>
            <w:r w:rsidRPr="00B700A9">
              <w:rPr>
                <w:rFonts w:cs="Arial"/>
                <w:sz w:val="20"/>
                <w:szCs w:val="20"/>
              </w:rPr>
              <w:t>Gillnet &amp; shark hook (Cth)</w:t>
            </w:r>
          </w:p>
        </w:tc>
        <w:tc>
          <w:tcPr>
            <w:tcW w:w="3827" w:type="dxa"/>
            <w:shd w:val="clear" w:color="auto" w:fill="00FF00"/>
          </w:tcPr>
          <w:p w14:paraId="2D39EB80" w14:textId="50745CD4" w:rsidR="001D636F" w:rsidRDefault="001D636F" w:rsidP="001308B3">
            <w:pPr>
              <w:pStyle w:val="TableText"/>
              <w:jc w:val="center"/>
              <w:rPr>
                <w:rFonts w:cs="Arial"/>
                <w:sz w:val="20"/>
                <w:szCs w:val="20"/>
              </w:rPr>
            </w:pPr>
            <w:r>
              <w:rPr>
                <w:rFonts w:cs="Arial"/>
                <w:sz w:val="20"/>
                <w:szCs w:val="20"/>
              </w:rPr>
              <w:t>Minor</w:t>
            </w:r>
          </w:p>
        </w:tc>
      </w:tr>
    </w:tbl>
    <w:p w14:paraId="16106E69" w14:textId="543908E4" w:rsidR="00EE6FC7" w:rsidRPr="00B03966" w:rsidRDefault="00B03966" w:rsidP="00B03966">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445" w:name="_Toc501230888"/>
      <w:bookmarkStart w:id="446" w:name="_Toc501312679"/>
      <w:bookmarkStart w:id="447" w:name="_Toc501230889"/>
      <w:bookmarkStart w:id="448" w:name="_Toc501312680"/>
      <w:bookmarkStart w:id="449" w:name="_Toc501230890"/>
      <w:bookmarkStart w:id="450" w:name="_Toc501312681"/>
      <w:bookmarkStart w:id="451" w:name="_Toc320190764"/>
      <w:bookmarkStart w:id="452" w:name="_Toc375214605"/>
      <w:bookmarkEnd w:id="445"/>
      <w:bookmarkEnd w:id="446"/>
      <w:bookmarkEnd w:id="447"/>
      <w:bookmarkEnd w:id="448"/>
      <w:bookmarkEnd w:id="449"/>
      <w:bookmarkEnd w:id="450"/>
      <w:r>
        <w:rPr>
          <w:rFonts w:cs="Times New Roman"/>
          <w:iCs w:val="0"/>
          <w:color w:val="064EA8"/>
          <w:szCs w:val="26"/>
          <w:lang w:eastAsia="en-US"/>
        </w:rPr>
        <w:t xml:space="preserve">IMPACT: </w:t>
      </w:r>
      <w:r w:rsidR="00EE6FC7" w:rsidRPr="00B03966">
        <w:rPr>
          <w:rFonts w:cs="Times New Roman"/>
          <w:iCs w:val="0"/>
          <w:color w:val="064EA8"/>
          <w:szCs w:val="26"/>
          <w:lang w:eastAsia="en-US"/>
        </w:rPr>
        <w:t>Atmospheric Emissions</w:t>
      </w:r>
      <w:bookmarkEnd w:id="451"/>
      <w:bookmarkEnd w:id="452"/>
    </w:p>
    <w:p w14:paraId="0F687356" w14:textId="77777777" w:rsidR="00EE6FC7" w:rsidRDefault="00EE6FC7" w:rsidP="00443F5D">
      <w:pPr>
        <w:pStyle w:val="Heading3"/>
      </w:pPr>
      <w:bookmarkStart w:id="453" w:name="_Toc477947857"/>
      <w:bookmarkStart w:id="454" w:name="_Toc479764046"/>
      <w:bookmarkStart w:id="455" w:name="_Toc375214606"/>
      <w:r>
        <w:t>Hazard</w:t>
      </w:r>
      <w:bookmarkEnd w:id="453"/>
      <w:bookmarkEnd w:id="454"/>
      <w:bookmarkEnd w:id="455"/>
    </w:p>
    <w:p w14:paraId="351D5EC5" w14:textId="77777777" w:rsidR="004F73BC" w:rsidRPr="00332A50" w:rsidRDefault="004F73BC" w:rsidP="00443F5D">
      <w:pPr>
        <w:spacing w:after="120"/>
        <w:ind w:left="0"/>
        <w:rPr>
          <w:rFonts w:cs="Arial"/>
          <w:sz w:val="22"/>
          <w:szCs w:val="22"/>
        </w:rPr>
      </w:pPr>
      <w:r w:rsidRPr="00332A50">
        <w:rPr>
          <w:rFonts w:cs="Arial"/>
          <w:sz w:val="22"/>
          <w:szCs w:val="22"/>
        </w:rPr>
        <w:t>The following activity will generate atmospheric emissions:</w:t>
      </w:r>
    </w:p>
    <w:p w14:paraId="42C96BB5" w14:textId="77777777" w:rsidR="004F73BC" w:rsidRPr="00332A50" w:rsidRDefault="004F73BC" w:rsidP="00567567">
      <w:pPr>
        <w:pStyle w:val="ColorfulList-Accent11"/>
        <w:numPr>
          <w:ilvl w:val="0"/>
          <w:numId w:val="171"/>
        </w:numPr>
        <w:rPr>
          <w:rFonts w:cs="Arial"/>
          <w:sz w:val="22"/>
          <w:szCs w:val="22"/>
        </w:rPr>
      </w:pPr>
      <w:r w:rsidRPr="00332A50">
        <w:rPr>
          <w:rFonts w:cs="Arial"/>
          <w:sz w:val="22"/>
          <w:szCs w:val="22"/>
        </w:rPr>
        <w:t xml:space="preserve">Combustion of marine diesel from the vessel engines, generators and fixed and mobile deck equipment during the survey. </w:t>
      </w:r>
    </w:p>
    <w:p w14:paraId="4435C4D0" w14:textId="77777777" w:rsidR="00EE6FC7" w:rsidRPr="00332A50" w:rsidRDefault="00EE6FC7" w:rsidP="00443F5D">
      <w:pPr>
        <w:pStyle w:val="Heading3"/>
      </w:pPr>
      <w:bookmarkStart w:id="456" w:name="_Toc477947858"/>
      <w:bookmarkStart w:id="457" w:name="_Toc479764047"/>
      <w:bookmarkStart w:id="458" w:name="_Toc375214607"/>
      <w:r w:rsidRPr="00332A50">
        <w:t>Known and Potential Environmental Impacts</w:t>
      </w:r>
      <w:bookmarkEnd w:id="456"/>
      <w:bookmarkEnd w:id="457"/>
      <w:bookmarkEnd w:id="458"/>
    </w:p>
    <w:p w14:paraId="5DCC3308" w14:textId="77777777" w:rsidR="004F73BC" w:rsidRPr="00332A50" w:rsidRDefault="004F73BC" w:rsidP="00443F5D">
      <w:pPr>
        <w:spacing w:after="120"/>
        <w:ind w:left="0"/>
        <w:rPr>
          <w:rFonts w:cs="Arial"/>
          <w:sz w:val="22"/>
          <w:szCs w:val="22"/>
        </w:rPr>
      </w:pPr>
      <w:r w:rsidRPr="00332A50">
        <w:rPr>
          <w:rFonts w:cs="Arial"/>
          <w:sz w:val="22"/>
          <w:szCs w:val="22"/>
        </w:rPr>
        <w:t xml:space="preserve">The known and potential environmental impacts of atmospheric emissions are: </w:t>
      </w:r>
    </w:p>
    <w:p w14:paraId="7DCEA114" w14:textId="77777777" w:rsidR="004F73BC" w:rsidRPr="00332A50" w:rsidRDefault="004F73BC" w:rsidP="00567567">
      <w:pPr>
        <w:pStyle w:val="ColorfulList-Accent11"/>
        <w:numPr>
          <w:ilvl w:val="0"/>
          <w:numId w:val="171"/>
        </w:numPr>
        <w:rPr>
          <w:rFonts w:cs="Arial"/>
          <w:sz w:val="22"/>
          <w:szCs w:val="22"/>
        </w:rPr>
      </w:pPr>
      <w:r w:rsidRPr="00332A50">
        <w:rPr>
          <w:rFonts w:cs="Arial"/>
          <w:sz w:val="22"/>
          <w:szCs w:val="22"/>
        </w:rPr>
        <w:t>Localised and temporary decrease in air quality due to gaseous emissions and particulates from diesel combustion; and</w:t>
      </w:r>
    </w:p>
    <w:p w14:paraId="7B068109" w14:textId="56DD4339" w:rsidR="004F73BC" w:rsidRPr="00332A50" w:rsidRDefault="005C658B" w:rsidP="00567567">
      <w:pPr>
        <w:pStyle w:val="ColorfulList-Accent11"/>
        <w:numPr>
          <w:ilvl w:val="0"/>
          <w:numId w:val="171"/>
        </w:numPr>
        <w:rPr>
          <w:rFonts w:cs="Arial"/>
          <w:sz w:val="22"/>
          <w:szCs w:val="22"/>
        </w:rPr>
      </w:pPr>
      <w:r w:rsidRPr="00332A50">
        <w:rPr>
          <w:rFonts w:cs="Arial"/>
          <w:sz w:val="22"/>
          <w:szCs w:val="22"/>
        </w:rPr>
        <w:t>Incremental build-up of</w:t>
      </w:r>
      <w:r w:rsidR="004F73BC" w:rsidRPr="00332A50">
        <w:rPr>
          <w:rFonts w:cs="Arial"/>
          <w:sz w:val="22"/>
          <w:szCs w:val="22"/>
        </w:rPr>
        <w:t xml:space="preserve"> GHG </w:t>
      </w:r>
      <w:r w:rsidRPr="00332A50">
        <w:rPr>
          <w:rFonts w:cs="Arial"/>
          <w:sz w:val="22"/>
          <w:szCs w:val="22"/>
        </w:rPr>
        <w:t>in the atmosphere (influencing climate change)</w:t>
      </w:r>
      <w:r w:rsidR="004F73BC" w:rsidRPr="00332A50">
        <w:rPr>
          <w:rFonts w:cs="Arial"/>
          <w:sz w:val="22"/>
          <w:szCs w:val="22"/>
        </w:rPr>
        <w:t>.</w:t>
      </w:r>
    </w:p>
    <w:p w14:paraId="4EA5662F" w14:textId="77777777" w:rsidR="00EE6FC7" w:rsidRPr="00332A50" w:rsidRDefault="00EE6FC7" w:rsidP="00443F5D">
      <w:pPr>
        <w:pStyle w:val="Heading3"/>
      </w:pPr>
      <w:bookmarkStart w:id="459" w:name="_Toc477947860"/>
      <w:bookmarkStart w:id="460" w:name="_Toc479764049"/>
      <w:bookmarkStart w:id="461" w:name="_Toc375214608"/>
      <w:r w:rsidRPr="00332A50">
        <w:t>Evaluation of Environmental Impacts</w:t>
      </w:r>
      <w:bookmarkEnd w:id="459"/>
      <w:bookmarkEnd w:id="460"/>
      <w:bookmarkEnd w:id="461"/>
    </w:p>
    <w:p w14:paraId="217821A6" w14:textId="7C9372DE" w:rsidR="00276B44" w:rsidRPr="00332A50" w:rsidRDefault="00276B44" w:rsidP="00276B44">
      <w:pPr>
        <w:spacing w:after="120"/>
        <w:ind w:left="0"/>
        <w:rPr>
          <w:rFonts w:cs="Arial"/>
          <w:sz w:val="22"/>
          <w:szCs w:val="22"/>
        </w:rPr>
      </w:pPr>
      <w:r w:rsidRPr="00332A50">
        <w:rPr>
          <w:rFonts w:cs="Arial"/>
          <w:sz w:val="22"/>
          <w:szCs w:val="22"/>
        </w:rPr>
        <w:t>The combustion of diesel fuel can create continuous or discontinuous plumes of particulate matter (soot or black smoke) and the emission of non-GHG, such as sulphur oxides (SO</w:t>
      </w:r>
      <w:r w:rsidRPr="00332A50">
        <w:rPr>
          <w:rFonts w:cs="Arial"/>
          <w:sz w:val="22"/>
          <w:szCs w:val="22"/>
          <w:vertAlign w:val="subscript"/>
        </w:rPr>
        <w:t>X</w:t>
      </w:r>
      <w:r w:rsidRPr="00332A50">
        <w:rPr>
          <w:rFonts w:cs="Arial"/>
          <w:sz w:val="22"/>
          <w:szCs w:val="22"/>
        </w:rPr>
        <w:t>) and nitrous oxides (NO</w:t>
      </w:r>
      <w:r w:rsidRPr="00332A50">
        <w:rPr>
          <w:rFonts w:cs="Arial"/>
          <w:sz w:val="22"/>
          <w:szCs w:val="22"/>
          <w:vertAlign w:val="subscript"/>
        </w:rPr>
        <w:t>X</w:t>
      </w:r>
      <w:r w:rsidRPr="00332A50">
        <w:rPr>
          <w:rFonts w:cs="Arial"/>
          <w:sz w:val="22"/>
          <w:szCs w:val="22"/>
        </w:rPr>
        <w:t xml:space="preserve">). </w:t>
      </w:r>
      <w:r w:rsidR="008D0141">
        <w:rPr>
          <w:rFonts w:cs="Arial"/>
          <w:sz w:val="22"/>
          <w:szCs w:val="22"/>
        </w:rPr>
        <w:t>T</w:t>
      </w:r>
      <w:r w:rsidRPr="00332A50">
        <w:rPr>
          <w:rFonts w:cs="Arial"/>
          <w:sz w:val="22"/>
          <w:szCs w:val="22"/>
        </w:rPr>
        <w:t xml:space="preserve">he inhalation of particulate matter may affect the respiratory systems of fauna. </w:t>
      </w:r>
      <w:r w:rsidR="00AF228E" w:rsidRPr="00332A50">
        <w:rPr>
          <w:rFonts w:cs="Arial"/>
          <w:sz w:val="22"/>
          <w:szCs w:val="22"/>
        </w:rPr>
        <w:t xml:space="preserve">In the proposed acquisition area, </w:t>
      </w:r>
      <w:r w:rsidRPr="00332A50">
        <w:rPr>
          <w:rFonts w:cs="Arial"/>
          <w:sz w:val="22"/>
          <w:szCs w:val="22"/>
        </w:rPr>
        <w:t xml:space="preserve">this is limited to seabirds overflying the vessels. </w:t>
      </w:r>
    </w:p>
    <w:p w14:paraId="398AECD9" w14:textId="1ED16E0C" w:rsidR="00A22E13" w:rsidRDefault="00A22E13" w:rsidP="00A22E13">
      <w:pPr>
        <w:spacing w:after="120"/>
        <w:ind w:left="0"/>
        <w:rPr>
          <w:rFonts w:cs="Arial"/>
          <w:sz w:val="22"/>
          <w:szCs w:val="22"/>
        </w:rPr>
      </w:pPr>
      <w:r w:rsidRPr="00332A50">
        <w:rPr>
          <w:rFonts w:cs="Arial"/>
          <w:sz w:val="22"/>
          <w:szCs w:val="22"/>
        </w:rPr>
        <w:t>Particulate matter released from the source and support vessels is not likely to impact on the health or amenity of the nearest human coastal settlements (e.g., Golden Beach and Paradise Beach), as offshore winds will rapidly disperse and dilute particulate matter. This rapid dispersion and dilution will also ensure that seabirds are not exposed to concentrated plumes of particulate matter from vessel exhaust points.</w:t>
      </w:r>
    </w:p>
    <w:p w14:paraId="0E8AD1B6" w14:textId="5EC8EBA5" w:rsidR="00342F67" w:rsidRPr="00332A50" w:rsidRDefault="00276B44" w:rsidP="00443F5D">
      <w:pPr>
        <w:spacing w:after="120"/>
        <w:ind w:left="0"/>
        <w:rPr>
          <w:rFonts w:cs="Arial"/>
          <w:szCs w:val="20"/>
        </w:rPr>
      </w:pPr>
      <w:r w:rsidRPr="00332A50">
        <w:rPr>
          <w:rFonts w:cs="Arial"/>
          <w:sz w:val="22"/>
          <w:szCs w:val="22"/>
        </w:rPr>
        <w:t>The use of fuel to power engines, generators and any mobile/fixed plant will result in gaseous emissions of GHG such as carbon dioxide (CO</w:t>
      </w:r>
      <w:r w:rsidRPr="00332A50">
        <w:rPr>
          <w:rFonts w:cs="Arial"/>
          <w:sz w:val="22"/>
          <w:szCs w:val="22"/>
          <w:vertAlign w:val="subscript"/>
        </w:rPr>
        <w:t>2</w:t>
      </w:r>
      <w:r w:rsidRPr="00332A50">
        <w:rPr>
          <w:rFonts w:cs="Arial"/>
          <w:sz w:val="22"/>
          <w:szCs w:val="22"/>
        </w:rPr>
        <w:t>), methane (CH</w:t>
      </w:r>
      <w:r w:rsidRPr="00332A50">
        <w:rPr>
          <w:rFonts w:cs="Arial"/>
          <w:sz w:val="22"/>
          <w:szCs w:val="22"/>
          <w:vertAlign w:val="subscript"/>
        </w:rPr>
        <w:t>4</w:t>
      </w:r>
      <w:r w:rsidRPr="00332A50">
        <w:rPr>
          <w:rFonts w:cs="Arial"/>
          <w:sz w:val="22"/>
          <w:szCs w:val="22"/>
        </w:rPr>
        <w:t>) and nitrous oxide (N</w:t>
      </w:r>
      <w:r w:rsidRPr="00332A50">
        <w:rPr>
          <w:rFonts w:cs="Arial"/>
          <w:sz w:val="22"/>
          <w:szCs w:val="22"/>
          <w:vertAlign w:val="subscript"/>
        </w:rPr>
        <w:t>2</w:t>
      </w:r>
      <w:r w:rsidRPr="00332A50">
        <w:rPr>
          <w:rFonts w:cs="Arial"/>
          <w:sz w:val="22"/>
          <w:szCs w:val="22"/>
        </w:rPr>
        <w:t>O)</w:t>
      </w:r>
      <w:r w:rsidR="00A22E13" w:rsidRPr="00332A50">
        <w:rPr>
          <w:rFonts w:cs="Arial"/>
          <w:sz w:val="22"/>
          <w:szCs w:val="22"/>
        </w:rPr>
        <w:t>. While these emissions add to the GHG load in the atmosphere, which adds to global warming potential, they are relatively small on a global scale, representing an insignificant contribution to overall GHG emissions. The activity is similar to other industrial activities contributing to the accumulation of GHG in the atmosphere.</w:t>
      </w:r>
    </w:p>
    <w:p w14:paraId="5D13CDB7" w14:textId="2355D010" w:rsidR="00EE6FC7" w:rsidRPr="00332A50" w:rsidRDefault="00A367B2" w:rsidP="00443F5D">
      <w:pPr>
        <w:pStyle w:val="Heading3"/>
      </w:pPr>
      <w:bookmarkStart w:id="462" w:name="_Toc477947863"/>
      <w:bookmarkStart w:id="463" w:name="_Toc479764052"/>
      <w:bookmarkStart w:id="464" w:name="_Toc375214609"/>
      <w:r>
        <w:t xml:space="preserve">Control Measures &amp; </w:t>
      </w:r>
      <w:r w:rsidR="00F72980" w:rsidRPr="00332A50">
        <w:t>Impact</w:t>
      </w:r>
      <w:r w:rsidR="00EE6FC7" w:rsidRPr="00332A50">
        <w:t xml:space="preserve"> </w:t>
      </w:r>
      <w:bookmarkEnd w:id="462"/>
      <w:bookmarkEnd w:id="463"/>
      <w:r>
        <w:t>Consequence</w:t>
      </w:r>
      <w:bookmarkEnd w:id="464"/>
    </w:p>
    <w:p w14:paraId="38BC79A2" w14:textId="78492F1C" w:rsidR="004B51A6" w:rsidRDefault="004B51A6" w:rsidP="004B51A6">
      <w:pPr>
        <w:pStyle w:val="BodyText"/>
        <w:ind w:left="0"/>
        <w:rPr>
          <w:rFonts w:cs="Arial"/>
          <w:sz w:val="22"/>
          <w:szCs w:val="22"/>
        </w:rPr>
      </w:pPr>
      <w:r>
        <w:rPr>
          <w:rFonts w:cs="Arial"/>
          <w:sz w:val="22"/>
          <w:szCs w:val="22"/>
        </w:rPr>
        <w:t xml:space="preserve">The following control measures will be implemented to minimise the impacts of atmospheric emissions: </w:t>
      </w:r>
    </w:p>
    <w:p w14:paraId="79E3F1B4" w14:textId="0770CB51" w:rsidR="004B51A6" w:rsidRPr="004B51A6" w:rsidRDefault="004B51A6" w:rsidP="004B51A6">
      <w:pPr>
        <w:pStyle w:val="ColorfulList-Accent110"/>
        <w:numPr>
          <w:ilvl w:val="0"/>
          <w:numId w:val="179"/>
        </w:numPr>
        <w:spacing w:after="0" w:line="260" w:lineRule="atLeast"/>
        <w:rPr>
          <w:rFonts w:eastAsia="Times New Roman" w:cs="Arial"/>
          <w:color w:val="auto"/>
          <w:sz w:val="22"/>
          <w:szCs w:val="22"/>
        </w:rPr>
      </w:pPr>
      <w:r w:rsidRPr="004B51A6">
        <w:rPr>
          <w:rFonts w:eastAsia="Times New Roman" w:cs="Arial"/>
          <w:color w:val="auto"/>
          <w:sz w:val="22"/>
          <w:szCs w:val="22"/>
        </w:rPr>
        <w:lastRenderedPageBreak/>
        <w:t>Only low-sulphur (&lt;3.5% m/m) marine-grade diesel will be used in order to minimise SOx emissions.</w:t>
      </w:r>
    </w:p>
    <w:p w14:paraId="3192FD6A" w14:textId="0C8EDE0B" w:rsidR="004B51A6" w:rsidRPr="004B51A6" w:rsidRDefault="004B51A6" w:rsidP="004B51A6">
      <w:pPr>
        <w:pStyle w:val="ColorfulList-Accent110"/>
        <w:numPr>
          <w:ilvl w:val="0"/>
          <w:numId w:val="179"/>
        </w:numPr>
        <w:spacing w:after="0" w:line="260" w:lineRule="atLeast"/>
        <w:rPr>
          <w:rFonts w:eastAsia="Times New Roman" w:cs="Arial"/>
          <w:color w:val="auto"/>
          <w:sz w:val="22"/>
          <w:szCs w:val="22"/>
        </w:rPr>
      </w:pPr>
      <w:r w:rsidRPr="004B51A6">
        <w:rPr>
          <w:rFonts w:eastAsia="Times New Roman" w:cs="Arial"/>
          <w:color w:val="auto"/>
          <w:sz w:val="22"/>
          <w:szCs w:val="22"/>
        </w:rPr>
        <w:t>All combustion equipment is maintained in accordance with the PMS (or equivalent).</w:t>
      </w:r>
    </w:p>
    <w:p w14:paraId="41F685D2" w14:textId="3A785946" w:rsidR="004B51A6" w:rsidRPr="004B51A6" w:rsidRDefault="004B51A6" w:rsidP="004B51A6">
      <w:pPr>
        <w:pStyle w:val="ColorfulList-Accent110"/>
        <w:numPr>
          <w:ilvl w:val="0"/>
          <w:numId w:val="179"/>
        </w:numPr>
        <w:spacing w:after="0" w:line="260" w:lineRule="atLeast"/>
        <w:rPr>
          <w:rFonts w:eastAsia="Times New Roman" w:cs="Arial"/>
          <w:color w:val="auto"/>
          <w:sz w:val="22"/>
          <w:szCs w:val="22"/>
        </w:rPr>
      </w:pPr>
      <w:r w:rsidRPr="004B51A6">
        <w:rPr>
          <w:rFonts w:eastAsia="Times New Roman" w:cs="Arial"/>
          <w:color w:val="auto"/>
          <w:sz w:val="22"/>
          <w:szCs w:val="22"/>
        </w:rPr>
        <w:t>Vessels with gross tonnage &gt;400 tonnes possess equipment, systems, fittings, arrangements and materials that comply with the applicable requirements of MARPOL Annex VI.</w:t>
      </w:r>
    </w:p>
    <w:p w14:paraId="2978939F" w14:textId="4383667F" w:rsidR="004B51A6" w:rsidRPr="004B51A6" w:rsidRDefault="004B51A6" w:rsidP="004B51A6">
      <w:pPr>
        <w:pStyle w:val="ColorfulList-Accent110"/>
        <w:numPr>
          <w:ilvl w:val="0"/>
          <w:numId w:val="179"/>
        </w:numPr>
        <w:spacing w:after="0" w:line="260" w:lineRule="atLeast"/>
        <w:rPr>
          <w:rFonts w:eastAsia="Times New Roman" w:cs="Arial"/>
          <w:color w:val="auto"/>
          <w:sz w:val="22"/>
          <w:szCs w:val="22"/>
        </w:rPr>
      </w:pPr>
      <w:r w:rsidRPr="004B51A6">
        <w:rPr>
          <w:rFonts w:eastAsia="Times New Roman" w:cs="Arial"/>
          <w:color w:val="auto"/>
          <w:sz w:val="22"/>
          <w:szCs w:val="22"/>
        </w:rPr>
        <w:t>Vessels &gt;400 gross tonnes and involved in an international voyage implement their Ship Energy Efficiency Management Plan (SEEMP) to monitor and reduce air emissions.</w:t>
      </w:r>
    </w:p>
    <w:p w14:paraId="11C3F56F" w14:textId="44523D61" w:rsidR="004B51A6" w:rsidRPr="004B51A6" w:rsidRDefault="004B51A6" w:rsidP="004B51A6">
      <w:pPr>
        <w:pStyle w:val="ColorfulList-Accent110"/>
        <w:numPr>
          <w:ilvl w:val="0"/>
          <w:numId w:val="179"/>
        </w:numPr>
        <w:spacing w:after="0" w:line="260" w:lineRule="atLeast"/>
        <w:rPr>
          <w:rFonts w:eastAsia="Times New Roman" w:cs="Arial"/>
          <w:color w:val="auto"/>
          <w:sz w:val="22"/>
          <w:szCs w:val="22"/>
        </w:rPr>
      </w:pPr>
      <w:r w:rsidRPr="004B51A6">
        <w:rPr>
          <w:rFonts w:eastAsia="Times New Roman" w:cs="Arial"/>
          <w:color w:val="auto"/>
          <w:sz w:val="22"/>
          <w:szCs w:val="22"/>
        </w:rPr>
        <w:t>Vessels &gt;400 gross tonnes must ensure that firefighting and refrigeration systems are managed to minimise Ozone Depleting Substances (ODS).</w:t>
      </w:r>
    </w:p>
    <w:p w14:paraId="25AB5F6B" w14:textId="241777A0" w:rsidR="004B51A6" w:rsidRPr="004B51A6" w:rsidRDefault="004B51A6" w:rsidP="004B51A6">
      <w:pPr>
        <w:pStyle w:val="ColorfulList-Accent110"/>
        <w:numPr>
          <w:ilvl w:val="0"/>
          <w:numId w:val="179"/>
        </w:numPr>
        <w:spacing w:after="0" w:line="260" w:lineRule="atLeast"/>
        <w:rPr>
          <w:rFonts w:eastAsia="Times New Roman" w:cs="Arial"/>
          <w:color w:val="auto"/>
          <w:sz w:val="22"/>
          <w:szCs w:val="22"/>
        </w:rPr>
      </w:pPr>
      <w:r w:rsidRPr="004B51A6">
        <w:rPr>
          <w:rFonts w:eastAsia="Times New Roman" w:cs="Arial"/>
          <w:color w:val="auto"/>
          <w:sz w:val="22"/>
          <w:szCs w:val="22"/>
        </w:rPr>
        <w:t>Only a MARPOL VI-approved incinerator is used to incinerate solid combustible waste (food waste, paper, cardboard, rags, plastics).</w:t>
      </w:r>
    </w:p>
    <w:p w14:paraId="33550D77" w14:textId="48010B26" w:rsidR="004B51A6" w:rsidRPr="004B51A6" w:rsidRDefault="004B51A6" w:rsidP="004B51A6">
      <w:pPr>
        <w:pStyle w:val="ColorfulList-Accent110"/>
        <w:numPr>
          <w:ilvl w:val="0"/>
          <w:numId w:val="179"/>
        </w:numPr>
        <w:spacing w:after="0" w:line="260" w:lineRule="atLeast"/>
        <w:rPr>
          <w:rFonts w:eastAsia="Times New Roman" w:cs="Arial"/>
          <w:color w:val="auto"/>
          <w:sz w:val="22"/>
          <w:szCs w:val="22"/>
        </w:rPr>
      </w:pPr>
      <w:r w:rsidRPr="004B51A6">
        <w:rPr>
          <w:rFonts w:eastAsia="Times New Roman" w:cs="Arial"/>
          <w:color w:val="auto"/>
          <w:sz w:val="22"/>
          <w:szCs w:val="22"/>
        </w:rPr>
        <w:t>Incinceration is only conducted when the vessel is &gt;12 nm from the shore.</w:t>
      </w:r>
    </w:p>
    <w:p w14:paraId="60F26DFD" w14:textId="55DB2924" w:rsidR="004B51A6" w:rsidRPr="004B51A6" w:rsidRDefault="004B51A6" w:rsidP="004B51A6">
      <w:pPr>
        <w:pStyle w:val="ColorfulList-Accent110"/>
        <w:numPr>
          <w:ilvl w:val="0"/>
          <w:numId w:val="179"/>
        </w:numPr>
        <w:spacing w:after="0" w:line="260" w:lineRule="atLeast"/>
        <w:rPr>
          <w:rFonts w:eastAsia="Times New Roman" w:cs="Arial"/>
          <w:color w:val="auto"/>
          <w:sz w:val="22"/>
          <w:szCs w:val="22"/>
        </w:rPr>
      </w:pPr>
      <w:r w:rsidRPr="004B51A6">
        <w:rPr>
          <w:rFonts w:eastAsia="Times New Roman" w:cs="Arial"/>
          <w:color w:val="auto"/>
          <w:sz w:val="22"/>
          <w:szCs w:val="22"/>
        </w:rPr>
        <w:t>Oil and other noxious liquid substances will not be incinerated.</w:t>
      </w:r>
    </w:p>
    <w:p w14:paraId="4F7261FE" w14:textId="55AF98F0" w:rsidR="004B51A6" w:rsidRPr="004B51A6" w:rsidRDefault="004B51A6" w:rsidP="004B51A6">
      <w:pPr>
        <w:pStyle w:val="ColorfulList-Accent110"/>
        <w:numPr>
          <w:ilvl w:val="0"/>
          <w:numId w:val="179"/>
        </w:numPr>
        <w:spacing w:after="240"/>
        <w:ind w:left="714" w:hanging="357"/>
        <w:rPr>
          <w:rFonts w:eastAsia="Times New Roman" w:cs="Arial"/>
          <w:color w:val="auto"/>
          <w:sz w:val="22"/>
          <w:szCs w:val="22"/>
        </w:rPr>
      </w:pPr>
      <w:r w:rsidRPr="004B51A6">
        <w:rPr>
          <w:rFonts w:eastAsia="Times New Roman" w:cs="Arial"/>
          <w:color w:val="auto"/>
          <w:sz w:val="22"/>
          <w:szCs w:val="22"/>
        </w:rPr>
        <w:t>Fuel use will be measured, recorded and reported for abnormal consumption, and in the event of abnormal fuel use, corrective action is taken to minimise air pollution.</w:t>
      </w:r>
    </w:p>
    <w:p w14:paraId="0A358799" w14:textId="3C68502F" w:rsidR="004B51A6" w:rsidRDefault="006464A1" w:rsidP="004B51A6">
      <w:pPr>
        <w:pStyle w:val="BodyText"/>
        <w:spacing w:after="240"/>
        <w:ind w:left="0"/>
        <w:rPr>
          <w:rFonts w:cs="Arial"/>
          <w:sz w:val="22"/>
          <w:szCs w:val="22"/>
        </w:rPr>
      </w:pPr>
      <w:r>
        <w:rPr>
          <w:rFonts w:cs="Arial"/>
          <w:sz w:val="22"/>
          <w:szCs w:val="22"/>
        </w:rPr>
        <w:t>T</w:t>
      </w:r>
      <w:r w:rsidR="0083374B">
        <w:rPr>
          <w:rFonts w:cs="Arial"/>
          <w:sz w:val="22"/>
          <w:szCs w:val="22"/>
        </w:rPr>
        <w:t xml:space="preserve">he </w:t>
      </w:r>
      <w:r w:rsidR="004B51A6">
        <w:rPr>
          <w:rFonts w:cs="Arial"/>
          <w:sz w:val="22"/>
          <w:szCs w:val="22"/>
        </w:rPr>
        <w:t xml:space="preserve">residual (post-control) impact consequence </w:t>
      </w:r>
      <w:r>
        <w:rPr>
          <w:rFonts w:cs="Arial"/>
          <w:sz w:val="22"/>
          <w:szCs w:val="22"/>
        </w:rPr>
        <w:t>is rated as ‘insignificant.’</w:t>
      </w:r>
    </w:p>
    <w:p w14:paraId="242283EC" w14:textId="64A6207B" w:rsidR="00EE6FC7" w:rsidRPr="00B03966" w:rsidRDefault="00B03966" w:rsidP="00B03966">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465" w:name="_Toc320190765"/>
      <w:bookmarkStart w:id="466" w:name="_Toc375214610"/>
      <w:r>
        <w:rPr>
          <w:rFonts w:cs="Times New Roman"/>
          <w:iCs w:val="0"/>
          <w:color w:val="064EA8"/>
          <w:szCs w:val="26"/>
          <w:lang w:eastAsia="en-US"/>
        </w:rPr>
        <w:t xml:space="preserve">IMPACT: </w:t>
      </w:r>
      <w:r w:rsidR="00EE6FC7" w:rsidRPr="00B03966">
        <w:rPr>
          <w:rFonts w:cs="Times New Roman"/>
          <w:iCs w:val="0"/>
          <w:color w:val="064EA8"/>
          <w:szCs w:val="26"/>
          <w:lang w:eastAsia="en-US"/>
        </w:rPr>
        <w:t>Light Emissions</w:t>
      </w:r>
      <w:bookmarkEnd w:id="465"/>
      <w:bookmarkEnd w:id="466"/>
    </w:p>
    <w:p w14:paraId="5B2BB087" w14:textId="77777777" w:rsidR="00EE6FC7" w:rsidRDefault="00EE6FC7" w:rsidP="00C3557D">
      <w:pPr>
        <w:pStyle w:val="Heading3"/>
      </w:pPr>
      <w:bookmarkStart w:id="467" w:name="_Toc477947865"/>
      <w:bookmarkStart w:id="468" w:name="_Toc479764054"/>
      <w:bookmarkStart w:id="469" w:name="_Toc375214611"/>
      <w:r>
        <w:t>Hazard</w:t>
      </w:r>
      <w:bookmarkEnd w:id="467"/>
      <w:bookmarkEnd w:id="468"/>
      <w:bookmarkEnd w:id="469"/>
    </w:p>
    <w:p w14:paraId="362002EF" w14:textId="02E7A4CB" w:rsidR="004F73BC" w:rsidRPr="00BB6E19" w:rsidRDefault="004F73BC" w:rsidP="00CB09B1">
      <w:pPr>
        <w:ind w:left="0"/>
        <w:rPr>
          <w:rFonts w:cs="Arial"/>
          <w:sz w:val="22"/>
          <w:szCs w:val="22"/>
        </w:rPr>
      </w:pPr>
      <w:r w:rsidRPr="00BB6E19">
        <w:rPr>
          <w:rFonts w:cs="Arial"/>
          <w:sz w:val="22"/>
          <w:szCs w:val="22"/>
        </w:rPr>
        <w:t xml:space="preserve">Light emissions will occur from the </w:t>
      </w:r>
      <w:r w:rsidR="00CB09B1" w:rsidRPr="00BB6E19">
        <w:rPr>
          <w:rFonts w:cs="Arial"/>
          <w:sz w:val="22"/>
          <w:szCs w:val="22"/>
        </w:rPr>
        <w:t xml:space="preserve">source and support </w:t>
      </w:r>
      <w:r w:rsidRPr="00BB6E19">
        <w:rPr>
          <w:rFonts w:cs="Arial"/>
          <w:sz w:val="22"/>
          <w:szCs w:val="22"/>
        </w:rPr>
        <w:t>vessels at all times. The following activities will result in artificial lighting:</w:t>
      </w:r>
    </w:p>
    <w:p w14:paraId="0BA9B254" w14:textId="77777777" w:rsidR="00CB09B1" w:rsidRPr="00BB6E19" w:rsidRDefault="00CB09B1" w:rsidP="00CB09B1">
      <w:pPr>
        <w:ind w:left="0"/>
        <w:rPr>
          <w:rFonts w:cs="Arial"/>
          <w:sz w:val="22"/>
          <w:szCs w:val="22"/>
        </w:rPr>
      </w:pPr>
    </w:p>
    <w:p w14:paraId="540A7B29" w14:textId="2DFAF25F" w:rsidR="004F73BC" w:rsidRPr="00BB6E19" w:rsidRDefault="004F73BC" w:rsidP="00567567">
      <w:pPr>
        <w:pStyle w:val="ListParagraph0"/>
        <w:numPr>
          <w:ilvl w:val="0"/>
          <w:numId w:val="183"/>
        </w:numPr>
        <w:rPr>
          <w:sz w:val="22"/>
          <w:szCs w:val="22"/>
        </w:rPr>
      </w:pPr>
      <w:r w:rsidRPr="00BB6E19">
        <w:rPr>
          <w:rFonts w:cs="Arial"/>
          <w:sz w:val="22"/>
          <w:szCs w:val="22"/>
        </w:rPr>
        <w:t>Vessel navigation lighting will be maintained while vessels are on location for maritime safety purposes and deck lighting for the safety of personnel working on deck.</w:t>
      </w:r>
    </w:p>
    <w:p w14:paraId="3123BEBE" w14:textId="77777777" w:rsidR="00EE6FC7" w:rsidRPr="00BB6E19" w:rsidRDefault="00EE6FC7" w:rsidP="00C3557D">
      <w:pPr>
        <w:pStyle w:val="Heading3"/>
      </w:pPr>
      <w:bookmarkStart w:id="470" w:name="_Toc477947866"/>
      <w:bookmarkStart w:id="471" w:name="_Toc479764055"/>
      <w:bookmarkStart w:id="472" w:name="_Toc375214612"/>
      <w:r w:rsidRPr="00BB6E19">
        <w:t>Known and Potential Environmental Impacts</w:t>
      </w:r>
      <w:bookmarkEnd w:id="470"/>
      <w:bookmarkEnd w:id="471"/>
      <w:bookmarkEnd w:id="472"/>
    </w:p>
    <w:p w14:paraId="4359599D" w14:textId="77777777" w:rsidR="004F73BC" w:rsidRPr="00BB6E19" w:rsidRDefault="004F73BC" w:rsidP="00CB09B1">
      <w:pPr>
        <w:ind w:left="0"/>
        <w:rPr>
          <w:rFonts w:cs="Arial"/>
          <w:sz w:val="22"/>
          <w:szCs w:val="22"/>
        </w:rPr>
      </w:pPr>
      <w:r w:rsidRPr="00BB6E19">
        <w:rPr>
          <w:rFonts w:cs="Arial"/>
          <w:sz w:val="22"/>
          <w:szCs w:val="22"/>
        </w:rPr>
        <w:t>The known and potential environmental impacts of artificial lighting are:</w:t>
      </w:r>
    </w:p>
    <w:p w14:paraId="5976AF16" w14:textId="77777777" w:rsidR="00CB09B1" w:rsidRPr="00BB6E19" w:rsidRDefault="00CB09B1" w:rsidP="00CB09B1">
      <w:pPr>
        <w:ind w:left="0"/>
        <w:rPr>
          <w:rFonts w:cs="Arial"/>
          <w:sz w:val="22"/>
          <w:szCs w:val="22"/>
        </w:rPr>
      </w:pPr>
    </w:p>
    <w:p w14:paraId="2F7AC1F2" w14:textId="453AC15D" w:rsidR="00EE6FC7" w:rsidRPr="00BB6E19" w:rsidRDefault="004F73BC" w:rsidP="00F42BE4">
      <w:pPr>
        <w:pStyle w:val="ListParagraph0"/>
        <w:numPr>
          <w:ilvl w:val="0"/>
          <w:numId w:val="183"/>
        </w:numPr>
        <w:spacing w:after="240" w:line="240" w:lineRule="auto"/>
        <w:ind w:left="714" w:hanging="357"/>
        <w:rPr>
          <w:sz w:val="22"/>
          <w:szCs w:val="22"/>
        </w:rPr>
      </w:pPr>
      <w:r w:rsidRPr="00BB6E19">
        <w:rPr>
          <w:rFonts w:cs="Arial"/>
          <w:sz w:val="22"/>
          <w:szCs w:val="22"/>
        </w:rPr>
        <w:t>Localised light glow may act as an attractant to light-sensitive species (e.g., seabirds, squid, zooplankton), in turn affec</w:t>
      </w:r>
      <w:r w:rsidR="00CB09B1" w:rsidRPr="00BB6E19">
        <w:rPr>
          <w:rFonts w:cs="Arial"/>
          <w:sz w:val="22"/>
          <w:szCs w:val="22"/>
        </w:rPr>
        <w:t>ting predator-prey dynamics</w:t>
      </w:r>
      <w:r w:rsidR="00D04223" w:rsidRPr="00BB6E19">
        <w:rPr>
          <w:rFonts w:cs="Arial"/>
          <w:sz w:val="22"/>
          <w:szCs w:val="22"/>
        </w:rPr>
        <w:t xml:space="preserve"> (due to attraction to or disorientation from light)</w:t>
      </w:r>
      <w:r w:rsidR="00CB09B1" w:rsidRPr="00BB6E19">
        <w:rPr>
          <w:rFonts w:cs="Arial"/>
          <w:sz w:val="22"/>
          <w:szCs w:val="22"/>
        </w:rPr>
        <w:t>.</w:t>
      </w:r>
    </w:p>
    <w:p w14:paraId="56BCACC7" w14:textId="540049ED" w:rsidR="007D68B3" w:rsidRPr="00BB6E19" w:rsidRDefault="007D68B3" w:rsidP="007D68B3">
      <w:pPr>
        <w:spacing w:before="60" w:after="60" w:line="240" w:lineRule="auto"/>
        <w:ind w:left="0"/>
        <w:rPr>
          <w:rFonts w:cs="Arial"/>
          <w:sz w:val="22"/>
          <w:szCs w:val="22"/>
        </w:rPr>
      </w:pPr>
      <w:r w:rsidRPr="00BB6E19">
        <w:rPr>
          <w:rFonts w:cs="Arial"/>
          <w:sz w:val="22"/>
          <w:szCs w:val="22"/>
        </w:rPr>
        <w:t>Light-sensitive receptors that may occur within th</w:t>
      </w:r>
      <w:r w:rsidR="00F42BE4">
        <w:rPr>
          <w:rFonts w:cs="Arial"/>
          <w:sz w:val="22"/>
          <w:szCs w:val="22"/>
        </w:rPr>
        <w:t>e area affected by light glow</w:t>
      </w:r>
      <w:r w:rsidRPr="00BB6E19">
        <w:rPr>
          <w:rFonts w:cs="Arial"/>
          <w:sz w:val="22"/>
          <w:szCs w:val="22"/>
        </w:rPr>
        <w:t>, either as residents or migrants, are:</w:t>
      </w:r>
    </w:p>
    <w:p w14:paraId="091DE3AA" w14:textId="77777777" w:rsidR="007D68B3" w:rsidRPr="00BB6E19" w:rsidRDefault="007D68B3" w:rsidP="00567567">
      <w:pPr>
        <w:pStyle w:val="ListParagraph0"/>
        <w:numPr>
          <w:ilvl w:val="0"/>
          <w:numId w:val="183"/>
        </w:numPr>
        <w:spacing w:before="60" w:after="60" w:line="240" w:lineRule="auto"/>
        <w:rPr>
          <w:rFonts w:cs="Arial"/>
          <w:sz w:val="22"/>
          <w:szCs w:val="22"/>
        </w:rPr>
      </w:pPr>
      <w:r w:rsidRPr="00BB6E19">
        <w:rPr>
          <w:rFonts w:cs="Arial"/>
          <w:sz w:val="22"/>
          <w:szCs w:val="22"/>
        </w:rPr>
        <w:t xml:space="preserve">Plankton; </w:t>
      </w:r>
    </w:p>
    <w:p w14:paraId="38854569" w14:textId="77777777" w:rsidR="007D68B3" w:rsidRPr="00BB6E19" w:rsidRDefault="007D68B3" w:rsidP="00567567">
      <w:pPr>
        <w:pStyle w:val="ListParagraph0"/>
        <w:numPr>
          <w:ilvl w:val="0"/>
          <w:numId w:val="183"/>
        </w:numPr>
        <w:spacing w:before="60" w:after="60" w:line="240" w:lineRule="auto"/>
        <w:rPr>
          <w:rFonts w:cs="Arial"/>
          <w:sz w:val="22"/>
          <w:szCs w:val="22"/>
        </w:rPr>
      </w:pPr>
      <w:r w:rsidRPr="00BB6E19">
        <w:rPr>
          <w:rFonts w:cs="Arial"/>
          <w:sz w:val="22"/>
          <w:szCs w:val="22"/>
        </w:rPr>
        <w:t>Fish (e.g., squid); and</w:t>
      </w:r>
    </w:p>
    <w:p w14:paraId="1207AC04" w14:textId="611404E6" w:rsidR="007D68B3" w:rsidRPr="00BB6E19" w:rsidRDefault="007D68B3" w:rsidP="00567567">
      <w:pPr>
        <w:pStyle w:val="ListParagraph0"/>
        <w:numPr>
          <w:ilvl w:val="0"/>
          <w:numId w:val="183"/>
        </w:numPr>
        <w:spacing w:before="60" w:after="60" w:line="240" w:lineRule="auto"/>
        <w:rPr>
          <w:rFonts w:cs="Arial"/>
          <w:sz w:val="22"/>
          <w:szCs w:val="22"/>
        </w:rPr>
      </w:pPr>
      <w:r w:rsidRPr="00BB6E19">
        <w:rPr>
          <w:rFonts w:cs="Arial"/>
          <w:sz w:val="22"/>
          <w:szCs w:val="22"/>
        </w:rPr>
        <w:t xml:space="preserve">Seabirds. </w:t>
      </w:r>
    </w:p>
    <w:p w14:paraId="136F2FD1" w14:textId="77777777" w:rsidR="00EE6FC7" w:rsidRPr="00BB6E19" w:rsidRDefault="00EE6FC7" w:rsidP="00C3557D">
      <w:pPr>
        <w:pStyle w:val="Heading3"/>
      </w:pPr>
      <w:bookmarkStart w:id="473" w:name="_Toc477947868"/>
      <w:bookmarkStart w:id="474" w:name="_Toc479764057"/>
      <w:bookmarkStart w:id="475" w:name="_Toc375214613"/>
      <w:r w:rsidRPr="00BB6E19">
        <w:t>Evaluation of Environmental Impacts</w:t>
      </w:r>
      <w:bookmarkEnd w:id="473"/>
      <w:bookmarkEnd w:id="474"/>
      <w:bookmarkEnd w:id="475"/>
    </w:p>
    <w:p w14:paraId="2B8A22AB" w14:textId="2751E19B" w:rsidR="004F73BC" w:rsidRPr="00BB6E19" w:rsidRDefault="004F73BC" w:rsidP="00CB09B1">
      <w:pPr>
        <w:ind w:left="0"/>
        <w:rPr>
          <w:rFonts w:cs="Arial"/>
          <w:sz w:val="22"/>
          <w:szCs w:val="22"/>
        </w:rPr>
      </w:pPr>
      <w:r w:rsidRPr="00BB6E19">
        <w:rPr>
          <w:rFonts w:cs="Arial"/>
          <w:sz w:val="22"/>
          <w:szCs w:val="22"/>
        </w:rPr>
        <w:t xml:space="preserve">Seabirds may be attracted to the vessels at night due to the light glow. Bright lighting can disorientate birds, thereby increasing the likelihood of seabird injury or mortality through collision with infrastructure, or mortality from starvation due to disrupted foraging at sea (Wiese </w:t>
      </w:r>
      <w:r w:rsidRPr="00BB6E19">
        <w:rPr>
          <w:rFonts w:cs="Arial"/>
          <w:i/>
          <w:sz w:val="22"/>
          <w:szCs w:val="22"/>
        </w:rPr>
        <w:t>et al</w:t>
      </w:r>
      <w:r w:rsidRPr="00BB6E19">
        <w:rPr>
          <w:rFonts w:cs="Arial"/>
          <w:sz w:val="22"/>
          <w:szCs w:val="22"/>
        </w:rPr>
        <w:t xml:space="preserve">., 2001 in DSEWPC, 2011). </w:t>
      </w:r>
    </w:p>
    <w:p w14:paraId="4FF1038A" w14:textId="77777777" w:rsidR="0012744E" w:rsidRPr="00BB6E19" w:rsidRDefault="0012744E" w:rsidP="00CB09B1">
      <w:pPr>
        <w:ind w:left="0"/>
        <w:rPr>
          <w:rFonts w:cs="Arial"/>
          <w:sz w:val="22"/>
          <w:szCs w:val="22"/>
        </w:rPr>
      </w:pPr>
    </w:p>
    <w:p w14:paraId="06A9B1D8" w14:textId="4BC2D672" w:rsidR="0012744E" w:rsidRPr="00BB6E19" w:rsidRDefault="0012744E" w:rsidP="0012744E">
      <w:pPr>
        <w:ind w:left="0"/>
        <w:rPr>
          <w:rFonts w:cs="Arial"/>
          <w:sz w:val="22"/>
          <w:szCs w:val="22"/>
        </w:rPr>
      </w:pPr>
      <w:r w:rsidRPr="00BB6E19">
        <w:rPr>
          <w:rFonts w:cs="Arial"/>
          <w:sz w:val="22"/>
          <w:szCs w:val="22"/>
        </w:rPr>
        <w:lastRenderedPageBreak/>
        <w:t xml:space="preserve">Studies conducted between 1992 and 2002 in the North Sea confirmed that artificial light was the reason that birds were attracted to and accumulated around illuminated offshore infrastructure (Marquenie </w:t>
      </w:r>
      <w:r w:rsidRPr="00BB6E19">
        <w:rPr>
          <w:rFonts w:cs="Arial"/>
          <w:i/>
          <w:sz w:val="22"/>
          <w:szCs w:val="22"/>
        </w:rPr>
        <w:t>et al</w:t>
      </w:r>
      <w:r w:rsidRPr="00BB6E19">
        <w:rPr>
          <w:rFonts w:cs="Arial"/>
          <w:sz w:val="22"/>
          <w:szCs w:val="22"/>
        </w:rPr>
        <w:t xml:space="preserve">., 2008) and that lighting can attract birds from large catchment areas (Wiese </w:t>
      </w:r>
      <w:r w:rsidRPr="00BB6E19">
        <w:rPr>
          <w:rFonts w:cs="Arial"/>
          <w:i/>
          <w:sz w:val="22"/>
          <w:szCs w:val="22"/>
        </w:rPr>
        <w:t>et al</w:t>
      </w:r>
      <w:r w:rsidRPr="00BB6E19">
        <w:rPr>
          <w:rFonts w:cs="Arial"/>
          <w:sz w:val="22"/>
          <w:szCs w:val="22"/>
        </w:rPr>
        <w:t xml:space="preserve">., 2001). The light may provide enhanced capability for seabirds to forage at night. </w:t>
      </w:r>
    </w:p>
    <w:p w14:paraId="0385B45B" w14:textId="77777777" w:rsidR="00C74BE9" w:rsidRPr="00BB6E19" w:rsidRDefault="00C74BE9" w:rsidP="0012744E">
      <w:pPr>
        <w:ind w:left="0"/>
        <w:rPr>
          <w:rFonts w:cs="Arial"/>
          <w:sz w:val="22"/>
          <w:szCs w:val="22"/>
        </w:rPr>
      </w:pPr>
    </w:p>
    <w:p w14:paraId="46284CA2" w14:textId="739ABED7" w:rsidR="00C74BE9" w:rsidRPr="00BB6E19" w:rsidRDefault="0012744E" w:rsidP="0012744E">
      <w:pPr>
        <w:ind w:left="0"/>
        <w:rPr>
          <w:rFonts w:cs="Arial"/>
          <w:sz w:val="22"/>
          <w:szCs w:val="22"/>
        </w:rPr>
      </w:pPr>
      <w:r w:rsidRPr="00BB6E19">
        <w:rPr>
          <w:rFonts w:cs="Arial"/>
          <w:sz w:val="22"/>
          <w:szCs w:val="22"/>
        </w:rPr>
        <w:t>Fish and zooplankton may be directly or indirectly attracted to lights. The concentration of organisms attracted to light results in an increase in food source for predatory species and marine predators are known to aggregate at the edges of artificial light halos. This could potentially lead to increased predation rates compared to unlit areas.</w:t>
      </w:r>
    </w:p>
    <w:p w14:paraId="63CD8551" w14:textId="57696537" w:rsidR="00EE6FC7" w:rsidRDefault="00A367B2" w:rsidP="00DD0CAC">
      <w:pPr>
        <w:pStyle w:val="Heading3"/>
      </w:pPr>
      <w:bookmarkStart w:id="476" w:name="_Toc477947871"/>
      <w:bookmarkStart w:id="477" w:name="_Toc479764060"/>
      <w:bookmarkStart w:id="478" w:name="_Toc375214614"/>
      <w:r>
        <w:t xml:space="preserve">Control Measures &amp; </w:t>
      </w:r>
      <w:r w:rsidR="00A221F4">
        <w:t>Impact</w:t>
      </w:r>
      <w:r w:rsidR="00EE6FC7">
        <w:t xml:space="preserve"> </w:t>
      </w:r>
      <w:bookmarkEnd w:id="476"/>
      <w:bookmarkEnd w:id="477"/>
      <w:r>
        <w:t>Consequence</w:t>
      </w:r>
      <w:bookmarkEnd w:id="478"/>
    </w:p>
    <w:p w14:paraId="3C7731B9" w14:textId="0B9461A9" w:rsidR="00A367B2" w:rsidRDefault="00A367B2" w:rsidP="00A367B2">
      <w:pPr>
        <w:pStyle w:val="BodyText"/>
        <w:ind w:left="0"/>
        <w:rPr>
          <w:rFonts w:cs="Arial"/>
          <w:sz w:val="22"/>
          <w:szCs w:val="22"/>
        </w:rPr>
      </w:pPr>
      <w:r>
        <w:rPr>
          <w:rFonts w:cs="Arial"/>
          <w:sz w:val="22"/>
          <w:szCs w:val="22"/>
        </w:rPr>
        <w:t xml:space="preserve">The following control measures will be implemented to minimise the impacts of light </w:t>
      </w:r>
      <w:r w:rsidR="00F15C5D">
        <w:rPr>
          <w:rFonts w:cs="Arial"/>
          <w:sz w:val="22"/>
          <w:szCs w:val="22"/>
        </w:rPr>
        <w:t>emissions</w:t>
      </w:r>
      <w:r>
        <w:rPr>
          <w:rFonts w:cs="Arial"/>
          <w:sz w:val="22"/>
          <w:szCs w:val="22"/>
        </w:rPr>
        <w:t xml:space="preserve">: </w:t>
      </w:r>
    </w:p>
    <w:p w14:paraId="615CDD44" w14:textId="17B02CBA" w:rsidR="00A367B2" w:rsidRPr="00A367B2" w:rsidRDefault="00A367B2" w:rsidP="002A2708">
      <w:pPr>
        <w:pStyle w:val="ColorfulList-Accent110"/>
        <w:numPr>
          <w:ilvl w:val="0"/>
          <w:numId w:val="179"/>
        </w:numPr>
        <w:spacing w:after="240" w:line="260" w:lineRule="atLeast"/>
        <w:rPr>
          <w:rFonts w:eastAsia="Times New Roman" w:cs="Arial"/>
          <w:color w:val="auto"/>
          <w:sz w:val="22"/>
          <w:szCs w:val="22"/>
        </w:rPr>
      </w:pPr>
      <w:r w:rsidRPr="00A367B2">
        <w:rPr>
          <w:rFonts w:eastAsia="Times New Roman" w:cs="Arial"/>
          <w:color w:val="auto"/>
          <w:sz w:val="22"/>
          <w:szCs w:val="22"/>
        </w:rPr>
        <w:t>External vessel lighting is managed in accordance with AMSA Marine Orders Part 30 (Prevention of Collisions) and AMSA Marine Orders Part 59 (Offshore Support Vessel Operations).</w:t>
      </w:r>
    </w:p>
    <w:p w14:paraId="4E45A5D7" w14:textId="0A817F87" w:rsidR="00A367B2" w:rsidRDefault="006464A1" w:rsidP="00A367B2">
      <w:pPr>
        <w:pStyle w:val="BodyText"/>
        <w:spacing w:after="240"/>
        <w:ind w:left="0"/>
        <w:rPr>
          <w:rFonts w:cs="Arial"/>
          <w:sz w:val="22"/>
          <w:szCs w:val="22"/>
        </w:rPr>
      </w:pPr>
      <w:r>
        <w:rPr>
          <w:rFonts w:cs="Arial"/>
          <w:sz w:val="22"/>
          <w:szCs w:val="22"/>
        </w:rPr>
        <w:t>T</w:t>
      </w:r>
      <w:r w:rsidR="00A367B2">
        <w:rPr>
          <w:rFonts w:cs="Arial"/>
          <w:sz w:val="22"/>
          <w:szCs w:val="22"/>
        </w:rPr>
        <w:t xml:space="preserve">he residual (post-control) impact consequence </w:t>
      </w:r>
      <w:r>
        <w:rPr>
          <w:rFonts w:cs="Arial"/>
          <w:sz w:val="22"/>
          <w:szCs w:val="22"/>
        </w:rPr>
        <w:t xml:space="preserve">is </w:t>
      </w:r>
      <w:r w:rsidR="00A367B2">
        <w:rPr>
          <w:rFonts w:cs="Arial"/>
          <w:sz w:val="22"/>
          <w:szCs w:val="22"/>
        </w:rPr>
        <w:t>rat</w:t>
      </w:r>
      <w:r>
        <w:rPr>
          <w:rFonts w:cs="Arial"/>
          <w:sz w:val="22"/>
          <w:szCs w:val="22"/>
        </w:rPr>
        <w:t>ed as ‘insignificant.’</w:t>
      </w:r>
    </w:p>
    <w:p w14:paraId="782F979B" w14:textId="537257FB" w:rsidR="00EE6FC7" w:rsidRPr="00B03966" w:rsidRDefault="00B03966" w:rsidP="00B03966">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479" w:name="_Toc320190766"/>
      <w:bookmarkStart w:id="480" w:name="_Toc375214615"/>
      <w:r>
        <w:rPr>
          <w:rFonts w:cs="Times New Roman"/>
          <w:iCs w:val="0"/>
          <w:color w:val="064EA8"/>
          <w:szCs w:val="26"/>
          <w:lang w:eastAsia="en-US"/>
        </w:rPr>
        <w:t xml:space="preserve">IMPACT: </w:t>
      </w:r>
      <w:r w:rsidR="00EE6FC7" w:rsidRPr="00B03966">
        <w:rPr>
          <w:rFonts w:cs="Times New Roman"/>
          <w:iCs w:val="0"/>
          <w:color w:val="064EA8"/>
          <w:szCs w:val="26"/>
          <w:lang w:eastAsia="en-US"/>
        </w:rPr>
        <w:t xml:space="preserve">Discharge of </w:t>
      </w:r>
      <w:bookmarkEnd w:id="479"/>
      <w:r w:rsidR="00753B3A" w:rsidRPr="00B03966">
        <w:rPr>
          <w:rFonts w:cs="Times New Roman"/>
          <w:iCs w:val="0"/>
          <w:color w:val="064EA8"/>
          <w:szCs w:val="26"/>
          <w:lang w:eastAsia="en-US"/>
        </w:rPr>
        <w:t>Sewage and Grey Water</w:t>
      </w:r>
      <w:bookmarkEnd w:id="480"/>
    </w:p>
    <w:p w14:paraId="7FE95DE7" w14:textId="77777777" w:rsidR="00EE6FC7" w:rsidRDefault="00EE6FC7" w:rsidP="00753B3A">
      <w:pPr>
        <w:pStyle w:val="Heading3"/>
      </w:pPr>
      <w:bookmarkStart w:id="481" w:name="_Toc477947873"/>
      <w:bookmarkStart w:id="482" w:name="_Toc479764062"/>
      <w:bookmarkStart w:id="483" w:name="_Toc375214616"/>
      <w:r>
        <w:t>Hazard</w:t>
      </w:r>
      <w:bookmarkEnd w:id="481"/>
      <w:bookmarkEnd w:id="482"/>
      <w:bookmarkEnd w:id="483"/>
    </w:p>
    <w:p w14:paraId="141F75DB" w14:textId="1D25E84B" w:rsidR="00753B3A" w:rsidRPr="0006686F" w:rsidRDefault="00753B3A" w:rsidP="00FB3452">
      <w:pPr>
        <w:ind w:left="0"/>
        <w:rPr>
          <w:sz w:val="22"/>
          <w:szCs w:val="22"/>
        </w:rPr>
      </w:pPr>
      <w:r w:rsidRPr="0006686F">
        <w:rPr>
          <w:rFonts w:cs="Arial"/>
          <w:sz w:val="22"/>
          <w:szCs w:val="22"/>
        </w:rPr>
        <w:t>The use of ablution, laundry and galley facilities by vessel crew</w:t>
      </w:r>
      <w:r w:rsidR="00283DEE" w:rsidRPr="0006686F">
        <w:rPr>
          <w:rFonts w:cs="Arial"/>
          <w:sz w:val="22"/>
          <w:szCs w:val="22"/>
        </w:rPr>
        <w:t>s</w:t>
      </w:r>
      <w:r w:rsidRPr="0006686F">
        <w:rPr>
          <w:rFonts w:cs="Arial"/>
          <w:sz w:val="22"/>
          <w:szCs w:val="22"/>
        </w:rPr>
        <w:t xml:space="preserve"> will result in the discharge of sewage and grey water. While the number of </w:t>
      </w:r>
      <w:r w:rsidR="00283DEE" w:rsidRPr="0006686F">
        <w:rPr>
          <w:rFonts w:cs="Arial"/>
          <w:sz w:val="22"/>
          <w:szCs w:val="22"/>
        </w:rPr>
        <w:t xml:space="preserve">personnel </w:t>
      </w:r>
      <w:r w:rsidRPr="0006686F">
        <w:rPr>
          <w:rFonts w:cs="Arial"/>
          <w:sz w:val="22"/>
          <w:szCs w:val="22"/>
        </w:rPr>
        <w:t xml:space="preserve">onboard the vessel/s at any one point in time is currently unknown, this activity </w:t>
      </w:r>
      <w:r w:rsidR="00283DEE" w:rsidRPr="0006686F">
        <w:rPr>
          <w:rFonts w:cs="Arial"/>
          <w:sz w:val="22"/>
          <w:szCs w:val="22"/>
        </w:rPr>
        <w:t xml:space="preserve">will </w:t>
      </w:r>
      <w:r w:rsidRPr="0006686F">
        <w:rPr>
          <w:rFonts w:cs="Arial"/>
          <w:sz w:val="22"/>
          <w:szCs w:val="22"/>
        </w:rPr>
        <w:t xml:space="preserve">result in the discharge of several hundred litres of treated sewage and greywater each day. </w:t>
      </w:r>
    </w:p>
    <w:p w14:paraId="28643A0C" w14:textId="77777777" w:rsidR="00EE6FC7" w:rsidRPr="0006686F" w:rsidRDefault="00EE6FC7" w:rsidP="00753B3A">
      <w:pPr>
        <w:pStyle w:val="Heading3"/>
      </w:pPr>
      <w:bookmarkStart w:id="484" w:name="_Toc477947874"/>
      <w:bookmarkStart w:id="485" w:name="_Toc479764063"/>
      <w:bookmarkStart w:id="486" w:name="_Toc375214617"/>
      <w:r w:rsidRPr="0006686F">
        <w:t>Known and Potential Environmental Impacts</w:t>
      </w:r>
      <w:bookmarkEnd w:id="484"/>
      <w:bookmarkEnd w:id="485"/>
      <w:bookmarkEnd w:id="486"/>
    </w:p>
    <w:p w14:paraId="06DFA775" w14:textId="77777777" w:rsidR="00753B3A" w:rsidRPr="0006686F" w:rsidRDefault="00753B3A" w:rsidP="00FB3452">
      <w:pPr>
        <w:ind w:left="0"/>
        <w:rPr>
          <w:rFonts w:cs="Arial"/>
          <w:sz w:val="22"/>
          <w:szCs w:val="22"/>
        </w:rPr>
      </w:pPr>
      <w:r w:rsidRPr="0006686F">
        <w:rPr>
          <w:rFonts w:cs="Arial"/>
          <w:sz w:val="22"/>
          <w:szCs w:val="22"/>
        </w:rPr>
        <w:t>The known and potential environmental impact of treated sewage and grey water</w:t>
      </w:r>
      <w:r w:rsidRPr="0006686F">
        <w:rPr>
          <w:sz w:val="22"/>
          <w:szCs w:val="22"/>
          <w:lang w:eastAsia="en-US"/>
        </w:rPr>
        <w:t xml:space="preserve"> </w:t>
      </w:r>
      <w:r w:rsidRPr="0006686F">
        <w:rPr>
          <w:rFonts w:cs="Arial"/>
          <w:sz w:val="22"/>
          <w:szCs w:val="22"/>
        </w:rPr>
        <w:t xml:space="preserve">discharges is: </w:t>
      </w:r>
    </w:p>
    <w:p w14:paraId="26FB89F3" w14:textId="77777777" w:rsidR="00FB3452" w:rsidRPr="0006686F" w:rsidRDefault="00FB3452" w:rsidP="00FB3452">
      <w:pPr>
        <w:ind w:left="0"/>
        <w:rPr>
          <w:rFonts w:cs="Arial"/>
          <w:sz w:val="22"/>
          <w:szCs w:val="22"/>
        </w:rPr>
      </w:pPr>
    </w:p>
    <w:p w14:paraId="2813A28C" w14:textId="64D26C6A" w:rsidR="00EE6FC7" w:rsidRPr="0006686F" w:rsidRDefault="00753B3A" w:rsidP="002A2708">
      <w:pPr>
        <w:pStyle w:val="ListParagraph0"/>
        <w:numPr>
          <w:ilvl w:val="0"/>
          <w:numId w:val="66"/>
        </w:numPr>
        <w:spacing w:after="240"/>
        <w:rPr>
          <w:sz w:val="22"/>
          <w:szCs w:val="22"/>
        </w:rPr>
      </w:pPr>
      <w:r w:rsidRPr="0006686F">
        <w:rPr>
          <w:rFonts w:cs="Arial"/>
          <w:sz w:val="22"/>
          <w:szCs w:val="22"/>
        </w:rPr>
        <w:t xml:space="preserve">Temporary and localised reduction in surface water quality around the vessels. </w:t>
      </w:r>
    </w:p>
    <w:p w14:paraId="35E86AC5" w14:textId="77777777" w:rsidR="00753B3A" w:rsidRPr="0006686F" w:rsidRDefault="00753B3A" w:rsidP="00FB3452">
      <w:pPr>
        <w:pStyle w:val="BodyText"/>
        <w:ind w:left="0"/>
        <w:rPr>
          <w:rFonts w:cs="Arial"/>
          <w:sz w:val="22"/>
          <w:szCs w:val="22"/>
        </w:rPr>
      </w:pPr>
      <w:r w:rsidRPr="0006686F">
        <w:rPr>
          <w:rFonts w:cs="Arial"/>
          <w:sz w:val="22"/>
          <w:szCs w:val="22"/>
        </w:rPr>
        <w:t>The EMBA for sewage and grey water discharges associated with vessel activities is likely to be the top 10 m of the water column and a 50 m radius from the discharge point. This is based on modelling of continuous wastewater discharges (including treated sewage and greywater) undertaken by Woodside for its Torosa South-1 drilling program (in the Scott Reef complex), which found:</w:t>
      </w:r>
    </w:p>
    <w:p w14:paraId="3054C83B" w14:textId="08ED30D3" w:rsidR="00753B3A" w:rsidRPr="0006686F" w:rsidRDefault="00753B3A" w:rsidP="00A155C8">
      <w:pPr>
        <w:pStyle w:val="ListParagraph0"/>
        <w:numPr>
          <w:ilvl w:val="0"/>
          <w:numId w:val="66"/>
        </w:numPr>
        <w:rPr>
          <w:rFonts w:cs="Arial"/>
          <w:sz w:val="22"/>
          <w:szCs w:val="22"/>
        </w:rPr>
      </w:pPr>
      <w:r w:rsidRPr="0006686F">
        <w:rPr>
          <w:rFonts w:cs="Arial"/>
          <w:sz w:val="22"/>
          <w:szCs w:val="22"/>
        </w:rPr>
        <w:t>Rapid horizontal dispersion of discharges occurs due to wind-driven surface water currents;</w:t>
      </w:r>
    </w:p>
    <w:p w14:paraId="3F924FE8" w14:textId="0E76B552" w:rsidR="00753B3A" w:rsidRPr="0006686F" w:rsidRDefault="00753B3A" w:rsidP="00A155C8">
      <w:pPr>
        <w:pStyle w:val="ListParagraph0"/>
        <w:numPr>
          <w:ilvl w:val="0"/>
          <w:numId w:val="66"/>
        </w:numPr>
        <w:rPr>
          <w:rFonts w:cs="Arial"/>
          <w:sz w:val="22"/>
          <w:szCs w:val="22"/>
        </w:rPr>
      </w:pPr>
      <w:r w:rsidRPr="0006686F">
        <w:rPr>
          <w:rFonts w:cs="Arial"/>
          <w:sz w:val="22"/>
          <w:szCs w:val="22"/>
        </w:rPr>
        <w:t>Vertical discharge is limited to about the top 10 m of the water column due to the neutrally buoyant nature of the discharge; and</w:t>
      </w:r>
    </w:p>
    <w:p w14:paraId="6B105444" w14:textId="30FB9A7B" w:rsidR="00753B3A" w:rsidRPr="0006686F" w:rsidRDefault="00753B3A" w:rsidP="00A155C8">
      <w:pPr>
        <w:pStyle w:val="ListParagraph0"/>
        <w:numPr>
          <w:ilvl w:val="0"/>
          <w:numId w:val="66"/>
        </w:numPr>
        <w:rPr>
          <w:rFonts w:cs="Arial"/>
          <w:sz w:val="22"/>
          <w:szCs w:val="22"/>
        </w:rPr>
      </w:pPr>
      <w:r w:rsidRPr="0006686F">
        <w:rPr>
          <w:rFonts w:cs="Arial"/>
          <w:sz w:val="22"/>
          <w:szCs w:val="22"/>
        </w:rPr>
        <w:t>A concentration of a component within the discharge stream is reduced to 1% of its original concentration at no less than 50 m from the discharge point under any condition (Woodside, 2008).</w:t>
      </w:r>
    </w:p>
    <w:p w14:paraId="3F623BB9" w14:textId="77777777" w:rsidR="00A155C8" w:rsidRPr="0006686F" w:rsidRDefault="00A155C8" w:rsidP="00E40A5D">
      <w:pPr>
        <w:ind w:left="0"/>
        <w:rPr>
          <w:rFonts w:cs="Arial"/>
          <w:szCs w:val="20"/>
        </w:rPr>
      </w:pPr>
    </w:p>
    <w:p w14:paraId="7022FAF6" w14:textId="77777777" w:rsidR="00753B3A" w:rsidRPr="00A83AF8" w:rsidRDefault="00753B3A" w:rsidP="00FB3452">
      <w:pPr>
        <w:pStyle w:val="BodyText"/>
        <w:ind w:left="0"/>
        <w:rPr>
          <w:rFonts w:cs="Arial"/>
          <w:sz w:val="22"/>
          <w:szCs w:val="22"/>
        </w:rPr>
      </w:pPr>
      <w:r w:rsidRPr="00A83AF8">
        <w:rPr>
          <w:rFonts w:cs="Arial"/>
          <w:sz w:val="22"/>
          <w:szCs w:val="22"/>
        </w:rPr>
        <w:t xml:space="preserve">Receptors that may occur within this EMBA, either as residents or migrants, are: </w:t>
      </w:r>
    </w:p>
    <w:p w14:paraId="09029C18" w14:textId="77777777" w:rsidR="00753B3A" w:rsidRPr="00A83AF8" w:rsidRDefault="00753B3A" w:rsidP="00283DEE">
      <w:pPr>
        <w:pStyle w:val="ListParagraph0"/>
        <w:numPr>
          <w:ilvl w:val="0"/>
          <w:numId w:val="66"/>
        </w:numPr>
        <w:rPr>
          <w:rFonts w:cs="Arial"/>
          <w:sz w:val="22"/>
          <w:szCs w:val="22"/>
        </w:rPr>
      </w:pPr>
      <w:r w:rsidRPr="00A83AF8">
        <w:rPr>
          <w:rFonts w:cs="Arial"/>
          <w:sz w:val="22"/>
          <w:szCs w:val="22"/>
        </w:rPr>
        <w:lastRenderedPageBreak/>
        <w:t>Plankton;</w:t>
      </w:r>
    </w:p>
    <w:p w14:paraId="442AE769" w14:textId="77777777" w:rsidR="00753B3A" w:rsidRPr="00A83AF8" w:rsidRDefault="00753B3A" w:rsidP="00283DEE">
      <w:pPr>
        <w:pStyle w:val="ListParagraph0"/>
        <w:numPr>
          <w:ilvl w:val="0"/>
          <w:numId w:val="66"/>
        </w:numPr>
        <w:rPr>
          <w:rFonts w:cs="Arial"/>
          <w:sz w:val="22"/>
          <w:szCs w:val="22"/>
        </w:rPr>
      </w:pPr>
      <w:r w:rsidRPr="00A83AF8">
        <w:rPr>
          <w:rFonts w:cs="Arial"/>
          <w:sz w:val="22"/>
          <w:szCs w:val="22"/>
        </w:rPr>
        <w:t>Pelagic fish; and</w:t>
      </w:r>
    </w:p>
    <w:p w14:paraId="3CFC84CE" w14:textId="77777777" w:rsidR="00753B3A" w:rsidRPr="00A83AF8" w:rsidRDefault="00753B3A" w:rsidP="00283DEE">
      <w:pPr>
        <w:pStyle w:val="ListParagraph0"/>
        <w:numPr>
          <w:ilvl w:val="0"/>
          <w:numId w:val="66"/>
        </w:numPr>
        <w:rPr>
          <w:rFonts w:cs="Arial"/>
          <w:sz w:val="22"/>
          <w:szCs w:val="22"/>
        </w:rPr>
      </w:pPr>
      <w:r w:rsidRPr="00A83AF8">
        <w:rPr>
          <w:rFonts w:cs="Arial"/>
          <w:sz w:val="22"/>
          <w:szCs w:val="22"/>
        </w:rPr>
        <w:t xml:space="preserve">Seabirds.  </w:t>
      </w:r>
    </w:p>
    <w:p w14:paraId="144F9394" w14:textId="77777777" w:rsidR="00EE6FC7" w:rsidRPr="0006686F" w:rsidRDefault="00EE6FC7" w:rsidP="00753B3A">
      <w:pPr>
        <w:pStyle w:val="Heading3"/>
      </w:pPr>
      <w:bookmarkStart w:id="487" w:name="_Toc477947876"/>
      <w:bookmarkStart w:id="488" w:name="_Toc479764065"/>
      <w:bookmarkStart w:id="489" w:name="_Toc375214618"/>
      <w:r w:rsidRPr="0006686F">
        <w:t>Evaluation of Environmental Impacts</w:t>
      </w:r>
      <w:bookmarkEnd w:id="487"/>
      <w:bookmarkEnd w:id="488"/>
      <w:bookmarkEnd w:id="489"/>
    </w:p>
    <w:p w14:paraId="6A9CABF7" w14:textId="77777777" w:rsidR="00753B3A" w:rsidRPr="00A83AF8" w:rsidRDefault="00753B3A" w:rsidP="00283DEE">
      <w:pPr>
        <w:ind w:left="0"/>
        <w:rPr>
          <w:rFonts w:cs="Arial"/>
          <w:sz w:val="22"/>
          <w:szCs w:val="22"/>
        </w:rPr>
      </w:pPr>
      <w:r w:rsidRPr="00A83AF8">
        <w:rPr>
          <w:rFonts w:cs="Arial"/>
          <w:sz w:val="22"/>
          <w:szCs w:val="22"/>
        </w:rPr>
        <w:t>Sewage will be treated through a sewage treatment plant (STP) to a tertiary level, so there are no potential impacts relating to the release of pathogens in untreated sewage. Nutrients in sewage, such as phosphorus and nitrogen, may contribute to eutrophication of receiving waters (although usually only still, calm, inland waters and not offshore waters), causing algal blooms, which can degrade aquatic habitats by reducing light levels and producing certain toxins, some of which are harmful to marine life and humans.</w:t>
      </w:r>
    </w:p>
    <w:p w14:paraId="06C776ED" w14:textId="77777777" w:rsidR="002068CB" w:rsidRPr="00A83AF8" w:rsidRDefault="002068CB" w:rsidP="00283DEE">
      <w:pPr>
        <w:ind w:left="0"/>
        <w:rPr>
          <w:rFonts w:cs="Arial"/>
          <w:sz w:val="22"/>
          <w:szCs w:val="22"/>
        </w:rPr>
      </w:pPr>
    </w:p>
    <w:p w14:paraId="177E2183" w14:textId="77777777" w:rsidR="00753B3A" w:rsidRPr="00A83AF8" w:rsidRDefault="00753B3A" w:rsidP="00283DEE">
      <w:pPr>
        <w:ind w:left="0"/>
        <w:rPr>
          <w:rFonts w:cs="Arial"/>
          <w:sz w:val="22"/>
          <w:szCs w:val="22"/>
        </w:rPr>
      </w:pPr>
      <w:r w:rsidRPr="00A83AF8">
        <w:rPr>
          <w:rFonts w:cs="Arial"/>
          <w:sz w:val="22"/>
          <w:szCs w:val="22"/>
        </w:rPr>
        <w:t xml:space="preserve">Grey water (used water from the galley, dishwashers, showers, hand basins and laundry) can contain a wide variety of pollutant substances at different strengths, including oil and some organic compounds, hydrocarbons, detergents and grease, metals, suspended solids, chemical nutrients, food waste, coliform bacteria and some medical waste. Grey water is also treated through the STP, so pollutants will be largely removed from the discharge stream. </w:t>
      </w:r>
    </w:p>
    <w:p w14:paraId="2D2A1281" w14:textId="77777777" w:rsidR="002068CB" w:rsidRPr="00A83AF8" w:rsidRDefault="002068CB" w:rsidP="00283DEE">
      <w:pPr>
        <w:ind w:left="0"/>
        <w:rPr>
          <w:rFonts w:cs="Arial"/>
          <w:sz w:val="22"/>
          <w:szCs w:val="22"/>
        </w:rPr>
      </w:pPr>
    </w:p>
    <w:p w14:paraId="5CD85EF4" w14:textId="6161838C" w:rsidR="00753B3A" w:rsidRPr="00A83AF8" w:rsidRDefault="00753B3A" w:rsidP="00283DEE">
      <w:pPr>
        <w:ind w:left="0"/>
        <w:rPr>
          <w:rFonts w:cs="Arial"/>
          <w:sz w:val="22"/>
          <w:szCs w:val="22"/>
        </w:rPr>
      </w:pPr>
      <w:r w:rsidRPr="00A83AF8">
        <w:rPr>
          <w:rFonts w:cs="Arial"/>
          <w:sz w:val="22"/>
          <w:szCs w:val="22"/>
        </w:rPr>
        <w:t xml:space="preserve">The effects of sewage and sullage discharges on the water quality at Scott Reef were monitored for a drill rig operating near the edge of the deep-water lagoon area at South Reef. Monitoring at stations 50, 100 and 200 m downstream of the rig and at five different water depths confirmed that the discharges were rapidly diluted in the upper </w:t>
      </w:r>
      <w:r w:rsidR="002A2708">
        <w:rPr>
          <w:rFonts w:cs="Arial"/>
          <w:sz w:val="22"/>
          <w:szCs w:val="22"/>
        </w:rPr>
        <w:br/>
      </w:r>
      <w:r w:rsidRPr="00A83AF8">
        <w:rPr>
          <w:rFonts w:cs="Arial"/>
          <w:sz w:val="22"/>
          <w:szCs w:val="22"/>
        </w:rPr>
        <w:t xml:space="preserve">10 m water layer and no elevations in water quality monitoring parameters (e.g., total nitrogen, total phosphorous and selected metals) were recorded above background levels at any station (Woodside, 2011). Conditions associated with this example at Scott Reef are considered conservative given the high numbers of personnel onboard a drill rig compared with </w:t>
      </w:r>
      <w:r w:rsidR="002A2708">
        <w:rPr>
          <w:rFonts w:cs="Arial"/>
          <w:sz w:val="22"/>
          <w:szCs w:val="22"/>
        </w:rPr>
        <w:t xml:space="preserve">seismic survey </w:t>
      </w:r>
      <w:r w:rsidRPr="00A83AF8">
        <w:rPr>
          <w:rFonts w:cs="Arial"/>
          <w:sz w:val="22"/>
          <w:szCs w:val="22"/>
        </w:rPr>
        <w:t>vessels, and the environment much less dispersive than vessels that are in constant movement in Bass Strait.</w:t>
      </w:r>
    </w:p>
    <w:p w14:paraId="3DF0902A" w14:textId="77777777" w:rsidR="00CA227B" w:rsidRPr="00A83AF8" w:rsidRDefault="00CA227B" w:rsidP="00283DEE">
      <w:pPr>
        <w:ind w:left="0"/>
        <w:rPr>
          <w:rFonts w:cs="Arial"/>
          <w:sz w:val="22"/>
          <w:szCs w:val="22"/>
        </w:rPr>
      </w:pPr>
    </w:p>
    <w:p w14:paraId="73BF919A" w14:textId="77777777" w:rsidR="00753B3A" w:rsidRPr="00A83AF8" w:rsidRDefault="00753B3A" w:rsidP="00283DEE">
      <w:pPr>
        <w:ind w:left="0"/>
        <w:rPr>
          <w:rFonts w:cs="Arial"/>
          <w:sz w:val="22"/>
          <w:szCs w:val="22"/>
        </w:rPr>
      </w:pPr>
      <w:r w:rsidRPr="00A83AF8">
        <w:rPr>
          <w:rFonts w:cs="Arial"/>
          <w:sz w:val="22"/>
          <w:szCs w:val="22"/>
        </w:rPr>
        <w:t xml:space="preserve">Discharges of treated sewage and grey water will be rapidly diluted in the surface layers of the water column and dispersed by currents. The biological oxygen demand (BOD) of the treated effluent is unlikely to lead to oxygen depletion of the receiving waters (Black </w:t>
      </w:r>
      <w:r w:rsidRPr="00A83AF8">
        <w:rPr>
          <w:rFonts w:cs="Arial"/>
          <w:i/>
          <w:sz w:val="22"/>
          <w:szCs w:val="22"/>
        </w:rPr>
        <w:t>et al</w:t>
      </w:r>
      <w:r w:rsidRPr="00A83AF8">
        <w:rPr>
          <w:rFonts w:cs="Arial"/>
          <w:sz w:val="22"/>
          <w:szCs w:val="22"/>
        </w:rPr>
        <w:t>., 1994), as it will be treated prior to release. On release, surface water currents will assist with oxygenation of the discharge.</w:t>
      </w:r>
    </w:p>
    <w:p w14:paraId="50D765F6" w14:textId="77777777" w:rsidR="00CA227B" w:rsidRPr="00A83AF8" w:rsidRDefault="00CA227B" w:rsidP="00283DEE">
      <w:pPr>
        <w:ind w:left="0"/>
        <w:rPr>
          <w:rFonts w:cs="Arial"/>
          <w:sz w:val="22"/>
          <w:szCs w:val="22"/>
        </w:rPr>
      </w:pPr>
    </w:p>
    <w:p w14:paraId="3D8C6978" w14:textId="06EAE270" w:rsidR="002B3670" w:rsidRPr="00A83AF8" w:rsidRDefault="002B3670" w:rsidP="002A2708">
      <w:pPr>
        <w:spacing w:after="120"/>
        <w:ind w:left="0"/>
        <w:rPr>
          <w:rFonts w:cs="Arial"/>
          <w:sz w:val="22"/>
          <w:szCs w:val="22"/>
        </w:rPr>
      </w:pPr>
      <w:r w:rsidRPr="00A83AF8">
        <w:rPr>
          <w:rFonts w:cs="Arial"/>
          <w:sz w:val="22"/>
          <w:szCs w:val="22"/>
        </w:rPr>
        <w:t xml:space="preserve">For the following reasons, the impact treated sewage </w:t>
      </w:r>
      <w:r w:rsidR="00D04223" w:rsidRPr="00A83AF8">
        <w:rPr>
          <w:rFonts w:cs="Arial"/>
          <w:sz w:val="22"/>
          <w:szCs w:val="22"/>
        </w:rPr>
        <w:t xml:space="preserve">discharges </w:t>
      </w:r>
      <w:r w:rsidRPr="00A83AF8">
        <w:rPr>
          <w:rFonts w:cs="Arial"/>
          <w:sz w:val="22"/>
          <w:szCs w:val="22"/>
        </w:rPr>
        <w:t xml:space="preserve">to the marine environment will have very low consequences to marine life: </w:t>
      </w:r>
    </w:p>
    <w:p w14:paraId="5C3F4B2B" w14:textId="77DD2147" w:rsidR="002B3670" w:rsidRPr="00A83AF8" w:rsidRDefault="002B3670" w:rsidP="00567567">
      <w:pPr>
        <w:pStyle w:val="ListParagraph0"/>
        <w:numPr>
          <w:ilvl w:val="0"/>
          <w:numId w:val="188"/>
        </w:numPr>
        <w:rPr>
          <w:rFonts w:cs="Arial"/>
          <w:sz w:val="22"/>
          <w:szCs w:val="22"/>
        </w:rPr>
      </w:pPr>
      <w:r w:rsidRPr="00A83AF8">
        <w:rPr>
          <w:rFonts w:cs="Arial"/>
          <w:sz w:val="22"/>
          <w:szCs w:val="22"/>
        </w:rPr>
        <w:t>L</w:t>
      </w:r>
      <w:r w:rsidR="00753B3A" w:rsidRPr="00A83AF8">
        <w:rPr>
          <w:rFonts w:cs="Arial"/>
          <w:sz w:val="22"/>
          <w:szCs w:val="22"/>
        </w:rPr>
        <w:t xml:space="preserve">ow </w:t>
      </w:r>
      <w:r w:rsidRPr="00A83AF8">
        <w:rPr>
          <w:rFonts w:cs="Arial"/>
          <w:sz w:val="22"/>
          <w:szCs w:val="22"/>
        </w:rPr>
        <w:t xml:space="preserve">and intermittent discharge </w:t>
      </w:r>
      <w:r w:rsidR="00753B3A" w:rsidRPr="00A83AF8">
        <w:rPr>
          <w:rFonts w:cs="Arial"/>
          <w:sz w:val="22"/>
          <w:szCs w:val="22"/>
        </w:rPr>
        <w:t>volumes</w:t>
      </w:r>
      <w:r w:rsidRPr="00A83AF8">
        <w:rPr>
          <w:rFonts w:cs="Arial"/>
          <w:sz w:val="22"/>
          <w:szCs w:val="22"/>
        </w:rPr>
        <w:t>;</w:t>
      </w:r>
      <w:r w:rsidR="00753B3A" w:rsidRPr="00A83AF8">
        <w:rPr>
          <w:rFonts w:cs="Arial"/>
          <w:sz w:val="22"/>
          <w:szCs w:val="22"/>
        </w:rPr>
        <w:t xml:space="preserve"> </w:t>
      </w:r>
    </w:p>
    <w:p w14:paraId="6CF74FA8" w14:textId="5578FA8F" w:rsidR="002B3670" w:rsidRPr="00A83AF8" w:rsidRDefault="002B3670" w:rsidP="00567567">
      <w:pPr>
        <w:pStyle w:val="ListParagraph0"/>
        <w:numPr>
          <w:ilvl w:val="0"/>
          <w:numId w:val="188"/>
        </w:numPr>
        <w:rPr>
          <w:rFonts w:cs="Arial"/>
          <w:sz w:val="22"/>
          <w:szCs w:val="22"/>
        </w:rPr>
      </w:pPr>
      <w:r w:rsidRPr="00A83AF8">
        <w:rPr>
          <w:rFonts w:cs="Arial"/>
          <w:sz w:val="22"/>
          <w:szCs w:val="22"/>
        </w:rPr>
        <w:t>Tre</w:t>
      </w:r>
      <w:r w:rsidR="00753B3A" w:rsidRPr="00A83AF8">
        <w:rPr>
          <w:rFonts w:cs="Arial"/>
          <w:sz w:val="22"/>
          <w:szCs w:val="22"/>
        </w:rPr>
        <w:t xml:space="preserve">atment of the </w:t>
      </w:r>
      <w:r w:rsidRPr="00A83AF8">
        <w:rPr>
          <w:rFonts w:cs="Arial"/>
          <w:sz w:val="22"/>
          <w:szCs w:val="22"/>
        </w:rPr>
        <w:t xml:space="preserve">waste stream prior to </w:t>
      </w:r>
      <w:r w:rsidR="00753B3A" w:rsidRPr="00A83AF8">
        <w:rPr>
          <w:rFonts w:cs="Arial"/>
          <w:sz w:val="22"/>
          <w:szCs w:val="22"/>
        </w:rPr>
        <w:t>discharge</w:t>
      </w:r>
      <w:r w:rsidRPr="00A83AF8">
        <w:rPr>
          <w:rFonts w:cs="Arial"/>
          <w:sz w:val="22"/>
          <w:szCs w:val="22"/>
        </w:rPr>
        <w:t>;</w:t>
      </w:r>
      <w:r w:rsidR="00753B3A" w:rsidRPr="00A83AF8">
        <w:rPr>
          <w:rFonts w:cs="Arial"/>
          <w:sz w:val="22"/>
          <w:szCs w:val="22"/>
        </w:rPr>
        <w:t xml:space="preserve"> </w:t>
      </w:r>
    </w:p>
    <w:p w14:paraId="61D0F47D" w14:textId="77777777" w:rsidR="00D04223" w:rsidRPr="00A83AF8" w:rsidRDefault="002B3670" w:rsidP="00567567">
      <w:pPr>
        <w:pStyle w:val="ListParagraph0"/>
        <w:numPr>
          <w:ilvl w:val="0"/>
          <w:numId w:val="188"/>
        </w:numPr>
        <w:rPr>
          <w:rFonts w:cs="Arial"/>
          <w:sz w:val="22"/>
          <w:szCs w:val="22"/>
        </w:rPr>
      </w:pPr>
      <w:r w:rsidRPr="00A83AF8">
        <w:rPr>
          <w:rFonts w:cs="Arial"/>
          <w:sz w:val="22"/>
          <w:szCs w:val="22"/>
        </w:rPr>
        <w:t>H</w:t>
      </w:r>
      <w:r w:rsidR="00753B3A" w:rsidRPr="00A83AF8">
        <w:rPr>
          <w:rFonts w:cs="Arial"/>
          <w:sz w:val="22"/>
          <w:szCs w:val="22"/>
        </w:rPr>
        <w:t>igh dilution and dispersal factor</w:t>
      </w:r>
      <w:r w:rsidR="00D04223" w:rsidRPr="00A83AF8">
        <w:rPr>
          <w:rFonts w:cs="Arial"/>
          <w:sz w:val="22"/>
          <w:szCs w:val="22"/>
        </w:rPr>
        <w:t xml:space="preserve"> in open waters;</w:t>
      </w:r>
    </w:p>
    <w:p w14:paraId="481F8187" w14:textId="77777777" w:rsidR="00D04223" w:rsidRPr="00A83AF8" w:rsidRDefault="00D04223" w:rsidP="00567567">
      <w:pPr>
        <w:pStyle w:val="ListParagraph0"/>
        <w:numPr>
          <w:ilvl w:val="0"/>
          <w:numId w:val="188"/>
        </w:numPr>
        <w:rPr>
          <w:rFonts w:cs="Arial"/>
          <w:sz w:val="22"/>
          <w:szCs w:val="22"/>
        </w:rPr>
      </w:pPr>
      <w:r w:rsidRPr="00A83AF8">
        <w:rPr>
          <w:rFonts w:cs="Arial"/>
          <w:sz w:val="22"/>
          <w:szCs w:val="22"/>
        </w:rPr>
        <w:t>Localised area of impact; and</w:t>
      </w:r>
    </w:p>
    <w:p w14:paraId="3322F483" w14:textId="001EA88C" w:rsidR="002B3670" w:rsidRPr="00A83AF8" w:rsidRDefault="00D04223" w:rsidP="00567567">
      <w:pPr>
        <w:pStyle w:val="ListParagraph0"/>
        <w:numPr>
          <w:ilvl w:val="0"/>
          <w:numId w:val="188"/>
        </w:numPr>
        <w:rPr>
          <w:rFonts w:cs="Arial"/>
          <w:sz w:val="22"/>
          <w:szCs w:val="22"/>
        </w:rPr>
      </w:pPr>
      <w:r w:rsidRPr="00A83AF8">
        <w:rPr>
          <w:rFonts w:cs="Arial"/>
          <w:sz w:val="22"/>
          <w:szCs w:val="22"/>
        </w:rPr>
        <w:t>High biodegradability and low persistence of the waste.</w:t>
      </w:r>
      <w:r w:rsidR="00753B3A" w:rsidRPr="00A83AF8">
        <w:rPr>
          <w:rFonts w:cs="Arial"/>
          <w:sz w:val="22"/>
          <w:szCs w:val="22"/>
        </w:rPr>
        <w:t xml:space="preserve"> </w:t>
      </w:r>
    </w:p>
    <w:p w14:paraId="035A2200" w14:textId="26A32AD1" w:rsidR="00EE6FC7" w:rsidRPr="0006686F" w:rsidRDefault="002A2708" w:rsidP="00377D17">
      <w:pPr>
        <w:pStyle w:val="Heading3"/>
      </w:pPr>
      <w:bookmarkStart w:id="490" w:name="_Toc477947879"/>
      <w:bookmarkStart w:id="491" w:name="_Toc479764068"/>
      <w:bookmarkStart w:id="492" w:name="_Toc375214619"/>
      <w:r>
        <w:t xml:space="preserve">Control Measures &amp; </w:t>
      </w:r>
      <w:r w:rsidR="00A221F4">
        <w:t>Impact</w:t>
      </w:r>
      <w:r w:rsidR="00EE6FC7" w:rsidRPr="0006686F">
        <w:t xml:space="preserve"> </w:t>
      </w:r>
      <w:r>
        <w:t>Consequence</w:t>
      </w:r>
      <w:bookmarkEnd w:id="490"/>
      <w:bookmarkEnd w:id="491"/>
      <w:bookmarkEnd w:id="492"/>
    </w:p>
    <w:p w14:paraId="00569553" w14:textId="56EAD58F" w:rsidR="002A2708" w:rsidRDefault="002A2708" w:rsidP="002A2708">
      <w:pPr>
        <w:pStyle w:val="BodyText"/>
        <w:ind w:left="0"/>
        <w:rPr>
          <w:rFonts w:cs="Arial"/>
          <w:sz w:val="22"/>
          <w:szCs w:val="22"/>
        </w:rPr>
      </w:pPr>
      <w:r>
        <w:rPr>
          <w:rFonts w:cs="Arial"/>
          <w:sz w:val="22"/>
          <w:szCs w:val="22"/>
        </w:rPr>
        <w:t xml:space="preserve">The following control measures will be implemented to minimise the impacts of </w:t>
      </w:r>
      <w:r w:rsidR="001432AD">
        <w:rPr>
          <w:rFonts w:cs="Arial"/>
          <w:sz w:val="22"/>
          <w:szCs w:val="22"/>
        </w:rPr>
        <w:t>sewage and grey water discharges</w:t>
      </w:r>
      <w:r>
        <w:rPr>
          <w:rFonts w:cs="Arial"/>
          <w:sz w:val="22"/>
          <w:szCs w:val="22"/>
        </w:rPr>
        <w:t xml:space="preserve">: </w:t>
      </w:r>
    </w:p>
    <w:p w14:paraId="5466518A" w14:textId="54820E75" w:rsidR="002A2708" w:rsidRPr="002A2708" w:rsidRDefault="002A2708" w:rsidP="002A2708">
      <w:pPr>
        <w:pStyle w:val="ListParagraph0"/>
        <w:numPr>
          <w:ilvl w:val="0"/>
          <w:numId w:val="66"/>
        </w:numPr>
        <w:rPr>
          <w:rFonts w:cs="Arial"/>
          <w:sz w:val="22"/>
          <w:szCs w:val="22"/>
        </w:rPr>
      </w:pPr>
      <w:r w:rsidRPr="002A2708">
        <w:rPr>
          <w:rFonts w:cs="Arial"/>
          <w:sz w:val="22"/>
          <w:szCs w:val="22"/>
        </w:rPr>
        <w:t>Where sewage is treated in a STP, the STP meets MARPOL standards.</w:t>
      </w:r>
    </w:p>
    <w:p w14:paraId="0777EBC8" w14:textId="1E9D0870" w:rsidR="002A2708" w:rsidRPr="002A2708" w:rsidRDefault="002A2708" w:rsidP="002A2708">
      <w:pPr>
        <w:pStyle w:val="ListParagraph0"/>
        <w:numPr>
          <w:ilvl w:val="0"/>
          <w:numId w:val="66"/>
        </w:numPr>
        <w:rPr>
          <w:rFonts w:cs="Arial"/>
          <w:sz w:val="22"/>
          <w:szCs w:val="22"/>
        </w:rPr>
      </w:pPr>
      <w:r w:rsidRPr="002A2708">
        <w:rPr>
          <w:rFonts w:cs="Arial"/>
          <w:sz w:val="22"/>
          <w:szCs w:val="22"/>
        </w:rPr>
        <w:t>The STP is maintained in accordance with the vessel’s PMS.</w:t>
      </w:r>
    </w:p>
    <w:p w14:paraId="53F698E0" w14:textId="77777777" w:rsidR="002A2708" w:rsidRPr="002A2708" w:rsidRDefault="002A2708" w:rsidP="002A2708">
      <w:pPr>
        <w:pStyle w:val="ListParagraph0"/>
        <w:numPr>
          <w:ilvl w:val="0"/>
          <w:numId w:val="66"/>
        </w:numPr>
        <w:rPr>
          <w:rFonts w:cs="Arial"/>
          <w:sz w:val="22"/>
          <w:szCs w:val="22"/>
        </w:rPr>
      </w:pPr>
      <w:r w:rsidRPr="002A2708">
        <w:rPr>
          <w:rFonts w:cs="Arial"/>
          <w:sz w:val="22"/>
          <w:szCs w:val="22"/>
        </w:rPr>
        <w:t>Sewage is comminuted, disinfected and discharged when:</w:t>
      </w:r>
    </w:p>
    <w:p w14:paraId="3653ADDB" w14:textId="77777777" w:rsidR="002A2708" w:rsidRPr="002A2708" w:rsidRDefault="002A2708" w:rsidP="002A2708">
      <w:pPr>
        <w:pStyle w:val="ListParagraph0"/>
        <w:numPr>
          <w:ilvl w:val="1"/>
          <w:numId w:val="66"/>
        </w:numPr>
        <w:rPr>
          <w:rFonts w:cs="Arial"/>
          <w:sz w:val="22"/>
          <w:szCs w:val="22"/>
        </w:rPr>
      </w:pPr>
      <w:r w:rsidRPr="002A2708">
        <w:rPr>
          <w:rFonts w:cs="Arial"/>
          <w:sz w:val="22"/>
          <w:szCs w:val="22"/>
        </w:rPr>
        <w:lastRenderedPageBreak/>
        <w:t>Vessel is &gt;3 nm from nearest land.</w:t>
      </w:r>
    </w:p>
    <w:p w14:paraId="0DA6D2ED" w14:textId="4341744A" w:rsidR="002A2708" w:rsidRPr="002A2708" w:rsidRDefault="002A2708" w:rsidP="002A2708">
      <w:pPr>
        <w:pStyle w:val="ListParagraph0"/>
        <w:numPr>
          <w:ilvl w:val="1"/>
          <w:numId w:val="66"/>
        </w:numPr>
        <w:rPr>
          <w:rFonts w:cs="Arial"/>
          <w:sz w:val="22"/>
          <w:szCs w:val="22"/>
        </w:rPr>
      </w:pPr>
      <w:r w:rsidRPr="002A2708">
        <w:rPr>
          <w:rFonts w:cs="Arial"/>
          <w:sz w:val="22"/>
          <w:szCs w:val="22"/>
        </w:rPr>
        <w:t>Sewage originating in holding tanks is discharged at a moderate rate (in accordance with Regulation 11 of MARPOL Annex IV, as defined by Marine Order 96) while the vessel is proceeding en-route at a speed not less than 4 knots.</w:t>
      </w:r>
    </w:p>
    <w:p w14:paraId="78DF25FF" w14:textId="23C18FA4" w:rsidR="002A2708" w:rsidRPr="002A2708" w:rsidRDefault="002A2708" w:rsidP="002A2708">
      <w:pPr>
        <w:pStyle w:val="ListParagraph0"/>
        <w:numPr>
          <w:ilvl w:val="0"/>
          <w:numId w:val="66"/>
        </w:numPr>
        <w:spacing w:after="240"/>
        <w:rPr>
          <w:rFonts w:cs="Arial"/>
          <w:sz w:val="22"/>
          <w:szCs w:val="22"/>
        </w:rPr>
      </w:pPr>
      <w:r w:rsidRPr="002A2708">
        <w:rPr>
          <w:rFonts w:cs="Arial"/>
          <w:sz w:val="22"/>
          <w:szCs w:val="22"/>
        </w:rPr>
        <w:t>In the event of a STP malfunction, untreated sewage and grey water is only discharged when the vessel is greater than 12 nm from shore in accordance with Regulation 11 of MARPOL Annex IV (enacted by AMSA Marine Orders Part 96, Sewage).</w:t>
      </w:r>
    </w:p>
    <w:p w14:paraId="57F72B90" w14:textId="73A0BC7B" w:rsidR="002A2708" w:rsidRDefault="006464A1" w:rsidP="002A2708">
      <w:pPr>
        <w:pStyle w:val="BodyText"/>
        <w:spacing w:after="240"/>
        <w:ind w:left="0"/>
        <w:rPr>
          <w:rFonts w:cs="Arial"/>
          <w:sz w:val="22"/>
          <w:szCs w:val="22"/>
        </w:rPr>
      </w:pPr>
      <w:r>
        <w:rPr>
          <w:rFonts w:cs="Arial"/>
          <w:sz w:val="22"/>
          <w:szCs w:val="22"/>
        </w:rPr>
        <w:t>T</w:t>
      </w:r>
      <w:r w:rsidR="002A2708">
        <w:rPr>
          <w:rFonts w:cs="Arial"/>
          <w:sz w:val="22"/>
          <w:szCs w:val="22"/>
        </w:rPr>
        <w:t xml:space="preserve">he residual (post-control) impact consequence </w:t>
      </w:r>
      <w:r>
        <w:rPr>
          <w:rFonts w:cs="Arial"/>
          <w:sz w:val="22"/>
          <w:szCs w:val="22"/>
        </w:rPr>
        <w:t>is rated as ‘insignificant.’</w:t>
      </w:r>
    </w:p>
    <w:p w14:paraId="25B0BB11" w14:textId="786BB8DC" w:rsidR="00EE6FC7" w:rsidRPr="00B03966" w:rsidRDefault="00B03966" w:rsidP="00D84376">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493" w:name="_Toc320190767"/>
      <w:bookmarkStart w:id="494" w:name="_Toc375214620"/>
      <w:r>
        <w:rPr>
          <w:rFonts w:cs="Times New Roman"/>
          <w:iCs w:val="0"/>
          <w:color w:val="064EA8"/>
          <w:szCs w:val="26"/>
          <w:lang w:eastAsia="en-US"/>
        </w:rPr>
        <w:t xml:space="preserve">IMPACT: </w:t>
      </w:r>
      <w:r w:rsidR="00EE6FC7" w:rsidRPr="00B03966">
        <w:rPr>
          <w:rFonts w:cs="Times New Roman"/>
          <w:iCs w:val="0"/>
          <w:color w:val="064EA8"/>
          <w:szCs w:val="26"/>
          <w:lang w:eastAsia="en-US"/>
        </w:rPr>
        <w:t xml:space="preserve">Discharge of </w:t>
      </w:r>
      <w:bookmarkEnd w:id="493"/>
      <w:r w:rsidR="00753B3A" w:rsidRPr="00B03966">
        <w:rPr>
          <w:rFonts w:cs="Times New Roman"/>
          <w:iCs w:val="0"/>
          <w:color w:val="064EA8"/>
          <w:szCs w:val="26"/>
          <w:lang w:eastAsia="en-US"/>
        </w:rPr>
        <w:t>Cooling and Brine Water</w:t>
      </w:r>
      <w:bookmarkEnd w:id="494"/>
    </w:p>
    <w:p w14:paraId="4F0E7276" w14:textId="77777777" w:rsidR="00EE6FC7" w:rsidRPr="00891DE1" w:rsidRDefault="00EE6FC7" w:rsidP="00131FFB">
      <w:pPr>
        <w:pStyle w:val="Heading3"/>
      </w:pPr>
      <w:bookmarkStart w:id="495" w:name="_Toc477947881"/>
      <w:bookmarkStart w:id="496" w:name="_Toc479764070"/>
      <w:bookmarkStart w:id="497" w:name="_Toc375214621"/>
      <w:r w:rsidRPr="00891DE1">
        <w:t>Hazard</w:t>
      </w:r>
      <w:bookmarkEnd w:id="495"/>
      <w:bookmarkEnd w:id="496"/>
      <w:bookmarkEnd w:id="497"/>
    </w:p>
    <w:p w14:paraId="62D4F7BF" w14:textId="485500EF" w:rsidR="00A8121B" w:rsidRPr="00D84376" w:rsidRDefault="00A8121B" w:rsidP="00131FFB">
      <w:pPr>
        <w:ind w:left="0"/>
        <w:rPr>
          <w:rFonts w:cs="Arial"/>
          <w:sz w:val="22"/>
          <w:szCs w:val="22"/>
        </w:rPr>
      </w:pPr>
      <w:r w:rsidRPr="00D84376">
        <w:rPr>
          <w:rFonts w:cs="Arial"/>
          <w:sz w:val="22"/>
          <w:szCs w:val="22"/>
        </w:rPr>
        <w:t>Seawater is used as a heat exchange medium for cooling machinery engines on vessels. Brine is created through the vessel desalination processes for potable water generation.</w:t>
      </w:r>
    </w:p>
    <w:p w14:paraId="28F489BE" w14:textId="77777777" w:rsidR="00131FFB" w:rsidRPr="00D84376" w:rsidRDefault="00131FFB" w:rsidP="00131FFB">
      <w:pPr>
        <w:ind w:left="0"/>
        <w:rPr>
          <w:rFonts w:cs="Arial"/>
          <w:sz w:val="22"/>
          <w:szCs w:val="22"/>
        </w:rPr>
      </w:pPr>
    </w:p>
    <w:p w14:paraId="1F3137D3" w14:textId="77777777" w:rsidR="00A8121B" w:rsidRPr="00D84376" w:rsidRDefault="00A8121B" w:rsidP="00131FFB">
      <w:pPr>
        <w:ind w:left="0"/>
        <w:rPr>
          <w:rFonts w:cs="Arial"/>
          <w:sz w:val="22"/>
          <w:szCs w:val="22"/>
        </w:rPr>
      </w:pPr>
      <w:r w:rsidRPr="00D84376">
        <w:rPr>
          <w:rFonts w:cs="Arial"/>
          <w:sz w:val="22"/>
          <w:szCs w:val="22"/>
        </w:rPr>
        <w:t xml:space="preserve">Seawater is used as a heat exchange medium for cooling machinery engines and other equipment. Seawater is drawn up from the ocean, where it is de-oxygenated and sterilised by electrolysis (by release of chlorine from the salt solution) and then circulated as coolant for various equipment through the heat exchangers (in the process transferring heat from the machinery), and is then discharged to the ocean at depth (not at surface). Upon discharge, it will be warmer than the ambient water temperature and may contain low concentrations of residual biocide and scale inhibitors if they are used to control biofouling and scale formation. </w:t>
      </w:r>
    </w:p>
    <w:p w14:paraId="506A7CDF" w14:textId="77777777" w:rsidR="001141FA" w:rsidRPr="00D84376" w:rsidRDefault="001141FA" w:rsidP="00131FFB">
      <w:pPr>
        <w:ind w:left="0"/>
        <w:rPr>
          <w:rFonts w:cs="Arial"/>
          <w:sz w:val="22"/>
          <w:szCs w:val="22"/>
        </w:rPr>
      </w:pPr>
    </w:p>
    <w:p w14:paraId="3E376089" w14:textId="7E4CA7F7" w:rsidR="00A8121B" w:rsidRPr="00D84376" w:rsidRDefault="00A8121B" w:rsidP="00131FFB">
      <w:pPr>
        <w:ind w:left="0"/>
        <w:rPr>
          <w:rFonts w:cs="Arial"/>
          <w:sz w:val="22"/>
          <w:szCs w:val="22"/>
        </w:rPr>
      </w:pPr>
      <w:r w:rsidRPr="00D84376">
        <w:rPr>
          <w:rFonts w:cs="Arial"/>
          <w:sz w:val="22"/>
          <w:szCs w:val="22"/>
        </w:rPr>
        <w:t xml:space="preserve">The maximum cooling water discharge rate for the vessels that may be used is unknown. Also unknown is the temperature at which the heat exchangers are designed to discharge the cooling water at (generally several degrees Celcius above ambient sea temperature). </w:t>
      </w:r>
    </w:p>
    <w:p w14:paraId="204553DA" w14:textId="77777777" w:rsidR="001141FA" w:rsidRPr="00D84376" w:rsidRDefault="001141FA" w:rsidP="00131FFB">
      <w:pPr>
        <w:ind w:left="0"/>
        <w:rPr>
          <w:rFonts w:cs="Arial"/>
          <w:sz w:val="22"/>
          <w:szCs w:val="22"/>
        </w:rPr>
      </w:pPr>
    </w:p>
    <w:p w14:paraId="64893A84" w14:textId="269BB5BF" w:rsidR="00A8121B" w:rsidRPr="00D84376" w:rsidRDefault="00A8121B" w:rsidP="007F0B74">
      <w:pPr>
        <w:ind w:left="0"/>
        <w:rPr>
          <w:rFonts w:cs="Arial"/>
          <w:sz w:val="22"/>
          <w:szCs w:val="22"/>
        </w:rPr>
      </w:pPr>
      <w:r w:rsidRPr="00D84376">
        <w:rPr>
          <w:rFonts w:cs="Arial"/>
          <w:sz w:val="22"/>
          <w:szCs w:val="22"/>
        </w:rPr>
        <w:t xml:space="preserve">Brine water (hypersaline water) is created through the desalination process that creates freshwater for drinking, showers, cooking etc. This is achieved through reverse osmosis (RO) or distillation resulting in the discharge of seawater with a slightly elevated salinity (~10-15% higher than seawater). The freshwater produced is then stored in tanks on board. Upon discharge, the concentration of the brine is (based on other modern vessels) likely to range from 44-61 ppm, which is 9-26 ppm higher than seawater salt concentration (35 ppm). Brine concentration is dependent on </w:t>
      </w:r>
      <w:r w:rsidR="00D3430D" w:rsidRPr="00D84376">
        <w:rPr>
          <w:rFonts w:cs="Arial"/>
          <w:sz w:val="22"/>
          <w:szCs w:val="22"/>
        </w:rPr>
        <w:t xml:space="preserve">throughput and plant efficiency. </w:t>
      </w:r>
    </w:p>
    <w:p w14:paraId="4963AABE" w14:textId="77777777" w:rsidR="00EE6FC7" w:rsidRPr="00D84376" w:rsidRDefault="00EE6FC7" w:rsidP="00131FFB">
      <w:pPr>
        <w:pStyle w:val="Heading3"/>
      </w:pPr>
      <w:bookmarkStart w:id="498" w:name="_Toc477947883"/>
      <w:bookmarkStart w:id="499" w:name="_Toc479764071"/>
      <w:bookmarkStart w:id="500" w:name="_Toc375214622"/>
      <w:r w:rsidRPr="00D84376">
        <w:t>Known and Potential Environmental Impacts</w:t>
      </w:r>
      <w:bookmarkEnd w:id="498"/>
      <w:bookmarkEnd w:id="499"/>
      <w:bookmarkEnd w:id="500"/>
    </w:p>
    <w:p w14:paraId="4FA2A332" w14:textId="6823A5CD" w:rsidR="00A8121B" w:rsidRPr="00D84376" w:rsidRDefault="00A8121B" w:rsidP="00131FFB">
      <w:pPr>
        <w:ind w:left="0"/>
        <w:rPr>
          <w:rFonts w:cs="Arial"/>
          <w:sz w:val="22"/>
          <w:szCs w:val="22"/>
        </w:rPr>
      </w:pPr>
      <w:r w:rsidRPr="00D84376">
        <w:rPr>
          <w:rFonts w:cs="Arial"/>
          <w:sz w:val="22"/>
          <w:szCs w:val="22"/>
        </w:rPr>
        <w:t xml:space="preserve">The known and potential environmental impact of cooling water and brine discharges are: </w:t>
      </w:r>
    </w:p>
    <w:p w14:paraId="086A5926" w14:textId="77777777" w:rsidR="00D3430D" w:rsidRPr="00D84376" w:rsidRDefault="00D3430D" w:rsidP="00131FFB">
      <w:pPr>
        <w:ind w:left="0"/>
        <w:rPr>
          <w:rFonts w:cs="Arial"/>
          <w:sz w:val="22"/>
          <w:szCs w:val="22"/>
        </w:rPr>
      </w:pPr>
    </w:p>
    <w:p w14:paraId="2D5B9BD1" w14:textId="77777777" w:rsidR="00A8121B" w:rsidRPr="00D84376" w:rsidRDefault="00A8121B" w:rsidP="00567567">
      <w:pPr>
        <w:pStyle w:val="ListParagraph0"/>
        <w:numPr>
          <w:ilvl w:val="0"/>
          <w:numId w:val="187"/>
        </w:numPr>
        <w:rPr>
          <w:rFonts w:cs="Arial"/>
          <w:sz w:val="22"/>
          <w:szCs w:val="22"/>
        </w:rPr>
      </w:pPr>
      <w:r w:rsidRPr="00D84376">
        <w:rPr>
          <w:rFonts w:cs="Arial"/>
          <w:sz w:val="22"/>
          <w:szCs w:val="22"/>
        </w:rPr>
        <w:t xml:space="preserve">Temporary and localised increase in sea water temperature, causing thermal stress to marine biota; </w:t>
      </w:r>
    </w:p>
    <w:p w14:paraId="2E7574EC" w14:textId="77777777" w:rsidR="00A8121B" w:rsidRPr="00D84376" w:rsidRDefault="00A8121B" w:rsidP="00567567">
      <w:pPr>
        <w:pStyle w:val="ListParagraph0"/>
        <w:numPr>
          <w:ilvl w:val="0"/>
          <w:numId w:val="187"/>
        </w:numPr>
        <w:rPr>
          <w:rFonts w:cs="Arial"/>
          <w:sz w:val="22"/>
          <w:szCs w:val="22"/>
        </w:rPr>
      </w:pPr>
      <w:r w:rsidRPr="00D84376">
        <w:rPr>
          <w:rFonts w:cs="Arial"/>
          <w:sz w:val="22"/>
          <w:szCs w:val="22"/>
        </w:rPr>
        <w:t>Temporary and localised increase in sea surface salinity, potentially causing harm to fauna unable to tolerate higher salinity; and</w:t>
      </w:r>
    </w:p>
    <w:p w14:paraId="0F9A19F6" w14:textId="5F80205A" w:rsidR="00EE6FC7" w:rsidRPr="00D84376" w:rsidRDefault="00A8121B" w:rsidP="00567567">
      <w:pPr>
        <w:pStyle w:val="ListParagraph0"/>
        <w:numPr>
          <w:ilvl w:val="0"/>
          <w:numId w:val="187"/>
        </w:numPr>
        <w:rPr>
          <w:rFonts w:cs="Arial"/>
          <w:sz w:val="22"/>
          <w:szCs w:val="22"/>
        </w:rPr>
      </w:pPr>
      <w:r w:rsidRPr="00D84376">
        <w:rPr>
          <w:rFonts w:cs="Arial"/>
          <w:sz w:val="22"/>
          <w:szCs w:val="22"/>
        </w:rPr>
        <w:t>Potential toxicity impacts to marine fauna</w:t>
      </w:r>
      <w:r w:rsidR="00D3430D" w:rsidRPr="00D84376">
        <w:rPr>
          <w:rFonts w:cs="Arial"/>
          <w:sz w:val="22"/>
          <w:szCs w:val="22"/>
        </w:rPr>
        <w:t xml:space="preserve"> from residual biocide and scale inhibitors</w:t>
      </w:r>
      <w:r w:rsidRPr="00D84376">
        <w:rPr>
          <w:rFonts w:cs="Arial"/>
          <w:sz w:val="22"/>
          <w:szCs w:val="22"/>
        </w:rPr>
        <w:t>.</w:t>
      </w:r>
    </w:p>
    <w:p w14:paraId="689DC645" w14:textId="77777777" w:rsidR="001432AD" w:rsidRDefault="001432AD" w:rsidP="007F0B74">
      <w:pPr>
        <w:ind w:left="0"/>
        <w:rPr>
          <w:rFonts w:cs="Arial"/>
          <w:sz w:val="22"/>
          <w:szCs w:val="22"/>
        </w:rPr>
      </w:pPr>
    </w:p>
    <w:p w14:paraId="5749CB1B" w14:textId="77777777" w:rsidR="007F0B74" w:rsidRPr="00D84376" w:rsidRDefault="007F0B74" w:rsidP="007F0B74">
      <w:pPr>
        <w:ind w:left="0"/>
        <w:rPr>
          <w:rFonts w:cs="Arial"/>
          <w:sz w:val="22"/>
          <w:szCs w:val="22"/>
        </w:rPr>
      </w:pPr>
      <w:r w:rsidRPr="00D84376">
        <w:rPr>
          <w:rFonts w:cs="Arial"/>
          <w:sz w:val="22"/>
          <w:szCs w:val="22"/>
        </w:rPr>
        <w:t>The EMBA for cooling water and brine discharges associated with vessel activities is likely to be the top 10 m of the water column and a 100 m radius from the discharge point. This is based on modelling of continuous wastewater discharges undertaken by Woodside for its Torosa South-1 drilling program (in the Scott Reef complex), which found that discharge water temperature decreases quickly as it mixes with the receiving waters, with the discharge water temperature being less than 1°C above background levels within 100 m (horizontally) of the discharge point, and will be within background levels within 10 m vertically (Woodside, 2008).</w:t>
      </w:r>
    </w:p>
    <w:p w14:paraId="4501BD73" w14:textId="77777777" w:rsidR="007F0B74" w:rsidRPr="00D84376" w:rsidRDefault="007F0B74" w:rsidP="007F0B74">
      <w:pPr>
        <w:ind w:left="0"/>
        <w:rPr>
          <w:rFonts w:cs="Arial"/>
          <w:sz w:val="22"/>
          <w:szCs w:val="22"/>
        </w:rPr>
      </w:pPr>
    </w:p>
    <w:p w14:paraId="3A7F1D98" w14:textId="77777777" w:rsidR="007F0B74" w:rsidRPr="00D84376" w:rsidRDefault="007F0B74" w:rsidP="007F0B74">
      <w:pPr>
        <w:ind w:left="0"/>
        <w:rPr>
          <w:rFonts w:cs="Arial"/>
          <w:sz w:val="22"/>
          <w:szCs w:val="22"/>
        </w:rPr>
      </w:pPr>
      <w:r w:rsidRPr="00D84376">
        <w:rPr>
          <w:rFonts w:cs="Arial"/>
          <w:sz w:val="22"/>
          <w:szCs w:val="22"/>
        </w:rPr>
        <w:t xml:space="preserve">Receptors that may occur within this EMBA, either as residents or migrants, are: </w:t>
      </w:r>
    </w:p>
    <w:p w14:paraId="399F1B86" w14:textId="77777777" w:rsidR="007F0B74" w:rsidRPr="00D84376" w:rsidRDefault="007F0B74" w:rsidP="007F0B74">
      <w:pPr>
        <w:ind w:left="0"/>
        <w:rPr>
          <w:rFonts w:cs="Arial"/>
          <w:sz w:val="22"/>
          <w:szCs w:val="22"/>
        </w:rPr>
      </w:pPr>
    </w:p>
    <w:p w14:paraId="27EFAC36" w14:textId="77777777" w:rsidR="007F0B74" w:rsidRPr="00D84376" w:rsidRDefault="007F0B74" w:rsidP="00567567">
      <w:pPr>
        <w:pStyle w:val="ListParagraph0"/>
        <w:numPr>
          <w:ilvl w:val="0"/>
          <w:numId w:val="186"/>
        </w:numPr>
        <w:rPr>
          <w:rFonts w:cs="Arial"/>
          <w:sz w:val="22"/>
          <w:szCs w:val="22"/>
        </w:rPr>
      </w:pPr>
      <w:r w:rsidRPr="00D84376">
        <w:rPr>
          <w:rFonts w:cs="Arial"/>
          <w:sz w:val="22"/>
          <w:szCs w:val="22"/>
        </w:rPr>
        <w:t xml:space="preserve">Plankton; </w:t>
      </w:r>
    </w:p>
    <w:p w14:paraId="30AE66DD" w14:textId="77777777" w:rsidR="007F0B74" w:rsidRPr="00D84376" w:rsidRDefault="007F0B74" w:rsidP="00567567">
      <w:pPr>
        <w:pStyle w:val="ListParagraph0"/>
        <w:numPr>
          <w:ilvl w:val="0"/>
          <w:numId w:val="186"/>
        </w:numPr>
        <w:rPr>
          <w:rFonts w:cs="Arial"/>
          <w:sz w:val="22"/>
          <w:szCs w:val="22"/>
        </w:rPr>
      </w:pPr>
      <w:r w:rsidRPr="00D84376">
        <w:rPr>
          <w:rFonts w:cs="Arial"/>
          <w:sz w:val="22"/>
          <w:szCs w:val="22"/>
        </w:rPr>
        <w:t>Pelagic fish;</w:t>
      </w:r>
    </w:p>
    <w:p w14:paraId="2DACFE8F" w14:textId="77777777" w:rsidR="007F0B74" w:rsidRPr="00D84376" w:rsidRDefault="007F0B74" w:rsidP="00567567">
      <w:pPr>
        <w:pStyle w:val="ListParagraph0"/>
        <w:numPr>
          <w:ilvl w:val="0"/>
          <w:numId w:val="186"/>
        </w:numPr>
        <w:rPr>
          <w:rFonts w:cs="Arial"/>
          <w:sz w:val="22"/>
          <w:szCs w:val="22"/>
        </w:rPr>
      </w:pPr>
      <w:r w:rsidRPr="00D84376">
        <w:rPr>
          <w:rFonts w:cs="Arial"/>
          <w:sz w:val="22"/>
          <w:szCs w:val="22"/>
        </w:rPr>
        <w:t>Cetaceans;</w:t>
      </w:r>
    </w:p>
    <w:p w14:paraId="60AE785B" w14:textId="77777777" w:rsidR="007F0B74" w:rsidRPr="00D84376" w:rsidRDefault="007F0B74" w:rsidP="00567567">
      <w:pPr>
        <w:pStyle w:val="ListParagraph0"/>
        <w:numPr>
          <w:ilvl w:val="0"/>
          <w:numId w:val="186"/>
        </w:numPr>
        <w:rPr>
          <w:rFonts w:cs="Arial"/>
          <w:sz w:val="22"/>
          <w:szCs w:val="22"/>
        </w:rPr>
      </w:pPr>
      <w:r w:rsidRPr="00D84376">
        <w:rPr>
          <w:rFonts w:cs="Arial"/>
          <w:sz w:val="22"/>
          <w:szCs w:val="22"/>
        </w:rPr>
        <w:t>Pinnipeds; and</w:t>
      </w:r>
    </w:p>
    <w:p w14:paraId="4C763168" w14:textId="204C350B" w:rsidR="007F0B74" w:rsidRPr="00D84376" w:rsidRDefault="007F0B74" w:rsidP="00D84376">
      <w:pPr>
        <w:pStyle w:val="ListParagraph0"/>
        <w:numPr>
          <w:ilvl w:val="0"/>
          <w:numId w:val="186"/>
        </w:numPr>
        <w:rPr>
          <w:rFonts w:cs="Arial"/>
          <w:sz w:val="22"/>
          <w:szCs w:val="22"/>
        </w:rPr>
      </w:pPr>
      <w:r w:rsidRPr="00D84376">
        <w:rPr>
          <w:rFonts w:cs="Arial"/>
          <w:sz w:val="22"/>
          <w:szCs w:val="22"/>
        </w:rPr>
        <w:t>Avifauna.</w:t>
      </w:r>
    </w:p>
    <w:p w14:paraId="25E2AB2A" w14:textId="77777777" w:rsidR="00EE6FC7" w:rsidRPr="00D84376" w:rsidRDefault="00EE6FC7" w:rsidP="00131FFB">
      <w:pPr>
        <w:pStyle w:val="Heading3"/>
      </w:pPr>
      <w:bookmarkStart w:id="501" w:name="_Toc477947884"/>
      <w:bookmarkStart w:id="502" w:name="_Toc479764073"/>
      <w:bookmarkStart w:id="503" w:name="_Toc375214623"/>
      <w:r w:rsidRPr="00D84376">
        <w:t>Evaluation of Environmental Impacts</w:t>
      </w:r>
      <w:bookmarkEnd w:id="501"/>
      <w:bookmarkEnd w:id="502"/>
      <w:bookmarkEnd w:id="503"/>
    </w:p>
    <w:p w14:paraId="0BF27EFF" w14:textId="77777777" w:rsidR="00A8121B" w:rsidRPr="00D84376" w:rsidRDefault="00A8121B" w:rsidP="00131FFB">
      <w:pPr>
        <w:ind w:left="0"/>
        <w:rPr>
          <w:rFonts w:cs="Arial"/>
          <w:sz w:val="22"/>
          <w:szCs w:val="22"/>
        </w:rPr>
      </w:pPr>
      <w:r w:rsidRPr="00D84376">
        <w:rPr>
          <w:rFonts w:cs="Arial"/>
          <w:sz w:val="22"/>
          <w:szCs w:val="22"/>
        </w:rPr>
        <w:t>Once in the water column, cooling water will remain in the surface layer, where turbulent mixing and heat transfer with surrounding waters will occur. Prior to reaching background temperatures, the impact of increased seawater temperatures down current of the discharge may result in changes to the physiological processes of marine organisms, such as attraction or avoidance behaviour, stress or potential mortality.</w:t>
      </w:r>
    </w:p>
    <w:p w14:paraId="464C42DB" w14:textId="77777777" w:rsidR="00131FFB" w:rsidRPr="00D84376" w:rsidRDefault="00131FFB" w:rsidP="00131FFB">
      <w:pPr>
        <w:ind w:left="0"/>
        <w:rPr>
          <w:rFonts w:cs="Arial"/>
          <w:sz w:val="22"/>
          <w:szCs w:val="22"/>
        </w:rPr>
      </w:pPr>
    </w:p>
    <w:p w14:paraId="70FEC5FD" w14:textId="2F9B7983" w:rsidR="00A8121B" w:rsidRPr="00D84376" w:rsidRDefault="00A8121B" w:rsidP="00131FFB">
      <w:pPr>
        <w:ind w:left="0"/>
        <w:rPr>
          <w:rFonts w:cs="Arial"/>
          <w:sz w:val="22"/>
          <w:szCs w:val="22"/>
        </w:rPr>
      </w:pPr>
      <w:r w:rsidRPr="00D84376">
        <w:rPr>
          <w:rFonts w:cs="Arial"/>
          <w:sz w:val="22"/>
          <w:szCs w:val="22"/>
        </w:rPr>
        <w:t xml:space="preserve">Modelling of continuous waste water discharges (including cooling water) undertaken by Woodside for its Torosa South-1 drilling program in the Scott Reef complex found that discharge water temperature decreases quickly as it mixes with the receiving waters, with the discharge water temperature being less than 1°C above background levels within 100 m (horizontally) of the discharge point, and will be within background levels within 10 m vertically (Woodside, 2008). </w:t>
      </w:r>
      <w:r w:rsidR="001A200A" w:rsidRPr="00D84376">
        <w:rPr>
          <w:rFonts w:cs="Arial"/>
          <w:sz w:val="22"/>
          <w:szCs w:val="22"/>
        </w:rPr>
        <w:t>As such, impacts to most receptors are expected to be negligible even within this zone.</w:t>
      </w:r>
    </w:p>
    <w:p w14:paraId="2A20C5AD" w14:textId="77777777" w:rsidR="00131FFB" w:rsidRPr="00D84376" w:rsidRDefault="00131FFB" w:rsidP="00131FFB">
      <w:pPr>
        <w:ind w:left="0"/>
        <w:rPr>
          <w:rFonts w:cs="Arial"/>
          <w:sz w:val="22"/>
          <w:szCs w:val="22"/>
        </w:rPr>
      </w:pPr>
    </w:p>
    <w:p w14:paraId="54C604DE" w14:textId="07CC4246" w:rsidR="00A8121B" w:rsidRPr="00D84376" w:rsidRDefault="00A8121B" w:rsidP="00131FFB">
      <w:pPr>
        <w:ind w:left="0"/>
        <w:rPr>
          <w:rFonts w:cs="Arial"/>
          <w:sz w:val="22"/>
          <w:szCs w:val="22"/>
        </w:rPr>
      </w:pPr>
      <w:r w:rsidRPr="00D84376">
        <w:rPr>
          <w:rFonts w:cs="Arial"/>
          <w:sz w:val="22"/>
          <w:szCs w:val="22"/>
        </w:rPr>
        <w:t>Brine water will sink through the water column where it will be rapidly mixed with receiving waters, and dis</w:t>
      </w:r>
      <w:r w:rsidR="00D7057A" w:rsidRPr="00D84376">
        <w:rPr>
          <w:rFonts w:cs="Arial"/>
          <w:sz w:val="22"/>
          <w:szCs w:val="22"/>
        </w:rPr>
        <w:t xml:space="preserve">persed </w:t>
      </w:r>
      <w:r w:rsidRPr="00D84376">
        <w:rPr>
          <w:rFonts w:cs="Arial"/>
          <w:sz w:val="22"/>
          <w:szCs w:val="22"/>
        </w:rPr>
        <w:t xml:space="preserve">by ocean currents. Walker and MacComb (1990) found that most marine species are able to tolerate short-term fluctuations in water salinity in the order of 20-30%, and it is expected that most pelagic species passing through a denser saline plume would not suffer adverse impacts. </w:t>
      </w:r>
      <w:r w:rsidR="001A200A" w:rsidRPr="00D84376">
        <w:rPr>
          <w:rFonts w:cs="Arial"/>
          <w:sz w:val="22"/>
          <w:szCs w:val="22"/>
        </w:rPr>
        <w:t xml:space="preserve">As such, impacts to most receptors are expected to be negligible. </w:t>
      </w:r>
    </w:p>
    <w:p w14:paraId="130E640B" w14:textId="77777777" w:rsidR="00131FFB" w:rsidRPr="00D84376" w:rsidRDefault="00131FFB" w:rsidP="00131FFB">
      <w:pPr>
        <w:ind w:left="0"/>
        <w:rPr>
          <w:rFonts w:cs="Arial"/>
          <w:sz w:val="22"/>
          <w:szCs w:val="22"/>
        </w:rPr>
      </w:pPr>
    </w:p>
    <w:p w14:paraId="2C500933" w14:textId="633AF5D6" w:rsidR="00A8121B" w:rsidRPr="00D84376" w:rsidRDefault="00A8121B" w:rsidP="00EE6FC7">
      <w:pPr>
        <w:ind w:left="0"/>
        <w:rPr>
          <w:rFonts w:cs="Arial"/>
          <w:sz w:val="22"/>
          <w:szCs w:val="22"/>
        </w:rPr>
      </w:pPr>
      <w:r w:rsidRPr="00D84376">
        <w:rPr>
          <w:rFonts w:cs="Arial"/>
          <w:sz w:val="22"/>
          <w:szCs w:val="22"/>
        </w:rPr>
        <w:t>The</w:t>
      </w:r>
      <w:r w:rsidR="001432AD">
        <w:rPr>
          <w:rFonts w:cs="Arial"/>
          <w:sz w:val="22"/>
          <w:szCs w:val="22"/>
        </w:rPr>
        <w:t xml:space="preserve"> scale inhibitors and biocides </w:t>
      </w:r>
      <w:r w:rsidRPr="00D84376">
        <w:rPr>
          <w:rFonts w:cs="Arial"/>
          <w:sz w:val="22"/>
          <w:szCs w:val="22"/>
        </w:rPr>
        <w:t>are inherently safe at the low dosages used, as they are usually ‘consumed’ in the inhibition process, ensuring there is little or no residual chemical concentration remaining upon discharge.</w:t>
      </w:r>
    </w:p>
    <w:p w14:paraId="72E899B4" w14:textId="3159FCC1" w:rsidR="00EE6FC7" w:rsidRPr="00D84376" w:rsidRDefault="002A2708" w:rsidP="00131FFB">
      <w:pPr>
        <w:pStyle w:val="Heading3"/>
      </w:pPr>
      <w:bookmarkStart w:id="504" w:name="_Toc477947887"/>
      <w:bookmarkStart w:id="505" w:name="_Toc479764076"/>
      <w:bookmarkStart w:id="506" w:name="_Toc375214624"/>
      <w:r>
        <w:t xml:space="preserve">Control Measures &amp; </w:t>
      </w:r>
      <w:r w:rsidR="00F72980" w:rsidRPr="00D84376">
        <w:t>Impact</w:t>
      </w:r>
      <w:r w:rsidR="00EE6FC7" w:rsidRPr="00D84376">
        <w:t xml:space="preserve"> </w:t>
      </w:r>
      <w:r>
        <w:t>Consequence</w:t>
      </w:r>
      <w:bookmarkEnd w:id="504"/>
      <w:bookmarkEnd w:id="505"/>
      <w:bookmarkEnd w:id="506"/>
    </w:p>
    <w:p w14:paraId="37F8322B" w14:textId="2E6E4D79" w:rsidR="001432AD" w:rsidRDefault="001432AD" w:rsidP="001432AD">
      <w:pPr>
        <w:pStyle w:val="BodyText"/>
        <w:ind w:left="0"/>
        <w:rPr>
          <w:rFonts w:cs="Arial"/>
          <w:sz w:val="22"/>
          <w:szCs w:val="22"/>
        </w:rPr>
      </w:pPr>
      <w:r>
        <w:rPr>
          <w:rFonts w:cs="Arial"/>
          <w:sz w:val="22"/>
          <w:szCs w:val="22"/>
        </w:rPr>
        <w:t xml:space="preserve">The following control measures will be implemented to minimise the impacts of cooling and brine water discharges: </w:t>
      </w:r>
    </w:p>
    <w:p w14:paraId="68893B86" w14:textId="77777777" w:rsidR="001432AD" w:rsidRPr="001432AD" w:rsidRDefault="001432AD" w:rsidP="001432AD">
      <w:pPr>
        <w:pStyle w:val="ListParagraph0"/>
        <w:numPr>
          <w:ilvl w:val="0"/>
          <w:numId w:val="66"/>
        </w:numPr>
        <w:spacing w:after="240"/>
        <w:rPr>
          <w:rFonts w:cs="Arial"/>
          <w:sz w:val="22"/>
          <w:szCs w:val="22"/>
        </w:rPr>
      </w:pPr>
      <w:r w:rsidRPr="001432AD">
        <w:rPr>
          <w:rFonts w:cs="Arial"/>
          <w:sz w:val="22"/>
          <w:szCs w:val="22"/>
        </w:rPr>
        <w:t xml:space="preserve">Engines and associated equipment that require cooling by water will be maintained in accordance with the vessel PMS so that they are operating within accepted parameters. </w:t>
      </w:r>
    </w:p>
    <w:p w14:paraId="773698BF" w14:textId="43B39DBD" w:rsidR="001432AD" w:rsidRPr="002A2708" w:rsidRDefault="001432AD" w:rsidP="001432AD">
      <w:pPr>
        <w:pStyle w:val="ListParagraph0"/>
        <w:numPr>
          <w:ilvl w:val="0"/>
          <w:numId w:val="66"/>
        </w:numPr>
        <w:spacing w:after="240"/>
        <w:rPr>
          <w:rFonts w:cs="Arial"/>
          <w:sz w:val="22"/>
          <w:szCs w:val="22"/>
        </w:rPr>
      </w:pPr>
      <w:r w:rsidRPr="001432AD">
        <w:rPr>
          <w:rFonts w:cs="Arial"/>
          <w:sz w:val="22"/>
          <w:szCs w:val="22"/>
        </w:rPr>
        <w:lastRenderedPageBreak/>
        <w:t xml:space="preserve">The vessel contractor ensures that only low-toxicity biocides and scale inhibitors (e.g., ONCS ‘gold’/’Silver’ [CHARM] or ‘D’/’E’ [non-CHARM]) are used in the cooling and brine water systems. </w:t>
      </w:r>
    </w:p>
    <w:p w14:paraId="3497A402" w14:textId="2F93ED4D" w:rsidR="001432AD" w:rsidRDefault="006464A1" w:rsidP="00A80023">
      <w:pPr>
        <w:pStyle w:val="BodyText"/>
        <w:spacing w:after="240"/>
        <w:ind w:left="0"/>
        <w:rPr>
          <w:sz w:val="22"/>
          <w:szCs w:val="22"/>
        </w:rPr>
      </w:pPr>
      <w:r>
        <w:rPr>
          <w:rFonts w:cs="Arial"/>
          <w:sz w:val="22"/>
          <w:szCs w:val="22"/>
        </w:rPr>
        <w:t>T</w:t>
      </w:r>
      <w:r w:rsidR="001432AD">
        <w:rPr>
          <w:rFonts w:cs="Arial"/>
          <w:sz w:val="22"/>
          <w:szCs w:val="22"/>
        </w:rPr>
        <w:t xml:space="preserve">he residual (post-control) impact consequence </w:t>
      </w:r>
      <w:r w:rsidR="00A80023">
        <w:rPr>
          <w:rFonts w:cs="Arial"/>
          <w:sz w:val="22"/>
          <w:szCs w:val="22"/>
        </w:rPr>
        <w:t>is rated as ‘insignificant.’</w:t>
      </w:r>
    </w:p>
    <w:p w14:paraId="7D020914" w14:textId="1BE4307E" w:rsidR="00EE6FC7" w:rsidRPr="00B03966" w:rsidRDefault="00B03966" w:rsidP="00B03966">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507" w:name="_Toc320190768"/>
      <w:bookmarkStart w:id="508" w:name="_Toc375214625"/>
      <w:r>
        <w:rPr>
          <w:rFonts w:cs="Times New Roman"/>
          <w:iCs w:val="0"/>
          <w:color w:val="064EA8"/>
          <w:szCs w:val="26"/>
          <w:lang w:eastAsia="en-US"/>
        </w:rPr>
        <w:t xml:space="preserve">IMPACT: </w:t>
      </w:r>
      <w:r w:rsidR="00EE6FC7" w:rsidRPr="00B03966">
        <w:rPr>
          <w:rFonts w:cs="Times New Roman"/>
          <w:iCs w:val="0"/>
          <w:color w:val="064EA8"/>
          <w:szCs w:val="26"/>
          <w:lang w:eastAsia="en-US"/>
        </w:rPr>
        <w:t>Discharge of Putrescible Waste</w:t>
      </w:r>
      <w:bookmarkEnd w:id="507"/>
      <w:bookmarkEnd w:id="508"/>
    </w:p>
    <w:p w14:paraId="2B743F08" w14:textId="77777777" w:rsidR="00EE6FC7" w:rsidRDefault="00EE6FC7" w:rsidP="0071728D">
      <w:pPr>
        <w:pStyle w:val="Heading3"/>
      </w:pPr>
      <w:bookmarkStart w:id="509" w:name="_Toc477947890"/>
      <w:bookmarkStart w:id="510" w:name="_Toc479764078"/>
      <w:bookmarkStart w:id="511" w:name="_Toc375214626"/>
      <w:r>
        <w:t>Hazard</w:t>
      </w:r>
      <w:bookmarkEnd w:id="509"/>
      <w:bookmarkEnd w:id="510"/>
      <w:bookmarkEnd w:id="511"/>
    </w:p>
    <w:p w14:paraId="1183895E" w14:textId="47925CB5" w:rsidR="0071728D" w:rsidRPr="009F0CF1" w:rsidRDefault="0071728D" w:rsidP="0071728D">
      <w:pPr>
        <w:ind w:left="0"/>
        <w:rPr>
          <w:rFonts w:cs="Arial"/>
          <w:sz w:val="22"/>
          <w:szCs w:val="22"/>
        </w:rPr>
      </w:pPr>
      <w:r w:rsidRPr="009F0CF1">
        <w:rPr>
          <w:rFonts w:cs="Arial"/>
          <w:sz w:val="22"/>
          <w:szCs w:val="22"/>
        </w:rPr>
        <w:t>The generation of food waste from the vessel gall</w:t>
      </w:r>
      <w:r w:rsidR="00985E0F" w:rsidRPr="009F0CF1">
        <w:rPr>
          <w:rFonts w:cs="Arial"/>
          <w:sz w:val="22"/>
          <w:szCs w:val="22"/>
        </w:rPr>
        <w:t>eys</w:t>
      </w:r>
      <w:r w:rsidRPr="009F0CF1">
        <w:rPr>
          <w:rFonts w:cs="Arial"/>
          <w:sz w:val="22"/>
          <w:szCs w:val="22"/>
        </w:rPr>
        <w:t xml:space="preserve"> will result in the discharge of macerated putrescible waste</w:t>
      </w:r>
      <w:r w:rsidR="00985E0F" w:rsidRPr="009F0CF1">
        <w:rPr>
          <w:rFonts w:cs="Arial"/>
          <w:sz w:val="22"/>
          <w:szCs w:val="22"/>
        </w:rPr>
        <w:t xml:space="preserve"> in Commonwealth waters</w:t>
      </w:r>
      <w:r w:rsidRPr="009F0CF1">
        <w:rPr>
          <w:rFonts w:cs="Arial"/>
          <w:sz w:val="22"/>
          <w:szCs w:val="22"/>
        </w:rPr>
        <w:t>.</w:t>
      </w:r>
    </w:p>
    <w:p w14:paraId="23521659" w14:textId="77777777" w:rsidR="00985E0F" w:rsidRPr="009F0CF1" w:rsidRDefault="00985E0F" w:rsidP="0071728D">
      <w:pPr>
        <w:ind w:left="0"/>
        <w:rPr>
          <w:rFonts w:cs="Arial"/>
          <w:sz w:val="22"/>
          <w:szCs w:val="22"/>
        </w:rPr>
      </w:pPr>
    </w:p>
    <w:p w14:paraId="094E4BFE" w14:textId="37233B72" w:rsidR="0071728D" w:rsidRPr="009F0CF1" w:rsidRDefault="0071728D" w:rsidP="00985E0F">
      <w:pPr>
        <w:ind w:left="0"/>
        <w:rPr>
          <w:sz w:val="22"/>
          <w:szCs w:val="22"/>
        </w:rPr>
      </w:pPr>
      <w:r w:rsidRPr="009F0CF1">
        <w:rPr>
          <w:rFonts w:cs="Arial"/>
          <w:sz w:val="22"/>
          <w:szCs w:val="22"/>
        </w:rPr>
        <w:t xml:space="preserve">It is expected that the average volume of putrescible waste discharged overboard from </w:t>
      </w:r>
      <w:r w:rsidR="00985E0F" w:rsidRPr="009F0CF1">
        <w:rPr>
          <w:rFonts w:cs="Arial"/>
          <w:sz w:val="22"/>
          <w:szCs w:val="22"/>
        </w:rPr>
        <w:t>each</w:t>
      </w:r>
      <w:r w:rsidRPr="009F0CF1">
        <w:rPr>
          <w:rFonts w:cs="Arial"/>
          <w:sz w:val="22"/>
          <w:szCs w:val="22"/>
        </w:rPr>
        <w:t xml:space="preserve"> vessel will vary depending on the number of Persons on Board (POB) and the types of meals prepared, but would be in the order up to </w:t>
      </w:r>
      <w:r w:rsidRPr="00551DA3">
        <w:rPr>
          <w:rFonts w:cs="Arial"/>
          <w:sz w:val="22"/>
          <w:szCs w:val="22"/>
        </w:rPr>
        <w:t>10</w:t>
      </w:r>
      <w:r w:rsidR="00551DA3">
        <w:rPr>
          <w:rFonts w:cs="Arial"/>
          <w:sz w:val="22"/>
          <w:szCs w:val="22"/>
        </w:rPr>
        <w:t>-20</w:t>
      </w:r>
      <w:r w:rsidRPr="00551DA3">
        <w:rPr>
          <w:rFonts w:cs="Arial"/>
          <w:sz w:val="22"/>
          <w:szCs w:val="22"/>
        </w:rPr>
        <w:t xml:space="preserve"> kg/day</w:t>
      </w:r>
      <w:r w:rsidR="00043FC1" w:rsidRPr="009F0CF1">
        <w:rPr>
          <w:rFonts w:cs="Arial"/>
          <w:sz w:val="22"/>
          <w:szCs w:val="22"/>
        </w:rPr>
        <w:t xml:space="preserve"> (spread out over each meal service)</w:t>
      </w:r>
      <w:r w:rsidRPr="009F0CF1">
        <w:rPr>
          <w:rFonts w:cs="Arial"/>
          <w:sz w:val="22"/>
          <w:szCs w:val="22"/>
        </w:rPr>
        <w:t>.</w:t>
      </w:r>
    </w:p>
    <w:p w14:paraId="768C674A" w14:textId="77777777" w:rsidR="00EE6FC7" w:rsidRDefault="00EE6FC7" w:rsidP="0071728D">
      <w:pPr>
        <w:pStyle w:val="Heading3"/>
      </w:pPr>
      <w:bookmarkStart w:id="512" w:name="_Toc477947891"/>
      <w:bookmarkStart w:id="513" w:name="_Toc479764079"/>
      <w:bookmarkStart w:id="514" w:name="_Toc375214627"/>
      <w:r>
        <w:t>Known and Potential Environmental Impacts</w:t>
      </w:r>
      <w:bookmarkEnd w:id="512"/>
      <w:bookmarkEnd w:id="513"/>
      <w:bookmarkEnd w:id="514"/>
    </w:p>
    <w:p w14:paraId="53418C51" w14:textId="77777777" w:rsidR="0071728D" w:rsidRPr="009F0CF1" w:rsidRDefault="0071728D" w:rsidP="0071728D">
      <w:pPr>
        <w:ind w:left="0"/>
        <w:rPr>
          <w:rFonts w:cs="Arial"/>
          <w:sz w:val="22"/>
          <w:szCs w:val="22"/>
        </w:rPr>
      </w:pPr>
      <w:r w:rsidRPr="009F0CF1">
        <w:rPr>
          <w:rFonts w:cs="Arial"/>
          <w:sz w:val="22"/>
          <w:szCs w:val="22"/>
        </w:rPr>
        <w:t xml:space="preserve">The known and potential environmental impacts of putrescible waste discharge are: </w:t>
      </w:r>
    </w:p>
    <w:p w14:paraId="38781185" w14:textId="77777777" w:rsidR="00985E0F" w:rsidRPr="009F0CF1" w:rsidRDefault="00985E0F" w:rsidP="0071728D">
      <w:pPr>
        <w:ind w:left="0"/>
        <w:rPr>
          <w:rFonts w:cs="Arial"/>
          <w:sz w:val="22"/>
          <w:szCs w:val="22"/>
        </w:rPr>
      </w:pPr>
    </w:p>
    <w:p w14:paraId="14B0DFB6" w14:textId="1EC8ED49" w:rsidR="0071728D" w:rsidRPr="009F0CF1" w:rsidRDefault="0071728D" w:rsidP="00567567">
      <w:pPr>
        <w:pStyle w:val="ListParagraph0"/>
        <w:numPr>
          <w:ilvl w:val="0"/>
          <w:numId w:val="173"/>
        </w:numPr>
        <w:rPr>
          <w:rFonts w:cs="Arial"/>
          <w:sz w:val="22"/>
          <w:szCs w:val="22"/>
        </w:rPr>
      </w:pPr>
      <w:r w:rsidRPr="009F0CF1">
        <w:rPr>
          <w:rFonts w:cs="Arial"/>
          <w:sz w:val="22"/>
          <w:szCs w:val="22"/>
        </w:rPr>
        <w:t>Temporary and localised increase in the nutrient content of surface waters</w:t>
      </w:r>
      <w:r w:rsidR="00043FC1" w:rsidRPr="009F0CF1">
        <w:rPr>
          <w:rFonts w:cs="Arial"/>
          <w:sz w:val="22"/>
          <w:szCs w:val="22"/>
        </w:rPr>
        <w:t xml:space="preserve"> surrounding the discharge point</w:t>
      </w:r>
      <w:r w:rsidRPr="009F0CF1">
        <w:rPr>
          <w:rFonts w:cs="Arial"/>
          <w:sz w:val="22"/>
          <w:szCs w:val="22"/>
        </w:rPr>
        <w:t>; and</w:t>
      </w:r>
    </w:p>
    <w:p w14:paraId="03637593" w14:textId="0E306C69" w:rsidR="00EE6FC7" w:rsidRPr="009F0CF1" w:rsidRDefault="00985E0F" w:rsidP="00567567">
      <w:pPr>
        <w:pStyle w:val="ListParagraph0"/>
        <w:numPr>
          <w:ilvl w:val="0"/>
          <w:numId w:val="173"/>
        </w:numPr>
        <w:rPr>
          <w:rFonts w:cs="Arial"/>
          <w:sz w:val="22"/>
          <w:szCs w:val="22"/>
        </w:rPr>
      </w:pPr>
      <w:r w:rsidRPr="009F0CF1">
        <w:rPr>
          <w:rFonts w:cs="Arial"/>
          <w:sz w:val="22"/>
          <w:szCs w:val="22"/>
        </w:rPr>
        <w:t>An associated i</w:t>
      </w:r>
      <w:r w:rsidR="0071728D" w:rsidRPr="009F0CF1">
        <w:rPr>
          <w:rFonts w:cs="Arial"/>
          <w:sz w:val="22"/>
          <w:szCs w:val="22"/>
        </w:rPr>
        <w:t>ncrease in scavenging behaviour of marine fauna and seabirds.</w:t>
      </w:r>
    </w:p>
    <w:p w14:paraId="58E51995" w14:textId="77777777" w:rsidR="00F15C5D" w:rsidRDefault="00F15C5D" w:rsidP="0071728D">
      <w:pPr>
        <w:ind w:left="0"/>
        <w:rPr>
          <w:rFonts w:cs="Arial"/>
          <w:sz w:val="22"/>
          <w:szCs w:val="22"/>
        </w:rPr>
      </w:pPr>
      <w:bookmarkStart w:id="515" w:name="_Toc477947892"/>
    </w:p>
    <w:p w14:paraId="6FD4FE1B" w14:textId="72BBA194" w:rsidR="0071728D" w:rsidRPr="009F0CF1" w:rsidRDefault="0071728D" w:rsidP="0071728D">
      <w:pPr>
        <w:ind w:left="0"/>
        <w:rPr>
          <w:rFonts w:cs="Arial"/>
          <w:sz w:val="22"/>
          <w:szCs w:val="22"/>
        </w:rPr>
      </w:pPr>
      <w:r w:rsidRPr="009F0CF1">
        <w:rPr>
          <w:rFonts w:cs="Arial"/>
          <w:sz w:val="22"/>
          <w:szCs w:val="22"/>
        </w:rPr>
        <w:t xml:space="preserve">The EMBA for putrescible waste discharges is likely to be the top 10 m of the water column and a 100 m radius from the discharge point. </w:t>
      </w:r>
    </w:p>
    <w:p w14:paraId="1B18EDDA" w14:textId="77777777" w:rsidR="0071728D" w:rsidRPr="009F0CF1" w:rsidRDefault="0071728D" w:rsidP="0071728D">
      <w:pPr>
        <w:ind w:left="0"/>
        <w:rPr>
          <w:rFonts w:cs="Arial"/>
          <w:sz w:val="22"/>
          <w:szCs w:val="22"/>
        </w:rPr>
      </w:pPr>
    </w:p>
    <w:p w14:paraId="2F6A21DB" w14:textId="77777777" w:rsidR="0071728D" w:rsidRPr="009F0CF1" w:rsidRDefault="0071728D" w:rsidP="0071728D">
      <w:pPr>
        <w:ind w:left="0"/>
        <w:rPr>
          <w:rFonts w:cs="Arial"/>
          <w:sz w:val="22"/>
          <w:szCs w:val="22"/>
        </w:rPr>
      </w:pPr>
      <w:r w:rsidRPr="009F0CF1">
        <w:rPr>
          <w:rFonts w:cs="Arial"/>
          <w:sz w:val="22"/>
          <w:szCs w:val="22"/>
        </w:rPr>
        <w:t xml:space="preserve">Receptors that may occur within this EMBA, either as residents or migrants, are: </w:t>
      </w:r>
    </w:p>
    <w:p w14:paraId="15A197EB" w14:textId="77777777" w:rsidR="0071728D" w:rsidRPr="009F0CF1" w:rsidRDefault="0071728D" w:rsidP="0071728D">
      <w:pPr>
        <w:ind w:left="0"/>
        <w:rPr>
          <w:rFonts w:cs="Arial"/>
          <w:sz w:val="22"/>
          <w:szCs w:val="22"/>
        </w:rPr>
      </w:pPr>
    </w:p>
    <w:p w14:paraId="734DBF2D" w14:textId="77777777" w:rsidR="0071728D" w:rsidRPr="009F0CF1" w:rsidRDefault="0071728D" w:rsidP="00567567">
      <w:pPr>
        <w:pStyle w:val="ListParagraph0"/>
        <w:numPr>
          <w:ilvl w:val="0"/>
          <w:numId w:val="186"/>
        </w:numPr>
        <w:rPr>
          <w:rFonts w:cs="Arial"/>
          <w:sz w:val="22"/>
          <w:szCs w:val="22"/>
        </w:rPr>
      </w:pPr>
      <w:r w:rsidRPr="009F0CF1">
        <w:rPr>
          <w:rFonts w:cs="Arial"/>
          <w:sz w:val="22"/>
          <w:szCs w:val="22"/>
        </w:rPr>
        <w:t xml:space="preserve">Plankton; </w:t>
      </w:r>
    </w:p>
    <w:p w14:paraId="08AC1305" w14:textId="77777777" w:rsidR="0071728D" w:rsidRPr="009F0CF1" w:rsidRDefault="0071728D" w:rsidP="00567567">
      <w:pPr>
        <w:pStyle w:val="ListParagraph0"/>
        <w:numPr>
          <w:ilvl w:val="0"/>
          <w:numId w:val="186"/>
        </w:numPr>
        <w:rPr>
          <w:rFonts w:cs="Arial"/>
          <w:sz w:val="22"/>
          <w:szCs w:val="22"/>
        </w:rPr>
      </w:pPr>
      <w:r w:rsidRPr="009F0CF1">
        <w:rPr>
          <w:rFonts w:cs="Arial"/>
          <w:sz w:val="22"/>
          <w:szCs w:val="22"/>
        </w:rPr>
        <w:t>Pelagic fish;</w:t>
      </w:r>
    </w:p>
    <w:p w14:paraId="4C62490F" w14:textId="77777777" w:rsidR="0071728D" w:rsidRPr="009F0CF1" w:rsidRDefault="0071728D" w:rsidP="00567567">
      <w:pPr>
        <w:pStyle w:val="ListParagraph0"/>
        <w:numPr>
          <w:ilvl w:val="0"/>
          <w:numId w:val="186"/>
        </w:numPr>
        <w:rPr>
          <w:rFonts w:cs="Arial"/>
          <w:sz w:val="22"/>
          <w:szCs w:val="22"/>
        </w:rPr>
      </w:pPr>
      <w:r w:rsidRPr="009F0CF1">
        <w:rPr>
          <w:rFonts w:cs="Arial"/>
          <w:sz w:val="22"/>
          <w:szCs w:val="22"/>
        </w:rPr>
        <w:t>Cetaceans;</w:t>
      </w:r>
    </w:p>
    <w:p w14:paraId="71999EA9" w14:textId="77777777" w:rsidR="0071728D" w:rsidRPr="009F0CF1" w:rsidRDefault="0071728D" w:rsidP="00567567">
      <w:pPr>
        <w:pStyle w:val="ListParagraph0"/>
        <w:numPr>
          <w:ilvl w:val="0"/>
          <w:numId w:val="186"/>
        </w:numPr>
        <w:rPr>
          <w:rFonts w:cs="Arial"/>
          <w:sz w:val="22"/>
          <w:szCs w:val="22"/>
        </w:rPr>
      </w:pPr>
      <w:r w:rsidRPr="009F0CF1">
        <w:rPr>
          <w:rFonts w:cs="Arial"/>
          <w:sz w:val="22"/>
          <w:szCs w:val="22"/>
        </w:rPr>
        <w:t>Pinnipeds; and</w:t>
      </w:r>
    </w:p>
    <w:p w14:paraId="2D68ADE9" w14:textId="77777777" w:rsidR="0071728D" w:rsidRPr="009F0CF1" w:rsidRDefault="0071728D" w:rsidP="00567567">
      <w:pPr>
        <w:pStyle w:val="ListParagraph0"/>
        <w:numPr>
          <w:ilvl w:val="0"/>
          <w:numId w:val="186"/>
        </w:numPr>
        <w:rPr>
          <w:rFonts w:cs="Arial"/>
          <w:sz w:val="22"/>
          <w:szCs w:val="22"/>
        </w:rPr>
      </w:pPr>
      <w:r w:rsidRPr="009F0CF1">
        <w:rPr>
          <w:rFonts w:cs="Arial"/>
          <w:sz w:val="22"/>
          <w:szCs w:val="22"/>
        </w:rPr>
        <w:t xml:space="preserve">Avifauna. </w:t>
      </w:r>
    </w:p>
    <w:p w14:paraId="19A24D44" w14:textId="77777777" w:rsidR="00EE6FC7" w:rsidRDefault="00EE6FC7" w:rsidP="00985E0F">
      <w:pPr>
        <w:pStyle w:val="Heading3"/>
      </w:pPr>
      <w:bookmarkStart w:id="516" w:name="_Toc479764081"/>
      <w:bookmarkStart w:id="517" w:name="_Toc375214628"/>
      <w:r>
        <w:t>Evaluation of Environmental Impacts</w:t>
      </w:r>
      <w:bookmarkEnd w:id="515"/>
      <w:bookmarkEnd w:id="516"/>
      <w:bookmarkEnd w:id="517"/>
    </w:p>
    <w:p w14:paraId="372D351C" w14:textId="4F1D219D" w:rsidR="0071728D" w:rsidRPr="009F0CF1" w:rsidRDefault="0071728D" w:rsidP="00043FC1">
      <w:pPr>
        <w:ind w:left="0"/>
        <w:rPr>
          <w:sz w:val="22"/>
          <w:szCs w:val="22"/>
        </w:rPr>
      </w:pPr>
      <w:r w:rsidRPr="009F0CF1">
        <w:rPr>
          <w:rFonts w:cs="Arial"/>
          <w:sz w:val="22"/>
          <w:szCs w:val="22"/>
        </w:rPr>
        <w:t xml:space="preserve">The overboard discharge of macerated food wastes has the result of creating a localised and temporary increase in the nutrient load of the surface waters. This may in turn act as a food source for scavenging marine fauna or seabirds, whose numbers may temporarily increase as a result. However, the rapid consumption of this food waste by scavenging fauna, and its physical and microbial breakdown, ensures that the impacts of putrescible waste discharges are insignificant. </w:t>
      </w:r>
    </w:p>
    <w:p w14:paraId="7408EB93" w14:textId="4D0A6CBA" w:rsidR="0071728D" w:rsidRDefault="00F15C5D" w:rsidP="0071728D">
      <w:pPr>
        <w:pStyle w:val="Heading3"/>
      </w:pPr>
      <w:bookmarkStart w:id="518" w:name="_Toc479764084"/>
      <w:bookmarkStart w:id="519" w:name="_Toc375214629"/>
      <w:r>
        <w:t xml:space="preserve">Control Measures &amp; </w:t>
      </w:r>
      <w:r w:rsidR="0071728D">
        <w:t xml:space="preserve">Impact </w:t>
      </w:r>
      <w:bookmarkEnd w:id="518"/>
      <w:r>
        <w:t>Consequence</w:t>
      </w:r>
      <w:bookmarkEnd w:id="519"/>
    </w:p>
    <w:p w14:paraId="78322BBC" w14:textId="3239F20E" w:rsidR="00F15C5D" w:rsidRDefault="00F15C5D" w:rsidP="00F15C5D">
      <w:pPr>
        <w:pStyle w:val="BodyText"/>
        <w:ind w:left="0"/>
        <w:rPr>
          <w:rFonts w:cs="Arial"/>
          <w:sz w:val="22"/>
          <w:szCs w:val="22"/>
        </w:rPr>
      </w:pPr>
      <w:r>
        <w:rPr>
          <w:rFonts w:cs="Arial"/>
          <w:sz w:val="22"/>
          <w:szCs w:val="22"/>
        </w:rPr>
        <w:t xml:space="preserve">The following control measures will be implemented to minimise the impacts of putrescible waste discharges: </w:t>
      </w:r>
    </w:p>
    <w:p w14:paraId="091CF7C1" w14:textId="3759618F" w:rsidR="00F15C5D" w:rsidRPr="00F15C5D" w:rsidRDefault="00F15C5D" w:rsidP="00F15C5D">
      <w:pPr>
        <w:pStyle w:val="ListParagraph0"/>
        <w:numPr>
          <w:ilvl w:val="0"/>
          <w:numId w:val="66"/>
        </w:numPr>
        <w:spacing w:after="240"/>
        <w:rPr>
          <w:rFonts w:cs="Arial"/>
          <w:sz w:val="22"/>
          <w:szCs w:val="22"/>
        </w:rPr>
      </w:pPr>
      <w:r w:rsidRPr="00F15C5D">
        <w:rPr>
          <w:rFonts w:cs="Arial"/>
          <w:sz w:val="22"/>
          <w:szCs w:val="22"/>
        </w:rPr>
        <w:t>A Garbage Management Plan is in place (for vessels &gt;100 gross tonnes or certified to carry 15 persons or more) that sets out the procedures for minimising, collecting, storing, processing and discharging garbage.</w:t>
      </w:r>
    </w:p>
    <w:p w14:paraId="2AE01B8F" w14:textId="728E0208" w:rsidR="00F15C5D" w:rsidRPr="00F15C5D" w:rsidRDefault="00F15C5D" w:rsidP="00F15C5D">
      <w:pPr>
        <w:pStyle w:val="ListParagraph0"/>
        <w:numPr>
          <w:ilvl w:val="0"/>
          <w:numId w:val="66"/>
        </w:numPr>
        <w:spacing w:after="240"/>
        <w:rPr>
          <w:rFonts w:cs="Arial"/>
          <w:sz w:val="22"/>
          <w:szCs w:val="22"/>
        </w:rPr>
      </w:pPr>
      <w:r w:rsidRPr="00F15C5D">
        <w:rPr>
          <w:rFonts w:cs="Arial"/>
          <w:sz w:val="22"/>
          <w:szCs w:val="22"/>
        </w:rPr>
        <w:lastRenderedPageBreak/>
        <w:t xml:space="preserve">A food macerator is on board, functional, in use and set to macerate to ≤25 mm.  </w:t>
      </w:r>
    </w:p>
    <w:p w14:paraId="43AF9540" w14:textId="41FD904A" w:rsidR="00F15C5D" w:rsidRPr="00F15C5D" w:rsidRDefault="00F15C5D" w:rsidP="00F15C5D">
      <w:pPr>
        <w:pStyle w:val="ListParagraph0"/>
        <w:numPr>
          <w:ilvl w:val="0"/>
          <w:numId w:val="66"/>
        </w:numPr>
        <w:spacing w:after="240"/>
        <w:rPr>
          <w:rFonts w:cs="Arial"/>
          <w:sz w:val="22"/>
          <w:szCs w:val="22"/>
        </w:rPr>
      </w:pPr>
      <w:r w:rsidRPr="00F15C5D">
        <w:rPr>
          <w:rFonts w:cs="Arial"/>
          <w:sz w:val="22"/>
          <w:szCs w:val="22"/>
        </w:rPr>
        <w:t>Macerated putrescible waste is only discharged overboard when the vessel is greater than 3 nm from the coastline.</w:t>
      </w:r>
    </w:p>
    <w:p w14:paraId="6810892E" w14:textId="5D6BA39E" w:rsidR="00F15C5D" w:rsidRPr="00F15C5D" w:rsidRDefault="00F15C5D" w:rsidP="00F15C5D">
      <w:pPr>
        <w:pStyle w:val="ListParagraph0"/>
        <w:numPr>
          <w:ilvl w:val="0"/>
          <w:numId w:val="66"/>
        </w:numPr>
        <w:spacing w:after="240"/>
        <w:rPr>
          <w:rFonts w:cs="Arial"/>
          <w:sz w:val="22"/>
          <w:szCs w:val="22"/>
        </w:rPr>
      </w:pPr>
      <w:r w:rsidRPr="00F15C5D">
        <w:rPr>
          <w:rFonts w:cs="Arial"/>
          <w:sz w:val="22"/>
          <w:szCs w:val="22"/>
        </w:rPr>
        <w:t>Un-macerated putrescible waste is only discharged overboard when the vessel is greater than 12 nm from the coastline.</w:t>
      </w:r>
    </w:p>
    <w:p w14:paraId="34DA0C24" w14:textId="2C1081BE" w:rsidR="00F15C5D" w:rsidRPr="002A2708" w:rsidRDefault="00F15C5D" w:rsidP="00F15C5D">
      <w:pPr>
        <w:pStyle w:val="ListParagraph0"/>
        <w:numPr>
          <w:ilvl w:val="0"/>
          <w:numId w:val="66"/>
        </w:numPr>
        <w:spacing w:after="240"/>
        <w:rPr>
          <w:rFonts w:cs="Arial"/>
          <w:sz w:val="22"/>
          <w:szCs w:val="22"/>
        </w:rPr>
      </w:pPr>
      <w:r w:rsidRPr="00F15C5D">
        <w:rPr>
          <w:rFonts w:cs="Arial"/>
          <w:sz w:val="22"/>
          <w:szCs w:val="22"/>
        </w:rPr>
        <w:t>Non-putrescible galley waste is returned to shore for disposal.</w:t>
      </w:r>
    </w:p>
    <w:p w14:paraId="4284EDC7" w14:textId="70867986" w:rsidR="00F15C5D" w:rsidRDefault="00A80023" w:rsidP="00F15C5D">
      <w:pPr>
        <w:pStyle w:val="BodyText"/>
        <w:spacing w:after="240"/>
        <w:ind w:left="0"/>
        <w:rPr>
          <w:rFonts w:cs="Arial"/>
          <w:sz w:val="22"/>
          <w:szCs w:val="22"/>
        </w:rPr>
      </w:pPr>
      <w:r w:rsidRPr="00A80023">
        <w:rPr>
          <w:rFonts w:cs="Arial"/>
          <w:sz w:val="22"/>
          <w:szCs w:val="22"/>
        </w:rPr>
        <w:t xml:space="preserve">The </w:t>
      </w:r>
      <w:r w:rsidR="00F15C5D">
        <w:rPr>
          <w:rFonts w:cs="Arial"/>
          <w:sz w:val="22"/>
          <w:szCs w:val="22"/>
        </w:rPr>
        <w:t xml:space="preserve">residual (post-control) impact consequence </w:t>
      </w:r>
      <w:r>
        <w:rPr>
          <w:rFonts w:cs="Arial"/>
          <w:sz w:val="22"/>
          <w:szCs w:val="22"/>
        </w:rPr>
        <w:t>is rated as ‘insignificant.’</w:t>
      </w:r>
    </w:p>
    <w:p w14:paraId="383A39B2" w14:textId="3619EEA0" w:rsidR="00EE6FC7" w:rsidRPr="00B03966" w:rsidRDefault="00B03966" w:rsidP="00B03966">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520" w:name="_Toc320190769"/>
      <w:bookmarkStart w:id="521" w:name="_Toc375214630"/>
      <w:r>
        <w:rPr>
          <w:rFonts w:cs="Times New Roman"/>
          <w:iCs w:val="0"/>
          <w:color w:val="064EA8"/>
          <w:szCs w:val="26"/>
          <w:lang w:eastAsia="en-US"/>
        </w:rPr>
        <w:t xml:space="preserve">IMPACT: </w:t>
      </w:r>
      <w:r w:rsidR="00924DE4" w:rsidRPr="00B03966">
        <w:rPr>
          <w:rFonts w:cs="Times New Roman"/>
          <w:iCs w:val="0"/>
          <w:color w:val="064EA8"/>
          <w:szCs w:val="26"/>
          <w:lang w:eastAsia="en-US"/>
        </w:rPr>
        <w:t xml:space="preserve">Discharge of </w:t>
      </w:r>
      <w:r w:rsidR="00EE6FC7" w:rsidRPr="00B03966">
        <w:rPr>
          <w:rFonts w:cs="Times New Roman"/>
          <w:iCs w:val="0"/>
          <w:color w:val="064EA8"/>
          <w:szCs w:val="26"/>
          <w:lang w:eastAsia="en-US"/>
        </w:rPr>
        <w:t>Bilge Water</w:t>
      </w:r>
      <w:bookmarkEnd w:id="520"/>
      <w:r w:rsidR="00924DE4" w:rsidRPr="00B03966">
        <w:rPr>
          <w:rFonts w:cs="Times New Roman"/>
          <w:iCs w:val="0"/>
          <w:color w:val="064EA8"/>
          <w:szCs w:val="26"/>
          <w:lang w:eastAsia="en-US"/>
        </w:rPr>
        <w:t xml:space="preserve"> </w:t>
      </w:r>
      <w:r w:rsidR="00420C8C" w:rsidRPr="00B03966">
        <w:rPr>
          <w:rFonts w:cs="Times New Roman"/>
          <w:iCs w:val="0"/>
          <w:color w:val="064EA8"/>
          <w:szCs w:val="26"/>
          <w:lang w:eastAsia="en-US"/>
        </w:rPr>
        <w:t>and Deck Drainage</w:t>
      </w:r>
      <w:bookmarkEnd w:id="521"/>
    </w:p>
    <w:p w14:paraId="007066ED" w14:textId="77777777" w:rsidR="00EE6FC7" w:rsidRDefault="00EE6FC7" w:rsidP="00E07150">
      <w:pPr>
        <w:pStyle w:val="Heading3"/>
      </w:pPr>
      <w:bookmarkStart w:id="522" w:name="_Toc477947896"/>
      <w:bookmarkStart w:id="523" w:name="_Toc479764086"/>
      <w:bookmarkStart w:id="524" w:name="_Toc375214631"/>
      <w:r>
        <w:t>Hazard</w:t>
      </w:r>
      <w:bookmarkEnd w:id="522"/>
      <w:bookmarkEnd w:id="523"/>
      <w:bookmarkEnd w:id="524"/>
    </w:p>
    <w:p w14:paraId="73293FCD" w14:textId="350A5E22" w:rsidR="00EE6FC7" w:rsidRPr="000E2B63" w:rsidRDefault="00924DE4" w:rsidP="00420C8C">
      <w:pPr>
        <w:ind w:left="0"/>
        <w:rPr>
          <w:rFonts w:cs="Arial"/>
          <w:sz w:val="22"/>
          <w:szCs w:val="22"/>
        </w:rPr>
      </w:pPr>
      <w:r w:rsidRPr="000E2B63">
        <w:rPr>
          <w:rFonts w:cs="Arial"/>
          <w:sz w:val="22"/>
          <w:szCs w:val="22"/>
        </w:rPr>
        <w:t xml:space="preserve">Bilge tanks receive fluids from closed deck drainage and machinery spaces that may contain contaminants such as oil, detergents, solvents, chemicals and solid waste. An oily water separator (OWS) then treats </w:t>
      </w:r>
      <w:r w:rsidR="00420C8C" w:rsidRPr="000E2B63">
        <w:rPr>
          <w:rFonts w:cs="Arial"/>
          <w:sz w:val="22"/>
          <w:szCs w:val="22"/>
        </w:rPr>
        <w:t xml:space="preserve">this water </w:t>
      </w:r>
      <w:r w:rsidRPr="000E2B63">
        <w:rPr>
          <w:rFonts w:cs="Arial"/>
          <w:sz w:val="22"/>
          <w:szCs w:val="22"/>
        </w:rPr>
        <w:t xml:space="preserve">prior to discharge overboard in order to meet the MARPOL requirement </w:t>
      </w:r>
      <w:r w:rsidR="00420C8C" w:rsidRPr="000E2B63">
        <w:rPr>
          <w:rFonts w:cs="Arial"/>
          <w:sz w:val="22"/>
          <w:szCs w:val="22"/>
        </w:rPr>
        <w:t xml:space="preserve">that </w:t>
      </w:r>
      <w:r w:rsidRPr="000E2B63">
        <w:rPr>
          <w:rFonts w:cs="Arial"/>
          <w:sz w:val="22"/>
          <w:szCs w:val="22"/>
        </w:rPr>
        <w:t xml:space="preserve">no greater than 15 ppm oil-in-water (OIW) </w:t>
      </w:r>
      <w:r w:rsidR="00420C8C" w:rsidRPr="000E2B63">
        <w:rPr>
          <w:rFonts w:cs="Arial"/>
          <w:sz w:val="22"/>
          <w:szCs w:val="22"/>
        </w:rPr>
        <w:t xml:space="preserve">is discharged </w:t>
      </w:r>
      <w:r w:rsidRPr="000E2B63">
        <w:rPr>
          <w:rFonts w:cs="Arial"/>
          <w:sz w:val="22"/>
          <w:szCs w:val="22"/>
        </w:rPr>
        <w:t>overboard.</w:t>
      </w:r>
      <w:r w:rsidR="00420C8C" w:rsidRPr="000E2B63">
        <w:rPr>
          <w:rFonts w:cs="Arial"/>
          <w:sz w:val="22"/>
          <w:szCs w:val="22"/>
        </w:rPr>
        <w:t xml:space="preserve"> The volume of these discharges is small and intermittent (as required, based on bilge tank storage levels). </w:t>
      </w:r>
    </w:p>
    <w:p w14:paraId="65D56087" w14:textId="77777777" w:rsidR="00420C8C" w:rsidRPr="000E2B63" w:rsidRDefault="00420C8C" w:rsidP="00420C8C">
      <w:pPr>
        <w:ind w:left="0"/>
        <w:rPr>
          <w:rFonts w:cs="Arial"/>
          <w:sz w:val="22"/>
          <w:szCs w:val="22"/>
        </w:rPr>
      </w:pPr>
    </w:p>
    <w:p w14:paraId="45E5054B" w14:textId="60EEEE4A" w:rsidR="00420C8C" w:rsidRPr="000E2B63" w:rsidRDefault="00420C8C" w:rsidP="00420C8C">
      <w:pPr>
        <w:autoSpaceDE w:val="0"/>
        <w:autoSpaceDN w:val="0"/>
        <w:adjustRightInd w:val="0"/>
        <w:spacing w:line="240" w:lineRule="auto"/>
        <w:ind w:left="0"/>
        <w:rPr>
          <w:rFonts w:cs="Arial"/>
          <w:sz w:val="22"/>
          <w:szCs w:val="22"/>
        </w:rPr>
      </w:pPr>
      <w:r w:rsidRPr="000E2B63">
        <w:rPr>
          <w:rFonts w:cs="Arial"/>
          <w:sz w:val="22"/>
          <w:szCs w:val="22"/>
        </w:rPr>
        <w:t xml:space="preserve">Decks that are not bunded and drain directly to the sea may </w:t>
      </w:r>
      <w:r w:rsidR="00C56153" w:rsidRPr="000E2B63">
        <w:rPr>
          <w:rFonts w:cs="Arial"/>
          <w:sz w:val="22"/>
          <w:szCs w:val="22"/>
        </w:rPr>
        <w:t>lead to the discharge of contaminated</w:t>
      </w:r>
      <w:r w:rsidRPr="000E2B63">
        <w:rPr>
          <w:rFonts w:cs="Arial"/>
          <w:sz w:val="22"/>
          <w:szCs w:val="22"/>
        </w:rPr>
        <w:t xml:space="preserve"> water</w:t>
      </w:r>
      <w:r w:rsidR="00C56153" w:rsidRPr="000E2B63">
        <w:rPr>
          <w:rFonts w:cs="Arial"/>
          <w:sz w:val="22"/>
          <w:szCs w:val="22"/>
        </w:rPr>
        <w:t xml:space="preserve">, </w:t>
      </w:r>
      <w:r w:rsidRPr="000E2B63">
        <w:rPr>
          <w:rFonts w:cs="Arial"/>
          <w:sz w:val="22"/>
          <w:szCs w:val="22"/>
        </w:rPr>
        <w:t xml:space="preserve">caused by ocean spray and rain </w:t>
      </w:r>
      <w:r w:rsidR="00C56153" w:rsidRPr="000E2B63">
        <w:rPr>
          <w:rFonts w:cs="Arial"/>
          <w:sz w:val="22"/>
          <w:szCs w:val="22"/>
        </w:rPr>
        <w:t>(</w:t>
      </w:r>
      <w:r w:rsidRPr="000E2B63">
        <w:rPr>
          <w:rFonts w:cs="Arial"/>
          <w:sz w:val="22"/>
          <w:szCs w:val="22"/>
        </w:rPr>
        <w:t>‘green water’</w:t>
      </w:r>
      <w:r w:rsidR="00C56153" w:rsidRPr="000E2B63">
        <w:rPr>
          <w:rFonts w:cs="Arial"/>
          <w:sz w:val="22"/>
          <w:szCs w:val="22"/>
        </w:rPr>
        <w:t>)</w:t>
      </w:r>
      <w:r w:rsidRPr="000E2B63">
        <w:rPr>
          <w:rFonts w:cs="Arial"/>
          <w:sz w:val="22"/>
          <w:szCs w:val="22"/>
        </w:rPr>
        <w:t xml:space="preserve"> or deck washing activities</w:t>
      </w:r>
      <w:r w:rsidR="00C56153" w:rsidRPr="000E2B63">
        <w:rPr>
          <w:rFonts w:cs="Arial"/>
          <w:sz w:val="22"/>
          <w:szCs w:val="22"/>
        </w:rPr>
        <w:t xml:space="preserve"> capturing</w:t>
      </w:r>
      <w:r w:rsidRPr="000E2B63">
        <w:rPr>
          <w:rFonts w:cs="Arial"/>
          <w:sz w:val="22"/>
          <w:szCs w:val="22"/>
        </w:rPr>
        <w:t xml:space="preserve"> trace quantities of contaminants such as oil, grease and detergents</w:t>
      </w:r>
      <w:r w:rsidR="00C56153" w:rsidRPr="000E2B63">
        <w:rPr>
          <w:rFonts w:cs="Arial"/>
          <w:sz w:val="22"/>
          <w:szCs w:val="22"/>
        </w:rPr>
        <w:t>, or a chemical</w:t>
      </w:r>
      <w:r w:rsidR="00781480" w:rsidRPr="000E2B63">
        <w:rPr>
          <w:rFonts w:cs="Arial"/>
          <w:sz w:val="22"/>
          <w:szCs w:val="22"/>
        </w:rPr>
        <w:t xml:space="preserve"> or hydrocarbon </w:t>
      </w:r>
      <w:r w:rsidR="00C56153" w:rsidRPr="000E2B63">
        <w:rPr>
          <w:rFonts w:cs="Arial"/>
          <w:sz w:val="22"/>
          <w:szCs w:val="22"/>
        </w:rPr>
        <w:t>spill or leak washed overboard</w:t>
      </w:r>
      <w:r w:rsidRPr="000E2B63">
        <w:rPr>
          <w:rFonts w:cs="Arial"/>
          <w:sz w:val="22"/>
          <w:szCs w:val="22"/>
        </w:rPr>
        <w:t xml:space="preserve">. </w:t>
      </w:r>
    </w:p>
    <w:p w14:paraId="10819409" w14:textId="77777777" w:rsidR="00EE6FC7" w:rsidRDefault="00EE6FC7" w:rsidP="00924DE4">
      <w:pPr>
        <w:pStyle w:val="Heading3"/>
      </w:pPr>
      <w:bookmarkStart w:id="525" w:name="_Toc477947897"/>
      <w:bookmarkStart w:id="526" w:name="_Toc479764087"/>
      <w:bookmarkStart w:id="527" w:name="_Toc375214632"/>
      <w:r>
        <w:t>Known and Potential Environmental Impacts</w:t>
      </w:r>
      <w:bookmarkEnd w:id="525"/>
      <w:bookmarkEnd w:id="526"/>
      <w:bookmarkEnd w:id="527"/>
    </w:p>
    <w:p w14:paraId="138AF3B6" w14:textId="34DD80DB" w:rsidR="00924DE4" w:rsidRPr="000E2B63" w:rsidRDefault="00924DE4" w:rsidP="00924DE4">
      <w:pPr>
        <w:ind w:left="0"/>
        <w:rPr>
          <w:rFonts w:cs="Arial"/>
          <w:sz w:val="22"/>
          <w:szCs w:val="22"/>
        </w:rPr>
      </w:pPr>
      <w:r w:rsidRPr="000E2B63">
        <w:rPr>
          <w:rFonts w:cs="Arial"/>
          <w:sz w:val="22"/>
          <w:szCs w:val="22"/>
        </w:rPr>
        <w:t xml:space="preserve">The known and potential environmental impacts of the discharge of bilge water </w:t>
      </w:r>
      <w:r w:rsidR="00FB5FB2" w:rsidRPr="000E2B63">
        <w:rPr>
          <w:rFonts w:cs="Arial"/>
          <w:sz w:val="22"/>
          <w:szCs w:val="22"/>
        </w:rPr>
        <w:t xml:space="preserve">and deck drainage </w:t>
      </w:r>
      <w:r w:rsidRPr="000E2B63">
        <w:rPr>
          <w:rFonts w:cs="Arial"/>
          <w:sz w:val="22"/>
          <w:szCs w:val="22"/>
        </w:rPr>
        <w:t xml:space="preserve">are: </w:t>
      </w:r>
    </w:p>
    <w:p w14:paraId="7F70CF1E" w14:textId="77777777" w:rsidR="00924DE4" w:rsidRPr="000E2B63" w:rsidRDefault="00924DE4" w:rsidP="00924DE4">
      <w:pPr>
        <w:ind w:left="0"/>
        <w:rPr>
          <w:rFonts w:cs="Arial"/>
          <w:sz w:val="22"/>
          <w:szCs w:val="22"/>
        </w:rPr>
      </w:pPr>
    </w:p>
    <w:p w14:paraId="54B4373A" w14:textId="497F10BF" w:rsidR="00924DE4" w:rsidRPr="000E2B63" w:rsidRDefault="00924DE4" w:rsidP="00567567">
      <w:pPr>
        <w:pStyle w:val="ListParagraph0"/>
        <w:numPr>
          <w:ilvl w:val="0"/>
          <w:numId w:val="173"/>
        </w:numPr>
        <w:rPr>
          <w:rFonts w:cs="Arial"/>
          <w:sz w:val="22"/>
          <w:szCs w:val="22"/>
        </w:rPr>
      </w:pPr>
      <w:r w:rsidRPr="000E2B63">
        <w:rPr>
          <w:rFonts w:cs="Arial"/>
          <w:sz w:val="22"/>
          <w:szCs w:val="22"/>
        </w:rPr>
        <w:t>Temporary and localised reduction of surface water quality</w:t>
      </w:r>
      <w:r w:rsidR="00FB5FB2" w:rsidRPr="000E2B63">
        <w:rPr>
          <w:rFonts w:cs="Arial"/>
          <w:sz w:val="22"/>
          <w:szCs w:val="22"/>
        </w:rPr>
        <w:t xml:space="preserve"> around the discharge point</w:t>
      </w:r>
      <w:r w:rsidRPr="000E2B63">
        <w:rPr>
          <w:rFonts w:cs="Arial"/>
          <w:sz w:val="22"/>
          <w:szCs w:val="22"/>
        </w:rPr>
        <w:t>; and</w:t>
      </w:r>
    </w:p>
    <w:p w14:paraId="20B7890F" w14:textId="78DF9AA4" w:rsidR="00924DE4" w:rsidRPr="000E2B63" w:rsidRDefault="00924DE4" w:rsidP="00567567">
      <w:pPr>
        <w:pStyle w:val="ListParagraph0"/>
        <w:numPr>
          <w:ilvl w:val="0"/>
          <w:numId w:val="173"/>
        </w:numPr>
        <w:rPr>
          <w:rFonts w:cs="Arial"/>
          <w:sz w:val="22"/>
          <w:szCs w:val="22"/>
        </w:rPr>
      </w:pPr>
      <w:r w:rsidRPr="000E2B63">
        <w:rPr>
          <w:rFonts w:cs="Arial"/>
          <w:sz w:val="22"/>
          <w:szCs w:val="22"/>
        </w:rPr>
        <w:t>Acute toxicity to marine fauna through ingestion of heavily contaminated water (in the event of malfunction of the OWS</w:t>
      </w:r>
      <w:r w:rsidR="00FB5FB2" w:rsidRPr="000E2B63">
        <w:rPr>
          <w:rFonts w:cs="Arial"/>
          <w:sz w:val="22"/>
          <w:szCs w:val="22"/>
        </w:rPr>
        <w:t xml:space="preserve"> or an uncontrolled spill </w:t>
      </w:r>
      <w:r w:rsidR="00C56153" w:rsidRPr="000E2B63">
        <w:rPr>
          <w:rFonts w:cs="Arial"/>
          <w:sz w:val="22"/>
          <w:szCs w:val="22"/>
        </w:rPr>
        <w:t>emanating from</w:t>
      </w:r>
      <w:r w:rsidR="00FB5FB2" w:rsidRPr="000E2B63">
        <w:rPr>
          <w:rFonts w:cs="Arial"/>
          <w:sz w:val="22"/>
          <w:szCs w:val="22"/>
        </w:rPr>
        <w:t xml:space="preserve"> an </w:t>
      </w:r>
      <w:r w:rsidR="00C56153" w:rsidRPr="000E2B63">
        <w:rPr>
          <w:rFonts w:cs="Arial"/>
          <w:sz w:val="22"/>
          <w:szCs w:val="22"/>
        </w:rPr>
        <w:t>open drainage area</w:t>
      </w:r>
      <w:r w:rsidRPr="000E2B63">
        <w:rPr>
          <w:rFonts w:cs="Arial"/>
          <w:sz w:val="22"/>
          <w:szCs w:val="22"/>
        </w:rPr>
        <w:t>).</w:t>
      </w:r>
    </w:p>
    <w:p w14:paraId="22FBB0FD" w14:textId="112E153A" w:rsidR="00924DE4" w:rsidRDefault="00924DE4" w:rsidP="00924DE4">
      <w:pPr>
        <w:pStyle w:val="Heading3"/>
      </w:pPr>
      <w:bookmarkStart w:id="528" w:name="_Toc479764088"/>
      <w:bookmarkStart w:id="529" w:name="_Toc375214633"/>
      <w:r>
        <w:t>EMBA</w:t>
      </w:r>
      <w:bookmarkEnd w:id="528"/>
      <w:bookmarkEnd w:id="529"/>
    </w:p>
    <w:p w14:paraId="7BBF03C7" w14:textId="3EB65DA7" w:rsidR="00924DE4" w:rsidRPr="000E2B63" w:rsidRDefault="00924DE4" w:rsidP="00924DE4">
      <w:pPr>
        <w:ind w:left="0"/>
        <w:rPr>
          <w:rFonts w:cs="Arial"/>
          <w:sz w:val="22"/>
          <w:szCs w:val="22"/>
        </w:rPr>
      </w:pPr>
      <w:r w:rsidRPr="000E2B63">
        <w:rPr>
          <w:rFonts w:cs="Arial"/>
          <w:sz w:val="22"/>
          <w:szCs w:val="22"/>
        </w:rPr>
        <w:t xml:space="preserve">The EMBA for bilge water discharges is likely to be the top 10 m of the water column and a 100 m radius from the discharge point. </w:t>
      </w:r>
    </w:p>
    <w:p w14:paraId="75339A85" w14:textId="77777777" w:rsidR="00924DE4" w:rsidRPr="000E2B63" w:rsidRDefault="00924DE4" w:rsidP="00924DE4">
      <w:pPr>
        <w:ind w:left="0"/>
        <w:rPr>
          <w:rFonts w:cs="Arial"/>
          <w:sz w:val="22"/>
          <w:szCs w:val="22"/>
        </w:rPr>
      </w:pPr>
    </w:p>
    <w:p w14:paraId="17245C0D" w14:textId="77777777" w:rsidR="00924DE4" w:rsidRPr="000E2B63" w:rsidRDefault="00924DE4" w:rsidP="000077FF">
      <w:pPr>
        <w:spacing w:after="120"/>
        <w:ind w:left="0"/>
        <w:rPr>
          <w:rFonts w:cs="Arial"/>
          <w:sz w:val="22"/>
          <w:szCs w:val="22"/>
        </w:rPr>
      </w:pPr>
      <w:r w:rsidRPr="000E2B63">
        <w:rPr>
          <w:rFonts w:cs="Arial"/>
          <w:sz w:val="22"/>
          <w:szCs w:val="22"/>
        </w:rPr>
        <w:t xml:space="preserve">Receptors that may occur within this EMBA, either as residents or migrants, are: </w:t>
      </w:r>
    </w:p>
    <w:p w14:paraId="68EC2B13" w14:textId="2CDA290E" w:rsidR="00924DE4" w:rsidRPr="000E2B63" w:rsidRDefault="00924DE4" w:rsidP="00567567">
      <w:pPr>
        <w:pStyle w:val="ListParagraph0"/>
        <w:numPr>
          <w:ilvl w:val="0"/>
          <w:numId w:val="173"/>
        </w:numPr>
        <w:rPr>
          <w:rFonts w:cs="Arial"/>
          <w:sz w:val="22"/>
          <w:szCs w:val="22"/>
        </w:rPr>
      </w:pPr>
      <w:r w:rsidRPr="000E2B63">
        <w:rPr>
          <w:rFonts w:cs="Arial"/>
          <w:sz w:val="22"/>
          <w:szCs w:val="22"/>
        </w:rPr>
        <w:t xml:space="preserve">Plankton; </w:t>
      </w:r>
    </w:p>
    <w:p w14:paraId="4865DBAC" w14:textId="77777777" w:rsidR="00924DE4" w:rsidRPr="000E2B63" w:rsidRDefault="00924DE4" w:rsidP="00567567">
      <w:pPr>
        <w:pStyle w:val="ListParagraph0"/>
        <w:numPr>
          <w:ilvl w:val="0"/>
          <w:numId w:val="173"/>
        </w:numPr>
        <w:rPr>
          <w:rFonts w:cs="Arial"/>
          <w:sz w:val="22"/>
          <w:szCs w:val="22"/>
        </w:rPr>
      </w:pPr>
      <w:r w:rsidRPr="000E2B63">
        <w:rPr>
          <w:rFonts w:cs="Arial"/>
          <w:sz w:val="22"/>
          <w:szCs w:val="22"/>
        </w:rPr>
        <w:t>Pelagic fish;</w:t>
      </w:r>
    </w:p>
    <w:p w14:paraId="22C8BD7E" w14:textId="77777777" w:rsidR="00924DE4" w:rsidRPr="000E2B63" w:rsidRDefault="00924DE4" w:rsidP="00567567">
      <w:pPr>
        <w:pStyle w:val="ListParagraph0"/>
        <w:numPr>
          <w:ilvl w:val="0"/>
          <w:numId w:val="173"/>
        </w:numPr>
        <w:rPr>
          <w:rFonts w:cs="Arial"/>
          <w:sz w:val="22"/>
          <w:szCs w:val="22"/>
        </w:rPr>
      </w:pPr>
      <w:r w:rsidRPr="000E2B63">
        <w:rPr>
          <w:rFonts w:cs="Arial"/>
          <w:sz w:val="22"/>
          <w:szCs w:val="22"/>
        </w:rPr>
        <w:t>Cetaceans;</w:t>
      </w:r>
    </w:p>
    <w:p w14:paraId="2CE402A3" w14:textId="77777777" w:rsidR="00924DE4" w:rsidRPr="000E2B63" w:rsidRDefault="00924DE4" w:rsidP="00567567">
      <w:pPr>
        <w:pStyle w:val="ListParagraph0"/>
        <w:numPr>
          <w:ilvl w:val="0"/>
          <w:numId w:val="173"/>
        </w:numPr>
        <w:rPr>
          <w:rFonts w:cs="Arial"/>
          <w:sz w:val="22"/>
          <w:szCs w:val="22"/>
        </w:rPr>
      </w:pPr>
      <w:r w:rsidRPr="000E2B63">
        <w:rPr>
          <w:rFonts w:cs="Arial"/>
          <w:sz w:val="22"/>
          <w:szCs w:val="22"/>
        </w:rPr>
        <w:t>Pinnipeds; and</w:t>
      </w:r>
    </w:p>
    <w:p w14:paraId="473D5543" w14:textId="1164361E" w:rsidR="00924DE4" w:rsidRPr="000E2B63" w:rsidRDefault="00924DE4" w:rsidP="00567567">
      <w:pPr>
        <w:pStyle w:val="ListParagraph0"/>
        <w:numPr>
          <w:ilvl w:val="0"/>
          <w:numId w:val="173"/>
        </w:numPr>
        <w:rPr>
          <w:rFonts w:cs="Arial"/>
          <w:sz w:val="22"/>
          <w:szCs w:val="22"/>
        </w:rPr>
      </w:pPr>
      <w:r w:rsidRPr="000E2B63">
        <w:rPr>
          <w:rFonts w:cs="Arial"/>
          <w:sz w:val="22"/>
          <w:szCs w:val="22"/>
        </w:rPr>
        <w:t>Avifauna.</w:t>
      </w:r>
    </w:p>
    <w:p w14:paraId="1448DBD1" w14:textId="77777777" w:rsidR="00EE6FC7" w:rsidRDefault="00EE6FC7" w:rsidP="00924DE4">
      <w:pPr>
        <w:pStyle w:val="Heading3"/>
      </w:pPr>
      <w:bookmarkStart w:id="530" w:name="_Toc477947898"/>
      <w:bookmarkStart w:id="531" w:name="_Toc479764089"/>
      <w:bookmarkStart w:id="532" w:name="_Toc375214634"/>
      <w:r>
        <w:t>Evaluation of Environmental Impacts</w:t>
      </w:r>
      <w:bookmarkEnd w:id="530"/>
      <w:bookmarkEnd w:id="531"/>
      <w:bookmarkEnd w:id="532"/>
    </w:p>
    <w:p w14:paraId="4BA775EA" w14:textId="77777777" w:rsidR="00781480" w:rsidRPr="000E2B63" w:rsidRDefault="00924DE4" w:rsidP="00924DE4">
      <w:pPr>
        <w:spacing w:after="240"/>
        <w:ind w:left="0"/>
        <w:rPr>
          <w:rFonts w:cs="Arial"/>
          <w:sz w:val="22"/>
          <w:szCs w:val="22"/>
        </w:rPr>
      </w:pPr>
      <w:r w:rsidRPr="000E2B63">
        <w:rPr>
          <w:rFonts w:cs="Arial"/>
          <w:sz w:val="22"/>
          <w:szCs w:val="22"/>
        </w:rPr>
        <w:t xml:space="preserve">Small volumes and low concentrations of oily water (&lt;15 ppm) from bilge discharges </w:t>
      </w:r>
      <w:r w:rsidR="00781480" w:rsidRPr="000E2B63">
        <w:rPr>
          <w:rFonts w:cs="Arial"/>
          <w:sz w:val="22"/>
          <w:szCs w:val="22"/>
        </w:rPr>
        <w:t xml:space="preserve">and traces of chemicals or hydrocarbons discharged to the ocean through open deck drainage </w:t>
      </w:r>
      <w:r w:rsidRPr="000E2B63">
        <w:rPr>
          <w:rFonts w:cs="Arial"/>
          <w:sz w:val="22"/>
          <w:szCs w:val="22"/>
        </w:rPr>
        <w:t xml:space="preserve">may temporarily reduce water quality. </w:t>
      </w:r>
    </w:p>
    <w:p w14:paraId="365E93A8" w14:textId="15C945C1" w:rsidR="00924DE4" w:rsidRDefault="00781480" w:rsidP="00924DE4">
      <w:pPr>
        <w:spacing w:after="240"/>
        <w:ind w:left="0"/>
        <w:rPr>
          <w:rFonts w:cs="Arial"/>
          <w:sz w:val="22"/>
          <w:szCs w:val="22"/>
        </w:rPr>
      </w:pPr>
      <w:r w:rsidRPr="000E2B63">
        <w:rPr>
          <w:rFonts w:cs="Arial"/>
          <w:sz w:val="22"/>
          <w:szCs w:val="22"/>
        </w:rPr>
        <w:lastRenderedPageBreak/>
        <w:t>T</w:t>
      </w:r>
      <w:r w:rsidR="00924DE4" w:rsidRPr="000E2B63">
        <w:rPr>
          <w:rFonts w:cs="Arial"/>
          <w:sz w:val="22"/>
          <w:szCs w:val="22"/>
        </w:rPr>
        <w:t>he</w:t>
      </w:r>
      <w:r w:rsidRPr="000E2B63">
        <w:rPr>
          <w:rFonts w:cs="Arial"/>
          <w:sz w:val="22"/>
          <w:szCs w:val="22"/>
        </w:rPr>
        <w:t>se discharges</w:t>
      </w:r>
      <w:r w:rsidR="00924DE4" w:rsidRPr="000E2B63">
        <w:rPr>
          <w:rFonts w:cs="Arial"/>
          <w:sz w:val="22"/>
          <w:szCs w:val="22"/>
        </w:rPr>
        <w:t xml:space="preserve"> will be rapidly diluted, dispersed and biodegraded to undetectable levels</w:t>
      </w:r>
      <w:r w:rsidR="000077FF">
        <w:rPr>
          <w:rFonts w:cs="Arial"/>
          <w:sz w:val="22"/>
          <w:szCs w:val="22"/>
        </w:rPr>
        <w:t xml:space="preserve"> and will have negligible impacts to plankton and pelagic fish</w:t>
      </w:r>
      <w:r w:rsidR="00924DE4" w:rsidRPr="000E2B63">
        <w:rPr>
          <w:rFonts w:cs="Arial"/>
          <w:sz w:val="22"/>
          <w:szCs w:val="22"/>
        </w:rPr>
        <w:t xml:space="preserve">. </w:t>
      </w:r>
    </w:p>
    <w:p w14:paraId="4B494597" w14:textId="6585C3FE" w:rsidR="00924DE4" w:rsidRPr="000E2B63" w:rsidRDefault="00924DE4" w:rsidP="00924DE4">
      <w:pPr>
        <w:ind w:left="0"/>
        <w:rPr>
          <w:rFonts w:cs="Arial"/>
          <w:sz w:val="22"/>
          <w:szCs w:val="22"/>
        </w:rPr>
      </w:pPr>
      <w:r w:rsidRPr="000E2B63">
        <w:rPr>
          <w:rFonts w:cs="Arial"/>
          <w:sz w:val="22"/>
          <w:szCs w:val="22"/>
        </w:rPr>
        <w:t xml:space="preserve">The small volumes and low concentrations of oily water from bilge discharges may temporarily reduce water quality. In the event the OWS malfunctions and discharges off-specification water, these impacts may occur, though this is only likely in a highly localised area (meaning that few individuals would be exposed). </w:t>
      </w:r>
    </w:p>
    <w:p w14:paraId="1F05C1BB" w14:textId="6A79B458" w:rsidR="00EE6FC7" w:rsidRDefault="000077FF" w:rsidP="00FB5FB2">
      <w:pPr>
        <w:pStyle w:val="Heading3"/>
      </w:pPr>
      <w:bookmarkStart w:id="533" w:name="_Toc477947899"/>
      <w:bookmarkStart w:id="534" w:name="_Toc479764092"/>
      <w:bookmarkStart w:id="535" w:name="_Toc375214635"/>
      <w:r>
        <w:t xml:space="preserve">Control Measures &amp; </w:t>
      </w:r>
      <w:r w:rsidR="00FB5FB2">
        <w:t>Impact</w:t>
      </w:r>
      <w:r w:rsidR="00EE6FC7">
        <w:t xml:space="preserve"> </w:t>
      </w:r>
      <w:bookmarkEnd w:id="533"/>
      <w:bookmarkEnd w:id="534"/>
      <w:r>
        <w:t>Consequence</w:t>
      </w:r>
      <w:bookmarkEnd w:id="535"/>
    </w:p>
    <w:p w14:paraId="6C1C4FC3" w14:textId="0411D01E" w:rsidR="000077FF" w:rsidRDefault="000077FF" w:rsidP="000077FF">
      <w:pPr>
        <w:pStyle w:val="BodyText"/>
        <w:ind w:left="0"/>
        <w:rPr>
          <w:rFonts w:cs="Arial"/>
          <w:sz w:val="22"/>
          <w:szCs w:val="22"/>
        </w:rPr>
      </w:pPr>
      <w:r>
        <w:rPr>
          <w:rFonts w:cs="Arial"/>
          <w:sz w:val="22"/>
          <w:szCs w:val="22"/>
        </w:rPr>
        <w:t xml:space="preserve">The following control measures will be implemented to minimise the impacts of bilge water and deck drainage discharges: </w:t>
      </w:r>
    </w:p>
    <w:p w14:paraId="24072359" w14:textId="40E3E4B3" w:rsidR="000077FF" w:rsidRPr="000077FF" w:rsidRDefault="000077FF" w:rsidP="000077FF">
      <w:pPr>
        <w:pStyle w:val="ListParagraph0"/>
        <w:numPr>
          <w:ilvl w:val="0"/>
          <w:numId w:val="66"/>
        </w:numPr>
        <w:spacing w:after="240"/>
        <w:rPr>
          <w:rFonts w:cs="Arial"/>
          <w:sz w:val="22"/>
          <w:szCs w:val="22"/>
        </w:rPr>
      </w:pPr>
      <w:r w:rsidRPr="000077FF">
        <w:rPr>
          <w:rFonts w:cs="Arial"/>
          <w:sz w:val="22"/>
          <w:szCs w:val="22"/>
        </w:rPr>
        <w:t>For vessels greater than 400 gross tonnes, all bilge water passes through a MARPOL-compliant OWS set to limit OIW to &lt;15 ppm prior to overboard discharge.</w:t>
      </w:r>
    </w:p>
    <w:p w14:paraId="53A8C8C5" w14:textId="0D2B1173" w:rsidR="000077FF" w:rsidRPr="000077FF" w:rsidRDefault="000077FF" w:rsidP="000077FF">
      <w:pPr>
        <w:pStyle w:val="ListParagraph0"/>
        <w:numPr>
          <w:ilvl w:val="0"/>
          <w:numId w:val="66"/>
        </w:numPr>
        <w:spacing w:after="240"/>
        <w:rPr>
          <w:rFonts w:cs="Arial"/>
          <w:sz w:val="22"/>
          <w:szCs w:val="22"/>
        </w:rPr>
      </w:pPr>
      <w:r w:rsidRPr="000077FF">
        <w:rPr>
          <w:rFonts w:cs="Arial"/>
          <w:sz w:val="22"/>
          <w:szCs w:val="22"/>
        </w:rPr>
        <w:t xml:space="preserve">The OWS is maintained in accordance with the vessel PMS.  </w:t>
      </w:r>
    </w:p>
    <w:p w14:paraId="6A779BCD" w14:textId="09A0EE0E" w:rsidR="000077FF" w:rsidRPr="000077FF" w:rsidRDefault="000077FF" w:rsidP="000077FF">
      <w:pPr>
        <w:pStyle w:val="ListParagraph0"/>
        <w:numPr>
          <w:ilvl w:val="0"/>
          <w:numId w:val="66"/>
        </w:numPr>
        <w:spacing w:after="240"/>
        <w:rPr>
          <w:rFonts w:cs="Arial"/>
          <w:sz w:val="22"/>
          <w:szCs w:val="22"/>
        </w:rPr>
      </w:pPr>
      <w:r w:rsidRPr="000077FF">
        <w:rPr>
          <w:rFonts w:cs="Arial"/>
          <w:sz w:val="22"/>
          <w:szCs w:val="22"/>
        </w:rPr>
        <w:t>The OWS is calibrated in accordance with the PMS to ensure the 15 ppm OIW limit is met.</w:t>
      </w:r>
    </w:p>
    <w:p w14:paraId="5BF564B5" w14:textId="7025559C" w:rsidR="000077FF" w:rsidRPr="000077FF" w:rsidRDefault="000077FF" w:rsidP="000077FF">
      <w:pPr>
        <w:pStyle w:val="ListParagraph0"/>
        <w:numPr>
          <w:ilvl w:val="0"/>
          <w:numId w:val="66"/>
        </w:numPr>
        <w:spacing w:after="240"/>
        <w:rPr>
          <w:rFonts w:cs="Arial"/>
          <w:sz w:val="22"/>
          <w:szCs w:val="22"/>
        </w:rPr>
      </w:pPr>
      <w:r w:rsidRPr="000077FF">
        <w:rPr>
          <w:rFonts w:cs="Arial"/>
          <w:sz w:val="22"/>
          <w:szCs w:val="22"/>
        </w:rPr>
        <w:t>The residual oil from the OWS is pumped to tanks and disposed of onshore.</w:t>
      </w:r>
    </w:p>
    <w:p w14:paraId="20B6E523" w14:textId="23813E2B" w:rsidR="000077FF" w:rsidRPr="000077FF" w:rsidRDefault="000077FF" w:rsidP="000077FF">
      <w:pPr>
        <w:pStyle w:val="ListParagraph0"/>
        <w:numPr>
          <w:ilvl w:val="0"/>
          <w:numId w:val="66"/>
        </w:numPr>
        <w:spacing w:after="240"/>
        <w:rPr>
          <w:rFonts w:cs="Arial"/>
          <w:sz w:val="22"/>
          <w:szCs w:val="22"/>
        </w:rPr>
      </w:pPr>
      <w:r w:rsidRPr="000077FF">
        <w:rPr>
          <w:rFonts w:cs="Arial"/>
          <w:sz w:val="22"/>
          <w:szCs w:val="22"/>
        </w:rPr>
        <w:t>Deck cleaning detergents are biodegradable.</w:t>
      </w:r>
    </w:p>
    <w:p w14:paraId="5BE4FC8D" w14:textId="7AB99D89" w:rsidR="000077FF" w:rsidRPr="000077FF" w:rsidRDefault="000077FF" w:rsidP="000077FF">
      <w:pPr>
        <w:pStyle w:val="ListParagraph0"/>
        <w:numPr>
          <w:ilvl w:val="0"/>
          <w:numId w:val="66"/>
        </w:numPr>
        <w:spacing w:after="240"/>
        <w:rPr>
          <w:rFonts w:cs="Arial"/>
          <w:sz w:val="22"/>
          <w:szCs w:val="22"/>
        </w:rPr>
      </w:pPr>
      <w:r w:rsidRPr="000077FF">
        <w:rPr>
          <w:rFonts w:cs="Arial"/>
          <w:sz w:val="22"/>
          <w:szCs w:val="22"/>
        </w:rPr>
        <w:t>Hydrocarbon and chemical storage areas (process areas) are bunded and drain to the bilge tank (or equivalent).</w:t>
      </w:r>
    </w:p>
    <w:p w14:paraId="1CF51B7D" w14:textId="022C3965" w:rsidR="000077FF" w:rsidRPr="000077FF" w:rsidRDefault="000077FF" w:rsidP="000077FF">
      <w:pPr>
        <w:pStyle w:val="ListParagraph0"/>
        <w:numPr>
          <w:ilvl w:val="0"/>
          <w:numId w:val="66"/>
        </w:numPr>
        <w:spacing w:after="240"/>
        <w:rPr>
          <w:rFonts w:cs="Arial"/>
          <w:sz w:val="22"/>
          <w:szCs w:val="22"/>
        </w:rPr>
      </w:pPr>
      <w:r w:rsidRPr="000077FF">
        <w:rPr>
          <w:rFonts w:cs="Arial"/>
          <w:sz w:val="22"/>
          <w:szCs w:val="22"/>
        </w:rPr>
        <w:t>Portable bunds and/or drip trays are used to collect spills or leaks from equipment that is not contained within a permanently bunded area (non-process areas).</w:t>
      </w:r>
    </w:p>
    <w:p w14:paraId="519A13DF" w14:textId="1EF92842" w:rsidR="000077FF" w:rsidRPr="000077FF" w:rsidRDefault="000077FF" w:rsidP="000077FF">
      <w:pPr>
        <w:pStyle w:val="ListParagraph0"/>
        <w:numPr>
          <w:ilvl w:val="0"/>
          <w:numId w:val="66"/>
        </w:numPr>
        <w:spacing w:after="240"/>
        <w:rPr>
          <w:rFonts w:cs="Arial"/>
          <w:sz w:val="22"/>
          <w:szCs w:val="22"/>
        </w:rPr>
      </w:pPr>
      <w:r w:rsidRPr="000077FF">
        <w:rPr>
          <w:rFonts w:cs="Arial"/>
          <w:sz w:val="22"/>
          <w:szCs w:val="22"/>
        </w:rPr>
        <w:t>The cable deck, cable storage and under-streamer reel areas are contained within a bund area (or bunded deck).</w:t>
      </w:r>
    </w:p>
    <w:p w14:paraId="59AC5D20" w14:textId="447D6FF6" w:rsidR="000077FF" w:rsidRPr="000077FF" w:rsidRDefault="000077FF" w:rsidP="000077FF">
      <w:pPr>
        <w:pStyle w:val="ListParagraph0"/>
        <w:numPr>
          <w:ilvl w:val="0"/>
          <w:numId w:val="66"/>
        </w:numPr>
        <w:spacing w:after="240"/>
        <w:rPr>
          <w:rFonts w:cs="Arial"/>
          <w:sz w:val="22"/>
          <w:szCs w:val="22"/>
        </w:rPr>
      </w:pPr>
      <w:r w:rsidRPr="000077FF">
        <w:rPr>
          <w:rFonts w:cs="Arial"/>
          <w:sz w:val="22"/>
          <w:szCs w:val="22"/>
        </w:rPr>
        <w:t>Bunds (or drip trays) are to be emptied into a holding tank where the cable oil can be stored for re-use or appropriate disposal.</w:t>
      </w:r>
    </w:p>
    <w:p w14:paraId="0CF89FFC" w14:textId="391E323B" w:rsidR="000077FF" w:rsidRPr="000077FF" w:rsidRDefault="000077FF" w:rsidP="000077FF">
      <w:pPr>
        <w:pStyle w:val="ListParagraph0"/>
        <w:numPr>
          <w:ilvl w:val="0"/>
          <w:numId w:val="66"/>
        </w:numPr>
        <w:spacing w:after="240"/>
        <w:rPr>
          <w:rFonts w:cs="Arial"/>
          <w:sz w:val="22"/>
          <w:szCs w:val="22"/>
        </w:rPr>
      </w:pPr>
      <w:r w:rsidRPr="000077FF">
        <w:rPr>
          <w:rFonts w:cs="Arial"/>
          <w:sz w:val="22"/>
          <w:szCs w:val="22"/>
        </w:rPr>
        <w:t>Cable sections that are being drained, filled or flushed with cable oil are contained within the bunded area.</w:t>
      </w:r>
    </w:p>
    <w:p w14:paraId="550A78A1" w14:textId="0DC29939" w:rsidR="000077FF" w:rsidRPr="000077FF" w:rsidRDefault="000077FF" w:rsidP="000077FF">
      <w:pPr>
        <w:pStyle w:val="ListParagraph0"/>
        <w:numPr>
          <w:ilvl w:val="0"/>
          <w:numId w:val="66"/>
        </w:numPr>
        <w:spacing w:after="240"/>
        <w:rPr>
          <w:rFonts w:cs="Arial"/>
          <w:sz w:val="22"/>
          <w:szCs w:val="22"/>
        </w:rPr>
      </w:pPr>
      <w:r w:rsidRPr="000077FF">
        <w:rPr>
          <w:rFonts w:cs="Arial"/>
          <w:sz w:val="22"/>
          <w:szCs w:val="22"/>
        </w:rPr>
        <w:t>Hoses and associated tools for pumping and filling cable sections will be kept in good operational condition and regularly checked for leaks.</w:t>
      </w:r>
    </w:p>
    <w:p w14:paraId="5B5DD718" w14:textId="04AEAA6B" w:rsidR="000077FF" w:rsidRPr="000077FF" w:rsidRDefault="000077FF" w:rsidP="000077FF">
      <w:pPr>
        <w:pStyle w:val="ListParagraph0"/>
        <w:numPr>
          <w:ilvl w:val="0"/>
          <w:numId w:val="66"/>
        </w:numPr>
        <w:spacing w:after="240"/>
        <w:rPr>
          <w:rFonts w:cs="Arial"/>
          <w:sz w:val="22"/>
          <w:szCs w:val="22"/>
        </w:rPr>
      </w:pPr>
      <w:r w:rsidRPr="000077FF">
        <w:rPr>
          <w:rFonts w:cs="Arial"/>
          <w:sz w:val="22"/>
          <w:szCs w:val="22"/>
        </w:rPr>
        <w:t xml:space="preserve">A cable oil filling procedure will be followed, or at a minimum ensure </w:t>
      </w:r>
      <w:r>
        <w:rPr>
          <w:rFonts w:cs="Arial"/>
          <w:sz w:val="22"/>
          <w:szCs w:val="22"/>
        </w:rPr>
        <w:t>a</w:t>
      </w:r>
      <w:r w:rsidRPr="000077FF">
        <w:rPr>
          <w:rFonts w:cs="Arial"/>
          <w:sz w:val="22"/>
          <w:szCs w:val="22"/>
        </w:rPr>
        <w:t>n operator is present at all times while cable oil is being pumped into a section, in order to ensure prompt shut down in the event of a spill.</w:t>
      </w:r>
    </w:p>
    <w:p w14:paraId="3A69CB11" w14:textId="07AFE396" w:rsidR="000077FF" w:rsidRDefault="000077FF" w:rsidP="000077FF">
      <w:pPr>
        <w:pStyle w:val="ListParagraph0"/>
        <w:numPr>
          <w:ilvl w:val="0"/>
          <w:numId w:val="66"/>
        </w:numPr>
        <w:spacing w:after="240"/>
        <w:rPr>
          <w:rFonts w:cs="Arial"/>
          <w:sz w:val="22"/>
          <w:szCs w:val="22"/>
        </w:rPr>
      </w:pPr>
      <w:r w:rsidRPr="000077FF">
        <w:rPr>
          <w:rFonts w:cs="Arial"/>
          <w:sz w:val="22"/>
          <w:szCs w:val="22"/>
        </w:rPr>
        <w:t>The vessel crew is competent in spill response and has appropriate response resources in order to prevent or minimise hydrocarbon or chemical spills discharging overboard.</w:t>
      </w:r>
    </w:p>
    <w:p w14:paraId="0F5C158A" w14:textId="4E3C7286" w:rsidR="000077FF" w:rsidRPr="000077FF" w:rsidRDefault="000077FF" w:rsidP="000077FF">
      <w:pPr>
        <w:pStyle w:val="ListParagraph0"/>
        <w:numPr>
          <w:ilvl w:val="0"/>
          <w:numId w:val="66"/>
        </w:numPr>
        <w:spacing w:after="240"/>
        <w:rPr>
          <w:rFonts w:cs="Arial"/>
          <w:sz w:val="22"/>
          <w:szCs w:val="22"/>
        </w:rPr>
      </w:pPr>
      <w:r w:rsidRPr="000077FF">
        <w:rPr>
          <w:rFonts w:cs="Arial"/>
          <w:sz w:val="22"/>
          <w:szCs w:val="22"/>
        </w:rPr>
        <w:t>Spill response kits (fully stocked) and scupper plugs or equivalent drainage control measures are readily available to the deck crew and used in the event of a spill to deck to prevent or minimise discharge overboard.</w:t>
      </w:r>
    </w:p>
    <w:p w14:paraId="79DD5A2E" w14:textId="3BD9915E" w:rsidR="000077FF" w:rsidRPr="000077FF" w:rsidRDefault="000077FF" w:rsidP="000077FF">
      <w:pPr>
        <w:pStyle w:val="ListParagraph0"/>
        <w:numPr>
          <w:ilvl w:val="0"/>
          <w:numId w:val="66"/>
        </w:numPr>
        <w:spacing w:after="240"/>
        <w:rPr>
          <w:rFonts w:cs="Arial"/>
          <w:sz w:val="22"/>
          <w:szCs w:val="22"/>
        </w:rPr>
      </w:pPr>
      <w:r w:rsidRPr="000077FF">
        <w:rPr>
          <w:rFonts w:cs="Arial"/>
          <w:sz w:val="22"/>
          <w:szCs w:val="22"/>
        </w:rPr>
        <w:t>The vessel-specific Shipboard Marine Pollution Emergency Plan (SMPEP) is implemented in the event of a large spill of hydrocarbons or chemicals overboard.</w:t>
      </w:r>
    </w:p>
    <w:p w14:paraId="1671F7F5" w14:textId="0306780C" w:rsidR="000077FF" w:rsidRDefault="009E4DC8" w:rsidP="000077FF">
      <w:pPr>
        <w:pStyle w:val="BodyText"/>
        <w:spacing w:after="240"/>
        <w:ind w:left="0"/>
        <w:rPr>
          <w:rFonts w:cs="Arial"/>
          <w:sz w:val="22"/>
          <w:szCs w:val="22"/>
        </w:rPr>
      </w:pPr>
      <w:r>
        <w:rPr>
          <w:rFonts w:cs="Arial"/>
          <w:sz w:val="22"/>
          <w:szCs w:val="22"/>
        </w:rPr>
        <w:t>T</w:t>
      </w:r>
      <w:r w:rsidR="000077FF">
        <w:rPr>
          <w:rFonts w:cs="Arial"/>
          <w:sz w:val="22"/>
          <w:szCs w:val="22"/>
        </w:rPr>
        <w:t xml:space="preserve">he residual (post-control) impact consequence </w:t>
      </w:r>
      <w:r>
        <w:rPr>
          <w:rFonts w:cs="Arial"/>
          <w:sz w:val="22"/>
          <w:szCs w:val="22"/>
        </w:rPr>
        <w:t>is rated as ‘insignificant</w:t>
      </w:r>
      <w:r w:rsidR="000077FF">
        <w:rPr>
          <w:rFonts w:cs="Arial"/>
          <w:sz w:val="22"/>
          <w:szCs w:val="22"/>
        </w:rPr>
        <w:t>.</w:t>
      </w:r>
      <w:r>
        <w:rPr>
          <w:rFonts w:cs="Arial"/>
          <w:sz w:val="22"/>
          <w:szCs w:val="22"/>
        </w:rPr>
        <w:t>’</w:t>
      </w:r>
    </w:p>
    <w:p w14:paraId="4FE55130" w14:textId="7004ECA0" w:rsidR="00B430B1" w:rsidRPr="00B03966" w:rsidRDefault="000077FF" w:rsidP="00B430B1">
      <w:pPr>
        <w:pStyle w:val="Heading2"/>
        <w:keepLines/>
        <w:numPr>
          <w:ilvl w:val="1"/>
          <w:numId w:val="1"/>
        </w:numPr>
        <w:tabs>
          <w:tab w:val="clear" w:pos="720"/>
        </w:tabs>
        <w:spacing w:before="400" w:after="200" w:line="240" w:lineRule="auto"/>
        <w:ind w:left="709" w:hanging="709"/>
        <w:rPr>
          <w:rFonts w:cs="Times New Roman"/>
          <w:iCs w:val="0"/>
          <w:color w:val="064EA8"/>
          <w:szCs w:val="26"/>
          <w:lang w:eastAsia="en-US"/>
        </w:rPr>
      </w:pPr>
      <w:bookmarkStart w:id="536" w:name="_Toc496019776"/>
      <w:bookmarkStart w:id="537" w:name="_Toc501230922"/>
      <w:bookmarkStart w:id="538" w:name="_Toc501312713"/>
      <w:bookmarkStart w:id="539" w:name="_Toc496019777"/>
      <w:bookmarkStart w:id="540" w:name="_Toc501230923"/>
      <w:bookmarkStart w:id="541" w:name="_Toc501312714"/>
      <w:bookmarkStart w:id="542" w:name="_Toc496019778"/>
      <w:bookmarkStart w:id="543" w:name="_Toc501230924"/>
      <w:bookmarkStart w:id="544" w:name="_Toc501312715"/>
      <w:bookmarkStart w:id="545" w:name="_Toc496019779"/>
      <w:bookmarkStart w:id="546" w:name="_Toc501230925"/>
      <w:bookmarkStart w:id="547" w:name="_Toc501312716"/>
      <w:bookmarkStart w:id="548" w:name="_Toc496019780"/>
      <w:bookmarkStart w:id="549" w:name="_Toc501230926"/>
      <w:bookmarkStart w:id="550" w:name="_Toc501312717"/>
      <w:bookmarkStart w:id="551" w:name="_Toc496019781"/>
      <w:bookmarkStart w:id="552" w:name="_Toc501230927"/>
      <w:bookmarkStart w:id="553" w:name="_Toc501312718"/>
      <w:bookmarkStart w:id="554" w:name="_Toc496019782"/>
      <w:bookmarkStart w:id="555" w:name="_Toc501230928"/>
      <w:bookmarkStart w:id="556" w:name="_Toc501312719"/>
      <w:bookmarkStart w:id="557" w:name="_Toc496019783"/>
      <w:bookmarkStart w:id="558" w:name="_Toc501230929"/>
      <w:bookmarkStart w:id="559" w:name="_Toc501312720"/>
      <w:bookmarkStart w:id="560" w:name="_Toc496019784"/>
      <w:bookmarkStart w:id="561" w:name="_Toc501230930"/>
      <w:bookmarkStart w:id="562" w:name="_Toc501312721"/>
      <w:bookmarkStart w:id="563" w:name="_Toc496019785"/>
      <w:bookmarkStart w:id="564" w:name="_Toc501230931"/>
      <w:bookmarkStart w:id="565" w:name="_Toc501312722"/>
      <w:bookmarkStart w:id="566" w:name="_Toc496019794"/>
      <w:bookmarkStart w:id="567" w:name="_Toc501230940"/>
      <w:bookmarkStart w:id="568" w:name="_Toc501312731"/>
      <w:bookmarkStart w:id="569" w:name="_Toc496019795"/>
      <w:bookmarkStart w:id="570" w:name="_Toc501230941"/>
      <w:bookmarkStart w:id="571" w:name="_Toc501312732"/>
      <w:bookmarkStart w:id="572" w:name="_Toc496019796"/>
      <w:bookmarkStart w:id="573" w:name="_Toc501230942"/>
      <w:bookmarkStart w:id="574" w:name="_Toc501312733"/>
      <w:bookmarkStart w:id="575" w:name="_Toc496019797"/>
      <w:bookmarkStart w:id="576" w:name="_Toc501230943"/>
      <w:bookmarkStart w:id="577" w:name="_Toc501312734"/>
      <w:bookmarkStart w:id="578" w:name="_Toc496019798"/>
      <w:bookmarkStart w:id="579" w:name="_Toc501230944"/>
      <w:bookmarkStart w:id="580" w:name="_Toc501312735"/>
      <w:bookmarkStart w:id="581" w:name="_Toc496019799"/>
      <w:bookmarkStart w:id="582" w:name="_Toc501230945"/>
      <w:bookmarkStart w:id="583" w:name="_Toc501312736"/>
      <w:bookmarkStart w:id="584" w:name="_Toc496019800"/>
      <w:bookmarkStart w:id="585" w:name="_Toc501230946"/>
      <w:bookmarkStart w:id="586" w:name="_Toc501312737"/>
      <w:bookmarkStart w:id="587" w:name="_Toc496019801"/>
      <w:bookmarkStart w:id="588" w:name="_Toc501230947"/>
      <w:bookmarkStart w:id="589" w:name="_Toc501312738"/>
      <w:bookmarkStart w:id="590" w:name="_Toc496019802"/>
      <w:bookmarkStart w:id="591" w:name="_Toc501230948"/>
      <w:bookmarkStart w:id="592" w:name="_Toc501312739"/>
      <w:bookmarkStart w:id="593" w:name="_Toc496019803"/>
      <w:bookmarkStart w:id="594" w:name="_Toc501230949"/>
      <w:bookmarkStart w:id="595" w:name="_Toc501312740"/>
      <w:bookmarkStart w:id="596" w:name="_Toc496019804"/>
      <w:bookmarkStart w:id="597" w:name="_Toc501230950"/>
      <w:bookmarkStart w:id="598" w:name="_Toc501312741"/>
      <w:bookmarkStart w:id="599" w:name="_Toc496019805"/>
      <w:bookmarkStart w:id="600" w:name="_Toc501230951"/>
      <w:bookmarkStart w:id="601" w:name="_Toc501312742"/>
      <w:bookmarkStart w:id="602" w:name="_Toc496019806"/>
      <w:bookmarkStart w:id="603" w:name="_Toc501230952"/>
      <w:bookmarkStart w:id="604" w:name="_Toc501312743"/>
      <w:bookmarkStart w:id="605" w:name="_Toc496019807"/>
      <w:bookmarkStart w:id="606" w:name="_Toc501230953"/>
      <w:bookmarkStart w:id="607" w:name="_Toc501312744"/>
      <w:bookmarkStart w:id="608" w:name="_Toc496019808"/>
      <w:bookmarkStart w:id="609" w:name="_Toc501230954"/>
      <w:bookmarkStart w:id="610" w:name="_Toc501312745"/>
      <w:bookmarkStart w:id="611" w:name="_Toc496019809"/>
      <w:bookmarkStart w:id="612" w:name="_Toc501230955"/>
      <w:bookmarkStart w:id="613" w:name="_Toc501312746"/>
      <w:bookmarkStart w:id="614" w:name="_Toc496019810"/>
      <w:bookmarkStart w:id="615" w:name="_Toc501230956"/>
      <w:bookmarkStart w:id="616" w:name="_Toc501312747"/>
      <w:bookmarkStart w:id="617" w:name="_Toc496019811"/>
      <w:bookmarkStart w:id="618" w:name="_Toc501230957"/>
      <w:bookmarkStart w:id="619" w:name="_Toc501312748"/>
      <w:bookmarkStart w:id="620" w:name="_Toc496019812"/>
      <w:bookmarkStart w:id="621" w:name="_Toc501230958"/>
      <w:bookmarkStart w:id="622" w:name="_Toc501312749"/>
      <w:bookmarkStart w:id="623" w:name="_Toc496019813"/>
      <w:bookmarkStart w:id="624" w:name="_Toc501230959"/>
      <w:bookmarkStart w:id="625" w:name="_Toc501312750"/>
      <w:bookmarkStart w:id="626" w:name="_Toc496019814"/>
      <w:bookmarkStart w:id="627" w:name="_Toc501230960"/>
      <w:bookmarkStart w:id="628" w:name="_Toc501312751"/>
      <w:bookmarkStart w:id="629" w:name="_Toc496019815"/>
      <w:bookmarkStart w:id="630" w:name="_Toc501230961"/>
      <w:bookmarkStart w:id="631" w:name="_Toc501312752"/>
      <w:bookmarkStart w:id="632" w:name="_Toc496019816"/>
      <w:bookmarkStart w:id="633" w:name="_Toc501230962"/>
      <w:bookmarkStart w:id="634" w:name="_Toc501312753"/>
      <w:bookmarkStart w:id="635" w:name="_Toc496019817"/>
      <w:bookmarkStart w:id="636" w:name="_Toc501230963"/>
      <w:bookmarkStart w:id="637" w:name="_Toc501312754"/>
      <w:bookmarkStart w:id="638" w:name="_Toc496019818"/>
      <w:bookmarkStart w:id="639" w:name="_Toc501230964"/>
      <w:bookmarkStart w:id="640" w:name="_Toc501312755"/>
      <w:bookmarkStart w:id="641" w:name="_Toc496019819"/>
      <w:bookmarkStart w:id="642" w:name="_Toc501230965"/>
      <w:bookmarkStart w:id="643" w:name="_Toc501312756"/>
      <w:bookmarkStart w:id="644" w:name="_Toc496019820"/>
      <w:bookmarkStart w:id="645" w:name="_Toc501230966"/>
      <w:bookmarkStart w:id="646" w:name="_Toc501312757"/>
      <w:bookmarkStart w:id="647" w:name="_Toc496019821"/>
      <w:bookmarkStart w:id="648" w:name="_Toc501230967"/>
      <w:bookmarkStart w:id="649" w:name="_Toc501312758"/>
      <w:bookmarkStart w:id="650" w:name="_Toc496019822"/>
      <w:bookmarkStart w:id="651" w:name="_Toc501230968"/>
      <w:bookmarkStart w:id="652" w:name="_Toc501312759"/>
      <w:bookmarkStart w:id="653" w:name="_Toc496019823"/>
      <w:bookmarkStart w:id="654" w:name="_Toc501230969"/>
      <w:bookmarkStart w:id="655" w:name="_Toc501312760"/>
      <w:bookmarkStart w:id="656" w:name="_Toc496019824"/>
      <w:bookmarkStart w:id="657" w:name="_Toc501230970"/>
      <w:bookmarkStart w:id="658" w:name="_Toc501312761"/>
      <w:bookmarkStart w:id="659" w:name="_Toc496019825"/>
      <w:bookmarkStart w:id="660" w:name="_Toc501230971"/>
      <w:bookmarkStart w:id="661" w:name="_Toc501312762"/>
      <w:bookmarkStart w:id="662" w:name="_Toc496019826"/>
      <w:bookmarkStart w:id="663" w:name="_Toc501230972"/>
      <w:bookmarkStart w:id="664" w:name="_Toc501312763"/>
      <w:bookmarkStart w:id="665" w:name="_Toc496019827"/>
      <w:bookmarkStart w:id="666" w:name="_Toc501230973"/>
      <w:bookmarkStart w:id="667" w:name="_Toc501312764"/>
      <w:bookmarkStart w:id="668" w:name="_Toc496019828"/>
      <w:bookmarkStart w:id="669" w:name="_Toc501230974"/>
      <w:bookmarkStart w:id="670" w:name="_Toc501312765"/>
      <w:bookmarkStart w:id="671" w:name="_Toc496019829"/>
      <w:bookmarkStart w:id="672" w:name="_Toc501230975"/>
      <w:bookmarkStart w:id="673" w:name="_Toc501312766"/>
      <w:bookmarkStart w:id="674" w:name="_Toc496019830"/>
      <w:bookmarkStart w:id="675" w:name="_Toc501230976"/>
      <w:bookmarkStart w:id="676" w:name="_Toc501312767"/>
      <w:bookmarkStart w:id="677" w:name="_Toc496019831"/>
      <w:bookmarkStart w:id="678" w:name="_Toc501230977"/>
      <w:bookmarkStart w:id="679" w:name="_Toc501312768"/>
      <w:bookmarkStart w:id="680" w:name="_Toc496019832"/>
      <w:bookmarkStart w:id="681" w:name="_Toc501230978"/>
      <w:bookmarkStart w:id="682" w:name="_Toc501312769"/>
      <w:bookmarkStart w:id="683" w:name="_Toc496019833"/>
      <w:bookmarkStart w:id="684" w:name="_Toc501230979"/>
      <w:bookmarkStart w:id="685" w:name="_Toc501312770"/>
      <w:bookmarkStart w:id="686" w:name="_Toc496019834"/>
      <w:bookmarkStart w:id="687" w:name="_Toc501230980"/>
      <w:bookmarkStart w:id="688" w:name="_Toc501312771"/>
      <w:bookmarkStart w:id="689" w:name="_Toc496019835"/>
      <w:bookmarkStart w:id="690" w:name="_Toc501230981"/>
      <w:bookmarkStart w:id="691" w:name="_Toc501312772"/>
      <w:bookmarkStart w:id="692" w:name="_Toc496019836"/>
      <w:bookmarkStart w:id="693" w:name="_Toc501230982"/>
      <w:bookmarkStart w:id="694" w:name="_Toc501312773"/>
      <w:bookmarkStart w:id="695" w:name="_Toc496019837"/>
      <w:bookmarkStart w:id="696" w:name="_Toc501230983"/>
      <w:bookmarkStart w:id="697" w:name="_Toc501312774"/>
      <w:bookmarkStart w:id="698" w:name="_Toc496019838"/>
      <w:bookmarkStart w:id="699" w:name="_Toc501230984"/>
      <w:bookmarkStart w:id="700" w:name="_Toc501312775"/>
      <w:bookmarkStart w:id="701" w:name="_Toc496019839"/>
      <w:bookmarkStart w:id="702" w:name="_Toc501230985"/>
      <w:bookmarkStart w:id="703" w:name="_Toc501312776"/>
      <w:bookmarkStart w:id="704" w:name="_Toc496019840"/>
      <w:bookmarkStart w:id="705" w:name="_Toc501230986"/>
      <w:bookmarkStart w:id="706" w:name="_Toc501312777"/>
      <w:bookmarkStart w:id="707" w:name="_Toc496019841"/>
      <w:bookmarkStart w:id="708" w:name="_Toc501230987"/>
      <w:bookmarkStart w:id="709" w:name="_Toc501312778"/>
      <w:bookmarkStart w:id="710" w:name="_Toc496019842"/>
      <w:bookmarkStart w:id="711" w:name="_Toc501230988"/>
      <w:bookmarkStart w:id="712" w:name="_Toc501312779"/>
      <w:bookmarkStart w:id="713" w:name="_Toc496019843"/>
      <w:bookmarkStart w:id="714" w:name="_Toc501230989"/>
      <w:bookmarkStart w:id="715" w:name="_Toc501312780"/>
      <w:bookmarkStart w:id="716" w:name="_Toc496019844"/>
      <w:bookmarkStart w:id="717" w:name="_Toc501230990"/>
      <w:bookmarkStart w:id="718" w:name="_Toc501312781"/>
      <w:bookmarkStart w:id="719" w:name="_Toc496019845"/>
      <w:bookmarkStart w:id="720" w:name="_Toc501230991"/>
      <w:bookmarkStart w:id="721" w:name="_Toc501312782"/>
      <w:bookmarkStart w:id="722" w:name="_Toc496019846"/>
      <w:bookmarkStart w:id="723" w:name="_Toc501230992"/>
      <w:bookmarkStart w:id="724" w:name="_Toc501312783"/>
      <w:bookmarkStart w:id="725" w:name="_Toc496019847"/>
      <w:bookmarkStart w:id="726" w:name="_Toc501230993"/>
      <w:bookmarkStart w:id="727" w:name="_Toc501312784"/>
      <w:bookmarkStart w:id="728" w:name="_Toc496019848"/>
      <w:bookmarkStart w:id="729" w:name="_Toc501230994"/>
      <w:bookmarkStart w:id="730" w:name="_Toc501312785"/>
      <w:bookmarkStart w:id="731" w:name="_Toc496019849"/>
      <w:bookmarkStart w:id="732" w:name="_Toc501230995"/>
      <w:bookmarkStart w:id="733" w:name="_Toc501312786"/>
      <w:bookmarkStart w:id="734" w:name="_Toc496019850"/>
      <w:bookmarkStart w:id="735" w:name="_Toc501230996"/>
      <w:bookmarkStart w:id="736" w:name="_Toc501312787"/>
      <w:bookmarkStart w:id="737" w:name="_Toc496019851"/>
      <w:bookmarkStart w:id="738" w:name="_Toc501230997"/>
      <w:bookmarkStart w:id="739" w:name="_Toc501312788"/>
      <w:bookmarkStart w:id="740" w:name="_Toc496019852"/>
      <w:bookmarkStart w:id="741" w:name="_Toc501230998"/>
      <w:bookmarkStart w:id="742" w:name="_Toc501312789"/>
      <w:bookmarkStart w:id="743" w:name="_Toc496019853"/>
      <w:bookmarkStart w:id="744" w:name="_Toc501230999"/>
      <w:bookmarkStart w:id="745" w:name="_Toc501312790"/>
      <w:bookmarkStart w:id="746" w:name="_Toc496019854"/>
      <w:bookmarkStart w:id="747" w:name="_Toc501231000"/>
      <w:bookmarkStart w:id="748" w:name="_Toc501312791"/>
      <w:bookmarkStart w:id="749" w:name="_Toc496019855"/>
      <w:bookmarkStart w:id="750" w:name="_Toc501231001"/>
      <w:bookmarkStart w:id="751" w:name="_Toc501312792"/>
      <w:bookmarkStart w:id="752" w:name="_Toc496019856"/>
      <w:bookmarkStart w:id="753" w:name="_Toc501231002"/>
      <w:bookmarkStart w:id="754" w:name="_Toc501312793"/>
      <w:bookmarkStart w:id="755" w:name="_Toc496019857"/>
      <w:bookmarkStart w:id="756" w:name="_Toc501231003"/>
      <w:bookmarkStart w:id="757" w:name="_Toc501312794"/>
      <w:bookmarkStart w:id="758" w:name="_Toc496019858"/>
      <w:bookmarkStart w:id="759" w:name="_Toc501231004"/>
      <w:bookmarkStart w:id="760" w:name="_Toc501312795"/>
      <w:bookmarkStart w:id="761" w:name="_Toc496019859"/>
      <w:bookmarkStart w:id="762" w:name="_Toc501231005"/>
      <w:bookmarkStart w:id="763" w:name="_Toc501312796"/>
      <w:bookmarkStart w:id="764" w:name="_Toc496019860"/>
      <w:bookmarkStart w:id="765" w:name="_Toc501231006"/>
      <w:bookmarkStart w:id="766" w:name="_Toc501312797"/>
      <w:bookmarkStart w:id="767" w:name="_Toc496019861"/>
      <w:bookmarkStart w:id="768" w:name="_Toc501231007"/>
      <w:bookmarkStart w:id="769" w:name="_Toc501312798"/>
      <w:bookmarkStart w:id="770" w:name="_Toc496019862"/>
      <w:bookmarkStart w:id="771" w:name="_Toc501231008"/>
      <w:bookmarkStart w:id="772" w:name="_Toc501312799"/>
      <w:bookmarkStart w:id="773" w:name="_Toc496019863"/>
      <w:bookmarkStart w:id="774" w:name="_Toc501231009"/>
      <w:bookmarkStart w:id="775" w:name="_Toc501312800"/>
      <w:bookmarkStart w:id="776" w:name="_Toc496019864"/>
      <w:bookmarkStart w:id="777" w:name="_Toc501231010"/>
      <w:bookmarkStart w:id="778" w:name="_Toc501312801"/>
      <w:bookmarkStart w:id="779" w:name="_Toc496019865"/>
      <w:bookmarkStart w:id="780" w:name="_Toc501231011"/>
      <w:bookmarkStart w:id="781" w:name="_Toc501312802"/>
      <w:bookmarkStart w:id="782" w:name="_Toc496019866"/>
      <w:bookmarkStart w:id="783" w:name="_Toc501231012"/>
      <w:bookmarkStart w:id="784" w:name="_Toc501312803"/>
      <w:bookmarkStart w:id="785" w:name="_Toc496019867"/>
      <w:bookmarkStart w:id="786" w:name="_Toc501231013"/>
      <w:bookmarkStart w:id="787" w:name="_Toc501312804"/>
      <w:bookmarkStart w:id="788" w:name="_Toc496019868"/>
      <w:bookmarkStart w:id="789" w:name="_Toc501231014"/>
      <w:bookmarkStart w:id="790" w:name="_Toc501312805"/>
      <w:bookmarkStart w:id="791" w:name="_Toc496019869"/>
      <w:bookmarkStart w:id="792" w:name="_Toc501231015"/>
      <w:bookmarkStart w:id="793" w:name="_Toc501312806"/>
      <w:bookmarkStart w:id="794" w:name="_Toc496019870"/>
      <w:bookmarkStart w:id="795" w:name="_Toc501231016"/>
      <w:bookmarkStart w:id="796" w:name="_Toc501312807"/>
      <w:bookmarkStart w:id="797" w:name="_Toc496019871"/>
      <w:bookmarkStart w:id="798" w:name="_Toc501231017"/>
      <w:bookmarkStart w:id="799" w:name="_Toc501312808"/>
      <w:bookmarkStart w:id="800" w:name="_Toc496019872"/>
      <w:bookmarkStart w:id="801" w:name="_Toc501231018"/>
      <w:bookmarkStart w:id="802" w:name="_Toc501312809"/>
      <w:bookmarkStart w:id="803" w:name="_Toc496019873"/>
      <w:bookmarkStart w:id="804" w:name="_Toc501231019"/>
      <w:bookmarkStart w:id="805" w:name="_Toc501312810"/>
      <w:bookmarkStart w:id="806" w:name="_Toc496019874"/>
      <w:bookmarkStart w:id="807" w:name="_Toc501231020"/>
      <w:bookmarkStart w:id="808" w:name="_Toc501312811"/>
      <w:bookmarkStart w:id="809" w:name="_Toc496019875"/>
      <w:bookmarkStart w:id="810" w:name="_Toc501231021"/>
      <w:bookmarkStart w:id="811" w:name="_Toc501312812"/>
      <w:bookmarkStart w:id="812" w:name="_Toc496019876"/>
      <w:bookmarkStart w:id="813" w:name="_Toc501231022"/>
      <w:bookmarkStart w:id="814" w:name="_Toc501312813"/>
      <w:bookmarkStart w:id="815" w:name="_Toc496019877"/>
      <w:bookmarkStart w:id="816" w:name="_Toc501231023"/>
      <w:bookmarkStart w:id="817" w:name="_Toc501312814"/>
      <w:bookmarkStart w:id="818" w:name="_Toc496019878"/>
      <w:bookmarkStart w:id="819" w:name="_Toc501231024"/>
      <w:bookmarkStart w:id="820" w:name="_Toc501312815"/>
      <w:bookmarkStart w:id="821" w:name="_Toc496019879"/>
      <w:bookmarkStart w:id="822" w:name="_Toc501231025"/>
      <w:bookmarkStart w:id="823" w:name="_Toc501312816"/>
      <w:bookmarkStart w:id="824" w:name="_Toc496019880"/>
      <w:bookmarkStart w:id="825" w:name="_Toc501231026"/>
      <w:bookmarkStart w:id="826" w:name="_Toc501312817"/>
      <w:bookmarkStart w:id="827" w:name="_Toc496019881"/>
      <w:bookmarkStart w:id="828" w:name="_Toc501231027"/>
      <w:bookmarkStart w:id="829" w:name="_Toc501312818"/>
      <w:bookmarkStart w:id="830" w:name="_Toc496019882"/>
      <w:bookmarkStart w:id="831" w:name="_Toc501231028"/>
      <w:bookmarkStart w:id="832" w:name="_Toc501312819"/>
      <w:bookmarkStart w:id="833" w:name="_Toc496019883"/>
      <w:bookmarkStart w:id="834" w:name="_Toc501231029"/>
      <w:bookmarkStart w:id="835" w:name="_Toc501312820"/>
      <w:bookmarkStart w:id="836" w:name="_Toc496019884"/>
      <w:bookmarkStart w:id="837" w:name="_Toc501231030"/>
      <w:bookmarkStart w:id="838" w:name="_Toc501312821"/>
      <w:bookmarkStart w:id="839" w:name="_Toc496019885"/>
      <w:bookmarkStart w:id="840" w:name="_Toc501231031"/>
      <w:bookmarkStart w:id="841" w:name="_Toc501312822"/>
      <w:bookmarkStart w:id="842" w:name="_Toc496019886"/>
      <w:bookmarkStart w:id="843" w:name="_Toc501231032"/>
      <w:bookmarkStart w:id="844" w:name="_Toc501312823"/>
      <w:bookmarkStart w:id="845" w:name="_Toc496019887"/>
      <w:bookmarkStart w:id="846" w:name="_Toc501231033"/>
      <w:bookmarkStart w:id="847" w:name="_Toc501312824"/>
      <w:bookmarkStart w:id="848" w:name="_Toc496019888"/>
      <w:bookmarkStart w:id="849" w:name="_Toc501231034"/>
      <w:bookmarkStart w:id="850" w:name="_Toc501312825"/>
      <w:bookmarkStart w:id="851" w:name="_Toc496019889"/>
      <w:bookmarkStart w:id="852" w:name="_Toc501231035"/>
      <w:bookmarkStart w:id="853" w:name="_Toc501312826"/>
      <w:bookmarkStart w:id="854" w:name="_Toc496019890"/>
      <w:bookmarkStart w:id="855" w:name="_Toc501231036"/>
      <w:bookmarkStart w:id="856" w:name="_Toc501312827"/>
      <w:bookmarkStart w:id="857" w:name="_Toc496019891"/>
      <w:bookmarkStart w:id="858" w:name="_Toc501231037"/>
      <w:bookmarkStart w:id="859" w:name="_Toc501312828"/>
      <w:bookmarkStart w:id="860" w:name="_Toc496019892"/>
      <w:bookmarkStart w:id="861" w:name="_Toc501231038"/>
      <w:bookmarkStart w:id="862" w:name="_Toc501312829"/>
      <w:bookmarkStart w:id="863" w:name="_Toc496019893"/>
      <w:bookmarkStart w:id="864" w:name="_Toc501231039"/>
      <w:bookmarkStart w:id="865" w:name="_Toc501312830"/>
      <w:bookmarkStart w:id="866" w:name="_Toc496019894"/>
      <w:bookmarkStart w:id="867" w:name="_Toc501231040"/>
      <w:bookmarkStart w:id="868" w:name="_Toc501312831"/>
      <w:bookmarkStart w:id="869" w:name="_Toc496019895"/>
      <w:bookmarkStart w:id="870" w:name="_Toc501231041"/>
      <w:bookmarkStart w:id="871" w:name="_Toc501312832"/>
      <w:bookmarkStart w:id="872" w:name="_Toc496019896"/>
      <w:bookmarkStart w:id="873" w:name="_Toc501231042"/>
      <w:bookmarkStart w:id="874" w:name="_Toc501312833"/>
      <w:bookmarkStart w:id="875" w:name="_Toc496019897"/>
      <w:bookmarkStart w:id="876" w:name="_Toc501231043"/>
      <w:bookmarkStart w:id="877" w:name="_Toc501312834"/>
      <w:bookmarkStart w:id="878" w:name="_Toc496019898"/>
      <w:bookmarkStart w:id="879" w:name="_Toc501231044"/>
      <w:bookmarkStart w:id="880" w:name="_Toc501312835"/>
      <w:bookmarkStart w:id="881" w:name="_Toc496019899"/>
      <w:bookmarkStart w:id="882" w:name="_Toc501231045"/>
      <w:bookmarkStart w:id="883" w:name="_Toc501312836"/>
      <w:bookmarkStart w:id="884" w:name="_Toc496019900"/>
      <w:bookmarkStart w:id="885" w:name="_Toc501231046"/>
      <w:bookmarkStart w:id="886" w:name="_Toc501312837"/>
      <w:bookmarkStart w:id="887" w:name="_Toc496019901"/>
      <w:bookmarkStart w:id="888" w:name="_Toc501231047"/>
      <w:bookmarkStart w:id="889" w:name="_Toc501312838"/>
      <w:bookmarkStart w:id="890" w:name="_Toc496019902"/>
      <w:bookmarkStart w:id="891" w:name="_Toc501231048"/>
      <w:bookmarkStart w:id="892" w:name="_Toc501312839"/>
      <w:bookmarkStart w:id="893" w:name="_Toc496019903"/>
      <w:bookmarkStart w:id="894" w:name="_Toc501231049"/>
      <w:bookmarkStart w:id="895" w:name="_Toc501312840"/>
      <w:bookmarkStart w:id="896" w:name="_Toc496019904"/>
      <w:bookmarkStart w:id="897" w:name="_Toc501231050"/>
      <w:bookmarkStart w:id="898" w:name="_Toc501312841"/>
      <w:bookmarkStart w:id="899" w:name="_Toc496019905"/>
      <w:bookmarkStart w:id="900" w:name="_Toc501231051"/>
      <w:bookmarkStart w:id="901" w:name="_Toc501312842"/>
      <w:bookmarkStart w:id="902" w:name="_Toc496019906"/>
      <w:bookmarkStart w:id="903" w:name="_Toc501231052"/>
      <w:bookmarkStart w:id="904" w:name="_Toc501312843"/>
      <w:bookmarkStart w:id="905" w:name="_Toc496019907"/>
      <w:bookmarkStart w:id="906" w:name="_Toc501231053"/>
      <w:bookmarkStart w:id="907" w:name="_Toc501312844"/>
      <w:bookmarkStart w:id="908" w:name="_Toc496019908"/>
      <w:bookmarkStart w:id="909" w:name="_Toc501231054"/>
      <w:bookmarkStart w:id="910" w:name="_Toc501312845"/>
      <w:bookmarkStart w:id="911" w:name="_Toc496019909"/>
      <w:bookmarkStart w:id="912" w:name="_Toc501231055"/>
      <w:bookmarkStart w:id="913" w:name="_Toc501312846"/>
      <w:bookmarkStart w:id="914" w:name="_Toc496019910"/>
      <w:bookmarkStart w:id="915" w:name="_Toc501231056"/>
      <w:bookmarkStart w:id="916" w:name="_Toc501312847"/>
      <w:bookmarkStart w:id="917" w:name="_Toc496019911"/>
      <w:bookmarkStart w:id="918" w:name="_Toc501231057"/>
      <w:bookmarkStart w:id="919" w:name="_Toc501312848"/>
      <w:bookmarkStart w:id="920" w:name="_Toc496019912"/>
      <w:bookmarkStart w:id="921" w:name="_Toc501231058"/>
      <w:bookmarkStart w:id="922" w:name="_Toc501312849"/>
      <w:bookmarkStart w:id="923" w:name="_Toc496019913"/>
      <w:bookmarkStart w:id="924" w:name="_Toc501231059"/>
      <w:bookmarkStart w:id="925" w:name="_Toc501312850"/>
      <w:bookmarkStart w:id="926" w:name="_Toc496019914"/>
      <w:bookmarkStart w:id="927" w:name="_Toc501231060"/>
      <w:bookmarkStart w:id="928" w:name="_Toc501312851"/>
      <w:bookmarkStart w:id="929" w:name="_Toc496019915"/>
      <w:bookmarkStart w:id="930" w:name="_Toc501231061"/>
      <w:bookmarkStart w:id="931" w:name="_Toc501312852"/>
      <w:bookmarkStart w:id="932" w:name="_Toc496019916"/>
      <w:bookmarkStart w:id="933" w:name="_Toc501231062"/>
      <w:bookmarkStart w:id="934" w:name="_Toc501312853"/>
      <w:bookmarkStart w:id="935" w:name="_Toc496019917"/>
      <w:bookmarkStart w:id="936" w:name="_Toc501231063"/>
      <w:bookmarkStart w:id="937" w:name="_Toc501312854"/>
      <w:bookmarkStart w:id="938" w:name="_Toc496019918"/>
      <w:bookmarkStart w:id="939" w:name="_Toc501231064"/>
      <w:bookmarkStart w:id="940" w:name="_Toc501312855"/>
      <w:bookmarkStart w:id="941" w:name="_Toc496019919"/>
      <w:bookmarkStart w:id="942" w:name="_Toc501231065"/>
      <w:bookmarkStart w:id="943" w:name="_Toc501312856"/>
      <w:bookmarkStart w:id="944" w:name="_Toc496019920"/>
      <w:bookmarkStart w:id="945" w:name="_Toc501231066"/>
      <w:bookmarkStart w:id="946" w:name="_Toc501312857"/>
      <w:bookmarkStart w:id="947" w:name="_Toc496019921"/>
      <w:bookmarkStart w:id="948" w:name="_Toc501231067"/>
      <w:bookmarkStart w:id="949" w:name="_Toc501312858"/>
      <w:bookmarkStart w:id="950" w:name="_Toc496019922"/>
      <w:bookmarkStart w:id="951" w:name="_Toc501231068"/>
      <w:bookmarkStart w:id="952" w:name="_Toc501312859"/>
      <w:bookmarkStart w:id="953" w:name="_Toc496019923"/>
      <w:bookmarkStart w:id="954" w:name="_Toc501231069"/>
      <w:bookmarkStart w:id="955" w:name="_Toc501312860"/>
      <w:bookmarkStart w:id="956" w:name="_Toc496019924"/>
      <w:bookmarkStart w:id="957" w:name="_Toc501231070"/>
      <w:bookmarkStart w:id="958" w:name="_Toc501312861"/>
      <w:bookmarkStart w:id="959" w:name="_Toc496019925"/>
      <w:bookmarkStart w:id="960" w:name="_Toc501231071"/>
      <w:bookmarkStart w:id="961" w:name="_Toc501312862"/>
      <w:bookmarkStart w:id="962" w:name="_Toc496019926"/>
      <w:bookmarkStart w:id="963" w:name="_Toc501231072"/>
      <w:bookmarkStart w:id="964" w:name="_Toc501312863"/>
      <w:bookmarkStart w:id="965" w:name="_Toc496019927"/>
      <w:bookmarkStart w:id="966" w:name="_Toc501231073"/>
      <w:bookmarkStart w:id="967" w:name="_Toc501312864"/>
      <w:bookmarkStart w:id="968" w:name="_Toc496019928"/>
      <w:bookmarkStart w:id="969" w:name="_Toc501231074"/>
      <w:bookmarkStart w:id="970" w:name="_Toc501312865"/>
      <w:bookmarkStart w:id="971" w:name="_Toc496019929"/>
      <w:bookmarkStart w:id="972" w:name="_Toc501231075"/>
      <w:bookmarkStart w:id="973" w:name="_Toc501312866"/>
      <w:bookmarkStart w:id="974" w:name="_Toc496019930"/>
      <w:bookmarkStart w:id="975" w:name="_Toc501231076"/>
      <w:bookmarkStart w:id="976" w:name="_Toc501312867"/>
      <w:bookmarkStart w:id="977" w:name="_Toc496019931"/>
      <w:bookmarkStart w:id="978" w:name="_Toc501231077"/>
      <w:bookmarkStart w:id="979" w:name="_Toc501312868"/>
      <w:bookmarkStart w:id="980" w:name="_Toc496019932"/>
      <w:bookmarkStart w:id="981" w:name="_Toc501231078"/>
      <w:bookmarkStart w:id="982" w:name="_Toc501312869"/>
      <w:bookmarkStart w:id="983" w:name="_Toc496019933"/>
      <w:bookmarkStart w:id="984" w:name="_Toc501231079"/>
      <w:bookmarkStart w:id="985" w:name="_Toc501312870"/>
      <w:bookmarkStart w:id="986" w:name="_Toc496019934"/>
      <w:bookmarkStart w:id="987" w:name="_Toc501231080"/>
      <w:bookmarkStart w:id="988" w:name="_Toc501312871"/>
      <w:bookmarkStart w:id="989" w:name="_Toc496019935"/>
      <w:bookmarkStart w:id="990" w:name="_Toc501231081"/>
      <w:bookmarkStart w:id="991" w:name="_Toc501312872"/>
      <w:bookmarkStart w:id="992" w:name="_Toc496019936"/>
      <w:bookmarkStart w:id="993" w:name="_Toc501231082"/>
      <w:bookmarkStart w:id="994" w:name="_Toc501312873"/>
      <w:bookmarkStart w:id="995" w:name="_Toc496019937"/>
      <w:bookmarkStart w:id="996" w:name="_Toc501231083"/>
      <w:bookmarkStart w:id="997" w:name="_Toc501312874"/>
      <w:bookmarkStart w:id="998" w:name="_Toc496019938"/>
      <w:bookmarkStart w:id="999" w:name="_Toc501231084"/>
      <w:bookmarkStart w:id="1000" w:name="_Toc501312875"/>
      <w:bookmarkStart w:id="1001" w:name="_Toc496019939"/>
      <w:bookmarkStart w:id="1002" w:name="_Toc501231085"/>
      <w:bookmarkStart w:id="1003" w:name="_Toc501312876"/>
      <w:bookmarkStart w:id="1004" w:name="_Toc496019940"/>
      <w:bookmarkStart w:id="1005" w:name="_Toc501231086"/>
      <w:bookmarkStart w:id="1006" w:name="_Toc501312877"/>
      <w:bookmarkStart w:id="1007" w:name="_Toc496019941"/>
      <w:bookmarkStart w:id="1008" w:name="_Toc501231087"/>
      <w:bookmarkStart w:id="1009" w:name="_Toc501312878"/>
      <w:bookmarkStart w:id="1010" w:name="_Toc496019942"/>
      <w:bookmarkStart w:id="1011" w:name="_Toc501231088"/>
      <w:bookmarkStart w:id="1012" w:name="_Toc501312879"/>
      <w:bookmarkStart w:id="1013" w:name="_Toc496019943"/>
      <w:bookmarkStart w:id="1014" w:name="_Toc501231089"/>
      <w:bookmarkStart w:id="1015" w:name="_Toc501312880"/>
      <w:bookmarkStart w:id="1016" w:name="_Toc496019944"/>
      <w:bookmarkStart w:id="1017" w:name="_Toc501231090"/>
      <w:bookmarkStart w:id="1018" w:name="_Toc501312881"/>
      <w:bookmarkStart w:id="1019" w:name="_Toc496019945"/>
      <w:bookmarkStart w:id="1020" w:name="_Toc501231091"/>
      <w:bookmarkStart w:id="1021" w:name="_Toc501312882"/>
      <w:bookmarkStart w:id="1022" w:name="_Toc496019946"/>
      <w:bookmarkStart w:id="1023" w:name="_Toc501231092"/>
      <w:bookmarkStart w:id="1024" w:name="_Toc501312883"/>
      <w:bookmarkStart w:id="1025" w:name="_Toc496019947"/>
      <w:bookmarkStart w:id="1026" w:name="_Toc501231093"/>
      <w:bookmarkStart w:id="1027" w:name="_Toc501312884"/>
      <w:bookmarkStart w:id="1028" w:name="_Toc496019948"/>
      <w:bookmarkStart w:id="1029" w:name="_Toc501231094"/>
      <w:bookmarkStart w:id="1030" w:name="_Toc501312885"/>
      <w:bookmarkStart w:id="1031" w:name="_Toc496019949"/>
      <w:bookmarkStart w:id="1032" w:name="_Toc501231095"/>
      <w:bookmarkStart w:id="1033" w:name="_Toc501312886"/>
      <w:bookmarkStart w:id="1034" w:name="_Toc496019950"/>
      <w:bookmarkStart w:id="1035" w:name="_Toc501231096"/>
      <w:bookmarkStart w:id="1036" w:name="_Toc501312887"/>
      <w:bookmarkStart w:id="1037" w:name="_Toc496019951"/>
      <w:bookmarkStart w:id="1038" w:name="_Toc501231097"/>
      <w:bookmarkStart w:id="1039" w:name="_Toc501312888"/>
      <w:bookmarkStart w:id="1040" w:name="_Toc496019952"/>
      <w:bookmarkStart w:id="1041" w:name="_Toc501231098"/>
      <w:bookmarkStart w:id="1042" w:name="_Toc501312889"/>
      <w:bookmarkStart w:id="1043" w:name="_Toc496019953"/>
      <w:bookmarkStart w:id="1044" w:name="_Toc501231099"/>
      <w:bookmarkStart w:id="1045" w:name="_Toc501312890"/>
      <w:bookmarkStart w:id="1046" w:name="_Toc496019954"/>
      <w:bookmarkStart w:id="1047" w:name="_Toc501231100"/>
      <w:bookmarkStart w:id="1048" w:name="_Toc501312891"/>
      <w:bookmarkStart w:id="1049" w:name="_Toc496019955"/>
      <w:bookmarkStart w:id="1050" w:name="_Toc501231101"/>
      <w:bookmarkStart w:id="1051" w:name="_Toc501312892"/>
      <w:bookmarkStart w:id="1052" w:name="_Toc496019956"/>
      <w:bookmarkStart w:id="1053" w:name="_Toc501231102"/>
      <w:bookmarkStart w:id="1054" w:name="_Toc501312893"/>
      <w:bookmarkStart w:id="1055" w:name="_Toc496019957"/>
      <w:bookmarkStart w:id="1056" w:name="_Toc501231103"/>
      <w:bookmarkStart w:id="1057" w:name="_Toc501312894"/>
      <w:bookmarkStart w:id="1058" w:name="_Toc496019958"/>
      <w:bookmarkStart w:id="1059" w:name="_Toc501231104"/>
      <w:bookmarkStart w:id="1060" w:name="_Toc501312895"/>
      <w:bookmarkStart w:id="1061" w:name="_Toc496019959"/>
      <w:bookmarkStart w:id="1062" w:name="_Toc501231105"/>
      <w:bookmarkStart w:id="1063" w:name="_Toc501312896"/>
      <w:bookmarkStart w:id="1064" w:name="_Toc496019960"/>
      <w:bookmarkStart w:id="1065" w:name="_Toc501231106"/>
      <w:bookmarkStart w:id="1066" w:name="_Toc501312897"/>
      <w:bookmarkStart w:id="1067" w:name="_Toc496019961"/>
      <w:bookmarkStart w:id="1068" w:name="_Toc501231107"/>
      <w:bookmarkStart w:id="1069" w:name="_Toc501312898"/>
      <w:bookmarkStart w:id="1070" w:name="_Toc496019962"/>
      <w:bookmarkStart w:id="1071" w:name="_Toc501231108"/>
      <w:bookmarkStart w:id="1072" w:name="_Toc501312899"/>
      <w:bookmarkStart w:id="1073" w:name="_Toc496019963"/>
      <w:bookmarkStart w:id="1074" w:name="_Toc501231109"/>
      <w:bookmarkStart w:id="1075" w:name="_Toc501312900"/>
      <w:bookmarkStart w:id="1076" w:name="_Toc496019964"/>
      <w:bookmarkStart w:id="1077" w:name="_Toc501231110"/>
      <w:bookmarkStart w:id="1078" w:name="_Toc501312901"/>
      <w:bookmarkStart w:id="1079" w:name="_Toc496019965"/>
      <w:bookmarkStart w:id="1080" w:name="_Toc501231111"/>
      <w:bookmarkStart w:id="1081" w:name="_Toc501312902"/>
      <w:bookmarkStart w:id="1082" w:name="_Toc496019966"/>
      <w:bookmarkStart w:id="1083" w:name="_Toc501231112"/>
      <w:bookmarkStart w:id="1084" w:name="_Toc501312903"/>
      <w:bookmarkStart w:id="1085" w:name="_Toc496019967"/>
      <w:bookmarkStart w:id="1086" w:name="_Toc501231113"/>
      <w:bookmarkStart w:id="1087" w:name="_Toc501312904"/>
      <w:bookmarkStart w:id="1088" w:name="_Toc496019968"/>
      <w:bookmarkStart w:id="1089" w:name="_Toc501231114"/>
      <w:bookmarkStart w:id="1090" w:name="_Toc501312905"/>
      <w:bookmarkStart w:id="1091" w:name="_Toc496020002"/>
      <w:bookmarkStart w:id="1092" w:name="_Toc501231148"/>
      <w:bookmarkStart w:id="1093" w:name="_Toc501312939"/>
      <w:bookmarkStart w:id="1094" w:name="_Toc496020006"/>
      <w:bookmarkStart w:id="1095" w:name="_Toc501231152"/>
      <w:bookmarkStart w:id="1096" w:name="_Toc501312943"/>
      <w:bookmarkStart w:id="1097" w:name="_Toc496020010"/>
      <w:bookmarkStart w:id="1098" w:name="_Toc501231156"/>
      <w:bookmarkStart w:id="1099" w:name="_Toc501312947"/>
      <w:bookmarkStart w:id="1100" w:name="_Toc496020016"/>
      <w:bookmarkStart w:id="1101" w:name="_Toc501231162"/>
      <w:bookmarkStart w:id="1102" w:name="_Toc501312953"/>
      <w:bookmarkStart w:id="1103" w:name="_Toc496020020"/>
      <w:bookmarkStart w:id="1104" w:name="_Toc501231166"/>
      <w:bookmarkStart w:id="1105" w:name="_Toc501312957"/>
      <w:bookmarkStart w:id="1106" w:name="_Toc496020036"/>
      <w:bookmarkStart w:id="1107" w:name="_Toc501231182"/>
      <w:bookmarkStart w:id="1108" w:name="_Toc501312973"/>
      <w:bookmarkStart w:id="1109" w:name="_Toc496020150"/>
      <w:bookmarkStart w:id="1110" w:name="_Toc501231296"/>
      <w:bookmarkStart w:id="1111" w:name="_Toc501313087"/>
      <w:bookmarkStart w:id="1112" w:name="_Toc496020154"/>
      <w:bookmarkStart w:id="1113" w:name="_Toc501231300"/>
      <w:bookmarkStart w:id="1114" w:name="_Toc501313091"/>
      <w:bookmarkStart w:id="1115" w:name="_Toc496020159"/>
      <w:bookmarkStart w:id="1116" w:name="_Toc501231305"/>
      <w:bookmarkStart w:id="1117" w:name="_Toc501313096"/>
      <w:bookmarkStart w:id="1118" w:name="_Toc496020166"/>
      <w:bookmarkStart w:id="1119" w:name="_Toc501231312"/>
      <w:bookmarkStart w:id="1120" w:name="_Toc501313103"/>
      <w:bookmarkStart w:id="1121" w:name="_Toc496020174"/>
      <w:bookmarkStart w:id="1122" w:name="_Toc501231320"/>
      <w:bookmarkStart w:id="1123" w:name="_Toc501313111"/>
      <w:bookmarkStart w:id="1124" w:name="_Toc496020178"/>
      <w:bookmarkStart w:id="1125" w:name="_Toc501231324"/>
      <w:bookmarkStart w:id="1126" w:name="_Toc501313115"/>
      <w:bookmarkStart w:id="1127" w:name="_Toc496020188"/>
      <w:bookmarkStart w:id="1128" w:name="_Toc501231334"/>
      <w:bookmarkStart w:id="1129" w:name="_Toc501313125"/>
      <w:bookmarkStart w:id="1130" w:name="_Toc496020209"/>
      <w:bookmarkStart w:id="1131" w:name="_Toc501231355"/>
      <w:bookmarkStart w:id="1132" w:name="_Toc501313146"/>
      <w:bookmarkStart w:id="1133" w:name="_Toc375214636"/>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r>
        <w:rPr>
          <w:rFonts w:cs="Times New Roman"/>
          <w:iCs w:val="0"/>
          <w:color w:val="064EA8"/>
          <w:szCs w:val="26"/>
          <w:lang w:eastAsia="en-US"/>
        </w:rPr>
        <w:lastRenderedPageBreak/>
        <w:t>R</w:t>
      </w:r>
      <w:r w:rsidR="00B430B1" w:rsidRPr="00B03966">
        <w:rPr>
          <w:rFonts w:cs="Times New Roman"/>
          <w:iCs w:val="0"/>
          <w:color w:val="064EA8"/>
          <w:szCs w:val="26"/>
          <w:lang w:eastAsia="en-US"/>
        </w:rPr>
        <w:t>ISK: Underwater Sound Interaction with Swimmers and Divers</w:t>
      </w:r>
      <w:bookmarkEnd w:id="1133"/>
    </w:p>
    <w:p w14:paraId="2B6874FB" w14:textId="77777777" w:rsidR="00B430B1" w:rsidRDefault="00B430B1" w:rsidP="00B430B1">
      <w:pPr>
        <w:pStyle w:val="Heading3"/>
      </w:pPr>
      <w:bookmarkStart w:id="1134" w:name="_Toc477947927"/>
      <w:bookmarkStart w:id="1135" w:name="_Toc479764139"/>
      <w:bookmarkStart w:id="1136" w:name="_Toc375214637"/>
      <w:r>
        <w:t>Hazard</w:t>
      </w:r>
      <w:bookmarkEnd w:id="1134"/>
      <w:bookmarkEnd w:id="1135"/>
      <w:bookmarkEnd w:id="1136"/>
    </w:p>
    <w:p w14:paraId="615C9327" w14:textId="77777777" w:rsidR="00B430B1" w:rsidRPr="00F44AE9" w:rsidRDefault="00B430B1" w:rsidP="00B430B1">
      <w:pPr>
        <w:ind w:left="0"/>
        <w:rPr>
          <w:rFonts w:cs="Arial"/>
          <w:sz w:val="22"/>
          <w:szCs w:val="22"/>
        </w:rPr>
      </w:pPr>
      <w:r w:rsidRPr="00F44AE9">
        <w:rPr>
          <w:rFonts w:cs="Arial"/>
          <w:sz w:val="22"/>
          <w:szCs w:val="22"/>
        </w:rPr>
        <w:t xml:space="preserve">There is the potential that the </w:t>
      </w:r>
      <w:r>
        <w:rPr>
          <w:rFonts w:cs="Arial"/>
          <w:sz w:val="22"/>
          <w:szCs w:val="22"/>
        </w:rPr>
        <w:t xml:space="preserve">seismic pulses </w:t>
      </w:r>
      <w:r w:rsidRPr="00F44AE9">
        <w:rPr>
          <w:rFonts w:cs="Arial"/>
          <w:sz w:val="22"/>
          <w:szCs w:val="22"/>
        </w:rPr>
        <w:t xml:space="preserve">will be audible to humans engaged in swimming or diving activities below the water surface. </w:t>
      </w:r>
    </w:p>
    <w:p w14:paraId="3786346E" w14:textId="77777777" w:rsidR="00B430B1" w:rsidRDefault="00B430B1" w:rsidP="00B430B1">
      <w:pPr>
        <w:ind w:left="0"/>
        <w:rPr>
          <w:rFonts w:cs="Arial"/>
          <w:sz w:val="22"/>
          <w:szCs w:val="22"/>
        </w:rPr>
      </w:pPr>
    </w:p>
    <w:p w14:paraId="32964411" w14:textId="65D3CFC5" w:rsidR="00B430B1" w:rsidRPr="00F44AE9" w:rsidRDefault="00B430B1" w:rsidP="00B430B1">
      <w:pPr>
        <w:ind w:left="0"/>
        <w:rPr>
          <w:rFonts w:cs="Arial"/>
          <w:sz w:val="22"/>
          <w:szCs w:val="22"/>
        </w:rPr>
      </w:pPr>
      <w:r w:rsidRPr="00F44AE9">
        <w:rPr>
          <w:rFonts w:cs="Arial"/>
          <w:sz w:val="22"/>
          <w:szCs w:val="22"/>
        </w:rPr>
        <w:t xml:space="preserve">The proposed acquisition area lies adjacent to the Gippsland shoreline. Nearshore areas </w:t>
      </w:r>
      <w:r w:rsidR="00962E7E">
        <w:rPr>
          <w:rFonts w:cs="Arial"/>
          <w:sz w:val="22"/>
          <w:szCs w:val="22"/>
        </w:rPr>
        <w:t>may be</w:t>
      </w:r>
      <w:r w:rsidRPr="00F44AE9">
        <w:rPr>
          <w:rFonts w:cs="Arial"/>
          <w:sz w:val="22"/>
          <w:szCs w:val="22"/>
        </w:rPr>
        <w:t xml:space="preserve"> used for recreational swimming (mainly in the summer months) and may be utilised for commercial and recreational diving (e.g., southern rock lobster</w:t>
      </w:r>
      <w:r w:rsidR="00E90408">
        <w:rPr>
          <w:rFonts w:cs="Arial"/>
          <w:sz w:val="22"/>
          <w:szCs w:val="22"/>
        </w:rPr>
        <w:t xml:space="preserve"> fishing</w:t>
      </w:r>
      <w:r w:rsidRPr="00F44AE9">
        <w:rPr>
          <w:rFonts w:cs="Arial"/>
          <w:sz w:val="22"/>
          <w:szCs w:val="22"/>
        </w:rPr>
        <w:t xml:space="preserve">). </w:t>
      </w:r>
    </w:p>
    <w:p w14:paraId="49BE0D6D" w14:textId="77777777" w:rsidR="00B430B1" w:rsidRPr="00F44AE9" w:rsidRDefault="00B430B1" w:rsidP="00B430B1">
      <w:pPr>
        <w:ind w:left="0"/>
        <w:rPr>
          <w:rFonts w:cs="Arial"/>
          <w:sz w:val="22"/>
          <w:szCs w:val="22"/>
        </w:rPr>
      </w:pPr>
    </w:p>
    <w:p w14:paraId="1B15F2DB" w14:textId="775A4B2A" w:rsidR="00B430B1" w:rsidRDefault="00B430B1" w:rsidP="00B430B1">
      <w:pPr>
        <w:ind w:left="0"/>
        <w:rPr>
          <w:rFonts w:ascii="Tahoma" w:hAnsi="Tahoma" w:cs="Arial"/>
          <w:szCs w:val="20"/>
        </w:rPr>
      </w:pPr>
      <w:r w:rsidRPr="00F44AE9">
        <w:rPr>
          <w:rFonts w:cs="Arial"/>
          <w:sz w:val="22"/>
          <w:szCs w:val="22"/>
        </w:rPr>
        <w:t xml:space="preserve">There are no recorded shipwrecks in the proposed operational area (see Section </w:t>
      </w:r>
      <w:r w:rsidR="00E01B5D">
        <w:rPr>
          <w:rFonts w:cs="Arial"/>
          <w:sz w:val="22"/>
          <w:szCs w:val="22"/>
        </w:rPr>
        <w:t>5.5.2</w:t>
      </w:r>
      <w:r w:rsidRPr="00F44AE9">
        <w:rPr>
          <w:rFonts w:cs="Arial"/>
          <w:sz w:val="22"/>
          <w:szCs w:val="22"/>
        </w:rPr>
        <w:t xml:space="preserve">), so diving </w:t>
      </w:r>
      <w:r>
        <w:rPr>
          <w:rFonts w:cs="Arial"/>
          <w:sz w:val="22"/>
          <w:szCs w:val="22"/>
        </w:rPr>
        <w:t xml:space="preserve">(if undertaken) </w:t>
      </w:r>
      <w:r w:rsidRPr="00F44AE9">
        <w:rPr>
          <w:rFonts w:cs="Arial"/>
          <w:sz w:val="22"/>
          <w:szCs w:val="22"/>
        </w:rPr>
        <w:t xml:space="preserve">is likely to be restricted to the nearshore reefs given the absence of </w:t>
      </w:r>
      <w:r w:rsidR="00E90408">
        <w:rPr>
          <w:rFonts w:cs="Arial"/>
          <w:sz w:val="22"/>
          <w:szCs w:val="22"/>
        </w:rPr>
        <w:t xml:space="preserve">other </w:t>
      </w:r>
      <w:r w:rsidRPr="00F44AE9">
        <w:rPr>
          <w:rFonts w:cs="Arial"/>
          <w:sz w:val="22"/>
          <w:szCs w:val="22"/>
        </w:rPr>
        <w:t>notable seabed features.</w:t>
      </w:r>
    </w:p>
    <w:p w14:paraId="34127062" w14:textId="6903573B" w:rsidR="00B430B1" w:rsidRDefault="00B430B1" w:rsidP="00B430B1">
      <w:pPr>
        <w:pStyle w:val="Heading3"/>
      </w:pPr>
      <w:bookmarkStart w:id="1137" w:name="_Toc477947928"/>
      <w:bookmarkStart w:id="1138" w:name="_Toc479764140"/>
      <w:bookmarkStart w:id="1139" w:name="_Toc375214638"/>
      <w:r>
        <w:t xml:space="preserve">Potential Environmental </w:t>
      </w:r>
      <w:bookmarkEnd w:id="1137"/>
      <w:bookmarkEnd w:id="1138"/>
      <w:r w:rsidR="002E18BA">
        <w:t>Risks</w:t>
      </w:r>
      <w:bookmarkEnd w:id="1139"/>
    </w:p>
    <w:p w14:paraId="426E3B9D" w14:textId="77777777" w:rsidR="00B430B1" w:rsidRDefault="00B430B1" w:rsidP="00B430B1">
      <w:pPr>
        <w:ind w:left="0"/>
        <w:rPr>
          <w:rFonts w:cs="Arial"/>
          <w:sz w:val="22"/>
          <w:szCs w:val="22"/>
        </w:rPr>
      </w:pPr>
    </w:p>
    <w:p w14:paraId="5C057AD6" w14:textId="7F29FED0" w:rsidR="00E37DEF" w:rsidRPr="00016D52" w:rsidRDefault="00E37DEF" w:rsidP="00E37DEF">
      <w:pPr>
        <w:spacing w:after="120" w:line="240" w:lineRule="auto"/>
        <w:ind w:left="0"/>
        <w:rPr>
          <w:rFonts w:cs="Arial"/>
          <w:b/>
          <w:sz w:val="22"/>
          <w:szCs w:val="22"/>
        </w:rPr>
      </w:pPr>
      <w:r w:rsidRPr="00016D52">
        <w:rPr>
          <w:rFonts w:cs="Arial"/>
          <w:b/>
          <w:sz w:val="22"/>
          <w:szCs w:val="22"/>
        </w:rPr>
        <w:t xml:space="preserve">Physiological </w:t>
      </w:r>
      <w:r w:rsidR="002E18BA">
        <w:rPr>
          <w:rFonts w:cs="Arial"/>
          <w:b/>
          <w:sz w:val="22"/>
          <w:szCs w:val="22"/>
        </w:rPr>
        <w:t>risks</w:t>
      </w:r>
    </w:p>
    <w:p w14:paraId="59464479" w14:textId="77777777" w:rsidR="00E37DEF" w:rsidRPr="00016D52" w:rsidRDefault="00E37DEF" w:rsidP="00E37DEF">
      <w:pPr>
        <w:ind w:left="0"/>
        <w:rPr>
          <w:rFonts w:cs="Arial"/>
          <w:sz w:val="22"/>
          <w:szCs w:val="22"/>
        </w:rPr>
      </w:pPr>
      <w:r w:rsidRPr="00016D52">
        <w:rPr>
          <w:rFonts w:cs="Arial"/>
          <w:sz w:val="22"/>
          <w:szCs w:val="22"/>
        </w:rPr>
        <w:t>Three main physiological symptoms associated with high-level low-frequency sound sources have been identified in humans (NATO, n.d.):</w:t>
      </w:r>
    </w:p>
    <w:p w14:paraId="77BDC2E6" w14:textId="77777777" w:rsidR="00E37DEF" w:rsidRPr="00016D52" w:rsidRDefault="00E37DEF" w:rsidP="00E37DEF">
      <w:pPr>
        <w:ind w:left="0"/>
        <w:rPr>
          <w:rFonts w:cs="Arial"/>
          <w:sz w:val="22"/>
          <w:szCs w:val="22"/>
        </w:rPr>
      </w:pPr>
    </w:p>
    <w:p w14:paraId="45EAF5CE" w14:textId="77777777" w:rsidR="00E37DEF" w:rsidRPr="00016D52" w:rsidRDefault="00E37DEF" w:rsidP="00E37DEF">
      <w:pPr>
        <w:pStyle w:val="ListParagraph0"/>
        <w:numPr>
          <w:ilvl w:val="0"/>
          <w:numId w:val="197"/>
        </w:numPr>
        <w:rPr>
          <w:rFonts w:cs="Arial"/>
          <w:sz w:val="22"/>
          <w:szCs w:val="22"/>
        </w:rPr>
      </w:pPr>
      <w:r w:rsidRPr="00016D52">
        <w:rPr>
          <w:rFonts w:cs="Arial"/>
          <w:sz w:val="22"/>
          <w:szCs w:val="22"/>
        </w:rPr>
        <w:t xml:space="preserve">The first involves the Pacinian corpuscle, a sensor of the nervous system that is distributed throughout the epidermis and provides for vibrotactile sensitivity. The frequency response of the Pacinian corpuscles peaks at about 250 Hz, the most annoying frequency in divers’ complaints of tingling and numbness. </w:t>
      </w:r>
    </w:p>
    <w:p w14:paraId="61E4AA3D" w14:textId="77777777" w:rsidR="00E37DEF" w:rsidRPr="00016D52" w:rsidRDefault="00E37DEF" w:rsidP="00E37DEF">
      <w:pPr>
        <w:pStyle w:val="ListParagraph0"/>
        <w:numPr>
          <w:ilvl w:val="0"/>
          <w:numId w:val="197"/>
        </w:numPr>
        <w:rPr>
          <w:rFonts w:cs="Arial"/>
          <w:sz w:val="22"/>
          <w:szCs w:val="22"/>
        </w:rPr>
      </w:pPr>
      <w:r w:rsidRPr="00016D52">
        <w:rPr>
          <w:rFonts w:cs="Arial"/>
          <w:sz w:val="22"/>
          <w:szCs w:val="22"/>
        </w:rPr>
        <w:t xml:space="preserve">The second effect involves acoustically-forced vibrations of gas pockets in the gastrointestinal tract, which may be responsible for complaints of abdominal discomfort. </w:t>
      </w:r>
    </w:p>
    <w:p w14:paraId="1C63CE2A" w14:textId="77777777" w:rsidR="00E37DEF" w:rsidRDefault="00E37DEF" w:rsidP="00E37DEF">
      <w:pPr>
        <w:pStyle w:val="ListParagraph0"/>
        <w:numPr>
          <w:ilvl w:val="0"/>
          <w:numId w:val="197"/>
        </w:numPr>
        <w:rPr>
          <w:rFonts w:cs="Arial"/>
          <w:sz w:val="22"/>
          <w:szCs w:val="22"/>
        </w:rPr>
      </w:pPr>
      <w:r w:rsidRPr="00016D52">
        <w:rPr>
          <w:rFonts w:cs="Arial"/>
          <w:sz w:val="22"/>
          <w:szCs w:val="22"/>
        </w:rPr>
        <w:t>The third major effect is one involving TTS in hearing caused by the high levels of sound.</w:t>
      </w:r>
    </w:p>
    <w:p w14:paraId="1DD54F78" w14:textId="77777777" w:rsidR="00E37DEF" w:rsidRDefault="00E37DEF" w:rsidP="00B430B1">
      <w:pPr>
        <w:ind w:left="0"/>
        <w:rPr>
          <w:rFonts w:cs="Arial"/>
          <w:b/>
          <w:sz w:val="22"/>
          <w:szCs w:val="22"/>
        </w:rPr>
      </w:pPr>
    </w:p>
    <w:p w14:paraId="5A36FA31" w14:textId="61D72C3A" w:rsidR="00E37DEF" w:rsidRPr="00016D52" w:rsidRDefault="00E37DEF" w:rsidP="00E37DEF">
      <w:pPr>
        <w:spacing w:after="120" w:line="240" w:lineRule="auto"/>
        <w:ind w:left="0"/>
        <w:rPr>
          <w:rFonts w:cs="Arial"/>
          <w:b/>
          <w:sz w:val="22"/>
          <w:szCs w:val="22"/>
        </w:rPr>
      </w:pPr>
      <w:r w:rsidRPr="00016D52">
        <w:rPr>
          <w:rFonts w:cs="Arial"/>
          <w:b/>
          <w:sz w:val="22"/>
          <w:szCs w:val="22"/>
        </w:rPr>
        <w:t xml:space="preserve">Social </w:t>
      </w:r>
      <w:r w:rsidR="002E18BA">
        <w:rPr>
          <w:rFonts w:cs="Arial"/>
          <w:b/>
          <w:sz w:val="22"/>
          <w:szCs w:val="22"/>
        </w:rPr>
        <w:t>risks</w:t>
      </w:r>
    </w:p>
    <w:p w14:paraId="0A291ACC" w14:textId="7AFD0BFC" w:rsidR="00E37DEF" w:rsidRDefault="00E37DEF" w:rsidP="00E37DEF">
      <w:pPr>
        <w:ind w:left="0"/>
        <w:rPr>
          <w:rFonts w:cs="Arial"/>
          <w:sz w:val="22"/>
          <w:szCs w:val="22"/>
        </w:rPr>
      </w:pPr>
      <w:r w:rsidRPr="00016D52">
        <w:rPr>
          <w:rFonts w:cs="Arial"/>
          <w:sz w:val="22"/>
          <w:szCs w:val="22"/>
        </w:rPr>
        <w:t xml:space="preserve">During the summer especially, the </w:t>
      </w:r>
      <w:r w:rsidRPr="00126198">
        <w:rPr>
          <w:rFonts w:cs="Arial"/>
          <w:sz w:val="22"/>
          <w:szCs w:val="22"/>
        </w:rPr>
        <w:t>coastline adjacent to the proposed survey area is an important tourism destination</w:t>
      </w:r>
      <w:r w:rsidR="00962E7E" w:rsidRPr="00126198">
        <w:rPr>
          <w:rFonts w:cs="Arial"/>
          <w:sz w:val="22"/>
          <w:szCs w:val="22"/>
        </w:rPr>
        <w:t xml:space="preserve"> (see Section </w:t>
      </w:r>
      <w:r w:rsidR="00126198" w:rsidRPr="00126198">
        <w:rPr>
          <w:rFonts w:cs="Arial"/>
          <w:sz w:val="22"/>
          <w:szCs w:val="22"/>
        </w:rPr>
        <w:t>5.6.5</w:t>
      </w:r>
      <w:r w:rsidR="00962E7E" w:rsidRPr="00126198">
        <w:rPr>
          <w:rFonts w:cs="Arial"/>
          <w:sz w:val="22"/>
          <w:szCs w:val="22"/>
        </w:rPr>
        <w:t>)</w:t>
      </w:r>
      <w:r w:rsidRPr="00126198">
        <w:rPr>
          <w:rFonts w:cs="Arial"/>
          <w:sz w:val="22"/>
          <w:szCs w:val="22"/>
        </w:rPr>
        <w:t>. The</w:t>
      </w:r>
      <w:r>
        <w:rPr>
          <w:rFonts w:cs="Arial"/>
          <w:sz w:val="22"/>
          <w:szCs w:val="22"/>
        </w:rPr>
        <w:t xml:space="preserve"> STLM results indicate that restrictions on swimming and diving </w:t>
      </w:r>
      <w:r w:rsidR="00962E7E">
        <w:rPr>
          <w:rFonts w:cs="Arial"/>
          <w:sz w:val="22"/>
          <w:szCs w:val="22"/>
        </w:rPr>
        <w:t>will</w:t>
      </w:r>
      <w:r>
        <w:rPr>
          <w:rFonts w:cs="Arial"/>
          <w:sz w:val="22"/>
          <w:szCs w:val="22"/>
        </w:rPr>
        <w:t xml:space="preserve"> be required to protect people from harm</w:t>
      </w:r>
      <w:r w:rsidR="00962E7E">
        <w:rPr>
          <w:rFonts w:cs="Arial"/>
          <w:sz w:val="22"/>
          <w:szCs w:val="22"/>
        </w:rPr>
        <w:t xml:space="preserve"> at certain times during the survey</w:t>
      </w:r>
      <w:r>
        <w:rPr>
          <w:rFonts w:cs="Arial"/>
          <w:sz w:val="22"/>
          <w:szCs w:val="22"/>
        </w:rPr>
        <w:t xml:space="preserve">. </w:t>
      </w:r>
    </w:p>
    <w:p w14:paraId="65F5B449" w14:textId="77777777" w:rsidR="00E37DEF" w:rsidRDefault="00E37DEF" w:rsidP="00E37DEF">
      <w:pPr>
        <w:ind w:left="0"/>
        <w:rPr>
          <w:rFonts w:cs="Arial"/>
          <w:sz w:val="22"/>
          <w:szCs w:val="22"/>
        </w:rPr>
      </w:pPr>
    </w:p>
    <w:p w14:paraId="7469BE87" w14:textId="16D4EB8E" w:rsidR="00E37DEF" w:rsidRDefault="00E37DEF" w:rsidP="00B430B1">
      <w:pPr>
        <w:ind w:left="0"/>
        <w:rPr>
          <w:rFonts w:cs="Arial"/>
          <w:b/>
          <w:sz w:val="22"/>
          <w:szCs w:val="22"/>
        </w:rPr>
      </w:pPr>
      <w:r>
        <w:rPr>
          <w:rFonts w:cs="Arial"/>
          <w:sz w:val="22"/>
          <w:szCs w:val="22"/>
        </w:rPr>
        <w:t xml:space="preserve">Pre-survey consultation </w:t>
      </w:r>
      <w:r w:rsidR="00962E7E">
        <w:rPr>
          <w:rFonts w:cs="Arial"/>
          <w:sz w:val="22"/>
          <w:szCs w:val="22"/>
        </w:rPr>
        <w:t xml:space="preserve">and coordination </w:t>
      </w:r>
      <w:r>
        <w:rPr>
          <w:rFonts w:cs="Arial"/>
          <w:sz w:val="22"/>
          <w:szCs w:val="22"/>
        </w:rPr>
        <w:t xml:space="preserve">with relevant community groups, government agencies and the wider regional community </w:t>
      </w:r>
      <w:r w:rsidR="00962E7E">
        <w:rPr>
          <w:rFonts w:cs="Arial"/>
          <w:sz w:val="22"/>
          <w:szCs w:val="22"/>
        </w:rPr>
        <w:t xml:space="preserve">will </w:t>
      </w:r>
      <w:r>
        <w:rPr>
          <w:rFonts w:cs="Arial"/>
          <w:sz w:val="22"/>
          <w:szCs w:val="22"/>
        </w:rPr>
        <w:t xml:space="preserve">minimise </w:t>
      </w:r>
      <w:r w:rsidR="00962E7E">
        <w:rPr>
          <w:rFonts w:cs="Arial"/>
          <w:sz w:val="22"/>
          <w:szCs w:val="22"/>
        </w:rPr>
        <w:t xml:space="preserve">health risks to swimmers and </w:t>
      </w:r>
      <w:r>
        <w:rPr>
          <w:rFonts w:cs="Arial"/>
          <w:sz w:val="22"/>
          <w:szCs w:val="22"/>
        </w:rPr>
        <w:t>economic effects associated with a temporary restriction on swimming and diving in the area, such as the temporary loss of tourists from the area.</w:t>
      </w:r>
    </w:p>
    <w:p w14:paraId="17BF3808" w14:textId="77777777" w:rsidR="00E37DEF" w:rsidRDefault="00E37DEF" w:rsidP="00B430B1">
      <w:pPr>
        <w:ind w:left="0"/>
        <w:rPr>
          <w:rFonts w:cs="Arial"/>
          <w:b/>
          <w:sz w:val="22"/>
          <w:szCs w:val="22"/>
        </w:rPr>
      </w:pPr>
    </w:p>
    <w:p w14:paraId="19F1D1FA" w14:textId="77777777" w:rsidR="00B430B1" w:rsidRPr="00FA5A65" w:rsidRDefault="00B430B1" w:rsidP="00B430B1">
      <w:pPr>
        <w:ind w:left="0"/>
        <w:rPr>
          <w:rFonts w:cs="Arial"/>
          <w:b/>
          <w:sz w:val="22"/>
          <w:szCs w:val="22"/>
        </w:rPr>
      </w:pPr>
      <w:r w:rsidRPr="00FA5A65">
        <w:rPr>
          <w:rFonts w:cs="Arial"/>
          <w:b/>
          <w:sz w:val="22"/>
          <w:szCs w:val="22"/>
        </w:rPr>
        <w:t>Thresholds adopted by STLM</w:t>
      </w:r>
    </w:p>
    <w:p w14:paraId="6D11126C" w14:textId="77777777" w:rsidR="00B430B1" w:rsidRDefault="00B430B1" w:rsidP="00B430B1">
      <w:pPr>
        <w:ind w:left="0"/>
        <w:rPr>
          <w:rFonts w:cs="Arial"/>
          <w:sz w:val="22"/>
          <w:szCs w:val="22"/>
        </w:rPr>
      </w:pPr>
    </w:p>
    <w:p w14:paraId="42FCB8B0" w14:textId="07F69C8E" w:rsidR="00B430B1" w:rsidRDefault="00B430B1" w:rsidP="00B430B1">
      <w:pPr>
        <w:ind w:left="0"/>
        <w:rPr>
          <w:rFonts w:cs="Arial"/>
          <w:sz w:val="22"/>
          <w:szCs w:val="22"/>
        </w:rPr>
      </w:pPr>
      <w:r>
        <w:rPr>
          <w:rFonts w:cs="Arial"/>
          <w:sz w:val="22"/>
          <w:szCs w:val="22"/>
        </w:rPr>
        <w:t xml:space="preserve">The following information is sourced from the </w:t>
      </w:r>
      <w:r w:rsidR="00EA00EE">
        <w:rPr>
          <w:rFonts w:cs="Arial"/>
          <w:sz w:val="22"/>
          <w:szCs w:val="22"/>
        </w:rPr>
        <w:t xml:space="preserve">JASCO </w:t>
      </w:r>
      <w:r>
        <w:rPr>
          <w:rFonts w:cs="Arial"/>
          <w:sz w:val="22"/>
          <w:szCs w:val="22"/>
        </w:rPr>
        <w:t xml:space="preserve">STLM </w:t>
      </w:r>
      <w:r w:rsidR="00EA00EE">
        <w:rPr>
          <w:rFonts w:cs="Arial"/>
          <w:sz w:val="22"/>
          <w:szCs w:val="22"/>
        </w:rPr>
        <w:t>report (McPherson</w:t>
      </w:r>
      <w:r w:rsidR="00EE3866">
        <w:rPr>
          <w:rFonts w:cs="Arial"/>
          <w:sz w:val="22"/>
          <w:szCs w:val="22"/>
        </w:rPr>
        <w:t xml:space="preserve"> </w:t>
      </w:r>
      <w:r w:rsidR="00EE3866" w:rsidRPr="00EE3866">
        <w:rPr>
          <w:rFonts w:cs="Arial"/>
          <w:i/>
          <w:sz w:val="22"/>
          <w:szCs w:val="22"/>
        </w:rPr>
        <w:t>et al</w:t>
      </w:r>
      <w:r w:rsidR="00EE3866">
        <w:rPr>
          <w:rFonts w:cs="Arial"/>
          <w:sz w:val="22"/>
          <w:szCs w:val="22"/>
        </w:rPr>
        <w:t>.</w:t>
      </w:r>
      <w:r w:rsidR="00EA00EE">
        <w:rPr>
          <w:rFonts w:cs="Arial"/>
          <w:sz w:val="22"/>
          <w:szCs w:val="22"/>
        </w:rPr>
        <w:t xml:space="preserve">, </w:t>
      </w:r>
      <w:r>
        <w:rPr>
          <w:rFonts w:cs="Arial"/>
          <w:sz w:val="22"/>
          <w:szCs w:val="22"/>
        </w:rPr>
        <w:t xml:space="preserve">2017). </w:t>
      </w:r>
    </w:p>
    <w:p w14:paraId="744610BA" w14:textId="77777777" w:rsidR="00B430B1" w:rsidRDefault="00B430B1" w:rsidP="00B430B1">
      <w:pPr>
        <w:ind w:left="0"/>
        <w:rPr>
          <w:rFonts w:cs="Arial"/>
          <w:sz w:val="22"/>
          <w:szCs w:val="22"/>
        </w:rPr>
      </w:pPr>
    </w:p>
    <w:p w14:paraId="20A67F0E" w14:textId="77777777" w:rsidR="00E90408" w:rsidRDefault="00B430B1" w:rsidP="00EE3866">
      <w:pPr>
        <w:ind w:left="0"/>
        <w:rPr>
          <w:rFonts w:cs="Arial"/>
          <w:sz w:val="22"/>
          <w:szCs w:val="22"/>
        </w:rPr>
      </w:pPr>
      <w:r w:rsidRPr="00FA5A65">
        <w:rPr>
          <w:rFonts w:cs="Arial"/>
          <w:sz w:val="22"/>
          <w:szCs w:val="22"/>
        </w:rPr>
        <w:t>The human ear under water is about 20 dB less sensitive than in air at low frequencies (20 Hz), increasing to 40 dB at mid-frequencies (&lt; 1 kHz), and increasing to 70–80 dB at higher frequencies</w:t>
      </w:r>
      <w:r w:rsidRPr="00FA5A65">
        <w:rPr>
          <w:rFonts w:cs="Arial"/>
          <w:sz w:val="22"/>
          <w:szCs w:val="22"/>
        </w:rPr>
        <w:fldChar w:fldCharType="begin"/>
      </w:r>
      <w:r w:rsidRPr="00FA5A65">
        <w:rPr>
          <w:rFonts w:cs="Arial"/>
          <w:sz w:val="22"/>
          <w:szCs w:val="22"/>
        </w:rPr>
        <w:instrText xml:space="preserve"> ADDIN EN.CITE &lt;EndNote&gt;&lt;Cite&gt;&lt;Author&gt;Parvin&lt;/Author&gt;&lt;Year&gt;1998&lt;/Year&gt;&lt;RecNum&gt;23432&lt;/RecNum&gt;&lt;DisplayText&gt;(Parvin 1998)&lt;/DisplayText&gt;&lt;record&gt;&lt;rec-number&gt;23432&lt;/rec-number&gt;&lt;foreign-keys&gt;&lt;key app="EN" db-id="avrwfx0posesv7e0p5ixzsx0ssp0v09v222p" timestamp="1461265605"&gt;23432&lt;/key&gt;&lt;/foreign-keys&gt;&lt;ref-type name="Conference Paper"&gt;47&lt;/ref-type&gt;&lt;contributors&gt;&lt;authors&gt;&lt;author&gt;Parvin, S. J.&lt;/author&gt;&lt;/authors&gt;&lt;/contributors&gt;&lt;titles&gt;&lt;title&gt;The effects of low frequency underwater sound on divers&lt;/title&gt;&lt;secondary-title&gt;Undersea Defence Technology&lt;/secondary-title&gt;&lt;/titles&gt;&lt;pages&gt;227-232&lt;/pages&gt;&lt;dates&gt;&lt;year&gt;1998&lt;/year&gt;&lt;/dates&gt;&lt;pub-location&gt;Wembley, UK&lt;/pub-location&gt;&lt;urls&gt;&lt;/urls&gt;&lt;/record&gt;&lt;/Cite&gt;&lt;/EndNote&gt;</w:instrText>
      </w:r>
      <w:r w:rsidRPr="00FA5A65">
        <w:rPr>
          <w:rFonts w:cs="Arial"/>
          <w:sz w:val="22"/>
          <w:szCs w:val="22"/>
        </w:rPr>
        <w:fldChar w:fldCharType="end"/>
      </w:r>
      <w:r w:rsidRPr="00FA5A65">
        <w:rPr>
          <w:rFonts w:cs="Arial"/>
          <w:sz w:val="22"/>
          <w:szCs w:val="22"/>
        </w:rPr>
        <w:t xml:space="preserve">. </w:t>
      </w:r>
    </w:p>
    <w:p w14:paraId="74EA8F14" w14:textId="77777777" w:rsidR="00E90408" w:rsidRDefault="00E90408" w:rsidP="00EE3866">
      <w:pPr>
        <w:ind w:left="0"/>
        <w:rPr>
          <w:rFonts w:cs="Arial"/>
          <w:sz w:val="22"/>
          <w:szCs w:val="22"/>
        </w:rPr>
      </w:pPr>
    </w:p>
    <w:p w14:paraId="2DCD40CD" w14:textId="5873745F" w:rsidR="00EE3866" w:rsidRDefault="00B430B1" w:rsidP="00EE3866">
      <w:pPr>
        <w:ind w:left="0"/>
        <w:rPr>
          <w:rFonts w:cs="Arial"/>
          <w:sz w:val="22"/>
          <w:szCs w:val="22"/>
        </w:rPr>
      </w:pPr>
      <w:r w:rsidRPr="00FA5A65">
        <w:rPr>
          <w:rFonts w:cs="Arial"/>
          <w:sz w:val="22"/>
          <w:szCs w:val="22"/>
        </w:rPr>
        <w:t>Divers wearing a neoprene hood have even higher hearing thresholds above 500 Hz due to sound absorption by the hood material at high frequencies</w:t>
      </w:r>
      <w:r w:rsidR="00EE3866">
        <w:rPr>
          <w:rFonts w:cs="Arial"/>
          <w:sz w:val="22"/>
          <w:szCs w:val="22"/>
        </w:rPr>
        <w:t xml:space="preserve"> (Parvin, 1998)</w:t>
      </w:r>
      <w:r w:rsidRPr="00FA5A65">
        <w:rPr>
          <w:rFonts w:cs="Arial"/>
          <w:sz w:val="22"/>
          <w:szCs w:val="22"/>
        </w:rPr>
        <w:t xml:space="preserve">. </w:t>
      </w:r>
      <w:r w:rsidR="00EE3866" w:rsidRPr="00EE3866">
        <w:rPr>
          <w:rFonts w:cs="Arial"/>
          <w:sz w:val="22"/>
          <w:szCs w:val="22"/>
        </w:rPr>
        <w:t>Fothergill et al (</w:t>
      </w:r>
      <w:hyperlink r:id="rId276" w:anchor="_ENREF_18" w:tooltip="Fothergill, 2000 #23433" w:history="1">
        <w:r w:rsidR="00EE3866" w:rsidRPr="00EE3866">
          <w:rPr>
            <w:rFonts w:cs="Arial"/>
            <w:sz w:val="22"/>
            <w:szCs w:val="22"/>
          </w:rPr>
          <w:t>2000</w:t>
        </w:r>
      </w:hyperlink>
      <w:r w:rsidR="00EE3866" w:rsidRPr="00EE3866">
        <w:rPr>
          <w:rFonts w:cs="Arial"/>
          <w:sz w:val="22"/>
          <w:szCs w:val="22"/>
        </w:rPr>
        <w:t xml:space="preserve">, </w:t>
      </w:r>
      <w:hyperlink r:id="rId277" w:anchor="_ENREF_19" w:tooltip="Fothergill, 2001 #23434" w:history="1">
        <w:r w:rsidR="00EE3866" w:rsidRPr="00EE3866">
          <w:rPr>
            <w:rFonts w:cs="Arial"/>
            <w:sz w:val="22"/>
            <w:szCs w:val="22"/>
          </w:rPr>
          <w:t>2001</w:t>
        </w:r>
      </w:hyperlink>
      <w:r w:rsidR="00EE3866" w:rsidRPr="00EE3866">
        <w:rPr>
          <w:rFonts w:cs="Arial"/>
          <w:sz w:val="22"/>
          <w:szCs w:val="22"/>
        </w:rPr>
        <w:t>) exposed divers to pure tones of constant frequency as well as sweeps and asked divers to rate the sound they heard on a severity scale. The auditory threshold of hearing under water was lowest at 1 kHz (SPL of 70 dB re 1 μPa) and rose for lower and higher frequencies to about 120 dB re 1 μPa at 20 Hz and at 20 kHz (</w:t>
      </w:r>
      <w:hyperlink r:id="rId278" w:anchor="_ENREF_37" w:tooltip="Parvin, 1998 #23432" w:history="1">
        <w:r w:rsidR="00EE3866" w:rsidRPr="00EE3866">
          <w:rPr>
            <w:rFonts w:cs="Arial"/>
            <w:sz w:val="22"/>
            <w:szCs w:val="22"/>
          </w:rPr>
          <w:t>Parvin</w:t>
        </w:r>
        <w:r w:rsidR="00EE3866">
          <w:rPr>
            <w:rFonts w:cs="Arial"/>
            <w:sz w:val="22"/>
            <w:szCs w:val="22"/>
          </w:rPr>
          <w:t>,</w:t>
        </w:r>
        <w:r w:rsidR="00EE3866" w:rsidRPr="00EE3866">
          <w:rPr>
            <w:rFonts w:cs="Arial"/>
            <w:sz w:val="22"/>
            <w:szCs w:val="22"/>
          </w:rPr>
          <w:t xml:space="preserve"> 1998</w:t>
        </w:r>
      </w:hyperlink>
      <w:r w:rsidR="00EE3866" w:rsidRPr="00EE3866">
        <w:rPr>
          <w:rFonts w:cs="Arial"/>
          <w:sz w:val="22"/>
          <w:szCs w:val="22"/>
        </w:rPr>
        <w:t>). For frequencies between 100 and 500 Hz, at a received SPL of 130 dB re 1 μPa, divers and swimmers were able to detect body vibration (</w:t>
      </w:r>
      <w:hyperlink r:id="rId279" w:anchor="_ENREF_19" w:tooltip="Fothergill, 2001 #23434" w:history="1">
        <w:r w:rsidR="00EE3866" w:rsidRPr="00EE3866">
          <w:rPr>
            <w:rFonts w:cs="Arial"/>
            <w:sz w:val="22"/>
            <w:szCs w:val="22"/>
          </w:rPr>
          <w:t xml:space="preserve">Fothergill </w:t>
        </w:r>
        <w:r w:rsidR="00EE3866" w:rsidRPr="00EE3866">
          <w:rPr>
            <w:rFonts w:cs="Arial"/>
            <w:i/>
            <w:sz w:val="22"/>
            <w:szCs w:val="22"/>
          </w:rPr>
          <w:t>et al</w:t>
        </w:r>
        <w:r w:rsidR="00EE3866" w:rsidRPr="00EE3866">
          <w:rPr>
            <w:rFonts w:cs="Arial"/>
            <w:sz w:val="22"/>
            <w:szCs w:val="22"/>
          </w:rPr>
          <w:t>.</w:t>
        </w:r>
        <w:r w:rsidR="00EE3866">
          <w:rPr>
            <w:rFonts w:cs="Arial"/>
            <w:sz w:val="22"/>
            <w:szCs w:val="22"/>
          </w:rPr>
          <w:t>,</w:t>
        </w:r>
        <w:r w:rsidR="00EE3866" w:rsidRPr="00EE3866">
          <w:rPr>
            <w:rFonts w:cs="Arial"/>
            <w:sz w:val="22"/>
            <w:szCs w:val="22"/>
          </w:rPr>
          <w:t xml:space="preserve"> 2001</w:t>
        </w:r>
      </w:hyperlink>
      <w:r w:rsidR="00EE3866" w:rsidRPr="00EE3866">
        <w:rPr>
          <w:rFonts w:cs="Arial"/>
          <w:sz w:val="22"/>
          <w:szCs w:val="22"/>
        </w:rPr>
        <w:t>). None of the divers tested rated levels of 140 dB re 1 μPa as “very severe”; however, at 157 dB re 1 μPa, sound was rated as “very severe” 19% of the time. No physiological damage was seen at the highest levels tested: 160 dB re 1 μPa (</w:t>
      </w:r>
      <w:hyperlink r:id="rId280" w:anchor="_ENREF_19" w:tooltip="Fothergill, 2001 #23434" w:history="1">
        <w:r w:rsidR="00EE3866" w:rsidRPr="00EE3866">
          <w:rPr>
            <w:rFonts w:cs="Arial"/>
            <w:sz w:val="22"/>
            <w:szCs w:val="22"/>
          </w:rPr>
          <w:t xml:space="preserve">Fothergill </w:t>
        </w:r>
        <w:r w:rsidR="00EE3866" w:rsidRPr="00EE3866">
          <w:rPr>
            <w:rFonts w:cs="Arial"/>
            <w:i/>
            <w:sz w:val="22"/>
            <w:szCs w:val="22"/>
          </w:rPr>
          <w:t>et al</w:t>
        </w:r>
        <w:r w:rsidR="00EE3866" w:rsidRPr="00EE3866">
          <w:rPr>
            <w:rFonts w:cs="Arial"/>
            <w:sz w:val="22"/>
            <w:szCs w:val="22"/>
          </w:rPr>
          <w:t>.</w:t>
        </w:r>
        <w:r w:rsidR="00EE3866">
          <w:rPr>
            <w:rFonts w:cs="Arial"/>
            <w:sz w:val="22"/>
            <w:szCs w:val="22"/>
          </w:rPr>
          <w:t>,</w:t>
        </w:r>
        <w:r w:rsidR="00EE3866" w:rsidRPr="00EE3866">
          <w:rPr>
            <w:rFonts w:cs="Arial"/>
            <w:sz w:val="22"/>
            <w:szCs w:val="22"/>
          </w:rPr>
          <w:t xml:space="preserve"> 2001</w:t>
        </w:r>
      </w:hyperlink>
      <w:r w:rsidR="00EE3866" w:rsidRPr="00EE3866">
        <w:rPr>
          <w:rFonts w:cs="Arial"/>
          <w:sz w:val="22"/>
          <w:szCs w:val="22"/>
        </w:rPr>
        <w:t xml:space="preserve">). As a result of such controlled diver exposure experiments, the following recreational diver exposure criteria were suggested: </w:t>
      </w:r>
    </w:p>
    <w:p w14:paraId="0075AE02" w14:textId="77777777" w:rsidR="00E90408" w:rsidRDefault="00E90408" w:rsidP="00EE3866">
      <w:pPr>
        <w:ind w:left="0"/>
        <w:rPr>
          <w:rFonts w:cs="Arial"/>
          <w:sz w:val="22"/>
          <w:szCs w:val="22"/>
        </w:rPr>
      </w:pPr>
    </w:p>
    <w:p w14:paraId="24E44969" w14:textId="4726CE7D" w:rsidR="00EE3866" w:rsidRPr="00EE3866" w:rsidRDefault="00EE3866" w:rsidP="00EE3866">
      <w:pPr>
        <w:pStyle w:val="ListParagraph0"/>
        <w:numPr>
          <w:ilvl w:val="0"/>
          <w:numId w:val="416"/>
        </w:numPr>
        <w:rPr>
          <w:rFonts w:cs="Arial"/>
          <w:sz w:val="22"/>
          <w:szCs w:val="22"/>
        </w:rPr>
      </w:pPr>
      <w:r w:rsidRPr="00EE3866">
        <w:rPr>
          <w:rFonts w:cs="Arial"/>
          <w:sz w:val="22"/>
          <w:szCs w:val="22"/>
        </w:rPr>
        <w:t>For frequencies between 100 and 500 Hz, the maximum SPL should be 145 dB re 1 μPa over a maximum continuous exposure of 100 seconds or with a maximum duty cycle of 20% and a maximum daily cumulative total of 3 hours (</w:t>
      </w:r>
      <w:hyperlink r:id="rId281" w:anchor="_ENREF_39" w:tooltip="Pestorius, 2009 #23435" w:history="1">
        <w:r w:rsidRPr="00EE3866">
          <w:rPr>
            <w:rFonts w:cs="Arial"/>
            <w:sz w:val="22"/>
            <w:szCs w:val="22"/>
          </w:rPr>
          <w:t xml:space="preserve">Pestorius </w:t>
        </w:r>
        <w:r w:rsidRPr="00EE3866">
          <w:rPr>
            <w:rFonts w:cs="Arial"/>
            <w:i/>
            <w:sz w:val="22"/>
            <w:szCs w:val="22"/>
          </w:rPr>
          <w:t>et al</w:t>
        </w:r>
        <w:r w:rsidRPr="00EE3866">
          <w:rPr>
            <w:rFonts w:cs="Arial"/>
            <w:sz w:val="22"/>
            <w:szCs w:val="22"/>
          </w:rPr>
          <w:t>.</w:t>
        </w:r>
        <w:r>
          <w:rPr>
            <w:rFonts w:cs="Arial"/>
            <w:sz w:val="22"/>
            <w:szCs w:val="22"/>
          </w:rPr>
          <w:t>,</w:t>
        </w:r>
        <w:r w:rsidRPr="00EE3866">
          <w:rPr>
            <w:rFonts w:cs="Arial"/>
            <w:sz w:val="22"/>
            <w:szCs w:val="22"/>
          </w:rPr>
          <w:t xml:space="preserve"> 2009</w:t>
        </w:r>
      </w:hyperlink>
      <w:r w:rsidRPr="00EE3866">
        <w:rPr>
          <w:rFonts w:cs="Arial"/>
          <w:sz w:val="22"/>
          <w:szCs w:val="22"/>
        </w:rPr>
        <w:t xml:space="preserve">). </w:t>
      </w:r>
    </w:p>
    <w:p w14:paraId="2E6DAAD7" w14:textId="77777777" w:rsidR="00EE3866" w:rsidRDefault="00EE3866" w:rsidP="00EE3866">
      <w:pPr>
        <w:ind w:left="0"/>
        <w:rPr>
          <w:rFonts w:cs="Arial"/>
          <w:sz w:val="22"/>
          <w:szCs w:val="22"/>
        </w:rPr>
      </w:pPr>
    </w:p>
    <w:p w14:paraId="36CC7E82" w14:textId="581DE136" w:rsidR="00EE3866" w:rsidRDefault="00EE3866" w:rsidP="00EE3866">
      <w:pPr>
        <w:pStyle w:val="ListParagraph0"/>
        <w:numPr>
          <w:ilvl w:val="0"/>
          <w:numId w:val="416"/>
        </w:numPr>
        <w:rPr>
          <w:rFonts w:cs="Arial"/>
          <w:sz w:val="22"/>
          <w:szCs w:val="22"/>
        </w:rPr>
      </w:pPr>
      <w:r w:rsidRPr="00EE3866">
        <w:rPr>
          <w:rFonts w:cs="Arial"/>
          <w:sz w:val="22"/>
          <w:szCs w:val="22"/>
        </w:rPr>
        <w:t>For frequencies between 500 and 2</w:t>
      </w:r>
      <w:r w:rsidR="00CD3390">
        <w:rPr>
          <w:rFonts w:cs="Arial"/>
          <w:sz w:val="22"/>
          <w:szCs w:val="22"/>
        </w:rPr>
        <w:t>,</w:t>
      </w:r>
      <w:r w:rsidRPr="00EE3866">
        <w:rPr>
          <w:rFonts w:cs="Arial"/>
          <w:sz w:val="22"/>
          <w:szCs w:val="22"/>
        </w:rPr>
        <w:t xml:space="preserve">500 Hz, an increasing number of divers rated the sound as “very severe” at received levels above 155 dB re 1 μPa. The tolerance limit for bareheaded divers and swimmers was between 167 and 185 dB re 1 μPa, with divers exhibiting dizziness and disorientation. </w:t>
      </w:r>
    </w:p>
    <w:p w14:paraId="40F35006" w14:textId="77777777" w:rsidR="00EE3866" w:rsidRPr="00EE3866" w:rsidRDefault="00EE3866" w:rsidP="00EE3866">
      <w:pPr>
        <w:pStyle w:val="ListParagraph0"/>
        <w:rPr>
          <w:rFonts w:cs="Arial"/>
          <w:sz w:val="22"/>
          <w:szCs w:val="22"/>
        </w:rPr>
      </w:pPr>
    </w:p>
    <w:p w14:paraId="3AB246B0" w14:textId="1A5CD680" w:rsidR="00E90408" w:rsidRDefault="00E90408" w:rsidP="00052333">
      <w:pPr>
        <w:ind w:left="0"/>
        <w:rPr>
          <w:rFonts w:cs="Arial"/>
          <w:sz w:val="22"/>
          <w:szCs w:val="22"/>
        </w:rPr>
      </w:pPr>
      <w:r w:rsidRPr="009E4DC8">
        <w:rPr>
          <w:rFonts w:cs="Arial"/>
          <w:sz w:val="22"/>
          <w:szCs w:val="22"/>
        </w:rPr>
        <w:t>Table 7.</w:t>
      </w:r>
      <w:r w:rsidR="000077FF" w:rsidRPr="009E4DC8">
        <w:rPr>
          <w:rFonts w:cs="Arial"/>
          <w:sz w:val="22"/>
          <w:szCs w:val="22"/>
        </w:rPr>
        <w:t>3</w:t>
      </w:r>
      <w:r w:rsidR="009E4DC8" w:rsidRPr="009E4DC8">
        <w:rPr>
          <w:rFonts w:cs="Arial"/>
          <w:sz w:val="22"/>
          <w:szCs w:val="22"/>
        </w:rPr>
        <w:t>3</w:t>
      </w:r>
      <w:r w:rsidRPr="000077FF">
        <w:rPr>
          <w:rFonts w:cs="Arial"/>
          <w:color w:val="FF0000"/>
          <w:sz w:val="22"/>
          <w:szCs w:val="22"/>
        </w:rPr>
        <w:t xml:space="preserve"> </w:t>
      </w:r>
      <w:r w:rsidRPr="006F65F9">
        <w:rPr>
          <w:rFonts w:cs="Arial"/>
          <w:sz w:val="22"/>
          <w:szCs w:val="22"/>
        </w:rPr>
        <w:t>summarises</w:t>
      </w:r>
      <w:r>
        <w:rPr>
          <w:rFonts w:cs="Arial"/>
          <w:sz w:val="22"/>
          <w:szCs w:val="22"/>
        </w:rPr>
        <w:t xml:space="preserve"> the biological effects of underwater sound as reported by Parvin (2005).</w:t>
      </w:r>
    </w:p>
    <w:p w14:paraId="26B7D773" w14:textId="77777777" w:rsidR="001D1000" w:rsidRDefault="001D1000" w:rsidP="001D1000">
      <w:pPr>
        <w:ind w:left="0"/>
        <w:rPr>
          <w:rFonts w:cs="Arial"/>
          <w:sz w:val="22"/>
          <w:szCs w:val="22"/>
        </w:rPr>
      </w:pPr>
      <w:r w:rsidRPr="00EE3866">
        <w:rPr>
          <w:rFonts w:cs="Arial"/>
          <w:sz w:val="22"/>
          <w:szCs w:val="22"/>
        </w:rPr>
        <w:t xml:space="preserve">A </w:t>
      </w:r>
      <w:r w:rsidRPr="002A72E2">
        <w:rPr>
          <w:rFonts w:cs="Arial"/>
          <w:sz w:val="22"/>
          <w:szCs w:val="22"/>
        </w:rPr>
        <w:t>safety criterion of 155 dB re 1 μPa for frequencies between 500 and 2</w:t>
      </w:r>
      <w:r>
        <w:rPr>
          <w:rFonts w:cs="Arial"/>
          <w:sz w:val="22"/>
          <w:szCs w:val="22"/>
        </w:rPr>
        <w:t>,</w:t>
      </w:r>
      <w:r w:rsidRPr="002A72E2">
        <w:rPr>
          <w:rFonts w:cs="Arial"/>
          <w:sz w:val="22"/>
          <w:szCs w:val="22"/>
        </w:rPr>
        <w:t>500 Hz was therefore suggested (</w:t>
      </w:r>
      <w:hyperlink r:id="rId282" w:anchor="_ENREF_38" w:tooltip="Parvin, 2002 #23431" w:history="1">
        <w:r w:rsidRPr="002A72E2">
          <w:rPr>
            <w:rFonts w:cs="Arial"/>
            <w:sz w:val="22"/>
            <w:szCs w:val="22"/>
          </w:rPr>
          <w:t xml:space="preserve">Parvin </w:t>
        </w:r>
        <w:r w:rsidRPr="002A72E2">
          <w:rPr>
            <w:rFonts w:cs="Arial"/>
            <w:i/>
            <w:sz w:val="22"/>
            <w:szCs w:val="22"/>
          </w:rPr>
          <w:t>et al</w:t>
        </w:r>
        <w:r w:rsidRPr="002A72E2">
          <w:rPr>
            <w:rFonts w:cs="Arial"/>
            <w:sz w:val="22"/>
            <w:szCs w:val="22"/>
          </w:rPr>
          <w:t>., 2002</w:t>
        </w:r>
      </w:hyperlink>
      <w:r w:rsidRPr="002A72E2">
        <w:rPr>
          <w:rFonts w:cs="Arial"/>
          <w:sz w:val="22"/>
          <w:szCs w:val="22"/>
        </w:rPr>
        <w:t>)</w:t>
      </w:r>
      <w:r>
        <w:rPr>
          <w:rFonts w:cs="Arial"/>
          <w:sz w:val="22"/>
          <w:szCs w:val="22"/>
        </w:rPr>
        <w:t xml:space="preserve"> and has been adopted for this project</w:t>
      </w:r>
      <w:r w:rsidRPr="002A72E2">
        <w:rPr>
          <w:rFonts w:cs="Arial"/>
          <w:sz w:val="22"/>
          <w:szCs w:val="22"/>
        </w:rPr>
        <w:t>. This is supported by a literature review undertaken by Ainslie (2008), which suggests that a safety</w:t>
      </w:r>
      <w:r>
        <w:rPr>
          <w:rFonts w:cs="Arial"/>
          <w:sz w:val="22"/>
          <w:szCs w:val="22"/>
        </w:rPr>
        <w:t xml:space="preserve"> criterion of 155 </w:t>
      </w:r>
      <w:r w:rsidRPr="00E14693">
        <w:rPr>
          <w:rFonts w:cs="Arial"/>
          <w:sz w:val="22"/>
          <w:szCs w:val="22"/>
        </w:rPr>
        <w:t>dB re 1 μPa</w:t>
      </w:r>
      <w:r>
        <w:rPr>
          <w:rFonts w:cs="Arial"/>
          <w:sz w:val="22"/>
          <w:szCs w:val="22"/>
        </w:rPr>
        <w:t xml:space="preserve"> </w:t>
      </w:r>
      <w:r w:rsidRPr="00E14693">
        <w:rPr>
          <w:rFonts w:cs="Arial"/>
          <w:sz w:val="22"/>
          <w:szCs w:val="22"/>
        </w:rPr>
        <w:t xml:space="preserve">for frequencies between 500 and 2,500 Hz </w:t>
      </w:r>
      <w:r>
        <w:rPr>
          <w:rFonts w:cs="Arial"/>
          <w:sz w:val="22"/>
          <w:szCs w:val="22"/>
        </w:rPr>
        <w:t xml:space="preserve">is appropriate for non-military or non-alerted divers. </w:t>
      </w:r>
    </w:p>
    <w:p w14:paraId="75D10CA6" w14:textId="77777777" w:rsidR="001D1000" w:rsidRDefault="001D1000" w:rsidP="001D1000">
      <w:pPr>
        <w:ind w:left="0"/>
        <w:rPr>
          <w:rFonts w:cs="Arial"/>
          <w:sz w:val="22"/>
          <w:szCs w:val="22"/>
        </w:rPr>
      </w:pPr>
    </w:p>
    <w:p w14:paraId="4BE837F7" w14:textId="6FDF2D25" w:rsidR="001D1000" w:rsidRDefault="001D1000" w:rsidP="001D1000">
      <w:pPr>
        <w:ind w:left="0"/>
        <w:rPr>
          <w:rFonts w:cs="Arial"/>
          <w:sz w:val="22"/>
          <w:szCs w:val="22"/>
        </w:rPr>
      </w:pPr>
      <w:r>
        <w:rPr>
          <w:rFonts w:cs="Arial"/>
          <w:sz w:val="22"/>
          <w:szCs w:val="22"/>
        </w:rPr>
        <w:t xml:space="preserve">It is important to note that the 155 dB re </w:t>
      </w:r>
      <w:r w:rsidRPr="00E14693">
        <w:rPr>
          <w:rFonts w:cs="Arial"/>
          <w:sz w:val="22"/>
          <w:szCs w:val="22"/>
        </w:rPr>
        <w:t>re 1 μPa</w:t>
      </w:r>
      <w:r>
        <w:rPr>
          <w:rFonts w:cs="Arial"/>
          <w:sz w:val="22"/>
          <w:szCs w:val="22"/>
        </w:rPr>
        <w:t xml:space="preserve"> SPL criterion applied in the STLM is not one that implies the onset of injury to humans</w:t>
      </w:r>
      <w:r w:rsidRPr="002A72E2">
        <w:rPr>
          <w:rFonts w:cs="Arial"/>
          <w:sz w:val="22"/>
          <w:szCs w:val="22"/>
        </w:rPr>
        <w:t>. Exposure studies related to divers have typically focused on military sonar exposure, with little information on seismic surveys. A precautionary safety criterion for divers for exposure to low frequency active sonar with signals between 500 and 2,500 Hz of 155 dB re 1 μPa (SPL) is commonly applied (including for shipping and port operations and international dive sites). This level is clearly audible above diver self-noise (breathing), but has not been shown to cause any physical injury. Because the majority of energy from an airgun array is below 500 Hz, and to add a further level of precaution, the safety criterion is assessed over the entire modelled frequency range (5 Hz to 25 kHz).</w:t>
      </w:r>
    </w:p>
    <w:p w14:paraId="5FD3D38F" w14:textId="77777777" w:rsidR="001D1000" w:rsidRDefault="001D1000" w:rsidP="001D1000">
      <w:pPr>
        <w:ind w:left="0"/>
        <w:rPr>
          <w:rFonts w:cs="Arial"/>
          <w:sz w:val="22"/>
          <w:szCs w:val="22"/>
        </w:rPr>
      </w:pPr>
    </w:p>
    <w:p w14:paraId="5C67FD2C" w14:textId="77777777" w:rsidR="001D1000" w:rsidRDefault="001D1000" w:rsidP="001D1000">
      <w:pPr>
        <w:ind w:left="0"/>
        <w:rPr>
          <w:rFonts w:cs="Arial"/>
          <w:sz w:val="22"/>
          <w:szCs w:val="22"/>
        </w:rPr>
      </w:pPr>
    </w:p>
    <w:p w14:paraId="1C68743A" w14:textId="77777777" w:rsidR="001D1000" w:rsidRDefault="001D1000" w:rsidP="001D1000">
      <w:pPr>
        <w:ind w:left="0"/>
        <w:rPr>
          <w:rFonts w:cs="Arial"/>
          <w:sz w:val="22"/>
          <w:szCs w:val="22"/>
        </w:rPr>
      </w:pPr>
    </w:p>
    <w:p w14:paraId="6E3F967B" w14:textId="77777777" w:rsidR="001D1000" w:rsidRDefault="001D1000" w:rsidP="001D1000">
      <w:pPr>
        <w:ind w:left="0"/>
        <w:rPr>
          <w:rFonts w:cs="Arial"/>
          <w:sz w:val="22"/>
          <w:szCs w:val="22"/>
        </w:rPr>
      </w:pPr>
    </w:p>
    <w:p w14:paraId="187CDC7B" w14:textId="77777777" w:rsidR="001D1000" w:rsidRDefault="001D1000" w:rsidP="001D1000">
      <w:pPr>
        <w:ind w:left="0"/>
        <w:rPr>
          <w:rFonts w:cs="Arial"/>
          <w:sz w:val="22"/>
          <w:szCs w:val="22"/>
        </w:rPr>
      </w:pPr>
    </w:p>
    <w:p w14:paraId="09230E76" w14:textId="77777777" w:rsidR="001D1000" w:rsidRDefault="001D1000" w:rsidP="001D1000">
      <w:pPr>
        <w:ind w:left="0"/>
        <w:rPr>
          <w:rFonts w:cs="Arial"/>
          <w:sz w:val="22"/>
          <w:szCs w:val="22"/>
        </w:rPr>
      </w:pPr>
    </w:p>
    <w:p w14:paraId="20EE8C0D" w14:textId="77777777" w:rsidR="001D1000" w:rsidRDefault="001D1000" w:rsidP="001D1000">
      <w:pPr>
        <w:ind w:left="0"/>
        <w:rPr>
          <w:rFonts w:cs="Arial"/>
          <w:sz w:val="22"/>
          <w:szCs w:val="22"/>
        </w:rPr>
      </w:pPr>
    </w:p>
    <w:p w14:paraId="7A7F97A0" w14:textId="77777777" w:rsidR="001D1000" w:rsidRDefault="001D1000" w:rsidP="001D1000">
      <w:pPr>
        <w:ind w:left="0"/>
        <w:rPr>
          <w:rFonts w:cs="Arial"/>
          <w:sz w:val="22"/>
          <w:szCs w:val="22"/>
        </w:rPr>
      </w:pPr>
    </w:p>
    <w:p w14:paraId="5039FFE5" w14:textId="53DA6224" w:rsidR="00E30BD8" w:rsidRDefault="00E30BD8">
      <w:pPr>
        <w:spacing w:line="240" w:lineRule="auto"/>
        <w:ind w:left="0"/>
        <w:rPr>
          <w:rFonts w:cs="Arial"/>
          <w:b/>
          <w:sz w:val="20"/>
          <w:szCs w:val="20"/>
        </w:rPr>
      </w:pPr>
    </w:p>
    <w:p w14:paraId="65DDA190" w14:textId="769DB03B" w:rsidR="00E90408" w:rsidRPr="007B747F" w:rsidRDefault="00E90408" w:rsidP="00E90408">
      <w:pPr>
        <w:spacing w:after="120" w:line="240" w:lineRule="auto"/>
        <w:ind w:left="0"/>
        <w:jc w:val="center"/>
        <w:rPr>
          <w:rFonts w:cs="Arial"/>
          <w:b/>
          <w:sz w:val="20"/>
          <w:szCs w:val="20"/>
        </w:rPr>
      </w:pPr>
      <w:r w:rsidRPr="007B747F">
        <w:rPr>
          <w:rFonts w:cs="Arial"/>
          <w:b/>
          <w:sz w:val="20"/>
          <w:szCs w:val="20"/>
        </w:rPr>
        <w:t>Table 7.</w:t>
      </w:r>
      <w:r w:rsidR="000077FF">
        <w:rPr>
          <w:rFonts w:cs="Arial"/>
          <w:b/>
          <w:sz w:val="20"/>
          <w:szCs w:val="20"/>
        </w:rPr>
        <w:t>3</w:t>
      </w:r>
      <w:r w:rsidR="009E4DC8">
        <w:rPr>
          <w:rFonts w:cs="Arial"/>
          <w:b/>
          <w:sz w:val="20"/>
          <w:szCs w:val="20"/>
        </w:rPr>
        <w:t>3</w:t>
      </w:r>
      <w:r w:rsidRPr="007B747F">
        <w:rPr>
          <w:rFonts w:cs="Arial"/>
          <w:b/>
          <w:sz w:val="20"/>
          <w:szCs w:val="20"/>
        </w:rPr>
        <w:tab/>
      </w:r>
      <w:r w:rsidR="00D3525E">
        <w:rPr>
          <w:rFonts w:cs="Arial"/>
          <w:b/>
          <w:sz w:val="20"/>
          <w:szCs w:val="20"/>
        </w:rPr>
        <w:t>B</w:t>
      </w:r>
      <w:r w:rsidRPr="007B747F">
        <w:rPr>
          <w:rFonts w:cs="Arial"/>
          <w:b/>
          <w:sz w:val="20"/>
          <w:szCs w:val="20"/>
        </w:rPr>
        <w:t>io</w:t>
      </w:r>
      <w:r w:rsidR="00D3525E">
        <w:rPr>
          <w:rFonts w:cs="Arial"/>
          <w:b/>
          <w:sz w:val="20"/>
          <w:szCs w:val="20"/>
        </w:rPr>
        <w:t>logical effects of underwater sound</w:t>
      </w:r>
    </w:p>
    <w:tbl>
      <w:tblPr>
        <w:tblStyle w:val="TableGrid"/>
        <w:tblW w:w="82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6521"/>
      </w:tblGrid>
      <w:tr w:rsidR="00E90408" w:rsidRPr="007B747F" w14:paraId="3CF7CD2C" w14:textId="77777777" w:rsidTr="00E90408">
        <w:trPr>
          <w:tblHeader/>
        </w:trPr>
        <w:tc>
          <w:tcPr>
            <w:tcW w:w="1701" w:type="dxa"/>
            <w:shd w:val="clear" w:color="auto" w:fill="064EA8"/>
          </w:tcPr>
          <w:p w14:paraId="028C0C46" w14:textId="77777777" w:rsidR="00E90408" w:rsidRPr="007B747F" w:rsidRDefault="00E90408" w:rsidP="00E90408">
            <w:pPr>
              <w:pStyle w:val="tabletitles"/>
              <w:rPr>
                <w:b w:val="0"/>
                <w:color w:val="FFFFFF" w:themeColor="background1"/>
                <w:sz w:val="20"/>
              </w:rPr>
            </w:pPr>
            <w:r w:rsidRPr="007B747F">
              <w:rPr>
                <w:b w:val="0"/>
                <w:color w:val="FFFFFF" w:themeColor="background1"/>
                <w:sz w:val="20"/>
              </w:rPr>
              <w:t>SPL dB re 1uPa</w:t>
            </w:r>
          </w:p>
        </w:tc>
        <w:tc>
          <w:tcPr>
            <w:tcW w:w="6521" w:type="dxa"/>
            <w:shd w:val="clear" w:color="auto" w:fill="064EA8"/>
          </w:tcPr>
          <w:p w14:paraId="51BF8FAD" w14:textId="41907C65" w:rsidR="00E90408" w:rsidRPr="007B747F" w:rsidRDefault="00E90408" w:rsidP="001E6872">
            <w:pPr>
              <w:pStyle w:val="tabletitles"/>
              <w:rPr>
                <w:b w:val="0"/>
                <w:color w:val="FFFFFF" w:themeColor="background1"/>
                <w:sz w:val="20"/>
              </w:rPr>
            </w:pPr>
            <w:r w:rsidRPr="007B747F">
              <w:rPr>
                <w:b w:val="0"/>
                <w:color w:val="FFFFFF" w:themeColor="background1"/>
                <w:sz w:val="20"/>
              </w:rPr>
              <w:t>Effect (</w:t>
            </w:r>
            <w:r w:rsidR="001E6872">
              <w:rPr>
                <w:b w:val="0"/>
                <w:color w:val="FFFFFF" w:themeColor="background1"/>
                <w:sz w:val="20"/>
              </w:rPr>
              <w:t>5</w:t>
            </w:r>
            <w:r w:rsidRPr="007B747F">
              <w:rPr>
                <w:b w:val="0"/>
                <w:color w:val="FFFFFF" w:themeColor="background1"/>
                <w:sz w:val="20"/>
              </w:rPr>
              <w:t xml:space="preserve">00 to </w:t>
            </w:r>
            <w:r w:rsidR="001E6872">
              <w:rPr>
                <w:b w:val="0"/>
                <w:color w:val="FFFFFF" w:themeColor="background1"/>
                <w:sz w:val="20"/>
              </w:rPr>
              <w:t>2,</w:t>
            </w:r>
            <w:r w:rsidRPr="007B747F">
              <w:rPr>
                <w:b w:val="0"/>
                <w:color w:val="FFFFFF" w:themeColor="background1"/>
                <w:sz w:val="20"/>
              </w:rPr>
              <w:t>500 Hz)</w:t>
            </w:r>
          </w:p>
        </w:tc>
      </w:tr>
      <w:tr w:rsidR="00D3525E" w:rsidRPr="007B747F" w14:paraId="533EB9FE" w14:textId="77777777" w:rsidTr="00D3525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8222" w:type="dxa"/>
            <w:gridSpan w:val="2"/>
            <w:shd w:val="clear" w:color="auto" w:fill="D9D9D9" w:themeFill="background1" w:themeFillShade="D9"/>
          </w:tcPr>
          <w:p w14:paraId="62C24E32" w14:textId="358AD696" w:rsidR="00D3525E" w:rsidRDefault="00D3525E" w:rsidP="001D5AC1">
            <w:pPr>
              <w:spacing w:before="60" w:after="60" w:line="240" w:lineRule="auto"/>
              <w:ind w:left="0"/>
              <w:rPr>
                <w:rFonts w:cs="Arial"/>
                <w:sz w:val="20"/>
                <w:szCs w:val="20"/>
              </w:rPr>
            </w:pPr>
            <w:r>
              <w:rPr>
                <w:rFonts w:cs="Arial"/>
                <w:sz w:val="20"/>
                <w:szCs w:val="20"/>
              </w:rPr>
              <w:t>100 – 500 Hz (low frequency)</w:t>
            </w:r>
          </w:p>
        </w:tc>
      </w:tr>
      <w:tr w:rsidR="00D3525E" w:rsidRPr="007B747F" w14:paraId="3B90D284" w14:textId="77777777" w:rsidTr="00E90408">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1" w:type="dxa"/>
          </w:tcPr>
          <w:p w14:paraId="55C8F527" w14:textId="12B1B43E" w:rsidR="00D3525E" w:rsidRDefault="00D3525E" w:rsidP="001D5AC1">
            <w:pPr>
              <w:spacing w:before="60" w:after="60" w:line="240" w:lineRule="auto"/>
              <w:ind w:left="0"/>
              <w:rPr>
                <w:rFonts w:cs="Arial"/>
                <w:sz w:val="20"/>
                <w:szCs w:val="20"/>
              </w:rPr>
            </w:pPr>
            <w:r w:rsidRPr="007B747F">
              <w:rPr>
                <w:rFonts w:cs="Arial"/>
                <w:sz w:val="20"/>
                <w:szCs w:val="20"/>
              </w:rPr>
              <w:t>170+</w:t>
            </w:r>
          </w:p>
        </w:tc>
        <w:tc>
          <w:tcPr>
            <w:tcW w:w="6521" w:type="dxa"/>
          </w:tcPr>
          <w:p w14:paraId="1971BDF3" w14:textId="465C6632" w:rsidR="00D3525E" w:rsidRDefault="00D3525E" w:rsidP="001D5AC1">
            <w:pPr>
              <w:spacing w:before="60" w:after="60" w:line="240" w:lineRule="auto"/>
              <w:ind w:left="0"/>
              <w:rPr>
                <w:rFonts w:cs="Arial"/>
                <w:sz w:val="20"/>
                <w:szCs w:val="20"/>
              </w:rPr>
            </w:pPr>
            <w:r w:rsidRPr="007B747F">
              <w:rPr>
                <w:rFonts w:cs="Arial"/>
                <w:sz w:val="20"/>
                <w:szCs w:val="20"/>
              </w:rPr>
              <w:t>Tolerance limit for divers and swimmers. Sound causes lung and body vibration.</w:t>
            </w:r>
          </w:p>
        </w:tc>
      </w:tr>
      <w:tr w:rsidR="00D3525E" w:rsidRPr="007B747F" w14:paraId="7F3F714A" w14:textId="77777777" w:rsidTr="00E90408">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1" w:type="dxa"/>
          </w:tcPr>
          <w:p w14:paraId="3A2FC415" w14:textId="61C96FEE" w:rsidR="00D3525E" w:rsidRDefault="00D3525E" w:rsidP="001D5AC1">
            <w:pPr>
              <w:spacing w:before="60" w:after="60" w:line="240" w:lineRule="auto"/>
              <w:ind w:left="0"/>
              <w:rPr>
                <w:rFonts w:cs="Arial"/>
                <w:sz w:val="20"/>
                <w:szCs w:val="20"/>
              </w:rPr>
            </w:pPr>
            <w:r w:rsidRPr="007B747F">
              <w:rPr>
                <w:rFonts w:cs="Arial"/>
                <w:sz w:val="20"/>
                <w:szCs w:val="20"/>
              </w:rPr>
              <w:t>148-157</w:t>
            </w:r>
          </w:p>
        </w:tc>
        <w:tc>
          <w:tcPr>
            <w:tcW w:w="6521" w:type="dxa"/>
          </w:tcPr>
          <w:p w14:paraId="55823531" w14:textId="07D7E4F1" w:rsidR="00D3525E" w:rsidRDefault="00D3525E" w:rsidP="001D5AC1">
            <w:pPr>
              <w:spacing w:before="60" w:after="60" w:line="240" w:lineRule="auto"/>
              <w:ind w:left="0"/>
              <w:rPr>
                <w:rFonts w:cs="Arial"/>
                <w:sz w:val="20"/>
                <w:szCs w:val="20"/>
              </w:rPr>
            </w:pPr>
            <w:r w:rsidRPr="007B747F">
              <w:rPr>
                <w:rFonts w:cs="Arial"/>
                <w:sz w:val="20"/>
                <w:szCs w:val="20"/>
              </w:rPr>
              <w:t>The loundness and vibration levels become increasingly aversive. Some divers will contemplate aborting an open water dive.</w:t>
            </w:r>
          </w:p>
        </w:tc>
      </w:tr>
      <w:tr w:rsidR="00D3525E" w:rsidRPr="007B747F" w14:paraId="2D05911A" w14:textId="77777777" w:rsidTr="00E90408">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1" w:type="dxa"/>
          </w:tcPr>
          <w:p w14:paraId="0CCA7345" w14:textId="00769F1D" w:rsidR="00D3525E" w:rsidRDefault="00D3525E" w:rsidP="001D5AC1">
            <w:pPr>
              <w:spacing w:before="60" w:after="60" w:line="240" w:lineRule="auto"/>
              <w:ind w:left="0"/>
              <w:rPr>
                <w:rFonts w:cs="Arial"/>
                <w:sz w:val="20"/>
                <w:szCs w:val="20"/>
              </w:rPr>
            </w:pPr>
            <w:r w:rsidRPr="007B747F">
              <w:rPr>
                <w:rFonts w:cs="Arial"/>
                <w:sz w:val="20"/>
                <w:szCs w:val="20"/>
              </w:rPr>
              <w:t>140-148</w:t>
            </w:r>
          </w:p>
        </w:tc>
        <w:tc>
          <w:tcPr>
            <w:tcW w:w="6521" w:type="dxa"/>
          </w:tcPr>
          <w:p w14:paraId="4DB4D2BE" w14:textId="61C2B96E" w:rsidR="00D3525E" w:rsidRDefault="00D3525E" w:rsidP="001D5AC1">
            <w:pPr>
              <w:spacing w:before="60" w:after="60" w:line="240" w:lineRule="auto"/>
              <w:ind w:left="0"/>
              <w:rPr>
                <w:rFonts w:cs="Arial"/>
                <w:sz w:val="20"/>
                <w:szCs w:val="20"/>
              </w:rPr>
            </w:pPr>
            <w:r w:rsidRPr="007B747F">
              <w:rPr>
                <w:rFonts w:cs="Arial"/>
                <w:sz w:val="20"/>
                <w:szCs w:val="20"/>
              </w:rPr>
              <w:t>A small number of divers rate the sound as “very severe”.</w:t>
            </w:r>
          </w:p>
        </w:tc>
      </w:tr>
      <w:tr w:rsidR="00D3525E" w:rsidRPr="007B747F" w14:paraId="2E6FEF8C" w14:textId="77777777" w:rsidTr="00E90408">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1" w:type="dxa"/>
          </w:tcPr>
          <w:p w14:paraId="78D30DDC" w14:textId="06509D03" w:rsidR="00D3525E" w:rsidRDefault="00D3525E" w:rsidP="001D5AC1">
            <w:pPr>
              <w:spacing w:before="60" w:after="60" w:line="240" w:lineRule="auto"/>
              <w:ind w:left="0"/>
              <w:rPr>
                <w:rFonts w:cs="Arial"/>
                <w:sz w:val="20"/>
                <w:szCs w:val="20"/>
              </w:rPr>
            </w:pPr>
            <w:r w:rsidRPr="007B747F">
              <w:rPr>
                <w:rFonts w:cs="Arial"/>
                <w:sz w:val="20"/>
                <w:szCs w:val="20"/>
              </w:rPr>
              <w:t>136-140</w:t>
            </w:r>
          </w:p>
        </w:tc>
        <w:tc>
          <w:tcPr>
            <w:tcW w:w="6521" w:type="dxa"/>
          </w:tcPr>
          <w:p w14:paraId="53C7AE20" w14:textId="5DA4382E" w:rsidR="00D3525E" w:rsidRDefault="00D3525E" w:rsidP="001D5AC1">
            <w:pPr>
              <w:spacing w:before="60" w:after="60" w:line="240" w:lineRule="auto"/>
              <w:ind w:left="0"/>
              <w:rPr>
                <w:rFonts w:cs="Arial"/>
                <w:sz w:val="20"/>
                <w:szCs w:val="20"/>
              </w:rPr>
            </w:pPr>
            <w:r w:rsidRPr="007B747F">
              <w:rPr>
                <w:rFonts w:cs="Arial"/>
                <w:sz w:val="20"/>
                <w:szCs w:val="20"/>
              </w:rPr>
              <w:t>The sound is clearly audible. The majority of divers tolerate the sound well with only “slight” aversion.</w:t>
            </w:r>
          </w:p>
        </w:tc>
      </w:tr>
      <w:tr w:rsidR="00D3525E" w:rsidRPr="007B747F" w14:paraId="7872AE89" w14:textId="77777777" w:rsidTr="00E90408">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1" w:type="dxa"/>
          </w:tcPr>
          <w:p w14:paraId="2A42FD90" w14:textId="000C307B" w:rsidR="00D3525E" w:rsidRDefault="00D3525E" w:rsidP="001D5AC1">
            <w:pPr>
              <w:spacing w:before="60" w:after="60" w:line="240" w:lineRule="auto"/>
              <w:ind w:left="0"/>
              <w:rPr>
                <w:rFonts w:cs="Arial"/>
                <w:sz w:val="20"/>
                <w:szCs w:val="20"/>
              </w:rPr>
            </w:pPr>
            <w:r w:rsidRPr="007B747F">
              <w:rPr>
                <w:rFonts w:cs="Arial"/>
                <w:sz w:val="20"/>
                <w:szCs w:val="20"/>
              </w:rPr>
              <w:t>130</w:t>
            </w:r>
          </w:p>
        </w:tc>
        <w:tc>
          <w:tcPr>
            <w:tcW w:w="6521" w:type="dxa"/>
          </w:tcPr>
          <w:p w14:paraId="67065188" w14:textId="6EAC8425" w:rsidR="00D3525E" w:rsidRDefault="00D3525E" w:rsidP="001D5AC1">
            <w:pPr>
              <w:spacing w:before="60" w:after="60" w:line="240" w:lineRule="auto"/>
              <w:ind w:left="0"/>
              <w:rPr>
                <w:rFonts w:cs="Arial"/>
                <w:sz w:val="20"/>
                <w:szCs w:val="20"/>
              </w:rPr>
            </w:pPr>
            <w:r w:rsidRPr="007B747F">
              <w:rPr>
                <w:rFonts w:cs="Arial"/>
                <w:sz w:val="20"/>
                <w:szCs w:val="20"/>
              </w:rPr>
              <w:t>Divers and swimmers able to detect body vibration.</w:t>
            </w:r>
          </w:p>
        </w:tc>
      </w:tr>
      <w:tr w:rsidR="00D3525E" w:rsidRPr="007B747F" w14:paraId="3B7F2DED" w14:textId="77777777" w:rsidTr="00E90408">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1" w:type="dxa"/>
          </w:tcPr>
          <w:p w14:paraId="1AEF9920" w14:textId="6B5678C0" w:rsidR="00D3525E" w:rsidRDefault="00D3525E" w:rsidP="001D5AC1">
            <w:pPr>
              <w:spacing w:before="60" w:after="60" w:line="240" w:lineRule="auto"/>
              <w:ind w:left="0"/>
              <w:rPr>
                <w:rFonts w:cs="Arial"/>
                <w:sz w:val="20"/>
                <w:szCs w:val="20"/>
              </w:rPr>
            </w:pPr>
            <w:r w:rsidRPr="007B747F">
              <w:rPr>
                <w:rFonts w:cs="Arial"/>
                <w:sz w:val="20"/>
                <w:szCs w:val="20"/>
              </w:rPr>
              <w:t>80-100</w:t>
            </w:r>
          </w:p>
        </w:tc>
        <w:tc>
          <w:tcPr>
            <w:tcW w:w="6521" w:type="dxa"/>
          </w:tcPr>
          <w:p w14:paraId="74D21BBE" w14:textId="6F634838" w:rsidR="00D3525E" w:rsidRDefault="00D3525E" w:rsidP="001D5AC1">
            <w:pPr>
              <w:spacing w:before="60" w:after="60" w:line="240" w:lineRule="auto"/>
              <w:ind w:left="0"/>
              <w:rPr>
                <w:rFonts w:cs="Arial"/>
                <w:sz w:val="20"/>
                <w:szCs w:val="20"/>
              </w:rPr>
            </w:pPr>
            <w:r w:rsidRPr="007B747F">
              <w:rPr>
                <w:rFonts w:cs="Arial"/>
                <w:sz w:val="20"/>
                <w:szCs w:val="20"/>
              </w:rPr>
              <w:t>Auditory thresholds.</w:t>
            </w:r>
          </w:p>
        </w:tc>
      </w:tr>
      <w:tr w:rsidR="00D3525E" w:rsidRPr="007B747F" w14:paraId="312BAC45" w14:textId="77777777" w:rsidTr="009C4735">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8222" w:type="dxa"/>
            <w:gridSpan w:val="2"/>
            <w:shd w:val="clear" w:color="auto" w:fill="D9D9D9" w:themeFill="background1" w:themeFillShade="D9"/>
          </w:tcPr>
          <w:p w14:paraId="0B86104A" w14:textId="57300265" w:rsidR="00D3525E" w:rsidRDefault="00D3525E" w:rsidP="001D5AC1">
            <w:pPr>
              <w:spacing w:before="60" w:after="60" w:line="240" w:lineRule="auto"/>
              <w:ind w:left="0"/>
              <w:rPr>
                <w:rFonts w:cs="Arial"/>
                <w:sz w:val="20"/>
                <w:szCs w:val="20"/>
              </w:rPr>
            </w:pPr>
            <w:r>
              <w:rPr>
                <w:rFonts w:cs="Arial"/>
                <w:sz w:val="20"/>
                <w:szCs w:val="20"/>
              </w:rPr>
              <w:t>500 to 2,500 Hz</w:t>
            </w:r>
          </w:p>
        </w:tc>
      </w:tr>
      <w:tr w:rsidR="00D3525E" w:rsidRPr="007B747F" w14:paraId="41E11380" w14:textId="77777777" w:rsidTr="00E90408">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1" w:type="dxa"/>
          </w:tcPr>
          <w:p w14:paraId="69528E7D" w14:textId="72B5E452" w:rsidR="00D3525E" w:rsidRDefault="00D3525E" w:rsidP="001D5AC1">
            <w:pPr>
              <w:spacing w:before="60" w:after="60" w:line="240" w:lineRule="auto"/>
              <w:ind w:left="0"/>
              <w:rPr>
                <w:rFonts w:cs="Arial"/>
                <w:sz w:val="20"/>
                <w:szCs w:val="20"/>
              </w:rPr>
            </w:pPr>
            <w:r>
              <w:rPr>
                <w:rFonts w:cs="Arial"/>
                <w:sz w:val="20"/>
                <w:szCs w:val="20"/>
              </w:rPr>
              <w:t>190+</w:t>
            </w:r>
          </w:p>
        </w:tc>
        <w:tc>
          <w:tcPr>
            <w:tcW w:w="6521" w:type="dxa"/>
          </w:tcPr>
          <w:p w14:paraId="1F315044" w14:textId="54F034FB" w:rsidR="00D3525E" w:rsidRPr="007B747F" w:rsidRDefault="00D3525E" w:rsidP="00D3525E">
            <w:pPr>
              <w:spacing w:before="60" w:after="60" w:line="240" w:lineRule="auto"/>
              <w:ind w:left="0"/>
              <w:rPr>
                <w:rFonts w:cs="Arial"/>
                <w:sz w:val="20"/>
                <w:szCs w:val="20"/>
              </w:rPr>
            </w:pPr>
            <w:r>
              <w:rPr>
                <w:rFonts w:cs="Arial"/>
                <w:sz w:val="20"/>
                <w:szCs w:val="20"/>
              </w:rPr>
              <w:t xml:space="preserve">Hooded diver tolerance limit. </w:t>
            </w:r>
          </w:p>
        </w:tc>
      </w:tr>
      <w:tr w:rsidR="00D3525E" w:rsidRPr="007B747F" w14:paraId="7417CD30" w14:textId="77777777" w:rsidTr="00E90408">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1" w:type="dxa"/>
          </w:tcPr>
          <w:p w14:paraId="0986DBFE" w14:textId="0DA65C9D" w:rsidR="00D3525E" w:rsidRPr="007B747F" w:rsidRDefault="00D3525E" w:rsidP="001D5AC1">
            <w:pPr>
              <w:spacing w:before="60" w:after="60" w:line="240" w:lineRule="auto"/>
              <w:ind w:left="0"/>
              <w:rPr>
                <w:rFonts w:cs="Arial"/>
                <w:sz w:val="20"/>
                <w:szCs w:val="20"/>
              </w:rPr>
            </w:pPr>
            <w:r>
              <w:rPr>
                <w:rFonts w:cs="Arial"/>
                <w:sz w:val="20"/>
                <w:szCs w:val="20"/>
              </w:rPr>
              <w:t>167-185</w:t>
            </w:r>
          </w:p>
        </w:tc>
        <w:tc>
          <w:tcPr>
            <w:tcW w:w="6521" w:type="dxa"/>
          </w:tcPr>
          <w:p w14:paraId="31A5B49F" w14:textId="77777777" w:rsidR="00D3525E" w:rsidRDefault="00D3525E" w:rsidP="001D5AC1">
            <w:pPr>
              <w:spacing w:before="60" w:after="60" w:line="240" w:lineRule="auto"/>
              <w:ind w:left="0"/>
              <w:rPr>
                <w:rFonts w:cs="Arial"/>
                <w:sz w:val="20"/>
                <w:szCs w:val="20"/>
              </w:rPr>
            </w:pPr>
            <w:r w:rsidRPr="007B747F">
              <w:rPr>
                <w:rFonts w:cs="Arial"/>
                <w:sz w:val="20"/>
                <w:szCs w:val="20"/>
              </w:rPr>
              <w:t xml:space="preserve">Tolerance limit for </w:t>
            </w:r>
            <w:r>
              <w:rPr>
                <w:rFonts w:cs="Arial"/>
                <w:sz w:val="20"/>
                <w:szCs w:val="20"/>
              </w:rPr>
              <w:t xml:space="preserve">bareheaded </w:t>
            </w:r>
            <w:r w:rsidRPr="007B747F">
              <w:rPr>
                <w:rFonts w:cs="Arial"/>
                <w:sz w:val="20"/>
                <w:szCs w:val="20"/>
              </w:rPr>
              <w:t xml:space="preserve">divers and swimmers. Sound causes </w:t>
            </w:r>
            <w:r>
              <w:rPr>
                <w:rFonts w:cs="Arial"/>
                <w:sz w:val="20"/>
                <w:szCs w:val="20"/>
              </w:rPr>
              <w:t>dizziness and disorientation.</w:t>
            </w:r>
          </w:p>
          <w:p w14:paraId="15B24BEF" w14:textId="045FC6ED" w:rsidR="00D3525E" w:rsidRPr="007B747F" w:rsidRDefault="00D3525E" w:rsidP="001D5AC1">
            <w:pPr>
              <w:spacing w:before="60" w:after="60" w:line="240" w:lineRule="auto"/>
              <w:ind w:left="0"/>
              <w:rPr>
                <w:rFonts w:cs="Arial"/>
                <w:sz w:val="20"/>
                <w:szCs w:val="20"/>
              </w:rPr>
            </w:pPr>
            <w:r>
              <w:rPr>
                <w:rFonts w:cs="Arial"/>
                <w:sz w:val="20"/>
                <w:szCs w:val="20"/>
              </w:rPr>
              <w:t>Divers in suit and hood are able to tolerate the sound well.</w:t>
            </w:r>
          </w:p>
        </w:tc>
      </w:tr>
      <w:tr w:rsidR="00D3525E" w:rsidRPr="007B747F" w14:paraId="73088EDE" w14:textId="77777777" w:rsidTr="00E90408">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1" w:type="dxa"/>
          </w:tcPr>
          <w:p w14:paraId="5027A193" w14:textId="3D0F05D6" w:rsidR="00D3525E" w:rsidRPr="007B747F" w:rsidRDefault="00D3525E" w:rsidP="00E90408">
            <w:pPr>
              <w:spacing w:before="60" w:after="60" w:line="240" w:lineRule="auto"/>
              <w:ind w:left="0"/>
              <w:rPr>
                <w:rFonts w:cs="Arial"/>
                <w:sz w:val="20"/>
                <w:szCs w:val="20"/>
              </w:rPr>
            </w:pPr>
            <w:r>
              <w:rPr>
                <w:rFonts w:cs="Arial"/>
                <w:sz w:val="20"/>
                <w:szCs w:val="20"/>
              </w:rPr>
              <w:t>155-166</w:t>
            </w:r>
          </w:p>
        </w:tc>
        <w:tc>
          <w:tcPr>
            <w:tcW w:w="6521" w:type="dxa"/>
          </w:tcPr>
          <w:p w14:paraId="1B6E56E7" w14:textId="344FB3E0" w:rsidR="00D3525E" w:rsidRPr="007B747F" w:rsidRDefault="00D3525E" w:rsidP="00E90408">
            <w:pPr>
              <w:spacing w:before="60" w:after="60" w:line="240" w:lineRule="auto"/>
              <w:ind w:left="0"/>
              <w:rPr>
                <w:rFonts w:cs="Arial"/>
                <w:sz w:val="20"/>
                <w:szCs w:val="20"/>
              </w:rPr>
            </w:pPr>
            <w:r>
              <w:rPr>
                <w:rFonts w:cs="Arial"/>
                <w:sz w:val="20"/>
                <w:szCs w:val="20"/>
              </w:rPr>
              <w:t xml:space="preserve">Divers tolerate these sounds well, although an increasing number of bareheaded divers indicate a ‘severe’ aversion rating. </w:t>
            </w:r>
          </w:p>
        </w:tc>
      </w:tr>
      <w:tr w:rsidR="00D3525E" w:rsidRPr="007B747F" w14:paraId="1A8A9F07" w14:textId="77777777" w:rsidTr="00E90408">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1" w:type="dxa"/>
          </w:tcPr>
          <w:p w14:paraId="2A5DC845" w14:textId="4393AA9F" w:rsidR="00D3525E" w:rsidRPr="007B747F" w:rsidRDefault="00D3525E" w:rsidP="00E90408">
            <w:pPr>
              <w:spacing w:before="60" w:after="60" w:line="240" w:lineRule="auto"/>
              <w:ind w:left="0"/>
              <w:rPr>
                <w:rFonts w:cs="Arial"/>
                <w:sz w:val="20"/>
                <w:szCs w:val="20"/>
              </w:rPr>
            </w:pPr>
            <w:r>
              <w:rPr>
                <w:rFonts w:cs="Arial"/>
                <w:sz w:val="20"/>
                <w:szCs w:val="20"/>
              </w:rPr>
              <w:t>140-154</w:t>
            </w:r>
          </w:p>
        </w:tc>
        <w:tc>
          <w:tcPr>
            <w:tcW w:w="6521" w:type="dxa"/>
          </w:tcPr>
          <w:p w14:paraId="6AD8CF03" w14:textId="3585B607" w:rsidR="00D3525E" w:rsidRPr="007B747F" w:rsidRDefault="00D3525E" w:rsidP="00E90408">
            <w:pPr>
              <w:spacing w:before="60" w:after="60" w:line="240" w:lineRule="auto"/>
              <w:ind w:left="0"/>
              <w:rPr>
                <w:rFonts w:cs="Arial"/>
                <w:sz w:val="20"/>
                <w:szCs w:val="20"/>
              </w:rPr>
            </w:pPr>
            <w:r>
              <w:rPr>
                <w:rFonts w:cs="Arial"/>
                <w:sz w:val="20"/>
                <w:szCs w:val="20"/>
              </w:rPr>
              <w:t xml:space="preserve">Sound is clearly audible to divers. Sound is tolerate well with only slight aversion. </w:t>
            </w:r>
          </w:p>
        </w:tc>
      </w:tr>
      <w:tr w:rsidR="00D3525E" w:rsidRPr="007B747F" w14:paraId="00B3AF67" w14:textId="77777777" w:rsidTr="00E90408">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1" w:type="dxa"/>
          </w:tcPr>
          <w:p w14:paraId="53038976" w14:textId="0348BACD" w:rsidR="00D3525E" w:rsidRPr="007B747F" w:rsidRDefault="00D3525E" w:rsidP="00E90408">
            <w:pPr>
              <w:spacing w:before="60" w:after="60" w:line="240" w:lineRule="auto"/>
              <w:ind w:left="0"/>
              <w:rPr>
                <w:rFonts w:cs="Arial"/>
                <w:sz w:val="20"/>
                <w:szCs w:val="20"/>
              </w:rPr>
            </w:pPr>
            <w:r>
              <w:rPr>
                <w:rFonts w:cs="Arial"/>
                <w:sz w:val="20"/>
                <w:szCs w:val="20"/>
              </w:rPr>
              <w:t>100</w:t>
            </w:r>
            <w:r w:rsidRPr="007B747F">
              <w:rPr>
                <w:rFonts w:cs="Arial"/>
                <w:sz w:val="20"/>
                <w:szCs w:val="20"/>
              </w:rPr>
              <w:t>-140</w:t>
            </w:r>
          </w:p>
        </w:tc>
        <w:tc>
          <w:tcPr>
            <w:tcW w:w="6521" w:type="dxa"/>
          </w:tcPr>
          <w:p w14:paraId="49BD5D5E" w14:textId="036C44E9" w:rsidR="00D3525E" w:rsidRPr="007B747F" w:rsidRDefault="00D3525E" w:rsidP="00E90408">
            <w:pPr>
              <w:spacing w:before="60" w:after="60" w:line="240" w:lineRule="auto"/>
              <w:ind w:left="0"/>
              <w:rPr>
                <w:rFonts w:cs="Arial"/>
                <w:sz w:val="20"/>
                <w:szCs w:val="20"/>
              </w:rPr>
            </w:pPr>
            <w:r>
              <w:rPr>
                <w:rFonts w:cs="Arial"/>
                <w:sz w:val="20"/>
                <w:szCs w:val="20"/>
              </w:rPr>
              <w:t>Divers hear underwater sound, but it is masked by exhaust bubble sound.</w:t>
            </w:r>
          </w:p>
        </w:tc>
      </w:tr>
      <w:tr w:rsidR="00D3525E" w:rsidRPr="007B747F" w14:paraId="70947216" w14:textId="77777777" w:rsidTr="00E90408">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1" w:type="dxa"/>
          </w:tcPr>
          <w:p w14:paraId="085CA424" w14:textId="74C7A676" w:rsidR="00D3525E" w:rsidRPr="007B747F" w:rsidRDefault="00D3525E" w:rsidP="00E90408">
            <w:pPr>
              <w:spacing w:before="60" w:after="60" w:line="240" w:lineRule="auto"/>
              <w:ind w:left="0"/>
              <w:rPr>
                <w:rFonts w:cs="Arial"/>
                <w:sz w:val="20"/>
                <w:szCs w:val="20"/>
              </w:rPr>
            </w:pPr>
            <w:r>
              <w:rPr>
                <w:rFonts w:cs="Arial"/>
                <w:sz w:val="20"/>
                <w:szCs w:val="20"/>
              </w:rPr>
              <w:t>80</w:t>
            </w:r>
          </w:p>
        </w:tc>
        <w:tc>
          <w:tcPr>
            <w:tcW w:w="6521" w:type="dxa"/>
          </w:tcPr>
          <w:p w14:paraId="6511A283" w14:textId="4331A28A" w:rsidR="00D3525E" w:rsidRPr="007B747F" w:rsidRDefault="00D3525E" w:rsidP="00E90408">
            <w:pPr>
              <w:spacing w:before="60" w:after="60" w:line="240" w:lineRule="auto"/>
              <w:ind w:left="0"/>
              <w:rPr>
                <w:rFonts w:cs="Arial"/>
                <w:sz w:val="20"/>
                <w:szCs w:val="20"/>
              </w:rPr>
            </w:pPr>
            <w:r>
              <w:rPr>
                <w:rFonts w:cs="Arial"/>
                <w:sz w:val="20"/>
                <w:szCs w:val="20"/>
              </w:rPr>
              <w:t>Hearing threshold for hooded divers.</w:t>
            </w:r>
          </w:p>
        </w:tc>
      </w:tr>
      <w:tr w:rsidR="00D3525E" w:rsidRPr="007B747F" w14:paraId="6226C11F" w14:textId="77777777" w:rsidTr="00E90408">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1" w:type="dxa"/>
          </w:tcPr>
          <w:p w14:paraId="09E9AD35" w14:textId="3037CBB0" w:rsidR="00D3525E" w:rsidRPr="007B747F" w:rsidRDefault="00D3525E" w:rsidP="00E90408">
            <w:pPr>
              <w:spacing w:before="60" w:after="60" w:line="240" w:lineRule="auto"/>
              <w:ind w:left="0"/>
              <w:rPr>
                <w:rFonts w:cs="Arial"/>
                <w:sz w:val="20"/>
                <w:szCs w:val="20"/>
              </w:rPr>
            </w:pPr>
            <w:r>
              <w:rPr>
                <w:rFonts w:cs="Arial"/>
                <w:sz w:val="20"/>
                <w:szCs w:val="20"/>
              </w:rPr>
              <w:t>65</w:t>
            </w:r>
          </w:p>
        </w:tc>
        <w:tc>
          <w:tcPr>
            <w:tcW w:w="6521" w:type="dxa"/>
          </w:tcPr>
          <w:p w14:paraId="64A67D6E" w14:textId="513BDA1D" w:rsidR="00D3525E" w:rsidRPr="007B747F" w:rsidRDefault="00D3525E" w:rsidP="00E90408">
            <w:pPr>
              <w:spacing w:before="60" w:after="60" w:line="240" w:lineRule="auto"/>
              <w:ind w:left="0"/>
              <w:rPr>
                <w:rFonts w:cs="Arial"/>
                <w:sz w:val="20"/>
                <w:szCs w:val="20"/>
              </w:rPr>
            </w:pPr>
            <w:r>
              <w:rPr>
                <w:rFonts w:cs="Arial"/>
                <w:sz w:val="20"/>
                <w:szCs w:val="20"/>
              </w:rPr>
              <w:t>Hearing threshold for barehead divers.</w:t>
            </w:r>
          </w:p>
        </w:tc>
      </w:tr>
    </w:tbl>
    <w:p w14:paraId="03CBAC24" w14:textId="77777777" w:rsidR="00E90408" w:rsidRPr="007B747F" w:rsidRDefault="00E90408" w:rsidP="00E90408">
      <w:pPr>
        <w:pStyle w:val="BodyText"/>
        <w:spacing w:before="20" w:after="240" w:line="240" w:lineRule="auto"/>
        <w:ind w:hanging="720"/>
        <w:rPr>
          <w:rFonts w:cs="Arial"/>
          <w:i/>
          <w:sz w:val="16"/>
          <w:szCs w:val="16"/>
          <w:highlight w:val="yellow"/>
        </w:rPr>
      </w:pPr>
      <w:r w:rsidRPr="007B747F">
        <w:rPr>
          <w:rFonts w:cs="Arial"/>
          <w:i/>
          <w:sz w:val="16"/>
          <w:szCs w:val="16"/>
        </w:rPr>
        <w:t>Source: Parvin (2005).</w:t>
      </w:r>
    </w:p>
    <w:p w14:paraId="7AAF4DE4" w14:textId="25B92C60" w:rsidR="00A1120A" w:rsidRDefault="00A1120A" w:rsidP="00A1120A">
      <w:pPr>
        <w:ind w:left="0"/>
        <w:rPr>
          <w:rFonts w:cs="Arial"/>
          <w:sz w:val="22"/>
          <w:szCs w:val="22"/>
        </w:rPr>
      </w:pPr>
      <w:r w:rsidRPr="002A72E2">
        <w:rPr>
          <w:rFonts w:cs="Arial"/>
          <w:sz w:val="22"/>
          <w:szCs w:val="22"/>
        </w:rPr>
        <w:t xml:space="preserve"> </w:t>
      </w:r>
    </w:p>
    <w:p w14:paraId="24DE8EBA" w14:textId="77777777" w:rsidR="00B430B1" w:rsidRPr="00E10C4D" w:rsidRDefault="00B430B1" w:rsidP="00B430B1">
      <w:pPr>
        <w:ind w:left="0"/>
        <w:rPr>
          <w:rFonts w:cs="Arial"/>
          <w:b/>
          <w:sz w:val="22"/>
          <w:szCs w:val="22"/>
        </w:rPr>
      </w:pPr>
      <w:r w:rsidRPr="00E10C4D">
        <w:rPr>
          <w:rFonts w:cs="Arial"/>
          <w:b/>
          <w:sz w:val="22"/>
          <w:szCs w:val="22"/>
        </w:rPr>
        <w:t>STLM results</w:t>
      </w:r>
    </w:p>
    <w:p w14:paraId="091647EC" w14:textId="77777777" w:rsidR="00B430B1" w:rsidRDefault="00B430B1" w:rsidP="00B430B1">
      <w:pPr>
        <w:ind w:left="0"/>
        <w:rPr>
          <w:rFonts w:cs="Arial"/>
          <w:sz w:val="22"/>
          <w:szCs w:val="22"/>
        </w:rPr>
      </w:pPr>
    </w:p>
    <w:p w14:paraId="36D1CDC0" w14:textId="1A7ECF6E" w:rsidR="00B430B1" w:rsidRDefault="00B430B1" w:rsidP="00B430B1">
      <w:pPr>
        <w:ind w:left="0"/>
        <w:rPr>
          <w:rFonts w:cs="Arial"/>
          <w:sz w:val="22"/>
          <w:szCs w:val="22"/>
        </w:rPr>
      </w:pPr>
      <w:r w:rsidRPr="009E4DC8">
        <w:rPr>
          <w:rFonts w:cs="Arial"/>
          <w:sz w:val="22"/>
          <w:szCs w:val="22"/>
        </w:rPr>
        <w:t>Table 7.</w:t>
      </w:r>
      <w:r w:rsidR="009E4DC8" w:rsidRPr="009E4DC8">
        <w:rPr>
          <w:rFonts w:cs="Arial"/>
          <w:sz w:val="22"/>
          <w:szCs w:val="22"/>
        </w:rPr>
        <w:t>3</w:t>
      </w:r>
      <w:r w:rsidR="000077FF" w:rsidRPr="009E4DC8">
        <w:rPr>
          <w:rFonts w:cs="Arial"/>
          <w:sz w:val="22"/>
          <w:szCs w:val="22"/>
        </w:rPr>
        <w:t>4</w:t>
      </w:r>
      <w:r w:rsidRPr="000077FF">
        <w:rPr>
          <w:rFonts w:cs="Arial"/>
          <w:color w:val="FF0000"/>
          <w:sz w:val="22"/>
          <w:szCs w:val="22"/>
        </w:rPr>
        <w:t xml:space="preserve"> </w:t>
      </w:r>
      <w:r w:rsidRPr="006F65F9">
        <w:rPr>
          <w:rFonts w:cs="Arial"/>
          <w:sz w:val="22"/>
          <w:szCs w:val="22"/>
        </w:rPr>
        <w:t>presents</w:t>
      </w:r>
      <w:r>
        <w:rPr>
          <w:rFonts w:cs="Arial"/>
          <w:sz w:val="22"/>
          <w:szCs w:val="22"/>
        </w:rPr>
        <w:t xml:space="preserve"> the per-pulse results at the underwater sound modelling locations, showing estimated ranges for the per-pulse effects criterion for divers</w:t>
      </w:r>
      <w:r w:rsidR="008C6F5D">
        <w:rPr>
          <w:rFonts w:cs="Arial"/>
          <w:sz w:val="22"/>
          <w:szCs w:val="22"/>
        </w:rPr>
        <w:t>. The modelling results indicate that the R</w:t>
      </w:r>
      <w:r w:rsidR="008C6F5D" w:rsidRPr="00052333">
        <w:rPr>
          <w:rFonts w:cs="Arial"/>
          <w:sz w:val="22"/>
          <w:szCs w:val="22"/>
          <w:vertAlign w:val="subscript"/>
        </w:rPr>
        <w:t>max</w:t>
      </w:r>
      <w:r w:rsidR="008C6F5D">
        <w:rPr>
          <w:rFonts w:cs="Arial"/>
          <w:sz w:val="22"/>
          <w:szCs w:val="22"/>
        </w:rPr>
        <w:t xml:space="preserve"> ranges for distances to reach threshold range from a low of 8.1 km (site 1, </w:t>
      </w:r>
      <w:r w:rsidR="00B06E55">
        <w:rPr>
          <w:rFonts w:cs="Arial"/>
          <w:sz w:val="22"/>
          <w:szCs w:val="22"/>
        </w:rPr>
        <w:t xml:space="preserve">shallowest water) </w:t>
      </w:r>
      <w:r w:rsidR="008C6F5D">
        <w:rPr>
          <w:rFonts w:cs="Arial"/>
          <w:sz w:val="22"/>
          <w:szCs w:val="22"/>
        </w:rPr>
        <w:t>to 12.3 km</w:t>
      </w:r>
      <w:r w:rsidR="00B06E55">
        <w:rPr>
          <w:rFonts w:cs="Arial"/>
          <w:sz w:val="22"/>
          <w:szCs w:val="22"/>
        </w:rPr>
        <w:t xml:space="preserve"> (site 3, mid-depth).</w:t>
      </w:r>
    </w:p>
    <w:p w14:paraId="03C07292" w14:textId="77777777" w:rsidR="00B430B1" w:rsidRPr="00E14693" w:rsidRDefault="00B430B1" w:rsidP="00B430B1">
      <w:pPr>
        <w:pStyle w:val="ListParagraph0"/>
        <w:rPr>
          <w:rFonts w:cs="Arial"/>
          <w:sz w:val="22"/>
          <w:szCs w:val="22"/>
        </w:rPr>
      </w:pPr>
    </w:p>
    <w:p w14:paraId="08F80A0F" w14:textId="0DE87C84" w:rsidR="00B430B1" w:rsidRPr="00E10C4D" w:rsidRDefault="00B430B1" w:rsidP="00B430B1">
      <w:pPr>
        <w:spacing w:after="120" w:line="240" w:lineRule="auto"/>
        <w:ind w:left="0"/>
        <w:jc w:val="center"/>
        <w:rPr>
          <w:rFonts w:cs="Arial"/>
          <w:b/>
          <w:sz w:val="20"/>
          <w:szCs w:val="20"/>
        </w:rPr>
      </w:pPr>
      <w:r w:rsidRPr="00E10C4D">
        <w:rPr>
          <w:rFonts w:cs="Arial"/>
          <w:b/>
          <w:sz w:val="20"/>
          <w:szCs w:val="20"/>
        </w:rPr>
        <w:t>Table 7.</w:t>
      </w:r>
      <w:r w:rsidR="009E4DC8">
        <w:rPr>
          <w:rFonts w:cs="Arial"/>
          <w:b/>
          <w:sz w:val="20"/>
          <w:szCs w:val="20"/>
        </w:rPr>
        <w:t>3</w:t>
      </w:r>
      <w:r w:rsidR="000077FF">
        <w:rPr>
          <w:rFonts w:cs="Arial"/>
          <w:b/>
          <w:sz w:val="20"/>
          <w:szCs w:val="20"/>
        </w:rPr>
        <w:t>4</w:t>
      </w:r>
      <w:r w:rsidRPr="00E10C4D">
        <w:rPr>
          <w:rFonts w:cs="Arial"/>
          <w:b/>
          <w:sz w:val="20"/>
          <w:szCs w:val="20"/>
        </w:rPr>
        <w:t>.</w:t>
      </w:r>
      <w:r w:rsidRPr="00E10C4D">
        <w:rPr>
          <w:rFonts w:cs="Arial"/>
          <w:b/>
          <w:sz w:val="20"/>
          <w:szCs w:val="20"/>
        </w:rPr>
        <w:tab/>
        <w:t>Maximum (R</w:t>
      </w:r>
      <w:r w:rsidRPr="00E10C4D">
        <w:rPr>
          <w:rFonts w:cs="Arial"/>
          <w:b/>
          <w:sz w:val="20"/>
          <w:szCs w:val="20"/>
          <w:vertAlign w:val="subscript"/>
        </w:rPr>
        <w:t>max</w:t>
      </w:r>
      <w:r w:rsidRPr="00E10C4D">
        <w:rPr>
          <w:rFonts w:cs="Arial"/>
          <w:b/>
          <w:sz w:val="20"/>
          <w:szCs w:val="20"/>
        </w:rPr>
        <w:t>) and 95% (R</w:t>
      </w:r>
      <w:r w:rsidRPr="00E10C4D">
        <w:rPr>
          <w:rFonts w:cs="Arial"/>
          <w:b/>
          <w:sz w:val="20"/>
          <w:szCs w:val="20"/>
          <w:vertAlign w:val="subscript"/>
        </w:rPr>
        <w:t>95%</w:t>
      </w:r>
      <w:r w:rsidRPr="00E10C4D">
        <w:rPr>
          <w:rFonts w:cs="Arial"/>
          <w:b/>
          <w:sz w:val="20"/>
          <w:szCs w:val="20"/>
        </w:rPr>
        <w:t xml:space="preserve">) horizontal distances from the source array to modelled </w:t>
      </w:r>
      <w:r w:rsidR="00421F44">
        <w:rPr>
          <w:rFonts w:cs="Arial"/>
          <w:b/>
          <w:sz w:val="20"/>
          <w:szCs w:val="20"/>
        </w:rPr>
        <w:t>maximum-over-depth</w:t>
      </w:r>
      <w:r w:rsidRPr="00E10C4D">
        <w:rPr>
          <w:rFonts w:cs="Arial"/>
          <w:b/>
          <w:sz w:val="20"/>
          <w:szCs w:val="20"/>
        </w:rPr>
        <w:t xml:space="preserve"> diver safety criterion</w:t>
      </w:r>
      <w:r w:rsidR="00421F44">
        <w:rPr>
          <w:rFonts w:cs="Arial"/>
          <w:b/>
          <w:sz w:val="20"/>
          <w:szCs w:val="20"/>
        </w:rPr>
        <w:t xml:space="preserve"> of SPL 155 dB re 1</w:t>
      </w:r>
      <w:r w:rsidR="00421F44" w:rsidRPr="00421F44">
        <w:rPr>
          <w:b/>
          <w:sz w:val="20"/>
          <w:szCs w:val="20"/>
        </w:rPr>
        <w:t>µ</w:t>
      </w:r>
      <w:r w:rsidR="00421F44">
        <w:rPr>
          <w:rFonts w:cs="Arial"/>
          <w:b/>
          <w:sz w:val="20"/>
          <w:szCs w:val="20"/>
        </w:rPr>
        <w:t>Pa</w:t>
      </w:r>
    </w:p>
    <w:tbl>
      <w:tblPr>
        <w:tblStyle w:val="TableGrid"/>
        <w:tblW w:w="7648" w:type="dxa"/>
        <w:jc w:val="center"/>
        <w:tblLayout w:type="fixed"/>
        <w:tblLook w:val="04A0" w:firstRow="1" w:lastRow="0" w:firstColumn="1" w:lastColumn="0" w:noHBand="0" w:noVBand="1"/>
      </w:tblPr>
      <w:tblGrid>
        <w:gridCol w:w="761"/>
        <w:gridCol w:w="791"/>
        <w:gridCol w:w="733"/>
        <w:gridCol w:w="827"/>
        <w:gridCol w:w="697"/>
        <w:gridCol w:w="720"/>
        <w:gridCol w:w="803"/>
        <w:gridCol w:w="756"/>
        <w:gridCol w:w="768"/>
        <w:gridCol w:w="792"/>
      </w:tblGrid>
      <w:tr w:rsidR="0091270E" w:rsidRPr="000D0DBD" w14:paraId="2B40D065" w14:textId="5130C1FC" w:rsidTr="0091270E">
        <w:trPr>
          <w:jc w:val="center"/>
        </w:trPr>
        <w:tc>
          <w:tcPr>
            <w:tcW w:w="1552" w:type="dxa"/>
            <w:gridSpan w:val="2"/>
            <w:shd w:val="clear" w:color="auto" w:fill="064EA8"/>
          </w:tcPr>
          <w:p w14:paraId="464A89AD" w14:textId="77777777" w:rsidR="0091270E" w:rsidRPr="000D0DBD" w:rsidRDefault="0091270E" w:rsidP="00B430B1">
            <w:pPr>
              <w:spacing w:before="60" w:after="60" w:line="240" w:lineRule="auto"/>
              <w:ind w:left="0"/>
              <w:jc w:val="center"/>
              <w:rPr>
                <w:rFonts w:cs="Arial"/>
                <w:color w:val="FFFFFF" w:themeColor="background1"/>
                <w:sz w:val="20"/>
                <w:szCs w:val="20"/>
              </w:rPr>
            </w:pPr>
            <w:r>
              <w:rPr>
                <w:rFonts w:cs="Arial"/>
                <w:color w:val="FFFFFF" w:themeColor="background1"/>
                <w:sz w:val="20"/>
                <w:szCs w:val="20"/>
              </w:rPr>
              <w:t>Site 1</w:t>
            </w:r>
          </w:p>
        </w:tc>
        <w:tc>
          <w:tcPr>
            <w:tcW w:w="1560" w:type="dxa"/>
            <w:gridSpan w:val="2"/>
            <w:shd w:val="clear" w:color="auto" w:fill="064EA8"/>
          </w:tcPr>
          <w:p w14:paraId="34909368" w14:textId="77777777" w:rsidR="0091270E" w:rsidRPr="000D0DBD" w:rsidRDefault="0091270E" w:rsidP="00B430B1">
            <w:pPr>
              <w:spacing w:before="60" w:after="60" w:line="240" w:lineRule="auto"/>
              <w:ind w:left="0"/>
              <w:jc w:val="center"/>
              <w:rPr>
                <w:rFonts w:cs="Arial"/>
                <w:color w:val="FFFFFF" w:themeColor="background1"/>
                <w:sz w:val="20"/>
                <w:szCs w:val="20"/>
              </w:rPr>
            </w:pPr>
            <w:r>
              <w:rPr>
                <w:rFonts w:cs="Arial"/>
                <w:color w:val="FFFFFF" w:themeColor="background1"/>
                <w:sz w:val="20"/>
                <w:szCs w:val="20"/>
              </w:rPr>
              <w:t>Site 2</w:t>
            </w:r>
          </w:p>
        </w:tc>
        <w:tc>
          <w:tcPr>
            <w:tcW w:w="1417" w:type="dxa"/>
            <w:gridSpan w:val="2"/>
            <w:shd w:val="clear" w:color="auto" w:fill="064EA8"/>
          </w:tcPr>
          <w:p w14:paraId="2973C34A" w14:textId="77777777" w:rsidR="0091270E" w:rsidRPr="000D0DBD" w:rsidRDefault="0091270E" w:rsidP="00B430B1">
            <w:pPr>
              <w:spacing w:before="60" w:after="60" w:line="240" w:lineRule="auto"/>
              <w:ind w:left="0"/>
              <w:jc w:val="center"/>
              <w:rPr>
                <w:rFonts w:cs="Arial"/>
                <w:color w:val="FFFFFF" w:themeColor="background1"/>
                <w:sz w:val="20"/>
                <w:szCs w:val="20"/>
              </w:rPr>
            </w:pPr>
            <w:r>
              <w:rPr>
                <w:rFonts w:cs="Arial"/>
                <w:color w:val="FFFFFF" w:themeColor="background1"/>
                <w:sz w:val="20"/>
                <w:szCs w:val="20"/>
              </w:rPr>
              <w:t>Site 3</w:t>
            </w:r>
          </w:p>
        </w:tc>
        <w:tc>
          <w:tcPr>
            <w:tcW w:w="1559" w:type="dxa"/>
            <w:gridSpan w:val="2"/>
            <w:shd w:val="clear" w:color="auto" w:fill="064EA8"/>
          </w:tcPr>
          <w:p w14:paraId="5917C4CC" w14:textId="77777777" w:rsidR="0091270E" w:rsidRPr="000D0DBD" w:rsidRDefault="0091270E" w:rsidP="00B430B1">
            <w:pPr>
              <w:spacing w:before="60" w:after="60" w:line="240" w:lineRule="auto"/>
              <w:ind w:left="0"/>
              <w:jc w:val="center"/>
              <w:rPr>
                <w:rFonts w:cs="Arial"/>
                <w:color w:val="FFFFFF" w:themeColor="background1"/>
                <w:sz w:val="20"/>
                <w:szCs w:val="20"/>
              </w:rPr>
            </w:pPr>
            <w:r>
              <w:rPr>
                <w:rFonts w:cs="Arial"/>
                <w:color w:val="FFFFFF" w:themeColor="background1"/>
                <w:sz w:val="20"/>
                <w:szCs w:val="20"/>
              </w:rPr>
              <w:t>Site 4</w:t>
            </w:r>
          </w:p>
        </w:tc>
        <w:tc>
          <w:tcPr>
            <w:tcW w:w="1560" w:type="dxa"/>
            <w:gridSpan w:val="2"/>
            <w:shd w:val="clear" w:color="auto" w:fill="064EA8"/>
          </w:tcPr>
          <w:p w14:paraId="7FE5BAEB" w14:textId="77777777" w:rsidR="0091270E" w:rsidRPr="000D0DBD" w:rsidRDefault="0091270E" w:rsidP="00B430B1">
            <w:pPr>
              <w:spacing w:before="60" w:after="60" w:line="240" w:lineRule="auto"/>
              <w:ind w:left="0"/>
              <w:jc w:val="center"/>
              <w:rPr>
                <w:rFonts w:cs="Arial"/>
                <w:color w:val="FFFFFF" w:themeColor="background1"/>
                <w:sz w:val="20"/>
                <w:szCs w:val="20"/>
              </w:rPr>
            </w:pPr>
            <w:r>
              <w:rPr>
                <w:rFonts w:cs="Arial"/>
                <w:color w:val="FFFFFF" w:themeColor="background1"/>
                <w:sz w:val="20"/>
                <w:szCs w:val="20"/>
              </w:rPr>
              <w:t>Site 5</w:t>
            </w:r>
          </w:p>
        </w:tc>
      </w:tr>
      <w:tr w:rsidR="0091270E" w:rsidRPr="000D0DBD" w14:paraId="3FACD3D8" w14:textId="3CF0155F" w:rsidTr="0091270E">
        <w:trPr>
          <w:jc w:val="center"/>
        </w:trPr>
        <w:tc>
          <w:tcPr>
            <w:tcW w:w="761" w:type="dxa"/>
            <w:shd w:val="clear" w:color="auto" w:fill="064EA8"/>
            <w:vAlign w:val="center"/>
          </w:tcPr>
          <w:p w14:paraId="173EBC16" w14:textId="77777777" w:rsidR="0091270E" w:rsidRPr="000D0DBD" w:rsidRDefault="0091270E" w:rsidP="00B430B1">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791" w:type="dxa"/>
            <w:shd w:val="clear" w:color="auto" w:fill="064EA8"/>
            <w:vAlign w:val="center"/>
          </w:tcPr>
          <w:p w14:paraId="5CC259DA" w14:textId="77777777" w:rsidR="0091270E" w:rsidRPr="000D0DBD" w:rsidRDefault="0091270E" w:rsidP="00B430B1">
            <w:pPr>
              <w:spacing w:before="60" w:after="60" w:line="240" w:lineRule="auto"/>
              <w:ind w:left="0"/>
              <w:jc w:val="center"/>
              <w:rPr>
                <w:rFonts w:cs="Arial"/>
                <w:color w:val="FFFFFF" w:themeColor="background1"/>
                <w:sz w:val="20"/>
                <w:szCs w:val="20"/>
              </w:rPr>
            </w:pPr>
            <w:r>
              <w:rPr>
                <w:rFonts w:cs="Arial"/>
                <w:color w:val="FFFFFF" w:themeColor="background1"/>
                <w:sz w:val="20"/>
                <w:szCs w:val="20"/>
              </w:rPr>
              <w:t>R</w:t>
            </w:r>
            <w:r w:rsidRPr="008F472F">
              <w:rPr>
                <w:rFonts w:cs="Arial"/>
                <w:color w:val="FFFFFF" w:themeColor="background1"/>
                <w:sz w:val="20"/>
                <w:szCs w:val="20"/>
                <w:vertAlign w:val="subscript"/>
              </w:rPr>
              <w:t xml:space="preserve">95% </w:t>
            </w:r>
            <w:r w:rsidRPr="000D0DBD">
              <w:rPr>
                <w:rFonts w:cs="Arial"/>
                <w:color w:val="FFFFFF" w:themeColor="background1"/>
                <w:sz w:val="20"/>
                <w:szCs w:val="20"/>
              </w:rPr>
              <w:t>(km)</w:t>
            </w:r>
          </w:p>
        </w:tc>
        <w:tc>
          <w:tcPr>
            <w:tcW w:w="733" w:type="dxa"/>
            <w:shd w:val="clear" w:color="auto" w:fill="064EA8"/>
            <w:vAlign w:val="center"/>
          </w:tcPr>
          <w:p w14:paraId="26FDF370" w14:textId="77777777" w:rsidR="0091270E" w:rsidRPr="000D0DBD" w:rsidRDefault="0091270E" w:rsidP="00B430B1">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827" w:type="dxa"/>
            <w:shd w:val="clear" w:color="auto" w:fill="064EA8"/>
            <w:vAlign w:val="center"/>
          </w:tcPr>
          <w:p w14:paraId="7770D119" w14:textId="77777777" w:rsidR="0091270E" w:rsidRPr="000D0DBD" w:rsidRDefault="0091270E" w:rsidP="00B430B1">
            <w:pPr>
              <w:spacing w:before="60" w:after="60" w:line="240" w:lineRule="auto"/>
              <w:ind w:left="0"/>
              <w:jc w:val="center"/>
              <w:rPr>
                <w:rFonts w:cs="Arial"/>
                <w:color w:val="FFFFFF" w:themeColor="background1"/>
                <w:sz w:val="20"/>
                <w:szCs w:val="20"/>
              </w:rPr>
            </w:pPr>
            <w:r>
              <w:rPr>
                <w:rFonts w:cs="Arial"/>
                <w:color w:val="FFFFFF" w:themeColor="background1"/>
                <w:sz w:val="20"/>
                <w:szCs w:val="20"/>
              </w:rPr>
              <w:t>R</w:t>
            </w:r>
            <w:r w:rsidRPr="008F472F">
              <w:rPr>
                <w:rFonts w:cs="Arial"/>
                <w:color w:val="FFFFFF" w:themeColor="background1"/>
                <w:sz w:val="20"/>
                <w:szCs w:val="20"/>
                <w:vertAlign w:val="subscript"/>
              </w:rPr>
              <w:t xml:space="preserve">95% </w:t>
            </w:r>
            <w:r w:rsidRPr="000D0DBD">
              <w:rPr>
                <w:rFonts w:cs="Arial"/>
                <w:color w:val="FFFFFF" w:themeColor="background1"/>
                <w:sz w:val="20"/>
                <w:szCs w:val="20"/>
              </w:rPr>
              <w:t>(km)</w:t>
            </w:r>
          </w:p>
        </w:tc>
        <w:tc>
          <w:tcPr>
            <w:tcW w:w="697" w:type="dxa"/>
            <w:shd w:val="clear" w:color="auto" w:fill="064EA8"/>
            <w:vAlign w:val="center"/>
          </w:tcPr>
          <w:p w14:paraId="3E129BE0" w14:textId="77777777" w:rsidR="0091270E" w:rsidRPr="000D0DBD" w:rsidRDefault="0091270E" w:rsidP="00B430B1">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720" w:type="dxa"/>
            <w:shd w:val="clear" w:color="auto" w:fill="064EA8"/>
            <w:vAlign w:val="center"/>
          </w:tcPr>
          <w:p w14:paraId="6AF2BA83" w14:textId="77777777" w:rsidR="0091270E" w:rsidRPr="000D0DBD" w:rsidRDefault="0091270E" w:rsidP="00B430B1">
            <w:pPr>
              <w:spacing w:before="60" w:after="60" w:line="240" w:lineRule="auto"/>
              <w:ind w:left="0"/>
              <w:jc w:val="center"/>
              <w:rPr>
                <w:rFonts w:cs="Arial"/>
                <w:color w:val="FFFFFF" w:themeColor="background1"/>
                <w:sz w:val="20"/>
                <w:szCs w:val="20"/>
              </w:rPr>
            </w:pPr>
            <w:r>
              <w:rPr>
                <w:rFonts w:cs="Arial"/>
                <w:color w:val="FFFFFF" w:themeColor="background1"/>
                <w:sz w:val="20"/>
                <w:szCs w:val="20"/>
              </w:rPr>
              <w:t>R</w:t>
            </w:r>
            <w:r w:rsidRPr="008F472F">
              <w:rPr>
                <w:rFonts w:cs="Arial"/>
                <w:color w:val="FFFFFF" w:themeColor="background1"/>
                <w:sz w:val="20"/>
                <w:szCs w:val="20"/>
                <w:vertAlign w:val="subscript"/>
              </w:rPr>
              <w:t xml:space="preserve">95% </w:t>
            </w:r>
            <w:r w:rsidRPr="000D0DBD">
              <w:rPr>
                <w:rFonts w:cs="Arial"/>
                <w:color w:val="FFFFFF" w:themeColor="background1"/>
                <w:sz w:val="20"/>
                <w:szCs w:val="20"/>
              </w:rPr>
              <w:t>(km)</w:t>
            </w:r>
          </w:p>
        </w:tc>
        <w:tc>
          <w:tcPr>
            <w:tcW w:w="803" w:type="dxa"/>
            <w:shd w:val="clear" w:color="auto" w:fill="064EA8"/>
            <w:vAlign w:val="center"/>
          </w:tcPr>
          <w:p w14:paraId="7CEA2122" w14:textId="77777777" w:rsidR="0091270E" w:rsidRPr="000D0DBD" w:rsidRDefault="0091270E" w:rsidP="00B430B1">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756" w:type="dxa"/>
            <w:shd w:val="clear" w:color="auto" w:fill="064EA8"/>
            <w:vAlign w:val="center"/>
          </w:tcPr>
          <w:p w14:paraId="3D0604C5" w14:textId="77777777" w:rsidR="0091270E" w:rsidRPr="000D0DBD" w:rsidRDefault="0091270E" w:rsidP="00B430B1">
            <w:pPr>
              <w:spacing w:before="60" w:after="60" w:line="240" w:lineRule="auto"/>
              <w:ind w:left="0"/>
              <w:jc w:val="center"/>
              <w:rPr>
                <w:rFonts w:cs="Arial"/>
                <w:color w:val="FFFFFF" w:themeColor="background1"/>
                <w:sz w:val="20"/>
                <w:szCs w:val="20"/>
              </w:rPr>
            </w:pPr>
            <w:r>
              <w:rPr>
                <w:rFonts w:cs="Arial"/>
                <w:color w:val="FFFFFF" w:themeColor="background1"/>
                <w:sz w:val="20"/>
                <w:szCs w:val="20"/>
              </w:rPr>
              <w:t>R</w:t>
            </w:r>
            <w:r w:rsidRPr="008F472F">
              <w:rPr>
                <w:rFonts w:cs="Arial"/>
                <w:color w:val="FFFFFF" w:themeColor="background1"/>
                <w:sz w:val="20"/>
                <w:szCs w:val="20"/>
                <w:vertAlign w:val="subscript"/>
              </w:rPr>
              <w:t xml:space="preserve">95% </w:t>
            </w:r>
            <w:r w:rsidRPr="000D0DBD">
              <w:rPr>
                <w:rFonts w:cs="Arial"/>
                <w:color w:val="FFFFFF" w:themeColor="background1"/>
                <w:sz w:val="20"/>
                <w:szCs w:val="20"/>
              </w:rPr>
              <w:t>(km)</w:t>
            </w:r>
          </w:p>
        </w:tc>
        <w:tc>
          <w:tcPr>
            <w:tcW w:w="768" w:type="dxa"/>
            <w:shd w:val="clear" w:color="auto" w:fill="064EA8"/>
            <w:vAlign w:val="center"/>
          </w:tcPr>
          <w:p w14:paraId="2AF1D74E" w14:textId="77777777" w:rsidR="0091270E" w:rsidRPr="000D0DBD" w:rsidRDefault="0091270E" w:rsidP="00B430B1">
            <w:pPr>
              <w:spacing w:before="60" w:after="60" w:line="240" w:lineRule="auto"/>
              <w:ind w:left="0"/>
              <w:jc w:val="center"/>
              <w:rPr>
                <w:rFonts w:cs="Arial"/>
                <w:color w:val="FFFFFF" w:themeColor="background1"/>
                <w:sz w:val="20"/>
                <w:szCs w:val="20"/>
              </w:rPr>
            </w:pPr>
            <w:r w:rsidRPr="000D0DBD">
              <w:rPr>
                <w:rFonts w:cs="Arial"/>
                <w:color w:val="FFFFFF" w:themeColor="background1"/>
                <w:sz w:val="20"/>
                <w:szCs w:val="20"/>
              </w:rPr>
              <w:t>R</w:t>
            </w:r>
            <w:r w:rsidRPr="006B5927">
              <w:rPr>
                <w:rFonts w:cs="Arial"/>
                <w:color w:val="FFFFFF" w:themeColor="background1"/>
                <w:sz w:val="20"/>
                <w:szCs w:val="20"/>
                <w:vertAlign w:val="subscript"/>
              </w:rPr>
              <w:t>max</w:t>
            </w:r>
            <w:r w:rsidRPr="000D0DBD">
              <w:rPr>
                <w:rFonts w:cs="Arial"/>
                <w:color w:val="FFFFFF" w:themeColor="background1"/>
                <w:sz w:val="20"/>
                <w:szCs w:val="20"/>
              </w:rPr>
              <w:t xml:space="preserve"> (km)</w:t>
            </w:r>
          </w:p>
        </w:tc>
        <w:tc>
          <w:tcPr>
            <w:tcW w:w="792" w:type="dxa"/>
            <w:shd w:val="clear" w:color="auto" w:fill="064EA8"/>
            <w:vAlign w:val="center"/>
          </w:tcPr>
          <w:p w14:paraId="1ADD87BB" w14:textId="77777777" w:rsidR="0091270E" w:rsidRPr="000D0DBD" w:rsidRDefault="0091270E" w:rsidP="00B430B1">
            <w:pPr>
              <w:spacing w:before="60" w:after="60" w:line="240" w:lineRule="auto"/>
              <w:ind w:left="0"/>
              <w:jc w:val="center"/>
              <w:rPr>
                <w:rFonts w:cs="Arial"/>
                <w:color w:val="FFFFFF" w:themeColor="background1"/>
                <w:sz w:val="20"/>
                <w:szCs w:val="20"/>
              </w:rPr>
            </w:pPr>
            <w:r>
              <w:rPr>
                <w:rFonts w:cs="Arial"/>
                <w:color w:val="FFFFFF" w:themeColor="background1"/>
                <w:sz w:val="20"/>
                <w:szCs w:val="20"/>
              </w:rPr>
              <w:t>R</w:t>
            </w:r>
            <w:r w:rsidRPr="008F472F">
              <w:rPr>
                <w:rFonts w:cs="Arial"/>
                <w:color w:val="FFFFFF" w:themeColor="background1"/>
                <w:sz w:val="20"/>
                <w:szCs w:val="20"/>
                <w:vertAlign w:val="subscript"/>
              </w:rPr>
              <w:t xml:space="preserve">95% </w:t>
            </w:r>
            <w:r w:rsidRPr="000D0DBD">
              <w:rPr>
                <w:rFonts w:cs="Arial"/>
                <w:color w:val="FFFFFF" w:themeColor="background1"/>
                <w:sz w:val="20"/>
                <w:szCs w:val="20"/>
              </w:rPr>
              <w:t>(km)</w:t>
            </w:r>
          </w:p>
        </w:tc>
      </w:tr>
      <w:tr w:rsidR="0091270E" w:rsidRPr="005F6E5E" w14:paraId="2B4AA115" w14:textId="39038E3A" w:rsidTr="00E90408">
        <w:trPr>
          <w:jc w:val="center"/>
        </w:trPr>
        <w:tc>
          <w:tcPr>
            <w:tcW w:w="761" w:type="dxa"/>
            <w:shd w:val="clear" w:color="auto" w:fill="FFFFFF" w:themeFill="background1"/>
            <w:vAlign w:val="center"/>
          </w:tcPr>
          <w:p w14:paraId="357C7DCB" w14:textId="07AC10E7" w:rsidR="0091270E" w:rsidRPr="005F6E5E" w:rsidRDefault="0091270E" w:rsidP="006315DF">
            <w:pPr>
              <w:spacing w:before="60" w:after="60" w:line="240" w:lineRule="auto"/>
              <w:ind w:left="0"/>
              <w:jc w:val="center"/>
              <w:rPr>
                <w:rFonts w:cs="Arial"/>
                <w:sz w:val="20"/>
                <w:szCs w:val="20"/>
              </w:rPr>
            </w:pPr>
            <w:r>
              <w:rPr>
                <w:rFonts w:cs="Arial"/>
                <w:sz w:val="20"/>
                <w:szCs w:val="20"/>
              </w:rPr>
              <w:t>8.</w:t>
            </w:r>
            <w:r w:rsidR="006315DF">
              <w:rPr>
                <w:rFonts w:cs="Arial"/>
                <w:sz w:val="20"/>
                <w:szCs w:val="20"/>
              </w:rPr>
              <w:t>8</w:t>
            </w:r>
          </w:p>
        </w:tc>
        <w:tc>
          <w:tcPr>
            <w:tcW w:w="791" w:type="dxa"/>
            <w:vAlign w:val="center"/>
          </w:tcPr>
          <w:p w14:paraId="03F2A36D" w14:textId="7C9BFFAA" w:rsidR="0091270E" w:rsidRPr="005F6E5E" w:rsidRDefault="0091270E" w:rsidP="006315DF">
            <w:pPr>
              <w:spacing w:before="60" w:after="60" w:line="240" w:lineRule="auto"/>
              <w:ind w:left="0"/>
              <w:jc w:val="center"/>
              <w:rPr>
                <w:rFonts w:cs="Arial"/>
                <w:sz w:val="20"/>
                <w:szCs w:val="20"/>
              </w:rPr>
            </w:pPr>
            <w:r>
              <w:rPr>
                <w:rFonts w:cs="Arial"/>
                <w:sz w:val="20"/>
                <w:szCs w:val="20"/>
              </w:rPr>
              <w:t>7.</w:t>
            </w:r>
            <w:r w:rsidR="006315DF">
              <w:rPr>
                <w:rFonts w:cs="Arial"/>
                <w:sz w:val="20"/>
                <w:szCs w:val="20"/>
              </w:rPr>
              <w:t>3</w:t>
            </w:r>
          </w:p>
        </w:tc>
        <w:tc>
          <w:tcPr>
            <w:tcW w:w="733" w:type="dxa"/>
            <w:vAlign w:val="center"/>
          </w:tcPr>
          <w:p w14:paraId="0E743570" w14:textId="01DBD8B4" w:rsidR="0091270E" w:rsidRPr="005F6E5E" w:rsidRDefault="006315DF" w:rsidP="006315DF">
            <w:pPr>
              <w:spacing w:before="60" w:after="60" w:line="240" w:lineRule="auto"/>
              <w:ind w:left="0"/>
              <w:jc w:val="center"/>
              <w:rPr>
                <w:rFonts w:cs="Arial"/>
                <w:sz w:val="20"/>
                <w:szCs w:val="20"/>
              </w:rPr>
            </w:pPr>
            <w:r>
              <w:rPr>
                <w:rFonts w:cs="Arial"/>
                <w:sz w:val="20"/>
                <w:szCs w:val="20"/>
              </w:rPr>
              <w:t>9.1</w:t>
            </w:r>
          </w:p>
        </w:tc>
        <w:tc>
          <w:tcPr>
            <w:tcW w:w="827" w:type="dxa"/>
            <w:vAlign w:val="center"/>
          </w:tcPr>
          <w:p w14:paraId="1B32BCF1" w14:textId="28B5DB59" w:rsidR="0091270E" w:rsidRPr="005F6E5E" w:rsidRDefault="0091270E" w:rsidP="00B430B1">
            <w:pPr>
              <w:spacing w:before="60" w:after="60" w:line="240" w:lineRule="auto"/>
              <w:ind w:left="0"/>
              <w:jc w:val="center"/>
              <w:rPr>
                <w:rFonts w:cs="Arial"/>
                <w:sz w:val="20"/>
                <w:szCs w:val="20"/>
              </w:rPr>
            </w:pPr>
            <w:r>
              <w:rPr>
                <w:rFonts w:cs="Arial"/>
                <w:sz w:val="20"/>
                <w:szCs w:val="20"/>
              </w:rPr>
              <w:t>7.2</w:t>
            </w:r>
          </w:p>
        </w:tc>
        <w:tc>
          <w:tcPr>
            <w:tcW w:w="697" w:type="dxa"/>
            <w:shd w:val="clear" w:color="auto" w:fill="FF0000"/>
            <w:vAlign w:val="center"/>
          </w:tcPr>
          <w:p w14:paraId="04872652" w14:textId="237A5FB1" w:rsidR="0091270E" w:rsidRPr="005F6E5E" w:rsidRDefault="0091270E" w:rsidP="00B430B1">
            <w:pPr>
              <w:spacing w:before="60" w:after="60" w:line="240" w:lineRule="auto"/>
              <w:ind w:left="0"/>
              <w:jc w:val="center"/>
              <w:rPr>
                <w:rFonts w:cs="Arial"/>
                <w:sz w:val="20"/>
                <w:szCs w:val="20"/>
              </w:rPr>
            </w:pPr>
            <w:r>
              <w:rPr>
                <w:rFonts w:cs="Arial"/>
                <w:sz w:val="20"/>
                <w:szCs w:val="20"/>
              </w:rPr>
              <w:t>12.</w:t>
            </w:r>
            <w:r w:rsidR="006315DF">
              <w:rPr>
                <w:rFonts w:cs="Arial"/>
                <w:sz w:val="20"/>
                <w:szCs w:val="20"/>
              </w:rPr>
              <w:t>3</w:t>
            </w:r>
          </w:p>
        </w:tc>
        <w:tc>
          <w:tcPr>
            <w:tcW w:w="720" w:type="dxa"/>
            <w:vAlign w:val="center"/>
          </w:tcPr>
          <w:p w14:paraId="4FD5D72E" w14:textId="5013E133" w:rsidR="0091270E" w:rsidRPr="005F6E5E" w:rsidRDefault="0091270E" w:rsidP="00B430B1">
            <w:pPr>
              <w:spacing w:before="60" w:after="60" w:line="240" w:lineRule="auto"/>
              <w:ind w:left="0"/>
              <w:jc w:val="center"/>
              <w:rPr>
                <w:rFonts w:cs="Arial"/>
                <w:sz w:val="20"/>
                <w:szCs w:val="20"/>
              </w:rPr>
            </w:pPr>
            <w:r>
              <w:rPr>
                <w:rFonts w:cs="Arial"/>
                <w:sz w:val="20"/>
                <w:szCs w:val="20"/>
              </w:rPr>
              <w:t>9.0</w:t>
            </w:r>
          </w:p>
        </w:tc>
        <w:tc>
          <w:tcPr>
            <w:tcW w:w="803" w:type="dxa"/>
            <w:vAlign w:val="center"/>
          </w:tcPr>
          <w:p w14:paraId="59ACCCD0" w14:textId="69B402E7" w:rsidR="0091270E" w:rsidRPr="005F6E5E" w:rsidRDefault="0091270E" w:rsidP="00B430B1">
            <w:pPr>
              <w:spacing w:before="60" w:after="60" w:line="240" w:lineRule="auto"/>
              <w:ind w:left="0"/>
              <w:jc w:val="center"/>
              <w:rPr>
                <w:rFonts w:cs="Arial"/>
                <w:sz w:val="20"/>
                <w:szCs w:val="20"/>
              </w:rPr>
            </w:pPr>
            <w:r>
              <w:rPr>
                <w:rFonts w:cs="Arial"/>
                <w:sz w:val="20"/>
                <w:szCs w:val="20"/>
              </w:rPr>
              <w:t>11.5</w:t>
            </w:r>
          </w:p>
        </w:tc>
        <w:tc>
          <w:tcPr>
            <w:tcW w:w="756" w:type="dxa"/>
            <w:vAlign w:val="center"/>
          </w:tcPr>
          <w:p w14:paraId="553A1DE1" w14:textId="6B7113A9" w:rsidR="0091270E" w:rsidRPr="005F6E5E" w:rsidRDefault="0091270E" w:rsidP="00B430B1">
            <w:pPr>
              <w:spacing w:before="60" w:after="60" w:line="240" w:lineRule="auto"/>
              <w:ind w:left="0"/>
              <w:jc w:val="center"/>
              <w:rPr>
                <w:rFonts w:cs="Arial"/>
                <w:sz w:val="20"/>
                <w:szCs w:val="20"/>
              </w:rPr>
            </w:pPr>
            <w:r>
              <w:rPr>
                <w:rFonts w:cs="Arial"/>
                <w:sz w:val="20"/>
                <w:szCs w:val="20"/>
              </w:rPr>
              <w:t>8.7</w:t>
            </w:r>
          </w:p>
        </w:tc>
        <w:tc>
          <w:tcPr>
            <w:tcW w:w="768" w:type="dxa"/>
            <w:vAlign w:val="center"/>
          </w:tcPr>
          <w:p w14:paraId="3199242B" w14:textId="294B32B2" w:rsidR="0091270E" w:rsidRPr="005F6E5E" w:rsidRDefault="0091270E" w:rsidP="00B430B1">
            <w:pPr>
              <w:spacing w:before="60" w:after="60" w:line="240" w:lineRule="auto"/>
              <w:ind w:left="0"/>
              <w:jc w:val="center"/>
              <w:rPr>
                <w:rFonts w:cs="Arial"/>
                <w:sz w:val="20"/>
                <w:szCs w:val="20"/>
              </w:rPr>
            </w:pPr>
            <w:r>
              <w:rPr>
                <w:rFonts w:cs="Arial"/>
                <w:sz w:val="20"/>
                <w:szCs w:val="20"/>
              </w:rPr>
              <w:t>9.9</w:t>
            </w:r>
          </w:p>
        </w:tc>
        <w:tc>
          <w:tcPr>
            <w:tcW w:w="792" w:type="dxa"/>
            <w:vAlign w:val="center"/>
          </w:tcPr>
          <w:p w14:paraId="5B0D60E2" w14:textId="13AD5E0A" w:rsidR="0091270E" w:rsidRPr="005F6E5E" w:rsidRDefault="0091270E" w:rsidP="00B430B1">
            <w:pPr>
              <w:spacing w:before="60" w:after="60" w:line="240" w:lineRule="auto"/>
              <w:ind w:left="0"/>
              <w:jc w:val="center"/>
              <w:rPr>
                <w:rFonts w:cs="Arial"/>
                <w:sz w:val="20"/>
                <w:szCs w:val="20"/>
              </w:rPr>
            </w:pPr>
            <w:r>
              <w:rPr>
                <w:rFonts w:cs="Arial"/>
                <w:sz w:val="20"/>
                <w:szCs w:val="20"/>
              </w:rPr>
              <w:t>8.1</w:t>
            </w:r>
          </w:p>
        </w:tc>
      </w:tr>
    </w:tbl>
    <w:p w14:paraId="7973B2EA" w14:textId="77777777" w:rsidR="00CE6993" w:rsidRPr="001D2756" w:rsidRDefault="00CE6993" w:rsidP="00CE6993">
      <w:pPr>
        <w:ind w:left="0" w:firstLine="284"/>
        <w:rPr>
          <w:i/>
          <w:sz w:val="18"/>
          <w:szCs w:val="18"/>
        </w:rPr>
      </w:pPr>
      <w:r w:rsidRPr="001D2756">
        <w:rPr>
          <w:i/>
          <w:sz w:val="18"/>
          <w:szCs w:val="18"/>
        </w:rPr>
        <w:t>Cells highlighted in red indicate maximum predicted exten</w:t>
      </w:r>
      <w:r>
        <w:rPr>
          <w:i/>
          <w:sz w:val="18"/>
          <w:szCs w:val="18"/>
        </w:rPr>
        <w:t>t</w:t>
      </w:r>
      <w:r w:rsidRPr="001D2756">
        <w:rPr>
          <w:i/>
          <w:sz w:val="18"/>
          <w:szCs w:val="18"/>
        </w:rPr>
        <w:t xml:space="preserve"> of sound.</w:t>
      </w:r>
    </w:p>
    <w:p w14:paraId="257ACB41" w14:textId="77777777" w:rsidR="00DF24C4" w:rsidRDefault="00DF24C4" w:rsidP="00B430B1">
      <w:pPr>
        <w:ind w:left="0"/>
        <w:rPr>
          <w:rFonts w:cs="Arial"/>
          <w:sz w:val="22"/>
          <w:szCs w:val="22"/>
        </w:rPr>
      </w:pPr>
    </w:p>
    <w:p w14:paraId="5615E54C" w14:textId="77777777" w:rsidR="00E30BD8" w:rsidRDefault="00B430B1" w:rsidP="00611D65">
      <w:pPr>
        <w:ind w:left="0"/>
        <w:rPr>
          <w:rFonts w:cs="Arial"/>
          <w:sz w:val="22"/>
          <w:szCs w:val="22"/>
        </w:rPr>
      </w:pPr>
      <w:r w:rsidRPr="009E4DC8">
        <w:rPr>
          <w:rFonts w:cs="Arial"/>
          <w:sz w:val="22"/>
          <w:szCs w:val="22"/>
        </w:rPr>
        <w:t>Figure 7.</w:t>
      </w:r>
      <w:r w:rsidR="000374B3" w:rsidRPr="009E4DC8">
        <w:rPr>
          <w:rFonts w:cs="Arial"/>
          <w:sz w:val="22"/>
          <w:szCs w:val="22"/>
        </w:rPr>
        <w:t>9</w:t>
      </w:r>
      <w:r w:rsidRPr="009E4DC8">
        <w:rPr>
          <w:rFonts w:cs="Arial"/>
          <w:sz w:val="22"/>
          <w:szCs w:val="22"/>
        </w:rPr>
        <w:t xml:space="preserve"> to Figure 7.</w:t>
      </w:r>
      <w:r w:rsidR="000374B3" w:rsidRPr="009E4DC8">
        <w:rPr>
          <w:rFonts w:cs="Arial"/>
          <w:sz w:val="22"/>
          <w:szCs w:val="22"/>
        </w:rPr>
        <w:t>13</w:t>
      </w:r>
      <w:r w:rsidRPr="001D1000">
        <w:rPr>
          <w:rFonts w:cs="Arial"/>
          <w:color w:val="0432FF"/>
          <w:sz w:val="22"/>
          <w:szCs w:val="22"/>
        </w:rPr>
        <w:t xml:space="preserve"> </w:t>
      </w:r>
      <w:r w:rsidRPr="001D1000">
        <w:rPr>
          <w:rFonts w:cs="Arial"/>
          <w:sz w:val="22"/>
          <w:szCs w:val="22"/>
        </w:rPr>
        <w:t>illustrate</w:t>
      </w:r>
      <w:r>
        <w:rPr>
          <w:rFonts w:cs="Arial"/>
          <w:sz w:val="22"/>
          <w:szCs w:val="22"/>
        </w:rPr>
        <w:t xml:space="preserve"> these results. </w:t>
      </w:r>
    </w:p>
    <w:p w14:paraId="0BE773CF" w14:textId="2AFD875B" w:rsidR="00611D65" w:rsidRDefault="00611D65" w:rsidP="00611D65">
      <w:pPr>
        <w:ind w:left="0"/>
        <w:rPr>
          <w:rFonts w:cs="Arial"/>
          <w:sz w:val="22"/>
          <w:szCs w:val="22"/>
        </w:rPr>
      </w:pPr>
    </w:p>
    <w:p w14:paraId="786CD738" w14:textId="77777777" w:rsidR="00B430B1" w:rsidRDefault="00B430B1" w:rsidP="00611D65">
      <w:pPr>
        <w:ind w:left="0"/>
        <w:rPr>
          <w:rFonts w:cs="Arial"/>
          <w:sz w:val="22"/>
          <w:szCs w:val="22"/>
        </w:rPr>
      </w:pPr>
    </w:p>
    <w:p w14:paraId="1FDE3F16" w14:textId="77777777" w:rsidR="00B430B1" w:rsidRDefault="00B430B1" w:rsidP="00B430B1">
      <w:pPr>
        <w:ind w:left="0"/>
        <w:rPr>
          <w:rFonts w:cs="Arial"/>
          <w:sz w:val="22"/>
          <w:szCs w:val="22"/>
        </w:rPr>
      </w:pPr>
    </w:p>
    <w:tbl>
      <w:tblPr>
        <w:tblStyle w:val="TableGrid"/>
        <w:tblW w:w="0" w:type="auto"/>
        <w:tblLook w:val="04A0" w:firstRow="1" w:lastRow="0" w:firstColumn="1" w:lastColumn="0" w:noHBand="0" w:noVBand="1"/>
      </w:tblPr>
      <w:tblGrid>
        <w:gridCol w:w="8522"/>
      </w:tblGrid>
      <w:tr w:rsidR="00CD3390" w14:paraId="255ED13B" w14:textId="77777777" w:rsidTr="00CD3390">
        <w:tc>
          <w:tcPr>
            <w:tcW w:w="8522" w:type="dxa"/>
          </w:tcPr>
          <w:p w14:paraId="5807268D" w14:textId="5B3E78C3" w:rsidR="00CD3390" w:rsidRDefault="00006096" w:rsidP="00B430B1">
            <w:pPr>
              <w:spacing w:line="240" w:lineRule="auto"/>
              <w:ind w:left="0"/>
              <w:rPr>
                <w:rFonts w:cs="Arial"/>
                <w:sz w:val="22"/>
                <w:szCs w:val="22"/>
              </w:rPr>
            </w:pPr>
            <w:r>
              <w:rPr>
                <w:noProof/>
              </w:rPr>
              <w:drawing>
                <wp:inline distT="0" distB="0" distL="0" distR="0" wp14:anchorId="19F89A30" wp14:editId="713FED8A">
                  <wp:extent cx="5276850" cy="3546343"/>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Site1_SPL_3390cuin.png"/>
                          <pic:cNvPicPr/>
                        </pic:nvPicPr>
                        <pic:blipFill>
                          <a:blip r:embed="rId283" cstate="screen">
                            <a:extLst>
                              <a:ext uri="{28A0092B-C50C-407E-A947-70E740481C1C}">
                                <a14:useLocalDpi xmlns:a14="http://schemas.microsoft.com/office/drawing/2010/main"/>
                              </a:ext>
                            </a:extLst>
                          </a:blip>
                          <a:stretch>
                            <a:fillRect/>
                          </a:stretch>
                        </pic:blipFill>
                        <pic:spPr>
                          <a:xfrm>
                            <a:off x="0" y="0"/>
                            <a:ext cx="5276266" cy="3545950"/>
                          </a:xfrm>
                          <a:prstGeom prst="rect">
                            <a:avLst/>
                          </a:prstGeom>
                        </pic:spPr>
                      </pic:pic>
                    </a:graphicData>
                  </a:graphic>
                </wp:inline>
              </w:drawing>
            </w:r>
          </w:p>
        </w:tc>
      </w:tr>
    </w:tbl>
    <w:p w14:paraId="004169AF" w14:textId="1F6966B3" w:rsidR="00B430B1" w:rsidRPr="006F5DB1" w:rsidRDefault="00B430B1" w:rsidP="00B430B1">
      <w:pPr>
        <w:spacing w:before="40" w:after="120" w:line="240" w:lineRule="auto"/>
        <w:ind w:left="0"/>
        <w:rPr>
          <w:rFonts w:cs="Arial"/>
          <w:i/>
          <w:sz w:val="16"/>
          <w:szCs w:val="16"/>
        </w:rPr>
      </w:pPr>
      <w:r w:rsidRPr="006F5DB1">
        <w:rPr>
          <w:rFonts w:cs="Arial"/>
          <w:i/>
          <w:sz w:val="16"/>
          <w:szCs w:val="16"/>
        </w:rPr>
        <w:t xml:space="preserve">Source: </w:t>
      </w:r>
      <w:r w:rsidR="00D9305E">
        <w:rPr>
          <w:rFonts w:cs="Arial"/>
          <w:i/>
          <w:sz w:val="16"/>
          <w:szCs w:val="16"/>
        </w:rPr>
        <w:t>McPherson</w:t>
      </w:r>
      <w:r w:rsidRPr="006F5DB1">
        <w:rPr>
          <w:rFonts w:cs="Arial"/>
          <w:i/>
          <w:sz w:val="16"/>
          <w:szCs w:val="16"/>
        </w:rPr>
        <w:t xml:space="preserve"> (2017).</w:t>
      </w:r>
    </w:p>
    <w:p w14:paraId="688001CA" w14:textId="0CDB7F92" w:rsidR="00B430B1" w:rsidRDefault="00B430B1" w:rsidP="00B430B1">
      <w:pPr>
        <w:ind w:left="0"/>
        <w:jc w:val="center"/>
        <w:rPr>
          <w:rFonts w:cs="Arial"/>
          <w:b/>
          <w:sz w:val="20"/>
          <w:szCs w:val="20"/>
        </w:rPr>
      </w:pPr>
      <w:r>
        <w:rPr>
          <w:rFonts w:cs="Arial"/>
          <w:b/>
          <w:sz w:val="20"/>
          <w:szCs w:val="20"/>
        </w:rPr>
        <w:t>Figure</w:t>
      </w:r>
      <w:r w:rsidRPr="00E10C4D">
        <w:rPr>
          <w:rFonts w:cs="Arial"/>
          <w:b/>
          <w:sz w:val="20"/>
          <w:szCs w:val="20"/>
        </w:rPr>
        <w:t xml:space="preserve"> 7.</w:t>
      </w:r>
      <w:r w:rsidR="000374B3">
        <w:rPr>
          <w:rFonts w:cs="Arial"/>
          <w:b/>
          <w:sz w:val="20"/>
          <w:szCs w:val="20"/>
        </w:rPr>
        <w:t>9</w:t>
      </w:r>
      <w:r w:rsidRPr="00E10C4D">
        <w:rPr>
          <w:rFonts w:cs="Arial"/>
          <w:b/>
          <w:sz w:val="20"/>
          <w:szCs w:val="20"/>
        </w:rPr>
        <w:t>.</w:t>
      </w:r>
      <w:r w:rsidRPr="00E10C4D">
        <w:rPr>
          <w:rFonts w:cs="Arial"/>
          <w:b/>
          <w:sz w:val="20"/>
          <w:szCs w:val="20"/>
        </w:rPr>
        <w:tab/>
      </w:r>
      <w:r>
        <w:rPr>
          <w:rFonts w:cs="Arial"/>
          <w:b/>
          <w:sz w:val="20"/>
          <w:szCs w:val="20"/>
        </w:rPr>
        <w:t xml:space="preserve">Sound level contour map showing </w:t>
      </w:r>
      <w:r w:rsidR="00B06E55">
        <w:rPr>
          <w:rFonts w:cs="Arial"/>
          <w:b/>
          <w:sz w:val="20"/>
          <w:szCs w:val="20"/>
        </w:rPr>
        <w:t>maximum-over-depth</w:t>
      </w:r>
      <w:r>
        <w:rPr>
          <w:rFonts w:cs="Arial"/>
          <w:b/>
          <w:sz w:val="20"/>
          <w:szCs w:val="20"/>
        </w:rPr>
        <w:t xml:space="preserve"> per-pulse SPL results at site 1 (representative of the shallowest water location)</w:t>
      </w:r>
    </w:p>
    <w:p w14:paraId="11D18A76" w14:textId="77777777" w:rsidR="00B430B1" w:rsidRDefault="00B430B1" w:rsidP="00B430B1">
      <w:pPr>
        <w:ind w:left="0"/>
        <w:jc w:val="center"/>
        <w:rPr>
          <w:rFonts w:cs="Arial"/>
          <w:sz w:val="22"/>
          <w:szCs w:val="22"/>
        </w:rPr>
      </w:pPr>
    </w:p>
    <w:p w14:paraId="2EB99E32" w14:textId="77777777" w:rsidR="00B430B1" w:rsidRDefault="00B430B1" w:rsidP="00B430B1">
      <w:pPr>
        <w:ind w:left="0"/>
        <w:rPr>
          <w:rFonts w:cs="Arial"/>
          <w:sz w:val="22"/>
          <w:szCs w:val="22"/>
        </w:rPr>
      </w:pPr>
    </w:p>
    <w:tbl>
      <w:tblPr>
        <w:tblStyle w:val="TableGrid"/>
        <w:tblW w:w="0" w:type="auto"/>
        <w:tblLook w:val="04A0" w:firstRow="1" w:lastRow="0" w:firstColumn="1" w:lastColumn="0" w:noHBand="0" w:noVBand="1"/>
      </w:tblPr>
      <w:tblGrid>
        <w:gridCol w:w="8522"/>
      </w:tblGrid>
      <w:tr w:rsidR="00CD3390" w14:paraId="23272B3F" w14:textId="77777777" w:rsidTr="00CD3390">
        <w:tc>
          <w:tcPr>
            <w:tcW w:w="8522" w:type="dxa"/>
          </w:tcPr>
          <w:p w14:paraId="5E815859" w14:textId="06ABAE5B" w:rsidR="00CD3390" w:rsidRDefault="00006096" w:rsidP="00B430B1">
            <w:pPr>
              <w:ind w:left="0"/>
              <w:jc w:val="center"/>
              <w:rPr>
                <w:rFonts w:cs="Arial"/>
                <w:sz w:val="22"/>
                <w:szCs w:val="22"/>
              </w:rPr>
            </w:pPr>
            <w:r>
              <w:rPr>
                <w:noProof/>
              </w:rPr>
              <w:drawing>
                <wp:inline distT="0" distB="0" distL="0" distR="0" wp14:anchorId="18AE37F9" wp14:editId="6EA5F9DF">
                  <wp:extent cx="5295900" cy="3554453"/>
                  <wp:effectExtent l="0" t="0" r="0" b="825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ite2_SPL_3390cuin.png"/>
                          <pic:cNvPicPr/>
                        </pic:nvPicPr>
                        <pic:blipFill>
                          <a:blip r:embed="rId284" cstate="screen">
                            <a:extLst>
                              <a:ext uri="{28A0092B-C50C-407E-A947-70E740481C1C}">
                                <a14:useLocalDpi xmlns:a14="http://schemas.microsoft.com/office/drawing/2010/main"/>
                              </a:ext>
                            </a:extLst>
                          </a:blip>
                          <a:stretch>
                            <a:fillRect/>
                          </a:stretch>
                        </pic:blipFill>
                        <pic:spPr>
                          <a:xfrm>
                            <a:off x="0" y="0"/>
                            <a:ext cx="5295900" cy="3554453"/>
                          </a:xfrm>
                          <a:prstGeom prst="rect">
                            <a:avLst/>
                          </a:prstGeom>
                        </pic:spPr>
                      </pic:pic>
                    </a:graphicData>
                  </a:graphic>
                </wp:inline>
              </w:drawing>
            </w:r>
          </w:p>
        </w:tc>
      </w:tr>
    </w:tbl>
    <w:p w14:paraId="582AF005" w14:textId="625C781D" w:rsidR="00B430B1" w:rsidRPr="006F5DB1" w:rsidRDefault="00B430B1" w:rsidP="00B430B1">
      <w:pPr>
        <w:spacing w:before="40" w:after="120" w:line="240" w:lineRule="auto"/>
        <w:ind w:left="0"/>
        <w:rPr>
          <w:rFonts w:cs="Arial"/>
          <w:i/>
          <w:sz w:val="16"/>
          <w:szCs w:val="16"/>
        </w:rPr>
      </w:pPr>
      <w:r w:rsidRPr="006F5DB1">
        <w:rPr>
          <w:rFonts w:cs="Arial"/>
          <w:i/>
          <w:sz w:val="16"/>
          <w:szCs w:val="16"/>
        </w:rPr>
        <w:t xml:space="preserve">Source: </w:t>
      </w:r>
      <w:r w:rsidR="00D9305E">
        <w:rPr>
          <w:rFonts w:cs="Arial"/>
          <w:i/>
          <w:sz w:val="16"/>
          <w:szCs w:val="16"/>
        </w:rPr>
        <w:t>McPherson</w:t>
      </w:r>
      <w:r w:rsidR="00D9305E" w:rsidRPr="006F5DB1">
        <w:rPr>
          <w:rFonts w:cs="Arial"/>
          <w:i/>
          <w:sz w:val="16"/>
          <w:szCs w:val="16"/>
        </w:rPr>
        <w:t xml:space="preserve"> </w:t>
      </w:r>
      <w:r w:rsidRPr="006F5DB1">
        <w:rPr>
          <w:rFonts w:cs="Arial"/>
          <w:i/>
          <w:sz w:val="16"/>
          <w:szCs w:val="16"/>
        </w:rPr>
        <w:t>(2017).</w:t>
      </w:r>
    </w:p>
    <w:p w14:paraId="0246C3AA" w14:textId="07DB3933" w:rsidR="00B430B1" w:rsidRDefault="00B430B1" w:rsidP="00B430B1">
      <w:pPr>
        <w:ind w:left="0"/>
        <w:jc w:val="center"/>
        <w:rPr>
          <w:rFonts w:cs="Arial"/>
          <w:b/>
          <w:sz w:val="20"/>
          <w:szCs w:val="20"/>
        </w:rPr>
      </w:pPr>
      <w:r>
        <w:rPr>
          <w:rFonts w:cs="Arial"/>
          <w:b/>
          <w:sz w:val="20"/>
          <w:szCs w:val="20"/>
        </w:rPr>
        <w:t>Figure</w:t>
      </w:r>
      <w:r w:rsidRPr="00E10C4D">
        <w:rPr>
          <w:rFonts w:cs="Arial"/>
          <w:b/>
          <w:sz w:val="20"/>
          <w:szCs w:val="20"/>
        </w:rPr>
        <w:t xml:space="preserve"> 7.</w:t>
      </w:r>
      <w:r w:rsidR="000374B3">
        <w:rPr>
          <w:rFonts w:cs="Arial"/>
          <w:b/>
          <w:sz w:val="20"/>
          <w:szCs w:val="20"/>
        </w:rPr>
        <w:t>10</w:t>
      </w:r>
      <w:r w:rsidRPr="00E10C4D">
        <w:rPr>
          <w:rFonts w:cs="Arial"/>
          <w:b/>
          <w:sz w:val="20"/>
          <w:szCs w:val="20"/>
        </w:rPr>
        <w:t>.</w:t>
      </w:r>
      <w:r w:rsidRPr="00E10C4D">
        <w:rPr>
          <w:rFonts w:cs="Arial"/>
          <w:b/>
          <w:sz w:val="20"/>
          <w:szCs w:val="20"/>
        </w:rPr>
        <w:tab/>
      </w:r>
      <w:r>
        <w:rPr>
          <w:rFonts w:cs="Arial"/>
          <w:b/>
          <w:sz w:val="20"/>
          <w:szCs w:val="20"/>
        </w:rPr>
        <w:t xml:space="preserve">Sound level contour map showing </w:t>
      </w:r>
      <w:r w:rsidR="00B06E55">
        <w:rPr>
          <w:rFonts w:cs="Arial"/>
          <w:b/>
          <w:sz w:val="20"/>
          <w:szCs w:val="20"/>
        </w:rPr>
        <w:t xml:space="preserve">maximum-over-depth </w:t>
      </w:r>
      <w:r w:rsidR="00CD3390">
        <w:rPr>
          <w:rFonts w:cs="Arial"/>
          <w:b/>
          <w:sz w:val="20"/>
          <w:szCs w:val="20"/>
        </w:rPr>
        <w:t>per-pulse SPL results at site 2</w:t>
      </w:r>
    </w:p>
    <w:p w14:paraId="6FCD0E0C" w14:textId="77777777" w:rsidR="00B430B1" w:rsidRDefault="00B430B1" w:rsidP="00B430B1">
      <w:pPr>
        <w:ind w:left="0"/>
        <w:jc w:val="center"/>
        <w:rPr>
          <w:rFonts w:cs="Arial"/>
          <w:b/>
          <w:sz w:val="20"/>
          <w:szCs w:val="20"/>
        </w:rPr>
      </w:pPr>
    </w:p>
    <w:tbl>
      <w:tblPr>
        <w:tblStyle w:val="TableGrid"/>
        <w:tblW w:w="0" w:type="auto"/>
        <w:tblLook w:val="04A0" w:firstRow="1" w:lastRow="0" w:firstColumn="1" w:lastColumn="0" w:noHBand="0" w:noVBand="1"/>
      </w:tblPr>
      <w:tblGrid>
        <w:gridCol w:w="8522"/>
      </w:tblGrid>
      <w:tr w:rsidR="00CD3390" w14:paraId="790EBEDC" w14:textId="77777777" w:rsidTr="00E90408">
        <w:tc>
          <w:tcPr>
            <w:tcW w:w="8522" w:type="dxa"/>
          </w:tcPr>
          <w:p w14:paraId="10787AE1" w14:textId="034C808D" w:rsidR="00CD3390" w:rsidRDefault="00006096" w:rsidP="00E90408">
            <w:pPr>
              <w:ind w:left="0"/>
              <w:jc w:val="center"/>
              <w:rPr>
                <w:rFonts w:cs="Arial"/>
                <w:sz w:val="22"/>
                <w:szCs w:val="22"/>
              </w:rPr>
            </w:pPr>
            <w:r>
              <w:rPr>
                <w:noProof/>
              </w:rPr>
              <w:lastRenderedPageBreak/>
              <w:drawing>
                <wp:inline distT="0" distB="0" distL="0" distR="0" wp14:anchorId="6BF4750E" wp14:editId="1C3B8E3A">
                  <wp:extent cx="5295900" cy="3554453"/>
                  <wp:effectExtent l="0" t="0" r="0" b="825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ite3_SPL_3390cuin.png"/>
                          <pic:cNvPicPr/>
                        </pic:nvPicPr>
                        <pic:blipFill>
                          <a:blip r:embed="rId285" cstate="screen">
                            <a:extLst>
                              <a:ext uri="{28A0092B-C50C-407E-A947-70E740481C1C}">
                                <a14:useLocalDpi xmlns:a14="http://schemas.microsoft.com/office/drawing/2010/main"/>
                              </a:ext>
                            </a:extLst>
                          </a:blip>
                          <a:stretch>
                            <a:fillRect/>
                          </a:stretch>
                        </pic:blipFill>
                        <pic:spPr>
                          <a:xfrm>
                            <a:off x="0" y="0"/>
                            <a:ext cx="5295900" cy="3554453"/>
                          </a:xfrm>
                          <a:prstGeom prst="rect">
                            <a:avLst/>
                          </a:prstGeom>
                        </pic:spPr>
                      </pic:pic>
                    </a:graphicData>
                  </a:graphic>
                </wp:inline>
              </w:drawing>
            </w:r>
          </w:p>
        </w:tc>
      </w:tr>
    </w:tbl>
    <w:p w14:paraId="45BCF5CF" w14:textId="77777777" w:rsidR="00CD3390" w:rsidRPr="006F5DB1" w:rsidRDefault="00CD3390" w:rsidP="00CD3390">
      <w:pPr>
        <w:spacing w:before="40" w:after="120" w:line="240" w:lineRule="auto"/>
        <w:ind w:left="0"/>
        <w:rPr>
          <w:rFonts w:cs="Arial"/>
          <w:i/>
          <w:sz w:val="16"/>
          <w:szCs w:val="16"/>
        </w:rPr>
      </w:pPr>
      <w:r w:rsidRPr="006F5DB1">
        <w:rPr>
          <w:rFonts w:cs="Arial"/>
          <w:i/>
          <w:sz w:val="16"/>
          <w:szCs w:val="16"/>
        </w:rPr>
        <w:t xml:space="preserve">Source: </w:t>
      </w:r>
      <w:r>
        <w:rPr>
          <w:rFonts w:cs="Arial"/>
          <w:i/>
          <w:sz w:val="16"/>
          <w:szCs w:val="16"/>
        </w:rPr>
        <w:t>McPherson</w:t>
      </w:r>
      <w:r w:rsidRPr="006F5DB1">
        <w:rPr>
          <w:rFonts w:cs="Arial"/>
          <w:i/>
          <w:sz w:val="16"/>
          <w:szCs w:val="16"/>
        </w:rPr>
        <w:t xml:space="preserve"> (2017).</w:t>
      </w:r>
    </w:p>
    <w:p w14:paraId="7D2ED1A6" w14:textId="2DAF974B" w:rsidR="00CD3390" w:rsidRDefault="00CD3390" w:rsidP="00CD3390">
      <w:pPr>
        <w:ind w:left="0"/>
        <w:jc w:val="center"/>
        <w:rPr>
          <w:rFonts w:cs="Arial"/>
          <w:b/>
          <w:sz w:val="20"/>
          <w:szCs w:val="20"/>
        </w:rPr>
      </w:pPr>
      <w:r>
        <w:rPr>
          <w:rFonts w:cs="Arial"/>
          <w:b/>
          <w:sz w:val="20"/>
          <w:szCs w:val="20"/>
        </w:rPr>
        <w:t>Figure</w:t>
      </w:r>
      <w:r w:rsidRPr="00E10C4D">
        <w:rPr>
          <w:rFonts w:cs="Arial"/>
          <w:b/>
          <w:sz w:val="20"/>
          <w:szCs w:val="20"/>
        </w:rPr>
        <w:t xml:space="preserve"> 7.</w:t>
      </w:r>
      <w:r w:rsidR="000374B3">
        <w:rPr>
          <w:rFonts w:cs="Arial"/>
          <w:b/>
          <w:sz w:val="20"/>
          <w:szCs w:val="20"/>
        </w:rPr>
        <w:t>11</w:t>
      </w:r>
      <w:r w:rsidRPr="00E10C4D">
        <w:rPr>
          <w:rFonts w:cs="Arial"/>
          <w:b/>
          <w:sz w:val="20"/>
          <w:szCs w:val="20"/>
        </w:rPr>
        <w:t>.</w:t>
      </w:r>
      <w:r w:rsidRPr="00E10C4D">
        <w:rPr>
          <w:rFonts w:cs="Arial"/>
          <w:b/>
          <w:sz w:val="20"/>
          <w:szCs w:val="20"/>
        </w:rPr>
        <w:tab/>
      </w:r>
      <w:r>
        <w:rPr>
          <w:rFonts w:cs="Arial"/>
          <w:b/>
          <w:sz w:val="20"/>
          <w:szCs w:val="20"/>
        </w:rPr>
        <w:t>Sound level contour map showing maximum-over-depth p</w:t>
      </w:r>
      <w:r w:rsidR="00E90408">
        <w:rPr>
          <w:rFonts w:cs="Arial"/>
          <w:b/>
          <w:sz w:val="20"/>
          <w:szCs w:val="20"/>
        </w:rPr>
        <w:t>er-pulse SPL results at site 3</w:t>
      </w:r>
    </w:p>
    <w:p w14:paraId="56283C62" w14:textId="77777777" w:rsidR="00E90408" w:rsidRDefault="00E90408" w:rsidP="00CD3390">
      <w:pPr>
        <w:ind w:left="0"/>
        <w:jc w:val="center"/>
        <w:rPr>
          <w:rFonts w:cs="Arial"/>
          <w:b/>
          <w:sz w:val="20"/>
          <w:szCs w:val="20"/>
        </w:rPr>
      </w:pPr>
    </w:p>
    <w:p w14:paraId="28A0D288" w14:textId="77777777" w:rsidR="00B430B1" w:rsidRDefault="00B430B1" w:rsidP="00B430B1">
      <w:pPr>
        <w:ind w:left="0"/>
        <w:jc w:val="center"/>
        <w:rPr>
          <w:rFonts w:cs="Arial"/>
          <w:sz w:val="22"/>
          <w:szCs w:val="22"/>
        </w:rPr>
      </w:pPr>
    </w:p>
    <w:tbl>
      <w:tblPr>
        <w:tblStyle w:val="TableGrid"/>
        <w:tblW w:w="0" w:type="auto"/>
        <w:tblLook w:val="04A0" w:firstRow="1" w:lastRow="0" w:firstColumn="1" w:lastColumn="0" w:noHBand="0" w:noVBand="1"/>
      </w:tblPr>
      <w:tblGrid>
        <w:gridCol w:w="8522"/>
      </w:tblGrid>
      <w:tr w:rsidR="00CD3390" w14:paraId="0E2144DE" w14:textId="77777777" w:rsidTr="00E90408">
        <w:tc>
          <w:tcPr>
            <w:tcW w:w="8522" w:type="dxa"/>
          </w:tcPr>
          <w:p w14:paraId="5FB06BB7" w14:textId="28EC4A23" w:rsidR="00CD3390" w:rsidRDefault="00006096" w:rsidP="00E90408">
            <w:pPr>
              <w:ind w:left="0"/>
              <w:jc w:val="center"/>
              <w:rPr>
                <w:rFonts w:cs="Arial"/>
                <w:sz w:val="22"/>
                <w:szCs w:val="22"/>
              </w:rPr>
            </w:pPr>
            <w:r>
              <w:rPr>
                <w:noProof/>
              </w:rPr>
              <w:drawing>
                <wp:inline distT="0" distB="0" distL="0" distR="0" wp14:anchorId="5289770D" wp14:editId="7EA90769">
                  <wp:extent cx="5295900" cy="3554453"/>
                  <wp:effectExtent l="0" t="0" r="0" b="825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Site4_SPL_3390cuin.png"/>
                          <pic:cNvPicPr/>
                        </pic:nvPicPr>
                        <pic:blipFill>
                          <a:blip r:embed="rId286" cstate="screen">
                            <a:extLst>
                              <a:ext uri="{28A0092B-C50C-407E-A947-70E740481C1C}">
                                <a14:useLocalDpi xmlns:a14="http://schemas.microsoft.com/office/drawing/2010/main"/>
                              </a:ext>
                            </a:extLst>
                          </a:blip>
                          <a:stretch>
                            <a:fillRect/>
                          </a:stretch>
                        </pic:blipFill>
                        <pic:spPr>
                          <a:xfrm>
                            <a:off x="0" y="0"/>
                            <a:ext cx="5295900" cy="3554453"/>
                          </a:xfrm>
                          <a:prstGeom prst="rect">
                            <a:avLst/>
                          </a:prstGeom>
                        </pic:spPr>
                      </pic:pic>
                    </a:graphicData>
                  </a:graphic>
                </wp:inline>
              </w:drawing>
            </w:r>
          </w:p>
        </w:tc>
      </w:tr>
    </w:tbl>
    <w:p w14:paraId="2D5BB604" w14:textId="77777777" w:rsidR="00CD3390" w:rsidRPr="006F5DB1" w:rsidRDefault="00CD3390" w:rsidP="00CD3390">
      <w:pPr>
        <w:spacing w:before="40" w:after="120" w:line="240" w:lineRule="auto"/>
        <w:ind w:left="0"/>
        <w:rPr>
          <w:rFonts w:cs="Arial"/>
          <w:i/>
          <w:sz w:val="16"/>
          <w:szCs w:val="16"/>
        </w:rPr>
      </w:pPr>
      <w:r w:rsidRPr="006F5DB1">
        <w:rPr>
          <w:rFonts w:cs="Arial"/>
          <w:i/>
          <w:sz w:val="16"/>
          <w:szCs w:val="16"/>
        </w:rPr>
        <w:t xml:space="preserve">Source: </w:t>
      </w:r>
      <w:r>
        <w:rPr>
          <w:rFonts w:cs="Arial"/>
          <w:i/>
          <w:sz w:val="16"/>
          <w:szCs w:val="16"/>
        </w:rPr>
        <w:t>McPherson</w:t>
      </w:r>
      <w:r w:rsidRPr="006F5DB1">
        <w:rPr>
          <w:rFonts w:cs="Arial"/>
          <w:i/>
          <w:sz w:val="16"/>
          <w:szCs w:val="16"/>
        </w:rPr>
        <w:t xml:space="preserve"> (2017).</w:t>
      </w:r>
    </w:p>
    <w:p w14:paraId="3262883A" w14:textId="753214E0" w:rsidR="00CD3390" w:rsidRDefault="00CD3390" w:rsidP="00CD3390">
      <w:pPr>
        <w:ind w:left="0"/>
        <w:jc w:val="center"/>
        <w:rPr>
          <w:rFonts w:cs="Arial"/>
          <w:b/>
          <w:sz w:val="20"/>
          <w:szCs w:val="20"/>
        </w:rPr>
      </w:pPr>
      <w:r>
        <w:rPr>
          <w:rFonts w:cs="Arial"/>
          <w:b/>
          <w:sz w:val="20"/>
          <w:szCs w:val="20"/>
        </w:rPr>
        <w:t>Figure</w:t>
      </w:r>
      <w:r w:rsidRPr="00E10C4D">
        <w:rPr>
          <w:rFonts w:cs="Arial"/>
          <w:b/>
          <w:sz w:val="20"/>
          <w:szCs w:val="20"/>
        </w:rPr>
        <w:t xml:space="preserve"> 7.</w:t>
      </w:r>
      <w:r w:rsidR="000374B3">
        <w:rPr>
          <w:rFonts w:cs="Arial"/>
          <w:b/>
          <w:sz w:val="20"/>
          <w:szCs w:val="20"/>
        </w:rPr>
        <w:t>12</w:t>
      </w:r>
      <w:r w:rsidRPr="00E10C4D">
        <w:rPr>
          <w:rFonts w:cs="Arial"/>
          <w:b/>
          <w:sz w:val="20"/>
          <w:szCs w:val="20"/>
        </w:rPr>
        <w:t>.</w:t>
      </w:r>
      <w:r w:rsidRPr="00E10C4D">
        <w:rPr>
          <w:rFonts w:cs="Arial"/>
          <w:b/>
          <w:sz w:val="20"/>
          <w:szCs w:val="20"/>
        </w:rPr>
        <w:tab/>
      </w:r>
      <w:r>
        <w:rPr>
          <w:rFonts w:cs="Arial"/>
          <w:b/>
          <w:sz w:val="20"/>
          <w:szCs w:val="20"/>
        </w:rPr>
        <w:t xml:space="preserve">Sound level contour map showing maximum-over-depth per-pulse SPL results at site 4 (representative of the </w:t>
      </w:r>
      <w:r w:rsidR="00E90408">
        <w:rPr>
          <w:rFonts w:cs="Arial"/>
          <w:b/>
          <w:sz w:val="20"/>
          <w:szCs w:val="20"/>
        </w:rPr>
        <w:t>deepest</w:t>
      </w:r>
      <w:r>
        <w:rPr>
          <w:rFonts w:cs="Arial"/>
          <w:b/>
          <w:sz w:val="20"/>
          <w:szCs w:val="20"/>
        </w:rPr>
        <w:t xml:space="preserve"> </w:t>
      </w:r>
      <w:r w:rsidR="00E90408">
        <w:rPr>
          <w:rFonts w:cs="Arial"/>
          <w:b/>
          <w:sz w:val="20"/>
          <w:szCs w:val="20"/>
        </w:rPr>
        <w:t>water</w:t>
      </w:r>
      <w:r>
        <w:rPr>
          <w:rFonts w:cs="Arial"/>
          <w:b/>
          <w:sz w:val="20"/>
          <w:szCs w:val="20"/>
        </w:rPr>
        <w:t>)</w:t>
      </w:r>
    </w:p>
    <w:p w14:paraId="082DCA24" w14:textId="77777777" w:rsidR="00CD3390" w:rsidRDefault="00CD3390" w:rsidP="00B430B1">
      <w:pPr>
        <w:ind w:left="0"/>
        <w:jc w:val="center"/>
        <w:rPr>
          <w:rFonts w:cs="Arial"/>
          <w:sz w:val="22"/>
          <w:szCs w:val="22"/>
        </w:rPr>
      </w:pPr>
    </w:p>
    <w:p w14:paraId="1BF5CC9F" w14:textId="77777777" w:rsidR="00B430B1" w:rsidRDefault="00B430B1" w:rsidP="00B430B1">
      <w:pPr>
        <w:ind w:left="0"/>
        <w:jc w:val="center"/>
        <w:rPr>
          <w:rFonts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B430B1" w14:paraId="149707A6" w14:textId="77777777" w:rsidTr="00B430B1">
        <w:tc>
          <w:tcPr>
            <w:tcW w:w="8522" w:type="dxa"/>
          </w:tcPr>
          <w:tbl>
            <w:tblPr>
              <w:tblStyle w:val="TableGrid"/>
              <w:tblW w:w="0" w:type="auto"/>
              <w:tblLook w:val="04A0" w:firstRow="1" w:lastRow="0" w:firstColumn="1" w:lastColumn="0" w:noHBand="0" w:noVBand="1"/>
            </w:tblPr>
            <w:tblGrid>
              <w:gridCol w:w="8296"/>
            </w:tblGrid>
            <w:tr w:rsidR="00E90408" w14:paraId="312E1701" w14:textId="77777777" w:rsidTr="00E90408">
              <w:tc>
                <w:tcPr>
                  <w:tcW w:w="8291" w:type="dxa"/>
                </w:tcPr>
                <w:p w14:paraId="0F86606E" w14:textId="0BE4DAF1" w:rsidR="00E90408" w:rsidRDefault="00006096" w:rsidP="00B430B1">
                  <w:pPr>
                    <w:ind w:left="0"/>
                    <w:rPr>
                      <w:rFonts w:cs="Arial"/>
                      <w:sz w:val="22"/>
                      <w:szCs w:val="22"/>
                    </w:rPr>
                  </w:pPr>
                  <w:r>
                    <w:rPr>
                      <w:noProof/>
                    </w:rPr>
                    <w:drawing>
                      <wp:inline distT="0" distB="0" distL="0" distR="0" wp14:anchorId="1CE410C9" wp14:editId="7464A27E">
                        <wp:extent cx="5133975" cy="3445773"/>
                        <wp:effectExtent l="0" t="0" r="0" b="25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Site5_SPL_3390cuin.png"/>
                                <pic:cNvPicPr/>
                              </pic:nvPicPr>
                              <pic:blipFill>
                                <a:blip r:embed="rId287" cstate="screen">
                                  <a:extLst>
                                    <a:ext uri="{28A0092B-C50C-407E-A947-70E740481C1C}">
                                      <a14:useLocalDpi xmlns:a14="http://schemas.microsoft.com/office/drawing/2010/main"/>
                                    </a:ext>
                                  </a:extLst>
                                </a:blip>
                                <a:stretch>
                                  <a:fillRect/>
                                </a:stretch>
                              </pic:blipFill>
                              <pic:spPr>
                                <a:xfrm>
                                  <a:off x="0" y="0"/>
                                  <a:ext cx="5133975" cy="3445773"/>
                                </a:xfrm>
                                <a:prstGeom prst="rect">
                                  <a:avLst/>
                                </a:prstGeom>
                              </pic:spPr>
                            </pic:pic>
                          </a:graphicData>
                        </a:graphic>
                      </wp:inline>
                    </w:drawing>
                  </w:r>
                </w:p>
              </w:tc>
            </w:tr>
          </w:tbl>
          <w:p w14:paraId="07D51519" w14:textId="2FD34C9A" w:rsidR="00B430B1" w:rsidRDefault="00B430B1" w:rsidP="00B430B1">
            <w:pPr>
              <w:ind w:left="0"/>
              <w:rPr>
                <w:rFonts w:cs="Arial"/>
                <w:sz w:val="22"/>
                <w:szCs w:val="22"/>
              </w:rPr>
            </w:pPr>
          </w:p>
        </w:tc>
      </w:tr>
    </w:tbl>
    <w:p w14:paraId="010D1B30" w14:textId="04F5B6AE" w:rsidR="00B430B1" w:rsidRPr="006F5DB1" w:rsidRDefault="00B430B1" w:rsidP="00B430B1">
      <w:pPr>
        <w:spacing w:before="40" w:after="120" w:line="240" w:lineRule="auto"/>
        <w:ind w:left="0"/>
        <w:rPr>
          <w:rFonts w:cs="Arial"/>
          <w:i/>
          <w:sz w:val="16"/>
          <w:szCs w:val="16"/>
        </w:rPr>
      </w:pPr>
      <w:r w:rsidRPr="006F5DB1">
        <w:rPr>
          <w:rFonts w:cs="Arial"/>
          <w:i/>
          <w:sz w:val="16"/>
          <w:szCs w:val="16"/>
        </w:rPr>
        <w:t xml:space="preserve">Source: </w:t>
      </w:r>
      <w:r w:rsidR="00D9305E">
        <w:rPr>
          <w:rFonts w:cs="Arial"/>
          <w:i/>
          <w:sz w:val="16"/>
          <w:szCs w:val="16"/>
        </w:rPr>
        <w:t>McPherson</w:t>
      </w:r>
      <w:r w:rsidR="00D9305E" w:rsidRPr="006F5DB1">
        <w:rPr>
          <w:rFonts w:cs="Arial"/>
          <w:i/>
          <w:sz w:val="16"/>
          <w:szCs w:val="16"/>
        </w:rPr>
        <w:t xml:space="preserve"> </w:t>
      </w:r>
      <w:r w:rsidRPr="006F5DB1">
        <w:rPr>
          <w:rFonts w:cs="Arial"/>
          <w:i/>
          <w:sz w:val="16"/>
          <w:szCs w:val="16"/>
        </w:rPr>
        <w:t>(2017).</w:t>
      </w:r>
    </w:p>
    <w:p w14:paraId="6ED8B688" w14:textId="1143897D" w:rsidR="00B430B1" w:rsidRDefault="00B430B1" w:rsidP="00B430B1">
      <w:pPr>
        <w:ind w:left="0"/>
        <w:jc w:val="center"/>
        <w:rPr>
          <w:rFonts w:cs="Arial"/>
          <w:b/>
          <w:sz w:val="20"/>
          <w:szCs w:val="20"/>
        </w:rPr>
      </w:pPr>
      <w:r>
        <w:rPr>
          <w:rFonts w:cs="Arial"/>
          <w:b/>
          <w:sz w:val="20"/>
          <w:szCs w:val="20"/>
        </w:rPr>
        <w:t>Figure</w:t>
      </w:r>
      <w:r w:rsidRPr="00E10C4D">
        <w:rPr>
          <w:rFonts w:cs="Arial"/>
          <w:b/>
          <w:sz w:val="20"/>
          <w:szCs w:val="20"/>
        </w:rPr>
        <w:t xml:space="preserve"> 7.</w:t>
      </w:r>
      <w:r w:rsidR="000374B3">
        <w:rPr>
          <w:rFonts w:cs="Arial"/>
          <w:b/>
          <w:sz w:val="20"/>
          <w:szCs w:val="20"/>
        </w:rPr>
        <w:t>13</w:t>
      </w:r>
      <w:r w:rsidRPr="00E10C4D">
        <w:rPr>
          <w:rFonts w:cs="Arial"/>
          <w:b/>
          <w:sz w:val="20"/>
          <w:szCs w:val="20"/>
        </w:rPr>
        <w:t>.</w:t>
      </w:r>
      <w:r w:rsidRPr="00E10C4D">
        <w:rPr>
          <w:rFonts w:cs="Arial"/>
          <w:b/>
          <w:sz w:val="20"/>
          <w:szCs w:val="20"/>
        </w:rPr>
        <w:tab/>
      </w:r>
      <w:r>
        <w:rPr>
          <w:rFonts w:cs="Arial"/>
          <w:b/>
          <w:sz w:val="20"/>
          <w:szCs w:val="20"/>
        </w:rPr>
        <w:t xml:space="preserve">Sound level contour map showing </w:t>
      </w:r>
      <w:r w:rsidR="00B06E55">
        <w:rPr>
          <w:rFonts w:cs="Arial"/>
          <w:b/>
          <w:sz w:val="20"/>
          <w:szCs w:val="20"/>
        </w:rPr>
        <w:t xml:space="preserve">maximum-over-depth </w:t>
      </w:r>
      <w:r>
        <w:rPr>
          <w:rFonts w:cs="Arial"/>
          <w:b/>
          <w:sz w:val="20"/>
          <w:szCs w:val="20"/>
        </w:rPr>
        <w:t xml:space="preserve">per-pulse SPL results at site </w:t>
      </w:r>
      <w:r w:rsidR="00E90408">
        <w:rPr>
          <w:rFonts w:cs="Arial"/>
          <w:b/>
          <w:sz w:val="20"/>
          <w:szCs w:val="20"/>
        </w:rPr>
        <w:t xml:space="preserve">5 </w:t>
      </w:r>
    </w:p>
    <w:p w14:paraId="0ADF8528" w14:textId="77777777" w:rsidR="00B430B1" w:rsidRDefault="00B430B1" w:rsidP="00B430B1">
      <w:pPr>
        <w:ind w:left="0"/>
        <w:jc w:val="center"/>
        <w:rPr>
          <w:rFonts w:cs="Arial"/>
          <w:b/>
          <w:sz w:val="20"/>
          <w:szCs w:val="20"/>
        </w:rPr>
      </w:pPr>
    </w:p>
    <w:p w14:paraId="69913100" w14:textId="4D1D989C" w:rsidR="00B430B1" w:rsidRDefault="00B430B1" w:rsidP="00B430B1">
      <w:pPr>
        <w:pStyle w:val="Heading3"/>
        <w:spacing w:after="120"/>
        <w:ind w:left="1225" w:hanging="505"/>
      </w:pPr>
      <w:bookmarkStart w:id="1140" w:name="_Toc477947929"/>
      <w:bookmarkStart w:id="1141" w:name="_Toc479764142"/>
      <w:bookmarkStart w:id="1142" w:name="_Toc375214639"/>
      <w:r>
        <w:t xml:space="preserve">Evaluation of Environmental </w:t>
      </w:r>
      <w:bookmarkEnd w:id="1140"/>
      <w:bookmarkEnd w:id="1141"/>
      <w:r w:rsidR="002E18BA">
        <w:t>Risks</w:t>
      </w:r>
      <w:bookmarkEnd w:id="1142"/>
    </w:p>
    <w:p w14:paraId="0211CD0E" w14:textId="23DB8E77" w:rsidR="00B430B1" w:rsidRPr="00016D52" w:rsidRDefault="00B430B1" w:rsidP="00B430B1">
      <w:pPr>
        <w:spacing w:after="120" w:line="240" w:lineRule="auto"/>
        <w:ind w:left="0"/>
        <w:rPr>
          <w:rFonts w:cs="Arial"/>
          <w:b/>
          <w:sz w:val="22"/>
          <w:szCs w:val="22"/>
        </w:rPr>
      </w:pPr>
      <w:r w:rsidRPr="00016D52">
        <w:rPr>
          <w:rFonts w:cs="Arial"/>
          <w:b/>
          <w:sz w:val="22"/>
          <w:szCs w:val="22"/>
        </w:rPr>
        <w:t xml:space="preserve">Physiological </w:t>
      </w:r>
      <w:r w:rsidR="002E18BA">
        <w:rPr>
          <w:rFonts w:cs="Arial"/>
          <w:b/>
          <w:sz w:val="22"/>
          <w:szCs w:val="22"/>
        </w:rPr>
        <w:t>Risks</w:t>
      </w:r>
    </w:p>
    <w:p w14:paraId="7FF455D1" w14:textId="5A4BE7F3" w:rsidR="00B430B1" w:rsidRDefault="00B430B1" w:rsidP="00B430B1">
      <w:pPr>
        <w:ind w:left="0"/>
        <w:rPr>
          <w:rFonts w:cs="Arial"/>
          <w:sz w:val="22"/>
          <w:szCs w:val="22"/>
        </w:rPr>
      </w:pPr>
      <w:r w:rsidRPr="007B747F">
        <w:rPr>
          <w:rFonts w:cs="Arial"/>
          <w:sz w:val="22"/>
          <w:szCs w:val="22"/>
        </w:rPr>
        <w:t>Limited research has been undertaken into the impacts of underwater low frequency sound on humans. Available studies have concentrated on frequency bands 100 to 500 Hz (</w:t>
      </w:r>
      <w:r w:rsidR="009C7129">
        <w:rPr>
          <w:rFonts w:cs="Arial"/>
          <w:sz w:val="22"/>
          <w:szCs w:val="22"/>
        </w:rPr>
        <w:t xml:space="preserve">as most seismic survey energy is produced at </w:t>
      </w:r>
      <w:r w:rsidRPr="009C7129">
        <w:rPr>
          <w:rFonts w:cs="Arial"/>
          <w:sz w:val="22"/>
          <w:szCs w:val="22"/>
        </w:rPr>
        <w:t>frequenc</w:t>
      </w:r>
      <w:r w:rsidR="009C7129" w:rsidRPr="009C7129">
        <w:rPr>
          <w:rFonts w:cs="Arial"/>
          <w:sz w:val="22"/>
          <w:szCs w:val="22"/>
        </w:rPr>
        <w:t>ies below 500 Hz</w:t>
      </w:r>
      <w:r w:rsidRPr="009C7129">
        <w:rPr>
          <w:rFonts w:cs="Arial"/>
          <w:sz w:val="22"/>
          <w:szCs w:val="22"/>
        </w:rPr>
        <w:t>)</w:t>
      </w:r>
      <w:r w:rsidRPr="007B747F">
        <w:rPr>
          <w:rFonts w:cs="Arial"/>
          <w:sz w:val="22"/>
          <w:szCs w:val="22"/>
        </w:rPr>
        <w:t xml:space="preserve"> and 500 to 2,500 Hz. </w:t>
      </w:r>
      <w:r w:rsidRPr="003C0ADD">
        <w:rPr>
          <w:rFonts w:cs="Arial"/>
          <w:sz w:val="22"/>
          <w:szCs w:val="22"/>
        </w:rPr>
        <w:t>Table 7.</w:t>
      </w:r>
      <w:r w:rsidR="00C80F2B" w:rsidRPr="003C0ADD">
        <w:rPr>
          <w:rFonts w:cs="Arial"/>
          <w:sz w:val="22"/>
          <w:szCs w:val="22"/>
        </w:rPr>
        <w:t>3</w:t>
      </w:r>
      <w:r w:rsidR="003C0ADD" w:rsidRPr="003C0ADD">
        <w:rPr>
          <w:rFonts w:cs="Arial"/>
          <w:sz w:val="22"/>
          <w:szCs w:val="22"/>
        </w:rPr>
        <w:t>3</w:t>
      </w:r>
      <w:r w:rsidRPr="003C0ADD">
        <w:rPr>
          <w:rFonts w:cs="Arial"/>
          <w:sz w:val="22"/>
          <w:szCs w:val="22"/>
        </w:rPr>
        <w:t xml:space="preserve"> details</w:t>
      </w:r>
      <w:r w:rsidRPr="007B747F">
        <w:rPr>
          <w:rFonts w:cs="Arial"/>
          <w:sz w:val="22"/>
          <w:szCs w:val="22"/>
        </w:rPr>
        <w:t xml:space="preserve"> the bio-effects of low frequency sound (100 to 500 Hz) based on available research (Parvin, 2005).</w:t>
      </w:r>
    </w:p>
    <w:p w14:paraId="27A93FCC" w14:textId="77777777" w:rsidR="00EF38AE" w:rsidRDefault="00EF38AE" w:rsidP="00B430B1">
      <w:pPr>
        <w:ind w:left="0"/>
        <w:rPr>
          <w:rFonts w:cs="Arial"/>
          <w:sz w:val="22"/>
          <w:szCs w:val="22"/>
        </w:rPr>
      </w:pPr>
    </w:p>
    <w:p w14:paraId="000B8252" w14:textId="77777777" w:rsidR="00EF38AE" w:rsidRDefault="00EF38AE" w:rsidP="00EF38AE">
      <w:pPr>
        <w:widowControl w:val="0"/>
        <w:autoSpaceDE w:val="0"/>
        <w:autoSpaceDN w:val="0"/>
        <w:adjustRightInd w:val="0"/>
        <w:spacing w:line="240" w:lineRule="auto"/>
        <w:ind w:left="0"/>
        <w:rPr>
          <w:rFonts w:cs="Arial"/>
          <w:sz w:val="22"/>
          <w:szCs w:val="22"/>
        </w:rPr>
      </w:pPr>
      <w:r w:rsidRPr="001A12EB">
        <w:rPr>
          <w:rFonts w:cs="Arial"/>
          <w:sz w:val="22"/>
          <w:szCs w:val="22"/>
        </w:rPr>
        <w:t>DMAC (2011) reports that</w:t>
      </w:r>
      <w:r>
        <w:rPr>
          <w:rFonts w:cs="Arial"/>
          <w:sz w:val="22"/>
          <w:szCs w:val="22"/>
        </w:rPr>
        <w:t xml:space="preserve"> t</w:t>
      </w:r>
      <w:r w:rsidRPr="001A12EB">
        <w:rPr>
          <w:rFonts w:cs="Arial"/>
          <w:sz w:val="22"/>
          <w:szCs w:val="22"/>
        </w:rPr>
        <w:t xml:space="preserve">he intensity of the sound experienced by </w:t>
      </w:r>
      <w:r>
        <w:rPr>
          <w:rFonts w:cs="Arial"/>
          <w:sz w:val="22"/>
          <w:szCs w:val="22"/>
        </w:rPr>
        <w:t>a</w:t>
      </w:r>
      <w:r w:rsidRPr="001A12EB">
        <w:rPr>
          <w:rFonts w:cs="Arial"/>
          <w:sz w:val="22"/>
          <w:szCs w:val="22"/>
        </w:rPr>
        <w:t xml:space="preserve"> diver is dependent on the power of the seismic airgun array and the distance between the diver and the seismic airgun, but other factors may have important effects. These factors include</w:t>
      </w:r>
      <w:r>
        <w:rPr>
          <w:rFonts w:cs="Arial"/>
          <w:sz w:val="22"/>
          <w:szCs w:val="22"/>
        </w:rPr>
        <w:t xml:space="preserve"> the:</w:t>
      </w:r>
    </w:p>
    <w:p w14:paraId="54933D8F" w14:textId="77777777" w:rsidR="00EF38AE" w:rsidRDefault="00EF38AE" w:rsidP="00EF38AE">
      <w:pPr>
        <w:widowControl w:val="0"/>
        <w:autoSpaceDE w:val="0"/>
        <w:autoSpaceDN w:val="0"/>
        <w:adjustRightInd w:val="0"/>
        <w:spacing w:line="240" w:lineRule="auto"/>
        <w:ind w:left="0"/>
        <w:rPr>
          <w:rFonts w:cs="Arial"/>
          <w:sz w:val="22"/>
          <w:szCs w:val="22"/>
        </w:rPr>
      </w:pPr>
    </w:p>
    <w:p w14:paraId="2FAD7284" w14:textId="77777777" w:rsidR="00EF38AE" w:rsidRPr="007B645E" w:rsidRDefault="00EF38AE" w:rsidP="00EF38AE">
      <w:pPr>
        <w:pStyle w:val="ListParagraph0"/>
        <w:widowControl w:val="0"/>
        <w:numPr>
          <w:ilvl w:val="0"/>
          <w:numId w:val="417"/>
        </w:numPr>
        <w:autoSpaceDE w:val="0"/>
        <w:autoSpaceDN w:val="0"/>
        <w:adjustRightInd w:val="0"/>
        <w:spacing w:line="240" w:lineRule="auto"/>
        <w:rPr>
          <w:rFonts w:cs="Arial"/>
          <w:sz w:val="22"/>
          <w:szCs w:val="22"/>
        </w:rPr>
      </w:pPr>
      <w:r>
        <w:rPr>
          <w:rFonts w:cs="Arial"/>
          <w:sz w:val="22"/>
          <w:szCs w:val="22"/>
        </w:rPr>
        <w:t>W</w:t>
      </w:r>
      <w:r w:rsidRPr="007B645E">
        <w:rPr>
          <w:rFonts w:cs="Arial"/>
          <w:sz w:val="22"/>
          <w:szCs w:val="22"/>
        </w:rPr>
        <w:t xml:space="preserve">ater depth at which the seismic activity takes place; </w:t>
      </w:r>
    </w:p>
    <w:p w14:paraId="2C0EF1B8" w14:textId="77777777" w:rsidR="00EF38AE" w:rsidRPr="007B645E" w:rsidRDefault="00EF38AE" w:rsidP="00EF38AE">
      <w:pPr>
        <w:pStyle w:val="ListParagraph0"/>
        <w:widowControl w:val="0"/>
        <w:numPr>
          <w:ilvl w:val="0"/>
          <w:numId w:val="417"/>
        </w:numPr>
        <w:autoSpaceDE w:val="0"/>
        <w:autoSpaceDN w:val="0"/>
        <w:adjustRightInd w:val="0"/>
        <w:spacing w:line="240" w:lineRule="auto"/>
        <w:rPr>
          <w:rFonts w:cs="Arial"/>
          <w:sz w:val="22"/>
          <w:szCs w:val="22"/>
        </w:rPr>
      </w:pPr>
      <w:r>
        <w:rPr>
          <w:rFonts w:cs="Arial"/>
          <w:sz w:val="22"/>
          <w:szCs w:val="22"/>
        </w:rPr>
        <w:t>P</w:t>
      </w:r>
      <w:r w:rsidRPr="007B645E">
        <w:rPr>
          <w:rFonts w:cs="Arial"/>
          <w:sz w:val="22"/>
          <w:szCs w:val="22"/>
        </w:rPr>
        <w:t xml:space="preserve">resence of thermoclines (layering due to changes in temperature); </w:t>
      </w:r>
    </w:p>
    <w:p w14:paraId="545BE96C" w14:textId="77777777" w:rsidR="00EF38AE" w:rsidRPr="007B645E" w:rsidRDefault="00EF38AE" w:rsidP="00EF38AE">
      <w:pPr>
        <w:pStyle w:val="ListParagraph0"/>
        <w:widowControl w:val="0"/>
        <w:numPr>
          <w:ilvl w:val="0"/>
          <w:numId w:val="417"/>
        </w:numPr>
        <w:autoSpaceDE w:val="0"/>
        <w:autoSpaceDN w:val="0"/>
        <w:adjustRightInd w:val="0"/>
        <w:spacing w:line="240" w:lineRule="auto"/>
        <w:rPr>
          <w:rFonts w:cs="Arial"/>
          <w:sz w:val="22"/>
          <w:szCs w:val="22"/>
        </w:rPr>
      </w:pPr>
      <w:r>
        <w:rPr>
          <w:rFonts w:cs="Arial"/>
          <w:sz w:val="22"/>
          <w:szCs w:val="22"/>
        </w:rPr>
        <w:t>D</w:t>
      </w:r>
      <w:r w:rsidRPr="007B645E">
        <w:rPr>
          <w:rFonts w:cs="Arial"/>
          <w:sz w:val="22"/>
          <w:szCs w:val="22"/>
        </w:rPr>
        <w:t xml:space="preserve">epth of the diver versus the depth of the thermocline; </w:t>
      </w:r>
    </w:p>
    <w:p w14:paraId="6516BC4F" w14:textId="77777777" w:rsidR="00EF38AE" w:rsidRPr="007B645E" w:rsidRDefault="00EF38AE" w:rsidP="00EF38AE">
      <w:pPr>
        <w:pStyle w:val="ListParagraph0"/>
        <w:widowControl w:val="0"/>
        <w:numPr>
          <w:ilvl w:val="0"/>
          <w:numId w:val="417"/>
        </w:numPr>
        <w:autoSpaceDE w:val="0"/>
        <w:autoSpaceDN w:val="0"/>
        <w:adjustRightInd w:val="0"/>
        <w:spacing w:line="240" w:lineRule="auto"/>
        <w:rPr>
          <w:rFonts w:cs="Arial"/>
          <w:sz w:val="22"/>
          <w:szCs w:val="22"/>
        </w:rPr>
      </w:pPr>
      <w:r>
        <w:rPr>
          <w:rFonts w:cs="Arial"/>
          <w:sz w:val="22"/>
          <w:szCs w:val="22"/>
        </w:rPr>
        <w:t>B</w:t>
      </w:r>
      <w:r w:rsidRPr="007B645E">
        <w:rPr>
          <w:rFonts w:cs="Arial"/>
          <w:sz w:val="22"/>
          <w:szCs w:val="22"/>
        </w:rPr>
        <w:t xml:space="preserve">ottom conditions; </w:t>
      </w:r>
    </w:p>
    <w:p w14:paraId="34430801" w14:textId="77777777" w:rsidR="00EF38AE" w:rsidRPr="007B645E" w:rsidRDefault="00EF38AE" w:rsidP="00EF38AE">
      <w:pPr>
        <w:pStyle w:val="ListParagraph0"/>
        <w:widowControl w:val="0"/>
        <w:numPr>
          <w:ilvl w:val="0"/>
          <w:numId w:val="417"/>
        </w:numPr>
        <w:autoSpaceDE w:val="0"/>
        <w:autoSpaceDN w:val="0"/>
        <w:adjustRightInd w:val="0"/>
        <w:spacing w:line="240" w:lineRule="auto"/>
        <w:rPr>
          <w:rFonts w:cs="Arial"/>
          <w:sz w:val="22"/>
          <w:szCs w:val="22"/>
        </w:rPr>
      </w:pPr>
      <w:r>
        <w:rPr>
          <w:rFonts w:cs="Arial"/>
          <w:sz w:val="22"/>
          <w:szCs w:val="22"/>
        </w:rPr>
        <w:t>S</w:t>
      </w:r>
      <w:r w:rsidRPr="007B645E">
        <w:rPr>
          <w:rFonts w:cs="Arial"/>
          <w:sz w:val="22"/>
          <w:szCs w:val="22"/>
        </w:rPr>
        <w:t xml:space="preserve">alinity; and </w:t>
      </w:r>
    </w:p>
    <w:p w14:paraId="0A96D805" w14:textId="77777777" w:rsidR="00EF38AE" w:rsidRPr="007B645E" w:rsidRDefault="00EF38AE" w:rsidP="00EF38AE">
      <w:pPr>
        <w:pStyle w:val="ListParagraph0"/>
        <w:widowControl w:val="0"/>
        <w:numPr>
          <w:ilvl w:val="0"/>
          <w:numId w:val="417"/>
        </w:numPr>
        <w:autoSpaceDE w:val="0"/>
        <w:autoSpaceDN w:val="0"/>
        <w:adjustRightInd w:val="0"/>
        <w:spacing w:line="240" w:lineRule="auto"/>
        <w:rPr>
          <w:rFonts w:cs="Arial"/>
          <w:sz w:val="22"/>
          <w:szCs w:val="22"/>
        </w:rPr>
      </w:pPr>
      <w:r>
        <w:rPr>
          <w:rFonts w:cs="Arial"/>
          <w:sz w:val="22"/>
          <w:szCs w:val="22"/>
        </w:rPr>
        <w:t>S</w:t>
      </w:r>
      <w:r w:rsidRPr="007B645E">
        <w:rPr>
          <w:rFonts w:cs="Arial"/>
          <w:sz w:val="22"/>
          <w:szCs w:val="22"/>
        </w:rPr>
        <w:t xml:space="preserve">ea state. </w:t>
      </w:r>
    </w:p>
    <w:p w14:paraId="57EA007F" w14:textId="77777777" w:rsidR="00EF38AE" w:rsidRPr="001A12EB" w:rsidRDefault="00EF38AE" w:rsidP="00EF38AE">
      <w:pPr>
        <w:ind w:left="0"/>
        <w:rPr>
          <w:rFonts w:cs="Arial"/>
          <w:sz w:val="22"/>
          <w:szCs w:val="22"/>
        </w:rPr>
      </w:pPr>
      <w:r w:rsidRPr="001A12EB">
        <w:rPr>
          <w:rFonts w:cs="Arial"/>
          <w:sz w:val="22"/>
          <w:szCs w:val="22"/>
        </w:rPr>
        <w:t xml:space="preserve"> </w:t>
      </w:r>
    </w:p>
    <w:p w14:paraId="4721E952" w14:textId="77777777" w:rsidR="00EF38AE" w:rsidRPr="001A12EB" w:rsidRDefault="00EF38AE" w:rsidP="00EF38AE">
      <w:pPr>
        <w:ind w:left="0"/>
        <w:rPr>
          <w:rFonts w:cs="Arial"/>
          <w:sz w:val="22"/>
          <w:szCs w:val="22"/>
        </w:rPr>
      </w:pPr>
      <w:r w:rsidRPr="001A12EB">
        <w:rPr>
          <w:rFonts w:cs="Arial"/>
          <w:sz w:val="22"/>
          <w:szCs w:val="22"/>
        </w:rPr>
        <w:t>The multiple factors involved make it difficult to determine a safe or tolerable distance</w:t>
      </w:r>
      <w:r>
        <w:rPr>
          <w:rFonts w:cs="Arial"/>
          <w:sz w:val="22"/>
          <w:szCs w:val="22"/>
        </w:rPr>
        <w:t xml:space="preserve"> between seismic survey activities and diving, particularly in shallow water (DMAC, 2011).</w:t>
      </w:r>
      <w:r w:rsidRPr="001A12EB">
        <w:rPr>
          <w:rFonts w:cs="Arial"/>
          <w:sz w:val="22"/>
          <w:szCs w:val="22"/>
        </w:rPr>
        <w:t xml:space="preserve"> </w:t>
      </w:r>
    </w:p>
    <w:p w14:paraId="4A3F7BFE" w14:textId="77777777" w:rsidR="0091270E" w:rsidRDefault="0091270E" w:rsidP="00B430B1">
      <w:pPr>
        <w:ind w:left="0"/>
        <w:rPr>
          <w:rFonts w:cs="Arial"/>
          <w:sz w:val="22"/>
          <w:szCs w:val="22"/>
        </w:rPr>
      </w:pPr>
    </w:p>
    <w:p w14:paraId="0BE8CB37" w14:textId="77777777" w:rsidR="001D1000" w:rsidRDefault="001D1000" w:rsidP="00B430B1">
      <w:pPr>
        <w:ind w:left="0"/>
        <w:rPr>
          <w:rFonts w:cs="Arial"/>
          <w:sz w:val="22"/>
          <w:szCs w:val="22"/>
        </w:rPr>
      </w:pPr>
    </w:p>
    <w:p w14:paraId="67AC9C0B" w14:textId="303D2531" w:rsidR="00B430B1" w:rsidRPr="00016D52" w:rsidRDefault="00B430B1" w:rsidP="00B430B1">
      <w:pPr>
        <w:spacing w:after="120" w:line="240" w:lineRule="auto"/>
        <w:ind w:left="0"/>
        <w:rPr>
          <w:rFonts w:cs="Arial"/>
          <w:b/>
          <w:sz w:val="22"/>
          <w:szCs w:val="22"/>
        </w:rPr>
      </w:pPr>
      <w:r w:rsidRPr="00016D52">
        <w:rPr>
          <w:rFonts w:cs="Arial"/>
          <w:b/>
          <w:sz w:val="22"/>
          <w:szCs w:val="22"/>
        </w:rPr>
        <w:lastRenderedPageBreak/>
        <w:t xml:space="preserve">Social </w:t>
      </w:r>
      <w:r w:rsidR="002E18BA">
        <w:rPr>
          <w:rFonts w:cs="Arial"/>
          <w:b/>
          <w:sz w:val="22"/>
          <w:szCs w:val="22"/>
        </w:rPr>
        <w:t>Risks</w:t>
      </w:r>
    </w:p>
    <w:p w14:paraId="63EB2FF4" w14:textId="7D2C2E3A" w:rsidR="00B430B1" w:rsidRDefault="00B24008" w:rsidP="00B430B1">
      <w:pPr>
        <w:ind w:left="0"/>
        <w:rPr>
          <w:rFonts w:cs="Arial"/>
          <w:sz w:val="22"/>
          <w:szCs w:val="22"/>
        </w:rPr>
      </w:pPr>
      <w:r>
        <w:rPr>
          <w:rFonts w:cs="Arial"/>
          <w:sz w:val="22"/>
          <w:szCs w:val="22"/>
        </w:rPr>
        <w:t xml:space="preserve">Noting that Parks Victoria have signage in place advising the public that Golden Beach and the Ninety Mile Beach are not suitable for swimming and directing them to the patrolled beach at Seaspray, if </w:t>
      </w:r>
      <w:r w:rsidR="00B430B1" w:rsidRPr="00016D52">
        <w:rPr>
          <w:rFonts w:cs="Arial"/>
          <w:sz w:val="22"/>
          <w:szCs w:val="22"/>
        </w:rPr>
        <w:t xml:space="preserve">people </w:t>
      </w:r>
      <w:r>
        <w:rPr>
          <w:rFonts w:cs="Arial"/>
          <w:sz w:val="22"/>
          <w:szCs w:val="22"/>
        </w:rPr>
        <w:t xml:space="preserve">are </w:t>
      </w:r>
      <w:r w:rsidR="00126198">
        <w:rPr>
          <w:rFonts w:cs="Arial"/>
          <w:sz w:val="22"/>
          <w:szCs w:val="22"/>
        </w:rPr>
        <w:t>advised against</w:t>
      </w:r>
      <w:r w:rsidR="00B430B1" w:rsidRPr="00016D52">
        <w:rPr>
          <w:rFonts w:cs="Arial"/>
          <w:sz w:val="22"/>
          <w:szCs w:val="22"/>
        </w:rPr>
        <w:t xml:space="preserve"> swimming or diving in the area </w:t>
      </w:r>
      <w:r>
        <w:rPr>
          <w:rFonts w:cs="Arial"/>
          <w:sz w:val="22"/>
          <w:szCs w:val="22"/>
        </w:rPr>
        <w:t xml:space="preserve">as a result of the MSS </w:t>
      </w:r>
      <w:r w:rsidR="00B430B1" w:rsidRPr="00016D52">
        <w:rPr>
          <w:rFonts w:cs="Arial"/>
          <w:sz w:val="22"/>
          <w:szCs w:val="22"/>
        </w:rPr>
        <w:t xml:space="preserve">(albeit for a very short duration), this </w:t>
      </w:r>
      <w:r>
        <w:rPr>
          <w:rFonts w:cs="Arial"/>
          <w:sz w:val="22"/>
          <w:szCs w:val="22"/>
        </w:rPr>
        <w:t>should not</w:t>
      </w:r>
      <w:r w:rsidRPr="00016D52">
        <w:rPr>
          <w:rFonts w:cs="Arial"/>
          <w:sz w:val="22"/>
          <w:szCs w:val="22"/>
        </w:rPr>
        <w:t xml:space="preserve"> </w:t>
      </w:r>
      <w:r w:rsidR="00B430B1" w:rsidRPr="00016D52">
        <w:rPr>
          <w:rFonts w:cs="Arial"/>
          <w:sz w:val="22"/>
          <w:szCs w:val="22"/>
        </w:rPr>
        <w:t xml:space="preserve">result in </w:t>
      </w:r>
      <w:r>
        <w:rPr>
          <w:rFonts w:cs="Arial"/>
          <w:sz w:val="22"/>
          <w:szCs w:val="22"/>
        </w:rPr>
        <w:t xml:space="preserve">additional </w:t>
      </w:r>
      <w:r w:rsidR="00B430B1" w:rsidRPr="00016D52">
        <w:rPr>
          <w:rFonts w:cs="Arial"/>
          <w:sz w:val="22"/>
          <w:szCs w:val="22"/>
        </w:rPr>
        <w:t xml:space="preserve">inconvenience or a reduced visitor experience </w:t>
      </w:r>
      <w:r>
        <w:rPr>
          <w:rFonts w:cs="Arial"/>
          <w:sz w:val="22"/>
          <w:szCs w:val="22"/>
        </w:rPr>
        <w:t xml:space="preserve">given the signed warnings currently in place. </w:t>
      </w:r>
      <w:r w:rsidR="00B430B1" w:rsidRPr="00016D52">
        <w:rPr>
          <w:rFonts w:cs="Arial"/>
          <w:sz w:val="22"/>
          <w:szCs w:val="22"/>
        </w:rPr>
        <w:t xml:space="preserve"> </w:t>
      </w:r>
    </w:p>
    <w:p w14:paraId="344477C8" w14:textId="77777777" w:rsidR="00B430B1" w:rsidRDefault="00B430B1" w:rsidP="00B430B1">
      <w:pPr>
        <w:ind w:left="0"/>
        <w:rPr>
          <w:rFonts w:cs="Arial"/>
          <w:sz w:val="22"/>
          <w:szCs w:val="22"/>
        </w:rPr>
      </w:pPr>
    </w:p>
    <w:p w14:paraId="4F2F996E" w14:textId="7B06B950" w:rsidR="00C80F2B" w:rsidRPr="003C0ADD" w:rsidRDefault="00C80F2B" w:rsidP="00C80F2B">
      <w:pPr>
        <w:ind w:left="0"/>
        <w:rPr>
          <w:rFonts w:cs="Arial"/>
          <w:sz w:val="22"/>
          <w:szCs w:val="22"/>
        </w:rPr>
      </w:pPr>
      <w:r w:rsidRPr="003C0ADD">
        <w:rPr>
          <w:rFonts w:cs="Arial"/>
          <w:sz w:val="22"/>
          <w:szCs w:val="22"/>
        </w:rPr>
        <w:t>Table 7.</w:t>
      </w:r>
      <w:r w:rsidR="003C0ADD" w:rsidRPr="003C0ADD">
        <w:rPr>
          <w:rFonts w:cs="Arial"/>
          <w:sz w:val="22"/>
          <w:szCs w:val="22"/>
        </w:rPr>
        <w:t>35</w:t>
      </w:r>
      <w:r w:rsidRPr="003C0ADD">
        <w:rPr>
          <w:rFonts w:cs="Arial"/>
          <w:sz w:val="22"/>
          <w:szCs w:val="22"/>
        </w:rPr>
        <w:t xml:space="preserve"> presents the length of shoreline intersected by </w:t>
      </w:r>
      <w:r w:rsidR="005B4C9E" w:rsidRPr="003C0ADD">
        <w:rPr>
          <w:rFonts w:cs="Arial"/>
          <w:sz w:val="22"/>
          <w:szCs w:val="22"/>
        </w:rPr>
        <w:t xml:space="preserve">and the distances from </w:t>
      </w:r>
      <w:r w:rsidRPr="003C0ADD">
        <w:rPr>
          <w:rFonts w:cs="Arial"/>
          <w:sz w:val="22"/>
          <w:szCs w:val="22"/>
        </w:rPr>
        <w:t>the</w:t>
      </w:r>
      <w:r w:rsidR="005B4C9E" w:rsidRPr="003C0ADD">
        <w:rPr>
          <w:rFonts w:cs="Arial"/>
          <w:sz w:val="22"/>
          <w:szCs w:val="22"/>
        </w:rPr>
        <w:t xml:space="preserve"> sound isopleths</w:t>
      </w:r>
      <w:r w:rsidR="00E27134" w:rsidRPr="003C0ADD">
        <w:rPr>
          <w:rFonts w:cs="Arial"/>
          <w:sz w:val="22"/>
          <w:szCs w:val="22"/>
        </w:rPr>
        <w:t xml:space="preserve"> for each of the STLM modelling sites</w:t>
      </w:r>
      <w:r w:rsidR="005B4C9E" w:rsidRPr="003C0ADD">
        <w:rPr>
          <w:rFonts w:cs="Arial"/>
          <w:sz w:val="22"/>
          <w:szCs w:val="22"/>
        </w:rPr>
        <w:t xml:space="preserve">, with the first two columns being the band within with the </w:t>
      </w:r>
      <w:r w:rsidRPr="003C0ADD">
        <w:rPr>
          <w:rFonts w:cs="Arial"/>
          <w:sz w:val="22"/>
          <w:szCs w:val="22"/>
        </w:rPr>
        <w:t xml:space="preserve">150-160 SPL dB re 1 μPa </w:t>
      </w:r>
      <w:r w:rsidR="00A23D62" w:rsidRPr="003C0ADD">
        <w:rPr>
          <w:rFonts w:cs="Arial"/>
          <w:sz w:val="22"/>
          <w:szCs w:val="22"/>
        </w:rPr>
        <w:t>safety criterion</w:t>
      </w:r>
      <w:r w:rsidR="00E27134" w:rsidRPr="003C0ADD">
        <w:rPr>
          <w:rFonts w:cs="Arial"/>
          <w:sz w:val="22"/>
          <w:szCs w:val="22"/>
        </w:rPr>
        <w:t xml:space="preserve"> falls</w:t>
      </w:r>
      <w:r w:rsidRPr="003C0ADD">
        <w:rPr>
          <w:rFonts w:cs="Arial"/>
          <w:sz w:val="22"/>
          <w:szCs w:val="22"/>
        </w:rPr>
        <w:t xml:space="preserve">. This presents the length of coastline in which it is recommended that swimmers and divers are </w:t>
      </w:r>
      <w:r w:rsidR="00126198" w:rsidRPr="003C0ADD">
        <w:rPr>
          <w:rFonts w:cs="Arial"/>
          <w:sz w:val="22"/>
          <w:szCs w:val="22"/>
        </w:rPr>
        <w:t>advised not to enter while the survey vessel is acquiring and close to shore</w:t>
      </w:r>
      <w:r w:rsidRPr="003C0ADD">
        <w:rPr>
          <w:rFonts w:cs="Arial"/>
          <w:sz w:val="22"/>
          <w:szCs w:val="22"/>
        </w:rPr>
        <w:t xml:space="preserve">. The length of coastline affected </w:t>
      </w:r>
      <w:r w:rsidR="00126198" w:rsidRPr="003C0ADD">
        <w:rPr>
          <w:rFonts w:cs="Arial"/>
          <w:sz w:val="22"/>
          <w:szCs w:val="22"/>
        </w:rPr>
        <w:t>moves with the vessel.</w:t>
      </w:r>
    </w:p>
    <w:p w14:paraId="701DE5A1" w14:textId="77777777" w:rsidR="00C80F2B" w:rsidRPr="003C0ADD" w:rsidRDefault="00C80F2B" w:rsidP="00C80F2B">
      <w:pPr>
        <w:spacing w:line="240" w:lineRule="auto"/>
        <w:ind w:left="0"/>
        <w:rPr>
          <w:rFonts w:cs="Arial"/>
          <w:sz w:val="22"/>
          <w:szCs w:val="22"/>
        </w:rPr>
      </w:pPr>
    </w:p>
    <w:p w14:paraId="67202730" w14:textId="175A363C" w:rsidR="00134E7C" w:rsidRDefault="00592E4B" w:rsidP="00C80F2B">
      <w:pPr>
        <w:ind w:left="0"/>
        <w:rPr>
          <w:rFonts w:cs="Arial"/>
          <w:sz w:val="22"/>
          <w:szCs w:val="22"/>
        </w:rPr>
      </w:pPr>
      <w:r w:rsidRPr="003C0ADD">
        <w:rPr>
          <w:rFonts w:cs="Arial"/>
          <w:sz w:val="22"/>
          <w:szCs w:val="22"/>
        </w:rPr>
        <w:t>T</w:t>
      </w:r>
      <w:r w:rsidR="00C80F2B" w:rsidRPr="003C0ADD">
        <w:rPr>
          <w:rFonts w:cs="Arial"/>
          <w:sz w:val="22"/>
          <w:szCs w:val="22"/>
        </w:rPr>
        <w:t xml:space="preserve">he </w:t>
      </w:r>
      <w:r w:rsidR="00E27134" w:rsidRPr="003C0ADD">
        <w:rPr>
          <w:rFonts w:cs="Arial"/>
          <w:sz w:val="22"/>
          <w:szCs w:val="22"/>
        </w:rPr>
        <w:t xml:space="preserve">length of shoreline </w:t>
      </w:r>
      <w:r w:rsidR="00C71675" w:rsidRPr="003C0ADD">
        <w:rPr>
          <w:rFonts w:cs="Arial"/>
          <w:sz w:val="22"/>
          <w:szCs w:val="22"/>
        </w:rPr>
        <w:t xml:space="preserve">affected by sound levels greater than 170 dB re 1 μPa </w:t>
      </w:r>
      <w:r w:rsidR="00DE73BC" w:rsidRPr="003C0ADD">
        <w:rPr>
          <w:rFonts w:cs="Arial"/>
          <w:sz w:val="22"/>
          <w:szCs w:val="22"/>
        </w:rPr>
        <w:t>(representing the human tolerance limit, as outlined in Table 7.3</w:t>
      </w:r>
      <w:r w:rsidR="003C0ADD" w:rsidRPr="003C0ADD">
        <w:rPr>
          <w:rFonts w:cs="Arial"/>
          <w:sz w:val="22"/>
          <w:szCs w:val="22"/>
        </w:rPr>
        <w:t>3</w:t>
      </w:r>
      <w:r w:rsidR="00DE73BC" w:rsidRPr="003C0ADD">
        <w:rPr>
          <w:rFonts w:cs="Arial"/>
          <w:sz w:val="22"/>
          <w:szCs w:val="22"/>
        </w:rPr>
        <w:t>) is</w:t>
      </w:r>
      <w:r w:rsidR="00DE73BC" w:rsidRPr="006F65F9">
        <w:rPr>
          <w:rFonts w:cs="Arial"/>
          <w:sz w:val="22"/>
          <w:szCs w:val="22"/>
        </w:rPr>
        <w:t xml:space="preserve"> restricted to a </w:t>
      </w:r>
      <w:r w:rsidR="00403923" w:rsidRPr="006F65F9">
        <w:rPr>
          <w:rFonts w:cs="Arial"/>
          <w:sz w:val="22"/>
          <w:szCs w:val="22"/>
        </w:rPr>
        <w:t xml:space="preserve">shoreline </w:t>
      </w:r>
      <w:r w:rsidR="00DE73BC" w:rsidRPr="006F65F9">
        <w:rPr>
          <w:rFonts w:cs="Arial"/>
          <w:sz w:val="22"/>
          <w:szCs w:val="22"/>
        </w:rPr>
        <w:t>length of 375 m</w:t>
      </w:r>
      <w:r w:rsidR="00403923" w:rsidRPr="006F65F9">
        <w:rPr>
          <w:rFonts w:cs="Arial"/>
          <w:sz w:val="22"/>
          <w:szCs w:val="22"/>
        </w:rPr>
        <w:t xml:space="preserve">, and only </w:t>
      </w:r>
      <w:r w:rsidR="00DE73BC" w:rsidRPr="006F65F9">
        <w:rPr>
          <w:rFonts w:cs="Arial"/>
          <w:sz w:val="22"/>
          <w:szCs w:val="22"/>
        </w:rPr>
        <w:t>from site 1</w:t>
      </w:r>
      <w:r w:rsidR="00403923" w:rsidRPr="006F65F9">
        <w:rPr>
          <w:rFonts w:cs="Arial"/>
          <w:sz w:val="22"/>
          <w:szCs w:val="22"/>
        </w:rPr>
        <w:t>.</w:t>
      </w:r>
      <w:r w:rsidR="00DE73BC" w:rsidRPr="006F65F9">
        <w:rPr>
          <w:rFonts w:cs="Arial"/>
          <w:sz w:val="22"/>
          <w:szCs w:val="22"/>
        </w:rPr>
        <w:t xml:space="preserve"> </w:t>
      </w:r>
      <w:r w:rsidR="00403923" w:rsidRPr="006F65F9">
        <w:rPr>
          <w:rFonts w:cs="Arial"/>
          <w:sz w:val="22"/>
          <w:szCs w:val="22"/>
        </w:rPr>
        <w:t>The distances from the shoreline for</w:t>
      </w:r>
      <w:r w:rsidR="00403923">
        <w:rPr>
          <w:rFonts w:cs="Arial"/>
          <w:sz w:val="22"/>
          <w:szCs w:val="22"/>
        </w:rPr>
        <w:t xml:space="preserve"> sound levels greater than 170 dB </w:t>
      </w:r>
      <w:r w:rsidR="00403923" w:rsidRPr="00E14693">
        <w:rPr>
          <w:rFonts w:cs="Arial"/>
          <w:sz w:val="22"/>
          <w:szCs w:val="22"/>
        </w:rPr>
        <w:t>re 1 μPa</w:t>
      </w:r>
      <w:r w:rsidR="00403923">
        <w:rPr>
          <w:rFonts w:cs="Arial"/>
          <w:sz w:val="22"/>
          <w:szCs w:val="22"/>
        </w:rPr>
        <w:t xml:space="preserve"> </w:t>
      </w:r>
      <w:r>
        <w:rPr>
          <w:rFonts w:cs="Arial"/>
          <w:sz w:val="22"/>
          <w:szCs w:val="22"/>
        </w:rPr>
        <w:t xml:space="preserve">for the </w:t>
      </w:r>
      <w:r w:rsidR="00403923">
        <w:rPr>
          <w:rFonts w:cs="Arial"/>
          <w:sz w:val="22"/>
          <w:szCs w:val="22"/>
        </w:rPr>
        <w:t xml:space="preserve">other modelling sites are generally those that are too far for </w:t>
      </w:r>
      <w:r w:rsidR="00A42197">
        <w:rPr>
          <w:rFonts w:cs="Arial"/>
          <w:sz w:val="22"/>
          <w:szCs w:val="22"/>
        </w:rPr>
        <w:t xml:space="preserve">most </w:t>
      </w:r>
      <w:r w:rsidR="00403923">
        <w:rPr>
          <w:rFonts w:cs="Arial"/>
          <w:sz w:val="22"/>
          <w:szCs w:val="22"/>
        </w:rPr>
        <w:t xml:space="preserve">swimmers to venture into. </w:t>
      </w:r>
      <w:r>
        <w:rPr>
          <w:rFonts w:cs="Arial"/>
          <w:sz w:val="22"/>
          <w:szCs w:val="22"/>
        </w:rPr>
        <w:t>As a precautionary measure, p</w:t>
      </w:r>
      <w:r w:rsidR="00C80F2B">
        <w:rPr>
          <w:rFonts w:cs="Arial"/>
          <w:sz w:val="22"/>
          <w:szCs w:val="22"/>
        </w:rPr>
        <w:t xml:space="preserve">eople may </w:t>
      </w:r>
      <w:r w:rsidR="00126198">
        <w:rPr>
          <w:rFonts w:cs="Arial"/>
          <w:sz w:val="22"/>
          <w:szCs w:val="22"/>
        </w:rPr>
        <w:t xml:space="preserve">need to </w:t>
      </w:r>
      <w:r w:rsidR="00C80F2B">
        <w:rPr>
          <w:rFonts w:cs="Arial"/>
          <w:sz w:val="22"/>
          <w:szCs w:val="22"/>
        </w:rPr>
        <w:t xml:space="preserve">be excluded from swimming and diving close to the shore </w:t>
      </w:r>
      <w:r w:rsidR="00126198">
        <w:rPr>
          <w:rFonts w:cs="Arial"/>
          <w:sz w:val="22"/>
          <w:szCs w:val="22"/>
        </w:rPr>
        <w:t xml:space="preserve">by a beach patrol </w:t>
      </w:r>
      <w:r w:rsidR="00C80F2B">
        <w:rPr>
          <w:rFonts w:cs="Arial"/>
          <w:sz w:val="22"/>
          <w:szCs w:val="22"/>
        </w:rPr>
        <w:t>when the survey vessel is acquiring data in the western half of the acquisition area</w:t>
      </w:r>
      <w:r w:rsidR="008672E4">
        <w:rPr>
          <w:rFonts w:cs="Arial"/>
          <w:sz w:val="22"/>
          <w:szCs w:val="22"/>
        </w:rPr>
        <w:t xml:space="preserve">. </w:t>
      </w:r>
    </w:p>
    <w:p w14:paraId="5CAF7651" w14:textId="77777777" w:rsidR="008974F8" w:rsidRDefault="008974F8" w:rsidP="00C80F2B">
      <w:pPr>
        <w:ind w:left="0"/>
        <w:rPr>
          <w:rFonts w:cs="Arial"/>
          <w:sz w:val="22"/>
          <w:szCs w:val="22"/>
        </w:rPr>
      </w:pPr>
    </w:p>
    <w:p w14:paraId="06C7E145" w14:textId="665735C5" w:rsidR="008974F8" w:rsidRDefault="008974F8" w:rsidP="008974F8">
      <w:pPr>
        <w:ind w:left="0"/>
        <w:rPr>
          <w:rFonts w:cs="Arial"/>
          <w:sz w:val="22"/>
          <w:szCs w:val="22"/>
        </w:rPr>
      </w:pPr>
      <w:r>
        <w:rPr>
          <w:rFonts w:cs="Arial"/>
          <w:sz w:val="22"/>
          <w:szCs w:val="22"/>
        </w:rPr>
        <w:t xml:space="preserve">There </w:t>
      </w:r>
      <w:r w:rsidR="00A42197">
        <w:rPr>
          <w:rFonts w:cs="Arial"/>
          <w:sz w:val="22"/>
          <w:szCs w:val="22"/>
        </w:rPr>
        <w:t xml:space="preserve">will </w:t>
      </w:r>
      <w:r>
        <w:rPr>
          <w:rFonts w:cs="Arial"/>
          <w:sz w:val="22"/>
          <w:szCs w:val="22"/>
        </w:rPr>
        <w:t xml:space="preserve">be periods during line turns (that may last for up to 90 minutes each) when there may be no restrictions on swimming or diving activity because the sound source is either not in acquisition mode or </w:t>
      </w:r>
      <w:r w:rsidR="00A42197">
        <w:rPr>
          <w:rFonts w:cs="Arial"/>
          <w:sz w:val="22"/>
          <w:szCs w:val="22"/>
        </w:rPr>
        <w:t xml:space="preserve">is </w:t>
      </w:r>
      <w:r>
        <w:rPr>
          <w:rFonts w:cs="Arial"/>
          <w:sz w:val="22"/>
          <w:szCs w:val="22"/>
        </w:rPr>
        <w:t xml:space="preserve">in </w:t>
      </w:r>
      <w:r w:rsidR="00A42197">
        <w:rPr>
          <w:rFonts w:cs="Arial"/>
          <w:sz w:val="22"/>
          <w:szCs w:val="22"/>
        </w:rPr>
        <w:t xml:space="preserve">low-power </w:t>
      </w:r>
      <w:r>
        <w:rPr>
          <w:rFonts w:cs="Arial"/>
          <w:sz w:val="22"/>
          <w:szCs w:val="22"/>
        </w:rPr>
        <w:t>ramp up mode.</w:t>
      </w:r>
    </w:p>
    <w:p w14:paraId="21312F5C" w14:textId="77777777" w:rsidR="008974F8" w:rsidRDefault="008974F8" w:rsidP="008974F8">
      <w:pPr>
        <w:ind w:left="0"/>
        <w:rPr>
          <w:rFonts w:cs="Arial"/>
          <w:sz w:val="22"/>
          <w:szCs w:val="22"/>
        </w:rPr>
      </w:pPr>
    </w:p>
    <w:p w14:paraId="76F2A27A" w14:textId="156EB89B" w:rsidR="008974F8" w:rsidRPr="007B747F" w:rsidRDefault="008974F8" w:rsidP="008974F8">
      <w:pPr>
        <w:ind w:left="0"/>
        <w:rPr>
          <w:rFonts w:cs="Arial"/>
          <w:sz w:val="22"/>
          <w:szCs w:val="22"/>
        </w:rPr>
      </w:pPr>
    </w:p>
    <w:p w14:paraId="58BCC3C6" w14:textId="3D19C897" w:rsidR="008974F8" w:rsidRDefault="008974F8" w:rsidP="008974F8">
      <w:pPr>
        <w:ind w:left="0"/>
        <w:rPr>
          <w:rFonts w:cs="Arial"/>
          <w:sz w:val="22"/>
          <w:szCs w:val="22"/>
        </w:rPr>
      </w:pPr>
      <w:r>
        <w:rPr>
          <w:rFonts w:cs="Arial"/>
          <w:sz w:val="22"/>
          <w:szCs w:val="22"/>
        </w:rPr>
        <w:t xml:space="preserve"> </w:t>
      </w:r>
    </w:p>
    <w:p w14:paraId="4E16B8CF" w14:textId="77777777" w:rsidR="008974F8" w:rsidRDefault="008974F8" w:rsidP="00C80F2B">
      <w:pPr>
        <w:ind w:left="0"/>
        <w:rPr>
          <w:rFonts w:cs="Arial"/>
          <w:sz w:val="22"/>
          <w:szCs w:val="22"/>
        </w:rPr>
        <w:sectPr w:rsidR="008974F8" w:rsidSect="004471E8">
          <w:headerReference w:type="even" r:id="rId288"/>
          <w:headerReference w:type="default" r:id="rId289"/>
          <w:footerReference w:type="default" r:id="rId290"/>
          <w:headerReference w:type="first" r:id="rId291"/>
          <w:pgSz w:w="11906" w:h="16838" w:code="9"/>
          <w:pgMar w:top="1382" w:right="1800" w:bottom="1440" w:left="1800" w:header="994" w:footer="706" w:gutter="0"/>
          <w:cols w:space="708"/>
          <w:docGrid w:linePitch="360"/>
        </w:sectPr>
      </w:pPr>
    </w:p>
    <w:p w14:paraId="32B3988D" w14:textId="4C001E8F" w:rsidR="00381F2C" w:rsidRPr="007B747F" w:rsidRDefault="00381F2C" w:rsidP="00381F2C">
      <w:pPr>
        <w:spacing w:after="120" w:line="240" w:lineRule="auto"/>
        <w:ind w:left="0"/>
        <w:jc w:val="center"/>
        <w:rPr>
          <w:rFonts w:cs="Arial"/>
          <w:b/>
          <w:sz w:val="20"/>
          <w:szCs w:val="20"/>
        </w:rPr>
      </w:pPr>
      <w:r w:rsidRPr="007B747F">
        <w:rPr>
          <w:rFonts w:cs="Arial"/>
          <w:b/>
          <w:sz w:val="20"/>
          <w:szCs w:val="20"/>
        </w:rPr>
        <w:lastRenderedPageBreak/>
        <w:t>Table 7.</w:t>
      </w:r>
      <w:r w:rsidR="009E4DC8">
        <w:rPr>
          <w:rFonts w:cs="Arial"/>
          <w:b/>
          <w:sz w:val="20"/>
          <w:szCs w:val="20"/>
        </w:rPr>
        <w:t>35</w:t>
      </w:r>
      <w:r>
        <w:rPr>
          <w:rFonts w:cs="Arial"/>
          <w:b/>
          <w:sz w:val="20"/>
          <w:szCs w:val="20"/>
        </w:rPr>
        <w:t>.</w:t>
      </w:r>
      <w:r w:rsidRPr="007B747F">
        <w:rPr>
          <w:rFonts w:cs="Arial"/>
          <w:b/>
          <w:sz w:val="20"/>
          <w:szCs w:val="20"/>
        </w:rPr>
        <w:tab/>
      </w:r>
      <w:r>
        <w:rPr>
          <w:rFonts w:cs="Arial"/>
          <w:b/>
          <w:sz w:val="20"/>
          <w:szCs w:val="20"/>
        </w:rPr>
        <w:t xml:space="preserve">Length of shoreline intersected by the sound isopleths (SPL dB re 1 </w:t>
      </w:r>
      <w:r w:rsidRPr="009A2E44">
        <w:rPr>
          <w:rFonts w:cs="Arial"/>
          <w:b/>
          <w:sz w:val="20"/>
          <w:szCs w:val="20"/>
        </w:rPr>
        <w:t>μ</w:t>
      </w:r>
      <w:r>
        <w:rPr>
          <w:rFonts w:cs="Arial"/>
          <w:b/>
          <w:sz w:val="20"/>
          <w:szCs w:val="20"/>
        </w:rPr>
        <w:t xml:space="preserve">Pa) and distance of </w:t>
      </w:r>
      <w:r w:rsidR="00304945">
        <w:rPr>
          <w:rFonts w:cs="Arial"/>
          <w:b/>
          <w:sz w:val="20"/>
          <w:szCs w:val="20"/>
        </w:rPr>
        <w:t xml:space="preserve">sound </w:t>
      </w:r>
      <w:r>
        <w:rPr>
          <w:rFonts w:cs="Arial"/>
          <w:b/>
          <w:sz w:val="20"/>
          <w:szCs w:val="20"/>
        </w:rPr>
        <w:t>isopleths from the shoreline</w:t>
      </w:r>
    </w:p>
    <w:tbl>
      <w:tblPr>
        <w:tblStyle w:val="TableGrid"/>
        <w:tblW w:w="14232" w:type="dxa"/>
        <w:tblLook w:val="04A0" w:firstRow="1" w:lastRow="0" w:firstColumn="1" w:lastColumn="0" w:noHBand="0" w:noVBand="1"/>
      </w:tblPr>
      <w:tblGrid>
        <w:gridCol w:w="1074"/>
        <w:gridCol w:w="1096"/>
        <w:gridCol w:w="1097"/>
        <w:gridCol w:w="1096"/>
        <w:gridCol w:w="1097"/>
        <w:gridCol w:w="1027"/>
        <w:gridCol w:w="1166"/>
        <w:gridCol w:w="960"/>
        <w:gridCol w:w="1233"/>
        <w:gridCol w:w="894"/>
        <w:gridCol w:w="1299"/>
        <w:gridCol w:w="969"/>
        <w:gridCol w:w="1224"/>
      </w:tblGrid>
      <w:tr w:rsidR="00381F2C" w14:paraId="7A95F58D" w14:textId="77777777" w:rsidTr="00592E4B">
        <w:tc>
          <w:tcPr>
            <w:tcW w:w="1074" w:type="dxa"/>
            <w:vMerge w:val="restart"/>
            <w:shd w:val="clear" w:color="auto" w:fill="064EA8"/>
          </w:tcPr>
          <w:p w14:paraId="311DB361" w14:textId="23A5D152" w:rsidR="00381F2C" w:rsidRDefault="00381F2C" w:rsidP="00851EED">
            <w:pPr>
              <w:spacing w:before="60" w:after="60"/>
              <w:ind w:left="0"/>
              <w:rPr>
                <w:rFonts w:cs="Arial"/>
                <w:color w:val="FFFFFF" w:themeColor="background1"/>
                <w:sz w:val="20"/>
                <w:szCs w:val="20"/>
              </w:rPr>
            </w:pPr>
            <w:r>
              <w:rPr>
                <w:rFonts w:cs="Arial"/>
                <w:color w:val="FFFFFF" w:themeColor="background1"/>
                <w:sz w:val="20"/>
                <w:szCs w:val="20"/>
              </w:rPr>
              <w:t>Modelling s</w:t>
            </w:r>
            <w:r w:rsidRPr="00851EED">
              <w:rPr>
                <w:rFonts w:cs="Arial"/>
                <w:color w:val="FFFFFF" w:themeColor="background1"/>
                <w:sz w:val="20"/>
                <w:szCs w:val="20"/>
              </w:rPr>
              <w:t>ite</w:t>
            </w:r>
          </w:p>
        </w:tc>
        <w:tc>
          <w:tcPr>
            <w:tcW w:w="2193" w:type="dxa"/>
            <w:gridSpan w:val="2"/>
            <w:shd w:val="clear" w:color="auto" w:fill="064EA8"/>
            <w:vAlign w:val="center"/>
          </w:tcPr>
          <w:p w14:paraId="5B775373" w14:textId="01C6F7DC" w:rsidR="00381F2C" w:rsidRPr="00851EED" w:rsidRDefault="00381F2C" w:rsidP="00C74CCD">
            <w:pPr>
              <w:spacing w:before="60" w:after="60" w:line="240" w:lineRule="auto"/>
              <w:ind w:left="0"/>
              <w:jc w:val="center"/>
              <w:rPr>
                <w:rFonts w:cs="Arial"/>
                <w:color w:val="FFFFFF" w:themeColor="background1"/>
                <w:sz w:val="20"/>
                <w:szCs w:val="20"/>
              </w:rPr>
            </w:pPr>
            <w:r w:rsidRPr="00851EED">
              <w:rPr>
                <w:rFonts w:cs="Arial"/>
                <w:color w:val="FFFFFF" w:themeColor="background1"/>
                <w:sz w:val="20"/>
                <w:szCs w:val="20"/>
              </w:rPr>
              <w:t>150 dB contour</w:t>
            </w:r>
            <w:r w:rsidR="005B4C9E">
              <w:rPr>
                <w:rFonts w:cs="Arial"/>
                <w:color w:val="FFFFFF" w:themeColor="background1"/>
                <w:sz w:val="20"/>
                <w:szCs w:val="20"/>
              </w:rPr>
              <w:t>*</w:t>
            </w:r>
          </w:p>
        </w:tc>
        <w:tc>
          <w:tcPr>
            <w:tcW w:w="2193" w:type="dxa"/>
            <w:gridSpan w:val="2"/>
            <w:shd w:val="clear" w:color="auto" w:fill="064EA8"/>
            <w:vAlign w:val="center"/>
          </w:tcPr>
          <w:p w14:paraId="0BC939FF" w14:textId="37B1A139" w:rsidR="00381F2C" w:rsidRPr="00851EED" w:rsidRDefault="00381F2C" w:rsidP="00C74CCD">
            <w:pPr>
              <w:spacing w:before="60" w:after="60" w:line="240" w:lineRule="auto"/>
              <w:ind w:left="0"/>
              <w:jc w:val="center"/>
              <w:rPr>
                <w:rFonts w:cs="Arial"/>
                <w:color w:val="FFFFFF" w:themeColor="background1"/>
                <w:sz w:val="20"/>
                <w:szCs w:val="20"/>
              </w:rPr>
            </w:pPr>
            <w:r w:rsidRPr="00851EED">
              <w:rPr>
                <w:rFonts w:cs="Arial"/>
                <w:color w:val="FFFFFF" w:themeColor="background1"/>
                <w:sz w:val="20"/>
                <w:szCs w:val="20"/>
              </w:rPr>
              <w:t>160 dB contour</w:t>
            </w:r>
            <w:r w:rsidR="00304945">
              <w:rPr>
                <w:rFonts w:cs="Arial"/>
                <w:color w:val="FFFFFF" w:themeColor="background1"/>
                <w:sz w:val="20"/>
                <w:szCs w:val="20"/>
              </w:rPr>
              <w:t>*</w:t>
            </w:r>
          </w:p>
        </w:tc>
        <w:tc>
          <w:tcPr>
            <w:tcW w:w="2193" w:type="dxa"/>
            <w:gridSpan w:val="2"/>
            <w:shd w:val="clear" w:color="auto" w:fill="064EA8"/>
            <w:vAlign w:val="center"/>
          </w:tcPr>
          <w:p w14:paraId="41C2AF99" w14:textId="259FF28A" w:rsidR="00381F2C" w:rsidRPr="00851EED" w:rsidRDefault="00381F2C" w:rsidP="00C74CCD">
            <w:pPr>
              <w:spacing w:before="60" w:after="60" w:line="240" w:lineRule="auto"/>
              <w:ind w:left="0"/>
              <w:jc w:val="center"/>
              <w:rPr>
                <w:rFonts w:cs="Arial"/>
                <w:color w:val="FFFFFF" w:themeColor="background1"/>
                <w:sz w:val="20"/>
                <w:szCs w:val="20"/>
              </w:rPr>
            </w:pPr>
            <w:r w:rsidRPr="00851EED">
              <w:rPr>
                <w:rFonts w:cs="Arial"/>
                <w:color w:val="FFFFFF" w:themeColor="background1"/>
                <w:sz w:val="20"/>
                <w:szCs w:val="20"/>
              </w:rPr>
              <w:t>170 dB contour</w:t>
            </w:r>
          </w:p>
        </w:tc>
        <w:tc>
          <w:tcPr>
            <w:tcW w:w="2193" w:type="dxa"/>
            <w:gridSpan w:val="2"/>
            <w:shd w:val="clear" w:color="auto" w:fill="064EA8"/>
            <w:vAlign w:val="center"/>
          </w:tcPr>
          <w:p w14:paraId="64D750C1" w14:textId="0583828A" w:rsidR="00381F2C" w:rsidRPr="00851EED" w:rsidRDefault="00381F2C" w:rsidP="00C74CCD">
            <w:pPr>
              <w:spacing w:line="240" w:lineRule="auto"/>
              <w:ind w:left="0"/>
              <w:jc w:val="center"/>
              <w:rPr>
                <w:rFonts w:cs="Arial"/>
                <w:color w:val="FFFFFF" w:themeColor="background1"/>
                <w:sz w:val="20"/>
                <w:szCs w:val="20"/>
              </w:rPr>
            </w:pPr>
            <w:r w:rsidRPr="00851EED">
              <w:rPr>
                <w:rFonts w:cs="Arial"/>
                <w:color w:val="FFFFFF" w:themeColor="background1"/>
                <w:sz w:val="20"/>
                <w:szCs w:val="20"/>
              </w:rPr>
              <w:t>180 dB contour</w:t>
            </w:r>
          </w:p>
        </w:tc>
        <w:tc>
          <w:tcPr>
            <w:tcW w:w="2193" w:type="dxa"/>
            <w:gridSpan w:val="2"/>
            <w:shd w:val="clear" w:color="auto" w:fill="064EA8"/>
            <w:vAlign w:val="center"/>
          </w:tcPr>
          <w:p w14:paraId="3341E397" w14:textId="67551E2D" w:rsidR="00381F2C" w:rsidRPr="00851EED" w:rsidRDefault="00381F2C" w:rsidP="00C74CCD">
            <w:pPr>
              <w:spacing w:line="240" w:lineRule="auto"/>
              <w:ind w:left="0"/>
              <w:jc w:val="center"/>
              <w:rPr>
                <w:rFonts w:cs="Arial"/>
                <w:color w:val="FFFFFF" w:themeColor="background1"/>
                <w:sz w:val="20"/>
                <w:szCs w:val="20"/>
              </w:rPr>
            </w:pPr>
            <w:r w:rsidRPr="00851EED">
              <w:rPr>
                <w:rFonts w:cs="Arial"/>
                <w:color w:val="FFFFFF" w:themeColor="background1"/>
                <w:sz w:val="20"/>
                <w:szCs w:val="20"/>
              </w:rPr>
              <w:t>190 dB contour</w:t>
            </w:r>
          </w:p>
        </w:tc>
        <w:tc>
          <w:tcPr>
            <w:tcW w:w="2193" w:type="dxa"/>
            <w:gridSpan w:val="2"/>
            <w:shd w:val="clear" w:color="auto" w:fill="064EA8"/>
            <w:vAlign w:val="center"/>
          </w:tcPr>
          <w:p w14:paraId="01C4EBC7" w14:textId="3B904295" w:rsidR="00381F2C" w:rsidRPr="00851EED" w:rsidRDefault="00381F2C" w:rsidP="00C74CCD">
            <w:pPr>
              <w:spacing w:line="240" w:lineRule="auto"/>
              <w:ind w:left="0"/>
              <w:jc w:val="center"/>
              <w:rPr>
                <w:rFonts w:cs="Arial"/>
                <w:color w:val="FFFFFF" w:themeColor="background1"/>
                <w:sz w:val="20"/>
                <w:szCs w:val="20"/>
              </w:rPr>
            </w:pPr>
            <w:r w:rsidRPr="00851EED">
              <w:rPr>
                <w:rFonts w:cs="Arial"/>
                <w:color w:val="FFFFFF" w:themeColor="background1"/>
                <w:sz w:val="20"/>
                <w:szCs w:val="20"/>
              </w:rPr>
              <w:t>200 dB contour</w:t>
            </w:r>
          </w:p>
        </w:tc>
      </w:tr>
      <w:tr w:rsidR="00381F2C" w14:paraId="3C328301" w14:textId="77777777" w:rsidTr="00592E4B">
        <w:tc>
          <w:tcPr>
            <w:tcW w:w="1074" w:type="dxa"/>
            <w:vMerge/>
            <w:shd w:val="clear" w:color="auto" w:fill="064EA8"/>
          </w:tcPr>
          <w:p w14:paraId="385DBA1C" w14:textId="6476263D" w:rsidR="00381F2C" w:rsidRPr="00851EED" w:rsidRDefault="00381F2C" w:rsidP="00851EED">
            <w:pPr>
              <w:spacing w:before="60" w:after="60" w:line="240" w:lineRule="auto"/>
              <w:ind w:left="0"/>
              <w:rPr>
                <w:rFonts w:cs="Arial"/>
                <w:color w:val="FFFFFF" w:themeColor="background1"/>
                <w:sz w:val="20"/>
                <w:szCs w:val="20"/>
              </w:rPr>
            </w:pPr>
          </w:p>
        </w:tc>
        <w:tc>
          <w:tcPr>
            <w:tcW w:w="1096" w:type="dxa"/>
            <w:shd w:val="clear" w:color="auto" w:fill="064EA8"/>
            <w:vAlign w:val="center"/>
          </w:tcPr>
          <w:p w14:paraId="068D9CDA" w14:textId="3D38A810" w:rsidR="00381F2C" w:rsidRPr="00851EED" w:rsidRDefault="00381F2C" w:rsidP="00C74CCD">
            <w:pPr>
              <w:spacing w:before="60" w:after="60" w:line="240" w:lineRule="auto"/>
              <w:ind w:left="0"/>
              <w:jc w:val="center"/>
              <w:rPr>
                <w:rFonts w:cs="Arial"/>
                <w:color w:val="FFFFFF" w:themeColor="background1"/>
                <w:sz w:val="20"/>
                <w:szCs w:val="20"/>
              </w:rPr>
            </w:pPr>
            <w:r>
              <w:rPr>
                <w:rFonts w:cs="Arial"/>
                <w:color w:val="FFFFFF" w:themeColor="background1"/>
                <w:sz w:val="20"/>
                <w:szCs w:val="20"/>
              </w:rPr>
              <w:t>L</w:t>
            </w:r>
          </w:p>
        </w:tc>
        <w:tc>
          <w:tcPr>
            <w:tcW w:w="1097" w:type="dxa"/>
            <w:shd w:val="clear" w:color="auto" w:fill="064EA8"/>
            <w:vAlign w:val="center"/>
          </w:tcPr>
          <w:p w14:paraId="7EB9A07B" w14:textId="419434D8" w:rsidR="00381F2C" w:rsidRPr="00851EED" w:rsidRDefault="00381F2C" w:rsidP="00C74CCD">
            <w:pPr>
              <w:spacing w:before="60" w:after="60" w:line="240" w:lineRule="auto"/>
              <w:ind w:left="0"/>
              <w:jc w:val="center"/>
              <w:rPr>
                <w:rFonts w:cs="Arial"/>
                <w:color w:val="FFFFFF" w:themeColor="background1"/>
                <w:sz w:val="20"/>
                <w:szCs w:val="20"/>
              </w:rPr>
            </w:pPr>
            <w:r>
              <w:rPr>
                <w:rFonts w:cs="Arial"/>
                <w:color w:val="FFFFFF" w:themeColor="background1"/>
                <w:sz w:val="20"/>
                <w:szCs w:val="20"/>
              </w:rPr>
              <w:t>D</w:t>
            </w:r>
          </w:p>
        </w:tc>
        <w:tc>
          <w:tcPr>
            <w:tcW w:w="1096" w:type="dxa"/>
            <w:shd w:val="clear" w:color="auto" w:fill="064EA8"/>
            <w:vAlign w:val="center"/>
          </w:tcPr>
          <w:p w14:paraId="188D7684" w14:textId="0C257E34" w:rsidR="00381F2C" w:rsidRPr="00851EED" w:rsidRDefault="00381F2C" w:rsidP="00C74CCD">
            <w:pPr>
              <w:spacing w:before="60" w:after="60" w:line="240" w:lineRule="auto"/>
              <w:ind w:left="0"/>
              <w:jc w:val="center"/>
              <w:rPr>
                <w:rFonts w:cs="Arial"/>
                <w:color w:val="FFFFFF" w:themeColor="background1"/>
                <w:sz w:val="20"/>
                <w:szCs w:val="20"/>
              </w:rPr>
            </w:pPr>
            <w:r>
              <w:rPr>
                <w:rFonts w:cs="Arial"/>
                <w:color w:val="FFFFFF" w:themeColor="background1"/>
                <w:sz w:val="20"/>
                <w:szCs w:val="20"/>
              </w:rPr>
              <w:t>L</w:t>
            </w:r>
          </w:p>
        </w:tc>
        <w:tc>
          <w:tcPr>
            <w:tcW w:w="1097" w:type="dxa"/>
            <w:shd w:val="clear" w:color="auto" w:fill="064EA8"/>
            <w:vAlign w:val="center"/>
          </w:tcPr>
          <w:p w14:paraId="324E867F" w14:textId="156748A4" w:rsidR="00381F2C" w:rsidRPr="00851EED" w:rsidRDefault="00381F2C" w:rsidP="00C74CCD">
            <w:pPr>
              <w:spacing w:before="60" w:after="60" w:line="240" w:lineRule="auto"/>
              <w:ind w:left="0"/>
              <w:jc w:val="center"/>
              <w:rPr>
                <w:rFonts w:cs="Arial"/>
                <w:color w:val="FFFFFF" w:themeColor="background1"/>
                <w:sz w:val="20"/>
                <w:szCs w:val="20"/>
              </w:rPr>
            </w:pPr>
            <w:r>
              <w:rPr>
                <w:rFonts w:cs="Arial"/>
                <w:color w:val="FFFFFF" w:themeColor="background1"/>
                <w:sz w:val="20"/>
                <w:szCs w:val="20"/>
              </w:rPr>
              <w:t>D</w:t>
            </w:r>
          </w:p>
        </w:tc>
        <w:tc>
          <w:tcPr>
            <w:tcW w:w="1027" w:type="dxa"/>
            <w:shd w:val="clear" w:color="auto" w:fill="064EA8"/>
            <w:vAlign w:val="center"/>
          </w:tcPr>
          <w:p w14:paraId="35584A40" w14:textId="78D42DB1" w:rsidR="00381F2C" w:rsidRPr="00851EED" w:rsidRDefault="00381F2C" w:rsidP="00C74CCD">
            <w:pPr>
              <w:spacing w:before="60" w:after="60" w:line="240" w:lineRule="auto"/>
              <w:ind w:left="0"/>
              <w:jc w:val="center"/>
              <w:rPr>
                <w:rFonts w:cs="Arial"/>
                <w:color w:val="FFFFFF" w:themeColor="background1"/>
                <w:sz w:val="20"/>
                <w:szCs w:val="20"/>
              </w:rPr>
            </w:pPr>
            <w:r>
              <w:rPr>
                <w:rFonts w:cs="Arial"/>
                <w:color w:val="FFFFFF" w:themeColor="background1"/>
                <w:sz w:val="20"/>
                <w:szCs w:val="20"/>
              </w:rPr>
              <w:t>L</w:t>
            </w:r>
          </w:p>
        </w:tc>
        <w:tc>
          <w:tcPr>
            <w:tcW w:w="1166" w:type="dxa"/>
            <w:shd w:val="clear" w:color="auto" w:fill="064EA8"/>
            <w:vAlign w:val="center"/>
          </w:tcPr>
          <w:p w14:paraId="098A7AB3" w14:textId="7EE9DE3A" w:rsidR="00381F2C" w:rsidRPr="00851EED" w:rsidRDefault="00381F2C" w:rsidP="00C74CCD">
            <w:pPr>
              <w:spacing w:before="60" w:after="60" w:line="240" w:lineRule="auto"/>
              <w:ind w:left="0"/>
              <w:jc w:val="center"/>
              <w:rPr>
                <w:rFonts w:cs="Arial"/>
                <w:color w:val="FFFFFF" w:themeColor="background1"/>
                <w:sz w:val="20"/>
                <w:szCs w:val="20"/>
              </w:rPr>
            </w:pPr>
            <w:r>
              <w:rPr>
                <w:rFonts w:cs="Arial"/>
                <w:color w:val="FFFFFF" w:themeColor="background1"/>
                <w:sz w:val="20"/>
                <w:szCs w:val="20"/>
              </w:rPr>
              <w:t>D</w:t>
            </w:r>
          </w:p>
        </w:tc>
        <w:tc>
          <w:tcPr>
            <w:tcW w:w="960" w:type="dxa"/>
            <w:shd w:val="clear" w:color="auto" w:fill="064EA8"/>
            <w:vAlign w:val="center"/>
          </w:tcPr>
          <w:p w14:paraId="6C86E075" w14:textId="76BA9300" w:rsidR="00381F2C" w:rsidRPr="00851EED" w:rsidRDefault="00381F2C" w:rsidP="00C74CCD">
            <w:pPr>
              <w:spacing w:line="240" w:lineRule="auto"/>
              <w:ind w:left="0"/>
              <w:jc w:val="center"/>
              <w:rPr>
                <w:rFonts w:cs="Arial"/>
                <w:color w:val="FFFFFF" w:themeColor="background1"/>
                <w:sz w:val="20"/>
                <w:szCs w:val="20"/>
              </w:rPr>
            </w:pPr>
            <w:r>
              <w:rPr>
                <w:rFonts w:cs="Arial"/>
                <w:color w:val="FFFFFF" w:themeColor="background1"/>
                <w:sz w:val="20"/>
                <w:szCs w:val="20"/>
              </w:rPr>
              <w:t>L</w:t>
            </w:r>
          </w:p>
        </w:tc>
        <w:tc>
          <w:tcPr>
            <w:tcW w:w="1233" w:type="dxa"/>
            <w:shd w:val="clear" w:color="auto" w:fill="064EA8"/>
            <w:vAlign w:val="center"/>
          </w:tcPr>
          <w:p w14:paraId="2091E039" w14:textId="6EA65657" w:rsidR="00381F2C" w:rsidRPr="00851EED" w:rsidRDefault="00381F2C" w:rsidP="00C74CCD">
            <w:pPr>
              <w:spacing w:line="240" w:lineRule="auto"/>
              <w:ind w:left="0"/>
              <w:jc w:val="center"/>
              <w:rPr>
                <w:rFonts w:cs="Arial"/>
                <w:color w:val="FFFFFF" w:themeColor="background1"/>
                <w:sz w:val="20"/>
                <w:szCs w:val="20"/>
              </w:rPr>
            </w:pPr>
            <w:r>
              <w:rPr>
                <w:rFonts w:cs="Arial"/>
                <w:color w:val="FFFFFF" w:themeColor="background1"/>
                <w:sz w:val="20"/>
                <w:szCs w:val="20"/>
              </w:rPr>
              <w:t>D</w:t>
            </w:r>
          </w:p>
        </w:tc>
        <w:tc>
          <w:tcPr>
            <w:tcW w:w="894" w:type="dxa"/>
            <w:shd w:val="clear" w:color="auto" w:fill="064EA8"/>
            <w:vAlign w:val="center"/>
          </w:tcPr>
          <w:p w14:paraId="185113B7" w14:textId="377F4B2E" w:rsidR="00381F2C" w:rsidRPr="00851EED" w:rsidRDefault="00381F2C" w:rsidP="00C74CCD">
            <w:pPr>
              <w:spacing w:line="240" w:lineRule="auto"/>
              <w:ind w:left="0"/>
              <w:jc w:val="center"/>
              <w:rPr>
                <w:rFonts w:cs="Arial"/>
                <w:color w:val="FFFFFF" w:themeColor="background1"/>
                <w:sz w:val="20"/>
                <w:szCs w:val="20"/>
              </w:rPr>
            </w:pPr>
            <w:r>
              <w:rPr>
                <w:rFonts w:cs="Arial"/>
                <w:color w:val="FFFFFF" w:themeColor="background1"/>
                <w:sz w:val="20"/>
                <w:szCs w:val="20"/>
              </w:rPr>
              <w:t>L</w:t>
            </w:r>
          </w:p>
        </w:tc>
        <w:tc>
          <w:tcPr>
            <w:tcW w:w="1299" w:type="dxa"/>
            <w:shd w:val="clear" w:color="auto" w:fill="064EA8"/>
            <w:vAlign w:val="center"/>
          </w:tcPr>
          <w:p w14:paraId="1753B138" w14:textId="2973E6C6" w:rsidR="00381F2C" w:rsidRPr="00851EED" w:rsidRDefault="00381F2C" w:rsidP="00C74CCD">
            <w:pPr>
              <w:spacing w:line="240" w:lineRule="auto"/>
              <w:ind w:left="0"/>
              <w:jc w:val="center"/>
              <w:rPr>
                <w:rFonts w:cs="Arial"/>
                <w:color w:val="FFFFFF" w:themeColor="background1"/>
                <w:sz w:val="20"/>
                <w:szCs w:val="20"/>
              </w:rPr>
            </w:pPr>
            <w:r>
              <w:rPr>
                <w:rFonts w:cs="Arial"/>
                <w:color w:val="FFFFFF" w:themeColor="background1"/>
                <w:sz w:val="20"/>
                <w:szCs w:val="20"/>
              </w:rPr>
              <w:t>D</w:t>
            </w:r>
          </w:p>
        </w:tc>
        <w:tc>
          <w:tcPr>
            <w:tcW w:w="969" w:type="dxa"/>
            <w:shd w:val="clear" w:color="auto" w:fill="064EA8"/>
            <w:vAlign w:val="center"/>
          </w:tcPr>
          <w:p w14:paraId="3EC8ECFE" w14:textId="1557C90F" w:rsidR="00381F2C" w:rsidRPr="00851EED" w:rsidRDefault="00381F2C" w:rsidP="00C74CCD">
            <w:pPr>
              <w:spacing w:line="240" w:lineRule="auto"/>
              <w:ind w:left="0"/>
              <w:jc w:val="center"/>
              <w:rPr>
                <w:rFonts w:cs="Arial"/>
                <w:color w:val="FFFFFF" w:themeColor="background1"/>
                <w:sz w:val="20"/>
                <w:szCs w:val="20"/>
              </w:rPr>
            </w:pPr>
            <w:r>
              <w:rPr>
                <w:rFonts w:cs="Arial"/>
                <w:color w:val="FFFFFF" w:themeColor="background1"/>
                <w:sz w:val="20"/>
                <w:szCs w:val="20"/>
              </w:rPr>
              <w:t>L</w:t>
            </w:r>
          </w:p>
        </w:tc>
        <w:tc>
          <w:tcPr>
            <w:tcW w:w="1224" w:type="dxa"/>
            <w:shd w:val="clear" w:color="auto" w:fill="064EA8"/>
            <w:vAlign w:val="center"/>
          </w:tcPr>
          <w:p w14:paraId="00C261E7" w14:textId="63C90C01" w:rsidR="00381F2C" w:rsidRPr="00851EED" w:rsidRDefault="00381F2C" w:rsidP="00C74CCD">
            <w:pPr>
              <w:spacing w:line="240" w:lineRule="auto"/>
              <w:ind w:left="0"/>
              <w:jc w:val="center"/>
              <w:rPr>
                <w:rFonts w:cs="Arial"/>
                <w:color w:val="FFFFFF" w:themeColor="background1"/>
                <w:sz w:val="20"/>
                <w:szCs w:val="20"/>
              </w:rPr>
            </w:pPr>
            <w:r>
              <w:rPr>
                <w:rFonts w:cs="Arial"/>
                <w:color w:val="FFFFFF" w:themeColor="background1"/>
                <w:sz w:val="20"/>
                <w:szCs w:val="20"/>
              </w:rPr>
              <w:t>D</w:t>
            </w:r>
          </w:p>
        </w:tc>
      </w:tr>
      <w:tr w:rsidR="00C74CCD" w14:paraId="57237631" w14:textId="77777777" w:rsidTr="00592E4B">
        <w:trPr>
          <w:trHeight w:val="369"/>
        </w:trPr>
        <w:tc>
          <w:tcPr>
            <w:tcW w:w="1074" w:type="dxa"/>
            <w:vAlign w:val="center"/>
          </w:tcPr>
          <w:p w14:paraId="78D89E05" w14:textId="77777777" w:rsidR="00C74CCD" w:rsidRPr="00134E7C" w:rsidRDefault="00C74CCD" w:rsidP="00BD10BB">
            <w:pPr>
              <w:spacing w:before="60" w:after="60" w:line="240" w:lineRule="auto"/>
              <w:ind w:left="0"/>
              <w:rPr>
                <w:rFonts w:cs="Arial"/>
                <w:sz w:val="20"/>
                <w:szCs w:val="20"/>
              </w:rPr>
            </w:pPr>
            <w:r w:rsidRPr="00134E7C">
              <w:rPr>
                <w:rFonts w:cs="Arial"/>
                <w:sz w:val="20"/>
                <w:szCs w:val="20"/>
              </w:rPr>
              <w:t>1</w:t>
            </w:r>
          </w:p>
        </w:tc>
        <w:tc>
          <w:tcPr>
            <w:tcW w:w="1096" w:type="dxa"/>
            <w:vAlign w:val="center"/>
          </w:tcPr>
          <w:p w14:paraId="21E1152E" w14:textId="32DE6E1C" w:rsidR="00C74CCD" w:rsidRPr="00134E7C" w:rsidRDefault="00C74CCD" w:rsidP="00592E4B">
            <w:pPr>
              <w:spacing w:before="60" w:after="60" w:line="240" w:lineRule="auto"/>
              <w:ind w:left="0" w:right="-31"/>
              <w:jc w:val="center"/>
              <w:rPr>
                <w:rFonts w:cs="Arial"/>
                <w:sz w:val="20"/>
                <w:szCs w:val="20"/>
              </w:rPr>
            </w:pPr>
            <w:r>
              <w:rPr>
                <w:rFonts w:cs="Arial"/>
                <w:sz w:val="20"/>
                <w:szCs w:val="20"/>
              </w:rPr>
              <w:t>3,000 m</w:t>
            </w:r>
          </w:p>
        </w:tc>
        <w:tc>
          <w:tcPr>
            <w:tcW w:w="1097" w:type="dxa"/>
            <w:vAlign w:val="center"/>
          </w:tcPr>
          <w:p w14:paraId="29331742" w14:textId="12C3E56F" w:rsidR="00C74CCD" w:rsidRPr="00134E7C" w:rsidRDefault="00BD10BB" w:rsidP="00BD10BB">
            <w:pPr>
              <w:spacing w:before="60" w:after="60" w:line="240" w:lineRule="auto"/>
              <w:ind w:left="0"/>
              <w:jc w:val="center"/>
              <w:rPr>
                <w:rFonts w:cs="Arial"/>
                <w:sz w:val="20"/>
                <w:szCs w:val="20"/>
              </w:rPr>
            </w:pPr>
            <w:r>
              <w:rPr>
                <w:rFonts w:cs="Arial"/>
                <w:sz w:val="20"/>
                <w:szCs w:val="20"/>
              </w:rPr>
              <w:t>N/A</w:t>
            </w:r>
          </w:p>
        </w:tc>
        <w:tc>
          <w:tcPr>
            <w:tcW w:w="1096" w:type="dxa"/>
            <w:vAlign w:val="center"/>
          </w:tcPr>
          <w:p w14:paraId="602B3C5B" w14:textId="1A3309A8" w:rsidR="00C74CCD" w:rsidRPr="00134E7C" w:rsidRDefault="00C74CCD" w:rsidP="00BD10BB">
            <w:pPr>
              <w:spacing w:before="60" w:after="60" w:line="240" w:lineRule="auto"/>
              <w:ind w:left="0"/>
              <w:jc w:val="center"/>
              <w:rPr>
                <w:rFonts w:cs="Arial"/>
                <w:sz w:val="20"/>
                <w:szCs w:val="20"/>
              </w:rPr>
            </w:pPr>
            <w:r>
              <w:rPr>
                <w:rFonts w:cs="Arial"/>
                <w:sz w:val="20"/>
                <w:szCs w:val="20"/>
              </w:rPr>
              <w:t>1,250 m</w:t>
            </w:r>
          </w:p>
        </w:tc>
        <w:tc>
          <w:tcPr>
            <w:tcW w:w="1097" w:type="dxa"/>
            <w:vAlign w:val="center"/>
          </w:tcPr>
          <w:p w14:paraId="2810191E" w14:textId="2B95E76E" w:rsidR="00C74CCD" w:rsidRPr="00134E7C" w:rsidRDefault="00BD10BB" w:rsidP="00BD10BB">
            <w:pPr>
              <w:spacing w:before="60" w:after="60" w:line="240" w:lineRule="auto"/>
              <w:ind w:left="0"/>
              <w:jc w:val="center"/>
              <w:rPr>
                <w:rFonts w:cs="Arial"/>
                <w:sz w:val="20"/>
                <w:szCs w:val="20"/>
              </w:rPr>
            </w:pPr>
            <w:r>
              <w:rPr>
                <w:rFonts w:cs="Arial"/>
                <w:sz w:val="20"/>
                <w:szCs w:val="20"/>
              </w:rPr>
              <w:t>N/A</w:t>
            </w:r>
          </w:p>
        </w:tc>
        <w:tc>
          <w:tcPr>
            <w:tcW w:w="1027" w:type="dxa"/>
            <w:vAlign w:val="center"/>
          </w:tcPr>
          <w:p w14:paraId="000AB128" w14:textId="26443A4C" w:rsidR="00C74CCD" w:rsidRPr="00134E7C" w:rsidRDefault="00C74CCD" w:rsidP="00BD10BB">
            <w:pPr>
              <w:spacing w:before="60" w:after="60" w:line="240" w:lineRule="auto"/>
              <w:ind w:left="0"/>
              <w:jc w:val="center"/>
              <w:rPr>
                <w:rFonts w:cs="Arial"/>
                <w:sz w:val="20"/>
                <w:szCs w:val="20"/>
              </w:rPr>
            </w:pPr>
            <w:r>
              <w:rPr>
                <w:rFonts w:cs="Arial"/>
                <w:sz w:val="20"/>
                <w:szCs w:val="20"/>
              </w:rPr>
              <w:t>375 m</w:t>
            </w:r>
          </w:p>
        </w:tc>
        <w:tc>
          <w:tcPr>
            <w:tcW w:w="1166" w:type="dxa"/>
            <w:vAlign w:val="center"/>
          </w:tcPr>
          <w:p w14:paraId="0CA05B15" w14:textId="54956C29" w:rsidR="00C74CCD" w:rsidRPr="00134E7C" w:rsidRDefault="00BD10BB" w:rsidP="00BD10BB">
            <w:pPr>
              <w:spacing w:before="60" w:after="60" w:line="240" w:lineRule="auto"/>
              <w:ind w:left="0"/>
              <w:jc w:val="center"/>
              <w:rPr>
                <w:rFonts w:cs="Arial"/>
                <w:sz w:val="20"/>
                <w:szCs w:val="20"/>
              </w:rPr>
            </w:pPr>
            <w:r>
              <w:rPr>
                <w:rFonts w:cs="Arial"/>
                <w:sz w:val="20"/>
                <w:szCs w:val="20"/>
              </w:rPr>
              <w:t>N/A</w:t>
            </w:r>
          </w:p>
        </w:tc>
        <w:tc>
          <w:tcPr>
            <w:tcW w:w="960" w:type="dxa"/>
            <w:vAlign w:val="center"/>
          </w:tcPr>
          <w:p w14:paraId="02CDCE65" w14:textId="398B295F"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33" w:type="dxa"/>
            <w:vAlign w:val="center"/>
          </w:tcPr>
          <w:p w14:paraId="7ED2FD88" w14:textId="2FE049A3" w:rsidR="00C74CCD" w:rsidRPr="00134E7C" w:rsidRDefault="004F7D53" w:rsidP="00BD10BB">
            <w:pPr>
              <w:spacing w:before="60" w:after="60" w:line="240" w:lineRule="auto"/>
              <w:ind w:left="0"/>
              <w:jc w:val="center"/>
              <w:rPr>
                <w:rFonts w:cs="Arial"/>
                <w:sz w:val="20"/>
                <w:szCs w:val="20"/>
              </w:rPr>
            </w:pPr>
            <w:r>
              <w:rPr>
                <w:rFonts w:cs="Arial"/>
                <w:sz w:val="20"/>
                <w:szCs w:val="20"/>
              </w:rPr>
              <w:t>110 m</w:t>
            </w:r>
          </w:p>
        </w:tc>
        <w:tc>
          <w:tcPr>
            <w:tcW w:w="894" w:type="dxa"/>
            <w:vAlign w:val="center"/>
          </w:tcPr>
          <w:p w14:paraId="09D61489" w14:textId="4D1740EF"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99" w:type="dxa"/>
            <w:vAlign w:val="center"/>
          </w:tcPr>
          <w:p w14:paraId="7F55407D" w14:textId="69875251" w:rsidR="00C74CCD" w:rsidRPr="00134E7C" w:rsidRDefault="004F7D53" w:rsidP="00BD10BB">
            <w:pPr>
              <w:spacing w:before="60" w:after="60" w:line="240" w:lineRule="auto"/>
              <w:ind w:left="0"/>
              <w:jc w:val="center"/>
              <w:rPr>
                <w:rFonts w:cs="Arial"/>
                <w:sz w:val="20"/>
                <w:szCs w:val="20"/>
              </w:rPr>
            </w:pPr>
            <w:r>
              <w:rPr>
                <w:rFonts w:cs="Arial"/>
                <w:sz w:val="20"/>
                <w:szCs w:val="20"/>
              </w:rPr>
              <w:t>440 m</w:t>
            </w:r>
          </w:p>
        </w:tc>
        <w:tc>
          <w:tcPr>
            <w:tcW w:w="969" w:type="dxa"/>
            <w:vAlign w:val="center"/>
          </w:tcPr>
          <w:p w14:paraId="7BFE9C60" w14:textId="3190BDDB"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24" w:type="dxa"/>
            <w:vAlign w:val="center"/>
          </w:tcPr>
          <w:p w14:paraId="049805CF" w14:textId="4B178657" w:rsidR="00C74CCD" w:rsidRPr="00134E7C" w:rsidRDefault="004F7D53" w:rsidP="00BD10BB">
            <w:pPr>
              <w:spacing w:before="60" w:after="60" w:line="240" w:lineRule="auto"/>
              <w:ind w:left="0"/>
              <w:jc w:val="center"/>
              <w:rPr>
                <w:rFonts w:cs="Arial"/>
                <w:sz w:val="20"/>
                <w:szCs w:val="20"/>
              </w:rPr>
            </w:pPr>
            <w:r>
              <w:rPr>
                <w:rFonts w:cs="Arial"/>
                <w:sz w:val="20"/>
                <w:szCs w:val="20"/>
              </w:rPr>
              <w:t>675 m</w:t>
            </w:r>
          </w:p>
        </w:tc>
      </w:tr>
      <w:tr w:rsidR="00C74CCD" w14:paraId="4959EECA" w14:textId="77777777" w:rsidTr="00592E4B">
        <w:tc>
          <w:tcPr>
            <w:tcW w:w="1074" w:type="dxa"/>
            <w:vAlign w:val="center"/>
          </w:tcPr>
          <w:p w14:paraId="067A2526" w14:textId="77777777" w:rsidR="00C74CCD" w:rsidRPr="00134E7C" w:rsidRDefault="00C74CCD" w:rsidP="00BD10BB">
            <w:pPr>
              <w:spacing w:before="60" w:after="60" w:line="240" w:lineRule="auto"/>
              <w:ind w:left="0"/>
              <w:rPr>
                <w:rFonts w:cs="Arial"/>
                <w:sz w:val="20"/>
                <w:szCs w:val="20"/>
              </w:rPr>
            </w:pPr>
            <w:r w:rsidRPr="00134E7C">
              <w:rPr>
                <w:rFonts w:cs="Arial"/>
                <w:sz w:val="20"/>
                <w:szCs w:val="20"/>
              </w:rPr>
              <w:t>2</w:t>
            </w:r>
          </w:p>
        </w:tc>
        <w:tc>
          <w:tcPr>
            <w:tcW w:w="1096" w:type="dxa"/>
            <w:vAlign w:val="center"/>
          </w:tcPr>
          <w:p w14:paraId="7AABD013" w14:textId="25842891" w:rsidR="00C74CCD" w:rsidRPr="00134E7C" w:rsidRDefault="00C74CCD" w:rsidP="00BD10BB">
            <w:pPr>
              <w:spacing w:before="60" w:after="60" w:line="240" w:lineRule="auto"/>
              <w:ind w:left="0"/>
              <w:jc w:val="center"/>
              <w:rPr>
                <w:rFonts w:cs="Arial"/>
                <w:sz w:val="20"/>
                <w:szCs w:val="20"/>
              </w:rPr>
            </w:pPr>
            <w:r w:rsidRPr="00134E7C">
              <w:rPr>
                <w:rFonts w:cs="Arial"/>
                <w:sz w:val="20"/>
                <w:szCs w:val="20"/>
              </w:rPr>
              <w:t>1,450 m</w:t>
            </w:r>
          </w:p>
        </w:tc>
        <w:tc>
          <w:tcPr>
            <w:tcW w:w="1097" w:type="dxa"/>
            <w:vAlign w:val="center"/>
          </w:tcPr>
          <w:p w14:paraId="16EFD323" w14:textId="0A8A382E" w:rsidR="00C74CCD" w:rsidRPr="00134E7C" w:rsidRDefault="00BD10BB" w:rsidP="00BD10BB">
            <w:pPr>
              <w:spacing w:before="60" w:after="60"/>
              <w:ind w:left="0"/>
              <w:jc w:val="center"/>
              <w:rPr>
                <w:rFonts w:cs="Arial"/>
                <w:sz w:val="20"/>
                <w:szCs w:val="20"/>
              </w:rPr>
            </w:pPr>
            <w:r>
              <w:rPr>
                <w:rFonts w:cs="Arial"/>
                <w:sz w:val="20"/>
                <w:szCs w:val="20"/>
              </w:rPr>
              <w:t>N/A</w:t>
            </w:r>
          </w:p>
        </w:tc>
        <w:tc>
          <w:tcPr>
            <w:tcW w:w="1096" w:type="dxa"/>
            <w:vAlign w:val="center"/>
          </w:tcPr>
          <w:p w14:paraId="01AD369F" w14:textId="33063192"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097" w:type="dxa"/>
            <w:vAlign w:val="center"/>
          </w:tcPr>
          <w:p w14:paraId="09839F43" w14:textId="7B9B45E0" w:rsidR="00C74CCD" w:rsidRPr="00134E7C" w:rsidRDefault="004F7D53" w:rsidP="00BD10BB">
            <w:pPr>
              <w:spacing w:before="60" w:after="60" w:line="240" w:lineRule="auto"/>
              <w:ind w:left="0"/>
              <w:jc w:val="center"/>
              <w:rPr>
                <w:rFonts w:cs="Arial"/>
                <w:sz w:val="20"/>
                <w:szCs w:val="20"/>
              </w:rPr>
            </w:pPr>
            <w:r>
              <w:rPr>
                <w:rFonts w:cs="Arial"/>
                <w:sz w:val="20"/>
                <w:szCs w:val="20"/>
              </w:rPr>
              <w:t>700 m</w:t>
            </w:r>
          </w:p>
        </w:tc>
        <w:tc>
          <w:tcPr>
            <w:tcW w:w="1027" w:type="dxa"/>
            <w:vAlign w:val="center"/>
          </w:tcPr>
          <w:p w14:paraId="0F2129D3" w14:textId="227D2AD0"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166" w:type="dxa"/>
            <w:vAlign w:val="center"/>
          </w:tcPr>
          <w:p w14:paraId="19819400" w14:textId="646400DA" w:rsidR="00C74CCD" w:rsidRPr="00134E7C" w:rsidRDefault="004F7D53" w:rsidP="00BD10BB">
            <w:pPr>
              <w:spacing w:before="60" w:after="60" w:line="240" w:lineRule="auto"/>
              <w:ind w:left="0"/>
              <w:jc w:val="center"/>
              <w:rPr>
                <w:rFonts w:cs="Arial"/>
                <w:sz w:val="20"/>
                <w:szCs w:val="20"/>
              </w:rPr>
            </w:pPr>
            <w:r>
              <w:rPr>
                <w:rFonts w:cs="Arial"/>
                <w:sz w:val="20"/>
                <w:szCs w:val="20"/>
              </w:rPr>
              <w:t>1,200 m</w:t>
            </w:r>
          </w:p>
        </w:tc>
        <w:tc>
          <w:tcPr>
            <w:tcW w:w="960" w:type="dxa"/>
            <w:vAlign w:val="center"/>
          </w:tcPr>
          <w:p w14:paraId="701072F4" w14:textId="2ABEEEC4"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33" w:type="dxa"/>
            <w:vAlign w:val="center"/>
          </w:tcPr>
          <w:p w14:paraId="1B17827E" w14:textId="4A75B7BF" w:rsidR="00C74CCD" w:rsidRPr="00134E7C" w:rsidRDefault="004F7D53" w:rsidP="00BD10BB">
            <w:pPr>
              <w:spacing w:before="60" w:after="60" w:line="240" w:lineRule="auto"/>
              <w:ind w:left="0"/>
              <w:jc w:val="center"/>
              <w:rPr>
                <w:rFonts w:cs="Arial"/>
                <w:sz w:val="20"/>
                <w:szCs w:val="20"/>
              </w:rPr>
            </w:pPr>
            <w:r>
              <w:rPr>
                <w:rFonts w:cs="Arial"/>
                <w:sz w:val="20"/>
                <w:szCs w:val="20"/>
              </w:rPr>
              <w:t>2,700 m</w:t>
            </w:r>
          </w:p>
        </w:tc>
        <w:tc>
          <w:tcPr>
            <w:tcW w:w="894" w:type="dxa"/>
            <w:vAlign w:val="center"/>
          </w:tcPr>
          <w:p w14:paraId="46C8E6BB" w14:textId="1022EA4B"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99" w:type="dxa"/>
            <w:vAlign w:val="center"/>
          </w:tcPr>
          <w:p w14:paraId="6FF5E1FB" w14:textId="076DEBC2" w:rsidR="00C74CCD" w:rsidRPr="00134E7C" w:rsidRDefault="004F7D53" w:rsidP="00BD10BB">
            <w:pPr>
              <w:spacing w:before="60" w:after="60" w:line="240" w:lineRule="auto"/>
              <w:ind w:left="0"/>
              <w:jc w:val="center"/>
              <w:rPr>
                <w:rFonts w:cs="Arial"/>
                <w:sz w:val="20"/>
                <w:szCs w:val="20"/>
              </w:rPr>
            </w:pPr>
            <w:r>
              <w:rPr>
                <w:rFonts w:cs="Arial"/>
                <w:sz w:val="20"/>
                <w:szCs w:val="20"/>
              </w:rPr>
              <w:t>3,500 m</w:t>
            </w:r>
          </w:p>
        </w:tc>
        <w:tc>
          <w:tcPr>
            <w:tcW w:w="969" w:type="dxa"/>
            <w:vAlign w:val="center"/>
          </w:tcPr>
          <w:p w14:paraId="63C542C5" w14:textId="18D05214"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24" w:type="dxa"/>
            <w:vAlign w:val="center"/>
          </w:tcPr>
          <w:p w14:paraId="46EB3B97" w14:textId="608992DE" w:rsidR="00C74CCD" w:rsidRPr="00134E7C" w:rsidRDefault="004F7D53" w:rsidP="00BD10BB">
            <w:pPr>
              <w:spacing w:before="60" w:after="60" w:line="240" w:lineRule="auto"/>
              <w:ind w:left="0"/>
              <w:jc w:val="center"/>
              <w:rPr>
                <w:rFonts w:cs="Arial"/>
                <w:sz w:val="20"/>
                <w:szCs w:val="20"/>
              </w:rPr>
            </w:pPr>
            <w:r>
              <w:rPr>
                <w:rFonts w:cs="Arial"/>
                <w:sz w:val="20"/>
                <w:szCs w:val="20"/>
              </w:rPr>
              <w:t>3,800 m</w:t>
            </w:r>
          </w:p>
        </w:tc>
      </w:tr>
      <w:tr w:rsidR="00C74CCD" w14:paraId="3253F7A0" w14:textId="77777777" w:rsidTr="00592E4B">
        <w:tc>
          <w:tcPr>
            <w:tcW w:w="1074" w:type="dxa"/>
            <w:vAlign w:val="center"/>
          </w:tcPr>
          <w:p w14:paraId="1A2A9A8B" w14:textId="77777777" w:rsidR="00C74CCD" w:rsidRPr="00134E7C" w:rsidRDefault="00C74CCD" w:rsidP="00BD10BB">
            <w:pPr>
              <w:spacing w:before="60" w:after="60" w:line="240" w:lineRule="auto"/>
              <w:ind w:left="0"/>
              <w:rPr>
                <w:rFonts w:cs="Arial"/>
                <w:sz w:val="20"/>
                <w:szCs w:val="20"/>
              </w:rPr>
            </w:pPr>
            <w:r w:rsidRPr="00134E7C">
              <w:rPr>
                <w:rFonts w:cs="Arial"/>
                <w:sz w:val="20"/>
                <w:szCs w:val="20"/>
              </w:rPr>
              <w:t>3</w:t>
            </w:r>
          </w:p>
        </w:tc>
        <w:tc>
          <w:tcPr>
            <w:tcW w:w="1096" w:type="dxa"/>
            <w:vAlign w:val="center"/>
          </w:tcPr>
          <w:p w14:paraId="6BB44943" w14:textId="0E0375C4" w:rsidR="00C74CCD" w:rsidRPr="00134E7C" w:rsidRDefault="00C74CCD" w:rsidP="00BD10BB">
            <w:pPr>
              <w:spacing w:before="60" w:after="60"/>
              <w:ind w:left="0"/>
              <w:jc w:val="center"/>
              <w:rPr>
                <w:rFonts w:cs="Arial"/>
                <w:sz w:val="20"/>
                <w:szCs w:val="20"/>
              </w:rPr>
            </w:pPr>
            <w:r>
              <w:rPr>
                <w:rFonts w:cs="Arial"/>
                <w:sz w:val="20"/>
                <w:szCs w:val="20"/>
              </w:rPr>
              <w:t>0</w:t>
            </w:r>
          </w:p>
        </w:tc>
        <w:tc>
          <w:tcPr>
            <w:tcW w:w="1097" w:type="dxa"/>
            <w:vAlign w:val="center"/>
          </w:tcPr>
          <w:p w14:paraId="6F779432" w14:textId="3DDB2D1F" w:rsidR="00C74CCD" w:rsidRPr="00134E7C" w:rsidRDefault="004F7D53" w:rsidP="00BD10BB">
            <w:pPr>
              <w:spacing w:before="60" w:after="60"/>
              <w:ind w:left="0"/>
              <w:jc w:val="center"/>
              <w:rPr>
                <w:rFonts w:cs="Arial"/>
                <w:sz w:val="20"/>
                <w:szCs w:val="20"/>
              </w:rPr>
            </w:pPr>
            <w:r>
              <w:rPr>
                <w:rFonts w:cs="Arial"/>
                <w:sz w:val="20"/>
                <w:szCs w:val="20"/>
              </w:rPr>
              <w:t>1,700 m</w:t>
            </w:r>
          </w:p>
        </w:tc>
        <w:tc>
          <w:tcPr>
            <w:tcW w:w="1096" w:type="dxa"/>
            <w:vAlign w:val="center"/>
          </w:tcPr>
          <w:p w14:paraId="60F5CBCD" w14:textId="0FA88915"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097" w:type="dxa"/>
            <w:vAlign w:val="center"/>
          </w:tcPr>
          <w:p w14:paraId="597D29DD" w14:textId="0ED49E89" w:rsidR="00C74CCD" w:rsidRPr="00134E7C" w:rsidRDefault="004F7D53" w:rsidP="00BD10BB">
            <w:pPr>
              <w:spacing w:before="60" w:after="60" w:line="240" w:lineRule="auto"/>
              <w:ind w:left="0"/>
              <w:jc w:val="center"/>
              <w:rPr>
                <w:rFonts w:cs="Arial"/>
                <w:sz w:val="20"/>
                <w:szCs w:val="20"/>
              </w:rPr>
            </w:pPr>
            <w:r>
              <w:rPr>
                <w:rFonts w:cs="Arial"/>
                <w:sz w:val="20"/>
                <w:szCs w:val="20"/>
              </w:rPr>
              <w:t>1,000 m</w:t>
            </w:r>
          </w:p>
        </w:tc>
        <w:tc>
          <w:tcPr>
            <w:tcW w:w="1027" w:type="dxa"/>
            <w:vAlign w:val="center"/>
          </w:tcPr>
          <w:p w14:paraId="6923E7EC" w14:textId="36E01FB1"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166" w:type="dxa"/>
            <w:vAlign w:val="center"/>
          </w:tcPr>
          <w:p w14:paraId="31BBEC1C" w14:textId="6B81876E" w:rsidR="00C74CCD" w:rsidRPr="00134E7C" w:rsidRDefault="004F7D53" w:rsidP="00BD10BB">
            <w:pPr>
              <w:spacing w:before="60" w:after="60" w:line="240" w:lineRule="auto"/>
              <w:ind w:left="0"/>
              <w:jc w:val="center"/>
              <w:rPr>
                <w:rFonts w:cs="Arial"/>
                <w:sz w:val="20"/>
                <w:szCs w:val="20"/>
              </w:rPr>
            </w:pPr>
            <w:r>
              <w:rPr>
                <w:rFonts w:cs="Arial"/>
                <w:sz w:val="20"/>
                <w:szCs w:val="20"/>
              </w:rPr>
              <w:t>5,900 m</w:t>
            </w:r>
          </w:p>
        </w:tc>
        <w:tc>
          <w:tcPr>
            <w:tcW w:w="960" w:type="dxa"/>
            <w:vAlign w:val="center"/>
          </w:tcPr>
          <w:p w14:paraId="740E6315" w14:textId="79DA9317"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33" w:type="dxa"/>
            <w:vAlign w:val="center"/>
          </w:tcPr>
          <w:p w14:paraId="115DCC6F" w14:textId="211709CF" w:rsidR="00C74CCD" w:rsidRPr="00134E7C" w:rsidRDefault="004F7D53" w:rsidP="00BD10BB">
            <w:pPr>
              <w:spacing w:before="60" w:after="60" w:line="240" w:lineRule="auto"/>
              <w:ind w:left="0"/>
              <w:jc w:val="center"/>
              <w:rPr>
                <w:rFonts w:cs="Arial"/>
                <w:sz w:val="20"/>
                <w:szCs w:val="20"/>
              </w:rPr>
            </w:pPr>
            <w:r>
              <w:rPr>
                <w:rFonts w:cs="Arial"/>
                <w:sz w:val="20"/>
                <w:szCs w:val="20"/>
              </w:rPr>
              <w:t>7,200 m</w:t>
            </w:r>
          </w:p>
        </w:tc>
        <w:tc>
          <w:tcPr>
            <w:tcW w:w="894" w:type="dxa"/>
            <w:vAlign w:val="center"/>
          </w:tcPr>
          <w:p w14:paraId="35AE4D07" w14:textId="2682EE14"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99" w:type="dxa"/>
            <w:vAlign w:val="center"/>
          </w:tcPr>
          <w:p w14:paraId="56788521" w14:textId="1EFA2E65" w:rsidR="00C74CCD" w:rsidRPr="00134E7C" w:rsidRDefault="004F7D53" w:rsidP="00BD10BB">
            <w:pPr>
              <w:spacing w:before="60" w:after="60" w:line="240" w:lineRule="auto"/>
              <w:ind w:left="0"/>
              <w:jc w:val="center"/>
              <w:rPr>
                <w:rFonts w:cs="Arial"/>
                <w:sz w:val="20"/>
                <w:szCs w:val="20"/>
              </w:rPr>
            </w:pPr>
            <w:r>
              <w:rPr>
                <w:rFonts w:cs="Arial"/>
                <w:sz w:val="20"/>
                <w:szCs w:val="20"/>
              </w:rPr>
              <w:t>8,000 m</w:t>
            </w:r>
          </w:p>
        </w:tc>
        <w:tc>
          <w:tcPr>
            <w:tcW w:w="969" w:type="dxa"/>
            <w:vAlign w:val="center"/>
          </w:tcPr>
          <w:p w14:paraId="5F6EC65E" w14:textId="0AE982BD"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24" w:type="dxa"/>
            <w:vAlign w:val="center"/>
          </w:tcPr>
          <w:p w14:paraId="689835C7" w14:textId="18D431A2" w:rsidR="00C74CCD" w:rsidRPr="00134E7C" w:rsidRDefault="004F7D53" w:rsidP="00BD10BB">
            <w:pPr>
              <w:spacing w:before="60" w:after="60" w:line="240" w:lineRule="auto"/>
              <w:ind w:left="0"/>
              <w:jc w:val="center"/>
              <w:rPr>
                <w:rFonts w:cs="Arial"/>
                <w:sz w:val="20"/>
                <w:szCs w:val="20"/>
              </w:rPr>
            </w:pPr>
            <w:r>
              <w:rPr>
                <w:rFonts w:cs="Arial"/>
                <w:sz w:val="20"/>
                <w:szCs w:val="20"/>
              </w:rPr>
              <w:t>8,300 m</w:t>
            </w:r>
          </w:p>
        </w:tc>
      </w:tr>
      <w:tr w:rsidR="00C74CCD" w14:paraId="4844CE75" w14:textId="77777777" w:rsidTr="00592E4B">
        <w:tc>
          <w:tcPr>
            <w:tcW w:w="1074" w:type="dxa"/>
            <w:vAlign w:val="center"/>
          </w:tcPr>
          <w:p w14:paraId="5A4F70EB" w14:textId="77777777" w:rsidR="00C74CCD" w:rsidRPr="00134E7C" w:rsidRDefault="00C74CCD" w:rsidP="00BD10BB">
            <w:pPr>
              <w:spacing w:before="60" w:after="60" w:line="240" w:lineRule="auto"/>
              <w:ind w:left="0"/>
              <w:rPr>
                <w:rFonts w:cs="Arial"/>
                <w:sz w:val="20"/>
                <w:szCs w:val="20"/>
              </w:rPr>
            </w:pPr>
            <w:r w:rsidRPr="00134E7C">
              <w:rPr>
                <w:rFonts w:cs="Arial"/>
                <w:sz w:val="20"/>
                <w:szCs w:val="20"/>
              </w:rPr>
              <w:t>4</w:t>
            </w:r>
          </w:p>
        </w:tc>
        <w:tc>
          <w:tcPr>
            <w:tcW w:w="1096" w:type="dxa"/>
            <w:vAlign w:val="center"/>
          </w:tcPr>
          <w:p w14:paraId="25317B1A" w14:textId="40D03163" w:rsidR="00C74CCD" w:rsidRPr="00134E7C" w:rsidRDefault="00C74CCD" w:rsidP="00BD10BB">
            <w:pPr>
              <w:spacing w:before="60" w:after="60"/>
              <w:ind w:left="0"/>
              <w:jc w:val="center"/>
              <w:rPr>
                <w:rFonts w:cs="Arial"/>
                <w:sz w:val="20"/>
                <w:szCs w:val="20"/>
              </w:rPr>
            </w:pPr>
            <w:r>
              <w:rPr>
                <w:rFonts w:cs="Arial"/>
                <w:sz w:val="20"/>
                <w:szCs w:val="20"/>
              </w:rPr>
              <w:t>0</w:t>
            </w:r>
          </w:p>
        </w:tc>
        <w:tc>
          <w:tcPr>
            <w:tcW w:w="1097" w:type="dxa"/>
            <w:vAlign w:val="center"/>
          </w:tcPr>
          <w:p w14:paraId="34ABBF43" w14:textId="1C5ECAEA" w:rsidR="00C74CCD" w:rsidRPr="00134E7C" w:rsidRDefault="004F7D53" w:rsidP="00BD10BB">
            <w:pPr>
              <w:spacing w:before="60" w:after="60"/>
              <w:ind w:left="0"/>
              <w:jc w:val="center"/>
              <w:rPr>
                <w:rFonts w:cs="Arial"/>
                <w:sz w:val="20"/>
                <w:szCs w:val="20"/>
              </w:rPr>
            </w:pPr>
            <w:r>
              <w:rPr>
                <w:rFonts w:cs="Arial"/>
                <w:sz w:val="20"/>
                <w:szCs w:val="20"/>
              </w:rPr>
              <w:t>800 m</w:t>
            </w:r>
          </w:p>
        </w:tc>
        <w:tc>
          <w:tcPr>
            <w:tcW w:w="1096" w:type="dxa"/>
            <w:vAlign w:val="center"/>
          </w:tcPr>
          <w:p w14:paraId="23AD782A" w14:textId="4F9F9257"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097" w:type="dxa"/>
            <w:vAlign w:val="center"/>
          </w:tcPr>
          <w:p w14:paraId="3BD549A7" w14:textId="0DD2A080" w:rsidR="00C74CCD" w:rsidRPr="00134E7C" w:rsidRDefault="004F7D53" w:rsidP="00BD10BB">
            <w:pPr>
              <w:spacing w:before="60" w:after="60" w:line="240" w:lineRule="auto"/>
              <w:ind w:left="0"/>
              <w:jc w:val="center"/>
              <w:rPr>
                <w:rFonts w:cs="Arial"/>
                <w:sz w:val="20"/>
                <w:szCs w:val="20"/>
              </w:rPr>
            </w:pPr>
            <w:r>
              <w:rPr>
                <w:rFonts w:cs="Arial"/>
                <w:sz w:val="20"/>
                <w:szCs w:val="20"/>
              </w:rPr>
              <w:t>600 m</w:t>
            </w:r>
          </w:p>
        </w:tc>
        <w:tc>
          <w:tcPr>
            <w:tcW w:w="1027" w:type="dxa"/>
            <w:vAlign w:val="center"/>
          </w:tcPr>
          <w:p w14:paraId="03FD0599" w14:textId="4F2C90A2"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166" w:type="dxa"/>
            <w:vAlign w:val="center"/>
          </w:tcPr>
          <w:p w14:paraId="00775D1F" w14:textId="633577CD" w:rsidR="00C74CCD" w:rsidRPr="00134E7C" w:rsidRDefault="004F7D53" w:rsidP="00BD10BB">
            <w:pPr>
              <w:spacing w:before="60" w:after="60" w:line="240" w:lineRule="auto"/>
              <w:ind w:left="0"/>
              <w:jc w:val="center"/>
              <w:rPr>
                <w:rFonts w:cs="Arial"/>
                <w:sz w:val="20"/>
                <w:szCs w:val="20"/>
              </w:rPr>
            </w:pPr>
            <w:r>
              <w:rPr>
                <w:rFonts w:cs="Arial"/>
                <w:sz w:val="20"/>
                <w:szCs w:val="20"/>
              </w:rPr>
              <w:t>9,900 m</w:t>
            </w:r>
          </w:p>
        </w:tc>
        <w:tc>
          <w:tcPr>
            <w:tcW w:w="960" w:type="dxa"/>
            <w:vAlign w:val="center"/>
          </w:tcPr>
          <w:p w14:paraId="7E4D3FAD" w14:textId="5149DAE8"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33" w:type="dxa"/>
            <w:vAlign w:val="center"/>
          </w:tcPr>
          <w:p w14:paraId="7E3C0C61" w14:textId="0BE00180" w:rsidR="00C74CCD" w:rsidRPr="00134E7C" w:rsidRDefault="004F7D53" w:rsidP="00BD10BB">
            <w:pPr>
              <w:spacing w:before="60" w:after="60" w:line="240" w:lineRule="auto"/>
              <w:ind w:left="0"/>
              <w:jc w:val="center"/>
              <w:rPr>
                <w:rFonts w:cs="Arial"/>
                <w:sz w:val="20"/>
                <w:szCs w:val="20"/>
              </w:rPr>
            </w:pPr>
            <w:r>
              <w:rPr>
                <w:rFonts w:cs="Arial"/>
                <w:sz w:val="20"/>
                <w:szCs w:val="20"/>
              </w:rPr>
              <w:t>11,300 m</w:t>
            </w:r>
          </w:p>
        </w:tc>
        <w:tc>
          <w:tcPr>
            <w:tcW w:w="894" w:type="dxa"/>
            <w:vAlign w:val="center"/>
          </w:tcPr>
          <w:p w14:paraId="54E8ED3F" w14:textId="07F43CE7"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99" w:type="dxa"/>
            <w:vAlign w:val="center"/>
          </w:tcPr>
          <w:p w14:paraId="60B3E630" w14:textId="7ED2A604" w:rsidR="00C74CCD" w:rsidRPr="00134E7C" w:rsidRDefault="004F7D53" w:rsidP="00BD10BB">
            <w:pPr>
              <w:spacing w:before="60" w:after="60" w:line="240" w:lineRule="auto"/>
              <w:ind w:left="0"/>
              <w:jc w:val="center"/>
              <w:rPr>
                <w:rFonts w:cs="Arial"/>
                <w:sz w:val="20"/>
                <w:szCs w:val="20"/>
              </w:rPr>
            </w:pPr>
            <w:r>
              <w:rPr>
                <w:rFonts w:cs="Arial"/>
                <w:sz w:val="20"/>
                <w:szCs w:val="20"/>
              </w:rPr>
              <w:t>12,300 m</w:t>
            </w:r>
          </w:p>
        </w:tc>
        <w:tc>
          <w:tcPr>
            <w:tcW w:w="969" w:type="dxa"/>
            <w:vAlign w:val="center"/>
          </w:tcPr>
          <w:p w14:paraId="1969B79C" w14:textId="3B494C5A"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24" w:type="dxa"/>
            <w:vAlign w:val="center"/>
          </w:tcPr>
          <w:p w14:paraId="7092BC0A" w14:textId="1F80C54E" w:rsidR="00C74CCD" w:rsidRPr="00134E7C" w:rsidRDefault="004F7D53" w:rsidP="00BD10BB">
            <w:pPr>
              <w:spacing w:before="60" w:after="60" w:line="240" w:lineRule="auto"/>
              <w:ind w:left="0"/>
              <w:jc w:val="center"/>
              <w:rPr>
                <w:rFonts w:cs="Arial"/>
                <w:sz w:val="20"/>
                <w:szCs w:val="20"/>
              </w:rPr>
            </w:pPr>
            <w:r>
              <w:rPr>
                <w:rFonts w:cs="Arial"/>
                <w:sz w:val="20"/>
                <w:szCs w:val="20"/>
              </w:rPr>
              <w:t>12,500 m</w:t>
            </w:r>
          </w:p>
        </w:tc>
      </w:tr>
      <w:tr w:rsidR="00C74CCD" w14:paraId="1F844ADC" w14:textId="77777777" w:rsidTr="00592E4B">
        <w:tc>
          <w:tcPr>
            <w:tcW w:w="1074" w:type="dxa"/>
            <w:vAlign w:val="center"/>
          </w:tcPr>
          <w:p w14:paraId="12B13E0A" w14:textId="77777777" w:rsidR="00C74CCD" w:rsidRPr="00134E7C" w:rsidRDefault="00C74CCD" w:rsidP="00BD10BB">
            <w:pPr>
              <w:spacing w:before="60" w:after="60" w:line="240" w:lineRule="auto"/>
              <w:ind w:left="0"/>
              <w:rPr>
                <w:rFonts w:cs="Arial"/>
                <w:sz w:val="20"/>
                <w:szCs w:val="20"/>
              </w:rPr>
            </w:pPr>
            <w:r w:rsidRPr="00134E7C">
              <w:rPr>
                <w:rFonts w:cs="Arial"/>
                <w:sz w:val="20"/>
                <w:szCs w:val="20"/>
              </w:rPr>
              <w:t>5</w:t>
            </w:r>
          </w:p>
        </w:tc>
        <w:tc>
          <w:tcPr>
            <w:tcW w:w="1096" w:type="dxa"/>
            <w:vAlign w:val="center"/>
          </w:tcPr>
          <w:p w14:paraId="6BD248A3" w14:textId="5326E555" w:rsidR="00C74CCD" w:rsidRPr="00134E7C" w:rsidRDefault="00C74CCD" w:rsidP="00BD10BB">
            <w:pPr>
              <w:spacing w:before="60" w:after="60" w:line="240" w:lineRule="auto"/>
              <w:ind w:left="0"/>
              <w:jc w:val="center"/>
              <w:rPr>
                <w:rFonts w:cs="Arial"/>
                <w:sz w:val="20"/>
                <w:szCs w:val="20"/>
              </w:rPr>
            </w:pPr>
            <w:r w:rsidRPr="00134E7C">
              <w:rPr>
                <w:rFonts w:cs="Arial"/>
                <w:sz w:val="20"/>
                <w:szCs w:val="20"/>
              </w:rPr>
              <w:t>3,000 m</w:t>
            </w:r>
          </w:p>
        </w:tc>
        <w:tc>
          <w:tcPr>
            <w:tcW w:w="1097" w:type="dxa"/>
            <w:vAlign w:val="center"/>
          </w:tcPr>
          <w:p w14:paraId="34A5CFD0" w14:textId="7399F531" w:rsidR="00C74CCD" w:rsidRPr="00134E7C" w:rsidRDefault="00BD10BB" w:rsidP="00BD10BB">
            <w:pPr>
              <w:spacing w:before="60" w:after="60"/>
              <w:ind w:left="0"/>
              <w:jc w:val="center"/>
              <w:rPr>
                <w:rFonts w:cs="Arial"/>
                <w:sz w:val="20"/>
                <w:szCs w:val="20"/>
              </w:rPr>
            </w:pPr>
            <w:r>
              <w:rPr>
                <w:rFonts w:cs="Arial"/>
                <w:sz w:val="20"/>
                <w:szCs w:val="20"/>
              </w:rPr>
              <w:t>N/A</w:t>
            </w:r>
          </w:p>
        </w:tc>
        <w:tc>
          <w:tcPr>
            <w:tcW w:w="1096" w:type="dxa"/>
            <w:vAlign w:val="center"/>
          </w:tcPr>
          <w:p w14:paraId="729149E3" w14:textId="37BDF7C9" w:rsidR="00C74CCD" w:rsidRPr="00134E7C" w:rsidRDefault="00C74CCD" w:rsidP="00BD10BB">
            <w:pPr>
              <w:spacing w:before="60" w:after="60" w:line="240" w:lineRule="auto"/>
              <w:ind w:left="0"/>
              <w:jc w:val="center"/>
              <w:rPr>
                <w:rFonts w:cs="Arial"/>
                <w:sz w:val="20"/>
                <w:szCs w:val="20"/>
              </w:rPr>
            </w:pPr>
            <w:r>
              <w:rPr>
                <w:rFonts w:cs="Arial"/>
                <w:sz w:val="20"/>
                <w:szCs w:val="20"/>
              </w:rPr>
              <w:t>750 m</w:t>
            </w:r>
          </w:p>
        </w:tc>
        <w:tc>
          <w:tcPr>
            <w:tcW w:w="1097" w:type="dxa"/>
            <w:vAlign w:val="center"/>
          </w:tcPr>
          <w:p w14:paraId="582231A8" w14:textId="30DC247A" w:rsidR="00C74CCD" w:rsidRPr="00134E7C" w:rsidRDefault="00BD10BB" w:rsidP="00BD10BB">
            <w:pPr>
              <w:spacing w:before="60" w:after="60" w:line="240" w:lineRule="auto"/>
              <w:ind w:left="0"/>
              <w:jc w:val="center"/>
              <w:rPr>
                <w:rFonts w:cs="Arial"/>
                <w:sz w:val="20"/>
                <w:szCs w:val="20"/>
              </w:rPr>
            </w:pPr>
            <w:r>
              <w:rPr>
                <w:rFonts w:cs="Arial"/>
                <w:sz w:val="20"/>
                <w:szCs w:val="20"/>
              </w:rPr>
              <w:t>N/A</w:t>
            </w:r>
          </w:p>
        </w:tc>
        <w:tc>
          <w:tcPr>
            <w:tcW w:w="1027" w:type="dxa"/>
            <w:vAlign w:val="center"/>
          </w:tcPr>
          <w:p w14:paraId="40E1A0D5" w14:textId="7BB56DB1"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166" w:type="dxa"/>
            <w:vAlign w:val="center"/>
          </w:tcPr>
          <w:p w14:paraId="32D7E4BB" w14:textId="1541E298" w:rsidR="00C74CCD" w:rsidRPr="00134E7C" w:rsidRDefault="004F7D53" w:rsidP="00BD10BB">
            <w:pPr>
              <w:spacing w:before="60" w:after="60" w:line="240" w:lineRule="auto"/>
              <w:ind w:left="0"/>
              <w:jc w:val="center"/>
              <w:rPr>
                <w:rFonts w:cs="Arial"/>
                <w:sz w:val="20"/>
                <w:szCs w:val="20"/>
              </w:rPr>
            </w:pPr>
            <w:r>
              <w:rPr>
                <w:rFonts w:cs="Arial"/>
                <w:sz w:val="20"/>
                <w:szCs w:val="20"/>
              </w:rPr>
              <w:t>150 m</w:t>
            </w:r>
          </w:p>
        </w:tc>
        <w:tc>
          <w:tcPr>
            <w:tcW w:w="960" w:type="dxa"/>
            <w:vAlign w:val="center"/>
          </w:tcPr>
          <w:p w14:paraId="2648BCB8" w14:textId="195FD25F"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33" w:type="dxa"/>
            <w:vAlign w:val="center"/>
          </w:tcPr>
          <w:p w14:paraId="1F6EA696" w14:textId="2BA640ED" w:rsidR="00C74CCD" w:rsidRPr="00134E7C" w:rsidRDefault="004F7D53" w:rsidP="00BD10BB">
            <w:pPr>
              <w:spacing w:before="60" w:after="60" w:line="240" w:lineRule="auto"/>
              <w:ind w:left="0"/>
              <w:jc w:val="center"/>
              <w:rPr>
                <w:rFonts w:cs="Arial"/>
                <w:sz w:val="20"/>
                <w:szCs w:val="20"/>
              </w:rPr>
            </w:pPr>
            <w:r>
              <w:rPr>
                <w:rFonts w:cs="Arial"/>
                <w:sz w:val="20"/>
                <w:szCs w:val="20"/>
              </w:rPr>
              <w:t>780 m</w:t>
            </w:r>
          </w:p>
        </w:tc>
        <w:tc>
          <w:tcPr>
            <w:tcW w:w="894" w:type="dxa"/>
            <w:vAlign w:val="center"/>
          </w:tcPr>
          <w:p w14:paraId="3A025567" w14:textId="3FD10FE8"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99" w:type="dxa"/>
            <w:vAlign w:val="center"/>
          </w:tcPr>
          <w:p w14:paraId="72F99B5C" w14:textId="7237D2AC" w:rsidR="00C74CCD" w:rsidRPr="00134E7C" w:rsidRDefault="004F7D53" w:rsidP="00BD10BB">
            <w:pPr>
              <w:spacing w:before="60" w:after="60" w:line="240" w:lineRule="auto"/>
              <w:ind w:left="0"/>
              <w:jc w:val="center"/>
              <w:rPr>
                <w:rFonts w:cs="Arial"/>
                <w:sz w:val="20"/>
                <w:szCs w:val="20"/>
              </w:rPr>
            </w:pPr>
            <w:r>
              <w:rPr>
                <w:rFonts w:cs="Arial"/>
                <w:sz w:val="20"/>
                <w:szCs w:val="20"/>
              </w:rPr>
              <w:t>1,500 m</w:t>
            </w:r>
          </w:p>
        </w:tc>
        <w:tc>
          <w:tcPr>
            <w:tcW w:w="969" w:type="dxa"/>
            <w:vAlign w:val="center"/>
          </w:tcPr>
          <w:p w14:paraId="7F1C5D74" w14:textId="0602DB4F"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24" w:type="dxa"/>
            <w:vAlign w:val="center"/>
          </w:tcPr>
          <w:p w14:paraId="6CCA1493" w14:textId="2A1E16AE" w:rsidR="00C74CCD" w:rsidRPr="00134E7C" w:rsidRDefault="004F7D53" w:rsidP="00BD10BB">
            <w:pPr>
              <w:spacing w:before="60" w:after="60" w:line="240" w:lineRule="auto"/>
              <w:ind w:left="0"/>
              <w:jc w:val="center"/>
              <w:rPr>
                <w:rFonts w:cs="Arial"/>
                <w:sz w:val="20"/>
                <w:szCs w:val="20"/>
              </w:rPr>
            </w:pPr>
            <w:r>
              <w:rPr>
                <w:rFonts w:cs="Arial"/>
                <w:sz w:val="20"/>
                <w:szCs w:val="20"/>
              </w:rPr>
              <w:t>1,900 m</w:t>
            </w:r>
          </w:p>
        </w:tc>
      </w:tr>
      <w:tr w:rsidR="00C74CCD" w14:paraId="455ACBDA" w14:textId="77777777" w:rsidTr="00592E4B">
        <w:tc>
          <w:tcPr>
            <w:tcW w:w="1074" w:type="dxa"/>
            <w:vAlign w:val="center"/>
          </w:tcPr>
          <w:p w14:paraId="31388C5A" w14:textId="77777777" w:rsidR="00C74CCD" w:rsidRPr="00134E7C" w:rsidRDefault="00C74CCD" w:rsidP="00BD10BB">
            <w:pPr>
              <w:spacing w:before="60" w:after="60" w:line="240" w:lineRule="auto"/>
              <w:ind w:left="0"/>
              <w:rPr>
                <w:rFonts w:cs="Arial"/>
                <w:sz w:val="20"/>
                <w:szCs w:val="20"/>
              </w:rPr>
            </w:pPr>
            <w:r w:rsidRPr="00134E7C">
              <w:rPr>
                <w:rFonts w:cs="Arial"/>
                <w:sz w:val="20"/>
                <w:szCs w:val="20"/>
              </w:rPr>
              <w:t>6</w:t>
            </w:r>
          </w:p>
        </w:tc>
        <w:tc>
          <w:tcPr>
            <w:tcW w:w="1096" w:type="dxa"/>
            <w:vAlign w:val="center"/>
          </w:tcPr>
          <w:p w14:paraId="61C34C13" w14:textId="542E2A9E" w:rsidR="00C74CCD" w:rsidRPr="00134E7C" w:rsidRDefault="00C74CCD" w:rsidP="00BD10BB">
            <w:pPr>
              <w:spacing w:before="60" w:after="60" w:line="240" w:lineRule="auto"/>
              <w:ind w:left="0"/>
              <w:jc w:val="center"/>
              <w:rPr>
                <w:rFonts w:cs="Arial"/>
                <w:sz w:val="20"/>
                <w:szCs w:val="20"/>
              </w:rPr>
            </w:pPr>
            <w:r w:rsidRPr="00134E7C">
              <w:rPr>
                <w:rFonts w:cs="Arial"/>
                <w:sz w:val="20"/>
                <w:szCs w:val="20"/>
              </w:rPr>
              <w:t>2,250 m</w:t>
            </w:r>
          </w:p>
        </w:tc>
        <w:tc>
          <w:tcPr>
            <w:tcW w:w="1097" w:type="dxa"/>
            <w:vAlign w:val="center"/>
          </w:tcPr>
          <w:p w14:paraId="616D1589" w14:textId="74604076" w:rsidR="00C74CCD" w:rsidRPr="00134E7C" w:rsidRDefault="00BD10BB" w:rsidP="00BD10BB">
            <w:pPr>
              <w:spacing w:before="60" w:after="60" w:line="240" w:lineRule="auto"/>
              <w:ind w:left="0"/>
              <w:jc w:val="center"/>
              <w:rPr>
                <w:rFonts w:cs="Arial"/>
                <w:sz w:val="20"/>
                <w:szCs w:val="20"/>
              </w:rPr>
            </w:pPr>
            <w:r>
              <w:rPr>
                <w:rFonts w:cs="Arial"/>
                <w:sz w:val="20"/>
                <w:szCs w:val="20"/>
              </w:rPr>
              <w:t>N/A</w:t>
            </w:r>
          </w:p>
        </w:tc>
        <w:tc>
          <w:tcPr>
            <w:tcW w:w="1096" w:type="dxa"/>
            <w:vAlign w:val="center"/>
          </w:tcPr>
          <w:p w14:paraId="324026DC" w14:textId="0DD7AE3E" w:rsidR="00C74CCD" w:rsidRPr="00134E7C" w:rsidRDefault="00C74CCD" w:rsidP="00BD10BB">
            <w:pPr>
              <w:spacing w:before="60" w:after="60" w:line="240" w:lineRule="auto"/>
              <w:ind w:left="0"/>
              <w:jc w:val="center"/>
              <w:rPr>
                <w:rFonts w:cs="Arial"/>
                <w:sz w:val="20"/>
                <w:szCs w:val="20"/>
              </w:rPr>
            </w:pPr>
            <w:r>
              <w:rPr>
                <w:rFonts w:cs="Arial"/>
                <w:sz w:val="20"/>
                <w:szCs w:val="20"/>
              </w:rPr>
              <w:t>600 m</w:t>
            </w:r>
          </w:p>
        </w:tc>
        <w:tc>
          <w:tcPr>
            <w:tcW w:w="1097" w:type="dxa"/>
            <w:vAlign w:val="center"/>
          </w:tcPr>
          <w:p w14:paraId="30E0157E" w14:textId="08703B09" w:rsidR="00C74CCD" w:rsidRPr="00134E7C" w:rsidRDefault="00BD10BB" w:rsidP="00BD10BB">
            <w:pPr>
              <w:spacing w:before="60" w:after="60" w:line="240" w:lineRule="auto"/>
              <w:ind w:left="0"/>
              <w:jc w:val="center"/>
              <w:rPr>
                <w:rFonts w:cs="Arial"/>
                <w:sz w:val="20"/>
                <w:szCs w:val="20"/>
              </w:rPr>
            </w:pPr>
            <w:r>
              <w:rPr>
                <w:rFonts w:cs="Arial"/>
                <w:sz w:val="20"/>
                <w:szCs w:val="20"/>
              </w:rPr>
              <w:t>N/A</w:t>
            </w:r>
          </w:p>
        </w:tc>
        <w:tc>
          <w:tcPr>
            <w:tcW w:w="1027" w:type="dxa"/>
            <w:vAlign w:val="center"/>
          </w:tcPr>
          <w:p w14:paraId="72040577" w14:textId="7A3E0D24"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166" w:type="dxa"/>
            <w:vAlign w:val="center"/>
          </w:tcPr>
          <w:p w14:paraId="1FA54BC2" w14:textId="1B9EA302" w:rsidR="00C74CCD" w:rsidRPr="00134E7C" w:rsidRDefault="004F7D53" w:rsidP="00BD10BB">
            <w:pPr>
              <w:spacing w:before="60" w:after="60" w:line="240" w:lineRule="auto"/>
              <w:ind w:left="0"/>
              <w:jc w:val="center"/>
              <w:rPr>
                <w:rFonts w:cs="Arial"/>
                <w:sz w:val="20"/>
                <w:szCs w:val="20"/>
              </w:rPr>
            </w:pPr>
            <w:r>
              <w:rPr>
                <w:rFonts w:cs="Arial"/>
                <w:sz w:val="20"/>
                <w:szCs w:val="20"/>
              </w:rPr>
              <w:t>145 m</w:t>
            </w:r>
          </w:p>
        </w:tc>
        <w:tc>
          <w:tcPr>
            <w:tcW w:w="960" w:type="dxa"/>
            <w:vAlign w:val="center"/>
          </w:tcPr>
          <w:p w14:paraId="2AE72E49" w14:textId="0C16430F"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33" w:type="dxa"/>
            <w:vAlign w:val="center"/>
          </w:tcPr>
          <w:p w14:paraId="235801CF" w14:textId="24158B22" w:rsidR="00C74CCD" w:rsidRPr="00134E7C" w:rsidRDefault="004F7D53" w:rsidP="00BD10BB">
            <w:pPr>
              <w:spacing w:before="60" w:after="60" w:line="240" w:lineRule="auto"/>
              <w:ind w:left="0"/>
              <w:jc w:val="center"/>
              <w:rPr>
                <w:rFonts w:cs="Arial"/>
                <w:sz w:val="20"/>
                <w:szCs w:val="20"/>
              </w:rPr>
            </w:pPr>
            <w:r>
              <w:rPr>
                <w:rFonts w:cs="Arial"/>
                <w:sz w:val="20"/>
                <w:szCs w:val="20"/>
              </w:rPr>
              <w:t>650 m</w:t>
            </w:r>
          </w:p>
        </w:tc>
        <w:tc>
          <w:tcPr>
            <w:tcW w:w="894" w:type="dxa"/>
            <w:vAlign w:val="center"/>
          </w:tcPr>
          <w:p w14:paraId="388B9A44" w14:textId="525C14A4"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99" w:type="dxa"/>
            <w:vAlign w:val="center"/>
          </w:tcPr>
          <w:p w14:paraId="024A1BC0" w14:textId="629A0DFD" w:rsidR="00C74CCD" w:rsidRPr="00134E7C" w:rsidRDefault="004F7D53" w:rsidP="00BD10BB">
            <w:pPr>
              <w:spacing w:before="60" w:after="60" w:line="240" w:lineRule="auto"/>
              <w:ind w:left="0"/>
              <w:jc w:val="center"/>
              <w:rPr>
                <w:rFonts w:cs="Arial"/>
                <w:sz w:val="20"/>
                <w:szCs w:val="20"/>
              </w:rPr>
            </w:pPr>
            <w:r>
              <w:rPr>
                <w:rFonts w:cs="Arial"/>
                <w:sz w:val="20"/>
                <w:szCs w:val="20"/>
              </w:rPr>
              <w:t>1,400 m</w:t>
            </w:r>
          </w:p>
        </w:tc>
        <w:tc>
          <w:tcPr>
            <w:tcW w:w="969" w:type="dxa"/>
            <w:vAlign w:val="center"/>
          </w:tcPr>
          <w:p w14:paraId="7AEBF2EF" w14:textId="36A42B89" w:rsidR="00C74CCD" w:rsidRPr="00134E7C" w:rsidRDefault="00C74CCD" w:rsidP="00BD10BB">
            <w:pPr>
              <w:spacing w:before="60" w:after="60" w:line="240" w:lineRule="auto"/>
              <w:ind w:left="0"/>
              <w:jc w:val="center"/>
              <w:rPr>
                <w:rFonts w:cs="Arial"/>
                <w:sz w:val="20"/>
                <w:szCs w:val="20"/>
              </w:rPr>
            </w:pPr>
            <w:r>
              <w:rPr>
                <w:rFonts w:cs="Arial"/>
                <w:sz w:val="20"/>
                <w:szCs w:val="20"/>
              </w:rPr>
              <w:t>0</w:t>
            </w:r>
          </w:p>
        </w:tc>
        <w:tc>
          <w:tcPr>
            <w:tcW w:w="1224" w:type="dxa"/>
            <w:vAlign w:val="center"/>
          </w:tcPr>
          <w:p w14:paraId="7017350B" w14:textId="5F58E6C7" w:rsidR="00C74CCD" w:rsidRPr="00134E7C" w:rsidRDefault="004F7D53" w:rsidP="00BD10BB">
            <w:pPr>
              <w:spacing w:before="60" w:after="60" w:line="240" w:lineRule="auto"/>
              <w:ind w:left="0"/>
              <w:jc w:val="center"/>
              <w:rPr>
                <w:rFonts w:cs="Arial"/>
                <w:sz w:val="20"/>
                <w:szCs w:val="20"/>
              </w:rPr>
            </w:pPr>
            <w:r>
              <w:rPr>
                <w:rFonts w:cs="Arial"/>
                <w:sz w:val="20"/>
                <w:szCs w:val="20"/>
              </w:rPr>
              <w:t>1,600 m</w:t>
            </w:r>
          </w:p>
        </w:tc>
      </w:tr>
    </w:tbl>
    <w:p w14:paraId="5FAB9E1A" w14:textId="71233FA4" w:rsidR="00381F2C" w:rsidRDefault="00381F2C" w:rsidP="00134E7C">
      <w:pPr>
        <w:tabs>
          <w:tab w:val="left" w:pos="1074"/>
          <w:tab w:val="left" w:pos="2170"/>
          <w:tab w:val="left" w:pos="3267"/>
          <w:tab w:val="left" w:pos="4363"/>
          <w:tab w:val="left" w:pos="5460"/>
          <w:tab w:val="left" w:pos="6556"/>
          <w:tab w:val="left" w:pos="7653"/>
          <w:tab w:val="left" w:pos="8749"/>
          <w:tab w:val="left" w:pos="9846"/>
          <w:tab w:val="left" w:pos="10942"/>
          <w:tab w:val="left" w:pos="12039"/>
          <w:tab w:val="left" w:pos="13135"/>
        </w:tabs>
        <w:spacing w:before="60" w:after="60" w:line="240" w:lineRule="auto"/>
        <w:ind w:left="0"/>
        <w:rPr>
          <w:rFonts w:cs="Arial"/>
          <w:sz w:val="20"/>
          <w:szCs w:val="20"/>
        </w:rPr>
      </w:pPr>
      <w:r>
        <w:rPr>
          <w:rFonts w:cs="Arial"/>
          <w:sz w:val="20"/>
          <w:szCs w:val="20"/>
        </w:rPr>
        <w:t xml:space="preserve">L = length of shore </w:t>
      </w:r>
      <w:r w:rsidR="004F7D53">
        <w:rPr>
          <w:rFonts w:cs="Arial"/>
          <w:sz w:val="20"/>
          <w:szCs w:val="20"/>
        </w:rPr>
        <w:t>intersected (</w:t>
      </w:r>
      <w:r>
        <w:rPr>
          <w:rFonts w:cs="Arial"/>
          <w:sz w:val="20"/>
          <w:szCs w:val="20"/>
        </w:rPr>
        <w:t>in metres</w:t>
      </w:r>
      <w:r w:rsidR="004F7D53">
        <w:rPr>
          <w:rFonts w:cs="Arial"/>
          <w:sz w:val="20"/>
          <w:szCs w:val="20"/>
        </w:rPr>
        <w:t>)</w:t>
      </w:r>
      <w:r w:rsidR="005B4C9E">
        <w:rPr>
          <w:rFonts w:cs="Arial"/>
          <w:sz w:val="20"/>
          <w:szCs w:val="20"/>
        </w:rPr>
        <w:t>.</w:t>
      </w:r>
    </w:p>
    <w:p w14:paraId="78CB4966" w14:textId="43B42604" w:rsidR="00BD10BB" w:rsidRDefault="00381F2C" w:rsidP="00134E7C">
      <w:pPr>
        <w:tabs>
          <w:tab w:val="left" w:pos="1074"/>
          <w:tab w:val="left" w:pos="2170"/>
          <w:tab w:val="left" w:pos="3267"/>
          <w:tab w:val="left" w:pos="4363"/>
          <w:tab w:val="left" w:pos="5460"/>
          <w:tab w:val="left" w:pos="6556"/>
          <w:tab w:val="left" w:pos="7653"/>
          <w:tab w:val="left" w:pos="8749"/>
          <w:tab w:val="left" w:pos="9846"/>
          <w:tab w:val="left" w:pos="10942"/>
          <w:tab w:val="left" w:pos="12039"/>
          <w:tab w:val="left" w:pos="13135"/>
        </w:tabs>
        <w:spacing w:before="60" w:after="60" w:line="240" w:lineRule="auto"/>
        <w:ind w:left="0"/>
        <w:rPr>
          <w:rFonts w:cs="Arial"/>
          <w:sz w:val="20"/>
          <w:szCs w:val="20"/>
        </w:rPr>
      </w:pPr>
      <w:r>
        <w:rPr>
          <w:rFonts w:cs="Arial"/>
          <w:sz w:val="20"/>
          <w:szCs w:val="20"/>
        </w:rPr>
        <w:t xml:space="preserve">D = distance from shore </w:t>
      </w:r>
      <w:r w:rsidR="004F7D53">
        <w:rPr>
          <w:rFonts w:cs="Arial"/>
          <w:sz w:val="20"/>
          <w:szCs w:val="20"/>
        </w:rPr>
        <w:t>(</w:t>
      </w:r>
      <w:r>
        <w:rPr>
          <w:rFonts w:cs="Arial"/>
          <w:sz w:val="20"/>
          <w:szCs w:val="20"/>
        </w:rPr>
        <w:t>in metres</w:t>
      </w:r>
      <w:r w:rsidR="004F7D53">
        <w:rPr>
          <w:rFonts w:cs="Arial"/>
          <w:sz w:val="20"/>
          <w:szCs w:val="20"/>
        </w:rPr>
        <w:t>)</w:t>
      </w:r>
      <w:r w:rsidR="005B4C9E">
        <w:rPr>
          <w:rFonts w:cs="Arial"/>
          <w:sz w:val="20"/>
          <w:szCs w:val="20"/>
        </w:rPr>
        <w:t>.</w:t>
      </w:r>
    </w:p>
    <w:p w14:paraId="491F6520" w14:textId="52ACA148" w:rsidR="005B4C9E" w:rsidRDefault="00BD10BB" w:rsidP="00134E7C">
      <w:pPr>
        <w:tabs>
          <w:tab w:val="left" w:pos="1074"/>
          <w:tab w:val="left" w:pos="2170"/>
          <w:tab w:val="left" w:pos="3267"/>
          <w:tab w:val="left" w:pos="4363"/>
          <w:tab w:val="left" w:pos="5460"/>
          <w:tab w:val="left" w:pos="6556"/>
          <w:tab w:val="left" w:pos="7653"/>
          <w:tab w:val="left" w:pos="8749"/>
          <w:tab w:val="left" w:pos="9846"/>
          <w:tab w:val="left" w:pos="10942"/>
          <w:tab w:val="left" w:pos="12039"/>
          <w:tab w:val="left" w:pos="13135"/>
        </w:tabs>
        <w:spacing w:before="60" w:after="60" w:line="240" w:lineRule="auto"/>
        <w:ind w:left="0"/>
        <w:rPr>
          <w:rFonts w:cs="Arial"/>
          <w:sz w:val="20"/>
          <w:szCs w:val="20"/>
        </w:rPr>
      </w:pPr>
      <w:r>
        <w:rPr>
          <w:rFonts w:cs="Arial"/>
          <w:sz w:val="20"/>
          <w:szCs w:val="20"/>
        </w:rPr>
        <w:t>N/A = not applicable because of intersection with the shoreline</w:t>
      </w:r>
      <w:r w:rsidR="005B4C9E">
        <w:rPr>
          <w:rFonts w:cs="Arial"/>
          <w:sz w:val="20"/>
          <w:szCs w:val="20"/>
        </w:rPr>
        <w:t>.</w:t>
      </w:r>
    </w:p>
    <w:p w14:paraId="09AD7D46" w14:textId="598E40D3" w:rsidR="00381F2C" w:rsidRPr="00134E7C" w:rsidRDefault="005B4C9E" w:rsidP="00134E7C">
      <w:pPr>
        <w:tabs>
          <w:tab w:val="left" w:pos="1074"/>
          <w:tab w:val="left" w:pos="2170"/>
          <w:tab w:val="left" w:pos="3267"/>
          <w:tab w:val="left" w:pos="4363"/>
          <w:tab w:val="left" w:pos="5460"/>
          <w:tab w:val="left" w:pos="6556"/>
          <w:tab w:val="left" w:pos="7653"/>
          <w:tab w:val="left" w:pos="8749"/>
          <w:tab w:val="left" w:pos="9846"/>
          <w:tab w:val="left" w:pos="10942"/>
          <w:tab w:val="left" w:pos="12039"/>
          <w:tab w:val="left" w:pos="13135"/>
        </w:tabs>
        <w:spacing w:before="60" w:after="60" w:line="240" w:lineRule="auto"/>
        <w:ind w:left="0"/>
        <w:rPr>
          <w:rFonts w:cs="Arial"/>
          <w:sz w:val="20"/>
          <w:szCs w:val="20"/>
        </w:rPr>
      </w:pPr>
      <w:r>
        <w:rPr>
          <w:rFonts w:cs="Arial"/>
          <w:sz w:val="20"/>
          <w:szCs w:val="20"/>
        </w:rPr>
        <w:t xml:space="preserve">* Contour bands relevant to the </w:t>
      </w:r>
      <w:r w:rsidR="00304945">
        <w:rPr>
          <w:rFonts w:cs="Arial"/>
          <w:sz w:val="20"/>
          <w:szCs w:val="20"/>
        </w:rPr>
        <w:t xml:space="preserve">155 </w:t>
      </w:r>
      <w:r w:rsidR="00304945" w:rsidRPr="00304945">
        <w:rPr>
          <w:rFonts w:cs="Arial"/>
          <w:sz w:val="20"/>
          <w:szCs w:val="20"/>
        </w:rPr>
        <w:t>dB re 1 μPa</w:t>
      </w:r>
      <w:r w:rsidR="00304945">
        <w:rPr>
          <w:rFonts w:cs="Arial"/>
          <w:sz w:val="22"/>
          <w:szCs w:val="22"/>
        </w:rPr>
        <w:t xml:space="preserve"> </w:t>
      </w:r>
      <w:r>
        <w:rPr>
          <w:rFonts w:cs="Arial"/>
          <w:sz w:val="20"/>
          <w:szCs w:val="20"/>
        </w:rPr>
        <w:t xml:space="preserve">safety criterion. </w:t>
      </w:r>
      <w:r w:rsidR="00381F2C" w:rsidRPr="00134E7C">
        <w:rPr>
          <w:rFonts w:cs="Arial"/>
          <w:sz w:val="20"/>
          <w:szCs w:val="20"/>
        </w:rPr>
        <w:tab/>
      </w:r>
      <w:r w:rsidR="00381F2C" w:rsidRPr="00134E7C">
        <w:rPr>
          <w:rFonts w:cs="Arial"/>
          <w:sz w:val="20"/>
          <w:szCs w:val="20"/>
        </w:rPr>
        <w:tab/>
      </w:r>
      <w:r w:rsidR="00381F2C" w:rsidRPr="00134E7C">
        <w:rPr>
          <w:rFonts w:cs="Arial"/>
          <w:sz w:val="20"/>
          <w:szCs w:val="20"/>
        </w:rPr>
        <w:tab/>
      </w:r>
      <w:r w:rsidR="00381F2C">
        <w:rPr>
          <w:rFonts w:cs="Arial"/>
          <w:sz w:val="20"/>
          <w:szCs w:val="20"/>
        </w:rPr>
        <w:tab/>
      </w:r>
      <w:r w:rsidR="00381F2C" w:rsidRPr="00134E7C">
        <w:rPr>
          <w:rFonts w:cs="Arial"/>
          <w:sz w:val="20"/>
          <w:szCs w:val="20"/>
        </w:rPr>
        <w:tab/>
      </w:r>
      <w:r w:rsidR="00381F2C">
        <w:rPr>
          <w:rFonts w:cs="Arial"/>
          <w:sz w:val="20"/>
          <w:szCs w:val="20"/>
        </w:rPr>
        <w:tab/>
      </w:r>
      <w:r w:rsidR="00381F2C" w:rsidRPr="00134E7C">
        <w:rPr>
          <w:rFonts w:cs="Arial"/>
          <w:sz w:val="20"/>
          <w:szCs w:val="20"/>
        </w:rPr>
        <w:tab/>
      </w:r>
      <w:r w:rsidR="00381F2C">
        <w:rPr>
          <w:rFonts w:cs="Arial"/>
          <w:sz w:val="20"/>
          <w:szCs w:val="20"/>
        </w:rPr>
        <w:tab/>
      </w:r>
      <w:r w:rsidR="00381F2C" w:rsidRPr="00134E7C">
        <w:rPr>
          <w:rFonts w:cs="Arial"/>
          <w:sz w:val="20"/>
          <w:szCs w:val="20"/>
        </w:rPr>
        <w:tab/>
      </w:r>
      <w:r w:rsidR="00381F2C">
        <w:rPr>
          <w:rFonts w:cs="Arial"/>
          <w:sz w:val="20"/>
          <w:szCs w:val="20"/>
        </w:rPr>
        <w:tab/>
      </w:r>
      <w:r w:rsidR="00381F2C" w:rsidRPr="00134E7C">
        <w:rPr>
          <w:rFonts w:cs="Arial"/>
          <w:sz w:val="20"/>
          <w:szCs w:val="20"/>
        </w:rPr>
        <w:tab/>
      </w:r>
      <w:r w:rsidR="00381F2C">
        <w:rPr>
          <w:rFonts w:cs="Arial"/>
          <w:sz w:val="20"/>
          <w:szCs w:val="20"/>
        </w:rPr>
        <w:tab/>
      </w:r>
    </w:p>
    <w:p w14:paraId="6EB5066B" w14:textId="77777777" w:rsidR="00134E7C" w:rsidRDefault="00134E7C" w:rsidP="00C80F2B">
      <w:pPr>
        <w:ind w:left="0"/>
        <w:rPr>
          <w:rFonts w:cs="Arial"/>
          <w:sz w:val="22"/>
          <w:szCs w:val="22"/>
        </w:rPr>
        <w:sectPr w:rsidR="00134E7C" w:rsidSect="00134E7C">
          <w:headerReference w:type="even" r:id="rId292"/>
          <w:headerReference w:type="default" r:id="rId293"/>
          <w:footerReference w:type="default" r:id="rId294"/>
          <w:headerReference w:type="first" r:id="rId295"/>
          <w:pgSz w:w="16838" w:h="11906" w:orient="landscape" w:code="9"/>
          <w:pgMar w:top="1800" w:right="1382" w:bottom="1800" w:left="1440" w:header="994" w:footer="706" w:gutter="0"/>
          <w:cols w:space="708"/>
          <w:docGrid w:linePitch="360"/>
        </w:sectPr>
      </w:pPr>
    </w:p>
    <w:p w14:paraId="55E56311" w14:textId="3F720D22" w:rsidR="00C80F2B" w:rsidRDefault="00A42197" w:rsidP="00B430B1">
      <w:pPr>
        <w:ind w:left="0"/>
        <w:rPr>
          <w:rFonts w:cs="Arial"/>
          <w:sz w:val="22"/>
          <w:szCs w:val="22"/>
        </w:rPr>
      </w:pPr>
      <w:r w:rsidRPr="00016D52">
        <w:rPr>
          <w:rFonts w:cs="Arial"/>
          <w:sz w:val="22"/>
          <w:szCs w:val="22"/>
        </w:rPr>
        <w:lastRenderedPageBreak/>
        <w:t>The absence of shipwrecks within the operational area and immediate surrounds, and the absence of notable reefs (along with the absence of dive shops in towns adjacent to the survey area, such as Golden Beach and Seaspray) suggest that diving is unlikely to be a popular recreational (or commercial) pursuit in the operational area. As such, impacts to divers from the proposed survey are likely to be negligible</w:t>
      </w:r>
      <w:r>
        <w:rPr>
          <w:rFonts w:cs="Arial"/>
          <w:sz w:val="22"/>
          <w:szCs w:val="22"/>
        </w:rPr>
        <w:t>.</w:t>
      </w:r>
    </w:p>
    <w:p w14:paraId="64EB69FD" w14:textId="6C4EA2C3" w:rsidR="00C6464F" w:rsidRDefault="00C6464F" w:rsidP="00B430B1">
      <w:pPr>
        <w:ind w:left="0"/>
        <w:rPr>
          <w:rFonts w:cs="Arial"/>
          <w:sz w:val="22"/>
          <w:szCs w:val="22"/>
        </w:rPr>
      </w:pPr>
    </w:p>
    <w:p w14:paraId="72CA734F" w14:textId="16355853" w:rsidR="00B430B1" w:rsidRDefault="007702E8" w:rsidP="00B430B1">
      <w:pPr>
        <w:pStyle w:val="Heading3"/>
      </w:pPr>
      <w:bookmarkStart w:id="1143" w:name="_Toc501231360"/>
      <w:bookmarkStart w:id="1144" w:name="_Toc501313151"/>
      <w:bookmarkStart w:id="1145" w:name="_Toc501231361"/>
      <w:bookmarkStart w:id="1146" w:name="_Toc501313152"/>
      <w:bookmarkStart w:id="1147" w:name="_Toc501231362"/>
      <w:bookmarkStart w:id="1148" w:name="_Toc501313153"/>
      <w:bookmarkStart w:id="1149" w:name="_Toc501231363"/>
      <w:bookmarkStart w:id="1150" w:name="_Toc501313154"/>
      <w:bookmarkStart w:id="1151" w:name="_Toc501231382"/>
      <w:bookmarkStart w:id="1152" w:name="_Toc501313173"/>
      <w:bookmarkStart w:id="1153" w:name="_Toc501231383"/>
      <w:bookmarkStart w:id="1154" w:name="_Toc501313174"/>
      <w:bookmarkStart w:id="1155" w:name="_Toc501231384"/>
      <w:bookmarkStart w:id="1156" w:name="_Toc501313175"/>
      <w:bookmarkStart w:id="1157" w:name="_Toc501231385"/>
      <w:bookmarkStart w:id="1158" w:name="_Toc501313176"/>
      <w:bookmarkStart w:id="1159" w:name="_Toc501231411"/>
      <w:bookmarkStart w:id="1160" w:name="_Toc501313202"/>
      <w:bookmarkStart w:id="1161" w:name="_Toc496020215"/>
      <w:bookmarkStart w:id="1162" w:name="_Toc501231412"/>
      <w:bookmarkStart w:id="1163" w:name="_Toc501313203"/>
      <w:bookmarkStart w:id="1164" w:name="_Toc496020216"/>
      <w:bookmarkStart w:id="1165" w:name="_Toc501231413"/>
      <w:bookmarkStart w:id="1166" w:name="_Toc501313204"/>
      <w:bookmarkStart w:id="1167" w:name="_Toc477947930"/>
      <w:bookmarkStart w:id="1168" w:name="_Toc479764145"/>
      <w:bookmarkStart w:id="1169" w:name="_Toc375214640"/>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r>
        <w:t xml:space="preserve">Control Measures &amp; </w:t>
      </w:r>
      <w:r w:rsidR="00B430B1">
        <w:t>Risk Assessment</w:t>
      </w:r>
      <w:bookmarkEnd w:id="1167"/>
      <w:bookmarkEnd w:id="1168"/>
      <w:bookmarkEnd w:id="1169"/>
    </w:p>
    <w:p w14:paraId="165F6E24" w14:textId="04B5D636" w:rsidR="00E40173" w:rsidRDefault="00E40173" w:rsidP="00E40173">
      <w:pPr>
        <w:pStyle w:val="BodyText"/>
        <w:ind w:left="0"/>
        <w:rPr>
          <w:rFonts w:cs="Arial"/>
          <w:sz w:val="22"/>
          <w:szCs w:val="22"/>
        </w:rPr>
      </w:pPr>
      <w:r>
        <w:rPr>
          <w:rFonts w:cs="Arial"/>
          <w:sz w:val="22"/>
          <w:szCs w:val="22"/>
        </w:rPr>
        <w:t xml:space="preserve">The following control measures will be implemented to minimise the risk of underwater sound to swimmers and divers: </w:t>
      </w:r>
    </w:p>
    <w:p w14:paraId="46DE201F" w14:textId="528312D0" w:rsidR="00E40173" w:rsidRPr="00E40173" w:rsidRDefault="00E40173" w:rsidP="00E40173">
      <w:pPr>
        <w:pStyle w:val="ListParagraph0"/>
        <w:numPr>
          <w:ilvl w:val="0"/>
          <w:numId w:val="197"/>
        </w:numPr>
        <w:rPr>
          <w:rFonts w:cs="Arial"/>
          <w:sz w:val="22"/>
          <w:szCs w:val="22"/>
        </w:rPr>
      </w:pPr>
      <w:r w:rsidRPr="00E40173">
        <w:rPr>
          <w:rFonts w:cs="Arial"/>
          <w:sz w:val="22"/>
          <w:szCs w:val="22"/>
        </w:rPr>
        <w:t>The MSS will not take place during the Christmas holiday period (24th December 2017 through to the Australia Day long weekend, ending 28th January 2018) so as to minimise interactions with holidaymakers.</w:t>
      </w:r>
    </w:p>
    <w:p w14:paraId="2093C5DB" w14:textId="601A3068" w:rsidR="00E40173" w:rsidRPr="00E40173" w:rsidRDefault="00E40173" w:rsidP="00E40173">
      <w:pPr>
        <w:pStyle w:val="ListParagraph0"/>
        <w:numPr>
          <w:ilvl w:val="0"/>
          <w:numId w:val="197"/>
        </w:numPr>
        <w:rPr>
          <w:rFonts w:cs="Arial"/>
          <w:sz w:val="22"/>
          <w:szCs w:val="22"/>
        </w:rPr>
      </w:pPr>
      <w:r w:rsidRPr="00E40173">
        <w:rPr>
          <w:rFonts w:cs="Arial"/>
          <w:sz w:val="22"/>
          <w:szCs w:val="22"/>
        </w:rPr>
        <w:t>CarbonNet has consulted and will continue to consult with identified local recreational groups and diving stakeholders so that awareness of hazards to swimmers and divers from the survey are widely known and understood.</w:t>
      </w:r>
    </w:p>
    <w:p w14:paraId="1B7BB57F" w14:textId="26492F73" w:rsidR="00E40173" w:rsidRPr="00E40173" w:rsidRDefault="00E40173" w:rsidP="00E40173">
      <w:pPr>
        <w:pStyle w:val="ListParagraph0"/>
        <w:numPr>
          <w:ilvl w:val="0"/>
          <w:numId w:val="197"/>
        </w:numPr>
        <w:rPr>
          <w:rFonts w:cs="Arial"/>
          <w:sz w:val="22"/>
          <w:szCs w:val="22"/>
        </w:rPr>
      </w:pPr>
      <w:r w:rsidRPr="00E40173">
        <w:rPr>
          <w:rFonts w:cs="Arial"/>
          <w:sz w:val="22"/>
          <w:szCs w:val="22"/>
        </w:rPr>
        <w:t xml:space="preserve">Before and during the survey, swimmers and divers </w:t>
      </w:r>
      <w:r>
        <w:rPr>
          <w:rFonts w:cs="Arial"/>
          <w:sz w:val="22"/>
          <w:szCs w:val="22"/>
        </w:rPr>
        <w:t>will be</w:t>
      </w:r>
      <w:r w:rsidRPr="00E40173">
        <w:rPr>
          <w:rFonts w:cs="Arial"/>
          <w:sz w:val="22"/>
          <w:szCs w:val="22"/>
        </w:rPr>
        <w:t xml:space="preserve"> advised that it is recommended that no swimming or diving in beaches adjacent to the survey vessel takes place for the duration of the survey. This will be undertaken by:</w:t>
      </w:r>
    </w:p>
    <w:p w14:paraId="73EE8813" w14:textId="77777777" w:rsidR="00E40173" w:rsidRPr="00E40173" w:rsidRDefault="00E40173" w:rsidP="00E40173">
      <w:pPr>
        <w:pStyle w:val="ListParagraph0"/>
        <w:numPr>
          <w:ilvl w:val="0"/>
          <w:numId w:val="197"/>
        </w:numPr>
        <w:rPr>
          <w:rFonts w:cs="Arial"/>
          <w:sz w:val="22"/>
          <w:szCs w:val="22"/>
        </w:rPr>
      </w:pPr>
      <w:r w:rsidRPr="00E40173">
        <w:rPr>
          <w:rFonts w:cs="Arial"/>
          <w:sz w:val="22"/>
          <w:szCs w:val="22"/>
        </w:rPr>
        <w:t>Advertising in local media advising of the MSS timing and recommending that swimming and diving do not take place adjacent to the vessel at the time of the survey.</w:t>
      </w:r>
    </w:p>
    <w:p w14:paraId="20E730EC" w14:textId="77777777" w:rsidR="00E40173" w:rsidRPr="00E40173" w:rsidRDefault="00E40173" w:rsidP="00E40173">
      <w:pPr>
        <w:pStyle w:val="ListParagraph0"/>
        <w:numPr>
          <w:ilvl w:val="0"/>
          <w:numId w:val="197"/>
        </w:numPr>
        <w:rPr>
          <w:rFonts w:cs="Arial"/>
          <w:sz w:val="22"/>
          <w:szCs w:val="22"/>
        </w:rPr>
      </w:pPr>
      <w:r w:rsidRPr="00E40173">
        <w:rPr>
          <w:rFonts w:cs="Arial"/>
          <w:sz w:val="22"/>
          <w:szCs w:val="22"/>
        </w:rPr>
        <w:t xml:space="preserve">Providing notifications at local towns (i.e., Golden Beach, Paradise Beach, Seaspray) immediately prior to and during the MSS to advise of the survey activity. </w:t>
      </w:r>
    </w:p>
    <w:p w14:paraId="5ED372E0" w14:textId="11370B28" w:rsidR="007702E8" w:rsidRPr="00E40173" w:rsidRDefault="00E40173" w:rsidP="00E40173">
      <w:pPr>
        <w:pStyle w:val="ListParagraph0"/>
        <w:numPr>
          <w:ilvl w:val="0"/>
          <w:numId w:val="197"/>
        </w:numPr>
        <w:rPr>
          <w:rFonts w:cs="Arial"/>
          <w:sz w:val="22"/>
          <w:szCs w:val="22"/>
        </w:rPr>
      </w:pPr>
      <w:r w:rsidRPr="00E40173">
        <w:rPr>
          <w:rFonts w:cs="Arial"/>
          <w:sz w:val="22"/>
          <w:szCs w:val="22"/>
        </w:rPr>
        <w:t xml:space="preserve">Roving project personnel patrolling the beaches adjacent to the survey </w:t>
      </w:r>
      <w:r>
        <w:rPr>
          <w:rFonts w:cs="Arial"/>
          <w:sz w:val="22"/>
          <w:szCs w:val="22"/>
        </w:rPr>
        <w:t xml:space="preserve">will </w:t>
      </w:r>
      <w:r w:rsidRPr="00E40173">
        <w:rPr>
          <w:rFonts w:cs="Arial"/>
          <w:sz w:val="22"/>
          <w:szCs w:val="22"/>
        </w:rPr>
        <w:t>recommend that people don’t swim or dive adjacent to the survey vessel during seismic acquisition.</w:t>
      </w:r>
    </w:p>
    <w:p w14:paraId="32F85273" w14:textId="77777777" w:rsidR="00E40173" w:rsidRDefault="00E40173" w:rsidP="00E40173">
      <w:pPr>
        <w:pStyle w:val="ListParagraph0"/>
        <w:numPr>
          <w:ilvl w:val="0"/>
          <w:numId w:val="197"/>
        </w:numPr>
        <w:rPr>
          <w:rFonts w:cs="Arial"/>
          <w:sz w:val="22"/>
          <w:szCs w:val="22"/>
        </w:rPr>
      </w:pPr>
      <w:r w:rsidRPr="00E40173">
        <w:rPr>
          <w:rFonts w:cs="Arial"/>
          <w:sz w:val="22"/>
          <w:szCs w:val="22"/>
        </w:rPr>
        <w:t xml:space="preserve">Support Vessel Masters will monitor for ‘diver below’ flags (a white and blue flag, or red flag with white diagonal stripe) in the operational area and liaise with any commercial or recreational vessels in the area to advise them to leave the operational area. </w:t>
      </w:r>
    </w:p>
    <w:p w14:paraId="703D05B9" w14:textId="67A2C559" w:rsidR="004F61C4" w:rsidRDefault="004F61C4" w:rsidP="00E40173">
      <w:pPr>
        <w:pStyle w:val="ListParagraph0"/>
        <w:numPr>
          <w:ilvl w:val="0"/>
          <w:numId w:val="197"/>
        </w:numPr>
        <w:rPr>
          <w:rFonts w:cs="Arial"/>
          <w:sz w:val="22"/>
          <w:szCs w:val="22"/>
        </w:rPr>
      </w:pPr>
      <w:r>
        <w:rPr>
          <w:rFonts w:cs="Arial"/>
          <w:sz w:val="22"/>
          <w:szCs w:val="22"/>
        </w:rPr>
        <w:t>CarbonNet has emergency management procedures.</w:t>
      </w:r>
    </w:p>
    <w:p w14:paraId="4CEE6246" w14:textId="77777777" w:rsidR="004F61C4" w:rsidRDefault="004F61C4" w:rsidP="00E40173">
      <w:pPr>
        <w:pStyle w:val="bodycopy"/>
        <w:rPr>
          <w:rFonts w:ascii="Arial" w:hAnsi="Arial"/>
          <w:sz w:val="22"/>
          <w:szCs w:val="22"/>
        </w:rPr>
      </w:pPr>
    </w:p>
    <w:p w14:paraId="2DA7E2C7" w14:textId="77777777" w:rsidR="00E40173" w:rsidRPr="00E968F3" w:rsidRDefault="00E40173" w:rsidP="00E40173">
      <w:pPr>
        <w:pStyle w:val="bodycopy"/>
        <w:rPr>
          <w:rFonts w:ascii="Arial" w:hAnsi="Arial"/>
          <w:sz w:val="22"/>
          <w:szCs w:val="22"/>
        </w:rPr>
      </w:pPr>
      <w:r w:rsidRPr="00E968F3">
        <w:rPr>
          <w:rFonts w:ascii="Arial" w:hAnsi="Arial"/>
          <w:sz w:val="22"/>
          <w:szCs w:val="22"/>
        </w:rPr>
        <w:t>In order to rate the likelihood and consequence of physiological impacts to swimmers and divers from the Pelican 3DMSS, CarbonNet took into consideration:</w:t>
      </w:r>
    </w:p>
    <w:p w14:paraId="1CB3C4C9" w14:textId="77777777" w:rsidR="00E40173" w:rsidRPr="00E968F3" w:rsidRDefault="00E40173" w:rsidP="00E968F3">
      <w:pPr>
        <w:pStyle w:val="ListParagraph0"/>
        <w:numPr>
          <w:ilvl w:val="0"/>
          <w:numId w:val="197"/>
        </w:numPr>
        <w:rPr>
          <w:rFonts w:cs="Arial"/>
          <w:sz w:val="22"/>
          <w:szCs w:val="22"/>
        </w:rPr>
      </w:pPr>
      <w:r w:rsidRPr="00E968F3">
        <w:rPr>
          <w:rFonts w:cs="Arial"/>
          <w:sz w:val="22"/>
          <w:szCs w:val="22"/>
        </w:rPr>
        <w:t>Existing data about the use of the shoreline adjacent to the survey area;</w:t>
      </w:r>
    </w:p>
    <w:p w14:paraId="37911A5A" w14:textId="77777777" w:rsidR="00E40173" w:rsidRPr="00E968F3" w:rsidRDefault="00E40173" w:rsidP="00E968F3">
      <w:pPr>
        <w:pStyle w:val="ListParagraph0"/>
        <w:numPr>
          <w:ilvl w:val="0"/>
          <w:numId w:val="197"/>
        </w:numPr>
        <w:rPr>
          <w:rFonts w:cs="Arial"/>
          <w:sz w:val="22"/>
          <w:szCs w:val="22"/>
        </w:rPr>
      </w:pPr>
      <w:r w:rsidRPr="00E968F3">
        <w:rPr>
          <w:rFonts w:cs="Arial"/>
          <w:sz w:val="22"/>
          <w:szCs w:val="22"/>
        </w:rPr>
        <w:t xml:space="preserve">Consultation with the managers of shoreline assets; </w:t>
      </w:r>
    </w:p>
    <w:p w14:paraId="54ACC589" w14:textId="77777777" w:rsidR="00E40173" w:rsidRPr="00E968F3" w:rsidRDefault="00E40173" w:rsidP="00E968F3">
      <w:pPr>
        <w:pStyle w:val="ListParagraph0"/>
        <w:numPr>
          <w:ilvl w:val="0"/>
          <w:numId w:val="197"/>
        </w:numPr>
        <w:rPr>
          <w:rFonts w:cs="Arial"/>
          <w:sz w:val="22"/>
          <w:szCs w:val="22"/>
        </w:rPr>
      </w:pPr>
      <w:r w:rsidRPr="00E968F3">
        <w:rPr>
          <w:rFonts w:cs="Arial"/>
          <w:sz w:val="22"/>
          <w:szCs w:val="22"/>
        </w:rPr>
        <w:t>The results of the STLM commissioned by CarbonNet;</w:t>
      </w:r>
    </w:p>
    <w:p w14:paraId="0323069E" w14:textId="77777777" w:rsidR="00E40173" w:rsidRPr="00E968F3" w:rsidRDefault="00E40173" w:rsidP="00E968F3">
      <w:pPr>
        <w:pStyle w:val="ListParagraph0"/>
        <w:numPr>
          <w:ilvl w:val="0"/>
          <w:numId w:val="197"/>
        </w:numPr>
        <w:rPr>
          <w:rFonts w:cs="Arial"/>
          <w:sz w:val="22"/>
          <w:szCs w:val="22"/>
        </w:rPr>
      </w:pPr>
      <w:r w:rsidRPr="00E968F3">
        <w:rPr>
          <w:rFonts w:cs="Arial"/>
          <w:sz w:val="22"/>
          <w:szCs w:val="22"/>
        </w:rPr>
        <w:t>Advice from underwater sound modelling experts;</w:t>
      </w:r>
    </w:p>
    <w:p w14:paraId="71C199D0" w14:textId="77777777" w:rsidR="00E40173" w:rsidRPr="00E968F3" w:rsidRDefault="00E40173" w:rsidP="00E968F3">
      <w:pPr>
        <w:pStyle w:val="ListParagraph0"/>
        <w:numPr>
          <w:ilvl w:val="0"/>
          <w:numId w:val="197"/>
        </w:numPr>
        <w:rPr>
          <w:rFonts w:cs="Arial"/>
          <w:sz w:val="22"/>
          <w:szCs w:val="22"/>
        </w:rPr>
      </w:pPr>
      <w:r w:rsidRPr="00E968F3">
        <w:rPr>
          <w:rFonts w:cs="Arial"/>
          <w:sz w:val="22"/>
          <w:szCs w:val="22"/>
        </w:rPr>
        <w:t>Feedback received through stakeholder consultation (specifically regarding avoidance of key holiday times);</w:t>
      </w:r>
    </w:p>
    <w:p w14:paraId="2B36A62B" w14:textId="77777777" w:rsidR="00E40173" w:rsidRPr="00E968F3" w:rsidRDefault="00E40173" w:rsidP="00E968F3">
      <w:pPr>
        <w:pStyle w:val="ListParagraph0"/>
        <w:numPr>
          <w:ilvl w:val="0"/>
          <w:numId w:val="197"/>
        </w:numPr>
        <w:rPr>
          <w:rFonts w:cs="Arial"/>
          <w:sz w:val="22"/>
          <w:szCs w:val="22"/>
        </w:rPr>
      </w:pPr>
      <w:r w:rsidRPr="00E968F3">
        <w:rPr>
          <w:rFonts w:cs="Arial"/>
          <w:sz w:val="22"/>
          <w:szCs w:val="22"/>
        </w:rPr>
        <w:t>A review of recent scientific papers and studies; and</w:t>
      </w:r>
    </w:p>
    <w:p w14:paraId="6A9195DC" w14:textId="77777777" w:rsidR="00E40173" w:rsidRPr="00E968F3" w:rsidRDefault="00E40173" w:rsidP="00E968F3">
      <w:pPr>
        <w:pStyle w:val="ListParagraph0"/>
        <w:numPr>
          <w:ilvl w:val="0"/>
          <w:numId w:val="197"/>
        </w:numPr>
        <w:spacing w:after="240"/>
        <w:rPr>
          <w:rFonts w:cs="Arial"/>
          <w:sz w:val="22"/>
          <w:szCs w:val="22"/>
        </w:rPr>
      </w:pPr>
      <w:r w:rsidRPr="00E968F3">
        <w:rPr>
          <w:rFonts w:cs="Arial"/>
          <w:sz w:val="22"/>
          <w:szCs w:val="22"/>
        </w:rPr>
        <w:t>The reduced sound source now specified for the survey vessel operator.</w:t>
      </w:r>
    </w:p>
    <w:p w14:paraId="6A79CAAF" w14:textId="77777777" w:rsidR="004F61C4" w:rsidRDefault="004F61C4" w:rsidP="00B430B1">
      <w:pPr>
        <w:pStyle w:val="bodycopy"/>
        <w:spacing w:after="240"/>
        <w:rPr>
          <w:rFonts w:ascii="Arial" w:hAnsi="Arial"/>
          <w:sz w:val="22"/>
          <w:szCs w:val="22"/>
        </w:rPr>
      </w:pPr>
    </w:p>
    <w:p w14:paraId="5D61963B" w14:textId="77777777" w:rsidR="004F61C4" w:rsidRDefault="004F61C4" w:rsidP="00B430B1">
      <w:pPr>
        <w:pStyle w:val="bodycopy"/>
        <w:spacing w:after="240"/>
        <w:rPr>
          <w:rFonts w:ascii="Arial" w:hAnsi="Arial"/>
          <w:sz w:val="22"/>
          <w:szCs w:val="22"/>
        </w:rPr>
      </w:pPr>
    </w:p>
    <w:p w14:paraId="5BB6A1F2" w14:textId="44A02DC8" w:rsidR="00B430B1" w:rsidRPr="00B6448F" w:rsidRDefault="00B430B1" w:rsidP="00B430B1">
      <w:pPr>
        <w:pStyle w:val="bodycopy"/>
        <w:spacing w:after="240"/>
        <w:rPr>
          <w:rFonts w:ascii="Arial" w:hAnsi="Arial"/>
          <w:sz w:val="22"/>
          <w:szCs w:val="22"/>
        </w:rPr>
      </w:pPr>
      <w:r w:rsidRPr="003C0ADD">
        <w:rPr>
          <w:rFonts w:ascii="Arial" w:hAnsi="Arial"/>
          <w:sz w:val="22"/>
          <w:szCs w:val="22"/>
        </w:rPr>
        <w:t>Table 7.</w:t>
      </w:r>
      <w:r w:rsidR="003C0ADD" w:rsidRPr="003C0ADD">
        <w:rPr>
          <w:rFonts w:ascii="Arial" w:hAnsi="Arial"/>
          <w:sz w:val="22"/>
          <w:szCs w:val="22"/>
        </w:rPr>
        <w:t>36</w:t>
      </w:r>
      <w:r w:rsidRPr="00AE3F5E">
        <w:rPr>
          <w:rFonts w:ascii="Arial" w:hAnsi="Arial"/>
          <w:color w:val="FF0000"/>
          <w:sz w:val="22"/>
          <w:szCs w:val="22"/>
        </w:rPr>
        <w:t xml:space="preserve"> </w:t>
      </w:r>
      <w:r w:rsidRPr="006F65F9">
        <w:rPr>
          <w:rFonts w:ascii="Arial" w:hAnsi="Arial"/>
          <w:sz w:val="22"/>
          <w:szCs w:val="22"/>
        </w:rPr>
        <w:t xml:space="preserve">presents the </w:t>
      </w:r>
      <w:r w:rsidR="003C0ADD">
        <w:rPr>
          <w:rFonts w:ascii="Arial" w:hAnsi="Arial"/>
          <w:sz w:val="22"/>
          <w:szCs w:val="22"/>
        </w:rPr>
        <w:t xml:space="preserve">residual </w:t>
      </w:r>
      <w:r w:rsidRPr="006F65F9">
        <w:rPr>
          <w:rFonts w:ascii="Arial" w:hAnsi="Arial"/>
          <w:sz w:val="22"/>
          <w:szCs w:val="22"/>
        </w:rPr>
        <w:t>risk assessment for the underwater sound interaction with swimmers</w:t>
      </w:r>
      <w:r w:rsidRPr="00B6448F">
        <w:rPr>
          <w:rFonts w:ascii="Arial" w:hAnsi="Arial"/>
          <w:sz w:val="22"/>
          <w:szCs w:val="22"/>
        </w:rPr>
        <w:t xml:space="preserve"> and divers. </w:t>
      </w:r>
    </w:p>
    <w:p w14:paraId="086FB1AF" w14:textId="50093649" w:rsidR="00B430B1" w:rsidRPr="00D157DF" w:rsidRDefault="00B430B1" w:rsidP="00B430B1">
      <w:pPr>
        <w:pStyle w:val="CaptionTables"/>
        <w:jc w:val="center"/>
        <w:rPr>
          <w:rFonts w:eastAsia="Times New Roman" w:cs="Arial"/>
          <w:bCs w:val="0"/>
          <w:color w:val="auto"/>
          <w:sz w:val="20"/>
          <w:lang w:eastAsia="en-AU"/>
        </w:rPr>
      </w:pPr>
      <w:r w:rsidRPr="00D157DF">
        <w:rPr>
          <w:rFonts w:eastAsia="Times New Roman" w:cs="Arial"/>
          <w:bCs w:val="0"/>
          <w:color w:val="auto"/>
          <w:sz w:val="20"/>
          <w:lang w:eastAsia="en-AU"/>
        </w:rPr>
        <w:lastRenderedPageBreak/>
        <w:t xml:space="preserve">Table </w:t>
      </w:r>
      <w:r>
        <w:rPr>
          <w:rFonts w:eastAsia="Times New Roman" w:cs="Arial"/>
          <w:bCs w:val="0"/>
          <w:color w:val="auto"/>
          <w:sz w:val="20"/>
          <w:lang w:eastAsia="en-AU"/>
        </w:rPr>
        <w:t>7.</w:t>
      </w:r>
      <w:r w:rsidR="003C0ADD">
        <w:rPr>
          <w:rFonts w:eastAsia="Times New Roman" w:cs="Arial"/>
          <w:bCs w:val="0"/>
          <w:color w:val="auto"/>
          <w:sz w:val="20"/>
          <w:lang w:eastAsia="en-AU"/>
        </w:rPr>
        <w:t>36</w:t>
      </w:r>
      <w:r w:rsidRPr="00D157DF">
        <w:rPr>
          <w:rFonts w:eastAsia="Times New Roman" w:cs="Arial"/>
          <w:bCs w:val="0"/>
          <w:color w:val="auto"/>
          <w:sz w:val="20"/>
          <w:lang w:eastAsia="en-AU"/>
        </w:rPr>
        <w:t>.</w:t>
      </w:r>
      <w:r w:rsidRPr="00D157DF">
        <w:rPr>
          <w:rFonts w:eastAsia="Times New Roman" w:cs="Arial"/>
          <w:bCs w:val="0"/>
          <w:color w:val="auto"/>
          <w:sz w:val="20"/>
          <w:lang w:eastAsia="en-AU"/>
        </w:rPr>
        <w:tab/>
      </w:r>
      <w:r w:rsidR="003C0ADD">
        <w:rPr>
          <w:rFonts w:eastAsia="Times New Roman" w:cs="Arial"/>
          <w:bCs w:val="0"/>
          <w:color w:val="auto"/>
          <w:sz w:val="20"/>
          <w:lang w:eastAsia="en-AU"/>
        </w:rPr>
        <w:t>Residual r</w:t>
      </w:r>
      <w:r w:rsidRPr="00D157DF">
        <w:rPr>
          <w:rFonts w:eastAsia="Times New Roman" w:cs="Arial"/>
          <w:bCs w:val="0"/>
          <w:color w:val="auto"/>
          <w:sz w:val="20"/>
          <w:lang w:eastAsia="en-AU"/>
        </w:rPr>
        <w:t>isk assessment for underwater sound interaction with swimmers and divers</w:t>
      </w:r>
      <w:r w:rsidR="009822DA">
        <w:rPr>
          <w:rFonts w:eastAsia="Times New Roman" w:cs="Arial"/>
          <w:bCs w:val="0"/>
          <w:color w:val="auto"/>
          <w:sz w:val="20"/>
          <w:lang w:eastAsia="en-AU"/>
        </w:rPr>
        <w:t xml:space="preserve"> (using safety definitions of consequence)</w:t>
      </w:r>
    </w:p>
    <w:tbl>
      <w:tblPr>
        <w:tblW w:w="8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3118"/>
        <w:gridCol w:w="2728"/>
      </w:tblGrid>
      <w:tr w:rsidR="003C0ADD" w:rsidRPr="00D157DF" w14:paraId="03B76C67" w14:textId="77777777" w:rsidTr="009822DA">
        <w:trPr>
          <w:cantSplit/>
        </w:trPr>
        <w:tc>
          <w:tcPr>
            <w:tcW w:w="2660" w:type="dxa"/>
            <w:shd w:val="clear" w:color="auto" w:fill="064EA8"/>
          </w:tcPr>
          <w:p w14:paraId="2C900D40" w14:textId="18589A2D" w:rsidR="003C0ADD" w:rsidRPr="009822DA" w:rsidRDefault="003C0ADD" w:rsidP="00891DE1">
            <w:pPr>
              <w:pStyle w:val="TableText"/>
              <w:spacing w:before="60" w:after="60" w:line="240" w:lineRule="auto"/>
              <w:jc w:val="center"/>
              <w:rPr>
                <w:rFonts w:cs="Arial"/>
                <w:color w:val="FFFFFF" w:themeColor="background1"/>
                <w:sz w:val="20"/>
                <w:szCs w:val="20"/>
              </w:rPr>
            </w:pPr>
            <w:r w:rsidRPr="009822DA">
              <w:rPr>
                <w:rFonts w:cs="Arial"/>
                <w:color w:val="FFFFFF" w:themeColor="background1"/>
                <w:sz w:val="20"/>
                <w:szCs w:val="20"/>
              </w:rPr>
              <w:t>Likelihood</w:t>
            </w:r>
          </w:p>
        </w:tc>
        <w:tc>
          <w:tcPr>
            <w:tcW w:w="3118" w:type="dxa"/>
            <w:shd w:val="clear" w:color="auto" w:fill="064EA8"/>
          </w:tcPr>
          <w:p w14:paraId="2D59218C" w14:textId="77777777" w:rsidR="003C0ADD" w:rsidRPr="009822DA" w:rsidRDefault="003C0ADD" w:rsidP="00891DE1">
            <w:pPr>
              <w:pStyle w:val="TableText"/>
              <w:spacing w:before="60" w:after="60" w:line="240" w:lineRule="auto"/>
              <w:jc w:val="center"/>
              <w:rPr>
                <w:rFonts w:cs="Arial"/>
                <w:color w:val="FFFFFF" w:themeColor="background1"/>
                <w:sz w:val="20"/>
                <w:szCs w:val="20"/>
              </w:rPr>
            </w:pPr>
            <w:r w:rsidRPr="009822DA">
              <w:rPr>
                <w:rFonts w:cs="Arial"/>
                <w:color w:val="FFFFFF" w:themeColor="background1"/>
                <w:sz w:val="20"/>
                <w:szCs w:val="20"/>
              </w:rPr>
              <w:t>Consequence</w:t>
            </w:r>
          </w:p>
        </w:tc>
        <w:tc>
          <w:tcPr>
            <w:tcW w:w="2728" w:type="dxa"/>
            <w:shd w:val="clear" w:color="auto" w:fill="064EA8"/>
          </w:tcPr>
          <w:p w14:paraId="4F68D4C5" w14:textId="77777777" w:rsidR="003C0ADD" w:rsidRPr="009822DA" w:rsidRDefault="003C0ADD" w:rsidP="00891DE1">
            <w:pPr>
              <w:pStyle w:val="TableText"/>
              <w:spacing w:before="60" w:after="60" w:line="240" w:lineRule="auto"/>
              <w:jc w:val="center"/>
              <w:rPr>
                <w:rFonts w:cs="Arial"/>
                <w:color w:val="FFFFFF" w:themeColor="background1"/>
                <w:sz w:val="20"/>
                <w:szCs w:val="20"/>
              </w:rPr>
            </w:pPr>
            <w:r w:rsidRPr="009822DA">
              <w:rPr>
                <w:rFonts w:cs="Arial"/>
                <w:color w:val="FFFFFF" w:themeColor="background1"/>
                <w:sz w:val="20"/>
                <w:szCs w:val="20"/>
              </w:rPr>
              <w:t>Risk rating</w:t>
            </w:r>
          </w:p>
        </w:tc>
      </w:tr>
      <w:tr w:rsidR="003C0ADD" w:rsidRPr="00D157DF" w14:paraId="2C8F0E06" w14:textId="77777777" w:rsidTr="003C0ADD">
        <w:trPr>
          <w:cantSplit/>
        </w:trPr>
        <w:tc>
          <w:tcPr>
            <w:tcW w:w="2660" w:type="dxa"/>
            <w:shd w:val="clear" w:color="auto" w:fill="FFFFFF" w:themeFill="background1"/>
          </w:tcPr>
          <w:p w14:paraId="0BF83A73" w14:textId="7CE7847A" w:rsidR="003C0ADD" w:rsidRDefault="003C0ADD" w:rsidP="00E968F3">
            <w:pPr>
              <w:pStyle w:val="TableText"/>
              <w:spacing w:before="60" w:after="60" w:line="240" w:lineRule="auto"/>
              <w:jc w:val="center"/>
              <w:rPr>
                <w:rFonts w:cs="Arial"/>
                <w:sz w:val="20"/>
                <w:szCs w:val="20"/>
              </w:rPr>
            </w:pPr>
            <w:r>
              <w:rPr>
                <w:rFonts w:cs="Arial"/>
                <w:sz w:val="20"/>
                <w:szCs w:val="20"/>
              </w:rPr>
              <w:t>Rare</w:t>
            </w:r>
          </w:p>
        </w:tc>
        <w:tc>
          <w:tcPr>
            <w:tcW w:w="3118" w:type="dxa"/>
            <w:shd w:val="clear" w:color="auto" w:fill="auto"/>
          </w:tcPr>
          <w:p w14:paraId="4CE70AC5" w14:textId="58D232A2" w:rsidR="003C0ADD" w:rsidRDefault="003C0ADD" w:rsidP="00E968F3">
            <w:pPr>
              <w:pStyle w:val="TableText"/>
              <w:spacing w:before="60" w:after="60" w:line="240" w:lineRule="auto"/>
              <w:jc w:val="center"/>
              <w:rPr>
                <w:rFonts w:cs="Arial"/>
                <w:sz w:val="20"/>
                <w:szCs w:val="20"/>
              </w:rPr>
            </w:pPr>
            <w:r>
              <w:rPr>
                <w:rFonts w:cs="Arial"/>
                <w:sz w:val="20"/>
                <w:szCs w:val="20"/>
              </w:rPr>
              <w:t>Minor</w:t>
            </w:r>
          </w:p>
        </w:tc>
        <w:tc>
          <w:tcPr>
            <w:tcW w:w="2728" w:type="dxa"/>
            <w:shd w:val="clear" w:color="auto" w:fill="73FB79"/>
          </w:tcPr>
          <w:p w14:paraId="5694FBDC" w14:textId="12ED4380" w:rsidR="003C0ADD" w:rsidRDefault="003C0ADD" w:rsidP="00E968F3">
            <w:pPr>
              <w:pStyle w:val="TableText"/>
              <w:spacing w:before="60" w:after="60" w:line="240" w:lineRule="auto"/>
              <w:jc w:val="center"/>
              <w:rPr>
                <w:rFonts w:cs="Arial"/>
                <w:sz w:val="20"/>
                <w:szCs w:val="20"/>
              </w:rPr>
            </w:pPr>
            <w:r>
              <w:rPr>
                <w:rFonts w:cs="Arial"/>
                <w:sz w:val="20"/>
                <w:szCs w:val="20"/>
              </w:rPr>
              <w:t>Low</w:t>
            </w:r>
          </w:p>
        </w:tc>
      </w:tr>
    </w:tbl>
    <w:p w14:paraId="5EDC46B5" w14:textId="0F87197D" w:rsidR="00B430B1" w:rsidRPr="00B03966" w:rsidRDefault="00B430B1" w:rsidP="00B430B1">
      <w:pPr>
        <w:pStyle w:val="Heading2"/>
        <w:keepLines/>
        <w:numPr>
          <w:ilvl w:val="1"/>
          <w:numId w:val="1"/>
        </w:numPr>
        <w:tabs>
          <w:tab w:val="clear" w:pos="720"/>
        </w:tabs>
        <w:spacing w:before="400" w:after="200" w:line="240" w:lineRule="auto"/>
        <w:ind w:left="0" w:firstLine="0"/>
        <w:rPr>
          <w:rFonts w:cs="Times New Roman"/>
          <w:iCs w:val="0"/>
          <w:color w:val="064EA8"/>
          <w:szCs w:val="26"/>
          <w:lang w:eastAsia="en-US"/>
        </w:rPr>
      </w:pPr>
      <w:bookmarkStart w:id="1170" w:name="_Toc320190771"/>
      <w:bookmarkStart w:id="1171" w:name="_Toc375214641"/>
      <w:r>
        <w:rPr>
          <w:rFonts w:cs="Times New Roman"/>
          <w:iCs w:val="0"/>
          <w:color w:val="064EA8"/>
          <w:szCs w:val="26"/>
          <w:lang w:eastAsia="en-US"/>
        </w:rPr>
        <w:t xml:space="preserve">RISK: </w:t>
      </w:r>
      <w:r w:rsidRPr="00B03966">
        <w:rPr>
          <w:rFonts w:cs="Times New Roman"/>
          <w:iCs w:val="0"/>
          <w:color w:val="064EA8"/>
          <w:szCs w:val="26"/>
          <w:lang w:eastAsia="en-US"/>
        </w:rPr>
        <w:t>Seabed Disturbance</w:t>
      </w:r>
      <w:bookmarkEnd w:id="1170"/>
      <w:bookmarkEnd w:id="1171"/>
    </w:p>
    <w:p w14:paraId="4391724F" w14:textId="77777777" w:rsidR="00B430B1" w:rsidRDefault="00B430B1" w:rsidP="00B430B1">
      <w:pPr>
        <w:pStyle w:val="Heading3"/>
      </w:pPr>
      <w:bookmarkStart w:id="1172" w:name="_Toc477947903"/>
      <w:bookmarkStart w:id="1173" w:name="_Toc479764094"/>
      <w:bookmarkStart w:id="1174" w:name="_Toc375214642"/>
      <w:r>
        <w:t>Hazard</w:t>
      </w:r>
      <w:bookmarkEnd w:id="1172"/>
      <w:bookmarkEnd w:id="1173"/>
      <w:bookmarkEnd w:id="1174"/>
    </w:p>
    <w:p w14:paraId="3DDB1166" w14:textId="688106D8" w:rsidR="00B430B1" w:rsidRPr="008D7DDF" w:rsidRDefault="009A2564" w:rsidP="00B430B1">
      <w:pPr>
        <w:spacing w:after="120"/>
        <w:ind w:left="0"/>
        <w:rPr>
          <w:rFonts w:cs="Arial"/>
          <w:sz w:val="22"/>
          <w:szCs w:val="22"/>
        </w:rPr>
      </w:pPr>
      <w:r>
        <w:rPr>
          <w:rFonts w:cs="Arial"/>
          <w:sz w:val="22"/>
          <w:szCs w:val="22"/>
        </w:rPr>
        <w:t>A</w:t>
      </w:r>
      <w:r w:rsidR="00B430B1" w:rsidRPr="008D7DDF">
        <w:rPr>
          <w:rFonts w:cs="Arial"/>
          <w:sz w:val="22"/>
          <w:szCs w:val="22"/>
        </w:rPr>
        <w:t xml:space="preserve">ctivities that may result in seabed disturbance include: </w:t>
      </w:r>
    </w:p>
    <w:p w14:paraId="18374196" w14:textId="77777777" w:rsidR="00B430B1" w:rsidRPr="008D7DDF" w:rsidRDefault="00B430B1" w:rsidP="00B430B1">
      <w:pPr>
        <w:pStyle w:val="ListParagraph0"/>
        <w:numPr>
          <w:ilvl w:val="0"/>
          <w:numId w:val="173"/>
        </w:numPr>
        <w:rPr>
          <w:rFonts w:cs="Arial"/>
          <w:sz w:val="22"/>
          <w:szCs w:val="22"/>
        </w:rPr>
      </w:pPr>
      <w:r w:rsidRPr="008D7DDF">
        <w:rPr>
          <w:rFonts w:cs="Arial"/>
          <w:sz w:val="22"/>
          <w:szCs w:val="22"/>
        </w:rPr>
        <w:t>Streamer drag;</w:t>
      </w:r>
    </w:p>
    <w:p w14:paraId="1ADBCE91" w14:textId="38F06A48" w:rsidR="00B430B1" w:rsidRPr="008D7DDF" w:rsidRDefault="009A2564" w:rsidP="00B430B1">
      <w:pPr>
        <w:pStyle w:val="ListParagraph0"/>
        <w:numPr>
          <w:ilvl w:val="0"/>
          <w:numId w:val="173"/>
        </w:numPr>
        <w:rPr>
          <w:rFonts w:cs="Arial"/>
          <w:sz w:val="22"/>
          <w:szCs w:val="22"/>
        </w:rPr>
      </w:pPr>
      <w:r>
        <w:rPr>
          <w:rFonts w:cs="Arial"/>
          <w:sz w:val="22"/>
          <w:szCs w:val="22"/>
        </w:rPr>
        <w:t>Vessel g</w:t>
      </w:r>
      <w:r w:rsidR="00B430B1" w:rsidRPr="008D7DDF">
        <w:rPr>
          <w:rFonts w:cs="Arial"/>
          <w:sz w:val="22"/>
          <w:szCs w:val="22"/>
        </w:rPr>
        <w:t>rounding (in shallow waters);</w:t>
      </w:r>
    </w:p>
    <w:p w14:paraId="7D90578E" w14:textId="7A2A0F83" w:rsidR="00B430B1" w:rsidRPr="008D7DDF" w:rsidRDefault="009A2564" w:rsidP="00B430B1">
      <w:pPr>
        <w:pStyle w:val="ListParagraph0"/>
        <w:numPr>
          <w:ilvl w:val="0"/>
          <w:numId w:val="173"/>
        </w:numPr>
        <w:rPr>
          <w:rFonts w:cs="Arial"/>
          <w:sz w:val="22"/>
          <w:szCs w:val="22"/>
        </w:rPr>
      </w:pPr>
      <w:r>
        <w:rPr>
          <w:rFonts w:cs="Arial"/>
          <w:sz w:val="22"/>
          <w:szCs w:val="22"/>
        </w:rPr>
        <w:t>Vessel t</w:t>
      </w:r>
      <w:r w:rsidR="00B430B1" w:rsidRPr="008D7DDF">
        <w:rPr>
          <w:rFonts w:cs="Arial"/>
          <w:sz w:val="22"/>
          <w:szCs w:val="22"/>
        </w:rPr>
        <w:t>hruster/propeller wash (in shallow waters);</w:t>
      </w:r>
    </w:p>
    <w:p w14:paraId="257BDC59" w14:textId="3AA2201B" w:rsidR="00B430B1" w:rsidRPr="008D7DDF" w:rsidRDefault="00B430B1" w:rsidP="00B430B1">
      <w:pPr>
        <w:pStyle w:val="ListParagraph0"/>
        <w:numPr>
          <w:ilvl w:val="0"/>
          <w:numId w:val="173"/>
        </w:numPr>
        <w:rPr>
          <w:rFonts w:cs="Arial"/>
          <w:sz w:val="22"/>
          <w:szCs w:val="22"/>
        </w:rPr>
      </w:pPr>
      <w:r w:rsidRPr="008D7DDF">
        <w:rPr>
          <w:rFonts w:cs="Arial"/>
          <w:sz w:val="22"/>
          <w:szCs w:val="22"/>
        </w:rPr>
        <w:t xml:space="preserve">Dropped objects (including streamers); </w:t>
      </w:r>
    </w:p>
    <w:p w14:paraId="1BC0FC41" w14:textId="0E6E34C1" w:rsidR="00B430B1" w:rsidRDefault="009A2564" w:rsidP="00B430B1">
      <w:pPr>
        <w:pStyle w:val="ListParagraph0"/>
        <w:numPr>
          <w:ilvl w:val="0"/>
          <w:numId w:val="173"/>
        </w:numPr>
        <w:rPr>
          <w:rFonts w:cs="Arial"/>
          <w:sz w:val="22"/>
          <w:szCs w:val="22"/>
        </w:rPr>
      </w:pPr>
      <w:r>
        <w:rPr>
          <w:rFonts w:cs="Arial"/>
          <w:sz w:val="22"/>
          <w:szCs w:val="22"/>
        </w:rPr>
        <w:t>Vessel a</w:t>
      </w:r>
      <w:r w:rsidR="00B430B1" w:rsidRPr="008D7DDF">
        <w:rPr>
          <w:rFonts w:cs="Arial"/>
          <w:sz w:val="22"/>
          <w:szCs w:val="22"/>
        </w:rPr>
        <w:t>nchoring (in emergency situations only)</w:t>
      </w:r>
      <w:r>
        <w:rPr>
          <w:rFonts w:cs="Arial"/>
          <w:sz w:val="22"/>
          <w:szCs w:val="22"/>
        </w:rPr>
        <w:t>; and</w:t>
      </w:r>
    </w:p>
    <w:p w14:paraId="29A8566A" w14:textId="651DB0C8" w:rsidR="009A2564" w:rsidRPr="008D7DDF" w:rsidRDefault="009A2564" w:rsidP="00B430B1">
      <w:pPr>
        <w:pStyle w:val="ListParagraph0"/>
        <w:numPr>
          <w:ilvl w:val="0"/>
          <w:numId w:val="173"/>
        </w:numPr>
        <w:rPr>
          <w:rFonts w:cs="Arial"/>
          <w:sz w:val="22"/>
          <w:szCs w:val="22"/>
        </w:rPr>
      </w:pPr>
      <w:r>
        <w:rPr>
          <w:rFonts w:cs="Arial"/>
          <w:sz w:val="22"/>
          <w:szCs w:val="22"/>
        </w:rPr>
        <w:t xml:space="preserve">Deployment and retrieval of </w:t>
      </w:r>
      <w:r w:rsidR="00B929F8">
        <w:rPr>
          <w:rFonts w:cs="Arial"/>
          <w:sz w:val="22"/>
          <w:szCs w:val="22"/>
        </w:rPr>
        <w:t>loggers at the seabed (for sound validation, see Section 2.7.2).</w:t>
      </w:r>
    </w:p>
    <w:p w14:paraId="559A0CBF" w14:textId="27185B94" w:rsidR="00B430B1" w:rsidRPr="008D7DDF" w:rsidRDefault="00B430B1" w:rsidP="00B430B1">
      <w:pPr>
        <w:pStyle w:val="Heading3"/>
      </w:pPr>
      <w:bookmarkStart w:id="1175" w:name="_Toc477947904"/>
      <w:bookmarkStart w:id="1176" w:name="_Toc479764095"/>
      <w:bookmarkStart w:id="1177" w:name="_Toc375214643"/>
      <w:r w:rsidRPr="008D7DDF">
        <w:t xml:space="preserve">Potential Environmental </w:t>
      </w:r>
      <w:bookmarkEnd w:id="1175"/>
      <w:r w:rsidRPr="008D7DDF">
        <w:t>Risks</w:t>
      </w:r>
      <w:bookmarkEnd w:id="1176"/>
      <w:bookmarkEnd w:id="1177"/>
    </w:p>
    <w:p w14:paraId="11E7F200" w14:textId="3A9F93B3" w:rsidR="00B430B1" w:rsidRPr="008D7DDF" w:rsidRDefault="00B430B1" w:rsidP="00B430B1">
      <w:pPr>
        <w:spacing w:after="120"/>
        <w:ind w:left="0"/>
        <w:rPr>
          <w:rFonts w:cs="Arial"/>
          <w:sz w:val="22"/>
          <w:szCs w:val="22"/>
        </w:rPr>
      </w:pPr>
      <w:r w:rsidRPr="008D7DDF">
        <w:rPr>
          <w:rFonts w:cs="Arial"/>
          <w:sz w:val="22"/>
          <w:szCs w:val="22"/>
        </w:rPr>
        <w:t xml:space="preserve">The potential environmental </w:t>
      </w:r>
      <w:r w:rsidR="000275AC">
        <w:rPr>
          <w:rFonts w:cs="Arial"/>
          <w:sz w:val="22"/>
          <w:szCs w:val="22"/>
        </w:rPr>
        <w:t>risks</w:t>
      </w:r>
      <w:r w:rsidRPr="008D7DDF">
        <w:rPr>
          <w:rFonts w:cs="Arial"/>
          <w:sz w:val="22"/>
          <w:szCs w:val="22"/>
        </w:rPr>
        <w:t xml:space="preserve"> of seabed disturbance are: </w:t>
      </w:r>
    </w:p>
    <w:p w14:paraId="0A3BB216" w14:textId="77777777" w:rsidR="00B430B1" w:rsidRPr="008D7DDF" w:rsidRDefault="00B430B1" w:rsidP="00B430B1">
      <w:pPr>
        <w:pStyle w:val="ListParagraph0"/>
        <w:numPr>
          <w:ilvl w:val="0"/>
          <w:numId w:val="173"/>
        </w:numPr>
        <w:rPr>
          <w:rFonts w:cs="Arial"/>
          <w:sz w:val="22"/>
          <w:szCs w:val="22"/>
        </w:rPr>
      </w:pPr>
      <w:r w:rsidRPr="008D7DDF">
        <w:rPr>
          <w:rFonts w:cs="Arial"/>
          <w:sz w:val="22"/>
          <w:szCs w:val="22"/>
        </w:rPr>
        <w:t>Localised turbidity of the water column at the seabed;</w:t>
      </w:r>
    </w:p>
    <w:p w14:paraId="2F2B9F6E" w14:textId="77777777" w:rsidR="00B430B1" w:rsidRPr="008D7DDF" w:rsidRDefault="00B430B1" w:rsidP="00B430B1">
      <w:pPr>
        <w:pStyle w:val="ListParagraph0"/>
        <w:numPr>
          <w:ilvl w:val="0"/>
          <w:numId w:val="173"/>
        </w:numPr>
        <w:rPr>
          <w:rFonts w:cs="Arial"/>
          <w:sz w:val="22"/>
          <w:szCs w:val="22"/>
        </w:rPr>
      </w:pPr>
      <w:r w:rsidRPr="008D7DDF">
        <w:rPr>
          <w:rFonts w:cs="Arial"/>
          <w:sz w:val="22"/>
          <w:szCs w:val="22"/>
        </w:rPr>
        <w:t>Damage to reef structures; and</w:t>
      </w:r>
    </w:p>
    <w:p w14:paraId="37900399" w14:textId="77777777" w:rsidR="00B430B1" w:rsidRPr="008D7DDF" w:rsidRDefault="00B430B1" w:rsidP="00B430B1">
      <w:pPr>
        <w:pStyle w:val="ListParagraph0"/>
        <w:numPr>
          <w:ilvl w:val="0"/>
          <w:numId w:val="173"/>
        </w:numPr>
        <w:rPr>
          <w:rFonts w:cs="Arial"/>
          <w:sz w:val="22"/>
          <w:szCs w:val="22"/>
        </w:rPr>
      </w:pPr>
      <w:r w:rsidRPr="008D7DDF">
        <w:rPr>
          <w:rFonts w:cs="Arial"/>
          <w:sz w:val="22"/>
          <w:szCs w:val="22"/>
        </w:rPr>
        <w:t>Displacement of a small area of seabed habitat by dropped object (if not recovered).</w:t>
      </w:r>
    </w:p>
    <w:p w14:paraId="2AE6C6BF" w14:textId="77777777" w:rsidR="00B430B1" w:rsidRPr="008D7DDF" w:rsidRDefault="00B430B1" w:rsidP="00B430B1">
      <w:pPr>
        <w:pStyle w:val="ListParagraph0"/>
        <w:rPr>
          <w:rFonts w:cs="Arial"/>
          <w:sz w:val="22"/>
          <w:szCs w:val="22"/>
        </w:rPr>
      </w:pPr>
    </w:p>
    <w:p w14:paraId="72634FC5" w14:textId="77777777" w:rsidR="00B430B1" w:rsidRPr="008D7DDF" w:rsidRDefault="00B430B1" w:rsidP="00B430B1">
      <w:pPr>
        <w:ind w:left="0"/>
        <w:rPr>
          <w:rFonts w:cs="Arial"/>
          <w:sz w:val="22"/>
          <w:szCs w:val="22"/>
        </w:rPr>
      </w:pPr>
      <w:r w:rsidRPr="008D7DDF">
        <w:rPr>
          <w:rFonts w:cs="Arial"/>
          <w:sz w:val="22"/>
          <w:szCs w:val="22"/>
        </w:rPr>
        <w:t>These impacts may result in temporary disturbance, displacement or smothering of benthic habitats and fauna.</w:t>
      </w:r>
    </w:p>
    <w:p w14:paraId="66F83638" w14:textId="77777777" w:rsidR="00B430B1" w:rsidRPr="008D7DDF" w:rsidRDefault="00B430B1" w:rsidP="00B430B1">
      <w:pPr>
        <w:ind w:left="0"/>
        <w:rPr>
          <w:rFonts w:cs="Arial"/>
          <w:sz w:val="22"/>
          <w:szCs w:val="22"/>
        </w:rPr>
      </w:pPr>
    </w:p>
    <w:p w14:paraId="4CD1EDE3" w14:textId="77777777" w:rsidR="00B430B1" w:rsidRPr="008D7DDF" w:rsidRDefault="00B430B1" w:rsidP="00B430B1">
      <w:pPr>
        <w:ind w:left="0"/>
        <w:rPr>
          <w:rFonts w:cs="Arial"/>
          <w:sz w:val="22"/>
          <w:szCs w:val="22"/>
        </w:rPr>
      </w:pPr>
      <w:bookmarkStart w:id="1178" w:name="_Toc477947905"/>
      <w:r w:rsidRPr="008D7DDF">
        <w:rPr>
          <w:rFonts w:cs="Arial"/>
          <w:sz w:val="22"/>
          <w:szCs w:val="22"/>
        </w:rPr>
        <w:t xml:space="preserve">Receptors that may occur within this EMBA, either as residents or migrants, are: </w:t>
      </w:r>
    </w:p>
    <w:p w14:paraId="2CA005B1" w14:textId="77777777" w:rsidR="00B430B1" w:rsidRPr="008D7DDF" w:rsidRDefault="00B430B1" w:rsidP="00B430B1">
      <w:pPr>
        <w:pStyle w:val="ListParagraph0"/>
        <w:numPr>
          <w:ilvl w:val="0"/>
          <w:numId w:val="173"/>
        </w:numPr>
        <w:rPr>
          <w:rFonts w:cs="Arial"/>
          <w:sz w:val="22"/>
          <w:szCs w:val="22"/>
        </w:rPr>
      </w:pPr>
      <w:r w:rsidRPr="008D7DDF">
        <w:rPr>
          <w:rFonts w:cs="Arial"/>
          <w:sz w:val="22"/>
          <w:szCs w:val="22"/>
        </w:rPr>
        <w:t>Plankton;</w:t>
      </w:r>
    </w:p>
    <w:p w14:paraId="1207242E" w14:textId="77777777" w:rsidR="00B430B1" w:rsidRPr="008D7DDF" w:rsidRDefault="00B430B1" w:rsidP="00B430B1">
      <w:pPr>
        <w:pStyle w:val="ListParagraph0"/>
        <w:numPr>
          <w:ilvl w:val="0"/>
          <w:numId w:val="173"/>
        </w:numPr>
        <w:rPr>
          <w:rFonts w:cs="Arial"/>
          <w:sz w:val="22"/>
          <w:szCs w:val="22"/>
        </w:rPr>
      </w:pPr>
      <w:r w:rsidRPr="008D7DDF">
        <w:rPr>
          <w:rFonts w:cs="Arial"/>
          <w:sz w:val="22"/>
          <w:szCs w:val="22"/>
        </w:rPr>
        <w:t>Benthic fauna;</w:t>
      </w:r>
    </w:p>
    <w:p w14:paraId="3703BA20" w14:textId="77777777" w:rsidR="00B430B1" w:rsidRPr="008D7DDF" w:rsidRDefault="00B430B1" w:rsidP="00B430B1">
      <w:pPr>
        <w:pStyle w:val="ListParagraph0"/>
        <w:numPr>
          <w:ilvl w:val="0"/>
          <w:numId w:val="173"/>
        </w:numPr>
        <w:rPr>
          <w:rFonts w:cs="Arial"/>
          <w:sz w:val="22"/>
          <w:szCs w:val="22"/>
        </w:rPr>
      </w:pPr>
      <w:r w:rsidRPr="008D7DDF">
        <w:rPr>
          <w:rFonts w:cs="Arial"/>
          <w:sz w:val="22"/>
          <w:szCs w:val="22"/>
        </w:rPr>
        <w:t>Benthic habitat (sand and reef substrates); and</w:t>
      </w:r>
    </w:p>
    <w:p w14:paraId="2508270F" w14:textId="77777777" w:rsidR="00B430B1" w:rsidRPr="008D7DDF" w:rsidRDefault="00B430B1" w:rsidP="00B430B1">
      <w:pPr>
        <w:pStyle w:val="ListParagraph0"/>
        <w:numPr>
          <w:ilvl w:val="0"/>
          <w:numId w:val="173"/>
        </w:numPr>
        <w:rPr>
          <w:rFonts w:cs="Arial"/>
          <w:sz w:val="22"/>
          <w:szCs w:val="22"/>
        </w:rPr>
      </w:pPr>
      <w:r w:rsidRPr="008D7DDF">
        <w:rPr>
          <w:rFonts w:cs="Arial"/>
          <w:sz w:val="22"/>
          <w:szCs w:val="22"/>
        </w:rPr>
        <w:t>Pelagic fish.</w:t>
      </w:r>
    </w:p>
    <w:p w14:paraId="44CF1E3A" w14:textId="77777777" w:rsidR="00B430B1" w:rsidRDefault="00B430B1" w:rsidP="00B430B1">
      <w:pPr>
        <w:pStyle w:val="Heading3"/>
      </w:pPr>
      <w:bookmarkStart w:id="1179" w:name="_Toc479764097"/>
      <w:bookmarkStart w:id="1180" w:name="_Toc375214644"/>
      <w:r>
        <w:t xml:space="preserve">Evaluation of Environmental </w:t>
      </w:r>
      <w:bookmarkEnd w:id="1178"/>
      <w:r>
        <w:t>Risks</w:t>
      </w:r>
      <w:bookmarkEnd w:id="1179"/>
      <w:bookmarkEnd w:id="1180"/>
    </w:p>
    <w:p w14:paraId="7377AC84" w14:textId="34AABBF4" w:rsidR="00B430B1" w:rsidRPr="008D7DDF" w:rsidRDefault="00B430B1" w:rsidP="00AE3F5E">
      <w:pPr>
        <w:spacing w:before="120" w:after="240"/>
        <w:ind w:left="0"/>
        <w:rPr>
          <w:rFonts w:cs="Arial"/>
          <w:sz w:val="22"/>
          <w:szCs w:val="22"/>
        </w:rPr>
      </w:pPr>
      <w:r w:rsidRPr="008D7DDF">
        <w:rPr>
          <w:rFonts w:cs="Arial"/>
          <w:sz w:val="22"/>
          <w:szCs w:val="22"/>
        </w:rPr>
        <w:t>Turbidity may occur when seabed sediments are stirred up, and may result from anchor deployment</w:t>
      </w:r>
      <w:r w:rsidR="001E339D">
        <w:rPr>
          <w:rFonts w:cs="Arial"/>
          <w:sz w:val="22"/>
          <w:szCs w:val="22"/>
        </w:rPr>
        <w:t xml:space="preserve"> and deployment/retrieval of sound logger bottom plate assembly</w:t>
      </w:r>
      <w:r w:rsidR="00B9460A">
        <w:rPr>
          <w:rFonts w:cs="Arial"/>
          <w:sz w:val="22"/>
          <w:szCs w:val="22"/>
        </w:rPr>
        <w:t>, weights</w:t>
      </w:r>
      <w:r w:rsidR="001E339D">
        <w:rPr>
          <w:rFonts w:cs="Arial"/>
          <w:sz w:val="22"/>
          <w:szCs w:val="22"/>
        </w:rPr>
        <w:t xml:space="preserve"> and ground line</w:t>
      </w:r>
      <w:r w:rsidRPr="008D7DDF">
        <w:rPr>
          <w:rFonts w:cs="Arial"/>
          <w:sz w:val="22"/>
          <w:szCs w:val="22"/>
        </w:rPr>
        <w:t xml:space="preserve">, and in the shallowest waters of the proposed operational area (when there is the smallest clearance between the bottom of the vessels and the seabed), thruster or propeller wash, streamer drag or vessel grounding may also result in turbidity. </w:t>
      </w:r>
    </w:p>
    <w:p w14:paraId="51223A0A" w14:textId="77777777" w:rsidR="00B430B1" w:rsidRPr="008D7DDF" w:rsidRDefault="00B430B1" w:rsidP="00B430B1">
      <w:pPr>
        <w:spacing w:after="240"/>
        <w:ind w:left="0"/>
        <w:rPr>
          <w:rFonts w:cs="Arial"/>
          <w:sz w:val="22"/>
          <w:szCs w:val="22"/>
        </w:rPr>
      </w:pPr>
      <w:r w:rsidRPr="008D7DDF">
        <w:rPr>
          <w:rFonts w:cs="Arial"/>
          <w:sz w:val="22"/>
          <w:szCs w:val="22"/>
        </w:rPr>
        <w:t>Any turbidity created is likely to be within the limits of natural variability when considering the turbidity created by tides and crashing waves in the nearshore environment. This turbidity would temporarily inhibit light penetration into the water column, but given its temporary nature would be unlikely to inhibit any macroalgae growth. Benthic fauna living in sediment (endobenthos) or on sediment (epibenthos) may be temporarily displaced by this turbidity.</w:t>
      </w:r>
    </w:p>
    <w:p w14:paraId="3DF4B1A3" w14:textId="34EA8A2F" w:rsidR="00C6464F" w:rsidRPr="008D7DDF" w:rsidRDefault="00B430B1" w:rsidP="00B430B1">
      <w:pPr>
        <w:spacing w:after="240"/>
        <w:ind w:left="0"/>
        <w:rPr>
          <w:rFonts w:cs="Arial"/>
          <w:sz w:val="22"/>
          <w:szCs w:val="22"/>
        </w:rPr>
      </w:pPr>
      <w:r w:rsidRPr="008D7DDF">
        <w:rPr>
          <w:rFonts w:cs="Arial"/>
          <w:sz w:val="22"/>
          <w:szCs w:val="22"/>
        </w:rPr>
        <w:lastRenderedPageBreak/>
        <w:t xml:space="preserve">The rocky reefs present in discontinuous patches in the proposed acquisition area </w:t>
      </w:r>
      <w:r w:rsidR="000374B3">
        <w:rPr>
          <w:rFonts w:cs="Arial"/>
          <w:sz w:val="22"/>
          <w:szCs w:val="22"/>
        </w:rPr>
        <w:t>(</w:t>
      </w:r>
      <w:r w:rsidR="001E339D">
        <w:rPr>
          <w:rFonts w:cs="Arial"/>
          <w:sz w:val="22"/>
          <w:szCs w:val="22"/>
        </w:rPr>
        <w:t xml:space="preserve">as described </w:t>
      </w:r>
      <w:r w:rsidR="000374B3" w:rsidRPr="008D7DDF">
        <w:rPr>
          <w:rFonts w:cs="Arial"/>
          <w:sz w:val="22"/>
          <w:szCs w:val="22"/>
        </w:rPr>
        <w:t xml:space="preserve">in Section </w:t>
      </w:r>
      <w:r w:rsidR="00A44F75">
        <w:rPr>
          <w:rFonts w:cs="Arial"/>
          <w:sz w:val="22"/>
          <w:szCs w:val="22"/>
        </w:rPr>
        <w:t>5.1.3</w:t>
      </w:r>
      <w:r w:rsidR="000374B3" w:rsidRPr="008D7DDF">
        <w:rPr>
          <w:rFonts w:cs="Arial"/>
          <w:sz w:val="22"/>
          <w:szCs w:val="22"/>
        </w:rPr>
        <w:t xml:space="preserve"> and </w:t>
      </w:r>
      <w:r w:rsidR="001E339D">
        <w:rPr>
          <w:rFonts w:cs="Arial"/>
          <w:sz w:val="22"/>
          <w:szCs w:val="22"/>
        </w:rPr>
        <w:t xml:space="preserve">Section </w:t>
      </w:r>
      <w:r w:rsidR="00A44F75">
        <w:rPr>
          <w:rFonts w:cs="Arial"/>
          <w:sz w:val="22"/>
          <w:szCs w:val="22"/>
        </w:rPr>
        <w:t>5.4.1</w:t>
      </w:r>
      <w:r w:rsidR="000374B3">
        <w:rPr>
          <w:rFonts w:cs="Arial"/>
          <w:sz w:val="22"/>
          <w:szCs w:val="22"/>
        </w:rPr>
        <w:t xml:space="preserve">) </w:t>
      </w:r>
      <w:r w:rsidRPr="008D7DDF">
        <w:rPr>
          <w:rFonts w:cs="Arial"/>
          <w:sz w:val="22"/>
          <w:szCs w:val="22"/>
        </w:rPr>
        <w:t>may be damaged through streamer drag, dropped objects, emergency anchoring or vessel grounding.</w:t>
      </w:r>
      <w:r w:rsidR="001E339D">
        <w:rPr>
          <w:rFonts w:cs="Arial"/>
          <w:sz w:val="22"/>
          <w:szCs w:val="22"/>
        </w:rPr>
        <w:t xml:space="preserve"> Sound loggers will not be deployed on rocky reef.</w:t>
      </w:r>
      <w:r w:rsidR="00AE3F5E">
        <w:rPr>
          <w:rFonts w:cs="Arial"/>
          <w:sz w:val="22"/>
          <w:szCs w:val="22"/>
        </w:rPr>
        <w:t xml:space="preserve"> </w:t>
      </w:r>
      <w:r w:rsidR="00794D9E">
        <w:rPr>
          <w:sz w:val="22"/>
          <w:szCs w:val="22"/>
        </w:rPr>
        <w:t xml:space="preserve">As </w:t>
      </w:r>
      <w:r w:rsidR="00C6464F">
        <w:rPr>
          <w:sz w:val="22"/>
          <w:szCs w:val="22"/>
        </w:rPr>
        <w:t xml:space="preserve">the discontinuous reef </w:t>
      </w:r>
      <w:r w:rsidR="00794D9E">
        <w:rPr>
          <w:sz w:val="22"/>
          <w:szCs w:val="22"/>
        </w:rPr>
        <w:t xml:space="preserve">outcrops </w:t>
      </w:r>
      <w:r w:rsidR="00C6464F">
        <w:rPr>
          <w:sz w:val="22"/>
          <w:szCs w:val="22"/>
        </w:rPr>
        <w:t>are no higher than 1.5 m from the surrounding seabed</w:t>
      </w:r>
      <w:r w:rsidR="00794D9E">
        <w:rPr>
          <w:sz w:val="22"/>
          <w:szCs w:val="22"/>
        </w:rPr>
        <w:t xml:space="preserve">, </w:t>
      </w:r>
      <w:r w:rsidR="00AE3F5E">
        <w:rPr>
          <w:sz w:val="22"/>
          <w:szCs w:val="22"/>
        </w:rPr>
        <w:t xml:space="preserve">and </w:t>
      </w:r>
      <w:r w:rsidR="00C6464F">
        <w:rPr>
          <w:sz w:val="22"/>
          <w:szCs w:val="22"/>
        </w:rPr>
        <w:t xml:space="preserve">the shallowest point of the proposed acquisition area </w:t>
      </w:r>
      <w:r w:rsidR="00794D9E">
        <w:rPr>
          <w:sz w:val="22"/>
          <w:szCs w:val="22"/>
        </w:rPr>
        <w:t xml:space="preserve">is </w:t>
      </w:r>
      <w:r w:rsidR="00C6464F">
        <w:rPr>
          <w:sz w:val="22"/>
          <w:szCs w:val="22"/>
        </w:rPr>
        <w:t>15 m</w:t>
      </w:r>
      <w:r w:rsidR="00794D9E">
        <w:rPr>
          <w:sz w:val="22"/>
          <w:szCs w:val="22"/>
        </w:rPr>
        <w:t xml:space="preserve"> and the streamers will be towed at 5 m (</w:t>
      </w:r>
      <w:r w:rsidR="00794D9E">
        <w:rPr>
          <w:rFonts w:cs="Arial"/>
          <w:sz w:val="22"/>
          <w:szCs w:val="22"/>
        </w:rPr>
        <w:t>±</w:t>
      </w:r>
      <w:r w:rsidR="00794D9E">
        <w:rPr>
          <w:sz w:val="22"/>
          <w:szCs w:val="22"/>
        </w:rPr>
        <w:t xml:space="preserve"> 1 m</w:t>
      </w:r>
      <w:r w:rsidR="00C6464F">
        <w:rPr>
          <w:sz w:val="22"/>
          <w:szCs w:val="22"/>
        </w:rPr>
        <w:t>)</w:t>
      </w:r>
      <w:r w:rsidR="00794D9E">
        <w:rPr>
          <w:sz w:val="22"/>
          <w:szCs w:val="22"/>
        </w:rPr>
        <w:t xml:space="preserve"> below sea level</w:t>
      </w:r>
      <w:r w:rsidR="00C6464F">
        <w:rPr>
          <w:sz w:val="22"/>
          <w:szCs w:val="22"/>
        </w:rPr>
        <w:t xml:space="preserve">, there will be a vertical separation of </w:t>
      </w:r>
      <w:r w:rsidR="00AE3F5E">
        <w:rPr>
          <w:sz w:val="22"/>
          <w:szCs w:val="22"/>
        </w:rPr>
        <w:t xml:space="preserve">between </w:t>
      </w:r>
      <w:r w:rsidR="00794D9E">
        <w:rPr>
          <w:sz w:val="22"/>
          <w:szCs w:val="22"/>
        </w:rPr>
        <w:t>7.</w:t>
      </w:r>
      <w:r w:rsidR="00CC722D">
        <w:rPr>
          <w:sz w:val="22"/>
          <w:szCs w:val="22"/>
        </w:rPr>
        <w:t>5</w:t>
      </w:r>
      <w:r w:rsidR="00AE3F5E">
        <w:rPr>
          <w:sz w:val="22"/>
          <w:szCs w:val="22"/>
        </w:rPr>
        <w:t xml:space="preserve"> and 10 </w:t>
      </w:r>
      <w:r w:rsidR="00C6464F">
        <w:rPr>
          <w:sz w:val="22"/>
          <w:szCs w:val="22"/>
        </w:rPr>
        <w:t>m between the streamers and the reef outcrops.</w:t>
      </w:r>
      <w:r w:rsidR="00CC722D">
        <w:rPr>
          <w:sz w:val="22"/>
          <w:szCs w:val="22"/>
        </w:rPr>
        <w:t xml:space="preserve"> This vertical separation makes it highly unlikely that there will be damaged through streamer drag. </w:t>
      </w:r>
    </w:p>
    <w:p w14:paraId="00E8788B" w14:textId="4456D96B" w:rsidR="00B430B1" w:rsidRPr="008D7DDF" w:rsidRDefault="00AE3F5E" w:rsidP="00B430B1">
      <w:pPr>
        <w:spacing w:after="240"/>
        <w:ind w:left="0"/>
        <w:rPr>
          <w:rFonts w:cs="Arial"/>
          <w:sz w:val="22"/>
          <w:szCs w:val="22"/>
        </w:rPr>
      </w:pPr>
      <w:r>
        <w:rPr>
          <w:rFonts w:cs="Arial"/>
          <w:sz w:val="22"/>
          <w:szCs w:val="22"/>
        </w:rPr>
        <w:t>P</w:t>
      </w:r>
      <w:r w:rsidR="00B430B1" w:rsidRPr="008D7DDF">
        <w:rPr>
          <w:rFonts w:cs="Arial"/>
          <w:sz w:val="22"/>
          <w:szCs w:val="22"/>
        </w:rPr>
        <w:t xml:space="preserve">hysical contact with the reef (e.g., streamer drag dislodging macroalgae and sponges) may result in </w:t>
      </w:r>
      <w:r w:rsidR="0061281E">
        <w:rPr>
          <w:rFonts w:cs="Arial"/>
          <w:sz w:val="22"/>
          <w:szCs w:val="22"/>
        </w:rPr>
        <w:t>some</w:t>
      </w:r>
      <w:r w:rsidR="00B430B1" w:rsidRPr="008D7DDF">
        <w:rPr>
          <w:rFonts w:cs="Arial"/>
          <w:sz w:val="22"/>
          <w:szCs w:val="22"/>
        </w:rPr>
        <w:t xml:space="preserve"> damage to the reef structure, but any loss of habitat and displacement of associated fauna </w:t>
      </w:r>
      <w:r w:rsidR="0061281E">
        <w:rPr>
          <w:rFonts w:cs="Arial"/>
          <w:sz w:val="22"/>
          <w:szCs w:val="22"/>
        </w:rPr>
        <w:t>i</w:t>
      </w:r>
      <w:r w:rsidR="00B430B1" w:rsidRPr="008D7DDF">
        <w:rPr>
          <w:rFonts w:cs="Arial"/>
          <w:sz w:val="22"/>
          <w:szCs w:val="22"/>
        </w:rPr>
        <w:t>s likely to be temporary, with individuals rapidly recolonising bare and exposed damaged areas.</w:t>
      </w:r>
    </w:p>
    <w:p w14:paraId="5062E6CC" w14:textId="52DFBC81" w:rsidR="00B430B1" w:rsidRPr="008D7DDF" w:rsidRDefault="00B430B1" w:rsidP="00B430B1">
      <w:pPr>
        <w:spacing w:after="240"/>
        <w:ind w:left="0"/>
        <w:rPr>
          <w:rFonts w:cs="Arial"/>
          <w:sz w:val="22"/>
          <w:szCs w:val="22"/>
        </w:rPr>
      </w:pPr>
      <w:r w:rsidRPr="008D7DDF">
        <w:rPr>
          <w:rFonts w:cs="Arial"/>
          <w:sz w:val="22"/>
          <w:szCs w:val="22"/>
        </w:rPr>
        <w:t>Dropped objects would have the impact of smothering benthic habitat and fauna. Impacts from the loss of equipment overboard (assuming no buoyancy) would be the localised and temporary loss of a small area of benthic habitat. If the equipment lost overboard is solid and not recovered, it is likely to provide additional suitable substrate for benthic flora and fauna to colonise (much like subsea infrastructure, such as pip</w:t>
      </w:r>
      <w:r w:rsidR="00A52424">
        <w:rPr>
          <w:rFonts w:cs="Arial"/>
          <w:sz w:val="22"/>
          <w:szCs w:val="22"/>
        </w:rPr>
        <w:t xml:space="preserve">elines and wellheads provide). </w:t>
      </w:r>
    </w:p>
    <w:p w14:paraId="336251D4" w14:textId="30B3748F" w:rsidR="00B430B1" w:rsidRDefault="00D92347" w:rsidP="00B430B1">
      <w:pPr>
        <w:pStyle w:val="Heading3"/>
      </w:pPr>
      <w:bookmarkStart w:id="1181" w:name="_Toc477947906"/>
      <w:bookmarkStart w:id="1182" w:name="_Ref351979225"/>
      <w:bookmarkStart w:id="1183" w:name="_Toc479764100"/>
      <w:bookmarkStart w:id="1184" w:name="_Toc375214645"/>
      <w:r>
        <w:t xml:space="preserve">Control Measures &amp; </w:t>
      </w:r>
      <w:r w:rsidR="00B430B1">
        <w:t>Risk Assessment</w:t>
      </w:r>
      <w:bookmarkEnd w:id="1181"/>
      <w:bookmarkEnd w:id="1182"/>
      <w:bookmarkEnd w:id="1183"/>
      <w:bookmarkEnd w:id="1184"/>
    </w:p>
    <w:p w14:paraId="323CD914" w14:textId="0F96ACE3" w:rsidR="00AE3F5E" w:rsidRDefault="00AE3F5E" w:rsidP="00AE3F5E">
      <w:pPr>
        <w:pStyle w:val="BodyText"/>
        <w:ind w:left="0"/>
        <w:rPr>
          <w:rFonts w:cs="Arial"/>
          <w:sz w:val="22"/>
          <w:szCs w:val="22"/>
        </w:rPr>
      </w:pPr>
      <w:r>
        <w:rPr>
          <w:rFonts w:cs="Arial"/>
          <w:sz w:val="22"/>
          <w:szCs w:val="22"/>
        </w:rPr>
        <w:t xml:space="preserve">The following control measures will be implemented to minimise the risk of seabed disturbance: </w:t>
      </w:r>
    </w:p>
    <w:p w14:paraId="5C1D9F72" w14:textId="7EF9F427" w:rsidR="00E968F3" w:rsidRPr="00AE3F5E" w:rsidRDefault="00AE3F5E" w:rsidP="00AE3F5E">
      <w:pPr>
        <w:pStyle w:val="ListParagraph0"/>
        <w:numPr>
          <w:ilvl w:val="0"/>
          <w:numId w:val="173"/>
        </w:numPr>
        <w:rPr>
          <w:rFonts w:cs="Arial"/>
          <w:sz w:val="22"/>
          <w:szCs w:val="22"/>
        </w:rPr>
      </w:pPr>
      <w:r w:rsidRPr="00AE3F5E">
        <w:rPr>
          <w:rFonts w:cs="Arial"/>
          <w:sz w:val="22"/>
          <w:szCs w:val="22"/>
        </w:rPr>
        <w:t>The survey and support vessels will only anchor in emergency conditions (e.g., loss of propulsion power).</w:t>
      </w:r>
    </w:p>
    <w:p w14:paraId="4281A1C6" w14:textId="71EBEA48" w:rsidR="00AE3F5E" w:rsidRPr="00AE3F5E" w:rsidRDefault="00AE3F5E" w:rsidP="00AE3F5E">
      <w:pPr>
        <w:pStyle w:val="ListParagraph0"/>
        <w:numPr>
          <w:ilvl w:val="0"/>
          <w:numId w:val="173"/>
        </w:numPr>
        <w:rPr>
          <w:rFonts w:cs="Arial"/>
          <w:sz w:val="22"/>
          <w:szCs w:val="22"/>
        </w:rPr>
      </w:pPr>
      <w:r w:rsidRPr="00AE3F5E">
        <w:rPr>
          <w:rFonts w:cs="Arial"/>
          <w:sz w:val="22"/>
          <w:szCs w:val="22"/>
        </w:rPr>
        <w:t>Detailed bathymetric mapping will be acquired and used in survey planning to ensure that seabed obstacles are identified and accommodated in the final survey design.</w:t>
      </w:r>
    </w:p>
    <w:p w14:paraId="02280F36" w14:textId="1F44BB81" w:rsidR="00AE3F5E" w:rsidRPr="00AE3F5E" w:rsidRDefault="00AE3F5E" w:rsidP="00AE3F5E">
      <w:pPr>
        <w:pStyle w:val="ListParagraph0"/>
        <w:numPr>
          <w:ilvl w:val="0"/>
          <w:numId w:val="173"/>
        </w:numPr>
        <w:rPr>
          <w:rFonts w:cs="Arial"/>
          <w:sz w:val="22"/>
          <w:szCs w:val="22"/>
        </w:rPr>
      </w:pPr>
      <w:r w:rsidRPr="00AE3F5E">
        <w:rPr>
          <w:rFonts w:cs="Arial"/>
          <w:sz w:val="22"/>
          <w:szCs w:val="22"/>
        </w:rPr>
        <w:t>Only source and support vessels suitable for work in shallow waters (e.g., fitted with depth sounders) will be contracted.</w:t>
      </w:r>
    </w:p>
    <w:p w14:paraId="289515D7" w14:textId="7A73B018" w:rsidR="00AE3F5E" w:rsidRPr="00AE3F5E" w:rsidRDefault="00AE3F5E" w:rsidP="00AE3F5E">
      <w:pPr>
        <w:pStyle w:val="ListParagraph0"/>
        <w:numPr>
          <w:ilvl w:val="0"/>
          <w:numId w:val="173"/>
        </w:numPr>
        <w:rPr>
          <w:rFonts w:cs="Arial"/>
          <w:sz w:val="22"/>
          <w:szCs w:val="22"/>
        </w:rPr>
      </w:pPr>
      <w:r w:rsidRPr="00AE3F5E">
        <w:rPr>
          <w:rFonts w:cs="Arial"/>
          <w:sz w:val="22"/>
          <w:szCs w:val="22"/>
        </w:rPr>
        <w:t>Vessel Masters use bathymetric mapping and GPS to avoid seabed obstacles and monitor vessel and source equipment clearances via depth sounders to ensure there is clearance at all times between the vessel and the seabed.</w:t>
      </w:r>
    </w:p>
    <w:p w14:paraId="777AC296" w14:textId="6AE340C2" w:rsidR="00E968F3" w:rsidRPr="00AE3F5E" w:rsidRDefault="00AE3F5E" w:rsidP="00AE3F5E">
      <w:pPr>
        <w:pStyle w:val="ListParagraph0"/>
        <w:numPr>
          <w:ilvl w:val="0"/>
          <w:numId w:val="173"/>
        </w:numPr>
        <w:rPr>
          <w:rFonts w:cs="Arial"/>
          <w:sz w:val="22"/>
          <w:szCs w:val="22"/>
        </w:rPr>
      </w:pPr>
      <w:r w:rsidRPr="00AE3F5E">
        <w:rPr>
          <w:rFonts w:cs="Arial"/>
          <w:sz w:val="22"/>
          <w:szCs w:val="22"/>
        </w:rPr>
        <w:t>The vessel crew will adjust the depth of the streamers (using the streamer depth controllers, or ‘birds’) to keep the streamers clear of the seabed. Depths will be monitored by the crew during acquisition and on line changes, with minimum clearances tak</w:t>
      </w:r>
      <w:r>
        <w:rPr>
          <w:rFonts w:cs="Arial"/>
          <w:sz w:val="22"/>
          <w:szCs w:val="22"/>
        </w:rPr>
        <w:t>en</w:t>
      </w:r>
      <w:r w:rsidRPr="00AE3F5E">
        <w:rPr>
          <w:rFonts w:cs="Arial"/>
          <w:sz w:val="22"/>
          <w:szCs w:val="22"/>
        </w:rPr>
        <w:t xml:space="preserve"> into account prevailing currents and weather conditions.  </w:t>
      </w:r>
    </w:p>
    <w:p w14:paraId="3128CC3F" w14:textId="26C2E225" w:rsidR="00AE3F5E" w:rsidRPr="00AE3F5E" w:rsidRDefault="00AE3F5E" w:rsidP="00AE3F5E">
      <w:pPr>
        <w:pStyle w:val="ListParagraph0"/>
        <w:numPr>
          <w:ilvl w:val="0"/>
          <w:numId w:val="173"/>
        </w:numPr>
        <w:rPr>
          <w:rFonts w:cs="Arial"/>
          <w:sz w:val="22"/>
          <w:szCs w:val="22"/>
        </w:rPr>
      </w:pPr>
      <w:r w:rsidRPr="00AE3F5E">
        <w:rPr>
          <w:rFonts w:cs="Arial"/>
          <w:sz w:val="22"/>
          <w:szCs w:val="22"/>
        </w:rPr>
        <w:t>The seismic crew deploy the seismic source and streamers in accordance with the contractor’s approved procedures for operating in shallow waters.</w:t>
      </w:r>
    </w:p>
    <w:p w14:paraId="053068AE" w14:textId="6B79FA8D" w:rsidR="00AE3F5E" w:rsidRPr="00AE3F5E" w:rsidRDefault="00AE3F5E" w:rsidP="00AE3F5E">
      <w:pPr>
        <w:pStyle w:val="ListParagraph0"/>
        <w:numPr>
          <w:ilvl w:val="0"/>
          <w:numId w:val="173"/>
        </w:numPr>
        <w:rPr>
          <w:rFonts w:cs="Arial"/>
          <w:sz w:val="22"/>
          <w:szCs w:val="22"/>
        </w:rPr>
      </w:pPr>
      <w:r w:rsidRPr="00AE3F5E">
        <w:rPr>
          <w:rFonts w:cs="Arial"/>
          <w:sz w:val="22"/>
          <w:szCs w:val="22"/>
        </w:rPr>
        <w:t>Streamers are fitted with streamer retrieval devices (SRD) that inflate when the SRD reaches a maximum depth. The tail of each streamer has an RGPS tailbouy. If a streamer is lost then the RGPS position of the tailbuouy combined with the visual presence of the SRDs would be used to locate and retrieve it. The sources are all suspended from floats and each float will be fitted with an RGPS unit.</w:t>
      </w:r>
    </w:p>
    <w:p w14:paraId="2D2C7BE2" w14:textId="271307EF" w:rsidR="00AE3F5E" w:rsidRPr="00AE3F5E" w:rsidRDefault="00AE3F5E" w:rsidP="00AE3F5E">
      <w:pPr>
        <w:pStyle w:val="ListParagraph0"/>
        <w:numPr>
          <w:ilvl w:val="0"/>
          <w:numId w:val="173"/>
        </w:numPr>
        <w:rPr>
          <w:rFonts w:cs="Arial"/>
          <w:sz w:val="22"/>
          <w:szCs w:val="22"/>
        </w:rPr>
      </w:pPr>
      <w:r w:rsidRPr="00AE3F5E">
        <w:rPr>
          <w:rFonts w:cs="Arial"/>
          <w:sz w:val="22"/>
          <w:szCs w:val="22"/>
        </w:rPr>
        <w:t>The vessel contractor’s Matrix of Permitted Operations (MOPO) (or equivalent, which sets limits for certain activities dependant on weather conditions) will be used to guide the deployment of streamer and source equipment so that damage to (and potential loss of) equipment caused by rough seas is avoided.</w:t>
      </w:r>
    </w:p>
    <w:p w14:paraId="20243092" w14:textId="1EACB5C0" w:rsidR="00AE3F5E" w:rsidRPr="00AE3F5E" w:rsidRDefault="00AE3F5E" w:rsidP="00AE3F5E">
      <w:pPr>
        <w:pStyle w:val="ListParagraph0"/>
        <w:numPr>
          <w:ilvl w:val="0"/>
          <w:numId w:val="173"/>
        </w:numPr>
        <w:rPr>
          <w:rFonts w:cs="Arial"/>
          <w:sz w:val="22"/>
          <w:szCs w:val="22"/>
        </w:rPr>
      </w:pPr>
      <w:r w:rsidRPr="00AE3F5E">
        <w:rPr>
          <w:rFonts w:cs="Arial"/>
          <w:sz w:val="22"/>
          <w:szCs w:val="22"/>
        </w:rPr>
        <w:lastRenderedPageBreak/>
        <w:t>Large bulky items are securely fastened to or stored on the deck to prevent loss to sea.</w:t>
      </w:r>
    </w:p>
    <w:p w14:paraId="7784EA15" w14:textId="77777777" w:rsidR="00AE3F5E" w:rsidRPr="00AE3F5E" w:rsidRDefault="00AE3F5E" w:rsidP="00AE3F5E">
      <w:pPr>
        <w:pStyle w:val="ListParagraph0"/>
        <w:numPr>
          <w:ilvl w:val="0"/>
          <w:numId w:val="173"/>
        </w:numPr>
        <w:rPr>
          <w:rFonts w:cs="Arial"/>
          <w:sz w:val="22"/>
          <w:szCs w:val="22"/>
        </w:rPr>
      </w:pPr>
      <w:r w:rsidRPr="00AE3F5E">
        <w:rPr>
          <w:rFonts w:cs="Arial"/>
          <w:sz w:val="22"/>
          <w:szCs w:val="22"/>
        </w:rPr>
        <w:t xml:space="preserve">The crane handling and transfer procedure is in place and implemented by crane operators (and others, such as dogmen) to prevent dropped objects. </w:t>
      </w:r>
    </w:p>
    <w:p w14:paraId="2768153A" w14:textId="63BA074B" w:rsidR="00AE3F5E" w:rsidRPr="00AE3F5E" w:rsidRDefault="00AE3F5E" w:rsidP="00AE3F5E">
      <w:pPr>
        <w:pStyle w:val="ListParagraph0"/>
        <w:numPr>
          <w:ilvl w:val="0"/>
          <w:numId w:val="173"/>
        </w:numPr>
        <w:rPr>
          <w:rFonts w:cs="Arial"/>
          <w:sz w:val="22"/>
          <w:szCs w:val="22"/>
        </w:rPr>
      </w:pPr>
      <w:r w:rsidRPr="00AE3F5E">
        <w:rPr>
          <w:rFonts w:cs="Arial"/>
          <w:sz w:val="22"/>
          <w:szCs w:val="22"/>
        </w:rPr>
        <w:t>The crane operators are trained to be competent in the handling and transfer procedure to prevent dropped objects.</w:t>
      </w:r>
    </w:p>
    <w:p w14:paraId="5708A426" w14:textId="465AB7DA" w:rsidR="00AE3F5E" w:rsidRPr="00AE3F5E" w:rsidRDefault="00AE3F5E" w:rsidP="00AE3F5E">
      <w:pPr>
        <w:pStyle w:val="ListParagraph0"/>
        <w:numPr>
          <w:ilvl w:val="0"/>
          <w:numId w:val="173"/>
        </w:numPr>
        <w:rPr>
          <w:rFonts w:cs="Arial"/>
          <w:sz w:val="22"/>
          <w:szCs w:val="22"/>
        </w:rPr>
      </w:pPr>
      <w:r w:rsidRPr="00AE3F5E">
        <w:rPr>
          <w:rFonts w:cs="Arial"/>
          <w:sz w:val="22"/>
          <w:szCs w:val="22"/>
        </w:rPr>
        <w:t>Visual inspection of lifting gear is undertaken every quarter by a qualified competent person (e.g., maritime officer) and lifting gear is tested regularly in line with the vessel PMS.</w:t>
      </w:r>
    </w:p>
    <w:p w14:paraId="018E2CD6" w14:textId="6383648F" w:rsidR="00AE3F5E" w:rsidRPr="00AE3F5E" w:rsidRDefault="00AE3F5E" w:rsidP="00AE3F5E">
      <w:pPr>
        <w:pStyle w:val="ListParagraph0"/>
        <w:numPr>
          <w:ilvl w:val="0"/>
          <w:numId w:val="173"/>
        </w:numPr>
        <w:rPr>
          <w:rFonts w:cs="Arial"/>
          <w:sz w:val="22"/>
          <w:szCs w:val="22"/>
        </w:rPr>
      </w:pPr>
      <w:r w:rsidRPr="00AE3F5E">
        <w:rPr>
          <w:rFonts w:cs="Arial"/>
          <w:sz w:val="22"/>
          <w:szCs w:val="22"/>
        </w:rPr>
        <w:t>Qualified and experienced divers are engaged to recover dropped or snagged equipment if they represent a significant navigation hazard and cannot be easily recovered by other means.</w:t>
      </w:r>
    </w:p>
    <w:p w14:paraId="26C44ADE" w14:textId="5378DC4C" w:rsidR="00AE3F5E" w:rsidRPr="00AE3F5E" w:rsidRDefault="00AE3F5E" w:rsidP="00AE3F5E">
      <w:pPr>
        <w:pStyle w:val="ListParagraph0"/>
        <w:numPr>
          <w:ilvl w:val="0"/>
          <w:numId w:val="173"/>
        </w:numPr>
        <w:spacing w:after="240"/>
        <w:rPr>
          <w:rFonts w:cs="Arial"/>
          <w:sz w:val="22"/>
          <w:szCs w:val="22"/>
        </w:rPr>
      </w:pPr>
      <w:r w:rsidRPr="00AE3F5E">
        <w:rPr>
          <w:rFonts w:cs="Arial"/>
          <w:sz w:val="22"/>
          <w:szCs w:val="22"/>
        </w:rPr>
        <w:t>The base plate and/or weight/s used to keep the underwater sound loggers on site during the MSS will not be placed over mapped sensitive habitat, such as sponge gardens or reef.</w:t>
      </w:r>
    </w:p>
    <w:p w14:paraId="366F52C6" w14:textId="24C3FE26" w:rsidR="00E968F3" w:rsidRPr="00B6448F" w:rsidRDefault="00E968F3" w:rsidP="00E968F3">
      <w:pPr>
        <w:pStyle w:val="bodycopy"/>
        <w:spacing w:after="240"/>
        <w:rPr>
          <w:rFonts w:ascii="Arial" w:hAnsi="Arial"/>
          <w:sz w:val="22"/>
          <w:szCs w:val="22"/>
        </w:rPr>
      </w:pPr>
      <w:r w:rsidRPr="003C0ADD">
        <w:rPr>
          <w:rFonts w:ascii="Arial" w:hAnsi="Arial"/>
          <w:sz w:val="22"/>
          <w:szCs w:val="22"/>
        </w:rPr>
        <w:t>Table 7.</w:t>
      </w:r>
      <w:r w:rsidR="003C0ADD" w:rsidRPr="003C0ADD">
        <w:rPr>
          <w:rFonts w:ascii="Arial" w:hAnsi="Arial"/>
          <w:sz w:val="22"/>
          <w:szCs w:val="22"/>
        </w:rPr>
        <w:t>37</w:t>
      </w:r>
      <w:r w:rsidRPr="003C0ADD">
        <w:rPr>
          <w:rFonts w:ascii="Arial" w:hAnsi="Arial"/>
          <w:sz w:val="22"/>
          <w:szCs w:val="22"/>
        </w:rPr>
        <w:t xml:space="preserve"> presents</w:t>
      </w:r>
      <w:r w:rsidRPr="006F65F9">
        <w:rPr>
          <w:rFonts w:ascii="Arial" w:hAnsi="Arial"/>
          <w:sz w:val="22"/>
          <w:szCs w:val="22"/>
        </w:rPr>
        <w:t xml:space="preserve"> the </w:t>
      </w:r>
      <w:r w:rsidR="003C0ADD">
        <w:rPr>
          <w:rFonts w:ascii="Arial" w:hAnsi="Arial"/>
          <w:sz w:val="22"/>
          <w:szCs w:val="22"/>
        </w:rPr>
        <w:t xml:space="preserve">residual </w:t>
      </w:r>
      <w:r w:rsidRPr="006F65F9">
        <w:rPr>
          <w:rFonts w:ascii="Arial" w:hAnsi="Arial"/>
          <w:sz w:val="22"/>
          <w:szCs w:val="22"/>
        </w:rPr>
        <w:t xml:space="preserve">risk assessment for </w:t>
      </w:r>
      <w:r>
        <w:rPr>
          <w:rFonts w:ascii="Arial" w:hAnsi="Arial"/>
          <w:sz w:val="22"/>
          <w:szCs w:val="22"/>
        </w:rPr>
        <w:t>underwater sound</w:t>
      </w:r>
      <w:r w:rsidRPr="00B6448F">
        <w:rPr>
          <w:rFonts w:ascii="Arial" w:hAnsi="Arial"/>
          <w:sz w:val="22"/>
          <w:szCs w:val="22"/>
        </w:rPr>
        <w:t xml:space="preserve">. </w:t>
      </w:r>
    </w:p>
    <w:p w14:paraId="67C7590F" w14:textId="0DF9BFD0" w:rsidR="00E968F3" w:rsidRPr="00D157DF" w:rsidRDefault="00E968F3" w:rsidP="00E968F3">
      <w:pPr>
        <w:pStyle w:val="CaptionTables"/>
        <w:jc w:val="center"/>
        <w:rPr>
          <w:rFonts w:eastAsia="Times New Roman" w:cs="Arial"/>
          <w:bCs w:val="0"/>
          <w:color w:val="auto"/>
          <w:sz w:val="20"/>
          <w:lang w:eastAsia="en-AU"/>
        </w:rPr>
      </w:pPr>
      <w:r w:rsidRPr="00D157DF">
        <w:rPr>
          <w:rFonts w:eastAsia="Times New Roman" w:cs="Arial"/>
          <w:bCs w:val="0"/>
          <w:color w:val="auto"/>
          <w:sz w:val="20"/>
          <w:lang w:eastAsia="en-AU"/>
        </w:rPr>
        <w:t xml:space="preserve">Table </w:t>
      </w:r>
      <w:r>
        <w:rPr>
          <w:rFonts w:eastAsia="Times New Roman" w:cs="Arial"/>
          <w:bCs w:val="0"/>
          <w:color w:val="auto"/>
          <w:sz w:val="20"/>
          <w:lang w:eastAsia="en-AU"/>
        </w:rPr>
        <w:t>7.</w:t>
      </w:r>
      <w:r w:rsidR="003C0ADD">
        <w:rPr>
          <w:rFonts w:eastAsia="Times New Roman" w:cs="Arial"/>
          <w:bCs w:val="0"/>
          <w:color w:val="auto"/>
          <w:sz w:val="20"/>
          <w:lang w:eastAsia="en-AU"/>
        </w:rPr>
        <w:t>37</w:t>
      </w:r>
      <w:r w:rsidRPr="00D157DF">
        <w:rPr>
          <w:rFonts w:eastAsia="Times New Roman" w:cs="Arial"/>
          <w:bCs w:val="0"/>
          <w:color w:val="auto"/>
          <w:sz w:val="20"/>
          <w:lang w:eastAsia="en-AU"/>
        </w:rPr>
        <w:t>.</w:t>
      </w:r>
      <w:r w:rsidRPr="00D157DF">
        <w:rPr>
          <w:rFonts w:eastAsia="Times New Roman" w:cs="Arial"/>
          <w:bCs w:val="0"/>
          <w:color w:val="auto"/>
          <w:sz w:val="20"/>
          <w:lang w:eastAsia="en-AU"/>
        </w:rPr>
        <w:tab/>
      </w:r>
      <w:r w:rsidR="003C0ADD">
        <w:rPr>
          <w:rFonts w:eastAsia="Times New Roman" w:cs="Arial"/>
          <w:bCs w:val="0"/>
          <w:color w:val="auto"/>
          <w:sz w:val="20"/>
          <w:lang w:eastAsia="en-AU"/>
        </w:rPr>
        <w:t>Residual r</w:t>
      </w:r>
      <w:r w:rsidRPr="00D157DF">
        <w:rPr>
          <w:rFonts w:eastAsia="Times New Roman" w:cs="Arial"/>
          <w:bCs w:val="0"/>
          <w:color w:val="auto"/>
          <w:sz w:val="20"/>
          <w:lang w:eastAsia="en-AU"/>
        </w:rPr>
        <w:t xml:space="preserve">isk assessment for </w:t>
      </w:r>
      <w:r>
        <w:rPr>
          <w:rFonts w:eastAsia="Times New Roman" w:cs="Arial"/>
          <w:bCs w:val="0"/>
          <w:color w:val="auto"/>
          <w:sz w:val="20"/>
          <w:lang w:eastAsia="en-AU"/>
        </w:rPr>
        <w:t>seabed disturbance</w:t>
      </w:r>
    </w:p>
    <w:tbl>
      <w:tblPr>
        <w:tblW w:w="8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2976"/>
        <w:gridCol w:w="2728"/>
      </w:tblGrid>
      <w:tr w:rsidR="003C0ADD" w:rsidRPr="00D157DF" w14:paraId="29FF4608" w14:textId="77777777" w:rsidTr="009822DA">
        <w:trPr>
          <w:cantSplit/>
        </w:trPr>
        <w:tc>
          <w:tcPr>
            <w:tcW w:w="2802" w:type="dxa"/>
            <w:shd w:val="clear" w:color="auto" w:fill="064EA8"/>
          </w:tcPr>
          <w:p w14:paraId="142D034A" w14:textId="77777777" w:rsidR="003C0ADD" w:rsidRPr="009822DA" w:rsidRDefault="003C0ADD" w:rsidP="00891DE1">
            <w:pPr>
              <w:pStyle w:val="TableText"/>
              <w:spacing w:before="60" w:after="60" w:line="240" w:lineRule="auto"/>
              <w:jc w:val="center"/>
              <w:rPr>
                <w:rFonts w:cs="Arial"/>
                <w:color w:val="FFFFFF" w:themeColor="background1"/>
                <w:sz w:val="20"/>
                <w:szCs w:val="20"/>
              </w:rPr>
            </w:pPr>
            <w:r w:rsidRPr="009822DA">
              <w:rPr>
                <w:rFonts w:cs="Arial"/>
                <w:color w:val="FFFFFF" w:themeColor="background1"/>
                <w:sz w:val="20"/>
                <w:szCs w:val="20"/>
              </w:rPr>
              <w:t>Likelihood</w:t>
            </w:r>
          </w:p>
        </w:tc>
        <w:tc>
          <w:tcPr>
            <w:tcW w:w="2976" w:type="dxa"/>
            <w:shd w:val="clear" w:color="auto" w:fill="064EA8"/>
          </w:tcPr>
          <w:p w14:paraId="1DE3E2C9" w14:textId="77777777" w:rsidR="003C0ADD" w:rsidRPr="009822DA" w:rsidRDefault="003C0ADD" w:rsidP="00891DE1">
            <w:pPr>
              <w:pStyle w:val="TableText"/>
              <w:spacing w:before="60" w:after="60" w:line="240" w:lineRule="auto"/>
              <w:jc w:val="center"/>
              <w:rPr>
                <w:rFonts w:cs="Arial"/>
                <w:color w:val="FFFFFF" w:themeColor="background1"/>
                <w:sz w:val="20"/>
                <w:szCs w:val="20"/>
              </w:rPr>
            </w:pPr>
            <w:r w:rsidRPr="009822DA">
              <w:rPr>
                <w:rFonts w:cs="Arial"/>
                <w:color w:val="FFFFFF" w:themeColor="background1"/>
                <w:sz w:val="20"/>
                <w:szCs w:val="20"/>
              </w:rPr>
              <w:t>Consequence</w:t>
            </w:r>
          </w:p>
        </w:tc>
        <w:tc>
          <w:tcPr>
            <w:tcW w:w="2728" w:type="dxa"/>
            <w:shd w:val="clear" w:color="auto" w:fill="064EA8"/>
          </w:tcPr>
          <w:p w14:paraId="4A7FF5A3" w14:textId="77777777" w:rsidR="003C0ADD" w:rsidRPr="009822DA" w:rsidRDefault="003C0ADD" w:rsidP="00891DE1">
            <w:pPr>
              <w:pStyle w:val="TableText"/>
              <w:spacing w:before="60" w:after="60" w:line="240" w:lineRule="auto"/>
              <w:jc w:val="center"/>
              <w:rPr>
                <w:rFonts w:cs="Arial"/>
                <w:color w:val="FFFFFF" w:themeColor="background1"/>
                <w:sz w:val="20"/>
                <w:szCs w:val="20"/>
              </w:rPr>
            </w:pPr>
            <w:r w:rsidRPr="009822DA">
              <w:rPr>
                <w:rFonts w:cs="Arial"/>
                <w:color w:val="FFFFFF" w:themeColor="background1"/>
                <w:sz w:val="20"/>
                <w:szCs w:val="20"/>
              </w:rPr>
              <w:t>Risk rating</w:t>
            </w:r>
          </w:p>
        </w:tc>
      </w:tr>
      <w:tr w:rsidR="003C0ADD" w:rsidRPr="00D157DF" w14:paraId="0FA2BF6B" w14:textId="77777777" w:rsidTr="001A15E3">
        <w:trPr>
          <w:cantSplit/>
        </w:trPr>
        <w:tc>
          <w:tcPr>
            <w:tcW w:w="2802" w:type="dxa"/>
            <w:shd w:val="clear" w:color="auto" w:fill="FFFFFF" w:themeFill="background1"/>
          </w:tcPr>
          <w:p w14:paraId="6D762BA1" w14:textId="53948764" w:rsidR="003C0ADD" w:rsidRDefault="003C0ADD" w:rsidP="003C0ADD">
            <w:pPr>
              <w:pStyle w:val="TableText"/>
              <w:spacing w:before="60" w:after="60" w:line="240" w:lineRule="auto"/>
              <w:jc w:val="center"/>
              <w:rPr>
                <w:rFonts w:cs="Arial"/>
                <w:sz w:val="20"/>
                <w:szCs w:val="20"/>
              </w:rPr>
            </w:pPr>
            <w:r>
              <w:rPr>
                <w:rFonts w:cs="Arial"/>
                <w:sz w:val="20"/>
                <w:szCs w:val="20"/>
              </w:rPr>
              <w:t>Rare</w:t>
            </w:r>
          </w:p>
        </w:tc>
        <w:tc>
          <w:tcPr>
            <w:tcW w:w="2976" w:type="dxa"/>
            <w:shd w:val="clear" w:color="auto" w:fill="auto"/>
          </w:tcPr>
          <w:p w14:paraId="6974A8AF" w14:textId="77777777" w:rsidR="003C0ADD" w:rsidRDefault="003C0ADD" w:rsidP="00787185">
            <w:pPr>
              <w:pStyle w:val="TableText"/>
              <w:spacing w:before="60" w:after="60" w:line="240" w:lineRule="auto"/>
              <w:jc w:val="center"/>
              <w:rPr>
                <w:rFonts w:cs="Arial"/>
                <w:sz w:val="20"/>
                <w:szCs w:val="20"/>
              </w:rPr>
            </w:pPr>
            <w:r>
              <w:rPr>
                <w:rFonts w:cs="Arial"/>
                <w:sz w:val="20"/>
                <w:szCs w:val="20"/>
              </w:rPr>
              <w:t>Minor</w:t>
            </w:r>
          </w:p>
        </w:tc>
        <w:tc>
          <w:tcPr>
            <w:tcW w:w="2728" w:type="dxa"/>
            <w:shd w:val="clear" w:color="auto" w:fill="73FB79"/>
          </w:tcPr>
          <w:p w14:paraId="3B7842AD" w14:textId="77777777" w:rsidR="003C0ADD" w:rsidRDefault="003C0ADD" w:rsidP="00787185">
            <w:pPr>
              <w:pStyle w:val="TableText"/>
              <w:spacing w:before="60" w:after="60" w:line="240" w:lineRule="auto"/>
              <w:jc w:val="center"/>
              <w:rPr>
                <w:rFonts w:cs="Arial"/>
                <w:sz w:val="20"/>
                <w:szCs w:val="20"/>
              </w:rPr>
            </w:pPr>
            <w:r>
              <w:rPr>
                <w:rFonts w:cs="Arial"/>
                <w:sz w:val="20"/>
                <w:szCs w:val="20"/>
              </w:rPr>
              <w:t>Low</w:t>
            </w:r>
          </w:p>
        </w:tc>
      </w:tr>
    </w:tbl>
    <w:p w14:paraId="1F42CDC2" w14:textId="77777777" w:rsidR="00E968F3" w:rsidRDefault="00E968F3" w:rsidP="00B22BC8">
      <w:pPr>
        <w:pStyle w:val="bodycopy"/>
        <w:spacing w:after="240"/>
        <w:rPr>
          <w:rFonts w:ascii="Arial" w:hAnsi="Arial"/>
          <w:sz w:val="22"/>
          <w:szCs w:val="22"/>
        </w:rPr>
      </w:pPr>
    </w:p>
    <w:p w14:paraId="294DBC41" w14:textId="22D2FE19" w:rsidR="00863A83" w:rsidRPr="00D65383" w:rsidRDefault="00423BDF" w:rsidP="00B03966">
      <w:pPr>
        <w:pStyle w:val="Heading2"/>
        <w:keepLines/>
        <w:numPr>
          <w:ilvl w:val="1"/>
          <w:numId w:val="1"/>
        </w:numPr>
        <w:tabs>
          <w:tab w:val="clear" w:pos="720"/>
        </w:tabs>
        <w:spacing w:before="400" w:after="200" w:line="240" w:lineRule="auto"/>
        <w:ind w:left="709" w:hanging="709"/>
        <w:rPr>
          <w:rFonts w:cs="Times New Roman"/>
          <w:iCs w:val="0"/>
          <w:color w:val="064EA8"/>
          <w:szCs w:val="26"/>
          <w:lang w:eastAsia="en-US"/>
        </w:rPr>
      </w:pPr>
      <w:bookmarkStart w:id="1185" w:name="_Toc320190772"/>
      <w:bookmarkStart w:id="1186" w:name="_Toc375214646"/>
      <w:r w:rsidRPr="00D65383">
        <w:rPr>
          <w:rFonts w:cs="Times New Roman"/>
          <w:iCs w:val="0"/>
          <w:color w:val="064EA8"/>
          <w:szCs w:val="26"/>
          <w:lang w:eastAsia="en-US"/>
        </w:rPr>
        <w:t>R</w:t>
      </w:r>
      <w:r w:rsidR="00B03966" w:rsidRPr="00D65383">
        <w:rPr>
          <w:rFonts w:cs="Times New Roman"/>
          <w:iCs w:val="0"/>
          <w:color w:val="064EA8"/>
          <w:szCs w:val="26"/>
          <w:lang w:eastAsia="en-US"/>
        </w:rPr>
        <w:t xml:space="preserve">ISK: </w:t>
      </w:r>
      <w:r w:rsidR="00863A83" w:rsidRPr="00D65383">
        <w:rPr>
          <w:rFonts w:cs="Times New Roman"/>
          <w:iCs w:val="0"/>
          <w:color w:val="064EA8"/>
          <w:szCs w:val="26"/>
          <w:lang w:eastAsia="en-US"/>
        </w:rPr>
        <w:t xml:space="preserve">Accidental </w:t>
      </w:r>
      <w:bookmarkEnd w:id="1185"/>
      <w:r w:rsidR="00863A83" w:rsidRPr="00D65383">
        <w:rPr>
          <w:rFonts w:cs="Times New Roman"/>
          <w:iCs w:val="0"/>
          <w:color w:val="064EA8"/>
          <w:szCs w:val="26"/>
          <w:lang w:eastAsia="en-US"/>
        </w:rPr>
        <w:t>Overboard Release of Hazardous and Non-hazardous Waste</w:t>
      </w:r>
      <w:bookmarkEnd w:id="1186"/>
      <w:r w:rsidR="00EB5F74" w:rsidRPr="00D65383">
        <w:rPr>
          <w:rFonts w:cs="Times New Roman"/>
          <w:iCs w:val="0"/>
          <w:color w:val="064EA8"/>
          <w:szCs w:val="26"/>
          <w:lang w:eastAsia="en-US"/>
        </w:rPr>
        <w:t xml:space="preserve"> </w:t>
      </w:r>
      <w:r w:rsidR="00E54CC3" w:rsidRPr="00D65383">
        <w:rPr>
          <w:rFonts w:cs="Times New Roman"/>
          <w:iCs w:val="0"/>
          <w:color w:val="064EA8"/>
          <w:szCs w:val="26"/>
          <w:lang w:eastAsia="en-US"/>
        </w:rPr>
        <w:t xml:space="preserve"> </w:t>
      </w:r>
    </w:p>
    <w:p w14:paraId="5F10D329" w14:textId="77777777" w:rsidR="00863A83" w:rsidRPr="00D65383" w:rsidRDefault="00863A83" w:rsidP="00BB02C1">
      <w:pPr>
        <w:pStyle w:val="Heading3"/>
      </w:pPr>
      <w:bookmarkStart w:id="1187" w:name="_Toc477947909"/>
      <w:bookmarkStart w:id="1188" w:name="_Toc479764110"/>
      <w:bookmarkStart w:id="1189" w:name="_Toc375214647"/>
      <w:r w:rsidRPr="00D65383">
        <w:t>Hazard</w:t>
      </w:r>
      <w:bookmarkEnd w:id="1187"/>
      <w:bookmarkEnd w:id="1188"/>
      <w:bookmarkEnd w:id="1189"/>
    </w:p>
    <w:p w14:paraId="2398D9A7" w14:textId="77777777" w:rsidR="005270EF" w:rsidRPr="001C170C" w:rsidRDefault="005270EF" w:rsidP="00455B54">
      <w:pPr>
        <w:ind w:left="0"/>
        <w:rPr>
          <w:rFonts w:cs="Arial"/>
          <w:sz w:val="22"/>
          <w:szCs w:val="22"/>
        </w:rPr>
      </w:pPr>
      <w:r w:rsidRPr="001C170C">
        <w:rPr>
          <w:rFonts w:cs="Arial"/>
          <w:sz w:val="22"/>
          <w:szCs w:val="22"/>
        </w:rPr>
        <w:t xml:space="preserve">The handling and storage of materials and waste on board a vessel has the potential for accidental overboard disposal of hazardous and non-hazardous materials and waste. </w:t>
      </w:r>
    </w:p>
    <w:p w14:paraId="71C0755C" w14:textId="77777777" w:rsidR="00FC65D2" w:rsidRPr="001C170C" w:rsidRDefault="00FC65D2" w:rsidP="00455B54">
      <w:pPr>
        <w:ind w:left="0"/>
        <w:rPr>
          <w:rFonts w:cs="Arial"/>
          <w:sz w:val="22"/>
          <w:szCs w:val="22"/>
        </w:rPr>
      </w:pPr>
    </w:p>
    <w:p w14:paraId="60E2A428" w14:textId="135FBBC6" w:rsidR="00FC65D2" w:rsidRPr="001C170C" w:rsidRDefault="005270EF" w:rsidP="00455B54">
      <w:pPr>
        <w:ind w:left="0"/>
        <w:rPr>
          <w:rFonts w:cs="Arial"/>
          <w:sz w:val="22"/>
          <w:szCs w:val="22"/>
        </w:rPr>
      </w:pPr>
      <w:r w:rsidRPr="001C170C">
        <w:rPr>
          <w:rFonts w:cs="Arial"/>
          <w:sz w:val="22"/>
          <w:szCs w:val="22"/>
        </w:rPr>
        <w:t>In the normal course of operations, solid and liquid hazardous and non-hazardous materials and wastes will be stored on the vessel until it is disposed of via port facilities for disposal at licensed onshore facilities. However, accidental releases to sea are a possibility, especially in rough ocean conditions when items may roll off or be blown off the deck.</w:t>
      </w:r>
    </w:p>
    <w:p w14:paraId="42A58D9A" w14:textId="67A7B003" w:rsidR="00863A83" w:rsidRPr="001C170C" w:rsidRDefault="00863A83" w:rsidP="00BB02C1">
      <w:pPr>
        <w:pStyle w:val="Heading3"/>
      </w:pPr>
      <w:bookmarkStart w:id="1190" w:name="_Toc477947910"/>
      <w:bookmarkStart w:id="1191" w:name="_Toc479764111"/>
      <w:bookmarkStart w:id="1192" w:name="_Toc375214648"/>
      <w:r w:rsidRPr="001C170C">
        <w:t xml:space="preserve">Potential Environmental </w:t>
      </w:r>
      <w:bookmarkEnd w:id="1190"/>
      <w:bookmarkEnd w:id="1191"/>
      <w:r w:rsidR="00CA3240">
        <w:t>Risks</w:t>
      </w:r>
      <w:bookmarkEnd w:id="1192"/>
    </w:p>
    <w:p w14:paraId="2BA18F20" w14:textId="42122222" w:rsidR="00621CCE" w:rsidRPr="001C170C" w:rsidRDefault="005270EF" w:rsidP="00621CCE">
      <w:pPr>
        <w:ind w:left="0"/>
        <w:rPr>
          <w:rFonts w:cs="Arial"/>
          <w:sz w:val="22"/>
          <w:szCs w:val="22"/>
        </w:rPr>
      </w:pPr>
      <w:r w:rsidRPr="001C170C">
        <w:rPr>
          <w:rFonts w:cs="Arial"/>
          <w:sz w:val="22"/>
          <w:szCs w:val="22"/>
        </w:rPr>
        <w:t xml:space="preserve">The potential </w:t>
      </w:r>
      <w:r w:rsidR="005F3B3C">
        <w:rPr>
          <w:rFonts w:cs="Arial"/>
          <w:sz w:val="22"/>
          <w:szCs w:val="22"/>
        </w:rPr>
        <w:t>risks</w:t>
      </w:r>
      <w:r w:rsidRPr="001C170C">
        <w:rPr>
          <w:rFonts w:cs="Arial"/>
          <w:sz w:val="22"/>
          <w:szCs w:val="22"/>
        </w:rPr>
        <w:t xml:space="preserve"> of the release o</w:t>
      </w:r>
      <w:r w:rsidR="00621CCE" w:rsidRPr="001C170C">
        <w:rPr>
          <w:rFonts w:cs="Arial"/>
          <w:sz w:val="22"/>
          <w:szCs w:val="22"/>
        </w:rPr>
        <w:t>r</w:t>
      </w:r>
      <w:r w:rsidRPr="001C170C">
        <w:rPr>
          <w:rFonts w:cs="Arial"/>
          <w:sz w:val="22"/>
          <w:szCs w:val="22"/>
        </w:rPr>
        <w:t xml:space="preserve"> accidental disposal of hazardous and non-hazardous materials and waste to the ocean are:</w:t>
      </w:r>
    </w:p>
    <w:p w14:paraId="5685B752" w14:textId="6FFC9A1C" w:rsidR="005270EF" w:rsidRPr="001C170C" w:rsidRDefault="005270EF" w:rsidP="00621CCE">
      <w:pPr>
        <w:ind w:left="0"/>
        <w:rPr>
          <w:rFonts w:cs="Arial"/>
          <w:sz w:val="22"/>
          <w:szCs w:val="22"/>
        </w:rPr>
      </w:pPr>
      <w:r w:rsidRPr="001C170C">
        <w:rPr>
          <w:rFonts w:cs="Arial"/>
          <w:sz w:val="22"/>
          <w:szCs w:val="22"/>
        </w:rPr>
        <w:t xml:space="preserve"> </w:t>
      </w:r>
    </w:p>
    <w:p w14:paraId="62D6AE10" w14:textId="0CEFB835" w:rsidR="005270EF" w:rsidRPr="001C170C" w:rsidRDefault="005270EF" w:rsidP="00567567">
      <w:pPr>
        <w:pStyle w:val="ListParagraph0"/>
        <w:numPr>
          <w:ilvl w:val="0"/>
          <w:numId w:val="173"/>
        </w:numPr>
        <w:rPr>
          <w:rFonts w:cs="Arial"/>
          <w:sz w:val="22"/>
          <w:szCs w:val="22"/>
        </w:rPr>
      </w:pPr>
      <w:r w:rsidRPr="001C170C">
        <w:rPr>
          <w:rFonts w:cs="Arial"/>
          <w:sz w:val="22"/>
          <w:szCs w:val="22"/>
        </w:rPr>
        <w:t>Marine pollution (litter and a temporary an</w:t>
      </w:r>
      <w:r w:rsidR="006F7A08">
        <w:rPr>
          <w:rFonts w:cs="Arial"/>
          <w:sz w:val="22"/>
          <w:szCs w:val="22"/>
        </w:rPr>
        <w:t xml:space="preserve">d localised reduction in water </w:t>
      </w:r>
      <w:r w:rsidRPr="001C170C">
        <w:rPr>
          <w:rFonts w:cs="Arial"/>
          <w:sz w:val="22"/>
          <w:szCs w:val="22"/>
        </w:rPr>
        <w:t xml:space="preserve">quality); </w:t>
      </w:r>
    </w:p>
    <w:p w14:paraId="60E07D84" w14:textId="36A3935B" w:rsidR="005270EF" w:rsidRPr="001C170C" w:rsidRDefault="005270EF" w:rsidP="00567567">
      <w:pPr>
        <w:pStyle w:val="ListParagraph0"/>
        <w:numPr>
          <w:ilvl w:val="0"/>
          <w:numId w:val="173"/>
        </w:numPr>
        <w:rPr>
          <w:rFonts w:cs="Arial"/>
          <w:sz w:val="22"/>
          <w:szCs w:val="22"/>
        </w:rPr>
      </w:pPr>
      <w:r w:rsidRPr="001C170C">
        <w:rPr>
          <w:rFonts w:cs="Arial"/>
          <w:sz w:val="22"/>
          <w:szCs w:val="22"/>
        </w:rPr>
        <w:t xml:space="preserve">Injury and entanglement of </w:t>
      </w:r>
      <w:r w:rsidR="006E3F7F" w:rsidRPr="001C170C">
        <w:rPr>
          <w:rFonts w:cs="Arial"/>
          <w:sz w:val="22"/>
          <w:szCs w:val="22"/>
        </w:rPr>
        <w:t xml:space="preserve">individual animals (such as </w:t>
      </w:r>
      <w:r w:rsidRPr="001C170C">
        <w:rPr>
          <w:rFonts w:cs="Arial"/>
          <w:sz w:val="22"/>
          <w:szCs w:val="22"/>
        </w:rPr>
        <w:t>seabirds</w:t>
      </w:r>
      <w:r w:rsidR="006E3F7F" w:rsidRPr="001C170C">
        <w:rPr>
          <w:rFonts w:cs="Arial"/>
          <w:sz w:val="22"/>
          <w:szCs w:val="22"/>
        </w:rPr>
        <w:t xml:space="preserve"> and seals)</w:t>
      </w:r>
      <w:r w:rsidRPr="001C170C">
        <w:rPr>
          <w:rFonts w:cs="Arial"/>
          <w:sz w:val="22"/>
          <w:szCs w:val="22"/>
        </w:rPr>
        <w:t>; and</w:t>
      </w:r>
    </w:p>
    <w:p w14:paraId="1F3C2BC3" w14:textId="32481218" w:rsidR="005270EF" w:rsidRPr="001C170C" w:rsidRDefault="006E3F7F" w:rsidP="00567567">
      <w:pPr>
        <w:pStyle w:val="ListParagraph0"/>
        <w:numPr>
          <w:ilvl w:val="0"/>
          <w:numId w:val="173"/>
        </w:numPr>
        <w:rPr>
          <w:rFonts w:cs="Arial"/>
          <w:sz w:val="22"/>
          <w:szCs w:val="22"/>
        </w:rPr>
      </w:pPr>
      <w:r w:rsidRPr="001C170C">
        <w:rPr>
          <w:rFonts w:cs="Arial"/>
          <w:sz w:val="22"/>
          <w:szCs w:val="22"/>
        </w:rPr>
        <w:t>Localised (and normally temporary) s</w:t>
      </w:r>
      <w:r w:rsidR="005270EF" w:rsidRPr="001C170C">
        <w:rPr>
          <w:rFonts w:cs="Arial"/>
          <w:sz w:val="22"/>
          <w:szCs w:val="22"/>
        </w:rPr>
        <w:t>mothering or pollution of benthic habitats.</w:t>
      </w:r>
    </w:p>
    <w:p w14:paraId="5AB35A78" w14:textId="77777777" w:rsidR="00D92347" w:rsidRDefault="00D92347" w:rsidP="00DC3316">
      <w:pPr>
        <w:ind w:left="0"/>
        <w:rPr>
          <w:rFonts w:cs="Arial"/>
          <w:sz w:val="22"/>
          <w:szCs w:val="22"/>
        </w:rPr>
      </w:pPr>
    </w:p>
    <w:p w14:paraId="13B0640F" w14:textId="3DEFFF39" w:rsidR="00DC3316" w:rsidRDefault="00DC3316" w:rsidP="00DC3316">
      <w:pPr>
        <w:ind w:left="0"/>
        <w:rPr>
          <w:rFonts w:cs="Arial"/>
          <w:sz w:val="22"/>
          <w:szCs w:val="22"/>
        </w:rPr>
      </w:pPr>
      <w:r w:rsidRPr="001C170C">
        <w:rPr>
          <w:rFonts w:cs="Arial"/>
          <w:sz w:val="22"/>
          <w:szCs w:val="22"/>
        </w:rPr>
        <w:t>Receptors that may occur within th</w:t>
      </w:r>
      <w:r w:rsidR="00D92347">
        <w:rPr>
          <w:rFonts w:cs="Arial"/>
          <w:sz w:val="22"/>
          <w:szCs w:val="22"/>
        </w:rPr>
        <w:t>e</w:t>
      </w:r>
      <w:r w:rsidRPr="001C170C">
        <w:rPr>
          <w:rFonts w:cs="Arial"/>
          <w:sz w:val="22"/>
          <w:szCs w:val="22"/>
        </w:rPr>
        <w:t xml:space="preserve"> EMBA</w:t>
      </w:r>
      <w:r w:rsidR="00D92347">
        <w:rPr>
          <w:rFonts w:cs="Arial"/>
          <w:sz w:val="22"/>
          <w:szCs w:val="22"/>
        </w:rPr>
        <w:t xml:space="preserve"> by waste discharges</w:t>
      </w:r>
      <w:r w:rsidRPr="001C170C">
        <w:rPr>
          <w:rFonts w:cs="Arial"/>
          <w:sz w:val="22"/>
          <w:szCs w:val="22"/>
        </w:rPr>
        <w:t xml:space="preserve">, either as residents or migrants, are: </w:t>
      </w:r>
    </w:p>
    <w:p w14:paraId="2DA288A2" w14:textId="77777777" w:rsidR="00D92347" w:rsidRPr="001C170C" w:rsidRDefault="00D92347" w:rsidP="00DC3316">
      <w:pPr>
        <w:ind w:left="0"/>
        <w:rPr>
          <w:rFonts w:cs="Arial"/>
          <w:sz w:val="22"/>
          <w:szCs w:val="22"/>
        </w:rPr>
      </w:pPr>
    </w:p>
    <w:p w14:paraId="70FB626C" w14:textId="77777777" w:rsidR="00DC3316" w:rsidRPr="001C170C" w:rsidRDefault="00DC3316" w:rsidP="00567567">
      <w:pPr>
        <w:pStyle w:val="ListParagraph0"/>
        <w:numPr>
          <w:ilvl w:val="0"/>
          <w:numId w:val="173"/>
        </w:numPr>
        <w:rPr>
          <w:rFonts w:cs="Arial"/>
          <w:sz w:val="22"/>
          <w:szCs w:val="22"/>
        </w:rPr>
      </w:pPr>
      <w:r w:rsidRPr="001C170C">
        <w:rPr>
          <w:rFonts w:cs="Arial"/>
          <w:sz w:val="22"/>
          <w:szCs w:val="22"/>
        </w:rPr>
        <w:lastRenderedPageBreak/>
        <w:t>Plankton;</w:t>
      </w:r>
    </w:p>
    <w:p w14:paraId="76FBB44E" w14:textId="77777777" w:rsidR="00DC3316" w:rsidRPr="001C170C" w:rsidRDefault="00DC3316" w:rsidP="00567567">
      <w:pPr>
        <w:pStyle w:val="ListParagraph0"/>
        <w:numPr>
          <w:ilvl w:val="0"/>
          <w:numId w:val="173"/>
        </w:numPr>
        <w:rPr>
          <w:rFonts w:cs="Arial"/>
          <w:sz w:val="22"/>
          <w:szCs w:val="22"/>
        </w:rPr>
      </w:pPr>
      <w:r w:rsidRPr="001C170C">
        <w:rPr>
          <w:rFonts w:cs="Arial"/>
          <w:sz w:val="22"/>
          <w:szCs w:val="22"/>
        </w:rPr>
        <w:t>Benthic fauna;</w:t>
      </w:r>
    </w:p>
    <w:p w14:paraId="314103E8" w14:textId="6291A86B" w:rsidR="00DC3316" w:rsidRPr="001C170C" w:rsidRDefault="00DC3316" w:rsidP="00567567">
      <w:pPr>
        <w:pStyle w:val="ListParagraph0"/>
        <w:numPr>
          <w:ilvl w:val="0"/>
          <w:numId w:val="173"/>
        </w:numPr>
        <w:rPr>
          <w:rFonts w:cs="Arial"/>
          <w:sz w:val="22"/>
          <w:szCs w:val="22"/>
        </w:rPr>
      </w:pPr>
      <w:r w:rsidRPr="001C170C">
        <w:rPr>
          <w:rFonts w:cs="Arial"/>
          <w:sz w:val="22"/>
          <w:szCs w:val="22"/>
        </w:rPr>
        <w:t xml:space="preserve">Benthic habitat (sand and reef substrates); </w:t>
      </w:r>
    </w:p>
    <w:p w14:paraId="4D95C7DF" w14:textId="77777777" w:rsidR="00757DAA" w:rsidRPr="001C170C" w:rsidRDefault="00DC3316" w:rsidP="00567567">
      <w:pPr>
        <w:pStyle w:val="ListParagraph0"/>
        <w:numPr>
          <w:ilvl w:val="0"/>
          <w:numId w:val="173"/>
        </w:numPr>
        <w:rPr>
          <w:rFonts w:cs="Arial"/>
          <w:sz w:val="22"/>
          <w:szCs w:val="22"/>
        </w:rPr>
      </w:pPr>
      <w:r w:rsidRPr="001C170C">
        <w:rPr>
          <w:rFonts w:cs="Arial"/>
          <w:sz w:val="22"/>
          <w:szCs w:val="22"/>
        </w:rPr>
        <w:t>Pelagic fish</w:t>
      </w:r>
      <w:r w:rsidR="00757DAA" w:rsidRPr="001C170C">
        <w:rPr>
          <w:rFonts w:cs="Arial"/>
          <w:sz w:val="22"/>
          <w:szCs w:val="22"/>
        </w:rPr>
        <w:t>;</w:t>
      </w:r>
    </w:p>
    <w:p w14:paraId="52787A45" w14:textId="77777777" w:rsidR="00757DAA" w:rsidRPr="001C170C" w:rsidRDefault="00757DAA" w:rsidP="00567567">
      <w:pPr>
        <w:pStyle w:val="ListParagraph0"/>
        <w:numPr>
          <w:ilvl w:val="0"/>
          <w:numId w:val="173"/>
        </w:numPr>
        <w:rPr>
          <w:rFonts w:cs="Arial"/>
          <w:sz w:val="22"/>
          <w:szCs w:val="22"/>
        </w:rPr>
      </w:pPr>
      <w:r w:rsidRPr="001C170C">
        <w:rPr>
          <w:rFonts w:cs="Arial"/>
          <w:sz w:val="22"/>
          <w:szCs w:val="22"/>
        </w:rPr>
        <w:t>Cetaceans;</w:t>
      </w:r>
    </w:p>
    <w:p w14:paraId="1CADACB9" w14:textId="370CF838" w:rsidR="00757DAA" w:rsidRPr="001C170C" w:rsidRDefault="00757DAA" w:rsidP="00567567">
      <w:pPr>
        <w:pStyle w:val="ListParagraph0"/>
        <w:numPr>
          <w:ilvl w:val="0"/>
          <w:numId w:val="173"/>
        </w:numPr>
        <w:rPr>
          <w:rFonts w:cs="Arial"/>
          <w:sz w:val="22"/>
          <w:szCs w:val="22"/>
        </w:rPr>
      </w:pPr>
      <w:r w:rsidRPr="001C170C">
        <w:rPr>
          <w:rFonts w:cs="Arial"/>
          <w:sz w:val="22"/>
          <w:szCs w:val="22"/>
        </w:rPr>
        <w:t>Pinnipeds; and</w:t>
      </w:r>
    </w:p>
    <w:p w14:paraId="263FA098" w14:textId="0AF6BF13" w:rsidR="00DC3316" w:rsidRPr="001C170C" w:rsidRDefault="00757DAA" w:rsidP="00567567">
      <w:pPr>
        <w:pStyle w:val="ListParagraph0"/>
        <w:numPr>
          <w:ilvl w:val="0"/>
          <w:numId w:val="173"/>
        </w:numPr>
        <w:rPr>
          <w:rFonts w:cs="Arial"/>
          <w:sz w:val="22"/>
          <w:szCs w:val="22"/>
        </w:rPr>
      </w:pPr>
      <w:r w:rsidRPr="001C170C">
        <w:rPr>
          <w:rFonts w:cs="Arial"/>
          <w:sz w:val="22"/>
          <w:szCs w:val="22"/>
        </w:rPr>
        <w:t>Avifauna</w:t>
      </w:r>
      <w:r w:rsidR="00DC3316" w:rsidRPr="001C170C">
        <w:rPr>
          <w:rFonts w:cs="Arial"/>
          <w:sz w:val="22"/>
          <w:szCs w:val="22"/>
        </w:rPr>
        <w:t>.</w:t>
      </w:r>
    </w:p>
    <w:p w14:paraId="44E53F37" w14:textId="7B9DCDA8" w:rsidR="007F01DB" w:rsidRPr="001C170C" w:rsidRDefault="007F01DB" w:rsidP="007F01DB">
      <w:pPr>
        <w:pStyle w:val="Heading3"/>
      </w:pPr>
      <w:bookmarkStart w:id="1193" w:name="_Toc477947911"/>
      <w:bookmarkStart w:id="1194" w:name="_Toc479764113"/>
      <w:bookmarkStart w:id="1195" w:name="_Toc375214649"/>
      <w:r w:rsidRPr="001C170C">
        <w:t xml:space="preserve">Evaluation of Environmental </w:t>
      </w:r>
      <w:bookmarkEnd w:id="1193"/>
      <w:bookmarkEnd w:id="1194"/>
      <w:r w:rsidR="00CA3240">
        <w:t>Risks</w:t>
      </w:r>
      <w:bookmarkEnd w:id="1195"/>
    </w:p>
    <w:p w14:paraId="7BBC15BA" w14:textId="4A335B5F" w:rsidR="00C068E2" w:rsidRPr="001C170C" w:rsidRDefault="00C068E2" w:rsidP="00C068E2">
      <w:pPr>
        <w:ind w:left="0"/>
        <w:rPr>
          <w:rFonts w:cs="Arial"/>
          <w:sz w:val="22"/>
          <w:szCs w:val="22"/>
        </w:rPr>
      </w:pPr>
      <w:r w:rsidRPr="001C170C">
        <w:rPr>
          <w:rFonts w:cs="Arial"/>
          <w:sz w:val="22"/>
          <w:szCs w:val="22"/>
        </w:rPr>
        <w:t>Hazardous materials and wastes released to the sea cause pollution and contamination, with either direct or indirect effects on marine organisms. For example, chemical</w:t>
      </w:r>
      <w:r w:rsidR="00821E0C" w:rsidRPr="001C170C">
        <w:rPr>
          <w:rFonts w:cs="Arial"/>
          <w:sz w:val="22"/>
          <w:szCs w:val="22"/>
        </w:rPr>
        <w:t xml:space="preserve"> or hydrocarbon</w:t>
      </w:r>
      <w:r w:rsidRPr="001C170C">
        <w:rPr>
          <w:rFonts w:cs="Arial"/>
          <w:sz w:val="22"/>
          <w:szCs w:val="22"/>
        </w:rPr>
        <w:t xml:space="preserve"> spills can </w:t>
      </w:r>
      <w:r w:rsidR="00821E0C" w:rsidRPr="001C170C">
        <w:rPr>
          <w:rFonts w:cs="Arial"/>
          <w:sz w:val="22"/>
          <w:szCs w:val="22"/>
        </w:rPr>
        <w:t xml:space="preserve">(depending on the volume released) </w:t>
      </w:r>
      <w:r w:rsidRPr="001C170C">
        <w:rPr>
          <w:rFonts w:cs="Arial"/>
          <w:sz w:val="22"/>
          <w:szCs w:val="22"/>
        </w:rPr>
        <w:t xml:space="preserve">impact on marine life from plankton to pelagic fish communities, causing physiological damage through ingestion or absorption through the skin. Impacts from an accidental release would be limited to the immediate area surrounding the release, prior to the dilution of the chemical with the surrounding seawater. In an open ocean environment such as </w:t>
      </w:r>
      <w:r w:rsidR="00821E0C" w:rsidRPr="001C170C">
        <w:rPr>
          <w:rFonts w:cs="Arial"/>
          <w:sz w:val="22"/>
          <w:szCs w:val="22"/>
        </w:rPr>
        <w:t>Bass Strait</w:t>
      </w:r>
      <w:r w:rsidRPr="001C170C">
        <w:rPr>
          <w:rFonts w:cs="Arial"/>
          <w:sz w:val="22"/>
          <w:szCs w:val="22"/>
        </w:rPr>
        <w:t xml:space="preserve">, it is expected that any minor release would be rapidly diluted and dispersed, and thus temporary and localised.  </w:t>
      </w:r>
    </w:p>
    <w:p w14:paraId="2960B81B" w14:textId="77777777" w:rsidR="00C068E2" w:rsidRPr="001C170C" w:rsidRDefault="00C068E2" w:rsidP="00C068E2">
      <w:pPr>
        <w:ind w:left="0"/>
        <w:rPr>
          <w:rFonts w:cs="Arial"/>
          <w:sz w:val="22"/>
          <w:szCs w:val="22"/>
        </w:rPr>
      </w:pPr>
    </w:p>
    <w:p w14:paraId="799A84AA" w14:textId="08D3F23F" w:rsidR="00C068E2" w:rsidRPr="001C170C" w:rsidRDefault="00C068E2" w:rsidP="00C068E2">
      <w:pPr>
        <w:ind w:left="0"/>
        <w:rPr>
          <w:rFonts w:cs="Arial"/>
          <w:sz w:val="22"/>
          <w:szCs w:val="22"/>
        </w:rPr>
      </w:pPr>
      <w:r w:rsidRPr="001C170C">
        <w:rPr>
          <w:rFonts w:cs="Arial"/>
          <w:sz w:val="22"/>
          <w:szCs w:val="22"/>
        </w:rPr>
        <w:t>Solid hazardous materials, such as paint cans containing paint residue, batteries and so forth, would settle on the seabed if dropped overboard. Over time, this may result in the leaching of hazardous materials to the seabed, which is likely to result in a small area of substrate becoming toxic and unsuitable for colonisation by benthic fauna. The benthic habitats of the area are broadly similar to those elsewhere in the region</w:t>
      </w:r>
      <w:r w:rsidR="00821E0C" w:rsidRPr="001C170C">
        <w:rPr>
          <w:rFonts w:cs="Arial"/>
          <w:sz w:val="22"/>
          <w:szCs w:val="22"/>
        </w:rPr>
        <w:t xml:space="preserve"> (e.g., extensive sandy plains)</w:t>
      </w:r>
      <w:r w:rsidRPr="001C170C">
        <w:rPr>
          <w:rFonts w:cs="Arial"/>
          <w:sz w:val="22"/>
          <w:szCs w:val="22"/>
        </w:rPr>
        <w:t xml:space="preserve">, so impacts to </w:t>
      </w:r>
      <w:r w:rsidR="00821E0C" w:rsidRPr="001C170C">
        <w:rPr>
          <w:rFonts w:cs="Arial"/>
          <w:sz w:val="22"/>
          <w:szCs w:val="22"/>
        </w:rPr>
        <w:t>very</w:t>
      </w:r>
      <w:r w:rsidRPr="001C170C">
        <w:rPr>
          <w:rFonts w:cs="Arial"/>
          <w:sz w:val="22"/>
          <w:szCs w:val="22"/>
        </w:rPr>
        <w:t xml:space="preserve"> localised areas of seabed </w:t>
      </w:r>
      <w:r w:rsidR="00821E0C" w:rsidRPr="001C170C">
        <w:rPr>
          <w:rFonts w:cs="Arial"/>
          <w:sz w:val="22"/>
          <w:szCs w:val="22"/>
        </w:rPr>
        <w:t>will not result in</w:t>
      </w:r>
      <w:r w:rsidRPr="001C170C">
        <w:rPr>
          <w:rFonts w:cs="Arial"/>
          <w:sz w:val="22"/>
          <w:szCs w:val="22"/>
        </w:rPr>
        <w:t xml:space="preserve"> the </w:t>
      </w:r>
      <w:r w:rsidR="00821E0C" w:rsidRPr="001C170C">
        <w:rPr>
          <w:rFonts w:cs="Arial"/>
          <w:sz w:val="22"/>
          <w:szCs w:val="22"/>
        </w:rPr>
        <w:t xml:space="preserve">long-term </w:t>
      </w:r>
      <w:r w:rsidRPr="001C170C">
        <w:rPr>
          <w:rFonts w:cs="Arial"/>
          <w:sz w:val="22"/>
          <w:szCs w:val="22"/>
        </w:rPr>
        <w:t>loss of benthic habitat or species diversity</w:t>
      </w:r>
      <w:r w:rsidR="00821E0C" w:rsidRPr="001C170C">
        <w:rPr>
          <w:rFonts w:cs="Arial"/>
          <w:sz w:val="22"/>
          <w:szCs w:val="22"/>
        </w:rPr>
        <w:t xml:space="preserve"> or abundance</w:t>
      </w:r>
      <w:r w:rsidRPr="001C170C">
        <w:rPr>
          <w:rFonts w:cs="Arial"/>
          <w:sz w:val="22"/>
          <w:szCs w:val="22"/>
        </w:rPr>
        <w:t xml:space="preserve">.  </w:t>
      </w:r>
    </w:p>
    <w:p w14:paraId="1F054CD1" w14:textId="77777777" w:rsidR="00C068E2" w:rsidRPr="001C170C" w:rsidRDefault="00C068E2" w:rsidP="00C068E2">
      <w:pPr>
        <w:ind w:left="0"/>
        <w:rPr>
          <w:rFonts w:cs="Arial"/>
          <w:sz w:val="22"/>
          <w:szCs w:val="22"/>
        </w:rPr>
      </w:pPr>
    </w:p>
    <w:p w14:paraId="55745EC4" w14:textId="552820CD" w:rsidR="00821E0C" w:rsidRPr="001C170C" w:rsidRDefault="00C068E2" w:rsidP="00C068E2">
      <w:pPr>
        <w:ind w:left="0"/>
        <w:rPr>
          <w:rFonts w:cs="Arial"/>
          <w:sz w:val="22"/>
          <w:szCs w:val="22"/>
        </w:rPr>
      </w:pPr>
      <w:r w:rsidRPr="001C170C">
        <w:rPr>
          <w:rFonts w:cs="Arial"/>
          <w:sz w:val="22"/>
          <w:szCs w:val="22"/>
        </w:rPr>
        <w:t xml:space="preserve">Discharged overboard, non-hazardous wastes can cause smothering of benthic habitats as well as injury or death to marine fauna or seabirds through ingestion or entanglement (e.g., plastics caught around the necks of seals or ingested by seabirds and fish). For example, the TSSC (2015) reports that there have been 104 records of cetaceans in Australian waters impacted by plastic debris through entanglement or ingestion since 1998 (humpback whales being the main species). </w:t>
      </w:r>
    </w:p>
    <w:p w14:paraId="4AEFE1EA" w14:textId="3B1F0945" w:rsidR="00863A83" w:rsidRPr="001C170C" w:rsidRDefault="00D92347" w:rsidP="00BB02C1">
      <w:pPr>
        <w:pStyle w:val="Heading3"/>
      </w:pPr>
      <w:bookmarkStart w:id="1196" w:name="_Toc477947912"/>
      <w:bookmarkStart w:id="1197" w:name="_Toc479764116"/>
      <w:bookmarkStart w:id="1198" w:name="_Toc375214650"/>
      <w:r>
        <w:t xml:space="preserve">Control Measures &amp; </w:t>
      </w:r>
      <w:r w:rsidR="00863A83" w:rsidRPr="001C170C">
        <w:t>Risk Assessment</w:t>
      </w:r>
      <w:bookmarkEnd w:id="1196"/>
      <w:bookmarkEnd w:id="1197"/>
      <w:bookmarkEnd w:id="1198"/>
    </w:p>
    <w:p w14:paraId="21E9C5E1" w14:textId="09FAC7B8" w:rsidR="00D92347" w:rsidRDefault="00D92347" w:rsidP="00D92347">
      <w:pPr>
        <w:pStyle w:val="BodyText"/>
        <w:ind w:left="0"/>
        <w:rPr>
          <w:rFonts w:cs="Arial"/>
          <w:sz w:val="22"/>
          <w:szCs w:val="22"/>
        </w:rPr>
      </w:pPr>
      <w:r>
        <w:rPr>
          <w:rFonts w:cs="Arial"/>
          <w:sz w:val="22"/>
          <w:szCs w:val="22"/>
        </w:rPr>
        <w:t xml:space="preserve">The following control measures will be implemented to minimise the risk of </w:t>
      </w:r>
      <w:r w:rsidR="00812F20" w:rsidRPr="00F43BE3">
        <w:rPr>
          <w:sz w:val="22"/>
          <w:szCs w:val="22"/>
        </w:rPr>
        <w:t xml:space="preserve">accidental </w:t>
      </w:r>
      <w:r w:rsidR="00812F20">
        <w:rPr>
          <w:sz w:val="22"/>
          <w:szCs w:val="22"/>
        </w:rPr>
        <w:t xml:space="preserve">overboard </w:t>
      </w:r>
      <w:r w:rsidR="00812F20" w:rsidRPr="00F43BE3">
        <w:rPr>
          <w:sz w:val="22"/>
          <w:szCs w:val="22"/>
        </w:rPr>
        <w:t>disposal of hazardous and non-hazardous materials and waste</w:t>
      </w:r>
      <w:r>
        <w:rPr>
          <w:rFonts w:cs="Arial"/>
          <w:sz w:val="22"/>
          <w:szCs w:val="22"/>
        </w:rPr>
        <w:t xml:space="preserve">: </w:t>
      </w:r>
    </w:p>
    <w:p w14:paraId="6FBA9F74" w14:textId="2807FAAA" w:rsidR="00863A83" w:rsidRPr="00812F20" w:rsidRDefault="00812F20" w:rsidP="00812F20">
      <w:pPr>
        <w:pStyle w:val="ListParagraph0"/>
        <w:numPr>
          <w:ilvl w:val="0"/>
          <w:numId w:val="173"/>
        </w:numPr>
        <w:rPr>
          <w:rFonts w:cs="Arial"/>
          <w:sz w:val="22"/>
          <w:szCs w:val="22"/>
        </w:rPr>
      </w:pPr>
      <w:r w:rsidRPr="00812F20">
        <w:rPr>
          <w:rFonts w:cs="Arial"/>
          <w:sz w:val="22"/>
          <w:szCs w:val="22"/>
        </w:rPr>
        <w:t xml:space="preserve">The </w:t>
      </w:r>
      <w:r>
        <w:rPr>
          <w:rFonts w:cs="Arial"/>
          <w:sz w:val="22"/>
          <w:szCs w:val="22"/>
        </w:rPr>
        <w:t>controls</w:t>
      </w:r>
      <w:r w:rsidRPr="00812F20">
        <w:rPr>
          <w:rFonts w:cs="Arial"/>
          <w:sz w:val="22"/>
          <w:szCs w:val="22"/>
        </w:rPr>
        <w:t xml:space="preserve"> listed below are in addition to those for ‘seabed disturbance’ provided in Section 7.10.</w:t>
      </w:r>
      <w:r>
        <w:rPr>
          <w:rFonts w:cs="Arial"/>
          <w:sz w:val="22"/>
          <w:szCs w:val="22"/>
        </w:rPr>
        <w:t>4</w:t>
      </w:r>
      <w:r w:rsidRPr="00812F20">
        <w:rPr>
          <w:rFonts w:cs="Arial"/>
          <w:sz w:val="22"/>
          <w:szCs w:val="22"/>
        </w:rPr>
        <w:t>.</w:t>
      </w:r>
    </w:p>
    <w:p w14:paraId="2059068E" w14:textId="50D76E59" w:rsidR="00D92347" w:rsidRPr="00812F20" w:rsidRDefault="00812F20" w:rsidP="00812F20">
      <w:pPr>
        <w:pStyle w:val="ListParagraph0"/>
        <w:numPr>
          <w:ilvl w:val="0"/>
          <w:numId w:val="173"/>
        </w:numPr>
        <w:rPr>
          <w:rFonts w:cs="Arial"/>
          <w:sz w:val="22"/>
          <w:szCs w:val="22"/>
        </w:rPr>
      </w:pPr>
      <w:r w:rsidRPr="00812F20">
        <w:rPr>
          <w:rFonts w:cs="Arial"/>
          <w:sz w:val="22"/>
          <w:szCs w:val="22"/>
        </w:rPr>
        <w:t>Vessels &gt;100 gross tonnes or certified to carry more than 15 people vessel will possess a Garbage Management Plan (GMP).</w:t>
      </w:r>
    </w:p>
    <w:p w14:paraId="396D5CA8" w14:textId="10710185" w:rsidR="00D92347" w:rsidRPr="00812F20" w:rsidRDefault="00812F20" w:rsidP="00812F20">
      <w:pPr>
        <w:pStyle w:val="ListParagraph0"/>
        <w:numPr>
          <w:ilvl w:val="0"/>
          <w:numId w:val="173"/>
        </w:numPr>
        <w:rPr>
          <w:rFonts w:cs="Arial"/>
          <w:sz w:val="22"/>
          <w:szCs w:val="22"/>
        </w:rPr>
      </w:pPr>
      <w:r w:rsidRPr="00812F20">
        <w:rPr>
          <w:rFonts w:cs="Arial"/>
          <w:sz w:val="22"/>
          <w:szCs w:val="22"/>
        </w:rPr>
        <w:t>Waste is stored, handled and disposed of in accordance with the GMP.</w:t>
      </w:r>
    </w:p>
    <w:p w14:paraId="5B0D2573" w14:textId="3D25DB48" w:rsidR="00812F20" w:rsidRPr="00812F20" w:rsidRDefault="00812F20" w:rsidP="00812F20">
      <w:pPr>
        <w:pStyle w:val="ListParagraph0"/>
        <w:numPr>
          <w:ilvl w:val="0"/>
          <w:numId w:val="173"/>
        </w:numPr>
        <w:rPr>
          <w:rFonts w:cs="Arial"/>
          <w:sz w:val="22"/>
          <w:szCs w:val="22"/>
        </w:rPr>
      </w:pPr>
      <w:r w:rsidRPr="00812F20">
        <w:rPr>
          <w:rFonts w:cs="Arial"/>
          <w:sz w:val="22"/>
          <w:szCs w:val="22"/>
        </w:rPr>
        <w:t xml:space="preserve">Vessel crew and visitors are inducted into waste management procedures to ensure they understand how to implement the GMP.  </w:t>
      </w:r>
    </w:p>
    <w:p w14:paraId="4191ACD4" w14:textId="0CA01C22" w:rsidR="00812F20" w:rsidRPr="00812F20" w:rsidRDefault="00812F20" w:rsidP="00812F20">
      <w:pPr>
        <w:pStyle w:val="ListParagraph0"/>
        <w:numPr>
          <w:ilvl w:val="0"/>
          <w:numId w:val="173"/>
        </w:numPr>
        <w:spacing w:after="240"/>
        <w:rPr>
          <w:rFonts w:cs="Arial"/>
          <w:sz w:val="22"/>
          <w:szCs w:val="22"/>
        </w:rPr>
      </w:pPr>
      <w:r w:rsidRPr="00812F20">
        <w:rPr>
          <w:rFonts w:cs="Arial"/>
          <w:sz w:val="22"/>
          <w:szCs w:val="22"/>
        </w:rPr>
        <w:t>Wind-blown or solid waste overboard is recovered if reasonably practicable.</w:t>
      </w:r>
    </w:p>
    <w:p w14:paraId="039B0CA2" w14:textId="41405765" w:rsidR="00D92347" w:rsidRPr="00B6448F" w:rsidRDefault="00D92347" w:rsidP="00D92347">
      <w:pPr>
        <w:pStyle w:val="bodycopy"/>
        <w:spacing w:after="240"/>
        <w:rPr>
          <w:rFonts w:ascii="Arial" w:hAnsi="Arial"/>
          <w:sz w:val="22"/>
          <w:szCs w:val="22"/>
        </w:rPr>
      </w:pPr>
      <w:r w:rsidRPr="003C0ADD">
        <w:rPr>
          <w:rFonts w:ascii="Arial" w:hAnsi="Arial"/>
          <w:sz w:val="22"/>
          <w:szCs w:val="22"/>
        </w:rPr>
        <w:t>Table 7.</w:t>
      </w:r>
      <w:r w:rsidR="003C0ADD" w:rsidRPr="003C0ADD">
        <w:rPr>
          <w:rFonts w:ascii="Arial" w:hAnsi="Arial"/>
          <w:sz w:val="22"/>
          <w:szCs w:val="22"/>
        </w:rPr>
        <w:t>38</w:t>
      </w:r>
      <w:r w:rsidRPr="00E968F3">
        <w:rPr>
          <w:rFonts w:ascii="Arial" w:hAnsi="Arial"/>
          <w:color w:val="FF0000"/>
          <w:sz w:val="22"/>
          <w:szCs w:val="22"/>
        </w:rPr>
        <w:t xml:space="preserve"> </w:t>
      </w:r>
      <w:r w:rsidRPr="006F65F9">
        <w:rPr>
          <w:rFonts w:ascii="Arial" w:hAnsi="Arial"/>
          <w:sz w:val="22"/>
          <w:szCs w:val="22"/>
        </w:rPr>
        <w:t xml:space="preserve">presents the </w:t>
      </w:r>
      <w:r w:rsidR="001A15E3">
        <w:rPr>
          <w:rFonts w:ascii="Arial" w:hAnsi="Arial"/>
          <w:sz w:val="22"/>
          <w:szCs w:val="22"/>
        </w:rPr>
        <w:t xml:space="preserve">residual </w:t>
      </w:r>
      <w:r w:rsidRPr="006F65F9">
        <w:rPr>
          <w:rFonts w:ascii="Arial" w:hAnsi="Arial"/>
          <w:sz w:val="22"/>
          <w:szCs w:val="22"/>
        </w:rPr>
        <w:t xml:space="preserve">risk assessment for </w:t>
      </w:r>
      <w:r w:rsidR="00812F20" w:rsidRPr="00F43BE3">
        <w:rPr>
          <w:rFonts w:ascii="Arial" w:hAnsi="Arial"/>
          <w:sz w:val="22"/>
          <w:szCs w:val="22"/>
        </w:rPr>
        <w:t xml:space="preserve">accidental </w:t>
      </w:r>
      <w:r w:rsidR="00812F20">
        <w:rPr>
          <w:sz w:val="22"/>
          <w:szCs w:val="22"/>
        </w:rPr>
        <w:t xml:space="preserve">overboard </w:t>
      </w:r>
      <w:r w:rsidR="00812F20" w:rsidRPr="00F43BE3">
        <w:rPr>
          <w:rFonts w:ascii="Arial" w:hAnsi="Arial"/>
          <w:sz w:val="22"/>
          <w:szCs w:val="22"/>
        </w:rPr>
        <w:t>disposal of hazardous and non-hazardous materials and waste</w:t>
      </w:r>
      <w:r w:rsidRPr="00B6448F">
        <w:rPr>
          <w:rFonts w:ascii="Arial" w:hAnsi="Arial"/>
          <w:sz w:val="22"/>
          <w:szCs w:val="22"/>
        </w:rPr>
        <w:t xml:space="preserve">. </w:t>
      </w:r>
    </w:p>
    <w:p w14:paraId="6E40599F" w14:textId="5C658672" w:rsidR="00D92347" w:rsidRPr="00D157DF" w:rsidRDefault="00D92347" w:rsidP="00D92347">
      <w:pPr>
        <w:pStyle w:val="CaptionTables"/>
        <w:jc w:val="center"/>
        <w:rPr>
          <w:rFonts w:eastAsia="Times New Roman" w:cs="Arial"/>
          <w:bCs w:val="0"/>
          <w:color w:val="auto"/>
          <w:sz w:val="20"/>
          <w:lang w:eastAsia="en-AU"/>
        </w:rPr>
      </w:pPr>
      <w:r w:rsidRPr="00D157DF">
        <w:rPr>
          <w:rFonts w:eastAsia="Times New Roman" w:cs="Arial"/>
          <w:bCs w:val="0"/>
          <w:color w:val="auto"/>
          <w:sz w:val="20"/>
          <w:lang w:eastAsia="en-AU"/>
        </w:rPr>
        <w:lastRenderedPageBreak/>
        <w:t xml:space="preserve">Table </w:t>
      </w:r>
      <w:r>
        <w:rPr>
          <w:rFonts w:eastAsia="Times New Roman" w:cs="Arial"/>
          <w:bCs w:val="0"/>
          <w:color w:val="auto"/>
          <w:sz w:val="20"/>
          <w:lang w:eastAsia="en-AU"/>
        </w:rPr>
        <w:t>7.</w:t>
      </w:r>
      <w:r w:rsidR="003C0ADD">
        <w:rPr>
          <w:rFonts w:eastAsia="Times New Roman" w:cs="Arial"/>
          <w:bCs w:val="0"/>
          <w:color w:val="auto"/>
          <w:sz w:val="20"/>
          <w:lang w:eastAsia="en-AU"/>
        </w:rPr>
        <w:t>38</w:t>
      </w:r>
      <w:r w:rsidRPr="00D157DF">
        <w:rPr>
          <w:rFonts w:eastAsia="Times New Roman" w:cs="Arial"/>
          <w:bCs w:val="0"/>
          <w:color w:val="auto"/>
          <w:sz w:val="20"/>
          <w:lang w:eastAsia="en-AU"/>
        </w:rPr>
        <w:t>.</w:t>
      </w:r>
      <w:r w:rsidRPr="00D157DF">
        <w:rPr>
          <w:rFonts w:eastAsia="Times New Roman" w:cs="Arial"/>
          <w:bCs w:val="0"/>
          <w:color w:val="auto"/>
          <w:sz w:val="20"/>
          <w:lang w:eastAsia="en-AU"/>
        </w:rPr>
        <w:tab/>
      </w:r>
      <w:r w:rsidR="003C0ADD">
        <w:rPr>
          <w:rFonts w:eastAsia="Times New Roman" w:cs="Arial"/>
          <w:bCs w:val="0"/>
          <w:color w:val="auto"/>
          <w:sz w:val="20"/>
          <w:lang w:eastAsia="en-AU"/>
        </w:rPr>
        <w:t>Residual r</w:t>
      </w:r>
      <w:r w:rsidRPr="00D157DF">
        <w:rPr>
          <w:rFonts w:eastAsia="Times New Roman" w:cs="Arial"/>
          <w:bCs w:val="0"/>
          <w:color w:val="auto"/>
          <w:sz w:val="20"/>
          <w:lang w:eastAsia="en-AU"/>
        </w:rPr>
        <w:t xml:space="preserve">isk assessment for </w:t>
      </w:r>
      <w:r w:rsidR="00812F20" w:rsidRPr="00812F20">
        <w:rPr>
          <w:sz w:val="20"/>
        </w:rPr>
        <w:t>accidental overboard disposal of hazardous and non-hazardous materials and waste</w:t>
      </w:r>
    </w:p>
    <w:tbl>
      <w:tblPr>
        <w:tblW w:w="8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2835"/>
        <w:gridCol w:w="2728"/>
      </w:tblGrid>
      <w:tr w:rsidR="001A15E3" w:rsidRPr="00D157DF" w14:paraId="55596CBA" w14:textId="77777777" w:rsidTr="009822DA">
        <w:trPr>
          <w:cantSplit/>
        </w:trPr>
        <w:tc>
          <w:tcPr>
            <w:tcW w:w="2943" w:type="dxa"/>
            <w:shd w:val="clear" w:color="auto" w:fill="064EA8"/>
          </w:tcPr>
          <w:p w14:paraId="5A486D4B" w14:textId="77777777" w:rsidR="001A15E3" w:rsidRPr="009822DA" w:rsidRDefault="001A15E3" w:rsidP="00891DE1">
            <w:pPr>
              <w:pStyle w:val="TableText"/>
              <w:spacing w:before="60" w:after="60" w:line="240" w:lineRule="auto"/>
              <w:jc w:val="center"/>
              <w:rPr>
                <w:rFonts w:cs="Arial"/>
                <w:color w:val="FFFFFF" w:themeColor="background1"/>
                <w:sz w:val="20"/>
                <w:szCs w:val="20"/>
              </w:rPr>
            </w:pPr>
            <w:r w:rsidRPr="009822DA">
              <w:rPr>
                <w:rFonts w:cs="Arial"/>
                <w:color w:val="FFFFFF" w:themeColor="background1"/>
                <w:sz w:val="20"/>
                <w:szCs w:val="20"/>
              </w:rPr>
              <w:t>Likelihood</w:t>
            </w:r>
          </w:p>
        </w:tc>
        <w:tc>
          <w:tcPr>
            <w:tcW w:w="2835" w:type="dxa"/>
            <w:shd w:val="clear" w:color="auto" w:fill="064EA8"/>
          </w:tcPr>
          <w:p w14:paraId="2795B110" w14:textId="77777777" w:rsidR="001A15E3" w:rsidRPr="009822DA" w:rsidRDefault="001A15E3" w:rsidP="00891DE1">
            <w:pPr>
              <w:pStyle w:val="TableText"/>
              <w:spacing w:before="60" w:after="60" w:line="240" w:lineRule="auto"/>
              <w:jc w:val="center"/>
              <w:rPr>
                <w:rFonts w:cs="Arial"/>
                <w:color w:val="FFFFFF" w:themeColor="background1"/>
                <w:sz w:val="20"/>
                <w:szCs w:val="20"/>
              </w:rPr>
            </w:pPr>
            <w:r w:rsidRPr="009822DA">
              <w:rPr>
                <w:rFonts w:cs="Arial"/>
                <w:color w:val="FFFFFF" w:themeColor="background1"/>
                <w:sz w:val="20"/>
                <w:szCs w:val="20"/>
              </w:rPr>
              <w:t>Consequence</w:t>
            </w:r>
          </w:p>
        </w:tc>
        <w:tc>
          <w:tcPr>
            <w:tcW w:w="2728" w:type="dxa"/>
            <w:shd w:val="clear" w:color="auto" w:fill="064EA8"/>
          </w:tcPr>
          <w:p w14:paraId="34B66BFC" w14:textId="77777777" w:rsidR="001A15E3" w:rsidRPr="009822DA" w:rsidRDefault="001A15E3" w:rsidP="00891DE1">
            <w:pPr>
              <w:pStyle w:val="TableText"/>
              <w:spacing w:before="60" w:after="60" w:line="240" w:lineRule="auto"/>
              <w:jc w:val="center"/>
              <w:rPr>
                <w:rFonts w:cs="Arial"/>
                <w:color w:val="FFFFFF" w:themeColor="background1"/>
                <w:sz w:val="20"/>
                <w:szCs w:val="20"/>
              </w:rPr>
            </w:pPr>
            <w:r w:rsidRPr="009822DA">
              <w:rPr>
                <w:rFonts w:cs="Arial"/>
                <w:color w:val="FFFFFF" w:themeColor="background1"/>
                <w:sz w:val="20"/>
                <w:szCs w:val="20"/>
              </w:rPr>
              <w:t>Risk rating</w:t>
            </w:r>
          </w:p>
        </w:tc>
      </w:tr>
      <w:tr w:rsidR="001A15E3" w:rsidRPr="00D157DF" w14:paraId="74E67586" w14:textId="77777777" w:rsidTr="001A15E3">
        <w:trPr>
          <w:cantSplit/>
        </w:trPr>
        <w:tc>
          <w:tcPr>
            <w:tcW w:w="2943" w:type="dxa"/>
            <w:shd w:val="clear" w:color="auto" w:fill="FFFFFF" w:themeFill="background1"/>
          </w:tcPr>
          <w:p w14:paraId="3C60A178" w14:textId="77777777" w:rsidR="001A15E3" w:rsidRDefault="001A15E3" w:rsidP="00D92347">
            <w:pPr>
              <w:pStyle w:val="TableText"/>
              <w:spacing w:before="60" w:after="60" w:line="240" w:lineRule="auto"/>
              <w:jc w:val="center"/>
              <w:rPr>
                <w:rFonts w:cs="Arial"/>
                <w:sz w:val="20"/>
                <w:szCs w:val="20"/>
              </w:rPr>
            </w:pPr>
            <w:r>
              <w:rPr>
                <w:rFonts w:cs="Arial"/>
                <w:sz w:val="20"/>
                <w:szCs w:val="20"/>
              </w:rPr>
              <w:t>Rare</w:t>
            </w:r>
          </w:p>
        </w:tc>
        <w:tc>
          <w:tcPr>
            <w:tcW w:w="2835" w:type="dxa"/>
            <w:shd w:val="clear" w:color="auto" w:fill="auto"/>
          </w:tcPr>
          <w:p w14:paraId="621F54D4" w14:textId="77777777" w:rsidR="001A15E3" w:rsidRDefault="001A15E3" w:rsidP="00D92347">
            <w:pPr>
              <w:pStyle w:val="TableText"/>
              <w:spacing w:before="60" w:after="60" w:line="240" w:lineRule="auto"/>
              <w:jc w:val="center"/>
              <w:rPr>
                <w:rFonts w:cs="Arial"/>
                <w:sz w:val="20"/>
                <w:szCs w:val="20"/>
              </w:rPr>
            </w:pPr>
            <w:r>
              <w:rPr>
                <w:rFonts w:cs="Arial"/>
                <w:sz w:val="20"/>
                <w:szCs w:val="20"/>
              </w:rPr>
              <w:t>Minor</w:t>
            </w:r>
          </w:p>
        </w:tc>
        <w:tc>
          <w:tcPr>
            <w:tcW w:w="2728" w:type="dxa"/>
            <w:shd w:val="clear" w:color="auto" w:fill="73FB79"/>
          </w:tcPr>
          <w:p w14:paraId="670639DB" w14:textId="77777777" w:rsidR="001A15E3" w:rsidRDefault="001A15E3" w:rsidP="00D92347">
            <w:pPr>
              <w:pStyle w:val="TableText"/>
              <w:spacing w:before="60" w:after="60" w:line="240" w:lineRule="auto"/>
              <w:jc w:val="center"/>
              <w:rPr>
                <w:rFonts w:cs="Arial"/>
                <w:sz w:val="20"/>
                <w:szCs w:val="20"/>
              </w:rPr>
            </w:pPr>
            <w:r>
              <w:rPr>
                <w:rFonts w:cs="Arial"/>
                <w:sz w:val="20"/>
                <w:szCs w:val="20"/>
              </w:rPr>
              <w:t>Low</w:t>
            </w:r>
          </w:p>
        </w:tc>
      </w:tr>
    </w:tbl>
    <w:p w14:paraId="2F55A355" w14:textId="77777777" w:rsidR="00EB5F74" w:rsidRDefault="00EB5F74" w:rsidP="00863A83"/>
    <w:p w14:paraId="4A1A236A" w14:textId="0688E9EC" w:rsidR="00863A83" w:rsidRPr="009A0DA0" w:rsidRDefault="00B03966" w:rsidP="00B03966">
      <w:pPr>
        <w:pStyle w:val="Heading2"/>
        <w:keepLines/>
        <w:numPr>
          <w:ilvl w:val="1"/>
          <w:numId w:val="1"/>
        </w:numPr>
        <w:tabs>
          <w:tab w:val="clear" w:pos="720"/>
        </w:tabs>
        <w:spacing w:before="400" w:after="200" w:line="240" w:lineRule="auto"/>
        <w:ind w:left="709" w:hanging="709"/>
        <w:rPr>
          <w:rFonts w:cs="Times New Roman"/>
          <w:iCs w:val="0"/>
          <w:color w:val="064EA8"/>
          <w:szCs w:val="26"/>
          <w:lang w:eastAsia="en-US"/>
        </w:rPr>
      </w:pPr>
      <w:bookmarkStart w:id="1199" w:name="_Toc320190773"/>
      <w:bookmarkStart w:id="1200" w:name="_Toc375214651"/>
      <w:r w:rsidRPr="009A0DA0">
        <w:rPr>
          <w:rFonts w:cs="Times New Roman"/>
          <w:iCs w:val="0"/>
          <w:color w:val="064EA8"/>
          <w:szCs w:val="26"/>
          <w:lang w:eastAsia="en-US"/>
        </w:rPr>
        <w:t xml:space="preserve">RISK: </w:t>
      </w:r>
      <w:r w:rsidR="00863A83" w:rsidRPr="009A0DA0">
        <w:rPr>
          <w:rFonts w:cs="Times New Roman"/>
          <w:iCs w:val="0"/>
          <w:color w:val="064EA8"/>
          <w:szCs w:val="26"/>
          <w:lang w:eastAsia="en-US"/>
        </w:rPr>
        <w:t xml:space="preserve">Introduction of </w:t>
      </w:r>
      <w:bookmarkEnd w:id="1199"/>
      <w:r w:rsidR="00492470" w:rsidRPr="009A0DA0">
        <w:rPr>
          <w:rFonts w:cs="Times New Roman"/>
          <w:iCs w:val="0"/>
          <w:color w:val="064EA8"/>
          <w:szCs w:val="26"/>
          <w:lang w:eastAsia="en-US"/>
        </w:rPr>
        <w:t xml:space="preserve">Invasive </w:t>
      </w:r>
      <w:r w:rsidR="00863A83" w:rsidRPr="009A0DA0">
        <w:rPr>
          <w:rFonts w:cs="Times New Roman"/>
          <w:iCs w:val="0"/>
          <w:color w:val="064EA8"/>
          <w:szCs w:val="26"/>
          <w:lang w:eastAsia="en-US"/>
        </w:rPr>
        <w:t xml:space="preserve">Marine </w:t>
      </w:r>
      <w:r w:rsidR="00492470" w:rsidRPr="009A0DA0">
        <w:rPr>
          <w:rFonts w:cs="Times New Roman"/>
          <w:iCs w:val="0"/>
          <w:color w:val="064EA8"/>
          <w:szCs w:val="26"/>
          <w:lang w:eastAsia="en-US"/>
        </w:rPr>
        <w:t>Species</w:t>
      </w:r>
      <w:bookmarkEnd w:id="1200"/>
      <w:r w:rsidR="00E61942" w:rsidRPr="009A0DA0">
        <w:rPr>
          <w:rFonts w:cs="Times New Roman"/>
          <w:iCs w:val="0"/>
          <w:color w:val="064EA8"/>
          <w:szCs w:val="26"/>
          <w:lang w:eastAsia="en-US"/>
        </w:rPr>
        <w:t xml:space="preserve"> </w:t>
      </w:r>
    </w:p>
    <w:p w14:paraId="4D9E6839" w14:textId="77777777" w:rsidR="00863A83" w:rsidRDefault="00863A83" w:rsidP="00BB02C1">
      <w:pPr>
        <w:pStyle w:val="Heading3"/>
      </w:pPr>
      <w:bookmarkStart w:id="1201" w:name="_Toc477947915"/>
      <w:bookmarkStart w:id="1202" w:name="_Toc479764118"/>
      <w:bookmarkStart w:id="1203" w:name="_Toc375214652"/>
      <w:r>
        <w:t>Hazard</w:t>
      </w:r>
      <w:bookmarkEnd w:id="1201"/>
      <w:bookmarkEnd w:id="1202"/>
      <w:bookmarkEnd w:id="1203"/>
    </w:p>
    <w:p w14:paraId="5FCA3458" w14:textId="0A587D62" w:rsidR="009F13D9" w:rsidRPr="00296F10" w:rsidRDefault="009F13D9" w:rsidP="00036F5C">
      <w:pPr>
        <w:ind w:left="0"/>
        <w:rPr>
          <w:rFonts w:cs="Arial"/>
          <w:sz w:val="22"/>
          <w:szCs w:val="22"/>
        </w:rPr>
      </w:pPr>
      <w:r w:rsidRPr="00296F10">
        <w:rPr>
          <w:rFonts w:cs="Arial"/>
          <w:sz w:val="22"/>
          <w:szCs w:val="22"/>
        </w:rPr>
        <w:t>The following activit</w:t>
      </w:r>
      <w:r w:rsidR="00AB3823" w:rsidRPr="00296F10">
        <w:rPr>
          <w:rFonts w:cs="Arial"/>
          <w:sz w:val="22"/>
          <w:szCs w:val="22"/>
        </w:rPr>
        <w:t>ies</w:t>
      </w:r>
      <w:r w:rsidRPr="00296F10">
        <w:rPr>
          <w:rFonts w:cs="Arial"/>
          <w:sz w:val="22"/>
          <w:szCs w:val="22"/>
        </w:rPr>
        <w:t xml:space="preserve"> ha</w:t>
      </w:r>
      <w:r w:rsidR="00AB3823" w:rsidRPr="00296F10">
        <w:rPr>
          <w:rFonts w:cs="Arial"/>
          <w:sz w:val="22"/>
          <w:szCs w:val="22"/>
        </w:rPr>
        <w:t>ve</w:t>
      </w:r>
      <w:r w:rsidRPr="00296F10">
        <w:rPr>
          <w:rFonts w:cs="Arial"/>
          <w:sz w:val="22"/>
          <w:szCs w:val="22"/>
        </w:rPr>
        <w:t xml:space="preserve"> the potential to result in the introduction of IMS </w:t>
      </w:r>
      <w:r w:rsidR="00AB3823" w:rsidRPr="00296F10">
        <w:rPr>
          <w:rFonts w:cs="Arial"/>
          <w:sz w:val="22"/>
          <w:szCs w:val="22"/>
        </w:rPr>
        <w:t>in the operational area</w:t>
      </w:r>
      <w:r w:rsidRPr="00296F10">
        <w:rPr>
          <w:rFonts w:cs="Arial"/>
          <w:sz w:val="22"/>
          <w:szCs w:val="22"/>
        </w:rPr>
        <w:t>:</w:t>
      </w:r>
    </w:p>
    <w:p w14:paraId="583423AF" w14:textId="77777777" w:rsidR="000B2390" w:rsidRPr="00296F10" w:rsidRDefault="000B2390" w:rsidP="00036F5C">
      <w:pPr>
        <w:ind w:left="0"/>
        <w:rPr>
          <w:rFonts w:cs="Arial"/>
          <w:sz w:val="22"/>
          <w:szCs w:val="22"/>
        </w:rPr>
      </w:pPr>
    </w:p>
    <w:p w14:paraId="6B46F3CD" w14:textId="77777777" w:rsidR="009F13D9" w:rsidRPr="00296F10" w:rsidRDefault="009F13D9" w:rsidP="00567567">
      <w:pPr>
        <w:pStyle w:val="ListParagraph0"/>
        <w:numPr>
          <w:ilvl w:val="0"/>
          <w:numId w:val="173"/>
        </w:numPr>
        <w:rPr>
          <w:rFonts w:cs="Arial"/>
          <w:sz w:val="22"/>
          <w:szCs w:val="22"/>
        </w:rPr>
      </w:pPr>
      <w:r w:rsidRPr="00296F10">
        <w:rPr>
          <w:rFonts w:cs="Arial"/>
          <w:sz w:val="22"/>
          <w:szCs w:val="22"/>
        </w:rPr>
        <w:t>Discharge of vessel ballast water containing foreign species; and</w:t>
      </w:r>
    </w:p>
    <w:p w14:paraId="1C03E587" w14:textId="212D64E1" w:rsidR="009F13D9" w:rsidRPr="00296F10" w:rsidRDefault="009F13D9" w:rsidP="00567567">
      <w:pPr>
        <w:pStyle w:val="ListParagraph0"/>
        <w:numPr>
          <w:ilvl w:val="0"/>
          <w:numId w:val="173"/>
        </w:numPr>
        <w:rPr>
          <w:rFonts w:cs="Arial"/>
          <w:sz w:val="22"/>
          <w:szCs w:val="22"/>
        </w:rPr>
      </w:pPr>
      <w:r w:rsidRPr="00296F10">
        <w:rPr>
          <w:rFonts w:cs="Arial"/>
          <w:sz w:val="22"/>
          <w:szCs w:val="22"/>
        </w:rPr>
        <w:t xml:space="preserve">Translocation of foreign species through biofouling of the vessel hull, niches (e.g., sea chests, bilges, strainers) or </w:t>
      </w:r>
      <w:r w:rsidR="00AB3823" w:rsidRPr="00296F10">
        <w:rPr>
          <w:rFonts w:cs="Arial"/>
          <w:sz w:val="22"/>
          <w:szCs w:val="22"/>
        </w:rPr>
        <w:t>in-water equipment (seismic source arrays and streamers)</w:t>
      </w:r>
      <w:r w:rsidRPr="00296F10">
        <w:rPr>
          <w:rFonts w:cs="Arial"/>
          <w:sz w:val="22"/>
          <w:szCs w:val="22"/>
        </w:rPr>
        <w:t xml:space="preserve">. </w:t>
      </w:r>
    </w:p>
    <w:p w14:paraId="1DA82F88" w14:textId="77777777" w:rsidR="000B2390" w:rsidRPr="00296F10" w:rsidRDefault="000B2390" w:rsidP="00036F5C">
      <w:pPr>
        <w:ind w:left="0"/>
        <w:rPr>
          <w:rFonts w:cs="Arial"/>
          <w:sz w:val="22"/>
          <w:szCs w:val="22"/>
        </w:rPr>
      </w:pPr>
    </w:p>
    <w:p w14:paraId="5C892EA7" w14:textId="2DAFC8DE" w:rsidR="009F13D9" w:rsidRPr="00296F10" w:rsidRDefault="009F13D9" w:rsidP="00036F5C">
      <w:pPr>
        <w:ind w:left="0"/>
        <w:rPr>
          <w:rFonts w:cs="Arial"/>
          <w:sz w:val="22"/>
          <w:szCs w:val="22"/>
        </w:rPr>
      </w:pPr>
      <w:r w:rsidRPr="00296F10">
        <w:rPr>
          <w:rFonts w:cs="Arial"/>
          <w:sz w:val="22"/>
          <w:szCs w:val="22"/>
        </w:rPr>
        <w:t>The DA</w:t>
      </w:r>
      <w:r w:rsidR="00AB3823" w:rsidRPr="00296F10">
        <w:rPr>
          <w:rFonts w:cs="Arial"/>
          <w:sz w:val="22"/>
          <w:szCs w:val="22"/>
        </w:rPr>
        <w:t>WR</w:t>
      </w:r>
      <w:r w:rsidRPr="00296F10">
        <w:rPr>
          <w:rFonts w:cs="Arial"/>
          <w:sz w:val="22"/>
          <w:szCs w:val="22"/>
        </w:rPr>
        <w:t xml:space="preserve"> Biosecurity </w:t>
      </w:r>
      <w:r w:rsidR="00AB3823" w:rsidRPr="00296F10">
        <w:rPr>
          <w:rFonts w:cs="Arial"/>
          <w:sz w:val="22"/>
          <w:szCs w:val="22"/>
        </w:rPr>
        <w:t>D</w:t>
      </w:r>
      <w:r w:rsidRPr="00296F10">
        <w:rPr>
          <w:rFonts w:cs="Arial"/>
          <w:sz w:val="22"/>
          <w:szCs w:val="22"/>
        </w:rPr>
        <w:t xml:space="preserve">epartment </w:t>
      </w:r>
      <w:r w:rsidR="00AB3823" w:rsidRPr="00296F10">
        <w:rPr>
          <w:rFonts w:cs="Arial"/>
          <w:sz w:val="22"/>
          <w:szCs w:val="22"/>
        </w:rPr>
        <w:t xml:space="preserve">(formerly AQIS) </w:t>
      </w:r>
      <w:r w:rsidRPr="00296F10">
        <w:rPr>
          <w:rFonts w:cs="Arial"/>
          <w:sz w:val="22"/>
          <w:szCs w:val="22"/>
        </w:rPr>
        <w:t>indicates that ballast water is responsible for 20-30% of all marine pest incursions into Australian waters (DAWR, 2015). The DAWR declares that all saltwater from ports or coastal waters outside Australia’s territorial seas presents a high risk of introducing foreign marine pests into Australia (AQIS, 2011).</w:t>
      </w:r>
    </w:p>
    <w:p w14:paraId="0CEF07AA" w14:textId="77777777" w:rsidR="00492470" w:rsidRPr="00296F10" w:rsidRDefault="00492470" w:rsidP="00036F5C">
      <w:pPr>
        <w:ind w:left="0"/>
        <w:rPr>
          <w:rFonts w:cs="Arial"/>
          <w:sz w:val="22"/>
          <w:szCs w:val="22"/>
        </w:rPr>
      </w:pPr>
    </w:p>
    <w:p w14:paraId="51112A13" w14:textId="0AEF4B49" w:rsidR="00863A83" w:rsidRDefault="009F13D9" w:rsidP="00036F5C">
      <w:pPr>
        <w:ind w:left="0"/>
        <w:rPr>
          <w:rFonts w:cs="Arial"/>
          <w:sz w:val="22"/>
          <w:szCs w:val="22"/>
        </w:rPr>
      </w:pPr>
      <w:r w:rsidRPr="00296F10">
        <w:rPr>
          <w:rFonts w:cs="Arial"/>
          <w:sz w:val="22"/>
          <w:szCs w:val="22"/>
        </w:rPr>
        <w:t xml:space="preserve">Biofouling is the accumulation of aquatic </w:t>
      </w:r>
      <w:r w:rsidR="00AB3823" w:rsidRPr="00296F10">
        <w:rPr>
          <w:rFonts w:cs="Arial"/>
          <w:sz w:val="22"/>
          <w:szCs w:val="22"/>
        </w:rPr>
        <w:t>microorganisms</w:t>
      </w:r>
      <w:r w:rsidRPr="00296F10">
        <w:rPr>
          <w:rFonts w:cs="Arial"/>
          <w:sz w:val="22"/>
          <w:szCs w:val="22"/>
        </w:rPr>
        <w:t>, algae, plants and animals on vessel hulls and submerged surfaces. More than 250 non-indigenous marine species have established in Australian waters, with research indicating that biofouling has been responsible for more foreign marine introductions than ballast water (DAWR, 2015).</w:t>
      </w:r>
    </w:p>
    <w:p w14:paraId="3596B98F" w14:textId="77777777" w:rsidR="00C73BAC" w:rsidRPr="00296F10" w:rsidRDefault="00C73BAC" w:rsidP="00036F5C">
      <w:pPr>
        <w:ind w:left="0"/>
        <w:rPr>
          <w:rFonts w:cs="Arial"/>
          <w:sz w:val="22"/>
          <w:szCs w:val="22"/>
        </w:rPr>
      </w:pPr>
    </w:p>
    <w:p w14:paraId="1A87ECCD" w14:textId="75A78F3A" w:rsidR="00863A83" w:rsidRDefault="00863A83" w:rsidP="00BB02C1">
      <w:pPr>
        <w:pStyle w:val="Heading3"/>
      </w:pPr>
      <w:bookmarkStart w:id="1204" w:name="_Toc477947916"/>
      <w:bookmarkStart w:id="1205" w:name="_Toc479764119"/>
      <w:bookmarkStart w:id="1206" w:name="_Toc375214653"/>
      <w:r>
        <w:t xml:space="preserve">Potential Environmental </w:t>
      </w:r>
      <w:bookmarkEnd w:id="1204"/>
      <w:bookmarkEnd w:id="1205"/>
      <w:r w:rsidR="005F3B3C">
        <w:t>Risks</w:t>
      </w:r>
      <w:bookmarkEnd w:id="1206"/>
    </w:p>
    <w:p w14:paraId="1C6A223C" w14:textId="6697BAA8" w:rsidR="009F13D9" w:rsidRPr="00296F10" w:rsidRDefault="009F13D9" w:rsidP="00036F5C">
      <w:pPr>
        <w:ind w:left="0"/>
        <w:rPr>
          <w:rFonts w:cs="Arial"/>
          <w:sz w:val="22"/>
          <w:szCs w:val="22"/>
        </w:rPr>
      </w:pPr>
      <w:r w:rsidRPr="00296F10">
        <w:rPr>
          <w:rFonts w:cs="Arial"/>
          <w:sz w:val="22"/>
          <w:szCs w:val="22"/>
        </w:rPr>
        <w:t xml:space="preserve">The potential </w:t>
      </w:r>
      <w:r w:rsidR="005F3B3C">
        <w:rPr>
          <w:rFonts w:cs="Arial"/>
          <w:sz w:val="22"/>
          <w:szCs w:val="22"/>
        </w:rPr>
        <w:t>risks</w:t>
      </w:r>
      <w:r w:rsidRPr="00296F10">
        <w:rPr>
          <w:rFonts w:cs="Arial"/>
          <w:sz w:val="22"/>
          <w:szCs w:val="22"/>
        </w:rPr>
        <w:t xml:space="preserve"> of IMS introduction (assuming their survival, colonisation and spread) include: </w:t>
      </w:r>
    </w:p>
    <w:p w14:paraId="27027FA2" w14:textId="77777777" w:rsidR="00272975" w:rsidRPr="00296F10" w:rsidRDefault="00272975" w:rsidP="00036F5C">
      <w:pPr>
        <w:ind w:left="0"/>
        <w:rPr>
          <w:rFonts w:cs="Arial"/>
          <w:sz w:val="22"/>
          <w:szCs w:val="22"/>
        </w:rPr>
      </w:pPr>
    </w:p>
    <w:p w14:paraId="2EB008A7" w14:textId="77777777" w:rsidR="009F13D9" w:rsidRPr="00296F10" w:rsidRDefault="009F13D9" w:rsidP="00567567">
      <w:pPr>
        <w:pStyle w:val="ListParagraph0"/>
        <w:numPr>
          <w:ilvl w:val="0"/>
          <w:numId w:val="173"/>
        </w:numPr>
        <w:rPr>
          <w:rFonts w:cs="Arial"/>
          <w:sz w:val="22"/>
          <w:szCs w:val="22"/>
        </w:rPr>
      </w:pPr>
      <w:r w:rsidRPr="00296F10">
        <w:rPr>
          <w:rFonts w:cs="Arial"/>
          <w:sz w:val="22"/>
          <w:szCs w:val="22"/>
        </w:rPr>
        <w:t>Reduction in native marine species diversity and abundance;</w:t>
      </w:r>
    </w:p>
    <w:p w14:paraId="3248B2A1" w14:textId="77777777" w:rsidR="009F13D9" w:rsidRPr="00296F10" w:rsidRDefault="009F13D9" w:rsidP="00567567">
      <w:pPr>
        <w:pStyle w:val="ListParagraph0"/>
        <w:numPr>
          <w:ilvl w:val="0"/>
          <w:numId w:val="173"/>
        </w:numPr>
        <w:rPr>
          <w:rFonts w:cs="Arial"/>
          <w:sz w:val="22"/>
          <w:szCs w:val="22"/>
        </w:rPr>
      </w:pPr>
      <w:r w:rsidRPr="00296F10">
        <w:rPr>
          <w:rFonts w:cs="Arial"/>
          <w:sz w:val="22"/>
          <w:szCs w:val="22"/>
        </w:rPr>
        <w:t>Displacement of native marine species;</w:t>
      </w:r>
    </w:p>
    <w:p w14:paraId="29F99AAA" w14:textId="77777777" w:rsidR="009F13D9" w:rsidRPr="00296F10" w:rsidRDefault="009F13D9" w:rsidP="00567567">
      <w:pPr>
        <w:pStyle w:val="ListParagraph0"/>
        <w:numPr>
          <w:ilvl w:val="0"/>
          <w:numId w:val="173"/>
        </w:numPr>
        <w:rPr>
          <w:rFonts w:cs="Arial"/>
          <w:sz w:val="22"/>
          <w:szCs w:val="22"/>
        </w:rPr>
      </w:pPr>
      <w:r w:rsidRPr="00296F10">
        <w:rPr>
          <w:rFonts w:cs="Arial"/>
          <w:sz w:val="22"/>
          <w:szCs w:val="22"/>
        </w:rPr>
        <w:t>Socio-economic impacts on commercial fisheries; and</w:t>
      </w:r>
    </w:p>
    <w:p w14:paraId="6B943C67" w14:textId="67AF2CDE" w:rsidR="00863A83" w:rsidRPr="00296F10" w:rsidRDefault="009F13D9" w:rsidP="00567567">
      <w:pPr>
        <w:pStyle w:val="ListParagraph0"/>
        <w:numPr>
          <w:ilvl w:val="0"/>
          <w:numId w:val="173"/>
        </w:numPr>
        <w:rPr>
          <w:rFonts w:cs="Arial"/>
          <w:sz w:val="22"/>
          <w:szCs w:val="22"/>
        </w:rPr>
      </w:pPr>
      <w:r w:rsidRPr="00296F10">
        <w:rPr>
          <w:rFonts w:cs="Arial"/>
          <w:sz w:val="22"/>
          <w:szCs w:val="22"/>
        </w:rPr>
        <w:t>Changes to conservation values of protected areas.</w:t>
      </w:r>
    </w:p>
    <w:p w14:paraId="21F43722" w14:textId="77777777" w:rsidR="00847B7C" w:rsidRDefault="00847B7C" w:rsidP="00F64412">
      <w:pPr>
        <w:ind w:left="0"/>
        <w:rPr>
          <w:rFonts w:cs="Arial"/>
          <w:sz w:val="22"/>
          <w:szCs w:val="22"/>
        </w:rPr>
      </w:pPr>
      <w:bookmarkStart w:id="1207" w:name="_Toc477947917"/>
    </w:p>
    <w:p w14:paraId="701DBA79" w14:textId="153BEC61" w:rsidR="004522E8" w:rsidRPr="00296F10" w:rsidRDefault="00F64412" w:rsidP="00F64412">
      <w:pPr>
        <w:ind w:left="0"/>
        <w:rPr>
          <w:rFonts w:cs="Arial"/>
          <w:sz w:val="22"/>
          <w:szCs w:val="22"/>
        </w:rPr>
      </w:pPr>
      <w:r w:rsidRPr="00296F10">
        <w:rPr>
          <w:rFonts w:cs="Arial"/>
          <w:sz w:val="22"/>
          <w:szCs w:val="22"/>
        </w:rPr>
        <w:t xml:space="preserve">Receptors </w:t>
      </w:r>
      <w:r w:rsidR="004522E8" w:rsidRPr="00296F10">
        <w:rPr>
          <w:rFonts w:cs="Arial"/>
          <w:sz w:val="22"/>
          <w:szCs w:val="22"/>
        </w:rPr>
        <w:t xml:space="preserve">most at risk </w:t>
      </w:r>
      <w:r w:rsidR="00847B7C">
        <w:rPr>
          <w:rFonts w:cs="Arial"/>
          <w:sz w:val="22"/>
          <w:szCs w:val="22"/>
        </w:rPr>
        <w:t>from the introduction of IMS</w:t>
      </w:r>
      <w:r w:rsidRPr="00296F10">
        <w:rPr>
          <w:rFonts w:cs="Arial"/>
          <w:sz w:val="22"/>
          <w:szCs w:val="22"/>
        </w:rPr>
        <w:t>, either as residents or migrants, are:</w:t>
      </w:r>
    </w:p>
    <w:p w14:paraId="75780293" w14:textId="3F87B8BB" w:rsidR="00F64412" w:rsidRPr="00296F10" w:rsidRDefault="00F64412" w:rsidP="00F64412">
      <w:pPr>
        <w:ind w:left="0"/>
        <w:rPr>
          <w:rFonts w:cs="Arial"/>
          <w:sz w:val="22"/>
          <w:szCs w:val="22"/>
        </w:rPr>
      </w:pPr>
      <w:r w:rsidRPr="00296F10">
        <w:rPr>
          <w:rFonts w:cs="Arial"/>
          <w:sz w:val="22"/>
          <w:szCs w:val="22"/>
        </w:rPr>
        <w:t xml:space="preserve"> </w:t>
      </w:r>
    </w:p>
    <w:p w14:paraId="7B2859CF" w14:textId="36BC603C" w:rsidR="00F64412" w:rsidRPr="00296F10" w:rsidRDefault="00F64412" w:rsidP="00567567">
      <w:pPr>
        <w:pStyle w:val="ListParagraph0"/>
        <w:numPr>
          <w:ilvl w:val="0"/>
          <w:numId w:val="173"/>
        </w:numPr>
        <w:rPr>
          <w:rFonts w:cs="Arial"/>
          <w:sz w:val="22"/>
          <w:szCs w:val="22"/>
        </w:rPr>
      </w:pPr>
      <w:r w:rsidRPr="00296F10">
        <w:rPr>
          <w:rFonts w:cs="Arial"/>
          <w:sz w:val="22"/>
          <w:szCs w:val="22"/>
        </w:rPr>
        <w:t>Benthic fauna</w:t>
      </w:r>
      <w:r w:rsidR="004522E8" w:rsidRPr="00296F10">
        <w:rPr>
          <w:rFonts w:cs="Arial"/>
          <w:sz w:val="22"/>
          <w:szCs w:val="22"/>
        </w:rPr>
        <w:t xml:space="preserve"> (because of their limited ability to move to other suitable areas</w:t>
      </w:r>
      <w:r w:rsidR="00C04B8D" w:rsidRPr="00296F10">
        <w:rPr>
          <w:rFonts w:cs="Arial"/>
          <w:sz w:val="22"/>
          <w:szCs w:val="22"/>
        </w:rPr>
        <w:t>)</w:t>
      </w:r>
      <w:r w:rsidRPr="00296F10">
        <w:rPr>
          <w:rFonts w:cs="Arial"/>
          <w:sz w:val="22"/>
          <w:szCs w:val="22"/>
        </w:rPr>
        <w:t>;</w:t>
      </w:r>
    </w:p>
    <w:p w14:paraId="560A626B" w14:textId="6E142544" w:rsidR="00F64412" w:rsidRPr="00296F10" w:rsidRDefault="00F64412" w:rsidP="00567567">
      <w:pPr>
        <w:pStyle w:val="ListParagraph0"/>
        <w:numPr>
          <w:ilvl w:val="0"/>
          <w:numId w:val="173"/>
        </w:numPr>
        <w:rPr>
          <w:rFonts w:cs="Arial"/>
          <w:sz w:val="22"/>
          <w:szCs w:val="22"/>
        </w:rPr>
      </w:pPr>
      <w:r w:rsidRPr="00296F10">
        <w:rPr>
          <w:rFonts w:cs="Arial"/>
          <w:sz w:val="22"/>
          <w:szCs w:val="22"/>
        </w:rPr>
        <w:t>Benthic habitat;</w:t>
      </w:r>
      <w:r w:rsidR="00C04B8D" w:rsidRPr="00296F10">
        <w:rPr>
          <w:rFonts w:cs="Arial"/>
          <w:sz w:val="22"/>
          <w:szCs w:val="22"/>
        </w:rPr>
        <w:t xml:space="preserve"> and</w:t>
      </w:r>
      <w:r w:rsidRPr="00296F10">
        <w:rPr>
          <w:rFonts w:cs="Arial"/>
          <w:sz w:val="22"/>
          <w:szCs w:val="22"/>
        </w:rPr>
        <w:t xml:space="preserve"> </w:t>
      </w:r>
    </w:p>
    <w:p w14:paraId="676E8566" w14:textId="525A524D" w:rsidR="00F64412" w:rsidRPr="00296F10" w:rsidRDefault="00F64412" w:rsidP="00567567">
      <w:pPr>
        <w:pStyle w:val="ListParagraph0"/>
        <w:numPr>
          <w:ilvl w:val="0"/>
          <w:numId w:val="173"/>
        </w:numPr>
        <w:rPr>
          <w:rFonts w:cs="Arial"/>
          <w:sz w:val="22"/>
          <w:szCs w:val="22"/>
        </w:rPr>
      </w:pPr>
      <w:r w:rsidRPr="00296F10">
        <w:rPr>
          <w:rFonts w:cs="Arial"/>
          <w:sz w:val="22"/>
          <w:szCs w:val="22"/>
        </w:rPr>
        <w:t>Pelagic fish</w:t>
      </w:r>
      <w:r w:rsidR="00C04B8D" w:rsidRPr="00296F10">
        <w:rPr>
          <w:rFonts w:cs="Arial"/>
          <w:sz w:val="22"/>
          <w:szCs w:val="22"/>
        </w:rPr>
        <w:t>.</w:t>
      </w:r>
    </w:p>
    <w:p w14:paraId="30DE23A5" w14:textId="3FD6497B" w:rsidR="00863A83" w:rsidRDefault="00863A83" w:rsidP="00BB02C1">
      <w:pPr>
        <w:pStyle w:val="Heading3"/>
      </w:pPr>
      <w:bookmarkStart w:id="1208" w:name="_Toc479764121"/>
      <w:bookmarkStart w:id="1209" w:name="_Toc375214654"/>
      <w:r>
        <w:t xml:space="preserve">Evaluation of Environmental </w:t>
      </w:r>
      <w:bookmarkEnd w:id="1207"/>
      <w:bookmarkEnd w:id="1208"/>
      <w:r w:rsidR="00F15ED0">
        <w:t>Risks</w:t>
      </w:r>
      <w:bookmarkEnd w:id="1209"/>
    </w:p>
    <w:p w14:paraId="5209DB99" w14:textId="77777777" w:rsidR="00533B6E" w:rsidRPr="0038762E" w:rsidRDefault="00533B6E" w:rsidP="00533B6E">
      <w:pPr>
        <w:ind w:left="0"/>
        <w:rPr>
          <w:rFonts w:cs="Arial"/>
          <w:sz w:val="22"/>
          <w:szCs w:val="22"/>
        </w:rPr>
      </w:pPr>
      <w:r w:rsidRPr="0038762E">
        <w:rPr>
          <w:rFonts w:cs="Arial"/>
          <w:sz w:val="22"/>
          <w:szCs w:val="22"/>
        </w:rPr>
        <w:t>Successful IMS invasion requires the following three steps:</w:t>
      </w:r>
    </w:p>
    <w:p w14:paraId="0050C624" w14:textId="5F3A61F5" w:rsidR="00533B6E" w:rsidRPr="0038762E" w:rsidRDefault="00533B6E" w:rsidP="00533B6E">
      <w:pPr>
        <w:ind w:left="0"/>
        <w:rPr>
          <w:rFonts w:cs="Arial"/>
          <w:sz w:val="22"/>
          <w:szCs w:val="22"/>
        </w:rPr>
      </w:pPr>
      <w:r w:rsidRPr="0038762E">
        <w:rPr>
          <w:rFonts w:cs="Arial"/>
          <w:sz w:val="22"/>
          <w:szCs w:val="22"/>
        </w:rPr>
        <w:t xml:space="preserve"> </w:t>
      </w:r>
    </w:p>
    <w:p w14:paraId="35CDFF70" w14:textId="36E7F0C6" w:rsidR="00533B6E" w:rsidRPr="0038762E" w:rsidRDefault="00533B6E" w:rsidP="00567567">
      <w:pPr>
        <w:pStyle w:val="ListParagraph0"/>
        <w:numPr>
          <w:ilvl w:val="0"/>
          <w:numId w:val="192"/>
        </w:numPr>
        <w:tabs>
          <w:tab w:val="clear" w:pos="360"/>
          <w:tab w:val="num" w:pos="709"/>
        </w:tabs>
        <w:ind w:firstLine="66"/>
        <w:rPr>
          <w:rFonts w:cs="Arial"/>
          <w:sz w:val="22"/>
          <w:szCs w:val="22"/>
        </w:rPr>
      </w:pPr>
      <w:r w:rsidRPr="0038762E">
        <w:rPr>
          <w:rFonts w:cs="Arial"/>
          <w:sz w:val="22"/>
          <w:szCs w:val="22"/>
        </w:rPr>
        <w:lastRenderedPageBreak/>
        <w:t xml:space="preserve">Colonisation and establishment of the marine pest on a vector (e.g., </w:t>
      </w:r>
      <w:r w:rsidR="005F0CC1" w:rsidRPr="0038762E">
        <w:rPr>
          <w:rFonts w:cs="Arial"/>
          <w:sz w:val="22"/>
          <w:szCs w:val="22"/>
        </w:rPr>
        <w:tab/>
      </w:r>
      <w:r w:rsidRPr="0038762E">
        <w:rPr>
          <w:rFonts w:cs="Arial"/>
          <w:sz w:val="22"/>
          <w:szCs w:val="22"/>
        </w:rPr>
        <w:t xml:space="preserve">vessel hull) </w:t>
      </w:r>
      <w:r w:rsidR="00847B7C">
        <w:rPr>
          <w:rFonts w:cs="Arial"/>
          <w:sz w:val="22"/>
          <w:szCs w:val="22"/>
        </w:rPr>
        <w:tab/>
      </w:r>
      <w:r w:rsidRPr="0038762E">
        <w:rPr>
          <w:rFonts w:cs="Arial"/>
          <w:sz w:val="22"/>
          <w:szCs w:val="22"/>
        </w:rPr>
        <w:t xml:space="preserve">in a donor region (e.g., home port). </w:t>
      </w:r>
    </w:p>
    <w:p w14:paraId="3ACD338C" w14:textId="46F30436" w:rsidR="00533B6E" w:rsidRPr="0038762E" w:rsidRDefault="00533B6E" w:rsidP="00567567">
      <w:pPr>
        <w:pStyle w:val="ListParagraph0"/>
        <w:numPr>
          <w:ilvl w:val="0"/>
          <w:numId w:val="192"/>
        </w:numPr>
        <w:tabs>
          <w:tab w:val="clear" w:pos="360"/>
          <w:tab w:val="num" w:pos="709"/>
        </w:tabs>
        <w:ind w:firstLine="66"/>
        <w:rPr>
          <w:rFonts w:cs="Arial"/>
          <w:sz w:val="22"/>
          <w:szCs w:val="22"/>
        </w:rPr>
      </w:pPr>
      <w:r w:rsidRPr="0038762E">
        <w:rPr>
          <w:rFonts w:cs="Arial"/>
          <w:sz w:val="22"/>
          <w:szCs w:val="22"/>
        </w:rPr>
        <w:t xml:space="preserve">Survival of the settled marine species on the vector during the voyage </w:t>
      </w:r>
      <w:r w:rsidR="005F0CC1" w:rsidRPr="0038762E">
        <w:rPr>
          <w:rFonts w:cs="Arial"/>
          <w:sz w:val="22"/>
          <w:szCs w:val="22"/>
        </w:rPr>
        <w:tab/>
      </w:r>
      <w:r w:rsidRPr="0038762E">
        <w:rPr>
          <w:rFonts w:cs="Arial"/>
          <w:sz w:val="22"/>
          <w:szCs w:val="22"/>
        </w:rPr>
        <w:t>from the donor to the recipient region (e.g., project area).</w:t>
      </w:r>
    </w:p>
    <w:p w14:paraId="6D3F4B23" w14:textId="0256B3DB" w:rsidR="00533B6E" w:rsidRPr="0038762E" w:rsidRDefault="00533B6E" w:rsidP="00567567">
      <w:pPr>
        <w:pStyle w:val="ListParagraph0"/>
        <w:numPr>
          <w:ilvl w:val="0"/>
          <w:numId w:val="192"/>
        </w:numPr>
        <w:tabs>
          <w:tab w:val="clear" w:pos="360"/>
          <w:tab w:val="num" w:pos="709"/>
        </w:tabs>
        <w:ind w:firstLine="66"/>
        <w:rPr>
          <w:rFonts w:cs="Arial"/>
          <w:sz w:val="22"/>
          <w:szCs w:val="22"/>
        </w:rPr>
      </w:pPr>
      <w:r w:rsidRPr="0038762E">
        <w:rPr>
          <w:rFonts w:cs="Arial"/>
          <w:sz w:val="22"/>
          <w:szCs w:val="22"/>
        </w:rPr>
        <w:t>Colonisation (e.g., dislodgement or reproduction) of the marine species in</w:t>
      </w:r>
      <w:r w:rsidR="00847B7C">
        <w:rPr>
          <w:rFonts w:cs="Arial"/>
          <w:sz w:val="22"/>
          <w:szCs w:val="22"/>
        </w:rPr>
        <w:t xml:space="preserve"> </w:t>
      </w:r>
      <w:r w:rsidRPr="0038762E">
        <w:rPr>
          <w:rFonts w:cs="Arial"/>
          <w:sz w:val="22"/>
          <w:szCs w:val="22"/>
        </w:rPr>
        <w:t xml:space="preserve">the </w:t>
      </w:r>
      <w:r w:rsidR="00847B7C">
        <w:rPr>
          <w:rFonts w:cs="Arial"/>
          <w:sz w:val="22"/>
          <w:szCs w:val="22"/>
        </w:rPr>
        <w:tab/>
      </w:r>
      <w:r w:rsidRPr="0038762E">
        <w:rPr>
          <w:rFonts w:cs="Arial"/>
          <w:sz w:val="22"/>
          <w:szCs w:val="22"/>
        </w:rPr>
        <w:t xml:space="preserve">recipient region, followed by successful establishment of a viable new local </w:t>
      </w:r>
      <w:r w:rsidR="00847B7C">
        <w:rPr>
          <w:rFonts w:cs="Arial"/>
          <w:sz w:val="22"/>
          <w:szCs w:val="22"/>
        </w:rPr>
        <w:tab/>
      </w:r>
      <w:r w:rsidRPr="0038762E">
        <w:rPr>
          <w:rFonts w:cs="Arial"/>
          <w:sz w:val="22"/>
          <w:szCs w:val="22"/>
        </w:rPr>
        <w:t xml:space="preserve">population. </w:t>
      </w:r>
    </w:p>
    <w:p w14:paraId="5DCCEAFD" w14:textId="77777777" w:rsidR="00533B6E" w:rsidRPr="0038762E" w:rsidRDefault="00533B6E" w:rsidP="00533B6E">
      <w:pPr>
        <w:ind w:left="0"/>
        <w:rPr>
          <w:rFonts w:cs="Arial"/>
          <w:sz w:val="22"/>
          <w:szCs w:val="22"/>
        </w:rPr>
      </w:pPr>
    </w:p>
    <w:p w14:paraId="30327048" w14:textId="6713A32B" w:rsidR="00533B6E" w:rsidRPr="0038762E" w:rsidRDefault="00533B6E" w:rsidP="00533B6E">
      <w:pPr>
        <w:ind w:left="0"/>
        <w:rPr>
          <w:rFonts w:cs="Arial"/>
          <w:sz w:val="22"/>
          <w:szCs w:val="22"/>
        </w:rPr>
      </w:pPr>
      <w:r w:rsidRPr="0038762E">
        <w:rPr>
          <w:rFonts w:cs="Arial"/>
          <w:sz w:val="22"/>
          <w:szCs w:val="22"/>
        </w:rPr>
        <w:t xml:space="preserve">At this point, the IMS is likely to have little or no natural competition or predation, thus potentially outcompeting native species for food or space, preying on native species or changing the nature of the environment. </w:t>
      </w:r>
    </w:p>
    <w:p w14:paraId="2A7E1942" w14:textId="77777777" w:rsidR="005F0CC1" w:rsidRPr="0038762E" w:rsidRDefault="005F0CC1" w:rsidP="00533B6E">
      <w:pPr>
        <w:ind w:left="0"/>
        <w:rPr>
          <w:rFonts w:cs="Arial"/>
          <w:sz w:val="22"/>
          <w:szCs w:val="22"/>
        </w:rPr>
      </w:pPr>
    </w:p>
    <w:p w14:paraId="02C0E6BC" w14:textId="77679963" w:rsidR="00A357F5" w:rsidRPr="0038762E" w:rsidRDefault="00533B6E" w:rsidP="00533B6E">
      <w:pPr>
        <w:ind w:left="0"/>
        <w:rPr>
          <w:rFonts w:cs="Arial"/>
          <w:sz w:val="22"/>
          <w:szCs w:val="22"/>
        </w:rPr>
      </w:pPr>
      <w:r w:rsidRPr="0038762E">
        <w:rPr>
          <w:rFonts w:cs="Arial"/>
          <w:sz w:val="22"/>
          <w:szCs w:val="22"/>
        </w:rPr>
        <w:t>Marine pest species can also deplete fishing grounds and aquaculture stock, with between 10% and 40% of Australia’s fishing industry being potentially vulnerable to marine pest incursion (AMSA, n.d). For example, the introduction of the Northern Pacific seastar (</w:t>
      </w:r>
      <w:r w:rsidRPr="0038762E">
        <w:rPr>
          <w:rFonts w:cs="Arial"/>
          <w:i/>
          <w:sz w:val="22"/>
          <w:szCs w:val="22"/>
        </w:rPr>
        <w:t>Asterias amurensis</w:t>
      </w:r>
      <w:r w:rsidRPr="0038762E">
        <w:rPr>
          <w:rFonts w:cs="Arial"/>
          <w:sz w:val="22"/>
          <w:szCs w:val="22"/>
        </w:rPr>
        <w:t xml:space="preserve">) in Victorian and Tasmanian waters was linked to a decline in scallop fisheries. </w:t>
      </w:r>
    </w:p>
    <w:p w14:paraId="67A18F94" w14:textId="77777777" w:rsidR="00BB1198" w:rsidRPr="0038762E" w:rsidRDefault="00BB1198" w:rsidP="00533B6E">
      <w:pPr>
        <w:ind w:left="0"/>
        <w:rPr>
          <w:rFonts w:cs="Arial"/>
          <w:sz w:val="22"/>
          <w:szCs w:val="22"/>
        </w:rPr>
      </w:pPr>
    </w:p>
    <w:p w14:paraId="0A553D95" w14:textId="7E67C50D" w:rsidR="00C74DF1" w:rsidRDefault="00986CDC" w:rsidP="00C04B8D">
      <w:pPr>
        <w:ind w:left="0"/>
        <w:rPr>
          <w:rFonts w:ascii="Tahoma" w:hAnsi="Tahoma" w:cs="Arial"/>
          <w:szCs w:val="20"/>
        </w:rPr>
      </w:pPr>
      <w:r>
        <w:rPr>
          <w:rFonts w:cs="Arial"/>
          <w:sz w:val="22"/>
          <w:szCs w:val="22"/>
        </w:rPr>
        <w:t xml:space="preserve">The CoA (2009) states that the operational and maintenance needs of immersible seismic survey equipment means that they do not typically pose a threat for biofouling </w:t>
      </w:r>
      <w:r w:rsidR="00546805">
        <w:rPr>
          <w:rFonts w:cs="Arial"/>
          <w:sz w:val="22"/>
          <w:szCs w:val="22"/>
        </w:rPr>
        <w:t xml:space="preserve">accumulation and translocation, though biofouling can be present in streamer joints and the gaps of collar joints. </w:t>
      </w:r>
    </w:p>
    <w:p w14:paraId="04F54293" w14:textId="6DFF7E3A" w:rsidR="00863A83" w:rsidRDefault="00C32BD0" w:rsidP="00BB02C1">
      <w:pPr>
        <w:pStyle w:val="Heading3"/>
      </w:pPr>
      <w:bookmarkStart w:id="1210" w:name="_Toc477947918"/>
      <w:bookmarkStart w:id="1211" w:name="_Toc479764124"/>
      <w:bookmarkStart w:id="1212" w:name="_Toc375214655"/>
      <w:r>
        <w:t xml:space="preserve">Control Measures &amp; </w:t>
      </w:r>
      <w:r w:rsidR="00863A83">
        <w:t>Risk Assessment</w:t>
      </w:r>
      <w:bookmarkEnd w:id="1210"/>
      <w:bookmarkEnd w:id="1211"/>
      <w:bookmarkEnd w:id="1212"/>
    </w:p>
    <w:p w14:paraId="3C1C3886" w14:textId="2D89BD83" w:rsidR="005F4635" w:rsidRDefault="00414E1D" w:rsidP="00414E1D">
      <w:pPr>
        <w:pStyle w:val="BodyText"/>
        <w:ind w:left="0"/>
        <w:rPr>
          <w:sz w:val="22"/>
          <w:szCs w:val="22"/>
        </w:rPr>
      </w:pPr>
      <w:r>
        <w:rPr>
          <w:rFonts w:cs="Arial"/>
          <w:sz w:val="22"/>
          <w:szCs w:val="22"/>
        </w:rPr>
        <w:t xml:space="preserve">The following control measures will be implemented to minimise the risk of </w:t>
      </w:r>
      <w:r>
        <w:rPr>
          <w:sz w:val="22"/>
          <w:szCs w:val="22"/>
        </w:rPr>
        <w:t>introduction of IMS</w:t>
      </w:r>
      <w:r>
        <w:rPr>
          <w:rFonts w:cs="Arial"/>
          <w:sz w:val="22"/>
          <w:szCs w:val="22"/>
        </w:rPr>
        <w:t xml:space="preserve">: </w:t>
      </w:r>
      <w:r w:rsidR="007F46E5" w:rsidRPr="0038762E">
        <w:rPr>
          <w:sz w:val="22"/>
          <w:szCs w:val="22"/>
        </w:rPr>
        <w:t xml:space="preserve"> </w:t>
      </w:r>
    </w:p>
    <w:p w14:paraId="7D9A76AB" w14:textId="1B761AC5" w:rsidR="00C32BD0" w:rsidRPr="00C32BD0" w:rsidRDefault="00C32BD0" w:rsidP="00C32BD0">
      <w:pPr>
        <w:pStyle w:val="ListParagraph0"/>
        <w:numPr>
          <w:ilvl w:val="0"/>
          <w:numId w:val="173"/>
        </w:numPr>
        <w:rPr>
          <w:rFonts w:cs="Arial"/>
          <w:sz w:val="22"/>
          <w:szCs w:val="22"/>
        </w:rPr>
      </w:pPr>
      <w:r w:rsidRPr="00C32BD0">
        <w:rPr>
          <w:rFonts w:cs="Arial"/>
          <w:sz w:val="22"/>
          <w:szCs w:val="22"/>
        </w:rPr>
        <w:t xml:space="preserve">CarbonNet undertakes a vessel contractor pre-qualification to ensure vessel biofouling controls meet these EP requirements. For vessels </w:t>
      </w:r>
      <w:r w:rsidR="00414E1D">
        <w:rPr>
          <w:rFonts w:cs="Arial"/>
          <w:sz w:val="22"/>
          <w:szCs w:val="22"/>
        </w:rPr>
        <w:t>&lt;</w:t>
      </w:r>
      <w:r w:rsidRPr="00C32BD0">
        <w:rPr>
          <w:rFonts w:cs="Arial"/>
          <w:sz w:val="22"/>
          <w:szCs w:val="22"/>
        </w:rPr>
        <w:t xml:space="preserve">500 gross tonnes and/or </w:t>
      </w:r>
      <w:r w:rsidR="00414E1D">
        <w:rPr>
          <w:rFonts w:cs="Arial"/>
          <w:sz w:val="22"/>
          <w:szCs w:val="22"/>
        </w:rPr>
        <w:t>&lt;</w:t>
      </w:r>
      <w:r w:rsidRPr="00C32BD0">
        <w:rPr>
          <w:rFonts w:cs="Arial"/>
          <w:sz w:val="22"/>
          <w:szCs w:val="22"/>
        </w:rPr>
        <w:t>50 m in length, CarbonNet will use the IMCA Marine Inspection for Small Workboats Inspection Template (IMCA, 2016) as part of the pre-qualification process.</w:t>
      </w:r>
    </w:p>
    <w:p w14:paraId="6279DBF1" w14:textId="77777777" w:rsidR="00C32BD0" w:rsidRPr="00C32BD0" w:rsidRDefault="00C32BD0" w:rsidP="00891DE1">
      <w:pPr>
        <w:pStyle w:val="ListParagraph0"/>
        <w:numPr>
          <w:ilvl w:val="0"/>
          <w:numId w:val="173"/>
        </w:numPr>
        <w:rPr>
          <w:rFonts w:cs="Arial"/>
          <w:sz w:val="22"/>
          <w:szCs w:val="22"/>
        </w:rPr>
      </w:pPr>
      <w:r w:rsidRPr="00C32BD0">
        <w:rPr>
          <w:rFonts w:cs="Arial"/>
          <w:sz w:val="22"/>
          <w:szCs w:val="22"/>
        </w:rPr>
        <w:t xml:space="preserve">Vessels are managed in accordance with the National Biofouling Management Guidance for the Petroleum Production and Exploration Industry (AQIS, 2009). This means: </w:t>
      </w:r>
    </w:p>
    <w:p w14:paraId="77F79E4A" w14:textId="77777777" w:rsidR="00C32BD0" w:rsidRPr="00C32BD0" w:rsidRDefault="00C32BD0" w:rsidP="00891DE1">
      <w:pPr>
        <w:pStyle w:val="ListParagraph0"/>
        <w:numPr>
          <w:ilvl w:val="1"/>
          <w:numId w:val="173"/>
        </w:numPr>
        <w:rPr>
          <w:rFonts w:cs="Arial"/>
          <w:sz w:val="22"/>
          <w:szCs w:val="22"/>
        </w:rPr>
      </w:pPr>
      <w:r w:rsidRPr="00C32BD0">
        <w:rPr>
          <w:rFonts w:cs="Arial"/>
          <w:sz w:val="22"/>
          <w:szCs w:val="22"/>
        </w:rPr>
        <w:t>Conducting in-water inspection by divers or inspection in drydock if deemed necessary.</w:t>
      </w:r>
    </w:p>
    <w:p w14:paraId="718072BE" w14:textId="77777777" w:rsidR="00C32BD0" w:rsidRPr="00C32BD0" w:rsidRDefault="00C32BD0" w:rsidP="00891DE1">
      <w:pPr>
        <w:pStyle w:val="ListParagraph0"/>
        <w:numPr>
          <w:ilvl w:val="1"/>
          <w:numId w:val="173"/>
        </w:numPr>
        <w:rPr>
          <w:rFonts w:cs="Arial"/>
          <w:sz w:val="22"/>
          <w:szCs w:val="22"/>
        </w:rPr>
      </w:pPr>
      <w:r w:rsidRPr="00C32BD0">
        <w:rPr>
          <w:rFonts w:cs="Arial"/>
          <w:sz w:val="22"/>
          <w:szCs w:val="22"/>
        </w:rPr>
        <w:t>Biofouling risk will be assessed, with cleaning of hull and internal seawater systems undertaken if deemed necessary.</w:t>
      </w:r>
    </w:p>
    <w:p w14:paraId="61F9081B" w14:textId="67BED895" w:rsidR="00C32BD0" w:rsidRPr="00C32BD0" w:rsidRDefault="00C32BD0" w:rsidP="00C32BD0">
      <w:pPr>
        <w:pStyle w:val="ListParagraph0"/>
        <w:numPr>
          <w:ilvl w:val="1"/>
          <w:numId w:val="173"/>
        </w:numPr>
        <w:rPr>
          <w:rFonts w:cs="Arial"/>
          <w:sz w:val="22"/>
          <w:szCs w:val="22"/>
        </w:rPr>
      </w:pPr>
      <w:r w:rsidRPr="00C32BD0">
        <w:rPr>
          <w:rFonts w:cs="Arial"/>
          <w:sz w:val="22"/>
          <w:szCs w:val="22"/>
        </w:rPr>
        <w:t>Anti-fouling coating status taken into account, with antifouling renewal undertaken if deemed necessary.</w:t>
      </w:r>
    </w:p>
    <w:p w14:paraId="6E93B816" w14:textId="17782A11" w:rsidR="00C32BD0" w:rsidRPr="00C32BD0" w:rsidRDefault="00C32BD0" w:rsidP="00C32BD0">
      <w:pPr>
        <w:pStyle w:val="ListParagraph0"/>
        <w:numPr>
          <w:ilvl w:val="0"/>
          <w:numId w:val="173"/>
        </w:numPr>
        <w:rPr>
          <w:rFonts w:cs="Arial"/>
          <w:sz w:val="22"/>
          <w:szCs w:val="22"/>
        </w:rPr>
      </w:pPr>
      <w:r w:rsidRPr="00C32BD0">
        <w:rPr>
          <w:rFonts w:cs="Arial"/>
          <w:sz w:val="22"/>
          <w:szCs w:val="22"/>
        </w:rPr>
        <w:t>Any vessel &gt;400 gross tonnes carries a current International Anti-fouling System (IAFS) Certificate and is complaint with and Marine Order Part 98 (Anti-fouling Systems).</w:t>
      </w:r>
    </w:p>
    <w:p w14:paraId="071C446E" w14:textId="2E1C05F6" w:rsidR="00C32BD0" w:rsidRPr="00C32BD0" w:rsidRDefault="00C32BD0" w:rsidP="00C32BD0">
      <w:pPr>
        <w:pStyle w:val="ListParagraph0"/>
        <w:numPr>
          <w:ilvl w:val="0"/>
          <w:numId w:val="173"/>
        </w:numPr>
        <w:rPr>
          <w:rFonts w:cs="Arial"/>
          <w:sz w:val="22"/>
          <w:szCs w:val="22"/>
        </w:rPr>
      </w:pPr>
      <w:r w:rsidRPr="00C32BD0">
        <w:rPr>
          <w:rFonts w:cs="Arial"/>
          <w:sz w:val="22"/>
          <w:szCs w:val="22"/>
        </w:rPr>
        <w:t>International vessels have fulfilled the requirements of the Australian Ballast Water Management Requirements (DAWR, 2016, v6) if they have mobilised from outside of Australian waters.</w:t>
      </w:r>
    </w:p>
    <w:p w14:paraId="40078B7E" w14:textId="77777777" w:rsidR="00C32BD0" w:rsidRPr="00C32BD0" w:rsidRDefault="00C32BD0" w:rsidP="00C32BD0">
      <w:pPr>
        <w:pStyle w:val="ListParagraph0"/>
        <w:numPr>
          <w:ilvl w:val="0"/>
          <w:numId w:val="173"/>
        </w:numPr>
        <w:rPr>
          <w:rFonts w:cs="Arial"/>
          <w:sz w:val="22"/>
          <w:szCs w:val="22"/>
        </w:rPr>
      </w:pPr>
      <w:r w:rsidRPr="00C32BD0">
        <w:rPr>
          <w:rFonts w:cs="Arial"/>
          <w:sz w:val="22"/>
          <w:szCs w:val="22"/>
        </w:rPr>
        <w:t xml:space="preserve">Vessels only discharge low-risk domestic ballast water into Victorian state waters (on entry to a Victorian port and throughout the survey) in accordance with: </w:t>
      </w:r>
    </w:p>
    <w:p w14:paraId="7C7F3BC5" w14:textId="77777777" w:rsidR="00C32BD0" w:rsidRPr="00C32BD0" w:rsidRDefault="00C32BD0" w:rsidP="00C32BD0">
      <w:pPr>
        <w:pStyle w:val="ListParagraph0"/>
        <w:numPr>
          <w:ilvl w:val="1"/>
          <w:numId w:val="173"/>
        </w:numPr>
        <w:rPr>
          <w:rFonts w:cs="Arial"/>
          <w:sz w:val="22"/>
          <w:szCs w:val="22"/>
        </w:rPr>
      </w:pPr>
      <w:r w:rsidRPr="00C32BD0">
        <w:rPr>
          <w:rFonts w:cs="Arial"/>
          <w:sz w:val="22"/>
          <w:szCs w:val="22"/>
        </w:rPr>
        <w:t>The Victorian Environment Protection (Ships Ballast Water) Regulations 2008.</w:t>
      </w:r>
    </w:p>
    <w:p w14:paraId="3824F8BE" w14:textId="77777777" w:rsidR="00C32BD0" w:rsidRPr="00C32BD0" w:rsidRDefault="00C32BD0" w:rsidP="00C32BD0">
      <w:pPr>
        <w:pStyle w:val="ListParagraph0"/>
        <w:numPr>
          <w:ilvl w:val="1"/>
          <w:numId w:val="173"/>
        </w:numPr>
        <w:rPr>
          <w:rFonts w:cs="Arial"/>
          <w:sz w:val="22"/>
          <w:szCs w:val="22"/>
        </w:rPr>
      </w:pPr>
      <w:r w:rsidRPr="00C32BD0">
        <w:rPr>
          <w:rFonts w:cs="Arial"/>
          <w:sz w:val="22"/>
          <w:szCs w:val="22"/>
        </w:rPr>
        <w:lastRenderedPageBreak/>
        <w:t xml:space="preserve">EPA Protocol for Environmental Management: Domestic Ballast Water Management in Victorian Waters (Publication 949.7, 2017). </w:t>
      </w:r>
    </w:p>
    <w:p w14:paraId="041D6C1D" w14:textId="7D675461" w:rsidR="00C32BD0" w:rsidRPr="00C32BD0" w:rsidRDefault="00C32BD0" w:rsidP="00C32BD0">
      <w:pPr>
        <w:pStyle w:val="ListParagraph0"/>
        <w:numPr>
          <w:ilvl w:val="1"/>
          <w:numId w:val="173"/>
        </w:numPr>
        <w:rPr>
          <w:rFonts w:cs="Arial"/>
          <w:sz w:val="22"/>
          <w:szCs w:val="22"/>
        </w:rPr>
      </w:pPr>
      <w:r w:rsidRPr="00C32BD0">
        <w:rPr>
          <w:rFonts w:cs="Arial"/>
          <w:sz w:val="22"/>
          <w:szCs w:val="22"/>
        </w:rPr>
        <w:t>Risk assessment undertaken and submitted by the Vessel Master prior to entering Victorian state waters (https://management.</w:t>
      </w:r>
      <w:r w:rsidRPr="00C32BD0">
        <w:rPr>
          <w:rFonts w:cs="Arial"/>
          <w:sz w:val="22"/>
          <w:szCs w:val="22"/>
        </w:rPr>
        <w:br/>
        <w:t>marinepests.gov.au/bw/).</w:t>
      </w:r>
    </w:p>
    <w:p w14:paraId="77C93B6B" w14:textId="22FBE65F" w:rsidR="00C32BD0" w:rsidRPr="00C32BD0" w:rsidRDefault="00C32BD0" w:rsidP="00C32BD0">
      <w:pPr>
        <w:pStyle w:val="ListParagraph0"/>
        <w:numPr>
          <w:ilvl w:val="0"/>
          <w:numId w:val="173"/>
        </w:numPr>
        <w:rPr>
          <w:rFonts w:cs="Arial"/>
          <w:sz w:val="22"/>
          <w:szCs w:val="22"/>
        </w:rPr>
      </w:pPr>
      <w:r w:rsidRPr="00C32BD0">
        <w:rPr>
          <w:rFonts w:cs="Arial"/>
          <w:sz w:val="22"/>
          <w:szCs w:val="22"/>
        </w:rPr>
        <w:t>Non-compliant discharges of domestic ballast water are reported to the EPA Victoria immediately.</w:t>
      </w:r>
    </w:p>
    <w:p w14:paraId="7DF9827C" w14:textId="035AC76A" w:rsidR="00C32BD0" w:rsidRPr="00C32BD0" w:rsidRDefault="00C32BD0" w:rsidP="00C32BD0">
      <w:pPr>
        <w:pStyle w:val="ListParagraph0"/>
        <w:numPr>
          <w:ilvl w:val="0"/>
          <w:numId w:val="173"/>
        </w:numPr>
        <w:rPr>
          <w:rFonts w:cs="Arial"/>
          <w:sz w:val="22"/>
          <w:szCs w:val="22"/>
        </w:rPr>
      </w:pPr>
      <w:r w:rsidRPr="00C32BD0">
        <w:rPr>
          <w:rFonts w:cs="Arial"/>
          <w:sz w:val="22"/>
          <w:szCs w:val="22"/>
        </w:rPr>
        <w:t>Suspected or known introductions of IMS will be reported to the DELWP immediately.</w:t>
      </w:r>
    </w:p>
    <w:p w14:paraId="680FD0BF" w14:textId="208DA3EC" w:rsidR="00C32BD0" w:rsidRPr="00C32BD0" w:rsidRDefault="00C32BD0" w:rsidP="00C32BD0">
      <w:pPr>
        <w:pStyle w:val="ListParagraph0"/>
        <w:numPr>
          <w:ilvl w:val="0"/>
          <w:numId w:val="173"/>
        </w:numPr>
        <w:spacing w:after="240" w:line="240" w:lineRule="auto"/>
        <w:ind w:left="714" w:hanging="357"/>
        <w:rPr>
          <w:rFonts w:cs="Arial"/>
          <w:sz w:val="22"/>
          <w:szCs w:val="22"/>
        </w:rPr>
      </w:pPr>
      <w:r w:rsidRPr="00C32BD0">
        <w:rPr>
          <w:rFonts w:cs="Arial"/>
          <w:sz w:val="22"/>
          <w:szCs w:val="22"/>
        </w:rPr>
        <w:t>In-water survey equipment will be cleaned (e.g., fouling is removed from streamer joints, collar joints, etc) prior to initial use in the proposed operational area.</w:t>
      </w:r>
    </w:p>
    <w:p w14:paraId="32C3CAEE" w14:textId="3DE3AB91" w:rsidR="00C32BD0" w:rsidRPr="00B6448F" w:rsidRDefault="00C32BD0" w:rsidP="00C32BD0">
      <w:pPr>
        <w:pStyle w:val="bodycopy"/>
        <w:spacing w:after="240"/>
        <w:rPr>
          <w:rFonts w:ascii="Arial" w:hAnsi="Arial"/>
          <w:sz w:val="22"/>
          <w:szCs w:val="22"/>
        </w:rPr>
      </w:pPr>
      <w:r w:rsidRPr="00D2032C">
        <w:rPr>
          <w:rFonts w:ascii="Arial" w:hAnsi="Arial"/>
          <w:sz w:val="22"/>
          <w:szCs w:val="22"/>
        </w:rPr>
        <w:t>Table 7.</w:t>
      </w:r>
      <w:r w:rsidR="00D2032C" w:rsidRPr="00D2032C">
        <w:rPr>
          <w:rFonts w:ascii="Arial" w:hAnsi="Arial"/>
          <w:sz w:val="22"/>
          <w:szCs w:val="22"/>
        </w:rPr>
        <w:t>39</w:t>
      </w:r>
      <w:r w:rsidRPr="00D2032C">
        <w:rPr>
          <w:rFonts w:ascii="Arial" w:hAnsi="Arial"/>
          <w:sz w:val="22"/>
          <w:szCs w:val="22"/>
        </w:rPr>
        <w:t xml:space="preserve"> presents</w:t>
      </w:r>
      <w:r w:rsidRPr="006F65F9">
        <w:rPr>
          <w:rFonts w:ascii="Arial" w:hAnsi="Arial"/>
          <w:sz w:val="22"/>
          <w:szCs w:val="22"/>
        </w:rPr>
        <w:t xml:space="preserve"> the </w:t>
      </w:r>
      <w:r w:rsidR="00D2032C">
        <w:rPr>
          <w:rFonts w:ascii="Arial" w:hAnsi="Arial"/>
          <w:sz w:val="22"/>
          <w:szCs w:val="22"/>
        </w:rPr>
        <w:t xml:space="preserve">residual </w:t>
      </w:r>
      <w:r w:rsidRPr="006F65F9">
        <w:rPr>
          <w:rFonts w:ascii="Arial" w:hAnsi="Arial"/>
          <w:sz w:val="22"/>
          <w:szCs w:val="22"/>
        </w:rPr>
        <w:t xml:space="preserve">risk assessment for </w:t>
      </w:r>
      <w:r>
        <w:rPr>
          <w:rFonts w:ascii="Arial" w:hAnsi="Arial"/>
          <w:sz w:val="22"/>
          <w:szCs w:val="22"/>
        </w:rPr>
        <w:t>the introduction of IMS</w:t>
      </w:r>
      <w:r w:rsidRPr="00B6448F">
        <w:rPr>
          <w:rFonts w:ascii="Arial" w:hAnsi="Arial"/>
          <w:sz w:val="22"/>
          <w:szCs w:val="22"/>
        </w:rPr>
        <w:t xml:space="preserve">. </w:t>
      </w:r>
    </w:p>
    <w:p w14:paraId="1C4CDF69" w14:textId="62399F95" w:rsidR="00C32BD0" w:rsidRPr="00D157DF" w:rsidRDefault="00C32BD0" w:rsidP="00C32BD0">
      <w:pPr>
        <w:pStyle w:val="CaptionTables"/>
        <w:jc w:val="center"/>
        <w:rPr>
          <w:rFonts w:eastAsia="Times New Roman" w:cs="Arial"/>
          <w:bCs w:val="0"/>
          <w:color w:val="auto"/>
          <w:sz w:val="20"/>
          <w:lang w:eastAsia="en-AU"/>
        </w:rPr>
      </w:pPr>
      <w:r w:rsidRPr="00D157DF">
        <w:rPr>
          <w:rFonts w:eastAsia="Times New Roman" w:cs="Arial"/>
          <w:bCs w:val="0"/>
          <w:color w:val="auto"/>
          <w:sz w:val="20"/>
          <w:lang w:eastAsia="en-AU"/>
        </w:rPr>
        <w:t xml:space="preserve">Table </w:t>
      </w:r>
      <w:r>
        <w:rPr>
          <w:rFonts w:eastAsia="Times New Roman" w:cs="Arial"/>
          <w:bCs w:val="0"/>
          <w:color w:val="auto"/>
          <w:sz w:val="20"/>
          <w:lang w:eastAsia="en-AU"/>
        </w:rPr>
        <w:t>7.</w:t>
      </w:r>
      <w:r w:rsidR="00D2032C">
        <w:rPr>
          <w:rFonts w:eastAsia="Times New Roman" w:cs="Arial"/>
          <w:bCs w:val="0"/>
          <w:color w:val="auto"/>
          <w:sz w:val="20"/>
          <w:lang w:eastAsia="en-AU"/>
        </w:rPr>
        <w:t>39</w:t>
      </w:r>
      <w:r w:rsidRPr="00D157DF">
        <w:rPr>
          <w:rFonts w:eastAsia="Times New Roman" w:cs="Arial"/>
          <w:bCs w:val="0"/>
          <w:color w:val="auto"/>
          <w:sz w:val="20"/>
          <w:lang w:eastAsia="en-AU"/>
        </w:rPr>
        <w:t>.</w:t>
      </w:r>
      <w:r w:rsidRPr="00D157DF">
        <w:rPr>
          <w:rFonts w:eastAsia="Times New Roman" w:cs="Arial"/>
          <w:bCs w:val="0"/>
          <w:color w:val="auto"/>
          <w:sz w:val="20"/>
          <w:lang w:eastAsia="en-AU"/>
        </w:rPr>
        <w:tab/>
      </w:r>
      <w:r w:rsidR="00D2032C">
        <w:rPr>
          <w:rFonts w:eastAsia="Times New Roman" w:cs="Arial"/>
          <w:bCs w:val="0"/>
          <w:color w:val="auto"/>
          <w:sz w:val="20"/>
          <w:lang w:eastAsia="en-AU"/>
        </w:rPr>
        <w:t>Residual r</w:t>
      </w:r>
      <w:r w:rsidRPr="00D157DF">
        <w:rPr>
          <w:rFonts w:eastAsia="Times New Roman" w:cs="Arial"/>
          <w:bCs w:val="0"/>
          <w:color w:val="auto"/>
          <w:sz w:val="20"/>
          <w:lang w:eastAsia="en-AU"/>
        </w:rPr>
        <w:t xml:space="preserve">isk assessment for </w:t>
      </w:r>
      <w:r>
        <w:rPr>
          <w:sz w:val="20"/>
        </w:rPr>
        <w:t>the introduction of IMS</w:t>
      </w:r>
    </w:p>
    <w:tbl>
      <w:tblPr>
        <w:tblW w:w="8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3118"/>
        <w:gridCol w:w="2728"/>
      </w:tblGrid>
      <w:tr w:rsidR="00D2032C" w:rsidRPr="00D157DF" w14:paraId="69346F89" w14:textId="77777777" w:rsidTr="00B972E5">
        <w:trPr>
          <w:cantSplit/>
        </w:trPr>
        <w:tc>
          <w:tcPr>
            <w:tcW w:w="2660" w:type="dxa"/>
            <w:shd w:val="clear" w:color="auto" w:fill="064EA8"/>
          </w:tcPr>
          <w:p w14:paraId="7217E89C" w14:textId="77777777" w:rsidR="00D2032C" w:rsidRPr="009822DA" w:rsidRDefault="00D2032C" w:rsidP="00891DE1">
            <w:pPr>
              <w:pStyle w:val="TableText"/>
              <w:spacing w:before="60" w:after="60" w:line="240" w:lineRule="auto"/>
              <w:jc w:val="center"/>
              <w:rPr>
                <w:rFonts w:cs="Arial"/>
                <w:color w:val="FFFFFF" w:themeColor="background1"/>
                <w:sz w:val="20"/>
                <w:szCs w:val="20"/>
              </w:rPr>
            </w:pPr>
            <w:r w:rsidRPr="009822DA">
              <w:rPr>
                <w:rFonts w:cs="Arial"/>
                <w:color w:val="FFFFFF" w:themeColor="background1"/>
                <w:sz w:val="20"/>
                <w:szCs w:val="20"/>
              </w:rPr>
              <w:t>Likelihood</w:t>
            </w:r>
          </w:p>
        </w:tc>
        <w:tc>
          <w:tcPr>
            <w:tcW w:w="3118" w:type="dxa"/>
            <w:shd w:val="clear" w:color="auto" w:fill="064EA8"/>
          </w:tcPr>
          <w:p w14:paraId="1A43AAE6" w14:textId="77777777" w:rsidR="00D2032C" w:rsidRPr="009822DA" w:rsidRDefault="00D2032C" w:rsidP="00891DE1">
            <w:pPr>
              <w:pStyle w:val="TableText"/>
              <w:spacing w:before="60" w:after="60" w:line="240" w:lineRule="auto"/>
              <w:jc w:val="center"/>
              <w:rPr>
                <w:rFonts w:cs="Arial"/>
                <w:color w:val="FFFFFF" w:themeColor="background1"/>
                <w:sz w:val="20"/>
                <w:szCs w:val="20"/>
              </w:rPr>
            </w:pPr>
            <w:r w:rsidRPr="009822DA">
              <w:rPr>
                <w:rFonts w:cs="Arial"/>
                <w:color w:val="FFFFFF" w:themeColor="background1"/>
                <w:sz w:val="20"/>
                <w:szCs w:val="20"/>
              </w:rPr>
              <w:t>Consequence</w:t>
            </w:r>
          </w:p>
        </w:tc>
        <w:tc>
          <w:tcPr>
            <w:tcW w:w="2728" w:type="dxa"/>
            <w:shd w:val="clear" w:color="auto" w:fill="064EA8"/>
          </w:tcPr>
          <w:p w14:paraId="310007B5" w14:textId="77777777" w:rsidR="00D2032C" w:rsidRPr="009822DA" w:rsidRDefault="00D2032C" w:rsidP="00891DE1">
            <w:pPr>
              <w:pStyle w:val="TableText"/>
              <w:spacing w:before="60" w:after="60" w:line="240" w:lineRule="auto"/>
              <w:jc w:val="center"/>
              <w:rPr>
                <w:rFonts w:cs="Arial"/>
                <w:color w:val="FFFFFF" w:themeColor="background1"/>
                <w:sz w:val="20"/>
                <w:szCs w:val="20"/>
              </w:rPr>
            </w:pPr>
            <w:r w:rsidRPr="009822DA">
              <w:rPr>
                <w:rFonts w:cs="Arial"/>
                <w:color w:val="FFFFFF" w:themeColor="background1"/>
                <w:sz w:val="20"/>
                <w:szCs w:val="20"/>
              </w:rPr>
              <w:t>Risk rating</w:t>
            </w:r>
          </w:p>
        </w:tc>
      </w:tr>
      <w:tr w:rsidR="00D2032C" w:rsidRPr="00D157DF" w14:paraId="3E90F9B2" w14:textId="77777777" w:rsidTr="00D2032C">
        <w:trPr>
          <w:cantSplit/>
        </w:trPr>
        <w:tc>
          <w:tcPr>
            <w:tcW w:w="2660" w:type="dxa"/>
            <w:shd w:val="clear" w:color="auto" w:fill="FFFFFF" w:themeFill="background1"/>
          </w:tcPr>
          <w:p w14:paraId="6FF8065A" w14:textId="77777777" w:rsidR="00D2032C" w:rsidRDefault="00D2032C" w:rsidP="00D611A8">
            <w:pPr>
              <w:pStyle w:val="TableText"/>
              <w:spacing w:before="60" w:after="60" w:line="240" w:lineRule="auto"/>
              <w:jc w:val="center"/>
              <w:rPr>
                <w:rFonts w:cs="Arial"/>
                <w:sz w:val="20"/>
                <w:szCs w:val="20"/>
              </w:rPr>
            </w:pPr>
            <w:r>
              <w:rPr>
                <w:rFonts w:cs="Arial"/>
                <w:sz w:val="20"/>
                <w:szCs w:val="20"/>
              </w:rPr>
              <w:t>Rare</w:t>
            </w:r>
          </w:p>
        </w:tc>
        <w:tc>
          <w:tcPr>
            <w:tcW w:w="3118" w:type="dxa"/>
            <w:shd w:val="clear" w:color="auto" w:fill="auto"/>
          </w:tcPr>
          <w:p w14:paraId="191894B9" w14:textId="305DDEEB" w:rsidR="00D2032C" w:rsidRDefault="00D2032C" w:rsidP="00D611A8">
            <w:pPr>
              <w:pStyle w:val="TableText"/>
              <w:spacing w:before="60" w:after="60" w:line="240" w:lineRule="auto"/>
              <w:jc w:val="center"/>
              <w:rPr>
                <w:rFonts w:cs="Arial"/>
                <w:sz w:val="20"/>
                <w:szCs w:val="20"/>
              </w:rPr>
            </w:pPr>
            <w:r>
              <w:rPr>
                <w:rFonts w:cs="Arial"/>
                <w:sz w:val="20"/>
                <w:szCs w:val="20"/>
              </w:rPr>
              <w:t>Moderate</w:t>
            </w:r>
          </w:p>
        </w:tc>
        <w:tc>
          <w:tcPr>
            <w:tcW w:w="2728" w:type="dxa"/>
            <w:shd w:val="clear" w:color="auto" w:fill="73FB79"/>
          </w:tcPr>
          <w:p w14:paraId="5F0E3195" w14:textId="77777777" w:rsidR="00D2032C" w:rsidRDefault="00D2032C" w:rsidP="00D611A8">
            <w:pPr>
              <w:pStyle w:val="TableText"/>
              <w:spacing w:before="60" w:after="60" w:line="240" w:lineRule="auto"/>
              <w:jc w:val="center"/>
              <w:rPr>
                <w:rFonts w:cs="Arial"/>
                <w:sz w:val="20"/>
                <w:szCs w:val="20"/>
              </w:rPr>
            </w:pPr>
            <w:r>
              <w:rPr>
                <w:rFonts w:cs="Arial"/>
                <w:sz w:val="20"/>
                <w:szCs w:val="20"/>
              </w:rPr>
              <w:t>Low</w:t>
            </w:r>
          </w:p>
        </w:tc>
      </w:tr>
    </w:tbl>
    <w:p w14:paraId="29B8D7FD" w14:textId="77777777" w:rsidR="00C32BD0" w:rsidRDefault="00C32BD0" w:rsidP="00C32BD0">
      <w:pPr>
        <w:pStyle w:val="bodycopy"/>
        <w:spacing w:after="240"/>
        <w:rPr>
          <w:rFonts w:ascii="Arial" w:hAnsi="Arial"/>
          <w:sz w:val="22"/>
          <w:szCs w:val="22"/>
        </w:rPr>
      </w:pPr>
    </w:p>
    <w:p w14:paraId="08044D44" w14:textId="14022D3D" w:rsidR="00863A83" w:rsidRPr="00B03966" w:rsidRDefault="00B03966" w:rsidP="00B03966">
      <w:pPr>
        <w:pStyle w:val="Heading2"/>
        <w:keepLines/>
        <w:numPr>
          <w:ilvl w:val="1"/>
          <w:numId w:val="1"/>
        </w:numPr>
        <w:tabs>
          <w:tab w:val="clear" w:pos="720"/>
        </w:tabs>
        <w:spacing w:before="400" w:after="200" w:line="240" w:lineRule="auto"/>
        <w:ind w:left="709" w:hanging="709"/>
        <w:rPr>
          <w:rFonts w:cs="Times New Roman"/>
          <w:iCs w:val="0"/>
          <w:color w:val="064EA8"/>
          <w:szCs w:val="26"/>
          <w:lang w:eastAsia="en-US"/>
        </w:rPr>
      </w:pPr>
      <w:bookmarkStart w:id="1213" w:name="_Toc501313221"/>
      <w:bookmarkStart w:id="1214" w:name="_Toc320190774"/>
      <w:bookmarkStart w:id="1215" w:name="_Toc375214656"/>
      <w:bookmarkEnd w:id="1213"/>
      <w:r>
        <w:rPr>
          <w:rFonts w:cs="Times New Roman"/>
          <w:iCs w:val="0"/>
          <w:color w:val="064EA8"/>
          <w:szCs w:val="26"/>
          <w:lang w:eastAsia="en-US"/>
        </w:rPr>
        <w:t xml:space="preserve">RISK: </w:t>
      </w:r>
      <w:r w:rsidR="00886EE1" w:rsidRPr="00B03966">
        <w:rPr>
          <w:rFonts w:cs="Times New Roman"/>
          <w:iCs w:val="0"/>
          <w:color w:val="064EA8"/>
          <w:szCs w:val="26"/>
          <w:lang w:eastAsia="en-US"/>
        </w:rPr>
        <w:t>Displacement of or Interference with</w:t>
      </w:r>
      <w:r w:rsidR="00863A83" w:rsidRPr="00B03966">
        <w:rPr>
          <w:rFonts w:cs="Times New Roman"/>
          <w:iCs w:val="0"/>
          <w:color w:val="064EA8"/>
          <w:szCs w:val="26"/>
          <w:lang w:eastAsia="en-US"/>
        </w:rPr>
        <w:t xml:space="preserve"> </w:t>
      </w:r>
      <w:bookmarkEnd w:id="1214"/>
      <w:r w:rsidR="00863A83" w:rsidRPr="00B03966">
        <w:rPr>
          <w:rFonts w:cs="Times New Roman"/>
          <w:iCs w:val="0"/>
          <w:color w:val="064EA8"/>
          <w:szCs w:val="26"/>
          <w:lang w:eastAsia="en-US"/>
        </w:rPr>
        <w:t>Third-party Vessels</w:t>
      </w:r>
      <w:bookmarkEnd w:id="1215"/>
      <w:r w:rsidR="00EF6BE6" w:rsidRPr="00B03966">
        <w:rPr>
          <w:rFonts w:cs="Times New Roman"/>
          <w:iCs w:val="0"/>
          <w:color w:val="064EA8"/>
          <w:szCs w:val="26"/>
          <w:lang w:eastAsia="en-US"/>
        </w:rPr>
        <w:t xml:space="preserve"> </w:t>
      </w:r>
    </w:p>
    <w:p w14:paraId="459B06AE" w14:textId="77777777" w:rsidR="00863A83" w:rsidRDefault="00863A83" w:rsidP="00BB02C1">
      <w:pPr>
        <w:pStyle w:val="Heading3"/>
      </w:pPr>
      <w:bookmarkStart w:id="1216" w:name="_Toc477947921"/>
      <w:bookmarkStart w:id="1217" w:name="_Toc479764126"/>
      <w:bookmarkStart w:id="1218" w:name="_Toc375214657"/>
      <w:r>
        <w:t>Hazard</w:t>
      </w:r>
      <w:bookmarkEnd w:id="1216"/>
      <w:bookmarkEnd w:id="1217"/>
      <w:bookmarkEnd w:id="1218"/>
    </w:p>
    <w:p w14:paraId="576F685D" w14:textId="640D08B9" w:rsidR="009F13D9" w:rsidRPr="008D722A" w:rsidRDefault="009F13D9" w:rsidP="00861D13">
      <w:pPr>
        <w:ind w:left="0"/>
        <w:rPr>
          <w:rFonts w:cs="Arial"/>
          <w:sz w:val="22"/>
          <w:szCs w:val="22"/>
        </w:rPr>
      </w:pPr>
      <w:r w:rsidRPr="008D722A">
        <w:rPr>
          <w:rFonts w:cs="Arial"/>
          <w:sz w:val="22"/>
          <w:szCs w:val="22"/>
        </w:rPr>
        <w:t xml:space="preserve">The physical presence of </w:t>
      </w:r>
      <w:r w:rsidR="00886EE1" w:rsidRPr="008D722A">
        <w:rPr>
          <w:rFonts w:cs="Arial"/>
          <w:sz w:val="22"/>
          <w:szCs w:val="22"/>
        </w:rPr>
        <w:t xml:space="preserve">the </w:t>
      </w:r>
      <w:r w:rsidR="009D44AB">
        <w:rPr>
          <w:rFonts w:cs="Arial"/>
          <w:sz w:val="22"/>
          <w:szCs w:val="22"/>
        </w:rPr>
        <w:t>survey</w:t>
      </w:r>
      <w:r w:rsidR="00886EE1" w:rsidRPr="008D722A">
        <w:rPr>
          <w:rFonts w:cs="Arial"/>
          <w:sz w:val="22"/>
          <w:szCs w:val="22"/>
        </w:rPr>
        <w:t xml:space="preserve"> and support </w:t>
      </w:r>
      <w:r w:rsidRPr="008D722A">
        <w:rPr>
          <w:rFonts w:cs="Arial"/>
          <w:sz w:val="22"/>
          <w:szCs w:val="22"/>
        </w:rPr>
        <w:t xml:space="preserve">vessels </w:t>
      </w:r>
      <w:r w:rsidR="00110B45" w:rsidRPr="008D722A">
        <w:rPr>
          <w:rFonts w:cs="Arial"/>
          <w:sz w:val="22"/>
          <w:szCs w:val="22"/>
        </w:rPr>
        <w:t xml:space="preserve">and the survey streamers </w:t>
      </w:r>
      <w:r w:rsidR="00783DC3" w:rsidRPr="008D722A">
        <w:rPr>
          <w:rFonts w:cs="Arial"/>
          <w:sz w:val="22"/>
          <w:szCs w:val="22"/>
        </w:rPr>
        <w:t xml:space="preserve">will result in the enforcement of an exclusion zone for the duration of the proposed survey for </w:t>
      </w:r>
      <w:r w:rsidRPr="008D722A">
        <w:rPr>
          <w:rFonts w:cs="Arial"/>
          <w:sz w:val="22"/>
          <w:szCs w:val="22"/>
        </w:rPr>
        <w:t xml:space="preserve">third-party vessel operators, such as commercial </w:t>
      </w:r>
      <w:r w:rsidR="004B7A4D" w:rsidRPr="008D722A">
        <w:rPr>
          <w:rFonts w:cs="Arial"/>
          <w:sz w:val="22"/>
          <w:szCs w:val="22"/>
        </w:rPr>
        <w:t xml:space="preserve">and recreational </w:t>
      </w:r>
      <w:r w:rsidRPr="008D722A">
        <w:rPr>
          <w:rFonts w:cs="Arial"/>
          <w:sz w:val="22"/>
          <w:szCs w:val="22"/>
        </w:rPr>
        <w:t>fishing vessels</w:t>
      </w:r>
      <w:r w:rsidR="00886EE1" w:rsidRPr="008D722A">
        <w:rPr>
          <w:rFonts w:cs="Arial"/>
          <w:sz w:val="22"/>
          <w:szCs w:val="22"/>
        </w:rPr>
        <w:t xml:space="preserve"> and merchant vessels</w:t>
      </w:r>
      <w:r w:rsidRPr="008D722A">
        <w:rPr>
          <w:rFonts w:cs="Arial"/>
          <w:sz w:val="22"/>
          <w:szCs w:val="22"/>
        </w:rPr>
        <w:t xml:space="preserve">. </w:t>
      </w:r>
    </w:p>
    <w:p w14:paraId="563B543A" w14:textId="77777777" w:rsidR="00863A83" w:rsidRDefault="00863A83" w:rsidP="00BB02C1">
      <w:pPr>
        <w:pStyle w:val="Heading3"/>
      </w:pPr>
      <w:bookmarkStart w:id="1219" w:name="_Toc477947922"/>
      <w:bookmarkStart w:id="1220" w:name="_Toc479764127"/>
      <w:bookmarkStart w:id="1221" w:name="_Toc375214658"/>
      <w:r>
        <w:t>Known and Potential Environmental Impacts</w:t>
      </w:r>
      <w:bookmarkEnd w:id="1219"/>
      <w:bookmarkEnd w:id="1220"/>
      <w:bookmarkEnd w:id="1221"/>
    </w:p>
    <w:p w14:paraId="1D9DF3B4" w14:textId="7B4F2DFA" w:rsidR="009F13D9" w:rsidRPr="008D722A" w:rsidRDefault="009F13D9" w:rsidP="00861D13">
      <w:pPr>
        <w:ind w:left="0"/>
        <w:rPr>
          <w:rFonts w:cs="Arial"/>
          <w:sz w:val="22"/>
          <w:szCs w:val="22"/>
        </w:rPr>
      </w:pPr>
      <w:r w:rsidRPr="008D722A">
        <w:rPr>
          <w:rFonts w:cs="Arial"/>
          <w:sz w:val="22"/>
          <w:szCs w:val="22"/>
        </w:rPr>
        <w:t xml:space="preserve">The known and potential impacts of </w:t>
      </w:r>
      <w:r w:rsidR="00362BB8" w:rsidRPr="008D722A">
        <w:rPr>
          <w:rFonts w:cs="Arial"/>
          <w:sz w:val="22"/>
          <w:szCs w:val="22"/>
        </w:rPr>
        <w:t xml:space="preserve">the displacement of or </w:t>
      </w:r>
      <w:r w:rsidRPr="008D722A">
        <w:rPr>
          <w:rFonts w:cs="Arial"/>
          <w:sz w:val="22"/>
          <w:szCs w:val="22"/>
        </w:rPr>
        <w:t xml:space="preserve">interference with </w:t>
      </w:r>
      <w:r w:rsidR="00362BB8" w:rsidRPr="008D722A">
        <w:rPr>
          <w:rFonts w:cs="Arial"/>
          <w:sz w:val="22"/>
          <w:szCs w:val="22"/>
        </w:rPr>
        <w:t>third-party</w:t>
      </w:r>
      <w:r w:rsidRPr="008D722A">
        <w:rPr>
          <w:rFonts w:cs="Arial"/>
          <w:sz w:val="22"/>
          <w:szCs w:val="22"/>
        </w:rPr>
        <w:t xml:space="preserve"> vessels are: </w:t>
      </w:r>
    </w:p>
    <w:p w14:paraId="44AB7624" w14:textId="77777777" w:rsidR="00886EE1" w:rsidRPr="008D722A" w:rsidRDefault="00886EE1" w:rsidP="00861D13">
      <w:pPr>
        <w:ind w:left="0"/>
        <w:rPr>
          <w:rFonts w:cs="Arial"/>
          <w:sz w:val="22"/>
          <w:szCs w:val="22"/>
        </w:rPr>
      </w:pPr>
    </w:p>
    <w:p w14:paraId="1AD16786" w14:textId="1D01067A" w:rsidR="009F13D9" w:rsidRPr="008D722A" w:rsidRDefault="009F13D9" w:rsidP="00567567">
      <w:pPr>
        <w:pStyle w:val="ListParagraph0"/>
        <w:numPr>
          <w:ilvl w:val="0"/>
          <w:numId w:val="196"/>
        </w:numPr>
        <w:rPr>
          <w:rFonts w:cs="Arial"/>
          <w:sz w:val="22"/>
          <w:szCs w:val="22"/>
        </w:rPr>
      </w:pPr>
      <w:r w:rsidRPr="008D722A">
        <w:rPr>
          <w:rFonts w:cs="Arial"/>
          <w:sz w:val="22"/>
          <w:szCs w:val="22"/>
        </w:rPr>
        <w:t>Diversion from navigation paths</w:t>
      </w:r>
      <w:r w:rsidR="00F260AB" w:rsidRPr="008D722A">
        <w:rPr>
          <w:rFonts w:cs="Arial"/>
          <w:sz w:val="22"/>
          <w:szCs w:val="22"/>
        </w:rPr>
        <w:t xml:space="preserve"> (leading to </w:t>
      </w:r>
      <w:r w:rsidR="00362BB8" w:rsidRPr="008D722A">
        <w:rPr>
          <w:rFonts w:cs="Arial"/>
          <w:sz w:val="22"/>
          <w:szCs w:val="22"/>
        </w:rPr>
        <w:t>increased travel times and fuel usage/costs)</w:t>
      </w:r>
      <w:r w:rsidRPr="008D722A">
        <w:rPr>
          <w:rFonts w:cs="Arial"/>
          <w:sz w:val="22"/>
          <w:szCs w:val="22"/>
        </w:rPr>
        <w:t>.</w:t>
      </w:r>
    </w:p>
    <w:p w14:paraId="6919B9BA" w14:textId="331906FE" w:rsidR="009F13D9" w:rsidRPr="008D722A" w:rsidRDefault="009F13D9" w:rsidP="00567567">
      <w:pPr>
        <w:pStyle w:val="ListParagraph0"/>
        <w:numPr>
          <w:ilvl w:val="0"/>
          <w:numId w:val="196"/>
        </w:numPr>
        <w:rPr>
          <w:rFonts w:cs="Arial"/>
          <w:sz w:val="22"/>
          <w:szCs w:val="22"/>
        </w:rPr>
      </w:pPr>
      <w:r w:rsidRPr="008D722A">
        <w:rPr>
          <w:rFonts w:cs="Arial"/>
          <w:sz w:val="22"/>
          <w:szCs w:val="22"/>
        </w:rPr>
        <w:t>Vessel damage</w:t>
      </w:r>
      <w:r w:rsidR="00362BB8" w:rsidRPr="008D722A">
        <w:rPr>
          <w:rFonts w:cs="Arial"/>
          <w:sz w:val="22"/>
          <w:szCs w:val="22"/>
        </w:rPr>
        <w:t xml:space="preserve"> (resulting in financial loss)</w:t>
      </w:r>
      <w:r w:rsidRPr="008D722A">
        <w:rPr>
          <w:rFonts w:cs="Arial"/>
          <w:sz w:val="22"/>
          <w:szCs w:val="22"/>
        </w:rPr>
        <w:t>.</w:t>
      </w:r>
    </w:p>
    <w:p w14:paraId="2CBA3D28" w14:textId="7149EDBE" w:rsidR="00F53ECA" w:rsidRPr="00596E67" w:rsidRDefault="009F13D9" w:rsidP="009D44AB">
      <w:pPr>
        <w:pStyle w:val="ListParagraph0"/>
        <w:numPr>
          <w:ilvl w:val="0"/>
          <w:numId w:val="196"/>
        </w:numPr>
        <w:spacing w:after="240"/>
        <w:rPr>
          <w:rFonts w:cs="Arial"/>
          <w:sz w:val="22"/>
          <w:szCs w:val="22"/>
        </w:rPr>
      </w:pPr>
      <w:r w:rsidRPr="00596E67">
        <w:rPr>
          <w:rFonts w:cs="Arial"/>
          <w:sz w:val="22"/>
          <w:szCs w:val="22"/>
        </w:rPr>
        <w:t>Damage to or loss of fishing equipment</w:t>
      </w:r>
      <w:r w:rsidR="00362BB8" w:rsidRPr="00596E67">
        <w:rPr>
          <w:rFonts w:cs="Arial"/>
          <w:sz w:val="22"/>
          <w:szCs w:val="22"/>
        </w:rPr>
        <w:t xml:space="preserve"> and/or loss of commercial fish catches (resulting in financial loss)</w:t>
      </w:r>
      <w:r w:rsidRPr="00596E67">
        <w:rPr>
          <w:rFonts w:cs="Arial"/>
          <w:sz w:val="22"/>
          <w:szCs w:val="22"/>
        </w:rPr>
        <w:t>.</w:t>
      </w:r>
    </w:p>
    <w:p w14:paraId="78316498" w14:textId="63148C94" w:rsidR="00E841C7" w:rsidRPr="008C6C1C" w:rsidRDefault="00E841C7" w:rsidP="00E841C7">
      <w:pPr>
        <w:ind w:left="0"/>
        <w:rPr>
          <w:rFonts w:cs="Arial"/>
          <w:sz w:val="22"/>
          <w:szCs w:val="22"/>
        </w:rPr>
      </w:pPr>
      <w:bookmarkStart w:id="1222" w:name="_Toc501231439"/>
      <w:bookmarkStart w:id="1223" w:name="_Toc477947923"/>
      <w:bookmarkEnd w:id="1222"/>
      <w:r w:rsidRPr="008C6C1C">
        <w:rPr>
          <w:rFonts w:cs="Arial"/>
          <w:sz w:val="22"/>
          <w:szCs w:val="22"/>
        </w:rPr>
        <w:t>Receptors most at risk are:</w:t>
      </w:r>
    </w:p>
    <w:p w14:paraId="19ED18BA" w14:textId="77777777" w:rsidR="00E841C7" w:rsidRPr="008C6C1C" w:rsidRDefault="00E841C7" w:rsidP="00E841C7">
      <w:pPr>
        <w:ind w:left="0"/>
        <w:rPr>
          <w:rFonts w:cs="Arial"/>
          <w:sz w:val="22"/>
          <w:szCs w:val="22"/>
        </w:rPr>
      </w:pPr>
      <w:r w:rsidRPr="008C6C1C">
        <w:rPr>
          <w:rFonts w:cs="Arial"/>
          <w:sz w:val="22"/>
          <w:szCs w:val="22"/>
        </w:rPr>
        <w:t xml:space="preserve"> </w:t>
      </w:r>
    </w:p>
    <w:p w14:paraId="37DA54A3" w14:textId="18204357" w:rsidR="00E841C7" w:rsidRPr="008C6C1C" w:rsidRDefault="004B7A4D" w:rsidP="00567567">
      <w:pPr>
        <w:pStyle w:val="ListParagraph0"/>
        <w:numPr>
          <w:ilvl w:val="0"/>
          <w:numId w:val="173"/>
        </w:numPr>
        <w:rPr>
          <w:rFonts w:cs="Arial"/>
          <w:sz w:val="22"/>
          <w:szCs w:val="22"/>
        </w:rPr>
      </w:pPr>
      <w:r w:rsidRPr="008C6C1C">
        <w:rPr>
          <w:rFonts w:cs="Arial"/>
          <w:sz w:val="22"/>
          <w:szCs w:val="22"/>
        </w:rPr>
        <w:t>Commercial and recreational fishing vessels</w:t>
      </w:r>
      <w:r w:rsidR="00E841C7" w:rsidRPr="008C6C1C">
        <w:rPr>
          <w:rFonts w:cs="Arial"/>
          <w:sz w:val="22"/>
          <w:szCs w:val="22"/>
        </w:rPr>
        <w:t>;</w:t>
      </w:r>
    </w:p>
    <w:p w14:paraId="24D67BD9" w14:textId="535A044E" w:rsidR="004B7A4D" w:rsidRPr="008C6C1C" w:rsidRDefault="004B7A4D" w:rsidP="00567567">
      <w:pPr>
        <w:pStyle w:val="ListParagraph0"/>
        <w:numPr>
          <w:ilvl w:val="0"/>
          <w:numId w:val="173"/>
        </w:numPr>
        <w:rPr>
          <w:rFonts w:cs="Arial"/>
          <w:sz w:val="22"/>
          <w:szCs w:val="22"/>
        </w:rPr>
      </w:pPr>
      <w:r w:rsidRPr="008C6C1C">
        <w:rPr>
          <w:rFonts w:cs="Arial"/>
          <w:sz w:val="22"/>
          <w:szCs w:val="22"/>
        </w:rPr>
        <w:t>Commercial fishing equipment (e.g., trawl nets, lobster pots); and</w:t>
      </w:r>
    </w:p>
    <w:p w14:paraId="4DEDCC7A" w14:textId="0A1EB69E" w:rsidR="00E841C7" w:rsidRPr="008C6C1C" w:rsidRDefault="004B7A4D" w:rsidP="00567567">
      <w:pPr>
        <w:pStyle w:val="ListParagraph0"/>
        <w:numPr>
          <w:ilvl w:val="0"/>
          <w:numId w:val="173"/>
        </w:numPr>
        <w:rPr>
          <w:rFonts w:cs="Arial"/>
          <w:sz w:val="22"/>
          <w:szCs w:val="22"/>
        </w:rPr>
      </w:pPr>
      <w:r w:rsidRPr="008C6C1C">
        <w:rPr>
          <w:rFonts w:cs="Arial"/>
          <w:sz w:val="22"/>
          <w:szCs w:val="22"/>
        </w:rPr>
        <w:t>Merchant vessels.</w:t>
      </w:r>
    </w:p>
    <w:p w14:paraId="52AA6BB8" w14:textId="431047FF" w:rsidR="00863A83" w:rsidRDefault="00863A83" w:rsidP="00BB02C1">
      <w:pPr>
        <w:pStyle w:val="Heading3"/>
      </w:pPr>
      <w:bookmarkStart w:id="1224" w:name="_Toc479764129"/>
      <w:bookmarkStart w:id="1225" w:name="_Toc375214659"/>
      <w:r>
        <w:t xml:space="preserve">Evaluation of Environmental </w:t>
      </w:r>
      <w:bookmarkEnd w:id="1223"/>
      <w:bookmarkEnd w:id="1224"/>
      <w:r w:rsidR="00DD10D5">
        <w:t>Risks</w:t>
      </w:r>
      <w:bookmarkEnd w:id="1225"/>
    </w:p>
    <w:p w14:paraId="320B9AC3" w14:textId="7B00708F" w:rsidR="00511065" w:rsidRPr="008C6C1C" w:rsidRDefault="00511065" w:rsidP="001F52E9">
      <w:pPr>
        <w:ind w:left="0"/>
        <w:rPr>
          <w:rFonts w:cs="Arial"/>
          <w:sz w:val="22"/>
          <w:szCs w:val="22"/>
        </w:rPr>
      </w:pPr>
      <w:r w:rsidRPr="008C6C1C">
        <w:rPr>
          <w:rFonts w:cs="Arial"/>
          <w:sz w:val="22"/>
          <w:szCs w:val="22"/>
        </w:rPr>
        <w:t xml:space="preserve">The presence of the </w:t>
      </w:r>
      <w:r w:rsidR="009D44AB">
        <w:rPr>
          <w:rFonts w:cs="Arial"/>
          <w:sz w:val="22"/>
          <w:szCs w:val="22"/>
        </w:rPr>
        <w:t>survey</w:t>
      </w:r>
      <w:r w:rsidRPr="008C6C1C">
        <w:rPr>
          <w:rFonts w:cs="Arial"/>
          <w:sz w:val="22"/>
          <w:szCs w:val="22"/>
        </w:rPr>
        <w:t xml:space="preserve"> vessel (with trailing equipment) (and to a lesser extent, the support v</w:t>
      </w:r>
      <w:r w:rsidR="001F52E9" w:rsidRPr="008C6C1C">
        <w:rPr>
          <w:rFonts w:cs="Arial"/>
          <w:sz w:val="22"/>
          <w:szCs w:val="22"/>
        </w:rPr>
        <w:t>essels</w:t>
      </w:r>
      <w:r w:rsidRPr="008C6C1C">
        <w:rPr>
          <w:rFonts w:cs="Arial"/>
          <w:sz w:val="22"/>
          <w:szCs w:val="22"/>
        </w:rPr>
        <w:t>)</w:t>
      </w:r>
      <w:r w:rsidR="001F52E9" w:rsidRPr="008C6C1C">
        <w:rPr>
          <w:rFonts w:cs="Arial"/>
          <w:sz w:val="22"/>
          <w:szCs w:val="22"/>
        </w:rPr>
        <w:t xml:space="preserve"> </w:t>
      </w:r>
      <w:r w:rsidRPr="008C6C1C">
        <w:rPr>
          <w:rFonts w:cs="Arial"/>
          <w:sz w:val="22"/>
          <w:szCs w:val="22"/>
        </w:rPr>
        <w:t xml:space="preserve">will temporarily </w:t>
      </w:r>
      <w:r w:rsidR="001F52E9" w:rsidRPr="008C6C1C">
        <w:rPr>
          <w:rFonts w:cs="Arial"/>
          <w:sz w:val="22"/>
          <w:szCs w:val="22"/>
        </w:rPr>
        <w:t xml:space="preserve">exclude other users of the marine environment </w:t>
      </w:r>
      <w:r w:rsidRPr="008C6C1C">
        <w:rPr>
          <w:rFonts w:cs="Arial"/>
          <w:sz w:val="22"/>
          <w:szCs w:val="22"/>
        </w:rPr>
        <w:t xml:space="preserve">in order to protect the source and streamer equipment. Given that </w:t>
      </w:r>
      <w:r w:rsidR="00B3091E" w:rsidRPr="008C6C1C">
        <w:rPr>
          <w:rFonts w:cs="Arial"/>
          <w:sz w:val="22"/>
          <w:szCs w:val="22"/>
        </w:rPr>
        <w:t>84%</w:t>
      </w:r>
      <w:r w:rsidRPr="008C6C1C">
        <w:rPr>
          <w:rFonts w:cs="Arial"/>
          <w:sz w:val="22"/>
          <w:szCs w:val="22"/>
        </w:rPr>
        <w:t xml:space="preserve"> of the proposed operational area </w:t>
      </w:r>
      <w:r w:rsidR="005E66E5" w:rsidRPr="008C6C1C">
        <w:rPr>
          <w:rFonts w:cs="Arial"/>
          <w:sz w:val="22"/>
          <w:szCs w:val="22"/>
        </w:rPr>
        <w:t xml:space="preserve">occurs within the Bass Strait Area to be Avoided (see </w:t>
      </w:r>
      <w:r w:rsidR="005E66E5" w:rsidRPr="008C6C1C">
        <w:rPr>
          <w:rFonts w:cs="Arial"/>
          <w:sz w:val="22"/>
          <w:szCs w:val="22"/>
        </w:rPr>
        <w:lastRenderedPageBreak/>
        <w:t xml:space="preserve">Section </w:t>
      </w:r>
      <w:r w:rsidR="005F3944">
        <w:rPr>
          <w:rFonts w:cs="Arial"/>
          <w:sz w:val="22"/>
          <w:szCs w:val="22"/>
        </w:rPr>
        <w:t>5.6.1</w:t>
      </w:r>
      <w:r w:rsidR="005E66E5" w:rsidRPr="008C6C1C">
        <w:rPr>
          <w:rFonts w:cs="Arial"/>
          <w:sz w:val="22"/>
          <w:szCs w:val="22"/>
        </w:rPr>
        <w:t xml:space="preserve">), </w:t>
      </w:r>
      <w:r w:rsidR="000159C5" w:rsidRPr="008C6C1C">
        <w:rPr>
          <w:rFonts w:cs="Arial"/>
          <w:sz w:val="22"/>
          <w:szCs w:val="22"/>
        </w:rPr>
        <w:t xml:space="preserve">combined with the shallow waters of the proposed operational area, </w:t>
      </w:r>
      <w:r w:rsidR="005E66E5" w:rsidRPr="008C6C1C">
        <w:rPr>
          <w:rFonts w:cs="Arial"/>
          <w:sz w:val="22"/>
          <w:szCs w:val="22"/>
        </w:rPr>
        <w:t xml:space="preserve">it is not expected that the </w:t>
      </w:r>
      <w:r w:rsidR="009D44AB">
        <w:rPr>
          <w:rFonts w:cs="Arial"/>
          <w:sz w:val="22"/>
          <w:szCs w:val="22"/>
        </w:rPr>
        <w:t>survey</w:t>
      </w:r>
      <w:r w:rsidR="005E66E5" w:rsidRPr="008C6C1C">
        <w:rPr>
          <w:rFonts w:cs="Arial"/>
          <w:sz w:val="22"/>
          <w:szCs w:val="22"/>
        </w:rPr>
        <w:t xml:space="preserve"> and support vessels will </w:t>
      </w:r>
      <w:r w:rsidR="000159C5" w:rsidRPr="008C6C1C">
        <w:rPr>
          <w:rFonts w:cs="Arial"/>
          <w:sz w:val="22"/>
          <w:szCs w:val="22"/>
        </w:rPr>
        <w:t xml:space="preserve">encounter merchant vessels. In the unlikely scenario that they did encounter merchant vessels, the inability of the </w:t>
      </w:r>
      <w:r w:rsidR="009D44AB">
        <w:rPr>
          <w:rFonts w:cs="Arial"/>
          <w:sz w:val="22"/>
          <w:szCs w:val="22"/>
        </w:rPr>
        <w:t>survey</w:t>
      </w:r>
      <w:r w:rsidR="000159C5" w:rsidRPr="008C6C1C">
        <w:rPr>
          <w:rFonts w:cs="Arial"/>
          <w:sz w:val="22"/>
          <w:szCs w:val="22"/>
        </w:rPr>
        <w:t xml:space="preserve"> vessel to take sudden evasive action with streamers trailing means that the support vessels would engage the merchant vessel to change course. This may result in a negligible increase in travel time and fuel cost</w:t>
      </w:r>
      <w:r w:rsidR="00B3091E" w:rsidRPr="008C6C1C">
        <w:rPr>
          <w:rFonts w:cs="Arial"/>
          <w:sz w:val="22"/>
          <w:szCs w:val="22"/>
        </w:rPr>
        <w:t xml:space="preserve"> for merchant vessels</w:t>
      </w:r>
      <w:r w:rsidR="000159C5" w:rsidRPr="008C6C1C">
        <w:rPr>
          <w:rFonts w:cs="Arial"/>
          <w:sz w:val="22"/>
          <w:szCs w:val="22"/>
        </w:rPr>
        <w:t xml:space="preserve">, but in the context of an entire journey, this is not considered significant. </w:t>
      </w:r>
    </w:p>
    <w:p w14:paraId="5CF4D8EF" w14:textId="77777777" w:rsidR="005E66E5" w:rsidRPr="008C6C1C" w:rsidRDefault="005E66E5" w:rsidP="001F52E9">
      <w:pPr>
        <w:ind w:left="0"/>
        <w:rPr>
          <w:rFonts w:cs="Arial"/>
          <w:sz w:val="22"/>
          <w:szCs w:val="22"/>
        </w:rPr>
      </w:pPr>
    </w:p>
    <w:p w14:paraId="57D19391" w14:textId="05D7339D" w:rsidR="001F52E9" w:rsidRPr="008C6C1C" w:rsidRDefault="001F52E9" w:rsidP="001F52E9">
      <w:pPr>
        <w:ind w:left="0"/>
        <w:rPr>
          <w:rFonts w:cs="Arial"/>
          <w:sz w:val="22"/>
          <w:szCs w:val="22"/>
        </w:rPr>
      </w:pPr>
      <w:r w:rsidRPr="008C6C1C">
        <w:rPr>
          <w:rFonts w:cs="Arial"/>
          <w:sz w:val="22"/>
          <w:szCs w:val="22"/>
        </w:rPr>
        <w:t>The consequence of displacing other users</w:t>
      </w:r>
      <w:r w:rsidR="003A2173" w:rsidRPr="008C6C1C">
        <w:rPr>
          <w:rFonts w:cs="Arial"/>
          <w:sz w:val="22"/>
          <w:szCs w:val="22"/>
        </w:rPr>
        <w:t>, such as commercial and/or recreational fishers,</w:t>
      </w:r>
      <w:r w:rsidRPr="008C6C1C">
        <w:rPr>
          <w:rFonts w:cs="Arial"/>
          <w:sz w:val="22"/>
          <w:szCs w:val="22"/>
        </w:rPr>
        <w:t xml:space="preserve"> is considered negligible given the very sparse use of the area by fishers. </w:t>
      </w:r>
    </w:p>
    <w:p w14:paraId="7632C93E" w14:textId="77777777" w:rsidR="003A2173" w:rsidRPr="008C6C1C" w:rsidRDefault="003A2173" w:rsidP="001F52E9">
      <w:pPr>
        <w:ind w:left="0"/>
        <w:rPr>
          <w:rFonts w:cs="Arial"/>
          <w:sz w:val="22"/>
          <w:szCs w:val="22"/>
        </w:rPr>
      </w:pPr>
    </w:p>
    <w:p w14:paraId="2546F056" w14:textId="4D913C7D" w:rsidR="004F2B86" w:rsidRPr="008C6C1C" w:rsidRDefault="004F2B86" w:rsidP="004F2B86">
      <w:pPr>
        <w:ind w:left="0"/>
        <w:rPr>
          <w:rFonts w:cs="Arial"/>
          <w:sz w:val="22"/>
          <w:szCs w:val="22"/>
        </w:rPr>
      </w:pPr>
      <w:r w:rsidRPr="008C6C1C">
        <w:rPr>
          <w:rFonts w:cs="Arial"/>
          <w:sz w:val="22"/>
          <w:szCs w:val="22"/>
        </w:rPr>
        <w:t xml:space="preserve">In the event of a vessel-to-vessel collision, health and safety impacts are more likely than environmental impacts. Should the force of a collision be enough to breach a vessel hull (which is unlikely due to the low speed of the source vessel and the low speed or stationary nature of the support vessels), a diesel spill may eventuate (this is addressed in </w:t>
      </w:r>
      <w:r w:rsidRPr="00BB25F6">
        <w:rPr>
          <w:rFonts w:cs="Arial"/>
          <w:sz w:val="22"/>
          <w:szCs w:val="22"/>
        </w:rPr>
        <w:t>Section 7.</w:t>
      </w:r>
      <w:r w:rsidR="00BB25F6" w:rsidRPr="00BB25F6">
        <w:rPr>
          <w:rFonts w:cs="Arial"/>
          <w:sz w:val="22"/>
          <w:szCs w:val="22"/>
        </w:rPr>
        <w:t>16</w:t>
      </w:r>
      <w:r w:rsidRPr="00BB25F6">
        <w:rPr>
          <w:rFonts w:cs="Arial"/>
          <w:sz w:val="22"/>
          <w:szCs w:val="22"/>
        </w:rPr>
        <w:t>).</w:t>
      </w:r>
    </w:p>
    <w:p w14:paraId="0FA19300" w14:textId="77777777" w:rsidR="001F52E9" w:rsidRPr="008C6C1C" w:rsidRDefault="001F52E9" w:rsidP="001F52E9">
      <w:pPr>
        <w:ind w:left="0"/>
        <w:rPr>
          <w:rFonts w:cs="Arial"/>
          <w:sz w:val="22"/>
          <w:szCs w:val="22"/>
        </w:rPr>
      </w:pPr>
    </w:p>
    <w:p w14:paraId="035513EA" w14:textId="7CFCEC98" w:rsidR="001F52E9" w:rsidRPr="008C6C1C" w:rsidRDefault="001F52E9" w:rsidP="001F52E9">
      <w:pPr>
        <w:ind w:left="0"/>
        <w:rPr>
          <w:rFonts w:cs="Arial"/>
          <w:sz w:val="22"/>
          <w:szCs w:val="22"/>
        </w:rPr>
      </w:pPr>
      <w:r w:rsidRPr="008C6C1C">
        <w:rPr>
          <w:rFonts w:cs="Arial"/>
          <w:sz w:val="22"/>
          <w:szCs w:val="22"/>
        </w:rPr>
        <w:t xml:space="preserve">Commercial </w:t>
      </w:r>
      <w:r w:rsidR="00783DC3" w:rsidRPr="008C6C1C">
        <w:rPr>
          <w:rFonts w:cs="Arial"/>
          <w:sz w:val="22"/>
          <w:szCs w:val="22"/>
        </w:rPr>
        <w:t xml:space="preserve">(and recreational) </w:t>
      </w:r>
      <w:r w:rsidRPr="008C6C1C">
        <w:rPr>
          <w:rFonts w:cs="Arial"/>
          <w:sz w:val="22"/>
          <w:szCs w:val="22"/>
        </w:rPr>
        <w:t>fish</w:t>
      </w:r>
      <w:r w:rsidR="00110B45" w:rsidRPr="008C6C1C">
        <w:rPr>
          <w:rFonts w:cs="Arial"/>
          <w:sz w:val="22"/>
          <w:szCs w:val="22"/>
        </w:rPr>
        <w:t xml:space="preserve">ing vessels will be </w:t>
      </w:r>
      <w:r w:rsidRPr="008C6C1C">
        <w:rPr>
          <w:rFonts w:cs="Arial"/>
          <w:sz w:val="22"/>
          <w:szCs w:val="22"/>
        </w:rPr>
        <w:t xml:space="preserve">excluded from </w:t>
      </w:r>
      <w:r w:rsidR="00110B45" w:rsidRPr="008C6C1C">
        <w:rPr>
          <w:rFonts w:cs="Arial"/>
          <w:sz w:val="22"/>
          <w:szCs w:val="22"/>
        </w:rPr>
        <w:t>operating within</w:t>
      </w:r>
      <w:r w:rsidRPr="008C6C1C">
        <w:rPr>
          <w:rFonts w:cs="Arial"/>
          <w:sz w:val="22"/>
          <w:szCs w:val="22"/>
        </w:rPr>
        <w:t xml:space="preserve"> </w:t>
      </w:r>
      <w:r w:rsidR="00110B45" w:rsidRPr="008C6C1C">
        <w:rPr>
          <w:rFonts w:cs="Arial"/>
          <w:sz w:val="22"/>
          <w:szCs w:val="22"/>
        </w:rPr>
        <w:t xml:space="preserve">the survey area for the duration of the survey so as to </w:t>
      </w:r>
      <w:r w:rsidR="007B0DBC">
        <w:rPr>
          <w:rFonts w:cs="Arial"/>
          <w:sz w:val="22"/>
          <w:szCs w:val="22"/>
        </w:rPr>
        <w:t>protect the</w:t>
      </w:r>
      <w:r w:rsidR="007B0DBC" w:rsidRPr="008C6C1C">
        <w:rPr>
          <w:rFonts w:cs="Arial"/>
          <w:sz w:val="22"/>
          <w:szCs w:val="22"/>
        </w:rPr>
        <w:t xml:space="preserve"> </w:t>
      </w:r>
      <w:r w:rsidR="000D6174">
        <w:rPr>
          <w:rFonts w:cs="Arial"/>
          <w:sz w:val="22"/>
          <w:szCs w:val="22"/>
        </w:rPr>
        <w:t xml:space="preserve">safety </w:t>
      </w:r>
      <w:r w:rsidR="007B0DBC">
        <w:rPr>
          <w:rFonts w:cs="Arial"/>
          <w:sz w:val="22"/>
          <w:szCs w:val="22"/>
        </w:rPr>
        <w:t>of</w:t>
      </w:r>
      <w:r w:rsidR="000D6174">
        <w:rPr>
          <w:rFonts w:cs="Arial"/>
          <w:sz w:val="22"/>
          <w:szCs w:val="22"/>
        </w:rPr>
        <w:t xml:space="preserve"> third-party personnel (while also avoiding </w:t>
      </w:r>
      <w:r w:rsidR="00783DC3" w:rsidRPr="008C6C1C">
        <w:rPr>
          <w:rFonts w:cs="Arial"/>
          <w:sz w:val="22"/>
          <w:szCs w:val="22"/>
        </w:rPr>
        <w:t>damage to the trailing survey streamers</w:t>
      </w:r>
      <w:r w:rsidR="000D6174">
        <w:rPr>
          <w:rFonts w:cs="Arial"/>
          <w:sz w:val="22"/>
          <w:szCs w:val="22"/>
        </w:rPr>
        <w:t>)</w:t>
      </w:r>
      <w:r w:rsidR="00783DC3" w:rsidRPr="008C6C1C">
        <w:rPr>
          <w:rFonts w:cs="Arial"/>
          <w:sz w:val="22"/>
          <w:szCs w:val="22"/>
        </w:rPr>
        <w:t xml:space="preserve">. </w:t>
      </w:r>
      <w:r w:rsidRPr="008C6C1C">
        <w:rPr>
          <w:rFonts w:cs="Arial"/>
          <w:sz w:val="22"/>
          <w:szCs w:val="22"/>
        </w:rPr>
        <w:t xml:space="preserve">Interactions between the </w:t>
      </w:r>
      <w:r w:rsidR="007B0DBC">
        <w:rPr>
          <w:rFonts w:cs="Arial"/>
          <w:sz w:val="22"/>
          <w:szCs w:val="22"/>
        </w:rPr>
        <w:t>survey</w:t>
      </w:r>
      <w:r w:rsidR="007B0DBC" w:rsidRPr="008C6C1C">
        <w:rPr>
          <w:rFonts w:cs="Arial"/>
          <w:sz w:val="22"/>
          <w:szCs w:val="22"/>
        </w:rPr>
        <w:t xml:space="preserve"> </w:t>
      </w:r>
      <w:r w:rsidR="00170D02" w:rsidRPr="008C6C1C">
        <w:rPr>
          <w:rFonts w:cs="Arial"/>
          <w:sz w:val="22"/>
          <w:szCs w:val="22"/>
        </w:rPr>
        <w:t>and support vessels</w:t>
      </w:r>
      <w:r w:rsidRPr="008C6C1C">
        <w:rPr>
          <w:rFonts w:cs="Arial"/>
          <w:sz w:val="22"/>
          <w:szCs w:val="22"/>
        </w:rPr>
        <w:t xml:space="preserve"> and </w:t>
      </w:r>
      <w:r w:rsidR="00170D02" w:rsidRPr="008C6C1C">
        <w:rPr>
          <w:rFonts w:cs="Arial"/>
          <w:sz w:val="22"/>
          <w:szCs w:val="22"/>
        </w:rPr>
        <w:t>third-party</w:t>
      </w:r>
      <w:r w:rsidRPr="008C6C1C">
        <w:rPr>
          <w:rFonts w:cs="Arial"/>
          <w:sz w:val="22"/>
          <w:szCs w:val="22"/>
        </w:rPr>
        <w:t xml:space="preserve"> </w:t>
      </w:r>
      <w:r w:rsidR="00170D02" w:rsidRPr="008C6C1C">
        <w:rPr>
          <w:rFonts w:cs="Arial"/>
          <w:sz w:val="22"/>
          <w:szCs w:val="22"/>
        </w:rPr>
        <w:t xml:space="preserve">vessels </w:t>
      </w:r>
      <w:r w:rsidRPr="008C6C1C">
        <w:rPr>
          <w:rFonts w:cs="Arial"/>
          <w:sz w:val="22"/>
          <w:szCs w:val="22"/>
        </w:rPr>
        <w:t xml:space="preserve">is likely to be minimal, mostly because of the slow moving and stationary nature of the </w:t>
      </w:r>
      <w:r w:rsidR="00170D02" w:rsidRPr="008C6C1C">
        <w:rPr>
          <w:rFonts w:cs="Arial"/>
          <w:sz w:val="22"/>
          <w:szCs w:val="22"/>
        </w:rPr>
        <w:t xml:space="preserve">source </w:t>
      </w:r>
      <w:r w:rsidRPr="008C6C1C">
        <w:rPr>
          <w:rFonts w:cs="Arial"/>
          <w:sz w:val="22"/>
          <w:szCs w:val="22"/>
        </w:rPr>
        <w:t xml:space="preserve">vessel, its high visibility (due to size) and ease of manoeuvrability </w:t>
      </w:r>
      <w:r w:rsidR="00170D02" w:rsidRPr="008C6C1C">
        <w:rPr>
          <w:rFonts w:cs="Arial"/>
          <w:sz w:val="22"/>
          <w:szCs w:val="22"/>
        </w:rPr>
        <w:t xml:space="preserve">of the support vessels </w:t>
      </w:r>
      <w:r w:rsidRPr="008C6C1C">
        <w:rPr>
          <w:rFonts w:cs="Arial"/>
          <w:sz w:val="22"/>
          <w:szCs w:val="22"/>
        </w:rPr>
        <w:t xml:space="preserve">to avoid a collision. Due to this visibility, it is also unlikely that fishing gear (such as lobster pots or trawl nets) would be damaged, as fishing vessels would detour around the vessel/s once communication between the vessels is made.  </w:t>
      </w:r>
    </w:p>
    <w:p w14:paraId="3AF85DCD" w14:textId="77777777" w:rsidR="00AA2C34" w:rsidRPr="008C6C1C" w:rsidRDefault="00AA2C34" w:rsidP="001F52E9">
      <w:pPr>
        <w:ind w:left="0"/>
        <w:rPr>
          <w:rFonts w:cs="Arial"/>
          <w:sz w:val="22"/>
          <w:szCs w:val="22"/>
        </w:rPr>
      </w:pPr>
    </w:p>
    <w:p w14:paraId="65334D60" w14:textId="13E35EC4" w:rsidR="00AA2C34" w:rsidRPr="008C6C1C" w:rsidRDefault="00AA2C34" w:rsidP="001F52E9">
      <w:pPr>
        <w:ind w:left="0"/>
        <w:rPr>
          <w:rFonts w:cs="Arial"/>
          <w:sz w:val="22"/>
          <w:szCs w:val="22"/>
        </w:rPr>
      </w:pPr>
      <w:r w:rsidRPr="008C6C1C">
        <w:rPr>
          <w:rFonts w:cs="Arial"/>
          <w:sz w:val="22"/>
          <w:szCs w:val="22"/>
        </w:rPr>
        <w:t>In the event that third-party vessels breach the safety exclusion maintained by the support vessels, there is potential</w:t>
      </w:r>
      <w:r w:rsidR="00525A37" w:rsidRPr="008C6C1C">
        <w:rPr>
          <w:rFonts w:cs="Arial"/>
          <w:sz w:val="22"/>
          <w:szCs w:val="22"/>
        </w:rPr>
        <w:t xml:space="preserve"> for fishing gear to become entangled in the survey streamers, resulting in damage or loss. In addition to the cost of repairing or replacing this equipment, it could also result in the loss of income from caught fish during that fishing expedition.</w:t>
      </w:r>
    </w:p>
    <w:p w14:paraId="45188B1E" w14:textId="77777777" w:rsidR="001F52E9" w:rsidRPr="008C6C1C" w:rsidRDefault="001F52E9" w:rsidP="001F52E9">
      <w:pPr>
        <w:ind w:left="0"/>
        <w:rPr>
          <w:rFonts w:cs="Arial"/>
          <w:sz w:val="22"/>
          <w:szCs w:val="22"/>
        </w:rPr>
      </w:pPr>
    </w:p>
    <w:p w14:paraId="102EC251" w14:textId="2BE3BA8B" w:rsidR="00F53ECA" w:rsidRPr="008C6C1C" w:rsidRDefault="001F52E9" w:rsidP="009D44AB">
      <w:pPr>
        <w:ind w:left="0"/>
        <w:rPr>
          <w:rFonts w:cs="Tahoma"/>
          <w:b/>
          <w:sz w:val="20"/>
        </w:rPr>
      </w:pPr>
      <w:r w:rsidRPr="008C6C1C">
        <w:rPr>
          <w:rFonts w:cs="Arial"/>
          <w:sz w:val="22"/>
          <w:szCs w:val="22"/>
        </w:rPr>
        <w:t xml:space="preserve">Given the short duration of </w:t>
      </w:r>
      <w:r w:rsidR="006F5649" w:rsidRPr="008C6C1C">
        <w:rPr>
          <w:rFonts w:cs="Arial"/>
          <w:sz w:val="22"/>
          <w:szCs w:val="22"/>
        </w:rPr>
        <w:t xml:space="preserve">the proposed survey </w:t>
      </w:r>
      <w:r w:rsidR="00525A37" w:rsidRPr="008C6C1C">
        <w:rPr>
          <w:rFonts w:cs="Arial"/>
          <w:sz w:val="22"/>
          <w:szCs w:val="22"/>
        </w:rPr>
        <w:t xml:space="preserve">and the low fishing intensity in the proposed operational area, </w:t>
      </w:r>
      <w:r w:rsidRPr="008C6C1C">
        <w:rPr>
          <w:rFonts w:cs="Arial"/>
          <w:sz w:val="22"/>
          <w:szCs w:val="22"/>
        </w:rPr>
        <w:t>the risk of interference with third-party vessels is negligible.</w:t>
      </w:r>
      <w:bookmarkStart w:id="1226" w:name="_Toc477947924"/>
      <w:bookmarkStart w:id="1227" w:name="_Toc479764132"/>
    </w:p>
    <w:p w14:paraId="0999887F" w14:textId="38D08FAD" w:rsidR="00863A83" w:rsidRDefault="009D44AB" w:rsidP="00BB02C1">
      <w:pPr>
        <w:pStyle w:val="Heading3"/>
      </w:pPr>
      <w:bookmarkStart w:id="1228" w:name="_Toc375214660"/>
      <w:r>
        <w:t xml:space="preserve">Control Measures &amp; </w:t>
      </w:r>
      <w:r w:rsidR="00863A83">
        <w:t>Risk Assessment</w:t>
      </w:r>
      <w:bookmarkEnd w:id="1226"/>
      <w:bookmarkEnd w:id="1227"/>
      <w:bookmarkEnd w:id="1228"/>
    </w:p>
    <w:p w14:paraId="7B4CA6FB" w14:textId="11966902" w:rsidR="009D44AB" w:rsidRDefault="009D44AB" w:rsidP="009D44AB">
      <w:pPr>
        <w:pStyle w:val="BodyText"/>
        <w:ind w:left="0"/>
        <w:rPr>
          <w:sz w:val="22"/>
          <w:szCs w:val="22"/>
        </w:rPr>
      </w:pPr>
      <w:r>
        <w:rPr>
          <w:rFonts w:cs="Arial"/>
          <w:sz w:val="22"/>
          <w:szCs w:val="22"/>
        </w:rPr>
        <w:t xml:space="preserve">The following control measures will be implemented to minimise the risk </w:t>
      </w:r>
      <w:r w:rsidRPr="008D722A">
        <w:rPr>
          <w:rFonts w:cs="Arial"/>
          <w:sz w:val="22"/>
          <w:szCs w:val="22"/>
        </w:rPr>
        <w:t>of displacement of or interference with third-party vessels</w:t>
      </w:r>
      <w:r>
        <w:rPr>
          <w:rFonts w:cs="Arial"/>
          <w:sz w:val="22"/>
          <w:szCs w:val="22"/>
        </w:rPr>
        <w:t xml:space="preserve">: </w:t>
      </w:r>
      <w:r w:rsidRPr="0038762E">
        <w:rPr>
          <w:sz w:val="22"/>
          <w:szCs w:val="22"/>
        </w:rPr>
        <w:t xml:space="preserve"> </w:t>
      </w:r>
    </w:p>
    <w:p w14:paraId="621621D0" w14:textId="76D59538" w:rsidR="00863A83" w:rsidRPr="009D44AB" w:rsidRDefault="009D44AB" w:rsidP="009D44AB">
      <w:pPr>
        <w:pStyle w:val="ListParagraph0"/>
        <w:numPr>
          <w:ilvl w:val="0"/>
          <w:numId w:val="196"/>
        </w:numPr>
        <w:rPr>
          <w:rFonts w:cs="Arial"/>
          <w:sz w:val="22"/>
          <w:szCs w:val="22"/>
        </w:rPr>
      </w:pPr>
      <w:r w:rsidRPr="009D44AB">
        <w:rPr>
          <w:rFonts w:cs="Arial"/>
          <w:sz w:val="22"/>
          <w:szCs w:val="22"/>
        </w:rPr>
        <w:t>CarbonNet has undertaken thorough pre-survey consultation with fishing stakeholders to ensure that commercial fishers are aware of the survey operations, timing and safety exclusion zone requirements.</w:t>
      </w:r>
    </w:p>
    <w:p w14:paraId="3424A84E" w14:textId="77D7E744" w:rsidR="009D44AB" w:rsidRPr="009D44AB" w:rsidRDefault="009D44AB" w:rsidP="009D44AB">
      <w:pPr>
        <w:pStyle w:val="ListParagraph0"/>
        <w:numPr>
          <w:ilvl w:val="0"/>
          <w:numId w:val="196"/>
        </w:numPr>
        <w:rPr>
          <w:rFonts w:cs="Arial"/>
          <w:sz w:val="22"/>
          <w:szCs w:val="22"/>
        </w:rPr>
      </w:pPr>
      <w:r w:rsidRPr="009D44AB">
        <w:rPr>
          <w:rFonts w:cs="Arial"/>
          <w:sz w:val="22"/>
          <w:szCs w:val="22"/>
        </w:rPr>
        <w:t>The AHO and TSV will be notified of survey activities at least a month prior to survey commencement to enable the promulgation of Notice to Mariners and AusCoast navigational warnings.</w:t>
      </w:r>
    </w:p>
    <w:p w14:paraId="30D0044E" w14:textId="62183B23" w:rsidR="009D44AB" w:rsidRPr="009D44AB" w:rsidRDefault="009D44AB" w:rsidP="009D44AB">
      <w:pPr>
        <w:pStyle w:val="ListParagraph0"/>
        <w:numPr>
          <w:ilvl w:val="0"/>
          <w:numId w:val="196"/>
        </w:numPr>
        <w:rPr>
          <w:rFonts w:cs="Arial"/>
          <w:sz w:val="22"/>
          <w:szCs w:val="22"/>
        </w:rPr>
      </w:pPr>
      <w:r w:rsidRPr="009D44AB">
        <w:rPr>
          <w:rFonts w:cs="Arial"/>
          <w:sz w:val="22"/>
          <w:szCs w:val="22"/>
        </w:rPr>
        <w:t>The survey and support vessels are readily identifiable to third-party vessels.</w:t>
      </w:r>
    </w:p>
    <w:p w14:paraId="15223037" w14:textId="77777777" w:rsidR="009D44AB" w:rsidRPr="009D44AB" w:rsidRDefault="009D44AB" w:rsidP="00891DE1">
      <w:pPr>
        <w:pStyle w:val="ListParagraph0"/>
        <w:numPr>
          <w:ilvl w:val="0"/>
          <w:numId w:val="196"/>
        </w:numPr>
        <w:rPr>
          <w:rFonts w:cs="Arial"/>
          <w:sz w:val="22"/>
          <w:szCs w:val="22"/>
        </w:rPr>
      </w:pPr>
      <w:r w:rsidRPr="009D44AB">
        <w:rPr>
          <w:rFonts w:cs="Arial"/>
          <w:sz w:val="22"/>
          <w:szCs w:val="22"/>
        </w:rPr>
        <w:t>Visual and radar watch is maintained on the bridge of the source and support vessels at all times.</w:t>
      </w:r>
    </w:p>
    <w:p w14:paraId="3741EDB1" w14:textId="5BA071DD" w:rsidR="009D44AB" w:rsidRPr="009D44AB" w:rsidRDefault="009D44AB" w:rsidP="009D44AB">
      <w:pPr>
        <w:pStyle w:val="ListParagraph0"/>
        <w:numPr>
          <w:ilvl w:val="0"/>
          <w:numId w:val="196"/>
        </w:numPr>
        <w:rPr>
          <w:rFonts w:cs="Arial"/>
          <w:sz w:val="22"/>
          <w:szCs w:val="22"/>
        </w:rPr>
      </w:pPr>
      <w:r w:rsidRPr="009D44AB">
        <w:rPr>
          <w:rFonts w:cs="Arial"/>
          <w:sz w:val="22"/>
          <w:szCs w:val="22"/>
        </w:rPr>
        <w:t xml:space="preserve">The Vessel Master and deck officers have a valid SCTW certificate in accordance with AMSA Marine Order 70 (seafarer certification) (or equivalent) to operate radio equipment to warn of potential third party spatial </w:t>
      </w:r>
      <w:r w:rsidRPr="009D44AB">
        <w:rPr>
          <w:rFonts w:cs="Arial"/>
          <w:sz w:val="22"/>
          <w:szCs w:val="22"/>
        </w:rPr>
        <w:lastRenderedPageBreak/>
        <w:t>conflicts (e.g. International Convention on Standards of Training, Certification and Watch-keeping for Sea-farers [STCW95], GDMSS proficiency).</w:t>
      </w:r>
    </w:p>
    <w:p w14:paraId="77487278" w14:textId="0E2A274B" w:rsidR="009D44AB" w:rsidRPr="009D44AB" w:rsidRDefault="009D44AB" w:rsidP="009D44AB">
      <w:pPr>
        <w:pStyle w:val="ListParagraph0"/>
        <w:numPr>
          <w:ilvl w:val="0"/>
          <w:numId w:val="196"/>
        </w:numPr>
        <w:rPr>
          <w:rFonts w:cs="Arial"/>
          <w:sz w:val="22"/>
          <w:szCs w:val="22"/>
        </w:rPr>
      </w:pPr>
      <w:r w:rsidRPr="009D44AB">
        <w:rPr>
          <w:rFonts w:cs="Arial"/>
          <w:sz w:val="22"/>
          <w:szCs w:val="22"/>
        </w:rPr>
        <w:t>Prior to the survey commencing, CarbonNet will obtain approval from VFA to remove and relocate lobster pots or other fishing equipment that may be in the path of the survey vessel.</w:t>
      </w:r>
    </w:p>
    <w:p w14:paraId="315C5743" w14:textId="1634FE81" w:rsidR="009D44AB" w:rsidRPr="009D44AB" w:rsidRDefault="009D44AB" w:rsidP="009D44AB">
      <w:pPr>
        <w:pStyle w:val="ListParagraph0"/>
        <w:numPr>
          <w:ilvl w:val="0"/>
          <w:numId w:val="196"/>
        </w:numPr>
        <w:rPr>
          <w:rFonts w:cs="Arial"/>
          <w:sz w:val="22"/>
          <w:szCs w:val="22"/>
        </w:rPr>
      </w:pPr>
      <w:r w:rsidRPr="009D44AB">
        <w:rPr>
          <w:rFonts w:cs="Arial"/>
          <w:sz w:val="22"/>
          <w:szCs w:val="22"/>
        </w:rPr>
        <w:t>Prior to the survey commencing, CarbonNet will agree a protocol with lobster fishers (or representatives) for the removal and return of lobster pots during the MSS.</w:t>
      </w:r>
    </w:p>
    <w:p w14:paraId="0A144C2B" w14:textId="3E3CCB43" w:rsidR="009D44AB" w:rsidRPr="009D44AB" w:rsidRDefault="009D44AB" w:rsidP="009D44AB">
      <w:pPr>
        <w:pStyle w:val="ListParagraph0"/>
        <w:numPr>
          <w:ilvl w:val="0"/>
          <w:numId w:val="196"/>
        </w:numPr>
        <w:rPr>
          <w:rFonts w:cs="Arial"/>
          <w:sz w:val="22"/>
          <w:szCs w:val="22"/>
        </w:rPr>
      </w:pPr>
      <w:r w:rsidRPr="009D44AB">
        <w:rPr>
          <w:rFonts w:cs="Arial"/>
          <w:sz w:val="22"/>
          <w:szCs w:val="22"/>
        </w:rPr>
        <w:t xml:space="preserve">The Masters of the support vessels will remain alert for lobster pot buoys and notify the Master of the source vessel if they are sighted, so that they can be removed and returned at the earliest opportunity.  </w:t>
      </w:r>
    </w:p>
    <w:p w14:paraId="47BAD507" w14:textId="69A26900" w:rsidR="009D44AB" w:rsidRPr="009D44AB" w:rsidRDefault="009D44AB" w:rsidP="009D44AB">
      <w:pPr>
        <w:pStyle w:val="ListParagraph0"/>
        <w:numPr>
          <w:ilvl w:val="0"/>
          <w:numId w:val="196"/>
        </w:numPr>
        <w:rPr>
          <w:rFonts w:cs="Arial"/>
          <w:sz w:val="22"/>
          <w:szCs w:val="22"/>
        </w:rPr>
      </w:pPr>
      <w:r w:rsidRPr="009D44AB">
        <w:rPr>
          <w:rFonts w:cs="Arial"/>
          <w:sz w:val="22"/>
          <w:szCs w:val="22"/>
        </w:rPr>
        <w:t>The Vessel Masters issue warnings (e.g., radio warning, flares, lights/horns) to third-party vessels approaching the safety exclusion zone in order to prevent a collision with the vessels or equipment.</w:t>
      </w:r>
    </w:p>
    <w:p w14:paraId="4EB9B4B9" w14:textId="0E0D873F" w:rsidR="009D44AB" w:rsidRPr="009D44AB" w:rsidRDefault="009D44AB" w:rsidP="009D44AB">
      <w:pPr>
        <w:pStyle w:val="ListParagraph0"/>
        <w:numPr>
          <w:ilvl w:val="0"/>
          <w:numId w:val="196"/>
        </w:numPr>
        <w:rPr>
          <w:rFonts w:cs="Arial"/>
          <w:sz w:val="22"/>
          <w:szCs w:val="22"/>
        </w:rPr>
      </w:pPr>
      <w:r w:rsidRPr="009D44AB">
        <w:rPr>
          <w:rFonts w:cs="Arial"/>
          <w:sz w:val="22"/>
          <w:szCs w:val="22"/>
        </w:rPr>
        <w:t>Constant communication between the survey vessel and support vessels is maintained to ensure that the support vessels are patrolling the safety exclusion zone (defined as a 6 nm [11 km] radius around the survey vessel and streamers) at all times.</w:t>
      </w:r>
    </w:p>
    <w:p w14:paraId="57C245EB" w14:textId="77777777" w:rsidR="009D44AB" w:rsidRPr="009D44AB" w:rsidRDefault="009D44AB" w:rsidP="00891DE1">
      <w:pPr>
        <w:pStyle w:val="ListParagraph0"/>
        <w:numPr>
          <w:ilvl w:val="0"/>
          <w:numId w:val="196"/>
        </w:numPr>
        <w:rPr>
          <w:rFonts w:cs="Arial"/>
          <w:sz w:val="22"/>
          <w:szCs w:val="22"/>
        </w:rPr>
      </w:pPr>
      <w:r w:rsidRPr="009D44AB">
        <w:rPr>
          <w:rFonts w:cs="Arial"/>
          <w:sz w:val="22"/>
          <w:szCs w:val="22"/>
        </w:rPr>
        <w:t xml:space="preserve">The tailbuoys on the seismic streamers will have flashing lights and radar reflectors so they are visible to other marine users.  </w:t>
      </w:r>
    </w:p>
    <w:p w14:paraId="4557055B" w14:textId="530129B4" w:rsidR="009D44AB" w:rsidRPr="009D44AB" w:rsidRDefault="009D44AB" w:rsidP="009D44AB">
      <w:pPr>
        <w:pStyle w:val="ListParagraph0"/>
        <w:numPr>
          <w:ilvl w:val="0"/>
          <w:numId w:val="196"/>
        </w:numPr>
        <w:rPr>
          <w:rFonts w:cs="Arial"/>
          <w:sz w:val="22"/>
          <w:szCs w:val="22"/>
        </w:rPr>
      </w:pPr>
      <w:r w:rsidRPr="009D44AB">
        <w:rPr>
          <w:rFonts w:cs="Arial"/>
          <w:sz w:val="22"/>
          <w:szCs w:val="22"/>
        </w:rPr>
        <w:t>The survey vessel(s) will display the appropriate lights and day shapes for a vessel with restricted ability to manoeuvre during survey operations.</w:t>
      </w:r>
    </w:p>
    <w:p w14:paraId="36756055" w14:textId="5C3E6B01" w:rsidR="009D44AB" w:rsidRPr="009D44AB" w:rsidRDefault="009D44AB" w:rsidP="009D44AB">
      <w:pPr>
        <w:pStyle w:val="ListParagraph0"/>
        <w:numPr>
          <w:ilvl w:val="0"/>
          <w:numId w:val="196"/>
        </w:numPr>
        <w:rPr>
          <w:rFonts w:cs="Arial"/>
          <w:sz w:val="22"/>
          <w:szCs w:val="22"/>
        </w:rPr>
      </w:pPr>
      <w:r w:rsidRPr="009D44AB">
        <w:rPr>
          <w:rFonts w:cs="Arial"/>
          <w:sz w:val="22"/>
          <w:szCs w:val="22"/>
        </w:rPr>
        <w:t>One of the support vessels will remain in close proximity to the survey vessel (generally one ahead of the survey vessel and one astern of the tail buoys) at all times and will intercept approaching vessels that have not heeded radio advice about avoiding the safety exclusion zone.</w:t>
      </w:r>
    </w:p>
    <w:p w14:paraId="658B4B5A" w14:textId="4E24FBA5" w:rsidR="009D44AB" w:rsidRPr="009D44AB" w:rsidRDefault="009D44AB" w:rsidP="009D44AB">
      <w:pPr>
        <w:pStyle w:val="ListParagraph0"/>
        <w:numPr>
          <w:ilvl w:val="0"/>
          <w:numId w:val="196"/>
        </w:numPr>
        <w:rPr>
          <w:rFonts w:cs="Arial"/>
          <w:sz w:val="22"/>
          <w:szCs w:val="22"/>
        </w:rPr>
      </w:pPr>
      <w:r w:rsidRPr="009D44AB">
        <w:rPr>
          <w:rFonts w:cs="Arial"/>
          <w:sz w:val="22"/>
          <w:szCs w:val="22"/>
        </w:rPr>
        <w:t>CarbonNet will apply to NOPSEMA to enter and work within the Bass Strait ‘Area to be Avoided’ if the survey vessel is &gt;200 gross tonnes.</w:t>
      </w:r>
    </w:p>
    <w:p w14:paraId="06770910" w14:textId="40C6A65F" w:rsidR="009D44AB" w:rsidRPr="009D44AB" w:rsidRDefault="009D44AB" w:rsidP="009D44AB">
      <w:pPr>
        <w:pStyle w:val="ListParagraph0"/>
        <w:numPr>
          <w:ilvl w:val="0"/>
          <w:numId w:val="196"/>
        </w:numPr>
        <w:rPr>
          <w:rFonts w:cs="Arial"/>
          <w:sz w:val="22"/>
          <w:szCs w:val="22"/>
        </w:rPr>
      </w:pPr>
      <w:r w:rsidRPr="009D44AB">
        <w:rPr>
          <w:rFonts w:cs="Arial"/>
          <w:sz w:val="22"/>
          <w:szCs w:val="22"/>
        </w:rPr>
        <w:t>The Vessel Master will sound the general alarm, manoeuvre the vessel to minimise the effects of the collision and implement all other measures as outlined in the vessel or structure collision procedure (or equivalent).</w:t>
      </w:r>
    </w:p>
    <w:p w14:paraId="1FA359B8" w14:textId="0FCDC998" w:rsidR="009D44AB" w:rsidRPr="009D44AB" w:rsidRDefault="009D44AB" w:rsidP="009D44AB">
      <w:pPr>
        <w:pStyle w:val="ListParagraph0"/>
        <w:numPr>
          <w:ilvl w:val="0"/>
          <w:numId w:val="196"/>
        </w:numPr>
        <w:spacing w:after="240"/>
        <w:rPr>
          <w:rFonts w:cs="Arial"/>
          <w:sz w:val="22"/>
          <w:szCs w:val="22"/>
        </w:rPr>
      </w:pPr>
      <w:r w:rsidRPr="009D44AB">
        <w:rPr>
          <w:rFonts w:cs="Arial"/>
          <w:sz w:val="22"/>
          <w:szCs w:val="22"/>
        </w:rPr>
        <w:t>Vessel collisions will be reported to AMSA (for Commonwealth waters) or TSV (Victorian state waters) if that collision has or is likely to affect the safety, operation or seaworthiness of the vessel or involves serious injury to personnel.</w:t>
      </w:r>
    </w:p>
    <w:p w14:paraId="5B2276AF" w14:textId="380A3150" w:rsidR="009D44AB" w:rsidRPr="00B6448F" w:rsidRDefault="009D44AB" w:rsidP="009D44AB">
      <w:pPr>
        <w:pStyle w:val="bodycopy"/>
        <w:spacing w:after="240"/>
        <w:rPr>
          <w:rFonts w:ascii="Arial" w:hAnsi="Arial"/>
          <w:sz w:val="22"/>
          <w:szCs w:val="22"/>
        </w:rPr>
      </w:pPr>
      <w:r w:rsidRPr="00B972E5">
        <w:rPr>
          <w:rFonts w:ascii="Arial" w:hAnsi="Arial"/>
          <w:sz w:val="22"/>
          <w:szCs w:val="22"/>
        </w:rPr>
        <w:t>Table 7.4</w:t>
      </w:r>
      <w:r w:rsidR="00D2032C" w:rsidRPr="00B972E5">
        <w:rPr>
          <w:rFonts w:ascii="Arial" w:hAnsi="Arial"/>
          <w:sz w:val="22"/>
          <w:szCs w:val="22"/>
        </w:rPr>
        <w:t>0</w:t>
      </w:r>
      <w:r w:rsidRPr="00E968F3">
        <w:rPr>
          <w:rFonts w:ascii="Arial" w:hAnsi="Arial"/>
          <w:color w:val="FF0000"/>
          <w:sz w:val="22"/>
          <w:szCs w:val="22"/>
        </w:rPr>
        <w:t xml:space="preserve"> </w:t>
      </w:r>
      <w:r w:rsidRPr="006F65F9">
        <w:rPr>
          <w:rFonts w:ascii="Arial" w:hAnsi="Arial"/>
          <w:sz w:val="22"/>
          <w:szCs w:val="22"/>
        </w:rPr>
        <w:t xml:space="preserve">presents the </w:t>
      </w:r>
      <w:r w:rsidR="00D2032C">
        <w:rPr>
          <w:rFonts w:ascii="Arial" w:hAnsi="Arial"/>
          <w:sz w:val="22"/>
          <w:szCs w:val="22"/>
        </w:rPr>
        <w:t xml:space="preserve">residual </w:t>
      </w:r>
      <w:r w:rsidRPr="006F65F9">
        <w:rPr>
          <w:rFonts w:ascii="Arial" w:hAnsi="Arial"/>
          <w:sz w:val="22"/>
          <w:szCs w:val="22"/>
        </w:rPr>
        <w:t xml:space="preserve">risk assessment for </w:t>
      </w:r>
      <w:r w:rsidRPr="009D44AB">
        <w:rPr>
          <w:rFonts w:ascii="Arial" w:hAnsi="Arial"/>
          <w:sz w:val="22"/>
          <w:szCs w:val="22"/>
        </w:rPr>
        <w:t xml:space="preserve">the risk of displacement of or interference with third-party vessels. </w:t>
      </w:r>
    </w:p>
    <w:p w14:paraId="54300D96" w14:textId="7A129117" w:rsidR="009D44AB" w:rsidRPr="00D157DF" w:rsidRDefault="009D44AB" w:rsidP="009D44AB">
      <w:pPr>
        <w:pStyle w:val="CaptionTables"/>
        <w:jc w:val="center"/>
        <w:rPr>
          <w:rFonts w:eastAsia="Times New Roman" w:cs="Arial"/>
          <w:bCs w:val="0"/>
          <w:color w:val="auto"/>
          <w:sz w:val="20"/>
          <w:lang w:eastAsia="en-AU"/>
        </w:rPr>
      </w:pPr>
      <w:r w:rsidRPr="00D157DF">
        <w:rPr>
          <w:rFonts w:eastAsia="Times New Roman" w:cs="Arial"/>
          <w:bCs w:val="0"/>
          <w:color w:val="auto"/>
          <w:sz w:val="20"/>
          <w:lang w:eastAsia="en-AU"/>
        </w:rPr>
        <w:t xml:space="preserve">Table </w:t>
      </w:r>
      <w:r>
        <w:rPr>
          <w:rFonts w:eastAsia="Times New Roman" w:cs="Arial"/>
          <w:bCs w:val="0"/>
          <w:color w:val="auto"/>
          <w:sz w:val="20"/>
          <w:lang w:eastAsia="en-AU"/>
        </w:rPr>
        <w:t>7.4</w:t>
      </w:r>
      <w:r w:rsidR="00D2032C">
        <w:rPr>
          <w:rFonts w:eastAsia="Times New Roman" w:cs="Arial"/>
          <w:bCs w:val="0"/>
          <w:color w:val="auto"/>
          <w:sz w:val="20"/>
          <w:lang w:eastAsia="en-AU"/>
        </w:rPr>
        <w:t>0</w:t>
      </w:r>
      <w:r w:rsidRPr="00D157DF">
        <w:rPr>
          <w:rFonts w:eastAsia="Times New Roman" w:cs="Arial"/>
          <w:bCs w:val="0"/>
          <w:color w:val="auto"/>
          <w:sz w:val="20"/>
          <w:lang w:eastAsia="en-AU"/>
        </w:rPr>
        <w:t>.</w:t>
      </w:r>
      <w:r w:rsidRPr="00D157DF">
        <w:rPr>
          <w:rFonts w:eastAsia="Times New Roman" w:cs="Arial"/>
          <w:bCs w:val="0"/>
          <w:color w:val="auto"/>
          <w:sz w:val="20"/>
          <w:lang w:eastAsia="en-AU"/>
        </w:rPr>
        <w:tab/>
      </w:r>
      <w:r w:rsidR="00D2032C">
        <w:rPr>
          <w:rFonts w:eastAsia="Times New Roman" w:cs="Arial"/>
          <w:bCs w:val="0"/>
          <w:color w:val="auto"/>
          <w:sz w:val="20"/>
          <w:lang w:eastAsia="en-AU"/>
        </w:rPr>
        <w:t>Residual r</w:t>
      </w:r>
      <w:r w:rsidRPr="00D157DF">
        <w:rPr>
          <w:rFonts w:eastAsia="Times New Roman" w:cs="Arial"/>
          <w:bCs w:val="0"/>
          <w:color w:val="auto"/>
          <w:sz w:val="20"/>
          <w:lang w:eastAsia="en-AU"/>
        </w:rPr>
        <w:t xml:space="preserve">isk assessment for </w:t>
      </w:r>
      <w:r w:rsidRPr="009D44AB">
        <w:rPr>
          <w:sz w:val="20"/>
        </w:rPr>
        <w:t xml:space="preserve">the </w:t>
      </w:r>
      <w:r w:rsidRPr="009D44AB">
        <w:rPr>
          <w:rFonts w:cs="Arial"/>
          <w:sz w:val="20"/>
        </w:rPr>
        <w:t>risk of displacement of or interference with third-party vessels</w:t>
      </w:r>
    </w:p>
    <w:tbl>
      <w:tblPr>
        <w:tblW w:w="8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985"/>
        <w:gridCol w:w="2551"/>
        <w:gridCol w:w="2161"/>
      </w:tblGrid>
      <w:tr w:rsidR="009D44AB" w:rsidRPr="00D157DF" w14:paraId="7B64AC2F" w14:textId="77777777" w:rsidTr="00B972E5">
        <w:trPr>
          <w:cantSplit/>
        </w:trPr>
        <w:tc>
          <w:tcPr>
            <w:tcW w:w="1809" w:type="dxa"/>
            <w:tcBorders>
              <w:top w:val="nil"/>
              <w:left w:val="nil"/>
            </w:tcBorders>
            <w:shd w:val="clear" w:color="auto" w:fill="auto"/>
          </w:tcPr>
          <w:p w14:paraId="3A2B8EE9" w14:textId="77777777" w:rsidR="009D44AB" w:rsidRPr="00D157DF" w:rsidRDefault="009D44AB" w:rsidP="00D611A8">
            <w:pPr>
              <w:pStyle w:val="TableText"/>
              <w:spacing w:before="60" w:after="60" w:line="240" w:lineRule="auto"/>
              <w:jc w:val="center"/>
              <w:rPr>
                <w:rFonts w:cs="Arial"/>
                <w:sz w:val="20"/>
                <w:szCs w:val="20"/>
              </w:rPr>
            </w:pPr>
          </w:p>
        </w:tc>
        <w:tc>
          <w:tcPr>
            <w:tcW w:w="1985" w:type="dxa"/>
            <w:shd w:val="clear" w:color="auto" w:fill="064EA8"/>
          </w:tcPr>
          <w:p w14:paraId="34165EFB" w14:textId="77777777" w:rsidR="009D44AB" w:rsidRPr="00B972E5" w:rsidRDefault="009D44AB" w:rsidP="00891DE1">
            <w:pPr>
              <w:pStyle w:val="TableText"/>
              <w:spacing w:before="60" w:after="60" w:line="240" w:lineRule="auto"/>
              <w:jc w:val="center"/>
              <w:rPr>
                <w:rFonts w:cs="Arial"/>
                <w:color w:val="FFFFFF" w:themeColor="background1"/>
                <w:sz w:val="20"/>
                <w:szCs w:val="20"/>
              </w:rPr>
            </w:pPr>
            <w:r w:rsidRPr="00B972E5">
              <w:rPr>
                <w:rFonts w:cs="Arial"/>
                <w:color w:val="FFFFFF" w:themeColor="background1"/>
                <w:sz w:val="20"/>
                <w:szCs w:val="20"/>
              </w:rPr>
              <w:t>Likelihood</w:t>
            </w:r>
          </w:p>
        </w:tc>
        <w:tc>
          <w:tcPr>
            <w:tcW w:w="2551" w:type="dxa"/>
            <w:shd w:val="clear" w:color="auto" w:fill="064EA8"/>
          </w:tcPr>
          <w:p w14:paraId="594690F5" w14:textId="77777777" w:rsidR="009D44AB" w:rsidRPr="00B972E5" w:rsidRDefault="009D44AB" w:rsidP="00891DE1">
            <w:pPr>
              <w:pStyle w:val="TableText"/>
              <w:spacing w:before="60" w:after="60" w:line="240" w:lineRule="auto"/>
              <w:jc w:val="center"/>
              <w:rPr>
                <w:rFonts w:cs="Arial"/>
                <w:color w:val="FFFFFF" w:themeColor="background1"/>
                <w:sz w:val="20"/>
                <w:szCs w:val="20"/>
              </w:rPr>
            </w:pPr>
            <w:r w:rsidRPr="00B972E5">
              <w:rPr>
                <w:rFonts w:cs="Arial"/>
                <w:color w:val="FFFFFF" w:themeColor="background1"/>
                <w:sz w:val="20"/>
                <w:szCs w:val="20"/>
              </w:rPr>
              <w:t>Consequence</w:t>
            </w:r>
          </w:p>
        </w:tc>
        <w:tc>
          <w:tcPr>
            <w:tcW w:w="2161" w:type="dxa"/>
            <w:shd w:val="clear" w:color="auto" w:fill="064EA8"/>
          </w:tcPr>
          <w:p w14:paraId="0333F5AD" w14:textId="77777777" w:rsidR="009D44AB" w:rsidRPr="00B972E5" w:rsidRDefault="009D44AB" w:rsidP="00891DE1">
            <w:pPr>
              <w:pStyle w:val="TableText"/>
              <w:spacing w:before="60" w:after="60" w:line="240" w:lineRule="auto"/>
              <w:jc w:val="center"/>
              <w:rPr>
                <w:rFonts w:cs="Arial"/>
                <w:color w:val="FFFFFF" w:themeColor="background1"/>
                <w:sz w:val="20"/>
                <w:szCs w:val="20"/>
              </w:rPr>
            </w:pPr>
            <w:r w:rsidRPr="00B972E5">
              <w:rPr>
                <w:rFonts w:cs="Arial"/>
                <w:color w:val="FFFFFF" w:themeColor="background1"/>
                <w:sz w:val="20"/>
                <w:szCs w:val="20"/>
              </w:rPr>
              <w:t>Risk rating</w:t>
            </w:r>
          </w:p>
        </w:tc>
      </w:tr>
      <w:tr w:rsidR="009D44AB" w:rsidRPr="00D157DF" w14:paraId="12AD34B6" w14:textId="77777777" w:rsidTr="00B972E5">
        <w:trPr>
          <w:cantSplit/>
        </w:trPr>
        <w:tc>
          <w:tcPr>
            <w:tcW w:w="1809" w:type="dxa"/>
            <w:shd w:val="clear" w:color="auto" w:fill="D9D9D9"/>
          </w:tcPr>
          <w:p w14:paraId="7C914D06" w14:textId="2838A0D6" w:rsidR="009D44AB" w:rsidRDefault="00D2032C" w:rsidP="00D2032C">
            <w:pPr>
              <w:pStyle w:val="TableText"/>
              <w:spacing w:before="60" w:after="60" w:line="240" w:lineRule="auto"/>
              <w:rPr>
                <w:rFonts w:cs="Arial"/>
                <w:sz w:val="20"/>
                <w:szCs w:val="20"/>
              </w:rPr>
            </w:pPr>
            <w:r>
              <w:rPr>
                <w:rFonts w:cs="Arial"/>
                <w:sz w:val="20"/>
                <w:szCs w:val="20"/>
              </w:rPr>
              <w:t>D</w:t>
            </w:r>
            <w:r w:rsidR="009D44AB">
              <w:rPr>
                <w:rFonts w:cs="Arial"/>
                <w:sz w:val="20"/>
                <w:szCs w:val="20"/>
              </w:rPr>
              <w:t>isplacement</w:t>
            </w:r>
          </w:p>
        </w:tc>
        <w:tc>
          <w:tcPr>
            <w:tcW w:w="1985" w:type="dxa"/>
            <w:shd w:val="clear" w:color="auto" w:fill="auto"/>
          </w:tcPr>
          <w:p w14:paraId="6D44E047" w14:textId="55C5BE04" w:rsidR="009D44AB" w:rsidRDefault="009D44AB" w:rsidP="00D611A8">
            <w:pPr>
              <w:pStyle w:val="TableText"/>
              <w:spacing w:before="60" w:after="60" w:line="240" w:lineRule="auto"/>
              <w:jc w:val="center"/>
              <w:rPr>
                <w:rFonts w:cs="Arial"/>
                <w:sz w:val="20"/>
                <w:szCs w:val="20"/>
              </w:rPr>
            </w:pPr>
            <w:r>
              <w:rPr>
                <w:rFonts w:cs="Arial"/>
                <w:sz w:val="20"/>
                <w:szCs w:val="20"/>
              </w:rPr>
              <w:t>Rare</w:t>
            </w:r>
          </w:p>
        </w:tc>
        <w:tc>
          <w:tcPr>
            <w:tcW w:w="2551" w:type="dxa"/>
            <w:shd w:val="clear" w:color="auto" w:fill="auto"/>
          </w:tcPr>
          <w:p w14:paraId="065D02CD" w14:textId="13CD489B" w:rsidR="009D44AB" w:rsidRDefault="009D44AB" w:rsidP="00D611A8">
            <w:pPr>
              <w:pStyle w:val="TableText"/>
              <w:spacing w:before="60" w:after="60" w:line="240" w:lineRule="auto"/>
              <w:jc w:val="center"/>
              <w:rPr>
                <w:rFonts w:cs="Arial"/>
                <w:sz w:val="20"/>
                <w:szCs w:val="20"/>
              </w:rPr>
            </w:pPr>
            <w:r>
              <w:rPr>
                <w:rFonts w:cs="Arial"/>
                <w:sz w:val="20"/>
                <w:szCs w:val="20"/>
              </w:rPr>
              <w:t>Insignificant</w:t>
            </w:r>
          </w:p>
        </w:tc>
        <w:tc>
          <w:tcPr>
            <w:tcW w:w="2161" w:type="dxa"/>
            <w:shd w:val="clear" w:color="auto" w:fill="73FB79"/>
          </w:tcPr>
          <w:p w14:paraId="39412174" w14:textId="456724EB" w:rsidR="009D44AB" w:rsidRDefault="009D44AB" w:rsidP="00D611A8">
            <w:pPr>
              <w:pStyle w:val="TableText"/>
              <w:spacing w:before="60" w:after="60" w:line="240" w:lineRule="auto"/>
              <w:jc w:val="center"/>
              <w:rPr>
                <w:rFonts w:cs="Arial"/>
                <w:sz w:val="20"/>
                <w:szCs w:val="20"/>
              </w:rPr>
            </w:pPr>
            <w:r>
              <w:rPr>
                <w:rFonts w:cs="Arial"/>
                <w:sz w:val="20"/>
                <w:szCs w:val="20"/>
              </w:rPr>
              <w:t>Low</w:t>
            </w:r>
          </w:p>
        </w:tc>
      </w:tr>
      <w:tr w:rsidR="009D44AB" w:rsidRPr="00D157DF" w14:paraId="3CA38802" w14:textId="77777777" w:rsidTr="00B972E5">
        <w:trPr>
          <w:cantSplit/>
        </w:trPr>
        <w:tc>
          <w:tcPr>
            <w:tcW w:w="1809" w:type="dxa"/>
            <w:shd w:val="clear" w:color="auto" w:fill="D9D9D9"/>
          </w:tcPr>
          <w:p w14:paraId="346723B6" w14:textId="67428C6E" w:rsidR="009D44AB" w:rsidRDefault="00D2032C" w:rsidP="00D2032C">
            <w:pPr>
              <w:pStyle w:val="TableText"/>
              <w:spacing w:before="60" w:after="60" w:line="240" w:lineRule="auto"/>
              <w:rPr>
                <w:rFonts w:cs="Arial"/>
                <w:sz w:val="20"/>
                <w:szCs w:val="20"/>
              </w:rPr>
            </w:pPr>
            <w:r>
              <w:rPr>
                <w:rFonts w:cs="Arial"/>
                <w:sz w:val="20"/>
                <w:szCs w:val="20"/>
              </w:rPr>
              <w:t>I</w:t>
            </w:r>
            <w:r w:rsidR="009D44AB">
              <w:rPr>
                <w:rFonts w:cs="Arial"/>
                <w:sz w:val="20"/>
                <w:szCs w:val="20"/>
              </w:rPr>
              <w:t>nterference</w:t>
            </w:r>
          </w:p>
        </w:tc>
        <w:tc>
          <w:tcPr>
            <w:tcW w:w="1985" w:type="dxa"/>
            <w:shd w:val="clear" w:color="auto" w:fill="auto"/>
          </w:tcPr>
          <w:p w14:paraId="73D1BFF3" w14:textId="21003792" w:rsidR="009D44AB" w:rsidRDefault="009D44AB" w:rsidP="00D611A8">
            <w:pPr>
              <w:pStyle w:val="TableText"/>
              <w:spacing w:before="60" w:after="60" w:line="240" w:lineRule="auto"/>
              <w:jc w:val="center"/>
              <w:rPr>
                <w:rFonts w:cs="Arial"/>
                <w:sz w:val="20"/>
                <w:szCs w:val="20"/>
              </w:rPr>
            </w:pPr>
            <w:r>
              <w:rPr>
                <w:rFonts w:cs="Arial"/>
                <w:sz w:val="20"/>
                <w:szCs w:val="20"/>
              </w:rPr>
              <w:t>Rare</w:t>
            </w:r>
          </w:p>
        </w:tc>
        <w:tc>
          <w:tcPr>
            <w:tcW w:w="2551" w:type="dxa"/>
            <w:shd w:val="clear" w:color="auto" w:fill="auto"/>
          </w:tcPr>
          <w:p w14:paraId="50BDCE61" w14:textId="20609A9B" w:rsidR="009D44AB" w:rsidRDefault="009D44AB" w:rsidP="00D611A8">
            <w:pPr>
              <w:pStyle w:val="TableText"/>
              <w:spacing w:before="60" w:after="60" w:line="240" w:lineRule="auto"/>
              <w:jc w:val="center"/>
              <w:rPr>
                <w:rFonts w:cs="Arial"/>
                <w:sz w:val="20"/>
                <w:szCs w:val="20"/>
              </w:rPr>
            </w:pPr>
            <w:r>
              <w:rPr>
                <w:rFonts w:cs="Arial"/>
                <w:sz w:val="20"/>
                <w:szCs w:val="20"/>
              </w:rPr>
              <w:t>Moderate</w:t>
            </w:r>
          </w:p>
        </w:tc>
        <w:tc>
          <w:tcPr>
            <w:tcW w:w="2161" w:type="dxa"/>
            <w:shd w:val="clear" w:color="auto" w:fill="73FB79"/>
          </w:tcPr>
          <w:p w14:paraId="1CA337E2" w14:textId="3517F97C" w:rsidR="009D44AB" w:rsidRDefault="009D44AB" w:rsidP="00D611A8">
            <w:pPr>
              <w:pStyle w:val="TableText"/>
              <w:spacing w:before="60" w:after="60" w:line="240" w:lineRule="auto"/>
              <w:jc w:val="center"/>
              <w:rPr>
                <w:rFonts w:cs="Arial"/>
                <w:sz w:val="20"/>
                <w:szCs w:val="20"/>
              </w:rPr>
            </w:pPr>
            <w:r>
              <w:rPr>
                <w:rFonts w:cs="Arial"/>
                <w:sz w:val="20"/>
                <w:szCs w:val="20"/>
              </w:rPr>
              <w:t>Low</w:t>
            </w:r>
          </w:p>
        </w:tc>
      </w:tr>
    </w:tbl>
    <w:p w14:paraId="5ADDAD12" w14:textId="77777777" w:rsidR="009D44AB" w:rsidRDefault="009D44AB" w:rsidP="009D44AB">
      <w:pPr>
        <w:pStyle w:val="bodycopy"/>
        <w:spacing w:after="240"/>
      </w:pPr>
    </w:p>
    <w:p w14:paraId="67217085" w14:textId="612F8D8F" w:rsidR="00912C73" w:rsidRDefault="00912C73" w:rsidP="00B03966">
      <w:pPr>
        <w:pStyle w:val="Heading2"/>
        <w:keepLines/>
        <w:numPr>
          <w:ilvl w:val="1"/>
          <w:numId w:val="1"/>
        </w:numPr>
        <w:tabs>
          <w:tab w:val="clear" w:pos="720"/>
        </w:tabs>
        <w:spacing w:before="400" w:after="200" w:line="240" w:lineRule="auto"/>
        <w:ind w:left="709" w:hanging="709"/>
        <w:rPr>
          <w:rFonts w:cs="Times New Roman"/>
          <w:iCs w:val="0"/>
          <w:color w:val="064EA8"/>
          <w:szCs w:val="26"/>
          <w:lang w:eastAsia="en-US"/>
        </w:rPr>
      </w:pPr>
      <w:bookmarkStart w:id="1229" w:name="_Toc501313227"/>
      <w:bookmarkStart w:id="1230" w:name="_Toc375214661"/>
      <w:bookmarkEnd w:id="1229"/>
      <w:r w:rsidRPr="00B03966">
        <w:rPr>
          <w:rFonts w:cs="Times New Roman"/>
          <w:iCs w:val="0"/>
          <w:color w:val="064EA8"/>
          <w:szCs w:val="26"/>
          <w:lang w:eastAsia="en-US"/>
        </w:rPr>
        <w:t xml:space="preserve">RISK: </w:t>
      </w:r>
      <w:r w:rsidR="00D17394">
        <w:rPr>
          <w:rFonts w:cs="Times New Roman"/>
          <w:iCs w:val="0"/>
          <w:color w:val="064EA8"/>
          <w:szCs w:val="26"/>
          <w:lang w:eastAsia="en-US"/>
        </w:rPr>
        <w:t>D</w:t>
      </w:r>
      <w:r w:rsidR="009C4EB9">
        <w:rPr>
          <w:rFonts w:cs="Times New Roman"/>
          <w:iCs w:val="0"/>
          <w:color w:val="064EA8"/>
          <w:szCs w:val="26"/>
          <w:lang w:eastAsia="en-US"/>
        </w:rPr>
        <w:t>amage to M</w:t>
      </w:r>
      <w:r w:rsidR="00D17394">
        <w:rPr>
          <w:rFonts w:cs="Times New Roman"/>
          <w:iCs w:val="0"/>
          <w:color w:val="064EA8"/>
          <w:szCs w:val="26"/>
          <w:lang w:eastAsia="en-US"/>
        </w:rPr>
        <w:t>arine</w:t>
      </w:r>
      <w:r w:rsidRPr="00B03966">
        <w:rPr>
          <w:rFonts w:cs="Times New Roman"/>
          <w:iCs w:val="0"/>
          <w:color w:val="064EA8"/>
          <w:szCs w:val="26"/>
          <w:lang w:eastAsia="en-US"/>
        </w:rPr>
        <w:t xml:space="preserve"> Infrastructure</w:t>
      </w:r>
      <w:bookmarkEnd w:id="1230"/>
    </w:p>
    <w:p w14:paraId="744EAF92" w14:textId="77777777" w:rsidR="00D82D7D" w:rsidRDefault="00D82D7D" w:rsidP="00D82D7D">
      <w:pPr>
        <w:pStyle w:val="Heading3"/>
      </w:pPr>
      <w:bookmarkStart w:id="1231" w:name="_Toc375214662"/>
      <w:r>
        <w:t>Hazard</w:t>
      </w:r>
      <w:bookmarkEnd w:id="1231"/>
    </w:p>
    <w:p w14:paraId="31EDAB05" w14:textId="7ACFF2E0" w:rsidR="001D4923" w:rsidRDefault="002F506F" w:rsidP="00D82D7D">
      <w:pPr>
        <w:ind w:left="0"/>
        <w:rPr>
          <w:rFonts w:cs="Arial"/>
          <w:sz w:val="22"/>
          <w:szCs w:val="22"/>
        </w:rPr>
      </w:pPr>
      <w:r>
        <w:rPr>
          <w:rFonts w:cs="Arial"/>
          <w:sz w:val="22"/>
          <w:szCs w:val="22"/>
        </w:rPr>
        <w:t>M</w:t>
      </w:r>
      <w:r w:rsidR="00D17394" w:rsidRPr="00D17394">
        <w:rPr>
          <w:rFonts w:cs="Arial"/>
          <w:sz w:val="22"/>
          <w:szCs w:val="22"/>
        </w:rPr>
        <w:t xml:space="preserve">arine </w:t>
      </w:r>
      <w:r w:rsidR="00FF2E20" w:rsidRPr="00D17394">
        <w:rPr>
          <w:rFonts w:cs="Arial"/>
          <w:sz w:val="22"/>
          <w:szCs w:val="22"/>
        </w:rPr>
        <w:t xml:space="preserve">infrastructure known to occur in the proposed operational area are </w:t>
      </w:r>
      <w:r>
        <w:rPr>
          <w:rFonts w:cs="Arial"/>
          <w:sz w:val="22"/>
          <w:szCs w:val="22"/>
        </w:rPr>
        <w:t xml:space="preserve">three </w:t>
      </w:r>
      <w:r w:rsidR="00FF2E20" w:rsidRPr="00D17394">
        <w:rPr>
          <w:rFonts w:cs="Arial"/>
          <w:sz w:val="22"/>
          <w:szCs w:val="22"/>
        </w:rPr>
        <w:t xml:space="preserve">subsea oil and gas pipelines (see Section </w:t>
      </w:r>
      <w:r w:rsidR="003C768E">
        <w:rPr>
          <w:rFonts w:cs="Arial"/>
          <w:sz w:val="22"/>
          <w:szCs w:val="22"/>
        </w:rPr>
        <w:t>5.6.6</w:t>
      </w:r>
      <w:r>
        <w:rPr>
          <w:rFonts w:cs="Arial"/>
          <w:sz w:val="22"/>
          <w:szCs w:val="22"/>
        </w:rPr>
        <w:t xml:space="preserve"> and </w:t>
      </w:r>
      <w:r w:rsidRPr="003C768E">
        <w:rPr>
          <w:rFonts w:cs="Arial"/>
          <w:sz w:val="22"/>
          <w:szCs w:val="22"/>
        </w:rPr>
        <w:t>Figure 5.5</w:t>
      </w:r>
      <w:r w:rsidR="00611D65" w:rsidRPr="003C768E">
        <w:rPr>
          <w:rFonts w:cs="Arial"/>
          <w:sz w:val="22"/>
          <w:szCs w:val="22"/>
        </w:rPr>
        <w:t>2</w:t>
      </w:r>
      <w:r w:rsidR="00FF2E20" w:rsidRPr="003C768E">
        <w:rPr>
          <w:rFonts w:cs="Arial"/>
          <w:sz w:val="22"/>
          <w:szCs w:val="22"/>
        </w:rPr>
        <w:t>)</w:t>
      </w:r>
      <w:r w:rsidR="00975166">
        <w:rPr>
          <w:rFonts w:cs="Arial"/>
          <w:sz w:val="22"/>
          <w:szCs w:val="22"/>
        </w:rPr>
        <w:t xml:space="preserve"> and </w:t>
      </w:r>
      <w:r w:rsidR="002E022E">
        <w:rPr>
          <w:rFonts w:cs="Arial"/>
          <w:sz w:val="22"/>
          <w:szCs w:val="22"/>
        </w:rPr>
        <w:t xml:space="preserve">five P&amp;A </w:t>
      </w:r>
      <w:r w:rsidR="00975166">
        <w:rPr>
          <w:rFonts w:cs="Arial"/>
          <w:sz w:val="22"/>
          <w:szCs w:val="22"/>
        </w:rPr>
        <w:t>well</w:t>
      </w:r>
      <w:r w:rsidR="002E022E">
        <w:rPr>
          <w:rFonts w:cs="Arial"/>
          <w:sz w:val="22"/>
          <w:szCs w:val="22"/>
        </w:rPr>
        <w:t xml:space="preserve">s </w:t>
      </w:r>
      <w:r w:rsidR="002E022E">
        <w:rPr>
          <w:rFonts w:cs="Arial"/>
          <w:sz w:val="22"/>
          <w:szCs w:val="22"/>
        </w:rPr>
        <w:lastRenderedPageBreak/>
        <w:t xml:space="preserve">(there are no wellheads associated with these). </w:t>
      </w:r>
      <w:r w:rsidR="00D82D7D" w:rsidRPr="00D17394">
        <w:rPr>
          <w:rFonts w:cs="Arial"/>
          <w:sz w:val="22"/>
          <w:szCs w:val="22"/>
        </w:rPr>
        <w:t xml:space="preserve">The presence of the </w:t>
      </w:r>
      <w:r w:rsidR="002E022E">
        <w:rPr>
          <w:rFonts w:cs="Arial"/>
          <w:sz w:val="22"/>
          <w:szCs w:val="22"/>
        </w:rPr>
        <w:t>survey</w:t>
      </w:r>
      <w:r w:rsidR="00D82D7D" w:rsidRPr="00D17394">
        <w:rPr>
          <w:rFonts w:cs="Arial"/>
          <w:sz w:val="22"/>
          <w:szCs w:val="22"/>
        </w:rPr>
        <w:t xml:space="preserve"> and support vessels in shallow waters may </w:t>
      </w:r>
      <w:r w:rsidR="00D950AA">
        <w:rPr>
          <w:rFonts w:cs="Arial"/>
          <w:sz w:val="22"/>
          <w:szCs w:val="22"/>
        </w:rPr>
        <w:t xml:space="preserve">result in contact with, and </w:t>
      </w:r>
      <w:r w:rsidR="00D82D7D" w:rsidRPr="00D17394">
        <w:rPr>
          <w:rFonts w:cs="Arial"/>
          <w:sz w:val="22"/>
          <w:szCs w:val="22"/>
        </w:rPr>
        <w:t xml:space="preserve">damage </w:t>
      </w:r>
      <w:r w:rsidR="00D950AA">
        <w:rPr>
          <w:rFonts w:cs="Arial"/>
          <w:sz w:val="22"/>
          <w:szCs w:val="22"/>
        </w:rPr>
        <w:t xml:space="preserve">to </w:t>
      </w:r>
      <w:r w:rsidR="00D82D7D" w:rsidRPr="00D17394">
        <w:rPr>
          <w:rFonts w:cs="Arial"/>
          <w:sz w:val="22"/>
          <w:szCs w:val="22"/>
        </w:rPr>
        <w:t>th</w:t>
      </w:r>
      <w:r w:rsidR="002E022E">
        <w:rPr>
          <w:rFonts w:cs="Arial"/>
          <w:sz w:val="22"/>
          <w:szCs w:val="22"/>
        </w:rPr>
        <w:t xml:space="preserve">e subsea </w:t>
      </w:r>
      <w:r w:rsidR="00D82D7D" w:rsidRPr="00D17394">
        <w:rPr>
          <w:rFonts w:cs="Arial"/>
          <w:sz w:val="22"/>
          <w:szCs w:val="22"/>
        </w:rPr>
        <w:t>pipelines if</w:t>
      </w:r>
      <w:r w:rsidR="001D4923">
        <w:rPr>
          <w:rFonts w:cs="Arial"/>
          <w:sz w:val="22"/>
          <w:szCs w:val="22"/>
        </w:rPr>
        <w:t>:</w:t>
      </w:r>
      <w:r w:rsidR="003C768E">
        <w:rPr>
          <w:rFonts w:cs="Arial"/>
          <w:sz w:val="22"/>
          <w:szCs w:val="22"/>
        </w:rPr>
        <w:t xml:space="preserve"> </w:t>
      </w:r>
    </w:p>
    <w:p w14:paraId="322B67C6" w14:textId="77777777" w:rsidR="001D4923" w:rsidRDefault="001D4923" w:rsidP="00D82D7D">
      <w:pPr>
        <w:ind w:left="0"/>
        <w:rPr>
          <w:rFonts w:cs="Arial"/>
          <w:sz w:val="22"/>
          <w:szCs w:val="22"/>
        </w:rPr>
      </w:pPr>
    </w:p>
    <w:p w14:paraId="72273412" w14:textId="75A86FC0" w:rsidR="001D4923" w:rsidRDefault="001D4923" w:rsidP="001D4923">
      <w:pPr>
        <w:pStyle w:val="ListParagraph0"/>
        <w:numPr>
          <w:ilvl w:val="0"/>
          <w:numId w:val="364"/>
        </w:numPr>
        <w:rPr>
          <w:rFonts w:cs="Arial"/>
          <w:sz w:val="22"/>
          <w:szCs w:val="22"/>
        </w:rPr>
      </w:pPr>
      <w:r w:rsidRPr="002E022E">
        <w:rPr>
          <w:rFonts w:cs="Arial"/>
          <w:sz w:val="22"/>
          <w:szCs w:val="22"/>
        </w:rPr>
        <w:t>F</w:t>
      </w:r>
      <w:r w:rsidR="00D82D7D" w:rsidRPr="002E022E">
        <w:rPr>
          <w:rFonts w:cs="Arial"/>
          <w:sz w:val="22"/>
          <w:szCs w:val="22"/>
        </w:rPr>
        <w:t>reeboard (clearance</w:t>
      </w:r>
      <w:r w:rsidR="00D82D7D" w:rsidRPr="001D4923">
        <w:rPr>
          <w:rFonts w:cs="Arial"/>
          <w:sz w:val="22"/>
          <w:szCs w:val="22"/>
        </w:rPr>
        <w:t xml:space="preserve"> between the infrastructure and the bottom of the </w:t>
      </w:r>
      <w:r w:rsidR="002E022E">
        <w:rPr>
          <w:rFonts w:cs="Arial"/>
          <w:sz w:val="22"/>
          <w:szCs w:val="22"/>
        </w:rPr>
        <w:t xml:space="preserve">vessel </w:t>
      </w:r>
      <w:r w:rsidR="00D82D7D" w:rsidRPr="001D4923">
        <w:rPr>
          <w:rFonts w:cs="Arial"/>
          <w:sz w:val="22"/>
          <w:szCs w:val="22"/>
        </w:rPr>
        <w:t>hull</w:t>
      </w:r>
      <w:r w:rsidR="002E022E">
        <w:rPr>
          <w:rFonts w:cs="Arial"/>
          <w:sz w:val="22"/>
          <w:szCs w:val="22"/>
        </w:rPr>
        <w:t>s</w:t>
      </w:r>
      <w:r w:rsidR="00D82D7D" w:rsidRPr="001D4923">
        <w:rPr>
          <w:rFonts w:cs="Arial"/>
          <w:sz w:val="22"/>
          <w:szCs w:val="22"/>
        </w:rPr>
        <w:t>) is insufficient</w:t>
      </w:r>
      <w:r>
        <w:rPr>
          <w:rFonts w:cs="Arial"/>
          <w:sz w:val="22"/>
          <w:szCs w:val="22"/>
        </w:rPr>
        <w:t>;</w:t>
      </w:r>
    </w:p>
    <w:p w14:paraId="55FF437D" w14:textId="77777777" w:rsidR="001D4923" w:rsidRDefault="001D4923" w:rsidP="001D4923">
      <w:pPr>
        <w:pStyle w:val="ListParagraph0"/>
        <w:numPr>
          <w:ilvl w:val="0"/>
          <w:numId w:val="364"/>
        </w:numPr>
        <w:rPr>
          <w:rFonts w:cs="Arial"/>
          <w:sz w:val="22"/>
          <w:szCs w:val="22"/>
        </w:rPr>
      </w:pPr>
      <w:r>
        <w:rPr>
          <w:rFonts w:cs="Arial"/>
          <w:sz w:val="22"/>
          <w:szCs w:val="22"/>
        </w:rPr>
        <w:t>T</w:t>
      </w:r>
      <w:r w:rsidR="00D82D7D" w:rsidRPr="001D4923">
        <w:rPr>
          <w:rFonts w:cs="Arial"/>
          <w:sz w:val="22"/>
          <w:szCs w:val="22"/>
        </w:rPr>
        <w:t>he seismic streamers drag across the pipelines</w:t>
      </w:r>
      <w:r>
        <w:rPr>
          <w:rFonts w:cs="Arial"/>
          <w:sz w:val="22"/>
          <w:szCs w:val="22"/>
        </w:rPr>
        <w:t>; or</w:t>
      </w:r>
    </w:p>
    <w:p w14:paraId="435E6870" w14:textId="04ADC254" w:rsidR="00D82D7D" w:rsidRPr="001D4923" w:rsidRDefault="001D4923" w:rsidP="001D4923">
      <w:pPr>
        <w:pStyle w:val="ListParagraph0"/>
        <w:numPr>
          <w:ilvl w:val="0"/>
          <w:numId w:val="364"/>
        </w:numPr>
        <w:rPr>
          <w:rFonts w:cs="Arial"/>
          <w:sz w:val="22"/>
          <w:szCs w:val="22"/>
        </w:rPr>
      </w:pPr>
      <w:r>
        <w:rPr>
          <w:rFonts w:cs="Arial"/>
          <w:sz w:val="22"/>
          <w:szCs w:val="22"/>
        </w:rPr>
        <w:t>Pulses or peak particle velocities created by the seismic acquisition are greater than the tolerances of those pipelines</w:t>
      </w:r>
      <w:r w:rsidR="00D82D7D" w:rsidRPr="001D4923">
        <w:rPr>
          <w:rFonts w:cs="Arial"/>
          <w:sz w:val="22"/>
          <w:szCs w:val="22"/>
        </w:rPr>
        <w:t xml:space="preserve">. </w:t>
      </w:r>
    </w:p>
    <w:p w14:paraId="3AACCDB0" w14:textId="3EA83E5A" w:rsidR="00D82D7D" w:rsidRDefault="00106D4D" w:rsidP="00D82D7D">
      <w:pPr>
        <w:pStyle w:val="Heading3"/>
      </w:pPr>
      <w:bookmarkStart w:id="1232" w:name="_Toc375214663"/>
      <w:r>
        <w:t xml:space="preserve">Potential </w:t>
      </w:r>
      <w:r w:rsidR="00AC364D">
        <w:t>Risks</w:t>
      </w:r>
      <w:bookmarkEnd w:id="1232"/>
    </w:p>
    <w:p w14:paraId="125BB39B" w14:textId="54E95E6F" w:rsidR="00D82D7D" w:rsidRPr="00975166" w:rsidRDefault="00D82D7D" w:rsidP="001D4923">
      <w:pPr>
        <w:spacing w:after="120"/>
        <w:ind w:left="0"/>
        <w:rPr>
          <w:rFonts w:cs="Arial"/>
          <w:sz w:val="22"/>
          <w:szCs w:val="22"/>
        </w:rPr>
      </w:pPr>
      <w:r w:rsidRPr="00D17394">
        <w:rPr>
          <w:rFonts w:cs="Arial"/>
          <w:sz w:val="22"/>
          <w:szCs w:val="22"/>
        </w:rPr>
        <w:t xml:space="preserve">The potential </w:t>
      </w:r>
      <w:r w:rsidR="00D17394" w:rsidRPr="00975166">
        <w:rPr>
          <w:rFonts w:cs="Arial"/>
          <w:sz w:val="22"/>
          <w:szCs w:val="22"/>
        </w:rPr>
        <w:t>risks</w:t>
      </w:r>
      <w:r w:rsidRPr="00975166">
        <w:rPr>
          <w:rFonts w:cs="Arial"/>
          <w:sz w:val="22"/>
          <w:szCs w:val="22"/>
        </w:rPr>
        <w:t xml:space="preserve"> of </w:t>
      </w:r>
      <w:r w:rsidR="00D17394" w:rsidRPr="00975166">
        <w:rPr>
          <w:rFonts w:cs="Arial"/>
          <w:sz w:val="22"/>
          <w:szCs w:val="22"/>
        </w:rPr>
        <w:t xml:space="preserve">damage to the subsea pipelines </w:t>
      </w:r>
      <w:r w:rsidRPr="00975166">
        <w:rPr>
          <w:rFonts w:cs="Arial"/>
          <w:sz w:val="22"/>
          <w:szCs w:val="22"/>
        </w:rPr>
        <w:t xml:space="preserve">are: </w:t>
      </w:r>
    </w:p>
    <w:p w14:paraId="78C2DB36" w14:textId="13A7BA02" w:rsidR="00D82D7D" w:rsidRPr="00975166" w:rsidRDefault="00D17394" w:rsidP="00D82D7D">
      <w:pPr>
        <w:pStyle w:val="ListParagraph0"/>
        <w:numPr>
          <w:ilvl w:val="0"/>
          <w:numId w:val="196"/>
        </w:numPr>
        <w:rPr>
          <w:rFonts w:cs="Arial"/>
          <w:sz w:val="22"/>
          <w:szCs w:val="22"/>
        </w:rPr>
      </w:pPr>
      <w:r w:rsidRPr="00975166">
        <w:rPr>
          <w:rFonts w:cs="Arial"/>
          <w:sz w:val="22"/>
          <w:szCs w:val="22"/>
        </w:rPr>
        <w:t>Loss of pipeline integrity</w:t>
      </w:r>
      <w:r w:rsidR="00975166" w:rsidRPr="00975166">
        <w:rPr>
          <w:rFonts w:cs="Arial"/>
          <w:sz w:val="22"/>
          <w:szCs w:val="22"/>
        </w:rPr>
        <w:t xml:space="preserve"> (</w:t>
      </w:r>
      <w:r w:rsidR="00CA16DC" w:rsidRPr="00975166">
        <w:rPr>
          <w:rFonts w:cs="Arial"/>
          <w:sz w:val="22"/>
          <w:szCs w:val="22"/>
        </w:rPr>
        <w:t xml:space="preserve">due to </w:t>
      </w:r>
      <w:r w:rsidR="001D4923" w:rsidRPr="00975166">
        <w:rPr>
          <w:rFonts w:cs="Arial"/>
          <w:sz w:val="22"/>
          <w:szCs w:val="22"/>
        </w:rPr>
        <w:t>pipeline movement</w:t>
      </w:r>
      <w:r w:rsidR="00975166" w:rsidRPr="00975166">
        <w:rPr>
          <w:rFonts w:cs="Arial"/>
          <w:sz w:val="22"/>
          <w:szCs w:val="22"/>
        </w:rPr>
        <w:t xml:space="preserve"> or</w:t>
      </w:r>
      <w:r w:rsidR="001D4923" w:rsidRPr="00975166">
        <w:rPr>
          <w:rFonts w:cs="Arial"/>
          <w:sz w:val="22"/>
          <w:szCs w:val="22"/>
        </w:rPr>
        <w:t xml:space="preserve"> </w:t>
      </w:r>
      <w:r w:rsidR="009C4EB9" w:rsidRPr="00975166">
        <w:rPr>
          <w:rFonts w:cs="Arial"/>
          <w:sz w:val="22"/>
          <w:szCs w:val="22"/>
        </w:rPr>
        <w:t>reduction in wall thickness</w:t>
      </w:r>
      <w:r w:rsidR="00975166" w:rsidRPr="00975166">
        <w:rPr>
          <w:rFonts w:cs="Arial"/>
          <w:sz w:val="22"/>
          <w:szCs w:val="22"/>
        </w:rPr>
        <w:t xml:space="preserve">), which would be unlikely to lead to a loss of hydrocarbons. </w:t>
      </w:r>
    </w:p>
    <w:p w14:paraId="6660A026" w14:textId="67A8EFE4" w:rsidR="00D82D7D" w:rsidRPr="00D17394" w:rsidRDefault="00D17394" w:rsidP="00D82D7D">
      <w:pPr>
        <w:pStyle w:val="ListParagraph0"/>
        <w:numPr>
          <w:ilvl w:val="0"/>
          <w:numId w:val="196"/>
        </w:numPr>
        <w:rPr>
          <w:rFonts w:cs="Arial"/>
          <w:sz w:val="22"/>
          <w:szCs w:val="22"/>
        </w:rPr>
      </w:pPr>
      <w:r w:rsidRPr="00D17394">
        <w:rPr>
          <w:rFonts w:cs="Arial"/>
          <w:sz w:val="22"/>
          <w:szCs w:val="22"/>
        </w:rPr>
        <w:t xml:space="preserve">Disruption to commercial </w:t>
      </w:r>
      <w:r w:rsidR="001D4923">
        <w:rPr>
          <w:rFonts w:cs="Arial"/>
          <w:sz w:val="22"/>
          <w:szCs w:val="22"/>
        </w:rPr>
        <w:t xml:space="preserve">petroleum </w:t>
      </w:r>
      <w:r w:rsidRPr="00D17394">
        <w:rPr>
          <w:rFonts w:cs="Arial"/>
          <w:sz w:val="22"/>
          <w:szCs w:val="22"/>
        </w:rPr>
        <w:t>production activities</w:t>
      </w:r>
      <w:r w:rsidR="006274F9">
        <w:rPr>
          <w:rFonts w:cs="Arial"/>
          <w:sz w:val="22"/>
          <w:szCs w:val="22"/>
        </w:rPr>
        <w:t xml:space="preserve"> (i.e., temporary suspension of production from any of the Barracouta, Bream, Seahorse or Tarwhine wells)</w:t>
      </w:r>
      <w:r w:rsidR="00D82D7D" w:rsidRPr="00D17394">
        <w:rPr>
          <w:rFonts w:cs="Arial"/>
          <w:sz w:val="22"/>
          <w:szCs w:val="22"/>
        </w:rPr>
        <w:t>.</w:t>
      </w:r>
    </w:p>
    <w:p w14:paraId="23ECC379" w14:textId="70133236" w:rsidR="00D82D7D" w:rsidRDefault="00D17394" w:rsidP="001D4923">
      <w:pPr>
        <w:pStyle w:val="ListParagraph0"/>
        <w:numPr>
          <w:ilvl w:val="0"/>
          <w:numId w:val="196"/>
        </w:numPr>
        <w:spacing w:after="240"/>
        <w:rPr>
          <w:rFonts w:cs="Arial"/>
          <w:sz w:val="22"/>
          <w:szCs w:val="22"/>
        </w:rPr>
      </w:pPr>
      <w:r w:rsidRPr="00D17394">
        <w:rPr>
          <w:rFonts w:cs="Arial"/>
          <w:sz w:val="22"/>
          <w:szCs w:val="22"/>
        </w:rPr>
        <w:t>Oil or gas leak</w:t>
      </w:r>
      <w:r w:rsidR="00D82D7D" w:rsidRPr="00D17394">
        <w:rPr>
          <w:rFonts w:cs="Arial"/>
          <w:sz w:val="22"/>
          <w:szCs w:val="22"/>
        </w:rPr>
        <w:t>.</w:t>
      </w:r>
      <w:r w:rsidRPr="00D17394">
        <w:rPr>
          <w:rFonts w:cs="Arial"/>
          <w:sz w:val="22"/>
          <w:szCs w:val="22"/>
        </w:rPr>
        <w:t xml:space="preserve"> </w:t>
      </w:r>
    </w:p>
    <w:p w14:paraId="55F16FE0" w14:textId="77777777" w:rsidR="00D82D7D" w:rsidRPr="00D17394" w:rsidRDefault="00D82D7D" w:rsidP="00D82D7D">
      <w:pPr>
        <w:ind w:left="0"/>
        <w:rPr>
          <w:rFonts w:cs="Arial"/>
          <w:sz w:val="22"/>
          <w:szCs w:val="22"/>
        </w:rPr>
      </w:pPr>
      <w:r w:rsidRPr="00D17394">
        <w:rPr>
          <w:rFonts w:cs="Arial"/>
          <w:sz w:val="22"/>
          <w:szCs w:val="22"/>
        </w:rPr>
        <w:t>Receptors most at risk within this EMBA are:</w:t>
      </w:r>
    </w:p>
    <w:p w14:paraId="2A5DC45C" w14:textId="77777777" w:rsidR="00D82D7D" w:rsidRPr="00D17394" w:rsidRDefault="00D82D7D" w:rsidP="00D82D7D">
      <w:pPr>
        <w:ind w:left="0"/>
        <w:rPr>
          <w:rFonts w:cs="Arial"/>
          <w:sz w:val="22"/>
          <w:szCs w:val="22"/>
        </w:rPr>
      </w:pPr>
      <w:r w:rsidRPr="00D17394">
        <w:rPr>
          <w:rFonts w:cs="Arial"/>
          <w:sz w:val="22"/>
          <w:szCs w:val="22"/>
        </w:rPr>
        <w:t xml:space="preserve"> </w:t>
      </w:r>
    </w:p>
    <w:p w14:paraId="6A42CB0C" w14:textId="7F877B9C" w:rsidR="00D82D7D" w:rsidRPr="00D17394" w:rsidRDefault="00D17394" w:rsidP="00D82D7D">
      <w:pPr>
        <w:pStyle w:val="ListParagraph0"/>
        <w:numPr>
          <w:ilvl w:val="0"/>
          <w:numId w:val="173"/>
        </w:numPr>
        <w:rPr>
          <w:rFonts w:cs="Arial"/>
          <w:sz w:val="22"/>
          <w:szCs w:val="22"/>
        </w:rPr>
      </w:pPr>
      <w:r w:rsidRPr="00D17394">
        <w:rPr>
          <w:rFonts w:cs="Arial"/>
          <w:sz w:val="22"/>
          <w:szCs w:val="22"/>
        </w:rPr>
        <w:t>The pipeline infrastructure itself</w:t>
      </w:r>
      <w:r w:rsidR="00D82D7D" w:rsidRPr="00D17394">
        <w:rPr>
          <w:rFonts w:cs="Arial"/>
          <w:sz w:val="22"/>
          <w:szCs w:val="22"/>
        </w:rPr>
        <w:t>;</w:t>
      </w:r>
      <w:r w:rsidRPr="00D17394">
        <w:rPr>
          <w:rFonts w:cs="Arial"/>
          <w:sz w:val="22"/>
          <w:szCs w:val="22"/>
        </w:rPr>
        <w:t xml:space="preserve"> and</w:t>
      </w:r>
    </w:p>
    <w:p w14:paraId="48D764A9" w14:textId="1D50FF6B" w:rsidR="00D82D7D" w:rsidRPr="00975166" w:rsidRDefault="00D17394" w:rsidP="00D82D7D">
      <w:pPr>
        <w:pStyle w:val="ListParagraph0"/>
        <w:numPr>
          <w:ilvl w:val="0"/>
          <w:numId w:val="173"/>
        </w:numPr>
        <w:rPr>
          <w:sz w:val="22"/>
          <w:szCs w:val="22"/>
        </w:rPr>
      </w:pPr>
      <w:r w:rsidRPr="00975166">
        <w:rPr>
          <w:rFonts w:cs="Arial"/>
          <w:sz w:val="22"/>
          <w:szCs w:val="22"/>
        </w:rPr>
        <w:t xml:space="preserve">The source and support vessels. </w:t>
      </w:r>
    </w:p>
    <w:p w14:paraId="3902A6A7" w14:textId="107FE3C3" w:rsidR="00912C73" w:rsidRDefault="00912C73" w:rsidP="00912C73">
      <w:pPr>
        <w:pStyle w:val="Heading3"/>
      </w:pPr>
      <w:bookmarkStart w:id="1233" w:name="_Toc479764137"/>
      <w:bookmarkStart w:id="1234" w:name="_Toc375214664"/>
      <w:r>
        <w:t xml:space="preserve">Evaluation of </w:t>
      </w:r>
      <w:bookmarkEnd w:id="1233"/>
      <w:r w:rsidR="00AC364D">
        <w:t>Risks</w:t>
      </w:r>
      <w:bookmarkEnd w:id="1234"/>
    </w:p>
    <w:p w14:paraId="47637F31" w14:textId="1A368FE9" w:rsidR="00975166" w:rsidRDefault="00D17394" w:rsidP="00912C73">
      <w:pPr>
        <w:ind w:left="0"/>
        <w:rPr>
          <w:rFonts w:cs="Arial"/>
          <w:sz w:val="22"/>
          <w:szCs w:val="22"/>
        </w:rPr>
      </w:pPr>
      <w:r w:rsidRPr="00D17394">
        <w:rPr>
          <w:rFonts w:cs="Arial"/>
          <w:sz w:val="22"/>
          <w:szCs w:val="22"/>
        </w:rPr>
        <w:t xml:space="preserve">CarbonNet </w:t>
      </w:r>
      <w:r w:rsidR="00975166">
        <w:rPr>
          <w:rFonts w:cs="Arial"/>
          <w:sz w:val="22"/>
          <w:szCs w:val="22"/>
        </w:rPr>
        <w:t>commissioned RPS to undertake a technical review of the potential effects of the proposed MSS on pipelines.</w:t>
      </w:r>
      <w:r w:rsidR="00203541">
        <w:rPr>
          <w:rFonts w:cs="Arial"/>
          <w:sz w:val="22"/>
          <w:szCs w:val="22"/>
        </w:rPr>
        <w:t xml:space="preserve"> The following discussion presents these results</w:t>
      </w:r>
      <w:r w:rsidR="009B3165">
        <w:rPr>
          <w:rFonts w:cs="Arial"/>
          <w:sz w:val="22"/>
          <w:szCs w:val="22"/>
        </w:rPr>
        <w:t xml:space="preserve"> (RPS, 2017)</w:t>
      </w:r>
      <w:r w:rsidR="00203541">
        <w:rPr>
          <w:rFonts w:cs="Arial"/>
          <w:sz w:val="22"/>
          <w:szCs w:val="22"/>
        </w:rPr>
        <w:t xml:space="preserve">. </w:t>
      </w:r>
      <w:r w:rsidR="00975166">
        <w:rPr>
          <w:rFonts w:cs="Arial"/>
          <w:sz w:val="22"/>
          <w:szCs w:val="22"/>
        </w:rPr>
        <w:t xml:space="preserve"> </w:t>
      </w:r>
    </w:p>
    <w:p w14:paraId="42578E16" w14:textId="77777777" w:rsidR="00203541" w:rsidRDefault="00203541" w:rsidP="00912C73">
      <w:pPr>
        <w:ind w:left="0"/>
        <w:rPr>
          <w:rFonts w:cs="Arial"/>
          <w:sz w:val="22"/>
          <w:szCs w:val="22"/>
        </w:rPr>
      </w:pPr>
    </w:p>
    <w:p w14:paraId="1DBC3059" w14:textId="77777777" w:rsidR="00D746BA" w:rsidRDefault="00203541" w:rsidP="00912C73">
      <w:pPr>
        <w:ind w:left="0"/>
        <w:rPr>
          <w:rFonts w:cs="Arial"/>
          <w:sz w:val="22"/>
          <w:szCs w:val="22"/>
        </w:rPr>
      </w:pPr>
      <w:r>
        <w:rPr>
          <w:rFonts w:cs="Arial"/>
          <w:sz w:val="22"/>
          <w:szCs w:val="22"/>
        </w:rPr>
        <w:t>Peak particle velocity (</w:t>
      </w:r>
      <w:r w:rsidR="00975166" w:rsidRPr="00203541">
        <w:rPr>
          <w:rFonts w:cs="Arial"/>
          <w:sz w:val="22"/>
          <w:szCs w:val="22"/>
        </w:rPr>
        <w:t>PPV</w:t>
      </w:r>
      <w:r>
        <w:rPr>
          <w:rFonts w:cs="Arial"/>
          <w:sz w:val="22"/>
          <w:szCs w:val="22"/>
        </w:rPr>
        <w:t>)</w:t>
      </w:r>
      <w:r w:rsidR="00975166" w:rsidRPr="00203541">
        <w:rPr>
          <w:rFonts w:cs="Arial"/>
          <w:sz w:val="22"/>
          <w:szCs w:val="22"/>
        </w:rPr>
        <w:t xml:space="preserve"> levels in the water at a point 5 cm above the seafloor have been estimated based on</w:t>
      </w:r>
      <w:r>
        <w:rPr>
          <w:rFonts w:cs="Arial"/>
          <w:sz w:val="22"/>
          <w:szCs w:val="22"/>
        </w:rPr>
        <w:t xml:space="preserve"> </w:t>
      </w:r>
      <w:r w:rsidR="00975166" w:rsidRPr="00203541">
        <w:rPr>
          <w:rFonts w:cs="Arial"/>
          <w:sz w:val="22"/>
          <w:szCs w:val="22"/>
        </w:rPr>
        <w:t xml:space="preserve">interpolation of the particle motion modelling results presented in the </w:t>
      </w:r>
      <w:r>
        <w:rPr>
          <w:rFonts w:cs="Arial"/>
          <w:sz w:val="22"/>
          <w:szCs w:val="22"/>
        </w:rPr>
        <w:t xml:space="preserve">initial </w:t>
      </w:r>
      <w:r w:rsidR="00975166" w:rsidRPr="00203541">
        <w:rPr>
          <w:rFonts w:cs="Arial"/>
          <w:sz w:val="22"/>
          <w:szCs w:val="22"/>
        </w:rPr>
        <w:t>J</w:t>
      </w:r>
      <w:r>
        <w:rPr>
          <w:rFonts w:cs="Arial"/>
          <w:sz w:val="22"/>
          <w:szCs w:val="22"/>
        </w:rPr>
        <w:t xml:space="preserve">ASCO underwater </w:t>
      </w:r>
      <w:r w:rsidR="00CF2C8D">
        <w:rPr>
          <w:rFonts w:cs="Arial"/>
          <w:sz w:val="22"/>
          <w:szCs w:val="22"/>
        </w:rPr>
        <w:t>STLM</w:t>
      </w:r>
      <w:r>
        <w:rPr>
          <w:rFonts w:cs="Arial"/>
          <w:sz w:val="22"/>
          <w:szCs w:val="22"/>
        </w:rPr>
        <w:t xml:space="preserve"> </w:t>
      </w:r>
      <w:r w:rsidR="00975166" w:rsidRPr="00203541">
        <w:rPr>
          <w:rFonts w:cs="Arial"/>
          <w:sz w:val="22"/>
          <w:szCs w:val="22"/>
        </w:rPr>
        <w:t>report</w:t>
      </w:r>
      <w:r>
        <w:rPr>
          <w:rFonts w:cs="Arial"/>
          <w:sz w:val="22"/>
          <w:szCs w:val="22"/>
        </w:rPr>
        <w:t xml:space="preserve"> (</w:t>
      </w:r>
      <w:r w:rsidR="00CF2C8D">
        <w:rPr>
          <w:rFonts w:cs="Arial"/>
          <w:sz w:val="22"/>
          <w:szCs w:val="22"/>
        </w:rPr>
        <w:t xml:space="preserve">McPherson </w:t>
      </w:r>
      <w:r w:rsidR="00CF2C8D" w:rsidRPr="00CF2C8D">
        <w:rPr>
          <w:rFonts w:cs="Arial"/>
          <w:i/>
          <w:sz w:val="22"/>
          <w:szCs w:val="22"/>
        </w:rPr>
        <w:t>et al</w:t>
      </w:r>
      <w:r w:rsidR="00CF2C8D">
        <w:rPr>
          <w:rFonts w:cs="Arial"/>
          <w:sz w:val="22"/>
          <w:szCs w:val="22"/>
        </w:rPr>
        <w:t>.</w:t>
      </w:r>
      <w:r>
        <w:rPr>
          <w:rFonts w:cs="Arial"/>
          <w:sz w:val="22"/>
          <w:szCs w:val="22"/>
        </w:rPr>
        <w:t>, 2017)</w:t>
      </w:r>
      <w:r w:rsidR="00975166" w:rsidRPr="00203541">
        <w:rPr>
          <w:rFonts w:cs="Arial"/>
          <w:sz w:val="22"/>
          <w:szCs w:val="22"/>
        </w:rPr>
        <w:t>. These results</w:t>
      </w:r>
      <w:r>
        <w:rPr>
          <w:rFonts w:cs="Arial"/>
          <w:sz w:val="22"/>
          <w:szCs w:val="22"/>
        </w:rPr>
        <w:t xml:space="preserve"> </w:t>
      </w:r>
      <w:r w:rsidR="00975166" w:rsidRPr="00203541">
        <w:rPr>
          <w:rFonts w:cs="Arial"/>
          <w:sz w:val="22"/>
          <w:szCs w:val="22"/>
        </w:rPr>
        <w:t xml:space="preserve">have been used to estimate the PPV vibration level in the seafloor at </w:t>
      </w:r>
      <w:r w:rsidR="00CF2C8D">
        <w:rPr>
          <w:rFonts w:cs="Arial"/>
          <w:sz w:val="22"/>
          <w:szCs w:val="22"/>
        </w:rPr>
        <w:t>each</w:t>
      </w:r>
      <w:r w:rsidR="00975166" w:rsidRPr="00203541">
        <w:rPr>
          <w:rFonts w:cs="Arial"/>
          <w:sz w:val="22"/>
          <w:szCs w:val="22"/>
        </w:rPr>
        <w:t xml:space="preserve"> pipe</w:t>
      </w:r>
      <w:r w:rsidR="00CF2C8D">
        <w:rPr>
          <w:rFonts w:cs="Arial"/>
          <w:sz w:val="22"/>
          <w:szCs w:val="22"/>
        </w:rPr>
        <w:t>line</w:t>
      </w:r>
      <w:r w:rsidR="00975166" w:rsidRPr="00203541">
        <w:rPr>
          <w:rFonts w:cs="Arial"/>
          <w:sz w:val="22"/>
          <w:szCs w:val="22"/>
        </w:rPr>
        <w:t xml:space="preserve"> location taking</w:t>
      </w:r>
      <w:r>
        <w:rPr>
          <w:rFonts w:cs="Arial"/>
          <w:sz w:val="22"/>
          <w:szCs w:val="22"/>
        </w:rPr>
        <w:t xml:space="preserve"> </w:t>
      </w:r>
      <w:r w:rsidR="00975166" w:rsidRPr="00203541">
        <w:rPr>
          <w:rFonts w:cs="Arial"/>
          <w:sz w:val="22"/>
          <w:szCs w:val="22"/>
        </w:rPr>
        <w:t>into account the change in acoustic impedance between sea water and the seafloor and the</w:t>
      </w:r>
      <w:r>
        <w:rPr>
          <w:rFonts w:cs="Arial"/>
          <w:sz w:val="22"/>
          <w:szCs w:val="22"/>
        </w:rPr>
        <w:t xml:space="preserve"> </w:t>
      </w:r>
      <w:r w:rsidR="00975166" w:rsidRPr="00203541">
        <w:rPr>
          <w:rFonts w:cs="Arial"/>
          <w:sz w:val="22"/>
          <w:szCs w:val="22"/>
        </w:rPr>
        <w:t xml:space="preserve">burial depth of the pipeline. </w:t>
      </w:r>
    </w:p>
    <w:p w14:paraId="6DD775F1" w14:textId="77777777" w:rsidR="00D746BA" w:rsidRDefault="00D746BA" w:rsidP="00912C73">
      <w:pPr>
        <w:ind w:left="0"/>
        <w:rPr>
          <w:rFonts w:cs="Arial"/>
          <w:sz w:val="22"/>
          <w:szCs w:val="22"/>
        </w:rPr>
      </w:pPr>
    </w:p>
    <w:p w14:paraId="6B398F2D" w14:textId="0A09317D" w:rsidR="009B3165" w:rsidRDefault="009B3165" w:rsidP="009B3165">
      <w:pPr>
        <w:autoSpaceDE w:val="0"/>
        <w:autoSpaceDN w:val="0"/>
        <w:adjustRightInd w:val="0"/>
        <w:spacing w:line="240" w:lineRule="auto"/>
        <w:ind w:left="0"/>
        <w:rPr>
          <w:rFonts w:cs="Arial"/>
          <w:sz w:val="22"/>
          <w:szCs w:val="22"/>
        </w:rPr>
      </w:pPr>
      <w:r>
        <w:rPr>
          <w:rFonts w:cs="Arial"/>
          <w:sz w:val="22"/>
          <w:szCs w:val="22"/>
        </w:rPr>
        <w:t xml:space="preserve">The </w:t>
      </w:r>
      <w:r w:rsidRPr="00203541">
        <w:rPr>
          <w:rFonts w:cs="Arial"/>
          <w:i/>
          <w:sz w:val="22"/>
          <w:szCs w:val="22"/>
        </w:rPr>
        <w:t>Code of practice for noise and vibration control on construction and open sites</w:t>
      </w:r>
      <w:r w:rsidRPr="00203541">
        <w:rPr>
          <w:rFonts w:cs="Arial"/>
          <w:sz w:val="22"/>
          <w:szCs w:val="22"/>
        </w:rPr>
        <w:t xml:space="preserve"> </w:t>
      </w:r>
      <w:r>
        <w:rPr>
          <w:rFonts w:cs="Arial"/>
          <w:sz w:val="22"/>
          <w:szCs w:val="22"/>
        </w:rPr>
        <w:t>(</w:t>
      </w:r>
      <w:r w:rsidRPr="00203541">
        <w:rPr>
          <w:rFonts w:cs="Arial"/>
          <w:sz w:val="22"/>
          <w:szCs w:val="22"/>
        </w:rPr>
        <w:t>BS 5228-2:2009+A1:2014</w:t>
      </w:r>
      <w:r>
        <w:rPr>
          <w:rFonts w:cs="Arial"/>
          <w:sz w:val="22"/>
          <w:szCs w:val="22"/>
        </w:rPr>
        <w:t>)</w:t>
      </w:r>
      <w:r w:rsidRPr="00203541">
        <w:rPr>
          <w:rFonts w:cs="Arial"/>
          <w:sz w:val="22"/>
          <w:szCs w:val="22"/>
        </w:rPr>
        <w:t xml:space="preserve"> provides indicative criteria for maximum PPV levels for buried services. The standard</w:t>
      </w:r>
      <w:r>
        <w:rPr>
          <w:rFonts w:cs="Arial"/>
          <w:sz w:val="22"/>
          <w:szCs w:val="22"/>
        </w:rPr>
        <w:t xml:space="preserve"> </w:t>
      </w:r>
      <w:r w:rsidRPr="00203541">
        <w:rPr>
          <w:rFonts w:cs="Arial"/>
          <w:sz w:val="22"/>
          <w:szCs w:val="22"/>
        </w:rPr>
        <w:t>recommends maximum PPV for intermittent or transient vibrations of 30 mm/s. The standard</w:t>
      </w:r>
      <w:r>
        <w:rPr>
          <w:rFonts w:cs="Arial"/>
          <w:sz w:val="22"/>
          <w:szCs w:val="22"/>
        </w:rPr>
        <w:t xml:space="preserve"> </w:t>
      </w:r>
      <w:r w:rsidRPr="00203541">
        <w:rPr>
          <w:rFonts w:cs="Arial"/>
          <w:sz w:val="22"/>
          <w:szCs w:val="22"/>
        </w:rPr>
        <w:t>goes on to note that “Even a PPV of 30 mm/s gives rise to a dynamic stress which is equivalent</w:t>
      </w:r>
      <w:r>
        <w:rPr>
          <w:rFonts w:cs="Arial"/>
          <w:sz w:val="22"/>
          <w:szCs w:val="22"/>
        </w:rPr>
        <w:t xml:space="preserve"> </w:t>
      </w:r>
      <w:r w:rsidRPr="00203541">
        <w:rPr>
          <w:rFonts w:cs="Arial"/>
          <w:sz w:val="22"/>
          <w:szCs w:val="22"/>
        </w:rPr>
        <w:t>to approximately 5% only of the allowable working stress in typical concrete and even less in iron</w:t>
      </w:r>
      <w:r>
        <w:rPr>
          <w:rFonts w:cs="Arial"/>
          <w:sz w:val="22"/>
          <w:szCs w:val="22"/>
        </w:rPr>
        <w:t xml:space="preserve"> </w:t>
      </w:r>
      <w:r w:rsidRPr="00203541">
        <w:rPr>
          <w:rFonts w:cs="Arial"/>
          <w:sz w:val="22"/>
          <w:szCs w:val="22"/>
        </w:rPr>
        <w:t>or steel.</w:t>
      </w:r>
      <w:r>
        <w:rPr>
          <w:rFonts w:cs="Arial"/>
          <w:sz w:val="22"/>
          <w:szCs w:val="22"/>
        </w:rPr>
        <w:t>”</w:t>
      </w:r>
      <w:r w:rsidRPr="00203541">
        <w:rPr>
          <w:rFonts w:cs="Arial"/>
          <w:sz w:val="22"/>
          <w:szCs w:val="22"/>
        </w:rPr>
        <w:t xml:space="preserve"> Accordingly, it is considered that tolerances for the buried pipelines in this study are</w:t>
      </w:r>
      <w:r w:rsidR="00D746BA">
        <w:rPr>
          <w:rFonts w:cs="Arial"/>
          <w:sz w:val="22"/>
          <w:szCs w:val="22"/>
        </w:rPr>
        <w:t xml:space="preserve"> </w:t>
      </w:r>
      <w:r w:rsidRPr="00203541">
        <w:rPr>
          <w:rFonts w:cs="Arial"/>
          <w:sz w:val="22"/>
          <w:szCs w:val="22"/>
        </w:rPr>
        <w:t xml:space="preserve">likely to be significantly higher than the 30 mm/s PPV recommended as a </w:t>
      </w:r>
      <w:r>
        <w:rPr>
          <w:rFonts w:cs="Arial"/>
          <w:sz w:val="22"/>
          <w:szCs w:val="22"/>
        </w:rPr>
        <w:t>‘</w:t>
      </w:r>
      <w:r w:rsidRPr="00203541">
        <w:rPr>
          <w:rFonts w:cs="Arial"/>
          <w:sz w:val="22"/>
          <w:szCs w:val="22"/>
        </w:rPr>
        <w:t>catch all</w:t>
      </w:r>
      <w:r>
        <w:rPr>
          <w:rFonts w:cs="Arial"/>
          <w:sz w:val="22"/>
          <w:szCs w:val="22"/>
        </w:rPr>
        <w:t>’</w:t>
      </w:r>
      <w:r w:rsidRPr="00203541">
        <w:rPr>
          <w:rFonts w:cs="Arial"/>
          <w:sz w:val="22"/>
          <w:szCs w:val="22"/>
        </w:rPr>
        <w:t xml:space="preserve"> for buried</w:t>
      </w:r>
      <w:r>
        <w:rPr>
          <w:rFonts w:cs="Arial"/>
          <w:sz w:val="22"/>
          <w:szCs w:val="22"/>
        </w:rPr>
        <w:t xml:space="preserve"> </w:t>
      </w:r>
      <w:r w:rsidRPr="00203541">
        <w:rPr>
          <w:rFonts w:cs="Arial"/>
          <w:sz w:val="22"/>
          <w:szCs w:val="22"/>
        </w:rPr>
        <w:t>services in the standard, with allowable stresses likely to be more than 20 times higher.</w:t>
      </w:r>
    </w:p>
    <w:p w14:paraId="734B9825" w14:textId="77777777" w:rsidR="009B3165" w:rsidRDefault="009B3165" w:rsidP="00912C73">
      <w:pPr>
        <w:ind w:left="0"/>
        <w:rPr>
          <w:rFonts w:cs="Arial"/>
          <w:sz w:val="22"/>
          <w:szCs w:val="22"/>
        </w:rPr>
      </w:pPr>
    </w:p>
    <w:p w14:paraId="43ECD48A" w14:textId="15CB41F5" w:rsidR="00203541" w:rsidRPr="00203541" w:rsidRDefault="00203541" w:rsidP="00203541">
      <w:pPr>
        <w:autoSpaceDE w:val="0"/>
        <w:autoSpaceDN w:val="0"/>
        <w:adjustRightInd w:val="0"/>
        <w:spacing w:line="240" w:lineRule="auto"/>
        <w:ind w:left="0"/>
        <w:rPr>
          <w:rFonts w:cs="Arial"/>
          <w:sz w:val="22"/>
          <w:szCs w:val="22"/>
        </w:rPr>
      </w:pPr>
      <w:r w:rsidRPr="00203541">
        <w:rPr>
          <w:rFonts w:cs="Arial"/>
          <w:sz w:val="22"/>
          <w:szCs w:val="22"/>
        </w:rPr>
        <w:t>Based on the 30 mm/s criteria leading only to 5% allowable stress for concrete, and taking into</w:t>
      </w:r>
      <w:r>
        <w:rPr>
          <w:rFonts w:cs="Arial"/>
          <w:sz w:val="22"/>
          <w:szCs w:val="22"/>
        </w:rPr>
        <w:t xml:space="preserve"> </w:t>
      </w:r>
      <w:r w:rsidRPr="00203541">
        <w:rPr>
          <w:rFonts w:cs="Arial"/>
          <w:sz w:val="22"/>
          <w:szCs w:val="22"/>
        </w:rPr>
        <w:t>account the even higher tolerances for steel pipelines, it is considered unlikely that the PPV</w:t>
      </w:r>
      <w:r>
        <w:rPr>
          <w:rFonts w:cs="Arial"/>
          <w:sz w:val="22"/>
          <w:szCs w:val="22"/>
        </w:rPr>
        <w:t xml:space="preserve"> </w:t>
      </w:r>
      <w:r w:rsidRPr="00203541">
        <w:rPr>
          <w:rFonts w:cs="Arial"/>
          <w:sz w:val="22"/>
          <w:szCs w:val="22"/>
        </w:rPr>
        <w:t xml:space="preserve">levels </w:t>
      </w:r>
      <w:r w:rsidR="008D48E4">
        <w:rPr>
          <w:rFonts w:cs="Arial"/>
          <w:sz w:val="22"/>
          <w:szCs w:val="22"/>
        </w:rPr>
        <w:t>resulting from this MSS</w:t>
      </w:r>
      <w:r w:rsidRPr="00203541">
        <w:rPr>
          <w:rFonts w:cs="Arial"/>
          <w:color w:val="FF0000"/>
          <w:sz w:val="22"/>
          <w:szCs w:val="22"/>
        </w:rPr>
        <w:t xml:space="preserve"> </w:t>
      </w:r>
      <w:r w:rsidRPr="00203541">
        <w:rPr>
          <w:rFonts w:cs="Arial"/>
          <w:sz w:val="22"/>
          <w:szCs w:val="22"/>
        </w:rPr>
        <w:t>would lead to excessive stress levels in the pipelines.</w:t>
      </w:r>
    </w:p>
    <w:p w14:paraId="73C55D82" w14:textId="77777777" w:rsidR="00203541" w:rsidRPr="00203541" w:rsidRDefault="00203541" w:rsidP="00203541">
      <w:pPr>
        <w:autoSpaceDE w:val="0"/>
        <w:autoSpaceDN w:val="0"/>
        <w:adjustRightInd w:val="0"/>
        <w:spacing w:line="240" w:lineRule="auto"/>
        <w:ind w:left="0"/>
        <w:rPr>
          <w:rFonts w:cs="Arial"/>
          <w:sz w:val="22"/>
          <w:szCs w:val="22"/>
        </w:rPr>
      </w:pPr>
    </w:p>
    <w:p w14:paraId="02D95D92" w14:textId="70B4F63B" w:rsidR="00203541" w:rsidRDefault="008D48E4" w:rsidP="00203541">
      <w:pPr>
        <w:autoSpaceDE w:val="0"/>
        <w:autoSpaceDN w:val="0"/>
        <w:adjustRightInd w:val="0"/>
        <w:spacing w:line="240" w:lineRule="auto"/>
        <w:ind w:left="0"/>
        <w:rPr>
          <w:rFonts w:cs="Arial"/>
          <w:sz w:val="22"/>
          <w:szCs w:val="22"/>
        </w:rPr>
      </w:pPr>
      <w:r>
        <w:rPr>
          <w:rFonts w:cs="Arial"/>
          <w:sz w:val="22"/>
          <w:szCs w:val="22"/>
        </w:rPr>
        <w:lastRenderedPageBreak/>
        <w:t>T</w:t>
      </w:r>
      <w:r w:rsidR="00203541" w:rsidRPr="00203541">
        <w:rPr>
          <w:rFonts w:cs="Arial"/>
          <w:sz w:val="22"/>
          <w:szCs w:val="22"/>
        </w:rPr>
        <w:t xml:space="preserve">he Esso 3D survey </w:t>
      </w:r>
      <w:r w:rsidR="00203541">
        <w:rPr>
          <w:rFonts w:cs="Arial"/>
          <w:sz w:val="22"/>
          <w:szCs w:val="22"/>
        </w:rPr>
        <w:t>that</w:t>
      </w:r>
      <w:r w:rsidR="00203541" w:rsidRPr="00203541">
        <w:rPr>
          <w:rFonts w:cs="Arial"/>
          <w:sz w:val="22"/>
          <w:szCs w:val="22"/>
        </w:rPr>
        <w:t xml:space="preserve"> took place over these same</w:t>
      </w:r>
      <w:r w:rsidR="00203541">
        <w:rPr>
          <w:rFonts w:cs="Arial"/>
          <w:sz w:val="22"/>
          <w:szCs w:val="22"/>
        </w:rPr>
        <w:t xml:space="preserve"> </w:t>
      </w:r>
      <w:r w:rsidR="00203541" w:rsidRPr="00203541">
        <w:rPr>
          <w:rFonts w:cs="Arial"/>
          <w:sz w:val="22"/>
          <w:szCs w:val="22"/>
        </w:rPr>
        <w:t>pipelines in 2001</w:t>
      </w:r>
      <w:r>
        <w:rPr>
          <w:rFonts w:cs="Arial"/>
          <w:sz w:val="22"/>
          <w:szCs w:val="22"/>
        </w:rPr>
        <w:t xml:space="preserve">, using </w:t>
      </w:r>
      <w:r w:rsidR="00203541">
        <w:rPr>
          <w:rFonts w:cs="Arial"/>
          <w:sz w:val="22"/>
          <w:szCs w:val="22"/>
        </w:rPr>
        <w:t>an airgun array volume of 3,542 cui (higher than that proposed by CarbonNet and higher than the figure used for the PPV modelling) with an operating pressure of 2,000 psi</w:t>
      </w:r>
      <w:r w:rsidR="00662093">
        <w:rPr>
          <w:rFonts w:cs="Arial"/>
          <w:sz w:val="22"/>
          <w:szCs w:val="22"/>
        </w:rPr>
        <w:t xml:space="preserve">, with the two airgun arrays towed at a depth of 6 m below the sea surface. </w:t>
      </w:r>
      <w:r w:rsidR="00203541" w:rsidRPr="00203541">
        <w:rPr>
          <w:rFonts w:cs="Arial"/>
          <w:sz w:val="22"/>
          <w:szCs w:val="22"/>
        </w:rPr>
        <w:t>It is likely that PPV levels would have been of a similar magnitude to those</w:t>
      </w:r>
      <w:r w:rsidR="00203541">
        <w:rPr>
          <w:rFonts w:cs="Arial"/>
          <w:sz w:val="22"/>
          <w:szCs w:val="22"/>
        </w:rPr>
        <w:t xml:space="preserve"> </w:t>
      </w:r>
      <w:r w:rsidR="00203541" w:rsidRPr="00203541">
        <w:rPr>
          <w:rFonts w:cs="Arial"/>
          <w:sz w:val="22"/>
          <w:szCs w:val="22"/>
        </w:rPr>
        <w:t>proposed in this survey</w:t>
      </w:r>
      <w:r w:rsidR="0009591D">
        <w:rPr>
          <w:rFonts w:cs="Arial"/>
          <w:sz w:val="22"/>
          <w:szCs w:val="22"/>
        </w:rPr>
        <w:t xml:space="preserve"> and did not result in pipeline failure.</w:t>
      </w:r>
      <w:r w:rsidR="00203541" w:rsidRPr="00203541">
        <w:rPr>
          <w:rFonts w:cs="Arial"/>
          <w:sz w:val="22"/>
          <w:szCs w:val="22"/>
        </w:rPr>
        <w:t xml:space="preserve"> This provides empirical evidence that </w:t>
      </w:r>
      <w:r w:rsidR="0009591D">
        <w:rPr>
          <w:rFonts w:cs="Arial"/>
          <w:sz w:val="22"/>
          <w:szCs w:val="22"/>
        </w:rPr>
        <w:t xml:space="preserve">MSS </w:t>
      </w:r>
      <w:r w:rsidR="00662093">
        <w:rPr>
          <w:rFonts w:cs="Arial"/>
          <w:sz w:val="22"/>
          <w:szCs w:val="22"/>
        </w:rPr>
        <w:t xml:space="preserve">undertaken in the past </w:t>
      </w:r>
      <w:r w:rsidR="00203541" w:rsidRPr="00203541">
        <w:rPr>
          <w:rFonts w:cs="Arial"/>
          <w:sz w:val="22"/>
          <w:szCs w:val="22"/>
        </w:rPr>
        <w:t xml:space="preserve">have not led to </w:t>
      </w:r>
      <w:r w:rsidR="00662093">
        <w:rPr>
          <w:rFonts w:cs="Arial"/>
          <w:sz w:val="22"/>
          <w:szCs w:val="22"/>
        </w:rPr>
        <w:t xml:space="preserve">pipeline </w:t>
      </w:r>
      <w:r w:rsidR="00203541" w:rsidRPr="00203541">
        <w:rPr>
          <w:rFonts w:cs="Arial"/>
          <w:sz w:val="22"/>
          <w:szCs w:val="22"/>
        </w:rPr>
        <w:t>failure.</w:t>
      </w:r>
    </w:p>
    <w:p w14:paraId="6FA27989" w14:textId="77777777" w:rsidR="00203541" w:rsidRDefault="00203541" w:rsidP="00203541">
      <w:pPr>
        <w:autoSpaceDE w:val="0"/>
        <w:autoSpaceDN w:val="0"/>
        <w:adjustRightInd w:val="0"/>
        <w:spacing w:line="240" w:lineRule="auto"/>
        <w:ind w:left="0"/>
        <w:rPr>
          <w:rFonts w:cs="Arial"/>
          <w:sz w:val="22"/>
          <w:szCs w:val="22"/>
        </w:rPr>
      </w:pPr>
    </w:p>
    <w:p w14:paraId="5FC8437C" w14:textId="63BB6DB1" w:rsidR="00AC364D" w:rsidRDefault="008D48E4" w:rsidP="00912C73">
      <w:pPr>
        <w:ind w:left="0"/>
        <w:rPr>
          <w:rFonts w:cs="Arial"/>
          <w:sz w:val="22"/>
          <w:szCs w:val="22"/>
        </w:rPr>
      </w:pPr>
      <w:r>
        <w:rPr>
          <w:rFonts w:cs="Arial"/>
          <w:sz w:val="22"/>
          <w:szCs w:val="22"/>
        </w:rPr>
        <w:t>The results of</w:t>
      </w:r>
      <w:r w:rsidR="00AC364D">
        <w:rPr>
          <w:rFonts w:cs="Arial"/>
          <w:sz w:val="22"/>
          <w:szCs w:val="22"/>
        </w:rPr>
        <w:t xml:space="preserve"> this assessmen</w:t>
      </w:r>
      <w:r>
        <w:rPr>
          <w:rFonts w:cs="Arial"/>
          <w:sz w:val="22"/>
          <w:szCs w:val="22"/>
        </w:rPr>
        <w:t xml:space="preserve"> indicate that it is unlikely </w:t>
      </w:r>
      <w:r w:rsidR="00AC364D">
        <w:rPr>
          <w:rFonts w:cs="Arial"/>
          <w:sz w:val="22"/>
          <w:szCs w:val="22"/>
        </w:rPr>
        <w:t xml:space="preserve">that the proposed Pelican 3DMSS will result in damage to EARPL’s pipelines (and therefore a hydrocarbon release from the pipelines is not credible). </w:t>
      </w:r>
    </w:p>
    <w:p w14:paraId="415F46C2" w14:textId="22C7BD71" w:rsidR="00D950AA" w:rsidRDefault="008D48E4" w:rsidP="00D950AA">
      <w:pPr>
        <w:pStyle w:val="Heading3"/>
      </w:pPr>
      <w:bookmarkStart w:id="1235" w:name="_Toc375214665"/>
      <w:r>
        <w:t xml:space="preserve">Control Measures &amp; </w:t>
      </w:r>
      <w:r w:rsidR="00D950AA">
        <w:t>Risk Assessment</w:t>
      </w:r>
      <w:bookmarkEnd w:id="1235"/>
    </w:p>
    <w:p w14:paraId="65EEB1BE" w14:textId="42280311" w:rsidR="008D48E4" w:rsidRDefault="008D48E4" w:rsidP="008D48E4">
      <w:pPr>
        <w:pStyle w:val="BodyText"/>
        <w:ind w:left="0"/>
        <w:rPr>
          <w:sz w:val="22"/>
          <w:szCs w:val="22"/>
        </w:rPr>
      </w:pPr>
      <w:r>
        <w:rPr>
          <w:rFonts w:cs="Arial"/>
          <w:sz w:val="22"/>
          <w:szCs w:val="22"/>
        </w:rPr>
        <w:t xml:space="preserve">The following control measures will be implemented to minimise the risk </w:t>
      </w:r>
      <w:r w:rsidRPr="008D722A">
        <w:rPr>
          <w:rFonts w:cs="Arial"/>
          <w:sz w:val="22"/>
          <w:szCs w:val="22"/>
        </w:rPr>
        <w:t xml:space="preserve">of </w:t>
      </w:r>
      <w:r>
        <w:rPr>
          <w:rFonts w:cs="Arial"/>
          <w:sz w:val="22"/>
          <w:szCs w:val="22"/>
        </w:rPr>
        <w:t xml:space="preserve">damage to marine infrastructure: </w:t>
      </w:r>
      <w:r w:rsidRPr="0038762E">
        <w:rPr>
          <w:sz w:val="22"/>
          <w:szCs w:val="22"/>
        </w:rPr>
        <w:t xml:space="preserve"> </w:t>
      </w:r>
    </w:p>
    <w:p w14:paraId="0303E6FF" w14:textId="055E6F36" w:rsidR="00AD0D72" w:rsidRPr="008D48E4" w:rsidRDefault="008D48E4" w:rsidP="008D48E4">
      <w:pPr>
        <w:pStyle w:val="ListParagraph0"/>
        <w:numPr>
          <w:ilvl w:val="0"/>
          <w:numId w:val="196"/>
        </w:numPr>
        <w:rPr>
          <w:rFonts w:cs="Arial"/>
          <w:sz w:val="22"/>
          <w:szCs w:val="22"/>
        </w:rPr>
      </w:pPr>
      <w:r w:rsidRPr="008D48E4">
        <w:rPr>
          <w:rFonts w:cs="Arial"/>
          <w:sz w:val="22"/>
          <w:szCs w:val="22"/>
        </w:rPr>
        <w:t>CarbonNet has undertaken thorough pre-survey consultation with EARPL, as the operator of the subsea pipelines, to understand the implications of SIMOPs.</w:t>
      </w:r>
    </w:p>
    <w:p w14:paraId="48D6385B" w14:textId="01531225" w:rsidR="008D48E4" w:rsidRPr="008D48E4" w:rsidRDefault="008D48E4" w:rsidP="008D48E4">
      <w:pPr>
        <w:pStyle w:val="ListParagraph0"/>
        <w:numPr>
          <w:ilvl w:val="0"/>
          <w:numId w:val="196"/>
        </w:numPr>
        <w:rPr>
          <w:rFonts w:cs="Arial"/>
          <w:sz w:val="22"/>
          <w:szCs w:val="22"/>
        </w:rPr>
      </w:pPr>
      <w:r w:rsidRPr="008D48E4">
        <w:rPr>
          <w:rFonts w:cs="Arial"/>
          <w:sz w:val="22"/>
          <w:szCs w:val="22"/>
        </w:rPr>
        <w:t>The source array will not be activated directly over EARPL’s pipelines and the sound volume will be reduced in close proximity to pipelines to avoid exceeding maximum PPV levels over pipelines in accordance with the Code of practice for noise and vibration control on construction and open sites (BS 5228-2:2009+A1:2014).</w:t>
      </w:r>
    </w:p>
    <w:p w14:paraId="5D3CD20D" w14:textId="5C86BBFD" w:rsidR="008D48E4" w:rsidRPr="008D48E4" w:rsidRDefault="008D48E4" w:rsidP="008D48E4">
      <w:pPr>
        <w:pStyle w:val="ListParagraph0"/>
        <w:numPr>
          <w:ilvl w:val="0"/>
          <w:numId w:val="196"/>
        </w:numPr>
        <w:rPr>
          <w:rFonts w:cs="Arial"/>
          <w:sz w:val="22"/>
          <w:szCs w:val="22"/>
        </w:rPr>
      </w:pPr>
      <w:r w:rsidRPr="008D48E4">
        <w:rPr>
          <w:rFonts w:cs="Arial"/>
          <w:sz w:val="22"/>
          <w:szCs w:val="22"/>
        </w:rPr>
        <w:t>CarbonNet will ensure that the survey contractor has the subsea pipelines marked in the vessels’ navigation displays that enables decisions to be made regarding real-time access over the pipelines (with regard to tides, freeboard and survey streamer positioning within the water column).</w:t>
      </w:r>
    </w:p>
    <w:p w14:paraId="547B9C50" w14:textId="1D2195E1" w:rsidR="008D48E4" w:rsidRPr="008D48E4" w:rsidRDefault="008D48E4" w:rsidP="008D48E4">
      <w:pPr>
        <w:pStyle w:val="ListParagraph0"/>
        <w:numPr>
          <w:ilvl w:val="0"/>
          <w:numId w:val="196"/>
        </w:numPr>
        <w:rPr>
          <w:rFonts w:cs="Arial"/>
          <w:sz w:val="22"/>
          <w:szCs w:val="22"/>
        </w:rPr>
      </w:pPr>
      <w:r w:rsidRPr="008D48E4">
        <w:rPr>
          <w:rFonts w:cs="Arial"/>
          <w:sz w:val="22"/>
          <w:szCs w:val="22"/>
        </w:rPr>
        <w:t>The survey contractor will track tide movements and predictions using the BoM (Victorian Tide Charts) predictions for the Barracouta platform (and other sources as relevant) that enables real-time decisions to be made regarding working within the shallower parts of the acquisition area.</w:t>
      </w:r>
    </w:p>
    <w:p w14:paraId="286C10BE" w14:textId="7E5707A8" w:rsidR="008D48E4" w:rsidRPr="008D48E4" w:rsidRDefault="008D48E4" w:rsidP="008D48E4">
      <w:pPr>
        <w:pStyle w:val="ListParagraph0"/>
        <w:numPr>
          <w:ilvl w:val="0"/>
          <w:numId w:val="196"/>
        </w:numPr>
        <w:rPr>
          <w:rFonts w:cs="Arial"/>
          <w:sz w:val="22"/>
          <w:szCs w:val="22"/>
        </w:rPr>
      </w:pPr>
      <w:r w:rsidRPr="008D48E4">
        <w:rPr>
          <w:rFonts w:cs="Arial"/>
          <w:sz w:val="22"/>
          <w:szCs w:val="22"/>
        </w:rPr>
        <w:t>CarbonNet and EARPL will undertake a joint SIMOPs workshop prior to the survey commencing to ensure that all hazards to both parties are understood and communicated between the parties.</w:t>
      </w:r>
    </w:p>
    <w:p w14:paraId="6BCDB8E8" w14:textId="41C83EFD" w:rsidR="008D48E4" w:rsidRPr="008D48E4" w:rsidRDefault="008D48E4" w:rsidP="008D48E4">
      <w:pPr>
        <w:pStyle w:val="ListParagraph0"/>
        <w:numPr>
          <w:ilvl w:val="0"/>
          <w:numId w:val="196"/>
        </w:numPr>
        <w:rPr>
          <w:rFonts w:cs="Arial"/>
          <w:sz w:val="22"/>
          <w:szCs w:val="22"/>
        </w:rPr>
      </w:pPr>
      <w:r w:rsidRPr="008D48E4">
        <w:rPr>
          <w:rFonts w:cs="Arial"/>
          <w:sz w:val="22"/>
          <w:szCs w:val="22"/>
        </w:rPr>
        <w:t>CarbonNet will advise EARPL of the survey commencement date and maintain ongoing communications during survey operations.</w:t>
      </w:r>
    </w:p>
    <w:p w14:paraId="4E3B864E" w14:textId="785F66B1" w:rsidR="008D48E4" w:rsidRPr="008D48E4" w:rsidRDefault="008D48E4" w:rsidP="008D48E4">
      <w:pPr>
        <w:pStyle w:val="ListParagraph0"/>
        <w:numPr>
          <w:ilvl w:val="0"/>
          <w:numId w:val="196"/>
        </w:numPr>
        <w:rPr>
          <w:rFonts w:cs="Arial"/>
          <w:sz w:val="22"/>
          <w:szCs w:val="22"/>
        </w:rPr>
      </w:pPr>
      <w:r w:rsidRPr="008D48E4">
        <w:rPr>
          <w:rFonts w:cs="Arial"/>
          <w:sz w:val="22"/>
          <w:szCs w:val="22"/>
        </w:rPr>
        <w:t>The CarbonNet Project Director, or delegate, reports damage to EARPL as soon as possible after becoming aware of an incident of pipeline damage.</w:t>
      </w:r>
    </w:p>
    <w:p w14:paraId="5C9C3913" w14:textId="61D4B074" w:rsidR="008D48E4" w:rsidRPr="008D48E4" w:rsidRDefault="008D48E4" w:rsidP="008D48E4">
      <w:pPr>
        <w:pStyle w:val="ListParagraph0"/>
        <w:numPr>
          <w:ilvl w:val="0"/>
          <w:numId w:val="196"/>
        </w:numPr>
        <w:spacing w:after="240"/>
        <w:rPr>
          <w:rFonts w:cs="Arial"/>
          <w:sz w:val="22"/>
          <w:szCs w:val="22"/>
        </w:rPr>
      </w:pPr>
      <w:r w:rsidRPr="008D48E4">
        <w:rPr>
          <w:rFonts w:cs="Arial"/>
          <w:sz w:val="22"/>
          <w:szCs w:val="22"/>
        </w:rPr>
        <w:t>The CarbonNet Project Director, or delegate, reports damage to NOPSEMA and ERR within 2 hours of becoming aware of the incident.</w:t>
      </w:r>
    </w:p>
    <w:p w14:paraId="3DFA25AA" w14:textId="3555270D" w:rsidR="008D48E4" w:rsidRPr="00B6448F" w:rsidRDefault="008D48E4" w:rsidP="008D48E4">
      <w:pPr>
        <w:pStyle w:val="bodycopy"/>
        <w:spacing w:after="240"/>
        <w:rPr>
          <w:rFonts w:ascii="Arial" w:hAnsi="Arial"/>
          <w:sz w:val="22"/>
          <w:szCs w:val="22"/>
        </w:rPr>
      </w:pPr>
      <w:r w:rsidRPr="007E5862">
        <w:rPr>
          <w:rFonts w:ascii="Arial" w:hAnsi="Arial"/>
          <w:sz w:val="22"/>
          <w:szCs w:val="22"/>
        </w:rPr>
        <w:t>Table 7.4</w:t>
      </w:r>
      <w:r w:rsidR="007E5862" w:rsidRPr="007E5862">
        <w:rPr>
          <w:rFonts w:ascii="Arial" w:hAnsi="Arial"/>
          <w:sz w:val="22"/>
          <w:szCs w:val="22"/>
        </w:rPr>
        <w:t>1</w:t>
      </w:r>
      <w:r w:rsidRPr="00E968F3">
        <w:rPr>
          <w:rFonts w:ascii="Arial" w:hAnsi="Arial"/>
          <w:color w:val="FF0000"/>
          <w:sz w:val="22"/>
          <w:szCs w:val="22"/>
        </w:rPr>
        <w:t xml:space="preserve"> </w:t>
      </w:r>
      <w:r w:rsidRPr="006F65F9">
        <w:rPr>
          <w:rFonts w:ascii="Arial" w:hAnsi="Arial"/>
          <w:sz w:val="22"/>
          <w:szCs w:val="22"/>
        </w:rPr>
        <w:t xml:space="preserve">presents the </w:t>
      </w:r>
      <w:r w:rsidR="007E5862">
        <w:rPr>
          <w:rFonts w:ascii="Arial" w:hAnsi="Arial"/>
          <w:sz w:val="22"/>
          <w:szCs w:val="22"/>
        </w:rPr>
        <w:t xml:space="preserve">residual </w:t>
      </w:r>
      <w:r w:rsidRPr="006F65F9">
        <w:rPr>
          <w:rFonts w:ascii="Arial" w:hAnsi="Arial"/>
          <w:sz w:val="22"/>
          <w:szCs w:val="22"/>
        </w:rPr>
        <w:t xml:space="preserve">risk assessment for </w:t>
      </w:r>
      <w:r>
        <w:rPr>
          <w:rFonts w:ascii="Arial" w:hAnsi="Arial"/>
          <w:sz w:val="22"/>
          <w:szCs w:val="22"/>
        </w:rPr>
        <w:t>damage to marine</w:t>
      </w:r>
      <w:r w:rsidR="007E5862">
        <w:rPr>
          <w:rFonts w:ascii="Arial" w:hAnsi="Arial"/>
          <w:sz w:val="22"/>
          <w:szCs w:val="22"/>
        </w:rPr>
        <w:t xml:space="preserve"> </w:t>
      </w:r>
      <w:r>
        <w:rPr>
          <w:rFonts w:ascii="Arial" w:hAnsi="Arial"/>
          <w:sz w:val="22"/>
          <w:szCs w:val="22"/>
        </w:rPr>
        <w:t>infrastructure</w:t>
      </w:r>
      <w:r w:rsidRPr="009D44AB">
        <w:rPr>
          <w:rFonts w:ascii="Arial" w:hAnsi="Arial"/>
          <w:sz w:val="22"/>
          <w:szCs w:val="22"/>
        </w:rPr>
        <w:t xml:space="preserve">. </w:t>
      </w:r>
    </w:p>
    <w:p w14:paraId="4083C86B" w14:textId="1EC7F5C4" w:rsidR="008D48E4" w:rsidRPr="00D157DF" w:rsidRDefault="008D48E4" w:rsidP="008D48E4">
      <w:pPr>
        <w:pStyle w:val="CaptionTables"/>
        <w:jc w:val="center"/>
        <w:rPr>
          <w:rFonts w:eastAsia="Times New Roman" w:cs="Arial"/>
          <w:bCs w:val="0"/>
          <w:color w:val="auto"/>
          <w:sz w:val="20"/>
          <w:lang w:eastAsia="en-AU"/>
        </w:rPr>
      </w:pPr>
      <w:r w:rsidRPr="00D157DF">
        <w:rPr>
          <w:rFonts w:eastAsia="Times New Roman" w:cs="Arial"/>
          <w:bCs w:val="0"/>
          <w:color w:val="auto"/>
          <w:sz w:val="20"/>
          <w:lang w:eastAsia="en-AU"/>
        </w:rPr>
        <w:t xml:space="preserve">Table </w:t>
      </w:r>
      <w:r>
        <w:rPr>
          <w:rFonts w:eastAsia="Times New Roman" w:cs="Arial"/>
          <w:bCs w:val="0"/>
          <w:color w:val="auto"/>
          <w:sz w:val="20"/>
          <w:lang w:eastAsia="en-AU"/>
        </w:rPr>
        <w:t>7.4</w:t>
      </w:r>
      <w:r w:rsidR="007E5862">
        <w:rPr>
          <w:rFonts w:eastAsia="Times New Roman" w:cs="Arial"/>
          <w:bCs w:val="0"/>
          <w:color w:val="auto"/>
          <w:sz w:val="20"/>
          <w:lang w:eastAsia="en-AU"/>
        </w:rPr>
        <w:t>1</w:t>
      </w:r>
      <w:r w:rsidRPr="00D157DF">
        <w:rPr>
          <w:rFonts w:eastAsia="Times New Roman" w:cs="Arial"/>
          <w:bCs w:val="0"/>
          <w:color w:val="auto"/>
          <w:sz w:val="20"/>
          <w:lang w:eastAsia="en-AU"/>
        </w:rPr>
        <w:t>.</w:t>
      </w:r>
      <w:r w:rsidRPr="00D157DF">
        <w:rPr>
          <w:rFonts w:eastAsia="Times New Roman" w:cs="Arial"/>
          <w:bCs w:val="0"/>
          <w:color w:val="auto"/>
          <w:sz w:val="20"/>
          <w:lang w:eastAsia="en-AU"/>
        </w:rPr>
        <w:tab/>
      </w:r>
      <w:r w:rsidR="007E5862">
        <w:rPr>
          <w:rFonts w:eastAsia="Times New Roman" w:cs="Arial"/>
          <w:bCs w:val="0"/>
          <w:color w:val="auto"/>
          <w:sz w:val="20"/>
          <w:lang w:eastAsia="en-AU"/>
        </w:rPr>
        <w:t>Residual r</w:t>
      </w:r>
      <w:r w:rsidRPr="00D157DF">
        <w:rPr>
          <w:rFonts w:eastAsia="Times New Roman" w:cs="Arial"/>
          <w:bCs w:val="0"/>
          <w:color w:val="auto"/>
          <w:sz w:val="20"/>
          <w:lang w:eastAsia="en-AU"/>
        </w:rPr>
        <w:t xml:space="preserve">isk assessment for </w:t>
      </w:r>
      <w:r w:rsidRPr="009D44AB">
        <w:rPr>
          <w:sz w:val="20"/>
        </w:rPr>
        <w:t xml:space="preserve">the </w:t>
      </w:r>
      <w:r w:rsidRPr="009D44AB">
        <w:rPr>
          <w:rFonts w:cs="Arial"/>
          <w:sz w:val="20"/>
        </w:rPr>
        <w:t xml:space="preserve">risk of </w:t>
      </w:r>
      <w:r>
        <w:rPr>
          <w:rFonts w:cs="Arial"/>
          <w:sz w:val="20"/>
        </w:rPr>
        <w:t>damage to marine infrastructure</w:t>
      </w:r>
    </w:p>
    <w:tbl>
      <w:tblPr>
        <w:tblW w:w="8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1985"/>
        <w:gridCol w:w="2126"/>
        <w:gridCol w:w="2019"/>
      </w:tblGrid>
      <w:tr w:rsidR="008D48E4" w:rsidRPr="00D157DF" w14:paraId="1009F80A" w14:textId="77777777" w:rsidTr="00B972E5">
        <w:trPr>
          <w:cantSplit/>
        </w:trPr>
        <w:tc>
          <w:tcPr>
            <w:tcW w:w="2376" w:type="dxa"/>
            <w:tcBorders>
              <w:top w:val="nil"/>
              <w:left w:val="nil"/>
            </w:tcBorders>
            <w:shd w:val="clear" w:color="auto" w:fill="auto"/>
          </w:tcPr>
          <w:p w14:paraId="68A694ED" w14:textId="77777777" w:rsidR="008D48E4" w:rsidRPr="00D157DF" w:rsidRDefault="008D48E4" w:rsidP="00D611A8">
            <w:pPr>
              <w:pStyle w:val="TableText"/>
              <w:spacing w:before="60" w:after="60" w:line="240" w:lineRule="auto"/>
              <w:jc w:val="center"/>
              <w:rPr>
                <w:rFonts w:cs="Arial"/>
                <w:sz w:val="20"/>
                <w:szCs w:val="20"/>
              </w:rPr>
            </w:pPr>
          </w:p>
        </w:tc>
        <w:tc>
          <w:tcPr>
            <w:tcW w:w="1985" w:type="dxa"/>
            <w:shd w:val="clear" w:color="auto" w:fill="064EA8"/>
          </w:tcPr>
          <w:p w14:paraId="59AC466D" w14:textId="77777777" w:rsidR="008D48E4" w:rsidRPr="00B972E5" w:rsidRDefault="008D48E4" w:rsidP="00891DE1">
            <w:pPr>
              <w:pStyle w:val="TableText"/>
              <w:spacing w:before="60" w:after="60" w:line="240" w:lineRule="auto"/>
              <w:jc w:val="center"/>
              <w:rPr>
                <w:rFonts w:cs="Arial"/>
                <w:color w:val="FFFFFF" w:themeColor="background1"/>
                <w:sz w:val="20"/>
                <w:szCs w:val="20"/>
              </w:rPr>
            </w:pPr>
            <w:r w:rsidRPr="00B972E5">
              <w:rPr>
                <w:rFonts w:cs="Arial"/>
                <w:color w:val="FFFFFF" w:themeColor="background1"/>
                <w:sz w:val="20"/>
                <w:szCs w:val="20"/>
              </w:rPr>
              <w:t>Likelihood</w:t>
            </w:r>
          </w:p>
        </w:tc>
        <w:tc>
          <w:tcPr>
            <w:tcW w:w="2126" w:type="dxa"/>
            <w:shd w:val="clear" w:color="auto" w:fill="064EA8"/>
          </w:tcPr>
          <w:p w14:paraId="4116A6E1" w14:textId="77777777" w:rsidR="008D48E4" w:rsidRPr="00B972E5" w:rsidRDefault="008D48E4" w:rsidP="00891DE1">
            <w:pPr>
              <w:pStyle w:val="TableText"/>
              <w:spacing w:before="60" w:after="60" w:line="240" w:lineRule="auto"/>
              <w:jc w:val="center"/>
              <w:rPr>
                <w:rFonts w:cs="Arial"/>
                <w:color w:val="FFFFFF" w:themeColor="background1"/>
                <w:sz w:val="20"/>
                <w:szCs w:val="20"/>
              </w:rPr>
            </w:pPr>
            <w:r w:rsidRPr="00B972E5">
              <w:rPr>
                <w:rFonts w:cs="Arial"/>
                <w:color w:val="FFFFFF" w:themeColor="background1"/>
                <w:sz w:val="20"/>
                <w:szCs w:val="20"/>
              </w:rPr>
              <w:t>Consequence</w:t>
            </w:r>
          </w:p>
        </w:tc>
        <w:tc>
          <w:tcPr>
            <w:tcW w:w="2019" w:type="dxa"/>
            <w:shd w:val="clear" w:color="auto" w:fill="064EA8"/>
          </w:tcPr>
          <w:p w14:paraId="1D0CD311" w14:textId="77777777" w:rsidR="008D48E4" w:rsidRPr="00B972E5" w:rsidRDefault="008D48E4" w:rsidP="00891DE1">
            <w:pPr>
              <w:pStyle w:val="TableText"/>
              <w:spacing w:before="60" w:after="60" w:line="240" w:lineRule="auto"/>
              <w:jc w:val="center"/>
              <w:rPr>
                <w:rFonts w:cs="Arial"/>
                <w:color w:val="FFFFFF" w:themeColor="background1"/>
                <w:sz w:val="20"/>
                <w:szCs w:val="20"/>
              </w:rPr>
            </w:pPr>
            <w:r w:rsidRPr="00B972E5">
              <w:rPr>
                <w:rFonts w:cs="Arial"/>
                <w:color w:val="FFFFFF" w:themeColor="background1"/>
                <w:sz w:val="20"/>
                <w:szCs w:val="20"/>
              </w:rPr>
              <w:t>Risk rating</w:t>
            </w:r>
          </w:p>
        </w:tc>
      </w:tr>
      <w:tr w:rsidR="008D48E4" w:rsidRPr="00D157DF" w14:paraId="34625171" w14:textId="77777777" w:rsidTr="00B972E5">
        <w:trPr>
          <w:cantSplit/>
        </w:trPr>
        <w:tc>
          <w:tcPr>
            <w:tcW w:w="2376" w:type="dxa"/>
            <w:shd w:val="clear" w:color="auto" w:fill="D9D9D9"/>
          </w:tcPr>
          <w:p w14:paraId="0186D02C" w14:textId="0C424EEB" w:rsidR="008D48E4" w:rsidRDefault="007E5862" w:rsidP="00D611A8">
            <w:pPr>
              <w:pStyle w:val="TableText"/>
              <w:spacing w:before="60" w:after="60" w:line="240" w:lineRule="auto"/>
              <w:rPr>
                <w:rFonts w:cs="Arial"/>
                <w:sz w:val="20"/>
                <w:szCs w:val="20"/>
              </w:rPr>
            </w:pPr>
            <w:r>
              <w:rPr>
                <w:rFonts w:cs="Arial"/>
                <w:sz w:val="20"/>
                <w:szCs w:val="20"/>
              </w:rPr>
              <w:t>D</w:t>
            </w:r>
            <w:r w:rsidR="008D48E4">
              <w:rPr>
                <w:rFonts w:cs="Arial"/>
                <w:sz w:val="20"/>
                <w:szCs w:val="20"/>
              </w:rPr>
              <w:t>amage to pipelines</w:t>
            </w:r>
          </w:p>
        </w:tc>
        <w:tc>
          <w:tcPr>
            <w:tcW w:w="1985" w:type="dxa"/>
            <w:shd w:val="clear" w:color="auto" w:fill="auto"/>
          </w:tcPr>
          <w:p w14:paraId="2BECE188" w14:textId="77777777" w:rsidR="008D48E4" w:rsidRDefault="008D48E4" w:rsidP="00D611A8">
            <w:pPr>
              <w:pStyle w:val="TableText"/>
              <w:spacing w:before="60" w:after="60" w:line="240" w:lineRule="auto"/>
              <w:jc w:val="center"/>
              <w:rPr>
                <w:rFonts w:cs="Arial"/>
                <w:sz w:val="20"/>
                <w:szCs w:val="20"/>
              </w:rPr>
            </w:pPr>
            <w:r>
              <w:rPr>
                <w:rFonts w:cs="Arial"/>
                <w:sz w:val="20"/>
                <w:szCs w:val="20"/>
              </w:rPr>
              <w:t>Rare</w:t>
            </w:r>
          </w:p>
        </w:tc>
        <w:tc>
          <w:tcPr>
            <w:tcW w:w="2126" w:type="dxa"/>
            <w:shd w:val="clear" w:color="auto" w:fill="auto"/>
          </w:tcPr>
          <w:p w14:paraId="3994E511" w14:textId="62A7FF84" w:rsidR="008D48E4" w:rsidRDefault="008D48E4" w:rsidP="00D611A8">
            <w:pPr>
              <w:pStyle w:val="TableText"/>
              <w:spacing w:before="60" w:after="60" w:line="240" w:lineRule="auto"/>
              <w:jc w:val="center"/>
              <w:rPr>
                <w:rFonts w:cs="Arial"/>
                <w:sz w:val="20"/>
                <w:szCs w:val="20"/>
              </w:rPr>
            </w:pPr>
            <w:r>
              <w:rPr>
                <w:rFonts w:cs="Arial"/>
                <w:sz w:val="20"/>
                <w:szCs w:val="20"/>
              </w:rPr>
              <w:t>Major</w:t>
            </w:r>
          </w:p>
        </w:tc>
        <w:tc>
          <w:tcPr>
            <w:tcW w:w="2019" w:type="dxa"/>
            <w:shd w:val="clear" w:color="auto" w:fill="73FB79"/>
          </w:tcPr>
          <w:p w14:paraId="2024872B" w14:textId="77777777" w:rsidR="008D48E4" w:rsidRDefault="008D48E4" w:rsidP="00D611A8">
            <w:pPr>
              <w:pStyle w:val="TableText"/>
              <w:spacing w:before="60" w:after="60" w:line="240" w:lineRule="auto"/>
              <w:jc w:val="center"/>
              <w:rPr>
                <w:rFonts w:cs="Arial"/>
                <w:sz w:val="20"/>
                <w:szCs w:val="20"/>
              </w:rPr>
            </w:pPr>
            <w:r>
              <w:rPr>
                <w:rFonts w:cs="Arial"/>
                <w:sz w:val="20"/>
                <w:szCs w:val="20"/>
              </w:rPr>
              <w:t>Low</w:t>
            </w:r>
          </w:p>
        </w:tc>
      </w:tr>
      <w:tr w:rsidR="008D48E4" w:rsidRPr="00D157DF" w14:paraId="5B552584" w14:textId="77777777" w:rsidTr="00B972E5">
        <w:trPr>
          <w:cantSplit/>
        </w:trPr>
        <w:tc>
          <w:tcPr>
            <w:tcW w:w="2376" w:type="dxa"/>
            <w:shd w:val="clear" w:color="auto" w:fill="D9D9D9"/>
          </w:tcPr>
          <w:p w14:paraId="3ADB2734" w14:textId="6370B953" w:rsidR="008D48E4" w:rsidRDefault="007E5862" w:rsidP="00D611A8">
            <w:pPr>
              <w:pStyle w:val="TableText"/>
              <w:spacing w:before="60" w:after="60" w:line="240" w:lineRule="auto"/>
              <w:rPr>
                <w:rFonts w:cs="Arial"/>
                <w:sz w:val="20"/>
                <w:szCs w:val="20"/>
              </w:rPr>
            </w:pPr>
            <w:r>
              <w:rPr>
                <w:rFonts w:cs="Arial"/>
                <w:sz w:val="20"/>
                <w:szCs w:val="20"/>
              </w:rPr>
              <w:t>D</w:t>
            </w:r>
            <w:r w:rsidR="008D48E4">
              <w:rPr>
                <w:rFonts w:cs="Arial"/>
                <w:sz w:val="20"/>
                <w:szCs w:val="20"/>
              </w:rPr>
              <w:t>amage to vessels</w:t>
            </w:r>
          </w:p>
        </w:tc>
        <w:tc>
          <w:tcPr>
            <w:tcW w:w="1985" w:type="dxa"/>
            <w:shd w:val="clear" w:color="auto" w:fill="auto"/>
          </w:tcPr>
          <w:p w14:paraId="047BD6DA" w14:textId="77777777" w:rsidR="008D48E4" w:rsidRDefault="008D48E4" w:rsidP="00D611A8">
            <w:pPr>
              <w:pStyle w:val="TableText"/>
              <w:spacing w:before="60" w:after="60" w:line="240" w:lineRule="auto"/>
              <w:jc w:val="center"/>
              <w:rPr>
                <w:rFonts w:cs="Arial"/>
                <w:sz w:val="20"/>
                <w:szCs w:val="20"/>
              </w:rPr>
            </w:pPr>
            <w:r>
              <w:rPr>
                <w:rFonts w:cs="Arial"/>
                <w:sz w:val="20"/>
                <w:szCs w:val="20"/>
              </w:rPr>
              <w:t>Rare</w:t>
            </w:r>
          </w:p>
        </w:tc>
        <w:tc>
          <w:tcPr>
            <w:tcW w:w="2126" w:type="dxa"/>
            <w:shd w:val="clear" w:color="auto" w:fill="auto"/>
          </w:tcPr>
          <w:p w14:paraId="1DEE1E52" w14:textId="77777777" w:rsidR="008D48E4" w:rsidRDefault="008D48E4" w:rsidP="00D611A8">
            <w:pPr>
              <w:pStyle w:val="TableText"/>
              <w:spacing w:before="60" w:after="60" w:line="240" w:lineRule="auto"/>
              <w:jc w:val="center"/>
              <w:rPr>
                <w:rFonts w:cs="Arial"/>
                <w:sz w:val="20"/>
                <w:szCs w:val="20"/>
              </w:rPr>
            </w:pPr>
            <w:r>
              <w:rPr>
                <w:rFonts w:cs="Arial"/>
                <w:sz w:val="20"/>
                <w:szCs w:val="20"/>
              </w:rPr>
              <w:t>Moderate</w:t>
            </w:r>
          </w:p>
        </w:tc>
        <w:tc>
          <w:tcPr>
            <w:tcW w:w="2019" w:type="dxa"/>
            <w:shd w:val="clear" w:color="auto" w:fill="73FB79"/>
          </w:tcPr>
          <w:p w14:paraId="530E014F" w14:textId="77777777" w:rsidR="008D48E4" w:rsidRDefault="008D48E4" w:rsidP="00D611A8">
            <w:pPr>
              <w:pStyle w:val="TableText"/>
              <w:spacing w:before="60" w:after="60" w:line="240" w:lineRule="auto"/>
              <w:jc w:val="center"/>
              <w:rPr>
                <w:rFonts w:cs="Arial"/>
                <w:sz w:val="20"/>
                <w:szCs w:val="20"/>
              </w:rPr>
            </w:pPr>
            <w:r>
              <w:rPr>
                <w:rFonts w:cs="Arial"/>
                <w:sz w:val="20"/>
                <w:szCs w:val="20"/>
              </w:rPr>
              <w:t>Low</w:t>
            </w:r>
          </w:p>
        </w:tc>
      </w:tr>
    </w:tbl>
    <w:p w14:paraId="54CB2303" w14:textId="77777777" w:rsidR="008D48E4" w:rsidRDefault="008D48E4" w:rsidP="00AC364D">
      <w:pPr>
        <w:pStyle w:val="bodycopy"/>
        <w:spacing w:after="240"/>
        <w:rPr>
          <w:rFonts w:ascii="Arial" w:hAnsi="Arial"/>
          <w:sz w:val="22"/>
          <w:szCs w:val="22"/>
        </w:rPr>
      </w:pPr>
    </w:p>
    <w:p w14:paraId="559F1E75" w14:textId="0686338B" w:rsidR="00863A83" w:rsidRPr="00B03966" w:rsidRDefault="00912C73" w:rsidP="00B03966">
      <w:pPr>
        <w:pStyle w:val="Heading2"/>
        <w:keepLines/>
        <w:numPr>
          <w:ilvl w:val="1"/>
          <w:numId w:val="1"/>
        </w:numPr>
        <w:tabs>
          <w:tab w:val="clear" w:pos="720"/>
        </w:tabs>
        <w:spacing w:before="400" w:after="200" w:line="240" w:lineRule="auto"/>
        <w:ind w:left="709" w:hanging="709"/>
        <w:rPr>
          <w:rFonts w:cs="Times New Roman"/>
          <w:iCs w:val="0"/>
          <w:color w:val="064EA8"/>
          <w:szCs w:val="26"/>
          <w:lang w:eastAsia="en-US"/>
        </w:rPr>
      </w:pPr>
      <w:bookmarkStart w:id="1236" w:name="_Toc501313233"/>
      <w:bookmarkStart w:id="1237" w:name="_Toc320190775"/>
      <w:bookmarkStart w:id="1238" w:name="_Toc375214666"/>
      <w:bookmarkEnd w:id="1236"/>
      <w:r w:rsidRPr="00B03966">
        <w:rPr>
          <w:rFonts w:cs="Times New Roman"/>
          <w:iCs w:val="0"/>
          <w:color w:val="064EA8"/>
          <w:szCs w:val="26"/>
          <w:lang w:eastAsia="en-US"/>
        </w:rPr>
        <w:lastRenderedPageBreak/>
        <w:t xml:space="preserve">RISK: </w:t>
      </w:r>
      <w:r w:rsidR="00863A83" w:rsidRPr="00B03966">
        <w:rPr>
          <w:rFonts w:cs="Times New Roman"/>
          <w:iCs w:val="0"/>
          <w:color w:val="064EA8"/>
          <w:szCs w:val="26"/>
          <w:lang w:eastAsia="en-US"/>
        </w:rPr>
        <w:t xml:space="preserve">Vessel Strike or Entanglement with </w:t>
      </w:r>
      <w:bookmarkEnd w:id="1237"/>
      <w:r w:rsidR="009F13D9" w:rsidRPr="00B03966">
        <w:rPr>
          <w:rFonts w:cs="Times New Roman"/>
          <w:iCs w:val="0"/>
          <w:color w:val="064EA8"/>
          <w:szCs w:val="26"/>
          <w:lang w:eastAsia="en-US"/>
        </w:rPr>
        <w:t>Megafauna</w:t>
      </w:r>
      <w:bookmarkEnd w:id="1238"/>
      <w:r w:rsidR="00F7259E" w:rsidRPr="00B03966">
        <w:rPr>
          <w:rFonts w:cs="Times New Roman"/>
          <w:iCs w:val="0"/>
          <w:color w:val="064EA8"/>
          <w:szCs w:val="26"/>
          <w:lang w:eastAsia="en-US"/>
        </w:rPr>
        <w:t xml:space="preserve"> </w:t>
      </w:r>
    </w:p>
    <w:p w14:paraId="0DDAFD19" w14:textId="77777777" w:rsidR="00863A83" w:rsidRDefault="00863A83" w:rsidP="002D6649">
      <w:pPr>
        <w:pStyle w:val="Heading3"/>
      </w:pPr>
      <w:bookmarkStart w:id="1239" w:name="_Toc477947945"/>
      <w:bookmarkStart w:id="1240" w:name="_Toc479764147"/>
      <w:bookmarkStart w:id="1241" w:name="_Toc375214667"/>
      <w:r>
        <w:t>Hazard</w:t>
      </w:r>
      <w:bookmarkEnd w:id="1239"/>
      <w:bookmarkEnd w:id="1240"/>
      <w:bookmarkEnd w:id="1241"/>
    </w:p>
    <w:p w14:paraId="252C715D" w14:textId="14C492F9" w:rsidR="00863A83" w:rsidRPr="00020CB9" w:rsidRDefault="009F13D9" w:rsidP="001348A2">
      <w:pPr>
        <w:ind w:left="0"/>
        <w:rPr>
          <w:rFonts w:cs="Arial"/>
          <w:sz w:val="22"/>
          <w:szCs w:val="22"/>
        </w:rPr>
      </w:pPr>
      <w:r w:rsidRPr="00020CB9">
        <w:rPr>
          <w:rFonts w:cs="Arial"/>
          <w:sz w:val="22"/>
          <w:szCs w:val="22"/>
        </w:rPr>
        <w:t xml:space="preserve">The movement of </w:t>
      </w:r>
      <w:r w:rsidR="001348A2" w:rsidRPr="00020CB9">
        <w:rPr>
          <w:rFonts w:cs="Arial"/>
          <w:sz w:val="22"/>
          <w:szCs w:val="22"/>
        </w:rPr>
        <w:t xml:space="preserve">the </w:t>
      </w:r>
      <w:r w:rsidR="00657FFA">
        <w:rPr>
          <w:rFonts w:cs="Arial"/>
          <w:sz w:val="22"/>
          <w:szCs w:val="22"/>
        </w:rPr>
        <w:t>survey</w:t>
      </w:r>
      <w:r w:rsidR="001348A2" w:rsidRPr="00020CB9">
        <w:rPr>
          <w:rFonts w:cs="Arial"/>
          <w:sz w:val="22"/>
          <w:szCs w:val="22"/>
        </w:rPr>
        <w:t xml:space="preserve"> and support </w:t>
      </w:r>
      <w:r w:rsidRPr="00020CB9">
        <w:rPr>
          <w:rFonts w:cs="Arial"/>
          <w:sz w:val="22"/>
          <w:szCs w:val="22"/>
        </w:rPr>
        <w:t xml:space="preserve">vessels </w:t>
      </w:r>
      <w:r w:rsidR="001348A2" w:rsidRPr="00020CB9">
        <w:rPr>
          <w:rFonts w:cs="Arial"/>
          <w:sz w:val="22"/>
          <w:szCs w:val="22"/>
        </w:rPr>
        <w:t>throughout the operational area</w:t>
      </w:r>
      <w:r w:rsidR="00657FFA">
        <w:rPr>
          <w:rFonts w:cs="Arial"/>
          <w:sz w:val="22"/>
          <w:szCs w:val="22"/>
        </w:rPr>
        <w:t>,</w:t>
      </w:r>
      <w:r w:rsidR="001348A2" w:rsidRPr="00020CB9">
        <w:rPr>
          <w:rFonts w:cs="Arial"/>
          <w:sz w:val="22"/>
          <w:szCs w:val="22"/>
        </w:rPr>
        <w:t xml:space="preserve"> together with the presence of seismic streamers</w:t>
      </w:r>
      <w:r w:rsidR="00657FFA">
        <w:rPr>
          <w:rFonts w:cs="Arial"/>
          <w:sz w:val="22"/>
          <w:szCs w:val="22"/>
        </w:rPr>
        <w:t>,</w:t>
      </w:r>
      <w:r w:rsidR="001348A2" w:rsidRPr="00020CB9">
        <w:rPr>
          <w:rFonts w:cs="Arial"/>
          <w:sz w:val="22"/>
          <w:szCs w:val="22"/>
        </w:rPr>
        <w:t xml:space="preserve"> </w:t>
      </w:r>
      <w:r w:rsidRPr="00020CB9">
        <w:rPr>
          <w:rFonts w:cs="Arial"/>
          <w:sz w:val="22"/>
          <w:szCs w:val="22"/>
        </w:rPr>
        <w:t xml:space="preserve">has the potential to result in collision </w:t>
      </w:r>
      <w:r w:rsidR="0089527C" w:rsidRPr="00020CB9">
        <w:rPr>
          <w:rFonts w:cs="Arial"/>
          <w:sz w:val="22"/>
          <w:szCs w:val="22"/>
        </w:rPr>
        <w:t xml:space="preserve">or entanglement </w:t>
      </w:r>
      <w:r w:rsidRPr="00020CB9">
        <w:rPr>
          <w:rFonts w:cs="Arial"/>
          <w:sz w:val="22"/>
          <w:szCs w:val="22"/>
        </w:rPr>
        <w:t xml:space="preserve">with megafauna, this being cetaceans and pinnipeds. </w:t>
      </w:r>
    </w:p>
    <w:p w14:paraId="3505C8FD" w14:textId="7D263ABC" w:rsidR="00863A83" w:rsidRDefault="00863A83" w:rsidP="002D6649">
      <w:pPr>
        <w:pStyle w:val="Heading3"/>
      </w:pPr>
      <w:bookmarkStart w:id="1242" w:name="_Toc477947946"/>
      <w:bookmarkStart w:id="1243" w:name="_Toc479764148"/>
      <w:bookmarkStart w:id="1244" w:name="_Toc375214668"/>
      <w:r>
        <w:t xml:space="preserve">Potential Environmental </w:t>
      </w:r>
      <w:bookmarkEnd w:id="1242"/>
      <w:bookmarkEnd w:id="1243"/>
      <w:r w:rsidR="00106D4D">
        <w:t>Risks</w:t>
      </w:r>
      <w:bookmarkEnd w:id="1244"/>
    </w:p>
    <w:p w14:paraId="277BD233" w14:textId="2F879258" w:rsidR="001348A2" w:rsidRPr="00020CB9" w:rsidRDefault="009F13D9" w:rsidP="00106D4D">
      <w:pPr>
        <w:spacing w:after="120" w:line="240" w:lineRule="auto"/>
        <w:ind w:left="0"/>
        <w:rPr>
          <w:rFonts w:cs="Arial"/>
          <w:sz w:val="22"/>
          <w:szCs w:val="22"/>
        </w:rPr>
      </w:pPr>
      <w:r w:rsidRPr="00020CB9">
        <w:rPr>
          <w:rFonts w:cs="Arial"/>
          <w:sz w:val="22"/>
          <w:szCs w:val="22"/>
        </w:rPr>
        <w:t xml:space="preserve">The known and potential impacts of vessel strike </w:t>
      </w:r>
      <w:r w:rsidR="001348A2" w:rsidRPr="00020CB9">
        <w:rPr>
          <w:rFonts w:cs="Arial"/>
          <w:sz w:val="22"/>
          <w:szCs w:val="22"/>
        </w:rPr>
        <w:t xml:space="preserve">or </w:t>
      </w:r>
      <w:r w:rsidR="0089527C" w:rsidRPr="00020CB9">
        <w:rPr>
          <w:rFonts w:cs="Arial"/>
          <w:sz w:val="22"/>
          <w:szCs w:val="22"/>
        </w:rPr>
        <w:t>entanglement</w:t>
      </w:r>
      <w:r w:rsidR="001348A2" w:rsidRPr="00020CB9">
        <w:rPr>
          <w:rFonts w:cs="Arial"/>
          <w:sz w:val="22"/>
          <w:szCs w:val="22"/>
        </w:rPr>
        <w:t xml:space="preserve"> with towed streamers </w:t>
      </w:r>
      <w:r w:rsidRPr="00020CB9">
        <w:rPr>
          <w:rFonts w:cs="Arial"/>
          <w:sz w:val="22"/>
          <w:szCs w:val="22"/>
        </w:rPr>
        <w:t xml:space="preserve">to </w:t>
      </w:r>
      <w:r w:rsidR="000E5355">
        <w:rPr>
          <w:rFonts w:cs="Arial"/>
          <w:sz w:val="22"/>
          <w:szCs w:val="22"/>
        </w:rPr>
        <w:t>cetaceans and pinnipeds</w:t>
      </w:r>
      <w:r w:rsidRPr="00020CB9">
        <w:rPr>
          <w:rFonts w:cs="Arial"/>
          <w:sz w:val="22"/>
          <w:szCs w:val="22"/>
        </w:rPr>
        <w:t xml:space="preserve"> are: </w:t>
      </w:r>
    </w:p>
    <w:p w14:paraId="5B9501B2" w14:textId="77777777" w:rsidR="009F13D9" w:rsidRPr="00020CB9" w:rsidRDefault="009F13D9" w:rsidP="00567567">
      <w:pPr>
        <w:pStyle w:val="ListParagraph0"/>
        <w:numPr>
          <w:ilvl w:val="0"/>
          <w:numId w:val="173"/>
        </w:numPr>
        <w:rPr>
          <w:rFonts w:cs="Arial"/>
          <w:sz w:val="22"/>
          <w:szCs w:val="22"/>
        </w:rPr>
      </w:pPr>
      <w:r w:rsidRPr="00020CB9">
        <w:rPr>
          <w:rFonts w:cs="Arial"/>
          <w:sz w:val="22"/>
          <w:szCs w:val="22"/>
        </w:rPr>
        <w:t>Injury; and</w:t>
      </w:r>
    </w:p>
    <w:p w14:paraId="7E6EE1A0" w14:textId="27658AB2" w:rsidR="009F13D9" w:rsidRPr="00020CB9" w:rsidRDefault="009F13D9" w:rsidP="00567567">
      <w:pPr>
        <w:pStyle w:val="ListParagraph0"/>
        <w:numPr>
          <w:ilvl w:val="0"/>
          <w:numId w:val="173"/>
        </w:numPr>
        <w:rPr>
          <w:rFonts w:cs="Arial"/>
          <w:sz w:val="22"/>
          <w:szCs w:val="22"/>
        </w:rPr>
      </w:pPr>
      <w:r w:rsidRPr="00020CB9">
        <w:rPr>
          <w:rFonts w:cs="Arial"/>
          <w:sz w:val="22"/>
          <w:szCs w:val="22"/>
        </w:rPr>
        <w:t>Death.</w:t>
      </w:r>
    </w:p>
    <w:p w14:paraId="222EE866" w14:textId="0582DC99" w:rsidR="00863A83" w:rsidRDefault="00863A83" w:rsidP="002D6649">
      <w:pPr>
        <w:pStyle w:val="Heading3"/>
      </w:pPr>
      <w:bookmarkStart w:id="1245" w:name="_Toc477947947"/>
      <w:bookmarkStart w:id="1246" w:name="_Toc479764150"/>
      <w:bookmarkStart w:id="1247" w:name="_Toc375214669"/>
      <w:r>
        <w:t xml:space="preserve">Evaluation of Environmental </w:t>
      </w:r>
      <w:bookmarkEnd w:id="1245"/>
      <w:bookmarkEnd w:id="1246"/>
      <w:r w:rsidR="00106D4D">
        <w:t>Risks</w:t>
      </w:r>
      <w:bookmarkEnd w:id="1247"/>
    </w:p>
    <w:p w14:paraId="3F170515" w14:textId="58D0EF27" w:rsidR="001348A2" w:rsidRPr="00020CB9" w:rsidRDefault="001348A2" w:rsidP="001348A2">
      <w:pPr>
        <w:ind w:left="0"/>
        <w:rPr>
          <w:rFonts w:cs="Arial"/>
          <w:sz w:val="22"/>
          <w:szCs w:val="22"/>
        </w:rPr>
      </w:pPr>
      <w:r w:rsidRPr="00020CB9">
        <w:rPr>
          <w:rFonts w:cs="Arial"/>
          <w:sz w:val="22"/>
          <w:szCs w:val="22"/>
        </w:rPr>
        <w:t>Cetaceans and pinnipeds are naturally inquisitive marine mammals that are often attracted to offshore vessels, and dolphins commonly ‘bow ride’ with offshore vessels. The reaction of whales to the approach of a vessel is quite variable. Some species remain motionless wh</w:t>
      </w:r>
      <w:r w:rsidR="002301BC">
        <w:rPr>
          <w:rFonts w:cs="Arial"/>
          <w:sz w:val="22"/>
          <w:szCs w:val="22"/>
        </w:rPr>
        <w:t xml:space="preserve">en in the vicinity of a vessel </w:t>
      </w:r>
      <w:r w:rsidRPr="00020CB9">
        <w:rPr>
          <w:rFonts w:cs="Arial"/>
          <w:sz w:val="22"/>
          <w:szCs w:val="22"/>
        </w:rPr>
        <w:t xml:space="preserve">while others are known to be curious and often approach ships that have stopped or are slow moving, although they generally do not approach, and sometimes avoid, faster moving ships (Richardson </w:t>
      </w:r>
      <w:r w:rsidRPr="00657FFA">
        <w:rPr>
          <w:rFonts w:cs="Arial"/>
          <w:i/>
          <w:sz w:val="22"/>
          <w:szCs w:val="22"/>
        </w:rPr>
        <w:t>et al</w:t>
      </w:r>
      <w:r w:rsidRPr="00020CB9">
        <w:rPr>
          <w:rFonts w:cs="Arial"/>
          <w:sz w:val="22"/>
          <w:szCs w:val="22"/>
        </w:rPr>
        <w:t>., 1995).</w:t>
      </w:r>
    </w:p>
    <w:p w14:paraId="63384FAE" w14:textId="77777777" w:rsidR="001348A2" w:rsidRPr="00020CB9" w:rsidRDefault="001348A2" w:rsidP="001348A2">
      <w:pPr>
        <w:ind w:left="0"/>
        <w:rPr>
          <w:rFonts w:cs="Arial"/>
          <w:sz w:val="22"/>
          <w:szCs w:val="22"/>
        </w:rPr>
      </w:pPr>
    </w:p>
    <w:p w14:paraId="646095E2" w14:textId="62737FC3" w:rsidR="001348A2" w:rsidRPr="00020CB9" w:rsidRDefault="001348A2" w:rsidP="001348A2">
      <w:pPr>
        <w:ind w:left="0"/>
        <w:rPr>
          <w:rFonts w:cs="Arial"/>
          <w:sz w:val="22"/>
          <w:szCs w:val="22"/>
        </w:rPr>
      </w:pPr>
      <w:r w:rsidRPr="00020CB9">
        <w:rPr>
          <w:rFonts w:cs="Arial"/>
          <w:sz w:val="22"/>
          <w:szCs w:val="22"/>
        </w:rPr>
        <w:t xml:space="preserve">Collisions between vessels and cetaceans occur more frequently where high vessel traffic and cetacean habitat coincide (WDCS, 2006). There have been recorded instances of cetacean deaths in Australian waters (e.g., a Bryde’s whale in Bass Strait in 1992) (WDCS, 2006), though the data indicates this is more likely to be associated with container ships and fast ferries. </w:t>
      </w:r>
      <w:r w:rsidR="00A00404" w:rsidRPr="00020CB9">
        <w:rPr>
          <w:rFonts w:cs="Arial"/>
          <w:sz w:val="22"/>
          <w:szCs w:val="22"/>
        </w:rPr>
        <w:t>S</w:t>
      </w:r>
      <w:r w:rsidRPr="00020CB9">
        <w:rPr>
          <w:rFonts w:cs="Arial"/>
          <w:sz w:val="22"/>
          <w:szCs w:val="22"/>
        </w:rPr>
        <w:t>ome cetacean species, such as humpback whales, can detect and change course to avoid a vessel</w:t>
      </w:r>
      <w:r w:rsidR="00A00404" w:rsidRPr="00020CB9">
        <w:rPr>
          <w:rFonts w:cs="Arial"/>
          <w:sz w:val="22"/>
          <w:szCs w:val="22"/>
        </w:rPr>
        <w:t xml:space="preserve"> (WDCS, 2006)</w:t>
      </w:r>
      <w:r w:rsidRPr="00020CB9">
        <w:rPr>
          <w:rFonts w:cs="Arial"/>
          <w:sz w:val="22"/>
          <w:szCs w:val="22"/>
        </w:rPr>
        <w:t xml:space="preserve">. </w:t>
      </w:r>
    </w:p>
    <w:p w14:paraId="3DD21BB4" w14:textId="77777777" w:rsidR="001348A2" w:rsidRPr="00020CB9" w:rsidRDefault="001348A2" w:rsidP="001348A2">
      <w:pPr>
        <w:ind w:left="0"/>
        <w:rPr>
          <w:rFonts w:cs="Arial"/>
          <w:sz w:val="22"/>
          <w:szCs w:val="22"/>
        </w:rPr>
      </w:pPr>
    </w:p>
    <w:p w14:paraId="0D55E9DD" w14:textId="2725E177" w:rsidR="00C93DD3" w:rsidRPr="00020CB9" w:rsidRDefault="001348A2" w:rsidP="001348A2">
      <w:pPr>
        <w:ind w:left="0"/>
        <w:rPr>
          <w:rFonts w:cs="Arial"/>
          <w:sz w:val="22"/>
          <w:szCs w:val="22"/>
        </w:rPr>
      </w:pPr>
      <w:r w:rsidRPr="00020CB9">
        <w:rPr>
          <w:rFonts w:cs="Arial"/>
          <w:sz w:val="22"/>
          <w:szCs w:val="22"/>
        </w:rPr>
        <w:t>The DoE (2015</w:t>
      </w:r>
      <w:r w:rsidR="00971F65">
        <w:rPr>
          <w:rFonts w:cs="Arial"/>
          <w:sz w:val="22"/>
          <w:szCs w:val="22"/>
        </w:rPr>
        <w:t>b</w:t>
      </w:r>
      <w:r w:rsidRPr="00020CB9">
        <w:rPr>
          <w:rFonts w:cs="Arial"/>
          <w:sz w:val="22"/>
          <w:szCs w:val="22"/>
        </w:rPr>
        <w:t xml:space="preserve">) reports that there were two blue whale strandings in Victoria in the Bonney Upwelling with suspected ship strike injuries visible. When the vessels are stationary or slow moving, the risk of collision with cetaceans is extremely low, as the vessel sizes and underwater noise ‘footprint’ will alert cetaceans to its presence and thus illicit avoidance. Laist et al (2001) identifies that larger vessels moving in excess of 10 knots may cause fatal or severe injuries to cetaceans with the most severe injuries caused by vessels travelling faster than 14 knots. </w:t>
      </w:r>
    </w:p>
    <w:p w14:paraId="653B1C3C" w14:textId="77777777" w:rsidR="00366663" w:rsidRPr="00020CB9" w:rsidRDefault="00366663" w:rsidP="001348A2">
      <w:pPr>
        <w:ind w:left="0"/>
        <w:rPr>
          <w:rFonts w:cs="Arial"/>
          <w:sz w:val="22"/>
          <w:szCs w:val="22"/>
        </w:rPr>
      </w:pPr>
    </w:p>
    <w:p w14:paraId="7B5BE8C8" w14:textId="03F93875" w:rsidR="00A77CAF" w:rsidRPr="00020CB9" w:rsidRDefault="00366663" w:rsidP="001348A2">
      <w:pPr>
        <w:ind w:left="0"/>
        <w:rPr>
          <w:rFonts w:cs="Arial"/>
          <w:sz w:val="22"/>
          <w:szCs w:val="22"/>
        </w:rPr>
      </w:pPr>
      <w:r w:rsidRPr="00020CB9">
        <w:rPr>
          <w:rFonts w:cs="Arial"/>
          <w:sz w:val="22"/>
          <w:szCs w:val="22"/>
        </w:rPr>
        <w:t>The DSEWPC (2012</w:t>
      </w:r>
      <w:r w:rsidR="00971F65">
        <w:rPr>
          <w:rFonts w:cs="Arial"/>
          <w:sz w:val="22"/>
          <w:szCs w:val="22"/>
        </w:rPr>
        <w:t>b</w:t>
      </w:r>
      <w:r w:rsidRPr="00020CB9">
        <w:rPr>
          <w:rFonts w:cs="Arial"/>
          <w:sz w:val="22"/>
          <w:szCs w:val="22"/>
        </w:rPr>
        <w:t>) notes that entanglement in nets and lines to whales often cause physical damage to skin and blubber. These wounds can then expose the animal to infection. Entanglement can also result in amputation (e.g., of a flipper or tail fluke), and death over a prolonged period.</w:t>
      </w:r>
      <w:r w:rsidR="00A77CAF" w:rsidRPr="00020CB9">
        <w:rPr>
          <w:rFonts w:cs="Arial"/>
          <w:sz w:val="22"/>
          <w:szCs w:val="22"/>
        </w:rPr>
        <w:t xml:space="preserve"> </w:t>
      </w:r>
    </w:p>
    <w:p w14:paraId="0FFE3FAA" w14:textId="77777777" w:rsidR="00A77CAF" w:rsidRPr="00020CB9" w:rsidRDefault="00A77CAF" w:rsidP="001348A2">
      <w:pPr>
        <w:ind w:left="0"/>
        <w:rPr>
          <w:rFonts w:cs="Arial"/>
          <w:sz w:val="22"/>
          <w:szCs w:val="22"/>
        </w:rPr>
      </w:pPr>
    </w:p>
    <w:p w14:paraId="0960FDB0" w14:textId="10344F1F" w:rsidR="00126D72" w:rsidRPr="00020CB9" w:rsidRDefault="00A00404" w:rsidP="00C93DD3">
      <w:pPr>
        <w:ind w:left="0"/>
        <w:rPr>
          <w:rFonts w:cs="Arial"/>
          <w:sz w:val="22"/>
          <w:szCs w:val="22"/>
        </w:rPr>
      </w:pPr>
      <w:r w:rsidRPr="00020CB9">
        <w:rPr>
          <w:rFonts w:cs="Arial"/>
          <w:sz w:val="22"/>
          <w:szCs w:val="22"/>
        </w:rPr>
        <w:t xml:space="preserve">The </w:t>
      </w:r>
      <w:r w:rsidR="002301BC">
        <w:rPr>
          <w:rFonts w:cs="Arial"/>
          <w:sz w:val="22"/>
          <w:szCs w:val="22"/>
        </w:rPr>
        <w:t>survey</w:t>
      </w:r>
      <w:r w:rsidRPr="00020CB9">
        <w:rPr>
          <w:rFonts w:cs="Arial"/>
          <w:sz w:val="22"/>
          <w:szCs w:val="22"/>
        </w:rPr>
        <w:t xml:space="preserve"> v</w:t>
      </w:r>
      <w:r w:rsidR="001348A2" w:rsidRPr="00020CB9">
        <w:rPr>
          <w:rFonts w:cs="Arial"/>
          <w:sz w:val="22"/>
          <w:szCs w:val="22"/>
        </w:rPr>
        <w:t>essel</w:t>
      </w:r>
      <w:r w:rsidRPr="00020CB9">
        <w:rPr>
          <w:rFonts w:cs="Arial"/>
          <w:sz w:val="22"/>
          <w:szCs w:val="22"/>
        </w:rPr>
        <w:t xml:space="preserve"> will be travelling at a maximum of about 4.5 knots (8.3 km/hr) while acquiring seismic data (with the support vessels generally travelling at a similar speed or remaining stationary for long period</w:t>
      </w:r>
      <w:r w:rsidR="001348A2" w:rsidRPr="00020CB9">
        <w:rPr>
          <w:rFonts w:cs="Arial"/>
          <w:sz w:val="22"/>
          <w:szCs w:val="22"/>
        </w:rPr>
        <w:t>s</w:t>
      </w:r>
      <w:r w:rsidRPr="00020CB9">
        <w:rPr>
          <w:rFonts w:cs="Arial"/>
          <w:sz w:val="22"/>
          <w:szCs w:val="22"/>
        </w:rPr>
        <w:t>)</w:t>
      </w:r>
      <w:r w:rsidR="001348A2" w:rsidRPr="00020CB9">
        <w:rPr>
          <w:rFonts w:cs="Arial"/>
          <w:sz w:val="22"/>
          <w:szCs w:val="22"/>
        </w:rPr>
        <w:t xml:space="preserve">, thus minimising the risk of injury to </w:t>
      </w:r>
      <w:r w:rsidRPr="00020CB9">
        <w:rPr>
          <w:rFonts w:cs="Arial"/>
          <w:sz w:val="22"/>
          <w:szCs w:val="22"/>
        </w:rPr>
        <w:t>m</w:t>
      </w:r>
      <w:r w:rsidR="00296F10">
        <w:rPr>
          <w:rFonts w:cs="Arial"/>
          <w:sz w:val="22"/>
          <w:szCs w:val="22"/>
        </w:rPr>
        <w:t>e</w:t>
      </w:r>
      <w:r w:rsidRPr="00020CB9">
        <w:rPr>
          <w:rFonts w:cs="Arial"/>
          <w:sz w:val="22"/>
          <w:szCs w:val="22"/>
        </w:rPr>
        <w:t>gafauna</w:t>
      </w:r>
      <w:r w:rsidR="001348A2" w:rsidRPr="00020CB9">
        <w:rPr>
          <w:rFonts w:cs="Arial"/>
          <w:sz w:val="22"/>
          <w:szCs w:val="22"/>
        </w:rPr>
        <w:t>.</w:t>
      </w:r>
      <w:r w:rsidR="0089527C" w:rsidRPr="00020CB9">
        <w:rPr>
          <w:rFonts w:cs="Arial"/>
          <w:sz w:val="22"/>
          <w:szCs w:val="22"/>
        </w:rPr>
        <w:t xml:space="preserve"> Combined with the low likelihood of presence of southern right whales and humpback whales in and around the operational area during the proposed survey period, and the lack of a defined migration route for pygmy blue whales in the Gippsland region</w:t>
      </w:r>
      <w:r w:rsidR="00E07C6C">
        <w:rPr>
          <w:rFonts w:cs="Arial"/>
          <w:sz w:val="22"/>
          <w:szCs w:val="22"/>
        </w:rPr>
        <w:t>,</w:t>
      </w:r>
      <w:r w:rsidR="0089527C" w:rsidRPr="00020CB9">
        <w:rPr>
          <w:rFonts w:cs="Arial"/>
          <w:sz w:val="22"/>
          <w:szCs w:val="22"/>
        </w:rPr>
        <w:t xml:space="preserve"> it </w:t>
      </w:r>
      <w:r w:rsidR="00E07C6C">
        <w:rPr>
          <w:rFonts w:cs="Arial"/>
          <w:sz w:val="22"/>
          <w:szCs w:val="22"/>
        </w:rPr>
        <w:t>is</w:t>
      </w:r>
      <w:r w:rsidR="0089527C" w:rsidRPr="00020CB9">
        <w:rPr>
          <w:rFonts w:cs="Arial"/>
          <w:sz w:val="22"/>
          <w:szCs w:val="22"/>
        </w:rPr>
        <w:t xml:space="preserve"> unlikely that vessel strike or streamer entanglement with threatened whale</w:t>
      </w:r>
      <w:r w:rsidR="00E07C6C">
        <w:rPr>
          <w:rFonts w:cs="Arial"/>
          <w:sz w:val="22"/>
          <w:szCs w:val="22"/>
        </w:rPr>
        <w:t>s</w:t>
      </w:r>
      <w:r w:rsidR="0089527C" w:rsidRPr="00020CB9">
        <w:rPr>
          <w:rFonts w:cs="Arial"/>
          <w:sz w:val="22"/>
          <w:szCs w:val="22"/>
        </w:rPr>
        <w:t xml:space="preserve"> will occur. </w:t>
      </w:r>
    </w:p>
    <w:p w14:paraId="7FD3E2E4" w14:textId="77777777" w:rsidR="00126D72" w:rsidRPr="00020CB9" w:rsidRDefault="00126D72" w:rsidP="00C93DD3">
      <w:pPr>
        <w:ind w:left="0"/>
        <w:rPr>
          <w:rFonts w:cs="Arial"/>
          <w:sz w:val="22"/>
          <w:szCs w:val="22"/>
        </w:rPr>
      </w:pPr>
    </w:p>
    <w:p w14:paraId="633A4BE1" w14:textId="481438B5" w:rsidR="00366663" w:rsidRPr="00020CB9" w:rsidRDefault="00126D72" w:rsidP="00C93DD3">
      <w:pPr>
        <w:ind w:left="0"/>
        <w:rPr>
          <w:rFonts w:cs="Arial"/>
          <w:sz w:val="22"/>
          <w:szCs w:val="22"/>
        </w:rPr>
      </w:pPr>
      <w:r w:rsidRPr="00020CB9">
        <w:rPr>
          <w:rFonts w:cs="Arial"/>
          <w:sz w:val="22"/>
          <w:szCs w:val="22"/>
        </w:rPr>
        <w:lastRenderedPageBreak/>
        <w:t>The Australian and New Zealand fur-seals are highly agile species that haul themselves onto rocks and oil and gas platform structures (jackets). As such, it is likely that they will be able to avoid seismic streamers and are unlikely to become entangled within them (especially with horizontal separation between the streamers being about 50 m).</w:t>
      </w:r>
    </w:p>
    <w:p w14:paraId="3119CA2B" w14:textId="4AD1BA45" w:rsidR="00863A83" w:rsidRDefault="00E07C6C" w:rsidP="002D6649">
      <w:pPr>
        <w:pStyle w:val="Heading3"/>
      </w:pPr>
      <w:bookmarkStart w:id="1248" w:name="_Toc477947948"/>
      <w:bookmarkStart w:id="1249" w:name="_Toc479764153"/>
      <w:bookmarkStart w:id="1250" w:name="_Toc375214670"/>
      <w:r>
        <w:t xml:space="preserve">Control Measures &amp; </w:t>
      </w:r>
      <w:r w:rsidR="00863A83">
        <w:t>Risk Assessment</w:t>
      </w:r>
      <w:bookmarkEnd w:id="1248"/>
      <w:bookmarkEnd w:id="1249"/>
      <w:bookmarkEnd w:id="1250"/>
    </w:p>
    <w:p w14:paraId="43368DC4" w14:textId="617716DE" w:rsidR="00E07C6C" w:rsidRDefault="00E07C6C" w:rsidP="00E07C6C">
      <w:pPr>
        <w:pStyle w:val="BodyText"/>
        <w:ind w:left="0"/>
        <w:rPr>
          <w:rFonts w:cs="Arial"/>
          <w:sz w:val="22"/>
          <w:szCs w:val="22"/>
        </w:rPr>
      </w:pPr>
      <w:r>
        <w:rPr>
          <w:rFonts w:cs="Arial"/>
          <w:sz w:val="22"/>
          <w:szCs w:val="22"/>
        </w:rPr>
        <w:t xml:space="preserve">The following control measures will be implemented to minimise the risk </w:t>
      </w:r>
      <w:r w:rsidRPr="008D722A">
        <w:rPr>
          <w:rFonts w:cs="Arial"/>
          <w:sz w:val="22"/>
          <w:szCs w:val="22"/>
        </w:rPr>
        <w:t xml:space="preserve">of </w:t>
      </w:r>
      <w:r>
        <w:rPr>
          <w:rFonts w:cs="Arial"/>
          <w:sz w:val="22"/>
          <w:szCs w:val="22"/>
        </w:rPr>
        <w:t xml:space="preserve">megafauna vessel strike and streamer entanglement: </w:t>
      </w:r>
      <w:r w:rsidRPr="0038762E">
        <w:rPr>
          <w:sz w:val="22"/>
          <w:szCs w:val="22"/>
        </w:rPr>
        <w:t xml:space="preserve"> </w:t>
      </w:r>
    </w:p>
    <w:p w14:paraId="55EFF077" w14:textId="77777777" w:rsidR="00E07C6C" w:rsidRPr="00E07C6C" w:rsidRDefault="00E07C6C" w:rsidP="00891DE1">
      <w:pPr>
        <w:pStyle w:val="ListParagraph0"/>
        <w:numPr>
          <w:ilvl w:val="0"/>
          <w:numId w:val="196"/>
        </w:numPr>
        <w:rPr>
          <w:rFonts w:cs="Arial"/>
          <w:sz w:val="22"/>
          <w:szCs w:val="22"/>
        </w:rPr>
      </w:pPr>
      <w:r w:rsidRPr="00E07C6C">
        <w:rPr>
          <w:rFonts w:cs="Arial"/>
          <w:sz w:val="22"/>
          <w:szCs w:val="22"/>
        </w:rPr>
        <w:t xml:space="preserve">The Australian Guidelines for Whale and Dolphin Watching (DEWHA, 2005) for sea-faring activities will be implemented, which means: </w:t>
      </w:r>
    </w:p>
    <w:p w14:paraId="70E8E895" w14:textId="77777777" w:rsidR="00E07C6C" w:rsidRPr="00E07C6C" w:rsidRDefault="00E07C6C" w:rsidP="00891DE1">
      <w:pPr>
        <w:pStyle w:val="ListParagraph0"/>
        <w:numPr>
          <w:ilvl w:val="1"/>
          <w:numId w:val="196"/>
        </w:numPr>
        <w:rPr>
          <w:rFonts w:cs="Arial"/>
          <w:sz w:val="22"/>
          <w:szCs w:val="22"/>
        </w:rPr>
      </w:pPr>
      <w:r w:rsidRPr="00E07C6C">
        <w:rPr>
          <w:rFonts w:cs="Arial"/>
          <w:sz w:val="22"/>
          <w:szCs w:val="22"/>
        </w:rPr>
        <w:t>Caution zone (300 m either side of whales and 150 m either side of dolphins) – vessels must operate at no wake speed in this zone.</w:t>
      </w:r>
    </w:p>
    <w:p w14:paraId="322F96CA" w14:textId="77777777" w:rsidR="00E07C6C" w:rsidRPr="00E07C6C" w:rsidRDefault="00E07C6C" w:rsidP="00891DE1">
      <w:pPr>
        <w:pStyle w:val="ListParagraph0"/>
        <w:numPr>
          <w:ilvl w:val="1"/>
          <w:numId w:val="196"/>
        </w:numPr>
        <w:rPr>
          <w:rFonts w:cs="Arial"/>
          <w:sz w:val="22"/>
          <w:szCs w:val="22"/>
        </w:rPr>
      </w:pPr>
      <w:r w:rsidRPr="00E07C6C">
        <w:rPr>
          <w:rFonts w:cs="Arial"/>
          <w:sz w:val="22"/>
          <w:szCs w:val="22"/>
        </w:rPr>
        <w:t>No approach zone (100 m either side of whales and 50 m either side of dolphins) – vessels should not enter this zone and should not wait in front of the direction of travel or an animal or pod/group.</w:t>
      </w:r>
    </w:p>
    <w:p w14:paraId="66B88432" w14:textId="77777777" w:rsidR="00E07C6C" w:rsidRPr="00E07C6C" w:rsidRDefault="00E07C6C" w:rsidP="00891DE1">
      <w:pPr>
        <w:pStyle w:val="ListParagraph0"/>
        <w:numPr>
          <w:ilvl w:val="1"/>
          <w:numId w:val="196"/>
        </w:numPr>
        <w:rPr>
          <w:rFonts w:cs="Arial"/>
          <w:sz w:val="22"/>
          <w:szCs w:val="22"/>
        </w:rPr>
      </w:pPr>
      <w:r w:rsidRPr="00E07C6C">
        <w:rPr>
          <w:rFonts w:cs="Arial"/>
          <w:sz w:val="22"/>
          <w:szCs w:val="22"/>
        </w:rPr>
        <w:t>Do not encourage bow riding.</w:t>
      </w:r>
    </w:p>
    <w:p w14:paraId="4FB45093" w14:textId="77777777" w:rsidR="00E07C6C" w:rsidRPr="00E07C6C" w:rsidRDefault="00E07C6C" w:rsidP="00891DE1">
      <w:pPr>
        <w:pStyle w:val="ListParagraph0"/>
        <w:numPr>
          <w:ilvl w:val="1"/>
          <w:numId w:val="196"/>
        </w:numPr>
        <w:rPr>
          <w:rFonts w:cs="Arial"/>
          <w:sz w:val="22"/>
          <w:szCs w:val="22"/>
        </w:rPr>
      </w:pPr>
      <w:r w:rsidRPr="00E07C6C">
        <w:rPr>
          <w:rFonts w:cs="Arial"/>
          <w:sz w:val="22"/>
          <w:szCs w:val="22"/>
        </w:rPr>
        <w:t>If animals are bow riding, do not change course or speed suddenly.</w:t>
      </w:r>
    </w:p>
    <w:p w14:paraId="41CC051B" w14:textId="5383EC25" w:rsidR="00E07C6C" w:rsidRDefault="00E07C6C" w:rsidP="00E07C6C">
      <w:pPr>
        <w:pStyle w:val="ListParagraph0"/>
        <w:numPr>
          <w:ilvl w:val="1"/>
          <w:numId w:val="196"/>
        </w:numPr>
        <w:rPr>
          <w:rFonts w:cs="Arial"/>
          <w:sz w:val="22"/>
          <w:szCs w:val="22"/>
        </w:rPr>
      </w:pPr>
      <w:r w:rsidRPr="00E07C6C">
        <w:rPr>
          <w:rFonts w:cs="Arial"/>
          <w:sz w:val="22"/>
          <w:szCs w:val="22"/>
        </w:rPr>
        <w:t>If there is a need to stop, reduce speed gradually.</w:t>
      </w:r>
    </w:p>
    <w:p w14:paraId="6ECAD7D9" w14:textId="136AECCD" w:rsidR="00E07C6C" w:rsidRPr="00E07C6C" w:rsidRDefault="00E07C6C" w:rsidP="00E07C6C">
      <w:pPr>
        <w:pStyle w:val="ListParagraph0"/>
        <w:numPr>
          <w:ilvl w:val="0"/>
          <w:numId w:val="196"/>
        </w:numPr>
        <w:rPr>
          <w:rFonts w:cs="Arial"/>
          <w:sz w:val="22"/>
          <w:szCs w:val="22"/>
        </w:rPr>
      </w:pPr>
      <w:r w:rsidRPr="00E07C6C">
        <w:rPr>
          <w:rFonts w:cs="Arial"/>
          <w:sz w:val="22"/>
          <w:szCs w:val="22"/>
        </w:rPr>
        <w:t>Vessel crew has completed an environmental induction covering the above-listed requirements for vessel and megafauna interactions.</w:t>
      </w:r>
    </w:p>
    <w:p w14:paraId="080B2AB9" w14:textId="13C17653" w:rsidR="00E07C6C" w:rsidRPr="00E07C6C" w:rsidRDefault="00E07C6C" w:rsidP="00E07C6C">
      <w:pPr>
        <w:pStyle w:val="ListParagraph0"/>
        <w:numPr>
          <w:ilvl w:val="0"/>
          <w:numId w:val="196"/>
        </w:numPr>
        <w:rPr>
          <w:rFonts w:cs="Arial"/>
          <w:sz w:val="22"/>
          <w:szCs w:val="22"/>
        </w:rPr>
      </w:pPr>
      <w:r w:rsidRPr="00E07C6C">
        <w:rPr>
          <w:rFonts w:cs="Arial"/>
          <w:sz w:val="22"/>
          <w:szCs w:val="22"/>
        </w:rPr>
        <w:t>Vessel strike causing injury to or death of a cetacean is reported to the DoEE via the online</w:t>
      </w:r>
      <w:r>
        <w:rPr>
          <w:rFonts w:cs="Arial"/>
          <w:sz w:val="22"/>
          <w:szCs w:val="22"/>
        </w:rPr>
        <w:t xml:space="preserve"> National Ship Strike Database </w:t>
      </w:r>
      <w:r w:rsidRPr="00E07C6C">
        <w:rPr>
          <w:rFonts w:cs="Arial"/>
          <w:sz w:val="22"/>
          <w:szCs w:val="22"/>
        </w:rPr>
        <w:t>within 72 hours of the incident.</w:t>
      </w:r>
    </w:p>
    <w:p w14:paraId="2F72C22A" w14:textId="7FE4F7BC" w:rsidR="00E07C6C" w:rsidRDefault="00E07C6C" w:rsidP="00E07C6C">
      <w:pPr>
        <w:pStyle w:val="ListParagraph0"/>
        <w:numPr>
          <w:ilvl w:val="0"/>
          <w:numId w:val="196"/>
        </w:numPr>
        <w:spacing w:after="240"/>
        <w:rPr>
          <w:rFonts w:cs="Arial"/>
          <w:sz w:val="22"/>
          <w:szCs w:val="22"/>
        </w:rPr>
      </w:pPr>
      <w:r w:rsidRPr="00E07C6C">
        <w:rPr>
          <w:rFonts w:cs="Arial"/>
          <w:sz w:val="22"/>
          <w:szCs w:val="22"/>
        </w:rPr>
        <w:t>Entanglement of megafauna in survey streamers is reported to the Whale and Dolphin Emergency Hotline as soon as possible. No attempts to disentangle megafauna should be made by project personnel.</w:t>
      </w:r>
    </w:p>
    <w:p w14:paraId="7E2F3B5D" w14:textId="782C2416" w:rsidR="00E07C6C" w:rsidRDefault="00E07C6C" w:rsidP="00E07C6C">
      <w:pPr>
        <w:pStyle w:val="bodycopy"/>
        <w:spacing w:after="240"/>
        <w:rPr>
          <w:rFonts w:ascii="Arial" w:hAnsi="Arial"/>
          <w:sz w:val="22"/>
          <w:szCs w:val="22"/>
        </w:rPr>
      </w:pPr>
      <w:r w:rsidRPr="007E5862">
        <w:rPr>
          <w:rFonts w:ascii="Arial" w:hAnsi="Arial"/>
          <w:sz w:val="22"/>
          <w:szCs w:val="22"/>
        </w:rPr>
        <w:t>Table 7.4</w:t>
      </w:r>
      <w:r w:rsidR="007E5862" w:rsidRPr="007E5862">
        <w:rPr>
          <w:rFonts w:ascii="Arial" w:hAnsi="Arial"/>
          <w:sz w:val="22"/>
          <w:szCs w:val="22"/>
        </w:rPr>
        <w:t>2</w:t>
      </w:r>
      <w:r w:rsidRPr="00E968F3">
        <w:rPr>
          <w:rFonts w:ascii="Arial" w:hAnsi="Arial"/>
          <w:color w:val="FF0000"/>
          <w:sz w:val="22"/>
          <w:szCs w:val="22"/>
        </w:rPr>
        <w:t xml:space="preserve"> </w:t>
      </w:r>
      <w:r w:rsidRPr="006F65F9">
        <w:rPr>
          <w:rFonts w:ascii="Arial" w:hAnsi="Arial"/>
          <w:sz w:val="22"/>
          <w:szCs w:val="22"/>
        </w:rPr>
        <w:t xml:space="preserve">presents the risk assessment for </w:t>
      </w:r>
      <w:r>
        <w:rPr>
          <w:rFonts w:ascii="Arial" w:hAnsi="Arial"/>
          <w:sz w:val="22"/>
          <w:szCs w:val="22"/>
        </w:rPr>
        <w:t>megafauna vessel strike and streamer entanglement</w:t>
      </w:r>
      <w:r w:rsidRPr="009D44AB">
        <w:rPr>
          <w:rFonts w:ascii="Arial" w:hAnsi="Arial"/>
          <w:sz w:val="22"/>
          <w:szCs w:val="22"/>
        </w:rPr>
        <w:t xml:space="preserve">. </w:t>
      </w:r>
    </w:p>
    <w:p w14:paraId="0B81C8DC" w14:textId="77777777" w:rsidR="001B36E7" w:rsidRDefault="001B36E7" w:rsidP="00E07C6C">
      <w:pPr>
        <w:pStyle w:val="bodycopy"/>
        <w:spacing w:after="240"/>
        <w:rPr>
          <w:rFonts w:ascii="Arial" w:hAnsi="Arial"/>
          <w:sz w:val="22"/>
          <w:szCs w:val="22"/>
        </w:rPr>
      </w:pPr>
    </w:p>
    <w:p w14:paraId="0D035905" w14:textId="77777777" w:rsidR="001B36E7" w:rsidRPr="00B6448F" w:rsidRDefault="001B36E7" w:rsidP="00E07C6C">
      <w:pPr>
        <w:pStyle w:val="bodycopy"/>
        <w:spacing w:after="240"/>
        <w:rPr>
          <w:rFonts w:ascii="Arial" w:hAnsi="Arial"/>
          <w:sz w:val="22"/>
          <w:szCs w:val="22"/>
        </w:rPr>
      </w:pPr>
    </w:p>
    <w:p w14:paraId="7505522C" w14:textId="50714F8F" w:rsidR="00E07C6C" w:rsidRPr="00D157DF" w:rsidRDefault="00E07C6C" w:rsidP="00E07C6C">
      <w:pPr>
        <w:pStyle w:val="CaptionTables"/>
        <w:jc w:val="center"/>
        <w:rPr>
          <w:rFonts w:eastAsia="Times New Roman" w:cs="Arial"/>
          <w:bCs w:val="0"/>
          <w:color w:val="auto"/>
          <w:sz w:val="20"/>
          <w:lang w:eastAsia="en-AU"/>
        </w:rPr>
      </w:pPr>
      <w:r w:rsidRPr="00D157DF">
        <w:rPr>
          <w:rFonts w:eastAsia="Times New Roman" w:cs="Arial"/>
          <w:bCs w:val="0"/>
          <w:color w:val="auto"/>
          <w:sz w:val="20"/>
          <w:lang w:eastAsia="en-AU"/>
        </w:rPr>
        <w:t xml:space="preserve">Table </w:t>
      </w:r>
      <w:r>
        <w:rPr>
          <w:rFonts w:eastAsia="Times New Roman" w:cs="Arial"/>
          <w:bCs w:val="0"/>
          <w:color w:val="auto"/>
          <w:sz w:val="20"/>
          <w:lang w:eastAsia="en-AU"/>
        </w:rPr>
        <w:t>7.4</w:t>
      </w:r>
      <w:r w:rsidR="007E5862">
        <w:rPr>
          <w:rFonts w:eastAsia="Times New Roman" w:cs="Arial"/>
          <w:bCs w:val="0"/>
          <w:color w:val="auto"/>
          <w:sz w:val="20"/>
          <w:lang w:eastAsia="en-AU"/>
        </w:rPr>
        <w:t>2</w:t>
      </w:r>
      <w:r w:rsidRPr="00D157DF">
        <w:rPr>
          <w:rFonts w:eastAsia="Times New Roman" w:cs="Arial"/>
          <w:bCs w:val="0"/>
          <w:color w:val="auto"/>
          <w:sz w:val="20"/>
          <w:lang w:eastAsia="en-AU"/>
        </w:rPr>
        <w:t>.</w:t>
      </w:r>
      <w:r w:rsidRPr="00D157DF">
        <w:rPr>
          <w:rFonts w:eastAsia="Times New Roman" w:cs="Arial"/>
          <w:bCs w:val="0"/>
          <w:color w:val="auto"/>
          <w:sz w:val="20"/>
          <w:lang w:eastAsia="en-AU"/>
        </w:rPr>
        <w:tab/>
        <w:t xml:space="preserve">Risk assessment for </w:t>
      </w:r>
      <w:r w:rsidRPr="00020CB9">
        <w:rPr>
          <w:rFonts w:eastAsia="Times New Roman" w:cs="Arial"/>
          <w:bCs w:val="0"/>
          <w:color w:val="auto"/>
          <w:sz w:val="20"/>
          <w:lang w:eastAsia="en-AU"/>
        </w:rPr>
        <w:t>megafauna vessel strike and streamer entanglement</w:t>
      </w:r>
    </w:p>
    <w:tbl>
      <w:tblPr>
        <w:tblW w:w="8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984"/>
        <w:gridCol w:w="1985"/>
        <w:gridCol w:w="2302"/>
      </w:tblGrid>
      <w:tr w:rsidR="00E07C6C" w:rsidRPr="00D157DF" w14:paraId="441ECC37" w14:textId="77777777" w:rsidTr="00B972E5">
        <w:trPr>
          <w:cantSplit/>
        </w:trPr>
        <w:tc>
          <w:tcPr>
            <w:tcW w:w="2235" w:type="dxa"/>
            <w:tcBorders>
              <w:top w:val="nil"/>
              <w:left w:val="nil"/>
            </w:tcBorders>
            <w:shd w:val="clear" w:color="auto" w:fill="auto"/>
          </w:tcPr>
          <w:p w14:paraId="440E0BBD" w14:textId="77777777" w:rsidR="00E07C6C" w:rsidRPr="00D157DF" w:rsidRDefault="00E07C6C" w:rsidP="00D611A8">
            <w:pPr>
              <w:pStyle w:val="TableText"/>
              <w:spacing w:before="60" w:after="60" w:line="240" w:lineRule="auto"/>
              <w:jc w:val="center"/>
              <w:rPr>
                <w:rFonts w:cs="Arial"/>
                <w:sz w:val="20"/>
                <w:szCs w:val="20"/>
              </w:rPr>
            </w:pPr>
          </w:p>
        </w:tc>
        <w:tc>
          <w:tcPr>
            <w:tcW w:w="1984" w:type="dxa"/>
            <w:shd w:val="clear" w:color="auto" w:fill="064EA8"/>
          </w:tcPr>
          <w:p w14:paraId="69E5340A" w14:textId="77777777" w:rsidR="00E07C6C" w:rsidRPr="00B972E5" w:rsidRDefault="00E07C6C" w:rsidP="00891DE1">
            <w:pPr>
              <w:pStyle w:val="TableText"/>
              <w:spacing w:before="60" w:after="60" w:line="240" w:lineRule="auto"/>
              <w:jc w:val="center"/>
              <w:rPr>
                <w:rFonts w:cs="Arial"/>
                <w:color w:val="FFFFFF" w:themeColor="background1"/>
                <w:sz w:val="20"/>
                <w:szCs w:val="20"/>
              </w:rPr>
            </w:pPr>
            <w:r w:rsidRPr="00B972E5">
              <w:rPr>
                <w:rFonts w:cs="Arial"/>
                <w:color w:val="FFFFFF" w:themeColor="background1"/>
                <w:sz w:val="20"/>
                <w:szCs w:val="20"/>
              </w:rPr>
              <w:t>Likelihood</w:t>
            </w:r>
          </w:p>
        </w:tc>
        <w:tc>
          <w:tcPr>
            <w:tcW w:w="1985" w:type="dxa"/>
            <w:shd w:val="clear" w:color="auto" w:fill="064EA8"/>
          </w:tcPr>
          <w:p w14:paraId="190A506E" w14:textId="77777777" w:rsidR="00E07C6C" w:rsidRPr="00B972E5" w:rsidRDefault="00E07C6C" w:rsidP="00891DE1">
            <w:pPr>
              <w:pStyle w:val="TableText"/>
              <w:spacing w:before="60" w:after="60" w:line="240" w:lineRule="auto"/>
              <w:jc w:val="center"/>
              <w:rPr>
                <w:rFonts w:cs="Arial"/>
                <w:color w:val="FFFFFF" w:themeColor="background1"/>
                <w:sz w:val="20"/>
                <w:szCs w:val="20"/>
              </w:rPr>
            </w:pPr>
            <w:r w:rsidRPr="00B972E5">
              <w:rPr>
                <w:rFonts w:cs="Arial"/>
                <w:color w:val="FFFFFF" w:themeColor="background1"/>
                <w:sz w:val="20"/>
                <w:szCs w:val="20"/>
              </w:rPr>
              <w:t>Consequence</w:t>
            </w:r>
          </w:p>
        </w:tc>
        <w:tc>
          <w:tcPr>
            <w:tcW w:w="2302" w:type="dxa"/>
            <w:shd w:val="clear" w:color="auto" w:fill="064EA8"/>
          </w:tcPr>
          <w:p w14:paraId="3BBC5BE9" w14:textId="77777777" w:rsidR="00E07C6C" w:rsidRPr="00B972E5" w:rsidRDefault="00E07C6C" w:rsidP="00891DE1">
            <w:pPr>
              <w:pStyle w:val="TableText"/>
              <w:spacing w:before="60" w:after="60" w:line="240" w:lineRule="auto"/>
              <w:jc w:val="center"/>
              <w:rPr>
                <w:rFonts w:cs="Arial"/>
                <w:color w:val="FFFFFF" w:themeColor="background1"/>
                <w:sz w:val="20"/>
                <w:szCs w:val="20"/>
              </w:rPr>
            </w:pPr>
            <w:r w:rsidRPr="00B972E5">
              <w:rPr>
                <w:rFonts w:cs="Arial"/>
                <w:color w:val="FFFFFF" w:themeColor="background1"/>
                <w:sz w:val="20"/>
                <w:szCs w:val="20"/>
              </w:rPr>
              <w:t>Risk rating</w:t>
            </w:r>
          </w:p>
        </w:tc>
      </w:tr>
      <w:tr w:rsidR="00E07C6C" w:rsidRPr="00D157DF" w14:paraId="215CEA5F" w14:textId="77777777" w:rsidTr="007E5862">
        <w:trPr>
          <w:cantSplit/>
        </w:trPr>
        <w:tc>
          <w:tcPr>
            <w:tcW w:w="2235" w:type="dxa"/>
            <w:shd w:val="clear" w:color="auto" w:fill="D9D9D9"/>
          </w:tcPr>
          <w:p w14:paraId="323E244F" w14:textId="09FFA9A5" w:rsidR="00E07C6C" w:rsidRDefault="007E5862" w:rsidP="007E5862">
            <w:pPr>
              <w:pStyle w:val="TableText"/>
              <w:spacing w:before="60" w:after="60" w:line="240" w:lineRule="auto"/>
              <w:rPr>
                <w:rFonts w:cs="Arial"/>
                <w:sz w:val="20"/>
                <w:szCs w:val="20"/>
              </w:rPr>
            </w:pPr>
            <w:r>
              <w:rPr>
                <w:rFonts w:cs="Arial"/>
                <w:sz w:val="20"/>
                <w:szCs w:val="20"/>
              </w:rPr>
              <w:t>I</w:t>
            </w:r>
            <w:r w:rsidR="00E07C6C">
              <w:rPr>
                <w:rFonts w:cs="Arial"/>
                <w:sz w:val="20"/>
                <w:szCs w:val="20"/>
              </w:rPr>
              <w:t>ndividual animal</w:t>
            </w:r>
          </w:p>
        </w:tc>
        <w:tc>
          <w:tcPr>
            <w:tcW w:w="1984" w:type="dxa"/>
            <w:shd w:val="clear" w:color="auto" w:fill="auto"/>
          </w:tcPr>
          <w:p w14:paraId="1503BBB3" w14:textId="3EFF6CE0" w:rsidR="00E07C6C" w:rsidRDefault="00E07C6C" w:rsidP="00D611A8">
            <w:pPr>
              <w:pStyle w:val="TableText"/>
              <w:spacing w:before="60" w:after="60" w:line="240" w:lineRule="auto"/>
              <w:jc w:val="center"/>
              <w:rPr>
                <w:rFonts w:cs="Arial"/>
                <w:sz w:val="20"/>
                <w:szCs w:val="20"/>
              </w:rPr>
            </w:pPr>
            <w:r>
              <w:rPr>
                <w:rFonts w:cs="Arial"/>
                <w:sz w:val="20"/>
                <w:szCs w:val="20"/>
              </w:rPr>
              <w:t>Unlikely</w:t>
            </w:r>
          </w:p>
        </w:tc>
        <w:tc>
          <w:tcPr>
            <w:tcW w:w="1985" w:type="dxa"/>
            <w:shd w:val="clear" w:color="auto" w:fill="auto"/>
          </w:tcPr>
          <w:p w14:paraId="4B448311" w14:textId="79C2F5AE" w:rsidR="00E07C6C" w:rsidRDefault="00E07C6C" w:rsidP="00D611A8">
            <w:pPr>
              <w:pStyle w:val="TableText"/>
              <w:spacing w:before="60" w:after="60" w:line="240" w:lineRule="auto"/>
              <w:jc w:val="center"/>
              <w:rPr>
                <w:rFonts w:cs="Arial"/>
                <w:sz w:val="20"/>
                <w:szCs w:val="20"/>
              </w:rPr>
            </w:pPr>
            <w:r>
              <w:rPr>
                <w:rFonts w:cs="Arial"/>
                <w:sz w:val="20"/>
                <w:szCs w:val="20"/>
              </w:rPr>
              <w:t>Insignificant</w:t>
            </w:r>
          </w:p>
        </w:tc>
        <w:tc>
          <w:tcPr>
            <w:tcW w:w="2302" w:type="dxa"/>
            <w:shd w:val="clear" w:color="auto" w:fill="73FB79"/>
          </w:tcPr>
          <w:p w14:paraId="1E64F021" w14:textId="77777777" w:rsidR="00E07C6C" w:rsidRDefault="00E07C6C" w:rsidP="00D611A8">
            <w:pPr>
              <w:pStyle w:val="TableText"/>
              <w:spacing w:before="60" w:after="60" w:line="240" w:lineRule="auto"/>
              <w:jc w:val="center"/>
              <w:rPr>
                <w:rFonts w:cs="Arial"/>
                <w:sz w:val="20"/>
                <w:szCs w:val="20"/>
              </w:rPr>
            </w:pPr>
            <w:r>
              <w:rPr>
                <w:rFonts w:cs="Arial"/>
                <w:sz w:val="20"/>
                <w:szCs w:val="20"/>
              </w:rPr>
              <w:t>Low</w:t>
            </w:r>
          </w:p>
        </w:tc>
      </w:tr>
      <w:tr w:rsidR="00E07C6C" w:rsidRPr="00D157DF" w14:paraId="2265E312" w14:textId="77777777" w:rsidTr="007E5862">
        <w:trPr>
          <w:cantSplit/>
        </w:trPr>
        <w:tc>
          <w:tcPr>
            <w:tcW w:w="2235" w:type="dxa"/>
            <w:shd w:val="clear" w:color="auto" w:fill="D9D9D9"/>
          </w:tcPr>
          <w:p w14:paraId="049803D3" w14:textId="54F75A79" w:rsidR="00E07C6C" w:rsidRDefault="007E5862" w:rsidP="00D611A8">
            <w:pPr>
              <w:pStyle w:val="TableText"/>
              <w:spacing w:before="60" w:after="60" w:line="240" w:lineRule="auto"/>
              <w:rPr>
                <w:rFonts w:cs="Arial"/>
                <w:sz w:val="20"/>
                <w:szCs w:val="20"/>
              </w:rPr>
            </w:pPr>
            <w:r>
              <w:rPr>
                <w:rFonts w:cs="Arial"/>
                <w:sz w:val="20"/>
                <w:szCs w:val="20"/>
              </w:rPr>
              <w:t>P</w:t>
            </w:r>
            <w:r w:rsidR="00E07C6C">
              <w:rPr>
                <w:rFonts w:cs="Arial"/>
                <w:sz w:val="20"/>
                <w:szCs w:val="20"/>
              </w:rPr>
              <w:t>opulation level</w:t>
            </w:r>
          </w:p>
        </w:tc>
        <w:tc>
          <w:tcPr>
            <w:tcW w:w="1984" w:type="dxa"/>
            <w:shd w:val="clear" w:color="auto" w:fill="auto"/>
          </w:tcPr>
          <w:p w14:paraId="56D769CD" w14:textId="15DAFD4D" w:rsidR="00E07C6C" w:rsidRDefault="00E07C6C" w:rsidP="00D611A8">
            <w:pPr>
              <w:pStyle w:val="TableText"/>
              <w:spacing w:before="60" w:after="60" w:line="240" w:lineRule="auto"/>
              <w:jc w:val="center"/>
              <w:rPr>
                <w:rFonts w:cs="Arial"/>
                <w:sz w:val="20"/>
                <w:szCs w:val="20"/>
              </w:rPr>
            </w:pPr>
            <w:r>
              <w:rPr>
                <w:rFonts w:cs="Arial"/>
                <w:sz w:val="20"/>
                <w:szCs w:val="20"/>
              </w:rPr>
              <w:t>Rare</w:t>
            </w:r>
          </w:p>
        </w:tc>
        <w:tc>
          <w:tcPr>
            <w:tcW w:w="1985" w:type="dxa"/>
            <w:shd w:val="clear" w:color="auto" w:fill="auto"/>
          </w:tcPr>
          <w:p w14:paraId="2102C780" w14:textId="23A8877B" w:rsidR="00E07C6C" w:rsidRDefault="00E07C6C" w:rsidP="00D611A8">
            <w:pPr>
              <w:pStyle w:val="TableText"/>
              <w:spacing w:before="60" w:after="60" w:line="240" w:lineRule="auto"/>
              <w:jc w:val="center"/>
              <w:rPr>
                <w:rFonts w:cs="Arial"/>
                <w:sz w:val="20"/>
                <w:szCs w:val="20"/>
              </w:rPr>
            </w:pPr>
            <w:r>
              <w:rPr>
                <w:rFonts w:cs="Arial"/>
                <w:sz w:val="20"/>
                <w:szCs w:val="20"/>
              </w:rPr>
              <w:t>Minor</w:t>
            </w:r>
          </w:p>
        </w:tc>
        <w:tc>
          <w:tcPr>
            <w:tcW w:w="2302" w:type="dxa"/>
            <w:shd w:val="clear" w:color="auto" w:fill="73FB79"/>
          </w:tcPr>
          <w:p w14:paraId="02AC2DCE" w14:textId="77777777" w:rsidR="00E07C6C" w:rsidRDefault="00E07C6C" w:rsidP="00D611A8">
            <w:pPr>
              <w:pStyle w:val="TableText"/>
              <w:spacing w:before="60" w:after="60" w:line="240" w:lineRule="auto"/>
              <w:jc w:val="center"/>
              <w:rPr>
                <w:rFonts w:cs="Arial"/>
                <w:sz w:val="20"/>
                <w:szCs w:val="20"/>
              </w:rPr>
            </w:pPr>
            <w:r>
              <w:rPr>
                <w:rFonts w:cs="Arial"/>
                <w:sz w:val="20"/>
                <w:szCs w:val="20"/>
              </w:rPr>
              <w:t>Low</w:t>
            </w:r>
          </w:p>
        </w:tc>
      </w:tr>
    </w:tbl>
    <w:p w14:paraId="76C7819C" w14:textId="77777777" w:rsidR="00E07C6C" w:rsidRDefault="00E07C6C" w:rsidP="009302FB">
      <w:pPr>
        <w:spacing w:after="240" w:line="240" w:lineRule="auto"/>
        <w:ind w:left="0"/>
        <w:rPr>
          <w:rFonts w:cs="Arial"/>
          <w:sz w:val="22"/>
          <w:szCs w:val="22"/>
        </w:rPr>
      </w:pPr>
    </w:p>
    <w:p w14:paraId="78A1093F" w14:textId="06AE6491" w:rsidR="00863A83" w:rsidRPr="00B03966" w:rsidRDefault="00912C73" w:rsidP="00B03966">
      <w:pPr>
        <w:pStyle w:val="Heading2"/>
        <w:keepLines/>
        <w:numPr>
          <w:ilvl w:val="1"/>
          <w:numId w:val="1"/>
        </w:numPr>
        <w:tabs>
          <w:tab w:val="clear" w:pos="720"/>
        </w:tabs>
        <w:spacing w:before="400" w:after="200" w:line="240" w:lineRule="auto"/>
        <w:ind w:left="709" w:hanging="709"/>
        <w:rPr>
          <w:rFonts w:cs="Times New Roman"/>
          <w:iCs w:val="0"/>
          <w:color w:val="064EA8"/>
          <w:szCs w:val="26"/>
          <w:lang w:eastAsia="en-US"/>
        </w:rPr>
      </w:pPr>
      <w:bookmarkStart w:id="1251" w:name="_Toc501313239"/>
      <w:bookmarkStart w:id="1252" w:name="_Toc501313240"/>
      <w:bookmarkStart w:id="1253" w:name="_Toc320190776"/>
      <w:bookmarkStart w:id="1254" w:name="_Ref353696599"/>
      <w:bookmarkStart w:id="1255" w:name="_Toc375214671"/>
      <w:bookmarkEnd w:id="1251"/>
      <w:bookmarkEnd w:id="1252"/>
      <w:r w:rsidRPr="00B03966">
        <w:rPr>
          <w:rFonts w:cs="Times New Roman"/>
          <w:iCs w:val="0"/>
          <w:color w:val="064EA8"/>
          <w:szCs w:val="26"/>
          <w:lang w:eastAsia="en-US"/>
        </w:rPr>
        <w:t xml:space="preserve">RISK: </w:t>
      </w:r>
      <w:r w:rsidR="00863A83" w:rsidRPr="00B03966">
        <w:rPr>
          <w:rFonts w:cs="Times New Roman"/>
          <w:iCs w:val="0"/>
          <w:color w:val="064EA8"/>
          <w:szCs w:val="26"/>
          <w:lang w:eastAsia="en-US"/>
        </w:rPr>
        <w:t>Diesel Spill</w:t>
      </w:r>
      <w:bookmarkEnd w:id="1253"/>
      <w:bookmarkEnd w:id="1254"/>
      <w:bookmarkEnd w:id="1255"/>
      <w:r w:rsidR="00C82CB1" w:rsidRPr="00B03966">
        <w:rPr>
          <w:rFonts w:cs="Times New Roman"/>
          <w:iCs w:val="0"/>
          <w:color w:val="064EA8"/>
          <w:szCs w:val="26"/>
          <w:lang w:eastAsia="en-US"/>
        </w:rPr>
        <w:t xml:space="preserve"> </w:t>
      </w:r>
    </w:p>
    <w:p w14:paraId="19A1F034" w14:textId="77777777" w:rsidR="00863A83" w:rsidRDefault="00863A83" w:rsidP="002D6649">
      <w:pPr>
        <w:pStyle w:val="Heading3"/>
      </w:pPr>
      <w:bookmarkStart w:id="1256" w:name="_Toc477947951"/>
      <w:bookmarkStart w:id="1257" w:name="_Toc479764155"/>
      <w:bookmarkStart w:id="1258" w:name="_Toc375214672"/>
      <w:r>
        <w:t>Hazard</w:t>
      </w:r>
      <w:bookmarkEnd w:id="1256"/>
      <w:bookmarkEnd w:id="1257"/>
      <w:bookmarkEnd w:id="1258"/>
    </w:p>
    <w:p w14:paraId="5590179C" w14:textId="4926CCDD" w:rsidR="002678F9" w:rsidRPr="0037722C" w:rsidRDefault="00FA6977" w:rsidP="003D4A47">
      <w:pPr>
        <w:ind w:left="0"/>
        <w:rPr>
          <w:rFonts w:cs="Arial"/>
          <w:sz w:val="22"/>
          <w:szCs w:val="22"/>
        </w:rPr>
      </w:pPr>
      <w:r w:rsidRPr="0037722C">
        <w:rPr>
          <w:rFonts w:cs="Arial"/>
          <w:sz w:val="22"/>
          <w:szCs w:val="22"/>
        </w:rPr>
        <w:t xml:space="preserve">The </w:t>
      </w:r>
      <w:r w:rsidR="006825B9">
        <w:rPr>
          <w:rFonts w:cs="Arial"/>
          <w:sz w:val="22"/>
          <w:szCs w:val="22"/>
        </w:rPr>
        <w:t>survey</w:t>
      </w:r>
      <w:r w:rsidRPr="0037722C">
        <w:rPr>
          <w:rFonts w:cs="Arial"/>
          <w:sz w:val="22"/>
          <w:szCs w:val="22"/>
        </w:rPr>
        <w:t xml:space="preserve"> and support vessels carry large inventories of marine diesel oil (MDO). These are spread out over numerous tanks on each vessel. </w:t>
      </w:r>
      <w:r w:rsidR="002678F9" w:rsidRPr="0037722C">
        <w:rPr>
          <w:rFonts w:cs="Arial"/>
          <w:sz w:val="22"/>
          <w:szCs w:val="22"/>
        </w:rPr>
        <w:t xml:space="preserve">The </w:t>
      </w:r>
      <w:r w:rsidRPr="0037722C">
        <w:rPr>
          <w:rFonts w:cs="Arial"/>
          <w:sz w:val="22"/>
          <w:szCs w:val="22"/>
        </w:rPr>
        <w:t xml:space="preserve">following </w:t>
      </w:r>
      <w:r w:rsidR="003D4A47" w:rsidRPr="0037722C">
        <w:rPr>
          <w:rFonts w:cs="Arial"/>
          <w:sz w:val="22"/>
          <w:szCs w:val="22"/>
        </w:rPr>
        <w:t xml:space="preserve">events may </w:t>
      </w:r>
      <w:r w:rsidR="002678F9" w:rsidRPr="0037722C">
        <w:rPr>
          <w:rFonts w:cs="Arial"/>
          <w:sz w:val="22"/>
          <w:szCs w:val="22"/>
        </w:rPr>
        <w:t xml:space="preserve">result in </w:t>
      </w:r>
      <w:r w:rsidR="003D4A47" w:rsidRPr="0037722C">
        <w:rPr>
          <w:rFonts w:cs="Arial"/>
          <w:sz w:val="22"/>
          <w:szCs w:val="22"/>
        </w:rPr>
        <w:t xml:space="preserve">the loss of </w:t>
      </w:r>
      <w:r w:rsidRPr="0037722C">
        <w:rPr>
          <w:rFonts w:cs="Arial"/>
          <w:sz w:val="22"/>
          <w:szCs w:val="22"/>
        </w:rPr>
        <w:t xml:space="preserve">part of the </w:t>
      </w:r>
      <w:r w:rsidR="003D4A47" w:rsidRPr="0037722C">
        <w:rPr>
          <w:rFonts w:cs="Arial"/>
          <w:sz w:val="22"/>
          <w:szCs w:val="22"/>
        </w:rPr>
        <w:t>inventory of one or more fuel tanks</w:t>
      </w:r>
      <w:r w:rsidR="002678F9" w:rsidRPr="0037722C">
        <w:rPr>
          <w:rFonts w:cs="Arial"/>
          <w:sz w:val="22"/>
          <w:szCs w:val="22"/>
        </w:rPr>
        <w:t>:</w:t>
      </w:r>
    </w:p>
    <w:p w14:paraId="33DB8465" w14:textId="77777777" w:rsidR="003D4A47" w:rsidRPr="0037722C" w:rsidRDefault="003D4A47" w:rsidP="003D4A47">
      <w:pPr>
        <w:ind w:left="0"/>
        <w:rPr>
          <w:rFonts w:cs="Arial"/>
          <w:sz w:val="22"/>
          <w:szCs w:val="22"/>
        </w:rPr>
      </w:pPr>
    </w:p>
    <w:p w14:paraId="4126EEF3" w14:textId="02741587" w:rsidR="003D4A47" w:rsidRPr="0037722C" w:rsidRDefault="003D4A47" w:rsidP="00567567">
      <w:pPr>
        <w:pStyle w:val="ListParagraph0"/>
        <w:numPr>
          <w:ilvl w:val="0"/>
          <w:numId w:val="203"/>
        </w:numPr>
        <w:rPr>
          <w:rFonts w:cs="Arial"/>
          <w:sz w:val="22"/>
          <w:szCs w:val="22"/>
        </w:rPr>
      </w:pPr>
      <w:r w:rsidRPr="0037722C">
        <w:rPr>
          <w:rFonts w:cs="Arial"/>
          <w:sz w:val="22"/>
          <w:szCs w:val="22"/>
        </w:rPr>
        <w:t>A vessel-to-vessel collision (e.g., third-party vessel with either the source or support vessels); or</w:t>
      </w:r>
    </w:p>
    <w:p w14:paraId="0DA9C8A8" w14:textId="623E1337" w:rsidR="003D4A47" w:rsidRPr="0037722C" w:rsidRDefault="003D4A47" w:rsidP="00567567">
      <w:pPr>
        <w:pStyle w:val="ListParagraph0"/>
        <w:numPr>
          <w:ilvl w:val="0"/>
          <w:numId w:val="203"/>
        </w:numPr>
        <w:rPr>
          <w:rFonts w:cs="Arial"/>
          <w:sz w:val="22"/>
          <w:szCs w:val="22"/>
        </w:rPr>
      </w:pPr>
      <w:r w:rsidRPr="0037722C">
        <w:rPr>
          <w:rFonts w:cs="Arial"/>
          <w:sz w:val="22"/>
          <w:szCs w:val="22"/>
        </w:rPr>
        <w:lastRenderedPageBreak/>
        <w:t>Vessel grounding (e.g., in shallow waters);</w:t>
      </w:r>
    </w:p>
    <w:p w14:paraId="60401CB5" w14:textId="77777777" w:rsidR="003D4A47" w:rsidRPr="0037722C" w:rsidRDefault="003D4A47" w:rsidP="003D4A47">
      <w:pPr>
        <w:ind w:left="0"/>
        <w:rPr>
          <w:rFonts w:cs="Arial"/>
          <w:sz w:val="22"/>
          <w:szCs w:val="22"/>
        </w:rPr>
      </w:pPr>
    </w:p>
    <w:p w14:paraId="0FE8B56E" w14:textId="2E86D49E" w:rsidR="002678F9" w:rsidRPr="0037722C" w:rsidRDefault="002678F9" w:rsidP="003D4A47">
      <w:pPr>
        <w:ind w:left="0"/>
        <w:rPr>
          <w:rFonts w:cs="Arial"/>
          <w:sz w:val="22"/>
          <w:szCs w:val="22"/>
        </w:rPr>
      </w:pPr>
      <w:r w:rsidRPr="0037722C">
        <w:rPr>
          <w:rFonts w:cs="Arial"/>
          <w:sz w:val="22"/>
          <w:szCs w:val="22"/>
        </w:rPr>
        <w:t xml:space="preserve">Given the close proximity to ports, it is not planned to undertake refuelling on location, so refuelling spills have not been considered or modelled. </w:t>
      </w:r>
    </w:p>
    <w:p w14:paraId="1B9F3740" w14:textId="77777777" w:rsidR="003D4A47" w:rsidRPr="0037722C" w:rsidRDefault="003D4A47" w:rsidP="003D4A47">
      <w:pPr>
        <w:ind w:left="0"/>
        <w:rPr>
          <w:rFonts w:cs="Arial"/>
          <w:sz w:val="22"/>
          <w:szCs w:val="22"/>
        </w:rPr>
      </w:pPr>
    </w:p>
    <w:p w14:paraId="1283917F" w14:textId="6D182E6F" w:rsidR="00D740DA" w:rsidRPr="0037722C" w:rsidRDefault="00DE5C7C" w:rsidP="006825B9">
      <w:pPr>
        <w:ind w:left="0"/>
        <w:rPr>
          <w:rFonts w:cs="Arial"/>
          <w:sz w:val="22"/>
          <w:szCs w:val="22"/>
        </w:rPr>
      </w:pPr>
      <w:r w:rsidRPr="0037722C">
        <w:rPr>
          <w:rFonts w:cs="Arial"/>
          <w:sz w:val="22"/>
          <w:szCs w:val="22"/>
        </w:rPr>
        <w:t xml:space="preserve">Dispersion into the sea by the action of wind and waves can result in 25 to 50% of the loss of hydrocarbons from surface slicks and dissolution (solubility of hydrocarbons) can account for 1-10% loss from the surface. </w:t>
      </w:r>
      <w:r w:rsidR="006825B9">
        <w:rPr>
          <w:rFonts w:cs="Arial"/>
          <w:sz w:val="22"/>
          <w:szCs w:val="22"/>
        </w:rPr>
        <w:t>T</w:t>
      </w:r>
      <w:r w:rsidR="00FB1773" w:rsidRPr="0037722C">
        <w:rPr>
          <w:rFonts w:cs="Arial"/>
          <w:sz w:val="22"/>
          <w:szCs w:val="22"/>
        </w:rPr>
        <w:t>he majority of the MDO evaporates quickly</w:t>
      </w:r>
      <w:r w:rsidR="006825B9">
        <w:rPr>
          <w:rFonts w:cs="Arial"/>
          <w:sz w:val="22"/>
          <w:szCs w:val="22"/>
        </w:rPr>
        <w:t>;</w:t>
      </w:r>
      <w:r w:rsidR="00FB1773" w:rsidRPr="0037722C">
        <w:rPr>
          <w:rFonts w:cs="Arial"/>
          <w:sz w:val="22"/>
          <w:szCs w:val="22"/>
        </w:rPr>
        <w:t xml:space="preserve"> for this study, </w:t>
      </w:r>
      <w:r w:rsidR="00264DCC" w:rsidRPr="0037722C">
        <w:rPr>
          <w:rFonts w:cs="Arial"/>
          <w:sz w:val="22"/>
          <w:szCs w:val="22"/>
        </w:rPr>
        <w:t xml:space="preserve">there is an evaporation rate </w:t>
      </w:r>
      <w:r w:rsidR="00FB1773" w:rsidRPr="0037722C">
        <w:rPr>
          <w:rFonts w:cs="Arial"/>
          <w:sz w:val="22"/>
          <w:szCs w:val="22"/>
        </w:rPr>
        <w:t xml:space="preserve">between 29% in 15 knot winds and 42% in 5 knot winds, </w:t>
      </w:r>
      <w:r w:rsidR="00AD4261">
        <w:rPr>
          <w:rFonts w:cs="Arial"/>
          <w:sz w:val="22"/>
          <w:szCs w:val="22"/>
        </w:rPr>
        <w:t xml:space="preserve">as shown </w:t>
      </w:r>
      <w:r w:rsidR="00AD4261" w:rsidRPr="00C73BAC">
        <w:rPr>
          <w:rFonts w:cs="Arial"/>
          <w:sz w:val="22"/>
          <w:szCs w:val="22"/>
        </w:rPr>
        <w:t>in</w:t>
      </w:r>
      <w:r w:rsidR="00FB1773" w:rsidRPr="00C73BAC">
        <w:rPr>
          <w:rFonts w:cs="Arial"/>
          <w:sz w:val="22"/>
          <w:szCs w:val="22"/>
        </w:rPr>
        <w:t xml:space="preserve"> </w:t>
      </w:r>
      <w:r w:rsidR="00FB1773" w:rsidRPr="001B36E7">
        <w:rPr>
          <w:rFonts w:cs="Arial"/>
          <w:sz w:val="22"/>
          <w:szCs w:val="22"/>
        </w:rPr>
        <w:t>Figure 7.</w:t>
      </w:r>
      <w:r w:rsidR="00AD4261" w:rsidRPr="001B36E7">
        <w:rPr>
          <w:rFonts w:cs="Arial"/>
          <w:sz w:val="22"/>
          <w:szCs w:val="22"/>
        </w:rPr>
        <w:t>1</w:t>
      </w:r>
      <w:r w:rsidR="00C73BAC" w:rsidRPr="001B36E7">
        <w:rPr>
          <w:rFonts w:cs="Arial"/>
          <w:sz w:val="22"/>
          <w:szCs w:val="22"/>
        </w:rPr>
        <w:t>4</w:t>
      </w:r>
      <w:r w:rsidR="006825B9" w:rsidRPr="001B36E7">
        <w:rPr>
          <w:rFonts w:cs="Arial"/>
          <w:sz w:val="22"/>
          <w:szCs w:val="22"/>
        </w:rPr>
        <w:t>.</w:t>
      </w:r>
      <w:r w:rsidR="006825B9">
        <w:rPr>
          <w:rFonts w:cs="Arial"/>
          <w:color w:val="0432FF"/>
          <w:sz w:val="22"/>
          <w:szCs w:val="22"/>
        </w:rPr>
        <w:t xml:space="preserve"> </w:t>
      </w:r>
      <w:r w:rsidR="00FB1773" w:rsidRPr="0037722C">
        <w:rPr>
          <w:rFonts w:cs="Arial"/>
          <w:sz w:val="22"/>
          <w:szCs w:val="22"/>
        </w:rPr>
        <w:t>When spilled on water, MDO spreads very quickly to a thin film and have low viscosities that can result in hydrocarbons becoming physically dispersed as fine droplets into the water column when winds exceed 10 knots.</w:t>
      </w:r>
    </w:p>
    <w:p w14:paraId="7C444E96" w14:textId="162B1B5A" w:rsidR="00264DCC" w:rsidRPr="0037722C" w:rsidRDefault="00264DCC" w:rsidP="006825B9">
      <w:pPr>
        <w:ind w:left="0"/>
        <w:rPr>
          <w:rFonts w:cs="Arial"/>
          <w:sz w:val="22"/>
          <w:szCs w:val="22"/>
        </w:rPr>
      </w:pPr>
    </w:p>
    <w:p w14:paraId="1E74A6DD" w14:textId="4A760DCD" w:rsidR="00264DCC" w:rsidRDefault="00264DCC" w:rsidP="006825B9">
      <w:pPr>
        <w:ind w:left="0"/>
        <w:rPr>
          <w:rFonts w:cs="Arial"/>
          <w:sz w:val="22"/>
          <w:szCs w:val="22"/>
        </w:rPr>
      </w:pPr>
      <w:r w:rsidRPr="0037722C">
        <w:rPr>
          <w:rFonts w:cs="Arial"/>
          <w:sz w:val="22"/>
          <w:szCs w:val="22"/>
        </w:rPr>
        <w:t>In open water, diesel oil spills are so rapidly diluted that fish kills are rarely observed (this is more likely in confined, shallow waters)</w:t>
      </w:r>
      <w:r w:rsidR="00DE5C7C" w:rsidRPr="0037722C">
        <w:rPr>
          <w:rFonts w:cs="Arial"/>
          <w:sz w:val="22"/>
          <w:szCs w:val="22"/>
        </w:rPr>
        <w:t>.</w:t>
      </w:r>
    </w:p>
    <w:p w14:paraId="34473B44" w14:textId="77777777" w:rsidR="00AD4261" w:rsidRDefault="00AD4261" w:rsidP="00AD4261">
      <w:pPr>
        <w:rPr>
          <w:rFonts w:cs="Arial"/>
          <w:sz w:val="22"/>
          <w:szCs w:val="22"/>
        </w:rPr>
      </w:pPr>
    </w:p>
    <w:tbl>
      <w:tblPr>
        <w:tblStyle w:val="TableGrid"/>
        <w:tblW w:w="0" w:type="auto"/>
        <w:jc w:val="center"/>
        <w:tblLook w:val="04A0" w:firstRow="1" w:lastRow="0" w:firstColumn="1" w:lastColumn="0" w:noHBand="0" w:noVBand="1"/>
      </w:tblPr>
      <w:tblGrid>
        <w:gridCol w:w="7955"/>
      </w:tblGrid>
      <w:tr w:rsidR="00AD4261" w14:paraId="711DC590" w14:textId="77777777" w:rsidTr="00AD4261">
        <w:trPr>
          <w:jc w:val="center"/>
        </w:trPr>
        <w:tc>
          <w:tcPr>
            <w:tcW w:w="7955" w:type="dxa"/>
          </w:tcPr>
          <w:p w14:paraId="4926D09C" w14:textId="26060CA0" w:rsidR="00AD4261" w:rsidRDefault="00BA3C90" w:rsidP="00A10046">
            <w:pPr>
              <w:ind w:left="0"/>
            </w:pPr>
            <w:r w:rsidRPr="000A163E">
              <w:rPr>
                <w:noProof/>
              </w:rPr>
              <w:drawing>
                <wp:inline distT="0" distB="0" distL="0" distR="0" wp14:anchorId="5EDB37E4" wp14:editId="1AFBFDDF">
                  <wp:extent cx="4817610" cy="4569037"/>
                  <wp:effectExtent l="0" t="0" r="8890" b="317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Projects\Q0412 Origin - Enterprise 3D Seismic OSM\7. Modelling &amp; Calculations\Stochastic Output\_Weathering\5-10-15knots\MyProject_WeatheringPlot_Volume_edit.png"/>
                          <pic:cNvPicPr>
                            <a:picLocks noChangeAspect="1" noChangeArrowheads="1"/>
                          </pic:cNvPicPr>
                        </pic:nvPicPr>
                        <pic:blipFill>
                          <a:blip r:embed="rId296" cstate="screen">
                            <a:extLst>
                              <a:ext uri="{28A0092B-C50C-407E-A947-70E740481C1C}">
                                <a14:useLocalDpi xmlns:a14="http://schemas.microsoft.com/office/drawing/2010/main"/>
                              </a:ext>
                            </a:extLst>
                          </a:blip>
                          <a:stretch>
                            <a:fillRect/>
                          </a:stretch>
                        </pic:blipFill>
                        <pic:spPr bwMode="auto">
                          <a:xfrm>
                            <a:off x="0" y="0"/>
                            <a:ext cx="4818298" cy="4569690"/>
                          </a:xfrm>
                          <a:prstGeom prst="rect">
                            <a:avLst/>
                          </a:prstGeom>
                          <a:noFill/>
                          <a:ln>
                            <a:noFill/>
                          </a:ln>
                        </pic:spPr>
                      </pic:pic>
                    </a:graphicData>
                  </a:graphic>
                </wp:inline>
              </w:drawing>
            </w:r>
          </w:p>
        </w:tc>
      </w:tr>
    </w:tbl>
    <w:p w14:paraId="1E311DCD" w14:textId="2BB2A985" w:rsidR="00AD4261" w:rsidRPr="00320564" w:rsidRDefault="00AD4261" w:rsidP="00AD4261">
      <w:pPr>
        <w:spacing w:before="120"/>
        <w:ind w:left="0"/>
        <w:jc w:val="center"/>
        <w:rPr>
          <w:rFonts w:cs="Tahoma"/>
          <w:b/>
          <w:sz w:val="20"/>
          <w:szCs w:val="20"/>
        </w:rPr>
        <w:sectPr w:rsidR="00AD4261" w:rsidRPr="00320564" w:rsidSect="004471E8">
          <w:headerReference w:type="even" r:id="rId297"/>
          <w:headerReference w:type="default" r:id="rId298"/>
          <w:footerReference w:type="default" r:id="rId299"/>
          <w:headerReference w:type="first" r:id="rId300"/>
          <w:pgSz w:w="11906" w:h="16838" w:code="9"/>
          <w:pgMar w:top="1382" w:right="1800" w:bottom="1440" w:left="1800" w:header="994" w:footer="706" w:gutter="0"/>
          <w:cols w:space="708"/>
          <w:docGrid w:linePitch="360"/>
        </w:sectPr>
      </w:pPr>
      <w:r w:rsidRPr="00320564">
        <w:rPr>
          <w:rFonts w:cs="Tahoma"/>
          <w:b/>
          <w:sz w:val="20"/>
          <w:szCs w:val="20"/>
        </w:rPr>
        <w:t>Table 7.</w:t>
      </w:r>
      <w:r>
        <w:rPr>
          <w:rFonts w:cs="Tahoma"/>
          <w:b/>
          <w:sz w:val="20"/>
          <w:szCs w:val="20"/>
        </w:rPr>
        <w:t>1</w:t>
      </w:r>
      <w:r w:rsidR="00C73BAC">
        <w:rPr>
          <w:rFonts w:cs="Tahoma"/>
          <w:b/>
          <w:sz w:val="20"/>
          <w:szCs w:val="20"/>
        </w:rPr>
        <w:t>4</w:t>
      </w:r>
      <w:r w:rsidRPr="00320564">
        <w:rPr>
          <w:rFonts w:cs="Tahoma"/>
          <w:b/>
          <w:sz w:val="20"/>
          <w:szCs w:val="20"/>
        </w:rPr>
        <w:t>.</w:t>
      </w:r>
      <w:r w:rsidRPr="00320564">
        <w:rPr>
          <w:rFonts w:cs="Tahoma"/>
          <w:b/>
          <w:sz w:val="20"/>
          <w:szCs w:val="20"/>
        </w:rPr>
        <w:tab/>
        <w:t>Weathering and fates graph, as a function of volume, under 5, 10 and 15 knot static wind conditions, based on a 306 m</w:t>
      </w:r>
      <w:r w:rsidRPr="00320564">
        <w:rPr>
          <w:rFonts w:cs="Tahoma"/>
          <w:b/>
          <w:sz w:val="20"/>
          <w:szCs w:val="20"/>
          <w:vertAlign w:val="superscript"/>
        </w:rPr>
        <w:t>3</w:t>
      </w:r>
      <w:r w:rsidRPr="00320564">
        <w:rPr>
          <w:rFonts w:cs="Tahoma"/>
          <w:b/>
          <w:sz w:val="20"/>
          <w:szCs w:val="20"/>
        </w:rPr>
        <w:t xml:space="preserve"> surface release of MDO over 6 hours (tracked over 20 days)</w:t>
      </w:r>
    </w:p>
    <w:p w14:paraId="3052070F" w14:textId="33EAAF66" w:rsidR="00FA6977" w:rsidRPr="0037722C" w:rsidRDefault="00FA6977" w:rsidP="00FA6977">
      <w:pPr>
        <w:ind w:left="0"/>
        <w:rPr>
          <w:rFonts w:cs="Arial"/>
          <w:b/>
          <w:sz w:val="22"/>
          <w:szCs w:val="22"/>
        </w:rPr>
      </w:pPr>
      <w:r w:rsidRPr="0037722C">
        <w:rPr>
          <w:rFonts w:cs="Arial"/>
          <w:b/>
          <w:sz w:val="22"/>
          <w:szCs w:val="22"/>
        </w:rPr>
        <w:lastRenderedPageBreak/>
        <w:t>MDO spill modelling</w:t>
      </w:r>
    </w:p>
    <w:p w14:paraId="61812EBB" w14:textId="77777777" w:rsidR="00FA6977" w:rsidRPr="0037722C" w:rsidRDefault="00FA6977" w:rsidP="00FA6977">
      <w:pPr>
        <w:ind w:left="0"/>
        <w:rPr>
          <w:rFonts w:cs="Arial"/>
          <w:sz w:val="22"/>
          <w:szCs w:val="22"/>
        </w:rPr>
      </w:pPr>
    </w:p>
    <w:p w14:paraId="6A980116" w14:textId="1E61DD67" w:rsidR="003624D3" w:rsidRPr="0037722C" w:rsidRDefault="00D03869" w:rsidP="00FA6977">
      <w:pPr>
        <w:ind w:left="0"/>
        <w:rPr>
          <w:rFonts w:cs="Arial"/>
          <w:sz w:val="22"/>
          <w:szCs w:val="22"/>
        </w:rPr>
      </w:pPr>
      <w:r w:rsidRPr="0037722C">
        <w:rPr>
          <w:rFonts w:cs="Arial"/>
          <w:sz w:val="22"/>
          <w:szCs w:val="22"/>
        </w:rPr>
        <w:t xml:space="preserve">CarbonNet commissioned RPS-APASA to undertake </w:t>
      </w:r>
      <w:r w:rsidR="005C7077" w:rsidRPr="0037722C">
        <w:rPr>
          <w:rFonts w:cs="Arial"/>
          <w:sz w:val="22"/>
          <w:szCs w:val="22"/>
        </w:rPr>
        <w:t xml:space="preserve">oil spill </w:t>
      </w:r>
      <w:r w:rsidR="003624D3" w:rsidRPr="0037722C">
        <w:rPr>
          <w:rFonts w:cs="Arial"/>
          <w:sz w:val="22"/>
          <w:szCs w:val="22"/>
        </w:rPr>
        <w:t xml:space="preserve">trajectory </w:t>
      </w:r>
      <w:r w:rsidR="005C7077" w:rsidRPr="0037722C">
        <w:rPr>
          <w:rFonts w:cs="Arial"/>
          <w:sz w:val="22"/>
          <w:szCs w:val="22"/>
        </w:rPr>
        <w:t xml:space="preserve">modelling </w:t>
      </w:r>
      <w:r w:rsidR="003624D3" w:rsidRPr="0037722C">
        <w:rPr>
          <w:rFonts w:cs="Arial"/>
          <w:sz w:val="22"/>
          <w:szCs w:val="22"/>
        </w:rPr>
        <w:t xml:space="preserve">(OSTM) </w:t>
      </w:r>
      <w:r w:rsidR="005C7077" w:rsidRPr="0037722C">
        <w:rPr>
          <w:rFonts w:cs="Arial"/>
          <w:sz w:val="22"/>
          <w:szCs w:val="22"/>
        </w:rPr>
        <w:t>specific to the location and design of the proposed Pelican 3DMSS (RPS-APASA, 2016). This involved modelling the loss of 306 m</w:t>
      </w:r>
      <w:r w:rsidR="005C7077" w:rsidRPr="0037722C">
        <w:rPr>
          <w:rFonts w:cs="Arial"/>
          <w:sz w:val="22"/>
          <w:szCs w:val="22"/>
          <w:vertAlign w:val="superscript"/>
        </w:rPr>
        <w:t>3</w:t>
      </w:r>
      <w:r w:rsidR="005C7077" w:rsidRPr="0037722C">
        <w:rPr>
          <w:rFonts w:cs="Arial"/>
          <w:sz w:val="22"/>
          <w:szCs w:val="22"/>
        </w:rPr>
        <w:t xml:space="preserve"> of MDO over 6 hrs (51 m</w:t>
      </w:r>
      <w:r w:rsidR="005C7077" w:rsidRPr="0037722C">
        <w:rPr>
          <w:rFonts w:cs="Arial"/>
          <w:sz w:val="22"/>
          <w:szCs w:val="22"/>
          <w:vertAlign w:val="superscript"/>
        </w:rPr>
        <w:t>3</w:t>
      </w:r>
      <w:r w:rsidR="005C7077" w:rsidRPr="0037722C">
        <w:rPr>
          <w:rFonts w:cs="Arial"/>
          <w:sz w:val="22"/>
          <w:szCs w:val="22"/>
        </w:rPr>
        <w:t>/hr) for the September to April period, using an amalgamation of 100 spill release sites within the proposed operational area</w:t>
      </w:r>
      <w:r w:rsidR="00FE7695" w:rsidRPr="0037722C">
        <w:rPr>
          <w:rFonts w:cs="Arial"/>
          <w:sz w:val="22"/>
          <w:szCs w:val="22"/>
        </w:rPr>
        <w:t xml:space="preserve"> and</w:t>
      </w:r>
      <w:r w:rsidR="003624D3" w:rsidRPr="0037722C">
        <w:rPr>
          <w:rFonts w:cs="Arial"/>
          <w:sz w:val="22"/>
          <w:szCs w:val="22"/>
        </w:rPr>
        <w:t xml:space="preserve"> five years of wind and current data inputs (2011 to 2015 inclusive)</w:t>
      </w:r>
      <w:r w:rsidR="005C7077" w:rsidRPr="0037722C">
        <w:rPr>
          <w:rFonts w:cs="Arial"/>
          <w:sz w:val="22"/>
          <w:szCs w:val="22"/>
        </w:rPr>
        <w:t xml:space="preserve">. </w:t>
      </w:r>
    </w:p>
    <w:p w14:paraId="03B9DC36" w14:textId="77777777" w:rsidR="003624D3" w:rsidRPr="0037722C" w:rsidRDefault="003624D3" w:rsidP="00FA6977">
      <w:pPr>
        <w:ind w:left="0"/>
        <w:rPr>
          <w:rFonts w:cs="Arial"/>
          <w:sz w:val="22"/>
          <w:szCs w:val="22"/>
        </w:rPr>
      </w:pPr>
    </w:p>
    <w:p w14:paraId="1A2F9A7D" w14:textId="2F466AA1" w:rsidR="003624D3" w:rsidRPr="0037722C" w:rsidRDefault="003624D3" w:rsidP="00FA6977">
      <w:pPr>
        <w:ind w:left="0"/>
        <w:rPr>
          <w:rFonts w:cs="Arial"/>
          <w:i/>
          <w:sz w:val="22"/>
          <w:szCs w:val="22"/>
        </w:rPr>
      </w:pPr>
      <w:r w:rsidRPr="0037722C">
        <w:rPr>
          <w:rFonts w:cs="Arial"/>
          <w:i/>
          <w:sz w:val="22"/>
          <w:szCs w:val="22"/>
        </w:rPr>
        <w:t>MDO characteristics</w:t>
      </w:r>
    </w:p>
    <w:p w14:paraId="7954BE9F" w14:textId="77777777" w:rsidR="00D03869" w:rsidRPr="0037722C" w:rsidRDefault="00D03869" w:rsidP="00FA6977">
      <w:pPr>
        <w:ind w:left="0"/>
        <w:rPr>
          <w:rFonts w:cs="Arial"/>
          <w:sz w:val="22"/>
          <w:szCs w:val="22"/>
        </w:rPr>
      </w:pPr>
    </w:p>
    <w:p w14:paraId="3B756553" w14:textId="511F0A46" w:rsidR="003624D3" w:rsidRPr="00716F33" w:rsidRDefault="004471E8" w:rsidP="00FA6977">
      <w:pPr>
        <w:ind w:left="0"/>
        <w:rPr>
          <w:rFonts w:cs="Arial"/>
          <w:sz w:val="22"/>
          <w:szCs w:val="22"/>
        </w:rPr>
      </w:pPr>
      <w:r w:rsidRPr="0037722C">
        <w:rPr>
          <w:rFonts w:cs="Arial"/>
          <w:sz w:val="22"/>
          <w:szCs w:val="22"/>
        </w:rPr>
        <w:t>For the sake of conservativeness, MDO has been used for this OSTM, as this is a heavier product tha</w:t>
      </w:r>
      <w:r w:rsidR="000A75C1">
        <w:rPr>
          <w:rFonts w:cs="Arial"/>
          <w:sz w:val="22"/>
          <w:szCs w:val="22"/>
        </w:rPr>
        <w:t>n marine gas oil</w:t>
      </w:r>
      <w:r w:rsidRPr="0037722C">
        <w:rPr>
          <w:rFonts w:cs="Arial"/>
          <w:sz w:val="22"/>
          <w:szCs w:val="22"/>
        </w:rPr>
        <w:t xml:space="preserve">. </w:t>
      </w:r>
      <w:r w:rsidR="003624D3" w:rsidRPr="0037722C">
        <w:rPr>
          <w:rFonts w:cs="Arial"/>
          <w:sz w:val="22"/>
          <w:szCs w:val="22"/>
        </w:rPr>
        <w:t xml:space="preserve">The physical characteristics of the MDO are provided </w:t>
      </w:r>
      <w:r w:rsidR="003624D3" w:rsidRPr="00716F33">
        <w:rPr>
          <w:rFonts w:cs="Arial"/>
          <w:sz w:val="22"/>
          <w:szCs w:val="22"/>
        </w:rPr>
        <w:t xml:space="preserve">in </w:t>
      </w:r>
      <w:r w:rsidR="003624D3" w:rsidRPr="001B36E7">
        <w:rPr>
          <w:rFonts w:cs="Arial"/>
          <w:sz w:val="22"/>
          <w:szCs w:val="22"/>
        </w:rPr>
        <w:t>Table 7.</w:t>
      </w:r>
      <w:r w:rsidR="000A75C1" w:rsidRPr="001B36E7">
        <w:rPr>
          <w:rFonts w:cs="Arial"/>
          <w:sz w:val="22"/>
          <w:szCs w:val="22"/>
        </w:rPr>
        <w:t>4</w:t>
      </w:r>
      <w:r w:rsidR="001B36E7" w:rsidRPr="001B36E7">
        <w:rPr>
          <w:rFonts w:cs="Arial"/>
          <w:sz w:val="22"/>
          <w:szCs w:val="22"/>
        </w:rPr>
        <w:t>3</w:t>
      </w:r>
      <w:r w:rsidR="003624D3" w:rsidRPr="001B36E7">
        <w:rPr>
          <w:rFonts w:cs="Arial"/>
          <w:sz w:val="22"/>
          <w:szCs w:val="22"/>
        </w:rPr>
        <w:t>.</w:t>
      </w:r>
      <w:r w:rsidR="003624D3" w:rsidRPr="00716F33">
        <w:rPr>
          <w:rFonts w:cs="Arial"/>
          <w:sz w:val="22"/>
          <w:szCs w:val="22"/>
        </w:rPr>
        <w:t xml:space="preserve"> </w:t>
      </w:r>
    </w:p>
    <w:p w14:paraId="4321CEBA" w14:textId="77777777" w:rsidR="00D03869" w:rsidRPr="0037722C" w:rsidRDefault="00D03869" w:rsidP="00FA6977">
      <w:pPr>
        <w:ind w:left="0"/>
        <w:rPr>
          <w:rFonts w:cs="Arial"/>
          <w:szCs w:val="20"/>
        </w:rPr>
      </w:pPr>
    </w:p>
    <w:p w14:paraId="3CE6470F" w14:textId="2EDA0974" w:rsidR="00D03869" w:rsidRPr="0037722C" w:rsidRDefault="00D03869" w:rsidP="00D03869">
      <w:pPr>
        <w:spacing w:after="120"/>
        <w:ind w:left="0"/>
        <w:jc w:val="center"/>
        <w:rPr>
          <w:rFonts w:cs="Arial"/>
          <w:b/>
          <w:sz w:val="20"/>
          <w:szCs w:val="20"/>
        </w:rPr>
      </w:pPr>
      <w:r w:rsidRPr="0037722C">
        <w:rPr>
          <w:rFonts w:cs="Arial"/>
          <w:b/>
          <w:sz w:val="20"/>
          <w:szCs w:val="20"/>
        </w:rPr>
        <w:t>Table 7.</w:t>
      </w:r>
      <w:r w:rsidR="000A75C1">
        <w:rPr>
          <w:rFonts w:cs="Arial"/>
          <w:b/>
          <w:sz w:val="20"/>
          <w:szCs w:val="20"/>
        </w:rPr>
        <w:t>4</w:t>
      </w:r>
      <w:r w:rsidR="001B36E7">
        <w:rPr>
          <w:rFonts w:cs="Arial"/>
          <w:b/>
          <w:sz w:val="20"/>
          <w:szCs w:val="20"/>
        </w:rPr>
        <w:t>3</w:t>
      </w:r>
      <w:r w:rsidR="00A10046">
        <w:rPr>
          <w:rFonts w:cs="Arial"/>
          <w:b/>
          <w:sz w:val="20"/>
          <w:szCs w:val="20"/>
        </w:rPr>
        <w:t>.</w:t>
      </w:r>
      <w:r w:rsidRPr="0037722C">
        <w:rPr>
          <w:rFonts w:cs="Arial"/>
          <w:b/>
          <w:sz w:val="20"/>
          <w:szCs w:val="20"/>
        </w:rPr>
        <w:tab/>
        <w:t>Physical characteristics of the MDO</w:t>
      </w:r>
    </w:p>
    <w:tbl>
      <w:tblPr>
        <w:tblStyle w:val="TableGrid"/>
        <w:tblW w:w="69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4"/>
        <w:gridCol w:w="3402"/>
      </w:tblGrid>
      <w:tr w:rsidR="00D03869" w:rsidRPr="0037722C" w14:paraId="6E407DF3" w14:textId="77777777" w:rsidTr="005C7077">
        <w:trPr>
          <w:tblHeader/>
          <w:jc w:val="center"/>
        </w:trPr>
        <w:tc>
          <w:tcPr>
            <w:tcW w:w="3574" w:type="dxa"/>
            <w:tcBorders>
              <w:bottom w:val="single" w:sz="2" w:space="0" w:color="auto"/>
            </w:tcBorders>
            <w:shd w:val="clear" w:color="auto" w:fill="064EA8"/>
            <w:vAlign w:val="center"/>
          </w:tcPr>
          <w:p w14:paraId="12E3AC69" w14:textId="4215EFBA" w:rsidR="00D03869" w:rsidRPr="0037722C" w:rsidRDefault="00D03869" w:rsidP="00D03869">
            <w:pPr>
              <w:pStyle w:val="tabletitles"/>
              <w:rPr>
                <w:rFonts w:cs="Tahoma"/>
                <w:b w:val="0"/>
                <w:color w:val="FFFFFF" w:themeColor="background1"/>
                <w:sz w:val="20"/>
              </w:rPr>
            </w:pPr>
            <w:r w:rsidRPr="0037722C">
              <w:rPr>
                <w:rFonts w:cs="Tahoma"/>
                <w:b w:val="0"/>
                <w:color w:val="FFFFFF" w:themeColor="background1"/>
                <w:sz w:val="20"/>
              </w:rPr>
              <w:t>Oil property</w:t>
            </w:r>
          </w:p>
        </w:tc>
        <w:tc>
          <w:tcPr>
            <w:tcW w:w="3402" w:type="dxa"/>
            <w:shd w:val="clear" w:color="auto" w:fill="064EA8"/>
            <w:vAlign w:val="center"/>
          </w:tcPr>
          <w:p w14:paraId="4359FCB5" w14:textId="29650B37" w:rsidR="00D03869" w:rsidRPr="0037722C" w:rsidRDefault="00D03869" w:rsidP="001A5120">
            <w:pPr>
              <w:pStyle w:val="tabletitles"/>
              <w:jc w:val="center"/>
              <w:rPr>
                <w:rFonts w:cs="Tahoma"/>
                <w:b w:val="0"/>
                <w:color w:val="FFFFFF" w:themeColor="background1"/>
                <w:sz w:val="20"/>
              </w:rPr>
            </w:pPr>
            <w:r w:rsidRPr="0037722C">
              <w:rPr>
                <w:rFonts w:cs="Tahoma"/>
                <w:b w:val="0"/>
                <w:color w:val="FFFFFF" w:themeColor="background1"/>
                <w:sz w:val="20"/>
              </w:rPr>
              <w:t>MDO</w:t>
            </w:r>
          </w:p>
        </w:tc>
      </w:tr>
      <w:tr w:rsidR="00D03869" w:rsidRPr="0037722C" w14:paraId="51AEA2E3" w14:textId="77777777" w:rsidTr="005C7077">
        <w:trPr>
          <w:jc w:val="center"/>
        </w:trPr>
        <w:tc>
          <w:tcPr>
            <w:tcW w:w="3574" w:type="dxa"/>
            <w:tcBorders>
              <w:top w:val="single" w:sz="2" w:space="0" w:color="auto"/>
              <w:bottom w:val="single" w:sz="2" w:space="0" w:color="auto"/>
              <w:right w:val="single" w:sz="2" w:space="0" w:color="auto"/>
            </w:tcBorders>
          </w:tcPr>
          <w:p w14:paraId="3B2CB715" w14:textId="7916C477" w:rsidR="00D03869" w:rsidRPr="0037722C" w:rsidRDefault="00D03869" w:rsidP="00D03869">
            <w:pPr>
              <w:pStyle w:val="tabletext3"/>
              <w:rPr>
                <w:sz w:val="20"/>
                <w:szCs w:val="20"/>
              </w:rPr>
            </w:pPr>
            <w:r w:rsidRPr="0037722C">
              <w:rPr>
                <w:sz w:val="20"/>
                <w:szCs w:val="20"/>
              </w:rPr>
              <w:t>Density (kg/m</w:t>
            </w:r>
            <w:r w:rsidRPr="0037722C">
              <w:rPr>
                <w:sz w:val="20"/>
                <w:szCs w:val="20"/>
                <w:vertAlign w:val="superscript"/>
              </w:rPr>
              <w:t>3</w:t>
            </w:r>
            <w:r w:rsidRPr="0037722C">
              <w:rPr>
                <w:sz w:val="20"/>
                <w:szCs w:val="20"/>
              </w:rPr>
              <w:t>)</w:t>
            </w:r>
          </w:p>
        </w:tc>
        <w:tc>
          <w:tcPr>
            <w:tcW w:w="3402" w:type="dxa"/>
            <w:tcBorders>
              <w:left w:val="single" w:sz="2" w:space="0" w:color="auto"/>
            </w:tcBorders>
          </w:tcPr>
          <w:p w14:paraId="3D78785F" w14:textId="0287742F" w:rsidR="00D03869" w:rsidRPr="0037722C" w:rsidRDefault="00D03869" w:rsidP="001A5120">
            <w:pPr>
              <w:pStyle w:val="tabletext3"/>
              <w:jc w:val="center"/>
              <w:rPr>
                <w:sz w:val="20"/>
                <w:szCs w:val="20"/>
              </w:rPr>
            </w:pPr>
            <w:r w:rsidRPr="0037722C">
              <w:rPr>
                <w:sz w:val="20"/>
                <w:szCs w:val="20"/>
              </w:rPr>
              <w:t>829.1 @ 15°C</w:t>
            </w:r>
          </w:p>
        </w:tc>
      </w:tr>
      <w:tr w:rsidR="00D03869" w:rsidRPr="0037722C" w14:paraId="23C703F6" w14:textId="77777777" w:rsidTr="005C7077">
        <w:trPr>
          <w:jc w:val="center"/>
        </w:trPr>
        <w:tc>
          <w:tcPr>
            <w:tcW w:w="3574" w:type="dxa"/>
            <w:tcBorders>
              <w:top w:val="single" w:sz="2" w:space="0" w:color="auto"/>
              <w:bottom w:val="single" w:sz="2" w:space="0" w:color="auto"/>
              <w:right w:val="single" w:sz="2" w:space="0" w:color="auto"/>
            </w:tcBorders>
          </w:tcPr>
          <w:p w14:paraId="50E65767" w14:textId="797C04EF" w:rsidR="00D03869" w:rsidRPr="0037722C" w:rsidRDefault="00D03869" w:rsidP="001A5120">
            <w:pPr>
              <w:pStyle w:val="tabletext3"/>
              <w:rPr>
                <w:sz w:val="20"/>
                <w:szCs w:val="20"/>
              </w:rPr>
            </w:pPr>
            <w:r w:rsidRPr="0037722C">
              <w:rPr>
                <w:sz w:val="20"/>
                <w:szCs w:val="20"/>
              </w:rPr>
              <w:t>API</w:t>
            </w:r>
          </w:p>
        </w:tc>
        <w:tc>
          <w:tcPr>
            <w:tcW w:w="3402" w:type="dxa"/>
            <w:tcBorders>
              <w:left w:val="single" w:sz="2" w:space="0" w:color="auto"/>
            </w:tcBorders>
          </w:tcPr>
          <w:p w14:paraId="2FB3E78E" w14:textId="2180EB52" w:rsidR="00D03869" w:rsidRPr="0037722C" w:rsidRDefault="00D03869" w:rsidP="001A5120">
            <w:pPr>
              <w:pStyle w:val="tabletext3"/>
              <w:jc w:val="center"/>
              <w:rPr>
                <w:sz w:val="20"/>
                <w:szCs w:val="20"/>
              </w:rPr>
            </w:pPr>
            <w:r w:rsidRPr="0037722C">
              <w:rPr>
                <w:sz w:val="20"/>
                <w:szCs w:val="20"/>
              </w:rPr>
              <w:t>37.6</w:t>
            </w:r>
          </w:p>
        </w:tc>
      </w:tr>
      <w:tr w:rsidR="00D03869" w:rsidRPr="0037722C" w14:paraId="53B4F97C" w14:textId="77777777" w:rsidTr="005C7077">
        <w:trPr>
          <w:jc w:val="center"/>
        </w:trPr>
        <w:tc>
          <w:tcPr>
            <w:tcW w:w="3574" w:type="dxa"/>
            <w:tcBorders>
              <w:top w:val="single" w:sz="2" w:space="0" w:color="auto"/>
              <w:bottom w:val="single" w:sz="2" w:space="0" w:color="auto"/>
              <w:right w:val="single" w:sz="2" w:space="0" w:color="auto"/>
            </w:tcBorders>
          </w:tcPr>
          <w:p w14:paraId="6FED3AD0" w14:textId="25D640D5" w:rsidR="00D03869" w:rsidRPr="0037722C" w:rsidRDefault="00D03869" w:rsidP="001A5120">
            <w:pPr>
              <w:pStyle w:val="tabletext3"/>
              <w:rPr>
                <w:sz w:val="20"/>
                <w:szCs w:val="20"/>
              </w:rPr>
            </w:pPr>
            <w:r w:rsidRPr="0037722C">
              <w:rPr>
                <w:sz w:val="20"/>
                <w:szCs w:val="20"/>
              </w:rPr>
              <w:t>Dynamic viscosity (cP)</w:t>
            </w:r>
          </w:p>
        </w:tc>
        <w:tc>
          <w:tcPr>
            <w:tcW w:w="3402" w:type="dxa"/>
            <w:tcBorders>
              <w:left w:val="single" w:sz="2" w:space="0" w:color="auto"/>
            </w:tcBorders>
          </w:tcPr>
          <w:p w14:paraId="7AF63DFC" w14:textId="79AA02CA" w:rsidR="00D03869" w:rsidRPr="0037722C" w:rsidRDefault="00D03869" w:rsidP="001A5120">
            <w:pPr>
              <w:pStyle w:val="tabletext3"/>
              <w:jc w:val="center"/>
              <w:rPr>
                <w:sz w:val="20"/>
                <w:szCs w:val="20"/>
              </w:rPr>
            </w:pPr>
            <w:r w:rsidRPr="0037722C">
              <w:rPr>
                <w:sz w:val="20"/>
                <w:szCs w:val="20"/>
              </w:rPr>
              <w:t>4.0 @ 25°C</w:t>
            </w:r>
          </w:p>
        </w:tc>
      </w:tr>
      <w:tr w:rsidR="00D03869" w:rsidRPr="0037722C" w14:paraId="7EC16837" w14:textId="77777777" w:rsidTr="005C7077">
        <w:trPr>
          <w:jc w:val="center"/>
        </w:trPr>
        <w:tc>
          <w:tcPr>
            <w:tcW w:w="3574" w:type="dxa"/>
            <w:tcBorders>
              <w:top w:val="single" w:sz="2" w:space="0" w:color="auto"/>
              <w:bottom w:val="single" w:sz="2" w:space="0" w:color="auto"/>
              <w:right w:val="single" w:sz="2" w:space="0" w:color="auto"/>
            </w:tcBorders>
          </w:tcPr>
          <w:p w14:paraId="12DF87B7" w14:textId="67A3EB45" w:rsidR="00D03869" w:rsidRPr="0037722C" w:rsidRDefault="00D03869" w:rsidP="001A5120">
            <w:pPr>
              <w:pStyle w:val="tabletext3"/>
              <w:rPr>
                <w:sz w:val="20"/>
                <w:szCs w:val="20"/>
              </w:rPr>
            </w:pPr>
            <w:r w:rsidRPr="0037722C">
              <w:rPr>
                <w:sz w:val="20"/>
                <w:szCs w:val="20"/>
              </w:rPr>
              <w:t>Pour point (°C)</w:t>
            </w:r>
          </w:p>
        </w:tc>
        <w:tc>
          <w:tcPr>
            <w:tcW w:w="3402" w:type="dxa"/>
            <w:tcBorders>
              <w:left w:val="single" w:sz="2" w:space="0" w:color="auto"/>
            </w:tcBorders>
          </w:tcPr>
          <w:p w14:paraId="24662C62" w14:textId="0A39F061" w:rsidR="00D03869" w:rsidRPr="0037722C" w:rsidRDefault="00D03869" w:rsidP="001A5120">
            <w:pPr>
              <w:pStyle w:val="tabletext3"/>
              <w:jc w:val="center"/>
              <w:rPr>
                <w:sz w:val="20"/>
                <w:szCs w:val="20"/>
              </w:rPr>
            </w:pPr>
            <w:r w:rsidRPr="0037722C">
              <w:rPr>
                <w:sz w:val="20"/>
                <w:szCs w:val="20"/>
              </w:rPr>
              <w:t>-14</w:t>
            </w:r>
          </w:p>
        </w:tc>
      </w:tr>
      <w:tr w:rsidR="00D03869" w:rsidRPr="0037722C" w14:paraId="5A5F0455" w14:textId="77777777" w:rsidTr="005C7077">
        <w:trPr>
          <w:jc w:val="center"/>
        </w:trPr>
        <w:tc>
          <w:tcPr>
            <w:tcW w:w="3574" w:type="dxa"/>
            <w:tcBorders>
              <w:top w:val="single" w:sz="2" w:space="0" w:color="auto"/>
              <w:bottom w:val="single" w:sz="2" w:space="0" w:color="auto"/>
              <w:right w:val="single" w:sz="2" w:space="0" w:color="auto"/>
            </w:tcBorders>
          </w:tcPr>
          <w:p w14:paraId="33ABB828" w14:textId="6F3F7A45" w:rsidR="00D03869" w:rsidRPr="0037722C" w:rsidRDefault="00D03869" w:rsidP="001A5120">
            <w:pPr>
              <w:pStyle w:val="tabletext3"/>
              <w:rPr>
                <w:sz w:val="20"/>
                <w:szCs w:val="20"/>
              </w:rPr>
            </w:pPr>
            <w:r w:rsidRPr="0037722C">
              <w:rPr>
                <w:sz w:val="20"/>
                <w:szCs w:val="20"/>
              </w:rPr>
              <w:t>Oil property category</w:t>
            </w:r>
            <w:r w:rsidR="005C7077" w:rsidRPr="0037722C">
              <w:rPr>
                <w:sz w:val="20"/>
                <w:szCs w:val="20"/>
              </w:rPr>
              <w:t xml:space="preserve"> (ITOPF)</w:t>
            </w:r>
          </w:p>
        </w:tc>
        <w:tc>
          <w:tcPr>
            <w:tcW w:w="3402" w:type="dxa"/>
            <w:tcBorders>
              <w:left w:val="single" w:sz="2" w:space="0" w:color="auto"/>
            </w:tcBorders>
          </w:tcPr>
          <w:p w14:paraId="5DC49A44" w14:textId="55CB31B9" w:rsidR="00D03869" w:rsidRPr="0037722C" w:rsidRDefault="00D03869" w:rsidP="005C7077">
            <w:pPr>
              <w:pStyle w:val="tabletext3"/>
              <w:jc w:val="center"/>
              <w:rPr>
                <w:sz w:val="20"/>
                <w:szCs w:val="20"/>
              </w:rPr>
            </w:pPr>
            <w:r w:rsidRPr="0037722C">
              <w:rPr>
                <w:sz w:val="20"/>
                <w:szCs w:val="20"/>
              </w:rPr>
              <w:t>Group II</w:t>
            </w:r>
          </w:p>
        </w:tc>
      </w:tr>
      <w:tr w:rsidR="00D03869" w:rsidRPr="0037722C" w14:paraId="19DB719B" w14:textId="77777777" w:rsidTr="005C7077">
        <w:trPr>
          <w:jc w:val="center"/>
        </w:trPr>
        <w:tc>
          <w:tcPr>
            <w:tcW w:w="3574" w:type="dxa"/>
            <w:tcBorders>
              <w:top w:val="single" w:sz="2" w:space="0" w:color="auto"/>
              <w:bottom w:val="single" w:sz="2" w:space="0" w:color="auto"/>
              <w:right w:val="single" w:sz="2" w:space="0" w:color="auto"/>
            </w:tcBorders>
          </w:tcPr>
          <w:p w14:paraId="6C8F5C44" w14:textId="12A1FA43" w:rsidR="00D03869" w:rsidRPr="0037722C" w:rsidRDefault="00D03869" w:rsidP="001A5120">
            <w:pPr>
              <w:pStyle w:val="tabletext3"/>
              <w:rPr>
                <w:sz w:val="20"/>
                <w:szCs w:val="20"/>
              </w:rPr>
            </w:pPr>
            <w:r w:rsidRPr="0037722C">
              <w:rPr>
                <w:sz w:val="20"/>
                <w:szCs w:val="20"/>
              </w:rPr>
              <w:t>Oil persistence calssification</w:t>
            </w:r>
          </w:p>
        </w:tc>
        <w:tc>
          <w:tcPr>
            <w:tcW w:w="3402" w:type="dxa"/>
            <w:tcBorders>
              <w:left w:val="single" w:sz="2" w:space="0" w:color="auto"/>
            </w:tcBorders>
          </w:tcPr>
          <w:p w14:paraId="52D393D7" w14:textId="498DF0BE" w:rsidR="00D03869" w:rsidRPr="0037722C" w:rsidRDefault="00D03869" w:rsidP="001A5120">
            <w:pPr>
              <w:pStyle w:val="tabletext3"/>
              <w:jc w:val="center"/>
              <w:rPr>
                <w:sz w:val="20"/>
                <w:szCs w:val="20"/>
              </w:rPr>
            </w:pPr>
            <w:r w:rsidRPr="0037722C">
              <w:rPr>
                <w:sz w:val="20"/>
                <w:szCs w:val="20"/>
              </w:rPr>
              <w:t>Light persistent oil</w:t>
            </w:r>
            <w:r w:rsidR="000A75C1">
              <w:rPr>
                <w:sz w:val="20"/>
                <w:szCs w:val="20"/>
              </w:rPr>
              <w:t xml:space="preserve"> (5%)</w:t>
            </w:r>
          </w:p>
        </w:tc>
      </w:tr>
    </w:tbl>
    <w:p w14:paraId="3E94DD5A" w14:textId="77777777" w:rsidR="00FA6977" w:rsidRPr="0037722C" w:rsidRDefault="00FA6977" w:rsidP="00FA6977">
      <w:pPr>
        <w:ind w:left="0"/>
        <w:rPr>
          <w:rFonts w:cs="Arial"/>
          <w:sz w:val="20"/>
          <w:szCs w:val="20"/>
        </w:rPr>
      </w:pPr>
    </w:p>
    <w:p w14:paraId="18D7429F" w14:textId="77777777" w:rsidR="00FA6977" w:rsidRPr="0037722C" w:rsidRDefault="00FA6977" w:rsidP="00FA6977">
      <w:pPr>
        <w:ind w:left="0"/>
        <w:rPr>
          <w:rFonts w:cs="Arial"/>
          <w:szCs w:val="20"/>
        </w:rPr>
      </w:pPr>
    </w:p>
    <w:p w14:paraId="15239193" w14:textId="4B2508BB" w:rsidR="00FA6977" w:rsidRPr="0037722C" w:rsidRDefault="00D20C1F" w:rsidP="00FA6977">
      <w:pPr>
        <w:ind w:left="0"/>
        <w:rPr>
          <w:rFonts w:cs="Arial"/>
          <w:i/>
          <w:sz w:val="22"/>
          <w:szCs w:val="22"/>
        </w:rPr>
      </w:pPr>
      <w:r w:rsidRPr="0037722C">
        <w:rPr>
          <w:rFonts w:cs="Arial"/>
          <w:i/>
          <w:sz w:val="22"/>
          <w:szCs w:val="22"/>
        </w:rPr>
        <w:t>Spill Location</w:t>
      </w:r>
    </w:p>
    <w:p w14:paraId="3C4556F0" w14:textId="77777777" w:rsidR="00D20C1F" w:rsidRPr="0037722C" w:rsidRDefault="00D20C1F" w:rsidP="00FA6977">
      <w:pPr>
        <w:ind w:left="0"/>
        <w:rPr>
          <w:rFonts w:cs="Arial"/>
          <w:sz w:val="22"/>
          <w:szCs w:val="22"/>
        </w:rPr>
      </w:pPr>
    </w:p>
    <w:p w14:paraId="4C1610DE" w14:textId="393DD013" w:rsidR="00B01614" w:rsidRPr="000A75C1" w:rsidRDefault="00B01614" w:rsidP="000A75C1">
      <w:pPr>
        <w:ind w:left="0"/>
        <w:rPr>
          <w:rFonts w:cs="Arial"/>
          <w:sz w:val="22"/>
          <w:szCs w:val="22"/>
        </w:rPr>
      </w:pPr>
      <w:r w:rsidRPr="0037722C">
        <w:rPr>
          <w:rFonts w:cs="Arial"/>
          <w:sz w:val="22"/>
          <w:szCs w:val="22"/>
        </w:rPr>
        <w:t>For this assessment, 100 release sites spaced approximately 1-2 km apart within and around the perimeter of the operational area were selected, with one simulation run from each point. This removes any bias in selecting a single spill location</w:t>
      </w:r>
      <w:r w:rsidR="000A75C1">
        <w:rPr>
          <w:rFonts w:cs="Arial"/>
          <w:sz w:val="22"/>
          <w:szCs w:val="22"/>
        </w:rPr>
        <w:t>.</w:t>
      </w:r>
    </w:p>
    <w:p w14:paraId="11E92014" w14:textId="77777777" w:rsidR="00B01614" w:rsidRPr="0037722C" w:rsidRDefault="00B01614" w:rsidP="00FA6977">
      <w:pPr>
        <w:ind w:left="0"/>
        <w:rPr>
          <w:rFonts w:cs="Arial"/>
          <w:sz w:val="22"/>
          <w:szCs w:val="22"/>
        </w:rPr>
      </w:pPr>
    </w:p>
    <w:p w14:paraId="5C23C58E" w14:textId="423AB96B" w:rsidR="00D20C1F" w:rsidRPr="0037722C" w:rsidRDefault="00D20C1F" w:rsidP="00FA6977">
      <w:pPr>
        <w:ind w:left="0"/>
        <w:rPr>
          <w:rFonts w:cs="Arial"/>
          <w:i/>
          <w:sz w:val="22"/>
          <w:szCs w:val="22"/>
        </w:rPr>
      </w:pPr>
      <w:r w:rsidRPr="0037722C">
        <w:rPr>
          <w:rFonts w:cs="Arial"/>
          <w:i/>
          <w:sz w:val="22"/>
          <w:szCs w:val="22"/>
        </w:rPr>
        <w:t>Spill Volume</w:t>
      </w:r>
    </w:p>
    <w:p w14:paraId="635EADB4" w14:textId="77777777" w:rsidR="00D20C1F" w:rsidRPr="0037722C" w:rsidRDefault="00D20C1F" w:rsidP="00FA6977">
      <w:pPr>
        <w:ind w:left="0"/>
        <w:rPr>
          <w:rFonts w:cs="Arial"/>
          <w:sz w:val="22"/>
          <w:szCs w:val="22"/>
        </w:rPr>
      </w:pPr>
    </w:p>
    <w:p w14:paraId="57AD82F5" w14:textId="04FC128C" w:rsidR="00D20C1F" w:rsidRPr="0037722C" w:rsidRDefault="00D20C1F" w:rsidP="00D20C1F">
      <w:pPr>
        <w:ind w:left="0"/>
        <w:rPr>
          <w:rFonts w:cs="Arial"/>
          <w:sz w:val="22"/>
          <w:szCs w:val="22"/>
        </w:rPr>
      </w:pPr>
      <w:r w:rsidRPr="0037722C">
        <w:rPr>
          <w:rFonts w:cs="Arial"/>
          <w:sz w:val="22"/>
          <w:szCs w:val="22"/>
        </w:rPr>
        <w:t>AMSA’s Technical Guidelines for preparing Contingency Plans for Marine and Coastal Facilities (AMSA, 2015, pg 24) indicates that an appropriate spill size for a vessel collision (a non-oil tanker) should be based on the volume of the largest tank</w:t>
      </w:r>
      <w:r w:rsidR="00C85F15" w:rsidRPr="0037722C">
        <w:rPr>
          <w:rFonts w:cs="Arial"/>
          <w:sz w:val="22"/>
          <w:szCs w:val="22"/>
        </w:rPr>
        <w:t>, while the volume for a non-major grounding should be based on the total fuel volume of one tank</w:t>
      </w:r>
      <w:r w:rsidRPr="0037722C">
        <w:rPr>
          <w:rFonts w:cs="Arial"/>
          <w:sz w:val="22"/>
          <w:szCs w:val="22"/>
        </w:rPr>
        <w:t>.</w:t>
      </w:r>
      <w:r w:rsidR="004471E8" w:rsidRPr="0037722C">
        <w:rPr>
          <w:rFonts w:cs="Arial"/>
          <w:sz w:val="22"/>
          <w:szCs w:val="22"/>
        </w:rPr>
        <w:t xml:space="preserve"> CarbonNet has used this guidance in determining the volume to be modelled for this study.</w:t>
      </w:r>
    </w:p>
    <w:p w14:paraId="701A5749" w14:textId="77777777" w:rsidR="00D20C1F" w:rsidRPr="0037722C" w:rsidRDefault="00D20C1F" w:rsidP="00D20C1F">
      <w:pPr>
        <w:ind w:left="0"/>
        <w:rPr>
          <w:rFonts w:cs="Arial"/>
          <w:sz w:val="22"/>
          <w:szCs w:val="22"/>
        </w:rPr>
      </w:pPr>
    </w:p>
    <w:p w14:paraId="4D3A5251" w14:textId="45CD795F" w:rsidR="00D20C1F" w:rsidRPr="0037722C" w:rsidRDefault="000A75C1" w:rsidP="00D20C1F">
      <w:pPr>
        <w:ind w:left="0"/>
        <w:rPr>
          <w:rFonts w:cs="Arial"/>
          <w:sz w:val="22"/>
          <w:szCs w:val="22"/>
        </w:rPr>
      </w:pPr>
      <w:r>
        <w:rPr>
          <w:rFonts w:cs="Arial"/>
          <w:sz w:val="22"/>
          <w:szCs w:val="22"/>
        </w:rPr>
        <w:t>While</w:t>
      </w:r>
      <w:r w:rsidR="00C85F15" w:rsidRPr="00171162">
        <w:rPr>
          <w:rFonts w:cs="Arial"/>
          <w:sz w:val="22"/>
          <w:szCs w:val="22"/>
        </w:rPr>
        <w:t xml:space="preserve"> t</w:t>
      </w:r>
      <w:r w:rsidR="00D20C1F" w:rsidRPr="00171162">
        <w:rPr>
          <w:rFonts w:cs="Arial"/>
          <w:sz w:val="22"/>
          <w:szCs w:val="22"/>
        </w:rPr>
        <w:t xml:space="preserve">he </w:t>
      </w:r>
      <w:r w:rsidR="00C85F15" w:rsidRPr="00171162">
        <w:rPr>
          <w:rFonts w:cs="Arial"/>
          <w:sz w:val="22"/>
          <w:szCs w:val="22"/>
        </w:rPr>
        <w:t xml:space="preserve">exact </w:t>
      </w:r>
      <w:r w:rsidR="00D20C1F" w:rsidRPr="00171162">
        <w:rPr>
          <w:rFonts w:cs="Arial"/>
          <w:sz w:val="22"/>
          <w:szCs w:val="22"/>
        </w:rPr>
        <w:t xml:space="preserve">volume of MDO to be carried by the vessel </w:t>
      </w:r>
      <w:r>
        <w:rPr>
          <w:rFonts w:cs="Arial"/>
          <w:sz w:val="22"/>
          <w:szCs w:val="22"/>
        </w:rPr>
        <w:t>could not</w:t>
      </w:r>
      <w:r w:rsidR="00D20C1F" w:rsidRPr="00171162">
        <w:rPr>
          <w:rFonts w:cs="Arial"/>
          <w:sz w:val="22"/>
          <w:szCs w:val="22"/>
        </w:rPr>
        <w:t xml:space="preserve"> be provided</w:t>
      </w:r>
      <w:r>
        <w:rPr>
          <w:rFonts w:cs="Arial"/>
          <w:sz w:val="22"/>
          <w:szCs w:val="22"/>
        </w:rPr>
        <w:t xml:space="preserve"> at the time of undertaking the OSTM, </w:t>
      </w:r>
      <w:r w:rsidR="00D20C1F" w:rsidRPr="00171162">
        <w:rPr>
          <w:rFonts w:cs="Arial"/>
          <w:sz w:val="22"/>
          <w:szCs w:val="22"/>
        </w:rPr>
        <w:t>based on a search of vessel specifications for several seismic operators, it was found that that average diesel fuel storage capacity of seismic vessels is 3</w:t>
      </w:r>
      <w:r w:rsidR="00171162" w:rsidRPr="00171162">
        <w:rPr>
          <w:rFonts w:cs="Arial"/>
          <w:sz w:val="22"/>
          <w:szCs w:val="22"/>
        </w:rPr>
        <w:t>8</w:t>
      </w:r>
      <w:r w:rsidR="00D20C1F" w:rsidRPr="00171162">
        <w:rPr>
          <w:rFonts w:cs="Arial"/>
          <w:sz w:val="22"/>
          <w:szCs w:val="22"/>
        </w:rPr>
        <w:t>5 m</w:t>
      </w:r>
      <w:r w:rsidR="00D20C1F" w:rsidRPr="00171162">
        <w:rPr>
          <w:rFonts w:cs="Arial"/>
          <w:sz w:val="22"/>
          <w:szCs w:val="22"/>
          <w:vertAlign w:val="superscript"/>
        </w:rPr>
        <w:t>3</w:t>
      </w:r>
      <w:r w:rsidR="00D20C1F" w:rsidRPr="0037722C">
        <w:rPr>
          <w:rFonts w:cs="Arial"/>
          <w:sz w:val="22"/>
          <w:szCs w:val="22"/>
        </w:rPr>
        <w:t xml:space="preserve">. </w:t>
      </w:r>
      <w:r w:rsidR="00DB2697">
        <w:rPr>
          <w:rFonts w:cs="Arial"/>
          <w:sz w:val="22"/>
          <w:szCs w:val="22"/>
        </w:rPr>
        <w:t xml:space="preserve">Fuel tanks are typically spread in reasonably uniform sizes around the hull of such vessels (vessels of this size may have six or more tanks), </w:t>
      </w:r>
      <w:r w:rsidR="009C323F">
        <w:rPr>
          <w:rFonts w:cs="Arial"/>
          <w:sz w:val="22"/>
          <w:szCs w:val="22"/>
        </w:rPr>
        <w:t xml:space="preserve">so based on an average total volume of </w:t>
      </w:r>
      <w:r w:rsidR="009C323F" w:rsidRPr="00171162">
        <w:rPr>
          <w:rFonts w:cs="Arial"/>
          <w:sz w:val="22"/>
          <w:szCs w:val="22"/>
        </w:rPr>
        <w:t>385 m</w:t>
      </w:r>
      <w:r w:rsidR="009C323F" w:rsidRPr="00171162">
        <w:rPr>
          <w:rFonts w:cs="Arial"/>
          <w:sz w:val="22"/>
          <w:szCs w:val="22"/>
          <w:vertAlign w:val="superscript"/>
        </w:rPr>
        <w:t>3</w:t>
      </w:r>
      <w:r w:rsidR="009C323F">
        <w:rPr>
          <w:rFonts w:cs="Arial"/>
          <w:sz w:val="22"/>
          <w:szCs w:val="22"/>
        </w:rPr>
        <w:t>,</w:t>
      </w:r>
      <w:r w:rsidR="009C323F" w:rsidRPr="00171162">
        <w:rPr>
          <w:rFonts w:cs="Arial"/>
          <w:sz w:val="22"/>
          <w:szCs w:val="22"/>
        </w:rPr>
        <w:t xml:space="preserve"> </w:t>
      </w:r>
      <w:r w:rsidR="009C323F">
        <w:rPr>
          <w:rFonts w:cs="Arial"/>
          <w:sz w:val="22"/>
          <w:szCs w:val="22"/>
        </w:rPr>
        <w:t xml:space="preserve">an individual tank is likely to be in the order of 64 </w:t>
      </w:r>
      <w:r w:rsidR="009C323F" w:rsidRPr="00171162">
        <w:rPr>
          <w:rFonts w:cs="Arial"/>
          <w:sz w:val="22"/>
          <w:szCs w:val="22"/>
        </w:rPr>
        <w:t>m</w:t>
      </w:r>
      <w:r w:rsidR="009C323F" w:rsidRPr="00171162">
        <w:rPr>
          <w:rFonts w:cs="Arial"/>
          <w:sz w:val="22"/>
          <w:szCs w:val="22"/>
          <w:vertAlign w:val="superscript"/>
        </w:rPr>
        <w:t>3</w:t>
      </w:r>
      <w:r w:rsidR="009C323F">
        <w:rPr>
          <w:rFonts w:cs="Arial"/>
          <w:sz w:val="22"/>
          <w:szCs w:val="22"/>
        </w:rPr>
        <w:t>.</w:t>
      </w:r>
      <w:r w:rsidR="009C323F" w:rsidRPr="00171162">
        <w:rPr>
          <w:rFonts w:cs="Arial"/>
          <w:sz w:val="22"/>
          <w:szCs w:val="22"/>
        </w:rPr>
        <w:t xml:space="preserve"> </w:t>
      </w:r>
      <w:r w:rsidR="00D20C1F" w:rsidRPr="0037722C">
        <w:rPr>
          <w:rFonts w:cs="Arial"/>
          <w:sz w:val="22"/>
          <w:szCs w:val="22"/>
        </w:rPr>
        <w:t xml:space="preserve">For the sake of conservativeness, </w:t>
      </w:r>
      <w:r w:rsidR="00C85F15" w:rsidRPr="0037722C">
        <w:rPr>
          <w:rFonts w:cs="Arial"/>
          <w:sz w:val="22"/>
          <w:szCs w:val="22"/>
        </w:rPr>
        <w:t>CarbonNet</w:t>
      </w:r>
      <w:r w:rsidR="00D20C1F" w:rsidRPr="0037722C">
        <w:rPr>
          <w:rFonts w:cs="Arial"/>
          <w:sz w:val="22"/>
          <w:szCs w:val="22"/>
        </w:rPr>
        <w:t xml:space="preserve"> has assumed the largest tank size for this modelling to </w:t>
      </w:r>
      <w:r w:rsidR="00171162">
        <w:rPr>
          <w:rFonts w:cs="Arial"/>
          <w:sz w:val="22"/>
          <w:szCs w:val="22"/>
        </w:rPr>
        <w:t xml:space="preserve">contain 80% of the maximum fuel capacity, this </w:t>
      </w:r>
      <w:r w:rsidR="00D20C1F" w:rsidRPr="0037722C">
        <w:rPr>
          <w:rFonts w:cs="Arial"/>
          <w:sz w:val="22"/>
          <w:szCs w:val="22"/>
        </w:rPr>
        <w:t>be</w:t>
      </w:r>
      <w:r w:rsidR="00171162">
        <w:rPr>
          <w:rFonts w:cs="Arial"/>
          <w:sz w:val="22"/>
          <w:szCs w:val="22"/>
        </w:rPr>
        <w:t>ing</w:t>
      </w:r>
      <w:r w:rsidR="00D20C1F" w:rsidRPr="0037722C">
        <w:rPr>
          <w:rFonts w:cs="Arial"/>
          <w:sz w:val="22"/>
          <w:szCs w:val="22"/>
        </w:rPr>
        <w:t xml:space="preserve"> 30</w:t>
      </w:r>
      <w:r w:rsidR="0037722C">
        <w:rPr>
          <w:rFonts w:cs="Arial"/>
          <w:sz w:val="22"/>
          <w:szCs w:val="22"/>
        </w:rPr>
        <w:t>6</w:t>
      </w:r>
      <w:r w:rsidR="00D20C1F" w:rsidRPr="0037722C">
        <w:rPr>
          <w:rFonts w:cs="Arial"/>
          <w:sz w:val="22"/>
          <w:szCs w:val="22"/>
        </w:rPr>
        <w:t xml:space="preserve"> m</w:t>
      </w:r>
      <w:r w:rsidR="00D20C1F" w:rsidRPr="0037722C">
        <w:rPr>
          <w:rFonts w:cs="Arial"/>
          <w:sz w:val="22"/>
          <w:szCs w:val="22"/>
          <w:vertAlign w:val="superscript"/>
        </w:rPr>
        <w:t>3</w:t>
      </w:r>
      <w:r w:rsidR="00171162">
        <w:rPr>
          <w:rFonts w:cs="Arial"/>
          <w:sz w:val="22"/>
          <w:szCs w:val="22"/>
        </w:rPr>
        <w:t>;</w:t>
      </w:r>
      <w:r w:rsidR="00D20C1F" w:rsidRPr="0037722C">
        <w:rPr>
          <w:rFonts w:cs="Arial"/>
          <w:sz w:val="22"/>
          <w:szCs w:val="22"/>
        </w:rPr>
        <w:t xml:space="preserve"> </w:t>
      </w:r>
      <w:r w:rsidR="00171162">
        <w:rPr>
          <w:rFonts w:cs="Arial"/>
          <w:sz w:val="22"/>
          <w:szCs w:val="22"/>
        </w:rPr>
        <w:t xml:space="preserve">this is the volume that has </w:t>
      </w:r>
      <w:r w:rsidR="00D20C1F" w:rsidRPr="0037722C">
        <w:rPr>
          <w:rFonts w:cs="Arial"/>
          <w:sz w:val="22"/>
          <w:szCs w:val="22"/>
        </w:rPr>
        <w:t xml:space="preserve">been </w:t>
      </w:r>
      <w:r w:rsidR="00171162">
        <w:rPr>
          <w:rFonts w:cs="Arial"/>
          <w:sz w:val="22"/>
          <w:szCs w:val="22"/>
        </w:rPr>
        <w:t>used for the OSTM</w:t>
      </w:r>
      <w:r w:rsidR="00D20C1F" w:rsidRPr="0037722C">
        <w:rPr>
          <w:rFonts w:cs="Arial"/>
          <w:sz w:val="22"/>
          <w:szCs w:val="22"/>
        </w:rPr>
        <w:t xml:space="preserve">. </w:t>
      </w:r>
    </w:p>
    <w:p w14:paraId="6EB411D2" w14:textId="77777777" w:rsidR="00D20C1F" w:rsidRPr="0037722C" w:rsidRDefault="00D20C1F" w:rsidP="00D20C1F">
      <w:pPr>
        <w:ind w:left="0"/>
        <w:rPr>
          <w:rFonts w:cs="Arial"/>
          <w:sz w:val="22"/>
          <w:szCs w:val="22"/>
        </w:rPr>
      </w:pPr>
    </w:p>
    <w:p w14:paraId="132FA473" w14:textId="45294225" w:rsidR="001A5120" w:rsidRPr="009507BF" w:rsidRDefault="009507BF" w:rsidP="00D20C1F">
      <w:pPr>
        <w:ind w:left="0"/>
        <w:rPr>
          <w:rFonts w:cs="Arial"/>
          <w:i/>
          <w:sz w:val="22"/>
          <w:szCs w:val="22"/>
        </w:rPr>
      </w:pPr>
      <w:r>
        <w:rPr>
          <w:rFonts w:cs="Arial"/>
          <w:i/>
          <w:sz w:val="22"/>
          <w:szCs w:val="22"/>
        </w:rPr>
        <w:lastRenderedPageBreak/>
        <w:t>Spill T</w:t>
      </w:r>
      <w:r w:rsidRPr="009507BF">
        <w:rPr>
          <w:rFonts w:cs="Arial"/>
          <w:i/>
          <w:sz w:val="22"/>
          <w:szCs w:val="22"/>
        </w:rPr>
        <w:t>hresholds</w:t>
      </w:r>
    </w:p>
    <w:p w14:paraId="76B5F8D7" w14:textId="77777777" w:rsidR="009507BF" w:rsidRPr="00320564" w:rsidRDefault="009507BF" w:rsidP="00D20C1F">
      <w:pPr>
        <w:ind w:left="0"/>
        <w:rPr>
          <w:rFonts w:cs="Arial"/>
          <w:sz w:val="22"/>
          <w:szCs w:val="22"/>
        </w:rPr>
      </w:pPr>
    </w:p>
    <w:p w14:paraId="6E524481" w14:textId="7DA981CD" w:rsidR="007932B7" w:rsidRPr="00320564" w:rsidRDefault="007932B7" w:rsidP="007932B7">
      <w:pPr>
        <w:ind w:left="0"/>
        <w:rPr>
          <w:rFonts w:cs="Arial"/>
          <w:sz w:val="22"/>
          <w:szCs w:val="22"/>
        </w:rPr>
      </w:pPr>
      <w:r w:rsidRPr="00320564">
        <w:rPr>
          <w:rFonts w:cs="Arial"/>
          <w:sz w:val="22"/>
          <w:szCs w:val="22"/>
        </w:rPr>
        <w:t xml:space="preserve">An outline of the spill </w:t>
      </w:r>
      <w:r w:rsidRPr="00716F33">
        <w:rPr>
          <w:rFonts w:cs="Arial"/>
          <w:sz w:val="22"/>
          <w:szCs w:val="22"/>
        </w:rPr>
        <w:t xml:space="preserve">thresholds used for the OSTM, together with the justification for their use, is provided in </w:t>
      </w:r>
      <w:r w:rsidRPr="001B36E7">
        <w:rPr>
          <w:rFonts w:cs="Arial"/>
          <w:sz w:val="22"/>
          <w:szCs w:val="22"/>
        </w:rPr>
        <w:t>Table 7.</w:t>
      </w:r>
      <w:r w:rsidR="001B36E7" w:rsidRPr="001B36E7">
        <w:rPr>
          <w:rFonts w:cs="Arial"/>
          <w:sz w:val="22"/>
          <w:szCs w:val="22"/>
        </w:rPr>
        <w:t>44</w:t>
      </w:r>
      <w:r w:rsidRPr="001B36E7">
        <w:rPr>
          <w:rFonts w:cs="Arial"/>
          <w:sz w:val="22"/>
          <w:szCs w:val="22"/>
        </w:rPr>
        <w:t>.</w:t>
      </w:r>
      <w:r w:rsidRPr="00320564">
        <w:rPr>
          <w:rFonts w:cs="Arial"/>
          <w:sz w:val="22"/>
          <w:szCs w:val="22"/>
        </w:rPr>
        <w:t xml:space="preserve"> </w:t>
      </w:r>
    </w:p>
    <w:p w14:paraId="012ECD64" w14:textId="77777777" w:rsidR="001A5120" w:rsidRPr="0037722C" w:rsidRDefault="001A5120" w:rsidP="00D20C1F">
      <w:pPr>
        <w:ind w:left="0"/>
        <w:rPr>
          <w:rFonts w:cs="Arial"/>
          <w:szCs w:val="20"/>
        </w:rPr>
      </w:pPr>
    </w:p>
    <w:p w14:paraId="564B3E3A" w14:textId="6AE58D6E" w:rsidR="006937E1" w:rsidRPr="00320564" w:rsidRDefault="006937E1" w:rsidP="006937E1">
      <w:pPr>
        <w:spacing w:after="120"/>
        <w:ind w:left="0"/>
        <w:jc w:val="center"/>
        <w:rPr>
          <w:rFonts w:cs="Arial"/>
          <w:b/>
          <w:sz w:val="20"/>
          <w:szCs w:val="20"/>
        </w:rPr>
      </w:pPr>
      <w:r w:rsidRPr="00320564">
        <w:rPr>
          <w:rFonts w:cs="Arial"/>
          <w:b/>
          <w:sz w:val="20"/>
          <w:szCs w:val="20"/>
        </w:rPr>
        <w:t>Table 7.</w:t>
      </w:r>
      <w:r w:rsidR="001B36E7">
        <w:rPr>
          <w:rFonts w:cs="Arial"/>
          <w:b/>
          <w:sz w:val="20"/>
          <w:szCs w:val="20"/>
        </w:rPr>
        <w:t>44</w:t>
      </w:r>
      <w:r w:rsidR="00401666">
        <w:rPr>
          <w:rFonts w:cs="Arial"/>
          <w:b/>
          <w:sz w:val="20"/>
          <w:szCs w:val="20"/>
        </w:rPr>
        <w:t>.</w:t>
      </w:r>
      <w:r w:rsidRPr="00320564">
        <w:rPr>
          <w:rFonts w:cs="Arial"/>
          <w:b/>
          <w:sz w:val="20"/>
          <w:szCs w:val="20"/>
        </w:rPr>
        <w:tab/>
        <w:t>MDO spill concentration thresholds used in the OSTM study</w:t>
      </w:r>
    </w:p>
    <w:tbl>
      <w:tblPr>
        <w:tblStyle w:val="TableGrid"/>
        <w:tblW w:w="8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2213"/>
        <w:gridCol w:w="4773"/>
      </w:tblGrid>
      <w:tr w:rsidR="001A5120" w:rsidRPr="00320564" w14:paraId="1B0B9FFE" w14:textId="77777777" w:rsidTr="00EB2BD2">
        <w:trPr>
          <w:tblHeader/>
          <w:jc w:val="center"/>
        </w:trPr>
        <w:tc>
          <w:tcPr>
            <w:tcW w:w="1428" w:type="dxa"/>
            <w:tcBorders>
              <w:bottom w:val="single" w:sz="2" w:space="0" w:color="auto"/>
            </w:tcBorders>
            <w:shd w:val="clear" w:color="auto" w:fill="064EA8"/>
            <w:vAlign w:val="center"/>
          </w:tcPr>
          <w:p w14:paraId="08B3BEDE" w14:textId="115C2D50" w:rsidR="001A5120" w:rsidRPr="00320564" w:rsidRDefault="001A5120" w:rsidP="001A5120">
            <w:pPr>
              <w:pStyle w:val="tabletitles"/>
              <w:rPr>
                <w:rFonts w:cs="Tahoma"/>
                <w:b w:val="0"/>
                <w:color w:val="FFFFFF" w:themeColor="background1"/>
                <w:sz w:val="20"/>
              </w:rPr>
            </w:pPr>
            <w:r w:rsidRPr="00320564">
              <w:rPr>
                <w:rFonts w:cs="Tahoma"/>
                <w:b w:val="0"/>
                <w:color w:val="FFFFFF" w:themeColor="background1"/>
                <w:sz w:val="20"/>
              </w:rPr>
              <w:t>Segment</w:t>
            </w:r>
          </w:p>
        </w:tc>
        <w:tc>
          <w:tcPr>
            <w:tcW w:w="2213" w:type="dxa"/>
            <w:shd w:val="clear" w:color="auto" w:fill="064EA8"/>
          </w:tcPr>
          <w:p w14:paraId="451953B7" w14:textId="7ADB78BC" w:rsidR="001A5120" w:rsidRPr="00320564" w:rsidRDefault="001A5120" w:rsidP="001A5120">
            <w:pPr>
              <w:pStyle w:val="tabletitles"/>
              <w:rPr>
                <w:rFonts w:cs="Tahoma"/>
                <w:b w:val="0"/>
                <w:color w:val="FFFFFF" w:themeColor="background1"/>
                <w:sz w:val="20"/>
              </w:rPr>
            </w:pPr>
            <w:r w:rsidRPr="00320564">
              <w:rPr>
                <w:rFonts w:cs="Tahoma"/>
                <w:b w:val="0"/>
                <w:color w:val="FFFFFF" w:themeColor="background1"/>
                <w:sz w:val="20"/>
              </w:rPr>
              <w:t>Threshold</w:t>
            </w:r>
          </w:p>
        </w:tc>
        <w:tc>
          <w:tcPr>
            <w:tcW w:w="4773" w:type="dxa"/>
            <w:shd w:val="clear" w:color="auto" w:fill="064EA8"/>
            <w:vAlign w:val="center"/>
          </w:tcPr>
          <w:p w14:paraId="72AE1294" w14:textId="4D91CAEB" w:rsidR="001A5120" w:rsidRPr="00320564" w:rsidRDefault="001A5120" w:rsidP="001A5120">
            <w:pPr>
              <w:pStyle w:val="tabletitles"/>
              <w:rPr>
                <w:rFonts w:cs="Tahoma"/>
                <w:b w:val="0"/>
                <w:color w:val="FFFFFF" w:themeColor="background1"/>
                <w:sz w:val="20"/>
              </w:rPr>
            </w:pPr>
            <w:r w:rsidRPr="00320564">
              <w:rPr>
                <w:rFonts w:cs="Tahoma"/>
                <w:b w:val="0"/>
                <w:color w:val="FFFFFF" w:themeColor="background1"/>
                <w:sz w:val="20"/>
              </w:rPr>
              <w:t>Justification</w:t>
            </w:r>
          </w:p>
        </w:tc>
      </w:tr>
      <w:tr w:rsidR="00567567" w:rsidRPr="00320564" w14:paraId="29BE6BDE" w14:textId="77777777" w:rsidTr="00EB2BD2">
        <w:trPr>
          <w:jc w:val="center"/>
        </w:trPr>
        <w:tc>
          <w:tcPr>
            <w:tcW w:w="1428" w:type="dxa"/>
            <w:tcBorders>
              <w:top w:val="single" w:sz="2" w:space="0" w:color="auto"/>
              <w:bottom w:val="nil"/>
              <w:right w:val="single" w:sz="2" w:space="0" w:color="auto"/>
            </w:tcBorders>
          </w:tcPr>
          <w:p w14:paraId="4369D756" w14:textId="5C85D528" w:rsidR="00567567" w:rsidRPr="00320564" w:rsidRDefault="00567567" w:rsidP="001A5120">
            <w:pPr>
              <w:pStyle w:val="tabletext3"/>
              <w:rPr>
                <w:rFonts w:cs="Tahoma"/>
                <w:sz w:val="20"/>
                <w:szCs w:val="20"/>
              </w:rPr>
            </w:pPr>
            <w:r w:rsidRPr="00320564">
              <w:rPr>
                <w:rFonts w:cs="Tahoma"/>
                <w:sz w:val="20"/>
                <w:szCs w:val="20"/>
              </w:rPr>
              <w:t>Sea surface contact</w:t>
            </w:r>
          </w:p>
        </w:tc>
        <w:tc>
          <w:tcPr>
            <w:tcW w:w="2213" w:type="dxa"/>
            <w:tcBorders>
              <w:right w:val="single" w:sz="2" w:space="0" w:color="auto"/>
            </w:tcBorders>
          </w:tcPr>
          <w:p w14:paraId="4E76DF46" w14:textId="376FC17B" w:rsidR="00567567" w:rsidRPr="00320564" w:rsidRDefault="00567567" w:rsidP="00AC75EA">
            <w:pPr>
              <w:pStyle w:val="tabletext3"/>
              <w:rPr>
                <w:rFonts w:cs="Tahoma"/>
                <w:sz w:val="20"/>
                <w:szCs w:val="20"/>
              </w:rPr>
            </w:pPr>
            <w:r w:rsidRPr="00320564">
              <w:rPr>
                <w:rFonts w:cs="Tahoma"/>
                <w:color w:val="00B050"/>
                <w:sz w:val="20"/>
                <w:szCs w:val="20"/>
              </w:rPr>
              <w:t xml:space="preserve">LOW exposure: </w:t>
            </w:r>
            <w:r w:rsidR="00AC75EA" w:rsidRPr="00320564">
              <w:rPr>
                <w:rFonts w:cs="Tahoma"/>
                <w:color w:val="00B050"/>
                <w:sz w:val="20"/>
                <w:szCs w:val="20"/>
              </w:rPr>
              <w:br/>
            </w:r>
            <w:r w:rsidRPr="00320564">
              <w:rPr>
                <w:rFonts w:cs="Tahoma"/>
                <w:color w:val="00B050"/>
                <w:sz w:val="20"/>
                <w:szCs w:val="20"/>
              </w:rPr>
              <w:t>1-10 g/m</w:t>
            </w:r>
            <w:r w:rsidRPr="00320564">
              <w:rPr>
                <w:rFonts w:cs="Tahoma"/>
                <w:color w:val="00B050"/>
                <w:sz w:val="20"/>
                <w:szCs w:val="20"/>
                <w:vertAlign w:val="superscript"/>
              </w:rPr>
              <w:t>2</w:t>
            </w:r>
            <w:r w:rsidRPr="00320564">
              <w:rPr>
                <w:rFonts w:cs="Tahoma"/>
                <w:color w:val="00B050"/>
                <w:sz w:val="20"/>
                <w:szCs w:val="20"/>
              </w:rPr>
              <w:t xml:space="preserve"> </w:t>
            </w:r>
            <w:r w:rsidRPr="00320564">
              <w:rPr>
                <w:rFonts w:cs="Tahoma"/>
                <w:sz w:val="20"/>
                <w:szCs w:val="20"/>
              </w:rPr>
              <w:br/>
              <w:t>(or 0.001-0.01 mm,</w:t>
            </w:r>
            <w:r w:rsidR="00AC75EA" w:rsidRPr="00320564">
              <w:rPr>
                <w:rFonts w:cs="Tahoma"/>
                <w:sz w:val="20"/>
                <w:szCs w:val="20"/>
              </w:rPr>
              <w:t xml:space="preserve"> or 1</w:t>
            </w:r>
            <w:r w:rsidR="009B6D74" w:rsidRPr="00320564">
              <w:rPr>
                <w:rFonts w:cs="Tahoma"/>
                <w:sz w:val="20"/>
                <w:szCs w:val="20"/>
              </w:rPr>
              <w:t>-10</w:t>
            </w:r>
            <w:r w:rsidR="00AC75EA" w:rsidRPr="00320564">
              <w:rPr>
                <w:rFonts w:cs="Tahoma"/>
                <w:sz w:val="20"/>
                <w:szCs w:val="20"/>
              </w:rPr>
              <w:t xml:space="preserve"> µm,</w:t>
            </w:r>
            <w:r w:rsidRPr="00320564">
              <w:rPr>
                <w:rFonts w:cs="Tahoma"/>
                <w:sz w:val="20"/>
                <w:szCs w:val="20"/>
              </w:rPr>
              <w:t xml:space="preserve"> equivalent to a rainbow to metallic sheen) </w:t>
            </w:r>
          </w:p>
        </w:tc>
        <w:tc>
          <w:tcPr>
            <w:tcW w:w="4773" w:type="dxa"/>
            <w:tcBorders>
              <w:left w:val="single" w:sz="2" w:space="0" w:color="auto"/>
            </w:tcBorders>
          </w:tcPr>
          <w:p w14:paraId="35BBF6A4" w14:textId="4EED797E" w:rsidR="00AC75EA" w:rsidRPr="00320564" w:rsidRDefault="00AC75EA" w:rsidP="001A5120">
            <w:pPr>
              <w:pStyle w:val="tabletext3"/>
              <w:rPr>
                <w:rFonts w:cs="Tahoma"/>
                <w:sz w:val="20"/>
                <w:szCs w:val="20"/>
              </w:rPr>
            </w:pPr>
            <w:r w:rsidRPr="00320564">
              <w:rPr>
                <w:rFonts w:cs="Tahoma"/>
                <w:sz w:val="20"/>
                <w:szCs w:val="20"/>
              </w:rPr>
              <w:t>Oil that is 1 µm thick is considered below levels that would cause environmental harm and it is more indicative of the areas perceived to be affected due to its visibility on the sea-surface and potential to trigger temporary closures of areas (i.e. fishing grounds) as a precautionary measure.</w:t>
            </w:r>
            <w:r w:rsidR="007F01BC">
              <w:rPr>
                <w:rFonts w:cs="Tahoma"/>
                <w:sz w:val="20"/>
                <w:szCs w:val="20"/>
              </w:rPr>
              <w:t xml:space="preserve"> </w:t>
            </w:r>
            <w:r w:rsidRPr="00320564">
              <w:rPr>
                <w:rFonts w:cs="Tahoma"/>
                <w:sz w:val="20"/>
                <w:szCs w:val="20"/>
              </w:rPr>
              <w:t>It is also close to the practical limit of observing oil in the marine environment.</w:t>
            </w:r>
          </w:p>
          <w:p w14:paraId="416062E3" w14:textId="2113AECA" w:rsidR="00567567" w:rsidRPr="00320564" w:rsidRDefault="00AC75EA" w:rsidP="00AC75EA">
            <w:pPr>
              <w:pStyle w:val="tabletext3"/>
              <w:rPr>
                <w:rFonts w:cs="Tahoma"/>
                <w:sz w:val="20"/>
                <w:szCs w:val="20"/>
              </w:rPr>
            </w:pPr>
            <w:r w:rsidRPr="00320564">
              <w:rPr>
                <w:rFonts w:cs="Tahoma"/>
                <w:sz w:val="20"/>
                <w:szCs w:val="20"/>
              </w:rPr>
              <w:t>The 1-10 µm thickness</w:t>
            </w:r>
            <w:r w:rsidR="00567567" w:rsidRPr="00320564">
              <w:rPr>
                <w:rFonts w:cs="Tahoma"/>
                <w:sz w:val="20"/>
                <w:szCs w:val="20"/>
              </w:rPr>
              <w:t xml:space="preserve"> is likely to be observed in areas where the hydrocarbon is spread thinly, and as such has already undergone evaporation and weathering. The majority of the lighter, more toxic compounds will have been removed from the surface in that process. </w:t>
            </w:r>
            <w:r w:rsidRPr="00320564">
              <w:rPr>
                <w:rFonts w:cs="Tahoma"/>
                <w:sz w:val="20"/>
                <w:szCs w:val="20"/>
              </w:rPr>
              <w:t>Ecological impacts at this thickness are unlikely.</w:t>
            </w:r>
          </w:p>
        </w:tc>
      </w:tr>
      <w:tr w:rsidR="00567567" w:rsidRPr="00320564" w14:paraId="5D520C42" w14:textId="77777777" w:rsidTr="00EB2BD2">
        <w:trPr>
          <w:jc w:val="center"/>
        </w:trPr>
        <w:tc>
          <w:tcPr>
            <w:tcW w:w="1428" w:type="dxa"/>
            <w:tcBorders>
              <w:top w:val="nil"/>
              <w:bottom w:val="nil"/>
              <w:right w:val="single" w:sz="2" w:space="0" w:color="auto"/>
            </w:tcBorders>
          </w:tcPr>
          <w:p w14:paraId="7F57AE27" w14:textId="3C2D6D04" w:rsidR="00567567" w:rsidRPr="00320564" w:rsidRDefault="00567567" w:rsidP="001A5120">
            <w:pPr>
              <w:pStyle w:val="tabletext3"/>
              <w:rPr>
                <w:rFonts w:cs="Tahoma"/>
                <w:sz w:val="20"/>
                <w:szCs w:val="20"/>
              </w:rPr>
            </w:pPr>
          </w:p>
        </w:tc>
        <w:tc>
          <w:tcPr>
            <w:tcW w:w="2213" w:type="dxa"/>
            <w:tcBorders>
              <w:right w:val="single" w:sz="2" w:space="0" w:color="auto"/>
            </w:tcBorders>
          </w:tcPr>
          <w:p w14:paraId="61C10A66" w14:textId="49FAD950" w:rsidR="00567567" w:rsidRPr="00320564" w:rsidRDefault="00567567" w:rsidP="001A5120">
            <w:pPr>
              <w:pStyle w:val="tabletext3"/>
              <w:rPr>
                <w:rFonts w:cs="Tahoma"/>
                <w:sz w:val="20"/>
                <w:szCs w:val="20"/>
              </w:rPr>
            </w:pPr>
            <w:r w:rsidRPr="00320564">
              <w:rPr>
                <w:rFonts w:cs="Tahoma"/>
                <w:color w:val="E36C0A" w:themeColor="accent6" w:themeShade="BF"/>
                <w:sz w:val="20"/>
                <w:szCs w:val="20"/>
              </w:rPr>
              <w:t>MODERATE exposure: 10-25 g/m</w:t>
            </w:r>
            <w:r w:rsidRPr="00320564">
              <w:rPr>
                <w:rFonts w:cs="Tahoma"/>
                <w:color w:val="E36C0A" w:themeColor="accent6" w:themeShade="BF"/>
                <w:sz w:val="20"/>
                <w:szCs w:val="20"/>
                <w:vertAlign w:val="superscript"/>
              </w:rPr>
              <w:t>2</w:t>
            </w:r>
            <w:r w:rsidRPr="00320564">
              <w:rPr>
                <w:rFonts w:cs="Tahoma"/>
                <w:color w:val="E36C0A" w:themeColor="accent6" w:themeShade="BF"/>
                <w:sz w:val="20"/>
                <w:szCs w:val="20"/>
              </w:rPr>
              <w:t xml:space="preserve"> </w:t>
            </w:r>
            <w:r w:rsidRPr="00320564">
              <w:rPr>
                <w:rFonts w:cs="Tahoma"/>
                <w:sz w:val="20"/>
                <w:szCs w:val="20"/>
              </w:rPr>
              <w:br/>
              <w:t>(or 0.01-0.025 mm,</w:t>
            </w:r>
            <w:r w:rsidR="009B6D74" w:rsidRPr="00320564">
              <w:rPr>
                <w:rFonts w:cs="Tahoma"/>
                <w:sz w:val="20"/>
                <w:szCs w:val="20"/>
              </w:rPr>
              <w:t xml:space="preserve"> or </w:t>
            </w:r>
            <w:r w:rsidRPr="00320564">
              <w:rPr>
                <w:rFonts w:cs="Tahoma"/>
                <w:sz w:val="20"/>
                <w:szCs w:val="20"/>
              </w:rPr>
              <w:t xml:space="preserve"> </w:t>
            </w:r>
            <w:r w:rsidR="009B6D74" w:rsidRPr="00320564">
              <w:rPr>
                <w:rFonts w:cs="Tahoma"/>
                <w:sz w:val="20"/>
                <w:szCs w:val="20"/>
              </w:rPr>
              <w:t xml:space="preserve">10-25 µm, </w:t>
            </w:r>
            <w:r w:rsidRPr="00320564">
              <w:rPr>
                <w:rFonts w:cs="Tahoma"/>
                <w:sz w:val="20"/>
                <w:szCs w:val="20"/>
              </w:rPr>
              <w:t>equivalent to a metallic sheen)</w:t>
            </w:r>
          </w:p>
        </w:tc>
        <w:tc>
          <w:tcPr>
            <w:tcW w:w="4773" w:type="dxa"/>
            <w:tcBorders>
              <w:left w:val="single" w:sz="2" w:space="0" w:color="auto"/>
            </w:tcBorders>
          </w:tcPr>
          <w:p w14:paraId="45B8CB0A" w14:textId="6A14A36C" w:rsidR="00567567" w:rsidRPr="00320564" w:rsidRDefault="00567567" w:rsidP="009B6D74">
            <w:pPr>
              <w:pStyle w:val="tabletext3"/>
              <w:rPr>
                <w:rFonts w:cs="Tahoma"/>
                <w:sz w:val="20"/>
                <w:szCs w:val="20"/>
              </w:rPr>
            </w:pPr>
            <w:r w:rsidRPr="00320564">
              <w:rPr>
                <w:rFonts w:cs="Tahoma"/>
                <w:sz w:val="20"/>
                <w:szCs w:val="20"/>
              </w:rPr>
              <w:t xml:space="preserve">This is the minimum thickness of oil that could impart </w:t>
            </w:r>
            <w:r w:rsidR="009B6D74" w:rsidRPr="00320564">
              <w:rPr>
                <w:rFonts w:cs="Tahoma"/>
                <w:sz w:val="20"/>
                <w:szCs w:val="20"/>
              </w:rPr>
              <w:t>ecological impacts</w:t>
            </w:r>
            <w:r w:rsidRPr="00320564">
              <w:rPr>
                <w:rFonts w:cs="Tahoma"/>
                <w:sz w:val="20"/>
                <w:szCs w:val="20"/>
              </w:rPr>
              <w:t>. Research has shown that harm to seabirds through ingestion from preening of contaminated feathers, or the loss of thermal protection of their feathers occurs at 10 μm.</w:t>
            </w:r>
          </w:p>
        </w:tc>
      </w:tr>
      <w:tr w:rsidR="00567567" w:rsidRPr="00320564" w14:paraId="488D0471" w14:textId="77777777" w:rsidTr="00EB2BD2">
        <w:trPr>
          <w:jc w:val="center"/>
        </w:trPr>
        <w:tc>
          <w:tcPr>
            <w:tcW w:w="1428" w:type="dxa"/>
            <w:tcBorders>
              <w:top w:val="nil"/>
              <w:bottom w:val="single" w:sz="2" w:space="0" w:color="auto"/>
              <w:right w:val="single" w:sz="2" w:space="0" w:color="auto"/>
            </w:tcBorders>
          </w:tcPr>
          <w:p w14:paraId="7212EE56" w14:textId="77777777" w:rsidR="00567567" w:rsidRPr="00320564" w:rsidRDefault="00567567" w:rsidP="001A5120">
            <w:pPr>
              <w:pStyle w:val="tabletext3"/>
              <w:rPr>
                <w:rFonts w:cs="Tahoma"/>
                <w:sz w:val="20"/>
                <w:szCs w:val="20"/>
              </w:rPr>
            </w:pPr>
          </w:p>
        </w:tc>
        <w:tc>
          <w:tcPr>
            <w:tcW w:w="2213" w:type="dxa"/>
            <w:tcBorders>
              <w:right w:val="single" w:sz="2" w:space="0" w:color="auto"/>
            </w:tcBorders>
          </w:tcPr>
          <w:p w14:paraId="5B4E5CBD" w14:textId="33566609" w:rsidR="00567567" w:rsidRPr="00320564" w:rsidRDefault="00567567" w:rsidP="001A5120">
            <w:pPr>
              <w:pStyle w:val="tabletext3"/>
              <w:rPr>
                <w:rFonts w:cs="Tahoma"/>
                <w:sz w:val="20"/>
                <w:szCs w:val="20"/>
              </w:rPr>
            </w:pPr>
            <w:r w:rsidRPr="00320564">
              <w:rPr>
                <w:rFonts w:cs="Tahoma"/>
                <w:color w:val="FF0000"/>
                <w:sz w:val="20"/>
                <w:szCs w:val="20"/>
              </w:rPr>
              <w:t xml:space="preserve">HIGH exposure: </w:t>
            </w:r>
            <w:r w:rsidR="009507BF">
              <w:rPr>
                <w:rFonts w:cs="Tahoma"/>
                <w:color w:val="FF0000"/>
                <w:sz w:val="20"/>
                <w:szCs w:val="20"/>
              </w:rPr>
              <w:br/>
            </w:r>
            <w:r w:rsidRPr="00320564">
              <w:rPr>
                <w:rFonts w:cs="Tahoma"/>
                <w:color w:val="FF0000"/>
                <w:sz w:val="20"/>
                <w:szCs w:val="20"/>
              </w:rPr>
              <w:t>&gt;25 g/m</w:t>
            </w:r>
            <w:r w:rsidRPr="00320564">
              <w:rPr>
                <w:rFonts w:cs="Tahoma"/>
                <w:color w:val="FF0000"/>
                <w:sz w:val="20"/>
                <w:szCs w:val="20"/>
                <w:vertAlign w:val="superscript"/>
              </w:rPr>
              <w:t xml:space="preserve">2 </w:t>
            </w:r>
            <w:r w:rsidRPr="00320564">
              <w:rPr>
                <w:rFonts w:cs="Tahoma"/>
                <w:sz w:val="20"/>
                <w:szCs w:val="20"/>
                <w:vertAlign w:val="superscript"/>
              </w:rPr>
              <w:br/>
            </w:r>
            <w:r w:rsidRPr="00320564">
              <w:rPr>
                <w:rFonts w:cs="Tahoma"/>
                <w:sz w:val="20"/>
                <w:szCs w:val="20"/>
              </w:rPr>
              <w:t>(or &gt;0.025 mm, equivalent to a metallic sheen to continuous true colour)</w:t>
            </w:r>
          </w:p>
        </w:tc>
        <w:tc>
          <w:tcPr>
            <w:tcW w:w="4773" w:type="dxa"/>
            <w:tcBorders>
              <w:left w:val="single" w:sz="2" w:space="0" w:color="auto"/>
            </w:tcBorders>
          </w:tcPr>
          <w:p w14:paraId="6848B678" w14:textId="42BFDC8C" w:rsidR="00567567" w:rsidRPr="00320564" w:rsidRDefault="00567567" w:rsidP="009B6D74">
            <w:pPr>
              <w:pStyle w:val="tabletext3"/>
              <w:rPr>
                <w:rFonts w:cs="Tahoma"/>
                <w:sz w:val="20"/>
                <w:szCs w:val="20"/>
              </w:rPr>
            </w:pPr>
            <w:r w:rsidRPr="00320564">
              <w:rPr>
                <w:rFonts w:cs="Tahoma"/>
                <w:sz w:val="20"/>
                <w:szCs w:val="20"/>
              </w:rPr>
              <w:t xml:space="preserve">A concentration of surface oil greater than 25 </w:t>
            </w:r>
            <w:r w:rsidR="009B6D74" w:rsidRPr="00320564">
              <w:rPr>
                <w:rFonts w:cs="Tahoma"/>
                <w:sz w:val="20"/>
                <w:szCs w:val="20"/>
              </w:rPr>
              <w:t xml:space="preserve">μm on the sea surface </w:t>
            </w:r>
            <w:r w:rsidRPr="00320564">
              <w:rPr>
                <w:rFonts w:cs="Tahoma"/>
                <w:sz w:val="20"/>
                <w:szCs w:val="20"/>
              </w:rPr>
              <w:t xml:space="preserve">would be harmful </w:t>
            </w:r>
            <w:r w:rsidR="009B6D74" w:rsidRPr="00320564">
              <w:rPr>
                <w:rFonts w:cs="Tahoma"/>
                <w:sz w:val="20"/>
                <w:szCs w:val="20"/>
              </w:rPr>
              <w:t>for all</w:t>
            </w:r>
            <w:r w:rsidRPr="00320564">
              <w:rPr>
                <w:rFonts w:cs="Tahoma"/>
                <w:sz w:val="20"/>
                <w:szCs w:val="20"/>
              </w:rPr>
              <w:t xml:space="preserve"> marine birds that come in contact with the </w:t>
            </w:r>
            <w:r w:rsidR="009B6D74" w:rsidRPr="00320564">
              <w:rPr>
                <w:rFonts w:cs="Tahoma"/>
                <w:sz w:val="20"/>
                <w:szCs w:val="20"/>
              </w:rPr>
              <w:t>oil</w:t>
            </w:r>
            <w:r w:rsidRPr="00320564">
              <w:rPr>
                <w:rFonts w:cs="Tahoma"/>
                <w:sz w:val="20"/>
                <w:szCs w:val="20"/>
              </w:rPr>
              <w:t>. </w:t>
            </w:r>
            <w:r w:rsidR="009B6D74" w:rsidRPr="00320564">
              <w:rPr>
                <w:rFonts w:cs="Tahoma"/>
                <w:sz w:val="20"/>
                <w:szCs w:val="20"/>
              </w:rPr>
              <w:t>M</w:t>
            </w:r>
            <w:r w:rsidRPr="00320564">
              <w:rPr>
                <w:rFonts w:cs="Tahoma"/>
                <w:sz w:val="20"/>
                <w:szCs w:val="20"/>
              </w:rPr>
              <w:t xml:space="preserve">ortality </w:t>
            </w:r>
            <w:r w:rsidR="009B6D74" w:rsidRPr="00320564">
              <w:rPr>
                <w:rFonts w:cs="Tahoma"/>
                <w:sz w:val="20"/>
                <w:szCs w:val="20"/>
              </w:rPr>
              <w:t xml:space="preserve">would </w:t>
            </w:r>
            <w:r w:rsidRPr="00320564">
              <w:rPr>
                <w:rFonts w:cs="Tahoma"/>
                <w:sz w:val="20"/>
                <w:szCs w:val="20"/>
              </w:rPr>
              <w:t>result from ingestion during preening, or from hypothermia from matted feathers.</w:t>
            </w:r>
          </w:p>
        </w:tc>
      </w:tr>
      <w:tr w:rsidR="00567567" w:rsidRPr="00320564" w14:paraId="156BBC74" w14:textId="77777777" w:rsidTr="00EB2BD2">
        <w:trPr>
          <w:jc w:val="center"/>
        </w:trPr>
        <w:tc>
          <w:tcPr>
            <w:tcW w:w="1428" w:type="dxa"/>
            <w:tcBorders>
              <w:top w:val="single" w:sz="2" w:space="0" w:color="auto"/>
              <w:bottom w:val="nil"/>
              <w:right w:val="single" w:sz="2" w:space="0" w:color="auto"/>
            </w:tcBorders>
          </w:tcPr>
          <w:p w14:paraId="2805A03A" w14:textId="2AB37F97" w:rsidR="00567567" w:rsidRPr="00320564" w:rsidRDefault="00567567" w:rsidP="001A5120">
            <w:pPr>
              <w:pStyle w:val="tabletext3"/>
              <w:rPr>
                <w:rFonts w:cs="Tahoma"/>
                <w:sz w:val="20"/>
                <w:szCs w:val="20"/>
              </w:rPr>
            </w:pPr>
            <w:r w:rsidRPr="00320564">
              <w:rPr>
                <w:rFonts w:cs="Tahoma"/>
                <w:sz w:val="20"/>
                <w:szCs w:val="20"/>
              </w:rPr>
              <w:t>Shoreline</w:t>
            </w:r>
          </w:p>
        </w:tc>
        <w:tc>
          <w:tcPr>
            <w:tcW w:w="2213" w:type="dxa"/>
            <w:tcBorders>
              <w:right w:val="single" w:sz="2" w:space="0" w:color="auto"/>
            </w:tcBorders>
          </w:tcPr>
          <w:p w14:paraId="0C4991E1" w14:textId="2F1BCBAC" w:rsidR="00567567" w:rsidRPr="00320564" w:rsidRDefault="00567567" w:rsidP="001A5120">
            <w:pPr>
              <w:pStyle w:val="tabletext3"/>
              <w:rPr>
                <w:rFonts w:cs="Tahoma"/>
                <w:color w:val="00B050"/>
                <w:sz w:val="20"/>
                <w:szCs w:val="20"/>
                <w:vertAlign w:val="superscript"/>
              </w:rPr>
            </w:pPr>
            <w:r w:rsidRPr="00320564">
              <w:rPr>
                <w:rFonts w:cs="Tahoma"/>
                <w:color w:val="00B050"/>
                <w:sz w:val="20"/>
                <w:szCs w:val="20"/>
              </w:rPr>
              <w:t xml:space="preserve">LOW exposure: </w:t>
            </w:r>
            <w:r w:rsidR="00732EAC" w:rsidRPr="00320564">
              <w:rPr>
                <w:rFonts w:cs="Tahoma"/>
                <w:color w:val="00B050"/>
                <w:sz w:val="20"/>
                <w:szCs w:val="20"/>
              </w:rPr>
              <w:br/>
            </w:r>
            <w:r w:rsidRPr="00320564">
              <w:rPr>
                <w:rFonts w:cs="Tahoma"/>
                <w:color w:val="00B050"/>
                <w:sz w:val="20"/>
                <w:szCs w:val="20"/>
              </w:rPr>
              <w:t>10-100 g/m</w:t>
            </w:r>
            <w:r w:rsidRPr="00320564">
              <w:rPr>
                <w:rFonts w:cs="Tahoma"/>
                <w:color w:val="00B050"/>
                <w:sz w:val="20"/>
                <w:szCs w:val="20"/>
                <w:vertAlign w:val="superscript"/>
              </w:rPr>
              <w:t>2</w:t>
            </w:r>
          </w:p>
          <w:p w14:paraId="547586E1" w14:textId="16BE1B2E" w:rsidR="00E920A0" w:rsidRPr="00320564" w:rsidRDefault="00E920A0" w:rsidP="00E920A0">
            <w:pPr>
              <w:pStyle w:val="tabletext3"/>
              <w:rPr>
                <w:rFonts w:cs="Tahoma"/>
                <w:sz w:val="20"/>
                <w:szCs w:val="20"/>
              </w:rPr>
            </w:pPr>
            <w:r w:rsidRPr="00320564">
              <w:rPr>
                <w:rFonts w:cs="Tahoma"/>
                <w:sz w:val="20"/>
                <w:szCs w:val="20"/>
              </w:rPr>
              <w:t>Equivalent to an oil stain/film (~2 tsp/m</w:t>
            </w:r>
            <w:r w:rsidRPr="00320564">
              <w:rPr>
                <w:rFonts w:cs="Tahoma"/>
                <w:sz w:val="20"/>
                <w:szCs w:val="20"/>
                <w:vertAlign w:val="superscript"/>
              </w:rPr>
              <w:t>2</w:t>
            </w:r>
            <w:r w:rsidRPr="00320564">
              <w:rPr>
                <w:rFonts w:cs="Tahoma"/>
                <w:sz w:val="20"/>
                <w:szCs w:val="20"/>
              </w:rPr>
              <w:t>)</w:t>
            </w:r>
          </w:p>
        </w:tc>
        <w:tc>
          <w:tcPr>
            <w:tcW w:w="4773" w:type="dxa"/>
            <w:tcBorders>
              <w:left w:val="single" w:sz="2" w:space="0" w:color="auto"/>
            </w:tcBorders>
          </w:tcPr>
          <w:p w14:paraId="7AE09973" w14:textId="5E32CB44" w:rsidR="00567567" w:rsidRPr="00320564" w:rsidRDefault="00E920A0" w:rsidP="00E920A0">
            <w:pPr>
              <w:pStyle w:val="tabletext3"/>
              <w:rPr>
                <w:rFonts w:cs="Tahoma"/>
                <w:sz w:val="20"/>
                <w:szCs w:val="20"/>
              </w:rPr>
            </w:pPr>
            <w:r w:rsidRPr="00320564">
              <w:rPr>
                <w:rFonts w:cs="Tahoma"/>
                <w:sz w:val="20"/>
                <w:szCs w:val="20"/>
              </w:rPr>
              <w:t>A threshold of 10 g/m</w:t>
            </w:r>
            <w:r w:rsidRPr="00320564">
              <w:rPr>
                <w:rFonts w:cs="Tahoma"/>
                <w:sz w:val="20"/>
                <w:szCs w:val="20"/>
                <w:vertAlign w:val="superscript"/>
              </w:rPr>
              <w:t>2</w:t>
            </w:r>
            <w:r w:rsidRPr="00320564">
              <w:rPr>
                <w:rFonts w:cs="Tahoma"/>
                <w:sz w:val="20"/>
                <w:szCs w:val="20"/>
              </w:rPr>
              <w:t xml:space="preserve"> is a conservative threshold used to define regions of socio-economic impact, such as triggering temporary closures of adjoining fisheries or the need for shore clean-up on beaches or man-made features/amenities (breakwaters, jetties, marinas).</w:t>
            </w:r>
          </w:p>
        </w:tc>
      </w:tr>
      <w:tr w:rsidR="00567567" w:rsidRPr="00320564" w14:paraId="6605FAD5" w14:textId="77777777" w:rsidTr="00EB2BD2">
        <w:trPr>
          <w:jc w:val="center"/>
        </w:trPr>
        <w:tc>
          <w:tcPr>
            <w:tcW w:w="1428" w:type="dxa"/>
            <w:tcBorders>
              <w:top w:val="nil"/>
              <w:bottom w:val="nil"/>
              <w:right w:val="single" w:sz="2" w:space="0" w:color="auto"/>
            </w:tcBorders>
          </w:tcPr>
          <w:p w14:paraId="6129625D" w14:textId="0F92C7EE" w:rsidR="00567567" w:rsidRPr="00320564" w:rsidRDefault="00567567" w:rsidP="001A5120">
            <w:pPr>
              <w:pStyle w:val="tabletext3"/>
              <w:rPr>
                <w:sz w:val="20"/>
                <w:szCs w:val="20"/>
              </w:rPr>
            </w:pPr>
          </w:p>
        </w:tc>
        <w:tc>
          <w:tcPr>
            <w:tcW w:w="2213" w:type="dxa"/>
            <w:tcBorders>
              <w:right w:val="single" w:sz="2" w:space="0" w:color="auto"/>
            </w:tcBorders>
          </w:tcPr>
          <w:p w14:paraId="65AA0728" w14:textId="58615582" w:rsidR="00567567" w:rsidRPr="00320564" w:rsidRDefault="00567567" w:rsidP="001A5120">
            <w:pPr>
              <w:pStyle w:val="tabletext3"/>
              <w:rPr>
                <w:color w:val="E36C0A" w:themeColor="accent6" w:themeShade="BF"/>
                <w:sz w:val="20"/>
                <w:szCs w:val="20"/>
                <w:vertAlign w:val="superscript"/>
              </w:rPr>
            </w:pPr>
            <w:r w:rsidRPr="00320564">
              <w:rPr>
                <w:color w:val="E36C0A" w:themeColor="accent6" w:themeShade="BF"/>
                <w:sz w:val="20"/>
                <w:szCs w:val="20"/>
              </w:rPr>
              <w:t xml:space="preserve">MODERATE exposure: </w:t>
            </w:r>
            <w:r w:rsidR="00732EAC" w:rsidRPr="00320564">
              <w:rPr>
                <w:color w:val="E36C0A" w:themeColor="accent6" w:themeShade="BF"/>
                <w:sz w:val="20"/>
                <w:szCs w:val="20"/>
              </w:rPr>
              <w:br/>
            </w:r>
            <w:r w:rsidRPr="00320564">
              <w:rPr>
                <w:color w:val="E36C0A" w:themeColor="accent6" w:themeShade="BF"/>
                <w:sz w:val="20"/>
                <w:szCs w:val="20"/>
              </w:rPr>
              <w:t>100-1,000 g/m</w:t>
            </w:r>
            <w:r w:rsidRPr="00320564">
              <w:rPr>
                <w:color w:val="E36C0A" w:themeColor="accent6" w:themeShade="BF"/>
                <w:sz w:val="20"/>
                <w:szCs w:val="20"/>
                <w:vertAlign w:val="superscript"/>
              </w:rPr>
              <w:t>2</w:t>
            </w:r>
          </w:p>
          <w:p w14:paraId="5231E837" w14:textId="3D5BB6CF" w:rsidR="00E920A0" w:rsidRPr="00320564" w:rsidRDefault="00E920A0" w:rsidP="00E920A0">
            <w:pPr>
              <w:pStyle w:val="tabletext3"/>
              <w:rPr>
                <w:sz w:val="20"/>
                <w:szCs w:val="20"/>
              </w:rPr>
            </w:pPr>
            <w:r w:rsidRPr="00320564">
              <w:rPr>
                <w:sz w:val="20"/>
                <w:szCs w:val="20"/>
              </w:rPr>
              <w:t>Equivalent to an oil coating (~½ cup/m</w:t>
            </w:r>
            <w:r w:rsidRPr="00320564">
              <w:rPr>
                <w:sz w:val="20"/>
                <w:szCs w:val="20"/>
                <w:vertAlign w:val="superscript"/>
              </w:rPr>
              <w:t>2</w:t>
            </w:r>
            <w:r w:rsidRPr="00320564">
              <w:rPr>
                <w:sz w:val="20"/>
                <w:szCs w:val="20"/>
              </w:rPr>
              <w:t>)</w:t>
            </w:r>
          </w:p>
          <w:p w14:paraId="76DE335C" w14:textId="669ED0D2" w:rsidR="00E920A0" w:rsidRPr="00320564" w:rsidRDefault="00E920A0" w:rsidP="001A5120">
            <w:pPr>
              <w:pStyle w:val="tabletext3"/>
              <w:rPr>
                <w:sz w:val="20"/>
                <w:szCs w:val="20"/>
              </w:rPr>
            </w:pPr>
          </w:p>
        </w:tc>
        <w:tc>
          <w:tcPr>
            <w:tcW w:w="4773" w:type="dxa"/>
            <w:tcBorders>
              <w:left w:val="single" w:sz="2" w:space="0" w:color="auto"/>
            </w:tcBorders>
          </w:tcPr>
          <w:p w14:paraId="27951C4A" w14:textId="77777777" w:rsidR="00E920A0" w:rsidRPr="00320564" w:rsidRDefault="00E920A0" w:rsidP="00E920A0">
            <w:pPr>
              <w:pStyle w:val="tabletext3"/>
              <w:rPr>
                <w:rFonts w:cs="Tahoma"/>
                <w:sz w:val="20"/>
                <w:szCs w:val="20"/>
              </w:rPr>
            </w:pPr>
            <w:r w:rsidRPr="00320564">
              <w:rPr>
                <w:rFonts w:cs="Tahoma"/>
                <w:sz w:val="20"/>
                <w:szCs w:val="20"/>
              </w:rPr>
              <w:t>An oil exposure threshold of 100 g/m</w:t>
            </w:r>
            <w:r w:rsidRPr="00320564">
              <w:rPr>
                <w:rFonts w:cs="Tahoma"/>
                <w:sz w:val="20"/>
                <w:szCs w:val="20"/>
                <w:vertAlign w:val="superscript"/>
              </w:rPr>
              <w:t>2</w:t>
            </w:r>
            <w:r w:rsidRPr="00320564">
              <w:rPr>
                <w:rFonts w:cs="Tahoma"/>
                <w:sz w:val="20"/>
                <w:szCs w:val="20"/>
              </w:rPr>
              <w:t xml:space="preserve"> for shorebirds and wildlife (fur-bearing aquatic mammals and marine reptiles) is based on studies for sub-lethal and lethal impacts.  </w:t>
            </w:r>
          </w:p>
          <w:p w14:paraId="5D037BCF" w14:textId="15BC8579" w:rsidR="00E920A0" w:rsidRPr="00320564" w:rsidRDefault="00E920A0" w:rsidP="00E920A0">
            <w:pPr>
              <w:pStyle w:val="tabletext3"/>
              <w:rPr>
                <w:rFonts w:cs="Tahoma"/>
                <w:sz w:val="20"/>
                <w:szCs w:val="20"/>
              </w:rPr>
            </w:pPr>
            <w:r w:rsidRPr="00320564">
              <w:rPr>
                <w:rFonts w:cs="Tahoma"/>
                <w:sz w:val="20"/>
                <w:szCs w:val="20"/>
              </w:rPr>
              <w:t xml:space="preserve">This threshold for shoreline contact is also recommended by AMSA (2015) in its foreshore assessment guide as the acceptable minimum thickness that does not inhibit the potential for recovery and is best remediated by natural coastal processes alone. The recommendation applies to shoreline types including sandy beach, boulder shorelines, pebble shorelines, rock platforms and industry facility structures. </w:t>
            </w:r>
          </w:p>
          <w:p w14:paraId="0BAF7AC8" w14:textId="2C2CD4D3" w:rsidR="00D25E42" w:rsidRPr="00320564" w:rsidRDefault="00567567" w:rsidP="007F01BC">
            <w:pPr>
              <w:pStyle w:val="tabletext3"/>
              <w:rPr>
                <w:rFonts w:cs="Tahoma"/>
                <w:sz w:val="20"/>
                <w:szCs w:val="20"/>
              </w:rPr>
            </w:pPr>
            <w:r w:rsidRPr="00320564">
              <w:rPr>
                <w:rFonts w:cs="Tahoma"/>
                <w:sz w:val="20"/>
                <w:szCs w:val="20"/>
              </w:rPr>
              <w:t>100 g/m</w:t>
            </w:r>
            <w:r w:rsidRPr="00320564">
              <w:rPr>
                <w:rFonts w:cs="Tahoma"/>
                <w:sz w:val="20"/>
                <w:szCs w:val="20"/>
                <w:vertAlign w:val="superscript"/>
              </w:rPr>
              <w:t>2</w:t>
            </w:r>
            <w:r w:rsidRPr="00320564">
              <w:rPr>
                <w:rFonts w:cs="Tahoma"/>
                <w:sz w:val="20"/>
                <w:szCs w:val="20"/>
              </w:rPr>
              <w:t xml:space="preserve"> </w:t>
            </w:r>
            <w:r w:rsidR="007F01BC" w:rsidRPr="00C56EA6">
              <w:rPr>
                <w:rFonts w:cs="Tahoma"/>
                <w:sz w:val="20"/>
                <w:szCs w:val="20"/>
              </w:rPr>
              <w:t xml:space="preserve">(a ‘stain’ or ‘film’, and equivalent to 0.1 </w:t>
            </w:r>
            <w:r w:rsidR="007F01BC" w:rsidRPr="00C56EA6">
              <w:rPr>
                <w:rFonts w:cs="Tahoma"/>
                <w:sz w:val="20"/>
                <w:szCs w:val="20"/>
              </w:rPr>
              <w:lastRenderedPageBreak/>
              <w:t xml:space="preserve">mm) </w:t>
            </w:r>
            <w:r w:rsidRPr="00320564">
              <w:rPr>
                <w:rFonts w:cs="Tahoma"/>
                <w:sz w:val="20"/>
                <w:szCs w:val="20"/>
              </w:rPr>
              <w:t xml:space="preserve">is considered the lethal threshold for invertebrates living on hard substrates (rocky, artificial/man-made, rip-rap, etc.) and sediments (mud, silt, sand or gravel) in intertidal habitats. </w:t>
            </w:r>
            <w:r w:rsidR="007F01BC">
              <w:rPr>
                <w:rFonts w:cs="Tahoma"/>
                <w:sz w:val="20"/>
                <w:szCs w:val="20"/>
              </w:rPr>
              <w:br/>
            </w:r>
            <w:r w:rsidR="00D25E42" w:rsidRPr="00C56EA6">
              <w:rPr>
                <w:rFonts w:cs="Tahoma"/>
                <w:sz w:val="20"/>
                <w:szCs w:val="20"/>
              </w:rPr>
              <w:t>100 g/m</w:t>
            </w:r>
            <w:r w:rsidR="00D25E42" w:rsidRPr="00C56EA6">
              <w:rPr>
                <w:rFonts w:cs="Tahoma"/>
                <w:sz w:val="20"/>
                <w:szCs w:val="20"/>
                <w:vertAlign w:val="superscript"/>
              </w:rPr>
              <w:t>2</w:t>
            </w:r>
            <w:r w:rsidR="00D25E42" w:rsidRPr="00C56EA6">
              <w:rPr>
                <w:rFonts w:cs="Tahoma"/>
                <w:sz w:val="20"/>
                <w:szCs w:val="20"/>
              </w:rPr>
              <w:t xml:space="preserve"> oil thickness would be enough to coat the animal and likely impact its survival and reproductive capacity (French-McCay, 2009).</w:t>
            </w:r>
          </w:p>
        </w:tc>
      </w:tr>
      <w:tr w:rsidR="00567567" w:rsidRPr="00320564" w14:paraId="7FBDF957" w14:textId="77777777" w:rsidTr="00EB2BD2">
        <w:trPr>
          <w:jc w:val="center"/>
        </w:trPr>
        <w:tc>
          <w:tcPr>
            <w:tcW w:w="1428" w:type="dxa"/>
            <w:tcBorders>
              <w:top w:val="nil"/>
              <w:bottom w:val="single" w:sz="2" w:space="0" w:color="auto"/>
              <w:right w:val="single" w:sz="2" w:space="0" w:color="auto"/>
            </w:tcBorders>
          </w:tcPr>
          <w:p w14:paraId="0E74B5B8" w14:textId="0D0CA1E6" w:rsidR="00567567" w:rsidRPr="00320564" w:rsidRDefault="00567567" w:rsidP="001A5120">
            <w:pPr>
              <w:pStyle w:val="tabletext3"/>
              <w:rPr>
                <w:sz w:val="20"/>
                <w:szCs w:val="20"/>
              </w:rPr>
            </w:pPr>
          </w:p>
        </w:tc>
        <w:tc>
          <w:tcPr>
            <w:tcW w:w="2213" w:type="dxa"/>
            <w:tcBorders>
              <w:right w:val="single" w:sz="2" w:space="0" w:color="auto"/>
            </w:tcBorders>
          </w:tcPr>
          <w:p w14:paraId="5C7379C0" w14:textId="14953379" w:rsidR="00567567" w:rsidRPr="00320564" w:rsidRDefault="00567567" w:rsidP="001A5120">
            <w:pPr>
              <w:pStyle w:val="tabletext3"/>
              <w:rPr>
                <w:color w:val="FF0000"/>
                <w:sz w:val="20"/>
                <w:szCs w:val="20"/>
                <w:vertAlign w:val="superscript"/>
              </w:rPr>
            </w:pPr>
            <w:r w:rsidRPr="00320564">
              <w:rPr>
                <w:color w:val="FF0000"/>
                <w:sz w:val="20"/>
                <w:szCs w:val="20"/>
              </w:rPr>
              <w:t xml:space="preserve">HIGH exposure: </w:t>
            </w:r>
            <w:r w:rsidR="009507BF">
              <w:rPr>
                <w:color w:val="FF0000"/>
                <w:sz w:val="20"/>
                <w:szCs w:val="20"/>
              </w:rPr>
              <w:br/>
            </w:r>
            <w:r w:rsidRPr="00320564">
              <w:rPr>
                <w:color w:val="FF0000"/>
                <w:sz w:val="20"/>
                <w:szCs w:val="20"/>
              </w:rPr>
              <w:t>&gt;1,000 g/m</w:t>
            </w:r>
            <w:r w:rsidRPr="00320564">
              <w:rPr>
                <w:color w:val="FF0000"/>
                <w:sz w:val="20"/>
                <w:szCs w:val="20"/>
                <w:vertAlign w:val="superscript"/>
              </w:rPr>
              <w:t>2</w:t>
            </w:r>
          </w:p>
          <w:p w14:paraId="5512A513" w14:textId="657048CA" w:rsidR="00E920A0" w:rsidRPr="00320564" w:rsidRDefault="00E920A0" w:rsidP="00E920A0">
            <w:pPr>
              <w:pStyle w:val="tabletext3"/>
              <w:rPr>
                <w:sz w:val="20"/>
                <w:szCs w:val="20"/>
              </w:rPr>
            </w:pPr>
            <w:r w:rsidRPr="00320564">
              <w:rPr>
                <w:sz w:val="20"/>
                <w:szCs w:val="20"/>
              </w:rPr>
              <w:t>Equivalent to oil cover (~1 litre/m</w:t>
            </w:r>
            <w:r w:rsidRPr="00320564">
              <w:rPr>
                <w:sz w:val="20"/>
                <w:szCs w:val="20"/>
                <w:vertAlign w:val="superscript"/>
              </w:rPr>
              <w:t>2</w:t>
            </w:r>
            <w:r w:rsidRPr="00320564">
              <w:rPr>
                <w:sz w:val="20"/>
                <w:szCs w:val="20"/>
              </w:rPr>
              <w:t>)</w:t>
            </w:r>
          </w:p>
          <w:p w14:paraId="5A2C235F" w14:textId="59852CEB" w:rsidR="00E920A0" w:rsidRPr="00320564" w:rsidRDefault="00E920A0" w:rsidP="001A5120">
            <w:pPr>
              <w:pStyle w:val="tabletext3"/>
              <w:rPr>
                <w:sz w:val="20"/>
                <w:szCs w:val="20"/>
              </w:rPr>
            </w:pPr>
          </w:p>
        </w:tc>
        <w:tc>
          <w:tcPr>
            <w:tcW w:w="4773" w:type="dxa"/>
            <w:tcBorders>
              <w:left w:val="single" w:sz="2" w:space="0" w:color="auto"/>
            </w:tcBorders>
          </w:tcPr>
          <w:p w14:paraId="2E6BFC62" w14:textId="50E05FBD" w:rsidR="00567567" w:rsidRPr="00320564" w:rsidRDefault="00E920A0" w:rsidP="00E920A0">
            <w:pPr>
              <w:pStyle w:val="tabletext3"/>
              <w:rPr>
                <w:rFonts w:cs="Tahoma"/>
                <w:sz w:val="20"/>
                <w:szCs w:val="20"/>
              </w:rPr>
            </w:pPr>
            <w:r w:rsidRPr="00320564">
              <w:rPr>
                <w:rFonts w:cs="Tahoma"/>
                <w:sz w:val="20"/>
                <w:szCs w:val="20"/>
              </w:rPr>
              <w:t>Loadings of more than 1,000 g/m</w:t>
            </w:r>
            <w:r w:rsidRPr="00320564">
              <w:rPr>
                <w:rFonts w:cs="Tahoma"/>
                <w:sz w:val="20"/>
                <w:szCs w:val="20"/>
                <w:vertAlign w:val="superscript"/>
              </w:rPr>
              <w:t>2</w:t>
            </w:r>
            <w:r w:rsidRPr="00320564">
              <w:rPr>
                <w:rFonts w:cs="Tahoma"/>
                <w:sz w:val="20"/>
                <w:szCs w:val="20"/>
              </w:rPr>
              <w:t xml:space="preserve"> of oil during the growing season would be required to impact marsh plants significantly. Similar thresholds have been found in studies assessing oil impacts on mangroves. Hence, 1,000 g/m</w:t>
            </w:r>
            <w:r w:rsidRPr="00320564">
              <w:rPr>
                <w:rFonts w:cs="Tahoma"/>
                <w:sz w:val="20"/>
                <w:szCs w:val="20"/>
                <w:vertAlign w:val="superscript"/>
              </w:rPr>
              <w:t>2</w:t>
            </w:r>
            <w:r w:rsidRPr="00320564">
              <w:rPr>
                <w:rFonts w:cs="Tahoma"/>
                <w:sz w:val="20"/>
                <w:szCs w:val="20"/>
              </w:rPr>
              <w:t xml:space="preserve"> has been selected to define the high exposure zone and </w:t>
            </w:r>
            <w:r w:rsidR="00567567" w:rsidRPr="00320564">
              <w:rPr>
                <w:rFonts w:cs="Tahoma"/>
                <w:sz w:val="20"/>
                <w:szCs w:val="20"/>
              </w:rPr>
              <w:t>is representative of higher level ecological impacts (i.e.</w:t>
            </w:r>
            <w:r w:rsidRPr="00320564">
              <w:rPr>
                <w:rFonts w:cs="Tahoma"/>
                <w:sz w:val="20"/>
                <w:szCs w:val="20"/>
              </w:rPr>
              <w:t>,</w:t>
            </w:r>
            <w:r w:rsidR="00567567" w:rsidRPr="00320564">
              <w:rPr>
                <w:rFonts w:cs="Tahoma"/>
                <w:sz w:val="20"/>
                <w:szCs w:val="20"/>
              </w:rPr>
              <w:t xml:space="preserve"> ecosystem based impacts).</w:t>
            </w:r>
          </w:p>
        </w:tc>
      </w:tr>
      <w:tr w:rsidR="00EB2BD2" w:rsidRPr="00320564" w14:paraId="3B7CA711" w14:textId="77777777" w:rsidTr="00BC3AE8">
        <w:trPr>
          <w:jc w:val="center"/>
        </w:trPr>
        <w:tc>
          <w:tcPr>
            <w:tcW w:w="1428" w:type="dxa"/>
            <w:tcBorders>
              <w:top w:val="single" w:sz="2" w:space="0" w:color="auto"/>
              <w:bottom w:val="nil"/>
              <w:right w:val="single" w:sz="2" w:space="0" w:color="auto"/>
            </w:tcBorders>
          </w:tcPr>
          <w:p w14:paraId="0E63F92B" w14:textId="7278B614" w:rsidR="00EB2BD2" w:rsidRPr="00320564" w:rsidRDefault="00EB2BD2" w:rsidP="001A5120">
            <w:pPr>
              <w:pStyle w:val="tabletext3"/>
              <w:rPr>
                <w:sz w:val="20"/>
                <w:szCs w:val="20"/>
              </w:rPr>
            </w:pPr>
            <w:r w:rsidRPr="00320564">
              <w:rPr>
                <w:sz w:val="20"/>
                <w:szCs w:val="20"/>
              </w:rPr>
              <w:t>Dissolved aromatic and entrained hydrocarbons</w:t>
            </w:r>
          </w:p>
        </w:tc>
        <w:tc>
          <w:tcPr>
            <w:tcW w:w="2213" w:type="dxa"/>
            <w:tcBorders>
              <w:right w:val="single" w:sz="2" w:space="0" w:color="auto"/>
            </w:tcBorders>
          </w:tcPr>
          <w:p w14:paraId="6E049F46" w14:textId="77777777" w:rsidR="00EB2BD2" w:rsidRPr="00320564" w:rsidRDefault="00EB2BD2" w:rsidP="00EB2BD2">
            <w:pPr>
              <w:pStyle w:val="tabletext3"/>
              <w:rPr>
                <w:color w:val="00B050"/>
                <w:sz w:val="20"/>
                <w:szCs w:val="20"/>
              </w:rPr>
            </w:pPr>
            <w:r w:rsidRPr="00320564">
              <w:rPr>
                <w:color w:val="00B050"/>
                <w:sz w:val="20"/>
                <w:szCs w:val="20"/>
              </w:rPr>
              <w:t xml:space="preserve">LOW exposure: </w:t>
            </w:r>
          </w:p>
          <w:p w14:paraId="1E761769" w14:textId="291A35C5" w:rsidR="00EB2BD2" w:rsidRPr="00320564" w:rsidRDefault="00EB2BD2" w:rsidP="00EB2BD2">
            <w:pPr>
              <w:pStyle w:val="tabletext3"/>
              <w:rPr>
                <w:color w:val="00B050"/>
                <w:sz w:val="20"/>
                <w:szCs w:val="20"/>
              </w:rPr>
            </w:pPr>
            <w:r w:rsidRPr="00320564">
              <w:rPr>
                <w:color w:val="00B050"/>
                <w:sz w:val="20"/>
                <w:szCs w:val="20"/>
              </w:rPr>
              <w:t xml:space="preserve">Dissolved - </w:t>
            </w:r>
            <w:r w:rsidR="00732EAC" w:rsidRPr="00320564">
              <w:rPr>
                <w:color w:val="00B050"/>
                <w:sz w:val="20"/>
                <w:szCs w:val="20"/>
              </w:rPr>
              <w:br/>
            </w:r>
            <w:r w:rsidRPr="00320564">
              <w:rPr>
                <w:color w:val="00B050"/>
                <w:sz w:val="20"/>
                <w:szCs w:val="20"/>
              </w:rPr>
              <w:t xml:space="preserve">576 ppb.hrs </w:t>
            </w:r>
          </w:p>
          <w:p w14:paraId="2C5A9A66" w14:textId="6D8D7C5D" w:rsidR="00EB2BD2" w:rsidRPr="00320564" w:rsidRDefault="00EB2BD2" w:rsidP="00EB2BD2">
            <w:pPr>
              <w:pStyle w:val="tabletext3"/>
              <w:rPr>
                <w:sz w:val="20"/>
                <w:szCs w:val="20"/>
              </w:rPr>
            </w:pPr>
            <w:r w:rsidRPr="00320564">
              <w:rPr>
                <w:color w:val="00B050"/>
                <w:sz w:val="20"/>
                <w:szCs w:val="20"/>
              </w:rPr>
              <w:t xml:space="preserve">Entrained – </w:t>
            </w:r>
            <w:r w:rsidR="00732EAC" w:rsidRPr="00320564">
              <w:rPr>
                <w:color w:val="00B050"/>
                <w:sz w:val="20"/>
                <w:szCs w:val="20"/>
              </w:rPr>
              <w:br/>
            </w:r>
            <w:r w:rsidRPr="00320564">
              <w:rPr>
                <w:color w:val="00B050"/>
                <w:sz w:val="20"/>
                <w:szCs w:val="20"/>
              </w:rPr>
              <w:t>11,760 ppb hrs</w:t>
            </w:r>
            <w:r w:rsidRPr="00320564">
              <w:rPr>
                <w:sz w:val="20"/>
                <w:szCs w:val="20"/>
              </w:rPr>
              <w:br/>
            </w:r>
          </w:p>
        </w:tc>
        <w:tc>
          <w:tcPr>
            <w:tcW w:w="4773" w:type="dxa"/>
            <w:tcBorders>
              <w:left w:val="single" w:sz="2" w:space="0" w:color="auto"/>
            </w:tcBorders>
          </w:tcPr>
          <w:p w14:paraId="26C6EDBE" w14:textId="389B56A9" w:rsidR="00A359C7" w:rsidRPr="00320564" w:rsidRDefault="00A359C7" w:rsidP="00BC3AE8">
            <w:pPr>
              <w:pStyle w:val="tabletext3"/>
              <w:rPr>
                <w:rFonts w:cs="Tahoma"/>
                <w:sz w:val="20"/>
                <w:szCs w:val="20"/>
                <w:u w:val="single"/>
              </w:rPr>
            </w:pPr>
            <w:r w:rsidRPr="00320564">
              <w:rPr>
                <w:rFonts w:cs="Tahoma"/>
                <w:sz w:val="20"/>
                <w:szCs w:val="20"/>
                <w:u w:val="single"/>
              </w:rPr>
              <w:t>Dissolved phase</w:t>
            </w:r>
          </w:p>
          <w:p w14:paraId="3A58538F" w14:textId="77777777" w:rsidR="00BC3AE8" w:rsidRPr="00320564" w:rsidRDefault="00BC3AE8" w:rsidP="00BC3AE8">
            <w:pPr>
              <w:pStyle w:val="tabletext3"/>
              <w:rPr>
                <w:rFonts w:cs="Tahoma"/>
                <w:sz w:val="20"/>
                <w:szCs w:val="20"/>
              </w:rPr>
            </w:pPr>
            <w:r w:rsidRPr="00320564">
              <w:rPr>
                <w:rFonts w:cs="Tahoma"/>
                <w:sz w:val="20"/>
                <w:szCs w:val="20"/>
              </w:rPr>
              <w:t>The threshold value for species toxicity in the water column is based on global data that shows that species sensitivity (fish and invertebrates) to dissolved aromatics exposure &gt;4 days (96-hour LC</w:t>
            </w:r>
            <w:r w:rsidRPr="00320564">
              <w:rPr>
                <w:rFonts w:cs="Tahoma"/>
                <w:sz w:val="20"/>
                <w:szCs w:val="20"/>
                <w:vertAlign w:val="subscript"/>
              </w:rPr>
              <w:t>50</w:t>
            </w:r>
            <w:r w:rsidRPr="00320564">
              <w:rPr>
                <w:rFonts w:cs="Tahoma"/>
                <w:sz w:val="20"/>
                <w:szCs w:val="20"/>
              </w:rPr>
              <w:t>) under different environmental conditions varied from 6 to 400 μg/l (ppb) with an average of 50 ppb. This range covered 95% of aquatic organisms tested, which included species during sensitive life stages (eggs and larvae). Based on scientific literature, a minimum threshold of 6 parts per billion (ppb) over 96-hours or equivalent was used to assess in-water low exposure zones.</w:t>
            </w:r>
          </w:p>
          <w:p w14:paraId="698A5755" w14:textId="77777777" w:rsidR="00A359C7" w:rsidRPr="00320564" w:rsidRDefault="00A359C7" w:rsidP="00BC3AE8">
            <w:pPr>
              <w:pStyle w:val="tabletext3"/>
              <w:rPr>
                <w:rFonts w:cs="Tahoma"/>
                <w:sz w:val="20"/>
                <w:szCs w:val="20"/>
                <w:u w:val="single"/>
              </w:rPr>
            </w:pPr>
            <w:r w:rsidRPr="00320564">
              <w:rPr>
                <w:rFonts w:cs="Tahoma"/>
                <w:sz w:val="20"/>
                <w:szCs w:val="20"/>
                <w:u w:val="single"/>
              </w:rPr>
              <w:t>Entrained phase</w:t>
            </w:r>
          </w:p>
          <w:p w14:paraId="6DBE68CC" w14:textId="77777777" w:rsidR="00A359C7" w:rsidRPr="00320564" w:rsidRDefault="00A359C7" w:rsidP="00A359C7">
            <w:pPr>
              <w:pStyle w:val="tabletext3"/>
              <w:rPr>
                <w:rFonts w:cs="Tahoma"/>
                <w:sz w:val="20"/>
                <w:szCs w:val="20"/>
              </w:rPr>
            </w:pPr>
            <w:r w:rsidRPr="00320564">
              <w:rPr>
                <w:rFonts w:cs="Tahoma"/>
                <w:sz w:val="20"/>
                <w:szCs w:val="20"/>
              </w:rPr>
              <w:t>Exposure thresholds used to assess entrained hydrocarbon exposure were based on OSPAR guidelines. OSPAR has published a predicted no effect concentration (PNEC) for produced formation water (PFW), which accounts for the dispersed fractions of oil that is more representative of entrained oil droplets. The OSPAR PNEC is 70 ppb (median estimate (50% confidence) at 5% of the hazardous concentration (HC</w:t>
            </w:r>
            <w:r w:rsidRPr="00320564">
              <w:rPr>
                <w:rFonts w:cs="Tahoma"/>
                <w:sz w:val="20"/>
                <w:szCs w:val="20"/>
                <w:vertAlign w:val="subscript"/>
              </w:rPr>
              <w:t>5</w:t>
            </w:r>
            <w:r w:rsidRPr="00320564">
              <w:rPr>
                <w:rFonts w:cs="Tahoma"/>
                <w:sz w:val="20"/>
                <w:szCs w:val="20"/>
              </w:rPr>
              <w:t xml:space="preserve">)) and is based on biomarker and whole organism testing to total hydrocarbons (THC). The whole organism responses range from oxidative stress and DNA damage to impacts on growth, reproduction and survival. This PNEC represents an acceptable long-term (i.e., chronic, &gt;7 days) exposure concentration from continuous point source discharges in the North Sea, which is one of the most concentrated areas in the world for oil and gas production. The 70 ppb is regarded as the maximum allowable exposure level and thus is considered to be the ‘low exposure threshold’ in this study. </w:t>
            </w:r>
          </w:p>
          <w:p w14:paraId="2AE2023D" w14:textId="052B42C2" w:rsidR="00A359C7" w:rsidRPr="00320564" w:rsidRDefault="00A359C7" w:rsidP="00A359C7">
            <w:pPr>
              <w:pStyle w:val="tabletext3"/>
              <w:rPr>
                <w:sz w:val="20"/>
                <w:szCs w:val="20"/>
              </w:rPr>
            </w:pPr>
            <w:r w:rsidRPr="00320564">
              <w:rPr>
                <w:rFonts w:cs="Tahoma"/>
                <w:sz w:val="20"/>
                <w:szCs w:val="20"/>
              </w:rPr>
              <w:t>The low exposure level for entrained hydrocarbons is based on an exposure duration of 7 days (168 hours), representative of chronic exposure, compared to the acute 96-hour exposure periods used to classify moderate and high exposures.</w:t>
            </w:r>
          </w:p>
        </w:tc>
      </w:tr>
      <w:tr w:rsidR="00A359C7" w:rsidRPr="00320564" w14:paraId="741C9CC8" w14:textId="77777777" w:rsidTr="00BC3AE8">
        <w:trPr>
          <w:jc w:val="center"/>
        </w:trPr>
        <w:tc>
          <w:tcPr>
            <w:tcW w:w="1428" w:type="dxa"/>
            <w:tcBorders>
              <w:top w:val="nil"/>
              <w:bottom w:val="nil"/>
              <w:right w:val="single" w:sz="2" w:space="0" w:color="auto"/>
            </w:tcBorders>
          </w:tcPr>
          <w:p w14:paraId="0530654F" w14:textId="4C9F2614" w:rsidR="00A359C7" w:rsidRPr="00320564" w:rsidRDefault="00A359C7" w:rsidP="001A5120">
            <w:pPr>
              <w:pStyle w:val="tabletext3"/>
              <w:rPr>
                <w:sz w:val="20"/>
                <w:szCs w:val="20"/>
              </w:rPr>
            </w:pPr>
          </w:p>
        </w:tc>
        <w:tc>
          <w:tcPr>
            <w:tcW w:w="2213" w:type="dxa"/>
            <w:tcBorders>
              <w:right w:val="single" w:sz="2" w:space="0" w:color="auto"/>
            </w:tcBorders>
          </w:tcPr>
          <w:p w14:paraId="717D145E" w14:textId="77777777" w:rsidR="00A359C7" w:rsidRPr="00320564" w:rsidRDefault="00A359C7" w:rsidP="00EB2BD2">
            <w:pPr>
              <w:pStyle w:val="tabletext3"/>
              <w:rPr>
                <w:color w:val="E36C0A" w:themeColor="accent6" w:themeShade="BF"/>
                <w:sz w:val="20"/>
                <w:szCs w:val="20"/>
              </w:rPr>
            </w:pPr>
            <w:r w:rsidRPr="00320564">
              <w:rPr>
                <w:color w:val="E36C0A" w:themeColor="accent6" w:themeShade="BF"/>
                <w:sz w:val="20"/>
                <w:szCs w:val="20"/>
              </w:rPr>
              <w:t xml:space="preserve">MODERATE exposure: </w:t>
            </w:r>
          </w:p>
          <w:p w14:paraId="15ECC6E3" w14:textId="67E8E5A8" w:rsidR="00A359C7" w:rsidRPr="00320564" w:rsidRDefault="00A359C7" w:rsidP="00EB2BD2">
            <w:pPr>
              <w:pStyle w:val="tabletext3"/>
              <w:rPr>
                <w:color w:val="E36C0A" w:themeColor="accent6" w:themeShade="BF"/>
                <w:sz w:val="20"/>
                <w:szCs w:val="20"/>
              </w:rPr>
            </w:pPr>
            <w:r w:rsidRPr="00320564">
              <w:rPr>
                <w:color w:val="E36C0A" w:themeColor="accent6" w:themeShade="BF"/>
                <w:sz w:val="20"/>
                <w:szCs w:val="20"/>
              </w:rPr>
              <w:t xml:space="preserve">Dissolved - </w:t>
            </w:r>
            <w:r w:rsidR="00732EAC" w:rsidRPr="00320564">
              <w:rPr>
                <w:color w:val="E36C0A" w:themeColor="accent6" w:themeShade="BF"/>
                <w:sz w:val="20"/>
                <w:szCs w:val="20"/>
              </w:rPr>
              <w:br/>
            </w:r>
            <w:r w:rsidRPr="00320564">
              <w:rPr>
                <w:color w:val="E36C0A" w:themeColor="accent6" w:themeShade="BF"/>
                <w:sz w:val="20"/>
                <w:szCs w:val="20"/>
              </w:rPr>
              <w:t xml:space="preserve">4,800 ppb.hrs </w:t>
            </w:r>
          </w:p>
          <w:p w14:paraId="2CAB3C27" w14:textId="6CBF5132" w:rsidR="00A359C7" w:rsidRPr="00320564" w:rsidRDefault="00A359C7" w:rsidP="00EB2BD2">
            <w:pPr>
              <w:pStyle w:val="tabletext3"/>
              <w:rPr>
                <w:sz w:val="20"/>
                <w:szCs w:val="20"/>
              </w:rPr>
            </w:pPr>
            <w:r w:rsidRPr="00320564">
              <w:rPr>
                <w:color w:val="E36C0A" w:themeColor="accent6" w:themeShade="BF"/>
                <w:sz w:val="20"/>
                <w:szCs w:val="20"/>
              </w:rPr>
              <w:t xml:space="preserve">Entrained – </w:t>
            </w:r>
            <w:r w:rsidR="00732EAC" w:rsidRPr="00320564">
              <w:rPr>
                <w:color w:val="E36C0A" w:themeColor="accent6" w:themeShade="BF"/>
                <w:sz w:val="20"/>
                <w:szCs w:val="20"/>
              </w:rPr>
              <w:br/>
            </w:r>
            <w:r w:rsidRPr="00320564">
              <w:rPr>
                <w:color w:val="E36C0A" w:themeColor="accent6" w:themeShade="BF"/>
                <w:sz w:val="20"/>
                <w:szCs w:val="20"/>
              </w:rPr>
              <w:t>67,200 ppb.hrs</w:t>
            </w:r>
            <w:r w:rsidRPr="00320564">
              <w:rPr>
                <w:color w:val="E36C0A" w:themeColor="accent6" w:themeShade="BF"/>
                <w:sz w:val="20"/>
                <w:szCs w:val="20"/>
              </w:rPr>
              <w:br/>
            </w:r>
          </w:p>
        </w:tc>
        <w:tc>
          <w:tcPr>
            <w:tcW w:w="4773" w:type="dxa"/>
            <w:vMerge w:val="restart"/>
            <w:tcBorders>
              <w:left w:val="single" w:sz="2" w:space="0" w:color="auto"/>
            </w:tcBorders>
          </w:tcPr>
          <w:p w14:paraId="5FDA8370" w14:textId="0114D973" w:rsidR="00A359C7" w:rsidRPr="00320564" w:rsidRDefault="00A359C7" w:rsidP="001A5120">
            <w:pPr>
              <w:pStyle w:val="tabletext3"/>
              <w:rPr>
                <w:rFonts w:cs="Tahoma"/>
                <w:sz w:val="20"/>
                <w:szCs w:val="20"/>
                <w:u w:val="single"/>
              </w:rPr>
            </w:pPr>
            <w:r w:rsidRPr="00320564">
              <w:rPr>
                <w:rFonts w:cs="Tahoma"/>
                <w:sz w:val="20"/>
                <w:szCs w:val="20"/>
                <w:u w:val="single"/>
              </w:rPr>
              <w:t>Dissolved phase</w:t>
            </w:r>
          </w:p>
          <w:p w14:paraId="1836DE04" w14:textId="1C3DA438" w:rsidR="00A359C7" w:rsidRPr="00320564" w:rsidRDefault="00A359C7" w:rsidP="001A5120">
            <w:pPr>
              <w:pStyle w:val="tabletext3"/>
              <w:rPr>
                <w:rFonts w:cs="Tahoma"/>
                <w:sz w:val="20"/>
                <w:szCs w:val="20"/>
              </w:rPr>
            </w:pPr>
            <w:r w:rsidRPr="00320564">
              <w:rPr>
                <w:rFonts w:cs="Tahoma"/>
                <w:sz w:val="20"/>
                <w:szCs w:val="20"/>
              </w:rPr>
              <w:t>An average 96 hour LC</w:t>
            </w:r>
            <w:r w:rsidRPr="00320564">
              <w:rPr>
                <w:rFonts w:cs="Tahoma"/>
                <w:sz w:val="20"/>
                <w:szCs w:val="20"/>
                <w:vertAlign w:val="subscript"/>
              </w:rPr>
              <w:t>50</w:t>
            </w:r>
            <w:r w:rsidRPr="00320564">
              <w:rPr>
                <w:rFonts w:cs="Tahoma"/>
                <w:sz w:val="20"/>
                <w:szCs w:val="20"/>
              </w:rPr>
              <w:t xml:space="preserve"> of 50 ppb and 400 ppb could serve as an acute lethal threshold to 5% and 50% of biota, respectively. Hence, the thresholds were used to represent the moderate and high exposure zones, respectively.</w:t>
            </w:r>
          </w:p>
          <w:p w14:paraId="6AA1B5CF" w14:textId="58C8B4A4" w:rsidR="00A359C7" w:rsidRPr="00320564" w:rsidRDefault="00A359C7" w:rsidP="00A359C7">
            <w:pPr>
              <w:pStyle w:val="tabletext3"/>
              <w:rPr>
                <w:rFonts w:cs="Tahoma"/>
                <w:sz w:val="20"/>
                <w:szCs w:val="20"/>
                <w:u w:val="single"/>
              </w:rPr>
            </w:pPr>
            <w:r w:rsidRPr="00320564">
              <w:rPr>
                <w:rFonts w:cs="Tahoma"/>
                <w:sz w:val="20"/>
                <w:szCs w:val="20"/>
                <w:u w:val="single"/>
              </w:rPr>
              <w:t>Entrained phase</w:t>
            </w:r>
          </w:p>
          <w:p w14:paraId="0BF00238" w14:textId="77777777" w:rsidR="00A359C7" w:rsidRPr="00320564" w:rsidRDefault="00A359C7" w:rsidP="00A359C7">
            <w:pPr>
              <w:pStyle w:val="tabletext3"/>
              <w:rPr>
                <w:rFonts w:cs="Tahoma"/>
                <w:sz w:val="20"/>
                <w:szCs w:val="20"/>
              </w:rPr>
            </w:pPr>
            <w:r w:rsidRPr="00320564">
              <w:rPr>
                <w:rFonts w:cs="Tahoma"/>
                <w:sz w:val="20"/>
                <w:szCs w:val="20"/>
              </w:rPr>
              <w:t xml:space="preserve">While dissolved aromatics are the largest contributor to the toxicity of solutions generated by mixing hydrocarbons into water, it is still important to model the fate of entrained hydrocarbons because they are the mechanism of delivering soluble aromatics to the water column. </w:t>
            </w:r>
          </w:p>
          <w:p w14:paraId="402F5D57" w14:textId="67ACB4C9" w:rsidR="00A359C7" w:rsidRPr="00320564" w:rsidRDefault="00A359C7" w:rsidP="00A359C7">
            <w:pPr>
              <w:pStyle w:val="tabletext3"/>
              <w:rPr>
                <w:rFonts w:cs="Tahoma"/>
                <w:sz w:val="20"/>
                <w:szCs w:val="20"/>
              </w:rPr>
            </w:pPr>
            <w:r w:rsidRPr="00320564">
              <w:rPr>
                <w:rFonts w:cs="Tahoma"/>
                <w:sz w:val="20"/>
                <w:szCs w:val="20"/>
              </w:rPr>
              <w:t xml:space="preserve">Exposure thresholds used to assess entrained hydrocarbon exposure were based on OSPAR guidelines. OSPAR has published a PNEC for PFW, which accounts for the dispersed fractions of oil that is more representative of entrained oil droplets. For this study, moderate and high thresholds have been set at 700 ppb and 7,050 ppb, respectively. </w:t>
            </w:r>
          </w:p>
        </w:tc>
      </w:tr>
      <w:tr w:rsidR="00A359C7" w:rsidRPr="00320564" w14:paraId="351B96D0" w14:textId="77777777" w:rsidTr="00BC3AE8">
        <w:trPr>
          <w:jc w:val="center"/>
        </w:trPr>
        <w:tc>
          <w:tcPr>
            <w:tcW w:w="1428" w:type="dxa"/>
            <w:tcBorders>
              <w:top w:val="nil"/>
              <w:bottom w:val="single" w:sz="2" w:space="0" w:color="auto"/>
              <w:right w:val="single" w:sz="2" w:space="0" w:color="auto"/>
            </w:tcBorders>
          </w:tcPr>
          <w:p w14:paraId="71558B89" w14:textId="77777777" w:rsidR="00A359C7" w:rsidRPr="00320564" w:rsidRDefault="00A359C7" w:rsidP="001A5120">
            <w:pPr>
              <w:pStyle w:val="tabletext3"/>
              <w:rPr>
                <w:sz w:val="20"/>
                <w:szCs w:val="20"/>
              </w:rPr>
            </w:pPr>
          </w:p>
        </w:tc>
        <w:tc>
          <w:tcPr>
            <w:tcW w:w="2213" w:type="dxa"/>
            <w:tcBorders>
              <w:right w:val="single" w:sz="2" w:space="0" w:color="auto"/>
            </w:tcBorders>
          </w:tcPr>
          <w:p w14:paraId="56B288AF" w14:textId="029ACBFA" w:rsidR="00A359C7" w:rsidRPr="00320564" w:rsidRDefault="00A359C7" w:rsidP="00EB2BD2">
            <w:pPr>
              <w:pStyle w:val="tabletext3"/>
              <w:rPr>
                <w:color w:val="FF0000"/>
                <w:sz w:val="20"/>
                <w:szCs w:val="20"/>
              </w:rPr>
            </w:pPr>
            <w:r w:rsidRPr="00320564">
              <w:rPr>
                <w:color w:val="FF0000"/>
                <w:sz w:val="20"/>
                <w:szCs w:val="20"/>
              </w:rPr>
              <w:t xml:space="preserve">HIGH exposure: Dissolved - </w:t>
            </w:r>
            <w:r w:rsidR="00732EAC" w:rsidRPr="00320564">
              <w:rPr>
                <w:color w:val="FF0000"/>
                <w:sz w:val="20"/>
                <w:szCs w:val="20"/>
              </w:rPr>
              <w:br/>
            </w:r>
            <w:r w:rsidRPr="00320564">
              <w:rPr>
                <w:color w:val="FF0000"/>
                <w:sz w:val="20"/>
                <w:szCs w:val="20"/>
              </w:rPr>
              <w:t xml:space="preserve">38,400 ppb.hrs </w:t>
            </w:r>
          </w:p>
          <w:p w14:paraId="79D7034C" w14:textId="078FDD03" w:rsidR="00A359C7" w:rsidRPr="00320564" w:rsidRDefault="00A359C7" w:rsidP="00EB2BD2">
            <w:pPr>
              <w:pStyle w:val="tabletext3"/>
              <w:rPr>
                <w:sz w:val="20"/>
                <w:szCs w:val="20"/>
              </w:rPr>
            </w:pPr>
            <w:r w:rsidRPr="00320564">
              <w:rPr>
                <w:color w:val="FF0000"/>
                <w:sz w:val="20"/>
                <w:szCs w:val="20"/>
              </w:rPr>
              <w:t xml:space="preserve">Entrained – </w:t>
            </w:r>
            <w:r w:rsidR="00732EAC" w:rsidRPr="00320564">
              <w:rPr>
                <w:color w:val="FF0000"/>
                <w:sz w:val="20"/>
                <w:szCs w:val="20"/>
              </w:rPr>
              <w:br/>
            </w:r>
            <w:r w:rsidRPr="00320564">
              <w:rPr>
                <w:color w:val="FF0000"/>
                <w:sz w:val="20"/>
                <w:szCs w:val="20"/>
              </w:rPr>
              <w:t>676,800 ppb.hrs</w:t>
            </w:r>
          </w:p>
        </w:tc>
        <w:tc>
          <w:tcPr>
            <w:tcW w:w="4773" w:type="dxa"/>
            <w:vMerge/>
            <w:tcBorders>
              <w:left w:val="single" w:sz="2" w:space="0" w:color="auto"/>
            </w:tcBorders>
          </w:tcPr>
          <w:p w14:paraId="48A67677" w14:textId="11E15F07" w:rsidR="00A359C7" w:rsidRPr="00320564" w:rsidRDefault="00A359C7" w:rsidP="001A5120">
            <w:pPr>
              <w:pStyle w:val="tabletext3"/>
              <w:rPr>
                <w:sz w:val="20"/>
                <w:szCs w:val="20"/>
              </w:rPr>
            </w:pPr>
          </w:p>
        </w:tc>
      </w:tr>
      <w:tr w:rsidR="00EB2BD2" w:rsidRPr="00320564" w14:paraId="5133DE1B" w14:textId="77777777" w:rsidTr="00A359C7">
        <w:trPr>
          <w:jc w:val="center"/>
        </w:trPr>
        <w:tc>
          <w:tcPr>
            <w:tcW w:w="8414" w:type="dxa"/>
            <w:gridSpan w:val="3"/>
            <w:tcBorders>
              <w:top w:val="single" w:sz="2" w:space="0" w:color="auto"/>
              <w:bottom w:val="single" w:sz="2" w:space="0" w:color="auto"/>
            </w:tcBorders>
          </w:tcPr>
          <w:p w14:paraId="7C11C808" w14:textId="6AD6C5DE" w:rsidR="00EB2BD2" w:rsidRPr="00320564" w:rsidRDefault="00EB2BD2" w:rsidP="00EB2BD2">
            <w:pPr>
              <w:pStyle w:val="tabletext3"/>
              <w:rPr>
                <w:rFonts w:cs="Tahoma"/>
                <w:i/>
                <w:sz w:val="20"/>
                <w:szCs w:val="20"/>
              </w:rPr>
            </w:pPr>
            <w:r w:rsidRPr="00320564">
              <w:rPr>
                <w:rFonts w:cs="Tahoma"/>
                <w:i/>
                <w:sz w:val="20"/>
                <w:szCs w:val="20"/>
              </w:rPr>
              <w:t>The impacts to shoreline species include those species most at risk of oil exposure, being the small sedentary (non-mobile) invertebrates to large mobile species (birds, reptiles and mammals).  Impacts to shoreline species are more pronounced for heavy oils (crudes) that are viscose and composed of persistent hydrocarbons, as opposed to condensates and diesel that weather quickly and do not form emulsions. Thus, the thresholds used to assess shoreline contact are conservative for MDO.</w:t>
            </w:r>
          </w:p>
        </w:tc>
      </w:tr>
    </w:tbl>
    <w:p w14:paraId="3AA45668" w14:textId="4C71CA29" w:rsidR="001A5120" w:rsidRPr="006E5B12" w:rsidRDefault="00EB2BD2" w:rsidP="00D20C1F">
      <w:pPr>
        <w:ind w:left="0"/>
        <w:rPr>
          <w:rFonts w:cs="Arial"/>
          <w:i/>
          <w:sz w:val="16"/>
          <w:szCs w:val="16"/>
        </w:rPr>
      </w:pPr>
      <w:r w:rsidRPr="006E5B12">
        <w:rPr>
          <w:rFonts w:cs="Arial"/>
          <w:i/>
          <w:sz w:val="16"/>
          <w:szCs w:val="16"/>
        </w:rPr>
        <w:t>Source: RPS-APASA (2016).</w:t>
      </w:r>
    </w:p>
    <w:p w14:paraId="013C4BA6" w14:textId="77777777" w:rsidR="001A5120" w:rsidRPr="00FA6977" w:rsidRDefault="001A5120" w:rsidP="00D20C1F">
      <w:pPr>
        <w:ind w:left="0"/>
        <w:rPr>
          <w:rFonts w:ascii="Tahoma" w:hAnsi="Tahoma" w:cs="Arial"/>
          <w:szCs w:val="20"/>
        </w:rPr>
      </w:pPr>
    </w:p>
    <w:p w14:paraId="5BB75FA1" w14:textId="036FADD3" w:rsidR="007932B7" w:rsidRPr="00320564" w:rsidRDefault="007932B7" w:rsidP="007932B7">
      <w:pPr>
        <w:ind w:left="0"/>
        <w:rPr>
          <w:rFonts w:cs="Arial"/>
          <w:sz w:val="22"/>
          <w:szCs w:val="22"/>
        </w:rPr>
      </w:pPr>
      <w:r w:rsidRPr="00320564">
        <w:rPr>
          <w:rFonts w:cs="Arial"/>
          <w:sz w:val="22"/>
          <w:szCs w:val="22"/>
        </w:rPr>
        <w:t xml:space="preserve">A summary of the OSTM results is provided </w:t>
      </w:r>
      <w:r w:rsidRPr="001B36E7">
        <w:rPr>
          <w:rFonts w:cs="Arial"/>
          <w:sz w:val="22"/>
          <w:szCs w:val="22"/>
        </w:rPr>
        <w:t>in Table 7.</w:t>
      </w:r>
      <w:r w:rsidR="001B36E7" w:rsidRPr="001B36E7">
        <w:rPr>
          <w:rFonts w:cs="Arial"/>
          <w:sz w:val="22"/>
          <w:szCs w:val="22"/>
        </w:rPr>
        <w:t>4</w:t>
      </w:r>
      <w:r w:rsidR="009507BF" w:rsidRPr="001B36E7">
        <w:rPr>
          <w:rFonts w:cs="Arial"/>
          <w:sz w:val="22"/>
          <w:szCs w:val="22"/>
        </w:rPr>
        <w:t>5</w:t>
      </w:r>
      <w:r w:rsidRPr="001B36E7">
        <w:rPr>
          <w:rFonts w:cs="Arial"/>
          <w:sz w:val="22"/>
          <w:szCs w:val="22"/>
        </w:rPr>
        <w:t>.</w:t>
      </w:r>
      <w:r w:rsidRPr="00320564">
        <w:rPr>
          <w:rFonts w:cs="Arial"/>
          <w:sz w:val="22"/>
          <w:szCs w:val="22"/>
        </w:rPr>
        <w:t xml:space="preserve"> </w:t>
      </w:r>
    </w:p>
    <w:p w14:paraId="39B8A360" w14:textId="77777777" w:rsidR="007932B7" w:rsidRPr="00320564" w:rsidRDefault="007932B7" w:rsidP="00FA6977">
      <w:pPr>
        <w:ind w:left="0"/>
        <w:rPr>
          <w:sz w:val="20"/>
          <w:szCs w:val="20"/>
        </w:rPr>
      </w:pPr>
    </w:p>
    <w:p w14:paraId="7312F7C8" w14:textId="6E6C2AAD" w:rsidR="007932B7" w:rsidRPr="00320564" w:rsidRDefault="007932B7" w:rsidP="007932B7">
      <w:pPr>
        <w:spacing w:after="120"/>
        <w:ind w:left="0"/>
        <w:jc w:val="center"/>
        <w:rPr>
          <w:rFonts w:cs="Arial"/>
          <w:b/>
          <w:sz w:val="20"/>
          <w:szCs w:val="20"/>
        </w:rPr>
      </w:pPr>
      <w:r w:rsidRPr="00320564">
        <w:rPr>
          <w:rFonts w:cs="Arial"/>
          <w:b/>
          <w:sz w:val="20"/>
          <w:szCs w:val="20"/>
        </w:rPr>
        <w:t>Table 7.</w:t>
      </w:r>
      <w:r w:rsidR="001B36E7">
        <w:rPr>
          <w:rFonts w:cs="Arial"/>
          <w:b/>
          <w:sz w:val="20"/>
          <w:szCs w:val="20"/>
        </w:rPr>
        <w:t>4</w:t>
      </w:r>
      <w:r w:rsidR="009507BF">
        <w:rPr>
          <w:rFonts w:cs="Arial"/>
          <w:b/>
          <w:sz w:val="20"/>
          <w:szCs w:val="20"/>
        </w:rPr>
        <w:t>5</w:t>
      </w:r>
      <w:r w:rsidR="002862B4">
        <w:rPr>
          <w:rFonts w:cs="Arial"/>
          <w:b/>
          <w:sz w:val="20"/>
          <w:szCs w:val="20"/>
        </w:rPr>
        <w:t>.</w:t>
      </w:r>
      <w:r w:rsidRPr="00320564">
        <w:rPr>
          <w:rFonts w:cs="Arial"/>
          <w:b/>
          <w:sz w:val="20"/>
          <w:szCs w:val="20"/>
        </w:rPr>
        <w:tab/>
        <w:t>Summary of the OSTM results</w:t>
      </w:r>
    </w:p>
    <w:tbl>
      <w:tblPr>
        <w:tblStyle w:val="TableGrid"/>
        <w:tblW w:w="8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2213"/>
        <w:gridCol w:w="4773"/>
      </w:tblGrid>
      <w:tr w:rsidR="009F123E" w:rsidRPr="00320564" w14:paraId="219C966D" w14:textId="77777777" w:rsidTr="00124712">
        <w:trPr>
          <w:tblHeader/>
          <w:jc w:val="center"/>
        </w:trPr>
        <w:tc>
          <w:tcPr>
            <w:tcW w:w="1428" w:type="dxa"/>
            <w:tcBorders>
              <w:bottom w:val="single" w:sz="2" w:space="0" w:color="auto"/>
            </w:tcBorders>
            <w:shd w:val="clear" w:color="auto" w:fill="064EA8"/>
            <w:vAlign w:val="center"/>
          </w:tcPr>
          <w:p w14:paraId="73C9BF3D" w14:textId="77777777" w:rsidR="009F123E" w:rsidRPr="00320564" w:rsidRDefault="009F123E" w:rsidP="00124712">
            <w:pPr>
              <w:pStyle w:val="tabletitles"/>
              <w:rPr>
                <w:rFonts w:cs="Tahoma"/>
                <w:b w:val="0"/>
                <w:color w:val="FFFFFF" w:themeColor="background1"/>
                <w:sz w:val="20"/>
              </w:rPr>
            </w:pPr>
            <w:r w:rsidRPr="00320564">
              <w:rPr>
                <w:rFonts w:cs="Tahoma"/>
                <w:b w:val="0"/>
                <w:color w:val="FFFFFF" w:themeColor="background1"/>
                <w:sz w:val="20"/>
              </w:rPr>
              <w:t>Segment</w:t>
            </w:r>
          </w:p>
        </w:tc>
        <w:tc>
          <w:tcPr>
            <w:tcW w:w="2213" w:type="dxa"/>
            <w:shd w:val="clear" w:color="auto" w:fill="064EA8"/>
          </w:tcPr>
          <w:p w14:paraId="1DBA6A38" w14:textId="77777777" w:rsidR="009F123E" w:rsidRPr="00320564" w:rsidRDefault="009F123E" w:rsidP="00124712">
            <w:pPr>
              <w:pStyle w:val="tabletitles"/>
              <w:rPr>
                <w:rFonts w:cs="Tahoma"/>
                <w:b w:val="0"/>
                <w:color w:val="FFFFFF" w:themeColor="background1"/>
                <w:sz w:val="20"/>
              </w:rPr>
            </w:pPr>
            <w:r w:rsidRPr="00320564">
              <w:rPr>
                <w:rFonts w:cs="Tahoma"/>
                <w:b w:val="0"/>
                <w:color w:val="FFFFFF" w:themeColor="background1"/>
                <w:sz w:val="20"/>
              </w:rPr>
              <w:t>Threshold</w:t>
            </w:r>
          </w:p>
        </w:tc>
        <w:tc>
          <w:tcPr>
            <w:tcW w:w="4773" w:type="dxa"/>
            <w:shd w:val="clear" w:color="auto" w:fill="064EA8"/>
            <w:vAlign w:val="center"/>
          </w:tcPr>
          <w:p w14:paraId="13899EC5" w14:textId="025E15CD" w:rsidR="009F123E" w:rsidRPr="00320564" w:rsidRDefault="009F123E" w:rsidP="00124712">
            <w:pPr>
              <w:pStyle w:val="tabletitles"/>
              <w:rPr>
                <w:rFonts w:cs="Tahoma"/>
                <w:b w:val="0"/>
                <w:color w:val="FFFFFF" w:themeColor="background1"/>
                <w:sz w:val="20"/>
              </w:rPr>
            </w:pPr>
            <w:r w:rsidRPr="00320564">
              <w:rPr>
                <w:rFonts w:cs="Tahoma"/>
                <w:b w:val="0"/>
                <w:color w:val="FFFFFF" w:themeColor="background1"/>
                <w:sz w:val="20"/>
              </w:rPr>
              <w:t>Results (based on 100 spill trajectories commencing between September and April)</w:t>
            </w:r>
          </w:p>
        </w:tc>
      </w:tr>
      <w:tr w:rsidR="009F123E" w:rsidRPr="00320564" w14:paraId="5EB137F2" w14:textId="77777777" w:rsidTr="00124712">
        <w:trPr>
          <w:jc w:val="center"/>
        </w:trPr>
        <w:tc>
          <w:tcPr>
            <w:tcW w:w="1428" w:type="dxa"/>
            <w:tcBorders>
              <w:top w:val="single" w:sz="2" w:space="0" w:color="auto"/>
              <w:bottom w:val="nil"/>
              <w:right w:val="single" w:sz="2" w:space="0" w:color="auto"/>
            </w:tcBorders>
          </w:tcPr>
          <w:p w14:paraId="0611A1D6" w14:textId="77777777" w:rsidR="009F123E" w:rsidRPr="00320564" w:rsidRDefault="009F123E" w:rsidP="00124712">
            <w:pPr>
              <w:pStyle w:val="tabletext3"/>
              <w:rPr>
                <w:rFonts w:cs="Tahoma"/>
                <w:sz w:val="20"/>
                <w:szCs w:val="20"/>
              </w:rPr>
            </w:pPr>
            <w:r w:rsidRPr="00320564">
              <w:rPr>
                <w:rFonts w:cs="Tahoma"/>
                <w:sz w:val="20"/>
                <w:szCs w:val="20"/>
              </w:rPr>
              <w:t>Sea surface contact</w:t>
            </w:r>
          </w:p>
          <w:p w14:paraId="0F43A98B" w14:textId="2E67A164" w:rsidR="00097F98" w:rsidRPr="00320564" w:rsidRDefault="00097F98" w:rsidP="00774623">
            <w:pPr>
              <w:pStyle w:val="tabletext3"/>
              <w:rPr>
                <w:rFonts w:cs="Tahoma"/>
                <w:sz w:val="20"/>
                <w:szCs w:val="20"/>
              </w:rPr>
            </w:pPr>
            <w:r w:rsidRPr="00774623">
              <w:rPr>
                <w:rFonts w:cs="Tahoma"/>
                <w:sz w:val="20"/>
                <w:szCs w:val="20"/>
              </w:rPr>
              <w:t>(</w:t>
            </w:r>
            <w:r w:rsidRPr="001B36E7">
              <w:rPr>
                <w:rFonts w:cs="Tahoma"/>
                <w:sz w:val="20"/>
                <w:szCs w:val="20"/>
              </w:rPr>
              <w:t>Figure 7.</w:t>
            </w:r>
            <w:r w:rsidR="002862B4" w:rsidRPr="001B36E7">
              <w:rPr>
                <w:rFonts w:cs="Tahoma"/>
                <w:sz w:val="20"/>
                <w:szCs w:val="20"/>
              </w:rPr>
              <w:t>1</w:t>
            </w:r>
            <w:r w:rsidR="00774623" w:rsidRPr="001B36E7">
              <w:rPr>
                <w:rFonts w:cs="Tahoma"/>
                <w:sz w:val="20"/>
                <w:szCs w:val="20"/>
              </w:rPr>
              <w:t>5</w:t>
            </w:r>
            <w:r w:rsidRPr="001B36E7">
              <w:rPr>
                <w:rFonts w:cs="Tahoma"/>
                <w:sz w:val="20"/>
                <w:szCs w:val="20"/>
              </w:rPr>
              <w:t>)</w:t>
            </w:r>
            <w:r w:rsidR="00CB4BAB" w:rsidRPr="00320564">
              <w:rPr>
                <w:rFonts w:cs="Tahoma"/>
                <w:sz w:val="20"/>
                <w:szCs w:val="20"/>
              </w:rPr>
              <w:t xml:space="preserve"> </w:t>
            </w:r>
          </w:p>
        </w:tc>
        <w:tc>
          <w:tcPr>
            <w:tcW w:w="2213" w:type="dxa"/>
            <w:tcBorders>
              <w:right w:val="single" w:sz="2" w:space="0" w:color="auto"/>
            </w:tcBorders>
          </w:tcPr>
          <w:p w14:paraId="31CBFA16" w14:textId="3F393831" w:rsidR="009F123E" w:rsidRPr="00320564" w:rsidRDefault="009F123E" w:rsidP="009507BF">
            <w:pPr>
              <w:pStyle w:val="tabletext3"/>
              <w:rPr>
                <w:rFonts w:cs="Tahoma"/>
                <w:sz w:val="20"/>
                <w:szCs w:val="20"/>
              </w:rPr>
            </w:pPr>
            <w:r w:rsidRPr="00320564">
              <w:rPr>
                <w:rFonts w:cs="Tahoma"/>
                <w:color w:val="00B050"/>
                <w:sz w:val="20"/>
                <w:szCs w:val="20"/>
              </w:rPr>
              <w:t xml:space="preserve">LOW exposure: </w:t>
            </w:r>
            <w:r w:rsidRPr="00320564">
              <w:rPr>
                <w:rFonts w:cs="Tahoma"/>
                <w:color w:val="00B050"/>
                <w:sz w:val="20"/>
                <w:szCs w:val="20"/>
              </w:rPr>
              <w:br/>
              <w:t>1-10 g/m</w:t>
            </w:r>
            <w:r w:rsidRPr="00320564">
              <w:rPr>
                <w:rFonts w:cs="Tahoma"/>
                <w:color w:val="00B050"/>
                <w:sz w:val="20"/>
                <w:szCs w:val="20"/>
                <w:vertAlign w:val="superscript"/>
              </w:rPr>
              <w:t>2</w:t>
            </w:r>
            <w:r w:rsidRPr="00320564">
              <w:rPr>
                <w:rFonts w:cs="Tahoma"/>
                <w:color w:val="00B050"/>
                <w:sz w:val="20"/>
                <w:szCs w:val="20"/>
              </w:rPr>
              <w:t xml:space="preserve"> </w:t>
            </w:r>
          </w:p>
        </w:tc>
        <w:tc>
          <w:tcPr>
            <w:tcW w:w="4773" w:type="dxa"/>
            <w:tcBorders>
              <w:left w:val="single" w:sz="2" w:space="0" w:color="auto"/>
            </w:tcBorders>
          </w:tcPr>
          <w:p w14:paraId="0024BC54" w14:textId="77777777" w:rsidR="009F123E" w:rsidRPr="00320564" w:rsidRDefault="009F123E" w:rsidP="00124712">
            <w:pPr>
              <w:pStyle w:val="tabletext3"/>
              <w:rPr>
                <w:rFonts w:cs="Tahoma"/>
                <w:sz w:val="20"/>
                <w:szCs w:val="20"/>
              </w:rPr>
            </w:pPr>
            <w:r w:rsidRPr="00320564">
              <w:rPr>
                <w:rFonts w:cs="Tahoma"/>
                <w:sz w:val="20"/>
                <w:szCs w:val="20"/>
              </w:rPr>
              <w:t>The greatest distance travelled by a spill trajectory is 291 km</w:t>
            </w:r>
            <w:r w:rsidR="004F142D" w:rsidRPr="00320564">
              <w:rPr>
                <w:rFonts w:cs="Tahoma"/>
                <w:sz w:val="20"/>
                <w:szCs w:val="20"/>
              </w:rPr>
              <w:t xml:space="preserve"> east.</w:t>
            </w:r>
          </w:p>
          <w:p w14:paraId="1C072C1E" w14:textId="07E06742" w:rsidR="004F142D" w:rsidRPr="00320564" w:rsidRDefault="004F142D" w:rsidP="004F142D">
            <w:pPr>
              <w:pStyle w:val="tabletext3"/>
              <w:rPr>
                <w:rFonts w:cs="Tahoma"/>
                <w:sz w:val="20"/>
                <w:szCs w:val="20"/>
              </w:rPr>
            </w:pPr>
            <w:r w:rsidRPr="00320564">
              <w:rPr>
                <w:rFonts w:cs="Tahoma"/>
                <w:sz w:val="20"/>
                <w:szCs w:val="20"/>
              </w:rPr>
              <w:t>The following protected areas are predicted to be contacted with MDO of a low exposure:</w:t>
            </w:r>
          </w:p>
          <w:p w14:paraId="7ABFA239" w14:textId="56F04B52" w:rsidR="004F142D" w:rsidRPr="00320564" w:rsidRDefault="004F142D" w:rsidP="004F142D">
            <w:pPr>
              <w:pStyle w:val="tabletext3"/>
              <w:numPr>
                <w:ilvl w:val="0"/>
                <w:numId w:val="206"/>
              </w:numPr>
              <w:rPr>
                <w:rFonts w:cs="Tahoma"/>
                <w:sz w:val="20"/>
                <w:szCs w:val="20"/>
              </w:rPr>
            </w:pPr>
            <w:r w:rsidRPr="00320564">
              <w:rPr>
                <w:rFonts w:cs="Tahoma"/>
                <w:sz w:val="20"/>
                <w:szCs w:val="20"/>
              </w:rPr>
              <w:t xml:space="preserve">Ninety Mile Beach MNP - 20% probability in </w:t>
            </w:r>
            <w:r w:rsidR="00976798" w:rsidRPr="00320564">
              <w:rPr>
                <w:rFonts w:cs="Tahoma"/>
                <w:sz w:val="20"/>
                <w:szCs w:val="20"/>
              </w:rPr>
              <w:t>9</w:t>
            </w:r>
            <w:r w:rsidRPr="00320564">
              <w:rPr>
                <w:rFonts w:cs="Tahoma"/>
                <w:sz w:val="20"/>
                <w:szCs w:val="20"/>
              </w:rPr>
              <w:t xml:space="preserve"> hours. </w:t>
            </w:r>
          </w:p>
          <w:p w14:paraId="0DECD15B" w14:textId="3F45AA80" w:rsidR="004F142D" w:rsidRPr="00320564" w:rsidRDefault="004F142D" w:rsidP="004F142D">
            <w:pPr>
              <w:pStyle w:val="tabletext3"/>
              <w:numPr>
                <w:ilvl w:val="0"/>
                <w:numId w:val="206"/>
              </w:numPr>
              <w:rPr>
                <w:rFonts w:cs="Tahoma"/>
                <w:sz w:val="20"/>
                <w:szCs w:val="20"/>
              </w:rPr>
            </w:pPr>
            <w:r w:rsidRPr="00320564">
              <w:rPr>
                <w:rFonts w:cs="Tahoma"/>
                <w:sz w:val="20"/>
                <w:szCs w:val="20"/>
              </w:rPr>
              <w:t xml:space="preserve">Point Hicks MNP - 9% probability in </w:t>
            </w:r>
            <w:r w:rsidR="00976798" w:rsidRPr="00320564">
              <w:rPr>
                <w:rFonts w:cs="Tahoma"/>
                <w:sz w:val="20"/>
                <w:szCs w:val="20"/>
              </w:rPr>
              <w:t>31</w:t>
            </w:r>
            <w:r w:rsidRPr="00320564">
              <w:rPr>
                <w:rFonts w:cs="Tahoma"/>
                <w:sz w:val="20"/>
                <w:szCs w:val="20"/>
              </w:rPr>
              <w:t xml:space="preserve"> hours. </w:t>
            </w:r>
          </w:p>
          <w:p w14:paraId="1BD4F202" w14:textId="17104226" w:rsidR="004F142D" w:rsidRPr="00320564" w:rsidRDefault="004F142D" w:rsidP="004F142D">
            <w:pPr>
              <w:pStyle w:val="tabletext3"/>
              <w:numPr>
                <w:ilvl w:val="0"/>
                <w:numId w:val="206"/>
              </w:numPr>
              <w:rPr>
                <w:rFonts w:cs="Tahoma"/>
                <w:sz w:val="20"/>
                <w:szCs w:val="20"/>
              </w:rPr>
            </w:pPr>
            <w:r w:rsidRPr="00320564">
              <w:rPr>
                <w:rFonts w:cs="Tahoma"/>
                <w:sz w:val="20"/>
                <w:szCs w:val="20"/>
              </w:rPr>
              <w:t xml:space="preserve">Beware Reef Marine Sanctuary - 3% probability in </w:t>
            </w:r>
            <w:r w:rsidR="00976798" w:rsidRPr="00320564">
              <w:rPr>
                <w:rFonts w:cs="Tahoma"/>
                <w:sz w:val="20"/>
                <w:szCs w:val="20"/>
              </w:rPr>
              <w:t>38</w:t>
            </w:r>
            <w:r w:rsidRPr="00320564">
              <w:rPr>
                <w:rFonts w:cs="Tahoma"/>
                <w:sz w:val="20"/>
                <w:szCs w:val="20"/>
              </w:rPr>
              <w:t xml:space="preserve"> hours. </w:t>
            </w:r>
          </w:p>
          <w:p w14:paraId="1843E858" w14:textId="11E10336" w:rsidR="004F142D" w:rsidRPr="00320564" w:rsidRDefault="004F142D" w:rsidP="004F142D">
            <w:pPr>
              <w:pStyle w:val="tabletext3"/>
              <w:numPr>
                <w:ilvl w:val="0"/>
                <w:numId w:val="206"/>
              </w:numPr>
              <w:rPr>
                <w:rFonts w:cs="Tahoma"/>
                <w:sz w:val="20"/>
                <w:szCs w:val="20"/>
              </w:rPr>
            </w:pPr>
            <w:r w:rsidRPr="00320564">
              <w:rPr>
                <w:rFonts w:cs="Tahoma"/>
                <w:sz w:val="20"/>
                <w:szCs w:val="20"/>
              </w:rPr>
              <w:t xml:space="preserve">Cape Howe MNP - 2% probability in </w:t>
            </w:r>
            <w:r w:rsidR="00976798" w:rsidRPr="00320564">
              <w:rPr>
                <w:rFonts w:cs="Tahoma"/>
                <w:sz w:val="20"/>
                <w:szCs w:val="20"/>
              </w:rPr>
              <w:t>50</w:t>
            </w:r>
            <w:r w:rsidRPr="00320564">
              <w:rPr>
                <w:rFonts w:cs="Tahoma"/>
                <w:sz w:val="20"/>
                <w:szCs w:val="20"/>
              </w:rPr>
              <w:t xml:space="preserve"> hours. </w:t>
            </w:r>
          </w:p>
          <w:p w14:paraId="09CED43F" w14:textId="07985951" w:rsidR="004F142D" w:rsidRPr="00320564" w:rsidRDefault="004F142D" w:rsidP="00976798">
            <w:pPr>
              <w:pStyle w:val="tabletext3"/>
              <w:rPr>
                <w:rFonts w:cs="Tahoma"/>
                <w:sz w:val="20"/>
                <w:szCs w:val="20"/>
              </w:rPr>
            </w:pPr>
            <w:r w:rsidRPr="00320564">
              <w:rPr>
                <w:rFonts w:cs="Tahoma"/>
                <w:sz w:val="20"/>
                <w:szCs w:val="20"/>
              </w:rPr>
              <w:t>Four other marine or coastal parks have a 1% probability of contact with MDO of a low exposure</w:t>
            </w:r>
            <w:r w:rsidR="006937E1" w:rsidRPr="00320564">
              <w:rPr>
                <w:rFonts w:cs="Tahoma"/>
                <w:sz w:val="20"/>
                <w:szCs w:val="20"/>
              </w:rPr>
              <w:t>, taking between 32 and 64 hours to make contact</w:t>
            </w:r>
            <w:r w:rsidRPr="00320564">
              <w:rPr>
                <w:rFonts w:cs="Tahoma"/>
                <w:sz w:val="20"/>
                <w:szCs w:val="20"/>
              </w:rPr>
              <w:t>.</w:t>
            </w:r>
          </w:p>
        </w:tc>
      </w:tr>
      <w:tr w:rsidR="009F123E" w:rsidRPr="00320564" w14:paraId="0B02AA61" w14:textId="77777777" w:rsidTr="00124712">
        <w:trPr>
          <w:jc w:val="center"/>
        </w:trPr>
        <w:tc>
          <w:tcPr>
            <w:tcW w:w="1428" w:type="dxa"/>
            <w:tcBorders>
              <w:top w:val="nil"/>
              <w:bottom w:val="nil"/>
              <w:right w:val="single" w:sz="2" w:space="0" w:color="auto"/>
            </w:tcBorders>
          </w:tcPr>
          <w:p w14:paraId="4FBC2E8E" w14:textId="5354F764" w:rsidR="009F123E" w:rsidRPr="00320564" w:rsidRDefault="009F123E" w:rsidP="00124712">
            <w:pPr>
              <w:pStyle w:val="tabletext3"/>
              <w:rPr>
                <w:rFonts w:cs="Tahoma"/>
                <w:sz w:val="20"/>
                <w:szCs w:val="20"/>
              </w:rPr>
            </w:pPr>
          </w:p>
        </w:tc>
        <w:tc>
          <w:tcPr>
            <w:tcW w:w="2213" w:type="dxa"/>
            <w:tcBorders>
              <w:right w:val="single" w:sz="2" w:space="0" w:color="auto"/>
            </w:tcBorders>
          </w:tcPr>
          <w:p w14:paraId="0152F028" w14:textId="06D54809" w:rsidR="009F123E" w:rsidRPr="00320564" w:rsidRDefault="009F123E" w:rsidP="009507BF">
            <w:pPr>
              <w:pStyle w:val="tabletext3"/>
              <w:rPr>
                <w:rFonts w:cs="Tahoma"/>
                <w:sz w:val="20"/>
                <w:szCs w:val="20"/>
              </w:rPr>
            </w:pPr>
            <w:r w:rsidRPr="00320564">
              <w:rPr>
                <w:rFonts w:cs="Tahoma"/>
                <w:color w:val="E36C0A" w:themeColor="accent6" w:themeShade="BF"/>
                <w:sz w:val="20"/>
                <w:szCs w:val="20"/>
              </w:rPr>
              <w:t>MODERATE exposure: 10-25 g/m</w:t>
            </w:r>
            <w:r w:rsidRPr="00320564">
              <w:rPr>
                <w:rFonts w:cs="Tahoma"/>
                <w:color w:val="E36C0A" w:themeColor="accent6" w:themeShade="BF"/>
                <w:sz w:val="20"/>
                <w:szCs w:val="20"/>
                <w:vertAlign w:val="superscript"/>
              </w:rPr>
              <w:t>2</w:t>
            </w:r>
            <w:r w:rsidRPr="00320564">
              <w:rPr>
                <w:rFonts w:cs="Tahoma"/>
                <w:color w:val="E36C0A" w:themeColor="accent6" w:themeShade="BF"/>
                <w:sz w:val="20"/>
                <w:szCs w:val="20"/>
              </w:rPr>
              <w:t xml:space="preserve"> </w:t>
            </w:r>
            <w:r w:rsidRPr="00320564">
              <w:rPr>
                <w:rFonts w:cs="Tahoma"/>
                <w:sz w:val="20"/>
                <w:szCs w:val="20"/>
              </w:rPr>
              <w:br/>
            </w:r>
          </w:p>
        </w:tc>
        <w:tc>
          <w:tcPr>
            <w:tcW w:w="4773" w:type="dxa"/>
            <w:tcBorders>
              <w:left w:val="single" w:sz="2" w:space="0" w:color="auto"/>
            </w:tcBorders>
          </w:tcPr>
          <w:p w14:paraId="32347A4E" w14:textId="77777777" w:rsidR="009F123E" w:rsidRPr="00320564" w:rsidRDefault="004F142D" w:rsidP="004F142D">
            <w:pPr>
              <w:pStyle w:val="tabletext3"/>
              <w:rPr>
                <w:rFonts w:cs="Tahoma"/>
                <w:sz w:val="20"/>
                <w:szCs w:val="20"/>
              </w:rPr>
            </w:pPr>
            <w:r w:rsidRPr="00320564">
              <w:rPr>
                <w:rFonts w:cs="Tahoma"/>
                <w:sz w:val="20"/>
                <w:szCs w:val="20"/>
              </w:rPr>
              <w:t>The greatest distance travelled by a spill trajectory is 166 km east-northeast.</w:t>
            </w:r>
          </w:p>
          <w:p w14:paraId="185BFB65" w14:textId="24E9CBD4" w:rsidR="004F142D" w:rsidRPr="00320564" w:rsidRDefault="004F142D" w:rsidP="004F142D">
            <w:pPr>
              <w:pStyle w:val="tabletext3"/>
              <w:rPr>
                <w:rFonts w:cs="Tahoma"/>
                <w:sz w:val="20"/>
                <w:szCs w:val="20"/>
              </w:rPr>
            </w:pPr>
            <w:r w:rsidRPr="00320564">
              <w:rPr>
                <w:rFonts w:cs="Tahoma"/>
                <w:sz w:val="20"/>
                <w:szCs w:val="20"/>
              </w:rPr>
              <w:t xml:space="preserve">The following protected areas are predicted to be </w:t>
            </w:r>
            <w:r w:rsidRPr="00320564">
              <w:rPr>
                <w:rFonts w:cs="Tahoma"/>
                <w:sz w:val="20"/>
                <w:szCs w:val="20"/>
              </w:rPr>
              <w:lastRenderedPageBreak/>
              <w:t xml:space="preserve">contacted with MDO of a </w:t>
            </w:r>
            <w:r w:rsidR="00976798" w:rsidRPr="00320564">
              <w:rPr>
                <w:rFonts w:cs="Tahoma"/>
                <w:sz w:val="20"/>
                <w:szCs w:val="20"/>
              </w:rPr>
              <w:t>moderate</w:t>
            </w:r>
            <w:r w:rsidRPr="00320564">
              <w:rPr>
                <w:rFonts w:cs="Tahoma"/>
                <w:sz w:val="20"/>
                <w:szCs w:val="20"/>
              </w:rPr>
              <w:t xml:space="preserve"> exposure:</w:t>
            </w:r>
          </w:p>
          <w:p w14:paraId="1BC813DB" w14:textId="66CB31B8" w:rsidR="004F142D" w:rsidRPr="00320564" w:rsidRDefault="004F142D" w:rsidP="004F142D">
            <w:pPr>
              <w:pStyle w:val="tabletext3"/>
              <w:numPr>
                <w:ilvl w:val="0"/>
                <w:numId w:val="206"/>
              </w:numPr>
              <w:rPr>
                <w:rFonts w:cs="Tahoma"/>
                <w:sz w:val="20"/>
                <w:szCs w:val="20"/>
              </w:rPr>
            </w:pPr>
            <w:r w:rsidRPr="00320564">
              <w:rPr>
                <w:rFonts w:cs="Tahoma"/>
                <w:sz w:val="20"/>
                <w:szCs w:val="20"/>
              </w:rPr>
              <w:t xml:space="preserve">Ninety Mile Beach MNP - </w:t>
            </w:r>
            <w:r w:rsidR="00976798" w:rsidRPr="00320564">
              <w:rPr>
                <w:rFonts w:cs="Tahoma"/>
                <w:sz w:val="20"/>
                <w:szCs w:val="20"/>
              </w:rPr>
              <w:t>5</w:t>
            </w:r>
            <w:r w:rsidRPr="00320564">
              <w:rPr>
                <w:rFonts w:cs="Tahoma"/>
                <w:sz w:val="20"/>
                <w:szCs w:val="20"/>
              </w:rPr>
              <w:t xml:space="preserve">% probability in </w:t>
            </w:r>
            <w:r w:rsidR="00976798" w:rsidRPr="00320564">
              <w:rPr>
                <w:rFonts w:cs="Tahoma"/>
                <w:sz w:val="20"/>
                <w:szCs w:val="20"/>
              </w:rPr>
              <w:t>13</w:t>
            </w:r>
            <w:r w:rsidRPr="00320564">
              <w:rPr>
                <w:rFonts w:cs="Tahoma"/>
                <w:sz w:val="20"/>
                <w:szCs w:val="20"/>
              </w:rPr>
              <w:t xml:space="preserve"> hours. </w:t>
            </w:r>
          </w:p>
          <w:p w14:paraId="65D3D797" w14:textId="43B2822F" w:rsidR="004F142D" w:rsidRPr="00320564" w:rsidRDefault="004F142D" w:rsidP="004F142D">
            <w:pPr>
              <w:pStyle w:val="tabletext3"/>
              <w:numPr>
                <w:ilvl w:val="0"/>
                <w:numId w:val="206"/>
              </w:numPr>
              <w:rPr>
                <w:rFonts w:cs="Tahoma"/>
                <w:sz w:val="20"/>
                <w:szCs w:val="20"/>
              </w:rPr>
            </w:pPr>
            <w:r w:rsidRPr="00320564">
              <w:rPr>
                <w:rFonts w:cs="Tahoma"/>
                <w:sz w:val="20"/>
                <w:szCs w:val="20"/>
              </w:rPr>
              <w:t xml:space="preserve">Point Hicks MNP - </w:t>
            </w:r>
            <w:r w:rsidR="00976798" w:rsidRPr="00320564">
              <w:rPr>
                <w:rFonts w:cs="Tahoma"/>
                <w:sz w:val="20"/>
                <w:szCs w:val="20"/>
              </w:rPr>
              <w:t>1</w:t>
            </w:r>
            <w:r w:rsidRPr="00320564">
              <w:rPr>
                <w:rFonts w:cs="Tahoma"/>
                <w:sz w:val="20"/>
                <w:szCs w:val="20"/>
              </w:rPr>
              <w:t xml:space="preserve">% probability in </w:t>
            </w:r>
            <w:r w:rsidR="00976798" w:rsidRPr="00320564">
              <w:rPr>
                <w:rFonts w:cs="Tahoma"/>
                <w:sz w:val="20"/>
                <w:szCs w:val="20"/>
              </w:rPr>
              <w:t>44</w:t>
            </w:r>
            <w:r w:rsidRPr="00320564">
              <w:rPr>
                <w:rFonts w:cs="Tahoma"/>
                <w:sz w:val="20"/>
                <w:szCs w:val="20"/>
              </w:rPr>
              <w:t xml:space="preserve"> hours. </w:t>
            </w:r>
          </w:p>
        </w:tc>
      </w:tr>
      <w:tr w:rsidR="009F123E" w:rsidRPr="00320564" w14:paraId="04EF5233" w14:textId="77777777" w:rsidTr="00124712">
        <w:trPr>
          <w:jc w:val="center"/>
        </w:trPr>
        <w:tc>
          <w:tcPr>
            <w:tcW w:w="1428" w:type="dxa"/>
            <w:tcBorders>
              <w:top w:val="nil"/>
              <w:bottom w:val="single" w:sz="2" w:space="0" w:color="auto"/>
              <w:right w:val="single" w:sz="2" w:space="0" w:color="auto"/>
            </w:tcBorders>
          </w:tcPr>
          <w:p w14:paraId="004F071C" w14:textId="77777777" w:rsidR="009F123E" w:rsidRPr="00320564" w:rsidRDefault="009F123E" w:rsidP="00124712">
            <w:pPr>
              <w:pStyle w:val="tabletext3"/>
              <w:rPr>
                <w:rFonts w:cs="Tahoma"/>
                <w:sz w:val="20"/>
                <w:szCs w:val="20"/>
              </w:rPr>
            </w:pPr>
          </w:p>
        </w:tc>
        <w:tc>
          <w:tcPr>
            <w:tcW w:w="2213" w:type="dxa"/>
            <w:tcBorders>
              <w:right w:val="single" w:sz="2" w:space="0" w:color="auto"/>
            </w:tcBorders>
          </w:tcPr>
          <w:p w14:paraId="72D075AA" w14:textId="3467A297" w:rsidR="009F123E" w:rsidRPr="00320564" w:rsidRDefault="009F123E" w:rsidP="009507BF">
            <w:pPr>
              <w:pStyle w:val="tabletext3"/>
              <w:rPr>
                <w:rFonts w:cs="Tahoma"/>
                <w:sz w:val="20"/>
                <w:szCs w:val="20"/>
              </w:rPr>
            </w:pPr>
            <w:r w:rsidRPr="00320564">
              <w:rPr>
                <w:rFonts w:cs="Tahoma"/>
                <w:color w:val="FF0000"/>
                <w:sz w:val="20"/>
                <w:szCs w:val="20"/>
              </w:rPr>
              <w:t xml:space="preserve">HIGH exposure: </w:t>
            </w:r>
            <w:r w:rsidR="00CB4BAB" w:rsidRPr="00320564">
              <w:rPr>
                <w:rFonts w:cs="Tahoma"/>
                <w:color w:val="FF0000"/>
                <w:sz w:val="20"/>
                <w:szCs w:val="20"/>
              </w:rPr>
              <w:br/>
            </w:r>
            <w:r w:rsidRPr="00320564">
              <w:rPr>
                <w:rFonts w:cs="Tahoma"/>
                <w:color w:val="FF0000"/>
                <w:sz w:val="20"/>
                <w:szCs w:val="20"/>
              </w:rPr>
              <w:t>&gt;25 g/m</w:t>
            </w:r>
            <w:r w:rsidRPr="00320564">
              <w:rPr>
                <w:rFonts w:cs="Tahoma"/>
                <w:color w:val="FF0000"/>
                <w:sz w:val="20"/>
                <w:szCs w:val="20"/>
                <w:vertAlign w:val="superscript"/>
              </w:rPr>
              <w:t xml:space="preserve">2 </w:t>
            </w:r>
            <w:r w:rsidRPr="00320564">
              <w:rPr>
                <w:rFonts w:cs="Tahoma"/>
                <w:sz w:val="20"/>
                <w:szCs w:val="20"/>
                <w:vertAlign w:val="superscript"/>
              </w:rPr>
              <w:br/>
            </w:r>
          </w:p>
        </w:tc>
        <w:tc>
          <w:tcPr>
            <w:tcW w:w="4773" w:type="dxa"/>
            <w:tcBorders>
              <w:left w:val="single" w:sz="2" w:space="0" w:color="auto"/>
            </w:tcBorders>
          </w:tcPr>
          <w:p w14:paraId="7F4A67E8" w14:textId="77777777" w:rsidR="009F123E" w:rsidRPr="00320564" w:rsidRDefault="004F142D" w:rsidP="004F142D">
            <w:pPr>
              <w:pStyle w:val="tabletext3"/>
              <w:rPr>
                <w:rFonts w:cs="Tahoma"/>
                <w:sz w:val="20"/>
                <w:szCs w:val="20"/>
              </w:rPr>
            </w:pPr>
            <w:r w:rsidRPr="00320564">
              <w:rPr>
                <w:rFonts w:cs="Tahoma"/>
                <w:sz w:val="20"/>
                <w:szCs w:val="20"/>
              </w:rPr>
              <w:t>The greatest distance travelled by a spill trajectory is 43 km east-northeast.</w:t>
            </w:r>
          </w:p>
          <w:p w14:paraId="423EF950" w14:textId="02C9CBF2" w:rsidR="004F142D" w:rsidRPr="00320564" w:rsidRDefault="004F142D" w:rsidP="004F142D">
            <w:pPr>
              <w:pStyle w:val="tabletext3"/>
              <w:rPr>
                <w:rFonts w:cs="Tahoma"/>
                <w:sz w:val="20"/>
                <w:szCs w:val="20"/>
              </w:rPr>
            </w:pPr>
            <w:r w:rsidRPr="00320564">
              <w:rPr>
                <w:rFonts w:cs="Tahoma"/>
                <w:sz w:val="20"/>
                <w:szCs w:val="20"/>
              </w:rPr>
              <w:t>The Ninety Mile Beach MNP is the only protected area with any probability of contact with MDO of a high exposure,</w:t>
            </w:r>
            <w:r w:rsidR="00097F98" w:rsidRPr="00320564">
              <w:rPr>
                <w:rFonts w:cs="Tahoma"/>
                <w:sz w:val="20"/>
                <w:szCs w:val="20"/>
              </w:rPr>
              <w:t xml:space="preserve"> this being 2% and takes 14 hours.</w:t>
            </w:r>
          </w:p>
        </w:tc>
      </w:tr>
      <w:tr w:rsidR="00540B89" w:rsidRPr="00320564" w14:paraId="18793BE5" w14:textId="77777777" w:rsidTr="00CE4D03">
        <w:trPr>
          <w:trHeight w:val="1208"/>
          <w:jc w:val="center"/>
        </w:trPr>
        <w:tc>
          <w:tcPr>
            <w:tcW w:w="1428" w:type="dxa"/>
            <w:vMerge w:val="restart"/>
            <w:tcBorders>
              <w:top w:val="single" w:sz="2" w:space="0" w:color="auto"/>
              <w:right w:val="single" w:sz="2" w:space="0" w:color="auto"/>
            </w:tcBorders>
          </w:tcPr>
          <w:p w14:paraId="48CA8159" w14:textId="77777777" w:rsidR="00540B89" w:rsidRPr="00774623" w:rsidRDefault="00540B89" w:rsidP="00124712">
            <w:pPr>
              <w:pStyle w:val="tabletext3"/>
              <w:rPr>
                <w:rFonts w:cs="Tahoma"/>
                <w:sz w:val="20"/>
                <w:szCs w:val="20"/>
              </w:rPr>
            </w:pPr>
            <w:r w:rsidRPr="00774623">
              <w:rPr>
                <w:rFonts w:cs="Tahoma"/>
                <w:sz w:val="20"/>
                <w:szCs w:val="20"/>
              </w:rPr>
              <w:t>Shoreline</w:t>
            </w:r>
          </w:p>
          <w:p w14:paraId="384453D7" w14:textId="50F782D5" w:rsidR="00540B89" w:rsidRPr="00716F33" w:rsidRDefault="00540B89" w:rsidP="00124712">
            <w:pPr>
              <w:pStyle w:val="tabletext3"/>
              <w:rPr>
                <w:rFonts w:cs="Tahoma"/>
                <w:sz w:val="20"/>
                <w:szCs w:val="20"/>
              </w:rPr>
            </w:pPr>
            <w:r w:rsidRPr="00774623">
              <w:rPr>
                <w:rFonts w:cs="Tahoma"/>
                <w:sz w:val="20"/>
                <w:szCs w:val="20"/>
              </w:rPr>
              <w:t>(</w:t>
            </w:r>
            <w:r w:rsidRPr="001B36E7">
              <w:rPr>
                <w:rFonts w:cs="Tahoma"/>
                <w:sz w:val="20"/>
                <w:szCs w:val="20"/>
              </w:rPr>
              <w:t>Figure 7.</w:t>
            </w:r>
            <w:r w:rsidR="002862B4" w:rsidRPr="001B36E7">
              <w:rPr>
                <w:rFonts w:cs="Tahoma"/>
                <w:sz w:val="20"/>
                <w:szCs w:val="20"/>
              </w:rPr>
              <w:t>1</w:t>
            </w:r>
            <w:r w:rsidR="00774623" w:rsidRPr="001B36E7">
              <w:rPr>
                <w:rFonts w:cs="Tahoma"/>
                <w:sz w:val="20"/>
                <w:szCs w:val="20"/>
              </w:rPr>
              <w:t>6</w:t>
            </w:r>
            <w:r w:rsidRPr="001B36E7">
              <w:rPr>
                <w:rFonts w:cs="Tahoma"/>
                <w:sz w:val="20"/>
                <w:szCs w:val="20"/>
              </w:rPr>
              <w:t xml:space="preserve"> and Figure 7.</w:t>
            </w:r>
            <w:r w:rsidR="002862B4" w:rsidRPr="001B36E7">
              <w:rPr>
                <w:rFonts w:cs="Tahoma"/>
                <w:sz w:val="20"/>
                <w:szCs w:val="20"/>
              </w:rPr>
              <w:t>1</w:t>
            </w:r>
            <w:r w:rsidR="00774623" w:rsidRPr="001B36E7">
              <w:rPr>
                <w:rFonts w:cs="Tahoma"/>
                <w:sz w:val="20"/>
                <w:szCs w:val="20"/>
              </w:rPr>
              <w:t>7</w:t>
            </w:r>
            <w:r w:rsidRPr="001B36E7">
              <w:rPr>
                <w:rFonts w:cs="Tahoma"/>
                <w:sz w:val="20"/>
                <w:szCs w:val="20"/>
              </w:rPr>
              <w:t>)</w:t>
            </w:r>
          </w:p>
          <w:p w14:paraId="6C3123B9" w14:textId="05B19C06" w:rsidR="00540B89" w:rsidRPr="00320564" w:rsidRDefault="00540B89" w:rsidP="00CB4BAB">
            <w:pPr>
              <w:pStyle w:val="tabletext3"/>
              <w:rPr>
                <w:rFonts w:cs="Tahoma"/>
                <w:sz w:val="20"/>
                <w:szCs w:val="20"/>
              </w:rPr>
            </w:pPr>
          </w:p>
        </w:tc>
        <w:tc>
          <w:tcPr>
            <w:tcW w:w="2213" w:type="dxa"/>
            <w:tcBorders>
              <w:right w:val="single" w:sz="2" w:space="0" w:color="auto"/>
            </w:tcBorders>
          </w:tcPr>
          <w:p w14:paraId="5A958038" w14:textId="4D9E633F" w:rsidR="00540B89" w:rsidRPr="00320564" w:rsidRDefault="00540B89" w:rsidP="009507BF">
            <w:pPr>
              <w:pStyle w:val="tabletext3"/>
              <w:rPr>
                <w:rFonts w:cs="Tahoma"/>
                <w:sz w:val="20"/>
                <w:szCs w:val="20"/>
              </w:rPr>
            </w:pPr>
            <w:r w:rsidRPr="00320564">
              <w:rPr>
                <w:rFonts w:cs="Tahoma"/>
                <w:color w:val="00B050"/>
                <w:sz w:val="20"/>
                <w:szCs w:val="20"/>
              </w:rPr>
              <w:t xml:space="preserve">LOW exposure: </w:t>
            </w:r>
            <w:r w:rsidR="009507BF">
              <w:rPr>
                <w:rFonts w:cs="Tahoma"/>
                <w:color w:val="00B050"/>
                <w:sz w:val="20"/>
                <w:szCs w:val="20"/>
              </w:rPr>
              <w:br/>
            </w:r>
            <w:r w:rsidRPr="00320564">
              <w:rPr>
                <w:rFonts w:cs="Tahoma"/>
                <w:color w:val="00B050"/>
                <w:sz w:val="20"/>
                <w:szCs w:val="20"/>
              </w:rPr>
              <w:t>10-100 g/m</w:t>
            </w:r>
            <w:r w:rsidRPr="00320564">
              <w:rPr>
                <w:rFonts w:cs="Tahoma"/>
                <w:color w:val="00B050"/>
                <w:sz w:val="20"/>
                <w:szCs w:val="20"/>
                <w:vertAlign w:val="superscript"/>
              </w:rPr>
              <w:t>2</w:t>
            </w:r>
          </w:p>
        </w:tc>
        <w:tc>
          <w:tcPr>
            <w:tcW w:w="4773" w:type="dxa"/>
            <w:tcBorders>
              <w:left w:val="single" w:sz="2" w:space="0" w:color="auto"/>
            </w:tcBorders>
          </w:tcPr>
          <w:p w14:paraId="3464C228" w14:textId="09B56680" w:rsidR="00540B89" w:rsidRPr="00320564" w:rsidRDefault="00540B89" w:rsidP="009F123E">
            <w:pPr>
              <w:pStyle w:val="tabletext3"/>
              <w:rPr>
                <w:rFonts w:cs="Tahoma"/>
                <w:sz w:val="20"/>
                <w:szCs w:val="20"/>
              </w:rPr>
            </w:pPr>
            <w:r w:rsidRPr="00320564">
              <w:rPr>
                <w:rFonts w:cs="Tahoma"/>
                <w:sz w:val="20"/>
                <w:szCs w:val="20"/>
              </w:rPr>
              <w:t xml:space="preserve">There is a 56% probability of shoreline contact, with a minimum time to shore of 2 hours. </w:t>
            </w:r>
          </w:p>
        </w:tc>
      </w:tr>
      <w:tr w:rsidR="00540B89" w:rsidRPr="00320564" w14:paraId="0F67B1BB" w14:textId="77777777" w:rsidTr="00CE4D03">
        <w:trPr>
          <w:jc w:val="center"/>
        </w:trPr>
        <w:tc>
          <w:tcPr>
            <w:tcW w:w="1428" w:type="dxa"/>
            <w:vMerge/>
            <w:tcBorders>
              <w:bottom w:val="nil"/>
              <w:right w:val="single" w:sz="2" w:space="0" w:color="auto"/>
            </w:tcBorders>
          </w:tcPr>
          <w:p w14:paraId="7DFB7EFA" w14:textId="77777777" w:rsidR="00540B89" w:rsidRPr="00320564" w:rsidRDefault="00540B89" w:rsidP="00124712">
            <w:pPr>
              <w:pStyle w:val="tabletext3"/>
              <w:rPr>
                <w:sz w:val="20"/>
                <w:szCs w:val="20"/>
              </w:rPr>
            </w:pPr>
          </w:p>
        </w:tc>
        <w:tc>
          <w:tcPr>
            <w:tcW w:w="2213" w:type="dxa"/>
            <w:tcBorders>
              <w:right w:val="single" w:sz="2" w:space="0" w:color="auto"/>
            </w:tcBorders>
          </w:tcPr>
          <w:p w14:paraId="34434544" w14:textId="77777777" w:rsidR="00540B89" w:rsidRPr="00320564" w:rsidRDefault="00540B89" w:rsidP="00124712">
            <w:pPr>
              <w:pStyle w:val="tabletext3"/>
              <w:rPr>
                <w:color w:val="E36C0A" w:themeColor="accent6" w:themeShade="BF"/>
                <w:sz w:val="20"/>
                <w:szCs w:val="20"/>
                <w:vertAlign w:val="superscript"/>
              </w:rPr>
            </w:pPr>
            <w:r w:rsidRPr="00320564">
              <w:rPr>
                <w:color w:val="E36C0A" w:themeColor="accent6" w:themeShade="BF"/>
                <w:sz w:val="20"/>
                <w:szCs w:val="20"/>
              </w:rPr>
              <w:t>MODERATE exposure: 100-1,000 g/m</w:t>
            </w:r>
            <w:r w:rsidRPr="00320564">
              <w:rPr>
                <w:color w:val="E36C0A" w:themeColor="accent6" w:themeShade="BF"/>
                <w:sz w:val="20"/>
                <w:szCs w:val="20"/>
                <w:vertAlign w:val="superscript"/>
              </w:rPr>
              <w:t>2</w:t>
            </w:r>
          </w:p>
          <w:p w14:paraId="0A6B446F" w14:textId="1BD800D0" w:rsidR="00540B89" w:rsidRPr="00320564" w:rsidRDefault="00540B89" w:rsidP="009F123E">
            <w:pPr>
              <w:pStyle w:val="tabletext3"/>
              <w:rPr>
                <w:sz w:val="20"/>
                <w:szCs w:val="20"/>
              </w:rPr>
            </w:pPr>
          </w:p>
        </w:tc>
        <w:tc>
          <w:tcPr>
            <w:tcW w:w="4773" w:type="dxa"/>
            <w:tcBorders>
              <w:left w:val="single" w:sz="2" w:space="0" w:color="auto"/>
            </w:tcBorders>
          </w:tcPr>
          <w:p w14:paraId="431172A3" w14:textId="7C357EC8" w:rsidR="00540B89" w:rsidRPr="00320564" w:rsidRDefault="00540B89" w:rsidP="009F123E">
            <w:pPr>
              <w:pStyle w:val="tabletext3"/>
              <w:rPr>
                <w:rFonts w:cs="Tahoma"/>
                <w:sz w:val="20"/>
                <w:szCs w:val="20"/>
              </w:rPr>
            </w:pPr>
            <w:r w:rsidRPr="00320564">
              <w:rPr>
                <w:rFonts w:cs="Tahoma"/>
                <w:sz w:val="20"/>
                <w:szCs w:val="20"/>
              </w:rPr>
              <w:t>There is a 50% probability of shoreline contact, with a minimum time to shore of 2 hours.</w:t>
            </w:r>
          </w:p>
        </w:tc>
      </w:tr>
      <w:tr w:rsidR="009F123E" w:rsidRPr="00320564" w14:paraId="64CF7400" w14:textId="77777777" w:rsidTr="009F123E">
        <w:trPr>
          <w:jc w:val="center"/>
        </w:trPr>
        <w:tc>
          <w:tcPr>
            <w:tcW w:w="1428" w:type="dxa"/>
            <w:tcBorders>
              <w:top w:val="nil"/>
              <w:bottom w:val="nil"/>
              <w:right w:val="single" w:sz="2" w:space="0" w:color="auto"/>
            </w:tcBorders>
          </w:tcPr>
          <w:p w14:paraId="181A1699" w14:textId="77777777" w:rsidR="009F123E" w:rsidRPr="00320564" w:rsidRDefault="009F123E" w:rsidP="00124712">
            <w:pPr>
              <w:pStyle w:val="tabletext3"/>
              <w:rPr>
                <w:sz w:val="20"/>
                <w:szCs w:val="20"/>
              </w:rPr>
            </w:pPr>
          </w:p>
        </w:tc>
        <w:tc>
          <w:tcPr>
            <w:tcW w:w="2213" w:type="dxa"/>
            <w:tcBorders>
              <w:right w:val="single" w:sz="2" w:space="0" w:color="auto"/>
            </w:tcBorders>
          </w:tcPr>
          <w:p w14:paraId="20A00F73" w14:textId="43401386" w:rsidR="009F123E" w:rsidRPr="009507BF" w:rsidRDefault="009F123E" w:rsidP="009F123E">
            <w:pPr>
              <w:pStyle w:val="tabletext3"/>
              <w:rPr>
                <w:color w:val="FF0000"/>
                <w:sz w:val="20"/>
                <w:szCs w:val="20"/>
                <w:vertAlign w:val="superscript"/>
              </w:rPr>
            </w:pPr>
            <w:r w:rsidRPr="00320564">
              <w:rPr>
                <w:color w:val="FF0000"/>
                <w:sz w:val="20"/>
                <w:szCs w:val="20"/>
              </w:rPr>
              <w:t xml:space="preserve">HIGH exposure: </w:t>
            </w:r>
            <w:r w:rsidR="009507BF">
              <w:rPr>
                <w:color w:val="FF0000"/>
                <w:sz w:val="20"/>
                <w:szCs w:val="20"/>
              </w:rPr>
              <w:br/>
            </w:r>
            <w:r w:rsidRPr="00320564">
              <w:rPr>
                <w:color w:val="FF0000"/>
                <w:sz w:val="20"/>
                <w:szCs w:val="20"/>
              </w:rPr>
              <w:t>&gt;1,000 g/m</w:t>
            </w:r>
            <w:r w:rsidRPr="00320564">
              <w:rPr>
                <w:color w:val="FF0000"/>
                <w:sz w:val="20"/>
                <w:szCs w:val="20"/>
                <w:vertAlign w:val="superscript"/>
              </w:rPr>
              <w:t>2</w:t>
            </w:r>
          </w:p>
        </w:tc>
        <w:tc>
          <w:tcPr>
            <w:tcW w:w="4773" w:type="dxa"/>
            <w:tcBorders>
              <w:left w:val="single" w:sz="2" w:space="0" w:color="auto"/>
            </w:tcBorders>
          </w:tcPr>
          <w:p w14:paraId="377D8120" w14:textId="0F6E2CDB" w:rsidR="009F123E" w:rsidRPr="00320564" w:rsidRDefault="009F123E" w:rsidP="009F123E">
            <w:pPr>
              <w:pStyle w:val="tabletext3"/>
              <w:rPr>
                <w:rFonts w:cs="Tahoma"/>
                <w:sz w:val="20"/>
                <w:szCs w:val="20"/>
              </w:rPr>
            </w:pPr>
            <w:r w:rsidRPr="00320564">
              <w:rPr>
                <w:rFonts w:cs="Tahoma"/>
                <w:sz w:val="20"/>
                <w:szCs w:val="20"/>
              </w:rPr>
              <w:t>There is a 37% probability of shoreline contact, with a minimum time to shore of 9.5 hours.</w:t>
            </w:r>
          </w:p>
        </w:tc>
      </w:tr>
      <w:tr w:rsidR="009F123E" w:rsidRPr="00320564" w14:paraId="785274AE" w14:textId="77777777" w:rsidTr="00124712">
        <w:trPr>
          <w:jc w:val="center"/>
        </w:trPr>
        <w:tc>
          <w:tcPr>
            <w:tcW w:w="1428" w:type="dxa"/>
            <w:tcBorders>
              <w:top w:val="nil"/>
              <w:bottom w:val="nil"/>
              <w:right w:val="single" w:sz="2" w:space="0" w:color="auto"/>
            </w:tcBorders>
          </w:tcPr>
          <w:p w14:paraId="39881F1D" w14:textId="77777777" w:rsidR="009F123E" w:rsidRPr="00320564" w:rsidRDefault="009F123E" w:rsidP="00124712">
            <w:pPr>
              <w:pStyle w:val="tabletext3"/>
              <w:rPr>
                <w:sz w:val="20"/>
                <w:szCs w:val="20"/>
              </w:rPr>
            </w:pPr>
          </w:p>
        </w:tc>
        <w:tc>
          <w:tcPr>
            <w:tcW w:w="6986" w:type="dxa"/>
            <w:gridSpan w:val="2"/>
          </w:tcPr>
          <w:p w14:paraId="48C63E57" w14:textId="79041858" w:rsidR="009F123E" w:rsidRPr="00320564" w:rsidRDefault="009F123E" w:rsidP="009F123E">
            <w:pPr>
              <w:pStyle w:val="tabletext3"/>
              <w:rPr>
                <w:rFonts w:cs="Tahoma"/>
                <w:sz w:val="20"/>
                <w:szCs w:val="20"/>
              </w:rPr>
            </w:pPr>
            <w:r w:rsidRPr="00320564">
              <w:rPr>
                <w:sz w:val="20"/>
                <w:szCs w:val="20"/>
              </w:rPr>
              <w:t>Maximum volume of hydrocarbons ashore – 215 m</w:t>
            </w:r>
            <w:r w:rsidRPr="00320564">
              <w:rPr>
                <w:sz w:val="20"/>
                <w:szCs w:val="20"/>
                <w:vertAlign w:val="superscript"/>
              </w:rPr>
              <w:t>3</w:t>
            </w:r>
          </w:p>
        </w:tc>
      </w:tr>
      <w:tr w:rsidR="009F123E" w:rsidRPr="00320564" w14:paraId="5FE7EACB" w14:textId="77777777" w:rsidTr="00124712">
        <w:trPr>
          <w:jc w:val="center"/>
        </w:trPr>
        <w:tc>
          <w:tcPr>
            <w:tcW w:w="1428" w:type="dxa"/>
            <w:tcBorders>
              <w:top w:val="nil"/>
              <w:bottom w:val="single" w:sz="2" w:space="0" w:color="auto"/>
              <w:right w:val="single" w:sz="2" w:space="0" w:color="auto"/>
            </w:tcBorders>
          </w:tcPr>
          <w:p w14:paraId="507E7F82" w14:textId="77777777" w:rsidR="009F123E" w:rsidRPr="00320564" w:rsidRDefault="009F123E" w:rsidP="00124712">
            <w:pPr>
              <w:pStyle w:val="tabletext3"/>
              <w:rPr>
                <w:sz w:val="20"/>
                <w:szCs w:val="20"/>
              </w:rPr>
            </w:pPr>
          </w:p>
        </w:tc>
        <w:tc>
          <w:tcPr>
            <w:tcW w:w="6986" w:type="dxa"/>
            <w:gridSpan w:val="2"/>
          </w:tcPr>
          <w:p w14:paraId="1D6C543A" w14:textId="6AAB4D89" w:rsidR="009F123E" w:rsidRPr="00320564" w:rsidRDefault="009F123E" w:rsidP="009F123E">
            <w:pPr>
              <w:pStyle w:val="tabletext3"/>
              <w:rPr>
                <w:rFonts w:cs="Tahoma"/>
                <w:sz w:val="20"/>
                <w:szCs w:val="20"/>
              </w:rPr>
            </w:pPr>
            <w:r w:rsidRPr="00320564">
              <w:rPr>
                <w:sz w:val="20"/>
                <w:szCs w:val="20"/>
              </w:rPr>
              <w:t>Maximum volume of hydrocarbons ashore – 91 m</w:t>
            </w:r>
            <w:r w:rsidRPr="00320564">
              <w:rPr>
                <w:sz w:val="20"/>
                <w:szCs w:val="20"/>
                <w:vertAlign w:val="superscript"/>
              </w:rPr>
              <w:t>3</w:t>
            </w:r>
          </w:p>
        </w:tc>
      </w:tr>
      <w:tr w:rsidR="009F123E" w:rsidRPr="00320564" w14:paraId="16CF125A" w14:textId="77777777" w:rsidTr="00124712">
        <w:trPr>
          <w:jc w:val="center"/>
        </w:trPr>
        <w:tc>
          <w:tcPr>
            <w:tcW w:w="1428" w:type="dxa"/>
            <w:tcBorders>
              <w:top w:val="single" w:sz="2" w:space="0" w:color="auto"/>
              <w:bottom w:val="nil"/>
              <w:right w:val="single" w:sz="2" w:space="0" w:color="auto"/>
            </w:tcBorders>
          </w:tcPr>
          <w:p w14:paraId="05A219DE" w14:textId="77777777" w:rsidR="009F123E" w:rsidRPr="00320564" w:rsidRDefault="009F123E" w:rsidP="00124712">
            <w:pPr>
              <w:pStyle w:val="tabletext3"/>
              <w:rPr>
                <w:sz w:val="20"/>
                <w:szCs w:val="20"/>
              </w:rPr>
            </w:pPr>
            <w:r w:rsidRPr="00320564">
              <w:rPr>
                <w:sz w:val="20"/>
                <w:szCs w:val="20"/>
              </w:rPr>
              <w:t>Dissolved aromatic and entrained hydrocarbons</w:t>
            </w:r>
          </w:p>
        </w:tc>
        <w:tc>
          <w:tcPr>
            <w:tcW w:w="2213" w:type="dxa"/>
            <w:tcBorders>
              <w:right w:val="single" w:sz="2" w:space="0" w:color="auto"/>
            </w:tcBorders>
          </w:tcPr>
          <w:p w14:paraId="36C70269" w14:textId="77777777" w:rsidR="009F123E" w:rsidRPr="00320564" w:rsidRDefault="009F123E" w:rsidP="00124712">
            <w:pPr>
              <w:pStyle w:val="tabletext3"/>
              <w:rPr>
                <w:color w:val="00B050"/>
                <w:sz w:val="20"/>
                <w:szCs w:val="20"/>
              </w:rPr>
            </w:pPr>
            <w:r w:rsidRPr="00320564">
              <w:rPr>
                <w:color w:val="00B050"/>
                <w:sz w:val="20"/>
                <w:szCs w:val="20"/>
              </w:rPr>
              <w:t xml:space="preserve">LOW exposure: </w:t>
            </w:r>
          </w:p>
          <w:p w14:paraId="0BB448CB" w14:textId="77777777" w:rsidR="009F123E" w:rsidRPr="00320564" w:rsidRDefault="009F123E" w:rsidP="00124712">
            <w:pPr>
              <w:pStyle w:val="tabletext3"/>
              <w:rPr>
                <w:color w:val="00B050"/>
                <w:sz w:val="20"/>
                <w:szCs w:val="20"/>
              </w:rPr>
            </w:pPr>
            <w:r w:rsidRPr="00320564">
              <w:rPr>
                <w:color w:val="00B050"/>
                <w:sz w:val="20"/>
                <w:szCs w:val="20"/>
              </w:rPr>
              <w:t xml:space="preserve">Dissolved - 576 ppb.hrs </w:t>
            </w:r>
          </w:p>
          <w:p w14:paraId="1E5954A3" w14:textId="77777777" w:rsidR="009F123E" w:rsidRPr="00320564" w:rsidRDefault="009F123E" w:rsidP="00124712">
            <w:pPr>
              <w:pStyle w:val="tabletext3"/>
              <w:rPr>
                <w:sz w:val="20"/>
                <w:szCs w:val="20"/>
              </w:rPr>
            </w:pPr>
            <w:r w:rsidRPr="00320564">
              <w:rPr>
                <w:color w:val="00B050"/>
                <w:sz w:val="20"/>
                <w:szCs w:val="20"/>
              </w:rPr>
              <w:t>Entrained – 11,760 ppb hrs</w:t>
            </w:r>
            <w:r w:rsidRPr="00320564">
              <w:rPr>
                <w:sz w:val="20"/>
                <w:szCs w:val="20"/>
              </w:rPr>
              <w:br/>
            </w:r>
          </w:p>
        </w:tc>
        <w:tc>
          <w:tcPr>
            <w:tcW w:w="4773" w:type="dxa"/>
            <w:tcBorders>
              <w:left w:val="single" w:sz="2" w:space="0" w:color="auto"/>
            </w:tcBorders>
          </w:tcPr>
          <w:p w14:paraId="2E6D50CF" w14:textId="77777777" w:rsidR="009F123E" w:rsidRPr="00320564" w:rsidRDefault="00097F98" w:rsidP="00124712">
            <w:pPr>
              <w:pStyle w:val="tabletext3"/>
              <w:rPr>
                <w:sz w:val="20"/>
                <w:szCs w:val="20"/>
              </w:rPr>
            </w:pPr>
            <w:r w:rsidRPr="00320564">
              <w:rPr>
                <w:sz w:val="20"/>
                <w:szCs w:val="20"/>
                <w:u w:val="single"/>
              </w:rPr>
              <w:t>Dissolved phase</w:t>
            </w:r>
            <w:r w:rsidRPr="00320564">
              <w:rPr>
                <w:sz w:val="20"/>
                <w:szCs w:val="20"/>
              </w:rPr>
              <w:t xml:space="preserve"> – concentrations did not persist long enough in the water column to trigger the lowest exposure threshold.</w:t>
            </w:r>
          </w:p>
          <w:p w14:paraId="079268E7" w14:textId="77EDF6F7" w:rsidR="00097F98" w:rsidRPr="00320564" w:rsidRDefault="00097F98" w:rsidP="00124712">
            <w:pPr>
              <w:pStyle w:val="tabletext3"/>
              <w:rPr>
                <w:sz w:val="20"/>
                <w:szCs w:val="20"/>
              </w:rPr>
            </w:pPr>
            <w:r w:rsidRPr="00320564">
              <w:rPr>
                <w:sz w:val="20"/>
                <w:szCs w:val="20"/>
                <w:u w:val="single"/>
              </w:rPr>
              <w:t>Entrained phase</w:t>
            </w:r>
            <w:r w:rsidRPr="00320564">
              <w:rPr>
                <w:sz w:val="20"/>
                <w:szCs w:val="20"/>
              </w:rPr>
              <w:t xml:space="preserve"> – </w:t>
            </w:r>
            <w:r w:rsidR="005D719E">
              <w:rPr>
                <w:sz w:val="20"/>
                <w:szCs w:val="20"/>
              </w:rPr>
              <w:t xml:space="preserve">an isolated location within </w:t>
            </w:r>
            <w:r w:rsidRPr="00320564">
              <w:rPr>
                <w:sz w:val="20"/>
                <w:szCs w:val="20"/>
              </w:rPr>
              <w:t>Point Hicks MNP was the only receptor predicted to be contacted, with a 2% probability.</w:t>
            </w:r>
          </w:p>
        </w:tc>
      </w:tr>
      <w:tr w:rsidR="009F123E" w:rsidRPr="00320564" w14:paraId="2ECFC58F" w14:textId="77777777" w:rsidTr="00124712">
        <w:trPr>
          <w:jc w:val="center"/>
        </w:trPr>
        <w:tc>
          <w:tcPr>
            <w:tcW w:w="1428" w:type="dxa"/>
            <w:tcBorders>
              <w:top w:val="nil"/>
              <w:bottom w:val="nil"/>
              <w:right w:val="single" w:sz="2" w:space="0" w:color="auto"/>
            </w:tcBorders>
          </w:tcPr>
          <w:p w14:paraId="20FFD586" w14:textId="77777777" w:rsidR="009F123E" w:rsidRPr="00320564" w:rsidRDefault="009F123E" w:rsidP="00124712">
            <w:pPr>
              <w:pStyle w:val="tabletext3"/>
              <w:rPr>
                <w:sz w:val="20"/>
                <w:szCs w:val="20"/>
              </w:rPr>
            </w:pPr>
          </w:p>
        </w:tc>
        <w:tc>
          <w:tcPr>
            <w:tcW w:w="2213" w:type="dxa"/>
            <w:tcBorders>
              <w:right w:val="single" w:sz="2" w:space="0" w:color="auto"/>
            </w:tcBorders>
          </w:tcPr>
          <w:p w14:paraId="11AF2C75" w14:textId="77777777" w:rsidR="009F123E" w:rsidRPr="00320564" w:rsidRDefault="009F123E" w:rsidP="00124712">
            <w:pPr>
              <w:pStyle w:val="tabletext3"/>
              <w:rPr>
                <w:color w:val="E36C0A" w:themeColor="accent6" w:themeShade="BF"/>
                <w:sz w:val="20"/>
                <w:szCs w:val="20"/>
              </w:rPr>
            </w:pPr>
            <w:r w:rsidRPr="00320564">
              <w:rPr>
                <w:color w:val="E36C0A" w:themeColor="accent6" w:themeShade="BF"/>
                <w:sz w:val="20"/>
                <w:szCs w:val="20"/>
              </w:rPr>
              <w:t xml:space="preserve">MODERATE exposure: </w:t>
            </w:r>
          </w:p>
          <w:p w14:paraId="08492F84" w14:textId="77777777" w:rsidR="009F123E" w:rsidRPr="00320564" w:rsidRDefault="009F123E" w:rsidP="00124712">
            <w:pPr>
              <w:pStyle w:val="tabletext3"/>
              <w:rPr>
                <w:color w:val="E36C0A" w:themeColor="accent6" w:themeShade="BF"/>
                <w:sz w:val="20"/>
                <w:szCs w:val="20"/>
              </w:rPr>
            </w:pPr>
            <w:r w:rsidRPr="00320564">
              <w:rPr>
                <w:color w:val="E36C0A" w:themeColor="accent6" w:themeShade="BF"/>
                <w:sz w:val="20"/>
                <w:szCs w:val="20"/>
              </w:rPr>
              <w:t xml:space="preserve">Dissolved - 4,800 ppb.hrs </w:t>
            </w:r>
          </w:p>
          <w:p w14:paraId="7AB09877" w14:textId="0C39E602" w:rsidR="009F123E" w:rsidRPr="00320564" w:rsidRDefault="009F123E" w:rsidP="00124712">
            <w:pPr>
              <w:pStyle w:val="tabletext3"/>
              <w:rPr>
                <w:sz w:val="20"/>
                <w:szCs w:val="20"/>
              </w:rPr>
            </w:pPr>
            <w:r w:rsidRPr="00320564">
              <w:rPr>
                <w:color w:val="E36C0A" w:themeColor="accent6" w:themeShade="BF"/>
                <w:sz w:val="20"/>
                <w:szCs w:val="20"/>
              </w:rPr>
              <w:t>Entrained – 67,200 ppb.hrs</w:t>
            </w:r>
          </w:p>
        </w:tc>
        <w:tc>
          <w:tcPr>
            <w:tcW w:w="4773" w:type="dxa"/>
            <w:tcBorders>
              <w:left w:val="single" w:sz="2" w:space="0" w:color="auto"/>
            </w:tcBorders>
          </w:tcPr>
          <w:p w14:paraId="5C6D74F5" w14:textId="1AF3BC73" w:rsidR="009F123E" w:rsidRPr="00320564" w:rsidRDefault="00097F98" w:rsidP="00124712">
            <w:pPr>
              <w:pStyle w:val="tabletext3"/>
              <w:rPr>
                <w:sz w:val="20"/>
                <w:szCs w:val="20"/>
              </w:rPr>
            </w:pPr>
            <w:r w:rsidRPr="00320564">
              <w:rPr>
                <w:sz w:val="20"/>
                <w:szCs w:val="20"/>
                <w:u w:val="single"/>
              </w:rPr>
              <w:t>Dissolved phase</w:t>
            </w:r>
            <w:r w:rsidRPr="00320564">
              <w:rPr>
                <w:sz w:val="20"/>
                <w:szCs w:val="20"/>
              </w:rPr>
              <w:t xml:space="preserve"> – no predicted exposure.</w:t>
            </w:r>
          </w:p>
          <w:p w14:paraId="3DB39E61" w14:textId="0935B29D" w:rsidR="00097F98" w:rsidRPr="00320564" w:rsidRDefault="00097F98" w:rsidP="00124712">
            <w:pPr>
              <w:pStyle w:val="tabletext3"/>
              <w:rPr>
                <w:rFonts w:cs="Tahoma"/>
                <w:sz w:val="20"/>
                <w:szCs w:val="20"/>
              </w:rPr>
            </w:pPr>
            <w:r w:rsidRPr="00320564">
              <w:rPr>
                <w:sz w:val="20"/>
                <w:szCs w:val="20"/>
                <w:u w:val="single"/>
              </w:rPr>
              <w:t>Entrained phase</w:t>
            </w:r>
            <w:r w:rsidRPr="00320564">
              <w:rPr>
                <w:sz w:val="20"/>
                <w:szCs w:val="20"/>
              </w:rPr>
              <w:t xml:space="preserve"> – no predicted exposure.</w:t>
            </w:r>
          </w:p>
        </w:tc>
      </w:tr>
      <w:tr w:rsidR="009F123E" w:rsidRPr="00320564" w14:paraId="403583EB" w14:textId="77777777" w:rsidTr="00124712">
        <w:trPr>
          <w:jc w:val="center"/>
        </w:trPr>
        <w:tc>
          <w:tcPr>
            <w:tcW w:w="1428" w:type="dxa"/>
            <w:tcBorders>
              <w:top w:val="nil"/>
              <w:bottom w:val="single" w:sz="2" w:space="0" w:color="auto"/>
              <w:right w:val="single" w:sz="2" w:space="0" w:color="auto"/>
            </w:tcBorders>
          </w:tcPr>
          <w:p w14:paraId="73DABC03" w14:textId="77777777" w:rsidR="009F123E" w:rsidRPr="00320564" w:rsidRDefault="009F123E" w:rsidP="00124712">
            <w:pPr>
              <w:pStyle w:val="tabletext3"/>
              <w:rPr>
                <w:sz w:val="20"/>
                <w:szCs w:val="20"/>
              </w:rPr>
            </w:pPr>
          </w:p>
        </w:tc>
        <w:tc>
          <w:tcPr>
            <w:tcW w:w="2213" w:type="dxa"/>
            <w:tcBorders>
              <w:right w:val="single" w:sz="2" w:space="0" w:color="auto"/>
            </w:tcBorders>
          </w:tcPr>
          <w:p w14:paraId="296BC0B8" w14:textId="77777777" w:rsidR="009F123E" w:rsidRPr="00320564" w:rsidRDefault="009F123E" w:rsidP="00124712">
            <w:pPr>
              <w:pStyle w:val="tabletext3"/>
              <w:rPr>
                <w:color w:val="FF0000"/>
                <w:sz w:val="20"/>
                <w:szCs w:val="20"/>
              </w:rPr>
            </w:pPr>
            <w:r w:rsidRPr="00320564">
              <w:rPr>
                <w:color w:val="FF0000"/>
                <w:sz w:val="20"/>
                <w:szCs w:val="20"/>
              </w:rPr>
              <w:t xml:space="preserve">HIGH exposure: Dissolved - 38,400 ppb.hrs </w:t>
            </w:r>
          </w:p>
          <w:p w14:paraId="25CD0F76" w14:textId="77777777" w:rsidR="009F123E" w:rsidRPr="00320564" w:rsidRDefault="009F123E" w:rsidP="00124712">
            <w:pPr>
              <w:pStyle w:val="tabletext3"/>
              <w:rPr>
                <w:sz w:val="20"/>
                <w:szCs w:val="20"/>
              </w:rPr>
            </w:pPr>
            <w:r w:rsidRPr="00320564">
              <w:rPr>
                <w:color w:val="FF0000"/>
                <w:sz w:val="20"/>
                <w:szCs w:val="20"/>
              </w:rPr>
              <w:t>Entrained – 676,800 ppb.hrs</w:t>
            </w:r>
          </w:p>
        </w:tc>
        <w:tc>
          <w:tcPr>
            <w:tcW w:w="4773" w:type="dxa"/>
            <w:tcBorders>
              <w:left w:val="single" w:sz="2" w:space="0" w:color="auto"/>
            </w:tcBorders>
          </w:tcPr>
          <w:p w14:paraId="66A3A0AC" w14:textId="77777777" w:rsidR="00097F98" w:rsidRPr="00320564" w:rsidRDefault="00097F98" w:rsidP="00097F98">
            <w:pPr>
              <w:pStyle w:val="tabletext3"/>
              <w:rPr>
                <w:sz w:val="20"/>
                <w:szCs w:val="20"/>
              </w:rPr>
            </w:pPr>
            <w:r w:rsidRPr="00320564">
              <w:rPr>
                <w:sz w:val="20"/>
                <w:szCs w:val="20"/>
                <w:u w:val="single"/>
              </w:rPr>
              <w:t>Dissolved phase</w:t>
            </w:r>
            <w:r w:rsidRPr="00320564">
              <w:rPr>
                <w:sz w:val="20"/>
                <w:szCs w:val="20"/>
              </w:rPr>
              <w:t xml:space="preserve"> – no predicted exposure.</w:t>
            </w:r>
          </w:p>
          <w:p w14:paraId="46D6F9AF" w14:textId="2E57C68B" w:rsidR="009F123E" w:rsidRPr="00320564" w:rsidRDefault="00097F98" w:rsidP="00097F98">
            <w:pPr>
              <w:pStyle w:val="tabletext3"/>
              <w:rPr>
                <w:sz w:val="20"/>
                <w:szCs w:val="20"/>
              </w:rPr>
            </w:pPr>
            <w:r w:rsidRPr="00320564">
              <w:rPr>
                <w:sz w:val="20"/>
                <w:szCs w:val="20"/>
                <w:u w:val="single"/>
              </w:rPr>
              <w:t>Entrained phase</w:t>
            </w:r>
            <w:r w:rsidRPr="00320564">
              <w:rPr>
                <w:sz w:val="20"/>
                <w:szCs w:val="20"/>
              </w:rPr>
              <w:t xml:space="preserve"> – no predicted exposure.</w:t>
            </w:r>
          </w:p>
        </w:tc>
      </w:tr>
    </w:tbl>
    <w:p w14:paraId="083892E2" w14:textId="77777777" w:rsidR="009F123E" w:rsidRDefault="009F123E" w:rsidP="00FA6977">
      <w:pPr>
        <w:ind w:left="0"/>
      </w:pPr>
    </w:p>
    <w:p w14:paraId="66079A1B" w14:textId="77777777" w:rsidR="00CB4BAB" w:rsidRDefault="00CB4BAB" w:rsidP="00FA6977">
      <w:pPr>
        <w:ind w:left="0"/>
      </w:pPr>
    </w:p>
    <w:p w14:paraId="6F751DB5" w14:textId="77777777" w:rsidR="00751146" w:rsidRDefault="00751146" w:rsidP="00FA6977">
      <w:pPr>
        <w:ind w:left="0"/>
      </w:pPr>
    </w:p>
    <w:p w14:paraId="7B01A535" w14:textId="77777777" w:rsidR="00751146" w:rsidRDefault="00751146" w:rsidP="00FA6977">
      <w:pPr>
        <w:ind w:left="0"/>
      </w:pPr>
    </w:p>
    <w:p w14:paraId="598F1884" w14:textId="77777777" w:rsidR="00751146" w:rsidRDefault="00751146" w:rsidP="00FA6977">
      <w:pPr>
        <w:ind w:left="0"/>
      </w:pPr>
    </w:p>
    <w:p w14:paraId="4E1FFD9D" w14:textId="7EB7C5E6" w:rsidR="00751146" w:rsidRPr="00320564" w:rsidRDefault="00751146" w:rsidP="00751146">
      <w:pPr>
        <w:spacing w:before="120"/>
        <w:ind w:left="0"/>
        <w:jc w:val="center"/>
        <w:rPr>
          <w:rFonts w:cs="Tahoma"/>
          <w:b/>
          <w:sz w:val="20"/>
          <w:szCs w:val="20"/>
        </w:rPr>
        <w:sectPr w:rsidR="00751146" w:rsidRPr="00320564" w:rsidSect="004471E8">
          <w:headerReference w:type="even" r:id="rId301"/>
          <w:headerReference w:type="default" r:id="rId302"/>
          <w:footerReference w:type="default" r:id="rId303"/>
          <w:headerReference w:type="first" r:id="rId304"/>
          <w:pgSz w:w="11906" w:h="16838" w:code="9"/>
          <w:pgMar w:top="1382" w:right="1800" w:bottom="1440" w:left="1800" w:header="994" w:footer="706" w:gutter="0"/>
          <w:cols w:space="708"/>
          <w:docGrid w:linePitch="360"/>
        </w:sectPr>
      </w:pPr>
    </w:p>
    <w:p w14:paraId="4DB96FAD" w14:textId="77777777" w:rsidR="00BD7964" w:rsidRPr="00C96B85" w:rsidRDefault="00BD7964" w:rsidP="00FA6977">
      <w:pPr>
        <w:ind w:left="0"/>
        <w:rPr>
          <w:rFonts w:ascii="Tahoma" w:hAnsi="Tahoma" w:cs="Tahoma"/>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165"/>
      </w:tblGrid>
      <w:tr w:rsidR="00124712" w14:paraId="268E42DE" w14:textId="77777777" w:rsidTr="00774623">
        <w:trPr>
          <w:jc w:val="center"/>
        </w:trPr>
        <w:tc>
          <w:tcPr>
            <w:tcW w:w="11165" w:type="dxa"/>
          </w:tcPr>
          <w:p w14:paraId="196DDB99" w14:textId="46AE2370" w:rsidR="00124712" w:rsidRDefault="00BA3C90">
            <w:pPr>
              <w:spacing w:line="240" w:lineRule="auto"/>
              <w:ind w:left="0"/>
            </w:pPr>
            <w:r w:rsidRPr="00C36A54">
              <w:rPr>
                <w:noProof/>
              </w:rPr>
              <w:drawing>
                <wp:inline distT="0" distB="0" distL="0" distR="0" wp14:anchorId="6223F588" wp14:editId="188F5786">
                  <wp:extent cx="6896100" cy="4759862"/>
                  <wp:effectExtent l="19050" t="19050" r="19050" b="222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Projects\Q0354 Origin - Crowes Foot Multi-Point Remodelling\9. Figures\MSS_DIES_300M3_Surface_Exposure_Zones.png"/>
                          <pic:cNvPicPr>
                            <a:picLocks noChangeAspect="1" noChangeArrowheads="1"/>
                          </pic:cNvPicPr>
                        </pic:nvPicPr>
                        <pic:blipFill>
                          <a:blip r:embed="rId305" cstate="screen">
                            <a:extLst>
                              <a:ext uri="{28A0092B-C50C-407E-A947-70E740481C1C}">
                                <a14:useLocalDpi xmlns:a14="http://schemas.microsoft.com/office/drawing/2010/main"/>
                              </a:ext>
                            </a:extLst>
                          </a:blip>
                          <a:stretch>
                            <a:fillRect/>
                          </a:stretch>
                        </pic:blipFill>
                        <pic:spPr bwMode="auto">
                          <a:xfrm>
                            <a:off x="0" y="0"/>
                            <a:ext cx="6897909" cy="4761110"/>
                          </a:xfrm>
                          <a:prstGeom prst="rect">
                            <a:avLst/>
                          </a:prstGeom>
                          <a:noFill/>
                          <a:ln>
                            <a:solidFill>
                              <a:schemeClr val="tx1"/>
                            </a:solidFill>
                          </a:ln>
                        </pic:spPr>
                      </pic:pic>
                    </a:graphicData>
                  </a:graphic>
                </wp:inline>
              </w:drawing>
            </w:r>
          </w:p>
        </w:tc>
      </w:tr>
    </w:tbl>
    <w:p w14:paraId="38AF86CA" w14:textId="6621F309" w:rsidR="00124712" w:rsidRPr="00320564" w:rsidRDefault="00124712" w:rsidP="009F586F">
      <w:pPr>
        <w:spacing w:before="120" w:line="240" w:lineRule="auto"/>
        <w:ind w:left="0"/>
        <w:jc w:val="center"/>
        <w:rPr>
          <w:rFonts w:cs="Tahoma"/>
          <w:b/>
          <w:sz w:val="20"/>
          <w:szCs w:val="20"/>
        </w:rPr>
      </w:pPr>
      <w:bookmarkStart w:id="1259" w:name="_Ref391561197"/>
      <w:bookmarkStart w:id="1260" w:name="_Toc460927989"/>
      <w:r w:rsidRPr="00320564">
        <w:rPr>
          <w:rFonts w:cs="Tahoma"/>
          <w:b/>
          <w:sz w:val="20"/>
          <w:szCs w:val="20"/>
        </w:rPr>
        <w:t>Figure 7.</w:t>
      </w:r>
      <w:r w:rsidR="009F586F">
        <w:rPr>
          <w:rFonts w:cs="Tahoma"/>
          <w:b/>
          <w:sz w:val="20"/>
          <w:szCs w:val="20"/>
        </w:rPr>
        <w:t>1</w:t>
      </w:r>
      <w:r w:rsidR="00774623">
        <w:rPr>
          <w:rFonts w:cs="Tahoma"/>
          <w:b/>
          <w:sz w:val="20"/>
          <w:szCs w:val="20"/>
        </w:rPr>
        <w:t>5</w:t>
      </w:r>
      <w:r w:rsidRPr="00320564">
        <w:rPr>
          <w:rFonts w:cs="Tahoma"/>
          <w:b/>
          <w:sz w:val="20"/>
          <w:szCs w:val="20"/>
        </w:rPr>
        <w:t>.</w:t>
      </w:r>
      <w:r w:rsidRPr="00320564">
        <w:rPr>
          <w:rFonts w:cs="Tahoma"/>
          <w:b/>
          <w:sz w:val="20"/>
          <w:szCs w:val="20"/>
        </w:rPr>
        <w:tab/>
        <w:t xml:space="preserve">Potential zones of sea-surface exposure calculated from 100 spill trajectories during September to April conditions based on </w:t>
      </w:r>
      <w:bookmarkEnd w:id="1259"/>
      <w:r w:rsidRPr="00320564">
        <w:rPr>
          <w:rFonts w:cs="Tahoma"/>
          <w:b/>
          <w:sz w:val="20"/>
          <w:szCs w:val="20"/>
        </w:rPr>
        <w:t xml:space="preserve">a </w:t>
      </w:r>
      <w:r w:rsidR="009F586F">
        <w:rPr>
          <w:rFonts w:cs="Tahoma"/>
          <w:b/>
          <w:sz w:val="20"/>
          <w:szCs w:val="20"/>
        </w:rPr>
        <w:br/>
      </w:r>
      <w:r w:rsidRPr="00320564">
        <w:rPr>
          <w:rFonts w:cs="Tahoma"/>
          <w:b/>
          <w:sz w:val="20"/>
          <w:szCs w:val="20"/>
        </w:rPr>
        <w:t>306 m</w:t>
      </w:r>
      <w:r w:rsidRPr="009F586F">
        <w:rPr>
          <w:rFonts w:cs="Tahoma"/>
          <w:b/>
          <w:sz w:val="20"/>
          <w:szCs w:val="20"/>
          <w:vertAlign w:val="superscript"/>
        </w:rPr>
        <w:t>3</w:t>
      </w:r>
      <w:r w:rsidRPr="00320564">
        <w:rPr>
          <w:rFonts w:cs="Tahoma"/>
          <w:b/>
          <w:sz w:val="20"/>
          <w:szCs w:val="20"/>
        </w:rPr>
        <w:t xml:space="preserve"> surface release of MDO over 6 hours (tracked for 20 days)</w:t>
      </w:r>
      <w:bookmarkEnd w:id="126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81"/>
      </w:tblGrid>
      <w:tr w:rsidR="00124712" w14:paraId="4339C4EE" w14:textId="77777777" w:rsidTr="00774623">
        <w:trPr>
          <w:jc w:val="center"/>
        </w:trPr>
        <w:tc>
          <w:tcPr>
            <w:tcW w:w="10881" w:type="dxa"/>
          </w:tcPr>
          <w:p w14:paraId="100C4EDA" w14:textId="21924B71" w:rsidR="00124712" w:rsidRDefault="00CB4BAB">
            <w:pPr>
              <w:spacing w:line="240" w:lineRule="auto"/>
              <w:ind w:left="0"/>
            </w:pPr>
            <w:r>
              <w:lastRenderedPageBreak/>
              <w:br w:type="page"/>
            </w:r>
            <w:r w:rsidR="00BA3C90" w:rsidRPr="00C36A54">
              <w:rPr>
                <w:noProof/>
              </w:rPr>
              <w:drawing>
                <wp:inline distT="0" distB="0" distL="0" distR="0" wp14:anchorId="348E64B7" wp14:editId="55BA9047">
                  <wp:extent cx="6705600" cy="4628373"/>
                  <wp:effectExtent l="19050" t="19050" r="19050" b="203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Projects\Q0354 Origin - Crowes Foot Multi-Point Remodelling\9. Figures\MSS_DIES_300M3_Shoreline_Contact_Prob(100um).png"/>
                          <pic:cNvPicPr>
                            <a:picLocks noChangeAspect="1" noChangeArrowheads="1"/>
                          </pic:cNvPicPr>
                        </pic:nvPicPr>
                        <pic:blipFill>
                          <a:blip r:embed="rId306" cstate="screen">
                            <a:extLst>
                              <a:ext uri="{28A0092B-C50C-407E-A947-70E740481C1C}">
                                <a14:useLocalDpi xmlns:a14="http://schemas.microsoft.com/office/drawing/2010/main"/>
                              </a:ext>
                            </a:extLst>
                          </a:blip>
                          <a:stretch>
                            <a:fillRect/>
                          </a:stretch>
                        </pic:blipFill>
                        <pic:spPr bwMode="auto">
                          <a:xfrm>
                            <a:off x="0" y="0"/>
                            <a:ext cx="6706766" cy="4629178"/>
                          </a:xfrm>
                          <a:prstGeom prst="rect">
                            <a:avLst/>
                          </a:prstGeom>
                          <a:noFill/>
                          <a:ln>
                            <a:solidFill>
                              <a:schemeClr val="tx1"/>
                            </a:solidFill>
                          </a:ln>
                        </pic:spPr>
                      </pic:pic>
                    </a:graphicData>
                  </a:graphic>
                </wp:inline>
              </w:drawing>
            </w:r>
          </w:p>
        </w:tc>
      </w:tr>
    </w:tbl>
    <w:p w14:paraId="4218EB0B" w14:textId="1D5DE1DB" w:rsidR="00124712" w:rsidRPr="00320564" w:rsidRDefault="00124712" w:rsidP="009F586F">
      <w:pPr>
        <w:spacing w:before="120" w:line="240" w:lineRule="auto"/>
        <w:ind w:left="0"/>
        <w:jc w:val="center"/>
        <w:rPr>
          <w:rFonts w:cs="Tahoma"/>
          <w:b/>
          <w:sz w:val="20"/>
          <w:szCs w:val="20"/>
        </w:rPr>
      </w:pPr>
      <w:r w:rsidRPr="00320564">
        <w:rPr>
          <w:rFonts w:cs="Tahoma"/>
          <w:b/>
          <w:sz w:val="20"/>
          <w:szCs w:val="20"/>
        </w:rPr>
        <w:t>Figure 7.</w:t>
      </w:r>
      <w:r w:rsidR="009F586F">
        <w:rPr>
          <w:rFonts w:cs="Tahoma"/>
          <w:b/>
          <w:sz w:val="20"/>
          <w:szCs w:val="20"/>
        </w:rPr>
        <w:t>1</w:t>
      </w:r>
      <w:r w:rsidR="00774623">
        <w:rPr>
          <w:rFonts w:cs="Tahoma"/>
          <w:b/>
          <w:sz w:val="20"/>
          <w:szCs w:val="20"/>
        </w:rPr>
        <w:t>6</w:t>
      </w:r>
      <w:r w:rsidRPr="00320564">
        <w:rPr>
          <w:rFonts w:cs="Tahoma"/>
          <w:b/>
          <w:sz w:val="20"/>
          <w:szCs w:val="20"/>
        </w:rPr>
        <w:t>.</w:t>
      </w:r>
      <w:r w:rsidRPr="00320564">
        <w:rPr>
          <w:rFonts w:cs="Tahoma"/>
          <w:b/>
          <w:sz w:val="20"/>
          <w:szCs w:val="20"/>
        </w:rPr>
        <w:tab/>
      </w:r>
      <w:r w:rsidR="008C5B9E" w:rsidRPr="00320564">
        <w:rPr>
          <w:rFonts w:cs="Tahoma"/>
          <w:b/>
          <w:sz w:val="20"/>
          <w:szCs w:val="20"/>
        </w:rPr>
        <w:t>Probability of hydrocarbon contact to shorelines above low threshold (film/stain), calculated from 100 spill trajectories during September to April conditions based on a 306 m</w:t>
      </w:r>
      <w:r w:rsidR="008C5B9E" w:rsidRPr="009F586F">
        <w:rPr>
          <w:rFonts w:cs="Tahoma"/>
          <w:b/>
          <w:sz w:val="20"/>
          <w:szCs w:val="20"/>
          <w:vertAlign w:val="superscript"/>
        </w:rPr>
        <w:t>3</w:t>
      </w:r>
      <w:r w:rsidR="008C5B9E" w:rsidRPr="00320564">
        <w:rPr>
          <w:rFonts w:cs="Tahoma"/>
          <w:b/>
          <w:sz w:val="20"/>
          <w:szCs w:val="20"/>
        </w:rPr>
        <w:t xml:space="preserve"> surface release of MDO over 6 hours (tracked for 20 days)</w:t>
      </w:r>
    </w:p>
    <w:p w14:paraId="0DB35BE3" w14:textId="77777777" w:rsidR="00D73940" w:rsidRDefault="00D73940" w:rsidP="008C5B9E">
      <w:pPr>
        <w:spacing w:before="120" w:line="240" w:lineRule="auto"/>
        <w:ind w:left="0"/>
        <w:jc w:val="center"/>
        <w:rPr>
          <w:rFonts w:ascii="Tahoma" w:hAnsi="Tahoma" w:cs="Tahoma"/>
          <w:b/>
          <w:sz w:val="18"/>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23"/>
      </w:tblGrid>
      <w:tr w:rsidR="00D73940" w14:paraId="612B9917" w14:textId="77777777" w:rsidTr="00774623">
        <w:trPr>
          <w:jc w:val="center"/>
        </w:trPr>
        <w:tc>
          <w:tcPr>
            <w:tcW w:w="11023" w:type="dxa"/>
          </w:tcPr>
          <w:p w14:paraId="6DDD62FE" w14:textId="0464FA08" w:rsidR="00D73940" w:rsidRDefault="00BA3C90" w:rsidP="008C5B9E">
            <w:pPr>
              <w:spacing w:before="120" w:line="240" w:lineRule="auto"/>
              <w:ind w:left="0"/>
              <w:jc w:val="center"/>
              <w:rPr>
                <w:rFonts w:ascii="Tahoma" w:hAnsi="Tahoma" w:cs="Tahoma"/>
                <w:b/>
                <w:sz w:val="18"/>
                <w:szCs w:val="18"/>
              </w:rPr>
            </w:pPr>
            <w:r w:rsidRPr="00C36A54">
              <w:rPr>
                <w:noProof/>
              </w:rPr>
              <w:lastRenderedPageBreak/>
              <w:drawing>
                <wp:inline distT="0" distB="0" distL="0" distR="0" wp14:anchorId="40598CB7" wp14:editId="4678150F">
                  <wp:extent cx="6734326" cy="4648200"/>
                  <wp:effectExtent l="19050" t="19050" r="28575" b="190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Projects\Q0354 Origin - Crowes Foot Multi-Point Remodelling\9. Figures\MSS_DIES_300M3_Shoreline_Contact_Prob(100um).png"/>
                          <pic:cNvPicPr>
                            <a:picLocks noChangeAspect="1" noChangeArrowheads="1"/>
                          </pic:cNvPicPr>
                        </pic:nvPicPr>
                        <pic:blipFill>
                          <a:blip r:embed="rId307" cstate="screen">
                            <a:extLst>
                              <a:ext uri="{28A0092B-C50C-407E-A947-70E740481C1C}">
                                <a14:useLocalDpi xmlns:a14="http://schemas.microsoft.com/office/drawing/2010/main"/>
                              </a:ext>
                            </a:extLst>
                          </a:blip>
                          <a:stretch>
                            <a:fillRect/>
                          </a:stretch>
                        </pic:blipFill>
                        <pic:spPr bwMode="auto">
                          <a:xfrm>
                            <a:off x="0" y="0"/>
                            <a:ext cx="6730813" cy="4645776"/>
                          </a:xfrm>
                          <a:prstGeom prst="rect">
                            <a:avLst/>
                          </a:prstGeom>
                          <a:noFill/>
                          <a:ln>
                            <a:solidFill>
                              <a:sysClr val="windowText" lastClr="000000"/>
                            </a:solidFill>
                          </a:ln>
                        </pic:spPr>
                      </pic:pic>
                    </a:graphicData>
                  </a:graphic>
                </wp:inline>
              </w:drawing>
            </w:r>
          </w:p>
        </w:tc>
      </w:tr>
    </w:tbl>
    <w:p w14:paraId="2C6650B4" w14:textId="7DC86FA8" w:rsidR="00CB4BAB" w:rsidRPr="00320564" w:rsidRDefault="00D73940" w:rsidP="009F586F">
      <w:pPr>
        <w:spacing w:before="120"/>
        <w:ind w:left="0"/>
        <w:jc w:val="center"/>
        <w:rPr>
          <w:rFonts w:cs="Tahoma"/>
          <w:b/>
          <w:sz w:val="20"/>
          <w:szCs w:val="20"/>
        </w:rPr>
      </w:pPr>
      <w:r w:rsidRPr="00320564">
        <w:rPr>
          <w:rFonts w:cs="Tahoma"/>
          <w:b/>
          <w:sz w:val="20"/>
          <w:szCs w:val="20"/>
        </w:rPr>
        <w:t>Figure 7.</w:t>
      </w:r>
      <w:r w:rsidR="009F586F">
        <w:rPr>
          <w:rFonts w:cs="Tahoma"/>
          <w:b/>
          <w:sz w:val="20"/>
          <w:szCs w:val="20"/>
        </w:rPr>
        <w:t>1</w:t>
      </w:r>
      <w:r w:rsidR="00774623">
        <w:rPr>
          <w:rFonts w:cs="Tahoma"/>
          <w:b/>
          <w:sz w:val="20"/>
          <w:szCs w:val="20"/>
        </w:rPr>
        <w:t>7</w:t>
      </w:r>
      <w:r w:rsidRPr="00320564">
        <w:rPr>
          <w:rFonts w:cs="Tahoma"/>
          <w:b/>
          <w:sz w:val="20"/>
          <w:szCs w:val="20"/>
        </w:rPr>
        <w:t>.</w:t>
      </w:r>
      <w:r w:rsidRPr="00320564">
        <w:rPr>
          <w:rFonts w:cs="Tahoma"/>
          <w:b/>
          <w:sz w:val="20"/>
          <w:szCs w:val="20"/>
        </w:rPr>
        <w:tab/>
        <w:t>Maximum hydrocarbon loadings on shorelines above low threshold (film/stain), calculated from 100 spill trajectories during September to April conditions based on a 306 m</w:t>
      </w:r>
      <w:r w:rsidRPr="009F586F">
        <w:rPr>
          <w:rFonts w:cs="Tahoma"/>
          <w:b/>
          <w:sz w:val="20"/>
          <w:szCs w:val="20"/>
          <w:vertAlign w:val="superscript"/>
        </w:rPr>
        <w:t>3</w:t>
      </w:r>
      <w:r w:rsidRPr="00320564">
        <w:rPr>
          <w:rFonts w:cs="Tahoma"/>
          <w:b/>
          <w:sz w:val="20"/>
          <w:szCs w:val="20"/>
        </w:rPr>
        <w:t xml:space="preserve"> surface release of MDO over 6 hours (tracked for 20 days)</w:t>
      </w:r>
    </w:p>
    <w:p w14:paraId="7671ED92" w14:textId="77777777" w:rsidR="00CB4BAB" w:rsidRDefault="00CB4BAB">
      <w:pPr>
        <w:spacing w:line="240" w:lineRule="auto"/>
        <w:ind w:left="0"/>
      </w:pPr>
    </w:p>
    <w:p w14:paraId="226B84EA" w14:textId="4506A62F" w:rsidR="009F586F" w:rsidRDefault="009F586F" w:rsidP="009F586F">
      <w:pPr>
        <w:spacing w:before="120" w:line="240" w:lineRule="auto"/>
        <w:ind w:left="0"/>
        <w:jc w:val="center"/>
        <w:sectPr w:rsidR="009F586F" w:rsidSect="00456992">
          <w:headerReference w:type="even" r:id="rId308"/>
          <w:headerReference w:type="default" r:id="rId309"/>
          <w:footerReference w:type="default" r:id="rId310"/>
          <w:headerReference w:type="first" r:id="rId311"/>
          <w:pgSz w:w="16838" w:h="11906" w:orient="landscape" w:code="9"/>
          <w:pgMar w:top="1416" w:right="1382" w:bottom="1800" w:left="1440" w:header="994" w:footer="706" w:gutter="0"/>
          <w:cols w:space="708"/>
          <w:docGrid w:linePitch="360"/>
        </w:sectPr>
      </w:pPr>
    </w:p>
    <w:p w14:paraId="4925C93F" w14:textId="26A0F994" w:rsidR="00863A83" w:rsidRDefault="00863A83" w:rsidP="00CB4BAB">
      <w:pPr>
        <w:pStyle w:val="Heading3"/>
      </w:pPr>
      <w:bookmarkStart w:id="1261" w:name="_Toc477947952"/>
      <w:bookmarkStart w:id="1262" w:name="_Toc479764156"/>
      <w:bookmarkStart w:id="1263" w:name="_Toc375214673"/>
      <w:r>
        <w:lastRenderedPageBreak/>
        <w:t xml:space="preserve">Potential Environmental </w:t>
      </w:r>
      <w:bookmarkEnd w:id="1261"/>
      <w:bookmarkEnd w:id="1262"/>
      <w:r w:rsidR="009F586F">
        <w:t>Risks</w:t>
      </w:r>
      <w:bookmarkEnd w:id="1263"/>
    </w:p>
    <w:p w14:paraId="031FF6E0" w14:textId="77777777" w:rsidR="002678F9" w:rsidRPr="00320564" w:rsidRDefault="002678F9" w:rsidP="00FA6977">
      <w:pPr>
        <w:ind w:left="0"/>
        <w:rPr>
          <w:rFonts w:cs="Arial"/>
          <w:sz w:val="22"/>
          <w:szCs w:val="22"/>
        </w:rPr>
      </w:pPr>
      <w:r w:rsidRPr="00320564">
        <w:rPr>
          <w:rFonts w:cs="Arial"/>
          <w:sz w:val="22"/>
          <w:szCs w:val="22"/>
        </w:rPr>
        <w:t xml:space="preserve">The known and potential impacts of an MDO spill are: </w:t>
      </w:r>
    </w:p>
    <w:p w14:paraId="4FB04C1A" w14:textId="77777777" w:rsidR="00FA6977" w:rsidRPr="00320564" w:rsidRDefault="00FA6977" w:rsidP="00FA6977">
      <w:pPr>
        <w:ind w:left="0"/>
        <w:rPr>
          <w:rFonts w:cs="Arial"/>
          <w:sz w:val="22"/>
          <w:szCs w:val="22"/>
        </w:rPr>
      </w:pPr>
    </w:p>
    <w:p w14:paraId="7C4E9A28" w14:textId="4D6748E3" w:rsidR="002678F9" w:rsidRPr="00320564" w:rsidRDefault="002678F9" w:rsidP="00567567">
      <w:pPr>
        <w:pStyle w:val="ListParagraph0"/>
        <w:numPr>
          <w:ilvl w:val="0"/>
          <w:numId w:val="204"/>
        </w:numPr>
        <w:rPr>
          <w:rFonts w:cs="Arial"/>
          <w:sz w:val="22"/>
          <w:szCs w:val="22"/>
        </w:rPr>
      </w:pPr>
      <w:r w:rsidRPr="00320564">
        <w:rPr>
          <w:rFonts w:cs="Arial"/>
          <w:sz w:val="22"/>
          <w:szCs w:val="22"/>
        </w:rPr>
        <w:t>A temporary and localised reduction in water quality</w:t>
      </w:r>
      <w:r w:rsidR="00FA6977" w:rsidRPr="00320564">
        <w:rPr>
          <w:rFonts w:cs="Arial"/>
          <w:sz w:val="22"/>
          <w:szCs w:val="22"/>
        </w:rPr>
        <w:t xml:space="preserve">; </w:t>
      </w:r>
    </w:p>
    <w:p w14:paraId="49A64EE7" w14:textId="38EC58F0" w:rsidR="00863A83" w:rsidRPr="00320564" w:rsidRDefault="002678F9" w:rsidP="00567567">
      <w:pPr>
        <w:pStyle w:val="ListParagraph0"/>
        <w:numPr>
          <w:ilvl w:val="0"/>
          <w:numId w:val="204"/>
        </w:numPr>
        <w:rPr>
          <w:rFonts w:cs="Arial"/>
          <w:sz w:val="22"/>
          <w:szCs w:val="22"/>
        </w:rPr>
      </w:pPr>
      <w:r w:rsidRPr="00320564">
        <w:rPr>
          <w:rFonts w:cs="Arial"/>
          <w:sz w:val="22"/>
          <w:szCs w:val="22"/>
        </w:rPr>
        <w:t>Injury or death of marine fauna and seabirds exposed to the MDO</w:t>
      </w:r>
      <w:r w:rsidR="00FA6977" w:rsidRPr="00320564">
        <w:rPr>
          <w:rFonts w:cs="Arial"/>
          <w:sz w:val="22"/>
          <w:szCs w:val="22"/>
        </w:rPr>
        <w:t>; and</w:t>
      </w:r>
    </w:p>
    <w:p w14:paraId="5A428EDD" w14:textId="40FCAFAD" w:rsidR="00FA6977" w:rsidRPr="00FA6977" w:rsidRDefault="00FA6977" w:rsidP="00567567">
      <w:pPr>
        <w:pStyle w:val="ListParagraph0"/>
        <w:numPr>
          <w:ilvl w:val="0"/>
          <w:numId w:val="204"/>
        </w:numPr>
        <w:rPr>
          <w:rFonts w:ascii="Tahoma" w:hAnsi="Tahoma" w:cs="Arial"/>
          <w:szCs w:val="20"/>
        </w:rPr>
      </w:pPr>
      <w:r w:rsidRPr="00320564">
        <w:rPr>
          <w:rFonts w:cs="Arial"/>
          <w:sz w:val="22"/>
          <w:szCs w:val="22"/>
        </w:rPr>
        <w:t>Habitat damage where the spill reaches shorelines.</w:t>
      </w:r>
    </w:p>
    <w:p w14:paraId="5C7AB07C" w14:textId="77777777" w:rsidR="009507BF" w:rsidRDefault="009507BF" w:rsidP="00FA6977">
      <w:pPr>
        <w:ind w:left="0"/>
        <w:rPr>
          <w:rFonts w:cs="Arial"/>
          <w:sz w:val="22"/>
          <w:szCs w:val="22"/>
        </w:rPr>
      </w:pPr>
      <w:bookmarkStart w:id="1264" w:name="_Toc477947953"/>
    </w:p>
    <w:p w14:paraId="75762FBE" w14:textId="1589E93F" w:rsidR="00FA6977" w:rsidRPr="00320564" w:rsidRDefault="00FA6977" w:rsidP="00FA6977">
      <w:pPr>
        <w:ind w:left="0"/>
        <w:rPr>
          <w:rFonts w:cs="Arial"/>
          <w:sz w:val="22"/>
          <w:szCs w:val="22"/>
        </w:rPr>
      </w:pPr>
      <w:r w:rsidRPr="00320564">
        <w:rPr>
          <w:rFonts w:cs="Arial"/>
          <w:sz w:val="22"/>
          <w:szCs w:val="22"/>
        </w:rPr>
        <w:t>Receptors most at risk within th</w:t>
      </w:r>
      <w:r w:rsidR="009507BF">
        <w:rPr>
          <w:rFonts w:cs="Arial"/>
          <w:sz w:val="22"/>
          <w:szCs w:val="22"/>
        </w:rPr>
        <w:t>e</w:t>
      </w:r>
      <w:r w:rsidRPr="00320564">
        <w:rPr>
          <w:rFonts w:cs="Arial"/>
          <w:sz w:val="22"/>
          <w:szCs w:val="22"/>
        </w:rPr>
        <w:t xml:space="preserve"> EMBA</w:t>
      </w:r>
      <w:r w:rsidR="009507BF">
        <w:rPr>
          <w:rFonts w:cs="Arial"/>
          <w:sz w:val="22"/>
          <w:szCs w:val="22"/>
        </w:rPr>
        <w:t xml:space="preserve"> by a MDO</w:t>
      </w:r>
      <w:r w:rsidR="0010255D" w:rsidRPr="00320564">
        <w:rPr>
          <w:rFonts w:cs="Arial"/>
          <w:sz w:val="22"/>
          <w:szCs w:val="22"/>
        </w:rPr>
        <w:t>, whether resident or migratory,</w:t>
      </w:r>
      <w:r w:rsidRPr="00320564">
        <w:rPr>
          <w:rFonts w:cs="Arial"/>
          <w:sz w:val="22"/>
          <w:szCs w:val="22"/>
        </w:rPr>
        <w:t xml:space="preserve"> are:</w:t>
      </w:r>
    </w:p>
    <w:p w14:paraId="521294EB" w14:textId="77777777" w:rsidR="00FA6977" w:rsidRPr="00320564" w:rsidRDefault="00FA6977" w:rsidP="00FA6977">
      <w:pPr>
        <w:ind w:left="0"/>
        <w:rPr>
          <w:rFonts w:cs="Arial"/>
          <w:sz w:val="22"/>
          <w:szCs w:val="22"/>
        </w:rPr>
      </w:pPr>
      <w:r w:rsidRPr="00320564">
        <w:rPr>
          <w:rFonts w:cs="Arial"/>
          <w:sz w:val="22"/>
          <w:szCs w:val="22"/>
        </w:rPr>
        <w:t xml:space="preserve"> </w:t>
      </w:r>
    </w:p>
    <w:p w14:paraId="038201DB" w14:textId="36451A88" w:rsidR="00FA6977" w:rsidRPr="00320564" w:rsidRDefault="00FA6977" w:rsidP="00567567">
      <w:pPr>
        <w:pStyle w:val="ListParagraph0"/>
        <w:numPr>
          <w:ilvl w:val="0"/>
          <w:numId w:val="173"/>
        </w:numPr>
        <w:rPr>
          <w:rFonts w:cs="Arial"/>
          <w:sz w:val="22"/>
          <w:szCs w:val="22"/>
        </w:rPr>
      </w:pPr>
      <w:r w:rsidRPr="00320564">
        <w:rPr>
          <w:rFonts w:cs="Arial"/>
          <w:sz w:val="22"/>
          <w:szCs w:val="22"/>
        </w:rPr>
        <w:t>Plankton;</w:t>
      </w:r>
    </w:p>
    <w:p w14:paraId="2D8DDC31" w14:textId="69ECBC36" w:rsidR="00FA6977" w:rsidRPr="00320564" w:rsidRDefault="00FA6977" w:rsidP="00567567">
      <w:pPr>
        <w:pStyle w:val="ListParagraph0"/>
        <w:numPr>
          <w:ilvl w:val="0"/>
          <w:numId w:val="173"/>
        </w:numPr>
        <w:rPr>
          <w:rFonts w:cs="Arial"/>
          <w:sz w:val="22"/>
          <w:szCs w:val="22"/>
        </w:rPr>
      </w:pPr>
      <w:r w:rsidRPr="00320564">
        <w:rPr>
          <w:rFonts w:cs="Arial"/>
          <w:sz w:val="22"/>
          <w:szCs w:val="22"/>
        </w:rPr>
        <w:t>Fish;</w:t>
      </w:r>
    </w:p>
    <w:p w14:paraId="2DE7CFD1" w14:textId="70E9D100" w:rsidR="00FA6977" w:rsidRPr="00320564" w:rsidRDefault="00FA6977" w:rsidP="00567567">
      <w:pPr>
        <w:pStyle w:val="ListParagraph0"/>
        <w:numPr>
          <w:ilvl w:val="0"/>
          <w:numId w:val="173"/>
        </w:numPr>
        <w:rPr>
          <w:rFonts w:cs="Arial"/>
          <w:sz w:val="22"/>
          <w:szCs w:val="22"/>
        </w:rPr>
      </w:pPr>
      <w:r w:rsidRPr="00320564">
        <w:rPr>
          <w:rFonts w:cs="Arial"/>
          <w:sz w:val="22"/>
          <w:szCs w:val="22"/>
        </w:rPr>
        <w:t xml:space="preserve">Cetaceans; </w:t>
      </w:r>
    </w:p>
    <w:p w14:paraId="55F74BF8" w14:textId="77777777" w:rsidR="00FA6977" w:rsidRPr="00320564" w:rsidRDefault="00FA6977" w:rsidP="00567567">
      <w:pPr>
        <w:pStyle w:val="ListParagraph0"/>
        <w:numPr>
          <w:ilvl w:val="0"/>
          <w:numId w:val="173"/>
        </w:numPr>
        <w:rPr>
          <w:sz w:val="22"/>
          <w:szCs w:val="22"/>
        </w:rPr>
      </w:pPr>
      <w:r w:rsidRPr="00320564">
        <w:rPr>
          <w:rFonts w:cs="Arial"/>
          <w:sz w:val="22"/>
          <w:szCs w:val="22"/>
        </w:rPr>
        <w:t>Pinnipeds;</w:t>
      </w:r>
    </w:p>
    <w:p w14:paraId="6E11CB1B" w14:textId="0F240C20" w:rsidR="00FA6977" w:rsidRPr="00320564" w:rsidRDefault="00FA6977" w:rsidP="00567567">
      <w:pPr>
        <w:pStyle w:val="ListParagraph0"/>
        <w:numPr>
          <w:ilvl w:val="0"/>
          <w:numId w:val="173"/>
        </w:numPr>
        <w:rPr>
          <w:sz w:val="22"/>
          <w:szCs w:val="22"/>
        </w:rPr>
      </w:pPr>
      <w:r w:rsidRPr="00320564">
        <w:rPr>
          <w:rFonts w:cs="Arial"/>
          <w:sz w:val="22"/>
          <w:szCs w:val="22"/>
        </w:rPr>
        <w:t>Avifauna; and</w:t>
      </w:r>
    </w:p>
    <w:p w14:paraId="311C539A" w14:textId="7C98DB5A" w:rsidR="00FA6977" w:rsidRPr="00320564" w:rsidRDefault="00FA6977" w:rsidP="00567567">
      <w:pPr>
        <w:pStyle w:val="ListParagraph0"/>
        <w:numPr>
          <w:ilvl w:val="0"/>
          <w:numId w:val="173"/>
        </w:numPr>
        <w:rPr>
          <w:sz w:val="22"/>
          <w:szCs w:val="22"/>
        </w:rPr>
      </w:pPr>
      <w:r w:rsidRPr="00320564">
        <w:rPr>
          <w:rFonts w:cs="Arial"/>
          <w:sz w:val="22"/>
          <w:szCs w:val="22"/>
        </w:rPr>
        <w:t>Shoreline habitats.</w:t>
      </w:r>
    </w:p>
    <w:p w14:paraId="0C2DC5AB" w14:textId="1782D8A5" w:rsidR="00863A83" w:rsidRDefault="00863A83" w:rsidP="002D6649">
      <w:pPr>
        <w:pStyle w:val="Heading3"/>
      </w:pPr>
      <w:bookmarkStart w:id="1265" w:name="_Toc479764158"/>
      <w:bookmarkStart w:id="1266" w:name="_Toc375214674"/>
      <w:r>
        <w:t xml:space="preserve">Evaluation of Environmental </w:t>
      </w:r>
      <w:bookmarkEnd w:id="1264"/>
      <w:bookmarkEnd w:id="1265"/>
      <w:r w:rsidR="009F586F">
        <w:t>Risks</w:t>
      </w:r>
      <w:bookmarkEnd w:id="1266"/>
    </w:p>
    <w:p w14:paraId="4EE1D613" w14:textId="77777777" w:rsidR="004E1B49" w:rsidRDefault="004E1B49" w:rsidP="00987048">
      <w:pPr>
        <w:ind w:left="0"/>
        <w:rPr>
          <w:rFonts w:cs="Arial"/>
          <w:sz w:val="22"/>
          <w:szCs w:val="22"/>
        </w:rPr>
      </w:pPr>
    </w:p>
    <w:p w14:paraId="4E55C349" w14:textId="30D8BF6D" w:rsidR="0010255D" w:rsidRPr="00716F33" w:rsidRDefault="00987048" w:rsidP="00987048">
      <w:pPr>
        <w:ind w:left="0"/>
        <w:rPr>
          <w:rFonts w:cs="Arial"/>
          <w:sz w:val="22"/>
          <w:szCs w:val="22"/>
        </w:rPr>
      </w:pPr>
      <w:r w:rsidRPr="001B36E7">
        <w:rPr>
          <w:rFonts w:cs="Arial"/>
          <w:sz w:val="22"/>
          <w:szCs w:val="22"/>
        </w:rPr>
        <w:t>Tables 7.</w:t>
      </w:r>
      <w:r w:rsidR="001B36E7" w:rsidRPr="001B36E7">
        <w:rPr>
          <w:rFonts w:cs="Arial"/>
          <w:sz w:val="22"/>
          <w:szCs w:val="22"/>
        </w:rPr>
        <w:t>46</w:t>
      </w:r>
      <w:r w:rsidR="0010255D" w:rsidRPr="00FF7E3A">
        <w:rPr>
          <w:rFonts w:cs="Arial"/>
          <w:color w:val="FF0000"/>
          <w:sz w:val="22"/>
          <w:szCs w:val="22"/>
        </w:rPr>
        <w:t xml:space="preserve"> </w:t>
      </w:r>
      <w:r w:rsidR="00FF7E3A">
        <w:rPr>
          <w:rFonts w:cs="Arial"/>
          <w:sz w:val="22"/>
          <w:szCs w:val="22"/>
        </w:rPr>
        <w:t xml:space="preserve">presents the evaluation of risks to receptors within the MDO EMBA. </w:t>
      </w:r>
    </w:p>
    <w:p w14:paraId="4E163DBA" w14:textId="77777777" w:rsidR="00CE4D03" w:rsidRDefault="00CE4D03" w:rsidP="00987048">
      <w:pPr>
        <w:ind w:left="0"/>
        <w:rPr>
          <w:rFonts w:ascii="Tahoma" w:hAnsi="Tahoma" w:cs="Arial"/>
          <w:szCs w:val="20"/>
        </w:rPr>
      </w:pPr>
    </w:p>
    <w:p w14:paraId="07AC3353" w14:textId="06348D1F" w:rsidR="00FF7E3A" w:rsidRPr="00320564" w:rsidRDefault="00FF7E3A" w:rsidP="00FF7E3A">
      <w:pPr>
        <w:spacing w:after="120"/>
        <w:ind w:left="0"/>
        <w:jc w:val="center"/>
        <w:rPr>
          <w:rFonts w:cs="Arial"/>
          <w:b/>
          <w:sz w:val="20"/>
          <w:szCs w:val="20"/>
        </w:rPr>
      </w:pPr>
      <w:r w:rsidRPr="00320564">
        <w:rPr>
          <w:rFonts w:cs="Arial"/>
          <w:b/>
          <w:sz w:val="20"/>
          <w:szCs w:val="20"/>
        </w:rPr>
        <w:t>Table 7.</w:t>
      </w:r>
      <w:r w:rsidR="001B36E7">
        <w:rPr>
          <w:rFonts w:cs="Arial"/>
          <w:b/>
          <w:sz w:val="20"/>
          <w:szCs w:val="20"/>
        </w:rPr>
        <w:t>46</w:t>
      </w:r>
      <w:r>
        <w:rPr>
          <w:rFonts w:cs="Arial"/>
          <w:b/>
          <w:sz w:val="20"/>
          <w:szCs w:val="20"/>
        </w:rPr>
        <w:t>.</w:t>
      </w:r>
      <w:r w:rsidRPr="00320564">
        <w:rPr>
          <w:rFonts w:cs="Arial"/>
          <w:b/>
          <w:sz w:val="20"/>
          <w:szCs w:val="20"/>
        </w:rPr>
        <w:tab/>
      </w:r>
      <w:r>
        <w:rPr>
          <w:rFonts w:cs="Arial"/>
          <w:b/>
          <w:sz w:val="20"/>
          <w:szCs w:val="20"/>
        </w:rPr>
        <w:t>Evaluation of risks to receptors within the MDO EMBA</w:t>
      </w:r>
    </w:p>
    <w:tbl>
      <w:tblPr>
        <w:tblStyle w:val="TableGrid"/>
        <w:tblW w:w="8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7"/>
        <w:gridCol w:w="1606"/>
        <w:gridCol w:w="5381"/>
      </w:tblGrid>
      <w:tr w:rsidR="00D611A8" w:rsidRPr="00320564" w14:paraId="38D8A7C1" w14:textId="77777777" w:rsidTr="00D611A8">
        <w:trPr>
          <w:tblHeader/>
          <w:jc w:val="center"/>
        </w:trPr>
        <w:tc>
          <w:tcPr>
            <w:tcW w:w="1428" w:type="dxa"/>
            <w:tcBorders>
              <w:bottom w:val="single" w:sz="2" w:space="0" w:color="auto"/>
            </w:tcBorders>
            <w:shd w:val="clear" w:color="auto" w:fill="064EA8"/>
            <w:vAlign w:val="center"/>
          </w:tcPr>
          <w:p w14:paraId="279BC93E" w14:textId="57612A92" w:rsidR="00D611A8" w:rsidRPr="00320564" w:rsidRDefault="00D611A8" w:rsidP="00D611A8">
            <w:pPr>
              <w:pStyle w:val="tabletitles"/>
              <w:rPr>
                <w:rFonts w:cs="Tahoma"/>
                <w:b w:val="0"/>
                <w:color w:val="FFFFFF" w:themeColor="background1"/>
                <w:sz w:val="20"/>
              </w:rPr>
            </w:pPr>
            <w:r>
              <w:rPr>
                <w:rFonts w:cs="Tahoma"/>
                <w:b w:val="0"/>
                <w:color w:val="FFFFFF" w:themeColor="background1"/>
                <w:sz w:val="20"/>
              </w:rPr>
              <w:t>Receptor</w:t>
            </w:r>
          </w:p>
        </w:tc>
        <w:tc>
          <w:tcPr>
            <w:tcW w:w="1549" w:type="dxa"/>
            <w:shd w:val="clear" w:color="auto" w:fill="064EA8"/>
            <w:vAlign w:val="center"/>
          </w:tcPr>
          <w:p w14:paraId="1E842817" w14:textId="4F09CF00" w:rsidR="00D611A8" w:rsidRPr="00320564" w:rsidRDefault="00D611A8" w:rsidP="00D611A8">
            <w:pPr>
              <w:pStyle w:val="tabletitles"/>
              <w:rPr>
                <w:rFonts w:cs="Tahoma"/>
                <w:b w:val="0"/>
                <w:color w:val="FFFFFF" w:themeColor="background1"/>
                <w:sz w:val="20"/>
              </w:rPr>
            </w:pPr>
            <w:r>
              <w:rPr>
                <w:rFonts w:cs="Tahoma"/>
                <w:b w:val="0"/>
                <w:color w:val="FFFFFF" w:themeColor="background1"/>
                <w:sz w:val="20"/>
              </w:rPr>
              <w:t>Segment</w:t>
            </w:r>
          </w:p>
        </w:tc>
        <w:tc>
          <w:tcPr>
            <w:tcW w:w="5437" w:type="dxa"/>
            <w:shd w:val="clear" w:color="auto" w:fill="064EA8"/>
            <w:vAlign w:val="center"/>
          </w:tcPr>
          <w:p w14:paraId="4F02C8A8" w14:textId="15100038" w:rsidR="00D611A8" w:rsidRPr="00320564" w:rsidRDefault="00D611A8" w:rsidP="00D611A8">
            <w:pPr>
              <w:pStyle w:val="tabletitles"/>
              <w:rPr>
                <w:rFonts w:cs="Tahoma"/>
                <w:b w:val="0"/>
                <w:color w:val="FFFFFF" w:themeColor="background1"/>
                <w:sz w:val="20"/>
              </w:rPr>
            </w:pPr>
            <w:r>
              <w:rPr>
                <w:rFonts w:cs="Tahoma"/>
                <w:b w:val="0"/>
                <w:color w:val="FFFFFF" w:themeColor="background1"/>
                <w:sz w:val="20"/>
              </w:rPr>
              <w:t>Potential impacts</w:t>
            </w:r>
          </w:p>
        </w:tc>
      </w:tr>
      <w:tr w:rsidR="00D611A8" w:rsidRPr="00320564" w14:paraId="04140C5A" w14:textId="77777777" w:rsidTr="00D611A8">
        <w:trPr>
          <w:jc w:val="center"/>
        </w:trPr>
        <w:tc>
          <w:tcPr>
            <w:tcW w:w="1428" w:type="dxa"/>
            <w:vMerge w:val="restart"/>
            <w:tcBorders>
              <w:top w:val="single" w:sz="2" w:space="0" w:color="auto"/>
              <w:right w:val="single" w:sz="2" w:space="0" w:color="auto"/>
            </w:tcBorders>
          </w:tcPr>
          <w:p w14:paraId="6AA85EF8" w14:textId="5798C41E" w:rsidR="00D611A8" w:rsidRPr="00320564" w:rsidRDefault="00D611A8" w:rsidP="00D611A8">
            <w:pPr>
              <w:pStyle w:val="tabletext3"/>
              <w:rPr>
                <w:rFonts w:cs="Tahoma"/>
                <w:sz w:val="20"/>
                <w:szCs w:val="20"/>
              </w:rPr>
            </w:pPr>
            <w:r>
              <w:rPr>
                <w:rFonts w:cs="Tahoma"/>
                <w:sz w:val="20"/>
                <w:szCs w:val="20"/>
              </w:rPr>
              <w:t>Benthic assemblages</w:t>
            </w:r>
          </w:p>
          <w:p w14:paraId="58503159" w14:textId="3725C9D4" w:rsidR="00D611A8" w:rsidRPr="00320564" w:rsidRDefault="00D611A8" w:rsidP="00D611A8">
            <w:pPr>
              <w:pStyle w:val="tabletext3"/>
              <w:rPr>
                <w:rFonts w:cs="Tahoma"/>
                <w:sz w:val="20"/>
                <w:szCs w:val="20"/>
              </w:rPr>
            </w:pPr>
          </w:p>
        </w:tc>
        <w:tc>
          <w:tcPr>
            <w:tcW w:w="1549" w:type="dxa"/>
            <w:tcBorders>
              <w:right w:val="single" w:sz="2" w:space="0" w:color="auto"/>
            </w:tcBorders>
          </w:tcPr>
          <w:p w14:paraId="17821AB2" w14:textId="6EEEEC84"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Sea surface </w:t>
            </w:r>
          </w:p>
        </w:tc>
        <w:tc>
          <w:tcPr>
            <w:tcW w:w="5437" w:type="dxa"/>
            <w:tcBorders>
              <w:left w:val="single" w:sz="2" w:space="0" w:color="auto"/>
            </w:tcBorders>
          </w:tcPr>
          <w:p w14:paraId="137B8117" w14:textId="56EC28B5"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Not applicable. </w:t>
            </w:r>
          </w:p>
        </w:tc>
      </w:tr>
      <w:tr w:rsidR="00D611A8" w:rsidRPr="00320564" w14:paraId="2274293A" w14:textId="77777777" w:rsidTr="00D611A8">
        <w:trPr>
          <w:jc w:val="center"/>
        </w:trPr>
        <w:tc>
          <w:tcPr>
            <w:tcW w:w="1428" w:type="dxa"/>
            <w:vMerge/>
            <w:tcBorders>
              <w:bottom w:val="nil"/>
              <w:right w:val="single" w:sz="2" w:space="0" w:color="auto"/>
            </w:tcBorders>
          </w:tcPr>
          <w:p w14:paraId="102A86A1" w14:textId="77777777" w:rsidR="00D611A8" w:rsidRPr="00320564" w:rsidRDefault="00D611A8" w:rsidP="00D611A8">
            <w:pPr>
              <w:pStyle w:val="tabletext3"/>
              <w:rPr>
                <w:rFonts w:cs="Tahoma"/>
                <w:sz w:val="20"/>
                <w:szCs w:val="20"/>
              </w:rPr>
            </w:pPr>
          </w:p>
        </w:tc>
        <w:tc>
          <w:tcPr>
            <w:tcW w:w="1549" w:type="dxa"/>
            <w:tcBorders>
              <w:right w:val="single" w:sz="2" w:space="0" w:color="auto"/>
            </w:tcBorders>
          </w:tcPr>
          <w:p w14:paraId="4A7B8F3A" w14:textId="63AFF92C"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Water column </w:t>
            </w:r>
            <w:r w:rsidRPr="00D611A8">
              <w:rPr>
                <w:rFonts w:cs="Tahoma"/>
                <w:color w:val="000000" w:themeColor="text1"/>
                <w:sz w:val="20"/>
                <w:szCs w:val="20"/>
              </w:rPr>
              <w:br/>
            </w:r>
          </w:p>
        </w:tc>
        <w:tc>
          <w:tcPr>
            <w:tcW w:w="5437" w:type="dxa"/>
            <w:tcBorders>
              <w:left w:val="single" w:sz="2" w:space="0" w:color="auto"/>
            </w:tcBorders>
          </w:tcPr>
          <w:p w14:paraId="5997122B" w14:textId="5B42875E"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No predicted exposure, except for an isolated location in the Point Hicks MNP (a 2% probability of low contact with entrained hydrocarbons). Natural values of this park include subtidal and intertidal reefs, subtidal soft sediments and a very high diversity of fauna, including intertidal and subtidal invertebrates. </w:t>
            </w:r>
          </w:p>
          <w:p w14:paraId="1808BE2B" w14:textId="395EB31B"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At the low threshold exposure, long-term toxicity impacts to benthic fauna exposed to the MDO is not likely. </w:t>
            </w:r>
          </w:p>
        </w:tc>
      </w:tr>
      <w:tr w:rsidR="00D611A8" w:rsidRPr="00320564" w14:paraId="248FAE7D" w14:textId="77777777" w:rsidTr="00D611A8">
        <w:trPr>
          <w:jc w:val="center"/>
        </w:trPr>
        <w:tc>
          <w:tcPr>
            <w:tcW w:w="1428" w:type="dxa"/>
            <w:tcBorders>
              <w:top w:val="nil"/>
              <w:bottom w:val="single" w:sz="4" w:space="0" w:color="auto"/>
              <w:right w:val="single" w:sz="2" w:space="0" w:color="auto"/>
            </w:tcBorders>
          </w:tcPr>
          <w:p w14:paraId="5D5E52FC" w14:textId="77777777" w:rsidR="00D611A8" w:rsidRPr="00320564" w:rsidRDefault="00D611A8" w:rsidP="00D611A8">
            <w:pPr>
              <w:pStyle w:val="tabletext3"/>
              <w:rPr>
                <w:rFonts w:cs="Tahoma"/>
                <w:sz w:val="20"/>
                <w:szCs w:val="20"/>
              </w:rPr>
            </w:pPr>
          </w:p>
        </w:tc>
        <w:tc>
          <w:tcPr>
            <w:tcW w:w="1549" w:type="dxa"/>
            <w:tcBorders>
              <w:right w:val="single" w:sz="2" w:space="0" w:color="auto"/>
            </w:tcBorders>
          </w:tcPr>
          <w:p w14:paraId="06A2813D" w14:textId="4EB97384"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Shoreline</w:t>
            </w:r>
            <w:r w:rsidRPr="00D611A8">
              <w:rPr>
                <w:rFonts w:cs="Tahoma"/>
                <w:color w:val="000000" w:themeColor="text1"/>
                <w:sz w:val="20"/>
                <w:szCs w:val="20"/>
                <w:vertAlign w:val="superscript"/>
              </w:rPr>
              <w:t xml:space="preserve"> </w:t>
            </w:r>
            <w:r w:rsidRPr="00D611A8">
              <w:rPr>
                <w:rFonts w:cs="Tahoma"/>
                <w:color w:val="000000" w:themeColor="text1"/>
                <w:sz w:val="20"/>
                <w:szCs w:val="20"/>
                <w:vertAlign w:val="superscript"/>
              </w:rPr>
              <w:br/>
            </w:r>
          </w:p>
        </w:tc>
        <w:tc>
          <w:tcPr>
            <w:tcW w:w="5437" w:type="dxa"/>
            <w:tcBorders>
              <w:left w:val="single" w:sz="2" w:space="0" w:color="auto"/>
            </w:tcBorders>
          </w:tcPr>
          <w:p w14:paraId="7741A27D" w14:textId="7777777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There is a 1-25% probability of shoreline exposure along the coast of the EMBA. </w:t>
            </w:r>
          </w:p>
          <w:p w14:paraId="21F9A97D" w14:textId="6BB9133E"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Intertidal benthic species would be exposed to MDO (albeit slightly weathered). Resident fauna such as worms, molluscs and crustaceans may suffer lethal impacts if high and moderate hydrocarbon loadings penetrate into the sediments and persist, especially in highly productive sheltered shorelines where hydrocarbon is more likely to be retained. As most of the shoreline of the EMBA is exposed coastline, these impacts are unlikely to occur except for at very isolated sections of the shoreline. Additionally, while MDO penetrates porous sediments (such as sand) quickly, it is also washed off quickly (and weathered within sediments) by waves (NOAA, 2012), thus minimising impacts to intertidal fauna. </w:t>
            </w:r>
          </w:p>
          <w:p w14:paraId="206D84E3" w14:textId="01E7EC3E"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Long-term depletion of intertidal fauna could have an adverse effect on birds or fish that use this habitat as feeding grounds. Where oiling is heavy, impacts on nearshore benthic fauna could be significant.</w:t>
            </w:r>
          </w:p>
        </w:tc>
      </w:tr>
      <w:tr w:rsidR="00D611A8" w:rsidRPr="00320564" w14:paraId="51B698E9" w14:textId="77777777" w:rsidTr="00D611A8">
        <w:trPr>
          <w:jc w:val="center"/>
        </w:trPr>
        <w:tc>
          <w:tcPr>
            <w:tcW w:w="1428" w:type="dxa"/>
            <w:tcBorders>
              <w:top w:val="single" w:sz="4" w:space="0" w:color="auto"/>
              <w:bottom w:val="nil"/>
              <w:right w:val="single" w:sz="2" w:space="0" w:color="auto"/>
            </w:tcBorders>
          </w:tcPr>
          <w:p w14:paraId="4BAE0A3F" w14:textId="54192FC1" w:rsidR="00D611A8" w:rsidRPr="00320564" w:rsidRDefault="00D611A8" w:rsidP="00D611A8">
            <w:pPr>
              <w:pStyle w:val="tabletext3"/>
              <w:rPr>
                <w:rFonts w:cs="Tahoma"/>
                <w:sz w:val="20"/>
                <w:szCs w:val="20"/>
              </w:rPr>
            </w:pPr>
            <w:r>
              <w:rPr>
                <w:rFonts w:cs="Tahoma"/>
                <w:sz w:val="20"/>
                <w:szCs w:val="20"/>
              </w:rPr>
              <w:lastRenderedPageBreak/>
              <w:t>Plankton</w:t>
            </w:r>
          </w:p>
        </w:tc>
        <w:tc>
          <w:tcPr>
            <w:tcW w:w="1549" w:type="dxa"/>
            <w:tcBorders>
              <w:right w:val="single" w:sz="2" w:space="0" w:color="auto"/>
            </w:tcBorders>
          </w:tcPr>
          <w:p w14:paraId="6ECBEE26" w14:textId="6192CA8B"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Sea surface </w:t>
            </w:r>
          </w:p>
        </w:tc>
        <w:tc>
          <w:tcPr>
            <w:tcW w:w="5437" w:type="dxa"/>
            <w:vMerge w:val="restart"/>
            <w:tcBorders>
              <w:left w:val="single" w:sz="2" w:space="0" w:color="auto"/>
            </w:tcBorders>
          </w:tcPr>
          <w:p w14:paraId="088B44B9" w14:textId="7777777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Plankton found in open waters of the EMBA is expected to be widely represented within waters of the wider Bass Strait region. Plankton in the upper water column is likely to be directly (e.g., through smothering and ingestion) and indirectly (e.g., toxicity from decrease in water quality and bioaccumulation) affected by dissolved and dispersed hydrocarbons. </w:t>
            </w:r>
          </w:p>
          <w:p w14:paraId="61D8227B" w14:textId="7777777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Once background water quality conditions are re-established, plankton populations are expected to recover rapidly due to the recruitment of plankton from surrounding waters. </w:t>
            </w:r>
          </w:p>
          <w:p w14:paraId="207C0ACA" w14:textId="3BAFA825"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The overall impact of hydrocarbon spills on plankton is considered insignificant in the long-term.</w:t>
            </w:r>
          </w:p>
        </w:tc>
      </w:tr>
      <w:tr w:rsidR="00D611A8" w:rsidRPr="00320564" w14:paraId="78B5D5DB" w14:textId="77777777" w:rsidTr="00D611A8">
        <w:trPr>
          <w:jc w:val="center"/>
        </w:trPr>
        <w:tc>
          <w:tcPr>
            <w:tcW w:w="1428" w:type="dxa"/>
            <w:tcBorders>
              <w:top w:val="nil"/>
              <w:bottom w:val="nil"/>
              <w:right w:val="single" w:sz="2" w:space="0" w:color="auto"/>
            </w:tcBorders>
          </w:tcPr>
          <w:p w14:paraId="0BE160DE" w14:textId="77777777" w:rsidR="00D611A8" w:rsidRPr="00320564" w:rsidRDefault="00D611A8" w:rsidP="00D611A8">
            <w:pPr>
              <w:pStyle w:val="tabletext3"/>
              <w:rPr>
                <w:rFonts w:cs="Tahoma"/>
                <w:sz w:val="20"/>
                <w:szCs w:val="20"/>
              </w:rPr>
            </w:pPr>
          </w:p>
        </w:tc>
        <w:tc>
          <w:tcPr>
            <w:tcW w:w="1549" w:type="dxa"/>
            <w:tcBorders>
              <w:right w:val="single" w:sz="2" w:space="0" w:color="auto"/>
            </w:tcBorders>
          </w:tcPr>
          <w:p w14:paraId="604DD6D9" w14:textId="57712D8E"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Water column </w:t>
            </w:r>
            <w:r w:rsidRPr="00D611A8">
              <w:rPr>
                <w:rFonts w:cs="Tahoma"/>
                <w:color w:val="000000" w:themeColor="text1"/>
                <w:sz w:val="20"/>
                <w:szCs w:val="20"/>
              </w:rPr>
              <w:br/>
            </w:r>
          </w:p>
        </w:tc>
        <w:tc>
          <w:tcPr>
            <w:tcW w:w="5437" w:type="dxa"/>
            <w:vMerge/>
            <w:tcBorders>
              <w:left w:val="single" w:sz="2" w:space="0" w:color="auto"/>
            </w:tcBorders>
          </w:tcPr>
          <w:p w14:paraId="2538377F" w14:textId="77777777" w:rsidR="00D611A8" w:rsidRPr="00C56EA6" w:rsidRDefault="00D611A8" w:rsidP="00D611A8">
            <w:pPr>
              <w:spacing w:before="60" w:after="60"/>
              <w:ind w:left="0"/>
              <w:rPr>
                <w:sz w:val="20"/>
                <w:szCs w:val="20"/>
                <w:lang w:val="en-GB"/>
              </w:rPr>
            </w:pPr>
          </w:p>
        </w:tc>
      </w:tr>
      <w:tr w:rsidR="00D611A8" w:rsidRPr="00320564" w14:paraId="5B42627E" w14:textId="77777777" w:rsidTr="00D611A8">
        <w:trPr>
          <w:jc w:val="center"/>
        </w:trPr>
        <w:tc>
          <w:tcPr>
            <w:tcW w:w="1428" w:type="dxa"/>
            <w:tcBorders>
              <w:top w:val="nil"/>
              <w:bottom w:val="single" w:sz="4" w:space="0" w:color="auto"/>
              <w:right w:val="single" w:sz="2" w:space="0" w:color="auto"/>
            </w:tcBorders>
          </w:tcPr>
          <w:p w14:paraId="5D8FAA81" w14:textId="77777777" w:rsidR="00D611A8" w:rsidRPr="00320564" w:rsidRDefault="00D611A8" w:rsidP="00D611A8">
            <w:pPr>
              <w:pStyle w:val="tabletext3"/>
              <w:rPr>
                <w:rFonts w:cs="Tahoma"/>
                <w:sz w:val="20"/>
                <w:szCs w:val="20"/>
              </w:rPr>
            </w:pPr>
          </w:p>
        </w:tc>
        <w:tc>
          <w:tcPr>
            <w:tcW w:w="1549" w:type="dxa"/>
            <w:tcBorders>
              <w:right w:val="single" w:sz="2" w:space="0" w:color="auto"/>
            </w:tcBorders>
          </w:tcPr>
          <w:p w14:paraId="6B8D066E" w14:textId="2BED927A"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Shoreline</w:t>
            </w:r>
            <w:r w:rsidRPr="00D611A8">
              <w:rPr>
                <w:rFonts w:cs="Tahoma"/>
                <w:color w:val="000000" w:themeColor="text1"/>
                <w:sz w:val="20"/>
                <w:szCs w:val="20"/>
                <w:vertAlign w:val="superscript"/>
              </w:rPr>
              <w:t xml:space="preserve"> </w:t>
            </w:r>
            <w:r w:rsidRPr="00D611A8">
              <w:rPr>
                <w:rFonts w:cs="Tahoma"/>
                <w:color w:val="000000" w:themeColor="text1"/>
                <w:sz w:val="20"/>
                <w:szCs w:val="20"/>
                <w:vertAlign w:val="superscript"/>
              </w:rPr>
              <w:br/>
            </w:r>
          </w:p>
        </w:tc>
        <w:tc>
          <w:tcPr>
            <w:tcW w:w="5437" w:type="dxa"/>
            <w:tcBorders>
              <w:left w:val="single" w:sz="2" w:space="0" w:color="auto"/>
            </w:tcBorders>
          </w:tcPr>
          <w:p w14:paraId="1C3C958F" w14:textId="35227E79"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Not applicable. </w:t>
            </w:r>
          </w:p>
        </w:tc>
      </w:tr>
      <w:tr w:rsidR="00D611A8" w:rsidRPr="00320564" w14:paraId="72945E6F" w14:textId="77777777" w:rsidTr="00D611A8">
        <w:trPr>
          <w:jc w:val="center"/>
        </w:trPr>
        <w:tc>
          <w:tcPr>
            <w:tcW w:w="1428" w:type="dxa"/>
            <w:tcBorders>
              <w:top w:val="single" w:sz="4" w:space="0" w:color="auto"/>
              <w:bottom w:val="nil"/>
              <w:right w:val="single" w:sz="2" w:space="0" w:color="auto"/>
            </w:tcBorders>
          </w:tcPr>
          <w:p w14:paraId="1B2E769E" w14:textId="075AAFAB" w:rsidR="00D611A8" w:rsidRPr="00320564" w:rsidRDefault="00D611A8" w:rsidP="00D611A8">
            <w:pPr>
              <w:pStyle w:val="tabletext3"/>
              <w:rPr>
                <w:rFonts w:cs="Tahoma"/>
                <w:sz w:val="20"/>
                <w:szCs w:val="20"/>
              </w:rPr>
            </w:pPr>
            <w:r>
              <w:rPr>
                <w:rFonts w:cs="Tahoma"/>
                <w:sz w:val="20"/>
                <w:szCs w:val="20"/>
              </w:rPr>
              <w:t>Pelagic fish</w:t>
            </w:r>
          </w:p>
        </w:tc>
        <w:tc>
          <w:tcPr>
            <w:tcW w:w="1549" w:type="dxa"/>
            <w:tcBorders>
              <w:right w:val="single" w:sz="2" w:space="0" w:color="auto"/>
            </w:tcBorders>
          </w:tcPr>
          <w:p w14:paraId="60895BDF" w14:textId="01FF7AEA"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Sea surface </w:t>
            </w:r>
          </w:p>
        </w:tc>
        <w:tc>
          <w:tcPr>
            <w:tcW w:w="5437" w:type="dxa"/>
            <w:tcBorders>
              <w:left w:val="single" w:sz="2" w:space="0" w:color="auto"/>
            </w:tcBorders>
          </w:tcPr>
          <w:p w14:paraId="75994C94" w14:textId="7777777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Because the majority of fish tend to remain in the mid-pelagic zone, they are not likely to come into contact with surface hydrocarbons.</w:t>
            </w:r>
          </w:p>
          <w:p w14:paraId="151BCCAB" w14:textId="7777777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Some syngnathid species associated with nearshore reefs and rafts of floating seaweed may come into contact with surface oil.  </w:t>
            </w:r>
          </w:p>
          <w:p w14:paraId="10965700" w14:textId="66877C2F"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NOAA (2012) and ITOPF (2011a) state that diesel spills in open water are so rapidly diluted that fish kills are rarely observed. The predicted impact from surface oiling on fish is considered to be negligible at a population level.</w:t>
            </w:r>
          </w:p>
        </w:tc>
      </w:tr>
      <w:tr w:rsidR="00D611A8" w:rsidRPr="00320564" w14:paraId="0E5C076D" w14:textId="77777777" w:rsidTr="00D611A8">
        <w:trPr>
          <w:jc w:val="center"/>
        </w:trPr>
        <w:tc>
          <w:tcPr>
            <w:tcW w:w="1428" w:type="dxa"/>
            <w:tcBorders>
              <w:top w:val="nil"/>
              <w:bottom w:val="nil"/>
              <w:right w:val="single" w:sz="2" w:space="0" w:color="auto"/>
            </w:tcBorders>
          </w:tcPr>
          <w:p w14:paraId="455511F0" w14:textId="77777777" w:rsidR="00D611A8" w:rsidRPr="00320564" w:rsidRDefault="00D611A8" w:rsidP="00D611A8">
            <w:pPr>
              <w:pStyle w:val="tabletext3"/>
              <w:rPr>
                <w:rFonts w:cs="Tahoma"/>
                <w:sz w:val="20"/>
                <w:szCs w:val="20"/>
              </w:rPr>
            </w:pPr>
          </w:p>
        </w:tc>
        <w:tc>
          <w:tcPr>
            <w:tcW w:w="1549" w:type="dxa"/>
            <w:tcBorders>
              <w:right w:val="single" w:sz="2" w:space="0" w:color="auto"/>
            </w:tcBorders>
          </w:tcPr>
          <w:p w14:paraId="6B9DEEF7" w14:textId="411B0CD1"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Water column </w:t>
            </w:r>
            <w:r w:rsidRPr="00D611A8">
              <w:rPr>
                <w:rFonts w:cs="Tahoma"/>
                <w:color w:val="000000" w:themeColor="text1"/>
                <w:sz w:val="20"/>
                <w:szCs w:val="20"/>
              </w:rPr>
              <w:br/>
            </w:r>
          </w:p>
        </w:tc>
        <w:tc>
          <w:tcPr>
            <w:tcW w:w="5437" w:type="dxa"/>
            <w:tcBorders>
              <w:left w:val="single" w:sz="2" w:space="0" w:color="auto"/>
            </w:tcBorders>
          </w:tcPr>
          <w:p w14:paraId="5769F219" w14:textId="7777777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There are no zones of dissolved hydrocarbons above the low threshold. </w:t>
            </w:r>
          </w:p>
          <w:p w14:paraId="16799881" w14:textId="7777777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There is one very small and localised zone of entrained hydrocarbons in the Point Hicks MNP. Hook et al (2016) states that high concentrations of dissolved hydrocarbons are required to cause outright fish mortality; only low concentrations are predicted, so fish mortality is not expected. </w:t>
            </w:r>
          </w:p>
          <w:p w14:paraId="51DC4429" w14:textId="7777777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The MDO EMBA overlaps the BIA for the great white shark. Given the absence of zones of dissolved or entrained phase hydrocarbons, this species (and its key prey) is not likely to be at risk of toxicity effects. </w:t>
            </w:r>
          </w:p>
          <w:p w14:paraId="24E55E36" w14:textId="0A2FB4AF"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The wide geographical distribution of many of the fish species in Bass Strait also prevents large-scale population level impacts from entrained hydrocarbons.</w:t>
            </w:r>
          </w:p>
        </w:tc>
      </w:tr>
      <w:tr w:rsidR="00D611A8" w:rsidRPr="00320564" w14:paraId="31C45EB3" w14:textId="77777777" w:rsidTr="00D611A8">
        <w:trPr>
          <w:jc w:val="center"/>
        </w:trPr>
        <w:tc>
          <w:tcPr>
            <w:tcW w:w="1428" w:type="dxa"/>
            <w:tcBorders>
              <w:top w:val="nil"/>
              <w:bottom w:val="single" w:sz="4" w:space="0" w:color="auto"/>
              <w:right w:val="single" w:sz="2" w:space="0" w:color="auto"/>
            </w:tcBorders>
          </w:tcPr>
          <w:p w14:paraId="7DA25F1F" w14:textId="77777777" w:rsidR="00D611A8" w:rsidRPr="00320564" w:rsidRDefault="00D611A8" w:rsidP="00D611A8">
            <w:pPr>
              <w:pStyle w:val="tabletext3"/>
              <w:rPr>
                <w:rFonts w:cs="Tahoma"/>
                <w:sz w:val="20"/>
                <w:szCs w:val="20"/>
              </w:rPr>
            </w:pPr>
          </w:p>
        </w:tc>
        <w:tc>
          <w:tcPr>
            <w:tcW w:w="1549" w:type="dxa"/>
            <w:tcBorders>
              <w:right w:val="single" w:sz="2" w:space="0" w:color="auto"/>
            </w:tcBorders>
          </w:tcPr>
          <w:p w14:paraId="5928143B" w14:textId="45C7956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Shoreline</w:t>
            </w:r>
            <w:r w:rsidRPr="00D611A8">
              <w:rPr>
                <w:rFonts w:cs="Tahoma"/>
                <w:color w:val="000000" w:themeColor="text1"/>
                <w:sz w:val="20"/>
                <w:szCs w:val="20"/>
                <w:vertAlign w:val="superscript"/>
              </w:rPr>
              <w:t xml:space="preserve"> </w:t>
            </w:r>
            <w:r w:rsidRPr="00D611A8">
              <w:rPr>
                <w:rFonts w:cs="Tahoma"/>
                <w:color w:val="000000" w:themeColor="text1"/>
                <w:sz w:val="20"/>
                <w:szCs w:val="20"/>
                <w:vertAlign w:val="superscript"/>
              </w:rPr>
              <w:br/>
            </w:r>
          </w:p>
        </w:tc>
        <w:tc>
          <w:tcPr>
            <w:tcW w:w="5437" w:type="dxa"/>
            <w:tcBorders>
              <w:left w:val="single" w:sz="2" w:space="0" w:color="auto"/>
            </w:tcBorders>
          </w:tcPr>
          <w:p w14:paraId="719D11E4" w14:textId="14BB7B58" w:rsidR="00D611A8" w:rsidRPr="00C56EA6" w:rsidRDefault="00D611A8" w:rsidP="00D611A8">
            <w:pPr>
              <w:spacing w:before="60" w:after="60"/>
              <w:ind w:left="0"/>
              <w:rPr>
                <w:sz w:val="20"/>
                <w:szCs w:val="20"/>
                <w:lang w:val="en-GB"/>
              </w:rPr>
            </w:pPr>
            <w:r>
              <w:rPr>
                <w:sz w:val="20"/>
                <w:szCs w:val="20"/>
                <w:lang w:val="en-GB"/>
              </w:rPr>
              <w:t xml:space="preserve">Not applicable. </w:t>
            </w:r>
          </w:p>
        </w:tc>
      </w:tr>
      <w:tr w:rsidR="00D611A8" w:rsidRPr="00320564" w14:paraId="6AA8FC37" w14:textId="77777777" w:rsidTr="00D611A8">
        <w:trPr>
          <w:jc w:val="center"/>
        </w:trPr>
        <w:tc>
          <w:tcPr>
            <w:tcW w:w="1428" w:type="dxa"/>
            <w:tcBorders>
              <w:top w:val="single" w:sz="4" w:space="0" w:color="auto"/>
              <w:bottom w:val="nil"/>
              <w:right w:val="single" w:sz="2" w:space="0" w:color="auto"/>
            </w:tcBorders>
          </w:tcPr>
          <w:p w14:paraId="53F64512" w14:textId="7DAF6085" w:rsidR="00D611A8" w:rsidRPr="00320564" w:rsidRDefault="00D611A8" w:rsidP="00D611A8">
            <w:pPr>
              <w:pStyle w:val="tabletext3"/>
              <w:rPr>
                <w:rFonts w:cs="Tahoma"/>
                <w:sz w:val="20"/>
                <w:szCs w:val="20"/>
              </w:rPr>
            </w:pPr>
            <w:r>
              <w:rPr>
                <w:rFonts w:cs="Tahoma"/>
                <w:sz w:val="20"/>
                <w:szCs w:val="20"/>
              </w:rPr>
              <w:t>Cetaceans</w:t>
            </w:r>
          </w:p>
        </w:tc>
        <w:tc>
          <w:tcPr>
            <w:tcW w:w="1549" w:type="dxa"/>
            <w:tcBorders>
              <w:right w:val="single" w:sz="2" w:space="0" w:color="auto"/>
            </w:tcBorders>
          </w:tcPr>
          <w:p w14:paraId="29C49716" w14:textId="080FBB51"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Sea surface </w:t>
            </w:r>
          </w:p>
        </w:tc>
        <w:tc>
          <w:tcPr>
            <w:tcW w:w="5437" w:type="dxa"/>
            <w:tcBorders>
              <w:left w:val="single" w:sz="2" w:space="0" w:color="auto"/>
            </w:tcBorders>
          </w:tcPr>
          <w:p w14:paraId="6BE2AB89" w14:textId="7777777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The OSTM modelling shows that exposure zones of surface hydrocarbons will overlap the nearby foraging BIAs for southern right whales and pygmy blue whales, with a minor incursion in the southern-most part of the humpback whale BIA. </w:t>
            </w:r>
          </w:p>
          <w:p w14:paraId="71DBA9F7" w14:textId="0B87B786"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Southern right whales are unlikely to be present in the EMBA at the time of the survey, whereas there is a chance that pygmy blue whales and humpback whales may be present at this time of year (though there are no known migration paths in Gippsland). If present, these species (and other cetaceans) may be exposed to oil. If large quantities of zooplankton (key prey) exposed to the </w:t>
            </w:r>
            <w:r w:rsidRPr="00D611A8">
              <w:rPr>
                <w:rFonts w:cs="Tahoma"/>
                <w:color w:val="000000" w:themeColor="text1"/>
                <w:sz w:val="20"/>
                <w:szCs w:val="20"/>
              </w:rPr>
              <w:lastRenderedPageBreak/>
              <w:t xml:space="preserve">spill were ingested, chronic toxicity impacts to baleen whales may occur. </w:t>
            </w:r>
          </w:p>
          <w:p w14:paraId="75E4EEC5" w14:textId="13146B09"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Biological consequences of physical contact with very localised areas of low to high concentrations of hydrocarbons at the sea surface are unlikely to lead to any long-term impacts, with temporary skin irritation and very light fouling/matting of baleen plates likely to occur (it is unknown whether the latter would affect feeding ability). Therefore, effects at the population level on the cetaceans present in the EMBA are considered unlikely.</w:t>
            </w:r>
          </w:p>
        </w:tc>
      </w:tr>
      <w:tr w:rsidR="00D611A8" w:rsidRPr="00320564" w14:paraId="6C716D42" w14:textId="77777777" w:rsidTr="00D611A8">
        <w:trPr>
          <w:jc w:val="center"/>
        </w:trPr>
        <w:tc>
          <w:tcPr>
            <w:tcW w:w="1428" w:type="dxa"/>
            <w:tcBorders>
              <w:top w:val="nil"/>
              <w:bottom w:val="nil"/>
              <w:right w:val="single" w:sz="2" w:space="0" w:color="auto"/>
            </w:tcBorders>
          </w:tcPr>
          <w:p w14:paraId="2FC779F3" w14:textId="77777777" w:rsidR="00D611A8" w:rsidRPr="00320564" w:rsidRDefault="00D611A8" w:rsidP="00D611A8">
            <w:pPr>
              <w:pStyle w:val="tabletext3"/>
              <w:rPr>
                <w:rFonts w:cs="Tahoma"/>
                <w:sz w:val="20"/>
                <w:szCs w:val="20"/>
              </w:rPr>
            </w:pPr>
          </w:p>
        </w:tc>
        <w:tc>
          <w:tcPr>
            <w:tcW w:w="1549" w:type="dxa"/>
            <w:tcBorders>
              <w:right w:val="single" w:sz="2" w:space="0" w:color="auto"/>
            </w:tcBorders>
          </w:tcPr>
          <w:p w14:paraId="129E1F32" w14:textId="5E91CB98"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Water column </w:t>
            </w:r>
            <w:r w:rsidRPr="00D611A8">
              <w:rPr>
                <w:rFonts w:cs="Tahoma"/>
                <w:color w:val="000000" w:themeColor="text1"/>
                <w:sz w:val="20"/>
                <w:szCs w:val="20"/>
              </w:rPr>
              <w:br/>
            </w:r>
          </w:p>
        </w:tc>
        <w:tc>
          <w:tcPr>
            <w:tcW w:w="5437" w:type="dxa"/>
            <w:tcBorders>
              <w:left w:val="single" w:sz="2" w:space="0" w:color="auto"/>
            </w:tcBorders>
          </w:tcPr>
          <w:p w14:paraId="247A015B" w14:textId="7777777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There are no zones of dissolved hydrocarbons above the low threshold. </w:t>
            </w:r>
          </w:p>
          <w:p w14:paraId="571F7251" w14:textId="07BFF9BE"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There is one very small and localised zone of entrained hydrocarbons (at low exposure) in the inshore part of the Point Hicks MNP. Cetaceans are transient through this MNP, making it highly unlikely that anything more than a few individuals may be exposed to entrained hydrocarbons. Transient species moving through an area of low exposure makes it unlikely that cetaceans would experience any toxicity effects of the oil.   </w:t>
            </w:r>
          </w:p>
        </w:tc>
      </w:tr>
      <w:tr w:rsidR="00D611A8" w:rsidRPr="00320564" w14:paraId="49CE31A5" w14:textId="77777777" w:rsidTr="00D611A8">
        <w:trPr>
          <w:jc w:val="center"/>
        </w:trPr>
        <w:tc>
          <w:tcPr>
            <w:tcW w:w="1428" w:type="dxa"/>
            <w:tcBorders>
              <w:top w:val="nil"/>
              <w:bottom w:val="single" w:sz="4" w:space="0" w:color="auto"/>
              <w:right w:val="single" w:sz="2" w:space="0" w:color="auto"/>
            </w:tcBorders>
          </w:tcPr>
          <w:p w14:paraId="22C61A84" w14:textId="77777777" w:rsidR="00D611A8" w:rsidRPr="00320564" w:rsidRDefault="00D611A8" w:rsidP="00D611A8">
            <w:pPr>
              <w:pStyle w:val="tabletext3"/>
              <w:rPr>
                <w:rFonts w:cs="Tahoma"/>
                <w:sz w:val="20"/>
                <w:szCs w:val="20"/>
              </w:rPr>
            </w:pPr>
          </w:p>
        </w:tc>
        <w:tc>
          <w:tcPr>
            <w:tcW w:w="1549" w:type="dxa"/>
            <w:tcBorders>
              <w:right w:val="single" w:sz="2" w:space="0" w:color="auto"/>
            </w:tcBorders>
          </w:tcPr>
          <w:p w14:paraId="24F407E1" w14:textId="1A3C76C4"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Shoreline</w:t>
            </w:r>
            <w:r w:rsidRPr="00D611A8">
              <w:rPr>
                <w:rFonts w:cs="Tahoma"/>
                <w:color w:val="000000" w:themeColor="text1"/>
                <w:sz w:val="20"/>
                <w:szCs w:val="20"/>
                <w:vertAlign w:val="superscript"/>
              </w:rPr>
              <w:t xml:space="preserve"> </w:t>
            </w:r>
            <w:r w:rsidRPr="00D611A8">
              <w:rPr>
                <w:rFonts w:cs="Tahoma"/>
                <w:color w:val="000000" w:themeColor="text1"/>
                <w:sz w:val="20"/>
                <w:szCs w:val="20"/>
                <w:vertAlign w:val="superscript"/>
              </w:rPr>
              <w:br/>
            </w:r>
          </w:p>
        </w:tc>
        <w:tc>
          <w:tcPr>
            <w:tcW w:w="5437" w:type="dxa"/>
            <w:tcBorders>
              <w:left w:val="single" w:sz="2" w:space="0" w:color="auto"/>
            </w:tcBorders>
          </w:tcPr>
          <w:p w14:paraId="40DF18FB" w14:textId="4C16C155"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Not applicable. </w:t>
            </w:r>
          </w:p>
        </w:tc>
      </w:tr>
      <w:tr w:rsidR="00D611A8" w:rsidRPr="00320564" w14:paraId="44818735" w14:textId="77777777" w:rsidTr="00D611A8">
        <w:trPr>
          <w:jc w:val="center"/>
        </w:trPr>
        <w:tc>
          <w:tcPr>
            <w:tcW w:w="1428" w:type="dxa"/>
            <w:tcBorders>
              <w:top w:val="single" w:sz="4" w:space="0" w:color="auto"/>
              <w:bottom w:val="nil"/>
              <w:right w:val="single" w:sz="2" w:space="0" w:color="auto"/>
            </w:tcBorders>
          </w:tcPr>
          <w:p w14:paraId="32518E83" w14:textId="402289EE" w:rsidR="00D611A8" w:rsidRPr="00320564" w:rsidRDefault="00D611A8" w:rsidP="00D611A8">
            <w:pPr>
              <w:pStyle w:val="tabletext3"/>
              <w:rPr>
                <w:rFonts w:cs="Tahoma"/>
                <w:sz w:val="20"/>
                <w:szCs w:val="20"/>
              </w:rPr>
            </w:pPr>
            <w:r>
              <w:rPr>
                <w:rFonts w:cs="Tahoma"/>
                <w:sz w:val="20"/>
                <w:szCs w:val="20"/>
              </w:rPr>
              <w:t>Pinnipeds</w:t>
            </w:r>
          </w:p>
        </w:tc>
        <w:tc>
          <w:tcPr>
            <w:tcW w:w="1549" w:type="dxa"/>
            <w:tcBorders>
              <w:right w:val="single" w:sz="2" w:space="0" w:color="auto"/>
            </w:tcBorders>
          </w:tcPr>
          <w:p w14:paraId="7DD50B48" w14:textId="0064AAE8"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Sea surface </w:t>
            </w:r>
          </w:p>
        </w:tc>
        <w:tc>
          <w:tcPr>
            <w:tcW w:w="5437" w:type="dxa"/>
            <w:tcBorders>
              <w:left w:val="single" w:sz="2" w:space="0" w:color="auto"/>
            </w:tcBorders>
          </w:tcPr>
          <w:p w14:paraId="7F2E56E5" w14:textId="7777777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The foraging range for New Zealand fur-seals and Australian fur-seals may be temporarily exposed to MDO at the sea surface (in concentrations ranging from low to high). </w:t>
            </w:r>
          </w:p>
          <w:p w14:paraId="2FC89A2F" w14:textId="7777777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As fur-seals forage for prey within the water column rather than at the sea surface, exposure to oil at the sea surface will only result when resting at surface or entering and exiting the water. </w:t>
            </w:r>
          </w:p>
          <w:p w14:paraId="3DCFD4D1" w14:textId="7777777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Depending on the duration of time spent at the sea surface, exposure may result in irritation to mucous membranes that surround the eyes and line the oral cavity, respiratory surfaces, and anal and urogenital orifices. If seals inhale large volumes of volatile vapours within a fresh area of a MDO slick, acute or chronis toxicity impacts may eventuate. This would be unlikely to occur to more than several individuals at most. </w:t>
            </w:r>
          </w:p>
          <w:p w14:paraId="711EC53C" w14:textId="6924244C"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Given the generally brief time spent at the sea surface, permanent injury or mortality is unlikely to occur.</w:t>
            </w:r>
          </w:p>
        </w:tc>
      </w:tr>
      <w:tr w:rsidR="00D611A8" w:rsidRPr="00320564" w14:paraId="7068688E" w14:textId="77777777" w:rsidTr="00D611A8">
        <w:trPr>
          <w:jc w:val="center"/>
        </w:trPr>
        <w:tc>
          <w:tcPr>
            <w:tcW w:w="1428" w:type="dxa"/>
            <w:tcBorders>
              <w:top w:val="nil"/>
              <w:bottom w:val="nil"/>
              <w:right w:val="single" w:sz="2" w:space="0" w:color="auto"/>
            </w:tcBorders>
          </w:tcPr>
          <w:p w14:paraId="6097DF86" w14:textId="77777777" w:rsidR="00D611A8" w:rsidRPr="00320564" w:rsidRDefault="00D611A8" w:rsidP="00D611A8">
            <w:pPr>
              <w:pStyle w:val="tabletext3"/>
              <w:rPr>
                <w:rFonts w:cs="Tahoma"/>
                <w:sz w:val="20"/>
                <w:szCs w:val="20"/>
              </w:rPr>
            </w:pPr>
          </w:p>
        </w:tc>
        <w:tc>
          <w:tcPr>
            <w:tcW w:w="1549" w:type="dxa"/>
            <w:tcBorders>
              <w:right w:val="single" w:sz="2" w:space="0" w:color="auto"/>
            </w:tcBorders>
          </w:tcPr>
          <w:p w14:paraId="3D67011B" w14:textId="30FD43F3"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Water column </w:t>
            </w:r>
            <w:r w:rsidRPr="00D611A8">
              <w:rPr>
                <w:rFonts w:cs="Tahoma"/>
                <w:color w:val="000000" w:themeColor="text1"/>
                <w:sz w:val="20"/>
                <w:szCs w:val="20"/>
              </w:rPr>
              <w:br/>
            </w:r>
          </w:p>
        </w:tc>
        <w:tc>
          <w:tcPr>
            <w:tcW w:w="5437" w:type="dxa"/>
            <w:tcBorders>
              <w:left w:val="single" w:sz="2" w:space="0" w:color="auto"/>
            </w:tcBorders>
          </w:tcPr>
          <w:p w14:paraId="4A767242" w14:textId="7777777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There are no zones of dissolved hydrocarbons above the low threshold. </w:t>
            </w:r>
          </w:p>
          <w:p w14:paraId="33A23217" w14:textId="52F94C3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There is one very small and localised zone of entrained hydrocarbons (at low exposure) in the inshore part of the Point Hicks MNP. Fur-seals may forage in this area, especially for cephalopods off the reef areas in summer. Transient individuals moving through an area of low exposure makes it unlikely that fur-seals would experience any direct toxicity effects of the oil and effects from consuming affected prey.   </w:t>
            </w:r>
          </w:p>
        </w:tc>
      </w:tr>
      <w:tr w:rsidR="00D611A8" w:rsidRPr="00320564" w14:paraId="16C38514" w14:textId="77777777" w:rsidTr="00C20C63">
        <w:trPr>
          <w:jc w:val="center"/>
        </w:trPr>
        <w:tc>
          <w:tcPr>
            <w:tcW w:w="1428" w:type="dxa"/>
            <w:tcBorders>
              <w:top w:val="nil"/>
              <w:bottom w:val="single" w:sz="4" w:space="0" w:color="auto"/>
              <w:right w:val="single" w:sz="2" w:space="0" w:color="auto"/>
            </w:tcBorders>
          </w:tcPr>
          <w:p w14:paraId="4614AE4E" w14:textId="77777777" w:rsidR="00D611A8" w:rsidRPr="00320564" w:rsidRDefault="00D611A8" w:rsidP="00D611A8">
            <w:pPr>
              <w:pStyle w:val="tabletext3"/>
              <w:rPr>
                <w:rFonts w:cs="Tahoma"/>
                <w:sz w:val="20"/>
                <w:szCs w:val="20"/>
              </w:rPr>
            </w:pPr>
          </w:p>
        </w:tc>
        <w:tc>
          <w:tcPr>
            <w:tcW w:w="1549" w:type="dxa"/>
            <w:tcBorders>
              <w:right w:val="single" w:sz="2" w:space="0" w:color="auto"/>
            </w:tcBorders>
          </w:tcPr>
          <w:p w14:paraId="226FD216" w14:textId="7F24878F"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Shoreline</w:t>
            </w:r>
            <w:r w:rsidRPr="00D611A8">
              <w:rPr>
                <w:rFonts w:cs="Tahoma"/>
                <w:color w:val="000000" w:themeColor="text1"/>
                <w:sz w:val="20"/>
                <w:szCs w:val="20"/>
                <w:vertAlign w:val="superscript"/>
              </w:rPr>
              <w:t xml:space="preserve"> </w:t>
            </w:r>
            <w:r w:rsidRPr="00D611A8">
              <w:rPr>
                <w:rFonts w:cs="Tahoma"/>
                <w:color w:val="000000" w:themeColor="text1"/>
                <w:sz w:val="20"/>
                <w:szCs w:val="20"/>
                <w:vertAlign w:val="superscript"/>
              </w:rPr>
              <w:br/>
            </w:r>
          </w:p>
        </w:tc>
        <w:tc>
          <w:tcPr>
            <w:tcW w:w="5437" w:type="dxa"/>
            <w:tcBorders>
              <w:left w:val="single" w:sz="2" w:space="0" w:color="auto"/>
            </w:tcBorders>
          </w:tcPr>
          <w:p w14:paraId="1734D2A5" w14:textId="7777777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There is no shoreline oil loadings for New Zealand fur-seal breeding locations in Victoria (The Skerries off Wingan Inlet and Kanowna Island, off Wilsons Promontory). They are known to haul out on Beware </w:t>
            </w:r>
            <w:r w:rsidRPr="00D611A8">
              <w:rPr>
                <w:rFonts w:cs="Tahoma"/>
                <w:color w:val="000000" w:themeColor="text1"/>
                <w:sz w:val="20"/>
                <w:szCs w:val="20"/>
              </w:rPr>
              <w:lastRenderedPageBreak/>
              <w:t>Reef. MDO is unlikely to strand on this reef due to wave action and rising tides. As such, it is unlikely that oiling of New Zealand fur-seals will occur on shorelines.</w:t>
            </w:r>
          </w:p>
          <w:p w14:paraId="6081BC49" w14:textId="77777777"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 xml:space="preserve">There are no Australian fur-seal breeding colonies in the EMBA, except for The Skerries. However, the OSTM indicates no shoreline loading at this location. A haul out site exists at Beware Reef, with the impacts the same as those for New Zealand fur-seals. A haul-out site also exists at Gabo Island (used by 30-50 individuals). This location is predicted to have a 1-2% probability of contact with a peak loading of 1,437 g/m2. Australian fur-seals exposed to this loading may experience some degree of dermal contact and fur coating, though the MDO will be weathered by the time contact is made (estimated at 56 hours), so toxicity impacts are unlikely. Given the tens of thousands of Australian fur-seals that are resident in the Gippsland region, impacts to this small number of individuals are not likely to impact the health or viability of the regional population. </w:t>
            </w:r>
          </w:p>
          <w:p w14:paraId="36DB511D" w14:textId="6C212D22" w:rsidR="00D611A8" w:rsidRPr="00D611A8" w:rsidRDefault="00D611A8" w:rsidP="00D611A8">
            <w:pPr>
              <w:pStyle w:val="tabletext3"/>
              <w:rPr>
                <w:rFonts w:cs="Tahoma"/>
                <w:color w:val="000000" w:themeColor="text1"/>
                <w:sz w:val="20"/>
                <w:szCs w:val="20"/>
              </w:rPr>
            </w:pPr>
            <w:r w:rsidRPr="00D611A8">
              <w:rPr>
                <w:rFonts w:cs="Tahoma"/>
                <w:color w:val="000000" w:themeColor="text1"/>
                <w:sz w:val="20"/>
                <w:szCs w:val="20"/>
              </w:rPr>
              <w:t>Given the rocky nature of haul-out sites and their ability to self-clean, heavy oiling of pinnipeds at shorelines in general is not expected.</w:t>
            </w:r>
          </w:p>
        </w:tc>
      </w:tr>
      <w:tr w:rsidR="00C20C63" w:rsidRPr="00320564" w14:paraId="01CA3C81" w14:textId="77777777" w:rsidTr="00C20C63">
        <w:trPr>
          <w:jc w:val="center"/>
        </w:trPr>
        <w:tc>
          <w:tcPr>
            <w:tcW w:w="1428" w:type="dxa"/>
            <w:tcBorders>
              <w:top w:val="single" w:sz="4" w:space="0" w:color="auto"/>
              <w:bottom w:val="nil"/>
              <w:right w:val="single" w:sz="2" w:space="0" w:color="auto"/>
            </w:tcBorders>
          </w:tcPr>
          <w:p w14:paraId="0FE701B5" w14:textId="286D2920" w:rsidR="00C20C63" w:rsidRPr="00320564" w:rsidRDefault="00C20C63" w:rsidP="00D611A8">
            <w:pPr>
              <w:pStyle w:val="tabletext3"/>
              <w:rPr>
                <w:rFonts w:cs="Tahoma"/>
                <w:sz w:val="20"/>
                <w:szCs w:val="20"/>
              </w:rPr>
            </w:pPr>
            <w:r>
              <w:rPr>
                <w:rFonts w:cs="Tahoma"/>
                <w:sz w:val="20"/>
                <w:szCs w:val="20"/>
              </w:rPr>
              <w:lastRenderedPageBreak/>
              <w:t>Marine reptiles</w:t>
            </w:r>
          </w:p>
        </w:tc>
        <w:tc>
          <w:tcPr>
            <w:tcW w:w="1549" w:type="dxa"/>
            <w:tcBorders>
              <w:right w:val="single" w:sz="2" w:space="0" w:color="auto"/>
            </w:tcBorders>
          </w:tcPr>
          <w:p w14:paraId="2C393840" w14:textId="5E402F5A" w:rsidR="00C20C63" w:rsidRPr="00D611A8" w:rsidRDefault="00C20C63" w:rsidP="00D611A8">
            <w:pPr>
              <w:pStyle w:val="tabletext3"/>
              <w:rPr>
                <w:rFonts w:cs="Tahoma"/>
                <w:color w:val="000000" w:themeColor="text1"/>
                <w:sz w:val="20"/>
                <w:szCs w:val="20"/>
              </w:rPr>
            </w:pPr>
            <w:r w:rsidRPr="00D611A8">
              <w:rPr>
                <w:rFonts w:cs="Tahoma"/>
                <w:color w:val="000000" w:themeColor="text1"/>
                <w:sz w:val="20"/>
                <w:szCs w:val="20"/>
              </w:rPr>
              <w:t xml:space="preserve">Sea surface </w:t>
            </w:r>
          </w:p>
        </w:tc>
        <w:tc>
          <w:tcPr>
            <w:tcW w:w="5437" w:type="dxa"/>
            <w:tcBorders>
              <w:left w:val="single" w:sz="2" w:space="0" w:color="auto"/>
            </w:tcBorders>
          </w:tcPr>
          <w:p w14:paraId="04E3AFC5"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Some individual transient marine reptiles may come into contact with localised areas of low to high hydrocarbon exposure on the sea surface. Based on the literature review above, this may result in irritation of skin or cavities.</w:t>
            </w:r>
          </w:p>
          <w:p w14:paraId="2A2FAB45" w14:textId="2DDAD855"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However, due to the absence of turtle BIAs in Gippsland and the low chance of encountering turtles in Victorian waters in general, the potential impacts to marine reptiles (individuals or populations) are considered to be negligible.</w:t>
            </w:r>
          </w:p>
        </w:tc>
      </w:tr>
      <w:tr w:rsidR="00C20C63" w:rsidRPr="00320564" w14:paraId="0C3D6661" w14:textId="77777777" w:rsidTr="00D611A8">
        <w:trPr>
          <w:jc w:val="center"/>
        </w:trPr>
        <w:tc>
          <w:tcPr>
            <w:tcW w:w="1428" w:type="dxa"/>
            <w:tcBorders>
              <w:top w:val="nil"/>
              <w:bottom w:val="nil"/>
              <w:right w:val="single" w:sz="2" w:space="0" w:color="auto"/>
            </w:tcBorders>
          </w:tcPr>
          <w:p w14:paraId="7C5E76D4"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4F019A73" w14:textId="5F6581BC" w:rsidR="00C20C63" w:rsidRPr="00D611A8" w:rsidRDefault="00C20C63" w:rsidP="00D611A8">
            <w:pPr>
              <w:pStyle w:val="tabletext3"/>
              <w:rPr>
                <w:rFonts w:cs="Tahoma"/>
                <w:color w:val="000000" w:themeColor="text1"/>
                <w:sz w:val="20"/>
                <w:szCs w:val="20"/>
              </w:rPr>
            </w:pPr>
            <w:r w:rsidRPr="00D611A8">
              <w:rPr>
                <w:rFonts w:cs="Tahoma"/>
                <w:color w:val="000000" w:themeColor="text1"/>
                <w:sz w:val="20"/>
                <w:szCs w:val="20"/>
              </w:rPr>
              <w:t xml:space="preserve">Water column </w:t>
            </w:r>
            <w:r w:rsidRPr="00D611A8">
              <w:rPr>
                <w:rFonts w:cs="Tahoma"/>
                <w:color w:val="000000" w:themeColor="text1"/>
                <w:sz w:val="20"/>
                <w:szCs w:val="20"/>
              </w:rPr>
              <w:br/>
            </w:r>
          </w:p>
        </w:tc>
        <w:tc>
          <w:tcPr>
            <w:tcW w:w="5437" w:type="dxa"/>
            <w:tcBorders>
              <w:left w:val="single" w:sz="2" w:space="0" w:color="auto"/>
            </w:tcBorders>
          </w:tcPr>
          <w:p w14:paraId="65F74931"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There are no zones of dissolved hydrocarbons above the low threshold. </w:t>
            </w:r>
          </w:p>
          <w:p w14:paraId="0B8F1C4D" w14:textId="5ABFCBEB"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There is one very small and localised zone of entrained hydrocarbons (at low exposure) in the inshore part of the Point Hicks MNP. Due to the absence of turtle BIAs in Gippsland and the low chance of encountering turtles in Victorian waters in general, the potential impacts to marine reptiles (individuals or populations) are considered to be negligible.</w:t>
            </w:r>
          </w:p>
        </w:tc>
      </w:tr>
      <w:tr w:rsidR="00C20C63" w:rsidRPr="00320564" w14:paraId="6D847EDC" w14:textId="77777777" w:rsidTr="00C20C63">
        <w:trPr>
          <w:jc w:val="center"/>
        </w:trPr>
        <w:tc>
          <w:tcPr>
            <w:tcW w:w="1428" w:type="dxa"/>
            <w:tcBorders>
              <w:top w:val="nil"/>
              <w:bottom w:val="single" w:sz="4" w:space="0" w:color="auto"/>
              <w:right w:val="single" w:sz="2" w:space="0" w:color="auto"/>
            </w:tcBorders>
          </w:tcPr>
          <w:p w14:paraId="74022C74"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1270514F" w14:textId="542EF4AB" w:rsidR="00C20C63" w:rsidRPr="00D611A8" w:rsidRDefault="00C20C63" w:rsidP="00D611A8">
            <w:pPr>
              <w:pStyle w:val="tabletext3"/>
              <w:rPr>
                <w:rFonts w:cs="Tahoma"/>
                <w:color w:val="000000" w:themeColor="text1"/>
                <w:sz w:val="20"/>
                <w:szCs w:val="20"/>
              </w:rPr>
            </w:pPr>
            <w:r w:rsidRPr="00D611A8">
              <w:rPr>
                <w:rFonts w:cs="Tahoma"/>
                <w:color w:val="000000" w:themeColor="text1"/>
                <w:sz w:val="20"/>
                <w:szCs w:val="20"/>
              </w:rPr>
              <w:t>Shoreline</w:t>
            </w:r>
            <w:r w:rsidRPr="00D611A8">
              <w:rPr>
                <w:rFonts w:cs="Tahoma"/>
                <w:color w:val="000000" w:themeColor="text1"/>
                <w:sz w:val="20"/>
                <w:szCs w:val="20"/>
                <w:vertAlign w:val="superscript"/>
              </w:rPr>
              <w:t xml:space="preserve"> </w:t>
            </w:r>
            <w:r w:rsidRPr="00D611A8">
              <w:rPr>
                <w:rFonts w:cs="Tahoma"/>
                <w:color w:val="000000" w:themeColor="text1"/>
                <w:sz w:val="20"/>
                <w:szCs w:val="20"/>
                <w:vertAlign w:val="superscript"/>
              </w:rPr>
              <w:br/>
            </w:r>
          </w:p>
        </w:tc>
        <w:tc>
          <w:tcPr>
            <w:tcW w:w="5437" w:type="dxa"/>
            <w:tcBorders>
              <w:left w:val="single" w:sz="2" w:space="0" w:color="auto"/>
            </w:tcBorders>
          </w:tcPr>
          <w:p w14:paraId="79EBFE37" w14:textId="4470E664"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There are no turtle nesting beaches within the EMBA, so impacts from shoreline oiling will not occur.  </w:t>
            </w:r>
          </w:p>
        </w:tc>
      </w:tr>
      <w:tr w:rsidR="00C20C63" w:rsidRPr="00320564" w14:paraId="5026D3A0" w14:textId="77777777" w:rsidTr="00C20C63">
        <w:trPr>
          <w:jc w:val="center"/>
        </w:trPr>
        <w:tc>
          <w:tcPr>
            <w:tcW w:w="1428" w:type="dxa"/>
            <w:tcBorders>
              <w:top w:val="single" w:sz="4" w:space="0" w:color="auto"/>
              <w:bottom w:val="nil"/>
              <w:right w:val="single" w:sz="2" w:space="0" w:color="auto"/>
            </w:tcBorders>
          </w:tcPr>
          <w:p w14:paraId="77BDD0C2" w14:textId="6B2A4A20" w:rsidR="00C20C63" w:rsidRPr="00320564" w:rsidRDefault="00C20C63" w:rsidP="00D611A8">
            <w:pPr>
              <w:pStyle w:val="tabletext3"/>
              <w:rPr>
                <w:rFonts w:cs="Tahoma"/>
                <w:sz w:val="20"/>
                <w:szCs w:val="20"/>
              </w:rPr>
            </w:pPr>
            <w:r>
              <w:rPr>
                <w:rFonts w:cs="Tahoma"/>
                <w:sz w:val="20"/>
                <w:szCs w:val="20"/>
              </w:rPr>
              <w:t>Seabirds and shorebirds</w:t>
            </w:r>
          </w:p>
        </w:tc>
        <w:tc>
          <w:tcPr>
            <w:tcW w:w="1549" w:type="dxa"/>
            <w:tcBorders>
              <w:right w:val="single" w:sz="2" w:space="0" w:color="auto"/>
            </w:tcBorders>
          </w:tcPr>
          <w:p w14:paraId="47FE9A5D" w14:textId="4D2D6D4F" w:rsidR="00C20C63" w:rsidRPr="00D611A8" w:rsidRDefault="00C20C63" w:rsidP="00D611A8">
            <w:pPr>
              <w:pStyle w:val="tabletext3"/>
              <w:rPr>
                <w:rFonts w:cs="Tahoma"/>
                <w:color w:val="000000" w:themeColor="text1"/>
                <w:sz w:val="20"/>
                <w:szCs w:val="20"/>
              </w:rPr>
            </w:pPr>
            <w:r w:rsidRPr="00D611A8">
              <w:rPr>
                <w:rFonts w:cs="Tahoma"/>
                <w:color w:val="000000" w:themeColor="text1"/>
                <w:sz w:val="20"/>
                <w:szCs w:val="20"/>
              </w:rPr>
              <w:t xml:space="preserve">Sea surface </w:t>
            </w:r>
          </w:p>
        </w:tc>
        <w:tc>
          <w:tcPr>
            <w:tcW w:w="5437" w:type="dxa"/>
            <w:tcBorders>
              <w:left w:val="single" w:sz="2" w:space="0" w:color="auto"/>
            </w:tcBorders>
          </w:tcPr>
          <w:p w14:paraId="2085BECE"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The threatened bird species likely to occur in the EMBA forage over an extensive area, such as albatross and petrels, are distributed over a wide geographic area.</w:t>
            </w:r>
          </w:p>
          <w:p w14:paraId="45F59E75"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Seabirds rafting, resting, diving or feeding at sea have the potential to come into contact with oil, ranging from low to high exposure.</w:t>
            </w:r>
          </w:p>
          <w:p w14:paraId="0D74AD3E" w14:textId="7ACCBC20"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Given the extensive ocean foraging habitat available to species such as albatross and petrel, the small and temporary area impacted by a spill event is unlikely to limit their ability to forage for unaffected prey. The absence of breeding colonies or nesting areas in the EMBA for albatross and petrel further limits potential exposure to </w:t>
            </w:r>
            <w:r w:rsidRPr="00C20C63">
              <w:rPr>
                <w:rFonts w:cs="Tahoma"/>
                <w:color w:val="000000" w:themeColor="text1"/>
                <w:sz w:val="20"/>
                <w:szCs w:val="20"/>
              </w:rPr>
              <w:lastRenderedPageBreak/>
              <w:t>spilled MDO. Petrel breeding takes place from October to February in their sub-Antarctic and Antarctic habitat, making it unlikely that large numbers of petrels will be within the EMBA at the time of the survey.</w:t>
            </w:r>
          </w:p>
        </w:tc>
      </w:tr>
      <w:tr w:rsidR="00C20C63" w:rsidRPr="00320564" w14:paraId="3B03BB25" w14:textId="77777777" w:rsidTr="00D611A8">
        <w:trPr>
          <w:jc w:val="center"/>
        </w:trPr>
        <w:tc>
          <w:tcPr>
            <w:tcW w:w="1428" w:type="dxa"/>
            <w:tcBorders>
              <w:top w:val="nil"/>
              <w:bottom w:val="nil"/>
              <w:right w:val="single" w:sz="2" w:space="0" w:color="auto"/>
            </w:tcBorders>
          </w:tcPr>
          <w:p w14:paraId="6644FA2A"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7F3E1D15" w14:textId="62C743B1" w:rsidR="00C20C63" w:rsidRPr="00D611A8" w:rsidRDefault="00C20C63" w:rsidP="00D611A8">
            <w:pPr>
              <w:pStyle w:val="tabletext3"/>
              <w:rPr>
                <w:rFonts w:cs="Tahoma"/>
                <w:color w:val="000000" w:themeColor="text1"/>
                <w:sz w:val="20"/>
                <w:szCs w:val="20"/>
              </w:rPr>
            </w:pPr>
            <w:r w:rsidRPr="00D611A8">
              <w:rPr>
                <w:rFonts w:cs="Tahoma"/>
                <w:color w:val="000000" w:themeColor="text1"/>
                <w:sz w:val="20"/>
                <w:szCs w:val="20"/>
              </w:rPr>
              <w:t xml:space="preserve">Water column </w:t>
            </w:r>
            <w:r w:rsidRPr="00D611A8">
              <w:rPr>
                <w:rFonts w:cs="Tahoma"/>
                <w:color w:val="000000" w:themeColor="text1"/>
                <w:sz w:val="20"/>
                <w:szCs w:val="20"/>
              </w:rPr>
              <w:br/>
            </w:r>
          </w:p>
        </w:tc>
        <w:tc>
          <w:tcPr>
            <w:tcW w:w="5437" w:type="dxa"/>
            <w:tcBorders>
              <w:left w:val="single" w:sz="2" w:space="0" w:color="auto"/>
            </w:tcBorders>
          </w:tcPr>
          <w:p w14:paraId="72FC8F6F"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There are no zones of dissolved hydrocarbons above the low threshold. </w:t>
            </w:r>
          </w:p>
          <w:p w14:paraId="0CEEAA30" w14:textId="512C1591"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There is one very small and localised zone of entrained hydrocarbons (at low exposure) in the inshore part of the Point Hicks MNP. Fish species residing in or swimming through this small zone of low exposure hydrocarbons that are prey for seabirds or shorebirds will not suffer acute or chronic toxicity effects, so seabirds or shorebirds consuming this prey are similarly not expected to suffer any toxicity effects. </w:t>
            </w:r>
          </w:p>
        </w:tc>
      </w:tr>
      <w:tr w:rsidR="00C20C63" w:rsidRPr="00320564" w14:paraId="6B4775D6" w14:textId="77777777" w:rsidTr="00C20C63">
        <w:trPr>
          <w:jc w:val="center"/>
        </w:trPr>
        <w:tc>
          <w:tcPr>
            <w:tcW w:w="1428" w:type="dxa"/>
            <w:tcBorders>
              <w:top w:val="nil"/>
              <w:bottom w:val="single" w:sz="4" w:space="0" w:color="auto"/>
              <w:right w:val="single" w:sz="2" w:space="0" w:color="auto"/>
            </w:tcBorders>
          </w:tcPr>
          <w:p w14:paraId="065ADF5F"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6737E460" w14:textId="117CCEE5" w:rsidR="00C20C63" w:rsidRPr="00D611A8" w:rsidRDefault="00C20C63" w:rsidP="00D611A8">
            <w:pPr>
              <w:pStyle w:val="tabletext3"/>
              <w:rPr>
                <w:rFonts w:cs="Tahoma"/>
                <w:color w:val="000000" w:themeColor="text1"/>
                <w:sz w:val="20"/>
                <w:szCs w:val="20"/>
              </w:rPr>
            </w:pPr>
            <w:r w:rsidRPr="00D611A8">
              <w:rPr>
                <w:rFonts w:cs="Tahoma"/>
                <w:color w:val="000000" w:themeColor="text1"/>
                <w:sz w:val="20"/>
                <w:szCs w:val="20"/>
              </w:rPr>
              <w:t>Shoreline</w:t>
            </w:r>
            <w:r w:rsidRPr="00D611A8">
              <w:rPr>
                <w:rFonts w:cs="Tahoma"/>
                <w:color w:val="000000" w:themeColor="text1"/>
                <w:sz w:val="20"/>
                <w:szCs w:val="20"/>
                <w:vertAlign w:val="superscript"/>
              </w:rPr>
              <w:t xml:space="preserve"> </w:t>
            </w:r>
            <w:r w:rsidRPr="00D611A8">
              <w:rPr>
                <w:rFonts w:cs="Tahoma"/>
                <w:color w:val="000000" w:themeColor="text1"/>
                <w:sz w:val="20"/>
                <w:szCs w:val="20"/>
                <w:vertAlign w:val="superscript"/>
              </w:rPr>
              <w:br/>
            </w:r>
          </w:p>
        </w:tc>
        <w:tc>
          <w:tcPr>
            <w:tcW w:w="5437" w:type="dxa"/>
            <w:tcBorders>
              <w:left w:val="single" w:sz="2" w:space="0" w:color="auto"/>
            </w:tcBorders>
          </w:tcPr>
          <w:p w14:paraId="1F2367C7"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Areas of shoreline predicted to be exposed to shoreline loading of hydrocarbons that may have biological impacts to birds (100-1,000 g/m</w:t>
            </w:r>
            <w:r w:rsidRPr="00C20C63">
              <w:rPr>
                <w:rFonts w:cs="Tahoma"/>
                <w:color w:val="000000" w:themeColor="text1"/>
                <w:sz w:val="20"/>
                <w:szCs w:val="20"/>
                <w:vertAlign w:val="superscript"/>
              </w:rPr>
              <w:t>2</w:t>
            </w:r>
            <w:r w:rsidRPr="00C20C63">
              <w:rPr>
                <w:rFonts w:cs="Tahoma"/>
                <w:color w:val="000000" w:themeColor="text1"/>
                <w:sz w:val="20"/>
                <w:szCs w:val="20"/>
              </w:rPr>
              <w:t xml:space="preserve"> or &gt;1,000 g/m</w:t>
            </w:r>
            <w:r w:rsidRPr="00C20C63">
              <w:rPr>
                <w:rFonts w:cs="Tahoma"/>
                <w:color w:val="000000" w:themeColor="text1"/>
                <w:sz w:val="20"/>
                <w:szCs w:val="20"/>
                <w:vertAlign w:val="superscript"/>
              </w:rPr>
              <w:t>2</w:t>
            </w:r>
            <w:r w:rsidRPr="00C20C63">
              <w:rPr>
                <w:rFonts w:cs="Tahoma"/>
                <w:color w:val="000000" w:themeColor="text1"/>
                <w:sz w:val="20"/>
                <w:szCs w:val="20"/>
              </w:rPr>
              <w:t xml:space="preserve">) are widespread along the coast of the EMBA. </w:t>
            </w:r>
          </w:p>
          <w:p w14:paraId="2C50F57E" w14:textId="23443D76"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This section of coastline comprises mostly wide sandy beaches that provides habitat for shorebird species such as hooded plovers, terns and penguins, and nesting habitat for seabird species. MDO is unlikely to persist on the surface of sandy beaches because it quickly penetrates porous sediments (NOAA, 2012). This behaviour limits the duration of exposure to fauna on the shoreline. </w:t>
            </w:r>
          </w:p>
          <w:p w14:paraId="38E69F17"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Shorebirds foraging for food in intertidal areas or along the high tide mark and splash zone may encounter weathered hydrocarbons that may be brought back to nests. Hydrocarbon entering the sandy nests of hooded plovers, terns or other bird species is likely to percolate through the sand and not accumulate in the feathers of adults or young. Toxicity effects from ingestion of contaminated prey caught in the intertidal zone or from direct exposure or transport back to are unlikely, as the volatile components are likely to have flashed off prior to stranding (minimum stranding times range from 2 to 9.5 hours). </w:t>
            </w:r>
          </w:p>
          <w:p w14:paraId="66411ECC" w14:textId="027217AA"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The populations of seabird and shorebird species within the EMBA have a wide geographic range, meaning that impacts to individuals or a population at one location will not necessarily extend to populations at other un-impacted locations.</w:t>
            </w:r>
          </w:p>
        </w:tc>
      </w:tr>
      <w:tr w:rsidR="00C20C63" w:rsidRPr="00320564" w14:paraId="484EB47D" w14:textId="77777777" w:rsidTr="00C20C63">
        <w:trPr>
          <w:jc w:val="center"/>
        </w:trPr>
        <w:tc>
          <w:tcPr>
            <w:tcW w:w="1428" w:type="dxa"/>
            <w:tcBorders>
              <w:top w:val="single" w:sz="4" w:space="0" w:color="auto"/>
              <w:bottom w:val="single" w:sz="4" w:space="0" w:color="auto"/>
              <w:right w:val="single" w:sz="2" w:space="0" w:color="auto"/>
            </w:tcBorders>
          </w:tcPr>
          <w:p w14:paraId="3CA05EBA" w14:textId="2806BA83" w:rsidR="00C20C63" w:rsidRPr="00320564" w:rsidRDefault="00C20C63" w:rsidP="00D611A8">
            <w:pPr>
              <w:pStyle w:val="tabletext3"/>
              <w:rPr>
                <w:rFonts w:cs="Tahoma"/>
                <w:sz w:val="20"/>
                <w:szCs w:val="20"/>
              </w:rPr>
            </w:pPr>
            <w:r>
              <w:rPr>
                <w:rFonts w:cs="Tahoma"/>
                <w:sz w:val="20"/>
                <w:szCs w:val="20"/>
              </w:rPr>
              <w:t>Sandy beaches</w:t>
            </w:r>
          </w:p>
        </w:tc>
        <w:tc>
          <w:tcPr>
            <w:tcW w:w="1549" w:type="dxa"/>
            <w:tcBorders>
              <w:right w:val="single" w:sz="2" w:space="0" w:color="auto"/>
            </w:tcBorders>
          </w:tcPr>
          <w:p w14:paraId="6F5EC75B" w14:textId="4A783AE4" w:rsidR="00C20C63" w:rsidRPr="00D611A8" w:rsidRDefault="00C20C63" w:rsidP="00D611A8">
            <w:pPr>
              <w:pStyle w:val="tabletext3"/>
              <w:rPr>
                <w:rFonts w:cs="Tahoma"/>
                <w:color w:val="000000" w:themeColor="text1"/>
                <w:sz w:val="20"/>
                <w:szCs w:val="20"/>
              </w:rPr>
            </w:pPr>
            <w:r>
              <w:rPr>
                <w:rFonts w:cs="Tahoma"/>
                <w:color w:val="000000" w:themeColor="text1"/>
                <w:sz w:val="20"/>
                <w:szCs w:val="20"/>
              </w:rPr>
              <w:t>Shoreline</w:t>
            </w:r>
          </w:p>
        </w:tc>
        <w:tc>
          <w:tcPr>
            <w:tcW w:w="5437" w:type="dxa"/>
            <w:tcBorders>
              <w:left w:val="single" w:sz="2" w:space="0" w:color="auto"/>
            </w:tcBorders>
          </w:tcPr>
          <w:p w14:paraId="0AC187DC"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The length of coastline potentially at risk from high MDO shoreline loading (&gt;1,000 g/m</w:t>
            </w:r>
            <w:r w:rsidRPr="00C20C63">
              <w:rPr>
                <w:rFonts w:cs="Tahoma"/>
                <w:color w:val="000000" w:themeColor="text1"/>
                <w:sz w:val="20"/>
                <w:szCs w:val="20"/>
                <w:vertAlign w:val="superscript"/>
              </w:rPr>
              <w:t>2</w:t>
            </w:r>
            <w:r w:rsidRPr="00C20C63">
              <w:rPr>
                <w:rFonts w:cs="Tahoma"/>
                <w:color w:val="000000" w:themeColor="text1"/>
                <w:sz w:val="20"/>
                <w:szCs w:val="20"/>
              </w:rPr>
              <w:t>) is about 60 km (or 8 km in a single trajectory spill analysis). There is a 1-25% probability of contact and most of this contact being above 100 g/m</w:t>
            </w:r>
            <w:r w:rsidRPr="00C20C63">
              <w:rPr>
                <w:rFonts w:cs="Tahoma"/>
                <w:color w:val="000000" w:themeColor="text1"/>
                <w:sz w:val="20"/>
                <w:szCs w:val="20"/>
                <w:vertAlign w:val="superscript"/>
              </w:rPr>
              <w:t>2</w:t>
            </w:r>
            <w:r w:rsidRPr="00C20C63">
              <w:rPr>
                <w:rFonts w:cs="Tahoma"/>
                <w:color w:val="000000" w:themeColor="text1"/>
                <w:sz w:val="20"/>
                <w:szCs w:val="20"/>
              </w:rPr>
              <w:t xml:space="preserve">. This coastline is dominated by wide sandy beaches. </w:t>
            </w:r>
          </w:p>
          <w:p w14:paraId="3D85AA1C"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With the shortest time to reach the coast being 2 hours, the hydrocarbons will have only partially weathered. The high shoreline loadings would likely result in acute toxicity, and death, of many invertebrate communities, especially as the MDO will easily penetrate into sandy sediments. However, tidal action is expected to lead to rapid weathering of any hydrocarbons in the intertidal area and </w:t>
            </w:r>
            <w:r w:rsidRPr="00C20C63">
              <w:rPr>
                <w:rFonts w:cs="Tahoma"/>
                <w:color w:val="000000" w:themeColor="text1"/>
                <w:sz w:val="20"/>
                <w:szCs w:val="20"/>
              </w:rPr>
              <w:lastRenderedPageBreak/>
              <w:t>the populations of these communities would be likely to rapidly recover.</w:t>
            </w:r>
          </w:p>
          <w:p w14:paraId="2212DA55" w14:textId="4BDBCDF0"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Short-term impacts to tourism and other human uses of the beach may occur as a result of temporary beach closures to protect human health or due to visitor perceptions of a polluted environment that is not desirable to visit.</w:t>
            </w:r>
          </w:p>
        </w:tc>
      </w:tr>
      <w:tr w:rsidR="00C20C63" w:rsidRPr="00320564" w14:paraId="41CF0B56" w14:textId="77777777" w:rsidTr="00C20C63">
        <w:trPr>
          <w:jc w:val="center"/>
        </w:trPr>
        <w:tc>
          <w:tcPr>
            <w:tcW w:w="1428" w:type="dxa"/>
            <w:tcBorders>
              <w:top w:val="single" w:sz="4" w:space="0" w:color="auto"/>
              <w:bottom w:val="single" w:sz="4" w:space="0" w:color="auto"/>
              <w:right w:val="single" w:sz="2" w:space="0" w:color="auto"/>
            </w:tcBorders>
          </w:tcPr>
          <w:p w14:paraId="10C50F4A" w14:textId="01781A58" w:rsidR="00C20C63" w:rsidRPr="00320564" w:rsidRDefault="00C20C63" w:rsidP="00D611A8">
            <w:pPr>
              <w:pStyle w:val="tabletext3"/>
              <w:rPr>
                <w:rFonts w:cs="Tahoma"/>
                <w:sz w:val="20"/>
                <w:szCs w:val="20"/>
              </w:rPr>
            </w:pPr>
            <w:r>
              <w:rPr>
                <w:rFonts w:cs="Tahoma"/>
                <w:sz w:val="20"/>
                <w:szCs w:val="20"/>
              </w:rPr>
              <w:lastRenderedPageBreak/>
              <w:t>Rocky shores</w:t>
            </w:r>
          </w:p>
        </w:tc>
        <w:tc>
          <w:tcPr>
            <w:tcW w:w="1549" w:type="dxa"/>
            <w:tcBorders>
              <w:right w:val="single" w:sz="2" w:space="0" w:color="auto"/>
            </w:tcBorders>
          </w:tcPr>
          <w:p w14:paraId="72E8569B" w14:textId="77974974" w:rsidR="00C20C63" w:rsidRPr="00D611A8" w:rsidRDefault="00C20C63" w:rsidP="00D611A8">
            <w:pPr>
              <w:pStyle w:val="tabletext3"/>
              <w:rPr>
                <w:rFonts w:cs="Tahoma"/>
                <w:color w:val="000000" w:themeColor="text1"/>
                <w:sz w:val="20"/>
                <w:szCs w:val="20"/>
              </w:rPr>
            </w:pPr>
            <w:r>
              <w:rPr>
                <w:rFonts w:cs="Tahoma"/>
                <w:color w:val="000000" w:themeColor="text1"/>
                <w:sz w:val="20"/>
                <w:szCs w:val="20"/>
              </w:rPr>
              <w:t>Shoreline</w:t>
            </w:r>
          </w:p>
        </w:tc>
        <w:tc>
          <w:tcPr>
            <w:tcW w:w="5437" w:type="dxa"/>
            <w:tcBorders>
              <w:left w:val="single" w:sz="2" w:space="0" w:color="auto"/>
            </w:tcBorders>
          </w:tcPr>
          <w:p w14:paraId="7C22520F"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There are isolated areas of rocky shoreline (intertidal shore platform and mix sand beach/shore platform) in the EMBA east of Marlo. This section of shoreline has only a 1-5% probability of contact, though predicted shoreline loadings of MDO vary from low to high. </w:t>
            </w:r>
          </w:p>
          <w:p w14:paraId="564F7883" w14:textId="2D556B20"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The action of reflected waves off rocky shores means it is unlikely that toxicity or smothering effects to exposed vertebrate fauna will occur on this type of shoreline. The oil is likely to be continually washed off the substrate and into the water, leading to further weathering.</w:t>
            </w:r>
          </w:p>
        </w:tc>
      </w:tr>
      <w:tr w:rsidR="00C20C63" w:rsidRPr="00320564" w14:paraId="0FBFC02C" w14:textId="77777777" w:rsidTr="00C20C63">
        <w:trPr>
          <w:jc w:val="center"/>
        </w:trPr>
        <w:tc>
          <w:tcPr>
            <w:tcW w:w="1428" w:type="dxa"/>
            <w:tcBorders>
              <w:top w:val="single" w:sz="4" w:space="0" w:color="auto"/>
              <w:bottom w:val="nil"/>
              <w:right w:val="single" w:sz="2" w:space="0" w:color="auto"/>
            </w:tcBorders>
          </w:tcPr>
          <w:p w14:paraId="541991A7" w14:textId="48B4875B" w:rsidR="00C20C63" w:rsidRPr="00320564" w:rsidRDefault="00C20C63" w:rsidP="00D611A8">
            <w:pPr>
              <w:pStyle w:val="tabletext3"/>
              <w:rPr>
                <w:rFonts w:cs="Tahoma"/>
                <w:sz w:val="20"/>
                <w:szCs w:val="20"/>
              </w:rPr>
            </w:pPr>
            <w:r>
              <w:rPr>
                <w:rFonts w:cs="Tahoma"/>
                <w:sz w:val="20"/>
                <w:szCs w:val="20"/>
              </w:rPr>
              <w:t>Macroalgal communities</w:t>
            </w:r>
          </w:p>
        </w:tc>
        <w:tc>
          <w:tcPr>
            <w:tcW w:w="1549" w:type="dxa"/>
            <w:tcBorders>
              <w:right w:val="single" w:sz="2" w:space="0" w:color="auto"/>
            </w:tcBorders>
          </w:tcPr>
          <w:p w14:paraId="73F596F2" w14:textId="33C193DD" w:rsidR="00C20C63" w:rsidRPr="00D611A8" w:rsidRDefault="00C20C63" w:rsidP="00D611A8">
            <w:pPr>
              <w:pStyle w:val="tabletext3"/>
              <w:rPr>
                <w:rFonts w:cs="Tahoma"/>
                <w:color w:val="000000" w:themeColor="text1"/>
                <w:sz w:val="20"/>
                <w:szCs w:val="20"/>
              </w:rPr>
            </w:pPr>
            <w:r w:rsidRPr="00D611A8">
              <w:rPr>
                <w:rFonts w:cs="Tahoma"/>
                <w:color w:val="000000" w:themeColor="text1"/>
                <w:sz w:val="20"/>
                <w:szCs w:val="20"/>
              </w:rPr>
              <w:t xml:space="preserve">Sea surface </w:t>
            </w:r>
          </w:p>
        </w:tc>
        <w:tc>
          <w:tcPr>
            <w:tcW w:w="5437" w:type="dxa"/>
            <w:tcBorders>
              <w:left w:val="single" w:sz="2" w:space="0" w:color="auto"/>
            </w:tcBorders>
          </w:tcPr>
          <w:p w14:paraId="0033CC52"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Macroalgal communities are generally restricted close to shore (see ‘shoreline’ two columns to the right). </w:t>
            </w:r>
          </w:p>
          <w:p w14:paraId="5E321FB5"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Offshore, surface oiling will not result in impacts to macroalgae.</w:t>
            </w:r>
          </w:p>
          <w:p w14:paraId="2FACB59B" w14:textId="43F74C41"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The Giant Kelp Forests TEC is unlikely to be impacted by surface hydrocarbons as they remain submerged under the water surface.</w:t>
            </w:r>
          </w:p>
        </w:tc>
      </w:tr>
      <w:tr w:rsidR="00C20C63" w:rsidRPr="00320564" w14:paraId="33D330EC" w14:textId="77777777" w:rsidTr="00D611A8">
        <w:trPr>
          <w:jc w:val="center"/>
        </w:trPr>
        <w:tc>
          <w:tcPr>
            <w:tcW w:w="1428" w:type="dxa"/>
            <w:tcBorders>
              <w:top w:val="nil"/>
              <w:bottom w:val="nil"/>
              <w:right w:val="single" w:sz="2" w:space="0" w:color="auto"/>
            </w:tcBorders>
          </w:tcPr>
          <w:p w14:paraId="6DA54893"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78DE245D" w14:textId="2452468D" w:rsidR="00C20C63" w:rsidRPr="00D611A8" w:rsidRDefault="00C20C63" w:rsidP="00D611A8">
            <w:pPr>
              <w:pStyle w:val="tabletext3"/>
              <w:rPr>
                <w:rFonts w:cs="Tahoma"/>
                <w:color w:val="000000" w:themeColor="text1"/>
                <w:sz w:val="20"/>
                <w:szCs w:val="20"/>
              </w:rPr>
            </w:pPr>
            <w:r w:rsidRPr="00D611A8">
              <w:rPr>
                <w:rFonts w:cs="Tahoma"/>
                <w:color w:val="000000" w:themeColor="text1"/>
                <w:sz w:val="20"/>
                <w:szCs w:val="20"/>
              </w:rPr>
              <w:t xml:space="preserve">Water column </w:t>
            </w:r>
            <w:r w:rsidRPr="00D611A8">
              <w:rPr>
                <w:rFonts w:cs="Tahoma"/>
                <w:color w:val="000000" w:themeColor="text1"/>
                <w:sz w:val="20"/>
                <w:szCs w:val="20"/>
              </w:rPr>
              <w:br/>
            </w:r>
          </w:p>
        </w:tc>
        <w:tc>
          <w:tcPr>
            <w:tcW w:w="5437" w:type="dxa"/>
            <w:tcBorders>
              <w:left w:val="single" w:sz="2" w:space="0" w:color="auto"/>
            </w:tcBorders>
          </w:tcPr>
          <w:p w14:paraId="1819F576"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There are no zones of dissolved hydrocarbons above the low threshold. </w:t>
            </w:r>
          </w:p>
          <w:p w14:paraId="7D25F273" w14:textId="36EA5FF9"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There is one very small and localised zone of entrained hydrocarbons (at low exposure) in the inshore part of the Point Hicks MNP. The Giant Kelp Forests TEC is not mapped as being known to occur in this area, though it may occur to the immediate east of Point Hicks. Macroalgae associated with the subtidal reefs of the Point Hicks MNP may be exposed to the entrained MDO, but at the low threshold they are not likely to suffer any toxicity-related impacts.</w:t>
            </w:r>
          </w:p>
        </w:tc>
      </w:tr>
      <w:tr w:rsidR="00C20C63" w:rsidRPr="00320564" w14:paraId="3D82FECB" w14:textId="77777777" w:rsidTr="00C20C63">
        <w:trPr>
          <w:jc w:val="center"/>
        </w:trPr>
        <w:tc>
          <w:tcPr>
            <w:tcW w:w="1428" w:type="dxa"/>
            <w:tcBorders>
              <w:top w:val="nil"/>
              <w:bottom w:val="single" w:sz="4" w:space="0" w:color="auto"/>
              <w:right w:val="single" w:sz="2" w:space="0" w:color="auto"/>
            </w:tcBorders>
          </w:tcPr>
          <w:p w14:paraId="73E571B0"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44477216" w14:textId="03694AB8" w:rsidR="00C20C63" w:rsidRPr="00D611A8" w:rsidRDefault="00C20C63" w:rsidP="00D611A8">
            <w:pPr>
              <w:pStyle w:val="tabletext3"/>
              <w:rPr>
                <w:rFonts w:cs="Tahoma"/>
                <w:color w:val="000000" w:themeColor="text1"/>
                <w:sz w:val="20"/>
                <w:szCs w:val="20"/>
              </w:rPr>
            </w:pPr>
            <w:r w:rsidRPr="00D611A8">
              <w:rPr>
                <w:rFonts w:cs="Tahoma"/>
                <w:color w:val="000000" w:themeColor="text1"/>
                <w:sz w:val="20"/>
                <w:szCs w:val="20"/>
              </w:rPr>
              <w:t>Shoreline</w:t>
            </w:r>
            <w:r w:rsidRPr="00D611A8">
              <w:rPr>
                <w:rFonts w:cs="Tahoma"/>
                <w:color w:val="000000" w:themeColor="text1"/>
                <w:sz w:val="20"/>
                <w:szCs w:val="20"/>
                <w:vertAlign w:val="superscript"/>
              </w:rPr>
              <w:t xml:space="preserve"> </w:t>
            </w:r>
            <w:r w:rsidRPr="00D611A8">
              <w:rPr>
                <w:rFonts w:cs="Tahoma"/>
                <w:color w:val="000000" w:themeColor="text1"/>
                <w:sz w:val="20"/>
                <w:szCs w:val="20"/>
                <w:vertAlign w:val="superscript"/>
              </w:rPr>
              <w:br/>
            </w:r>
          </w:p>
        </w:tc>
        <w:tc>
          <w:tcPr>
            <w:tcW w:w="5437" w:type="dxa"/>
            <w:tcBorders>
              <w:left w:val="single" w:sz="2" w:space="0" w:color="auto"/>
            </w:tcBorders>
          </w:tcPr>
          <w:p w14:paraId="7061F602"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There are isolated areas of rocky shoreline (intertidal shore platform and mix sand beach/shore platform) in the EMBA east of Marlo that may support macroalgae communities. This section of shoreline has only a 1-5% probability of contact, though predicted shoreline loadings of MDO vary from low to high. </w:t>
            </w:r>
          </w:p>
          <w:p w14:paraId="03F0874B" w14:textId="1CBF8B34"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Hydrocarbons are likely to weather rapidly in this area, with high-energy waves breaking up hydrocarbons along rocky shore platforms. Given the likely high abundance of macroalgae along sections of the coast with intertidal shore platforms (east of Marlo), any localised mortality of macroalgae is likely to lead to rapid recruitment from nearby seed stock.</w:t>
            </w:r>
          </w:p>
        </w:tc>
      </w:tr>
      <w:tr w:rsidR="00FF7E3A" w:rsidRPr="00320564" w14:paraId="57ABECA1" w14:textId="77777777" w:rsidTr="00B13721">
        <w:trPr>
          <w:jc w:val="center"/>
        </w:trPr>
        <w:tc>
          <w:tcPr>
            <w:tcW w:w="1428" w:type="dxa"/>
            <w:vMerge w:val="restart"/>
            <w:tcBorders>
              <w:top w:val="single" w:sz="4" w:space="0" w:color="auto"/>
              <w:right w:val="single" w:sz="2" w:space="0" w:color="auto"/>
            </w:tcBorders>
          </w:tcPr>
          <w:p w14:paraId="46EDBDF0" w14:textId="4A7ED443" w:rsidR="00FF7E3A" w:rsidRPr="00320564" w:rsidRDefault="00FF7E3A" w:rsidP="00D611A8">
            <w:pPr>
              <w:pStyle w:val="tabletext3"/>
              <w:rPr>
                <w:rFonts w:cs="Tahoma"/>
                <w:sz w:val="20"/>
                <w:szCs w:val="20"/>
              </w:rPr>
            </w:pPr>
            <w:r>
              <w:rPr>
                <w:rFonts w:cs="Tahoma"/>
                <w:sz w:val="20"/>
                <w:szCs w:val="20"/>
              </w:rPr>
              <w:t>Commercial fisheries</w:t>
            </w:r>
          </w:p>
        </w:tc>
        <w:tc>
          <w:tcPr>
            <w:tcW w:w="1549" w:type="dxa"/>
            <w:tcBorders>
              <w:right w:val="single" w:sz="2" w:space="0" w:color="auto"/>
            </w:tcBorders>
          </w:tcPr>
          <w:p w14:paraId="299C7250" w14:textId="67FDA9C0" w:rsidR="00FF7E3A" w:rsidRPr="00D611A8" w:rsidRDefault="00FF7E3A" w:rsidP="00D611A8">
            <w:pPr>
              <w:pStyle w:val="tabletext3"/>
              <w:rPr>
                <w:rFonts w:cs="Tahoma"/>
                <w:color w:val="000000" w:themeColor="text1"/>
                <w:sz w:val="20"/>
                <w:szCs w:val="20"/>
              </w:rPr>
            </w:pPr>
            <w:r w:rsidRPr="00C56EA6">
              <w:rPr>
                <w:rFonts w:cs="Tahoma"/>
                <w:sz w:val="20"/>
                <w:szCs w:val="20"/>
              </w:rPr>
              <w:t>Scallop</w:t>
            </w:r>
          </w:p>
        </w:tc>
        <w:tc>
          <w:tcPr>
            <w:tcW w:w="5437" w:type="dxa"/>
            <w:tcBorders>
              <w:left w:val="single" w:sz="2" w:space="0" w:color="auto"/>
            </w:tcBorders>
          </w:tcPr>
          <w:p w14:paraId="66A941E1" w14:textId="77777777" w:rsidR="00FF7E3A" w:rsidRPr="00C20C63" w:rsidRDefault="00FF7E3A" w:rsidP="00C20C63">
            <w:pPr>
              <w:pStyle w:val="tabletext3"/>
              <w:rPr>
                <w:rFonts w:cs="Tahoma"/>
                <w:color w:val="000000" w:themeColor="text1"/>
                <w:sz w:val="20"/>
                <w:szCs w:val="20"/>
              </w:rPr>
            </w:pPr>
            <w:r w:rsidRPr="00C20C63">
              <w:rPr>
                <w:rFonts w:cs="Tahoma"/>
                <w:color w:val="000000" w:themeColor="text1"/>
                <w:sz w:val="20"/>
                <w:szCs w:val="20"/>
              </w:rPr>
              <w:t xml:space="preserve">No impact to species due to their benthic habitat. </w:t>
            </w:r>
          </w:p>
          <w:p w14:paraId="71DA1D88" w14:textId="065136AC" w:rsidR="00FF7E3A" w:rsidRPr="00C20C63" w:rsidRDefault="00FF7E3A" w:rsidP="00C20C63">
            <w:pPr>
              <w:pStyle w:val="tabletext3"/>
              <w:rPr>
                <w:rFonts w:cs="Tahoma"/>
                <w:color w:val="000000" w:themeColor="text1"/>
                <w:sz w:val="20"/>
                <w:szCs w:val="20"/>
              </w:rPr>
            </w:pPr>
            <w:r w:rsidRPr="00C20C63">
              <w:rPr>
                <w:rFonts w:cs="Tahoma"/>
                <w:color w:val="000000" w:themeColor="text1"/>
                <w:sz w:val="20"/>
                <w:szCs w:val="20"/>
              </w:rPr>
              <w:t>No impact to fishing equipment.</w:t>
            </w:r>
          </w:p>
        </w:tc>
      </w:tr>
      <w:tr w:rsidR="00FF7E3A" w:rsidRPr="00320564" w14:paraId="5082FC2C" w14:textId="77777777" w:rsidTr="00B13721">
        <w:trPr>
          <w:jc w:val="center"/>
        </w:trPr>
        <w:tc>
          <w:tcPr>
            <w:tcW w:w="1428" w:type="dxa"/>
            <w:vMerge/>
            <w:tcBorders>
              <w:bottom w:val="nil"/>
              <w:right w:val="single" w:sz="2" w:space="0" w:color="auto"/>
            </w:tcBorders>
          </w:tcPr>
          <w:p w14:paraId="5A28B32A" w14:textId="77777777" w:rsidR="00FF7E3A" w:rsidRPr="00320564" w:rsidRDefault="00FF7E3A" w:rsidP="00D611A8">
            <w:pPr>
              <w:pStyle w:val="tabletext3"/>
              <w:rPr>
                <w:rFonts w:cs="Tahoma"/>
                <w:sz w:val="20"/>
                <w:szCs w:val="20"/>
              </w:rPr>
            </w:pPr>
          </w:p>
        </w:tc>
        <w:tc>
          <w:tcPr>
            <w:tcW w:w="1549" w:type="dxa"/>
            <w:tcBorders>
              <w:right w:val="single" w:sz="2" w:space="0" w:color="auto"/>
            </w:tcBorders>
          </w:tcPr>
          <w:p w14:paraId="666E486B" w14:textId="09662B08" w:rsidR="00FF7E3A" w:rsidRPr="00D611A8" w:rsidRDefault="00FF7E3A" w:rsidP="00D611A8">
            <w:pPr>
              <w:pStyle w:val="tabletext3"/>
              <w:rPr>
                <w:rFonts w:cs="Tahoma"/>
                <w:color w:val="000000" w:themeColor="text1"/>
                <w:sz w:val="20"/>
                <w:szCs w:val="20"/>
              </w:rPr>
            </w:pPr>
            <w:r w:rsidRPr="00C56EA6">
              <w:rPr>
                <w:rFonts w:cs="Tahoma"/>
                <w:sz w:val="20"/>
                <w:szCs w:val="20"/>
              </w:rPr>
              <w:t xml:space="preserve">Rock lobster </w:t>
            </w:r>
          </w:p>
        </w:tc>
        <w:tc>
          <w:tcPr>
            <w:tcW w:w="5437" w:type="dxa"/>
            <w:tcBorders>
              <w:left w:val="single" w:sz="2" w:space="0" w:color="auto"/>
            </w:tcBorders>
          </w:tcPr>
          <w:p w14:paraId="74AB2778" w14:textId="77777777" w:rsidR="00FF7E3A" w:rsidRPr="00C20C63" w:rsidRDefault="00FF7E3A" w:rsidP="00C20C63">
            <w:pPr>
              <w:pStyle w:val="tabletext3"/>
              <w:rPr>
                <w:rFonts w:cs="Tahoma"/>
                <w:color w:val="000000" w:themeColor="text1"/>
                <w:sz w:val="20"/>
                <w:szCs w:val="20"/>
              </w:rPr>
            </w:pPr>
            <w:r w:rsidRPr="00C20C63">
              <w:rPr>
                <w:rFonts w:cs="Tahoma"/>
                <w:color w:val="000000" w:themeColor="text1"/>
                <w:sz w:val="20"/>
                <w:szCs w:val="20"/>
              </w:rPr>
              <w:t xml:space="preserve">No impact to species due to their benthic habitat. </w:t>
            </w:r>
          </w:p>
          <w:p w14:paraId="2FDD1BDF" w14:textId="65160F44" w:rsidR="00FF7E3A" w:rsidRPr="00C20C63" w:rsidRDefault="00FF7E3A" w:rsidP="00C20C63">
            <w:pPr>
              <w:pStyle w:val="tabletext3"/>
              <w:rPr>
                <w:rFonts w:cs="Tahoma"/>
                <w:color w:val="000000" w:themeColor="text1"/>
                <w:sz w:val="20"/>
                <w:szCs w:val="20"/>
              </w:rPr>
            </w:pPr>
            <w:r w:rsidRPr="00C20C63">
              <w:rPr>
                <w:rFonts w:cs="Tahoma"/>
                <w:color w:val="000000" w:themeColor="text1"/>
                <w:sz w:val="20"/>
                <w:szCs w:val="20"/>
              </w:rPr>
              <w:t xml:space="preserve">There is potential for lobster pot buoys to accumulate hydrocarbons if they are set at the time of a spill. The </w:t>
            </w:r>
            <w:r w:rsidRPr="00C20C63">
              <w:rPr>
                <w:rFonts w:cs="Tahoma"/>
                <w:color w:val="000000" w:themeColor="text1"/>
                <w:sz w:val="20"/>
                <w:szCs w:val="20"/>
              </w:rPr>
              <w:lastRenderedPageBreak/>
              <w:t>oiled surfaces may themselves be a source of secondary contamination until they are cleaned.</w:t>
            </w:r>
          </w:p>
        </w:tc>
      </w:tr>
      <w:tr w:rsidR="00C20C63" w:rsidRPr="00320564" w14:paraId="1777A097" w14:textId="77777777" w:rsidTr="00D611A8">
        <w:trPr>
          <w:jc w:val="center"/>
        </w:trPr>
        <w:tc>
          <w:tcPr>
            <w:tcW w:w="1428" w:type="dxa"/>
            <w:tcBorders>
              <w:top w:val="nil"/>
              <w:bottom w:val="nil"/>
              <w:right w:val="single" w:sz="2" w:space="0" w:color="auto"/>
            </w:tcBorders>
          </w:tcPr>
          <w:p w14:paraId="420A6112"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233AD764" w14:textId="2F8D842F" w:rsidR="00C20C63" w:rsidRPr="00D611A8" w:rsidRDefault="00C20C63" w:rsidP="00D611A8">
            <w:pPr>
              <w:pStyle w:val="tabletext3"/>
              <w:rPr>
                <w:rFonts w:cs="Tahoma"/>
                <w:color w:val="000000" w:themeColor="text1"/>
                <w:sz w:val="20"/>
                <w:szCs w:val="20"/>
              </w:rPr>
            </w:pPr>
            <w:r w:rsidRPr="00C56EA6">
              <w:rPr>
                <w:rFonts w:cs="Tahoma"/>
                <w:sz w:val="20"/>
                <w:szCs w:val="20"/>
              </w:rPr>
              <w:t>Abalone</w:t>
            </w:r>
          </w:p>
        </w:tc>
        <w:tc>
          <w:tcPr>
            <w:tcW w:w="5437" w:type="dxa"/>
            <w:tcBorders>
              <w:left w:val="single" w:sz="2" w:space="0" w:color="auto"/>
            </w:tcBorders>
          </w:tcPr>
          <w:p w14:paraId="1A549A78"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No impact to species due to their benthic habitat. </w:t>
            </w:r>
          </w:p>
          <w:p w14:paraId="2365E7BA" w14:textId="3AB69D40"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No impact to fishing equipment.</w:t>
            </w:r>
          </w:p>
        </w:tc>
      </w:tr>
      <w:tr w:rsidR="00C20C63" w:rsidRPr="00320564" w14:paraId="43DD9E17" w14:textId="77777777" w:rsidTr="00D611A8">
        <w:trPr>
          <w:jc w:val="center"/>
        </w:trPr>
        <w:tc>
          <w:tcPr>
            <w:tcW w:w="1428" w:type="dxa"/>
            <w:tcBorders>
              <w:top w:val="nil"/>
              <w:bottom w:val="nil"/>
              <w:right w:val="single" w:sz="2" w:space="0" w:color="auto"/>
            </w:tcBorders>
          </w:tcPr>
          <w:p w14:paraId="33BCDF9A"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6FDAF1FB" w14:textId="6314D457" w:rsidR="00C20C63" w:rsidRPr="00D611A8" w:rsidRDefault="00C20C63" w:rsidP="00D611A8">
            <w:pPr>
              <w:pStyle w:val="tabletext3"/>
              <w:rPr>
                <w:rFonts w:cs="Tahoma"/>
                <w:color w:val="000000" w:themeColor="text1"/>
                <w:sz w:val="20"/>
                <w:szCs w:val="20"/>
              </w:rPr>
            </w:pPr>
            <w:r w:rsidRPr="00C56EA6">
              <w:rPr>
                <w:rFonts w:cs="Tahoma"/>
                <w:sz w:val="20"/>
                <w:szCs w:val="20"/>
              </w:rPr>
              <w:t>Wrasse fishery</w:t>
            </w:r>
          </w:p>
        </w:tc>
        <w:tc>
          <w:tcPr>
            <w:tcW w:w="5437" w:type="dxa"/>
            <w:tcBorders>
              <w:left w:val="single" w:sz="2" w:space="0" w:color="auto"/>
            </w:tcBorders>
          </w:tcPr>
          <w:p w14:paraId="0ABB67CF"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No impact to species due to their pelagic habitat. </w:t>
            </w:r>
          </w:p>
          <w:p w14:paraId="3D821E9F" w14:textId="528A3595"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Surface buoys marking gillnet locations may accumulate hydrocarbons if they are set at the time of a spill. Vessel hulls may accumulate hydrocarbons if they travel through a slick. The oiled surfaces may themselves be a source of secondary contamination until they are cleaned.</w:t>
            </w:r>
          </w:p>
        </w:tc>
      </w:tr>
      <w:tr w:rsidR="00C20C63" w:rsidRPr="00320564" w14:paraId="674E410D" w14:textId="77777777" w:rsidTr="00C20C63">
        <w:trPr>
          <w:jc w:val="center"/>
        </w:trPr>
        <w:tc>
          <w:tcPr>
            <w:tcW w:w="1428" w:type="dxa"/>
            <w:tcBorders>
              <w:top w:val="nil"/>
              <w:bottom w:val="nil"/>
              <w:right w:val="single" w:sz="2" w:space="0" w:color="auto"/>
            </w:tcBorders>
          </w:tcPr>
          <w:p w14:paraId="32880D67"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28770362" w14:textId="31230292" w:rsidR="00C20C63" w:rsidRPr="00D611A8" w:rsidRDefault="00C20C63" w:rsidP="00D611A8">
            <w:pPr>
              <w:pStyle w:val="tabletext3"/>
              <w:rPr>
                <w:rFonts w:cs="Tahoma"/>
                <w:color w:val="000000" w:themeColor="text1"/>
                <w:sz w:val="20"/>
                <w:szCs w:val="20"/>
              </w:rPr>
            </w:pPr>
            <w:r w:rsidRPr="00C56EA6">
              <w:rPr>
                <w:rFonts w:cs="Tahoma"/>
                <w:sz w:val="20"/>
                <w:szCs w:val="20"/>
              </w:rPr>
              <w:t xml:space="preserve">Ocean access </w:t>
            </w:r>
          </w:p>
        </w:tc>
        <w:tc>
          <w:tcPr>
            <w:tcW w:w="5437" w:type="dxa"/>
            <w:tcBorders>
              <w:left w:val="single" w:sz="2" w:space="0" w:color="auto"/>
            </w:tcBorders>
          </w:tcPr>
          <w:p w14:paraId="1B36769D"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No impact to species due to their pelagic habitat. </w:t>
            </w:r>
          </w:p>
          <w:p w14:paraId="78C98DB5" w14:textId="13712494"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Longlines may accumulate hydrocarbons if they are set at the time of a spill. Vessel hulls may accumulate hydrocarbons if they travel through a slick. The oiled surfaces may themselves be a source of secondary contamination until they are cleaned.</w:t>
            </w:r>
          </w:p>
        </w:tc>
      </w:tr>
      <w:tr w:rsidR="00C20C63" w:rsidRPr="00320564" w14:paraId="36E85AED" w14:textId="77777777" w:rsidTr="00C20C63">
        <w:trPr>
          <w:jc w:val="center"/>
        </w:trPr>
        <w:tc>
          <w:tcPr>
            <w:tcW w:w="1428" w:type="dxa"/>
            <w:tcBorders>
              <w:top w:val="nil"/>
              <w:bottom w:val="nil"/>
              <w:right w:val="single" w:sz="2" w:space="0" w:color="auto"/>
            </w:tcBorders>
          </w:tcPr>
          <w:p w14:paraId="06B27209"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06CD83B6" w14:textId="27266346" w:rsidR="00C20C63" w:rsidRPr="00D611A8" w:rsidRDefault="00C20C63" w:rsidP="00D611A8">
            <w:pPr>
              <w:pStyle w:val="tabletext3"/>
              <w:rPr>
                <w:rFonts w:cs="Tahoma"/>
                <w:color w:val="000000" w:themeColor="text1"/>
                <w:sz w:val="20"/>
                <w:szCs w:val="20"/>
              </w:rPr>
            </w:pPr>
            <w:r w:rsidRPr="00C56EA6">
              <w:rPr>
                <w:rFonts w:cs="Tahoma"/>
                <w:sz w:val="20"/>
                <w:szCs w:val="20"/>
              </w:rPr>
              <w:t xml:space="preserve">Ocean purse seine </w:t>
            </w:r>
          </w:p>
        </w:tc>
        <w:tc>
          <w:tcPr>
            <w:tcW w:w="5437" w:type="dxa"/>
            <w:tcBorders>
              <w:left w:val="single" w:sz="2" w:space="0" w:color="auto"/>
            </w:tcBorders>
          </w:tcPr>
          <w:p w14:paraId="7694F670"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No impact to species due to their pelagic habitat. </w:t>
            </w:r>
          </w:p>
          <w:p w14:paraId="154298B0" w14:textId="4BBF1B20"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Surface buoys marking gillnet locations may accumulate hydrocarbons if they are set at the time of a spill. Vessel hulls may accumulate hydrocarbons if they travel through a slick. The oiled surfaces may themselves be a source of secondary contamination until they are cleaned.</w:t>
            </w:r>
          </w:p>
        </w:tc>
      </w:tr>
      <w:tr w:rsidR="00C20C63" w:rsidRPr="00320564" w14:paraId="6E3D3663" w14:textId="77777777" w:rsidTr="00C20C63">
        <w:trPr>
          <w:jc w:val="center"/>
        </w:trPr>
        <w:tc>
          <w:tcPr>
            <w:tcW w:w="1428" w:type="dxa"/>
            <w:tcBorders>
              <w:top w:val="nil"/>
              <w:bottom w:val="nil"/>
              <w:right w:val="single" w:sz="2" w:space="0" w:color="auto"/>
            </w:tcBorders>
          </w:tcPr>
          <w:p w14:paraId="589FABB1"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008A97A5" w14:textId="06BB2BCE" w:rsidR="00C20C63" w:rsidRPr="00D611A8" w:rsidRDefault="00C20C63" w:rsidP="00D611A8">
            <w:pPr>
              <w:pStyle w:val="tabletext3"/>
              <w:rPr>
                <w:rFonts w:cs="Tahoma"/>
                <w:color w:val="000000" w:themeColor="text1"/>
                <w:sz w:val="20"/>
                <w:szCs w:val="20"/>
              </w:rPr>
            </w:pPr>
            <w:r w:rsidRPr="00C56EA6">
              <w:rPr>
                <w:rFonts w:cs="Tahoma"/>
                <w:sz w:val="20"/>
                <w:szCs w:val="20"/>
              </w:rPr>
              <w:t xml:space="preserve">Inshore trawl </w:t>
            </w:r>
          </w:p>
        </w:tc>
        <w:tc>
          <w:tcPr>
            <w:tcW w:w="5437" w:type="dxa"/>
            <w:tcBorders>
              <w:left w:val="single" w:sz="2" w:space="0" w:color="auto"/>
            </w:tcBorders>
          </w:tcPr>
          <w:p w14:paraId="7D807EF3" w14:textId="77777777"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 xml:space="preserve">No impact to species due to their benthic habitat. </w:t>
            </w:r>
          </w:p>
          <w:p w14:paraId="5FE84F75" w14:textId="459338CC"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Warp wires may accumulate hydrocarbons if they are set at the time of a spill. Vessel hulls may accumulate hydrocarbons if they travel through a slick. The oiled surfaces may themselves be a source of secondary contamination until they are cleaned.</w:t>
            </w:r>
          </w:p>
        </w:tc>
      </w:tr>
      <w:tr w:rsidR="00C20C63" w:rsidRPr="00320564" w14:paraId="5FF0D058" w14:textId="77777777" w:rsidTr="00C20C63">
        <w:trPr>
          <w:jc w:val="center"/>
        </w:trPr>
        <w:tc>
          <w:tcPr>
            <w:tcW w:w="1428" w:type="dxa"/>
            <w:tcBorders>
              <w:top w:val="nil"/>
              <w:bottom w:val="nil"/>
              <w:right w:val="single" w:sz="2" w:space="0" w:color="auto"/>
            </w:tcBorders>
          </w:tcPr>
          <w:p w14:paraId="2E78144B"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4FAF50AB" w14:textId="030472EF" w:rsidR="00C20C63" w:rsidRPr="00D611A8" w:rsidRDefault="00C20C63" w:rsidP="00D611A8">
            <w:pPr>
              <w:pStyle w:val="tabletext3"/>
              <w:rPr>
                <w:rFonts w:cs="Tahoma"/>
                <w:color w:val="000000" w:themeColor="text1"/>
                <w:sz w:val="20"/>
                <w:szCs w:val="20"/>
              </w:rPr>
            </w:pPr>
            <w:r w:rsidRPr="00C56EA6">
              <w:rPr>
                <w:rFonts w:cs="Tahoma"/>
                <w:sz w:val="20"/>
                <w:szCs w:val="20"/>
              </w:rPr>
              <w:t xml:space="preserve">Southern squid jig </w:t>
            </w:r>
          </w:p>
        </w:tc>
        <w:tc>
          <w:tcPr>
            <w:tcW w:w="5437" w:type="dxa"/>
            <w:tcBorders>
              <w:left w:val="single" w:sz="2" w:space="0" w:color="auto"/>
            </w:tcBorders>
          </w:tcPr>
          <w:p w14:paraId="13B69EA5" w14:textId="0F093C19"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The key fishing area of southwest Victoria makes it highly unlikely that the fishery operates in the EMBA.</w:t>
            </w:r>
          </w:p>
        </w:tc>
      </w:tr>
      <w:tr w:rsidR="00C20C63" w:rsidRPr="00320564" w14:paraId="5CEFB835" w14:textId="77777777" w:rsidTr="00C20C63">
        <w:trPr>
          <w:jc w:val="center"/>
        </w:trPr>
        <w:tc>
          <w:tcPr>
            <w:tcW w:w="1428" w:type="dxa"/>
            <w:tcBorders>
              <w:top w:val="nil"/>
              <w:bottom w:val="nil"/>
              <w:right w:val="single" w:sz="2" w:space="0" w:color="auto"/>
            </w:tcBorders>
          </w:tcPr>
          <w:p w14:paraId="741E77EC"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4FEB8BE6" w14:textId="5CB9E83B" w:rsidR="00C20C63" w:rsidRPr="00D611A8" w:rsidRDefault="00C20C63" w:rsidP="00D611A8">
            <w:pPr>
              <w:pStyle w:val="tabletext3"/>
              <w:rPr>
                <w:rFonts w:cs="Tahoma"/>
                <w:color w:val="000000" w:themeColor="text1"/>
                <w:sz w:val="20"/>
                <w:szCs w:val="20"/>
              </w:rPr>
            </w:pPr>
            <w:r w:rsidRPr="00C56EA6">
              <w:rPr>
                <w:rFonts w:cs="Tahoma"/>
                <w:sz w:val="20"/>
                <w:szCs w:val="20"/>
              </w:rPr>
              <w:t xml:space="preserve">Gillnet &amp; shark hook </w:t>
            </w:r>
          </w:p>
        </w:tc>
        <w:tc>
          <w:tcPr>
            <w:tcW w:w="5437" w:type="dxa"/>
            <w:tcBorders>
              <w:left w:val="single" w:sz="2" w:space="0" w:color="auto"/>
            </w:tcBorders>
          </w:tcPr>
          <w:p w14:paraId="1A62D771" w14:textId="7053473F"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Surface buoys marking gillnet locations may accumulate hydrocarbons if they are set at the time of a spill. Vessel hulls may accumulate hydrocarbons if they travel through a slick. The oiled surfaces may themselves be a source of secondary contamination until they are cleaned.</w:t>
            </w:r>
          </w:p>
        </w:tc>
      </w:tr>
      <w:tr w:rsidR="00C20C63" w:rsidRPr="00320564" w14:paraId="13801BAE" w14:textId="77777777" w:rsidTr="00C20C63">
        <w:trPr>
          <w:jc w:val="center"/>
        </w:trPr>
        <w:tc>
          <w:tcPr>
            <w:tcW w:w="1428" w:type="dxa"/>
            <w:tcBorders>
              <w:top w:val="nil"/>
              <w:bottom w:val="nil"/>
              <w:right w:val="single" w:sz="2" w:space="0" w:color="auto"/>
            </w:tcBorders>
          </w:tcPr>
          <w:p w14:paraId="3B195F75"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576FD468" w14:textId="630EFC1F" w:rsidR="00C20C63" w:rsidRPr="00D611A8" w:rsidRDefault="00C20C63" w:rsidP="00D611A8">
            <w:pPr>
              <w:pStyle w:val="tabletext3"/>
              <w:rPr>
                <w:rFonts w:cs="Tahoma"/>
                <w:color w:val="000000" w:themeColor="text1"/>
                <w:sz w:val="20"/>
                <w:szCs w:val="20"/>
              </w:rPr>
            </w:pPr>
            <w:r w:rsidRPr="00C56EA6">
              <w:rPr>
                <w:rFonts w:cs="Tahoma"/>
                <w:sz w:val="20"/>
                <w:szCs w:val="20"/>
              </w:rPr>
              <w:t>Commonwealth trawl sector</w:t>
            </w:r>
          </w:p>
        </w:tc>
        <w:tc>
          <w:tcPr>
            <w:tcW w:w="5437" w:type="dxa"/>
            <w:tcBorders>
              <w:left w:val="single" w:sz="2" w:space="0" w:color="auto"/>
            </w:tcBorders>
          </w:tcPr>
          <w:p w14:paraId="78348FDD" w14:textId="45E1369F"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Warp wires may accumulate hydrocarbons if they are set at the time of a spill. Vessel hulls may accumulate hydrocarbons if they travel through a slick. The oiled surfaces may themselves be a source of secondary contamination until they are cleaned.</w:t>
            </w:r>
          </w:p>
        </w:tc>
      </w:tr>
      <w:tr w:rsidR="00C20C63" w:rsidRPr="00320564" w14:paraId="17BFCD5C" w14:textId="77777777" w:rsidTr="00C20C63">
        <w:trPr>
          <w:jc w:val="center"/>
        </w:trPr>
        <w:tc>
          <w:tcPr>
            <w:tcW w:w="1428" w:type="dxa"/>
            <w:tcBorders>
              <w:top w:val="nil"/>
              <w:bottom w:val="single" w:sz="4" w:space="0" w:color="auto"/>
              <w:right w:val="single" w:sz="2" w:space="0" w:color="auto"/>
            </w:tcBorders>
          </w:tcPr>
          <w:p w14:paraId="41CA9B23"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14AE5460" w14:textId="50EB1630" w:rsidR="00C20C63" w:rsidRPr="00D611A8" w:rsidRDefault="00C20C63" w:rsidP="00D611A8">
            <w:pPr>
              <w:pStyle w:val="tabletext3"/>
              <w:rPr>
                <w:rFonts w:cs="Tahoma"/>
                <w:color w:val="000000" w:themeColor="text1"/>
                <w:sz w:val="20"/>
                <w:szCs w:val="20"/>
              </w:rPr>
            </w:pPr>
            <w:r w:rsidRPr="00C56EA6">
              <w:rPr>
                <w:rFonts w:cs="Tahoma"/>
                <w:sz w:val="20"/>
                <w:szCs w:val="20"/>
              </w:rPr>
              <w:t>Scalefish hook sector</w:t>
            </w:r>
          </w:p>
        </w:tc>
        <w:tc>
          <w:tcPr>
            <w:tcW w:w="5437" w:type="dxa"/>
            <w:tcBorders>
              <w:left w:val="single" w:sz="2" w:space="0" w:color="auto"/>
            </w:tcBorders>
          </w:tcPr>
          <w:p w14:paraId="7EE7A55D" w14:textId="6BF9399E" w:rsidR="00C20C63" w:rsidRPr="00C20C63" w:rsidRDefault="00C20C63" w:rsidP="00C20C63">
            <w:pPr>
              <w:pStyle w:val="tabletext3"/>
              <w:rPr>
                <w:rFonts w:cs="Tahoma"/>
                <w:color w:val="000000" w:themeColor="text1"/>
                <w:sz w:val="20"/>
                <w:szCs w:val="20"/>
              </w:rPr>
            </w:pPr>
            <w:r w:rsidRPr="00C20C63">
              <w:rPr>
                <w:rFonts w:cs="Tahoma"/>
                <w:color w:val="000000" w:themeColor="text1"/>
                <w:sz w:val="20"/>
                <w:szCs w:val="20"/>
              </w:rPr>
              <w:t>Longlines may accumulate hydrocarbons if they are set at the time of a spill. Vessel hulls may accumulate hydrocarbons if they travel through a slick. The oiled surfaces may themselves be a source of secondary contamination until they are cleaned.</w:t>
            </w:r>
          </w:p>
        </w:tc>
      </w:tr>
      <w:tr w:rsidR="00C20C63" w:rsidRPr="00320564" w14:paraId="2FA57B76" w14:textId="77777777" w:rsidTr="00C20C63">
        <w:trPr>
          <w:jc w:val="center"/>
        </w:trPr>
        <w:tc>
          <w:tcPr>
            <w:tcW w:w="1428" w:type="dxa"/>
            <w:tcBorders>
              <w:top w:val="single" w:sz="4" w:space="0" w:color="auto"/>
              <w:bottom w:val="nil"/>
              <w:right w:val="single" w:sz="2" w:space="0" w:color="auto"/>
            </w:tcBorders>
          </w:tcPr>
          <w:p w14:paraId="4850ADC6" w14:textId="258494B0" w:rsidR="00C20C63" w:rsidRPr="00320564" w:rsidRDefault="00C20C63" w:rsidP="00D611A8">
            <w:pPr>
              <w:pStyle w:val="tabletext3"/>
              <w:rPr>
                <w:rFonts w:cs="Tahoma"/>
                <w:sz w:val="20"/>
                <w:szCs w:val="20"/>
              </w:rPr>
            </w:pPr>
            <w:r>
              <w:rPr>
                <w:rFonts w:cs="Tahoma"/>
                <w:sz w:val="20"/>
                <w:szCs w:val="20"/>
              </w:rPr>
              <w:t>Marine protected areas</w:t>
            </w:r>
          </w:p>
        </w:tc>
        <w:tc>
          <w:tcPr>
            <w:tcW w:w="1549" w:type="dxa"/>
            <w:tcBorders>
              <w:right w:val="single" w:sz="2" w:space="0" w:color="auto"/>
            </w:tcBorders>
          </w:tcPr>
          <w:p w14:paraId="5A27691C" w14:textId="66412B43" w:rsidR="00C20C63" w:rsidRPr="00D611A8" w:rsidRDefault="00C20C63" w:rsidP="00D611A8">
            <w:pPr>
              <w:pStyle w:val="tabletext3"/>
              <w:rPr>
                <w:rFonts w:cs="Tahoma"/>
                <w:color w:val="000000" w:themeColor="text1"/>
                <w:sz w:val="20"/>
                <w:szCs w:val="20"/>
              </w:rPr>
            </w:pPr>
            <w:r w:rsidRPr="00C56EA6">
              <w:rPr>
                <w:rFonts w:cs="Tahoma"/>
                <w:sz w:val="20"/>
                <w:szCs w:val="20"/>
              </w:rPr>
              <w:t>Nooramunga Marine and Coastal Park</w:t>
            </w:r>
          </w:p>
        </w:tc>
        <w:tc>
          <w:tcPr>
            <w:tcW w:w="5437" w:type="dxa"/>
            <w:tcBorders>
              <w:left w:val="single" w:sz="2" w:space="0" w:color="auto"/>
            </w:tcBorders>
          </w:tcPr>
          <w:p w14:paraId="1782CC12" w14:textId="77777777" w:rsidR="00C20C63" w:rsidRPr="0048688C" w:rsidRDefault="00C20C63" w:rsidP="0048688C">
            <w:pPr>
              <w:pStyle w:val="tabletext3"/>
              <w:rPr>
                <w:rFonts w:cs="Tahoma"/>
                <w:color w:val="000000" w:themeColor="text1"/>
                <w:sz w:val="20"/>
                <w:szCs w:val="20"/>
              </w:rPr>
            </w:pPr>
            <w:r w:rsidRPr="0048688C">
              <w:rPr>
                <w:rFonts w:cs="Tahoma"/>
                <w:color w:val="000000" w:themeColor="text1"/>
                <w:sz w:val="20"/>
                <w:szCs w:val="20"/>
              </w:rPr>
              <w:t xml:space="preserve">There is a 1% probability of exposure to low threshold hydrocarbons. </w:t>
            </w:r>
          </w:p>
          <w:p w14:paraId="4A05E2A7" w14:textId="77777777" w:rsidR="00C20C63" w:rsidRPr="0048688C" w:rsidRDefault="00C20C63" w:rsidP="0048688C">
            <w:pPr>
              <w:pStyle w:val="tabletext3"/>
              <w:rPr>
                <w:rFonts w:cs="Tahoma"/>
                <w:color w:val="000000" w:themeColor="text1"/>
                <w:sz w:val="20"/>
                <w:szCs w:val="20"/>
              </w:rPr>
            </w:pPr>
            <w:r w:rsidRPr="0048688C">
              <w:rPr>
                <w:rFonts w:cs="Tahoma"/>
                <w:color w:val="000000" w:themeColor="text1"/>
                <w:sz w:val="20"/>
                <w:szCs w:val="20"/>
              </w:rPr>
              <w:t>At a low threshold, marine fauna will not experience toxicity effects. Seagrass and mangrove habitats present within Corner Inlet are not predicted to be contacted.</w:t>
            </w:r>
          </w:p>
          <w:p w14:paraId="34F82B64" w14:textId="5ED51029" w:rsidR="0048688C" w:rsidRPr="0048688C" w:rsidRDefault="0048688C" w:rsidP="0048688C">
            <w:pPr>
              <w:pStyle w:val="tabletext3"/>
              <w:rPr>
                <w:rFonts w:cs="Tahoma"/>
                <w:color w:val="000000" w:themeColor="text1"/>
                <w:sz w:val="20"/>
                <w:szCs w:val="20"/>
              </w:rPr>
            </w:pPr>
            <w:r w:rsidRPr="0048688C">
              <w:rPr>
                <w:rFonts w:cs="Tahoma"/>
                <w:color w:val="000000" w:themeColor="text1"/>
                <w:sz w:val="20"/>
                <w:szCs w:val="20"/>
              </w:rPr>
              <w:t xml:space="preserve">There is a 1-5% probability of shoreline contact, with </w:t>
            </w:r>
            <w:r w:rsidRPr="0048688C">
              <w:rPr>
                <w:rFonts w:cs="Tahoma"/>
                <w:color w:val="000000" w:themeColor="text1"/>
                <w:sz w:val="20"/>
                <w:szCs w:val="20"/>
              </w:rPr>
              <w:lastRenderedPageBreak/>
              <w:t>moderate shoreline loadings. See impacts to ‘sandy beaches’ and ‘seabirds and shorebirds.’</w:t>
            </w:r>
          </w:p>
        </w:tc>
      </w:tr>
      <w:tr w:rsidR="00C20C63" w:rsidRPr="00320564" w14:paraId="71F0A3D7" w14:textId="77777777" w:rsidTr="00C20C63">
        <w:trPr>
          <w:jc w:val="center"/>
        </w:trPr>
        <w:tc>
          <w:tcPr>
            <w:tcW w:w="1428" w:type="dxa"/>
            <w:tcBorders>
              <w:top w:val="nil"/>
              <w:bottom w:val="nil"/>
              <w:right w:val="single" w:sz="2" w:space="0" w:color="auto"/>
            </w:tcBorders>
          </w:tcPr>
          <w:p w14:paraId="0836CEAC"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39A35FD8" w14:textId="6D258B0B" w:rsidR="00C20C63" w:rsidRPr="00D611A8" w:rsidRDefault="00C20C63" w:rsidP="00D611A8">
            <w:pPr>
              <w:pStyle w:val="tabletext3"/>
              <w:rPr>
                <w:rFonts w:cs="Tahoma"/>
                <w:color w:val="000000" w:themeColor="text1"/>
                <w:sz w:val="20"/>
                <w:szCs w:val="20"/>
              </w:rPr>
            </w:pPr>
            <w:r w:rsidRPr="00C56EA6">
              <w:rPr>
                <w:rFonts w:cs="Tahoma"/>
                <w:sz w:val="20"/>
                <w:szCs w:val="20"/>
              </w:rPr>
              <w:t>Ninety Mile Beach MNP</w:t>
            </w:r>
          </w:p>
        </w:tc>
        <w:tc>
          <w:tcPr>
            <w:tcW w:w="5437" w:type="dxa"/>
            <w:tcBorders>
              <w:left w:val="single" w:sz="2" w:space="0" w:color="auto"/>
            </w:tcBorders>
          </w:tcPr>
          <w:p w14:paraId="76959CE7" w14:textId="77777777" w:rsidR="00C20C63" w:rsidRPr="0048688C" w:rsidRDefault="00C20C63" w:rsidP="0048688C">
            <w:pPr>
              <w:pStyle w:val="tabletext3"/>
              <w:rPr>
                <w:rFonts w:cs="Tahoma"/>
                <w:color w:val="000000" w:themeColor="text1"/>
                <w:sz w:val="20"/>
                <w:szCs w:val="20"/>
              </w:rPr>
            </w:pPr>
            <w:r w:rsidRPr="0048688C">
              <w:rPr>
                <w:rFonts w:cs="Tahoma"/>
                <w:color w:val="000000" w:themeColor="text1"/>
                <w:sz w:val="20"/>
                <w:szCs w:val="20"/>
              </w:rPr>
              <w:t>There is a 20%, 5% and 2% probability of contact with hydrocarbons at a low, moderate and high threshold, respectively.</w:t>
            </w:r>
          </w:p>
          <w:p w14:paraId="5E583ABD" w14:textId="77777777" w:rsidR="00C20C63" w:rsidRPr="0048688C" w:rsidRDefault="00C20C63" w:rsidP="0048688C">
            <w:pPr>
              <w:pStyle w:val="tabletext3"/>
              <w:rPr>
                <w:rFonts w:cs="Tahoma"/>
                <w:color w:val="000000" w:themeColor="text1"/>
                <w:sz w:val="20"/>
                <w:szCs w:val="20"/>
              </w:rPr>
            </w:pPr>
            <w:r w:rsidRPr="0048688C">
              <w:rPr>
                <w:rFonts w:cs="Tahoma"/>
                <w:color w:val="000000" w:themeColor="text1"/>
                <w:sz w:val="20"/>
                <w:szCs w:val="20"/>
              </w:rPr>
              <w:t>Natural values of significance are present within the water column or at the seabed, so MDO contact at the sea surface will not impact these values.</w:t>
            </w:r>
          </w:p>
          <w:p w14:paraId="4BA0C69F" w14:textId="40FE0329" w:rsidR="0048688C" w:rsidRPr="0048688C" w:rsidRDefault="0048688C" w:rsidP="0048688C">
            <w:pPr>
              <w:pStyle w:val="tabletext3"/>
              <w:rPr>
                <w:rFonts w:cs="Tahoma"/>
                <w:color w:val="000000" w:themeColor="text1"/>
                <w:sz w:val="20"/>
                <w:szCs w:val="20"/>
              </w:rPr>
            </w:pPr>
            <w:r w:rsidRPr="0048688C">
              <w:rPr>
                <w:rFonts w:cs="Tahoma"/>
                <w:color w:val="000000" w:themeColor="text1"/>
                <w:sz w:val="20"/>
                <w:szCs w:val="20"/>
              </w:rPr>
              <w:t>There is a 5-50% probability of shoreline contact, with high shoreline loadings. See impacts to ‘sandy beaches’ and ‘seabirds and shorebirds.’</w:t>
            </w:r>
          </w:p>
        </w:tc>
      </w:tr>
      <w:tr w:rsidR="00C20C63" w:rsidRPr="00320564" w14:paraId="0F39A8E8" w14:textId="77777777" w:rsidTr="00C20C63">
        <w:trPr>
          <w:jc w:val="center"/>
        </w:trPr>
        <w:tc>
          <w:tcPr>
            <w:tcW w:w="1428" w:type="dxa"/>
            <w:tcBorders>
              <w:top w:val="nil"/>
              <w:bottom w:val="nil"/>
              <w:right w:val="single" w:sz="2" w:space="0" w:color="auto"/>
            </w:tcBorders>
          </w:tcPr>
          <w:p w14:paraId="4CD24F4E"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3B395142" w14:textId="54541FCD" w:rsidR="00C20C63" w:rsidRPr="00D611A8" w:rsidRDefault="00C20C63" w:rsidP="00D611A8">
            <w:pPr>
              <w:pStyle w:val="tabletext3"/>
              <w:rPr>
                <w:rFonts w:cs="Tahoma"/>
                <w:color w:val="000000" w:themeColor="text1"/>
                <w:sz w:val="20"/>
                <w:szCs w:val="20"/>
              </w:rPr>
            </w:pPr>
            <w:r w:rsidRPr="00C56EA6">
              <w:rPr>
                <w:rFonts w:cs="Tahoma"/>
                <w:sz w:val="20"/>
                <w:szCs w:val="20"/>
              </w:rPr>
              <w:t xml:space="preserve">Beware Reef Marine Sanctuary </w:t>
            </w:r>
          </w:p>
        </w:tc>
        <w:tc>
          <w:tcPr>
            <w:tcW w:w="5437" w:type="dxa"/>
            <w:tcBorders>
              <w:left w:val="single" w:sz="2" w:space="0" w:color="auto"/>
            </w:tcBorders>
          </w:tcPr>
          <w:p w14:paraId="7E0B54BC" w14:textId="77777777" w:rsidR="00C20C63" w:rsidRPr="0048688C" w:rsidRDefault="00C20C63" w:rsidP="0048688C">
            <w:pPr>
              <w:pStyle w:val="tabletext3"/>
              <w:rPr>
                <w:rFonts w:cs="Tahoma"/>
                <w:color w:val="000000" w:themeColor="text1"/>
                <w:sz w:val="20"/>
                <w:szCs w:val="20"/>
              </w:rPr>
            </w:pPr>
            <w:r w:rsidRPr="0048688C">
              <w:rPr>
                <w:rFonts w:cs="Tahoma"/>
                <w:color w:val="000000" w:themeColor="text1"/>
                <w:sz w:val="20"/>
                <w:szCs w:val="20"/>
              </w:rPr>
              <w:t xml:space="preserve">There is a 3% probability of exposure to low threshold hydrocarbons. </w:t>
            </w:r>
          </w:p>
          <w:p w14:paraId="18667579" w14:textId="77777777" w:rsidR="00C20C63" w:rsidRPr="0048688C" w:rsidRDefault="00C20C63" w:rsidP="0048688C">
            <w:pPr>
              <w:pStyle w:val="tabletext3"/>
              <w:rPr>
                <w:rFonts w:cs="Tahoma"/>
                <w:color w:val="000000" w:themeColor="text1"/>
                <w:sz w:val="20"/>
                <w:szCs w:val="20"/>
              </w:rPr>
            </w:pPr>
            <w:r w:rsidRPr="0048688C">
              <w:rPr>
                <w:rFonts w:cs="Tahoma"/>
                <w:color w:val="000000" w:themeColor="text1"/>
                <w:sz w:val="20"/>
                <w:szCs w:val="20"/>
              </w:rPr>
              <w:t>At a low threshold, marine fauna will not experience toxicity effects.</w:t>
            </w:r>
          </w:p>
          <w:p w14:paraId="20EF165D" w14:textId="2DB55F0D" w:rsidR="0048688C" w:rsidRPr="0048688C" w:rsidRDefault="0048688C" w:rsidP="0048688C">
            <w:pPr>
              <w:pStyle w:val="tabletext3"/>
              <w:rPr>
                <w:rFonts w:cs="Tahoma"/>
                <w:color w:val="000000" w:themeColor="text1"/>
                <w:sz w:val="20"/>
                <w:szCs w:val="20"/>
              </w:rPr>
            </w:pPr>
            <w:r w:rsidRPr="0048688C">
              <w:rPr>
                <w:rFonts w:cs="Tahoma"/>
                <w:color w:val="000000" w:themeColor="text1"/>
                <w:sz w:val="20"/>
                <w:szCs w:val="20"/>
              </w:rPr>
              <w:t>No shoreline, but the permanently exposed granite reef would be self-cleaning with wave action.</w:t>
            </w:r>
          </w:p>
        </w:tc>
      </w:tr>
      <w:tr w:rsidR="00C20C63" w:rsidRPr="00320564" w14:paraId="272CFB0F" w14:textId="77777777" w:rsidTr="00C20C63">
        <w:trPr>
          <w:jc w:val="center"/>
        </w:trPr>
        <w:tc>
          <w:tcPr>
            <w:tcW w:w="1428" w:type="dxa"/>
            <w:tcBorders>
              <w:top w:val="nil"/>
              <w:bottom w:val="nil"/>
              <w:right w:val="single" w:sz="2" w:space="0" w:color="auto"/>
            </w:tcBorders>
          </w:tcPr>
          <w:p w14:paraId="7438BB08"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3F6C1C7D" w14:textId="3A54F096" w:rsidR="00C20C63" w:rsidRPr="00D611A8" w:rsidRDefault="00C20C63" w:rsidP="00D611A8">
            <w:pPr>
              <w:pStyle w:val="tabletext3"/>
              <w:rPr>
                <w:rFonts w:cs="Tahoma"/>
                <w:color w:val="000000" w:themeColor="text1"/>
                <w:sz w:val="20"/>
                <w:szCs w:val="20"/>
              </w:rPr>
            </w:pPr>
            <w:r w:rsidRPr="00C56EA6">
              <w:rPr>
                <w:rFonts w:cs="Tahoma"/>
                <w:sz w:val="20"/>
                <w:szCs w:val="20"/>
              </w:rPr>
              <w:t>Point Hicks MNP</w:t>
            </w:r>
          </w:p>
        </w:tc>
        <w:tc>
          <w:tcPr>
            <w:tcW w:w="5437" w:type="dxa"/>
            <w:tcBorders>
              <w:left w:val="single" w:sz="2" w:space="0" w:color="auto"/>
            </w:tcBorders>
          </w:tcPr>
          <w:p w14:paraId="16018AC3" w14:textId="77777777" w:rsidR="00C20C63" w:rsidRPr="0048688C" w:rsidRDefault="00C20C63" w:rsidP="0048688C">
            <w:pPr>
              <w:pStyle w:val="tabletext3"/>
              <w:rPr>
                <w:rFonts w:cs="Tahoma"/>
                <w:color w:val="000000" w:themeColor="text1"/>
                <w:sz w:val="20"/>
                <w:szCs w:val="20"/>
              </w:rPr>
            </w:pPr>
            <w:r w:rsidRPr="0048688C">
              <w:rPr>
                <w:rFonts w:cs="Tahoma"/>
                <w:color w:val="000000" w:themeColor="text1"/>
                <w:sz w:val="20"/>
                <w:szCs w:val="20"/>
              </w:rPr>
              <w:t xml:space="preserve">There is a 9% probability of exposure to low threshold hydrocarbons and a 1% probability of exposure to hydrocarbons at the moderate threshold. </w:t>
            </w:r>
          </w:p>
          <w:p w14:paraId="0348D232" w14:textId="77777777" w:rsidR="00C20C63" w:rsidRPr="0048688C" w:rsidRDefault="00C20C63" w:rsidP="0048688C">
            <w:pPr>
              <w:pStyle w:val="tabletext3"/>
              <w:rPr>
                <w:rFonts w:cs="Tahoma"/>
                <w:color w:val="000000" w:themeColor="text1"/>
                <w:sz w:val="20"/>
                <w:szCs w:val="20"/>
              </w:rPr>
            </w:pPr>
            <w:r w:rsidRPr="0048688C">
              <w:rPr>
                <w:rFonts w:cs="Tahoma"/>
                <w:color w:val="000000" w:themeColor="text1"/>
                <w:sz w:val="20"/>
                <w:szCs w:val="20"/>
              </w:rPr>
              <w:t xml:space="preserve">At a low threshold, marine fauna will not experience toxicity effects. At a moderate threshold, fur seals, dolphins, fish and seabirds may experience some toxicity effects, and serious injury or mortality is possible depending on the volume of oil coating or ingestion. </w:t>
            </w:r>
          </w:p>
          <w:p w14:paraId="318DC78B" w14:textId="1BB48336" w:rsidR="0048688C" w:rsidRPr="0048688C" w:rsidRDefault="0048688C" w:rsidP="0048688C">
            <w:pPr>
              <w:pStyle w:val="tabletext3"/>
              <w:rPr>
                <w:rFonts w:cs="Tahoma"/>
                <w:color w:val="000000" w:themeColor="text1"/>
                <w:sz w:val="20"/>
                <w:szCs w:val="20"/>
              </w:rPr>
            </w:pPr>
            <w:r w:rsidRPr="0048688C">
              <w:rPr>
                <w:rFonts w:cs="Tahoma"/>
                <w:color w:val="000000" w:themeColor="text1"/>
                <w:sz w:val="20"/>
                <w:szCs w:val="20"/>
              </w:rPr>
              <w:t>There is one very small and localised zone of entrained hydrocarbons (at low exposure) in the inshore part of the Point Hicks MNP. This zone does not intersect mapped reef areas, but if contact with the reef is made, the low exposure means flora and fauna will not experience toxicity effects.</w:t>
            </w:r>
          </w:p>
        </w:tc>
      </w:tr>
      <w:tr w:rsidR="00C20C63" w:rsidRPr="00320564" w14:paraId="20FAB4B2" w14:textId="77777777" w:rsidTr="00FF7E3A">
        <w:trPr>
          <w:jc w:val="center"/>
        </w:trPr>
        <w:tc>
          <w:tcPr>
            <w:tcW w:w="1428" w:type="dxa"/>
            <w:tcBorders>
              <w:top w:val="nil"/>
              <w:bottom w:val="nil"/>
              <w:right w:val="single" w:sz="2" w:space="0" w:color="auto"/>
            </w:tcBorders>
          </w:tcPr>
          <w:p w14:paraId="3290D166"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78BDF478" w14:textId="679E80A8" w:rsidR="00C20C63" w:rsidRPr="00D611A8" w:rsidRDefault="00C20C63" w:rsidP="00D611A8">
            <w:pPr>
              <w:pStyle w:val="tabletext3"/>
              <w:rPr>
                <w:rFonts w:cs="Tahoma"/>
                <w:color w:val="000000" w:themeColor="text1"/>
                <w:sz w:val="20"/>
                <w:szCs w:val="20"/>
              </w:rPr>
            </w:pPr>
            <w:r w:rsidRPr="00C56EA6">
              <w:rPr>
                <w:rFonts w:cs="Tahoma"/>
                <w:sz w:val="20"/>
                <w:szCs w:val="20"/>
              </w:rPr>
              <w:t>Cape Howe MNP</w:t>
            </w:r>
          </w:p>
        </w:tc>
        <w:tc>
          <w:tcPr>
            <w:tcW w:w="5437" w:type="dxa"/>
            <w:tcBorders>
              <w:left w:val="single" w:sz="2" w:space="0" w:color="auto"/>
            </w:tcBorders>
          </w:tcPr>
          <w:p w14:paraId="16A8FA9A" w14:textId="77777777" w:rsidR="00C20C63" w:rsidRPr="0048688C" w:rsidRDefault="00C20C63" w:rsidP="0048688C">
            <w:pPr>
              <w:pStyle w:val="tabletext3"/>
              <w:rPr>
                <w:rFonts w:cs="Tahoma"/>
                <w:color w:val="000000" w:themeColor="text1"/>
                <w:sz w:val="20"/>
                <w:szCs w:val="20"/>
              </w:rPr>
            </w:pPr>
            <w:r w:rsidRPr="0048688C">
              <w:rPr>
                <w:rFonts w:cs="Tahoma"/>
                <w:color w:val="000000" w:themeColor="text1"/>
                <w:sz w:val="20"/>
                <w:szCs w:val="20"/>
              </w:rPr>
              <w:t>There is a 1-10% probability of contact with hydrocarbons with low exposure.</w:t>
            </w:r>
          </w:p>
          <w:p w14:paraId="4EC747C1" w14:textId="77777777" w:rsidR="00C20C63" w:rsidRPr="0048688C" w:rsidRDefault="00C20C63" w:rsidP="0048688C">
            <w:pPr>
              <w:pStyle w:val="tabletext3"/>
              <w:rPr>
                <w:rFonts w:cs="Tahoma"/>
                <w:color w:val="000000" w:themeColor="text1"/>
                <w:sz w:val="20"/>
                <w:szCs w:val="20"/>
              </w:rPr>
            </w:pPr>
            <w:r w:rsidRPr="0048688C">
              <w:rPr>
                <w:rFonts w:cs="Tahoma"/>
                <w:color w:val="000000" w:themeColor="text1"/>
                <w:sz w:val="20"/>
                <w:szCs w:val="20"/>
              </w:rPr>
              <w:t>At a low threshold, marine fauna will not experience toxicity effects.</w:t>
            </w:r>
          </w:p>
          <w:p w14:paraId="0AA4C880" w14:textId="77777777" w:rsidR="0048688C" w:rsidRPr="0048688C" w:rsidRDefault="0048688C" w:rsidP="0048688C">
            <w:pPr>
              <w:pStyle w:val="tabletext3"/>
              <w:rPr>
                <w:rFonts w:cs="Tahoma"/>
                <w:color w:val="000000" w:themeColor="text1"/>
                <w:sz w:val="20"/>
                <w:szCs w:val="20"/>
              </w:rPr>
            </w:pPr>
            <w:r w:rsidRPr="0048688C">
              <w:rPr>
                <w:rFonts w:cs="Tahoma"/>
                <w:color w:val="000000" w:themeColor="text1"/>
                <w:sz w:val="20"/>
                <w:szCs w:val="20"/>
              </w:rPr>
              <w:t>There is a 1-5% probability of shoreline contact, with isolated occurences of low to moderate shoreline loadings.</w:t>
            </w:r>
          </w:p>
          <w:p w14:paraId="2A588533" w14:textId="6EAC8F38" w:rsidR="0048688C" w:rsidRPr="0048688C" w:rsidRDefault="0048688C" w:rsidP="0048688C">
            <w:pPr>
              <w:pStyle w:val="tabletext3"/>
              <w:rPr>
                <w:rFonts w:cs="Tahoma"/>
                <w:color w:val="000000" w:themeColor="text1"/>
                <w:sz w:val="20"/>
                <w:szCs w:val="20"/>
              </w:rPr>
            </w:pPr>
            <w:r w:rsidRPr="0048688C">
              <w:rPr>
                <w:rFonts w:cs="Tahoma"/>
                <w:color w:val="000000" w:themeColor="text1"/>
                <w:sz w:val="20"/>
                <w:szCs w:val="20"/>
              </w:rPr>
              <w:t>See impacts to ‘sandy beaches’ and ‘benthic assemblages.’</w:t>
            </w:r>
          </w:p>
        </w:tc>
      </w:tr>
      <w:tr w:rsidR="00C20C63" w:rsidRPr="00320564" w14:paraId="4FB4B97E" w14:textId="77777777" w:rsidTr="00FF7E3A">
        <w:trPr>
          <w:jc w:val="center"/>
        </w:trPr>
        <w:tc>
          <w:tcPr>
            <w:tcW w:w="1428" w:type="dxa"/>
            <w:tcBorders>
              <w:top w:val="nil"/>
              <w:bottom w:val="single" w:sz="4" w:space="0" w:color="auto"/>
              <w:right w:val="single" w:sz="2" w:space="0" w:color="auto"/>
            </w:tcBorders>
          </w:tcPr>
          <w:p w14:paraId="299AED14" w14:textId="77777777" w:rsidR="00C20C63" w:rsidRPr="00320564" w:rsidRDefault="00C20C63" w:rsidP="00D611A8">
            <w:pPr>
              <w:pStyle w:val="tabletext3"/>
              <w:rPr>
                <w:rFonts w:cs="Tahoma"/>
                <w:sz w:val="20"/>
                <w:szCs w:val="20"/>
              </w:rPr>
            </w:pPr>
          </w:p>
        </w:tc>
        <w:tc>
          <w:tcPr>
            <w:tcW w:w="1549" w:type="dxa"/>
            <w:tcBorders>
              <w:right w:val="single" w:sz="2" w:space="0" w:color="auto"/>
            </w:tcBorders>
          </w:tcPr>
          <w:p w14:paraId="3785EC56" w14:textId="01EDEFF9" w:rsidR="00C20C63" w:rsidRPr="00D611A8" w:rsidRDefault="00C20C63" w:rsidP="00D611A8">
            <w:pPr>
              <w:pStyle w:val="tabletext3"/>
              <w:rPr>
                <w:rFonts w:cs="Tahoma"/>
                <w:color w:val="000000" w:themeColor="text1"/>
                <w:sz w:val="20"/>
                <w:szCs w:val="20"/>
              </w:rPr>
            </w:pPr>
            <w:r w:rsidRPr="00C56EA6">
              <w:rPr>
                <w:rFonts w:cs="Tahoma"/>
                <w:sz w:val="20"/>
                <w:szCs w:val="20"/>
              </w:rPr>
              <w:t>East Gippsland CMR</w:t>
            </w:r>
          </w:p>
        </w:tc>
        <w:tc>
          <w:tcPr>
            <w:tcW w:w="5437" w:type="dxa"/>
            <w:tcBorders>
              <w:left w:val="single" w:sz="2" w:space="0" w:color="auto"/>
            </w:tcBorders>
          </w:tcPr>
          <w:p w14:paraId="22DA93C8" w14:textId="77777777" w:rsidR="00C20C63" w:rsidRPr="0048688C" w:rsidRDefault="00C20C63" w:rsidP="0048688C">
            <w:pPr>
              <w:pStyle w:val="tabletext3"/>
              <w:rPr>
                <w:rFonts w:cs="Tahoma"/>
                <w:color w:val="000000" w:themeColor="text1"/>
                <w:sz w:val="20"/>
                <w:szCs w:val="20"/>
              </w:rPr>
            </w:pPr>
            <w:r w:rsidRPr="0048688C">
              <w:rPr>
                <w:rFonts w:cs="Tahoma"/>
                <w:color w:val="000000" w:themeColor="text1"/>
                <w:sz w:val="20"/>
                <w:szCs w:val="20"/>
              </w:rPr>
              <w:t>There is a 1-10% probability of contact with hydrocarbons with low exposure.</w:t>
            </w:r>
          </w:p>
          <w:p w14:paraId="27C87171" w14:textId="3664221E" w:rsidR="00C20C63" w:rsidRPr="0048688C" w:rsidRDefault="00C20C63" w:rsidP="0048688C">
            <w:pPr>
              <w:pStyle w:val="tabletext3"/>
              <w:rPr>
                <w:rFonts w:cs="Tahoma"/>
                <w:color w:val="000000" w:themeColor="text1"/>
                <w:sz w:val="20"/>
                <w:szCs w:val="20"/>
              </w:rPr>
            </w:pPr>
            <w:r w:rsidRPr="0048688C">
              <w:rPr>
                <w:rFonts w:cs="Tahoma"/>
                <w:color w:val="000000" w:themeColor="text1"/>
                <w:sz w:val="20"/>
                <w:szCs w:val="20"/>
              </w:rPr>
              <w:t>At a low threshold, marine fauna (most notably seabirds and migrating humpback whales) will not experience toxicity effects. See impacts to ‘seabirds and shorebirds’ and ‘cetaceans.’</w:t>
            </w:r>
          </w:p>
        </w:tc>
      </w:tr>
    </w:tbl>
    <w:p w14:paraId="48A5D789" w14:textId="77777777" w:rsidR="004E1B49" w:rsidRDefault="004E1B49" w:rsidP="00987048">
      <w:pPr>
        <w:ind w:left="0"/>
        <w:rPr>
          <w:rFonts w:ascii="Tahoma" w:hAnsi="Tahoma" w:cs="Arial"/>
          <w:szCs w:val="20"/>
        </w:rPr>
      </w:pPr>
    </w:p>
    <w:p w14:paraId="1D4A8022" w14:textId="77777777" w:rsidR="004E1B49" w:rsidRDefault="004E1B49" w:rsidP="00987048">
      <w:pPr>
        <w:ind w:left="0"/>
        <w:rPr>
          <w:rFonts w:ascii="Tahoma" w:hAnsi="Tahoma" w:cs="Arial"/>
          <w:szCs w:val="20"/>
        </w:rPr>
      </w:pPr>
    </w:p>
    <w:p w14:paraId="73E4CA0F" w14:textId="3376A33B" w:rsidR="00C03962" w:rsidRPr="00C56EA6" w:rsidRDefault="00C03962">
      <w:pPr>
        <w:spacing w:line="240" w:lineRule="auto"/>
        <w:ind w:left="0"/>
        <w:rPr>
          <w:b/>
          <w:color w:val="191919"/>
          <w:sz w:val="20"/>
          <w:szCs w:val="20"/>
          <w:lang w:eastAsia="en-US"/>
        </w:rPr>
      </w:pPr>
    </w:p>
    <w:p w14:paraId="21B86F47" w14:textId="33B0FDC7" w:rsidR="00CE4D03" w:rsidRPr="00C56EA6" w:rsidRDefault="00CE4D03" w:rsidP="00863A83">
      <w:pPr>
        <w:rPr>
          <w:sz w:val="20"/>
          <w:szCs w:val="20"/>
        </w:rPr>
      </w:pPr>
    </w:p>
    <w:p w14:paraId="31B8A1EB" w14:textId="77777777" w:rsidR="00CE4D03" w:rsidRPr="00C56EA6" w:rsidRDefault="00CE4D03" w:rsidP="00863A83">
      <w:pPr>
        <w:rPr>
          <w:sz w:val="20"/>
          <w:szCs w:val="20"/>
        </w:rPr>
      </w:pPr>
    </w:p>
    <w:p w14:paraId="7EBCA800" w14:textId="77777777" w:rsidR="00863A83" w:rsidRPr="004B130B" w:rsidRDefault="00863A83" w:rsidP="002D6649">
      <w:pPr>
        <w:pStyle w:val="Heading3"/>
      </w:pPr>
      <w:bookmarkStart w:id="1267" w:name="_Toc479764163"/>
      <w:bookmarkStart w:id="1268" w:name="_Toc375214675"/>
      <w:r w:rsidRPr="004B130B">
        <w:lastRenderedPageBreak/>
        <w:t>Risk Assessment</w:t>
      </w:r>
      <w:bookmarkEnd w:id="1267"/>
      <w:bookmarkEnd w:id="1268"/>
    </w:p>
    <w:p w14:paraId="31E246EC" w14:textId="1308AE08" w:rsidR="00FF7E3A" w:rsidRDefault="00FF7E3A" w:rsidP="00FF7E3A">
      <w:pPr>
        <w:pStyle w:val="BodyText"/>
        <w:ind w:left="0"/>
        <w:rPr>
          <w:rFonts w:cs="Arial"/>
          <w:sz w:val="22"/>
          <w:szCs w:val="22"/>
        </w:rPr>
      </w:pPr>
      <w:r>
        <w:rPr>
          <w:rFonts w:cs="Arial"/>
          <w:sz w:val="22"/>
          <w:szCs w:val="22"/>
        </w:rPr>
        <w:t xml:space="preserve">The following control measures will be implemented to minimise the risk </w:t>
      </w:r>
      <w:r w:rsidRPr="008D722A">
        <w:rPr>
          <w:rFonts w:cs="Arial"/>
          <w:sz w:val="22"/>
          <w:szCs w:val="22"/>
        </w:rPr>
        <w:t xml:space="preserve">of </w:t>
      </w:r>
      <w:r>
        <w:rPr>
          <w:rFonts w:cs="Arial"/>
          <w:sz w:val="22"/>
          <w:szCs w:val="22"/>
        </w:rPr>
        <w:t xml:space="preserve">a MDO spill: </w:t>
      </w:r>
      <w:r w:rsidRPr="0038762E">
        <w:rPr>
          <w:sz w:val="22"/>
          <w:szCs w:val="22"/>
        </w:rPr>
        <w:t xml:space="preserve"> </w:t>
      </w:r>
    </w:p>
    <w:p w14:paraId="56718E04" w14:textId="0611C8E3" w:rsidR="00FF7E3A" w:rsidRPr="00FF7E3A" w:rsidRDefault="00FF7E3A" w:rsidP="00FF7E3A">
      <w:pPr>
        <w:pStyle w:val="ListParagraph0"/>
        <w:numPr>
          <w:ilvl w:val="0"/>
          <w:numId w:val="196"/>
        </w:numPr>
        <w:rPr>
          <w:rFonts w:cs="Arial"/>
          <w:sz w:val="22"/>
          <w:szCs w:val="22"/>
        </w:rPr>
      </w:pPr>
      <w:r w:rsidRPr="00FF7E3A">
        <w:rPr>
          <w:rFonts w:cs="Arial"/>
          <w:sz w:val="22"/>
          <w:szCs w:val="22"/>
        </w:rPr>
        <w:t>Preventative controls as per ‘Interference with Third-party vessels’</w:t>
      </w:r>
    </w:p>
    <w:p w14:paraId="799EB24F" w14:textId="582B6A59" w:rsidR="00FF7E3A" w:rsidRPr="00FF7E3A" w:rsidRDefault="00FF7E3A" w:rsidP="00FF7E3A">
      <w:pPr>
        <w:pStyle w:val="ListParagraph0"/>
        <w:numPr>
          <w:ilvl w:val="0"/>
          <w:numId w:val="196"/>
        </w:numPr>
        <w:rPr>
          <w:rFonts w:cs="Arial"/>
          <w:sz w:val="22"/>
          <w:szCs w:val="22"/>
        </w:rPr>
      </w:pPr>
      <w:r w:rsidRPr="00FF7E3A">
        <w:rPr>
          <w:rFonts w:cs="Arial"/>
          <w:sz w:val="22"/>
          <w:szCs w:val="22"/>
        </w:rPr>
        <w:t>No refuelling will be undertaken at sea (this will be done in port).</w:t>
      </w:r>
    </w:p>
    <w:p w14:paraId="19F2BEDD" w14:textId="1090E2A1" w:rsidR="00FF7E3A" w:rsidRPr="00FF7E3A" w:rsidRDefault="00FF7E3A" w:rsidP="00FF7E3A">
      <w:pPr>
        <w:pStyle w:val="ListParagraph0"/>
        <w:numPr>
          <w:ilvl w:val="0"/>
          <w:numId w:val="196"/>
        </w:numPr>
        <w:rPr>
          <w:rFonts w:cs="Arial"/>
          <w:sz w:val="22"/>
          <w:szCs w:val="22"/>
        </w:rPr>
      </w:pPr>
      <w:r w:rsidRPr="00FF7E3A">
        <w:rPr>
          <w:rFonts w:cs="Arial"/>
          <w:sz w:val="22"/>
          <w:szCs w:val="22"/>
        </w:rPr>
        <w:t>The vessel has an approved SMPEP (or equivalent appropriate to class) that is implemented in the event of a fuel tank rupture and spill.</w:t>
      </w:r>
    </w:p>
    <w:p w14:paraId="298437D0" w14:textId="505DE667" w:rsidR="00FF7E3A" w:rsidRPr="00FF7E3A" w:rsidRDefault="00FF7E3A" w:rsidP="00FF7E3A">
      <w:pPr>
        <w:pStyle w:val="ListParagraph0"/>
        <w:numPr>
          <w:ilvl w:val="0"/>
          <w:numId w:val="196"/>
        </w:numPr>
        <w:rPr>
          <w:rFonts w:cs="Arial"/>
          <w:sz w:val="22"/>
          <w:szCs w:val="22"/>
        </w:rPr>
      </w:pPr>
      <w:r w:rsidRPr="00FF7E3A">
        <w:rPr>
          <w:rFonts w:cs="Arial"/>
          <w:sz w:val="22"/>
          <w:szCs w:val="22"/>
        </w:rPr>
        <w:t xml:space="preserve">Vessel crew members are inducted into spill response procedures.  </w:t>
      </w:r>
    </w:p>
    <w:p w14:paraId="08C7FF41" w14:textId="7B9826BE" w:rsidR="00FF7E3A" w:rsidRPr="00FF7E3A" w:rsidRDefault="00FF7E3A" w:rsidP="00FF7E3A">
      <w:pPr>
        <w:pStyle w:val="ListParagraph0"/>
        <w:numPr>
          <w:ilvl w:val="0"/>
          <w:numId w:val="196"/>
        </w:numPr>
        <w:rPr>
          <w:rFonts w:cs="Arial"/>
          <w:sz w:val="22"/>
          <w:szCs w:val="22"/>
        </w:rPr>
      </w:pPr>
      <w:r w:rsidRPr="00FF7E3A">
        <w:rPr>
          <w:rFonts w:cs="Arial"/>
          <w:sz w:val="22"/>
          <w:szCs w:val="22"/>
        </w:rPr>
        <w:t xml:space="preserve">Vessel crew is trained in spill response techniques in accordance with the SMPEP and vessel training matrix.  </w:t>
      </w:r>
    </w:p>
    <w:p w14:paraId="171347D4" w14:textId="654CD634" w:rsidR="00FF7E3A" w:rsidRPr="00FF7E3A" w:rsidRDefault="00FF7E3A" w:rsidP="00FF7E3A">
      <w:pPr>
        <w:pStyle w:val="ListParagraph0"/>
        <w:numPr>
          <w:ilvl w:val="0"/>
          <w:numId w:val="196"/>
        </w:numPr>
        <w:rPr>
          <w:rFonts w:cs="Arial"/>
          <w:sz w:val="22"/>
          <w:szCs w:val="22"/>
        </w:rPr>
      </w:pPr>
      <w:r w:rsidRPr="00FF7E3A">
        <w:rPr>
          <w:rFonts w:cs="Arial"/>
          <w:sz w:val="22"/>
          <w:szCs w:val="22"/>
        </w:rPr>
        <w:t>Prior to the proposed survey taking place, an oil spill response exercise will be conducted to test interfaces between the SMPEP, OPEP, NatPlan and VicPlan.</w:t>
      </w:r>
    </w:p>
    <w:p w14:paraId="5D621CD9" w14:textId="2C576DEA" w:rsidR="00FF7E3A" w:rsidRPr="00FF7E3A" w:rsidRDefault="00FF7E3A" w:rsidP="00FF7E3A">
      <w:pPr>
        <w:pStyle w:val="ListParagraph0"/>
        <w:numPr>
          <w:ilvl w:val="0"/>
          <w:numId w:val="196"/>
        </w:numPr>
        <w:rPr>
          <w:rFonts w:cs="Arial"/>
          <w:sz w:val="22"/>
          <w:szCs w:val="22"/>
        </w:rPr>
      </w:pPr>
      <w:r w:rsidRPr="00FF7E3A">
        <w:rPr>
          <w:rFonts w:cs="Arial"/>
          <w:sz w:val="22"/>
          <w:szCs w:val="22"/>
        </w:rPr>
        <w:t xml:space="preserve">CarbonNet will report the spill to regulatory authorities (see Section 8.8) within 2 hours of becoming aware of the spill.  </w:t>
      </w:r>
    </w:p>
    <w:p w14:paraId="11CEE094" w14:textId="788ADCCB" w:rsidR="00FF7E3A" w:rsidRPr="00FF7E3A" w:rsidRDefault="00FF7E3A" w:rsidP="00FF7E3A">
      <w:pPr>
        <w:pStyle w:val="ListParagraph0"/>
        <w:numPr>
          <w:ilvl w:val="0"/>
          <w:numId w:val="196"/>
        </w:numPr>
        <w:rPr>
          <w:rFonts w:cs="Arial"/>
          <w:sz w:val="22"/>
          <w:szCs w:val="22"/>
        </w:rPr>
      </w:pPr>
      <w:r w:rsidRPr="00FF7E3A">
        <w:rPr>
          <w:rFonts w:cs="Arial"/>
          <w:sz w:val="22"/>
          <w:szCs w:val="22"/>
        </w:rPr>
        <w:t>The Vessel Master/s will authorise actions in accordance with the vessel-specific SMPEP (or equivalent according to class) and the survey-specific OPEP to limit the escape of MDO.</w:t>
      </w:r>
    </w:p>
    <w:p w14:paraId="488A5027" w14:textId="6AE8C5A8" w:rsidR="00FF7E3A" w:rsidRPr="00FF7E3A" w:rsidRDefault="00FF7E3A" w:rsidP="00FF7E3A">
      <w:pPr>
        <w:pStyle w:val="ListParagraph0"/>
        <w:numPr>
          <w:ilvl w:val="0"/>
          <w:numId w:val="196"/>
        </w:numPr>
        <w:rPr>
          <w:rFonts w:cs="Arial"/>
          <w:sz w:val="22"/>
          <w:szCs w:val="22"/>
        </w:rPr>
      </w:pPr>
      <w:r w:rsidRPr="00FF7E3A">
        <w:rPr>
          <w:rFonts w:cs="Arial"/>
          <w:sz w:val="22"/>
          <w:szCs w:val="22"/>
        </w:rPr>
        <w:t>CarbonNet will undertake operational and scientific monitoring in accordance with the OSMP.</w:t>
      </w:r>
    </w:p>
    <w:p w14:paraId="7D31BF75" w14:textId="77777777" w:rsidR="00FF7E3A" w:rsidRDefault="00FF7E3A" w:rsidP="00D2149F">
      <w:pPr>
        <w:pStyle w:val="bodycopy"/>
        <w:rPr>
          <w:rFonts w:ascii="Arial" w:hAnsi="Arial"/>
          <w:sz w:val="22"/>
          <w:szCs w:val="22"/>
        </w:rPr>
      </w:pPr>
    </w:p>
    <w:p w14:paraId="098EEC56" w14:textId="29168D8B" w:rsidR="00FF7E3A" w:rsidRPr="00B6448F" w:rsidRDefault="00FF7E3A" w:rsidP="00FF7E3A">
      <w:pPr>
        <w:pStyle w:val="bodycopy"/>
        <w:spacing w:after="240"/>
        <w:rPr>
          <w:rFonts w:ascii="Arial" w:hAnsi="Arial"/>
          <w:sz w:val="22"/>
          <w:szCs w:val="22"/>
        </w:rPr>
      </w:pPr>
      <w:r w:rsidRPr="00B972E5">
        <w:rPr>
          <w:rFonts w:ascii="Arial" w:hAnsi="Arial"/>
          <w:sz w:val="22"/>
          <w:szCs w:val="22"/>
        </w:rPr>
        <w:t>Table 7.</w:t>
      </w:r>
      <w:r w:rsidR="001B36E7" w:rsidRPr="00B972E5">
        <w:rPr>
          <w:rFonts w:ascii="Arial" w:hAnsi="Arial"/>
          <w:sz w:val="22"/>
          <w:szCs w:val="22"/>
        </w:rPr>
        <w:t>47</w:t>
      </w:r>
      <w:r w:rsidRPr="00E968F3">
        <w:rPr>
          <w:rFonts w:ascii="Arial" w:hAnsi="Arial"/>
          <w:color w:val="FF0000"/>
          <w:sz w:val="22"/>
          <w:szCs w:val="22"/>
        </w:rPr>
        <w:t xml:space="preserve"> </w:t>
      </w:r>
      <w:r w:rsidRPr="006F65F9">
        <w:rPr>
          <w:rFonts w:ascii="Arial" w:hAnsi="Arial"/>
          <w:sz w:val="22"/>
          <w:szCs w:val="22"/>
        </w:rPr>
        <w:t xml:space="preserve">presents the </w:t>
      </w:r>
      <w:r w:rsidR="001B36E7">
        <w:rPr>
          <w:rFonts w:ascii="Arial" w:hAnsi="Arial"/>
          <w:sz w:val="22"/>
          <w:szCs w:val="22"/>
        </w:rPr>
        <w:t xml:space="preserve">residual </w:t>
      </w:r>
      <w:r w:rsidRPr="006F65F9">
        <w:rPr>
          <w:rFonts w:ascii="Arial" w:hAnsi="Arial"/>
          <w:sz w:val="22"/>
          <w:szCs w:val="22"/>
        </w:rPr>
        <w:t xml:space="preserve">risk assessment for </w:t>
      </w:r>
      <w:r>
        <w:rPr>
          <w:rFonts w:ascii="Arial" w:hAnsi="Arial"/>
          <w:sz w:val="22"/>
          <w:szCs w:val="22"/>
        </w:rPr>
        <w:t>a MDO spill</w:t>
      </w:r>
      <w:r w:rsidRPr="009D44AB">
        <w:rPr>
          <w:rFonts w:ascii="Arial" w:hAnsi="Arial"/>
          <w:sz w:val="22"/>
          <w:szCs w:val="22"/>
        </w:rPr>
        <w:t xml:space="preserve">. </w:t>
      </w:r>
    </w:p>
    <w:p w14:paraId="4B0D66A6" w14:textId="6140D893" w:rsidR="00FF7E3A" w:rsidRPr="00D157DF" w:rsidRDefault="00FF7E3A" w:rsidP="00FF7E3A">
      <w:pPr>
        <w:pStyle w:val="CaptionTables"/>
        <w:jc w:val="center"/>
        <w:rPr>
          <w:rFonts w:eastAsia="Times New Roman" w:cs="Arial"/>
          <w:bCs w:val="0"/>
          <w:color w:val="auto"/>
          <w:sz w:val="20"/>
          <w:lang w:eastAsia="en-AU"/>
        </w:rPr>
      </w:pPr>
      <w:r w:rsidRPr="00D157DF">
        <w:rPr>
          <w:rFonts w:eastAsia="Times New Roman" w:cs="Arial"/>
          <w:bCs w:val="0"/>
          <w:color w:val="auto"/>
          <w:sz w:val="20"/>
          <w:lang w:eastAsia="en-AU"/>
        </w:rPr>
        <w:t xml:space="preserve">Table </w:t>
      </w:r>
      <w:r>
        <w:rPr>
          <w:rFonts w:eastAsia="Times New Roman" w:cs="Arial"/>
          <w:bCs w:val="0"/>
          <w:color w:val="auto"/>
          <w:sz w:val="20"/>
          <w:lang w:eastAsia="en-AU"/>
        </w:rPr>
        <w:t>7.4</w:t>
      </w:r>
      <w:r w:rsidR="001B36E7">
        <w:rPr>
          <w:rFonts w:eastAsia="Times New Roman" w:cs="Arial"/>
          <w:bCs w:val="0"/>
          <w:color w:val="auto"/>
          <w:sz w:val="20"/>
          <w:lang w:eastAsia="en-AU"/>
        </w:rPr>
        <w:t>7</w:t>
      </w:r>
      <w:r w:rsidRPr="00D157DF">
        <w:rPr>
          <w:rFonts w:eastAsia="Times New Roman" w:cs="Arial"/>
          <w:bCs w:val="0"/>
          <w:color w:val="auto"/>
          <w:sz w:val="20"/>
          <w:lang w:eastAsia="en-AU"/>
        </w:rPr>
        <w:t>.</w:t>
      </w:r>
      <w:r w:rsidRPr="00D157DF">
        <w:rPr>
          <w:rFonts w:eastAsia="Times New Roman" w:cs="Arial"/>
          <w:bCs w:val="0"/>
          <w:color w:val="auto"/>
          <w:sz w:val="20"/>
          <w:lang w:eastAsia="en-AU"/>
        </w:rPr>
        <w:tab/>
      </w:r>
      <w:r w:rsidR="001B36E7">
        <w:rPr>
          <w:rFonts w:eastAsia="Times New Roman" w:cs="Arial"/>
          <w:bCs w:val="0"/>
          <w:color w:val="auto"/>
          <w:sz w:val="20"/>
          <w:lang w:eastAsia="en-AU"/>
        </w:rPr>
        <w:t>Residual r</w:t>
      </w:r>
      <w:r w:rsidRPr="00D157DF">
        <w:rPr>
          <w:rFonts w:eastAsia="Times New Roman" w:cs="Arial"/>
          <w:bCs w:val="0"/>
          <w:color w:val="auto"/>
          <w:sz w:val="20"/>
          <w:lang w:eastAsia="en-AU"/>
        </w:rPr>
        <w:t xml:space="preserve">isk assessment for </w:t>
      </w:r>
      <w:r>
        <w:rPr>
          <w:rFonts w:eastAsia="Times New Roman" w:cs="Arial"/>
          <w:bCs w:val="0"/>
          <w:color w:val="auto"/>
          <w:sz w:val="20"/>
          <w:lang w:eastAsia="en-AU"/>
        </w:rPr>
        <w:t>a MDO spill</w:t>
      </w:r>
    </w:p>
    <w:tbl>
      <w:tblPr>
        <w:tblW w:w="8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2693"/>
        <w:gridCol w:w="3011"/>
      </w:tblGrid>
      <w:tr w:rsidR="001B36E7" w:rsidRPr="00D157DF" w14:paraId="65B77657" w14:textId="77777777" w:rsidTr="00B972E5">
        <w:trPr>
          <w:cantSplit/>
        </w:trPr>
        <w:tc>
          <w:tcPr>
            <w:tcW w:w="2802" w:type="dxa"/>
            <w:shd w:val="clear" w:color="auto" w:fill="064EA8"/>
          </w:tcPr>
          <w:p w14:paraId="189CA739" w14:textId="77777777" w:rsidR="001B36E7" w:rsidRPr="00B972E5" w:rsidRDefault="001B36E7" w:rsidP="00891DE1">
            <w:pPr>
              <w:pStyle w:val="TableText"/>
              <w:spacing w:before="60" w:after="60" w:line="240" w:lineRule="auto"/>
              <w:jc w:val="center"/>
              <w:rPr>
                <w:rFonts w:cs="Arial"/>
                <w:color w:val="FFFFFF" w:themeColor="background1"/>
                <w:sz w:val="20"/>
                <w:szCs w:val="20"/>
              </w:rPr>
            </w:pPr>
            <w:r w:rsidRPr="00B972E5">
              <w:rPr>
                <w:rFonts w:cs="Arial"/>
                <w:color w:val="FFFFFF" w:themeColor="background1"/>
                <w:sz w:val="20"/>
                <w:szCs w:val="20"/>
              </w:rPr>
              <w:t>Likelihood</w:t>
            </w:r>
          </w:p>
        </w:tc>
        <w:tc>
          <w:tcPr>
            <w:tcW w:w="2693" w:type="dxa"/>
            <w:shd w:val="clear" w:color="auto" w:fill="064EA8"/>
          </w:tcPr>
          <w:p w14:paraId="4CC7EE47" w14:textId="77777777" w:rsidR="001B36E7" w:rsidRPr="00B972E5" w:rsidRDefault="001B36E7" w:rsidP="00891DE1">
            <w:pPr>
              <w:pStyle w:val="TableText"/>
              <w:spacing w:before="60" w:after="60" w:line="240" w:lineRule="auto"/>
              <w:jc w:val="center"/>
              <w:rPr>
                <w:rFonts w:cs="Arial"/>
                <w:color w:val="FFFFFF" w:themeColor="background1"/>
                <w:sz w:val="20"/>
                <w:szCs w:val="20"/>
              </w:rPr>
            </w:pPr>
            <w:r w:rsidRPr="00B972E5">
              <w:rPr>
                <w:rFonts w:cs="Arial"/>
                <w:color w:val="FFFFFF" w:themeColor="background1"/>
                <w:sz w:val="20"/>
                <w:szCs w:val="20"/>
              </w:rPr>
              <w:t>Consequence</w:t>
            </w:r>
          </w:p>
        </w:tc>
        <w:tc>
          <w:tcPr>
            <w:tcW w:w="3011" w:type="dxa"/>
            <w:shd w:val="clear" w:color="auto" w:fill="064EA8"/>
          </w:tcPr>
          <w:p w14:paraId="2D0CF8F4" w14:textId="77777777" w:rsidR="001B36E7" w:rsidRPr="00B972E5" w:rsidRDefault="001B36E7" w:rsidP="00891DE1">
            <w:pPr>
              <w:pStyle w:val="TableText"/>
              <w:spacing w:before="60" w:after="60" w:line="240" w:lineRule="auto"/>
              <w:jc w:val="center"/>
              <w:rPr>
                <w:rFonts w:cs="Arial"/>
                <w:color w:val="FFFFFF" w:themeColor="background1"/>
                <w:sz w:val="20"/>
                <w:szCs w:val="20"/>
              </w:rPr>
            </w:pPr>
            <w:r w:rsidRPr="00B972E5">
              <w:rPr>
                <w:rFonts w:cs="Arial"/>
                <w:color w:val="FFFFFF" w:themeColor="background1"/>
                <w:sz w:val="20"/>
                <w:szCs w:val="20"/>
              </w:rPr>
              <w:t>Risk rating</w:t>
            </w:r>
          </w:p>
        </w:tc>
      </w:tr>
      <w:tr w:rsidR="001B36E7" w:rsidRPr="00D157DF" w14:paraId="65FA8DDD" w14:textId="77777777" w:rsidTr="001B36E7">
        <w:trPr>
          <w:cantSplit/>
        </w:trPr>
        <w:tc>
          <w:tcPr>
            <w:tcW w:w="2802" w:type="dxa"/>
            <w:shd w:val="clear" w:color="auto" w:fill="auto"/>
          </w:tcPr>
          <w:p w14:paraId="0FEF0265" w14:textId="78D6518D" w:rsidR="001B36E7" w:rsidRDefault="001B36E7" w:rsidP="00B13721">
            <w:pPr>
              <w:pStyle w:val="TableText"/>
              <w:spacing w:before="60" w:after="60" w:line="240" w:lineRule="auto"/>
              <w:jc w:val="center"/>
              <w:rPr>
                <w:rFonts w:cs="Arial"/>
                <w:sz w:val="20"/>
                <w:szCs w:val="20"/>
              </w:rPr>
            </w:pPr>
            <w:r>
              <w:rPr>
                <w:rFonts w:cs="Arial"/>
                <w:sz w:val="20"/>
                <w:szCs w:val="20"/>
              </w:rPr>
              <w:t>Rare</w:t>
            </w:r>
          </w:p>
        </w:tc>
        <w:tc>
          <w:tcPr>
            <w:tcW w:w="2693" w:type="dxa"/>
            <w:shd w:val="clear" w:color="auto" w:fill="auto"/>
          </w:tcPr>
          <w:p w14:paraId="5F3BA333" w14:textId="0CC44814" w:rsidR="001B36E7" w:rsidRDefault="001B36E7" w:rsidP="00B13721">
            <w:pPr>
              <w:pStyle w:val="TableText"/>
              <w:spacing w:before="60" w:after="60" w:line="240" w:lineRule="auto"/>
              <w:jc w:val="center"/>
              <w:rPr>
                <w:rFonts w:cs="Arial"/>
                <w:sz w:val="20"/>
                <w:szCs w:val="20"/>
              </w:rPr>
            </w:pPr>
            <w:r>
              <w:rPr>
                <w:rFonts w:cs="Arial"/>
                <w:sz w:val="20"/>
                <w:szCs w:val="20"/>
              </w:rPr>
              <w:t>Minor</w:t>
            </w:r>
          </w:p>
        </w:tc>
        <w:tc>
          <w:tcPr>
            <w:tcW w:w="3011" w:type="dxa"/>
            <w:shd w:val="clear" w:color="auto" w:fill="73FB79"/>
          </w:tcPr>
          <w:p w14:paraId="0DF0B273" w14:textId="77777777" w:rsidR="001B36E7" w:rsidRDefault="001B36E7" w:rsidP="00B13721">
            <w:pPr>
              <w:pStyle w:val="TableText"/>
              <w:spacing w:before="60" w:after="60" w:line="240" w:lineRule="auto"/>
              <w:jc w:val="center"/>
              <w:rPr>
                <w:rFonts w:cs="Arial"/>
                <w:sz w:val="20"/>
                <w:szCs w:val="20"/>
              </w:rPr>
            </w:pPr>
            <w:r>
              <w:rPr>
                <w:rFonts w:cs="Arial"/>
                <w:sz w:val="20"/>
                <w:szCs w:val="20"/>
              </w:rPr>
              <w:t>Low</w:t>
            </w:r>
          </w:p>
        </w:tc>
      </w:tr>
    </w:tbl>
    <w:p w14:paraId="72E3B37D" w14:textId="77777777" w:rsidR="00FF7E3A" w:rsidRDefault="00FF7E3A" w:rsidP="00D2149F">
      <w:pPr>
        <w:pStyle w:val="bodycopy"/>
        <w:rPr>
          <w:rFonts w:ascii="Arial" w:hAnsi="Arial"/>
          <w:sz w:val="22"/>
          <w:szCs w:val="22"/>
        </w:rPr>
      </w:pPr>
    </w:p>
    <w:p w14:paraId="2A6619BA" w14:textId="0A26A615" w:rsidR="000A1059" w:rsidRPr="00A11CEC" w:rsidRDefault="000A1059" w:rsidP="000A1059">
      <w:pPr>
        <w:pStyle w:val="bodycopy"/>
        <w:rPr>
          <w:rFonts w:ascii="Arial" w:hAnsi="Arial"/>
          <w:sz w:val="22"/>
          <w:szCs w:val="22"/>
        </w:rPr>
      </w:pPr>
    </w:p>
    <w:p w14:paraId="6466E312" w14:textId="77777777" w:rsidR="005005E5" w:rsidRDefault="005005E5" w:rsidP="00B06843">
      <w:pPr>
        <w:ind w:left="0"/>
      </w:pPr>
    </w:p>
    <w:p w14:paraId="4126E8DD" w14:textId="5C60EEAC" w:rsidR="00F121B9" w:rsidRPr="00B03966" w:rsidRDefault="00F121B9" w:rsidP="00F121B9">
      <w:pPr>
        <w:pStyle w:val="Heading2"/>
        <w:keepLines/>
        <w:numPr>
          <w:ilvl w:val="1"/>
          <w:numId w:val="1"/>
        </w:numPr>
        <w:tabs>
          <w:tab w:val="clear" w:pos="720"/>
        </w:tabs>
        <w:spacing w:before="400" w:after="200" w:line="240" w:lineRule="auto"/>
        <w:ind w:left="709" w:hanging="709"/>
        <w:rPr>
          <w:rFonts w:cs="Times New Roman"/>
          <w:iCs w:val="0"/>
          <w:color w:val="064EA8"/>
          <w:szCs w:val="26"/>
          <w:lang w:eastAsia="en-US"/>
        </w:rPr>
      </w:pPr>
      <w:bookmarkStart w:id="1269" w:name="_Toc501535912"/>
      <w:r w:rsidRPr="00B03966">
        <w:rPr>
          <w:rFonts w:cs="Times New Roman"/>
          <w:iCs w:val="0"/>
          <w:color w:val="064EA8"/>
          <w:szCs w:val="26"/>
          <w:lang w:eastAsia="en-US"/>
        </w:rPr>
        <w:t xml:space="preserve">RISK: Oil Spill Response </w:t>
      </w:r>
      <w:r>
        <w:rPr>
          <w:rFonts w:cs="Times New Roman"/>
          <w:iCs w:val="0"/>
          <w:color w:val="064EA8"/>
          <w:szCs w:val="26"/>
          <w:lang w:eastAsia="en-US"/>
        </w:rPr>
        <w:t>Activities</w:t>
      </w:r>
      <w:bookmarkEnd w:id="1269"/>
    </w:p>
    <w:p w14:paraId="198DF918" w14:textId="77777777" w:rsidR="001C794B" w:rsidRPr="001C794B" w:rsidRDefault="001C794B" w:rsidP="001C794B">
      <w:pPr>
        <w:spacing w:after="120" w:line="240" w:lineRule="auto"/>
        <w:ind w:left="0"/>
        <w:rPr>
          <w:rFonts w:cs="Arial"/>
          <w:sz w:val="22"/>
          <w:szCs w:val="22"/>
        </w:rPr>
      </w:pPr>
      <w:bookmarkStart w:id="1270" w:name="_Toc496020281"/>
      <w:bookmarkStart w:id="1271" w:name="_Toc496020282"/>
      <w:bookmarkStart w:id="1272" w:name="_Toc496020283"/>
      <w:bookmarkStart w:id="1273" w:name="_Toc496020284"/>
      <w:bookmarkEnd w:id="1270"/>
      <w:bookmarkEnd w:id="1271"/>
      <w:bookmarkEnd w:id="1272"/>
      <w:bookmarkEnd w:id="1273"/>
      <w:r w:rsidRPr="001C794B">
        <w:rPr>
          <w:rFonts w:cs="Arial"/>
          <w:sz w:val="22"/>
          <w:szCs w:val="22"/>
        </w:rPr>
        <w:t>This section assesses the responses to the oil spill response strategies outlined in the OPEP. Table 7.48</w:t>
      </w:r>
      <w:r w:rsidRPr="001C794B">
        <w:rPr>
          <w:rFonts w:cs="Arial"/>
          <w:color w:val="FF0000"/>
          <w:sz w:val="22"/>
          <w:szCs w:val="22"/>
        </w:rPr>
        <w:t xml:space="preserve"> </w:t>
      </w:r>
      <w:r w:rsidRPr="001C794B">
        <w:rPr>
          <w:rFonts w:cs="Arial"/>
          <w:sz w:val="22"/>
          <w:szCs w:val="22"/>
        </w:rPr>
        <w:t>summarises the strategies available to respond to MDO spills, and whether they are applicable for this project.</w:t>
      </w:r>
    </w:p>
    <w:p w14:paraId="7699CED4" w14:textId="77777777" w:rsidR="001C794B" w:rsidRPr="001C794B" w:rsidRDefault="001C794B" w:rsidP="001C794B">
      <w:pPr>
        <w:ind w:left="0"/>
      </w:pPr>
    </w:p>
    <w:p w14:paraId="05A0954D" w14:textId="77777777" w:rsidR="001C794B" w:rsidRPr="001C794B" w:rsidRDefault="001C794B" w:rsidP="001C794B">
      <w:pPr>
        <w:spacing w:after="120" w:line="240" w:lineRule="auto"/>
        <w:ind w:left="0"/>
        <w:jc w:val="center"/>
        <w:rPr>
          <w:b/>
          <w:sz w:val="20"/>
          <w:szCs w:val="20"/>
        </w:rPr>
      </w:pPr>
      <w:r w:rsidRPr="001C794B">
        <w:rPr>
          <w:b/>
          <w:sz w:val="20"/>
          <w:szCs w:val="20"/>
        </w:rPr>
        <w:t>Table 7.48</w:t>
      </w:r>
      <w:r w:rsidRPr="001C794B">
        <w:rPr>
          <w:b/>
          <w:sz w:val="20"/>
          <w:szCs w:val="20"/>
        </w:rPr>
        <w:tab/>
        <w:t>Suitability of response options for MDO spills</w:t>
      </w:r>
    </w:p>
    <w:tbl>
      <w:tblPr>
        <w:tblStyle w:val="AventusDocControltable1"/>
        <w:tblW w:w="86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2592"/>
        <w:gridCol w:w="2936"/>
        <w:gridCol w:w="1468"/>
      </w:tblGrid>
      <w:tr w:rsidR="001C794B" w:rsidRPr="001C794B" w14:paraId="658A223D" w14:textId="77777777" w:rsidTr="0025636E">
        <w:trPr>
          <w:tblHeader/>
        </w:trPr>
        <w:tc>
          <w:tcPr>
            <w:tcW w:w="1702" w:type="dxa"/>
            <w:shd w:val="clear" w:color="auto" w:fill="064EA8"/>
          </w:tcPr>
          <w:p w14:paraId="7C8C6F3B" w14:textId="77777777" w:rsidR="001C794B" w:rsidRPr="001C794B" w:rsidRDefault="001C794B" w:rsidP="001C794B">
            <w:pPr>
              <w:spacing w:before="60" w:after="60" w:line="240" w:lineRule="auto"/>
              <w:ind w:left="34" w:hanging="34"/>
              <w:rPr>
                <w:rFonts w:cs="Tahoma"/>
                <w:color w:val="FFFFFF" w:themeColor="background1"/>
                <w:sz w:val="20"/>
                <w:szCs w:val="20"/>
              </w:rPr>
            </w:pPr>
            <w:r w:rsidRPr="001C794B">
              <w:rPr>
                <w:rFonts w:cs="Arial"/>
                <w:color w:val="FFFFFF" w:themeColor="background1"/>
                <w:sz w:val="20"/>
                <w:szCs w:val="20"/>
              </w:rPr>
              <w:t>Response option</w:t>
            </w:r>
          </w:p>
        </w:tc>
        <w:tc>
          <w:tcPr>
            <w:tcW w:w="2592" w:type="dxa"/>
            <w:shd w:val="clear" w:color="auto" w:fill="064EA8"/>
          </w:tcPr>
          <w:p w14:paraId="3294167B" w14:textId="77777777" w:rsidR="001C794B" w:rsidRPr="001C794B" w:rsidRDefault="001C794B" w:rsidP="001C794B">
            <w:pPr>
              <w:spacing w:before="60" w:after="60" w:line="240" w:lineRule="auto"/>
              <w:ind w:left="0"/>
              <w:jc w:val="center"/>
              <w:rPr>
                <w:rFonts w:cs="Tahoma"/>
                <w:color w:val="FFFFFF" w:themeColor="background1"/>
                <w:sz w:val="20"/>
                <w:szCs w:val="20"/>
              </w:rPr>
            </w:pPr>
            <w:r w:rsidRPr="001C794B">
              <w:rPr>
                <w:rFonts w:cs="Arial"/>
                <w:color w:val="FFFFFF" w:themeColor="background1"/>
                <w:sz w:val="20"/>
                <w:szCs w:val="20"/>
              </w:rPr>
              <w:t>Description</w:t>
            </w:r>
          </w:p>
        </w:tc>
        <w:tc>
          <w:tcPr>
            <w:tcW w:w="2936" w:type="dxa"/>
            <w:shd w:val="clear" w:color="auto" w:fill="064EA8"/>
          </w:tcPr>
          <w:p w14:paraId="762F43AC" w14:textId="77777777" w:rsidR="001C794B" w:rsidRPr="001C794B" w:rsidRDefault="001C794B" w:rsidP="001C794B">
            <w:pPr>
              <w:spacing w:before="60" w:after="60" w:line="240" w:lineRule="auto"/>
              <w:ind w:left="0"/>
              <w:jc w:val="center"/>
              <w:rPr>
                <w:rFonts w:cs="Tahoma"/>
                <w:color w:val="FFFFFF" w:themeColor="background1"/>
                <w:sz w:val="20"/>
                <w:szCs w:val="20"/>
              </w:rPr>
            </w:pPr>
            <w:r w:rsidRPr="001C794B">
              <w:rPr>
                <w:rFonts w:cs="Arial"/>
                <w:color w:val="FFFFFF" w:themeColor="background1"/>
                <w:sz w:val="20"/>
                <w:szCs w:val="20"/>
              </w:rPr>
              <w:t>Assessment</w:t>
            </w:r>
          </w:p>
        </w:tc>
        <w:tc>
          <w:tcPr>
            <w:tcW w:w="1468" w:type="dxa"/>
            <w:shd w:val="clear" w:color="auto" w:fill="064EA8"/>
          </w:tcPr>
          <w:p w14:paraId="0E441945" w14:textId="77777777" w:rsidR="001C794B" w:rsidRPr="001C794B" w:rsidRDefault="001C794B" w:rsidP="001C794B">
            <w:pPr>
              <w:spacing w:before="60" w:after="60" w:line="240" w:lineRule="auto"/>
              <w:ind w:left="0"/>
              <w:rPr>
                <w:rFonts w:cs="Tahoma"/>
                <w:color w:val="FFFFFF" w:themeColor="background1"/>
                <w:sz w:val="20"/>
                <w:szCs w:val="20"/>
              </w:rPr>
            </w:pPr>
            <w:r w:rsidRPr="001C794B">
              <w:rPr>
                <w:rFonts w:cs="Arial"/>
                <w:color w:val="FFFFFF" w:themeColor="background1"/>
                <w:sz w:val="20"/>
                <w:szCs w:val="20"/>
              </w:rPr>
              <w:t>Suitable for this project?</w:t>
            </w:r>
          </w:p>
        </w:tc>
      </w:tr>
      <w:tr w:rsidR="001C794B" w:rsidRPr="001C794B" w14:paraId="25870F36" w14:textId="77777777" w:rsidTr="0025636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7F506482"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Source control</w:t>
            </w:r>
          </w:p>
        </w:tc>
        <w:tc>
          <w:tcPr>
            <w:tcW w:w="2592" w:type="dxa"/>
          </w:tcPr>
          <w:p w14:paraId="4A2CD413"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Limit the flow of hydrocarbons from the vessel.</w:t>
            </w:r>
          </w:p>
        </w:tc>
        <w:tc>
          <w:tcPr>
            <w:tcW w:w="2936" w:type="dxa"/>
          </w:tcPr>
          <w:p w14:paraId="34D0B8B1"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Can be achieved through implementation of the vessel-specific SMPEP.</w:t>
            </w:r>
          </w:p>
        </w:tc>
        <w:tc>
          <w:tcPr>
            <w:tcW w:w="1468" w:type="dxa"/>
          </w:tcPr>
          <w:p w14:paraId="464A2555" w14:textId="77777777" w:rsidR="001C794B" w:rsidRPr="001C794B" w:rsidRDefault="001C794B" w:rsidP="001C794B">
            <w:pPr>
              <w:spacing w:before="60" w:after="60" w:line="240" w:lineRule="auto"/>
              <w:ind w:left="34" w:hanging="34"/>
              <w:rPr>
                <w:rFonts w:cs="Tahoma"/>
                <w:b/>
                <w:color w:val="008000"/>
                <w:sz w:val="20"/>
                <w:szCs w:val="20"/>
              </w:rPr>
            </w:pPr>
            <w:r w:rsidRPr="001C794B">
              <w:rPr>
                <w:rFonts w:cs="Tahoma"/>
                <w:b/>
                <w:color w:val="008000"/>
                <w:sz w:val="20"/>
                <w:szCs w:val="20"/>
              </w:rPr>
              <w:t>Yes</w:t>
            </w:r>
          </w:p>
        </w:tc>
      </w:tr>
      <w:tr w:rsidR="001C794B" w:rsidRPr="001C794B" w14:paraId="42FB58A9" w14:textId="77777777" w:rsidTr="0025636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495F6295"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Surveillance and tracking</w:t>
            </w:r>
          </w:p>
        </w:tc>
        <w:tc>
          <w:tcPr>
            <w:tcW w:w="2592" w:type="dxa"/>
          </w:tcPr>
          <w:p w14:paraId="6B55D168"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Direct observation – Aerial or marine, vector calculations; OSTM, use of satellite-tracking buoys.</w:t>
            </w:r>
          </w:p>
        </w:tc>
        <w:tc>
          <w:tcPr>
            <w:tcW w:w="2936" w:type="dxa"/>
          </w:tcPr>
          <w:p w14:paraId="564F7678"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MDO spreads rapidly to thin layers.</w:t>
            </w:r>
          </w:p>
          <w:p w14:paraId="4180C4D1"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Maintains situational awareness. Aerial is more effective than vessel to inform spill response.</w:t>
            </w:r>
          </w:p>
        </w:tc>
        <w:tc>
          <w:tcPr>
            <w:tcW w:w="1468" w:type="dxa"/>
          </w:tcPr>
          <w:p w14:paraId="040B5CFF" w14:textId="77777777" w:rsidR="001C794B" w:rsidRPr="001C794B" w:rsidRDefault="001C794B" w:rsidP="001C794B">
            <w:pPr>
              <w:spacing w:before="60" w:after="60" w:line="240" w:lineRule="auto"/>
              <w:ind w:left="0"/>
              <w:rPr>
                <w:rFonts w:cs="Tahoma"/>
                <w:b/>
                <w:color w:val="008000"/>
                <w:sz w:val="20"/>
                <w:szCs w:val="20"/>
              </w:rPr>
            </w:pPr>
            <w:r w:rsidRPr="001C794B">
              <w:rPr>
                <w:rFonts w:cs="Tahoma"/>
                <w:b/>
                <w:color w:val="008000"/>
                <w:sz w:val="20"/>
                <w:szCs w:val="20"/>
              </w:rPr>
              <w:t>Yes</w:t>
            </w:r>
          </w:p>
        </w:tc>
      </w:tr>
      <w:tr w:rsidR="001C794B" w:rsidRPr="001C794B" w14:paraId="7592DCAB" w14:textId="77777777" w:rsidTr="0025636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3F8523CF"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lastRenderedPageBreak/>
              <w:t>Natural degradation</w:t>
            </w:r>
          </w:p>
        </w:tc>
        <w:tc>
          <w:tcPr>
            <w:tcW w:w="2592" w:type="dxa"/>
          </w:tcPr>
          <w:p w14:paraId="71BBA2EC" w14:textId="6099AB60" w:rsidR="001C794B" w:rsidRPr="001C794B" w:rsidRDefault="001C794B" w:rsidP="008D67FF">
            <w:pPr>
              <w:spacing w:before="60" w:after="60" w:line="240" w:lineRule="auto"/>
              <w:ind w:left="0"/>
              <w:rPr>
                <w:rFonts w:cs="Tahoma"/>
                <w:sz w:val="20"/>
                <w:szCs w:val="20"/>
              </w:rPr>
            </w:pPr>
            <w:r w:rsidRPr="001C794B">
              <w:rPr>
                <w:rFonts w:cs="Tahoma"/>
                <w:sz w:val="20"/>
                <w:szCs w:val="20"/>
              </w:rPr>
              <w:t xml:space="preserve">This response occurs regardless of intervention. </w:t>
            </w:r>
          </w:p>
        </w:tc>
        <w:tc>
          <w:tcPr>
            <w:tcW w:w="2936" w:type="dxa"/>
          </w:tcPr>
          <w:p w14:paraId="4666390F"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 xml:space="preserve">For MDO spills, natural degradation is often the best response, in so far as it avoids the additional impacts associated with invention activities. </w:t>
            </w:r>
          </w:p>
        </w:tc>
        <w:tc>
          <w:tcPr>
            <w:tcW w:w="1468" w:type="dxa"/>
          </w:tcPr>
          <w:p w14:paraId="5AA7E1EB" w14:textId="77777777" w:rsidR="001C794B" w:rsidRPr="001C794B" w:rsidRDefault="001C794B" w:rsidP="001C794B">
            <w:pPr>
              <w:spacing w:before="60" w:after="60" w:line="240" w:lineRule="auto"/>
              <w:ind w:left="0"/>
              <w:rPr>
                <w:rFonts w:cs="Tahoma"/>
                <w:b/>
                <w:color w:val="FF0000"/>
                <w:sz w:val="20"/>
                <w:szCs w:val="20"/>
              </w:rPr>
            </w:pPr>
            <w:r w:rsidRPr="001C794B">
              <w:rPr>
                <w:rFonts w:cs="Tahoma"/>
                <w:b/>
                <w:color w:val="008000"/>
                <w:sz w:val="20"/>
                <w:szCs w:val="20"/>
              </w:rPr>
              <w:t>Yes</w:t>
            </w:r>
          </w:p>
        </w:tc>
      </w:tr>
      <w:tr w:rsidR="001C794B" w:rsidRPr="001C794B" w14:paraId="6A08C0B2" w14:textId="77777777" w:rsidTr="0025636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1E288655"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Dispersant application</w:t>
            </w:r>
          </w:p>
        </w:tc>
        <w:tc>
          <w:tcPr>
            <w:tcW w:w="2592" w:type="dxa"/>
          </w:tcPr>
          <w:p w14:paraId="13B62840"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Breaks down surface spill and draws droplets into upper layers of water column.</w:t>
            </w:r>
          </w:p>
          <w:p w14:paraId="4E32C9A9"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Increases biodegradation and weathering.</w:t>
            </w:r>
          </w:p>
        </w:tc>
        <w:tc>
          <w:tcPr>
            <w:tcW w:w="2936" w:type="dxa"/>
          </w:tcPr>
          <w:p w14:paraId="0D6F2AE5"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MDO, while having a small persistent fraction, spreads rapidly to thin layers. Dispersant application can result in punch-through where dispersant passes into the water column without breaking oil layer down.</w:t>
            </w:r>
          </w:p>
        </w:tc>
        <w:tc>
          <w:tcPr>
            <w:tcW w:w="1468" w:type="dxa"/>
          </w:tcPr>
          <w:p w14:paraId="7CCD4624" w14:textId="77777777" w:rsidR="001C794B" w:rsidRPr="001C794B" w:rsidRDefault="001C794B" w:rsidP="001C794B">
            <w:pPr>
              <w:spacing w:before="60" w:after="60" w:line="240" w:lineRule="auto"/>
              <w:ind w:left="0"/>
              <w:rPr>
                <w:rFonts w:cs="Tahoma"/>
                <w:b/>
                <w:color w:val="FF0000"/>
                <w:sz w:val="20"/>
                <w:szCs w:val="20"/>
              </w:rPr>
            </w:pPr>
            <w:r w:rsidRPr="001C794B">
              <w:rPr>
                <w:rFonts w:cs="Tahoma"/>
                <w:b/>
                <w:color w:val="FF0000"/>
                <w:sz w:val="20"/>
                <w:szCs w:val="20"/>
              </w:rPr>
              <w:t>No</w:t>
            </w:r>
          </w:p>
        </w:tc>
      </w:tr>
      <w:tr w:rsidR="001C794B" w:rsidRPr="001C794B" w14:paraId="4930753B" w14:textId="77777777" w:rsidTr="0025636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6CD562F9"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In-situ burning (ISB)</w:t>
            </w:r>
          </w:p>
        </w:tc>
        <w:tc>
          <w:tcPr>
            <w:tcW w:w="2592" w:type="dxa"/>
          </w:tcPr>
          <w:p w14:paraId="5142E364"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 xml:space="preserve">Controlled ISB involves the controlled burning of spilled hydrocarbons in order to rapidly reduce the volume of oil on the water’s surface, thereby reducing its spread to sensitive receptors. </w:t>
            </w:r>
          </w:p>
        </w:tc>
        <w:tc>
          <w:tcPr>
            <w:tcW w:w="2936" w:type="dxa"/>
          </w:tcPr>
          <w:p w14:paraId="0E1A539D"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ISB is only suitable for use on hydrocarbons &gt;1-2 mm thick, with calm waves and light winds. It also requires fire-resistant booming (which is not readily available in Australia). MDO rapidly spreads to less than 10 µm (0.01 mm), making this response unsuitable.</w:t>
            </w:r>
          </w:p>
        </w:tc>
        <w:tc>
          <w:tcPr>
            <w:tcW w:w="1468" w:type="dxa"/>
          </w:tcPr>
          <w:p w14:paraId="2306712C" w14:textId="77777777" w:rsidR="001C794B" w:rsidRPr="001C794B" w:rsidRDefault="001C794B" w:rsidP="001C794B">
            <w:pPr>
              <w:spacing w:before="60" w:after="60" w:line="240" w:lineRule="auto"/>
              <w:ind w:left="0"/>
              <w:rPr>
                <w:rFonts w:cs="Tahoma"/>
                <w:b/>
                <w:color w:val="FF0000"/>
                <w:sz w:val="20"/>
                <w:szCs w:val="20"/>
              </w:rPr>
            </w:pPr>
            <w:r w:rsidRPr="001C794B">
              <w:rPr>
                <w:rFonts w:cs="Tahoma"/>
                <w:b/>
                <w:color w:val="FF0000"/>
                <w:sz w:val="20"/>
                <w:szCs w:val="20"/>
              </w:rPr>
              <w:t>No</w:t>
            </w:r>
          </w:p>
        </w:tc>
      </w:tr>
      <w:tr w:rsidR="001C794B" w:rsidRPr="001C794B" w14:paraId="4FACDE65" w14:textId="77777777" w:rsidTr="0025636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630E46E0"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Containment and recovery</w:t>
            </w:r>
          </w:p>
        </w:tc>
        <w:tc>
          <w:tcPr>
            <w:tcW w:w="2592" w:type="dxa"/>
          </w:tcPr>
          <w:p w14:paraId="35C1F58A"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Use of booms and skimmers to contain surface oil in the open ocean or in nearshore environments. Relies on calm conditions and thicknesses &gt;10 µm to collect.</w:t>
            </w:r>
          </w:p>
        </w:tc>
        <w:tc>
          <w:tcPr>
            <w:tcW w:w="2936" w:type="dxa"/>
          </w:tcPr>
          <w:p w14:paraId="6CF573C4"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 xml:space="preserve">MDO spreads rapidly to less than 10 µm, usually in less time than is required to deploy this equipment.  </w:t>
            </w:r>
          </w:p>
        </w:tc>
        <w:tc>
          <w:tcPr>
            <w:tcW w:w="1468" w:type="dxa"/>
          </w:tcPr>
          <w:p w14:paraId="1F670EBB" w14:textId="77777777" w:rsidR="001C794B" w:rsidRPr="001C794B" w:rsidRDefault="001C794B" w:rsidP="001C794B">
            <w:pPr>
              <w:spacing w:before="60" w:after="60" w:line="240" w:lineRule="auto"/>
              <w:ind w:left="0"/>
              <w:rPr>
                <w:rFonts w:cs="Tahoma"/>
                <w:b/>
                <w:color w:val="FF0000"/>
                <w:sz w:val="20"/>
                <w:szCs w:val="20"/>
              </w:rPr>
            </w:pPr>
            <w:r w:rsidRPr="001C794B">
              <w:rPr>
                <w:rFonts w:cs="Tahoma"/>
                <w:b/>
                <w:color w:val="FF0000"/>
                <w:sz w:val="20"/>
                <w:szCs w:val="20"/>
              </w:rPr>
              <w:t>No</w:t>
            </w:r>
          </w:p>
        </w:tc>
      </w:tr>
      <w:tr w:rsidR="001C794B" w:rsidRPr="001C794B" w14:paraId="71FBB863" w14:textId="77777777" w:rsidTr="0025636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35DCA6F4"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Protection and deflection</w:t>
            </w:r>
          </w:p>
        </w:tc>
        <w:tc>
          <w:tcPr>
            <w:tcW w:w="2592" w:type="dxa"/>
          </w:tcPr>
          <w:p w14:paraId="6CFDA572"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Booms and skimmers deployed to protect environmental sensitivities, such as estuary inlets. Environmental conditions such as strong currents and waves can limit the application of this response.</w:t>
            </w:r>
          </w:p>
          <w:p w14:paraId="59C0F934" w14:textId="77777777" w:rsidR="001C794B" w:rsidRPr="001C794B" w:rsidRDefault="001C794B" w:rsidP="001C794B">
            <w:pPr>
              <w:spacing w:before="60" w:after="60" w:line="240" w:lineRule="auto"/>
              <w:ind w:left="0"/>
              <w:rPr>
                <w:rFonts w:cs="Tahoma"/>
                <w:sz w:val="20"/>
                <w:szCs w:val="20"/>
              </w:rPr>
            </w:pPr>
          </w:p>
        </w:tc>
        <w:tc>
          <w:tcPr>
            <w:tcW w:w="2936" w:type="dxa"/>
          </w:tcPr>
          <w:p w14:paraId="5B252438"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MDO has persistent components and has the potential to reach shorelines. Effective in protecting open estuaries that have environmental sensitivities (aquatic vegetation, recreational users).</w:t>
            </w:r>
          </w:p>
        </w:tc>
        <w:tc>
          <w:tcPr>
            <w:tcW w:w="1468" w:type="dxa"/>
          </w:tcPr>
          <w:p w14:paraId="3AEB5A80" w14:textId="77777777" w:rsidR="001C794B" w:rsidRPr="001C794B" w:rsidRDefault="001C794B" w:rsidP="001C794B">
            <w:pPr>
              <w:spacing w:before="60" w:after="60" w:line="240" w:lineRule="auto"/>
              <w:ind w:left="0"/>
              <w:rPr>
                <w:rFonts w:cs="Tahoma"/>
                <w:b/>
                <w:color w:val="008000"/>
                <w:sz w:val="20"/>
                <w:szCs w:val="20"/>
              </w:rPr>
            </w:pPr>
            <w:r w:rsidRPr="001C794B">
              <w:rPr>
                <w:rFonts w:cs="Tahoma"/>
                <w:b/>
                <w:color w:val="008000"/>
                <w:sz w:val="20"/>
                <w:szCs w:val="20"/>
              </w:rPr>
              <w:t>Yes</w:t>
            </w:r>
          </w:p>
        </w:tc>
      </w:tr>
      <w:tr w:rsidR="001C794B" w:rsidRPr="001C794B" w14:paraId="5CFFBF8A" w14:textId="77777777" w:rsidTr="0025636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60DDB0A3"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Shoreline clean-up</w:t>
            </w:r>
          </w:p>
        </w:tc>
        <w:tc>
          <w:tcPr>
            <w:tcW w:w="2592" w:type="dxa"/>
          </w:tcPr>
          <w:p w14:paraId="33CE5507"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 xml:space="preserve">Where shoreline impact is predicted, shoreline clean-up assessment technique (SCAT) assessment is initiated. </w:t>
            </w:r>
          </w:p>
          <w:p w14:paraId="0DA0B208"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 xml:space="preserve">If SCAT and NEBA assess clean-up to have a net environment benefit, clean-up can be initiated. Shoreline clean-up can take several forms, </w:t>
            </w:r>
            <w:r w:rsidRPr="001C794B">
              <w:rPr>
                <w:rFonts w:cs="Tahoma"/>
                <w:sz w:val="20"/>
                <w:szCs w:val="20"/>
              </w:rPr>
              <w:lastRenderedPageBreak/>
              <w:t>including manual removal, mechanical removal, washing and vacuum recovery.</w:t>
            </w:r>
          </w:p>
        </w:tc>
        <w:tc>
          <w:tcPr>
            <w:tcW w:w="2936" w:type="dxa"/>
          </w:tcPr>
          <w:p w14:paraId="68DA9121"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lastRenderedPageBreak/>
              <w:t xml:space="preserve">MDO residues quickly infiltrate sand where it is susceptible to remobilisation by wave action (reworking) until it has naturally degraded. This quick infiltration of sediments makes it very difficult to recover without also recovering vast quantities of shoreline sediments.  </w:t>
            </w:r>
          </w:p>
          <w:p w14:paraId="23FE8FFB"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 xml:space="preserve">MDO does not discolour </w:t>
            </w:r>
            <w:r w:rsidRPr="001C794B">
              <w:rPr>
                <w:rFonts w:cs="Tahoma"/>
                <w:sz w:val="20"/>
                <w:szCs w:val="20"/>
              </w:rPr>
              <w:lastRenderedPageBreak/>
              <w:t xml:space="preserve">shoreline as much as other hydrocarbon types. Manual collection techniques are likely to have limited effectiveness. </w:t>
            </w:r>
          </w:p>
        </w:tc>
        <w:tc>
          <w:tcPr>
            <w:tcW w:w="1468" w:type="dxa"/>
          </w:tcPr>
          <w:p w14:paraId="77E666B9" w14:textId="77777777" w:rsidR="001C794B" w:rsidRPr="001C794B" w:rsidRDefault="001C794B" w:rsidP="001C794B">
            <w:pPr>
              <w:spacing w:before="60" w:after="60" w:line="240" w:lineRule="auto"/>
              <w:ind w:left="0"/>
              <w:rPr>
                <w:rFonts w:cs="Tahoma"/>
                <w:b/>
                <w:color w:val="E36C0A" w:themeColor="accent6" w:themeShade="BF"/>
                <w:sz w:val="20"/>
                <w:szCs w:val="20"/>
              </w:rPr>
            </w:pPr>
            <w:r w:rsidRPr="001C794B">
              <w:rPr>
                <w:rFonts w:cs="Tahoma"/>
                <w:b/>
                <w:color w:val="FF0000"/>
                <w:sz w:val="20"/>
                <w:szCs w:val="20"/>
              </w:rPr>
              <w:lastRenderedPageBreak/>
              <w:t>Possible, but unlikely</w:t>
            </w:r>
          </w:p>
        </w:tc>
      </w:tr>
      <w:tr w:rsidR="001C794B" w:rsidRPr="001C794B" w14:paraId="5CDD0148" w14:textId="77777777" w:rsidTr="0025636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5A640665"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Oiled wildlife response</w:t>
            </w:r>
          </w:p>
        </w:tc>
        <w:tc>
          <w:tcPr>
            <w:tcW w:w="2592" w:type="dxa"/>
          </w:tcPr>
          <w:p w14:paraId="4A5634CC"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Consists of capturing, cleaning and rehabilitating oiled wildlife. It may also include hazing or pre-spill captive management.</w:t>
            </w:r>
          </w:p>
          <w:p w14:paraId="6834435C" w14:textId="77777777" w:rsidR="001C794B" w:rsidRPr="001C794B" w:rsidRDefault="001C794B" w:rsidP="001C794B">
            <w:pPr>
              <w:spacing w:before="60" w:after="60" w:line="240" w:lineRule="auto"/>
              <w:ind w:left="0"/>
              <w:rPr>
                <w:rFonts w:cs="Tahoma"/>
                <w:sz w:val="20"/>
                <w:szCs w:val="20"/>
              </w:rPr>
            </w:pPr>
          </w:p>
        </w:tc>
        <w:tc>
          <w:tcPr>
            <w:tcW w:w="2936" w:type="dxa"/>
          </w:tcPr>
          <w:p w14:paraId="380904AD"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Given the small area of MDO at moderate and high thresholds (that may cause impacts to wildlife), large-scale wildlife response is not predicted. There is the potential for individual birds to be affected along adjacent shorelines.</w:t>
            </w:r>
          </w:p>
        </w:tc>
        <w:tc>
          <w:tcPr>
            <w:tcW w:w="1468" w:type="dxa"/>
          </w:tcPr>
          <w:p w14:paraId="4D053C09" w14:textId="77777777" w:rsidR="001C794B" w:rsidRPr="001C794B" w:rsidRDefault="001C794B" w:rsidP="001C794B">
            <w:pPr>
              <w:spacing w:before="60" w:after="60" w:line="240" w:lineRule="auto"/>
              <w:ind w:left="0"/>
              <w:rPr>
                <w:rFonts w:cs="Tahoma"/>
                <w:sz w:val="20"/>
                <w:szCs w:val="20"/>
              </w:rPr>
            </w:pPr>
            <w:r w:rsidRPr="001C794B">
              <w:rPr>
                <w:rFonts w:cs="Tahoma"/>
                <w:b/>
                <w:color w:val="008000"/>
                <w:sz w:val="20"/>
                <w:szCs w:val="20"/>
              </w:rPr>
              <w:t>Yes</w:t>
            </w:r>
          </w:p>
        </w:tc>
      </w:tr>
    </w:tbl>
    <w:p w14:paraId="25870318" w14:textId="77777777" w:rsidR="001C794B" w:rsidRPr="001C794B" w:rsidRDefault="001C794B" w:rsidP="001C794B">
      <w:pPr>
        <w:ind w:left="0"/>
      </w:pPr>
    </w:p>
    <w:p w14:paraId="478E84B0" w14:textId="77777777" w:rsidR="001C794B" w:rsidRPr="001C794B" w:rsidRDefault="001C794B" w:rsidP="001C794B">
      <w:pPr>
        <w:spacing w:after="120" w:line="240" w:lineRule="auto"/>
        <w:ind w:left="0"/>
        <w:rPr>
          <w:rFonts w:cs="Arial"/>
          <w:sz w:val="22"/>
          <w:szCs w:val="22"/>
        </w:rPr>
      </w:pPr>
      <w:r w:rsidRPr="001C794B">
        <w:rPr>
          <w:rFonts w:cs="Arial"/>
          <w:sz w:val="22"/>
          <w:szCs w:val="22"/>
        </w:rPr>
        <w:t>In accordance with the NOPSEMA Oil Pollution Risk Management Information Paper (IP1488, Rev 1, February 2017), each of the response identified as being suitable for this activity is assessed to ensure the risks associated with the response are reduced to ALARP and acceptable levels.</w:t>
      </w:r>
    </w:p>
    <w:p w14:paraId="41852D07" w14:textId="77777777" w:rsidR="001C794B" w:rsidRPr="001C794B" w:rsidRDefault="001C794B" w:rsidP="001C794B">
      <w:pPr>
        <w:ind w:left="0"/>
        <w:rPr>
          <w:rFonts w:cs="Tahoma"/>
          <w:sz w:val="22"/>
          <w:szCs w:val="22"/>
        </w:rPr>
      </w:pPr>
      <w:r w:rsidRPr="001C794B">
        <w:rPr>
          <w:rFonts w:cs="Tahoma"/>
          <w:sz w:val="22"/>
          <w:szCs w:val="22"/>
        </w:rPr>
        <w:t>Source control and natural degradation are not assessed here, as the former does not introduce any risks additional to the spilled oil, and the latter is a natural process that takes place regardless of human intervention.</w:t>
      </w:r>
    </w:p>
    <w:p w14:paraId="2D1D3E42" w14:textId="77777777" w:rsidR="001C794B" w:rsidRPr="001C794B" w:rsidRDefault="001C794B" w:rsidP="001C794B">
      <w:pPr>
        <w:ind w:left="0"/>
        <w:rPr>
          <w:rFonts w:cs="Tahoma"/>
          <w:sz w:val="22"/>
          <w:szCs w:val="22"/>
        </w:rPr>
      </w:pPr>
    </w:p>
    <w:p w14:paraId="55EA4636" w14:textId="7BDCDB39" w:rsidR="001C794B" w:rsidRPr="001C794B" w:rsidRDefault="001C794B" w:rsidP="001C794B">
      <w:pPr>
        <w:spacing w:after="120" w:line="240" w:lineRule="auto"/>
        <w:ind w:left="0"/>
        <w:rPr>
          <w:rFonts w:cs="Tahoma"/>
          <w:sz w:val="22"/>
          <w:szCs w:val="22"/>
        </w:rPr>
      </w:pPr>
      <w:r w:rsidRPr="001C794B">
        <w:rPr>
          <w:rFonts w:cs="Tahoma"/>
          <w:sz w:val="22"/>
          <w:szCs w:val="22"/>
        </w:rPr>
        <w:t>The three levels of marine inci</w:t>
      </w:r>
      <w:r w:rsidR="00C56475">
        <w:rPr>
          <w:rFonts w:cs="Tahoma"/>
          <w:sz w:val="22"/>
          <w:szCs w:val="22"/>
        </w:rPr>
        <w:t>dents are detailed in Table 7.49</w:t>
      </w:r>
      <w:r w:rsidRPr="001C794B">
        <w:rPr>
          <w:rFonts w:cs="Tahoma"/>
          <w:sz w:val="22"/>
          <w:szCs w:val="22"/>
        </w:rPr>
        <w:t>, using guidance from the State Maritime Emergencies (non-search and rescue) Plan (EMV, 2016) (</w:t>
      </w:r>
      <w:r w:rsidRPr="001C794B">
        <w:rPr>
          <w:sz w:val="22"/>
          <w:szCs w:val="22"/>
        </w:rPr>
        <w:t>herein referred to at Maritime Emergencies NSR Plan)</w:t>
      </w:r>
      <w:r w:rsidRPr="001C794B">
        <w:rPr>
          <w:rFonts w:cs="Tahoma"/>
          <w:sz w:val="22"/>
          <w:szCs w:val="22"/>
        </w:rPr>
        <w:t xml:space="preserve"> and The National Plan (AMSA, 2014). The scenario of a 306 m</w:t>
      </w:r>
      <w:r w:rsidRPr="001C794B">
        <w:rPr>
          <w:rFonts w:cs="Tahoma"/>
          <w:sz w:val="22"/>
          <w:szCs w:val="22"/>
          <w:vertAlign w:val="superscript"/>
        </w:rPr>
        <w:t>3</w:t>
      </w:r>
      <w:r w:rsidRPr="001C794B">
        <w:rPr>
          <w:rFonts w:cs="Tahoma"/>
          <w:sz w:val="22"/>
          <w:szCs w:val="22"/>
        </w:rPr>
        <w:t xml:space="preserve"> spill falls into a Level 3 category.</w:t>
      </w:r>
    </w:p>
    <w:p w14:paraId="17947676" w14:textId="77777777" w:rsidR="001C794B" w:rsidRPr="001C794B" w:rsidRDefault="001C794B" w:rsidP="001C794B">
      <w:pPr>
        <w:spacing w:after="120" w:line="240" w:lineRule="auto"/>
        <w:ind w:left="0"/>
        <w:rPr>
          <w:rFonts w:cs="Tahoma"/>
          <w:sz w:val="22"/>
          <w:szCs w:val="22"/>
        </w:rPr>
      </w:pPr>
    </w:p>
    <w:p w14:paraId="35915579" w14:textId="6D687A73" w:rsidR="001C794B" w:rsidRPr="001C794B" w:rsidRDefault="00C56475" w:rsidP="001C794B">
      <w:pPr>
        <w:spacing w:after="120" w:line="240" w:lineRule="auto"/>
        <w:ind w:left="0"/>
        <w:jc w:val="center"/>
        <w:rPr>
          <w:b/>
          <w:sz w:val="20"/>
          <w:szCs w:val="20"/>
        </w:rPr>
      </w:pPr>
      <w:r>
        <w:rPr>
          <w:b/>
          <w:sz w:val="20"/>
          <w:szCs w:val="20"/>
        </w:rPr>
        <w:t>Table 7.49</w:t>
      </w:r>
      <w:r w:rsidR="001C794B" w:rsidRPr="001C794B">
        <w:rPr>
          <w:b/>
          <w:sz w:val="20"/>
          <w:szCs w:val="20"/>
        </w:rPr>
        <w:t>.</w:t>
      </w:r>
      <w:r w:rsidR="001C794B" w:rsidRPr="001C794B">
        <w:rPr>
          <w:b/>
          <w:sz w:val="20"/>
          <w:szCs w:val="20"/>
        </w:rPr>
        <w:tab/>
        <w:t>Suitability of response options for MDO spills</w:t>
      </w:r>
    </w:p>
    <w:tbl>
      <w:tblPr>
        <w:tblStyle w:val="AventusDocControltable1"/>
        <w:tblW w:w="86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5"/>
        <w:gridCol w:w="2201"/>
        <w:gridCol w:w="2687"/>
        <w:gridCol w:w="2315"/>
      </w:tblGrid>
      <w:tr w:rsidR="001C794B" w:rsidRPr="001C794B" w14:paraId="748ADA16" w14:textId="77777777" w:rsidTr="0025636E">
        <w:trPr>
          <w:tblHeader/>
        </w:trPr>
        <w:tc>
          <w:tcPr>
            <w:tcW w:w="1495" w:type="dxa"/>
            <w:vMerge w:val="restart"/>
            <w:shd w:val="clear" w:color="auto" w:fill="064EA8"/>
            <w:vAlign w:val="center"/>
          </w:tcPr>
          <w:p w14:paraId="2388DD2C" w14:textId="77777777" w:rsidR="001C794B" w:rsidRPr="001C794B" w:rsidRDefault="001C794B" w:rsidP="001C794B">
            <w:pPr>
              <w:spacing w:before="60" w:after="60" w:line="240" w:lineRule="auto"/>
              <w:ind w:left="34" w:hanging="34"/>
              <w:rPr>
                <w:rFonts w:cs="Tahoma"/>
                <w:color w:val="FFFFFF" w:themeColor="background1"/>
                <w:sz w:val="20"/>
                <w:szCs w:val="20"/>
              </w:rPr>
            </w:pPr>
            <w:r w:rsidRPr="001C794B">
              <w:rPr>
                <w:rFonts w:cs="Tahoma"/>
                <w:color w:val="FFFFFF" w:themeColor="background1"/>
                <w:sz w:val="20"/>
                <w:szCs w:val="20"/>
              </w:rPr>
              <w:t>Guidance</w:t>
            </w:r>
          </w:p>
        </w:tc>
        <w:tc>
          <w:tcPr>
            <w:tcW w:w="2201" w:type="dxa"/>
            <w:shd w:val="clear" w:color="auto" w:fill="064EA8"/>
          </w:tcPr>
          <w:p w14:paraId="5499AF22" w14:textId="77777777" w:rsidR="001C794B" w:rsidRPr="001C794B" w:rsidRDefault="001C794B" w:rsidP="001C794B">
            <w:pPr>
              <w:spacing w:before="60" w:after="60" w:line="240" w:lineRule="auto"/>
              <w:ind w:left="0"/>
              <w:jc w:val="center"/>
              <w:rPr>
                <w:rFonts w:cs="Tahoma"/>
                <w:color w:val="FFFFFF" w:themeColor="background1"/>
                <w:sz w:val="20"/>
                <w:szCs w:val="20"/>
              </w:rPr>
            </w:pPr>
            <w:r w:rsidRPr="001C794B">
              <w:rPr>
                <w:rFonts w:cs="Arial"/>
                <w:color w:val="FFFFFF" w:themeColor="background1"/>
                <w:sz w:val="20"/>
                <w:szCs w:val="20"/>
              </w:rPr>
              <w:t>Level 1</w:t>
            </w:r>
          </w:p>
        </w:tc>
        <w:tc>
          <w:tcPr>
            <w:tcW w:w="2687" w:type="dxa"/>
            <w:shd w:val="clear" w:color="auto" w:fill="064EA8"/>
          </w:tcPr>
          <w:p w14:paraId="26E09680" w14:textId="77777777" w:rsidR="001C794B" w:rsidRPr="001C794B" w:rsidRDefault="001C794B" w:rsidP="001C794B">
            <w:pPr>
              <w:spacing w:before="60" w:after="60" w:line="240" w:lineRule="auto"/>
              <w:ind w:left="0"/>
              <w:jc w:val="center"/>
              <w:rPr>
                <w:rFonts w:cs="Tahoma"/>
                <w:color w:val="FFFFFF" w:themeColor="background1"/>
                <w:sz w:val="20"/>
                <w:szCs w:val="20"/>
              </w:rPr>
            </w:pPr>
            <w:r w:rsidRPr="001C794B">
              <w:rPr>
                <w:rFonts w:cs="Arial"/>
                <w:color w:val="FFFFFF" w:themeColor="background1"/>
                <w:sz w:val="20"/>
                <w:szCs w:val="20"/>
              </w:rPr>
              <w:t>Level 2</w:t>
            </w:r>
          </w:p>
        </w:tc>
        <w:tc>
          <w:tcPr>
            <w:tcW w:w="2315" w:type="dxa"/>
            <w:shd w:val="clear" w:color="auto" w:fill="064EA8"/>
          </w:tcPr>
          <w:p w14:paraId="10FA7C9A" w14:textId="77777777" w:rsidR="001C794B" w:rsidRPr="001C794B" w:rsidRDefault="001C794B" w:rsidP="001C794B">
            <w:pPr>
              <w:spacing w:before="60" w:after="60" w:line="240" w:lineRule="auto"/>
              <w:ind w:left="0"/>
              <w:jc w:val="center"/>
              <w:rPr>
                <w:rFonts w:cs="Tahoma"/>
                <w:color w:val="FFFFFF" w:themeColor="background1"/>
                <w:sz w:val="20"/>
                <w:szCs w:val="20"/>
              </w:rPr>
            </w:pPr>
            <w:r w:rsidRPr="001C794B">
              <w:rPr>
                <w:rFonts w:cs="Arial"/>
                <w:color w:val="FFFFFF" w:themeColor="background1"/>
                <w:sz w:val="20"/>
                <w:szCs w:val="20"/>
              </w:rPr>
              <w:t>Level 3</w:t>
            </w:r>
          </w:p>
        </w:tc>
      </w:tr>
      <w:tr w:rsidR="001C794B" w:rsidRPr="001C794B" w14:paraId="036692DE" w14:textId="77777777" w:rsidTr="0025636E">
        <w:trPr>
          <w:tblHeader/>
        </w:trPr>
        <w:tc>
          <w:tcPr>
            <w:tcW w:w="1495" w:type="dxa"/>
            <w:vMerge/>
            <w:shd w:val="clear" w:color="auto" w:fill="064EA8"/>
          </w:tcPr>
          <w:p w14:paraId="0DDD7C66" w14:textId="77777777" w:rsidR="001C794B" w:rsidRPr="001C794B" w:rsidRDefault="001C794B" w:rsidP="001C794B">
            <w:pPr>
              <w:spacing w:before="60" w:after="60" w:line="240" w:lineRule="auto"/>
              <w:ind w:left="34" w:hanging="34"/>
              <w:rPr>
                <w:rFonts w:cs="Tahoma"/>
                <w:color w:val="FFFFFF" w:themeColor="background1"/>
                <w:sz w:val="20"/>
                <w:szCs w:val="20"/>
              </w:rPr>
            </w:pPr>
          </w:p>
        </w:tc>
        <w:tc>
          <w:tcPr>
            <w:tcW w:w="2201" w:type="dxa"/>
            <w:shd w:val="clear" w:color="auto" w:fill="064EA8"/>
          </w:tcPr>
          <w:p w14:paraId="04FA1905" w14:textId="77777777" w:rsidR="001C794B" w:rsidRPr="001C794B" w:rsidRDefault="001C794B" w:rsidP="001C794B">
            <w:pPr>
              <w:spacing w:before="60" w:after="60" w:line="240" w:lineRule="auto"/>
              <w:ind w:left="0"/>
              <w:jc w:val="center"/>
              <w:rPr>
                <w:rFonts w:cs="Arial"/>
                <w:color w:val="FFFFFF" w:themeColor="background1"/>
                <w:sz w:val="20"/>
                <w:szCs w:val="20"/>
              </w:rPr>
            </w:pPr>
            <w:r w:rsidRPr="001C794B">
              <w:rPr>
                <w:rFonts w:cs="Arial"/>
                <w:color w:val="FFFFFF" w:themeColor="background1"/>
                <w:sz w:val="20"/>
                <w:szCs w:val="20"/>
              </w:rPr>
              <w:t>Local, first strike</w:t>
            </w:r>
          </w:p>
        </w:tc>
        <w:tc>
          <w:tcPr>
            <w:tcW w:w="2687" w:type="dxa"/>
            <w:shd w:val="clear" w:color="auto" w:fill="064EA8"/>
          </w:tcPr>
          <w:p w14:paraId="099E7EA1" w14:textId="77777777" w:rsidR="001C794B" w:rsidRPr="001C794B" w:rsidRDefault="001C794B" w:rsidP="001C794B">
            <w:pPr>
              <w:spacing w:before="60" w:after="60" w:line="240" w:lineRule="auto"/>
              <w:ind w:left="0"/>
              <w:jc w:val="center"/>
              <w:rPr>
                <w:rFonts w:cs="Arial"/>
                <w:color w:val="FFFFFF" w:themeColor="background1"/>
                <w:sz w:val="20"/>
                <w:szCs w:val="20"/>
              </w:rPr>
            </w:pPr>
            <w:r w:rsidRPr="001C794B">
              <w:rPr>
                <w:rFonts w:cs="Arial"/>
                <w:color w:val="FFFFFF" w:themeColor="background1"/>
                <w:sz w:val="20"/>
                <w:szCs w:val="20"/>
              </w:rPr>
              <w:t>State</w:t>
            </w:r>
          </w:p>
        </w:tc>
        <w:tc>
          <w:tcPr>
            <w:tcW w:w="2315" w:type="dxa"/>
            <w:shd w:val="clear" w:color="auto" w:fill="064EA8"/>
          </w:tcPr>
          <w:p w14:paraId="206CA79A" w14:textId="77777777" w:rsidR="001C794B" w:rsidRPr="001C794B" w:rsidRDefault="001C794B" w:rsidP="001C794B">
            <w:pPr>
              <w:spacing w:before="60" w:after="60" w:line="240" w:lineRule="auto"/>
              <w:ind w:left="0"/>
              <w:jc w:val="center"/>
              <w:rPr>
                <w:rFonts w:cs="Arial"/>
                <w:color w:val="FFFFFF" w:themeColor="background1"/>
                <w:sz w:val="20"/>
                <w:szCs w:val="20"/>
              </w:rPr>
            </w:pPr>
            <w:r w:rsidRPr="001C794B">
              <w:rPr>
                <w:rFonts w:cs="Arial"/>
                <w:color w:val="FFFFFF" w:themeColor="background1"/>
                <w:sz w:val="20"/>
                <w:szCs w:val="20"/>
              </w:rPr>
              <w:t>National</w:t>
            </w:r>
          </w:p>
        </w:tc>
      </w:tr>
      <w:tr w:rsidR="001C794B" w:rsidRPr="001C794B" w14:paraId="659A5D7A" w14:textId="77777777" w:rsidTr="0025636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495" w:type="dxa"/>
          </w:tcPr>
          <w:p w14:paraId="111D12E9"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Oil volume (guide only)</w:t>
            </w:r>
          </w:p>
        </w:tc>
        <w:tc>
          <w:tcPr>
            <w:tcW w:w="2201" w:type="dxa"/>
          </w:tcPr>
          <w:p w14:paraId="236B3A54"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Less than 10 tonnes.</w:t>
            </w:r>
          </w:p>
        </w:tc>
        <w:tc>
          <w:tcPr>
            <w:tcW w:w="2687" w:type="dxa"/>
          </w:tcPr>
          <w:p w14:paraId="63A97F81"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10-100 tonnes.</w:t>
            </w:r>
          </w:p>
        </w:tc>
        <w:tc>
          <w:tcPr>
            <w:tcW w:w="2315" w:type="dxa"/>
          </w:tcPr>
          <w:p w14:paraId="788D73A4"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 xml:space="preserve">Greater than 100 tonnes. </w:t>
            </w:r>
          </w:p>
        </w:tc>
      </w:tr>
      <w:tr w:rsidR="001C794B" w:rsidRPr="001C794B" w14:paraId="2F988801" w14:textId="77777777" w:rsidTr="0025636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495" w:type="dxa"/>
          </w:tcPr>
          <w:p w14:paraId="6E00F7BF"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Hazardous and noxious substance</w:t>
            </w:r>
          </w:p>
        </w:tc>
        <w:tc>
          <w:tcPr>
            <w:tcW w:w="2201" w:type="dxa"/>
          </w:tcPr>
          <w:p w14:paraId="362D3FD7"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 xml:space="preserve">Nature and/or size of substance is unlikely to cause evacuation of the area. </w:t>
            </w:r>
          </w:p>
          <w:p w14:paraId="00F6F2B3"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Exclusion area limited to immediate site.</w:t>
            </w:r>
          </w:p>
        </w:tc>
        <w:tc>
          <w:tcPr>
            <w:tcW w:w="2687" w:type="dxa"/>
          </w:tcPr>
          <w:p w14:paraId="1CC97D78"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 xml:space="preserve">Nature and/or size of substance is likely to cause evacuation. </w:t>
            </w:r>
          </w:p>
          <w:p w14:paraId="78DF2029"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Exclusion area beyond to immediate site.</w:t>
            </w:r>
          </w:p>
        </w:tc>
        <w:tc>
          <w:tcPr>
            <w:tcW w:w="2315" w:type="dxa"/>
          </w:tcPr>
          <w:p w14:paraId="22E1B9BF"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 xml:space="preserve">Nature and/or size of substance requires evacuation. </w:t>
            </w:r>
          </w:p>
          <w:p w14:paraId="489FA562"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Exclusion area beyond to immediate site.</w:t>
            </w:r>
          </w:p>
        </w:tc>
      </w:tr>
      <w:tr w:rsidR="001C794B" w:rsidRPr="001C794B" w14:paraId="10FF941E" w14:textId="77777777" w:rsidTr="0025636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495" w:type="dxa"/>
          </w:tcPr>
          <w:p w14:paraId="09A65B51"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Wildlife</w:t>
            </w:r>
          </w:p>
        </w:tc>
        <w:tc>
          <w:tcPr>
            <w:tcW w:w="2201" w:type="dxa"/>
          </w:tcPr>
          <w:p w14:paraId="4E09FACE"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Fewer than 50 birds.</w:t>
            </w:r>
          </w:p>
        </w:tc>
        <w:tc>
          <w:tcPr>
            <w:tcW w:w="2687" w:type="dxa"/>
          </w:tcPr>
          <w:p w14:paraId="6FE79C81"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Fewer than five cetaceans.</w:t>
            </w:r>
          </w:p>
          <w:p w14:paraId="236C01BE"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Fewer than 25 seals.</w:t>
            </w:r>
          </w:p>
          <w:p w14:paraId="018B99B0"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50-200 birds.</w:t>
            </w:r>
          </w:p>
        </w:tc>
        <w:tc>
          <w:tcPr>
            <w:tcW w:w="2315" w:type="dxa"/>
          </w:tcPr>
          <w:p w14:paraId="6393A93C"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More than five cetaceans.</w:t>
            </w:r>
          </w:p>
          <w:p w14:paraId="32D05AC2"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More than 25 seals.</w:t>
            </w:r>
          </w:p>
          <w:p w14:paraId="7E36A25C"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More than 200 birds.</w:t>
            </w:r>
          </w:p>
        </w:tc>
      </w:tr>
      <w:tr w:rsidR="001C794B" w:rsidRPr="001C794B" w14:paraId="43D01F04" w14:textId="77777777" w:rsidTr="0025636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495" w:type="dxa"/>
          </w:tcPr>
          <w:p w14:paraId="37E1FD91"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IMT requirements</w:t>
            </w:r>
          </w:p>
        </w:tc>
        <w:tc>
          <w:tcPr>
            <w:tcW w:w="2201" w:type="dxa"/>
          </w:tcPr>
          <w:p w14:paraId="73C98621"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One to three people.</w:t>
            </w:r>
          </w:p>
        </w:tc>
        <w:tc>
          <w:tcPr>
            <w:tcW w:w="5002" w:type="dxa"/>
            <w:gridSpan w:val="2"/>
          </w:tcPr>
          <w:p w14:paraId="152B93C1"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 xml:space="preserve">Functional groups required, working from an incident control centre (ICC). </w:t>
            </w:r>
          </w:p>
        </w:tc>
      </w:tr>
      <w:tr w:rsidR="001C794B" w:rsidRPr="001C794B" w14:paraId="6DA4264B" w14:textId="77777777" w:rsidTr="0025636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495" w:type="dxa"/>
          </w:tcPr>
          <w:p w14:paraId="2242B65F"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Clean-up</w:t>
            </w:r>
          </w:p>
        </w:tc>
        <w:tc>
          <w:tcPr>
            <w:tcW w:w="2201" w:type="dxa"/>
          </w:tcPr>
          <w:p w14:paraId="745B0CC9"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Use of vessel resources.</w:t>
            </w:r>
          </w:p>
        </w:tc>
        <w:tc>
          <w:tcPr>
            <w:tcW w:w="2687" w:type="dxa"/>
          </w:tcPr>
          <w:p w14:paraId="640676A6"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Resources beyond those of local response required.</w:t>
            </w:r>
          </w:p>
        </w:tc>
        <w:tc>
          <w:tcPr>
            <w:tcW w:w="2315" w:type="dxa"/>
          </w:tcPr>
          <w:p w14:paraId="6702B344"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State, national and possibly international resources required.</w:t>
            </w:r>
          </w:p>
        </w:tc>
      </w:tr>
      <w:tr w:rsidR="001C794B" w:rsidRPr="001C794B" w14:paraId="6C8EFBF9" w14:textId="77777777" w:rsidTr="0025636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495" w:type="dxa"/>
          </w:tcPr>
          <w:p w14:paraId="4D5E0F58"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 xml:space="preserve">Environmental </w:t>
            </w:r>
            <w:r w:rsidRPr="001C794B">
              <w:rPr>
                <w:rFonts w:cs="Tahoma"/>
                <w:sz w:val="20"/>
                <w:szCs w:val="20"/>
              </w:rPr>
              <w:lastRenderedPageBreak/>
              <w:t>impacts</w:t>
            </w:r>
          </w:p>
        </w:tc>
        <w:tc>
          <w:tcPr>
            <w:tcW w:w="2201" w:type="dxa"/>
          </w:tcPr>
          <w:p w14:paraId="2C7F85CD"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lastRenderedPageBreak/>
              <w:t>Localised, minimal.</w:t>
            </w:r>
          </w:p>
        </w:tc>
        <w:tc>
          <w:tcPr>
            <w:tcW w:w="2687" w:type="dxa"/>
          </w:tcPr>
          <w:p w14:paraId="333CD35A"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 xml:space="preserve">Adverse consequences. </w:t>
            </w:r>
          </w:p>
        </w:tc>
        <w:tc>
          <w:tcPr>
            <w:tcW w:w="2315" w:type="dxa"/>
          </w:tcPr>
          <w:p w14:paraId="3F850148"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 xml:space="preserve">Significant </w:t>
            </w:r>
            <w:r w:rsidRPr="001C794B">
              <w:rPr>
                <w:rFonts w:cs="Tahoma"/>
                <w:sz w:val="20"/>
                <w:szCs w:val="20"/>
              </w:rPr>
              <w:lastRenderedPageBreak/>
              <w:t xml:space="preserve">consequences. </w:t>
            </w:r>
          </w:p>
        </w:tc>
      </w:tr>
      <w:tr w:rsidR="001C794B" w:rsidRPr="001C794B" w14:paraId="5F56098D" w14:textId="77777777" w:rsidTr="0025636E">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495" w:type="dxa"/>
          </w:tcPr>
          <w:p w14:paraId="446570F9"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lastRenderedPageBreak/>
              <w:t>Spill duration</w:t>
            </w:r>
          </w:p>
        </w:tc>
        <w:tc>
          <w:tcPr>
            <w:tcW w:w="2201" w:type="dxa"/>
          </w:tcPr>
          <w:p w14:paraId="02ABE17E"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Up to 72 hours.</w:t>
            </w:r>
          </w:p>
        </w:tc>
        <w:tc>
          <w:tcPr>
            <w:tcW w:w="2687" w:type="dxa"/>
          </w:tcPr>
          <w:p w14:paraId="16F65ADE"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More than 72 hours, but not greater than 2-3 weeks.</w:t>
            </w:r>
          </w:p>
        </w:tc>
        <w:tc>
          <w:tcPr>
            <w:tcW w:w="2315" w:type="dxa"/>
          </w:tcPr>
          <w:p w14:paraId="0408C40E"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Likely to exceed 2 weeks, recovery make take months to years.</w:t>
            </w:r>
          </w:p>
        </w:tc>
      </w:tr>
    </w:tbl>
    <w:p w14:paraId="02B95678" w14:textId="77777777" w:rsidR="001C794B" w:rsidRPr="001C794B" w:rsidRDefault="001C794B" w:rsidP="001C794B">
      <w:pPr>
        <w:keepNext/>
        <w:numPr>
          <w:ilvl w:val="2"/>
          <w:numId w:val="1"/>
        </w:numPr>
        <w:tabs>
          <w:tab w:val="left" w:pos="1080"/>
        </w:tabs>
        <w:spacing w:before="240" w:after="240"/>
        <w:ind w:left="1225" w:hanging="505"/>
        <w:outlineLvl w:val="2"/>
        <w:rPr>
          <w:rFonts w:cs="Arial"/>
          <w:b/>
          <w:bCs/>
          <w:color w:val="1C1C1C"/>
          <w:sz w:val="26"/>
          <w:szCs w:val="26"/>
        </w:rPr>
      </w:pPr>
      <w:bookmarkStart w:id="1274" w:name="_Toc501535913"/>
      <w:r w:rsidRPr="001C794B">
        <w:rPr>
          <w:rFonts w:cs="Arial"/>
          <w:b/>
          <w:bCs/>
          <w:color w:val="1C1C1C"/>
          <w:sz w:val="26"/>
          <w:szCs w:val="26"/>
        </w:rPr>
        <w:t>Surveillance and Tracking</w:t>
      </w:r>
      <w:bookmarkEnd w:id="1274"/>
      <w:r w:rsidRPr="001C794B">
        <w:rPr>
          <w:rFonts w:cs="Arial"/>
          <w:b/>
          <w:bCs/>
          <w:color w:val="1C1C1C"/>
          <w:sz w:val="26"/>
          <w:szCs w:val="26"/>
        </w:rPr>
        <w:t xml:space="preserve"> </w:t>
      </w:r>
    </w:p>
    <w:p w14:paraId="1B36F0D2" w14:textId="77777777" w:rsidR="001C794B" w:rsidRPr="001C794B" w:rsidRDefault="001C794B" w:rsidP="001C794B">
      <w:pPr>
        <w:spacing w:after="120" w:line="240" w:lineRule="auto"/>
        <w:ind w:left="0"/>
        <w:rPr>
          <w:rFonts w:cs="Arial"/>
          <w:sz w:val="22"/>
          <w:szCs w:val="22"/>
        </w:rPr>
      </w:pPr>
      <w:r w:rsidRPr="001C794B">
        <w:rPr>
          <w:rFonts w:cs="Arial"/>
          <w:sz w:val="22"/>
          <w:szCs w:val="22"/>
        </w:rPr>
        <w:t xml:space="preserve">Oil spill surveillance and tracking is addressed in Section 7 of the OPEP. </w:t>
      </w:r>
    </w:p>
    <w:p w14:paraId="25C156C0"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Scope of Activity</w:t>
      </w:r>
    </w:p>
    <w:p w14:paraId="0529BF8C" w14:textId="77777777" w:rsidR="001C794B" w:rsidRPr="001C794B" w:rsidRDefault="001C794B" w:rsidP="001C794B">
      <w:pPr>
        <w:spacing w:after="120" w:line="240" w:lineRule="auto"/>
        <w:ind w:left="0"/>
        <w:rPr>
          <w:rFonts w:cs="Arial"/>
          <w:sz w:val="22"/>
          <w:szCs w:val="22"/>
        </w:rPr>
      </w:pPr>
      <w:r w:rsidRPr="001C794B">
        <w:rPr>
          <w:rFonts w:cs="Arial"/>
          <w:sz w:val="22"/>
          <w:szCs w:val="22"/>
        </w:rPr>
        <w:t>Ongoing surveillance and tracking of the MDO spill is critical for maintaining situational awareness and to complement and support the other response activities. In some situations, surveillance and tracking may be the primary response strategy if natural dispersion and weathering processes are effective in reducing the volume of MDO reaching sensitive receptors.</w:t>
      </w:r>
    </w:p>
    <w:p w14:paraId="2DA60F63" w14:textId="059F5355" w:rsidR="001C794B" w:rsidRPr="001C794B" w:rsidRDefault="001C794B" w:rsidP="001C794B">
      <w:pPr>
        <w:spacing w:after="120" w:line="240" w:lineRule="auto"/>
        <w:ind w:left="0"/>
        <w:rPr>
          <w:rFonts w:cs="Arial"/>
          <w:sz w:val="22"/>
          <w:szCs w:val="22"/>
        </w:rPr>
      </w:pPr>
      <w:r w:rsidRPr="001C794B">
        <w:rPr>
          <w:rFonts w:cs="Arial"/>
          <w:sz w:val="22"/>
          <w:szCs w:val="22"/>
        </w:rPr>
        <w:t>It is the responsibility of the Control Agency to undertake operational monitoring during the spill event to inform the operational response. Operational monitoring includes the following:</w:t>
      </w:r>
    </w:p>
    <w:p w14:paraId="56A92547" w14:textId="77777777" w:rsidR="001C794B" w:rsidRPr="001C794B" w:rsidRDefault="001C794B" w:rsidP="001C794B">
      <w:pPr>
        <w:numPr>
          <w:ilvl w:val="0"/>
          <w:numId w:val="293"/>
        </w:numPr>
        <w:spacing w:after="120" w:line="240" w:lineRule="auto"/>
        <w:rPr>
          <w:rFonts w:cs="Arial"/>
          <w:sz w:val="22"/>
          <w:szCs w:val="22"/>
        </w:rPr>
      </w:pPr>
      <w:r w:rsidRPr="001C794B">
        <w:rPr>
          <w:rFonts w:cs="Arial"/>
          <w:sz w:val="22"/>
          <w:szCs w:val="22"/>
        </w:rPr>
        <w:t>Aerial observation;</w:t>
      </w:r>
    </w:p>
    <w:p w14:paraId="3207E63E" w14:textId="77777777" w:rsidR="001C794B" w:rsidRPr="001C794B" w:rsidRDefault="001C794B" w:rsidP="001C794B">
      <w:pPr>
        <w:numPr>
          <w:ilvl w:val="0"/>
          <w:numId w:val="293"/>
        </w:numPr>
        <w:spacing w:after="120" w:line="240" w:lineRule="auto"/>
        <w:rPr>
          <w:rFonts w:cs="Arial"/>
          <w:sz w:val="22"/>
          <w:szCs w:val="22"/>
        </w:rPr>
      </w:pPr>
      <w:r w:rsidRPr="001C794B">
        <w:rPr>
          <w:rFonts w:cs="Arial"/>
          <w:sz w:val="22"/>
          <w:szCs w:val="22"/>
        </w:rPr>
        <w:t>Vessel-based observation;</w:t>
      </w:r>
    </w:p>
    <w:p w14:paraId="74189D01" w14:textId="77777777" w:rsidR="001C794B" w:rsidRPr="001C794B" w:rsidRDefault="001C794B" w:rsidP="001C794B">
      <w:pPr>
        <w:numPr>
          <w:ilvl w:val="0"/>
          <w:numId w:val="293"/>
        </w:numPr>
        <w:spacing w:after="120" w:line="240" w:lineRule="auto"/>
        <w:rPr>
          <w:rFonts w:cs="Arial"/>
          <w:sz w:val="22"/>
          <w:szCs w:val="22"/>
        </w:rPr>
      </w:pPr>
      <w:r w:rsidRPr="001C794B">
        <w:rPr>
          <w:rFonts w:cs="Arial"/>
          <w:sz w:val="22"/>
          <w:szCs w:val="22"/>
        </w:rPr>
        <w:t>OSTM (either computer-based or manual vector analysis);</w:t>
      </w:r>
    </w:p>
    <w:p w14:paraId="6F4C3050" w14:textId="77777777" w:rsidR="001C794B" w:rsidRPr="001C794B" w:rsidRDefault="001C794B" w:rsidP="001C794B">
      <w:pPr>
        <w:numPr>
          <w:ilvl w:val="0"/>
          <w:numId w:val="293"/>
        </w:numPr>
        <w:spacing w:after="120" w:line="240" w:lineRule="auto"/>
        <w:rPr>
          <w:rFonts w:cs="Arial"/>
          <w:sz w:val="22"/>
          <w:szCs w:val="22"/>
        </w:rPr>
      </w:pPr>
      <w:r w:rsidRPr="001C794B">
        <w:rPr>
          <w:rFonts w:cs="Arial"/>
          <w:sz w:val="22"/>
          <w:szCs w:val="22"/>
        </w:rPr>
        <w:t>Utilisation of satellite-tracking buoys.</w:t>
      </w:r>
    </w:p>
    <w:p w14:paraId="770F96CC" w14:textId="77777777" w:rsidR="00C56475" w:rsidRDefault="00C56475" w:rsidP="001C794B">
      <w:pPr>
        <w:spacing w:after="120" w:line="240" w:lineRule="auto"/>
        <w:ind w:left="0"/>
        <w:rPr>
          <w:rFonts w:cs="Arial"/>
          <w:b/>
          <w:sz w:val="22"/>
          <w:szCs w:val="22"/>
        </w:rPr>
      </w:pPr>
    </w:p>
    <w:p w14:paraId="58E65E21"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Availability</w:t>
      </w:r>
    </w:p>
    <w:p w14:paraId="18B5F594" w14:textId="77777777" w:rsidR="001C794B" w:rsidRPr="001C794B" w:rsidRDefault="001C794B" w:rsidP="001C794B">
      <w:pPr>
        <w:spacing w:after="240" w:line="240" w:lineRule="auto"/>
        <w:ind w:left="0"/>
        <w:rPr>
          <w:rFonts w:ascii="Tahoma" w:hAnsi="Tahoma" w:cs="Arial"/>
          <w:sz w:val="22"/>
          <w:szCs w:val="22"/>
        </w:rPr>
      </w:pPr>
      <w:r w:rsidRPr="001C794B">
        <w:rPr>
          <w:rFonts w:cs="Arial"/>
          <w:sz w:val="22"/>
          <w:szCs w:val="22"/>
        </w:rPr>
        <w:t xml:space="preserve">The DEDJTR Emergency Management Division (EMD) maintains operational monitoring capability and implements operational monitoring for Level 2 or 3 vessel-based incidents, as outlined in the Maritime Emergencies NSR Plan (EMV, 2016). </w:t>
      </w:r>
    </w:p>
    <w:p w14:paraId="179ADD39" w14:textId="77777777" w:rsidR="001C794B" w:rsidRPr="001C794B" w:rsidRDefault="001C794B" w:rsidP="001C794B">
      <w:pPr>
        <w:spacing w:after="120" w:line="240" w:lineRule="auto"/>
        <w:ind w:left="0"/>
        <w:rPr>
          <w:rFonts w:ascii="Tahoma" w:hAnsi="Tahoma" w:cs="Arial"/>
          <w:szCs w:val="20"/>
        </w:rPr>
      </w:pPr>
    </w:p>
    <w:p w14:paraId="2B259EDD"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Hazards</w:t>
      </w:r>
    </w:p>
    <w:p w14:paraId="5D4C3EE1" w14:textId="77777777" w:rsidR="001C794B" w:rsidRPr="001C794B" w:rsidRDefault="001C794B" w:rsidP="001C794B">
      <w:pPr>
        <w:ind w:left="0"/>
        <w:rPr>
          <w:rFonts w:cs="Arial"/>
          <w:sz w:val="22"/>
          <w:szCs w:val="22"/>
        </w:rPr>
      </w:pPr>
      <w:r w:rsidRPr="001C794B">
        <w:rPr>
          <w:rFonts w:cs="Arial"/>
          <w:sz w:val="22"/>
          <w:szCs w:val="22"/>
        </w:rPr>
        <w:t xml:space="preserve">The hazards associated with surveillance and tracking are: </w:t>
      </w:r>
    </w:p>
    <w:p w14:paraId="5115193A" w14:textId="77777777" w:rsidR="001C794B" w:rsidRPr="001C794B" w:rsidRDefault="001C794B" w:rsidP="001C794B">
      <w:pPr>
        <w:ind w:left="0"/>
        <w:rPr>
          <w:rFonts w:cs="Arial"/>
          <w:sz w:val="22"/>
          <w:szCs w:val="22"/>
        </w:rPr>
      </w:pPr>
    </w:p>
    <w:p w14:paraId="31759798"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Additional vessel activity (over a greater area); and</w:t>
      </w:r>
    </w:p>
    <w:p w14:paraId="07456DAD" w14:textId="77777777" w:rsidR="001C794B" w:rsidRPr="001C794B" w:rsidRDefault="001C794B" w:rsidP="001C794B">
      <w:pPr>
        <w:numPr>
          <w:ilvl w:val="0"/>
          <w:numId w:val="173"/>
        </w:numPr>
        <w:spacing w:after="240" w:line="240" w:lineRule="auto"/>
        <w:ind w:left="714" w:hanging="357"/>
        <w:contextualSpacing/>
        <w:rPr>
          <w:rFonts w:cs="Arial"/>
          <w:sz w:val="22"/>
          <w:szCs w:val="22"/>
        </w:rPr>
      </w:pPr>
      <w:r w:rsidRPr="001C794B">
        <w:rPr>
          <w:rFonts w:cs="Arial"/>
          <w:sz w:val="22"/>
          <w:szCs w:val="22"/>
        </w:rPr>
        <w:t>Aircraft use.</w:t>
      </w:r>
    </w:p>
    <w:p w14:paraId="4C4C9063" w14:textId="77777777" w:rsidR="001C794B" w:rsidRDefault="001C794B" w:rsidP="001C794B">
      <w:pPr>
        <w:spacing w:after="120" w:line="240" w:lineRule="auto"/>
        <w:ind w:left="0"/>
        <w:rPr>
          <w:rFonts w:cs="Arial"/>
          <w:b/>
          <w:sz w:val="22"/>
          <w:szCs w:val="22"/>
        </w:rPr>
      </w:pPr>
    </w:p>
    <w:p w14:paraId="0D8D35F4"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Known and Potential Impacts of the Response Activity</w:t>
      </w:r>
    </w:p>
    <w:p w14:paraId="7D5B9CA4" w14:textId="77777777" w:rsidR="001C794B" w:rsidRPr="001C794B" w:rsidRDefault="001C794B" w:rsidP="001C794B">
      <w:pPr>
        <w:ind w:left="0"/>
        <w:rPr>
          <w:rFonts w:cs="Arial"/>
          <w:sz w:val="22"/>
          <w:szCs w:val="22"/>
        </w:rPr>
      </w:pPr>
      <w:r w:rsidRPr="001C794B">
        <w:rPr>
          <w:rFonts w:cs="Arial"/>
          <w:sz w:val="22"/>
          <w:szCs w:val="22"/>
        </w:rPr>
        <w:t xml:space="preserve">The known and potential impacts associated with surveillance and tracking are: </w:t>
      </w:r>
    </w:p>
    <w:p w14:paraId="3E9538F6" w14:textId="77777777" w:rsidR="001C794B" w:rsidRPr="001C794B" w:rsidRDefault="001C794B" w:rsidP="001C794B">
      <w:pPr>
        <w:ind w:left="0"/>
        <w:rPr>
          <w:rFonts w:cs="Arial"/>
          <w:sz w:val="22"/>
          <w:szCs w:val="22"/>
        </w:rPr>
      </w:pPr>
    </w:p>
    <w:p w14:paraId="7DB71918"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Routine and non-routine impacts and risks associated with vessel operations (as outlined throughout Chapter 7); and</w:t>
      </w:r>
    </w:p>
    <w:p w14:paraId="744AA4DA"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Noise disturbance to marine fauna and shoreline species by aerial flights.</w:t>
      </w:r>
    </w:p>
    <w:p w14:paraId="6EA3380D" w14:textId="77777777" w:rsidR="001C794B" w:rsidRPr="001C794B" w:rsidRDefault="001C794B" w:rsidP="001C794B">
      <w:pPr>
        <w:spacing w:after="120" w:line="240" w:lineRule="auto"/>
        <w:ind w:left="0"/>
        <w:rPr>
          <w:rFonts w:cs="Arial"/>
          <w:szCs w:val="20"/>
        </w:rPr>
      </w:pPr>
    </w:p>
    <w:p w14:paraId="06AA4A7B"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Evaluation of Environmental Impacts and Risks</w:t>
      </w:r>
    </w:p>
    <w:p w14:paraId="4DF7F89F" w14:textId="77777777" w:rsidR="001C794B" w:rsidRPr="001C794B" w:rsidRDefault="001C794B" w:rsidP="001C794B">
      <w:pPr>
        <w:ind w:left="0"/>
        <w:rPr>
          <w:rFonts w:cs="Arial"/>
          <w:sz w:val="22"/>
          <w:szCs w:val="22"/>
        </w:rPr>
      </w:pPr>
      <w:r w:rsidRPr="001C794B">
        <w:rPr>
          <w:rFonts w:cs="Arial"/>
          <w:sz w:val="22"/>
          <w:szCs w:val="22"/>
        </w:rPr>
        <w:lastRenderedPageBreak/>
        <w:t xml:space="preserve">The known and potential impacts associated with routine and non-routine vessel operations are assessed in Section 7.1 to 7.14 and are not repeated here. </w:t>
      </w:r>
    </w:p>
    <w:p w14:paraId="3D09BE7C" w14:textId="77777777" w:rsidR="001C794B" w:rsidRPr="001C794B" w:rsidRDefault="001C794B" w:rsidP="001C794B">
      <w:pPr>
        <w:ind w:left="0"/>
        <w:rPr>
          <w:rFonts w:cs="Arial"/>
          <w:sz w:val="22"/>
          <w:szCs w:val="22"/>
        </w:rPr>
      </w:pPr>
      <w:r w:rsidRPr="001C794B">
        <w:rPr>
          <w:rFonts w:cs="Arial"/>
          <w:sz w:val="22"/>
          <w:szCs w:val="22"/>
        </w:rPr>
        <w:t>In addition to these impacts and risks are those associated with the presence of aerial resources. These are discussed below.</w:t>
      </w:r>
    </w:p>
    <w:p w14:paraId="39DD62E7" w14:textId="77777777" w:rsidR="001C794B" w:rsidRPr="001C794B" w:rsidRDefault="001C794B" w:rsidP="001C794B">
      <w:pPr>
        <w:ind w:left="0"/>
        <w:rPr>
          <w:rFonts w:cs="Arial"/>
          <w:sz w:val="22"/>
          <w:szCs w:val="22"/>
        </w:rPr>
      </w:pPr>
    </w:p>
    <w:p w14:paraId="7D28192C" w14:textId="77777777" w:rsidR="001C794B" w:rsidRPr="001C794B" w:rsidRDefault="001C794B" w:rsidP="001C794B">
      <w:pPr>
        <w:ind w:left="0"/>
        <w:rPr>
          <w:rFonts w:cs="Tahoma"/>
          <w:sz w:val="22"/>
          <w:szCs w:val="22"/>
        </w:rPr>
      </w:pPr>
      <w:r w:rsidRPr="001C794B">
        <w:rPr>
          <w:rFonts w:cs="Tahoma"/>
          <w:sz w:val="22"/>
          <w:szCs w:val="22"/>
        </w:rPr>
        <w:t xml:space="preserve">Helicopter operations produce strong underwater sounds for brief periods when the helicopter is directly overhead (Richardson </w:t>
      </w:r>
      <w:r w:rsidRPr="001C794B">
        <w:rPr>
          <w:rFonts w:cs="Tahoma"/>
          <w:i/>
          <w:sz w:val="22"/>
          <w:szCs w:val="22"/>
        </w:rPr>
        <w:t>et al</w:t>
      </w:r>
      <w:r w:rsidRPr="001C794B">
        <w:rPr>
          <w:rFonts w:cs="Tahoma"/>
          <w:sz w:val="22"/>
          <w:szCs w:val="22"/>
        </w:rPr>
        <w:t xml:space="preserve">., 1995). Sound generated from helicopter operations is typically below 500 Hz and sound pressure in the water directly below a helicopter is greatest at the surface but diminishes quickly with depth. Reports for a Bell 214ST (stated to be one of the noisiest) identify that noise is audible in the air for four minutes before the helicopter passed over underwater hydrophones. The helicopter was audible underwater for only 38 seconds at 3 m depth and 11 seconds at 8 m depth (Richardson </w:t>
      </w:r>
      <w:r w:rsidRPr="001C794B">
        <w:rPr>
          <w:rFonts w:cs="Tahoma"/>
          <w:i/>
          <w:sz w:val="22"/>
          <w:szCs w:val="22"/>
        </w:rPr>
        <w:t>et al</w:t>
      </w:r>
      <w:r w:rsidRPr="001C794B">
        <w:rPr>
          <w:rFonts w:cs="Tahoma"/>
          <w:sz w:val="22"/>
          <w:szCs w:val="22"/>
        </w:rPr>
        <w:t>., 1995).</w:t>
      </w:r>
    </w:p>
    <w:p w14:paraId="065AA459" w14:textId="77777777" w:rsidR="001C794B" w:rsidRPr="001C794B" w:rsidRDefault="001C794B" w:rsidP="001C794B">
      <w:pPr>
        <w:ind w:left="0"/>
        <w:rPr>
          <w:rFonts w:cs="Tahoma"/>
          <w:sz w:val="22"/>
          <w:szCs w:val="22"/>
        </w:rPr>
      </w:pPr>
    </w:p>
    <w:p w14:paraId="5E5FAB71" w14:textId="77777777" w:rsidR="001C794B" w:rsidRPr="001C794B" w:rsidRDefault="001C794B" w:rsidP="001C794B">
      <w:pPr>
        <w:spacing w:after="120" w:line="240" w:lineRule="auto"/>
        <w:ind w:left="0"/>
        <w:rPr>
          <w:rFonts w:cs="Tahoma"/>
          <w:sz w:val="22"/>
          <w:szCs w:val="22"/>
        </w:rPr>
      </w:pPr>
      <w:r w:rsidRPr="001C794B">
        <w:rPr>
          <w:rFonts w:cs="Tahoma"/>
          <w:sz w:val="22"/>
          <w:szCs w:val="22"/>
        </w:rPr>
        <w:t>Sound levels from helicopters are not expected to cause physical damage to marine fauna, however temporary behavioural changes (avoidance) in species (cetaceans, turtles, fish) may be observed.</w:t>
      </w:r>
    </w:p>
    <w:p w14:paraId="17410856" w14:textId="77777777" w:rsidR="001C794B" w:rsidRPr="001C794B" w:rsidRDefault="001C794B" w:rsidP="001C794B">
      <w:pPr>
        <w:spacing w:after="120" w:line="240" w:lineRule="auto"/>
        <w:ind w:left="0"/>
        <w:rPr>
          <w:rFonts w:cs="Tahoma"/>
          <w:sz w:val="22"/>
          <w:szCs w:val="22"/>
        </w:rPr>
      </w:pPr>
      <w:r w:rsidRPr="001C794B">
        <w:rPr>
          <w:rFonts w:cs="Tahoma"/>
          <w:sz w:val="22"/>
          <w:szCs w:val="22"/>
        </w:rPr>
        <w:t xml:space="preserve">The behavioural reaction of cetaceans to circling aircraft (fixed wing or helicopter) is sometimes conspicuous if the aircraft is below an altitude of 300 m, uncommon at 460 m and generally undetectable at 600 m (NMFS, 2001; Richardson </w:t>
      </w:r>
      <w:r w:rsidRPr="001C794B">
        <w:rPr>
          <w:rFonts w:cs="Tahoma"/>
          <w:i/>
          <w:sz w:val="22"/>
          <w:szCs w:val="22"/>
        </w:rPr>
        <w:t>et al</w:t>
      </w:r>
      <w:r w:rsidRPr="001C794B">
        <w:rPr>
          <w:rFonts w:cs="Tahoma"/>
          <w:sz w:val="22"/>
          <w:szCs w:val="22"/>
        </w:rPr>
        <w:t>., 1995). Baleen whales sometimes dive or turn away during over-flights, but sensitivity seems to vary depending on the activity of the animals. The effect on whales seems transient, and occasional over-flights probably have no long-term consequences (NMFS, 2001).</w:t>
      </w:r>
    </w:p>
    <w:p w14:paraId="34E98F81" w14:textId="77777777" w:rsidR="001C794B" w:rsidRPr="001C794B" w:rsidRDefault="001C794B" w:rsidP="001C794B">
      <w:pPr>
        <w:spacing w:after="120" w:line="240" w:lineRule="auto"/>
        <w:ind w:left="0"/>
        <w:rPr>
          <w:rFonts w:cs="Tahoma"/>
          <w:sz w:val="22"/>
          <w:szCs w:val="22"/>
        </w:rPr>
      </w:pPr>
      <w:r w:rsidRPr="001C794B">
        <w:rPr>
          <w:rFonts w:cs="Tahoma"/>
          <w:sz w:val="22"/>
          <w:szCs w:val="22"/>
        </w:rPr>
        <w:t>Richardson et al (1995) identifies for Californian sea lions (an Octariid similar to fur seals) the following behaviours to flight sound:</w:t>
      </w:r>
    </w:p>
    <w:p w14:paraId="7F330D8B" w14:textId="77777777" w:rsidR="001C794B" w:rsidRPr="001C794B" w:rsidRDefault="001C794B" w:rsidP="001C794B">
      <w:pPr>
        <w:numPr>
          <w:ilvl w:val="0"/>
          <w:numId w:val="294"/>
        </w:numPr>
        <w:spacing w:after="120" w:line="240" w:lineRule="auto"/>
        <w:rPr>
          <w:rFonts w:cs="Arial"/>
          <w:sz w:val="22"/>
          <w:szCs w:val="22"/>
        </w:rPr>
      </w:pPr>
      <w:r w:rsidRPr="001C794B">
        <w:rPr>
          <w:rFonts w:cs="Arial"/>
          <w:sz w:val="22"/>
          <w:szCs w:val="22"/>
        </w:rPr>
        <w:t>Jets above an altitude of 305 m produced no reaction and below that height caused limited movement but no major reaction;</w:t>
      </w:r>
    </w:p>
    <w:p w14:paraId="649B8AD9" w14:textId="77777777" w:rsidR="001C794B" w:rsidRPr="001C794B" w:rsidRDefault="001C794B" w:rsidP="001C794B">
      <w:pPr>
        <w:numPr>
          <w:ilvl w:val="0"/>
          <w:numId w:val="294"/>
        </w:numPr>
        <w:spacing w:after="120" w:line="240" w:lineRule="auto"/>
        <w:rPr>
          <w:rFonts w:cs="Arial"/>
          <w:sz w:val="22"/>
          <w:szCs w:val="22"/>
        </w:rPr>
      </w:pPr>
      <w:r w:rsidRPr="001C794B">
        <w:rPr>
          <w:rFonts w:cs="Arial"/>
          <w:sz w:val="22"/>
          <w:szCs w:val="22"/>
        </w:rPr>
        <w:t>Light aircraft directly overhead at altitudes of &lt; 150-180 m elicited alert reactions and in sea lions movement;</w:t>
      </w:r>
    </w:p>
    <w:p w14:paraId="3E2AA2B0" w14:textId="77777777" w:rsidR="001C794B" w:rsidRPr="001C794B" w:rsidRDefault="001C794B" w:rsidP="001C794B">
      <w:pPr>
        <w:numPr>
          <w:ilvl w:val="0"/>
          <w:numId w:val="294"/>
        </w:numPr>
        <w:spacing w:after="120" w:line="240" w:lineRule="auto"/>
        <w:rPr>
          <w:rFonts w:cs="Arial"/>
          <w:sz w:val="22"/>
          <w:szCs w:val="22"/>
        </w:rPr>
      </w:pPr>
      <w:r w:rsidRPr="001C794B">
        <w:rPr>
          <w:rFonts w:cs="Arial"/>
          <w:sz w:val="22"/>
          <w:szCs w:val="22"/>
        </w:rPr>
        <w:t>Helicopters above 305 m usually caused no observable response while those below caused the pinnipeds to raise their heads, often causing some movement and occasionally caused rushes by some animals into the water.</w:t>
      </w:r>
    </w:p>
    <w:p w14:paraId="04B01D72" w14:textId="77777777" w:rsidR="001C794B" w:rsidRPr="001C794B" w:rsidRDefault="001C794B" w:rsidP="001C794B">
      <w:pPr>
        <w:spacing w:after="120" w:line="240" w:lineRule="auto"/>
        <w:ind w:left="0"/>
        <w:rPr>
          <w:rFonts w:cs="Arial"/>
          <w:sz w:val="22"/>
          <w:szCs w:val="22"/>
        </w:rPr>
      </w:pPr>
      <w:r w:rsidRPr="001C794B">
        <w:rPr>
          <w:rFonts w:cs="Arial"/>
          <w:sz w:val="22"/>
          <w:szCs w:val="22"/>
        </w:rPr>
        <w:t>Aerial surveillance flights will operate at between 300 – 500 m altitudes when undertaking observation activities (AMSA, 2003). In accordance with the EPBC Regulations (Part 8), a fixed-wing aircraft will maintain a buffer of 300 m from a cetacean and a helicopter will maintain 500 m from a cetacean. Any noise produced by surveillance aircraft is localised and temporary as the it is in constant movement. On this basis impact to marine mammals is expected to be temporary, localised and recoverable.</w:t>
      </w:r>
    </w:p>
    <w:p w14:paraId="73665A47"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Environmental Impact and Risk Assessment</w:t>
      </w:r>
    </w:p>
    <w:p w14:paraId="38A25B04" w14:textId="384E3B9B" w:rsidR="001C794B" w:rsidRPr="001C794B" w:rsidRDefault="001C794B" w:rsidP="001C794B">
      <w:pPr>
        <w:spacing w:after="240" w:line="240" w:lineRule="auto"/>
        <w:ind w:left="0"/>
        <w:rPr>
          <w:rFonts w:cs="Arial"/>
          <w:sz w:val="22"/>
          <w:szCs w:val="22"/>
        </w:rPr>
      </w:pPr>
      <w:r w:rsidRPr="001C794B">
        <w:rPr>
          <w:rFonts w:cs="Arial"/>
          <w:sz w:val="22"/>
          <w:szCs w:val="22"/>
        </w:rPr>
        <w:t xml:space="preserve">Note that DEDJTR (EMD) will act on behalf of CarbonNet in the event of a hydrocarbon spill. </w:t>
      </w:r>
    </w:p>
    <w:p w14:paraId="478A80A5" w14:textId="77777777" w:rsidR="001C794B" w:rsidRPr="001C794B" w:rsidRDefault="001C794B" w:rsidP="001C794B">
      <w:pPr>
        <w:spacing w:after="120"/>
        <w:ind w:left="0"/>
        <w:rPr>
          <w:rFonts w:cs="Arial"/>
          <w:sz w:val="22"/>
          <w:szCs w:val="22"/>
        </w:rPr>
      </w:pPr>
      <w:r w:rsidRPr="001C794B">
        <w:rPr>
          <w:rFonts w:cs="Arial"/>
          <w:sz w:val="22"/>
          <w:szCs w:val="22"/>
        </w:rPr>
        <w:t xml:space="preserve">The following control measures will be implemented for oil spill surveillance and tracking activities: </w:t>
      </w:r>
      <w:r w:rsidRPr="001C794B">
        <w:rPr>
          <w:sz w:val="22"/>
          <w:szCs w:val="22"/>
        </w:rPr>
        <w:t xml:space="preserve"> </w:t>
      </w:r>
    </w:p>
    <w:p w14:paraId="27760BC4" w14:textId="77777777" w:rsidR="001C794B" w:rsidRPr="00C56475" w:rsidRDefault="001C794B" w:rsidP="001C794B">
      <w:pPr>
        <w:spacing w:after="240" w:line="240" w:lineRule="auto"/>
        <w:ind w:left="0"/>
        <w:rPr>
          <w:rFonts w:cs="Arial"/>
          <w:sz w:val="22"/>
          <w:szCs w:val="22"/>
        </w:rPr>
      </w:pPr>
      <w:r w:rsidRPr="00C56475">
        <w:rPr>
          <w:rFonts w:cs="Arial"/>
          <w:sz w:val="22"/>
          <w:szCs w:val="22"/>
        </w:rPr>
        <w:t>Preparedness</w:t>
      </w:r>
    </w:p>
    <w:p w14:paraId="0220B7CD" w14:textId="77777777" w:rsidR="001C794B" w:rsidRDefault="001C794B" w:rsidP="00C56475">
      <w:pPr>
        <w:pStyle w:val="ListParagraph0"/>
        <w:numPr>
          <w:ilvl w:val="0"/>
          <w:numId w:val="568"/>
        </w:numPr>
        <w:spacing w:after="240" w:line="240" w:lineRule="auto"/>
        <w:rPr>
          <w:rFonts w:cs="Arial"/>
          <w:sz w:val="22"/>
          <w:szCs w:val="22"/>
        </w:rPr>
      </w:pPr>
      <w:r w:rsidRPr="00C56475">
        <w:rPr>
          <w:rFonts w:cs="Arial"/>
          <w:sz w:val="22"/>
          <w:szCs w:val="22"/>
        </w:rPr>
        <w:t xml:space="preserve">Access to operational response capabilities is maintained through the Maritime Emergencies NSR Plan.  </w:t>
      </w:r>
    </w:p>
    <w:p w14:paraId="6D658100" w14:textId="77777777" w:rsidR="001C794B" w:rsidRDefault="001C794B" w:rsidP="00C56475">
      <w:pPr>
        <w:pStyle w:val="ListParagraph0"/>
        <w:numPr>
          <w:ilvl w:val="0"/>
          <w:numId w:val="568"/>
        </w:numPr>
        <w:spacing w:after="240" w:line="240" w:lineRule="auto"/>
        <w:rPr>
          <w:rFonts w:cs="Arial"/>
          <w:sz w:val="22"/>
          <w:szCs w:val="22"/>
        </w:rPr>
      </w:pPr>
      <w:r w:rsidRPr="00C56475">
        <w:rPr>
          <w:rFonts w:cs="Arial"/>
          <w:sz w:val="22"/>
          <w:szCs w:val="22"/>
        </w:rPr>
        <w:lastRenderedPageBreak/>
        <w:t>DEDJTR undertakes regular desktop drills to test response capability.</w:t>
      </w:r>
    </w:p>
    <w:p w14:paraId="5CD1B900" w14:textId="77777777" w:rsidR="001C794B" w:rsidRDefault="001C794B" w:rsidP="00C56475">
      <w:pPr>
        <w:pStyle w:val="ListParagraph0"/>
        <w:numPr>
          <w:ilvl w:val="0"/>
          <w:numId w:val="568"/>
        </w:numPr>
        <w:spacing w:after="240" w:line="240" w:lineRule="auto"/>
        <w:rPr>
          <w:rFonts w:cs="Arial"/>
          <w:sz w:val="22"/>
          <w:szCs w:val="22"/>
        </w:rPr>
      </w:pPr>
      <w:r w:rsidRPr="00C56475">
        <w:rPr>
          <w:rFonts w:cs="Arial"/>
          <w:sz w:val="22"/>
          <w:szCs w:val="22"/>
        </w:rPr>
        <w:t>DEDJTR ensures that regular inspection and testing is undertaken for its oil spill response equipment.</w:t>
      </w:r>
    </w:p>
    <w:p w14:paraId="3175E87F" w14:textId="74B319A0" w:rsidR="001C794B" w:rsidRPr="00C56475" w:rsidRDefault="001C794B" w:rsidP="00C56475">
      <w:pPr>
        <w:pStyle w:val="ListParagraph0"/>
        <w:numPr>
          <w:ilvl w:val="0"/>
          <w:numId w:val="568"/>
        </w:numPr>
        <w:spacing w:after="240" w:line="240" w:lineRule="auto"/>
        <w:rPr>
          <w:rFonts w:cs="Arial"/>
          <w:sz w:val="22"/>
          <w:szCs w:val="22"/>
        </w:rPr>
      </w:pPr>
      <w:r w:rsidRPr="00C56475">
        <w:rPr>
          <w:rFonts w:cs="Arial"/>
          <w:sz w:val="22"/>
          <w:szCs w:val="22"/>
        </w:rPr>
        <w:t xml:space="preserve">An oil spill-tracking buoy is available and maintained in operational condition on the survey and support vessels. </w:t>
      </w:r>
    </w:p>
    <w:p w14:paraId="13652E2D" w14:textId="77777777" w:rsidR="001C794B" w:rsidRPr="00C56475" w:rsidRDefault="001C794B" w:rsidP="001C794B">
      <w:pPr>
        <w:spacing w:after="240" w:line="240" w:lineRule="auto"/>
        <w:ind w:left="0"/>
        <w:rPr>
          <w:rFonts w:cs="Arial"/>
          <w:sz w:val="22"/>
          <w:szCs w:val="22"/>
        </w:rPr>
      </w:pPr>
      <w:r w:rsidRPr="00C56475">
        <w:rPr>
          <w:rFonts w:cs="Arial"/>
          <w:sz w:val="22"/>
          <w:szCs w:val="22"/>
        </w:rPr>
        <w:t>Response</w:t>
      </w:r>
    </w:p>
    <w:p w14:paraId="1190D9E4" w14:textId="77777777" w:rsidR="001C794B" w:rsidRDefault="001C794B" w:rsidP="00C56475">
      <w:pPr>
        <w:pStyle w:val="ListParagraph0"/>
        <w:numPr>
          <w:ilvl w:val="0"/>
          <w:numId w:val="569"/>
        </w:numPr>
        <w:spacing w:after="240" w:line="240" w:lineRule="auto"/>
        <w:rPr>
          <w:rFonts w:cs="Arial"/>
          <w:sz w:val="22"/>
          <w:szCs w:val="22"/>
        </w:rPr>
      </w:pPr>
      <w:r w:rsidRPr="00C56475">
        <w:rPr>
          <w:rFonts w:cs="Arial"/>
          <w:sz w:val="22"/>
          <w:szCs w:val="22"/>
        </w:rPr>
        <w:t>The vessels deploy the oil spill tracking buoys in the event of a Level 2 or 3 MDO spill as soon as practicable, but at least within 30 minutes of the spill.</w:t>
      </w:r>
    </w:p>
    <w:p w14:paraId="6AC7AAF6" w14:textId="77777777" w:rsidR="001C794B" w:rsidRDefault="001C794B" w:rsidP="00C56475">
      <w:pPr>
        <w:pStyle w:val="ListParagraph0"/>
        <w:numPr>
          <w:ilvl w:val="0"/>
          <w:numId w:val="569"/>
        </w:numPr>
        <w:spacing w:after="240" w:line="240" w:lineRule="auto"/>
        <w:rPr>
          <w:rFonts w:cs="Arial"/>
          <w:sz w:val="22"/>
          <w:szCs w:val="22"/>
        </w:rPr>
      </w:pPr>
      <w:r w:rsidRPr="00C56475">
        <w:rPr>
          <w:rFonts w:cs="Arial"/>
          <w:sz w:val="22"/>
          <w:szCs w:val="22"/>
        </w:rPr>
        <w:t>Visual observations from the survey support vessels are initiated immediately following a spill.</w:t>
      </w:r>
    </w:p>
    <w:p w14:paraId="7D922C6A" w14:textId="5C0C5196" w:rsidR="001C794B" w:rsidRDefault="001C794B" w:rsidP="00C56475">
      <w:pPr>
        <w:pStyle w:val="ListParagraph0"/>
        <w:numPr>
          <w:ilvl w:val="0"/>
          <w:numId w:val="569"/>
        </w:numPr>
        <w:spacing w:after="240" w:line="240" w:lineRule="auto"/>
        <w:rPr>
          <w:rFonts w:cs="Arial"/>
          <w:sz w:val="22"/>
          <w:szCs w:val="22"/>
        </w:rPr>
      </w:pPr>
      <w:r w:rsidRPr="00C56475">
        <w:rPr>
          <w:rFonts w:cs="Arial"/>
          <w:sz w:val="22"/>
          <w:szCs w:val="22"/>
        </w:rPr>
        <w:t>An Incident Action Plan (IAP) is prepared by the IMT Planning Officer within the first 24 hours after the spill starts, which is us</w:t>
      </w:r>
      <w:r w:rsidR="0014006A">
        <w:rPr>
          <w:rFonts w:cs="Arial"/>
          <w:sz w:val="22"/>
          <w:szCs w:val="22"/>
        </w:rPr>
        <w:t>ed to guide response activities.</w:t>
      </w:r>
    </w:p>
    <w:p w14:paraId="568EBBC7" w14:textId="77777777" w:rsidR="001C794B" w:rsidRDefault="001C794B" w:rsidP="00C56475">
      <w:pPr>
        <w:pStyle w:val="ListParagraph0"/>
        <w:numPr>
          <w:ilvl w:val="0"/>
          <w:numId w:val="569"/>
        </w:numPr>
        <w:spacing w:after="240" w:line="240" w:lineRule="auto"/>
        <w:rPr>
          <w:rFonts w:cs="Arial"/>
          <w:sz w:val="22"/>
          <w:szCs w:val="22"/>
        </w:rPr>
      </w:pPr>
      <w:r w:rsidRPr="00C56475">
        <w:rPr>
          <w:rFonts w:cs="Arial"/>
          <w:sz w:val="22"/>
          <w:szCs w:val="22"/>
        </w:rPr>
        <w:t>Visual observations from aircraft are initiated within 12 hours of request (subject to daylight hours).</w:t>
      </w:r>
    </w:p>
    <w:p w14:paraId="011A7E6E" w14:textId="77777777" w:rsidR="001C794B" w:rsidRDefault="001C794B" w:rsidP="00C56475">
      <w:pPr>
        <w:pStyle w:val="ListParagraph0"/>
        <w:numPr>
          <w:ilvl w:val="0"/>
          <w:numId w:val="569"/>
        </w:numPr>
        <w:spacing w:after="240" w:line="240" w:lineRule="auto"/>
        <w:rPr>
          <w:rFonts w:cs="Arial"/>
          <w:sz w:val="22"/>
          <w:szCs w:val="22"/>
        </w:rPr>
      </w:pPr>
      <w:r w:rsidRPr="00C56475">
        <w:rPr>
          <w:rFonts w:cs="Arial"/>
          <w:sz w:val="22"/>
          <w:szCs w:val="22"/>
        </w:rPr>
        <w:t>Vectoring undertaken by an onsite spill assessor within 3 hours of spill report.</w:t>
      </w:r>
    </w:p>
    <w:p w14:paraId="1B9E98AF" w14:textId="707100E6" w:rsidR="001C794B" w:rsidRPr="00C56475" w:rsidRDefault="001C794B" w:rsidP="00C56475">
      <w:pPr>
        <w:pStyle w:val="ListParagraph0"/>
        <w:numPr>
          <w:ilvl w:val="0"/>
          <w:numId w:val="569"/>
        </w:numPr>
        <w:spacing w:after="240" w:line="240" w:lineRule="auto"/>
        <w:rPr>
          <w:rFonts w:cs="Arial"/>
          <w:sz w:val="22"/>
          <w:szCs w:val="22"/>
        </w:rPr>
      </w:pPr>
      <w:r w:rsidRPr="00C56475">
        <w:rPr>
          <w:rFonts w:cs="Arial"/>
          <w:sz w:val="22"/>
          <w:szCs w:val="22"/>
        </w:rPr>
        <w:t>Real-time OSTM results are provided by AMSA to DEDJTR within 4 hours of notification of the spill.</w:t>
      </w:r>
    </w:p>
    <w:p w14:paraId="2E543F34" w14:textId="77777777" w:rsidR="001C794B" w:rsidRPr="00C56475" w:rsidRDefault="001C794B" w:rsidP="001C794B">
      <w:pPr>
        <w:spacing w:after="240" w:line="240" w:lineRule="auto"/>
        <w:ind w:left="0"/>
        <w:rPr>
          <w:rFonts w:cs="Arial"/>
          <w:sz w:val="22"/>
          <w:szCs w:val="22"/>
        </w:rPr>
      </w:pPr>
      <w:r w:rsidRPr="00C56475">
        <w:rPr>
          <w:rFonts w:cs="Arial"/>
          <w:sz w:val="22"/>
          <w:szCs w:val="22"/>
        </w:rPr>
        <w:t>Activity controls</w:t>
      </w:r>
    </w:p>
    <w:p w14:paraId="71096842" w14:textId="77777777" w:rsidR="001C794B" w:rsidRPr="00C56475" w:rsidRDefault="001C794B" w:rsidP="00C56475">
      <w:pPr>
        <w:pStyle w:val="ListParagraph0"/>
        <w:numPr>
          <w:ilvl w:val="0"/>
          <w:numId w:val="570"/>
        </w:numPr>
        <w:spacing w:after="240" w:line="240" w:lineRule="auto"/>
        <w:rPr>
          <w:rFonts w:cs="Arial"/>
          <w:sz w:val="22"/>
          <w:szCs w:val="22"/>
        </w:rPr>
      </w:pPr>
      <w:r w:rsidRPr="00C56475">
        <w:rPr>
          <w:rFonts w:cs="Arial"/>
          <w:sz w:val="22"/>
          <w:szCs w:val="22"/>
        </w:rPr>
        <w:t>Surveillance aircraft will ensure buffer distances of 500 m (helicopters) and 300 m (fixed wing) are maintained around cetaceans in accordance with EPBC Regulations 2000 (Part 8).</w:t>
      </w:r>
    </w:p>
    <w:p w14:paraId="10F198ED" w14:textId="77777777" w:rsidR="001C794B" w:rsidRPr="001C794B" w:rsidRDefault="001C794B" w:rsidP="002D0F99">
      <w:pPr>
        <w:spacing w:after="240" w:line="240" w:lineRule="auto"/>
        <w:ind w:left="0"/>
        <w:rPr>
          <w:rFonts w:cs="Arial"/>
          <w:sz w:val="22"/>
          <w:szCs w:val="22"/>
        </w:rPr>
      </w:pPr>
    </w:p>
    <w:p w14:paraId="1F84739F" w14:textId="7819EC8E" w:rsidR="001C794B" w:rsidRPr="001C794B" w:rsidRDefault="00C56475" w:rsidP="002D0F99">
      <w:pPr>
        <w:spacing w:after="240" w:line="240" w:lineRule="auto"/>
        <w:ind w:left="0"/>
        <w:rPr>
          <w:rFonts w:cs="Arial"/>
          <w:sz w:val="22"/>
          <w:szCs w:val="22"/>
        </w:rPr>
      </w:pPr>
      <w:r>
        <w:rPr>
          <w:rFonts w:cs="Arial"/>
          <w:sz w:val="22"/>
          <w:szCs w:val="22"/>
        </w:rPr>
        <w:t>Table 7.50</w:t>
      </w:r>
      <w:r w:rsidR="001C794B" w:rsidRPr="001C794B">
        <w:rPr>
          <w:rFonts w:cs="Arial"/>
          <w:sz w:val="22"/>
          <w:szCs w:val="22"/>
        </w:rPr>
        <w:t xml:space="preserve"> presents the residual risk assessment for surveillance and tracking activities. </w:t>
      </w:r>
    </w:p>
    <w:p w14:paraId="37546517" w14:textId="77777777" w:rsidR="001C794B" w:rsidRPr="001C794B" w:rsidRDefault="001C794B" w:rsidP="001C794B">
      <w:pPr>
        <w:keepNext/>
        <w:spacing w:after="120" w:line="240" w:lineRule="auto"/>
        <w:ind w:left="0"/>
        <w:rPr>
          <w:rFonts w:cs="Arial"/>
          <w:b/>
          <w:sz w:val="20"/>
          <w:szCs w:val="20"/>
        </w:rPr>
      </w:pPr>
    </w:p>
    <w:p w14:paraId="3BB70463" w14:textId="77777777" w:rsidR="001C794B" w:rsidRPr="001C794B" w:rsidRDefault="001C794B" w:rsidP="001C794B">
      <w:pPr>
        <w:keepNext/>
        <w:spacing w:after="120" w:line="240" w:lineRule="auto"/>
        <w:ind w:left="851"/>
        <w:jc w:val="center"/>
        <w:rPr>
          <w:rFonts w:cs="Arial"/>
          <w:b/>
          <w:sz w:val="20"/>
          <w:szCs w:val="20"/>
        </w:rPr>
      </w:pPr>
    </w:p>
    <w:p w14:paraId="77302C6B" w14:textId="5838AFF5" w:rsidR="001C794B" w:rsidRPr="001C794B" w:rsidRDefault="00C56475" w:rsidP="001C794B">
      <w:pPr>
        <w:keepNext/>
        <w:spacing w:after="120" w:line="240" w:lineRule="auto"/>
        <w:ind w:left="851"/>
        <w:jc w:val="center"/>
        <w:rPr>
          <w:rFonts w:cs="Arial"/>
          <w:b/>
          <w:sz w:val="20"/>
          <w:szCs w:val="20"/>
        </w:rPr>
      </w:pPr>
      <w:r>
        <w:rPr>
          <w:rFonts w:cs="Arial"/>
          <w:b/>
          <w:sz w:val="20"/>
          <w:szCs w:val="20"/>
        </w:rPr>
        <w:t>Table 7.50</w:t>
      </w:r>
      <w:r w:rsidR="001C794B" w:rsidRPr="001C794B">
        <w:rPr>
          <w:rFonts w:cs="Arial"/>
          <w:b/>
          <w:sz w:val="20"/>
          <w:szCs w:val="20"/>
        </w:rPr>
        <w:t>.</w:t>
      </w:r>
      <w:r w:rsidR="001C794B" w:rsidRPr="001C794B">
        <w:rPr>
          <w:rFonts w:cs="Arial"/>
          <w:b/>
          <w:sz w:val="20"/>
          <w:szCs w:val="20"/>
        </w:rPr>
        <w:tab/>
        <w:t>Residual Risk assessment for oil spill surveillance and tracking</w:t>
      </w:r>
    </w:p>
    <w:tbl>
      <w:tblPr>
        <w:tblW w:w="850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2126"/>
        <w:gridCol w:w="2268"/>
        <w:gridCol w:w="1985"/>
      </w:tblGrid>
      <w:tr w:rsidR="001C794B" w:rsidRPr="001C794B" w14:paraId="3B63511E" w14:textId="77777777" w:rsidTr="0025636E">
        <w:trPr>
          <w:cantSplit/>
        </w:trPr>
        <w:tc>
          <w:tcPr>
            <w:tcW w:w="8506" w:type="dxa"/>
            <w:gridSpan w:val="4"/>
            <w:tcBorders>
              <w:top w:val="single" w:sz="4" w:space="0" w:color="auto"/>
              <w:left w:val="single" w:sz="4" w:space="0" w:color="auto"/>
              <w:bottom w:val="single" w:sz="4" w:space="0" w:color="auto"/>
              <w:right w:val="single" w:sz="4" w:space="0" w:color="auto"/>
            </w:tcBorders>
            <w:shd w:val="clear" w:color="auto" w:fill="064EA8"/>
          </w:tcPr>
          <w:p w14:paraId="0E24F8A4" w14:textId="77777777" w:rsidR="001C794B" w:rsidRPr="001C794B" w:rsidRDefault="001C794B" w:rsidP="001C794B">
            <w:pPr>
              <w:spacing w:before="60" w:after="60" w:line="240" w:lineRule="auto"/>
              <w:ind w:left="0"/>
              <w:jc w:val="center"/>
              <w:rPr>
                <w:rFonts w:cs="Arial"/>
                <w:color w:val="FFFFFF" w:themeColor="background1"/>
                <w:sz w:val="20"/>
                <w:szCs w:val="20"/>
              </w:rPr>
            </w:pPr>
            <w:r w:rsidRPr="001C794B">
              <w:rPr>
                <w:rFonts w:cs="Arial"/>
                <w:color w:val="FFFFFF" w:themeColor="background1"/>
                <w:sz w:val="20"/>
                <w:szCs w:val="20"/>
              </w:rPr>
              <w:t>Risk assessment (residual)</w:t>
            </w:r>
          </w:p>
        </w:tc>
      </w:tr>
      <w:tr w:rsidR="001C794B" w:rsidRPr="001C794B" w14:paraId="4FA70A42" w14:textId="77777777" w:rsidTr="0025636E">
        <w:trPr>
          <w:cantSplit/>
        </w:trPr>
        <w:tc>
          <w:tcPr>
            <w:tcW w:w="2127" w:type="dxa"/>
            <w:shd w:val="clear" w:color="auto" w:fill="BFBFBF" w:themeFill="background1" w:themeFillShade="BF"/>
          </w:tcPr>
          <w:p w14:paraId="6C2BC5CF" w14:textId="77777777" w:rsidR="001C794B" w:rsidRPr="001C794B" w:rsidRDefault="001C794B" w:rsidP="001C794B">
            <w:pPr>
              <w:spacing w:before="60" w:after="60" w:line="240" w:lineRule="auto"/>
              <w:ind w:left="0"/>
              <w:rPr>
                <w:rFonts w:eastAsia="MS Mincho" w:cs="Arial"/>
                <w:b/>
                <w:bCs/>
                <w:i/>
                <w:iCs/>
                <w:color w:val="22058A"/>
                <w:sz w:val="20"/>
                <w:szCs w:val="20"/>
                <w:lang w:eastAsia="en-US"/>
              </w:rPr>
            </w:pPr>
            <w:r w:rsidRPr="001C794B">
              <w:rPr>
                <w:rFonts w:cs="Arial"/>
                <w:sz w:val="20"/>
                <w:szCs w:val="20"/>
              </w:rPr>
              <w:t>Receptor</w:t>
            </w:r>
          </w:p>
        </w:tc>
        <w:tc>
          <w:tcPr>
            <w:tcW w:w="2126" w:type="dxa"/>
            <w:shd w:val="clear" w:color="auto" w:fill="BFBFBF" w:themeFill="background1" w:themeFillShade="BF"/>
          </w:tcPr>
          <w:p w14:paraId="66509533"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Likelihood</w:t>
            </w:r>
          </w:p>
        </w:tc>
        <w:tc>
          <w:tcPr>
            <w:tcW w:w="2268" w:type="dxa"/>
            <w:shd w:val="clear" w:color="auto" w:fill="BFBFBF" w:themeFill="background1" w:themeFillShade="BF"/>
          </w:tcPr>
          <w:p w14:paraId="3C78C13C"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Consequence</w:t>
            </w:r>
          </w:p>
        </w:tc>
        <w:tc>
          <w:tcPr>
            <w:tcW w:w="1985" w:type="dxa"/>
            <w:shd w:val="clear" w:color="auto" w:fill="BFBFBF" w:themeFill="background1" w:themeFillShade="BF"/>
          </w:tcPr>
          <w:p w14:paraId="7F99F05D"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Risk rating</w:t>
            </w:r>
          </w:p>
        </w:tc>
      </w:tr>
      <w:tr w:rsidR="001C794B" w:rsidRPr="001C794B" w14:paraId="54516ABA" w14:textId="77777777" w:rsidTr="0025636E">
        <w:trPr>
          <w:cantSplit/>
        </w:trPr>
        <w:tc>
          <w:tcPr>
            <w:tcW w:w="2127" w:type="dxa"/>
            <w:shd w:val="clear" w:color="auto" w:fill="auto"/>
          </w:tcPr>
          <w:p w14:paraId="56416429" w14:textId="77777777" w:rsidR="001C794B" w:rsidRPr="001C794B" w:rsidRDefault="001C794B" w:rsidP="001C794B">
            <w:pPr>
              <w:spacing w:before="60" w:after="60" w:line="240" w:lineRule="auto"/>
              <w:ind w:left="0"/>
              <w:rPr>
                <w:rFonts w:eastAsia="MS Mincho" w:cs="Arial"/>
                <w:b/>
                <w:bCs/>
                <w:i/>
                <w:iCs/>
                <w:color w:val="22058A"/>
                <w:sz w:val="20"/>
                <w:szCs w:val="20"/>
                <w:lang w:eastAsia="en-US"/>
              </w:rPr>
            </w:pPr>
            <w:r w:rsidRPr="001C794B">
              <w:rPr>
                <w:rFonts w:cs="Arial"/>
                <w:sz w:val="20"/>
                <w:szCs w:val="20"/>
              </w:rPr>
              <w:t>Fauna disturbance</w:t>
            </w:r>
          </w:p>
        </w:tc>
        <w:tc>
          <w:tcPr>
            <w:tcW w:w="2126" w:type="dxa"/>
            <w:shd w:val="clear" w:color="auto" w:fill="auto"/>
          </w:tcPr>
          <w:p w14:paraId="25AC5F19"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Unlikely</w:t>
            </w:r>
          </w:p>
        </w:tc>
        <w:tc>
          <w:tcPr>
            <w:tcW w:w="2268" w:type="dxa"/>
            <w:shd w:val="clear" w:color="auto" w:fill="auto"/>
          </w:tcPr>
          <w:p w14:paraId="60C912A1"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Insignificant</w:t>
            </w:r>
          </w:p>
        </w:tc>
        <w:tc>
          <w:tcPr>
            <w:tcW w:w="1985" w:type="dxa"/>
            <w:shd w:val="clear" w:color="auto" w:fill="66FF66"/>
          </w:tcPr>
          <w:p w14:paraId="1CDC8E72"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Low</w:t>
            </w:r>
          </w:p>
        </w:tc>
      </w:tr>
    </w:tbl>
    <w:p w14:paraId="52784E11" w14:textId="77777777" w:rsidR="001C794B" w:rsidRPr="001C794B" w:rsidRDefault="001C794B" w:rsidP="001C794B">
      <w:pPr>
        <w:keepNext/>
        <w:numPr>
          <w:ilvl w:val="2"/>
          <w:numId w:val="1"/>
        </w:numPr>
        <w:tabs>
          <w:tab w:val="left" w:pos="1080"/>
        </w:tabs>
        <w:spacing w:before="240" w:after="240"/>
        <w:ind w:left="1225" w:hanging="505"/>
        <w:outlineLvl w:val="2"/>
        <w:rPr>
          <w:rFonts w:cs="Arial"/>
          <w:b/>
          <w:bCs/>
          <w:color w:val="1C1C1C"/>
        </w:rPr>
      </w:pPr>
      <w:bookmarkStart w:id="1275" w:name="_Toc501535914"/>
      <w:r w:rsidRPr="001C794B">
        <w:rPr>
          <w:rFonts w:cs="Arial"/>
          <w:b/>
          <w:bCs/>
          <w:color w:val="1C1C1C"/>
        </w:rPr>
        <w:t>Protection and Deflection</w:t>
      </w:r>
      <w:bookmarkEnd w:id="1275"/>
      <w:r w:rsidRPr="001C794B">
        <w:rPr>
          <w:rFonts w:cs="Arial"/>
          <w:b/>
          <w:bCs/>
          <w:color w:val="1C1C1C"/>
        </w:rPr>
        <w:t xml:space="preserve"> </w:t>
      </w:r>
    </w:p>
    <w:p w14:paraId="6C57BC9D" w14:textId="77777777" w:rsidR="001C794B" w:rsidRPr="001C794B" w:rsidRDefault="001C794B" w:rsidP="001C794B">
      <w:pPr>
        <w:spacing w:after="120" w:line="240" w:lineRule="auto"/>
        <w:ind w:left="0"/>
        <w:rPr>
          <w:rFonts w:cs="Arial"/>
          <w:sz w:val="22"/>
          <w:szCs w:val="22"/>
        </w:rPr>
      </w:pPr>
      <w:r w:rsidRPr="001C794B">
        <w:rPr>
          <w:rFonts w:cs="Arial"/>
          <w:sz w:val="22"/>
          <w:szCs w:val="22"/>
        </w:rPr>
        <w:t xml:space="preserve">Oil spill protection and deflection is addressed in Section 8 of the OPEP. </w:t>
      </w:r>
    </w:p>
    <w:p w14:paraId="7CEBB616"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Scope of Activity</w:t>
      </w:r>
    </w:p>
    <w:p w14:paraId="79B56F23" w14:textId="77777777" w:rsidR="001C794B" w:rsidRPr="001C794B" w:rsidRDefault="001C794B" w:rsidP="001C794B">
      <w:pPr>
        <w:spacing w:after="120" w:line="240" w:lineRule="auto"/>
        <w:ind w:left="0"/>
        <w:rPr>
          <w:rFonts w:cs="Arial"/>
          <w:sz w:val="22"/>
          <w:szCs w:val="22"/>
        </w:rPr>
      </w:pPr>
      <w:r w:rsidRPr="001C794B">
        <w:rPr>
          <w:rFonts w:cs="Arial"/>
          <w:sz w:val="22"/>
          <w:szCs w:val="22"/>
        </w:rPr>
        <w:t>Protection and deflection involves deploying boom to protect coastal sensitivities from the impacts of oil. This response will be activated onshore and in nearshore waters where surveillance and tracking activities identify that coastal areas of high or moderate sensitivity are likely to be impacted by MDO.</w:t>
      </w:r>
    </w:p>
    <w:p w14:paraId="40758960" w14:textId="77777777" w:rsidR="001C794B" w:rsidRPr="001C794B" w:rsidRDefault="001C794B" w:rsidP="001C794B">
      <w:pPr>
        <w:spacing w:after="120" w:line="240" w:lineRule="auto"/>
        <w:ind w:left="0"/>
        <w:rPr>
          <w:rFonts w:cs="Arial"/>
          <w:sz w:val="22"/>
          <w:szCs w:val="22"/>
        </w:rPr>
      </w:pPr>
      <w:r w:rsidRPr="001C794B">
        <w:rPr>
          <w:rFonts w:cs="Arial"/>
          <w:sz w:val="22"/>
          <w:szCs w:val="22"/>
        </w:rPr>
        <w:t>In brief:</w:t>
      </w:r>
    </w:p>
    <w:p w14:paraId="782404DC" w14:textId="77777777" w:rsidR="001C794B" w:rsidRPr="001C794B" w:rsidRDefault="001C794B" w:rsidP="001C794B">
      <w:pPr>
        <w:numPr>
          <w:ilvl w:val="0"/>
          <w:numId w:val="295"/>
        </w:numPr>
        <w:spacing w:after="120" w:line="240" w:lineRule="auto"/>
        <w:rPr>
          <w:rFonts w:cs="Arial"/>
          <w:sz w:val="22"/>
          <w:szCs w:val="22"/>
        </w:rPr>
      </w:pPr>
      <w:r w:rsidRPr="001C794B">
        <w:rPr>
          <w:rFonts w:cs="Arial"/>
          <w:sz w:val="22"/>
          <w:szCs w:val="22"/>
        </w:rPr>
        <w:lastRenderedPageBreak/>
        <w:t>Deflection booming – is deployed to deflect/divert the oil to a suitable collection point on the shoreline or at sea (generally to a less sensitive area than the receptor being protected) for subsequent removal.</w:t>
      </w:r>
    </w:p>
    <w:p w14:paraId="18DB55B9" w14:textId="77777777" w:rsidR="001C794B" w:rsidRPr="001C794B" w:rsidRDefault="001C794B" w:rsidP="001C794B">
      <w:pPr>
        <w:numPr>
          <w:ilvl w:val="0"/>
          <w:numId w:val="295"/>
        </w:numPr>
        <w:spacing w:after="120" w:line="240" w:lineRule="auto"/>
        <w:rPr>
          <w:rFonts w:cs="Arial"/>
          <w:sz w:val="22"/>
          <w:szCs w:val="22"/>
        </w:rPr>
      </w:pPr>
      <w:r w:rsidRPr="001C794B">
        <w:rPr>
          <w:rFonts w:cs="Arial"/>
          <w:sz w:val="22"/>
          <w:szCs w:val="22"/>
        </w:rPr>
        <w:t>Protection booming – is deployed to hold the oil back away from environmental or socio-economic sensitivities (e.g., river mouths, shorebird nesting sites, seal haul-out sites).</w:t>
      </w:r>
    </w:p>
    <w:p w14:paraId="31745FF7" w14:textId="77777777" w:rsidR="001C794B" w:rsidRPr="001C794B" w:rsidRDefault="001C794B" w:rsidP="001C794B">
      <w:pPr>
        <w:spacing w:after="120" w:line="240" w:lineRule="auto"/>
        <w:ind w:left="0"/>
        <w:rPr>
          <w:rFonts w:cs="Arial"/>
          <w:sz w:val="22"/>
          <w:szCs w:val="22"/>
        </w:rPr>
      </w:pPr>
      <w:r w:rsidRPr="001C794B">
        <w:rPr>
          <w:rFonts w:cs="Arial"/>
          <w:sz w:val="22"/>
          <w:szCs w:val="22"/>
        </w:rPr>
        <w:t>Various anchoring methods are required depending on the type of boom and its location. For example, when used on the shoreline itself, boom skirts are replaced with water-filled chambers designed to allow the boom to settle on an exposed shoreline at low tide.</w:t>
      </w:r>
    </w:p>
    <w:p w14:paraId="589264B0" w14:textId="77777777" w:rsidR="001C794B" w:rsidRPr="001C794B" w:rsidRDefault="001C794B" w:rsidP="001C794B">
      <w:pPr>
        <w:keepNext/>
        <w:spacing w:after="120" w:line="240" w:lineRule="auto"/>
        <w:ind w:left="851"/>
        <w:jc w:val="center"/>
        <w:rPr>
          <w:rFonts w:cs="Arial"/>
          <w:b/>
          <w:sz w:val="20"/>
          <w:szCs w:val="20"/>
        </w:rPr>
      </w:pPr>
    </w:p>
    <w:p w14:paraId="032DAB9A" w14:textId="77777777" w:rsidR="001C794B" w:rsidRPr="001C794B" w:rsidRDefault="001C794B" w:rsidP="001C794B">
      <w:pPr>
        <w:spacing w:after="120" w:line="240" w:lineRule="auto"/>
        <w:ind w:left="0"/>
        <w:rPr>
          <w:rFonts w:ascii="Tahoma" w:hAnsi="Tahoma" w:cs="Arial"/>
          <w:szCs w:val="20"/>
        </w:rPr>
      </w:pPr>
    </w:p>
    <w:p w14:paraId="0A1CE97F"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Protection Priorities</w:t>
      </w:r>
    </w:p>
    <w:p w14:paraId="1236699C" w14:textId="77777777" w:rsidR="001C794B" w:rsidRPr="001C794B" w:rsidRDefault="001C794B" w:rsidP="001C794B">
      <w:pPr>
        <w:spacing w:after="120" w:line="240" w:lineRule="auto"/>
        <w:ind w:left="0"/>
        <w:rPr>
          <w:rFonts w:cs="Arial"/>
          <w:sz w:val="22"/>
          <w:szCs w:val="22"/>
        </w:rPr>
      </w:pPr>
      <w:r w:rsidRPr="001C794B">
        <w:rPr>
          <w:rFonts w:cs="Arial"/>
          <w:sz w:val="22"/>
          <w:szCs w:val="22"/>
        </w:rPr>
        <w:t xml:space="preserve">Estuaries within the EMBA that may require deflection and protection are listed in Section 8 of the OPEP. </w:t>
      </w:r>
    </w:p>
    <w:p w14:paraId="4C7E402E"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Availability</w:t>
      </w:r>
    </w:p>
    <w:p w14:paraId="22711059" w14:textId="77777777" w:rsidR="001C794B" w:rsidRPr="001C794B" w:rsidRDefault="001C794B" w:rsidP="001C794B">
      <w:pPr>
        <w:spacing w:after="240" w:line="240" w:lineRule="auto"/>
        <w:ind w:left="0"/>
        <w:rPr>
          <w:sz w:val="18"/>
          <w:szCs w:val="18"/>
        </w:rPr>
      </w:pPr>
      <w:r w:rsidRPr="001C794B">
        <w:rPr>
          <w:sz w:val="22"/>
          <w:szCs w:val="22"/>
        </w:rPr>
        <w:t xml:space="preserve">The DEDJTR maintains operational monitoring capability and implements operational monitoring for Level 2 or 3 vessel-based incidents, as outlined in the State Maritime Emergencies NSR (EMV, 2016). </w:t>
      </w:r>
    </w:p>
    <w:p w14:paraId="668CEA37" w14:textId="77777777" w:rsidR="001C794B" w:rsidRPr="001C794B" w:rsidRDefault="001C794B" w:rsidP="001C794B">
      <w:pPr>
        <w:spacing w:after="120" w:line="240" w:lineRule="auto"/>
        <w:ind w:left="0"/>
        <w:rPr>
          <w:rFonts w:ascii="Tahoma" w:hAnsi="Tahoma" w:cs="Arial"/>
          <w:szCs w:val="20"/>
        </w:rPr>
      </w:pPr>
    </w:p>
    <w:p w14:paraId="47022F8C"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Hazards</w:t>
      </w:r>
    </w:p>
    <w:p w14:paraId="39E6F975" w14:textId="77777777" w:rsidR="001C794B" w:rsidRPr="001C794B" w:rsidRDefault="001C794B" w:rsidP="001C794B">
      <w:pPr>
        <w:ind w:left="0"/>
        <w:rPr>
          <w:rFonts w:cs="Arial"/>
          <w:sz w:val="22"/>
          <w:szCs w:val="22"/>
        </w:rPr>
      </w:pPr>
      <w:r w:rsidRPr="001C794B">
        <w:rPr>
          <w:rFonts w:cs="Arial"/>
          <w:sz w:val="22"/>
          <w:szCs w:val="22"/>
        </w:rPr>
        <w:t xml:space="preserve">The hazards associated with protection and deflection booming are: </w:t>
      </w:r>
    </w:p>
    <w:p w14:paraId="6CFCD10C" w14:textId="77777777" w:rsidR="001C794B" w:rsidRPr="001C794B" w:rsidRDefault="001C794B" w:rsidP="001C794B">
      <w:pPr>
        <w:ind w:left="0"/>
        <w:rPr>
          <w:rFonts w:cs="Arial"/>
          <w:sz w:val="22"/>
          <w:szCs w:val="22"/>
        </w:rPr>
      </w:pPr>
    </w:p>
    <w:p w14:paraId="39ECA781"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 xml:space="preserve">Additional vessel activity; </w:t>
      </w:r>
    </w:p>
    <w:p w14:paraId="46E2DA27"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Boom deployment and management; and</w:t>
      </w:r>
    </w:p>
    <w:p w14:paraId="07D7DF4A"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Waste collection.</w:t>
      </w:r>
    </w:p>
    <w:p w14:paraId="7F9DDA8B" w14:textId="77777777" w:rsidR="001C794B" w:rsidRPr="001C794B" w:rsidRDefault="001C794B" w:rsidP="001C794B">
      <w:pPr>
        <w:spacing w:after="120" w:line="240" w:lineRule="auto"/>
        <w:ind w:left="0"/>
        <w:rPr>
          <w:rFonts w:cs="Arial"/>
          <w:b/>
          <w:sz w:val="22"/>
          <w:szCs w:val="22"/>
        </w:rPr>
      </w:pPr>
    </w:p>
    <w:p w14:paraId="65D5FD55"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Known and Potential Impacts of the Response Activity</w:t>
      </w:r>
    </w:p>
    <w:p w14:paraId="5D6482DD" w14:textId="77777777" w:rsidR="001C794B" w:rsidRPr="001C794B" w:rsidRDefault="001C794B" w:rsidP="001C794B">
      <w:pPr>
        <w:spacing w:after="120" w:line="240" w:lineRule="auto"/>
        <w:ind w:left="0"/>
        <w:rPr>
          <w:rFonts w:cs="Arial"/>
          <w:sz w:val="22"/>
          <w:szCs w:val="22"/>
        </w:rPr>
      </w:pPr>
      <w:r w:rsidRPr="001C794B">
        <w:rPr>
          <w:rFonts w:cs="Arial"/>
          <w:sz w:val="22"/>
          <w:szCs w:val="22"/>
        </w:rPr>
        <w:t xml:space="preserve">The known and potential impacts associated with protection and deflection booming are: </w:t>
      </w:r>
    </w:p>
    <w:p w14:paraId="73FD4215"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Routine and non-routine impacts and risks associated with vessel operations (as outlined throughout Chapter 7); and</w:t>
      </w:r>
    </w:p>
    <w:p w14:paraId="55DD0BC0"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Damage to nearshore habitats from inshore shallow draught vessel activities and boom anchoring;</w:t>
      </w:r>
    </w:p>
    <w:p w14:paraId="1C18A2CA"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Damage to shoreline environments from vehicle, machinery and/or foot access and associated land use (e.g., waste storage);</w:t>
      </w:r>
    </w:p>
    <w:p w14:paraId="7829D148"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Deeper mixing of hydrocarbons within beach sediments; and</w:t>
      </w:r>
    </w:p>
    <w:p w14:paraId="774EB64E" w14:textId="77777777" w:rsidR="001C794B" w:rsidRPr="001C794B" w:rsidRDefault="001C794B" w:rsidP="001C794B">
      <w:pPr>
        <w:numPr>
          <w:ilvl w:val="0"/>
          <w:numId w:val="173"/>
        </w:numPr>
        <w:spacing w:after="240" w:line="240" w:lineRule="auto"/>
        <w:ind w:left="714" w:hanging="357"/>
        <w:contextualSpacing/>
        <w:rPr>
          <w:rFonts w:cs="Arial"/>
          <w:sz w:val="22"/>
          <w:szCs w:val="22"/>
        </w:rPr>
      </w:pPr>
      <w:r w:rsidRPr="001C794B">
        <w:rPr>
          <w:rFonts w:cs="Arial"/>
          <w:sz w:val="22"/>
          <w:szCs w:val="22"/>
        </w:rPr>
        <w:t xml:space="preserve">Secondary contamination of the shoreline (e.g., from personnel movement).  </w:t>
      </w:r>
    </w:p>
    <w:p w14:paraId="42F9B8DD" w14:textId="77777777" w:rsidR="0025636E" w:rsidRDefault="0025636E" w:rsidP="001C794B">
      <w:pPr>
        <w:spacing w:after="120" w:line="240" w:lineRule="auto"/>
        <w:ind w:left="0"/>
        <w:rPr>
          <w:rFonts w:cs="Arial"/>
          <w:b/>
          <w:sz w:val="22"/>
          <w:szCs w:val="22"/>
        </w:rPr>
      </w:pPr>
    </w:p>
    <w:p w14:paraId="21B4D7FB"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Evaluation of Environmental Impacts and Risks</w:t>
      </w:r>
    </w:p>
    <w:p w14:paraId="31CE8596" w14:textId="77777777" w:rsidR="001C794B" w:rsidRPr="001C794B" w:rsidRDefault="001C794B" w:rsidP="001C794B">
      <w:pPr>
        <w:ind w:left="0"/>
        <w:rPr>
          <w:rFonts w:cs="Arial"/>
          <w:sz w:val="22"/>
          <w:szCs w:val="22"/>
        </w:rPr>
      </w:pPr>
      <w:r w:rsidRPr="001C794B">
        <w:rPr>
          <w:rFonts w:cs="Arial"/>
          <w:sz w:val="22"/>
          <w:szCs w:val="22"/>
        </w:rPr>
        <w:t xml:space="preserve">The known and potential impacts associated with routine and non-routine vessel operations are assessed in Section 7.1 to 7.14 and are not repeated here. </w:t>
      </w:r>
    </w:p>
    <w:p w14:paraId="5AE79751" w14:textId="77777777" w:rsidR="001C794B" w:rsidRPr="001C794B" w:rsidRDefault="001C794B" w:rsidP="001C794B">
      <w:pPr>
        <w:ind w:left="0"/>
        <w:rPr>
          <w:rFonts w:cs="Arial"/>
          <w:sz w:val="22"/>
          <w:szCs w:val="22"/>
        </w:rPr>
      </w:pPr>
    </w:p>
    <w:p w14:paraId="01A4F7BD" w14:textId="77777777" w:rsidR="001C794B" w:rsidRPr="001C794B" w:rsidRDefault="001C794B" w:rsidP="001C794B">
      <w:pPr>
        <w:ind w:left="0"/>
        <w:rPr>
          <w:rFonts w:cs="Arial"/>
          <w:sz w:val="22"/>
          <w:szCs w:val="22"/>
        </w:rPr>
      </w:pPr>
      <w:r w:rsidRPr="001C794B">
        <w:rPr>
          <w:rFonts w:cs="Arial"/>
          <w:sz w:val="22"/>
          <w:szCs w:val="22"/>
        </w:rPr>
        <w:t xml:space="preserve">The nature of disturbance to the shoreline from vehicle and foot access (and associated land use activities such as equipment laydown areas, ablution facilities for </w:t>
      </w:r>
      <w:r w:rsidRPr="001C794B">
        <w:rPr>
          <w:rFonts w:cs="Arial"/>
          <w:sz w:val="22"/>
          <w:szCs w:val="22"/>
        </w:rPr>
        <w:lastRenderedPageBreak/>
        <w:t xml:space="preserve">responders, etc) is dependent on the location and scale of activities in any given area. </w:t>
      </w:r>
    </w:p>
    <w:p w14:paraId="30C0C40F" w14:textId="77777777" w:rsidR="001C794B" w:rsidRPr="001C794B" w:rsidRDefault="001C794B" w:rsidP="001C794B">
      <w:pPr>
        <w:ind w:left="0"/>
        <w:rPr>
          <w:rFonts w:cs="Arial"/>
          <w:sz w:val="22"/>
          <w:szCs w:val="22"/>
        </w:rPr>
      </w:pPr>
    </w:p>
    <w:p w14:paraId="6E2E4857" w14:textId="77777777" w:rsidR="001C794B" w:rsidRPr="001C794B" w:rsidRDefault="001C794B" w:rsidP="001C794B">
      <w:pPr>
        <w:ind w:left="0"/>
        <w:rPr>
          <w:rFonts w:cs="Arial"/>
          <w:sz w:val="22"/>
          <w:szCs w:val="22"/>
        </w:rPr>
      </w:pPr>
      <w:r w:rsidRPr="001C794B">
        <w:rPr>
          <w:rFonts w:cs="Arial"/>
          <w:sz w:val="22"/>
          <w:szCs w:val="22"/>
        </w:rPr>
        <w:t xml:space="preserve">A booming layout strategy for each of the estuaries in the EMBA has not been prepared, given most of them will not be open to the sea during the warmer months. DEDJTR will prepare an operational NEBA at the time of a spill if any estuaries in the path of an MDO spill are open, tailored to the conditions at the time. </w:t>
      </w:r>
    </w:p>
    <w:p w14:paraId="009A3599" w14:textId="77777777" w:rsidR="001C794B" w:rsidRPr="001C794B" w:rsidRDefault="001C794B" w:rsidP="001C794B">
      <w:pPr>
        <w:ind w:left="0"/>
        <w:rPr>
          <w:rFonts w:cs="Arial"/>
          <w:sz w:val="22"/>
          <w:szCs w:val="22"/>
        </w:rPr>
      </w:pPr>
    </w:p>
    <w:p w14:paraId="3706CD61" w14:textId="77777777" w:rsidR="001C794B" w:rsidRPr="001C794B" w:rsidRDefault="001C794B" w:rsidP="001C794B">
      <w:pPr>
        <w:ind w:left="0"/>
        <w:rPr>
          <w:rFonts w:cs="Arial"/>
          <w:sz w:val="22"/>
          <w:szCs w:val="22"/>
        </w:rPr>
      </w:pPr>
      <w:r w:rsidRPr="001C794B">
        <w:rPr>
          <w:rFonts w:cs="Arial"/>
          <w:sz w:val="22"/>
          <w:szCs w:val="22"/>
        </w:rPr>
        <w:t>The following impacts may eventuate in the event of deploying protection and deflection booming:</w:t>
      </w:r>
    </w:p>
    <w:p w14:paraId="1B01CED2" w14:textId="77777777" w:rsidR="001C794B" w:rsidRPr="001C794B" w:rsidRDefault="001C794B" w:rsidP="001C794B">
      <w:pPr>
        <w:ind w:left="0"/>
        <w:rPr>
          <w:rFonts w:cs="Arial"/>
          <w:sz w:val="22"/>
          <w:szCs w:val="22"/>
        </w:rPr>
      </w:pPr>
    </w:p>
    <w:p w14:paraId="2F67FF4B" w14:textId="77777777" w:rsidR="001C794B" w:rsidRPr="001C794B" w:rsidRDefault="001C794B" w:rsidP="001C794B">
      <w:pPr>
        <w:numPr>
          <w:ilvl w:val="0"/>
          <w:numId w:val="305"/>
        </w:numPr>
        <w:contextualSpacing/>
        <w:rPr>
          <w:rFonts w:cs="Arial"/>
          <w:sz w:val="22"/>
          <w:szCs w:val="22"/>
        </w:rPr>
      </w:pPr>
      <w:r w:rsidRPr="001C794B">
        <w:rPr>
          <w:rFonts w:cs="Arial"/>
          <w:sz w:val="22"/>
          <w:szCs w:val="22"/>
        </w:rPr>
        <w:t>Damage to nearshore habitats (such as seagrass meadows) from inshore shallow draught vessel activities and boom anchoring may temporarily alter the dynamics of local ecosystems. Sandy habitats are generally able to quickly self-repair due to tidal movements that replenish sand.</w:t>
      </w:r>
    </w:p>
    <w:p w14:paraId="43B9B225" w14:textId="77777777" w:rsidR="001C794B" w:rsidRPr="001C794B" w:rsidRDefault="001C794B" w:rsidP="001C794B">
      <w:pPr>
        <w:numPr>
          <w:ilvl w:val="0"/>
          <w:numId w:val="305"/>
        </w:numPr>
        <w:contextualSpacing/>
        <w:rPr>
          <w:rFonts w:cs="Arial"/>
          <w:sz w:val="22"/>
          <w:szCs w:val="22"/>
        </w:rPr>
      </w:pPr>
      <w:r w:rsidRPr="001C794B">
        <w:rPr>
          <w:rFonts w:cs="Arial"/>
          <w:sz w:val="22"/>
          <w:szCs w:val="22"/>
        </w:rPr>
        <w:t>Damage to shoreline environments from vehicle and foot access and associated land use may disturb Aboriginal cultural heritage areas (such as shell middens), and temporarily disturb shoreline bird feeding, nesting, roosting or breeding activities, which may in turn impact on local population dynamics. Coastal vegetation disturbed as a result of gaining access to response sites is likely to regenerate once disturbance has ceased (or can be actively revegetated if natural regeneration is not successful). Shoreline access may also result in soil compaction and erosion, which may result in poor vegetation growth or vegetation death.</w:t>
      </w:r>
    </w:p>
    <w:p w14:paraId="45F3FD5F" w14:textId="77777777" w:rsidR="001C794B" w:rsidRPr="001C794B" w:rsidRDefault="001C794B" w:rsidP="001C794B">
      <w:pPr>
        <w:numPr>
          <w:ilvl w:val="0"/>
          <w:numId w:val="305"/>
        </w:numPr>
        <w:contextualSpacing/>
        <w:rPr>
          <w:rFonts w:cs="Arial"/>
          <w:sz w:val="22"/>
          <w:szCs w:val="22"/>
        </w:rPr>
      </w:pPr>
      <w:r w:rsidRPr="001C794B">
        <w:rPr>
          <w:rFonts w:cs="Arial"/>
          <w:sz w:val="22"/>
          <w:szCs w:val="22"/>
        </w:rPr>
        <w:t xml:space="preserve">As a result of digging trenches along the beach to trap oil, together with vehicle and foot access along the shore, oil may mix deeper into the beach sediments than it would normally. This has the potential to increase the duration of exposure to toxic components of the oil by delaying the natural weathering process, though constant wave action along the exposed coastline encourages rapid weathering. </w:t>
      </w:r>
    </w:p>
    <w:p w14:paraId="3C4C0DBD" w14:textId="77777777" w:rsidR="001C794B" w:rsidRPr="001C794B" w:rsidRDefault="001C794B" w:rsidP="001C794B">
      <w:pPr>
        <w:numPr>
          <w:ilvl w:val="0"/>
          <w:numId w:val="305"/>
        </w:numPr>
        <w:contextualSpacing/>
        <w:rPr>
          <w:rFonts w:cs="Arial"/>
          <w:sz w:val="22"/>
          <w:szCs w:val="22"/>
        </w:rPr>
      </w:pPr>
      <w:r w:rsidRPr="001C794B">
        <w:rPr>
          <w:rFonts w:cs="Arial"/>
          <w:sz w:val="22"/>
          <w:szCs w:val="22"/>
        </w:rPr>
        <w:t>Secondary contamination of the shoreline may occur through vehicle, equipment and foot access spreading oil along and immediately behind the shoreline in areas not originally oiled. This exposes more habitat, flora and fauna to oiling than originally impacted by the spill itself, with the associated impacts of smothering (toxicity is unlikely with weathered MDO), together with potentially creating larger recreational activity exclusion zones.</w:t>
      </w:r>
    </w:p>
    <w:p w14:paraId="4CB7D889" w14:textId="77777777" w:rsidR="001C794B" w:rsidRPr="001C794B" w:rsidRDefault="001C794B" w:rsidP="001C794B">
      <w:pPr>
        <w:ind w:left="0"/>
        <w:rPr>
          <w:rFonts w:cs="Arial"/>
          <w:sz w:val="22"/>
          <w:szCs w:val="22"/>
        </w:rPr>
      </w:pPr>
    </w:p>
    <w:p w14:paraId="43FAE78C"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Environmental Impact and Risk Assessment</w:t>
      </w:r>
    </w:p>
    <w:p w14:paraId="0B91AF4B" w14:textId="77777777" w:rsidR="001C794B" w:rsidRPr="001C794B" w:rsidRDefault="001C794B" w:rsidP="001C794B">
      <w:pPr>
        <w:spacing w:after="120"/>
        <w:ind w:left="0"/>
        <w:rPr>
          <w:sz w:val="22"/>
          <w:szCs w:val="22"/>
        </w:rPr>
      </w:pPr>
      <w:r w:rsidRPr="001C794B">
        <w:rPr>
          <w:rFonts w:cs="Arial"/>
          <w:sz w:val="22"/>
          <w:szCs w:val="22"/>
        </w:rPr>
        <w:t xml:space="preserve">The following control measures will be implemented for oil spill protection and deflection activities: </w:t>
      </w:r>
      <w:r w:rsidRPr="001C794B">
        <w:rPr>
          <w:sz w:val="22"/>
          <w:szCs w:val="22"/>
        </w:rPr>
        <w:t xml:space="preserve"> </w:t>
      </w:r>
    </w:p>
    <w:p w14:paraId="6EFE8405" w14:textId="77777777" w:rsidR="001C794B" w:rsidRPr="001C794B" w:rsidRDefault="001C794B" w:rsidP="001C794B">
      <w:pPr>
        <w:spacing w:after="240" w:line="240" w:lineRule="auto"/>
        <w:ind w:left="0"/>
        <w:rPr>
          <w:rFonts w:cs="Arial"/>
          <w:sz w:val="22"/>
          <w:szCs w:val="22"/>
        </w:rPr>
      </w:pPr>
      <w:r w:rsidRPr="001C794B">
        <w:rPr>
          <w:rFonts w:cs="Arial"/>
          <w:sz w:val="22"/>
          <w:szCs w:val="22"/>
        </w:rPr>
        <w:t>Preparedness</w:t>
      </w:r>
    </w:p>
    <w:p w14:paraId="351BA15D" w14:textId="77777777" w:rsidR="001C794B" w:rsidRPr="001C794B" w:rsidRDefault="001C794B" w:rsidP="001C794B">
      <w:pPr>
        <w:numPr>
          <w:ilvl w:val="0"/>
          <w:numId w:val="559"/>
        </w:numPr>
        <w:spacing w:after="240" w:line="240" w:lineRule="auto"/>
        <w:rPr>
          <w:rFonts w:cs="Arial"/>
          <w:sz w:val="22"/>
          <w:szCs w:val="22"/>
        </w:rPr>
      </w:pPr>
      <w:r w:rsidRPr="001C794B">
        <w:rPr>
          <w:rFonts w:cs="Arial"/>
          <w:sz w:val="22"/>
          <w:szCs w:val="22"/>
        </w:rPr>
        <w:t xml:space="preserve">Access to operational response capabilities is maintained through the Maritime Emergencies NSR Plan.  </w:t>
      </w:r>
    </w:p>
    <w:p w14:paraId="000A35B2" w14:textId="77777777" w:rsidR="001C794B" w:rsidRPr="001C794B" w:rsidRDefault="001C794B" w:rsidP="001C794B">
      <w:pPr>
        <w:numPr>
          <w:ilvl w:val="0"/>
          <w:numId w:val="559"/>
        </w:numPr>
        <w:spacing w:after="240" w:line="240" w:lineRule="auto"/>
        <w:rPr>
          <w:rFonts w:cs="Arial"/>
          <w:sz w:val="22"/>
          <w:szCs w:val="22"/>
        </w:rPr>
      </w:pPr>
      <w:r w:rsidRPr="001C794B">
        <w:rPr>
          <w:rFonts w:cs="Arial"/>
          <w:sz w:val="22"/>
          <w:szCs w:val="22"/>
        </w:rPr>
        <w:t xml:space="preserve">DEDJTR participates in regular desktop and shoreline/on-water drills to test response capabilities. </w:t>
      </w:r>
    </w:p>
    <w:p w14:paraId="22BA9707" w14:textId="77777777" w:rsidR="001C794B" w:rsidRPr="001C794B" w:rsidRDefault="001C794B" w:rsidP="001C794B">
      <w:pPr>
        <w:numPr>
          <w:ilvl w:val="0"/>
          <w:numId w:val="559"/>
        </w:numPr>
        <w:spacing w:after="240" w:line="240" w:lineRule="auto"/>
        <w:rPr>
          <w:rFonts w:cs="Arial"/>
          <w:sz w:val="22"/>
          <w:szCs w:val="22"/>
        </w:rPr>
      </w:pPr>
      <w:r w:rsidRPr="001C794B">
        <w:rPr>
          <w:rFonts w:cs="Arial"/>
          <w:sz w:val="22"/>
          <w:szCs w:val="22"/>
        </w:rPr>
        <w:t>DEDJTR ensures that regular inspection and testing is undertaken for its oil spill response equipment (for booming, this is related to boom and associated equipment).</w:t>
      </w:r>
    </w:p>
    <w:p w14:paraId="6B40A535" w14:textId="77777777" w:rsidR="001C794B" w:rsidRPr="001C794B" w:rsidRDefault="001C794B" w:rsidP="001C794B">
      <w:pPr>
        <w:spacing w:after="240" w:line="240" w:lineRule="auto"/>
        <w:ind w:left="0"/>
        <w:rPr>
          <w:rFonts w:cs="Arial"/>
          <w:sz w:val="22"/>
          <w:szCs w:val="22"/>
        </w:rPr>
      </w:pPr>
      <w:r w:rsidRPr="001C794B">
        <w:rPr>
          <w:rFonts w:cs="Arial"/>
          <w:sz w:val="22"/>
          <w:szCs w:val="22"/>
        </w:rPr>
        <w:t>Response</w:t>
      </w:r>
    </w:p>
    <w:p w14:paraId="2A0EDC8A" w14:textId="77777777" w:rsidR="001C794B" w:rsidRPr="001C794B" w:rsidRDefault="001C794B" w:rsidP="001C794B">
      <w:pPr>
        <w:numPr>
          <w:ilvl w:val="0"/>
          <w:numId w:val="560"/>
        </w:numPr>
        <w:spacing w:after="240" w:line="240" w:lineRule="auto"/>
        <w:rPr>
          <w:rFonts w:cs="Arial"/>
          <w:sz w:val="22"/>
          <w:szCs w:val="22"/>
        </w:rPr>
      </w:pPr>
      <w:r w:rsidRPr="001C794B">
        <w:rPr>
          <w:rFonts w:cs="Arial"/>
          <w:sz w:val="22"/>
          <w:szCs w:val="22"/>
        </w:rPr>
        <w:lastRenderedPageBreak/>
        <w:t>Within 6 hrs of spill event notification, SCAT have mobilised to areas of predicted impact (daylight permitting) in consultation with East Gippsland Shire Council. SCAT information provided to IMT for inclusion in operational NEBA.</w:t>
      </w:r>
    </w:p>
    <w:p w14:paraId="172F5E65" w14:textId="77777777" w:rsidR="001C794B" w:rsidRPr="001C794B" w:rsidRDefault="001C794B" w:rsidP="001C794B">
      <w:pPr>
        <w:numPr>
          <w:ilvl w:val="0"/>
          <w:numId w:val="560"/>
        </w:numPr>
        <w:spacing w:after="240" w:line="240" w:lineRule="auto"/>
        <w:rPr>
          <w:rFonts w:cs="Arial"/>
          <w:sz w:val="22"/>
          <w:szCs w:val="22"/>
        </w:rPr>
      </w:pPr>
      <w:r w:rsidRPr="001C794B">
        <w:rPr>
          <w:rFonts w:cs="Arial"/>
          <w:sz w:val="22"/>
          <w:szCs w:val="22"/>
        </w:rPr>
        <w:t xml:space="preserve">An operational NEBA is prepared by the IMT to determine the net benefits of the booming strategy for the shorelines predicted to be contacted by MDO within 4 hours of receiving OSTM.  </w:t>
      </w:r>
    </w:p>
    <w:p w14:paraId="0F450E61" w14:textId="77777777" w:rsidR="001C794B" w:rsidRPr="001C794B" w:rsidRDefault="001C794B" w:rsidP="001C794B">
      <w:pPr>
        <w:numPr>
          <w:ilvl w:val="0"/>
          <w:numId w:val="560"/>
        </w:numPr>
        <w:spacing w:after="240" w:line="240" w:lineRule="auto"/>
        <w:rPr>
          <w:rFonts w:cs="Arial"/>
          <w:sz w:val="22"/>
          <w:szCs w:val="22"/>
        </w:rPr>
      </w:pPr>
      <w:r w:rsidRPr="001C794B">
        <w:rPr>
          <w:rFonts w:cs="Arial"/>
          <w:sz w:val="22"/>
          <w:szCs w:val="22"/>
        </w:rPr>
        <w:t xml:space="preserve">Personnel and equipment resources are deployed to site to undertake the protection and deflection activities within timeframes outlined in the IAP.  </w:t>
      </w:r>
    </w:p>
    <w:p w14:paraId="67454FDD" w14:textId="77777777" w:rsidR="001C794B" w:rsidRPr="001C794B" w:rsidRDefault="001C794B" w:rsidP="001C794B">
      <w:pPr>
        <w:numPr>
          <w:ilvl w:val="0"/>
          <w:numId w:val="560"/>
        </w:numPr>
        <w:spacing w:after="240" w:line="240" w:lineRule="auto"/>
        <w:rPr>
          <w:rFonts w:cs="Arial"/>
          <w:sz w:val="22"/>
          <w:szCs w:val="22"/>
        </w:rPr>
      </w:pPr>
      <w:r w:rsidRPr="001C794B">
        <w:rPr>
          <w:rFonts w:cs="Arial"/>
          <w:sz w:val="22"/>
          <w:szCs w:val="22"/>
        </w:rPr>
        <w:t xml:space="preserve">Booming operations continue until such time as no further sheen is visible on the sea surface, at the direction of the IMT Leader. </w:t>
      </w:r>
    </w:p>
    <w:p w14:paraId="6915CD11" w14:textId="77777777" w:rsidR="001C794B" w:rsidRPr="001C794B" w:rsidRDefault="001C794B" w:rsidP="001C794B">
      <w:pPr>
        <w:spacing w:after="240" w:line="240" w:lineRule="auto"/>
        <w:ind w:left="0"/>
        <w:rPr>
          <w:rFonts w:cs="Arial"/>
          <w:sz w:val="22"/>
          <w:szCs w:val="22"/>
        </w:rPr>
      </w:pPr>
      <w:r w:rsidRPr="001C794B">
        <w:rPr>
          <w:rFonts w:cs="Arial"/>
          <w:sz w:val="22"/>
          <w:szCs w:val="22"/>
        </w:rPr>
        <w:t>Activity controls</w:t>
      </w:r>
    </w:p>
    <w:p w14:paraId="0468E1B7" w14:textId="77777777" w:rsidR="001C794B" w:rsidRPr="001C794B" w:rsidRDefault="001C794B" w:rsidP="001C794B">
      <w:pPr>
        <w:numPr>
          <w:ilvl w:val="0"/>
          <w:numId w:val="561"/>
        </w:numPr>
        <w:spacing w:after="240" w:line="240" w:lineRule="auto"/>
        <w:rPr>
          <w:rFonts w:cs="Arial"/>
          <w:sz w:val="22"/>
          <w:szCs w:val="22"/>
        </w:rPr>
      </w:pPr>
      <w:r w:rsidRPr="001C794B">
        <w:rPr>
          <w:rFonts w:cs="Arial"/>
          <w:sz w:val="22"/>
          <w:szCs w:val="22"/>
        </w:rPr>
        <w:t xml:space="preserve">Environmental briefings are conducted prior to work commencing in order to identify risks and suitable controls. </w:t>
      </w:r>
    </w:p>
    <w:p w14:paraId="46A7E978" w14:textId="77777777" w:rsidR="001C794B" w:rsidRPr="001C794B" w:rsidRDefault="001C794B" w:rsidP="001C794B">
      <w:pPr>
        <w:numPr>
          <w:ilvl w:val="0"/>
          <w:numId w:val="561"/>
        </w:numPr>
        <w:spacing w:after="240" w:line="240" w:lineRule="auto"/>
        <w:rPr>
          <w:rFonts w:cs="Arial"/>
          <w:sz w:val="22"/>
          <w:szCs w:val="22"/>
        </w:rPr>
      </w:pPr>
      <w:r w:rsidRPr="001C794B">
        <w:rPr>
          <w:rFonts w:cs="Arial"/>
          <w:sz w:val="22"/>
          <w:szCs w:val="22"/>
        </w:rPr>
        <w:t xml:space="preserve">Access to shoreline is via established tracks. Access outside of existing tracks and pathways is determined in consultation with local DELWP representatives. </w:t>
      </w:r>
    </w:p>
    <w:p w14:paraId="32B47F14" w14:textId="77777777" w:rsidR="001C794B" w:rsidRPr="001C794B" w:rsidRDefault="001C794B" w:rsidP="001C794B">
      <w:pPr>
        <w:numPr>
          <w:ilvl w:val="0"/>
          <w:numId w:val="561"/>
        </w:numPr>
        <w:spacing w:after="240" w:line="240" w:lineRule="auto"/>
        <w:rPr>
          <w:rFonts w:cs="Arial"/>
          <w:sz w:val="22"/>
          <w:szCs w:val="22"/>
        </w:rPr>
      </w:pPr>
      <w:r w:rsidRPr="001C794B">
        <w:rPr>
          <w:rFonts w:cs="Arial"/>
          <w:sz w:val="22"/>
          <w:szCs w:val="22"/>
        </w:rPr>
        <w:t>Vessels do not anchor in and booms are not anchored to areas of OSRA-mapped or visible kelp forest, reef, sponge gardens or seagrass meadows.</w:t>
      </w:r>
    </w:p>
    <w:p w14:paraId="517BFDFA" w14:textId="77777777" w:rsidR="001C794B" w:rsidRPr="001C794B" w:rsidRDefault="001C794B" w:rsidP="001C794B">
      <w:pPr>
        <w:numPr>
          <w:ilvl w:val="0"/>
          <w:numId w:val="561"/>
        </w:numPr>
        <w:spacing w:after="240" w:line="240" w:lineRule="auto"/>
        <w:rPr>
          <w:rFonts w:cs="Arial"/>
          <w:sz w:val="22"/>
          <w:szCs w:val="22"/>
        </w:rPr>
      </w:pPr>
      <w:r w:rsidRPr="001C794B">
        <w:rPr>
          <w:rFonts w:cs="Arial"/>
          <w:sz w:val="22"/>
          <w:szCs w:val="22"/>
        </w:rPr>
        <w:t>Adequate monitoring personnel are in place at booming locations to maintain and attend to the operability of booms, including the release of fauna caught in booms (where safe to do so).</w:t>
      </w:r>
    </w:p>
    <w:p w14:paraId="1CCB4640" w14:textId="77777777" w:rsidR="001C794B" w:rsidRPr="001C794B" w:rsidRDefault="001C794B" w:rsidP="001C794B">
      <w:pPr>
        <w:numPr>
          <w:ilvl w:val="0"/>
          <w:numId w:val="561"/>
        </w:numPr>
        <w:spacing w:after="240" w:line="240" w:lineRule="auto"/>
        <w:rPr>
          <w:rFonts w:cs="Arial"/>
          <w:sz w:val="22"/>
          <w:szCs w:val="22"/>
        </w:rPr>
      </w:pPr>
      <w:r w:rsidRPr="001C794B">
        <w:rPr>
          <w:rFonts w:cs="Arial"/>
          <w:sz w:val="22"/>
          <w:szCs w:val="22"/>
        </w:rPr>
        <w:t>Vessels maintain buffer distances of at least 100 m from seal colonies.</w:t>
      </w:r>
    </w:p>
    <w:p w14:paraId="3D52C457" w14:textId="77777777" w:rsidR="001C794B" w:rsidRPr="001C794B" w:rsidRDefault="001C794B" w:rsidP="001C794B">
      <w:pPr>
        <w:numPr>
          <w:ilvl w:val="0"/>
          <w:numId w:val="561"/>
        </w:numPr>
        <w:spacing w:after="240" w:line="240" w:lineRule="auto"/>
        <w:rPr>
          <w:rFonts w:cs="Arial"/>
          <w:sz w:val="22"/>
          <w:szCs w:val="22"/>
        </w:rPr>
      </w:pPr>
      <w:r w:rsidRPr="001C794B">
        <w:rPr>
          <w:rFonts w:cs="Arial"/>
          <w:sz w:val="22"/>
          <w:szCs w:val="22"/>
        </w:rPr>
        <w:t>Vessel Masters maintain the following buffer distances around cetaceans (in accordance with the Australian Guidelines for Whale and Dolphin Watching for sea-faring activities):</w:t>
      </w:r>
    </w:p>
    <w:p w14:paraId="2B431533" w14:textId="77777777" w:rsidR="001C794B" w:rsidRPr="001C794B" w:rsidRDefault="001C794B" w:rsidP="001C794B">
      <w:pPr>
        <w:numPr>
          <w:ilvl w:val="0"/>
          <w:numId w:val="178"/>
        </w:numPr>
        <w:tabs>
          <w:tab w:val="clear" w:pos="360"/>
          <w:tab w:val="num" w:pos="1080"/>
        </w:tabs>
        <w:spacing w:after="240" w:line="240" w:lineRule="auto"/>
        <w:ind w:left="1080"/>
        <w:rPr>
          <w:rFonts w:cs="Arial"/>
          <w:sz w:val="22"/>
          <w:szCs w:val="22"/>
        </w:rPr>
      </w:pPr>
      <w:r w:rsidRPr="001C794B">
        <w:rPr>
          <w:rFonts w:cs="Arial"/>
          <w:sz w:val="22"/>
          <w:szCs w:val="22"/>
        </w:rPr>
        <w:t>‘Caution zone’ (300 m either side of whales and 150 m either side of dolphins) – vessels must operate at no wake speed in this zone.</w:t>
      </w:r>
    </w:p>
    <w:p w14:paraId="479105F7" w14:textId="77777777" w:rsidR="001C794B" w:rsidRPr="001C794B" w:rsidRDefault="001C794B" w:rsidP="001C794B">
      <w:pPr>
        <w:numPr>
          <w:ilvl w:val="0"/>
          <w:numId w:val="178"/>
        </w:numPr>
        <w:tabs>
          <w:tab w:val="clear" w:pos="360"/>
          <w:tab w:val="num" w:pos="1080"/>
        </w:tabs>
        <w:spacing w:after="240" w:line="240" w:lineRule="auto"/>
        <w:ind w:left="1080"/>
        <w:rPr>
          <w:rFonts w:cs="Arial"/>
          <w:sz w:val="22"/>
          <w:szCs w:val="22"/>
        </w:rPr>
      </w:pPr>
      <w:r w:rsidRPr="001C794B">
        <w:rPr>
          <w:rFonts w:cs="Arial"/>
          <w:sz w:val="22"/>
          <w:szCs w:val="22"/>
        </w:rPr>
        <w:t>‘No approach zone’ (100 m either side of whales and 50 m either side of dolphins) – vessels should not enter this zone and should not wait in front of the direction</w:t>
      </w:r>
    </w:p>
    <w:p w14:paraId="219EB6AA" w14:textId="77777777" w:rsidR="001C794B" w:rsidRPr="001C794B" w:rsidRDefault="001C794B" w:rsidP="001C794B">
      <w:pPr>
        <w:numPr>
          <w:ilvl w:val="0"/>
          <w:numId w:val="561"/>
        </w:numPr>
        <w:spacing w:after="240" w:line="240" w:lineRule="auto"/>
        <w:rPr>
          <w:rFonts w:cs="Arial"/>
          <w:sz w:val="22"/>
          <w:szCs w:val="22"/>
        </w:rPr>
      </w:pPr>
      <w:r w:rsidRPr="001C794B">
        <w:rPr>
          <w:rFonts w:cs="Arial"/>
          <w:sz w:val="22"/>
          <w:szCs w:val="22"/>
        </w:rPr>
        <w:t xml:space="preserve">Waste storage tanks and hoses are located within a contained, impervious area. </w:t>
      </w:r>
    </w:p>
    <w:p w14:paraId="60D25ABE" w14:textId="77777777" w:rsidR="001C794B" w:rsidRPr="001C794B" w:rsidRDefault="001C794B" w:rsidP="001C794B">
      <w:pPr>
        <w:numPr>
          <w:ilvl w:val="0"/>
          <w:numId w:val="561"/>
        </w:numPr>
        <w:spacing w:after="240" w:line="240" w:lineRule="auto"/>
        <w:rPr>
          <w:rFonts w:cs="Arial"/>
          <w:sz w:val="22"/>
          <w:szCs w:val="22"/>
        </w:rPr>
      </w:pPr>
      <w:r w:rsidRPr="001C794B">
        <w:rPr>
          <w:rFonts w:cs="Arial"/>
          <w:sz w:val="22"/>
          <w:szCs w:val="22"/>
        </w:rPr>
        <w:t>Spill kits are available at oil recovery area and it is under supervision and secured from public access.</w:t>
      </w:r>
    </w:p>
    <w:p w14:paraId="00F013B4" w14:textId="77777777" w:rsidR="001C794B" w:rsidRPr="001C794B" w:rsidRDefault="001C794B" w:rsidP="001C794B">
      <w:pPr>
        <w:numPr>
          <w:ilvl w:val="0"/>
          <w:numId w:val="561"/>
        </w:numPr>
        <w:spacing w:after="240" w:line="240" w:lineRule="auto"/>
        <w:rPr>
          <w:rFonts w:cs="Arial"/>
          <w:sz w:val="22"/>
          <w:szCs w:val="22"/>
        </w:rPr>
      </w:pPr>
      <w:r w:rsidRPr="001C794B">
        <w:rPr>
          <w:rFonts w:cs="Arial"/>
          <w:sz w:val="22"/>
          <w:szCs w:val="22"/>
        </w:rPr>
        <w:t>Collected waste is disposed in accordance with Victorian EPA waste disposal requirements.</w:t>
      </w:r>
    </w:p>
    <w:p w14:paraId="15308A5A" w14:textId="77777777" w:rsidR="001C794B" w:rsidRPr="001C794B" w:rsidRDefault="001C794B" w:rsidP="001C794B">
      <w:pPr>
        <w:spacing w:after="240" w:line="240" w:lineRule="auto"/>
        <w:ind w:left="0"/>
        <w:rPr>
          <w:rFonts w:cs="Arial"/>
          <w:sz w:val="22"/>
          <w:szCs w:val="22"/>
        </w:rPr>
      </w:pPr>
    </w:p>
    <w:p w14:paraId="02386DC0" w14:textId="5AF867C3" w:rsidR="001C794B" w:rsidRPr="001C794B" w:rsidRDefault="00C56475" w:rsidP="001C794B">
      <w:pPr>
        <w:spacing w:after="240" w:line="240" w:lineRule="auto"/>
        <w:ind w:left="0"/>
        <w:rPr>
          <w:rFonts w:cs="Arial"/>
          <w:sz w:val="22"/>
          <w:szCs w:val="22"/>
        </w:rPr>
      </w:pPr>
      <w:r>
        <w:rPr>
          <w:rFonts w:cs="Arial"/>
          <w:sz w:val="22"/>
          <w:szCs w:val="22"/>
        </w:rPr>
        <w:lastRenderedPageBreak/>
        <w:t>Table 7.51</w:t>
      </w:r>
      <w:r w:rsidR="001C794B" w:rsidRPr="001C794B">
        <w:rPr>
          <w:rFonts w:cs="Arial"/>
          <w:sz w:val="22"/>
          <w:szCs w:val="22"/>
        </w:rPr>
        <w:t xml:space="preserve"> presents the risk assessment for protection and deflection booming activities. </w:t>
      </w:r>
    </w:p>
    <w:p w14:paraId="49D70F91" w14:textId="70884172" w:rsidR="001C794B" w:rsidRPr="001C794B" w:rsidRDefault="00C56475" w:rsidP="001C794B">
      <w:pPr>
        <w:keepNext/>
        <w:spacing w:after="120" w:line="240" w:lineRule="auto"/>
        <w:ind w:left="851"/>
        <w:jc w:val="center"/>
        <w:rPr>
          <w:rFonts w:cs="Arial"/>
          <w:b/>
          <w:sz w:val="20"/>
          <w:szCs w:val="20"/>
        </w:rPr>
      </w:pPr>
      <w:r>
        <w:rPr>
          <w:rFonts w:cs="Arial"/>
          <w:b/>
          <w:sz w:val="20"/>
          <w:szCs w:val="20"/>
        </w:rPr>
        <w:t>Table 7.51</w:t>
      </w:r>
      <w:r w:rsidR="001C794B" w:rsidRPr="001C794B">
        <w:rPr>
          <w:rFonts w:cs="Arial"/>
          <w:b/>
          <w:sz w:val="20"/>
          <w:szCs w:val="20"/>
        </w:rPr>
        <w:t>.</w:t>
      </w:r>
      <w:r w:rsidR="001C794B" w:rsidRPr="001C794B">
        <w:rPr>
          <w:rFonts w:cs="Arial"/>
          <w:b/>
          <w:sz w:val="20"/>
          <w:szCs w:val="20"/>
        </w:rPr>
        <w:tab/>
        <w:t>Residual Risk assessment for protection and deflection booming</w:t>
      </w:r>
    </w:p>
    <w:tbl>
      <w:tblPr>
        <w:tblW w:w="850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7"/>
        <w:gridCol w:w="2198"/>
        <w:gridCol w:w="2126"/>
        <w:gridCol w:w="1985"/>
      </w:tblGrid>
      <w:tr w:rsidR="001C794B" w:rsidRPr="001C794B" w14:paraId="08A91643" w14:textId="77777777" w:rsidTr="0025636E">
        <w:trPr>
          <w:cantSplit/>
          <w:trHeight w:val="355"/>
        </w:trPr>
        <w:tc>
          <w:tcPr>
            <w:tcW w:w="8506" w:type="dxa"/>
            <w:gridSpan w:val="4"/>
            <w:shd w:val="clear" w:color="auto" w:fill="064EA8"/>
          </w:tcPr>
          <w:p w14:paraId="5A7D0156" w14:textId="77777777" w:rsidR="001C794B" w:rsidRPr="001C794B" w:rsidRDefault="001C794B" w:rsidP="001C794B">
            <w:pPr>
              <w:spacing w:before="60" w:after="60" w:line="240" w:lineRule="auto"/>
              <w:ind w:left="0"/>
              <w:jc w:val="center"/>
              <w:rPr>
                <w:rFonts w:eastAsia="MS Mincho" w:cs="Arial"/>
                <w:b/>
                <w:bCs/>
                <w:i/>
                <w:iCs/>
                <w:color w:val="FFFFFF" w:themeColor="background1"/>
                <w:sz w:val="20"/>
                <w:szCs w:val="20"/>
                <w:lang w:eastAsia="en-US"/>
              </w:rPr>
            </w:pPr>
            <w:r w:rsidRPr="001C794B">
              <w:rPr>
                <w:rFonts w:cs="Arial"/>
                <w:color w:val="FFFFFF" w:themeColor="background1"/>
                <w:sz w:val="20"/>
                <w:szCs w:val="20"/>
              </w:rPr>
              <w:t>Risk assessment (residual)</w:t>
            </w:r>
          </w:p>
        </w:tc>
      </w:tr>
      <w:tr w:rsidR="001C794B" w:rsidRPr="001C794B" w14:paraId="33F73238" w14:textId="77777777" w:rsidTr="0025636E">
        <w:trPr>
          <w:cantSplit/>
        </w:trPr>
        <w:tc>
          <w:tcPr>
            <w:tcW w:w="2197" w:type="dxa"/>
            <w:shd w:val="clear" w:color="auto" w:fill="BFBFBF" w:themeFill="background1" w:themeFillShade="BF"/>
          </w:tcPr>
          <w:p w14:paraId="59C7CFE5" w14:textId="77777777" w:rsidR="001C794B" w:rsidRPr="001C794B" w:rsidRDefault="001C794B" w:rsidP="001C794B">
            <w:pPr>
              <w:spacing w:before="60" w:after="60" w:line="240" w:lineRule="auto"/>
              <w:ind w:left="0"/>
              <w:rPr>
                <w:rFonts w:eastAsia="MS Mincho" w:cs="Arial"/>
                <w:b/>
                <w:bCs/>
                <w:i/>
                <w:iCs/>
                <w:color w:val="22058A"/>
                <w:sz w:val="20"/>
                <w:szCs w:val="20"/>
                <w:lang w:eastAsia="en-US"/>
              </w:rPr>
            </w:pPr>
            <w:r w:rsidRPr="001C794B">
              <w:rPr>
                <w:rFonts w:cs="Arial"/>
                <w:sz w:val="20"/>
                <w:szCs w:val="20"/>
              </w:rPr>
              <w:t>Receptor</w:t>
            </w:r>
          </w:p>
        </w:tc>
        <w:tc>
          <w:tcPr>
            <w:tcW w:w="2198" w:type="dxa"/>
            <w:shd w:val="clear" w:color="auto" w:fill="BFBFBF" w:themeFill="background1" w:themeFillShade="BF"/>
          </w:tcPr>
          <w:p w14:paraId="617F6FF0"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Likelihood</w:t>
            </w:r>
          </w:p>
        </w:tc>
        <w:tc>
          <w:tcPr>
            <w:tcW w:w="2126" w:type="dxa"/>
            <w:shd w:val="clear" w:color="auto" w:fill="BFBFBF" w:themeFill="background1" w:themeFillShade="BF"/>
          </w:tcPr>
          <w:p w14:paraId="70F62BAB"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Consequence</w:t>
            </w:r>
          </w:p>
        </w:tc>
        <w:tc>
          <w:tcPr>
            <w:tcW w:w="1985" w:type="dxa"/>
            <w:shd w:val="clear" w:color="auto" w:fill="BFBFBF" w:themeFill="background1" w:themeFillShade="BF"/>
          </w:tcPr>
          <w:p w14:paraId="2EF62506"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Risk rating</w:t>
            </w:r>
          </w:p>
        </w:tc>
      </w:tr>
      <w:tr w:rsidR="001C794B" w:rsidRPr="001C794B" w14:paraId="1DFE3124" w14:textId="77777777" w:rsidTr="0025636E">
        <w:trPr>
          <w:cantSplit/>
        </w:trPr>
        <w:tc>
          <w:tcPr>
            <w:tcW w:w="2197" w:type="dxa"/>
            <w:shd w:val="clear" w:color="auto" w:fill="auto"/>
          </w:tcPr>
          <w:p w14:paraId="2D4E5C6C" w14:textId="77777777" w:rsidR="001C794B" w:rsidRPr="001C794B" w:rsidRDefault="001C794B" w:rsidP="001C794B">
            <w:pPr>
              <w:spacing w:before="60" w:after="60" w:line="240" w:lineRule="auto"/>
              <w:ind w:left="0"/>
              <w:rPr>
                <w:rFonts w:eastAsia="MS Mincho" w:cs="Arial"/>
                <w:b/>
                <w:bCs/>
                <w:i/>
                <w:iCs/>
                <w:color w:val="22058A"/>
                <w:sz w:val="20"/>
                <w:szCs w:val="20"/>
                <w:lang w:eastAsia="en-US"/>
              </w:rPr>
            </w:pPr>
            <w:r w:rsidRPr="001C794B">
              <w:rPr>
                <w:rFonts w:cs="Arial"/>
                <w:sz w:val="20"/>
                <w:szCs w:val="20"/>
              </w:rPr>
              <w:t>Nearshore habitat</w:t>
            </w:r>
          </w:p>
        </w:tc>
        <w:tc>
          <w:tcPr>
            <w:tcW w:w="2198" w:type="dxa"/>
            <w:shd w:val="clear" w:color="auto" w:fill="auto"/>
          </w:tcPr>
          <w:p w14:paraId="323C590D"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Possible</w:t>
            </w:r>
          </w:p>
        </w:tc>
        <w:tc>
          <w:tcPr>
            <w:tcW w:w="2126" w:type="dxa"/>
            <w:shd w:val="clear" w:color="auto" w:fill="auto"/>
          </w:tcPr>
          <w:p w14:paraId="50311BF1"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Insignificant</w:t>
            </w:r>
          </w:p>
        </w:tc>
        <w:tc>
          <w:tcPr>
            <w:tcW w:w="1985" w:type="dxa"/>
            <w:shd w:val="clear" w:color="auto" w:fill="66FF66"/>
          </w:tcPr>
          <w:p w14:paraId="0709CCB0"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Low</w:t>
            </w:r>
          </w:p>
        </w:tc>
      </w:tr>
      <w:tr w:rsidR="001C794B" w:rsidRPr="001C794B" w14:paraId="71BBB4FC" w14:textId="77777777" w:rsidTr="0025636E">
        <w:trPr>
          <w:cantSplit/>
        </w:trPr>
        <w:tc>
          <w:tcPr>
            <w:tcW w:w="2197" w:type="dxa"/>
            <w:shd w:val="clear" w:color="auto" w:fill="auto"/>
          </w:tcPr>
          <w:p w14:paraId="3BAFE435" w14:textId="77777777" w:rsidR="001C794B" w:rsidRPr="001C794B" w:rsidRDefault="001C794B" w:rsidP="001C794B">
            <w:pPr>
              <w:spacing w:before="60" w:after="60" w:line="240" w:lineRule="auto"/>
              <w:ind w:left="0"/>
              <w:rPr>
                <w:rFonts w:eastAsia="MS Mincho" w:cs="Arial"/>
                <w:b/>
                <w:bCs/>
                <w:i/>
                <w:iCs/>
                <w:color w:val="22058A"/>
                <w:sz w:val="20"/>
                <w:szCs w:val="20"/>
                <w:lang w:eastAsia="en-US"/>
              </w:rPr>
            </w:pPr>
            <w:r w:rsidRPr="001C794B">
              <w:rPr>
                <w:rFonts w:cs="Arial"/>
                <w:sz w:val="20"/>
                <w:szCs w:val="20"/>
              </w:rPr>
              <w:t>Shoreline habitat</w:t>
            </w:r>
          </w:p>
        </w:tc>
        <w:tc>
          <w:tcPr>
            <w:tcW w:w="2198" w:type="dxa"/>
            <w:shd w:val="clear" w:color="auto" w:fill="auto"/>
          </w:tcPr>
          <w:p w14:paraId="65D28C95"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Possible</w:t>
            </w:r>
          </w:p>
        </w:tc>
        <w:tc>
          <w:tcPr>
            <w:tcW w:w="2126" w:type="dxa"/>
            <w:shd w:val="clear" w:color="auto" w:fill="auto"/>
          </w:tcPr>
          <w:p w14:paraId="59682D55"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Insignificant</w:t>
            </w:r>
          </w:p>
        </w:tc>
        <w:tc>
          <w:tcPr>
            <w:tcW w:w="1985" w:type="dxa"/>
            <w:shd w:val="clear" w:color="auto" w:fill="66FF66"/>
          </w:tcPr>
          <w:p w14:paraId="0CA003BA"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Low</w:t>
            </w:r>
          </w:p>
        </w:tc>
      </w:tr>
      <w:tr w:rsidR="001C794B" w:rsidRPr="001C794B" w14:paraId="63735A74" w14:textId="77777777" w:rsidTr="0025636E">
        <w:trPr>
          <w:cantSplit/>
        </w:trPr>
        <w:tc>
          <w:tcPr>
            <w:tcW w:w="2197" w:type="dxa"/>
            <w:shd w:val="clear" w:color="auto" w:fill="auto"/>
          </w:tcPr>
          <w:p w14:paraId="491B0D26" w14:textId="77777777" w:rsidR="001C794B" w:rsidRPr="001C794B" w:rsidRDefault="001C794B" w:rsidP="001C794B">
            <w:pPr>
              <w:spacing w:before="60" w:after="60" w:line="240" w:lineRule="auto"/>
              <w:ind w:left="0"/>
              <w:rPr>
                <w:rFonts w:eastAsia="MS Mincho" w:cs="Arial"/>
                <w:b/>
                <w:bCs/>
                <w:i/>
                <w:iCs/>
                <w:color w:val="22058A"/>
                <w:sz w:val="20"/>
                <w:szCs w:val="20"/>
                <w:lang w:eastAsia="en-US"/>
              </w:rPr>
            </w:pPr>
            <w:r w:rsidRPr="001C794B">
              <w:rPr>
                <w:rFonts w:cs="Arial"/>
                <w:sz w:val="20"/>
                <w:szCs w:val="20"/>
              </w:rPr>
              <w:t>Fauna disturbance</w:t>
            </w:r>
          </w:p>
        </w:tc>
        <w:tc>
          <w:tcPr>
            <w:tcW w:w="2198" w:type="dxa"/>
            <w:shd w:val="clear" w:color="auto" w:fill="auto"/>
          </w:tcPr>
          <w:p w14:paraId="2DD45055"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Possible</w:t>
            </w:r>
          </w:p>
        </w:tc>
        <w:tc>
          <w:tcPr>
            <w:tcW w:w="2126" w:type="dxa"/>
            <w:shd w:val="clear" w:color="auto" w:fill="auto"/>
          </w:tcPr>
          <w:p w14:paraId="451AAB70"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Insignificant</w:t>
            </w:r>
          </w:p>
        </w:tc>
        <w:tc>
          <w:tcPr>
            <w:tcW w:w="1985" w:type="dxa"/>
            <w:shd w:val="clear" w:color="auto" w:fill="66FF66"/>
          </w:tcPr>
          <w:p w14:paraId="2B2FCA5F" w14:textId="77777777" w:rsidR="001C794B" w:rsidRPr="001C794B" w:rsidRDefault="001C794B" w:rsidP="001C794B">
            <w:pPr>
              <w:spacing w:before="60" w:after="60" w:line="240" w:lineRule="auto"/>
              <w:ind w:left="0"/>
              <w:jc w:val="center"/>
              <w:rPr>
                <w:rFonts w:eastAsia="MS Mincho" w:cs="Arial"/>
                <w:b/>
                <w:bCs/>
                <w:i/>
                <w:iCs/>
                <w:color w:val="22058A"/>
                <w:sz w:val="20"/>
                <w:szCs w:val="20"/>
                <w:lang w:eastAsia="en-US"/>
              </w:rPr>
            </w:pPr>
            <w:r w:rsidRPr="001C794B">
              <w:rPr>
                <w:rFonts w:cs="Arial"/>
                <w:sz w:val="20"/>
                <w:szCs w:val="20"/>
              </w:rPr>
              <w:t>Low</w:t>
            </w:r>
          </w:p>
        </w:tc>
      </w:tr>
    </w:tbl>
    <w:p w14:paraId="5B61F9F8" w14:textId="77777777" w:rsidR="001C794B" w:rsidRPr="001C794B" w:rsidRDefault="001C794B" w:rsidP="001C794B">
      <w:pPr>
        <w:keepNext/>
        <w:spacing w:after="120" w:line="240" w:lineRule="auto"/>
        <w:ind w:left="851"/>
        <w:jc w:val="center"/>
        <w:rPr>
          <w:rFonts w:cs="Arial"/>
          <w:b/>
          <w:sz w:val="20"/>
          <w:szCs w:val="20"/>
        </w:rPr>
      </w:pPr>
    </w:p>
    <w:p w14:paraId="58BF732A" w14:textId="77777777" w:rsidR="001C794B" w:rsidRPr="001C794B" w:rsidRDefault="001C794B" w:rsidP="001C794B">
      <w:pPr>
        <w:keepNext/>
        <w:spacing w:after="120" w:line="240" w:lineRule="auto"/>
        <w:ind w:left="851"/>
        <w:jc w:val="center"/>
        <w:rPr>
          <w:rFonts w:cs="Arial"/>
          <w:b/>
          <w:sz w:val="20"/>
          <w:szCs w:val="20"/>
        </w:rPr>
      </w:pPr>
    </w:p>
    <w:p w14:paraId="43B1E474" w14:textId="77777777" w:rsidR="001C794B" w:rsidRPr="001C794B" w:rsidRDefault="001C794B" w:rsidP="001C794B">
      <w:pPr>
        <w:spacing w:after="120" w:line="240" w:lineRule="auto"/>
        <w:ind w:left="0"/>
        <w:rPr>
          <w:rFonts w:ascii="Tahoma" w:hAnsi="Tahoma" w:cs="Arial"/>
          <w:szCs w:val="20"/>
        </w:rPr>
      </w:pPr>
    </w:p>
    <w:p w14:paraId="1A9619F3" w14:textId="77777777" w:rsidR="001C794B" w:rsidRPr="001C794B" w:rsidRDefault="001C794B" w:rsidP="001C794B">
      <w:pPr>
        <w:keepNext/>
        <w:numPr>
          <w:ilvl w:val="2"/>
          <w:numId w:val="1"/>
        </w:numPr>
        <w:tabs>
          <w:tab w:val="left" w:pos="1080"/>
        </w:tabs>
        <w:spacing w:before="240" w:after="240"/>
        <w:ind w:left="1225" w:hanging="505"/>
        <w:outlineLvl w:val="2"/>
        <w:rPr>
          <w:rFonts w:cs="Arial"/>
          <w:b/>
          <w:bCs/>
          <w:color w:val="1C1C1C"/>
          <w:sz w:val="26"/>
          <w:szCs w:val="26"/>
        </w:rPr>
      </w:pPr>
      <w:bookmarkStart w:id="1276" w:name="_Toc501535915"/>
      <w:r w:rsidRPr="001C794B">
        <w:rPr>
          <w:rFonts w:cs="Arial"/>
          <w:b/>
          <w:bCs/>
          <w:color w:val="1C1C1C"/>
          <w:sz w:val="26"/>
          <w:szCs w:val="26"/>
        </w:rPr>
        <w:t>Shoreline Assessment and Clean-up</w:t>
      </w:r>
      <w:bookmarkEnd w:id="1276"/>
      <w:r w:rsidRPr="001C794B">
        <w:rPr>
          <w:rFonts w:cs="Arial"/>
          <w:b/>
          <w:bCs/>
          <w:color w:val="1C1C1C"/>
          <w:sz w:val="26"/>
          <w:szCs w:val="26"/>
        </w:rPr>
        <w:t xml:space="preserve"> </w:t>
      </w:r>
    </w:p>
    <w:p w14:paraId="0B6E30A9" w14:textId="77777777" w:rsidR="001C794B" w:rsidRPr="001C794B" w:rsidRDefault="001C794B" w:rsidP="001C794B">
      <w:pPr>
        <w:spacing w:after="120" w:line="240" w:lineRule="auto"/>
        <w:ind w:left="0"/>
        <w:rPr>
          <w:rFonts w:cs="Arial"/>
          <w:sz w:val="22"/>
          <w:szCs w:val="22"/>
        </w:rPr>
      </w:pPr>
      <w:r w:rsidRPr="001C794B">
        <w:rPr>
          <w:rFonts w:cs="Arial"/>
          <w:sz w:val="22"/>
          <w:szCs w:val="22"/>
        </w:rPr>
        <w:t xml:space="preserve">Shoreline assessment and clean-up is addressed in Section 9 of the OPEP. </w:t>
      </w:r>
    </w:p>
    <w:p w14:paraId="1D4D6B69"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Scope of Activity</w:t>
      </w:r>
    </w:p>
    <w:p w14:paraId="3E1E4E79" w14:textId="77777777" w:rsidR="001C794B" w:rsidRPr="001C794B" w:rsidRDefault="001C794B" w:rsidP="001C794B">
      <w:pPr>
        <w:spacing w:after="120" w:line="240" w:lineRule="auto"/>
        <w:ind w:left="0"/>
        <w:rPr>
          <w:rFonts w:cs="Arial"/>
          <w:i/>
          <w:sz w:val="22"/>
          <w:szCs w:val="22"/>
        </w:rPr>
      </w:pPr>
      <w:r w:rsidRPr="001C794B">
        <w:rPr>
          <w:rFonts w:cs="Arial"/>
          <w:i/>
          <w:sz w:val="22"/>
          <w:szCs w:val="22"/>
        </w:rPr>
        <w:t>SCAT</w:t>
      </w:r>
    </w:p>
    <w:p w14:paraId="2BB53BB2" w14:textId="77777777" w:rsidR="001C794B" w:rsidRPr="001C794B" w:rsidRDefault="001C794B" w:rsidP="001C794B">
      <w:pPr>
        <w:spacing w:after="120" w:line="240" w:lineRule="auto"/>
        <w:ind w:left="0"/>
        <w:rPr>
          <w:rFonts w:cs="Arial"/>
          <w:sz w:val="22"/>
          <w:szCs w:val="22"/>
        </w:rPr>
      </w:pPr>
      <w:r w:rsidRPr="001C794B">
        <w:rPr>
          <w:rFonts w:cs="Arial"/>
          <w:sz w:val="22"/>
          <w:szCs w:val="22"/>
        </w:rPr>
        <w:t>A cleanup response will be preceded by a shoreline clean-up assessment techniques (SCAT) survey. NOAA (2010) describes this process as the systematic approach to collecting data on shoreline oiling conditions using the following steps:</w:t>
      </w:r>
    </w:p>
    <w:p w14:paraId="62BFD6EE" w14:textId="77777777" w:rsidR="001C794B" w:rsidRPr="001C794B" w:rsidRDefault="001C794B" w:rsidP="001C794B">
      <w:pPr>
        <w:numPr>
          <w:ilvl w:val="0"/>
          <w:numId w:val="309"/>
        </w:numPr>
        <w:spacing w:after="120" w:line="240" w:lineRule="auto"/>
        <w:rPr>
          <w:rFonts w:cs="Arial"/>
          <w:sz w:val="22"/>
          <w:szCs w:val="22"/>
        </w:rPr>
      </w:pPr>
      <w:r w:rsidRPr="001C794B">
        <w:rPr>
          <w:rFonts w:cs="Arial"/>
          <w:sz w:val="22"/>
          <w:szCs w:val="22"/>
        </w:rPr>
        <w:t>Conduct reconnaissance survey;</w:t>
      </w:r>
    </w:p>
    <w:p w14:paraId="74A55C4C" w14:textId="77777777" w:rsidR="001C794B" w:rsidRPr="001C794B" w:rsidRDefault="001C794B" w:rsidP="001C794B">
      <w:pPr>
        <w:numPr>
          <w:ilvl w:val="0"/>
          <w:numId w:val="309"/>
        </w:numPr>
        <w:spacing w:after="120" w:line="240" w:lineRule="auto"/>
        <w:rPr>
          <w:rFonts w:cs="Arial"/>
          <w:sz w:val="22"/>
          <w:szCs w:val="22"/>
        </w:rPr>
      </w:pPr>
      <w:r w:rsidRPr="001C794B">
        <w:rPr>
          <w:rFonts w:cs="Arial"/>
          <w:sz w:val="22"/>
          <w:szCs w:val="22"/>
        </w:rPr>
        <w:t>Segment the shore;</w:t>
      </w:r>
    </w:p>
    <w:p w14:paraId="06D2C8C6" w14:textId="77777777" w:rsidR="001C794B" w:rsidRPr="001C794B" w:rsidRDefault="001C794B" w:rsidP="001C794B">
      <w:pPr>
        <w:numPr>
          <w:ilvl w:val="0"/>
          <w:numId w:val="309"/>
        </w:numPr>
        <w:spacing w:after="120" w:line="240" w:lineRule="auto"/>
        <w:rPr>
          <w:rFonts w:cs="Arial"/>
          <w:sz w:val="22"/>
          <w:szCs w:val="22"/>
        </w:rPr>
      </w:pPr>
      <w:r w:rsidRPr="001C794B">
        <w:rPr>
          <w:rFonts w:cs="Arial"/>
          <w:sz w:val="22"/>
          <w:szCs w:val="22"/>
        </w:rPr>
        <w:t>Assign teams and conduct shoreline surveys;</w:t>
      </w:r>
    </w:p>
    <w:p w14:paraId="5F6CFC77" w14:textId="77777777" w:rsidR="001C794B" w:rsidRPr="001C794B" w:rsidRDefault="001C794B" w:rsidP="001C794B">
      <w:pPr>
        <w:numPr>
          <w:ilvl w:val="0"/>
          <w:numId w:val="309"/>
        </w:numPr>
        <w:spacing w:after="120" w:line="240" w:lineRule="auto"/>
        <w:rPr>
          <w:rFonts w:cs="Arial"/>
          <w:sz w:val="22"/>
          <w:szCs w:val="22"/>
        </w:rPr>
      </w:pPr>
      <w:r w:rsidRPr="001C794B">
        <w:rPr>
          <w:rFonts w:cs="Arial"/>
          <w:sz w:val="22"/>
          <w:szCs w:val="22"/>
        </w:rPr>
        <w:t>Develop cleanup guidelines and endpoints;</w:t>
      </w:r>
    </w:p>
    <w:p w14:paraId="731E4555" w14:textId="77777777" w:rsidR="001C794B" w:rsidRPr="001C794B" w:rsidRDefault="001C794B" w:rsidP="001C794B">
      <w:pPr>
        <w:numPr>
          <w:ilvl w:val="0"/>
          <w:numId w:val="309"/>
        </w:numPr>
        <w:spacing w:after="120" w:line="240" w:lineRule="auto"/>
        <w:rPr>
          <w:rFonts w:cs="Arial"/>
          <w:sz w:val="22"/>
          <w:szCs w:val="22"/>
        </w:rPr>
      </w:pPr>
      <w:r w:rsidRPr="001C794B">
        <w:rPr>
          <w:rFonts w:cs="Arial"/>
          <w:sz w:val="22"/>
          <w:szCs w:val="22"/>
        </w:rPr>
        <w:t>Submit reports and sketches to Planning Section (of the IMT);</w:t>
      </w:r>
    </w:p>
    <w:p w14:paraId="6B56C17E" w14:textId="77777777" w:rsidR="001C794B" w:rsidRPr="001C794B" w:rsidRDefault="001C794B" w:rsidP="001C794B">
      <w:pPr>
        <w:numPr>
          <w:ilvl w:val="0"/>
          <w:numId w:val="309"/>
        </w:numPr>
        <w:spacing w:after="120" w:line="240" w:lineRule="auto"/>
        <w:rPr>
          <w:rFonts w:cs="Arial"/>
          <w:sz w:val="22"/>
          <w:szCs w:val="22"/>
        </w:rPr>
      </w:pPr>
      <w:r w:rsidRPr="001C794B">
        <w:rPr>
          <w:rFonts w:cs="Arial"/>
          <w:sz w:val="22"/>
          <w:szCs w:val="22"/>
        </w:rPr>
        <w:t>Monitor effectiveness of cleanup;</w:t>
      </w:r>
    </w:p>
    <w:p w14:paraId="7A49E319" w14:textId="77777777" w:rsidR="001C794B" w:rsidRPr="001C794B" w:rsidRDefault="001C794B" w:rsidP="001C794B">
      <w:pPr>
        <w:numPr>
          <w:ilvl w:val="0"/>
          <w:numId w:val="309"/>
        </w:numPr>
        <w:spacing w:after="120" w:line="240" w:lineRule="auto"/>
        <w:rPr>
          <w:rFonts w:cs="Arial"/>
          <w:sz w:val="22"/>
          <w:szCs w:val="22"/>
        </w:rPr>
      </w:pPr>
      <w:r w:rsidRPr="001C794B">
        <w:rPr>
          <w:rFonts w:cs="Arial"/>
          <w:sz w:val="22"/>
          <w:szCs w:val="22"/>
        </w:rPr>
        <w:t>Conduct post-cleanup inspections; and</w:t>
      </w:r>
    </w:p>
    <w:p w14:paraId="7F9A3EAC" w14:textId="77777777" w:rsidR="001C794B" w:rsidRPr="001C794B" w:rsidRDefault="001C794B" w:rsidP="001C794B">
      <w:pPr>
        <w:numPr>
          <w:ilvl w:val="0"/>
          <w:numId w:val="309"/>
        </w:numPr>
        <w:spacing w:after="240" w:line="240" w:lineRule="auto"/>
        <w:rPr>
          <w:rFonts w:cs="Arial"/>
          <w:sz w:val="22"/>
          <w:szCs w:val="22"/>
        </w:rPr>
      </w:pPr>
      <w:r w:rsidRPr="001C794B">
        <w:rPr>
          <w:rFonts w:cs="Arial"/>
          <w:sz w:val="22"/>
          <w:szCs w:val="22"/>
        </w:rPr>
        <w:t>Do final evaluation of cleanup activities.</w:t>
      </w:r>
    </w:p>
    <w:p w14:paraId="5B6351C8" w14:textId="77777777" w:rsidR="001C794B" w:rsidRPr="001C794B" w:rsidRDefault="001C794B" w:rsidP="001C794B">
      <w:pPr>
        <w:spacing w:after="120" w:line="240" w:lineRule="auto"/>
        <w:ind w:left="0"/>
        <w:rPr>
          <w:rFonts w:cs="Arial"/>
          <w:sz w:val="22"/>
          <w:szCs w:val="22"/>
        </w:rPr>
      </w:pPr>
      <w:r w:rsidRPr="001C794B">
        <w:rPr>
          <w:rFonts w:cs="Arial"/>
          <w:sz w:val="22"/>
          <w:szCs w:val="22"/>
        </w:rPr>
        <w:t>A trained SCAT team will be deployed by the Planning Section of the IMT at the time of shoreline stranding (informed by surveillance and tracking) to provide feedback on best methods for clean-up.</w:t>
      </w:r>
    </w:p>
    <w:p w14:paraId="0C4544E5" w14:textId="77777777" w:rsidR="001C794B" w:rsidRPr="001C794B" w:rsidRDefault="001C794B" w:rsidP="001C794B">
      <w:pPr>
        <w:spacing w:after="120" w:line="240" w:lineRule="auto"/>
        <w:ind w:left="0"/>
        <w:rPr>
          <w:rFonts w:cs="Arial"/>
          <w:i/>
          <w:sz w:val="22"/>
          <w:szCs w:val="22"/>
        </w:rPr>
      </w:pPr>
      <w:r w:rsidRPr="001C794B">
        <w:rPr>
          <w:rFonts w:cs="Arial"/>
          <w:i/>
          <w:sz w:val="22"/>
          <w:szCs w:val="22"/>
        </w:rPr>
        <w:t>Shoreline clean-up</w:t>
      </w:r>
    </w:p>
    <w:p w14:paraId="5870B37F" w14:textId="77777777" w:rsidR="001C794B" w:rsidRPr="001C794B" w:rsidRDefault="001C794B" w:rsidP="001C794B">
      <w:pPr>
        <w:spacing w:after="120" w:line="240" w:lineRule="auto"/>
        <w:ind w:left="0"/>
        <w:rPr>
          <w:rFonts w:cs="Arial"/>
          <w:sz w:val="22"/>
          <w:szCs w:val="22"/>
        </w:rPr>
      </w:pPr>
      <w:r w:rsidRPr="001C794B">
        <w:rPr>
          <w:rFonts w:cs="Arial"/>
          <w:sz w:val="22"/>
          <w:szCs w:val="22"/>
        </w:rPr>
        <w:t>Shoreline clean-up consists of different manual and mechanical recovery techniques to remove oil and contaminated debris from the shoreline to reduce ongoing environmental contamination and impact. It may include the following techniques:</w:t>
      </w:r>
    </w:p>
    <w:p w14:paraId="76A2F2B7" w14:textId="77777777" w:rsidR="001C794B" w:rsidRPr="001C794B" w:rsidRDefault="001C794B" w:rsidP="001C794B">
      <w:pPr>
        <w:numPr>
          <w:ilvl w:val="0"/>
          <w:numId w:val="308"/>
        </w:numPr>
        <w:spacing w:after="120" w:line="240" w:lineRule="auto"/>
        <w:rPr>
          <w:rFonts w:cs="Arial"/>
          <w:sz w:val="22"/>
          <w:szCs w:val="22"/>
        </w:rPr>
      </w:pPr>
      <w:r w:rsidRPr="001C794B">
        <w:rPr>
          <w:rFonts w:cs="Arial"/>
          <w:sz w:val="22"/>
          <w:szCs w:val="22"/>
        </w:rPr>
        <w:t>Natural recovery – allowing the shoreline to self-clean (no intervention undertaken);</w:t>
      </w:r>
    </w:p>
    <w:p w14:paraId="64463FAE" w14:textId="77777777" w:rsidR="001C794B" w:rsidRPr="001C794B" w:rsidRDefault="001C794B" w:rsidP="001C794B">
      <w:pPr>
        <w:numPr>
          <w:ilvl w:val="0"/>
          <w:numId w:val="308"/>
        </w:numPr>
        <w:spacing w:after="120" w:line="240" w:lineRule="auto"/>
        <w:rPr>
          <w:rFonts w:cs="Arial"/>
          <w:sz w:val="22"/>
          <w:szCs w:val="22"/>
        </w:rPr>
      </w:pPr>
      <w:r w:rsidRPr="001C794B">
        <w:rPr>
          <w:rFonts w:cs="Arial"/>
          <w:sz w:val="22"/>
          <w:szCs w:val="22"/>
        </w:rPr>
        <w:t xml:space="preserve">Manual collection of oil and debris – the use of people power to collect oil from the shoreline; </w:t>
      </w:r>
    </w:p>
    <w:p w14:paraId="7605D0F2" w14:textId="77777777" w:rsidR="001C794B" w:rsidRPr="001C794B" w:rsidRDefault="001C794B" w:rsidP="001C794B">
      <w:pPr>
        <w:numPr>
          <w:ilvl w:val="0"/>
          <w:numId w:val="308"/>
        </w:numPr>
        <w:spacing w:after="120" w:line="240" w:lineRule="auto"/>
        <w:rPr>
          <w:rFonts w:cs="Arial"/>
          <w:sz w:val="22"/>
          <w:szCs w:val="22"/>
        </w:rPr>
      </w:pPr>
      <w:r w:rsidRPr="001C794B">
        <w:rPr>
          <w:rFonts w:cs="Arial"/>
          <w:sz w:val="22"/>
          <w:szCs w:val="22"/>
        </w:rPr>
        <w:lastRenderedPageBreak/>
        <w:t>Mechanical collection – use of machinery to collect and remove stranded oil and contaminated material;</w:t>
      </w:r>
    </w:p>
    <w:p w14:paraId="582DD2D7" w14:textId="77777777" w:rsidR="001C794B" w:rsidRPr="001C794B" w:rsidRDefault="001C794B" w:rsidP="001C794B">
      <w:pPr>
        <w:numPr>
          <w:ilvl w:val="0"/>
          <w:numId w:val="308"/>
        </w:numPr>
        <w:spacing w:after="120" w:line="240" w:lineRule="auto"/>
        <w:rPr>
          <w:rFonts w:cs="Arial"/>
          <w:sz w:val="22"/>
          <w:szCs w:val="22"/>
        </w:rPr>
      </w:pPr>
      <w:r w:rsidRPr="001C794B">
        <w:rPr>
          <w:rFonts w:cs="Arial"/>
          <w:sz w:val="22"/>
          <w:szCs w:val="22"/>
        </w:rPr>
        <w:t>Sorbents – use of sorbent padding to absorb oil;</w:t>
      </w:r>
    </w:p>
    <w:p w14:paraId="70FE76C4" w14:textId="77777777" w:rsidR="001C794B" w:rsidRPr="001C794B" w:rsidRDefault="001C794B" w:rsidP="001C794B">
      <w:pPr>
        <w:numPr>
          <w:ilvl w:val="0"/>
          <w:numId w:val="308"/>
        </w:numPr>
        <w:spacing w:after="120" w:line="240" w:lineRule="auto"/>
        <w:rPr>
          <w:rFonts w:cs="Arial"/>
          <w:sz w:val="22"/>
          <w:szCs w:val="22"/>
        </w:rPr>
      </w:pPr>
      <w:r w:rsidRPr="001C794B">
        <w:rPr>
          <w:rFonts w:cs="Arial"/>
          <w:sz w:val="22"/>
          <w:szCs w:val="22"/>
        </w:rPr>
        <w:t>Vacuum recovery, flushing, washing – the use of high volumes of low-pressure water, pumping and/or vacuuming to remove floating oil accumulated at the shoreline;</w:t>
      </w:r>
    </w:p>
    <w:p w14:paraId="6D1F3649" w14:textId="77777777" w:rsidR="001C794B" w:rsidRPr="001C794B" w:rsidRDefault="001C794B" w:rsidP="001C794B">
      <w:pPr>
        <w:numPr>
          <w:ilvl w:val="0"/>
          <w:numId w:val="308"/>
        </w:numPr>
        <w:spacing w:after="120" w:line="240" w:lineRule="auto"/>
        <w:rPr>
          <w:rFonts w:cs="Arial"/>
          <w:sz w:val="22"/>
          <w:szCs w:val="22"/>
        </w:rPr>
      </w:pPr>
      <w:r w:rsidRPr="001C794B">
        <w:rPr>
          <w:rFonts w:cs="Arial"/>
          <w:sz w:val="22"/>
          <w:szCs w:val="22"/>
        </w:rPr>
        <w:t>Sediment reworking – move sediment to the surf to allow oil to be removed from the sediment and move sand by heavy machinery;</w:t>
      </w:r>
    </w:p>
    <w:p w14:paraId="61727CBD" w14:textId="77777777" w:rsidR="001C794B" w:rsidRPr="001C794B" w:rsidRDefault="001C794B" w:rsidP="001C794B">
      <w:pPr>
        <w:numPr>
          <w:ilvl w:val="0"/>
          <w:numId w:val="308"/>
        </w:numPr>
        <w:spacing w:after="120" w:line="240" w:lineRule="auto"/>
        <w:rPr>
          <w:rFonts w:cs="Arial"/>
          <w:sz w:val="22"/>
          <w:szCs w:val="22"/>
        </w:rPr>
      </w:pPr>
      <w:r w:rsidRPr="001C794B">
        <w:rPr>
          <w:rFonts w:cs="Arial"/>
          <w:sz w:val="22"/>
          <w:szCs w:val="22"/>
        </w:rPr>
        <w:t>Vegetation cutting – removing oiled vegetation; and</w:t>
      </w:r>
    </w:p>
    <w:p w14:paraId="00283FFF" w14:textId="77777777" w:rsidR="001C794B" w:rsidRPr="001C794B" w:rsidRDefault="001C794B" w:rsidP="001C794B">
      <w:pPr>
        <w:numPr>
          <w:ilvl w:val="0"/>
          <w:numId w:val="308"/>
        </w:numPr>
        <w:spacing w:after="240" w:line="240" w:lineRule="auto"/>
        <w:ind w:left="714" w:hanging="357"/>
        <w:rPr>
          <w:rFonts w:cs="Arial"/>
          <w:sz w:val="22"/>
          <w:szCs w:val="22"/>
        </w:rPr>
      </w:pPr>
      <w:r w:rsidRPr="001C794B">
        <w:rPr>
          <w:rFonts w:cs="Arial"/>
          <w:sz w:val="22"/>
          <w:szCs w:val="22"/>
        </w:rPr>
        <w:t>Cleaning agents – application of chemicals such as dispersants to remove oil.</w:t>
      </w:r>
    </w:p>
    <w:p w14:paraId="232BCB3E" w14:textId="77777777" w:rsidR="001C794B" w:rsidRPr="001C794B" w:rsidRDefault="001C794B" w:rsidP="001C794B">
      <w:pPr>
        <w:spacing w:after="120" w:line="240" w:lineRule="auto"/>
        <w:ind w:left="0"/>
        <w:rPr>
          <w:rFonts w:cs="Arial"/>
          <w:sz w:val="22"/>
          <w:szCs w:val="22"/>
        </w:rPr>
      </w:pPr>
      <w:r w:rsidRPr="001C794B">
        <w:rPr>
          <w:rFonts w:cs="Arial"/>
          <w:sz w:val="22"/>
          <w:szCs w:val="22"/>
        </w:rPr>
        <w:t>As predicted by the OSTM, there is a 1-25% probability that most of the shoreline in the EMBA will be contacted in the event of a 306 m</w:t>
      </w:r>
      <w:r w:rsidRPr="001C794B">
        <w:rPr>
          <w:rFonts w:cs="Arial"/>
          <w:sz w:val="22"/>
          <w:szCs w:val="22"/>
          <w:vertAlign w:val="superscript"/>
        </w:rPr>
        <w:t>3</w:t>
      </w:r>
      <w:r w:rsidRPr="001C794B">
        <w:rPr>
          <w:rFonts w:cs="Arial"/>
          <w:sz w:val="22"/>
          <w:szCs w:val="22"/>
        </w:rPr>
        <w:t xml:space="preserve"> release of MDO, with predominantly moderate to high shoreline loadings. These shorelines are predominantly sandy beaches with isolated rocky platforms. Shoreline clean-up is only considered practical for sandy beaches that may be affected by hydrocarbon residues. Manual and mechanical collection are the clean-up options most likely to be deployed.</w:t>
      </w:r>
    </w:p>
    <w:p w14:paraId="6220C671"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Protection Priorities</w:t>
      </w:r>
    </w:p>
    <w:p w14:paraId="1E69B8C4" w14:textId="017B1015" w:rsidR="001C794B" w:rsidRPr="001C794B" w:rsidRDefault="001C794B" w:rsidP="001C794B">
      <w:pPr>
        <w:spacing w:after="120" w:line="240" w:lineRule="auto"/>
        <w:ind w:left="0"/>
        <w:rPr>
          <w:rFonts w:cs="Arial"/>
          <w:sz w:val="22"/>
          <w:szCs w:val="22"/>
        </w:rPr>
      </w:pPr>
      <w:r w:rsidRPr="001C794B">
        <w:rPr>
          <w:rFonts w:cs="Arial"/>
          <w:sz w:val="22"/>
          <w:szCs w:val="22"/>
        </w:rPr>
        <w:t xml:space="preserve">The area of coastline predicted to have the highest areas of MDO loading </w:t>
      </w:r>
      <w:r w:rsidRPr="001C794B">
        <w:rPr>
          <w:rFonts w:cs="Arial"/>
          <w:sz w:val="22"/>
          <w:szCs w:val="22"/>
        </w:rPr>
        <w:br/>
        <w:t>(&gt;1,000 g/m</w:t>
      </w:r>
      <w:r w:rsidRPr="001C794B">
        <w:rPr>
          <w:rFonts w:cs="Arial"/>
          <w:sz w:val="22"/>
          <w:szCs w:val="22"/>
          <w:vertAlign w:val="superscript"/>
        </w:rPr>
        <w:t>2</w:t>
      </w:r>
      <w:r w:rsidRPr="001C794B">
        <w:rPr>
          <w:rFonts w:cs="Arial"/>
          <w:sz w:val="22"/>
          <w:szCs w:val="22"/>
        </w:rPr>
        <w:t xml:space="preserve">), where ecological impacts will occur, is entirely sandy beach (see Section 7.16). </w:t>
      </w:r>
    </w:p>
    <w:p w14:paraId="58E1F744" w14:textId="77777777" w:rsidR="001C794B" w:rsidRPr="001C794B" w:rsidRDefault="001C794B" w:rsidP="001C794B">
      <w:pPr>
        <w:spacing w:after="120" w:line="240" w:lineRule="auto"/>
        <w:ind w:left="0"/>
        <w:rPr>
          <w:rFonts w:cs="Arial"/>
          <w:sz w:val="22"/>
          <w:szCs w:val="22"/>
        </w:rPr>
      </w:pPr>
      <w:r w:rsidRPr="001C794B">
        <w:rPr>
          <w:rFonts w:cs="Arial"/>
          <w:sz w:val="22"/>
          <w:szCs w:val="22"/>
        </w:rPr>
        <w:t xml:space="preserve">The key environmental receptor along this stretch of coastline is the hooded plovers (and their nests). </w:t>
      </w:r>
    </w:p>
    <w:p w14:paraId="6FD7D127"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Availability</w:t>
      </w:r>
    </w:p>
    <w:p w14:paraId="457FC31F" w14:textId="77777777" w:rsidR="001C794B" w:rsidRPr="001C794B" w:rsidRDefault="001C794B" w:rsidP="001C794B">
      <w:pPr>
        <w:spacing w:after="240" w:line="240" w:lineRule="auto"/>
        <w:ind w:left="0"/>
        <w:rPr>
          <w:rFonts w:cs="Arial"/>
          <w:sz w:val="22"/>
          <w:szCs w:val="22"/>
        </w:rPr>
      </w:pPr>
      <w:r w:rsidRPr="001C794B">
        <w:rPr>
          <w:rFonts w:cs="Arial"/>
          <w:sz w:val="22"/>
          <w:szCs w:val="22"/>
        </w:rPr>
        <w:t xml:space="preserve">DEDJTR maintains shoreline clean-up capabilities for Level 2 or 3 vessel-based incidents, as outlined in the Maritime Emergencies NSR Plan (EMV, 2016). </w:t>
      </w:r>
    </w:p>
    <w:p w14:paraId="516D6323"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Hazards</w:t>
      </w:r>
    </w:p>
    <w:p w14:paraId="6C811E9D" w14:textId="77777777" w:rsidR="001C794B" w:rsidRPr="001C794B" w:rsidRDefault="001C794B" w:rsidP="001C794B">
      <w:pPr>
        <w:ind w:left="0"/>
        <w:rPr>
          <w:rFonts w:cs="Arial"/>
          <w:sz w:val="22"/>
          <w:szCs w:val="22"/>
        </w:rPr>
      </w:pPr>
      <w:r w:rsidRPr="001C794B">
        <w:rPr>
          <w:rFonts w:cs="Arial"/>
          <w:sz w:val="22"/>
          <w:szCs w:val="22"/>
        </w:rPr>
        <w:t xml:space="preserve">The hazards associated with SCAT and shoreline clean-up are: </w:t>
      </w:r>
    </w:p>
    <w:p w14:paraId="30805244" w14:textId="77777777" w:rsidR="001C794B" w:rsidRPr="001C794B" w:rsidRDefault="001C794B" w:rsidP="001C794B">
      <w:pPr>
        <w:ind w:left="0"/>
        <w:rPr>
          <w:rFonts w:cs="Arial"/>
          <w:sz w:val="22"/>
          <w:szCs w:val="22"/>
        </w:rPr>
      </w:pPr>
    </w:p>
    <w:p w14:paraId="45E0BD77"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 xml:space="preserve">Additional personnel activity on beaches; </w:t>
      </w:r>
    </w:p>
    <w:p w14:paraId="59D15200"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Mechanical access to and activity on beaches;</w:t>
      </w:r>
    </w:p>
    <w:p w14:paraId="4E43A6B0"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Loss of shoreline sediment; and</w:t>
      </w:r>
    </w:p>
    <w:p w14:paraId="145E7BDE" w14:textId="77777777" w:rsidR="001C794B" w:rsidRPr="001C794B" w:rsidRDefault="001C794B" w:rsidP="001C794B">
      <w:pPr>
        <w:numPr>
          <w:ilvl w:val="0"/>
          <w:numId w:val="173"/>
        </w:numPr>
        <w:spacing w:after="240" w:line="240" w:lineRule="auto"/>
        <w:ind w:left="714" w:hanging="357"/>
        <w:contextualSpacing/>
        <w:rPr>
          <w:rFonts w:cs="Arial"/>
          <w:sz w:val="22"/>
          <w:szCs w:val="22"/>
        </w:rPr>
      </w:pPr>
      <w:r w:rsidRPr="001C794B">
        <w:rPr>
          <w:rFonts w:cs="Arial"/>
          <w:sz w:val="22"/>
          <w:szCs w:val="22"/>
        </w:rPr>
        <w:t>Waste collection and transport.</w:t>
      </w:r>
    </w:p>
    <w:p w14:paraId="3727C96D" w14:textId="77777777" w:rsidR="00C56475" w:rsidRDefault="00C56475" w:rsidP="001C794B">
      <w:pPr>
        <w:spacing w:after="120" w:line="240" w:lineRule="auto"/>
        <w:ind w:left="0"/>
        <w:rPr>
          <w:rFonts w:cs="Arial"/>
          <w:b/>
          <w:sz w:val="22"/>
          <w:szCs w:val="22"/>
        </w:rPr>
      </w:pPr>
    </w:p>
    <w:p w14:paraId="07C2A388"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Known and Potential Impacts of the Response Activity</w:t>
      </w:r>
    </w:p>
    <w:p w14:paraId="51084E81" w14:textId="77777777" w:rsidR="001C794B" w:rsidRPr="001C794B" w:rsidRDefault="001C794B" w:rsidP="001C794B">
      <w:pPr>
        <w:spacing w:after="120" w:line="240" w:lineRule="auto"/>
        <w:ind w:left="0"/>
        <w:rPr>
          <w:rFonts w:cs="Arial"/>
          <w:sz w:val="22"/>
          <w:szCs w:val="22"/>
        </w:rPr>
      </w:pPr>
      <w:r w:rsidRPr="001C794B">
        <w:rPr>
          <w:rFonts w:cs="Arial"/>
          <w:sz w:val="22"/>
          <w:szCs w:val="22"/>
        </w:rPr>
        <w:t xml:space="preserve">The known and potential impacts associated with SCAT and shoreline clean-up are: </w:t>
      </w:r>
    </w:p>
    <w:p w14:paraId="46B88A3F"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Damage to foreshore and backshore environments from vehicle, machinery and/or foot access and associated land use (e.g., waste storage);</w:t>
      </w:r>
    </w:p>
    <w:p w14:paraId="309C757E"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Disturbance to Aboriginal cultural heritage (e.g., shell middens);</w:t>
      </w:r>
    </w:p>
    <w:p w14:paraId="7D543E1C"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Temporary exclusion of the public from aniety beaches;</w:t>
      </w:r>
    </w:p>
    <w:p w14:paraId="23DFA21F"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Increased demand for what may be limited resources in small coastal towns (such as accommodation, fuel, hire vehicles in towns such as Golden Beach, Lakes Entrance, Marlo);</w:t>
      </w:r>
    </w:p>
    <w:p w14:paraId="555B52F5"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Deeper mixing of hydrocarbons within beach sediments; and</w:t>
      </w:r>
    </w:p>
    <w:p w14:paraId="2B8A56B9" w14:textId="77777777" w:rsidR="001C794B" w:rsidRPr="001C794B" w:rsidRDefault="001C794B" w:rsidP="001C794B">
      <w:pPr>
        <w:numPr>
          <w:ilvl w:val="0"/>
          <w:numId w:val="173"/>
        </w:numPr>
        <w:spacing w:after="240" w:line="240" w:lineRule="auto"/>
        <w:ind w:left="714" w:hanging="357"/>
        <w:contextualSpacing/>
        <w:rPr>
          <w:rFonts w:cs="Arial"/>
          <w:sz w:val="22"/>
          <w:szCs w:val="22"/>
        </w:rPr>
      </w:pPr>
      <w:r w:rsidRPr="001C794B">
        <w:rPr>
          <w:rFonts w:cs="Arial"/>
          <w:sz w:val="22"/>
          <w:szCs w:val="22"/>
        </w:rPr>
        <w:lastRenderedPageBreak/>
        <w:t xml:space="preserve">Secondary contamination of foreshore and backshore areas from personnel and equipment movement.  </w:t>
      </w:r>
    </w:p>
    <w:p w14:paraId="0135D273" w14:textId="77777777" w:rsidR="0025636E" w:rsidRDefault="0025636E" w:rsidP="001C794B">
      <w:pPr>
        <w:spacing w:after="120" w:line="240" w:lineRule="auto"/>
        <w:ind w:left="0"/>
        <w:rPr>
          <w:rFonts w:cs="Arial"/>
          <w:b/>
          <w:sz w:val="22"/>
          <w:szCs w:val="22"/>
        </w:rPr>
      </w:pPr>
    </w:p>
    <w:p w14:paraId="752DC940"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Evaluation of Environmental Impacts and Risks</w:t>
      </w:r>
    </w:p>
    <w:p w14:paraId="788E987A" w14:textId="77777777" w:rsidR="001C794B" w:rsidRPr="001C794B" w:rsidRDefault="001C794B" w:rsidP="001C794B">
      <w:pPr>
        <w:spacing w:after="120" w:line="240" w:lineRule="auto"/>
        <w:ind w:left="0"/>
        <w:rPr>
          <w:rFonts w:cs="Arial"/>
          <w:i/>
          <w:sz w:val="22"/>
          <w:szCs w:val="22"/>
        </w:rPr>
      </w:pPr>
      <w:r w:rsidRPr="001C794B">
        <w:rPr>
          <w:rFonts w:cs="Arial"/>
          <w:i/>
          <w:sz w:val="22"/>
          <w:szCs w:val="22"/>
        </w:rPr>
        <w:t>Damage to foreshore and backshore environments</w:t>
      </w:r>
    </w:p>
    <w:p w14:paraId="117C86AB" w14:textId="77777777" w:rsidR="001C794B" w:rsidRPr="001C794B" w:rsidRDefault="001C794B" w:rsidP="001C794B">
      <w:pPr>
        <w:ind w:left="0"/>
        <w:rPr>
          <w:rFonts w:cs="Arial"/>
          <w:sz w:val="22"/>
          <w:szCs w:val="22"/>
        </w:rPr>
      </w:pPr>
      <w:r w:rsidRPr="001C794B">
        <w:rPr>
          <w:rFonts w:cs="Arial"/>
          <w:sz w:val="22"/>
          <w:szCs w:val="22"/>
        </w:rPr>
        <w:t>Damage to habitat is likely to be caused by high-pressure washing, whereby site-attached fauna such as limpets, mussels and lichen (on rocky substrates) will become detached from their habitat and may die. High-pressure washing may also damage the substrate itself. In both circumstances, the substrate is likely to be recolonized in a matter of weeks or months depending on site-specific conditions.</w:t>
      </w:r>
    </w:p>
    <w:p w14:paraId="71471BD2" w14:textId="77777777" w:rsidR="001C794B" w:rsidRPr="001C794B" w:rsidRDefault="001C794B" w:rsidP="001C794B">
      <w:pPr>
        <w:ind w:left="0"/>
        <w:rPr>
          <w:rFonts w:cs="Arial"/>
          <w:sz w:val="22"/>
          <w:szCs w:val="22"/>
        </w:rPr>
      </w:pPr>
    </w:p>
    <w:p w14:paraId="50032EFD" w14:textId="77777777" w:rsidR="001C794B" w:rsidRPr="001C794B" w:rsidRDefault="001C794B" w:rsidP="001C794B">
      <w:pPr>
        <w:ind w:left="0"/>
        <w:rPr>
          <w:rFonts w:cs="Arial"/>
          <w:sz w:val="22"/>
          <w:szCs w:val="22"/>
        </w:rPr>
      </w:pPr>
      <w:r w:rsidRPr="001C794B">
        <w:rPr>
          <w:rFonts w:cs="Arial"/>
          <w:sz w:val="22"/>
          <w:szCs w:val="22"/>
        </w:rPr>
        <w:t>The mechanical collection of oil from sandy beaches will also result in significant volumes of clean sand lost from beaches, resulting in a temporary loss of shoreline habitat and associated macrofauna and meiofauna. The reduced profile of sandy beaches may also make them more vulnerable to damage (such as additional sand loss, erosion of dunes and loss of dune vegetation) created by spring tides and storm surges. However, this risk will be temporary as tides eventually replenish the lost sand over the following weeks and months.</w:t>
      </w:r>
    </w:p>
    <w:p w14:paraId="252E88BD" w14:textId="77777777" w:rsidR="001C794B" w:rsidRPr="001C794B" w:rsidRDefault="001C794B" w:rsidP="001C794B">
      <w:pPr>
        <w:ind w:left="0"/>
        <w:rPr>
          <w:rFonts w:cs="Arial"/>
          <w:sz w:val="22"/>
          <w:szCs w:val="22"/>
        </w:rPr>
      </w:pPr>
    </w:p>
    <w:p w14:paraId="05407290" w14:textId="77777777" w:rsidR="001C794B" w:rsidRPr="001C794B" w:rsidRDefault="001C794B" w:rsidP="001C794B">
      <w:pPr>
        <w:ind w:left="0"/>
        <w:rPr>
          <w:rFonts w:cs="Arial"/>
          <w:sz w:val="22"/>
          <w:szCs w:val="22"/>
        </w:rPr>
      </w:pPr>
      <w:r w:rsidRPr="001C794B">
        <w:rPr>
          <w:rFonts w:cs="Arial"/>
          <w:sz w:val="22"/>
          <w:szCs w:val="22"/>
        </w:rPr>
        <w:t>The noise, light and general disturbance created by shoreline cleanup activities are likely to disturb the feeding, breeding, nesting or resting activities of resident and migratory fauna species that may be present. This is particularly the case for beach-nesting shorebirds such as hooded plovers, which are known to occur along the Gippsland coast. As an example, the eggs of hooded plovers (that nest only on sandy beaches) have small eggs that are very well camouflaged, so they are easily trodden on by accident.</w:t>
      </w:r>
    </w:p>
    <w:p w14:paraId="14779EC2" w14:textId="77777777" w:rsidR="001C794B" w:rsidRPr="001C794B" w:rsidRDefault="001C794B" w:rsidP="001C794B">
      <w:pPr>
        <w:ind w:left="0"/>
        <w:rPr>
          <w:rFonts w:cs="Arial"/>
          <w:sz w:val="22"/>
          <w:szCs w:val="22"/>
        </w:rPr>
      </w:pPr>
    </w:p>
    <w:p w14:paraId="4C1244E7" w14:textId="77777777" w:rsidR="001C794B" w:rsidRPr="001C794B" w:rsidRDefault="001C794B" w:rsidP="001C794B">
      <w:pPr>
        <w:ind w:left="0"/>
        <w:rPr>
          <w:rFonts w:cs="Arial"/>
          <w:sz w:val="22"/>
          <w:szCs w:val="22"/>
        </w:rPr>
      </w:pPr>
      <w:r w:rsidRPr="001C794B">
        <w:rPr>
          <w:rFonts w:cs="Arial"/>
          <w:sz w:val="22"/>
          <w:szCs w:val="22"/>
        </w:rPr>
        <w:t>If the incubating adult is scared off the nest by passers-by, the eggs may literally bake in the sun, or become too cold in the cool weather. Either way, it kills the chick developing in the egg, and the egg will not hatch. Similarly, when people disturb a chick, it quickly runs into the sand dunes and hides. While it is running, the chick uses up valuable energy, and while it is hiding it is unable to feed (they usually forage at the water’s edge), so that a chick that is forced to run and hide throughout the day could easily starve (Birdlife Australia, 2016). Any erosion caused by responder access to sandy beaches, or the removal of sand, may also bury nests. In isolated instances, this is unlikely to have impacts at the population level.</w:t>
      </w:r>
    </w:p>
    <w:p w14:paraId="73EA363E" w14:textId="77777777" w:rsidR="001C794B" w:rsidRPr="001C794B" w:rsidRDefault="001C794B" w:rsidP="001C794B">
      <w:pPr>
        <w:ind w:left="0"/>
        <w:rPr>
          <w:rFonts w:cs="Arial"/>
          <w:sz w:val="22"/>
          <w:szCs w:val="22"/>
        </w:rPr>
      </w:pPr>
    </w:p>
    <w:p w14:paraId="7B2FF10A" w14:textId="77777777" w:rsidR="001C794B" w:rsidRPr="001C794B" w:rsidRDefault="001C794B" w:rsidP="001C794B">
      <w:pPr>
        <w:spacing w:after="120" w:line="240" w:lineRule="auto"/>
        <w:ind w:left="0"/>
        <w:rPr>
          <w:rFonts w:cs="Arial"/>
          <w:i/>
          <w:sz w:val="22"/>
          <w:szCs w:val="22"/>
        </w:rPr>
      </w:pPr>
      <w:r w:rsidRPr="001C794B">
        <w:rPr>
          <w:rFonts w:cs="Arial"/>
          <w:i/>
          <w:sz w:val="22"/>
          <w:szCs w:val="22"/>
        </w:rPr>
        <w:t>Secondary contamination of the shoreline</w:t>
      </w:r>
    </w:p>
    <w:p w14:paraId="793F0AE2" w14:textId="77777777" w:rsidR="001C794B" w:rsidRPr="001C794B" w:rsidRDefault="001C794B" w:rsidP="001C794B">
      <w:pPr>
        <w:ind w:left="0"/>
        <w:rPr>
          <w:rFonts w:cs="Arial"/>
          <w:sz w:val="22"/>
          <w:szCs w:val="22"/>
        </w:rPr>
      </w:pPr>
      <w:r w:rsidRPr="001C794B">
        <w:rPr>
          <w:rFonts w:cs="Arial"/>
          <w:sz w:val="22"/>
          <w:szCs w:val="22"/>
        </w:rPr>
        <w:t>Untreated, secondary contamination of the environment (e.g., oil released into sand dunes, oil spilled along roadsides during transport) may cause chronic toxicity impacts to any flora and fauna directly contacted. Habitat degradation or loss may occur as a result of soil pollution (that may result in temporary or permanent soil sterilisation, thereby inhibiting or reducing plant growth). The degree to which these impacts occur is a function of the volume of oil spilled and how long it remains in the environment before being cleaned (if at all).</w:t>
      </w:r>
    </w:p>
    <w:p w14:paraId="029182DB" w14:textId="77777777" w:rsidR="001C794B" w:rsidRPr="001C794B" w:rsidRDefault="001C794B" w:rsidP="001C794B">
      <w:pPr>
        <w:ind w:left="0"/>
        <w:rPr>
          <w:rFonts w:cs="Arial"/>
          <w:sz w:val="22"/>
          <w:szCs w:val="22"/>
        </w:rPr>
      </w:pPr>
    </w:p>
    <w:p w14:paraId="2355BDB0" w14:textId="77777777" w:rsidR="001C794B" w:rsidRPr="001C794B" w:rsidRDefault="001C794B" w:rsidP="001C794B">
      <w:pPr>
        <w:spacing w:after="120" w:line="240" w:lineRule="auto"/>
        <w:ind w:left="0"/>
        <w:rPr>
          <w:rFonts w:cs="Arial"/>
          <w:i/>
          <w:sz w:val="22"/>
          <w:szCs w:val="22"/>
        </w:rPr>
      </w:pPr>
      <w:r w:rsidRPr="001C794B">
        <w:rPr>
          <w:rFonts w:cs="Arial"/>
          <w:i/>
          <w:sz w:val="22"/>
          <w:szCs w:val="22"/>
        </w:rPr>
        <w:t>Disturbance to Aboriginal cultural heritage</w:t>
      </w:r>
    </w:p>
    <w:p w14:paraId="2B5AD046" w14:textId="77777777" w:rsidR="001C794B" w:rsidRPr="001C794B" w:rsidRDefault="001C794B" w:rsidP="001C794B">
      <w:pPr>
        <w:ind w:left="0"/>
        <w:rPr>
          <w:rFonts w:cs="Arial"/>
          <w:sz w:val="22"/>
          <w:szCs w:val="22"/>
        </w:rPr>
      </w:pPr>
      <w:r w:rsidRPr="001C794B">
        <w:rPr>
          <w:rFonts w:cs="Arial"/>
          <w:sz w:val="22"/>
          <w:szCs w:val="22"/>
        </w:rPr>
        <w:t xml:space="preserve">The movement of people, vehicles and equipment through sand dunes may disturb cultural heritage artefacts that occur at the surface or are buried. The most likely cultural heritage artefacts to be present are Aboriginal shell middens, especially </w:t>
      </w:r>
      <w:r w:rsidRPr="001C794B">
        <w:rPr>
          <w:rFonts w:cs="Arial"/>
          <w:sz w:val="22"/>
          <w:szCs w:val="22"/>
        </w:rPr>
        <w:lastRenderedPageBreak/>
        <w:t xml:space="preserve">where freshwater and brackish water sources occur nearby, such as the Gippsland Lakes. </w:t>
      </w:r>
    </w:p>
    <w:p w14:paraId="55F4D4E9" w14:textId="77777777" w:rsidR="001C794B" w:rsidRPr="001C794B" w:rsidRDefault="001C794B" w:rsidP="001C794B">
      <w:pPr>
        <w:ind w:left="0"/>
        <w:rPr>
          <w:rFonts w:cs="Arial"/>
          <w:sz w:val="22"/>
          <w:szCs w:val="22"/>
        </w:rPr>
      </w:pPr>
    </w:p>
    <w:p w14:paraId="2C98D36D" w14:textId="77777777" w:rsidR="001C794B" w:rsidRPr="001C794B" w:rsidRDefault="001C794B" w:rsidP="001C794B">
      <w:pPr>
        <w:spacing w:after="120" w:line="240" w:lineRule="auto"/>
        <w:ind w:left="0"/>
        <w:rPr>
          <w:rFonts w:cs="Arial"/>
          <w:i/>
          <w:sz w:val="22"/>
          <w:szCs w:val="22"/>
        </w:rPr>
      </w:pPr>
      <w:r w:rsidRPr="001C794B">
        <w:rPr>
          <w:rFonts w:cs="Arial"/>
          <w:i/>
          <w:sz w:val="22"/>
          <w:szCs w:val="22"/>
        </w:rPr>
        <w:t>Infiltration of oil into beach sediments</w:t>
      </w:r>
    </w:p>
    <w:p w14:paraId="7DF3BBD5" w14:textId="77777777" w:rsidR="001C794B" w:rsidRPr="001C794B" w:rsidRDefault="001C794B" w:rsidP="001C794B">
      <w:pPr>
        <w:ind w:left="0"/>
        <w:rPr>
          <w:rFonts w:cs="Arial"/>
          <w:sz w:val="22"/>
          <w:szCs w:val="22"/>
        </w:rPr>
      </w:pPr>
      <w:r w:rsidRPr="001C794B">
        <w:rPr>
          <w:rFonts w:cs="Arial"/>
          <w:sz w:val="22"/>
          <w:szCs w:val="22"/>
        </w:rPr>
        <w:t>The vertical infiltration of oil into shoreline sediments caused by heavy machinery and equipment can expose fauna to oil that would not otherwise have been exposed. This exposes the base of the foodweb to contamination that may bioaccumulate up through the food chain. It also results in the need for the increased removal of contaminated substrate, exacerbating risks such as beach erosion.</w:t>
      </w:r>
    </w:p>
    <w:p w14:paraId="0A79E646" w14:textId="77777777" w:rsidR="001C794B" w:rsidRPr="001C794B" w:rsidRDefault="001C794B" w:rsidP="001C794B">
      <w:pPr>
        <w:ind w:left="0"/>
        <w:rPr>
          <w:rFonts w:cs="Arial"/>
          <w:sz w:val="22"/>
          <w:szCs w:val="22"/>
        </w:rPr>
      </w:pPr>
    </w:p>
    <w:p w14:paraId="0183C3B4" w14:textId="77777777" w:rsidR="001C794B" w:rsidRPr="001C794B" w:rsidRDefault="001C794B" w:rsidP="001C794B">
      <w:pPr>
        <w:spacing w:after="120" w:line="240" w:lineRule="auto"/>
        <w:ind w:left="0"/>
        <w:rPr>
          <w:rFonts w:cs="Arial"/>
          <w:i/>
          <w:sz w:val="22"/>
          <w:szCs w:val="22"/>
        </w:rPr>
      </w:pPr>
      <w:r w:rsidRPr="001C794B">
        <w:rPr>
          <w:rFonts w:cs="Arial"/>
          <w:i/>
          <w:sz w:val="22"/>
          <w:szCs w:val="22"/>
        </w:rPr>
        <w:t>Temporary exclusion of the public from amenity beaches</w:t>
      </w:r>
    </w:p>
    <w:p w14:paraId="36F793AD" w14:textId="77777777" w:rsidR="001C794B" w:rsidRPr="001C794B" w:rsidRDefault="001C794B" w:rsidP="001C794B">
      <w:pPr>
        <w:ind w:left="0"/>
        <w:rPr>
          <w:rFonts w:cs="Arial"/>
          <w:sz w:val="22"/>
          <w:szCs w:val="22"/>
        </w:rPr>
      </w:pPr>
      <w:r w:rsidRPr="001C794B">
        <w:rPr>
          <w:rFonts w:cs="Arial"/>
          <w:sz w:val="22"/>
          <w:szCs w:val="22"/>
        </w:rPr>
        <w:t>The very presence of stranded MDO and cleanup operations may necessitate temporary beach closures (likely to be days to weeks, depending on the degree of oiling and nature of the shoreline). This means recreational activities (such as swimming, walking, fishing) in affected areas will be excluded until access is again granted by local authorities. Given the</w:t>
      </w:r>
    </w:p>
    <w:p w14:paraId="52E93208" w14:textId="77777777" w:rsidR="001C794B" w:rsidRPr="001C794B" w:rsidRDefault="001C794B" w:rsidP="001C794B">
      <w:pPr>
        <w:ind w:left="0"/>
        <w:rPr>
          <w:rFonts w:cs="Arial"/>
          <w:sz w:val="22"/>
          <w:szCs w:val="22"/>
        </w:rPr>
      </w:pPr>
      <w:r w:rsidRPr="001C794B">
        <w:rPr>
          <w:rFonts w:cs="Arial"/>
          <w:sz w:val="22"/>
          <w:szCs w:val="22"/>
        </w:rPr>
        <w:t>prevalence of sandy beaches along the coastline and the sparse nature and small population of coastal towns, the predicted rapid weathering of MDO, and the generally short-lived nature of clean-up activities, this is unlikely to</w:t>
      </w:r>
    </w:p>
    <w:p w14:paraId="57314E92" w14:textId="77777777" w:rsidR="001C794B" w:rsidRPr="001C794B" w:rsidRDefault="001C794B" w:rsidP="001C794B">
      <w:pPr>
        <w:ind w:left="0"/>
        <w:rPr>
          <w:rFonts w:cs="Arial"/>
          <w:sz w:val="22"/>
          <w:szCs w:val="22"/>
        </w:rPr>
      </w:pPr>
      <w:r w:rsidRPr="001C794B">
        <w:rPr>
          <w:rFonts w:cs="Arial"/>
          <w:sz w:val="22"/>
          <w:szCs w:val="22"/>
        </w:rPr>
        <w:t>represent a significant drawback to residents or tourists.</w:t>
      </w:r>
    </w:p>
    <w:p w14:paraId="19A025F0" w14:textId="77777777" w:rsidR="001C794B" w:rsidRPr="001C794B" w:rsidRDefault="001C794B" w:rsidP="001C794B">
      <w:pPr>
        <w:spacing w:after="120" w:line="240" w:lineRule="auto"/>
        <w:ind w:left="0"/>
        <w:rPr>
          <w:rFonts w:cs="Arial"/>
          <w:i/>
          <w:sz w:val="22"/>
          <w:szCs w:val="22"/>
        </w:rPr>
      </w:pPr>
      <w:r w:rsidRPr="001C794B">
        <w:rPr>
          <w:rFonts w:cs="Arial"/>
          <w:i/>
          <w:sz w:val="22"/>
          <w:szCs w:val="22"/>
        </w:rPr>
        <w:t>Increased demand for limited resources</w:t>
      </w:r>
    </w:p>
    <w:p w14:paraId="2FDC1512" w14:textId="77777777" w:rsidR="001C794B" w:rsidRPr="001C794B" w:rsidRDefault="001C794B" w:rsidP="001C794B">
      <w:pPr>
        <w:ind w:left="0"/>
        <w:rPr>
          <w:rFonts w:cs="Arial"/>
          <w:sz w:val="22"/>
          <w:szCs w:val="22"/>
        </w:rPr>
      </w:pPr>
      <w:r w:rsidRPr="001C794B">
        <w:rPr>
          <w:rFonts w:cs="Arial"/>
          <w:sz w:val="22"/>
          <w:szCs w:val="22"/>
        </w:rPr>
        <w:t>The influx of shoreline clean-up personnel to a given region will place increased demand on the resources of small coastal towns such as Golden Beach, Lakes Entrance and Marlo, such as accommodation, meals, vehicle hire, fuel, groceries and other day-to-day consumables. In most instances, the increased activity associated with clean-up operations will be a boost to local economies, however sudden influxes of workers to small Australian towns is often fraught with social unrest as the demand for goods and services can negatively impact on the provision of services to residents and tourists. As with most of the risks associated with clean-up operations, this is likely to be temporary and localised.</w:t>
      </w:r>
    </w:p>
    <w:p w14:paraId="292125D0" w14:textId="77777777" w:rsidR="001C794B" w:rsidRPr="001C794B" w:rsidRDefault="001C794B" w:rsidP="001C794B">
      <w:pPr>
        <w:ind w:left="0"/>
        <w:rPr>
          <w:rFonts w:cs="Arial"/>
          <w:sz w:val="22"/>
          <w:szCs w:val="22"/>
        </w:rPr>
      </w:pPr>
    </w:p>
    <w:p w14:paraId="77B460F8"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Environmental Impact and Risk Assessment</w:t>
      </w:r>
    </w:p>
    <w:p w14:paraId="5DF90413" w14:textId="77777777" w:rsidR="001C794B" w:rsidRPr="001C794B" w:rsidRDefault="001C794B" w:rsidP="001C794B">
      <w:pPr>
        <w:spacing w:after="120" w:line="240" w:lineRule="auto"/>
        <w:ind w:left="0"/>
        <w:rPr>
          <w:rFonts w:cs="Arial"/>
          <w:sz w:val="22"/>
          <w:szCs w:val="22"/>
        </w:rPr>
      </w:pPr>
      <w:r w:rsidRPr="001C794B">
        <w:rPr>
          <w:rFonts w:cs="Arial"/>
          <w:sz w:val="22"/>
          <w:szCs w:val="22"/>
        </w:rPr>
        <w:t>Preparedness</w:t>
      </w:r>
    </w:p>
    <w:p w14:paraId="64D7699E" w14:textId="75066C7F" w:rsidR="001C794B" w:rsidRPr="001C794B" w:rsidRDefault="001C794B" w:rsidP="001C794B">
      <w:pPr>
        <w:numPr>
          <w:ilvl w:val="0"/>
          <w:numId w:val="562"/>
        </w:numPr>
        <w:spacing w:after="120" w:line="240" w:lineRule="auto"/>
        <w:rPr>
          <w:rFonts w:cs="Arial"/>
          <w:sz w:val="22"/>
          <w:szCs w:val="22"/>
        </w:rPr>
      </w:pPr>
      <w:r w:rsidRPr="001C794B">
        <w:rPr>
          <w:rFonts w:cs="Arial"/>
          <w:sz w:val="22"/>
          <w:szCs w:val="22"/>
        </w:rPr>
        <w:t>Access to operational response capabilities is maintained through the M</w:t>
      </w:r>
      <w:r w:rsidR="00282011">
        <w:rPr>
          <w:rFonts w:cs="Arial"/>
          <w:sz w:val="22"/>
          <w:szCs w:val="22"/>
        </w:rPr>
        <w:t xml:space="preserve">aritime Emergencies NSR Plan. </w:t>
      </w:r>
    </w:p>
    <w:p w14:paraId="36FBCE41" w14:textId="2DF9C22F" w:rsidR="001C794B" w:rsidRPr="001C794B" w:rsidRDefault="001C794B" w:rsidP="001C794B">
      <w:pPr>
        <w:numPr>
          <w:ilvl w:val="0"/>
          <w:numId w:val="562"/>
        </w:numPr>
        <w:spacing w:after="120" w:line="240" w:lineRule="auto"/>
        <w:rPr>
          <w:rFonts w:cs="Arial"/>
          <w:sz w:val="22"/>
          <w:szCs w:val="22"/>
        </w:rPr>
      </w:pPr>
      <w:r w:rsidRPr="001C794B">
        <w:rPr>
          <w:rFonts w:cs="Arial"/>
          <w:sz w:val="22"/>
          <w:szCs w:val="22"/>
        </w:rPr>
        <w:t>A current database of equipment and service providers i</w:t>
      </w:r>
      <w:r w:rsidR="00282011">
        <w:rPr>
          <w:rFonts w:cs="Arial"/>
          <w:sz w:val="22"/>
          <w:szCs w:val="22"/>
        </w:rPr>
        <w:t>s readily available</w:t>
      </w:r>
      <w:r w:rsidRPr="001C794B">
        <w:rPr>
          <w:rFonts w:cs="Arial"/>
          <w:sz w:val="22"/>
          <w:szCs w:val="22"/>
        </w:rPr>
        <w:t>.</w:t>
      </w:r>
    </w:p>
    <w:p w14:paraId="7524771D" w14:textId="77777777" w:rsidR="001C794B" w:rsidRPr="001C794B" w:rsidRDefault="001C794B" w:rsidP="001C794B">
      <w:pPr>
        <w:spacing w:after="120" w:line="240" w:lineRule="auto"/>
        <w:ind w:left="0"/>
        <w:rPr>
          <w:rFonts w:cs="Arial"/>
          <w:sz w:val="22"/>
          <w:szCs w:val="22"/>
        </w:rPr>
      </w:pPr>
      <w:r w:rsidRPr="001C794B">
        <w:rPr>
          <w:rFonts w:cs="Arial"/>
          <w:sz w:val="22"/>
          <w:szCs w:val="22"/>
        </w:rPr>
        <w:t>Response</w:t>
      </w:r>
    </w:p>
    <w:p w14:paraId="12FA9C22" w14:textId="2316067F" w:rsidR="001C794B" w:rsidRPr="001C794B" w:rsidRDefault="001C794B" w:rsidP="001C794B">
      <w:pPr>
        <w:numPr>
          <w:ilvl w:val="0"/>
          <w:numId w:val="563"/>
        </w:numPr>
        <w:spacing w:after="120" w:line="240" w:lineRule="auto"/>
        <w:rPr>
          <w:rFonts w:cs="Arial"/>
          <w:sz w:val="22"/>
          <w:szCs w:val="22"/>
        </w:rPr>
      </w:pPr>
      <w:r w:rsidRPr="001C794B">
        <w:rPr>
          <w:rFonts w:cs="Arial"/>
          <w:sz w:val="22"/>
          <w:szCs w:val="22"/>
        </w:rPr>
        <w:t>SCAT teams mobilised to site within 6-24 hours of the notification of the spil</w:t>
      </w:r>
      <w:r w:rsidR="009A1DB7">
        <w:rPr>
          <w:rFonts w:cs="Arial"/>
          <w:sz w:val="22"/>
          <w:szCs w:val="22"/>
        </w:rPr>
        <w:t xml:space="preserve">l (daylight hours permitting). </w:t>
      </w:r>
      <w:r w:rsidRPr="001C794B">
        <w:rPr>
          <w:rFonts w:cs="Arial"/>
          <w:sz w:val="22"/>
          <w:szCs w:val="22"/>
        </w:rPr>
        <w:t xml:space="preserve"> </w:t>
      </w:r>
    </w:p>
    <w:p w14:paraId="33447CEC" w14:textId="53837C9C" w:rsidR="001C794B" w:rsidRPr="001C794B" w:rsidRDefault="001C794B" w:rsidP="001C794B">
      <w:pPr>
        <w:numPr>
          <w:ilvl w:val="0"/>
          <w:numId w:val="563"/>
        </w:numPr>
        <w:spacing w:after="120" w:line="240" w:lineRule="auto"/>
        <w:rPr>
          <w:rFonts w:cs="Arial"/>
          <w:sz w:val="22"/>
          <w:szCs w:val="22"/>
        </w:rPr>
      </w:pPr>
      <w:r w:rsidRPr="001C794B">
        <w:rPr>
          <w:rFonts w:cs="Arial"/>
          <w:sz w:val="22"/>
          <w:szCs w:val="22"/>
        </w:rPr>
        <w:t>SCAT information is provided to the IMT Leader for inclusion into the NEBA. An operational NEBA is undertaken to determine net benefits.</w:t>
      </w:r>
      <w:r w:rsidRPr="001C794B">
        <w:rPr>
          <w:rFonts w:cs="Arial"/>
          <w:sz w:val="22"/>
          <w:szCs w:val="22"/>
        </w:rPr>
        <w:tab/>
        <w:t xml:space="preserve"> </w:t>
      </w:r>
    </w:p>
    <w:p w14:paraId="657948E4" w14:textId="27460798" w:rsidR="001C794B" w:rsidRPr="001C794B" w:rsidRDefault="001C794B" w:rsidP="001C794B">
      <w:pPr>
        <w:numPr>
          <w:ilvl w:val="0"/>
          <w:numId w:val="563"/>
        </w:numPr>
        <w:spacing w:after="120" w:line="240" w:lineRule="auto"/>
        <w:rPr>
          <w:rFonts w:cs="Arial"/>
          <w:sz w:val="22"/>
          <w:szCs w:val="22"/>
        </w:rPr>
      </w:pPr>
      <w:r w:rsidRPr="001C794B">
        <w:rPr>
          <w:rFonts w:cs="Arial"/>
          <w:sz w:val="22"/>
          <w:szCs w:val="22"/>
        </w:rPr>
        <w:t>If an operational NEBA identifies that shoreline clean-up is required, the IAP includes this information to guide the response, with personnel and equipment de</w:t>
      </w:r>
      <w:r w:rsidR="009A1DB7">
        <w:rPr>
          <w:rFonts w:cs="Arial"/>
          <w:sz w:val="22"/>
          <w:szCs w:val="22"/>
        </w:rPr>
        <w:t xml:space="preserve">ployed to relevant locations.  </w:t>
      </w:r>
      <w:r w:rsidRPr="001C794B">
        <w:rPr>
          <w:rFonts w:cs="Arial"/>
          <w:sz w:val="22"/>
          <w:szCs w:val="22"/>
        </w:rPr>
        <w:t xml:space="preserve"> </w:t>
      </w:r>
    </w:p>
    <w:p w14:paraId="78EE46E4" w14:textId="2262BA4D" w:rsidR="001C794B" w:rsidRPr="001C794B" w:rsidRDefault="001C794B" w:rsidP="001C794B">
      <w:pPr>
        <w:numPr>
          <w:ilvl w:val="0"/>
          <w:numId w:val="563"/>
        </w:numPr>
        <w:spacing w:after="120" w:line="240" w:lineRule="auto"/>
        <w:rPr>
          <w:rFonts w:cs="Arial"/>
          <w:sz w:val="22"/>
          <w:szCs w:val="22"/>
        </w:rPr>
      </w:pPr>
      <w:r w:rsidRPr="001C794B">
        <w:rPr>
          <w:rFonts w:cs="Arial"/>
          <w:sz w:val="22"/>
          <w:szCs w:val="22"/>
        </w:rPr>
        <w:t xml:space="preserve">Shoreline clean-up resources are deployed to site within timeframes identified in </w:t>
      </w:r>
      <w:r w:rsidR="009A1DB7">
        <w:rPr>
          <w:rFonts w:cs="Arial"/>
          <w:sz w:val="22"/>
          <w:szCs w:val="22"/>
        </w:rPr>
        <w:t>the IAP</w:t>
      </w:r>
      <w:r w:rsidRPr="001C794B">
        <w:rPr>
          <w:rFonts w:cs="Arial"/>
          <w:sz w:val="22"/>
          <w:szCs w:val="22"/>
        </w:rPr>
        <w:t xml:space="preserve">. </w:t>
      </w:r>
    </w:p>
    <w:p w14:paraId="68228087" w14:textId="77777777" w:rsidR="001C794B" w:rsidRPr="001C794B" w:rsidRDefault="001C794B" w:rsidP="001C794B">
      <w:pPr>
        <w:spacing w:after="120" w:line="240" w:lineRule="auto"/>
        <w:ind w:left="0"/>
        <w:rPr>
          <w:rFonts w:cs="Arial"/>
          <w:sz w:val="22"/>
          <w:szCs w:val="22"/>
        </w:rPr>
      </w:pPr>
      <w:r w:rsidRPr="001C794B">
        <w:rPr>
          <w:rFonts w:cs="Arial"/>
          <w:sz w:val="22"/>
          <w:szCs w:val="22"/>
        </w:rPr>
        <w:t>Activity controls</w:t>
      </w:r>
    </w:p>
    <w:p w14:paraId="0EA9A3DF" w14:textId="11A8D629" w:rsidR="001C794B" w:rsidRPr="001C794B" w:rsidRDefault="001C794B" w:rsidP="001C794B">
      <w:pPr>
        <w:numPr>
          <w:ilvl w:val="0"/>
          <w:numId w:val="564"/>
        </w:numPr>
        <w:spacing w:after="120" w:line="240" w:lineRule="auto"/>
        <w:rPr>
          <w:rFonts w:cs="Arial"/>
          <w:sz w:val="22"/>
          <w:szCs w:val="22"/>
        </w:rPr>
      </w:pPr>
      <w:r w:rsidRPr="001C794B">
        <w:rPr>
          <w:rFonts w:cs="Arial"/>
          <w:sz w:val="22"/>
          <w:szCs w:val="22"/>
        </w:rPr>
        <w:lastRenderedPageBreak/>
        <w:t>Environmental briefings are conducted prior to clean-up commencing in order to identify risks</w:t>
      </w:r>
      <w:r w:rsidR="009A1DB7">
        <w:rPr>
          <w:rFonts w:cs="Arial"/>
          <w:sz w:val="22"/>
          <w:szCs w:val="22"/>
        </w:rPr>
        <w:t xml:space="preserve"> and suitable controls</w:t>
      </w:r>
      <w:r w:rsidRPr="001C794B">
        <w:rPr>
          <w:rFonts w:cs="Arial"/>
          <w:sz w:val="22"/>
          <w:szCs w:val="22"/>
        </w:rPr>
        <w:t>.</w:t>
      </w:r>
    </w:p>
    <w:p w14:paraId="1D0059E9" w14:textId="386FF4D0" w:rsidR="001C794B" w:rsidRPr="001C794B" w:rsidRDefault="001C794B" w:rsidP="001C794B">
      <w:pPr>
        <w:numPr>
          <w:ilvl w:val="0"/>
          <w:numId w:val="564"/>
        </w:numPr>
        <w:spacing w:after="120" w:line="240" w:lineRule="auto"/>
        <w:rPr>
          <w:rFonts w:cs="Arial"/>
          <w:sz w:val="22"/>
          <w:szCs w:val="22"/>
        </w:rPr>
      </w:pPr>
      <w:r w:rsidRPr="001C794B">
        <w:rPr>
          <w:rFonts w:cs="Arial"/>
          <w:sz w:val="22"/>
          <w:szCs w:val="22"/>
        </w:rPr>
        <w:t>Access to shoreline is via established tracks (with track edges fenced with bunting if required). Access outside of existing tracks and pathways is determined in consultation wit</w:t>
      </w:r>
      <w:r w:rsidR="009A1DB7">
        <w:rPr>
          <w:rFonts w:cs="Arial"/>
          <w:sz w:val="22"/>
          <w:szCs w:val="22"/>
        </w:rPr>
        <w:t>h local DELWP representatives</w:t>
      </w:r>
      <w:r w:rsidRPr="001C794B">
        <w:rPr>
          <w:rFonts w:cs="Arial"/>
          <w:sz w:val="22"/>
          <w:szCs w:val="22"/>
        </w:rPr>
        <w:t>.</w:t>
      </w:r>
    </w:p>
    <w:p w14:paraId="7DB25C90" w14:textId="6B58C753" w:rsidR="001C794B" w:rsidRPr="009A1DB7" w:rsidRDefault="001C794B" w:rsidP="009A1DB7">
      <w:pPr>
        <w:numPr>
          <w:ilvl w:val="0"/>
          <w:numId w:val="564"/>
        </w:numPr>
        <w:spacing w:after="120" w:line="240" w:lineRule="auto"/>
        <w:rPr>
          <w:rFonts w:cs="Arial"/>
          <w:sz w:val="22"/>
          <w:szCs w:val="22"/>
        </w:rPr>
      </w:pPr>
      <w:r w:rsidRPr="001C794B">
        <w:rPr>
          <w:rFonts w:cs="Arial"/>
          <w:sz w:val="22"/>
          <w:szCs w:val="22"/>
        </w:rPr>
        <w:t>Mobile equipment to be driven as close to the water’s edge as possible to prevent impacts to shoreline birds.</w:t>
      </w:r>
      <w:r w:rsidR="009A1DB7">
        <w:rPr>
          <w:rFonts w:cs="Arial"/>
          <w:sz w:val="22"/>
          <w:szCs w:val="22"/>
        </w:rPr>
        <w:t xml:space="preserve">  </w:t>
      </w:r>
      <w:r w:rsidRPr="009A1DB7">
        <w:rPr>
          <w:rFonts w:cs="Arial"/>
          <w:sz w:val="22"/>
          <w:szCs w:val="22"/>
        </w:rPr>
        <w:t>Clean-up will keep to the inte</w:t>
      </w:r>
      <w:r w:rsidR="009A1DB7">
        <w:rPr>
          <w:rFonts w:cs="Arial"/>
          <w:sz w:val="22"/>
          <w:szCs w:val="22"/>
        </w:rPr>
        <w:t>r-tidal zone as far as possible</w:t>
      </w:r>
      <w:r w:rsidRPr="009A1DB7">
        <w:rPr>
          <w:rFonts w:cs="Arial"/>
          <w:sz w:val="22"/>
          <w:szCs w:val="22"/>
        </w:rPr>
        <w:t xml:space="preserve">. </w:t>
      </w:r>
    </w:p>
    <w:p w14:paraId="3E960B01" w14:textId="2766619D" w:rsidR="001C794B" w:rsidRPr="001C794B" w:rsidRDefault="001C794B" w:rsidP="001C794B">
      <w:pPr>
        <w:numPr>
          <w:ilvl w:val="0"/>
          <w:numId w:val="564"/>
        </w:numPr>
        <w:spacing w:after="120" w:line="240" w:lineRule="auto"/>
        <w:rPr>
          <w:rFonts w:cs="Arial"/>
          <w:sz w:val="22"/>
          <w:szCs w:val="22"/>
        </w:rPr>
      </w:pPr>
      <w:r w:rsidRPr="001C794B">
        <w:rPr>
          <w:rFonts w:cs="Arial"/>
          <w:sz w:val="22"/>
          <w:szCs w:val="22"/>
        </w:rPr>
        <w:t>In consultation with local DELWP representatives, known occurrences of Aboriginal cultural herit</w:t>
      </w:r>
      <w:r w:rsidR="009A1DB7">
        <w:rPr>
          <w:rFonts w:cs="Arial"/>
          <w:sz w:val="22"/>
          <w:szCs w:val="22"/>
        </w:rPr>
        <w:t>age are flagged for avoidance</w:t>
      </w:r>
      <w:r w:rsidRPr="001C794B">
        <w:rPr>
          <w:rFonts w:cs="Arial"/>
          <w:sz w:val="22"/>
          <w:szCs w:val="22"/>
        </w:rPr>
        <w:t xml:space="preserve">. </w:t>
      </w:r>
    </w:p>
    <w:p w14:paraId="7CFD3113" w14:textId="337695D8" w:rsidR="001C794B" w:rsidRPr="009A1DB7" w:rsidRDefault="001C794B" w:rsidP="009A1DB7">
      <w:pPr>
        <w:numPr>
          <w:ilvl w:val="0"/>
          <w:numId w:val="564"/>
        </w:numPr>
        <w:spacing w:after="120" w:line="240" w:lineRule="auto"/>
        <w:rPr>
          <w:rFonts w:cs="Arial"/>
          <w:sz w:val="22"/>
          <w:szCs w:val="22"/>
        </w:rPr>
      </w:pPr>
      <w:r w:rsidRPr="001C794B">
        <w:rPr>
          <w:rFonts w:cs="Arial"/>
          <w:sz w:val="22"/>
          <w:szCs w:val="22"/>
        </w:rPr>
        <w:t>Waste storage is located within a contained, impervious area.</w:t>
      </w:r>
      <w:r w:rsidR="009A1DB7">
        <w:rPr>
          <w:rFonts w:cs="Arial"/>
          <w:sz w:val="22"/>
          <w:szCs w:val="22"/>
        </w:rPr>
        <w:t xml:space="preserve">  </w:t>
      </w:r>
      <w:r w:rsidRPr="009A1DB7">
        <w:rPr>
          <w:rFonts w:cs="Arial"/>
          <w:sz w:val="22"/>
          <w:szCs w:val="22"/>
        </w:rPr>
        <w:t>Area is under supervisi</w:t>
      </w:r>
      <w:r w:rsidR="009A1DB7">
        <w:rPr>
          <w:rFonts w:cs="Arial"/>
          <w:sz w:val="22"/>
          <w:szCs w:val="22"/>
        </w:rPr>
        <w:t>on and secured from the public</w:t>
      </w:r>
      <w:r w:rsidRPr="009A1DB7">
        <w:rPr>
          <w:rFonts w:cs="Arial"/>
          <w:sz w:val="22"/>
          <w:szCs w:val="22"/>
        </w:rPr>
        <w:t>.</w:t>
      </w:r>
    </w:p>
    <w:p w14:paraId="1850A475" w14:textId="09F55589" w:rsidR="001C794B" w:rsidRPr="001C794B" w:rsidRDefault="001C794B" w:rsidP="001C794B">
      <w:pPr>
        <w:numPr>
          <w:ilvl w:val="0"/>
          <w:numId w:val="564"/>
        </w:numPr>
        <w:spacing w:after="120" w:line="240" w:lineRule="auto"/>
        <w:rPr>
          <w:rFonts w:cs="Arial"/>
          <w:sz w:val="22"/>
          <w:szCs w:val="22"/>
        </w:rPr>
      </w:pPr>
      <w:r w:rsidRPr="001C794B">
        <w:rPr>
          <w:rFonts w:cs="Arial"/>
          <w:sz w:val="22"/>
          <w:szCs w:val="22"/>
        </w:rPr>
        <w:t>Oiled waste is transported in accordance with EPA waste disposal requirement</w:t>
      </w:r>
      <w:r w:rsidR="009A1DB7">
        <w:rPr>
          <w:rFonts w:cs="Arial"/>
          <w:sz w:val="22"/>
          <w:szCs w:val="22"/>
        </w:rPr>
        <w:t>s</w:t>
      </w:r>
      <w:r w:rsidRPr="001C794B">
        <w:rPr>
          <w:rFonts w:cs="Arial"/>
          <w:sz w:val="22"/>
          <w:szCs w:val="22"/>
        </w:rPr>
        <w:t>.</w:t>
      </w:r>
    </w:p>
    <w:p w14:paraId="68C1EE66" w14:textId="71BFBEB7" w:rsidR="001C794B" w:rsidRPr="001C794B" w:rsidRDefault="001C794B" w:rsidP="001C794B">
      <w:pPr>
        <w:numPr>
          <w:ilvl w:val="0"/>
          <w:numId w:val="564"/>
        </w:numPr>
        <w:spacing w:after="120" w:line="240" w:lineRule="auto"/>
        <w:rPr>
          <w:rFonts w:cs="Arial"/>
          <w:sz w:val="22"/>
          <w:szCs w:val="22"/>
        </w:rPr>
      </w:pPr>
      <w:r w:rsidRPr="001C794B">
        <w:rPr>
          <w:rFonts w:cs="Arial"/>
          <w:sz w:val="22"/>
          <w:szCs w:val="22"/>
        </w:rPr>
        <w:t>All access points (personnel and equipment) will be controlled via designated access points thro</w:t>
      </w:r>
      <w:r w:rsidR="009A1DB7">
        <w:rPr>
          <w:rFonts w:cs="Arial"/>
          <w:sz w:val="22"/>
          <w:szCs w:val="22"/>
        </w:rPr>
        <w:t>ugh decontamination facilities</w:t>
      </w:r>
      <w:r w:rsidRPr="001C794B">
        <w:rPr>
          <w:rFonts w:cs="Arial"/>
          <w:sz w:val="22"/>
          <w:szCs w:val="22"/>
        </w:rPr>
        <w:t>.</w:t>
      </w:r>
    </w:p>
    <w:p w14:paraId="72E3AD59" w14:textId="77777777" w:rsidR="001C794B" w:rsidRPr="001C794B" w:rsidRDefault="001C794B" w:rsidP="001C794B">
      <w:pPr>
        <w:spacing w:after="120" w:line="240" w:lineRule="auto"/>
        <w:ind w:left="0"/>
        <w:rPr>
          <w:rFonts w:cs="Arial"/>
          <w:b/>
          <w:sz w:val="22"/>
          <w:szCs w:val="22"/>
        </w:rPr>
      </w:pPr>
    </w:p>
    <w:p w14:paraId="237E178F" w14:textId="4639B4A5" w:rsidR="001C794B" w:rsidRPr="001C794B" w:rsidRDefault="00C56475" w:rsidP="001C794B">
      <w:pPr>
        <w:spacing w:after="120" w:line="240" w:lineRule="auto"/>
        <w:ind w:left="0"/>
        <w:rPr>
          <w:rFonts w:cs="Arial"/>
          <w:sz w:val="22"/>
          <w:szCs w:val="22"/>
        </w:rPr>
      </w:pPr>
      <w:r>
        <w:rPr>
          <w:rFonts w:cs="Arial"/>
          <w:sz w:val="22"/>
          <w:szCs w:val="22"/>
        </w:rPr>
        <w:t>Table 7.52</w:t>
      </w:r>
      <w:r w:rsidR="001C794B" w:rsidRPr="001C794B">
        <w:rPr>
          <w:rFonts w:cs="Arial"/>
          <w:sz w:val="22"/>
          <w:szCs w:val="22"/>
        </w:rPr>
        <w:t xml:space="preserve"> presents the residual risk assessment SCAT and shoreline clean-up activities. </w:t>
      </w:r>
    </w:p>
    <w:p w14:paraId="375A95E7" w14:textId="5A3707EE" w:rsidR="001C794B" w:rsidRPr="001C794B" w:rsidRDefault="00C56475" w:rsidP="001C794B">
      <w:pPr>
        <w:keepNext/>
        <w:spacing w:after="120" w:line="240" w:lineRule="auto"/>
        <w:ind w:left="851"/>
        <w:jc w:val="center"/>
        <w:rPr>
          <w:rFonts w:cs="Arial"/>
          <w:b/>
          <w:sz w:val="20"/>
          <w:szCs w:val="20"/>
        </w:rPr>
      </w:pPr>
      <w:r>
        <w:rPr>
          <w:rFonts w:cs="Arial"/>
          <w:b/>
          <w:sz w:val="20"/>
          <w:szCs w:val="20"/>
        </w:rPr>
        <w:t>Table 7.52</w:t>
      </w:r>
      <w:r w:rsidR="001C794B" w:rsidRPr="001C794B">
        <w:rPr>
          <w:rFonts w:cs="Arial"/>
          <w:b/>
          <w:sz w:val="20"/>
          <w:szCs w:val="20"/>
        </w:rPr>
        <w:t>.</w:t>
      </w:r>
      <w:r w:rsidR="001C794B" w:rsidRPr="001C794B">
        <w:rPr>
          <w:rFonts w:cs="Arial"/>
          <w:b/>
          <w:sz w:val="20"/>
          <w:szCs w:val="20"/>
        </w:rPr>
        <w:tab/>
        <w:t>Residual Risk assessment for SCAT and shoreline clean-up</w:t>
      </w:r>
    </w:p>
    <w:tbl>
      <w:tblPr>
        <w:tblW w:w="850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2126"/>
        <w:gridCol w:w="2268"/>
        <w:gridCol w:w="1985"/>
      </w:tblGrid>
      <w:tr w:rsidR="001C794B" w:rsidRPr="001C794B" w14:paraId="05945A49" w14:textId="77777777" w:rsidTr="0025636E">
        <w:trPr>
          <w:cantSplit/>
          <w:trHeight w:val="355"/>
        </w:trPr>
        <w:tc>
          <w:tcPr>
            <w:tcW w:w="8506" w:type="dxa"/>
            <w:gridSpan w:val="4"/>
            <w:shd w:val="clear" w:color="auto" w:fill="064EA8"/>
          </w:tcPr>
          <w:p w14:paraId="2935874D" w14:textId="77777777" w:rsidR="001C794B" w:rsidRPr="001C794B" w:rsidRDefault="001C794B" w:rsidP="001C794B">
            <w:pPr>
              <w:spacing w:before="60" w:after="60" w:line="240" w:lineRule="auto"/>
              <w:ind w:left="0"/>
              <w:jc w:val="center"/>
              <w:rPr>
                <w:rFonts w:cs="Tahoma"/>
                <w:color w:val="FFFFFF" w:themeColor="background1"/>
                <w:sz w:val="20"/>
                <w:szCs w:val="20"/>
              </w:rPr>
            </w:pPr>
            <w:r w:rsidRPr="001C794B">
              <w:rPr>
                <w:rFonts w:cs="Tahoma"/>
                <w:color w:val="FFFFFF" w:themeColor="background1"/>
                <w:sz w:val="20"/>
                <w:szCs w:val="20"/>
              </w:rPr>
              <w:t>Risk assessment (residual)</w:t>
            </w:r>
          </w:p>
        </w:tc>
      </w:tr>
      <w:tr w:rsidR="001C794B" w:rsidRPr="001C794B" w14:paraId="2D13C635" w14:textId="77777777" w:rsidTr="0025636E">
        <w:trPr>
          <w:cantSplit/>
        </w:trPr>
        <w:tc>
          <w:tcPr>
            <w:tcW w:w="2127" w:type="dxa"/>
            <w:shd w:val="clear" w:color="auto" w:fill="BFBFBF" w:themeFill="background1" w:themeFillShade="BF"/>
          </w:tcPr>
          <w:p w14:paraId="275856AC"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Receptor</w:t>
            </w:r>
          </w:p>
        </w:tc>
        <w:tc>
          <w:tcPr>
            <w:tcW w:w="2126" w:type="dxa"/>
            <w:shd w:val="clear" w:color="auto" w:fill="BFBFBF" w:themeFill="background1" w:themeFillShade="BF"/>
          </w:tcPr>
          <w:p w14:paraId="0301C826" w14:textId="77777777" w:rsidR="001C794B" w:rsidRPr="001C794B" w:rsidRDefault="001C794B" w:rsidP="001C794B">
            <w:pPr>
              <w:spacing w:before="60" w:after="60" w:line="240" w:lineRule="auto"/>
              <w:ind w:left="0"/>
              <w:jc w:val="center"/>
              <w:rPr>
                <w:rFonts w:cs="Tahoma"/>
                <w:sz w:val="20"/>
                <w:szCs w:val="20"/>
              </w:rPr>
            </w:pPr>
            <w:r w:rsidRPr="001C794B">
              <w:rPr>
                <w:rFonts w:cs="Tahoma"/>
                <w:sz w:val="20"/>
                <w:szCs w:val="20"/>
              </w:rPr>
              <w:t>Likelihood</w:t>
            </w:r>
          </w:p>
        </w:tc>
        <w:tc>
          <w:tcPr>
            <w:tcW w:w="2268" w:type="dxa"/>
            <w:shd w:val="clear" w:color="auto" w:fill="BFBFBF" w:themeFill="background1" w:themeFillShade="BF"/>
          </w:tcPr>
          <w:p w14:paraId="76680E1A" w14:textId="77777777" w:rsidR="001C794B" w:rsidRPr="001C794B" w:rsidRDefault="001C794B" w:rsidP="001C794B">
            <w:pPr>
              <w:spacing w:before="60" w:after="60" w:line="240" w:lineRule="auto"/>
              <w:ind w:left="0"/>
              <w:jc w:val="center"/>
              <w:rPr>
                <w:rFonts w:cs="Tahoma"/>
                <w:sz w:val="20"/>
                <w:szCs w:val="20"/>
              </w:rPr>
            </w:pPr>
            <w:r w:rsidRPr="001C794B">
              <w:rPr>
                <w:rFonts w:cs="Tahoma"/>
                <w:sz w:val="20"/>
                <w:szCs w:val="20"/>
              </w:rPr>
              <w:t>Consequence</w:t>
            </w:r>
          </w:p>
        </w:tc>
        <w:tc>
          <w:tcPr>
            <w:tcW w:w="1985" w:type="dxa"/>
            <w:shd w:val="clear" w:color="auto" w:fill="BFBFBF" w:themeFill="background1" w:themeFillShade="BF"/>
          </w:tcPr>
          <w:p w14:paraId="10F1F369" w14:textId="77777777" w:rsidR="001C794B" w:rsidRPr="001C794B" w:rsidRDefault="001C794B" w:rsidP="001C794B">
            <w:pPr>
              <w:spacing w:before="60" w:after="60" w:line="240" w:lineRule="auto"/>
              <w:ind w:left="0"/>
              <w:jc w:val="center"/>
              <w:rPr>
                <w:rFonts w:cs="Tahoma"/>
                <w:sz w:val="20"/>
                <w:szCs w:val="20"/>
              </w:rPr>
            </w:pPr>
            <w:r w:rsidRPr="001C794B">
              <w:rPr>
                <w:rFonts w:cs="Tahoma"/>
                <w:sz w:val="20"/>
                <w:szCs w:val="20"/>
              </w:rPr>
              <w:t>Risk rating</w:t>
            </w:r>
          </w:p>
        </w:tc>
      </w:tr>
      <w:tr w:rsidR="001C794B" w:rsidRPr="001C794B" w14:paraId="64E126BE" w14:textId="77777777" w:rsidTr="0025636E">
        <w:trPr>
          <w:cantSplit/>
        </w:trPr>
        <w:tc>
          <w:tcPr>
            <w:tcW w:w="2127" w:type="dxa"/>
            <w:shd w:val="clear" w:color="auto" w:fill="auto"/>
          </w:tcPr>
          <w:p w14:paraId="6AA7A888"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Shoreline habitat</w:t>
            </w:r>
          </w:p>
        </w:tc>
        <w:tc>
          <w:tcPr>
            <w:tcW w:w="2126" w:type="dxa"/>
            <w:shd w:val="clear" w:color="auto" w:fill="auto"/>
          </w:tcPr>
          <w:p w14:paraId="3CF95BF9" w14:textId="77777777" w:rsidR="001C794B" w:rsidRPr="001C794B" w:rsidRDefault="001C794B" w:rsidP="001C794B">
            <w:pPr>
              <w:spacing w:before="60" w:after="60" w:line="240" w:lineRule="auto"/>
              <w:ind w:left="0"/>
              <w:jc w:val="center"/>
              <w:rPr>
                <w:rFonts w:cs="Tahoma"/>
                <w:sz w:val="20"/>
                <w:szCs w:val="20"/>
              </w:rPr>
            </w:pPr>
            <w:r w:rsidRPr="001C794B">
              <w:rPr>
                <w:rFonts w:cs="Tahoma"/>
                <w:sz w:val="20"/>
                <w:szCs w:val="20"/>
              </w:rPr>
              <w:t>Likely</w:t>
            </w:r>
          </w:p>
        </w:tc>
        <w:tc>
          <w:tcPr>
            <w:tcW w:w="2268" w:type="dxa"/>
            <w:shd w:val="clear" w:color="auto" w:fill="auto"/>
          </w:tcPr>
          <w:p w14:paraId="454A2EE2" w14:textId="77777777" w:rsidR="001C794B" w:rsidRPr="001C794B" w:rsidRDefault="001C794B" w:rsidP="001C794B">
            <w:pPr>
              <w:spacing w:before="60" w:after="60" w:line="240" w:lineRule="auto"/>
              <w:ind w:left="0"/>
              <w:jc w:val="center"/>
              <w:rPr>
                <w:rFonts w:cs="Tahoma"/>
                <w:sz w:val="20"/>
                <w:szCs w:val="20"/>
              </w:rPr>
            </w:pPr>
            <w:r w:rsidRPr="001C794B">
              <w:rPr>
                <w:rFonts w:cs="Tahoma"/>
                <w:sz w:val="20"/>
                <w:szCs w:val="20"/>
              </w:rPr>
              <w:t>Minor</w:t>
            </w:r>
          </w:p>
        </w:tc>
        <w:tc>
          <w:tcPr>
            <w:tcW w:w="1985" w:type="dxa"/>
            <w:shd w:val="clear" w:color="auto" w:fill="8DB3E2" w:themeFill="text2" w:themeFillTint="66"/>
          </w:tcPr>
          <w:p w14:paraId="49F55C42" w14:textId="77777777" w:rsidR="001C794B" w:rsidRPr="001C794B" w:rsidRDefault="001C794B" w:rsidP="001C794B">
            <w:pPr>
              <w:spacing w:before="60" w:after="60" w:line="240" w:lineRule="auto"/>
              <w:ind w:left="0"/>
              <w:jc w:val="center"/>
              <w:rPr>
                <w:rFonts w:cs="Tahoma"/>
                <w:sz w:val="20"/>
                <w:szCs w:val="20"/>
              </w:rPr>
            </w:pPr>
            <w:r w:rsidRPr="001C794B">
              <w:rPr>
                <w:rFonts w:cs="Tahoma"/>
                <w:sz w:val="20"/>
                <w:szCs w:val="20"/>
              </w:rPr>
              <w:t>Medium</w:t>
            </w:r>
          </w:p>
        </w:tc>
      </w:tr>
      <w:tr w:rsidR="001C794B" w:rsidRPr="001C794B" w14:paraId="01327055" w14:textId="77777777" w:rsidTr="0025636E">
        <w:trPr>
          <w:cantSplit/>
        </w:trPr>
        <w:tc>
          <w:tcPr>
            <w:tcW w:w="2127" w:type="dxa"/>
            <w:shd w:val="clear" w:color="auto" w:fill="auto"/>
          </w:tcPr>
          <w:p w14:paraId="2C982DE7"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Recreational users</w:t>
            </w:r>
          </w:p>
        </w:tc>
        <w:tc>
          <w:tcPr>
            <w:tcW w:w="2126" w:type="dxa"/>
            <w:shd w:val="clear" w:color="auto" w:fill="auto"/>
          </w:tcPr>
          <w:p w14:paraId="6525B974" w14:textId="77777777" w:rsidR="001C794B" w:rsidRPr="001C794B" w:rsidRDefault="001C794B" w:rsidP="001C794B">
            <w:pPr>
              <w:spacing w:before="60" w:after="60" w:line="240" w:lineRule="auto"/>
              <w:ind w:left="0"/>
              <w:jc w:val="center"/>
              <w:rPr>
                <w:rFonts w:cs="Tahoma"/>
                <w:sz w:val="20"/>
                <w:szCs w:val="20"/>
              </w:rPr>
            </w:pPr>
            <w:r w:rsidRPr="001C794B">
              <w:rPr>
                <w:rFonts w:cs="Tahoma"/>
                <w:sz w:val="20"/>
                <w:szCs w:val="20"/>
              </w:rPr>
              <w:t>Likely</w:t>
            </w:r>
          </w:p>
        </w:tc>
        <w:tc>
          <w:tcPr>
            <w:tcW w:w="2268" w:type="dxa"/>
            <w:shd w:val="clear" w:color="auto" w:fill="auto"/>
          </w:tcPr>
          <w:p w14:paraId="73487C5E" w14:textId="77777777" w:rsidR="001C794B" w:rsidRPr="001C794B" w:rsidRDefault="001C794B" w:rsidP="001C794B">
            <w:pPr>
              <w:spacing w:before="60" w:after="60" w:line="240" w:lineRule="auto"/>
              <w:ind w:left="0"/>
              <w:jc w:val="center"/>
              <w:rPr>
                <w:rFonts w:cs="Tahoma"/>
                <w:sz w:val="20"/>
                <w:szCs w:val="20"/>
              </w:rPr>
            </w:pPr>
            <w:r w:rsidRPr="001C794B">
              <w:rPr>
                <w:rFonts w:cs="Tahoma"/>
                <w:sz w:val="20"/>
                <w:szCs w:val="20"/>
              </w:rPr>
              <w:t>Minor</w:t>
            </w:r>
          </w:p>
        </w:tc>
        <w:tc>
          <w:tcPr>
            <w:tcW w:w="1985" w:type="dxa"/>
            <w:shd w:val="clear" w:color="auto" w:fill="8DB3E2" w:themeFill="text2" w:themeFillTint="66"/>
          </w:tcPr>
          <w:p w14:paraId="3ED80B33" w14:textId="77777777" w:rsidR="001C794B" w:rsidRPr="001C794B" w:rsidRDefault="001C794B" w:rsidP="001C794B">
            <w:pPr>
              <w:spacing w:before="60" w:after="60" w:line="240" w:lineRule="auto"/>
              <w:ind w:left="0"/>
              <w:jc w:val="center"/>
              <w:rPr>
                <w:rFonts w:cs="Tahoma"/>
                <w:sz w:val="20"/>
                <w:szCs w:val="20"/>
              </w:rPr>
            </w:pPr>
            <w:r w:rsidRPr="001C794B">
              <w:rPr>
                <w:rFonts w:cs="Tahoma"/>
                <w:sz w:val="20"/>
                <w:szCs w:val="20"/>
              </w:rPr>
              <w:t>Medium</w:t>
            </w:r>
          </w:p>
        </w:tc>
      </w:tr>
      <w:tr w:rsidR="001C794B" w:rsidRPr="001C794B" w14:paraId="0AC78177" w14:textId="77777777" w:rsidTr="0025636E">
        <w:trPr>
          <w:cantSplit/>
        </w:trPr>
        <w:tc>
          <w:tcPr>
            <w:tcW w:w="2127" w:type="dxa"/>
            <w:shd w:val="clear" w:color="auto" w:fill="auto"/>
          </w:tcPr>
          <w:p w14:paraId="070C2754" w14:textId="77777777" w:rsidR="001C794B" w:rsidRPr="001C794B" w:rsidRDefault="001C794B" w:rsidP="001C794B">
            <w:pPr>
              <w:spacing w:before="60" w:after="60" w:line="240" w:lineRule="auto"/>
              <w:ind w:left="0"/>
              <w:rPr>
                <w:rFonts w:cs="Tahoma"/>
                <w:sz w:val="20"/>
                <w:szCs w:val="20"/>
              </w:rPr>
            </w:pPr>
            <w:r w:rsidRPr="001C794B">
              <w:rPr>
                <w:rFonts w:cs="Tahoma"/>
                <w:sz w:val="20"/>
                <w:szCs w:val="20"/>
              </w:rPr>
              <w:t>Cultural heritage disturbance</w:t>
            </w:r>
          </w:p>
        </w:tc>
        <w:tc>
          <w:tcPr>
            <w:tcW w:w="2126" w:type="dxa"/>
            <w:shd w:val="clear" w:color="auto" w:fill="auto"/>
          </w:tcPr>
          <w:p w14:paraId="784D68B4" w14:textId="77777777" w:rsidR="001C794B" w:rsidRPr="001C794B" w:rsidRDefault="001C794B" w:rsidP="001C794B">
            <w:pPr>
              <w:spacing w:before="60" w:after="60" w:line="240" w:lineRule="auto"/>
              <w:ind w:left="0"/>
              <w:jc w:val="center"/>
              <w:rPr>
                <w:rFonts w:cs="Tahoma"/>
                <w:sz w:val="20"/>
                <w:szCs w:val="20"/>
              </w:rPr>
            </w:pPr>
            <w:r w:rsidRPr="001C794B">
              <w:rPr>
                <w:rFonts w:cs="Tahoma"/>
                <w:sz w:val="20"/>
                <w:szCs w:val="20"/>
              </w:rPr>
              <w:t>Possible</w:t>
            </w:r>
          </w:p>
        </w:tc>
        <w:tc>
          <w:tcPr>
            <w:tcW w:w="2268" w:type="dxa"/>
            <w:shd w:val="clear" w:color="auto" w:fill="auto"/>
          </w:tcPr>
          <w:p w14:paraId="4CB6A6A8" w14:textId="77777777" w:rsidR="001C794B" w:rsidRPr="001C794B" w:rsidRDefault="001C794B" w:rsidP="001C794B">
            <w:pPr>
              <w:spacing w:before="60" w:after="60" w:line="240" w:lineRule="auto"/>
              <w:ind w:left="0"/>
              <w:jc w:val="center"/>
              <w:rPr>
                <w:rFonts w:cs="Tahoma"/>
                <w:sz w:val="20"/>
                <w:szCs w:val="20"/>
              </w:rPr>
            </w:pPr>
            <w:r w:rsidRPr="001C794B">
              <w:rPr>
                <w:rFonts w:cs="Tahoma"/>
                <w:sz w:val="20"/>
                <w:szCs w:val="20"/>
              </w:rPr>
              <w:t>Minor</w:t>
            </w:r>
          </w:p>
        </w:tc>
        <w:tc>
          <w:tcPr>
            <w:tcW w:w="1985" w:type="dxa"/>
            <w:shd w:val="clear" w:color="auto" w:fill="8DB3E2" w:themeFill="text2" w:themeFillTint="66"/>
          </w:tcPr>
          <w:p w14:paraId="1624546C" w14:textId="77777777" w:rsidR="001C794B" w:rsidRPr="001C794B" w:rsidRDefault="001C794B" w:rsidP="001C794B">
            <w:pPr>
              <w:spacing w:before="60" w:after="60" w:line="240" w:lineRule="auto"/>
              <w:ind w:left="0"/>
              <w:jc w:val="center"/>
              <w:rPr>
                <w:rFonts w:cs="Tahoma"/>
                <w:sz w:val="20"/>
                <w:szCs w:val="20"/>
              </w:rPr>
            </w:pPr>
            <w:r w:rsidRPr="001C794B">
              <w:rPr>
                <w:rFonts w:cs="Tahoma"/>
                <w:sz w:val="20"/>
                <w:szCs w:val="20"/>
              </w:rPr>
              <w:t>Medium</w:t>
            </w:r>
          </w:p>
        </w:tc>
      </w:tr>
    </w:tbl>
    <w:p w14:paraId="22BE579F" w14:textId="77777777" w:rsidR="001C794B" w:rsidRPr="001C794B" w:rsidRDefault="001C794B" w:rsidP="001C794B">
      <w:pPr>
        <w:keepNext/>
        <w:spacing w:after="120" w:line="240" w:lineRule="auto"/>
        <w:ind w:left="851"/>
        <w:jc w:val="center"/>
        <w:rPr>
          <w:rFonts w:cs="Arial"/>
          <w:b/>
          <w:sz w:val="20"/>
          <w:szCs w:val="20"/>
        </w:rPr>
      </w:pPr>
    </w:p>
    <w:p w14:paraId="7B343ABC" w14:textId="77777777" w:rsidR="001C794B" w:rsidRPr="001C794B" w:rsidRDefault="001C794B" w:rsidP="001C794B">
      <w:pPr>
        <w:keepNext/>
        <w:spacing w:after="120" w:line="240" w:lineRule="auto"/>
        <w:ind w:left="851"/>
        <w:jc w:val="center"/>
        <w:rPr>
          <w:rFonts w:cs="Arial"/>
          <w:b/>
          <w:sz w:val="20"/>
          <w:szCs w:val="20"/>
        </w:rPr>
      </w:pPr>
    </w:p>
    <w:p w14:paraId="1DBE458B" w14:textId="77777777" w:rsidR="001C794B" w:rsidRPr="001C794B" w:rsidRDefault="001C794B" w:rsidP="001C794B">
      <w:pPr>
        <w:keepNext/>
        <w:spacing w:after="120" w:line="240" w:lineRule="auto"/>
        <w:ind w:left="851"/>
        <w:jc w:val="center"/>
        <w:rPr>
          <w:rFonts w:cs="Arial"/>
          <w:b/>
          <w:sz w:val="20"/>
          <w:szCs w:val="20"/>
        </w:rPr>
      </w:pPr>
    </w:p>
    <w:p w14:paraId="277EBA18" w14:textId="77777777" w:rsidR="001C794B" w:rsidRPr="001C794B" w:rsidRDefault="001C794B" w:rsidP="001C794B">
      <w:pPr>
        <w:ind w:left="0"/>
      </w:pPr>
    </w:p>
    <w:p w14:paraId="43B5E0F8" w14:textId="77777777" w:rsidR="001C794B" w:rsidRPr="001C794B" w:rsidRDefault="001C794B" w:rsidP="001C794B">
      <w:pPr>
        <w:keepNext/>
        <w:numPr>
          <w:ilvl w:val="2"/>
          <w:numId w:val="1"/>
        </w:numPr>
        <w:tabs>
          <w:tab w:val="left" w:pos="1080"/>
        </w:tabs>
        <w:spacing w:before="240" w:after="240"/>
        <w:ind w:left="1225" w:hanging="505"/>
        <w:outlineLvl w:val="2"/>
        <w:rPr>
          <w:rFonts w:cs="Arial"/>
          <w:b/>
          <w:bCs/>
          <w:color w:val="1C1C1C"/>
          <w:sz w:val="26"/>
          <w:szCs w:val="26"/>
        </w:rPr>
      </w:pPr>
      <w:bookmarkStart w:id="1277" w:name="_Toc501535916"/>
      <w:r w:rsidRPr="001C794B">
        <w:rPr>
          <w:rFonts w:cs="Arial"/>
          <w:b/>
          <w:bCs/>
          <w:color w:val="1C1C1C"/>
          <w:sz w:val="26"/>
          <w:szCs w:val="26"/>
        </w:rPr>
        <w:t>Oiled Wildlife Response</w:t>
      </w:r>
      <w:bookmarkEnd w:id="1277"/>
      <w:r w:rsidRPr="001C794B">
        <w:rPr>
          <w:rFonts w:cs="Arial"/>
          <w:b/>
          <w:bCs/>
          <w:color w:val="1C1C1C"/>
          <w:sz w:val="26"/>
          <w:szCs w:val="26"/>
        </w:rPr>
        <w:t xml:space="preserve"> </w:t>
      </w:r>
    </w:p>
    <w:p w14:paraId="3384510D" w14:textId="77777777" w:rsidR="001C794B" w:rsidRPr="001C794B" w:rsidRDefault="001C794B" w:rsidP="001C794B">
      <w:pPr>
        <w:spacing w:after="120" w:line="240" w:lineRule="auto"/>
        <w:ind w:left="0"/>
        <w:rPr>
          <w:rFonts w:cs="Arial"/>
          <w:sz w:val="22"/>
          <w:szCs w:val="22"/>
        </w:rPr>
      </w:pPr>
      <w:r w:rsidRPr="001C794B">
        <w:rPr>
          <w:rFonts w:cs="Arial"/>
          <w:sz w:val="22"/>
          <w:szCs w:val="22"/>
        </w:rPr>
        <w:t xml:space="preserve">Oiled wildlife response is addressed in Section 10 of the OPEP. </w:t>
      </w:r>
    </w:p>
    <w:p w14:paraId="76263A15"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Scope of Activity</w:t>
      </w:r>
    </w:p>
    <w:p w14:paraId="338F3A15" w14:textId="77777777" w:rsidR="001C794B" w:rsidRPr="001C794B" w:rsidRDefault="001C794B" w:rsidP="001C794B">
      <w:pPr>
        <w:spacing w:after="120" w:line="240" w:lineRule="auto"/>
        <w:ind w:left="0"/>
        <w:rPr>
          <w:rFonts w:cs="Arial"/>
          <w:sz w:val="22"/>
          <w:szCs w:val="22"/>
        </w:rPr>
      </w:pPr>
      <w:r w:rsidRPr="001C794B">
        <w:rPr>
          <w:rFonts w:cs="Arial"/>
          <w:sz w:val="22"/>
          <w:szCs w:val="22"/>
        </w:rPr>
        <w:t>Oiled wildlife response (OWR) may form a key component of the response to an MDO release, both at sea (especially nearshore) and at the shoreline because of the known presence of seabirds (e.g., albatross and petrels), nesting shorebirds (e.g., fairy terns, hooded plovers and little penguins) and fur-seals.</w:t>
      </w:r>
    </w:p>
    <w:p w14:paraId="18B3F440" w14:textId="77777777" w:rsidR="001C794B" w:rsidRPr="001C794B" w:rsidRDefault="001C794B" w:rsidP="001C794B">
      <w:pPr>
        <w:spacing w:after="120" w:line="240" w:lineRule="auto"/>
        <w:ind w:left="0"/>
        <w:rPr>
          <w:rFonts w:cs="Arial"/>
          <w:sz w:val="22"/>
          <w:szCs w:val="22"/>
        </w:rPr>
      </w:pPr>
      <w:r w:rsidRPr="001C794B">
        <w:rPr>
          <w:rFonts w:cs="Arial"/>
          <w:sz w:val="22"/>
          <w:szCs w:val="22"/>
        </w:rPr>
        <w:t>Broadly, oiled wildlife response involves the following three-tiered approach:</w:t>
      </w:r>
    </w:p>
    <w:p w14:paraId="09805F6B" w14:textId="77777777" w:rsidR="0014006A" w:rsidRDefault="001C794B" w:rsidP="0014006A">
      <w:pPr>
        <w:numPr>
          <w:ilvl w:val="0"/>
          <w:numId w:val="310"/>
        </w:numPr>
        <w:spacing w:after="120" w:line="240" w:lineRule="auto"/>
        <w:rPr>
          <w:rFonts w:cs="Arial"/>
          <w:sz w:val="22"/>
          <w:szCs w:val="22"/>
        </w:rPr>
      </w:pPr>
      <w:r w:rsidRPr="001C794B">
        <w:rPr>
          <w:rFonts w:cs="Arial"/>
          <w:sz w:val="22"/>
          <w:szCs w:val="22"/>
          <w:u w:val="single"/>
        </w:rPr>
        <w:t>Primary response</w:t>
      </w:r>
      <w:r w:rsidRPr="001C794B">
        <w:rPr>
          <w:rFonts w:cs="Arial"/>
          <w:sz w:val="22"/>
          <w:szCs w:val="22"/>
        </w:rPr>
        <w:t xml:space="preserve"> – involves undertaking surveillance to determine the location and extent of wildlife injuries or death, and deflecting oil away from areas of high sensitivity where practicable.</w:t>
      </w:r>
    </w:p>
    <w:p w14:paraId="6BCF093E" w14:textId="77777777" w:rsidR="0014006A" w:rsidRDefault="001C794B" w:rsidP="0014006A">
      <w:pPr>
        <w:numPr>
          <w:ilvl w:val="0"/>
          <w:numId w:val="310"/>
        </w:numPr>
        <w:spacing w:after="120" w:line="240" w:lineRule="auto"/>
        <w:rPr>
          <w:rFonts w:cs="Arial"/>
          <w:sz w:val="22"/>
          <w:szCs w:val="22"/>
        </w:rPr>
      </w:pPr>
      <w:r w:rsidRPr="0014006A">
        <w:rPr>
          <w:rFonts w:cs="Arial"/>
          <w:sz w:val="22"/>
          <w:szCs w:val="22"/>
          <w:u w:val="single"/>
        </w:rPr>
        <w:lastRenderedPageBreak/>
        <w:t xml:space="preserve">Secondary response </w:t>
      </w:r>
      <w:r w:rsidRPr="0014006A">
        <w:rPr>
          <w:rFonts w:cs="Arial"/>
          <w:sz w:val="22"/>
          <w:szCs w:val="22"/>
        </w:rPr>
        <w:t>– involves deterring or displacement strategies, by hazing (scaring animals through auditory bird scarers, visual flags or balloons, barricade fences, or pre-emptive capture).</w:t>
      </w:r>
    </w:p>
    <w:p w14:paraId="7EFD23DD" w14:textId="00A28B89" w:rsidR="001C794B" w:rsidRPr="0014006A" w:rsidRDefault="001C794B" w:rsidP="0014006A">
      <w:pPr>
        <w:numPr>
          <w:ilvl w:val="0"/>
          <w:numId w:val="310"/>
        </w:numPr>
        <w:spacing w:after="120" w:line="240" w:lineRule="auto"/>
        <w:rPr>
          <w:rFonts w:cs="Arial"/>
          <w:sz w:val="22"/>
          <w:szCs w:val="22"/>
        </w:rPr>
      </w:pPr>
      <w:r w:rsidRPr="0014006A">
        <w:rPr>
          <w:rFonts w:cs="Arial"/>
          <w:sz w:val="22"/>
          <w:szCs w:val="22"/>
          <w:u w:val="single"/>
        </w:rPr>
        <w:t>Tertiary response</w:t>
      </w:r>
      <w:r w:rsidRPr="0014006A">
        <w:rPr>
          <w:rFonts w:cs="Arial"/>
          <w:sz w:val="22"/>
          <w:szCs w:val="22"/>
        </w:rPr>
        <w:t xml:space="preserve"> – involves capture and stabilisation of oiled wildlife (on vessels or the beach), transport to treatment facilities, treatment of affected animals and rehabilitation and release of affected animals. </w:t>
      </w:r>
    </w:p>
    <w:p w14:paraId="5055BFC2" w14:textId="77777777" w:rsidR="001C794B" w:rsidRPr="001C794B" w:rsidRDefault="001C794B" w:rsidP="001C794B">
      <w:pPr>
        <w:spacing w:after="120" w:line="240" w:lineRule="auto"/>
        <w:ind w:left="0"/>
        <w:rPr>
          <w:rFonts w:cs="Arial"/>
          <w:sz w:val="22"/>
          <w:szCs w:val="22"/>
        </w:rPr>
      </w:pPr>
      <w:r w:rsidRPr="001C794B">
        <w:rPr>
          <w:rFonts w:cs="Arial"/>
          <w:sz w:val="22"/>
          <w:szCs w:val="22"/>
        </w:rPr>
        <w:t>Oiled wildlife response equipment owned and maintained by DELWP, AMSA, and AMOSC is available at various locations along the Victorian coastline, and can be deployed to affected areas on an as-required basis (as units transportable by road or air). These will be called on through the SMEP, NatPlan (and AMOSPlan, if required), with DELWP taking the lead in any activities involving OWR with support from other agencies as requested.</w:t>
      </w:r>
    </w:p>
    <w:p w14:paraId="08D7494B" w14:textId="77777777" w:rsidR="0025636E" w:rsidRDefault="0025636E" w:rsidP="001C794B">
      <w:pPr>
        <w:spacing w:after="120" w:line="240" w:lineRule="auto"/>
        <w:ind w:left="0"/>
        <w:rPr>
          <w:rFonts w:cs="Arial"/>
          <w:b/>
          <w:sz w:val="22"/>
          <w:szCs w:val="22"/>
        </w:rPr>
      </w:pPr>
    </w:p>
    <w:p w14:paraId="04AA53AA"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Availability</w:t>
      </w:r>
    </w:p>
    <w:p w14:paraId="1558609A" w14:textId="77777777" w:rsidR="001C794B" w:rsidRPr="001C794B" w:rsidRDefault="001C794B" w:rsidP="001C794B">
      <w:pPr>
        <w:spacing w:after="120" w:line="240" w:lineRule="auto"/>
        <w:ind w:left="0"/>
        <w:rPr>
          <w:rFonts w:cs="Arial"/>
          <w:sz w:val="22"/>
          <w:szCs w:val="22"/>
        </w:rPr>
      </w:pPr>
      <w:r w:rsidRPr="001C794B">
        <w:rPr>
          <w:rFonts w:cs="Arial"/>
          <w:sz w:val="22"/>
          <w:szCs w:val="22"/>
        </w:rPr>
        <w:t xml:space="preserve">DELWP is the responsible agency for responding to wildlife affected by a marine pollution incident in the Victorian jurisdiction. DELWP manages the rescue and rehabilitation with assistance from Parks Victoria (a DELWP agency) and Phillip Island Nature Park. DELWP’s wildlife response is undertaken in accordance with the Wildlife Response Plan (a sub-plan of the Maritime Emergencies NSR Plan (EMV, 2016)) by trained DELWP officers. </w:t>
      </w:r>
    </w:p>
    <w:p w14:paraId="7A7E9E20" w14:textId="77777777" w:rsidR="001C794B" w:rsidRPr="001C794B" w:rsidRDefault="001C794B" w:rsidP="001C794B">
      <w:pPr>
        <w:spacing w:after="120" w:line="240" w:lineRule="auto"/>
        <w:ind w:left="0"/>
        <w:rPr>
          <w:rFonts w:ascii="Tahoma" w:hAnsi="Tahoma" w:cs="Arial"/>
          <w:szCs w:val="20"/>
        </w:rPr>
      </w:pPr>
    </w:p>
    <w:p w14:paraId="66853BF1"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Hazards</w:t>
      </w:r>
    </w:p>
    <w:p w14:paraId="2059723B" w14:textId="77777777" w:rsidR="001C794B" w:rsidRPr="001C794B" w:rsidRDefault="001C794B" w:rsidP="001C794B">
      <w:pPr>
        <w:ind w:left="0"/>
        <w:rPr>
          <w:rFonts w:cs="Arial"/>
          <w:sz w:val="22"/>
          <w:szCs w:val="22"/>
        </w:rPr>
      </w:pPr>
      <w:r w:rsidRPr="001C794B">
        <w:rPr>
          <w:rFonts w:cs="Arial"/>
          <w:sz w:val="22"/>
          <w:szCs w:val="22"/>
        </w:rPr>
        <w:t xml:space="preserve">The hazards associated with OWR are: </w:t>
      </w:r>
    </w:p>
    <w:p w14:paraId="22800792" w14:textId="77777777" w:rsidR="001C794B" w:rsidRPr="001C794B" w:rsidRDefault="001C794B" w:rsidP="001C794B">
      <w:pPr>
        <w:ind w:left="0"/>
        <w:rPr>
          <w:rFonts w:cs="Arial"/>
          <w:sz w:val="22"/>
          <w:szCs w:val="22"/>
        </w:rPr>
      </w:pPr>
    </w:p>
    <w:p w14:paraId="24AF201E"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Hazing of target fauna may deter non-target species from their normal activities (resting, feeding, breeding, etc.);</w:t>
      </w:r>
    </w:p>
    <w:p w14:paraId="6D6FDB97"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 xml:space="preserve">Distress, injury or death of target fauna from inappropriate handling and treatment; </w:t>
      </w:r>
    </w:p>
    <w:p w14:paraId="77480EA3"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Euthanasia of target individual animals that cannot be treated or have no chance of rehabilitation;</w:t>
      </w:r>
    </w:p>
    <w:p w14:paraId="22667AE1" w14:textId="77777777" w:rsidR="001C794B" w:rsidRPr="001C794B" w:rsidRDefault="001C794B" w:rsidP="001C794B">
      <w:pPr>
        <w:numPr>
          <w:ilvl w:val="0"/>
          <w:numId w:val="173"/>
        </w:numPr>
        <w:contextualSpacing/>
        <w:rPr>
          <w:rFonts w:cs="Arial"/>
          <w:sz w:val="22"/>
          <w:szCs w:val="22"/>
        </w:rPr>
      </w:pPr>
      <w:r w:rsidRPr="001C794B">
        <w:rPr>
          <w:rFonts w:cs="Arial"/>
          <w:sz w:val="22"/>
          <w:szCs w:val="22"/>
        </w:rPr>
        <w:t>Damage to shoreline environmental sensitivities from the establishment of OWR response centres.</w:t>
      </w:r>
    </w:p>
    <w:p w14:paraId="5084C05C" w14:textId="77777777" w:rsidR="001C794B" w:rsidRPr="001C794B" w:rsidRDefault="001C794B" w:rsidP="001C794B">
      <w:pPr>
        <w:spacing w:after="120" w:line="240" w:lineRule="auto"/>
        <w:ind w:left="0"/>
        <w:rPr>
          <w:rFonts w:cs="Arial"/>
          <w:b/>
          <w:sz w:val="22"/>
          <w:szCs w:val="22"/>
        </w:rPr>
      </w:pPr>
    </w:p>
    <w:p w14:paraId="0FD47339"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Known and Potential Impacts of the Response Activity</w:t>
      </w:r>
    </w:p>
    <w:p w14:paraId="64551777" w14:textId="77777777" w:rsidR="001C794B" w:rsidRPr="001C794B" w:rsidRDefault="001C794B" w:rsidP="001C794B">
      <w:pPr>
        <w:spacing w:after="120" w:line="240" w:lineRule="auto"/>
        <w:ind w:left="0"/>
        <w:rPr>
          <w:rFonts w:cs="Arial"/>
          <w:sz w:val="22"/>
          <w:szCs w:val="22"/>
        </w:rPr>
      </w:pPr>
      <w:r w:rsidRPr="001C794B">
        <w:rPr>
          <w:rFonts w:cs="Arial"/>
          <w:sz w:val="22"/>
          <w:szCs w:val="22"/>
        </w:rPr>
        <w:t xml:space="preserve">The known and potential impacts associated with SCAT and shoreline clean-up are: </w:t>
      </w:r>
    </w:p>
    <w:p w14:paraId="2F720E31" w14:textId="77777777" w:rsidR="001C794B" w:rsidRPr="001C794B" w:rsidRDefault="001C794B" w:rsidP="001C794B">
      <w:pPr>
        <w:numPr>
          <w:ilvl w:val="0"/>
          <w:numId w:val="173"/>
        </w:numPr>
        <w:spacing w:after="240" w:line="240" w:lineRule="auto"/>
        <w:ind w:left="714" w:hanging="357"/>
        <w:contextualSpacing/>
        <w:rPr>
          <w:rFonts w:cs="Arial"/>
          <w:sz w:val="22"/>
          <w:szCs w:val="22"/>
        </w:rPr>
      </w:pPr>
      <w:r w:rsidRPr="001C794B">
        <w:rPr>
          <w:rFonts w:cs="Arial"/>
          <w:sz w:val="22"/>
          <w:szCs w:val="22"/>
        </w:rPr>
        <w:t xml:space="preserve">Disturbance, injury or death of fauna. </w:t>
      </w:r>
    </w:p>
    <w:p w14:paraId="4623689C" w14:textId="77777777" w:rsidR="0025636E" w:rsidRDefault="0025636E" w:rsidP="001C794B">
      <w:pPr>
        <w:spacing w:after="120" w:line="240" w:lineRule="auto"/>
        <w:ind w:left="0"/>
        <w:rPr>
          <w:rFonts w:cs="Arial"/>
          <w:b/>
          <w:sz w:val="22"/>
          <w:szCs w:val="22"/>
        </w:rPr>
      </w:pPr>
    </w:p>
    <w:p w14:paraId="45973F19"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Evaluation of Environmental Impacts and Risks</w:t>
      </w:r>
    </w:p>
    <w:p w14:paraId="565C7EFE" w14:textId="77777777" w:rsidR="001C794B" w:rsidRPr="001C794B" w:rsidRDefault="001C794B" w:rsidP="001C794B">
      <w:pPr>
        <w:ind w:left="0"/>
        <w:rPr>
          <w:rFonts w:cs="Arial"/>
          <w:sz w:val="22"/>
          <w:szCs w:val="22"/>
        </w:rPr>
      </w:pPr>
      <w:r w:rsidRPr="001C794B">
        <w:rPr>
          <w:rFonts w:cs="Arial"/>
          <w:sz w:val="22"/>
          <w:szCs w:val="22"/>
        </w:rPr>
        <w:t>It is preferable to have oil-affected animals that have no prospect of surviving or being successfully rehabilitated and released to the environment humanely euthanased than to allow prolonged suffering. The removal of these individuals from the environment has additional benefits in so far as they are not consumed by predators/scavengers, avoiding secondary contamination of the foodweb. There are no species within the EMBA with such a small or geographically-restricted population that the death of a low number of individuals would result in population-wide impacts.</w:t>
      </w:r>
    </w:p>
    <w:p w14:paraId="3580B91B" w14:textId="77777777" w:rsidR="001C794B" w:rsidRPr="001C794B" w:rsidRDefault="001C794B" w:rsidP="001C794B">
      <w:pPr>
        <w:ind w:left="0"/>
        <w:rPr>
          <w:rFonts w:cs="Arial"/>
          <w:sz w:val="22"/>
          <w:szCs w:val="22"/>
        </w:rPr>
      </w:pPr>
    </w:p>
    <w:p w14:paraId="264A0AB1" w14:textId="77777777" w:rsidR="001C794B" w:rsidRPr="001C794B" w:rsidRDefault="001C794B" w:rsidP="001C794B">
      <w:pPr>
        <w:ind w:left="0"/>
        <w:rPr>
          <w:rFonts w:cs="Arial"/>
          <w:sz w:val="22"/>
          <w:szCs w:val="22"/>
        </w:rPr>
      </w:pPr>
      <w:r w:rsidRPr="001C794B">
        <w:rPr>
          <w:rFonts w:cs="Arial"/>
          <w:sz w:val="22"/>
          <w:szCs w:val="22"/>
        </w:rPr>
        <w:t xml:space="preserve">Hazing and exclusion of wildlife from known congregation, resting, feeding, breeding or nesting areas may have a short- or long-term impacts on the survival of that group </w:t>
      </w:r>
      <w:r w:rsidRPr="001C794B">
        <w:rPr>
          <w:rFonts w:cs="Arial"/>
          <w:sz w:val="22"/>
          <w:szCs w:val="22"/>
        </w:rPr>
        <w:lastRenderedPageBreak/>
        <w:t>if cannot access preferred resources. These effects may be experienced by target and non-target species. For example, shoreline booming or ditches dug to contain oil may prevent penguins from reaching their burrows after they’ve excited the water and low helicopter passes flown regularly over an beach to deter coastal birds from feeding in an oil-affected area may also deter penguins from leaving their burrows to feed at sea, which may impact on their health.</w:t>
      </w:r>
    </w:p>
    <w:p w14:paraId="0188DF87" w14:textId="77777777" w:rsidR="001C794B" w:rsidRPr="001C794B" w:rsidRDefault="001C794B" w:rsidP="001C794B">
      <w:pPr>
        <w:ind w:left="0"/>
        <w:rPr>
          <w:rFonts w:cs="Arial"/>
          <w:sz w:val="22"/>
          <w:szCs w:val="22"/>
        </w:rPr>
      </w:pPr>
    </w:p>
    <w:p w14:paraId="7AC4B5A7" w14:textId="17F56DE9" w:rsidR="001C794B" w:rsidRPr="001C794B" w:rsidRDefault="001C794B" w:rsidP="001C794B">
      <w:pPr>
        <w:ind w:left="0"/>
        <w:rPr>
          <w:rFonts w:cs="Arial"/>
          <w:sz w:val="22"/>
          <w:szCs w:val="22"/>
        </w:rPr>
      </w:pPr>
      <w:r w:rsidRPr="001C794B">
        <w:rPr>
          <w:rFonts w:cs="Arial"/>
          <w:sz w:val="22"/>
          <w:szCs w:val="22"/>
        </w:rPr>
        <w:t>Onshore, the establishment of OWR centres will preferentially avoid locating infrastructure on or in close proximity to native habitat, thereby avoiding impacts associated with vegetation clearing (such as loss of habitat, reduction in local native species diversity and abundance). Facilities such as portable toilets and showers will be established to deal with day-to- day requirements of first responders so wastes are not discharged to the environment. Similarly, facilities will be supplied for the collection and/or treatment of oily water and detergents associated with the treatment of oiled wildlife so these wastes are not inappropriately discharged to the environment. A licensed waste management contractor will coordinate the supply of waste facilities and regular removal of wastes (including animal carcasses) to licensed facilities for</w:t>
      </w:r>
      <w:r w:rsidR="0014006A">
        <w:rPr>
          <w:rFonts w:cs="Arial"/>
          <w:sz w:val="22"/>
          <w:szCs w:val="22"/>
        </w:rPr>
        <w:t xml:space="preserve"> </w:t>
      </w:r>
      <w:r w:rsidRPr="001C794B">
        <w:rPr>
          <w:rFonts w:cs="Arial"/>
          <w:sz w:val="22"/>
          <w:szCs w:val="22"/>
        </w:rPr>
        <w:t xml:space="preserve">disposal and/or treatment. </w:t>
      </w:r>
    </w:p>
    <w:p w14:paraId="6779B416" w14:textId="77777777" w:rsidR="001C794B" w:rsidRPr="001C794B" w:rsidRDefault="001C794B" w:rsidP="001C794B">
      <w:pPr>
        <w:ind w:left="0"/>
        <w:rPr>
          <w:rFonts w:cs="Arial"/>
          <w:sz w:val="22"/>
          <w:szCs w:val="22"/>
        </w:rPr>
      </w:pPr>
    </w:p>
    <w:p w14:paraId="42FEA9E7" w14:textId="77777777" w:rsidR="001C794B" w:rsidRPr="001C794B" w:rsidRDefault="001C794B" w:rsidP="001C794B">
      <w:pPr>
        <w:ind w:left="0"/>
        <w:rPr>
          <w:rFonts w:cs="Arial"/>
          <w:sz w:val="22"/>
          <w:szCs w:val="22"/>
        </w:rPr>
      </w:pPr>
      <w:r w:rsidRPr="001C794B">
        <w:rPr>
          <w:rFonts w:cs="Arial"/>
          <w:sz w:val="22"/>
          <w:szCs w:val="22"/>
        </w:rPr>
        <w:t>Untrained resources capturing and handling native fauna may cause distress, injury and death of the fauna. To prevent these impacts, only DELWP-trained oiled wildlife responders will approach and handle fauna. This will eliminate any handling impacts to fauna from untrained personnel and reduce the potential for distress, injury or death of a species.</w:t>
      </w:r>
    </w:p>
    <w:p w14:paraId="3EC8CAB3" w14:textId="77777777" w:rsidR="001C794B" w:rsidRPr="001C794B" w:rsidRDefault="001C794B" w:rsidP="001C794B">
      <w:pPr>
        <w:ind w:left="0"/>
        <w:rPr>
          <w:rFonts w:cs="Arial"/>
          <w:sz w:val="22"/>
          <w:szCs w:val="22"/>
        </w:rPr>
      </w:pPr>
    </w:p>
    <w:p w14:paraId="38150F51" w14:textId="77777777" w:rsidR="001C794B" w:rsidRPr="001C794B" w:rsidRDefault="001C794B" w:rsidP="001C794B">
      <w:pPr>
        <w:spacing w:after="120" w:line="240" w:lineRule="auto"/>
        <w:ind w:left="0"/>
        <w:rPr>
          <w:rFonts w:cs="Arial"/>
          <w:b/>
          <w:sz w:val="22"/>
          <w:szCs w:val="22"/>
        </w:rPr>
      </w:pPr>
      <w:r w:rsidRPr="001C794B">
        <w:rPr>
          <w:rFonts w:cs="Arial"/>
          <w:b/>
          <w:sz w:val="22"/>
          <w:szCs w:val="22"/>
        </w:rPr>
        <w:t>Environmental Impact and Risk Assessment</w:t>
      </w:r>
    </w:p>
    <w:p w14:paraId="1AF96B8C" w14:textId="77777777" w:rsidR="001C794B" w:rsidRPr="001C794B" w:rsidRDefault="001C794B" w:rsidP="001C794B">
      <w:pPr>
        <w:spacing w:after="120" w:line="240" w:lineRule="auto"/>
        <w:ind w:left="0"/>
        <w:rPr>
          <w:rFonts w:cs="Arial"/>
          <w:b/>
          <w:sz w:val="22"/>
          <w:szCs w:val="22"/>
        </w:rPr>
      </w:pPr>
    </w:p>
    <w:p w14:paraId="6D9F9A85" w14:textId="77777777" w:rsidR="001C794B" w:rsidRPr="001C794B" w:rsidRDefault="001C794B" w:rsidP="001C794B">
      <w:pPr>
        <w:spacing w:after="120" w:line="240" w:lineRule="auto"/>
        <w:ind w:left="0"/>
        <w:rPr>
          <w:rFonts w:cs="Arial"/>
          <w:sz w:val="22"/>
          <w:szCs w:val="22"/>
        </w:rPr>
      </w:pPr>
      <w:r w:rsidRPr="001C794B">
        <w:rPr>
          <w:rFonts w:cs="Arial"/>
          <w:sz w:val="22"/>
          <w:szCs w:val="22"/>
        </w:rPr>
        <w:t>Preparedness</w:t>
      </w:r>
    </w:p>
    <w:p w14:paraId="1EF7D728" w14:textId="77777777" w:rsidR="001C794B" w:rsidRPr="001C794B" w:rsidRDefault="001C794B" w:rsidP="001C794B">
      <w:pPr>
        <w:numPr>
          <w:ilvl w:val="0"/>
          <w:numId w:val="565"/>
        </w:numPr>
        <w:spacing w:after="120" w:line="240" w:lineRule="auto"/>
        <w:rPr>
          <w:rFonts w:cs="Arial"/>
          <w:sz w:val="22"/>
          <w:szCs w:val="22"/>
        </w:rPr>
      </w:pPr>
      <w:r w:rsidRPr="001C794B">
        <w:rPr>
          <w:rFonts w:cs="Arial"/>
          <w:sz w:val="22"/>
          <w:szCs w:val="22"/>
        </w:rPr>
        <w:t xml:space="preserve">Access to operational response capabilities is maintained through the Maritime Emergencies NSR Plan.  </w:t>
      </w:r>
    </w:p>
    <w:p w14:paraId="2505D028" w14:textId="77777777" w:rsidR="001C794B" w:rsidRPr="001C794B" w:rsidRDefault="001C794B" w:rsidP="001C794B">
      <w:pPr>
        <w:numPr>
          <w:ilvl w:val="0"/>
          <w:numId w:val="565"/>
        </w:numPr>
        <w:spacing w:after="120" w:line="240" w:lineRule="auto"/>
        <w:rPr>
          <w:rFonts w:cs="Arial"/>
          <w:sz w:val="22"/>
          <w:szCs w:val="22"/>
        </w:rPr>
      </w:pPr>
      <w:r w:rsidRPr="001C794B">
        <w:rPr>
          <w:rFonts w:cs="Arial"/>
          <w:sz w:val="22"/>
          <w:szCs w:val="22"/>
        </w:rPr>
        <w:t>DELWP maintains a current database of equipment and service providers.</w:t>
      </w:r>
    </w:p>
    <w:p w14:paraId="6B0F51F7" w14:textId="77777777" w:rsidR="001C794B" w:rsidRPr="001C794B" w:rsidRDefault="001C794B" w:rsidP="001C794B">
      <w:pPr>
        <w:spacing w:after="120" w:line="240" w:lineRule="auto"/>
        <w:ind w:left="0"/>
        <w:rPr>
          <w:rFonts w:cs="Arial"/>
          <w:sz w:val="22"/>
          <w:szCs w:val="22"/>
        </w:rPr>
      </w:pPr>
      <w:r w:rsidRPr="001C794B">
        <w:rPr>
          <w:rFonts w:cs="Arial"/>
          <w:sz w:val="22"/>
          <w:szCs w:val="22"/>
        </w:rPr>
        <w:t>Response</w:t>
      </w:r>
    </w:p>
    <w:p w14:paraId="45C85CDA" w14:textId="77777777" w:rsidR="001C794B" w:rsidRPr="001C794B" w:rsidRDefault="001C794B" w:rsidP="001C794B">
      <w:pPr>
        <w:numPr>
          <w:ilvl w:val="0"/>
          <w:numId w:val="566"/>
        </w:numPr>
        <w:spacing w:after="120" w:line="240" w:lineRule="auto"/>
        <w:rPr>
          <w:rFonts w:cs="Arial"/>
          <w:sz w:val="22"/>
          <w:szCs w:val="22"/>
        </w:rPr>
      </w:pPr>
      <w:r w:rsidRPr="001C794B">
        <w:rPr>
          <w:rFonts w:cs="Arial"/>
          <w:sz w:val="22"/>
          <w:szCs w:val="22"/>
        </w:rPr>
        <w:t xml:space="preserve">DELWP personnel are mobilised to site within 12 hours of the notification from the SCAT team that fauna are at risk. </w:t>
      </w:r>
    </w:p>
    <w:p w14:paraId="329EF53B" w14:textId="77777777" w:rsidR="001C794B" w:rsidRPr="001C794B" w:rsidRDefault="001C794B" w:rsidP="001C794B">
      <w:pPr>
        <w:numPr>
          <w:ilvl w:val="0"/>
          <w:numId w:val="566"/>
        </w:numPr>
        <w:spacing w:after="120" w:line="240" w:lineRule="auto"/>
        <w:rPr>
          <w:rFonts w:cs="Arial"/>
          <w:sz w:val="22"/>
          <w:szCs w:val="22"/>
        </w:rPr>
      </w:pPr>
      <w:r w:rsidRPr="001C794B">
        <w:rPr>
          <w:rFonts w:cs="Arial"/>
          <w:sz w:val="22"/>
          <w:szCs w:val="22"/>
        </w:rPr>
        <w:t xml:space="preserve">OWR kits are mobilised to site within 12 hours of the notification from the SCAT team that fauna are at risk. </w:t>
      </w:r>
    </w:p>
    <w:p w14:paraId="1732B0B4" w14:textId="77777777" w:rsidR="001C794B" w:rsidRPr="001C794B" w:rsidRDefault="001C794B" w:rsidP="001C794B">
      <w:pPr>
        <w:numPr>
          <w:ilvl w:val="0"/>
          <w:numId w:val="566"/>
        </w:numPr>
        <w:spacing w:after="120" w:line="240" w:lineRule="auto"/>
        <w:rPr>
          <w:rFonts w:cs="Arial"/>
          <w:sz w:val="22"/>
          <w:szCs w:val="22"/>
        </w:rPr>
      </w:pPr>
      <w:r w:rsidRPr="001C794B">
        <w:rPr>
          <w:rFonts w:cs="Arial"/>
          <w:sz w:val="22"/>
          <w:szCs w:val="22"/>
        </w:rPr>
        <w:t>An operational NEBA is undertaken to determine net benefits of undertaking OWR.</w:t>
      </w:r>
    </w:p>
    <w:p w14:paraId="0EB19BD2" w14:textId="77777777" w:rsidR="001C794B" w:rsidRPr="001C794B" w:rsidRDefault="001C794B" w:rsidP="001C794B">
      <w:pPr>
        <w:numPr>
          <w:ilvl w:val="0"/>
          <w:numId w:val="566"/>
        </w:numPr>
        <w:spacing w:after="120" w:line="240" w:lineRule="auto"/>
        <w:rPr>
          <w:rFonts w:cs="Arial"/>
          <w:sz w:val="22"/>
          <w:szCs w:val="22"/>
        </w:rPr>
      </w:pPr>
      <w:r w:rsidRPr="001C794B">
        <w:rPr>
          <w:rFonts w:cs="Arial"/>
          <w:sz w:val="22"/>
          <w:szCs w:val="22"/>
        </w:rPr>
        <w:t xml:space="preserve">If an operational NEBA identifies that OWR is required, the IAP includes measures to guide the response, with personnel and equipment deployed to relevant locations.  </w:t>
      </w:r>
    </w:p>
    <w:p w14:paraId="4EB38421" w14:textId="77777777" w:rsidR="001C794B" w:rsidRPr="001C794B" w:rsidRDefault="001C794B" w:rsidP="001C794B">
      <w:pPr>
        <w:spacing w:after="120" w:line="240" w:lineRule="auto"/>
        <w:ind w:left="0"/>
        <w:rPr>
          <w:rFonts w:cs="Arial"/>
          <w:sz w:val="22"/>
          <w:szCs w:val="22"/>
        </w:rPr>
      </w:pPr>
      <w:r w:rsidRPr="001C794B">
        <w:rPr>
          <w:rFonts w:cs="Arial"/>
          <w:sz w:val="22"/>
          <w:szCs w:val="22"/>
        </w:rPr>
        <w:t>Activity controls</w:t>
      </w:r>
    </w:p>
    <w:p w14:paraId="57E0D2B5" w14:textId="77777777" w:rsidR="001C794B" w:rsidRPr="001C794B" w:rsidRDefault="001C794B" w:rsidP="001C794B">
      <w:pPr>
        <w:numPr>
          <w:ilvl w:val="0"/>
          <w:numId w:val="567"/>
        </w:numPr>
        <w:spacing w:after="120" w:line="240" w:lineRule="auto"/>
        <w:rPr>
          <w:rFonts w:cs="Arial"/>
          <w:sz w:val="22"/>
          <w:szCs w:val="22"/>
        </w:rPr>
      </w:pPr>
      <w:r w:rsidRPr="001C794B">
        <w:rPr>
          <w:rFonts w:cs="Arial"/>
          <w:sz w:val="22"/>
          <w:szCs w:val="22"/>
        </w:rPr>
        <w:t xml:space="preserve">Environmental briefings are conducted prior to clean-up commencing in order to identify risks and suitable controls. </w:t>
      </w:r>
    </w:p>
    <w:p w14:paraId="67005918" w14:textId="77777777" w:rsidR="001C794B" w:rsidRPr="001C794B" w:rsidRDefault="001C794B" w:rsidP="001C794B">
      <w:pPr>
        <w:numPr>
          <w:ilvl w:val="0"/>
          <w:numId w:val="567"/>
        </w:numPr>
        <w:spacing w:after="120" w:line="240" w:lineRule="auto"/>
        <w:rPr>
          <w:rFonts w:cs="Arial"/>
          <w:sz w:val="22"/>
          <w:szCs w:val="22"/>
        </w:rPr>
      </w:pPr>
      <w:r w:rsidRPr="001C794B">
        <w:rPr>
          <w:rFonts w:cs="Arial"/>
          <w:sz w:val="22"/>
          <w:szCs w:val="22"/>
        </w:rPr>
        <w:t xml:space="preserve">Access to shoreline is via established tracks (with track edges fenced with bunting if required). Access outside of existing tracks and pathways is determined in consultation with local DELWP representatives. </w:t>
      </w:r>
    </w:p>
    <w:p w14:paraId="1366EAC7" w14:textId="77777777" w:rsidR="001C794B" w:rsidRPr="001C794B" w:rsidRDefault="001C794B" w:rsidP="001C794B">
      <w:pPr>
        <w:numPr>
          <w:ilvl w:val="0"/>
          <w:numId w:val="567"/>
        </w:numPr>
        <w:spacing w:after="120" w:line="240" w:lineRule="auto"/>
        <w:rPr>
          <w:rFonts w:cs="Arial"/>
          <w:sz w:val="22"/>
          <w:szCs w:val="22"/>
        </w:rPr>
      </w:pPr>
      <w:r w:rsidRPr="001C794B">
        <w:rPr>
          <w:rFonts w:cs="Arial"/>
          <w:sz w:val="22"/>
          <w:szCs w:val="22"/>
        </w:rPr>
        <w:lastRenderedPageBreak/>
        <w:t>Mobile equipment to be driven as close to the water’s edge as possible to prevent impacts to shoreline birds.</w:t>
      </w:r>
    </w:p>
    <w:p w14:paraId="6E498DD6" w14:textId="77777777" w:rsidR="001C794B" w:rsidRPr="001C794B" w:rsidRDefault="001C794B" w:rsidP="001C794B">
      <w:pPr>
        <w:numPr>
          <w:ilvl w:val="0"/>
          <w:numId w:val="567"/>
        </w:numPr>
        <w:spacing w:after="120" w:line="240" w:lineRule="auto"/>
        <w:rPr>
          <w:rFonts w:cs="Arial"/>
          <w:sz w:val="22"/>
          <w:szCs w:val="22"/>
        </w:rPr>
      </w:pPr>
      <w:r w:rsidRPr="001C794B">
        <w:rPr>
          <w:rFonts w:cs="Arial"/>
          <w:sz w:val="22"/>
          <w:szCs w:val="22"/>
        </w:rPr>
        <w:t xml:space="preserve">Wildlife is only handled and treated by DELWP-trained or Phillip Island Nature Park wildlife clinic oiled wildlife responders.  </w:t>
      </w:r>
    </w:p>
    <w:p w14:paraId="16D337C4" w14:textId="77777777" w:rsidR="001C794B" w:rsidRPr="001C794B" w:rsidRDefault="001C794B" w:rsidP="001C794B">
      <w:pPr>
        <w:spacing w:after="120" w:line="240" w:lineRule="auto"/>
        <w:ind w:left="0"/>
        <w:rPr>
          <w:rFonts w:cs="Arial"/>
          <w:b/>
          <w:sz w:val="22"/>
          <w:szCs w:val="22"/>
        </w:rPr>
      </w:pPr>
    </w:p>
    <w:p w14:paraId="400F18C5" w14:textId="3B0503D0" w:rsidR="001C794B" w:rsidRDefault="00C56475" w:rsidP="001C794B">
      <w:pPr>
        <w:spacing w:after="120" w:line="240" w:lineRule="auto"/>
        <w:ind w:left="0"/>
        <w:rPr>
          <w:rFonts w:cs="Arial"/>
          <w:sz w:val="22"/>
          <w:szCs w:val="22"/>
        </w:rPr>
      </w:pPr>
      <w:r>
        <w:rPr>
          <w:rFonts w:cs="Arial"/>
          <w:sz w:val="22"/>
          <w:szCs w:val="22"/>
        </w:rPr>
        <w:t>Table 7.53</w:t>
      </w:r>
      <w:r w:rsidR="001C794B" w:rsidRPr="001C794B">
        <w:rPr>
          <w:rFonts w:cs="Arial"/>
          <w:sz w:val="22"/>
          <w:szCs w:val="22"/>
        </w:rPr>
        <w:t xml:space="preserve"> presents the residual risk assessment for OWR activities. </w:t>
      </w:r>
    </w:p>
    <w:p w14:paraId="78352C72" w14:textId="77777777" w:rsidR="00C56475" w:rsidRDefault="00C56475" w:rsidP="001C794B">
      <w:pPr>
        <w:spacing w:after="120" w:line="240" w:lineRule="auto"/>
        <w:ind w:left="0"/>
        <w:rPr>
          <w:rFonts w:cs="Arial"/>
          <w:sz w:val="22"/>
          <w:szCs w:val="22"/>
        </w:rPr>
      </w:pPr>
    </w:p>
    <w:p w14:paraId="075152A5" w14:textId="02757D16" w:rsidR="00C56475" w:rsidRPr="00C56475" w:rsidRDefault="00C56475" w:rsidP="00C56475">
      <w:pPr>
        <w:keepNext/>
        <w:spacing w:after="120" w:line="240" w:lineRule="auto"/>
        <w:ind w:left="851"/>
        <w:jc w:val="center"/>
        <w:rPr>
          <w:rFonts w:cs="Arial"/>
          <w:b/>
          <w:sz w:val="20"/>
          <w:szCs w:val="20"/>
        </w:rPr>
      </w:pPr>
      <w:r>
        <w:rPr>
          <w:rFonts w:cs="Arial"/>
          <w:b/>
          <w:sz w:val="20"/>
          <w:szCs w:val="20"/>
        </w:rPr>
        <w:t>Table 7.</w:t>
      </w:r>
      <w:r w:rsidR="00DA68DA">
        <w:rPr>
          <w:rFonts w:cs="Arial"/>
          <w:b/>
          <w:sz w:val="20"/>
          <w:szCs w:val="20"/>
        </w:rPr>
        <w:t>53</w:t>
      </w:r>
      <w:r w:rsidRPr="001C794B">
        <w:rPr>
          <w:rFonts w:cs="Arial"/>
          <w:b/>
          <w:sz w:val="20"/>
          <w:szCs w:val="20"/>
        </w:rPr>
        <w:t>.</w:t>
      </w:r>
      <w:r w:rsidRPr="001C794B">
        <w:rPr>
          <w:rFonts w:cs="Arial"/>
          <w:b/>
          <w:sz w:val="20"/>
          <w:szCs w:val="20"/>
        </w:rPr>
        <w:tab/>
        <w:t xml:space="preserve">Residual Risk assessment for </w:t>
      </w:r>
      <w:r>
        <w:rPr>
          <w:rFonts w:cs="Arial"/>
          <w:b/>
          <w:sz w:val="20"/>
          <w:szCs w:val="20"/>
        </w:rPr>
        <w:t>OWR activities</w:t>
      </w:r>
    </w:p>
    <w:tbl>
      <w:tblPr>
        <w:tblW w:w="850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5"/>
        <w:gridCol w:w="2056"/>
        <w:gridCol w:w="2268"/>
        <w:gridCol w:w="2127"/>
      </w:tblGrid>
      <w:tr w:rsidR="001C794B" w:rsidRPr="001C794B" w14:paraId="1A46F850" w14:textId="77777777" w:rsidTr="0025636E">
        <w:trPr>
          <w:cantSplit/>
          <w:trHeight w:val="355"/>
        </w:trPr>
        <w:tc>
          <w:tcPr>
            <w:tcW w:w="8506" w:type="dxa"/>
            <w:gridSpan w:val="4"/>
            <w:shd w:val="clear" w:color="auto" w:fill="064EA8"/>
          </w:tcPr>
          <w:p w14:paraId="1E360ABF" w14:textId="77777777" w:rsidR="001C794B" w:rsidRPr="001C794B" w:rsidRDefault="001C794B" w:rsidP="001C794B">
            <w:pPr>
              <w:spacing w:before="60" w:after="60" w:line="240" w:lineRule="auto"/>
              <w:ind w:left="0"/>
              <w:jc w:val="center"/>
              <w:rPr>
                <w:rFonts w:eastAsia="MS Mincho" w:cs="Tahoma"/>
                <w:b/>
                <w:bCs/>
                <w:i/>
                <w:iCs/>
                <w:color w:val="FFFFFF" w:themeColor="background1"/>
                <w:sz w:val="20"/>
                <w:szCs w:val="20"/>
                <w:lang w:eastAsia="en-US"/>
              </w:rPr>
            </w:pPr>
            <w:r w:rsidRPr="001C794B">
              <w:rPr>
                <w:rFonts w:cs="Tahoma"/>
                <w:color w:val="FFFFFF" w:themeColor="background1"/>
                <w:sz w:val="20"/>
                <w:szCs w:val="20"/>
              </w:rPr>
              <w:t>Risk assessment (residual)</w:t>
            </w:r>
          </w:p>
        </w:tc>
      </w:tr>
      <w:tr w:rsidR="001C794B" w:rsidRPr="001C794B" w14:paraId="5A74F74C" w14:textId="77777777" w:rsidTr="0025636E">
        <w:trPr>
          <w:cantSplit/>
        </w:trPr>
        <w:tc>
          <w:tcPr>
            <w:tcW w:w="2055" w:type="dxa"/>
            <w:shd w:val="clear" w:color="auto" w:fill="BFBFBF" w:themeFill="background1" w:themeFillShade="BF"/>
          </w:tcPr>
          <w:p w14:paraId="2FB0CE02" w14:textId="77777777" w:rsidR="001C794B" w:rsidRPr="001C794B" w:rsidRDefault="001C794B" w:rsidP="001C794B">
            <w:pPr>
              <w:spacing w:before="60" w:after="60" w:line="240" w:lineRule="auto"/>
              <w:ind w:left="0"/>
              <w:rPr>
                <w:rFonts w:eastAsia="MS Mincho" w:cs="Tahoma"/>
                <w:b/>
                <w:bCs/>
                <w:i/>
                <w:iCs/>
                <w:color w:val="22058A"/>
                <w:sz w:val="20"/>
                <w:szCs w:val="20"/>
                <w:lang w:eastAsia="en-US"/>
              </w:rPr>
            </w:pPr>
            <w:r w:rsidRPr="001C794B">
              <w:rPr>
                <w:rFonts w:cs="Tahoma"/>
                <w:sz w:val="20"/>
                <w:szCs w:val="20"/>
              </w:rPr>
              <w:t>Receptor</w:t>
            </w:r>
          </w:p>
        </w:tc>
        <w:tc>
          <w:tcPr>
            <w:tcW w:w="2056" w:type="dxa"/>
            <w:shd w:val="clear" w:color="auto" w:fill="BFBFBF" w:themeFill="background1" w:themeFillShade="BF"/>
          </w:tcPr>
          <w:p w14:paraId="2CDBFE5E" w14:textId="77777777" w:rsidR="001C794B" w:rsidRPr="001C794B" w:rsidRDefault="001C794B" w:rsidP="001C794B">
            <w:pPr>
              <w:spacing w:before="60" w:after="60" w:line="240" w:lineRule="auto"/>
              <w:ind w:left="0"/>
              <w:jc w:val="center"/>
              <w:rPr>
                <w:rFonts w:eastAsia="MS Mincho" w:cs="Tahoma"/>
                <w:b/>
                <w:bCs/>
                <w:i/>
                <w:iCs/>
                <w:color w:val="22058A"/>
                <w:sz w:val="20"/>
                <w:szCs w:val="20"/>
                <w:lang w:eastAsia="en-US"/>
              </w:rPr>
            </w:pPr>
            <w:r w:rsidRPr="001C794B">
              <w:rPr>
                <w:rFonts w:cs="Tahoma"/>
                <w:sz w:val="20"/>
                <w:szCs w:val="20"/>
              </w:rPr>
              <w:t>Likelihood</w:t>
            </w:r>
          </w:p>
        </w:tc>
        <w:tc>
          <w:tcPr>
            <w:tcW w:w="2268" w:type="dxa"/>
            <w:shd w:val="clear" w:color="auto" w:fill="BFBFBF" w:themeFill="background1" w:themeFillShade="BF"/>
          </w:tcPr>
          <w:p w14:paraId="0EBA153F" w14:textId="77777777" w:rsidR="001C794B" w:rsidRPr="001C794B" w:rsidRDefault="001C794B" w:rsidP="001C794B">
            <w:pPr>
              <w:spacing w:before="60" w:after="60" w:line="240" w:lineRule="auto"/>
              <w:ind w:left="0"/>
              <w:jc w:val="center"/>
              <w:rPr>
                <w:rFonts w:eastAsia="MS Mincho" w:cs="Tahoma"/>
                <w:b/>
                <w:bCs/>
                <w:i/>
                <w:iCs/>
                <w:color w:val="22058A"/>
                <w:sz w:val="20"/>
                <w:szCs w:val="20"/>
                <w:lang w:eastAsia="en-US"/>
              </w:rPr>
            </w:pPr>
            <w:r w:rsidRPr="001C794B">
              <w:rPr>
                <w:rFonts w:cs="Tahoma"/>
                <w:sz w:val="20"/>
                <w:szCs w:val="20"/>
              </w:rPr>
              <w:t>Consequence</w:t>
            </w:r>
          </w:p>
        </w:tc>
        <w:tc>
          <w:tcPr>
            <w:tcW w:w="2127" w:type="dxa"/>
            <w:shd w:val="clear" w:color="auto" w:fill="BFBFBF" w:themeFill="background1" w:themeFillShade="BF"/>
          </w:tcPr>
          <w:p w14:paraId="13CDD51A" w14:textId="77777777" w:rsidR="001C794B" w:rsidRPr="001C794B" w:rsidRDefault="001C794B" w:rsidP="001C794B">
            <w:pPr>
              <w:spacing w:before="60" w:after="60" w:line="240" w:lineRule="auto"/>
              <w:ind w:left="0"/>
              <w:jc w:val="center"/>
              <w:rPr>
                <w:rFonts w:eastAsia="MS Mincho" w:cs="Tahoma"/>
                <w:b/>
                <w:bCs/>
                <w:i/>
                <w:iCs/>
                <w:color w:val="22058A"/>
                <w:sz w:val="20"/>
                <w:szCs w:val="20"/>
                <w:lang w:eastAsia="en-US"/>
              </w:rPr>
            </w:pPr>
            <w:r w:rsidRPr="001C794B">
              <w:rPr>
                <w:rFonts w:cs="Tahoma"/>
                <w:sz w:val="20"/>
                <w:szCs w:val="20"/>
              </w:rPr>
              <w:t>Risk rating</w:t>
            </w:r>
          </w:p>
        </w:tc>
      </w:tr>
      <w:tr w:rsidR="001C794B" w:rsidRPr="001C794B" w14:paraId="679D7EC3" w14:textId="77777777" w:rsidTr="0025636E">
        <w:trPr>
          <w:cantSplit/>
        </w:trPr>
        <w:tc>
          <w:tcPr>
            <w:tcW w:w="2055" w:type="dxa"/>
            <w:shd w:val="clear" w:color="auto" w:fill="auto"/>
          </w:tcPr>
          <w:p w14:paraId="544008EF" w14:textId="77777777" w:rsidR="001C794B" w:rsidRPr="001C794B" w:rsidRDefault="001C794B" w:rsidP="001C794B">
            <w:pPr>
              <w:spacing w:before="60" w:after="60" w:line="240" w:lineRule="auto"/>
              <w:ind w:left="0"/>
              <w:rPr>
                <w:rFonts w:eastAsia="MS Mincho" w:cs="Tahoma"/>
                <w:b/>
                <w:bCs/>
                <w:i/>
                <w:iCs/>
                <w:color w:val="22058A"/>
                <w:sz w:val="20"/>
                <w:szCs w:val="20"/>
                <w:lang w:eastAsia="en-US"/>
              </w:rPr>
            </w:pPr>
            <w:r w:rsidRPr="001C794B">
              <w:rPr>
                <w:rFonts w:cs="Tahoma"/>
                <w:sz w:val="20"/>
                <w:szCs w:val="20"/>
              </w:rPr>
              <w:t>Fauna injury</w:t>
            </w:r>
          </w:p>
        </w:tc>
        <w:tc>
          <w:tcPr>
            <w:tcW w:w="2056" w:type="dxa"/>
            <w:shd w:val="clear" w:color="auto" w:fill="auto"/>
          </w:tcPr>
          <w:p w14:paraId="37A38900" w14:textId="77777777" w:rsidR="001C794B" w:rsidRPr="001C794B" w:rsidRDefault="001C794B" w:rsidP="001C794B">
            <w:pPr>
              <w:spacing w:before="60" w:after="60" w:line="240" w:lineRule="auto"/>
              <w:ind w:left="0"/>
              <w:jc w:val="center"/>
              <w:rPr>
                <w:rFonts w:eastAsia="MS Mincho" w:cs="Tahoma"/>
                <w:b/>
                <w:bCs/>
                <w:i/>
                <w:iCs/>
                <w:color w:val="22058A"/>
                <w:sz w:val="20"/>
                <w:szCs w:val="20"/>
                <w:lang w:eastAsia="en-US"/>
              </w:rPr>
            </w:pPr>
            <w:r w:rsidRPr="001C794B">
              <w:rPr>
                <w:rFonts w:cs="Tahoma"/>
                <w:sz w:val="20"/>
                <w:szCs w:val="20"/>
              </w:rPr>
              <w:t>Unlikely</w:t>
            </w:r>
          </w:p>
        </w:tc>
        <w:tc>
          <w:tcPr>
            <w:tcW w:w="2268" w:type="dxa"/>
            <w:shd w:val="clear" w:color="auto" w:fill="auto"/>
          </w:tcPr>
          <w:p w14:paraId="17CB861E" w14:textId="77777777" w:rsidR="001C794B" w:rsidRPr="001C794B" w:rsidRDefault="001C794B" w:rsidP="001C794B">
            <w:pPr>
              <w:spacing w:before="60" w:after="60" w:line="240" w:lineRule="auto"/>
              <w:ind w:left="0"/>
              <w:jc w:val="center"/>
              <w:rPr>
                <w:rFonts w:eastAsia="MS Mincho" w:cs="Tahoma"/>
                <w:b/>
                <w:bCs/>
                <w:i/>
                <w:iCs/>
                <w:color w:val="22058A"/>
                <w:sz w:val="20"/>
                <w:szCs w:val="20"/>
                <w:lang w:eastAsia="en-US"/>
              </w:rPr>
            </w:pPr>
            <w:r w:rsidRPr="001C794B">
              <w:rPr>
                <w:rFonts w:cs="Tahoma"/>
                <w:sz w:val="20"/>
                <w:szCs w:val="20"/>
              </w:rPr>
              <w:t>Insignificant</w:t>
            </w:r>
          </w:p>
        </w:tc>
        <w:tc>
          <w:tcPr>
            <w:tcW w:w="2127" w:type="dxa"/>
            <w:shd w:val="clear" w:color="auto" w:fill="66FF66"/>
          </w:tcPr>
          <w:p w14:paraId="75E4DA74" w14:textId="77777777" w:rsidR="001C794B" w:rsidRPr="001C794B" w:rsidRDefault="001C794B" w:rsidP="001C794B">
            <w:pPr>
              <w:spacing w:before="60" w:after="60" w:line="240" w:lineRule="auto"/>
              <w:ind w:left="0"/>
              <w:jc w:val="center"/>
              <w:rPr>
                <w:rFonts w:eastAsia="MS Mincho" w:cs="Tahoma"/>
                <w:b/>
                <w:bCs/>
                <w:i/>
                <w:iCs/>
                <w:color w:val="22058A"/>
                <w:sz w:val="20"/>
                <w:szCs w:val="20"/>
                <w:lang w:eastAsia="en-US"/>
              </w:rPr>
            </w:pPr>
            <w:r w:rsidRPr="001C794B">
              <w:rPr>
                <w:rFonts w:cs="Tahoma"/>
                <w:sz w:val="20"/>
                <w:szCs w:val="20"/>
              </w:rPr>
              <w:t>Low</w:t>
            </w:r>
          </w:p>
        </w:tc>
      </w:tr>
      <w:tr w:rsidR="001C794B" w:rsidRPr="001C794B" w14:paraId="42947CCA" w14:textId="77777777" w:rsidTr="0025636E">
        <w:trPr>
          <w:cantSplit/>
        </w:trPr>
        <w:tc>
          <w:tcPr>
            <w:tcW w:w="2055" w:type="dxa"/>
            <w:shd w:val="clear" w:color="auto" w:fill="auto"/>
          </w:tcPr>
          <w:p w14:paraId="2014EAF7" w14:textId="77777777" w:rsidR="001C794B" w:rsidRPr="001C794B" w:rsidRDefault="001C794B" w:rsidP="001C794B">
            <w:pPr>
              <w:spacing w:before="60" w:after="60" w:line="240" w:lineRule="auto"/>
              <w:ind w:left="0"/>
              <w:rPr>
                <w:rFonts w:eastAsia="MS Mincho" w:cs="Tahoma"/>
                <w:b/>
                <w:bCs/>
                <w:i/>
                <w:iCs/>
                <w:color w:val="22058A"/>
                <w:sz w:val="20"/>
                <w:szCs w:val="20"/>
                <w:lang w:eastAsia="en-US"/>
              </w:rPr>
            </w:pPr>
            <w:r w:rsidRPr="001C794B">
              <w:rPr>
                <w:rFonts w:cs="Tahoma"/>
                <w:sz w:val="20"/>
                <w:szCs w:val="20"/>
              </w:rPr>
              <w:t>Fauna death</w:t>
            </w:r>
          </w:p>
        </w:tc>
        <w:tc>
          <w:tcPr>
            <w:tcW w:w="2056" w:type="dxa"/>
            <w:shd w:val="clear" w:color="auto" w:fill="auto"/>
          </w:tcPr>
          <w:p w14:paraId="5D86BD53" w14:textId="77777777" w:rsidR="001C794B" w:rsidRPr="001C794B" w:rsidRDefault="001C794B" w:rsidP="001C794B">
            <w:pPr>
              <w:spacing w:before="60" w:after="60" w:line="240" w:lineRule="auto"/>
              <w:ind w:left="0"/>
              <w:jc w:val="center"/>
              <w:rPr>
                <w:rFonts w:eastAsia="MS Mincho" w:cs="Tahoma"/>
                <w:b/>
                <w:bCs/>
                <w:i/>
                <w:iCs/>
                <w:color w:val="22058A"/>
                <w:sz w:val="20"/>
                <w:szCs w:val="20"/>
                <w:lang w:eastAsia="en-US"/>
              </w:rPr>
            </w:pPr>
            <w:r w:rsidRPr="001C794B">
              <w:rPr>
                <w:rFonts w:cs="Tahoma"/>
                <w:sz w:val="20"/>
                <w:szCs w:val="20"/>
              </w:rPr>
              <w:t>Rare</w:t>
            </w:r>
          </w:p>
        </w:tc>
        <w:tc>
          <w:tcPr>
            <w:tcW w:w="2268" w:type="dxa"/>
            <w:shd w:val="clear" w:color="auto" w:fill="auto"/>
          </w:tcPr>
          <w:p w14:paraId="151A10D1" w14:textId="77777777" w:rsidR="001C794B" w:rsidRPr="001C794B" w:rsidRDefault="001C794B" w:rsidP="001C794B">
            <w:pPr>
              <w:spacing w:before="60" w:after="60" w:line="240" w:lineRule="auto"/>
              <w:ind w:left="0"/>
              <w:jc w:val="center"/>
              <w:rPr>
                <w:rFonts w:eastAsia="MS Mincho" w:cs="Tahoma"/>
                <w:b/>
                <w:bCs/>
                <w:i/>
                <w:iCs/>
                <w:color w:val="45508A"/>
                <w:sz w:val="20"/>
                <w:szCs w:val="20"/>
                <w:lang w:eastAsia="en-US"/>
              </w:rPr>
            </w:pPr>
            <w:r w:rsidRPr="001C794B">
              <w:rPr>
                <w:rFonts w:cs="Tahoma"/>
                <w:sz w:val="20"/>
                <w:szCs w:val="20"/>
              </w:rPr>
              <w:t>Insignificant</w:t>
            </w:r>
          </w:p>
        </w:tc>
        <w:tc>
          <w:tcPr>
            <w:tcW w:w="2127" w:type="dxa"/>
            <w:shd w:val="clear" w:color="auto" w:fill="66FF66"/>
          </w:tcPr>
          <w:p w14:paraId="2403D87A" w14:textId="77777777" w:rsidR="001C794B" w:rsidRPr="001C794B" w:rsidRDefault="001C794B" w:rsidP="001C794B">
            <w:pPr>
              <w:spacing w:before="60" w:after="60" w:line="240" w:lineRule="auto"/>
              <w:ind w:left="0"/>
              <w:jc w:val="center"/>
              <w:rPr>
                <w:rFonts w:eastAsia="MS Mincho" w:cs="Tahoma"/>
                <w:b/>
                <w:bCs/>
                <w:i/>
                <w:iCs/>
                <w:color w:val="22058A"/>
                <w:sz w:val="20"/>
                <w:szCs w:val="20"/>
                <w:lang w:eastAsia="en-US"/>
              </w:rPr>
            </w:pPr>
            <w:r w:rsidRPr="001C794B">
              <w:rPr>
                <w:rFonts w:cs="Tahoma"/>
                <w:sz w:val="20"/>
                <w:szCs w:val="20"/>
              </w:rPr>
              <w:t>Low</w:t>
            </w:r>
          </w:p>
        </w:tc>
      </w:tr>
    </w:tbl>
    <w:p w14:paraId="55841B43" w14:textId="77777777" w:rsidR="001C794B" w:rsidRPr="001C794B" w:rsidRDefault="001C794B" w:rsidP="001C794B">
      <w:pPr>
        <w:spacing w:after="120" w:line="240" w:lineRule="auto"/>
        <w:ind w:left="0"/>
        <w:rPr>
          <w:rFonts w:cs="Arial"/>
          <w:sz w:val="22"/>
          <w:szCs w:val="22"/>
        </w:rPr>
      </w:pPr>
    </w:p>
    <w:p w14:paraId="4816B6ED" w14:textId="77777777" w:rsidR="001C794B" w:rsidRPr="001C794B" w:rsidRDefault="001C794B" w:rsidP="001C794B">
      <w:pPr>
        <w:spacing w:after="120" w:line="240" w:lineRule="auto"/>
        <w:ind w:left="0"/>
        <w:rPr>
          <w:rFonts w:cs="Arial"/>
          <w:sz w:val="22"/>
          <w:szCs w:val="22"/>
        </w:rPr>
      </w:pPr>
    </w:p>
    <w:p w14:paraId="2A7476EB" w14:textId="77777777" w:rsidR="001C794B" w:rsidRPr="001C794B" w:rsidRDefault="001C794B" w:rsidP="001C794B">
      <w:pPr>
        <w:spacing w:after="120" w:line="240" w:lineRule="auto"/>
        <w:ind w:left="0"/>
        <w:rPr>
          <w:rFonts w:cs="Arial"/>
          <w:sz w:val="22"/>
          <w:szCs w:val="22"/>
        </w:rPr>
      </w:pPr>
    </w:p>
    <w:p w14:paraId="5102E086" w14:textId="77777777" w:rsidR="001C794B" w:rsidRPr="001C794B" w:rsidRDefault="001C794B" w:rsidP="001C794B"/>
    <w:p w14:paraId="14701E52" w14:textId="77777777" w:rsidR="00B06843" w:rsidRDefault="00B06843" w:rsidP="00845878"/>
    <w:p w14:paraId="5BE57DA6" w14:textId="77777777" w:rsidR="005270EF" w:rsidRDefault="005270EF" w:rsidP="00845878"/>
    <w:p w14:paraId="468C9E0E" w14:textId="77777777" w:rsidR="005270EF" w:rsidRDefault="005270EF" w:rsidP="00845878"/>
    <w:p w14:paraId="47B96EE0" w14:textId="77777777" w:rsidR="00327BCE" w:rsidRDefault="00327BCE" w:rsidP="00845878"/>
    <w:p w14:paraId="1B6C8EAF" w14:textId="25DADD66" w:rsidR="006E3F8B" w:rsidRPr="00B03966" w:rsidRDefault="00D231BD" w:rsidP="00B03966">
      <w:pPr>
        <w:pStyle w:val="Heading1"/>
        <w:keepLines/>
        <w:numPr>
          <w:ilvl w:val="0"/>
          <w:numId w:val="1"/>
        </w:numPr>
        <w:tabs>
          <w:tab w:val="clear" w:pos="360"/>
        </w:tabs>
        <w:spacing w:before="520" w:after="480" w:line="240" w:lineRule="auto"/>
        <w:rPr>
          <w:rFonts w:cs="Times New Roman"/>
          <w:b/>
          <w:color w:val="064EA8"/>
          <w:kern w:val="0"/>
          <w:sz w:val="36"/>
          <w:lang w:eastAsia="en-US"/>
        </w:rPr>
      </w:pPr>
      <w:r w:rsidRPr="00B03966">
        <w:rPr>
          <w:rFonts w:cs="Times New Roman"/>
          <w:b/>
          <w:color w:val="064EA8"/>
          <w:kern w:val="0"/>
          <w:sz w:val="36"/>
          <w:lang w:eastAsia="en-US"/>
        </w:rPr>
        <w:tab/>
      </w:r>
      <w:bookmarkStart w:id="1278" w:name="_Toc375214676"/>
      <w:r w:rsidR="006E3F8B" w:rsidRPr="00B03966">
        <w:rPr>
          <w:rFonts w:cs="Times New Roman"/>
          <w:b/>
          <w:color w:val="064EA8"/>
          <w:kern w:val="0"/>
          <w:sz w:val="36"/>
          <w:lang w:eastAsia="en-US"/>
        </w:rPr>
        <w:t>Implementation Strategy</w:t>
      </w:r>
      <w:bookmarkEnd w:id="1278"/>
    </w:p>
    <w:p w14:paraId="234132E9" w14:textId="1E09010A" w:rsidR="008A4F55" w:rsidRPr="00242793" w:rsidRDefault="00D833EC" w:rsidP="00D0385B">
      <w:pPr>
        <w:ind w:left="0"/>
        <w:rPr>
          <w:rFonts w:cs="Arial"/>
          <w:sz w:val="22"/>
          <w:szCs w:val="22"/>
        </w:rPr>
      </w:pPr>
      <w:r w:rsidRPr="00242793">
        <w:rPr>
          <w:rFonts w:cs="Arial"/>
          <w:sz w:val="22"/>
          <w:szCs w:val="22"/>
        </w:rPr>
        <w:t xml:space="preserve">The Crown in </w:t>
      </w:r>
      <w:r w:rsidR="00CD7161" w:rsidRPr="00242793">
        <w:rPr>
          <w:rFonts w:cs="Arial"/>
          <w:sz w:val="22"/>
          <w:szCs w:val="22"/>
        </w:rPr>
        <w:t>R</w:t>
      </w:r>
      <w:r w:rsidRPr="00242793">
        <w:rPr>
          <w:rFonts w:cs="Arial"/>
          <w:sz w:val="22"/>
          <w:szCs w:val="22"/>
        </w:rPr>
        <w:t xml:space="preserve">ight of Victoria retains full and ultimate responsibility as the Titleholder of the activity and is responsible for ensuring that the </w:t>
      </w:r>
      <w:r w:rsidR="00525168" w:rsidRPr="00242793">
        <w:rPr>
          <w:rFonts w:cs="Arial"/>
          <w:sz w:val="22"/>
          <w:szCs w:val="22"/>
        </w:rPr>
        <w:t xml:space="preserve">environmental performance outcomes and standards outlined throughout Chapter 7 are adequately </w:t>
      </w:r>
      <w:r w:rsidRPr="00242793">
        <w:rPr>
          <w:rFonts w:cs="Arial"/>
          <w:sz w:val="22"/>
          <w:szCs w:val="22"/>
        </w:rPr>
        <w:t xml:space="preserve">implemented. </w:t>
      </w:r>
    </w:p>
    <w:p w14:paraId="2FF9A4BD" w14:textId="7DD740E0" w:rsidR="006E3F8B" w:rsidRPr="00B03966" w:rsidRDefault="00614F7A" w:rsidP="00B03966">
      <w:pPr>
        <w:pStyle w:val="Heading2"/>
        <w:keepLines/>
        <w:numPr>
          <w:ilvl w:val="1"/>
          <w:numId w:val="1"/>
        </w:numPr>
        <w:tabs>
          <w:tab w:val="clear" w:pos="720"/>
        </w:tabs>
        <w:spacing w:before="400" w:after="200" w:line="240" w:lineRule="auto"/>
        <w:ind w:left="709" w:hanging="709"/>
        <w:rPr>
          <w:rFonts w:cs="Times New Roman"/>
          <w:iCs w:val="0"/>
          <w:color w:val="064EA8"/>
          <w:szCs w:val="26"/>
          <w:lang w:eastAsia="en-US"/>
        </w:rPr>
      </w:pPr>
      <w:bookmarkStart w:id="1279" w:name="_Toc375214677"/>
      <w:r w:rsidRPr="00B03966">
        <w:rPr>
          <w:rFonts w:cs="Times New Roman"/>
          <w:iCs w:val="0"/>
          <w:color w:val="064EA8"/>
          <w:szCs w:val="26"/>
          <w:lang w:eastAsia="en-US"/>
        </w:rPr>
        <w:t>Environmental</w:t>
      </w:r>
      <w:r w:rsidR="0012308B" w:rsidRPr="00B03966">
        <w:rPr>
          <w:rFonts w:cs="Times New Roman"/>
          <w:iCs w:val="0"/>
          <w:color w:val="064EA8"/>
          <w:szCs w:val="26"/>
          <w:lang w:eastAsia="en-US"/>
        </w:rPr>
        <w:t xml:space="preserve"> Management System</w:t>
      </w:r>
      <w:bookmarkEnd w:id="1279"/>
    </w:p>
    <w:p w14:paraId="45E0DCE4" w14:textId="2BDFC408" w:rsidR="006D7AD7" w:rsidRPr="006D7AD7" w:rsidRDefault="006D7AD7" w:rsidP="006D7AD7">
      <w:pPr>
        <w:pStyle w:val="Heading3"/>
      </w:pPr>
      <w:bookmarkStart w:id="1280" w:name="_Toc479764171"/>
      <w:bookmarkStart w:id="1281" w:name="_Toc375214678"/>
      <w:r w:rsidRPr="006D7AD7">
        <w:t>DEDJTR</w:t>
      </w:r>
      <w:bookmarkEnd w:id="1280"/>
      <w:bookmarkEnd w:id="1281"/>
      <w:r w:rsidRPr="006D7AD7">
        <w:t xml:space="preserve"> </w:t>
      </w:r>
    </w:p>
    <w:p w14:paraId="1731B304" w14:textId="610DEFA5" w:rsidR="006E3F8B" w:rsidRPr="006F4C2C" w:rsidRDefault="00614F7A" w:rsidP="00614F7A">
      <w:pPr>
        <w:ind w:left="0"/>
        <w:rPr>
          <w:rFonts w:cs="Arial"/>
          <w:sz w:val="22"/>
          <w:szCs w:val="22"/>
        </w:rPr>
      </w:pPr>
      <w:r w:rsidRPr="00242793">
        <w:rPr>
          <w:rFonts w:cs="Arial"/>
          <w:sz w:val="22"/>
          <w:szCs w:val="22"/>
        </w:rPr>
        <w:t xml:space="preserve">The DEDJTR has in place an Environmental Management System (EMS) that is aligned with ISO 14001:2004 (Environmental Management Systems – requirements with guidance for use). </w:t>
      </w:r>
      <w:r w:rsidR="009C66C6" w:rsidRPr="00242793">
        <w:rPr>
          <w:rFonts w:cs="Arial"/>
          <w:sz w:val="22"/>
          <w:szCs w:val="22"/>
        </w:rPr>
        <w:t xml:space="preserve">The EMS is outlined in the department’s EMS Manual (Version </w:t>
      </w:r>
      <w:r w:rsidR="00C170DC" w:rsidRPr="00242793">
        <w:rPr>
          <w:rFonts w:cs="Arial"/>
          <w:sz w:val="22"/>
          <w:szCs w:val="22"/>
        </w:rPr>
        <w:t>1</w:t>
      </w:r>
      <w:r w:rsidR="009C66C6" w:rsidRPr="00242793">
        <w:rPr>
          <w:rFonts w:cs="Arial"/>
          <w:sz w:val="22"/>
          <w:szCs w:val="22"/>
        </w:rPr>
        <w:t xml:space="preserve">, </w:t>
      </w:r>
      <w:r w:rsidR="00C170DC" w:rsidRPr="00242793">
        <w:rPr>
          <w:rFonts w:cs="Arial"/>
          <w:sz w:val="22"/>
          <w:szCs w:val="22"/>
        </w:rPr>
        <w:t xml:space="preserve">July </w:t>
      </w:r>
      <w:r w:rsidR="009C66C6" w:rsidRPr="00242793">
        <w:rPr>
          <w:rFonts w:cs="Arial"/>
          <w:sz w:val="22"/>
          <w:szCs w:val="22"/>
        </w:rPr>
        <w:t>201</w:t>
      </w:r>
      <w:r w:rsidR="00C170DC" w:rsidRPr="00242793">
        <w:rPr>
          <w:rFonts w:cs="Arial"/>
          <w:sz w:val="22"/>
          <w:szCs w:val="22"/>
        </w:rPr>
        <w:t>5).</w:t>
      </w:r>
      <w:r w:rsidR="009C66C6" w:rsidRPr="00242793">
        <w:rPr>
          <w:rFonts w:cs="Arial"/>
          <w:color w:val="53565A"/>
          <w:sz w:val="22"/>
          <w:szCs w:val="22"/>
          <w:lang w:val="en"/>
        </w:rPr>
        <w:t xml:space="preserve"> </w:t>
      </w:r>
    </w:p>
    <w:p w14:paraId="75D8CEEF" w14:textId="2F8357EE" w:rsidR="006D7AD7" w:rsidRPr="006D7AD7" w:rsidRDefault="006D7AD7" w:rsidP="006D7AD7">
      <w:pPr>
        <w:pStyle w:val="Heading3"/>
      </w:pPr>
      <w:bookmarkStart w:id="1282" w:name="_Toc479764172"/>
      <w:bookmarkStart w:id="1283" w:name="_Toc375214679"/>
      <w:r>
        <w:t>Seismic Survey Contractor</w:t>
      </w:r>
      <w:bookmarkEnd w:id="1282"/>
      <w:bookmarkEnd w:id="1283"/>
    </w:p>
    <w:p w14:paraId="28A5B452" w14:textId="04F8DD52" w:rsidR="006D7AD7" w:rsidRPr="00242793" w:rsidRDefault="00CE04A9" w:rsidP="00EB233E">
      <w:pPr>
        <w:ind w:left="0"/>
        <w:rPr>
          <w:rFonts w:cs="Arial"/>
          <w:sz w:val="22"/>
          <w:szCs w:val="22"/>
        </w:rPr>
      </w:pPr>
      <w:r w:rsidRPr="00242793">
        <w:rPr>
          <w:rFonts w:cs="Arial"/>
          <w:sz w:val="22"/>
          <w:szCs w:val="22"/>
        </w:rPr>
        <w:t>CarbonNet</w:t>
      </w:r>
      <w:r w:rsidR="006E3F8B" w:rsidRPr="00242793">
        <w:rPr>
          <w:rFonts w:cs="Arial"/>
          <w:sz w:val="22"/>
          <w:szCs w:val="22"/>
        </w:rPr>
        <w:t xml:space="preserve"> is respons</w:t>
      </w:r>
      <w:r w:rsidRPr="00242793">
        <w:rPr>
          <w:rFonts w:cs="Arial"/>
          <w:sz w:val="22"/>
          <w:szCs w:val="22"/>
        </w:rPr>
        <w:t>ible for ensuring that the</w:t>
      </w:r>
      <w:r w:rsidR="006D7AD7" w:rsidRPr="00242793">
        <w:rPr>
          <w:rFonts w:cs="Arial"/>
          <w:sz w:val="22"/>
          <w:szCs w:val="22"/>
        </w:rPr>
        <w:t xml:space="preserve"> proposed Pelican 3DMSS </w:t>
      </w:r>
      <w:r w:rsidR="006E3F8B" w:rsidRPr="00242793">
        <w:rPr>
          <w:rFonts w:cs="Arial"/>
          <w:sz w:val="22"/>
          <w:szCs w:val="22"/>
        </w:rPr>
        <w:t xml:space="preserve">is managed in accordance with this </w:t>
      </w:r>
      <w:r w:rsidR="006D7AD7" w:rsidRPr="00242793">
        <w:rPr>
          <w:rFonts w:cs="Arial"/>
          <w:sz w:val="22"/>
          <w:szCs w:val="22"/>
        </w:rPr>
        <w:t>EP</w:t>
      </w:r>
      <w:r w:rsidR="006E3F8B" w:rsidRPr="00242793">
        <w:rPr>
          <w:rFonts w:cs="Arial"/>
          <w:sz w:val="22"/>
          <w:szCs w:val="22"/>
        </w:rPr>
        <w:t xml:space="preserve">. </w:t>
      </w:r>
      <w:r w:rsidR="006D7AD7" w:rsidRPr="00242793">
        <w:rPr>
          <w:rFonts w:cs="Arial"/>
          <w:sz w:val="22"/>
          <w:szCs w:val="22"/>
        </w:rPr>
        <w:t>Accordingly, CarbonNet has appointed a</w:t>
      </w:r>
      <w:r w:rsidR="00744172">
        <w:rPr>
          <w:rFonts w:cs="Arial"/>
          <w:sz w:val="22"/>
          <w:szCs w:val="22"/>
        </w:rPr>
        <w:t xml:space="preserve"> seismic management company </w:t>
      </w:r>
      <w:r w:rsidR="006D7AD7" w:rsidRPr="00242793">
        <w:rPr>
          <w:rFonts w:cs="Arial"/>
          <w:sz w:val="22"/>
          <w:szCs w:val="22"/>
        </w:rPr>
        <w:t xml:space="preserve">to ensure that tenders for a seismic survey contractor meet all legislative requirements, the requirements of this EP and that the contractor has a robust EMS in place. </w:t>
      </w:r>
    </w:p>
    <w:p w14:paraId="04A2373F" w14:textId="4271479E" w:rsidR="006E3F8B" w:rsidRPr="00B03966" w:rsidRDefault="006E3F8B" w:rsidP="00B03966">
      <w:pPr>
        <w:pStyle w:val="Heading2"/>
        <w:keepLines/>
        <w:numPr>
          <w:ilvl w:val="1"/>
          <w:numId w:val="1"/>
        </w:numPr>
        <w:tabs>
          <w:tab w:val="clear" w:pos="720"/>
        </w:tabs>
        <w:spacing w:before="400" w:after="200" w:line="240" w:lineRule="auto"/>
        <w:ind w:left="709" w:hanging="709"/>
        <w:rPr>
          <w:rFonts w:cs="Times New Roman"/>
          <w:iCs w:val="0"/>
          <w:color w:val="064EA8"/>
          <w:szCs w:val="26"/>
          <w:lang w:eastAsia="en-US"/>
        </w:rPr>
      </w:pPr>
      <w:bookmarkStart w:id="1284" w:name="_Toc501231486"/>
      <w:bookmarkStart w:id="1285" w:name="_Toc501313250"/>
      <w:bookmarkStart w:id="1286" w:name="_Toc501231487"/>
      <w:bookmarkStart w:id="1287" w:name="_Toc501313251"/>
      <w:bookmarkStart w:id="1288" w:name="_Toc375214680"/>
      <w:bookmarkEnd w:id="1284"/>
      <w:bookmarkEnd w:id="1285"/>
      <w:bookmarkEnd w:id="1286"/>
      <w:bookmarkEnd w:id="1287"/>
      <w:r w:rsidRPr="00B03966">
        <w:rPr>
          <w:rFonts w:cs="Times New Roman"/>
          <w:iCs w:val="0"/>
          <w:color w:val="064EA8"/>
          <w:szCs w:val="26"/>
          <w:lang w:eastAsia="en-US"/>
        </w:rPr>
        <w:lastRenderedPageBreak/>
        <w:t>Roles and Responsibilities</w:t>
      </w:r>
      <w:bookmarkEnd w:id="1288"/>
    </w:p>
    <w:p w14:paraId="4CE7F81A" w14:textId="3669E9CD" w:rsidR="004A3E19" w:rsidRPr="00667CD0" w:rsidRDefault="00753C53" w:rsidP="00FF7E3A">
      <w:pPr>
        <w:ind w:left="0"/>
        <w:rPr>
          <w:rFonts w:ascii="Tahoma" w:hAnsi="Tahoma" w:cs="Tahoma"/>
          <w:szCs w:val="20"/>
        </w:rPr>
      </w:pPr>
      <w:r w:rsidRPr="00242793">
        <w:rPr>
          <w:rFonts w:cs="Arial"/>
          <w:sz w:val="22"/>
          <w:szCs w:val="22"/>
        </w:rPr>
        <w:t xml:space="preserve">The organisation structure for the survey consists of onshore and offshore </w:t>
      </w:r>
      <w:r w:rsidR="00091F7A" w:rsidRPr="00242793">
        <w:rPr>
          <w:rFonts w:cs="Arial"/>
          <w:sz w:val="22"/>
          <w:szCs w:val="22"/>
        </w:rPr>
        <w:t>CarbonNet personnel</w:t>
      </w:r>
      <w:r w:rsidRPr="00242793">
        <w:rPr>
          <w:rFonts w:cs="Arial"/>
          <w:sz w:val="22"/>
          <w:szCs w:val="22"/>
        </w:rPr>
        <w:t xml:space="preserve"> and </w:t>
      </w:r>
      <w:r w:rsidR="00091F7A" w:rsidRPr="00242793">
        <w:rPr>
          <w:rFonts w:cs="Arial"/>
          <w:sz w:val="22"/>
          <w:szCs w:val="22"/>
        </w:rPr>
        <w:t xml:space="preserve">seismic </w:t>
      </w:r>
      <w:r w:rsidRPr="00242793">
        <w:rPr>
          <w:rFonts w:cs="Arial"/>
          <w:sz w:val="22"/>
          <w:szCs w:val="22"/>
        </w:rPr>
        <w:t xml:space="preserve">survey contractor </w:t>
      </w:r>
      <w:r w:rsidR="00091F7A" w:rsidRPr="00242793">
        <w:rPr>
          <w:rFonts w:cs="Arial"/>
          <w:sz w:val="22"/>
          <w:szCs w:val="22"/>
        </w:rPr>
        <w:t>personnel</w:t>
      </w:r>
      <w:r w:rsidRPr="00242793">
        <w:rPr>
          <w:rFonts w:cs="Arial"/>
          <w:sz w:val="22"/>
          <w:szCs w:val="22"/>
        </w:rPr>
        <w:t xml:space="preserve">. Day-to-day implementation of the </w:t>
      </w:r>
      <w:r w:rsidR="00737B6B" w:rsidRPr="00242793">
        <w:rPr>
          <w:rFonts w:cs="Arial"/>
          <w:sz w:val="22"/>
          <w:szCs w:val="22"/>
        </w:rPr>
        <w:t>EP</w:t>
      </w:r>
      <w:r w:rsidRPr="00242793">
        <w:rPr>
          <w:rFonts w:cs="Arial"/>
          <w:sz w:val="22"/>
          <w:szCs w:val="22"/>
        </w:rPr>
        <w:t xml:space="preserve"> will occur on the </w:t>
      </w:r>
      <w:r w:rsidR="00737B6B" w:rsidRPr="00242793">
        <w:rPr>
          <w:rFonts w:cs="Arial"/>
          <w:sz w:val="22"/>
          <w:szCs w:val="22"/>
        </w:rPr>
        <w:t>source</w:t>
      </w:r>
      <w:r w:rsidRPr="00242793">
        <w:rPr>
          <w:rFonts w:cs="Arial"/>
          <w:sz w:val="22"/>
          <w:szCs w:val="22"/>
        </w:rPr>
        <w:t xml:space="preserve"> vessel under the leadership of the Party Chief and the </w:t>
      </w:r>
      <w:r w:rsidR="00737B6B" w:rsidRPr="00242793">
        <w:rPr>
          <w:rFonts w:cs="Arial"/>
          <w:sz w:val="22"/>
          <w:szCs w:val="22"/>
        </w:rPr>
        <w:t>CarbonNet</w:t>
      </w:r>
      <w:r w:rsidRPr="00242793">
        <w:rPr>
          <w:rFonts w:cs="Arial"/>
          <w:sz w:val="22"/>
          <w:szCs w:val="22"/>
        </w:rPr>
        <w:t xml:space="preserve"> Site Representative. The </w:t>
      </w:r>
      <w:r w:rsidR="00737B6B" w:rsidRPr="00242793">
        <w:rPr>
          <w:rFonts w:cs="Arial"/>
          <w:sz w:val="22"/>
          <w:szCs w:val="22"/>
        </w:rPr>
        <w:t>CarbonNet Survey</w:t>
      </w:r>
      <w:r w:rsidRPr="00242793">
        <w:rPr>
          <w:rFonts w:cs="Arial"/>
          <w:sz w:val="22"/>
          <w:szCs w:val="22"/>
        </w:rPr>
        <w:t xml:space="preserve"> Project Manager will have oversight of the performance of the project against the EP and other project plans, and will initiate reviews and audits as required. </w:t>
      </w:r>
    </w:p>
    <w:p w14:paraId="7A25DFD3" w14:textId="710F98AF" w:rsidR="006E3F8B" w:rsidRPr="00B03966" w:rsidRDefault="006E3F8B" w:rsidP="00B03966">
      <w:pPr>
        <w:pStyle w:val="Heading2"/>
        <w:keepLines/>
        <w:numPr>
          <w:ilvl w:val="1"/>
          <w:numId w:val="1"/>
        </w:numPr>
        <w:tabs>
          <w:tab w:val="clear" w:pos="720"/>
        </w:tabs>
        <w:spacing w:before="400" w:after="200" w:line="240" w:lineRule="auto"/>
        <w:ind w:left="709" w:hanging="709"/>
        <w:rPr>
          <w:rFonts w:cs="Times New Roman"/>
          <w:iCs w:val="0"/>
          <w:color w:val="064EA8"/>
          <w:szCs w:val="26"/>
          <w:lang w:eastAsia="en-US"/>
        </w:rPr>
      </w:pPr>
      <w:bookmarkStart w:id="1289" w:name="_Toc375214681"/>
      <w:r w:rsidRPr="00B03966">
        <w:rPr>
          <w:rFonts w:cs="Times New Roman"/>
          <w:iCs w:val="0"/>
          <w:color w:val="064EA8"/>
          <w:szCs w:val="26"/>
          <w:lang w:eastAsia="en-US"/>
        </w:rPr>
        <w:t>Training and Awareness</w:t>
      </w:r>
      <w:bookmarkEnd w:id="1289"/>
    </w:p>
    <w:p w14:paraId="430AFE4B" w14:textId="54C7FA85" w:rsidR="008A1660" w:rsidRPr="006E649D" w:rsidRDefault="00752C6A" w:rsidP="00E77975">
      <w:pPr>
        <w:pStyle w:val="Heading3"/>
      </w:pPr>
      <w:bookmarkStart w:id="1290" w:name="_Toc479764176"/>
      <w:bookmarkStart w:id="1291" w:name="_Toc375214682"/>
      <w:r w:rsidRPr="006E649D">
        <w:t>Environmental Induction</w:t>
      </w:r>
      <w:bookmarkEnd w:id="1290"/>
      <w:bookmarkEnd w:id="1291"/>
    </w:p>
    <w:p w14:paraId="49E395B7" w14:textId="0FAC00E0" w:rsidR="008A1660" w:rsidRPr="006E649D" w:rsidRDefault="008A1660" w:rsidP="00CF50EF">
      <w:pPr>
        <w:spacing w:after="120" w:line="240" w:lineRule="auto"/>
        <w:ind w:left="0"/>
        <w:rPr>
          <w:rFonts w:cs="Arial"/>
          <w:sz w:val="22"/>
          <w:szCs w:val="22"/>
        </w:rPr>
      </w:pPr>
      <w:r w:rsidRPr="006E649D">
        <w:rPr>
          <w:rFonts w:cs="Arial"/>
          <w:sz w:val="22"/>
          <w:szCs w:val="22"/>
        </w:rPr>
        <w:t xml:space="preserve">A survey-specific HSE induction for </w:t>
      </w:r>
      <w:r w:rsidR="00DD0117">
        <w:rPr>
          <w:rFonts w:cs="Arial"/>
          <w:sz w:val="22"/>
          <w:szCs w:val="22"/>
        </w:rPr>
        <w:t>all personnel working on the survey and support vess</w:t>
      </w:r>
      <w:r w:rsidR="00E55FD8">
        <w:rPr>
          <w:rFonts w:cs="Arial"/>
          <w:sz w:val="22"/>
          <w:szCs w:val="22"/>
        </w:rPr>
        <w:t>e</w:t>
      </w:r>
      <w:r w:rsidR="00DD0117">
        <w:rPr>
          <w:rFonts w:cs="Arial"/>
          <w:sz w:val="22"/>
          <w:szCs w:val="22"/>
        </w:rPr>
        <w:t>ls</w:t>
      </w:r>
      <w:r w:rsidRPr="006E649D">
        <w:rPr>
          <w:rFonts w:cs="Arial"/>
          <w:sz w:val="22"/>
          <w:szCs w:val="22"/>
        </w:rPr>
        <w:t xml:space="preserve"> will be undertaken prior to the survey</w:t>
      </w:r>
      <w:r w:rsidR="0041057B" w:rsidRPr="006E649D">
        <w:rPr>
          <w:rFonts w:cs="Arial"/>
          <w:sz w:val="22"/>
          <w:szCs w:val="22"/>
        </w:rPr>
        <w:t xml:space="preserve"> commencing</w:t>
      </w:r>
      <w:r w:rsidRPr="006E649D">
        <w:rPr>
          <w:rFonts w:cs="Arial"/>
          <w:sz w:val="22"/>
          <w:szCs w:val="22"/>
        </w:rPr>
        <w:t xml:space="preserve">. The environmental component of the induction will include information </w:t>
      </w:r>
      <w:r w:rsidR="00E55FD8">
        <w:rPr>
          <w:rFonts w:cs="Arial"/>
          <w:sz w:val="22"/>
          <w:szCs w:val="22"/>
        </w:rPr>
        <w:t>regarding the environmental controls as outlined in the EP.</w:t>
      </w:r>
    </w:p>
    <w:p w14:paraId="08BD5A8C" w14:textId="114B2BCF" w:rsidR="008A1660" w:rsidRPr="006E649D" w:rsidRDefault="008A1660" w:rsidP="00CF50EF">
      <w:pPr>
        <w:ind w:left="0"/>
        <w:rPr>
          <w:rFonts w:cs="Arial"/>
          <w:sz w:val="22"/>
          <w:szCs w:val="22"/>
        </w:rPr>
      </w:pPr>
      <w:r w:rsidRPr="006E649D">
        <w:rPr>
          <w:rFonts w:cs="Arial"/>
          <w:sz w:val="22"/>
          <w:szCs w:val="22"/>
        </w:rPr>
        <w:t xml:space="preserve">The </w:t>
      </w:r>
      <w:r w:rsidR="005B0D20" w:rsidRPr="006E649D">
        <w:rPr>
          <w:rFonts w:cs="Arial"/>
          <w:sz w:val="22"/>
          <w:szCs w:val="22"/>
        </w:rPr>
        <w:t>CarbonNet Survey</w:t>
      </w:r>
      <w:r w:rsidRPr="006E649D">
        <w:rPr>
          <w:rFonts w:cs="Arial"/>
          <w:sz w:val="22"/>
          <w:szCs w:val="22"/>
        </w:rPr>
        <w:t xml:space="preserve"> </w:t>
      </w:r>
      <w:r w:rsidR="00C26135">
        <w:rPr>
          <w:rFonts w:cs="Arial"/>
          <w:sz w:val="22"/>
          <w:szCs w:val="22"/>
        </w:rPr>
        <w:t>Client Representative</w:t>
      </w:r>
      <w:r w:rsidRPr="006E649D">
        <w:rPr>
          <w:rFonts w:cs="Arial"/>
          <w:sz w:val="22"/>
          <w:szCs w:val="22"/>
        </w:rPr>
        <w:t xml:space="preserve"> is responsible for ensuring personnel receive this induction prior to the commencement of the survey. All personnel are required to sign an attendance sheet to confirm their participation in and understanding of the induction. </w:t>
      </w:r>
    </w:p>
    <w:p w14:paraId="0FEF5351" w14:textId="77777777" w:rsidR="00752C6A" w:rsidRPr="006E649D" w:rsidRDefault="00752C6A" w:rsidP="00CF50EF">
      <w:pPr>
        <w:ind w:left="0"/>
        <w:rPr>
          <w:rFonts w:cs="Arial"/>
          <w:sz w:val="22"/>
          <w:szCs w:val="22"/>
        </w:rPr>
      </w:pPr>
    </w:p>
    <w:p w14:paraId="3E070CD4" w14:textId="65AF2198" w:rsidR="00752C6A" w:rsidRPr="006E649D" w:rsidRDefault="00752C6A" w:rsidP="00CF50EF">
      <w:pPr>
        <w:ind w:left="0"/>
        <w:rPr>
          <w:rFonts w:cs="Arial"/>
          <w:sz w:val="22"/>
          <w:szCs w:val="22"/>
        </w:rPr>
      </w:pPr>
      <w:r w:rsidRPr="006E649D">
        <w:rPr>
          <w:rFonts w:cs="Arial"/>
          <w:sz w:val="22"/>
          <w:szCs w:val="22"/>
        </w:rPr>
        <w:t xml:space="preserve">The seismic contractor will </w:t>
      </w:r>
      <w:r w:rsidR="00EF117D" w:rsidRPr="006E649D">
        <w:rPr>
          <w:rFonts w:cs="Arial"/>
          <w:sz w:val="22"/>
          <w:szCs w:val="22"/>
        </w:rPr>
        <w:t>conduct</w:t>
      </w:r>
      <w:r w:rsidRPr="006E649D">
        <w:rPr>
          <w:rFonts w:cs="Arial"/>
          <w:sz w:val="22"/>
          <w:szCs w:val="22"/>
        </w:rPr>
        <w:t xml:space="preserve"> their own company and vessel-specific inductions independently of the project-specific HSE induction. </w:t>
      </w:r>
    </w:p>
    <w:p w14:paraId="1494D575" w14:textId="2F670BB1" w:rsidR="00752C6A" w:rsidRPr="006E649D" w:rsidRDefault="00752C6A" w:rsidP="00F56B9C">
      <w:pPr>
        <w:pStyle w:val="Heading3"/>
      </w:pPr>
      <w:bookmarkStart w:id="1292" w:name="_Toc479764177"/>
      <w:bookmarkStart w:id="1293" w:name="_Toc375214683"/>
      <w:r w:rsidRPr="006E649D">
        <w:t>Oil Spill Response Training</w:t>
      </w:r>
      <w:bookmarkEnd w:id="1292"/>
      <w:bookmarkEnd w:id="1293"/>
    </w:p>
    <w:p w14:paraId="3822AF09" w14:textId="0F58183E" w:rsidR="00CF50EF" w:rsidRPr="006E649D" w:rsidRDefault="0084748F" w:rsidP="00CF50EF">
      <w:pPr>
        <w:ind w:left="0"/>
        <w:rPr>
          <w:rFonts w:cs="Arial"/>
          <w:sz w:val="22"/>
          <w:szCs w:val="22"/>
        </w:rPr>
      </w:pPr>
      <w:r w:rsidRPr="006E649D">
        <w:rPr>
          <w:rFonts w:cs="Arial"/>
          <w:sz w:val="22"/>
          <w:szCs w:val="22"/>
        </w:rPr>
        <w:t>Q</w:t>
      </w:r>
      <w:r w:rsidR="00384F6C" w:rsidRPr="006E649D">
        <w:rPr>
          <w:rFonts w:cs="Arial"/>
          <w:sz w:val="22"/>
          <w:szCs w:val="22"/>
        </w:rPr>
        <w:t>uarterly training of vessel crew</w:t>
      </w:r>
      <w:r w:rsidR="00A25C7F" w:rsidRPr="006E649D">
        <w:rPr>
          <w:rFonts w:cs="Arial"/>
          <w:sz w:val="22"/>
          <w:szCs w:val="22"/>
        </w:rPr>
        <w:t>s</w:t>
      </w:r>
      <w:r w:rsidR="00384F6C" w:rsidRPr="006E649D">
        <w:rPr>
          <w:rFonts w:cs="Arial"/>
          <w:sz w:val="22"/>
          <w:szCs w:val="22"/>
        </w:rPr>
        <w:t xml:space="preserve"> in S</w:t>
      </w:r>
      <w:r w:rsidR="00A25C7F" w:rsidRPr="006E649D">
        <w:rPr>
          <w:rFonts w:cs="Arial"/>
          <w:sz w:val="22"/>
          <w:szCs w:val="22"/>
        </w:rPr>
        <w:t>M</w:t>
      </w:r>
      <w:r w:rsidR="00384F6C" w:rsidRPr="006E649D">
        <w:rPr>
          <w:rFonts w:cs="Arial"/>
          <w:sz w:val="22"/>
          <w:szCs w:val="22"/>
        </w:rPr>
        <w:t xml:space="preserve">PEP procedures is a MARPOL requirement for vessels over 400 GRT (Annex 1, Regulation 37). </w:t>
      </w:r>
    </w:p>
    <w:p w14:paraId="4F51D9B0" w14:textId="77777777" w:rsidR="00EF117D" w:rsidRPr="006E649D" w:rsidRDefault="00EF117D" w:rsidP="00CF50EF">
      <w:pPr>
        <w:ind w:left="0"/>
        <w:rPr>
          <w:rFonts w:cs="Arial"/>
          <w:sz w:val="22"/>
          <w:szCs w:val="22"/>
        </w:rPr>
      </w:pPr>
    </w:p>
    <w:p w14:paraId="44EA7A3D" w14:textId="7010234D" w:rsidR="00044FF2" w:rsidRPr="006E649D" w:rsidRDefault="00384F6C" w:rsidP="00CF50EF">
      <w:pPr>
        <w:ind w:left="0"/>
        <w:rPr>
          <w:rFonts w:cs="Arial"/>
          <w:sz w:val="22"/>
          <w:szCs w:val="22"/>
        </w:rPr>
      </w:pPr>
      <w:r w:rsidRPr="006E649D">
        <w:rPr>
          <w:rFonts w:cs="Arial"/>
          <w:sz w:val="22"/>
          <w:szCs w:val="22"/>
        </w:rPr>
        <w:t xml:space="preserve">During its contractor selection process, </w:t>
      </w:r>
      <w:r w:rsidR="00A25C7F" w:rsidRPr="006E649D">
        <w:rPr>
          <w:rFonts w:cs="Arial"/>
          <w:sz w:val="22"/>
          <w:szCs w:val="22"/>
        </w:rPr>
        <w:t>CarbonNet</w:t>
      </w:r>
      <w:r w:rsidR="00356FCB" w:rsidRPr="006E649D">
        <w:rPr>
          <w:rFonts w:cs="Arial"/>
          <w:sz w:val="22"/>
          <w:szCs w:val="22"/>
        </w:rPr>
        <w:t xml:space="preserve">’s </w:t>
      </w:r>
      <w:r w:rsidR="00C26135" w:rsidRPr="00C26135">
        <w:rPr>
          <w:rFonts w:cs="Arial"/>
          <w:sz w:val="22"/>
          <w:szCs w:val="22"/>
        </w:rPr>
        <w:t>seismic management company</w:t>
      </w:r>
      <w:r w:rsidRPr="006E649D">
        <w:rPr>
          <w:rFonts w:cs="Arial"/>
          <w:sz w:val="22"/>
          <w:szCs w:val="22"/>
        </w:rPr>
        <w:t xml:space="preserve"> will ensure that the chosen contractor has been implementing this requirement. </w:t>
      </w:r>
    </w:p>
    <w:p w14:paraId="48FA23D0" w14:textId="77777777" w:rsidR="00D47C86" w:rsidRDefault="00D47C86" w:rsidP="00CF50EF">
      <w:pPr>
        <w:ind w:left="0"/>
        <w:rPr>
          <w:rFonts w:cs="Arial"/>
          <w:sz w:val="22"/>
          <w:szCs w:val="22"/>
        </w:rPr>
      </w:pPr>
    </w:p>
    <w:p w14:paraId="726041C3" w14:textId="4D1714D4" w:rsidR="00044FF2" w:rsidRPr="006E649D" w:rsidRDefault="00044FF2" w:rsidP="00CF50EF">
      <w:pPr>
        <w:ind w:left="0"/>
        <w:rPr>
          <w:rFonts w:cs="Arial"/>
          <w:sz w:val="22"/>
          <w:szCs w:val="22"/>
        </w:rPr>
      </w:pPr>
      <w:r w:rsidRPr="006E649D">
        <w:rPr>
          <w:rFonts w:cs="Arial"/>
          <w:sz w:val="22"/>
          <w:szCs w:val="22"/>
        </w:rPr>
        <w:t xml:space="preserve">An office-based desktop </w:t>
      </w:r>
      <w:r w:rsidR="00D47C86">
        <w:rPr>
          <w:rFonts w:cs="Arial"/>
          <w:sz w:val="22"/>
          <w:szCs w:val="22"/>
        </w:rPr>
        <w:t xml:space="preserve">spill response </w:t>
      </w:r>
      <w:r w:rsidRPr="006E649D">
        <w:rPr>
          <w:rFonts w:cs="Arial"/>
          <w:sz w:val="22"/>
          <w:szCs w:val="22"/>
        </w:rPr>
        <w:t xml:space="preserve">exercise of </w:t>
      </w:r>
      <w:r w:rsidR="00D47C86">
        <w:rPr>
          <w:rFonts w:cs="Arial"/>
          <w:sz w:val="22"/>
          <w:szCs w:val="22"/>
        </w:rPr>
        <w:t xml:space="preserve">the project OPEP will be conducted </w:t>
      </w:r>
      <w:r w:rsidR="002D4982">
        <w:rPr>
          <w:rFonts w:cs="Arial"/>
          <w:sz w:val="22"/>
          <w:szCs w:val="22"/>
        </w:rPr>
        <w:t xml:space="preserve">by DEDJTR </w:t>
      </w:r>
      <w:r w:rsidRPr="006E649D">
        <w:rPr>
          <w:rFonts w:cs="Arial"/>
          <w:sz w:val="22"/>
          <w:szCs w:val="22"/>
        </w:rPr>
        <w:t xml:space="preserve">prior to the survey commencing. </w:t>
      </w:r>
    </w:p>
    <w:p w14:paraId="148CD6D3" w14:textId="30849531" w:rsidR="00752C6A" w:rsidRPr="006E649D" w:rsidRDefault="00384F6C" w:rsidP="00F56B9C">
      <w:pPr>
        <w:pStyle w:val="Heading3"/>
      </w:pPr>
      <w:bookmarkStart w:id="1294" w:name="_Toc375214684"/>
      <w:bookmarkStart w:id="1295" w:name="_Toc479764179"/>
      <w:r w:rsidRPr="006E649D">
        <w:t>Marine Mammal Observers</w:t>
      </w:r>
      <w:bookmarkEnd w:id="1294"/>
      <w:r w:rsidRPr="006E649D">
        <w:t xml:space="preserve"> </w:t>
      </w:r>
      <w:bookmarkEnd w:id="1295"/>
    </w:p>
    <w:p w14:paraId="14BB2D93" w14:textId="77777777" w:rsidR="00E55FD8" w:rsidRDefault="00384F6C" w:rsidP="00CF50EF">
      <w:pPr>
        <w:ind w:left="0"/>
        <w:rPr>
          <w:rFonts w:cs="Arial"/>
          <w:sz w:val="22"/>
          <w:szCs w:val="22"/>
        </w:rPr>
      </w:pPr>
      <w:r w:rsidRPr="006E649D">
        <w:rPr>
          <w:rFonts w:cs="Arial"/>
          <w:sz w:val="22"/>
          <w:szCs w:val="22"/>
        </w:rPr>
        <w:t xml:space="preserve">Only appropriately qualified and experienced MMOs will be hired by the </w:t>
      </w:r>
      <w:r w:rsidR="00412E5A" w:rsidRPr="006E649D">
        <w:rPr>
          <w:rFonts w:cs="Arial"/>
          <w:sz w:val="22"/>
          <w:szCs w:val="22"/>
        </w:rPr>
        <w:t xml:space="preserve">seismic </w:t>
      </w:r>
      <w:r w:rsidRPr="006E649D">
        <w:rPr>
          <w:rFonts w:cs="Arial"/>
          <w:sz w:val="22"/>
          <w:szCs w:val="22"/>
        </w:rPr>
        <w:t xml:space="preserve">survey contractor. </w:t>
      </w:r>
    </w:p>
    <w:p w14:paraId="2B57B0BA" w14:textId="77777777" w:rsidR="00E55FD8" w:rsidRDefault="00E55FD8" w:rsidP="00CF50EF">
      <w:pPr>
        <w:ind w:left="0"/>
        <w:rPr>
          <w:rFonts w:cs="Arial"/>
          <w:sz w:val="22"/>
          <w:szCs w:val="22"/>
        </w:rPr>
      </w:pPr>
    </w:p>
    <w:p w14:paraId="359496EF" w14:textId="6BD0263C" w:rsidR="00384F6C" w:rsidRPr="006E649D" w:rsidRDefault="00384F6C" w:rsidP="00CF50EF">
      <w:pPr>
        <w:ind w:left="0"/>
        <w:rPr>
          <w:rFonts w:cs="Arial"/>
          <w:sz w:val="22"/>
          <w:szCs w:val="22"/>
        </w:rPr>
      </w:pPr>
      <w:r w:rsidRPr="006E649D">
        <w:rPr>
          <w:rFonts w:cs="Arial"/>
          <w:sz w:val="22"/>
          <w:szCs w:val="22"/>
        </w:rPr>
        <w:t>The MMOs will provide an information session to control room operators and other essential personnel at the start of the survey regarding their fauna observation duties and the communication protocols required with the control room operators to ensure shut downs and power downs occur efficiently</w:t>
      </w:r>
      <w:r w:rsidR="00412E5A" w:rsidRPr="006E649D">
        <w:rPr>
          <w:rFonts w:cs="Arial"/>
          <w:sz w:val="22"/>
          <w:szCs w:val="22"/>
        </w:rPr>
        <w:t>.</w:t>
      </w:r>
    </w:p>
    <w:p w14:paraId="66BA588D" w14:textId="0A51138C" w:rsidR="00C23000" w:rsidRPr="006E649D" w:rsidRDefault="00C23000" w:rsidP="00C23000">
      <w:pPr>
        <w:pStyle w:val="Heading3"/>
      </w:pPr>
      <w:bookmarkStart w:id="1296" w:name="_Toc479764180"/>
      <w:bookmarkStart w:id="1297" w:name="_Toc375214685"/>
      <w:r w:rsidRPr="006E649D">
        <w:t>Toolbox Talks and HSE Meetings</w:t>
      </w:r>
      <w:bookmarkEnd w:id="1296"/>
      <w:bookmarkEnd w:id="1297"/>
    </w:p>
    <w:p w14:paraId="56DE3B9A" w14:textId="77777777" w:rsidR="00C23000" w:rsidRPr="00D81052" w:rsidRDefault="00C23000" w:rsidP="00C23000">
      <w:pPr>
        <w:ind w:left="0"/>
        <w:rPr>
          <w:rFonts w:cs="Arial"/>
          <w:sz w:val="22"/>
          <w:szCs w:val="22"/>
        </w:rPr>
      </w:pPr>
      <w:r w:rsidRPr="00D81052">
        <w:rPr>
          <w:rFonts w:cs="Arial"/>
          <w:sz w:val="22"/>
          <w:szCs w:val="22"/>
        </w:rPr>
        <w:t xml:space="preserve">Environmental matters will be included in daily toolbox talks as required by the specific task being risk assessed (e.g., waste management). </w:t>
      </w:r>
    </w:p>
    <w:p w14:paraId="1AC4366A" w14:textId="77777777" w:rsidR="00C23000" w:rsidRPr="00D81052" w:rsidRDefault="00C23000" w:rsidP="00C23000">
      <w:pPr>
        <w:ind w:left="0"/>
        <w:rPr>
          <w:rFonts w:cs="Arial"/>
          <w:sz w:val="22"/>
          <w:szCs w:val="22"/>
        </w:rPr>
      </w:pPr>
    </w:p>
    <w:p w14:paraId="3D639598" w14:textId="6CAFF095" w:rsidR="00C23000" w:rsidRPr="00D81052" w:rsidRDefault="00C23000" w:rsidP="00C23000">
      <w:pPr>
        <w:ind w:left="0"/>
        <w:rPr>
          <w:rFonts w:cs="Arial"/>
          <w:sz w:val="22"/>
          <w:szCs w:val="22"/>
        </w:rPr>
      </w:pPr>
      <w:r w:rsidRPr="00D81052">
        <w:rPr>
          <w:rFonts w:cs="Arial"/>
          <w:sz w:val="22"/>
          <w:szCs w:val="22"/>
        </w:rPr>
        <w:t xml:space="preserve">Environmental issues will also be addressed in </w:t>
      </w:r>
      <w:r w:rsidR="002619AB">
        <w:rPr>
          <w:rFonts w:cs="Arial"/>
          <w:sz w:val="22"/>
          <w:szCs w:val="22"/>
        </w:rPr>
        <w:t xml:space="preserve">daily operations meetings and weekly </w:t>
      </w:r>
      <w:r w:rsidRPr="00D81052">
        <w:rPr>
          <w:rFonts w:cs="Arial"/>
          <w:sz w:val="22"/>
          <w:szCs w:val="22"/>
        </w:rPr>
        <w:t xml:space="preserve">HSE </w:t>
      </w:r>
      <w:r w:rsidR="002619AB">
        <w:rPr>
          <w:rFonts w:cs="Arial"/>
          <w:sz w:val="22"/>
          <w:szCs w:val="22"/>
        </w:rPr>
        <w:t>m</w:t>
      </w:r>
      <w:r w:rsidR="00E55FD8">
        <w:rPr>
          <w:rFonts w:cs="Arial"/>
          <w:sz w:val="22"/>
          <w:szCs w:val="22"/>
        </w:rPr>
        <w:t>eetings.</w:t>
      </w:r>
    </w:p>
    <w:p w14:paraId="6E3B6C03" w14:textId="4557E16C" w:rsidR="00EF117D" w:rsidRPr="006E649D" w:rsidRDefault="00EF117D" w:rsidP="00EF117D">
      <w:pPr>
        <w:pStyle w:val="Heading3"/>
      </w:pPr>
      <w:bookmarkStart w:id="1298" w:name="_Toc479764181"/>
      <w:bookmarkStart w:id="1299" w:name="_Toc375214686"/>
      <w:r w:rsidRPr="006E649D">
        <w:lastRenderedPageBreak/>
        <w:t>Communications</w:t>
      </w:r>
      <w:bookmarkEnd w:id="1298"/>
      <w:bookmarkEnd w:id="1299"/>
    </w:p>
    <w:p w14:paraId="5C0F177F" w14:textId="77777777" w:rsidR="00EF117D" w:rsidRPr="00D81052" w:rsidRDefault="00EF117D" w:rsidP="00EF117D">
      <w:pPr>
        <w:ind w:left="0"/>
        <w:rPr>
          <w:rFonts w:cs="Arial"/>
          <w:sz w:val="22"/>
          <w:szCs w:val="22"/>
        </w:rPr>
      </w:pPr>
      <w:r w:rsidRPr="00D81052">
        <w:rPr>
          <w:rFonts w:cs="Arial"/>
          <w:sz w:val="22"/>
          <w:szCs w:val="22"/>
        </w:rPr>
        <w:t>The Survey Vessel Master, Party Chief and CarbonNet Client Representative are jointly responsible for keeping the marine and survey crews informed about HSE issues, acting as a focal point for personnel to raise issues and concerns, and consulting and involving all personnel in the following:</w:t>
      </w:r>
    </w:p>
    <w:p w14:paraId="0EF264FC" w14:textId="4A05581A" w:rsidR="00EF117D" w:rsidRPr="00D81052" w:rsidRDefault="00EF117D" w:rsidP="00EF117D">
      <w:pPr>
        <w:ind w:left="0"/>
        <w:rPr>
          <w:rFonts w:cs="Arial"/>
          <w:sz w:val="22"/>
          <w:szCs w:val="22"/>
        </w:rPr>
      </w:pPr>
      <w:r w:rsidRPr="00D81052">
        <w:rPr>
          <w:rFonts w:cs="Arial"/>
          <w:sz w:val="22"/>
          <w:szCs w:val="22"/>
        </w:rPr>
        <w:t xml:space="preserve"> </w:t>
      </w:r>
    </w:p>
    <w:p w14:paraId="0418D943" w14:textId="77777777" w:rsidR="00EF117D" w:rsidRPr="00D81052" w:rsidRDefault="00EF117D" w:rsidP="00EF117D">
      <w:pPr>
        <w:pStyle w:val="ListParagraph0"/>
        <w:numPr>
          <w:ilvl w:val="0"/>
          <w:numId w:val="335"/>
        </w:numPr>
        <w:rPr>
          <w:rFonts w:cs="Arial"/>
          <w:sz w:val="22"/>
          <w:szCs w:val="22"/>
        </w:rPr>
      </w:pPr>
      <w:r w:rsidRPr="00D81052">
        <w:rPr>
          <w:rFonts w:cs="Arial"/>
          <w:sz w:val="22"/>
          <w:szCs w:val="22"/>
        </w:rPr>
        <w:t xml:space="preserve">Issues associated with the implementation of the EP; </w:t>
      </w:r>
    </w:p>
    <w:p w14:paraId="48539E48" w14:textId="77777777" w:rsidR="00EF117D" w:rsidRPr="00D81052" w:rsidRDefault="00EF117D" w:rsidP="00EF117D">
      <w:pPr>
        <w:pStyle w:val="ListParagraph0"/>
        <w:numPr>
          <w:ilvl w:val="0"/>
          <w:numId w:val="335"/>
        </w:numPr>
        <w:rPr>
          <w:rFonts w:cs="Arial"/>
          <w:sz w:val="22"/>
          <w:szCs w:val="22"/>
        </w:rPr>
      </w:pPr>
      <w:r w:rsidRPr="00D81052">
        <w:rPr>
          <w:rFonts w:cs="Arial"/>
          <w:sz w:val="22"/>
          <w:szCs w:val="22"/>
        </w:rPr>
        <w:t>Any proposed changes to equipment, systems, or methods of operation of equipment, where these may have HSE implications; and</w:t>
      </w:r>
    </w:p>
    <w:p w14:paraId="4AEBF9CF" w14:textId="77777777" w:rsidR="00EF117D" w:rsidRPr="00D81052" w:rsidRDefault="00EF117D" w:rsidP="00EF117D">
      <w:pPr>
        <w:pStyle w:val="ListParagraph0"/>
        <w:numPr>
          <w:ilvl w:val="0"/>
          <w:numId w:val="335"/>
        </w:numPr>
        <w:rPr>
          <w:rFonts w:cs="Arial"/>
          <w:sz w:val="22"/>
          <w:szCs w:val="22"/>
        </w:rPr>
      </w:pPr>
      <w:r w:rsidRPr="00D81052">
        <w:rPr>
          <w:rFonts w:cs="Arial"/>
          <w:sz w:val="22"/>
          <w:szCs w:val="22"/>
        </w:rPr>
        <w:t xml:space="preserve">Any proposals for the continuous improvement of environmental protection, including the setting of environmental objectives and training schemes. </w:t>
      </w:r>
    </w:p>
    <w:p w14:paraId="4A11B124" w14:textId="77777777" w:rsidR="00EF117D" w:rsidRPr="00D81052" w:rsidRDefault="00EF117D" w:rsidP="00EF117D">
      <w:pPr>
        <w:ind w:left="0"/>
        <w:rPr>
          <w:rFonts w:cs="Arial"/>
          <w:sz w:val="22"/>
          <w:szCs w:val="22"/>
        </w:rPr>
      </w:pPr>
    </w:p>
    <w:p w14:paraId="59DB693E" w14:textId="088EF249" w:rsidR="00EF117D" w:rsidRPr="00D81052" w:rsidRDefault="00E55FD8" w:rsidP="00EF117D">
      <w:pPr>
        <w:ind w:left="0"/>
        <w:rPr>
          <w:rFonts w:cs="Arial"/>
          <w:sz w:val="22"/>
          <w:szCs w:val="22"/>
        </w:rPr>
      </w:pPr>
      <w:r>
        <w:rPr>
          <w:rFonts w:cs="Arial"/>
          <w:sz w:val="22"/>
          <w:szCs w:val="22"/>
        </w:rPr>
        <w:t>Meetings include daily CarbonNet management meetings, daily operations meetings, daily pre-start safety meetings, toolbox meetings before each task and weekly HSE meetings</w:t>
      </w:r>
      <w:r w:rsidR="00EF117D" w:rsidRPr="00D81052">
        <w:rPr>
          <w:rFonts w:cs="Arial"/>
          <w:sz w:val="22"/>
          <w:szCs w:val="22"/>
        </w:rPr>
        <w:t>.</w:t>
      </w:r>
    </w:p>
    <w:p w14:paraId="7C1C7D0C" w14:textId="77777777" w:rsidR="00607989" w:rsidRPr="00B03966" w:rsidRDefault="00607989" w:rsidP="00B03966">
      <w:pPr>
        <w:pStyle w:val="Heading2"/>
        <w:keepLines/>
        <w:numPr>
          <w:ilvl w:val="1"/>
          <w:numId w:val="1"/>
        </w:numPr>
        <w:tabs>
          <w:tab w:val="clear" w:pos="720"/>
        </w:tabs>
        <w:spacing w:before="400" w:after="200" w:line="240" w:lineRule="auto"/>
        <w:ind w:left="709" w:hanging="709"/>
        <w:rPr>
          <w:rFonts w:cs="Times New Roman"/>
          <w:iCs w:val="0"/>
          <w:color w:val="064EA8"/>
          <w:szCs w:val="26"/>
          <w:lang w:eastAsia="en-US"/>
        </w:rPr>
      </w:pPr>
      <w:bookmarkStart w:id="1300" w:name="_Toc375214687"/>
      <w:r w:rsidRPr="00B03966">
        <w:rPr>
          <w:rFonts w:cs="Times New Roman"/>
          <w:iCs w:val="0"/>
          <w:color w:val="064EA8"/>
          <w:szCs w:val="26"/>
          <w:lang w:eastAsia="en-US"/>
        </w:rPr>
        <w:t>Environmental Emergencies and Preparedness</w:t>
      </w:r>
      <w:bookmarkEnd w:id="1300"/>
    </w:p>
    <w:p w14:paraId="0834A229" w14:textId="0582A65E" w:rsidR="00AE0A61" w:rsidRPr="00D81052" w:rsidRDefault="00AE0A61" w:rsidP="00FA652A">
      <w:pPr>
        <w:ind w:left="0"/>
        <w:rPr>
          <w:rFonts w:cs="Arial"/>
          <w:sz w:val="22"/>
          <w:szCs w:val="22"/>
        </w:rPr>
      </w:pPr>
      <w:r w:rsidRPr="00D81052">
        <w:rPr>
          <w:rFonts w:cs="Arial"/>
          <w:sz w:val="22"/>
          <w:szCs w:val="22"/>
        </w:rPr>
        <w:t xml:space="preserve">In the event of an emergency of any type, the Vessel Master will assume overall onsite command and act as the Emergency Response Coordinator (ERC). All persons aboard the vessel/s will be required to act under the ERC’s directions. The </w:t>
      </w:r>
      <w:r w:rsidR="000850CE" w:rsidRPr="00D81052">
        <w:rPr>
          <w:rFonts w:cs="Arial"/>
          <w:sz w:val="22"/>
          <w:szCs w:val="22"/>
        </w:rPr>
        <w:t>CarbonNet</w:t>
      </w:r>
      <w:r w:rsidRPr="00D81052">
        <w:rPr>
          <w:rFonts w:cs="Arial"/>
          <w:sz w:val="22"/>
          <w:szCs w:val="22"/>
        </w:rPr>
        <w:t xml:space="preserve"> </w:t>
      </w:r>
      <w:r w:rsidR="00DC152A">
        <w:rPr>
          <w:rFonts w:cs="Arial"/>
          <w:sz w:val="22"/>
          <w:szCs w:val="22"/>
        </w:rPr>
        <w:t>Client</w:t>
      </w:r>
      <w:r w:rsidRPr="00D81052">
        <w:rPr>
          <w:rFonts w:cs="Arial"/>
          <w:sz w:val="22"/>
          <w:szCs w:val="22"/>
        </w:rPr>
        <w:t xml:space="preserve"> Representative will maintain communications with </w:t>
      </w:r>
      <w:r w:rsidR="000850CE" w:rsidRPr="00D81052">
        <w:rPr>
          <w:rFonts w:cs="Arial"/>
          <w:sz w:val="22"/>
          <w:szCs w:val="22"/>
        </w:rPr>
        <w:t>DEDJTR</w:t>
      </w:r>
      <w:r w:rsidRPr="00D81052">
        <w:rPr>
          <w:rFonts w:cs="Arial"/>
          <w:sz w:val="22"/>
          <w:szCs w:val="22"/>
        </w:rPr>
        <w:t xml:space="preserve"> in the event of an emergency. Emergency response support will be provided by </w:t>
      </w:r>
      <w:r w:rsidR="000850CE" w:rsidRPr="00D81052">
        <w:rPr>
          <w:rFonts w:cs="Arial"/>
          <w:sz w:val="22"/>
          <w:szCs w:val="22"/>
        </w:rPr>
        <w:t>DEDJTR</w:t>
      </w:r>
      <w:r w:rsidRPr="00D81052">
        <w:rPr>
          <w:rFonts w:cs="Arial"/>
          <w:sz w:val="22"/>
          <w:szCs w:val="22"/>
        </w:rPr>
        <w:t xml:space="preserve"> as required by the situation.</w:t>
      </w:r>
    </w:p>
    <w:p w14:paraId="499E59AD" w14:textId="77777777" w:rsidR="000850CE" w:rsidRPr="00D81052" w:rsidRDefault="000850CE" w:rsidP="00FA652A">
      <w:pPr>
        <w:ind w:left="0"/>
        <w:rPr>
          <w:rFonts w:cs="Arial"/>
          <w:sz w:val="22"/>
          <w:szCs w:val="22"/>
        </w:rPr>
      </w:pPr>
    </w:p>
    <w:p w14:paraId="1A018BA5" w14:textId="7DC1B167" w:rsidR="00AE0A61" w:rsidRPr="00D81052" w:rsidRDefault="00AE0A61" w:rsidP="00FA652A">
      <w:pPr>
        <w:ind w:left="0"/>
        <w:rPr>
          <w:rFonts w:cs="Arial"/>
          <w:sz w:val="22"/>
          <w:szCs w:val="22"/>
        </w:rPr>
      </w:pPr>
      <w:r w:rsidRPr="00D81052">
        <w:rPr>
          <w:rFonts w:cs="Arial"/>
          <w:sz w:val="22"/>
          <w:szCs w:val="22"/>
        </w:rPr>
        <w:t xml:space="preserve">The </w:t>
      </w:r>
      <w:r w:rsidR="000850CE" w:rsidRPr="00D81052">
        <w:rPr>
          <w:rFonts w:cs="Arial"/>
          <w:sz w:val="22"/>
          <w:szCs w:val="22"/>
        </w:rPr>
        <w:t>source</w:t>
      </w:r>
      <w:r w:rsidRPr="00D81052">
        <w:rPr>
          <w:rFonts w:cs="Arial"/>
          <w:sz w:val="22"/>
          <w:szCs w:val="22"/>
        </w:rPr>
        <w:t xml:space="preserve"> and support vessels will have equipment aboard for responding to emergencies, including but not limited to lifesaving appliances, medical equipment, fire fighting equipment and oil spill response equipment.</w:t>
      </w:r>
    </w:p>
    <w:p w14:paraId="4856F5DC" w14:textId="0EF6F0D4" w:rsidR="00AE0A61" w:rsidRPr="00FA652A" w:rsidRDefault="00AE0A61" w:rsidP="000850CE">
      <w:pPr>
        <w:pStyle w:val="Heading3"/>
        <w:spacing w:after="120" w:line="240" w:lineRule="auto"/>
        <w:ind w:left="1225" w:hanging="505"/>
      </w:pPr>
      <w:bookmarkStart w:id="1301" w:name="_Toc479764183"/>
      <w:bookmarkStart w:id="1302" w:name="_Toc375214688"/>
      <w:r w:rsidRPr="00FA652A">
        <w:t>Adverse Weather Protocols</w:t>
      </w:r>
      <w:bookmarkEnd w:id="1301"/>
      <w:bookmarkEnd w:id="1302"/>
    </w:p>
    <w:p w14:paraId="68C3305D" w14:textId="77777777" w:rsidR="00AE0A61" w:rsidRPr="00D81052" w:rsidRDefault="00AE0A61" w:rsidP="000850CE">
      <w:pPr>
        <w:ind w:left="0"/>
        <w:rPr>
          <w:rFonts w:cs="Arial"/>
          <w:sz w:val="22"/>
          <w:szCs w:val="22"/>
        </w:rPr>
      </w:pPr>
      <w:r w:rsidRPr="00D81052">
        <w:rPr>
          <w:rFonts w:cs="Arial"/>
          <w:sz w:val="22"/>
          <w:szCs w:val="22"/>
        </w:rPr>
        <w:t>It is the duty of the Vessel Master to act as the focal point for all actions and communications with regards to any emergency, including response to adverse weather or sea state, to safeguard his vessel, all personnel onboard and environment.</w:t>
      </w:r>
    </w:p>
    <w:p w14:paraId="7B7D163F" w14:textId="77777777" w:rsidR="000850CE" w:rsidRPr="00D81052" w:rsidRDefault="000850CE" w:rsidP="000850CE">
      <w:pPr>
        <w:ind w:left="0"/>
        <w:rPr>
          <w:rFonts w:cs="Arial"/>
          <w:sz w:val="22"/>
          <w:szCs w:val="22"/>
        </w:rPr>
      </w:pPr>
    </w:p>
    <w:p w14:paraId="3243C5CB" w14:textId="5EF93187" w:rsidR="00AE0A61" w:rsidRPr="00D81052" w:rsidRDefault="00AE0A61" w:rsidP="007E47D1">
      <w:pPr>
        <w:ind w:left="0"/>
        <w:rPr>
          <w:rFonts w:cs="Tahoma"/>
          <w:sz w:val="22"/>
          <w:szCs w:val="22"/>
        </w:rPr>
      </w:pPr>
      <w:r w:rsidRPr="00D81052">
        <w:rPr>
          <w:rFonts w:cs="Arial"/>
          <w:sz w:val="22"/>
          <w:szCs w:val="22"/>
        </w:rPr>
        <w:t xml:space="preserve">In addition to in-vessel VHF Marine Radio Weather Services, </w:t>
      </w:r>
      <w:r w:rsidR="00DC152A">
        <w:rPr>
          <w:rFonts w:cs="Arial"/>
          <w:sz w:val="22"/>
          <w:szCs w:val="22"/>
        </w:rPr>
        <w:t xml:space="preserve">the seismic survey contractor will obtain </w:t>
      </w:r>
      <w:r w:rsidRPr="00D81052">
        <w:rPr>
          <w:rFonts w:cs="Arial"/>
          <w:sz w:val="22"/>
          <w:szCs w:val="22"/>
        </w:rPr>
        <w:t xml:space="preserve">daily weather forecasting from </w:t>
      </w:r>
      <w:r w:rsidR="00DC152A">
        <w:rPr>
          <w:rFonts w:cs="Arial"/>
          <w:sz w:val="22"/>
          <w:szCs w:val="22"/>
        </w:rPr>
        <w:t>the B</w:t>
      </w:r>
      <w:r w:rsidR="00A20E82">
        <w:rPr>
          <w:rFonts w:cs="Arial"/>
          <w:sz w:val="22"/>
          <w:szCs w:val="22"/>
        </w:rPr>
        <w:t>u</w:t>
      </w:r>
      <w:r w:rsidR="00DC152A">
        <w:rPr>
          <w:rFonts w:cs="Arial"/>
          <w:sz w:val="22"/>
          <w:szCs w:val="22"/>
        </w:rPr>
        <w:t xml:space="preserve">reau of Meteorology </w:t>
      </w:r>
      <w:r w:rsidRPr="00DC152A">
        <w:rPr>
          <w:rFonts w:cs="Arial"/>
          <w:sz w:val="22"/>
          <w:szCs w:val="22"/>
        </w:rPr>
        <w:t>to monitor</w:t>
      </w:r>
      <w:r w:rsidRPr="00D81052">
        <w:rPr>
          <w:rFonts w:cs="Arial"/>
          <w:sz w:val="22"/>
          <w:szCs w:val="22"/>
        </w:rPr>
        <w:t xml:space="preserve"> weather within the operational area </w:t>
      </w:r>
      <w:r w:rsidR="007E47D1" w:rsidRPr="00D81052">
        <w:rPr>
          <w:rFonts w:cs="Arial"/>
          <w:sz w:val="22"/>
          <w:szCs w:val="22"/>
        </w:rPr>
        <w:t xml:space="preserve">in the lead up to and for </w:t>
      </w:r>
      <w:r w:rsidRPr="00D81052">
        <w:rPr>
          <w:rFonts w:cs="Arial"/>
          <w:sz w:val="22"/>
          <w:szCs w:val="22"/>
        </w:rPr>
        <w:t>the duration of the survey.</w:t>
      </w:r>
    </w:p>
    <w:p w14:paraId="6D07C68C" w14:textId="1376420C" w:rsidR="00AE0A61" w:rsidRPr="00FA652A" w:rsidRDefault="00AE0A61" w:rsidP="007E47D1">
      <w:pPr>
        <w:pStyle w:val="Heading3"/>
        <w:spacing w:after="120" w:line="240" w:lineRule="auto"/>
        <w:ind w:left="1225" w:hanging="505"/>
      </w:pPr>
      <w:bookmarkStart w:id="1303" w:name="_Toc479764184"/>
      <w:bookmarkStart w:id="1304" w:name="_Toc375214689"/>
      <w:r w:rsidRPr="00FA652A">
        <w:t>Vessel Emergencies and Oil Spills</w:t>
      </w:r>
      <w:bookmarkEnd w:id="1303"/>
      <w:bookmarkEnd w:id="1304"/>
    </w:p>
    <w:p w14:paraId="4B0431B9" w14:textId="77777777" w:rsidR="0096295E" w:rsidRDefault="0096295E" w:rsidP="0096295E">
      <w:pPr>
        <w:ind w:left="0"/>
        <w:rPr>
          <w:rFonts w:cs="Arial"/>
          <w:sz w:val="22"/>
          <w:szCs w:val="22"/>
        </w:rPr>
      </w:pPr>
      <w:r w:rsidRPr="00D81052">
        <w:rPr>
          <w:rFonts w:cs="Arial"/>
          <w:sz w:val="22"/>
          <w:szCs w:val="22"/>
        </w:rPr>
        <w:t xml:space="preserve">Survey-specific emergency response procedures for the proposed survey </w:t>
      </w:r>
      <w:r>
        <w:rPr>
          <w:rFonts w:cs="Arial"/>
          <w:sz w:val="22"/>
          <w:szCs w:val="22"/>
        </w:rPr>
        <w:t xml:space="preserve">will be </w:t>
      </w:r>
      <w:r w:rsidRPr="00D81052">
        <w:rPr>
          <w:rFonts w:cs="Arial"/>
          <w:sz w:val="22"/>
          <w:szCs w:val="22"/>
        </w:rPr>
        <w:t xml:space="preserve">included in the </w:t>
      </w:r>
      <w:r>
        <w:rPr>
          <w:rFonts w:cs="Arial"/>
          <w:sz w:val="22"/>
          <w:szCs w:val="22"/>
        </w:rPr>
        <w:t>seismic survey contractor’s ERP</w:t>
      </w:r>
      <w:r w:rsidRPr="00D81052">
        <w:rPr>
          <w:rFonts w:cs="Arial"/>
          <w:sz w:val="22"/>
          <w:szCs w:val="22"/>
        </w:rPr>
        <w:t xml:space="preserve">. The </w:t>
      </w:r>
      <w:r>
        <w:rPr>
          <w:rFonts w:cs="Arial"/>
          <w:sz w:val="22"/>
          <w:szCs w:val="22"/>
        </w:rPr>
        <w:t xml:space="preserve">ERP will </w:t>
      </w:r>
      <w:r w:rsidRPr="00D81052">
        <w:rPr>
          <w:rFonts w:cs="Arial"/>
          <w:sz w:val="22"/>
          <w:szCs w:val="22"/>
        </w:rPr>
        <w:t xml:space="preserve">contain instructions for vessel emergency, medical emergency, search and rescue, reportable incidents, incident notification and emergency contact information. </w:t>
      </w:r>
    </w:p>
    <w:p w14:paraId="7AF47001" w14:textId="77777777" w:rsidR="0096295E" w:rsidRDefault="0096295E" w:rsidP="0096295E">
      <w:pPr>
        <w:ind w:left="0"/>
        <w:rPr>
          <w:rFonts w:cs="Arial"/>
          <w:sz w:val="22"/>
          <w:szCs w:val="22"/>
        </w:rPr>
      </w:pPr>
    </w:p>
    <w:p w14:paraId="48D3938A" w14:textId="74890F5C" w:rsidR="00AE0A61" w:rsidRPr="00562D41" w:rsidRDefault="00AA5A22" w:rsidP="007E47D1">
      <w:pPr>
        <w:ind w:left="0"/>
        <w:rPr>
          <w:rFonts w:cs="Arial"/>
          <w:sz w:val="22"/>
          <w:szCs w:val="22"/>
        </w:rPr>
      </w:pPr>
      <w:r>
        <w:rPr>
          <w:rFonts w:cs="Arial"/>
          <w:sz w:val="22"/>
          <w:szCs w:val="22"/>
        </w:rPr>
        <w:t>V</w:t>
      </w:r>
      <w:r w:rsidR="00AE0A61" w:rsidRPr="00562D41">
        <w:rPr>
          <w:rFonts w:cs="Arial"/>
          <w:sz w:val="22"/>
          <w:szCs w:val="22"/>
        </w:rPr>
        <w:t>essel-specific S</w:t>
      </w:r>
      <w:r w:rsidR="007E47D1" w:rsidRPr="00562D41">
        <w:rPr>
          <w:rFonts w:cs="Arial"/>
          <w:sz w:val="22"/>
          <w:szCs w:val="22"/>
        </w:rPr>
        <w:t>M</w:t>
      </w:r>
      <w:r w:rsidR="00AE0A61" w:rsidRPr="00562D41">
        <w:rPr>
          <w:rFonts w:cs="Arial"/>
          <w:sz w:val="22"/>
          <w:szCs w:val="22"/>
        </w:rPr>
        <w:t>PEP and ERP</w:t>
      </w:r>
      <w:r>
        <w:rPr>
          <w:rFonts w:cs="Arial"/>
          <w:sz w:val="22"/>
          <w:szCs w:val="22"/>
        </w:rPr>
        <w:t xml:space="preserve">s typically </w:t>
      </w:r>
      <w:r w:rsidR="00AE0A61" w:rsidRPr="00562D41">
        <w:rPr>
          <w:rFonts w:cs="Arial"/>
          <w:sz w:val="22"/>
          <w:szCs w:val="22"/>
        </w:rPr>
        <w:t xml:space="preserve">include </w:t>
      </w:r>
      <w:r>
        <w:rPr>
          <w:rFonts w:cs="Arial"/>
          <w:sz w:val="22"/>
          <w:szCs w:val="22"/>
        </w:rPr>
        <w:t xml:space="preserve">vessel-specific </w:t>
      </w:r>
      <w:r w:rsidR="00AE0A61" w:rsidRPr="00562D41">
        <w:rPr>
          <w:rFonts w:cs="Arial"/>
          <w:sz w:val="22"/>
          <w:szCs w:val="22"/>
        </w:rPr>
        <w:t>procedures for the following:</w:t>
      </w:r>
    </w:p>
    <w:p w14:paraId="15DA5B01" w14:textId="77777777" w:rsidR="007E47D1" w:rsidRPr="00562D41" w:rsidRDefault="007E47D1" w:rsidP="007E47D1">
      <w:pPr>
        <w:ind w:left="0"/>
        <w:rPr>
          <w:rFonts w:cs="Arial"/>
          <w:sz w:val="22"/>
          <w:szCs w:val="22"/>
        </w:rPr>
      </w:pPr>
    </w:p>
    <w:p w14:paraId="77D000BA" w14:textId="77777777" w:rsidR="00AE0A61" w:rsidRPr="00562D41" w:rsidRDefault="00AE0A61" w:rsidP="007E47D1">
      <w:pPr>
        <w:pStyle w:val="ListParagraph0"/>
        <w:numPr>
          <w:ilvl w:val="0"/>
          <w:numId w:val="339"/>
        </w:numPr>
        <w:rPr>
          <w:rFonts w:cs="Arial"/>
          <w:sz w:val="22"/>
          <w:szCs w:val="22"/>
        </w:rPr>
      </w:pPr>
      <w:r w:rsidRPr="00562D41">
        <w:rPr>
          <w:rFonts w:cs="Arial"/>
          <w:sz w:val="22"/>
          <w:szCs w:val="22"/>
        </w:rPr>
        <w:t>Vessel incidents – collision, grounding, hull damage, man overboard, equipment failure;</w:t>
      </w:r>
    </w:p>
    <w:p w14:paraId="01B8D97C" w14:textId="77777777" w:rsidR="00AE0A61" w:rsidRPr="00562D41" w:rsidRDefault="00AE0A61" w:rsidP="007E47D1">
      <w:pPr>
        <w:pStyle w:val="ListParagraph0"/>
        <w:numPr>
          <w:ilvl w:val="0"/>
          <w:numId w:val="339"/>
        </w:numPr>
        <w:rPr>
          <w:rFonts w:cs="Arial"/>
          <w:sz w:val="22"/>
          <w:szCs w:val="22"/>
        </w:rPr>
      </w:pPr>
      <w:r w:rsidRPr="00562D41">
        <w:rPr>
          <w:rFonts w:cs="Arial"/>
          <w:sz w:val="22"/>
          <w:szCs w:val="22"/>
        </w:rPr>
        <w:lastRenderedPageBreak/>
        <w:t xml:space="preserve">Waste management; </w:t>
      </w:r>
    </w:p>
    <w:p w14:paraId="2B7C0B8B" w14:textId="77777777" w:rsidR="00AE0A61" w:rsidRPr="00562D41" w:rsidRDefault="00AE0A61" w:rsidP="007E47D1">
      <w:pPr>
        <w:pStyle w:val="ListParagraph0"/>
        <w:numPr>
          <w:ilvl w:val="0"/>
          <w:numId w:val="339"/>
        </w:numPr>
        <w:rPr>
          <w:rFonts w:cs="Arial"/>
          <w:sz w:val="22"/>
          <w:szCs w:val="22"/>
        </w:rPr>
      </w:pPr>
      <w:r w:rsidRPr="00562D41">
        <w:rPr>
          <w:rFonts w:cs="Arial"/>
          <w:sz w:val="22"/>
          <w:szCs w:val="22"/>
        </w:rPr>
        <w:t xml:space="preserve">Hazardous materials and handling; and </w:t>
      </w:r>
    </w:p>
    <w:p w14:paraId="50D38E64" w14:textId="77777777" w:rsidR="00AE0A61" w:rsidRPr="00562D41" w:rsidRDefault="00AE0A61" w:rsidP="007E47D1">
      <w:pPr>
        <w:pStyle w:val="ListParagraph0"/>
        <w:numPr>
          <w:ilvl w:val="0"/>
          <w:numId w:val="339"/>
        </w:numPr>
        <w:rPr>
          <w:rFonts w:cs="Arial"/>
          <w:sz w:val="22"/>
          <w:szCs w:val="22"/>
        </w:rPr>
      </w:pPr>
      <w:r w:rsidRPr="00562D41">
        <w:rPr>
          <w:rFonts w:cs="Arial"/>
          <w:sz w:val="22"/>
          <w:szCs w:val="22"/>
        </w:rPr>
        <w:t xml:space="preserve">Hydrocarbon and chemical spills. </w:t>
      </w:r>
    </w:p>
    <w:p w14:paraId="74E1E923" w14:textId="77777777" w:rsidR="007E47D1" w:rsidRPr="00562D41" w:rsidRDefault="007E47D1" w:rsidP="007E47D1">
      <w:pPr>
        <w:ind w:left="0"/>
        <w:rPr>
          <w:rFonts w:cs="Arial"/>
          <w:sz w:val="22"/>
          <w:szCs w:val="22"/>
        </w:rPr>
      </w:pPr>
    </w:p>
    <w:p w14:paraId="5F0A7A54" w14:textId="7090ECD0" w:rsidR="00AE0A61" w:rsidRPr="00562D41" w:rsidRDefault="00AE0A61" w:rsidP="007E47D1">
      <w:pPr>
        <w:ind w:left="0"/>
        <w:rPr>
          <w:rFonts w:cs="Arial"/>
          <w:sz w:val="22"/>
          <w:szCs w:val="22"/>
        </w:rPr>
      </w:pPr>
      <w:r w:rsidRPr="00562D41">
        <w:rPr>
          <w:rFonts w:cs="Arial"/>
          <w:sz w:val="22"/>
          <w:szCs w:val="22"/>
        </w:rPr>
        <w:t>The S</w:t>
      </w:r>
      <w:r w:rsidR="00013C99" w:rsidRPr="00562D41">
        <w:rPr>
          <w:rFonts w:cs="Arial"/>
          <w:sz w:val="22"/>
          <w:szCs w:val="22"/>
        </w:rPr>
        <w:t>M</w:t>
      </w:r>
      <w:r w:rsidRPr="00562D41">
        <w:rPr>
          <w:rFonts w:cs="Arial"/>
          <w:sz w:val="22"/>
          <w:szCs w:val="22"/>
        </w:rPr>
        <w:t>PEP includes information about initial response, reporting</w:t>
      </w:r>
      <w:r w:rsidR="00013C99" w:rsidRPr="00562D41">
        <w:rPr>
          <w:rFonts w:cs="Arial"/>
          <w:sz w:val="22"/>
          <w:szCs w:val="22"/>
        </w:rPr>
        <w:t xml:space="preserve"> </w:t>
      </w:r>
      <w:r w:rsidRPr="00562D41">
        <w:rPr>
          <w:rFonts w:cs="Arial"/>
          <w:sz w:val="22"/>
          <w:szCs w:val="22"/>
        </w:rPr>
        <w:t>requirements and arrangements for the involvement of third</w:t>
      </w:r>
      <w:r w:rsidR="00013C99" w:rsidRPr="00562D41">
        <w:rPr>
          <w:rFonts w:cs="Arial"/>
          <w:sz w:val="22"/>
          <w:szCs w:val="22"/>
        </w:rPr>
        <w:t>-</w:t>
      </w:r>
      <w:r w:rsidRPr="00562D41">
        <w:rPr>
          <w:rFonts w:cs="Arial"/>
          <w:sz w:val="22"/>
          <w:szCs w:val="22"/>
        </w:rPr>
        <w:t>parties having the appropriate skills and facilities necessary to respond effectively to oil spill issues. The S</w:t>
      </w:r>
      <w:r w:rsidR="00013C99" w:rsidRPr="00562D41">
        <w:rPr>
          <w:rFonts w:cs="Arial"/>
          <w:sz w:val="22"/>
          <w:szCs w:val="22"/>
        </w:rPr>
        <w:t>M</w:t>
      </w:r>
      <w:r w:rsidRPr="00562D41">
        <w:rPr>
          <w:rFonts w:cs="Arial"/>
          <w:sz w:val="22"/>
          <w:szCs w:val="22"/>
        </w:rPr>
        <w:t>PEP will be the principal working document for the vessel and crew in the event of a marine oil spill incident. This document will include specific emergency procedures including steps to control discharges for bunkering spills, hull damage, grounding and stranding, fire and explosion, collisions, vessel list, tank failure, sinking, and vapour releases. The S</w:t>
      </w:r>
      <w:r w:rsidR="00013C99" w:rsidRPr="00562D41">
        <w:rPr>
          <w:rFonts w:cs="Arial"/>
          <w:sz w:val="22"/>
          <w:szCs w:val="22"/>
        </w:rPr>
        <w:t>M</w:t>
      </w:r>
      <w:r w:rsidRPr="00562D41">
        <w:rPr>
          <w:rFonts w:cs="Arial"/>
          <w:sz w:val="22"/>
          <w:szCs w:val="22"/>
        </w:rPr>
        <w:t xml:space="preserve">PEP also includes requirements for regular drills of the plan and revision following drills or incidents. </w:t>
      </w:r>
    </w:p>
    <w:p w14:paraId="02D9CBD2" w14:textId="77777777" w:rsidR="00013C99" w:rsidRPr="00562D41" w:rsidRDefault="00013C99" w:rsidP="007E47D1">
      <w:pPr>
        <w:ind w:left="0"/>
        <w:rPr>
          <w:rFonts w:cs="Arial"/>
          <w:sz w:val="22"/>
          <w:szCs w:val="22"/>
        </w:rPr>
      </w:pPr>
    </w:p>
    <w:p w14:paraId="727D4FF9" w14:textId="135ECAF5" w:rsidR="00985090" w:rsidRDefault="00AA5A22" w:rsidP="007E47D1">
      <w:pPr>
        <w:ind w:left="0"/>
        <w:rPr>
          <w:rFonts w:cs="Arial"/>
          <w:sz w:val="22"/>
          <w:szCs w:val="22"/>
        </w:rPr>
      </w:pPr>
      <w:r>
        <w:rPr>
          <w:rFonts w:cs="Arial"/>
          <w:sz w:val="22"/>
          <w:szCs w:val="22"/>
        </w:rPr>
        <w:t>The OPEP developed by CarbonNet for this project will be implemented (and supplements the vessel-specific SMPEP) in the event of a Level 2 or Level 3 hydrocarbon spill that requires response resources beyond those immediately available to the survey vessel.</w:t>
      </w:r>
    </w:p>
    <w:p w14:paraId="7AF36AA2" w14:textId="77777777" w:rsidR="00985090" w:rsidRDefault="00985090" w:rsidP="007E47D1">
      <w:pPr>
        <w:ind w:left="0"/>
        <w:rPr>
          <w:rFonts w:cs="Arial"/>
          <w:sz w:val="22"/>
          <w:szCs w:val="22"/>
        </w:rPr>
      </w:pPr>
    </w:p>
    <w:p w14:paraId="3003C6DA" w14:textId="70AF1721" w:rsidR="00AE0A61" w:rsidRPr="00562D41" w:rsidRDefault="00AE0A61" w:rsidP="007E47D1">
      <w:pPr>
        <w:ind w:left="0"/>
        <w:rPr>
          <w:rFonts w:cs="Arial"/>
          <w:sz w:val="22"/>
          <w:szCs w:val="22"/>
        </w:rPr>
      </w:pPr>
      <w:r w:rsidRPr="00562D41">
        <w:rPr>
          <w:rFonts w:cs="Arial"/>
          <w:sz w:val="22"/>
          <w:szCs w:val="22"/>
        </w:rPr>
        <w:t>The Vessel Master will ensure that all crew on board are fully aware of the vessel</w:t>
      </w:r>
      <w:r w:rsidR="00013C99" w:rsidRPr="00562D41">
        <w:rPr>
          <w:rFonts w:cs="Arial"/>
          <w:sz w:val="22"/>
          <w:szCs w:val="22"/>
        </w:rPr>
        <w:t>-</w:t>
      </w:r>
      <w:r w:rsidRPr="00562D41">
        <w:rPr>
          <w:rFonts w:cs="Arial"/>
          <w:sz w:val="22"/>
          <w:szCs w:val="22"/>
        </w:rPr>
        <w:t>specific requirements and that exercises for vessel</w:t>
      </w:r>
      <w:r w:rsidR="00013C99" w:rsidRPr="00562D41">
        <w:rPr>
          <w:rFonts w:cs="Arial"/>
          <w:sz w:val="22"/>
          <w:szCs w:val="22"/>
        </w:rPr>
        <w:t>-</w:t>
      </w:r>
      <w:r w:rsidRPr="00562D41">
        <w:rPr>
          <w:rFonts w:cs="Arial"/>
          <w:sz w:val="22"/>
          <w:szCs w:val="22"/>
        </w:rPr>
        <w:t xml:space="preserve">related incidents are conducted. </w:t>
      </w:r>
    </w:p>
    <w:p w14:paraId="6857BCB4" w14:textId="775CCA43" w:rsidR="00607989" w:rsidRPr="00B03966" w:rsidRDefault="00246964" w:rsidP="00B03966">
      <w:pPr>
        <w:pStyle w:val="Heading2"/>
        <w:keepLines/>
        <w:numPr>
          <w:ilvl w:val="1"/>
          <w:numId w:val="1"/>
        </w:numPr>
        <w:tabs>
          <w:tab w:val="clear" w:pos="720"/>
        </w:tabs>
        <w:spacing w:before="400" w:after="200" w:line="240" w:lineRule="auto"/>
        <w:ind w:left="709" w:hanging="709"/>
        <w:rPr>
          <w:rFonts w:cs="Times New Roman"/>
          <w:iCs w:val="0"/>
          <w:color w:val="064EA8"/>
          <w:szCs w:val="26"/>
          <w:lang w:eastAsia="en-US"/>
        </w:rPr>
      </w:pPr>
      <w:bookmarkStart w:id="1305" w:name="_Toc375214690"/>
      <w:r w:rsidRPr="00B03966">
        <w:rPr>
          <w:rFonts w:cs="Times New Roman"/>
          <w:iCs w:val="0"/>
          <w:color w:val="064EA8"/>
          <w:szCs w:val="26"/>
          <w:lang w:eastAsia="en-US"/>
        </w:rPr>
        <w:t>Monitoring</w:t>
      </w:r>
      <w:bookmarkEnd w:id="1305"/>
    </w:p>
    <w:p w14:paraId="1181821F" w14:textId="34CB9E64" w:rsidR="00D20942" w:rsidRPr="00D81052" w:rsidRDefault="00E637F1" w:rsidP="00E637F1">
      <w:pPr>
        <w:ind w:left="0"/>
        <w:rPr>
          <w:rFonts w:cs="Arial"/>
          <w:sz w:val="22"/>
          <w:szCs w:val="22"/>
        </w:rPr>
      </w:pPr>
      <w:r w:rsidRPr="00D81052">
        <w:rPr>
          <w:rFonts w:cs="Arial"/>
          <w:sz w:val="22"/>
          <w:szCs w:val="22"/>
        </w:rPr>
        <w:t xml:space="preserve">This section describes the </w:t>
      </w:r>
      <w:r w:rsidR="002C5C1A" w:rsidRPr="00D81052">
        <w:rPr>
          <w:rFonts w:cs="Arial"/>
          <w:sz w:val="22"/>
          <w:szCs w:val="22"/>
        </w:rPr>
        <w:t xml:space="preserve">environmental </w:t>
      </w:r>
      <w:r w:rsidRPr="00D81052">
        <w:rPr>
          <w:rFonts w:cs="Arial"/>
          <w:sz w:val="22"/>
          <w:szCs w:val="22"/>
        </w:rPr>
        <w:t xml:space="preserve">monitoring </w:t>
      </w:r>
      <w:r w:rsidR="002C5C1A" w:rsidRPr="00D81052">
        <w:rPr>
          <w:rFonts w:cs="Arial"/>
          <w:sz w:val="22"/>
          <w:szCs w:val="22"/>
        </w:rPr>
        <w:t>requirements of the proposed survey.</w:t>
      </w:r>
    </w:p>
    <w:p w14:paraId="611B0D47" w14:textId="4614721E" w:rsidR="000D46DA" w:rsidRDefault="00E637F1" w:rsidP="000D46DA">
      <w:pPr>
        <w:pStyle w:val="Heading3"/>
        <w:spacing w:after="240"/>
        <w:ind w:left="1225" w:hanging="505"/>
      </w:pPr>
      <w:bookmarkStart w:id="1306" w:name="_Toc479764194"/>
      <w:bookmarkStart w:id="1307" w:name="_Toc375214691"/>
      <w:r>
        <w:t xml:space="preserve">Field </w:t>
      </w:r>
      <w:r w:rsidR="00246964">
        <w:t>Environmental Monitoring</w:t>
      </w:r>
      <w:bookmarkEnd w:id="1306"/>
      <w:bookmarkEnd w:id="1307"/>
    </w:p>
    <w:p w14:paraId="4FD5F56D" w14:textId="5139813E" w:rsidR="00246964" w:rsidRPr="00D81052" w:rsidRDefault="00246964" w:rsidP="00246964">
      <w:pPr>
        <w:ind w:left="0"/>
        <w:rPr>
          <w:rFonts w:cs="Arial"/>
          <w:sz w:val="22"/>
          <w:szCs w:val="22"/>
        </w:rPr>
      </w:pPr>
      <w:r w:rsidRPr="00D81052">
        <w:rPr>
          <w:rFonts w:cs="Arial"/>
          <w:sz w:val="22"/>
          <w:szCs w:val="22"/>
        </w:rPr>
        <w:t>Carbonnet will maintain a quantitative record of emissions and discharges, and other environmental matters</w:t>
      </w:r>
      <w:r w:rsidR="00E637F1" w:rsidRPr="00D81052">
        <w:rPr>
          <w:rFonts w:cs="Arial"/>
          <w:sz w:val="22"/>
          <w:szCs w:val="22"/>
        </w:rPr>
        <w:t xml:space="preserve"> generate</w:t>
      </w:r>
      <w:r w:rsidR="00AD76D5">
        <w:rPr>
          <w:rFonts w:cs="Arial"/>
          <w:sz w:val="22"/>
          <w:szCs w:val="22"/>
        </w:rPr>
        <w:t>d on location during the survey</w:t>
      </w:r>
      <w:r w:rsidRPr="00D81052">
        <w:rPr>
          <w:rFonts w:cs="Arial"/>
          <w:sz w:val="22"/>
          <w:szCs w:val="22"/>
        </w:rPr>
        <w:t xml:space="preserve">. </w:t>
      </w:r>
    </w:p>
    <w:p w14:paraId="3B5ED58A" w14:textId="77777777" w:rsidR="00246964" w:rsidRPr="00D81052" w:rsidRDefault="00246964" w:rsidP="00246964">
      <w:pPr>
        <w:ind w:left="0"/>
        <w:rPr>
          <w:rFonts w:cs="Arial"/>
          <w:sz w:val="22"/>
          <w:szCs w:val="22"/>
        </w:rPr>
      </w:pPr>
    </w:p>
    <w:p w14:paraId="29209B64" w14:textId="3AFADA95" w:rsidR="00E637F1" w:rsidRDefault="00246964" w:rsidP="00E637F1">
      <w:pPr>
        <w:spacing w:after="240"/>
        <w:ind w:left="0"/>
        <w:rPr>
          <w:rFonts w:cs="Arial"/>
          <w:sz w:val="22"/>
          <w:szCs w:val="22"/>
        </w:rPr>
      </w:pPr>
      <w:r w:rsidRPr="00D81052">
        <w:rPr>
          <w:rFonts w:cs="Arial"/>
          <w:sz w:val="22"/>
          <w:szCs w:val="22"/>
        </w:rPr>
        <w:t xml:space="preserve">The </w:t>
      </w:r>
      <w:r w:rsidR="00E637F1" w:rsidRPr="00D81052">
        <w:rPr>
          <w:rFonts w:cs="Arial"/>
          <w:sz w:val="22"/>
          <w:szCs w:val="22"/>
        </w:rPr>
        <w:t>contractor’s Party Chief</w:t>
      </w:r>
      <w:r w:rsidRPr="00D81052">
        <w:rPr>
          <w:rFonts w:cs="Arial"/>
          <w:sz w:val="22"/>
          <w:szCs w:val="22"/>
        </w:rPr>
        <w:t xml:space="preserve"> is responsible for collecting this data and reporting it to </w:t>
      </w:r>
      <w:r w:rsidR="00E637F1" w:rsidRPr="00D81052">
        <w:rPr>
          <w:rFonts w:cs="Arial"/>
          <w:sz w:val="22"/>
          <w:szCs w:val="22"/>
        </w:rPr>
        <w:t xml:space="preserve">the CarbonNet </w:t>
      </w:r>
      <w:r w:rsidR="00C12137">
        <w:rPr>
          <w:rFonts w:cs="Arial"/>
          <w:sz w:val="22"/>
          <w:szCs w:val="22"/>
        </w:rPr>
        <w:t>Client Representative</w:t>
      </w:r>
      <w:r w:rsidRPr="00D81052">
        <w:rPr>
          <w:rFonts w:cs="Arial"/>
          <w:sz w:val="22"/>
          <w:szCs w:val="22"/>
        </w:rPr>
        <w:t>. This is facilitated by completing a daily environmental monitoring register</w:t>
      </w:r>
      <w:r w:rsidR="00E637F1" w:rsidRPr="00D81052">
        <w:rPr>
          <w:rFonts w:cs="Arial"/>
          <w:sz w:val="22"/>
          <w:szCs w:val="22"/>
        </w:rPr>
        <w:t xml:space="preserve"> that will be provided by CarbonNet to the survey contractor</w:t>
      </w:r>
      <w:r w:rsidRPr="00D81052">
        <w:rPr>
          <w:rFonts w:cs="Arial"/>
          <w:sz w:val="22"/>
          <w:szCs w:val="22"/>
        </w:rPr>
        <w:t xml:space="preserve">, which captures the commitments made in </w:t>
      </w:r>
      <w:r w:rsidRPr="008446F9">
        <w:rPr>
          <w:rFonts w:cs="Arial"/>
          <w:sz w:val="22"/>
          <w:szCs w:val="22"/>
        </w:rPr>
        <w:t xml:space="preserve">Table </w:t>
      </w:r>
      <w:r w:rsidR="00E637F1" w:rsidRPr="008446F9">
        <w:rPr>
          <w:rFonts w:cs="Arial"/>
          <w:sz w:val="22"/>
          <w:szCs w:val="22"/>
        </w:rPr>
        <w:t>8.</w:t>
      </w:r>
      <w:r w:rsidR="00AD76D5" w:rsidRPr="008446F9">
        <w:rPr>
          <w:rFonts w:cs="Arial"/>
          <w:sz w:val="22"/>
          <w:szCs w:val="22"/>
        </w:rPr>
        <w:t>1</w:t>
      </w:r>
      <w:r w:rsidRPr="008446F9">
        <w:rPr>
          <w:rFonts w:cs="Arial"/>
          <w:sz w:val="22"/>
          <w:szCs w:val="22"/>
        </w:rPr>
        <w:t>.</w:t>
      </w:r>
      <w:r w:rsidRPr="00D81052">
        <w:rPr>
          <w:rFonts w:cs="Arial"/>
          <w:sz w:val="22"/>
          <w:szCs w:val="22"/>
        </w:rPr>
        <w:t xml:space="preserve"> </w:t>
      </w:r>
      <w:r w:rsidR="00E637F1" w:rsidRPr="00D81052">
        <w:rPr>
          <w:rFonts w:cs="Arial"/>
          <w:sz w:val="22"/>
          <w:szCs w:val="22"/>
        </w:rPr>
        <w:t>T</w:t>
      </w:r>
      <w:r w:rsidRPr="00D81052">
        <w:rPr>
          <w:rFonts w:cs="Arial"/>
          <w:sz w:val="22"/>
          <w:szCs w:val="22"/>
        </w:rPr>
        <w:t xml:space="preserve">hese results will be reported in the end-of-survey EP performance report submitted to </w:t>
      </w:r>
      <w:r w:rsidR="00E637F1" w:rsidRPr="00D81052">
        <w:rPr>
          <w:rFonts w:cs="Arial"/>
          <w:sz w:val="22"/>
          <w:szCs w:val="22"/>
        </w:rPr>
        <w:t>NOPSEMA and ERR</w:t>
      </w:r>
      <w:r w:rsidRPr="00D81052">
        <w:rPr>
          <w:rFonts w:cs="Arial"/>
          <w:sz w:val="22"/>
          <w:szCs w:val="22"/>
        </w:rPr>
        <w:t>.</w:t>
      </w:r>
    </w:p>
    <w:p w14:paraId="694B7A8B" w14:textId="36230FF9" w:rsidR="00246964" w:rsidRPr="00D81052" w:rsidRDefault="00246964" w:rsidP="00E637F1">
      <w:pPr>
        <w:spacing w:after="120"/>
        <w:ind w:left="0"/>
        <w:jc w:val="center"/>
        <w:rPr>
          <w:rFonts w:cs="Arial"/>
          <w:b/>
          <w:sz w:val="20"/>
          <w:szCs w:val="20"/>
        </w:rPr>
      </w:pPr>
      <w:r w:rsidRPr="00D81052">
        <w:rPr>
          <w:rFonts w:cs="Arial"/>
          <w:b/>
          <w:sz w:val="20"/>
          <w:szCs w:val="20"/>
        </w:rPr>
        <w:t>Table 8.</w:t>
      </w:r>
      <w:r w:rsidR="00AD76D5">
        <w:rPr>
          <w:rFonts w:cs="Arial"/>
          <w:b/>
          <w:sz w:val="20"/>
          <w:szCs w:val="20"/>
        </w:rPr>
        <w:t>1</w:t>
      </w:r>
      <w:r w:rsidR="00D81052" w:rsidRPr="00D81052">
        <w:rPr>
          <w:rFonts w:cs="Arial"/>
          <w:b/>
          <w:sz w:val="20"/>
          <w:szCs w:val="20"/>
        </w:rPr>
        <w:t>.</w:t>
      </w:r>
      <w:r w:rsidRPr="00D81052">
        <w:rPr>
          <w:rFonts w:cs="Arial"/>
          <w:b/>
          <w:sz w:val="20"/>
          <w:szCs w:val="20"/>
        </w:rPr>
        <w:tab/>
        <w:t xml:space="preserve">Summary of the Pelican 3DMSS </w:t>
      </w:r>
      <w:r w:rsidR="00E637F1" w:rsidRPr="00D81052">
        <w:rPr>
          <w:rFonts w:cs="Arial"/>
          <w:b/>
          <w:sz w:val="20"/>
          <w:szCs w:val="20"/>
        </w:rPr>
        <w:t xml:space="preserve">field </w:t>
      </w:r>
      <w:r w:rsidRPr="00D81052">
        <w:rPr>
          <w:rFonts w:cs="Arial"/>
          <w:b/>
          <w:sz w:val="20"/>
          <w:szCs w:val="20"/>
        </w:rPr>
        <w:t>environmental monitoring</w:t>
      </w:r>
    </w:p>
    <w:tbl>
      <w:tblPr>
        <w:tblStyle w:val="TableGrid"/>
        <w:tblW w:w="850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3543"/>
        <w:gridCol w:w="3261"/>
      </w:tblGrid>
      <w:tr w:rsidR="00246964" w14:paraId="5CF9F238" w14:textId="77777777" w:rsidTr="00C66142">
        <w:trPr>
          <w:tblHeader/>
        </w:trPr>
        <w:tc>
          <w:tcPr>
            <w:tcW w:w="1702" w:type="dxa"/>
            <w:shd w:val="clear" w:color="auto" w:fill="064EA8"/>
          </w:tcPr>
          <w:p w14:paraId="0FA919D0" w14:textId="39D7A259" w:rsidR="00246964" w:rsidRPr="0023317C" w:rsidRDefault="00C66142" w:rsidP="008548E3">
            <w:pPr>
              <w:pStyle w:val="tabletitles"/>
              <w:ind w:left="34" w:hanging="34"/>
              <w:rPr>
                <w:rFonts w:cs="Tahoma"/>
                <w:b w:val="0"/>
                <w:color w:val="FFFFFF" w:themeColor="background1"/>
                <w:sz w:val="20"/>
              </w:rPr>
            </w:pPr>
            <w:r w:rsidRPr="0023317C">
              <w:rPr>
                <w:b w:val="0"/>
                <w:color w:val="FFFFFF" w:themeColor="background1"/>
                <w:sz w:val="20"/>
              </w:rPr>
              <w:t>Aspect</w:t>
            </w:r>
          </w:p>
        </w:tc>
        <w:tc>
          <w:tcPr>
            <w:tcW w:w="3543" w:type="dxa"/>
            <w:shd w:val="clear" w:color="auto" w:fill="064EA8"/>
          </w:tcPr>
          <w:p w14:paraId="655008F1" w14:textId="3815D808" w:rsidR="00246964" w:rsidRPr="0023317C" w:rsidRDefault="00C66142" w:rsidP="008548E3">
            <w:pPr>
              <w:pStyle w:val="tabletitles"/>
              <w:rPr>
                <w:rFonts w:cs="Tahoma"/>
                <w:b w:val="0"/>
                <w:color w:val="FFFFFF" w:themeColor="background1"/>
                <w:sz w:val="20"/>
              </w:rPr>
            </w:pPr>
            <w:r w:rsidRPr="0023317C">
              <w:rPr>
                <w:b w:val="0"/>
                <w:color w:val="FFFFFF" w:themeColor="background1"/>
                <w:sz w:val="20"/>
              </w:rPr>
              <w:t>Monitoring requirement</w:t>
            </w:r>
          </w:p>
        </w:tc>
        <w:tc>
          <w:tcPr>
            <w:tcW w:w="3261" w:type="dxa"/>
            <w:shd w:val="clear" w:color="auto" w:fill="064EA8"/>
          </w:tcPr>
          <w:p w14:paraId="4A73F139" w14:textId="61F3C9D6" w:rsidR="00246964" w:rsidRPr="0023317C" w:rsidRDefault="00C66142" w:rsidP="008548E3">
            <w:pPr>
              <w:pStyle w:val="tabletitles"/>
              <w:rPr>
                <w:b w:val="0"/>
                <w:color w:val="FFFFFF" w:themeColor="background1"/>
                <w:sz w:val="20"/>
              </w:rPr>
            </w:pPr>
            <w:r w:rsidRPr="0023317C">
              <w:rPr>
                <w:b w:val="0"/>
                <w:color w:val="FFFFFF" w:themeColor="background1"/>
                <w:sz w:val="20"/>
              </w:rPr>
              <w:t>Frequency</w:t>
            </w:r>
          </w:p>
        </w:tc>
      </w:tr>
      <w:tr w:rsidR="00C66142" w:rsidRPr="00091430" w14:paraId="5337652C" w14:textId="77777777" w:rsidTr="00C6614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8506" w:type="dxa"/>
            <w:gridSpan w:val="3"/>
            <w:shd w:val="clear" w:color="auto" w:fill="D9D9D9" w:themeFill="background1" w:themeFillShade="D9"/>
          </w:tcPr>
          <w:p w14:paraId="5F5822AE" w14:textId="3756219B" w:rsidR="00C66142" w:rsidRPr="0023317C" w:rsidRDefault="00C66142" w:rsidP="008548E3">
            <w:pPr>
              <w:spacing w:before="60" w:after="60" w:line="240" w:lineRule="auto"/>
              <w:ind w:left="0"/>
              <w:rPr>
                <w:rFonts w:cs="Tahoma"/>
                <w:sz w:val="20"/>
                <w:szCs w:val="20"/>
              </w:rPr>
            </w:pPr>
            <w:r w:rsidRPr="0023317C">
              <w:rPr>
                <w:rFonts w:cs="Tahoma"/>
                <w:sz w:val="20"/>
                <w:szCs w:val="20"/>
              </w:rPr>
              <w:t>Impacts</w:t>
            </w:r>
          </w:p>
        </w:tc>
      </w:tr>
      <w:tr w:rsidR="009C4735" w:rsidRPr="00091430" w14:paraId="75812E16" w14:textId="77777777" w:rsidTr="00C6614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vMerge w:val="restart"/>
          </w:tcPr>
          <w:p w14:paraId="02404B8C" w14:textId="60930B54" w:rsidR="009C4735" w:rsidRPr="0023317C" w:rsidRDefault="009C4735" w:rsidP="00C66142">
            <w:pPr>
              <w:spacing w:before="60" w:after="60" w:line="240" w:lineRule="auto"/>
              <w:ind w:left="0"/>
              <w:rPr>
                <w:rFonts w:cs="Tahoma"/>
                <w:sz w:val="20"/>
                <w:szCs w:val="20"/>
              </w:rPr>
            </w:pPr>
            <w:r w:rsidRPr="0023317C">
              <w:rPr>
                <w:rFonts w:cs="Tahoma"/>
                <w:sz w:val="20"/>
                <w:szCs w:val="20"/>
              </w:rPr>
              <w:t>Underwater sound</w:t>
            </w:r>
          </w:p>
        </w:tc>
        <w:tc>
          <w:tcPr>
            <w:tcW w:w="3543" w:type="dxa"/>
          </w:tcPr>
          <w:p w14:paraId="779EE697" w14:textId="1B2D0848" w:rsidR="009C4735" w:rsidRPr="0023317C" w:rsidRDefault="009C4735" w:rsidP="00C66142">
            <w:pPr>
              <w:spacing w:before="60" w:after="60" w:line="240" w:lineRule="auto"/>
              <w:ind w:left="0"/>
              <w:rPr>
                <w:rFonts w:cs="Tahoma"/>
                <w:sz w:val="20"/>
                <w:szCs w:val="20"/>
              </w:rPr>
            </w:pPr>
            <w:r w:rsidRPr="0023317C">
              <w:rPr>
                <w:rFonts w:cs="Tahoma"/>
                <w:sz w:val="20"/>
                <w:szCs w:val="20"/>
              </w:rPr>
              <w:t>MMO megafauna visual observations.</w:t>
            </w:r>
          </w:p>
        </w:tc>
        <w:tc>
          <w:tcPr>
            <w:tcW w:w="3261" w:type="dxa"/>
          </w:tcPr>
          <w:p w14:paraId="1BF0873F" w14:textId="03529AA6" w:rsidR="009C4735" w:rsidRPr="0023317C" w:rsidRDefault="009C4735" w:rsidP="008548E3">
            <w:pPr>
              <w:spacing w:before="60" w:after="60" w:line="240" w:lineRule="auto"/>
              <w:ind w:left="0"/>
              <w:rPr>
                <w:rFonts w:cs="Tahoma"/>
                <w:sz w:val="20"/>
                <w:szCs w:val="20"/>
              </w:rPr>
            </w:pPr>
            <w:r w:rsidRPr="0023317C">
              <w:rPr>
                <w:rFonts w:cs="Tahoma"/>
                <w:sz w:val="20"/>
                <w:szCs w:val="20"/>
              </w:rPr>
              <w:t>Continuous during survey.</w:t>
            </w:r>
          </w:p>
        </w:tc>
      </w:tr>
      <w:tr w:rsidR="009C4735" w:rsidRPr="00091430" w14:paraId="3B8CC6ED" w14:textId="77777777" w:rsidTr="00C6614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vMerge/>
          </w:tcPr>
          <w:p w14:paraId="2DF07ED2" w14:textId="77777777" w:rsidR="009C4735" w:rsidRPr="0023317C" w:rsidRDefault="009C4735" w:rsidP="00C66142">
            <w:pPr>
              <w:spacing w:before="60" w:after="60" w:line="240" w:lineRule="auto"/>
              <w:ind w:left="0"/>
              <w:rPr>
                <w:rFonts w:cs="Tahoma"/>
                <w:sz w:val="20"/>
                <w:szCs w:val="20"/>
              </w:rPr>
            </w:pPr>
          </w:p>
        </w:tc>
        <w:tc>
          <w:tcPr>
            <w:tcW w:w="3543" w:type="dxa"/>
          </w:tcPr>
          <w:p w14:paraId="7E3DFD4D" w14:textId="400E84A4" w:rsidR="009C4735" w:rsidRPr="0023317C" w:rsidRDefault="009C4735" w:rsidP="00C66142">
            <w:pPr>
              <w:spacing w:before="60" w:after="60" w:line="240" w:lineRule="auto"/>
              <w:ind w:left="0"/>
              <w:rPr>
                <w:rFonts w:cs="Tahoma"/>
                <w:sz w:val="20"/>
                <w:szCs w:val="20"/>
              </w:rPr>
            </w:pPr>
            <w:r>
              <w:rPr>
                <w:rFonts w:cs="Tahoma"/>
                <w:sz w:val="20"/>
                <w:szCs w:val="20"/>
              </w:rPr>
              <w:t>Underwater sound validation.</w:t>
            </w:r>
          </w:p>
        </w:tc>
        <w:tc>
          <w:tcPr>
            <w:tcW w:w="3261" w:type="dxa"/>
          </w:tcPr>
          <w:p w14:paraId="2B2B69F6" w14:textId="08036D8F" w:rsidR="009C4735" w:rsidRPr="0023317C" w:rsidRDefault="009C4735" w:rsidP="008548E3">
            <w:pPr>
              <w:spacing w:before="60" w:after="60" w:line="240" w:lineRule="auto"/>
              <w:ind w:left="0"/>
              <w:rPr>
                <w:rFonts w:cs="Tahoma"/>
                <w:sz w:val="20"/>
                <w:szCs w:val="20"/>
              </w:rPr>
            </w:pPr>
            <w:r>
              <w:rPr>
                <w:rFonts w:cs="Tahoma"/>
                <w:sz w:val="20"/>
                <w:szCs w:val="20"/>
              </w:rPr>
              <w:t>Pre-survey and continuous during survey.</w:t>
            </w:r>
          </w:p>
        </w:tc>
      </w:tr>
      <w:tr w:rsidR="00C66142" w:rsidRPr="00091430" w14:paraId="0EF3B42C" w14:textId="77777777" w:rsidTr="00C6614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1768F45B" w14:textId="042687A3" w:rsidR="00C66142" w:rsidRPr="0023317C" w:rsidRDefault="00C66142" w:rsidP="00C66142">
            <w:pPr>
              <w:spacing w:before="60" w:after="60" w:line="240" w:lineRule="auto"/>
              <w:ind w:left="0"/>
              <w:rPr>
                <w:rFonts w:cs="Tahoma"/>
                <w:sz w:val="20"/>
                <w:szCs w:val="20"/>
              </w:rPr>
            </w:pPr>
            <w:r w:rsidRPr="0023317C">
              <w:rPr>
                <w:rFonts w:cs="Tahoma"/>
                <w:sz w:val="20"/>
                <w:szCs w:val="20"/>
              </w:rPr>
              <w:t>Atmopsheric emissions</w:t>
            </w:r>
          </w:p>
        </w:tc>
        <w:tc>
          <w:tcPr>
            <w:tcW w:w="3543" w:type="dxa"/>
          </w:tcPr>
          <w:p w14:paraId="30730FF7" w14:textId="61A92760" w:rsidR="00C66142" w:rsidRPr="0023317C" w:rsidRDefault="00C66142" w:rsidP="00C66142">
            <w:pPr>
              <w:spacing w:before="60" w:after="60" w:line="240" w:lineRule="auto"/>
              <w:ind w:left="0"/>
              <w:rPr>
                <w:rFonts w:cs="Tahoma"/>
                <w:sz w:val="20"/>
                <w:szCs w:val="20"/>
              </w:rPr>
            </w:pPr>
            <w:r w:rsidRPr="0023317C">
              <w:rPr>
                <w:rFonts w:cs="Tahoma"/>
                <w:sz w:val="20"/>
                <w:szCs w:val="20"/>
              </w:rPr>
              <w:t>Fuel consumption.</w:t>
            </w:r>
          </w:p>
        </w:tc>
        <w:tc>
          <w:tcPr>
            <w:tcW w:w="3261" w:type="dxa"/>
          </w:tcPr>
          <w:p w14:paraId="49384674" w14:textId="083BC654" w:rsidR="00C66142" w:rsidRPr="0023317C" w:rsidRDefault="00C66142" w:rsidP="008548E3">
            <w:pPr>
              <w:spacing w:before="60" w:after="60" w:line="240" w:lineRule="auto"/>
              <w:ind w:left="0"/>
              <w:rPr>
                <w:rFonts w:cs="Tahoma"/>
                <w:sz w:val="20"/>
                <w:szCs w:val="20"/>
              </w:rPr>
            </w:pPr>
            <w:r w:rsidRPr="0023317C">
              <w:rPr>
                <w:rFonts w:cs="Tahoma"/>
                <w:sz w:val="20"/>
                <w:szCs w:val="20"/>
              </w:rPr>
              <w:t xml:space="preserve">Tallied at end of survey from daily reports and/or bunker receipts. </w:t>
            </w:r>
          </w:p>
        </w:tc>
      </w:tr>
      <w:tr w:rsidR="00C66142" w:rsidRPr="00091430" w14:paraId="1B79D880" w14:textId="77777777" w:rsidTr="00C6614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6091F95D" w14:textId="2C7374BA" w:rsidR="00C66142" w:rsidRPr="0023317C" w:rsidRDefault="00C66142" w:rsidP="00C66142">
            <w:pPr>
              <w:spacing w:before="60" w:after="60" w:line="240" w:lineRule="auto"/>
              <w:ind w:left="0"/>
              <w:rPr>
                <w:rFonts w:cs="Tahoma"/>
                <w:sz w:val="20"/>
                <w:szCs w:val="20"/>
              </w:rPr>
            </w:pPr>
            <w:r w:rsidRPr="0023317C">
              <w:rPr>
                <w:rFonts w:cs="Tahoma"/>
                <w:sz w:val="20"/>
                <w:szCs w:val="20"/>
              </w:rPr>
              <w:t>Bilge water</w:t>
            </w:r>
          </w:p>
        </w:tc>
        <w:tc>
          <w:tcPr>
            <w:tcW w:w="3543" w:type="dxa"/>
          </w:tcPr>
          <w:p w14:paraId="5B183E9F" w14:textId="6451CF52" w:rsidR="00C66142" w:rsidRPr="0023317C" w:rsidRDefault="00C66142" w:rsidP="00C66142">
            <w:pPr>
              <w:spacing w:before="60" w:after="60" w:line="240" w:lineRule="auto"/>
              <w:ind w:left="0"/>
              <w:rPr>
                <w:rFonts w:cs="Tahoma"/>
                <w:sz w:val="20"/>
                <w:szCs w:val="20"/>
              </w:rPr>
            </w:pPr>
            <w:r w:rsidRPr="0023317C">
              <w:rPr>
                <w:rFonts w:cs="Tahoma"/>
                <w:sz w:val="20"/>
                <w:szCs w:val="20"/>
              </w:rPr>
              <w:t>Volume of bilge water discharged during the survey.</w:t>
            </w:r>
          </w:p>
        </w:tc>
        <w:tc>
          <w:tcPr>
            <w:tcW w:w="3261" w:type="dxa"/>
          </w:tcPr>
          <w:p w14:paraId="4C2751CC" w14:textId="318B6F21" w:rsidR="00C66142" w:rsidRPr="0023317C" w:rsidRDefault="00C66142" w:rsidP="008548E3">
            <w:pPr>
              <w:spacing w:before="60" w:after="60" w:line="240" w:lineRule="auto"/>
              <w:ind w:left="0"/>
              <w:rPr>
                <w:rFonts w:cs="Tahoma"/>
                <w:sz w:val="20"/>
                <w:szCs w:val="20"/>
              </w:rPr>
            </w:pPr>
            <w:r w:rsidRPr="0023317C">
              <w:rPr>
                <w:rFonts w:cs="Tahoma"/>
                <w:sz w:val="20"/>
                <w:szCs w:val="20"/>
              </w:rPr>
              <w:t>Noted in Oily Water Logbook.</w:t>
            </w:r>
          </w:p>
        </w:tc>
      </w:tr>
      <w:tr w:rsidR="00C66142" w:rsidRPr="00091430" w14:paraId="73739687" w14:textId="77777777" w:rsidTr="008548E3">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8506" w:type="dxa"/>
            <w:gridSpan w:val="3"/>
            <w:shd w:val="clear" w:color="auto" w:fill="D9D9D9" w:themeFill="background1" w:themeFillShade="D9"/>
          </w:tcPr>
          <w:p w14:paraId="24C9F974" w14:textId="1F6C0DDF" w:rsidR="00C66142" w:rsidRPr="0023317C" w:rsidRDefault="00C66142" w:rsidP="008548E3">
            <w:pPr>
              <w:spacing w:before="60" w:after="60" w:line="240" w:lineRule="auto"/>
              <w:ind w:left="0"/>
              <w:rPr>
                <w:rFonts w:cs="Tahoma"/>
                <w:sz w:val="20"/>
                <w:szCs w:val="20"/>
              </w:rPr>
            </w:pPr>
            <w:r w:rsidRPr="0023317C">
              <w:rPr>
                <w:rFonts w:cs="Tahoma"/>
                <w:sz w:val="20"/>
                <w:szCs w:val="20"/>
              </w:rPr>
              <w:lastRenderedPageBreak/>
              <w:t>Risks</w:t>
            </w:r>
          </w:p>
        </w:tc>
      </w:tr>
      <w:tr w:rsidR="00C66142" w:rsidRPr="00091430" w14:paraId="649FD977" w14:textId="77777777" w:rsidTr="00C6614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5703E8CD" w14:textId="63669F91" w:rsidR="00C66142" w:rsidRPr="0023317C" w:rsidRDefault="00C66142" w:rsidP="00C66142">
            <w:pPr>
              <w:spacing w:before="60" w:after="60" w:line="240" w:lineRule="auto"/>
              <w:ind w:left="0"/>
              <w:rPr>
                <w:rFonts w:cs="Tahoma"/>
                <w:sz w:val="20"/>
                <w:szCs w:val="20"/>
              </w:rPr>
            </w:pPr>
            <w:r w:rsidRPr="0023317C">
              <w:rPr>
                <w:rFonts w:cs="Tahoma"/>
                <w:sz w:val="20"/>
                <w:szCs w:val="20"/>
              </w:rPr>
              <w:t>Seabed disturbance</w:t>
            </w:r>
          </w:p>
        </w:tc>
        <w:tc>
          <w:tcPr>
            <w:tcW w:w="3543" w:type="dxa"/>
          </w:tcPr>
          <w:p w14:paraId="4C06DA76" w14:textId="33025343" w:rsidR="00C66142" w:rsidRPr="0023317C" w:rsidRDefault="00C66142" w:rsidP="00C66142">
            <w:pPr>
              <w:spacing w:before="60" w:after="60" w:line="240" w:lineRule="auto"/>
              <w:ind w:left="0"/>
              <w:rPr>
                <w:rFonts w:cs="Tahoma"/>
                <w:sz w:val="20"/>
                <w:szCs w:val="20"/>
              </w:rPr>
            </w:pPr>
            <w:r w:rsidRPr="0023317C">
              <w:rPr>
                <w:rFonts w:cs="Tahoma"/>
                <w:sz w:val="20"/>
                <w:szCs w:val="20"/>
              </w:rPr>
              <w:t>Vessel Master and/or seismic crew note any contact between streamers or hull with the seabed.</w:t>
            </w:r>
          </w:p>
        </w:tc>
        <w:tc>
          <w:tcPr>
            <w:tcW w:w="3261" w:type="dxa"/>
          </w:tcPr>
          <w:p w14:paraId="3DF7C07A" w14:textId="41FE1FD1" w:rsidR="00C66142" w:rsidRPr="0023317C" w:rsidRDefault="00C66142" w:rsidP="008548E3">
            <w:pPr>
              <w:spacing w:before="60" w:after="60" w:line="240" w:lineRule="auto"/>
              <w:ind w:left="0"/>
              <w:rPr>
                <w:rFonts w:cs="Tahoma"/>
                <w:sz w:val="20"/>
                <w:szCs w:val="20"/>
              </w:rPr>
            </w:pPr>
            <w:r w:rsidRPr="0023317C">
              <w:rPr>
                <w:rFonts w:cs="Tahoma"/>
                <w:sz w:val="20"/>
                <w:szCs w:val="20"/>
              </w:rPr>
              <w:t>Noted as required.</w:t>
            </w:r>
          </w:p>
        </w:tc>
      </w:tr>
      <w:tr w:rsidR="00C66142" w:rsidRPr="00091430" w14:paraId="56357189" w14:textId="77777777" w:rsidTr="00C6614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28F87BCD" w14:textId="552E1DD4" w:rsidR="00C66142" w:rsidRPr="0023317C" w:rsidRDefault="00C66142" w:rsidP="00C66142">
            <w:pPr>
              <w:spacing w:before="60" w:after="60" w:line="240" w:lineRule="auto"/>
              <w:ind w:left="0"/>
              <w:rPr>
                <w:rFonts w:cs="Tahoma"/>
                <w:sz w:val="20"/>
                <w:szCs w:val="20"/>
              </w:rPr>
            </w:pPr>
            <w:r w:rsidRPr="0023317C">
              <w:rPr>
                <w:rFonts w:cs="Tahoma"/>
                <w:sz w:val="20"/>
                <w:szCs w:val="20"/>
              </w:rPr>
              <w:t>Waste disposal</w:t>
            </w:r>
          </w:p>
        </w:tc>
        <w:tc>
          <w:tcPr>
            <w:tcW w:w="3543" w:type="dxa"/>
          </w:tcPr>
          <w:p w14:paraId="5FB231A6" w14:textId="64EF2E4B" w:rsidR="00C66142" w:rsidRPr="0023317C" w:rsidRDefault="00C66142" w:rsidP="00E637F1">
            <w:pPr>
              <w:spacing w:before="60" w:after="60" w:line="240" w:lineRule="auto"/>
              <w:ind w:left="0"/>
              <w:rPr>
                <w:rFonts w:cs="Tahoma"/>
                <w:sz w:val="20"/>
                <w:szCs w:val="20"/>
              </w:rPr>
            </w:pPr>
            <w:r w:rsidRPr="0023317C">
              <w:rPr>
                <w:rFonts w:cs="Tahoma"/>
                <w:sz w:val="20"/>
                <w:szCs w:val="20"/>
              </w:rPr>
              <w:t xml:space="preserve">Weight/volume of wastes sent ashore (including </w:t>
            </w:r>
            <w:r w:rsidR="00E637F1" w:rsidRPr="0023317C">
              <w:rPr>
                <w:rFonts w:cs="Tahoma"/>
                <w:sz w:val="20"/>
                <w:szCs w:val="20"/>
              </w:rPr>
              <w:t>oil sludge</w:t>
            </w:r>
            <w:r w:rsidRPr="0023317C">
              <w:rPr>
                <w:rFonts w:cs="Tahoma"/>
                <w:sz w:val="20"/>
                <w:szCs w:val="20"/>
              </w:rPr>
              <w:t>, solid/hazardous wastes).</w:t>
            </w:r>
          </w:p>
        </w:tc>
        <w:tc>
          <w:tcPr>
            <w:tcW w:w="3261" w:type="dxa"/>
          </w:tcPr>
          <w:p w14:paraId="04B6EF92" w14:textId="03AB3E80" w:rsidR="00C66142" w:rsidRPr="0023317C" w:rsidRDefault="00C66142" w:rsidP="008548E3">
            <w:pPr>
              <w:pStyle w:val="Tabletext1"/>
              <w:rPr>
                <w:rFonts w:cs="Tahoma"/>
                <w:color w:val="auto"/>
                <w:sz w:val="20"/>
                <w:szCs w:val="20"/>
                <w:lang w:eastAsia="en-AU"/>
              </w:rPr>
            </w:pPr>
            <w:r w:rsidRPr="0023317C">
              <w:rPr>
                <w:rFonts w:cs="Tahoma"/>
                <w:color w:val="auto"/>
                <w:sz w:val="20"/>
                <w:szCs w:val="20"/>
                <w:lang w:eastAsia="en-AU"/>
              </w:rPr>
              <w:t xml:space="preserve">Tallied at end of survey from the </w:t>
            </w:r>
            <w:r w:rsidR="00E637F1" w:rsidRPr="0023317C">
              <w:rPr>
                <w:rFonts w:cs="Tahoma"/>
                <w:color w:val="auto"/>
                <w:sz w:val="20"/>
                <w:szCs w:val="20"/>
                <w:lang w:eastAsia="en-AU"/>
              </w:rPr>
              <w:t>project</w:t>
            </w:r>
            <w:r w:rsidRPr="0023317C">
              <w:rPr>
                <w:rFonts w:cs="Tahoma"/>
                <w:color w:val="auto"/>
                <w:sz w:val="20"/>
                <w:szCs w:val="20"/>
                <w:lang w:eastAsia="en-AU"/>
              </w:rPr>
              <w:t>-specific waste manifest.</w:t>
            </w:r>
          </w:p>
          <w:p w14:paraId="5227A6C3" w14:textId="030B982C" w:rsidR="00C66142" w:rsidRPr="0023317C" w:rsidRDefault="00E637F1" w:rsidP="00E637F1">
            <w:pPr>
              <w:spacing w:before="60" w:after="60" w:line="240" w:lineRule="auto"/>
              <w:ind w:left="0"/>
              <w:rPr>
                <w:rFonts w:cs="Tahoma"/>
                <w:sz w:val="20"/>
                <w:szCs w:val="20"/>
              </w:rPr>
            </w:pPr>
            <w:r w:rsidRPr="0023317C">
              <w:rPr>
                <w:rFonts w:cs="Tahoma"/>
                <w:sz w:val="20"/>
                <w:szCs w:val="20"/>
              </w:rPr>
              <w:t>Garbage Record Book u</w:t>
            </w:r>
            <w:r w:rsidR="00C66142" w:rsidRPr="0023317C">
              <w:rPr>
                <w:rFonts w:cs="Tahoma"/>
                <w:sz w:val="20"/>
                <w:szCs w:val="20"/>
              </w:rPr>
              <w:t>pdated during backload in</w:t>
            </w:r>
            <w:r w:rsidRPr="0023317C">
              <w:rPr>
                <w:rFonts w:cs="Tahoma"/>
                <w:sz w:val="20"/>
                <w:szCs w:val="20"/>
              </w:rPr>
              <w:t xml:space="preserve"> port</w:t>
            </w:r>
            <w:r w:rsidR="00C66142" w:rsidRPr="0023317C">
              <w:rPr>
                <w:rFonts w:cs="Tahoma"/>
                <w:sz w:val="20"/>
                <w:szCs w:val="20"/>
              </w:rPr>
              <w:t>.</w:t>
            </w:r>
          </w:p>
        </w:tc>
      </w:tr>
      <w:tr w:rsidR="00C66142" w:rsidRPr="00091430" w14:paraId="12EDC961" w14:textId="77777777" w:rsidTr="00C6614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0BEB88C8" w14:textId="7C2C45D3" w:rsidR="00C66142" w:rsidRPr="0023317C" w:rsidRDefault="00E637F1" w:rsidP="00E637F1">
            <w:pPr>
              <w:spacing w:before="60" w:after="60" w:line="240" w:lineRule="auto"/>
              <w:ind w:left="0"/>
              <w:rPr>
                <w:rFonts w:cs="Tahoma"/>
                <w:sz w:val="20"/>
                <w:szCs w:val="20"/>
              </w:rPr>
            </w:pPr>
            <w:r w:rsidRPr="0023317C">
              <w:rPr>
                <w:rFonts w:cs="Tahoma"/>
                <w:sz w:val="20"/>
                <w:szCs w:val="20"/>
              </w:rPr>
              <w:t>Displacement of or interaction with</w:t>
            </w:r>
            <w:r w:rsidR="00C66142" w:rsidRPr="0023317C">
              <w:rPr>
                <w:rFonts w:cs="Tahoma"/>
                <w:sz w:val="20"/>
                <w:szCs w:val="20"/>
              </w:rPr>
              <w:t xml:space="preserve"> merchant and</w:t>
            </w:r>
            <w:r w:rsidRPr="0023317C">
              <w:rPr>
                <w:rFonts w:cs="Tahoma"/>
                <w:sz w:val="20"/>
                <w:szCs w:val="20"/>
              </w:rPr>
              <w:t>/or</w:t>
            </w:r>
            <w:r w:rsidR="00C66142" w:rsidRPr="0023317C">
              <w:rPr>
                <w:rFonts w:cs="Tahoma"/>
                <w:sz w:val="20"/>
                <w:szCs w:val="20"/>
              </w:rPr>
              <w:t xml:space="preserve"> fishing vessels</w:t>
            </w:r>
          </w:p>
        </w:tc>
        <w:tc>
          <w:tcPr>
            <w:tcW w:w="3543" w:type="dxa"/>
            <w:vAlign w:val="center"/>
          </w:tcPr>
          <w:p w14:paraId="2CC242F1" w14:textId="77777777" w:rsidR="00E637F1" w:rsidRPr="0023317C" w:rsidRDefault="00C66142" w:rsidP="00E637F1">
            <w:pPr>
              <w:spacing w:before="60" w:after="60" w:line="240" w:lineRule="auto"/>
              <w:ind w:left="0"/>
              <w:rPr>
                <w:rFonts w:cs="Tahoma"/>
                <w:sz w:val="20"/>
                <w:szCs w:val="20"/>
              </w:rPr>
            </w:pPr>
            <w:r w:rsidRPr="0023317C">
              <w:rPr>
                <w:rFonts w:cs="Tahoma"/>
                <w:sz w:val="20"/>
                <w:szCs w:val="20"/>
              </w:rPr>
              <w:t xml:space="preserve">Ongoing patrol for, and communications with, third-party vessels by the </w:t>
            </w:r>
            <w:r w:rsidR="00E637F1" w:rsidRPr="0023317C">
              <w:rPr>
                <w:rFonts w:cs="Tahoma"/>
                <w:sz w:val="20"/>
                <w:szCs w:val="20"/>
              </w:rPr>
              <w:t>support</w:t>
            </w:r>
            <w:r w:rsidRPr="0023317C">
              <w:rPr>
                <w:rFonts w:cs="Tahoma"/>
                <w:sz w:val="20"/>
                <w:szCs w:val="20"/>
              </w:rPr>
              <w:t xml:space="preserve"> vessel</w:t>
            </w:r>
            <w:r w:rsidR="00E637F1" w:rsidRPr="0023317C">
              <w:rPr>
                <w:rFonts w:cs="Tahoma"/>
                <w:sz w:val="20"/>
                <w:szCs w:val="20"/>
              </w:rPr>
              <w:t>s</w:t>
            </w:r>
            <w:r w:rsidRPr="0023317C">
              <w:rPr>
                <w:rFonts w:cs="Tahoma"/>
                <w:sz w:val="20"/>
                <w:szCs w:val="20"/>
              </w:rPr>
              <w:t>.</w:t>
            </w:r>
          </w:p>
          <w:p w14:paraId="65EB0C0A" w14:textId="0C56CBF2" w:rsidR="00C66142" w:rsidRPr="0031405E" w:rsidRDefault="00E637F1" w:rsidP="00E637F1">
            <w:pPr>
              <w:spacing w:before="60" w:after="60" w:line="240" w:lineRule="auto"/>
              <w:ind w:left="0"/>
              <w:rPr>
                <w:rFonts w:cs="Tahoma"/>
                <w:sz w:val="20"/>
                <w:szCs w:val="20"/>
                <w:lang w:val="fr-FR"/>
              </w:rPr>
            </w:pPr>
            <w:r w:rsidRPr="0031405E">
              <w:rPr>
                <w:rFonts w:cs="Tahoma"/>
                <w:sz w:val="20"/>
                <w:szCs w:val="20"/>
                <w:lang w:val="fr-FR"/>
              </w:rPr>
              <w:t>Radar surveillance from source vessel.</w:t>
            </w:r>
            <w:r w:rsidR="00C66142" w:rsidRPr="0031405E">
              <w:rPr>
                <w:rFonts w:cs="Tahoma"/>
                <w:sz w:val="20"/>
                <w:szCs w:val="20"/>
                <w:lang w:val="fr-FR"/>
              </w:rPr>
              <w:t xml:space="preserve"> </w:t>
            </w:r>
          </w:p>
        </w:tc>
        <w:tc>
          <w:tcPr>
            <w:tcW w:w="3261" w:type="dxa"/>
          </w:tcPr>
          <w:p w14:paraId="0539BBFF" w14:textId="3B6CCCCB" w:rsidR="00C66142" w:rsidRPr="0023317C" w:rsidRDefault="00C66142" w:rsidP="008548E3">
            <w:pPr>
              <w:spacing w:before="60" w:after="60" w:line="240" w:lineRule="auto"/>
              <w:ind w:left="0"/>
              <w:rPr>
                <w:rFonts w:cs="Tahoma"/>
                <w:sz w:val="20"/>
                <w:szCs w:val="20"/>
              </w:rPr>
            </w:pPr>
            <w:r w:rsidRPr="0023317C">
              <w:rPr>
                <w:rFonts w:cs="Tahoma"/>
                <w:sz w:val="20"/>
                <w:szCs w:val="20"/>
              </w:rPr>
              <w:t>Continuous during survey.</w:t>
            </w:r>
          </w:p>
        </w:tc>
      </w:tr>
      <w:tr w:rsidR="00C66142" w:rsidRPr="00091430" w14:paraId="541EFE26" w14:textId="77777777" w:rsidTr="00C6614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4DCB3FF5" w14:textId="57F95DD6" w:rsidR="00C66142" w:rsidRPr="0023317C" w:rsidRDefault="00C66142" w:rsidP="00C66142">
            <w:pPr>
              <w:spacing w:before="60" w:after="60" w:line="240" w:lineRule="auto"/>
              <w:ind w:left="0"/>
              <w:rPr>
                <w:rFonts w:cs="Tahoma"/>
                <w:sz w:val="20"/>
                <w:szCs w:val="20"/>
              </w:rPr>
            </w:pPr>
            <w:r w:rsidRPr="0023317C">
              <w:rPr>
                <w:rFonts w:cs="Tahoma"/>
                <w:sz w:val="20"/>
                <w:szCs w:val="20"/>
              </w:rPr>
              <w:t>Interference or damage to shipwrecks</w:t>
            </w:r>
          </w:p>
        </w:tc>
        <w:tc>
          <w:tcPr>
            <w:tcW w:w="3543" w:type="dxa"/>
            <w:vAlign w:val="center"/>
          </w:tcPr>
          <w:p w14:paraId="09616B28" w14:textId="1491CFA2" w:rsidR="00C66142" w:rsidRPr="0023317C" w:rsidRDefault="00C66142" w:rsidP="00C66142">
            <w:pPr>
              <w:spacing w:before="60" w:after="60" w:line="240" w:lineRule="auto"/>
              <w:ind w:left="0"/>
              <w:rPr>
                <w:rFonts w:cs="Tahoma"/>
                <w:sz w:val="20"/>
                <w:szCs w:val="20"/>
              </w:rPr>
            </w:pPr>
            <w:r w:rsidRPr="0023317C">
              <w:rPr>
                <w:rFonts w:cs="Tahoma"/>
                <w:sz w:val="20"/>
                <w:szCs w:val="20"/>
              </w:rPr>
              <w:t>Ongoing surveillance and reporting of disturbance to shipwrecks within the acquisition area.</w:t>
            </w:r>
          </w:p>
        </w:tc>
        <w:tc>
          <w:tcPr>
            <w:tcW w:w="3261" w:type="dxa"/>
          </w:tcPr>
          <w:p w14:paraId="79588624" w14:textId="38D73B1D" w:rsidR="00C66142" w:rsidRPr="0023317C" w:rsidRDefault="00C66142" w:rsidP="008548E3">
            <w:pPr>
              <w:spacing w:before="60" w:after="60" w:line="240" w:lineRule="auto"/>
              <w:ind w:left="0"/>
              <w:rPr>
                <w:rFonts w:cs="Tahoma"/>
                <w:sz w:val="20"/>
                <w:szCs w:val="20"/>
              </w:rPr>
            </w:pPr>
            <w:r w:rsidRPr="0023317C">
              <w:rPr>
                <w:rFonts w:cs="Tahoma"/>
                <w:sz w:val="20"/>
                <w:szCs w:val="20"/>
              </w:rPr>
              <w:t>Continuous during survey.</w:t>
            </w:r>
          </w:p>
        </w:tc>
      </w:tr>
      <w:tr w:rsidR="00C66142" w:rsidRPr="00091430" w14:paraId="4F403E27" w14:textId="77777777" w:rsidTr="00E637F1">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519416A0" w14:textId="3403A964" w:rsidR="00C66142" w:rsidRPr="0023317C" w:rsidRDefault="00C66142" w:rsidP="00C66142">
            <w:pPr>
              <w:spacing w:before="60" w:after="60" w:line="240" w:lineRule="auto"/>
              <w:ind w:left="0"/>
              <w:rPr>
                <w:rFonts w:cs="Tahoma"/>
                <w:sz w:val="20"/>
                <w:szCs w:val="20"/>
              </w:rPr>
            </w:pPr>
            <w:r w:rsidRPr="0023317C">
              <w:rPr>
                <w:rFonts w:cs="Tahoma"/>
                <w:sz w:val="20"/>
                <w:szCs w:val="20"/>
              </w:rPr>
              <w:t>Introduction of IMS to acquisition area</w:t>
            </w:r>
          </w:p>
        </w:tc>
        <w:tc>
          <w:tcPr>
            <w:tcW w:w="3543" w:type="dxa"/>
          </w:tcPr>
          <w:p w14:paraId="3934D26A" w14:textId="407F4759" w:rsidR="00C66142" w:rsidRPr="0023317C" w:rsidRDefault="00E637F1" w:rsidP="00E637F1">
            <w:pPr>
              <w:spacing w:before="60" w:after="60" w:line="240" w:lineRule="auto"/>
              <w:ind w:left="0"/>
              <w:rPr>
                <w:rFonts w:cs="Tahoma"/>
                <w:sz w:val="20"/>
                <w:szCs w:val="20"/>
              </w:rPr>
            </w:pPr>
            <w:r w:rsidRPr="0023317C">
              <w:rPr>
                <w:rFonts w:cs="Tahoma"/>
                <w:sz w:val="20"/>
                <w:szCs w:val="20"/>
              </w:rPr>
              <w:t>Volume and location of ballast water discharges noted.</w:t>
            </w:r>
          </w:p>
        </w:tc>
        <w:tc>
          <w:tcPr>
            <w:tcW w:w="3261" w:type="dxa"/>
          </w:tcPr>
          <w:p w14:paraId="3A7901A1" w14:textId="76BD3E6B" w:rsidR="00C66142" w:rsidRPr="0023317C" w:rsidRDefault="00E637F1" w:rsidP="008548E3">
            <w:pPr>
              <w:spacing w:before="60" w:after="60" w:line="240" w:lineRule="auto"/>
              <w:ind w:left="0"/>
              <w:rPr>
                <w:rFonts w:cs="Tahoma"/>
                <w:sz w:val="20"/>
                <w:szCs w:val="20"/>
              </w:rPr>
            </w:pPr>
            <w:r w:rsidRPr="0023317C">
              <w:rPr>
                <w:rFonts w:cs="Tahoma"/>
                <w:sz w:val="20"/>
                <w:szCs w:val="20"/>
              </w:rPr>
              <w:t xml:space="preserve">As required, noted in the ballast water log. </w:t>
            </w:r>
          </w:p>
        </w:tc>
      </w:tr>
      <w:tr w:rsidR="009C4735" w:rsidRPr="00091430" w14:paraId="0AAD0646" w14:textId="77777777" w:rsidTr="00C6614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vMerge w:val="restart"/>
          </w:tcPr>
          <w:p w14:paraId="0D94CBE9" w14:textId="330A203E" w:rsidR="009C4735" w:rsidRPr="0023317C" w:rsidRDefault="009C4735" w:rsidP="00C66142">
            <w:pPr>
              <w:spacing w:before="60" w:after="60" w:line="240" w:lineRule="auto"/>
              <w:ind w:left="0"/>
              <w:rPr>
                <w:rFonts w:cs="Tahoma"/>
                <w:sz w:val="20"/>
                <w:szCs w:val="20"/>
              </w:rPr>
            </w:pPr>
            <w:r w:rsidRPr="0023317C">
              <w:rPr>
                <w:rFonts w:cs="Tahoma"/>
                <w:sz w:val="20"/>
                <w:szCs w:val="20"/>
              </w:rPr>
              <w:t>Swimmers and divers</w:t>
            </w:r>
          </w:p>
        </w:tc>
        <w:tc>
          <w:tcPr>
            <w:tcW w:w="3543" w:type="dxa"/>
          </w:tcPr>
          <w:p w14:paraId="205F516F" w14:textId="2683C1AB" w:rsidR="009C4735" w:rsidRPr="0023317C" w:rsidRDefault="009C4735" w:rsidP="00C66142">
            <w:pPr>
              <w:spacing w:before="60" w:after="60" w:line="240" w:lineRule="auto"/>
              <w:ind w:left="0"/>
              <w:rPr>
                <w:rFonts w:cs="Tahoma"/>
                <w:sz w:val="20"/>
                <w:szCs w:val="20"/>
              </w:rPr>
            </w:pPr>
            <w:r w:rsidRPr="0023317C">
              <w:rPr>
                <w:rFonts w:cs="Tahoma"/>
                <w:sz w:val="20"/>
                <w:szCs w:val="20"/>
              </w:rPr>
              <w:t xml:space="preserve">Bridge watch for ‘diver below’ flags and swimmers. </w:t>
            </w:r>
          </w:p>
        </w:tc>
        <w:tc>
          <w:tcPr>
            <w:tcW w:w="3261" w:type="dxa"/>
          </w:tcPr>
          <w:p w14:paraId="03C3D41D" w14:textId="27A97A1D" w:rsidR="009C4735" w:rsidRPr="0023317C" w:rsidRDefault="009C4735" w:rsidP="008548E3">
            <w:pPr>
              <w:spacing w:before="60" w:after="60" w:line="240" w:lineRule="auto"/>
              <w:ind w:left="0"/>
              <w:rPr>
                <w:rFonts w:cs="Tahoma"/>
                <w:sz w:val="20"/>
                <w:szCs w:val="20"/>
              </w:rPr>
            </w:pPr>
            <w:r w:rsidRPr="0023317C">
              <w:rPr>
                <w:rFonts w:cs="Tahoma"/>
                <w:sz w:val="20"/>
                <w:szCs w:val="20"/>
              </w:rPr>
              <w:t>Continuous during survey.</w:t>
            </w:r>
          </w:p>
        </w:tc>
      </w:tr>
      <w:tr w:rsidR="009C4735" w:rsidRPr="00091430" w14:paraId="65B29DCD" w14:textId="77777777" w:rsidTr="00C6614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vMerge/>
          </w:tcPr>
          <w:p w14:paraId="23F12DD5" w14:textId="77777777" w:rsidR="009C4735" w:rsidRPr="0023317C" w:rsidRDefault="009C4735" w:rsidP="00C66142">
            <w:pPr>
              <w:spacing w:before="60" w:after="60" w:line="240" w:lineRule="auto"/>
              <w:ind w:left="0"/>
              <w:rPr>
                <w:rFonts w:cs="Tahoma"/>
                <w:sz w:val="20"/>
                <w:szCs w:val="20"/>
              </w:rPr>
            </w:pPr>
          </w:p>
        </w:tc>
        <w:tc>
          <w:tcPr>
            <w:tcW w:w="3543" w:type="dxa"/>
          </w:tcPr>
          <w:p w14:paraId="76780FE7" w14:textId="105C9BEA" w:rsidR="009C4735" w:rsidRPr="0023317C" w:rsidRDefault="009C4735" w:rsidP="00C66142">
            <w:pPr>
              <w:spacing w:before="60" w:after="60" w:line="240" w:lineRule="auto"/>
              <w:ind w:left="0"/>
              <w:rPr>
                <w:rFonts w:cs="Tahoma"/>
                <w:sz w:val="20"/>
                <w:szCs w:val="20"/>
              </w:rPr>
            </w:pPr>
            <w:r>
              <w:rPr>
                <w:rFonts w:cs="Tahoma"/>
                <w:sz w:val="20"/>
                <w:szCs w:val="20"/>
              </w:rPr>
              <w:t>Beach patrols.</w:t>
            </w:r>
          </w:p>
        </w:tc>
        <w:tc>
          <w:tcPr>
            <w:tcW w:w="3261" w:type="dxa"/>
          </w:tcPr>
          <w:p w14:paraId="770714B7" w14:textId="491F3581" w:rsidR="009C4735" w:rsidRPr="0023317C" w:rsidRDefault="00F96406" w:rsidP="008548E3">
            <w:pPr>
              <w:spacing w:before="60" w:after="60" w:line="240" w:lineRule="auto"/>
              <w:ind w:left="0"/>
              <w:rPr>
                <w:rFonts w:cs="Tahoma"/>
                <w:sz w:val="20"/>
                <w:szCs w:val="20"/>
              </w:rPr>
            </w:pPr>
            <w:r>
              <w:rPr>
                <w:rFonts w:cs="Tahoma"/>
                <w:sz w:val="20"/>
                <w:szCs w:val="20"/>
              </w:rPr>
              <w:t>As required (i.e., not when the survey vessel is at the most seaward parts of the acquisition area)</w:t>
            </w:r>
            <w:r w:rsidR="009C4735" w:rsidRPr="0023317C">
              <w:rPr>
                <w:rFonts w:cs="Tahoma"/>
                <w:sz w:val="20"/>
                <w:szCs w:val="20"/>
              </w:rPr>
              <w:t>.</w:t>
            </w:r>
          </w:p>
        </w:tc>
      </w:tr>
      <w:tr w:rsidR="00E637F1" w:rsidRPr="00091430" w14:paraId="6E1715EE" w14:textId="77777777" w:rsidTr="00C6614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410C8EE3" w14:textId="1357E82D" w:rsidR="00E637F1" w:rsidRPr="0023317C" w:rsidRDefault="00E637F1" w:rsidP="00C66142">
            <w:pPr>
              <w:spacing w:before="60" w:after="60" w:line="240" w:lineRule="auto"/>
              <w:ind w:left="0"/>
              <w:rPr>
                <w:rFonts w:cs="Tahoma"/>
                <w:sz w:val="20"/>
                <w:szCs w:val="20"/>
              </w:rPr>
            </w:pPr>
            <w:r w:rsidRPr="0023317C">
              <w:rPr>
                <w:rFonts w:cs="Tahoma"/>
                <w:sz w:val="20"/>
                <w:szCs w:val="20"/>
              </w:rPr>
              <w:t>Vessel strike or entanglement with cetaceans</w:t>
            </w:r>
          </w:p>
        </w:tc>
        <w:tc>
          <w:tcPr>
            <w:tcW w:w="3543" w:type="dxa"/>
          </w:tcPr>
          <w:p w14:paraId="19D25E81" w14:textId="2E72B28F" w:rsidR="00E637F1" w:rsidRPr="0023317C" w:rsidRDefault="00E637F1" w:rsidP="00C66142">
            <w:pPr>
              <w:spacing w:before="60" w:after="60" w:line="240" w:lineRule="auto"/>
              <w:ind w:left="0"/>
              <w:rPr>
                <w:rFonts w:cs="Tahoma"/>
                <w:sz w:val="20"/>
                <w:szCs w:val="20"/>
              </w:rPr>
            </w:pPr>
            <w:r w:rsidRPr="0023317C">
              <w:rPr>
                <w:rFonts w:cs="Tahoma"/>
                <w:sz w:val="20"/>
                <w:szCs w:val="20"/>
              </w:rPr>
              <w:t>MMO continuous megafauna observations.</w:t>
            </w:r>
          </w:p>
        </w:tc>
        <w:tc>
          <w:tcPr>
            <w:tcW w:w="3261" w:type="dxa"/>
          </w:tcPr>
          <w:p w14:paraId="36802BA4" w14:textId="15586814" w:rsidR="00E637F1" w:rsidRPr="0023317C" w:rsidRDefault="00E637F1" w:rsidP="008548E3">
            <w:pPr>
              <w:spacing w:before="60" w:after="60" w:line="240" w:lineRule="auto"/>
              <w:ind w:left="0"/>
              <w:rPr>
                <w:rFonts w:cs="Tahoma"/>
                <w:sz w:val="20"/>
                <w:szCs w:val="20"/>
              </w:rPr>
            </w:pPr>
            <w:r w:rsidRPr="0023317C">
              <w:rPr>
                <w:rFonts w:cs="Tahoma"/>
                <w:sz w:val="20"/>
                <w:szCs w:val="20"/>
              </w:rPr>
              <w:t>Continuous during survey.</w:t>
            </w:r>
          </w:p>
        </w:tc>
      </w:tr>
      <w:tr w:rsidR="00E637F1" w:rsidRPr="00091430" w14:paraId="5C564353" w14:textId="77777777" w:rsidTr="00C66142">
        <w:tblPrEx>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Ex>
        <w:tc>
          <w:tcPr>
            <w:tcW w:w="1702" w:type="dxa"/>
          </w:tcPr>
          <w:p w14:paraId="4A15C0CE" w14:textId="71AA67E5" w:rsidR="00E637F1" w:rsidRPr="0023317C" w:rsidRDefault="00E637F1" w:rsidP="00C66142">
            <w:pPr>
              <w:spacing w:before="60" w:after="60" w:line="240" w:lineRule="auto"/>
              <w:ind w:left="0"/>
              <w:rPr>
                <w:rFonts w:cs="Tahoma"/>
                <w:sz w:val="20"/>
                <w:szCs w:val="20"/>
              </w:rPr>
            </w:pPr>
            <w:r w:rsidRPr="0023317C">
              <w:rPr>
                <w:rFonts w:cs="Tahoma"/>
                <w:sz w:val="20"/>
                <w:szCs w:val="20"/>
              </w:rPr>
              <w:t>Diesel spill</w:t>
            </w:r>
            <w:r w:rsidR="008A7589" w:rsidRPr="0023317C">
              <w:rPr>
                <w:rFonts w:cs="Tahoma"/>
                <w:sz w:val="20"/>
                <w:szCs w:val="20"/>
              </w:rPr>
              <w:t xml:space="preserve"> (in the event of)</w:t>
            </w:r>
          </w:p>
        </w:tc>
        <w:tc>
          <w:tcPr>
            <w:tcW w:w="3543" w:type="dxa"/>
          </w:tcPr>
          <w:p w14:paraId="3F928962" w14:textId="247881EE" w:rsidR="00E637F1" w:rsidRPr="0023317C" w:rsidRDefault="008A7589" w:rsidP="008A7589">
            <w:pPr>
              <w:spacing w:before="60" w:after="60" w:line="240" w:lineRule="auto"/>
              <w:ind w:left="0"/>
              <w:rPr>
                <w:rFonts w:cs="Tahoma"/>
                <w:sz w:val="20"/>
                <w:szCs w:val="20"/>
              </w:rPr>
            </w:pPr>
            <w:r w:rsidRPr="0023317C">
              <w:rPr>
                <w:rFonts w:cs="Tahoma"/>
                <w:sz w:val="20"/>
                <w:szCs w:val="20"/>
              </w:rPr>
              <w:t>Operational m</w:t>
            </w:r>
            <w:r w:rsidR="00E637F1" w:rsidRPr="0023317C">
              <w:rPr>
                <w:rFonts w:cs="Tahoma"/>
                <w:sz w:val="20"/>
                <w:szCs w:val="20"/>
              </w:rPr>
              <w:t>onitoring in line with the OPEP.</w:t>
            </w:r>
          </w:p>
        </w:tc>
        <w:tc>
          <w:tcPr>
            <w:tcW w:w="3261" w:type="dxa"/>
          </w:tcPr>
          <w:p w14:paraId="73AD59AD" w14:textId="1DB059A2" w:rsidR="00E637F1" w:rsidRPr="0023317C" w:rsidRDefault="00E637F1" w:rsidP="008548E3">
            <w:pPr>
              <w:spacing w:before="60" w:after="60" w:line="240" w:lineRule="auto"/>
              <w:ind w:left="0"/>
              <w:rPr>
                <w:rFonts w:cs="Tahoma"/>
                <w:sz w:val="20"/>
                <w:szCs w:val="20"/>
              </w:rPr>
            </w:pPr>
            <w:r w:rsidRPr="0023317C">
              <w:rPr>
                <w:rFonts w:cs="Tahoma"/>
                <w:sz w:val="20"/>
                <w:szCs w:val="20"/>
              </w:rPr>
              <w:t xml:space="preserve">As required. </w:t>
            </w:r>
          </w:p>
        </w:tc>
      </w:tr>
    </w:tbl>
    <w:p w14:paraId="396EC36A" w14:textId="77777777" w:rsidR="00246964" w:rsidRDefault="00246964" w:rsidP="000D46DA"/>
    <w:p w14:paraId="15F4025B" w14:textId="18D83A89" w:rsidR="009C4735" w:rsidRPr="009C4735" w:rsidRDefault="009C4735" w:rsidP="00834163">
      <w:pPr>
        <w:ind w:left="0"/>
        <w:rPr>
          <w:rFonts w:cs="Arial"/>
          <w:b/>
          <w:sz w:val="22"/>
          <w:szCs w:val="22"/>
        </w:rPr>
      </w:pPr>
      <w:r w:rsidRPr="009C4735">
        <w:rPr>
          <w:rFonts w:cs="Arial"/>
          <w:b/>
          <w:sz w:val="22"/>
          <w:szCs w:val="22"/>
        </w:rPr>
        <w:t xml:space="preserve">Pre- and Post-MSS </w:t>
      </w:r>
      <w:r w:rsidR="00406E95">
        <w:rPr>
          <w:rFonts w:cs="Arial"/>
          <w:b/>
          <w:sz w:val="22"/>
          <w:szCs w:val="22"/>
        </w:rPr>
        <w:t xml:space="preserve">Marine </w:t>
      </w:r>
      <w:r w:rsidRPr="009C4735">
        <w:rPr>
          <w:rFonts w:cs="Arial"/>
          <w:b/>
          <w:sz w:val="22"/>
          <w:szCs w:val="22"/>
        </w:rPr>
        <w:t>Habitat Assessment</w:t>
      </w:r>
      <w:r w:rsidR="00AD76D5">
        <w:rPr>
          <w:rFonts w:cs="Arial"/>
          <w:b/>
          <w:sz w:val="22"/>
          <w:szCs w:val="22"/>
        </w:rPr>
        <w:t xml:space="preserve"> </w:t>
      </w:r>
    </w:p>
    <w:p w14:paraId="4D0B201E" w14:textId="77777777" w:rsidR="009C4735" w:rsidRDefault="009C4735" w:rsidP="00834163">
      <w:pPr>
        <w:ind w:left="0"/>
        <w:rPr>
          <w:rFonts w:cs="Arial"/>
          <w:sz w:val="22"/>
          <w:szCs w:val="22"/>
        </w:rPr>
      </w:pPr>
    </w:p>
    <w:p w14:paraId="29A3216C" w14:textId="69B4A776" w:rsidR="00D85A3B" w:rsidRDefault="00834163" w:rsidP="000776DA">
      <w:pPr>
        <w:spacing w:after="120" w:line="240" w:lineRule="auto"/>
        <w:ind w:left="0"/>
        <w:rPr>
          <w:rFonts w:cs="Arial"/>
          <w:sz w:val="22"/>
          <w:szCs w:val="22"/>
        </w:rPr>
      </w:pPr>
      <w:r>
        <w:rPr>
          <w:rFonts w:cs="Arial"/>
          <w:sz w:val="22"/>
          <w:szCs w:val="22"/>
        </w:rPr>
        <w:t xml:space="preserve">CarbonNet has been in discussions with </w:t>
      </w:r>
      <w:r w:rsidR="00E13866">
        <w:rPr>
          <w:rFonts w:cs="Arial"/>
          <w:sz w:val="22"/>
          <w:szCs w:val="22"/>
        </w:rPr>
        <w:t xml:space="preserve">the </w:t>
      </w:r>
      <w:r w:rsidR="009765FF">
        <w:rPr>
          <w:rFonts w:cs="Arial"/>
          <w:sz w:val="22"/>
          <w:szCs w:val="22"/>
        </w:rPr>
        <w:t xml:space="preserve">fishing industry and </w:t>
      </w:r>
      <w:r w:rsidR="009B5550">
        <w:rPr>
          <w:rFonts w:cs="Arial"/>
          <w:sz w:val="22"/>
          <w:szCs w:val="22"/>
        </w:rPr>
        <w:t xml:space="preserve">the VFA </w:t>
      </w:r>
      <w:r w:rsidR="00210A36">
        <w:rPr>
          <w:rFonts w:cs="Arial"/>
          <w:sz w:val="22"/>
          <w:szCs w:val="22"/>
        </w:rPr>
        <w:t>about undertak</w:t>
      </w:r>
      <w:r w:rsidR="00E13866">
        <w:rPr>
          <w:rFonts w:cs="Arial"/>
          <w:sz w:val="22"/>
          <w:szCs w:val="22"/>
        </w:rPr>
        <w:t>ing</w:t>
      </w:r>
      <w:r w:rsidR="00210A36">
        <w:rPr>
          <w:rFonts w:cs="Arial"/>
          <w:sz w:val="22"/>
          <w:szCs w:val="22"/>
        </w:rPr>
        <w:t xml:space="preserve"> a pre- and post-MSS </w:t>
      </w:r>
      <w:r w:rsidR="009765FF">
        <w:rPr>
          <w:rFonts w:cs="Arial"/>
          <w:sz w:val="22"/>
          <w:szCs w:val="22"/>
        </w:rPr>
        <w:t>marine environmental assessment.</w:t>
      </w:r>
      <w:r w:rsidR="00210A36">
        <w:rPr>
          <w:rFonts w:cs="Arial"/>
          <w:sz w:val="22"/>
          <w:szCs w:val="22"/>
        </w:rPr>
        <w:t xml:space="preserve"> </w:t>
      </w:r>
      <w:r w:rsidR="009765FF">
        <w:rPr>
          <w:rFonts w:cs="Arial"/>
          <w:sz w:val="22"/>
          <w:szCs w:val="22"/>
        </w:rPr>
        <w:t>CarbonNet has proposed a non-invasive observation-based methodology similar to the assessment undertaken in April 2017, which sought to determine the presence or absence of</w:t>
      </w:r>
      <w:r w:rsidR="00D85A3B" w:rsidRPr="00D85A3B">
        <w:rPr>
          <w:rFonts w:cs="Arial"/>
          <w:sz w:val="22"/>
          <w:szCs w:val="22"/>
        </w:rPr>
        <w:t>:</w:t>
      </w:r>
    </w:p>
    <w:p w14:paraId="7245F6B6" w14:textId="2059AA4F" w:rsidR="00D85A3B" w:rsidRPr="00D56033" w:rsidRDefault="00D85A3B" w:rsidP="00D85A3B">
      <w:pPr>
        <w:pStyle w:val="ListParagraph0"/>
        <w:numPr>
          <w:ilvl w:val="0"/>
          <w:numId w:val="431"/>
        </w:numPr>
        <w:rPr>
          <w:rFonts w:cs="Arial"/>
          <w:sz w:val="22"/>
          <w:szCs w:val="22"/>
        </w:rPr>
      </w:pPr>
      <w:r w:rsidRPr="00D56033">
        <w:rPr>
          <w:rFonts w:cs="Arial"/>
          <w:sz w:val="22"/>
          <w:szCs w:val="22"/>
        </w:rPr>
        <w:t>Environmentally sensitive habitats;</w:t>
      </w:r>
    </w:p>
    <w:p w14:paraId="01169317" w14:textId="06063029" w:rsidR="00D85A3B" w:rsidRPr="00D56033" w:rsidRDefault="00D85A3B" w:rsidP="00D85A3B">
      <w:pPr>
        <w:pStyle w:val="ListParagraph0"/>
        <w:numPr>
          <w:ilvl w:val="0"/>
          <w:numId w:val="431"/>
        </w:numPr>
        <w:rPr>
          <w:rFonts w:cs="Arial"/>
          <w:sz w:val="22"/>
          <w:szCs w:val="22"/>
        </w:rPr>
      </w:pPr>
      <w:r w:rsidRPr="00D56033">
        <w:rPr>
          <w:rFonts w:cs="Arial"/>
          <w:sz w:val="22"/>
          <w:szCs w:val="22"/>
        </w:rPr>
        <w:t>Broad seabed substrate types;</w:t>
      </w:r>
    </w:p>
    <w:p w14:paraId="5A158D48" w14:textId="5BC1D9FD" w:rsidR="00D85A3B" w:rsidRPr="00D56033" w:rsidRDefault="00D85A3B" w:rsidP="00D85A3B">
      <w:pPr>
        <w:pStyle w:val="ListParagraph0"/>
        <w:numPr>
          <w:ilvl w:val="0"/>
          <w:numId w:val="431"/>
        </w:numPr>
        <w:rPr>
          <w:rFonts w:cs="Arial"/>
          <w:sz w:val="22"/>
          <w:szCs w:val="22"/>
        </w:rPr>
      </w:pPr>
      <w:r w:rsidRPr="00D56033">
        <w:rPr>
          <w:rFonts w:cs="Arial"/>
          <w:sz w:val="22"/>
          <w:szCs w:val="22"/>
        </w:rPr>
        <w:t>The presence or absence of commercial scallop beds (</w:t>
      </w:r>
      <w:r w:rsidRPr="00D56033">
        <w:rPr>
          <w:rFonts w:cs="Arial"/>
          <w:i/>
          <w:sz w:val="22"/>
          <w:szCs w:val="22"/>
        </w:rPr>
        <w:t>Pecten fumatus</w:t>
      </w:r>
      <w:r w:rsidRPr="00D56033">
        <w:rPr>
          <w:rFonts w:cs="Arial"/>
          <w:sz w:val="22"/>
          <w:szCs w:val="22"/>
        </w:rPr>
        <w:t>); and</w:t>
      </w:r>
    </w:p>
    <w:p w14:paraId="07D9D848" w14:textId="70D93341" w:rsidR="00D85A3B" w:rsidRPr="00D56033" w:rsidRDefault="00D85A3B" w:rsidP="00D85A3B">
      <w:pPr>
        <w:pStyle w:val="ListParagraph0"/>
        <w:numPr>
          <w:ilvl w:val="0"/>
          <w:numId w:val="431"/>
        </w:numPr>
        <w:rPr>
          <w:rFonts w:cs="Arial"/>
          <w:sz w:val="22"/>
          <w:szCs w:val="22"/>
        </w:rPr>
      </w:pPr>
      <w:r w:rsidRPr="00D56033">
        <w:rPr>
          <w:rFonts w:cs="Arial"/>
          <w:sz w:val="22"/>
          <w:szCs w:val="22"/>
        </w:rPr>
        <w:t>The presence or absence of southern rock lobsters (</w:t>
      </w:r>
      <w:r w:rsidRPr="00D56033">
        <w:rPr>
          <w:rFonts w:cs="Arial"/>
          <w:i/>
          <w:sz w:val="22"/>
          <w:szCs w:val="22"/>
        </w:rPr>
        <w:t>Jasus edwardsii</w:t>
      </w:r>
      <w:r w:rsidRPr="00D56033">
        <w:rPr>
          <w:rFonts w:cs="Arial"/>
          <w:sz w:val="22"/>
          <w:szCs w:val="22"/>
        </w:rPr>
        <w:t>)</w:t>
      </w:r>
      <w:r w:rsidR="004A2737">
        <w:rPr>
          <w:rFonts w:cs="Arial"/>
          <w:sz w:val="22"/>
          <w:szCs w:val="22"/>
        </w:rPr>
        <w:t xml:space="preserve"> and their preferred reef habitat</w:t>
      </w:r>
      <w:r w:rsidRPr="00D56033">
        <w:rPr>
          <w:rFonts w:cs="Arial"/>
          <w:sz w:val="22"/>
          <w:szCs w:val="22"/>
        </w:rPr>
        <w:t>.</w:t>
      </w:r>
    </w:p>
    <w:p w14:paraId="571703B2" w14:textId="77777777" w:rsidR="00D85A3B" w:rsidRPr="00D56033" w:rsidRDefault="00D85A3B" w:rsidP="00D85A3B">
      <w:pPr>
        <w:ind w:left="0"/>
        <w:rPr>
          <w:rFonts w:cs="Arial"/>
          <w:sz w:val="22"/>
          <w:szCs w:val="22"/>
        </w:rPr>
      </w:pPr>
    </w:p>
    <w:p w14:paraId="4860ECBA" w14:textId="42A49071" w:rsidR="00D56033" w:rsidRDefault="00D85A3B" w:rsidP="00D85A3B">
      <w:pPr>
        <w:ind w:left="0"/>
        <w:rPr>
          <w:rFonts w:cs="Arial"/>
          <w:sz w:val="22"/>
          <w:szCs w:val="22"/>
        </w:rPr>
      </w:pPr>
      <w:r w:rsidRPr="00D56033">
        <w:rPr>
          <w:rFonts w:cs="Arial"/>
          <w:sz w:val="22"/>
          <w:szCs w:val="22"/>
        </w:rPr>
        <w:t xml:space="preserve">CarbonNet </w:t>
      </w:r>
      <w:r w:rsidR="00D56033" w:rsidRPr="00D56033">
        <w:rPr>
          <w:rFonts w:cs="Arial"/>
          <w:sz w:val="22"/>
          <w:szCs w:val="22"/>
        </w:rPr>
        <w:t xml:space="preserve">again </w:t>
      </w:r>
      <w:r w:rsidR="003D05B6">
        <w:rPr>
          <w:rFonts w:cs="Arial"/>
          <w:sz w:val="22"/>
          <w:szCs w:val="22"/>
        </w:rPr>
        <w:t xml:space="preserve">proposes to </w:t>
      </w:r>
      <w:r w:rsidRPr="00D56033">
        <w:rPr>
          <w:rFonts w:cs="Arial"/>
          <w:sz w:val="22"/>
          <w:szCs w:val="22"/>
        </w:rPr>
        <w:t xml:space="preserve">adopt a non-invasive </w:t>
      </w:r>
      <w:r w:rsidR="00D56033" w:rsidRPr="00D56033">
        <w:rPr>
          <w:rFonts w:cs="Arial"/>
          <w:sz w:val="22"/>
          <w:szCs w:val="22"/>
        </w:rPr>
        <w:t xml:space="preserve">survey </w:t>
      </w:r>
      <w:r w:rsidRPr="00D56033">
        <w:rPr>
          <w:rFonts w:cs="Arial"/>
          <w:sz w:val="22"/>
          <w:szCs w:val="22"/>
        </w:rPr>
        <w:t>technique</w:t>
      </w:r>
      <w:r w:rsidR="00D56033" w:rsidRPr="00D56033">
        <w:rPr>
          <w:rFonts w:cs="Arial"/>
          <w:sz w:val="22"/>
          <w:szCs w:val="22"/>
        </w:rPr>
        <w:t xml:space="preserve"> (</w:t>
      </w:r>
      <w:r w:rsidR="000776DA">
        <w:rPr>
          <w:rFonts w:cs="Arial"/>
          <w:sz w:val="22"/>
          <w:szCs w:val="22"/>
        </w:rPr>
        <w:t xml:space="preserve">such as </w:t>
      </w:r>
      <w:r w:rsidR="00D56033" w:rsidRPr="00D56033">
        <w:rPr>
          <w:rFonts w:cs="Arial"/>
          <w:sz w:val="22"/>
          <w:szCs w:val="22"/>
        </w:rPr>
        <w:t>towed video)</w:t>
      </w:r>
      <w:r w:rsidRPr="00D56033">
        <w:rPr>
          <w:rFonts w:cs="Arial"/>
          <w:sz w:val="22"/>
          <w:szCs w:val="22"/>
        </w:rPr>
        <w:t>, consistent with the</w:t>
      </w:r>
      <w:r w:rsidR="002B271E">
        <w:rPr>
          <w:rFonts w:cs="Arial"/>
          <w:sz w:val="22"/>
          <w:szCs w:val="22"/>
        </w:rPr>
        <w:t xml:space="preserve"> project’s regulatory approvals</w:t>
      </w:r>
      <w:r w:rsidR="00D56033" w:rsidRPr="00D56033">
        <w:rPr>
          <w:rFonts w:cs="Arial"/>
          <w:sz w:val="22"/>
          <w:szCs w:val="22"/>
        </w:rPr>
        <w:t>.</w:t>
      </w:r>
      <w:r w:rsidR="00D56033">
        <w:rPr>
          <w:rFonts w:cs="Arial"/>
          <w:sz w:val="22"/>
          <w:szCs w:val="22"/>
        </w:rPr>
        <w:t xml:space="preserve"> </w:t>
      </w:r>
    </w:p>
    <w:p w14:paraId="29053434" w14:textId="77777777" w:rsidR="00D56033" w:rsidRDefault="00D56033" w:rsidP="00D85A3B">
      <w:pPr>
        <w:ind w:left="0"/>
        <w:rPr>
          <w:rFonts w:cs="Arial"/>
          <w:sz w:val="22"/>
          <w:szCs w:val="22"/>
        </w:rPr>
      </w:pPr>
    </w:p>
    <w:p w14:paraId="74E8574B" w14:textId="77777777" w:rsidR="002B271E" w:rsidRPr="00DB7CEC" w:rsidRDefault="002B271E" w:rsidP="002B271E">
      <w:pPr>
        <w:spacing w:after="120"/>
        <w:ind w:left="0"/>
        <w:rPr>
          <w:rFonts w:cs="Arial"/>
          <w:i/>
          <w:sz w:val="22"/>
          <w:szCs w:val="22"/>
        </w:rPr>
      </w:pPr>
      <w:r w:rsidRPr="00DB7CEC">
        <w:rPr>
          <w:rFonts w:cs="Arial"/>
          <w:i/>
          <w:sz w:val="22"/>
          <w:szCs w:val="22"/>
        </w:rPr>
        <w:t>Purpose</w:t>
      </w:r>
    </w:p>
    <w:p w14:paraId="1069C5DF" w14:textId="77777777" w:rsidR="002B271E" w:rsidRDefault="002B271E" w:rsidP="002B271E">
      <w:pPr>
        <w:ind w:left="0"/>
        <w:rPr>
          <w:rFonts w:cs="Arial"/>
          <w:sz w:val="22"/>
          <w:szCs w:val="22"/>
        </w:rPr>
      </w:pPr>
      <w:r>
        <w:rPr>
          <w:rFonts w:cs="Arial"/>
          <w:sz w:val="22"/>
          <w:szCs w:val="22"/>
        </w:rPr>
        <w:t xml:space="preserve">The purpose of the pre- and post-MSS marine environmental assessment is to provide more certainty to the fishing industry regarding the presence or absence of </w:t>
      </w:r>
      <w:r>
        <w:rPr>
          <w:rFonts w:cs="Arial"/>
          <w:sz w:val="22"/>
          <w:szCs w:val="22"/>
        </w:rPr>
        <w:lastRenderedPageBreak/>
        <w:t xml:space="preserve">commercial scallop beds and southern rock lobsters, thereby providing more certainty regarding the extent of potential impacts to scallop and lobster fisheries. The additional monitoring will allow for comparisons of key environmental habitats and species prior to and after the MSS takes place, designed and undertaken on a scientific basis. </w:t>
      </w:r>
    </w:p>
    <w:p w14:paraId="44D8A599" w14:textId="77777777" w:rsidR="002B271E" w:rsidRDefault="002B271E" w:rsidP="002B271E">
      <w:pPr>
        <w:ind w:left="0"/>
        <w:rPr>
          <w:rFonts w:cs="Arial"/>
          <w:sz w:val="22"/>
          <w:szCs w:val="22"/>
        </w:rPr>
      </w:pPr>
    </w:p>
    <w:p w14:paraId="4655B127" w14:textId="77777777" w:rsidR="002B271E" w:rsidRPr="00DB7CEC" w:rsidRDefault="002B271E" w:rsidP="002B271E">
      <w:pPr>
        <w:spacing w:after="120"/>
        <w:ind w:left="0"/>
        <w:rPr>
          <w:rFonts w:cs="Arial"/>
          <w:i/>
          <w:sz w:val="22"/>
          <w:szCs w:val="22"/>
        </w:rPr>
      </w:pPr>
      <w:r w:rsidRPr="00DB7CEC">
        <w:rPr>
          <w:rFonts w:cs="Arial"/>
          <w:i/>
          <w:sz w:val="22"/>
          <w:szCs w:val="22"/>
        </w:rPr>
        <w:t>Timing</w:t>
      </w:r>
    </w:p>
    <w:p w14:paraId="607A0573" w14:textId="77777777" w:rsidR="002B271E" w:rsidRDefault="002B271E" w:rsidP="002B271E">
      <w:pPr>
        <w:ind w:left="0"/>
        <w:rPr>
          <w:rFonts w:cs="Arial"/>
          <w:sz w:val="22"/>
          <w:szCs w:val="22"/>
        </w:rPr>
      </w:pPr>
      <w:r>
        <w:rPr>
          <w:rFonts w:cs="Arial"/>
          <w:sz w:val="22"/>
          <w:szCs w:val="22"/>
        </w:rPr>
        <w:t>The pre-MSS marine habitat assessment will take place at least several weeks prior to the MSS (subject to logistics and weather). It is anticipated that the post-MSS assessment will take place notionally within 3-6 months from the completion of the MSS. The ultimate timing of this post-MSS assessment is subject to discussion and agreement with the fishing industry stakeholders (based on relevant science), availability of the chosen consultants undertaking the work, vessel availability and sea state conditions.</w:t>
      </w:r>
    </w:p>
    <w:p w14:paraId="442FF647" w14:textId="77777777" w:rsidR="002B271E" w:rsidRDefault="002B271E" w:rsidP="002B271E">
      <w:pPr>
        <w:ind w:left="0"/>
        <w:rPr>
          <w:rFonts w:cs="Arial"/>
          <w:sz w:val="22"/>
          <w:szCs w:val="22"/>
        </w:rPr>
      </w:pPr>
    </w:p>
    <w:p w14:paraId="7F07D20A" w14:textId="77777777" w:rsidR="002B271E" w:rsidRPr="00DB7CEC" w:rsidRDefault="002B271E" w:rsidP="002B271E">
      <w:pPr>
        <w:spacing w:after="120"/>
        <w:ind w:left="0"/>
        <w:rPr>
          <w:rFonts w:cs="Arial"/>
          <w:i/>
          <w:sz w:val="22"/>
          <w:szCs w:val="22"/>
        </w:rPr>
      </w:pPr>
      <w:r w:rsidRPr="00DB7CEC">
        <w:rPr>
          <w:rFonts w:cs="Arial"/>
          <w:i/>
          <w:sz w:val="22"/>
          <w:szCs w:val="22"/>
        </w:rPr>
        <w:t>Proposed methodology</w:t>
      </w:r>
    </w:p>
    <w:p w14:paraId="234CD3B0" w14:textId="24D9BC69" w:rsidR="00D56033" w:rsidRDefault="00D56033" w:rsidP="00D85A3B">
      <w:pPr>
        <w:ind w:left="0"/>
        <w:rPr>
          <w:rFonts w:cs="Arial"/>
          <w:sz w:val="22"/>
          <w:szCs w:val="22"/>
        </w:rPr>
      </w:pPr>
      <w:r>
        <w:rPr>
          <w:rFonts w:cs="Arial"/>
          <w:sz w:val="22"/>
          <w:szCs w:val="22"/>
        </w:rPr>
        <w:t xml:space="preserve">It is envisaged that the work will involve: </w:t>
      </w:r>
    </w:p>
    <w:p w14:paraId="5561D29D" w14:textId="77777777" w:rsidR="00D56033" w:rsidRDefault="00D56033" w:rsidP="00D85A3B">
      <w:pPr>
        <w:ind w:left="0"/>
        <w:rPr>
          <w:rFonts w:cs="Arial"/>
          <w:sz w:val="22"/>
          <w:szCs w:val="22"/>
        </w:rPr>
      </w:pPr>
    </w:p>
    <w:p w14:paraId="501DC6C9" w14:textId="7699C104" w:rsidR="00D56033" w:rsidRPr="005340E3" w:rsidRDefault="00D56033" w:rsidP="005340E3">
      <w:pPr>
        <w:pStyle w:val="bodycopy"/>
        <w:numPr>
          <w:ilvl w:val="0"/>
          <w:numId w:val="430"/>
        </w:numPr>
        <w:rPr>
          <w:rFonts w:ascii="Arial" w:hAnsi="Arial"/>
          <w:sz w:val="22"/>
          <w:szCs w:val="22"/>
        </w:rPr>
      </w:pPr>
      <w:r w:rsidRPr="005340E3">
        <w:rPr>
          <w:rFonts w:ascii="Arial" w:hAnsi="Arial"/>
          <w:sz w:val="22"/>
          <w:szCs w:val="22"/>
        </w:rPr>
        <w:t xml:space="preserve">Using a small, locally-based vessel </w:t>
      </w:r>
      <w:r w:rsidR="00DF3149">
        <w:rPr>
          <w:rFonts w:ascii="Arial" w:hAnsi="Arial"/>
          <w:sz w:val="22"/>
          <w:szCs w:val="22"/>
        </w:rPr>
        <w:t>with which to undertake non-invasive observations</w:t>
      </w:r>
      <w:r w:rsidRPr="005340E3">
        <w:rPr>
          <w:rFonts w:ascii="Arial" w:hAnsi="Arial"/>
          <w:sz w:val="22"/>
          <w:szCs w:val="22"/>
        </w:rPr>
        <w:t>;</w:t>
      </w:r>
    </w:p>
    <w:p w14:paraId="0FB73181" w14:textId="305EBD77" w:rsidR="005340E3" w:rsidRPr="005340E3" w:rsidRDefault="005340E3" w:rsidP="005340E3">
      <w:pPr>
        <w:pStyle w:val="bodycopy"/>
        <w:numPr>
          <w:ilvl w:val="0"/>
          <w:numId w:val="430"/>
        </w:numPr>
        <w:rPr>
          <w:rFonts w:ascii="Arial" w:hAnsi="Arial"/>
          <w:sz w:val="22"/>
          <w:szCs w:val="22"/>
        </w:rPr>
      </w:pPr>
      <w:r w:rsidRPr="005340E3">
        <w:rPr>
          <w:rFonts w:ascii="Arial" w:hAnsi="Arial"/>
          <w:sz w:val="22"/>
          <w:szCs w:val="22"/>
        </w:rPr>
        <w:t xml:space="preserve">Establishing pre-determined monitoring locations in accordance with </w:t>
      </w:r>
      <w:r w:rsidR="007F5C74">
        <w:rPr>
          <w:rFonts w:ascii="Arial" w:hAnsi="Arial"/>
          <w:sz w:val="22"/>
          <w:szCs w:val="22"/>
        </w:rPr>
        <w:t>a scientifically robust survey design</w:t>
      </w:r>
      <w:r w:rsidR="004A2737">
        <w:rPr>
          <w:rFonts w:ascii="Arial" w:hAnsi="Arial"/>
          <w:sz w:val="22"/>
          <w:szCs w:val="22"/>
        </w:rPr>
        <w:t xml:space="preserve"> designed to detect the presence of scallop beds. In addition to sampling locations within the acquisition area, additional sampling locations will be included within the operational area and underwater sound EMBA for benthic invertebrates (i.e., at least a distance of 1,220 m from the boundary of the acquisition area)</w:t>
      </w:r>
      <w:r w:rsidRPr="005340E3">
        <w:rPr>
          <w:rFonts w:ascii="Arial" w:hAnsi="Arial"/>
          <w:sz w:val="22"/>
          <w:szCs w:val="22"/>
        </w:rPr>
        <w:t xml:space="preserve">; </w:t>
      </w:r>
    </w:p>
    <w:p w14:paraId="7E89A22C" w14:textId="1185D90C" w:rsidR="00D56033" w:rsidRPr="005340E3" w:rsidRDefault="00D56033" w:rsidP="005340E3">
      <w:pPr>
        <w:pStyle w:val="bodycopy"/>
        <w:numPr>
          <w:ilvl w:val="0"/>
          <w:numId w:val="430"/>
        </w:numPr>
        <w:rPr>
          <w:rFonts w:ascii="Arial" w:hAnsi="Arial"/>
          <w:sz w:val="22"/>
          <w:szCs w:val="22"/>
        </w:rPr>
      </w:pPr>
      <w:r w:rsidRPr="005340E3">
        <w:rPr>
          <w:rFonts w:ascii="Arial" w:hAnsi="Arial"/>
          <w:sz w:val="22"/>
          <w:szCs w:val="22"/>
        </w:rPr>
        <w:t xml:space="preserve">Having suitably experienced and qualified marine biologists on board the vessel to </w:t>
      </w:r>
      <w:r w:rsidR="005340E3" w:rsidRPr="005340E3">
        <w:rPr>
          <w:rFonts w:ascii="Arial" w:hAnsi="Arial"/>
          <w:sz w:val="22"/>
          <w:szCs w:val="22"/>
        </w:rPr>
        <w:t xml:space="preserve">set up the survey and </w:t>
      </w:r>
      <w:r w:rsidRPr="005340E3">
        <w:rPr>
          <w:rFonts w:ascii="Arial" w:hAnsi="Arial"/>
          <w:sz w:val="22"/>
          <w:szCs w:val="22"/>
        </w:rPr>
        <w:t>review live video footage;</w:t>
      </w:r>
    </w:p>
    <w:p w14:paraId="3CC51781" w14:textId="77777777" w:rsidR="009171E2" w:rsidRDefault="005340E3" w:rsidP="005340E3">
      <w:pPr>
        <w:pStyle w:val="bodycopy"/>
        <w:numPr>
          <w:ilvl w:val="0"/>
          <w:numId w:val="430"/>
        </w:numPr>
        <w:rPr>
          <w:rFonts w:ascii="Arial" w:hAnsi="Arial"/>
          <w:sz w:val="22"/>
          <w:szCs w:val="22"/>
        </w:rPr>
      </w:pPr>
      <w:r w:rsidRPr="005340E3">
        <w:rPr>
          <w:rFonts w:ascii="Arial" w:hAnsi="Arial"/>
          <w:sz w:val="22"/>
          <w:szCs w:val="22"/>
        </w:rPr>
        <w:t>Recording video footage for further review and analysis;</w:t>
      </w:r>
      <w:r w:rsidR="007F5C74">
        <w:rPr>
          <w:rFonts w:ascii="Arial" w:hAnsi="Arial"/>
          <w:sz w:val="22"/>
          <w:szCs w:val="22"/>
        </w:rPr>
        <w:t xml:space="preserve"> </w:t>
      </w:r>
    </w:p>
    <w:p w14:paraId="56E44EFD" w14:textId="10F282C0" w:rsidR="005340E3" w:rsidRPr="005340E3" w:rsidRDefault="009171E2" w:rsidP="005340E3">
      <w:pPr>
        <w:pStyle w:val="bodycopy"/>
        <w:numPr>
          <w:ilvl w:val="0"/>
          <w:numId w:val="430"/>
        </w:numPr>
        <w:rPr>
          <w:rFonts w:ascii="Arial" w:hAnsi="Arial"/>
          <w:sz w:val="22"/>
          <w:szCs w:val="22"/>
        </w:rPr>
      </w:pPr>
      <w:r>
        <w:rPr>
          <w:rFonts w:ascii="Arial" w:hAnsi="Arial"/>
          <w:sz w:val="22"/>
          <w:szCs w:val="22"/>
        </w:rPr>
        <w:t xml:space="preserve">Deliver geo-referenced information as geographic information systems (GIS) data; </w:t>
      </w:r>
      <w:r w:rsidR="007F5C74">
        <w:rPr>
          <w:rFonts w:ascii="Arial" w:hAnsi="Arial"/>
          <w:sz w:val="22"/>
          <w:szCs w:val="22"/>
        </w:rPr>
        <w:t>and</w:t>
      </w:r>
    </w:p>
    <w:p w14:paraId="7F9E0CA0" w14:textId="756F28B9" w:rsidR="005340E3" w:rsidRPr="005340E3" w:rsidRDefault="005340E3" w:rsidP="005340E3">
      <w:pPr>
        <w:pStyle w:val="bodycopy"/>
        <w:numPr>
          <w:ilvl w:val="0"/>
          <w:numId w:val="430"/>
        </w:numPr>
        <w:spacing w:after="240"/>
        <w:rPr>
          <w:rFonts w:ascii="Arial" w:hAnsi="Arial"/>
          <w:sz w:val="22"/>
          <w:szCs w:val="22"/>
        </w:rPr>
      </w:pPr>
      <w:r w:rsidRPr="005340E3">
        <w:rPr>
          <w:rFonts w:ascii="Arial" w:hAnsi="Arial"/>
          <w:sz w:val="22"/>
          <w:szCs w:val="22"/>
        </w:rPr>
        <w:t>Summ</w:t>
      </w:r>
      <w:r>
        <w:rPr>
          <w:rFonts w:ascii="Arial" w:hAnsi="Arial"/>
          <w:sz w:val="22"/>
          <w:szCs w:val="22"/>
        </w:rPr>
        <w:t>a</w:t>
      </w:r>
      <w:r w:rsidRPr="005340E3">
        <w:rPr>
          <w:rFonts w:ascii="Arial" w:hAnsi="Arial"/>
          <w:sz w:val="22"/>
          <w:szCs w:val="22"/>
        </w:rPr>
        <w:t>rising th</w:t>
      </w:r>
      <w:r>
        <w:rPr>
          <w:rFonts w:ascii="Arial" w:hAnsi="Arial"/>
          <w:sz w:val="22"/>
          <w:szCs w:val="22"/>
        </w:rPr>
        <w:t xml:space="preserve">e data in a concise report, with the post-MSS report comparing the ‘before’ and ‘after’ MSS results. </w:t>
      </w:r>
    </w:p>
    <w:p w14:paraId="49519BDC" w14:textId="77777777" w:rsidR="002B271E" w:rsidRDefault="002B271E" w:rsidP="002B271E">
      <w:pPr>
        <w:ind w:left="0"/>
        <w:rPr>
          <w:i/>
          <w:sz w:val="22"/>
          <w:szCs w:val="22"/>
        </w:rPr>
      </w:pPr>
      <w:r>
        <w:rPr>
          <w:i/>
          <w:sz w:val="22"/>
          <w:szCs w:val="22"/>
        </w:rPr>
        <w:t>Consultants</w:t>
      </w:r>
    </w:p>
    <w:p w14:paraId="5AD52CEF" w14:textId="77777777" w:rsidR="002B271E" w:rsidRDefault="002B271E" w:rsidP="002B271E">
      <w:pPr>
        <w:ind w:left="0"/>
        <w:rPr>
          <w:i/>
          <w:sz w:val="22"/>
          <w:szCs w:val="22"/>
        </w:rPr>
      </w:pPr>
    </w:p>
    <w:p w14:paraId="3F29C576" w14:textId="77777777" w:rsidR="002B271E" w:rsidRDefault="002B271E" w:rsidP="002B271E">
      <w:pPr>
        <w:ind w:left="0"/>
        <w:rPr>
          <w:sz w:val="22"/>
          <w:szCs w:val="22"/>
        </w:rPr>
      </w:pPr>
      <w:r>
        <w:rPr>
          <w:sz w:val="22"/>
          <w:szCs w:val="22"/>
        </w:rPr>
        <w:t xml:space="preserve">After a competitive tender process, Advisian, in conjunction with CEE, has been awarded the contract to undertake the pre- and post-MSS marine habitat assessment. Advisian and CEE are well placed to undertake this work given that they undertook the initial marine habitat assessment for the project in April 2017. </w:t>
      </w:r>
    </w:p>
    <w:p w14:paraId="40890447" w14:textId="77777777" w:rsidR="002B271E" w:rsidRPr="00DB7CEC" w:rsidRDefault="002B271E" w:rsidP="002B271E">
      <w:pPr>
        <w:ind w:left="0"/>
        <w:rPr>
          <w:sz w:val="22"/>
          <w:szCs w:val="22"/>
        </w:rPr>
      </w:pPr>
    </w:p>
    <w:p w14:paraId="6375EB69" w14:textId="77777777" w:rsidR="002B271E" w:rsidRPr="00DB7CEC" w:rsidRDefault="002B271E" w:rsidP="002B271E">
      <w:pPr>
        <w:ind w:left="0"/>
        <w:rPr>
          <w:i/>
          <w:sz w:val="22"/>
          <w:szCs w:val="22"/>
        </w:rPr>
      </w:pPr>
      <w:r w:rsidRPr="00DB7CEC">
        <w:rPr>
          <w:i/>
          <w:sz w:val="22"/>
          <w:szCs w:val="22"/>
        </w:rPr>
        <w:t>Advisory panel</w:t>
      </w:r>
    </w:p>
    <w:p w14:paraId="61860685" w14:textId="77777777" w:rsidR="0090504C" w:rsidRDefault="0090504C" w:rsidP="0090504C">
      <w:pPr>
        <w:spacing w:before="120"/>
        <w:ind w:left="0"/>
        <w:rPr>
          <w:sz w:val="22"/>
          <w:szCs w:val="22"/>
        </w:rPr>
      </w:pPr>
      <w:r>
        <w:rPr>
          <w:sz w:val="22"/>
          <w:szCs w:val="22"/>
        </w:rPr>
        <w:t xml:space="preserve">To ensure that the pre- and post-MSS marine habitat assessments are undertaken in a scientifically robust manner, CarbonNet has established an Advisory Panel that will provide advice to the CarbonNet Project in relation to: </w:t>
      </w:r>
    </w:p>
    <w:p w14:paraId="6DB50464" w14:textId="77777777" w:rsidR="0090504C" w:rsidRDefault="0090504C" w:rsidP="0090504C">
      <w:pPr>
        <w:ind w:left="0"/>
        <w:rPr>
          <w:sz w:val="22"/>
          <w:szCs w:val="22"/>
        </w:rPr>
      </w:pPr>
    </w:p>
    <w:p w14:paraId="547655A1" w14:textId="77777777" w:rsidR="0090504C" w:rsidRDefault="0090504C" w:rsidP="0090504C">
      <w:pPr>
        <w:pStyle w:val="ListParagraph0"/>
        <w:numPr>
          <w:ilvl w:val="0"/>
          <w:numId w:val="550"/>
        </w:numPr>
        <w:rPr>
          <w:sz w:val="22"/>
          <w:szCs w:val="22"/>
        </w:rPr>
      </w:pPr>
      <w:r>
        <w:rPr>
          <w:sz w:val="22"/>
          <w:szCs w:val="22"/>
        </w:rPr>
        <w:t>The methodology of the marine habitat assessment methodology, refining its design as required;</w:t>
      </w:r>
    </w:p>
    <w:p w14:paraId="5ABFF181" w14:textId="77777777" w:rsidR="0090504C" w:rsidRDefault="0090504C" w:rsidP="0090504C">
      <w:pPr>
        <w:pStyle w:val="ListParagraph0"/>
        <w:numPr>
          <w:ilvl w:val="0"/>
          <w:numId w:val="550"/>
        </w:numPr>
        <w:rPr>
          <w:sz w:val="22"/>
          <w:szCs w:val="22"/>
        </w:rPr>
      </w:pPr>
      <w:r>
        <w:rPr>
          <w:sz w:val="22"/>
          <w:szCs w:val="22"/>
        </w:rPr>
        <w:t>The definitions of what constitutes:</w:t>
      </w:r>
    </w:p>
    <w:p w14:paraId="10A0D0E9" w14:textId="77777777" w:rsidR="0090504C" w:rsidRDefault="0090504C" w:rsidP="0090504C">
      <w:pPr>
        <w:pStyle w:val="ListParagraph0"/>
        <w:numPr>
          <w:ilvl w:val="1"/>
          <w:numId w:val="550"/>
        </w:numPr>
        <w:rPr>
          <w:sz w:val="22"/>
          <w:szCs w:val="22"/>
        </w:rPr>
      </w:pPr>
      <w:r>
        <w:rPr>
          <w:sz w:val="22"/>
          <w:szCs w:val="22"/>
        </w:rPr>
        <w:t>Commercial quantities of scallops.</w:t>
      </w:r>
    </w:p>
    <w:p w14:paraId="047B3578" w14:textId="77777777" w:rsidR="0090504C" w:rsidRDefault="0090504C" w:rsidP="0090504C">
      <w:pPr>
        <w:pStyle w:val="ListParagraph0"/>
        <w:numPr>
          <w:ilvl w:val="1"/>
          <w:numId w:val="550"/>
        </w:numPr>
        <w:rPr>
          <w:sz w:val="22"/>
          <w:szCs w:val="22"/>
        </w:rPr>
      </w:pPr>
      <w:r>
        <w:rPr>
          <w:sz w:val="22"/>
          <w:szCs w:val="22"/>
        </w:rPr>
        <w:lastRenderedPageBreak/>
        <w:t>Natural mortality ranges of scallops.</w:t>
      </w:r>
    </w:p>
    <w:p w14:paraId="05BEE043" w14:textId="77777777" w:rsidR="0090504C" w:rsidRDefault="0090504C" w:rsidP="0090504C">
      <w:pPr>
        <w:pStyle w:val="ListParagraph0"/>
        <w:numPr>
          <w:ilvl w:val="1"/>
          <w:numId w:val="550"/>
        </w:numPr>
        <w:rPr>
          <w:sz w:val="22"/>
          <w:szCs w:val="22"/>
        </w:rPr>
      </w:pPr>
      <w:r>
        <w:rPr>
          <w:sz w:val="22"/>
          <w:szCs w:val="22"/>
        </w:rPr>
        <w:t>A mass mortality event of scallops.</w:t>
      </w:r>
    </w:p>
    <w:p w14:paraId="06AE2F81" w14:textId="77777777" w:rsidR="0090504C" w:rsidRDefault="0090504C" w:rsidP="0090504C">
      <w:pPr>
        <w:pStyle w:val="ListParagraph0"/>
        <w:numPr>
          <w:ilvl w:val="0"/>
          <w:numId w:val="550"/>
        </w:numPr>
        <w:rPr>
          <w:sz w:val="22"/>
          <w:szCs w:val="22"/>
        </w:rPr>
      </w:pPr>
      <w:r>
        <w:rPr>
          <w:sz w:val="22"/>
          <w:szCs w:val="22"/>
        </w:rPr>
        <w:t>Results of the upcoming Victorian Eastern Ocean Scallop Stock Assessment (that may or not be undertaken prior to the pre-MSS assessment);</w:t>
      </w:r>
    </w:p>
    <w:p w14:paraId="63610E13" w14:textId="77777777" w:rsidR="0090504C" w:rsidRDefault="0090504C" w:rsidP="0090504C">
      <w:pPr>
        <w:pStyle w:val="ListParagraph0"/>
        <w:numPr>
          <w:ilvl w:val="0"/>
          <w:numId w:val="550"/>
        </w:numPr>
        <w:rPr>
          <w:sz w:val="22"/>
          <w:szCs w:val="22"/>
        </w:rPr>
      </w:pPr>
      <w:r>
        <w:rPr>
          <w:sz w:val="22"/>
          <w:szCs w:val="22"/>
        </w:rPr>
        <w:t>Scallop catch effort in and around the project area;</w:t>
      </w:r>
    </w:p>
    <w:p w14:paraId="1D65E12C" w14:textId="77777777" w:rsidR="0090504C" w:rsidRDefault="0090504C" w:rsidP="0090504C">
      <w:pPr>
        <w:pStyle w:val="ListParagraph0"/>
        <w:numPr>
          <w:ilvl w:val="0"/>
          <w:numId w:val="550"/>
        </w:numPr>
        <w:rPr>
          <w:sz w:val="22"/>
          <w:szCs w:val="22"/>
        </w:rPr>
      </w:pPr>
      <w:r>
        <w:rPr>
          <w:sz w:val="22"/>
          <w:szCs w:val="22"/>
        </w:rPr>
        <w:t xml:space="preserve">The draft pre-MSS assessment report; </w:t>
      </w:r>
    </w:p>
    <w:p w14:paraId="687C0888" w14:textId="77777777" w:rsidR="0090504C" w:rsidRDefault="0090504C" w:rsidP="0090504C">
      <w:pPr>
        <w:pStyle w:val="ListParagraph0"/>
        <w:numPr>
          <w:ilvl w:val="0"/>
          <w:numId w:val="550"/>
        </w:numPr>
        <w:rPr>
          <w:sz w:val="22"/>
          <w:szCs w:val="22"/>
        </w:rPr>
      </w:pPr>
      <w:r>
        <w:rPr>
          <w:sz w:val="22"/>
          <w:szCs w:val="22"/>
        </w:rPr>
        <w:t>The draft post-MSS assessment report(s); and</w:t>
      </w:r>
    </w:p>
    <w:p w14:paraId="79604868" w14:textId="77777777" w:rsidR="0090504C" w:rsidRPr="005A12FB" w:rsidRDefault="0090504C" w:rsidP="0090504C">
      <w:pPr>
        <w:pStyle w:val="ListParagraph0"/>
        <w:numPr>
          <w:ilvl w:val="0"/>
          <w:numId w:val="550"/>
        </w:numPr>
        <w:rPr>
          <w:sz w:val="22"/>
          <w:szCs w:val="22"/>
        </w:rPr>
      </w:pPr>
      <w:r>
        <w:rPr>
          <w:sz w:val="22"/>
          <w:szCs w:val="22"/>
        </w:rPr>
        <w:t>Stakeholder engagement approaches regarding the outcomes of the assessments.</w:t>
      </w:r>
    </w:p>
    <w:p w14:paraId="26A2B83B" w14:textId="77777777" w:rsidR="002B271E" w:rsidRDefault="002B271E" w:rsidP="002B271E">
      <w:pPr>
        <w:ind w:left="0"/>
        <w:rPr>
          <w:sz w:val="22"/>
          <w:szCs w:val="22"/>
        </w:rPr>
      </w:pPr>
    </w:p>
    <w:p w14:paraId="0BB841CA" w14:textId="1CA4160A" w:rsidR="002B271E" w:rsidRDefault="002B271E" w:rsidP="002B271E">
      <w:pPr>
        <w:ind w:left="0"/>
        <w:rPr>
          <w:sz w:val="22"/>
          <w:szCs w:val="22"/>
        </w:rPr>
      </w:pPr>
      <w:r>
        <w:rPr>
          <w:sz w:val="22"/>
          <w:szCs w:val="22"/>
        </w:rPr>
        <w:t xml:space="preserve">Terms of Reference for the Advisory Panel have been developed. The members of the Advisory Panel are independent of the Pelican 3DMSS project and highly experienced in marine matters, which ensures their suitability to provide technical feedback on the design and results of the marine habitat assessments. </w:t>
      </w:r>
    </w:p>
    <w:p w14:paraId="07A8AFF1" w14:textId="77777777" w:rsidR="00210A36" w:rsidRDefault="00210A36" w:rsidP="00834163">
      <w:pPr>
        <w:ind w:left="0"/>
        <w:rPr>
          <w:rFonts w:cs="Arial"/>
          <w:sz w:val="22"/>
          <w:szCs w:val="22"/>
        </w:rPr>
      </w:pPr>
    </w:p>
    <w:p w14:paraId="3D714D71" w14:textId="1DFC111D" w:rsidR="004921BD" w:rsidRDefault="004921BD" w:rsidP="004921BD">
      <w:pPr>
        <w:ind w:left="0"/>
        <w:rPr>
          <w:sz w:val="22"/>
          <w:szCs w:val="22"/>
        </w:rPr>
      </w:pPr>
      <w:r>
        <w:rPr>
          <w:sz w:val="22"/>
          <w:szCs w:val="22"/>
        </w:rPr>
        <w:t xml:space="preserve">Decision trees are presented in Figure 8.1 and Figure 8.2 to outline the response management framework for the pre- and post-MSS marine habitat assessments. </w:t>
      </w:r>
      <w:r w:rsidR="0056509C">
        <w:rPr>
          <w:sz w:val="22"/>
          <w:szCs w:val="22"/>
        </w:rPr>
        <w:t xml:space="preserve">It is important to note that the impact assessment for scallops has assumed the presence of scallops at an abundance equivalent to the 1998-2003 catch rates.  The findings of the additional pre-MSS marine habitat assessment, based on those from the April 2017 habitat assessment, are likely to indicate scallop abundances far lower than historical records. This being the case, CarbonNet does not anticipate impacts to scallops being any higher than that presented in this EP.    </w:t>
      </w:r>
    </w:p>
    <w:p w14:paraId="3EB4B48E" w14:textId="77777777" w:rsidR="004921BD" w:rsidRDefault="004921BD" w:rsidP="004921BD">
      <w:pPr>
        <w:ind w:left="0"/>
        <w:rPr>
          <w:sz w:val="22"/>
          <w:szCs w:val="22"/>
        </w:rPr>
      </w:pPr>
    </w:p>
    <w:p w14:paraId="357F7085" w14:textId="77777777" w:rsidR="004921BD" w:rsidRDefault="004921BD" w:rsidP="004921BD">
      <w:pPr>
        <w:ind w:left="0"/>
        <w:rPr>
          <w:sz w:val="22"/>
          <w:szCs w:val="22"/>
        </w:rPr>
      </w:pPr>
    </w:p>
    <w:p w14:paraId="750C7C59" w14:textId="77777777" w:rsidR="004921BD" w:rsidRDefault="004921BD" w:rsidP="004921BD">
      <w:pPr>
        <w:ind w:left="0"/>
        <w:rPr>
          <w:sz w:val="22"/>
          <w:szCs w:val="22"/>
        </w:rPr>
      </w:pPr>
    </w:p>
    <w:tbl>
      <w:tblPr>
        <w:tblStyle w:val="TableGrid"/>
        <w:tblW w:w="0" w:type="auto"/>
        <w:tblLook w:val="04A0" w:firstRow="1" w:lastRow="0" w:firstColumn="1" w:lastColumn="0" w:noHBand="0" w:noVBand="1"/>
      </w:tblPr>
      <w:tblGrid>
        <w:gridCol w:w="8522"/>
      </w:tblGrid>
      <w:tr w:rsidR="004921BD" w14:paraId="7E939627" w14:textId="77777777" w:rsidTr="0080442D">
        <w:tc>
          <w:tcPr>
            <w:tcW w:w="8522" w:type="dxa"/>
          </w:tcPr>
          <w:p w14:paraId="7B0B60F5" w14:textId="77777777" w:rsidR="004921BD" w:rsidRDefault="004921BD" w:rsidP="0080442D">
            <w:pPr>
              <w:ind w:left="0"/>
              <w:rPr>
                <w:sz w:val="22"/>
                <w:szCs w:val="22"/>
              </w:rPr>
            </w:pPr>
            <w:r w:rsidRPr="00A21208">
              <w:rPr>
                <w:noProof/>
                <w:sz w:val="22"/>
                <w:szCs w:val="22"/>
              </w:rPr>
              <w:lastRenderedPageBreak/>
              <w:drawing>
                <wp:inline distT="0" distB="0" distL="0" distR="0" wp14:anchorId="56DCED33" wp14:editId="74849D5C">
                  <wp:extent cx="5274945" cy="7221855"/>
                  <wp:effectExtent l="0" t="0" r="8255" b="0"/>
                  <wp:docPr id="1" name="Picture 1" descr="Screen%20Shot%202017-12-02%20at%201.18.0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creen%20Shot%202017-12-02%20at%201.18.08%20pm.png"/>
                          <pic:cNvPicPr>
                            <a:picLocks noChangeAspect="1" noChangeArrowheads="1"/>
                          </pic:cNvPicPr>
                        </pic:nvPicPr>
                        <pic:blipFill>
                          <a:blip r:embed="rId312" cstate="screen">
                            <a:extLst>
                              <a:ext uri="{28A0092B-C50C-407E-A947-70E740481C1C}">
                                <a14:useLocalDpi xmlns:a14="http://schemas.microsoft.com/office/drawing/2010/main"/>
                              </a:ext>
                            </a:extLst>
                          </a:blip>
                          <a:srcRect/>
                          <a:stretch>
                            <a:fillRect/>
                          </a:stretch>
                        </pic:blipFill>
                        <pic:spPr bwMode="auto">
                          <a:xfrm>
                            <a:off x="0" y="0"/>
                            <a:ext cx="5274945" cy="7221855"/>
                          </a:xfrm>
                          <a:prstGeom prst="rect">
                            <a:avLst/>
                          </a:prstGeom>
                          <a:noFill/>
                          <a:ln>
                            <a:noFill/>
                          </a:ln>
                        </pic:spPr>
                      </pic:pic>
                    </a:graphicData>
                  </a:graphic>
                </wp:inline>
              </w:drawing>
            </w:r>
          </w:p>
        </w:tc>
      </w:tr>
    </w:tbl>
    <w:p w14:paraId="7EF45FCF" w14:textId="0E314BA9" w:rsidR="004921BD" w:rsidRPr="00A21208" w:rsidRDefault="004921BD" w:rsidP="004921BD">
      <w:pPr>
        <w:spacing w:before="120" w:after="240"/>
        <w:ind w:left="0"/>
        <w:jc w:val="center"/>
        <w:rPr>
          <w:b/>
          <w:sz w:val="20"/>
          <w:szCs w:val="20"/>
        </w:rPr>
      </w:pPr>
      <w:r>
        <w:rPr>
          <w:b/>
          <w:sz w:val="20"/>
          <w:szCs w:val="20"/>
        </w:rPr>
        <w:t>Figure 8.1</w:t>
      </w:r>
      <w:r w:rsidRPr="00A21208">
        <w:rPr>
          <w:b/>
          <w:sz w:val="20"/>
          <w:szCs w:val="20"/>
        </w:rPr>
        <w:t>.</w:t>
      </w:r>
      <w:r w:rsidRPr="00A21208">
        <w:rPr>
          <w:b/>
          <w:sz w:val="20"/>
          <w:szCs w:val="20"/>
        </w:rPr>
        <w:tab/>
      </w:r>
      <w:r>
        <w:rPr>
          <w:b/>
          <w:sz w:val="20"/>
          <w:szCs w:val="20"/>
        </w:rPr>
        <w:t>Response management framework for the pre-MSS marine habitat asessment</w:t>
      </w:r>
    </w:p>
    <w:p w14:paraId="000C7BF8" w14:textId="77777777" w:rsidR="004921BD" w:rsidRDefault="004921BD" w:rsidP="004921BD">
      <w:pPr>
        <w:ind w:left="0"/>
        <w:rPr>
          <w:sz w:val="22"/>
          <w:szCs w:val="22"/>
        </w:rPr>
      </w:pPr>
    </w:p>
    <w:tbl>
      <w:tblPr>
        <w:tblStyle w:val="TableGrid"/>
        <w:tblW w:w="0" w:type="auto"/>
        <w:tblLook w:val="04A0" w:firstRow="1" w:lastRow="0" w:firstColumn="1" w:lastColumn="0" w:noHBand="0" w:noVBand="1"/>
      </w:tblPr>
      <w:tblGrid>
        <w:gridCol w:w="8522"/>
      </w:tblGrid>
      <w:tr w:rsidR="004921BD" w14:paraId="6692E6C4" w14:textId="77777777" w:rsidTr="0080442D">
        <w:tc>
          <w:tcPr>
            <w:tcW w:w="8522" w:type="dxa"/>
          </w:tcPr>
          <w:p w14:paraId="79FC7EA1" w14:textId="77777777" w:rsidR="004921BD" w:rsidRDefault="004921BD" w:rsidP="0080442D">
            <w:pPr>
              <w:ind w:left="0"/>
              <w:rPr>
                <w:sz w:val="22"/>
                <w:szCs w:val="22"/>
              </w:rPr>
            </w:pPr>
            <w:r w:rsidRPr="00A21208">
              <w:rPr>
                <w:noProof/>
                <w:sz w:val="22"/>
                <w:szCs w:val="22"/>
              </w:rPr>
              <w:lastRenderedPageBreak/>
              <w:drawing>
                <wp:inline distT="0" distB="0" distL="0" distR="0" wp14:anchorId="1E95B87A" wp14:editId="70D2E2EE">
                  <wp:extent cx="5266055" cy="7137400"/>
                  <wp:effectExtent l="0" t="0" r="0" b="0"/>
                  <wp:docPr id="2" name="Picture 2" descr="Screen%20Shot%202017-12-02%20at%201.22.5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creen%20Shot%202017-12-02%20at%201.22.51%20pm.png"/>
                          <pic:cNvPicPr>
                            <a:picLocks noChangeAspect="1" noChangeArrowheads="1"/>
                          </pic:cNvPicPr>
                        </pic:nvPicPr>
                        <pic:blipFill>
                          <a:blip r:embed="rId313" cstate="screen">
                            <a:extLst>
                              <a:ext uri="{28A0092B-C50C-407E-A947-70E740481C1C}">
                                <a14:useLocalDpi xmlns:a14="http://schemas.microsoft.com/office/drawing/2010/main"/>
                              </a:ext>
                            </a:extLst>
                          </a:blip>
                          <a:srcRect/>
                          <a:stretch>
                            <a:fillRect/>
                          </a:stretch>
                        </pic:blipFill>
                        <pic:spPr bwMode="auto">
                          <a:xfrm>
                            <a:off x="0" y="0"/>
                            <a:ext cx="5266055" cy="7137400"/>
                          </a:xfrm>
                          <a:prstGeom prst="rect">
                            <a:avLst/>
                          </a:prstGeom>
                          <a:noFill/>
                          <a:ln>
                            <a:noFill/>
                          </a:ln>
                        </pic:spPr>
                      </pic:pic>
                    </a:graphicData>
                  </a:graphic>
                </wp:inline>
              </w:drawing>
            </w:r>
          </w:p>
        </w:tc>
      </w:tr>
    </w:tbl>
    <w:p w14:paraId="0F64FAEA" w14:textId="03170757" w:rsidR="004921BD" w:rsidRDefault="004921BD" w:rsidP="00834163">
      <w:pPr>
        <w:ind w:left="0"/>
        <w:rPr>
          <w:rFonts w:cs="Arial"/>
          <w:sz w:val="22"/>
          <w:szCs w:val="22"/>
        </w:rPr>
      </w:pPr>
      <w:r>
        <w:rPr>
          <w:b/>
          <w:sz w:val="20"/>
          <w:szCs w:val="20"/>
        </w:rPr>
        <w:t>Figure 8.2.</w:t>
      </w:r>
      <w:r>
        <w:rPr>
          <w:b/>
          <w:sz w:val="20"/>
          <w:szCs w:val="20"/>
        </w:rPr>
        <w:tab/>
        <w:t>Response management framework for the post-MSS marine habitat asessment</w:t>
      </w:r>
    </w:p>
    <w:p w14:paraId="2FFAA3F9" w14:textId="77777777" w:rsidR="004921BD" w:rsidRDefault="004921BD" w:rsidP="00834163">
      <w:pPr>
        <w:ind w:left="0"/>
        <w:rPr>
          <w:rFonts w:cs="Arial"/>
          <w:sz w:val="22"/>
          <w:szCs w:val="22"/>
        </w:rPr>
      </w:pPr>
    </w:p>
    <w:p w14:paraId="1B26B6B3" w14:textId="29F33C61" w:rsidR="009C4735" w:rsidRPr="009C4735" w:rsidRDefault="009C4735" w:rsidP="00834163">
      <w:pPr>
        <w:ind w:left="0"/>
        <w:rPr>
          <w:rFonts w:cs="Arial"/>
          <w:b/>
          <w:sz w:val="22"/>
          <w:szCs w:val="22"/>
        </w:rPr>
      </w:pPr>
      <w:r w:rsidRPr="009C4735">
        <w:rPr>
          <w:rFonts w:cs="Arial"/>
          <w:b/>
          <w:sz w:val="22"/>
          <w:szCs w:val="22"/>
        </w:rPr>
        <w:t>Underwater Sound Validation</w:t>
      </w:r>
    </w:p>
    <w:p w14:paraId="0A52EA4D" w14:textId="77777777" w:rsidR="009C4735" w:rsidRDefault="009C4735" w:rsidP="00834163">
      <w:pPr>
        <w:ind w:left="0"/>
        <w:rPr>
          <w:rFonts w:cs="Arial"/>
          <w:sz w:val="22"/>
          <w:szCs w:val="22"/>
        </w:rPr>
      </w:pPr>
    </w:p>
    <w:p w14:paraId="5DEE4184" w14:textId="18545486" w:rsidR="002B271E" w:rsidRPr="002B271E" w:rsidRDefault="002B271E" w:rsidP="009C4735">
      <w:pPr>
        <w:pStyle w:val="bodycopy"/>
        <w:rPr>
          <w:rFonts w:ascii="Arial" w:hAnsi="Arial"/>
          <w:i/>
          <w:sz w:val="22"/>
          <w:szCs w:val="22"/>
        </w:rPr>
      </w:pPr>
      <w:r w:rsidRPr="002B271E">
        <w:rPr>
          <w:rFonts w:ascii="Arial" w:hAnsi="Arial"/>
          <w:i/>
          <w:sz w:val="22"/>
          <w:szCs w:val="22"/>
        </w:rPr>
        <w:t>Purpose</w:t>
      </w:r>
    </w:p>
    <w:p w14:paraId="644D0001" w14:textId="373B377C" w:rsidR="009C4735" w:rsidRDefault="007F5C74" w:rsidP="009C4735">
      <w:pPr>
        <w:pStyle w:val="bodycopy"/>
        <w:rPr>
          <w:rFonts w:ascii="Arial" w:hAnsi="Arial"/>
          <w:sz w:val="22"/>
          <w:szCs w:val="22"/>
        </w:rPr>
      </w:pPr>
      <w:r w:rsidRPr="007F5C74">
        <w:rPr>
          <w:rFonts w:ascii="Arial" w:hAnsi="Arial"/>
          <w:sz w:val="22"/>
          <w:szCs w:val="22"/>
        </w:rPr>
        <w:t xml:space="preserve">As part of </w:t>
      </w:r>
      <w:r w:rsidR="00E42BCB">
        <w:rPr>
          <w:rFonts w:ascii="Arial" w:hAnsi="Arial"/>
          <w:sz w:val="22"/>
          <w:szCs w:val="22"/>
        </w:rPr>
        <w:t xml:space="preserve">its </w:t>
      </w:r>
      <w:r w:rsidRPr="007F5C74">
        <w:rPr>
          <w:rFonts w:ascii="Arial" w:hAnsi="Arial"/>
          <w:sz w:val="22"/>
          <w:szCs w:val="22"/>
        </w:rPr>
        <w:t xml:space="preserve">contribution to the wider scientific body of knowledge around </w:t>
      </w:r>
      <w:r>
        <w:rPr>
          <w:rFonts w:ascii="Arial" w:hAnsi="Arial"/>
          <w:sz w:val="22"/>
          <w:szCs w:val="22"/>
        </w:rPr>
        <w:t>MSS</w:t>
      </w:r>
      <w:r w:rsidR="004A2737">
        <w:rPr>
          <w:rFonts w:ascii="Arial" w:hAnsi="Arial"/>
          <w:sz w:val="22"/>
          <w:szCs w:val="22"/>
        </w:rPr>
        <w:t xml:space="preserve"> and to determine </w:t>
      </w:r>
      <w:r w:rsidR="00100DB8">
        <w:rPr>
          <w:rFonts w:ascii="Arial" w:hAnsi="Arial"/>
          <w:sz w:val="22"/>
          <w:szCs w:val="22"/>
        </w:rPr>
        <w:t>the accuracy of</w:t>
      </w:r>
      <w:r w:rsidR="004A2737">
        <w:rPr>
          <w:rFonts w:ascii="Arial" w:hAnsi="Arial"/>
          <w:sz w:val="22"/>
          <w:szCs w:val="22"/>
        </w:rPr>
        <w:t xml:space="preserve"> </w:t>
      </w:r>
      <w:r w:rsidR="00100DB8">
        <w:rPr>
          <w:rFonts w:ascii="Arial" w:hAnsi="Arial"/>
          <w:sz w:val="22"/>
          <w:szCs w:val="22"/>
        </w:rPr>
        <w:t xml:space="preserve">modelled </w:t>
      </w:r>
      <w:r w:rsidR="004A2737">
        <w:rPr>
          <w:rFonts w:ascii="Arial" w:hAnsi="Arial"/>
          <w:sz w:val="22"/>
          <w:szCs w:val="22"/>
        </w:rPr>
        <w:t xml:space="preserve">predictions </w:t>
      </w:r>
      <w:r w:rsidR="006B43C3">
        <w:rPr>
          <w:rFonts w:ascii="Arial" w:hAnsi="Arial"/>
          <w:sz w:val="22"/>
          <w:szCs w:val="22"/>
        </w:rPr>
        <w:t xml:space="preserve">regarding the extent </w:t>
      </w:r>
      <w:r w:rsidR="004A2737">
        <w:rPr>
          <w:rFonts w:ascii="Arial" w:hAnsi="Arial"/>
          <w:sz w:val="22"/>
          <w:szCs w:val="22"/>
        </w:rPr>
        <w:t xml:space="preserve">of </w:t>
      </w:r>
      <w:r w:rsidR="006B43C3">
        <w:rPr>
          <w:rFonts w:ascii="Arial" w:hAnsi="Arial"/>
          <w:sz w:val="22"/>
          <w:szCs w:val="22"/>
        </w:rPr>
        <w:t xml:space="preserve">potential </w:t>
      </w:r>
      <w:r w:rsidR="004A2737">
        <w:rPr>
          <w:rFonts w:ascii="Arial" w:hAnsi="Arial"/>
          <w:sz w:val="22"/>
          <w:szCs w:val="22"/>
        </w:rPr>
        <w:t xml:space="preserve">impacts to </w:t>
      </w:r>
      <w:r w:rsidR="006B43C3">
        <w:rPr>
          <w:rFonts w:ascii="Arial" w:hAnsi="Arial"/>
          <w:sz w:val="22"/>
          <w:szCs w:val="22"/>
        </w:rPr>
        <w:t xml:space="preserve">commercial scallop and rock lobster </w:t>
      </w:r>
      <w:r w:rsidR="004A2737">
        <w:rPr>
          <w:rFonts w:ascii="Arial" w:hAnsi="Arial"/>
          <w:sz w:val="22"/>
          <w:szCs w:val="22"/>
        </w:rPr>
        <w:t>fisheries</w:t>
      </w:r>
      <w:r w:rsidR="006B43C3">
        <w:rPr>
          <w:rFonts w:ascii="Arial" w:hAnsi="Arial"/>
          <w:sz w:val="22"/>
          <w:szCs w:val="22"/>
        </w:rPr>
        <w:t xml:space="preserve"> (and thus aim to </w:t>
      </w:r>
      <w:r w:rsidR="006B43C3">
        <w:rPr>
          <w:sz w:val="22"/>
          <w:szCs w:val="22"/>
        </w:rPr>
        <w:t>provide more certainty to the commercial fishing industry</w:t>
      </w:r>
      <w:r w:rsidR="006B43C3">
        <w:rPr>
          <w:rFonts w:ascii="Arial" w:hAnsi="Arial"/>
          <w:sz w:val="22"/>
          <w:szCs w:val="22"/>
        </w:rPr>
        <w:t>)</w:t>
      </w:r>
      <w:r w:rsidRPr="007F5C74">
        <w:rPr>
          <w:rFonts w:ascii="Arial" w:hAnsi="Arial"/>
          <w:sz w:val="22"/>
          <w:szCs w:val="22"/>
        </w:rPr>
        <w:t xml:space="preserve">, CarbonNet proposes to validate </w:t>
      </w:r>
      <w:r w:rsidRPr="007F5C74">
        <w:rPr>
          <w:rFonts w:ascii="Arial" w:hAnsi="Arial"/>
          <w:sz w:val="22"/>
          <w:szCs w:val="22"/>
        </w:rPr>
        <w:lastRenderedPageBreak/>
        <w:t xml:space="preserve">the STLM </w:t>
      </w:r>
      <w:r w:rsidR="002B271E">
        <w:rPr>
          <w:rFonts w:ascii="Arial" w:hAnsi="Arial"/>
          <w:sz w:val="22"/>
          <w:szCs w:val="22"/>
        </w:rPr>
        <w:t xml:space="preserve">(SEL, SPL, PK, PK-PK and particle motion) </w:t>
      </w:r>
      <w:r w:rsidRPr="007F5C74">
        <w:rPr>
          <w:rFonts w:ascii="Arial" w:hAnsi="Arial"/>
          <w:sz w:val="22"/>
          <w:szCs w:val="22"/>
        </w:rPr>
        <w:t>prepared for the proposed Pelican 3DMSS</w:t>
      </w:r>
      <w:r w:rsidR="00A76F96">
        <w:rPr>
          <w:rFonts w:ascii="Arial" w:hAnsi="Arial"/>
          <w:sz w:val="22"/>
          <w:szCs w:val="22"/>
        </w:rPr>
        <w:t xml:space="preserve">. </w:t>
      </w:r>
      <w:r w:rsidR="009C4735">
        <w:rPr>
          <w:rFonts w:ascii="Arial" w:hAnsi="Arial"/>
          <w:sz w:val="22"/>
          <w:szCs w:val="22"/>
        </w:rPr>
        <w:t xml:space="preserve">  </w:t>
      </w:r>
    </w:p>
    <w:p w14:paraId="04CD43BE" w14:textId="77777777" w:rsidR="008446F9" w:rsidRDefault="008446F9" w:rsidP="002B271E">
      <w:pPr>
        <w:pStyle w:val="bodycopy"/>
        <w:rPr>
          <w:rFonts w:ascii="Arial" w:hAnsi="Arial"/>
          <w:i/>
          <w:sz w:val="22"/>
          <w:szCs w:val="22"/>
        </w:rPr>
      </w:pPr>
    </w:p>
    <w:p w14:paraId="51AC933C" w14:textId="77777777" w:rsidR="008446F9" w:rsidRDefault="008446F9" w:rsidP="002B271E">
      <w:pPr>
        <w:pStyle w:val="bodycopy"/>
        <w:rPr>
          <w:rFonts w:ascii="Arial" w:hAnsi="Arial"/>
          <w:i/>
          <w:sz w:val="22"/>
          <w:szCs w:val="22"/>
        </w:rPr>
      </w:pPr>
    </w:p>
    <w:p w14:paraId="678E3DCD" w14:textId="77777777" w:rsidR="002B271E" w:rsidRPr="00DB7CEC" w:rsidRDefault="002B271E" w:rsidP="002B271E">
      <w:pPr>
        <w:pStyle w:val="bodycopy"/>
        <w:rPr>
          <w:rFonts w:ascii="Arial" w:hAnsi="Arial"/>
          <w:i/>
          <w:sz w:val="22"/>
          <w:szCs w:val="22"/>
        </w:rPr>
      </w:pPr>
      <w:r w:rsidRPr="00DB7CEC">
        <w:rPr>
          <w:rFonts w:ascii="Arial" w:hAnsi="Arial"/>
          <w:i/>
          <w:sz w:val="22"/>
          <w:szCs w:val="22"/>
        </w:rPr>
        <w:t>Timing</w:t>
      </w:r>
    </w:p>
    <w:p w14:paraId="56E5CB7F" w14:textId="5450B349" w:rsidR="002B271E" w:rsidRDefault="002B271E" w:rsidP="002B271E">
      <w:pPr>
        <w:ind w:left="0"/>
        <w:rPr>
          <w:rFonts w:cs="Arial"/>
          <w:sz w:val="22"/>
          <w:szCs w:val="22"/>
        </w:rPr>
      </w:pPr>
      <w:r>
        <w:rPr>
          <w:rFonts w:cs="Arial"/>
          <w:sz w:val="22"/>
          <w:szCs w:val="22"/>
        </w:rPr>
        <w:t xml:space="preserve">It is proposed that several underwater sound loggers are deployed within the proposed acquisition area at least a week prior to the MSS commencing in order to collect ambient ocean sound data. The loggers will then be left at the same locations for the duration of the MSS. </w:t>
      </w:r>
      <w:r w:rsidR="002275AB">
        <w:rPr>
          <w:rFonts w:cs="Arial"/>
          <w:sz w:val="22"/>
          <w:szCs w:val="22"/>
        </w:rPr>
        <w:t>I</w:t>
      </w:r>
      <w:r>
        <w:rPr>
          <w:rFonts w:cs="Arial"/>
          <w:sz w:val="22"/>
          <w:szCs w:val="22"/>
        </w:rPr>
        <w:t xml:space="preserve">f logistics don’t allow for the loggers to be deployed in sufficient time ahead of the MSS to collect ambient underwater sound data, then they will remain in location for up to a week after the completion of the MSS to perform the same role. </w:t>
      </w:r>
    </w:p>
    <w:p w14:paraId="48BCA1CD" w14:textId="77777777" w:rsidR="002B271E" w:rsidRDefault="002B271E" w:rsidP="002B271E">
      <w:pPr>
        <w:ind w:left="0"/>
        <w:rPr>
          <w:rFonts w:cs="Arial"/>
          <w:sz w:val="22"/>
          <w:szCs w:val="22"/>
        </w:rPr>
      </w:pPr>
    </w:p>
    <w:p w14:paraId="07980713" w14:textId="77777777" w:rsidR="002B271E" w:rsidRPr="00DB7CEC" w:rsidRDefault="002B271E" w:rsidP="002B271E">
      <w:pPr>
        <w:pStyle w:val="bodycopy"/>
        <w:rPr>
          <w:rFonts w:ascii="Arial" w:hAnsi="Arial"/>
          <w:i/>
          <w:sz w:val="22"/>
          <w:szCs w:val="22"/>
        </w:rPr>
      </w:pPr>
      <w:r w:rsidRPr="00DB7CEC">
        <w:rPr>
          <w:rFonts w:ascii="Arial" w:hAnsi="Arial"/>
          <w:i/>
          <w:sz w:val="22"/>
          <w:szCs w:val="22"/>
        </w:rPr>
        <w:t>Proposed methodology</w:t>
      </w:r>
    </w:p>
    <w:p w14:paraId="1047B3A5" w14:textId="5623218F" w:rsidR="009C4735" w:rsidRDefault="009C4735" w:rsidP="009C4735">
      <w:pPr>
        <w:pStyle w:val="bodycopy"/>
        <w:rPr>
          <w:rFonts w:ascii="Arial" w:hAnsi="Arial"/>
          <w:sz w:val="22"/>
          <w:szCs w:val="22"/>
        </w:rPr>
      </w:pPr>
      <w:r>
        <w:rPr>
          <w:rFonts w:ascii="Arial" w:hAnsi="Arial"/>
          <w:sz w:val="22"/>
          <w:szCs w:val="22"/>
        </w:rPr>
        <w:t>It is envisaged that the work will involve:</w:t>
      </w:r>
    </w:p>
    <w:p w14:paraId="7AE0ADE5" w14:textId="6E540FF5" w:rsidR="008F1568" w:rsidRDefault="008F1568" w:rsidP="009C4735">
      <w:pPr>
        <w:pStyle w:val="bodycopy"/>
        <w:numPr>
          <w:ilvl w:val="0"/>
          <w:numId w:val="430"/>
        </w:numPr>
        <w:rPr>
          <w:rFonts w:ascii="Arial" w:hAnsi="Arial"/>
          <w:sz w:val="22"/>
          <w:szCs w:val="22"/>
        </w:rPr>
      </w:pPr>
      <w:r>
        <w:rPr>
          <w:rFonts w:ascii="Arial" w:hAnsi="Arial"/>
          <w:sz w:val="22"/>
          <w:szCs w:val="22"/>
        </w:rPr>
        <w:t>U</w:t>
      </w:r>
      <w:r w:rsidR="009C4735">
        <w:rPr>
          <w:rFonts w:ascii="Arial" w:hAnsi="Arial"/>
          <w:sz w:val="22"/>
          <w:szCs w:val="22"/>
        </w:rPr>
        <w:t>sing a small</w:t>
      </w:r>
      <w:r w:rsidR="00D56033">
        <w:rPr>
          <w:rFonts w:ascii="Arial" w:hAnsi="Arial"/>
          <w:sz w:val="22"/>
          <w:szCs w:val="22"/>
        </w:rPr>
        <w:t>, locally-based</w:t>
      </w:r>
      <w:r w:rsidR="009C4735">
        <w:rPr>
          <w:rFonts w:ascii="Arial" w:hAnsi="Arial"/>
          <w:sz w:val="22"/>
          <w:szCs w:val="22"/>
        </w:rPr>
        <w:t xml:space="preserve"> vessel </w:t>
      </w:r>
      <w:r w:rsidR="002B271E">
        <w:rPr>
          <w:rFonts w:ascii="Arial" w:hAnsi="Arial"/>
          <w:sz w:val="22"/>
          <w:szCs w:val="22"/>
        </w:rPr>
        <w:t xml:space="preserve">(or survey support vessel) </w:t>
      </w:r>
      <w:r w:rsidR="009C4735">
        <w:rPr>
          <w:rFonts w:ascii="Arial" w:hAnsi="Arial"/>
          <w:sz w:val="22"/>
          <w:szCs w:val="22"/>
        </w:rPr>
        <w:t>to deploy the loggers</w:t>
      </w:r>
      <w:r>
        <w:rPr>
          <w:rFonts w:ascii="Arial" w:hAnsi="Arial"/>
          <w:sz w:val="22"/>
          <w:szCs w:val="22"/>
        </w:rPr>
        <w:t>;</w:t>
      </w:r>
    </w:p>
    <w:p w14:paraId="2ED64F07" w14:textId="3C4191EF" w:rsidR="008F1568" w:rsidRDefault="00A76F96" w:rsidP="009C4735">
      <w:pPr>
        <w:pStyle w:val="bodycopy"/>
        <w:numPr>
          <w:ilvl w:val="0"/>
          <w:numId w:val="430"/>
        </w:numPr>
        <w:rPr>
          <w:rFonts w:ascii="Arial" w:hAnsi="Arial"/>
          <w:sz w:val="22"/>
          <w:szCs w:val="22"/>
        </w:rPr>
      </w:pPr>
      <w:r>
        <w:rPr>
          <w:rFonts w:ascii="Arial" w:hAnsi="Arial"/>
          <w:sz w:val="22"/>
          <w:szCs w:val="22"/>
        </w:rPr>
        <w:t>Placing</w:t>
      </w:r>
      <w:r w:rsidR="008F1568">
        <w:rPr>
          <w:rFonts w:ascii="Arial" w:hAnsi="Arial"/>
          <w:sz w:val="22"/>
          <w:szCs w:val="22"/>
        </w:rPr>
        <w:t xml:space="preserve"> the loggers </w:t>
      </w:r>
      <w:r w:rsidR="002B271E">
        <w:rPr>
          <w:rFonts w:ascii="Arial" w:hAnsi="Arial"/>
          <w:sz w:val="22"/>
          <w:szCs w:val="22"/>
        </w:rPr>
        <w:t xml:space="preserve">(autonomous multichannel acoustic recorders) </w:t>
      </w:r>
      <w:r>
        <w:rPr>
          <w:rFonts w:ascii="Arial" w:hAnsi="Arial"/>
          <w:sz w:val="22"/>
          <w:szCs w:val="22"/>
        </w:rPr>
        <w:t>on</w:t>
      </w:r>
      <w:r w:rsidR="008F1568">
        <w:rPr>
          <w:rFonts w:ascii="Arial" w:hAnsi="Arial"/>
          <w:sz w:val="22"/>
          <w:szCs w:val="22"/>
        </w:rPr>
        <w:t xml:space="preserve"> the seabed;</w:t>
      </w:r>
    </w:p>
    <w:p w14:paraId="760E4745" w14:textId="63356C8B" w:rsidR="00FA38F9" w:rsidRPr="00B60E06" w:rsidRDefault="00B60E06" w:rsidP="00891DE1">
      <w:pPr>
        <w:pStyle w:val="bodycopy"/>
        <w:numPr>
          <w:ilvl w:val="1"/>
          <w:numId w:val="430"/>
        </w:numPr>
        <w:rPr>
          <w:rFonts w:ascii="Arial" w:hAnsi="Arial"/>
          <w:sz w:val="22"/>
          <w:szCs w:val="22"/>
        </w:rPr>
      </w:pPr>
      <w:r w:rsidRPr="00891DE1">
        <w:rPr>
          <w:rFonts w:ascii="Arial" w:hAnsi="Arial"/>
          <w:sz w:val="22"/>
          <w:szCs w:val="22"/>
        </w:rPr>
        <w:t>The base plate and/or weight/s used to keep the underwater sound loggers on site during the MSS will not be placed over mapped sensitive habitat, such as sponge gardens or reef.</w:t>
      </w:r>
      <w:r w:rsidR="00D77208">
        <w:rPr>
          <w:rFonts w:ascii="Arial" w:hAnsi="Arial"/>
          <w:sz w:val="22"/>
          <w:szCs w:val="22"/>
        </w:rPr>
        <w:t xml:space="preserve"> </w:t>
      </w:r>
    </w:p>
    <w:p w14:paraId="66A7855B" w14:textId="2EFD9E42" w:rsidR="008F1568" w:rsidRDefault="008F1568" w:rsidP="009C4735">
      <w:pPr>
        <w:pStyle w:val="bodycopy"/>
        <w:numPr>
          <w:ilvl w:val="0"/>
          <w:numId w:val="430"/>
        </w:numPr>
        <w:rPr>
          <w:rFonts w:ascii="Arial" w:hAnsi="Arial"/>
          <w:sz w:val="22"/>
          <w:szCs w:val="22"/>
        </w:rPr>
      </w:pPr>
      <w:r>
        <w:rPr>
          <w:rFonts w:ascii="Arial" w:hAnsi="Arial"/>
          <w:sz w:val="22"/>
          <w:szCs w:val="22"/>
        </w:rPr>
        <w:t xml:space="preserve">Deploying </w:t>
      </w:r>
      <w:r w:rsidR="00100DB8">
        <w:rPr>
          <w:rFonts w:ascii="Arial" w:hAnsi="Arial"/>
          <w:sz w:val="22"/>
          <w:szCs w:val="22"/>
        </w:rPr>
        <w:t xml:space="preserve">multiple </w:t>
      </w:r>
      <w:r>
        <w:rPr>
          <w:rFonts w:ascii="Arial" w:hAnsi="Arial"/>
          <w:sz w:val="22"/>
          <w:szCs w:val="22"/>
        </w:rPr>
        <w:t xml:space="preserve">loggers at locations </w:t>
      </w:r>
      <w:r w:rsidR="00100DB8">
        <w:rPr>
          <w:rFonts w:ascii="Arial" w:hAnsi="Arial"/>
          <w:sz w:val="22"/>
          <w:szCs w:val="22"/>
        </w:rPr>
        <w:t>within the acquisition area and the underwater sound EMBA for benthic invertebrates (i.e., greater than 1,220 m) in order to verify predictions of acceptability</w:t>
      </w:r>
      <w:r>
        <w:rPr>
          <w:rFonts w:ascii="Arial" w:hAnsi="Arial"/>
          <w:sz w:val="22"/>
          <w:szCs w:val="22"/>
        </w:rPr>
        <w:t>;</w:t>
      </w:r>
    </w:p>
    <w:p w14:paraId="21A16C8C" w14:textId="0FDF3DFC" w:rsidR="008F1568" w:rsidRDefault="008F1568" w:rsidP="009C4735">
      <w:pPr>
        <w:pStyle w:val="bodycopy"/>
        <w:numPr>
          <w:ilvl w:val="0"/>
          <w:numId w:val="430"/>
        </w:numPr>
        <w:rPr>
          <w:rFonts w:ascii="Arial" w:hAnsi="Arial"/>
          <w:sz w:val="22"/>
          <w:szCs w:val="22"/>
        </w:rPr>
      </w:pPr>
      <w:r>
        <w:rPr>
          <w:rFonts w:ascii="Arial" w:hAnsi="Arial"/>
          <w:sz w:val="22"/>
          <w:szCs w:val="22"/>
        </w:rPr>
        <w:t xml:space="preserve">Deploying the loggers at least a week </w:t>
      </w:r>
      <w:r w:rsidR="009C4735">
        <w:rPr>
          <w:rFonts w:ascii="Arial" w:hAnsi="Arial"/>
          <w:sz w:val="22"/>
          <w:szCs w:val="22"/>
        </w:rPr>
        <w:t xml:space="preserve">prior to the survey commencing </w:t>
      </w:r>
      <w:r>
        <w:rPr>
          <w:rFonts w:ascii="Arial" w:hAnsi="Arial"/>
          <w:sz w:val="22"/>
          <w:szCs w:val="22"/>
        </w:rPr>
        <w:t xml:space="preserve">in order to </w:t>
      </w:r>
      <w:r w:rsidR="00A76F96">
        <w:rPr>
          <w:rFonts w:ascii="Arial" w:hAnsi="Arial"/>
          <w:sz w:val="22"/>
          <w:szCs w:val="22"/>
        </w:rPr>
        <w:t>record</w:t>
      </w:r>
      <w:r>
        <w:rPr>
          <w:rFonts w:ascii="Arial" w:hAnsi="Arial"/>
          <w:sz w:val="22"/>
          <w:szCs w:val="22"/>
        </w:rPr>
        <w:t xml:space="preserve"> ambient underwater sound levels;</w:t>
      </w:r>
    </w:p>
    <w:p w14:paraId="1F1C717C" w14:textId="77777777" w:rsidR="008F1568" w:rsidRDefault="008F1568" w:rsidP="009C4735">
      <w:pPr>
        <w:pStyle w:val="bodycopy"/>
        <w:numPr>
          <w:ilvl w:val="0"/>
          <w:numId w:val="430"/>
        </w:numPr>
        <w:rPr>
          <w:rFonts w:ascii="Arial" w:hAnsi="Arial"/>
          <w:sz w:val="22"/>
          <w:szCs w:val="22"/>
        </w:rPr>
      </w:pPr>
      <w:r>
        <w:rPr>
          <w:rFonts w:ascii="Arial" w:hAnsi="Arial"/>
          <w:sz w:val="22"/>
          <w:szCs w:val="22"/>
        </w:rPr>
        <w:t>Recording sound for the duration of the MSS;</w:t>
      </w:r>
    </w:p>
    <w:p w14:paraId="29C37338" w14:textId="6AE37359" w:rsidR="009C4735" w:rsidRDefault="008F1568" w:rsidP="009C4735">
      <w:pPr>
        <w:pStyle w:val="bodycopy"/>
        <w:numPr>
          <w:ilvl w:val="0"/>
          <w:numId w:val="430"/>
        </w:numPr>
        <w:rPr>
          <w:rFonts w:ascii="Arial" w:hAnsi="Arial"/>
          <w:sz w:val="22"/>
          <w:szCs w:val="22"/>
        </w:rPr>
      </w:pPr>
      <w:r>
        <w:rPr>
          <w:rFonts w:ascii="Arial" w:hAnsi="Arial"/>
          <w:sz w:val="22"/>
          <w:szCs w:val="22"/>
        </w:rPr>
        <w:t>R</w:t>
      </w:r>
      <w:r w:rsidR="009C4735">
        <w:rPr>
          <w:rFonts w:ascii="Arial" w:hAnsi="Arial"/>
          <w:sz w:val="22"/>
          <w:szCs w:val="22"/>
        </w:rPr>
        <w:t>ecovering the</w:t>
      </w:r>
      <w:r>
        <w:rPr>
          <w:rFonts w:ascii="Arial" w:hAnsi="Arial"/>
          <w:sz w:val="22"/>
          <w:szCs w:val="22"/>
        </w:rPr>
        <w:t xml:space="preserve"> loggers at the </w:t>
      </w:r>
      <w:r w:rsidR="009C4735">
        <w:rPr>
          <w:rFonts w:ascii="Arial" w:hAnsi="Arial"/>
          <w:sz w:val="22"/>
          <w:szCs w:val="22"/>
        </w:rPr>
        <w:t>complet</w:t>
      </w:r>
      <w:r>
        <w:rPr>
          <w:rFonts w:ascii="Arial" w:hAnsi="Arial"/>
          <w:sz w:val="22"/>
          <w:szCs w:val="22"/>
        </w:rPr>
        <w:t>ion of the MSS</w:t>
      </w:r>
      <w:r w:rsidR="00916477">
        <w:rPr>
          <w:rFonts w:ascii="Arial" w:hAnsi="Arial"/>
          <w:sz w:val="22"/>
          <w:szCs w:val="22"/>
        </w:rPr>
        <w:t xml:space="preserve"> (no equipment will remain on the seabed once the sound validation work is complete)</w:t>
      </w:r>
      <w:r>
        <w:rPr>
          <w:rFonts w:ascii="Arial" w:hAnsi="Arial"/>
          <w:sz w:val="22"/>
          <w:szCs w:val="22"/>
        </w:rPr>
        <w:t>;</w:t>
      </w:r>
    </w:p>
    <w:p w14:paraId="2A52EE00" w14:textId="77777777" w:rsidR="008F1568" w:rsidRDefault="008F1568" w:rsidP="009C4735">
      <w:pPr>
        <w:pStyle w:val="bodycopy"/>
        <w:numPr>
          <w:ilvl w:val="0"/>
          <w:numId w:val="430"/>
        </w:numPr>
        <w:rPr>
          <w:rFonts w:ascii="Arial" w:hAnsi="Arial"/>
          <w:sz w:val="22"/>
          <w:szCs w:val="22"/>
        </w:rPr>
      </w:pPr>
      <w:r>
        <w:rPr>
          <w:rFonts w:ascii="Arial" w:hAnsi="Arial"/>
          <w:sz w:val="22"/>
          <w:szCs w:val="22"/>
        </w:rPr>
        <w:t>Downloading and analysing the recovered data; and</w:t>
      </w:r>
    </w:p>
    <w:p w14:paraId="3E0292D1" w14:textId="07472DA5" w:rsidR="008F1568" w:rsidRDefault="008F1568" w:rsidP="008446F9">
      <w:pPr>
        <w:pStyle w:val="bodycopy"/>
        <w:numPr>
          <w:ilvl w:val="0"/>
          <w:numId w:val="430"/>
        </w:numPr>
        <w:spacing w:after="240"/>
        <w:ind w:left="714" w:hanging="357"/>
        <w:rPr>
          <w:rFonts w:ascii="Arial" w:hAnsi="Arial"/>
          <w:sz w:val="22"/>
          <w:szCs w:val="22"/>
        </w:rPr>
      </w:pPr>
      <w:r>
        <w:rPr>
          <w:rFonts w:ascii="Arial" w:hAnsi="Arial"/>
          <w:sz w:val="22"/>
          <w:szCs w:val="22"/>
        </w:rPr>
        <w:t xml:space="preserve">Summarising the data in a concise report that compares the underwater sound during the survey with predictions from the STLM report, and with ambient sound levels recorded immediately prior to the survey. </w:t>
      </w:r>
    </w:p>
    <w:p w14:paraId="46E9214A" w14:textId="77777777" w:rsidR="002B271E" w:rsidRPr="00DB7CEC" w:rsidRDefault="002B271E" w:rsidP="002B271E">
      <w:pPr>
        <w:pStyle w:val="bodycopy"/>
        <w:rPr>
          <w:rFonts w:ascii="Arial" w:hAnsi="Arial"/>
          <w:i/>
          <w:sz w:val="22"/>
          <w:szCs w:val="22"/>
        </w:rPr>
      </w:pPr>
      <w:r w:rsidRPr="00DB7CEC">
        <w:rPr>
          <w:rFonts w:ascii="Arial" w:hAnsi="Arial"/>
          <w:i/>
          <w:sz w:val="22"/>
          <w:szCs w:val="22"/>
        </w:rPr>
        <w:t>Consultants</w:t>
      </w:r>
    </w:p>
    <w:p w14:paraId="2407A8CC" w14:textId="78AEF849" w:rsidR="002B271E" w:rsidRDefault="002B271E" w:rsidP="002B271E">
      <w:pPr>
        <w:pStyle w:val="bodycopy"/>
        <w:rPr>
          <w:rFonts w:ascii="Arial" w:hAnsi="Arial"/>
          <w:sz w:val="22"/>
          <w:szCs w:val="22"/>
        </w:rPr>
      </w:pPr>
      <w:r>
        <w:rPr>
          <w:rFonts w:ascii="Arial" w:hAnsi="Arial"/>
          <w:sz w:val="22"/>
          <w:szCs w:val="22"/>
        </w:rPr>
        <w:t>Jasco</w:t>
      </w:r>
      <w:r w:rsidRPr="00DB7CEC">
        <w:rPr>
          <w:rFonts w:ascii="Arial" w:hAnsi="Arial"/>
          <w:sz w:val="22"/>
          <w:szCs w:val="22"/>
        </w:rPr>
        <w:t xml:space="preserve"> </w:t>
      </w:r>
      <w:r>
        <w:rPr>
          <w:rFonts w:ascii="Arial" w:hAnsi="Arial"/>
          <w:sz w:val="22"/>
          <w:szCs w:val="22"/>
        </w:rPr>
        <w:t xml:space="preserve">Applied Sciences </w:t>
      </w:r>
      <w:r w:rsidRPr="00DB7CEC">
        <w:rPr>
          <w:rFonts w:ascii="Arial" w:hAnsi="Arial"/>
          <w:sz w:val="22"/>
          <w:szCs w:val="22"/>
        </w:rPr>
        <w:t xml:space="preserve">has been awarded the contract to undertake the </w:t>
      </w:r>
      <w:r>
        <w:rPr>
          <w:rFonts w:ascii="Arial" w:hAnsi="Arial"/>
          <w:sz w:val="22"/>
          <w:szCs w:val="22"/>
        </w:rPr>
        <w:t>underwater sound sound verification work.</w:t>
      </w:r>
      <w:r w:rsidRPr="00DB7CEC">
        <w:rPr>
          <w:rFonts w:ascii="Arial" w:hAnsi="Arial"/>
          <w:sz w:val="22"/>
          <w:szCs w:val="22"/>
        </w:rPr>
        <w:t xml:space="preserve"> </w:t>
      </w:r>
      <w:r>
        <w:rPr>
          <w:rFonts w:ascii="Arial" w:hAnsi="Arial"/>
          <w:sz w:val="22"/>
          <w:szCs w:val="22"/>
        </w:rPr>
        <w:t xml:space="preserve">Jasco is </w:t>
      </w:r>
      <w:r w:rsidRPr="00DB7CEC">
        <w:rPr>
          <w:rFonts w:ascii="Arial" w:hAnsi="Arial"/>
          <w:sz w:val="22"/>
          <w:szCs w:val="22"/>
        </w:rPr>
        <w:t xml:space="preserve">well placed to undertake this work given that they undertook the </w:t>
      </w:r>
      <w:r>
        <w:rPr>
          <w:rFonts w:ascii="Arial" w:hAnsi="Arial"/>
          <w:sz w:val="22"/>
          <w:szCs w:val="22"/>
        </w:rPr>
        <w:t>STLM for the project (see Section 7.1) and have undertaken numerous sound validation studies globally.</w:t>
      </w:r>
    </w:p>
    <w:p w14:paraId="342B14BD" w14:textId="77777777" w:rsidR="00E637F1" w:rsidRPr="00667CD0" w:rsidRDefault="00E637F1" w:rsidP="00E637F1">
      <w:pPr>
        <w:pStyle w:val="Heading3"/>
        <w:spacing w:after="240"/>
        <w:ind w:left="1225" w:hanging="505"/>
      </w:pPr>
      <w:bookmarkStart w:id="1308" w:name="_Toc479764195"/>
      <w:bookmarkStart w:id="1309" w:name="_Toc375214692"/>
      <w:r>
        <w:t>Auditing, Assurance and Inspections</w:t>
      </w:r>
      <w:bookmarkEnd w:id="1308"/>
      <w:bookmarkEnd w:id="1309"/>
    </w:p>
    <w:p w14:paraId="26DA326B" w14:textId="77777777" w:rsidR="008548E3" w:rsidRPr="0023317C" w:rsidRDefault="008548E3" w:rsidP="008548E3">
      <w:pPr>
        <w:ind w:left="0"/>
        <w:rPr>
          <w:rFonts w:cs="Arial"/>
          <w:sz w:val="22"/>
          <w:szCs w:val="22"/>
        </w:rPr>
      </w:pPr>
      <w:r w:rsidRPr="0023317C">
        <w:rPr>
          <w:rFonts w:cs="Arial"/>
          <w:sz w:val="22"/>
          <w:szCs w:val="22"/>
        </w:rPr>
        <w:t>The following arrangements will be established to review environmental performance of the activity:</w:t>
      </w:r>
    </w:p>
    <w:p w14:paraId="30450567" w14:textId="77777777" w:rsidR="00A87A36" w:rsidRPr="0023317C" w:rsidRDefault="00A87A36" w:rsidP="008548E3">
      <w:pPr>
        <w:ind w:left="0"/>
        <w:rPr>
          <w:rFonts w:cs="Arial"/>
          <w:sz w:val="22"/>
          <w:szCs w:val="22"/>
        </w:rPr>
      </w:pPr>
    </w:p>
    <w:p w14:paraId="1BCCFCFA" w14:textId="5EBEF447" w:rsidR="008548E3" w:rsidRPr="0023317C" w:rsidRDefault="00A87A36" w:rsidP="00A87A36">
      <w:pPr>
        <w:pStyle w:val="ListParagraph0"/>
        <w:numPr>
          <w:ilvl w:val="0"/>
          <w:numId w:val="359"/>
        </w:numPr>
        <w:rPr>
          <w:rFonts w:cs="Arial"/>
          <w:sz w:val="22"/>
          <w:szCs w:val="22"/>
        </w:rPr>
      </w:pPr>
      <w:r w:rsidRPr="0023317C">
        <w:rPr>
          <w:rFonts w:cs="Arial"/>
          <w:sz w:val="22"/>
          <w:szCs w:val="22"/>
        </w:rPr>
        <w:lastRenderedPageBreak/>
        <w:t>HSE d</w:t>
      </w:r>
      <w:r w:rsidR="008548E3" w:rsidRPr="0023317C">
        <w:rPr>
          <w:rFonts w:cs="Arial"/>
          <w:sz w:val="22"/>
          <w:szCs w:val="22"/>
        </w:rPr>
        <w:t xml:space="preserve">ue diligence pre-survey audit – audit(s) of the </w:t>
      </w:r>
      <w:r w:rsidR="0097437F">
        <w:rPr>
          <w:rFonts w:cs="Arial"/>
          <w:sz w:val="22"/>
          <w:szCs w:val="22"/>
        </w:rPr>
        <w:t>survey and support</w:t>
      </w:r>
      <w:r w:rsidR="00E0001A" w:rsidRPr="0023317C">
        <w:rPr>
          <w:rFonts w:cs="Arial"/>
          <w:sz w:val="22"/>
          <w:szCs w:val="22"/>
        </w:rPr>
        <w:t xml:space="preserve"> </w:t>
      </w:r>
      <w:r w:rsidR="008548E3" w:rsidRPr="0023317C">
        <w:rPr>
          <w:rFonts w:cs="Arial"/>
          <w:sz w:val="22"/>
          <w:szCs w:val="22"/>
        </w:rPr>
        <w:t>vessel</w:t>
      </w:r>
      <w:r w:rsidR="0097437F">
        <w:rPr>
          <w:rFonts w:cs="Arial"/>
          <w:sz w:val="22"/>
          <w:szCs w:val="22"/>
        </w:rPr>
        <w:t xml:space="preserve">s </w:t>
      </w:r>
      <w:r w:rsidR="008548E3" w:rsidRPr="0023317C">
        <w:rPr>
          <w:rFonts w:cs="Arial"/>
          <w:sz w:val="22"/>
          <w:szCs w:val="22"/>
        </w:rPr>
        <w:t>will be carried out prior to the survey (and after contract award) to ensure that procedures and equipment for managing routine discharges and emissions are in place to enable compliance with the EP.</w:t>
      </w:r>
    </w:p>
    <w:p w14:paraId="2211CEF3" w14:textId="5F5388F3" w:rsidR="008548E3" w:rsidRPr="0023317C" w:rsidRDefault="008548E3" w:rsidP="00A87A36">
      <w:pPr>
        <w:pStyle w:val="ListParagraph0"/>
        <w:numPr>
          <w:ilvl w:val="0"/>
          <w:numId w:val="359"/>
        </w:numPr>
        <w:rPr>
          <w:rFonts w:cs="Arial"/>
          <w:sz w:val="22"/>
          <w:szCs w:val="22"/>
        </w:rPr>
      </w:pPr>
      <w:r w:rsidRPr="0023317C">
        <w:rPr>
          <w:rFonts w:cs="Arial"/>
          <w:sz w:val="22"/>
          <w:szCs w:val="22"/>
        </w:rPr>
        <w:t xml:space="preserve">Internal operations inspections – the </w:t>
      </w:r>
      <w:r w:rsidR="00A87A36" w:rsidRPr="0023317C">
        <w:rPr>
          <w:rFonts w:cs="Arial"/>
          <w:sz w:val="22"/>
          <w:szCs w:val="22"/>
        </w:rPr>
        <w:t>Party Chief</w:t>
      </w:r>
      <w:r w:rsidRPr="0023317C">
        <w:rPr>
          <w:rFonts w:cs="Arial"/>
          <w:sz w:val="22"/>
          <w:szCs w:val="22"/>
        </w:rPr>
        <w:t xml:space="preserve"> will continually supervise the survey, ensuring adherence to the environmental controls specified in this EP. Regular inspections using an environmental checklist </w:t>
      </w:r>
      <w:r w:rsidR="0097437F" w:rsidRPr="0023317C">
        <w:rPr>
          <w:rFonts w:cs="Arial"/>
          <w:sz w:val="22"/>
          <w:szCs w:val="22"/>
        </w:rPr>
        <w:t>issue</w:t>
      </w:r>
      <w:r w:rsidR="00F962E8">
        <w:rPr>
          <w:rFonts w:cs="Arial"/>
          <w:sz w:val="22"/>
          <w:szCs w:val="22"/>
        </w:rPr>
        <w:t>d by CarbonN</w:t>
      </w:r>
      <w:r w:rsidR="0097437F" w:rsidRPr="0023317C">
        <w:rPr>
          <w:rFonts w:cs="Arial"/>
          <w:sz w:val="22"/>
          <w:szCs w:val="22"/>
        </w:rPr>
        <w:t xml:space="preserve">et </w:t>
      </w:r>
      <w:r w:rsidRPr="0023317C">
        <w:rPr>
          <w:rFonts w:cs="Arial"/>
          <w:sz w:val="22"/>
          <w:szCs w:val="22"/>
        </w:rPr>
        <w:t xml:space="preserve">will be completed </w:t>
      </w:r>
      <w:r w:rsidR="0097437F">
        <w:rPr>
          <w:rFonts w:cs="Arial"/>
          <w:sz w:val="22"/>
          <w:szCs w:val="22"/>
        </w:rPr>
        <w:t>by</w:t>
      </w:r>
      <w:r w:rsidRPr="0023317C">
        <w:rPr>
          <w:rFonts w:cs="Arial"/>
          <w:sz w:val="22"/>
          <w:szCs w:val="22"/>
        </w:rPr>
        <w:t xml:space="preserve"> </w:t>
      </w:r>
      <w:r w:rsidR="00A87A36" w:rsidRPr="0023317C">
        <w:rPr>
          <w:rFonts w:cs="Arial"/>
          <w:sz w:val="22"/>
          <w:szCs w:val="22"/>
        </w:rPr>
        <w:t>the Party Chief</w:t>
      </w:r>
      <w:r w:rsidR="0097437F">
        <w:rPr>
          <w:rFonts w:cs="Arial"/>
          <w:sz w:val="22"/>
          <w:szCs w:val="22"/>
        </w:rPr>
        <w:t xml:space="preserve"> and provided to the CarbonNet Client Representative</w:t>
      </w:r>
      <w:r w:rsidRPr="0023317C">
        <w:rPr>
          <w:rFonts w:cs="Arial"/>
          <w:sz w:val="22"/>
          <w:szCs w:val="22"/>
        </w:rPr>
        <w:t>.</w:t>
      </w:r>
      <w:r w:rsidR="00A87A36" w:rsidRPr="0023317C">
        <w:rPr>
          <w:rFonts w:cs="Arial"/>
          <w:sz w:val="22"/>
          <w:szCs w:val="22"/>
        </w:rPr>
        <w:t xml:space="preserve"> </w:t>
      </w:r>
    </w:p>
    <w:p w14:paraId="51D6DD49" w14:textId="77777777" w:rsidR="00A87A36" w:rsidRPr="0023317C" w:rsidRDefault="00A87A36" w:rsidP="00A87A36">
      <w:pPr>
        <w:ind w:left="0"/>
        <w:rPr>
          <w:rFonts w:cs="Arial"/>
          <w:sz w:val="22"/>
          <w:szCs w:val="22"/>
        </w:rPr>
      </w:pPr>
    </w:p>
    <w:p w14:paraId="203D08BC" w14:textId="37D616B2" w:rsidR="008548E3" w:rsidRPr="0023317C" w:rsidRDefault="008548E3" w:rsidP="00A87A36">
      <w:pPr>
        <w:ind w:left="0"/>
        <w:rPr>
          <w:rFonts w:cs="Arial"/>
          <w:sz w:val="22"/>
          <w:szCs w:val="22"/>
        </w:rPr>
      </w:pPr>
      <w:r w:rsidRPr="0023317C">
        <w:rPr>
          <w:rFonts w:cs="Arial"/>
          <w:sz w:val="22"/>
          <w:szCs w:val="22"/>
        </w:rPr>
        <w:t>A summary of the EP commitments for the</w:t>
      </w:r>
      <w:r w:rsidR="000E6E47" w:rsidRPr="0023317C">
        <w:rPr>
          <w:rFonts w:cs="Arial"/>
          <w:sz w:val="22"/>
          <w:szCs w:val="22"/>
        </w:rPr>
        <w:t xml:space="preserve"> survey</w:t>
      </w:r>
      <w:r w:rsidRPr="0023317C">
        <w:rPr>
          <w:rFonts w:cs="Arial"/>
          <w:sz w:val="22"/>
          <w:szCs w:val="22"/>
        </w:rPr>
        <w:t xml:space="preserve"> will be distributed aboard the vessels, and implementation of the </w:t>
      </w:r>
      <w:r w:rsidR="009D48FF">
        <w:rPr>
          <w:rFonts w:cs="Arial"/>
          <w:sz w:val="22"/>
          <w:szCs w:val="22"/>
        </w:rPr>
        <w:t>EPS</w:t>
      </w:r>
      <w:r w:rsidRPr="0023317C">
        <w:rPr>
          <w:rFonts w:cs="Arial"/>
          <w:sz w:val="22"/>
          <w:szCs w:val="22"/>
        </w:rPr>
        <w:t xml:space="preserve"> will be monitored by the </w:t>
      </w:r>
      <w:r w:rsidR="00F962E8">
        <w:rPr>
          <w:rFonts w:cs="Arial"/>
          <w:sz w:val="22"/>
          <w:szCs w:val="22"/>
        </w:rPr>
        <w:t>CarbonNet Client Representative</w:t>
      </w:r>
      <w:r w:rsidRPr="0023317C">
        <w:rPr>
          <w:rFonts w:cs="Arial"/>
          <w:sz w:val="22"/>
          <w:szCs w:val="22"/>
        </w:rPr>
        <w:t>.</w:t>
      </w:r>
    </w:p>
    <w:p w14:paraId="62ECFC22" w14:textId="77777777" w:rsidR="00A87A36" w:rsidRPr="0023317C" w:rsidRDefault="00A87A36" w:rsidP="008548E3">
      <w:pPr>
        <w:ind w:left="0"/>
        <w:rPr>
          <w:rFonts w:cs="Arial"/>
          <w:sz w:val="22"/>
          <w:szCs w:val="22"/>
        </w:rPr>
      </w:pPr>
    </w:p>
    <w:p w14:paraId="1492CC09" w14:textId="553508AD" w:rsidR="002324F0" w:rsidRDefault="008548E3" w:rsidP="008548E3">
      <w:pPr>
        <w:ind w:left="0"/>
        <w:rPr>
          <w:rFonts w:cs="Arial"/>
          <w:sz w:val="22"/>
          <w:szCs w:val="22"/>
        </w:rPr>
      </w:pPr>
      <w:r w:rsidRPr="0023317C">
        <w:rPr>
          <w:rFonts w:cs="Arial"/>
          <w:sz w:val="22"/>
          <w:szCs w:val="22"/>
        </w:rPr>
        <w:t xml:space="preserve">Any non-compliance with the environmental performance standards outlined in this EP will be </w:t>
      </w:r>
      <w:r w:rsidR="00A87A36" w:rsidRPr="0023317C">
        <w:rPr>
          <w:rFonts w:cs="Arial"/>
          <w:sz w:val="22"/>
          <w:szCs w:val="22"/>
        </w:rPr>
        <w:t xml:space="preserve">internally and externally reported and </w:t>
      </w:r>
      <w:r w:rsidRPr="0023317C">
        <w:rPr>
          <w:rFonts w:cs="Arial"/>
          <w:sz w:val="22"/>
          <w:szCs w:val="22"/>
        </w:rPr>
        <w:t>subject to investigation and follow-u</w:t>
      </w:r>
      <w:r w:rsidR="00A87A36" w:rsidRPr="0023317C">
        <w:rPr>
          <w:rFonts w:cs="Arial"/>
          <w:sz w:val="22"/>
          <w:szCs w:val="22"/>
        </w:rPr>
        <w:t>p action</w:t>
      </w:r>
      <w:r w:rsidRPr="009C4735">
        <w:rPr>
          <w:rFonts w:cs="Arial"/>
          <w:sz w:val="22"/>
          <w:szCs w:val="22"/>
        </w:rPr>
        <w:t>.</w:t>
      </w:r>
      <w:r w:rsidRPr="0023317C">
        <w:rPr>
          <w:rFonts w:cs="Arial"/>
          <w:sz w:val="22"/>
          <w:szCs w:val="22"/>
        </w:rPr>
        <w:t xml:space="preserve"> </w:t>
      </w:r>
    </w:p>
    <w:p w14:paraId="427F46D3" w14:textId="07F4CBA4" w:rsidR="002324F0" w:rsidRPr="00B03966" w:rsidRDefault="002324F0" w:rsidP="002324F0">
      <w:pPr>
        <w:pStyle w:val="Heading2"/>
        <w:keepLines/>
        <w:numPr>
          <w:ilvl w:val="1"/>
          <w:numId w:val="1"/>
        </w:numPr>
        <w:tabs>
          <w:tab w:val="clear" w:pos="720"/>
        </w:tabs>
        <w:spacing w:before="400" w:after="200" w:line="240" w:lineRule="auto"/>
        <w:ind w:left="709" w:hanging="709"/>
        <w:rPr>
          <w:rFonts w:cs="Times New Roman"/>
          <w:iCs w:val="0"/>
          <w:color w:val="064EA8"/>
          <w:szCs w:val="26"/>
          <w:lang w:eastAsia="en-US"/>
        </w:rPr>
      </w:pPr>
      <w:bookmarkStart w:id="1310" w:name="_Toc375214693"/>
      <w:r>
        <w:rPr>
          <w:rFonts w:cs="Times New Roman"/>
          <w:iCs w:val="0"/>
          <w:color w:val="064EA8"/>
          <w:szCs w:val="26"/>
          <w:lang w:eastAsia="en-US"/>
        </w:rPr>
        <w:t>Oil Spill Preparedness and Response</w:t>
      </w:r>
      <w:bookmarkEnd w:id="1310"/>
    </w:p>
    <w:p w14:paraId="16C18E27" w14:textId="5D1324F9" w:rsidR="00633407" w:rsidRDefault="007255AA" w:rsidP="002324F0">
      <w:pPr>
        <w:ind w:left="0"/>
        <w:rPr>
          <w:rFonts w:cs="Arial"/>
          <w:sz w:val="22"/>
          <w:szCs w:val="22"/>
        </w:rPr>
      </w:pPr>
      <w:r>
        <w:rPr>
          <w:rFonts w:cs="Arial"/>
          <w:sz w:val="22"/>
          <w:szCs w:val="22"/>
        </w:rPr>
        <w:t>Project-specific o</w:t>
      </w:r>
      <w:r w:rsidR="00633407">
        <w:rPr>
          <w:rFonts w:cs="Arial"/>
          <w:sz w:val="22"/>
          <w:szCs w:val="22"/>
        </w:rPr>
        <w:t xml:space="preserve">il spill preparedness and response </w:t>
      </w:r>
      <w:r>
        <w:rPr>
          <w:rFonts w:cs="Arial"/>
          <w:sz w:val="22"/>
          <w:szCs w:val="22"/>
        </w:rPr>
        <w:t xml:space="preserve">plans have been prepared, as outlined herein. </w:t>
      </w:r>
    </w:p>
    <w:p w14:paraId="6B3DBB7A" w14:textId="7A85F790" w:rsidR="00633407" w:rsidRPr="00667CD0" w:rsidRDefault="00633407" w:rsidP="00633407">
      <w:pPr>
        <w:pStyle w:val="Heading3"/>
        <w:spacing w:after="240"/>
        <w:ind w:left="1225" w:hanging="505"/>
      </w:pPr>
      <w:bookmarkStart w:id="1311" w:name="_Toc375214694"/>
      <w:r>
        <w:t>OPEP</w:t>
      </w:r>
      <w:bookmarkEnd w:id="1311"/>
    </w:p>
    <w:p w14:paraId="0E39A84B" w14:textId="4BE3BBB1" w:rsidR="00606E7A" w:rsidRDefault="00633407" w:rsidP="00633407">
      <w:pPr>
        <w:ind w:left="0"/>
        <w:rPr>
          <w:rFonts w:cs="Arial"/>
          <w:sz w:val="22"/>
          <w:szCs w:val="22"/>
        </w:rPr>
      </w:pPr>
      <w:r w:rsidRPr="0023317C">
        <w:rPr>
          <w:rFonts w:cs="Arial"/>
          <w:sz w:val="22"/>
          <w:szCs w:val="22"/>
        </w:rPr>
        <w:t xml:space="preserve">The </w:t>
      </w:r>
      <w:r w:rsidR="002A62B9">
        <w:rPr>
          <w:rFonts w:cs="Arial"/>
          <w:sz w:val="22"/>
          <w:szCs w:val="22"/>
        </w:rPr>
        <w:t>Pelican 3DMSS OPEP outlines details the oil spill response arrangements to be undertaken in the event of a Level 2 or 3 MDO spill from any of the vessels associated with the survey. It outlines the reporting arrangements and response structure</w:t>
      </w:r>
      <w:r w:rsidR="00606E7A">
        <w:rPr>
          <w:rFonts w:cs="Arial"/>
          <w:sz w:val="22"/>
          <w:szCs w:val="22"/>
        </w:rPr>
        <w:t xml:space="preserve">, and essentially bridges to the Victorian Government’s State Maritime Emergecies (non-search and rescue) Plan (EMV, 2016). </w:t>
      </w:r>
    </w:p>
    <w:p w14:paraId="16545109" w14:textId="77777777" w:rsidR="00606E7A" w:rsidRDefault="00606E7A" w:rsidP="00633407">
      <w:pPr>
        <w:ind w:left="0"/>
        <w:rPr>
          <w:rFonts w:cs="Arial"/>
          <w:sz w:val="22"/>
          <w:szCs w:val="22"/>
        </w:rPr>
      </w:pPr>
    </w:p>
    <w:p w14:paraId="3A4E2444" w14:textId="54FA0310" w:rsidR="00633407" w:rsidRDefault="00257570" w:rsidP="003642F6">
      <w:pPr>
        <w:spacing w:after="120" w:line="240" w:lineRule="auto"/>
        <w:ind w:left="0"/>
        <w:rPr>
          <w:rFonts w:cs="Arial"/>
          <w:sz w:val="22"/>
          <w:szCs w:val="22"/>
        </w:rPr>
      </w:pPr>
      <w:r>
        <w:rPr>
          <w:rFonts w:cs="Arial"/>
          <w:sz w:val="22"/>
          <w:szCs w:val="22"/>
        </w:rPr>
        <w:t xml:space="preserve">The responses outlined in the OPEP are: </w:t>
      </w:r>
    </w:p>
    <w:p w14:paraId="000003D9" w14:textId="63C891FA" w:rsidR="00257570" w:rsidRDefault="00257570" w:rsidP="00257570">
      <w:pPr>
        <w:pStyle w:val="ListParagraph0"/>
        <w:numPr>
          <w:ilvl w:val="0"/>
          <w:numId w:val="553"/>
        </w:numPr>
        <w:rPr>
          <w:rFonts w:cs="Arial"/>
          <w:sz w:val="22"/>
          <w:szCs w:val="22"/>
        </w:rPr>
      </w:pPr>
      <w:r>
        <w:rPr>
          <w:rFonts w:cs="Arial"/>
          <w:sz w:val="22"/>
          <w:szCs w:val="22"/>
        </w:rPr>
        <w:t>Source control – the responsible Vessel Master will ensure that the impacted fuel tank/s are managed so as to minimise the volume of MDO lost to sea</w:t>
      </w:r>
      <w:r w:rsidR="002B3DF6">
        <w:rPr>
          <w:rFonts w:cs="Arial"/>
          <w:sz w:val="22"/>
          <w:szCs w:val="22"/>
        </w:rPr>
        <w:t xml:space="preserve"> (as per the SMPEP)</w:t>
      </w:r>
      <w:r>
        <w:rPr>
          <w:rFonts w:cs="Arial"/>
          <w:sz w:val="22"/>
          <w:szCs w:val="22"/>
        </w:rPr>
        <w:t xml:space="preserve">.  </w:t>
      </w:r>
    </w:p>
    <w:p w14:paraId="799B56C4" w14:textId="7BDE9E6A" w:rsidR="00257570" w:rsidRDefault="00257570" w:rsidP="00257570">
      <w:pPr>
        <w:pStyle w:val="ListParagraph0"/>
        <w:numPr>
          <w:ilvl w:val="0"/>
          <w:numId w:val="553"/>
        </w:numPr>
        <w:rPr>
          <w:rFonts w:cs="Arial"/>
          <w:sz w:val="22"/>
          <w:szCs w:val="22"/>
        </w:rPr>
      </w:pPr>
      <w:r>
        <w:rPr>
          <w:rFonts w:cs="Arial"/>
          <w:sz w:val="22"/>
          <w:szCs w:val="22"/>
        </w:rPr>
        <w:t xml:space="preserve">Surveillance and tracking – </w:t>
      </w:r>
      <w:r w:rsidR="00606E7A">
        <w:rPr>
          <w:rFonts w:cs="Arial"/>
          <w:sz w:val="22"/>
          <w:szCs w:val="22"/>
        </w:rPr>
        <w:t xml:space="preserve">vessel-based and aerial monitoring will be undertaken to determine the trajectory of the spill in order to ascertain receptors that may be at risk. </w:t>
      </w:r>
      <w:r>
        <w:rPr>
          <w:rFonts w:cs="Arial"/>
          <w:sz w:val="22"/>
          <w:szCs w:val="22"/>
        </w:rPr>
        <w:t xml:space="preserve"> </w:t>
      </w:r>
    </w:p>
    <w:p w14:paraId="3846D7E3" w14:textId="509F5E53" w:rsidR="00257570" w:rsidRDefault="00257570" w:rsidP="00257570">
      <w:pPr>
        <w:pStyle w:val="ListParagraph0"/>
        <w:numPr>
          <w:ilvl w:val="0"/>
          <w:numId w:val="553"/>
        </w:numPr>
        <w:rPr>
          <w:rFonts w:cs="Arial"/>
          <w:sz w:val="22"/>
          <w:szCs w:val="22"/>
        </w:rPr>
      </w:pPr>
      <w:r>
        <w:rPr>
          <w:rFonts w:cs="Arial"/>
          <w:sz w:val="22"/>
          <w:szCs w:val="22"/>
        </w:rPr>
        <w:t xml:space="preserve">Protection and deflection – </w:t>
      </w:r>
      <w:r w:rsidR="00606E7A">
        <w:rPr>
          <w:rFonts w:cs="Arial"/>
          <w:sz w:val="22"/>
          <w:szCs w:val="22"/>
        </w:rPr>
        <w:t>relates to booming estuaries that m</w:t>
      </w:r>
      <w:r w:rsidR="00506B55">
        <w:rPr>
          <w:rFonts w:cs="Arial"/>
          <w:sz w:val="22"/>
          <w:szCs w:val="22"/>
        </w:rPr>
        <w:t>a</w:t>
      </w:r>
      <w:r w:rsidR="00606E7A">
        <w:rPr>
          <w:rFonts w:cs="Arial"/>
          <w:sz w:val="22"/>
          <w:szCs w:val="22"/>
        </w:rPr>
        <w:t xml:space="preserve">y be open in order to protect their </w:t>
      </w:r>
      <w:r w:rsidR="001F4F17">
        <w:rPr>
          <w:rFonts w:cs="Arial"/>
          <w:sz w:val="22"/>
          <w:szCs w:val="22"/>
        </w:rPr>
        <w:t xml:space="preserve">values. </w:t>
      </w:r>
      <w:r>
        <w:rPr>
          <w:rFonts w:cs="Arial"/>
          <w:sz w:val="22"/>
          <w:szCs w:val="22"/>
        </w:rPr>
        <w:t xml:space="preserve"> </w:t>
      </w:r>
    </w:p>
    <w:p w14:paraId="55ECEC2B" w14:textId="0CF28786" w:rsidR="00257570" w:rsidRDefault="00257570" w:rsidP="00257570">
      <w:pPr>
        <w:pStyle w:val="ListParagraph0"/>
        <w:numPr>
          <w:ilvl w:val="0"/>
          <w:numId w:val="553"/>
        </w:numPr>
        <w:rPr>
          <w:rFonts w:cs="Arial"/>
          <w:sz w:val="22"/>
          <w:szCs w:val="22"/>
        </w:rPr>
      </w:pPr>
      <w:r>
        <w:rPr>
          <w:rFonts w:cs="Arial"/>
          <w:sz w:val="22"/>
          <w:szCs w:val="22"/>
        </w:rPr>
        <w:t>Shore</w:t>
      </w:r>
      <w:r w:rsidR="00506B55">
        <w:rPr>
          <w:rFonts w:cs="Arial"/>
          <w:sz w:val="22"/>
          <w:szCs w:val="22"/>
        </w:rPr>
        <w:t xml:space="preserve">line assessment and clean-up – involves undertaking a survey of shoreline impacts and allocating resources to clean up stranded MDO, where possible. </w:t>
      </w:r>
    </w:p>
    <w:p w14:paraId="7D2D1937" w14:textId="3E06053C" w:rsidR="00257570" w:rsidRDefault="00257570" w:rsidP="00257570">
      <w:pPr>
        <w:pStyle w:val="ListParagraph0"/>
        <w:numPr>
          <w:ilvl w:val="0"/>
          <w:numId w:val="553"/>
        </w:numPr>
        <w:rPr>
          <w:rFonts w:cs="Arial"/>
          <w:sz w:val="22"/>
          <w:szCs w:val="22"/>
        </w:rPr>
      </w:pPr>
      <w:r>
        <w:rPr>
          <w:rFonts w:cs="Arial"/>
          <w:sz w:val="22"/>
          <w:szCs w:val="22"/>
        </w:rPr>
        <w:t>Oi</w:t>
      </w:r>
      <w:r w:rsidR="00506B55">
        <w:rPr>
          <w:rFonts w:cs="Arial"/>
          <w:sz w:val="22"/>
          <w:szCs w:val="22"/>
        </w:rPr>
        <w:t xml:space="preserve">led wildlife response – the DELWP is the agency responsible for responding to oiled wildlife. CarbonNet would work with DELWP to provide resources as necessary. </w:t>
      </w:r>
    </w:p>
    <w:p w14:paraId="52EB8EAF" w14:textId="3A644379" w:rsidR="00257570" w:rsidRPr="00257570" w:rsidRDefault="00257570" w:rsidP="00257570">
      <w:pPr>
        <w:pStyle w:val="ListParagraph0"/>
        <w:numPr>
          <w:ilvl w:val="0"/>
          <w:numId w:val="553"/>
        </w:numPr>
        <w:rPr>
          <w:rFonts w:cs="Arial"/>
          <w:sz w:val="22"/>
          <w:szCs w:val="22"/>
        </w:rPr>
      </w:pPr>
      <w:r>
        <w:rPr>
          <w:rFonts w:cs="Arial"/>
          <w:sz w:val="22"/>
          <w:szCs w:val="22"/>
        </w:rPr>
        <w:t xml:space="preserve">Decontamination and waste management – </w:t>
      </w:r>
      <w:r w:rsidR="0003109F">
        <w:rPr>
          <w:rFonts w:cs="Arial"/>
          <w:sz w:val="22"/>
          <w:szCs w:val="22"/>
        </w:rPr>
        <w:t xml:space="preserve">this process involves responsibly decontaminating oiled equipment used in the spill response, and disposing of waste to suitable facilities. </w:t>
      </w:r>
    </w:p>
    <w:p w14:paraId="2D7750E4" w14:textId="1DCF0939" w:rsidR="00633407" w:rsidRPr="00667CD0" w:rsidRDefault="00633407" w:rsidP="00633407">
      <w:pPr>
        <w:pStyle w:val="Heading3"/>
      </w:pPr>
      <w:bookmarkStart w:id="1312" w:name="_Toc375214695"/>
      <w:r>
        <w:lastRenderedPageBreak/>
        <w:t>SMPEP</w:t>
      </w:r>
      <w:bookmarkEnd w:id="1312"/>
    </w:p>
    <w:p w14:paraId="5566F7AB" w14:textId="54DFE646" w:rsidR="00633407" w:rsidRDefault="00633407" w:rsidP="00633407">
      <w:pPr>
        <w:ind w:left="0"/>
        <w:rPr>
          <w:rFonts w:cs="Arial"/>
          <w:sz w:val="22"/>
          <w:szCs w:val="22"/>
        </w:rPr>
      </w:pPr>
      <w:r w:rsidRPr="0023317C">
        <w:rPr>
          <w:rFonts w:cs="Arial"/>
          <w:sz w:val="22"/>
          <w:szCs w:val="22"/>
        </w:rPr>
        <w:t xml:space="preserve">The </w:t>
      </w:r>
      <w:r w:rsidR="0003109F">
        <w:rPr>
          <w:rFonts w:cs="Arial"/>
          <w:sz w:val="22"/>
          <w:szCs w:val="22"/>
        </w:rPr>
        <w:t xml:space="preserve">survey vessel has in place a SMPEP. This document is required under MARPOL Annex 1, Regulation 37. </w:t>
      </w:r>
      <w:r w:rsidR="002B3DF6">
        <w:rPr>
          <w:rFonts w:cs="Arial"/>
          <w:sz w:val="22"/>
          <w:szCs w:val="22"/>
        </w:rPr>
        <w:t xml:space="preserve">This plan outlines reporting procedures and the steps that should be undertaken to control the discharge. This document does not outline on-water or shoreline oil spill response actions; </w:t>
      </w:r>
      <w:r w:rsidR="002E5F5E">
        <w:rPr>
          <w:rFonts w:cs="Arial"/>
          <w:sz w:val="22"/>
          <w:szCs w:val="22"/>
        </w:rPr>
        <w:t xml:space="preserve">the OPEP fills this void. </w:t>
      </w:r>
    </w:p>
    <w:p w14:paraId="1E43D6D6" w14:textId="77777777" w:rsidR="007255AA" w:rsidRDefault="007255AA" w:rsidP="00633407">
      <w:pPr>
        <w:ind w:left="0"/>
        <w:rPr>
          <w:rFonts w:cs="Arial"/>
          <w:sz w:val="22"/>
          <w:szCs w:val="22"/>
        </w:rPr>
      </w:pPr>
    </w:p>
    <w:p w14:paraId="2B95943A" w14:textId="77777777" w:rsidR="007255AA" w:rsidRDefault="007255AA" w:rsidP="00633407">
      <w:pPr>
        <w:ind w:left="0"/>
        <w:rPr>
          <w:rFonts w:cs="Arial"/>
          <w:sz w:val="22"/>
          <w:szCs w:val="22"/>
        </w:rPr>
      </w:pPr>
    </w:p>
    <w:p w14:paraId="042E2C8F" w14:textId="3020FC53" w:rsidR="007255AA" w:rsidRPr="00667CD0" w:rsidRDefault="007255AA" w:rsidP="007255AA">
      <w:pPr>
        <w:pStyle w:val="Heading3"/>
      </w:pPr>
      <w:bookmarkStart w:id="1313" w:name="_Toc375214696"/>
      <w:r>
        <w:t>OSMP</w:t>
      </w:r>
      <w:bookmarkEnd w:id="1313"/>
    </w:p>
    <w:p w14:paraId="7A702E6E" w14:textId="154D75CD" w:rsidR="007255AA" w:rsidRDefault="00355A9C" w:rsidP="007255AA">
      <w:pPr>
        <w:ind w:left="0"/>
        <w:rPr>
          <w:rFonts w:cs="Arial"/>
          <w:sz w:val="22"/>
          <w:szCs w:val="22"/>
        </w:rPr>
      </w:pPr>
      <w:r>
        <w:rPr>
          <w:rFonts w:cs="Arial"/>
          <w:sz w:val="22"/>
          <w:szCs w:val="22"/>
        </w:rPr>
        <w:t xml:space="preserve">An Operational and Scientific Monitoring Program (OSMP) has been prepared for the Pelican 3DMSS, which is designed to provide a framework for operational and scientific monitoring </w:t>
      </w:r>
      <w:r w:rsidR="00AA37CE">
        <w:rPr>
          <w:rFonts w:cs="Arial"/>
          <w:sz w:val="22"/>
          <w:szCs w:val="22"/>
        </w:rPr>
        <w:t xml:space="preserve">in the event of a Level 2 or 3 hydrocarbon release. Such a program aims to assess the impacts of a hydrocarbon spill. </w:t>
      </w:r>
      <w:r w:rsidR="003642F6">
        <w:rPr>
          <w:rFonts w:cs="Arial"/>
          <w:sz w:val="22"/>
          <w:szCs w:val="22"/>
        </w:rPr>
        <w:t>The OSMP is divided a description of operational and scientific studies, as follows:</w:t>
      </w:r>
    </w:p>
    <w:p w14:paraId="24644FA9" w14:textId="77777777" w:rsidR="007255AA" w:rsidRDefault="007255AA" w:rsidP="00633407">
      <w:pPr>
        <w:ind w:left="0"/>
        <w:rPr>
          <w:rFonts w:cs="Arial"/>
          <w:sz w:val="22"/>
          <w:szCs w:val="22"/>
        </w:rPr>
      </w:pPr>
    </w:p>
    <w:p w14:paraId="6417FC10" w14:textId="262103DF" w:rsidR="00AA37CE" w:rsidRPr="00AA37CE" w:rsidRDefault="00AA37CE" w:rsidP="00AA37CE">
      <w:pPr>
        <w:ind w:left="0"/>
        <w:rPr>
          <w:rFonts w:cs="Arial"/>
          <w:sz w:val="22"/>
          <w:szCs w:val="22"/>
          <w:u w:val="single"/>
        </w:rPr>
      </w:pPr>
      <w:r w:rsidRPr="00AA37CE">
        <w:rPr>
          <w:rFonts w:cs="Arial"/>
          <w:sz w:val="22"/>
          <w:szCs w:val="22"/>
          <w:u w:val="single"/>
        </w:rPr>
        <w:t>Operational monitoring (or Type 1 monitoring, response phase)</w:t>
      </w:r>
      <w:r>
        <w:rPr>
          <w:rFonts w:cs="Arial"/>
          <w:sz w:val="22"/>
          <w:szCs w:val="22"/>
          <w:u w:val="single"/>
        </w:rPr>
        <w:t xml:space="preserve"> studies</w:t>
      </w:r>
    </w:p>
    <w:p w14:paraId="0808DD77" w14:textId="1099F9C2" w:rsidR="007255AA" w:rsidRPr="002E5F5E" w:rsidRDefault="007255AA" w:rsidP="00AA37CE">
      <w:pPr>
        <w:pStyle w:val="ListParagraph0"/>
        <w:numPr>
          <w:ilvl w:val="0"/>
          <w:numId w:val="554"/>
        </w:numPr>
        <w:rPr>
          <w:rFonts w:cs="Arial"/>
          <w:sz w:val="22"/>
          <w:szCs w:val="22"/>
        </w:rPr>
      </w:pPr>
      <w:r w:rsidRPr="002E5F5E">
        <w:rPr>
          <w:rFonts w:cs="Arial"/>
          <w:sz w:val="22"/>
          <w:szCs w:val="22"/>
        </w:rPr>
        <w:t>Predictive oil sp</w:t>
      </w:r>
      <w:r w:rsidR="00FE1B28">
        <w:rPr>
          <w:rFonts w:cs="Arial"/>
          <w:sz w:val="22"/>
          <w:szCs w:val="22"/>
        </w:rPr>
        <w:t>ill trajectory modelling.</w:t>
      </w:r>
    </w:p>
    <w:p w14:paraId="3C094D5B" w14:textId="508AFC55" w:rsidR="007255AA" w:rsidRPr="002E5F5E" w:rsidRDefault="007255AA" w:rsidP="00AA37CE">
      <w:pPr>
        <w:pStyle w:val="ListParagraph0"/>
        <w:numPr>
          <w:ilvl w:val="0"/>
          <w:numId w:val="554"/>
        </w:numPr>
        <w:rPr>
          <w:rFonts w:cs="Arial"/>
          <w:sz w:val="22"/>
          <w:szCs w:val="22"/>
        </w:rPr>
      </w:pPr>
      <w:r w:rsidRPr="002E5F5E">
        <w:rPr>
          <w:rFonts w:cs="Arial"/>
          <w:sz w:val="22"/>
          <w:szCs w:val="22"/>
        </w:rPr>
        <w:t>Surveillance and reconnaissance to detect hydrocarbons and</w:t>
      </w:r>
      <w:r w:rsidR="002E5F5E" w:rsidRPr="002E5F5E">
        <w:rPr>
          <w:rFonts w:cs="Arial"/>
          <w:sz w:val="22"/>
          <w:szCs w:val="22"/>
        </w:rPr>
        <w:t xml:space="preserve"> </w:t>
      </w:r>
      <w:r w:rsidRPr="002E5F5E">
        <w:rPr>
          <w:rFonts w:cs="Arial"/>
          <w:sz w:val="22"/>
          <w:szCs w:val="22"/>
        </w:rPr>
        <w:t>resources at risk</w:t>
      </w:r>
      <w:r w:rsidR="00AA37CE">
        <w:rPr>
          <w:rFonts w:cs="Arial"/>
          <w:sz w:val="22"/>
          <w:szCs w:val="22"/>
        </w:rPr>
        <w:t>.</w:t>
      </w:r>
    </w:p>
    <w:p w14:paraId="09D2632E" w14:textId="11DC6E95" w:rsidR="007255AA" w:rsidRPr="002E5F5E" w:rsidRDefault="007255AA" w:rsidP="00AA37CE">
      <w:pPr>
        <w:pStyle w:val="ListParagraph0"/>
        <w:numPr>
          <w:ilvl w:val="0"/>
          <w:numId w:val="554"/>
        </w:numPr>
        <w:rPr>
          <w:rFonts w:cs="Arial"/>
          <w:sz w:val="22"/>
          <w:szCs w:val="22"/>
        </w:rPr>
      </w:pPr>
      <w:r w:rsidRPr="002E5F5E">
        <w:rPr>
          <w:rFonts w:cs="Arial"/>
          <w:sz w:val="22"/>
          <w:szCs w:val="22"/>
        </w:rPr>
        <w:t>Detecting and monitoring for the presence and properties of</w:t>
      </w:r>
      <w:r w:rsidR="002E5F5E" w:rsidRPr="002E5F5E">
        <w:rPr>
          <w:rFonts w:cs="Arial"/>
          <w:sz w:val="22"/>
          <w:szCs w:val="22"/>
        </w:rPr>
        <w:t xml:space="preserve"> </w:t>
      </w:r>
      <w:r w:rsidR="002E5F5E">
        <w:rPr>
          <w:rFonts w:cs="Arial"/>
          <w:sz w:val="22"/>
          <w:szCs w:val="22"/>
        </w:rPr>
        <w:t>h</w:t>
      </w:r>
      <w:r w:rsidRPr="002E5F5E">
        <w:rPr>
          <w:rFonts w:cs="Arial"/>
          <w:sz w:val="22"/>
          <w:szCs w:val="22"/>
        </w:rPr>
        <w:t>ydrocarbons</w:t>
      </w:r>
      <w:r w:rsidR="00AA37CE">
        <w:rPr>
          <w:rFonts w:cs="Arial"/>
          <w:sz w:val="22"/>
          <w:szCs w:val="22"/>
        </w:rPr>
        <w:t>.</w:t>
      </w:r>
      <w:r w:rsidR="002E5F5E" w:rsidRPr="002E5F5E">
        <w:rPr>
          <w:rFonts w:cs="Arial"/>
          <w:sz w:val="22"/>
          <w:szCs w:val="22"/>
        </w:rPr>
        <w:t xml:space="preserve"> </w:t>
      </w:r>
    </w:p>
    <w:p w14:paraId="3E8AA74F" w14:textId="0C4017C4" w:rsidR="007255AA" w:rsidRPr="002E5F5E" w:rsidRDefault="007255AA" w:rsidP="00AA37CE">
      <w:pPr>
        <w:pStyle w:val="ListParagraph0"/>
        <w:numPr>
          <w:ilvl w:val="0"/>
          <w:numId w:val="554"/>
        </w:numPr>
        <w:rPr>
          <w:rFonts w:cs="Arial"/>
          <w:sz w:val="22"/>
          <w:szCs w:val="22"/>
        </w:rPr>
      </w:pPr>
      <w:r w:rsidRPr="002E5F5E">
        <w:rPr>
          <w:rFonts w:cs="Arial"/>
          <w:sz w:val="22"/>
          <w:szCs w:val="22"/>
        </w:rPr>
        <w:t>Monitoring of contaminated resources</w:t>
      </w:r>
      <w:r w:rsidR="00AA37CE">
        <w:rPr>
          <w:rFonts w:cs="Arial"/>
          <w:sz w:val="22"/>
          <w:szCs w:val="22"/>
        </w:rPr>
        <w:t>.</w:t>
      </w:r>
      <w:r w:rsidRPr="002E5F5E">
        <w:rPr>
          <w:rFonts w:cs="Arial"/>
          <w:sz w:val="22"/>
          <w:szCs w:val="22"/>
        </w:rPr>
        <w:t xml:space="preserve"> </w:t>
      </w:r>
    </w:p>
    <w:p w14:paraId="6841661A" w14:textId="12F04202" w:rsidR="007255AA" w:rsidRPr="00AA37CE" w:rsidRDefault="00AA37CE" w:rsidP="00AA37CE">
      <w:pPr>
        <w:ind w:left="0"/>
        <w:rPr>
          <w:rFonts w:cs="Arial"/>
          <w:sz w:val="22"/>
          <w:szCs w:val="22"/>
          <w:u w:val="single"/>
        </w:rPr>
      </w:pPr>
      <w:r w:rsidRPr="00AA37CE">
        <w:rPr>
          <w:rFonts w:cs="Arial"/>
          <w:sz w:val="22"/>
          <w:szCs w:val="22"/>
          <w:u w:val="single"/>
        </w:rPr>
        <w:t>Scientific Monitoring (or Type 2, r</w:t>
      </w:r>
      <w:r w:rsidR="007255AA" w:rsidRPr="00AA37CE">
        <w:rPr>
          <w:rFonts w:cs="Arial"/>
          <w:sz w:val="22"/>
          <w:szCs w:val="22"/>
          <w:u w:val="single"/>
        </w:rPr>
        <w:t>ecovery Phase</w:t>
      </w:r>
      <w:r w:rsidRPr="00AA37CE">
        <w:rPr>
          <w:rFonts w:cs="Arial"/>
          <w:sz w:val="22"/>
          <w:szCs w:val="22"/>
          <w:u w:val="single"/>
        </w:rPr>
        <w:t>)</w:t>
      </w:r>
      <w:r w:rsidR="007255AA" w:rsidRPr="00AA37CE">
        <w:rPr>
          <w:rFonts w:cs="Arial"/>
          <w:sz w:val="22"/>
          <w:szCs w:val="22"/>
          <w:u w:val="single"/>
        </w:rPr>
        <w:t xml:space="preserve"> studies</w:t>
      </w:r>
    </w:p>
    <w:p w14:paraId="2C78A0CF" w14:textId="6636E0E7" w:rsidR="007255AA" w:rsidRPr="002E5F5E" w:rsidRDefault="007255AA" w:rsidP="00AA37CE">
      <w:pPr>
        <w:pStyle w:val="ListParagraph0"/>
        <w:numPr>
          <w:ilvl w:val="0"/>
          <w:numId w:val="555"/>
        </w:numPr>
        <w:rPr>
          <w:rFonts w:cs="Arial"/>
          <w:sz w:val="22"/>
          <w:szCs w:val="22"/>
        </w:rPr>
      </w:pPr>
      <w:r w:rsidRPr="002E5F5E">
        <w:rPr>
          <w:rFonts w:cs="Arial"/>
          <w:sz w:val="22"/>
          <w:szCs w:val="22"/>
        </w:rPr>
        <w:t>Assessment of the presence, quantity and character of</w:t>
      </w:r>
      <w:r w:rsidR="002E5F5E" w:rsidRPr="002E5F5E">
        <w:rPr>
          <w:rFonts w:cs="Arial"/>
          <w:sz w:val="22"/>
          <w:szCs w:val="22"/>
        </w:rPr>
        <w:t xml:space="preserve"> </w:t>
      </w:r>
      <w:r w:rsidRPr="002E5F5E">
        <w:rPr>
          <w:rFonts w:cs="Arial"/>
          <w:sz w:val="22"/>
          <w:szCs w:val="22"/>
        </w:rPr>
        <w:t>hydrocarbons in marine waters</w:t>
      </w:r>
      <w:r w:rsidR="00AA37CE">
        <w:rPr>
          <w:rFonts w:cs="Arial"/>
          <w:sz w:val="22"/>
          <w:szCs w:val="22"/>
        </w:rPr>
        <w:t>.</w:t>
      </w:r>
    </w:p>
    <w:p w14:paraId="0335E593" w14:textId="625EE1B8" w:rsidR="007255AA" w:rsidRPr="002E5F5E" w:rsidRDefault="007255AA" w:rsidP="00AA37CE">
      <w:pPr>
        <w:pStyle w:val="ListParagraph0"/>
        <w:numPr>
          <w:ilvl w:val="0"/>
          <w:numId w:val="555"/>
        </w:numPr>
        <w:rPr>
          <w:rFonts w:cs="Arial"/>
          <w:sz w:val="22"/>
          <w:szCs w:val="22"/>
        </w:rPr>
      </w:pPr>
      <w:r w:rsidRPr="002E5F5E">
        <w:rPr>
          <w:rFonts w:cs="Arial"/>
          <w:sz w:val="22"/>
          <w:szCs w:val="22"/>
        </w:rPr>
        <w:t>Assessment of the presence, quantity and character of</w:t>
      </w:r>
      <w:r w:rsidR="002E5F5E" w:rsidRPr="002E5F5E">
        <w:rPr>
          <w:rFonts w:cs="Arial"/>
          <w:sz w:val="22"/>
          <w:szCs w:val="22"/>
        </w:rPr>
        <w:t xml:space="preserve"> </w:t>
      </w:r>
      <w:r w:rsidRPr="002E5F5E">
        <w:rPr>
          <w:rFonts w:cs="Arial"/>
          <w:sz w:val="22"/>
          <w:szCs w:val="22"/>
        </w:rPr>
        <w:t>hydrocarbons in seabed sediments</w:t>
      </w:r>
      <w:r w:rsidR="00AA37CE">
        <w:rPr>
          <w:rFonts w:cs="Arial"/>
          <w:sz w:val="22"/>
          <w:szCs w:val="22"/>
        </w:rPr>
        <w:t>.</w:t>
      </w:r>
    </w:p>
    <w:p w14:paraId="18866EB7" w14:textId="6D064DF2" w:rsidR="007255AA" w:rsidRPr="002E5F5E" w:rsidRDefault="007255AA" w:rsidP="00AA37CE">
      <w:pPr>
        <w:pStyle w:val="ListParagraph0"/>
        <w:numPr>
          <w:ilvl w:val="0"/>
          <w:numId w:val="555"/>
        </w:numPr>
        <w:rPr>
          <w:rFonts w:cs="Arial"/>
          <w:sz w:val="22"/>
          <w:szCs w:val="22"/>
        </w:rPr>
      </w:pPr>
      <w:r w:rsidRPr="002E5F5E">
        <w:rPr>
          <w:rFonts w:cs="Arial"/>
          <w:sz w:val="22"/>
          <w:szCs w:val="22"/>
        </w:rPr>
        <w:t>Assessment of impacts and recovery of subtidal and intertidal</w:t>
      </w:r>
      <w:r w:rsidR="002E5F5E" w:rsidRPr="002E5F5E">
        <w:rPr>
          <w:rFonts w:cs="Arial"/>
          <w:sz w:val="22"/>
          <w:szCs w:val="22"/>
        </w:rPr>
        <w:t xml:space="preserve"> </w:t>
      </w:r>
      <w:r w:rsidRPr="002E5F5E">
        <w:rPr>
          <w:rFonts w:cs="Arial"/>
          <w:sz w:val="22"/>
          <w:szCs w:val="22"/>
        </w:rPr>
        <w:t>benthos</w:t>
      </w:r>
      <w:r w:rsidR="00AA37CE">
        <w:rPr>
          <w:rFonts w:cs="Arial"/>
          <w:sz w:val="22"/>
          <w:szCs w:val="22"/>
        </w:rPr>
        <w:t>.</w:t>
      </w:r>
    </w:p>
    <w:p w14:paraId="1180E45C" w14:textId="25E931A7" w:rsidR="007255AA" w:rsidRPr="002E5F5E" w:rsidRDefault="007255AA" w:rsidP="00AA37CE">
      <w:pPr>
        <w:pStyle w:val="ListParagraph0"/>
        <w:numPr>
          <w:ilvl w:val="0"/>
          <w:numId w:val="555"/>
        </w:numPr>
        <w:rPr>
          <w:rFonts w:cs="Arial"/>
          <w:sz w:val="22"/>
          <w:szCs w:val="22"/>
        </w:rPr>
      </w:pPr>
      <w:r w:rsidRPr="002E5F5E">
        <w:rPr>
          <w:rFonts w:cs="Arial"/>
          <w:sz w:val="22"/>
          <w:szCs w:val="22"/>
        </w:rPr>
        <w:t>Assessment of impacts and recovery of seabird and shorebird</w:t>
      </w:r>
      <w:r w:rsidR="002E5F5E" w:rsidRPr="002E5F5E">
        <w:rPr>
          <w:rFonts w:cs="Arial"/>
          <w:sz w:val="22"/>
          <w:szCs w:val="22"/>
        </w:rPr>
        <w:t xml:space="preserve"> </w:t>
      </w:r>
      <w:r w:rsidRPr="002E5F5E">
        <w:rPr>
          <w:rFonts w:cs="Arial"/>
          <w:sz w:val="22"/>
          <w:szCs w:val="22"/>
        </w:rPr>
        <w:t>populations</w:t>
      </w:r>
      <w:r w:rsidR="00AA37CE">
        <w:rPr>
          <w:rFonts w:cs="Arial"/>
          <w:sz w:val="22"/>
          <w:szCs w:val="22"/>
        </w:rPr>
        <w:t>.</w:t>
      </w:r>
    </w:p>
    <w:p w14:paraId="48C861AE" w14:textId="7E22AD81" w:rsidR="007255AA" w:rsidRPr="002E5F5E" w:rsidRDefault="007255AA" w:rsidP="00AA37CE">
      <w:pPr>
        <w:pStyle w:val="ListParagraph0"/>
        <w:numPr>
          <w:ilvl w:val="0"/>
          <w:numId w:val="555"/>
        </w:numPr>
        <w:rPr>
          <w:rFonts w:cs="Arial"/>
          <w:sz w:val="22"/>
          <w:szCs w:val="22"/>
        </w:rPr>
      </w:pPr>
      <w:r w:rsidRPr="002E5F5E">
        <w:rPr>
          <w:rFonts w:cs="Arial"/>
          <w:sz w:val="22"/>
          <w:szCs w:val="22"/>
        </w:rPr>
        <w:t>Assessment of impacts and recovery of pinniped populations</w:t>
      </w:r>
      <w:r w:rsidR="00AA37CE">
        <w:rPr>
          <w:rFonts w:cs="Arial"/>
          <w:sz w:val="22"/>
          <w:szCs w:val="22"/>
        </w:rPr>
        <w:t>.</w:t>
      </w:r>
      <w:r w:rsidRPr="002E5F5E">
        <w:rPr>
          <w:rFonts w:cs="Arial"/>
          <w:sz w:val="22"/>
          <w:szCs w:val="22"/>
        </w:rPr>
        <w:t xml:space="preserve"> </w:t>
      </w:r>
    </w:p>
    <w:p w14:paraId="0C3A895E" w14:textId="136725E7" w:rsidR="007255AA" w:rsidRPr="002E5F5E" w:rsidRDefault="007255AA" w:rsidP="00AA37CE">
      <w:pPr>
        <w:pStyle w:val="ListParagraph0"/>
        <w:numPr>
          <w:ilvl w:val="0"/>
          <w:numId w:val="555"/>
        </w:numPr>
        <w:rPr>
          <w:rFonts w:cs="Arial"/>
          <w:sz w:val="22"/>
          <w:szCs w:val="22"/>
        </w:rPr>
      </w:pPr>
      <w:r w:rsidRPr="002E5F5E">
        <w:rPr>
          <w:rFonts w:cs="Arial"/>
          <w:sz w:val="22"/>
          <w:szCs w:val="22"/>
        </w:rPr>
        <w:t>Desktop assessment of impacts to marine megafauna</w:t>
      </w:r>
      <w:r w:rsidR="00AA37CE">
        <w:rPr>
          <w:rFonts w:cs="Arial"/>
          <w:sz w:val="22"/>
          <w:szCs w:val="22"/>
        </w:rPr>
        <w:t>.</w:t>
      </w:r>
      <w:r w:rsidRPr="002E5F5E">
        <w:rPr>
          <w:rFonts w:cs="Arial"/>
          <w:sz w:val="22"/>
          <w:szCs w:val="22"/>
        </w:rPr>
        <w:t xml:space="preserve"> </w:t>
      </w:r>
    </w:p>
    <w:p w14:paraId="3CB49525" w14:textId="7725C217" w:rsidR="007255AA" w:rsidRPr="002E5F5E" w:rsidRDefault="007255AA" w:rsidP="00AA37CE">
      <w:pPr>
        <w:pStyle w:val="ListParagraph0"/>
        <w:numPr>
          <w:ilvl w:val="0"/>
          <w:numId w:val="555"/>
        </w:numPr>
        <w:rPr>
          <w:rFonts w:cs="Arial"/>
          <w:sz w:val="22"/>
          <w:szCs w:val="22"/>
        </w:rPr>
      </w:pPr>
      <w:r w:rsidRPr="002E5F5E">
        <w:rPr>
          <w:rFonts w:cs="Arial"/>
          <w:sz w:val="22"/>
          <w:szCs w:val="22"/>
        </w:rPr>
        <w:t>Assessment of impacts and recovery of marine fish</w:t>
      </w:r>
      <w:r w:rsidR="00AA37CE">
        <w:rPr>
          <w:rFonts w:cs="Arial"/>
          <w:sz w:val="22"/>
          <w:szCs w:val="22"/>
        </w:rPr>
        <w:t>.</w:t>
      </w:r>
      <w:r w:rsidRPr="002E5F5E">
        <w:rPr>
          <w:rFonts w:cs="Arial"/>
          <w:sz w:val="22"/>
          <w:szCs w:val="22"/>
        </w:rPr>
        <w:t xml:space="preserve"> </w:t>
      </w:r>
    </w:p>
    <w:p w14:paraId="41F0465E" w14:textId="7E93EEE1" w:rsidR="007255AA" w:rsidRPr="002E5F5E" w:rsidRDefault="007255AA" w:rsidP="00AA37CE">
      <w:pPr>
        <w:pStyle w:val="ListParagraph0"/>
        <w:numPr>
          <w:ilvl w:val="0"/>
          <w:numId w:val="555"/>
        </w:numPr>
        <w:rPr>
          <w:rFonts w:cs="Arial"/>
          <w:sz w:val="22"/>
          <w:szCs w:val="22"/>
        </w:rPr>
      </w:pPr>
      <w:r w:rsidRPr="002E5F5E">
        <w:rPr>
          <w:rFonts w:cs="Arial"/>
          <w:sz w:val="22"/>
          <w:szCs w:val="22"/>
        </w:rPr>
        <w:t>Assessment of physiological impacts to commercially important</w:t>
      </w:r>
      <w:r w:rsidR="002E5F5E" w:rsidRPr="002E5F5E">
        <w:rPr>
          <w:rFonts w:cs="Arial"/>
          <w:sz w:val="22"/>
          <w:szCs w:val="22"/>
        </w:rPr>
        <w:t xml:space="preserve"> </w:t>
      </w:r>
      <w:r w:rsidRPr="002E5F5E">
        <w:rPr>
          <w:rFonts w:cs="Arial"/>
          <w:sz w:val="22"/>
          <w:szCs w:val="22"/>
        </w:rPr>
        <w:t>fisheries species (fish health and seafood quality/safety) and</w:t>
      </w:r>
      <w:r w:rsidR="002E5F5E" w:rsidRPr="002E5F5E">
        <w:rPr>
          <w:rFonts w:cs="Arial"/>
          <w:sz w:val="22"/>
          <w:szCs w:val="22"/>
        </w:rPr>
        <w:t xml:space="preserve"> </w:t>
      </w:r>
      <w:r w:rsidRPr="002E5F5E">
        <w:rPr>
          <w:rFonts w:cs="Arial"/>
          <w:sz w:val="22"/>
          <w:szCs w:val="22"/>
        </w:rPr>
        <w:t>recovery</w:t>
      </w:r>
      <w:r w:rsidR="00AA37CE">
        <w:rPr>
          <w:rFonts w:cs="Arial"/>
          <w:sz w:val="22"/>
          <w:szCs w:val="22"/>
        </w:rPr>
        <w:t>.</w:t>
      </w:r>
    </w:p>
    <w:p w14:paraId="5EAA334F" w14:textId="77777777" w:rsidR="002324F0" w:rsidRDefault="002324F0" w:rsidP="008548E3">
      <w:pPr>
        <w:ind w:left="0"/>
        <w:rPr>
          <w:rFonts w:cs="Arial"/>
          <w:sz w:val="22"/>
          <w:szCs w:val="22"/>
        </w:rPr>
      </w:pPr>
    </w:p>
    <w:p w14:paraId="19E79A55" w14:textId="12991CA0" w:rsidR="003642F6" w:rsidRDefault="003642F6" w:rsidP="008548E3">
      <w:pPr>
        <w:ind w:left="0"/>
        <w:rPr>
          <w:rFonts w:cs="Arial"/>
          <w:sz w:val="22"/>
          <w:szCs w:val="22"/>
        </w:rPr>
      </w:pPr>
      <w:r>
        <w:rPr>
          <w:rFonts w:cs="Arial"/>
          <w:sz w:val="22"/>
          <w:szCs w:val="22"/>
        </w:rPr>
        <w:t xml:space="preserve">Consultancies and government organisations suitable to undertake this monitoring work, and the resources required, are presented in the OSMP Framework and associated OSMP Implementation Plan. </w:t>
      </w:r>
    </w:p>
    <w:p w14:paraId="7C899D82" w14:textId="16EBD675" w:rsidR="00AA37CE" w:rsidRPr="0023317C" w:rsidRDefault="00AA37CE" w:rsidP="008548E3">
      <w:pPr>
        <w:ind w:left="0"/>
        <w:rPr>
          <w:rFonts w:cs="Arial"/>
          <w:sz w:val="22"/>
          <w:szCs w:val="22"/>
        </w:rPr>
      </w:pPr>
    </w:p>
    <w:p w14:paraId="3630B79D" w14:textId="77777777" w:rsidR="00563341" w:rsidRDefault="00563341" w:rsidP="00563341">
      <w:pPr>
        <w:pStyle w:val="BodyText"/>
        <w:ind w:left="709"/>
        <w:rPr>
          <w:lang w:eastAsia="en-US"/>
        </w:rPr>
      </w:pPr>
    </w:p>
    <w:p w14:paraId="50CB55BF" w14:textId="40011E0A" w:rsidR="00AD76D5" w:rsidRDefault="00AD76D5" w:rsidP="00563341">
      <w:pPr>
        <w:pStyle w:val="BodyText"/>
        <w:ind w:left="709"/>
        <w:rPr>
          <w:lang w:eastAsia="en-US"/>
        </w:rPr>
      </w:pPr>
    </w:p>
    <w:p w14:paraId="525FE5D6" w14:textId="77777777" w:rsidR="00D20942" w:rsidRDefault="00D20942" w:rsidP="00D20942">
      <w:pPr>
        <w:jc w:val="both"/>
        <w:rPr>
          <w:rFonts w:ascii="Tahoma" w:hAnsi="Tahoma" w:cs="Tahoma"/>
          <w:szCs w:val="20"/>
        </w:rPr>
      </w:pPr>
    </w:p>
    <w:p w14:paraId="799E32B4" w14:textId="5E8759A7" w:rsidR="006E3F8B" w:rsidRDefault="006E3F8B" w:rsidP="00B03966">
      <w:pPr>
        <w:pStyle w:val="Heading2"/>
        <w:keepLines/>
        <w:numPr>
          <w:ilvl w:val="1"/>
          <w:numId w:val="1"/>
        </w:numPr>
        <w:tabs>
          <w:tab w:val="clear" w:pos="720"/>
        </w:tabs>
        <w:spacing w:before="400" w:after="200" w:line="240" w:lineRule="auto"/>
        <w:ind w:left="709" w:hanging="709"/>
      </w:pPr>
      <w:r>
        <w:br w:type="page"/>
      </w:r>
    </w:p>
    <w:p w14:paraId="69444651" w14:textId="4C625D94" w:rsidR="006E3F8B" w:rsidRPr="00B03966" w:rsidRDefault="00E2059E" w:rsidP="00B03966">
      <w:pPr>
        <w:pStyle w:val="Heading1"/>
        <w:keepLines/>
        <w:numPr>
          <w:ilvl w:val="0"/>
          <w:numId w:val="1"/>
        </w:numPr>
        <w:tabs>
          <w:tab w:val="clear" w:pos="360"/>
        </w:tabs>
        <w:spacing w:before="520" w:after="480" w:line="240" w:lineRule="auto"/>
        <w:rPr>
          <w:rFonts w:cs="Times New Roman"/>
          <w:b/>
          <w:color w:val="064EA8"/>
          <w:kern w:val="0"/>
          <w:sz w:val="36"/>
          <w:lang w:eastAsia="en-US"/>
        </w:rPr>
      </w:pPr>
      <w:bookmarkStart w:id="1314" w:name="_Toc501231513"/>
      <w:bookmarkStart w:id="1315" w:name="_Toc501313265"/>
      <w:bookmarkStart w:id="1316" w:name="_Toc375214697"/>
      <w:bookmarkEnd w:id="1314"/>
      <w:bookmarkEnd w:id="1315"/>
      <w:r w:rsidRPr="00B03966">
        <w:rPr>
          <w:rFonts w:cs="Times New Roman"/>
          <w:b/>
          <w:color w:val="064EA8"/>
          <w:kern w:val="0"/>
          <w:sz w:val="36"/>
          <w:lang w:eastAsia="en-US"/>
        </w:rPr>
        <w:lastRenderedPageBreak/>
        <w:t>References</w:t>
      </w:r>
      <w:bookmarkEnd w:id="1316"/>
    </w:p>
    <w:p w14:paraId="07A18681" w14:textId="77777777" w:rsidR="00CA0853" w:rsidRPr="00F30A38" w:rsidRDefault="00CA0853" w:rsidP="00CA0853">
      <w:pPr>
        <w:pStyle w:val="BodyText"/>
        <w:ind w:left="567" w:hanging="567"/>
        <w:rPr>
          <w:sz w:val="22"/>
          <w:szCs w:val="22"/>
        </w:rPr>
      </w:pPr>
      <w:bookmarkStart w:id="1317" w:name="_Toc349230542"/>
      <w:bookmarkStart w:id="1318" w:name="_Toc479764199"/>
      <w:bookmarkStart w:id="1319" w:name="_Toc361489848"/>
      <w:r w:rsidRPr="00F30A38">
        <w:rPr>
          <w:sz w:val="22"/>
          <w:szCs w:val="22"/>
        </w:rPr>
        <w:t xml:space="preserve">ABC. 2000. Kiwi shellfish smother Australian seabeds. A WWW article accessed at </w:t>
      </w:r>
      <w:hyperlink r:id="rId314" w:history="1">
        <w:r w:rsidRPr="00F30A38">
          <w:rPr>
            <w:sz w:val="22"/>
            <w:szCs w:val="22"/>
          </w:rPr>
          <w:t>http://www.abc.net.au/science/articles/2000/11/06/207775.htm</w:t>
        </w:r>
      </w:hyperlink>
      <w:r w:rsidRPr="00F30A38">
        <w:rPr>
          <w:sz w:val="22"/>
          <w:szCs w:val="22"/>
        </w:rPr>
        <w:t xml:space="preserve">. ABC Science. 6 November 2000. </w:t>
      </w:r>
    </w:p>
    <w:p w14:paraId="5AB1ACAC" w14:textId="77777777" w:rsidR="00CA0853" w:rsidRDefault="00CA0853" w:rsidP="00CA0853">
      <w:pPr>
        <w:pStyle w:val="BodyText"/>
        <w:ind w:left="567" w:hanging="567"/>
        <w:rPr>
          <w:sz w:val="22"/>
          <w:szCs w:val="22"/>
        </w:rPr>
      </w:pPr>
      <w:r>
        <w:rPr>
          <w:sz w:val="22"/>
          <w:szCs w:val="22"/>
        </w:rPr>
        <w:t xml:space="preserve">ABC. 2017. Dolphins migrate across Bass Strait to double dip in the gene pool. A WWW article accessed at </w:t>
      </w:r>
      <w:r w:rsidRPr="006A0119">
        <w:rPr>
          <w:sz w:val="22"/>
          <w:szCs w:val="22"/>
        </w:rPr>
        <w:t>http://www.abc.net.au/news/2017-07-27/dolphins-migrating-to-mate-in-tasmania-and-victoria/8742292</w:t>
      </w:r>
      <w:r>
        <w:rPr>
          <w:sz w:val="22"/>
          <w:szCs w:val="22"/>
        </w:rPr>
        <w:t>. Australian Broadcasting Corporation.</w:t>
      </w:r>
    </w:p>
    <w:p w14:paraId="6D3A29F5" w14:textId="77777777" w:rsidR="00CA0853" w:rsidRPr="005D6434" w:rsidRDefault="00CA0853" w:rsidP="00CA0853">
      <w:pPr>
        <w:pStyle w:val="BodyText"/>
        <w:ind w:left="567" w:hanging="567"/>
        <w:rPr>
          <w:sz w:val="22"/>
          <w:szCs w:val="22"/>
        </w:rPr>
      </w:pPr>
      <w:r w:rsidRPr="005D6434">
        <w:rPr>
          <w:sz w:val="22"/>
          <w:szCs w:val="22"/>
        </w:rPr>
        <w:t xml:space="preserve">ABC News. 2014. </w:t>
      </w:r>
      <w:r>
        <w:rPr>
          <w:sz w:val="22"/>
          <w:szCs w:val="22"/>
        </w:rPr>
        <w:t>‘</w:t>
      </w:r>
      <w:r w:rsidRPr="00CA78C9">
        <w:rPr>
          <w:sz w:val="22"/>
          <w:szCs w:val="22"/>
        </w:rPr>
        <w:t>Clean-up underway after tar balls wash up on Ninety Mile Beach.</w:t>
      </w:r>
      <w:r>
        <w:rPr>
          <w:sz w:val="22"/>
          <w:szCs w:val="22"/>
        </w:rPr>
        <w:t>’</w:t>
      </w:r>
      <w:r w:rsidRPr="005D6434">
        <w:rPr>
          <w:sz w:val="22"/>
          <w:szCs w:val="22"/>
        </w:rPr>
        <w:t xml:space="preserve"> ABC News</w:t>
      </w:r>
      <w:r>
        <w:rPr>
          <w:sz w:val="22"/>
          <w:szCs w:val="22"/>
        </w:rPr>
        <w:t xml:space="preserve"> </w:t>
      </w:r>
      <w:r w:rsidRPr="005D6434">
        <w:rPr>
          <w:sz w:val="22"/>
          <w:szCs w:val="22"/>
        </w:rPr>
        <w:t>Online. Article posted 18 March 2014.</w:t>
      </w:r>
    </w:p>
    <w:p w14:paraId="6B689649" w14:textId="77777777" w:rsidR="00CA0853" w:rsidRPr="0017576C" w:rsidRDefault="00CA0853" w:rsidP="00CA0853">
      <w:pPr>
        <w:pStyle w:val="BodyText"/>
        <w:ind w:left="567" w:hanging="567"/>
        <w:rPr>
          <w:sz w:val="22"/>
          <w:szCs w:val="22"/>
        </w:rPr>
      </w:pPr>
      <w:r w:rsidRPr="0017576C">
        <w:rPr>
          <w:sz w:val="22"/>
          <w:szCs w:val="22"/>
        </w:rPr>
        <w:t>ABS</w:t>
      </w:r>
      <w:r>
        <w:rPr>
          <w:sz w:val="22"/>
          <w:szCs w:val="22"/>
        </w:rPr>
        <w:t xml:space="preserve">. </w:t>
      </w:r>
      <w:r w:rsidRPr="0017576C">
        <w:rPr>
          <w:sz w:val="22"/>
          <w:szCs w:val="22"/>
        </w:rPr>
        <w:t>2017</w:t>
      </w:r>
      <w:r>
        <w:rPr>
          <w:sz w:val="22"/>
          <w:szCs w:val="22"/>
        </w:rPr>
        <w:t xml:space="preserve">. Wellington Shire. A WWW database accessed at </w:t>
      </w:r>
      <w:r>
        <w:rPr>
          <w:sz w:val="22"/>
          <w:szCs w:val="22"/>
        </w:rPr>
        <w:tab/>
        <w:t xml:space="preserve"> </w:t>
      </w:r>
      <w:r w:rsidRPr="00C31FF5">
        <w:rPr>
          <w:sz w:val="22"/>
          <w:szCs w:val="22"/>
        </w:rPr>
        <w:t>http://www.abs.gov.au/ausstats/abs@nrp.nsf/781eb7868cee03e9ca2571800082bece/6a140d6630b90557ca25793b00095ade!OpenDocument</w:t>
      </w:r>
      <w:r>
        <w:rPr>
          <w:sz w:val="22"/>
          <w:szCs w:val="22"/>
        </w:rPr>
        <w:t>.</w:t>
      </w:r>
    </w:p>
    <w:p w14:paraId="731AA632" w14:textId="77777777" w:rsidR="00CA0853" w:rsidRDefault="00CA0853" w:rsidP="00CA0853">
      <w:pPr>
        <w:pStyle w:val="BodyText"/>
        <w:ind w:left="567" w:hanging="567"/>
        <w:rPr>
          <w:sz w:val="22"/>
          <w:szCs w:val="22"/>
        </w:rPr>
      </w:pPr>
      <w:r w:rsidRPr="00425C7C">
        <w:rPr>
          <w:sz w:val="22"/>
          <w:szCs w:val="22"/>
        </w:rPr>
        <w:t>Addison, R.F., Brodie,P.F., Edwards, A. and Sadler, M.C. 1986. Mixed function oxidase activity</w:t>
      </w:r>
      <w:r>
        <w:rPr>
          <w:sz w:val="22"/>
          <w:szCs w:val="22"/>
        </w:rPr>
        <w:t xml:space="preserve"> </w:t>
      </w:r>
      <w:r w:rsidRPr="00425C7C">
        <w:rPr>
          <w:sz w:val="22"/>
          <w:szCs w:val="22"/>
        </w:rPr>
        <w:t>in the harbour seal (</w:t>
      </w:r>
      <w:r w:rsidRPr="000B3456">
        <w:rPr>
          <w:i/>
          <w:sz w:val="22"/>
          <w:szCs w:val="22"/>
        </w:rPr>
        <w:t>Phoca vitulina</w:t>
      </w:r>
      <w:r w:rsidRPr="00425C7C">
        <w:rPr>
          <w:sz w:val="22"/>
          <w:szCs w:val="22"/>
        </w:rPr>
        <w:t xml:space="preserve">) from Sable Is., N.S. Comp. </w:t>
      </w:r>
      <w:r w:rsidRPr="00CA0853">
        <w:rPr>
          <w:sz w:val="22"/>
          <w:szCs w:val="22"/>
        </w:rPr>
        <w:t>Biochem. Physiol</w:t>
      </w:r>
      <w:r w:rsidRPr="00425C7C">
        <w:rPr>
          <w:sz w:val="22"/>
          <w:szCs w:val="22"/>
        </w:rPr>
        <w:t>. 85C (1):121-124.</w:t>
      </w:r>
    </w:p>
    <w:p w14:paraId="6066D07C" w14:textId="38BB54F7" w:rsidR="00CA0853" w:rsidRDefault="00CA0853" w:rsidP="00CA0853">
      <w:pPr>
        <w:pStyle w:val="BodyText"/>
        <w:ind w:left="567" w:hanging="567"/>
        <w:rPr>
          <w:sz w:val="22"/>
          <w:szCs w:val="22"/>
        </w:rPr>
      </w:pPr>
      <w:r w:rsidRPr="0017576C">
        <w:rPr>
          <w:sz w:val="22"/>
          <w:szCs w:val="22"/>
        </w:rPr>
        <w:t>AFMA</w:t>
      </w:r>
      <w:r>
        <w:rPr>
          <w:sz w:val="22"/>
          <w:szCs w:val="22"/>
        </w:rPr>
        <w:t>.</w:t>
      </w:r>
      <w:r w:rsidRPr="0017576C">
        <w:rPr>
          <w:sz w:val="22"/>
          <w:szCs w:val="22"/>
        </w:rPr>
        <w:t xml:space="preserve"> 2017</w:t>
      </w:r>
      <w:r w:rsidR="00EE5673">
        <w:rPr>
          <w:sz w:val="22"/>
          <w:szCs w:val="22"/>
        </w:rPr>
        <w:t>a</w:t>
      </w:r>
      <w:r>
        <w:rPr>
          <w:sz w:val="22"/>
          <w:szCs w:val="22"/>
        </w:rPr>
        <w:t xml:space="preserve">. Species profiles. A WWW database accessed at </w:t>
      </w:r>
      <w:r w:rsidRPr="00513E27">
        <w:rPr>
          <w:sz w:val="22"/>
          <w:szCs w:val="22"/>
        </w:rPr>
        <w:t>http://www.afma.gov.au/portfolio-item/commercial-scallop/</w:t>
      </w:r>
      <w:r>
        <w:rPr>
          <w:sz w:val="22"/>
          <w:szCs w:val="22"/>
        </w:rPr>
        <w:t>. Australian Fisheries Management Authority. Canberra.</w:t>
      </w:r>
    </w:p>
    <w:p w14:paraId="05B75642" w14:textId="3310F9B2" w:rsidR="00EE5673" w:rsidRPr="0017576C" w:rsidRDefault="00EE5673" w:rsidP="00CA0853">
      <w:pPr>
        <w:pStyle w:val="BodyText"/>
        <w:ind w:left="567" w:hanging="567"/>
        <w:rPr>
          <w:sz w:val="22"/>
          <w:szCs w:val="22"/>
        </w:rPr>
      </w:pPr>
      <w:r>
        <w:rPr>
          <w:sz w:val="22"/>
          <w:szCs w:val="22"/>
        </w:rPr>
        <w:t xml:space="preserve">AFMA. 2017b. Bass Strait Central Zone Scallop Fishery Resource Assessment Group (ScallopRAG) Meeting 29. Meeting Minutes. Date: 14 June 2017. A WWW document accessed at </w:t>
      </w:r>
      <w:r w:rsidR="001C18F9" w:rsidRPr="00891DE1">
        <w:t>http://www.afma.gov.au/wp-content/uploads/2017/08/ScallopRAG-mintues-29.pdf</w:t>
      </w:r>
      <w:r>
        <w:rPr>
          <w:sz w:val="22"/>
          <w:szCs w:val="22"/>
        </w:rPr>
        <w:t>. Australian Fisheries Management Authority. Canberra.</w:t>
      </w:r>
    </w:p>
    <w:p w14:paraId="7B5FB560" w14:textId="6265E763" w:rsidR="00CA70E2" w:rsidRDefault="00CA70E2" w:rsidP="00CA0853">
      <w:pPr>
        <w:pStyle w:val="BodyText"/>
        <w:ind w:left="567" w:hanging="567"/>
        <w:rPr>
          <w:sz w:val="22"/>
          <w:szCs w:val="22"/>
        </w:rPr>
      </w:pPr>
      <w:r>
        <w:rPr>
          <w:sz w:val="22"/>
          <w:szCs w:val="22"/>
        </w:rPr>
        <w:t xml:space="preserve">AFMA. 2015. School Shark (Galeorhincus galeus) Stock Rebuilding Strategy. Revised 2015. A WWW document accessed at </w:t>
      </w:r>
      <w:r w:rsidR="001C18F9" w:rsidRPr="00891DE1">
        <w:t>http://www.afma.gov.au/wp-content/uploads/2014/12/School-Shark-Rebuilding-Strategy.pdf</w:t>
      </w:r>
      <w:r>
        <w:rPr>
          <w:sz w:val="22"/>
          <w:szCs w:val="22"/>
        </w:rPr>
        <w:t>. Australian Fisheries Management Authority. Canberra.</w:t>
      </w:r>
    </w:p>
    <w:p w14:paraId="63591CDB" w14:textId="77777777" w:rsidR="00CA0853" w:rsidRPr="00E93F43" w:rsidRDefault="00CA0853" w:rsidP="00CA0853">
      <w:pPr>
        <w:pStyle w:val="BodyText"/>
        <w:ind w:left="567" w:hanging="567"/>
        <w:rPr>
          <w:sz w:val="22"/>
          <w:szCs w:val="22"/>
        </w:rPr>
      </w:pPr>
      <w:r w:rsidRPr="00E93F43">
        <w:rPr>
          <w:sz w:val="22"/>
          <w:szCs w:val="22"/>
        </w:rPr>
        <w:t>Aguilar de Soto, N., N. Delorme, J. Atkins, S. Howard, J. William, and M. Johnson. 2013. Anthropogenic noise causes body malformations and delays development in marine larvae. Scientific Reports 3:2831.</w:t>
      </w:r>
    </w:p>
    <w:p w14:paraId="6CB4E867" w14:textId="77777777" w:rsidR="00CA0853" w:rsidRPr="001266D6" w:rsidRDefault="00CA0853" w:rsidP="00CA0853">
      <w:pPr>
        <w:pStyle w:val="BodyText"/>
        <w:ind w:left="567" w:hanging="567"/>
        <w:rPr>
          <w:sz w:val="22"/>
          <w:szCs w:val="22"/>
        </w:rPr>
      </w:pPr>
      <w:r w:rsidRPr="001266D6">
        <w:rPr>
          <w:sz w:val="22"/>
          <w:szCs w:val="22"/>
        </w:rPr>
        <w:t xml:space="preserve">Ainslie, M.A. 2008. Review of published safety thresholds for human divers exposed to underwater sound. TNO report. TNO-DV 2007 A598. The Hague. </w:t>
      </w:r>
    </w:p>
    <w:p w14:paraId="7344B85E" w14:textId="77777777" w:rsidR="00CA0853" w:rsidRPr="00B379EB" w:rsidRDefault="00CA0853" w:rsidP="00CA0853">
      <w:pPr>
        <w:pStyle w:val="BodyText"/>
        <w:ind w:left="567" w:hanging="567"/>
        <w:rPr>
          <w:sz w:val="22"/>
          <w:szCs w:val="22"/>
        </w:rPr>
      </w:pPr>
      <w:r w:rsidRPr="00B379EB">
        <w:rPr>
          <w:sz w:val="22"/>
          <w:szCs w:val="22"/>
        </w:rPr>
        <w:t>AMSA</w:t>
      </w:r>
      <w:r>
        <w:rPr>
          <w:sz w:val="22"/>
          <w:szCs w:val="22"/>
        </w:rPr>
        <w:t>.</w:t>
      </w:r>
      <w:r w:rsidRPr="00B379EB">
        <w:rPr>
          <w:sz w:val="22"/>
          <w:szCs w:val="22"/>
        </w:rPr>
        <w:t xml:space="preserve"> 1998. The Effects of Maritime Oil Spills on Wildlife </w:t>
      </w:r>
      <w:r>
        <w:rPr>
          <w:sz w:val="22"/>
          <w:szCs w:val="22"/>
        </w:rPr>
        <w:t xml:space="preserve">Including Non-Avian Marine Life. Australian Maritime Safety Authority. </w:t>
      </w:r>
      <w:r w:rsidRPr="00B379EB">
        <w:rPr>
          <w:sz w:val="22"/>
          <w:szCs w:val="22"/>
        </w:rPr>
        <w:t>Canberra.</w:t>
      </w:r>
    </w:p>
    <w:p w14:paraId="2E61DF37" w14:textId="77777777" w:rsidR="00CA0853" w:rsidRPr="00CC11E9" w:rsidRDefault="00CA0853" w:rsidP="00CA0853">
      <w:pPr>
        <w:pStyle w:val="BodyText"/>
        <w:ind w:left="567" w:hanging="567"/>
        <w:rPr>
          <w:sz w:val="22"/>
          <w:szCs w:val="22"/>
        </w:rPr>
      </w:pPr>
      <w:r w:rsidRPr="00CC11E9">
        <w:rPr>
          <w:sz w:val="22"/>
          <w:szCs w:val="22"/>
        </w:rPr>
        <w:t>AMSA. 2003. Oil Spill Monitoring. Background Paper. Australian Maritime Safety Authority.</w:t>
      </w:r>
    </w:p>
    <w:p w14:paraId="7BBD1E90" w14:textId="77777777" w:rsidR="00CA0853" w:rsidRDefault="00CA0853" w:rsidP="00CA0853">
      <w:pPr>
        <w:pStyle w:val="BodyText"/>
        <w:ind w:left="567" w:hanging="567"/>
        <w:rPr>
          <w:sz w:val="22"/>
          <w:szCs w:val="22"/>
        </w:rPr>
      </w:pPr>
      <w:r w:rsidRPr="00CA0853">
        <w:rPr>
          <w:sz w:val="22"/>
          <w:szCs w:val="22"/>
        </w:rPr>
        <w:t xml:space="preserve">AMSA. 2012. </w:t>
      </w:r>
      <w:r w:rsidRPr="0062708E">
        <w:rPr>
          <w:sz w:val="22"/>
          <w:szCs w:val="22"/>
        </w:rPr>
        <w:t xml:space="preserve">Advisory Note for Offshore Petroleum Industry Consultation with Respect </w:t>
      </w:r>
      <w:r>
        <w:rPr>
          <w:sz w:val="22"/>
          <w:szCs w:val="22"/>
        </w:rPr>
        <w:t xml:space="preserve">of Oil Spill Contingency Plans. A WWW document downloaded from </w:t>
      </w:r>
      <w:hyperlink r:id="rId315" w:history="1">
        <w:r w:rsidRPr="00137C62">
          <w:rPr>
            <w:sz w:val="22"/>
            <w:szCs w:val="22"/>
          </w:rPr>
          <w:t>https://www.amsa.gov.au/navigation/shipping-management/offshore-activities/documents/guidance-to-offshore-industry-oscp.pdf</w:t>
        </w:r>
      </w:hyperlink>
      <w:r w:rsidRPr="00CA0853">
        <w:rPr>
          <w:sz w:val="22"/>
          <w:szCs w:val="22"/>
        </w:rPr>
        <w:t xml:space="preserve"> </w:t>
      </w:r>
      <w:r w:rsidRPr="0000139F">
        <w:rPr>
          <w:sz w:val="22"/>
          <w:szCs w:val="22"/>
        </w:rPr>
        <w:t>Australian Maritime Safety Authority</w:t>
      </w:r>
      <w:r>
        <w:rPr>
          <w:sz w:val="22"/>
          <w:szCs w:val="22"/>
        </w:rPr>
        <w:t>.</w:t>
      </w:r>
    </w:p>
    <w:p w14:paraId="214A757F" w14:textId="77777777" w:rsidR="00CA0853" w:rsidRPr="005D6434" w:rsidRDefault="00CA0853" w:rsidP="00CA0853">
      <w:pPr>
        <w:pStyle w:val="BodyText"/>
        <w:ind w:left="567" w:hanging="567"/>
        <w:rPr>
          <w:sz w:val="22"/>
          <w:szCs w:val="22"/>
        </w:rPr>
      </w:pPr>
      <w:r w:rsidRPr="005D6434">
        <w:rPr>
          <w:sz w:val="22"/>
          <w:szCs w:val="22"/>
        </w:rPr>
        <w:t>AMSA</w:t>
      </w:r>
      <w:r>
        <w:rPr>
          <w:sz w:val="22"/>
          <w:szCs w:val="22"/>
        </w:rPr>
        <w:t>.</w:t>
      </w:r>
      <w:r w:rsidRPr="005D6434">
        <w:rPr>
          <w:sz w:val="22"/>
          <w:szCs w:val="22"/>
        </w:rPr>
        <w:t xml:space="preserve"> 2013 Rescuing Oiled wildlife – What can you do!, </w:t>
      </w:r>
      <w:r>
        <w:rPr>
          <w:sz w:val="22"/>
          <w:szCs w:val="22"/>
        </w:rPr>
        <w:t xml:space="preserve">Accessed </w:t>
      </w:r>
      <w:r w:rsidRPr="005D6434">
        <w:rPr>
          <w:sz w:val="22"/>
          <w:szCs w:val="22"/>
        </w:rPr>
        <w:t>at</w:t>
      </w:r>
      <w:r>
        <w:rPr>
          <w:sz w:val="22"/>
          <w:szCs w:val="22"/>
        </w:rPr>
        <w:t xml:space="preserve"> </w:t>
      </w:r>
      <w:r w:rsidRPr="005D6434">
        <w:rPr>
          <w:sz w:val="22"/>
          <w:szCs w:val="22"/>
        </w:rPr>
        <w:t>https://www.amsa.gov.au/environment/maritime-environmental-</w:t>
      </w:r>
      <w:r w:rsidRPr="005D6434">
        <w:rPr>
          <w:sz w:val="22"/>
          <w:szCs w:val="22"/>
        </w:rPr>
        <w:lastRenderedPageBreak/>
        <w:t>emergencies/nationalplan/General-Information/oiled-wildlife/rescuing-wildlife/index.asp</w:t>
      </w:r>
      <w:r>
        <w:rPr>
          <w:sz w:val="22"/>
          <w:szCs w:val="22"/>
        </w:rPr>
        <w:t xml:space="preserve">. </w:t>
      </w:r>
      <w:r w:rsidRPr="005D6434">
        <w:rPr>
          <w:sz w:val="22"/>
          <w:szCs w:val="22"/>
        </w:rPr>
        <w:t>Australian Maritime Safety Authority. Canberra.</w:t>
      </w:r>
    </w:p>
    <w:p w14:paraId="408A544A" w14:textId="77777777" w:rsidR="00CA0853" w:rsidRPr="00CC11E9" w:rsidRDefault="00CA0853" w:rsidP="00CA0853">
      <w:pPr>
        <w:pStyle w:val="BodyText"/>
        <w:ind w:left="567" w:hanging="567"/>
        <w:rPr>
          <w:sz w:val="22"/>
          <w:szCs w:val="22"/>
        </w:rPr>
      </w:pPr>
      <w:r>
        <w:rPr>
          <w:sz w:val="22"/>
          <w:szCs w:val="22"/>
        </w:rPr>
        <w:t xml:space="preserve">AMSA. 2014. National Plan for Maritime Environmental Emergencies. Australian Maritime Safety Authority. Canberra. </w:t>
      </w:r>
    </w:p>
    <w:p w14:paraId="15D07BD8" w14:textId="77777777" w:rsidR="00CA0853" w:rsidRPr="005D6434" w:rsidRDefault="00CA0853" w:rsidP="00CA0853">
      <w:pPr>
        <w:pStyle w:val="BodyText"/>
        <w:ind w:left="567" w:hanging="567"/>
        <w:rPr>
          <w:sz w:val="22"/>
          <w:szCs w:val="22"/>
        </w:rPr>
      </w:pPr>
      <w:r w:rsidRPr="005D6434">
        <w:rPr>
          <w:sz w:val="22"/>
          <w:szCs w:val="22"/>
        </w:rPr>
        <w:t>AMSA. 2014. On Scene. Newsletter for the National Plan for Maritime Environmental</w:t>
      </w:r>
      <w:r>
        <w:rPr>
          <w:sz w:val="22"/>
          <w:szCs w:val="22"/>
        </w:rPr>
        <w:t xml:space="preserve"> </w:t>
      </w:r>
      <w:r w:rsidRPr="005D6434">
        <w:rPr>
          <w:sz w:val="22"/>
          <w:szCs w:val="22"/>
        </w:rPr>
        <w:t>Emergencies. Issue 26, October 2014. Australian Maritime Safety Authority. Canberra.</w:t>
      </w:r>
    </w:p>
    <w:p w14:paraId="7A2BC297" w14:textId="77777777" w:rsidR="00CA0853" w:rsidRDefault="00CA0853" w:rsidP="00CA0853">
      <w:pPr>
        <w:pStyle w:val="BodyText"/>
        <w:ind w:left="567" w:hanging="567"/>
        <w:rPr>
          <w:sz w:val="22"/>
          <w:szCs w:val="22"/>
        </w:rPr>
      </w:pPr>
      <w:r w:rsidRPr="00B379EB">
        <w:rPr>
          <w:sz w:val="22"/>
          <w:szCs w:val="22"/>
        </w:rPr>
        <w:t>AMSA. 2015. Technical Guideline for the Preparation of Marine Pollution Contingency Plans</w:t>
      </w:r>
      <w:r>
        <w:rPr>
          <w:sz w:val="22"/>
          <w:szCs w:val="22"/>
        </w:rPr>
        <w:t xml:space="preserve"> </w:t>
      </w:r>
      <w:r w:rsidRPr="00B379EB">
        <w:rPr>
          <w:sz w:val="22"/>
          <w:szCs w:val="22"/>
        </w:rPr>
        <w:t>for Marine and Coastal Facilities. Australian Maritime Safety Authority. Canberra.</w:t>
      </w:r>
    </w:p>
    <w:p w14:paraId="1FCB208D" w14:textId="14D152D3" w:rsidR="002D70B2" w:rsidRDefault="002D70B2" w:rsidP="00CA0853">
      <w:pPr>
        <w:pStyle w:val="BodyText"/>
        <w:ind w:left="567" w:hanging="567"/>
        <w:rPr>
          <w:sz w:val="22"/>
          <w:szCs w:val="22"/>
        </w:rPr>
      </w:pPr>
      <w:r>
        <w:rPr>
          <w:sz w:val="22"/>
          <w:szCs w:val="22"/>
        </w:rPr>
        <w:t xml:space="preserve">AMSIS. 2017. Australian Marine Spatial Information System. A WWW database accessed at </w:t>
      </w:r>
      <w:r w:rsidRPr="00891DE1">
        <w:t>http://www.ga.gov.au/scientific-topics/marine/jurisdiction/amsis</w:t>
      </w:r>
      <w:r>
        <w:rPr>
          <w:sz w:val="22"/>
          <w:szCs w:val="22"/>
        </w:rPr>
        <w:t xml:space="preserve">. Geoscience Australia. Canberra. </w:t>
      </w:r>
    </w:p>
    <w:p w14:paraId="383CCE7A" w14:textId="77777777" w:rsidR="00CA0853" w:rsidRPr="00E93F43" w:rsidRDefault="00CA0853" w:rsidP="00CA0853">
      <w:pPr>
        <w:pStyle w:val="BodyText"/>
        <w:ind w:left="567" w:hanging="567"/>
        <w:rPr>
          <w:sz w:val="22"/>
          <w:szCs w:val="22"/>
        </w:rPr>
      </w:pPr>
      <w:r w:rsidRPr="00E93F43">
        <w:rPr>
          <w:sz w:val="22"/>
          <w:szCs w:val="22"/>
        </w:rPr>
        <w:t>André, M., K. Kaifu, M. Solé, M. van der Schaar, T. Akamatsu, A. Balastegui, A.M. Sánchez, and J.V. Castell. 2016. Contribution to the understanding of particle motion perception in marine invertebrates. (Chapter 6) In Popper, A. and A. Hawkins (eds.). The Effects of Noise on Aquatic Life II. Springer. 47-55.</w:t>
      </w:r>
    </w:p>
    <w:p w14:paraId="0FC9F4DE" w14:textId="77777777" w:rsidR="00CA0853" w:rsidRPr="003E3C0E" w:rsidRDefault="00CA0853" w:rsidP="00CA0853">
      <w:pPr>
        <w:pStyle w:val="BodyText"/>
        <w:ind w:left="567" w:hanging="567"/>
        <w:rPr>
          <w:sz w:val="22"/>
          <w:szCs w:val="22"/>
        </w:rPr>
      </w:pPr>
      <w:r w:rsidRPr="003E3C0E">
        <w:rPr>
          <w:sz w:val="22"/>
          <w:szCs w:val="22"/>
        </w:rPr>
        <w:t xml:space="preserve">ANSI S1.1-2013. R2013. </w:t>
      </w:r>
      <w:r w:rsidRPr="000B3456">
        <w:rPr>
          <w:i/>
          <w:sz w:val="22"/>
          <w:szCs w:val="22"/>
        </w:rPr>
        <w:t>American National Standard Acoustical Terminology</w:t>
      </w:r>
      <w:r w:rsidRPr="003E3C0E">
        <w:rPr>
          <w:sz w:val="22"/>
          <w:szCs w:val="22"/>
        </w:rPr>
        <w:t>. American National Standards Institute, New York.</w:t>
      </w:r>
    </w:p>
    <w:p w14:paraId="51C39442" w14:textId="77777777" w:rsidR="00CA0853" w:rsidRPr="00B379EB" w:rsidRDefault="00CA0853" w:rsidP="00CA0853">
      <w:pPr>
        <w:pStyle w:val="BodyText"/>
        <w:ind w:left="567" w:hanging="567"/>
        <w:rPr>
          <w:sz w:val="22"/>
          <w:szCs w:val="22"/>
        </w:rPr>
      </w:pPr>
      <w:r w:rsidRPr="00B379EB">
        <w:rPr>
          <w:sz w:val="22"/>
          <w:szCs w:val="22"/>
        </w:rPr>
        <w:t>ANZECC and ARMCANZ. 2000. Australian and New Zealand Guidelines for Fresh and Marine Water</w:t>
      </w:r>
      <w:r>
        <w:rPr>
          <w:sz w:val="22"/>
          <w:szCs w:val="22"/>
        </w:rPr>
        <w:t xml:space="preserve"> </w:t>
      </w:r>
      <w:r w:rsidRPr="00B379EB">
        <w:rPr>
          <w:sz w:val="22"/>
          <w:szCs w:val="22"/>
        </w:rPr>
        <w:t>Quality.</w:t>
      </w:r>
      <w:r>
        <w:rPr>
          <w:sz w:val="22"/>
          <w:szCs w:val="22"/>
        </w:rPr>
        <w:t xml:space="preserve"> </w:t>
      </w:r>
      <w:r w:rsidRPr="00B379EB">
        <w:rPr>
          <w:sz w:val="22"/>
          <w:szCs w:val="22"/>
        </w:rPr>
        <w:t>Volume 2. Aquatic Ecosystems – Rationale and Background Information. Australian</w:t>
      </w:r>
      <w:r>
        <w:rPr>
          <w:sz w:val="22"/>
          <w:szCs w:val="22"/>
        </w:rPr>
        <w:t xml:space="preserve"> </w:t>
      </w:r>
      <w:r w:rsidRPr="00B379EB">
        <w:rPr>
          <w:sz w:val="22"/>
          <w:szCs w:val="22"/>
        </w:rPr>
        <w:t>and New Zealand Environment and Conservation Council and Agriculture and Resource</w:t>
      </w:r>
      <w:r>
        <w:rPr>
          <w:sz w:val="22"/>
          <w:szCs w:val="22"/>
        </w:rPr>
        <w:t xml:space="preserve"> </w:t>
      </w:r>
      <w:r w:rsidRPr="00B379EB">
        <w:rPr>
          <w:sz w:val="22"/>
          <w:szCs w:val="22"/>
        </w:rPr>
        <w:t>Management Council of Australia and New Zealand.</w:t>
      </w:r>
    </w:p>
    <w:p w14:paraId="571B76E0" w14:textId="77777777" w:rsidR="00CA0853" w:rsidRPr="00B379EB" w:rsidRDefault="00CA0853" w:rsidP="00CA0853">
      <w:pPr>
        <w:pStyle w:val="BodyText"/>
        <w:ind w:left="567" w:hanging="567"/>
        <w:rPr>
          <w:sz w:val="22"/>
          <w:szCs w:val="22"/>
        </w:rPr>
      </w:pPr>
      <w:r w:rsidRPr="00B379EB">
        <w:rPr>
          <w:sz w:val="22"/>
          <w:szCs w:val="22"/>
        </w:rPr>
        <w:t>APASA. 2012. Marine diesel fuel oil spills and weathering. Memorandum from Trevor Gilbert,</w:t>
      </w:r>
      <w:r>
        <w:rPr>
          <w:sz w:val="22"/>
          <w:szCs w:val="22"/>
        </w:rPr>
        <w:t xml:space="preserve"> </w:t>
      </w:r>
      <w:r w:rsidRPr="00B379EB">
        <w:rPr>
          <w:sz w:val="22"/>
          <w:szCs w:val="22"/>
        </w:rPr>
        <w:t>Director Maritime, Environment and Chemical Services at APASA, to Phil Harrick, HSEQ</w:t>
      </w:r>
      <w:r>
        <w:rPr>
          <w:sz w:val="22"/>
          <w:szCs w:val="22"/>
        </w:rPr>
        <w:t xml:space="preserve"> </w:t>
      </w:r>
      <w:r w:rsidRPr="00B379EB">
        <w:rPr>
          <w:sz w:val="22"/>
          <w:szCs w:val="22"/>
        </w:rPr>
        <w:t>Manager, AGR Petroleum Services. 24th  June 2012.</w:t>
      </w:r>
    </w:p>
    <w:p w14:paraId="53AC537A" w14:textId="77777777" w:rsidR="00CA0853" w:rsidRDefault="00CA0853" w:rsidP="00CA0853">
      <w:pPr>
        <w:pStyle w:val="BodyText"/>
        <w:ind w:left="567" w:hanging="567"/>
        <w:rPr>
          <w:sz w:val="22"/>
          <w:szCs w:val="22"/>
        </w:rPr>
      </w:pPr>
      <w:r>
        <w:rPr>
          <w:sz w:val="22"/>
          <w:szCs w:val="22"/>
        </w:rPr>
        <w:t xml:space="preserve">APPEA. 2008. </w:t>
      </w:r>
      <w:r w:rsidRPr="0000139F">
        <w:rPr>
          <w:sz w:val="22"/>
          <w:szCs w:val="22"/>
        </w:rPr>
        <w:t>Code of Environmental Practice. Australian Petroleum Production and Exploration Association.</w:t>
      </w:r>
    </w:p>
    <w:p w14:paraId="150B62F0" w14:textId="77777777" w:rsidR="00CA0853" w:rsidRPr="0017576C" w:rsidRDefault="00CA0853" w:rsidP="00CA0853">
      <w:pPr>
        <w:pStyle w:val="BodyText"/>
        <w:ind w:left="567" w:hanging="567"/>
        <w:rPr>
          <w:sz w:val="22"/>
          <w:szCs w:val="22"/>
        </w:rPr>
      </w:pPr>
      <w:r w:rsidRPr="0017576C">
        <w:rPr>
          <w:sz w:val="22"/>
          <w:szCs w:val="22"/>
        </w:rPr>
        <w:t>APPEA</w:t>
      </w:r>
      <w:r>
        <w:rPr>
          <w:sz w:val="22"/>
          <w:szCs w:val="22"/>
        </w:rPr>
        <w:t>.</w:t>
      </w:r>
      <w:r w:rsidRPr="0017576C">
        <w:rPr>
          <w:sz w:val="22"/>
          <w:szCs w:val="22"/>
        </w:rPr>
        <w:t xml:space="preserve"> 2017</w:t>
      </w:r>
      <w:r>
        <w:rPr>
          <w:sz w:val="22"/>
          <w:szCs w:val="22"/>
        </w:rPr>
        <w:t xml:space="preserve">. Key Statistics 2016. A WWW document accessed at </w:t>
      </w:r>
      <w:hyperlink r:id="rId316" w:history="1">
        <w:r w:rsidRPr="00A27302">
          <w:rPr>
            <w:sz w:val="22"/>
            <w:szCs w:val="22"/>
          </w:rPr>
          <w:t>http://www.appea.com.au/wp-content/uploads/2016/06/Key-Stats_2016.pdf</w:t>
        </w:r>
      </w:hyperlink>
      <w:r w:rsidRPr="00A27302">
        <w:rPr>
          <w:sz w:val="22"/>
          <w:szCs w:val="22"/>
        </w:rPr>
        <w:t>.</w:t>
      </w:r>
      <w:r>
        <w:rPr>
          <w:sz w:val="22"/>
          <w:szCs w:val="22"/>
        </w:rPr>
        <w:t xml:space="preserve"> Australian Petroleum Production and Exploration Association. Canberra. </w:t>
      </w:r>
    </w:p>
    <w:p w14:paraId="70DF4F13" w14:textId="77777777" w:rsidR="00CA0853" w:rsidRPr="006A4A0A" w:rsidRDefault="00CA0853" w:rsidP="00CA0853">
      <w:pPr>
        <w:pStyle w:val="BodyText"/>
        <w:ind w:left="567" w:hanging="567"/>
        <w:rPr>
          <w:sz w:val="22"/>
          <w:szCs w:val="22"/>
        </w:rPr>
      </w:pPr>
      <w:r w:rsidRPr="006A4A0A">
        <w:rPr>
          <w:sz w:val="22"/>
          <w:szCs w:val="22"/>
        </w:rPr>
        <w:t>AQIS. 2011. Australian Ballast Water Management Requirements. Version 5. Australian Quarantine</w:t>
      </w:r>
      <w:r>
        <w:rPr>
          <w:sz w:val="22"/>
          <w:szCs w:val="22"/>
        </w:rPr>
        <w:t xml:space="preserve"> </w:t>
      </w:r>
      <w:r w:rsidRPr="006A4A0A">
        <w:rPr>
          <w:sz w:val="22"/>
          <w:szCs w:val="22"/>
        </w:rPr>
        <w:t>Inspection Service, Department of Agriculture, Fisheries and Forest</w:t>
      </w:r>
      <w:r>
        <w:rPr>
          <w:sz w:val="22"/>
          <w:szCs w:val="22"/>
        </w:rPr>
        <w:t>r</w:t>
      </w:r>
      <w:r w:rsidRPr="006A4A0A">
        <w:rPr>
          <w:sz w:val="22"/>
          <w:szCs w:val="22"/>
        </w:rPr>
        <w:t>y. Canberra.</w:t>
      </w:r>
    </w:p>
    <w:p w14:paraId="41E98D74" w14:textId="7D377019" w:rsidR="00CA0853" w:rsidRPr="00E93F43" w:rsidRDefault="00CA0853" w:rsidP="00CA0853">
      <w:pPr>
        <w:pStyle w:val="BodyText"/>
        <w:ind w:left="567" w:hanging="567"/>
        <w:rPr>
          <w:sz w:val="22"/>
          <w:szCs w:val="22"/>
        </w:rPr>
      </w:pPr>
      <w:r w:rsidRPr="00E93F43">
        <w:rPr>
          <w:sz w:val="22"/>
          <w:szCs w:val="22"/>
        </w:rPr>
        <w:t xml:space="preserve">Au, W.W.L., A.N. Popper, and R.R. Fay. 2000. Hearing by Whales and Dolphins. Springer New York. </w:t>
      </w:r>
    </w:p>
    <w:p w14:paraId="37E4773A" w14:textId="77777777" w:rsidR="00CA0853" w:rsidRPr="0017576C" w:rsidRDefault="00CA0853" w:rsidP="00CA0853">
      <w:pPr>
        <w:pStyle w:val="BodyText"/>
        <w:ind w:left="567" w:hanging="567"/>
        <w:rPr>
          <w:sz w:val="22"/>
          <w:szCs w:val="22"/>
        </w:rPr>
      </w:pPr>
      <w:r w:rsidRPr="0017576C">
        <w:rPr>
          <w:sz w:val="22"/>
          <w:szCs w:val="22"/>
        </w:rPr>
        <w:t>Backhouse</w:t>
      </w:r>
      <w:r>
        <w:rPr>
          <w:sz w:val="22"/>
          <w:szCs w:val="22"/>
        </w:rPr>
        <w:t xml:space="preserve">, G., Jackson, J. and O’Connor, J. 2008. National Recovery Plan for the Australian Grayling </w:t>
      </w:r>
      <w:r w:rsidRPr="000B3456">
        <w:rPr>
          <w:i/>
          <w:sz w:val="22"/>
          <w:szCs w:val="22"/>
        </w:rPr>
        <w:t>Prototroctes maraena</w:t>
      </w:r>
      <w:r>
        <w:rPr>
          <w:sz w:val="22"/>
          <w:szCs w:val="22"/>
        </w:rPr>
        <w:t xml:space="preserve">. Department of Sustainability and Environment. Melbourne. </w:t>
      </w:r>
      <w:r w:rsidRPr="0017576C">
        <w:rPr>
          <w:sz w:val="22"/>
          <w:szCs w:val="22"/>
        </w:rPr>
        <w:t xml:space="preserve"> </w:t>
      </w:r>
    </w:p>
    <w:p w14:paraId="52BECEFA" w14:textId="60387509" w:rsidR="00CA0853" w:rsidRPr="007B38A6" w:rsidRDefault="00CA0853" w:rsidP="00CA0853">
      <w:pPr>
        <w:pStyle w:val="BodyText"/>
        <w:ind w:left="567" w:hanging="567"/>
        <w:rPr>
          <w:sz w:val="22"/>
          <w:szCs w:val="22"/>
        </w:rPr>
      </w:pPr>
      <w:r w:rsidRPr="007B38A6">
        <w:rPr>
          <w:sz w:val="22"/>
          <w:szCs w:val="22"/>
        </w:rPr>
        <w:t xml:space="preserve">Baker, A. 1985. Pygmy right whale </w:t>
      </w:r>
      <w:r w:rsidRPr="000B3456">
        <w:rPr>
          <w:i/>
          <w:sz w:val="22"/>
          <w:szCs w:val="22"/>
        </w:rPr>
        <w:t>Caperea marginata</w:t>
      </w:r>
      <w:r w:rsidRPr="007B38A6">
        <w:rPr>
          <w:sz w:val="22"/>
          <w:szCs w:val="22"/>
        </w:rPr>
        <w:t xml:space="preserve"> (Gray, 1846). In: Ridgway, S H and Harrison, </w:t>
      </w:r>
      <w:r w:rsidR="000B3456">
        <w:rPr>
          <w:sz w:val="22"/>
          <w:szCs w:val="22"/>
        </w:rPr>
        <w:t>R. (</w:t>
      </w:r>
      <w:r w:rsidRPr="007B38A6">
        <w:rPr>
          <w:sz w:val="22"/>
          <w:szCs w:val="22"/>
        </w:rPr>
        <w:t>eds.</w:t>
      </w:r>
      <w:r w:rsidR="000B3456">
        <w:rPr>
          <w:sz w:val="22"/>
          <w:szCs w:val="22"/>
        </w:rPr>
        <w:t>)</w:t>
      </w:r>
      <w:r w:rsidRPr="007B38A6">
        <w:rPr>
          <w:sz w:val="22"/>
          <w:szCs w:val="22"/>
        </w:rPr>
        <w:t xml:space="preserve"> Handbook of Marine Mammals Vol. 3: The Sirenians and Baleen Whales. Academic Press, London.</w:t>
      </w:r>
    </w:p>
    <w:p w14:paraId="7D171DAA" w14:textId="77777777" w:rsidR="00CA0853" w:rsidRPr="007B38A6" w:rsidRDefault="00CA0853" w:rsidP="00CA0853">
      <w:pPr>
        <w:pStyle w:val="BodyText"/>
        <w:ind w:left="567" w:hanging="567"/>
        <w:rPr>
          <w:sz w:val="22"/>
          <w:szCs w:val="22"/>
        </w:rPr>
      </w:pPr>
      <w:r w:rsidRPr="007B38A6">
        <w:rPr>
          <w:sz w:val="22"/>
          <w:szCs w:val="22"/>
        </w:rPr>
        <w:t xml:space="preserve">Bannister, J.L., Kemper, C.M. and Warnecke R.M. 1996. The Action Plan for Australian Cetaceans. The Director of National Parks and Wildlife Biodiversity Group. Environment Australia. Canberra. </w:t>
      </w:r>
    </w:p>
    <w:p w14:paraId="7ADA0295" w14:textId="77777777" w:rsidR="00CA0853" w:rsidRPr="00EE7703" w:rsidRDefault="00CA0853" w:rsidP="00CA0853">
      <w:pPr>
        <w:pStyle w:val="BodyText"/>
        <w:ind w:left="567" w:hanging="567"/>
        <w:rPr>
          <w:sz w:val="22"/>
          <w:szCs w:val="22"/>
        </w:rPr>
      </w:pPr>
      <w:r w:rsidRPr="00EE7703">
        <w:rPr>
          <w:sz w:val="22"/>
          <w:szCs w:val="22"/>
        </w:rPr>
        <w:lastRenderedPageBreak/>
        <w:t xml:space="preserve">Barkaszi, M.J., M. Butler, R. Compton, A. Unietis, and B. Bennet. 2012. Seismic survey mitigation measures and marine mammal observer reports. U.S. Dept. of the Interior, Bureau of Ocean Energy Management, Gulf of Mexico OCS Region, New Orleans, LA. OCS Study BOEM 2012-015. </w:t>
      </w:r>
    </w:p>
    <w:p w14:paraId="18A209D7" w14:textId="77777777" w:rsidR="00CA0853" w:rsidRPr="00D31287" w:rsidRDefault="00CA0853" w:rsidP="000B3456">
      <w:pPr>
        <w:pStyle w:val="BodyText"/>
        <w:ind w:left="567" w:hanging="567"/>
        <w:rPr>
          <w:sz w:val="22"/>
          <w:szCs w:val="22"/>
        </w:rPr>
      </w:pPr>
      <w:r w:rsidRPr="00D31287">
        <w:rPr>
          <w:sz w:val="22"/>
          <w:szCs w:val="22"/>
        </w:rPr>
        <w:t xml:space="preserve">Barrett, N., Buxton, C., and Gardner, C. 2009. Rock lobster movement patterns and population structure within a Tasmanian Marine Protected Area inform fishery and conservation management. </w:t>
      </w:r>
      <w:r w:rsidRPr="00D31287">
        <w:rPr>
          <w:i/>
          <w:iCs/>
          <w:sz w:val="22"/>
          <w:szCs w:val="22"/>
        </w:rPr>
        <w:t>Marine and Freshwater Research</w:t>
      </w:r>
      <w:r w:rsidRPr="00D31287">
        <w:rPr>
          <w:sz w:val="22"/>
          <w:szCs w:val="22"/>
        </w:rPr>
        <w:t xml:space="preserve"> 60</w:t>
      </w:r>
      <w:r>
        <w:rPr>
          <w:sz w:val="22"/>
          <w:szCs w:val="22"/>
        </w:rPr>
        <w:t>:</w:t>
      </w:r>
      <w:r w:rsidRPr="00D31287">
        <w:rPr>
          <w:sz w:val="22"/>
          <w:szCs w:val="22"/>
        </w:rPr>
        <w:t xml:space="preserve"> 417–425.</w:t>
      </w:r>
    </w:p>
    <w:p w14:paraId="1B602C63" w14:textId="77777777" w:rsidR="00CA0853" w:rsidRDefault="00CA0853" w:rsidP="000B3456">
      <w:pPr>
        <w:pStyle w:val="BodyText"/>
        <w:ind w:left="567" w:hanging="567"/>
        <w:rPr>
          <w:sz w:val="22"/>
          <w:szCs w:val="22"/>
        </w:rPr>
      </w:pPr>
      <w:r w:rsidRPr="00EE7703">
        <w:rPr>
          <w:sz w:val="22"/>
          <w:szCs w:val="22"/>
        </w:rPr>
        <w:t>Barry, S. B., Cucknell, A. C. and Clark, N. 2012. ‘A direct comparison of bottlenose dolphin and common dolphin behaviour during seismic surveys when air guns are and air not being utilised.’ In: The effects of noise on aquatic life. Edited by A. N. Popper and A. Hawkins.</w:t>
      </w:r>
    </w:p>
    <w:p w14:paraId="5FFA907F" w14:textId="6F8BE992" w:rsidR="00207653" w:rsidRPr="00207653" w:rsidRDefault="00207653" w:rsidP="00207653">
      <w:pPr>
        <w:pStyle w:val="BodyText"/>
        <w:ind w:left="567" w:hanging="567"/>
        <w:rPr>
          <w:sz w:val="22"/>
          <w:szCs w:val="22"/>
        </w:rPr>
      </w:pPr>
      <w:r w:rsidRPr="00207653">
        <w:rPr>
          <w:sz w:val="22"/>
          <w:szCs w:val="22"/>
        </w:rPr>
        <w:t xml:space="preserve">Bartol, S.M., Musick, </w:t>
      </w:r>
      <w:r>
        <w:rPr>
          <w:sz w:val="22"/>
          <w:szCs w:val="22"/>
        </w:rPr>
        <w:t xml:space="preserve">J.A. </w:t>
      </w:r>
      <w:r w:rsidRPr="00207653">
        <w:rPr>
          <w:sz w:val="22"/>
          <w:szCs w:val="22"/>
        </w:rPr>
        <w:t>and Lenhardt</w:t>
      </w:r>
      <w:r>
        <w:rPr>
          <w:sz w:val="22"/>
          <w:szCs w:val="22"/>
        </w:rPr>
        <w:t>, M.L</w:t>
      </w:r>
      <w:r w:rsidRPr="00207653">
        <w:rPr>
          <w:sz w:val="22"/>
          <w:szCs w:val="22"/>
        </w:rPr>
        <w:t xml:space="preserve">. 1999. Auditory evoked potentials of the loggerhead sea turtle (Caretta caretta). </w:t>
      </w:r>
      <w:r w:rsidRPr="00207653">
        <w:rPr>
          <w:i/>
          <w:sz w:val="22"/>
          <w:szCs w:val="22"/>
        </w:rPr>
        <w:t>Copeia</w:t>
      </w:r>
      <w:r w:rsidRPr="00207653">
        <w:rPr>
          <w:sz w:val="22"/>
          <w:szCs w:val="22"/>
        </w:rPr>
        <w:t>: 836-840.</w:t>
      </w:r>
    </w:p>
    <w:p w14:paraId="2A864562" w14:textId="155B47F8" w:rsidR="00207653" w:rsidRPr="00CC3377" w:rsidRDefault="00207653" w:rsidP="00207653">
      <w:pPr>
        <w:pStyle w:val="BodyText"/>
        <w:ind w:left="567" w:hanging="567"/>
        <w:rPr>
          <w:sz w:val="20"/>
        </w:rPr>
      </w:pPr>
      <w:bookmarkStart w:id="1320" w:name="_ENREF_2"/>
      <w:r w:rsidRPr="00207653">
        <w:rPr>
          <w:sz w:val="22"/>
          <w:szCs w:val="22"/>
        </w:rPr>
        <w:t>Bartol, S.M. and Ketten</w:t>
      </w:r>
      <w:r>
        <w:rPr>
          <w:sz w:val="22"/>
          <w:szCs w:val="22"/>
        </w:rPr>
        <w:t>, D.R</w:t>
      </w:r>
      <w:r w:rsidRPr="00207653">
        <w:rPr>
          <w:sz w:val="22"/>
          <w:szCs w:val="22"/>
        </w:rPr>
        <w:t>. 2006. Turtle and tuna hearing. In: Swimmer, Y. and Brill</w:t>
      </w:r>
      <w:r>
        <w:rPr>
          <w:sz w:val="22"/>
          <w:szCs w:val="22"/>
        </w:rPr>
        <w:t>, R (eds)</w:t>
      </w:r>
      <w:r w:rsidRPr="00207653">
        <w:rPr>
          <w:sz w:val="22"/>
          <w:szCs w:val="22"/>
        </w:rPr>
        <w:t>. December 2006. NOAA Technical Me</w:t>
      </w:r>
      <w:r>
        <w:rPr>
          <w:sz w:val="22"/>
          <w:szCs w:val="22"/>
        </w:rPr>
        <w:t>morandum NMFS-PIFSC-7. 98-103</w:t>
      </w:r>
      <w:r w:rsidRPr="00207653">
        <w:rPr>
          <w:sz w:val="22"/>
          <w:szCs w:val="22"/>
        </w:rPr>
        <w:t xml:space="preserve">. </w:t>
      </w:r>
      <w:bookmarkEnd w:id="1320"/>
    </w:p>
    <w:p w14:paraId="53939D0B" w14:textId="77777777" w:rsidR="00CA0853" w:rsidRPr="00712250" w:rsidRDefault="00CA0853" w:rsidP="000B3456">
      <w:pPr>
        <w:pStyle w:val="BodyText"/>
        <w:ind w:left="567" w:hanging="567"/>
        <w:rPr>
          <w:sz w:val="22"/>
          <w:szCs w:val="22"/>
        </w:rPr>
      </w:pPr>
      <w:r w:rsidRPr="00712250">
        <w:rPr>
          <w:sz w:val="22"/>
          <w:szCs w:val="22"/>
        </w:rPr>
        <w:t xml:space="preserve">Barton, J., Pope, A. and Howe, S. 2012. Marine Natural Values Study Vol 2: Marine Protected Areas of the Flinders and Twofold Shelf Bioregions. Parks Victoria Technical Series. Number 79. Parks Victoria. Melbourne. </w:t>
      </w:r>
    </w:p>
    <w:p w14:paraId="60FC88FC" w14:textId="77777777" w:rsidR="00CA0853" w:rsidRPr="0017576C" w:rsidRDefault="00CA0853" w:rsidP="000B3456">
      <w:pPr>
        <w:pStyle w:val="BodyText"/>
        <w:ind w:left="567" w:hanging="567"/>
        <w:rPr>
          <w:sz w:val="22"/>
          <w:szCs w:val="22"/>
        </w:rPr>
      </w:pPr>
      <w:r w:rsidRPr="00A70863">
        <w:rPr>
          <w:sz w:val="22"/>
          <w:szCs w:val="22"/>
        </w:rPr>
        <w:t xml:space="preserve">Basslink. 2001. Basslink Draft Integrated Impact Assessment Statement. Main Report. Prepared by NSR Environmental Consultants Pty Ltd for Basslink Pty Ltd. </w:t>
      </w:r>
    </w:p>
    <w:p w14:paraId="53200B28" w14:textId="77777777" w:rsidR="00CA0853" w:rsidRPr="005D6434" w:rsidRDefault="00CA0853" w:rsidP="000B3456">
      <w:pPr>
        <w:pStyle w:val="BodyText"/>
        <w:ind w:left="567" w:hanging="567"/>
        <w:rPr>
          <w:sz w:val="22"/>
          <w:szCs w:val="22"/>
        </w:rPr>
      </w:pPr>
      <w:r w:rsidRPr="005D6434">
        <w:rPr>
          <w:sz w:val="22"/>
          <w:szCs w:val="22"/>
        </w:rPr>
        <w:t>Bell, B., Spotila, J.R. and Congdon, J. 2006. High Incidence of Deformity in Aquatic Turtles in</w:t>
      </w:r>
      <w:r>
        <w:rPr>
          <w:sz w:val="22"/>
          <w:szCs w:val="22"/>
        </w:rPr>
        <w:t xml:space="preserve"> </w:t>
      </w:r>
      <w:r w:rsidRPr="005D6434">
        <w:rPr>
          <w:sz w:val="22"/>
          <w:szCs w:val="22"/>
        </w:rPr>
        <w:t xml:space="preserve">the John Heinz National Wildlife Refuge. </w:t>
      </w:r>
      <w:r w:rsidRPr="005D6434">
        <w:rPr>
          <w:i/>
          <w:sz w:val="22"/>
          <w:szCs w:val="22"/>
        </w:rPr>
        <w:t>Env Poll</w:t>
      </w:r>
      <w:r w:rsidRPr="005D6434">
        <w:rPr>
          <w:sz w:val="22"/>
          <w:szCs w:val="22"/>
        </w:rPr>
        <w:t>. 142(3): 457– 465.</w:t>
      </w:r>
    </w:p>
    <w:p w14:paraId="0F58CEAF" w14:textId="77777777" w:rsidR="00CA0853" w:rsidRPr="005D6434" w:rsidRDefault="00CA0853" w:rsidP="000B3456">
      <w:pPr>
        <w:pStyle w:val="BodyText"/>
        <w:ind w:left="567" w:hanging="567"/>
        <w:rPr>
          <w:sz w:val="22"/>
          <w:szCs w:val="22"/>
        </w:rPr>
      </w:pPr>
      <w:r w:rsidRPr="005D6434">
        <w:rPr>
          <w:sz w:val="22"/>
          <w:szCs w:val="22"/>
        </w:rPr>
        <w:t>Bik, H.M, Halanych, K.H., Sharma, J. and Thomas, W.K. 2012. Dramatic shifts in benthic</w:t>
      </w:r>
      <w:r>
        <w:rPr>
          <w:sz w:val="22"/>
          <w:szCs w:val="22"/>
        </w:rPr>
        <w:t xml:space="preserve"> </w:t>
      </w:r>
      <w:r w:rsidRPr="005D6434">
        <w:rPr>
          <w:sz w:val="22"/>
          <w:szCs w:val="22"/>
        </w:rPr>
        <w:t>microbial eukaryote communities following the Deepwater Horizon oil spill.</w:t>
      </w:r>
    </w:p>
    <w:p w14:paraId="5CFDB82F" w14:textId="77777777" w:rsidR="00CA0853" w:rsidRPr="00712250" w:rsidRDefault="00CA0853" w:rsidP="000B3456">
      <w:pPr>
        <w:pStyle w:val="BodyText"/>
        <w:ind w:left="567" w:hanging="567"/>
        <w:rPr>
          <w:sz w:val="22"/>
          <w:szCs w:val="22"/>
        </w:rPr>
      </w:pPr>
      <w:r w:rsidRPr="00712250">
        <w:rPr>
          <w:sz w:val="22"/>
          <w:szCs w:val="22"/>
        </w:rPr>
        <w:t xml:space="preserve">Birdlife Australia. 2016. Species fact sheets. A WWW database accessed in August 2016 at </w:t>
      </w:r>
      <w:hyperlink r:id="rId317" w:history="1">
        <w:r w:rsidRPr="00712250">
          <w:rPr>
            <w:sz w:val="22"/>
            <w:szCs w:val="22"/>
          </w:rPr>
          <w:t>http://birdlife.org.au/</w:t>
        </w:r>
      </w:hyperlink>
      <w:r w:rsidRPr="00712250">
        <w:rPr>
          <w:sz w:val="22"/>
          <w:szCs w:val="22"/>
        </w:rPr>
        <w:t xml:space="preserve">. </w:t>
      </w:r>
    </w:p>
    <w:p w14:paraId="0C8FCE26" w14:textId="77777777" w:rsidR="00CA0853" w:rsidRPr="00691544" w:rsidRDefault="00CA0853" w:rsidP="000B3456">
      <w:pPr>
        <w:pStyle w:val="BodyText"/>
        <w:ind w:left="567" w:hanging="567"/>
        <w:rPr>
          <w:sz w:val="22"/>
          <w:szCs w:val="22"/>
        </w:rPr>
      </w:pPr>
      <w:r w:rsidRPr="00691544">
        <w:rPr>
          <w:sz w:val="22"/>
          <w:szCs w:val="22"/>
        </w:rPr>
        <w:t xml:space="preserve">Black, K.P., Brand, G.W., Grynberg, H., Gwyther, D., Hammond, L.S., Mourtikas, S., Richardson, B.J., and Wardrop, J.A. 1994. Production facilities. In: </w:t>
      </w:r>
      <w:r w:rsidRPr="00691544">
        <w:rPr>
          <w:i/>
          <w:iCs/>
          <w:sz w:val="22"/>
          <w:szCs w:val="22"/>
        </w:rPr>
        <w:t>Environmental implications of offshore oil and gas development in Australia – the findings of an independent scientific review</w:t>
      </w:r>
      <w:r w:rsidRPr="00691544">
        <w:rPr>
          <w:sz w:val="22"/>
          <w:szCs w:val="22"/>
        </w:rPr>
        <w:t>. Swan, J.M., Neff, J.M. and Young, P.C. (eds) Australian Petroleum Exploration Association. Sydney. Pp 209-407.</w:t>
      </w:r>
    </w:p>
    <w:p w14:paraId="03E450F0" w14:textId="77777777" w:rsidR="00CA0853" w:rsidRPr="00E93F43" w:rsidRDefault="00CA0853" w:rsidP="000B3456">
      <w:pPr>
        <w:pStyle w:val="BodyText"/>
        <w:ind w:left="567" w:hanging="567"/>
        <w:rPr>
          <w:sz w:val="22"/>
          <w:szCs w:val="22"/>
        </w:rPr>
      </w:pPr>
      <w:r w:rsidRPr="00E93F43">
        <w:rPr>
          <w:sz w:val="22"/>
          <w:szCs w:val="22"/>
        </w:rPr>
        <w:t xml:space="preserve">Blackwell, S.B., C.S. Nations, T.L. McDonald, A.M. Thode, D. Mathias, K.H. Kim, C.R. Greene, Jr., and A.M. Macrander. 2015. Effects of airgun sounds on bowhead whale calling rates: evidence for two behavioral thresholds. PLoS ONE 10(6): e0125720. </w:t>
      </w:r>
      <w:hyperlink r:id="rId318" w:history="1">
        <w:r w:rsidRPr="00E93F43">
          <w:rPr>
            <w:sz w:val="22"/>
            <w:szCs w:val="22"/>
          </w:rPr>
          <w:t>http://journals.plos.org/plosone/article?id=10.1371/journal.pone.0125720</w:t>
        </w:r>
      </w:hyperlink>
      <w:r w:rsidRPr="00E93F43">
        <w:rPr>
          <w:sz w:val="22"/>
          <w:szCs w:val="22"/>
        </w:rPr>
        <w:t>.</w:t>
      </w:r>
    </w:p>
    <w:p w14:paraId="6901C573" w14:textId="77777777" w:rsidR="00CA0853" w:rsidRPr="00CE0E3A" w:rsidRDefault="00CA0853" w:rsidP="000B3456">
      <w:pPr>
        <w:pStyle w:val="BodyText"/>
        <w:ind w:left="567" w:hanging="567"/>
        <w:rPr>
          <w:sz w:val="22"/>
          <w:szCs w:val="22"/>
        </w:rPr>
      </w:pPr>
      <w:r w:rsidRPr="00CE0E3A">
        <w:rPr>
          <w:sz w:val="22"/>
          <w:szCs w:val="22"/>
        </w:rPr>
        <w:t xml:space="preserve">Blumer, M. 1971. Scientific aspects of the oil spill problem. </w:t>
      </w:r>
      <w:r w:rsidRPr="008A3EE0">
        <w:rPr>
          <w:i/>
          <w:sz w:val="22"/>
          <w:szCs w:val="22"/>
        </w:rPr>
        <w:t>Environmental Affairs</w:t>
      </w:r>
      <w:r w:rsidRPr="00CE0E3A">
        <w:rPr>
          <w:sz w:val="22"/>
          <w:szCs w:val="22"/>
        </w:rPr>
        <w:t xml:space="preserve"> 1:54–73.</w:t>
      </w:r>
    </w:p>
    <w:p w14:paraId="0400CAD0" w14:textId="77777777" w:rsidR="00CA0853" w:rsidRPr="00DC3B29" w:rsidRDefault="00CA0853" w:rsidP="000B3456">
      <w:pPr>
        <w:pStyle w:val="BodyText"/>
        <w:ind w:left="567" w:hanging="567"/>
        <w:rPr>
          <w:sz w:val="22"/>
          <w:szCs w:val="22"/>
        </w:rPr>
      </w:pPr>
      <w:r w:rsidRPr="00164A05">
        <w:rPr>
          <w:sz w:val="22"/>
          <w:szCs w:val="22"/>
        </w:rPr>
        <w:t>BOEM</w:t>
      </w:r>
      <w:r>
        <w:rPr>
          <w:sz w:val="22"/>
          <w:szCs w:val="22"/>
        </w:rPr>
        <w:t>.</w:t>
      </w:r>
      <w:r w:rsidRPr="00164A05">
        <w:rPr>
          <w:sz w:val="22"/>
          <w:szCs w:val="22"/>
        </w:rPr>
        <w:t xml:space="preserve"> 2014. Proposed Geological and Geophysical Activities, Mid-Atlantic and South Planning Areas, Final Programmatic Environmental Impact Statement. US Department of the Interior Bureau of Ocean Energy Management Gulf of Mexico </w:t>
      </w:r>
      <w:r w:rsidRPr="00DC3B29">
        <w:rPr>
          <w:sz w:val="22"/>
          <w:szCs w:val="22"/>
        </w:rPr>
        <w:t>OCS Region. New Orleans.</w:t>
      </w:r>
    </w:p>
    <w:p w14:paraId="2D712E9B" w14:textId="77777777" w:rsidR="00CA0853" w:rsidRPr="00DC3B29" w:rsidRDefault="00CA0853" w:rsidP="000B3456">
      <w:pPr>
        <w:pStyle w:val="BodyText"/>
        <w:ind w:left="567" w:hanging="567"/>
        <w:rPr>
          <w:rFonts w:cs="Arial"/>
          <w:noProof/>
          <w:sz w:val="22"/>
          <w:szCs w:val="22"/>
        </w:rPr>
      </w:pPr>
      <w:bookmarkStart w:id="1321" w:name="_ENREF_1"/>
      <w:r w:rsidRPr="00DC3B29">
        <w:rPr>
          <w:rFonts w:cs="Arial"/>
          <w:noProof/>
          <w:sz w:val="22"/>
          <w:szCs w:val="22"/>
        </w:rPr>
        <w:lastRenderedPageBreak/>
        <w:t xml:space="preserve">Boeger, W. A., Pie, </w:t>
      </w:r>
      <w:r>
        <w:rPr>
          <w:rFonts w:cs="Arial"/>
          <w:noProof/>
          <w:sz w:val="22"/>
          <w:szCs w:val="22"/>
        </w:rPr>
        <w:t xml:space="preserve">M.R., </w:t>
      </w:r>
      <w:r w:rsidRPr="00DC3B29">
        <w:rPr>
          <w:rFonts w:cs="Arial"/>
          <w:noProof/>
          <w:sz w:val="22"/>
          <w:szCs w:val="22"/>
        </w:rPr>
        <w:t xml:space="preserve">Ostrensky, </w:t>
      </w:r>
      <w:r>
        <w:rPr>
          <w:rFonts w:cs="Arial"/>
          <w:noProof/>
          <w:sz w:val="22"/>
          <w:szCs w:val="22"/>
        </w:rPr>
        <w:t xml:space="preserve">A. </w:t>
      </w:r>
      <w:r w:rsidRPr="00DC3B29">
        <w:rPr>
          <w:rFonts w:cs="Arial"/>
          <w:noProof/>
          <w:sz w:val="22"/>
          <w:szCs w:val="22"/>
        </w:rPr>
        <w:t>and Cardoso</w:t>
      </w:r>
      <w:r>
        <w:rPr>
          <w:rFonts w:cs="Arial"/>
          <w:noProof/>
          <w:sz w:val="22"/>
          <w:szCs w:val="22"/>
        </w:rPr>
        <w:t>, M.F</w:t>
      </w:r>
      <w:r w:rsidRPr="00DC3B29">
        <w:rPr>
          <w:rFonts w:cs="Arial"/>
          <w:noProof/>
          <w:sz w:val="22"/>
          <w:szCs w:val="22"/>
        </w:rPr>
        <w:t xml:space="preserve">. 2006. The effect of exposure to seismic prospecting on coral reef fishes. </w:t>
      </w:r>
      <w:r w:rsidRPr="00DC3B29">
        <w:rPr>
          <w:rFonts w:cs="Arial"/>
          <w:i/>
          <w:iCs/>
          <w:noProof/>
          <w:sz w:val="22"/>
          <w:szCs w:val="22"/>
        </w:rPr>
        <w:t>Brazilian Journal of Oceanography</w:t>
      </w:r>
      <w:r w:rsidRPr="00DC3B29">
        <w:rPr>
          <w:rFonts w:cs="Arial"/>
          <w:noProof/>
          <w:sz w:val="22"/>
          <w:szCs w:val="22"/>
        </w:rPr>
        <w:t xml:space="preserve"> </w:t>
      </w:r>
      <w:r w:rsidRPr="00DC3B29">
        <w:rPr>
          <w:rFonts w:cs="Arial"/>
          <w:bCs/>
          <w:noProof/>
          <w:sz w:val="22"/>
          <w:szCs w:val="22"/>
        </w:rPr>
        <w:t>54</w:t>
      </w:r>
      <w:r w:rsidRPr="00DC3B29">
        <w:rPr>
          <w:rFonts w:cs="Arial"/>
          <w:noProof/>
          <w:sz w:val="22"/>
          <w:szCs w:val="22"/>
        </w:rPr>
        <w:t>:235-239.</w:t>
      </w:r>
      <w:bookmarkEnd w:id="1321"/>
    </w:p>
    <w:p w14:paraId="6A15CE1E" w14:textId="77777777" w:rsidR="00CA0853" w:rsidRPr="00691544" w:rsidRDefault="00CA0853" w:rsidP="000B3456">
      <w:pPr>
        <w:pStyle w:val="BodyText"/>
        <w:ind w:left="567" w:hanging="567"/>
        <w:rPr>
          <w:sz w:val="22"/>
          <w:szCs w:val="22"/>
        </w:rPr>
      </w:pPr>
      <w:r w:rsidRPr="00691544">
        <w:rPr>
          <w:sz w:val="22"/>
          <w:szCs w:val="22"/>
        </w:rPr>
        <w:t>Boertmann, D., Tougaard, J., Johansen, K. and Mosbech, A. 2010. Guidelines to environmental impact assessment of seismic activities in Greenland waters, 2nd edition, National Environmental Research Institute, Aarhus University, Denmark. 42 pp., NERI Technical Report no. 785.</w:t>
      </w:r>
    </w:p>
    <w:p w14:paraId="61913E9F" w14:textId="77777777" w:rsidR="00CA0853" w:rsidRDefault="00CA0853" w:rsidP="000B3456">
      <w:pPr>
        <w:pStyle w:val="BodyText"/>
        <w:ind w:left="567" w:hanging="567"/>
        <w:rPr>
          <w:sz w:val="22"/>
          <w:szCs w:val="22"/>
        </w:rPr>
      </w:pPr>
      <w:r>
        <w:rPr>
          <w:sz w:val="22"/>
          <w:szCs w:val="22"/>
        </w:rPr>
        <w:t xml:space="preserve">Bok, M. 2017. Personal communications between Giulio Pinzone, Environmental Advisor at CarbonNet and Melanie Bok, Environmental Advisor at Esso Australia Resources Pty Ltd. March 2017. </w:t>
      </w:r>
    </w:p>
    <w:p w14:paraId="1C1C3EEB" w14:textId="77777777" w:rsidR="00CA0853" w:rsidRPr="00EE7703" w:rsidRDefault="00CA0853" w:rsidP="000B3456">
      <w:pPr>
        <w:pStyle w:val="BodyText"/>
        <w:ind w:left="567" w:hanging="567"/>
        <w:rPr>
          <w:sz w:val="22"/>
          <w:szCs w:val="22"/>
        </w:rPr>
      </w:pPr>
      <w:r w:rsidRPr="00137C62">
        <w:rPr>
          <w:sz w:val="22"/>
          <w:szCs w:val="22"/>
        </w:rPr>
        <w:t xml:space="preserve">Bolle, L.J., de Jong, C.A.F., Bierman, S.M., van Beek, P.J.G., van Keeken, O.A., 2012. </w:t>
      </w:r>
      <w:r w:rsidRPr="00986E6C">
        <w:rPr>
          <w:sz w:val="22"/>
          <w:szCs w:val="22"/>
        </w:rPr>
        <w:t>Common</w:t>
      </w:r>
      <w:r>
        <w:rPr>
          <w:sz w:val="22"/>
          <w:szCs w:val="22"/>
        </w:rPr>
        <w:t xml:space="preserve"> </w:t>
      </w:r>
      <w:r w:rsidRPr="00986E6C">
        <w:rPr>
          <w:sz w:val="22"/>
          <w:szCs w:val="22"/>
        </w:rPr>
        <w:t>sole larvae survive high levels of pile-driving sound in controlled exposure experiments.</w:t>
      </w:r>
      <w:r>
        <w:rPr>
          <w:sz w:val="22"/>
          <w:szCs w:val="22"/>
        </w:rPr>
        <w:t xml:space="preserve"> </w:t>
      </w:r>
      <w:r w:rsidRPr="007B4E08">
        <w:rPr>
          <w:i/>
          <w:sz w:val="22"/>
          <w:szCs w:val="22"/>
        </w:rPr>
        <w:t>PLoS One</w:t>
      </w:r>
      <w:r w:rsidRPr="00986E6C">
        <w:rPr>
          <w:sz w:val="22"/>
          <w:szCs w:val="22"/>
        </w:rPr>
        <w:t xml:space="preserve"> 7, e33052.</w:t>
      </w:r>
    </w:p>
    <w:p w14:paraId="02A67918" w14:textId="77777777" w:rsidR="00CA0853" w:rsidRPr="0039672C" w:rsidRDefault="00CA0853" w:rsidP="000B3456">
      <w:pPr>
        <w:pStyle w:val="BodyText"/>
        <w:ind w:left="567" w:hanging="567"/>
        <w:rPr>
          <w:sz w:val="22"/>
          <w:szCs w:val="22"/>
          <w:lang w:val="nl-NL"/>
        </w:rPr>
      </w:pPr>
      <w:r w:rsidRPr="00712250">
        <w:rPr>
          <w:sz w:val="22"/>
          <w:szCs w:val="22"/>
        </w:rPr>
        <w:t xml:space="preserve">BoM. 2017. Climate Statistics for Australian Locations: Lakes Entrance. A WWW database accessed at </w:t>
      </w:r>
      <w:hyperlink r:id="rId319" w:history="1">
        <w:r w:rsidRPr="004C1DCA">
          <w:rPr>
            <w:sz w:val="22"/>
            <w:szCs w:val="22"/>
          </w:rPr>
          <w:t>http://www.bom.gov.au/climate/averages/tables/cw_084083.shtml</w:t>
        </w:r>
      </w:hyperlink>
      <w:r w:rsidRPr="004C1DCA">
        <w:rPr>
          <w:sz w:val="22"/>
          <w:szCs w:val="22"/>
        </w:rPr>
        <w:t>.</w:t>
      </w:r>
      <w:r w:rsidRPr="00712250">
        <w:rPr>
          <w:sz w:val="22"/>
          <w:szCs w:val="22"/>
        </w:rPr>
        <w:t xml:space="preserve"> </w:t>
      </w:r>
      <w:r w:rsidRPr="0039672C">
        <w:rPr>
          <w:sz w:val="22"/>
          <w:szCs w:val="22"/>
          <w:lang w:val="nl-NL"/>
        </w:rPr>
        <w:t xml:space="preserve">Bureau of Meteorology. </w:t>
      </w:r>
    </w:p>
    <w:p w14:paraId="47803847" w14:textId="77777777" w:rsidR="00CA0853" w:rsidRDefault="00CA0853" w:rsidP="000B3456">
      <w:pPr>
        <w:pStyle w:val="BodyText"/>
        <w:ind w:left="567" w:hanging="567"/>
        <w:rPr>
          <w:sz w:val="22"/>
          <w:szCs w:val="22"/>
        </w:rPr>
      </w:pPr>
      <w:r w:rsidRPr="00BD3941">
        <w:rPr>
          <w:sz w:val="22"/>
          <w:szCs w:val="22"/>
          <w:lang w:val="nl-NL"/>
        </w:rPr>
        <w:t xml:space="preserve">Booman, C., Dalen, J., Leivestad, H., Levsen, A., van der Meeren, T. and Toklum, K. 1996. </w:t>
      </w:r>
      <w:r w:rsidRPr="00BD3941">
        <w:rPr>
          <w:sz w:val="22"/>
          <w:szCs w:val="22"/>
          <w:lang w:val="nb-NO"/>
        </w:rPr>
        <w:t xml:space="preserve">Effecter av luftkanonshyting på egg, larver og yngel. </w:t>
      </w:r>
      <w:r w:rsidRPr="00DC3B29">
        <w:rPr>
          <w:i/>
          <w:iCs/>
          <w:sz w:val="22"/>
          <w:szCs w:val="22"/>
          <w:lang w:val="nb-NO"/>
        </w:rPr>
        <w:t>Fisken og Havet</w:t>
      </w:r>
      <w:r w:rsidRPr="00BD3941">
        <w:rPr>
          <w:sz w:val="22"/>
          <w:szCs w:val="22"/>
          <w:lang w:val="nb-NO"/>
        </w:rPr>
        <w:t xml:space="preserve"> 1996(3): 1-83. </w:t>
      </w:r>
      <w:r w:rsidRPr="00EE7703">
        <w:rPr>
          <w:sz w:val="22"/>
          <w:szCs w:val="22"/>
        </w:rPr>
        <w:t>(Effects of airgun shooting on eggs, larvae and personnel, Norwegian with English summary).</w:t>
      </w:r>
    </w:p>
    <w:p w14:paraId="1CFBDC3B" w14:textId="77777777" w:rsidR="00CA0853" w:rsidRPr="00B379EB" w:rsidRDefault="00CA0853" w:rsidP="000B3456">
      <w:pPr>
        <w:pStyle w:val="BodyText"/>
        <w:ind w:left="567" w:hanging="567"/>
        <w:rPr>
          <w:sz w:val="22"/>
          <w:szCs w:val="22"/>
        </w:rPr>
      </w:pPr>
      <w:r w:rsidRPr="00B379EB">
        <w:rPr>
          <w:sz w:val="22"/>
          <w:szCs w:val="22"/>
        </w:rPr>
        <w:t>BP. 2014. Abundance and Safety of Gulf Seafood. Seafood Background White Paper. A WWW</w:t>
      </w:r>
      <w:r>
        <w:rPr>
          <w:sz w:val="22"/>
          <w:szCs w:val="22"/>
        </w:rPr>
        <w:t xml:space="preserve"> </w:t>
      </w:r>
      <w:r w:rsidRPr="00B379EB">
        <w:rPr>
          <w:sz w:val="22"/>
          <w:szCs w:val="22"/>
        </w:rPr>
        <w:t>publication accessed at https://www.thestateofthegulf.com/media/1428/seafood-background-white-paper.pdf. BP Exploration and Production Inc.</w:t>
      </w:r>
      <w:r>
        <w:rPr>
          <w:sz w:val="22"/>
          <w:szCs w:val="22"/>
        </w:rPr>
        <w:t xml:space="preserve"> </w:t>
      </w:r>
      <w:r w:rsidRPr="00B379EB">
        <w:rPr>
          <w:sz w:val="22"/>
          <w:szCs w:val="22"/>
        </w:rPr>
        <w:t>London.</w:t>
      </w:r>
    </w:p>
    <w:p w14:paraId="053C8526" w14:textId="77777777" w:rsidR="00CA0853" w:rsidRPr="00B379EB" w:rsidRDefault="00CA0853" w:rsidP="000B3456">
      <w:pPr>
        <w:pStyle w:val="BodyText"/>
        <w:ind w:left="567" w:hanging="567"/>
        <w:rPr>
          <w:sz w:val="22"/>
          <w:szCs w:val="22"/>
        </w:rPr>
      </w:pPr>
      <w:r w:rsidRPr="00B379EB">
        <w:rPr>
          <w:sz w:val="22"/>
          <w:szCs w:val="22"/>
        </w:rPr>
        <w:t>BP. 2015. Gulf of Mexico Environmental Recovery and Restoration. Five year Report. March</w:t>
      </w:r>
      <w:r>
        <w:rPr>
          <w:sz w:val="22"/>
          <w:szCs w:val="22"/>
        </w:rPr>
        <w:t xml:space="preserve"> </w:t>
      </w:r>
      <w:r w:rsidRPr="00B379EB">
        <w:rPr>
          <w:sz w:val="22"/>
          <w:szCs w:val="22"/>
        </w:rPr>
        <w:t>2015. BP Exploration and Production Inc. London.</w:t>
      </w:r>
    </w:p>
    <w:p w14:paraId="7DCCC1BE" w14:textId="77777777" w:rsidR="00CA0853" w:rsidRPr="00712250" w:rsidRDefault="00CA0853" w:rsidP="000B3456">
      <w:pPr>
        <w:pStyle w:val="BodyText"/>
        <w:ind w:left="567" w:hanging="567"/>
        <w:rPr>
          <w:sz w:val="22"/>
          <w:szCs w:val="22"/>
        </w:rPr>
      </w:pPr>
      <w:r w:rsidRPr="00712250">
        <w:rPr>
          <w:sz w:val="22"/>
          <w:szCs w:val="22"/>
        </w:rPr>
        <w:t>Brown, P.B. and Wilson, R.I. 1980. A Survey of the Orange-bellied Parrot Neophema chrysogaster in Tasmania, Victoria and South Australia. Tasmanian National Parks &amp; Wildlife Service</w:t>
      </w:r>
      <w:r>
        <w:rPr>
          <w:sz w:val="22"/>
          <w:szCs w:val="22"/>
        </w:rPr>
        <w:t>.</w:t>
      </w:r>
      <w:r w:rsidRPr="00712250">
        <w:rPr>
          <w:sz w:val="22"/>
          <w:szCs w:val="22"/>
        </w:rPr>
        <w:t xml:space="preserve"> Hobart.</w:t>
      </w:r>
    </w:p>
    <w:p w14:paraId="3331860B" w14:textId="77777777" w:rsidR="00CA0853" w:rsidRPr="00712250" w:rsidRDefault="00CA0853" w:rsidP="000B3456">
      <w:pPr>
        <w:pStyle w:val="BodyText"/>
        <w:ind w:left="567" w:hanging="567"/>
        <w:rPr>
          <w:sz w:val="22"/>
          <w:szCs w:val="22"/>
        </w:rPr>
      </w:pPr>
      <w:r w:rsidRPr="00712250">
        <w:rPr>
          <w:sz w:val="22"/>
          <w:szCs w:val="22"/>
        </w:rPr>
        <w:t xml:space="preserve">Brown, P.B. and Wilson, R.I. 1984. Orange-bellied Parrot Recovery Plan. Department of Environment, Water, Heritage and Arts. Canberra. </w:t>
      </w:r>
    </w:p>
    <w:p w14:paraId="0DF01CC1" w14:textId="77777777" w:rsidR="00CA0853" w:rsidRPr="00712250" w:rsidRDefault="00CA0853" w:rsidP="000B3456">
      <w:pPr>
        <w:pStyle w:val="BodyText"/>
        <w:ind w:left="567" w:hanging="567"/>
        <w:rPr>
          <w:sz w:val="22"/>
          <w:szCs w:val="22"/>
        </w:rPr>
      </w:pPr>
      <w:r w:rsidRPr="00712250">
        <w:rPr>
          <w:sz w:val="22"/>
          <w:szCs w:val="22"/>
        </w:rPr>
        <w:t>Brusati, E.D., Grosholz, E.D. 2006. Native and introduced eco-system engineers produce contrasting effects on estuarine infaunal communities. Biol Inv 8:683–695.</w:t>
      </w:r>
    </w:p>
    <w:p w14:paraId="433338D4" w14:textId="77777777" w:rsidR="00CA0853" w:rsidRPr="00691544" w:rsidRDefault="00CA0853" w:rsidP="000B3456">
      <w:pPr>
        <w:pStyle w:val="BodyText"/>
        <w:ind w:left="567" w:hanging="567"/>
        <w:rPr>
          <w:sz w:val="22"/>
          <w:szCs w:val="22"/>
        </w:rPr>
      </w:pPr>
      <w:r w:rsidRPr="00691544">
        <w:rPr>
          <w:sz w:val="22"/>
          <w:szCs w:val="22"/>
        </w:rPr>
        <w:t>Caputi, N., Feng, M., de Lestang, S., Denham, A., Penn, J., Slawinski, D., Pearce, A</w:t>
      </w:r>
      <w:r>
        <w:rPr>
          <w:sz w:val="22"/>
          <w:szCs w:val="22"/>
        </w:rPr>
        <w:t>., Weller, E. and How, J. 2014</w:t>
      </w:r>
      <w:r w:rsidRPr="00691544">
        <w:rPr>
          <w:sz w:val="22"/>
          <w:szCs w:val="22"/>
        </w:rPr>
        <w:t xml:space="preserve">. Identifying factors affecting the low western rock lobster puerulus settlement in recent years Final FRDC Report – Project 2009/18. </w:t>
      </w:r>
      <w:r w:rsidRPr="00691544">
        <w:rPr>
          <w:i/>
          <w:iCs/>
          <w:sz w:val="22"/>
          <w:szCs w:val="22"/>
        </w:rPr>
        <w:t>Fisheries Research Report No. 255</w:t>
      </w:r>
      <w:r w:rsidRPr="00691544">
        <w:rPr>
          <w:sz w:val="22"/>
          <w:szCs w:val="22"/>
        </w:rPr>
        <w:t>. Department of Fisheries, Western Australia. 144pp.</w:t>
      </w:r>
    </w:p>
    <w:p w14:paraId="1F17E28D" w14:textId="77777777" w:rsidR="00CA0853" w:rsidRPr="00351F5F" w:rsidRDefault="00CA0853" w:rsidP="000B3456">
      <w:pPr>
        <w:pStyle w:val="BodyText"/>
        <w:ind w:left="567" w:hanging="567"/>
        <w:rPr>
          <w:sz w:val="22"/>
          <w:szCs w:val="22"/>
        </w:rPr>
      </w:pPr>
      <w:r w:rsidRPr="00351F5F">
        <w:rPr>
          <w:sz w:val="22"/>
          <w:szCs w:val="22"/>
        </w:rPr>
        <w:t>Carls, M.G., Holland. L., Larsen, M., Collier, T.K., Scholz, N.L. and Incardona, J.P. 2008. Fish</w:t>
      </w:r>
      <w:r>
        <w:rPr>
          <w:sz w:val="22"/>
          <w:szCs w:val="22"/>
        </w:rPr>
        <w:t xml:space="preserve"> </w:t>
      </w:r>
      <w:r w:rsidRPr="00351F5F">
        <w:rPr>
          <w:sz w:val="22"/>
          <w:szCs w:val="22"/>
        </w:rPr>
        <w:t xml:space="preserve">embryos are damaged by dissolved PAHs, not oil particles. </w:t>
      </w:r>
      <w:r w:rsidRPr="00351F5F">
        <w:rPr>
          <w:i/>
          <w:sz w:val="22"/>
          <w:szCs w:val="22"/>
        </w:rPr>
        <w:t>Aquatic Toxicology</w:t>
      </w:r>
      <w:r w:rsidRPr="00351F5F">
        <w:rPr>
          <w:sz w:val="22"/>
          <w:szCs w:val="22"/>
        </w:rPr>
        <w:t xml:space="preserve"> 88:121– 127.</w:t>
      </w:r>
    </w:p>
    <w:p w14:paraId="725B0446" w14:textId="77777777" w:rsidR="00CA0853" w:rsidRDefault="00CA0853" w:rsidP="000B3456">
      <w:pPr>
        <w:pStyle w:val="BodyText"/>
        <w:ind w:left="567" w:hanging="567"/>
        <w:rPr>
          <w:sz w:val="22"/>
          <w:szCs w:val="22"/>
        </w:rPr>
      </w:pPr>
      <w:r w:rsidRPr="00CC0441">
        <w:rPr>
          <w:sz w:val="22"/>
          <w:szCs w:val="22"/>
        </w:rPr>
        <w:t>Carroll, A.G., Przeslawski, R., Duncan, A., Gunning, M. and Bruce, B. 201</w:t>
      </w:r>
      <w:r>
        <w:rPr>
          <w:sz w:val="22"/>
          <w:szCs w:val="22"/>
        </w:rPr>
        <w:t>7</w:t>
      </w:r>
      <w:r w:rsidRPr="00CC0441">
        <w:rPr>
          <w:sz w:val="22"/>
          <w:szCs w:val="22"/>
        </w:rPr>
        <w:t xml:space="preserve">. A critical review of the potential impacts of marine seismic surveys on fish &amp; invertebrates. </w:t>
      </w:r>
      <w:r w:rsidRPr="00986E6C">
        <w:rPr>
          <w:i/>
          <w:sz w:val="22"/>
          <w:szCs w:val="22"/>
        </w:rPr>
        <w:t>Mar. Poll. Bull</w:t>
      </w:r>
      <w:r w:rsidRPr="00CC0441">
        <w:rPr>
          <w:sz w:val="22"/>
          <w:szCs w:val="22"/>
        </w:rPr>
        <w:t xml:space="preserve">. 114 (2017) 9-24.  </w:t>
      </w:r>
    </w:p>
    <w:p w14:paraId="28BFF575" w14:textId="77777777" w:rsidR="00CA0853" w:rsidRDefault="00CA0853" w:rsidP="000B3456">
      <w:pPr>
        <w:pStyle w:val="BodyText"/>
        <w:ind w:left="567" w:hanging="567"/>
        <w:rPr>
          <w:sz w:val="22"/>
          <w:szCs w:val="22"/>
        </w:rPr>
      </w:pPr>
      <w:r>
        <w:rPr>
          <w:sz w:val="22"/>
          <w:szCs w:val="22"/>
        </w:rPr>
        <w:lastRenderedPageBreak/>
        <w:t xml:space="preserve">Casper, B.M., </w:t>
      </w:r>
      <w:r w:rsidRPr="00DC3B29">
        <w:rPr>
          <w:sz w:val="22"/>
          <w:szCs w:val="22"/>
        </w:rPr>
        <w:t xml:space="preserve">Halvorsen, </w:t>
      </w:r>
      <w:r>
        <w:rPr>
          <w:sz w:val="22"/>
          <w:szCs w:val="22"/>
        </w:rPr>
        <w:t xml:space="preserve">M.B., </w:t>
      </w:r>
      <w:r w:rsidRPr="00DC3B29">
        <w:rPr>
          <w:sz w:val="22"/>
          <w:szCs w:val="22"/>
        </w:rPr>
        <w:t xml:space="preserve">Matthews, </w:t>
      </w:r>
      <w:r>
        <w:rPr>
          <w:sz w:val="22"/>
          <w:szCs w:val="22"/>
        </w:rPr>
        <w:t xml:space="preserve">F., </w:t>
      </w:r>
      <w:r w:rsidRPr="00DC3B29">
        <w:rPr>
          <w:sz w:val="22"/>
          <w:szCs w:val="22"/>
        </w:rPr>
        <w:t xml:space="preserve">Carlson, </w:t>
      </w:r>
      <w:r>
        <w:rPr>
          <w:sz w:val="22"/>
          <w:szCs w:val="22"/>
        </w:rPr>
        <w:t xml:space="preserve">T.J. </w:t>
      </w:r>
      <w:r w:rsidRPr="00DC3B29">
        <w:rPr>
          <w:sz w:val="22"/>
          <w:szCs w:val="22"/>
        </w:rPr>
        <w:t>and Popper</w:t>
      </w:r>
      <w:r>
        <w:rPr>
          <w:sz w:val="22"/>
          <w:szCs w:val="22"/>
        </w:rPr>
        <w:t>, A.N</w:t>
      </w:r>
      <w:r w:rsidRPr="00DC3B29">
        <w:rPr>
          <w:sz w:val="22"/>
          <w:szCs w:val="22"/>
        </w:rPr>
        <w:t xml:space="preserve">. 2013. Recovery of barotrauma injuries resulting from exposure to pile driving sound in two sizes of hybrid striped bass. </w:t>
      </w:r>
      <w:r w:rsidRPr="00DC3B29">
        <w:rPr>
          <w:i/>
          <w:iCs/>
          <w:sz w:val="22"/>
          <w:szCs w:val="22"/>
        </w:rPr>
        <w:t>PLoS ONE</w:t>
      </w:r>
      <w:r w:rsidRPr="00E93F43">
        <w:rPr>
          <w:sz w:val="22"/>
          <w:szCs w:val="22"/>
        </w:rPr>
        <w:t xml:space="preserve"> 8(9): e73844. </w:t>
      </w:r>
    </w:p>
    <w:p w14:paraId="67383F13" w14:textId="77777777" w:rsidR="00CA0853" w:rsidRPr="00E93F43" w:rsidRDefault="00CA0853" w:rsidP="000B3456">
      <w:pPr>
        <w:pStyle w:val="BodyText"/>
        <w:ind w:left="567" w:hanging="567"/>
        <w:rPr>
          <w:sz w:val="22"/>
          <w:szCs w:val="22"/>
        </w:rPr>
      </w:pPr>
      <w:r w:rsidRPr="00E93F43">
        <w:rPr>
          <w:sz w:val="22"/>
          <w:szCs w:val="22"/>
        </w:rPr>
        <w:t xml:space="preserve">Castellote, M., Clark, </w:t>
      </w:r>
      <w:r>
        <w:rPr>
          <w:sz w:val="22"/>
          <w:szCs w:val="22"/>
        </w:rPr>
        <w:t xml:space="preserve">C.W. </w:t>
      </w:r>
      <w:r w:rsidRPr="00E93F43">
        <w:rPr>
          <w:sz w:val="22"/>
          <w:szCs w:val="22"/>
        </w:rPr>
        <w:t>and Lammers</w:t>
      </w:r>
      <w:r>
        <w:rPr>
          <w:sz w:val="22"/>
          <w:szCs w:val="22"/>
        </w:rPr>
        <w:t>, M.O</w:t>
      </w:r>
      <w:r w:rsidRPr="00E93F43">
        <w:rPr>
          <w:sz w:val="22"/>
          <w:szCs w:val="22"/>
        </w:rPr>
        <w:t>. 2012. Acoustic and behavioural changes by fin whales (</w:t>
      </w:r>
      <w:r w:rsidRPr="00DC3B29">
        <w:rPr>
          <w:i/>
          <w:iCs/>
          <w:sz w:val="22"/>
          <w:szCs w:val="22"/>
        </w:rPr>
        <w:t>Balaenaptera physalus</w:t>
      </w:r>
      <w:r w:rsidRPr="00E93F43">
        <w:rPr>
          <w:sz w:val="22"/>
          <w:szCs w:val="22"/>
        </w:rPr>
        <w:t>) in response to shipp</w:t>
      </w:r>
      <w:r>
        <w:rPr>
          <w:sz w:val="22"/>
          <w:szCs w:val="22"/>
        </w:rPr>
        <w:t xml:space="preserve">ing and airgun noise. </w:t>
      </w:r>
      <w:r w:rsidRPr="00DC3B29">
        <w:rPr>
          <w:i/>
          <w:iCs/>
          <w:sz w:val="22"/>
          <w:szCs w:val="22"/>
        </w:rPr>
        <w:t>Bio. Cons.</w:t>
      </w:r>
      <w:r w:rsidRPr="00E93F43">
        <w:rPr>
          <w:sz w:val="22"/>
          <w:szCs w:val="22"/>
        </w:rPr>
        <w:t xml:space="preserve"> 147: 115-122.</w:t>
      </w:r>
    </w:p>
    <w:p w14:paraId="73D8B73B" w14:textId="77777777" w:rsidR="00CA0853" w:rsidRPr="00E93F43" w:rsidRDefault="00CA0853" w:rsidP="000B3456">
      <w:pPr>
        <w:pStyle w:val="BodyText"/>
        <w:ind w:left="567" w:hanging="567"/>
        <w:rPr>
          <w:sz w:val="22"/>
          <w:szCs w:val="22"/>
        </w:rPr>
      </w:pPr>
      <w:r w:rsidRPr="00E93F43">
        <w:rPr>
          <w:sz w:val="22"/>
          <w:szCs w:val="22"/>
        </w:rPr>
        <w:t xml:space="preserve">Cato, D.H., Noad, </w:t>
      </w:r>
      <w:r>
        <w:rPr>
          <w:sz w:val="22"/>
          <w:szCs w:val="22"/>
        </w:rPr>
        <w:t xml:space="preserve">M.J., </w:t>
      </w:r>
      <w:r w:rsidRPr="00E93F43">
        <w:rPr>
          <w:sz w:val="22"/>
          <w:szCs w:val="22"/>
        </w:rPr>
        <w:t xml:space="preserve">Dunlop, </w:t>
      </w:r>
      <w:r>
        <w:rPr>
          <w:sz w:val="22"/>
          <w:szCs w:val="22"/>
        </w:rPr>
        <w:t xml:space="preserve">R.A., </w:t>
      </w:r>
      <w:r w:rsidRPr="00E93F43">
        <w:rPr>
          <w:sz w:val="22"/>
          <w:szCs w:val="22"/>
        </w:rPr>
        <w:t xml:space="preserve">McCauley, </w:t>
      </w:r>
      <w:r>
        <w:rPr>
          <w:sz w:val="22"/>
          <w:szCs w:val="22"/>
        </w:rPr>
        <w:t xml:space="preserve">R.D., </w:t>
      </w:r>
      <w:r w:rsidRPr="00E93F43">
        <w:rPr>
          <w:sz w:val="22"/>
          <w:szCs w:val="22"/>
        </w:rPr>
        <w:t xml:space="preserve">Gales, </w:t>
      </w:r>
      <w:r>
        <w:rPr>
          <w:sz w:val="22"/>
          <w:szCs w:val="22"/>
        </w:rPr>
        <w:t xml:space="preserve">N.J., </w:t>
      </w:r>
      <w:r w:rsidRPr="00E93F43">
        <w:rPr>
          <w:sz w:val="22"/>
          <w:szCs w:val="22"/>
        </w:rPr>
        <w:t xml:space="preserve">Kent, </w:t>
      </w:r>
      <w:r>
        <w:rPr>
          <w:sz w:val="22"/>
          <w:szCs w:val="22"/>
        </w:rPr>
        <w:t xml:space="preserve">C.P.S., </w:t>
      </w:r>
      <w:r w:rsidRPr="00E93F43">
        <w:rPr>
          <w:sz w:val="22"/>
          <w:szCs w:val="22"/>
        </w:rPr>
        <w:t>Kniest,</w:t>
      </w:r>
      <w:r>
        <w:rPr>
          <w:sz w:val="22"/>
          <w:szCs w:val="22"/>
        </w:rPr>
        <w:t xml:space="preserve"> H., </w:t>
      </w:r>
      <w:r w:rsidRPr="00E93F43">
        <w:rPr>
          <w:sz w:val="22"/>
          <w:szCs w:val="22"/>
        </w:rPr>
        <w:t xml:space="preserve">Paton, </w:t>
      </w:r>
      <w:r>
        <w:rPr>
          <w:sz w:val="22"/>
          <w:szCs w:val="22"/>
        </w:rPr>
        <w:t xml:space="preserve">D., </w:t>
      </w:r>
      <w:r w:rsidRPr="00E93F43">
        <w:rPr>
          <w:sz w:val="22"/>
          <w:szCs w:val="22"/>
        </w:rPr>
        <w:t xml:space="preserve">Jenner, </w:t>
      </w:r>
      <w:r>
        <w:rPr>
          <w:sz w:val="22"/>
          <w:szCs w:val="22"/>
        </w:rPr>
        <w:t xml:space="preserve">K.C.S. </w:t>
      </w:r>
      <w:r w:rsidRPr="00E93F43">
        <w:rPr>
          <w:sz w:val="22"/>
          <w:szCs w:val="22"/>
        </w:rPr>
        <w:t xml:space="preserve">2013. A study of the behavioural response of whales to the noise of seismic air guns: Design, methods and progress. </w:t>
      </w:r>
      <w:r w:rsidRPr="00DC3B29">
        <w:rPr>
          <w:i/>
          <w:iCs/>
          <w:sz w:val="22"/>
          <w:szCs w:val="22"/>
        </w:rPr>
        <w:t xml:space="preserve">Acoustics Australia </w:t>
      </w:r>
      <w:r w:rsidRPr="00E93F43">
        <w:rPr>
          <w:sz w:val="22"/>
          <w:szCs w:val="22"/>
        </w:rPr>
        <w:t>41(1): 88-97.</w:t>
      </w:r>
    </w:p>
    <w:p w14:paraId="5BFA51E3" w14:textId="77777777" w:rsidR="00CA0853" w:rsidRPr="004D436D" w:rsidRDefault="00CA0853" w:rsidP="000B3456">
      <w:pPr>
        <w:pStyle w:val="BodyText"/>
        <w:ind w:left="567" w:hanging="567"/>
        <w:rPr>
          <w:sz w:val="22"/>
          <w:szCs w:val="22"/>
        </w:rPr>
      </w:pPr>
      <w:r w:rsidRPr="004D436D">
        <w:rPr>
          <w:sz w:val="22"/>
          <w:szCs w:val="22"/>
        </w:rPr>
        <w:t xml:space="preserve">CEE. 2001. Patricia Baleen Gas Field Development. Technical Report. Marine Biological Issues. A report prepared by CEE Consultants Pty Ltd for OMV Australia Pty Ltd. </w:t>
      </w:r>
    </w:p>
    <w:p w14:paraId="2D244A42" w14:textId="77777777" w:rsidR="00CA0853" w:rsidRPr="004D436D" w:rsidRDefault="00CA0853" w:rsidP="000B3456">
      <w:pPr>
        <w:pStyle w:val="BodyText"/>
        <w:ind w:left="567" w:hanging="567"/>
        <w:rPr>
          <w:sz w:val="22"/>
          <w:szCs w:val="22"/>
        </w:rPr>
      </w:pPr>
      <w:r w:rsidRPr="004D436D">
        <w:rPr>
          <w:sz w:val="22"/>
          <w:szCs w:val="22"/>
        </w:rPr>
        <w:t xml:space="preserve">CEE. 2003. Sole Development (Patricia Baleen Extension). Technical Report. Marine Biological Issues. A report prepared by CEE Consultants Pty Ltd for OMV Australia Pty Ltd. </w:t>
      </w:r>
    </w:p>
    <w:p w14:paraId="644182D1" w14:textId="77777777" w:rsidR="00CA0853" w:rsidRPr="00C13CDC" w:rsidRDefault="00CA0853" w:rsidP="000B3456">
      <w:pPr>
        <w:pStyle w:val="BodyText"/>
        <w:ind w:left="567" w:hanging="567"/>
        <w:rPr>
          <w:sz w:val="22"/>
          <w:szCs w:val="22"/>
        </w:rPr>
      </w:pPr>
      <w:r w:rsidRPr="00C13CDC">
        <w:rPr>
          <w:sz w:val="22"/>
          <w:szCs w:val="22"/>
        </w:rPr>
        <w:t xml:space="preserve">CER. 2015. ALARP Guidance. Part of the Petroleum Safety Framework and the Gas Safety Regulatory Framework. The Commission for Energy Regulation. Dublin. </w:t>
      </w:r>
    </w:p>
    <w:p w14:paraId="404478A6" w14:textId="77777777" w:rsidR="00CA0853" w:rsidRPr="00691544" w:rsidRDefault="00CA0853" w:rsidP="000B3456">
      <w:pPr>
        <w:pStyle w:val="BodyText"/>
        <w:ind w:left="567" w:hanging="567"/>
        <w:rPr>
          <w:sz w:val="22"/>
          <w:szCs w:val="22"/>
        </w:rPr>
      </w:pPr>
      <w:r w:rsidRPr="00691544">
        <w:rPr>
          <w:sz w:val="22"/>
          <w:szCs w:val="22"/>
        </w:rPr>
        <w:t xml:space="preserve">CFA. 2013. Impact on Fisheries – Marine Seismic Survey Activities. Key Threatening Process Nomination 2013. Commonwealth Fisheries Authority. Canberra. </w:t>
      </w:r>
    </w:p>
    <w:p w14:paraId="1DD5414A" w14:textId="77777777" w:rsidR="00CA0853" w:rsidRPr="00351F5F" w:rsidRDefault="00CA0853" w:rsidP="000B3456">
      <w:pPr>
        <w:pStyle w:val="BodyText"/>
        <w:ind w:left="567" w:hanging="567"/>
        <w:rPr>
          <w:sz w:val="22"/>
          <w:szCs w:val="22"/>
        </w:rPr>
      </w:pPr>
      <w:r w:rsidRPr="00351F5F">
        <w:rPr>
          <w:sz w:val="22"/>
          <w:szCs w:val="22"/>
        </w:rPr>
        <w:t>Challenger, G. and Mauseth, G. 2011. Chapter 32 –  Seafood safety and oil spills. In</w:t>
      </w:r>
      <w:r>
        <w:rPr>
          <w:sz w:val="22"/>
          <w:szCs w:val="22"/>
        </w:rPr>
        <w:t>:</w:t>
      </w:r>
      <w:r w:rsidRPr="00351F5F">
        <w:rPr>
          <w:sz w:val="22"/>
          <w:szCs w:val="22"/>
        </w:rPr>
        <w:t xml:space="preserve"> </w:t>
      </w:r>
      <w:r w:rsidRPr="00351F5F">
        <w:rPr>
          <w:i/>
          <w:sz w:val="22"/>
          <w:szCs w:val="22"/>
        </w:rPr>
        <w:t>Oil Spill Science and Technology</w:t>
      </w:r>
      <w:r w:rsidRPr="00351F5F">
        <w:rPr>
          <w:sz w:val="22"/>
          <w:szCs w:val="22"/>
        </w:rPr>
        <w:t xml:space="preserve"> . M. Fingas (ed) 1083-1100.</w:t>
      </w:r>
    </w:p>
    <w:p w14:paraId="19366437" w14:textId="77777777" w:rsidR="00CA0853" w:rsidRPr="00DC3B29" w:rsidRDefault="00CA0853" w:rsidP="000B3456">
      <w:pPr>
        <w:pStyle w:val="BodyText"/>
        <w:ind w:left="567" w:hanging="567"/>
        <w:rPr>
          <w:sz w:val="22"/>
          <w:szCs w:val="22"/>
        </w:rPr>
      </w:pPr>
      <w:bookmarkStart w:id="1322" w:name="_ENREF_3"/>
      <w:r w:rsidRPr="00DC3B29">
        <w:rPr>
          <w:sz w:val="22"/>
          <w:szCs w:val="22"/>
        </w:rPr>
        <w:t>Chapman, C. and A. Hawkins. 1969. The importance of sound in fish behaviour in relation to capture by trawls. FAO Fisheries and Aquaculture Report (FAO) 62(3):717-729.</w:t>
      </w:r>
      <w:bookmarkEnd w:id="1322"/>
    </w:p>
    <w:p w14:paraId="56AF4B86" w14:textId="77777777" w:rsidR="00CA0853" w:rsidRPr="00FC3866" w:rsidRDefault="00CA0853" w:rsidP="000B3456">
      <w:pPr>
        <w:pStyle w:val="BodyText"/>
        <w:ind w:left="567" w:hanging="567"/>
        <w:rPr>
          <w:sz w:val="22"/>
          <w:szCs w:val="22"/>
        </w:rPr>
      </w:pPr>
      <w:r w:rsidRPr="00FC3866">
        <w:rPr>
          <w:sz w:val="22"/>
          <w:szCs w:val="22"/>
        </w:rPr>
        <w:t>Charlton-Robb</w:t>
      </w:r>
      <w:r>
        <w:rPr>
          <w:sz w:val="22"/>
          <w:szCs w:val="22"/>
        </w:rPr>
        <w:t>,</w:t>
      </w:r>
      <w:r w:rsidRPr="00FC3866">
        <w:rPr>
          <w:sz w:val="22"/>
          <w:szCs w:val="22"/>
        </w:rPr>
        <w:t xml:space="preserve"> K</w:t>
      </w:r>
      <w:r>
        <w:rPr>
          <w:sz w:val="22"/>
          <w:szCs w:val="22"/>
        </w:rPr>
        <w:t>.</w:t>
      </w:r>
      <w:r w:rsidRPr="00FC3866">
        <w:rPr>
          <w:sz w:val="22"/>
          <w:szCs w:val="22"/>
        </w:rPr>
        <w:t>, Gershwin</w:t>
      </w:r>
      <w:r>
        <w:rPr>
          <w:sz w:val="22"/>
          <w:szCs w:val="22"/>
        </w:rPr>
        <w:t>,</w:t>
      </w:r>
      <w:r w:rsidRPr="00FC3866">
        <w:rPr>
          <w:sz w:val="22"/>
          <w:szCs w:val="22"/>
        </w:rPr>
        <w:t xml:space="preserve"> L</w:t>
      </w:r>
      <w:r>
        <w:rPr>
          <w:sz w:val="22"/>
          <w:szCs w:val="22"/>
        </w:rPr>
        <w:t>.</w:t>
      </w:r>
      <w:r w:rsidRPr="00FC3866">
        <w:rPr>
          <w:sz w:val="22"/>
          <w:szCs w:val="22"/>
        </w:rPr>
        <w:t>, Thompson</w:t>
      </w:r>
      <w:r>
        <w:rPr>
          <w:sz w:val="22"/>
          <w:szCs w:val="22"/>
        </w:rPr>
        <w:t>,</w:t>
      </w:r>
      <w:r w:rsidRPr="00FC3866">
        <w:rPr>
          <w:sz w:val="22"/>
          <w:szCs w:val="22"/>
        </w:rPr>
        <w:t xml:space="preserve"> R</w:t>
      </w:r>
      <w:r>
        <w:rPr>
          <w:sz w:val="22"/>
          <w:szCs w:val="22"/>
        </w:rPr>
        <w:t>.</w:t>
      </w:r>
      <w:r w:rsidRPr="00FC3866">
        <w:rPr>
          <w:sz w:val="22"/>
          <w:szCs w:val="22"/>
        </w:rPr>
        <w:t>, Austin</w:t>
      </w:r>
      <w:r>
        <w:rPr>
          <w:sz w:val="22"/>
          <w:szCs w:val="22"/>
        </w:rPr>
        <w:t>,</w:t>
      </w:r>
      <w:r w:rsidRPr="00FC3866">
        <w:rPr>
          <w:sz w:val="22"/>
          <w:szCs w:val="22"/>
        </w:rPr>
        <w:t xml:space="preserve"> J</w:t>
      </w:r>
      <w:r>
        <w:rPr>
          <w:sz w:val="22"/>
          <w:szCs w:val="22"/>
        </w:rPr>
        <w:t>.</w:t>
      </w:r>
      <w:r w:rsidRPr="00FC3866">
        <w:rPr>
          <w:sz w:val="22"/>
          <w:szCs w:val="22"/>
        </w:rPr>
        <w:t>, Owen</w:t>
      </w:r>
      <w:r>
        <w:rPr>
          <w:sz w:val="22"/>
          <w:szCs w:val="22"/>
        </w:rPr>
        <w:t>,</w:t>
      </w:r>
      <w:r w:rsidRPr="00FC3866">
        <w:rPr>
          <w:sz w:val="22"/>
          <w:szCs w:val="22"/>
        </w:rPr>
        <w:t xml:space="preserve"> K</w:t>
      </w:r>
      <w:r>
        <w:rPr>
          <w:sz w:val="22"/>
          <w:szCs w:val="22"/>
        </w:rPr>
        <w:t>. and</w:t>
      </w:r>
      <w:r w:rsidRPr="00FC3866">
        <w:rPr>
          <w:sz w:val="22"/>
          <w:szCs w:val="22"/>
        </w:rPr>
        <w:t xml:space="preserve"> McKechnie</w:t>
      </w:r>
      <w:r>
        <w:rPr>
          <w:sz w:val="22"/>
          <w:szCs w:val="22"/>
        </w:rPr>
        <w:t>,</w:t>
      </w:r>
      <w:r w:rsidRPr="00FC3866">
        <w:rPr>
          <w:sz w:val="22"/>
          <w:szCs w:val="22"/>
        </w:rPr>
        <w:t xml:space="preserve"> S</w:t>
      </w:r>
      <w:r>
        <w:rPr>
          <w:sz w:val="22"/>
          <w:szCs w:val="22"/>
        </w:rPr>
        <w:t>.</w:t>
      </w:r>
      <w:r w:rsidRPr="00FC3866">
        <w:rPr>
          <w:sz w:val="22"/>
          <w:szCs w:val="22"/>
        </w:rPr>
        <w:t xml:space="preserve"> 2011</w:t>
      </w:r>
      <w:r>
        <w:rPr>
          <w:sz w:val="22"/>
          <w:szCs w:val="22"/>
        </w:rPr>
        <w:t>.</w:t>
      </w:r>
      <w:r w:rsidRPr="00FC3866">
        <w:rPr>
          <w:sz w:val="22"/>
          <w:szCs w:val="22"/>
        </w:rPr>
        <w:t xml:space="preserve"> A New Dolphin Species, the</w:t>
      </w:r>
      <w:r>
        <w:rPr>
          <w:sz w:val="22"/>
          <w:szCs w:val="22"/>
        </w:rPr>
        <w:t xml:space="preserve"> </w:t>
      </w:r>
      <w:r w:rsidRPr="00FC3866">
        <w:rPr>
          <w:sz w:val="22"/>
          <w:szCs w:val="22"/>
        </w:rPr>
        <w:t xml:space="preserve">Burrunan Dolphin Tursiops australis sp. nov., Endemic to Southern Australian Coastal Waters. </w:t>
      </w:r>
      <w:r w:rsidRPr="004C5A8D">
        <w:rPr>
          <w:i/>
          <w:sz w:val="22"/>
          <w:szCs w:val="22"/>
        </w:rPr>
        <w:t>PLoS ONE</w:t>
      </w:r>
      <w:r w:rsidRPr="00FC3866">
        <w:rPr>
          <w:sz w:val="22"/>
          <w:szCs w:val="22"/>
        </w:rPr>
        <w:t xml:space="preserve"> 6(9): e24047.</w:t>
      </w:r>
      <w:r>
        <w:rPr>
          <w:sz w:val="22"/>
          <w:szCs w:val="22"/>
        </w:rPr>
        <w:t xml:space="preserve"> </w:t>
      </w:r>
    </w:p>
    <w:p w14:paraId="1DF140B4" w14:textId="77777777" w:rsidR="00CA0853" w:rsidRPr="00712250" w:rsidRDefault="00CA0853" w:rsidP="000B3456">
      <w:pPr>
        <w:pStyle w:val="BodyText"/>
        <w:ind w:left="567" w:hanging="567"/>
        <w:rPr>
          <w:sz w:val="22"/>
          <w:szCs w:val="22"/>
        </w:rPr>
      </w:pPr>
      <w:r w:rsidRPr="00712250">
        <w:rPr>
          <w:sz w:val="22"/>
          <w:szCs w:val="22"/>
        </w:rPr>
        <w:t xml:space="preserve">Charlton, C.M., Guggenheimer, S.N. and Burnell, S.R. 2014. Long term Southern Right Whale population monitoring at the Head of the Great Australian Bight, South Australia (1991-2013). Report to the Department of Environment, Australian Antarctic Division, Australian Marine Mammal Centre. May 2014. </w:t>
      </w:r>
    </w:p>
    <w:p w14:paraId="4B4BF7E1" w14:textId="77777777" w:rsidR="00CA0853" w:rsidRDefault="00CA0853" w:rsidP="000B3456">
      <w:pPr>
        <w:pStyle w:val="BodyText"/>
        <w:ind w:left="567" w:hanging="567"/>
        <w:rPr>
          <w:sz w:val="22"/>
          <w:szCs w:val="22"/>
        </w:rPr>
      </w:pPr>
      <w:r w:rsidRPr="007B4E08">
        <w:rPr>
          <w:sz w:val="22"/>
          <w:szCs w:val="22"/>
        </w:rPr>
        <w:t>Christian, J.R., Mathieu, A., Buchanan, R.A., 2004. Chronic Effects of Seismic Energy on</w:t>
      </w:r>
      <w:r>
        <w:rPr>
          <w:sz w:val="22"/>
          <w:szCs w:val="22"/>
        </w:rPr>
        <w:t xml:space="preserve"> </w:t>
      </w:r>
      <w:r w:rsidRPr="007B4E08">
        <w:rPr>
          <w:sz w:val="22"/>
          <w:szCs w:val="22"/>
        </w:rPr>
        <w:t>Snow Crab (</w:t>
      </w:r>
      <w:r w:rsidRPr="007B4E08">
        <w:rPr>
          <w:i/>
          <w:sz w:val="22"/>
          <w:szCs w:val="22"/>
        </w:rPr>
        <w:t>Chionoecetes opilio</w:t>
      </w:r>
      <w:r w:rsidRPr="007B4E08">
        <w:rPr>
          <w:sz w:val="22"/>
          <w:szCs w:val="22"/>
        </w:rPr>
        <w:t>). Environmental Funds Project No. 158. Fisheries</w:t>
      </w:r>
      <w:r>
        <w:rPr>
          <w:sz w:val="22"/>
          <w:szCs w:val="22"/>
        </w:rPr>
        <w:t xml:space="preserve"> </w:t>
      </w:r>
      <w:r w:rsidRPr="007B4E08">
        <w:rPr>
          <w:sz w:val="22"/>
          <w:szCs w:val="22"/>
        </w:rPr>
        <w:t>and Oceans Canada. Calgary (25pp).</w:t>
      </w:r>
    </w:p>
    <w:p w14:paraId="3C715F4F" w14:textId="77777777" w:rsidR="00CA0853" w:rsidRPr="00EE7703" w:rsidRDefault="00CA0853" w:rsidP="000B3456">
      <w:pPr>
        <w:pStyle w:val="BodyText"/>
        <w:ind w:left="567" w:hanging="567"/>
        <w:rPr>
          <w:sz w:val="22"/>
          <w:szCs w:val="22"/>
        </w:rPr>
      </w:pPr>
      <w:r w:rsidRPr="00EE7703">
        <w:rPr>
          <w:sz w:val="22"/>
          <w:szCs w:val="22"/>
        </w:rPr>
        <w:t>Christian, J.R., Mathieu, A., Thomson, D.H., White, D., Buchanan, R.A., 2003. Effect of seismic energy on snow crab (Chionoecetes opilio). Environmental Research Funds Report No 144, Calgary, 106p.</w:t>
      </w:r>
    </w:p>
    <w:p w14:paraId="2C7F8E17" w14:textId="3A5325A8" w:rsidR="00887774" w:rsidRPr="00887774" w:rsidRDefault="00887774" w:rsidP="00887774">
      <w:pPr>
        <w:pStyle w:val="BodyText"/>
        <w:ind w:left="567" w:hanging="567"/>
        <w:rPr>
          <w:sz w:val="22"/>
          <w:szCs w:val="22"/>
        </w:rPr>
      </w:pPr>
      <w:r w:rsidRPr="00887774">
        <w:rPr>
          <w:sz w:val="22"/>
          <w:szCs w:val="22"/>
        </w:rPr>
        <w:t xml:space="preserve">Christensen-Dalsgaard, J., Brandt, </w:t>
      </w:r>
      <w:r>
        <w:rPr>
          <w:sz w:val="22"/>
          <w:szCs w:val="22"/>
        </w:rPr>
        <w:t xml:space="preserve">C., </w:t>
      </w:r>
      <w:r w:rsidRPr="00887774">
        <w:rPr>
          <w:sz w:val="22"/>
          <w:szCs w:val="22"/>
        </w:rPr>
        <w:t xml:space="preserve">Willis, </w:t>
      </w:r>
      <w:r>
        <w:rPr>
          <w:sz w:val="22"/>
          <w:szCs w:val="22"/>
        </w:rPr>
        <w:t xml:space="preserve">K.L., </w:t>
      </w:r>
      <w:r w:rsidRPr="00887774">
        <w:rPr>
          <w:sz w:val="22"/>
          <w:szCs w:val="22"/>
        </w:rPr>
        <w:t xml:space="preserve">Christensen, </w:t>
      </w:r>
      <w:r>
        <w:rPr>
          <w:sz w:val="22"/>
          <w:szCs w:val="22"/>
        </w:rPr>
        <w:t xml:space="preserve">C.B., </w:t>
      </w:r>
      <w:r w:rsidRPr="00887774">
        <w:rPr>
          <w:sz w:val="22"/>
          <w:szCs w:val="22"/>
        </w:rPr>
        <w:t xml:space="preserve">Ketten, </w:t>
      </w:r>
      <w:r>
        <w:rPr>
          <w:sz w:val="22"/>
          <w:szCs w:val="22"/>
        </w:rPr>
        <w:t xml:space="preserve">D., </w:t>
      </w:r>
      <w:r w:rsidRPr="00887774">
        <w:rPr>
          <w:sz w:val="22"/>
          <w:szCs w:val="22"/>
        </w:rPr>
        <w:t xml:space="preserve">Edds-Walton, </w:t>
      </w:r>
      <w:r>
        <w:rPr>
          <w:sz w:val="22"/>
          <w:szCs w:val="22"/>
        </w:rPr>
        <w:t xml:space="preserve">P., </w:t>
      </w:r>
      <w:r w:rsidRPr="00887774">
        <w:rPr>
          <w:sz w:val="22"/>
          <w:szCs w:val="22"/>
        </w:rPr>
        <w:t xml:space="preserve">Fay, </w:t>
      </w:r>
      <w:r>
        <w:rPr>
          <w:sz w:val="22"/>
          <w:szCs w:val="22"/>
        </w:rPr>
        <w:t xml:space="preserve">R.R., </w:t>
      </w:r>
      <w:r w:rsidRPr="00887774">
        <w:rPr>
          <w:sz w:val="22"/>
          <w:szCs w:val="22"/>
        </w:rPr>
        <w:t xml:space="preserve">Madsen, </w:t>
      </w:r>
      <w:r>
        <w:rPr>
          <w:sz w:val="22"/>
          <w:szCs w:val="22"/>
        </w:rPr>
        <w:t xml:space="preserve">P.T. </w:t>
      </w:r>
      <w:r w:rsidRPr="00887774">
        <w:rPr>
          <w:sz w:val="22"/>
          <w:szCs w:val="22"/>
        </w:rPr>
        <w:t>and Carr</w:t>
      </w:r>
      <w:r>
        <w:rPr>
          <w:sz w:val="22"/>
          <w:szCs w:val="22"/>
        </w:rPr>
        <w:t>, C.E</w:t>
      </w:r>
      <w:r w:rsidRPr="00887774">
        <w:rPr>
          <w:sz w:val="22"/>
          <w:szCs w:val="22"/>
        </w:rPr>
        <w:t xml:space="preserve">. 2012. Specialization for underwater hearing by the tympanic middle ear of the turtle, Trachemys scripta elegans. </w:t>
      </w:r>
      <w:r w:rsidRPr="00887774">
        <w:rPr>
          <w:i/>
          <w:sz w:val="22"/>
          <w:szCs w:val="22"/>
        </w:rPr>
        <w:t>Proceedings of the Royal Society of London B: Biological Sciences</w:t>
      </w:r>
      <w:r w:rsidRPr="00887774">
        <w:rPr>
          <w:sz w:val="22"/>
          <w:szCs w:val="22"/>
        </w:rPr>
        <w:t xml:space="preserve"> 279(1739): 2816-2824.</w:t>
      </w:r>
    </w:p>
    <w:p w14:paraId="64623B1B" w14:textId="77777777" w:rsidR="00CA0853" w:rsidRPr="00CE0E3A" w:rsidRDefault="00CA0853" w:rsidP="000B3456">
      <w:pPr>
        <w:pStyle w:val="BodyText"/>
        <w:ind w:left="567" w:hanging="567"/>
        <w:rPr>
          <w:sz w:val="22"/>
          <w:szCs w:val="22"/>
        </w:rPr>
      </w:pPr>
      <w:r w:rsidRPr="00CE0E3A">
        <w:rPr>
          <w:sz w:val="22"/>
          <w:szCs w:val="22"/>
        </w:rPr>
        <w:t>Cintron, G., Lugo, A.E., Marinez, R., Cintron, B.B., Encarnacion, L. 1981. Impact of oil in the</w:t>
      </w:r>
      <w:r>
        <w:rPr>
          <w:sz w:val="22"/>
          <w:szCs w:val="22"/>
        </w:rPr>
        <w:t xml:space="preserve"> </w:t>
      </w:r>
      <w:r w:rsidRPr="00CE0E3A">
        <w:rPr>
          <w:sz w:val="22"/>
          <w:szCs w:val="22"/>
        </w:rPr>
        <w:t>tropical marine environment. Prepared by Division of Marine Research, Department of</w:t>
      </w:r>
      <w:r>
        <w:rPr>
          <w:sz w:val="22"/>
          <w:szCs w:val="22"/>
        </w:rPr>
        <w:t xml:space="preserve"> </w:t>
      </w:r>
      <w:r w:rsidRPr="00CE0E3A">
        <w:rPr>
          <w:sz w:val="22"/>
          <w:szCs w:val="22"/>
        </w:rPr>
        <w:t>Natural Resources. Puerto Rico.</w:t>
      </w:r>
    </w:p>
    <w:p w14:paraId="278259BF" w14:textId="77777777" w:rsidR="00CA0853" w:rsidRPr="00137C62" w:rsidRDefault="00CA0853" w:rsidP="000B3456">
      <w:pPr>
        <w:pStyle w:val="BodyText"/>
        <w:ind w:left="567" w:hanging="567"/>
        <w:rPr>
          <w:sz w:val="22"/>
          <w:szCs w:val="22"/>
          <w:lang w:val="fr-FR"/>
        </w:rPr>
      </w:pPr>
      <w:r w:rsidRPr="00351F5F">
        <w:rPr>
          <w:sz w:val="22"/>
          <w:szCs w:val="22"/>
        </w:rPr>
        <w:lastRenderedPageBreak/>
        <w:t xml:space="preserve">Clark, R.B. 1984. Impact of oil pollution on seabirds. </w:t>
      </w:r>
      <w:r w:rsidRPr="00137C62">
        <w:rPr>
          <w:i/>
          <w:sz w:val="22"/>
          <w:szCs w:val="22"/>
          <w:lang w:val="fr-FR"/>
        </w:rPr>
        <w:t>Environmental Pollution</w:t>
      </w:r>
      <w:r w:rsidRPr="00137C62">
        <w:rPr>
          <w:sz w:val="22"/>
          <w:szCs w:val="22"/>
          <w:lang w:val="fr-FR"/>
        </w:rPr>
        <w:t xml:space="preserve"> (Series A) 33 :1–22.</w:t>
      </w:r>
    </w:p>
    <w:p w14:paraId="4EB9AD2F" w14:textId="77777777" w:rsidR="00CA0853" w:rsidRPr="005D6434" w:rsidRDefault="00CA0853" w:rsidP="000B3456">
      <w:pPr>
        <w:pStyle w:val="BodyText"/>
        <w:ind w:left="567" w:hanging="567"/>
        <w:rPr>
          <w:sz w:val="22"/>
          <w:szCs w:val="22"/>
        </w:rPr>
      </w:pPr>
      <w:r w:rsidRPr="00137C62">
        <w:rPr>
          <w:sz w:val="22"/>
          <w:szCs w:val="22"/>
          <w:lang w:val="fr-FR"/>
        </w:rPr>
        <w:t xml:space="preserve">Clarke, R.H. 2010. </w:t>
      </w:r>
      <w:r w:rsidRPr="005D6434">
        <w:rPr>
          <w:sz w:val="22"/>
          <w:szCs w:val="22"/>
        </w:rPr>
        <w:t>The Status of Seabirds and Shorebirds at Ashmore Reef, Cartier Island and</w:t>
      </w:r>
      <w:r>
        <w:rPr>
          <w:sz w:val="22"/>
          <w:szCs w:val="22"/>
        </w:rPr>
        <w:t xml:space="preserve"> </w:t>
      </w:r>
      <w:r w:rsidRPr="005D6434">
        <w:rPr>
          <w:sz w:val="22"/>
          <w:szCs w:val="22"/>
        </w:rPr>
        <w:t>Browse Island. Monitoring Program for the Montara Well Release. Pre-impact Assessment</w:t>
      </w:r>
      <w:r>
        <w:rPr>
          <w:sz w:val="22"/>
          <w:szCs w:val="22"/>
        </w:rPr>
        <w:t xml:space="preserve"> </w:t>
      </w:r>
      <w:r w:rsidRPr="005D6434">
        <w:rPr>
          <w:sz w:val="22"/>
          <w:szCs w:val="22"/>
        </w:rPr>
        <w:t>and First Post-Impact Field Survey. Prepared on behalf of PTTEP Australasia and the</w:t>
      </w:r>
      <w:r>
        <w:rPr>
          <w:sz w:val="22"/>
          <w:szCs w:val="22"/>
        </w:rPr>
        <w:t xml:space="preserve"> </w:t>
      </w:r>
      <w:r w:rsidRPr="005D6434">
        <w:rPr>
          <w:sz w:val="22"/>
          <w:szCs w:val="22"/>
        </w:rPr>
        <w:t>Department of the Environment, Water, Heritage and the Arts by the Australian Centre for</w:t>
      </w:r>
      <w:r>
        <w:rPr>
          <w:sz w:val="22"/>
          <w:szCs w:val="22"/>
        </w:rPr>
        <w:t xml:space="preserve"> </w:t>
      </w:r>
      <w:r w:rsidRPr="005D6434">
        <w:rPr>
          <w:sz w:val="22"/>
          <w:szCs w:val="22"/>
        </w:rPr>
        <w:t>Biodiversity, Monash University. Melbourne.</w:t>
      </w:r>
    </w:p>
    <w:p w14:paraId="4435B1C6" w14:textId="77777777" w:rsidR="00CA0853" w:rsidRDefault="00CA0853" w:rsidP="000B3456">
      <w:pPr>
        <w:pStyle w:val="BodyText"/>
        <w:ind w:left="567" w:hanging="567"/>
        <w:rPr>
          <w:sz w:val="22"/>
          <w:szCs w:val="22"/>
        </w:rPr>
      </w:pPr>
      <w:r w:rsidRPr="00003BB6">
        <w:rPr>
          <w:sz w:val="22"/>
          <w:szCs w:val="22"/>
        </w:rPr>
        <w:t xml:space="preserve">CoA. 2009. National Biofouling Management Guidance for the Petroleum Production and Exploration Industry. Commonwealth of Australia. Canberra. </w:t>
      </w:r>
    </w:p>
    <w:p w14:paraId="5AF1E0A1" w14:textId="77777777" w:rsidR="00CA0853" w:rsidRPr="00712250" w:rsidRDefault="00CA0853" w:rsidP="000B3456">
      <w:pPr>
        <w:pStyle w:val="BodyText"/>
        <w:ind w:left="567" w:hanging="567"/>
        <w:rPr>
          <w:sz w:val="22"/>
          <w:szCs w:val="22"/>
        </w:rPr>
      </w:pPr>
      <w:r w:rsidRPr="00712250">
        <w:rPr>
          <w:sz w:val="22"/>
          <w:szCs w:val="22"/>
        </w:rPr>
        <w:t>Cogger, H.G., Cameron, E.E., Sadlier, R.A., and Eggler, P. 1993. The Action Plan for Australian Reptiles. Canberra. Australian Nature Conservation Agency.</w:t>
      </w:r>
    </w:p>
    <w:p w14:paraId="112C0053" w14:textId="77777777" w:rsidR="00CA0853" w:rsidRPr="0017576C" w:rsidRDefault="00CA0853" w:rsidP="000B3456">
      <w:pPr>
        <w:pStyle w:val="BodyText"/>
        <w:ind w:left="567" w:hanging="567"/>
        <w:rPr>
          <w:sz w:val="22"/>
          <w:szCs w:val="22"/>
        </w:rPr>
      </w:pPr>
      <w:r w:rsidRPr="0017576C">
        <w:rPr>
          <w:sz w:val="22"/>
          <w:szCs w:val="22"/>
        </w:rPr>
        <w:t>Cooper Energy</w:t>
      </w:r>
      <w:r>
        <w:rPr>
          <w:sz w:val="22"/>
          <w:szCs w:val="22"/>
        </w:rPr>
        <w:t>.</w:t>
      </w:r>
      <w:r w:rsidRPr="0017576C">
        <w:rPr>
          <w:sz w:val="22"/>
          <w:szCs w:val="22"/>
        </w:rPr>
        <w:t xml:space="preserve"> 2017</w:t>
      </w:r>
      <w:r>
        <w:rPr>
          <w:sz w:val="22"/>
          <w:szCs w:val="22"/>
        </w:rPr>
        <w:t xml:space="preserve">. Quarterly Report for 3 months to 30 June 2017. A WWW document accessed at </w:t>
      </w:r>
      <w:r w:rsidRPr="00DD4EE7">
        <w:rPr>
          <w:sz w:val="22"/>
          <w:szCs w:val="22"/>
        </w:rPr>
        <w:t>http://www.cooperenergy.com.au/Upload/Documents/</w:t>
      </w:r>
      <w:r>
        <w:rPr>
          <w:sz w:val="22"/>
          <w:szCs w:val="22"/>
        </w:rPr>
        <w:br/>
      </w:r>
      <w:r w:rsidRPr="00DD4EE7">
        <w:rPr>
          <w:sz w:val="22"/>
          <w:szCs w:val="22"/>
        </w:rPr>
        <w:t>ReportsItem/2017.07.26-Quarterly-Report-Q417.</w:t>
      </w:r>
      <w:r w:rsidRPr="00374F67">
        <w:rPr>
          <w:sz w:val="22"/>
          <w:szCs w:val="22"/>
        </w:rPr>
        <w:t xml:space="preserve">pdf. Cooper Energy. Adelaide. </w:t>
      </w:r>
    </w:p>
    <w:p w14:paraId="601536F5" w14:textId="77777777" w:rsidR="00CA0853" w:rsidRPr="00E93F43" w:rsidRDefault="00CA0853" w:rsidP="000B3456">
      <w:pPr>
        <w:pStyle w:val="BodyText"/>
        <w:ind w:left="567" w:hanging="567"/>
        <w:rPr>
          <w:sz w:val="22"/>
          <w:szCs w:val="22"/>
        </w:rPr>
      </w:pPr>
      <w:r w:rsidRPr="00E93F43">
        <w:rPr>
          <w:sz w:val="22"/>
          <w:szCs w:val="22"/>
        </w:rPr>
        <w:t xml:space="preserve">Cranford, T.W. and P. Krysl. 2015. Fin whale sound reception mechanisms: Skull vibration enables low-frequency hearing. </w:t>
      </w:r>
      <w:r w:rsidRPr="00DC3B29">
        <w:rPr>
          <w:i/>
          <w:iCs/>
          <w:sz w:val="22"/>
          <w:szCs w:val="22"/>
        </w:rPr>
        <w:t>PLoS ONE</w:t>
      </w:r>
      <w:r w:rsidRPr="00E93F43">
        <w:rPr>
          <w:sz w:val="22"/>
          <w:szCs w:val="22"/>
        </w:rPr>
        <w:t xml:space="preserve"> 10(1): e0116222.</w:t>
      </w:r>
    </w:p>
    <w:p w14:paraId="28EA47CC" w14:textId="77777777" w:rsidR="00CA0853" w:rsidRPr="005D6434" w:rsidRDefault="00CA0853" w:rsidP="000B3456">
      <w:pPr>
        <w:pStyle w:val="BodyText"/>
        <w:ind w:left="567" w:hanging="567"/>
        <w:rPr>
          <w:sz w:val="22"/>
          <w:szCs w:val="22"/>
        </w:rPr>
      </w:pPr>
      <w:r w:rsidRPr="005D6434">
        <w:rPr>
          <w:sz w:val="22"/>
          <w:szCs w:val="22"/>
        </w:rPr>
        <w:t>Curtin University. 2009. Report on Biopsy Collections from Specimens Collected from the</w:t>
      </w:r>
      <w:r>
        <w:rPr>
          <w:sz w:val="22"/>
          <w:szCs w:val="22"/>
        </w:rPr>
        <w:t xml:space="preserve"> </w:t>
      </w:r>
      <w:r w:rsidRPr="005D6434">
        <w:rPr>
          <w:sz w:val="22"/>
          <w:szCs w:val="22"/>
        </w:rPr>
        <w:t>Surrounds of the West Atlas Oil Leak –  Sea Snake Specimen. Curtin University, Perth.</w:t>
      </w:r>
    </w:p>
    <w:p w14:paraId="3ED11B13" w14:textId="77777777" w:rsidR="00CA0853" w:rsidRPr="005D6434" w:rsidRDefault="00CA0853" w:rsidP="000B3456">
      <w:pPr>
        <w:pStyle w:val="BodyText"/>
        <w:ind w:left="567" w:hanging="567"/>
        <w:rPr>
          <w:sz w:val="22"/>
          <w:szCs w:val="22"/>
        </w:rPr>
      </w:pPr>
      <w:r w:rsidRPr="005D6434">
        <w:rPr>
          <w:sz w:val="22"/>
          <w:szCs w:val="22"/>
        </w:rPr>
        <w:t>Curtin University. 2010. Report on Necropsies from a Timor Sea Horned Sea Snake. Curtin</w:t>
      </w:r>
      <w:r>
        <w:rPr>
          <w:sz w:val="22"/>
          <w:szCs w:val="22"/>
        </w:rPr>
        <w:t xml:space="preserve"> </w:t>
      </w:r>
      <w:r w:rsidRPr="005D6434">
        <w:rPr>
          <w:sz w:val="22"/>
          <w:szCs w:val="22"/>
        </w:rPr>
        <w:t>University, Perth.</w:t>
      </w:r>
    </w:p>
    <w:p w14:paraId="77088A0E" w14:textId="77777777" w:rsidR="00CA0853" w:rsidRDefault="00CA0853" w:rsidP="000B3456">
      <w:pPr>
        <w:pStyle w:val="BodyText"/>
        <w:ind w:left="567" w:hanging="567"/>
        <w:rPr>
          <w:sz w:val="22"/>
          <w:szCs w:val="22"/>
        </w:rPr>
      </w:pPr>
      <w:r>
        <w:rPr>
          <w:sz w:val="22"/>
          <w:szCs w:val="22"/>
        </w:rPr>
        <w:t xml:space="preserve">DAFF. 2009. </w:t>
      </w:r>
      <w:r w:rsidRPr="0062708E">
        <w:rPr>
          <w:sz w:val="22"/>
          <w:szCs w:val="22"/>
        </w:rPr>
        <w:t>The National Biofouling Management Guidance for the Petroleum Produ</w:t>
      </w:r>
      <w:r>
        <w:rPr>
          <w:sz w:val="22"/>
          <w:szCs w:val="22"/>
        </w:rPr>
        <w:t xml:space="preserve">ction and Exploration Industry. A WWW document downloaded from </w:t>
      </w:r>
      <w:hyperlink r:id="rId320" w:history="1">
        <w:r w:rsidRPr="0000139F">
          <w:t>http://www.marinepests.gov.au/marine_pests/publications/Pages/petroleum-exportation.aspx</w:t>
        </w:r>
      </w:hyperlink>
      <w:r>
        <w:rPr>
          <w:sz w:val="22"/>
          <w:szCs w:val="22"/>
        </w:rPr>
        <w:t>. Department of Agriculture, Fisheries and Forestry.</w:t>
      </w:r>
    </w:p>
    <w:p w14:paraId="1DA53958" w14:textId="77777777" w:rsidR="00CA0853" w:rsidRPr="00353A79" w:rsidRDefault="00CA0853" w:rsidP="000B3456">
      <w:pPr>
        <w:pStyle w:val="BodyText"/>
        <w:ind w:left="567" w:hanging="567"/>
        <w:rPr>
          <w:sz w:val="22"/>
          <w:szCs w:val="22"/>
        </w:rPr>
      </w:pPr>
      <w:r w:rsidRPr="00353A79">
        <w:rPr>
          <w:sz w:val="22"/>
          <w:szCs w:val="22"/>
        </w:rPr>
        <w:t>DAFF. 2017. Marine Pests Interactive Map. A WWW database accessed in April 2017 at http://www.marinepests.gov.au/Pages/marinepest-map.aspx.</w:t>
      </w:r>
    </w:p>
    <w:p w14:paraId="66959AFD" w14:textId="77777777" w:rsidR="00CA0853" w:rsidRPr="00EE7703" w:rsidRDefault="00CA0853" w:rsidP="000B3456">
      <w:pPr>
        <w:pStyle w:val="BodyText"/>
        <w:ind w:left="567" w:hanging="567"/>
        <w:rPr>
          <w:sz w:val="22"/>
          <w:szCs w:val="22"/>
        </w:rPr>
      </w:pPr>
      <w:r w:rsidRPr="00EE7703">
        <w:rPr>
          <w:sz w:val="22"/>
          <w:szCs w:val="22"/>
        </w:rPr>
        <w:t xml:space="preserve">Dalen, J. and Knutsen, G.M. 1987. Scaring effects in fish and harmful effects on eggs, larvae and fry by offshore seismic explorations. </w:t>
      </w:r>
      <w:r>
        <w:rPr>
          <w:sz w:val="22"/>
          <w:szCs w:val="22"/>
        </w:rPr>
        <w:t>I</w:t>
      </w:r>
      <w:r w:rsidRPr="00EE7703">
        <w:rPr>
          <w:sz w:val="22"/>
          <w:szCs w:val="22"/>
        </w:rPr>
        <w:t xml:space="preserve">n Merklinger, H.M. (ed.) </w:t>
      </w:r>
      <w:r w:rsidRPr="00B150C2">
        <w:rPr>
          <w:i/>
          <w:iCs/>
          <w:sz w:val="22"/>
          <w:szCs w:val="22"/>
        </w:rPr>
        <w:t>Progress in underwater acoustics</w:t>
      </w:r>
      <w:r>
        <w:rPr>
          <w:sz w:val="22"/>
          <w:szCs w:val="22"/>
        </w:rPr>
        <w:t>. Plenum Press.</w:t>
      </w:r>
      <w:r w:rsidRPr="00EE7703">
        <w:rPr>
          <w:sz w:val="22"/>
          <w:szCs w:val="22"/>
        </w:rPr>
        <w:t xml:space="preserve"> New York.</w:t>
      </w:r>
    </w:p>
    <w:p w14:paraId="1467DAB1" w14:textId="77777777" w:rsidR="00CA0853" w:rsidRDefault="00CA0853" w:rsidP="000B3456">
      <w:pPr>
        <w:pStyle w:val="BodyText"/>
        <w:ind w:left="567" w:hanging="567"/>
        <w:rPr>
          <w:sz w:val="22"/>
          <w:szCs w:val="22"/>
        </w:rPr>
      </w:pPr>
      <w:r w:rsidRPr="00EE7703">
        <w:rPr>
          <w:sz w:val="22"/>
          <w:szCs w:val="22"/>
        </w:rPr>
        <w:t>Dalen, J., Ona, E., Soldal, A.V. and Saetre, R. 1996. Seismic investigations at sea: an evaluation of consequences for fish and fisheries. Institute of Marine Re</w:t>
      </w:r>
      <w:r>
        <w:rPr>
          <w:sz w:val="22"/>
          <w:szCs w:val="22"/>
        </w:rPr>
        <w:t>search Fisken og Havet. 9</w:t>
      </w:r>
      <w:r w:rsidRPr="00EE7703">
        <w:rPr>
          <w:sz w:val="22"/>
          <w:szCs w:val="22"/>
        </w:rPr>
        <w:t>.</w:t>
      </w:r>
    </w:p>
    <w:p w14:paraId="6F3D78A9" w14:textId="53A22C20" w:rsidR="00CA0853" w:rsidRPr="00351F5F" w:rsidRDefault="00CA0853" w:rsidP="000B3456">
      <w:pPr>
        <w:pStyle w:val="BodyText"/>
        <w:ind w:left="567" w:hanging="567"/>
        <w:rPr>
          <w:sz w:val="22"/>
          <w:szCs w:val="22"/>
        </w:rPr>
      </w:pPr>
      <w:r w:rsidRPr="00351F5F">
        <w:rPr>
          <w:sz w:val="22"/>
          <w:szCs w:val="22"/>
        </w:rPr>
        <w:t>Danion, M.</w:t>
      </w:r>
      <w:r w:rsidR="008E6E0E">
        <w:rPr>
          <w:sz w:val="22"/>
          <w:szCs w:val="22"/>
        </w:rPr>
        <w:t>, Le Floch, S., Lamour, F., Guyomarch, J. and Quentel, C.</w:t>
      </w:r>
      <w:r w:rsidRPr="00351F5F">
        <w:rPr>
          <w:sz w:val="22"/>
          <w:szCs w:val="22"/>
        </w:rPr>
        <w:t xml:space="preserve"> 2011. Bioconcentration and Immunotoxicity of an Experimental Oil Spill in European</w:t>
      </w:r>
      <w:r>
        <w:rPr>
          <w:sz w:val="22"/>
          <w:szCs w:val="22"/>
        </w:rPr>
        <w:t xml:space="preserve"> </w:t>
      </w:r>
      <w:r w:rsidRPr="00351F5F">
        <w:rPr>
          <w:sz w:val="22"/>
          <w:szCs w:val="22"/>
        </w:rPr>
        <w:t>Sea Bass (</w:t>
      </w:r>
      <w:r w:rsidRPr="00351F5F">
        <w:rPr>
          <w:i/>
          <w:sz w:val="22"/>
          <w:szCs w:val="22"/>
        </w:rPr>
        <w:t>Dicentrarchus labrax</w:t>
      </w:r>
      <w:r w:rsidRPr="00351F5F">
        <w:rPr>
          <w:sz w:val="22"/>
          <w:szCs w:val="22"/>
        </w:rPr>
        <w:t xml:space="preserve"> L.). </w:t>
      </w:r>
      <w:r w:rsidRPr="00351F5F">
        <w:rPr>
          <w:i/>
          <w:sz w:val="22"/>
          <w:szCs w:val="22"/>
        </w:rPr>
        <w:t>Ecotoxicology and Environmental Safety</w:t>
      </w:r>
      <w:r w:rsidRPr="00351F5F">
        <w:rPr>
          <w:sz w:val="22"/>
          <w:szCs w:val="22"/>
        </w:rPr>
        <w:t>. 74(8):</w:t>
      </w:r>
      <w:r>
        <w:rPr>
          <w:sz w:val="22"/>
          <w:szCs w:val="22"/>
        </w:rPr>
        <w:t xml:space="preserve"> </w:t>
      </w:r>
      <w:r w:rsidRPr="00351F5F">
        <w:rPr>
          <w:sz w:val="22"/>
          <w:szCs w:val="22"/>
        </w:rPr>
        <w:t>2167– 2174.</w:t>
      </w:r>
    </w:p>
    <w:p w14:paraId="69683C76" w14:textId="77777777" w:rsidR="00CA0853" w:rsidRPr="00351F5F" w:rsidRDefault="00CA0853" w:rsidP="000B3456">
      <w:pPr>
        <w:pStyle w:val="BodyText"/>
        <w:ind w:left="567" w:hanging="567"/>
        <w:rPr>
          <w:sz w:val="22"/>
          <w:szCs w:val="22"/>
        </w:rPr>
      </w:pPr>
      <w:r w:rsidRPr="00351F5F">
        <w:rPr>
          <w:sz w:val="22"/>
          <w:szCs w:val="22"/>
        </w:rPr>
        <w:t>Davis, H.K., Moffat, C.F. and Shepherd, N.J. 2002. Experimental Tainting of Marine Fish by</w:t>
      </w:r>
      <w:r>
        <w:rPr>
          <w:sz w:val="22"/>
          <w:szCs w:val="22"/>
        </w:rPr>
        <w:t xml:space="preserve"> </w:t>
      </w:r>
      <w:r w:rsidRPr="00351F5F">
        <w:rPr>
          <w:sz w:val="22"/>
          <w:szCs w:val="22"/>
        </w:rPr>
        <w:t>Three Chemically Dispersed Petroleum Products, with Comparisons to the Braer Oil Spill.</w:t>
      </w:r>
      <w:r>
        <w:rPr>
          <w:sz w:val="22"/>
          <w:szCs w:val="22"/>
        </w:rPr>
        <w:t xml:space="preserve"> </w:t>
      </w:r>
      <w:r w:rsidRPr="00351F5F">
        <w:rPr>
          <w:i/>
          <w:sz w:val="22"/>
          <w:szCs w:val="22"/>
        </w:rPr>
        <w:t>Spill Science &amp; Technology Bulletin</w:t>
      </w:r>
      <w:r w:rsidRPr="00351F5F">
        <w:rPr>
          <w:sz w:val="22"/>
          <w:szCs w:val="22"/>
        </w:rPr>
        <w:t>. 7(5–6): 257– 278.</w:t>
      </w:r>
    </w:p>
    <w:p w14:paraId="5EE4711A" w14:textId="71D0C141" w:rsidR="00CA0853" w:rsidRPr="00683287" w:rsidRDefault="00CA0853" w:rsidP="000B3456">
      <w:pPr>
        <w:pStyle w:val="BodyText"/>
        <w:ind w:left="567" w:hanging="567"/>
        <w:rPr>
          <w:sz w:val="22"/>
          <w:szCs w:val="22"/>
        </w:rPr>
      </w:pPr>
      <w:r>
        <w:rPr>
          <w:sz w:val="22"/>
          <w:szCs w:val="22"/>
        </w:rPr>
        <w:t>DAWR. 2015</w:t>
      </w:r>
      <w:r w:rsidRPr="00683287">
        <w:rPr>
          <w:sz w:val="22"/>
          <w:szCs w:val="22"/>
        </w:rPr>
        <w:t>. Ballast Water. A WWW database accessed at</w:t>
      </w:r>
      <w:r>
        <w:rPr>
          <w:sz w:val="22"/>
          <w:szCs w:val="22"/>
        </w:rPr>
        <w:t xml:space="preserve"> </w:t>
      </w:r>
      <w:r w:rsidRPr="00406E95">
        <w:rPr>
          <w:sz w:val="22"/>
          <w:szCs w:val="22"/>
        </w:rPr>
        <w:t>http://www.agriculture.gov.au/biosecurity/avm/vessels/quarantine-concerns/ballast</w:t>
      </w:r>
      <w:r w:rsidRPr="00683287">
        <w:rPr>
          <w:sz w:val="22"/>
          <w:szCs w:val="22"/>
        </w:rPr>
        <w:t>.</w:t>
      </w:r>
      <w:r>
        <w:rPr>
          <w:sz w:val="22"/>
          <w:szCs w:val="22"/>
        </w:rPr>
        <w:t xml:space="preserve"> </w:t>
      </w:r>
      <w:r w:rsidRPr="00683287">
        <w:rPr>
          <w:sz w:val="22"/>
          <w:szCs w:val="22"/>
        </w:rPr>
        <w:t>Department of Agriculture and Water Resources. Canberra.</w:t>
      </w:r>
    </w:p>
    <w:p w14:paraId="7CD3E468" w14:textId="4056BC50" w:rsidR="00CA0853" w:rsidRDefault="00CA0853" w:rsidP="000B3456">
      <w:pPr>
        <w:pStyle w:val="BodyText"/>
        <w:ind w:left="567" w:hanging="567"/>
        <w:rPr>
          <w:sz w:val="22"/>
          <w:szCs w:val="22"/>
        </w:rPr>
      </w:pPr>
      <w:r>
        <w:rPr>
          <w:sz w:val="22"/>
          <w:szCs w:val="22"/>
        </w:rPr>
        <w:t xml:space="preserve">DAWR. 2016. </w:t>
      </w:r>
      <w:r w:rsidRPr="0062708E">
        <w:rPr>
          <w:sz w:val="22"/>
          <w:szCs w:val="22"/>
        </w:rPr>
        <w:t>The Australian Ballast Water Management Requirements (v6)</w:t>
      </w:r>
      <w:r>
        <w:rPr>
          <w:sz w:val="22"/>
          <w:szCs w:val="22"/>
        </w:rPr>
        <w:t xml:space="preserve">. A WWW document downloaded from </w:t>
      </w:r>
      <w:r w:rsidRPr="00406E95">
        <w:rPr>
          <w:sz w:val="22"/>
          <w:szCs w:val="22"/>
        </w:rPr>
        <w:lastRenderedPageBreak/>
        <w:t>http://www.agriculture.gov.au/biosecurity/avm/</w:t>
      </w:r>
      <w:r w:rsidRPr="00406E95">
        <w:rPr>
          <w:sz w:val="22"/>
          <w:szCs w:val="22"/>
        </w:rPr>
        <w:br/>
        <w:t>vessels/ballast/australian-ballast-water-management-requirements-version6</w:t>
      </w:r>
      <w:r w:rsidRPr="00585CAD">
        <w:rPr>
          <w:sz w:val="22"/>
          <w:szCs w:val="22"/>
        </w:rPr>
        <w:t>.</w:t>
      </w:r>
      <w:r>
        <w:rPr>
          <w:sz w:val="22"/>
          <w:szCs w:val="22"/>
        </w:rPr>
        <w:t xml:space="preserve"> Department of Agriculture and Water Resources.</w:t>
      </w:r>
    </w:p>
    <w:p w14:paraId="67EE748C" w14:textId="77777777" w:rsidR="00CA0853" w:rsidRPr="009E1BE0" w:rsidRDefault="00CA0853" w:rsidP="000B3456">
      <w:pPr>
        <w:pStyle w:val="BodyText"/>
        <w:ind w:left="567" w:hanging="567"/>
        <w:rPr>
          <w:sz w:val="22"/>
          <w:szCs w:val="22"/>
        </w:rPr>
      </w:pPr>
      <w:r>
        <w:rPr>
          <w:sz w:val="22"/>
          <w:szCs w:val="22"/>
        </w:rPr>
        <w:t>Day, R.</w:t>
      </w:r>
      <w:r w:rsidRPr="004A64D1">
        <w:rPr>
          <w:sz w:val="22"/>
          <w:szCs w:val="22"/>
        </w:rPr>
        <w:t xml:space="preserve">D., McCauley, R., Fitzgibbon, Q.P. and Semmens, J.M. 2016a. Assessing the Impact of Marine Seismic Surveys on Southeast Australian Scallop and Lobster Fisheries. FRDC Report 2012/008. University of Tasmania. Hobart. </w:t>
      </w:r>
    </w:p>
    <w:p w14:paraId="41FA07FC" w14:textId="77777777" w:rsidR="00CA0853" w:rsidRDefault="00CA0853" w:rsidP="000B3456">
      <w:pPr>
        <w:pStyle w:val="BodyText"/>
        <w:ind w:left="567" w:hanging="567"/>
        <w:rPr>
          <w:sz w:val="22"/>
          <w:szCs w:val="22"/>
        </w:rPr>
      </w:pPr>
      <w:r w:rsidRPr="00EE7703">
        <w:rPr>
          <w:sz w:val="22"/>
          <w:szCs w:val="22"/>
        </w:rPr>
        <w:t>Day, R.D., McCauley, R.D. Fitzgibbon, Q.P. and Semmens, J.M. 2016</w:t>
      </w:r>
      <w:r>
        <w:rPr>
          <w:sz w:val="22"/>
          <w:szCs w:val="22"/>
        </w:rPr>
        <w:t>b</w:t>
      </w:r>
      <w:r w:rsidRPr="00EE7703">
        <w:rPr>
          <w:sz w:val="22"/>
          <w:szCs w:val="22"/>
        </w:rPr>
        <w:t xml:space="preserve">. Seismic air gun exposure during early stage embryonic development does not negatively affect spiny lobster </w:t>
      </w:r>
      <w:r w:rsidRPr="002B68A5">
        <w:rPr>
          <w:i/>
          <w:sz w:val="22"/>
          <w:szCs w:val="22"/>
        </w:rPr>
        <w:t>Jasus edwardii</w:t>
      </w:r>
      <w:r w:rsidRPr="00EE7703">
        <w:rPr>
          <w:sz w:val="22"/>
          <w:szCs w:val="22"/>
        </w:rPr>
        <w:t xml:space="preserve"> larvae (Decapoda:Palinuridae), Scientific Reports 6, Article Number: 22733.</w:t>
      </w:r>
    </w:p>
    <w:p w14:paraId="1C5E5A1D" w14:textId="77777777" w:rsidR="00CA0853" w:rsidRPr="0000139F" w:rsidRDefault="00CA0853" w:rsidP="000B3456">
      <w:pPr>
        <w:pStyle w:val="BodyText"/>
        <w:ind w:left="567" w:hanging="567"/>
        <w:rPr>
          <w:sz w:val="22"/>
          <w:szCs w:val="22"/>
        </w:rPr>
      </w:pPr>
      <w:r w:rsidRPr="0039672C">
        <w:rPr>
          <w:sz w:val="22"/>
          <w:szCs w:val="22"/>
          <w:lang w:val="en-GB"/>
        </w:rPr>
        <w:t xml:space="preserve">DEDJTR. </w:t>
      </w:r>
      <w:r w:rsidRPr="0000139F">
        <w:rPr>
          <w:sz w:val="22"/>
          <w:szCs w:val="22"/>
        </w:rPr>
        <w:t>201</w:t>
      </w:r>
      <w:r>
        <w:rPr>
          <w:sz w:val="22"/>
          <w:szCs w:val="22"/>
        </w:rPr>
        <w:t>3</w:t>
      </w:r>
      <w:r w:rsidRPr="0000139F">
        <w:rPr>
          <w:sz w:val="22"/>
          <w:szCs w:val="22"/>
        </w:rPr>
        <w:t xml:space="preserve">. </w:t>
      </w:r>
      <w:r w:rsidRPr="00533AFD">
        <w:rPr>
          <w:sz w:val="22"/>
          <w:szCs w:val="22"/>
        </w:rPr>
        <w:t>Advisory Note: Offshore Petroleum Industry Oil Pollution Emergency Planning Consultation.</w:t>
      </w:r>
      <w:r w:rsidRPr="0000139F">
        <w:rPr>
          <w:sz w:val="22"/>
          <w:szCs w:val="22"/>
        </w:rPr>
        <w:t xml:space="preserve"> A WWW document downloaded from </w:t>
      </w:r>
      <w:r w:rsidRPr="00580715">
        <w:rPr>
          <w:sz w:val="22"/>
          <w:szCs w:val="22"/>
        </w:rPr>
        <w:t>http://economicdevelopment.vic.gov.au/transport/emergency-management/marine-pollution/marine-oil-spill-publications</w:t>
      </w:r>
      <w:r>
        <w:rPr>
          <w:sz w:val="22"/>
          <w:szCs w:val="22"/>
        </w:rPr>
        <w:t xml:space="preserve">. </w:t>
      </w:r>
      <w:r w:rsidRPr="0000139F">
        <w:rPr>
          <w:sz w:val="22"/>
          <w:szCs w:val="22"/>
        </w:rPr>
        <w:t>The Department of Economic Development, Jobs, Transport and Resources.</w:t>
      </w:r>
      <w:r>
        <w:rPr>
          <w:sz w:val="22"/>
          <w:szCs w:val="22"/>
        </w:rPr>
        <w:t xml:space="preserve"> Melbourne. </w:t>
      </w:r>
    </w:p>
    <w:p w14:paraId="6AB3D875" w14:textId="77777777" w:rsidR="00CA0853" w:rsidRPr="007F3E85" w:rsidRDefault="00CA0853" w:rsidP="000B3456">
      <w:pPr>
        <w:pStyle w:val="BodyText"/>
        <w:ind w:left="567" w:hanging="567"/>
        <w:rPr>
          <w:sz w:val="22"/>
          <w:szCs w:val="22"/>
        </w:rPr>
      </w:pPr>
      <w:r w:rsidRPr="007F3E85">
        <w:rPr>
          <w:sz w:val="22"/>
          <w:szCs w:val="22"/>
        </w:rPr>
        <w:t xml:space="preserve">DEDJTR. 2015. Prospectivity and reserves. A WWW database accessed in April 2015 at </w:t>
      </w:r>
      <w:hyperlink r:id="rId321" w:history="1">
        <w:r w:rsidRPr="007F3E85">
          <w:rPr>
            <w:sz w:val="22"/>
            <w:szCs w:val="22"/>
          </w:rPr>
          <w:t>http://www.energyandresources.vic.gov.au/earth-resources/victorias-earth-resources/oil-gas/prospectivity-and-reserves</w:t>
        </w:r>
      </w:hyperlink>
      <w:r w:rsidRPr="007F3E85">
        <w:rPr>
          <w:sz w:val="22"/>
          <w:szCs w:val="22"/>
        </w:rPr>
        <w:t>. Department of Economic Development, Jobs, Transport and Resources. Melbourne.</w:t>
      </w:r>
    </w:p>
    <w:p w14:paraId="1083FD1D" w14:textId="77777777" w:rsidR="00CA0853" w:rsidRPr="0018701A" w:rsidRDefault="00CA0853" w:rsidP="000B3456">
      <w:pPr>
        <w:pStyle w:val="BodyText"/>
        <w:ind w:left="567" w:hanging="567"/>
        <w:rPr>
          <w:sz w:val="22"/>
          <w:szCs w:val="22"/>
        </w:rPr>
      </w:pPr>
      <w:r w:rsidRPr="0018701A">
        <w:rPr>
          <w:sz w:val="22"/>
          <w:szCs w:val="22"/>
        </w:rPr>
        <w:t>DEDJTR. 2016. Value of Tourism to Gippsland 2013-14. A WWW document accessed at http://www.tourism.vic.gov.au/research/economic-significance.html. Department of Economic Development, Jobs, Transport and Resources. Melbourne.</w:t>
      </w:r>
    </w:p>
    <w:p w14:paraId="3291F7A2" w14:textId="77777777" w:rsidR="00CA0853" w:rsidRPr="00D71983" w:rsidRDefault="00CA0853" w:rsidP="000B3456">
      <w:pPr>
        <w:pStyle w:val="BodyText"/>
        <w:ind w:left="567" w:hanging="567"/>
        <w:rPr>
          <w:sz w:val="22"/>
          <w:szCs w:val="22"/>
        </w:rPr>
      </w:pPr>
      <w:r w:rsidRPr="00D71983">
        <w:rPr>
          <w:sz w:val="22"/>
          <w:szCs w:val="22"/>
        </w:rPr>
        <w:t>DEDJTR. 201</w:t>
      </w:r>
      <w:r>
        <w:rPr>
          <w:sz w:val="22"/>
          <w:szCs w:val="22"/>
        </w:rPr>
        <w:t>7a</w:t>
      </w:r>
      <w:r w:rsidRPr="00D71983">
        <w:rPr>
          <w:sz w:val="22"/>
          <w:szCs w:val="22"/>
        </w:rPr>
        <w:t xml:space="preserve">. Oil Spill Response Atlas. Maintained by Transport for Victoria. Department of Economic Development, Jobs, Transport and Resources. Melbourne. </w:t>
      </w:r>
    </w:p>
    <w:p w14:paraId="24D5E13D" w14:textId="77777777" w:rsidR="00CA0853" w:rsidRPr="006E181E" w:rsidRDefault="00CA0853" w:rsidP="000B3456">
      <w:pPr>
        <w:pStyle w:val="BodyText"/>
        <w:ind w:left="567" w:hanging="567"/>
        <w:rPr>
          <w:sz w:val="22"/>
          <w:szCs w:val="22"/>
        </w:rPr>
      </w:pPr>
      <w:r w:rsidRPr="006E181E">
        <w:rPr>
          <w:sz w:val="22"/>
          <w:szCs w:val="22"/>
        </w:rPr>
        <w:t>DEDJTR. 2017</w:t>
      </w:r>
      <w:r>
        <w:rPr>
          <w:sz w:val="22"/>
          <w:szCs w:val="22"/>
        </w:rPr>
        <w:t>b</w:t>
      </w:r>
      <w:r w:rsidRPr="006E181E">
        <w:rPr>
          <w:sz w:val="22"/>
          <w:szCs w:val="22"/>
        </w:rPr>
        <w:t xml:space="preserve">. Production statistics. A WWW database accessed at </w:t>
      </w:r>
      <w:hyperlink r:id="rId322" w:history="1">
        <w:r w:rsidRPr="007F3E85">
          <w:rPr>
            <w:sz w:val="22"/>
            <w:szCs w:val="22"/>
          </w:rPr>
          <w:t>http://earthresources.vic.gov.au/earth-resources/victorias-earth-resources/petroleum/production-statistics</w:t>
        </w:r>
      </w:hyperlink>
      <w:r w:rsidRPr="006E181E">
        <w:rPr>
          <w:sz w:val="22"/>
          <w:szCs w:val="22"/>
        </w:rPr>
        <w:t>. Departme</w:t>
      </w:r>
      <w:r>
        <w:rPr>
          <w:sz w:val="22"/>
          <w:szCs w:val="22"/>
        </w:rPr>
        <w:t>nt of Economic Development, Job</w:t>
      </w:r>
      <w:r w:rsidRPr="006E181E">
        <w:rPr>
          <w:sz w:val="22"/>
          <w:szCs w:val="22"/>
        </w:rPr>
        <w:t xml:space="preserve">s, Tourism and Resources. </w:t>
      </w:r>
      <w:r>
        <w:rPr>
          <w:sz w:val="22"/>
          <w:szCs w:val="22"/>
        </w:rPr>
        <w:t>Melbourne.</w:t>
      </w:r>
    </w:p>
    <w:p w14:paraId="3C2E9D67" w14:textId="77777777" w:rsidR="00CA0853" w:rsidRDefault="00CA0853" w:rsidP="000B3456">
      <w:pPr>
        <w:pStyle w:val="BodyText"/>
        <w:ind w:left="567" w:hanging="567"/>
        <w:rPr>
          <w:sz w:val="22"/>
          <w:szCs w:val="22"/>
        </w:rPr>
      </w:pPr>
      <w:r>
        <w:rPr>
          <w:sz w:val="22"/>
          <w:szCs w:val="22"/>
        </w:rPr>
        <w:t xml:space="preserve">DEH. 2004. Assessment of the South Australian Pilchard Fishery. September 2004. A WWWW document accessed at </w:t>
      </w:r>
      <w:r w:rsidRPr="001F4A66">
        <w:rPr>
          <w:sz w:val="22"/>
          <w:szCs w:val="22"/>
        </w:rPr>
        <w:t>http://fishesofaustralia.net.au</w:t>
      </w:r>
      <w:r>
        <w:rPr>
          <w:sz w:val="22"/>
          <w:szCs w:val="22"/>
        </w:rPr>
        <w:t xml:space="preserve">. Department of the Environment and Heritage. Canberra. </w:t>
      </w:r>
    </w:p>
    <w:p w14:paraId="635953C1" w14:textId="77777777" w:rsidR="00CA0853" w:rsidRPr="005336B3" w:rsidRDefault="00CA0853" w:rsidP="000B3456">
      <w:pPr>
        <w:pStyle w:val="BodyText"/>
        <w:ind w:left="567" w:hanging="567"/>
        <w:rPr>
          <w:sz w:val="22"/>
          <w:szCs w:val="22"/>
        </w:rPr>
      </w:pPr>
      <w:r w:rsidRPr="005336B3">
        <w:rPr>
          <w:sz w:val="22"/>
          <w:szCs w:val="22"/>
        </w:rPr>
        <w:t>DELWP</w:t>
      </w:r>
      <w:r>
        <w:rPr>
          <w:sz w:val="22"/>
          <w:szCs w:val="22"/>
        </w:rPr>
        <w:t xml:space="preserve">. </w:t>
      </w:r>
      <w:r w:rsidRPr="005336B3">
        <w:rPr>
          <w:sz w:val="22"/>
          <w:szCs w:val="22"/>
        </w:rPr>
        <w:t>2017</w:t>
      </w:r>
      <w:r>
        <w:rPr>
          <w:sz w:val="22"/>
          <w:szCs w:val="22"/>
        </w:rPr>
        <w:t xml:space="preserve">. Victorian biodiversity atlas. A WWW database accessed at </w:t>
      </w:r>
      <w:hyperlink r:id="rId323" w:anchor="/" w:history="1">
        <w:r w:rsidRPr="00831796">
          <w:rPr>
            <w:sz w:val="22"/>
            <w:szCs w:val="22"/>
          </w:rPr>
          <w:t>https://vba.dse.vic.gov.au/vba/#/</w:t>
        </w:r>
      </w:hyperlink>
      <w:r w:rsidRPr="00831796">
        <w:rPr>
          <w:sz w:val="22"/>
          <w:szCs w:val="22"/>
        </w:rPr>
        <w:t>.</w:t>
      </w:r>
      <w:r>
        <w:rPr>
          <w:sz w:val="22"/>
          <w:szCs w:val="22"/>
        </w:rPr>
        <w:t xml:space="preserve"> Department of Environment, Land, Water and Planning. Melbourne. </w:t>
      </w:r>
    </w:p>
    <w:p w14:paraId="74EEFD0F" w14:textId="77777777" w:rsidR="00CA0853" w:rsidRPr="00F166D7" w:rsidRDefault="00CA0853" w:rsidP="000B3456">
      <w:pPr>
        <w:pStyle w:val="BodyText"/>
        <w:ind w:left="567" w:hanging="567"/>
        <w:rPr>
          <w:sz w:val="22"/>
          <w:szCs w:val="22"/>
        </w:rPr>
      </w:pPr>
      <w:r w:rsidRPr="00F166D7">
        <w:rPr>
          <w:sz w:val="22"/>
          <w:szCs w:val="22"/>
        </w:rPr>
        <w:t xml:space="preserve">Department of Treasury and Finance. 2015. Victorian Government Risk Management Framework.  Department of Treasury and Finance. Melbourne. </w:t>
      </w:r>
    </w:p>
    <w:p w14:paraId="0F6F2283" w14:textId="77777777" w:rsidR="00CA0853" w:rsidRPr="0000139F" w:rsidRDefault="00CA0853" w:rsidP="000B3456">
      <w:pPr>
        <w:pStyle w:val="BodyText"/>
        <w:ind w:left="567" w:hanging="567"/>
        <w:rPr>
          <w:sz w:val="22"/>
          <w:szCs w:val="22"/>
        </w:rPr>
      </w:pPr>
      <w:r w:rsidRPr="0000139F">
        <w:rPr>
          <w:sz w:val="22"/>
          <w:szCs w:val="22"/>
        </w:rPr>
        <w:t xml:space="preserve">DEWHA. 2008. </w:t>
      </w:r>
      <w:r>
        <w:rPr>
          <w:sz w:val="22"/>
          <w:szCs w:val="22"/>
        </w:rPr>
        <w:t>EPBC Act Policy Statement 2.1-</w:t>
      </w:r>
      <w:r w:rsidRPr="0000139F">
        <w:rPr>
          <w:sz w:val="22"/>
          <w:szCs w:val="22"/>
        </w:rPr>
        <w:t>Interaction between offshore seismic exploration and whales, Department of Environment, Water, Heritage &amp; the Arts, Canberra.</w:t>
      </w:r>
    </w:p>
    <w:p w14:paraId="358BAB05" w14:textId="77777777" w:rsidR="00CA0853" w:rsidRPr="00E93F43" w:rsidRDefault="00CA0853" w:rsidP="000B3456">
      <w:pPr>
        <w:pStyle w:val="BodyText"/>
        <w:ind w:left="567" w:hanging="567"/>
        <w:rPr>
          <w:sz w:val="22"/>
          <w:szCs w:val="22"/>
        </w:rPr>
      </w:pPr>
      <w:r w:rsidRPr="00E93F43">
        <w:rPr>
          <w:sz w:val="22"/>
          <w:szCs w:val="22"/>
        </w:rPr>
        <w:t>de Soto, N.A. 2016. Peer-reviewed studies on the effects of anthropogenic noise on marine invertebrates: From scallop larvae to giant squid. Advances in Experimental Medicine and Biology 875: 17-26.</w:t>
      </w:r>
    </w:p>
    <w:p w14:paraId="4A2CB7D5" w14:textId="77777777" w:rsidR="00CA0853" w:rsidRPr="00EE7703" w:rsidRDefault="00CA0853" w:rsidP="000B3456">
      <w:pPr>
        <w:pStyle w:val="BodyText"/>
        <w:ind w:left="567" w:hanging="567"/>
        <w:rPr>
          <w:sz w:val="22"/>
          <w:szCs w:val="22"/>
        </w:rPr>
      </w:pPr>
      <w:r w:rsidRPr="00EE7703">
        <w:rPr>
          <w:sz w:val="22"/>
          <w:szCs w:val="22"/>
        </w:rPr>
        <w:t xml:space="preserve">DFO. 2004. Potential impacts of seismic energy on snow crab. DFO </w:t>
      </w:r>
      <w:r w:rsidRPr="004A64D1">
        <w:rPr>
          <w:i/>
          <w:sz w:val="22"/>
          <w:szCs w:val="22"/>
        </w:rPr>
        <w:t>Can. Sci. Advis. Sec</w:t>
      </w:r>
      <w:r w:rsidRPr="00EE7703">
        <w:rPr>
          <w:sz w:val="22"/>
          <w:szCs w:val="22"/>
        </w:rPr>
        <w:t>. Habitat Status Report 2004/003</w:t>
      </w:r>
      <w:r>
        <w:rPr>
          <w:sz w:val="22"/>
          <w:szCs w:val="22"/>
        </w:rPr>
        <w:t>.</w:t>
      </w:r>
    </w:p>
    <w:p w14:paraId="30953820" w14:textId="77777777" w:rsidR="00CA0853" w:rsidRPr="00353A79" w:rsidRDefault="00CA0853" w:rsidP="000B3456">
      <w:pPr>
        <w:pStyle w:val="BodyText"/>
        <w:ind w:left="567" w:hanging="567"/>
        <w:rPr>
          <w:sz w:val="22"/>
          <w:szCs w:val="22"/>
        </w:rPr>
      </w:pPr>
      <w:r w:rsidRPr="00353A79">
        <w:rPr>
          <w:sz w:val="22"/>
          <w:szCs w:val="22"/>
        </w:rPr>
        <w:lastRenderedPageBreak/>
        <w:t>D</w:t>
      </w:r>
      <w:r>
        <w:rPr>
          <w:sz w:val="22"/>
          <w:szCs w:val="22"/>
        </w:rPr>
        <w:t xml:space="preserve">IBP. 2017. </w:t>
      </w:r>
      <w:r w:rsidRPr="00353A79">
        <w:rPr>
          <w:sz w:val="22"/>
          <w:szCs w:val="22"/>
        </w:rPr>
        <w:t xml:space="preserve">Bass Strait Area to be Avoided. A WWW document accessed at </w:t>
      </w:r>
      <w:hyperlink r:id="rId324" w:history="1">
        <w:r w:rsidRPr="00831796">
          <w:rPr>
            <w:sz w:val="22"/>
            <w:szCs w:val="22"/>
          </w:rPr>
          <w:t>https://www.border.gov.au/AustralianBorderForce/Documents/Bass%20Strait%20Area%20to%20be%20Avoided%20Industry%20information%20sheet.pdf</w:t>
        </w:r>
      </w:hyperlink>
      <w:r w:rsidRPr="00831796">
        <w:rPr>
          <w:sz w:val="22"/>
          <w:szCs w:val="22"/>
        </w:rPr>
        <w:t>.</w:t>
      </w:r>
      <w:r w:rsidRPr="00353A79">
        <w:rPr>
          <w:sz w:val="22"/>
          <w:szCs w:val="22"/>
        </w:rPr>
        <w:t xml:space="preserve"> Department of Immigration and Border Protection. </w:t>
      </w:r>
    </w:p>
    <w:p w14:paraId="5BB8A676" w14:textId="77777777" w:rsidR="00236D2C" w:rsidRDefault="00236D2C" w:rsidP="00236D2C">
      <w:pPr>
        <w:pStyle w:val="BodyText"/>
        <w:ind w:left="567" w:hanging="567"/>
        <w:rPr>
          <w:sz w:val="22"/>
          <w:szCs w:val="22"/>
        </w:rPr>
      </w:pPr>
      <w:r w:rsidRPr="007805C1">
        <w:rPr>
          <w:sz w:val="22"/>
          <w:szCs w:val="22"/>
        </w:rPr>
        <w:t>DITR. 2005. Strategic assessment of offshore petroleum exploration and appraisal activities.</w:t>
      </w:r>
      <w:r>
        <w:rPr>
          <w:sz w:val="22"/>
          <w:szCs w:val="22"/>
        </w:rPr>
        <w:t xml:space="preserve"> </w:t>
      </w:r>
      <w:r w:rsidRPr="007805C1">
        <w:rPr>
          <w:sz w:val="22"/>
          <w:szCs w:val="22"/>
        </w:rPr>
        <w:t xml:space="preserve">Department of Industry, Tourism and Resources. Canberra. </w:t>
      </w:r>
    </w:p>
    <w:p w14:paraId="2780A4A7" w14:textId="77777777" w:rsidR="00CA0853" w:rsidRPr="00E93F43" w:rsidRDefault="00CA0853" w:rsidP="000B3456">
      <w:pPr>
        <w:pStyle w:val="BodyText"/>
        <w:ind w:left="567" w:hanging="567"/>
        <w:rPr>
          <w:sz w:val="22"/>
          <w:szCs w:val="22"/>
        </w:rPr>
      </w:pPr>
      <w:r w:rsidRPr="0039672C">
        <w:rPr>
          <w:sz w:val="22"/>
          <w:szCs w:val="22"/>
          <w:lang w:val="en-GB"/>
        </w:rPr>
        <w:t xml:space="preserve">Di Iorio, L. and C.W. Clark. </w:t>
      </w:r>
      <w:r w:rsidRPr="00E93F43">
        <w:rPr>
          <w:sz w:val="22"/>
          <w:szCs w:val="22"/>
        </w:rPr>
        <w:t xml:space="preserve">2010. Exposure to seismic survey alters blue whale acoustic communication. </w:t>
      </w:r>
      <w:r w:rsidRPr="00585CAD">
        <w:rPr>
          <w:i/>
          <w:iCs/>
          <w:sz w:val="22"/>
          <w:szCs w:val="22"/>
        </w:rPr>
        <w:t>Biology Letters</w:t>
      </w:r>
      <w:r w:rsidRPr="00E93F43">
        <w:rPr>
          <w:sz w:val="22"/>
          <w:szCs w:val="22"/>
        </w:rPr>
        <w:t xml:space="preserve"> 6(1): 51-54.</w:t>
      </w:r>
    </w:p>
    <w:p w14:paraId="0D3966CC" w14:textId="77777777" w:rsidR="00CA0853" w:rsidRPr="00845BDA" w:rsidRDefault="00CA0853" w:rsidP="000B3456">
      <w:pPr>
        <w:pStyle w:val="BodyText"/>
        <w:ind w:left="567" w:hanging="567"/>
        <w:rPr>
          <w:sz w:val="22"/>
          <w:szCs w:val="22"/>
        </w:rPr>
      </w:pPr>
      <w:r w:rsidRPr="00845BDA">
        <w:rPr>
          <w:sz w:val="22"/>
          <w:szCs w:val="22"/>
        </w:rPr>
        <w:t xml:space="preserve">DMAC. 2011. Safe Diving Distance from Seismic Surveying Operations. The Diving Medical Advisory Committee. London. </w:t>
      </w:r>
    </w:p>
    <w:p w14:paraId="6E296890" w14:textId="77777777" w:rsidR="00CA0853" w:rsidRDefault="00CA0853" w:rsidP="000B3456">
      <w:pPr>
        <w:pStyle w:val="BodyText"/>
        <w:ind w:left="567" w:hanging="567"/>
        <w:rPr>
          <w:sz w:val="22"/>
          <w:szCs w:val="22"/>
        </w:rPr>
      </w:pPr>
      <w:r>
        <w:rPr>
          <w:sz w:val="22"/>
          <w:szCs w:val="22"/>
        </w:rPr>
        <w:t xml:space="preserve">DNP. 2013. South-east Commonwealth Marine Reserves Network Management Plan 2013-23. Director of National Parks. Canberra. </w:t>
      </w:r>
    </w:p>
    <w:p w14:paraId="459D4EF4" w14:textId="77777777" w:rsidR="00CA0853" w:rsidRDefault="00CA0853" w:rsidP="000B3456">
      <w:pPr>
        <w:pStyle w:val="BodyText"/>
        <w:ind w:left="567" w:hanging="567"/>
        <w:rPr>
          <w:sz w:val="22"/>
          <w:szCs w:val="22"/>
        </w:rPr>
      </w:pPr>
      <w:r>
        <w:rPr>
          <w:sz w:val="22"/>
          <w:szCs w:val="22"/>
        </w:rPr>
        <w:t xml:space="preserve">DNRE. 1996. Croajingolong National Park Management Plan. A WWW document accessed at </w:t>
      </w:r>
      <w:r w:rsidRPr="00A93963">
        <w:rPr>
          <w:sz w:val="22"/>
          <w:szCs w:val="22"/>
        </w:rPr>
        <w:t>http://parkweb.vic.gov.au/__data/assets/pdf_file/0018/</w:t>
      </w:r>
      <w:r>
        <w:rPr>
          <w:sz w:val="22"/>
          <w:szCs w:val="22"/>
        </w:rPr>
        <w:br/>
      </w:r>
      <w:r w:rsidRPr="00A93963">
        <w:rPr>
          <w:sz w:val="22"/>
          <w:szCs w:val="22"/>
        </w:rPr>
        <w:t>313263/Croajingolong-National-Park-Plan-.pdf</w:t>
      </w:r>
      <w:r>
        <w:rPr>
          <w:sz w:val="22"/>
          <w:szCs w:val="22"/>
        </w:rPr>
        <w:t xml:space="preserve">. Department of Natural Resources and Environment. East Melbourne. </w:t>
      </w:r>
    </w:p>
    <w:p w14:paraId="3EEABD2F" w14:textId="77777777" w:rsidR="00CA0853" w:rsidRPr="00691544" w:rsidRDefault="00CA0853" w:rsidP="000B3456">
      <w:pPr>
        <w:pStyle w:val="BodyText"/>
        <w:ind w:left="567" w:hanging="567"/>
        <w:rPr>
          <w:sz w:val="22"/>
          <w:szCs w:val="22"/>
        </w:rPr>
      </w:pPr>
      <w:r>
        <w:rPr>
          <w:sz w:val="22"/>
          <w:szCs w:val="22"/>
        </w:rPr>
        <w:t>D</w:t>
      </w:r>
      <w:r w:rsidRPr="00691544">
        <w:rPr>
          <w:sz w:val="22"/>
          <w:szCs w:val="22"/>
        </w:rPr>
        <w:t xml:space="preserve">NV. 2007. Effects of seismic surveys on fish, fish catches and sea mammals, Report 2007-0512, Cooperation Group – Fishing Industry and Petroleum Industry. </w:t>
      </w:r>
    </w:p>
    <w:p w14:paraId="1AEB4943" w14:textId="77777777" w:rsidR="00CA0853" w:rsidRPr="0062708E" w:rsidRDefault="00CA0853" w:rsidP="000B3456">
      <w:pPr>
        <w:pStyle w:val="BodyText"/>
        <w:ind w:left="567" w:hanging="567"/>
        <w:rPr>
          <w:sz w:val="22"/>
          <w:szCs w:val="22"/>
        </w:rPr>
      </w:pPr>
      <w:r>
        <w:rPr>
          <w:sz w:val="22"/>
          <w:szCs w:val="22"/>
        </w:rPr>
        <w:t xml:space="preserve">DoE. 2013. </w:t>
      </w:r>
      <w:r w:rsidRPr="0062708E">
        <w:rPr>
          <w:sz w:val="22"/>
          <w:szCs w:val="22"/>
        </w:rPr>
        <w:t>EPBC Act Policy Statement 1.1 – Significant Impact Guidelines – Matters of National</w:t>
      </w:r>
      <w:r>
        <w:rPr>
          <w:sz w:val="22"/>
          <w:szCs w:val="22"/>
        </w:rPr>
        <w:t xml:space="preserve"> Environmental Significance. A WWW document downloaded from </w:t>
      </w:r>
      <w:hyperlink r:id="rId325" w:history="1">
        <w:r w:rsidRPr="00983C4E">
          <w:rPr>
            <w:sz w:val="22"/>
            <w:szCs w:val="22"/>
          </w:rPr>
          <w:t>http://www.environment.gov.au/epbc/publications/significant-impact-guidelines-11-matters-national-environmental-significance</w:t>
        </w:r>
      </w:hyperlink>
      <w:r w:rsidRPr="00983C4E">
        <w:rPr>
          <w:sz w:val="22"/>
          <w:szCs w:val="22"/>
        </w:rPr>
        <w:t>.</w:t>
      </w:r>
      <w:r>
        <w:rPr>
          <w:sz w:val="22"/>
          <w:szCs w:val="22"/>
        </w:rPr>
        <w:t xml:space="preserve"> Department of the Environment. Canberra. </w:t>
      </w:r>
    </w:p>
    <w:p w14:paraId="4F664D15" w14:textId="77777777" w:rsidR="00CA0853" w:rsidRPr="001B25D7" w:rsidRDefault="00CA0853" w:rsidP="000B3456">
      <w:pPr>
        <w:pStyle w:val="BodyText"/>
        <w:ind w:left="567" w:hanging="567"/>
        <w:rPr>
          <w:sz w:val="22"/>
          <w:szCs w:val="22"/>
        </w:rPr>
      </w:pPr>
      <w:r w:rsidRPr="001B25D7">
        <w:rPr>
          <w:sz w:val="22"/>
          <w:szCs w:val="22"/>
        </w:rPr>
        <w:t xml:space="preserve">DoE. 2014. Conservation Advice – </w:t>
      </w:r>
      <w:r w:rsidRPr="001B25D7">
        <w:rPr>
          <w:i/>
          <w:sz w:val="22"/>
          <w:szCs w:val="22"/>
        </w:rPr>
        <w:t>Thinornis rubricollis rubricollis</w:t>
      </w:r>
      <w:r w:rsidRPr="001B25D7">
        <w:rPr>
          <w:sz w:val="22"/>
          <w:szCs w:val="22"/>
        </w:rPr>
        <w:t xml:space="preserve"> (hooded plover, eastern). Department of the Environment. </w:t>
      </w:r>
    </w:p>
    <w:p w14:paraId="22A7EBE2" w14:textId="77777777" w:rsidR="00CA0853" w:rsidRPr="001B25D7" w:rsidRDefault="00CA0853" w:rsidP="000B3456">
      <w:pPr>
        <w:pStyle w:val="BodyText"/>
        <w:ind w:left="567" w:hanging="567"/>
        <w:rPr>
          <w:sz w:val="22"/>
          <w:szCs w:val="22"/>
        </w:rPr>
      </w:pPr>
      <w:r w:rsidRPr="001B25D7">
        <w:rPr>
          <w:sz w:val="22"/>
          <w:szCs w:val="22"/>
        </w:rPr>
        <w:t>DoE. 2014. Recovery Plan for</w:t>
      </w:r>
      <w:r>
        <w:rPr>
          <w:sz w:val="22"/>
          <w:szCs w:val="22"/>
        </w:rPr>
        <w:t xml:space="preserve"> </w:t>
      </w:r>
      <w:r w:rsidRPr="001B25D7">
        <w:rPr>
          <w:sz w:val="22"/>
          <w:szCs w:val="22"/>
        </w:rPr>
        <w:t>the Grey Nurse Shark (</w:t>
      </w:r>
      <w:r w:rsidRPr="001B25D7">
        <w:rPr>
          <w:i/>
          <w:sz w:val="22"/>
          <w:szCs w:val="22"/>
        </w:rPr>
        <w:t>Carcharias taurus</w:t>
      </w:r>
      <w:r w:rsidRPr="001B25D7">
        <w:rPr>
          <w:sz w:val="22"/>
          <w:szCs w:val="22"/>
        </w:rPr>
        <w:t xml:space="preserve">). Department of the Environment. Canberra.  </w:t>
      </w:r>
    </w:p>
    <w:p w14:paraId="1F10FAFF" w14:textId="77777777" w:rsidR="00CA0853" w:rsidRPr="00A36DEE" w:rsidRDefault="00CA0853" w:rsidP="000B3456">
      <w:pPr>
        <w:pStyle w:val="BodyText"/>
        <w:ind w:left="567" w:hanging="567"/>
        <w:rPr>
          <w:sz w:val="22"/>
          <w:szCs w:val="22"/>
        </w:rPr>
      </w:pPr>
      <w:r w:rsidRPr="00A36DEE">
        <w:rPr>
          <w:sz w:val="22"/>
          <w:szCs w:val="22"/>
        </w:rPr>
        <w:t xml:space="preserve">DoE. 2015a. South-east Marine Regional Profile. A WWW document accessed at http://www.environment.gov.au/system/files/resources/7a110303-f9c7-44e4-b337-00cb2e4b9fbf/files/south-east-marine-region-profile.pdf. Department of the Environment. Canberra. </w:t>
      </w:r>
    </w:p>
    <w:p w14:paraId="6979BD75" w14:textId="77777777" w:rsidR="00CA0853" w:rsidRPr="00A36DEE" w:rsidRDefault="00CA0853" w:rsidP="000B3456">
      <w:pPr>
        <w:pStyle w:val="BodyText"/>
        <w:ind w:left="567" w:hanging="567"/>
        <w:rPr>
          <w:sz w:val="22"/>
          <w:szCs w:val="22"/>
        </w:rPr>
      </w:pPr>
      <w:r w:rsidRPr="00A36DEE">
        <w:rPr>
          <w:sz w:val="22"/>
          <w:szCs w:val="22"/>
        </w:rPr>
        <w:t xml:space="preserve">DoE. 2015b. Conservation Management Plan for the Blue Whale. A Recovery Plan under the Environment Protection and Biodiversity Conservation Act 1999. Department of the Environment. Canberra. </w:t>
      </w:r>
    </w:p>
    <w:p w14:paraId="7E6633E0" w14:textId="77777777" w:rsidR="00CA0853" w:rsidRPr="00584F3A" w:rsidRDefault="00CA0853" w:rsidP="000B3456">
      <w:pPr>
        <w:pStyle w:val="BodyText"/>
        <w:ind w:left="567" w:hanging="567"/>
        <w:rPr>
          <w:sz w:val="22"/>
          <w:szCs w:val="22"/>
        </w:rPr>
      </w:pPr>
      <w:r w:rsidRPr="00584F3A">
        <w:rPr>
          <w:sz w:val="22"/>
          <w:szCs w:val="22"/>
        </w:rPr>
        <w:t>DoEE, 201</w:t>
      </w:r>
      <w:r>
        <w:rPr>
          <w:sz w:val="22"/>
          <w:szCs w:val="22"/>
        </w:rPr>
        <w:t>6</w:t>
      </w:r>
      <w:r w:rsidRPr="00584F3A">
        <w:rPr>
          <w:sz w:val="22"/>
          <w:szCs w:val="22"/>
        </w:rPr>
        <w:t xml:space="preserve">. EPBC </w:t>
      </w:r>
      <w:r>
        <w:rPr>
          <w:sz w:val="22"/>
          <w:szCs w:val="22"/>
        </w:rPr>
        <w:t>Act Protected Matters S</w:t>
      </w:r>
      <w:r w:rsidRPr="00584F3A">
        <w:rPr>
          <w:sz w:val="22"/>
          <w:szCs w:val="22"/>
        </w:rPr>
        <w:t xml:space="preserve">earch </w:t>
      </w:r>
      <w:r>
        <w:rPr>
          <w:sz w:val="22"/>
          <w:szCs w:val="22"/>
        </w:rPr>
        <w:t>T</w:t>
      </w:r>
      <w:r w:rsidRPr="00584F3A">
        <w:rPr>
          <w:sz w:val="22"/>
          <w:szCs w:val="22"/>
        </w:rPr>
        <w:t xml:space="preserve">ool. </w:t>
      </w:r>
      <w:r>
        <w:rPr>
          <w:sz w:val="22"/>
          <w:szCs w:val="22"/>
        </w:rPr>
        <w:t xml:space="preserve">A WWW database accessed in 2016 at </w:t>
      </w:r>
      <w:r w:rsidRPr="000904F5">
        <w:rPr>
          <w:sz w:val="22"/>
          <w:szCs w:val="22"/>
        </w:rPr>
        <w:t>http://www.environment.gov.au/epbc/pmst/. Department</w:t>
      </w:r>
      <w:r w:rsidRPr="00584F3A">
        <w:rPr>
          <w:sz w:val="22"/>
          <w:szCs w:val="22"/>
        </w:rPr>
        <w:t xml:space="preserve"> of the Environment and Energy. Canberra.</w:t>
      </w:r>
    </w:p>
    <w:p w14:paraId="31E11AAD" w14:textId="77777777" w:rsidR="00CA0853" w:rsidRPr="00F824AB" w:rsidRDefault="00CA0853" w:rsidP="000B3456">
      <w:pPr>
        <w:pStyle w:val="BodyText"/>
        <w:ind w:left="567" w:hanging="567"/>
        <w:rPr>
          <w:sz w:val="22"/>
          <w:szCs w:val="22"/>
        </w:rPr>
      </w:pPr>
      <w:r w:rsidRPr="00584F3A">
        <w:rPr>
          <w:sz w:val="22"/>
          <w:szCs w:val="22"/>
        </w:rPr>
        <w:t>DoEE. 2017</w:t>
      </w:r>
      <w:r>
        <w:rPr>
          <w:sz w:val="22"/>
          <w:szCs w:val="22"/>
        </w:rPr>
        <w:t>a</w:t>
      </w:r>
      <w:r w:rsidRPr="00584F3A">
        <w:rPr>
          <w:sz w:val="22"/>
          <w:szCs w:val="22"/>
        </w:rPr>
        <w:t>. National Conservation Values Atlas. Department of the Environment and Energy. Canberra.</w:t>
      </w:r>
    </w:p>
    <w:p w14:paraId="23C933E5" w14:textId="77777777" w:rsidR="00CA0853" w:rsidRPr="00F824AB" w:rsidRDefault="00CA0853" w:rsidP="000B3456">
      <w:pPr>
        <w:pStyle w:val="BodyText"/>
        <w:ind w:left="567" w:hanging="567"/>
        <w:rPr>
          <w:sz w:val="22"/>
          <w:szCs w:val="22"/>
        </w:rPr>
      </w:pPr>
      <w:r w:rsidRPr="00F824AB">
        <w:rPr>
          <w:sz w:val="22"/>
          <w:szCs w:val="22"/>
        </w:rPr>
        <w:t>DoEE. 2017</w:t>
      </w:r>
      <w:r>
        <w:rPr>
          <w:sz w:val="22"/>
          <w:szCs w:val="22"/>
        </w:rPr>
        <w:t>b</w:t>
      </w:r>
      <w:r w:rsidRPr="00F824AB">
        <w:rPr>
          <w:sz w:val="22"/>
          <w:szCs w:val="22"/>
        </w:rPr>
        <w:t>. Australia’s World Heritage List. A WWW database accessed at http://www.environment.gov.au/heritage/places/world-heritage-list. Department of the Environment and Energy. Canberra.</w:t>
      </w:r>
    </w:p>
    <w:p w14:paraId="78D891E2" w14:textId="77777777" w:rsidR="00CA0853" w:rsidRPr="00F824AB" w:rsidRDefault="00CA0853" w:rsidP="000B3456">
      <w:pPr>
        <w:pStyle w:val="BodyText"/>
        <w:ind w:left="567" w:hanging="567"/>
        <w:rPr>
          <w:sz w:val="22"/>
          <w:szCs w:val="22"/>
        </w:rPr>
      </w:pPr>
      <w:r w:rsidRPr="00F824AB">
        <w:rPr>
          <w:sz w:val="22"/>
          <w:szCs w:val="22"/>
        </w:rPr>
        <w:t>DoEE. 2017</w:t>
      </w:r>
      <w:r>
        <w:rPr>
          <w:sz w:val="22"/>
          <w:szCs w:val="22"/>
        </w:rPr>
        <w:t>c</w:t>
      </w:r>
      <w:r w:rsidRPr="00F824AB">
        <w:rPr>
          <w:sz w:val="22"/>
          <w:szCs w:val="22"/>
        </w:rPr>
        <w:t xml:space="preserve">. Australia’s National Heritage List. A WWW database accessed at http://www.environment.gov.au/heritage/places/national-heritage-list. Department of the Environment and Energy. Canberra.  </w:t>
      </w:r>
    </w:p>
    <w:p w14:paraId="27618610" w14:textId="77777777" w:rsidR="00CA0853" w:rsidRDefault="00CA0853" w:rsidP="000B3456">
      <w:pPr>
        <w:pStyle w:val="BodyText"/>
        <w:ind w:left="567" w:hanging="567"/>
        <w:rPr>
          <w:sz w:val="22"/>
          <w:szCs w:val="22"/>
        </w:rPr>
      </w:pPr>
      <w:r w:rsidRPr="00F824AB">
        <w:rPr>
          <w:sz w:val="22"/>
          <w:szCs w:val="22"/>
        </w:rPr>
        <w:lastRenderedPageBreak/>
        <w:t>DoEE. 2017</w:t>
      </w:r>
      <w:r>
        <w:rPr>
          <w:sz w:val="22"/>
          <w:szCs w:val="22"/>
        </w:rPr>
        <w:t>d</w:t>
      </w:r>
      <w:r w:rsidRPr="00F824AB">
        <w:rPr>
          <w:sz w:val="22"/>
          <w:szCs w:val="22"/>
        </w:rPr>
        <w:t>. Australian Ramsar Wetlands. A WWW database accessed at http://www.environment.gov.au/cgi-bin/wetlands/alphablist.pl. Department of the Environment and Energy. Canberra.</w:t>
      </w:r>
    </w:p>
    <w:p w14:paraId="6360CA22" w14:textId="77777777" w:rsidR="00CA0853" w:rsidRDefault="00CA0853" w:rsidP="000B3456">
      <w:pPr>
        <w:pStyle w:val="BodyText"/>
        <w:ind w:left="567" w:hanging="567"/>
        <w:rPr>
          <w:sz w:val="22"/>
          <w:szCs w:val="22"/>
        </w:rPr>
      </w:pPr>
      <w:r w:rsidRPr="00F824AB">
        <w:rPr>
          <w:sz w:val="22"/>
          <w:szCs w:val="22"/>
        </w:rPr>
        <w:t>Do</w:t>
      </w:r>
      <w:r>
        <w:rPr>
          <w:sz w:val="22"/>
          <w:szCs w:val="22"/>
        </w:rPr>
        <w:t>E</w:t>
      </w:r>
      <w:r w:rsidRPr="00F824AB">
        <w:rPr>
          <w:sz w:val="22"/>
          <w:szCs w:val="22"/>
        </w:rPr>
        <w:t>E. 2017</w:t>
      </w:r>
      <w:r>
        <w:rPr>
          <w:sz w:val="22"/>
          <w:szCs w:val="22"/>
        </w:rPr>
        <w:t>e</w:t>
      </w:r>
      <w:r w:rsidRPr="00F824AB">
        <w:rPr>
          <w:sz w:val="22"/>
          <w:szCs w:val="22"/>
        </w:rPr>
        <w:t xml:space="preserve">. Australia’s Commonwealth Heritage List. A WWW database accessed at </w:t>
      </w:r>
      <w:hyperlink r:id="rId326" w:history="1">
        <w:r w:rsidRPr="00F824AB">
          <w:rPr>
            <w:sz w:val="22"/>
            <w:szCs w:val="22"/>
          </w:rPr>
          <w:t>http://www.environment.gov.au/topics/heritage/heritage-places/</w:t>
        </w:r>
        <w:r w:rsidRPr="00F824AB">
          <w:rPr>
            <w:sz w:val="22"/>
            <w:szCs w:val="22"/>
          </w:rPr>
          <w:br/>
          <w:t>commonwealth-heritage-list</w:t>
        </w:r>
      </w:hyperlink>
      <w:r w:rsidRPr="00F824AB">
        <w:rPr>
          <w:sz w:val="22"/>
          <w:szCs w:val="22"/>
        </w:rPr>
        <w:t xml:space="preserve">. Department of the Environment. Canberra.  </w:t>
      </w:r>
    </w:p>
    <w:p w14:paraId="13376EA5" w14:textId="77777777" w:rsidR="00CA0853" w:rsidRPr="00F824AB" w:rsidRDefault="00CA0853" w:rsidP="000B3456">
      <w:pPr>
        <w:pStyle w:val="BodyText"/>
        <w:ind w:left="567" w:hanging="567"/>
        <w:rPr>
          <w:sz w:val="22"/>
          <w:szCs w:val="22"/>
        </w:rPr>
      </w:pPr>
      <w:r w:rsidRPr="00F824AB">
        <w:rPr>
          <w:sz w:val="22"/>
          <w:szCs w:val="22"/>
        </w:rPr>
        <w:t>DoEE. 2017</w:t>
      </w:r>
      <w:r>
        <w:rPr>
          <w:sz w:val="22"/>
          <w:szCs w:val="22"/>
        </w:rPr>
        <w:t>f</w:t>
      </w:r>
      <w:r w:rsidRPr="00F824AB">
        <w:rPr>
          <w:sz w:val="22"/>
          <w:szCs w:val="22"/>
        </w:rPr>
        <w:t xml:space="preserve">. Key Ecological Features. A WWW database accessed at </w:t>
      </w:r>
      <w:hyperlink r:id="rId327" w:history="1">
        <w:r w:rsidRPr="00F824AB">
          <w:rPr>
            <w:sz w:val="22"/>
            <w:szCs w:val="22"/>
          </w:rPr>
          <w:t>https://www.environment.gov.au/sprat-public/action/kef/search</w:t>
        </w:r>
      </w:hyperlink>
      <w:r w:rsidRPr="00F824AB">
        <w:rPr>
          <w:sz w:val="22"/>
          <w:szCs w:val="22"/>
        </w:rPr>
        <w:t xml:space="preserve">. Department of the Environment and Energy. Canberra. </w:t>
      </w:r>
    </w:p>
    <w:p w14:paraId="509C5FD2" w14:textId="77777777" w:rsidR="00CA0853" w:rsidRDefault="00CA0853" w:rsidP="000B3456">
      <w:pPr>
        <w:pStyle w:val="BodyText"/>
        <w:ind w:left="567" w:hanging="567"/>
        <w:rPr>
          <w:sz w:val="22"/>
          <w:szCs w:val="22"/>
        </w:rPr>
      </w:pPr>
      <w:r w:rsidRPr="00DE786E">
        <w:rPr>
          <w:sz w:val="22"/>
          <w:szCs w:val="22"/>
        </w:rPr>
        <w:t>DoEE. 2017g. Nationally Important Wetlands. A</w:t>
      </w:r>
      <w:r>
        <w:rPr>
          <w:sz w:val="22"/>
          <w:szCs w:val="22"/>
        </w:rPr>
        <w:t xml:space="preserve"> WWW database accessed at </w:t>
      </w:r>
      <w:r w:rsidRPr="00DE786E">
        <w:rPr>
          <w:sz w:val="22"/>
          <w:szCs w:val="22"/>
        </w:rPr>
        <w:t>http://www.environment.gov.au/cgi-bin/wetlands/search.pl?smode=DOIW</w:t>
      </w:r>
      <w:r>
        <w:rPr>
          <w:sz w:val="22"/>
          <w:szCs w:val="22"/>
        </w:rPr>
        <w:t xml:space="preserve">. </w:t>
      </w:r>
      <w:r w:rsidRPr="00F824AB">
        <w:rPr>
          <w:sz w:val="22"/>
          <w:szCs w:val="22"/>
        </w:rPr>
        <w:t>Department of the Environment and Energy. Canberra</w:t>
      </w:r>
    </w:p>
    <w:p w14:paraId="1A14D7C1" w14:textId="77777777" w:rsidR="00CA0853" w:rsidRPr="00F824AB" w:rsidRDefault="00CA0853" w:rsidP="000B3456">
      <w:pPr>
        <w:pStyle w:val="BodyText"/>
        <w:ind w:left="567" w:hanging="567"/>
        <w:rPr>
          <w:sz w:val="22"/>
          <w:szCs w:val="22"/>
        </w:rPr>
      </w:pPr>
      <w:r>
        <w:rPr>
          <w:sz w:val="22"/>
          <w:szCs w:val="22"/>
        </w:rPr>
        <w:t>DoEE.</w:t>
      </w:r>
      <w:r w:rsidRPr="00F824AB">
        <w:rPr>
          <w:sz w:val="22"/>
          <w:szCs w:val="22"/>
        </w:rPr>
        <w:t xml:space="preserve"> 2017</w:t>
      </w:r>
      <w:r>
        <w:rPr>
          <w:sz w:val="22"/>
          <w:szCs w:val="22"/>
        </w:rPr>
        <w:t>h</w:t>
      </w:r>
      <w:r w:rsidRPr="00F824AB">
        <w:rPr>
          <w:sz w:val="22"/>
          <w:szCs w:val="22"/>
        </w:rPr>
        <w:t xml:space="preserve">. Biologically Important Areas. A WWW database accessed at </w:t>
      </w:r>
      <w:hyperlink r:id="rId328" w:history="1">
        <w:r w:rsidRPr="00F56CF3">
          <w:rPr>
            <w:sz w:val="22"/>
            <w:szCs w:val="22"/>
          </w:rPr>
          <w:t>http://www.environment.gov.au/marine/marine-species/bias</w:t>
        </w:r>
      </w:hyperlink>
      <w:r w:rsidRPr="00F56CF3">
        <w:rPr>
          <w:sz w:val="22"/>
          <w:szCs w:val="22"/>
        </w:rPr>
        <w:t>.</w:t>
      </w:r>
      <w:r w:rsidRPr="00F824AB">
        <w:rPr>
          <w:sz w:val="22"/>
          <w:szCs w:val="22"/>
        </w:rPr>
        <w:t xml:space="preserve"> Department of the Environment and Energy. Canberra.</w:t>
      </w:r>
    </w:p>
    <w:p w14:paraId="2CA5C023" w14:textId="77777777" w:rsidR="00CA0853" w:rsidRPr="00EF6863" w:rsidRDefault="00CA0853" w:rsidP="000B3456">
      <w:pPr>
        <w:pStyle w:val="BodyText"/>
        <w:ind w:left="567" w:hanging="567"/>
        <w:rPr>
          <w:sz w:val="22"/>
          <w:szCs w:val="22"/>
        </w:rPr>
      </w:pPr>
      <w:r w:rsidRPr="001031BB">
        <w:rPr>
          <w:sz w:val="22"/>
          <w:szCs w:val="22"/>
        </w:rPr>
        <w:t>DoEE. 2017</w:t>
      </w:r>
      <w:r>
        <w:rPr>
          <w:sz w:val="22"/>
          <w:szCs w:val="22"/>
        </w:rPr>
        <w:t>i</w:t>
      </w:r>
      <w:r w:rsidRPr="001031BB">
        <w:rPr>
          <w:sz w:val="22"/>
          <w:szCs w:val="22"/>
        </w:rPr>
        <w:t xml:space="preserve">. Species Profile and Threats Database. A WWW database accessed at </w:t>
      </w:r>
      <w:hyperlink r:id="rId329" w:history="1">
        <w:r w:rsidRPr="00EF6863">
          <w:rPr>
            <w:sz w:val="22"/>
            <w:szCs w:val="22"/>
          </w:rPr>
          <w:t>http://www.environment.gov.au/cgi-bin/sprat/public/sprat.pl</w:t>
        </w:r>
      </w:hyperlink>
      <w:r w:rsidRPr="00EF6863">
        <w:rPr>
          <w:sz w:val="22"/>
          <w:szCs w:val="22"/>
        </w:rPr>
        <w:t>. Department of the Environment and Energy. Canberra.</w:t>
      </w:r>
    </w:p>
    <w:p w14:paraId="6DC8BAF4" w14:textId="77777777" w:rsidR="00CA0853" w:rsidRPr="00EF6863" w:rsidRDefault="00CA0853" w:rsidP="000B3456">
      <w:pPr>
        <w:pStyle w:val="BodyText"/>
        <w:ind w:left="567" w:hanging="567"/>
        <w:rPr>
          <w:sz w:val="22"/>
          <w:szCs w:val="22"/>
        </w:rPr>
      </w:pPr>
      <w:r w:rsidRPr="00EF6863">
        <w:rPr>
          <w:sz w:val="22"/>
          <w:szCs w:val="22"/>
        </w:rPr>
        <w:t>DoEE. 2017j. Australian National Shipwreck Database. A WWW database accessed in July 2016 at https://dmzapp17p.ris.environment.gov.au/shipwreck/public/wreck/search.do;</w:t>
      </w:r>
      <w:r w:rsidRPr="00EF6863">
        <w:rPr>
          <w:sz w:val="22"/>
          <w:szCs w:val="22"/>
        </w:rPr>
        <w:br/>
        <w:t xml:space="preserve">jsessionid=624517E77FC8FA606AA179083E0882B1. Department of the Environment and Energy. Canberra.  </w:t>
      </w:r>
    </w:p>
    <w:p w14:paraId="48B92457" w14:textId="77777777" w:rsidR="00CA0853" w:rsidRDefault="00CA0853" w:rsidP="000B3456">
      <w:pPr>
        <w:pStyle w:val="BodyText"/>
        <w:ind w:left="567" w:hanging="567"/>
        <w:rPr>
          <w:sz w:val="22"/>
          <w:szCs w:val="22"/>
        </w:rPr>
      </w:pPr>
      <w:r w:rsidRPr="00EF6863">
        <w:rPr>
          <w:sz w:val="22"/>
          <w:szCs w:val="22"/>
        </w:rPr>
        <w:t xml:space="preserve">DoEE. 2017k. Recovery Plan for Marine Turtles in Australia. A WWW database accessed at </w:t>
      </w:r>
      <w:hyperlink r:id="rId330" w:history="1">
        <w:r w:rsidRPr="00EF6863">
          <w:rPr>
            <w:sz w:val="22"/>
            <w:szCs w:val="22"/>
          </w:rPr>
          <w:t>http://www.environment.gov.au/marine/publications/recovery-plan-marine-turtles-australia-2017</w:t>
        </w:r>
      </w:hyperlink>
      <w:r w:rsidRPr="00EF6863">
        <w:rPr>
          <w:sz w:val="22"/>
          <w:szCs w:val="22"/>
        </w:rPr>
        <w:t>.</w:t>
      </w:r>
      <w:r w:rsidRPr="001031BB">
        <w:rPr>
          <w:sz w:val="22"/>
          <w:szCs w:val="22"/>
        </w:rPr>
        <w:t xml:space="preserve"> </w:t>
      </w:r>
      <w:r w:rsidRPr="00F824AB">
        <w:rPr>
          <w:sz w:val="22"/>
          <w:szCs w:val="22"/>
        </w:rPr>
        <w:t>Department of the Environment and Energy. Canberra.</w:t>
      </w:r>
    </w:p>
    <w:p w14:paraId="01B407A2" w14:textId="77777777" w:rsidR="00CA0853" w:rsidRDefault="00CA0853" w:rsidP="000B3456">
      <w:pPr>
        <w:pStyle w:val="BodyText"/>
        <w:ind w:left="567" w:hanging="567"/>
        <w:rPr>
          <w:sz w:val="22"/>
          <w:szCs w:val="22"/>
        </w:rPr>
      </w:pPr>
      <w:r w:rsidRPr="00EE7703">
        <w:rPr>
          <w:sz w:val="22"/>
          <w:szCs w:val="22"/>
        </w:rPr>
        <w:t>Doodie, H. 2003. Personal communication. Dedicated marine mammal observation team member – 2002 Bass Strait seismic surveys. Heath Doodie, Environmental Consultant, NSR Environmental Consultants Pty Ltd.</w:t>
      </w:r>
    </w:p>
    <w:p w14:paraId="7E77DA22" w14:textId="77777777" w:rsidR="00100DB8" w:rsidRDefault="00100DB8" w:rsidP="00100DB8">
      <w:pPr>
        <w:pStyle w:val="BodyText"/>
        <w:ind w:left="567" w:hanging="567"/>
        <w:rPr>
          <w:sz w:val="22"/>
          <w:szCs w:val="22"/>
        </w:rPr>
      </w:pPr>
      <w:r>
        <w:rPr>
          <w:sz w:val="22"/>
          <w:szCs w:val="22"/>
        </w:rPr>
        <w:t xml:space="preserve">DPI. 2016. Fisheries Victoria Commercial Fish Production Information Bulletin 2016. Fisheries Victoria. Queenscliff. </w:t>
      </w:r>
    </w:p>
    <w:p w14:paraId="1A3473FF" w14:textId="6F6DCB35" w:rsidR="00D97349" w:rsidRDefault="00D97349" w:rsidP="000B3456">
      <w:pPr>
        <w:pStyle w:val="BodyText"/>
        <w:ind w:left="567" w:hanging="567"/>
        <w:rPr>
          <w:sz w:val="22"/>
          <w:szCs w:val="22"/>
        </w:rPr>
      </w:pPr>
      <w:r>
        <w:rPr>
          <w:sz w:val="22"/>
          <w:szCs w:val="22"/>
        </w:rPr>
        <w:t>DPI. 2005. Statement of Management Arrangements for the Victorian Commercial Scallop (</w:t>
      </w:r>
      <w:r w:rsidRPr="00891DE1">
        <w:rPr>
          <w:i/>
          <w:sz w:val="22"/>
          <w:szCs w:val="22"/>
        </w:rPr>
        <w:t>Pecten fumatus</w:t>
      </w:r>
      <w:r>
        <w:rPr>
          <w:sz w:val="22"/>
          <w:szCs w:val="22"/>
        </w:rPr>
        <w:t xml:space="preserve">) Fishery. Victorian Department of Primary Industries. Melbourne. </w:t>
      </w:r>
    </w:p>
    <w:p w14:paraId="72958626" w14:textId="77777777" w:rsidR="00CA0853" w:rsidRDefault="00CA0853" w:rsidP="000B3456">
      <w:pPr>
        <w:pStyle w:val="BodyText"/>
        <w:ind w:left="567" w:hanging="567"/>
        <w:rPr>
          <w:sz w:val="22"/>
          <w:szCs w:val="22"/>
        </w:rPr>
      </w:pPr>
      <w:r>
        <w:rPr>
          <w:sz w:val="22"/>
          <w:szCs w:val="22"/>
        </w:rPr>
        <w:t xml:space="preserve">DRI. 2016. Burrunan Dolphins. A WWW database accessed at </w:t>
      </w:r>
      <w:r w:rsidRPr="00A3325E">
        <w:rPr>
          <w:sz w:val="22"/>
          <w:szCs w:val="22"/>
        </w:rPr>
        <w:t>http://www.dolphinresearch.org.au/burrunan-dolphins/</w:t>
      </w:r>
      <w:r>
        <w:rPr>
          <w:sz w:val="22"/>
          <w:szCs w:val="22"/>
        </w:rPr>
        <w:t xml:space="preserve">. Dolphin Research Institute. Hastings, Victoria. </w:t>
      </w:r>
    </w:p>
    <w:p w14:paraId="6D4857C4" w14:textId="77777777" w:rsidR="00CA0853" w:rsidRPr="005336B3" w:rsidRDefault="00CA0853" w:rsidP="000B3456">
      <w:pPr>
        <w:pStyle w:val="BodyText"/>
        <w:ind w:left="567" w:hanging="567"/>
        <w:rPr>
          <w:sz w:val="22"/>
          <w:szCs w:val="22"/>
        </w:rPr>
      </w:pPr>
      <w:r w:rsidRPr="0039672C">
        <w:rPr>
          <w:sz w:val="22"/>
          <w:szCs w:val="22"/>
          <w:lang w:val="en-GB"/>
        </w:rPr>
        <w:t xml:space="preserve">DSE. 2008. Victorian Desalination Project Environment Effects Statement. </w:t>
      </w:r>
      <w:r w:rsidRPr="00A948DC">
        <w:rPr>
          <w:sz w:val="22"/>
          <w:szCs w:val="22"/>
        </w:rPr>
        <w:t xml:space="preserve">Environmental Effects of Marine Structures. Volume 2.  Department of Sustainability and Environment. Melbourne. </w:t>
      </w:r>
    </w:p>
    <w:p w14:paraId="0B5BE3A1" w14:textId="77777777" w:rsidR="00CA0853" w:rsidRDefault="00CA0853" w:rsidP="000B3456">
      <w:pPr>
        <w:pStyle w:val="BodyText"/>
        <w:ind w:left="567" w:hanging="567"/>
        <w:rPr>
          <w:sz w:val="22"/>
          <w:szCs w:val="22"/>
        </w:rPr>
      </w:pPr>
      <w:r w:rsidRPr="0017576C">
        <w:rPr>
          <w:sz w:val="22"/>
          <w:szCs w:val="22"/>
        </w:rPr>
        <w:t>DSEWPC</w:t>
      </w:r>
      <w:r>
        <w:rPr>
          <w:sz w:val="22"/>
          <w:szCs w:val="22"/>
        </w:rPr>
        <w:t xml:space="preserve">. </w:t>
      </w:r>
      <w:r w:rsidRPr="0017576C">
        <w:rPr>
          <w:sz w:val="22"/>
          <w:szCs w:val="22"/>
        </w:rPr>
        <w:t>2011</w:t>
      </w:r>
      <w:r>
        <w:rPr>
          <w:sz w:val="22"/>
          <w:szCs w:val="22"/>
        </w:rPr>
        <w:t xml:space="preserve">. National Recovery Plan for Threatened Albatrosses and Giant Petrels 2011-2016.  </w:t>
      </w:r>
      <w:r w:rsidRPr="00F5027E">
        <w:rPr>
          <w:sz w:val="22"/>
          <w:szCs w:val="22"/>
        </w:rPr>
        <w:t>Department of Sustainability, Environment, Water, Population and Communities. Australian Antarctic Division. Canberra.</w:t>
      </w:r>
    </w:p>
    <w:p w14:paraId="5F3860D7" w14:textId="77777777" w:rsidR="00CA0853" w:rsidRPr="00C45EFA" w:rsidRDefault="00CA0853" w:rsidP="000B3456">
      <w:pPr>
        <w:pStyle w:val="BodyText"/>
        <w:ind w:left="567" w:hanging="567"/>
        <w:rPr>
          <w:sz w:val="22"/>
          <w:szCs w:val="22"/>
        </w:rPr>
      </w:pPr>
      <w:r w:rsidRPr="00D458B2">
        <w:rPr>
          <w:sz w:val="22"/>
          <w:szCs w:val="22"/>
        </w:rPr>
        <w:t>DSEWPC. 2012a. Fact Sheet: Giant Kelp Forest of South East Australia Ecological Community. Department of Sustainability, Environment, Water, Population and Communities. Canberra.</w:t>
      </w:r>
      <w:r w:rsidRPr="00C45EFA">
        <w:rPr>
          <w:sz w:val="22"/>
          <w:szCs w:val="22"/>
        </w:rPr>
        <w:t xml:space="preserve"> </w:t>
      </w:r>
    </w:p>
    <w:p w14:paraId="10E811A4" w14:textId="77777777" w:rsidR="00CA0853" w:rsidRDefault="00CA0853" w:rsidP="000B3456">
      <w:pPr>
        <w:pStyle w:val="BodyText"/>
        <w:ind w:left="567" w:hanging="567"/>
        <w:rPr>
          <w:sz w:val="22"/>
          <w:szCs w:val="22"/>
        </w:rPr>
      </w:pPr>
      <w:r>
        <w:rPr>
          <w:sz w:val="22"/>
          <w:szCs w:val="22"/>
        </w:rPr>
        <w:lastRenderedPageBreak/>
        <w:t xml:space="preserve">DSEWPC. 2012b. Conservation Management Plan for the Southern Right Whale 2011-21. </w:t>
      </w:r>
      <w:r w:rsidRPr="00F5027E">
        <w:rPr>
          <w:sz w:val="22"/>
          <w:szCs w:val="22"/>
        </w:rPr>
        <w:t>Department of Sustainability, Environment, Water, Population and Communities. Canberra.</w:t>
      </w:r>
    </w:p>
    <w:p w14:paraId="31F98BE2" w14:textId="77777777" w:rsidR="00CA0853" w:rsidRDefault="00CA0853" w:rsidP="000B3456">
      <w:pPr>
        <w:pStyle w:val="BodyText"/>
        <w:ind w:left="567" w:hanging="567"/>
        <w:rPr>
          <w:sz w:val="22"/>
          <w:szCs w:val="22"/>
        </w:rPr>
      </w:pPr>
      <w:r w:rsidRPr="005336B3">
        <w:rPr>
          <w:sz w:val="22"/>
          <w:szCs w:val="22"/>
        </w:rPr>
        <w:t>DSEWPC</w:t>
      </w:r>
      <w:r>
        <w:rPr>
          <w:sz w:val="22"/>
          <w:szCs w:val="22"/>
        </w:rPr>
        <w:t>.</w:t>
      </w:r>
      <w:r w:rsidRPr="005336B3">
        <w:rPr>
          <w:sz w:val="22"/>
          <w:szCs w:val="22"/>
        </w:rPr>
        <w:t xml:space="preserve"> 2013</w:t>
      </w:r>
      <w:r>
        <w:rPr>
          <w:sz w:val="22"/>
          <w:szCs w:val="22"/>
        </w:rPr>
        <w:t>. Recovery Plan for the White Shark</w:t>
      </w:r>
      <w:r w:rsidRPr="00F5027E">
        <w:rPr>
          <w:sz w:val="22"/>
          <w:szCs w:val="22"/>
        </w:rPr>
        <w:t xml:space="preserve"> (</w:t>
      </w:r>
      <w:r w:rsidRPr="00F8385C">
        <w:rPr>
          <w:i/>
          <w:sz w:val="22"/>
          <w:szCs w:val="22"/>
        </w:rPr>
        <w:t>Carcharodon carcharias</w:t>
      </w:r>
      <w:r w:rsidRPr="00F5027E">
        <w:rPr>
          <w:sz w:val="22"/>
          <w:szCs w:val="22"/>
        </w:rPr>
        <w:t>). Department of Sustainability, Environment, Water, Population and Communities. Canberra.</w:t>
      </w:r>
    </w:p>
    <w:p w14:paraId="4D7825A2" w14:textId="77777777" w:rsidR="00CA0853" w:rsidRPr="00EF6863" w:rsidRDefault="00CA0853" w:rsidP="000B3456">
      <w:pPr>
        <w:pStyle w:val="BodyText"/>
        <w:ind w:left="567" w:hanging="567"/>
        <w:rPr>
          <w:sz w:val="22"/>
          <w:szCs w:val="22"/>
        </w:rPr>
      </w:pPr>
      <w:r w:rsidRPr="00EF6863">
        <w:rPr>
          <w:sz w:val="22"/>
          <w:szCs w:val="22"/>
        </w:rPr>
        <w:t>Duncan, A. J., Maggi, A. L. and Gourlay, T. 2012. Sound exposure level and ocean wave modelling for the Enterprise 3D seismic survey (Port Campbell). Unpublished report for Origin Energy. Centre for Marine Science and Technology Curtin University. Report 2012-32.</w:t>
      </w:r>
    </w:p>
    <w:p w14:paraId="15488B1A" w14:textId="77777777" w:rsidR="00CA0853" w:rsidRPr="00E93F43" w:rsidRDefault="00CA0853" w:rsidP="000B3456">
      <w:pPr>
        <w:pStyle w:val="BodyText"/>
        <w:ind w:left="567" w:hanging="567"/>
        <w:rPr>
          <w:sz w:val="22"/>
          <w:szCs w:val="22"/>
        </w:rPr>
      </w:pPr>
      <w:r w:rsidRPr="00E93F43">
        <w:rPr>
          <w:sz w:val="22"/>
          <w:szCs w:val="22"/>
        </w:rPr>
        <w:t xml:space="preserve">Dunlop, R.A., M.J. Noad, R.D. McCauley, E. Kniest, D. Paton, and D.H. Cato. 2015. The behavioural response of humpback whales (Megaptera novaeangliae) to a 20 cubic inch air gun. </w:t>
      </w:r>
      <w:r w:rsidRPr="00C77FF1">
        <w:rPr>
          <w:i/>
          <w:iCs/>
          <w:sz w:val="22"/>
          <w:szCs w:val="22"/>
        </w:rPr>
        <w:t>Aquatic Mammals</w:t>
      </w:r>
      <w:r w:rsidRPr="00E93F43">
        <w:rPr>
          <w:sz w:val="22"/>
          <w:szCs w:val="22"/>
        </w:rPr>
        <w:t xml:space="preserve"> 41(4): 412.</w:t>
      </w:r>
    </w:p>
    <w:p w14:paraId="1B0D105B" w14:textId="77777777" w:rsidR="00CA0853" w:rsidRPr="00E93F43" w:rsidRDefault="00CA0853" w:rsidP="000B3456">
      <w:pPr>
        <w:pStyle w:val="BodyText"/>
        <w:ind w:left="567" w:hanging="567"/>
        <w:rPr>
          <w:sz w:val="22"/>
          <w:szCs w:val="22"/>
        </w:rPr>
      </w:pPr>
      <w:r w:rsidRPr="00E93F43">
        <w:rPr>
          <w:sz w:val="22"/>
          <w:szCs w:val="22"/>
        </w:rPr>
        <w:t xml:space="preserve">Dunlop, R.A. 2016. The effect of vessel noise on humpback whale, </w:t>
      </w:r>
      <w:r w:rsidRPr="00C77FF1">
        <w:rPr>
          <w:i/>
          <w:iCs/>
          <w:sz w:val="22"/>
          <w:szCs w:val="22"/>
        </w:rPr>
        <w:t>Megaptera novaeangliae</w:t>
      </w:r>
      <w:r w:rsidRPr="00E93F43">
        <w:rPr>
          <w:sz w:val="22"/>
          <w:szCs w:val="22"/>
        </w:rPr>
        <w:t xml:space="preserve">, communication behaviour. </w:t>
      </w:r>
      <w:r w:rsidRPr="00C77FF1">
        <w:rPr>
          <w:i/>
          <w:iCs/>
          <w:sz w:val="22"/>
          <w:szCs w:val="22"/>
        </w:rPr>
        <w:t>Animal Behaviour</w:t>
      </w:r>
      <w:r w:rsidRPr="00E93F43">
        <w:rPr>
          <w:sz w:val="22"/>
          <w:szCs w:val="22"/>
        </w:rPr>
        <w:t xml:space="preserve"> 111: 13-21. </w:t>
      </w:r>
    </w:p>
    <w:p w14:paraId="5F393777" w14:textId="77777777" w:rsidR="00CA0853" w:rsidRPr="0039672C" w:rsidRDefault="00CA0853" w:rsidP="000B3456">
      <w:pPr>
        <w:pStyle w:val="BodyText"/>
        <w:ind w:left="567" w:hanging="567"/>
        <w:rPr>
          <w:sz w:val="22"/>
          <w:szCs w:val="22"/>
          <w:lang w:val="en-GB"/>
        </w:rPr>
      </w:pPr>
      <w:r w:rsidRPr="00E93F43">
        <w:rPr>
          <w:sz w:val="22"/>
          <w:szCs w:val="22"/>
        </w:rPr>
        <w:t>Dunlop, R.A., M.J. Noad, R.D. McCauley, E. Kniest, R. Slade, D. Paton, and D.H. Cato. 2016. Response of humpback whales (</w:t>
      </w:r>
      <w:r w:rsidRPr="00C77FF1">
        <w:rPr>
          <w:i/>
          <w:iCs/>
          <w:sz w:val="22"/>
          <w:szCs w:val="22"/>
        </w:rPr>
        <w:t>Megaptera novaeangliae</w:t>
      </w:r>
      <w:r w:rsidRPr="00E93F43">
        <w:rPr>
          <w:sz w:val="22"/>
          <w:szCs w:val="22"/>
        </w:rPr>
        <w:t xml:space="preserve">) to ramp-up of a small experimental air gun array. </w:t>
      </w:r>
      <w:r w:rsidRPr="0039672C">
        <w:rPr>
          <w:i/>
          <w:iCs/>
          <w:sz w:val="22"/>
          <w:szCs w:val="22"/>
          <w:lang w:val="en-GB"/>
        </w:rPr>
        <w:t>Mar. Poll. Bull.</w:t>
      </w:r>
      <w:r w:rsidRPr="0039672C">
        <w:rPr>
          <w:sz w:val="22"/>
          <w:szCs w:val="22"/>
          <w:lang w:val="en-GB"/>
        </w:rPr>
        <w:t xml:space="preserve"> 103(1–2): 72-83. </w:t>
      </w:r>
    </w:p>
    <w:p w14:paraId="3111CA37" w14:textId="77777777" w:rsidR="00CA0853" w:rsidRPr="005B069C" w:rsidRDefault="00CA0853" w:rsidP="000B3456">
      <w:pPr>
        <w:pStyle w:val="BodyText"/>
        <w:ind w:left="567" w:hanging="567"/>
        <w:rPr>
          <w:sz w:val="22"/>
          <w:szCs w:val="22"/>
        </w:rPr>
      </w:pPr>
      <w:r w:rsidRPr="005B069C">
        <w:rPr>
          <w:sz w:val="22"/>
          <w:szCs w:val="22"/>
        </w:rPr>
        <w:t xml:space="preserve">Dutson, G., Garnett, S. and Gole, C. 2009. Australia’s Important Bird Areas. Key site for bird conservation. A WWW document accessed at </w:t>
      </w:r>
      <w:hyperlink r:id="rId331" w:history="1">
        <w:r w:rsidRPr="005B069C">
          <w:rPr>
            <w:sz w:val="22"/>
            <w:szCs w:val="22"/>
          </w:rPr>
          <w:t>http://birdlife.org.au/documents/OTHPUB-IBA-supp.pdf</w:t>
        </w:r>
      </w:hyperlink>
      <w:r w:rsidRPr="005B069C">
        <w:rPr>
          <w:sz w:val="22"/>
          <w:szCs w:val="22"/>
        </w:rPr>
        <w:t>. BirdLife</w:t>
      </w:r>
      <w:r>
        <w:rPr>
          <w:sz w:val="22"/>
          <w:szCs w:val="22"/>
        </w:rPr>
        <w:t xml:space="preserve"> International</w:t>
      </w:r>
      <w:r w:rsidRPr="005B069C">
        <w:rPr>
          <w:sz w:val="22"/>
          <w:szCs w:val="22"/>
        </w:rPr>
        <w:t xml:space="preserve">. </w:t>
      </w:r>
    </w:p>
    <w:p w14:paraId="12876EBC" w14:textId="77777777" w:rsidR="00CA0853" w:rsidRPr="00EF6863" w:rsidRDefault="00CA0853" w:rsidP="000B3456">
      <w:pPr>
        <w:pStyle w:val="BodyText"/>
        <w:ind w:left="567" w:hanging="567"/>
        <w:rPr>
          <w:sz w:val="22"/>
          <w:szCs w:val="22"/>
        </w:rPr>
      </w:pPr>
      <w:r w:rsidRPr="00EF6863">
        <w:rPr>
          <w:sz w:val="22"/>
          <w:szCs w:val="22"/>
        </w:rPr>
        <w:t>EA. 2001. National Recovery Plan for Albatross and Giant Petrel, Wildlife Scientific Advice, National Heritage Division. A WWW document accessed at http://www.environment.gov.au/</w:t>
      </w:r>
      <w:r w:rsidRPr="00EF6863">
        <w:rPr>
          <w:sz w:val="22"/>
          <w:szCs w:val="22"/>
        </w:rPr>
        <w:br/>
        <w:t xml:space="preserve">biodiversity/threatened/publications/recovery/albatross/index.html. Environment Australia. Canberra. </w:t>
      </w:r>
    </w:p>
    <w:p w14:paraId="70AFD219" w14:textId="77777777" w:rsidR="00CA0853" w:rsidRDefault="00CA0853" w:rsidP="000B3456">
      <w:pPr>
        <w:pStyle w:val="BodyText"/>
        <w:ind w:left="567" w:hanging="567"/>
        <w:rPr>
          <w:sz w:val="22"/>
          <w:szCs w:val="22"/>
        </w:rPr>
      </w:pPr>
      <w:r>
        <w:rPr>
          <w:sz w:val="22"/>
          <w:szCs w:val="22"/>
        </w:rPr>
        <w:t xml:space="preserve">East Gippsland Shire Council. 2015. Lake Tyers Beach Foreshore Management Plan. A WWW document accessed at East Gippsland Shire Council. Victoria. </w:t>
      </w:r>
    </w:p>
    <w:p w14:paraId="241C04F1" w14:textId="77777777" w:rsidR="00CA0853" w:rsidRPr="005B069C" w:rsidRDefault="00CA0853" w:rsidP="000B3456">
      <w:pPr>
        <w:pStyle w:val="BodyText"/>
        <w:ind w:left="567" w:hanging="567"/>
        <w:rPr>
          <w:sz w:val="22"/>
          <w:szCs w:val="22"/>
        </w:rPr>
      </w:pPr>
      <w:r w:rsidRPr="005B069C">
        <w:rPr>
          <w:sz w:val="22"/>
          <w:szCs w:val="22"/>
        </w:rPr>
        <w:t xml:space="preserve">ECC. 2000. Marine Coastal &amp; Estuarine Investigation. Final Report. Environment Conservation Council. East Melbourne. </w:t>
      </w:r>
    </w:p>
    <w:p w14:paraId="61F64EC4" w14:textId="77777777" w:rsidR="00CA0853" w:rsidRPr="00A302B8" w:rsidRDefault="00CA0853" w:rsidP="000B3456">
      <w:pPr>
        <w:pStyle w:val="BodyText"/>
        <w:ind w:left="567" w:hanging="567"/>
        <w:rPr>
          <w:sz w:val="22"/>
          <w:szCs w:val="22"/>
        </w:rPr>
      </w:pPr>
      <w:r w:rsidRPr="00620DDC">
        <w:rPr>
          <w:sz w:val="22"/>
          <w:szCs w:val="22"/>
        </w:rPr>
        <w:t>Ecologically Sustainable Development Steering Committee. 1992. National Strategy for Ecological Sustainable Development. Council of Australian Governments. Canberra.</w:t>
      </w:r>
    </w:p>
    <w:p w14:paraId="41389E67" w14:textId="77777777" w:rsidR="00CA0853" w:rsidRPr="00342E8B" w:rsidRDefault="00CA0853" w:rsidP="000B3456">
      <w:pPr>
        <w:pStyle w:val="BodyText"/>
        <w:ind w:left="567" w:hanging="567"/>
        <w:rPr>
          <w:sz w:val="22"/>
          <w:szCs w:val="22"/>
        </w:rPr>
      </w:pPr>
      <w:r w:rsidRPr="00342E8B">
        <w:rPr>
          <w:sz w:val="22"/>
          <w:szCs w:val="22"/>
        </w:rPr>
        <w:t xml:space="preserve">Edgar, G. and Barrett, N. 1995. Preliminary Report to the Long Term Impact Assessment Group. Program 7. Impact on and Recovery of Subtidal Reefs. December 1995. Marine Research Laboratories, Taroona. Department of Primary Industry and Fisheries Tasmania. </w:t>
      </w:r>
    </w:p>
    <w:p w14:paraId="3421B028" w14:textId="77777777" w:rsidR="00CA0853" w:rsidRPr="00E650DE" w:rsidRDefault="00CA0853" w:rsidP="000B3456">
      <w:pPr>
        <w:pStyle w:val="BodyText"/>
        <w:ind w:left="567" w:hanging="567"/>
        <w:rPr>
          <w:sz w:val="22"/>
          <w:szCs w:val="22"/>
          <w:lang w:val="en-GB"/>
        </w:rPr>
      </w:pPr>
      <w:r w:rsidRPr="00E93F43">
        <w:rPr>
          <w:sz w:val="22"/>
          <w:szCs w:val="22"/>
        </w:rPr>
        <w:t xml:space="preserve">Edmonds, N.J., C.J. Firmin, D. Goldsmith, R.C. Faulkner, and D.T. Wood. 2016. A review of crustacean sensitivity to high amplitude underwater noise: Data needs for effective risk assessment in relation to UK commercial species. </w:t>
      </w:r>
      <w:r w:rsidRPr="00E650DE">
        <w:rPr>
          <w:i/>
          <w:iCs/>
          <w:sz w:val="22"/>
          <w:szCs w:val="22"/>
          <w:lang w:val="en-GB"/>
        </w:rPr>
        <w:t>Mar. Poll. Bull</w:t>
      </w:r>
      <w:r w:rsidRPr="00E650DE">
        <w:rPr>
          <w:sz w:val="22"/>
          <w:szCs w:val="22"/>
          <w:lang w:val="en-GB"/>
        </w:rPr>
        <w:t>.</w:t>
      </w:r>
      <w:r>
        <w:rPr>
          <w:sz w:val="22"/>
          <w:szCs w:val="22"/>
          <w:lang w:val="en-GB"/>
        </w:rPr>
        <w:t xml:space="preserve"> 108(1–2): 5–</w:t>
      </w:r>
      <w:r w:rsidRPr="00E650DE">
        <w:rPr>
          <w:sz w:val="22"/>
          <w:szCs w:val="22"/>
          <w:lang w:val="en-GB"/>
        </w:rPr>
        <w:t xml:space="preserve">11. </w:t>
      </w:r>
    </w:p>
    <w:p w14:paraId="0B6FC71A" w14:textId="77777777" w:rsidR="00CA0853" w:rsidRDefault="00CA0853" w:rsidP="000B3456">
      <w:pPr>
        <w:pStyle w:val="BodyText"/>
        <w:ind w:left="567" w:hanging="567"/>
        <w:rPr>
          <w:sz w:val="22"/>
          <w:szCs w:val="22"/>
        </w:rPr>
      </w:pPr>
      <w:r w:rsidRPr="00757F90">
        <w:rPr>
          <w:sz w:val="22"/>
          <w:szCs w:val="22"/>
        </w:rPr>
        <w:t>Edyvane, K.S. 1999. Conserving Marine Biodiversity in South Australia – Part 2 – Identification of</w:t>
      </w:r>
      <w:r>
        <w:rPr>
          <w:sz w:val="22"/>
          <w:szCs w:val="22"/>
        </w:rPr>
        <w:t xml:space="preserve"> </w:t>
      </w:r>
      <w:r w:rsidRPr="00757F90">
        <w:rPr>
          <w:sz w:val="22"/>
          <w:szCs w:val="22"/>
        </w:rPr>
        <w:t>areas of high conservation value in South Australia. A WWW document accessed at</w:t>
      </w:r>
      <w:r>
        <w:rPr>
          <w:sz w:val="22"/>
          <w:szCs w:val="22"/>
        </w:rPr>
        <w:t xml:space="preserve"> </w:t>
      </w:r>
      <w:r w:rsidRPr="00757F90">
        <w:rPr>
          <w:sz w:val="22"/>
          <w:szCs w:val="22"/>
        </w:rPr>
        <w:t>http://www.ffc.org.au/FFC_files/MPA%20refs/SARDI%20reports%20and%20maps/marine_biodiversity_part2_full_version.pdf. South Australian Research</w:t>
      </w:r>
      <w:r>
        <w:rPr>
          <w:sz w:val="22"/>
          <w:szCs w:val="22"/>
        </w:rPr>
        <w:t xml:space="preserve"> </w:t>
      </w:r>
      <w:r w:rsidRPr="00757F90">
        <w:rPr>
          <w:sz w:val="22"/>
          <w:szCs w:val="22"/>
        </w:rPr>
        <w:t>and Development Institute. Adelaide.</w:t>
      </w:r>
    </w:p>
    <w:p w14:paraId="5A35D861" w14:textId="77777777" w:rsidR="00CA0853" w:rsidRPr="00CC11E9" w:rsidRDefault="00CA0853" w:rsidP="000B3456">
      <w:pPr>
        <w:pStyle w:val="BodyText"/>
        <w:ind w:left="567" w:hanging="567"/>
        <w:rPr>
          <w:sz w:val="22"/>
          <w:szCs w:val="22"/>
        </w:rPr>
      </w:pPr>
      <w:r w:rsidRPr="00CC11E9">
        <w:rPr>
          <w:sz w:val="22"/>
          <w:szCs w:val="22"/>
        </w:rPr>
        <w:lastRenderedPageBreak/>
        <w:t>EMV. 2016.</w:t>
      </w:r>
      <w:r>
        <w:rPr>
          <w:sz w:val="22"/>
          <w:szCs w:val="22"/>
        </w:rPr>
        <w:t xml:space="preserve"> State Maritime Emergencies (non-search and rescue) Plan. Edition 1. Emergency Management Victoria. Melbourne. </w:t>
      </w:r>
    </w:p>
    <w:p w14:paraId="1D7DEE97" w14:textId="2B8C0B15" w:rsidR="0096295E" w:rsidRDefault="0096295E" w:rsidP="000B3456">
      <w:pPr>
        <w:pStyle w:val="BodyText"/>
        <w:ind w:left="567" w:hanging="567"/>
        <w:rPr>
          <w:sz w:val="22"/>
          <w:szCs w:val="22"/>
        </w:rPr>
      </w:pPr>
      <w:bookmarkStart w:id="1323" w:name="_ENREF_5"/>
      <w:r>
        <w:rPr>
          <w:sz w:val="22"/>
          <w:szCs w:val="22"/>
        </w:rPr>
        <w:t>EMV. 2016. Emergency Management Manual Victoria. Emergency Management Victoria. Melbourne.</w:t>
      </w:r>
    </w:p>
    <w:p w14:paraId="5EBAFA52" w14:textId="77777777" w:rsidR="00CA0853" w:rsidRPr="00E650DE" w:rsidRDefault="00CA0853" w:rsidP="000B3456">
      <w:pPr>
        <w:pStyle w:val="BodyText"/>
        <w:ind w:left="567" w:hanging="567"/>
        <w:rPr>
          <w:sz w:val="22"/>
          <w:szCs w:val="22"/>
        </w:rPr>
      </w:pPr>
      <w:r w:rsidRPr="00E650DE">
        <w:rPr>
          <w:sz w:val="22"/>
          <w:szCs w:val="22"/>
        </w:rPr>
        <w:t>Engås, A., S. Løkkeborg, E. Ona, and A. V. Soldal. 1996. Effects of seismic shooting on local ab</w:t>
      </w:r>
      <w:r>
        <w:rPr>
          <w:sz w:val="22"/>
          <w:szCs w:val="22"/>
        </w:rPr>
        <w:t xml:space="preserve">undance and catch rates of cod </w:t>
      </w:r>
      <w:r w:rsidRPr="00E650DE">
        <w:rPr>
          <w:sz w:val="22"/>
          <w:szCs w:val="22"/>
        </w:rPr>
        <w:t>(</w:t>
      </w:r>
      <w:r w:rsidRPr="00E650DE">
        <w:rPr>
          <w:i/>
          <w:iCs/>
          <w:sz w:val="22"/>
          <w:szCs w:val="22"/>
        </w:rPr>
        <w:t>Gadus morhua</w:t>
      </w:r>
      <w:r w:rsidRPr="00E650DE">
        <w:rPr>
          <w:sz w:val="22"/>
          <w:szCs w:val="22"/>
        </w:rPr>
        <w:t xml:space="preserve">) and </w:t>
      </w:r>
      <w:r>
        <w:rPr>
          <w:sz w:val="22"/>
          <w:szCs w:val="22"/>
        </w:rPr>
        <w:t xml:space="preserve">haddock </w:t>
      </w:r>
      <w:r w:rsidRPr="00E650DE">
        <w:rPr>
          <w:sz w:val="22"/>
          <w:szCs w:val="22"/>
        </w:rPr>
        <w:t>(</w:t>
      </w:r>
      <w:r w:rsidRPr="00E650DE">
        <w:rPr>
          <w:i/>
          <w:iCs/>
          <w:sz w:val="22"/>
          <w:szCs w:val="22"/>
        </w:rPr>
        <w:t>Melanogrammus aeglefinus</w:t>
      </w:r>
      <w:r w:rsidRPr="00E650DE">
        <w:rPr>
          <w:sz w:val="22"/>
          <w:szCs w:val="22"/>
        </w:rPr>
        <w:t xml:space="preserve">). </w:t>
      </w:r>
      <w:r w:rsidRPr="00E650DE">
        <w:rPr>
          <w:i/>
          <w:iCs/>
          <w:sz w:val="22"/>
          <w:szCs w:val="22"/>
        </w:rPr>
        <w:t>Canadian Journal of Fisheries and Aquatic Sciences</w:t>
      </w:r>
      <w:r w:rsidRPr="00E650DE">
        <w:rPr>
          <w:sz w:val="22"/>
          <w:szCs w:val="22"/>
        </w:rPr>
        <w:t xml:space="preserve"> 53:2238-2249.</w:t>
      </w:r>
      <w:bookmarkEnd w:id="1323"/>
    </w:p>
    <w:p w14:paraId="46220A02" w14:textId="77777777" w:rsidR="00CA0853" w:rsidRPr="00425C7C" w:rsidRDefault="00CA0853" w:rsidP="000B3456">
      <w:pPr>
        <w:pStyle w:val="BodyText"/>
        <w:ind w:left="567" w:hanging="567"/>
        <w:rPr>
          <w:sz w:val="22"/>
          <w:szCs w:val="22"/>
        </w:rPr>
      </w:pPr>
      <w:r w:rsidRPr="00425C7C">
        <w:rPr>
          <w:sz w:val="22"/>
          <w:szCs w:val="22"/>
        </w:rPr>
        <w:t>Engelhardt, F.R. 1982. Hydrocarbon metabolism and cortisol balance in oil- exposed ringed</w:t>
      </w:r>
      <w:r>
        <w:rPr>
          <w:sz w:val="22"/>
          <w:szCs w:val="22"/>
        </w:rPr>
        <w:t xml:space="preserve"> </w:t>
      </w:r>
      <w:r w:rsidRPr="00425C7C">
        <w:rPr>
          <w:sz w:val="22"/>
          <w:szCs w:val="22"/>
        </w:rPr>
        <w:t xml:space="preserve">seals, </w:t>
      </w:r>
      <w:r w:rsidRPr="00401C50">
        <w:rPr>
          <w:i/>
          <w:iCs/>
          <w:sz w:val="22"/>
          <w:szCs w:val="22"/>
        </w:rPr>
        <w:t>Phoca hisvida</w:t>
      </w:r>
      <w:r w:rsidRPr="00425C7C">
        <w:rPr>
          <w:sz w:val="22"/>
          <w:szCs w:val="22"/>
        </w:rPr>
        <w:t xml:space="preserve">. Comp. </w:t>
      </w:r>
      <w:r w:rsidRPr="00425C7C">
        <w:rPr>
          <w:i/>
          <w:sz w:val="22"/>
          <w:szCs w:val="22"/>
        </w:rPr>
        <w:t>Biochem. Physiol</w:t>
      </w:r>
      <w:r w:rsidRPr="00425C7C">
        <w:rPr>
          <w:sz w:val="22"/>
          <w:szCs w:val="22"/>
        </w:rPr>
        <w:t>. 72C:133- 136</w:t>
      </w:r>
      <w:r>
        <w:rPr>
          <w:sz w:val="22"/>
          <w:szCs w:val="22"/>
        </w:rPr>
        <w:t>.</w:t>
      </w:r>
    </w:p>
    <w:p w14:paraId="22E6CFFC" w14:textId="77777777" w:rsidR="00CA0853" w:rsidRPr="00351F5F" w:rsidRDefault="00CA0853" w:rsidP="000B3456">
      <w:pPr>
        <w:pStyle w:val="BodyText"/>
        <w:ind w:left="567" w:hanging="567"/>
        <w:rPr>
          <w:sz w:val="22"/>
          <w:szCs w:val="22"/>
        </w:rPr>
      </w:pPr>
      <w:r w:rsidRPr="00351F5F">
        <w:rPr>
          <w:sz w:val="22"/>
          <w:szCs w:val="22"/>
        </w:rPr>
        <w:t xml:space="preserve">Engelhardt, F.R. 1983. Petroleum Effects on Marine Mammals. </w:t>
      </w:r>
      <w:r w:rsidRPr="00351F5F">
        <w:rPr>
          <w:i/>
          <w:sz w:val="22"/>
          <w:szCs w:val="22"/>
        </w:rPr>
        <w:t>Aquatic Toxicology</w:t>
      </w:r>
      <w:r w:rsidRPr="00351F5F">
        <w:rPr>
          <w:sz w:val="22"/>
          <w:szCs w:val="22"/>
        </w:rPr>
        <w:t xml:space="preserve"> 4:199– 217.</w:t>
      </w:r>
    </w:p>
    <w:p w14:paraId="0BC5C78C" w14:textId="77777777" w:rsidR="00CA0853" w:rsidRDefault="00CA0853" w:rsidP="000B3456">
      <w:pPr>
        <w:pStyle w:val="BodyText"/>
        <w:ind w:left="567" w:hanging="567"/>
        <w:rPr>
          <w:sz w:val="22"/>
          <w:szCs w:val="22"/>
        </w:rPr>
      </w:pPr>
      <w:r>
        <w:rPr>
          <w:sz w:val="22"/>
          <w:szCs w:val="22"/>
        </w:rPr>
        <w:t xml:space="preserve">Erbe, C., </w:t>
      </w:r>
      <w:r w:rsidRPr="00E93F43">
        <w:rPr>
          <w:sz w:val="22"/>
          <w:szCs w:val="22"/>
        </w:rPr>
        <w:t xml:space="preserve">Reichmuth, </w:t>
      </w:r>
      <w:r>
        <w:rPr>
          <w:sz w:val="22"/>
          <w:szCs w:val="22"/>
        </w:rPr>
        <w:t xml:space="preserve">C., </w:t>
      </w:r>
      <w:r w:rsidRPr="00E93F43">
        <w:rPr>
          <w:sz w:val="22"/>
          <w:szCs w:val="22"/>
        </w:rPr>
        <w:t xml:space="preserve">Cunningham, </w:t>
      </w:r>
      <w:r>
        <w:rPr>
          <w:sz w:val="22"/>
          <w:szCs w:val="22"/>
        </w:rPr>
        <w:t xml:space="preserve">K., </w:t>
      </w:r>
      <w:r w:rsidRPr="00E93F43">
        <w:rPr>
          <w:sz w:val="22"/>
          <w:szCs w:val="22"/>
        </w:rPr>
        <w:t xml:space="preserve">Lucke, </w:t>
      </w:r>
      <w:r>
        <w:rPr>
          <w:sz w:val="22"/>
          <w:szCs w:val="22"/>
        </w:rPr>
        <w:t xml:space="preserve">K. </w:t>
      </w:r>
      <w:r w:rsidRPr="00E93F43">
        <w:rPr>
          <w:sz w:val="22"/>
          <w:szCs w:val="22"/>
        </w:rPr>
        <w:t>and Dooling</w:t>
      </w:r>
      <w:r>
        <w:rPr>
          <w:sz w:val="22"/>
          <w:szCs w:val="22"/>
        </w:rPr>
        <w:t>, R</w:t>
      </w:r>
      <w:r w:rsidRPr="00E93F43">
        <w:rPr>
          <w:sz w:val="22"/>
          <w:szCs w:val="22"/>
        </w:rPr>
        <w:t>. 2015. Communication masking in marine mammals: A review and research str</w:t>
      </w:r>
      <w:r>
        <w:rPr>
          <w:sz w:val="22"/>
          <w:szCs w:val="22"/>
        </w:rPr>
        <w:t xml:space="preserve">ategy. </w:t>
      </w:r>
      <w:r w:rsidRPr="00E650DE">
        <w:rPr>
          <w:i/>
          <w:iCs/>
          <w:sz w:val="22"/>
          <w:szCs w:val="22"/>
        </w:rPr>
        <w:t>Mar. Poll. Bull</w:t>
      </w:r>
      <w:r w:rsidRPr="00E93F43">
        <w:rPr>
          <w:sz w:val="22"/>
          <w:szCs w:val="22"/>
        </w:rPr>
        <w:t>.</w:t>
      </w:r>
      <w:r>
        <w:rPr>
          <w:sz w:val="22"/>
          <w:szCs w:val="22"/>
        </w:rPr>
        <w:t xml:space="preserve"> 103(1-2): 15–38.</w:t>
      </w:r>
    </w:p>
    <w:p w14:paraId="3D8506E6" w14:textId="77777777" w:rsidR="00CA0853" w:rsidRPr="00EF6863" w:rsidRDefault="00CA0853" w:rsidP="000B3456">
      <w:pPr>
        <w:pStyle w:val="BodyText"/>
        <w:ind w:left="567" w:hanging="567"/>
        <w:rPr>
          <w:sz w:val="22"/>
          <w:szCs w:val="22"/>
        </w:rPr>
      </w:pPr>
      <w:r w:rsidRPr="00EF6863">
        <w:rPr>
          <w:sz w:val="22"/>
          <w:szCs w:val="22"/>
        </w:rPr>
        <w:t xml:space="preserve">Fandry, C. B. 1983. Model for the three-dimensional structure of winddriven and tidal circulation in Bass Strait. </w:t>
      </w:r>
      <w:r w:rsidRPr="00EF6863">
        <w:rPr>
          <w:i/>
          <w:sz w:val="22"/>
          <w:szCs w:val="22"/>
        </w:rPr>
        <w:t>Aust. J. Mar. Freshwater Res</w:t>
      </w:r>
      <w:r w:rsidRPr="00EF6863">
        <w:rPr>
          <w:sz w:val="22"/>
          <w:szCs w:val="22"/>
        </w:rPr>
        <w:t>. 34:121–141.</w:t>
      </w:r>
    </w:p>
    <w:p w14:paraId="33667282" w14:textId="77777777" w:rsidR="00CA0853" w:rsidRPr="00351F5F" w:rsidRDefault="00CA0853" w:rsidP="000B3456">
      <w:pPr>
        <w:pStyle w:val="BodyText"/>
        <w:ind w:left="567" w:hanging="567"/>
        <w:rPr>
          <w:sz w:val="22"/>
          <w:szCs w:val="22"/>
        </w:rPr>
      </w:pPr>
      <w:r w:rsidRPr="00351F5F">
        <w:rPr>
          <w:sz w:val="22"/>
          <w:szCs w:val="22"/>
        </w:rPr>
        <w:t>Felder, D.L., Thoma, B.P., Schmidt, W.E., Sauvage, T., Self-Krayesky, S.L., Christoserdov, A.,</w:t>
      </w:r>
      <w:r>
        <w:rPr>
          <w:sz w:val="22"/>
          <w:szCs w:val="22"/>
        </w:rPr>
        <w:t xml:space="preserve"> </w:t>
      </w:r>
      <w:r w:rsidRPr="00351F5F">
        <w:rPr>
          <w:sz w:val="22"/>
          <w:szCs w:val="22"/>
        </w:rPr>
        <w:t>Bracken-Grissom, H.D. and Fredericq, S. 2014. Seaweeds and Decapod Crustaceans on</w:t>
      </w:r>
      <w:r>
        <w:rPr>
          <w:sz w:val="22"/>
          <w:szCs w:val="22"/>
        </w:rPr>
        <w:t xml:space="preserve"> </w:t>
      </w:r>
      <w:r w:rsidRPr="00351F5F">
        <w:rPr>
          <w:sz w:val="22"/>
          <w:szCs w:val="22"/>
        </w:rPr>
        <w:t xml:space="preserve">Gulf Deep Banks after the Macondo Oil Spill. </w:t>
      </w:r>
      <w:r w:rsidRPr="009B46B1">
        <w:rPr>
          <w:i/>
          <w:sz w:val="22"/>
          <w:szCs w:val="22"/>
        </w:rPr>
        <w:t>Bioscience</w:t>
      </w:r>
      <w:r w:rsidRPr="00351F5F">
        <w:rPr>
          <w:sz w:val="22"/>
          <w:szCs w:val="22"/>
        </w:rPr>
        <w:t xml:space="preserve"> 64:</w:t>
      </w:r>
      <w:r>
        <w:rPr>
          <w:sz w:val="22"/>
          <w:szCs w:val="22"/>
        </w:rPr>
        <w:t xml:space="preserve"> </w:t>
      </w:r>
      <w:r w:rsidRPr="00351F5F">
        <w:rPr>
          <w:sz w:val="22"/>
          <w:szCs w:val="22"/>
        </w:rPr>
        <w:t>808– 819.</w:t>
      </w:r>
    </w:p>
    <w:p w14:paraId="7C43AD9B" w14:textId="77777777" w:rsidR="00CA0853" w:rsidRPr="0039672C" w:rsidRDefault="00CA0853" w:rsidP="000B3456">
      <w:pPr>
        <w:pStyle w:val="BodyText"/>
        <w:ind w:left="567" w:hanging="567"/>
        <w:rPr>
          <w:sz w:val="22"/>
          <w:szCs w:val="22"/>
          <w:lang w:val="en-GB"/>
        </w:rPr>
      </w:pPr>
      <w:r w:rsidRPr="00E93F43">
        <w:rPr>
          <w:sz w:val="22"/>
          <w:szCs w:val="22"/>
        </w:rPr>
        <w:t xml:space="preserve">Fewtrell, J.L. and R.D. McCauley. 2012. Impact of air gun noise on the behaviour of marine fish and squid. </w:t>
      </w:r>
      <w:r w:rsidRPr="00E650DE">
        <w:rPr>
          <w:i/>
          <w:iCs/>
          <w:sz w:val="22"/>
          <w:szCs w:val="22"/>
        </w:rPr>
        <w:t>Mar. Poll. Bull</w:t>
      </w:r>
      <w:r w:rsidRPr="00E93F43">
        <w:rPr>
          <w:sz w:val="22"/>
          <w:szCs w:val="22"/>
        </w:rPr>
        <w:t>.</w:t>
      </w:r>
      <w:r>
        <w:rPr>
          <w:sz w:val="22"/>
          <w:szCs w:val="22"/>
        </w:rPr>
        <w:t xml:space="preserve"> </w:t>
      </w:r>
      <w:r w:rsidRPr="0039672C">
        <w:rPr>
          <w:sz w:val="22"/>
          <w:szCs w:val="22"/>
          <w:lang w:val="en-GB"/>
        </w:rPr>
        <w:t xml:space="preserve">64(5): 984–993. </w:t>
      </w:r>
    </w:p>
    <w:p w14:paraId="4B67FEFB" w14:textId="77777777" w:rsidR="00CA0853" w:rsidRPr="00E93F43" w:rsidRDefault="00CA0853" w:rsidP="000B3456">
      <w:pPr>
        <w:pStyle w:val="BodyText"/>
        <w:ind w:left="567" w:hanging="567"/>
        <w:rPr>
          <w:sz w:val="22"/>
          <w:szCs w:val="22"/>
        </w:rPr>
      </w:pPr>
      <w:r w:rsidRPr="00E93F43">
        <w:rPr>
          <w:sz w:val="22"/>
          <w:szCs w:val="22"/>
        </w:rPr>
        <w:t>Finneran, J.J. and A.K. Jenkins. 2012. Criteria and thresholds for U.S. Navy acoustic and explosive effects analysis. SPAWAR Systems Center Pacific, San Diego, California.</w:t>
      </w:r>
    </w:p>
    <w:p w14:paraId="6FADBDC5" w14:textId="77777777" w:rsidR="00CA0853" w:rsidRPr="0039672C" w:rsidRDefault="00CA0853" w:rsidP="000B3456">
      <w:pPr>
        <w:pStyle w:val="BodyText"/>
        <w:ind w:left="567" w:hanging="567"/>
        <w:rPr>
          <w:sz w:val="22"/>
          <w:szCs w:val="22"/>
          <w:lang w:val="en-GB"/>
        </w:rPr>
      </w:pPr>
      <w:r w:rsidRPr="00E93F43">
        <w:rPr>
          <w:sz w:val="22"/>
          <w:szCs w:val="22"/>
        </w:rPr>
        <w:t>Finneran, J.J. 2016. Auditory weighting functions and TTS/PTS exposure functions for marine mammals exposed to underwate</w:t>
      </w:r>
      <w:r>
        <w:rPr>
          <w:sz w:val="22"/>
          <w:szCs w:val="22"/>
        </w:rPr>
        <w:t xml:space="preserve">r noise. Technical Report. </w:t>
      </w:r>
      <w:r w:rsidRPr="0039672C">
        <w:rPr>
          <w:sz w:val="22"/>
          <w:szCs w:val="22"/>
          <w:lang w:val="en-GB"/>
        </w:rPr>
        <w:t xml:space="preserve"> </w:t>
      </w:r>
    </w:p>
    <w:p w14:paraId="77561F8E" w14:textId="77777777" w:rsidR="00CA0853" w:rsidRPr="005B069C" w:rsidRDefault="00CA0853" w:rsidP="000B3456">
      <w:pPr>
        <w:pStyle w:val="BodyText"/>
        <w:ind w:left="567" w:hanging="567"/>
        <w:rPr>
          <w:sz w:val="22"/>
          <w:szCs w:val="22"/>
        </w:rPr>
      </w:pPr>
      <w:r w:rsidRPr="005B069C">
        <w:rPr>
          <w:sz w:val="22"/>
          <w:szCs w:val="22"/>
        </w:rPr>
        <w:t>Flegg, J. 2002. Photographic Field Guide Birds of Australia. Second Edition. Reed New Holland.</w:t>
      </w:r>
      <w:r>
        <w:rPr>
          <w:sz w:val="22"/>
          <w:szCs w:val="22"/>
        </w:rPr>
        <w:t xml:space="preserve"> </w:t>
      </w:r>
      <w:r w:rsidRPr="005B069C">
        <w:rPr>
          <w:sz w:val="22"/>
          <w:szCs w:val="22"/>
        </w:rPr>
        <w:t>Sydney.</w:t>
      </w:r>
    </w:p>
    <w:p w14:paraId="3E05877E" w14:textId="77777777" w:rsidR="00CA0853" w:rsidRPr="00425C7C" w:rsidRDefault="00CA0853" w:rsidP="000B3456">
      <w:pPr>
        <w:pStyle w:val="BodyText"/>
        <w:ind w:left="567" w:hanging="567"/>
        <w:rPr>
          <w:sz w:val="22"/>
          <w:szCs w:val="22"/>
        </w:rPr>
      </w:pPr>
      <w:r w:rsidRPr="00425C7C">
        <w:rPr>
          <w:sz w:val="22"/>
          <w:szCs w:val="22"/>
        </w:rPr>
        <w:t xml:space="preserve">Fogden, S.C.L. 1971. Mother-young behavior at gray seal breeding beaches. </w:t>
      </w:r>
      <w:r w:rsidRPr="00211C1D">
        <w:rPr>
          <w:i/>
          <w:sz w:val="22"/>
          <w:szCs w:val="22"/>
        </w:rPr>
        <w:t>J. Zoo</w:t>
      </w:r>
      <w:r w:rsidRPr="00425C7C">
        <w:rPr>
          <w:sz w:val="22"/>
          <w:szCs w:val="22"/>
        </w:rPr>
        <w:t>. 164:61-92.</w:t>
      </w:r>
    </w:p>
    <w:p w14:paraId="752BBED1" w14:textId="77777777" w:rsidR="00CA0853" w:rsidRDefault="00CA0853" w:rsidP="000B3456">
      <w:pPr>
        <w:pStyle w:val="BodyText"/>
        <w:ind w:left="567" w:hanging="567"/>
        <w:rPr>
          <w:sz w:val="22"/>
          <w:szCs w:val="22"/>
        </w:rPr>
      </w:pPr>
      <w:r w:rsidRPr="004A64D1">
        <w:rPr>
          <w:sz w:val="22"/>
          <w:szCs w:val="22"/>
        </w:rPr>
        <w:t xml:space="preserve">Fothergill, D.M., Sims, </w:t>
      </w:r>
      <w:r>
        <w:rPr>
          <w:sz w:val="22"/>
          <w:szCs w:val="22"/>
        </w:rPr>
        <w:t xml:space="preserve">J.R. </w:t>
      </w:r>
      <w:r w:rsidRPr="004A64D1">
        <w:rPr>
          <w:sz w:val="22"/>
          <w:szCs w:val="22"/>
        </w:rPr>
        <w:t>and Curley</w:t>
      </w:r>
      <w:r>
        <w:rPr>
          <w:sz w:val="22"/>
          <w:szCs w:val="22"/>
        </w:rPr>
        <w:t>, M.D</w:t>
      </w:r>
      <w:r w:rsidRPr="004A64D1">
        <w:rPr>
          <w:sz w:val="22"/>
          <w:szCs w:val="22"/>
        </w:rPr>
        <w:t>. 2001. Recreational SCUBA divers' aversion to low frequency underwater sound</w:t>
      </w:r>
      <w:r w:rsidRPr="004A64D1">
        <w:rPr>
          <w:i/>
          <w:sz w:val="22"/>
          <w:szCs w:val="22"/>
        </w:rPr>
        <w:t>. Undersea and Hyperbaric Medicine</w:t>
      </w:r>
      <w:r w:rsidRPr="004A64D1">
        <w:rPr>
          <w:sz w:val="22"/>
          <w:szCs w:val="22"/>
        </w:rPr>
        <w:t xml:space="preserve"> 28(1): 9-18.</w:t>
      </w:r>
    </w:p>
    <w:p w14:paraId="2A445429" w14:textId="77777777" w:rsidR="00CA0853" w:rsidRPr="004A64D1" w:rsidRDefault="00CA0853" w:rsidP="000B3456">
      <w:pPr>
        <w:pStyle w:val="BodyText"/>
        <w:ind w:left="567" w:hanging="567"/>
        <w:rPr>
          <w:sz w:val="22"/>
          <w:szCs w:val="22"/>
        </w:rPr>
      </w:pPr>
      <w:r w:rsidRPr="004A64D1">
        <w:rPr>
          <w:sz w:val="22"/>
          <w:szCs w:val="22"/>
        </w:rPr>
        <w:t xml:space="preserve">Fothergill, D.M., Waltz, </w:t>
      </w:r>
      <w:r>
        <w:rPr>
          <w:sz w:val="22"/>
          <w:szCs w:val="22"/>
        </w:rPr>
        <w:t xml:space="preserve">M.D. </w:t>
      </w:r>
      <w:r w:rsidRPr="004A64D1">
        <w:rPr>
          <w:sz w:val="22"/>
          <w:szCs w:val="22"/>
        </w:rPr>
        <w:t>and Forsythe</w:t>
      </w:r>
      <w:r>
        <w:rPr>
          <w:sz w:val="22"/>
          <w:szCs w:val="22"/>
        </w:rPr>
        <w:t>, S.E</w:t>
      </w:r>
      <w:r w:rsidRPr="004A64D1">
        <w:rPr>
          <w:sz w:val="22"/>
          <w:szCs w:val="22"/>
        </w:rPr>
        <w:t xml:space="preserve">. 2000. Diver aversion to low frequency underwater sound phase II: 600-2500 Hz. </w:t>
      </w:r>
      <w:r w:rsidRPr="004A64D1">
        <w:rPr>
          <w:i/>
          <w:sz w:val="22"/>
          <w:szCs w:val="22"/>
        </w:rPr>
        <w:t>Undersea and Hyperbaric Medicine</w:t>
      </w:r>
      <w:r w:rsidRPr="004A64D1">
        <w:rPr>
          <w:sz w:val="22"/>
          <w:szCs w:val="22"/>
        </w:rPr>
        <w:t xml:space="preserve"> 27 (Suppl)(18).</w:t>
      </w:r>
    </w:p>
    <w:p w14:paraId="1A5D62AB" w14:textId="77777777" w:rsidR="00CA0853" w:rsidRDefault="00CA0853" w:rsidP="000B3456">
      <w:pPr>
        <w:pStyle w:val="BodyText"/>
        <w:ind w:left="567" w:hanging="567"/>
        <w:rPr>
          <w:sz w:val="22"/>
          <w:szCs w:val="22"/>
        </w:rPr>
      </w:pPr>
      <w:r>
        <w:rPr>
          <w:sz w:val="22"/>
          <w:szCs w:val="22"/>
        </w:rPr>
        <w:t>FRDC. 2017. Fish species profiles. A WWW database accessed at fish.gov.au. Fisheries Research Development Corporation.</w:t>
      </w:r>
    </w:p>
    <w:p w14:paraId="7CA24F0C" w14:textId="5CB2361F" w:rsidR="00FE6561" w:rsidRPr="00351F5F" w:rsidRDefault="00FE6561" w:rsidP="000B3456">
      <w:pPr>
        <w:pStyle w:val="BodyText"/>
        <w:ind w:left="567" w:hanging="567"/>
        <w:rPr>
          <w:sz w:val="22"/>
          <w:szCs w:val="22"/>
        </w:rPr>
      </w:pPr>
      <w:r w:rsidRPr="00FE6561">
        <w:rPr>
          <w:sz w:val="22"/>
          <w:szCs w:val="22"/>
        </w:rPr>
        <w:t xml:space="preserve">French-McCay, D.P., 2002. Development and application of an oil toxicity and exposure model, OilToxEx. </w:t>
      </w:r>
      <w:r w:rsidRPr="00FE6561">
        <w:rPr>
          <w:i/>
          <w:sz w:val="22"/>
          <w:szCs w:val="22"/>
        </w:rPr>
        <w:t>Environmental Toxicology and Chemistry</w:t>
      </w:r>
      <w:r w:rsidRPr="00FE6561">
        <w:rPr>
          <w:sz w:val="22"/>
          <w:szCs w:val="22"/>
        </w:rPr>
        <w:t xml:space="preserve"> </w:t>
      </w:r>
      <w:r>
        <w:rPr>
          <w:sz w:val="22"/>
          <w:szCs w:val="22"/>
        </w:rPr>
        <w:t>21:2080-2094</w:t>
      </w:r>
      <w:r w:rsidRPr="00FE6561">
        <w:rPr>
          <w:sz w:val="22"/>
          <w:szCs w:val="22"/>
        </w:rPr>
        <w:t>.</w:t>
      </w:r>
    </w:p>
    <w:p w14:paraId="6B4FF547" w14:textId="77777777" w:rsidR="00CA0853" w:rsidRPr="00351F5F" w:rsidRDefault="00CA0853" w:rsidP="000B3456">
      <w:pPr>
        <w:pStyle w:val="BodyText"/>
        <w:ind w:left="567" w:hanging="567"/>
        <w:rPr>
          <w:sz w:val="22"/>
          <w:szCs w:val="22"/>
        </w:rPr>
      </w:pPr>
      <w:r w:rsidRPr="00351F5F">
        <w:rPr>
          <w:sz w:val="22"/>
          <w:szCs w:val="22"/>
        </w:rPr>
        <w:t>French-McCay, D.P. 2003. Development and application of damage assessment modelling:</w:t>
      </w:r>
      <w:r>
        <w:rPr>
          <w:sz w:val="22"/>
          <w:szCs w:val="22"/>
        </w:rPr>
        <w:t xml:space="preserve"> </w:t>
      </w:r>
      <w:r w:rsidRPr="00351F5F">
        <w:rPr>
          <w:sz w:val="22"/>
          <w:szCs w:val="22"/>
        </w:rPr>
        <w:t>example assessment for the North Cape oil spill. Marine Pollution Bulletin 47 (9):9-12.</w:t>
      </w:r>
    </w:p>
    <w:p w14:paraId="7581927C" w14:textId="77777777" w:rsidR="00CA0853" w:rsidRPr="00AF0B16" w:rsidRDefault="00CA0853" w:rsidP="000B3456">
      <w:pPr>
        <w:pStyle w:val="BodyText"/>
        <w:ind w:left="567" w:hanging="567"/>
        <w:rPr>
          <w:sz w:val="22"/>
          <w:szCs w:val="22"/>
        </w:rPr>
      </w:pPr>
      <w:r w:rsidRPr="00F126E5">
        <w:rPr>
          <w:sz w:val="22"/>
          <w:szCs w:val="22"/>
        </w:rPr>
        <w:lastRenderedPageBreak/>
        <w:t xml:space="preserve">French McCay, D.P. 2004. Oil spill impact modeling: Development and validation. </w:t>
      </w:r>
      <w:r w:rsidRPr="00F126E5">
        <w:rPr>
          <w:i/>
          <w:sz w:val="22"/>
          <w:szCs w:val="22"/>
        </w:rPr>
        <w:t>Environmental Toxicology and Chemistry</w:t>
      </w:r>
      <w:r w:rsidRPr="00F126E5">
        <w:rPr>
          <w:sz w:val="22"/>
          <w:szCs w:val="22"/>
        </w:rPr>
        <w:t xml:space="preserve"> 23(10):2441–2456.</w:t>
      </w:r>
    </w:p>
    <w:p w14:paraId="06DD9C42" w14:textId="77777777" w:rsidR="00CA0853" w:rsidRPr="00351F5F" w:rsidRDefault="00CA0853" w:rsidP="000B3456">
      <w:pPr>
        <w:pStyle w:val="BodyText"/>
        <w:ind w:left="567" w:hanging="567"/>
        <w:rPr>
          <w:sz w:val="22"/>
          <w:szCs w:val="22"/>
        </w:rPr>
      </w:pPr>
      <w:r w:rsidRPr="00351F5F">
        <w:rPr>
          <w:sz w:val="22"/>
          <w:szCs w:val="22"/>
        </w:rPr>
        <w:t xml:space="preserve">French-McCay, D.P. 2009. </w:t>
      </w:r>
      <w:r>
        <w:rPr>
          <w:sz w:val="22"/>
          <w:szCs w:val="22"/>
        </w:rPr>
        <w:t>S</w:t>
      </w:r>
      <w:r w:rsidRPr="00351F5F">
        <w:rPr>
          <w:sz w:val="22"/>
          <w:szCs w:val="22"/>
        </w:rPr>
        <w:t>tate-of-the-art and research needs for oil spill impact assessment</w:t>
      </w:r>
      <w:r>
        <w:rPr>
          <w:sz w:val="22"/>
          <w:szCs w:val="22"/>
        </w:rPr>
        <w:t xml:space="preserve"> </w:t>
      </w:r>
      <w:r w:rsidRPr="00351F5F">
        <w:rPr>
          <w:sz w:val="22"/>
          <w:szCs w:val="22"/>
        </w:rPr>
        <w:t xml:space="preserve">modelling. </w:t>
      </w:r>
      <w:r w:rsidRPr="009B46B1">
        <w:rPr>
          <w:i/>
          <w:sz w:val="22"/>
          <w:szCs w:val="22"/>
        </w:rPr>
        <w:t>Proceedings of the 32nd Arctic and Marine Oil Spill Program Technical Seminar</w:t>
      </w:r>
      <w:r>
        <w:rPr>
          <w:sz w:val="22"/>
          <w:szCs w:val="22"/>
        </w:rPr>
        <w:t>. Environment Canada, Ottawa.</w:t>
      </w:r>
    </w:p>
    <w:p w14:paraId="7EC0312B" w14:textId="77777777" w:rsidR="00CA0853" w:rsidRPr="00351F5F" w:rsidRDefault="00CA0853" w:rsidP="000B3456">
      <w:pPr>
        <w:pStyle w:val="BodyText"/>
        <w:ind w:left="567" w:hanging="567"/>
        <w:rPr>
          <w:sz w:val="22"/>
          <w:szCs w:val="22"/>
        </w:rPr>
      </w:pPr>
      <w:r w:rsidRPr="0039672C">
        <w:rPr>
          <w:sz w:val="22"/>
          <w:szCs w:val="22"/>
        </w:rPr>
        <w:t xml:space="preserve">French, D. Schuttenberg, H. and Isaji, T. 1999. </w:t>
      </w:r>
      <w:r w:rsidRPr="00351F5F">
        <w:rPr>
          <w:sz w:val="22"/>
          <w:szCs w:val="22"/>
        </w:rPr>
        <w:t>Probabilities of oil exceeding thresholds of</w:t>
      </w:r>
      <w:r>
        <w:rPr>
          <w:sz w:val="22"/>
          <w:szCs w:val="22"/>
        </w:rPr>
        <w:t xml:space="preserve"> </w:t>
      </w:r>
      <w:r w:rsidRPr="00351F5F">
        <w:rPr>
          <w:sz w:val="22"/>
          <w:szCs w:val="22"/>
        </w:rPr>
        <w:t xml:space="preserve">concern: examples from an evaluation for Florida Power and Light In: </w:t>
      </w:r>
      <w:r w:rsidRPr="009B46B1">
        <w:rPr>
          <w:i/>
          <w:sz w:val="22"/>
          <w:szCs w:val="22"/>
        </w:rPr>
        <w:t>Proceedings of the 22nd Artic and Marine Oil Spill Program (AMOP), Technical Seminar, June 1999</w:t>
      </w:r>
      <w:r>
        <w:rPr>
          <w:sz w:val="22"/>
          <w:szCs w:val="22"/>
        </w:rPr>
        <w:t xml:space="preserve">. </w:t>
      </w:r>
      <w:r w:rsidRPr="00351F5F">
        <w:rPr>
          <w:sz w:val="22"/>
          <w:szCs w:val="22"/>
        </w:rPr>
        <w:t>Alberta,</w:t>
      </w:r>
      <w:r>
        <w:rPr>
          <w:sz w:val="22"/>
          <w:szCs w:val="22"/>
        </w:rPr>
        <w:t xml:space="preserve"> Canada.</w:t>
      </w:r>
    </w:p>
    <w:p w14:paraId="2E2B2A5F" w14:textId="77777777" w:rsidR="00CA0853" w:rsidRPr="007B4496" w:rsidRDefault="00CA0853" w:rsidP="000B3456">
      <w:pPr>
        <w:pStyle w:val="BodyText"/>
        <w:ind w:left="567" w:hanging="567"/>
        <w:rPr>
          <w:sz w:val="22"/>
          <w:szCs w:val="22"/>
        </w:rPr>
      </w:pPr>
      <w:r w:rsidRPr="007B4496">
        <w:rPr>
          <w:sz w:val="22"/>
          <w:szCs w:val="22"/>
        </w:rPr>
        <w:t>Fugro</w:t>
      </w:r>
      <w:r>
        <w:rPr>
          <w:sz w:val="22"/>
          <w:szCs w:val="22"/>
        </w:rPr>
        <w:t>.</w:t>
      </w:r>
      <w:r w:rsidRPr="007B4496">
        <w:rPr>
          <w:sz w:val="22"/>
          <w:szCs w:val="22"/>
        </w:rPr>
        <w:t xml:space="preserve"> 2005</w:t>
      </w:r>
      <w:r>
        <w:rPr>
          <w:sz w:val="22"/>
          <w:szCs w:val="22"/>
        </w:rPr>
        <w:t>.</w:t>
      </w:r>
      <w:r w:rsidRPr="007B4496">
        <w:rPr>
          <w:sz w:val="22"/>
          <w:szCs w:val="22"/>
        </w:rPr>
        <w:t xml:space="preserve"> Longtom to Patricia Baleen Pipeline Route Survey and Culverin Site Survey.</w:t>
      </w:r>
      <w:r>
        <w:rPr>
          <w:sz w:val="22"/>
          <w:szCs w:val="22"/>
        </w:rPr>
        <w:t xml:space="preserve"> </w:t>
      </w:r>
      <w:r w:rsidRPr="007B4496">
        <w:rPr>
          <w:sz w:val="22"/>
          <w:szCs w:val="22"/>
        </w:rPr>
        <w:t>Report prepared for Nexus Energy Australia NL by Fugro Survey Pty Ltd, April 2005.</w:t>
      </w:r>
    </w:p>
    <w:p w14:paraId="490539C8" w14:textId="77777777" w:rsidR="00CA0853" w:rsidRPr="007A29A3" w:rsidRDefault="00CA0853" w:rsidP="000B3456">
      <w:pPr>
        <w:pStyle w:val="BodyText"/>
        <w:ind w:left="567" w:hanging="567"/>
        <w:rPr>
          <w:sz w:val="22"/>
          <w:szCs w:val="22"/>
        </w:rPr>
      </w:pPr>
      <w:r w:rsidRPr="007A29A3">
        <w:rPr>
          <w:sz w:val="22"/>
          <w:szCs w:val="22"/>
        </w:rPr>
        <w:t>Fugro</w:t>
      </w:r>
      <w:r>
        <w:rPr>
          <w:sz w:val="22"/>
          <w:szCs w:val="22"/>
        </w:rPr>
        <w:t>.</w:t>
      </w:r>
      <w:r w:rsidRPr="007A29A3">
        <w:rPr>
          <w:sz w:val="22"/>
          <w:szCs w:val="22"/>
        </w:rPr>
        <w:t xml:space="preserve"> 2007</w:t>
      </w:r>
      <w:r>
        <w:rPr>
          <w:sz w:val="22"/>
          <w:szCs w:val="22"/>
        </w:rPr>
        <w:t>.</w:t>
      </w:r>
      <w:r w:rsidRPr="007A29A3">
        <w:rPr>
          <w:sz w:val="22"/>
          <w:szCs w:val="22"/>
        </w:rPr>
        <w:t xml:space="preserve"> </w:t>
      </w:r>
      <w:r>
        <w:rPr>
          <w:sz w:val="22"/>
          <w:szCs w:val="22"/>
        </w:rPr>
        <w:t>Report for the Sea Lion-</w:t>
      </w:r>
      <w:r w:rsidRPr="007A29A3">
        <w:rPr>
          <w:sz w:val="22"/>
          <w:szCs w:val="22"/>
        </w:rPr>
        <w:t>1 Site Survey</w:t>
      </w:r>
      <w:r>
        <w:rPr>
          <w:sz w:val="22"/>
          <w:szCs w:val="22"/>
        </w:rPr>
        <w:t xml:space="preserve">. Fugro Survey Job No: P0635-8. Prepared by Fugro for </w:t>
      </w:r>
      <w:r w:rsidRPr="007A29A3">
        <w:rPr>
          <w:sz w:val="22"/>
          <w:szCs w:val="22"/>
        </w:rPr>
        <w:t>Australian Drilling Associates, Melbourne</w:t>
      </w:r>
      <w:r>
        <w:rPr>
          <w:sz w:val="22"/>
          <w:szCs w:val="22"/>
        </w:rPr>
        <w:t>.</w:t>
      </w:r>
    </w:p>
    <w:p w14:paraId="68867B21" w14:textId="77777777" w:rsidR="00CA0853" w:rsidRPr="00351F5F" w:rsidRDefault="00CA0853" w:rsidP="000B3456">
      <w:pPr>
        <w:pStyle w:val="BodyText"/>
        <w:ind w:left="567" w:hanging="567"/>
        <w:rPr>
          <w:sz w:val="22"/>
          <w:szCs w:val="22"/>
        </w:rPr>
      </w:pPr>
      <w:r w:rsidRPr="00351F5F">
        <w:rPr>
          <w:sz w:val="22"/>
          <w:szCs w:val="22"/>
        </w:rPr>
        <w:t>Gagnon, M.M. and Rawson, C. 2011. Montara Well Release, Monitoring Study S4A –</w:t>
      </w:r>
      <w:r>
        <w:rPr>
          <w:sz w:val="22"/>
          <w:szCs w:val="22"/>
        </w:rPr>
        <w:t xml:space="preserve"> </w:t>
      </w:r>
      <w:r w:rsidRPr="00351F5F">
        <w:rPr>
          <w:sz w:val="22"/>
          <w:szCs w:val="22"/>
        </w:rPr>
        <w:t xml:space="preserve"> Assessment of Effects on Timor Sea Fish. Curtin University, Perth, Australia.</w:t>
      </w:r>
    </w:p>
    <w:p w14:paraId="0A2E9A27" w14:textId="77777777" w:rsidR="00CA0853" w:rsidRPr="00351F5F" w:rsidRDefault="00CA0853" w:rsidP="000B3456">
      <w:pPr>
        <w:pStyle w:val="BodyText"/>
        <w:ind w:left="567" w:hanging="567"/>
        <w:rPr>
          <w:sz w:val="22"/>
          <w:szCs w:val="22"/>
        </w:rPr>
      </w:pPr>
      <w:r w:rsidRPr="00351F5F">
        <w:rPr>
          <w:sz w:val="22"/>
          <w:szCs w:val="22"/>
        </w:rPr>
        <w:t xml:space="preserve">Gala, W.R. 2001. Predicting the Aquatic Toxicity of Crude Oils. </w:t>
      </w:r>
      <w:r w:rsidRPr="004062E4">
        <w:rPr>
          <w:i/>
          <w:sz w:val="22"/>
          <w:szCs w:val="22"/>
        </w:rPr>
        <w:t>International Oil Spill Conference Proceedings</w:t>
      </w:r>
      <w:r w:rsidRPr="00351F5F">
        <w:rPr>
          <w:sz w:val="22"/>
          <w:szCs w:val="22"/>
        </w:rPr>
        <w:t xml:space="preserve"> (2):935–940.</w:t>
      </w:r>
    </w:p>
    <w:p w14:paraId="38DC72A1" w14:textId="77777777" w:rsidR="00CA0853" w:rsidRPr="00EF6863" w:rsidRDefault="00CA0853" w:rsidP="000B3456">
      <w:pPr>
        <w:pStyle w:val="BodyText"/>
        <w:ind w:left="567" w:hanging="567"/>
        <w:rPr>
          <w:sz w:val="22"/>
          <w:szCs w:val="22"/>
        </w:rPr>
      </w:pPr>
      <w:r w:rsidRPr="00EF6863">
        <w:rPr>
          <w:sz w:val="22"/>
          <w:szCs w:val="22"/>
        </w:rPr>
        <w:t xml:space="preserve">Gannier, A, Drouot, V. and Gould, J. C. 2002. Distribution and the relative abundance of Sperm Whales in the Mediterranean Sea. </w:t>
      </w:r>
      <w:r w:rsidRPr="00EF6863">
        <w:rPr>
          <w:i/>
          <w:sz w:val="22"/>
          <w:szCs w:val="22"/>
        </w:rPr>
        <w:t>Mar Ecol. Prog. Ser</w:t>
      </w:r>
      <w:r w:rsidRPr="00EF6863">
        <w:rPr>
          <w:sz w:val="22"/>
          <w:szCs w:val="22"/>
        </w:rPr>
        <w:t>. 243: 281-293.</w:t>
      </w:r>
    </w:p>
    <w:p w14:paraId="7C26679F" w14:textId="77777777" w:rsidR="00CA0853" w:rsidRPr="00ED6841" w:rsidRDefault="00CA0853" w:rsidP="000B3456">
      <w:pPr>
        <w:pStyle w:val="BodyText"/>
        <w:ind w:left="567" w:hanging="567"/>
        <w:rPr>
          <w:sz w:val="22"/>
          <w:szCs w:val="22"/>
          <w:lang w:val="da-DK"/>
        </w:rPr>
      </w:pPr>
      <w:r w:rsidRPr="00EE7703">
        <w:rPr>
          <w:sz w:val="22"/>
          <w:szCs w:val="22"/>
        </w:rPr>
        <w:t xml:space="preserve">Gausland, I. 2000. Impact of seismic surveys on marine life. SPE International Conference on Health, Safety and the Environment in Oil and Gas Exploration and Production. </w:t>
      </w:r>
      <w:r w:rsidRPr="00ED6841">
        <w:rPr>
          <w:sz w:val="22"/>
          <w:szCs w:val="22"/>
          <w:lang w:val="da-DK"/>
        </w:rPr>
        <w:t>26-28 June, 2000.Gotz et al - cetaceans</w:t>
      </w:r>
    </w:p>
    <w:p w14:paraId="6862367F" w14:textId="77777777" w:rsidR="00CA0853" w:rsidRPr="00E93F43" w:rsidRDefault="00CA0853" w:rsidP="000B3456">
      <w:pPr>
        <w:pStyle w:val="BodyText"/>
        <w:ind w:left="567" w:hanging="567"/>
        <w:rPr>
          <w:sz w:val="22"/>
          <w:szCs w:val="22"/>
        </w:rPr>
      </w:pPr>
      <w:r w:rsidRPr="00ED6841">
        <w:rPr>
          <w:sz w:val="22"/>
          <w:szCs w:val="22"/>
          <w:lang w:val="da-DK"/>
        </w:rPr>
        <w:t xml:space="preserve">Gedamke, J., Gales, </w:t>
      </w:r>
      <w:r>
        <w:rPr>
          <w:sz w:val="22"/>
          <w:szCs w:val="22"/>
          <w:lang w:val="da-DK"/>
        </w:rPr>
        <w:t xml:space="preserve">N. </w:t>
      </w:r>
      <w:r w:rsidRPr="00ED6841">
        <w:rPr>
          <w:sz w:val="22"/>
          <w:szCs w:val="22"/>
          <w:lang w:val="da-DK"/>
        </w:rPr>
        <w:t>and Frydman</w:t>
      </w:r>
      <w:r>
        <w:rPr>
          <w:sz w:val="22"/>
          <w:szCs w:val="22"/>
          <w:lang w:val="da-DK"/>
        </w:rPr>
        <w:t>, S</w:t>
      </w:r>
      <w:r w:rsidRPr="00ED6841">
        <w:rPr>
          <w:sz w:val="22"/>
          <w:szCs w:val="22"/>
          <w:lang w:val="da-DK"/>
        </w:rPr>
        <w:t xml:space="preserve">. </w:t>
      </w:r>
      <w:r w:rsidRPr="0039672C">
        <w:rPr>
          <w:sz w:val="22"/>
          <w:szCs w:val="22"/>
          <w:lang w:val="da-DK"/>
        </w:rPr>
        <w:t xml:space="preserve">2011. </w:t>
      </w:r>
      <w:r w:rsidRPr="00E93F43">
        <w:rPr>
          <w:sz w:val="22"/>
          <w:szCs w:val="22"/>
        </w:rPr>
        <w:t xml:space="preserve">Assessing risk of baleen whale hearing loss from seismic surveys: The effect of uncertainty and individual variation. </w:t>
      </w:r>
      <w:r w:rsidRPr="00182C2C">
        <w:rPr>
          <w:i/>
          <w:iCs/>
          <w:sz w:val="22"/>
          <w:szCs w:val="22"/>
        </w:rPr>
        <w:t>Journal of the Acoustical Society of America</w:t>
      </w:r>
      <w:r>
        <w:rPr>
          <w:sz w:val="22"/>
          <w:szCs w:val="22"/>
        </w:rPr>
        <w:t xml:space="preserve"> 129(1): 496–</w:t>
      </w:r>
      <w:r w:rsidRPr="00E93F43">
        <w:rPr>
          <w:sz w:val="22"/>
          <w:szCs w:val="22"/>
        </w:rPr>
        <w:t xml:space="preserve">506. </w:t>
      </w:r>
    </w:p>
    <w:p w14:paraId="1AD18A2B" w14:textId="77777777" w:rsidR="00CA0853" w:rsidRDefault="00CA0853" w:rsidP="000B3456">
      <w:pPr>
        <w:pStyle w:val="BodyText"/>
        <w:ind w:left="567" w:hanging="567"/>
        <w:rPr>
          <w:sz w:val="22"/>
          <w:szCs w:val="22"/>
        </w:rPr>
      </w:pPr>
      <w:r>
        <w:rPr>
          <w:sz w:val="22"/>
          <w:szCs w:val="22"/>
        </w:rPr>
        <w:t xml:space="preserve">Geoscience Australia. 2017. Gippsland Basin. A WWW database accessed at </w:t>
      </w:r>
      <w:r w:rsidRPr="00D71983">
        <w:rPr>
          <w:sz w:val="22"/>
          <w:szCs w:val="22"/>
        </w:rPr>
        <w:t>http://www.ga.gov.au/scientific-topics/energy/province-sedimentary-basin-geology/petroleum/offshore-southern-australia/</w:t>
      </w:r>
      <w:r>
        <w:rPr>
          <w:sz w:val="22"/>
          <w:szCs w:val="22"/>
        </w:rPr>
        <w:t xml:space="preserve">Gippsland. Geoscience Australia. Canberra. </w:t>
      </w:r>
    </w:p>
    <w:p w14:paraId="73AE59E7" w14:textId="77777777" w:rsidR="00CA0853" w:rsidRPr="009B46B1" w:rsidRDefault="00CA0853" w:rsidP="000B3456">
      <w:pPr>
        <w:pStyle w:val="BodyText"/>
        <w:ind w:left="567" w:hanging="567"/>
        <w:rPr>
          <w:sz w:val="22"/>
          <w:szCs w:val="22"/>
        </w:rPr>
      </w:pPr>
      <w:r w:rsidRPr="00351F5F">
        <w:rPr>
          <w:sz w:val="22"/>
          <w:szCs w:val="22"/>
        </w:rPr>
        <w:t>Geraci, J.R. and St. Aubin, D.J. 1988. Synthesis of Effects of Oil on Marine Mammals. Report</w:t>
      </w:r>
      <w:r>
        <w:rPr>
          <w:sz w:val="22"/>
          <w:szCs w:val="22"/>
        </w:rPr>
        <w:t xml:space="preserve"> </w:t>
      </w:r>
      <w:r w:rsidRPr="009B46B1">
        <w:rPr>
          <w:sz w:val="22"/>
          <w:szCs w:val="22"/>
        </w:rPr>
        <w:t>to US Department of the Interior, Minerals Management Service, Atlantic OCS Region,</w:t>
      </w:r>
      <w:r>
        <w:rPr>
          <w:sz w:val="22"/>
          <w:szCs w:val="22"/>
        </w:rPr>
        <w:t xml:space="preserve"> </w:t>
      </w:r>
      <w:r w:rsidRPr="009B46B1">
        <w:rPr>
          <w:sz w:val="22"/>
          <w:szCs w:val="22"/>
        </w:rPr>
        <w:t>OCS Study. Ventura, California.</w:t>
      </w:r>
    </w:p>
    <w:p w14:paraId="02BBDB4C" w14:textId="77777777" w:rsidR="00CA0853" w:rsidRPr="00EF6863" w:rsidRDefault="00CA0853" w:rsidP="000B3456">
      <w:pPr>
        <w:pStyle w:val="BodyText"/>
        <w:ind w:left="567" w:hanging="567"/>
        <w:rPr>
          <w:sz w:val="22"/>
          <w:szCs w:val="22"/>
        </w:rPr>
      </w:pPr>
      <w:r w:rsidRPr="00EF6863">
        <w:rPr>
          <w:sz w:val="22"/>
          <w:szCs w:val="22"/>
        </w:rPr>
        <w:t>Gill, P. and Morrice, M. 2003. Cetacean Observations. Blue Whale Compliance Aerial Surveys. Santos Ltd Seismic Survey Program Vic/P51 and P52. November-December 2002. Report to Santos Ltd.</w:t>
      </w:r>
    </w:p>
    <w:p w14:paraId="7BD8A721" w14:textId="77777777" w:rsidR="00CA0853" w:rsidRPr="00EF6863" w:rsidRDefault="00CA0853" w:rsidP="000B3456">
      <w:pPr>
        <w:pStyle w:val="BodyText"/>
        <w:ind w:left="567" w:hanging="567"/>
        <w:rPr>
          <w:sz w:val="22"/>
          <w:szCs w:val="22"/>
        </w:rPr>
      </w:pPr>
      <w:r w:rsidRPr="00EF6863">
        <w:rPr>
          <w:sz w:val="22"/>
          <w:szCs w:val="22"/>
        </w:rPr>
        <w:t xml:space="preserve">Gill, P.C., Kemper, C.M., Talbot, M. and Lyons, S.A. 2008. Large group of pygmy right whales seen in a shelf upwelling region off Victoria, Australia. </w:t>
      </w:r>
      <w:r w:rsidRPr="00EF6863">
        <w:rPr>
          <w:i/>
          <w:sz w:val="22"/>
          <w:szCs w:val="22"/>
        </w:rPr>
        <w:t>Marine Mammal Science</w:t>
      </w:r>
      <w:r w:rsidRPr="00EF6863">
        <w:rPr>
          <w:sz w:val="22"/>
          <w:szCs w:val="22"/>
        </w:rPr>
        <w:t xml:space="preserve"> 24(4): 962-968.</w:t>
      </w:r>
    </w:p>
    <w:p w14:paraId="4190A9DB" w14:textId="77777777" w:rsidR="00CA0853" w:rsidRPr="00CE0E3A" w:rsidRDefault="00CA0853" w:rsidP="000B3456">
      <w:pPr>
        <w:pStyle w:val="BodyText"/>
        <w:ind w:left="567" w:hanging="567"/>
        <w:rPr>
          <w:sz w:val="22"/>
          <w:szCs w:val="22"/>
        </w:rPr>
      </w:pPr>
      <w:r w:rsidRPr="00CE0E3A">
        <w:rPr>
          <w:sz w:val="22"/>
          <w:szCs w:val="22"/>
        </w:rPr>
        <w:t>Gippsland Times. 2014. Beach oil spill. Report by Julianne Langshaw, March 17, 2014.</w:t>
      </w:r>
      <w:r>
        <w:rPr>
          <w:sz w:val="22"/>
          <w:szCs w:val="22"/>
        </w:rPr>
        <w:t xml:space="preserve"> </w:t>
      </w:r>
      <w:r w:rsidRPr="00CE0E3A">
        <w:rPr>
          <w:sz w:val="22"/>
          <w:szCs w:val="22"/>
        </w:rPr>
        <w:t>Gippsland Times and Mafra Spectator.</w:t>
      </w:r>
    </w:p>
    <w:p w14:paraId="65D113B1" w14:textId="77777777" w:rsidR="00CA0853" w:rsidRPr="0039672C" w:rsidRDefault="00CA0853" w:rsidP="000B3456">
      <w:pPr>
        <w:pStyle w:val="BodyText"/>
        <w:ind w:left="567" w:hanging="567"/>
        <w:rPr>
          <w:sz w:val="22"/>
          <w:szCs w:val="22"/>
          <w:lang w:val="fr-FR"/>
        </w:rPr>
      </w:pPr>
      <w:r w:rsidRPr="00E93F43">
        <w:rPr>
          <w:sz w:val="22"/>
          <w:szCs w:val="22"/>
        </w:rPr>
        <w:t xml:space="preserve">Godwin, E.M., Noad, </w:t>
      </w:r>
      <w:r>
        <w:rPr>
          <w:sz w:val="22"/>
          <w:szCs w:val="22"/>
        </w:rPr>
        <w:t xml:space="preserve">M.J., </w:t>
      </w:r>
      <w:r w:rsidRPr="00E93F43">
        <w:rPr>
          <w:sz w:val="22"/>
          <w:szCs w:val="22"/>
        </w:rPr>
        <w:t xml:space="preserve">Kniest, </w:t>
      </w:r>
      <w:r>
        <w:rPr>
          <w:sz w:val="22"/>
          <w:szCs w:val="22"/>
        </w:rPr>
        <w:t xml:space="preserve">E. </w:t>
      </w:r>
      <w:r w:rsidRPr="00E93F43">
        <w:rPr>
          <w:sz w:val="22"/>
          <w:szCs w:val="22"/>
        </w:rPr>
        <w:t>and Dunlop</w:t>
      </w:r>
      <w:r>
        <w:rPr>
          <w:sz w:val="22"/>
          <w:szCs w:val="22"/>
        </w:rPr>
        <w:t>, R.A</w:t>
      </w:r>
      <w:r w:rsidRPr="00E93F43">
        <w:rPr>
          <w:sz w:val="22"/>
          <w:szCs w:val="22"/>
        </w:rPr>
        <w:t xml:space="preserve">. 2016. Comparing multiple sampling platforms for measuring the behavior of humpback whales (Megaptera novaeangliae). </w:t>
      </w:r>
      <w:r w:rsidRPr="0039672C">
        <w:rPr>
          <w:sz w:val="22"/>
          <w:szCs w:val="22"/>
          <w:lang w:val="fr-FR"/>
        </w:rPr>
        <w:t xml:space="preserve">Marine Mammal Science 32(1): 268-286. </w:t>
      </w:r>
      <w:hyperlink r:id="rId332" w:history="1">
        <w:r w:rsidRPr="0039672C">
          <w:rPr>
            <w:sz w:val="22"/>
            <w:szCs w:val="22"/>
            <w:lang w:val="fr-FR"/>
          </w:rPr>
          <w:t>http://dx.doi.org/10.1111/mms.12262</w:t>
        </w:r>
      </w:hyperlink>
      <w:r w:rsidRPr="0039672C">
        <w:rPr>
          <w:sz w:val="22"/>
          <w:szCs w:val="22"/>
          <w:lang w:val="fr-FR"/>
        </w:rPr>
        <w:t>.</w:t>
      </w:r>
    </w:p>
    <w:p w14:paraId="5100C035" w14:textId="77777777" w:rsidR="00CA0853" w:rsidRPr="004062E4" w:rsidRDefault="00CA0853" w:rsidP="000B3456">
      <w:pPr>
        <w:pStyle w:val="BodyText"/>
        <w:ind w:left="567" w:hanging="567"/>
        <w:rPr>
          <w:sz w:val="22"/>
          <w:szCs w:val="22"/>
        </w:rPr>
      </w:pPr>
      <w:r w:rsidRPr="0039672C">
        <w:rPr>
          <w:sz w:val="22"/>
          <w:szCs w:val="22"/>
          <w:lang w:val="fr-FR"/>
        </w:rPr>
        <w:lastRenderedPageBreak/>
        <w:t xml:space="preserve">Gohlke, J.M. 2011. </w:t>
      </w:r>
      <w:r w:rsidRPr="004062E4">
        <w:rPr>
          <w:sz w:val="22"/>
          <w:szCs w:val="22"/>
        </w:rPr>
        <w:t>A Review of Seafood Safety after the Deepwater Horizon Blowout.</w:t>
      </w:r>
      <w:r>
        <w:rPr>
          <w:sz w:val="22"/>
          <w:szCs w:val="22"/>
        </w:rPr>
        <w:t xml:space="preserve"> </w:t>
      </w:r>
      <w:r w:rsidRPr="004062E4">
        <w:rPr>
          <w:i/>
          <w:sz w:val="22"/>
          <w:szCs w:val="22"/>
        </w:rPr>
        <w:t>Environmental Health Perspectives</w:t>
      </w:r>
      <w:r w:rsidRPr="004062E4">
        <w:rPr>
          <w:sz w:val="22"/>
          <w:szCs w:val="22"/>
        </w:rPr>
        <w:t>. 119(8):1062– 1069.</w:t>
      </w:r>
    </w:p>
    <w:p w14:paraId="24DA8B52" w14:textId="77777777" w:rsidR="00CA0853" w:rsidRPr="00E93F43" w:rsidRDefault="00CA0853" w:rsidP="000B3456">
      <w:pPr>
        <w:pStyle w:val="BodyText"/>
        <w:ind w:left="567" w:hanging="567"/>
        <w:rPr>
          <w:sz w:val="22"/>
          <w:szCs w:val="22"/>
        </w:rPr>
      </w:pPr>
      <w:r w:rsidRPr="00E93F43">
        <w:rPr>
          <w:sz w:val="22"/>
          <w:szCs w:val="22"/>
        </w:rPr>
        <w:t xml:space="preserve">Gomez, C., Lawson, </w:t>
      </w:r>
      <w:r>
        <w:rPr>
          <w:sz w:val="22"/>
          <w:szCs w:val="22"/>
        </w:rPr>
        <w:t xml:space="preserve">J.W., </w:t>
      </w:r>
      <w:r w:rsidRPr="00E93F43">
        <w:rPr>
          <w:sz w:val="22"/>
          <w:szCs w:val="22"/>
        </w:rPr>
        <w:t xml:space="preserve">Wright, </w:t>
      </w:r>
      <w:r>
        <w:rPr>
          <w:sz w:val="22"/>
          <w:szCs w:val="22"/>
        </w:rPr>
        <w:t xml:space="preserve">A.J., </w:t>
      </w:r>
      <w:r w:rsidRPr="00E93F43">
        <w:rPr>
          <w:sz w:val="22"/>
          <w:szCs w:val="22"/>
        </w:rPr>
        <w:t xml:space="preserve">Buren, </w:t>
      </w:r>
      <w:r>
        <w:rPr>
          <w:sz w:val="22"/>
          <w:szCs w:val="22"/>
        </w:rPr>
        <w:t xml:space="preserve">A.D., </w:t>
      </w:r>
      <w:r w:rsidRPr="00E93F43">
        <w:rPr>
          <w:sz w:val="22"/>
          <w:szCs w:val="22"/>
        </w:rPr>
        <w:t xml:space="preserve">Tollit, </w:t>
      </w:r>
      <w:r>
        <w:rPr>
          <w:sz w:val="22"/>
          <w:szCs w:val="22"/>
        </w:rPr>
        <w:t xml:space="preserve">D. </w:t>
      </w:r>
      <w:r w:rsidRPr="00E93F43">
        <w:rPr>
          <w:sz w:val="22"/>
          <w:szCs w:val="22"/>
        </w:rPr>
        <w:t>and Lesage</w:t>
      </w:r>
      <w:r>
        <w:rPr>
          <w:sz w:val="22"/>
          <w:szCs w:val="22"/>
        </w:rPr>
        <w:t>, V</w:t>
      </w:r>
      <w:r w:rsidRPr="00E93F43">
        <w:rPr>
          <w:sz w:val="22"/>
          <w:szCs w:val="22"/>
        </w:rPr>
        <w:t>. 2016. A systematic review on the behavioural responses of wild marine mammals to noise: the disparity between science and policy. Canadian Jour</w:t>
      </w:r>
      <w:r>
        <w:rPr>
          <w:sz w:val="22"/>
          <w:szCs w:val="22"/>
        </w:rPr>
        <w:t>nal of Zoology 94(12): 801–</w:t>
      </w:r>
      <w:r w:rsidRPr="00E93F43">
        <w:rPr>
          <w:sz w:val="22"/>
          <w:szCs w:val="22"/>
        </w:rPr>
        <w:t xml:space="preserve">819. </w:t>
      </w:r>
    </w:p>
    <w:p w14:paraId="6F1F8900" w14:textId="77777777" w:rsidR="00CA0853" w:rsidRPr="00EE7703" w:rsidRDefault="00CA0853" w:rsidP="000B3456">
      <w:pPr>
        <w:pStyle w:val="BodyText"/>
        <w:ind w:left="567" w:hanging="567"/>
        <w:rPr>
          <w:sz w:val="22"/>
          <w:szCs w:val="22"/>
        </w:rPr>
      </w:pPr>
      <w:r w:rsidRPr="00EE7703">
        <w:rPr>
          <w:sz w:val="22"/>
          <w:szCs w:val="22"/>
        </w:rPr>
        <w:t xml:space="preserve">Gotz, T., Hastie, G., Hatch, L., Raustein, O, Southall, B., Tasker, M, Thomsen, F. 2009. Overview of the impacts of anthropogenic underwater sound in the marine environment. OSPAR Commission. London. </w:t>
      </w:r>
    </w:p>
    <w:p w14:paraId="27D7B864" w14:textId="77777777" w:rsidR="00CA0853" w:rsidRPr="00CC65FA" w:rsidRDefault="00CA0853" w:rsidP="000B3456">
      <w:pPr>
        <w:pStyle w:val="BodyText"/>
        <w:ind w:left="567" w:hanging="567"/>
        <w:rPr>
          <w:sz w:val="22"/>
          <w:szCs w:val="22"/>
        </w:rPr>
      </w:pPr>
      <w:r>
        <w:rPr>
          <w:sz w:val="22"/>
          <w:szCs w:val="22"/>
        </w:rPr>
        <w:t>Green, B.</w:t>
      </w:r>
      <w:r w:rsidRPr="00CC65FA">
        <w:rPr>
          <w:sz w:val="22"/>
          <w:szCs w:val="22"/>
        </w:rPr>
        <w:t>S., and Gardner, C. 2009. Surviving a sea-change: survival of southern rock lobster (</w:t>
      </w:r>
      <w:r w:rsidRPr="00CC65FA">
        <w:rPr>
          <w:i/>
          <w:sz w:val="22"/>
          <w:szCs w:val="22"/>
        </w:rPr>
        <w:t>Jasus edwardsii</w:t>
      </w:r>
      <w:r w:rsidRPr="00CC65FA">
        <w:rPr>
          <w:sz w:val="22"/>
          <w:szCs w:val="22"/>
        </w:rPr>
        <w:t xml:space="preserve">) translocated to a site of fast growth. </w:t>
      </w:r>
      <w:r w:rsidRPr="00CC65FA">
        <w:rPr>
          <w:i/>
          <w:sz w:val="22"/>
          <w:szCs w:val="22"/>
        </w:rPr>
        <w:t>ICES Journal of Marine Science</w:t>
      </w:r>
      <w:r w:rsidRPr="00CC65FA">
        <w:rPr>
          <w:sz w:val="22"/>
          <w:szCs w:val="22"/>
        </w:rPr>
        <w:t xml:space="preserve"> 66: 656–664. </w:t>
      </w:r>
    </w:p>
    <w:p w14:paraId="19C9A3AE" w14:textId="77777777" w:rsidR="00CA0853" w:rsidRPr="004E7397" w:rsidRDefault="00CA0853" w:rsidP="000B3456">
      <w:pPr>
        <w:pStyle w:val="BodyText"/>
        <w:ind w:left="567" w:hanging="567"/>
        <w:rPr>
          <w:sz w:val="22"/>
          <w:szCs w:val="22"/>
        </w:rPr>
      </w:pPr>
      <w:r w:rsidRPr="004E7397">
        <w:rPr>
          <w:sz w:val="22"/>
          <w:szCs w:val="22"/>
        </w:rPr>
        <w:t>Green, R.H. 1969. The birds of Flinders Island. Records of the Queen Victoria Museum, 34:1-32.</w:t>
      </w:r>
    </w:p>
    <w:p w14:paraId="67990B65" w14:textId="77777777" w:rsidR="00CA0853" w:rsidRPr="00662FA7" w:rsidRDefault="00CA0853" w:rsidP="000B3456">
      <w:pPr>
        <w:pStyle w:val="BodyText"/>
        <w:ind w:left="567" w:hanging="567"/>
        <w:rPr>
          <w:sz w:val="22"/>
          <w:szCs w:val="22"/>
        </w:rPr>
      </w:pPr>
      <w:r w:rsidRPr="00662FA7">
        <w:rPr>
          <w:sz w:val="22"/>
          <w:szCs w:val="22"/>
        </w:rPr>
        <w:t xml:space="preserve">Gwyther, D.  and McShane, P.E. 1988. Growth rate and natural mortality of the scallop </w:t>
      </w:r>
      <w:r w:rsidRPr="00662FA7">
        <w:rPr>
          <w:i/>
          <w:sz w:val="22"/>
          <w:szCs w:val="22"/>
        </w:rPr>
        <w:t>Pecten alba</w:t>
      </w:r>
      <w:r w:rsidRPr="00662FA7">
        <w:rPr>
          <w:sz w:val="22"/>
          <w:szCs w:val="22"/>
        </w:rPr>
        <w:t xml:space="preserve"> tate in Port Phillip Bay, Australia, and evidence for changes in growth rate after a 20-year period. </w:t>
      </w:r>
      <w:r w:rsidRPr="00662FA7">
        <w:rPr>
          <w:i/>
          <w:sz w:val="22"/>
          <w:szCs w:val="22"/>
        </w:rPr>
        <w:t>Fish</w:t>
      </w:r>
      <w:r>
        <w:rPr>
          <w:i/>
          <w:sz w:val="22"/>
          <w:szCs w:val="22"/>
        </w:rPr>
        <w:t>eries</w:t>
      </w:r>
      <w:r w:rsidRPr="00662FA7">
        <w:rPr>
          <w:i/>
          <w:sz w:val="22"/>
          <w:szCs w:val="22"/>
        </w:rPr>
        <w:t xml:space="preserve"> Res</w:t>
      </w:r>
      <w:r>
        <w:rPr>
          <w:i/>
          <w:sz w:val="22"/>
          <w:szCs w:val="22"/>
        </w:rPr>
        <w:t>earch</w:t>
      </w:r>
      <w:r w:rsidRPr="00662FA7">
        <w:rPr>
          <w:sz w:val="22"/>
          <w:szCs w:val="22"/>
        </w:rPr>
        <w:t xml:space="preserve"> 6</w:t>
      </w:r>
      <w:r>
        <w:rPr>
          <w:sz w:val="22"/>
          <w:szCs w:val="22"/>
        </w:rPr>
        <w:t>(</w:t>
      </w:r>
      <w:r w:rsidRPr="00662FA7">
        <w:rPr>
          <w:sz w:val="22"/>
          <w:szCs w:val="22"/>
        </w:rPr>
        <w:t>4</w:t>
      </w:r>
      <w:r>
        <w:rPr>
          <w:sz w:val="22"/>
          <w:szCs w:val="22"/>
        </w:rPr>
        <w:t>):</w:t>
      </w:r>
      <w:r w:rsidRPr="00662FA7">
        <w:rPr>
          <w:sz w:val="22"/>
          <w:szCs w:val="22"/>
        </w:rPr>
        <w:t xml:space="preserve"> 347-361.  </w:t>
      </w:r>
    </w:p>
    <w:p w14:paraId="755722F1" w14:textId="77777777" w:rsidR="00CA0853" w:rsidRPr="00E93F43" w:rsidRDefault="00CA0853" w:rsidP="000B3456">
      <w:pPr>
        <w:pStyle w:val="BodyText"/>
        <w:ind w:left="567" w:hanging="567"/>
        <w:rPr>
          <w:sz w:val="22"/>
          <w:szCs w:val="22"/>
        </w:rPr>
      </w:pPr>
      <w:r w:rsidRPr="00E93F43">
        <w:rPr>
          <w:sz w:val="22"/>
          <w:szCs w:val="22"/>
        </w:rPr>
        <w:t xml:space="preserve">Halvorsen, M.B., Casper, </w:t>
      </w:r>
      <w:r>
        <w:rPr>
          <w:sz w:val="22"/>
          <w:szCs w:val="22"/>
        </w:rPr>
        <w:t xml:space="preserve">B.M., </w:t>
      </w:r>
      <w:r w:rsidRPr="00E93F43">
        <w:rPr>
          <w:sz w:val="22"/>
          <w:szCs w:val="22"/>
        </w:rPr>
        <w:t xml:space="preserve">Woodley, </w:t>
      </w:r>
      <w:r>
        <w:rPr>
          <w:sz w:val="22"/>
          <w:szCs w:val="22"/>
        </w:rPr>
        <w:t xml:space="preserve">C.M., </w:t>
      </w:r>
      <w:r w:rsidRPr="00E93F43">
        <w:rPr>
          <w:sz w:val="22"/>
          <w:szCs w:val="22"/>
        </w:rPr>
        <w:t xml:space="preserve">Carlson, </w:t>
      </w:r>
      <w:r>
        <w:rPr>
          <w:sz w:val="22"/>
          <w:szCs w:val="22"/>
        </w:rPr>
        <w:t xml:space="preserve">T.J. </w:t>
      </w:r>
      <w:r w:rsidRPr="00E93F43">
        <w:rPr>
          <w:sz w:val="22"/>
          <w:szCs w:val="22"/>
        </w:rPr>
        <w:t>and Popper</w:t>
      </w:r>
      <w:r>
        <w:rPr>
          <w:sz w:val="22"/>
          <w:szCs w:val="22"/>
        </w:rPr>
        <w:t>, A.N</w:t>
      </w:r>
      <w:r w:rsidRPr="00E93F43">
        <w:rPr>
          <w:sz w:val="22"/>
          <w:szCs w:val="22"/>
        </w:rPr>
        <w:t xml:space="preserve">. 2011. Predicting and mitigating hydroacoustic impacts on fish from pile installations. National Cooperative Highway Research Program Research Results Digest 363 (October 2011). </w:t>
      </w:r>
    </w:p>
    <w:p w14:paraId="2AE45E0E" w14:textId="77777777" w:rsidR="00CA0853" w:rsidRPr="00B13479" w:rsidRDefault="00CA0853" w:rsidP="000B3456">
      <w:pPr>
        <w:pStyle w:val="BodyText"/>
        <w:ind w:left="567" w:hanging="567"/>
        <w:rPr>
          <w:sz w:val="22"/>
          <w:szCs w:val="22"/>
        </w:rPr>
      </w:pPr>
      <w:r w:rsidRPr="00E93F43">
        <w:rPr>
          <w:sz w:val="22"/>
          <w:szCs w:val="22"/>
        </w:rPr>
        <w:t xml:space="preserve">Halvorsen, M.B., Casper, </w:t>
      </w:r>
      <w:r>
        <w:rPr>
          <w:sz w:val="22"/>
          <w:szCs w:val="22"/>
        </w:rPr>
        <w:t xml:space="preserve">B.M., </w:t>
      </w:r>
      <w:r w:rsidRPr="00E93F43">
        <w:rPr>
          <w:sz w:val="22"/>
          <w:szCs w:val="22"/>
        </w:rPr>
        <w:t xml:space="preserve">Matthews, </w:t>
      </w:r>
      <w:r>
        <w:rPr>
          <w:sz w:val="22"/>
          <w:szCs w:val="22"/>
        </w:rPr>
        <w:t xml:space="preserve">F., </w:t>
      </w:r>
      <w:r w:rsidRPr="00E93F43">
        <w:rPr>
          <w:sz w:val="22"/>
          <w:szCs w:val="22"/>
        </w:rPr>
        <w:t xml:space="preserve">Carlson, </w:t>
      </w:r>
      <w:r>
        <w:rPr>
          <w:sz w:val="22"/>
          <w:szCs w:val="22"/>
        </w:rPr>
        <w:t xml:space="preserve">T.J. </w:t>
      </w:r>
      <w:r w:rsidRPr="00E93F43">
        <w:rPr>
          <w:sz w:val="22"/>
          <w:szCs w:val="22"/>
        </w:rPr>
        <w:t>and Popper</w:t>
      </w:r>
      <w:r>
        <w:rPr>
          <w:sz w:val="22"/>
          <w:szCs w:val="22"/>
        </w:rPr>
        <w:t>, A.N</w:t>
      </w:r>
      <w:r w:rsidRPr="00E93F43">
        <w:rPr>
          <w:sz w:val="22"/>
          <w:szCs w:val="22"/>
        </w:rPr>
        <w:t xml:space="preserve">. 2012. Effects of exposure to pile-driving sounds on the lake sturgeon, Nile tilapia and hogchoker. </w:t>
      </w:r>
      <w:r w:rsidRPr="00B13479">
        <w:rPr>
          <w:i/>
          <w:iCs/>
          <w:sz w:val="22"/>
          <w:szCs w:val="22"/>
        </w:rPr>
        <w:t>Proc. Biol. Sci.</w:t>
      </w:r>
      <w:r w:rsidRPr="00B13479">
        <w:rPr>
          <w:sz w:val="22"/>
          <w:szCs w:val="22"/>
        </w:rPr>
        <w:t xml:space="preserve"> 279(1748): 4705–4714. </w:t>
      </w:r>
    </w:p>
    <w:p w14:paraId="15F90526" w14:textId="77777777" w:rsidR="00CA0853" w:rsidRPr="00DE1517" w:rsidRDefault="00CA0853" w:rsidP="000B3456">
      <w:pPr>
        <w:pStyle w:val="BodyText"/>
        <w:ind w:left="567" w:hanging="567"/>
        <w:rPr>
          <w:sz w:val="22"/>
          <w:szCs w:val="22"/>
        </w:rPr>
      </w:pPr>
      <w:r w:rsidRPr="00DE1517">
        <w:rPr>
          <w:sz w:val="22"/>
          <w:szCs w:val="22"/>
        </w:rPr>
        <w:t>Harrington, J.J., MacAllistar, J. and Semmens, J.M. 2010. Assessing the immediate impact of seismic surveys on adult commercial scallops (</w:t>
      </w:r>
      <w:r w:rsidRPr="00DE1517">
        <w:rPr>
          <w:i/>
          <w:sz w:val="22"/>
          <w:szCs w:val="22"/>
        </w:rPr>
        <w:t>Pecten fumatus</w:t>
      </w:r>
      <w:r w:rsidRPr="00DE1517">
        <w:rPr>
          <w:sz w:val="22"/>
          <w:szCs w:val="22"/>
        </w:rPr>
        <w:t xml:space="preserve">) in Bass Strait. Tasmanian Aquaculture and Fisheries Institute, </w:t>
      </w:r>
      <w:r>
        <w:rPr>
          <w:sz w:val="22"/>
          <w:szCs w:val="22"/>
        </w:rPr>
        <w:t>University of Tasmania</w:t>
      </w:r>
      <w:r w:rsidRPr="00DE1517">
        <w:rPr>
          <w:sz w:val="22"/>
          <w:szCs w:val="22"/>
        </w:rPr>
        <w:t>.</w:t>
      </w:r>
      <w:r>
        <w:rPr>
          <w:sz w:val="22"/>
          <w:szCs w:val="22"/>
        </w:rPr>
        <w:t xml:space="preserve"> Hobart.</w:t>
      </w:r>
    </w:p>
    <w:p w14:paraId="0D472FEA" w14:textId="77777777" w:rsidR="00CA0853" w:rsidRPr="0017576C" w:rsidRDefault="00CA0853" w:rsidP="000B3456">
      <w:pPr>
        <w:pStyle w:val="BodyText"/>
        <w:ind w:left="567" w:hanging="567"/>
        <w:rPr>
          <w:sz w:val="22"/>
          <w:szCs w:val="22"/>
        </w:rPr>
      </w:pPr>
      <w:r w:rsidRPr="00D71E2C">
        <w:rPr>
          <w:sz w:val="22"/>
          <w:szCs w:val="22"/>
        </w:rPr>
        <w:t>Harris, P.T. and Heap, A. 2009</w:t>
      </w:r>
      <w:r>
        <w:rPr>
          <w:sz w:val="22"/>
          <w:szCs w:val="22"/>
        </w:rPr>
        <w:t xml:space="preserve">. Geomorphology and Holocene sedimentology of the Tasmanian continental margin. J. </w:t>
      </w:r>
      <w:r w:rsidRPr="00D71E2C">
        <w:rPr>
          <w:i/>
          <w:sz w:val="22"/>
          <w:szCs w:val="22"/>
        </w:rPr>
        <w:t>Geo</w:t>
      </w:r>
      <w:r>
        <w:rPr>
          <w:i/>
          <w:sz w:val="22"/>
          <w:szCs w:val="22"/>
        </w:rPr>
        <w:t>. Soc. Aus</w:t>
      </w:r>
      <w:r w:rsidRPr="00D71E2C">
        <w:rPr>
          <w:i/>
          <w:sz w:val="22"/>
          <w:szCs w:val="22"/>
        </w:rPr>
        <w:t>.</w:t>
      </w:r>
      <w:r>
        <w:rPr>
          <w:sz w:val="22"/>
          <w:szCs w:val="22"/>
        </w:rPr>
        <w:t xml:space="preserve">  </w:t>
      </w:r>
    </w:p>
    <w:p w14:paraId="7F05E4D1" w14:textId="77777777" w:rsidR="00CA0853" w:rsidRPr="00EF6863" w:rsidRDefault="00CA0853" w:rsidP="000B3456">
      <w:pPr>
        <w:pStyle w:val="BodyText"/>
        <w:ind w:left="567" w:hanging="567"/>
        <w:rPr>
          <w:sz w:val="22"/>
          <w:szCs w:val="22"/>
        </w:rPr>
      </w:pPr>
      <w:r w:rsidRPr="00EF6863">
        <w:rPr>
          <w:sz w:val="22"/>
          <w:szCs w:val="22"/>
        </w:rPr>
        <w:t xml:space="preserve">Hastie, G.D, Swift, R.J, Gordon, J.C.D., Slesser, G. and Turrell, W.R. 2003. Sperm Whale Distribution and Seasonal Density in the Faroe Shetland Channel. </w:t>
      </w:r>
      <w:r w:rsidRPr="00EF6863">
        <w:rPr>
          <w:i/>
          <w:sz w:val="22"/>
          <w:szCs w:val="22"/>
        </w:rPr>
        <w:t>J Cetacean Res</w:t>
      </w:r>
      <w:r w:rsidRPr="00EF6863">
        <w:rPr>
          <w:sz w:val="22"/>
          <w:szCs w:val="22"/>
        </w:rPr>
        <w:t>. Manage 5(3): 247-252.</w:t>
      </w:r>
    </w:p>
    <w:p w14:paraId="20282AB3" w14:textId="77777777" w:rsidR="00CA0853" w:rsidRPr="00B13479" w:rsidRDefault="00CA0853" w:rsidP="000B3456">
      <w:pPr>
        <w:pStyle w:val="BodyText"/>
        <w:ind w:left="567" w:hanging="567"/>
        <w:rPr>
          <w:sz w:val="22"/>
          <w:szCs w:val="22"/>
        </w:rPr>
      </w:pPr>
      <w:bookmarkStart w:id="1324" w:name="_ENREF_6"/>
      <w:r w:rsidRPr="00B13479">
        <w:rPr>
          <w:sz w:val="22"/>
          <w:szCs w:val="22"/>
        </w:rPr>
        <w:t xml:space="preserve">Hassel, A., Knutsen, </w:t>
      </w:r>
      <w:r>
        <w:rPr>
          <w:sz w:val="22"/>
          <w:szCs w:val="22"/>
        </w:rPr>
        <w:t xml:space="preserve">T., </w:t>
      </w:r>
      <w:r w:rsidRPr="00B13479">
        <w:rPr>
          <w:sz w:val="22"/>
          <w:szCs w:val="22"/>
        </w:rPr>
        <w:t xml:space="preserve">Dalen, </w:t>
      </w:r>
      <w:r>
        <w:rPr>
          <w:sz w:val="22"/>
          <w:szCs w:val="22"/>
        </w:rPr>
        <w:t xml:space="preserve">J., </w:t>
      </w:r>
      <w:r w:rsidRPr="00B13479">
        <w:rPr>
          <w:sz w:val="22"/>
          <w:szCs w:val="22"/>
        </w:rPr>
        <w:t xml:space="preserve">Løkkeborg, </w:t>
      </w:r>
      <w:r>
        <w:rPr>
          <w:sz w:val="22"/>
          <w:szCs w:val="22"/>
        </w:rPr>
        <w:t xml:space="preserve">S., </w:t>
      </w:r>
      <w:r w:rsidRPr="00B13479">
        <w:rPr>
          <w:sz w:val="22"/>
          <w:szCs w:val="22"/>
        </w:rPr>
        <w:t xml:space="preserve">Skaar, </w:t>
      </w:r>
      <w:r>
        <w:rPr>
          <w:sz w:val="22"/>
          <w:szCs w:val="22"/>
        </w:rPr>
        <w:t xml:space="preserve">K., </w:t>
      </w:r>
      <w:r w:rsidRPr="00B13479">
        <w:rPr>
          <w:sz w:val="22"/>
          <w:szCs w:val="22"/>
        </w:rPr>
        <w:t>Østensen, Ø.</w:t>
      </w:r>
      <w:r>
        <w:rPr>
          <w:sz w:val="22"/>
          <w:szCs w:val="22"/>
        </w:rPr>
        <w:t xml:space="preserve">, </w:t>
      </w:r>
      <w:r w:rsidRPr="00B13479">
        <w:rPr>
          <w:sz w:val="22"/>
          <w:szCs w:val="22"/>
        </w:rPr>
        <w:t xml:space="preserve">Haugland, </w:t>
      </w:r>
      <w:r>
        <w:rPr>
          <w:sz w:val="22"/>
          <w:szCs w:val="22"/>
        </w:rPr>
        <w:t xml:space="preserve">E.K., </w:t>
      </w:r>
      <w:r w:rsidRPr="00B13479">
        <w:rPr>
          <w:sz w:val="22"/>
          <w:szCs w:val="22"/>
        </w:rPr>
        <w:t xml:space="preserve">Fonn, </w:t>
      </w:r>
      <w:r>
        <w:rPr>
          <w:sz w:val="22"/>
          <w:szCs w:val="22"/>
        </w:rPr>
        <w:t xml:space="preserve">M., </w:t>
      </w:r>
      <w:r w:rsidRPr="00B13479">
        <w:rPr>
          <w:sz w:val="22"/>
          <w:szCs w:val="22"/>
        </w:rPr>
        <w:t xml:space="preserve">Hoines, </w:t>
      </w:r>
      <w:r>
        <w:rPr>
          <w:sz w:val="22"/>
          <w:szCs w:val="22"/>
        </w:rPr>
        <w:t xml:space="preserve">A. </w:t>
      </w:r>
      <w:r w:rsidRPr="00B13479">
        <w:rPr>
          <w:sz w:val="22"/>
          <w:szCs w:val="22"/>
        </w:rPr>
        <w:t>and Misund</w:t>
      </w:r>
      <w:r>
        <w:rPr>
          <w:sz w:val="22"/>
          <w:szCs w:val="22"/>
        </w:rPr>
        <w:t>, O.A</w:t>
      </w:r>
      <w:r w:rsidRPr="00B13479">
        <w:rPr>
          <w:sz w:val="22"/>
          <w:szCs w:val="22"/>
        </w:rPr>
        <w:t>. 2003. Reaction of sandeel to seismic shooting: a field experiment and fishery statistics stud</w:t>
      </w:r>
      <w:r>
        <w:rPr>
          <w:sz w:val="22"/>
          <w:szCs w:val="22"/>
        </w:rPr>
        <w:t>y. Institute of Marine Research.</w:t>
      </w:r>
      <w:r w:rsidRPr="00B13479">
        <w:rPr>
          <w:sz w:val="22"/>
          <w:szCs w:val="22"/>
        </w:rPr>
        <w:t xml:space="preserve"> Fisken og Havet.</w:t>
      </w:r>
      <w:bookmarkEnd w:id="1324"/>
    </w:p>
    <w:p w14:paraId="3FFAE9C6" w14:textId="77777777" w:rsidR="00CA0853" w:rsidRPr="00B13479" w:rsidRDefault="00CA0853" w:rsidP="000B3456">
      <w:pPr>
        <w:pStyle w:val="BodyText"/>
        <w:ind w:left="567" w:hanging="567"/>
        <w:rPr>
          <w:sz w:val="22"/>
          <w:szCs w:val="22"/>
        </w:rPr>
      </w:pPr>
      <w:bookmarkStart w:id="1325" w:name="_ENREF_7"/>
      <w:r w:rsidRPr="00B13479">
        <w:rPr>
          <w:sz w:val="22"/>
          <w:szCs w:val="22"/>
        </w:rPr>
        <w:t xml:space="preserve">Hassel, A., Knutsen, </w:t>
      </w:r>
      <w:r>
        <w:rPr>
          <w:sz w:val="22"/>
          <w:szCs w:val="22"/>
        </w:rPr>
        <w:t xml:space="preserve">T., </w:t>
      </w:r>
      <w:r w:rsidRPr="00B13479">
        <w:rPr>
          <w:sz w:val="22"/>
          <w:szCs w:val="22"/>
        </w:rPr>
        <w:t xml:space="preserve">Dalen, </w:t>
      </w:r>
      <w:r>
        <w:rPr>
          <w:sz w:val="22"/>
          <w:szCs w:val="22"/>
        </w:rPr>
        <w:t xml:space="preserve">J., </w:t>
      </w:r>
      <w:r w:rsidRPr="00B13479">
        <w:rPr>
          <w:sz w:val="22"/>
          <w:szCs w:val="22"/>
        </w:rPr>
        <w:t xml:space="preserve">Skaar, </w:t>
      </w:r>
      <w:r>
        <w:rPr>
          <w:sz w:val="22"/>
          <w:szCs w:val="22"/>
        </w:rPr>
        <w:t xml:space="preserve">K., </w:t>
      </w:r>
      <w:r w:rsidRPr="00B13479">
        <w:rPr>
          <w:sz w:val="22"/>
          <w:szCs w:val="22"/>
        </w:rPr>
        <w:t xml:space="preserve">Løkkeborg, </w:t>
      </w:r>
      <w:r>
        <w:rPr>
          <w:sz w:val="22"/>
          <w:szCs w:val="22"/>
        </w:rPr>
        <w:t xml:space="preserve">S., </w:t>
      </w:r>
      <w:r w:rsidRPr="00B13479">
        <w:rPr>
          <w:sz w:val="22"/>
          <w:szCs w:val="22"/>
        </w:rPr>
        <w:t xml:space="preserve">Misund, </w:t>
      </w:r>
      <w:r>
        <w:rPr>
          <w:sz w:val="22"/>
          <w:szCs w:val="22"/>
        </w:rPr>
        <w:t xml:space="preserve">O.A., </w:t>
      </w:r>
      <w:r w:rsidRPr="00B13479">
        <w:rPr>
          <w:sz w:val="22"/>
          <w:szCs w:val="22"/>
        </w:rPr>
        <w:t>Østensen, Ø.</w:t>
      </w:r>
      <w:r>
        <w:rPr>
          <w:sz w:val="22"/>
          <w:szCs w:val="22"/>
        </w:rPr>
        <w:t>,</w:t>
      </w:r>
      <w:r w:rsidRPr="00B13479">
        <w:rPr>
          <w:sz w:val="22"/>
          <w:szCs w:val="22"/>
        </w:rPr>
        <w:t xml:space="preserve"> Fonn, </w:t>
      </w:r>
      <w:r>
        <w:rPr>
          <w:sz w:val="22"/>
          <w:szCs w:val="22"/>
        </w:rPr>
        <w:t xml:space="preserve">M. </w:t>
      </w:r>
      <w:r w:rsidRPr="00B13479">
        <w:rPr>
          <w:sz w:val="22"/>
          <w:szCs w:val="22"/>
        </w:rPr>
        <w:t>and Haugland</w:t>
      </w:r>
      <w:r>
        <w:rPr>
          <w:sz w:val="22"/>
          <w:szCs w:val="22"/>
        </w:rPr>
        <w:t>, E.K</w:t>
      </w:r>
      <w:r w:rsidRPr="00B13479">
        <w:rPr>
          <w:sz w:val="22"/>
          <w:szCs w:val="22"/>
        </w:rPr>
        <w:t>. 2004. Influence of seismic shooting on the lesser sandeel (</w:t>
      </w:r>
      <w:r w:rsidRPr="00B13479">
        <w:rPr>
          <w:i/>
          <w:iCs/>
          <w:sz w:val="22"/>
          <w:szCs w:val="22"/>
        </w:rPr>
        <w:t>Ammodytes marinus</w:t>
      </w:r>
      <w:r w:rsidRPr="00B13479">
        <w:rPr>
          <w:sz w:val="22"/>
          <w:szCs w:val="22"/>
        </w:rPr>
        <w:t xml:space="preserve">). ICES Journal of Marine Science: </w:t>
      </w:r>
      <w:r w:rsidRPr="00B13479">
        <w:rPr>
          <w:i/>
          <w:iCs/>
          <w:sz w:val="22"/>
          <w:szCs w:val="22"/>
        </w:rPr>
        <w:t>Journal du</w:t>
      </w:r>
      <w:r w:rsidRPr="00B13479">
        <w:rPr>
          <w:sz w:val="22"/>
          <w:szCs w:val="22"/>
        </w:rPr>
        <w:t xml:space="preserve"> Conseil 61:1165-1173.</w:t>
      </w:r>
      <w:bookmarkEnd w:id="1325"/>
    </w:p>
    <w:p w14:paraId="2A536EDA" w14:textId="77777777" w:rsidR="00CA0853" w:rsidRPr="004A2E49" w:rsidRDefault="00CA0853" w:rsidP="000B3456">
      <w:pPr>
        <w:pStyle w:val="BodyText"/>
        <w:ind w:left="567" w:hanging="567"/>
        <w:rPr>
          <w:sz w:val="22"/>
          <w:szCs w:val="22"/>
        </w:rPr>
      </w:pPr>
      <w:bookmarkStart w:id="1326" w:name="_ENREF_8"/>
      <w:r w:rsidRPr="004A2E49">
        <w:rPr>
          <w:sz w:val="22"/>
          <w:szCs w:val="22"/>
        </w:rPr>
        <w:t xml:space="preserve">Hastings, M. and J. Miksis-Olds. 2012. Shipboard Assessment of Hearing Sensitivity of Tropical Fishes Immediately After Exposure to Seismic Air Gun Emissions at Scott Reef. </w:t>
      </w:r>
      <w:r>
        <w:rPr>
          <w:sz w:val="22"/>
          <w:szCs w:val="22"/>
        </w:rPr>
        <w:t>I</w:t>
      </w:r>
      <w:r w:rsidRPr="004A2E49">
        <w:rPr>
          <w:sz w:val="22"/>
          <w:szCs w:val="22"/>
        </w:rPr>
        <w:t>n</w:t>
      </w:r>
      <w:r>
        <w:rPr>
          <w:sz w:val="22"/>
          <w:szCs w:val="22"/>
        </w:rPr>
        <w:t xml:space="preserve">: </w:t>
      </w:r>
      <w:r w:rsidRPr="004A2E49">
        <w:rPr>
          <w:sz w:val="22"/>
          <w:szCs w:val="22"/>
        </w:rPr>
        <w:t>Popper</w:t>
      </w:r>
      <w:r>
        <w:rPr>
          <w:sz w:val="22"/>
          <w:szCs w:val="22"/>
        </w:rPr>
        <w:t>, A.</w:t>
      </w:r>
      <w:r w:rsidRPr="004A2E49">
        <w:rPr>
          <w:sz w:val="22"/>
          <w:szCs w:val="22"/>
        </w:rPr>
        <w:t xml:space="preserve"> and Hawkins, </w:t>
      </w:r>
      <w:r>
        <w:rPr>
          <w:sz w:val="22"/>
          <w:szCs w:val="22"/>
        </w:rPr>
        <w:t>A. (eds)</w:t>
      </w:r>
      <w:r w:rsidRPr="004A2E49">
        <w:rPr>
          <w:sz w:val="22"/>
          <w:szCs w:val="22"/>
        </w:rPr>
        <w:t>. The Effects of Noise on Aquatic Life. Springer New York.</w:t>
      </w:r>
      <w:bookmarkEnd w:id="1326"/>
    </w:p>
    <w:p w14:paraId="5DD05AE3" w14:textId="77777777" w:rsidR="00CA0853" w:rsidRPr="004A64D1" w:rsidRDefault="00CA0853" w:rsidP="000B3456">
      <w:pPr>
        <w:pStyle w:val="BodyText"/>
        <w:ind w:left="567" w:hanging="567"/>
        <w:rPr>
          <w:sz w:val="22"/>
          <w:szCs w:val="22"/>
        </w:rPr>
      </w:pPr>
      <w:r w:rsidRPr="004A64D1">
        <w:rPr>
          <w:sz w:val="22"/>
          <w:szCs w:val="22"/>
        </w:rPr>
        <w:lastRenderedPageBreak/>
        <w:t>Hawkins, A.D. and Popper</w:t>
      </w:r>
      <w:r>
        <w:rPr>
          <w:sz w:val="22"/>
          <w:szCs w:val="22"/>
        </w:rPr>
        <w:t>, A.N</w:t>
      </w:r>
      <w:r w:rsidRPr="004A64D1">
        <w:rPr>
          <w:sz w:val="22"/>
          <w:szCs w:val="22"/>
        </w:rPr>
        <w:t xml:space="preserve">. 2016. A sound approach to assessing the impact of underwater noise on marine fishes and invertebrates. </w:t>
      </w:r>
      <w:r w:rsidRPr="004A64D1">
        <w:rPr>
          <w:i/>
          <w:sz w:val="22"/>
          <w:szCs w:val="22"/>
        </w:rPr>
        <w:t>ICES Journal of Marine Science</w:t>
      </w:r>
      <w:r w:rsidRPr="004A64D1">
        <w:rPr>
          <w:sz w:val="22"/>
          <w:szCs w:val="22"/>
        </w:rPr>
        <w:t>: 17.</w:t>
      </w:r>
    </w:p>
    <w:p w14:paraId="1D3BB16D" w14:textId="77777777" w:rsidR="00CA0853" w:rsidRPr="00EE7703" w:rsidRDefault="00CA0853" w:rsidP="000B3456">
      <w:pPr>
        <w:pStyle w:val="BodyText"/>
        <w:ind w:left="567" w:hanging="567"/>
        <w:rPr>
          <w:sz w:val="22"/>
          <w:szCs w:val="22"/>
        </w:rPr>
      </w:pPr>
      <w:r w:rsidRPr="00EE7703">
        <w:rPr>
          <w:sz w:val="22"/>
          <w:szCs w:val="22"/>
        </w:rPr>
        <w:t>Hawkins, E. R. and Gartside, D. F. 2009. Interactive Behaviours of Bottlenose Dolphins (</w:t>
      </w:r>
      <w:r w:rsidRPr="00EE7703">
        <w:rPr>
          <w:i/>
          <w:sz w:val="22"/>
          <w:szCs w:val="22"/>
        </w:rPr>
        <w:t>Tursiops aduncus</w:t>
      </w:r>
      <w:r w:rsidRPr="00EE7703">
        <w:rPr>
          <w:sz w:val="22"/>
          <w:szCs w:val="22"/>
        </w:rPr>
        <w:t xml:space="preserve">) During Encounters with Vessels. </w:t>
      </w:r>
      <w:r w:rsidRPr="00401C50">
        <w:rPr>
          <w:i/>
          <w:iCs/>
          <w:sz w:val="22"/>
          <w:szCs w:val="22"/>
        </w:rPr>
        <w:t>Aquatic Mammals</w:t>
      </w:r>
      <w:r w:rsidRPr="00EE7703">
        <w:rPr>
          <w:sz w:val="22"/>
          <w:szCs w:val="22"/>
        </w:rPr>
        <w:t xml:space="preserve"> 2009 35(2): 259-268.</w:t>
      </w:r>
    </w:p>
    <w:p w14:paraId="161258D9" w14:textId="77777777" w:rsidR="00CA0853" w:rsidRPr="00CE0E3A" w:rsidRDefault="00CA0853" w:rsidP="000B3456">
      <w:pPr>
        <w:pStyle w:val="BodyText"/>
        <w:ind w:left="567" w:hanging="567"/>
        <w:rPr>
          <w:sz w:val="22"/>
          <w:szCs w:val="22"/>
        </w:rPr>
      </w:pPr>
      <w:r w:rsidRPr="00CE0E3A">
        <w:rPr>
          <w:sz w:val="22"/>
          <w:szCs w:val="22"/>
        </w:rPr>
        <w:t>Hayworth, J.S., Clement, T.P. and Valentine, J.F. 2011. Deepwater Horizon oil spill impacts on</w:t>
      </w:r>
      <w:r>
        <w:rPr>
          <w:sz w:val="22"/>
          <w:szCs w:val="22"/>
        </w:rPr>
        <w:t xml:space="preserve"> </w:t>
      </w:r>
      <w:r w:rsidRPr="00CE0E3A">
        <w:rPr>
          <w:sz w:val="22"/>
          <w:szCs w:val="22"/>
        </w:rPr>
        <w:t xml:space="preserve">Alabama Beaches. </w:t>
      </w:r>
      <w:r w:rsidRPr="00CE0E3A">
        <w:rPr>
          <w:i/>
          <w:sz w:val="22"/>
          <w:szCs w:val="22"/>
        </w:rPr>
        <w:t>Hydrology and Earth System Sciences</w:t>
      </w:r>
      <w:r w:rsidRPr="00CE0E3A">
        <w:rPr>
          <w:sz w:val="22"/>
          <w:szCs w:val="22"/>
        </w:rPr>
        <w:t xml:space="preserve"> 15 :3639– 3649.</w:t>
      </w:r>
    </w:p>
    <w:p w14:paraId="58E743CA" w14:textId="77777777" w:rsidR="00CA0853" w:rsidRPr="00E93F43" w:rsidRDefault="00CA0853" w:rsidP="000B3456">
      <w:pPr>
        <w:pStyle w:val="BodyText"/>
        <w:ind w:left="567" w:hanging="567"/>
        <w:rPr>
          <w:sz w:val="22"/>
          <w:szCs w:val="22"/>
        </w:rPr>
      </w:pPr>
      <w:r w:rsidRPr="00E93F43">
        <w:rPr>
          <w:sz w:val="22"/>
          <w:szCs w:val="22"/>
        </w:rPr>
        <w:t xml:space="preserve">Hermannsen, L., Tougaard, </w:t>
      </w:r>
      <w:r>
        <w:rPr>
          <w:sz w:val="22"/>
          <w:szCs w:val="22"/>
        </w:rPr>
        <w:t xml:space="preserve">J., </w:t>
      </w:r>
      <w:r w:rsidRPr="00E93F43">
        <w:rPr>
          <w:sz w:val="22"/>
          <w:szCs w:val="22"/>
        </w:rPr>
        <w:t xml:space="preserve">Beedholm, </w:t>
      </w:r>
      <w:r>
        <w:rPr>
          <w:sz w:val="22"/>
          <w:szCs w:val="22"/>
        </w:rPr>
        <w:t xml:space="preserve">K., </w:t>
      </w:r>
      <w:r w:rsidRPr="00E93F43">
        <w:rPr>
          <w:sz w:val="22"/>
          <w:szCs w:val="22"/>
        </w:rPr>
        <w:t xml:space="preserve">Nabe-Nielsen, </w:t>
      </w:r>
      <w:r>
        <w:rPr>
          <w:sz w:val="22"/>
          <w:szCs w:val="22"/>
        </w:rPr>
        <w:t xml:space="preserve">J. </w:t>
      </w:r>
      <w:r w:rsidRPr="00E93F43">
        <w:rPr>
          <w:sz w:val="22"/>
          <w:szCs w:val="22"/>
        </w:rPr>
        <w:t>and Madsen</w:t>
      </w:r>
      <w:r>
        <w:rPr>
          <w:sz w:val="22"/>
          <w:szCs w:val="22"/>
        </w:rPr>
        <w:t>, P.T</w:t>
      </w:r>
      <w:r w:rsidRPr="00E93F43">
        <w:rPr>
          <w:sz w:val="22"/>
          <w:szCs w:val="22"/>
        </w:rPr>
        <w:t xml:space="preserve">. 2015. Characteristics and propagation of airgun pulses in shallow water with implications for effects on small marine mammals. </w:t>
      </w:r>
      <w:r w:rsidRPr="004A2E49">
        <w:rPr>
          <w:i/>
          <w:iCs/>
          <w:sz w:val="22"/>
          <w:szCs w:val="22"/>
        </w:rPr>
        <w:t>PLoS ONE</w:t>
      </w:r>
      <w:r w:rsidRPr="00E93F43">
        <w:rPr>
          <w:sz w:val="22"/>
          <w:szCs w:val="22"/>
        </w:rPr>
        <w:t xml:space="preserve"> 10(7): e0133436. </w:t>
      </w:r>
    </w:p>
    <w:p w14:paraId="3B2076BF" w14:textId="77777777" w:rsidR="00CA0853" w:rsidRPr="004062E4" w:rsidRDefault="00CA0853" w:rsidP="000B3456">
      <w:pPr>
        <w:pStyle w:val="BodyText"/>
        <w:ind w:left="567" w:hanging="567"/>
        <w:rPr>
          <w:sz w:val="22"/>
          <w:szCs w:val="22"/>
        </w:rPr>
      </w:pPr>
      <w:r w:rsidRPr="004062E4">
        <w:rPr>
          <w:sz w:val="22"/>
          <w:szCs w:val="22"/>
        </w:rPr>
        <w:t>Heyward, A., Moore, C., Radford, B. and Colquhoun, J. 2010. Monitoring Program for the</w:t>
      </w:r>
      <w:r>
        <w:rPr>
          <w:sz w:val="22"/>
          <w:szCs w:val="22"/>
        </w:rPr>
        <w:t xml:space="preserve"> </w:t>
      </w:r>
      <w:r w:rsidRPr="004062E4">
        <w:rPr>
          <w:sz w:val="22"/>
          <w:szCs w:val="22"/>
        </w:rPr>
        <w:t>Montara Well Release Timor Sea: Final Report on the Nature of Barracouta and Vulcan</w:t>
      </w:r>
      <w:r>
        <w:rPr>
          <w:sz w:val="22"/>
          <w:szCs w:val="22"/>
        </w:rPr>
        <w:t xml:space="preserve"> </w:t>
      </w:r>
      <w:r w:rsidRPr="004062E4">
        <w:rPr>
          <w:sz w:val="22"/>
          <w:szCs w:val="22"/>
        </w:rPr>
        <w:t>Shoals. Report prepared by the Australian Institute of Marine Science for PTTEP</w:t>
      </w:r>
      <w:r>
        <w:rPr>
          <w:sz w:val="22"/>
          <w:szCs w:val="22"/>
        </w:rPr>
        <w:t xml:space="preserve"> </w:t>
      </w:r>
      <w:r w:rsidRPr="004062E4">
        <w:rPr>
          <w:sz w:val="22"/>
          <w:szCs w:val="22"/>
        </w:rPr>
        <w:t>Australasia (Ashmore Cartier) Pty Ltd.</w:t>
      </w:r>
    </w:p>
    <w:p w14:paraId="67785979" w14:textId="77777777" w:rsidR="00CA0853" w:rsidRPr="00425C7C" w:rsidRDefault="00CA0853" w:rsidP="000B3456">
      <w:pPr>
        <w:pStyle w:val="BodyText"/>
        <w:ind w:left="567" w:hanging="567"/>
        <w:rPr>
          <w:sz w:val="22"/>
          <w:szCs w:val="22"/>
        </w:rPr>
      </w:pPr>
      <w:r w:rsidRPr="00425C7C">
        <w:rPr>
          <w:sz w:val="22"/>
          <w:szCs w:val="22"/>
        </w:rPr>
        <w:t>Higgins, L.V. and Gass, L. 1993. Birth to weaning: parturition, duration of lactation, and</w:t>
      </w:r>
      <w:r>
        <w:rPr>
          <w:sz w:val="22"/>
          <w:szCs w:val="22"/>
        </w:rPr>
        <w:t xml:space="preserve"> </w:t>
      </w:r>
      <w:r w:rsidRPr="00425C7C">
        <w:rPr>
          <w:sz w:val="22"/>
          <w:szCs w:val="22"/>
        </w:rPr>
        <w:t>attendance cycles of Australian sea lions (</w:t>
      </w:r>
      <w:r w:rsidRPr="00425C7C">
        <w:rPr>
          <w:i/>
          <w:sz w:val="22"/>
          <w:szCs w:val="22"/>
        </w:rPr>
        <w:t>Neophoca cinerea</w:t>
      </w:r>
      <w:r w:rsidRPr="00425C7C">
        <w:rPr>
          <w:sz w:val="22"/>
          <w:szCs w:val="22"/>
        </w:rPr>
        <w:t xml:space="preserve">). </w:t>
      </w:r>
      <w:r w:rsidRPr="00425C7C">
        <w:rPr>
          <w:i/>
          <w:sz w:val="22"/>
          <w:szCs w:val="22"/>
        </w:rPr>
        <w:t>Canadian Journal of Zoology</w:t>
      </w:r>
      <w:r w:rsidRPr="00425C7C">
        <w:rPr>
          <w:sz w:val="22"/>
          <w:szCs w:val="22"/>
        </w:rPr>
        <w:t xml:space="preserve"> 71:2047-2055.</w:t>
      </w:r>
    </w:p>
    <w:p w14:paraId="0F0D59DE" w14:textId="77777777" w:rsidR="00CA0853" w:rsidRPr="00EF6863" w:rsidRDefault="00CA0853" w:rsidP="000B3456">
      <w:pPr>
        <w:pStyle w:val="BodyText"/>
        <w:ind w:left="567" w:hanging="567"/>
        <w:rPr>
          <w:sz w:val="22"/>
          <w:szCs w:val="22"/>
        </w:rPr>
      </w:pPr>
      <w:r w:rsidRPr="00EF6863">
        <w:rPr>
          <w:sz w:val="22"/>
          <w:szCs w:val="22"/>
        </w:rPr>
        <w:t>Higgins, P.J. (ed.) 1999. Handbook of Australian, New Zealand and Antarctic Birds. Volume Four - Parrots to Dollarbird. Oxford University Press, Melbourne.</w:t>
      </w:r>
    </w:p>
    <w:p w14:paraId="0E3D4423" w14:textId="77777777" w:rsidR="00CA0853" w:rsidRPr="00691544" w:rsidRDefault="00CA0853" w:rsidP="000B3456">
      <w:pPr>
        <w:pStyle w:val="BodyText"/>
        <w:ind w:left="567" w:hanging="567"/>
        <w:rPr>
          <w:sz w:val="22"/>
          <w:szCs w:val="22"/>
        </w:rPr>
      </w:pPr>
      <w:r w:rsidRPr="00691544">
        <w:rPr>
          <w:sz w:val="22"/>
          <w:szCs w:val="22"/>
        </w:rPr>
        <w:t xml:space="preserve">Hinojosa, I. A., Green, B. S., Gardner, C. and Jeffs, A. 2014. Settlement and early survival of southern rock lobster, </w:t>
      </w:r>
      <w:r w:rsidRPr="00EA0495">
        <w:rPr>
          <w:i/>
          <w:iCs/>
          <w:sz w:val="22"/>
          <w:szCs w:val="22"/>
        </w:rPr>
        <w:t>Jasus edwardsii</w:t>
      </w:r>
      <w:r w:rsidRPr="00691544">
        <w:rPr>
          <w:sz w:val="22"/>
          <w:szCs w:val="22"/>
        </w:rPr>
        <w:t xml:space="preserve">, under climate-driven decline of kelp habitats. ICES </w:t>
      </w:r>
      <w:r w:rsidRPr="00EA0495">
        <w:rPr>
          <w:i/>
          <w:iCs/>
          <w:sz w:val="22"/>
          <w:szCs w:val="22"/>
        </w:rPr>
        <w:t>Journal of Marine Science</w:t>
      </w:r>
      <w:r w:rsidRPr="00691544">
        <w:rPr>
          <w:sz w:val="22"/>
          <w:szCs w:val="22"/>
        </w:rPr>
        <w:t>. 11/2014;</w:t>
      </w:r>
    </w:p>
    <w:p w14:paraId="5F6BA5D0" w14:textId="77777777" w:rsidR="00CA0853" w:rsidRPr="007D3A4A" w:rsidRDefault="00CA0853" w:rsidP="000B3456">
      <w:pPr>
        <w:pStyle w:val="BodyText"/>
        <w:ind w:left="567" w:hanging="567"/>
        <w:rPr>
          <w:sz w:val="22"/>
          <w:szCs w:val="22"/>
        </w:rPr>
      </w:pPr>
      <w:r w:rsidRPr="007D3A4A">
        <w:rPr>
          <w:sz w:val="22"/>
          <w:szCs w:val="22"/>
        </w:rPr>
        <w:t xml:space="preserve">Hirst, A. and Bott, N.J. 2016. Marine pests in the Gippsland Lakes: Existing threats and future monitoring. RMIT Centre for Environmental Sustainability and Remediation. Melbourne.  </w:t>
      </w:r>
    </w:p>
    <w:p w14:paraId="3FC5181F" w14:textId="77777777" w:rsidR="00CA0853" w:rsidRPr="00691544" w:rsidRDefault="00CA0853" w:rsidP="000B3456">
      <w:pPr>
        <w:pStyle w:val="BodyText"/>
        <w:ind w:left="567" w:hanging="567"/>
        <w:rPr>
          <w:sz w:val="22"/>
          <w:szCs w:val="22"/>
        </w:rPr>
      </w:pPr>
      <w:r w:rsidRPr="00691544">
        <w:rPr>
          <w:sz w:val="22"/>
          <w:szCs w:val="22"/>
        </w:rPr>
        <w:t xml:space="preserve">Hirst, A. and Rodhouse, P.G.K. 2000. Impacts of geophysical seismic surveying on fishing success. </w:t>
      </w:r>
      <w:r w:rsidRPr="00EA0495">
        <w:rPr>
          <w:i/>
          <w:iCs/>
          <w:sz w:val="22"/>
          <w:szCs w:val="22"/>
        </w:rPr>
        <w:t>Reviews in Fish Biology and Fisheries</w:t>
      </w:r>
      <w:r w:rsidRPr="00691544">
        <w:rPr>
          <w:sz w:val="22"/>
          <w:szCs w:val="22"/>
        </w:rPr>
        <w:t xml:space="preserve">. January 2000. </w:t>
      </w:r>
    </w:p>
    <w:p w14:paraId="073B24E6" w14:textId="77777777" w:rsidR="00CA0853" w:rsidRPr="004062E4" w:rsidRDefault="00CA0853" w:rsidP="000B3456">
      <w:pPr>
        <w:pStyle w:val="BodyText"/>
        <w:ind w:left="567" w:hanging="567"/>
        <w:rPr>
          <w:sz w:val="22"/>
          <w:szCs w:val="22"/>
        </w:rPr>
      </w:pPr>
      <w:r w:rsidRPr="004062E4">
        <w:rPr>
          <w:sz w:val="22"/>
          <w:szCs w:val="22"/>
        </w:rPr>
        <w:t>Holdway, D.A. 2002. The acute and chronic effects of wastes associated with offshore oil and</w:t>
      </w:r>
      <w:r>
        <w:rPr>
          <w:sz w:val="22"/>
          <w:szCs w:val="22"/>
        </w:rPr>
        <w:t xml:space="preserve"> </w:t>
      </w:r>
      <w:r w:rsidRPr="004062E4">
        <w:rPr>
          <w:sz w:val="22"/>
          <w:szCs w:val="22"/>
        </w:rPr>
        <w:t xml:space="preserve">gas production on temperate and tropical marine ecological processes. </w:t>
      </w:r>
      <w:r w:rsidRPr="004062E4">
        <w:rPr>
          <w:i/>
          <w:sz w:val="22"/>
          <w:szCs w:val="22"/>
        </w:rPr>
        <w:t>Marine Pollution Bulletin</w:t>
      </w:r>
      <w:r w:rsidRPr="004062E4">
        <w:rPr>
          <w:sz w:val="22"/>
          <w:szCs w:val="22"/>
        </w:rPr>
        <w:t xml:space="preserve"> 44:185– 203.</w:t>
      </w:r>
    </w:p>
    <w:p w14:paraId="0303318C" w14:textId="77777777" w:rsidR="00CA0853" w:rsidRPr="004062E4" w:rsidRDefault="00CA0853" w:rsidP="000B3456">
      <w:pPr>
        <w:pStyle w:val="BodyText"/>
        <w:ind w:left="567" w:hanging="567"/>
        <w:rPr>
          <w:sz w:val="22"/>
          <w:szCs w:val="22"/>
        </w:rPr>
      </w:pPr>
      <w:r w:rsidRPr="004062E4">
        <w:rPr>
          <w:sz w:val="22"/>
          <w:szCs w:val="22"/>
        </w:rPr>
        <w:t>Hook, S., Batley, G., Holloway, M., Irving, P. and Ross, A. 2016. Oil Spill Monitoring Handbook.</w:t>
      </w:r>
      <w:r>
        <w:rPr>
          <w:sz w:val="22"/>
          <w:szCs w:val="22"/>
        </w:rPr>
        <w:t xml:space="preserve"> </w:t>
      </w:r>
      <w:r w:rsidRPr="004062E4">
        <w:rPr>
          <w:sz w:val="22"/>
          <w:szCs w:val="22"/>
        </w:rPr>
        <w:t>CSIRO Publishing. Melbourne.</w:t>
      </w:r>
    </w:p>
    <w:p w14:paraId="2C907EDC" w14:textId="77777777" w:rsidR="00CA0853" w:rsidRPr="00EF6863" w:rsidRDefault="00CA0853" w:rsidP="000B3456">
      <w:pPr>
        <w:pStyle w:val="BodyText"/>
        <w:ind w:left="567" w:hanging="567"/>
        <w:rPr>
          <w:sz w:val="22"/>
          <w:szCs w:val="22"/>
        </w:rPr>
      </w:pPr>
      <w:r w:rsidRPr="00EF6863">
        <w:rPr>
          <w:sz w:val="22"/>
          <w:szCs w:val="22"/>
        </w:rPr>
        <w:t>Horwood, J. 1987. The sei whale: Population biology, ecology, and management. Croom Helm, Sydney.</w:t>
      </w:r>
    </w:p>
    <w:p w14:paraId="3E5F7DD7" w14:textId="77777777" w:rsidR="00CA0853" w:rsidRPr="00E93F43" w:rsidRDefault="00CA0853" w:rsidP="000B3456">
      <w:pPr>
        <w:pStyle w:val="BodyText"/>
        <w:ind w:left="567" w:hanging="567"/>
        <w:rPr>
          <w:sz w:val="22"/>
          <w:szCs w:val="22"/>
        </w:rPr>
      </w:pPr>
      <w:r w:rsidRPr="00E93F43">
        <w:rPr>
          <w:rFonts w:hint="eastAsia"/>
          <w:sz w:val="22"/>
          <w:szCs w:val="22"/>
        </w:rPr>
        <w:t>Hotchkin, C. and Parks</w:t>
      </w:r>
      <w:r>
        <w:rPr>
          <w:sz w:val="22"/>
          <w:szCs w:val="22"/>
        </w:rPr>
        <w:t>, S</w:t>
      </w:r>
      <w:r w:rsidRPr="00E93F43">
        <w:rPr>
          <w:rFonts w:hint="eastAsia"/>
          <w:sz w:val="22"/>
          <w:szCs w:val="22"/>
        </w:rPr>
        <w:t>. 2013. The Lombard effect and other noise</w:t>
      </w:r>
      <w:r w:rsidRPr="00E93F43">
        <w:rPr>
          <w:sz w:val="22"/>
          <w:szCs w:val="22"/>
        </w:rPr>
        <w:t>‐</w:t>
      </w:r>
      <w:r w:rsidRPr="00E93F43">
        <w:rPr>
          <w:rFonts w:hint="eastAsia"/>
          <w:sz w:val="22"/>
          <w:szCs w:val="22"/>
        </w:rPr>
        <w:t>induced vocal modifications: insight from mammal</w:t>
      </w:r>
      <w:r w:rsidRPr="00E93F43">
        <w:rPr>
          <w:sz w:val="22"/>
          <w:szCs w:val="22"/>
        </w:rPr>
        <w:t xml:space="preserve">ian communication systems. </w:t>
      </w:r>
      <w:r w:rsidRPr="004A2E49">
        <w:rPr>
          <w:i/>
          <w:iCs/>
          <w:sz w:val="22"/>
          <w:szCs w:val="22"/>
        </w:rPr>
        <w:t>Biological Reviews</w:t>
      </w:r>
      <w:r w:rsidRPr="00E93F43">
        <w:rPr>
          <w:sz w:val="22"/>
          <w:szCs w:val="22"/>
        </w:rPr>
        <w:t xml:space="preserve"> 88(4): 809-824.</w:t>
      </w:r>
    </w:p>
    <w:p w14:paraId="63B2061B" w14:textId="77777777" w:rsidR="00CA0853" w:rsidRPr="00EF6863" w:rsidRDefault="00CA0853" w:rsidP="000B3456">
      <w:pPr>
        <w:pStyle w:val="BodyText"/>
        <w:ind w:left="567" w:hanging="567"/>
        <w:rPr>
          <w:sz w:val="22"/>
          <w:szCs w:val="22"/>
        </w:rPr>
      </w:pPr>
      <w:r w:rsidRPr="00EF6863">
        <w:rPr>
          <w:sz w:val="22"/>
          <w:szCs w:val="22"/>
        </w:rPr>
        <w:t>Hume F., Hindell M.A., Pemberton D. and Gales R. 2004. Spatial and temporal variation in the diet of a high trophic level predator, the Australian fur seal (</w:t>
      </w:r>
      <w:r w:rsidRPr="00EF6863">
        <w:rPr>
          <w:i/>
          <w:sz w:val="22"/>
          <w:szCs w:val="22"/>
        </w:rPr>
        <w:t>Arctocephalus pusillus doriferus</w:t>
      </w:r>
      <w:r>
        <w:rPr>
          <w:sz w:val="22"/>
          <w:szCs w:val="22"/>
        </w:rPr>
        <w:t xml:space="preserve">). </w:t>
      </w:r>
      <w:r w:rsidRPr="00401C50">
        <w:rPr>
          <w:i/>
          <w:iCs/>
          <w:sz w:val="22"/>
          <w:szCs w:val="22"/>
        </w:rPr>
        <w:t>Mar. Biol.</w:t>
      </w:r>
      <w:r w:rsidRPr="00EF6863">
        <w:rPr>
          <w:sz w:val="22"/>
          <w:szCs w:val="22"/>
        </w:rPr>
        <w:t xml:space="preserve"> 144(3): 407-415.</w:t>
      </w:r>
    </w:p>
    <w:p w14:paraId="49AEA1A8" w14:textId="0E6E2C17" w:rsidR="00433C8E" w:rsidRDefault="00433C8E" w:rsidP="000B3456">
      <w:pPr>
        <w:pStyle w:val="BodyText"/>
        <w:ind w:left="567" w:hanging="567"/>
        <w:rPr>
          <w:sz w:val="22"/>
          <w:szCs w:val="22"/>
        </w:rPr>
      </w:pPr>
      <w:r>
        <w:rPr>
          <w:sz w:val="22"/>
          <w:szCs w:val="22"/>
        </w:rPr>
        <w:t xml:space="preserve">IAGC. 2017. IAGC Zooplankton Paper talking Point. A WWW document accessed at </w:t>
      </w:r>
      <w:r w:rsidRPr="00433C8E">
        <w:rPr>
          <w:sz w:val="22"/>
          <w:szCs w:val="22"/>
        </w:rPr>
        <w:t>https://globenewswire.com/news-release/2017/06/22/1027751/0/en/IAGC-</w:t>
      </w:r>
      <w:r w:rsidRPr="00433C8E">
        <w:rPr>
          <w:sz w:val="22"/>
          <w:szCs w:val="22"/>
        </w:rPr>
        <w:lastRenderedPageBreak/>
        <w:t>Plankton-Study-Speculative-and-Needs-Better-Data.html</w:t>
      </w:r>
      <w:r>
        <w:rPr>
          <w:sz w:val="22"/>
          <w:szCs w:val="22"/>
        </w:rPr>
        <w:t xml:space="preserve">. </w:t>
      </w:r>
      <w:r w:rsidRPr="0000139F">
        <w:rPr>
          <w:sz w:val="22"/>
          <w:szCs w:val="22"/>
        </w:rPr>
        <w:t>International</w:t>
      </w:r>
      <w:r>
        <w:rPr>
          <w:sz w:val="22"/>
          <w:szCs w:val="22"/>
        </w:rPr>
        <w:t xml:space="preserve"> Association of Geophysical Contractors.</w:t>
      </w:r>
    </w:p>
    <w:p w14:paraId="3FA120D6" w14:textId="53F100E1" w:rsidR="00CA0853" w:rsidRPr="0000139F" w:rsidRDefault="00CA0853" w:rsidP="000B3456">
      <w:pPr>
        <w:pStyle w:val="BodyText"/>
        <w:ind w:left="567" w:hanging="567"/>
        <w:rPr>
          <w:sz w:val="22"/>
          <w:szCs w:val="22"/>
        </w:rPr>
      </w:pPr>
      <w:r w:rsidRPr="0000139F">
        <w:rPr>
          <w:sz w:val="22"/>
          <w:szCs w:val="22"/>
        </w:rPr>
        <w:t xml:space="preserve">IAGC. 2013. Environmental Manual for Worldwide Geophysical Operations. </w:t>
      </w:r>
      <w:r>
        <w:rPr>
          <w:sz w:val="22"/>
          <w:szCs w:val="22"/>
        </w:rPr>
        <w:t xml:space="preserve">A WWW document </w:t>
      </w:r>
      <w:r w:rsidR="00433C8E">
        <w:rPr>
          <w:sz w:val="22"/>
          <w:szCs w:val="22"/>
        </w:rPr>
        <w:t xml:space="preserve">accessed at </w:t>
      </w:r>
      <w:r w:rsidRPr="00401C50">
        <w:rPr>
          <w:sz w:val="22"/>
          <w:szCs w:val="22"/>
        </w:rPr>
        <w:t>www.iagc.org/uploads/4/5/0/7/45074397/</w:t>
      </w:r>
      <w:r w:rsidRPr="00401C50">
        <w:rPr>
          <w:sz w:val="22"/>
          <w:szCs w:val="22"/>
        </w:rPr>
        <w:br/>
        <w:t>environmental_compliance_manual.pdf</w:t>
      </w:r>
      <w:r>
        <w:rPr>
          <w:sz w:val="22"/>
          <w:szCs w:val="22"/>
        </w:rPr>
        <w:t xml:space="preserve">. </w:t>
      </w:r>
      <w:r w:rsidRPr="0000139F">
        <w:rPr>
          <w:sz w:val="22"/>
          <w:szCs w:val="22"/>
        </w:rPr>
        <w:t>International</w:t>
      </w:r>
      <w:r>
        <w:rPr>
          <w:sz w:val="22"/>
          <w:szCs w:val="22"/>
        </w:rPr>
        <w:t xml:space="preserve"> Association of Geophysical Contractors.</w:t>
      </w:r>
    </w:p>
    <w:p w14:paraId="23758238" w14:textId="77777777" w:rsidR="00CA0853" w:rsidRPr="00137C62" w:rsidRDefault="00CA0853" w:rsidP="000B3456">
      <w:pPr>
        <w:pStyle w:val="BodyText"/>
        <w:ind w:left="567" w:hanging="567"/>
        <w:rPr>
          <w:sz w:val="22"/>
          <w:szCs w:val="22"/>
        </w:rPr>
      </w:pPr>
      <w:r w:rsidRPr="0000139F">
        <w:rPr>
          <w:sz w:val="22"/>
          <w:szCs w:val="22"/>
        </w:rPr>
        <w:t xml:space="preserve">IMCA. 2016. Marine Inspection for Small Workboats. A WWW document downloaded from </w:t>
      </w:r>
      <w:hyperlink r:id="rId333" w:history="1">
        <w:r w:rsidRPr="0000139F">
          <w:t>www.imca-int.com/marine</w:t>
        </w:r>
      </w:hyperlink>
      <w:r w:rsidRPr="0000139F">
        <w:rPr>
          <w:sz w:val="22"/>
          <w:szCs w:val="22"/>
        </w:rPr>
        <w:t xml:space="preserve">. </w:t>
      </w:r>
      <w:r w:rsidRPr="00137C62">
        <w:rPr>
          <w:sz w:val="22"/>
          <w:szCs w:val="22"/>
        </w:rPr>
        <w:t xml:space="preserve">International Marine Contractors Association. IMCA M 189 Rev 3, June 2016. </w:t>
      </w:r>
    </w:p>
    <w:p w14:paraId="6E1154F7" w14:textId="77777777" w:rsidR="00CA0853" w:rsidRPr="00047AF3" w:rsidRDefault="00CA0853" w:rsidP="000B3456">
      <w:pPr>
        <w:pStyle w:val="BodyText"/>
        <w:ind w:left="567" w:hanging="567"/>
        <w:rPr>
          <w:sz w:val="22"/>
          <w:szCs w:val="22"/>
        </w:rPr>
      </w:pPr>
      <w:r w:rsidRPr="00047AF3">
        <w:rPr>
          <w:sz w:val="22"/>
          <w:szCs w:val="22"/>
        </w:rPr>
        <w:t>IMCRA. 1998. Interim Marine and Coastal Regionalisation for Australia: An ecosystem-based classification for marine and coastal environments. IMCRA Technical Group. Version 3.3.</w:t>
      </w:r>
    </w:p>
    <w:p w14:paraId="29F57188" w14:textId="77777777" w:rsidR="00CA0853" w:rsidRPr="004062E4" w:rsidRDefault="00CA0853" w:rsidP="000B3456">
      <w:pPr>
        <w:pStyle w:val="BodyText"/>
        <w:ind w:left="567" w:hanging="567"/>
        <w:rPr>
          <w:sz w:val="22"/>
          <w:szCs w:val="22"/>
        </w:rPr>
      </w:pPr>
      <w:r w:rsidRPr="004062E4">
        <w:rPr>
          <w:sz w:val="22"/>
          <w:szCs w:val="22"/>
        </w:rPr>
        <w:t>IPIECA. 1995. Biological Impacts of Oil Pollution: Rocky Shores. International Petroleum</w:t>
      </w:r>
      <w:r>
        <w:rPr>
          <w:sz w:val="22"/>
          <w:szCs w:val="22"/>
        </w:rPr>
        <w:t xml:space="preserve"> </w:t>
      </w:r>
      <w:r w:rsidRPr="004062E4">
        <w:rPr>
          <w:sz w:val="22"/>
          <w:szCs w:val="22"/>
        </w:rPr>
        <w:t>Industry Environmental Conservation Association. London.</w:t>
      </w:r>
    </w:p>
    <w:p w14:paraId="4811342A" w14:textId="77777777" w:rsidR="00CA0853" w:rsidRPr="004062E4" w:rsidRDefault="00CA0853" w:rsidP="000B3456">
      <w:pPr>
        <w:pStyle w:val="BodyText"/>
        <w:ind w:left="567" w:hanging="567"/>
        <w:rPr>
          <w:sz w:val="22"/>
          <w:szCs w:val="22"/>
        </w:rPr>
      </w:pPr>
      <w:r w:rsidRPr="004062E4">
        <w:rPr>
          <w:sz w:val="22"/>
          <w:szCs w:val="22"/>
        </w:rPr>
        <w:t>IPIECA. 1999. Biological Impacts of Oil Pollution: Sedimentary Shores. International Petroleum</w:t>
      </w:r>
      <w:r>
        <w:rPr>
          <w:sz w:val="22"/>
          <w:szCs w:val="22"/>
        </w:rPr>
        <w:t xml:space="preserve"> </w:t>
      </w:r>
      <w:r w:rsidRPr="004062E4">
        <w:rPr>
          <w:sz w:val="22"/>
          <w:szCs w:val="22"/>
        </w:rPr>
        <w:t>Industry Environmental Conservation Association. London.</w:t>
      </w:r>
    </w:p>
    <w:p w14:paraId="570B0D38" w14:textId="77777777" w:rsidR="00CA0853" w:rsidRPr="004062E4" w:rsidRDefault="00CA0853" w:rsidP="000B3456">
      <w:pPr>
        <w:pStyle w:val="BodyText"/>
        <w:ind w:left="567" w:hanging="567"/>
        <w:rPr>
          <w:sz w:val="22"/>
          <w:szCs w:val="22"/>
        </w:rPr>
      </w:pPr>
      <w:r w:rsidRPr="004062E4">
        <w:rPr>
          <w:sz w:val="22"/>
          <w:szCs w:val="22"/>
        </w:rPr>
        <w:t>IPIECA. 2002. Guidelines on Biological Impacts of Oil Pollution. International Petroleum</w:t>
      </w:r>
      <w:r>
        <w:rPr>
          <w:sz w:val="22"/>
          <w:szCs w:val="22"/>
        </w:rPr>
        <w:t xml:space="preserve"> </w:t>
      </w:r>
      <w:r w:rsidRPr="004062E4">
        <w:rPr>
          <w:sz w:val="22"/>
          <w:szCs w:val="22"/>
        </w:rPr>
        <w:t>Industry Environmental Conservation Association. London.</w:t>
      </w:r>
    </w:p>
    <w:p w14:paraId="5E06EEA4" w14:textId="77777777" w:rsidR="00CA0853" w:rsidRPr="00EB6177" w:rsidRDefault="00CA0853" w:rsidP="000B3456">
      <w:pPr>
        <w:pStyle w:val="BodyText"/>
        <w:ind w:left="567" w:hanging="567"/>
        <w:rPr>
          <w:sz w:val="22"/>
          <w:szCs w:val="22"/>
          <w:highlight w:val="lightGray"/>
        </w:rPr>
      </w:pPr>
      <w:r w:rsidRPr="0064092E">
        <w:rPr>
          <w:sz w:val="22"/>
          <w:szCs w:val="22"/>
        </w:rPr>
        <w:t>IPIECA/OGP. 2014</w:t>
      </w:r>
      <w:r>
        <w:rPr>
          <w:sz w:val="22"/>
          <w:szCs w:val="22"/>
        </w:rPr>
        <w:t>a</w:t>
      </w:r>
      <w:r w:rsidRPr="0064092E">
        <w:rPr>
          <w:sz w:val="22"/>
          <w:szCs w:val="22"/>
        </w:rPr>
        <w:t>. A guide to oiled shoreline assessment (SCAT) surveys. Good</w:t>
      </w:r>
      <w:r>
        <w:rPr>
          <w:sz w:val="22"/>
          <w:szCs w:val="22"/>
        </w:rPr>
        <w:t xml:space="preserve"> practice guidelines for incident management and emergency response personnel. International Petroleum Industry Conservation Association and International Association of Oil &amp; Gas Producers. London.</w:t>
      </w:r>
    </w:p>
    <w:p w14:paraId="4AFDE67D" w14:textId="77777777" w:rsidR="00CA0853" w:rsidRPr="00EB6177" w:rsidRDefault="00CA0853" w:rsidP="000B3456">
      <w:pPr>
        <w:pStyle w:val="BodyText"/>
        <w:ind w:left="567" w:hanging="567"/>
        <w:rPr>
          <w:sz w:val="22"/>
          <w:szCs w:val="22"/>
          <w:highlight w:val="lightGray"/>
        </w:rPr>
      </w:pPr>
      <w:r w:rsidRPr="0064092E">
        <w:rPr>
          <w:sz w:val="22"/>
          <w:szCs w:val="22"/>
        </w:rPr>
        <w:t>IPIECA/OGP. 2014</w:t>
      </w:r>
      <w:r>
        <w:rPr>
          <w:sz w:val="22"/>
          <w:szCs w:val="22"/>
        </w:rPr>
        <w:t>b</w:t>
      </w:r>
      <w:r w:rsidRPr="0064092E">
        <w:rPr>
          <w:sz w:val="22"/>
          <w:szCs w:val="22"/>
        </w:rPr>
        <w:t>. Oil spill waste minimisation and management. Good practice</w:t>
      </w:r>
      <w:r>
        <w:rPr>
          <w:sz w:val="22"/>
          <w:szCs w:val="22"/>
        </w:rPr>
        <w:t xml:space="preserve"> guidelines for incident management and emergency response personnel. International Petroleum Industry Conservation Association and International Association of Oil &amp; Gas Producers. London.</w:t>
      </w:r>
    </w:p>
    <w:p w14:paraId="09802C3F" w14:textId="77777777" w:rsidR="00CA0853" w:rsidRPr="00CC11E9" w:rsidRDefault="00CA0853" w:rsidP="000B3456">
      <w:pPr>
        <w:pStyle w:val="BodyText"/>
        <w:ind w:left="567" w:hanging="567"/>
        <w:rPr>
          <w:sz w:val="22"/>
          <w:szCs w:val="22"/>
        </w:rPr>
      </w:pPr>
      <w:r w:rsidRPr="0064092E">
        <w:rPr>
          <w:sz w:val="22"/>
          <w:szCs w:val="22"/>
        </w:rPr>
        <w:t>IPIECA/OGP. 2014</w:t>
      </w:r>
      <w:r>
        <w:rPr>
          <w:sz w:val="22"/>
          <w:szCs w:val="22"/>
        </w:rPr>
        <w:t>c</w:t>
      </w:r>
      <w:r w:rsidRPr="0064092E">
        <w:rPr>
          <w:sz w:val="22"/>
          <w:szCs w:val="22"/>
        </w:rPr>
        <w:t>. Wildlife response preparedness. Good practice guidelines for</w:t>
      </w:r>
      <w:r>
        <w:rPr>
          <w:sz w:val="22"/>
          <w:szCs w:val="22"/>
        </w:rPr>
        <w:t xml:space="preserve"> incident management and emergency response personnel. International Petroleum Industry Conservation Association and International Association of Oil &amp; Gas Producers. London. </w:t>
      </w:r>
    </w:p>
    <w:p w14:paraId="152E1068" w14:textId="77777777" w:rsidR="00CA0853" w:rsidRDefault="00CA0853" w:rsidP="000B3456">
      <w:pPr>
        <w:pStyle w:val="BodyText"/>
        <w:ind w:left="567" w:hanging="567"/>
        <w:rPr>
          <w:sz w:val="22"/>
          <w:szCs w:val="22"/>
        </w:rPr>
      </w:pPr>
      <w:r>
        <w:rPr>
          <w:sz w:val="22"/>
          <w:szCs w:val="22"/>
        </w:rPr>
        <w:t xml:space="preserve">IPIECA/OGP. 2015. Aerial observation of oil spills at sea. </w:t>
      </w:r>
      <w:r w:rsidRPr="0064092E">
        <w:rPr>
          <w:sz w:val="22"/>
          <w:szCs w:val="22"/>
        </w:rPr>
        <w:t>Good</w:t>
      </w:r>
      <w:r>
        <w:rPr>
          <w:sz w:val="22"/>
          <w:szCs w:val="22"/>
        </w:rPr>
        <w:t xml:space="preserve"> practice guidelines for incident management and emergency response personnel. International Petroleum Industry Conservation Association and International Association of Oil &amp; Gas Producers. London.</w:t>
      </w:r>
    </w:p>
    <w:p w14:paraId="23381D01" w14:textId="77777777" w:rsidR="00CA0853" w:rsidRPr="00D848A8" w:rsidRDefault="00CA0853" w:rsidP="000B3456">
      <w:pPr>
        <w:pStyle w:val="BodyText"/>
        <w:ind w:left="567" w:hanging="567"/>
        <w:rPr>
          <w:sz w:val="22"/>
          <w:szCs w:val="22"/>
        </w:rPr>
      </w:pPr>
      <w:r w:rsidRPr="00D848A8">
        <w:rPr>
          <w:sz w:val="22"/>
          <w:szCs w:val="22"/>
        </w:rPr>
        <w:t xml:space="preserve">ISO. 2009. ISO 31000 Risk management–-Principles and guidelines. International Standards Organisation. Switzerland. </w:t>
      </w:r>
    </w:p>
    <w:p w14:paraId="3ABD842F" w14:textId="77777777" w:rsidR="00CA0853" w:rsidRDefault="00CA0853" w:rsidP="000B3456">
      <w:pPr>
        <w:pStyle w:val="BodyText"/>
        <w:ind w:left="567" w:hanging="567"/>
        <w:rPr>
          <w:sz w:val="22"/>
          <w:szCs w:val="22"/>
        </w:rPr>
      </w:pPr>
      <w:r w:rsidRPr="00E561B3">
        <w:rPr>
          <w:sz w:val="22"/>
          <w:szCs w:val="22"/>
        </w:rPr>
        <w:t>ITOPF. 2011a. Effec</w:t>
      </w:r>
      <w:r>
        <w:rPr>
          <w:sz w:val="22"/>
          <w:szCs w:val="22"/>
        </w:rPr>
        <w:t>t</w:t>
      </w:r>
      <w:r w:rsidRPr="00E561B3">
        <w:rPr>
          <w:sz w:val="22"/>
          <w:szCs w:val="22"/>
        </w:rPr>
        <w:t>s</w:t>
      </w:r>
      <w:r>
        <w:rPr>
          <w:sz w:val="22"/>
          <w:szCs w:val="22"/>
        </w:rPr>
        <w:t xml:space="preserve"> of Oil Pollution on the Marine Environment. </w:t>
      </w:r>
      <w:r w:rsidRPr="00CC11E9">
        <w:rPr>
          <w:sz w:val="22"/>
          <w:szCs w:val="22"/>
        </w:rPr>
        <w:t xml:space="preserve">Technical Information Paper </w:t>
      </w:r>
      <w:r>
        <w:rPr>
          <w:sz w:val="22"/>
          <w:szCs w:val="22"/>
        </w:rPr>
        <w:t>1</w:t>
      </w:r>
      <w:r w:rsidRPr="00CC11E9">
        <w:rPr>
          <w:sz w:val="22"/>
          <w:szCs w:val="22"/>
        </w:rPr>
        <w:t>3. The</w:t>
      </w:r>
      <w:r>
        <w:rPr>
          <w:sz w:val="22"/>
          <w:szCs w:val="22"/>
        </w:rPr>
        <w:t xml:space="preserve"> </w:t>
      </w:r>
      <w:r w:rsidRPr="00CC11E9">
        <w:rPr>
          <w:sz w:val="22"/>
          <w:szCs w:val="22"/>
        </w:rPr>
        <w:t>International Tanker Owners Pollution Federation Ltd. London.</w:t>
      </w:r>
    </w:p>
    <w:p w14:paraId="1384CA3B" w14:textId="77777777" w:rsidR="00CA0853" w:rsidRDefault="00CA0853" w:rsidP="000B3456">
      <w:pPr>
        <w:pStyle w:val="BodyText"/>
        <w:ind w:left="567" w:hanging="567"/>
        <w:rPr>
          <w:sz w:val="22"/>
          <w:szCs w:val="22"/>
        </w:rPr>
      </w:pPr>
      <w:r w:rsidRPr="00E561B3">
        <w:rPr>
          <w:sz w:val="22"/>
          <w:szCs w:val="22"/>
        </w:rPr>
        <w:t>ITOPF. 2011</w:t>
      </w:r>
      <w:r>
        <w:rPr>
          <w:sz w:val="22"/>
          <w:szCs w:val="22"/>
        </w:rPr>
        <w:t>b</w:t>
      </w:r>
      <w:r w:rsidRPr="00E561B3">
        <w:rPr>
          <w:sz w:val="22"/>
          <w:szCs w:val="22"/>
        </w:rPr>
        <w:t xml:space="preserve">. </w:t>
      </w:r>
      <w:r>
        <w:rPr>
          <w:sz w:val="22"/>
          <w:szCs w:val="22"/>
        </w:rPr>
        <w:t xml:space="preserve">Aerial Observation of Marine Oil Spills. </w:t>
      </w:r>
      <w:r w:rsidRPr="00CC11E9">
        <w:rPr>
          <w:sz w:val="22"/>
          <w:szCs w:val="22"/>
        </w:rPr>
        <w:t xml:space="preserve">Technical Information Paper </w:t>
      </w:r>
      <w:r>
        <w:rPr>
          <w:sz w:val="22"/>
          <w:szCs w:val="22"/>
        </w:rPr>
        <w:t>2</w:t>
      </w:r>
      <w:r w:rsidRPr="00CC11E9">
        <w:rPr>
          <w:sz w:val="22"/>
          <w:szCs w:val="22"/>
        </w:rPr>
        <w:t>. The</w:t>
      </w:r>
      <w:r>
        <w:rPr>
          <w:sz w:val="22"/>
          <w:szCs w:val="22"/>
        </w:rPr>
        <w:t xml:space="preserve"> </w:t>
      </w:r>
      <w:r w:rsidRPr="00CC11E9">
        <w:rPr>
          <w:sz w:val="22"/>
          <w:szCs w:val="22"/>
        </w:rPr>
        <w:t>International Tanker Owners Pollution Federation Ltd. London.</w:t>
      </w:r>
    </w:p>
    <w:p w14:paraId="684EF406" w14:textId="77777777" w:rsidR="00CA0853" w:rsidRPr="00CC11E9" w:rsidRDefault="00CA0853" w:rsidP="000B3456">
      <w:pPr>
        <w:pStyle w:val="BodyText"/>
        <w:ind w:left="567" w:hanging="567"/>
        <w:rPr>
          <w:sz w:val="22"/>
          <w:szCs w:val="22"/>
        </w:rPr>
      </w:pPr>
      <w:r w:rsidRPr="00CC11E9">
        <w:rPr>
          <w:sz w:val="22"/>
          <w:szCs w:val="22"/>
        </w:rPr>
        <w:t>ITOPF. 2011</w:t>
      </w:r>
      <w:r>
        <w:rPr>
          <w:sz w:val="22"/>
          <w:szCs w:val="22"/>
        </w:rPr>
        <w:t>c</w:t>
      </w:r>
      <w:r w:rsidRPr="00CC11E9">
        <w:rPr>
          <w:sz w:val="22"/>
          <w:szCs w:val="22"/>
        </w:rPr>
        <w:t>. Use of Booms in Oil Pollution Response. Technical Information Paper 3. The</w:t>
      </w:r>
      <w:r>
        <w:rPr>
          <w:sz w:val="22"/>
          <w:szCs w:val="22"/>
        </w:rPr>
        <w:t xml:space="preserve"> </w:t>
      </w:r>
      <w:r w:rsidRPr="00CC11E9">
        <w:rPr>
          <w:sz w:val="22"/>
          <w:szCs w:val="22"/>
        </w:rPr>
        <w:t>International Tanker Owners Pollution Federation Ltd. London.</w:t>
      </w:r>
    </w:p>
    <w:p w14:paraId="37F48C08" w14:textId="77777777" w:rsidR="00CA0853" w:rsidRPr="00CC11E9" w:rsidRDefault="00CA0853" w:rsidP="000B3456">
      <w:pPr>
        <w:pStyle w:val="BodyText"/>
        <w:ind w:left="567" w:hanging="567"/>
        <w:rPr>
          <w:sz w:val="22"/>
          <w:szCs w:val="22"/>
        </w:rPr>
      </w:pPr>
      <w:r w:rsidRPr="00CC11E9">
        <w:rPr>
          <w:sz w:val="22"/>
          <w:szCs w:val="22"/>
        </w:rPr>
        <w:t>ITOPF. 2011</w:t>
      </w:r>
      <w:r>
        <w:rPr>
          <w:sz w:val="22"/>
          <w:szCs w:val="22"/>
        </w:rPr>
        <w:t>d</w:t>
      </w:r>
      <w:r w:rsidRPr="00CC11E9">
        <w:rPr>
          <w:sz w:val="22"/>
          <w:szCs w:val="22"/>
        </w:rPr>
        <w:t>. Use of Skimmers in Oil Pollution Response. Technical Information Paper 5.</w:t>
      </w:r>
      <w:r>
        <w:rPr>
          <w:sz w:val="22"/>
          <w:szCs w:val="22"/>
        </w:rPr>
        <w:t xml:space="preserve"> </w:t>
      </w:r>
      <w:r w:rsidRPr="00CC11E9">
        <w:rPr>
          <w:sz w:val="22"/>
          <w:szCs w:val="22"/>
        </w:rPr>
        <w:t>International Tanker Owners Pollution Federation Ltd. London.</w:t>
      </w:r>
    </w:p>
    <w:p w14:paraId="3BACE06E" w14:textId="77777777" w:rsidR="00CA0853" w:rsidRPr="00CC11E9" w:rsidRDefault="00CA0853" w:rsidP="000B3456">
      <w:pPr>
        <w:pStyle w:val="BodyText"/>
        <w:ind w:left="567" w:hanging="567"/>
        <w:rPr>
          <w:sz w:val="22"/>
          <w:szCs w:val="22"/>
        </w:rPr>
      </w:pPr>
      <w:r w:rsidRPr="00CC11E9">
        <w:rPr>
          <w:sz w:val="22"/>
          <w:szCs w:val="22"/>
        </w:rPr>
        <w:lastRenderedPageBreak/>
        <w:t>ITOPF. 2011</w:t>
      </w:r>
      <w:r>
        <w:rPr>
          <w:sz w:val="22"/>
          <w:szCs w:val="22"/>
        </w:rPr>
        <w:t>e</w:t>
      </w:r>
      <w:r w:rsidRPr="00CC11E9">
        <w:rPr>
          <w:sz w:val="22"/>
          <w:szCs w:val="22"/>
        </w:rPr>
        <w:t>. Recognition of Oil on Shorelines. Technical Information Paper 6. The International Tanker Owners Pollution Federation Ltd. London.</w:t>
      </w:r>
    </w:p>
    <w:p w14:paraId="722AA769" w14:textId="77777777" w:rsidR="00CA0853" w:rsidRPr="00CC11E9" w:rsidRDefault="00CA0853" w:rsidP="000B3456">
      <w:pPr>
        <w:pStyle w:val="BodyText"/>
        <w:ind w:left="567" w:hanging="567"/>
        <w:rPr>
          <w:sz w:val="22"/>
          <w:szCs w:val="22"/>
        </w:rPr>
      </w:pPr>
      <w:r w:rsidRPr="00CC11E9">
        <w:rPr>
          <w:sz w:val="22"/>
          <w:szCs w:val="22"/>
        </w:rPr>
        <w:t>ITOPF. 2011</w:t>
      </w:r>
      <w:r>
        <w:rPr>
          <w:sz w:val="22"/>
          <w:szCs w:val="22"/>
        </w:rPr>
        <w:t>f</w:t>
      </w:r>
      <w:r w:rsidRPr="00CC11E9">
        <w:rPr>
          <w:sz w:val="22"/>
          <w:szCs w:val="22"/>
        </w:rPr>
        <w:t>. Clean-up of Oil from Shorelines. Technical Information Paper 7. The International Tanker Owners Pollution Federation Ltd. London.</w:t>
      </w:r>
    </w:p>
    <w:p w14:paraId="696563F9" w14:textId="77777777" w:rsidR="00CA0853" w:rsidRPr="00CC11E9" w:rsidRDefault="00CA0853" w:rsidP="000B3456">
      <w:pPr>
        <w:pStyle w:val="BodyText"/>
        <w:ind w:left="567" w:hanging="567"/>
        <w:rPr>
          <w:sz w:val="22"/>
          <w:szCs w:val="22"/>
        </w:rPr>
      </w:pPr>
      <w:r w:rsidRPr="00CC11E9">
        <w:rPr>
          <w:sz w:val="22"/>
          <w:szCs w:val="22"/>
        </w:rPr>
        <w:t>ITOPF. 2011</w:t>
      </w:r>
      <w:r>
        <w:rPr>
          <w:sz w:val="22"/>
          <w:szCs w:val="22"/>
        </w:rPr>
        <w:t>g</w:t>
      </w:r>
      <w:r w:rsidRPr="00CC11E9">
        <w:rPr>
          <w:sz w:val="22"/>
          <w:szCs w:val="22"/>
        </w:rPr>
        <w:t>. Disposal of Oil and Debris. Technical Information Paper 9.</w:t>
      </w:r>
      <w:r>
        <w:rPr>
          <w:sz w:val="22"/>
          <w:szCs w:val="22"/>
        </w:rPr>
        <w:t xml:space="preserve"> </w:t>
      </w:r>
      <w:r w:rsidRPr="00CC11E9">
        <w:rPr>
          <w:sz w:val="22"/>
          <w:szCs w:val="22"/>
        </w:rPr>
        <w:t>International Tanker Owners Pollution Federation Ltd. London.</w:t>
      </w:r>
    </w:p>
    <w:p w14:paraId="71B938F8" w14:textId="77777777" w:rsidR="00CA0853" w:rsidRPr="007105F6" w:rsidRDefault="00CA0853" w:rsidP="000B3456">
      <w:pPr>
        <w:pStyle w:val="BodyText"/>
        <w:ind w:left="567" w:hanging="567"/>
        <w:rPr>
          <w:sz w:val="22"/>
          <w:szCs w:val="22"/>
        </w:rPr>
      </w:pPr>
      <w:r w:rsidRPr="007105F6">
        <w:rPr>
          <w:sz w:val="22"/>
          <w:szCs w:val="22"/>
        </w:rPr>
        <w:t>IUCN. 2017. Protected Areas Categories. A WWW database accessed at https://www.iucn.org/theme/protected-areas/about/protected-areas-categories. International Union for the Conservation of Nature. Switzerland.</w:t>
      </w:r>
    </w:p>
    <w:p w14:paraId="69CB8969" w14:textId="77777777" w:rsidR="00CA0853" w:rsidRPr="00E93F43" w:rsidRDefault="00CA0853" w:rsidP="000B3456">
      <w:pPr>
        <w:pStyle w:val="BodyText"/>
        <w:ind w:left="567" w:hanging="567"/>
        <w:rPr>
          <w:sz w:val="22"/>
          <w:szCs w:val="22"/>
        </w:rPr>
      </w:pPr>
      <w:r>
        <w:rPr>
          <w:sz w:val="22"/>
          <w:szCs w:val="22"/>
        </w:rPr>
        <w:t>I</w:t>
      </w:r>
      <w:r w:rsidRPr="00E93F43">
        <w:rPr>
          <w:sz w:val="22"/>
          <w:szCs w:val="22"/>
        </w:rPr>
        <w:t>WC. 2007. Report of the Scientific Committee. Annex K. Report of the Standing Working Group on Environmental Concerns. International Whaling Commission Journal of Cetacean Research and Management (Suppl.) 9: 227-296.</w:t>
      </w:r>
    </w:p>
    <w:p w14:paraId="40638325" w14:textId="77777777" w:rsidR="00CA0853" w:rsidRPr="00CE0E3A" w:rsidRDefault="00CA0853" w:rsidP="000B3456">
      <w:pPr>
        <w:pStyle w:val="BodyText"/>
        <w:ind w:left="567" w:hanging="567"/>
        <w:rPr>
          <w:sz w:val="22"/>
          <w:szCs w:val="22"/>
        </w:rPr>
      </w:pPr>
      <w:r w:rsidRPr="00CE0E3A">
        <w:rPr>
          <w:sz w:val="22"/>
          <w:szCs w:val="22"/>
        </w:rPr>
        <w:t>Jenssen, B.M. 1994. Effects of Oil Pollution, Chemically Treated Oil, and Cleaning on the</w:t>
      </w:r>
      <w:r>
        <w:rPr>
          <w:sz w:val="22"/>
          <w:szCs w:val="22"/>
        </w:rPr>
        <w:t xml:space="preserve"> </w:t>
      </w:r>
      <w:r w:rsidRPr="00CE0E3A">
        <w:rPr>
          <w:sz w:val="22"/>
          <w:szCs w:val="22"/>
        </w:rPr>
        <w:t xml:space="preserve">Thermal Balance of Birds. </w:t>
      </w:r>
      <w:r w:rsidRPr="00CE0E3A">
        <w:rPr>
          <w:i/>
          <w:sz w:val="22"/>
          <w:szCs w:val="22"/>
        </w:rPr>
        <w:t>Env Poll</w:t>
      </w:r>
      <w:r w:rsidRPr="00CE0E3A">
        <w:rPr>
          <w:sz w:val="22"/>
          <w:szCs w:val="22"/>
        </w:rPr>
        <w:t xml:space="preserve"> 86:207– 215.</w:t>
      </w:r>
    </w:p>
    <w:p w14:paraId="44AB01E6" w14:textId="77777777" w:rsidR="00CA0853" w:rsidRDefault="00CA0853" w:rsidP="000B3456">
      <w:pPr>
        <w:pStyle w:val="BodyText"/>
        <w:ind w:left="567" w:hanging="567"/>
        <w:rPr>
          <w:sz w:val="22"/>
          <w:szCs w:val="22"/>
        </w:rPr>
      </w:pPr>
      <w:r w:rsidRPr="004A64D1">
        <w:rPr>
          <w:sz w:val="22"/>
          <w:szCs w:val="22"/>
        </w:rPr>
        <w:t>Jones, G.P. and McCormick, M.I. 2002. Numerical and energetic processes in the ecology of fish</w:t>
      </w:r>
      <w:r>
        <w:rPr>
          <w:sz w:val="22"/>
          <w:szCs w:val="22"/>
        </w:rPr>
        <w:t xml:space="preserve"> </w:t>
      </w:r>
      <w:r w:rsidRPr="004A64D1">
        <w:rPr>
          <w:sz w:val="22"/>
          <w:szCs w:val="22"/>
        </w:rPr>
        <w:t xml:space="preserve">populations on coral reefs. In: </w:t>
      </w:r>
      <w:r w:rsidRPr="004A64D1">
        <w:rPr>
          <w:i/>
          <w:sz w:val="22"/>
          <w:szCs w:val="22"/>
        </w:rPr>
        <w:t>Coral Reef Fishes – Dynamics and Diversity in a Complex Ecosystem</w:t>
      </w:r>
      <w:r w:rsidRPr="004A64D1">
        <w:rPr>
          <w:sz w:val="22"/>
          <w:szCs w:val="22"/>
        </w:rPr>
        <w:t>. Edited by Sale, P.F. Academic Press, San Diego.</w:t>
      </w:r>
    </w:p>
    <w:p w14:paraId="6F74BE20" w14:textId="77777777" w:rsidR="00CA0853" w:rsidRPr="00BC7486" w:rsidRDefault="00CA0853" w:rsidP="000B3456">
      <w:pPr>
        <w:pStyle w:val="BodyText"/>
        <w:ind w:left="567" w:hanging="567"/>
        <w:rPr>
          <w:sz w:val="22"/>
          <w:szCs w:val="22"/>
        </w:rPr>
      </w:pPr>
      <w:r w:rsidRPr="00277B9B">
        <w:rPr>
          <w:sz w:val="22"/>
          <w:szCs w:val="22"/>
        </w:rPr>
        <w:t>Jones, I.S.F. 1980</w:t>
      </w:r>
      <w:r>
        <w:rPr>
          <w:sz w:val="22"/>
          <w:szCs w:val="22"/>
        </w:rPr>
        <w:t xml:space="preserve">. Tidal and Wind-drive Currents in Bass Strait. </w:t>
      </w:r>
      <w:r w:rsidRPr="00277B9B">
        <w:rPr>
          <w:i/>
          <w:sz w:val="22"/>
          <w:szCs w:val="22"/>
        </w:rPr>
        <w:t>Aus. J. Mar. Freshwater Res</w:t>
      </w:r>
      <w:r>
        <w:rPr>
          <w:sz w:val="22"/>
          <w:szCs w:val="22"/>
        </w:rPr>
        <w:t>. 31. 109-17.</w:t>
      </w:r>
    </w:p>
    <w:p w14:paraId="6CAECF34" w14:textId="77777777" w:rsidR="00CA0853" w:rsidRPr="00EF6863" w:rsidRDefault="00CA0853" w:rsidP="000B3456">
      <w:pPr>
        <w:pStyle w:val="BodyText"/>
        <w:ind w:left="567" w:hanging="567"/>
        <w:rPr>
          <w:sz w:val="22"/>
          <w:szCs w:val="22"/>
        </w:rPr>
      </w:pPr>
      <w:r w:rsidRPr="00EF6863">
        <w:rPr>
          <w:sz w:val="22"/>
          <w:szCs w:val="22"/>
        </w:rPr>
        <w:t xml:space="preserve">Jones, I.S.F. and Padman, L. 1983. Semidiurnal internal tides in eastern Bass Strait. </w:t>
      </w:r>
      <w:r w:rsidRPr="00EF6863">
        <w:rPr>
          <w:i/>
          <w:sz w:val="22"/>
          <w:szCs w:val="22"/>
        </w:rPr>
        <w:t>Aust. J. Mar. Freshwater Res</w:t>
      </w:r>
      <w:r w:rsidRPr="00EF6863">
        <w:rPr>
          <w:sz w:val="22"/>
          <w:szCs w:val="22"/>
        </w:rPr>
        <w:t xml:space="preserve"> 34:159–171. </w:t>
      </w:r>
    </w:p>
    <w:p w14:paraId="094FE838" w14:textId="77777777" w:rsidR="00CA0853" w:rsidRPr="004062E4" w:rsidRDefault="00CA0853" w:rsidP="000B3456">
      <w:pPr>
        <w:pStyle w:val="BodyText"/>
        <w:ind w:left="567" w:hanging="567"/>
        <w:rPr>
          <w:sz w:val="22"/>
          <w:szCs w:val="22"/>
        </w:rPr>
      </w:pPr>
      <w:r w:rsidRPr="004062E4">
        <w:rPr>
          <w:sz w:val="22"/>
          <w:szCs w:val="22"/>
        </w:rPr>
        <w:t>Jung, J. 2011. Biomarker Responses in Pelagic and Benthic Fish Over One Year Following the</w:t>
      </w:r>
      <w:r>
        <w:rPr>
          <w:sz w:val="22"/>
          <w:szCs w:val="22"/>
        </w:rPr>
        <w:t xml:space="preserve"> </w:t>
      </w:r>
      <w:r w:rsidRPr="004062E4">
        <w:rPr>
          <w:sz w:val="22"/>
          <w:szCs w:val="22"/>
        </w:rPr>
        <w:t xml:space="preserve">Hebei Spirit Oil Spill (Taean, Korea). </w:t>
      </w:r>
      <w:r>
        <w:rPr>
          <w:i/>
          <w:sz w:val="22"/>
          <w:szCs w:val="22"/>
        </w:rPr>
        <w:t>Mar. Poll.</w:t>
      </w:r>
      <w:r w:rsidRPr="00B31871">
        <w:rPr>
          <w:i/>
          <w:sz w:val="22"/>
          <w:szCs w:val="22"/>
        </w:rPr>
        <w:t xml:space="preserve"> Bull</w:t>
      </w:r>
      <w:r w:rsidRPr="004062E4">
        <w:rPr>
          <w:sz w:val="22"/>
          <w:szCs w:val="22"/>
        </w:rPr>
        <w:t>. 62(8):1859– 1866.</w:t>
      </w:r>
    </w:p>
    <w:p w14:paraId="598C563A" w14:textId="77777777" w:rsidR="00CA0853" w:rsidRPr="00E93F43" w:rsidRDefault="00CA0853" w:rsidP="000B3456">
      <w:pPr>
        <w:pStyle w:val="BodyText"/>
        <w:ind w:left="567" w:hanging="567"/>
        <w:rPr>
          <w:sz w:val="22"/>
          <w:szCs w:val="22"/>
        </w:rPr>
      </w:pPr>
      <w:r>
        <w:rPr>
          <w:sz w:val="22"/>
          <w:szCs w:val="22"/>
        </w:rPr>
        <w:t xml:space="preserve">Kaifu, K., </w:t>
      </w:r>
      <w:r w:rsidRPr="00E93F43">
        <w:rPr>
          <w:sz w:val="22"/>
          <w:szCs w:val="22"/>
        </w:rPr>
        <w:t xml:space="preserve">Akamatsu, </w:t>
      </w:r>
      <w:r>
        <w:rPr>
          <w:sz w:val="22"/>
          <w:szCs w:val="22"/>
        </w:rPr>
        <w:t xml:space="preserve">T. </w:t>
      </w:r>
      <w:r w:rsidRPr="00E93F43">
        <w:rPr>
          <w:sz w:val="22"/>
          <w:szCs w:val="22"/>
        </w:rPr>
        <w:t>and Segawa</w:t>
      </w:r>
      <w:r>
        <w:rPr>
          <w:sz w:val="22"/>
          <w:szCs w:val="22"/>
        </w:rPr>
        <w:t>, S</w:t>
      </w:r>
      <w:r w:rsidRPr="00E93F43">
        <w:rPr>
          <w:sz w:val="22"/>
          <w:szCs w:val="22"/>
        </w:rPr>
        <w:t xml:space="preserve">. 2008. Underwater sound detection by cephalopod statocyst. </w:t>
      </w:r>
      <w:r w:rsidRPr="004A2E49">
        <w:rPr>
          <w:i/>
          <w:iCs/>
          <w:sz w:val="22"/>
          <w:szCs w:val="22"/>
        </w:rPr>
        <w:t>Fisheries Science</w:t>
      </w:r>
      <w:r w:rsidRPr="00E93F43">
        <w:rPr>
          <w:sz w:val="22"/>
          <w:szCs w:val="22"/>
        </w:rPr>
        <w:t xml:space="preserve"> 74(4): 781-786.</w:t>
      </w:r>
    </w:p>
    <w:p w14:paraId="77D4DD83" w14:textId="77777777" w:rsidR="00CA0853" w:rsidRPr="00EE7703" w:rsidRDefault="00CA0853" w:rsidP="000B3456">
      <w:pPr>
        <w:pStyle w:val="BodyText"/>
        <w:ind w:left="567" w:hanging="567"/>
        <w:rPr>
          <w:sz w:val="22"/>
          <w:szCs w:val="22"/>
        </w:rPr>
      </w:pPr>
      <w:r w:rsidRPr="00EE7703">
        <w:rPr>
          <w:sz w:val="22"/>
          <w:szCs w:val="22"/>
        </w:rPr>
        <w:t xml:space="preserve">Kasamatsu, F. and Joyce, G. 1995. Current status of odontocetes in the Antarctic waters. </w:t>
      </w:r>
      <w:r w:rsidRPr="00401C50">
        <w:rPr>
          <w:i/>
          <w:iCs/>
          <w:sz w:val="22"/>
          <w:szCs w:val="22"/>
        </w:rPr>
        <w:t>Antarct Sci</w:t>
      </w:r>
      <w:r w:rsidRPr="00EE7703">
        <w:rPr>
          <w:sz w:val="22"/>
          <w:szCs w:val="22"/>
        </w:rPr>
        <w:t>. 7:365-379.</w:t>
      </w:r>
    </w:p>
    <w:p w14:paraId="3C42E0C1" w14:textId="77777777" w:rsidR="00CA0853" w:rsidRPr="00EE7703" w:rsidRDefault="00CA0853" w:rsidP="000B3456">
      <w:pPr>
        <w:pStyle w:val="BodyText"/>
        <w:ind w:left="567" w:hanging="567"/>
        <w:rPr>
          <w:sz w:val="22"/>
          <w:szCs w:val="22"/>
        </w:rPr>
      </w:pPr>
      <w:r w:rsidRPr="00137C62">
        <w:rPr>
          <w:sz w:val="22"/>
          <w:szCs w:val="22"/>
          <w:lang w:val="en-GB"/>
        </w:rPr>
        <w:t xml:space="preserve">Kasamatsu, F., Matsuoka, K. and Hakamada, T. 2000. </w:t>
      </w:r>
      <w:r w:rsidRPr="00EE7703">
        <w:rPr>
          <w:sz w:val="22"/>
          <w:szCs w:val="22"/>
        </w:rPr>
        <w:t xml:space="preserve">Interspecific relationships in density among the whale community in the Antarctic. </w:t>
      </w:r>
      <w:r w:rsidRPr="00401C50">
        <w:rPr>
          <w:i/>
          <w:iCs/>
          <w:sz w:val="22"/>
          <w:szCs w:val="22"/>
        </w:rPr>
        <w:t>Polar Biol</w:t>
      </w:r>
      <w:r w:rsidRPr="00EE7703">
        <w:rPr>
          <w:sz w:val="22"/>
          <w:szCs w:val="22"/>
        </w:rPr>
        <w:t xml:space="preserve">. 23:466-473. </w:t>
      </w:r>
    </w:p>
    <w:p w14:paraId="6CB510D2" w14:textId="77777777" w:rsidR="00CA0853" w:rsidRPr="00E93F43" w:rsidRDefault="00CA0853" w:rsidP="000B3456">
      <w:pPr>
        <w:pStyle w:val="BodyText"/>
        <w:ind w:left="567" w:hanging="567"/>
        <w:rPr>
          <w:sz w:val="22"/>
          <w:szCs w:val="22"/>
        </w:rPr>
      </w:pPr>
      <w:r w:rsidRPr="00E93F43">
        <w:rPr>
          <w:sz w:val="22"/>
          <w:szCs w:val="22"/>
        </w:rPr>
        <w:t>Ketten, D.R. 1992. The cetacean ear: form, frequency, and evolution. In Thomas, J.A., R.A. Kastelein, and A.Y. Supin (eds.). Marine Mammal Sensory Systems. Plenum Press, New York. 53-75.</w:t>
      </w:r>
    </w:p>
    <w:p w14:paraId="795337C7" w14:textId="77777777" w:rsidR="00CA0853" w:rsidRPr="00E93F43" w:rsidRDefault="00CA0853" w:rsidP="000B3456">
      <w:pPr>
        <w:pStyle w:val="BodyText"/>
        <w:ind w:left="567" w:hanging="567"/>
        <w:rPr>
          <w:sz w:val="22"/>
          <w:szCs w:val="22"/>
        </w:rPr>
      </w:pPr>
      <w:r>
        <w:rPr>
          <w:sz w:val="22"/>
          <w:szCs w:val="22"/>
        </w:rPr>
        <w:t xml:space="preserve">Ketten, D.R., </w:t>
      </w:r>
      <w:r w:rsidRPr="00E93F43">
        <w:rPr>
          <w:sz w:val="22"/>
          <w:szCs w:val="22"/>
        </w:rPr>
        <w:t xml:space="preserve">Merigo, </w:t>
      </w:r>
      <w:r>
        <w:rPr>
          <w:sz w:val="22"/>
          <w:szCs w:val="22"/>
        </w:rPr>
        <w:t xml:space="preserve">C., </w:t>
      </w:r>
      <w:r w:rsidRPr="00E93F43">
        <w:rPr>
          <w:sz w:val="22"/>
          <w:szCs w:val="22"/>
        </w:rPr>
        <w:t xml:space="preserve">Chiddick, </w:t>
      </w:r>
      <w:r>
        <w:rPr>
          <w:sz w:val="22"/>
          <w:szCs w:val="22"/>
        </w:rPr>
        <w:t xml:space="preserve">E., </w:t>
      </w:r>
      <w:r w:rsidRPr="00E93F43">
        <w:rPr>
          <w:sz w:val="22"/>
          <w:szCs w:val="22"/>
        </w:rPr>
        <w:t xml:space="preserve">Krum, </w:t>
      </w:r>
      <w:r>
        <w:rPr>
          <w:sz w:val="22"/>
          <w:szCs w:val="22"/>
        </w:rPr>
        <w:t xml:space="preserve">H. </w:t>
      </w:r>
      <w:r w:rsidRPr="00E93F43">
        <w:rPr>
          <w:sz w:val="22"/>
          <w:szCs w:val="22"/>
        </w:rPr>
        <w:t>and Melvin</w:t>
      </w:r>
      <w:r>
        <w:rPr>
          <w:sz w:val="22"/>
          <w:szCs w:val="22"/>
        </w:rPr>
        <w:t>, E.F</w:t>
      </w:r>
      <w:r w:rsidRPr="00E93F43">
        <w:rPr>
          <w:sz w:val="22"/>
          <w:szCs w:val="22"/>
        </w:rPr>
        <w:t xml:space="preserve">. 1999. Acoustic fatheads: parallel evolution of underwater sound reception mechanisms in dolphins, turtles, and sea birds. </w:t>
      </w:r>
      <w:r w:rsidRPr="004A2E49">
        <w:rPr>
          <w:i/>
          <w:iCs/>
          <w:sz w:val="22"/>
          <w:szCs w:val="22"/>
        </w:rPr>
        <w:t>Journal of the Acoustical Society of America</w:t>
      </w:r>
      <w:r w:rsidRPr="00E93F43">
        <w:rPr>
          <w:sz w:val="22"/>
          <w:szCs w:val="22"/>
        </w:rPr>
        <w:t xml:space="preserve"> 105(2): 1110.</w:t>
      </w:r>
    </w:p>
    <w:p w14:paraId="4ED2EF00" w14:textId="3304A2DA" w:rsidR="00B05963" w:rsidRPr="00B05963" w:rsidRDefault="00B05963" w:rsidP="00B05963">
      <w:pPr>
        <w:pStyle w:val="BodyText"/>
        <w:ind w:left="567" w:hanging="567"/>
        <w:rPr>
          <w:sz w:val="22"/>
          <w:szCs w:val="22"/>
          <w:lang w:val="en-GB"/>
        </w:rPr>
      </w:pPr>
      <w:r w:rsidRPr="00B05963">
        <w:rPr>
          <w:sz w:val="22"/>
          <w:szCs w:val="22"/>
          <w:lang w:val="en-GB"/>
        </w:rPr>
        <w:t>Ketten, D.R. and Bartol</w:t>
      </w:r>
      <w:r>
        <w:rPr>
          <w:sz w:val="22"/>
          <w:szCs w:val="22"/>
          <w:lang w:val="en-GB"/>
        </w:rPr>
        <w:t>, S.M</w:t>
      </w:r>
      <w:r w:rsidRPr="00B05963">
        <w:rPr>
          <w:sz w:val="22"/>
          <w:szCs w:val="22"/>
          <w:lang w:val="en-GB"/>
        </w:rPr>
        <w:t>. 2005. Functional measures of sea turtle hearing. ONR project final report. Document Number ONR Award Number N00014-02-1-0510. Office of Naval Research (US).</w:t>
      </w:r>
    </w:p>
    <w:p w14:paraId="088FD84A" w14:textId="77777777" w:rsidR="00CA0853" w:rsidRPr="00EF6863" w:rsidRDefault="00CA0853" w:rsidP="000B3456">
      <w:pPr>
        <w:pStyle w:val="BodyText"/>
        <w:ind w:left="567" w:hanging="567"/>
        <w:rPr>
          <w:sz w:val="22"/>
          <w:szCs w:val="22"/>
        </w:rPr>
      </w:pPr>
      <w:r w:rsidRPr="00EF6863">
        <w:rPr>
          <w:sz w:val="22"/>
          <w:szCs w:val="22"/>
        </w:rPr>
        <w:t xml:space="preserve">Kirkwood, R., Warneke, R.M., Arnould. J.P. 2009. Recolonization of Bass Strait, Australia, by the New Zealand fur seal, </w:t>
      </w:r>
      <w:r w:rsidRPr="00401C50">
        <w:rPr>
          <w:i/>
          <w:iCs/>
          <w:sz w:val="22"/>
          <w:szCs w:val="22"/>
        </w:rPr>
        <w:t>Arctocephalus forsteri</w:t>
      </w:r>
      <w:r w:rsidRPr="00EF6863">
        <w:rPr>
          <w:sz w:val="22"/>
          <w:szCs w:val="22"/>
        </w:rPr>
        <w:t xml:space="preserve">. </w:t>
      </w:r>
      <w:r w:rsidRPr="000B64C5">
        <w:rPr>
          <w:i/>
          <w:sz w:val="22"/>
          <w:szCs w:val="22"/>
        </w:rPr>
        <w:t>Marine Mammal Science</w:t>
      </w:r>
      <w:r w:rsidRPr="00EF6863">
        <w:rPr>
          <w:sz w:val="22"/>
          <w:szCs w:val="22"/>
        </w:rPr>
        <w:t xml:space="preserve"> 25(2): 441–449.</w:t>
      </w:r>
    </w:p>
    <w:p w14:paraId="11694044" w14:textId="77777777" w:rsidR="00CA0853" w:rsidRPr="00EF6863" w:rsidRDefault="00CA0853" w:rsidP="000B3456">
      <w:pPr>
        <w:pStyle w:val="BodyText"/>
        <w:ind w:left="567" w:hanging="567"/>
        <w:rPr>
          <w:sz w:val="22"/>
          <w:szCs w:val="22"/>
        </w:rPr>
      </w:pPr>
      <w:r w:rsidRPr="00EF6863">
        <w:rPr>
          <w:sz w:val="22"/>
          <w:szCs w:val="22"/>
        </w:rPr>
        <w:t xml:space="preserve">Klimey, A.P. and Anderson, S.D. 1996. Residency patterns of White Sharks at the South Farrallone Islands, California. In: Great White Sharks: The biology of </w:t>
      </w:r>
      <w:r w:rsidRPr="000B64C5">
        <w:rPr>
          <w:i/>
          <w:sz w:val="22"/>
          <w:szCs w:val="22"/>
        </w:rPr>
        <w:lastRenderedPageBreak/>
        <w:t>Carcharodon carcharias</w:t>
      </w:r>
      <w:r w:rsidRPr="00EF6863">
        <w:rPr>
          <w:sz w:val="22"/>
          <w:szCs w:val="22"/>
        </w:rPr>
        <w:t xml:space="preserve">. Edited by A.P. Klimley &amp; D.G. Ainley. Academic Press, New York USA. </w:t>
      </w:r>
    </w:p>
    <w:p w14:paraId="0DD318B8" w14:textId="77777777" w:rsidR="00CA0853" w:rsidRPr="00EE7703" w:rsidRDefault="00CA0853" w:rsidP="000B3456">
      <w:pPr>
        <w:pStyle w:val="BodyText"/>
        <w:ind w:left="567" w:hanging="567"/>
        <w:rPr>
          <w:sz w:val="22"/>
          <w:szCs w:val="22"/>
        </w:rPr>
      </w:pPr>
      <w:r w:rsidRPr="00EE7703">
        <w:rPr>
          <w:sz w:val="22"/>
          <w:szCs w:val="22"/>
        </w:rPr>
        <w:t>Klimley, A.P. and Myrberg, Jr A.A. 1979. Acoustic stimuli underlying withdrawal from a sound source by adult lemon sharks, Negaprion brevirostris (Poey). Bull. Mar. Sci. 29: 447–458.</w:t>
      </w:r>
    </w:p>
    <w:p w14:paraId="7667FE2B" w14:textId="77777777" w:rsidR="00CA0853" w:rsidRPr="00425C7C" w:rsidRDefault="00CA0853" w:rsidP="000B3456">
      <w:pPr>
        <w:pStyle w:val="BodyText"/>
        <w:ind w:left="567" w:hanging="567"/>
        <w:rPr>
          <w:sz w:val="22"/>
          <w:szCs w:val="22"/>
        </w:rPr>
      </w:pPr>
      <w:r w:rsidRPr="00425C7C">
        <w:rPr>
          <w:sz w:val="22"/>
          <w:szCs w:val="22"/>
        </w:rPr>
        <w:t>Kooyman, G.L., Davis</w:t>
      </w:r>
      <w:r>
        <w:rPr>
          <w:sz w:val="22"/>
          <w:szCs w:val="22"/>
        </w:rPr>
        <w:t>, R.W.</w:t>
      </w:r>
      <w:r w:rsidRPr="00425C7C">
        <w:rPr>
          <w:sz w:val="22"/>
          <w:szCs w:val="22"/>
        </w:rPr>
        <w:t xml:space="preserve"> and Castellini</w:t>
      </w:r>
      <w:r>
        <w:rPr>
          <w:sz w:val="22"/>
          <w:szCs w:val="22"/>
        </w:rPr>
        <w:t>, M.A</w:t>
      </w:r>
      <w:r w:rsidRPr="00425C7C">
        <w:rPr>
          <w:sz w:val="22"/>
          <w:szCs w:val="22"/>
        </w:rPr>
        <w:t>. 1977. Thermal conductance of immersed</w:t>
      </w:r>
      <w:r>
        <w:rPr>
          <w:sz w:val="22"/>
          <w:szCs w:val="22"/>
        </w:rPr>
        <w:t xml:space="preserve"> </w:t>
      </w:r>
      <w:r w:rsidRPr="00425C7C">
        <w:rPr>
          <w:sz w:val="22"/>
          <w:szCs w:val="22"/>
        </w:rPr>
        <w:t>pinniped and sea otter pelts before and after oiling with Prudhoe Bay crude. pp. 151-157.</w:t>
      </w:r>
      <w:r>
        <w:rPr>
          <w:sz w:val="22"/>
          <w:szCs w:val="22"/>
        </w:rPr>
        <w:t xml:space="preserve"> </w:t>
      </w:r>
      <w:r w:rsidRPr="00425C7C">
        <w:rPr>
          <w:sz w:val="22"/>
          <w:szCs w:val="22"/>
        </w:rPr>
        <w:t>In</w:t>
      </w:r>
      <w:r>
        <w:rPr>
          <w:sz w:val="22"/>
          <w:szCs w:val="22"/>
        </w:rPr>
        <w:t>:</w:t>
      </w:r>
      <w:r w:rsidRPr="00425C7C">
        <w:rPr>
          <w:sz w:val="22"/>
          <w:szCs w:val="22"/>
        </w:rPr>
        <w:t xml:space="preserve"> </w:t>
      </w:r>
      <w:r w:rsidRPr="00211C1D">
        <w:rPr>
          <w:i/>
          <w:sz w:val="22"/>
          <w:szCs w:val="22"/>
        </w:rPr>
        <w:t>Fate and Effects of Petroleum Hydrocarbons in Marine Ecosystems and Organisms</w:t>
      </w:r>
      <w:r w:rsidRPr="00425C7C">
        <w:rPr>
          <w:sz w:val="22"/>
          <w:szCs w:val="22"/>
        </w:rPr>
        <w:t>.</w:t>
      </w:r>
      <w:r>
        <w:rPr>
          <w:sz w:val="22"/>
          <w:szCs w:val="22"/>
        </w:rPr>
        <w:t xml:space="preserve"> </w:t>
      </w:r>
      <w:r w:rsidRPr="00425C7C">
        <w:rPr>
          <w:sz w:val="22"/>
          <w:szCs w:val="22"/>
        </w:rPr>
        <w:t>D.A. Wolfe (ed.). Pergammon Press, New York, New York.</w:t>
      </w:r>
    </w:p>
    <w:p w14:paraId="0E8EA1B9" w14:textId="77777777" w:rsidR="00CA0853" w:rsidRPr="00425C7C" w:rsidRDefault="00CA0853" w:rsidP="000B3456">
      <w:pPr>
        <w:pStyle w:val="BodyText"/>
        <w:ind w:left="567" w:hanging="567"/>
        <w:rPr>
          <w:sz w:val="22"/>
          <w:szCs w:val="22"/>
        </w:rPr>
      </w:pPr>
      <w:r w:rsidRPr="00425C7C">
        <w:rPr>
          <w:sz w:val="22"/>
          <w:szCs w:val="22"/>
        </w:rPr>
        <w:t>Kooyman, G.L., Gentry</w:t>
      </w:r>
      <w:r>
        <w:rPr>
          <w:sz w:val="22"/>
          <w:szCs w:val="22"/>
        </w:rPr>
        <w:t>, R.L.</w:t>
      </w:r>
      <w:r w:rsidRPr="00425C7C">
        <w:rPr>
          <w:sz w:val="22"/>
          <w:szCs w:val="22"/>
        </w:rPr>
        <w:t xml:space="preserve"> and McAllister</w:t>
      </w:r>
      <w:r>
        <w:rPr>
          <w:sz w:val="22"/>
          <w:szCs w:val="22"/>
        </w:rPr>
        <w:t>, W.B</w:t>
      </w:r>
      <w:r w:rsidRPr="00425C7C">
        <w:rPr>
          <w:sz w:val="22"/>
          <w:szCs w:val="22"/>
        </w:rPr>
        <w:t>. 1976. Physiological impact of oil on</w:t>
      </w:r>
      <w:r>
        <w:rPr>
          <w:sz w:val="22"/>
          <w:szCs w:val="22"/>
        </w:rPr>
        <w:t xml:space="preserve"> </w:t>
      </w:r>
      <w:r w:rsidRPr="00425C7C">
        <w:rPr>
          <w:sz w:val="22"/>
          <w:szCs w:val="22"/>
        </w:rPr>
        <w:t>pinnipeds. Report N.W. Fisheries Center</w:t>
      </w:r>
      <w:r>
        <w:rPr>
          <w:sz w:val="22"/>
          <w:szCs w:val="22"/>
        </w:rPr>
        <w:t>.</w:t>
      </w:r>
      <w:r w:rsidRPr="00425C7C">
        <w:rPr>
          <w:sz w:val="22"/>
          <w:szCs w:val="22"/>
        </w:rPr>
        <w:t xml:space="preserve"> </w:t>
      </w:r>
      <w:r w:rsidRPr="00211C1D">
        <w:rPr>
          <w:i/>
          <w:sz w:val="22"/>
          <w:szCs w:val="22"/>
        </w:rPr>
        <w:t>Natl. Mar. Fish. Serv</w:t>
      </w:r>
      <w:r>
        <w:rPr>
          <w:sz w:val="22"/>
          <w:szCs w:val="22"/>
        </w:rPr>
        <w:t xml:space="preserve">. Seattle, WA. </w:t>
      </w:r>
    </w:p>
    <w:p w14:paraId="10DEF17B" w14:textId="77777777" w:rsidR="00CA0853" w:rsidRPr="00EE7703" w:rsidRDefault="00CA0853" w:rsidP="000B3456">
      <w:pPr>
        <w:pStyle w:val="BodyText"/>
        <w:ind w:left="567" w:hanging="567"/>
        <w:rPr>
          <w:sz w:val="22"/>
          <w:szCs w:val="22"/>
        </w:rPr>
      </w:pPr>
      <w:r w:rsidRPr="00EE7703">
        <w:rPr>
          <w:sz w:val="22"/>
          <w:szCs w:val="22"/>
        </w:rPr>
        <w:t>Kordjazi, Z., Frusher, S., Buxton, C. D. and Gardner, C. 2015. Estimating survival of rock lobsters from long-term tagging programmes: how survey number and interval influence estimates. Journal of Marine Science 72: i244–i251.</w:t>
      </w:r>
    </w:p>
    <w:p w14:paraId="53E2A2CC" w14:textId="77777777" w:rsidR="00CA0853" w:rsidRPr="00906B75" w:rsidRDefault="00CA0853" w:rsidP="000B3456">
      <w:pPr>
        <w:pStyle w:val="BodyText"/>
        <w:ind w:left="567" w:hanging="567"/>
        <w:rPr>
          <w:sz w:val="22"/>
          <w:szCs w:val="22"/>
          <w:lang w:val="it-IT"/>
        </w:rPr>
      </w:pPr>
      <w:r w:rsidRPr="00EE7703">
        <w:rPr>
          <w:sz w:val="22"/>
          <w:szCs w:val="22"/>
        </w:rPr>
        <w:t xml:space="preserve">Kostyuchenko, L.P. 1973. Effects of elastic waves generated in marine seismic prospecting on fish eggs in the Black Sea. </w:t>
      </w:r>
      <w:r w:rsidRPr="00906B75">
        <w:rPr>
          <w:i/>
          <w:sz w:val="22"/>
          <w:szCs w:val="22"/>
          <w:lang w:val="it-IT"/>
        </w:rPr>
        <w:t>Hydrobiological Journal</w:t>
      </w:r>
      <w:r w:rsidRPr="00906B75">
        <w:rPr>
          <w:sz w:val="22"/>
          <w:szCs w:val="22"/>
          <w:lang w:val="it-IT"/>
        </w:rPr>
        <w:t xml:space="preserve"> 9: 45-48. </w:t>
      </w:r>
    </w:p>
    <w:p w14:paraId="388C3EE8" w14:textId="77777777" w:rsidR="00CA0853" w:rsidRPr="004A2E49" w:rsidRDefault="00CA0853" w:rsidP="000B3456">
      <w:pPr>
        <w:pStyle w:val="BodyText"/>
        <w:ind w:left="567" w:hanging="567"/>
        <w:rPr>
          <w:sz w:val="22"/>
          <w:szCs w:val="22"/>
        </w:rPr>
      </w:pPr>
      <w:bookmarkStart w:id="1327" w:name="_ENREF_10"/>
      <w:r w:rsidRPr="004A2E49">
        <w:rPr>
          <w:sz w:val="22"/>
          <w:szCs w:val="22"/>
          <w:lang w:val="it-IT"/>
        </w:rPr>
        <w:t xml:space="preserve">La Bella, G., Cannata, S., Froglia, </w:t>
      </w:r>
      <w:r>
        <w:rPr>
          <w:sz w:val="22"/>
          <w:szCs w:val="22"/>
          <w:lang w:val="it-IT"/>
        </w:rPr>
        <w:t xml:space="preserve">C., </w:t>
      </w:r>
      <w:r w:rsidRPr="004A2E49">
        <w:rPr>
          <w:sz w:val="22"/>
          <w:szCs w:val="22"/>
          <w:lang w:val="it-IT"/>
        </w:rPr>
        <w:t xml:space="preserve">Ratti, </w:t>
      </w:r>
      <w:r>
        <w:rPr>
          <w:sz w:val="22"/>
          <w:szCs w:val="22"/>
          <w:lang w:val="it-IT"/>
        </w:rPr>
        <w:t xml:space="preserve">S. </w:t>
      </w:r>
      <w:r w:rsidRPr="004A2E49">
        <w:rPr>
          <w:sz w:val="22"/>
          <w:szCs w:val="22"/>
          <w:lang w:val="it-IT"/>
        </w:rPr>
        <w:t>and Rivas</w:t>
      </w:r>
      <w:r>
        <w:rPr>
          <w:sz w:val="22"/>
          <w:szCs w:val="22"/>
          <w:lang w:val="it-IT"/>
        </w:rPr>
        <w:t>, G</w:t>
      </w:r>
      <w:r w:rsidRPr="004A2E49">
        <w:rPr>
          <w:sz w:val="22"/>
          <w:szCs w:val="22"/>
          <w:lang w:val="it-IT"/>
        </w:rPr>
        <w:t xml:space="preserve">. 1996. </w:t>
      </w:r>
      <w:r w:rsidRPr="004A2E49">
        <w:rPr>
          <w:sz w:val="22"/>
          <w:szCs w:val="22"/>
        </w:rPr>
        <w:t xml:space="preserve">First assessment of effects of air-gun seismic shooting on marine resources in the central Adriatic Sea. </w:t>
      </w:r>
      <w:r>
        <w:rPr>
          <w:sz w:val="22"/>
          <w:szCs w:val="22"/>
        </w:rPr>
        <w:t>I</w:t>
      </w:r>
      <w:r w:rsidRPr="004A2E49">
        <w:rPr>
          <w:sz w:val="22"/>
          <w:szCs w:val="22"/>
        </w:rPr>
        <w:t>n</w:t>
      </w:r>
      <w:r>
        <w:rPr>
          <w:sz w:val="22"/>
          <w:szCs w:val="22"/>
        </w:rPr>
        <w:t>:</w:t>
      </w:r>
      <w:r w:rsidRPr="004A2E49">
        <w:rPr>
          <w:sz w:val="22"/>
          <w:szCs w:val="22"/>
        </w:rPr>
        <w:t xml:space="preserve"> </w:t>
      </w:r>
      <w:r w:rsidRPr="004A2E49">
        <w:rPr>
          <w:i/>
          <w:iCs/>
          <w:sz w:val="22"/>
          <w:szCs w:val="22"/>
        </w:rPr>
        <w:t>International conference on health, safety and environment in oil and gas exploration and production</w:t>
      </w:r>
      <w:r w:rsidRPr="004A2E49">
        <w:rPr>
          <w:sz w:val="22"/>
          <w:szCs w:val="22"/>
        </w:rPr>
        <w:t>.</w:t>
      </w:r>
      <w:bookmarkEnd w:id="1327"/>
    </w:p>
    <w:p w14:paraId="7756191A" w14:textId="77777777" w:rsidR="00CA0853" w:rsidRPr="00F56CF3" w:rsidRDefault="00CA0853" w:rsidP="000B3456">
      <w:pPr>
        <w:pStyle w:val="BodyText"/>
        <w:ind w:left="567" w:hanging="567"/>
        <w:rPr>
          <w:sz w:val="22"/>
          <w:szCs w:val="22"/>
        </w:rPr>
      </w:pPr>
      <w:r w:rsidRPr="00F56CF3">
        <w:rPr>
          <w:sz w:val="22"/>
          <w:szCs w:val="22"/>
        </w:rPr>
        <w:t>Laist, D.W., Knowlton, A.R., Mead, J.G., Collet, A.S., &amp; Podesta, M. 2001. Collisions between Ships</w:t>
      </w:r>
      <w:r>
        <w:rPr>
          <w:sz w:val="22"/>
          <w:szCs w:val="22"/>
        </w:rPr>
        <w:t xml:space="preserve"> </w:t>
      </w:r>
      <w:r w:rsidRPr="00F56CF3">
        <w:rPr>
          <w:sz w:val="22"/>
          <w:szCs w:val="22"/>
        </w:rPr>
        <w:t xml:space="preserve">and Whales. </w:t>
      </w:r>
      <w:r w:rsidRPr="00F56CF3">
        <w:rPr>
          <w:i/>
          <w:sz w:val="22"/>
          <w:szCs w:val="22"/>
        </w:rPr>
        <w:t>Marine Mammal Science</w:t>
      </w:r>
      <w:r w:rsidRPr="00F56CF3">
        <w:rPr>
          <w:sz w:val="22"/>
          <w:szCs w:val="22"/>
        </w:rPr>
        <w:t xml:space="preserve"> 17(1): 35-75.</w:t>
      </w:r>
    </w:p>
    <w:p w14:paraId="3D0DFDF2" w14:textId="77777777" w:rsidR="00CA0853" w:rsidRPr="00924A4F" w:rsidRDefault="00CA0853" w:rsidP="000B3456">
      <w:pPr>
        <w:pStyle w:val="BodyText"/>
        <w:ind w:left="567" w:hanging="567"/>
        <w:rPr>
          <w:sz w:val="22"/>
          <w:szCs w:val="22"/>
        </w:rPr>
      </w:pPr>
      <w:r w:rsidRPr="00924A4F">
        <w:rPr>
          <w:sz w:val="22"/>
          <w:szCs w:val="22"/>
        </w:rPr>
        <w:t xml:space="preserve">Lamendella, R., Strutt, S., Borglin, S., Chakraborty, R., Tas., N., Mason, O., Hultman, J., Prestat, Hazen, T. and Jansson, J. 2014. Assessment of the Deepwater Horizon oil spill impact on Gulf coast microbial communities. </w:t>
      </w:r>
      <w:r w:rsidRPr="00924A4F">
        <w:rPr>
          <w:i/>
          <w:sz w:val="22"/>
          <w:szCs w:val="22"/>
        </w:rPr>
        <w:t>Front. Microbiol</w:t>
      </w:r>
      <w:r w:rsidRPr="00924A4F">
        <w:rPr>
          <w:sz w:val="22"/>
          <w:szCs w:val="22"/>
        </w:rPr>
        <w:t xml:space="preserve">. 5: 130. </w:t>
      </w:r>
    </w:p>
    <w:p w14:paraId="5225A4B3" w14:textId="7DD17B53" w:rsidR="00B05963" w:rsidRPr="00B05963" w:rsidRDefault="00B05963" w:rsidP="00B05963">
      <w:pPr>
        <w:pStyle w:val="BodyText"/>
        <w:ind w:left="567" w:hanging="567"/>
        <w:rPr>
          <w:sz w:val="22"/>
          <w:szCs w:val="22"/>
        </w:rPr>
      </w:pPr>
      <w:r w:rsidRPr="00B05963">
        <w:rPr>
          <w:sz w:val="22"/>
          <w:szCs w:val="22"/>
        </w:rPr>
        <w:t xml:space="preserve">Lavender, A.L., Bartol, </w:t>
      </w:r>
      <w:r>
        <w:rPr>
          <w:sz w:val="22"/>
          <w:szCs w:val="22"/>
        </w:rPr>
        <w:t xml:space="preserve">S.M. </w:t>
      </w:r>
      <w:r w:rsidRPr="00B05963">
        <w:rPr>
          <w:sz w:val="22"/>
          <w:szCs w:val="22"/>
        </w:rPr>
        <w:t>and Bartol</w:t>
      </w:r>
      <w:r>
        <w:rPr>
          <w:sz w:val="22"/>
          <w:szCs w:val="22"/>
        </w:rPr>
        <w:t>, I.K</w:t>
      </w:r>
      <w:r w:rsidRPr="00B05963">
        <w:rPr>
          <w:sz w:val="22"/>
          <w:szCs w:val="22"/>
        </w:rPr>
        <w:t>. 2012. Hearing capabilities of loggerhead sea turtles (</w:t>
      </w:r>
      <w:r w:rsidRPr="00B05963">
        <w:rPr>
          <w:i/>
          <w:sz w:val="22"/>
          <w:szCs w:val="22"/>
        </w:rPr>
        <w:t>Caretta caretta</w:t>
      </w:r>
      <w:r w:rsidRPr="00B05963">
        <w:rPr>
          <w:sz w:val="22"/>
          <w:szCs w:val="22"/>
        </w:rPr>
        <w:t>) throughout ontogeny. In</w:t>
      </w:r>
      <w:r>
        <w:rPr>
          <w:sz w:val="22"/>
          <w:szCs w:val="22"/>
        </w:rPr>
        <w:t>:</w:t>
      </w:r>
      <w:r w:rsidRPr="00B05963">
        <w:rPr>
          <w:sz w:val="22"/>
          <w:szCs w:val="22"/>
        </w:rPr>
        <w:t xml:space="preserve"> </w:t>
      </w:r>
      <w:r w:rsidRPr="00B05963">
        <w:rPr>
          <w:i/>
          <w:sz w:val="22"/>
          <w:szCs w:val="22"/>
        </w:rPr>
        <w:t>The Effects of Noise on Aquatic Life</w:t>
      </w:r>
      <w:r w:rsidRPr="00B05963">
        <w:rPr>
          <w:sz w:val="22"/>
          <w:szCs w:val="22"/>
        </w:rPr>
        <w:t xml:space="preserve">. Springer. 89-92. </w:t>
      </w:r>
    </w:p>
    <w:p w14:paraId="092C37E1" w14:textId="05940E64" w:rsidR="00B05963" w:rsidRPr="00B05963" w:rsidRDefault="00B05963" w:rsidP="00B05963">
      <w:pPr>
        <w:pStyle w:val="BodyText"/>
        <w:ind w:left="567" w:hanging="567"/>
        <w:rPr>
          <w:sz w:val="22"/>
          <w:szCs w:val="22"/>
        </w:rPr>
      </w:pPr>
      <w:r w:rsidRPr="00B05963">
        <w:rPr>
          <w:sz w:val="22"/>
          <w:szCs w:val="22"/>
        </w:rPr>
        <w:t xml:space="preserve">Lavender, A.L., Bartol, </w:t>
      </w:r>
      <w:r>
        <w:rPr>
          <w:sz w:val="22"/>
          <w:szCs w:val="22"/>
        </w:rPr>
        <w:t xml:space="preserve">S.M. </w:t>
      </w:r>
      <w:r w:rsidRPr="00B05963">
        <w:rPr>
          <w:sz w:val="22"/>
          <w:szCs w:val="22"/>
        </w:rPr>
        <w:t>and Bartol</w:t>
      </w:r>
      <w:r>
        <w:rPr>
          <w:sz w:val="22"/>
          <w:szCs w:val="22"/>
        </w:rPr>
        <w:t>, I.K</w:t>
      </w:r>
      <w:r w:rsidRPr="00B05963">
        <w:rPr>
          <w:sz w:val="22"/>
          <w:szCs w:val="22"/>
        </w:rPr>
        <w:t>. 2014. Ontogenetic investigation of underwater hearing capabilities in loggerhead sea turtles (</w:t>
      </w:r>
      <w:r w:rsidRPr="00B05963">
        <w:rPr>
          <w:i/>
          <w:sz w:val="22"/>
          <w:szCs w:val="22"/>
        </w:rPr>
        <w:t>Caretta caretta</w:t>
      </w:r>
      <w:r w:rsidRPr="00B05963">
        <w:rPr>
          <w:sz w:val="22"/>
          <w:szCs w:val="22"/>
        </w:rPr>
        <w:t xml:space="preserve">) using a dual testing approach. </w:t>
      </w:r>
      <w:r w:rsidRPr="00B05963">
        <w:rPr>
          <w:i/>
          <w:sz w:val="22"/>
          <w:szCs w:val="22"/>
        </w:rPr>
        <w:t>Journal of Experimental Biology</w:t>
      </w:r>
      <w:r w:rsidRPr="00B05963">
        <w:rPr>
          <w:sz w:val="22"/>
          <w:szCs w:val="22"/>
        </w:rPr>
        <w:t xml:space="preserve"> 217(14): 2580-2589. </w:t>
      </w:r>
    </w:p>
    <w:p w14:paraId="5CD3FE5C" w14:textId="77777777" w:rsidR="00CA0853" w:rsidRPr="004062E4" w:rsidRDefault="00CA0853" w:rsidP="000B3456">
      <w:pPr>
        <w:pStyle w:val="BodyText"/>
        <w:ind w:left="567" w:hanging="567"/>
        <w:rPr>
          <w:sz w:val="22"/>
          <w:szCs w:val="22"/>
        </w:rPr>
      </w:pPr>
      <w:r w:rsidRPr="004062E4">
        <w:rPr>
          <w:sz w:val="22"/>
          <w:szCs w:val="22"/>
        </w:rPr>
        <w:t>Law, R.J. 1997. Hydrocarbons and PAH in Fish and Shellfish from Southwest Wales following</w:t>
      </w:r>
      <w:r>
        <w:rPr>
          <w:sz w:val="22"/>
          <w:szCs w:val="22"/>
        </w:rPr>
        <w:t xml:space="preserve"> </w:t>
      </w:r>
      <w:r w:rsidRPr="004062E4">
        <w:rPr>
          <w:sz w:val="22"/>
          <w:szCs w:val="22"/>
        </w:rPr>
        <w:t xml:space="preserve">the Sea Empress Oil Spill in 1996. </w:t>
      </w:r>
      <w:r w:rsidRPr="00B31871">
        <w:rPr>
          <w:i/>
          <w:sz w:val="22"/>
          <w:szCs w:val="22"/>
        </w:rPr>
        <w:t>International Oil Spill Conference Proceedings 1997</w:t>
      </w:r>
      <w:r w:rsidRPr="004062E4">
        <w:rPr>
          <w:sz w:val="22"/>
          <w:szCs w:val="22"/>
        </w:rPr>
        <w:t>(1): 205– 211.</w:t>
      </w:r>
    </w:p>
    <w:p w14:paraId="4BD1FA45" w14:textId="77777777" w:rsidR="00CA0853" w:rsidRPr="00906B75" w:rsidRDefault="00CA0853" w:rsidP="000B3456">
      <w:pPr>
        <w:pStyle w:val="BodyText"/>
        <w:ind w:left="567" w:hanging="567"/>
        <w:rPr>
          <w:sz w:val="22"/>
          <w:szCs w:val="22"/>
          <w:lang w:val="nb-NO"/>
        </w:rPr>
      </w:pPr>
      <w:r w:rsidRPr="004062E4">
        <w:rPr>
          <w:sz w:val="22"/>
          <w:szCs w:val="22"/>
        </w:rPr>
        <w:t>Lee, H.J., Shim, W.J., Lee, J. and Kim, G.B. 2011. Temporal and geographical trends in the</w:t>
      </w:r>
      <w:r>
        <w:rPr>
          <w:sz w:val="22"/>
          <w:szCs w:val="22"/>
        </w:rPr>
        <w:t xml:space="preserve"> </w:t>
      </w:r>
      <w:r w:rsidRPr="004062E4">
        <w:rPr>
          <w:sz w:val="22"/>
          <w:szCs w:val="22"/>
        </w:rPr>
        <w:t>genotoxic effects of marine sediments after accidental oil spill on the blood cells of striped</w:t>
      </w:r>
      <w:r>
        <w:rPr>
          <w:sz w:val="22"/>
          <w:szCs w:val="22"/>
        </w:rPr>
        <w:t xml:space="preserve"> </w:t>
      </w:r>
      <w:r w:rsidRPr="004062E4">
        <w:rPr>
          <w:sz w:val="22"/>
          <w:szCs w:val="22"/>
        </w:rPr>
        <w:t>beakperch (</w:t>
      </w:r>
      <w:r w:rsidRPr="00B31871">
        <w:rPr>
          <w:i/>
          <w:sz w:val="22"/>
          <w:szCs w:val="22"/>
        </w:rPr>
        <w:t>Oplegnathus fasciatus</w:t>
      </w:r>
      <w:r w:rsidRPr="004062E4">
        <w:rPr>
          <w:sz w:val="22"/>
          <w:szCs w:val="22"/>
        </w:rPr>
        <w:t xml:space="preserve">). </w:t>
      </w:r>
      <w:r w:rsidRPr="00906B75">
        <w:rPr>
          <w:i/>
          <w:sz w:val="22"/>
          <w:szCs w:val="22"/>
          <w:lang w:val="nb-NO"/>
        </w:rPr>
        <w:t>Mar. Poll. Bull.</w:t>
      </w:r>
      <w:r w:rsidRPr="00906B75">
        <w:rPr>
          <w:sz w:val="22"/>
          <w:szCs w:val="22"/>
          <w:lang w:val="nb-NO"/>
        </w:rPr>
        <w:t xml:space="preserve"> 62:2264– 2268.</w:t>
      </w:r>
    </w:p>
    <w:p w14:paraId="517B03A7" w14:textId="77777777" w:rsidR="00CA0853" w:rsidRPr="00E93F43" w:rsidRDefault="00CA0853" w:rsidP="000B3456">
      <w:pPr>
        <w:pStyle w:val="BodyText"/>
        <w:ind w:left="567" w:hanging="567"/>
        <w:rPr>
          <w:sz w:val="22"/>
          <w:szCs w:val="22"/>
        </w:rPr>
      </w:pPr>
      <w:r w:rsidRPr="00E904F2">
        <w:rPr>
          <w:sz w:val="22"/>
          <w:szCs w:val="22"/>
          <w:lang w:val="nb-NO"/>
        </w:rPr>
        <w:t xml:space="preserve">Lenhardt, M.L., Klinger, </w:t>
      </w:r>
      <w:r>
        <w:rPr>
          <w:sz w:val="22"/>
          <w:szCs w:val="22"/>
          <w:lang w:val="nb-NO"/>
        </w:rPr>
        <w:t xml:space="preserve">R. </w:t>
      </w:r>
      <w:r w:rsidRPr="00E904F2">
        <w:rPr>
          <w:sz w:val="22"/>
          <w:szCs w:val="22"/>
          <w:lang w:val="nb-NO"/>
        </w:rPr>
        <w:t>and Musick</w:t>
      </w:r>
      <w:r>
        <w:rPr>
          <w:sz w:val="22"/>
          <w:szCs w:val="22"/>
          <w:lang w:val="nb-NO"/>
        </w:rPr>
        <w:t>, J</w:t>
      </w:r>
      <w:r w:rsidRPr="00E904F2">
        <w:rPr>
          <w:sz w:val="22"/>
          <w:szCs w:val="22"/>
          <w:lang w:val="nb-NO"/>
        </w:rPr>
        <w:t xml:space="preserve">. </w:t>
      </w:r>
      <w:r w:rsidRPr="004A2E49">
        <w:rPr>
          <w:sz w:val="22"/>
          <w:szCs w:val="22"/>
          <w:lang w:val="nb-NO"/>
        </w:rPr>
        <w:t xml:space="preserve">1985. </w:t>
      </w:r>
      <w:r w:rsidRPr="00E93F43">
        <w:rPr>
          <w:sz w:val="22"/>
          <w:szCs w:val="22"/>
        </w:rPr>
        <w:t xml:space="preserve">Marine turtle middle-ear anatomy. </w:t>
      </w:r>
      <w:r w:rsidRPr="004A2E49">
        <w:rPr>
          <w:i/>
          <w:iCs/>
          <w:sz w:val="22"/>
          <w:szCs w:val="22"/>
        </w:rPr>
        <w:t>Journal of Auditory Research</w:t>
      </w:r>
      <w:r w:rsidRPr="00E93F43">
        <w:rPr>
          <w:sz w:val="22"/>
          <w:szCs w:val="22"/>
        </w:rPr>
        <w:t xml:space="preserve"> 25(1): 66-72.</w:t>
      </w:r>
    </w:p>
    <w:p w14:paraId="77480EA8" w14:textId="77777777" w:rsidR="00CA0853" w:rsidRPr="00E93F43" w:rsidRDefault="00CA0853" w:rsidP="000B3456">
      <w:pPr>
        <w:pStyle w:val="BodyText"/>
        <w:ind w:left="567" w:hanging="567"/>
        <w:rPr>
          <w:sz w:val="22"/>
          <w:szCs w:val="22"/>
        </w:rPr>
      </w:pPr>
      <w:r w:rsidRPr="00E93F43">
        <w:rPr>
          <w:sz w:val="22"/>
          <w:szCs w:val="22"/>
        </w:rPr>
        <w:t xml:space="preserve">Lenhardt, M.L. 1994. Seismic and very low frequency sound induced behaviors in captive loggerhead marine turtles (Caretta caretta). In: Bjorndal, K.A., A.B. Bolten, D.A. Johnson, and P.J. Eliazar (eds.). 14th Annual Symposium on Sea </w:t>
      </w:r>
      <w:r w:rsidRPr="00E93F43">
        <w:rPr>
          <w:sz w:val="22"/>
          <w:szCs w:val="22"/>
        </w:rPr>
        <w:lastRenderedPageBreak/>
        <w:t xml:space="preserve">Turtle Biology and Conservation. NOAA Technical Memorandum, NMFS-SEFSC-351, National Technical Information Service, Springfield, Virginia. </w:t>
      </w:r>
    </w:p>
    <w:p w14:paraId="22673FF0" w14:textId="77777777" w:rsidR="00CA0853" w:rsidRPr="00AF0B16" w:rsidRDefault="00CA0853" w:rsidP="000B3456">
      <w:pPr>
        <w:pStyle w:val="BodyText"/>
        <w:ind w:left="567" w:hanging="567"/>
        <w:rPr>
          <w:sz w:val="22"/>
          <w:szCs w:val="22"/>
        </w:rPr>
      </w:pPr>
      <w:r w:rsidRPr="00AF0B16">
        <w:rPr>
          <w:sz w:val="22"/>
          <w:szCs w:val="22"/>
        </w:rPr>
        <w:t>Lewis, M. and Pryor, R. 2013. Toxicities of oils, dispersants and dispersed oils to algae and</w:t>
      </w:r>
      <w:r>
        <w:rPr>
          <w:sz w:val="22"/>
          <w:szCs w:val="22"/>
        </w:rPr>
        <w:t xml:space="preserve"> </w:t>
      </w:r>
      <w:r w:rsidRPr="00AF0B16">
        <w:rPr>
          <w:sz w:val="22"/>
          <w:szCs w:val="22"/>
        </w:rPr>
        <w:t xml:space="preserve">aquatic plants: Review and database value to resource sustainability. </w:t>
      </w:r>
      <w:r w:rsidRPr="00AF0B16">
        <w:rPr>
          <w:i/>
          <w:sz w:val="22"/>
          <w:szCs w:val="22"/>
        </w:rPr>
        <w:t>Env</w:t>
      </w:r>
      <w:r>
        <w:rPr>
          <w:i/>
          <w:sz w:val="22"/>
          <w:szCs w:val="22"/>
        </w:rPr>
        <w:t>.</w:t>
      </w:r>
      <w:r w:rsidRPr="00AF0B16">
        <w:rPr>
          <w:i/>
          <w:sz w:val="22"/>
          <w:szCs w:val="22"/>
        </w:rPr>
        <w:t xml:space="preserve"> Poll</w:t>
      </w:r>
      <w:r>
        <w:rPr>
          <w:i/>
          <w:sz w:val="22"/>
          <w:szCs w:val="22"/>
        </w:rPr>
        <w:t>.</w:t>
      </w:r>
      <w:r w:rsidRPr="00AF0B16">
        <w:rPr>
          <w:sz w:val="22"/>
          <w:szCs w:val="22"/>
        </w:rPr>
        <w:t xml:space="preserve"> 180:345–367.</w:t>
      </w:r>
    </w:p>
    <w:p w14:paraId="6E0CAC3B" w14:textId="77777777" w:rsidR="00CA0853" w:rsidRPr="000B64C5" w:rsidRDefault="00CA0853" w:rsidP="000B3456">
      <w:pPr>
        <w:pStyle w:val="BodyText"/>
        <w:ind w:left="567" w:hanging="567"/>
        <w:rPr>
          <w:sz w:val="22"/>
          <w:szCs w:val="22"/>
        </w:rPr>
      </w:pPr>
      <w:r w:rsidRPr="000B64C5">
        <w:rPr>
          <w:sz w:val="22"/>
          <w:szCs w:val="22"/>
        </w:rPr>
        <w:t>Limpus, C.J. 2008</w:t>
      </w:r>
      <w:r>
        <w:rPr>
          <w:sz w:val="22"/>
          <w:szCs w:val="22"/>
        </w:rPr>
        <w:t>a</w:t>
      </w:r>
      <w:r w:rsidRPr="000B64C5">
        <w:rPr>
          <w:sz w:val="22"/>
          <w:szCs w:val="22"/>
        </w:rPr>
        <w:t xml:space="preserve">. A biological review of Australian Marine Turtles. 1. Loggerhead Turtle </w:t>
      </w:r>
      <w:r w:rsidRPr="005B069C">
        <w:rPr>
          <w:i/>
          <w:iCs/>
          <w:sz w:val="22"/>
          <w:szCs w:val="22"/>
        </w:rPr>
        <w:t>Caretta caretta</w:t>
      </w:r>
      <w:r w:rsidRPr="000B64C5">
        <w:rPr>
          <w:sz w:val="22"/>
          <w:szCs w:val="22"/>
        </w:rPr>
        <w:t xml:space="preserve"> (Linneaus). Queensland Environment Protection Agency. </w:t>
      </w:r>
    </w:p>
    <w:p w14:paraId="77384FA9" w14:textId="77777777" w:rsidR="00CA0853" w:rsidRPr="005B069C" w:rsidRDefault="00CA0853" w:rsidP="000B3456">
      <w:pPr>
        <w:pStyle w:val="BodyText"/>
        <w:ind w:left="567" w:hanging="567"/>
        <w:rPr>
          <w:sz w:val="22"/>
          <w:szCs w:val="22"/>
        </w:rPr>
      </w:pPr>
      <w:r w:rsidRPr="005B069C">
        <w:rPr>
          <w:sz w:val="22"/>
          <w:szCs w:val="22"/>
        </w:rPr>
        <w:t xml:space="preserve">Limpus, </w:t>
      </w:r>
      <w:r>
        <w:rPr>
          <w:sz w:val="22"/>
          <w:szCs w:val="22"/>
        </w:rPr>
        <w:t xml:space="preserve">C.J. </w:t>
      </w:r>
      <w:r w:rsidRPr="005B069C">
        <w:rPr>
          <w:sz w:val="22"/>
          <w:szCs w:val="22"/>
        </w:rPr>
        <w:t>2008b.</w:t>
      </w:r>
      <w:r>
        <w:rPr>
          <w:sz w:val="22"/>
          <w:szCs w:val="22"/>
        </w:rPr>
        <w:t xml:space="preserve"> </w:t>
      </w:r>
      <w:r w:rsidRPr="005B069C">
        <w:rPr>
          <w:sz w:val="22"/>
          <w:szCs w:val="22"/>
        </w:rPr>
        <w:t xml:space="preserve">A Biological Review of Australian Marine Turtles. Green Turtle, </w:t>
      </w:r>
      <w:r w:rsidRPr="005B069C">
        <w:rPr>
          <w:i/>
          <w:iCs/>
          <w:sz w:val="22"/>
          <w:szCs w:val="22"/>
        </w:rPr>
        <w:t>Chelonia mydas</w:t>
      </w:r>
      <w:r w:rsidRPr="005B069C">
        <w:rPr>
          <w:sz w:val="22"/>
          <w:szCs w:val="22"/>
        </w:rPr>
        <w:t xml:space="preserve"> (Linnaeus). Prepared for the Queensland Environment Protection Agency.</w:t>
      </w:r>
    </w:p>
    <w:p w14:paraId="46550CE4" w14:textId="77777777" w:rsidR="00CA0853" w:rsidRPr="005B069C" w:rsidRDefault="00CA0853" w:rsidP="000B3456">
      <w:pPr>
        <w:pStyle w:val="BodyText"/>
        <w:ind w:left="567" w:hanging="567"/>
        <w:rPr>
          <w:sz w:val="22"/>
          <w:szCs w:val="22"/>
        </w:rPr>
      </w:pPr>
      <w:r w:rsidRPr="005B069C">
        <w:rPr>
          <w:sz w:val="22"/>
          <w:szCs w:val="22"/>
        </w:rPr>
        <w:t>Limpus, C.J. 2009. A Biological Review of Australian Marine Turtles. Leatherback Turtle,</w:t>
      </w:r>
      <w:r>
        <w:rPr>
          <w:sz w:val="22"/>
          <w:szCs w:val="22"/>
        </w:rPr>
        <w:t xml:space="preserve"> </w:t>
      </w:r>
      <w:r w:rsidRPr="005B069C">
        <w:rPr>
          <w:i/>
          <w:iCs/>
          <w:sz w:val="22"/>
          <w:szCs w:val="22"/>
        </w:rPr>
        <w:t>Dermochelys coriacea</w:t>
      </w:r>
      <w:r w:rsidRPr="005B069C">
        <w:rPr>
          <w:sz w:val="22"/>
          <w:szCs w:val="22"/>
        </w:rPr>
        <w:t xml:space="preserve"> (Vandelli). Prepared for the Queensland Environment Protection</w:t>
      </w:r>
      <w:r>
        <w:rPr>
          <w:sz w:val="22"/>
          <w:szCs w:val="22"/>
        </w:rPr>
        <w:t xml:space="preserve"> </w:t>
      </w:r>
      <w:r w:rsidRPr="005B069C">
        <w:rPr>
          <w:sz w:val="22"/>
          <w:szCs w:val="22"/>
        </w:rPr>
        <w:t>Agency.</w:t>
      </w:r>
    </w:p>
    <w:p w14:paraId="47DC6277" w14:textId="77777777" w:rsidR="00CA0853" w:rsidRPr="00413077" w:rsidRDefault="00CA0853" w:rsidP="000B3456">
      <w:pPr>
        <w:pStyle w:val="BodyText"/>
        <w:ind w:left="567" w:hanging="567"/>
        <w:rPr>
          <w:rFonts w:cs="Arial"/>
          <w:sz w:val="22"/>
          <w:szCs w:val="22"/>
          <w:highlight w:val="lightGray"/>
          <w:lang w:val="en-GB"/>
        </w:rPr>
      </w:pPr>
      <w:r w:rsidRPr="00D548E4">
        <w:rPr>
          <w:sz w:val="22"/>
          <w:szCs w:val="22"/>
        </w:rPr>
        <w:t>Lindquist</w:t>
      </w:r>
      <w:r>
        <w:rPr>
          <w:sz w:val="22"/>
          <w:szCs w:val="22"/>
        </w:rPr>
        <w:t>,</w:t>
      </w:r>
      <w:r w:rsidRPr="00D548E4">
        <w:rPr>
          <w:sz w:val="22"/>
          <w:szCs w:val="22"/>
        </w:rPr>
        <w:t xml:space="preserve"> D</w:t>
      </w:r>
      <w:r>
        <w:rPr>
          <w:sz w:val="22"/>
          <w:szCs w:val="22"/>
        </w:rPr>
        <w:t>.</w:t>
      </w:r>
      <w:r w:rsidRPr="00D548E4">
        <w:rPr>
          <w:sz w:val="22"/>
          <w:szCs w:val="22"/>
        </w:rPr>
        <w:t>, Shaw</w:t>
      </w:r>
      <w:r>
        <w:rPr>
          <w:sz w:val="22"/>
          <w:szCs w:val="22"/>
        </w:rPr>
        <w:t>,</w:t>
      </w:r>
      <w:r w:rsidRPr="00D548E4">
        <w:rPr>
          <w:sz w:val="22"/>
          <w:szCs w:val="22"/>
        </w:rPr>
        <w:t xml:space="preserve"> R</w:t>
      </w:r>
      <w:r>
        <w:rPr>
          <w:sz w:val="22"/>
          <w:szCs w:val="22"/>
        </w:rPr>
        <w:t>. and</w:t>
      </w:r>
      <w:r w:rsidRPr="00D548E4">
        <w:rPr>
          <w:sz w:val="22"/>
          <w:szCs w:val="22"/>
        </w:rPr>
        <w:t xml:space="preserve"> Hernandez</w:t>
      </w:r>
      <w:r>
        <w:rPr>
          <w:sz w:val="22"/>
          <w:szCs w:val="22"/>
        </w:rPr>
        <w:t>,</w:t>
      </w:r>
      <w:r w:rsidRPr="00D548E4">
        <w:rPr>
          <w:sz w:val="22"/>
          <w:szCs w:val="22"/>
        </w:rPr>
        <w:t xml:space="preserve"> F Jr</w:t>
      </w:r>
      <w:r>
        <w:rPr>
          <w:sz w:val="22"/>
          <w:szCs w:val="22"/>
        </w:rPr>
        <w:t>.</w:t>
      </w:r>
      <w:r w:rsidRPr="00D548E4">
        <w:rPr>
          <w:sz w:val="22"/>
          <w:szCs w:val="22"/>
        </w:rPr>
        <w:t xml:space="preserve"> 2005</w:t>
      </w:r>
      <w:r>
        <w:rPr>
          <w:sz w:val="22"/>
          <w:szCs w:val="22"/>
        </w:rPr>
        <w:t>.</w:t>
      </w:r>
      <w:r w:rsidRPr="00D548E4">
        <w:rPr>
          <w:sz w:val="22"/>
          <w:szCs w:val="22"/>
        </w:rPr>
        <w:t xml:space="preserve"> Distribution patterns of larval and juvenile fishes at offshore petroleum platforms in the north-central Gulf of Mexico. </w:t>
      </w:r>
      <w:r w:rsidRPr="00D548E4">
        <w:rPr>
          <w:i/>
          <w:iCs/>
          <w:sz w:val="22"/>
          <w:szCs w:val="22"/>
        </w:rPr>
        <w:t>Estuar Coast Shelf Sci</w:t>
      </w:r>
      <w:r w:rsidRPr="00D548E4">
        <w:rPr>
          <w:sz w:val="22"/>
          <w:szCs w:val="22"/>
        </w:rPr>
        <w:t xml:space="preserve"> 62</w:t>
      </w:r>
      <w:r>
        <w:rPr>
          <w:sz w:val="22"/>
          <w:szCs w:val="22"/>
        </w:rPr>
        <w:t>(4)</w:t>
      </w:r>
      <w:r w:rsidRPr="00D548E4">
        <w:rPr>
          <w:sz w:val="22"/>
          <w:szCs w:val="22"/>
        </w:rPr>
        <w:t>:655–665</w:t>
      </w:r>
      <w:r>
        <w:rPr>
          <w:sz w:val="22"/>
          <w:szCs w:val="22"/>
        </w:rPr>
        <w:t>.</w:t>
      </w:r>
    </w:p>
    <w:p w14:paraId="6CBA4EB0" w14:textId="77777777" w:rsidR="00CA0853" w:rsidRPr="00EE7703" w:rsidRDefault="00CA0853" w:rsidP="000B3456">
      <w:pPr>
        <w:pStyle w:val="BodyText"/>
        <w:ind w:left="567" w:hanging="567"/>
        <w:rPr>
          <w:sz w:val="22"/>
          <w:szCs w:val="22"/>
        </w:rPr>
      </w:pPr>
      <w:r w:rsidRPr="00EE7703">
        <w:rPr>
          <w:sz w:val="22"/>
          <w:szCs w:val="22"/>
        </w:rPr>
        <w:t xml:space="preserve">Ling, S.D and Johnson, C.R. 2012. Marine reserves reduce risk of climate-driven phase shift by restoring size and habitat specific trophic interactions. </w:t>
      </w:r>
      <w:r w:rsidRPr="00225E20">
        <w:rPr>
          <w:i/>
          <w:iCs/>
          <w:sz w:val="22"/>
          <w:szCs w:val="22"/>
        </w:rPr>
        <w:t>Ecological Applications</w:t>
      </w:r>
      <w:r w:rsidRPr="00EE7703">
        <w:rPr>
          <w:sz w:val="22"/>
          <w:szCs w:val="22"/>
        </w:rPr>
        <w:t xml:space="preserve"> 22: 1,232–1,245.</w:t>
      </w:r>
    </w:p>
    <w:p w14:paraId="42699F83" w14:textId="77777777" w:rsidR="00CA0853" w:rsidRDefault="00CA0853" w:rsidP="000B3456">
      <w:pPr>
        <w:pStyle w:val="BodyText"/>
        <w:ind w:left="567" w:hanging="567"/>
        <w:rPr>
          <w:sz w:val="22"/>
          <w:szCs w:val="22"/>
        </w:rPr>
      </w:pPr>
      <w:r w:rsidRPr="0047272C">
        <w:rPr>
          <w:sz w:val="22"/>
          <w:szCs w:val="22"/>
        </w:rPr>
        <w:t xml:space="preserve">Ling, S.D., Johnson, C.R., Frusher, S. and Ridgway, K. 2009. Overfishing reduces resilience of kelp beds to climate-driven catastrophic phase shift. </w:t>
      </w:r>
      <w:r w:rsidRPr="00D85A2E">
        <w:rPr>
          <w:i/>
          <w:sz w:val="22"/>
          <w:szCs w:val="22"/>
        </w:rPr>
        <w:t>Proceedings of the National Academy of Sciences of the United States of America</w:t>
      </w:r>
      <w:r w:rsidRPr="0047272C">
        <w:rPr>
          <w:sz w:val="22"/>
          <w:szCs w:val="22"/>
        </w:rPr>
        <w:t xml:space="preserve"> 106: 22,341–22,345.</w:t>
      </w:r>
    </w:p>
    <w:p w14:paraId="69193BE1" w14:textId="77777777" w:rsidR="00CA0853" w:rsidRPr="00225E20" w:rsidRDefault="00CA0853" w:rsidP="000B3456">
      <w:pPr>
        <w:pStyle w:val="BodyText"/>
        <w:ind w:left="567" w:hanging="567"/>
        <w:rPr>
          <w:sz w:val="22"/>
          <w:szCs w:val="22"/>
        </w:rPr>
      </w:pPr>
      <w:bookmarkStart w:id="1328" w:name="_ENREF_11"/>
      <w:r w:rsidRPr="00225E20">
        <w:rPr>
          <w:sz w:val="22"/>
          <w:szCs w:val="22"/>
        </w:rPr>
        <w:t xml:space="preserve">Løkkeborg, S., Ona, </w:t>
      </w:r>
      <w:r>
        <w:rPr>
          <w:sz w:val="22"/>
          <w:szCs w:val="22"/>
        </w:rPr>
        <w:t xml:space="preserve">E., </w:t>
      </w:r>
      <w:r w:rsidRPr="00225E20">
        <w:rPr>
          <w:sz w:val="22"/>
          <w:szCs w:val="22"/>
        </w:rPr>
        <w:t xml:space="preserve">Vold, </w:t>
      </w:r>
      <w:r>
        <w:rPr>
          <w:sz w:val="22"/>
          <w:szCs w:val="22"/>
        </w:rPr>
        <w:t xml:space="preserve">A. </w:t>
      </w:r>
      <w:r w:rsidRPr="00225E20">
        <w:rPr>
          <w:sz w:val="22"/>
          <w:szCs w:val="22"/>
        </w:rPr>
        <w:t>and Salthaug</w:t>
      </w:r>
      <w:r>
        <w:rPr>
          <w:sz w:val="22"/>
          <w:szCs w:val="22"/>
        </w:rPr>
        <w:t>, A</w:t>
      </w:r>
      <w:r w:rsidRPr="00225E20">
        <w:rPr>
          <w:sz w:val="22"/>
          <w:szCs w:val="22"/>
        </w:rPr>
        <w:t xml:space="preserve">. 2012. Sounds from seismic air guns: Gear-and species-specific effects on catch rates and fish distribution. Canadian </w:t>
      </w:r>
      <w:r w:rsidRPr="00225E20">
        <w:rPr>
          <w:i/>
          <w:iCs/>
          <w:sz w:val="22"/>
          <w:szCs w:val="22"/>
        </w:rPr>
        <w:t>Journal of Fisheries and Aquatic Sciences</w:t>
      </w:r>
      <w:r w:rsidRPr="00225E20">
        <w:rPr>
          <w:sz w:val="22"/>
          <w:szCs w:val="22"/>
        </w:rPr>
        <w:t xml:space="preserve"> 69:1278-1291.</w:t>
      </w:r>
      <w:bookmarkEnd w:id="1328"/>
    </w:p>
    <w:p w14:paraId="081B1809" w14:textId="77777777" w:rsidR="00CA0853" w:rsidRPr="00225E20" w:rsidRDefault="00CA0853" w:rsidP="000B3456">
      <w:pPr>
        <w:pStyle w:val="BodyText"/>
        <w:ind w:left="567" w:hanging="567"/>
        <w:rPr>
          <w:sz w:val="22"/>
          <w:szCs w:val="22"/>
        </w:rPr>
      </w:pPr>
      <w:bookmarkStart w:id="1329" w:name="_ENREF_12"/>
      <w:r w:rsidRPr="00225E20">
        <w:rPr>
          <w:sz w:val="22"/>
          <w:szCs w:val="22"/>
        </w:rPr>
        <w:t xml:space="preserve">Løkkeborg, S. and A. V. Soldal. 1993. The influence of seismic exploration with airguns on cod (Gadus morhua) behaviour and catch rates. Pages 62-67 in </w:t>
      </w:r>
      <w:r w:rsidRPr="00225E20">
        <w:rPr>
          <w:i/>
          <w:iCs/>
          <w:sz w:val="22"/>
          <w:szCs w:val="22"/>
        </w:rPr>
        <w:t>ICES Mar. Sci. Symp</w:t>
      </w:r>
      <w:r w:rsidRPr="00225E20">
        <w:rPr>
          <w:sz w:val="22"/>
          <w:szCs w:val="22"/>
        </w:rPr>
        <w:t>.</w:t>
      </w:r>
      <w:bookmarkEnd w:id="1329"/>
    </w:p>
    <w:p w14:paraId="1275B6F6" w14:textId="77777777" w:rsidR="00CA0853" w:rsidRDefault="00CA0853" w:rsidP="000B3456">
      <w:pPr>
        <w:pStyle w:val="BodyText"/>
        <w:ind w:left="567" w:hanging="567"/>
        <w:rPr>
          <w:sz w:val="22"/>
          <w:szCs w:val="22"/>
        </w:rPr>
      </w:pPr>
      <w:r w:rsidRPr="000B64C5">
        <w:rPr>
          <w:sz w:val="22"/>
          <w:szCs w:val="22"/>
        </w:rPr>
        <w:t xml:space="preserve">Loyn, R.H., Lane, B.A., Chandler, C and Carr, G.W. 1986. Ecology of Orange-bellied </w:t>
      </w:r>
    </w:p>
    <w:p w14:paraId="48F8BCDB" w14:textId="77777777" w:rsidR="00CA0853" w:rsidRPr="000B64C5" w:rsidRDefault="00CA0853" w:rsidP="000B3456">
      <w:pPr>
        <w:pStyle w:val="BodyText"/>
        <w:ind w:left="567" w:hanging="567"/>
        <w:rPr>
          <w:sz w:val="22"/>
          <w:szCs w:val="22"/>
        </w:rPr>
      </w:pPr>
      <w:r w:rsidRPr="000B64C5">
        <w:rPr>
          <w:sz w:val="22"/>
          <w:szCs w:val="22"/>
        </w:rPr>
        <w:t xml:space="preserve">Parrots </w:t>
      </w:r>
      <w:r w:rsidRPr="000B64C5">
        <w:rPr>
          <w:i/>
          <w:sz w:val="22"/>
          <w:szCs w:val="22"/>
        </w:rPr>
        <w:t>Neophema chrysogaster</w:t>
      </w:r>
      <w:r w:rsidRPr="000B64C5">
        <w:rPr>
          <w:sz w:val="22"/>
          <w:szCs w:val="22"/>
        </w:rPr>
        <w:t xml:space="preserve"> at their main remnant wintering site. </w:t>
      </w:r>
      <w:r w:rsidRPr="00401C50">
        <w:rPr>
          <w:i/>
          <w:iCs/>
          <w:sz w:val="22"/>
          <w:szCs w:val="22"/>
        </w:rPr>
        <w:t>Emu</w:t>
      </w:r>
      <w:r w:rsidRPr="000B64C5">
        <w:rPr>
          <w:sz w:val="22"/>
          <w:szCs w:val="22"/>
        </w:rPr>
        <w:t>. 86:195-206.</w:t>
      </w:r>
    </w:p>
    <w:p w14:paraId="0971EDF6" w14:textId="77777777" w:rsidR="00CA0853" w:rsidRPr="00C47D80" w:rsidRDefault="00CA0853" w:rsidP="000B3456">
      <w:pPr>
        <w:pStyle w:val="BodyText"/>
        <w:ind w:left="567" w:hanging="567"/>
        <w:rPr>
          <w:sz w:val="22"/>
          <w:szCs w:val="22"/>
        </w:rPr>
      </w:pPr>
      <w:r w:rsidRPr="00C47D80">
        <w:rPr>
          <w:sz w:val="22"/>
          <w:szCs w:val="22"/>
        </w:rPr>
        <w:t>MacDiarmid, A. B., and Breen, P. A. 1993. ‘Spiny lobster population changes in a marine reserve.’ In</w:t>
      </w:r>
      <w:r>
        <w:rPr>
          <w:sz w:val="22"/>
          <w:szCs w:val="22"/>
        </w:rPr>
        <w:t xml:space="preserve"> </w:t>
      </w:r>
      <w:r w:rsidRPr="00C47D80">
        <w:rPr>
          <w:sz w:val="22"/>
          <w:szCs w:val="22"/>
        </w:rPr>
        <w:t>Proceedings of the Second International Temperate Reef Symposium. Edited by C.N.</w:t>
      </w:r>
      <w:r>
        <w:rPr>
          <w:sz w:val="22"/>
          <w:szCs w:val="22"/>
        </w:rPr>
        <w:t xml:space="preserve"> </w:t>
      </w:r>
      <w:r w:rsidRPr="00C47D80">
        <w:rPr>
          <w:sz w:val="22"/>
          <w:szCs w:val="22"/>
        </w:rPr>
        <w:t>Battershill, D.R. Schiel, G.P. Jones, R.G. Creese and A. B. MacDiarmid. pp. 47–56. (NIWA</w:t>
      </w:r>
      <w:r>
        <w:rPr>
          <w:sz w:val="22"/>
          <w:szCs w:val="22"/>
        </w:rPr>
        <w:t xml:space="preserve"> </w:t>
      </w:r>
      <w:r w:rsidRPr="00C47D80">
        <w:rPr>
          <w:sz w:val="22"/>
          <w:szCs w:val="22"/>
        </w:rPr>
        <w:t>Marine:Wellington.)</w:t>
      </w:r>
    </w:p>
    <w:p w14:paraId="72C2A605" w14:textId="77777777" w:rsidR="00CA0853" w:rsidRPr="00E93F43" w:rsidRDefault="00CA0853" w:rsidP="000B3456">
      <w:pPr>
        <w:pStyle w:val="BodyText"/>
        <w:ind w:left="567" w:hanging="567"/>
        <w:rPr>
          <w:sz w:val="22"/>
          <w:szCs w:val="22"/>
        </w:rPr>
      </w:pPr>
      <w:r w:rsidRPr="00E93F43">
        <w:rPr>
          <w:sz w:val="22"/>
          <w:szCs w:val="22"/>
        </w:rPr>
        <w:t xml:space="preserve">Madsen, P.T., Johnson, </w:t>
      </w:r>
      <w:r>
        <w:rPr>
          <w:sz w:val="22"/>
          <w:szCs w:val="22"/>
        </w:rPr>
        <w:t xml:space="preserve">M., </w:t>
      </w:r>
      <w:r w:rsidRPr="00E93F43">
        <w:rPr>
          <w:sz w:val="22"/>
          <w:szCs w:val="22"/>
        </w:rPr>
        <w:t xml:space="preserve">Miller, </w:t>
      </w:r>
      <w:r>
        <w:rPr>
          <w:sz w:val="22"/>
          <w:szCs w:val="22"/>
        </w:rPr>
        <w:t xml:space="preserve">P.J.O, </w:t>
      </w:r>
      <w:r w:rsidRPr="00E93F43">
        <w:rPr>
          <w:sz w:val="22"/>
          <w:szCs w:val="22"/>
        </w:rPr>
        <w:t xml:space="preserve">Aguilar Soto, </w:t>
      </w:r>
      <w:r>
        <w:rPr>
          <w:sz w:val="22"/>
          <w:szCs w:val="22"/>
        </w:rPr>
        <w:t xml:space="preserve">, N., </w:t>
      </w:r>
      <w:r w:rsidRPr="00E93F43">
        <w:rPr>
          <w:sz w:val="22"/>
          <w:szCs w:val="22"/>
        </w:rPr>
        <w:t xml:space="preserve">Lynch, </w:t>
      </w:r>
      <w:r>
        <w:rPr>
          <w:sz w:val="22"/>
          <w:szCs w:val="22"/>
        </w:rPr>
        <w:t xml:space="preserve">J. </w:t>
      </w:r>
      <w:r w:rsidRPr="00E93F43">
        <w:rPr>
          <w:sz w:val="22"/>
          <w:szCs w:val="22"/>
        </w:rPr>
        <w:t>and Tyack</w:t>
      </w:r>
      <w:r>
        <w:rPr>
          <w:sz w:val="22"/>
          <w:szCs w:val="22"/>
        </w:rPr>
        <w:t>, P</w:t>
      </w:r>
      <w:r w:rsidRPr="00E93F43">
        <w:rPr>
          <w:sz w:val="22"/>
          <w:szCs w:val="22"/>
        </w:rPr>
        <w:t>. 2006. Quantitative measures of air-gun pulses recorded on sperm whales (</w:t>
      </w:r>
      <w:r w:rsidRPr="00225E20">
        <w:rPr>
          <w:i/>
          <w:iCs/>
          <w:sz w:val="22"/>
          <w:szCs w:val="22"/>
        </w:rPr>
        <w:t>Physeter macrocephalus</w:t>
      </w:r>
      <w:r w:rsidRPr="00E93F43">
        <w:rPr>
          <w:sz w:val="22"/>
          <w:szCs w:val="22"/>
        </w:rPr>
        <w:t xml:space="preserve">) using acoustic tags during controlled exposure experiments. </w:t>
      </w:r>
      <w:r w:rsidRPr="00225E20">
        <w:rPr>
          <w:i/>
          <w:iCs/>
          <w:sz w:val="22"/>
          <w:szCs w:val="22"/>
        </w:rPr>
        <w:t>Journal of the Acoustical Society of America</w:t>
      </w:r>
      <w:r w:rsidRPr="00E93F43">
        <w:rPr>
          <w:sz w:val="22"/>
          <w:szCs w:val="22"/>
        </w:rPr>
        <w:t xml:space="preserve"> 120(4): 2366-2379. </w:t>
      </w:r>
    </w:p>
    <w:p w14:paraId="3067FBBD" w14:textId="77777777" w:rsidR="00CA0853" w:rsidRPr="00413077" w:rsidRDefault="00CA0853" w:rsidP="000B3456">
      <w:pPr>
        <w:pStyle w:val="BodyText"/>
        <w:ind w:left="567" w:hanging="567"/>
        <w:rPr>
          <w:rFonts w:cs="Arial"/>
          <w:sz w:val="22"/>
          <w:szCs w:val="22"/>
          <w:highlight w:val="lightGray"/>
          <w:lang w:val="en-GB"/>
        </w:rPr>
      </w:pPr>
      <w:r w:rsidRPr="007B325B">
        <w:rPr>
          <w:sz w:val="22"/>
          <w:szCs w:val="22"/>
        </w:rPr>
        <w:t>Marquenie, J., Donners, M., Poot, H., Stec</w:t>
      </w:r>
      <w:r>
        <w:rPr>
          <w:sz w:val="22"/>
          <w:szCs w:val="22"/>
        </w:rPr>
        <w:t>kel, W. and</w:t>
      </w:r>
      <w:r w:rsidRPr="007B325B">
        <w:rPr>
          <w:sz w:val="22"/>
          <w:szCs w:val="22"/>
        </w:rPr>
        <w:t xml:space="preserve"> de Wit, B</w:t>
      </w:r>
      <w:r>
        <w:rPr>
          <w:sz w:val="22"/>
          <w:szCs w:val="22"/>
        </w:rPr>
        <w:t>.</w:t>
      </w:r>
      <w:r w:rsidRPr="007B325B">
        <w:rPr>
          <w:sz w:val="22"/>
          <w:szCs w:val="22"/>
        </w:rPr>
        <w:t xml:space="preserve"> 2008</w:t>
      </w:r>
      <w:r>
        <w:rPr>
          <w:sz w:val="22"/>
          <w:szCs w:val="22"/>
        </w:rPr>
        <w:t xml:space="preserve">. </w:t>
      </w:r>
      <w:r w:rsidRPr="007B325B">
        <w:rPr>
          <w:sz w:val="22"/>
          <w:szCs w:val="22"/>
        </w:rPr>
        <w:t>Adapting the spectral</w:t>
      </w:r>
      <w:r>
        <w:rPr>
          <w:sz w:val="22"/>
          <w:szCs w:val="22"/>
        </w:rPr>
        <w:t xml:space="preserve"> </w:t>
      </w:r>
      <w:r w:rsidRPr="007B325B">
        <w:rPr>
          <w:sz w:val="22"/>
          <w:szCs w:val="22"/>
        </w:rPr>
        <w:t>composition of artificial lighting to safeguard the environment, Petroleum and Chemical</w:t>
      </w:r>
      <w:r>
        <w:rPr>
          <w:sz w:val="22"/>
          <w:szCs w:val="22"/>
        </w:rPr>
        <w:t xml:space="preserve"> </w:t>
      </w:r>
      <w:r w:rsidRPr="007B325B">
        <w:rPr>
          <w:sz w:val="22"/>
          <w:szCs w:val="22"/>
        </w:rPr>
        <w:t>Industry Conference Europe – Electrical and Instrumentation Applications, 2008, PCIC</w:t>
      </w:r>
      <w:r>
        <w:rPr>
          <w:sz w:val="22"/>
          <w:szCs w:val="22"/>
        </w:rPr>
        <w:t xml:space="preserve"> </w:t>
      </w:r>
      <w:r w:rsidRPr="007B325B">
        <w:rPr>
          <w:sz w:val="22"/>
          <w:szCs w:val="22"/>
        </w:rPr>
        <w:t>Europe 2008</w:t>
      </w:r>
      <w:r>
        <w:rPr>
          <w:sz w:val="22"/>
          <w:szCs w:val="22"/>
        </w:rPr>
        <w:t>.</w:t>
      </w:r>
    </w:p>
    <w:p w14:paraId="2031471F" w14:textId="77777777" w:rsidR="00CA0853" w:rsidRPr="00E93F43" w:rsidRDefault="00CA0853" w:rsidP="000B3456">
      <w:pPr>
        <w:pStyle w:val="BodyText"/>
        <w:ind w:left="567" w:hanging="567"/>
        <w:rPr>
          <w:sz w:val="22"/>
          <w:szCs w:val="22"/>
        </w:rPr>
      </w:pPr>
      <w:r w:rsidRPr="00E93F43">
        <w:rPr>
          <w:sz w:val="22"/>
          <w:szCs w:val="22"/>
        </w:rPr>
        <w:t xml:space="preserve">Martin, K.J., S.C. Alessi, J.C. Gaspard, A.D. Tucker, G.B. Bauer, and D.A. Mann. 2012. Underwater hearing in the loggerhead turtle (Caretta caretta): A </w:t>
      </w:r>
      <w:r w:rsidRPr="00E93F43">
        <w:rPr>
          <w:sz w:val="22"/>
          <w:szCs w:val="22"/>
        </w:rPr>
        <w:lastRenderedPageBreak/>
        <w:t xml:space="preserve">comparison of behavioral and auditory evoked potential audiograms. </w:t>
      </w:r>
      <w:r w:rsidRPr="00225E20">
        <w:rPr>
          <w:i/>
          <w:iCs/>
          <w:sz w:val="22"/>
          <w:szCs w:val="22"/>
        </w:rPr>
        <w:t>Journal of Experimental Biology</w:t>
      </w:r>
      <w:r w:rsidRPr="00E93F43">
        <w:rPr>
          <w:sz w:val="22"/>
          <w:szCs w:val="22"/>
        </w:rPr>
        <w:t xml:space="preserve"> 215(17): 3001-3009. </w:t>
      </w:r>
    </w:p>
    <w:p w14:paraId="1D82325A" w14:textId="77777777" w:rsidR="00CA0853" w:rsidRPr="000B3CD7" w:rsidRDefault="00CA0853" w:rsidP="000B3456">
      <w:pPr>
        <w:pStyle w:val="BodyText"/>
        <w:ind w:left="567" w:hanging="567"/>
        <w:rPr>
          <w:sz w:val="22"/>
          <w:szCs w:val="22"/>
        </w:rPr>
      </w:pPr>
      <w:r w:rsidRPr="000B3CD7">
        <w:rPr>
          <w:sz w:val="22"/>
          <w:szCs w:val="22"/>
        </w:rPr>
        <w:t xml:space="preserve">Matishov, G.G. 1992. The reaction of bottom-fish larvae to airgun pulses in the context of the vulnerable Barents Sea ecosystem. </w:t>
      </w:r>
      <w:r w:rsidRPr="000B3CD7">
        <w:rPr>
          <w:i/>
          <w:sz w:val="22"/>
          <w:szCs w:val="22"/>
        </w:rPr>
        <w:t>Contr. Petro Piscis</w:t>
      </w:r>
      <w:r w:rsidRPr="000B3CD7">
        <w:rPr>
          <w:sz w:val="22"/>
          <w:szCs w:val="22"/>
        </w:rPr>
        <w:t xml:space="preserve"> II ‘92 F-5, Bergen, Norway, 6-8 April, </w:t>
      </w:r>
      <w:r>
        <w:rPr>
          <w:sz w:val="22"/>
          <w:szCs w:val="22"/>
        </w:rPr>
        <w:t>1992</w:t>
      </w:r>
      <w:r w:rsidRPr="000B3CD7">
        <w:rPr>
          <w:sz w:val="22"/>
          <w:szCs w:val="22"/>
        </w:rPr>
        <w:t xml:space="preserve">. </w:t>
      </w:r>
    </w:p>
    <w:p w14:paraId="26D2621E" w14:textId="77777777" w:rsidR="00CA0853" w:rsidRPr="000B6CC5" w:rsidRDefault="00CA0853" w:rsidP="000B3456">
      <w:pPr>
        <w:pStyle w:val="BodyText"/>
        <w:ind w:left="567" w:hanging="567"/>
        <w:rPr>
          <w:sz w:val="22"/>
          <w:szCs w:val="22"/>
        </w:rPr>
      </w:pPr>
      <w:r w:rsidRPr="000B6CC5">
        <w:rPr>
          <w:sz w:val="22"/>
          <w:szCs w:val="22"/>
        </w:rPr>
        <w:t xml:space="preserve">McCauley, R. D. 1994. ‘Seismic Survey.’ In: </w:t>
      </w:r>
      <w:r w:rsidRPr="00401C50">
        <w:rPr>
          <w:i/>
          <w:iCs/>
          <w:sz w:val="22"/>
          <w:szCs w:val="22"/>
        </w:rPr>
        <w:t>Environmental Implications of Offshore Oil and Gas Developments in Australia – the Findings of an Independent Scientific Review</w:t>
      </w:r>
      <w:r w:rsidRPr="000B6CC5">
        <w:rPr>
          <w:sz w:val="22"/>
          <w:szCs w:val="22"/>
        </w:rPr>
        <w:t xml:space="preserve">. Swan J.M., Neff J.M. and Young P.C. </w:t>
      </w:r>
      <w:r>
        <w:rPr>
          <w:sz w:val="22"/>
          <w:szCs w:val="22"/>
        </w:rPr>
        <w:t xml:space="preserve">(eds) </w:t>
      </w:r>
      <w:r w:rsidRPr="000B6CC5">
        <w:rPr>
          <w:sz w:val="22"/>
          <w:szCs w:val="22"/>
        </w:rPr>
        <w:t>Australian Petroleum Exploration Association</w:t>
      </w:r>
      <w:r>
        <w:rPr>
          <w:sz w:val="22"/>
          <w:szCs w:val="22"/>
        </w:rPr>
        <w:t>.</w:t>
      </w:r>
      <w:r w:rsidRPr="000B6CC5">
        <w:rPr>
          <w:sz w:val="22"/>
          <w:szCs w:val="22"/>
        </w:rPr>
        <w:t xml:space="preserve"> Sydney.</w:t>
      </w:r>
    </w:p>
    <w:p w14:paraId="01DC3D9E" w14:textId="77777777" w:rsidR="00CD3C0B" w:rsidRPr="005E4652" w:rsidRDefault="00CD3C0B" w:rsidP="00CD3C0B">
      <w:pPr>
        <w:pStyle w:val="BodyText"/>
        <w:ind w:left="567" w:hanging="567"/>
        <w:rPr>
          <w:sz w:val="22"/>
          <w:szCs w:val="22"/>
        </w:rPr>
      </w:pPr>
      <w:r w:rsidRPr="000B6CC5">
        <w:rPr>
          <w:sz w:val="22"/>
          <w:szCs w:val="22"/>
        </w:rPr>
        <w:t xml:space="preserve">McCauley, R.D., Fewtrell, J., Duncan, A.J., Jenner, C., Jenner, M.-N., Penrose, J.D., Prince, R.I.T., Adhitya, A., Murdoch, J.  and McCabe, </w:t>
      </w:r>
      <w:r w:rsidRPr="005E4652">
        <w:rPr>
          <w:sz w:val="22"/>
          <w:szCs w:val="22"/>
        </w:rPr>
        <w:t xml:space="preserve">K. 2000a.  ‘Marine Seismic Surveys: Analysis and propagation of air-gun signals; and effects of air-gun exposure on humpback whales, sea turtles, fishes and squid.’  In: </w:t>
      </w:r>
      <w:r w:rsidRPr="005E4652">
        <w:rPr>
          <w:i/>
          <w:iCs/>
          <w:sz w:val="22"/>
          <w:szCs w:val="22"/>
        </w:rPr>
        <w:t>Environmental implications of offshore oil and gas development in Australia: Further research</w:t>
      </w:r>
      <w:r w:rsidRPr="005E4652">
        <w:rPr>
          <w:sz w:val="22"/>
          <w:szCs w:val="22"/>
        </w:rPr>
        <w:t xml:space="preserve">.  Australian Petroleum Production and Exploration Association. Canberra.  </w:t>
      </w:r>
    </w:p>
    <w:p w14:paraId="3023983C" w14:textId="77777777" w:rsidR="00CA0853" w:rsidRDefault="00CA0853" w:rsidP="000B3456">
      <w:pPr>
        <w:pStyle w:val="BodyText"/>
        <w:ind w:left="567" w:hanging="567"/>
        <w:rPr>
          <w:sz w:val="22"/>
          <w:szCs w:val="22"/>
        </w:rPr>
      </w:pPr>
      <w:r w:rsidRPr="005E4652">
        <w:rPr>
          <w:sz w:val="22"/>
          <w:szCs w:val="22"/>
        </w:rPr>
        <w:t>McCauley, R.D., J. Fewtrell, A.J. Duncan, C. Jenner, M-N., Jenner, J.D., Penrose, R.I.T., Prince, Adihyta, A. and Murdoch, J. 2000b</w:t>
      </w:r>
      <w:r w:rsidRPr="00E93F43">
        <w:rPr>
          <w:sz w:val="22"/>
          <w:szCs w:val="22"/>
        </w:rPr>
        <w:t xml:space="preserve">. Marine seismic surveys: A study of environmental implications. </w:t>
      </w:r>
      <w:r w:rsidRPr="00225E20">
        <w:rPr>
          <w:i/>
          <w:iCs/>
          <w:sz w:val="22"/>
          <w:szCs w:val="22"/>
        </w:rPr>
        <w:t xml:space="preserve">Australian Petroleum Production Exploration Association Journal </w:t>
      </w:r>
      <w:r w:rsidRPr="00E93F43">
        <w:rPr>
          <w:sz w:val="22"/>
          <w:szCs w:val="22"/>
        </w:rPr>
        <w:t>40: 692-708.</w:t>
      </w:r>
    </w:p>
    <w:p w14:paraId="4DBA0A70" w14:textId="428B5986" w:rsidR="00CD3C0B" w:rsidRPr="000B6CC5" w:rsidRDefault="00CD3C0B" w:rsidP="00CD3C0B">
      <w:pPr>
        <w:pStyle w:val="BodyText"/>
        <w:ind w:left="567" w:hanging="567"/>
        <w:rPr>
          <w:sz w:val="22"/>
          <w:szCs w:val="22"/>
        </w:rPr>
      </w:pPr>
      <w:r w:rsidRPr="000B6CC5">
        <w:rPr>
          <w:sz w:val="22"/>
          <w:szCs w:val="22"/>
        </w:rPr>
        <w:t>McCauley, R. D., Fewtrell, J., Duncan, A., Jenner, C., Jenner M-N., Penrose, J. D., Prince, R. T., Adhitya, A., Murdoch, J. and McCabe, A. K</w:t>
      </w:r>
      <w:r w:rsidRPr="005E4652">
        <w:rPr>
          <w:sz w:val="22"/>
          <w:szCs w:val="22"/>
        </w:rPr>
        <w:t xml:space="preserve">. </w:t>
      </w:r>
      <w:r w:rsidR="005E4652" w:rsidRPr="005E4652">
        <w:rPr>
          <w:sz w:val="22"/>
          <w:szCs w:val="22"/>
        </w:rPr>
        <w:t>2003</w:t>
      </w:r>
      <w:r w:rsidRPr="005E4652">
        <w:rPr>
          <w:sz w:val="22"/>
          <w:szCs w:val="22"/>
        </w:rPr>
        <w:t>. ‘</w:t>
      </w:r>
      <w:r w:rsidRPr="000B6CC5">
        <w:rPr>
          <w:sz w:val="22"/>
          <w:szCs w:val="22"/>
        </w:rPr>
        <w:t xml:space="preserve">Marine seismic surveys: analysis and propagation of source signals; and effects of exposure on humpback whales, sea turtles, fishes and squid.’ In: </w:t>
      </w:r>
      <w:r w:rsidRPr="00401C50">
        <w:rPr>
          <w:i/>
          <w:iCs/>
          <w:sz w:val="22"/>
          <w:szCs w:val="22"/>
        </w:rPr>
        <w:t>Environmental Implications of Offshore Oil and Gas Developments in Australia: Further Research</w:t>
      </w:r>
      <w:r w:rsidRPr="000B6CC5">
        <w:rPr>
          <w:sz w:val="22"/>
          <w:szCs w:val="22"/>
        </w:rPr>
        <w:t>. Australian Petroleum Product</w:t>
      </w:r>
      <w:r>
        <w:rPr>
          <w:sz w:val="22"/>
          <w:szCs w:val="22"/>
        </w:rPr>
        <w:t>ion and Exploration Association.</w:t>
      </w:r>
      <w:r w:rsidRPr="000B6CC5">
        <w:rPr>
          <w:sz w:val="22"/>
          <w:szCs w:val="22"/>
        </w:rPr>
        <w:t xml:space="preserve"> Canberra.</w:t>
      </w:r>
    </w:p>
    <w:p w14:paraId="60940392" w14:textId="77777777" w:rsidR="00CA0853" w:rsidRDefault="00CA0853" w:rsidP="000B3456">
      <w:pPr>
        <w:pStyle w:val="BodyText"/>
        <w:ind w:left="567" w:hanging="567"/>
        <w:rPr>
          <w:sz w:val="22"/>
          <w:szCs w:val="22"/>
        </w:rPr>
      </w:pPr>
      <w:r w:rsidRPr="00895664">
        <w:rPr>
          <w:sz w:val="22"/>
          <w:szCs w:val="22"/>
        </w:rPr>
        <w:t>McCauley, R. D. and Kent</w:t>
      </w:r>
      <w:r>
        <w:rPr>
          <w:sz w:val="22"/>
          <w:szCs w:val="22"/>
        </w:rPr>
        <w:t>, C.S</w:t>
      </w:r>
      <w:r w:rsidRPr="00895664">
        <w:rPr>
          <w:sz w:val="22"/>
          <w:szCs w:val="22"/>
        </w:rPr>
        <w:t xml:space="preserve">. 2012. A lack of correlation between air gun signal pressure waveforms and fish hearing damage. </w:t>
      </w:r>
      <w:r>
        <w:rPr>
          <w:i/>
          <w:iCs/>
          <w:sz w:val="22"/>
          <w:szCs w:val="22"/>
        </w:rPr>
        <w:t>Advances in Experimental M</w:t>
      </w:r>
      <w:r w:rsidRPr="00895664">
        <w:rPr>
          <w:i/>
          <w:iCs/>
          <w:sz w:val="22"/>
          <w:szCs w:val="22"/>
        </w:rPr>
        <w:t>edicine and biology</w:t>
      </w:r>
      <w:r w:rsidRPr="00895664">
        <w:rPr>
          <w:sz w:val="22"/>
          <w:szCs w:val="22"/>
        </w:rPr>
        <w:t xml:space="preserve"> 730</w:t>
      </w:r>
      <w:r>
        <w:rPr>
          <w:sz w:val="22"/>
          <w:szCs w:val="22"/>
        </w:rPr>
        <w:t>:245–</w:t>
      </w:r>
      <w:r w:rsidRPr="00895664">
        <w:rPr>
          <w:sz w:val="22"/>
          <w:szCs w:val="22"/>
        </w:rPr>
        <w:t>250</w:t>
      </w:r>
      <w:r>
        <w:rPr>
          <w:sz w:val="22"/>
          <w:szCs w:val="22"/>
        </w:rPr>
        <w:t>.</w:t>
      </w:r>
    </w:p>
    <w:p w14:paraId="16E66432" w14:textId="77777777" w:rsidR="00CD3C0B" w:rsidRPr="000B6CC5" w:rsidRDefault="00CD3C0B" w:rsidP="00CD3C0B">
      <w:pPr>
        <w:pStyle w:val="BodyText"/>
        <w:ind w:left="567" w:hanging="567"/>
        <w:rPr>
          <w:sz w:val="22"/>
          <w:szCs w:val="22"/>
        </w:rPr>
      </w:pPr>
      <w:r w:rsidRPr="000B6CC5">
        <w:rPr>
          <w:sz w:val="22"/>
          <w:szCs w:val="22"/>
        </w:rPr>
        <w:t xml:space="preserve">McCauley, R.D. and Kent, C.S. 2012. ‘A lack of correlation between airgun signal pressure waveforms and fish hearing damage.’ In: </w:t>
      </w:r>
      <w:r w:rsidRPr="00225E20">
        <w:rPr>
          <w:i/>
          <w:iCs/>
          <w:sz w:val="22"/>
          <w:szCs w:val="22"/>
        </w:rPr>
        <w:t>The effects of noise on aquatic life</w:t>
      </w:r>
      <w:r w:rsidRPr="000B6CC5">
        <w:rPr>
          <w:sz w:val="22"/>
          <w:szCs w:val="22"/>
        </w:rPr>
        <w:t>. Popper</w:t>
      </w:r>
      <w:r>
        <w:rPr>
          <w:sz w:val="22"/>
          <w:szCs w:val="22"/>
        </w:rPr>
        <w:t>, A.N.</w:t>
      </w:r>
      <w:r w:rsidRPr="000B6CC5">
        <w:rPr>
          <w:sz w:val="22"/>
          <w:szCs w:val="22"/>
        </w:rPr>
        <w:t xml:space="preserve"> and Hawkins</w:t>
      </w:r>
      <w:r>
        <w:rPr>
          <w:sz w:val="22"/>
          <w:szCs w:val="22"/>
        </w:rPr>
        <w:t>, A.D</w:t>
      </w:r>
      <w:r w:rsidRPr="000B6CC5">
        <w:rPr>
          <w:sz w:val="22"/>
          <w:szCs w:val="22"/>
        </w:rPr>
        <w:t xml:space="preserve">. </w:t>
      </w:r>
      <w:r>
        <w:rPr>
          <w:sz w:val="22"/>
          <w:szCs w:val="22"/>
        </w:rPr>
        <w:t xml:space="preserve">(eds) </w:t>
      </w:r>
      <w:r w:rsidRPr="000B6CC5">
        <w:rPr>
          <w:sz w:val="22"/>
          <w:szCs w:val="22"/>
        </w:rPr>
        <w:t>Springer Science+Business Media, LLC, New York.</w:t>
      </w:r>
    </w:p>
    <w:p w14:paraId="42FD67BB" w14:textId="106667E2" w:rsidR="00CD3C0B" w:rsidRPr="000B64C5" w:rsidRDefault="00CD3C0B" w:rsidP="00CD3C0B">
      <w:pPr>
        <w:pStyle w:val="BodyText"/>
        <w:ind w:left="567" w:hanging="567"/>
        <w:rPr>
          <w:sz w:val="22"/>
          <w:szCs w:val="22"/>
        </w:rPr>
      </w:pPr>
      <w:r w:rsidRPr="000B64C5">
        <w:rPr>
          <w:sz w:val="22"/>
          <w:szCs w:val="22"/>
        </w:rPr>
        <w:t xml:space="preserve">McCauley, R. </w:t>
      </w:r>
      <w:r>
        <w:rPr>
          <w:sz w:val="22"/>
          <w:szCs w:val="22"/>
        </w:rPr>
        <w:t>and</w:t>
      </w:r>
      <w:r w:rsidRPr="000B64C5">
        <w:rPr>
          <w:sz w:val="22"/>
          <w:szCs w:val="22"/>
        </w:rPr>
        <w:t xml:space="preserve"> Gavrilov, A. 2013. Analysis of sea noise April 2012 to January 2013 in Bass Strait: whales; fish; drill rig; vessel; and ambient noise. Unpublished report for Origin Energy. Centre for Marine Science and Technology Curtin University. Report 2013-17.</w:t>
      </w:r>
    </w:p>
    <w:p w14:paraId="09A7EEAE" w14:textId="77777777" w:rsidR="00CD3C0B" w:rsidRPr="00A27BEF" w:rsidRDefault="00CD3C0B" w:rsidP="00CD3C0B">
      <w:pPr>
        <w:pStyle w:val="BodyText"/>
        <w:ind w:left="567" w:hanging="567"/>
        <w:rPr>
          <w:sz w:val="22"/>
          <w:szCs w:val="22"/>
        </w:rPr>
      </w:pPr>
      <w:r w:rsidRPr="00A27BEF">
        <w:rPr>
          <w:sz w:val="22"/>
          <w:szCs w:val="22"/>
        </w:rPr>
        <w:t xml:space="preserve">McCauley, R.D., Day, R.D., Swadling, K.M., Fitzgibbon, Q.P., Watson, R.A. and Semmens, J.M. 2017. Widely used marine seismic survey air gun operations negatively impact zooplankton. </w:t>
      </w:r>
      <w:r w:rsidRPr="00A27BEF">
        <w:rPr>
          <w:i/>
          <w:sz w:val="22"/>
          <w:szCs w:val="22"/>
        </w:rPr>
        <w:t>Nat. Ecol. Evol</w:t>
      </w:r>
      <w:r w:rsidRPr="00A27BEF">
        <w:rPr>
          <w:sz w:val="22"/>
          <w:szCs w:val="22"/>
        </w:rPr>
        <w:t>. 1, 0195.</w:t>
      </w:r>
    </w:p>
    <w:p w14:paraId="2959E6B6" w14:textId="77777777" w:rsidR="00CA0853" w:rsidRPr="00E93F43" w:rsidRDefault="00CA0853" w:rsidP="000B3456">
      <w:pPr>
        <w:pStyle w:val="BodyText"/>
        <w:ind w:left="567" w:hanging="567"/>
        <w:rPr>
          <w:sz w:val="22"/>
          <w:szCs w:val="22"/>
        </w:rPr>
      </w:pPr>
      <w:r w:rsidRPr="00E93F43">
        <w:rPr>
          <w:sz w:val="22"/>
          <w:szCs w:val="22"/>
        </w:rPr>
        <w:t xml:space="preserve">McDonald, M.A., Hildebrand, </w:t>
      </w:r>
      <w:r>
        <w:rPr>
          <w:sz w:val="22"/>
          <w:szCs w:val="22"/>
        </w:rPr>
        <w:t xml:space="preserve">J.A. </w:t>
      </w:r>
      <w:r w:rsidRPr="00E93F43">
        <w:rPr>
          <w:sz w:val="22"/>
          <w:szCs w:val="22"/>
        </w:rPr>
        <w:t>and Webb</w:t>
      </w:r>
      <w:r>
        <w:rPr>
          <w:sz w:val="22"/>
          <w:szCs w:val="22"/>
        </w:rPr>
        <w:t>, S.C</w:t>
      </w:r>
      <w:r w:rsidRPr="00E93F43">
        <w:rPr>
          <w:sz w:val="22"/>
          <w:szCs w:val="22"/>
        </w:rPr>
        <w:t xml:space="preserve">. 1995. Blue and fin whales observed on a seafloor array in the Northeast Pacific. </w:t>
      </w:r>
      <w:r w:rsidRPr="00782B27">
        <w:rPr>
          <w:i/>
          <w:iCs/>
          <w:sz w:val="22"/>
          <w:szCs w:val="22"/>
        </w:rPr>
        <w:t>Journal of the Acoustical Society of America</w:t>
      </w:r>
      <w:r>
        <w:rPr>
          <w:sz w:val="22"/>
          <w:szCs w:val="22"/>
        </w:rPr>
        <w:t xml:space="preserve"> 98(2): 712–</w:t>
      </w:r>
      <w:r w:rsidRPr="00E93F43">
        <w:rPr>
          <w:sz w:val="22"/>
          <w:szCs w:val="22"/>
        </w:rPr>
        <w:t>721.</w:t>
      </w:r>
    </w:p>
    <w:p w14:paraId="78F49274" w14:textId="77777777" w:rsidR="00CA0853" w:rsidRDefault="00CA0853" w:rsidP="000B3456">
      <w:pPr>
        <w:pStyle w:val="BodyText"/>
        <w:ind w:left="567" w:hanging="567"/>
        <w:rPr>
          <w:sz w:val="22"/>
          <w:szCs w:val="22"/>
        </w:rPr>
      </w:pPr>
      <w:r w:rsidRPr="000B64C5">
        <w:rPr>
          <w:sz w:val="22"/>
          <w:szCs w:val="22"/>
        </w:rPr>
        <w:t xml:space="preserve">McInnes, K. L. and Hubbert, G. D. 2003. A numerical modelling study of storm surges in Bass Strait. </w:t>
      </w:r>
      <w:r w:rsidRPr="000B64C5">
        <w:rPr>
          <w:i/>
          <w:sz w:val="22"/>
          <w:szCs w:val="22"/>
        </w:rPr>
        <w:t>Australian Meteorological Magazine</w:t>
      </w:r>
      <w:r w:rsidRPr="000B64C5">
        <w:rPr>
          <w:sz w:val="22"/>
          <w:szCs w:val="22"/>
        </w:rPr>
        <w:t xml:space="preserve"> 52(3). </w:t>
      </w:r>
    </w:p>
    <w:p w14:paraId="59A37123" w14:textId="77777777" w:rsidR="00CA0853" w:rsidRDefault="00CA0853" w:rsidP="000B3456">
      <w:pPr>
        <w:pStyle w:val="BodyText"/>
        <w:ind w:left="567" w:hanging="567"/>
        <w:rPr>
          <w:sz w:val="22"/>
          <w:szCs w:val="22"/>
        </w:rPr>
      </w:pPr>
      <w:r>
        <w:rPr>
          <w:sz w:val="22"/>
          <w:szCs w:val="22"/>
        </w:rPr>
        <w:lastRenderedPageBreak/>
        <w:t>McPherson, C. 2017. Personal communications with Giulio Pinzone, Environmental Advisor to CarbonNet. Underwater acoustics engineer</w:t>
      </w:r>
      <w:r w:rsidRPr="00F4123F">
        <w:rPr>
          <w:sz w:val="22"/>
          <w:szCs w:val="22"/>
        </w:rPr>
        <w:t xml:space="preserve"> with </w:t>
      </w:r>
      <w:r>
        <w:rPr>
          <w:sz w:val="22"/>
          <w:szCs w:val="22"/>
        </w:rPr>
        <w:t>JASCO Applied Sciences</w:t>
      </w:r>
      <w:r w:rsidRPr="00F4123F">
        <w:rPr>
          <w:sz w:val="22"/>
          <w:szCs w:val="22"/>
        </w:rPr>
        <w:t xml:space="preserve">. Personal conversation. </w:t>
      </w:r>
      <w:r>
        <w:rPr>
          <w:sz w:val="22"/>
          <w:szCs w:val="22"/>
        </w:rPr>
        <w:t>June</w:t>
      </w:r>
      <w:r w:rsidRPr="00F4123F">
        <w:rPr>
          <w:sz w:val="22"/>
          <w:szCs w:val="22"/>
        </w:rPr>
        <w:t xml:space="preserve"> 2017.</w:t>
      </w:r>
    </w:p>
    <w:p w14:paraId="6E383570" w14:textId="77777777" w:rsidR="00CA0853" w:rsidRPr="006E10DE" w:rsidRDefault="00CA0853" w:rsidP="000B3456">
      <w:pPr>
        <w:pStyle w:val="BodyText"/>
        <w:ind w:left="567" w:hanging="567"/>
        <w:rPr>
          <w:sz w:val="22"/>
          <w:szCs w:val="22"/>
        </w:rPr>
      </w:pPr>
      <w:r w:rsidRPr="006E10DE">
        <w:rPr>
          <w:sz w:val="22"/>
          <w:szCs w:val="22"/>
        </w:rPr>
        <w:t xml:space="preserve">McPherson, C., Wood, M., Li, Z., Matthews, M-N. and Warner, G. 2017. Pelican 3-D Marine Seismic Survey. Acoustic Modelling for Assessing Marine Fauna Sound Exposures. </w:t>
      </w:r>
      <w:r>
        <w:rPr>
          <w:sz w:val="22"/>
          <w:szCs w:val="22"/>
        </w:rPr>
        <w:t xml:space="preserve">Document 01411, Version 1. </w:t>
      </w:r>
      <w:r w:rsidRPr="006E10DE">
        <w:rPr>
          <w:sz w:val="22"/>
          <w:szCs w:val="22"/>
        </w:rPr>
        <w:t xml:space="preserve">Prepared by JASCO Applied Sciences for the </w:t>
      </w:r>
      <w:r>
        <w:rPr>
          <w:sz w:val="22"/>
          <w:szCs w:val="22"/>
        </w:rPr>
        <w:t xml:space="preserve">Victorian </w:t>
      </w:r>
      <w:r w:rsidRPr="006E10DE">
        <w:rPr>
          <w:sz w:val="22"/>
          <w:szCs w:val="22"/>
        </w:rPr>
        <w:t xml:space="preserve">Department of Economic Development, Jobs, Transport and Resources. </w:t>
      </w:r>
    </w:p>
    <w:p w14:paraId="7D66EED6" w14:textId="77777777" w:rsidR="00CA0853" w:rsidRPr="00E02CE9" w:rsidRDefault="00CA0853" w:rsidP="000B3456">
      <w:pPr>
        <w:pStyle w:val="BodyText"/>
        <w:ind w:left="567" w:hanging="567"/>
        <w:rPr>
          <w:sz w:val="22"/>
          <w:szCs w:val="22"/>
        </w:rPr>
      </w:pPr>
      <w:r w:rsidRPr="00E02CE9">
        <w:rPr>
          <w:sz w:val="22"/>
          <w:szCs w:val="22"/>
        </w:rPr>
        <w:t>Meekan, M. G., Wilso</w:t>
      </w:r>
      <w:r>
        <w:rPr>
          <w:sz w:val="22"/>
          <w:szCs w:val="22"/>
        </w:rPr>
        <w:t>n, S. G., Halford, A.</w:t>
      </w:r>
      <w:r w:rsidRPr="00E02CE9">
        <w:rPr>
          <w:sz w:val="22"/>
          <w:szCs w:val="22"/>
        </w:rPr>
        <w:t xml:space="preserve"> and Retzel, A. 2001. A comparison of catches of fishes and invertebrates by two light trap designs, in tropical NW Australia. </w:t>
      </w:r>
      <w:r w:rsidRPr="00E02CE9">
        <w:rPr>
          <w:i/>
          <w:iCs/>
          <w:sz w:val="22"/>
          <w:szCs w:val="22"/>
        </w:rPr>
        <w:t>Mar</w:t>
      </w:r>
      <w:r w:rsidRPr="008D0B5A">
        <w:rPr>
          <w:i/>
          <w:iCs/>
          <w:sz w:val="22"/>
          <w:szCs w:val="22"/>
        </w:rPr>
        <w:t>.</w:t>
      </w:r>
      <w:r w:rsidRPr="00E02CE9">
        <w:rPr>
          <w:i/>
          <w:iCs/>
          <w:sz w:val="22"/>
          <w:szCs w:val="22"/>
        </w:rPr>
        <w:t xml:space="preserve"> Biol</w:t>
      </w:r>
      <w:r>
        <w:rPr>
          <w:sz w:val="22"/>
          <w:szCs w:val="22"/>
        </w:rPr>
        <w:t>.</w:t>
      </w:r>
      <w:r w:rsidRPr="00E02CE9">
        <w:rPr>
          <w:sz w:val="22"/>
          <w:szCs w:val="22"/>
        </w:rPr>
        <w:t xml:space="preserve"> 139: 373 – 381. </w:t>
      </w:r>
    </w:p>
    <w:p w14:paraId="70E59055" w14:textId="77777777" w:rsidR="00CA0853" w:rsidRPr="00F30A38" w:rsidRDefault="00CA0853" w:rsidP="000B3456">
      <w:pPr>
        <w:pStyle w:val="BodyText"/>
        <w:ind w:left="567" w:hanging="567"/>
        <w:rPr>
          <w:sz w:val="22"/>
          <w:szCs w:val="22"/>
        </w:rPr>
      </w:pPr>
      <w:r w:rsidRPr="00F30A38">
        <w:rPr>
          <w:sz w:val="22"/>
          <w:szCs w:val="22"/>
        </w:rPr>
        <w:t xml:space="preserve">MESA. 2017. Marine Pests of Australia. New Zealand Screw Shell. A WWW database accessed at </w:t>
      </w:r>
      <w:hyperlink r:id="rId334" w:history="1">
        <w:r w:rsidRPr="00F30A38">
          <w:rPr>
            <w:sz w:val="22"/>
            <w:szCs w:val="22"/>
          </w:rPr>
          <w:t>http://www.mesa.edu.au/marine_pests/marine_pests07.asp</w:t>
        </w:r>
      </w:hyperlink>
      <w:r w:rsidRPr="00F30A38">
        <w:rPr>
          <w:sz w:val="22"/>
          <w:szCs w:val="22"/>
        </w:rPr>
        <w:t xml:space="preserve">. Marine Education Society of Australasia.  </w:t>
      </w:r>
    </w:p>
    <w:p w14:paraId="31DF122D" w14:textId="77777777" w:rsidR="00CA0853" w:rsidRPr="00137C62" w:rsidRDefault="00CA0853" w:rsidP="000B3456">
      <w:pPr>
        <w:pStyle w:val="BodyText"/>
        <w:ind w:left="567" w:hanging="567"/>
        <w:rPr>
          <w:sz w:val="22"/>
          <w:szCs w:val="22"/>
          <w:lang w:val="en-GB"/>
        </w:rPr>
      </w:pPr>
      <w:r w:rsidRPr="007B325B">
        <w:rPr>
          <w:sz w:val="22"/>
          <w:szCs w:val="22"/>
        </w:rPr>
        <w:t>Milicich, M. J., Meekan, M. G. and Doherty, P. J. 1992. Larval supply: a good predictor of</w:t>
      </w:r>
      <w:r>
        <w:rPr>
          <w:sz w:val="22"/>
          <w:szCs w:val="22"/>
        </w:rPr>
        <w:t xml:space="preserve"> </w:t>
      </w:r>
      <w:r w:rsidRPr="007B325B">
        <w:rPr>
          <w:sz w:val="22"/>
          <w:szCs w:val="22"/>
        </w:rPr>
        <w:t xml:space="preserve">recruitment in three species of reef fish (Pomacentridae). </w:t>
      </w:r>
      <w:r w:rsidRPr="00137C62">
        <w:rPr>
          <w:i/>
          <w:iCs/>
          <w:sz w:val="22"/>
          <w:szCs w:val="22"/>
          <w:lang w:val="en-GB"/>
        </w:rPr>
        <w:t>Mar</w:t>
      </w:r>
      <w:r>
        <w:rPr>
          <w:i/>
          <w:iCs/>
          <w:sz w:val="22"/>
          <w:szCs w:val="22"/>
          <w:lang w:val="en-GB"/>
        </w:rPr>
        <w:t>.</w:t>
      </w:r>
      <w:r w:rsidRPr="00137C62">
        <w:rPr>
          <w:i/>
          <w:iCs/>
          <w:sz w:val="22"/>
          <w:szCs w:val="22"/>
          <w:lang w:val="en-GB"/>
        </w:rPr>
        <w:t xml:space="preserve"> Ecol</w:t>
      </w:r>
      <w:r>
        <w:rPr>
          <w:i/>
          <w:iCs/>
          <w:sz w:val="22"/>
          <w:szCs w:val="22"/>
          <w:lang w:val="en-GB"/>
        </w:rPr>
        <w:t>.</w:t>
      </w:r>
      <w:r w:rsidRPr="00137C62">
        <w:rPr>
          <w:i/>
          <w:iCs/>
          <w:sz w:val="22"/>
          <w:szCs w:val="22"/>
          <w:lang w:val="en-GB"/>
        </w:rPr>
        <w:t xml:space="preserve"> Prog</w:t>
      </w:r>
      <w:r>
        <w:rPr>
          <w:i/>
          <w:iCs/>
          <w:sz w:val="22"/>
          <w:szCs w:val="22"/>
          <w:lang w:val="en-GB"/>
        </w:rPr>
        <w:t>.</w:t>
      </w:r>
      <w:r w:rsidRPr="00137C62">
        <w:rPr>
          <w:i/>
          <w:iCs/>
          <w:sz w:val="22"/>
          <w:szCs w:val="22"/>
          <w:lang w:val="en-GB"/>
        </w:rPr>
        <w:t xml:space="preserve"> Ser</w:t>
      </w:r>
      <w:r w:rsidRPr="00137C62">
        <w:rPr>
          <w:sz w:val="22"/>
          <w:szCs w:val="22"/>
          <w:lang w:val="en-GB"/>
        </w:rPr>
        <w:t>. 86: 153-166.</w:t>
      </w:r>
    </w:p>
    <w:p w14:paraId="55C92795" w14:textId="77777777" w:rsidR="00CA0853" w:rsidRPr="00782B27" w:rsidRDefault="00CA0853" w:rsidP="000B3456">
      <w:pPr>
        <w:pStyle w:val="BodyText"/>
        <w:ind w:left="567" w:hanging="567"/>
        <w:rPr>
          <w:sz w:val="22"/>
          <w:szCs w:val="22"/>
        </w:rPr>
      </w:pPr>
      <w:bookmarkStart w:id="1330" w:name="_ENREF_17"/>
      <w:r>
        <w:rPr>
          <w:sz w:val="22"/>
          <w:szCs w:val="22"/>
        </w:rPr>
        <w:t xml:space="preserve">Miller, I. and </w:t>
      </w:r>
      <w:r w:rsidRPr="00782B27">
        <w:rPr>
          <w:sz w:val="22"/>
          <w:szCs w:val="22"/>
        </w:rPr>
        <w:t>Cripps</w:t>
      </w:r>
      <w:r>
        <w:rPr>
          <w:sz w:val="22"/>
          <w:szCs w:val="22"/>
        </w:rPr>
        <w:t>, E</w:t>
      </w:r>
      <w:r w:rsidRPr="00782B27">
        <w:rPr>
          <w:sz w:val="22"/>
          <w:szCs w:val="22"/>
        </w:rPr>
        <w:t xml:space="preserve">. 2013. Three dimensional marine seismic survey has no measurable effect on species richness or abundance of a coral reef associated fish community. </w:t>
      </w:r>
      <w:r w:rsidRPr="00782B27">
        <w:rPr>
          <w:i/>
          <w:iCs/>
          <w:sz w:val="22"/>
          <w:szCs w:val="22"/>
        </w:rPr>
        <w:t>Mar. Poll. Bull</w:t>
      </w:r>
      <w:r>
        <w:rPr>
          <w:sz w:val="22"/>
          <w:szCs w:val="22"/>
        </w:rPr>
        <w:t>.</w:t>
      </w:r>
      <w:r w:rsidRPr="00782B27">
        <w:rPr>
          <w:sz w:val="22"/>
          <w:szCs w:val="22"/>
        </w:rPr>
        <w:t xml:space="preserve"> 77:63-70.</w:t>
      </w:r>
      <w:bookmarkEnd w:id="1330"/>
    </w:p>
    <w:p w14:paraId="210053CD" w14:textId="77777777" w:rsidR="00CA0853" w:rsidRPr="004062E4" w:rsidRDefault="00CA0853" w:rsidP="000B3456">
      <w:pPr>
        <w:pStyle w:val="BodyText"/>
        <w:ind w:left="567" w:hanging="567"/>
        <w:rPr>
          <w:sz w:val="22"/>
          <w:szCs w:val="22"/>
        </w:rPr>
      </w:pPr>
      <w:r w:rsidRPr="004062E4">
        <w:rPr>
          <w:sz w:val="22"/>
          <w:szCs w:val="22"/>
        </w:rPr>
        <w:t>Minerals Management Service. 1983. Draft Environmental Impact Statement. Proposed 1983</w:t>
      </w:r>
      <w:r>
        <w:rPr>
          <w:sz w:val="22"/>
          <w:szCs w:val="22"/>
        </w:rPr>
        <w:t xml:space="preserve"> </w:t>
      </w:r>
      <w:r w:rsidRPr="004062E4">
        <w:rPr>
          <w:sz w:val="22"/>
          <w:szCs w:val="22"/>
        </w:rPr>
        <w:t>Outer Continental Shelf Oil and Gas Lease Sale Offshore Central California. Department</w:t>
      </w:r>
      <w:r>
        <w:rPr>
          <w:sz w:val="22"/>
          <w:szCs w:val="22"/>
        </w:rPr>
        <w:t xml:space="preserve"> </w:t>
      </w:r>
      <w:r w:rsidRPr="004062E4">
        <w:rPr>
          <w:sz w:val="22"/>
          <w:szCs w:val="22"/>
        </w:rPr>
        <w:t>of the Interior, Minerals Management Service. Los Angeles, California.</w:t>
      </w:r>
    </w:p>
    <w:p w14:paraId="249B9CB1" w14:textId="77777777" w:rsidR="00CA0853" w:rsidRPr="00E93F43" w:rsidRDefault="00CA0853" w:rsidP="000B3456">
      <w:pPr>
        <w:pStyle w:val="BodyText"/>
        <w:ind w:left="567" w:hanging="567"/>
        <w:rPr>
          <w:sz w:val="22"/>
          <w:szCs w:val="22"/>
        </w:rPr>
      </w:pPr>
      <w:r w:rsidRPr="00E93F43">
        <w:rPr>
          <w:sz w:val="22"/>
          <w:szCs w:val="22"/>
        </w:rPr>
        <w:t xml:space="preserve">Moein, S.E., Musick, </w:t>
      </w:r>
      <w:r>
        <w:rPr>
          <w:sz w:val="22"/>
          <w:szCs w:val="22"/>
        </w:rPr>
        <w:t xml:space="preserve">J.A., </w:t>
      </w:r>
      <w:r w:rsidRPr="00E93F43">
        <w:rPr>
          <w:sz w:val="22"/>
          <w:szCs w:val="22"/>
        </w:rPr>
        <w:t xml:space="preserve">Keinath, </w:t>
      </w:r>
      <w:r>
        <w:rPr>
          <w:sz w:val="22"/>
          <w:szCs w:val="22"/>
        </w:rPr>
        <w:t xml:space="preserve">J.A., </w:t>
      </w:r>
      <w:r w:rsidRPr="00E93F43">
        <w:rPr>
          <w:sz w:val="22"/>
          <w:szCs w:val="22"/>
        </w:rPr>
        <w:t xml:space="preserve">Barnard, </w:t>
      </w:r>
      <w:r>
        <w:rPr>
          <w:sz w:val="22"/>
          <w:szCs w:val="22"/>
        </w:rPr>
        <w:t xml:space="preserve">D.E., </w:t>
      </w:r>
      <w:r w:rsidRPr="00E93F43">
        <w:rPr>
          <w:sz w:val="22"/>
          <w:szCs w:val="22"/>
        </w:rPr>
        <w:t xml:space="preserve">Lenhardt, </w:t>
      </w:r>
      <w:r>
        <w:rPr>
          <w:sz w:val="22"/>
          <w:szCs w:val="22"/>
        </w:rPr>
        <w:t xml:space="preserve">M.L. </w:t>
      </w:r>
      <w:r w:rsidRPr="00E93F43">
        <w:rPr>
          <w:sz w:val="22"/>
          <w:szCs w:val="22"/>
        </w:rPr>
        <w:t>and George</w:t>
      </w:r>
      <w:r>
        <w:rPr>
          <w:sz w:val="22"/>
          <w:szCs w:val="22"/>
        </w:rPr>
        <w:t>, R</w:t>
      </w:r>
      <w:r w:rsidRPr="00E93F43">
        <w:rPr>
          <w:sz w:val="22"/>
          <w:szCs w:val="22"/>
        </w:rPr>
        <w:t>. 1995. Evaluation of Seismic Sources for Repelling Sea Turtles from Hopper Dredges, in Sea Turtle Research Program: Summary Report. In: Hales, L.Z. (ed.). Report from U.S. Army Engineer Division, South Atlantic, Atlanta GA, and U.S. Naval Submarine Base, Kings Bay GA. Technical Report CERC-95. 90 pp.</w:t>
      </w:r>
    </w:p>
    <w:p w14:paraId="00D6F524" w14:textId="77777777" w:rsidR="00CA0853" w:rsidRPr="00E93F43" w:rsidRDefault="00CA0853" w:rsidP="000B3456">
      <w:pPr>
        <w:pStyle w:val="BodyText"/>
        <w:ind w:left="567" w:hanging="567"/>
        <w:rPr>
          <w:sz w:val="22"/>
          <w:szCs w:val="22"/>
        </w:rPr>
      </w:pPr>
      <w:r w:rsidRPr="00E93F43">
        <w:rPr>
          <w:sz w:val="22"/>
          <w:szCs w:val="22"/>
        </w:rPr>
        <w:t xml:space="preserve">Montgomery, J.C., Jeffs, </w:t>
      </w:r>
      <w:r>
        <w:rPr>
          <w:sz w:val="22"/>
          <w:szCs w:val="22"/>
        </w:rPr>
        <w:t xml:space="preserve">A., </w:t>
      </w:r>
      <w:r w:rsidRPr="00E93F43">
        <w:rPr>
          <w:sz w:val="22"/>
          <w:szCs w:val="22"/>
        </w:rPr>
        <w:t xml:space="preserve">Simpson, </w:t>
      </w:r>
      <w:r>
        <w:rPr>
          <w:sz w:val="22"/>
          <w:szCs w:val="22"/>
        </w:rPr>
        <w:t xml:space="preserve">S.D., </w:t>
      </w:r>
      <w:r w:rsidRPr="00E93F43">
        <w:rPr>
          <w:sz w:val="22"/>
          <w:szCs w:val="22"/>
        </w:rPr>
        <w:t xml:space="preserve">Meekan, </w:t>
      </w:r>
      <w:r>
        <w:rPr>
          <w:sz w:val="22"/>
          <w:szCs w:val="22"/>
        </w:rPr>
        <w:t xml:space="preserve">M. </w:t>
      </w:r>
      <w:r w:rsidRPr="00E93F43">
        <w:rPr>
          <w:sz w:val="22"/>
          <w:szCs w:val="22"/>
        </w:rPr>
        <w:t>and Tindle</w:t>
      </w:r>
      <w:r>
        <w:rPr>
          <w:sz w:val="22"/>
          <w:szCs w:val="22"/>
        </w:rPr>
        <w:t>, C</w:t>
      </w:r>
      <w:r w:rsidRPr="00E93F43">
        <w:rPr>
          <w:sz w:val="22"/>
          <w:szCs w:val="22"/>
        </w:rPr>
        <w:t xml:space="preserve">. 2006. Sound as an orientation cue for the pelagic larvae of reef fishes and decapod crustaceans. </w:t>
      </w:r>
      <w:r w:rsidRPr="00666A23">
        <w:rPr>
          <w:i/>
          <w:iCs/>
          <w:sz w:val="22"/>
          <w:szCs w:val="22"/>
        </w:rPr>
        <w:t>Advances in Marine Biology</w:t>
      </w:r>
      <w:r>
        <w:rPr>
          <w:sz w:val="22"/>
          <w:szCs w:val="22"/>
        </w:rPr>
        <w:t xml:space="preserve"> 51: 143–</w:t>
      </w:r>
      <w:r w:rsidRPr="00E93F43">
        <w:rPr>
          <w:sz w:val="22"/>
          <w:szCs w:val="22"/>
        </w:rPr>
        <w:t>196.</w:t>
      </w:r>
    </w:p>
    <w:p w14:paraId="51871A74" w14:textId="77777777" w:rsidR="00CA0853" w:rsidRDefault="00CA0853" w:rsidP="000B3456">
      <w:pPr>
        <w:pStyle w:val="BodyText"/>
        <w:ind w:left="567" w:hanging="567"/>
        <w:rPr>
          <w:sz w:val="22"/>
          <w:szCs w:val="22"/>
          <w:lang w:val="en-GB"/>
        </w:rPr>
      </w:pPr>
      <w:r w:rsidRPr="00E93F43">
        <w:rPr>
          <w:sz w:val="22"/>
          <w:szCs w:val="22"/>
        </w:rPr>
        <w:t xml:space="preserve">Mooney, T.A., Yamato, </w:t>
      </w:r>
      <w:r>
        <w:rPr>
          <w:sz w:val="22"/>
          <w:szCs w:val="22"/>
        </w:rPr>
        <w:t xml:space="preserve">M. </w:t>
      </w:r>
      <w:r w:rsidRPr="00E93F43">
        <w:rPr>
          <w:sz w:val="22"/>
          <w:szCs w:val="22"/>
        </w:rPr>
        <w:t>and Branstetter</w:t>
      </w:r>
      <w:r>
        <w:rPr>
          <w:sz w:val="22"/>
          <w:szCs w:val="22"/>
        </w:rPr>
        <w:t>, B.K</w:t>
      </w:r>
      <w:r w:rsidRPr="00E93F43">
        <w:rPr>
          <w:sz w:val="22"/>
          <w:szCs w:val="22"/>
        </w:rPr>
        <w:t xml:space="preserve">. 2012. Hearing in cetaceans: From natural history to experimental biology. </w:t>
      </w:r>
      <w:r w:rsidRPr="00666A23">
        <w:rPr>
          <w:i/>
          <w:iCs/>
          <w:sz w:val="22"/>
          <w:szCs w:val="22"/>
        </w:rPr>
        <w:t>Advances in Marine Biology</w:t>
      </w:r>
      <w:r>
        <w:rPr>
          <w:sz w:val="22"/>
          <w:szCs w:val="22"/>
        </w:rPr>
        <w:t xml:space="preserve"> 63: 197–</w:t>
      </w:r>
      <w:r w:rsidRPr="00E93F43">
        <w:rPr>
          <w:sz w:val="22"/>
          <w:szCs w:val="22"/>
        </w:rPr>
        <w:t>246</w:t>
      </w:r>
      <w:r>
        <w:rPr>
          <w:sz w:val="22"/>
          <w:szCs w:val="22"/>
        </w:rPr>
        <w:t>.</w:t>
      </w:r>
      <w:r>
        <w:rPr>
          <w:sz w:val="22"/>
          <w:szCs w:val="22"/>
          <w:lang w:val="en-GB"/>
        </w:rPr>
        <w:t xml:space="preserve"> </w:t>
      </w:r>
    </w:p>
    <w:p w14:paraId="470EACB5" w14:textId="77777777" w:rsidR="00CA0853" w:rsidRPr="00B11252" w:rsidRDefault="00CA0853" w:rsidP="000B3456">
      <w:pPr>
        <w:pStyle w:val="BodyText"/>
        <w:ind w:left="567" w:hanging="567"/>
        <w:rPr>
          <w:sz w:val="22"/>
          <w:szCs w:val="22"/>
        </w:rPr>
      </w:pPr>
      <w:r w:rsidRPr="00137C62">
        <w:rPr>
          <w:sz w:val="22"/>
          <w:szCs w:val="22"/>
          <w:lang w:val="en-GB"/>
        </w:rPr>
        <w:t xml:space="preserve">Moriyasu, M., Allain, R., Benhalima, K. and Claytor, R. 2004. </w:t>
      </w:r>
      <w:r w:rsidRPr="00B11252">
        <w:rPr>
          <w:sz w:val="22"/>
          <w:szCs w:val="22"/>
        </w:rPr>
        <w:t>Effects of seismic and marine noise on invertebrates: A literature Review. Fisheries and Oceans Canada, Research Document 2004/126.</w:t>
      </w:r>
    </w:p>
    <w:p w14:paraId="19047585" w14:textId="77777777" w:rsidR="00CA0853" w:rsidRPr="000B64C5" w:rsidRDefault="00CA0853" w:rsidP="000B3456">
      <w:pPr>
        <w:pStyle w:val="BodyText"/>
        <w:ind w:left="567" w:hanging="567"/>
        <w:rPr>
          <w:sz w:val="22"/>
          <w:szCs w:val="22"/>
        </w:rPr>
      </w:pPr>
      <w:r w:rsidRPr="000B64C5">
        <w:rPr>
          <w:sz w:val="22"/>
          <w:szCs w:val="22"/>
        </w:rPr>
        <w:t>Morrice, M.G., Gill, P.C., Hughes, J. and Levings, A.H. 2004. Summary of mitigation aerial surveys for the Santos Ltd EPP32 seismic survey, 2-13 December 2003. Report # WEG-SO 02/2004, Whale Ecology Group-Southern Ocean, Deakin University.</w:t>
      </w:r>
    </w:p>
    <w:p w14:paraId="41FF428B" w14:textId="0FCC825D" w:rsidR="0087210F" w:rsidRDefault="0087210F" w:rsidP="000B3456">
      <w:pPr>
        <w:pStyle w:val="BodyText"/>
        <w:ind w:left="567" w:hanging="567"/>
        <w:rPr>
          <w:sz w:val="22"/>
          <w:szCs w:val="22"/>
        </w:rPr>
      </w:pPr>
      <w:r>
        <w:rPr>
          <w:sz w:val="22"/>
          <w:szCs w:val="22"/>
        </w:rPr>
        <w:t xml:space="preserve">Morris, C.J., Cote, D., Martin, B. and Kehler, D. </w:t>
      </w:r>
      <w:r w:rsidR="00CC50CB">
        <w:rPr>
          <w:sz w:val="22"/>
          <w:szCs w:val="22"/>
        </w:rPr>
        <w:t xml:space="preserve">2017. Effects of 2D seismic on the snow crab fishery. </w:t>
      </w:r>
      <w:r w:rsidR="00CC50CB" w:rsidRPr="00891DE1">
        <w:rPr>
          <w:i/>
          <w:sz w:val="22"/>
          <w:szCs w:val="22"/>
        </w:rPr>
        <w:t>Fisheries Research</w:t>
      </w:r>
      <w:r w:rsidR="00CC50CB">
        <w:rPr>
          <w:sz w:val="22"/>
          <w:szCs w:val="22"/>
        </w:rPr>
        <w:t xml:space="preserve"> (2017). A WWW paper accessed at </w:t>
      </w:r>
      <w:r w:rsidR="00CC50CB" w:rsidRPr="00891DE1">
        <w:rPr>
          <w:rFonts w:ascii="¿my_ˇ" w:hAnsi="¿my_ˇ" w:cs="¿my_ˇ"/>
          <w:sz w:val="22"/>
          <w:szCs w:val="22"/>
          <w:lang w:val="en-US"/>
        </w:rPr>
        <w:t>http://dx.doi.org/10.1016/j.fishres.2017.09.012.</w:t>
      </w:r>
      <w:r w:rsidR="00CC50CB">
        <w:rPr>
          <w:sz w:val="22"/>
          <w:szCs w:val="22"/>
        </w:rPr>
        <w:t xml:space="preserve"> </w:t>
      </w:r>
    </w:p>
    <w:p w14:paraId="5B1D3A05" w14:textId="77777777" w:rsidR="00CA0853" w:rsidRDefault="00CA0853" w:rsidP="000B3456">
      <w:pPr>
        <w:pStyle w:val="BodyText"/>
        <w:ind w:left="567" w:hanging="567"/>
        <w:rPr>
          <w:sz w:val="22"/>
          <w:szCs w:val="22"/>
        </w:rPr>
      </w:pPr>
      <w:r>
        <w:rPr>
          <w:sz w:val="22"/>
          <w:szCs w:val="22"/>
        </w:rPr>
        <w:lastRenderedPageBreak/>
        <w:t xml:space="preserve">Museums Victoria. 2017. Fishes of Australia database. A WWW database accessed at </w:t>
      </w:r>
      <w:r w:rsidRPr="000D568E">
        <w:rPr>
          <w:sz w:val="22"/>
          <w:szCs w:val="22"/>
        </w:rPr>
        <w:t>http://fishesofaustralia.net.au</w:t>
      </w:r>
      <w:r>
        <w:rPr>
          <w:sz w:val="22"/>
          <w:szCs w:val="22"/>
        </w:rPr>
        <w:t xml:space="preserve">. Museums Victoria. Melbourne. </w:t>
      </w:r>
    </w:p>
    <w:p w14:paraId="0B47AF55" w14:textId="77777777" w:rsidR="00CA0853" w:rsidRPr="000B64C5" w:rsidRDefault="00CA0853" w:rsidP="000B3456">
      <w:pPr>
        <w:pStyle w:val="BodyText"/>
        <w:ind w:left="567" w:hanging="567"/>
        <w:rPr>
          <w:sz w:val="22"/>
          <w:szCs w:val="22"/>
        </w:rPr>
      </w:pPr>
      <w:r w:rsidRPr="000B64C5">
        <w:rPr>
          <w:sz w:val="22"/>
          <w:szCs w:val="22"/>
        </w:rPr>
        <w:t>Mustoe, S.H. 2008. Killer Whale (</w:t>
      </w:r>
      <w:r w:rsidRPr="000B64C5">
        <w:rPr>
          <w:i/>
          <w:sz w:val="22"/>
          <w:szCs w:val="22"/>
        </w:rPr>
        <w:t>Orchinus orca</w:t>
      </w:r>
      <w:r w:rsidRPr="000B64C5">
        <w:rPr>
          <w:sz w:val="22"/>
          <w:szCs w:val="22"/>
        </w:rPr>
        <w:t xml:space="preserve">) sightings in Victoria. </w:t>
      </w:r>
      <w:r w:rsidRPr="00401C50">
        <w:rPr>
          <w:i/>
          <w:iCs/>
          <w:sz w:val="22"/>
          <w:szCs w:val="22"/>
        </w:rPr>
        <w:t>Victorian Naturalist</w:t>
      </w:r>
      <w:r>
        <w:rPr>
          <w:sz w:val="22"/>
          <w:szCs w:val="22"/>
        </w:rPr>
        <w:t xml:space="preserve"> 125</w:t>
      </w:r>
      <w:r w:rsidRPr="000B64C5">
        <w:rPr>
          <w:sz w:val="22"/>
          <w:szCs w:val="22"/>
        </w:rPr>
        <w:t>(3): 76-81.</w:t>
      </w:r>
    </w:p>
    <w:p w14:paraId="581DF75D" w14:textId="77777777" w:rsidR="00CA0853" w:rsidRPr="000B6CC5" w:rsidRDefault="00CA0853" w:rsidP="000B3456">
      <w:pPr>
        <w:pStyle w:val="BodyText"/>
        <w:ind w:left="567" w:hanging="567"/>
        <w:rPr>
          <w:sz w:val="22"/>
          <w:szCs w:val="22"/>
        </w:rPr>
      </w:pPr>
      <w:r w:rsidRPr="000B6CC5">
        <w:rPr>
          <w:sz w:val="22"/>
          <w:szCs w:val="22"/>
        </w:rPr>
        <w:t xml:space="preserve">Myrberg, A.A. 2001. The acoustical biology of elasmobranchs. </w:t>
      </w:r>
      <w:r w:rsidRPr="0047272C">
        <w:rPr>
          <w:i/>
          <w:sz w:val="22"/>
          <w:szCs w:val="22"/>
        </w:rPr>
        <w:t>Environmental Biology of Fishes</w:t>
      </w:r>
      <w:r w:rsidRPr="000B6CC5">
        <w:rPr>
          <w:sz w:val="22"/>
          <w:szCs w:val="22"/>
        </w:rPr>
        <w:t xml:space="preserve"> 60(3)</w:t>
      </w:r>
      <w:r>
        <w:rPr>
          <w:sz w:val="22"/>
          <w:szCs w:val="22"/>
        </w:rPr>
        <w:t xml:space="preserve">: </w:t>
      </w:r>
      <w:r w:rsidRPr="000B6CC5">
        <w:rPr>
          <w:sz w:val="22"/>
          <w:szCs w:val="22"/>
        </w:rPr>
        <w:t xml:space="preserve">31- 45. </w:t>
      </w:r>
    </w:p>
    <w:p w14:paraId="10A7A06D" w14:textId="77777777" w:rsidR="00CA0853" w:rsidRPr="001266D6" w:rsidRDefault="00CA0853" w:rsidP="000B3456">
      <w:pPr>
        <w:pStyle w:val="BodyText"/>
        <w:ind w:left="567" w:hanging="567"/>
        <w:rPr>
          <w:sz w:val="22"/>
          <w:szCs w:val="22"/>
        </w:rPr>
      </w:pPr>
      <w:r w:rsidRPr="001266D6">
        <w:rPr>
          <w:sz w:val="22"/>
          <w:szCs w:val="22"/>
        </w:rPr>
        <w:t xml:space="preserve">NATO. No date. Part II: Saclantcen Marine Mammal and Human Divers Risk Mitigation Rules – Planning. North Atlantic Treaty Organisation. Brussels. </w:t>
      </w:r>
    </w:p>
    <w:p w14:paraId="09C22FD2" w14:textId="77777777" w:rsidR="00CA0853" w:rsidRPr="00E93F43" w:rsidRDefault="00CA0853" w:rsidP="000B3456">
      <w:pPr>
        <w:pStyle w:val="BodyText"/>
        <w:ind w:left="567" w:hanging="567"/>
        <w:rPr>
          <w:sz w:val="22"/>
          <w:szCs w:val="22"/>
        </w:rPr>
      </w:pPr>
      <w:r w:rsidRPr="00E93F43">
        <w:rPr>
          <w:sz w:val="22"/>
          <w:szCs w:val="22"/>
        </w:rPr>
        <w:t xml:space="preserve">Nedelec, S.L., Campbell, </w:t>
      </w:r>
      <w:r>
        <w:rPr>
          <w:sz w:val="22"/>
          <w:szCs w:val="22"/>
        </w:rPr>
        <w:t xml:space="preserve">J., </w:t>
      </w:r>
      <w:r w:rsidRPr="00E93F43">
        <w:rPr>
          <w:sz w:val="22"/>
          <w:szCs w:val="22"/>
        </w:rPr>
        <w:t xml:space="preserve">Radford, </w:t>
      </w:r>
      <w:r>
        <w:rPr>
          <w:sz w:val="22"/>
          <w:szCs w:val="22"/>
        </w:rPr>
        <w:t xml:space="preserve">A.N., </w:t>
      </w:r>
      <w:r w:rsidRPr="00E93F43">
        <w:rPr>
          <w:sz w:val="22"/>
          <w:szCs w:val="22"/>
        </w:rPr>
        <w:t xml:space="preserve">Simpson, </w:t>
      </w:r>
      <w:r>
        <w:rPr>
          <w:sz w:val="22"/>
          <w:szCs w:val="22"/>
        </w:rPr>
        <w:t xml:space="preserve">S.D. </w:t>
      </w:r>
      <w:r w:rsidRPr="00E93F43">
        <w:rPr>
          <w:sz w:val="22"/>
          <w:szCs w:val="22"/>
        </w:rPr>
        <w:t>and Merchant</w:t>
      </w:r>
      <w:r>
        <w:rPr>
          <w:sz w:val="22"/>
          <w:szCs w:val="22"/>
        </w:rPr>
        <w:t>, N.D</w:t>
      </w:r>
      <w:r w:rsidRPr="00E93F43">
        <w:rPr>
          <w:sz w:val="22"/>
          <w:szCs w:val="22"/>
        </w:rPr>
        <w:t xml:space="preserve">. 2016. Particle motion: the missing link in underwater acoustic ecology. </w:t>
      </w:r>
      <w:r w:rsidRPr="00666A23">
        <w:rPr>
          <w:i/>
          <w:iCs/>
          <w:sz w:val="22"/>
          <w:szCs w:val="22"/>
        </w:rPr>
        <w:t>Methods in Ecology and Evolution</w:t>
      </w:r>
      <w:r w:rsidRPr="00E93F43">
        <w:rPr>
          <w:sz w:val="22"/>
          <w:szCs w:val="22"/>
        </w:rPr>
        <w:t xml:space="preserve">: 1-7. </w:t>
      </w:r>
    </w:p>
    <w:p w14:paraId="79B143EF" w14:textId="77777777" w:rsidR="00CA0853" w:rsidRPr="00E93F43" w:rsidRDefault="00CA0853" w:rsidP="000B3456">
      <w:pPr>
        <w:pStyle w:val="BodyText"/>
        <w:ind w:left="567" w:hanging="567"/>
        <w:rPr>
          <w:sz w:val="22"/>
          <w:szCs w:val="22"/>
        </w:rPr>
      </w:pPr>
      <w:r w:rsidRPr="00E93F43">
        <w:rPr>
          <w:sz w:val="22"/>
          <w:szCs w:val="22"/>
        </w:rPr>
        <w:t xml:space="preserve">Nelms, S.E., Piniak, </w:t>
      </w:r>
      <w:r>
        <w:rPr>
          <w:sz w:val="22"/>
          <w:szCs w:val="22"/>
        </w:rPr>
        <w:t xml:space="preserve">W.E., </w:t>
      </w:r>
      <w:r w:rsidRPr="00E93F43">
        <w:rPr>
          <w:sz w:val="22"/>
          <w:szCs w:val="22"/>
        </w:rPr>
        <w:t xml:space="preserve">Weir, </w:t>
      </w:r>
      <w:r>
        <w:rPr>
          <w:sz w:val="22"/>
          <w:szCs w:val="22"/>
        </w:rPr>
        <w:t xml:space="preserve">C.R. </w:t>
      </w:r>
      <w:r w:rsidRPr="00E93F43">
        <w:rPr>
          <w:sz w:val="22"/>
          <w:szCs w:val="22"/>
        </w:rPr>
        <w:t>and Godley</w:t>
      </w:r>
      <w:r>
        <w:rPr>
          <w:sz w:val="22"/>
          <w:szCs w:val="22"/>
        </w:rPr>
        <w:t>, B.J</w:t>
      </w:r>
      <w:r w:rsidRPr="00E93F43">
        <w:rPr>
          <w:sz w:val="22"/>
          <w:szCs w:val="22"/>
        </w:rPr>
        <w:t xml:space="preserve">. 2016. Seismic surveys and marine turtles: An underestimated global threat? </w:t>
      </w:r>
      <w:r w:rsidRPr="00666A23">
        <w:rPr>
          <w:i/>
          <w:iCs/>
          <w:sz w:val="22"/>
          <w:szCs w:val="22"/>
        </w:rPr>
        <w:t>Biological Conservation</w:t>
      </w:r>
      <w:r>
        <w:rPr>
          <w:sz w:val="22"/>
          <w:szCs w:val="22"/>
        </w:rPr>
        <w:t xml:space="preserve"> 193: 49–</w:t>
      </w:r>
      <w:r w:rsidRPr="00E93F43">
        <w:rPr>
          <w:sz w:val="22"/>
          <w:szCs w:val="22"/>
        </w:rPr>
        <w:t>65.</w:t>
      </w:r>
    </w:p>
    <w:p w14:paraId="20880DF4" w14:textId="77777777" w:rsidR="00CA0853" w:rsidRPr="00CC11E9" w:rsidRDefault="00CA0853" w:rsidP="000B3456">
      <w:pPr>
        <w:pStyle w:val="BodyText"/>
        <w:ind w:left="567" w:hanging="567"/>
        <w:rPr>
          <w:sz w:val="22"/>
          <w:szCs w:val="22"/>
        </w:rPr>
      </w:pPr>
      <w:r w:rsidRPr="00CC11E9">
        <w:rPr>
          <w:sz w:val="22"/>
          <w:szCs w:val="22"/>
        </w:rPr>
        <w:t>NMFS. 2001. Biological Opinion on the Endangered Species Act 1973 - Section 7 Consultation</w:t>
      </w:r>
      <w:r>
        <w:rPr>
          <w:sz w:val="22"/>
          <w:szCs w:val="22"/>
        </w:rPr>
        <w:t xml:space="preserve"> </w:t>
      </w:r>
      <w:r w:rsidRPr="00CC11E9">
        <w:rPr>
          <w:sz w:val="22"/>
          <w:szCs w:val="22"/>
        </w:rPr>
        <w:t>relating to the minerals management Service's (MMS) proposed approval of a</w:t>
      </w:r>
      <w:r>
        <w:rPr>
          <w:sz w:val="22"/>
          <w:szCs w:val="22"/>
        </w:rPr>
        <w:t xml:space="preserve"> </w:t>
      </w:r>
      <w:r w:rsidRPr="00CC11E9">
        <w:rPr>
          <w:sz w:val="22"/>
          <w:szCs w:val="22"/>
        </w:rPr>
        <w:t>development and production plan for the construction and operation of the Liberty project</w:t>
      </w:r>
      <w:r>
        <w:rPr>
          <w:sz w:val="22"/>
          <w:szCs w:val="22"/>
        </w:rPr>
        <w:t xml:space="preserve"> </w:t>
      </w:r>
      <w:r w:rsidRPr="00CC11E9">
        <w:rPr>
          <w:sz w:val="22"/>
          <w:szCs w:val="22"/>
        </w:rPr>
        <w:t>in the Beaufort Sea, Alaska. Consultation No. F/AKR/2001/00889. National Marine</w:t>
      </w:r>
      <w:r>
        <w:rPr>
          <w:sz w:val="22"/>
          <w:szCs w:val="22"/>
        </w:rPr>
        <w:t xml:space="preserve"> </w:t>
      </w:r>
      <w:r w:rsidRPr="00CC11E9">
        <w:rPr>
          <w:sz w:val="22"/>
          <w:szCs w:val="22"/>
        </w:rPr>
        <w:t>Fisheries Service, Alaska region, Office of protected resources. pp. 1-51.</w:t>
      </w:r>
    </w:p>
    <w:p w14:paraId="1E8C134C" w14:textId="77777777" w:rsidR="00CA0853" w:rsidRPr="00E93F43" w:rsidRDefault="00CA0853" w:rsidP="000B3456">
      <w:pPr>
        <w:pStyle w:val="BodyText"/>
        <w:ind w:left="567" w:hanging="567"/>
        <w:rPr>
          <w:sz w:val="22"/>
          <w:szCs w:val="22"/>
        </w:rPr>
      </w:pPr>
      <w:r w:rsidRPr="00E93F43">
        <w:rPr>
          <w:sz w:val="22"/>
          <w:szCs w:val="22"/>
        </w:rPr>
        <w:t>NMFS</w:t>
      </w:r>
      <w:r>
        <w:rPr>
          <w:sz w:val="22"/>
          <w:szCs w:val="22"/>
        </w:rPr>
        <w:t>.</w:t>
      </w:r>
      <w:r w:rsidRPr="00E93F43">
        <w:rPr>
          <w:sz w:val="22"/>
          <w:szCs w:val="22"/>
        </w:rPr>
        <w:t xml:space="preserve"> 2013. Marine Mammals: Interim Sound Threshold Guidance. National Marine Fisheries Service, National Oceanic and Atmospheric Administration, U.S. Department of Commerce. National Marine Fisheries Service</w:t>
      </w:r>
    </w:p>
    <w:p w14:paraId="7ECD1349" w14:textId="77777777" w:rsidR="00CA0853" w:rsidRDefault="00CA0853" w:rsidP="000B3456">
      <w:pPr>
        <w:pStyle w:val="BodyText"/>
        <w:ind w:left="567" w:hanging="567"/>
        <w:rPr>
          <w:sz w:val="22"/>
          <w:szCs w:val="22"/>
        </w:rPr>
      </w:pPr>
      <w:r w:rsidRPr="00E93F43">
        <w:rPr>
          <w:sz w:val="22"/>
          <w:szCs w:val="22"/>
        </w:rPr>
        <w:t>NMFS. 2016. Technical Guidance for Assessing the Effects of Anthropogenic Sound on Marine Mammal Hearing: Underwater Acoustic Thresholds for Onset of Permanent and Temporary Threshold Shifts. U.S. Department of Commerce, NOAA. NOAA Technical Memorandum NMFS-OPR-55. National Marine Fisheries Service</w:t>
      </w:r>
      <w:r>
        <w:rPr>
          <w:sz w:val="22"/>
          <w:szCs w:val="22"/>
        </w:rPr>
        <w:t>.</w:t>
      </w:r>
    </w:p>
    <w:p w14:paraId="1C69DF11" w14:textId="77777777" w:rsidR="00CA0853" w:rsidRPr="00F56CF3" w:rsidRDefault="00CA0853" w:rsidP="000B3456">
      <w:pPr>
        <w:pStyle w:val="BodyText"/>
        <w:ind w:left="567" w:hanging="567"/>
        <w:rPr>
          <w:sz w:val="22"/>
          <w:szCs w:val="22"/>
        </w:rPr>
      </w:pPr>
      <w:r w:rsidRPr="00F56CF3">
        <w:rPr>
          <w:sz w:val="22"/>
          <w:szCs w:val="22"/>
        </w:rPr>
        <w:t>NMSC. 2010. Marine Incidents during 2009. Preliminary Data Analysis. A WWW database accessed at</w:t>
      </w:r>
      <w:r>
        <w:rPr>
          <w:sz w:val="22"/>
          <w:szCs w:val="22"/>
        </w:rPr>
        <w:t xml:space="preserve"> </w:t>
      </w:r>
      <w:r w:rsidRPr="00F56CF3">
        <w:rPr>
          <w:sz w:val="22"/>
          <w:szCs w:val="22"/>
        </w:rPr>
        <w:t>http://www.nmsc.gov.au. Australian National Marine Safety Committee.</w:t>
      </w:r>
    </w:p>
    <w:p w14:paraId="249F5948" w14:textId="77777777" w:rsidR="00CA0853" w:rsidRPr="0017576C" w:rsidRDefault="00CA0853" w:rsidP="000B3456">
      <w:pPr>
        <w:pStyle w:val="BodyText"/>
        <w:ind w:left="567" w:hanging="567"/>
        <w:rPr>
          <w:sz w:val="22"/>
          <w:szCs w:val="22"/>
        </w:rPr>
      </w:pPr>
      <w:r w:rsidRPr="0017576C">
        <w:rPr>
          <w:sz w:val="22"/>
          <w:szCs w:val="22"/>
        </w:rPr>
        <w:t>NNTT</w:t>
      </w:r>
      <w:r>
        <w:rPr>
          <w:sz w:val="22"/>
          <w:szCs w:val="22"/>
        </w:rPr>
        <w:t>.</w:t>
      </w:r>
      <w:r w:rsidRPr="0017576C">
        <w:rPr>
          <w:sz w:val="22"/>
          <w:szCs w:val="22"/>
        </w:rPr>
        <w:t xml:space="preserve"> 2017</w:t>
      </w:r>
      <w:r>
        <w:rPr>
          <w:sz w:val="22"/>
          <w:szCs w:val="22"/>
        </w:rPr>
        <w:t xml:space="preserve">. Search register of Native Title claims. A WWW database accessed at </w:t>
      </w:r>
      <w:hyperlink r:id="rId335" w:history="1">
        <w:r w:rsidRPr="00C03018">
          <w:rPr>
            <w:sz w:val="22"/>
            <w:szCs w:val="22"/>
          </w:rPr>
          <w:t>http://www.nntt.gov.au/searchRegApps/NativeTitleRegisters/Pages/Search-Register-of-Native-Title-Claims.aspx</w:t>
        </w:r>
      </w:hyperlink>
      <w:r>
        <w:rPr>
          <w:sz w:val="22"/>
          <w:szCs w:val="22"/>
        </w:rPr>
        <w:t xml:space="preserve">. National Native Title Tribunal. </w:t>
      </w:r>
    </w:p>
    <w:p w14:paraId="3FBF17FA" w14:textId="77777777" w:rsidR="00CA0853" w:rsidRPr="004062E4" w:rsidRDefault="00CA0853" w:rsidP="000B3456">
      <w:pPr>
        <w:pStyle w:val="BodyText"/>
        <w:ind w:left="567" w:hanging="567"/>
        <w:rPr>
          <w:sz w:val="22"/>
          <w:szCs w:val="22"/>
        </w:rPr>
      </w:pPr>
      <w:r w:rsidRPr="004062E4">
        <w:rPr>
          <w:sz w:val="22"/>
          <w:szCs w:val="22"/>
        </w:rPr>
        <w:t>NOAA. 2002. Environmental Sensitivity Index Guidelines. Version 3. March 2002. National</w:t>
      </w:r>
      <w:r>
        <w:rPr>
          <w:sz w:val="22"/>
          <w:szCs w:val="22"/>
        </w:rPr>
        <w:t xml:space="preserve"> </w:t>
      </w:r>
      <w:r w:rsidRPr="004062E4">
        <w:rPr>
          <w:sz w:val="22"/>
          <w:szCs w:val="22"/>
        </w:rPr>
        <w:t>Oceanic and Atmospheric Administration. Washington.</w:t>
      </w:r>
    </w:p>
    <w:p w14:paraId="3C48FB7A" w14:textId="77777777" w:rsidR="00CA0853" w:rsidRPr="00CE0E3A" w:rsidRDefault="00CA0853" w:rsidP="000B3456">
      <w:pPr>
        <w:pStyle w:val="BodyText"/>
        <w:ind w:left="567" w:hanging="567"/>
        <w:rPr>
          <w:sz w:val="22"/>
          <w:szCs w:val="22"/>
        </w:rPr>
      </w:pPr>
      <w:r w:rsidRPr="00CE0E3A">
        <w:rPr>
          <w:sz w:val="22"/>
          <w:szCs w:val="22"/>
        </w:rPr>
        <w:t>NOAA. 2013. Deepwater Horizon Oil Spill: Assessment of Potential Impacts on the Deep Softbottom</w:t>
      </w:r>
      <w:r>
        <w:rPr>
          <w:sz w:val="22"/>
          <w:szCs w:val="22"/>
        </w:rPr>
        <w:t xml:space="preserve"> </w:t>
      </w:r>
      <w:r w:rsidRPr="00CE0E3A">
        <w:rPr>
          <w:sz w:val="22"/>
          <w:szCs w:val="22"/>
        </w:rPr>
        <w:t>Benthos. Interim data summary report. NOAA Technical Memorandum NOS</w:t>
      </w:r>
      <w:r>
        <w:rPr>
          <w:sz w:val="22"/>
          <w:szCs w:val="22"/>
        </w:rPr>
        <w:t xml:space="preserve"> </w:t>
      </w:r>
      <w:r w:rsidRPr="00CE0E3A">
        <w:rPr>
          <w:sz w:val="22"/>
          <w:szCs w:val="22"/>
        </w:rPr>
        <w:t>NCCOS 166. National Oceanic and Atmospheric Administration. Washington.</w:t>
      </w:r>
    </w:p>
    <w:p w14:paraId="0CC5E934" w14:textId="77777777" w:rsidR="00CA0853" w:rsidRPr="00E93F43" w:rsidRDefault="00CA0853" w:rsidP="000B3456">
      <w:pPr>
        <w:pStyle w:val="BodyText"/>
        <w:ind w:left="567" w:hanging="567"/>
        <w:rPr>
          <w:sz w:val="22"/>
          <w:szCs w:val="22"/>
        </w:rPr>
      </w:pPr>
      <w:r>
        <w:rPr>
          <w:sz w:val="22"/>
          <w:szCs w:val="22"/>
        </w:rPr>
        <w:t>NOAA</w:t>
      </w:r>
      <w:r w:rsidRPr="00E93F43">
        <w:rPr>
          <w:sz w:val="22"/>
          <w:szCs w:val="22"/>
        </w:rPr>
        <w:t>. 2015. Draft guidance for assessing the effects of anthropogenic sound on marine mammal hearing: Underwater acoustic threshold levels for onset of permanent and temporary threshold shifts, July 2015, NMFS Office of Protected Resources. National Oceanic and Atmospheric Administration</w:t>
      </w:r>
      <w:r>
        <w:rPr>
          <w:sz w:val="22"/>
          <w:szCs w:val="22"/>
        </w:rPr>
        <w:t>.</w:t>
      </w:r>
    </w:p>
    <w:p w14:paraId="1F902CE2" w14:textId="77777777" w:rsidR="00CA0853" w:rsidRPr="00E93F43" w:rsidRDefault="00CA0853" w:rsidP="000B3456">
      <w:pPr>
        <w:pStyle w:val="BodyText"/>
        <w:ind w:left="567" w:hanging="567"/>
        <w:rPr>
          <w:sz w:val="22"/>
          <w:szCs w:val="22"/>
        </w:rPr>
      </w:pPr>
      <w:r>
        <w:rPr>
          <w:sz w:val="22"/>
          <w:szCs w:val="22"/>
        </w:rPr>
        <w:t>NOAA</w:t>
      </w:r>
      <w:r w:rsidRPr="00E93F43">
        <w:rPr>
          <w:sz w:val="22"/>
          <w:szCs w:val="22"/>
        </w:rPr>
        <w:t xml:space="preserve">. 2016. Document Containing Proposed Changes to the NOAA Draft Guidance for Assessing the Effects of Anthropogenic Sound on Marine Mammal Hearing: </w:t>
      </w:r>
      <w:r w:rsidRPr="00E93F43">
        <w:rPr>
          <w:sz w:val="22"/>
          <w:szCs w:val="22"/>
        </w:rPr>
        <w:lastRenderedPageBreak/>
        <w:t>Underwater Acoustic Threshold Levels for Onset of Permanent and Temporary Threshold Shifts</w:t>
      </w:r>
      <w:r>
        <w:rPr>
          <w:sz w:val="22"/>
          <w:szCs w:val="22"/>
        </w:rPr>
        <w:t xml:space="preserve">. </w:t>
      </w:r>
      <w:r w:rsidRPr="00E93F43">
        <w:rPr>
          <w:sz w:val="22"/>
          <w:szCs w:val="22"/>
        </w:rPr>
        <w:t>National Oceanic and Atmospheric Administration</w:t>
      </w:r>
      <w:r>
        <w:rPr>
          <w:sz w:val="22"/>
          <w:szCs w:val="22"/>
        </w:rPr>
        <w:t>.</w:t>
      </w:r>
    </w:p>
    <w:p w14:paraId="7916AE65" w14:textId="77777777" w:rsidR="00CA0853" w:rsidRDefault="00CA0853" w:rsidP="000B3456">
      <w:pPr>
        <w:pStyle w:val="BodyText"/>
        <w:ind w:left="567" w:hanging="567"/>
        <w:rPr>
          <w:sz w:val="22"/>
          <w:szCs w:val="22"/>
        </w:rPr>
      </w:pPr>
      <w:r w:rsidRPr="0017576C">
        <w:rPr>
          <w:sz w:val="22"/>
          <w:szCs w:val="22"/>
        </w:rPr>
        <w:t>NOO</w:t>
      </w:r>
      <w:r>
        <w:rPr>
          <w:sz w:val="22"/>
          <w:szCs w:val="22"/>
        </w:rPr>
        <w:t>.</w:t>
      </w:r>
      <w:r w:rsidRPr="0017576C">
        <w:rPr>
          <w:sz w:val="22"/>
          <w:szCs w:val="22"/>
        </w:rPr>
        <w:t xml:space="preserve"> 2002</w:t>
      </w:r>
      <w:r>
        <w:rPr>
          <w:sz w:val="22"/>
          <w:szCs w:val="22"/>
        </w:rPr>
        <w:t xml:space="preserve">. Ecosystems - Nature’s Diversity.  The South-East Regional Marine Plan Assessment Reports. National Oceans Office. Hobart. </w:t>
      </w:r>
    </w:p>
    <w:p w14:paraId="762D3FCA" w14:textId="77777777" w:rsidR="00CA0853" w:rsidRDefault="00CA0853" w:rsidP="000B3456">
      <w:pPr>
        <w:pStyle w:val="BodyText"/>
        <w:ind w:left="567" w:hanging="567"/>
        <w:rPr>
          <w:sz w:val="22"/>
          <w:szCs w:val="22"/>
        </w:rPr>
      </w:pPr>
      <w:r>
        <w:rPr>
          <w:sz w:val="22"/>
          <w:szCs w:val="22"/>
        </w:rPr>
        <w:t xml:space="preserve">Nowacek, D. and Southall, B. </w:t>
      </w:r>
      <w:r w:rsidRPr="0062708E">
        <w:rPr>
          <w:sz w:val="22"/>
          <w:szCs w:val="22"/>
        </w:rPr>
        <w:t xml:space="preserve">The </w:t>
      </w:r>
      <w:r>
        <w:rPr>
          <w:sz w:val="22"/>
          <w:szCs w:val="22"/>
        </w:rPr>
        <w:t xml:space="preserve">Effective Planning Strategies for Managing Environmental Risk associated with Geophysical and other Imaging Surveys: A Resource Guide for Managers. International Union for the Conservation of Nature. Gland, Switzerland. </w:t>
      </w:r>
    </w:p>
    <w:p w14:paraId="40F52630" w14:textId="77777777" w:rsidR="00CA0853" w:rsidRPr="00E93F43" w:rsidRDefault="00CA0853" w:rsidP="000B3456">
      <w:pPr>
        <w:pStyle w:val="BodyText"/>
        <w:ind w:left="567" w:hanging="567"/>
        <w:rPr>
          <w:sz w:val="22"/>
          <w:szCs w:val="22"/>
        </w:rPr>
      </w:pPr>
      <w:r w:rsidRPr="00E93F43">
        <w:rPr>
          <w:sz w:val="22"/>
          <w:szCs w:val="22"/>
        </w:rPr>
        <w:t xml:space="preserve">Nowacek, D., Johnson, </w:t>
      </w:r>
      <w:r>
        <w:rPr>
          <w:sz w:val="22"/>
          <w:szCs w:val="22"/>
        </w:rPr>
        <w:t xml:space="preserve">M. </w:t>
      </w:r>
      <w:r w:rsidRPr="00E93F43">
        <w:rPr>
          <w:sz w:val="22"/>
          <w:szCs w:val="22"/>
        </w:rPr>
        <w:t>and Tyack</w:t>
      </w:r>
      <w:r>
        <w:rPr>
          <w:sz w:val="22"/>
          <w:szCs w:val="22"/>
        </w:rPr>
        <w:t>, P.L</w:t>
      </w:r>
      <w:r w:rsidRPr="00E93F43">
        <w:rPr>
          <w:sz w:val="22"/>
          <w:szCs w:val="22"/>
        </w:rPr>
        <w:t>. 2004. North Atlantic right whales (</w:t>
      </w:r>
      <w:r w:rsidRPr="00666A23">
        <w:rPr>
          <w:i/>
          <w:iCs/>
          <w:sz w:val="22"/>
          <w:szCs w:val="22"/>
        </w:rPr>
        <w:t>Eubalaena glacialis</w:t>
      </w:r>
      <w:r w:rsidRPr="00E93F43">
        <w:rPr>
          <w:sz w:val="22"/>
          <w:szCs w:val="22"/>
        </w:rPr>
        <w:t xml:space="preserve">) ignore ships but respond to alarm stimuli. </w:t>
      </w:r>
      <w:r w:rsidRPr="00666A23">
        <w:rPr>
          <w:i/>
          <w:iCs/>
          <w:sz w:val="22"/>
          <w:szCs w:val="22"/>
        </w:rPr>
        <w:t>Proceedings of the Royal Society of London</w:t>
      </w:r>
      <w:r>
        <w:rPr>
          <w:sz w:val="22"/>
          <w:szCs w:val="22"/>
        </w:rPr>
        <w:t xml:space="preserve"> B 271: 227–</w:t>
      </w:r>
      <w:r w:rsidRPr="00E93F43">
        <w:rPr>
          <w:sz w:val="22"/>
          <w:szCs w:val="22"/>
        </w:rPr>
        <w:t>231.</w:t>
      </w:r>
    </w:p>
    <w:p w14:paraId="17C6D861" w14:textId="77777777" w:rsidR="00CA0853" w:rsidRDefault="00CA0853" w:rsidP="000B3456">
      <w:pPr>
        <w:pStyle w:val="BodyText"/>
        <w:ind w:left="567" w:hanging="567"/>
        <w:rPr>
          <w:sz w:val="22"/>
          <w:szCs w:val="22"/>
        </w:rPr>
      </w:pPr>
      <w:r>
        <w:rPr>
          <w:sz w:val="22"/>
          <w:szCs w:val="22"/>
        </w:rPr>
        <w:t>NRC</w:t>
      </w:r>
      <w:r w:rsidRPr="00E93F43">
        <w:rPr>
          <w:sz w:val="22"/>
          <w:szCs w:val="22"/>
        </w:rPr>
        <w:t>. 2003. Ocean Noise and Marine Mammals. National Research Council (U.S.), Ocean Studies Board, Committee on Potential Impacts of Ambient Noise in the Ocean on Marine Mammals. National Research Council</w:t>
      </w:r>
      <w:r>
        <w:rPr>
          <w:sz w:val="22"/>
          <w:szCs w:val="22"/>
        </w:rPr>
        <w:t>.</w:t>
      </w:r>
      <w:r w:rsidRPr="00E93F43">
        <w:rPr>
          <w:sz w:val="22"/>
          <w:szCs w:val="22"/>
        </w:rPr>
        <w:t xml:space="preserve"> The National Academies Press, Washington, DC. </w:t>
      </w:r>
    </w:p>
    <w:p w14:paraId="4267CC04" w14:textId="77777777" w:rsidR="00CA0853" w:rsidRPr="0003554F" w:rsidRDefault="00CA0853" w:rsidP="000B3456">
      <w:pPr>
        <w:pStyle w:val="BodyText"/>
        <w:ind w:left="567" w:hanging="567"/>
        <w:rPr>
          <w:sz w:val="22"/>
          <w:szCs w:val="22"/>
        </w:rPr>
      </w:pPr>
      <w:r w:rsidRPr="0003554F">
        <w:rPr>
          <w:sz w:val="22"/>
          <w:szCs w:val="22"/>
        </w:rPr>
        <w:t>NRDA. 2012. April 2012 Status Update for the Deepwater Horizon Oil Spill. A WWW publication</w:t>
      </w:r>
      <w:r>
        <w:rPr>
          <w:sz w:val="22"/>
          <w:szCs w:val="22"/>
        </w:rPr>
        <w:t xml:space="preserve"> </w:t>
      </w:r>
      <w:r w:rsidRPr="0003554F">
        <w:rPr>
          <w:sz w:val="22"/>
          <w:szCs w:val="22"/>
        </w:rPr>
        <w:t>accessed at: http://ww</w:t>
      </w:r>
      <w:r>
        <w:rPr>
          <w:sz w:val="22"/>
          <w:szCs w:val="22"/>
        </w:rPr>
        <w:t>w.gulfspillrestoration.noaa.gov</w:t>
      </w:r>
      <w:r w:rsidRPr="0003554F">
        <w:rPr>
          <w:sz w:val="22"/>
          <w:szCs w:val="22"/>
        </w:rPr>
        <w:t>. Natural Resource Damage</w:t>
      </w:r>
      <w:r>
        <w:rPr>
          <w:sz w:val="22"/>
          <w:szCs w:val="22"/>
        </w:rPr>
        <w:t xml:space="preserve"> </w:t>
      </w:r>
      <w:r w:rsidRPr="0003554F">
        <w:rPr>
          <w:sz w:val="22"/>
          <w:szCs w:val="22"/>
        </w:rPr>
        <w:t>Assessment</w:t>
      </w:r>
      <w:r>
        <w:rPr>
          <w:sz w:val="22"/>
          <w:szCs w:val="22"/>
        </w:rPr>
        <w:t>.</w:t>
      </w:r>
    </w:p>
    <w:p w14:paraId="230A99EF" w14:textId="77777777" w:rsidR="00CA0853" w:rsidRPr="004A64D1" w:rsidRDefault="00CA0853" w:rsidP="000B3456">
      <w:pPr>
        <w:pStyle w:val="BodyText"/>
        <w:ind w:left="567" w:hanging="567"/>
        <w:rPr>
          <w:sz w:val="22"/>
          <w:szCs w:val="22"/>
        </w:rPr>
      </w:pPr>
      <w:r>
        <w:rPr>
          <w:sz w:val="22"/>
          <w:szCs w:val="22"/>
        </w:rPr>
        <w:t>NSF</w:t>
      </w:r>
      <w:r w:rsidRPr="004A64D1">
        <w:rPr>
          <w:sz w:val="22"/>
          <w:szCs w:val="22"/>
        </w:rPr>
        <w:t xml:space="preserve"> (U.S), U.S. Geological Survey, and National Oceanic and Atmospheric Administration (U.S.). 2011. Final Programmatic Environmental Impact Statement/Overseas. Environmental Impact Statement for Marine Seismic Research Funded by the National Science Foundation or Conducted by the U.S. Geological Survey. National Science Foundation, Arlington, VA.</w:t>
      </w:r>
    </w:p>
    <w:p w14:paraId="68C02F8D" w14:textId="77777777" w:rsidR="00CA0853" w:rsidRDefault="00CA0853" w:rsidP="000B3456">
      <w:pPr>
        <w:pStyle w:val="BodyText"/>
        <w:ind w:left="567" w:hanging="567"/>
        <w:rPr>
          <w:sz w:val="22"/>
          <w:szCs w:val="22"/>
        </w:rPr>
      </w:pPr>
      <w:r>
        <w:rPr>
          <w:sz w:val="22"/>
          <w:szCs w:val="22"/>
        </w:rPr>
        <w:t xml:space="preserve">NSW NPWS. 2003. Nadgee Nature Reserve Plan of Management. A WWW document accessed at </w:t>
      </w:r>
      <w:r w:rsidRPr="00C61CB8">
        <w:rPr>
          <w:sz w:val="22"/>
          <w:szCs w:val="22"/>
        </w:rPr>
        <w:t>www.environment.nsw.gov.au/resources/parks/pomFinalNadgee.pdf</w:t>
      </w:r>
      <w:r>
        <w:rPr>
          <w:sz w:val="22"/>
          <w:szCs w:val="22"/>
        </w:rPr>
        <w:t>. New South Wales National Parks and Wildlife Service. Sydney.</w:t>
      </w:r>
    </w:p>
    <w:p w14:paraId="2FED2A3C" w14:textId="77777777" w:rsidR="00CA0853" w:rsidRDefault="00CA0853" w:rsidP="000B3456">
      <w:pPr>
        <w:pStyle w:val="BodyText"/>
        <w:ind w:left="567" w:hanging="567"/>
        <w:rPr>
          <w:sz w:val="22"/>
          <w:szCs w:val="22"/>
        </w:rPr>
      </w:pPr>
      <w:r>
        <w:rPr>
          <w:sz w:val="22"/>
          <w:szCs w:val="22"/>
        </w:rPr>
        <w:t xml:space="preserve">NSW NPWS. 2010. Ben Boyd National Park and Bell Bird Creek Nature Reserve Plan of Management. A WWW document accessed at </w:t>
      </w:r>
      <w:r w:rsidRPr="004E291A">
        <w:rPr>
          <w:sz w:val="22"/>
          <w:szCs w:val="22"/>
        </w:rPr>
        <w:t>http://www.environment.nsw.gov.au/resources/planmanagement/final/20100979BenBoydBellBirdCreek.pdf</w:t>
      </w:r>
      <w:r>
        <w:rPr>
          <w:sz w:val="22"/>
          <w:szCs w:val="22"/>
        </w:rPr>
        <w:t xml:space="preserve">. New South Wales National Parks and Wildlife Service. Sydney. </w:t>
      </w:r>
    </w:p>
    <w:p w14:paraId="387A1CDC" w14:textId="77777777" w:rsidR="00CA0853" w:rsidRPr="00AF0B16" w:rsidRDefault="00CA0853" w:rsidP="000B3456">
      <w:pPr>
        <w:pStyle w:val="BodyText"/>
        <w:ind w:left="567" w:hanging="567"/>
        <w:rPr>
          <w:sz w:val="22"/>
          <w:szCs w:val="22"/>
        </w:rPr>
      </w:pPr>
      <w:r w:rsidRPr="00AF0B16">
        <w:rPr>
          <w:sz w:val="22"/>
          <w:szCs w:val="22"/>
        </w:rPr>
        <w:t>O'Brian, P. and Dixon, P. 1976. The effects of oils and oil components on algae: A review.</w:t>
      </w:r>
      <w:r>
        <w:rPr>
          <w:sz w:val="22"/>
          <w:szCs w:val="22"/>
        </w:rPr>
        <w:t xml:space="preserve"> </w:t>
      </w:r>
      <w:r w:rsidRPr="00AF0B16">
        <w:rPr>
          <w:i/>
          <w:sz w:val="22"/>
          <w:szCs w:val="22"/>
        </w:rPr>
        <w:t>British Phycological Journal</w:t>
      </w:r>
      <w:r w:rsidRPr="00AF0B16">
        <w:rPr>
          <w:sz w:val="22"/>
          <w:szCs w:val="22"/>
        </w:rPr>
        <w:t xml:space="preserve"> 11:115– 141.</w:t>
      </w:r>
    </w:p>
    <w:p w14:paraId="3FB1EE53" w14:textId="77777777" w:rsidR="00CA0853" w:rsidRPr="00E93F43" w:rsidRDefault="00CA0853" w:rsidP="000B3456">
      <w:pPr>
        <w:pStyle w:val="BodyText"/>
        <w:ind w:left="567" w:hanging="567"/>
        <w:rPr>
          <w:sz w:val="22"/>
          <w:szCs w:val="22"/>
        </w:rPr>
      </w:pPr>
      <w:r w:rsidRPr="00E93F43">
        <w:rPr>
          <w:sz w:val="22"/>
          <w:szCs w:val="22"/>
        </w:rPr>
        <w:t>O'Hara, J. and Wilcox</w:t>
      </w:r>
      <w:r>
        <w:rPr>
          <w:sz w:val="22"/>
          <w:szCs w:val="22"/>
        </w:rPr>
        <w:t>, J.R</w:t>
      </w:r>
      <w:r w:rsidRPr="00E93F43">
        <w:rPr>
          <w:sz w:val="22"/>
          <w:szCs w:val="22"/>
        </w:rPr>
        <w:t xml:space="preserve">. 1990. Avoidance responses of loggerhead turtles, </w:t>
      </w:r>
      <w:r w:rsidRPr="00666A23">
        <w:rPr>
          <w:i/>
          <w:iCs/>
          <w:sz w:val="22"/>
          <w:szCs w:val="22"/>
        </w:rPr>
        <w:t>Caretta caretta</w:t>
      </w:r>
      <w:r w:rsidRPr="00E93F43">
        <w:rPr>
          <w:sz w:val="22"/>
          <w:szCs w:val="22"/>
        </w:rPr>
        <w:t xml:space="preserve">, to low frequency sound. </w:t>
      </w:r>
      <w:r w:rsidRPr="00666A23">
        <w:rPr>
          <w:i/>
          <w:iCs/>
          <w:sz w:val="22"/>
          <w:szCs w:val="22"/>
        </w:rPr>
        <w:t>Copeia</w:t>
      </w:r>
      <w:r w:rsidRPr="00E93F43">
        <w:rPr>
          <w:sz w:val="22"/>
          <w:szCs w:val="22"/>
        </w:rPr>
        <w:t xml:space="preserve"> 2: 564-567. </w:t>
      </w:r>
    </w:p>
    <w:p w14:paraId="2810CE28" w14:textId="77777777" w:rsidR="00CA0853" w:rsidRPr="00D86EC2" w:rsidRDefault="00CA0853" w:rsidP="000B3456">
      <w:pPr>
        <w:pStyle w:val="BodyText"/>
        <w:ind w:left="567" w:hanging="567"/>
        <w:rPr>
          <w:sz w:val="22"/>
          <w:szCs w:val="22"/>
        </w:rPr>
      </w:pPr>
      <w:r w:rsidRPr="00D86EC2">
        <w:rPr>
          <w:sz w:val="22"/>
          <w:szCs w:val="22"/>
        </w:rPr>
        <w:t xml:space="preserve">Oil &amp; Gas UK. 2014. Guidance on Risk Related Decision Making. Issue 2, July 2014. Oil &amp; Gas UK. London. </w:t>
      </w:r>
    </w:p>
    <w:p w14:paraId="27C18C81" w14:textId="77777777" w:rsidR="00CA0853" w:rsidRPr="00A673C5" w:rsidRDefault="00CA0853" w:rsidP="000B3456">
      <w:pPr>
        <w:pStyle w:val="BodyText"/>
        <w:ind w:left="567" w:hanging="567"/>
        <w:rPr>
          <w:sz w:val="22"/>
          <w:szCs w:val="22"/>
        </w:rPr>
      </w:pPr>
      <w:r w:rsidRPr="00A673C5">
        <w:rPr>
          <w:sz w:val="22"/>
          <w:szCs w:val="22"/>
        </w:rPr>
        <w:t xml:space="preserve">OMV. 2001. Patricia Baleen Gas Field Development. </w:t>
      </w:r>
      <w:r w:rsidRPr="00137C62">
        <w:rPr>
          <w:sz w:val="22"/>
          <w:szCs w:val="22"/>
        </w:rPr>
        <w:t xml:space="preserve">Environment Effects Statement-Public Environment Report. </w:t>
      </w:r>
      <w:r w:rsidRPr="00A673C5">
        <w:rPr>
          <w:sz w:val="22"/>
          <w:szCs w:val="22"/>
        </w:rPr>
        <w:t xml:space="preserve">OMV Australia Pty Ltd. </w:t>
      </w:r>
    </w:p>
    <w:p w14:paraId="4737FEA4" w14:textId="77777777" w:rsidR="00CA0853" w:rsidRPr="00B81FDB" w:rsidRDefault="00CA0853" w:rsidP="000B3456">
      <w:pPr>
        <w:pStyle w:val="BodyText"/>
        <w:ind w:left="567" w:hanging="567"/>
        <w:rPr>
          <w:sz w:val="22"/>
          <w:szCs w:val="22"/>
        </w:rPr>
      </w:pPr>
      <w:r w:rsidRPr="00A673C5">
        <w:rPr>
          <w:sz w:val="22"/>
          <w:szCs w:val="22"/>
        </w:rPr>
        <w:t>OMV. 2003.  Sole Development (Patricia Baleen Extension). Environment Effects Statement Supplementary Report to the Patricia Baleen Gas Field Development EES-PER. OMV Australia Pty Ltd.</w:t>
      </w:r>
    </w:p>
    <w:p w14:paraId="4A30A1E2" w14:textId="77777777" w:rsidR="00CA0853" w:rsidRPr="00425C7C" w:rsidRDefault="00CA0853" w:rsidP="000B3456">
      <w:pPr>
        <w:pStyle w:val="BodyText"/>
        <w:ind w:left="567" w:hanging="567"/>
        <w:rPr>
          <w:sz w:val="22"/>
          <w:szCs w:val="22"/>
        </w:rPr>
      </w:pPr>
      <w:r w:rsidRPr="00425C7C">
        <w:rPr>
          <w:sz w:val="22"/>
          <w:szCs w:val="22"/>
        </w:rPr>
        <w:t>Oritsland, N.A. 1975. Insulation in marine mammals: the effect of crude oil on ringed seal pelts.</w:t>
      </w:r>
      <w:r>
        <w:rPr>
          <w:sz w:val="22"/>
          <w:szCs w:val="22"/>
        </w:rPr>
        <w:t xml:space="preserve"> </w:t>
      </w:r>
      <w:r w:rsidRPr="00425C7C">
        <w:rPr>
          <w:sz w:val="22"/>
          <w:szCs w:val="22"/>
        </w:rPr>
        <w:t>pp. 48-67. In</w:t>
      </w:r>
      <w:r>
        <w:rPr>
          <w:sz w:val="22"/>
          <w:szCs w:val="22"/>
        </w:rPr>
        <w:t>:</w:t>
      </w:r>
      <w:r w:rsidRPr="00425C7C">
        <w:rPr>
          <w:sz w:val="22"/>
          <w:szCs w:val="22"/>
        </w:rPr>
        <w:t xml:space="preserve"> The Effect of Contact and Ingestion of Crude Oil on Ringed Seals of the</w:t>
      </w:r>
      <w:r>
        <w:rPr>
          <w:sz w:val="22"/>
          <w:szCs w:val="22"/>
        </w:rPr>
        <w:t xml:space="preserve"> </w:t>
      </w:r>
      <w:r w:rsidRPr="00425C7C">
        <w:rPr>
          <w:sz w:val="22"/>
          <w:szCs w:val="22"/>
        </w:rPr>
        <w:t xml:space="preserve">Beaufort Sea. T.G. Smith and J.R. Geraci (eds.). Beaufort </w:t>
      </w:r>
      <w:r w:rsidRPr="00425C7C">
        <w:rPr>
          <w:sz w:val="22"/>
          <w:szCs w:val="22"/>
        </w:rPr>
        <w:lastRenderedPageBreak/>
        <w:t xml:space="preserve">Sea Project. </w:t>
      </w:r>
      <w:r w:rsidRPr="00211C1D">
        <w:rPr>
          <w:i/>
          <w:sz w:val="22"/>
          <w:szCs w:val="22"/>
        </w:rPr>
        <w:t>Inst. of Ocean Sci</w:t>
      </w:r>
      <w:r w:rsidRPr="00425C7C">
        <w:rPr>
          <w:sz w:val="22"/>
          <w:szCs w:val="22"/>
        </w:rPr>
        <w:t>.</w:t>
      </w:r>
      <w:r>
        <w:rPr>
          <w:sz w:val="22"/>
          <w:szCs w:val="22"/>
        </w:rPr>
        <w:t xml:space="preserve"> </w:t>
      </w:r>
      <w:r w:rsidRPr="00425C7C">
        <w:rPr>
          <w:sz w:val="22"/>
          <w:szCs w:val="22"/>
        </w:rPr>
        <w:t>Sidney, British Columbia. Technical Report No. 5.</w:t>
      </w:r>
    </w:p>
    <w:p w14:paraId="46BF3FCE" w14:textId="77777777" w:rsidR="00CA0853" w:rsidRPr="001B2D53" w:rsidRDefault="00CA0853" w:rsidP="000B3456">
      <w:pPr>
        <w:pStyle w:val="BodyText"/>
        <w:ind w:left="567" w:hanging="567"/>
        <w:rPr>
          <w:sz w:val="22"/>
          <w:szCs w:val="22"/>
        </w:rPr>
      </w:pPr>
      <w:r w:rsidRPr="001B2D53">
        <w:rPr>
          <w:sz w:val="22"/>
          <w:szCs w:val="22"/>
        </w:rPr>
        <w:t xml:space="preserve">Pade, N., Queiroz, </w:t>
      </w:r>
      <w:r>
        <w:rPr>
          <w:sz w:val="22"/>
          <w:szCs w:val="22"/>
        </w:rPr>
        <w:t xml:space="preserve">N., </w:t>
      </w:r>
      <w:r w:rsidRPr="001B2D53">
        <w:rPr>
          <w:sz w:val="22"/>
          <w:szCs w:val="22"/>
        </w:rPr>
        <w:t xml:space="preserve">Humphries, </w:t>
      </w:r>
      <w:r>
        <w:rPr>
          <w:sz w:val="22"/>
          <w:szCs w:val="22"/>
        </w:rPr>
        <w:t xml:space="preserve">N., </w:t>
      </w:r>
      <w:r w:rsidRPr="001B2D53">
        <w:rPr>
          <w:sz w:val="22"/>
          <w:szCs w:val="22"/>
        </w:rPr>
        <w:t xml:space="preserve">Witt, </w:t>
      </w:r>
      <w:r>
        <w:rPr>
          <w:sz w:val="22"/>
          <w:szCs w:val="22"/>
        </w:rPr>
        <w:t xml:space="preserve">M., </w:t>
      </w:r>
      <w:r w:rsidRPr="001B2D53">
        <w:rPr>
          <w:sz w:val="22"/>
          <w:szCs w:val="22"/>
        </w:rPr>
        <w:t xml:space="preserve">Jones, </w:t>
      </w:r>
      <w:r>
        <w:rPr>
          <w:sz w:val="22"/>
          <w:szCs w:val="22"/>
        </w:rPr>
        <w:t xml:space="preserve">C., </w:t>
      </w:r>
      <w:r w:rsidRPr="001B2D53">
        <w:rPr>
          <w:sz w:val="22"/>
          <w:szCs w:val="22"/>
        </w:rPr>
        <w:t>Noble</w:t>
      </w:r>
      <w:r>
        <w:rPr>
          <w:sz w:val="22"/>
          <w:szCs w:val="22"/>
        </w:rPr>
        <w:t>, L.</w:t>
      </w:r>
      <w:r w:rsidRPr="001B2D53">
        <w:rPr>
          <w:sz w:val="22"/>
          <w:szCs w:val="22"/>
        </w:rPr>
        <w:t xml:space="preserve"> </w:t>
      </w:r>
      <w:r>
        <w:rPr>
          <w:sz w:val="22"/>
          <w:szCs w:val="22"/>
        </w:rPr>
        <w:t>and</w:t>
      </w:r>
      <w:r w:rsidRPr="001B2D53">
        <w:rPr>
          <w:sz w:val="22"/>
          <w:szCs w:val="22"/>
        </w:rPr>
        <w:t xml:space="preserve"> Sims</w:t>
      </w:r>
      <w:r>
        <w:rPr>
          <w:sz w:val="22"/>
          <w:szCs w:val="22"/>
        </w:rPr>
        <w:t>, D.</w:t>
      </w:r>
      <w:r w:rsidRPr="001B2D53">
        <w:rPr>
          <w:sz w:val="22"/>
          <w:szCs w:val="22"/>
        </w:rPr>
        <w:t xml:space="preserve"> 2009. First results from satellite-linked archival tagging of Porbeagle shark, </w:t>
      </w:r>
      <w:r w:rsidRPr="00D77E6D">
        <w:rPr>
          <w:i/>
          <w:sz w:val="22"/>
          <w:szCs w:val="22"/>
        </w:rPr>
        <w:t>Lamna nasus</w:t>
      </w:r>
      <w:r w:rsidRPr="001B2D53">
        <w:rPr>
          <w:sz w:val="22"/>
          <w:szCs w:val="22"/>
        </w:rPr>
        <w:t xml:space="preserve">: area fidelity, wider-scale movements and plasticity in diel depth changes. </w:t>
      </w:r>
      <w:r w:rsidRPr="00D77E6D">
        <w:rPr>
          <w:i/>
          <w:sz w:val="22"/>
          <w:szCs w:val="22"/>
        </w:rPr>
        <w:t>Journal of Experimental Marine Biology and Ecology</w:t>
      </w:r>
      <w:r w:rsidRPr="001B2D53">
        <w:rPr>
          <w:sz w:val="22"/>
          <w:szCs w:val="22"/>
        </w:rPr>
        <w:t>. 370:64-74.</w:t>
      </w:r>
    </w:p>
    <w:p w14:paraId="31FFA079" w14:textId="77777777" w:rsidR="00CA0853" w:rsidRPr="00E93F43" w:rsidRDefault="00CA0853" w:rsidP="000B3456">
      <w:pPr>
        <w:pStyle w:val="BodyText"/>
        <w:ind w:left="567" w:hanging="567"/>
        <w:rPr>
          <w:sz w:val="22"/>
          <w:szCs w:val="22"/>
        </w:rPr>
      </w:pPr>
      <w:r w:rsidRPr="00E93F43">
        <w:rPr>
          <w:sz w:val="22"/>
          <w:szCs w:val="22"/>
        </w:rPr>
        <w:t xml:space="preserve">Parks, S.E., Clark, </w:t>
      </w:r>
      <w:r>
        <w:rPr>
          <w:sz w:val="22"/>
          <w:szCs w:val="22"/>
        </w:rPr>
        <w:t xml:space="preserve">C.W. </w:t>
      </w:r>
      <w:r w:rsidRPr="00E93F43">
        <w:rPr>
          <w:sz w:val="22"/>
          <w:szCs w:val="22"/>
        </w:rPr>
        <w:t>and Tyack</w:t>
      </w:r>
      <w:r>
        <w:rPr>
          <w:sz w:val="22"/>
          <w:szCs w:val="22"/>
        </w:rPr>
        <w:t>, P.L</w:t>
      </w:r>
      <w:r w:rsidRPr="00E93F43">
        <w:rPr>
          <w:sz w:val="22"/>
          <w:szCs w:val="22"/>
        </w:rPr>
        <w:t xml:space="preserve">. 2007. Short-and long-term changes in right whale calling behavior: The potential effects of noise on acoustic communication. </w:t>
      </w:r>
      <w:r w:rsidRPr="00666A23">
        <w:rPr>
          <w:i/>
          <w:iCs/>
          <w:sz w:val="22"/>
          <w:szCs w:val="22"/>
        </w:rPr>
        <w:t>Journal of the Acoustical Society of America</w:t>
      </w:r>
      <w:r w:rsidRPr="00E93F43">
        <w:rPr>
          <w:sz w:val="22"/>
          <w:szCs w:val="22"/>
        </w:rPr>
        <w:t xml:space="preserve"> 122(6): 3725-3731.</w:t>
      </w:r>
    </w:p>
    <w:p w14:paraId="36BC053E" w14:textId="77777777" w:rsidR="00CA0853" w:rsidRDefault="00CA0853" w:rsidP="000B3456">
      <w:pPr>
        <w:pStyle w:val="BodyText"/>
        <w:ind w:left="567" w:hanging="567"/>
        <w:rPr>
          <w:sz w:val="22"/>
          <w:szCs w:val="22"/>
        </w:rPr>
      </w:pPr>
      <w:r>
        <w:rPr>
          <w:sz w:val="22"/>
          <w:szCs w:val="22"/>
        </w:rPr>
        <w:t>ParksVic. 1998. The Lakes National Park and Gippsland Lakes Coastal Park Management Plan.</w:t>
      </w:r>
      <w:r w:rsidRPr="00413077">
        <w:rPr>
          <w:color w:val="808080"/>
          <w:sz w:val="22"/>
          <w:szCs w:val="22"/>
        </w:rPr>
        <w:t xml:space="preserve"> </w:t>
      </w:r>
      <w:r>
        <w:rPr>
          <w:sz w:val="22"/>
          <w:szCs w:val="22"/>
        </w:rPr>
        <w:t>Parks Victoria. Kew.</w:t>
      </w:r>
    </w:p>
    <w:p w14:paraId="6621F9B5" w14:textId="77777777" w:rsidR="00CA0853" w:rsidRDefault="00CA0853" w:rsidP="000B3456">
      <w:pPr>
        <w:pStyle w:val="BodyText"/>
        <w:ind w:left="567" w:hanging="567"/>
        <w:rPr>
          <w:sz w:val="22"/>
          <w:szCs w:val="22"/>
        </w:rPr>
      </w:pPr>
      <w:r w:rsidRPr="00A26A8F">
        <w:rPr>
          <w:sz w:val="22"/>
          <w:szCs w:val="22"/>
        </w:rPr>
        <w:t xml:space="preserve">ParksVic. 1999. Information Sheet on Ramsar Wetlands (Ramsar Information Sheet) Gippsland Lakes. </w:t>
      </w:r>
      <w:r>
        <w:rPr>
          <w:sz w:val="22"/>
          <w:szCs w:val="22"/>
        </w:rPr>
        <w:t xml:space="preserve">A WWW document accessed at </w:t>
      </w:r>
      <w:hyperlink r:id="rId336" w:history="1">
        <w:r w:rsidRPr="00A26A8F">
          <w:rPr>
            <w:sz w:val="22"/>
            <w:szCs w:val="22"/>
          </w:rPr>
          <w:t>http://www.environment.gov.au/water/topics/wetlands/database/pubs/21-ris.pdf</w:t>
        </w:r>
      </w:hyperlink>
      <w:r w:rsidRPr="00A26A8F">
        <w:rPr>
          <w:sz w:val="22"/>
          <w:szCs w:val="22"/>
        </w:rPr>
        <w:t>.</w:t>
      </w:r>
      <w:r>
        <w:rPr>
          <w:sz w:val="22"/>
          <w:szCs w:val="22"/>
        </w:rPr>
        <w:t xml:space="preserve"> Parks Victoria. Kew. </w:t>
      </w:r>
    </w:p>
    <w:p w14:paraId="40757AF5" w14:textId="77777777" w:rsidR="00CA0853" w:rsidRPr="00A26A8F" w:rsidRDefault="00CA0853" w:rsidP="000B3456">
      <w:pPr>
        <w:pStyle w:val="BodyText"/>
        <w:ind w:left="567" w:hanging="567"/>
        <w:rPr>
          <w:sz w:val="22"/>
          <w:szCs w:val="22"/>
        </w:rPr>
      </w:pPr>
      <w:r w:rsidRPr="00A26A8F">
        <w:rPr>
          <w:sz w:val="22"/>
          <w:szCs w:val="22"/>
        </w:rPr>
        <w:t>ParksVic. 2002. Corner Inlet Ramsar Site Strategic Management Plan.  Department of Sustainability and Environment. East Melbourne.</w:t>
      </w:r>
    </w:p>
    <w:p w14:paraId="75FAD98D" w14:textId="77777777" w:rsidR="00CA0853" w:rsidRDefault="00CA0853" w:rsidP="000B3456">
      <w:pPr>
        <w:pStyle w:val="BodyText"/>
        <w:ind w:left="567" w:hanging="567"/>
        <w:rPr>
          <w:sz w:val="22"/>
          <w:szCs w:val="22"/>
        </w:rPr>
      </w:pPr>
      <w:r w:rsidRPr="00A26A8F">
        <w:rPr>
          <w:sz w:val="22"/>
          <w:szCs w:val="22"/>
        </w:rPr>
        <w:t xml:space="preserve">ParksVic. 2003. Gippsland Lakes Ramsar Site Strategic Management Plan. Department of Sustainability and Environment. East Melbourne. </w:t>
      </w:r>
    </w:p>
    <w:p w14:paraId="3378DA2E" w14:textId="77777777" w:rsidR="00CA0853" w:rsidRPr="00A26A8F" w:rsidRDefault="00CA0853" w:rsidP="000B3456">
      <w:pPr>
        <w:pStyle w:val="BodyText"/>
        <w:ind w:left="567" w:hanging="567"/>
        <w:rPr>
          <w:sz w:val="22"/>
          <w:szCs w:val="22"/>
        </w:rPr>
      </w:pPr>
      <w:r>
        <w:rPr>
          <w:sz w:val="22"/>
          <w:szCs w:val="22"/>
        </w:rPr>
        <w:t>ParksVic. 2005. Cape Conran Coastal Park Management Plan. Parks Victoria. Kew.</w:t>
      </w:r>
    </w:p>
    <w:p w14:paraId="3E56D62D" w14:textId="77777777" w:rsidR="00CA0853" w:rsidRDefault="00CA0853" w:rsidP="000B3456">
      <w:pPr>
        <w:pStyle w:val="BodyText"/>
        <w:ind w:left="567" w:hanging="567"/>
        <w:rPr>
          <w:sz w:val="22"/>
          <w:szCs w:val="22"/>
        </w:rPr>
      </w:pPr>
      <w:r>
        <w:rPr>
          <w:sz w:val="22"/>
          <w:szCs w:val="22"/>
        </w:rPr>
        <w:t xml:space="preserve">ParksVic. 2006a. </w:t>
      </w:r>
      <w:r w:rsidRPr="00646E12">
        <w:rPr>
          <w:sz w:val="22"/>
          <w:szCs w:val="22"/>
        </w:rPr>
        <w:t>Ninety Mile Beach Marine</w:t>
      </w:r>
      <w:r>
        <w:rPr>
          <w:sz w:val="22"/>
          <w:szCs w:val="22"/>
        </w:rPr>
        <w:t xml:space="preserve"> National Park Management Plan. A WWW document accessed at </w:t>
      </w:r>
      <w:r w:rsidRPr="00646E12">
        <w:rPr>
          <w:sz w:val="22"/>
          <w:szCs w:val="22"/>
        </w:rPr>
        <w:t>http://parkweb.vic.gov.au/__data/assets/pdf_file/0004/</w:t>
      </w:r>
      <w:r>
        <w:rPr>
          <w:sz w:val="22"/>
          <w:szCs w:val="22"/>
        </w:rPr>
        <w:br/>
      </w:r>
      <w:r w:rsidRPr="00646E12">
        <w:rPr>
          <w:sz w:val="22"/>
          <w:szCs w:val="22"/>
        </w:rPr>
        <w:t xml:space="preserve">313366/Ninety-Mile-Beach-Marine-National-Park-Management-Plan.pdf </w:t>
      </w:r>
      <w:r>
        <w:rPr>
          <w:sz w:val="22"/>
          <w:szCs w:val="22"/>
        </w:rPr>
        <w:t>Parks Victoria. Kew.</w:t>
      </w:r>
    </w:p>
    <w:p w14:paraId="2463506B" w14:textId="77777777" w:rsidR="00CA0853" w:rsidRDefault="00CA0853" w:rsidP="000B3456">
      <w:pPr>
        <w:pStyle w:val="BodyText"/>
        <w:ind w:left="567" w:hanging="567"/>
        <w:rPr>
          <w:sz w:val="22"/>
          <w:szCs w:val="22"/>
        </w:rPr>
      </w:pPr>
      <w:r>
        <w:rPr>
          <w:sz w:val="22"/>
          <w:szCs w:val="22"/>
        </w:rPr>
        <w:t xml:space="preserve">ParksVic. 2006b. Beware Reef Marine Sanctuary Management Plan. A WWW document accessed at </w:t>
      </w:r>
      <w:r w:rsidRPr="002270F1">
        <w:rPr>
          <w:sz w:val="22"/>
          <w:szCs w:val="22"/>
        </w:rPr>
        <w:t>http://parkweb.vic.gov.au/__data/assets/pdf_file/0013/</w:t>
      </w:r>
      <w:r>
        <w:rPr>
          <w:sz w:val="22"/>
          <w:szCs w:val="22"/>
        </w:rPr>
        <w:br/>
      </w:r>
      <w:r w:rsidRPr="002270F1">
        <w:rPr>
          <w:sz w:val="22"/>
          <w:szCs w:val="22"/>
        </w:rPr>
        <w:t>313240/Beware-Reef-Marine-Sanctuary-Management-Plan.pdf</w:t>
      </w:r>
      <w:r>
        <w:rPr>
          <w:sz w:val="22"/>
          <w:szCs w:val="22"/>
        </w:rPr>
        <w:t>. Parks Victoria. Kew.</w:t>
      </w:r>
    </w:p>
    <w:p w14:paraId="1110EB12" w14:textId="77777777" w:rsidR="00CA0853" w:rsidRDefault="00CA0853" w:rsidP="000B3456">
      <w:pPr>
        <w:pStyle w:val="BodyText"/>
        <w:ind w:left="567" w:hanging="567"/>
        <w:rPr>
          <w:sz w:val="22"/>
          <w:szCs w:val="22"/>
        </w:rPr>
      </w:pPr>
      <w:r>
        <w:rPr>
          <w:sz w:val="22"/>
          <w:szCs w:val="22"/>
        </w:rPr>
        <w:t xml:space="preserve">ParksVic. 2006c. Point Hicks Marine National Park Management Plan. A WWW document accessed at </w:t>
      </w:r>
      <w:r w:rsidRPr="002270F1">
        <w:rPr>
          <w:sz w:val="22"/>
          <w:szCs w:val="22"/>
        </w:rPr>
        <w:t>http://parkweb.vic.gov.au/__data/assets/pdf_file/0018/</w:t>
      </w:r>
      <w:r>
        <w:rPr>
          <w:sz w:val="22"/>
          <w:szCs w:val="22"/>
        </w:rPr>
        <w:br/>
      </w:r>
      <w:r w:rsidRPr="002270F1">
        <w:rPr>
          <w:sz w:val="22"/>
          <w:szCs w:val="22"/>
        </w:rPr>
        <w:t>313371/Point-Hicks-Marine-National-Park-Management-Plan-March-2006.pdf</w:t>
      </w:r>
      <w:r>
        <w:rPr>
          <w:sz w:val="22"/>
          <w:szCs w:val="22"/>
        </w:rPr>
        <w:t xml:space="preserve">. </w:t>
      </w:r>
      <w:r w:rsidRPr="002270F1">
        <w:rPr>
          <w:sz w:val="22"/>
          <w:szCs w:val="22"/>
        </w:rPr>
        <w:t xml:space="preserve"> </w:t>
      </w:r>
      <w:r>
        <w:rPr>
          <w:sz w:val="22"/>
          <w:szCs w:val="22"/>
        </w:rPr>
        <w:t>Parks Victoria. Kew.</w:t>
      </w:r>
    </w:p>
    <w:p w14:paraId="5116CEFB" w14:textId="77777777" w:rsidR="00CA0853" w:rsidRDefault="00CA0853" w:rsidP="000B3456">
      <w:pPr>
        <w:pStyle w:val="BodyText"/>
        <w:ind w:left="567" w:hanging="567"/>
        <w:rPr>
          <w:sz w:val="22"/>
          <w:szCs w:val="22"/>
        </w:rPr>
      </w:pPr>
      <w:r>
        <w:rPr>
          <w:sz w:val="22"/>
          <w:szCs w:val="22"/>
        </w:rPr>
        <w:t xml:space="preserve">ParksVic. 2006d. Cape Howe Marine National Park Management Plan. A WWW document accessed at </w:t>
      </w:r>
      <w:r w:rsidRPr="00393467">
        <w:rPr>
          <w:sz w:val="22"/>
          <w:szCs w:val="22"/>
        </w:rPr>
        <w:t>http://parkweb.vic.gov.au/__data/assets/pdf_file/0015/</w:t>
      </w:r>
      <w:r>
        <w:rPr>
          <w:sz w:val="22"/>
          <w:szCs w:val="22"/>
        </w:rPr>
        <w:br/>
      </w:r>
      <w:r w:rsidRPr="00393467">
        <w:rPr>
          <w:sz w:val="22"/>
          <w:szCs w:val="22"/>
        </w:rPr>
        <w:t xml:space="preserve">313251/Cape-Howe-Marine-National-Park-Management-Plan.pdf </w:t>
      </w:r>
      <w:r>
        <w:rPr>
          <w:sz w:val="22"/>
          <w:szCs w:val="22"/>
        </w:rPr>
        <w:t>Parks Victoria. Kew.</w:t>
      </w:r>
    </w:p>
    <w:p w14:paraId="730F4AEC" w14:textId="77777777" w:rsidR="00CA0853" w:rsidRPr="0017576C" w:rsidRDefault="00CA0853" w:rsidP="000B3456">
      <w:pPr>
        <w:pStyle w:val="BodyText"/>
        <w:ind w:left="567" w:hanging="567"/>
        <w:rPr>
          <w:sz w:val="22"/>
          <w:szCs w:val="22"/>
        </w:rPr>
      </w:pPr>
      <w:r w:rsidRPr="00F03EB6">
        <w:rPr>
          <w:sz w:val="22"/>
          <w:szCs w:val="22"/>
        </w:rPr>
        <w:t xml:space="preserve">ParksVic. 2017. </w:t>
      </w:r>
      <w:r>
        <w:rPr>
          <w:sz w:val="22"/>
          <w:szCs w:val="22"/>
        </w:rPr>
        <w:t xml:space="preserve">Marine pests. A WWW database accessed at </w:t>
      </w:r>
      <w:r w:rsidRPr="00F03EB6">
        <w:rPr>
          <w:sz w:val="22"/>
          <w:szCs w:val="22"/>
        </w:rPr>
        <w:t>http://parkweb.vic.gov.au/park-management/environment/weeds-and-pests/marine-pests</w:t>
      </w:r>
      <w:r>
        <w:rPr>
          <w:sz w:val="22"/>
          <w:szCs w:val="22"/>
        </w:rPr>
        <w:t xml:space="preserve">. Parks Victoria. Kew. </w:t>
      </w:r>
    </w:p>
    <w:p w14:paraId="2CBA3479" w14:textId="77777777" w:rsidR="00CA0853" w:rsidRPr="000B6CC5" w:rsidRDefault="00CA0853" w:rsidP="000B3456">
      <w:pPr>
        <w:pStyle w:val="BodyText"/>
        <w:ind w:left="567" w:hanging="567"/>
        <w:rPr>
          <w:sz w:val="22"/>
          <w:szCs w:val="22"/>
        </w:rPr>
      </w:pPr>
      <w:r w:rsidRPr="000B6CC5">
        <w:rPr>
          <w:sz w:val="22"/>
          <w:szCs w:val="22"/>
        </w:rPr>
        <w:t xml:space="preserve">Parry, G.D. and Gason, A. 2006. The Effect of Seismic Surveys on Catch Rates of Rock Lobsters in Western Victoria, Australia. </w:t>
      </w:r>
      <w:r w:rsidRPr="000B6CC5">
        <w:rPr>
          <w:i/>
          <w:sz w:val="22"/>
          <w:szCs w:val="22"/>
        </w:rPr>
        <w:t>Fisheries Research</w:t>
      </w:r>
      <w:r w:rsidRPr="000B6CC5">
        <w:rPr>
          <w:sz w:val="22"/>
          <w:szCs w:val="22"/>
        </w:rPr>
        <w:t xml:space="preserve"> 79(2006): 272-284.</w:t>
      </w:r>
    </w:p>
    <w:p w14:paraId="7E7BDFCB" w14:textId="77777777" w:rsidR="00CA0853" w:rsidRPr="000B6CC5" w:rsidRDefault="00CA0853" w:rsidP="000B3456">
      <w:pPr>
        <w:pStyle w:val="BodyText"/>
        <w:ind w:left="567" w:hanging="567"/>
        <w:rPr>
          <w:sz w:val="22"/>
          <w:szCs w:val="22"/>
        </w:rPr>
      </w:pPr>
      <w:r w:rsidRPr="000B6CC5">
        <w:rPr>
          <w:sz w:val="22"/>
          <w:szCs w:val="22"/>
        </w:rPr>
        <w:t xml:space="preserve">Parry, G.D., Heislers, S., Werner, G.F. and Asplin, M.D. 2002. Assessment of environmental effects of seismic testing on scallop fisheries in Bass Strait. </w:t>
      </w:r>
      <w:r w:rsidRPr="000B6CC5">
        <w:rPr>
          <w:sz w:val="22"/>
          <w:szCs w:val="22"/>
        </w:rPr>
        <w:lastRenderedPageBreak/>
        <w:t>Marine and Freshwater Resources Institute Report No. 50. Marine and Freshwater Resources Institute, Queenscliff.</w:t>
      </w:r>
    </w:p>
    <w:p w14:paraId="714566C7" w14:textId="77777777" w:rsidR="00CA0853" w:rsidRPr="00C03018" w:rsidRDefault="00CA0853" w:rsidP="000B3456">
      <w:pPr>
        <w:pStyle w:val="BodyText"/>
        <w:ind w:left="567" w:hanging="567"/>
        <w:rPr>
          <w:sz w:val="22"/>
          <w:szCs w:val="22"/>
        </w:rPr>
      </w:pPr>
      <w:r w:rsidRPr="00C03018">
        <w:rPr>
          <w:sz w:val="22"/>
          <w:szCs w:val="22"/>
        </w:rPr>
        <w:t xml:space="preserve">Parsons, M. and Duncan, A. 2009. Underwater Sound Exposure Predictions for the Speculant 3D Transition Zone Seismic Survey, Report C2009-30, Centre for Marine Science and Technology. Curtin University, Perth. </w:t>
      </w:r>
    </w:p>
    <w:p w14:paraId="0E84E033" w14:textId="77777777" w:rsidR="00CA0853" w:rsidRPr="000B6CC5" w:rsidRDefault="00CA0853" w:rsidP="000B3456">
      <w:pPr>
        <w:pStyle w:val="BodyText"/>
        <w:ind w:left="567" w:hanging="567"/>
        <w:rPr>
          <w:sz w:val="22"/>
          <w:szCs w:val="22"/>
        </w:rPr>
      </w:pPr>
      <w:r w:rsidRPr="000B6CC5">
        <w:rPr>
          <w:sz w:val="22"/>
          <w:szCs w:val="22"/>
        </w:rPr>
        <w:t>Parvin S.J., Nedwell, J.R. and Harland, E. 2007. Lethal and physical injury of marine mammals, and requirements for Passive Acoustic Monitoring. Subacoustech Report Reference: 565R0212, February 2007, Submitted to the UK DTI, 1 Victoria Street, London, SW1H 0ET. Published by the UK Department of Business, Enterprise and Regulatory Reform.</w:t>
      </w:r>
    </w:p>
    <w:p w14:paraId="1A99BA67" w14:textId="77777777" w:rsidR="00CA0853" w:rsidRPr="00845BDA" w:rsidRDefault="00CA0853" w:rsidP="000B3456">
      <w:pPr>
        <w:pStyle w:val="BodyText"/>
        <w:ind w:left="567" w:hanging="567"/>
        <w:rPr>
          <w:sz w:val="22"/>
          <w:szCs w:val="22"/>
        </w:rPr>
      </w:pPr>
      <w:r w:rsidRPr="00845BDA">
        <w:rPr>
          <w:sz w:val="22"/>
          <w:szCs w:val="22"/>
        </w:rPr>
        <w:t>Parvin, S. 2005. Limits for underwater noise exposure of human divers and swimmers. Subacoustech. Presented at the National Physics Laboratory Seminar on Underwater Acoustics, Teddington, UK, October 2005. A WWW document accessed at http://www.subacoustech.com/information/downloads/reports/NPLDiverNoisePresentation.pdf</w:t>
      </w:r>
    </w:p>
    <w:p w14:paraId="1690CBE6" w14:textId="77777777" w:rsidR="00CA0853" w:rsidRPr="003B676E" w:rsidRDefault="00CA0853" w:rsidP="000B3456">
      <w:pPr>
        <w:pStyle w:val="BodyText"/>
        <w:ind w:left="567" w:hanging="567"/>
        <w:rPr>
          <w:sz w:val="22"/>
          <w:szCs w:val="22"/>
        </w:rPr>
      </w:pPr>
      <w:r w:rsidRPr="003B676E">
        <w:rPr>
          <w:sz w:val="22"/>
          <w:szCs w:val="22"/>
        </w:rPr>
        <w:t xml:space="preserve">Parvin, S.J. 1998. The effects of low frequency underwater sound on divers. </w:t>
      </w:r>
      <w:r w:rsidRPr="003B676E">
        <w:rPr>
          <w:i/>
          <w:iCs/>
          <w:sz w:val="22"/>
          <w:szCs w:val="22"/>
        </w:rPr>
        <w:t>Undersea Defence Technology</w:t>
      </w:r>
      <w:r>
        <w:rPr>
          <w:sz w:val="22"/>
          <w:szCs w:val="22"/>
        </w:rPr>
        <w:t>. Wembley, UK. 227–232</w:t>
      </w:r>
      <w:r w:rsidRPr="003B676E">
        <w:rPr>
          <w:sz w:val="22"/>
          <w:szCs w:val="22"/>
        </w:rPr>
        <w:t>. </w:t>
      </w:r>
    </w:p>
    <w:p w14:paraId="4BEAFF29" w14:textId="77777777" w:rsidR="00CA0853" w:rsidRPr="00F56CF3" w:rsidRDefault="00CA0853" w:rsidP="000B3456">
      <w:pPr>
        <w:pStyle w:val="BodyText"/>
        <w:ind w:left="567" w:hanging="567"/>
        <w:rPr>
          <w:sz w:val="22"/>
          <w:szCs w:val="22"/>
        </w:rPr>
      </w:pPr>
      <w:r w:rsidRPr="00F56CF3">
        <w:rPr>
          <w:sz w:val="22"/>
          <w:szCs w:val="22"/>
        </w:rPr>
        <w:t xml:space="preserve">Parvin, S.J., Cudahy, </w:t>
      </w:r>
      <w:r>
        <w:rPr>
          <w:sz w:val="22"/>
          <w:szCs w:val="22"/>
        </w:rPr>
        <w:t xml:space="preserve">E. </w:t>
      </w:r>
      <w:r w:rsidRPr="00F56CF3">
        <w:rPr>
          <w:sz w:val="22"/>
          <w:szCs w:val="22"/>
        </w:rPr>
        <w:t>and Fothergill</w:t>
      </w:r>
      <w:r>
        <w:rPr>
          <w:sz w:val="22"/>
          <w:szCs w:val="22"/>
        </w:rPr>
        <w:t>, D.M</w:t>
      </w:r>
      <w:r w:rsidRPr="00F56CF3">
        <w:rPr>
          <w:sz w:val="22"/>
          <w:szCs w:val="22"/>
        </w:rPr>
        <w:t xml:space="preserve">. 2002. Guidance for diver exposure to underwater sound in the frequency range from 500 to 2500 Hz. </w:t>
      </w:r>
      <w:r w:rsidRPr="00F56CF3">
        <w:rPr>
          <w:i/>
          <w:sz w:val="22"/>
          <w:szCs w:val="22"/>
        </w:rPr>
        <w:t>Undersea Defence Technology</w:t>
      </w:r>
      <w:r w:rsidRPr="00F56CF3">
        <w:rPr>
          <w:sz w:val="22"/>
          <w:szCs w:val="22"/>
        </w:rPr>
        <w:t>. La Spezia, Italy.</w:t>
      </w:r>
    </w:p>
    <w:p w14:paraId="114BA21D" w14:textId="77777777" w:rsidR="00CA0853" w:rsidRDefault="00CA0853" w:rsidP="000B3456">
      <w:pPr>
        <w:pStyle w:val="BodyText"/>
        <w:ind w:left="567" w:hanging="567"/>
        <w:rPr>
          <w:sz w:val="22"/>
          <w:szCs w:val="22"/>
        </w:rPr>
      </w:pPr>
      <w:r w:rsidRPr="00E93F43">
        <w:rPr>
          <w:sz w:val="22"/>
          <w:szCs w:val="22"/>
        </w:rPr>
        <w:t xml:space="preserve">Parvulescu, A. 1967. The acoustics of small tanks. </w:t>
      </w:r>
      <w:r w:rsidRPr="00E904F2">
        <w:rPr>
          <w:sz w:val="22"/>
          <w:szCs w:val="22"/>
          <w:lang w:val="it-IT"/>
        </w:rPr>
        <w:t xml:space="preserve">In Tavolga, W.N. (ed.). </w:t>
      </w:r>
      <w:r w:rsidRPr="00D51BEA">
        <w:rPr>
          <w:i/>
          <w:iCs/>
          <w:sz w:val="22"/>
          <w:szCs w:val="22"/>
        </w:rPr>
        <w:t>Marine Bioacoustics II</w:t>
      </w:r>
      <w:r w:rsidRPr="00E93F43">
        <w:rPr>
          <w:sz w:val="22"/>
          <w:szCs w:val="22"/>
        </w:rPr>
        <w:t>. Pergamon. 7-13.</w:t>
      </w:r>
    </w:p>
    <w:p w14:paraId="1D96DA53" w14:textId="77777777" w:rsidR="00CA0853" w:rsidRPr="00D51BEA" w:rsidRDefault="00CA0853" w:rsidP="000B3456">
      <w:pPr>
        <w:pStyle w:val="BodyText"/>
        <w:ind w:left="567" w:hanging="567"/>
        <w:rPr>
          <w:sz w:val="22"/>
          <w:szCs w:val="22"/>
        </w:rPr>
      </w:pPr>
      <w:bookmarkStart w:id="1331" w:name="_ENREF_18"/>
      <w:r w:rsidRPr="00D51BEA">
        <w:rPr>
          <w:sz w:val="22"/>
          <w:szCs w:val="22"/>
        </w:rPr>
        <w:t xml:space="preserve">Payne, J. F., Coady, </w:t>
      </w:r>
      <w:r>
        <w:rPr>
          <w:sz w:val="22"/>
          <w:szCs w:val="22"/>
        </w:rPr>
        <w:t xml:space="preserve">J. </w:t>
      </w:r>
      <w:r w:rsidRPr="00D51BEA">
        <w:rPr>
          <w:sz w:val="22"/>
          <w:szCs w:val="22"/>
        </w:rPr>
        <w:t>and White</w:t>
      </w:r>
      <w:r>
        <w:rPr>
          <w:sz w:val="22"/>
          <w:szCs w:val="22"/>
        </w:rPr>
        <w:t>, D</w:t>
      </w:r>
      <w:r w:rsidRPr="00D51BEA">
        <w:rPr>
          <w:sz w:val="22"/>
          <w:szCs w:val="22"/>
        </w:rPr>
        <w:t>. 2009. Potential effects of seismic air gun discharges on monkfish eggs (</w:t>
      </w:r>
      <w:r w:rsidRPr="00D51BEA">
        <w:rPr>
          <w:i/>
          <w:iCs/>
          <w:sz w:val="22"/>
          <w:szCs w:val="22"/>
        </w:rPr>
        <w:t>Lophius americanus</w:t>
      </w:r>
      <w:r w:rsidRPr="00D51BEA">
        <w:rPr>
          <w:sz w:val="22"/>
          <w:szCs w:val="22"/>
        </w:rPr>
        <w:t>) and larvae. National Energy Board, Canada.</w:t>
      </w:r>
      <w:bookmarkEnd w:id="1331"/>
    </w:p>
    <w:p w14:paraId="3F4266F0" w14:textId="77777777" w:rsidR="00CA0853" w:rsidRDefault="00CA0853" w:rsidP="000B3456">
      <w:pPr>
        <w:pStyle w:val="BodyText"/>
        <w:ind w:left="567" w:hanging="567"/>
        <w:rPr>
          <w:sz w:val="22"/>
          <w:szCs w:val="22"/>
        </w:rPr>
      </w:pPr>
      <w:r w:rsidRPr="004A64D1">
        <w:rPr>
          <w:sz w:val="22"/>
          <w:szCs w:val="22"/>
        </w:rPr>
        <w:t xml:space="preserve">Payne, J.F., Andrews, </w:t>
      </w:r>
      <w:r>
        <w:rPr>
          <w:sz w:val="22"/>
          <w:szCs w:val="22"/>
        </w:rPr>
        <w:t xml:space="preserve">C., </w:t>
      </w:r>
      <w:r w:rsidRPr="004A64D1">
        <w:rPr>
          <w:sz w:val="22"/>
          <w:szCs w:val="22"/>
        </w:rPr>
        <w:t xml:space="preserve">Fancey, </w:t>
      </w:r>
      <w:r>
        <w:rPr>
          <w:sz w:val="22"/>
          <w:szCs w:val="22"/>
        </w:rPr>
        <w:t xml:space="preserve">L., </w:t>
      </w:r>
      <w:r w:rsidRPr="004A64D1">
        <w:rPr>
          <w:sz w:val="22"/>
          <w:szCs w:val="22"/>
        </w:rPr>
        <w:t xml:space="preserve">White, </w:t>
      </w:r>
      <w:r>
        <w:rPr>
          <w:sz w:val="22"/>
          <w:szCs w:val="22"/>
        </w:rPr>
        <w:t xml:space="preserve">D. </w:t>
      </w:r>
      <w:r w:rsidRPr="004A64D1">
        <w:rPr>
          <w:sz w:val="22"/>
          <w:szCs w:val="22"/>
        </w:rPr>
        <w:t>and Christian</w:t>
      </w:r>
      <w:r>
        <w:rPr>
          <w:sz w:val="22"/>
          <w:szCs w:val="22"/>
        </w:rPr>
        <w:t>, J</w:t>
      </w:r>
      <w:r w:rsidRPr="004A64D1">
        <w:rPr>
          <w:sz w:val="22"/>
          <w:szCs w:val="22"/>
        </w:rPr>
        <w:t xml:space="preserve">. 2008. Potential Effects of Seismic Energy on Fish and Shellfish: An Update since 2003.  Report Number 2008/060. Canadian Science Advisory Secretariat. </w:t>
      </w:r>
    </w:p>
    <w:p w14:paraId="7173D548" w14:textId="77777777" w:rsidR="00CA0853" w:rsidRPr="00D51BEA" w:rsidRDefault="00CA0853" w:rsidP="000B3456">
      <w:pPr>
        <w:pStyle w:val="BodyText"/>
        <w:ind w:left="567" w:hanging="567"/>
        <w:rPr>
          <w:sz w:val="22"/>
          <w:szCs w:val="22"/>
        </w:rPr>
      </w:pPr>
      <w:bookmarkStart w:id="1332" w:name="_ENREF_19"/>
      <w:r w:rsidRPr="00D51BEA">
        <w:rPr>
          <w:sz w:val="22"/>
          <w:szCs w:val="22"/>
        </w:rPr>
        <w:t xml:space="preserve">Pearson, W. H., Skalski, </w:t>
      </w:r>
      <w:r>
        <w:rPr>
          <w:sz w:val="22"/>
          <w:szCs w:val="22"/>
        </w:rPr>
        <w:t xml:space="preserve">J.R. </w:t>
      </w:r>
      <w:r w:rsidRPr="00D51BEA">
        <w:rPr>
          <w:sz w:val="22"/>
          <w:szCs w:val="22"/>
        </w:rPr>
        <w:t>and Malme</w:t>
      </w:r>
      <w:r>
        <w:rPr>
          <w:sz w:val="22"/>
          <w:szCs w:val="22"/>
        </w:rPr>
        <w:t>, C.I</w:t>
      </w:r>
      <w:r w:rsidRPr="00D51BEA">
        <w:rPr>
          <w:sz w:val="22"/>
          <w:szCs w:val="22"/>
        </w:rPr>
        <w:t>. 1992. Effects of Sounds from a Geophysical Survey Device on Behavior of Captive Rockfish (</w:t>
      </w:r>
      <w:r w:rsidRPr="00D51BEA">
        <w:rPr>
          <w:i/>
          <w:iCs/>
          <w:sz w:val="22"/>
          <w:szCs w:val="22"/>
        </w:rPr>
        <w:t>Sebastes</w:t>
      </w:r>
      <w:r w:rsidRPr="00D51BEA">
        <w:rPr>
          <w:sz w:val="22"/>
          <w:szCs w:val="22"/>
        </w:rPr>
        <w:t xml:space="preserve"> spp.). </w:t>
      </w:r>
      <w:r w:rsidRPr="00D51BEA">
        <w:rPr>
          <w:i/>
          <w:iCs/>
          <w:sz w:val="22"/>
          <w:szCs w:val="22"/>
        </w:rPr>
        <w:t>Canadian Journal of Fisheries and Aquatic Sciences</w:t>
      </w:r>
      <w:r w:rsidRPr="00D51BEA">
        <w:rPr>
          <w:sz w:val="22"/>
          <w:szCs w:val="22"/>
        </w:rPr>
        <w:t xml:space="preserve"> 49</w:t>
      </w:r>
      <w:r>
        <w:rPr>
          <w:sz w:val="22"/>
          <w:szCs w:val="22"/>
        </w:rPr>
        <w:t>:1343–</w:t>
      </w:r>
      <w:r w:rsidRPr="00D51BEA">
        <w:rPr>
          <w:sz w:val="22"/>
          <w:szCs w:val="22"/>
        </w:rPr>
        <w:t>1356.</w:t>
      </w:r>
      <w:bookmarkEnd w:id="1332"/>
    </w:p>
    <w:p w14:paraId="03CA3208" w14:textId="77777777" w:rsidR="00CA0853" w:rsidRPr="000B6CC5" w:rsidRDefault="00CA0853" w:rsidP="000B3456">
      <w:pPr>
        <w:pStyle w:val="BodyText"/>
        <w:ind w:left="567" w:hanging="567"/>
        <w:rPr>
          <w:sz w:val="22"/>
          <w:szCs w:val="22"/>
        </w:rPr>
      </w:pPr>
      <w:r w:rsidRPr="000B6CC5">
        <w:rPr>
          <w:sz w:val="22"/>
          <w:szCs w:val="22"/>
        </w:rPr>
        <w:t>Pearson, W., Skalski, J., Sulkin, S. and C. Malme. 1994. Effects of seismic energy releases onthe survival and development of zoeal larvae of dungeness crab (</w:t>
      </w:r>
      <w:r w:rsidRPr="00D51BEA">
        <w:rPr>
          <w:i/>
          <w:iCs/>
          <w:sz w:val="22"/>
          <w:szCs w:val="22"/>
        </w:rPr>
        <w:t>Cancer magister</w:t>
      </w:r>
      <w:r w:rsidRPr="000B6CC5">
        <w:rPr>
          <w:sz w:val="22"/>
          <w:szCs w:val="22"/>
        </w:rPr>
        <w:t xml:space="preserve">). </w:t>
      </w:r>
      <w:r w:rsidRPr="000B6CC5">
        <w:rPr>
          <w:i/>
          <w:sz w:val="22"/>
          <w:szCs w:val="22"/>
        </w:rPr>
        <w:t>Mar. Environ. Res.</w:t>
      </w:r>
      <w:r w:rsidRPr="000B6CC5">
        <w:rPr>
          <w:sz w:val="22"/>
          <w:szCs w:val="22"/>
        </w:rPr>
        <w:t xml:space="preserve"> 38: 93-113</w:t>
      </w:r>
    </w:p>
    <w:p w14:paraId="7EEE0E95" w14:textId="77777777" w:rsidR="00CA0853" w:rsidRPr="00F56CF3" w:rsidRDefault="00CA0853" w:rsidP="000B3456">
      <w:pPr>
        <w:pStyle w:val="BodyText"/>
        <w:ind w:left="567" w:hanging="567"/>
        <w:rPr>
          <w:sz w:val="22"/>
          <w:szCs w:val="22"/>
        </w:rPr>
      </w:pPr>
      <w:r w:rsidRPr="00F56CF3">
        <w:rPr>
          <w:sz w:val="22"/>
          <w:szCs w:val="22"/>
        </w:rPr>
        <w:t>Peel, D., Kelly, N., Smith, J., Childerhouse, S. 2016. National Environmental Science Program Project</w:t>
      </w:r>
      <w:r>
        <w:rPr>
          <w:sz w:val="22"/>
          <w:szCs w:val="22"/>
        </w:rPr>
        <w:t xml:space="preserve"> </w:t>
      </w:r>
      <w:r w:rsidRPr="00F56CF3">
        <w:rPr>
          <w:sz w:val="22"/>
          <w:szCs w:val="22"/>
        </w:rPr>
        <w:t>C5 – Scoping of Potential Species for Ship Strike Risk Analysis, Pressures and</w:t>
      </w:r>
      <w:r>
        <w:rPr>
          <w:sz w:val="22"/>
          <w:szCs w:val="22"/>
        </w:rPr>
        <w:t xml:space="preserve"> </w:t>
      </w:r>
      <w:r w:rsidRPr="00F56CF3">
        <w:rPr>
          <w:sz w:val="22"/>
          <w:szCs w:val="22"/>
        </w:rPr>
        <w:t>impacts.</w:t>
      </w:r>
      <w:r>
        <w:rPr>
          <w:sz w:val="22"/>
          <w:szCs w:val="22"/>
        </w:rPr>
        <w:t xml:space="preserve"> CSIRO. Australia.</w:t>
      </w:r>
    </w:p>
    <w:p w14:paraId="0DB25461" w14:textId="77777777" w:rsidR="00CA0853" w:rsidRPr="007E69F8" w:rsidRDefault="00CA0853" w:rsidP="000B3456">
      <w:pPr>
        <w:pStyle w:val="BodyText"/>
        <w:ind w:left="567" w:hanging="567"/>
        <w:rPr>
          <w:sz w:val="22"/>
          <w:szCs w:val="22"/>
          <w:lang w:val="fr-FR"/>
        </w:rPr>
      </w:pPr>
      <w:r w:rsidRPr="00655E5D">
        <w:rPr>
          <w:sz w:val="22"/>
          <w:szCs w:val="22"/>
        </w:rPr>
        <w:t xml:space="preserve">Peña, H., Handegard, </w:t>
      </w:r>
      <w:r>
        <w:rPr>
          <w:sz w:val="22"/>
          <w:szCs w:val="22"/>
        </w:rPr>
        <w:t xml:space="preserve">N.O. </w:t>
      </w:r>
      <w:r w:rsidRPr="00655E5D">
        <w:rPr>
          <w:sz w:val="22"/>
          <w:szCs w:val="22"/>
        </w:rPr>
        <w:t>and Ona</w:t>
      </w:r>
      <w:r>
        <w:rPr>
          <w:sz w:val="22"/>
          <w:szCs w:val="22"/>
        </w:rPr>
        <w:t>, E</w:t>
      </w:r>
      <w:r w:rsidRPr="00655E5D">
        <w:rPr>
          <w:sz w:val="22"/>
          <w:szCs w:val="22"/>
        </w:rPr>
        <w:t xml:space="preserve">. 2013. Feeding herring schools do not react to seismic air gun surveys. </w:t>
      </w:r>
      <w:r w:rsidRPr="007E69F8">
        <w:rPr>
          <w:i/>
          <w:iCs/>
          <w:sz w:val="22"/>
          <w:szCs w:val="22"/>
          <w:lang w:val="fr-FR"/>
        </w:rPr>
        <w:t>ICES Journal of Marine Science: Journal du Conseil</w:t>
      </w:r>
      <w:r w:rsidRPr="007E69F8">
        <w:rPr>
          <w:sz w:val="22"/>
          <w:szCs w:val="22"/>
          <w:lang w:val="fr-FR"/>
        </w:rPr>
        <w:t xml:space="preserve"> 70:1174–1180</w:t>
      </w:r>
    </w:p>
    <w:p w14:paraId="0D5BD699" w14:textId="77777777" w:rsidR="00CA0853" w:rsidRPr="00906B75" w:rsidRDefault="00CA0853" w:rsidP="000B3456">
      <w:pPr>
        <w:pStyle w:val="BodyText"/>
        <w:ind w:left="567" w:hanging="567"/>
        <w:rPr>
          <w:sz w:val="22"/>
          <w:szCs w:val="22"/>
          <w:lang w:val="sv-SE"/>
        </w:rPr>
      </w:pPr>
      <w:r w:rsidRPr="007E69F8">
        <w:rPr>
          <w:sz w:val="22"/>
          <w:szCs w:val="22"/>
          <w:lang w:val="fr-FR"/>
        </w:rPr>
        <w:t xml:space="preserve">Perrin, W.F. 1998. </w:t>
      </w:r>
      <w:r w:rsidRPr="00906B75">
        <w:rPr>
          <w:i/>
          <w:sz w:val="22"/>
          <w:szCs w:val="22"/>
          <w:lang w:val="sv-SE"/>
        </w:rPr>
        <w:t>Stenella longirostris</w:t>
      </w:r>
      <w:r w:rsidRPr="00906B75">
        <w:rPr>
          <w:sz w:val="22"/>
          <w:szCs w:val="22"/>
          <w:lang w:val="sv-SE"/>
        </w:rPr>
        <w:t xml:space="preserve">. </w:t>
      </w:r>
      <w:r w:rsidRPr="00906B75">
        <w:rPr>
          <w:i/>
          <w:sz w:val="22"/>
          <w:szCs w:val="22"/>
          <w:lang w:val="sv-SE"/>
        </w:rPr>
        <w:t>Mammalian Species</w:t>
      </w:r>
      <w:r w:rsidRPr="00906B75">
        <w:rPr>
          <w:sz w:val="22"/>
          <w:szCs w:val="22"/>
          <w:lang w:val="sv-SE"/>
        </w:rPr>
        <w:t xml:space="preserve"> 599: 1-7.</w:t>
      </w:r>
    </w:p>
    <w:p w14:paraId="17445864" w14:textId="77777777" w:rsidR="00CA0853" w:rsidRPr="00733D23" w:rsidRDefault="00CA0853" w:rsidP="000B3456">
      <w:pPr>
        <w:pStyle w:val="BodyText"/>
        <w:ind w:left="567" w:hanging="567"/>
        <w:rPr>
          <w:sz w:val="22"/>
          <w:szCs w:val="22"/>
        </w:rPr>
      </w:pPr>
      <w:r w:rsidRPr="00906B75">
        <w:rPr>
          <w:sz w:val="22"/>
          <w:szCs w:val="22"/>
          <w:lang w:val="sv-SE"/>
        </w:rPr>
        <w:t xml:space="preserve">PFPI. 2017. </w:t>
      </w:r>
      <w:r w:rsidRPr="00733D23">
        <w:rPr>
          <w:sz w:val="22"/>
          <w:szCs w:val="22"/>
        </w:rPr>
        <w:t xml:space="preserve">About little penguins. A WWW database accessed at https://penguinfoundation.org.au/about-little-penguins/. Penguin Foundation Phillip Island. Victoria. </w:t>
      </w:r>
    </w:p>
    <w:p w14:paraId="33FFBFA2" w14:textId="77777777" w:rsidR="00CA0853" w:rsidRPr="007E69F8" w:rsidRDefault="00CA0853" w:rsidP="000B3456">
      <w:pPr>
        <w:pStyle w:val="BodyText"/>
        <w:ind w:left="567" w:hanging="567"/>
        <w:rPr>
          <w:sz w:val="22"/>
          <w:szCs w:val="22"/>
        </w:rPr>
      </w:pPr>
      <w:bookmarkStart w:id="1333" w:name="_ENREF_21"/>
      <w:r w:rsidRPr="007E69F8">
        <w:rPr>
          <w:sz w:val="22"/>
          <w:szCs w:val="22"/>
        </w:rPr>
        <w:lastRenderedPageBreak/>
        <w:t xml:space="preserve">Pickett, G. D., Eaton, </w:t>
      </w:r>
      <w:r>
        <w:rPr>
          <w:sz w:val="22"/>
          <w:szCs w:val="22"/>
        </w:rPr>
        <w:t xml:space="preserve">D., </w:t>
      </w:r>
      <w:r w:rsidRPr="007E69F8">
        <w:rPr>
          <w:sz w:val="22"/>
          <w:szCs w:val="22"/>
        </w:rPr>
        <w:t xml:space="preserve">Seaby, </w:t>
      </w:r>
      <w:r>
        <w:rPr>
          <w:sz w:val="22"/>
          <w:szCs w:val="22"/>
        </w:rPr>
        <w:t xml:space="preserve">R. </w:t>
      </w:r>
      <w:r w:rsidRPr="007E69F8">
        <w:rPr>
          <w:sz w:val="22"/>
          <w:szCs w:val="22"/>
        </w:rPr>
        <w:t>and Arnold</w:t>
      </w:r>
      <w:r>
        <w:rPr>
          <w:sz w:val="22"/>
          <w:szCs w:val="22"/>
        </w:rPr>
        <w:t>, G</w:t>
      </w:r>
      <w:r w:rsidRPr="007E69F8">
        <w:rPr>
          <w:sz w:val="22"/>
          <w:szCs w:val="22"/>
        </w:rPr>
        <w:t>. 1994. Results of bass tagging in Poole Bay during 1992. Ministry of Agriculture, Fisheries and Food, Directorate of Fisheries Research, Laboratory Leaflet.</w:t>
      </w:r>
      <w:bookmarkEnd w:id="1333"/>
    </w:p>
    <w:p w14:paraId="75677261" w14:textId="77777777" w:rsidR="00CA0853" w:rsidRPr="000B6CC5" w:rsidRDefault="00CA0853" w:rsidP="000B3456">
      <w:pPr>
        <w:pStyle w:val="BodyText"/>
        <w:ind w:left="567" w:hanging="567"/>
        <w:rPr>
          <w:sz w:val="22"/>
          <w:szCs w:val="22"/>
        </w:rPr>
      </w:pPr>
      <w:r w:rsidRPr="000B6CC5">
        <w:rPr>
          <w:sz w:val="22"/>
          <w:szCs w:val="22"/>
        </w:rPr>
        <w:t>Pichegru, L., Nyengera, R., Sutton, G., Arnould, J. and Pistorius, P. 2016. Poster presentation titled ‘Influence of Seismic surveys on African and Lit</w:t>
      </w:r>
      <w:r>
        <w:rPr>
          <w:sz w:val="22"/>
          <w:szCs w:val="22"/>
        </w:rPr>
        <w:t>t</w:t>
      </w:r>
      <w:r w:rsidRPr="000B6CC5">
        <w:rPr>
          <w:sz w:val="22"/>
          <w:szCs w:val="22"/>
        </w:rPr>
        <w:t>le Penguin Behaviour.’  Percy Fitzpatrick Institute for African Ornithology &amp; Department of Zoology, Nelson Mandela Metropolitan University, South Africa and Deakin University, Victoria, Australia.</w:t>
      </w:r>
    </w:p>
    <w:p w14:paraId="1C9BECD9" w14:textId="77777777" w:rsidR="00CA0853" w:rsidRPr="00E93F43" w:rsidRDefault="00CA0853" w:rsidP="000B3456">
      <w:pPr>
        <w:pStyle w:val="BodyText"/>
        <w:ind w:left="567" w:hanging="567"/>
        <w:rPr>
          <w:sz w:val="22"/>
          <w:szCs w:val="22"/>
        </w:rPr>
      </w:pPr>
      <w:r w:rsidRPr="00E93F43">
        <w:rPr>
          <w:sz w:val="22"/>
          <w:szCs w:val="22"/>
        </w:rPr>
        <w:t xml:space="preserve">Piniak, W.E.D., Mann, </w:t>
      </w:r>
      <w:r>
        <w:rPr>
          <w:sz w:val="22"/>
          <w:szCs w:val="22"/>
        </w:rPr>
        <w:t xml:space="preserve">D.A., </w:t>
      </w:r>
      <w:r w:rsidRPr="00E93F43">
        <w:rPr>
          <w:sz w:val="22"/>
          <w:szCs w:val="22"/>
        </w:rPr>
        <w:t xml:space="preserve">Harms, </w:t>
      </w:r>
      <w:r>
        <w:rPr>
          <w:sz w:val="22"/>
          <w:szCs w:val="22"/>
        </w:rPr>
        <w:t xml:space="preserve">C.A., </w:t>
      </w:r>
      <w:r w:rsidRPr="00E93F43">
        <w:rPr>
          <w:sz w:val="22"/>
          <w:szCs w:val="22"/>
        </w:rPr>
        <w:t xml:space="preserve">Jones, </w:t>
      </w:r>
      <w:r>
        <w:rPr>
          <w:sz w:val="22"/>
          <w:szCs w:val="22"/>
        </w:rPr>
        <w:t xml:space="preserve">T.T. </w:t>
      </w:r>
      <w:r w:rsidRPr="00E93F43">
        <w:rPr>
          <w:sz w:val="22"/>
          <w:szCs w:val="22"/>
        </w:rPr>
        <w:t>and Eckert</w:t>
      </w:r>
      <w:r>
        <w:rPr>
          <w:sz w:val="22"/>
          <w:szCs w:val="22"/>
        </w:rPr>
        <w:t>, S.A</w:t>
      </w:r>
      <w:r w:rsidRPr="00E93F43">
        <w:rPr>
          <w:sz w:val="22"/>
          <w:szCs w:val="22"/>
        </w:rPr>
        <w:t>. 2016. Hearing in the Juvenile Green Sea Turtle (</w:t>
      </w:r>
      <w:r w:rsidRPr="007E69F8">
        <w:rPr>
          <w:i/>
          <w:iCs/>
          <w:sz w:val="22"/>
          <w:szCs w:val="22"/>
        </w:rPr>
        <w:t>Chelonia mydas</w:t>
      </w:r>
      <w:r w:rsidRPr="00E93F43">
        <w:rPr>
          <w:sz w:val="22"/>
          <w:szCs w:val="22"/>
        </w:rPr>
        <w:t xml:space="preserve">): A Comparison of Underwater and Aerial Hearing Using Auditory Evoked Potentials. </w:t>
      </w:r>
      <w:r w:rsidRPr="007E69F8">
        <w:rPr>
          <w:i/>
          <w:iCs/>
          <w:sz w:val="22"/>
          <w:szCs w:val="22"/>
        </w:rPr>
        <w:t>PLOS ONE</w:t>
      </w:r>
      <w:r w:rsidRPr="00E93F43">
        <w:rPr>
          <w:sz w:val="22"/>
          <w:szCs w:val="22"/>
        </w:rPr>
        <w:t xml:space="preserve"> 11(10): e0159711. </w:t>
      </w:r>
    </w:p>
    <w:p w14:paraId="66230BDD" w14:textId="61E2A139" w:rsidR="004C6A56" w:rsidRPr="004C6A56" w:rsidRDefault="004C6A56" w:rsidP="004C6A56">
      <w:pPr>
        <w:pStyle w:val="BodyText"/>
        <w:ind w:left="567" w:hanging="567"/>
        <w:rPr>
          <w:sz w:val="22"/>
          <w:szCs w:val="22"/>
        </w:rPr>
      </w:pPr>
      <w:r w:rsidRPr="004C6A56">
        <w:rPr>
          <w:sz w:val="22"/>
          <w:szCs w:val="22"/>
        </w:rPr>
        <w:t xml:space="preserve">Piniak, W.E., Mann, </w:t>
      </w:r>
      <w:r>
        <w:rPr>
          <w:sz w:val="22"/>
          <w:szCs w:val="22"/>
        </w:rPr>
        <w:t xml:space="preserve">D.A., </w:t>
      </w:r>
      <w:r w:rsidRPr="004C6A56">
        <w:rPr>
          <w:sz w:val="22"/>
          <w:szCs w:val="22"/>
        </w:rPr>
        <w:t xml:space="preserve">Eckert, </w:t>
      </w:r>
      <w:r>
        <w:rPr>
          <w:sz w:val="22"/>
          <w:szCs w:val="22"/>
        </w:rPr>
        <w:t xml:space="preserve">S.A. </w:t>
      </w:r>
      <w:r w:rsidRPr="004C6A56">
        <w:rPr>
          <w:sz w:val="22"/>
          <w:szCs w:val="22"/>
        </w:rPr>
        <w:t>and Harms</w:t>
      </w:r>
      <w:r>
        <w:rPr>
          <w:sz w:val="22"/>
          <w:szCs w:val="22"/>
        </w:rPr>
        <w:t>, C.A</w:t>
      </w:r>
      <w:r w:rsidRPr="004C6A56">
        <w:rPr>
          <w:sz w:val="22"/>
          <w:szCs w:val="22"/>
        </w:rPr>
        <w:t>. 2011. Amphibious hearing in sea turtles. In: Hawkins, T. and Popper</w:t>
      </w:r>
      <w:r>
        <w:rPr>
          <w:sz w:val="22"/>
          <w:szCs w:val="22"/>
        </w:rPr>
        <w:t>, A.N.</w:t>
      </w:r>
      <w:r w:rsidRPr="004C6A56">
        <w:rPr>
          <w:sz w:val="22"/>
          <w:szCs w:val="22"/>
        </w:rPr>
        <w:t xml:space="preserve"> (eds.). </w:t>
      </w:r>
      <w:r w:rsidRPr="004C6A56">
        <w:rPr>
          <w:i/>
          <w:sz w:val="22"/>
          <w:szCs w:val="22"/>
        </w:rPr>
        <w:t>Proceedings of the 2nd International Conference on the Effects of Noise on Aquatic Life</w:t>
      </w:r>
      <w:r w:rsidRPr="004C6A56">
        <w:rPr>
          <w:sz w:val="22"/>
          <w:szCs w:val="22"/>
        </w:rPr>
        <w:t>. August 15-20, 2010. Springer-Verlag. (In Press).</w:t>
      </w:r>
    </w:p>
    <w:p w14:paraId="24DA132E" w14:textId="77777777" w:rsidR="00CA0853" w:rsidRPr="000B6CC5" w:rsidRDefault="00CA0853" w:rsidP="000B3456">
      <w:pPr>
        <w:pStyle w:val="BodyText"/>
        <w:ind w:left="567" w:hanging="567"/>
        <w:rPr>
          <w:sz w:val="22"/>
          <w:szCs w:val="22"/>
        </w:rPr>
      </w:pPr>
      <w:r w:rsidRPr="000B6CC5">
        <w:rPr>
          <w:sz w:val="22"/>
          <w:szCs w:val="22"/>
        </w:rPr>
        <w:t>Pinzone, G. 2003. Personal observations. Dedicated marine mammal observation team member – 2002 Bass Strait seismic surveys. Giulio Pinzone, Environmental Consultant, NSR Environmental Consultants Pty Ltd.</w:t>
      </w:r>
    </w:p>
    <w:p w14:paraId="5D1E9716" w14:textId="77777777" w:rsidR="00CA0853" w:rsidRPr="00C03018" w:rsidRDefault="00CA0853" w:rsidP="000B3456">
      <w:pPr>
        <w:pStyle w:val="BodyText"/>
        <w:ind w:left="567" w:hanging="567"/>
        <w:rPr>
          <w:sz w:val="22"/>
          <w:szCs w:val="22"/>
        </w:rPr>
      </w:pPr>
      <w:r w:rsidRPr="00C03018">
        <w:rPr>
          <w:sz w:val="22"/>
          <w:szCs w:val="22"/>
        </w:rPr>
        <w:t xml:space="preserve">Poore, G.C.B., Wilson, R.S., Gomon, M. and Lu, C.C. 1985. Museum of Victoria Bass Strait Survey, 1979-1984. Museum of Victoria, Melbourne. </w:t>
      </w:r>
    </w:p>
    <w:p w14:paraId="79971CDA" w14:textId="77777777" w:rsidR="00CA0853" w:rsidRPr="00E93F43" w:rsidRDefault="00CA0853" w:rsidP="000B3456">
      <w:pPr>
        <w:pStyle w:val="BodyText"/>
        <w:ind w:left="567" w:hanging="567"/>
        <w:rPr>
          <w:sz w:val="22"/>
          <w:szCs w:val="22"/>
        </w:rPr>
      </w:pPr>
      <w:r w:rsidRPr="00E93F43">
        <w:rPr>
          <w:sz w:val="22"/>
          <w:szCs w:val="22"/>
        </w:rPr>
        <w:t xml:space="preserve">Popper, A.N., Salmon, </w:t>
      </w:r>
      <w:r>
        <w:rPr>
          <w:sz w:val="22"/>
          <w:szCs w:val="22"/>
        </w:rPr>
        <w:t xml:space="preserve">M. </w:t>
      </w:r>
      <w:r w:rsidRPr="00E93F43">
        <w:rPr>
          <w:sz w:val="22"/>
          <w:szCs w:val="22"/>
        </w:rPr>
        <w:t>and Horch</w:t>
      </w:r>
      <w:r>
        <w:rPr>
          <w:sz w:val="22"/>
          <w:szCs w:val="22"/>
        </w:rPr>
        <w:t>, K.W</w:t>
      </w:r>
      <w:r w:rsidRPr="00E93F43">
        <w:rPr>
          <w:sz w:val="22"/>
          <w:szCs w:val="22"/>
        </w:rPr>
        <w:t xml:space="preserve">. 2001. Acoustic detection and communication by decapod crustaceans. </w:t>
      </w:r>
      <w:r w:rsidRPr="007E69F8">
        <w:rPr>
          <w:i/>
          <w:iCs/>
          <w:sz w:val="22"/>
          <w:szCs w:val="22"/>
        </w:rPr>
        <w:t>Journal of Comparative Physiology A: Neuroethology, Sensory, Neural, and Behavioral Physiology</w:t>
      </w:r>
      <w:r>
        <w:rPr>
          <w:sz w:val="22"/>
          <w:szCs w:val="22"/>
        </w:rPr>
        <w:t xml:space="preserve"> 187(2): 83–</w:t>
      </w:r>
      <w:r w:rsidRPr="00E93F43">
        <w:rPr>
          <w:sz w:val="22"/>
          <w:szCs w:val="22"/>
        </w:rPr>
        <w:t xml:space="preserve">89. </w:t>
      </w:r>
    </w:p>
    <w:p w14:paraId="353ACCAF" w14:textId="77777777" w:rsidR="00CA0853" w:rsidRPr="000B6CC5" w:rsidRDefault="00CA0853" w:rsidP="000B3456">
      <w:pPr>
        <w:pStyle w:val="BodyText"/>
        <w:ind w:left="567" w:hanging="567"/>
        <w:rPr>
          <w:sz w:val="22"/>
          <w:szCs w:val="22"/>
        </w:rPr>
      </w:pPr>
      <w:r w:rsidRPr="000B6CC5">
        <w:rPr>
          <w:sz w:val="22"/>
          <w:szCs w:val="22"/>
        </w:rPr>
        <w:t xml:space="preserve">Popper A.N., Halvorsen, M.B., Kane, E., Miller, D.D., Smith, M.E., Stein, P. and Wysocki, L.E. 2007. The effects of high-intensity, low-frequency active sonar on rainbow trout. </w:t>
      </w:r>
      <w:r w:rsidRPr="000B6CC5">
        <w:rPr>
          <w:i/>
          <w:sz w:val="22"/>
          <w:szCs w:val="22"/>
        </w:rPr>
        <w:t>J. Acoust. Soc. Am</w:t>
      </w:r>
      <w:r w:rsidRPr="000B6CC5">
        <w:rPr>
          <w:sz w:val="22"/>
          <w:szCs w:val="22"/>
        </w:rPr>
        <w:t>. 122: 623–635.</w:t>
      </w:r>
    </w:p>
    <w:p w14:paraId="2BCB2839" w14:textId="77777777" w:rsidR="00CA0853" w:rsidRPr="000B6CC5" w:rsidRDefault="00CA0853" w:rsidP="000B3456">
      <w:pPr>
        <w:pStyle w:val="BodyText"/>
        <w:ind w:left="567" w:hanging="567"/>
        <w:rPr>
          <w:sz w:val="22"/>
          <w:szCs w:val="22"/>
        </w:rPr>
      </w:pPr>
      <w:r w:rsidRPr="000B6CC5">
        <w:rPr>
          <w:sz w:val="22"/>
          <w:szCs w:val="22"/>
        </w:rPr>
        <w:t xml:space="preserve">Popper, A.N. and Løkkeborg, S. 2008. Effects of anthropogenic sound on fish. </w:t>
      </w:r>
      <w:r w:rsidRPr="000B6CC5">
        <w:rPr>
          <w:i/>
          <w:sz w:val="22"/>
          <w:szCs w:val="22"/>
        </w:rPr>
        <w:t>Bioacoustics</w:t>
      </w:r>
      <w:r w:rsidRPr="000B6CC5">
        <w:rPr>
          <w:sz w:val="22"/>
          <w:szCs w:val="22"/>
        </w:rPr>
        <w:t xml:space="preserve"> 17: 214-217.</w:t>
      </w:r>
    </w:p>
    <w:p w14:paraId="2BD2D399" w14:textId="77777777" w:rsidR="00CA0853" w:rsidRPr="000B6CC5" w:rsidRDefault="00CA0853" w:rsidP="000B3456">
      <w:pPr>
        <w:pStyle w:val="BodyText"/>
        <w:ind w:left="567" w:hanging="567"/>
        <w:rPr>
          <w:sz w:val="22"/>
          <w:szCs w:val="22"/>
        </w:rPr>
      </w:pPr>
      <w:r w:rsidRPr="000B6CC5">
        <w:rPr>
          <w:sz w:val="22"/>
          <w:szCs w:val="22"/>
        </w:rPr>
        <w:t xml:space="preserve">Popper, A.N. and M.C. Hastings. 2009. The effects of anthropogenic sources of sound on fishes. </w:t>
      </w:r>
      <w:r w:rsidRPr="000B6CC5">
        <w:rPr>
          <w:i/>
          <w:sz w:val="22"/>
          <w:szCs w:val="22"/>
        </w:rPr>
        <w:t xml:space="preserve">J. Fish Biol. </w:t>
      </w:r>
      <w:r w:rsidRPr="000B6CC5">
        <w:rPr>
          <w:sz w:val="22"/>
          <w:szCs w:val="22"/>
        </w:rPr>
        <w:t>75(3):455-489</w:t>
      </w:r>
    </w:p>
    <w:p w14:paraId="520C5399" w14:textId="77777777" w:rsidR="00CA0853" w:rsidRPr="00E93F43" w:rsidRDefault="00CA0853" w:rsidP="000B3456">
      <w:pPr>
        <w:pStyle w:val="BodyText"/>
        <w:ind w:left="567" w:hanging="567"/>
        <w:rPr>
          <w:sz w:val="22"/>
          <w:szCs w:val="22"/>
        </w:rPr>
      </w:pPr>
      <w:r w:rsidRPr="00E93F43">
        <w:rPr>
          <w:sz w:val="22"/>
          <w:szCs w:val="22"/>
        </w:rPr>
        <w:t xml:space="preserve">Popper, A.N., Hawkins, </w:t>
      </w:r>
      <w:r>
        <w:rPr>
          <w:sz w:val="22"/>
          <w:szCs w:val="22"/>
        </w:rPr>
        <w:t xml:space="preserve">A.D., </w:t>
      </w:r>
      <w:r w:rsidRPr="00E93F43">
        <w:rPr>
          <w:sz w:val="22"/>
          <w:szCs w:val="22"/>
        </w:rPr>
        <w:t xml:space="preserve">Fay, </w:t>
      </w:r>
      <w:r>
        <w:rPr>
          <w:sz w:val="22"/>
          <w:szCs w:val="22"/>
        </w:rPr>
        <w:t xml:space="preserve">R.R., </w:t>
      </w:r>
      <w:r w:rsidRPr="00E93F43">
        <w:rPr>
          <w:sz w:val="22"/>
          <w:szCs w:val="22"/>
        </w:rPr>
        <w:t xml:space="preserve">Mann, </w:t>
      </w:r>
      <w:r>
        <w:rPr>
          <w:sz w:val="22"/>
          <w:szCs w:val="22"/>
        </w:rPr>
        <w:t xml:space="preserve">D.A., </w:t>
      </w:r>
      <w:r w:rsidRPr="00E93F43">
        <w:rPr>
          <w:sz w:val="22"/>
          <w:szCs w:val="22"/>
        </w:rPr>
        <w:t xml:space="preserve">Bartol, </w:t>
      </w:r>
      <w:r>
        <w:rPr>
          <w:sz w:val="22"/>
          <w:szCs w:val="22"/>
        </w:rPr>
        <w:t xml:space="preserve">S., </w:t>
      </w:r>
      <w:r w:rsidRPr="00E93F43">
        <w:rPr>
          <w:sz w:val="22"/>
          <w:szCs w:val="22"/>
        </w:rPr>
        <w:t xml:space="preserve">Carlson, </w:t>
      </w:r>
      <w:r>
        <w:rPr>
          <w:sz w:val="22"/>
          <w:szCs w:val="22"/>
        </w:rPr>
        <w:t xml:space="preserve">T.J., </w:t>
      </w:r>
      <w:r w:rsidRPr="00E93F43">
        <w:rPr>
          <w:sz w:val="22"/>
          <w:szCs w:val="22"/>
        </w:rPr>
        <w:t>Coombs,</w:t>
      </w:r>
      <w:r>
        <w:rPr>
          <w:sz w:val="22"/>
          <w:szCs w:val="22"/>
        </w:rPr>
        <w:t xml:space="preserve"> S., </w:t>
      </w:r>
      <w:r w:rsidRPr="00E93F43">
        <w:rPr>
          <w:sz w:val="22"/>
          <w:szCs w:val="22"/>
        </w:rPr>
        <w:t xml:space="preserve">Ellison, </w:t>
      </w:r>
      <w:r>
        <w:rPr>
          <w:sz w:val="22"/>
          <w:szCs w:val="22"/>
        </w:rPr>
        <w:t xml:space="preserve">W.T., </w:t>
      </w:r>
      <w:r w:rsidRPr="00E93F43">
        <w:rPr>
          <w:sz w:val="22"/>
          <w:szCs w:val="22"/>
        </w:rPr>
        <w:t xml:space="preserve">Gentry, </w:t>
      </w:r>
      <w:r>
        <w:rPr>
          <w:sz w:val="22"/>
          <w:szCs w:val="22"/>
        </w:rPr>
        <w:t xml:space="preserve">R.L. </w:t>
      </w:r>
      <w:r w:rsidRPr="00E93F43">
        <w:rPr>
          <w:sz w:val="22"/>
          <w:szCs w:val="22"/>
        </w:rPr>
        <w:t>2014. Sound Exposure Guidelines for Fishes and Sea Turtles: A Technical Report prepared by ANSI-Accredited Standards Committee S3/SC1 and registered with ANSI. SpringerBriefs in Oceanography, Volume ASA S3/SC1.4 TR-2014. ASA Press.</w:t>
      </w:r>
    </w:p>
    <w:p w14:paraId="3DEFE535" w14:textId="77777777" w:rsidR="00CA0853" w:rsidRPr="000B6CC5" w:rsidRDefault="00CA0853" w:rsidP="000B3456">
      <w:pPr>
        <w:pStyle w:val="BodyText"/>
        <w:ind w:left="567" w:hanging="567"/>
        <w:rPr>
          <w:sz w:val="22"/>
          <w:szCs w:val="22"/>
        </w:rPr>
      </w:pPr>
      <w:r w:rsidRPr="000B6CC5">
        <w:rPr>
          <w:sz w:val="22"/>
          <w:szCs w:val="22"/>
        </w:rPr>
        <w:t xml:space="preserve">Popper, A.N., Carlson, T., Gross, J.A., Hawkins, A.D., Zeddies, D.G. and Powell, L. 2015. Effects of Seismic Air Guns on Pallid Sturgeon and Paddlefish. </w:t>
      </w:r>
      <w:r w:rsidRPr="000B6CC5">
        <w:rPr>
          <w:i/>
          <w:sz w:val="22"/>
          <w:szCs w:val="22"/>
        </w:rPr>
        <w:t>Advances in Experimental Medicine and Biology</w:t>
      </w:r>
      <w:r w:rsidRPr="000B6CC5">
        <w:rPr>
          <w:sz w:val="22"/>
          <w:szCs w:val="22"/>
        </w:rPr>
        <w:t xml:space="preserve"> 875:871-878.</w:t>
      </w:r>
    </w:p>
    <w:p w14:paraId="3738E6D0" w14:textId="77777777" w:rsidR="00CA0853" w:rsidRPr="00E93F43" w:rsidRDefault="00CA0853" w:rsidP="000B3456">
      <w:pPr>
        <w:pStyle w:val="BodyText"/>
        <w:ind w:left="567" w:hanging="567"/>
        <w:rPr>
          <w:sz w:val="22"/>
          <w:szCs w:val="22"/>
        </w:rPr>
      </w:pPr>
      <w:r w:rsidRPr="00E93F43">
        <w:rPr>
          <w:sz w:val="22"/>
          <w:szCs w:val="22"/>
        </w:rPr>
        <w:t xml:space="preserve">Popper, A.N., Carlson, </w:t>
      </w:r>
      <w:r>
        <w:rPr>
          <w:sz w:val="22"/>
          <w:szCs w:val="22"/>
        </w:rPr>
        <w:t xml:space="preserve">T.J., </w:t>
      </w:r>
      <w:r w:rsidRPr="00E93F43">
        <w:rPr>
          <w:sz w:val="22"/>
          <w:szCs w:val="22"/>
        </w:rPr>
        <w:t xml:space="preserve">Gross, </w:t>
      </w:r>
      <w:r>
        <w:rPr>
          <w:sz w:val="22"/>
          <w:szCs w:val="22"/>
        </w:rPr>
        <w:t xml:space="preserve">J.A., </w:t>
      </w:r>
      <w:r w:rsidRPr="00E93F43">
        <w:rPr>
          <w:sz w:val="22"/>
          <w:szCs w:val="22"/>
        </w:rPr>
        <w:t xml:space="preserve">Hawkins, </w:t>
      </w:r>
      <w:r>
        <w:rPr>
          <w:sz w:val="22"/>
          <w:szCs w:val="22"/>
        </w:rPr>
        <w:t xml:space="preserve">A.D., </w:t>
      </w:r>
      <w:r w:rsidRPr="00E93F43">
        <w:rPr>
          <w:sz w:val="22"/>
          <w:szCs w:val="22"/>
        </w:rPr>
        <w:t xml:space="preserve">Zeddies, </w:t>
      </w:r>
      <w:r>
        <w:rPr>
          <w:sz w:val="22"/>
          <w:szCs w:val="22"/>
        </w:rPr>
        <w:t xml:space="preserve">D., </w:t>
      </w:r>
      <w:r w:rsidRPr="00E93F43">
        <w:rPr>
          <w:sz w:val="22"/>
          <w:szCs w:val="22"/>
        </w:rPr>
        <w:t xml:space="preserve">Powell, </w:t>
      </w:r>
      <w:r>
        <w:rPr>
          <w:sz w:val="22"/>
          <w:szCs w:val="22"/>
        </w:rPr>
        <w:t xml:space="preserve">L. </w:t>
      </w:r>
      <w:r w:rsidRPr="00E93F43">
        <w:rPr>
          <w:sz w:val="22"/>
          <w:szCs w:val="22"/>
        </w:rPr>
        <w:t>and Young</w:t>
      </w:r>
      <w:r>
        <w:rPr>
          <w:sz w:val="22"/>
          <w:szCs w:val="22"/>
        </w:rPr>
        <w:t>, J</w:t>
      </w:r>
      <w:r w:rsidRPr="00E93F43">
        <w:rPr>
          <w:sz w:val="22"/>
          <w:szCs w:val="22"/>
        </w:rPr>
        <w:t xml:space="preserve">. 2016. Effects of seismic air guns on pallid sturgeon and paddlefish. </w:t>
      </w:r>
      <w:r w:rsidRPr="007E69F8">
        <w:rPr>
          <w:i/>
          <w:iCs/>
          <w:sz w:val="22"/>
          <w:szCs w:val="22"/>
        </w:rPr>
        <w:t>Advances in Experimental Medicine and Biology</w:t>
      </w:r>
      <w:r w:rsidRPr="00E93F43">
        <w:rPr>
          <w:sz w:val="22"/>
          <w:szCs w:val="22"/>
        </w:rPr>
        <w:t xml:space="preserve"> 875: 871-878. NLM.</w:t>
      </w:r>
    </w:p>
    <w:p w14:paraId="1CFB9B1F" w14:textId="77777777" w:rsidR="00CA0853" w:rsidRPr="007E69F8" w:rsidRDefault="00CA0853" w:rsidP="000B3456">
      <w:pPr>
        <w:pStyle w:val="BodyText"/>
        <w:ind w:left="567" w:hanging="567"/>
        <w:rPr>
          <w:sz w:val="22"/>
          <w:szCs w:val="22"/>
        </w:rPr>
      </w:pPr>
      <w:bookmarkStart w:id="1334" w:name="_ENREF_22"/>
      <w:r w:rsidRPr="007E69F8">
        <w:rPr>
          <w:sz w:val="22"/>
          <w:szCs w:val="22"/>
        </w:rPr>
        <w:t xml:space="preserve">Popper, A. N., Gross, </w:t>
      </w:r>
      <w:r>
        <w:rPr>
          <w:sz w:val="22"/>
          <w:szCs w:val="22"/>
        </w:rPr>
        <w:t xml:space="preserve">J.A., </w:t>
      </w:r>
      <w:r w:rsidRPr="007E69F8">
        <w:rPr>
          <w:sz w:val="22"/>
          <w:szCs w:val="22"/>
        </w:rPr>
        <w:t xml:space="preserve">Carlson, </w:t>
      </w:r>
      <w:r>
        <w:rPr>
          <w:sz w:val="22"/>
          <w:szCs w:val="22"/>
        </w:rPr>
        <w:t xml:space="preserve">T.J., </w:t>
      </w:r>
      <w:r w:rsidRPr="007E69F8">
        <w:rPr>
          <w:sz w:val="22"/>
          <w:szCs w:val="22"/>
        </w:rPr>
        <w:t xml:space="preserve">Skalski, </w:t>
      </w:r>
      <w:r>
        <w:rPr>
          <w:sz w:val="22"/>
          <w:szCs w:val="22"/>
        </w:rPr>
        <w:t xml:space="preserve">J., </w:t>
      </w:r>
      <w:r w:rsidRPr="007E69F8">
        <w:rPr>
          <w:sz w:val="22"/>
          <w:szCs w:val="22"/>
        </w:rPr>
        <w:t xml:space="preserve">Young, </w:t>
      </w:r>
      <w:r>
        <w:rPr>
          <w:sz w:val="22"/>
          <w:szCs w:val="22"/>
        </w:rPr>
        <w:t xml:space="preserve">J.V., </w:t>
      </w:r>
      <w:r w:rsidRPr="007E69F8">
        <w:rPr>
          <w:sz w:val="22"/>
          <w:szCs w:val="22"/>
        </w:rPr>
        <w:t xml:space="preserve">Hawkins, </w:t>
      </w:r>
      <w:r>
        <w:rPr>
          <w:sz w:val="22"/>
          <w:szCs w:val="22"/>
        </w:rPr>
        <w:t xml:space="preserve">A.D. </w:t>
      </w:r>
      <w:r w:rsidRPr="007E69F8">
        <w:rPr>
          <w:sz w:val="22"/>
          <w:szCs w:val="22"/>
        </w:rPr>
        <w:t>and Zeddies</w:t>
      </w:r>
      <w:r>
        <w:rPr>
          <w:sz w:val="22"/>
          <w:szCs w:val="22"/>
        </w:rPr>
        <w:t>, D</w:t>
      </w:r>
      <w:r w:rsidRPr="007E69F8">
        <w:rPr>
          <w:sz w:val="22"/>
          <w:szCs w:val="22"/>
        </w:rPr>
        <w:t xml:space="preserve">. 2016. Effects of exposure to the sound from seismic airguns on pallid sturgeon and paddlefish. </w:t>
      </w:r>
      <w:r w:rsidRPr="007E69F8">
        <w:rPr>
          <w:i/>
          <w:iCs/>
          <w:sz w:val="22"/>
          <w:szCs w:val="22"/>
        </w:rPr>
        <w:t>PLoS One</w:t>
      </w:r>
      <w:r w:rsidRPr="007E69F8">
        <w:rPr>
          <w:sz w:val="22"/>
          <w:szCs w:val="22"/>
        </w:rPr>
        <w:t xml:space="preserve"> 11:e0159486.</w:t>
      </w:r>
      <w:bookmarkEnd w:id="1334"/>
    </w:p>
    <w:p w14:paraId="7B7ABAC4" w14:textId="77777777" w:rsidR="00CA0853" w:rsidRPr="007E69F8" w:rsidRDefault="00CA0853" w:rsidP="000B3456">
      <w:pPr>
        <w:pStyle w:val="BodyText"/>
        <w:ind w:left="567" w:hanging="567"/>
        <w:rPr>
          <w:sz w:val="22"/>
          <w:szCs w:val="22"/>
        </w:rPr>
      </w:pPr>
      <w:bookmarkStart w:id="1335" w:name="_ENREF_23"/>
      <w:r w:rsidRPr="007E69F8">
        <w:rPr>
          <w:sz w:val="22"/>
          <w:szCs w:val="22"/>
        </w:rPr>
        <w:t xml:space="preserve">Popper, A. N., M. E. Smith, P. A. Cott, B. W. Hanna, A. O. MacGillivray, M. E. Austin, and D. A. Mann. 2005. Effects of exposure to seismic airgun use on hearing of </w:t>
      </w:r>
      <w:r w:rsidRPr="007E69F8">
        <w:rPr>
          <w:sz w:val="22"/>
          <w:szCs w:val="22"/>
        </w:rPr>
        <w:lastRenderedPageBreak/>
        <w:t>three fish species. The Journal of the Acoustical Society of America 117:3958-3971.</w:t>
      </w:r>
      <w:bookmarkEnd w:id="1335"/>
    </w:p>
    <w:p w14:paraId="2E5BEE7C" w14:textId="77777777" w:rsidR="00CA0853" w:rsidRPr="00E93F43" w:rsidRDefault="00CA0853" w:rsidP="000B3456">
      <w:pPr>
        <w:pStyle w:val="BodyText"/>
        <w:ind w:left="567" w:hanging="567"/>
        <w:rPr>
          <w:sz w:val="22"/>
          <w:szCs w:val="22"/>
        </w:rPr>
      </w:pPr>
      <w:r w:rsidRPr="00A96492">
        <w:rPr>
          <w:sz w:val="22"/>
          <w:szCs w:val="22"/>
        </w:rPr>
        <w:t>Przeslawski, R., Hurt, L., Forrest, A. and Carroll, A. 2016a. Potential short-term impacts of marine seismic surveys on scallops in the Gippsland Basin, FRDC Project No 2014/041. Geoscience Australia. Canberra.</w:t>
      </w:r>
      <w:r w:rsidRPr="00E93F43">
        <w:rPr>
          <w:sz w:val="22"/>
          <w:szCs w:val="22"/>
        </w:rPr>
        <w:t xml:space="preserve"> </w:t>
      </w:r>
    </w:p>
    <w:p w14:paraId="17D8D980" w14:textId="77777777" w:rsidR="00CA0853" w:rsidRDefault="00CA0853" w:rsidP="000B3456">
      <w:pPr>
        <w:pStyle w:val="BodyText"/>
        <w:ind w:left="567" w:hanging="567"/>
        <w:rPr>
          <w:sz w:val="22"/>
          <w:szCs w:val="22"/>
        </w:rPr>
      </w:pPr>
      <w:r w:rsidRPr="00E93F43">
        <w:rPr>
          <w:sz w:val="22"/>
          <w:szCs w:val="22"/>
        </w:rPr>
        <w:t xml:space="preserve">Przeslawski, R., </w:t>
      </w:r>
      <w:r>
        <w:rPr>
          <w:sz w:val="22"/>
          <w:szCs w:val="22"/>
        </w:rPr>
        <w:t xml:space="preserve">Bruce, B., Carroll, A., Anderson, R., Bradford, A., Durrant, A., Edmunds, M., Foster, S., Huang, Z., Hurt, L., Lansdell, M., Lee, K., Lees, C., Nichols, P. and Williams, S. 2016b. Marine Seismic Survey Impacts on Fish and Invertebrates. Final Report for the Gippsland Marine Environmental Monitoring Project. Record 2016/35. Geoscience Australia. Canberra. </w:t>
      </w:r>
    </w:p>
    <w:p w14:paraId="751CBDCB" w14:textId="77777777" w:rsidR="00CA0853" w:rsidRPr="00AF0B16" w:rsidRDefault="00CA0853" w:rsidP="000B3456">
      <w:pPr>
        <w:pStyle w:val="BodyText"/>
        <w:ind w:left="567" w:hanging="567"/>
        <w:rPr>
          <w:sz w:val="22"/>
          <w:szCs w:val="22"/>
        </w:rPr>
      </w:pPr>
      <w:r w:rsidRPr="00AF0B16">
        <w:rPr>
          <w:sz w:val="22"/>
          <w:szCs w:val="22"/>
        </w:rPr>
        <w:t>PTTEP. 2013. Montara Environmental Monitoring Program. Report of Research. A WWW</w:t>
      </w:r>
      <w:r>
        <w:rPr>
          <w:sz w:val="22"/>
          <w:szCs w:val="22"/>
        </w:rPr>
        <w:t xml:space="preserve"> document</w:t>
      </w:r>
      <w:r w:rsidRPr="00AF0B16">
        <w:rPr>
          <w:sz w:val="22"/>
          <w:szCs w:val="22"/>
        </w:rPr>
        <w:t xml:space="preserve"> accessed at: www.au.pttep.com/sustainable-development/environmentalmonitoring.</w:t>
      </w:r>
      <w:r>
        <w:rPr>
          <w:sz w:val="22"/>
          <w:szCs w:val="22"/>
        </w:rPr>
        <w:t xml:space="preserve"> </w:t>
      </w:r>
      <w:r w:rsidRPr="00AF0B16">
        <w:rPr>
          <w:sz w:val="22"/>
          <w:szCs w:val="22"/>
        </w:rPr>
        <w:t>PTTEP Australasia. Perth.</w:t>
      </w:r>
    </w:p>
    <w:p w14:paraId="6AA9FAB9" w14:textId="77777777" w:rsidR="00CA0853" w:rsidRPr="00C47D80" w:rsidRDefault="00CA0853" w:rsidP="000B3456">
      <w:pPr>
        <w:pStyle w:val="BodyText"/>
        <w:ind w:left="567" w:hanging="567"/>
        <w:rPr>
          <w:sz w:val="22"/>
          <w:szCs w:val="22"/>
        </w:rPr>
      </w:pPr>
      <w:r w:rsidRPr="00C47D80">
        <w:rPr>
          <w:sz w:val="22"/>
          <w:szCs w:val="22"/>
        </w:rPr>
        <w:t>Punt, A. E., Trinnie, F., Walker, T. I., McGarvey</w:t>
      </w:r>
      <w:r>
        <w:rPr>
          <w:sz w:val="22"/>
          <w:szCs w:val="22"/>
        </w:rPr>
        <w:t>, R., Feenstra, J., Linnane, A.</w:t>
      </w:r>
      <w:r w:rsidRPr="00C47D80">
        <w:rPr>
          <w:sz w:val="22"/>
          <w:szCs w:val="22"/>
        </w:rPr>
        <w:t xml:space="preserve"> and Hartmann, K. 2012.</w:t>
      </w:r>
      <w:r>
        <w:rPr>
          <w:sz w:val="22"/>
          <w:szCs w:val="22"/>
        </w:rPr>
        <w:t xml:space="preserve"> </w:t>
      </w:r>
      <w:r w:rsidRPr="00C47D80">
        <w:rPr>
          <w:sz w:val="22"/>
          <w:szCs w:val="22"/>
        </w:rPr>
        <w:t xml:space="preserve">The performance of a management procedure for rock lobsters, </w:t>
      </w:r>
      <w:r w:rsidRPr="00C47D80">
        <w:rPr>
          <w:i/>
          <w:iCs/>
          <w:sz w:val="22"/>
          <w:szCs w:val="22"/>
        </w:rPr>
        <w:t>Jasus edwardsii,</w:t>
      </w:r>
      <w:r w:rsidRPr="00C47D80">
        <w:rPr>
          <w:sz w:val="22"/>
          <w:szCs w:val="22"/>
        </w:rPr>
        <w:t xml:space="preserve"> off</w:t>
      </w:r>
      <w:r>
        <w:rPr>
          <w:sz w:val="22"/>
          <w:szCs w:val="22"/>
        </w:rPr>
        <w:t xml:space="preserve"> </w:t>
      </w:r>
      <w:r w:rsidRPr="00C47D80">
        <w:rPr>
          <w:sz w:val="22"/>
          <w:szCs w:val="22"/>
        </w:rPr>
        <w:t xml:space="preserve">western Victoria, Australia in the face on non-stationary dynamics. </w:t>
      </w:r>
      <w:r w:rsidRPr="00C47D80">
        <w:rPr>
          <w:i/>
          <w:iCs/>
          <w:sz w:val="22"/>
          <w:szCs w:val="22"/>
        </w:rPr>
        <w:t>Fisheries Research</w:t>
      </w:r>
      <w:r w:rsidRPr="00C47D80">
        <w:rPr>
          <w:sz w:val="22"/>
          <w:szCs w:val="22"/>
        </w:rPr>
        <w:t xml:space="preserve"> 137:116–128</w:t>
      </w:r>
      <w:r>
        <w:rPr>
          <w:sz w:val="22"/>
          <w:szCs w:val="22"/>
        </w:rPr>
        <w:t>.</w:t>
      </w:r>
    </w:p>
    <w:p w14:paraId="16046D4B" w14:textId="77777777" w:rsidR="00CA0853" w:rsidRPr="00E93F43" w:rsidRDefault="00CA0853" w:rsidP="000B3456">
      <w:pPr>
        <w:pStyle w:val="BodyText"/>
        <w:ind w:left="567" w:hanging="567"/>
        <w:rPr>
          <w:sz w:val="22"/>
          <w:szCs w:val="22"/>
        </w:rPr>
      </w:pPr>
      <w:r w:rsidRPr="00E93F43">
        <w:rPr>
          <w:sz w:val="22"/>
          <w:szCs w:val="22"/>
        </w:rPr>
        <w:t>Purser, J. and Radford</w:t>
      </w:r>
      <w:r>
        <w:rPr>
          <w:sz w:val="22"/>
          <w:szCs w:val="22"/>
        </w:rPr>
        <w:t>, A.N</w:t>
      </w:r>
      <w:r w:rsidRPr="00E93F43">
        <w:rPr>
          <w:sz w:val="22"/>
          <w:szCs w:val="22"/>
        </w:rPr>
        <w:t>. 2011. Acoustic noise induces attention shifts and reduces foraging performance in three-spined sticklebacks (</w:t>
      </w:r>
      <w:r w:rsidRPr="007E69F8">
        <w:rPr>
          <w:i/>
          <w:iCs/>
          <w:sz w:val="22"/>
          <w:szCs w:val="22"/>
        </w:rPr>
        <w:t>Gasterosteus aculeatus</w:t>
      </w:r>
      <w:r w:rsidRPr="00E93F43">
        <w:rPr>
          <w:sz w:val="22"/>
          <w:szCs w:val="22"/>
        </w:rPr>
        <w:t xml:space="preserve">). </w:t>
      </w:r>
      <w:r w:rsidRPr="007E69F8">
        <w:rPr>
          <w:i/>
          <w:iCs/>
          <w:sz w:val="22"/>
          <w:szCs w:val="22"/>
        </w:rPr>
        <w:t>PLoS ONE</w:t>
      </w:r>
      <w:r w:rsidRPr="00E93F43">
        <w:rPr>
          <w:sz w:val="22"/>
          <w:szCs w:val="22"/>
        </w:rPr>
        <w:t xml:space="preserve"> 6(2): e17478. </w:t>
      </w:r>
    </w:p>
    <w:p w14:paraId="42E180CE" w14:textId="77777777" w:rsidR="00CA0853" w:rsidRPr="007E69F8" w:rsidRDefault="00CA0853" w:rsidP="000B3456">
      <w:pPr>
        <w:pStyle w:val="BodyText"/>
        <w:ind w:left="567" w:hanging="567"/>
        <w:rPr>
          <w:sz w:val="22"/>
          <w:szCs w:val="22"/>
        </w:rPr>
      </w:pPr>
      <w:bookmarkStart w:id="1336" w:name="_ENREF_25"/>
      <w:r w:rsidRPr="007E69F8">
        <w:rPr>
          <w:sz w:val="22"/>
          <w:szCs w:val="22"/>
        </w:rPr>
        <w:t xml:space="preserve">Radford, A. N., Lèbre, </w:t>
      </w:r>
      <w:r>
        <w:rPr>
          <w:sz w:val="22"/>
          <w:szCs w:val="22"/>
        </w:rPr>
        <w:t xml:space="preserve">L., </w:t>
      </w:r>
      <w:r w:rsidRPr="007E69F8">
        <w:rPr>
          <w:sz w:val="22"/>
          <w:szCs w:val="22"/>
        </w:rPr>
        <w:t xml:space="preserve">Lecaillon, </w:t>
      </w:r>
      <w:r>
        <w:rPr>
          <w:sz w:val="22"/>
          <w:szCs w:val="22"/>
        </w:rPr>
        <w:t xml:space="preserve">G., </w:t>
      </w:r>
      <w:r w:rsidRPr="007E69F8">
        <w:rPr>
          <w:sz w:val="22"/>
          <w:szCs w:val="22"/>
        </w:rPr>
        <w:t xml:space="preserve">Nedelec, </w:t>
      </w:r>
      <w:r>
        <w:rPr>
          <w:sz w:val="22"/>
          <w:szCs w:val="22"/>
        </w:rPr>
        <w:t xml:space="preserve">S.L. </w:t>
      </w:r>
      <w:r w:rsidRPr="007E69F8">
        <w:rPr>
          <w:sz w:val="22"/>
          <w:szCs w:val="22"/>
        </w:rPr>
        <w:t>and Simpson</w:t>
      </w:r>
      <w:r>
        <w:rPr>
          <w:sz w:val="22"/>
          <w:szCs w:val="22"/>
        </w:rPr>
        <w:t>, S.D</w:t>
      </w:r>
      <w:r w:rsidRPr="007E69F8">
        <w:rPr>
          <w:sz w:val="22"/>
          <w:szCs w:val="22"/>
        </w:rPr>
        <w:t>. 2016. Repeated exposure reduces the response to impulsive noise in European seabass. Global Change Biology.</w:t>
      </w:r>
      <w:bookmarkEnd w:id="1336"/>
    </w:p>
    <w:p w14:paraId="60173F44" w14:textId="77777777" w:rsidR="00CA0853" w:rsidRPr="0003554F" w:rsidRDefault="00CA0853" w:rsidP="000B3456">
      <w:pPr>
        <w:pStyle w:val="BodyText"/>
        <w:ind w:left="567" w:hanging="567"/>
        <w:rPr>
          <w:sz w:val="22"/>
          <w:szCs w:val="22"/>
        </w:rPr>
      </w:pPr>
      <w:r w:rsidRPr="0003554F">
        <w:rPr>
          <w:sz w:val="22"/>
          <w:szCs w:val="22"/>
        </w:rPr>
        <w:t>Ramachandran, S.D., Hodson, P.V., Khan, C.W. and Lee, K. 2004. Oil dispersant increases</w:t>
      </w:r>
      <w:r>
        <w:rPr>
          <w:sz w:val="22"/>
          <w:szCs w:val="22"/>
        </w:rPr>
        <w:t xml:space="preserve"> </w:t>
      </w:r>
      <w:r w:rsidRPr="0003554F">
        <w:rPr>
          <w:sz w:val="22"/>
          <w:szCs w:val="22"/>
        </w:rPr>
        <w:t xml:space="preserve">PAH uptake by fish exposed to crude oil. </w:t>
      </w:r>
      <w:r w:rsidRPr="0003554F">
        <w:rPr>
          <w:i/>
          <w:sz w:val="22"/>
          <w:szCs w:val="22"/>
        </w:rPr>
        <w:t>Ecotoxicology and Environmental Safety</w:t>
      </w:r>
      <w:r w:rsidRPr="0003554F">
        <w:rPr>
          <w:sz w:val="22"/>
          <w:szCs w:val="22"/>
        </w:rPr>
        <w:t xml:space="preserve"> 59:300– 308.</w:t>
      </w:r>
    </w:p>
    <w:p w14:paraId="76E30B23" w14:textId="77777777" w:rsidR="00CA0853" w:rsidRPr="0003554F" w:rsidRDefault="00CA0853" w:rsidP="000B3456">
      <w:pPr>
        <w:pStyle w:val="BodyText"/>
        <w:ind w:left="567" w:hanging="567"/>
        <w:rPr>
          <w:sz w:val="22"/>
          <w:szCs w:val="22"/>
        </w:rPr>
      </w:pPr>
      <w:r w:rsidRPr="0003554F">
        <w:rPr>
          <w:sz w:val="22"/>
          <w:szCs w:val="22"/>
        </w:rPr>
        <w:t>Rawson, C., Gagnon, M.M. and Williams, H. 2011. Montara Well Release Olfactory Analysis of</w:t>
      </w:r>
      <w:r>
        <w:rPr>
          <w:sz w:val="22"/>
          <w:szCs w:val="22"/>
        </w:rPr>
        <w:t xml:space="preserve"> </w:t>
      </w:r>
      <w:r w:rsidRPr="0003554F">
        <w:rPr>
          <w:sz w:val="22"/>
          <w:szCs w:val="22"/>
        </w:rPr>
        <w:t>Timor Sea Fish Fillets. Curtin University, Perth, Western Australia, November 2011.</w:t>
      </w:r>
    </w:p>
    <w:p w14:paraId="7F2F2C15" w14:textId="77777777" w:rsidR="00CA0853" w:rsidRPr="00C03018" w:rsidRDefault="00CA0853" w:rsidP="000B3456">
      <w:pPr>
        <w:pStyle w:val="BodyText"/>
        <w:ind w:left="567" w:hanging="567"/>
        <w:rPr>
          <w:sz w:val="22"/>
          <w:szCs w:val="22"/>
        </w:rPr>
      </w:pPr>
      <w:r w:rsidRPr="00C03018">
        <w:rPr>
          <w:sz w:val="22"/>
          <w:szCs w:val="22"/>
        </w:rPr>
        <w:t xml:space="preserve">Reilly, S.B., Bannister, J.L., Best, P.B., Brown, M., Brownell Jr, R.L., Butterworth, D.S, Clapham, D.J., Cooke, J., Donovan, G.P., Urbán, J. and Zerbini, A.N. 2008. </w:t>
      </w:r>
      <w:r w:rsidRPr="005A3A17">
        <w:rPr>
          <w:i/>
          <w:iCs/>
          <w:sz w:val="22"/>
          <w:szCs w:val="22"/>
        </w:rPr>
        <w:t>Caperea marginata</w:t>
      </w:r>
      <w:r w:rsidRPr="00C03018">
        <w:rPr>
          <w:sz w:val="22"/>
          <w:szCs w:val="22"/>
        </w:rPr>
        <w:t xml:space="preserve">. In: IUCN Red List of Threatened Species. Version 2011.2. </w:t>
      </w:r>
    </w:p>
    <w:p w14:paraId="4FBB10E6" w14:textId="77777777" w:rsidR="00CA0853" w:rsidRPr="00A96492" w:rsidRDefault="00CA0853" w:rsidP="000B3456">
      <w:pPr>
        <w:pStyle w:val="BodyText"/>
        <w:ind w:left="567" w:hanging="567"/>
        <w:rPr>
          <w:sz w:val="22"/>
          <w:szCs w:val="22"/>
        </w:rPr>
      </w:pPr>
      <w:r w:rsidRPr="00A96492">
        <w:rPr>
          <w:sz w:val="22"/>
          <w:szCs w:val="22"/>
        </w:rPr>
        <w:t xml:space="preserve">Richardson , A.J., Matear, R.J. and Lenton, A. 2017. Potential impacts on zooplankton of seismic surveys. CSIRO. Australia. </w:t>
      </w:r>
    </w:p>
    <w:p w14:paraId="5684175A" w14:textId="77777777" w:rsidR="00CA0853" w:rsidRPr="00C569B0" w:rsidRDefault="00CA0853" w:rsidP="000B3456">
      <w:pPr>
        <w:pStyle w:val="BodyText"/>
        <w:ind w:left="567" w:hanging="567"/>
        <w:rPr>
          <w:sz w:val="22"/>
          <w:szCs w:val="22"/>
        </w:rPr>
      </w:pPr>
      <w:r w:rsidRPr="00C569B0">
        <w:rPr>
          <w:sz w:val="22"/>
          <w:szCs w:val="22"/>
        </w:rPr>
        <w:t>Richardson, W. J., Greene, C. R., Maime, C. I. and Thomson, D. H. 1995. Marine Ma</w:t>
      </w:r>
      <w:r>
        <w:rPr>
          <w:sz w:val="22"/>
          <w:szCs w:val="22"/>
        </w:rPr>
        <w:t>mmals and Noise. Academic Press.</w:t>
      </w:r>
      <w:r w:rsidRPr="00C569B0">
        <w:rPr>
          <w:sz w:val="22"/>
          <w:szCs w:val="22"/>
        </w:rPr>
        <w:t xml:space="preserve"> California.</w:t>
      </w:r>
    </w:p>
    <w:p w14:paraId="2480C2B2" w14:textId="77777777" w:rsidR="00CA0853" w:rsidRPr="00E93F43" w:rsidRDefault="00CA0853" w:rsidP="000B3456">
      <w:pPr>
        <w:pStyle w:val="BodyText"/>
        <w:ind w:left="567" w:hanging="567"/>
        <w:rPr>
          <w:sz w:val="22"/>
          <w:szCs w:val="22"/>
        </w:rPr>
      </w:pPr>
      <w:r w:rsidRPr="00E93F43">
        <w:rPr>
          <w:sz w:val="22"/>
          <w:szCs w:val="22"/>
        </w:rPr>
        <w:t xml:space="preserve">Ridgway, S.H., Wever, </w:t>
      </w:r>
      <w:r>
        <w:rPr>
          <w:sz w:val="22"/>
          <w:szCs w:val="22"/>
        </w:rPr>
        <w:t xml:space="preserve">E.G., </w:t>
      </w:r>
      <w:r w:rsidRPr="00E93F43">
        <w:rPr>
          <w:sz w:val="22"/>
          <w:szCs w:val="22"/>
        </w:rPr>
        <w:t xml:space="preserve">McCormick, </w:t>
      </w:r>
      <w:r>
        <w:rPr>
          <w:sz w:val="22"/>
          <w:szCs w:val="22"/>
        </w:rPr>
        <w:t xml:space="preserve">J.G., </w:t>
      </w:r>
      <w:r w:rsidRPr="00E93F43">
        <w:rPr>
          <w:sz w:val="22"/>
          <w:szCs w:val="22"/>
        </w:rPr>
        <w:t xml:space="preserve">Palin, </w:t>
      </w:r>
      <w:r>
        <w:rPr>
          <w:sz w:val="22"/>
          <w:szCs w:val="22"/>
        </w:rPr>
        <w:t xml:space="preserve">J. </w:t>
      </w:r>
      <w:r w:rsidRPr="00E93F43">
        <w:rPr>
          <w:sz w:val="22"/>
          <w:szCs w:val="22"/>
        </w:rPr>
        <w:t>and Anderson</w:t>
      </w:r>
      <w:r>
        <w:rPr>
          <w:sz w:val="22"/>
          <w:szCs w:val="22"/>
        </w:rPr>
        <w:t>, J.H</w:t>
      </w:r>
      <w:r w:rsidRPr="00E93F43">
        <w:rPr>
          <w:sz w:val="22"/>
          <w:szCs w:val="22"/>
        </w:rPr>
        <w:t xml:space="preserve">. 1969. Hearing in the giant sea turtle, </w:t>
      </w:r>
      <w:r w:rsidRPr="007101AA">
        <w:rPr>
          <w:i/>
          <w:iCs/>
          <w:sz w:val="22"/>
          <w:szCs w:val="22"/>
        </w:rPr>
        <w:t>Chelonia mydas</w:t>
      </w:r>
      <w:r w:rsidRPr="00E93F43">
        <w:rPr>
          <w:sz w:val="22"/>
          <w:szCs w:val="22"/>
        </w:rPr>
        <w:t xml:space="preserve">. </w:t>
      </w:r>
      <w:r w:rsidRPr="007101AA">
        <w:rPr>
          <w:i/>
          <w:iCs/>
          <w:sz w:val="22"/>
          <w:szCs w:val="22"/>
        </w:rPr>
        <w:t>Proceedings of the National Academy of Sciences</w:t>
      </w:r>
      <w:r w:rsidRPr="00E93F43">
        <w:rPr>
          <w:sz w:val="22"/>
          <w:szCs w:val="22"/>
        </w:rPr>
        <w:t xml:space="preserve"> 64(3): 884-890.</w:t>
      </w:r>
    </w:p>
    <w:p w14:paraId="7AB9E8D3" w14:textId="77777777" w:rsidR="00CA0853" w:rsidRPr="00E93F43" w:rsidRDefault="00CA0853" w:rsidP="000B3456">
      <w:pPr>
        <w:pStyle w:val="BodyText"/>
        <w:ind w:left="567" w:hanging="567"/>
        <w:rPr>
          <w:sz w:val="22"/>
          <w:szCs w:val="22"/>
        </w:rPr>
      </w:pPr>
      <w:r w:rsidRPr="00E93F43">
        <w:rPr>
          <w:sz w:val="22"/>
          <w:szCs w:val="22"/>
        </w:rPr>
        <w:t>Roberts, L. and Breithaupt</w:t>
      </w:r>
      <w:r>
        <w:rPr>
          <w:sz w:val="22"/>
          <w:szCs w:val="22"/>
        </w:rPr>
        <w:t>, T</w:t>
      </w:r>
      <w:r w:rsidRPr="00E93F43">
        <w:rPr>
          <w:sz w:val="22"/>
          <w:szCs w:val="22"/>
        </w:rPr>
        <w:t xml:space="preserve">. 2016. Sensitivity of crustaceans to substrate-borne vibration. </w:t>
      </w:r>
      <w:r w:rsidRPr="007101AA">
        <w:rPr>
          <w:i/>
          <w:iCs/>
          <w:sz w:val="22"/>
          <w:szCs w:val="22"/>
        </w:rPr>
        <w:t>Advances in Experimental Medicine and Biology</w:t>
      </w:r>
      <w:r w:rsidRPr="00E93F43">
        <w:rPr>
          <w:sz w:val="22"/>
          <w:szCs w:val="22"/>
        </w:rPr>
        <w:t xml:space="preserve"> 875: 925-931.</w:t>
      </w:r>
    </w:p>
    <w:p w14:paraId="4925CF67" w14:textId="77777777" w:rsidR="00CA0853" w:rsidRPr="00E93F43" w:rsidRDefault="00CA0853" w:rsidP="000B3456">
      <w:pPr>
        <w:pStyle w:val="BodyText"/>
        <w:ind w:left="567" w:hanging="567"/>
        <w:rPr>
          <w:sz w:val="22"/>
          <w:szCs w:val="22"/>
        </w:rPr>
      </w:pPr>
      <w:r w:rsidRPr="00E93F43">
        <w:rPr>
          <w:sz w:val="22"/>
          <w:szCs w:val="22"/>
        </w:rPr>
        <w:t xml:space="preserve">Rogers, P., Hawkins, </w:t>
      </w:r>
      <w:r>
        <w:rPr>
          <w:sz w:val="22"/>
          <w:szCs w:val="22"/>
        </w:rPr>
        <w:t xml:space="preserve">A., </w:t>
      </w:r>
      <w:r w:rsidRPr="00E93F43">
        <w:rPr>
          <w:sz w:val="22"/>
          <w:szCs w:val="22"/>
        </w:rPr>
        <w:t xml:space="preserve">Popper, </w:t>
      </w:r>
      <w:r>
        <w:rPr>
          <w:sz w:val="22"/>
          <w:szCs w:val="22"/>
        </w:rPr>
        <w:t xml:space="preserve">A., </w:t>
      </w:r>
      <w:r w:rsidRPr="00E93F43">
        <w:rPr>
          <w:sz w:val="22"/>
          <w:szCs w:val="22"/>
        </w:rPr>
        <w:t xml:space="preserve">Fay, </w:t>
      </w:r>
      <w:r>
        <w:rPr>
          <w:sz w:val="22"/>
          <w:szCs w:val="22"/>
        </w:rPr>
        <w:t xml:space="preserve">R. </w:t>
      </w:r>
      <w:r w:rsidRPr="00E93F43">
        <w:rPr>
          <w:sz w:val="22"/>
          <w:szCs w:val="22"/>
        </w:rPr>
        <w:t>and Gray</w:t>
      </w:r>
      <w:r>
        <w:rPr>
          <w:sz w:val="22"/>
          <w:szCs w:val="22"/>
        </w:rPr>
        <w:t>, M</w:t>
      </w:r>
      <w:r w:rsidRPr="00E93F43">
        <w:rPr>
          <w:sz w:val="22"/>
          <w:szCs w:val="22"/>
        </w:rPr>
        <w:t>. 2016. Parvulescu Revisited: Small tank acoustics for bioacousticians. In</w:t>
      </w:r>
      <w:r>
        <w:rPr>
          <w:sz w:val="22"/>
          <w:szCs w:val="22"/>
        </w:rPr>
        <w:t>:</w:t>
      </w:r>
      <w:r w:rsidRPr="00E93F43">
        <w:rPr>
          <w:sz w:val="22"/>
          <w:szCs w:val="22"/>
        </w:rPr>
        <w:t xml:space="preserve"> Popper, A. and Hawkins</w:t>
      </w:r>
      <w:r>
        <w:rPr>
          <w:sz w:val="22"/>
          <w:szCs w:val="22"/>
        </w:rPr>
        <w:t>, A.</w:t>
      </w:r>
      <w:r w:rsidRPr="00E93F43">
        <w:rPr>
          <w:sz w:val="22"/>
          <w:szCs w:val="22"/>
        </w:rPr>
        <w:t xml:space="preserve"> (eds.). </w:t>
      </w:r>
      <w:r w:rsidRPr="007101AA">
        <w:rPr>
          <w:i/>
          <w:iCs/>
          <w:sz w:val="22"/>
          <w:szCs w:val="22"/>
        </w:rPr>
        <w:t>The Effects of Noise on Aquatic Life II</w:t>
      </w:r>
      <w:r w:rsidRPr="00E93F43">
        <w:rPr>
          <w:sz w:val="22"/>
          <w:szCs w:val="22"/>
        </w:rPr>
        <w:t>. Springer. 933-941.</w:t>
      </w:r>
    </w:p>
    <w:p w14:paraId="3F059A31" w14:textId="77777777" w:rsidR="00CA0853" w:rsidRPr="00C569B0" w:rsidRDefault="00CA0853" w:rsidP="000B3456">
      <w:pPr>
        <w:pStyle w:val="BodyText"/>
        <w:ind w:left="567" w:hanging="567"/>
        <w:rPr>
          <w:sz w:val="22"/>
          <w:szCs w:val="22"/>
        </w:rPr>
      </w:pPr>
      <w:r w:rsidRPr="00C569B0">
        <w:rPr>
          <w:sz w:val="22"/>
          <w:szCs w:val="22"/>
        </w:rPr>
        <w:lastRenderedPageBreak/>
        <w:t xml:space="preserve">Ross, G.J.B. 2006. Review of the Conservation Status of Australia's Smaller Whales and Dolphins. Report to the Australian Department </w:t>
      </w:r>
      <w:r>
        <w:rPr>
          <w:sz w:val="22"/>
          <w:szCs w:val="22"/>
        </w:rPr>
        <w:t>of the Environment and Heritage.</w:t>
      </w:r>
      <w:r w:rsidRPr="00C569B0">
        <w:rPr>
          <w:sz w:val="22"/>
          <w:szCs w:val="22"/>
        </w:rPr>
        <w:t xml:space="preserve"> Canberra. </w:t>
      </w:r>
    </w:p>
    <w:p w14:paraId="54F9327A" w14:textId="77777777" w:rsidR="00CA0853" w:rsidRPr="00CE0E3A" w:rsidRDefault="00CA0853" w:rsidP="000B3456">
      <w:pPr>
        <w:pStyle w:val="BodyText"/>
        <w:ind w:left="567" w:hanging="567"/>
        <w:rPr>
          <w:sz w:val="22"/>
          <w:szCs w:val="22"/>
        </w:rPr>
      </w:pPr>
      <w:r w:rsidRPr="00CE0E3A">
        <w:rPr>
          <w:sz w:val="22"/>
          <w:szCs w:val="22"/>
        </w:rPr>
        <w:t>Rowe, C.L., Mitchelmore, C.L. and Baker, J.E. 2009. Lack of Biological Effects of Water</w:t>
      </w:r>
      <w:r>
        <w:rPr>
          <w:sz w:val="22"/>
          <w:szCs w:val="22"/>
        </w:rPr>
        <w:t xml:space="preserve"> </w:t>
      </w:r>
      <w:r w:rsidRPr="00CE0E3A">
        <w:rPr>
          <w:sz w:val="22"/>
          <w:szCs w:val="22"/>
        </w:rPr>
        <w:t>Accommodated Fractions of Chemically and Physically Dispersed Oil on Molecular,</w:t>
      </w:r>
      <w:r>
        <w:rPr>
          <w:sz w:val="22"/>
          <w:szCs w:val="22"/>
        </w:rPr>
        <w:t xml:space="preserve"> </w:t>
      </w:r>
      <w:r w:rsidRPr="00CE0E3A">
        <w:rPr>
          <w:sz w:val="22"/>
          <w:szCs w:val="22"/>
        </w:rPr>
        <w:t>Physiological, and Behavioural Traits of Juvenile Snapping Turtles Following Embryonic</w:t>
      </w:r>
      <w:r>
        <w:rPr>
          <w:sz w:val="22"/>
          <w:szCs w:val="22"/>
        </w:rPr>
        <w:t xml:space="preserve"> </w:t>
      </w:r>
      <w:r w:rsidRPr="00CE0E3A">
        <w:rPr>
          <w:sz w:val="22"/>
          <w:szCs w:val="22"/>
        </w:rPr>
        <w:t xml:space="preserve">Exposure. </w:t>
      </w:r>
      <w:r w:rsidRPr="005A3A17">
        <w:rPr>
          <w:i/>
          <w:iCs/>
          <w:sz w:val="22"/>
          <w:szCs w:val="22"/>
        </w:rPr>
        <w:t>Science of The Total Environment.</w:t>
      </w:r>
      <w:r w:rsidRPr="00CE0E3A">
        <w:rPr>
          <w:sz w:val="22"/>
          <w:szCs w:val="22"/>
        </w:rPr>
        <w:t xml:space="preserve"> 407(20): 5344– 5355.</w:t>
      </w:r>
    </w:p>
    <w:p w14:paraId="771242A4" w14:textId="77777777" w:rsidR="00CA0853" w:rsidRPr="00B81FDB" w:rsidRDefault="00CA0853" w:rsidP="000B3456">
      <w:pPr>
        <w:pStyle w:val="BodyText"/>
        <w:ind w:left="567" w:hanging="567"/>
        <w:rPr>
          <w:sz w:val="22"/>
          <w:szCs w:val="22"/>
        </w:rPr>
      </w:pPr>
      <w:r w:rsidRPr="00B81FDB">
        <w:rPr>
          <w:sz w:val="22"/>
          <w:szCs w:val="22"/>
        </w:rPr>
        <w:t>RPS APASA</w:t>
      </w:r>
      <w:r>
        <w:rPr>
          <w:sz w:val="22"/>
          <w:szCs w:val="22"/>
        </w:rPr>
        <w:t>.</w:t>
      </w:r>
      <w:r w:rsidRPr="00B81FDB">
        <w:rPr>
          <w:sz w:val="22"/>
          <w:szCs w:val="22"/>
        </w:rPr>
        <w:t xml:space="preserve"> 2016</w:t>
      </w:r>
      <w:r>
        <w:rPr>
          <w:sz w:val="22"/>
          <w:szCs w:val="22"/>
        </w:rPr>
        <w:t>. Marine Seismic Survey VIC-GIP-02 and GCS15-1 (V), Gippsland Basin. Oil Spill Modelling Study. Prepared by RPS APASA Pty Ltd for CarbonNet.</w:t>
      </w:r>
    </w:p>
    <w:p w14:paraId="129382FE" w14:textId="4F38280D" w:rsidR="00CA0853" w:rsidRDefault="00CA0853" w:rsidP="000B3456">
      <w:pPr>
        <w:ind w:left="567" w:hanging="567"/>
        <w:rPr>
          <w:sz w:val="22"/>
          <w:szCs w:val="22"/>
          <w:lang w:val="en-GB"/>
        </w:rPr>
      </w:pPr>
      <w:r w:rsidRPr="00BC2E6C">
        <w:rPr>
          <w:sz w:val="22"/>
          <w:szCs w:val="22"/>
          <w:lang w:val="en-GB"/>
        </w:rPr>
        <w:t xml:space="preserve">RPS. 2017. </w:t>
      </w:r>
      <w:r w:rsidR="00B71E21" w:rsidRPr="00BC2E6C">
        <w:rPr>
          <w:sz w:val="22"/>
          <w:szCs w:val="22"/>
          <w:lang w:val="en-GB"/>
        </w:rPr>
        <w:t>Technical</w:t>
      </w:r>
      <w:r w:rsidR="00B71E21">
        <w:rPr>
          <w:sz w:val="22"/>
          <w:szCs w:val="22"/>
          <w:lang w:val="en-GB"/>
        </w:rPr>
        <w:t xml:space="preserve"> Memo – Review of Potential Effects of CarbonNet Seismic Survey on Pipelines. RPS Group. Brighton, </w:t>
      </w:r>
      <w:r w:rsidR="00BC2E6C">
        <w:rPr>
          <w:sz w:val="22"/>
          <w:szCs w:val="22"/>
          <w:lang w:val="en-GB"/>
        </w:rPr>
        <w:t>England</w:t>
      </w:r>
      <w:r w:rsidR="00B71E21">
        <w:rPr>
          <w:sz w:val="22"/>
          <w:szCs w:val="22"/>
          <w:lang w:val="en-GB"/>
        </w:rPr>
        <w:t xml:space="preserve">. </w:t>
      </w:r>
    </w:p>
    <w:p w14:paraId="52EEC556" w14:textId="77777777" w:rsidR="00DD2AC4" w:rsidRPr="00CA0853" w:rsidRDefault="00DD2AC4" w:rsidP="000B3456">
      <w:pPr>
        <w:ind w:left="567" w:hanging="567"/>
        <w:rPr>
          <w:sz w:val="22"/>
          <w:szCs w:val="22"/>
          <w:lang w:val="en-GB"/>
        </w:rPr>
      </w:pPr>
    </w:p>
    <w:p w14:paraId="40151607" w14:textId="77777777" w:rsidR="00CA0853" w:rsidRPr="00B81FDB" w:rsidRDefault="00CA0853" w:rsidP="000B3456">
      <w:pPr>
        <w:pStyle w:val="BodyText"/>
        <w:ind w:left="567" w:hanging="567"/>
        <w:rPr>
          <w:sz w:val="22"/>
          <w:szCs w:val="22"/>
        </w:rPr>
      </w:pPr>
      <w:r w:rsidRPr="00A26A8F">
        <w:rPr>
          <w:sz w:val="22"/>
          <w:szCs w:val="22"/>
        </w:rPr>
        <w:t>Saddlier, S., Jackson, J. and Hammer, M. 2010. National</w:t>
      </w:r>
      <w:r>
        <w:rPr>
          <w:sz w:val="22"/>
          <w:szCs w:val="22"/>
        </w:rPr>
        <w:t xml:space="preserve"> Recovery Plan for the Dwarf Galaxias </w:t>
      </w:r>
      <w:r w:rsidRPr="007D3A4A">
        <w:rPr>
          <w:i/>
          <w:sz w:val="22"/>
          <w:szCs w:val="22"/>
        </w:rPr>
        <w:t>Galaxiella pusilla</w:t>
      </w:r>
      <w:r>
        <w:rPr>
          <w:sz w:val="22"/>
          <w:szCs w:val="22"/>
        </w:rPr>
        <w:t xml:space="preserve">.  Department of Sustainability and Environment. East Melbourne. </w:t>
      </w:r>
    </w:p>
    <w:p w14:paraId="03FAD686" w14:textId="77777777" w:rsidR="00CA0853" w:rsidRPr="00AF2120" w:rsidRDefault="00CA0853" w:rsidP="000B3456">
      <w:pPr>
        <w:pStyle w:val="BodyText"/>
        <w:ind w:left="567" w:hanging="567"/>
        <w:rPr>
          <w:sz w:val="22"/>
          <w:szCs w:val="22"/>
        </w:rPr>
      </w:pPr>
      <w:r w:rsidRPr="00AF2120">
        <w:rPr>
          <w:sz w:val="22"/>
          <w:szCs w:val="22"/>
        </w:rPr>
        <w:t xml:space="preserve">Saetre, R. and E. Ona, 1996. Seismic investigations and damages on fish eggs and larvae; an evaluation of possible effects on stock level. </w:t>
      </w:r>
      <w:r w:rsidRPr="00AF2120">
        <w:rPr>
          <w:i/>
          <w:sz w:val="22"/>
          <w:szCs w:val="22"/>
        </w:rPr>
        <w:t>Fisken og Havet</w:t>
      </w:r>
      <w:r w:rsidRPr="00AF2120">
        <w:rPr>
          <w:sz w:val="22"/>
          <w:szCs w:val="22"/>
        </w:rPr>
        <w:t xml:space="preserve"> 1996:1-17, 1-8. </w:t>
      </w:r>
    </w:p>
    <w:p w14:paraId="49048D33" w14:textId="77777777" w:rsidR="00CA0853" w:rsidRPr="00E93F43" w:rsidRDefault="00CA0853" w:rsidP="000B3456">
      <w:pPr>
        <w:pStyle w:val="BodyText"/>
        <w:ind w:left="567" w:hanging="567"/>
        <w:rPr>
          <w:sz w:val="22"/>
          <w:szCs w:val="22"/>
        </w:rPr>
      </w:pPr>
      <w:r w:rsidRPr="00E93F43">
        <w:rPr>
          <w:sz w:val="22"/>
          <w:szCs w:val="22"/>
        </w:rPr>
        <w:t xml:space="preserve">Samson, J.E., Mooney, </w:t>
      </w:r>
      <w:r>
        <w:rPr>
          <w:sz w:val="22"/>
          <w:szCs w:val="22"/>
        </w:rPr>
        <w:t xml:space="preserve">T.A., </w:t>
      </w:r>
      <w:r w:rsidRPr="00E93F43">
        <w:rPr>
          <w:sz w:val="22"/>
          <w:szCs w:val="22"/>
        </w:rPr>
        <w:t xml:space="preserve">Gussekloo, </w:t>
      </w:r>
      <w:r>
        <w:rPr>
          <w:sz w:val="22"/>
          <w:szCs w:val="22"/>
        </w:rPr>
        <w:t xml:space="preserve">S.W. </w:t>
      </w:r>
      <w:r w:rsidRPr="00E93F43">
        <w:rPr>
          <w:sz w:val="22"/>
          <w:szCs w:val="22"/>
        </w:rPr>
        <w:t>and Hanlon</w:t>
      </w:r>
      <w:r>
        <w:rPr>
          <w:sz w:val="22"/>
          <w:szCs w:val="22"/>
        </w:rPr>
        <w:t>, R.T</w:t>
      </w:r>
      <w:r w:rsidRPr="00E93F43">
        <w:rPr>
          <w:sz w:val="22"/>
          <w:szCs w:val="22"/>
        </w:rPr>
        <w:t xml:space="preserve">. 2016. A Brief Review of Cephalopod Behavioral Responses to Sound. </w:t>
      </w:r>
      <w:r w:rsidRPr="00FC6EC9">
        <w:rPr>
          <w:i/>
          <w:iCs/>
          <w:sz w:val="22"/>
          <w:szCs w:val="22"/>
        </w:rPr>
        <w:t>Adv</w:t>
      </w:r>
      <w:r>
        <w:rPr>
          <w:i/>
          <w:iCs/>
          <w:sz w:val="22"/>
          <w:szCs w:val="22"/>
        </w:rPr>
        <w:t>.</w:t>
      </w:r>
      <w:r w:rsidRPr="00FC6EC9">
        <w:rPr>
          <w:i/>
          <w:iCs/>
          <w:sz w:val="22"/>
          <w:szCs w:val="22"/>
        </w:rPr>
        <w:t xml:space="preserve"> Exp</w:t>
      </w:r>
      <w:r>
        <w:rPr>
          <w:i/>
          <w:iCs/>
          <w:sz w:val="22"/>
          <w:szCs w:val="22"/>
        </w:rPr>
        <w:t>.</w:t>
      </w:r>
      <w:r w:rsidRPr="00FC6EC9">
        <w:rPr>
          <w:i/>
          <w:iCs/>
          <w:sz w:val="22"/>
          <w:szCs w:val="22"/>
        </w:rPr>
        <w:t xml:space="preserve"> Med</w:t>
      </w:r>
      <w:r>
        <w:rPr>
          <w:i/>
          <w:iCs/>
          <w:sz w:val="22"/>
          <w:szCs w:val="22"/>
        </w:rPr>
        <w:t>.</w:t>
      </w:r>
      <w:r w:rsidRPr="00FC6EC9">
        <w:rPr>
          <w:i/>
          <w:iCs/>
          <w:sz w:val="22"/>
          <w:szCs w:val="22"/>
        </w:rPr>
        <w:t xml:space="preserve"> Biol</w:t>
      </w:r>
      <w:r>
        <w:rPr>
          <w:i/>
          <w:iCs/>
          <w:sz w:val="22"/>
          <w:szCs w:val="22"/>
        </w:rPr>
        <w:t>.</w:t>
      </w:r>
      <w:r>
        <w:rPr>
          <w:sz w:val="22"/>
          <w:szCs w:val="22"/>
        </w:rPr>
        <w:t xml:space="preserve"> 875: 969-75. </w:t>
      </w:r>
    </w:p>
    <w:p w14:paraId="4EA9B20C" w14:textId="77777777" w:rsidR="00CA0853" w:rsidRPr="00425C7C" w:rsidRDefault="00CA0853" w:rsidP="000B3456">
      <w:pPr>
        <w:pStyle w:val="BodyText"/>
        <w:ind w:left="567" w:hanging="567"/>
        <w:rPr>
          <w:sz w:val="22"/>
          <w:szCs w:val="22"/>
        </w:rPr>
      </w:pPr>
      <w:r w:rsidRPr="00425C7C">
        <w:rPr>
          <w:sz w:val="22"/>
          <w:szCs w:val="22"/>
        </w:rPr>
        <w:t>Sandegren, F.E. 1970. Breeding and maternal behavior of the Steller sea lion (</w:t>
      </w:r>
      <w:r w:rsidRPr="00211C1D">
        <w:rPr>
          <w:i/>
          <w:sz w:val="22"/>
          <w:szCs w:val="22"/>
        </w:rPr>
        <w:t>Eumetoias jubata</w:t>
      </w:r>
      <w:r w:rsidRPr="00425C7C">
        <w:rPr>
          <w:sz w:val="22"/>
          <w:szCs w:val="22"/>
        </w:rPr>
        <w:t>) in Alaska. M.Sc. Thesis, Univ. Alaska, Anchorage, AK. Sergeant.</w:t>
      </w:r>
    </w:p>
    <w:p w14:paraId="5F204C00" w14:textId="77777777" w:rsidR="00CA0853" w:rsidRPr="00FC6EC9" w:rsidRDefault="00CA0853" w:rsidP="000B3456">
      <w:pPr>
        <w:pStyle w:val="BodyText"/>
        <w:ind w:left="567" w:hanging="567"/>
        <w:rPr>
          <w:sz w:val="22"/>
          <w:szCs w:val="22"/>
        </w:rPr>
      </w:pPr>
      <w:bookmarkStart w:id="1337" w:name="_ENREF_26"/>
      <w:r w:rsidRPr="00906B75">
        <w:rPr>
          <w:sz w:val="22"/>
          <w:szCs w:val="22"/>
        </w:rPr>
        <w:t xml:space="preserve">Santulli, A., Modica, A., Messina, C., Ceffa, L., Curatolo, A., Rivas, G., Fabi, G. and D’Amelio, V. 1999. </w:t>
      </w:r>
      <w:r w:rsidRPr="00FC6EC9">
        <w:rPr>
          <w:sz w:val="22"/>
          <w:szCs w:val="22"/>
        </w:rPr>
        <w:t>Biochemical Responses of European Sea Bass (</w:t>
      </w:r>
      <w:r w:rsidRPr="00FC6EC9">
        <w:rPr>
          <w:i/>
          <w:iCs/>
          <w:sz w:val="22"/>
          <w:szCs w:val="22"/>
        </w:rPr>
        <w:t>Dicentrarchus labrax</w:t>
      </w:r>
      <w:r w:rsidRPr="00FC6EC9">
        <w:rPr>
          <w:sz w:val="22"/>
          <w:szCs w:val="22"/>
        </w:rPr>
        <w:t xml:space="preserve"> L.) to the Stress Induced by Off Shore Experimental Seismic Prospecting. </w:t>
      </w:r>
      <w:r w:rsidRPr="00FC6EC9">
        <w:rPr>
          <w:i/>
          <w:iCs/>
          <w:sz w:val="22"/>
          <w:szCs w:val="22"/>
        </w:rPr>
        <w:t>Mar. Poll. Bull.</w:t>
      </w:r>
      <w:r w:rsidRPr="00FC6EC9">
        <w:rPr>
          <w:sz w:val="22"/>
          <w:szCs w:val="22"/>
        </w:rPr>
        <w:t xml:space="preserve"> 38:1105-1114.</w:t>
      </w:r>
      <w:bookmarkEnd w:id="1337"/>
    </w:p>
    <w:p w14:paraId="75108D70" w14:textId="77777777" w:rsidR="00CA0853" w:rsidRPr="00066D05" w:rsidRDefault="00CA0853" w:rsidP="000B3456">
      <w:pPr>
        <w:pStyle w:val="BodyText"/>
        <w:ind w:left="567" w:hanging="567"/>
        <w:rPr>
          <w:sz w:val="22"/>
          <w:szCs w:val="22"/>
        </w:rPr>
      </w:pPr>
      <w:r w:rsidRPr="00066D05">
        <w:rPr>
          <w:sz w:val="22"/>
          <w:szCs w:val="22"/>
        </w:rPr>
        <w:t>SARDI. 2011.  Conservation management priorities for little penguin populations in Gulf St Vincent. A report prepared by Annelise Wiebkin, South Australian Research and Development Institute for the Adelaide and Mount Lofty Ranges Natural Resources Management Board. June 2011. SARDI Public No F2011/000188-1.</w:t>
      </w:r>
    </w:p>
    <w:p w14:paraId="170F020B" w14:textId="77777777" w:rsidR="00CA0853" w:rsidRPr="00C569B0" w:rsidRDefault="00CA0853" w:rsidP="000B3456">
      <w:pPr>
        <w:pStyle w:val="BodyText"/>
        <w:ind w:left="567" w:hanging="567"/>
        <w:rPr>
          <w:sz w:val="22"/>
          <w:szCs w:val="22"/>
        </w:rPr>
      </w:pPr>
      <w:r w:rsidRPr="00C569B0">
        <w:rPr>
          <w:sz w:val="22"/>
          <w:szCs w:val="22"/>
        </w:rPr>
        <w:t>SCAR. 2002. Impacts of Marine Acoustic Technology on the Antarctic Environment. Version 1.2. July 2002. A WWW publication accessed at http://www.scarggi.org.au/geophysics/acoustics_1_2.pdf. Ad Hoc Group on marine acoustic technology and the environment.</w:t>
      </w:r>
    </w:p>
    <w:p w14:paraId="35CE1951" w14:textId="77777777" w:rsidR="00CA0853" w:rsidRDefault="00CA0853" w:rsidP="0015283D">
      <w:pPr>
        <w:pStyle w:val="BodyText"/>
        <w:ind w:left="567" w:hanging="567"/>
        <w:rPr>
          <w:sz w:val="22"/>
          <w:szCs w:val="22"/>
        </w:rPr>
      </w:pPr>
      <w:r w:rsidRPr="00CE0E3A">
        <w:rPr>
          <w:sz w:val="22"/>
          <w:szCs w:val="22"/>
        </w:rPr>
        <w:t>Scholten, M.C., Kaag, T., Dokkum, N.H.B.M., Jak, H.P., Jak, R.G., Schobben, H.P.M. and Slob,</w:t>
      </w:r>
      <w:r>
        <w:rPr>
          <w:sz w:val="22"/>
          <w:szCs w:val="22"/>
        </w:rPr>
        <w:t xml:space="preserve"> </w:t>
      </w:r>
      <w:r w:rsidRPr="00CE0E3A">
        <w:rPr>
          <w:sz w:val="22"/>
          <w:szCs w:val="22"/>
        </w:rPr>
        <w:t>W. 1996. Toxic Effects of Oil in the Aquatic Environment. TNO-MEP– R96/230. Den</w:t>
      </w:r>
      <w:r>
        <w:rPr>
          <w:sz w:val="22"/>
          <w:szCs w:val="22"/>
        </w:rPr>
        <w:t xml:space="preserve"> </w:t>
      </w:r>
      <w:r w:rsidRPr="00CE0E3A">
        <w:rPr>
          <w:sz w:val="22"/>
          <w:szCs w:val="22"/>
        </w:rPr>
        <w:t>Helder, The Netherlands.</w:t>
      </w:r>
    </w:p>
    <w:p w14:paraId="7736279B" w14:textId="05A81F2B" w:rsidR="00734BE4" w:rsidRPr="00CE0E3A" w:rsidRDefault="00734BE4" w:rsidP="0015283D">
      <w:pPr>
        <w:pStyle w:val="BodyText"/>
        <w:ind w:left="567" w:hanging="567"/>
        <w:rPr>
          <w:sz w:val="22"/>
          <w:szCs w:val="22"/>
        </w:rPr>
      </w:pPr>
      <w:r>
        <w:rPr>
          <w:sz w:val="22"/>
          <w:szCs w:val="22"/>
        </w:rPr>
        <w:t xml:space="preserve">Sen, S. 2011. Options for Improving Management of the Commercial Scallop Resource in South-East Australia. Fisheries Economic Research and Management. December 2011. Queenscliff. Victoria. </w:t>
      </w:r>
    </w:p>
    <w:p w14:paraId="3EAE108B" w14:textId="77777777" w:rsidR="00CA0853" w:rsidRDefault="00CA0853" w:rsidP="0015283D">
      <w:pPr>
        <w:pStyle w:val="BodyText"/>
        <w:ind w:left="567" w:hanging="567"/>
        <w:rPr>
          <w:sz w:val="22"/>
          <w:szCs w:val="22"/>
        </w:rPr>
      </w:pPr>
      <w:r>
        <w:rPr>
          <w:sz w:val="22"/>
          <w:szCs w:val="22"/>
        </w:rPr>
        <w:t xml:space="preserve">SETFIA and Fishwell Consulting. 2017. Report to the CarbonNet Project describing commercial fishing in the area of the proposed CarbonNet 3D Marine Seismic </w:t>
      </w:r>
      <w:r>
        <w:rPr>
          <w:sz w:val="22"/>
          <w:szCs w:val="22"/>
        </w:rPr>
        <w:lastRenderedPageBreak/>
        <w:t xml:space="preserve">Survey. Prepared by the South East Trawl Fishing Industry Association and Fishwell Consulting for CarbonNet. </w:t>
      </w:r>
    </w:p>
    <w:p w14:paraId="36BD6F5A" w14:textId="77777777" w:rsidR="00CA0853" w:rsidRPr="00C03018" w:rsidRDefault="00CA0853" w:rsidP="0015283D">
      <w:pPr>
        <w:pStyle w:val="BodyText"/>
        <w:ind w:left="567" w:hanging="567"/>
        <w:rPr>
          <w:sz w:val="22"/>
          <w:szCs w:val="22"/>
        </w:rPr>
      </w:pPr>
      <w:r w:rsidRPr="00C03018">
        <w:rPr>
          <w:sz w:val="22"/>
          <w:szCs w:val="22"/>
        </w:rPr>
        <w:t>Shaughnessy, P.D.1999. The action plan for Australian seals. CSIRO Wildlife and Ecology.</w:t>
      </w:r>
    </w:p>
    <w:p w14:paraId="1C6594C8" w14:textId="77777777" w:rsidR="00CA0853" w:rsidRPr="001E2FF4" w:rsidRDefault="00CA0853" w:rsidP="0015283D">
      <w:pPr>
        <w:pStyle w:val="BodyText"/>
        <w:ind w:left="567" w:hanging="567"/>
        <w:rPr>
          <w:sz w:val="22"/>
          <w:szCs w:val="22"/>
        </w:rPr>
      </w:pPr>
      <w:r w:rsidRPr="001E2FF4">
        <w:rPr>
          <w:sz w:val="22"/>
          <w:szCs w:val="22"/>
        </w:rPr>
        <w:t>Shaw, R. F., Lindquist, D. C., Benfield, M. C., Farooqi, T., Plunket, J. T. 2002. Offshore</w:t>
      </w:r>
      <w:r>
        <w:rPr>
          <w:sz w:val="22"/>
          <w:szCs w:val="22"/>
        </w:rPr>
        <w:t xml:space="preserve"> </w:t>
      </w:r>
      <w:r w:rsidRPr="001E2FF4">
        <w:rPr>
          <w:sz w:val="22"/>
          <w:szCs w:val="22"/>
        </w:rPr>
        <w:t>petroleum platforms: functional significance for larval fish across longitudinal and latitudinal</w:t>
      </w:r>
      <w:r>
        <w:rPr>
          <w:sz w:val="22"/>
          <w:szCs w:val="22"/>
        </w:rPr>
        <w:t xml:space="preserve"> </w:t>
      </w:r>
      <w:r w:rsidRPr="001E2FF4">
        <w:rPr>
          <w:sz w:val="22"/>
          <w:szCs w:val="22"/>
        </w:rPr>
        <w:t>gradients. Prepared by the Coastal Fisheries Institute, Louisiana State University. U.S.</w:t>
      </w:r>
      <w:r>
        <w:rPr>
          <w:sz w:val="22"/>
          <w:szCs w:val="22"/>
        </w:rPr>
        <w:t xml:space="preserve"> </w:t>
      </w:r>
      <w:r w:rsidRPr="001E2FF4">
        <w:rPr>
          <w:sz w:val="22"/>
          <w:szCs w:val="22"/>
        </w:rPr>
        <w:t>Department of the Interior, Minerals Management Service, Gulf of Mexico OCS Region,</w:t>
      </w:r>
      <w:r>
        <w:rPr>
          <w:sz w:val="22"/>
          <w:szCs w:val="22"/>
        </w:rPr>
        <w:t xml:space="preserve"> </w:t>
      </w:r>
      <w:r w:rsidRPr="001E2FF4">
        <w:rPr>
          <w:sz w:val="22"/>
          <w:szCs w:val="22"/>
        </w:rPr>
        <w:t>New Orleans, LA</w:t>
      </w:r>
      <w:r>
        <w:rPr>
          <w:sz w:val="22"/>
          <w:szCs w:val="22"/>
        </w:rPr>
        <w:t>. OCS Study MMS 2002-077.</w:t>
      </w:r>
    </w:p>
    <w:p w14:paraId="00098245" w14:textId="77777777" w:rsidR="00CA0853" w:rsidRPr="0003554F" w:rsidRDefault="00CA0853" w:rsidP="0015283D">
      <w:pPr>
        <w:pStyle w:val="BodyText"/>
        <w:ind w:left="567" w:hanging="567"/>
        <w:rPr>
          <w:sz w:val="22"/>
          <w:szCs w:val="22"/>
        </w:rPr>
      </w:pPr>
      <w:r w:rsidRPr="0003554F">
        <w:rPr>
          <w:sz w:val="22"/>
          <w:szCs w:val="22"/>
        </w:rPr>
        <w:t>Shigenaka, G. 2003. Oil and Sea Turtles: Biology, Planning, and Response. National</w:t>
      </w:r>
      <w:r>
        <w:rPr>
          <w:sz w:val="22"/>
          <w:szCs w:val="22"/>
        </w:rPr>
        <w:t xml:space="preserve"> </w:t>
      </w:r>
      <w:r w:rsidRPr="0003554F">
        <w:rPr>
          <w:sz w:val="22"/>
          <w:szCs w:val="22"/>
        </w:rPr>
        <w:t>Oceanographic and Atmospheric Administration, United States of America.</w:t>
      </w:r>
    </w:p>
    <w:p w14:paraId="07D73ABB" w14:textId="77777777" w:rsidR="00CA0853" w:rsidRPr="00CE0E3A" w:rsidRDefault="00CA0853" w:rsidP="0015283D">
      <w:pPr>
        <w:pStyle w:val="BodyText"/>
        <w:ind w:left="567" w:hanging="567"/>
        <w:rPr>
          <w:sz w:val="22"/>
          <w:szCs w:val="22"/>
        </w:rPr>
      </w:pPr>
      <w:r w:rsidRPr="00CE0E3A">
        <w:rPr>
          <w:sz w:val="22"/>
          <w:szCs w:val="22"/>
        </w:rPr>
        <w:t>Short, M. 2011. Pacific Adventurer Oil Spill: Big Birds, Sea Snakes and a Couple of Turtles.</w:t>
      </w:r>
      <w:r>
        <w:rPr>
          <w:sz w:val="22"/>
          <w:szCs w:val="22"/>
        </w:rPr>
        <w:t xml:space="preserve"> </w:t>
      </w:r>
      <w:r w:rsidRPr="008A3EE0">
        <w:rPr>
          <w:i/>
          <w:sz w:val="22"/>
          <w:szCs w:val="22"/>
        </w:rPr>
        <w:t>International Oil Spill Conference Proceedings</w:t>
      </w:r>
      <w:r w:rsidRPr="00CE0E3A">
        <w:rPr>
          <w:sz w:val="22"/>
          <w:szCs w:val="22"/>
        </w:rPr>
        <w:t xml:space="preserve"> 2011(1).</w:t>
      </w:r>
    </w:p>
    <w:p w14:paraId="66F4CB1C" w14:textId="77777777" w:rsidR="00CA0853" w:rsidRPr="00B11252" w:rsidRDefault="00CA0853" w:rsidP="0015283D">
      <w:pPr>
        <w:pStyle w:val="BodyText"/>
        <w:ind w:left="567" w:hanging="567"/>
        <w:rPr>
          <w:sz w:val="22"/>
          <w:szCs w:val="22"/>
        </w:rPr>
      </w:pPr>
      <w:r w:rsidRPr="00B11252">
        <w:rPr>
          <w:sz w:val="22"/>
          <w:szCs w:val="22"/>
        </w:rPr>
        <w:t>Simmonds, M., Dolman, S. and Weilgart, L. 2004. Oceans of Noise. Whale and Dolphin Conservation Society. Wiltshire.</w:t>
      </w:r>
    </w:p>
    <w:p w14:paraId="5820DAFD" w14:textId="77777777" w:rsidR="00CA0853" w:rsidRPr="00537943" w:rsidRDefault="00CA0853" w:rsidP="0015283D">
      <w:pPr>
        <w:pStyle w:val="BodyText"/>
        <w:ind w:left="567" w:hanging="567"/>
        <w:rPr>
          <w:sz w:val="22"/>
          <w:szCs w:val="22"/>
        </w:rPr>
      </w:pPr>
      <w:bookmarkStart w:id="1338" w:name="_ENREF_27"/>
      <w:r w:rsidRPr="00537943">
        <w:rPr>
          <w:sz w:val="22"/>
          <w:szCs w:val="22"/>
        </w:rPr>
        <w:t xml:space="preserve">Skalski, J. R., Pearson, </w:t>
      </w:r>
      <w:r>
        <w:rPr>
          <w:sz w:val="22"/>
          <w:szCs w:val="22"/>
        </w:rPr>
        <w:t xml:space="preserve">W.H. </w:t>
      </w:r>
      <w:r w:rsidRPr="00537943">
        <w:rPr>
          <w:sz w:val="22"/>
          <w:szCs w:val="22"/>
        </w:rPr>
        <w:t>and Malme</w:t>
      </w:r>
      <w:r>
        <w:rPr>
          <w:sz w:val="22"/>
          <w:szCs w:val="22"/>
        </w:rPr>
        <w:t>, C.I</w:t>
      </w:r>
      <w:r w:rsidRPr="00537943">
        <w:rPr>
          <w:sz w:val="22"/>
          <w:szCs w:val="22"/>
        </w:rPr>
        <w:t>. 1992. Effects of sounds from a geophysical survey device on catch-per-unit- effort in a hook-and-line fishery for rockfish (</w:t>
      </w:r>
      <w:r w:rsidRPr="00537943">
        <w:rPr>
          <w:i/>
          <w:iCs/>
          <w:sz w:val="22"/>
          <w:szCs w:val="22"/>
        </w:rPr>
        <w:t>Sebastes</w:t>
      </w:r>
      <w:r w:rsidRPr="00537943">
        <w:rPr>
          <w:sz w:val="22"/>
          <w:szCs w:val="22"/>
        </w:rPr>
        <w:t xml:space="preserve"> spp.). </w:t>
      </w:r>
      <w:r w:rsidRPr="00537943">
        <w:rPr>
          <w:i/>
          <w:iCs/>
          <w:sz w:val="22"/>
          <w:szCs w:val="22"/>
        </w:rPr>
        <w:t>Canadian Journal of Fisheries and Aquatic Sciences</w:t>
      </w:r>
      <w:r w:rsidRPr="00537943">
        <w:rPr>
          <w:sz w:val="22"/>
          <w:szCs w:val="22"/>
        </w:rPr>
        <w:t xml:space="preserve"> 49:1357-1365.</w:t>
      </w:r>
      <w:bookmarkEnd w:id="1338"/>
    </w:p>
    <w:p w14:paraId="7F7E0029" w14:textId="77777777" w:rsidR="00CA0853" w:rsidRPr="00E93F43" w:rsidRDefault="00CA0853" w:rsidP="0015283D">
      <w:pPr>
        <w:pStyle w:val="BodyText"/>
        <w:ind w:left="567" w:hanging="567"/>
        <w:rPr>
          <w:sz w:val="22"/>
          <w:szCs w:val="22"/>
        </w:rPr>
      </w:pPr>
      <w:r w:rsidRPr="00E93F43">
        <w:rPr>
          <w:sz w:val="22"/>
          <w:szCs w:val="22"/>
        </w:rPr>
        <w:t>Slabbekoorn, H. 2016. Aiming for Progress in Understanding Underwater Noise Impact on Fish: Complementary Need for Indoor and Outdoor Studies. In</w:t>
      </w:r>
      <w:r>
        <w:rPr>
          <w:sz w:val="22"/>
          <w:szCs w:val="22"/>
        </w:rPr>
        <w:t>:</w:t>
      </w:r>
      <w:r w:rsidRPr="00E93F43">
        <w:rPr>
          <w:sz w:val="22"/>
          <w:szCs w:val="22"/>
        </w:rPr>
        <w:t xml:space="preserve"> Popper, N.A. and Hawkins</w:t>
      </w:r>
      <w:r>
        <w:rPr>
          <w:sz w:val="22"/>
          <w:szCs w:val="22"/>
        </w:rPr>
        <w:t>, A.</w:t>
      </w:r>
      <w:r w:rsidRPr="00E93F43">
        <w:rPr>
          <w:sz w:val="22"/>
          <w:szCs w:val="22"/>
        </w:rPr>
        <w:t xml:space="preserve"> (eds.). </w:t>
      </w:r>
      <w:r w:rsidRPr="00537943">
        <w:rPr>
          <w:i/>
          <w:iCs/>
          <w:sz w:val="22"/>
          <w:szCs w:val="22"/>
        </w:rPr>
        <w:t>The Effects of Noise on Aquatic Life II</w:t>
      </w:r>
      <w:r w:rsidRPr="00E93F43">
        <w:rPr>
          <w:sz w:val="22"/>
          <w:szCs w:val="22"/>
        </w:rPr>
        <w:t>. Springer New York, New York, N</w:t>
      </w:r>
      <w:r>
        <w:rPr>
          <w:sz w:val="22"/>
          <w:szCs w:val="22"/>
        </w:rPr>
        <w:t>Y. 1057–</w:t>
      </w:r>
      <w:r w:rsidRPr="00E93F43">
        <w:rPr>
          <w:sz w:val="22"/>
          <w:szCs w:val="22"/>
        </w:rPr>
        <w:t xml:space="preserve">1065. </w:t>
      </w:r>
    </w:p>
    <w:p w14:paraId="1FD92673" w14:textId="77777777" w:rsidR="00CA0853" w:rsidRPr="00C569B0" w:rsidRDefault="00CA0853" w:rsidP="0015283D">
      <w:pPr>
        <w:pStyle w:val="BodyText"/>
        <w:ind w:left="567" w:hanging="567"/>
        <w:rPr>
          <w:sz w:val="22"/>
          <w:szCs w:val="22"/>
        </w:rPr>
      </w:pPr>
      <w:r w:rsidRPr="00C569B0">
        <w:rPr>
          <w:sz w:val="22"/>
          <w:szCs w:val="22"/>
        </w:rPr>
        <w:t xml:space="preserve">Slotte, A., Hansen, K., Dalen, J. and Ona, E. 2004. Acoustic mapping of pelagic fish distribution and abundance in relation to a seismic shooting area off the Norwegian west coast. </w:t>
      </w:r>
      <w:r w:rsidRPr="00C569B0">
        <w:rPr>
          <w:i/>
          <w:sz w:val="22"/>
          <w:szCs w:val="22"/>
        </w:rPr>
        <w:t>Fish. Res.</w:t>
      </w:r>
      <w:r w:rsidRPr="00C569B0">
        <w:rPr>
          <w:sz w:val="22"/>
          <w:szCs w:val="22"/>
        </w:rPr>
        <w:t xml:space="preserve"> 67(2):143-150</w:t>
      </w:r>
    </w:p>
    <w:p w14:paraId="68A4BF80" w14:textId="77777777" w:rsidR="00CA0853" w:rsidRDefault="00CA0853" w:rsidP="0015283D">
      <w:pPr>
        <w:pStyle w:val="BodyText"/>
        <w:ind w:left="567" w:hanging="567"/>
        <w:rPr>
          <w:sz w:val="22"/>
          <w:szCs w:val="22"/>
        </w:rPr>
      </w:pPr>
      <w:r w:rsidRPr="00F97583">
        <w:rPr>
          <w:sz w:val="22"/>
          <w:szCs w:val="22"/>
        </w:rPr>
        <w:t>Smith</w:t>
      </w:r>
      <w:r>
        <w:rPr>
          <w:sz w:val="22"/>
          <w:szCs w:val="22"/>
        </w:rPr>
        <w:t>,</w:t>
      </w:r>
      <w:r w:rsidRPr="00F97583">
        <w:rPr>
          <w:sz w:val="22"/>
          <w:szCs w:val="22"/>
        </w:rPr>
        <w:t xml:space="preserve"> S.</w:t>
      </w:r>
      <w:r>
        <w:rPr>
          <w:sz w:val="22"/>
          <w:szCs w:val="22"/>
        </w:rPr>
        <w:t>,</w:t>
      </w:r>
      <w:r w:rsidRPr="00F97583">
        <w:rPr>
          <w:sz w:val="22"/>
          <w:szCs w:val="22"/>
        </w:rPr>
        <w:t xml:space="preserve"> Hart, D.</w:t>
      </w:r>
      <w:r>
        <w:rPr>
          <w:sz w:val="22"/>
          <w:szCs w:val="22"/>
        </w:rPr>
        <w:t xml:space="preserve"> and</w:t>
      </w:r>
      <w:r w:rsidRPr="00F97583">
        <w:rPr>
          <w:sz w:val="22"/>
          <w:szCs w:val="22"/>
        </w:rPr>
        <w:t xml:space="preserve"> Haddon, M. 2016. Review of New Zealand’s scallop fishery stock assessment data and methods. </w:t>
      </w:r>
      <w:r w:rsidRPr="00881718">
        <w:rPr>
          <w:i/>
          <w:sz w:val="22"/>
          <w:szCs w:val="22"/>
        </w:rPr>
        <w:t>New Zealand Fisheries Science Review 2016/1.</w:t>
      </w:r>
    </w:p>
    <w:p w14:paraId="13537469" w14:textId="77777777" w:rsidR="00CA0853" w:rsidRPr="00E93F43" w:rsidRDefault="00CA0853" w:rsidP="0015283D">
      <w:pPr>
        <w:pStyle w:val="BodyText"/>
        <w:ind w:left="567" w:hanging="567"/>
        <w:rPr>
          <w:sz w:val="22"/>
          <w:szCs w:val="22"/>
        </w:rPr>
      </w:pPr>
      <w:r w:rsidRPr="00E93F43">
        <w:rPr>
          <w:sz w:val="22"/>
          <w:szCs w:val="22"/>
        </w:rPr>
        <w:t xml:space="preserve">Solan, M., Hauton, </w:t>
      </w:r>
      <w:r>
        <w:rPr>
          <w:sz w:val="22"/>
          <w:szCs w:val="22"/>
        </w:rPr>
        <w:t xml:space="preserve">C., </w:t>
      </w:r>
      <w:r w:rsidRPr="00E93F43">
        <w:rPr>
          <w:sz w:val="22"/>
          <w:szCs w:val="22"/>
        </w:rPr>
        <w:t xml:space="preserve">Godbold, </w:t>
      </w:r>
      <w:r>
        <w:rPr>
          <w:sz w:val="22"/>
          <w:szCs w:val="22"/>
        </w:rPr>
        <w:t xml:space="preserve">J.A., </w:t>
      </w:r>
      <w:r w:rsidRPr="00E93F43">
        <w:rPr>
          <w:sz w:val="22"/>
          <w:szCs w:val="22"/>
        </w:rPr>
        <w:t xml:space="preserve">Wood, </w:t>
      </w:r>
      <w:r>
        <w:rPr>
          <w:sz w:val="22"/>
          <w:szCs w:val="22"/>
        </w:rPr>
        <w:t xml:space="preserve">C.L., </w:t>
      </w:r>
      <w:r w:rsidRPr="00E93F43">
        <w:rPr>
          <w:sz w:val="22"/>
          <w:szCs w:val="22"/>
        </w:rPr>
        <w:t xml:space="preserve">Leighton, </w:t>
      </w:r>
      <w:r>
        <w:rPr>
          <w:sz w:val="22"/>
          <w:szCs w:val="22"/>
        </w:rPr>
        <w:t xml:space="preserve">T.J. </w:t>
      </w:r>
      <w:r w:rsidRPr="00E93F43">
        <w:rPr>
          <w:sz w:val="22"/>
          <w:szCs w:val="22"/>
        </w:rPr>
        <w:t>and White</w:t>
      </w:r>
      <w:r>
        <w:rPr>
          <w:sz w:val="22"/>
          <w:szCs w:val="22"/>
        </w:rPr>
        <w:t>, P</w:t>
      </w:r>
      <w:r w:rsidRPr="00E93F43">
        <w:rPr>
          <w:sz w:val="22"/>
          <w:szCs w:val="22"/>
        </w:rPr>
        <w:t xml:space="preserve">. 2016. Anthropogenic sources of underwater sound can modify how sediment-dwelling invertebrates mediate ecosystem properties. </w:t>
      </w:r>
      <w:r w:rsidRPr="00537943">
        <w:rPr>
          <w:i/>
          <w:iCs/>
          <w:sz w:val="22"/>
          <w:szCs w:val="22"/>
        </w:rPr>
        <w:t>Scientific Reports</w:t>
      </w:r>
      <w:r w:rsidRPr="00E93F43">
        <w:rPr>
          <w:sz w:val="22"/>
          <w:szCs w:val="22"/>
        </w:rPr>
        <w:t xml:space="preserve"> 6: 20540. </w:t>
      </w:r>
    </w:p>
    <w:p w14:paraId="03A58AA2" w14:textId="77777777" w:rsidR="00CA0853" w:rsidRPr="00537943" w:rsidRDefault="00CA0853" w:rsidP="0015283D">
      <w:pPr>
        <w:pStyle w:val="BodyText"/>
        <w:ind w:left="567" w:hanging="567"/>
        <w:rPr>
          <w:sz w:val="22"/>
          <w:szCs w:val="22"/>
        </w:rPr>
      </w:pPr>
      <w:bookmarkStart w:id="1339" w:name="_ENREF_29"/>
      <w:r w:rsidRPr="00537943">
        <w:rPr>
          <w:sz w:val="22"/>
          <w:szCs w:val="22"/>
        </w:rPr>
        <w:t xml:space="preserve">Song, J., Mann, </w:t>
      </w:r>
      <w:r>
        <w:rPr>
          <w:sz w:val="22"/>
          <w:szCs w:val="22"/>
        </w:rPr>
        <w:t xml:space="preserve">D.A., </w:t>
      </w:r>
      <w:r w:rsidRPr="00537943">
        <w:rPr>
          <w:sz w:val="22"/>
          <w:szCs w:val="22"/>
        </w:rPr>
        <w:t xml:space="preserve">Cott, </w:t>
      </w:r>
      <w:r>
        <w:rPr>
          <w:sz w:val="22"/>
          <w:szCs w:val="22"/>
        </w:rPr>
        <w:t xml:space="preserve">P.A., </w:t>
      </w:r>
      <w:r w:rsidRPr="00537943">
        <w:rPr>
          <w:sz w:val="22"/>
          <w:szCs w:val="22"/>
        </w:rPr>
        <w:t xml:space="preserve">Hanna, </w:t>
      </w:r>
      <w:r>
        <w:rPr>
          <w:sz w:val="22"/>
          <w:szCs w:val="22"/>
        </w:rPr>
        <w:t xml:space="preserve">B.W. </w:t>
      </w:r>
      <w:r w:rsidRPr="00537943">
        <w:rPr>
          <w:sz w:val="22"/>
          <w:szCs w:val="22"/>
        </w:rPr>
        <w:t>and Popper</w:t>
      </w:r>
      <w:r>
        <w:rPr>
          <w:sz w:val="22"/>
          <w:szCs w:val="22"/>
        </w:rPr>
        <w:t>, A.N</w:t>
      </w:r>
      <w:r w:rsidRPr="00537943">
        <w:rPr>
          <w:sz w:val="22"/>
          <w:szCs w:val="22"/>
        </w:rPr>
        <w:t xml:space="preserve">. 2008. The inner ears of northern Canadian freshwater fishes following exposure to seismic air gun sounds. </w:t>
      </w:r>
      <w:r w:rsidRPr="00537943">
        <w:rPr>
          <w:i/>
          <w:iCs/>
          <w:sz w:val="22"/>
          <w:szCs w:val="22"/>
        </w:rPr>
        <w:t>The Journal of the Acoustical Society of America</w:t>
      </w:r>
      <w:r w:rsidRPr="00537943">
        <w:rPr>
          <w:sz w:val="22"/>
          <w:szCs w:val="22"/>
        </w:rPr>
        <w:t xml:space="preserve"> 124</w:t>
      </w:r>
      <w:r>
        <w:rPr>
          <w:sz w:val="22"/>
          <w:szCs w:val="22"/>
        </w:rPr>
        <w:t>:1360–</w:t>
      </w:r>
      <w:r w:rsidRPr="00537943">
        <w:rPr>
          <w:sz w:val="22"/>
          <w:szCs w:val="22"/>
        </w:rPr>
        <w:t>1366.</w:t>
      </w:r>
      <w:bookmarkEnd w:id="1339"/>
    </w:p>
    <w:p w14:paraId="00C41BF5" w14:textId="77777777" w:rsidR="00CA0853" w:rsidRPr="00C569B0" w:rsidRDefault="00CA0853" w:rsidP="0015283D">
      <w:pPr>
        <w:pStyle w:val="BodyText"/>
        <w:ind w:left="567" w:hanging="567"/>
        <w:rPr>
          <w:sz w:val="22"/>
          <w:szCs w:val="22"/>
        </w:rPr>
      </w:pPr>
      <w:r w:rsidRPr="00C569B0">
        <w:rPr>
          <w:sz w:val="22"/>
          <w:szCs w:val="22"/>
        </w:rPr>
        <w:t xml:space="preserve">Southall, B.L., Bowles, A.E., Ellison, W.T., Finneran, J.J., Gentry, R.L., Greene Jr C.R., Kastak, D., Ketten, D.R., Miller, J.H., Nachtigall, P.E., Richardson, W.J., Thomas, J.A and Tyack, P.L. 2007. Marine Mammal Noise Exposure Criteria: Initial Scientific Recommendations. </w:t>
      </w:r>
      <w:r w:rsidRPr="00C569B0">
        <w:rPr>
          <w:i/>
          <w:sz w:val="22"/>
          <w:szCs w:val="22"/>
        </w:rPr>
        <w:t>Aquatic Mammals</w:t>
      </w:r>
      <w:r>
        <w:rPr>
          <w:sz w:val="22"/>
          <w:szCs w:val="22"/>
        </w:rPr>
        <w:t>. 33(4): 411–521</w:t>
      </w:r>
      <w:r w:rsidRPr="00C569B0">
        <w:rPr>
          <w:sz w:val="22"/>
          <w:szCs w:val="22"/>
        </w:rPr>
        <w:t>.</w:t>
      </w:r>
    </w:p>
    <w:p w14:paraId="7E7134D5" w14:textId="77777777" w:rsidR="00CA0853" w:rsidRPr="00E93F43" w:rsidRDefault="00CA0853" w:rsidP="0015283D">
      <w:pPr>
        <w:pStyle w:val="BodyText"/>
        <w:ind w:left="567" w:hanging="567"/>
        <w:rPr>
          <w:sz w:val="22"/>
          <w:szCs w:val="22"/>
        </w:rPr>
      </w:pPr>
      <w:r w:rsidRPr="00E93F43">
        <w:rPr>
          <w:sz w:val="22"/>
          <w:szCs w:val="22"/>
        </w:rPr>
        <w:t xml:space="preserve">Southall, B.L., Nowaceck, </w:t>
      </w:r>
      <w:r>
        <w:rPr>
          <w:sz w:val="22"/>
          <w:szCs w:val="22"/>
        </w:rPr>
        <w:t xml:space="preserve">D.P., </w:t>
      </w:r>
      <w:r w:rsidRPr="00E93F43">
        <w:rPr>
          <w:sz w:val="22"/>
          <w:szCs w:val="22"/>
        </w:rPr>
        <w:t xml:space="preserve">Miller, </w:t>
      </w:r>
      <w:r>
        <w:rPr>
          <w:sz w:val="22"/>
          <w:szCs w:val="22"/>
        </w:rPr>
        <w:t xml:space="preserve">P.J.O. </w:t>
      </w:r>
      <w:r w:rsidRPr="00E93F43">
        <w:rPr>
          <w:sz w:val="22"/>
          <w:szCs w:val="22"/>
        </w:rPr>
        <w:t>and Tyack</w:t>
      </w:r>
      <w:r>
        <w:rPr>
          <w:sz w:val="22"/>
          <w:szCs w:val="22"/>
        </w:rPr>
        <w:t>, P.L</w:t>
      </w:r>
      <w:r w:rsidRPr="00E93F43">
        <w:rPr>
          <w:sz w:val="22"/>
          <w:szCs w:val="22"/>
        </w:rPr>
        <w:t xml:space="preserve">. 2016. Experimental field studies to measure behavioral responses of cetaceans to sonar. </w:t>
      </w:r>
      <w:r w:rsidRPr="00537943">
        <w:rPr>
          <w:i/>
          <w:iCs/>
          <w:sz w:val="22"/>
          <w:szCs w:val="22"/>
        </w:rPr>
        <w:t>Endangered Species Research</w:t>
      </w:r>
      <w:r w:rsidRPr="00E93F43">
        <w:rPr>
          <w:sz w:val="22"/>
          <w:szCs w:val="22"/>
        </w:rPr>
        <w:t xml:space="preserve"> 31: 293-315. </w:t>
      </w:r>
    </w:p>
    <w:p w14:paraId="5804BD60" w14:textId="77777777" w:rsidR="00CA0853" w:rsidRDefault="00CA0853" w:rsidP="0015283D">
      <w:pPr>
        <w:pStyle w:val="BodyText"/>
        <w:ind w:left="567" w:hanging="567"/>
        <w:rPr>
          <w:sz w:val="22"/>
          <w:szCs w:val="22"/>
        </w:rPr>
      </w:pPr>
      <w:r>
        <w:rPr>
          <w:sz w:val="22"/>
          <w:szCs w:val="22"/>
        </w:rPr>
        <w:t xml:space="preserve">Standards Australia Ltd/Standards New Zealand. 2004. Risk Management. AS/NZS 4360:2004. Standards Australia Ltd/Standards New Zealand. Sydney. </w:t>
      </w:r>
    </w:p>
    <w:p w14:paraId="48E1E3C4" w14:textId="77777777" w:rsidR="00CA0853" w:rsidRDefault="00CA0853" w:rsidP="0015283D">
      <w:pPr>
        <w:pStyle w:val="BodyText"/>
        <w:ind w:left="567" w:hanging="567"/>
        <w:rPr>
          <w:sz w:val="22"/>
          <w:szCs w:val="22"/>
        </w:rPr>
      </w:pPr>
      <w:r>
        <w:rPr>
          <w:sz w:val="22"/>
          <w:szCs w:val="22"/>
        </w:rPr>
        <w:lastRenderedPageBreak/>
        <w:t xml:space="preserve">Standards Australia Ltd/Standards New Zealand. 2012. </w:t>
      </w:r>
      <w:r w:rsidRPr="00A302B8">
        <w:rPr>
          <w:sz w:val="22"/>
          <w:szCs w:val="22"/>
        </w:rPr>
        <w:t>HB203:2012 Managing environment-related risk</w:t>
      </w:r>
      <w:r>
        <w:rPr>
          <w:sz w:val="22"/>
          <w:szCs w:val="22"/>
        </w:rPr>
        <w:t xml:space="preserve">. SAI Global. Sydney. </w:t>
      </w:r>
    </w:p>
    <w:p w14:paraId="1CEBB284" w14:textId="77777777" w:rsidR="00CA0853" w:rsidRPr="00C03018" w:rsidRDefault="00CA0853" w:rsidP="0015283D">
      <w:pPr>
        <w:pStyle w:val="BodyText"/>
        <w:ind w:left="567" w:hanging="567"/>
        <w:rPr>
          <w:sz w:val="22"/>
          <w:szCs w:val="22"/>
        </w:rPr>
      </w:pPr>
      <w:r w:rsidRPr="00C03018">
        <w:rPr>
          <w:sz w:val="22"/>
          <w:szCs w:val="22"/>
        </w:rPr>
        <w:t>Stephenson, L.H. 1991. Orange-bellied Parrot Recovery Plan: Management Phase. Tasmanian Department of Parks, Wildlife &amp; Heritage. Hobart.</w:t>
      </w:r>
    </w:p>
    <w:p w14:paraId="71ABE53A" w14:textId="7DBD7D3C" w:rsidR="00CA70E2" w:rsidRDefault="00CA70E2" w:rsidP="0015283D">
      <w:pPr>
        <w:pStyle w:val="BodyText"/>
        <w:ind w:left="567" w:hanging="567"/>
        <w:rPr>
          <w:sz w:val="22"/>
          <w:szCs w:val="22"/>
        </w:rPr>
      </w:pPr>
      <w:r>
        <w:rPr>
          <w:sz w:val="22"/>
          <w:szCs w:val="22"/>
        </w:rPr>
        <w:t xml:space="preserve">Stevens, J.D. and West, G.J. 1997. Investigation of school and gummy shark nursery areas in south eastern Australia. A WWW document accessed at </w:t>
      </w:r>
      <w:r w:rsidR="001C18F9" w:rsidRPr="00891DE1">
        <w:t>http://data.gov.au/dataset/71b4ca23-1ea5-4125-9b16-4e86c288e644</w:t>
      </w:r>
      <w:r>
        <w:rPr>
          <w:sz w:val="22"/>
          <w:szCs w:val="22"/>
        </w:rPr>
        <w:t xml:space="preserve">. CSIRO Marine Research and Fisheries Research &amp; Development Corporation. FRDC Project 93/061. </w:t>
      </w:r>
    </w:p>
    <w:p w14:paraId="192C4367" w14:textId="77777777" w:rsidR="00CA0853" w:rsidRPr="00E93F43" w:rsidRDefault="00CA0853" w:rsidP="0015283D">
      <w:pPr>
        <w:pStyle w:val="BodyText"/>
        <w:ind w:left="567" w:hanging="567"/>
        <w:rPr>
          <w:sz w:val="22"/>
          <w:szCs w:val="22"/>
        </w:rPr>
      </w:pPr>
      <w:r w:rsidRPr="00E93F43">
        <w:rPr>
          <w:sz w:val="22"/>
          <w:szCs w:val="22"/>
        </w:rPr>
        <w:t>Stone, C.J. and Tasker</w:t>
      </w:r>
      <w:r>
        <w:rPr>
          <w:sz w:val="22"/>
          <w:szCs w:val="22"/>
        </w:rPr>
        <w:t>, M.L</w:t>
      </w:r>
      <w:r w:rsidRPr="00E93F43">
        <w:rPr>
          <w:sz w:val="22"/>
          <w:szCs w:val="22"/>
        </w:rPr>
        <w:t xml:space="preserve">. 2006. The effects of seismic airguns on cetaceans in UK waters. </w:t>
      </w:r>
      <w:r w:rsidRPr="00537943">
        <w:rPr>
          <w:i/>
          <w:iCs/>
          <w:sz w:val="22"/>
          <w:szCs w:val="22"/>
        </w:rPr>
        <w:t>Journal of Cetacean Research and Management</w:t>
      </w:r>
      <w:r w:rsidRPr="00E93F43">
        <w:rPr>
          <w:sz w:val="22"/>
          <w:szCs w:val="22"/>
        </w:rPr>
        <w:t xml:space="preserve"> 8(3): 255.</w:t>
      </w:r>
    </w:p>
    <w:p w14:paraId="52228AE7" w14:textId="77777777" w:rsidR="00CA0853" w:rsidRPr="00E93F43" w:rsidRDefault="00CA0853" w:rsidP="0015283D">
      <w:pPr>
        <w:pStyle w:val="BodyText"/>
        <w:ind w:left="567" w:hanging="567"/>
        <w:rPr>
          <w:sz w:val="22"/>
          <w:szCs w:val="22"/>
        </w:rPr>
      </w:pPr>
      <w:r w:rsidRPr="00E93F43">
        <w:rPr>
          <w:sz w:val="22"/>
          <w:szCs w:val="22"/>
        </w:rPr>
        <w:t xml:space="preserve">Streever, B., Raborn, </w:t>
      </w:r>
      <w:r>
        <w:rPr>
          <w:sz w:val="22"/>
          <w:szCs w:val="22"/>
        </w:rPr>
        <w:t xml:space="preserve">S.W., </w:t>
      </w:r>
      <w:r w:rsidRPr="00E93F43">
        <w:rPr>
          <w:sz w:val="22"/>
          <w:szCs w:val="22"/>
        </w:rPr>
        <w:t xml:space="preserve">Kim, </w:t>
      </w:r>
      <w:r>
        <w:rPr>
          <w:sz w:val="22"/>
          <w:szCs w:val="22"/>
        </w:rPr>
        <w:t xml:space="preserve">K.H., </w:t>
      </w:r>
      <w:r w:rsidRPr="00E93F43">
        <w:rPr>
          <w:sz w:val="22"/>
          <w:szCs w:val="22"/>
        </w:rPr>
        <w:t xml:space="preserve">Hawkins, </w:t>
      </w:r>
      <w:r>
        <w:rPr>
          <w:sz w:val="22"/>
          <w:szCs w:val="22"/>
        </w:rPr>
        <w:t xml:space="preserve">A.D. </w:t>
      </w:r>
      <w:r w:rsidRPr="00E93F43">
        <w:rPr>
          <w:sz w:val="22"/>
          <w:szCs w:val="22"/>
        </w:rPr>
        <w:t>and Popper</w:t>
      </w:r>
      <w:r>
        <w:rPr>
          <w:sz w:val="22"/>
          <w:szCs w:val="22"/>
        </w:rPr>
        <w:t>, A.N</w:t>
      </w:r>
      <w:r w:rsidRPr="00E93F43">
        <w:rPr>
          <w:sz w:val="22"/>
          <w:szCs w:val="22"/>
        </w:rPr>
        <w:t xml:space="preserve">. 2016. Changes in fish catch rates in the presence of air gun sounds in Prudhoe Bay, Alaska. </w:t>
      </w:r>
      <w:r w:rsidRPr="00537943">
        <w:rPr>
          <w:i/>
          <w:iCs/>
          <w:sz w:val="22"/>
          <w:szCs w:val="22"/>
        </w:rPr>
        <w:t>Arctic</w:t>
      </w:r>
      <w:r w:rsidRPr="00E93F43">
        <w:rPr>
          <w:sz w:val="22"/>
          <w:szCs w:val="22"/>
        </w:rPr>
        <w:t xml:space="preserve"> 69(4): 346-358. </w:t>
      </w:r>
    </w:p>
    <w:p w14:paraId="12379A82" w14:textId="77777777" w:rsidR="00CA0853" w:rsidRPr="00425C7C" w:rsidRDefault="00CA0853" w:rsidP="0015283D">
      <w:pPr>
        <w:pStyle w:val="BodyText"/>
        <w:ind w:left="567" w:hanging="567"/>
        <w:rPr>
          <w:sz w:val="22"/>
          <w:szCs w:val="22"/>
        </w:rPr>
      </w:pPr>
      <w:r w:rsidRPr="00425C7C">
        <w:rPr>
          <w:sz w:val="22"/>
          <w:szCs w:val="22"/>
        </w:rPr>
        <w:t>Tasmanian SMPC. 1999. Iron Baron oil spill, July 1995: long term environmental impact and</w:t>
      </w:r>
      <w:r>
        <w:rPr>
          <w:sz w:val="22"/>
          <w:szCs w:val="22"/>
        </w:rPr>
        <w:t xml:space="preserve"> </w:t>
      </w:r>
      <w:r w:rsidRPr="00425C7C">
        <w:rPr>
          <w:sz w:val="22"/>
          <w:szCs w:val="22"/>
        </w:rPr>
        <w:t>recovery. Tasmania State Marine Pollution Committee. Long Term Impact Assessment</w:t>
      </w:r>
      <w:r>
        <w:rPr>
          <w:sz w:val="22"/>
          <w:szCs w:val="22"/>
        </w:rPr>
        <w:t xml:space="preserve"> </w:t>
      </w:r>
      <w:r w:rsidRPr="00425C7C">
        <w:rPr>
          <w:sz w:val="22"/>
          <w:szCs w:val="22"/>
        </w:rPr>
        <w:t>Group.</w:t>
      </w:r>
    </w:p>
    <w:p w14:paraId="7A2F37DA" w14:textId="77777777" w:rsidR="00CA0853" w:rsidRPr="00C569B0" w:rsidRDefault="00CA0853" w:rsidP="0015283D">
      <w:pPr>
        <w:pStyle w:val="BodyText"/>
        <w:ind w:left="567" w:hanging="567"/>
        <w:rPr>
          <w:sz w:val="22"/>
          <w:szCs w:val="22"/>
        </w:rPr>
      </w:pPr>
      <w:r w:rsidRPr="00C569B0">
        <w:rPr>
          <w:sz w:val="22"/>
          <w:szCs w:val="22"/>
        </w:rPr>
        <w:t xml:space="preserve">Thomson, R.B., Sporcic, M., Foster, S.D., Haddon, M., Potter, A., Carroll, A., Przeslawski, R., Knuckey, I., Koopman, M. and Hartog J. 2014. Examining Fisheries Catches and Catch Rates for Potential Effects of Bass Strait Seismic Surveys. CSIRO and Geoscience Australia. Hobart and Canberra. </w:t>
      </w:r>
    </w:p>
    <w:p w14:paraId="007EA31B" w14:textId="77777777" w:rsidR="00CA0853" w:rsidRPr="00C44C5C" w:rsidRDefault="00CA0853" w:rsidP="0015283D">
      <w:pPr>
        <w:pStyle w:val="BodyText"/>
        <w:ind w:left="567" w:hanging="567"/>
        <w:rPr>
          <w:sz w:val="22"/>
          <w:szCs w:val="22"/>
        </w:rPr>
      </w:pPr>
      <w:bookmarkStart w:id="1340" w:name="_ENREF_30"/>
      <w:r w:rsidRPr="00C44C5C">
        <w:rPr>
          <w:sz w:val="22"/>
          <w:szCs w:val="22"/>
        </w:rPr>
        <w:t>Thomsen, B. 2002. An Experiment on How Seismic Shotting Affects Caged Fish. University of Aberdeen.</w:t>
      </w:r>
      <w:bookmarkEnd w:id="1340"/>
    </w:p>
    <w:p w14:paraId="1543EE7F" w14:textId="77777777" w:rsidR="00CA0853" w:rsidRPr="00AF0B16" w:rsidRDefault="00CA0853" w:rsidP="0015283D">
      <w:pPr>
        <w:pStyle w:val="BodyText"/>
        <w:ind w:left="567" w:hanging="567"/>
        <w:rPr>
          <w:sz w:val="22"/>
          <w:szCs w:val="22"/>
        </w:rPr>
      </w:pPr>
      <w:r w:rsidRPr="00AF0B16">
        <w:rPr>
          <w:sz w:val="22"/>
          <w:szCs w:val="22"/>
        </w:rPr>
        <w:t>Thursby, G.B. and Steele, R. L. 2004. Toxicity of arsenite and arsenate to the marine macroalga</w:t>
      </w:r>
      <w:r>
        <w:rPr>
          <w:sz w:val="22"/>
          <w:szCs w:val="22"/>
        </w:rPr>
        <w:t xml:space="preserve"> </w:t>
      </w:r>
      <w:r w:rsidRPr="00EF44EF">
        <w:rPr>
          <w:i/>
          <w:sz w:val="22"/>
          <w:szCs w:val="22"/>
        </w:rPr>
        <w:t>Champia parvula</w:t>
      </w:r>
      <w:r w:rsidRPr="00AF0B16">
        <w:rPr>
          <w:sz w:val="22"/>
          <w:szCs w:val="22"/>
        </w:rPr>
        <w:t xml:space="preserve"> (rhodophyta). </w:t>
      </w:r>
      <w:r w:rsidRPr="00EF44EF">
        <w:rPr>
          <w:i/>
          <w:sz w:val="22"/>
          <w:szCs w:val="22"/>
        </w:rPr>
        <w:t>Environmental Toxicology and Chemistry</w:t>
      </w:r>
      <w:r w:rsidRPr="00AF0B16">
        <w:rPr>
          <w:sz w:val="22"/>
          <w:szCs w:val="22"/>
        </w:rPr>
        <w:t xml:space="preserve"> 3 (3):391-397.</w:t>
      </w:r>
    </w:p>
    <w:p w14:paraId="6A212DA4" w14:textId="77777777" w:rsidR="00CA0853" w:rsidRPr="00E93F43" w:rsidRDefault="00CA0853" w:rsidP="0015283D">
      <w:pPr>
        <w:pStyle w:val="BodyText"/>
        <w:ind w:left="567" w:hanging="567"/>
        <w:rPr>
          <w:sz w:val="22"/>
          <w:szCs w:val="22"/>
        </w:rPr>
      </w:pPr>
      <w:r w:rsidRPr="00E93F43">
        <w:rPr>
          <w:sz w:val="22"/>
          <w:szCs w:val="22"/>
        </w:rPr>
        <w:t>Tidau, S. and Briffa</w:t>
      </w:r>
      <w:r>
        <w:rPr>
          <w:sz w:val="22"/>
          <w:szCs w:val="22"/>
        </w:rPr>
        <w:t>, M</w:t>
      </w:r>
      <w:r w:rsidRPr="00E93F43">
        <w:rPr>
          <w:sz w:val="22"/>
          <w:szCs w:val="22"/>
        </w:rPr>
        <w:t xml:space="preserve">. 2016. Review on behavioral impacts of aquatic noise on crustaceans. </w:t>
      </w:r>
      <w:r w:rsidRPr="00C44C5C">
        <w:rPr>
          <w:i/>
          <w:iCs/>
          <w:sz w:val="22"/>
          <w:szCs w:val="22"/>
        </w:rPr>
        <w:t>Proc</w:t>
      </w:r>
      <w:r>
        <w:rPr>
          <w:i/>
          <w:iCs/>
          <w:sz w:val="22"/>
          <w:szCs w:val="22"/>
        </w:rPr>
        <w:t>.</w:t>
      </w:r>
      <w:r w:rsidRPr="00C44C5C">
        <w:rPr>
          <w:i/>
          <w:iCs/>
          <w:sz w:val="22"/>
          <w:szCs w:val="22"/>
        </w:rPr>
        <w:t xml:space="preserve"> M</w:t>
      </w:r>
      <w:r>
        <w:rPr>
          <w:i/>
          <w:iCs/>
          <w:sz w:val="22"/>
          <w:szCs w:val="22"/>
        </w:rPr>
        <w:t xml:space="preserve">tgs. Acoust. </w:t>
      </w:r>
      <w:r w:rsidRPr="00E93F43">
        <w:rPr>
          <w:sz w:val="22"/>
          <w:szCs w:val="22"/>
        </w:rPr>
        <w:t xml:space="preserve">27(1): 010028. </w:t>
      </w:r>
    </w:p>
    <w:p w14:paraId="15E0D811" w14:textId="77777777" w:rsidR="00CA0853" w:rsidRPr="005D6434" w:rsidRDefault="00CA0853" w:rsidP="0015283D">
      <w:pPr>
        <w:pStyle w:val="BodyText"/>
        <w:ind w:left="567" w:hanging="567"/>
        <w:rPr>
          <w:rFonts w:cs="Tahoma"/>
          <w:sz w:val="20"/>
          <w:szCs w:val="20"/>
          <w:highlight w:val="yellow"/>
          <w:lang w:val="en-GB"/>
        </w:rPr>
      </w:pPr>
      <w:r w:rsidRPr="0042403D">
        <w:rPr>
          <w:sz w:val="22"/>
          <w:szCs w:val="22"/>
        </w:rPr>
        <w:t>TSSC. 2005. Recovery Plan for the Australian Sea Lion (</w:t>
      </w:r>
      <w:r w:rsidRPr="0042403D">
        <w:rPr>
          <w:i/>
          <w:sz w:val="22"/>
          <w:szCs w:val="22"/>
        </w:rPr>
        <w:t>Neophoca cinerea</w:t>
      </w:r>
      <w:r w:rsidRPr="0042403D">
        <w:rPr>
          <w:sz w:val="22"/>
          <w:szCs w:val="22"/>
        </w:rPr>
        <w:t xml:space="preserve">). </w:t>
      </w:r>
      <w:r w:rsidRPr="000F163B">
        <w:rPr>
          <w:sz w:val="22"/>
          <w:szCs w:val="22"/>
        </w:rPr>
        <w:t>Threatened Species Scientific Committee.</w:t>
      </w:r>
    </w:p>
    <w:p w14:paraId="6DCDBA1F" w14:textId="77777777" w:rsidR="00CA0853" w:rsidRPr="00CC11E9" w:rsidRDefault="00CA0853" w:rsidP="0015283D">
      <w:pPr>
        <w:pStyle w:val="BodyText"/>
        <w:ind w:left="567" w:hanging="567"/>
        <w:rPr>
          <w:sz w:val="22"/>
          <w:szCs w:val="22"/>
        </w:rPr>
      </w:pPr>
      <w:r w:rsidRPr="00CC11E9">
        <w:rPr>
          <w:sz w:val="22"/>
          <w:szCs w:val="22"/>
        </w:rPr>
        <w:t xml:space="preserve">TSSC. 2011. Approved conservation advice for Sternula nereis nereis (Fairy tern). </w:t>
      </w:r>
      <w:r w:rsidRPr="000F163B">
        <w:rPr>
          <w:sz w:val="22"/>
          <w:szCs w:val="22"/>
        </w:rPr>
        <w:t xml:space="preserve">A WWW document accessed at </w:t>
      </w:r>
      <w:r w:rsidRPr="00CC11E9">
        <w:rPr>
          <w:sz w:val="22"/>
          <w:szCs w:val="22"/>
        </w:rPr>
        <w:t>http://www.environment.gov.au/biodiversity/threatened/</w:t>
      </w:r>
      <w:r w:rsidRPr="00CC11E9">
        <w:rPr>
          <w:sz w:val="22"/>
          <w:szCs w:val="22"/>
        </w:rPr>
        <w:br/>
        <w:t xml:space="preserve">species/pubs/82950-conservation-advice.pdf. </w:t>
      </w:r>
      <w:r w:rsidRPr="000F163B">
        <w:rPr>
          <w:sz w:val="22"/>
          <w:szCs w:val="22"/>
        </w:rPr>
        <w:t>Threatened Species Scientific Committee.</w:t>
      </w:r>
    </w:p>
    <w:p w14:paraId="086A2F13" w14:textId="77777777" w:rsidR="00CA0853" w:rsidRPr="00CC11E9" w:rsidRDefault="00CA0853" w:rsidP="0015283D">
      <w:pPr>
        <w:pStyle w:val="BodyText"/>
        <w:ind w:left="567" w:hanging="567"/>
        <w:rPr>
          <w:sz w:val="22"/>
          <w:szCs w:val="22"/>
        </w:rPr>
      </w:pPr>
      <w:r w:rsidRPr="00CC11E9">
        <w:rPr>
          <w:sz w:val="22"/>
          <w:szCs w:val="22"/>
        </w:rPr>
        <w:t xml:space="preserve">TSSC. 2014. Conservation Advice. Thinornis rubricollis rubricollis. Hooded plover (eastern). </w:t>
      </w:r>
      <w:r w:rsidRPr="000F163B">
        <w:rPr>
          <w:sz w:val="22"/>
          <w:szCs w:val="22"/>
        </w:rPr>
        <w:t xml:space="preserve">A WWW document accessed at </w:t>
      </w:r>
      <w:r w:rsidRPr="00C16660">
        <w:rPr>
          <w:sz w:val="22"/>
          <w:szCs w:val="22"/>
        </w:rPr>
        <w:t>http://www.environment.gov.au/biodiversity/threatened/</w:t>
      </w:r>
      <w:r>
        <w:rPr>
          <w:sz w:val="22"/>
          <w:szCs w:val="22"/>
        </w:rPr>
        <w:br/>
      </w:r>
      <w:r w:rsidRPr="00C16660">
        <w:rPr>
          <w:sz w:val="22"/>
          <w:szCs w:val="22"/>
        </w:rPr>
        <w:t>species/pubs/66726-conservation-advice.pdf</w:t>
      </w:r>
      <w:r>
        <w:rPr>
          <w:sz w:val="22"/>
          <w:szCs w:val="22"/>
        </w:rPr>
        <w:t xml:space="preserve">. </w:t>
      </w:r>
      <w:r w:rsidRPr="000F163B">
        <w:rPr>
          <w:sz w:val="22"/>
          <w:szCs w:val="22"/>
        </w:rPr>
        <w:t>Threatened Species Scientific Committee.</w:t>
      </w:r>
    </w:p>
    <w:p w14:paraId="6C9CB076" w14:textId="77777777" w:rsidR="00CA0853" w:rsidRPr="000F163B" w:rsidRDefault="00CA0853" w:rsidP="0015283D">
      <w:pPr>
        <w:pStyle w:val="BodyText"/>
        <w:ind w:left="567" w:hanging="567"/>
        <w:rPr>
          <w:sz w:val="22"/>
          <w:szCs w:val="22"/>
        </w:rPr>
      </w:pPr>
      <w:r w:rsidRPr="000F163B">
        <w:rPr>
          <w:sz w:val="22"/>
          <w:szCs w:val="22"/>
        </w:rPr>
        <w:t>TSSC. 2015</w:t>
      </w:r>
      <w:r>
        <w:rPr>
          <w:sz w:val="22"/>
          <w:szCs w:val="22"/>
        </w:rPr>
        <w:t>a</w:t>
      </w:r>
      <w:r w:rsidRPr="000F163B">
        <w:rPr>
          <w:sz w:val="22"/>
          <w:szCs w:val="22"/>
        </w:rPr>
        <w:t xml:space="preserve">. Conservation Advice – </w:t>
      </w:r>
      <w:r w:rsidRPr="000F163B">
        <w:rPr>
          <w:i/>
          <w:sz w:val="22"/>
          <w:szCs w:val="22"/>
        </w:rPr>
        <w:t>Rhincodon typus</w:t>
      </w:r>
      <w:r w:rsidRPr="000F163B">
        <w:rPr>
          <w:sz w:val="22"/>
          <w:szCs w:val="22"/>
        </w:rPr>
        <w:t xml:space="preserve"> (whale shark). A WWW document accessed at http://www.environment.gov.au/biodiversity/threatened/species/pubs/66680-conservation-advice-01102015.pdf. Threatened Species Scientific Committee. </w:t>
      </w:r>
    </w:p>
    <w:p w14:paraId="522A806C" w14:textId="77777777" w:rsidR="00CA0853" w:rsidRPr="000F163B" w:rsidRDefault="00CA0853" w:rsidP="0015283D">
      <w:pPr>
        <w:pStyle w:val="BodyText"/>
        <w:ind w:left="567" w:hanging="567"/>
        <w:rPr>
          <w:sz w:val="22"/>
          <w:szCs w:val="22"/>
        </w:rPr>
      </w:pPr>
      <w:r w:rsidRPr="000F163B">
        <w:rPr>
          <w:sz w:val="22"/>
          <w:szCs w:val="22"/>
        </w:rPr>
        <w:t>TSSC. 2015</w:t>
      </w:r>
      <w:r>
        <w:rPr>
          <w:sz w:val="22"/>
          <w:szCs w:val="22"/>
        </w:rPr>
        <w:t>b</w:t>
      </w:r>
      <w:r w:rsidRPr="000F163B">
        <w:rPr>
          <w:sz w:val="22"/>
          <w:szCs w:val="22"/>
        </w:rPr>
        <w:t xml:space="preserve">. </w:t>
      </w:r>
      <w:r>
        <w:rPr>
          <w:sz w:val="22"/>
          <w:szCs w:val="22"/>
        </w:rPr>
        <w:t>Listing</w:t>
      </w:r>
      <w:r w:rsidRPr="000F163B">
        <w:rPr>
          <w:sz w:val="22"/>
          <w:szCs w:val="22"/>
        </w:rPr>
        <w:t xml:space="preserve"> Advice – </w:t>
      </w:r>
      <w:r>
        <w:rPr>
          <w:i/>
          <w:sz w:val="22"/>
          <w:szCs w:val="22"/>
        </w:rPr>
        <w:t>Seriolella brama</w:t>
      </w:r>
      <w:r w:rsidRPr="000F163B">
        <w:rPr>
          <w:sz w:val="22"/>
          <w:szCs w:val="22"/>
        </w:rPr>
        <w:t xml:space="preserve"> (</w:t>
      </w:r>
      <w:r>
        <w:rPr>
          <w:sz w:val="22"/>
          <w:szCs w:val="22"/>
        </w:rPr>
        <w:t>blue warehou</w:t>
      </w:r>
      <w:r w:rsidRPr="000F163B">
        <w:rPr>
          <w:sz w:val="22"/>
          <w:szCs w:val="22"/>
        </w:rPr>
        <w:t xml:space="preserve">). A WWW document accessed at </w:t>
      </w:r>
      <w:r w:rsidRPr="00BE2BA2">
        <w:rPr>
          <w:sz w:val="22"/>
          <w:szCs w:val="22"/>
        </w:rPr>
        <w:lastRenderedPageBreak/>
        <w:t>http://www.environment.gov.au/biodiversity/threatened/species/pubs/69374-listing-advice.pdf</w:t>
      </w:r>
      <w:r w:rsidRPr="000F163B">
        <w:rPr>
          <w:sz w:val="22"/>
          <w:szCs w:val="22"/>
        </w:rPr>
        <w:t xml:space="preserve">. Threatened Species Scientific Committee. </w:t>
      </w:r>
    </w:p>
    <w:p w14:paraId="438D9C41" w14:textId="77777777" w:rsidR="00CA0853" w:rsidRPr="000F163B" w:rsidRDefault="00CA0853" w:rsidP="0015283D">
      <w:pPr>
        <w:pStyle w:val="BodyText"/>
        <w:ind w:left="567" w:hanging="567"/>
        <w:rPr>
          <w:sz w:val="22"/>
          <w:szCs w:val="22"/>
        </w:rPr>
      </w:pPr>
      <w:r w:rsidRPr="000F163B">
        <w:rPr>
          <w:sz w:val="22"/>
          <w:szCs w:val="22"/>
        </w:rPr>
        <w:t>TSSC. 2015</w:t>
      </w:r>
      <w:r>
        <w:rPr>
          <w:sz w:val="22"/>
          <w:szCs w:val="22"/>
        </w:rPr>
        <w:t>c</w:t>
      </w:r>
      <w:r w:rsidRPr="000F163B">
        <w:rPr>
          <w:sz w:val="22"/>
          <w:szCs w:val="22"/>
        </w:rPr>
        <w:t xml:space="preserve">. Conservation Advice – </w:t>
      </w:r>
      <w:r w:rsidRPr="000F163B">
        <w:rPr>
          <w:i/>
          <w:sz w:val="22"/>
          <w:szCs w:val="22"/>
        </w:rPr>
        <w:t>Balaenoptera borealis</w:t>
      </w:r>
      <w:r w:rsidRPr="000F163B">
        <w:rPr>
          <w:sz w:val="22"/>
          <w:szCs w:val="22"/>
        </w:rPr>
        <w:t xml:space="preserve"> (sei whale). A WWW document accessed at http://www.environment.gov.au/biodiversity/threatened/species/pubs/34-conservation-advice-01102015.pdf. Threatened Species Scientific Committee. </w:t>
      </w:r>
    </w:p>
    <w:p w14:paraId="2AB04E78" w14:textId="77777777" w:rsidR="00CA0853" w:rsidRDefault="00CA0853" w:rsidP="0015283D">
      <w:pPr>
        <w:pStyle w:val="BodyText"/>
        <w:ind w:left="567" w:hanging="567"/>
        <w:rPr>
          <w:sz w:val="22"/>
          <w:szCs w:val="22"/>
        </w:rPr>
      </w:pPr>
      <w:r w:rsidRPr="000F163B">
        <w:rPr>
          <w:sz w:val="22"/>
          <w:szCs w:val="22"/>
        </w:rPr>
        <w:t>TSSC. 2015</w:t>
      </w:r>
      <w:r>
        <w:rPr>
          <w:sz w:val="22"/>
          <w:szCs w:val="22"/>
        </w:rPr>
        <w:t>d</w:t>
      </w:r>
      <w:r w:rsidRPr="000F163B">
        <w:rPr>
          <w:sz w:val="22"/>
          <w:szCs w:val="22"/>
        </w:rPr>
        <w:t xml:space="preserve">. Conservation Advice – </w:t>
      </w:r>
      <w:r w:rsidRPr="000F163B">
        <w:rPr>
          <w:i/>
          <w:sz w:val="22"/>
          <w:szCs w:val="22"/>
        </w:rPr>
        <w:t>Balaenoptera physalus</w:t>
      </w:r>
      <w:r w:rsidRPr="000F163B">
        <w:rPr>
          <w:sz w:val="22"/>
          <w:szCs w:val="22"/>
        </w:rPr>
        <w:t xml:space="preserve"> (fin whale). A WWW document accessed at http://www.environment.gov.au/biodiversity/threatened/species/pubs/37-conservation-advice-01102015.pdf. Threatened Species Scientific Committee. </w:t>
      </w:r>
    </w:p>
    <w:p w14:paraId="48BF17CD" w14:textId="77777777" w:rsidR="00CA0853" w:rsidRPr="000F163B" w:rsidRDefault="00CA0853" w:rsidP="0015283D">
      <w:pPr>
        <w:pStyle w:val="BodyText"/>
        <w:ind w:left="567" w:hanging="567"/>
        <w:rPr>
          <w:sz w:val="22"/>
          <w:szCs w:val="22"/>
        </w:rPr>
      </w:pPr>
      <w:r w:rsidRPr="000F163B">
        <w:rPr>
          <w:sz w:val="22"/>
          <w:szCs w:val="22"/>
        </w:rPr>
        <w:t>TSSC. 2015</w:t>
      </w:r>
      <w:r>
        <w:rPr>
          <w:sz w:val="22"/>
          <w:szCs w:val="22"/>
        </w:rPr>
        <w:t>e</w:t>
      </w:r>
      <w:r w:rsidRPr="000F163B">
        <w:rPr>
          <w:sz w:val="22"/>
          <w:szCs w:val="22"/>
        </w:rPr>
        <w:t xml:space="preserve">. Conservation Advice – </w:t>
      </w:r>
      <w:r>
        <w:rPr>
          <w:i/>
          <w:sz w:val="22"/>
          <w:szCs w:val="22"/>
        </w:rPr>
        <w:t>Megaptera novaeangliae</w:t>
      </w:r>
      <w:r w:rsidRPr="000F163B">
        <w:rPr>
          <w:sz w:val="22"/>
          <w:szCs w:val="22"/>
        </w:rPr>
        <w:t xml:space="preserve"> (</w:t>
      </w:r>
      <w:r>
        <w:rPr>
          <w:sz w:val="22"/>
          <w:szCs w:val="22"/>
        </w:rPr>
        <w:t>humpback</w:t>
      </w:r>
      <w:r w:rsidRPr="000F163B">
        <w:rPr>
          <w:sz w:val="22"/>
          <w:szCs w:val="22"/>
        </w:rPr>
        <w:t xml:space="preserve"> whale). A WWW document accessed at </w:t>
      </w:r>
      <w:r w:rsidRPr="00A01707">
        <w:rPr>
          <w:sz w:val="22"/>
          <w:szCs w:val="22"/>
        </w:rPr>
        <w:t>http://www.environment.gov.au/biodiversity/threatened/species/pubs/38-conservation-advice-10102015.pdf</w:t>
      </w:r>
      <w:r w:rsidRPr="000F163B">
        <w:rPr>
          <w:sz w:val="22"/>
          <w:szCs w:val="22"/>
        </w:rPr>
        <w:t xml:space="preserve">. Threatened Species Scientific Committee. </w:t>
      </w:r>
    </w:p>
    <w:p w14:paraId="6600F4E1" w14:textId="77777777" w:rsidR="00CA0853" w:rsidRPr="0003554F" w:rsidRDefault="00CA0853" w:rsidP="0015283D">
      <w:pPr>
        <w:pStyle w:val="BodyText"/>
        <w:ind w:left="567" w:hanging="567"/>
        <w:rPr>
          <w:sz w:val="22"/>
          <w:szCs w:val="22"/>
        </w:rPr>
      </w:pPr>
      <w:r w:rsidRPr="0003554F">
        <w:rPr>
          <w:sz w:val="22"/>
          <w:szCs w:val="22"/>
        </w:rPr>
        <w:t>Tsvetnenko, Y. 1998. Derivation of Australian Tropical Marine Water Quality Criteria for</w:t>
      </w:r>
      <w:r>
        <w:rPr>
          <w:sz w:val="22"/>
          <w:szCs w:val="22"/>
        </w:rPr>
        <w:t xml:space="preserve"> </w:t>
      </w:r>
      <w:r w:rsidRPr="0003554F">
        <w:rPr>
          <w:sz w:val="22"/>
          <w:szCs w:val="22"/>
        </w:rPr>
        <w:t xml:space="preserve">Protection of Aquatic Life from Adverse Effects of Petroleum Hydrocarbons. </w:t>
      </w:r>
      <w:r w:rsidRPr="0003554F">
        <w:rPr>
          <w:i/>
          <w:sz w:val="22"/>
          <w:szCs w:val="22"/>
        </w:rPr>
        <w:t>Environmental Toxicology and Water Quality</w:t>
      </w:r>
      <w:r>
        <w:rPr>
          <w:sz w:val="22"/>
          <w:szCs w:val="22"/>
        </w:rPr>
        <w:t xml:space="preserve"> </w:t>
      </w:r>
      <w:r w:rsidRPr="0003554F">
        <w:rPr>
          <w:sz w:val="22"/>
          <w:szCs w:val="22"/>
        </w:rPr>
        <w:t>13(4):273-284.</w:t>
      </w:r>
    </w:p>
    <w:p w14:paraId="4DBF3AAC" w14:textId="77777777" w:rsidR="00CA0853" w:rsidRDefault="00CA0853" w:rsidP="0015283D">
      <w:pPr>
        <w:pStyle w:val="BodyText"/>
        <w:ind w:left="567" w:hanging="567"/>
        <w:rPr>
          <w:sz w:val="22"/>
          <w:szCs w:val="22"/>
        </w:rPr>
      </w:pPr>
      <w:r>
        <w:rPr>
          <w:sz w:val="22"/>
          <w:szCs w:val="22"/>
        </w:rPr>
        <w:t xml:space="preserve">UNEP IE. 1997. Environmental management in oil and gas exploration and production. A WWW document downloaded from </w:t>
      </w:r>
      <w:hyperlink r:id="rId337" w:history="1">
        <w:r w:rsidRPr="0000139F">
          <w:t>https://wedocs.unep.org/rest/bitstreams/13599/retrieve</w:t>
        </w:r>
      </w:hyperlink>
      <w:r>
        <w:rPr>
          <w:sz w:val="22"/>
          <w:szCs w:val="22"/>
        </w:rPr>
        <w:t xml:space="preserve">. </w:t>
      </w:r>
      <w:r w:rsidRPr="0062708E">
        <w:rPr>
          <w:sz w:val="22"/>
          <w:szCs w:val="22"/>
        </w:rPr>
        <w:t>United Nations Environment Prog</w:t>
      </w:r>
      <w:r>
        <w:rPr>
          <w:sz w:val="22"/>
          <w:szCs w:val="22"/>
        </w:rPr>
        <w:t xml:space="preserve">ramme Industry and Environment </w:t>
      </w:r>
      <w:r w:rsidRPr="0062708E">
        <w:rPr>
          <w:sz w:val="22"/>
          <w:szCs w:val="22"/>
        </w:rPr>
        <w:t>and the Oil Industry International Exploration and Production Forum</w:t>
      </w:r>
      <w:r>
        <w:rPr>
          <w:sz w:val="22"/>
          <w:szCs w:val="22"/>
        </w:rPr>
        <w:t>.</w:t>
      </w:r>
    </w:p>
    <w:p w14:paraId="3C3AB7A5" w14:textId="77777777" w:rsidR="00CA0853" w:rsidRPr="00F56CF3" w:rsidRDefault="00CA0853" w:rsidP="0015283D">
      <w:pPr>
        <w:pStyle w:val="BodyText"/>
        <w:ind w:left="567" w:hanging="567"/>
        <w:rPr>
          <w:sz w:val="22"/>
          <w:szCs w:val="22"/>
        </w:rPr>
      </w:pPr>
      <w:r w:rsidRPr="00F56CF3">
        <w:rPr>
          <w:sz w:val="22"/>
          <w:szCs w:val="22"/>
        </w:rPr>
        <w:t>URS. 2001. Review of Environmental Impacts of Petroleum Exploration and Appraisal Activities in</w:t>
      </w:r>
      <w:r>
        <w:rPr>
          <w:sz w:val="22"/>
          <w:szCs w:val="22"/>
        </w:rPr>
        <w:t xml:space="preserve"> </w:t>
      </w:r>
      <w:r w:rsidRPr="00F56CF3">
        <w:rPr>
          <w:sz w:val="22"/>
          <w:szCs w:val="22"/>
        </w:rPr>
        <w:t>Commonwealth Waters. Report prepared for the Department of Science &amp; Resources.</w:t>
      </w:r>
    </w:p>
    <w:p w14:paraId="33A402A5" w14:textId="77777777" w:rsidR="00CA0853" w:rsidRPr="00CE0E3A" w:rsidRDefault="00CA0853" w:rsidP="0015283D">
      <w:pPr>
        <w:pStyle w:val="BodyText"/>
        <w:ind w:left="567" w:hanging="567"/>
        <w:rPr>
          <w:sz w:val="22"/>
          <w:szCs w:val="22"/>
        </w:rPr>
      </w:pPr>
      <w:r w:rsidRPr="00CE0E3A">
        <w:rPr>
          <w:sz w:val="22"/>
          <w:szCs w:val="22"/>
        </w:rPr>
        <w:t>Van Meter, R.J., Spotila, J.R. and Avery, H.W. 2006. Polycyclic Aromatic Hydrocarbons Affect</w:t>
      </w:r>
      <w:r>
        <w:rPr>
          <w:sz w:val="22"/>
          <w:szCs w:val="22"/>
        </w:rPr>
        <w:t xml:space="preserve"> </w:t>
      </w:r>
      <w:r w:rsidRPr="00CE0E3A">
        <w:rPr>
          <w:sz w:val="22"/>
          <w:szCs w:val="22"/>
        </w:rPr>
        <w:t>Survival and Development of Common Snapping Turtle (</w:t>
      </w:r>
      <w:r w:rsidRPr="008A3EE0">
        <w:rPr>
          <w:i/>
          <w:sz w:val="22"/>
          <w:szCs w:val="22"/>
        </w:rPr>
        <w:t>Chelydra serpentina</w:t>
      </w:r>
      <w:r w:rsidRPr="00CE0E3A">
        <w:rPr>
          <w:sz w:val="22"/>
          <w:szCs w:val="22"/>
        </w:rPr>
        <w:t>) Embryos</w:t>
      </w:r>
      <w:r>
        <w:rPr>
          <w:sz w:val="22"/>
          <w:szCs w:val="22"/>
        </w:rPr>
        <w:t xml:space="preserve"> </w:t>
      </w:r>
      <w:r w:rsidRPr="00CE0E3A">
        <w:rPr>
          <w:sz w:val="22"/>
          <w:szCs w:val="22"/>
        </w:rPr>
        <w:t xml:space="preserve">and Hatchlings. </w:t>
      </w:r>
      <w:r w:rsidRPr="008A3EE0">
        <w:rPr>
          <w:i/>
          <w:sz w:val="22"/>
          <w:szCs w:val="22"/>
        </w:rPr>
        <w:t>Env</w:t>
      </w:r>
      <w:r>
        <w:rPr>
          <w:i/>
          <w:sz w:val="22"/>
          <w:szCs w:val="22"/>
        </w:rPr>
        <w:t>.</w:t>
      </w:r>
      <w:r w:rsidRPr="008A3EE0">
        <w:rPr>
          <w:i/>
          <w:sz w:val="22"/>
          <w:szCs w:val="22"/>
        </w:rPr>
        <w:t xml:space="preserve"> Poll</w:t>
      </w:r>
      <w:r>
        <w:rPr>
          <w:i/>
          <w:sz w:val="22"/>
          <w:szCs w:val="22"/>
        </w:rPr>
        <w:t>.</w:t>
      </w:r>
      <w:r>
        <w:rPr>
          <w:sz w:val="22"/>
          <w:szCs w:val="22"/>
        </w:rPr>
        <w:t xml:space="preserve"> 142(3): 466–</w:t>
      </w:r>
      <w:r w:rsidRPr="00CE0E3A">
        <w:rPr>
          <w:sz w:val="22"/>
          <w:szCs w:val="22"/>
        </w:rPr>
        <w:t>475.</w:t>
      </w:r>
    </w:p>
    <w:p w14:paraId="449E6322" w14:textId="3DD7EFB7" w:rsidR="00BA0914" w:rsidRDefault="00BA0914" w:rsidP="0015283D">
      <w:pPr>
        <w:pStyle w:val="BodyText"/>
        <w:ind w:left="567" w:hanging="567"/>
        <w:rPr>
          <w:sz w:val="22"/>
          <w:szCs w:val="22"/>
        </w:rPr>
      </w:pPr>
      <w:r>
        <w:rPr>
          <w:sz w:val="22"/>
          <w:szCs w:val="22"/>
        </w:rPr>
        <w:t xml:space="preserve">VFA. 2017. Scallop Report. A WWW database accessed at </w:t>
      </w:r>
      <w:r w:rsidR="001C18F9" w:rsidRPr="00891DE1">
        <w:t>https://vfa.vic.gov.au/operational-policy/strategy-and-policy/scallop-report</w:t>
      </w:r>
      <w:r>
        <w:rPr>
          <w:sz w:val="22"/>
          <w:szCs w:val="22"/>
        </w:rPr>
        <w:t xml:space="preserve">. Victorian Fisheries Authority. Melbourne. </w:t>
      </w:r>
    </w:p>
    <w:p w14:paraId="36063548" w14:textId="77777777" w:rsidR="00CA0853" w:rsidRPr="0003554F" w:rsidRDefault="00CA0853" w:rsidP="0015283D">
      <w:pPr>
        <w:pStyle w:val="BodyText"/>
        <w:ind w:left="567" w:hanging="567"/>
        <w:rPr>
          <w:sz w:val="22"/>
          <w:szCs w:val="22"/>
        </w:rPr>
      </w:pPr>
      <w:r w:rsidRPr="0003554F">
        <w:rPr>
          <w:sz w:val="22"/>
          <w:szCs w:val="22"/>
        </w:rPr>
        <w:t>Volkman, J.K., Miller, G.J., Revill, A.T. and Connell, D.W. 1994. 'Oil spills.' In</w:t>
      </w:r>
      <w:r>
        <w:rPr>
          <w:sz w:val="22"/>
          <w:szCs w:val="22"/>
        </w:rPr>
        <w:t>:</w:t>
      </w:r>
      <w:r w:rsidRPr="0003554F">
        <w:rPr>
          <w:sz w:val="22"/>
          <w:szCs w:val="22"/>
        </w:rPr>
        <w:t xml:space="preserve"> </w:t>
      </w:r>
      <w:r w:rsidRPr="00AC31B4">
        <w:rPr>
          <w:i/>
          <w:sz w:val="22"/>
          <w:szCs w:val="22"/>
        </w:rPr>
        <w:t>Environmental Implications of offshore oil and gas development in Australia - the findings of an independent scientific review</w:t>
      </w:r>
      <w:r w:rsidRPr="0003554F">
        <w:rPr>
          <w:sz w:val="22"/>
          <w:szCs w:val="22"/>
        </w:rPr>
        <w:t>. Edited by Swan, J.M., Neff, J.M. and Young, P.C. Australian</w:t>
      </w:r>
      <w:r>
        <w:rPr>
          <w:sz w:val="22"/>
          <w:szCs w:val="22"/>
        </w:rPr>
        <w:t xml:space="preserve"> </w:t>
      </w:r>
      <w:r w:rsidRPr="0003554F">
        <w:rPr>
          <w:sz w:val="22"/>
          <w:szCs w:val="22"/>
        </w:rPr>
        <w:t>Petroleum Exploration Association. Sydney.</w:t>
      </w:r>
    </w:p>
    <w:p w14:paraId="2736CD9F" w14:textId="77777777" w:rsidR="00CA0853" w:rsidRPr="0017576C" w:rsidRDefault="00CA0853" w:rsidP="0015283D">
      <w:pPr>
        <w:pStyle w:val="BodyText"/>
        <w:ind w:left="567" w:hanging="567"/>
        <w:rPr>
          <w:sz w:val="22"/>
          <w:szCs w:val="22"/>
        </w:rPr>
      </w:pPr>
      <w:r w:rsidRPr="001B1F9A">
        <w:rPr>
          <w:sz w:val="22"/>
          <w:szCs w:val="22"/>
        </w:rPr>
        <w:t>VRO. 2017</w:t>
      </w:r>
      <w:r>
        <w:rPr>
          <w:sz w:val="22"/>
          <w:szCs w:val="22"/>
        </w:rPr>
        <w:t xml:space="preserve">. East Gippsland, Tullaberga Island. A WWW database accessed at </w:t>
      </w:r>
      <w:r w:rsidRPr="00B54DC3">
        <w:rPr>
          <w:sz w:val="22"/>
          <w:szCs w:val="22"/>
        </w:rPr>
        <w:t>http://vro.agriculture.vic.gov.au/dpi/vro/egregn.nsf/pages/eg_lf_sites_significance_8822_9</w:t>
      </w:r>
      <w:r>
        <w:rPr>
          <w:sz w:val="22"/>
          <w:szCs w:val="22"/>
        </w:rPr>
        <w:t xml:space="preserve">. Victorian Resources Online. Agriculture Victoria. </w:t>
      </w:r>
    </w:p>
    <w:p w14:paraId="7C7B04A8" w14:textId="77777777" w:rsidR="00CA0853" w:rsidRPr="00C569B0" w:rsidRDefault="00CA0853" w:rsidP="0015283D">
      <w:pPr>
        <w:pStyle w:val="BodyText"/>
        <w:ind w:left="567" w:hanging="567"/>
        <w:rPr>
          <w:sz w:val="22"/>
          <w:szCs w:val="22"/>
        </w:rPr>
      </w:pPr>
      <w:r w:rsidRPr="00C569B0">
        <w:rPr>
          <w:sz w:val="22"/>
          <w:szCs w:val="22"/>
        </w:rPr>
        <w:t xml:space="preserve">Wale, M. A., Simpson, S. D and Radford, A. N. Noise negatively affects foraging and antipredator behaviour in shore crabs. </w:t>
      </w:r>
      <w:r w:rsidRPr="00C569B0">
        <w:rPr>
          <w:i/>
          <w:sz w:val="22"/>
          <w:szCs w:val="22"/>
        </w:rPr>
        <w:t>Animal Behaviour</w:t>
      </w:r>
      <w:r w:rsidRPr="00C569B0">
        <w:rPr>
          <w:sz w:val="22"/>
          <w:szCs w:val="22"/>
        </w:rPr>
        <w:t>. 86</w:t>
      </w:r>
      <w:r>
        <w:rPr>
          <w:sz w:val="22"/>
          <w:szCs w:val="22"/>
        </w:rPr>
        <w:t xml:space="preserve">(1) </w:t>
      </w:r>
      <w:r w:rsidRPr="00C569B0">
        <w:rPr>
          <w:sz w:val="22"/>
          <w:szCs w:val="22"/>
        </w:rPr>
        <w:t>111–118</w:t>
      </w:r>
      <w:r>
        <w:rPr>
          <w:sz w:val="22"/>
          <w:szCs w:val="22"/>
        </w:rPr>
        <w:t>.</w:t>
      </w:r>
    </w:p>
    <w:p w14:paraId="166E8E34" w14:textId="77777777" w:rsidR="00CA0853" w:rsidRPr="00B11252" w:rsidRDefault="00CA0853" w:rsidP="0015283D">
      <w:pPr>
        <w:pStyle w:val="BodyText"/>
        <w:ind w:left="567" w:hanging="567"/>
        <w:rPr>
          <w:sz w:val="22"/>
          <w:szCs w:val="22"/>
        </w:rPr>
      </w:pPr>
      <w:r w:rsidRPr="00B11252">
        <w:rPr>
          <w:sz w:val="22"/>
          <w:szCs w:val="22"/>
        </w:rPr>
        <w:t xml:space="preserve">Walmsley, D. 2007. The effects of noise on the aquatic environment. Seismic invertebrate Research Conference Report. </w:t>
      </w:r>
    </w:p>
    <w:p w14:paraId="2A522D65" w14:textId="77777777" w:rsidR="00CA0853" w:rsidRPr="00C569B0" w:rsidRDefault="00CA0853" w:rsidP="0015283D">
      <w:pPr>
        <w:pStyle w:val="BodyText"/>
        <w:ind w:left="567" w:hanging="567"/>
        <w:rPr>
          <w:sz w:val="22"/>
          <w:szCs w:val="22"/>
        </w:rPr>
      </w:pPr>
      <w:r w:rsidRPr="00C569B0">
        <w:rPr>
          <w:sz w:val="22"/>
          <w:szCs w:val="22"/>
        </w:rPr>
        <w:t xml:space="preserve">Wardle, C.S., Carter, T.J., Urquhart, G.C., Johnstone, A.D.F., Ziolkowski, A.M., Hampson, G. and Mackie, D. 2001. Effects of seismic air guns on marine fish. </w:t>
      </w:r>
      <w:r w:rsidRPr="0047272C">
        <w:rPr>
          <w:i/>
          <w:sz w:val="22"/>
          <w:szCs w:val="22"/>
        </w:rPr>
        <w:t>Continental Shelf Research</w:t>
      </w:r>
      <w:r>
        <w:rPr>
          <w:sz w:val="22"/>
          <w:szCs w:val="22"/>
        </w:rPr>
        <w:t>. 21: 1005–1</w:t>
      </w:r>
      <w:r w:rsidRPr="00C569B0">
        <w:rPr>
          <w:sz w:val="22"/>
          <w:szCs w:val="22"/>
        </w:rPr>
        <w:t>027.</w:t>
      </w:r>
      <w:r>
        <w:rPr>
          <w:sz w:val="22"/>
          <w:szCs w:val="22"/>
        </w:rPr>
        <w:t xml:space="preserve"> </w:t>
      </w:r>
    </w:p>
    <w:p w14:paraId="2DA440A0" w14:textId="77777777" w:rsidR="00CA0853" w:rsidRPr="00E93F43" w:rsidRDefault="00CA0853" w:rsidP="0015283D">
      <w:pPr>
        <w:pStyle w:val="BodyText"/>
        <w:ind w:left="567" w:hanging="567"/>
        <w:rPr>
          <w:sz w:val="22"/>
          <w:szCs w:val="22"/>
        </w:rPr>
      </w:pPr>
      <w:r w:rsidRPr="00E8031B">
        <w:rPr>
          <w:sz w:val="22"/>
          <w:szCs w:val="22"/>
          <w:lang w:val="en-GB"/>
        </w:rPr>
        <w:lastRenderedPageBreak/>
        <w:t xml:space="preserve">Wartzok, D. and Ketten, D.E. 1999. </w:t>
      </w:r>
      <w:r w:rsidRPr="00E93F43">
        <w:rPr>
          <w:sz w:val="22"/>
          <w:szCs w:val="22"/>
        </w:rPr>
        <w:t>Marine Mammal Sensory Systems. In</w:t>
      </w:r>
      <w:r>
        <w:rPr>
          <w:sz w:val="22"/>
          <w:szCs w:val="22"/>
        </w:rPr>
        <w:t>:</w:t>
      </w:r>
      <w:r w:rsidRPr="00E93F43">
        <w:rPr>
          <w:sz w:val="22"/>
          <w:szCs w:val="22"/>
        </w:rPr>
        <w:t xml:space="preserve"> Reynolds, J. and Rommel</w:t>
      </w:r>
      <w:r>
        <w:rPr>
          <w:sz w:val="22"/>
          <w:szCs w:val="22"/>
        </w:rPr>
        <w:t>, S.</w:t>
      </w:r>
      <w:r w:rsidRPr="00E93F43">
        <w:rPr>
          <w:sz w:val="22"/>
          <w:szCs w:val="22"/>
        </w:rPr>
        <w:t xml:space="preserve"> (eds.). </w:t>
      </w:r>
      <w:r w:rsidRPr="00A97C45">
        <w:rPr>
          <w:i/>
          <w:iCs/>
          <w:sz w:val="22"/>
          <w:szCs w:val="22"/>
        </w:rPr>
        <w:t>Biology of Marine Mammals</w:t>
      </w:r>
      <w:r w:rsidRPr="00E93F43">
        <w:rPr>
          <w:sz w:val="22"/>
          <w:szCs w:val="22"/>
        </w:rPr>
        <w:t>. Smithsonian Institution Press, Washing</w:t>
      </w:r>
      <w:r>
        <w:rPr>
          <w:sz w:val="22"/>
          <w:szCs w:val="22"/>
        </w:rPr>
        <w:t>ton DC. 117–</w:t>
      </w:r>
      <w:r w:rsidRPr="00E93F43">
        <w:rPr>
          <w:sz w:val="22"/>
          <w:szCs w:val="22"/>
        </w:rPr>
        <w:t>175.</w:t>
      </w:r>
    </w:p>
    <w:p w14:paraId="1150182A" w14:textId="77777777" w:rsidR="00CA0853" w:rsidRPr="00A26A8F" w:rsidRDefault="00CA0853" w:rsidP="0015283D">
      <w:pPr>
        <w:pStyle w:val="BodyText"/>
        <w:ind w:left="567" w:hanging="567"/>
        <w:rPr>
          <w:sz w:val="22"/>
          <w:szCs w:val="22"/>
        </w:rPr>
      </w:pPr>
      <w:r w:rsidRPr="00A26A8F">
        <w:rPr>
          <w:sz w:val="22"/>
          <w:szCs w:val="22"/>
        </w:rPr>
        <w:t>Watson, C.F. and Chaloupka, M.Y. 1982. Zooplankton of Bass Strait: Species Composition, Systematics and Artificial key to Species. Tasmanian Institute of Marine Science Technical Report No. 1.</w:t>
      </w:r>
    </w:p>
    <w:p w14:paraId="48BBB529" w14:textId="77777777" w:rsidR="00CA0853" w:rsidRPr="00A26A8F" w:rsidRDefault="00CA0853" w:rsidP="0015283D">
      <w:pPr>
        <w:pStyle w:val="BodyText"/>
        <w:ind w:left="567" w:hanging="567"/>
        <w:rPr>
          <w:sz w:val="22"/>
          <w:szCs w:val="22"/>
        </w:rPr>
      </w:pPr>
      <w:r w:rsidRPr="00A26A8F">
        <w:rPr>
          <w:sz w:val="22"/>
          <w:szCs w:val="22"/>
        </w:rPr>
        <w:t>WDCS. 2004. Oceans of Noise. Whales and Dolphin Conservation Society. United Kingdom.</w:t>
      </w:r>
    </w:p>
    <w:p w14:paraId="6421BEAF" w14:textId="77777777" w:rsidR="00CA0853" w:rsidRPr="00F56CF3" w:rsidRDefault="00CA0853" w:rsidP="0015283D">
      <w:pPr>
        <w:pStyle w:val="BodyText"/>
        <w:ind w:left="567" w:hanging="567"/>
        <w:rPr>
          <w:sz w:val="22"/>
          <w:szCs w:val="22"/>
        </w:rPr>
      </w:pPr>
      <w:r w:rsidRPr="00F56CF3">
        <w:rPr>
          <w:sz w:val="22"/>
          <w:szCs w:val="22"/>
        </w:rPr>
        <w:t>WDCS. 2006. Vessel collisions and cetaceans: What happens when they don’t miss the boat. Whale</w:t>
      </w:r>
      <w:r>
        <w:rPr>
          <w:sz w:val="22"/>
          <w:szCs w:val="22"/>
        </w:rPr>
        <w:t xml:space="preserve"> </w:t>
      </w:r>
      <w:r w:rsidRPr="00F56CF3">
        <w:rPr>
          <w:sz w:val="22"/>
          <w:szCs w:val="22"/>
        </w:rPr>
        <w:t>and Dolphin Conservation Society. United Kingdom.</w:t>
      </w:r>
    </w:p>
    <w:p w14:paraId="7D9D22C7" w14:textId="77777777" w:rsidR="00CA0853" w:rsidRPr="00E93F43" w:rsidRDefault="00CA0853" w:rsidP="0015283D">
      <w:pPr>
        <w:pStyle w:val="BodyText"/>
        <w:ind w:left="567" w:hanging="567"/>
        <w:rPr>
          <w:sz w:val="22"/>
          <w:szCs w:val="22"/>
        </w:rPr>
      </w:pPr>
      <w:r w:rsidRPr="00E93F43">
        <w:rPr>
          <w:sz w:val="22"/>
          <w:szCs w:val="22"/>
        </w:rPr>
        <w:t xml:space="preserve">Weilgart, L.S. 2007. The impacts of anthropogenic ocean noise on cetaceans and implications for management. </w:t>
      </w:r>
      <w:r w:rsidRPr="00A97C45">
        <w:rPr>
          <w:i/>
          <w:iCs/>
          <w:sz w:val="22"/>
          <w:szCs w:val="22"/>
        </w:rPr>
        <w:t>Canadian Journal of Zoology</w:t>
      </w:r>
      <w:r>
        <w:rPr>
          <w:sz w:val="22"/>
          <w:szCs w:val="22"/>
        </w:rPr>
        <w:t xml:space="preserve"> 85: 1091–</w:t>
      </w:r>
      <w:r w:rsidRPr="00E93F43">
        <w:rPr>
          <w:sz w:val="22"/>
          <w:szCs w:val="22"/>
        </w:rPr>
        <w:t>1116.</w:t>
      </w:r>
    </w:p>
    <w:p w14:paraId="104C1904" w14:textId="77777777" w:rsidR="00CA0853" w:rsidRPr="002B14AE" w:rsidRDefault="00CA0853" w:rsidP="0015283D">
      <w:pPr>
        <w:pStyle w:val="BodyText"/>
        <w:ind w:left="567" w:hanging="567"/>
        <w:rPr>
          <w:sz w:val="22"/>
          <w:szCs w:val="22"/>
        </w:rPr>
      </w:pPr>
      <w:r w:rsidRPr="002B14AE">
        <w:rPr>
          <w:sz w:val="22"/>
          <w:szCs w:val="22"/>
        </w:rPr>
        <w:t>Weir</w:t>
      </w:r>
      <w:r>
        <w:rPr>
          <w:sz w:val="22"/>
          <w:szCs w:val="22"/>
        </w:rPr>
        <w:t>, C. 2007.</w:t>
      </w:r>
      <w:r w:rsidRPr="002B14AE">
        <w:rPr>
          <w:sz w:val="22"/>
          <w:szCs w:val="22"/>
        </w:rPr>
        <w:t xml:space="preserve"> Observations of marine turtles in relation to seismic airgun sound off Angola</w:t>
      </w:r>
      <w:r>
        <w:rPr>
          <w:sz w:val="22"/>
          <w:szCs w:val="22"/>
        </w:rPr>
        <w:t xml:space="preserve">. </w:t>
      </w:r>
      <w:r w:rsidRPr="00CF4FEB">
        <w:rPr>
          <w:i/>
          <w:sz w:val="22"/>
          <w:szCs w:val="22"/>
        </w:rPr>
        <w:t>Mar. Turt. Newsl</w:t>
      </w:r>
      <w:r>
        <w:rPr>
          <w:sz w:val="22"/>
          <w:szCs w:val="22"/>
        </w:rPr>
        <w:t xml:space="preserve">. 116(2007):17–20. </w:t>
      </w:r>
    </w:p>
    <w:p w14:paraId="52687782" w14:textId="77777777" w:rsidR="00CA0853" w:rsidRPr="00A47BF4" w:rsidRDefault="00CA0853" w:rsidP="0015283D">
      <w:pPr>
        <w:pStyle w:val="BodyText"/>
        <w:ind w:left="567" w:hanging="567"/>
        <w:rPr>
          <w:sz w:val="22"/>
          <w:szCs w:val="22"/>
        </w:rPr>
      </w:pPr>
      <w:r w:rsidRPr="00A47BF4">
        <w:rPr>
          <w:sz w:val="22"/>
          <w:szCs w:val="22"/>
        </w:rPr>
        <w:t>Wellington Shire. 2017</w:t>
      </w:r>
      <w:r>
        <w:rPr>
          <w:sz w:val="22"/>
          <w:szCs w:val="22"/>
        </w:rPr>
        <w:t xml:space="preserve">. Ninety Mile Beach Plan. A WWW database accessed </w:t>
      </w:r>
      <w:r w:rsidRPr="00A47BF4">
        <w:rPr>
          <w:sz w:val="22"/>
          <w:szCs w:val="22"/>
        </w:rPr>
        <w:t xml:space="preserve"> </w:t>
      </w:r>
      <w:hyperlink r:id="rId338" w:history="1">
        <w:r w:rsidRPr="00A47BF4">
          <w:rPr>
            <w:sz w:val="22"/>
            <w:szCs w:val="22"/>
          </w:rPr>
          <w:t>http://www.wellington.vic.gov.au/Developing-Wellington/Planning-Projects/Ninety-Mile-Beach-Plan</w:t>
        </w:r>
      </w:hyperlink>
      <w:r w:rsidRPr="00A47BF4">
        <w:rPr>
          <w:sz w:val="22"/>
          <w:szCs w:val="22"/>
        </w:rPr>
        <w:t>.</w:t>
      </w:r>
      <w:r>
        <w:rPr>
          <w:sz w:val="22"/>
          <w:szCs w:val="22"/>
        </w:rPr>
        <w:t xml:space="preserve"> Wellington Shire Council. </w:t>
      </w:r>
    </w:p>
    <w:p w14:paraId="0CBD93E4" w14:textId="77777777" w:rsidR="00CA0853" w:rsidRPr="00E93F43" w:rsidRDefault="00CA0853" w:rsidP="0015283D">
      <w:pPr>
        <w:pStyle w:val="BodyText"/>
        <w:ind w:left="567" w:hanging="567"/>
        <w:rPr>
          <w:sz w:val="22"/>
          <w:szCs w:val="22"/>
        </w:rPr>
      </w:pPr>
      <w:r w:rsidRPr="00E93F43">
        <w:rPr>
          <w:sz w:val="22"/>
          <w:szCs w:val="22"/>
        </w:rPr>
        <w:t>Wever, E.G. 1978. The Reptile Ear: Its Structure and Function. Princeton University Press, Princeton, N.J.</w:t>
      </w:r>
    </w:p>
    <w:p w14:paraId="5FDF4740" w14:textId="77777777" w:rsidR="00CA0853" w:rsidRPr="001E2FF4" w:rsidRDefault="00CA0853" w:rsidP="0015283D">
      <w:pPr>
        <w:pStyle w:val="BodyText"/>
        <w:ind w:left="567" w:hanging="567"/>
        <w:rPr>
          <w:sz w:val="22"/>
          <w:szCs w:val="22"/>
        </w:rPr>
      </w:pPr>
      <w:r w:rsidRPr="001E2FF4">
        <w:rPr>
          <w:sz w:val="22"/>
          <w:szCs w:val="22"/>
          <w:lang w:val="de-DE"/>
        </w:rPr>
        <w:t xml:space="preserve">Wiese, F. K., Montevecci, W. A., Davoren, G. K., Huettmann, F., Diamond, A. W. and Linke, J. 2001. </w:t>
      </w:r>
      <w:r w:rsidRPr="001E2FF4">
        <w:rPr>
          <w:sz w:val="22"/>
          <w:szCs w:val="22"/>
        </w:rPr>
        <w:t xml:space="preserve">Seabirds at risk around off shore oil platforms in the northwest Atlantic. </w:t>
      </w:r>
      <w:r w:rsidRPr="00B54DC3">
        <w:rPr>
          <w:i/>
          <w:iCs/>
          <w:sz w:val="22"/>
          <w:szCs w:val="22"/>
        </w:rPr>
        <w:t>Mar. Poll. Bull</w:t>
      </w:r>
      <w:r w:rsidRPr="001E2FF4">
        <w:rPr>
          <w:sz w:val="22"/>
          <w:szCs w:val="22"/>
        </w:rPr>
        <w:t>. 42:1285-1290</w:t>
      </w:r>
    </w:p>
    <w:p w14:paraId="13BD4FA6" w14:textId="77777777" w:rsidR="00CA0853" w:rsidRPr="00E93F43" w:rsidRDefault="00CA0853" w:rsidP="0015283D">
      <w:pPr>
        <w:pStyle w:val="BodyText"/>
        <w:ind w:left="567" w:hanging="567"/>
        <w:rPr>
          <w:sz w:val="22"/>
          <w:szCs w:val="22"/>
        </w:rPr>
      </w:pPr>
      <w:r w:rsidRPr="00E93F43">
        <w:rPr>
          <w:sz w:val="22"/>
          <w:szCs w:val="22"/>
        </w:rPr>
        <w:t xml:space="preserve">Willis, K.L. 2016. Underwater Hearing in Turtles. In Popper, N.A. and A. Hawkins (eds.). </w:t>
      </w:r>
      <w:r w:rsidRPr="00A97C45">
        <w:rPr>
          <w:i/>
          <w:iCs/>
          <w:sz w:val="22"/>
          <w:szCs w:val="22"/>
        </w:rPr>
        <w:t>The Effects of Noise on Aquatic Life II</w:t>
      </w:r>
      <w:r w:rsidRPr="00E93F43">
        <w:rPr>
          <w:sz w:val="22"/>
          <w:szCs w:val="22"/>
        </w:rPr>
        <w:t xml:space="preserve">. Springer New York, New York, NY. 1229-1235. </w:t>
      </w:r>
    </w:p>
    <w:p w14:paraId="60A54E46" w14:textId="77777777" w:rsidR="00CA0853" w:rsidRPr="0017576C" w:rsidRDefault="00CA0853" w:rsidP="0015283D">
      <w:pPr>
        <w:pStyle w:val="BodyText"/>
        <w:ind w:left="567" w:hanging="567"/>
        <w:rPr>
          <w:sz w:val="22"/>
          <w:szCs w:val="22"/>
        </w:rPr>
      </w:pPr>
      <w:r w:rsidRPr="00A26A8F">
        <w:rPr>
          <w:sz w:val="22"/>
          <w:szCs w:val="22"/>
        </w:rPr>
        <w:t>Wilson, R. and Poore, G. 1987. The Bass Strait survey: biological sampling stations, 1979-1984. Occasional papers f</w:t>
      </w:r>
      <w:r>
        <w:rPr>
          <w:sz w:val="22"/>
          <w:szCs w:val="22"/>
        </w:rPr>
        <w:t>rom the Museum of Victoria 3, 1–</w:t>
      </w:r>
      <w:r w:rsidRPr="00A26A8F">
        <w:rPr>
          <w:sz w:val="22"/>
          <w:szCs w:val="22"/>
        </w:rPr>
        <w:t>14.</w:t>
      </w:r>
    </w:p>
    <w:p w14:paraId="40B8AB65" w14:textId="77777777" w:rsidR="00CA0853" w:rsidRPr="0017576C" w:rsidRDefault="00CA0853" w:rsidP="0015283D">
      <w:pPr>
        <w:pStyle w:val="BodyText"/>
        <w:ind w:left="567" w:hanging="567"/>
        <w:rPr>
          <w:sz w:val="22"/>
          <w:szCs w:val="22"/>
        </w:rPr>
      </w:pPr>
      <w:r w:rsidRPr="00E93F43">
        <w:rPr>
          <w:sz w:val="22"/>
          <w:szCs w:val="22"/>
        </w:rPr>
        <w:t>Wilson, S. and Swan, G. 2005. A Complete Guide to the Reptiles of Australia.</w:t>
      </w:r>
      <w:r>
        <w:rPr>
          <w:sz w:val="22"/>
          <w:szCs w:val="22"/>
        </w:rPr>
        <w:t xml:space="preserve"> </w:t>
      </w:r>
      <w:r w:rsidRPr="00E93F43">
        <w:rPr>
          <w:sz w:val="22"/>
          <w:szCs w:val="22"/>
        </w:rPr>
        <w:t>Reed New Holland. Sydney.</w:t>
      </w:r>
      <w:r>
        <w:rPr>
          <w:sz w:val="22"/>
          <w:szCs w:val="22"/>
        </w:rPr>
        <w:t xml:space="preserve"> </w:t>
      </w:r>
    </w:p>
    <w:p w14:paraId="079424FA" w14:textId="77777777" w:rsidR="00CA0853" w:rsidRPr="001E2FF4" w:rsidRDefault="00CA0853" w:rsidP="0015283D">
      <w:pPr>
        <w:pStyle w:val="BodyText"/>
        <w:ind w:left="567" w:hanging="567"/>
        <w:rPr>
          <w:sz w:val="22"/>
          <w:szCs w:val="22"/>
        </w:rPr>
      </w:pPr>
      <w:r w:rsidRPr="001E2FF4">
        <w:rPr>
          <w:sz w:val="22"/>
          <w:szCs w:val="22"/>
        </w:rPr>
        <w:t>Woodside. 2008. Browse LNG Development. Torosa South-1 Pilot Appraisal Well Environment Plan. Woodside Energy Ltd. Perth.</w:t>
      </w:r>
    </w:p>
    <w:p w14:paraId="595B31C8" w14:textId="77777777" w:rsidR="00CA0853" w:rsidRPr="001E2FF4" w:rsidRDefault="00CA0853" w:rsidP="0015283D">
      <w:pPr>
        <w:pStyle w:val="BodyText"/>
        <w:ind w:left="567" w:hanging="567"/>
        <w:rPr>
          <w:sz w:val="22"/>
          <w:szCs w:val="22"/>
        </w:rPr>
      </w:pPr>
      <w:r w:rsidRPr="001E2FF4">
        <w:rPr>
          <w:sz w:val="22"/>
          <w:szCs w:val="22"/>
        </w:rPr>
        <w:t>Woodside</w:t>
      </w:r>
      <w:r>
        <w:rPr>
          <w:sz w:val="22"/>
          <w:szCs w:val="22"/>
        </w:rPr>
        <w:t>.</w:t>
      </w:r>
      <w:r w:rsidRPr="001E2FF4">
        <w:rPr>
          <w:sz w:val="22"/>
          <w:szCs w:val="22"/>
        </w:rPr>
        <w:t xml:space="preserve"> 2011</w:t>
      </w:r>
      <w:r>
        <w:rPr>
          <w:sz w:val="22"/>
          <w:szCs w:val="22"/>
        </w:rPr>
        <w:t>.</w:t>
      </w:r>
      <w:r w:rsidRPr="001E2FF4">
        <w:rPr>
          <w:sz w:val="22"/>
          <w:szCs w:val="22"/>
        </w:rPr>
        <w:t xml:space="preserve"> Browse LNG Development</w:t>
      </w:r>
      <w:r>
        <w:rPr>
          <w:sz w:val="22"/>
          <w:szCs w:val="22"/>
        </w:rPr>
        <w:t>.</w:t>
      </w:r>
      <w:r w:rsidRPr="001E2FF4">
        <w:rPr>
          <w:sz w:val="22"/>
          <w:szCs w:val="22"/>
        </w:rPr>
        <w:t xml:space="preserve"> Draft Upstream Environmental Impact</w:t>
      </w:r>
      <w:r>
        <w:rPr>
          <w:sz w:val="22"/>
          <w:szCs w:val="22"/>
        </w:rPr>
        <w:t xml:space="preserve"> </w:t>
      </w:r>
      <w:r w:rsidRPr="001E2FF4">
        <w:rPr>
          <w:sz w:val="22"/>
          <w:szCs w:val="22"/>
        </w:rPr>
        <w:t>Assessment, EPBC Referral 2008/4111, November 2011</w:t>
      </w:r>
      <w:r>
        <w:rPr>
          <w:sz w:val="22"/>
          <w:szCs w:val="22"/>
        </w:rPr>
        <w:t xml:space="preserve">. Woodside Energy Ltd. Perth. </w:t>
      </w:r>
    </w:p>
    <w:p w14:paraId="1A91B0E2" w14:textId="77777777" w:rsidR="00CA0853" w:rsidRDefault="00CA0853" w:rsidP="0015283D">
      <w:pPr>
        <w:pStyle w:val="BodyText"/>
        <w:ind w:left="567" w:hanging="567"/>
        <w:rPr>
          <w:sz w:val="22"/>
          <w:szCs w:val="22"/>
        </w:rPr>
      </w:pPr>
      <w:r>
        <w:rPr>
          <w:sz w:val="22"/>
          <w:szCs w:val="22"/>
        </w:rPr>
        <w:t>Woodside.</w:t>
      </w:r>
      <w:r w:rsidRPr="00C569B0">
        <w:rPr>
          <w:sz w:val="22"/>
          <w:szCs w:val="22"/>
        </w:rPr>
        <w:t xml:space="preserve"> 2012a. Browse LNG Development, Maxima 3D MSS Monitoring Program Information Sheet 2 – Impacts of Seismic Airgun Noise on Fish Diversity and Abundance: A Coral Reef Case Study. A WWW resource accessed at http://www.woodside.com.au/Our- Business/Browse/Documents/Maxima%20Survey%20Fish%20Diversity%20and%20Abundance%20Fact %20Sheet.pdf. Woodside Energy Ltd. Perth.</w:t>
      </w:r>
      <w:r>
        <w:rPr>
          <w:sz w:val="22"/>
          <w:szCs w:val="22"/>
        </w:rPr>
        <w:t xml:space="preserve"> </w:t>
      </w:r>
    </w:p>
    <w:p w14:paraId="623B7ECE" w14:textId="77777777" w:rsidR="00CA0853" w:rsidRPr="00C569B0" w:rsidRDefault="00CA0853" w:rsidP="0015283D">
      <w:pPr>
        <w:pStyle w:val="BodyText"/>
        <w:ind w:left="567" w:hanging="567"/>
        <w:rPr>
          <w:sz w:val="22"/>
          <w:szCs w:val="22"/>
        </w:rPr>
      </w:pPr>
      <w:r w:rsidRPr="00C569B0">
        <w:rPr>
          <w:sz w:val="22"/>
          <w:szCs w:val="22"/>
        </w:rPr>
        <w:t>Woodside. 2012b. Browse LNG Development, Maxima 3D MSS Monitoring Program Information Sheet 1 – Impacts of Seismic Airgun Noise on Fish Behaviour: A Coral Reef Case Study downloaded in 2012 at http://www.woodside.com.au/Our-Business/Browse/Documents/Maxima%</w:t>
      </w:r>
      <w:r w:rsidRPr="00C569B0">
        <w:rPr>
          <w:sz w:val="22"/>
          <w:szCs w:val="22"/>
        </w:rPr>
        <w:br/>
        <w:t xml:space="preserve">20Survey%20Fish%20Behaviour%20Fact%20Sheet.pdf. Woodside Energy Ltd. Perth. </w:t>
      </w:r>
    </w:p>
    <w:p w14:paraId="1F7C813A" w14:textId="77777777" w:rsidR="00CA0853" w:rsidRPr="00C569B0" w:rsidRDefault="00CA0853" w:rsidP="0015283D">
      <w:pPr>
        <w:pStyle w:val="BodyText"/>
        <w:ind w:left="567" w:hanging="567"/>
        <w:rPr>
          <w:sz w:val="22"/>
          <w:szCs w:val="22"/>
        </w:rPr>
      </w:pPr>
      <w:r w:rsidRPr="00C569B0">
        <w:rPr>
          <w:sz w:val="22"/>
          <w:szCs w:val="22"/>
        </w:rPr>
        <w:lastRenderedPageBreak/>
        <w:t>Woodside. 2012c. Browse LNG Development, Maxima 3D MSS Monitoring Program Information Sheet 2 – Impacts of Seismic Airgun Noise on Fish Pathology, Physiology and Hearing Sensitivity: A Coral Reef Case Study downloaded in 2012 at http://www.woodside.com.au/Our- Business/Browse/Documents/</w:t>
      </w:r>
      <w:r w:rsidRPr="00C569B0">
        <w:rPr>
          <w:sz w:val="22"/>
          <w:szCs w:val="22"/>
        </w:rPr>
        <w:br/>
        <w:t>Maxima%20Survey%20Fish%20Pathology%20Fact%20Sheet.pdf. Woodside Energy Ltd. Perth.</w:t>
      </w:r>
    </w:p>
    <w:p w14:paraId="06764020" w14:textId="77777777" w:rsidR="00CA0853" w:rsidRDefault="00CA0853" w:rsidP="0015283D">
      <w:pPr>
        <w:pStyle w:val="BodyText"/>
        <w:ind w:left="567" w:hanging="567"/>
        <w:rPr>
          <w:sz w:val="22"/>
          <w:szCs w:val="22"/>
        </w:rPr>
      </w:pPr>
      <w:r w:rsidRPr="0062708E">
        <w:rPr>
          <w:sz w:val="22"/>
          <w:szCs w:val="22"/>
        </w:rPr>
        <w:t>World Bank Group</w:t>
      </w:r>
      <w:r>
        <w:rPr>
          <w:sz w:val="22"/>
          <w:szCs w:val="22"/>
        </w:rPr>
        <w:t>. 2015.</w:t>
      </w:r>
      <w:r w:rsidRPr="0062708E">
        <w:rPr>
          <w:sz w:val="22"/>
          <w:szCs w:val="22"/>
        </w:rPr>
        <w:t xml:space="preserve"> Environmental, Health and Safety Guidelines for Offshor</w:t>
      </w:r>
      <w:r>
        <w:rPr>
          <w:sz w:val="22"/>
          <w:szCs w:val="22"/>
        </w:rPr>
        <w:t xml:space="preserve">e Oil and Gas Development. A WWW document downloaded from </w:t>
      </w:r>
      <w:hyperlink r:id="rId339" w:history="1">
        <w:r w:rsidRPr="00B54DC3">
          <w:rPr>
            <w:sz w:val="22"/>
            <w:szCs w:val="22"/>
          </w:rPr>
          <w:t>http://www.ifc.org/wps/wcm/connect/f3a7f38048cb251ea609b76bcf395ce1/FINAL_Jun+2015_Offshore+Oil+and+Gas_EHS+Guideline.pdf?MOD=AJPERES</w:t>
        </w:r>
      </w:hyperlink>
      <w:r w:rsidRPr="00B54DC3">
        <w:rPr>
          <w:sz w:val="22"/>
          <w:szCs w:val="22"/>
        </w:rPr>
        <w:t>.</w:t>
      </w:r>
      <w:r>
        <w:rPr>
          <w:sz w:val="22"/>
          <w:szCs w:val="22"/>
        </w:rPr>
        <w:t xml:space="preserve"> World Bank Group. Washington. </w:t>
      </w:r>
    </w:p>
    <w:p w14:paraId="0186CBFE" w14:textId="77777777" w:rsidR="00CA0853" w:rsidRDefault="00CA0853" w:rsidP="0015283D">
      <w:pPr>
        <w:pStyle w:val="BodyText"/>
        <w:ind w:left="567" w:hanging="567"/>
        <w:rPr>
          <w:sz w:val="22"/>
          <w:szCs w:val="22"/>
        </w:rPr>
      </w:pPr>
      <w:r w:rsidRPr="00C569B0">
        <w:rPr>
          <w:sz w:val="22"/>
          <w:szCs w:val="22"/>
        </w:rPr>
        <w:t>Young, M.A., Ierodiaconou, D., Edmunds, M., Hulands, L. and Schimel, A.C. G. 2016. Accounting for habitat and seafloor structure characteristics on southern rock lobster (</w:t>
      </w:r>
      <w:r w:rsidRPr="00C569B0">
        <w:rPr>
          <w:i/>
          <w:sz w:val="22"/>
          <w:szCs w:val="22"/>
        </w:rPr>
        <w:t>Jasus edwardsii</w:t>
      </w:r>
      <w:r w:rsidRPr="00C569B0">
        <w:rPr>
          <w:sz w:val="22"/>
          <w:szCs w:val="22"/>
        </w:rPr>
        <w:t xml:space="preserve">) assessment in a small marine reserve. </w:t>
      </w:r>
      <w:r w:rsidRPr="00C569B0">
        <w:rPr>
          <w:i/>
          <w:sz w:val="22"/>
          <w:szCs w:val="22"/>
        </w:rPr>
        <w:t>Mar</w:t>
      </w:r>
      <w:r>
        <w:rPr>
          <w:i/>
          <w:sz w:val="22"/>
          <w:szCs w:val="22"/>
        </w:rPr>
        <w:t>.</w:t>
      </w:r>
      <w:r w:rsidRPr="00C569B0">
        <w:rPr>
          <w:i/>
          <w:sz w:val="22"/>
          <w:szCs w:val="22"/>
        </w:rPr>
        <w:t xml:space="preserve"> Bio</w:t>
      </w:r>
      <w:r>
        <w:rPr>
          <w:i/>
          <w:sz w:val="22"/>
          <w:szCs w:val="22"/>
        </w:rPr>
        <w:t>.</w:t>
      </w:r>
      <w:r>
        <w:rPr>
          <w:sz w:val="22"/>
          <w:szCs w:val="22"/>
        </w:rPr>
        <w:t xml:space="preserve"> 163: 1–</w:t>
      </w:r>
      <w:r w:rsidRPr="00C569B0">
        <w:rPr>
          <w:sz w:val="22"/>
          <w:szCs w:val="22"/>
        </w:rPr>
        <w:t>13.</w:t>
      </w:r>
    </w:p>
    <w:p w14:paraId="2B4C83E0" w14:textId="77777777" w:rsidR="00CA0853" w:rsidRDefault="00CA0853" w:rsidP="0015283D">
      <w:pPr>
        <w:pStyle w:val="BodyText"/>
        <w:ind w:left="567" w:hanging="567"/>
        <w:rPr>
          <w:sz w:val="22"/>
          <w:szCs w:val="22"/>
        </w:rPr>
      </w:pPr>
      <w:r>
        <w:rPr>
          <w:sz w:val="22"/>
          <w:szCs w:val="22"/>
        </w:rPr>
        <w:t>Yu</w:t>
      </w:r>
      <w:r w:rsidRPr="00E93F43">
        <w:rPr>
          <w:sz w:val="22"/>
          <w:szCs w:val="22"/>
        </w:rPr>
        <w:t xml:space="preserve">dhana, A., Sunardi, </w:t>
      </w:r>
      <w:r>
        <w:rPr>
          <w:sz w:val="22"/>
          <w:szCs w:val="22"/>
        </w:rPr>
        <w:t xml:space="preserve">J.D., </w:t>
      </w:r>
      <w:r w:rsidRPr="00E93F43">
        <w:rPr>
          <w:sz w:val="22"/>
          <w:szCs w:val="22"/>
        </w:rPr>
        <w:t xml:space="preserve">Abdullah, </w:t>
      </w:r>
      <w:r>
        <w:rPr>
          <w:sz w:val="22"/>
          <w:szCs w:val="22"/>
        </w:rPr>
        <w:t xml:space="preserve">S. </w:t>
      </w:r>
      <w:r w:rsidRPr="00E93F43">
        <w:rPr>
          <w:sz w:val="22"/>
          <w:szCs w:val="22"/>
        </w:rPr>
        <w:t>and Hassan</w:t>
      </w:r>
      <w:r>
        <w:rPr>
          <w:sz w:val="22"/>
          <w:szCs w:val="22"/>
        </w:rPr>
        <w:t>, R.B.R</w:t>
      </w:r>
      <w:r w:rsidRPr="00E93F43">
        <w:rPr>
          <w:sz w:val="22"/>
          <w:szCs w:val="22"/>
        </w:rPr>
        <w:t xml:space="preserve">. 2010. Turtle hearing capability based on ABR signal assessment. </w:t>
      </w:r>
      <w:r w:rsidRPr="00A97C45">
        <w:rPr>
          <w:i/>
          <w:iCs/>
          <w:sz w:val="22"/>
          <w:szCs w:val="22"/>
        </w:rPr>
        <w:t>Telkomnika</w:t>
      </w:r>
      <w:r w:rsidRPr="00E93F43">
        <w:rPr>
          <w:sz w:val="22"/>
          <w:szCs w:val="22"/>
        </w:rPr>
        <w:t xml:space="preserve"> 8: 187-194.</w:t>
      </w:r>
    </w:p>
    <w:p w14:paraId="316BEF7C" w14:textId="77777777" w:rsidR="00CA0853" w:rsidRPr="004A64D1" w:rsidRDefault="00CA0853" w:rsidP="0015283D">
      <w:pPr>
        <w:pStyle w:val="BodyText"/>
        <w:ind w:left="567" w:hanging="567"/>
        <w:rPr>
          <w:sz w:val="22"/>
          <w:szCs w:val="22"/>
        </w:rPr>
      </w:pPr>
      <w:r w:rsidRPr="004A64D1">
        <w:rPr>
          <w:sz w:val="22"/>
          <w:szCs w:val="22"/>
        </w:rPr>
        <w:t>Ziegler, P. E., Frusher, S. D., Johnson,</w:t>
      </w:r>
      <w:r>
        <w:rPr>
          <w:sz w:val="22"/>
          <w:szCs w:val="22"/>
        </w:rPr>
        <w:t xml:space="preserve"> C. R. </w:t>
      </w:r>
      <w:r w:rsidRPr="004A64D1">
        <w:rPr>
          <w:sz w:val="22"/>
          <w:szCs w:val="22"/>
        </w:rPr>
        <w:t>and Gardner, C. 2002</w:t>
      </w:r>
      <w:r>
        <w:rPr>
          <w:sz w:val="22"/>
          <w:szCs w:val="22"/>
        </w:rPr>
        <w:t>a</w:t>
      </w:r>
      <w:r w:rsidRPr="004A64D1">
        <w:rPr>
          <w:sz w:val="22"/>
          <w:szCs w:val="22"/>
        </w:rPr>
        <w:t>.</w:t>
      </w:r>
      <w:r>
        <w:rPr>
          <w:sz w:val="22"/>
          <w:szCs w:val="22"/>
        </w:rPr>
        <w:t xml:space="preserve"> </w:t>
      </w:r>
      <w:r w:rsidRPr="004A64D1">
        <w:rPr>
          <w:sz w:val="22"/>
          <w:szCs w:val="22"/>
        </w:rPr>
        <w:t>Catchability of the southern rock lobster</w:t>
      </w:r>
      <w:r>
        <w:rPr>
          <w:sz w:val="22"/>
          <w:szCs w:val="22"/>
        </w:rPr>
        <w:t xml:space="preserve"> </w:t>
      </w:r>
      <w:r w:rsidRPr="004A64D1">
        <w:rPr>
          <w:i/>
          <w:sz w:val="22"/>
          <w:szCs w:val="22"/>
        </w:rPr>
        <w:t>Jasus edwardsii</w:t>
      </w:r>
      <w:r w:rsidRPr="004A64D1">
        <w:rPr>
          <w:sz w:val="22"/>
          <w:szCs w:val="22"/>
        </w:rPr>
        <w:t>. I. Effects</w:t>
      </w:r>
      <w:r>
        <w:rPr>
          <w:sz w:val="22"/>
          <w:szCs w:val="22"/>
        </w:rPr>
        <w:t xml:space="preserve"> </w:t>
      </w:r>
      <w:r w:rsidRPr="004A64D1">
        <w:rPr>
          <w:sz w:val="22"/>
          <w:szCs w:val="22"/>
        </w:rPr>
        <w:t>of sex, season and catch history.</w:t>
      </w:r>
      <w:r>
        <w:rPr>
          <w:sz w:val="22"/>
          <w:szCs w:val="22"/>
        </w:rPr>
        <w:t xml:space="preserve"> </w:t>
      </w:r>
      <w:r w:rsidRPr="004A64D1">
        <w:rPr>
          <w:i/>
          <w:sz w:val="22"/>
          <w:szCs w:val="22"/>
        </w:rPr>
        <w:t>Marine and Freshwater Research</w:t>
      </w:r>
      <w:r>
        <w:rPr>
          <w:sz w:val="22"/>
          <w:szCs w:val="22"/>
        </w:rPr>
        <w:t xml:space="preserve"> </w:t>
      </w:r>
      <w:r w:rsidRPr="004A64D1">
        <w:rPr>
          <w:sz w:val="22"/>
          <w:szCs w:val="22"/>
        </w:rPr>
        <w:t>53</w:t>
      </w:r>
      <w:r>
        <w:rPr>
          <w:sz w:val="22"/>
          <w:szCs w:val="22"/>
        </w:rPr>
        <w:t>(8):</w:t>
      </w:r>
      <w:r w:rsidRPr="004A64D1">
        <w:rPr>
          <w:sz w:val="22"/>
          <w:szCs w:val="22"/>
        </w:rPr>
        <w:t>1143–</w:t>
      </w:r>
      <w:r>
        <w:rPr>
          <w:sz w:val="22"/>
          <w:szCs w:val="22"/>
        </w:rPr>
        <w:t>114</w:t>
      </w:r>
      <w:r w:rsidRPr="004A64D1">
        <w:rPr>
          <w:sz w:val="22"/>
          <w:szCs w:val="22"/>
        </w:rPr>
        <w:t>8.</w:t>
      </w:r>
    </w:p>
    <w:p w14:paraId="14CF357D" w14:textId="77777777" w:rsidR="00CA0853" w:rsidRPr="00A97C45" w:rsidRDefault="00CA0853" w:rsidP="0015283D">
      <w:pPr>
        <w:pStyle w:val="BodyText"/>
        <w:ind w:left="567" w:hanging="567"/>
        <w:rPr>
          <w:sz w:val="22"/>
          <w:szCs w:val="22"/>
          <w:lang w:val="en-GB"/>
        </w:rPr>
      </w:pPr>
      <w:r w:rsidRPr="00137C62">
        <w:rPr>
          <w:sz w:val="22"/>
          <w:szCs w:val="22"/>
        </w:rPr>
        <w:t xml:space="preserve">Ziegler, P.E., Johnson, C.R., Frusher, S.D. and Gardner, C. 2002b. </w:t>
      </w:r>
      <w:r w:rsidRPr="00137C62">
        <w:rPr>
          <w:sz w:val="22"/>
          <w:szCs w:val="22"/>
          <w:lang w:val="en-GB"/>
        </w:rPr>
        <w:t xml:space="preserve">Catchability of the southern rock lobster </w:t>
      </w:r>
      <w:r w:rsidRPr="00137C62">
        <w:rPr>
          <w:i/>
          <w:sz w:val="22"/>
          <w:szCs w:val="22"/>
          <w:lang w:val="en-GB"/>
        </w:rPr>
        <w:t>Jasus edwardsii.</w:t>
      </w:r>
      <w:r w:rsidRPr="00137C62">
        <w:rPr>
          <w:sz w:val="22"/>
          <w:szCs w:val="22"/>
          <w:lang w:val="en-GB"/>
        </w:rPr>
        <w:t xml:space="preserve"> II Effects of size. </w:t>
      </w:r>
      <w:r w:rsidRPr="00A97C45">
        <w:rPr>
          <w:i/>
          <w:sz w:val="22"/>
          <w:szCs w:val="22"/>
          <w:lang w:val="en-GB"/>
        </w:rPr>
        <w:t>Marine and Freshwater Research</w:t>
      </w:r>
      <w:r w:rsidRPr="00A97C45">
        <w:rPr>
          <w:sz w:val="22"/>
          <w:szCs w:val="22"/>
          <w:lang w:val="en-GB"/>
        </w:rPr>
        <w:t xml:space="preserve"> 53(8):1149–1159. </w:t>
      </w:r>
    </w:p>
    <w:p w14:paraId="6C43B88A" w14:textId="77777777" w:rsidR="00CA0853" w:rsidRPr="00CA0853" w:rsidRDefault="00CA0853" w:rsidP="00CA0853">
      <w:pPr>
        <w:ind w:left="0"/>
        <w:rPr>
          <w:sz w:val="22"/>
          <w:szCs w:val="22"/>
          <w:lang w:val="en-GB"/>
        </w:rPr>
      </w:pPr>
    </w:p>
    <w:p w14:paraId="3E6AC457" w14:textId="77777777" w:rsidR="00CA0853" w:rsidRPr="00CA0853" w:rsidRDefault="00CA0853" w:rsidP="00CA0853">
      <w:pPr>
        <w:ind w:left="0"/>
        <w:rPr>
          <w:sz w:val="22"/>
          <w:szCs w:val="22"/>
          <w:lang w:val="da-DK"/>
        </w:rPr>
      </w:pPr>
    </w:p>
    <w:bookmarkEnd w:id="1317"/>
    <w:bookmarkEnd w:id="1318"/>
    <w:bookmarkEnd w:id="1319"/>
    <w:p w14:paraId="7B4A905A" w14:textId="057435BE" w:rsidR="00C90E6C" w:rsidRDefault="00C90E6C" w:rsidP="00E2059E">
      <w:pPr>
        <w:pStyle w:val="Heading2"/>
        <w:ind w:left="720" w:hanging="720"/>
        <w:rPr>
          <w:rFonts w:ascii="Tahoma" w:hAnsi="Tahoma" w:cs="Tahoma"/>
          <w:bCs w:val="0"/>
          <w:iCs w:val="0"/>
          <w:color w:val="auto"/>
          <w:sz w:val="20"/>
          <w:szCs w:val="20"/>
        </w:rPr>
      </w:pPr>
    </w:p>
    <w:p w14:paraId="313A189C" w14:textId="77777777" w:rsidR="00990618" w:rsidRDefault="00990618" w:rsidP="00101AE9"/>
    <w:p w14:paraId="7615C3F3" w14:textId="77777777" w:rsidR="00700E68" w:rsidRDefault="00700E68" w:rsidP="004D5D82"/>
    <w:p w14:paraId="46F10AF1" w14:textId="77777777" w:rsidR="00224E40" w:rsidRDefault="00224E40" w:rsidP="004D5D82"/>
    <w:p w14:paraId="6E932E58" w14:textId="77777777" w:rsidR="00224E40" w:rsidRPr="0017576C" w:rsidRDefault="00224E40" w:rsidP="00224E40">
      <w:pPr>
        <w:rPr>
          <w:sz w:val="22"/>
          <w:szCs w:val="22"/>
        </w:rPr>
      </w:pPr>
    </w:p>
    <w:p w14:paraId="3FE54032" w14:textId="77777777" w:rsidR="00423C9E" w:rsidRDefault="00423C9E" w:rsidP="00224E40">
      <w:pPr>
        <w:rPr>
          <w:sz w:val="22"/>
          <w:szCs w:val="22"/>
        </w:rPr>
      </w:pPr>
    </w:p>
    <w:p w14:paraId="283D908D" w14:textId="77777777" w:rsidR="00224E40" w:rsidRDefault="00224E40" w:rsidP="004D5D82"/>
    <w:p w14:paraId="5CDF3242" w14:textId="77777777" w:rsidR="00224E40" w:rsidRPr="001E4622" w:rsidRDefault="00224E40" w:rsidP="004D5D82"/>
    <w:p w14:paraId="47F74B38" w14:textId="77777777" w:rsidR="009B444B" w:rsidRDefault="009B444B" w:rsidP="00494B08">
      <w:pPr>
        <w:pStyle w:val="authorisedby"/>
        <w:rPr>
          <w:sz w:val="18"/>
          <w:szCs w:val="18"/>
        </w:rPr>
      </w:pPr>
    </w:p>
    <w:p w14:paraId="23CFCB7F" w14:textId="77777777" w:rsidR="009B444B" w:rsidRDefault="009B444B" w:rsidP="00494B08">
      <w:pPr>
        <w:pStyle w:val="authorisedby"/>
      </w:pPr>
    </w:p>
    <w:sectPr w:rsidR="009B444B" w:rsidSect="00CB4BAB">
      <w:headerReference w:type="even" r:id="rId340"/>
      <w:headerReference w:type="default" r:id="rId341"/>
      <w:footerReference w:type="default" r:id="rId342"/>
      <w:headerReference w:type="first" r:id="rId343"/>
      <w:pgSz w:w="11906" w:h="16838" w:code="9"/>
      <w:pgMar w:top="1382" w:right="1800" w:bottom="1440" w:left="1800" w:header="994"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651022" w14:textId="77777777" w:rsidR="00282011" w:rsidRDefault="00282011">
      <w:r>
        <w:separator/>
      </w:r>
    </w:p>
  </w:endnote>
  <w:endnote w:type="continuationSeparator" w:id="0">
    <w:p w14:paraId="6D4A8A87" w14:textId="77777777" w:rsidR="00282011" w:rsidRDefault="00282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orbel">
    <w:panose1 w:val="020B0503020204020204"/>
    <w:charset w:val="00"/>
    <w:family w:val="swiss"/>
    <w:pitch w:val="variable"/>
    <w:sig w:usb0="A00002EF" w:usb1="4000A44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ouvenir">
    <w:altName w:val="Arial"/>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Bold">
    <w:panose1 w:val="020B0704020202020204"/>
    <w:charset w:val="00"/>
    <w:family w:val="auto"/>
    <w:pitch w:val="variable"/>
    <w:sig w:usb0="E0002AFF" w:usb1="C0007843" w:usb2="00000009" w:usb3="00000000" w:csb0="000001FF" w:csb1="00000000"/>
  </w:font>
  <w:font w:name="Times-Roman">
    <w:altName w:val="Times New Roman"/>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Myriad Pro">
    <w:altName w:val="Corbel"/>
    <w:charset w:val="00"/>
    <w:family w:val="auto"/>
    <w:pitch w:val="variable"/>
    <w:sig w:usb0="00000001" w:usb1="00000001" w:usb2="00000000" w:usb3="00000000" w:csb0="0000019F" w:csb1="00000000"/>
  </w:font>
  <w:font w:name="Helvetica">
    <w:panose1 w:val="020B05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Adobe Garamond Pro">
    <w:charset w:val="00"/>
    <w:family w:val="auto"/>
    <w:pitch w:val="variable"/>
    <w:sig w:usb0="00000007" w:usb1="00000001" w:usb2="00000000" w:usb3="00000000" w:csb0="00000093" w:csb1="00000000"/>
  </w:font>
  <w:font w:name="Lucida Sans">
    <w:altName w:val="Arial Unicode MS"/>
    <w:panose1 w:val="020B0602030504020204"/>
    <w:charset w:val="00"/>
    <w:family w:val="swiss"/>
    <w:pitch w:val="variable"/>
    <w:sig w:usb0="00000003" w:usb1="00000000" w:usb2="00000000" w:usb3="00000000" w:csb0="00000001" w:csb1="00000000"/>
  </w:font>
  <w:font w:name="Univers 45 Light">
    <w:altName w:val="Calibri"/>
    <w:charset w:val="00"/>
    <w:family w:val="auto"/>
    <w:pitch w:val="variable"/>
    <w:sig w:usb0="80000027" w:usb1="00000000" w:usb2="00000000" w:usb3="00000000" w:csb0="00000001" w:csb1="00000000"/>
  </w:font>
  <w:font w:name="MiloPro-Light">
    <w:altName w:val="Arial Unicode MS"/>
    <w:panose1 w:val="00000000000000000000"/>
    <w:charset w:val="81"/>
    <w:family w:val="swiss"/>
    <w:notTrueType/>
    <w:pitch w:val="default"/>
    <w:sig w:usb0="00000001" w:usb1="09060000" w:usb2="00000010" w:usb3="00000000" w:csb0="00080000" w:csb1="00000000"/>
  </w:font>
  <w:font w:name="Angsana New">
    <w:panose1 w:val="02020603050405020304"/>
    <w:charset w:val="DE"/>
    <w:family w:val="roman"/>
    <w:pitch w:val="variable"/>
    <w:sig w:usb0="81000003" w:usb1="00000000" w:usb2="00000000" w:usb3="00000000" w:csb0="00010001" w:csb1="00000000"/>
  </w:font>
  <w:font w:name="Palatino">
    <w:charset w:val="00"/>
    <w:family w:val="auto"/>
    <w:pitch w:val="variable"/>
    <w:sig w:usb0="A00002FF" w:usb1="7800205A" w:usb2="14600000" w:usb3="00000000" w:csb0="00000193" w:csb1="00000000"/>
  </w:font>
  <w:font w:name="Sylfaen">
    <w:panose1 w:val="010A0502050306030303"/>
    <w:charset w:val="00"/>
    <w:family w:val="roman"/>
    <w:pitch w:val="variable"/>
    <w:sig w:usb0="04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ourier">
    <w:panose1 w:val="02070409020205020404"/>
    <w:charset w:val="00"/>
    <w:family w:val="modern"/>
    <w:notTrueType/>
    <w:pitch w:val="fixed"/>
    <w:sig w:usb0="00000003" w:usb1="00000000" w:usb2="00000000" w:usb3="00000000" w:csb0="00000001" w:csb1="00000000"/>
  </w:font>
  <w:font w:name="AppleMyungjo">
    <w:charset w:val="4F"/>
    <w:family w:val="auto"/>
    <w:pitch w:val="variable"/>
    <w:sig w:usb0="00000001" w:usb1="09060000" w:usb2="00000010" w:usb3="00000000" w:csb0="00080000" w:csb1="00000000"/>
  </w:font>
  <w:font w:name="Segoe UI Semilight">
    <w:panose1 w:val="020B0402040204020203"/>
    <w:charset w:val="00"/>
    <w:family w:val="swiss"/>
    <w:pitch w:val="variable"/>
    <w:sig w:usb0="E4002EFF" w:usb1="C000E47F" w:usb2="00000009" w:usb3="00000000" w:csb0="000001FF" w:csb1="00000000"/>
  </w:font>
  <w:font w:name="ArialMT">
    <w:charset w:val="00"/>
    <w:family w:val="auto"/>
    <w:pitch w:val="variable"/>
    <w:sig w:usb0="E0002AFF" w:usb1="C0007843" w:usb2="00000009" w:usb3="00000000" w:csb0="000001FF" w:csb1="00000000"/>
  </w:font>
  <w:font w:name="Helv">
    <w:altName w:val="Arial"/>
    <w:panose1 w:val="020B0604020202030204"/>
    <w:charset w:val="00"/>
    <w:family w:val="swiss"/>
    <w:notTrueType/>
    <w:pitch w:val="variable"/>
    <w:sig w:usb0="00000003" w:usb1="00000000" w:usb2="00000000" w:usb3="00000000" w:csb0="00000001" w:csb1="00000000"/>
  </w:font>
  <w:font w:name="AdvOT82c4f4c4">
    <w:altName w:val="Arial"/>
    <w:panose1 w:val="00000000000000000000"/>
    <w:charset w:val="00"/>
    <w:family w:val="swiss"/>
    <w:notTrueType/>
    <w:pitch w:val="default"/>
    <w:sig w:usb0="00000003" w:usb1="00000000" w:usb2="00000000" w:usb3="00000000" w:csb0="00000001" w:csb1="00000000"/>
  </w:font>
  <w:font w:name="AdvTT7d4973e5.I">
    <w:altName w:val="Arial"/>
    <w:panose1 w:val="00000000000000000000"/>
    <w:charset w:val="00"/>
    <w:family w:val="swiss"/>
    <w:notTrueType/>
    <w:pitch w:val="default"/>
    <w:sig w:usb0="00000003" w:usb1="00000000" w:usb2="00000000" w:usb3="00000000" w:csb0="00000001" w:csb1="00000000"/>
  </w:font>
  <w:font w:name="Times-Roman2">
    <w:altName w:val="Times New Roman"/>
    <w:charset w:val="00"/>
    <w:family w:val="auto"/>
    <w:pitch w:val="variable"/>
    <w:sig w:usb0="00000003" w:usb1="00000000" w:usb2="00000000" w:usb3="00000000" w:csb0="00000001" w:csb1="00000000"/>
  </w:font>
  <w:font w:name="¿my_ˇ">
    <w:altName w:val="Arial"/>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7521E3" w14:textId="77777777" w:rsidR="00282011" w:rsidRDefault="00282011" w:rsidP="005F1BD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1D9A318" w14:textId="7FFDAA24" w:rsidR="00282011" w:rsidRPr="00263497" w:rsidRDefault="00282011" w:rsidP="005F1BD9">
    <w:pPr>
      <w:pStyle w:val="Footer"/>
      <w:ind w:right="360"/>
    </w:pPr>
    <w:r>
      <w:tab/>
    </w:r>
    <w:r>
      <w:tab/>
    </w:r>
    <w:r>
      <w:tab/>
    </w:r>
    <w:r>
      <w:tab/>
    </w:r>
    <w:r>
      <w:rPr>
        <w:rFonts w:ascii="Cambria" w:hAnsi="Cambria" w:cs="Cambria"/>
        <w:noProof/>
      </w:rPr>
      <w:drawing>
        <wp:inline distT="0" distB="0" distL="0" distR="0" wp14:anchorId="1400CEEE" wp14:editId="7E0F2DDD">
          <wp:extent cx="723900" cy="41910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3900" cy="419100"/>
                  </a:xfrm>
                  <a:prstGeom prst="rect">
                    <a:avLst/>
                  </a:prstGeom>
                  <a:noFill/>
                  <a:ln>
                    <a:noFill/>
                  </a:ln>
                </pic:spPr>
              </pic:pic>
            </a:graphicData>
          </a:graphic>
        </wp:inline>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B73CB8"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130</w:t>
    </w:r>
    <w:r w:rsidRPr="001E47E1">
      <w:rPr>
        <w:rStyle w:val="PageNumber"/>
        <w:color w:val="808080" w:themeColor="background1" w:themeShade="80"/>
        <w:sz w:val="16"/>
        <w:szCs w:val="16"/>
      </w:rPr>
      <w:fldChar w:fldCharType="end"/>
    </w:r>
  </w:p>
  <w:p w14:paraId="1CA14B44" w14:textId="5C800242"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 xml:space="preserve">TRIM </w:t>
    </w:r>
    <w:r w:rsidR="00113724">
      <w:rPr>
        <w:color w:val="808080" w:themeColor="background1" w:themeShade="80"/>
        <w:sz w:val="16"/>
        <w:szCs w:val="16"/>
      </w:rPr>
      <w:t>DOC/18/19080</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C5EBCE"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131</w:t>
    </w:r>
    <w:r w:rsidRPr="001E47E1">
      <w:rPr>
        <w:rStyle w:val="PageNumber"/>
        <w:color w:val="808080" w:themeColor="background1" w:themeShade="80"/>
        <w:sz w:val="16"/>
        <w:szCs w:val="16"/>
      </w:rPr>
      <w:fldChar w:fldCharType="end"/>
    </w:r>
  </w:p>
  <w:p w14:paraId="69F41859" w14:textId="35E38B99"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Environment Plan</w:t>
    </w:r>
    <w:r w:rsidRPr="005F1BD9">
      <w:rPr>
        <w:color w:val="808080" w:themeColor="background1" w:themeShade="80"/>
        <w:sz w:val="16"/>
        <w:szCs w:val="16"/>
      </w:rPr>
      <w:t xml:space="preserve">                            </w:t>
    </w:r>
    <w:r>
      <w:rPr>
        <w:color w:val="808080" w:themeColor="background1" w:themeShade="80"/>
        <w:sz w:val="16"/>
        <w:szCs w:val="16"/>
      </w:rPr>
      <w:tab/>
    </w:r>
    <w:r>
      <w:rPr>
        <w:color w:val="808080" w:themeColor="background1" w:themeShade="80"/>
        <w:sz w:val="16"/>
        <w:szCs w:val="16"/>
      </w:rPr>
      <w:tab/>
      <w:t xml:space="preserve">TRIM  </w:t>
    </w:r>
    <w:r w:rsidR="00113724">
      <w:rPr>
        <w:color w:val="808080" w:themeColor="background1" w:themeShade="80"/>
        <w:sz w:val="16"/>
        <w:szCs w:val="16"/>
      </w:rPr>
      <w:t>DOC/18/19080</w:t>
    </w:r>
    <w:r w:rsidRPr="005F1BD9">
      <w:rPr>
        <w:color w:val="808080" w:themeColor="background1" w:themeShade="80"/>
        <w:sz w:val="16"/>
        <w:szCs w:val="16"/>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292B96"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140</w:t>
    </w:r>
    <w:r w:rsidRPr="001E47E1">
      <w:rPr>
        <w:rStyle w:val="PageNumber"/>
        <w:color w:val="808080" w:themeColor="background1" w:themeShade="80"/>
        <w:sz w:val="16"/>
        <w:szCs w:val="16"/>
      </w:rPr>
      <w:fldChar w:fldCharType="end"/>
    </w:r>
  </w:p>
  <w:p w14:paraId="1C7A05C4" w14:textId="756F4AD7" w:rsidR="00282011" w:rsidRPr="005F1BD9" w:rsidRDefault="00282011" w:rsidP="00D467EA">
    <w:pPr>
      <w:pStyle w:val="Footer"/>
      <w:tabs>
        <w:tab w:val="clear" w:pos="4153"/>
        <w:tab w:val="center" w:pos="3261"/>
      </w:tabs>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 xml:space="preserve">                        </w:t>
    </w:r>
    <w:r w:rsidRPr="005F1BD9">
      <w:rPr>
        <w:color w:val="808080" w:themeColor="background1" w:themeShade="80"/>
        <w:sz w:val="16"/>
        <w:szCs w:val="16"/>
      </w:rPr>
      <w:t xml:space="preserve">TRIM </w:t>
    </w:r>
    <w:r w:rsidR="00113724">
      <w:rPr>
        <w:color w:val="808080" w:themeColor="background1" w:themeShade="80"/>
        <w:sz w:val="16"/>
        <w:szCs w:val="16"/>
      </w:rPr>
      <w:t>DOC/18/19080</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13AD9E"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141</w:t>
    </w:r>
    <w:r w:rsidRPr="001E47E1">
      <w:rPr>
        <w:rStyle w:val="PageNumber"/>
        <w:color w:val="808080" w:themeColor="background1" w:themeShade="80"/>
        <w:sz w:val="16"/>
        <w:szCs w:val="16"/>
      </w:rPr>
      <w:fldChar w:fldCharType="end"/>
    </w:r>
  </w:p>
  <w:p w14:paraId="47F83155" w14:textId="47CEC9BD" w:rsidR="00282011" w:rsidRPr="005F1BD9" w:rsidRDefault="00282011" w:rsidP="00D467EA">
    <w:pPr>
      <w:pStyle w:val="Footer"/>
      <w:tabs>
        <w:tab w:val="clear" w:pos="4153"/>
        <w:tab w:val="center" w:pos="3261"/>
      </w:tabs>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 xml:space="preserve">                       </w:t>
    </w:r>
    <w:r>
      <w:rPr>
        <w:color w:val="808080" w:themeColor="background1" w:themeShade="80"/>
        <w:sz w:val="16"/>
        <w:szCs w:val="16"/>
      </w:rPr>
      <w:tab/>
      <w:t xml:space="preserve"> </w:t>
    </w:r>
    <w:r w:rsidRPr="005F1BD9">
      <w:rPr>
        <w:color w:val="808080" w:themeColor="background1" w:themeShade="80"/>
        <w:sz w:val="16"/>
        <w:szCs w:val="16"/>
      </w:rPr>
      <w:t xml:space="preserve">TRIM </w:t>
    </w:r>
    <w:r>
      <w:rPr>
        <w:color w:val="808080" w:themeColor="background1" w:themeShade="80"/>
        <w:sz w:val="16"/>
        <w:szCs w:val="16"/>
      </w:rPr>
      <w:t>DOC/17/801020</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15C2F1"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143</w:t>
    </w:r>
    <w:r w:rsidRPr="001E47E1">
      <w:rPr>
        <w:rStyle w:val="PageNumber"/>
        <w:color w:val="808080" w:themeColor="background1" w:themeShade="80"/>
        <w:sz w:val="16"/>
        <w:szCs w:val="16"/>
      </w:rPr>
      <w:fldChar w:fldCharType="end"/>
    </w:r>
  </w:p>
  <w:p w14:paraId="35E46C4C" w14:textId="49970747" w:rsidR="00282011" w:rsidRPr="005F1BD9" w:rsidRDefault="00282011" w:rsidP="00D467EA">
    <w:pPr>
      <w:pStyle w:val="Footer"/>
      <w:tabs>
        <w:tab w:val="clear" w:pos="4153"/>
        <w:tab w:val="center" w:pos="3261"/>
      </w:tabs>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 xml:space="preserve">                        </w:t>
    </w:r>
    <w:r w:rsidRPr="005F1BD9">
      <w:rPr>
        <w:color w:val="808080" w:themeColor="background1" w:themeShade="80"/>
        <w:sz w:val="16"/>
        <w:szCs w:val="16"/>
      </w:rPr>
      <w:t xml:space="preserve">TRIM </w:t>
    </w:r>
    <w:r w:rsidR="00113724">
      <w:rPr>
        <w:color w:val="808080" w:themeColor="background1" w:themeShade="80"/>
        <w:sz w:val="16"/>
        <w:szCs w:val="16"/>
      </w:rPr>
      <w:t>DOC/18/19080</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8167D7"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144</w:t>
    </w:r>
    <w:r w:rsidRPr="001E47E1">
      <w:rPr>
        <w:rStyle w:val="PageNumber"/>
        <w:color w:val="808080" w:themeColor="background1" w:themeShade="80"/>
        <w:sz w:val="16"/>
        <w:szCs w:val="16"/>
      </w:rPr>
      <w:fldChar w:fldCharType="end"/>
    </w:r>
  </w:p>
  <w:p w14:paraId="21796A11" w14:textId="41FEFB4C" w:rsidR="00282011" w:rsidRPr="005F1BD9" w:rsidRDefault="00282011" w:rsidP="00D467EA">
    <w:pPr>
      <w:pStyle w:val="Footer"/>
      <w:tabs>
        <w:tab w:val="clear" w:pos="4153"/>
        <w:tab w:val="center" w:pos="3261"/>
      </w:tabs>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 xml:space="preserve">                       </w:t>
    </w:r>
    <w:r>
      <w:rPr>
        <w:color w:val="808080" w:themeColor="background1" w:themeShade="80"/>
        <w:sz w:val="16"/>
        <w:szCs w:val="16"/>
      </w:rPr>
      <w:tab/>
      <w:t xml:space="preserve"> </w:t>
    </w:r>
    <w:r w:rsidRPr="005F1BD9">
      <w:rPr>
        <w:color w:val="808080" w:themeColor="background1" w:themeShade="80"/>
        <w:sz w:val="16"/>
        <w:szCs w:val="16"/>
      </w:rPr>
      <w:t xml:space="preserve">TRIM </w:t>
    </w:r>
    <w:r w:rsidR="00113724">
      <w:rPr>
        <w:color w:val="808080" w:themeColor="background1" w:themeShade="80"/>
        <w:sz w:val="16"/>
        <w:szCs w:val="16"/>
      </w:rPr>
      <w:t>DOC/18/19080</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B4AD49"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146</w:t>
    </w:r>
    <w:r w:rsidRPr="001E47E1">
      <w:rPr>
        <w:rStyle w:val="PageNumber"/>
        <w:color w:val="808080" w:themeColor="background1" w:themeShade="80"/>
        <w:sz w:val="16"/>
        <w:szCs w:val="16"/>
      </w:rPr>
      <w:fldChar w:fldCharType="end"/>
    </w:r>
  </w:p>
  <w:p w14:paraId="2C687CB2" w14:textId="6DFB578A" w:rsidR="00282011" w:rsidRPr="005F1BD9" w:rsidRDefault="00282011" w:rsidP="00D467EA">
    <w:pPr>
      <w:pStyle w:val="Footer"/>
      <w:tabs>
        <w:tab w:val="clear" w:pos="4153"/>
        <w:tab w:val="center" w:pos="3261"/>
      </w:tabs>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 xml:space="preserve">                        </w:t>
    </w:r>
    <w:r w:rsidRPr="005F1BD9">
      <w:rPr>
        <w:color w:val="808080" w:themeColor="background1" w:themeShade="80"/>
        <w:sz w:val="16"/>
        <w:szCs w:val="16"/>
      </w:rPr>
      <w:t xml:space="preserve">TRIM </w:t>
    </w:r>
    <w:r w:rsidR="00113724">
      <w:rPr>
        <w:color w:val="808080" w:themeColor="background1" w:themeShade="80"/>
        <w:sz w:val="16"/>
        <w:szCs w:val="16"/>
      </w:rPr>
      <w:t>DOC/18/19080</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566BA1"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152</w:t>
    </w:r>
    <w:r w:rsidRPr="001E47E1">
      <w:rPr>
        <w:rStyle w:val="PageNumber"/>
        <w:color w:val="808080" w:themeColor="background1" w:themeShade="80"/>
        <w:sz w:val="16"/>
        <w:szCs w:val="16"/>
      </w:rPr>
      <w:fldChar w:fldCharType="end"/>
    </w:r>
  </w:p>
  <w:p w14:paraId="796BF19A" w14:textId="5E5A4D88" w:rsidR="00282011" w:rsidRPr="005F1BD9" w:rsidRDefault="00282011" w:rsidP="00D467EA">
    <w:pPr>
      <w:pStyle w:val="Footer"/>
      <w:tabs>
        <w:tab w:val="clear" w:pos="4153"/>
        <w:tab w:val="center" w:pos="3261"/>
      </w:tabs>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 xml:space="preserve">                       </w:t>
    </w:r>
    <w:r>
      <w:rPr>
        <w:color w:val="808080" w:themeColor="background1" w:themeShade="80"/>
        <w:sz w:val="16"/>
        <w:szCs w:val="16"/>
      </w:rPr>
      <w:tab/>
      <w:t xml:space="preserve"> </w:t>
    </w:r>
    <w:r w:rsidRPr="005F1BD9">
      <w:rPr>
        <w:color w:val="808080" w:themeColor="background1" w:themeShade="80"/>
        <w:sz w:val="16"/>
        <w:szCs w:val="16"/>
      </w:rPr>
      <w:t xml:space="preserve">TRIM </w:t>
    </w:r>
    <w:r w:rsidR="00113724">
      <w:rPr>
        <w:color w:val="808080" w:themeColor="background1" w:themeShade="80"/>
        <w:sz w:val="16"/>
        <w:szCs w:val="16"/>
      </w:rPr>
      <w:t>DOC/18/19080</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E21BD5"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171</w:t>
    </w:r>
    <w:r w:rsidRPr="001E47E1">
      <w:rPr>
        <w:rStyle w:val="PageNumber"/>
        <w:color w:val="808080" w:themeColor="background1" w:themeShade="80"/>
        <w:sz w:val="16"/>
        <w:szCs w:val="16"/>
      </w:rPr>
      <w:fldChar w:fldCharType="end"/>
    </w:r>
  </w:p>
  <w:p w14:paraId="26528575" w14:textId="658581CD" w:rsidR="00282011" w:rsidRPr="005F1BD9" w:rsidRDefault="00282011" w:rsidP="00D467EA">
    <w:pPr>
      <w:pStyle w:val="Footer"/>
      <w:tabs>
        <w:tab w:val="clear" w:pos="4153"/>
        <w:tab w:val="center" w:pos="3261"/>
      </w:tabs>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 xml:space="preserve">             </w:t>
    </w:r>
    <w:r>
      <w:rPr>
        <w:color w:val="808080" w:themeColor="background1" w:themeShade="80"/>
        <w:sz w:val="16"/>
        <w:szCs w:val="16"/>
      </w:rPr>
      <w:tab/>
    </w:r>
    <w:r w:rsidRPr="005F1BD9">
      <w:rPr>
        <w:color w:val="808080" w:themeColor="background1" w:themeShade="80"/>
        <w:sz w:val="16"/>
        <w:szCs w:val="16"/>
      </w:rPr>
      <w:t xml:space="preserve">TRIM </w:t>
    </w:r>
    <w:r>
      <w:rPr>
        <w:color w:val="808080" w:themeColor="background1" w:themeShade="80"/>
        <w:sz w:val="16"/>
        <w:szCs w:val="16"/>
      </w:rPr>
      <w:t>DOC/17/801202</w:t>
    </w:r>
    <w:r w:rsidRPr="005F1BD9">
      <w:rPr>
        <w:color w:val="808080" w:themeColor="background1" w:themeShade="80"/>
        <w:sz w:val="16"/>
        <w:szCs w:val="16"/>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BE8A56"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173</w:t>
    </w:r>
    <w:r w:rsidRPr="001E47E1">
      <w:rPr>
        <w:rStyle w:val="PageNumber"/>
        <w:color w:val="808080" w:themeColor="background1" w:themeShade="80"/>
        <w:sz w:val="16"/>
        <w:szCs w:val="16"/>
      </w:rPr>
      <w:fldChar w:fldCharType="end"/>
    </w:r>
  </w:p>
  <w:p w14:paraId="7BCDED9D" w14:textId="7B81E9DD"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TRIM </w:t>
    </w:r>
    <w:r>
      <w:rPr>
        <w:color w:val="808080" w:themeColor="background1" w:themeShade="80"/>
        <w:sz w:val="16"/>
        <w:szCs w:val="16"/>
      </w:rPr>
      <w:t>DOC/17/801202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A1D037"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8</w:t>
    </w:r>
    <w:r w:rsidRPr="001E47E1">
      <w:rPr>
        <w:rStyle w:val="PageNumber"/>
        <w:color w:val="808080" w:themeColor="background1" w:themeShade="80"/>
        <w:sz w:val="16"/>
        <w:szCs w:val="16"/>
      </w:rPr>
      <w:fldChar w:fldCharType="end"/>
    </w:r>
  </w:p>
  <w:p w14:paraId="11F185A9" w14:textId="270CF298"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 xml:space="preserve">TRIM </w:t>
    </w:r>
    <w:r w:rsidR="00113724">
      <w:rPr>
        <w:color w:val="808080" w:themeColor="background1" w:themeShade="80"/>
        <w:sz w:val="16"/>
        <w:szCs w:val="16"/>
      </w:rPr>
      <w:t>DOC/18/19080</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0ACDF0"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186</w:t>
    </w:r>
    <w:r w:rsidRPr="001E47E1">
      <w:rPr>
        <w:rStyle w:val="PageNumber"/>
        <w:color w:val="808080" w:themeColor="background1" w:themeShade="80"/>
        <w:sz w:val="16"/>
        <w:szCs w:val="16"/>
      </w:rPr>
      <w:fldChar w:fldCharType="end"/>
    </w:r>
  </w:p>
  <w:p w14:paraId="2F8B58F0" w14:textId="09F23FD6"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TRIM </w:t>
    </w:r>
    <w:r>
      <w:rPr>
        <w:color w:val="808080" w:themeColor="background1" w:themeShade="80"/>
        <w:sz w:val="16"/>
        <w:szCs w:val="16"/>
      </w:rPr>
      <w:t>DOC/17/801202</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2D2D64"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187</w:t>
    </w:r>
    <w:r w:rsidRPr="001E47E1">
      <w:rPr>
        <w:rStyle w:val="PageNumber"/>
        <w:color w:val="808080" w:themeColor="background1" w:themeShade="80"/>
        <w:sz w:val="16"/>
        <w:szCs w:val="16"/>
      </w:rPr>
      <w:fldChar w:fldCharType="end"/>
    </w:r>
  </w:p>
  <w:p w14:paraId="793358AD" w14:textId="2D87AE4A"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TRIM </w:t>
    </w:r>
    <w:r>
      <w:rPr>
        <w:color w:val="808080" w:themeColor="background1" w:themeShade="80"/>
        <w:sz w:val="16"/>
        <w:szCs w:val="16"/>
      </w:rPr>
      <w:t>DOC/17/801202</w:t>
    </w:r>
    <w:r w:rsidRPr="005F1BD9">
      <w:rPr>
        <w:color w:val="808080" w:themeColor="background1" w:themeShade="80"/>
        <w:sz w:val="16"/>
        <w:szCs w:val="16"/>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4072C8"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198</w:t>
    </w:r>
    <w:r w:rsidRPr="001E47E1">
      <w:rPr>
        <w:rStyle w:val="PageNumber"/>
        <w:color w:val="808080" w:themeColor="background1" w:themeShade="80"/>
        <w:sz w:val="16"/>
        <w:szCs w:val="16"/>
      </w:rPr>
      <w:fldChar w:fldCharType="end"/>
    </w:r>
  </w:p>
  <w:p w14:paraId="768033A2" w14:textId="3A9879FD"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TRIM </w:t>
    </w:r>
    <w:r>
      <w:rPr>
        <w:color w:val="808080" w:themeColor="background1" w:themeShade="80"/>
        <w:sz w:val="16"/>
        <w:szCs w:val="16"/>
      </w:rPr>
      <w:t>DOC/17/801202</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0E4ECD"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199</w:t>
    </w:r>
    <w:r w:rsidRPr="001E47E1">
      <w:rPr>
        <w:rStyle w:val="PageNumber"/>
        <w:color w:val="808080" w:themeColor="background1" w:themeShade="80"/>
        <w:sz w:val="16"/>
        <w:szCs w:val="16"/>
      </w:rPr>
      <w:fldChar w:fldCharType="end"/>
    </w:r>
  </w:p>
  <w:p w14:paraId="0AF1DF06" w14:textId="5CA7514E"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TRIM </w:t>
    </w:r>
    <w:r>
      <w:rPr>
        <w:color w:val="808080" w:themeColor="background1" w:themeShade="80"/>
        <w:sz w:val="16"/>
        <w:szCs w:val="16"/>
      </w:rPr>
      <w:t>DOC/17/801202</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65B633"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202</w:t>
    </w:r>
    <w:r w:rsidRPr="001E47E1">
      <w:rPr>
        <w:rStyle w:val="PageNumber"/>
        <w:color w:val="808080" w:themeColor="background1" w:themeShade="80"/>
        <w:sz w:val="16"/>
        <w:szCs w:val="16"/>
      </w:rPr>
      <w:fldChar w:fldCharType="end"/>
    </w:r>
  </w:p>
  <w:p w14:paraId="390BA86E" w14:textId="4D68C23A"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TRIM </w:t>
    </w:r>
    <w:r>
      <w:rPr>
        <w:color w:val="808080" w:themeColor="background1" w:themeShade="80"/>
        <w:sz w:val="16"/>
        <w:szCs w:val="16"/>
      </w:rPr>
      <w:t>DOC/17/801202</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24D3F7"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203</w:t>
    </w:r>
    <w:r w:rsidRPr="001E47E1">
      <w:rPr>
        <w:rStyle w:val="PageNumber"/>
        <w:color w:val="808080" w:themeColor="background1" w:themeShade="80"/>
        <w:sz w:val="16"/>
        <w:szCs w:val="16"/>
      </w:rPr>
      <w:fldChar w:fldCharType="end"/>
    </w:r>
  </w:p>
  <w:p w14:paraId="39E4864B" w14:textId="7F278543"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TRIM </w:t>
    </w:r>
    <w:r>
      <w:rPr>
        <w:color w:val="808080" w:themeColor="background1" w:themeShade="80"/>
        <w:sz w:val="16"/>
        <w:szCs w:val="16"/>
      </w:rPr>
      <w:t>DOC/17/801202</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EEA160"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205</w:t>
    </w:r>
    <w:r w:rsidRPr="001E47E1">
      <w:rPr>
        <w:rStyle w:val="PageNumber"/>
        <w:color w:val="808080" w:themeColor="background1" w:themeShade="80"/>
        <w:sz w:val="16"/>
        <w:szCs w:val="16"/>
      </w:rPr>
      <w:fldChar w:fldCharType="end"/>
    </w:r>
  </w:p>
  <w:p w14:paraId="75B1EB04" w14:textId="2A306A88"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TRIM </w:t>
    </w:r>
    <w:r>
      <w:rPr>
        <w:color w:val="808080" w:themeColor="background1" w:themeShade="80"/>
        <w:sz w:val="16"/>
        <w:szCs w:val="16"/>
      </w:rPr>
      <w:t>DOC/17/801202</w:t>
    </w:r>
    <w:r w:rsidRPr="005F1BD9">
      <w:rPr>
        <w:color w:val="808080" w:themeColor="background1" w:themeShade="80"/>
        <w:sz w:val="16"/>
        <w:szCs w:val="16"/>
      </w:rP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195CE2"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206</w:t>
    </w:r>
    <w:r w:rsidRPr="001E47E1">
      <w:rPr>
        <w:rStyle w:val="PageNumber"/>
        <w:color w:val="808080" w:themeColor="background1" w:themeShade="80"/>
        <w:sz w:val="16"/>
        <w:szCs w:val="16"/>
      </w:rPr>
      <w:fldChar w:fldCharType="end"/>
    </w:r>
  </w:p>
  <w:p w14:paraId="060D0C91" w14:textId="541CA603"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Pr>
        <w:color w:val="808080" w:themeColor="background1" w:themeShade="80"/>
        <w:sz w:val="16"/>
        <w:szCs w:val="16"/>
      </w:rPr>
      <w:tab/>
    </w:r>
    <w:r w:rsidRPr="005F1BD9">
      <w:rPr>
        <w:color w:val="808080" w:themeColor="background1" w:themeShade="80"/>
        <w:sz w:val="16"/>
        <w:szCs w:val="16"/>
      </w:rPr>
      <w:t xml:space="preserve">TRIM </w:t>
    </w:r>
    <w:r>
      <w:rPr>
        <w:color w:val="808080" w:themeColor="background1" w:themeShade="80"/>
        <w:sz w:val="16"/>
        <w:szCs w:val="16"/>
      </w:rPr>
      <w:t>DOC/17/801202</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01F962"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229</w:t>
    </w:r>
    <w:r w:rsidRPr="001E47E1">
      <w:rPr>
        <w:rStyle w:val="PageNumber"/>
        <w:color w:val="808080" w:themeColor="background1" w:themeShade="80"/>
        <w:sz w:val="16"/>
        <w:szCs w:val="16"/>
      </w:rPr>
      <w:fldChar w:fldCharType="end"/>
    </w:r>
  </w:p>
  <w:p w14:paraId="52C91764" w14:textId="6A19AFC2"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TRIM </w:t>
    </w:r>
    <w:r>
      <w:rPr>
        <w:color w:val="808080" w:themeColor="background1" w:themeShade="80"/>
        <w:sz w:val="16"/>
        <w:szCs w:val="16"/>
      </w:rPr>
      <w:t>DOC/17/801202</w:t>
    </w:r>
    <w:r w:rsidRPr="005F1BD9">
      <w:rPr>
        <w:color w:val="808080" w:themeColor="background1" w:themeShade="80"/>
        <w:sz w:val="16"/>
        <w:szCs w:val="16"/>
      </w:rPr>
      <w:t xml:space="preserve">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FAFBB6"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230</w:t>
    </w:r>
    <w:r w:rsidRPr="001E47E1">
      <w:rPr>
        <w:rStyle w:val="PageNumber"/>
        <w:color w:val="808080" w:themeColor="background1" w:themeShade="80"/>
        <w:sz w:val="16"/>
        <w:szCs w:val="16"/>
      </w:rPr>
      <w:fldChar w:fldCharType="end"/>
    </w:r>
  </w:p>
  <w:p w14:paraId="49973987" w14:textId="76788A2D"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Pr>
        <w:color w:val="808080" w:themeColor="background1" w:themeShade="80"/>
        <w:sz w:val="16"/>
        <w:szCs w:val="16"/>
      </w:rPr>
      <w:tab/>
    </w:r>
    <w:r w:rsidRPr="005F1BD9">
      <w:rPr>
        <w:color w:val="808080" w:themeColor="background1" w:themeShade="80"/>
        <w:sz w:val="16"/>
        <w:szCs w:val="16"/>
      </w:rPr>
      <w:t xml:space="preserve">TRIM </w:t>
    </w:r>
    <w:r>
      <w:rPr>
        <w:color w:val="808080" w:themeColor="background1" w:themeShade="80"/>
        <w:sz w:val="16"/>
        <w:szCs w:val="16"/>
      </w:rPr>
      <w:t>DOC/17/801202</w:t>
    </w:r>
    <w:r w:rsidRPr="005F1BD9">
      <w:rPr>
        <w:color w:val="808080" w:themeColor="background1" w:themeShade="80"/>
        <w:sz w:val="16"/>
        <w:szCs w:val="16"/>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159914" w14:textId="317F9F0F" w:rsidR="00282011" w:rsidRDefault="00282011" w:rsidP="009A3BAF">
    <w:pPr>
      <w:pStyle w:val="Footer"/>
      <w:ind w:left="-270" w:right="360"/>
      <w:jc w:val="right"/>
    </w:pPr>
    <w:r>
      <w:rPr>
        <w:noProof/>
      </w:rPr>
      <mc:AlternateContent>
        <mc:Choice Requires="wps">
          <w:drawing>
            <wp:anchor distT="0" distB="0" distL="114300" distR="114300" simplePos="0" relativeHeight="251658752" behindDoc="0" locked="0" layoutInCell="1" allowOverlap="1" wp14:anchorId="6A280AB9" wp14:editId="6C17E86C">
              <wp:simplePos x="0" y="0"/>
              <wp:positionH relativeFrom="column">
                <wp:posOffset>3314700</wp:posOffset>
              </wp:positionH>
              <wp:positionV relativeFrom="paragraph">
                <wp:posOffset>-1870710</wp:posOffset>
              </wp:positionV>
              <wp:extent cx="2971800" cy="1257300"/>
              <wp:effectExtent l="0" t="0" r="0" b="12700"/>
              <wp:wrapNone/>
              <wp:docPr id="96" name="Text Box 96"/>
              <wp:cNvGraphicFramePr/>
              <a:graphic xmlns:a="http://schemas.openxmlformats.org/drawingml/2006/main">
                <a:graphicData uri="http://schemas.microsoft.com/office/word/2010/wordprocessingShape">
                  <wps:wsp>
                    <wps:cNvSpPr txBox="1"/>
                    <wps:spPr>
                      <a:xfrm>
                        <a:off x="0" y="0"/>
                        <a:ext cx="2971800" cy="1257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52DC47" w14:textId="1AE93B12" w:rsidR="00282011" w:rsidRPr="0030698B" w:rsidRDefault="00282011" w:rsidP="00BF00A9">
                          <w:pPr>
                            <w:rPr>
                              <w:b/>
                              <w:color w:val="FFFFFF"/>
                              <w:sz w:val="44"/>
                              <w:szCs w:val="44"/>
                              <w:lang w:val="en-US"/>
                            </w:rPr>
                          </w:pPr>
                          <w:r>
                            <w:rPr>
                              <w:b/>
                              <w:color w:val="FFFFFF"/>
                              <w:sz w:val="28"/>
                              <w:szCs w:val="44"/>
                              <w:lang w:val="en-US"/>
                            </w:rPr>
                            <w:t>Pelican 3D Marine Seismic Survey</w:t>
                          </w:r>
                        </w:p>
                        <w:p w14:paraId="1AD9600B" w14:textId="77777777" w:rsidR="00282011" w:rsidRDefault="00282011" w:rsidP="00BF00A9">
                          <w:pPr>
                            <w:rPr>
                              <w:color w:val="FFFFFF"/>
                              <w:sz w:val="28"/>
                              <w:szCs w:val="28"/>
                              <w:lang w:val="en-US"/>
                            </w:rPr>
                          </w:pPr>
                        </w:p>
                        <w:p w14:paraId="20464E14" w14:textId="70A04891" w:rsidR="00282011" w:rsidRDefault="00282011" w:rsidP="00BF00A9">
                          <w:pPr>
                            <w:rPr>
                              <w:color w:val="FFFFFF"/>
                              <w:szCs w:val="32"/>
                              <w:lang w:val="en-US"/>
                            </w:rPr>
                          </w:pPr>
                          <w:r>
                            <w:rPr>
                              <w:color w:val="FFFFFF"/>
                              <w:szCs w:val="32"/>
                              <w:lang w:val="en-US"/>
                            </w:rPr>
                            <w:t>Environment Plan Summary</w:t>
                          </w:r>
                        </w:p>
                        <w:p w14:paraId="1C657E29" w14:textId="77777777" w:rsidR="00282011" w:rsidRDefault="00282011" w:rsidP="00BF00A9">
                          <w:pPr>
                            <w:rPr>
                              <w:color w:val="FFFFFF"/>
                              <w:szCs w:val="32"/>
                              <w:lang w:val="en-US"/>
                            </w:rPr>
                          </w:pPr>
                        </w:p>
                        <w:p w14:paraId="7CA5B645" w14:textId="7F6F4600" w:rsidR="00282011" w:rsidRPr="00DA12AE" w:rsidRDefault="00282011" w:rsidP="00BF00A9">
                          <w:pPr>
                            <w:rPr>
                              <w:i/>
                              <w:color w:val="FFFFFF"/>
                              <w:szCs w:val="32"/>
                              <w:lang w:val="en-US"/>
                            </w:rPr>
                          </w:pPr>
                          <w:r>
                            <w:rPr>
                              <w:color w:val="FFFFFF"/>
                              <w:szCs w:val="32"/>
                              <w:lang w:val="en-US"/>
                            </w:rPr>
                            <w:t>16 January  2018 (Rev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280AB9" id="_x0000_t202" coordsize="21600,21600" o:spt="202" path="m,l,21600r21600,l21600,xe">
              <v:stroke joinstyle="miter"/>
              <v:path gradientshapeok="t" o:connecttype="rect"/>
            </v:shapetype>
            <v:shape id="Text Box 96" o:spid="_x0000_s1027" type="#_x0000_t202" style="position:absolute;left:0;text-align:left;margin-left:261pt;margin-top:-147.3pt;width:234pt;height:9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" filled="f" stroked="f" strokeweight=".5pt">
              <v:textbox>
                <w:txbxContent>
                  <w:p w14:paraId="1952DC47" w14:textId="1AE93B12" w:rsidR="00282011" w:rsidRPr="0030698B" w:rsidRDefault="00282011" w:rsidP="00BF00A9">
                    <w:pPr>
                      <w:rPr>
                        <w:b/>
                        <w:color w:val="FFFFFF"/>
                        <w:sz w:val="44"/>
                        <w:szCs w:val="44"/>
                        <w:lang w:val="en-US"/>
                      </w:rPr>
                    </w:pPr>
                    <w:r>
                      <w:rPr>
                        <w:b/>
                        <w:color w:val="FFFFFF"/>
                        <w:sz w:val="28"/>
                        <w:szCs w:val="44"/>
                        <w:lang w:val="en-US"/>
                      </w:rPr>
                      <w:t>Pelican 3D Marine Seismic Survey</w:t>
                    </w:r>
                  </w:p>
                  <w:p w14:paraId="1AD9600B" w14:textId="77777777" w:rsidR="00282011" w:rsidRDefault="00282011" w:rsidP="00BF00A9">
                    <w:pPr>
                      <w:rPr>
                        <w:color w:val="FFFFFF"/>
                        <w:sz w:val="28"/>
                        <w:szCs w:val="28"/>
                        <w:lang w:val="en-US"/>
                      </w:rPr>
                    </w:pPr>
                  </w:p>
                  <w:p w14:paraId="20464E14" w14:textId="70A04891" w:rsidR="00282011" w:rsidRDefault="00282011" w:rsidP="00BF00A9">
                    <w:pPr>
                      <w:rPr>
                        <w:color w:val="FFFFFF"/>
                        <w:szCs w:val="32"/>
                        <w:lang w:val="en-US"/>
                      </w:rPr>
                    </w:pPr>
                    <w:r>
                      <w:rPr>
                        <w:color w:val="FFFFFF"/>
                        <w:szCs w:val="32"/>
                        <w:lang w:val="en-US"/>
                      </w:rPr>
                      <w:t>Environment Plan Summary</w:t>
                    </w:r>
                  </w:p>
                  <w:p w14:paraId="1C657E29" w14:textId="77777777" w:rsidR="00282011" w:rsidRDefault="00282011" w:rsidP="00BF00A9">
                    <w:pPr>
                      <w:rPr>
                        <w:color w:val="FFFFFF"/>
                        <w:szCs w:val="32"/>
                        <w:lang w:val="en-US"/>
                      </w:rPr>
                    </w:pPr>
                  </w:p>
                  <w:p w14:paraId="7CA5B645" w14:textId="7F6F4600" w:rsidR="00282011" w:rsidRPr="00DA12AE" w:rsidRDefault="00282011" w:rsidP="00BF00A9">
                    <w:pPr>
                      <w:rPr>
                        <w:i/>
                        <w:color w:val="FFFFFF"/>
                        <w:szCs w:val="32"/>
                        <w:lang w:val="en-US"/>
                      </w:rPr>
                    </w:pPr>
                    <w:r>
                      <w:rPr>
                        <w:color w:val="FFFFFF"/>
                        <w:szCs w:val="32"/>
                        <w:lang w:val="en-US"/>
                      </w:rPr>
                      <w:t>16 January  2018 (Rev 1)</w:t>
                    </w:r>
                  </w:p>
                </w:txbxContent>
              </v:textbox>
            </v:shape>
          </w:pict>
        </mc:Fallback>
      </mc:AlternateContent>
    </w:r>
    <w:r w:rsidRPr="00AD737A">
      <w:rPr>
        <w:rFonts w:ascii="Verdana" w:hAnsi="Verdana"/>
        <w:noProof/>
      </w:rPr>
      <mc:AlternateContent>
        <mc:Choice Requires="wps">
          <w:drawing>
            <wp:anchor distT="0" distB="0" distL="114300" distR="114300" simplePos="0" relativeHeight="251659776" behindDoc="0" locked="0" layoutInCell="1" allowOverlap="1" wp14:anchorId="28863A0D" wp14:editId="0805C643">
              <wp:simplePos x="0" y="0"/>
              <wp:positionH relativeFrom="column">
                <wp:posOffset>-1144905</wp:posOffset>
              </wp:positionH>
              <wp:positionV relativeFrom="paragraph">
                <wp:posOffset>97155</wp:posOffset>
              </wp:positionV>
              <wp:extent cx="1283970" cy="26543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3970" cy="265430"/>
                      </a:xfrm>
                      <a:prstGeom prst="rect">
                        <a:avLst/>
                      </a:prstGeom>
                      <a:noFill/>
                      <a:ln w="9525">
                        <a:noFill/>
                        <a:miter lim="800000"/>
                        <a:headEnd/>
                        <a:tailEnd/>
                      </a:ln>
                    </wps:spPr>
                    <wps:txbx>
                      <w:txbxContent>
                        <w:p w14:paraId="479490E8" w14:textId="77777777" w:rsidR="00282011" w:rsidRPr="00AD737A" w:rsidRDefault="00282011" w:rsidP="00BF00A9">
                          <w:pPr>
                            <w:ind w:hanging="720"/>
                            <w:rPr>
                              <w:color w:val="FFFFFF" w:themeColor="background1"/>
                              <w:sz w:val="14"/>
                            </w:rPr>
                          </w:pPr>
                          <w:r w:rsidRPr="00AD737A">
                            <w:rPr>
                              <w:color w:val="FFFFFF" w:themeColor="background1"/>
                              <w:sz w:val="14"/>
                            </w:rPr>
                            <w:t>Image © 2012 Google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8863A0D" id="Text Box 2" o:spid="_x0000_s1028" type="#_x0000_t202" style="position:absolute;left:0;text-align:left;margin-left:-90.15pt;margin-top:7.65pt;width:101.1pt;height:20.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" filled="f" stroked="f">
              <v:textbox style="mso-fit-shape-to-text:t">
                <w:txbxContent>
                  <w:p w14:paraId="479490E8" w14:textId="77777777" w:rsidR="00282011" w:rsidRPr="00AD737A" w:rsidRDefault="00282011" w:rsidP="00BF00A9">
                    <w:pPr>
                      <w:ind w:hanging="720"/>
                      <w:rPr>
                        <w:color w:val="FFFFFF" w:themeColor="background1"/>
                        <w:sz w:val="14"/>
                      </w:rPr>
                    </w:pPr>
                    <w:r w:rsidRPr="00AD737A">
                      <w:rPr>
                        <w:color w:val="FFFFFF" w:themeColor="background1"/>
                        <w:sz w:val="14"/>
                      </w:rPr>
                      <w:t>Image © 2012 Google</w:t>
                    </w:r>
                  </w:p>
                </w:txbxContent>
              </v:textbox>
            </v:shape>
          </w:pict>
        </mc:Fallback>
      </mc:AlternateContent>
    </w:r>
    <w:r>
      <w:t xml:space="preserve"> </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0FBC2E"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232</w:t>
    </w:r>
    <w:r w:rsidRPr="001E47E1">
      <w:rPr>
        <w:rStyle w:val="PageNumber"/>
        <w:color w:val="808080" w:themeColor="background1" w:themeShade="80"/>
        <w:sz w:val="16"/>
        <w:szCs w:val="16"/>
      </w:rPr>
      <w:fldChar w:fldCharType="end"/>
    </w:r>
  </w:p>
  <w:p w14:paraId="19B33A95" w14:textId="0959E559"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TRIM </w:t>
    </w:r>
    <w:r>
      <w:rPr>
        <w:color w:val="808080" w:themeColor="background1" w:themeShade="80"/>
        <w:sz w:val="16"/>
        <w:szCs w:val="16"/>
      </w:rPr>
      <w:t>DOC/17/801202</w:t>
    </w:r>
    <w:r w:rsidRPr="005F1BD9">
      <w:rPr>
        <w:color w:val="808080" w:themeColor="background1" w:themeShade="80"/>
        <w:sz w:val="16"/>
        <w:szCs w:val="16"/>
      </w:rPr>
      <w:t xml:space="preserve"> </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11F2E7"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238</w:t>
    </w:r>
    <w:r w:rsidRPr="001E47E1">
      <w:rPr>
        <w:rStyle w:val="PageNumber"/>
        <w:color w:val="808080" w:themeColor="background1" w:themeShade="80"/>
        <w:sz w:val="16"/>
        <w:szCs w:val="16"/>
      </w:rPr>
      <w:fldChar w:fldCharType="end"/>
    </w:r>
  </w:p>
  <w:p w14:paraId="6CA03E77" w14:textId="63FE4D74"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Pr>
        <w:color w:val="808080" w:themeColor="background1" w:themeShade="80"/>
        <w:sz w:val="16"/>
        <w:szCs w:val="16"/>
      </w:rPr>
      <w:tab/>
    </w:r>
    <w:r w:rsidRPr="005F1BD9">
      <w:rPr>
        <w:color w:val="808080" w:themeColor="background1" w:themeShade="80"/>
        <w:sz w:val="16"/>
        <w:szCs w:val="16"/>
      </w:rPr>
      <w:t xml:space="preserve">TRIM </w:t>
    </w:r>
    <w:r>
      <w:rPr>
        <w:color w:val="808080" w:themeColor="background1" w:themeShade="80"/>
        <w:sz w:val="16"/>
        <w:szCs w:val="16"/>
      </w:rPr>
      <w:t>DOC/17/801202</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33572C"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240</w:t>
    </w:r>
    <w:r w:rsidRPr="001E47E1">
      <w:rPr>
        <w:rStyle w:val="PageNumber"/>
        <w:color w:val="808080" w:themeColor="background1" w:themeShade="80"/>
        <w:sz w:val="16"/>
        <w:szCs w:val="16"/>
      </w:rPr>
      <w:fldChar w:fldCharType="end"/>
    </w:r>
  </w:p>
  <w:p w14:paraId="38A424E0" w14:textId="2DEE3D39"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TRIM </w:t>
    </w:r>
    <w:r>
      <w:rPr>
        <w:color w:val="808080" w:themeColor="background1" w:themeShade="80"/>
        <w:sz w:val="16"/>
        <w:szCs w:val="16"/>
      </w:rPr>
      <w:t>DOC/17/801202</w:t>
    </w:r>
    <w:r w:rsidRPr="005F1BD9">
      <w:rPr>
        <w:color w:val="808080" w:themeColor="background1" w:themeShade="80"/>
        <w:sz w:val="16"/>
        <w:szCs w:val="16"/>
      </w:rPr>
      <w:t xml:space="preserve">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CE2F3D"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243</w:t>
    </w:r>
    <w:r w:rsidRPr="001E47E1">
      <w:rPr>
        <w:rStyle w:val="PageNumber"/>
        <w:color w:val="808080" w:themeColor="background1" w:themeShade="80"/>
        <w:sz w:val="16"/>
        <w:szCs w:val="16"/>
      </w:rPr>
      <w:fldChar w:fldCharType="end"/>
    </w:r>
  </w:p>
  <w:p w14:paraId="7EF6F7F8" w14:textId="137FF4ED"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Pr>
        <w:color w:val="808080" w:themeColor="background1" w:themeShade="80"/>
        <w:sz w:val="16"/>
        <w:szCs w:val="16"/>
      </w:rPr>
      <w:tab/>
    </w:r>
    <w:r w:rsidRPr="005F1BD9">
      <w:rPr>
        <w:color w:val="808080" w:themeColor="background1" w:themeShade="80"/>
        <w:sz w:val="16"/>
        <w:szCs w:val="16"/>
      </w:rPr>
      <w:t xml:space="preserve">TRIM </w:t>
    </w:r>
    <w:r>
      <w:rPr>
        <w:color w:val="808080" w:themeColor="background1" w:themeShade="80"/>
        <w:sz w:val="16"/>
        <w:szCs w:val="16"/>
      </w:rPr>
      <w:t>DOC/17/801202</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FA1BDE"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244</w:t>
    </w:r>
    <w:r w:rsidRPr="001E47E1">
      <w:rPr>
        <w:rStyle w:val="PageNumber"/>
        <w:color w:val="808080" w:themeColor="background1" w:themeShade="80"/>
        <w:sz w:val="16"/>
        <w:szCs w:val="16"/>
      </w:rPr>
      <w:fldChar w:fldCharType="end"/>
    </w:r>
  </w:p>
  <w:p w14:paraId="440BC51A" w14:textId="2EE3D2CF"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TRIM DOC/17/801202</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8400B0"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245</w:t>
    </w:r>
    <w:r w:rsidRPr="001E47E1">
      <w:rPr>
        <w:rStyle w:val="PageNumber"/>
        <w:color w:val="808080" w:themeColor="background1" w:themeShade="80"/>
        <w:sz w:val="16"/>
        <w:szCs w:val="16"/>
      </w:rPr>
      <w:fldChar w:fldCharType="end"/>
    </w:r>
  </w:p>
  <w:p w14:paraId="621B08EC" w14:textId="751B1734"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Pr>
        <w:color w:val="808080" w:themeColor="background1" w:themeShade="80"/>
        <w:sz w:val="16"/>
        <w:szCs w:val="16"/>
      </w:rPr>
      <w:tab/>
      <w:t>TRIM DOC/17/801202</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D968AE"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246</w:t>
    </w:r>
    <w:r w:rsidRPr="001E47E1">
      <w:rPr>
        <w:rStyle w:val="PageNumber"/>
        <w:color w:val="808080" w:themeColor="background1" w:themeShade="80"/>
        <w:sz w:val="16"/>
        <w:szCs w:val="16"/>
      </w:rPr>
      <w:fldChar w:fldCharType="end"/>
    </w:r>
  </w:p>
  <w:p w14:paraId="51919056" w14:textId="2B561516"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TRIM DOC/17/801202</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B0FDA9"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253</w:t>
    </w:r>
    <w:r w:rsidRPr="001E47E1">
      <w:rPr>
        <w:rStyle w:val="PageNumber"/>
        <w:color w:val="808080" w:themeColor="background1" w:themeShade="80"/>
        <w:sz w:val="16"/>
        <w:szCs w:val="16"/>
      </w:rPr>
      <w:fldChar w:fldCharType="end"/>
    </w:r>
  </w:p>
  <w:p w14:paraId="13FFF62B" w14:textId="1210488A" w:rsidR="00282011" w:rsidRPr="005F1BD9" w:rsidRDefault="00282011" w:rsidP="00CC2278">
    <w:pPr>
      <w:pStyle w:val="Footer"/>
      <w:tabs>
        <w:tab w:val="left" w:pos="6663"/>
      </w:tabs>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 </w:t>
    </w:r>
    <w:r>
      <w:rPr>
        <w:color w:val="808080" w:themeColor="background1" w:themeShade="80"/>
        <w:sz w:val="16"/>
        <w:szCs w:val="16"/>
      </w:rPr>
      <w:tab/>
      <w:t>TRIM DOC/17/801202</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CD3E99"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258</w:t>
    </w:r>
    <w:r w:rsidRPr="001E47E1">
      <w:rPr>
        <w:rStyle w:val="PageNumber"/>
        <w:color w:val="808080" w:themeColor="background1" w:themeShade="80"/>
        <w:sz w:val="16"/>
        <w:szCs w:val="16"/>
      </w:rPr>
      <w:fldChar w:fldCharType="end"/>
    </w:r>
  </w:p>
  <w:p w14:paraId="58E73059" w14:textId="15BB9C0B"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TRIM DOC/17/801202</w:t>
    </w:r>
    <w:r w:rsidRPr="005F1BD9">
      <w:rPr>
        <w:color w:val="808080" w:themeColor="background1" w:themeShade="80"/>
        <w:sz w:val="16"/>
        <w:szCs w:val="16"/>
      </w:rPr>
      <w:t xml:space="preserve"> </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54AB73" w14:textId="77777777" w:rsidR="00282011" w:rsidRPr="001E47E1" w:rsidRDefault="00282011" w:rsidP="00371A97">
    <w:pPr>
      <w:pStyle w:val="Footer"/>
      <w:framePr w:wrap="around" w:vAnchor="text" w:hAnchor="page" w:x="14401" w:y="-19"/>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259</w:t>
    </w:r>
    <w:r w:rsidRPr="001E47E1">
      <w:rPr>
        <w:rStyle w:val="PageNumber"/>
        <w:color w:val="808080" w:themeColor="background1" w:themeShade="80"/>
        <w:sz w:val="16"/>
        <w:szCs w:val="16"/>
      </w:rPr>
      <w:fldChar w:fldCharType="end"/>
    </w:r>
  </w:p>
  <w:p w14:paraId="4942234F" w14:textId="52DC5FD4" w:rsidR="00282011" w:rsidRPr="005F1BD9" w:rsidRDefault="00282011" w:rsidP="00371A97">
    <w:pPr>
      <w:pStyle w:val="Footer"/>
      <w:ind w:right="655"/>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Pr>
        <w:color w:val="808080" w:themeColor="background1" w:themeShade="80"/>
        <w:sz w:val="16"/>
        <w:szCs w:val="16"/>
      </w:rPr>
      <w:tab/>
      <w:t>TRIM DOC/17/801202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2DBE17"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11</w:t>
    </w:r>
    <w:r w:rsidRPr="001E47E1">
      <w:rPr>
        <w:rStyle w:val="PageNumber"/>
        <w:color w:val="808080" w:themeColor="background1" w:themeShade="80"/>
        <w:sz w:val="16"/>
        <w:szCs w:val="16"/>
      </w:rPr>
      <w:fldChar w:fldCharType="end"/>
    </w:r>
  </w:p>
  <w:p w14:paraId="48E27735" w14:textId="36C37687"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Pr>
        <w:color w:val="808080" w:themeColor="background1" w:themeShade="80"/>
        <w:sz w:val="16"/>
        <w:szCs w:val="16"/>
      </w:rPr>
      <w:tab/>
      <w:t xml:space="preserve">TRIM </w:t>
    </w:r>
    <w:r w:rsidR="00113724">
      <w:rPr>
        <w:color w:val="808080" w:themeColor="background1" w:themeShade="80"/>
        <w:sz w:val="16"/>
        <w:szCs w:val="16"/>
      </w:rPr>
      <w:t>DOC/18/19080</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A7F74"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267</w:t>
    </w:r>
    <w:r w:rsidRPr="001E47E1">
      <w:rPr>
        <w:rStyle w:val="PageNumber"/>
        <w:color w:val="808080" w:themeColor="background1" w:themeShade="80"/>
        <w:sz w:val="16"/>
        <w:szCs w:val="16"/>
      </w:rPr>
      <w:fldChar w:fldCharType="end"/>
    </w:r>
  </w:p>
  <w:p w14:paraId="5B6853E4" w14:textId="6B553569"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TRIM DOC/17/801202</w:t>
    </w:r>
    <w:r w:rsidRPr="005F1BD9">
      <w:rPr>
        <w:color w:val="808080" w:themeColor="background1" w:themeShade="80"/>
        <w:sz w:val="16"/>
        <w:szCs w:val="16"/>
      </w:rPr>
      <w:t xml:space="preserve"> </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9EBA9D"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268</w:t>
    </w:r>
    <w:r w:rsidRPr="001E47E1">
      <w:rPr>
        <w:rStyle w:val="PageNumber"/>
        <w:color w:val="808080" w:themeColor="background1" w:themeShade="80"/>
        <w:sz w:val="16"/>
        <w:szCs w:val="16"/>
      </w:rPr>
      <w:fldChar w:fldCharType="end"/>
    </w:r>
  </w:p>
  <w:p w14:paraId="5769C1DF" w14:textId="6CD9C65C"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Pr>
        <w:color w:val="808080" w:themeColor="background1" w:themeShade="80"/>
        <w:sz w:val="16"/>
        <w:szCs w:val="16"/>
      </w:rPr>
      <w:tab/>
      <w:t>TRIM DOC/17/801202</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48CB22"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269</w:t>
    </w:r>
    <w:r w:rsidRPr="001E47E1">
      <w:rPr>
        <w:rStyle w:val="PageNumber"/>
        <w:color w:val="808080" w:themeColor="background1" w:themeShade="80"/>
        <w:sz w:val="16"/>
        <w:szCs w:val="16"/>
      </w:rPr>
      <w:fldChar w:fldCharType="end"/>
    </w:r>
  </w:p>
  <w:p w14:paraId="09A5B5FD" w14:textId="62960CB0"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Pr>
        <w:color w:val="808080" w:themeColor="background1" w:themeShade="80"/>
        <w:sz w:val="16"/>
        <w:szCs w:val="16"/>
      </w:rPr>
      <w:tab/>
      <w:t xml:space="preserve">TRIM DOC/17/801202 </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85DC9A"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273</w:t>
    </w:r>
    <w:r w:rsidRPr="001E47E1">
      <w:rPr>
        <w:rStyle w:val="PageNumber"/>
        <w:color w:val="808080" w:themeColor="background1" w:themeShade="80"/>
        <w:sz w:val="16"/>
        <w:szCs w:val="16"/>
      </w:rPr>
      <w:fldChar w:fldCharType="end"/>
    </w:r>
  </w:p>
  <w:p w14:paraId="366D095D" w14:textId="3171A79C"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TRIM DOC/17/801202</w:t>
    </w:r>
    <w:r w:rsidRPr="005F1BD9">
      <w:rPr>
        <w:color w:val="808080" w:themeColor="background1" w:themeShade="80"/>
        <w:sz w:val="16"/>
        <w:szCs w:val="16"/>
      </w:rPr>
      <w:t xml:space="preserve"> </w: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690FBD"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277</w:t>
    </w:r>
    <w:r w:rsidRPr="001E47E1">
      <w:rPr>
        <w:rStyle w:val="PageNumber"/>
        <w:color w:val="808080" w:themeColor="background1" w:themeShade="80"/>
        <w:sz w:val="16"/>
        <w:szCs w:val="16"/>
      </w:rPr>
      <w:fldChar w:fldCharType="end"/>
    </w:r>
  </w:p>
  <w:p w14:paraId="568D995B" w14:textId="7037E62F"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Pr>
        <w:color w:val="808080" w:themeColor="background1" w:themeShade="80"/>
        <w:sz w:val="16"/>
        <w:szCs w:val="16"/>
      </w:rPr>
      <w:tab/>
      <w:t>TRIM DOC/17/801202</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11B732"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296</w:t>
    </w:r>
    <w:r w:rsidRPr="001E47E1">
      <w:rPr>
        <w:rStyle w:val="PageNumber"/>
        <w:color w:val="808080" w:themeColor="background1" w:themeShade="80"/>
        <w:sz w:val="16"/>
        <w:szCs w:val="16"/>
      </w:rPr>
      <w:fldChar w:fldCharType="end"/>
    </w:r>
  </w:p>
  <w:p w14:paraId="70ADB3D5" w14:textId="626030D2"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TRIM DOC/17/801202</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071282"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300</w:t>
    </w:r>
    <w:r w:rsidRPr="001E47E1">
      <w:rPr>
        <w:rStyle w:val="PageNumber"/>
        <w:color w:val="808080" w:themeColor="background1" w:themeShade="80"/>
        <w:sz w:val="16"/>
        <w:szCs w:val="16"/>
      </w:rPr>
      <w:fldChar w:fldCharType="end"/>
    </w:r>
  </w:p>
  <w:p w14:paraId="1E5DCA03" w14:textId="1F3DC0DB"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 </w:t>
    </w:r>
    <w:r>
      <w:rPr>
        <w:color w:val="808080" w:themeColor="background1" w:themeShade="80"/>
        <w:sz w:val="16"/>
        <w:szCs w:val="16"/>
      </w:rPr>
      <w:tab/>
      <w:t>TRIM DOC/17/801202</w:t>
    </w:r>
    <w:r w:rsidRPr="005F1BD9">
      <w:rPr>
        <w:color w:val="808080" w:themeColor="background1" w:themeShade="80"/>
        <w:sz w:val="16"/>
        <w:szCs w:val="16"/>
      </w:rPr>
      <w:t xml:space="preserve"> </w: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CADBE3"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302</w:t>
    </w:r>
    <w:r w:rsidRPr="001E47E1">
      <w:rPr>
        <w:rStyle w:val="PageNumber"/>
        <w:color w:val="808080" w:themeColor="background1" w:themeShade="80"/>
        <w:sz w:val="16"/>
        <w:szCs w:val="16"/>
      </w:rPr>
      <w:fldChar w:fldCharType="end"/>
    </w:r>
  </w:p>
  <w:p w14:paraId="60628308" w14:textId="1E964DA5"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TRIM DOC/17/801202</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4845BC"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303</w:t>
    </w:r>
    <w:r w:rsidRPr="001E47E1">
      <w:rPr>
        <w:rStyle w:val="PageNumber"/>
        <w:color w:val="808080" w:themeColor="background1" w:themeShade="80"/>
        <w:sz w:val="16"/>
        <w:szCs w:val="16"/>
      </w:rPr>
      <w:fldChar w:fldCharType="end"/>
    </w:r>
  </w:p>
  <w:p w14:paraId="61A804A0" w14:textId="76CCC55D"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Pr>
        <w:color w:val="808080" w:themeColor="background1" w:themeShade="80"/>
        <w:sz w:val="16"/>
        <w:szCs w:val="16"/>
      </w:rPr>
      <w:tab/>
      <w:t>TRIM DOC/17/801202</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4DE0B"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320</w:t>
    </w:r>
    <w:r w:rsidRPr="001E47E1">
      <w:rPr>
        <w:rStyle w:val="PageNumber"/>
        <w:color w:val="808080" w:themeColor="background1" w:themeShade="80"/>
        <w:sz w:val="16"/>
        <w:szCs w:val="16"/>
      </w:rPr>
      <w:fldChar w:fldCharType="end"/>
    </w:r>
  </w:p>
  <w:p w14:paraId="55A72323" w14:textId="615A0AEA"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TRIM DOC/17/801202</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59C356"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22</w:t>
    </w:r>
    <w:r w:rsidRPr="001E47E1">
      <w:rPr>
        <w:rStyle w:val="PageNumber"/>
        <w:color w:val="808080" w:themeColor="background1" w:themeShade="80"/>
        <w:sz w:val="16"/>
        <w:szCs w:val="16"/>
      </w:rPr>
      <w:fldChar w:fldCharType="end"/>
    </w:r>
  </w:p>
  <w:p w14:paraId="13A7A791" w14:textId="03A6F38F"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 xml:space="preserve">TRIM </w:t>
    </w:r>
    <w:r w:rsidR="00113724">
      <w:rPr>
        <w:color w:val="808080" w:themeColor="background1" w:themeShade="80"/>
        <w:sz w:val="16"/>
        <w:szCs w:val="16"/>
      </w:rPr>
      <w:t>DOC/18/19080</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438C14"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321</w:t>
    </w:r>
    <w:r w:rsidRPr="001E47E1">
      <w:rPr>
        <w:rStyle w:val="PageNumber"/>
        <w:color w:val="808080" w:themeColor="background1" w:themeShade="80"/>
        <w:sz w:val="16"/>
        <w:szCs w:val="16"/>
      </w:rPr>
      <w:fldChar w:fldCharType="end"/>
    </w:r>
  </w:p>
  <w:p w14:paraId="3861A213" w14:textId="5661AD4A" w:rsidR="00282011" w:rsidRPr="005F1BD9" w:rsidRDefault="00282011" w:rsidP="00564331">
    <w:pPr>
      <w:pStyle w:val="Footer"/>
      <w:tabs>
        <w:tab w:val="clear" w:pos="4153"/>
        <w:tab w:val="center" w:pos="6521"/>
      </w:tabs>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TRIM DOC/17/801202</w:t>
    </w:r>
    <w:r w:rsidRPr="005F1BD9">
      <w:rPr>
        <w:color w:val="808080" w:themeColor="background1" w:themeShade="80"/>
        <w:sz w:val="16"/>
        <w:szCs w:val="16"/>
      </w:rPr>
      <w:t xml:space="preserve"> </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7F4660"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323</w:t>
    </w:r>
    <w:r w:rsidRPr="001E47E1">
      <w:rPr>
        <w:rStyle w:val="PageNumber"/>
        <w:color w:val="808080" w:themeColor="background1" w:themeShade="80"/>
        <w:sz w:val="16"/>
        <w:szCs w:val="16"/>
      </w:rPr>
      <w:fldChar w:fldCharType="end"/>
    </w:r>
  </w:p>
  <w:p w14:paraId="42BB7E95" w14:textId="056872EA" w:rsidR="00282011" w:rsidRPr="005F1BD9" w:rsidRDefault="00282011" w:rsidP="00564331">
    <w:pPr>
      <w:pStyle w:val="Footer"/>
      <w:tabs>
        <w:tab w:val="clear" w:pos="4153"/>
        <w:tab w:val="center" w:pos="6521"/>
      </w:tabs>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TRIM DOC/17/801202</w:t>
    </w:r>
    <w:r w:rsidRPr="005F1BD9">
      <w:rPr>
        <w:color w:val="808080" w:themeColor="background1" w:themeShade="80"/>
        <w:sz w:val="16"/>
        <w:szCs w:val="16"/>
      </w:rPr>
      <w:t xml:space="preserve"> </w: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81EC1D"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324</w:t>
    </w:r>
    <w:r w:rsidRPr="001E47E1">
      <w:rPr>
        <w:rStyle w:val="PageNumber"/>
        <w:color w:val="808080" w:themeColor="background1" w:themeShade="80"/>
        <w:sz w:val="16"/>
        <w:szCs w:val="16"/>
      </w:rPr>
      <w:fldChar w:fldCharType="end"/>
    </w:r>
  </w:p>
  <w:p w14:paraId="3A4BF32C" w14:textId="7B4FE1A1"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 </w:t>
    </w:r>
    <w:r>
      <w:rPr>
        <w:color w:val="808080" w:themeColor="background1" w:themeShade="80"/>
        <w:sz w:val="16"/>
        <w:szCs w:val="16"/>
      </w:rPr>
      <w:tab/>
      <w:t>TRIM DOC/17/801202</w: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55A23A"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369</w:t>
    </w:r>
    <w:r w:rsidRPr="001E47E1">
      <w:rPr>
        <w:rStyle w:val="PageNumber"/>
        <w:color w:val="808080" w:themeColor="background1" w:themeShade="80"/>
        <w:sz w:val="16"/>
        <w:szCs w:val="16"/>
      </w:rPr>
      <w:fldChar w:fldCharType="end"/>
    </w:r>
  </w:p>
  <w:p w14:paraId="313D6A28" w14:textId="428FE063"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 xml:space="preserve">Pelican 3DMSS EP Summary </w:t>
    </w:r>
    <w:r w:rsidRPr="005F1BD9">
      <w:rPr>
        <w:color w:val="808080" w:themeColor="background1" w:themeShade="80"/>
        <w:sz w:val="16"/>
        <w:szCs w:val="16"/>
      </w:rPr>
      <w:t xml:space="preserve">                            </w:t>
    </w:r>
    <w:r>
      <w:rPr>
        <w:color w:val="808080" w:themeColor="background1" w:themeShade="80"/>
        <w:sz w:val="16"/>
        <w:szCs w:val="16"/>
      </w:rPr>
      <w:tab/>
      <w:t>TRIM DOC/17/801202</w:t>
    </w:r>
    <w:r w:rsidRPr="005F1BD9">
      <w:rPr>
        <w:color w:val="808080" w:themeColor="background1" w:themeShade="80"/>
        <w:sz w:val="16"/>
        <w:szCs w:val="16"/>
      </w:rPr>
      <w:t xml:space="preserve"> </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7DF17C"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370</w:t>
    </w:r>
    <w:r w:rsidRPr="001E47E1">
      <w:rPr>
        <w:rStyle w:val="PageNumber"/>
        <w:color w:val="808080" w:themeColor="background1" w:themeShade="80"/>
        <w:sz w:val="16"/>
        <w:szCs w:val="16"/>
      </w:rPr>
      <w:fldChar w:fldCharType="end"/>
    </w:r>
  </w:p>
  <w:p w14:paraId="7AA5CF74" w14:textId="495D32BF"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Pr>
        <w:color w:val="808080" w:themeColor="background1" w:themeShade="80"/>
        <w:sz w:val="16"/>
        <w:szCs w:val="16"/>
      </w:rPr>
      <w:tab/>
    </w:r>
    <w:r w:rsidRPr="005F1BD9">
      <w:rPr>
        <w:color w:val="808080" w:themeColor="background1" w:themeShade="80"/>
        <w:sz w:val="16"/>
        <w:szCs w:val="16"/>
      </w:rPr>
      <w:t xml:space="preserve">TRIM </w:t>
    </w:r>
    <w:r w:rsidR="00113724">
      <w:rPr>
        <w:color w:val="808080" w:themeColor="background1" w:themeShade="80"/>
        <w:sz w:val="16"/>
        <w:szCs w:val="16"/>
      </w:rPr>
      <w:t>DOC/18/19080</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B2B6FD"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385</w:t>
    </w:r>
    <w:r w:rsidRPr="001E47E1">
      <w:rPr>
        <w:rStyle w:val="PageNumber"/>
        <w:color w:val="808080" w:themeColor="background1" w:themeShade="80"/>
        <w:sz w:val="16"/>
        <w:szCs w:val="16"/>
      </w:rPr>
      <w:fldChar w:fldCharType="end"/>
    </w:r>
  </w:p>
  <w:p w14:paraId="7422D3A9" w14:textId="1770A926"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t xml:space="preserve">TRIM </w:t>
    </w:r>
    <w:r w:rsidR="00113724" w:rsidRPr="00113724">
      <w:rPr>
        <w:color w:val="808080" w:themeColor="background1" w:themeShade="80"/>
        <w:sz w:val="16"/>
        <w:szCs w:val="16"/>
      </w:rPr>
      <w:t>DOC/18/19080</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A75D63"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390</w:t>
    </w:r>
    <w:r w:rsidRPr="001E47E1">
      <w:rPr>
        <w:rStyle w:val="PageNumber"/>
        <w:color w:val="808080" w:themeColor="background1" w:themeShade="80"/>
        <w:sz w:val="16"/>
        <w:szCs w:val="16"/>
      </w:rPr>
      <w:fldChar w:fldCharType="end"/>
    </w:r>
  </w:p>
  <w:p w14:paraId="1FB67E20" w14:textId="5815CF86"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TRIM </w:t>
    </w:r>
    <w:r w:rsidR="00113724" w:rsidRPr="00113724">
      <w:rPr>
        <w:color w:val="808080" w:themeColor="background1" w:themeShade="80"/>
        <w:sz w:val="16"/>
        <w:szCs w:val="16"/>
      </w:rPr>
      <w:t>DOC/18/19080</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B225DB"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393</w:t>
    </w:r>
    <w:r w:rsidRPr="001E47E1">
      <w:rPr>
        <w:rStyle w:val="PageNumber"/>
        <w:color w:val="808080" w:themeColor="background1" w:themeShade="80"/>
        <w:sz w:val="16"/>
        <w:szCs w:val="16"/>
      </w:rPr>
      <w:fldChar w:fldCharType="end"/>
    </w:r>
  </w:p>
  <w:p w14:paraId="096336B3" w14:textId="10407BC1"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Pr>
        <w:color w:val="808080" w:themeColor="background1" w:themeShade="80"/>
        <w:sz w:val="16"/>
        <w:szCs w:val="16"/>
      </w:rPr>
      <w:tab/>
    </w:r>
    <w:r w:rsidRPr="005F1BD9">
      <w:rPr>
        <w:color w:val="808080" w:themeColor="background1" w:themeShade="80"/>
        <w:sz w:val="16"/>
        <w:szCs w:val="16"/>
      </w:rPr>
      <w:t xml:space="preserve">TRIM </w:t>
    </w:r>
    <w:r w:rsidR="00113724" w:rsidRPr="00113724">
      <w:rPr>
        <w:color w:val="808080" w:themeColor="background1" w:themeShade="80"/>
        <w:sz w:val="16"/>
        <w:szCs w:val="16"/>
      </w:rPr>
      <w:t>DOC/18/19080</w: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02BE7C"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461</w:t>
    </w:r>
    <w:r w:rsidRPr="001E47E1">
      <w:rPr>
        <w:rStyle w:val="PageNumber"/>
        <w:color w:val="808080" w:themeColor="background1" w:themeShade="80"/>
        <w:sz w:val="16"/>
        <w:szCs w:val="16"/>
      </w:rPr>
      <w:fldChar w:fldCharType="end"/>
    </w:r>
  </w:p>
  <w:p w14:paraId="10528FA3" w14:textId="14D85D34"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TRIM </w:t>
    </w:r>
    <w:r w:rsidRPr="00C56475">
      <w:rPr>
        <w:color w:val="808080" w:themeColor="background1" w:themeShade="80"/>
        <w:sz w:val="16"/>
        <w:szCs w:val="16"/>
      </w:rPr>
      <w:t>DOC/18/19080</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791EDC"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32</w:t>
    </w:r>
    <w:r w:rsidRPr="001E47E1">
      <w:rPr>
        <w:rStyle w:val="PageNumber"/>
        <w:color w:val="808080" w:themeColor="background1" w:themeShade="80"/>
        <w:sz w:val="16"/>
        <w:szCs w:val="16"/>
      </w:rPr>
      <w:fldChar w:fldCharType="end"/>
    </w:r>
  </w:p>
  <w:p w14:paraId="49A19E49" w14:textId="36DA789C"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Environment Plan</w:t>
    </w:r>
    <w:r w:rsidRPr="005F1BD9">
      <w:rPr>
        <w:color w:val="808080" w:themeColor="background1" w:themeShade="80"/>
        <w:sz w:val="16"/>
        <w:szCs w:val="16"/>
      </w:rPr>
      <w:t xml:space="preserve">                 </w:t>
    </w:r>
    <w:r>
      <w:rPr>
        <w:color w:val="808080" w:themeColor="background1" w:themeShade="80"/>
        <w:sz w:val="16"/>
        <w:szCs w:val="16"/>
      </w:rPr>
      <w:tab/>
      <w:t xml:space="preserve">TRIM </w:t>
    </w:r>
    <w:r w:rsidR="00113724">
      <w:rPr>
        <w:color w:val="808080" w:themeColor="background1" w:themeShade="80"/>
        <w:sz w:val="16"/>
        <w:szCs w:val="16"/>
      </w:rPr>
      <w:t>DOC/18/19080</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B9A5DF"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122</w:t>
    </w:r>
    <w:r w:rsidRPr="001E47E1">
      <w:rPr>
        <w:rStyle w:val="PageNumber"/>
        <w:color w:val="808080" w:themeColor="background1" w:themeShade="80"/>
        <w:sz w:val="16"/>
        <w:szCs w:val="16"/>
      </w:rPr>
      <w:fldChar w:fldCharType="end"/>
    </w:r>
  </w:p>
  <w:p w14:paraId="201D3122" w14:textId="7651D355"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Pr>
        <w:color w:val="808080" w:themeColor="background1" w:themeShade="80"/>
        <w:sz w:val="16"/>
        <w:szCs w:val="16"/>
      </w:rPr>
      <w:tab/>
      <w:t xml:space="preserve">TRIM </w:t>
    </w:r>
    <w:r w:rsidR="00113724">
      <w:rPr>
        <w:color w:val="808080" w:themeColor="background1" w:themeShade="80"/>
        <w:sz w:val="16"/>
        <w:szCs w:val="16"/>
      </w:rPr>
      <w:t>DOC/18/19080</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49F284"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123</w:t>
    </w:r>
    <w:r w:rsidRPr="001E47E1">
      <w:rPr>
        <w:rStyle w:val="PageNumber"/>
        <w:color w:val="808080" w:themeColor="background1" w:themeShade="80"/>
        <w:sz w:val="16"/>
        <w:szCs w:val="16"/>
      </w:rPr>
      <w:fldChar w:fldCharType="end"/>
    </w:r>
  </w:p>
  <w:p w14:paraId="2EE97564" w14:textId="3C255BD7"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Environment Plan</w:t>
    </w:r>
    <w:r w:rsidRPr="005F1BD9">
      <w:rPr>
        <w:color w:val="808080" w:themeColor="background1" w:themeShade="80"/>
        <w:sz w:val="16"/>
        <w:szCs w:val="16"/>
      </w:rPr>
      <w:t xml:space="preserve">                            </w:t>
    </w:r>
    <w:r>
      <w:rPr>
        <w:color w:val="808080" w:themeColor="background1" w:themeShade="80"/>
        <w:sz w:val="16"/>
        <w:szCs w:val="16"/>
      </w:rPr>
      <w:tab/>
      <w:t xml:space="preserve">TRIM </w:t>
    </w:r>
    <w:r w:rsidR="00113724">
      <w:rPr>
        <w:color w:val="808080" w:themeColor="background1" w:themeShade="80"/>
        <w:sz w:val="16"/>
        <w:szCs w:val="16"/>
      </w:rPr>
      <w:t>DOC/18/19080</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889841" w14:textId="77777777" w:rsidR="00282011" w:rsidRPr="001E47E1" w:rsidRDefault="00282011" w:rsidP="005F1BD9">
    <w:pPr>
      <w:pStyle w:val="Footer"/>
      <w:framePr w:wrap="around" w:vAnchor="text" w:hAnchor="margin" w:xAlign="right" w:y="1"/>
      <w:rPr>
        <w:rStyle w:val="PageNumber"/>
        <w:color w:val="808080" w:themeColor="background1" w:themeShade="80"/>
        <w:sz w:val="16"/>
        <w:szCs w:val="16"/>
      </w:rPr>
    </w:pPr>
    <w:r w:rsidRPr="001E47E1">
      <w:rPr>
        <w:rStyle w:val="PageNumber"/>
        <w:color w:val="808080" w:themeColor="background1" w:themeShade="80"/>
        <w:sz w:val="16"/>
        <w:szCs w:val="16"/>
      </w:rPr>
      <w:fldChar w:fldCharType="begin"/>
    </w:r>
    <w:r w:rsidRPr="001E47E1">
      <w:rPr>
        <w:rStyle w:val="PageNumber"/>
        <w:color w:val="808080" w:themeColor="background1" w:themeShade="80"/>
        <w:sz w:val="16"/>
        <w:szCs w:val="16"/>
      </w:rPr>
      <w:instrText xml:space="preserve">PAGE  </w:instrText>
    </w:r>
    <w:r w:rsidRPr="001E47E1">
      <w:rPr>
        <w:rStyle w:val="PageNumber"/>
        <w:color w:val="808080" w:themeColor="background1" w:themeShade="80"/>
        <w:sz w:val="16"/>
        <w:szCs w:val="16"/>
      </w:rPr>
      <w:fldChar w:fldCharType="separate"/>
    </w:r>
    <w:r w:rsidR="00410517">
      <w:rPr>
        <w:rStyle w:val="PageNumber"/>
        <w:noProof/>
        <w:color w:val="808080" w:themeColor="background1" w:themeShade="80"/>
        <w:sz w:val="16"/>
        <w:szCs w:val="16"/>
      </w:rPr>
      <w:t>124</w:t>
    </w:r>
    <w:r w:rsidRPr="001E47E1">
      <w:rPr>
        <w:rStyle w:val="PageNumber"/>
        <w:color w:val="808080" w:themeColor="background1" w:themeShade="80"/>
        <w:sz w:val="16"/>
        <w:szCs w:val="16"/>
      </w:rPr>
      <w:fldChar w:fldCharType="end"/>
    </w:r>
  </w:p>
  <w:p w14:paraId="3845E4A9" w14:textId="0041199B" w:rsidR="00282011" w:rsidRPr="005F1BD9" w:rsidRDefault="00282011" w:rsidP="005F1BD9">
    <w:pPr>
      <w:pStyle w:val="Footer"/>
      <w:ind w:right="360"/>
      <w:rPr>
        <w:color w:val="808080" w:themeColor="background1" w:themeShade="80"/>
        <w:sz w:val="16"/>
        <w:szCs w:val="16"/>
      </w:rPr>
    </w:pPr>
    <w:r>
      <w:rPr>
        <w:color w:val="808080" w:themeColor="background1" w:themeShade="80"/>
        <w:sz w:val="16"/>
        <w:szCs w:val="16"/>
      </w:rPr>
      <w:t>Pelican 3DMSS EP Summary</w:t>
    </w:r>
    <w:r w:rsidRPr="005F1BD9">
      <w:rPr>
        <w:color w:val="808080" w:themeColor="background1" w:themeShade="80"/>
        <w:sz w:val="16"/>
        <w:szCs w:val="16"/>
      </w:rPr>
      <w:t xml:space="preserve">                           </w:t>
    </w:r>
    <w:r>
      <w:rPr>
        <w:color w:val="808080" w:themeColor="background1" w:themeShade="80"/>
        <w:sz w:val="16"/>
        <w:szCs w:val="16"/>
      </w:rPr>
      <w:tab/>
    </w:r>
    <w:r w:rsidRPr="005F1BD9">
      <w:rPr>
        <w:color w:val="808080" w:themeColor="background1" w:themeShade="80"/>
        <w:sz w:val="16"/>
        <w:szCs w:val="16"/>
      </w:rPr>
      <w:t xml:space="preserve"> </w:t>
    </w:r>
    <w:r>
      <w:rPr>
        <w:color w:val="808080" w:themeColor="background1" w:themeShade="80"/>
        <w:sz w:val="16"/>
        <w:szCs w:val="16"/>
      </w:rPr>
      <w:tab/>
      <w:t xml:space="preserve">TRIM </w:t>
    </w:r>
    <w:r w:rsidR="00113724">
      <w:rPr>
        <w:color w:val="808080" w:themeColor="background1" w:themeShade="80"/>
        <w:sz w:val="16"/>
        <w:szCs w:val="16"/>
      </w:rPr>
      <w:t>DOC/18/19080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FAE331" w14:textId="77777777" w:rsidR="00282011" w:rsidRDefault="00282011">
      <w:r>
        <w:separator/>
      </w:r>
    </w:p>
  </w:footnote>
  <w:footnote w:type="continuationSeparator" w:id="0">
    <w:p w14:paraId="52D8A74D" w14:textId="77777777" w:rsidR="00282011" w:rsidRDefault="002820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C07AA5" w14:textId="77777777" w:rsidR="00282011" w:rsidRDefault="00282011" w:rsidP="00542349">
    <w:pPr>
      <w:pStyle w:val="Subtitleinternal"/>
    </w:pPr>
    <w:r>
      <w:t>Document title</w:t>
    </w:r>
  </w:p>
  <w:p w14:paraId="492DEDB9" w14:textId="77777777" w:rsidR="00282011" w:rsidRDefault="00282011">
    <w:pPr>
      <w:pStyle w:val="Header"/>
    </w:pPr>
    <w:r>
      <w:rPr>
        <w:noProof/>
      </w:rPr>
      <w:drawing>
        <wp:anchor distT="0" distB="0" distL="114300" distR="114300" simplePos="0" relativeHeight="251655680" behindDoc="1" locked="1" layoutInCell="1" allowOverlap="1" wp14:anchorId="665FE24D" wp14:editId="07799199">
          <wp:simplePos x="0" y="0"/>
          <wp:positionH relativeFrom="page">
            <wp:align>center</wp:align>
          </wp:positionH>
          <wp:positionV relativeFrom="page">
            <wp:align>top</wp:align>
          </wp:positionV>
          <wp:extent cx="7556500" cy="1333500"/>
          <wp:effectExtent l="0" t="0" r="6350" b="0"/>
          <wp:wrapNone/>
          <wp:docPr id="485" name="Picture 485" descr="Description: Strategic Comms Server:•DESIGN EXTRA:• DBI GENERIC ARTWORK:DEDJTR TEMPLATES:DEDJTR/DSDBI templates:working files:DEDJTR A4 port word template dark 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Strategic Comms Server:•DESIGN EXTRA:• DBI GENERIC ARTWORK:DEDJTR TEMPLATES:DEDJTR/DSDBI templates:working files:DEDJTR A4 port word template dark heade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50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D7B409" w14:textId="77777777" w:rsidR="00282011" w:rsidRDefault="00282011">
    <w:pPr>
      <w:pStyle w:val="Heade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1DBD2" w14:textId="77777777" w:rsidR="00282011" w:rsidRDefault="00282011">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9A5F09" w14:textId="594AAD50" w:rsidR="00282011" w:rsidRDefault="00282011" w:rsidP="00542349">
    <w:pPr>
      <w:pStyle w:val="Subtitleinternal"/>
    </w:pPr>
    <w:r>
      <w:rPr>
        <w:lang w:val="en-AU" w:eastAsia="en-AU"/>
      </w:rPr>
      <w:drawing>
        <wp:anchor distT="0" distB="0" distL="114300" distR="114300" simplePos="0" relativeHeight="251825664" behindDoc="1" locked="0" layoutInCell="1" allowOverlap="1" wp14:anchorId="1E3CC313" wp14:editId="1C146B79">
          <wp:simplePos x="0" y="0"/>
          <wp:positionH relativeFrom="page">
            <wp:posOffset>228600</wp:posOffset>
          </wp:positionH>
          <wp:positionV relativeFrom="page">
            <wp:posOffset>167640</wp:posOffset>
          </wp:positionV>
          <wp:extent cx="6858000" cy="711835"/>
          <wp:effectExtent l="0" t="0" r="0" b="0"/>
          <wp:wrapNone/>
          <wp:docPr id="244" name="Picture 24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CDCF59" w14:textId="77777777" w:rsidR="00282011" w:rsidRDefault="00282011">
    <w:pPr>
      <w:pStyle w:val="Heade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CB500C" w14:textId="77777777" w:rsidR="00282011" w:rsidRDefault="00282011">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A694FB" w14:textId="20E7AA82" w:rsidR="00282011" w:rsidRDefault="00282011" w:rsidP="00542349">
    <w:pPr>
      <w:pStyle w:val="Subtitleinternal"/>
    </w:pPr>
    <w:r>
      <w:rPr>
        <w:lang w:val="en-AU" w:eastAsia="en-AU"/>
      </w:rPr>
      <w:drawing>
        <wp:anchor distT="0" distB="0" distL="114300" distR="114300" simplePos="0" relativeHeight="251758080" behindDoc="1" locked="0" layoutInCell="1" allowOverlap="1" wp14:anchorId="33AE1DA7" wp14:editId="288AAC6A">
          <wp:simplePos x="0" y="0"/>
          <wp:positionH relativeFrom="page">
            <wp:posOffset>228600</wp:posOffset>
          </wp:positionH>
          <wp:positionV relativeFrom="page">
            <wp:posOffset>167640</wp:posOffset>
          </wp:positionV>
          <wp:extent cx="10140950" cy="711835"/>
          <wp:effectExtent l="0" t="0" r="0" b="0"/>
          <wp:wrapNone/>
          <wp:docPr id="247" name="Picture 24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1014095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6C4355" w14:textId="77777777" w:rsidR="00282011" w:rsidRDefault="00282011">
    <w:pPr>
      <w:pStyle w:val="Heade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A2FADF" w14:textId="77777777" w:rsidR="00282011" w:rsidRDefault="00282011">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43F251" w14:textId="72850BE6" w:rsidR="00282011" w:rsidRDefault="00282011" w:rsidP="00542349">
    <w:pPr>
      <w:pStyle w:val="Subtitleinternal"/>
    </w:pPr>
    <w:r>
      <w:rPr>
        <w:lang w:val="en-AU" w:eastAsia="en-AU"/>
      </w:rPr>
      <w:drawing>
        <wp:anchor distT="0" distB="0" distL="114300" distR="114300" simplePos="0" relativeHeight="251761152" behindDoc="1" locked="0" layoutInCell="1" allowOverlap="1" wp14:anchorId="06B40624" wp14:editId="435C3818">
          <wp:simplePos x="0" y="0"/>
          <wp:positionH relativeFrom="page">
            <wp:posOffset>228600</wp:posOffset>
          </wp:positionH>
          <wp:positionV relativeFrom="page">
            <wp:posOffset>167640</wp:posOffset>
          </wp:positionV>
          <wp:extent cx="6858000" cy="711835"/>
          <wp:effectExtent l="0" t="0" r="0" b="0"/>
          <wp:wrapNone/>
          <wp:docPr id="249" name="Picture 24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C46209" w14:textId="77777777" w:rsidR="00282011" w:rsidRDefault="00282011">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50D25F" w14:textId="77777777" w:rsidR="00282011" w:rsidRDefault="00282011" w:rsidP="00542349">
    <w:pPr>
      <w:pStyle w:val="Subtitleinternal"/>
    </w:pPr>
    <w:r>
      <w:rPr>
        <w:lang w:val="en-AU" w:eastAsia="en-AU"/>
      </w:rPr>
      <w:drawing>
        <wp:anchor distT="0" distB="0" distL="114300" distR="114300" simplePos="0" relativeHeight="251863552" behindDoc="1" locked="0" layoutInCell="1" allowOverlap="1" wp14:anchorId="2CA38C56" wp14:editId="3B339A72">
          <wp:simplePos x="0" y="0"/>
          <wp:positionH relativeFrom="page">
            <wp:posOffset>351790</wp:posOffset>
          </wp:positionH>
          <wp:positionV relativeFrom="page">
            <wp:posOffset>190500</wp:posOffset>
          </wp:positionV>
          <wp:extent cx="6858000" cy="711835"/>
          <wp:effectExtent l="0" t="0" r="0" b="0"/>
          <wp:wrapNone/>
          <wp:docPr id="250" name="Picture 25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2050D0" w14:textId="044723CB" w:rsidR="00282011" w:rsidRDefault="00282011" w:rsidP="00542349">
    <w:pPr>
      <w:pStyle w:val="Subtitleinternal"/>
    </w:pPr>
    <w:r>
      <w:rPr>
        <w:lang w:val="en-AU" w:eastAsia="en-AU"/>
      </w:rPr>
      <w:drawing>
        <wp:anchor distT="0" distB="0" distL="114300" distR="114300" simplePos="0" relativeHeight="251831808" behindDoc="1" locked="0" layoutInCell="1" allowOverlap="1" wp14:anchorId="52C925CF" wp14:editId="0D42911A">
          <wp:simplePos x="0" y="0"/>
          <wp:positionH relativeFrom="page">
            <wp:posOffset>520700</wp:posOffset>
          </wp:positionH>
          <wp:positionV relativeFrom="page">
            <wp:posOffset>40640</wp:posOffset>
          </wp:positionV>
          <wp:extent cx="9309100" cy="711835"/>
          <wp:effectExtent l="0" t="0" r="0" b="0"/>
          <wp:wrapNone/>
          <wp:docPr id="116" name="Picture 11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9316240" cy="7123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444B">
      <w:t xml:space="preserve"> </w: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EB7DBA" w14:textId="77777777" w:rsidR="00282011" w:rsidRDefault="00282011" w:rsidP="00542349">
    <w:pPr>
      <w:pStyle w:val="Subtitleinternal"/>
    </w:pPr>
    <w:r>
      <w:rPr>
        <w:lang w:val="en-AU" w:eastAsia="en-AU"/>
      </w:rPr>
      <w:drawing>
        <wp:anchor distT="0" distB="0" distL="114300" distR="114300" simplePos="0" relativeHeight="251865600" behindDoc="1" locked="0" layoutInCell="1" allowOverlap="1" wp14:anchorId="0043263C" wp14:editId="2B1E8139">
          <wp:simplePos x="0" y="0"/>
          <wp:positionH relativeFrom="page">
            <wp:posOffset>228600</wp:posOffset>
          </wp:positionH>
          <wp:positionV relativeFrom="page">
            <wp:posOffset>167640</wp:posOffset>
          </wp:positionV>
          <wp:extent cx="6858000" cy="711835"/>
          <wp:effectExtent l="0" t="0" r="0" b="0"/>
          <wp:wrapNone/>
          <wp:docPr id="251" name="Picture 25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D24C9" w14:textId="77777777" w:rsidR="00282011" w:rsidRDefault="00282011">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406B85" w14:textId="75266C1D" w:rsidR="00282011" w:rsidRDefault="00282011" w:rsidP="00542349">
    <w:pPr>
      <w:pStyle w:val="Subtitleinternal"/>
    </w:pPr>
    <w:r>
      <w:rPr>
        <w:lang w:val="en-AU" w:eastAsia="en-AU"/>
      </w:rPr>
      <w:drawing>
        <wp:anchor distT="0" distB="0" distL="114300" distR="114300" simplePos="0" relativeHeight="251779584" behindDoc="1" locked="0" layoutInCell="1" allowOverlap="1" wp14:anchorId="3969B04C" wp14:editId="60D8F79F">
          <wp:simplePos x="0" y="0"/>
          <wp:positionH relativeFrom="page">
            <wp:posOffset>228599</wp:posOffset>
          </wp:positionH>
          <wp:positionV relativeFrom="page">
            <wp:posOffset>171450</wp:posOffset>
          </wp:positionV>
          <wp:extent cx="10144125" cy="711835"/>
          <wp:effectExtent l="0" t="0" r="0" b="0"/>
          <wp:wrapNone/>
          <wp:docPr id="252" name="Picture 25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10144125"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AA62DC" w14:textId="77777777" w:rsidR="00282011" w:rsidRDefault="00282011">
    <w:pPr>
      <w:pStyle w:val="Heade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AB3196" w14:textId="77777777" w:rsidR="00282011" w:rsidRDefault="00282011">
    <w:pPr>
      <w:pStyle w:val="Heade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1775EE" w14:textId="706728AA" w:rsidR="00282011" w:rsidRDefault="00282011" w:rsidP="00542349">
    <w:pPr>
      <w:pStyle w:val="Subtitleinternal"/>
    </w:pPr>
    <w:r>
      <w:rPr>
        <w:lang w:val="en-AU" w:eastAsia="en-AU"/>
      </w:rPr>
      <w:drawing>
        <wp:anchor distT="0" distB="0" distL="114300" distR="114300" simplePos="0" relativeHeight="251828736" behindDoc="1" locked="0" layoutInCell="1" allowOverlap="1" wp14:anchorId="1113E3E3" wp14:editId="65F6D904">
          <wp:simplePos x="0" y="0"/>
          <wp:positionH relativeFrom="page">
            <wp:posOffset>362309</wp:posOffset>
          </wp:positionH>
          <wp:positionV relativeFrom="page">
            <wp:posOffset>172528</wp:posOffset>
          </wp:positionV>
          <wp:extent cx="9808234" cy="711556"/>
          <wp:effectExtent l="0" t="0" r="0" b="0"/>
          <wp:wrapNone/>
          <wp:docPr id="253" name="Picture 25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9812074"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67BB41" w14:textId="77777777" w:rsidR="00282011" w:rsidRDefault="00282011">
    <w:pPr>
      <w:pStyle w:val="Heade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D8C3CF" w14:textId="77777777" w:rsidR="00282011" w:rsidRDefault="00282011">
    <w:pPr>
      <w:pStyle w:val="Heade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905B75" w14:textId="408FEA5C" w:rsidR="00282011" w:rsidRDefault="00282011" w:rsidP="00542349">
    <w:pPr>
      <w:pStyle w:val="Subtitleinternal"/>
    </w:pPr>
    <w:r>
      <w:rPr>
        <w:lang w:val="en-AU" w:eastAsia="en-AU"/>
      </w:rPr>
      <w:drawing>
        <wp:anchor distT="0" distB="0" distL="114300" distR="114300" simplePos="0" relativeHeight="251785728" behindDoc="1" locked="0" layoutInCell="1" allowOverlap="1" wp14:anchorId="00116595" wp14:editId="3672C2F2">
          <wp:simplePos x="0" y="0"/>
          <wp:positionH relativeFrom="page">
            <wp:posOffset>361950</wp:posOffset>
          </wp:positionH>
          <wp:positionV relativeFrom="page">
            <wp:posOffset>171450</wp:posOffset>
          </wp:positionV>
          <wp:extent cx="6886575" cy="711835"/>
          <wp:effectExtent l="0" t="0" r="0" b="0"/>
          <wp:wrapNone/>
          <wp:docPr id="254" name="Picture 25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86575"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A22AE9" w14:textId="77777777" w:rsidR="00282011" w:rsidRDefault="0028201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71AAE4" w14:textId="77777777" w:rsidR="00282011" w:rsidRDefault="00282011">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1557AF" w14:textId="77777777" w:rsidR="00282011" w:rsidRDefault="00282011">
    <w:pPr>
      <w:pStyle w:val="Heade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5CAD07" w14:textId="6C1E94C6" w:rsidR="00282011" w:rsidRDefault="00282011" w:rsidP="00542349">
    <w:pPr>
      <w:pStyle w:val="Subtitleinternal"/>
    </w:pPr>
    <w:r>
      <w:rPr>
        <w:lang w:val="en-AU" w:eastAsia="en-AU"/>
      </w:rPr>
      <w:drawing>
        <wp:anchor distT="0" distB="0" distL="114300" distR="114300" simplePos="0" relativeHeight="251764224" behindDoc="1" locked="0" layoutInCell="1" allowOverlap="1" wp14:anchorId="34669FD7" wp14:editId="2D707764">
          <wp:simplePos x="0" y="0"/>
          <wp:positionH relativeFrom="page">
            <wp:posOffset>228600</wp:posOffset>
          </wp:positionH>
          <wp:positionV relativeFrom="page">
            <wp:posOffset>167640</wp:posOffset>
          </wp:positionV>
          <wp:extent cx="10172700" cy="711835"/>
          <wp:effectExtent l="0" t="0" r="0" b="0"/>
          <wp:wrapNone/>
          <wp:docPr id="255" name="Picture 25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101727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67D254" w14:textId="77777777" w:rsidR="00282011" w:rsidRDefault="00282011">
    <w:pPr>
      <w:pStyle w:val="Heade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1EB6E5" w14:textId="77777777" w:rsidR="00282011" w:rsidRDefault="00282011">
    <w:pPr>
      <w:pStyle w:val="Heade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FE82B" w14:textId="6C3E6976" w:rsidR="00282011" w:rsidRDefault="00282011" w:rsidP="00542349">
    <w:pPr>
      <w:pStyle w:val="Subtitleinternal"/>
    </w:pPr>
    <w:r>
      <w:rPr>
        <w:lang w:val="en-AU" w:eastAsia="en-AU"/>
      </w:rPr>
      <w:drawing>
        <wp:anchor distT="0" distB="0" distL="114300" distR="114300" simplePos="0" relativeHeight="251767296" behindDoc="1" locked="0" layoutInCell="1" allowOverlap="1" wp14:anchorId="622AB361" wp14:editId="1B307073">
          <wp:simplePos x="0" y="0"/>
          <wp:positionH relativeFrom="page">
            <wp:posOffset>228600</wp:posOffset>
          </wp:positionH>
          <wp:positionV relativeFrom="page">
            <wp:posOffset>167640</wp:posOffset>
          </wp:positionV>
          <wp:extent cx="6858000" cy="711835"/>
          <wp:effectExtent l="0" t="0" r="0" b="0"/>
          <wp:wrapNone/>
          <wp:docPr id="288" name="Picture 28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71CE08" w14:textId="77777777" w:rsidR="00282011" w:rsidRDefault="00282011">
    <w:pPr>
      <w:pStyle w:val="Heade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AD0490" w14:textId="77777777" w:rsidR="00282011" w:rsidRDefault="00282011" w:rsidP="00542349">
    <w:pPr>
      <w:pStyle w:val="Subtitleinternal"/>
    </w:pPr>
    <w:r>
      <w:rPr>
        <w:lang w:val="en-AU" w:eastAsia="en-AU"/>
      </w:rPr>
      <w:drawing>
        <wp:anchor distT="0" distB="0" distL="114300" distR="114300" simplePos="0" relativeHeight="251859456" behindDoc="1" locked="0" layoutInCell="1" allowOverlap="1" wp14:anchorId="4994DAA9" wp14:editId="1DFEA185">
          <wp:simplePos x="0" y="0"/>
          <wp:positionH relativeFrom="page">
            <wp:posOffset>463138</wp:posOffset>
          </wp:positionH>
          <wp:positionV relativeFrom="page">
            <wp:posOffset>166255</wp:posOffset>
          </wp:positionV>
          <wp:extent cx="9987148" cy="712451"/>
          <wp:effectExtent l="0" t="0" r="0" b="0"/>
          <wp:wrapNone/>
          <wp:docPr id="290" name="Picture 29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997851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D778B4" w14:textId="77777777" w:rsidR="00282011" w:rsidRDefault="00282011" w:rsidP="00542349">
    <w:pPr>
      <w:pStyle w:val="Subtitleinternal"/>
    </w:pPr>
    <w:r>
      <w:rPr>
        <w:lang w:val="en-AU" w:eastAsia="en-AU"/>
      </w:rPr>
      <w:drawing>
        <wp:anchor distT="0" distB="0" distL="114300" distR="114300" simplePos="0" relativeHeight="251861504" behindDoc="1" locked="0" layoutInCell="1" allowOverlap="1" wp14:anchorId="5F3E5EDD" wp14:editId="76CA3D71">
          <wp:simplePos x="0" y="0"/>
          <wp:positionH relativeFrom="page">
            <wp:posOffset>228600</wp:posOffset>
          </wp:positionH>
          <wp:positionV relativeFrom="page">
            <wp:posOffset>167640</wp:posOffset>
          </wp:positionV>
          <wp:extent cx="6858000" cy="711835"/>
          <wp:effectExtent l="0" t="0" r="0" b="0"/>
          <wp:wrapNone/>
          <wp:docPr id="299" name="Picture 29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0183B0" w14:textId="77777777" w:rsidR="00282011" w:rsidRDefault="00282011">
    <w:pPr>
      <w:pStyle w:val="Heade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F68B80" w14:textId="63C35BD5" w:rsidR="00282011" w:rsidRDefault="00282011" w:rsidP="00542349">
    <w:pPr>
      <w:pStyle w:val="Subtitleinternal"/>
    </w:pPr>
    <w:r>
      <w:rPr>
        <w:lang w:val="en-AU" w:eastAsia="en-AU"/>
      </w:rPr>
      <w:drawing>
        <wp:anchor distT="0" distB="0" distL="114300" distR="114300" simplePos="0" relativeHeight="251841024" behindDoc="1" locked="0" layoutInCell="1" allowOverlap="1" wp14:anchorId="0F52A277" wp14:editId="702F7789">
          <wp:simplePos x="0" y="0"/>
          <wp:positionH relativeFrom="page">
            <wp:posOffset>228600</wp:posOffset>
          </wp:positionH>
          <wp:positionV relativeFrom="page">
            <wp:posOffset>167640</wp:posOffset>
          </wp:positionV>
          <wp:extent cx="6858000" cy="711835"/>
          <wp:effectExtent l="0" t="0" r="0" b="0"/>
          <wp:wrapNone/>
          <wp:docPr id="300" name="Picture 30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B3D7EB" w14:textId="77777777" w:rsidR="00282011" w:rsidRDefault="00282011">
    <w:pPr>
      <w:pStyle w:val="Heade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B95724" w14:textId="77777777" w:rsidR="00282011" w:rsidRDefault="00282011">
    <w:pPr>
      <w:pStyle w:val="Heade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F59055" w14:textId="77777777" w:rsidR="00282011" w:rsidRDefault="00282011">
    <w:pPr>
      <w:pStyle w:val="Heade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36D841" w14:textId="58A6E17B" w:rsidR="00282011" w:rsidRDefault="00282011" w:rsidP="00542349">
    <w:pPr>
      <w:pStyle w:val="Subtitleinternal"/>
    </w:pPr>
    <w:r>
      <w:rPr>
        <w:lang w:val="en-AU" w:eastAsia="en-AU"/>
      </w:rPr>
      <w:drawing>
        <wp:anchor distT="0" distB="0" distL="114300" distR="114300" simplePos="0" relativeHeight="251844096" behindDoc="1" locked="0" layoutInCell="1" allowOverlap="1" wp14:anchorId="65130197" wp14:editId="441D2848">
          <wp:simplePos x="0" y="0"/>
          <wp:positionH relativeFrom="page">
            <wp:posOffset>228600</wp:posOffset>
          </wp:positionH>
          <wp:positionV relativeFrom="page">
            <wp:posOffset>167640</wp:posOffset>
          </wp:positionV>
          <wp:extent cx="9715500" cy="711835"/>
          <wp:effectExtent l="0" t="0" r="0" b="0"/>
          <wp:wrapNone/>
          <wp:docPr id="303" name="Picture 30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97155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4B4AC3" w14:textId="77777777" w:rsidR="00282011" w:rsidRDefault="00282011">
    <w:pPr>
      <w:pStyle w:val="Heade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B30056" w14:textId="77777777" w:rsidR="00282011" w:rsidRDefault="00282011" w:rsidP="00542349">
    <w:pPr>
      <w:pStyle w:val="Subtitleinternal"/>
    </w:pPr>
    <w:r>
      <w:rPr>
        <w:lang w:val="en-AU" w:eastAsia="en-AU"/>
      </w:rPr>
      <w:drawing>
        <wp:anchor distT="0" distB="0" distL="114300" distR="114300" simplePos="0" relativeHeight="251870720" behindDoc="1" locked="0" layoutInCell="1" allowOverlap="1" wp14:anchorId="3120A8B4" wp14:editId="22D1870D">
          <wp:simplePos x="0" y="0"/>
          <wp:positionH relativeFrom="page">
            <wp:posOffset>84677</wp:posOffset>
          </wp:positionH>
          <wp:positionV relativeFrom="page">
            <wp:posOffset>169896</wp:posOffset>
          </wp:positionV>
          <wp:extent cx="7400260" cy="712030"/>
          <wp:effectExtent l="0" t="0" r="0" b="0"/>
          <wp:wrapNone/>
          <wp:docPr id="304" name="Picture 30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7400260" cy="71203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1B55AE" w14:textId="77777777" w:rsidR="00282011" w:rsidRDefault="00282011">
    <w:pPr>
      <w:pStyle w:val="Heade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B6B685" w14:textId="77777777" w:rsidR="00282011" w:rsidRDefault="00282011" w:rsidP="00542349">
    <w:pPr>
      <w:pStyle w:val="Subtitleinternal"/>
    </w:pPr>
    <w:r>
      <w:rPr>
        <w:lang w:val="en-AU" w:eastAsia="en-AU"/>
      </w:rPr>
      <w:drawing>
        <wp:anchor distT="0" distB="0" distL="114300" distR="114300" simplePos="0" relativeHeight="251867648" behindDoc="1" locked="0" layoutInCell="1" allowOverlap="1" wp14:anchorId="697062B0" wp14:editId="1786DDE5">
          <wp:simplePos x="0" y="0"/>
          <wp:positionH relativeFrom="page">
            <wp:posOffset>228600</wp:posOffset>
          </wp:positionH>
          <wp:positionV relativeFrom="page">
            <wp:posOffset>167640</wp:posOffset>
          </wp:positionV>
          <wp:extent cx="9715500" cy="711835"/>
          <wp:effectExtent l="0" t="0" r="0" b="0"/>
          <wp:wrapNone/>
          <wp:docPr id="305" name="Picture 30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97155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1C4D">
      <w:rPr>
        <w:lang w:eastAsia="zh-TW"/>
      </w:rPr>
      <w:pict w14:anchorId="5B2359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16" type="#_x0000_t136" style="position:absolute;margin-left:0;margin-top:0;width:412.4pt;height:247.45pt;rotation:315;z-index:-25144780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AA0F40" w14:textId="77777777" w:rsidR="00282011" w:rsidRDefault="00282011">
    <w:pPr>
      <w:pStyle w:val="Header"/>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994568" w14:textId="77777777" w:rsidR="00282011" w:rsidRDefault="00282011">
    <w:pPr>
      <w:pStyle w:val="Heade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556475" w14:textId="42684547" w:rsidR="00282011" w:rsidRDefault="00282011" w:rsidP="00542349">
    <w:pPr>
      <w:pStyle w:val="Subtitleinternal"/>
    </w:pPr>
    <w:r>
      <w:rPr>
        <w:lang w:val="en-AU" w:eastAsia="en-AU"/>
      </w:rPr>
      <w:drawing>
        <wp:anchor distT="0" distB="0" distL="114300" distR="114300" simplePos="0" relativeHeight="251850240" behindDoc="1" locked="0" layoutInCell="1" allowOverlap="1" wp14:anchorId="50A0C129" wp14:editId="421F2A58">
          <wp:simplePos x="0" y="0"/>
          <wp:positionH relativeFrom="page">
            <wp:posOffset>228600</wp:posOffset>
          </wp:positionH>
          <wp:positionV relativeFrom="page">
            <wp:posOffset>167640</wp:posOffset>
          </wp:positionV>
          <wp:extent cx="6858000" cy="711835"/>
          <wp:effectExtent l="0" t="0" r="0" b="0"/>
          <wp:wrapNone/>
          <wp:docPr id="314" name="Picture 31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185022" w14:textId="6B7DB674" w:rsidR="00282011" w:rsidRDefault="00282011" w:rsidP="00542349">
    <w:pPr>
      <w:pStyle w:val="Subtitleinternal"/>
    </w:pPr>
    <w:r>
      <w:rPr>
        <w:lang w:val="en-AU" w:eastAsia="en-AU"/>
      </w:rPr>
      <w:drawing>
        <wp:anchor distT="0" distB="0" distL="114300" distR="114300" simplePos="0" relativeHeight="251834880" behindDoc="1" locked="0" layoutInCell="1" allowOverlap="1" wp14:anchorId="65C70556" wp14:editId="1F249E0B">
          <wp:simplePos x="0" y="0"/>
          <wp:positionH relativeFrom="page">
            <wp:posOffset>520700</wp:posOffset>
          </wp:positionH>
          <wp:positionV relativeFrom="page">
            <wp:posOffset>41113</wp:posOffset>
          </wp:positionV>
          <wp:extent cx="6624084" cy="712381"/>
          <wp:effectExtent l="0" t="0" r="0" b="0"/>
          <wp:wrapNone/>
          <wp:docPr id="117" name="Picture 11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624084" cy="7123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444B">
      <w:t xml:space="preserve"> </w:t>
    </w: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BC542F" w14:textId="77777777" w:rsidR="00282011" w:rsidRDefault="00282011">
    <w:pPr>
      <w:pStyle w:val="Heade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195BC5" w14:textId="77777777" w:rsidR="00282011" w:rsidRDefault="00282011">
    <w:pPr>
      <w:pStyle w:val="Heade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74060D" w14:textId="6267E1C4" w:rsidR="00282011" w:rsidRDefault="00282011" w:rsidP="00542349">
    <w:pPr>
      <w:pStyle w:val="Subtitleinternal"/>
    </w:pPr>
    <w:r>
      <w:rPr>
        <w:lang w:val="en-AU" w:eastAsia="en-AU"/>
      </w:rPr>
      <w:drawing>
        <wp:anchor distT="0" distB="0" distL="114300" distR="114300" simplePos="0" relativeHeight="251853312" behindDoc="1" locked="0" layoutInCell="1" allowOverlap="1" wp14:anchorId="1B1907E7" wp14:editId="101466CF">
          <wp:simplePos x="0" y="0"/>
          <wp:positionH relativeFrom="page">
            <wp:posOffset>228600</wp:posOffset>
          </wp:positionH>
          <wp:positionV relativeFrom="page">
            <wp:posOffset>191770</wp:posOffset>
          </wp:positionV>
          <wp:extent cx="10172700" cy="711835"/>
          <wp:effectExtent l="0" t="0" r="0" b="0"/>
          <wp:wrapNone/>
          <wp:docPr id="315" name="Picture 31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101727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EC88E7" w14:textId="77777777" w:rsidR="00282011" w:rsidRDefault="00282011">
    <w:pPr>
      <w:pStyle w:val="Header"/>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695F95" w14:textId="77777777" w:rsidR="00282011" w:rsidRDefault="00282011">
    <w:pPr>
      <w:pStyle w:val="Heade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0E6A67" w14:textId="464D0F11" w:rsidR="00282011" w:rsidRDefault="00282011" w:rsidP="00542349">
    <w:pPr>
      <w:pStyle w:val="Subtitleinternal"/>
    </w:pPr>
    <w:r>
      <w:rPr>
        <w:lang w:val="en-AU" w:eastAsia="en-AU"/>
      </w:rPr>
      <w:drawing>
        <wp:anchor distT="0" distB="0" distL="114300" distR="114300" simplePos="0" relativeHeight="251856384" behindDoc="1" locked="0" layoutInCell="1" allowOverlap="1" wp14:anchorId="6614B4ED" wp14:editId="436DDB30">
          <wp:simplePos x="0" y="0"/>
          <wp:positionH relativeFrom="page">
            <wp:posOffset>228600</wp:posOffset>
          </wp:positionH>
          <wp:positionV relativeFrom="page">
            <wp:posOffset>191770</wp:posOffset>
          </wp:positionV>
          <wp:extent cx="6858000" cy="711835"/>
          <wp:effectExtent l="0" t="0" r="0" b="0"/>
          <wp:wrapNone/>
          <wp:docPr id="318" name="Picture 31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D2047C" w14:textId="77777777" w:rsidR="00282011" w:rsidRDefault="00282011">
    <w:pPr>
      <w:pStyle w:val="Header"/>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EF8558" w14:textId="77777777" w:rsidR="00282011" w:rsidRDefault="00282011">
    <w:pPr>
      <w:pStyle w:val="Header"/>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DBEC2F" w14:textId="72884589" w:rsidR="00282011" w:rsidRDefault="00282011" w:rsidP="00542349">
    <w:pPr>
      <w:pStyle w:val="Subtitleinternal"/>
    </w:pPr>
    <w:r>
      <w:rPr>
        <w:lang w:val="en-AU" w:eastAsia="en-AU"/>
      </w:rPr>
      <w:drawing>
        <wp:anchor distT="0" distB="0" distL="114300" distR="114300" simplePos="0" relativeHeight="251847168" behindDoc="1" locked="0" layoutInCell="1" allowOverlap="1" wp14:anchorId="1200AB1B" wp14:editId="3EB0F12B">
          <wp:simplePos x="0" y="0"/>
          <wp:positionH relativeFrom="page">
            <wp:posOffset>228600</wp:posOffset>
          </wp:positionH>
          <wp:positionV relativeFrom="page">
            <wp:posOffset>167640</wp:posOffset>
          </wp:positionV>
          <wp:extent cx="6858000" cy="711835"/>
          <wp:effectExtent l="0" t="0" r="0" b="0"/>
          <wp:wrapNone/>
          <wp:docPr id="319" name="Picture 31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B86085" w14:textId="77777777" w:rsidR="00282011" w:rsidRDefault="00282011">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80BD04" w14:textId="77777777" w:rsidR="00282011" w:rsidRDefault="00282011">
    <w:pPr>
      <w:pStyle w:val="Heade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0678FB" w14:textId="77777777" w:rsidR="00282011" w:rsidRDefault="00282011">
    <w:pPr>
      <w:pStyle w:val="Heade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E3B2DD" w14:textId="70E097EC" w:rsidR="00282011" w:rsidRDefault="00282011" w:rsidP="00542349">
    <w:pPr>
      <w:pStyle w:val="Subtitleinternal"/>
    </w:pPr>
    <w:r>
      <w:rPr>
        <w:lang w:val="en-AU" w:eastAsia="en-AU"/>
      </w:rPr>
      <w:drawing>
        <wp:anchor distT="0" distB="0" distL="114300" distR="114300" simplePos="0" relativeHeight="251776512" behindDoc="1" locked="0" layoutInCell="1" allowOverlap="1" wp14:anchorId="59519EE7" wp14:editId="29914FA8">
          <wp:simplePos x="0" y="0"/>
          <wp:positionH relativeFrom="page">
            <wp:posOffset>228600</wp:posOffset>
          </wp:positionH>
          <wp:positionV relativeFrom="page">
            <wp:posOffset>167640</wp:posOffset>
          </wp:positionV>
          <wp:extent cx="10172700" cy="711835"/>
          <wp:effectExtent l="0" t="0" r="0" b="0"/>
          <wp:wrapNone/>
          <wp:docPr id="448" name="Picture 44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101727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B8FF58" w14:textId="77777777" w:rsidR="00282011" w:rsidRDefault="00282011">
    <w:pPr>
      <w:pStyle w:val="Header"/>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4E2EC2" w14:textId="77777777" w:rsidR="00282011" w:rsidRDefault="00282011">
    <w:pPr>
      <w:pStyle w:val="Header"/>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1DA6CD" w14:textId="6EBBC735" w:rsidR="00282011" w:rsidRDefault="00282011" w:rsidP="00542349">
    <w:pPr>
      <w:pStyle w:val="Subtitleinternal"/>
    </w:pPr>
    <w:r>
      <w:rPr>
        <w:lang w:val="en-AU" w:eastAsia="en-AU"/>
      </w:rPr>
      <w:drawing>
        <wp:anchor distT="0" distB="0" distL="114300" distR="114300" simplePos="0" relativeHeight="251773440" behindDoc="1" locked="0" layoutInCell="1" allowOverlap="1" wp14:anchorId="5F94F2BE" wp14:editId="70314EFE">
          <wp:simplePos x="0" y="0"/>
          <wp:positionH relativeFrom="page">
            <wp:posOffset>114300</wp:posOffset>
          </wp:positionH>
          <wp:positionV relativeFrom="page">
            <wp:posOffset>77470</wp:posOffset>
          </wp:positionV>
          <wp:extent cx="7207885" cy="719455"/>
          <wp:effectExtent l="0" t="0" r="0" b="0"/>
          <wp:wrapNone/>
          <wp:docPr id="44" name="Picture 4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720788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t>Pelican 3D Marine Seismic Survey Environment Plan</w:t>
    </w:r>
    <w:r w:rsidRPr="009B444B">
      <w:t xml:space="preserve"> </w:t>
    </w: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516575" w14:textId="77777777" w:rsidR="00282011" w:rsidRDefault="0028201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AD71CE" w14:textId="77777777" w:rsidR="00282011" w:rsidRDefault="0028201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03E9D9" w14:textId="660D2B31" w:rsidR="00282011" w:rsidRDefault="00282011" w:rsidP="00542349">
    <w:pPr>
      <w:pStyle w:val="Subtitleinternal"/>
    </w:pPr>
    <w:r>
      <w:rPr>
        <w:lang w:val="en-AU" w:eastAsia="en-AU"/>
      </w:rPr>
      <w:drawing>
        <wp:anchor distT="0" distB="0" distL="114300" distR="114300" simplePos="0" relativeHeight="251791872" behindDoc="1" locked="0" layoutInCell="1" allowOverlap="1" wp14:anchorId="6A2EDF67" wp14:editId="4F43A1C8">
          <wp:simplePos x="0" y="0"/>
          <wp:positionH relativeFrom="page">
            <wp:posOffset>517585</wp:posOffset>
          </wp:positionH>
          <wp:positionV relativeFrom="page">
            <wp:posOffset>43132</wp:posOffset>
          </wp:positionV>
          <wp:extent cx="9670211" cy="712489"/>
          <wp:effectExtent l="0" t="0" r="0" b="0"/>
          <wp:wrapNone/>
          <wp:docPr id="118" name="Picture 11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9668747" cy="7123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444B">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B8CD0C" w14:textId="77777777" w:rsidR="00282011" w:rsidRDefault="00282011">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2F4834" w14:textId="77777777" w:rsidR="00282011" w:rsidRDefault="0028201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E27751" w14:textId="33EA2E70" w:rsidR="00282011" w:rsidRDefault="00282011" w:rsidP="00542349">
    <w:pPr>
      <w:pStyle w:val="Subtitleinternal"/>
    </w:pPr>
    <w:r>
      <w:t>Pelican 3D Marine Seismic Survey Environment Plan</w:t>
    </w:r>
    <w:r>
      <w:rPr>
        <w:lang w:val="en-AU" w:eastAsia="en-AU"/>
      </w:rPr>
      <w:drawing>
        <wp:anchor distT="0" distB="0" distL="114300" distR="114300" simplePos="0" relativeHeight="251657728" behindDoc="1" locked="0" layoutInCell="1" allowOverlap="1" wp14:anchorId="75F04F60" wp14:editId="1F220E70">
          <wp:simplePos x="0" y="0"/>
          <wp:positionH relativeFrom="page">
            <wp:posOffset>21590</wp:posOffset>
          </wp:positionH>
          <wp:positionV relativeFrom="page">
            <wp:posOffset>12700</wp:posOffset>
          </wp:positionV>
          <wp:extent cx="7560000" cy="720000"/>
          <wp:effectExtent l="0" t="0" r="0" b="0"/>
          <wp:wrapNone/>
          <wp:docPr id="486" name="Picture 48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7560000"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444B">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2B0DA6" w14:textId="610DB608" w:rsidR="00282011" w:rsidRDefault="00282011" w:rsidP="00542349">
    <w:pPr>
      <w:pStyle w:val="Subtitleinternal"/>
    </w:pPr>
    <w:r>
      <w:rPr>
        <w:lang w:val="en-AU" w:eastAsia="en-AU"/>
      </w:rPr>
      <w:drawing>
        <wp:anchor distT="0" distB="0" distL="114300" distR="114300" simplePos="0" relativeHeight="251794944" behindDoc="1" locked="0" layoutInCell="1" allowOverlap="1" wp14:anchorId="61B797DB" wp14:editId="5B49A4D1">
          <wp:simplePos x="0" y="0"/>
          <wp:positionH relativeFrom="page">
            <wp:posOffset>520700</wp:posOffset>
          </wp:positionH>
          <wp:positionV relativeFrom="page">
            <wp:posOffset>41113</wp:posOffset>
          </wp:positionV>
          <wp:extent cx="6624084" cy="712381"/>
          <wp:effectExtent l="0" t="0" r="0" b="0"/>
          <wp:wrapNone/>
          <wp:docPr id="119" name="Picture 11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624084" cy="7123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444B">
      <w:t xml:space="preserve">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1D5813" w14:textId="77777777" w:rsidR="00282011" w:rsidRDefault="0028201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E8FA12" w14:textId="77777777" w:rsidR="00282011" w:rsidRDefault="00282011">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755021" w14:textId="223EF249" w:rsidR="00282011" w:rsidRDefault="00282011" w:rsidP="00542349">
    <w:pPr>
      <w:pStyle w:val="Subtitleinternal"/>
    </w:pPr>
    <w:r>
      <w:rPr>
        <w:lang w:val="en-AU" w:eastAsia="en-AU"/>
      </w:rPr>
      <w:drawing>
        <wp:anchor distT="0" distB="0" distL="114300" distR="114300" simplePos="0" relativeHeight="251798016" behindDoc="1" locked="0" layoutInCell="1" allowOverlap="1" wp14:anchorId="748FA7E6" wp14:editId="1227DEEF">
          <wp:simplePos x="0" y="0"/>
          <wp:positionH relativeFrom="page">
            <wp:posOffset>517585</wp:posOffset>
          </wp:positionH>
          <wp:positionV relativeFrom="page">
            <wp:posOffset>43132</wp:posOffset>
          </wp:positionV>
          <wp:extent cx="9523562" cy="712489"/>
          <wp:effectExtent l="0" t="0" r="0" b="0"/>
          <wp:wrapNone/>
          <wp:docPr id="120" name="Picture 12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9522120" cy="7123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444B">
      <w:t xml:space="preserve">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09DE40" w14:textId="77777777" w:rsidR="00282011" w:rsidRDefault="00282011">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C7D1EA" w14:textId="77777777" w:rsidR="00282011" w:rsidRDefault="00282011">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4D9303" w14:textId="63E19B2E" w:rsidR="00282011" w:rsidRDefault="00282011" w:rsidP="00542349">
    <w:pPr>
      <w:pStyle w:val="Subtitleinternal"/>
    </w:pPr>
    <w:r>
      <w:rPr>
        <w:lang w:val="en-AU" w:eastAsia="en-AU"/>
      </w:rPr>
      <w:drawing>
        <wp:anchor distT="0" distB="0" distL="114300" distR="114300" simplePos="0" relativeHeight="251801088" behindDoc="1" locked="0" layoutInCell="1" allowOverlap="1" wp14:anchorId="410DB2A8" wp14:editId="458BA555">
          <wp:simplePos x="0" y="0"/>
          <wp:positionH relativeFrom="page">
            <wp:posOffset>520700</wp:posOffset>
          </wp:positionH>
          <wp:positionV relativeFrom="page">
            <wp:posOffset>41113</wp:posOffset>
          </wp:positionV>
          <wp:extent cx="6624084" cy="712381"/>
          <wp:effectExtent l="0" t="0" r="0" b="0"/>
          <wp:wrapNone/>
          <wp:docPr id="121" name="Picture 12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624084" cy="7123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444B">
      <w:t xml:space="preserve">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FB05A0" w14:textId="77777777" w:rsidR="00282011" w:rsidRDefault="00282011">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87B920" w14:textId="77777777" w:rsidR="00282011" w:rsidRDefault="00282011">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A4E7CD" w14:textId="610B2A8C" w:rsidR="00282011" w:rsidRDefault="00282011" w:rsidP="00542349">
    <w:pPr>
      <w:pStyle w:val="Subtitleinternal"/>
    </w:pPr>
    <w:r>
      <w:rPr>
        <w:lang w:val="en-AU" w:eastAsia="en-AU"/>
      </w:rPr>
      <w:drawing>
        <wp:anchor distT="0" distB="0" distL="114300" distR="114300" simplePos="0" relativeHeight="251804160" behindDoc="1" locked="0" layoutInCell="1" allowOverlap="1" wp14:anchorId="7C5D5BAA" wp14:editId="44A117F6">
          <wp:simplePos x="0" y="0"/>
          <wp:positionH relativeFrom="page">
            <wp:posOffset>517585</wp:posOffset>
          </wp:positionH>
          <wp:positionV relativeFrom="page">
            <wp:posOffset>43132</wp:posOffset>
          </wp:positionV>
          <wp:extent cx="9385540" cy="712489"/>
          <wp:effectExtent l="0" t="0" r="0" b="0"/>
          <wp:wrapNone/>
          <wp:docPr id="122" name="Picture 12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9384119" cy="7123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444B">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7F7E49" w14:textId="3C29EC81" w:rsidR="00282011" w:rsidRDefault="00282011" w:rsidP="000856A5">
    <w:pPr>
      <w:pStyle w:val="Header"/>
      <w:tabs>
        <w:tab w:val="clear" w:pos="4153"/>
        <w:tab w:val="clear" w:pos="8306"/>
        <w:tab w:val="center" w:pos="4156"/>
      </w:tabs>
    </w:pPr>
    <w:r w:rsidRPr="00B153C2">
      <w:rPr>
        <w:noProof/>
      </w:rPr>
      <w:drawing>
        <wp:anchor distT="0" distB="0" distL="114300" distR="114300" simplePos="0" relativeHeight="251654656" behindDoc="1" locked="0" layoutInCell="1" allowOverlap="1" wp14:anchorId="7C9BF35C" wp14:editId="474D6E35">
          <wp:simplePos x="0" y="0"/>
          <wp:positionH relativeFrom="column">
            <wp:posOffset>-1259205</wp:posOffset>
          </wp:positionH>
          <wp:positionV relativeFrom="paragraph">
            <wp:posOffset>-455295</wp:posOffset>
          </wp:positionV>
          <wp:extent cx="8246110" cy="10629900"/>
          <wp:effectExtent l="0" t="0" r="0" b="12700"/>
          <wp:wrapNone/>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l="9009" r="-9009"/>
                  <a:stretch/>
                </pic:blipFill>
                <pic:spPr bwMode="auto">
                  <a:xfrm>
                    <a:off x="0" y="0"/>
                    <a:ext cx="8246110" cy="1062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704" behindDoc="1" locked="0" layoutInCell="1" allowOverlap="1" wp14:anchorId="73E7D637" wp14:editId="6E3DA3C1">
          <wp:simplePos x="0" y="0"/>
          <wp:positionH relativeFrom="column">
            <wp:posOffset>-1144905</wp:posOffset>
          </wp:positionH>
          <wp:positionV relativeFrom="paragraph">
            <wp:posOffset>-455295</wp:posOffset>
          </wp:positionV>
          <wp:extent cx="7930515" cy="10744200"/>
          <wp:effectExtent l="0" t="0" r="0" b="0"/>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 Template.png"/>
                  <pic:cNvPicPr/>
                </pic:nvPicPr>
                <pic:blipFill rotWithShape="1">
                  <a:blip r:embed="rId2" cstate="print">
                    <a:extLst>
                      <a:ext uri="{28A0092B-C50C-407E-A947-70E740481C1C}">
                        <a14:useLocalDpi xmlns:a14="http://schemas.microsoft.com/office/drawing/2010/main" val="0"/>
                      </a:ext>
                    </a:extLst>
                  </a:blip>
                  <a:srcRect l="10990" t="2274" r="2534" b="2244"/>
                  <a:stretch/>
                </pic:blipFill>
                <pic:spPr bwMode="auto">
                  <a:xfrm>
                    <a:off x="0" y="0"/>
                    <a:ext cx="7930515" cy="1074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05D19B" w14:textId="77777777" w:rsidR="00282011" w:rsidRDefault="00282011">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2CA133" w14:textId="77777777" w:rsidR="00282011" w:rsidRDefault="00282011">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87C8AC" w14:textId="10D047D4" w:rsidR="00282011" w:rsidRDefault="00282011" w:rsidP="00542349">
    <w:pPr>
      <w:pStyle w:val="Subtitleinternal"/>
    </w:pPr>
    <w:r>
      <w:rPr>
        <w:lang w:val="en-AU" w:eastAsia="en-AU"/>
      </w:rPr>
      <w:drawing>
        <wp:anchor distT="0" distB="0" distL="114300" distR="114300" simplePos="0" relativeHeight="251807232" behindDoc="1" locked="0" layoutInCell="1" allowOverlap="1" wp14:anchorId="7F2A1033" wp14:editId="0BBC7632">
          <wp:simplePos x="0" y="0"/>
          <wp:positionH relativeFrom="page">
            <wp:posOffset>520700</wp:posOffset>
          </wp:positionH>
          <wp:positionV relativeFrom="page">
            <wp:posOffset>41113</wp:posOffset>
          </wp:positionV>
          <wp:extent cx="6624084" cy="712381"/>
          <wp:effectExtent l="0" t="0" r="0" b="0"/>
          <wp:wrapNone/>
          <wp:docPr id="123" name="Picture 12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624084" cy="7123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444B">
      <w:t xml:space="preserve"> </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5CAE0B" w14:textId="77777777" w:rsidR="00282011" w:rsidRDefault="00282011">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B3CDDB" w14:textId="77777777" w:rsidR="00282011" w:rsidRDefault="00282011">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E1E2C6" w14:textId="216044C4" w:rsidR="00282011" w:rsidRDefault="00282011" w:rsidP="00542349">
    <w:pPr>
      <w:pStyle w:val="Subtitleinternal"/>
    </w:pPr>
    <w:r>
      <w:rPr>
        <w:lang w:val="en-AU" w:eastAsia="en-AU"/>
      </w:rPr>
      <w:drawing>
        <wp:anchor distT="0" distB="0" distL="114300" distR="114300" simplePos="0" relativeHeight="251810304" behindDoc="1" locked="0" layoutInCell="1" allowOverlap="1" wp14:anchorId="77C5B27F" wp14:editId="56F7A8C9">
          <wp:simplePos x="0" y="0"/>
          <wp:positionH relativeFrom="page">
            <wp:posOffset>517585</wp:posOffset>
          </wp:positionH>
          <wp:positionV relativeFrom="page">
            <wp:posOffset>43132</wp:posOffset>
          </wp:positionV>
          <wp:extent cx="9575321" cy="712489"/>
          <wp:effectExtent l="0" t="0" r="0" b="0"/>
          <wp:wrapNone/>
          <wp:docPr id="124" name="Picture 12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9573871" cy="7123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444B">
      <w:t xml:space="preserve">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A019FA" w14:textId="77777777" w:rsidR="00282011" w:rsidRDefault="00282011">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61601B" w14:textId="77777777" w:rsidR="00282011" w:rsidRDefault="00282011">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BE23AE" w14:textId="5C4E4C86" w:rsidR="00282011" w:rsidRDefault="00282011" w:rsidP="00542349">
    <w:pPr>
      <w:pStyle w:val="Subtitleinternal"/>
    </w:pPr>
    <w:r>
      <w:rPr>
        <w:lang w:val="en-AU" w:eastAsia="en-AU"/>
      </w:rPr>
      <w:drawing>
        <wp:anchor distT="0" distB="0" distL="114300" distR="114300" simplePos="0" relativeHeight="251813376" behindDoc="1" locked="0" layoutInCell="1" allowOverlap="1" wp14:anchorId="0E6BBEE1" wp14:editId="56866A2B">
          <wp:simplePos x="0" y="0"/>
          <wp:positionH relativeFrom="page">
            <wp:posOffset>520700</wp:posOffset>
          </wp:positionH>
          <wp:positionV relativeFrom="page">
            <wp:posOffset>41113</wp:posOffset>
          </wp:positionV>
          <wp:extent cx="6624084" cy="712381"/>
          <wp:effectExtent l="0" t="0" r="0" b="0"/>
          <wp:wrapNone/>
          <wp:docPr id="125" name="Picture 12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624084" cy="7123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444B">
      <w:t xml:space="preserve"> </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C4863A" w14:textId="77777777" w:rsidR="00282011" w:rsidRDefault="0028201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60EBC5" w14:textId="77777777" w:rsidR="00282011" w:rsidRDefault="00282011">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D9DE68" w14:textId="77777777" w:rsidR="00282011" w:rsidRDefault="00282011">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5F5189" w14:textId="42DAA3C5" w:rsidR="00282011" w:rsidRDefault="00282011" w:rsidP="00542349">
    <w:pPr>
      <w:pStyle w:val="Subtitleinternal"/>
    </w:pPr>
    <w:r>
      <w:rPr>
        <w:lang w:val="en-AU" w:eastAsia="en-AU"/>
      </w:rPr>
      <w:drawing>
        <wp:anchor distT="0" distB="0" distL="114300" distR="114300" simplePos="0" relativeHeight="251693568" behindDoc="1" locked="0" layoutInCell="1" allowOverlap="1" wp14:anchorId="5DC7D25A" wp14:editId="27260A5C">
          <wp:simplePos x="0" y="0"/>
          <wp:positionH relativeFrom="page">
            <wp:posOffset>457200</wp:posOffset>
          </wp:positionH>
          <wp:positionV relativeFrom="page">
            <wp:posOffset>0</wp:posOffset>
          </wp:positionV>
          <wp:extent cx="9715500" cy="711835"/>
          <wp:effectExtent l="0" t="0" r="0" b="0"/>
          <wp:wrapNone/>
          <wp:docPr id="126" name="Picture 12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9722952" cy="7123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444B">
      <w:t xml:space="preserve">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44F056" w14:textId="77777777" w:rsidR="00282011" w:rsidRDefault="00282011">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975E02" w14:textId="77777777" w:rsidR="00282011" w:rsidRDefault="00282011">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F4CD8E" w14:textId="46D6B37E" w:rsidR="00282011" w:rsidRDefault="00282011" w:rsidP="00542349">
    <w:pPr>
      <w:pStyle w:val="Subtitleinternal"/>
    </w:pPr>
    <w:r>
      <w:rPr>
        <w:lang w:val="en-AU" w:eastAsia="en-AU"/>
      </w:rPr>
      <w:drawing>
        <wp:anchor distT="0" distB="0" distL="114300" distR="114300" simplePos="0" relativeHeight="251690496" behindDoc="1" locked="0" layoutInCell="1" allowOverlap="1" wp14:anchorId="797EB9AB" wp14:editId="0DA5C358">
          <wp:simplePos x="0" y="0"/>
          <wp:positionH relativeFrom="page">
            <wp:posOffset>520700</wp:posOffset>
          </wp:positionH>
          <wp:positionV relativeFrom="page">
            <wp:posOffset>41113</wp:posOffset>
          </wp:positionV>
          <wp:extent cx="6624084" cy="712381"/>
          <wp:effectExtent l="0" t="0" r="0" b="0"/>
          <wp:wrapNone/>
          <wp:docPr id="127" name="Picture 12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624084" cy="71238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F40F98" w14:textId="77777777" w:rsidR="00282011" w:rsidRDefault="00282011">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FB9340" w14:textId="77777777" w:rsidR="00282011" w:rsidRDefault="00282011">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0A9D34" w14:textId="5A0428BF" w:rsidR="00282011" w:rsidRDefault="00282011" w:rsidP="00542349">
    <w:pPr>
      <w:pStyle w:val="Subtitleinternal"/>
    </w:pPr>
    <w:r>
      <w:rPr>
        <w:lang w:val="en-AU" w:eastAsia="en-AU"/>
      </w:rPr>
      <w:drawing>
        <wp:anchor distT="0" distB="0" distL="114300" distR="114300" simplePos="0" relativeHeight="251696640" behindDoc="1" locked="0" layoutInCell="1" allowOverlap="1" wp14:anchorId="4B3DCA34" wp14:editId="5F9146F1">
          <wp:simplePos x="0" y="0"/>
          <wp:positionH relativeFrom="page">
            <wp:posOffset>520700</wp:posOffset>
          </wp:positionH>
          <wp:positionV relativeFrom="page">
            <wp:posOffset>40640</wp:posOffset>
          </wp:positionV>
          <wp:extent cx="9766300" cy="711835"/>
          <wp:effectExtent l="0" t="0" r="0" b="0"/>
          <wp:wrapNone/>
          <wp:docPr id="224" name="Picture 22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9773791" cy="71238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E458A5" w14:textId="77777777" w:rsidR="00282011" w:rsidRDefault="00282011">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C685A4" w14:textId="77777777" w:rsidR="00282011" w:rsidRDefault="0028201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19497F" w14:textId="1B044C48" w:rsidR="00282011" w:rsidRDefault="00282011" w:rsidP="00542349">
    <w:pPr>
      <w:pStyle w:val="Subtitleinternal"/>
    </w:pPr>
    <w:r>
      <w:rPr>
        <w:lang w:val="en-AU" w:eastAsia="en-AU"/>
      </w:rPr>
      <w:drawing>
        <wp:anchor distT="0" distB="0" distL="114300" distR="114300" simplePos="0" relativeHeight="251678208" behindDoc="1" locked="0" layoutInCell="1" allowOverlap="1" wp14:anchorId="77256A6B" wp14:editId="6E26CC93">
          <wp:simplePos x="0" y="0"/>
          <wp:positionH relativeFrom="page">
            <wp:posOffset>20955</wp:posOffset>
          </wp:positionH>
          <wp:positionV relativeFrom="page">
            <wp:posOffset>10160</wp:posOffset>
          </wp:positionV>
          <wp:extent cx="10377170" cy="719455"/>
          <wp:effectExtent l="0" t="0" r="0" b="0"/>
          <wp:wrapNone/>
          <wp:docPr id="114" name="Picture 11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10377170"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t>Pelican 3D Marine Seismic Survey Environment Plan</w:t>
    </w:r>
    <w:r w:rsidRPr="009B444B">
      <w:t xml:space="preserve"> </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6E7F00" w14:textId="3C06D048" w:rsidR="00282011" w:rsidRDefault="00282011" w:rsidP="00542349">
    <w:pPr>
      <w:pStyle w:val="Subtitleinternal"/>
    </w:pPr>
    <w:r>
      <w:rPr>
        <w:lang w:val="en-AU" w:eastAsia="en-AU"/>
      </w:rPr>
      <w:drawing>
        <wp:anchor distT="0" distB="0" distL="114300" distR="114300" simplePos="0" relativeHeight="251699712" behindDoc="1" locked="0" layoutInCell="1" allowOverlap="1" wp14:anchorId="1E0ACD90" wp14:editId="4C767F9F">
          <wp:simplePos x="0" y="0"/>
          <wp:positionH relativeFrom="page">
            <wp:posOffset>228600</wp:posOffset>
          </wp:positionH>
          <wp:positionV relativeFrom="page">
            <wp:posOffset>167640</wp:posOffset>
          </wp:positionV>
          <wp:extent cx="6858000" cy="711835"/>
          <wp:effectExtent l="0" t="0" r="0" b="0"/>
          <wp:wrapNone/>
          <wp:docPr id="225" name="Picture 22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83CAA6" w14:textId="77777777" w:rsidR="00282011" w:rsidRDefault="00282011">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7E03F1" w14:textId="77777777" w:rsidR="00282011" w:rsidRDefault="00282011">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EB3E57" w14:textId="334ACF5D" w:rsidR="00282011" w:rsidRDefault="00282011" w:rsidP="00542349">
    <w:pPr>
      <w:pStyle w:val="Subtitleinternal"/>
    </w:pPr>
    <w:r>
      <w:rPr>
        <w:lang w:val="en-AU" w:eastAsia="en-AU"/>
      </w:rPr>
      <w:drawing>
        <wp:anchor distT="0" distB="0" distL="114300" distR="114300" simplePos="0" relativeHeight="251712000" behindDoc="1" locked="0" layoutInCell="1" allowOverlap="1" wp14:anchorId="51C38AB6" wp14:editId="55AD52BD">
          <wp:simplePos x="0" y="0"/>
          <wp:positionH relativeFrom="page">
            <wp:posOffset>228600</wp:posOffset>
          </wp:positionH>
          <wp:positionV relativeFrom="page">
            <wp:posOffset>167640</wp:posOffset>
          </wp:positionV>
          <wp:extent cx="6858000" cy="711835"/>
          <wp:effectExtent l="0" t="0" r="0" b="0"/>
          <wp:wrapNone/>
          <wp:docPr id="226" name="Picture 22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4EBA9E" w14:textId="77777777" w:rsidR="00282011" w:rsidRDefault="00282011">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DE470" w14:textId="77777777" w:rsidR="00282011" w:rsidRDefault="00282011">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05A0CA" w14:textId="5801EA91" w:rsidR="00282011" w:rsidRDefault="00282011" w:rsidP="00542349">
    <w:pPr>
      <w:pStyle w:val="Subtitleinternal"/>
    </w:pPr>
    <w:r>
      <w:rPr>
        <w:lang w:val="en-AU" w:eastAsia="en-AU"/>
      </w:rPr>
      <w:drawing>
        <wp:anchor distT="0" distB="0" distL="114300" distR="114300" simplePos="0" relativeHeight="251715072" behindDoc="1" locked="0" layoutInCell="1" allowOverlap="1" wp14:anchorId="05F64033" wp14:editId="07D945AD">
          <wp:simplePos x="0" y="0"/>
          <wp:positionH relativeFrom="page">
            <wp:posOffset>228600</wp:posOffset>
          </wp:positionH>
          <wp:positionV relativeFrom="page">
            <wp:posOffset>167640</wp:posOffset>
          </wp:positionV>
          <wp:extent cx="10172700" cy="711835"/>
          <wp:effectExtent l="0" t="0" r="0" b="0"/>
          <wp:wrapNone/>
          <wp:docPr id="229" name="Picture 22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101727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E859A6" w14:textId="77777777" w:rsidR="00282011" w:rsidRDefault="00282011">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AC5F01" w14:textId="77777777" w:rsidR="00282011" w:rsidRDefault="00282011">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C94AA6" w14:textId="6D3DFD0B" w:rsidR="00282011" w:rsidRDefault="00282011" w:rsidP="00542349">
    <w:pPr>
      <w:pStyle w:val="Subtitleinternal"/>
    </w:pPr>
    <w:r>
      <w:rPr>
        <w:lang w:val="en-AU" w:eastAsia="en-AU"/>
      </w:rPr>
      <w:drawing>
        <wp:anchor distT="0" distB="0" distL="114300" distR="114300" simplePos="0" relativeHeight="251718144" behindDoc="1" locked="0" layoutInCell="1" allowOverlap="1" wp14:anchorId="72416DAF" wp14:editId="5319D94B">
          <wp:simplePos x="0" y="0"/>
          <wp:positionH relativeFrom="page">
            <wp:posOffset>228600</wp:posOffset>
          </wp:positionH>
          <wp:positionV relativeFrom="page">
            <wp:posOffset>167640</wp:posOffset>
          </wp:positionV>
          <wp:extent cx="6858000" cy="711835"/>
          <wp:effectExtent l="0" t="0" r="0" b="0"/>
          <wp:wrapNone/>
          <wp:docPr id="230" name="Picture 23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AAD100" w14:textId="77777777" w:rsidR="00282011" w:rsidRDefault="00282011">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E53A3" w14:textId="77777777" w:rsidR="00282011" w:rsidRDefault="00282011">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77B954" w14:textId="77777777" w:rsidR="00282011" w:rsidRDefault="00282011">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BFB3BB" w14:textId="77777777" w:rsidR="00282011" w:rsidRDefault="00282011" w:rsidP="00542349">
    <w:pPr>
      <w:pStyle w:val="Subtitleinternal"/>
    </w:pPr>
    <w:r>
      <w:rPr>
        <w:lang w:val="en-AU" w:eastAsia="en-AU"/>
      </w:rPr>
      <w:drawing>
        <wp:anchor distT="0" distB="0" distL="114300" distR="114300" simplePos="0" relativeHeight="251721216" behindDoc="1" locked="0" layoutInCell="1" allowOverlap="1" wp14:anchorId="265EC50F" wp14:editId="00F3448E">
          <wp:simplePos x="0" y="0"/>
          <wp:positionH relativeFrom="page">
            <wp:posOffset>228600</wp:posOffset>
          </wp:positionH>
          <wp:positionV relativeFrom="page">
            <wp:posOffset>167640</wp:posOffset>
          </wp:positionV>
          <wp:extent cx="10287000" cy="711835"/>
          <wp:effectExtent l="0" t="0" r="0" b="0"/>
          <wp:wrapNone/>
          <wp:docPr id="231" name="Picture 23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10287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1C4D">
      <w:rPr>
        <w:lang w:eastAsia="zh-TW"/>
      </w:rPr>
      <w:pict w14:anchorId="76A07B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4" type="#_x0000_t136" style="position:absolute;margin-left:0;margin-top:0;width:412.4pt;height:247.45pt;rotation:315;z-index:-251594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D7CB5A" w14:textId="77777777" w:rsidR="00282011" w:rsidRDefault="00282011">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7177BF" w14:textId="77777777" w:rsidR="00282011" w:rsidRDefault="00282011">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475622" w14:textId="388F2426" w:rsidR="00282011" w:rsidRDefault="00282011" w:rsidP="00542349">
    <w:pPr>
      <w:pStyle w:val="Subtitleinternal"/>
    </w:pPr>
    <w:r>
      <w:rPr>
        <w:lang w:val="en-AU" w:eastAsia="en-AU"/>
      </w:rPr>
      <w:drawing>
        <wp:anchor distT="0" distB="0" distL="114300" distR="114300" simplePos="0" relativeHeight="251724288" behindDoc="1" locked="0" layoutInCell="1" allowOverlap="1" wp14:anchorId="56BFFCCA" wp14:editId="1E51B231">
          <wp:simplePos x="0" y="0"/>
          <wp:positionH relativeFrom="page">
            <wp:posOffset>228600</wp:posOffset>
          </wp:positionH>
          <wp:positionV relativeFrom="page">
            <wp:posOffset>167640</wp:posOffset>
          </wp:positionV>
          <wp:extent cx="6858000" cy="711835"/>
          <wp:effectExtent l="0" t="0" r="0" b="0"/>
          <wp:wrapNone/>
          <wp:docPr id="232" name="Picture 23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C42F2A" w14:textId="77777777" w:rsidR="00282011" w:rsidRDefault="00282011">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139F2F" w14:textId="77777777" w:rsidR="00282011" w:rsidRDefault="00282011">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DB2B3C" w14:textId="0A01435C" w:rsidR="00282011" w:rsidRDefault="00282011" w:rsidP="00542349">
    <w:pPr>
      <w:pStyle w:val="Subtitleinternal"/>
    </w:pPr>
    <w:r>
      <w:rPr>
        <w:lang w:val="en-AU" w:eastAsia="en-AU"/>
      </w:rPr>
      <w:drawing>
        <wp:anchor distT="0" distB="0" distL="114300" distR="114300" simplePos="0" relativeHeight="251727360" behindDoc="1" locked="0" layoutInCell="1" allowOverlap="1" wp14:anchorId="2616842A" wp14:editId="307B8399">
          <wp:simplePos x="0" y="0"/>
          <wp:positionH relativeFrom="page">
            <wp:posOffset>228600</wp:posOffset>
          </wp:positionH>
          <wp:positionV relativeFrom="page">
            <wp:posOffset>167640</wp:posOffset>
          </wp:positionV>
          <wp:extent cx="10172700" cy="711835"/>
          <wp:effectExtent l="0" t="0" r="0" b="0"/>
          <wp:wrapNone/>
          <wp:docPr id="233" name="Picture 23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101727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460B18" w14:textId="77777777" w:rsidR="00282011" w:rsidRDefault="0028201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EF722F" w14:textId="77777777" w:rsidR="00282011" w:rsidRDefault="00282011">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39973A" w14:textId="77777777" w:rsidR="00282011" w:rsidRDefault="00282011">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E818FC" w14:textId="08038490" w:rsidR="00282011" w:rsidRDefault="00282011" w:rsidP="00542349">
    <w:pPr>
      <w:pStyle w:val="Subtitleinternal"/>
    </w:pPr>
    <w:r>
      <w:rPr>
        <w:lang w:val="en-AU" w:eastAsia="en-AU"/>
      </w:rPr>
      <w:drawing>
        <wp:anchor distT="0" distB="0" distL="114300" distR="114300" simplePos="0" relativeHeight="251730432" behindDoc="1" locked="0" layoutInCell="1" allowOverlap="1" wp14:anchorId="7813432D" wp14:editId="16050811">
          <wp:simplePos x="0" y="0"/>
          <wp:positionH relativeFrom="page">
            <wp:posOffset>228600</wp:posOffset>
          </wp:positionH>
          <wp:positionV relativeFrom="page">
            <wp:posOffset>167640</wp:posOffset>
          </wp:positionV>
          <wp:extent cx="6858000" cy="711835"/>
          <wp:effectExtent l="0" t="0" r="0" b="0"/>
          <wp:wrapNone/>
          <wp:docPr id="234" name="Picture 23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067AC5" w14:textId="77777777" w:rsidR="00282011" w:rsidRDefault="00282011">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F46BCE" w14:textId="77777777" w:rsidR="00282011" w:rsidRDefault="00282011">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EAC3A1" w14:textId="77777777" w:rsidR="00282011" w:rsidRDefault="00282011" w:rsidP="00542349">
    <w:pPr>
      <w:pStyle w:val="Subtitleinternal"/>
    </w:pPr>
    <w:r>
      <w:rPr>
        <w:lang w:val="en-AU" w:eastAsia="en-AU"/>
      </w:rPr>
      <w:drawing>
        <wp:anchor distT="0" distB="0" distL="114300" distR="114300" simplePos="0" relativeHeight="251733504" behindDoc="1" locked="0" layoutInCell="1" allowOverlap="1" wp14:anchorId="435FC2B7" wp14:editId="2DF5C276">
          <wp:simplePos x="0" y="0"/>
          <wp:positionH relativeFrom="page">
            <wp:posOffset>228600</wp:posOffset>
          </wp:positionH>
          <wp:positionV relativeFrom="page">
            <wp:posOffset>167640</wp:posOffset>
          </wp:positionV>
          <wp:extent cx="10058400" cy="711835"/>
          <wp:effectExtent l="0" t="0" r="0" b="0"/>
          <wp:wrapNone/>
          <wp:docPr id="235" name="Picture 23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100584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1C4D">
      <w:rPr>
        <w:lang w:eastAsia="zh-TW"/>
      </w:rPr>
      <w:pict w14:anchorId="62A7300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8" type="#_x0000_t136" style="position:absolute;margin-left:0;margin-top:0;width:412.4pt;height:247.45pt;rotation:315;z-index:-2515819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0BDBD8" w14:textId="77777777" w:rsidR="00282011" w:rsidRDefault="00282011">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458EA6" w14:textId="77777777" w:rsidR="00282011" w:rsidRDefault="00282011">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C1D9FF" w14:textId="6CE821CB" w:rsidR="00282011" w:rsidRDefault="00282011" w:rsidP="00542349">
    <w:pPr>
      <w:pStyle w:val="Subtitleinternal"/>
    </w:pPr>
    <w:r>
      <w:rPr>
        <w:lang w:val="en-AU" w:eastAsia="en-AU"/>
      </w:rPr>
      <w:drawing>
        <wp:anchor distT="0" distB="0" distL="114300" distR="114300" simplePos="0" relativeHeight="251819520" behindDoc="1" locked="0" layoutInCell="1" allowOverlap="1" wp14:anchorId="20D4F357" wp14:editId="24881312">
          <wp:simplePos x="0" y="0"/>
          <wp:positionH relativeFrom="page">
            <wp:posOffset>228600</wp:posOffset>
          </wp:positionH>
          <wp:positionV relativeFrom="page">
            <wp:posOffset>167640</wp:posOffset>
          </wp:positionV>
          <wp:extent cx="6858000" cy="711835"/>
          <wp:effectExtent l="0" t="0" r="0" b="0"/>
          <wp:wrapNone/>
          <wp:docPr id="236" name="Picture 23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F07C86" w14:textId="77777777" w:rsidR="00282011" w:rsidRDefault="00282011">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B857D4" w14:textId="77777777" w:rsidR="00282011" w:rsidRDefault="0028201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C92FB" w14:textId="06F3FCBC" w:rsidR="00282011" w:rsidRDefault="00282011" w:rsidP="00542349">
    <w:pPr>
      <w:pStyle w:val="Subtitleinternal"/>
    </w:pPr>
    <w:r>
      <w:rPr>
        <w:lang w:val="en-AU" w:eastAsia="en-AU"/>
      </w:rPr>
      <w:drawing>
        <wp:anchor distT="0" distB="0" distL="114300" distR="114300" simplePos="0" relativeHeight="251675136" behindDoc="1" locked="0" layoutInCell="1" allowOverlap="1" wp14:anchorId="27EF75EF" wp14:editId="5499BA73">
          <wp:simplePos x="0" y="0"/>
          <wp:positionH relativeFrom="page">
            <wp:posOffset>520700</wp:posOffset>
          </wp:positionH>
          <wp:positionV relativeFrom="page">
            <wp:posOffset>41113</wp:posOffset>
          </wp:positionV>
          <wp:extent cx="6624084" cy="712381"/>
          <wp:effectExtent l="0" t="0" r="0" b="0"/>
          <wp:wrapNone/>
          <wp:docPr id="115" name="Picture 11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624084" cy="712381"/>
                  </a:xfrm>
                  <a:prstGeom prst="rect">
                    <a:avLst/>
                  </a:prstGeom>
                  <a:noFill/>
                  <a:ln>
                    <a:noFill/>
                  </a:ln>
                </pic:spPr>
              </pic:pic>
            </a:graphicData>
          </a:graphic>
          <wp14:sizeRelH relativeFrom="margin">
            <wp14:pctWidth>0</wp14:pctWidth>
          </wp14:sizeRelH>
          <wp14:sizeRelV relativeFrom="margin">
            <wp14:pctHeight>0</wp14:pctHeight>
          </wp14:sizeRelV>
        </wp:anchor>
      </w:drawing>
    </w:r>
    <w:r>
      <w:t>Pelican 3D Marine Seismic Survey Environment Plan</w:t>
    </w:r>
    <w:r w:rsidRPr="009B444B">
      <w:t xml:space="preserve"> </w: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EEA48C" w14:textId="20656A39" w:rsidR="00282011" w:rsidRDefault="00282011" w:rsidP="00542349">
    <w:pPr>
      <w:pStyle w:val="Subtitleinternal"/>
    </w:pPr>
    <w:r>
      <w:rPr>
        <w:lang w:val="en-AU" w:eastAsia="en-AU"/>
      </w:rPr>
      <w:drawing>
        <wp:anchor distT="0" distB="0" distL="114300" distR="114300" simplePos="0" relativeHeight="251739648" behindDoc="1" locked="0" layoutInCell="1" allowOverlap="1" wp14:anchorId="342B5C30" wp14:editId="0B9A9E37">
          <wp:simplePos x="0" y="0"/>
          <wp:positionH relativeFrom="page">
            <wp:posOffset>228600</wp:posOffset>
          </wp:positionH>
          <wp:positionV relativeFrom="page">
            <wp:posOffset>167640</wp:posOffset>
          </wp:positionV>
          <wp:extent cx="10058400" cy="711835"/>
          <wp:effectExtent l="0" t="0" r="0" b="0"/>
          <wp:wrapNone/>
          <wp:docPr id="237" name="Picture 23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100584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08DAB4" w14:textId="77777777" w:rsidR="00282011" w:rsidRDefault="00282011">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EF6CA7" w14:textId="77777777" w:rsidR="00282011" w:rsidRDefault="00282011">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1C4294" w14:textId="6DA8E1C0" w:rsidR="00282011" w:rsidRDefault="00282011" w:rsidP="00542349">
    <w:pPr>
      <w:pStyle w:val="Subtitleinternal"/>
    </w:pPr>
    <w:r>
      <w:rPr>
        <w:lang w:val="en-AU" w:eastAsia="en-AU"/>
      </w:rPr>
      <w:drawing>
        <wp:anchor distT="0" distB="0" distL="114300" distR="114300" simplePos="0" relativeHeight="251742720" behindDoc="1" locked="0" layoutInCell="1" allowOverlap="1" wp14:anchorId="6032D8FE" wp14:editId="19BB6F14">
          <wp:simplePos x="0" y="0"/>
          <wp:positionH relativeFrom="page">
            <wp:posOffset>228600</wp:posOffset>
          </wp:positionH>
          <wp:positionV relativeFrom="page">
            <wp:posOffset>167640</wp:posOffset>
          </wp:positionV>
          <wp:extent cx="6858000" cy="711835"/>
          <wp:effectExtent l="0" t="0" r="0" b="0"/>
          <wp:wrapNone/>
          <wp:docPr id="238" name="Picture 23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8C02EB" w14:textId="77777777" w:rsidR="00282011" w:rsidRDefault="00282011">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4598A8" w14:textId="77777777" w:rsidR="00282011" w:rsidRDefault="00282011">
    <w:pPr>
      <w:pStyle w:val="Heade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9B8C94" w14:textId="02E962D0" w:rsidR="00282011" w:rsidRDefault="00282011" w:rsidP="00542349">
    <w:pPr>
      <w:pStyle w:val="Subtitleinternal"/>
    </w:pPr>
    <w:r>
      <w:rPr>
        <w:lang w:val="en-AU" w:eastAsia="en-AU"/>
      </w:rPr>
      <w:drawing>
        <wp:anchor distT="0" distB="0" distL="114300" distR="114300" simplePos="0" relativeHeight="251745792" behindDoc="1" locked="0" layoutInCell="1" allowOverlap="1" wp14:anchorId="776CEFD1" wp14:editId="4EA90915">
          <wp:simplePos x="0" y="0"/>
          <wp:positionH relativeFrom="page">
            <wp:posOffset>228600</wp:posOffset>
          </wp:positionH>
          <wp:positionV relativeFrom="page">
            <wp:posOffset>167640</wp:posOffset>
          </wp:positionV>
          <wp:extent cx="10058400" cy="711835"/>
          <wp:effectExtent l="0" t="0" r="0" b="0"/>
          <wp:wrapNone/>
          <wp:docPr id="239" name="Picture 23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100584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B037D2" w14:textId="77777777" w:rsidR="00282011" w:rsidRDefault="00282011">
    <w:pPr>
      <w:pStyle w:val="Heade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1FBEBA" w14:textId="77777777" w:rsidR="00282011" w:rsidRDefault="00282011">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CE1BF3" w14:textId="62D22C71" w:rsidR="00282011" w:rsidRDefault="00282011" w:rsidP="00542349">
    <w:pPr>
      <w:pStyle w:val="Subtitleinternal"/>
    </w:pPr>
    <w:r>
      <w:rPr>
        <w:lang w:val="en-AU" w:eastAsia="en-AU"/>
      </w:rPr>
      <w:drawing>
        <wp:anchor distT="0" distB="0" distL="114300" distR="114300" simplePos="0" relativeHeight="251748864" behindDoc="1" locked="0" layoutInCell="1" allowOverlap="1" wp14:anchorId="7513295E" wp14:editId="7B26F128">
          <wp:simplePos x="0" y="0"/>
          <wp:positionH relativeFrom="page">
            <wp:posOffset>228600</wp:posOffset>
          </wp:positionH>
          <wp:positionV relativeFrom="page">
            <wp:posOffset>167640</wp:posOffset>
          </wp:positionV>
          <wp:extent cx="6858000" cy="711835"/>
          <wp:effectExtent l="0" t="0" r="0" b="0"/>
          <wp:wrapNone/>
          <wp:docPr id="240" name="Picture 24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8F652B" w14:textId="77777777" w:rsidR="00282011" w:rsidRDefault="00282011">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A641BE" w14:textId="77777777" w:rsidR="00282011" w:rsidRDefault="00282011">
    <w:pPr>
      <w:pStyle w:val="Heade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C2175" w14:textId="77777777" w:rsidR="00282011" w:rsidRDefault="00282011">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439195" w14:textId="33FFE4CF" w:rsidR="00282011" w:rsidRDefault="00282011" w:rsidP="00542349">
    <w:pPr>
      <w:pStyle w:val="Subtitleinternal"/>
    </w:pPr>
    <w:r>
      <w:rPr>
        <w:lang w:val="en-AU" w:eastAsia="en-AU"/>
      </w:rPr>
      <w:drawing>
        <wp:anchor distT="0" distB="0" distL="114300" distR="114300" simplePos="0" relativeHeight="251751936" behindDoc="1" locked="0" layoutInCell="1" allowOverlap="1" wp14:anchorId="4C34DCB1" wp14:editId="3234F21F">
          <wp:simplePos x="0" y="0"/>
          <wp:positionH relativeFrom="page">
            <wp:posOffset>228600</wp:posOffset>
          </wp:positionH>
          <wp:positionV relativeFrom="page">
            <wp:posOffset>167640</wp:posOffset>
          </wp:positionV>
          <wp:extent cx="10058400" cy="711835"/>
          <wp:effectExtent l="0" t="0" r="0" b="0"/>
          <wp:wrapNone/>
          <wp:docPr id="241" name="Picture 24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100584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E863BE" w14:textId="77777777" w:rsidR="00282011" w:rsidRDefault="00282011">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FE4218" w14:textId="77777777" w:rsidR="00282011" w:rsidRDefault="00282011">
    <w:pPr>
      <w:pStyle w:val="Heade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9A5FBE" w14:textId="7AF9B967" w:rsidR="00282011" w:rsidRDefault="00282011" w:rsidP="00542349">
    <w:pPr>
      <w:pStyle w:val="Subtitleinternal"/>
    </w:pPr>
    <w:r>
      <w:rPr>
        <w:lang w:val="en-AU" w:eastAsia="en-AU"/>
      </w:rPr>
      <w:drawing>
        <wp:anchor distT="0" distB="0" distL="114300" distR="114300" simplePos="0" relativeHeight="251755008" behindDoc="1" locked="0" layoutInCell="1" allowOverlap="1" wp14:anchorId="5957EA2B" wp14:editId="1CBF4DEA">
          <wp:simplePos x="0" y="0"/>
          <wp:positionH relativeFrom="page">
            <wp:posOffset>228600</wp:posOffset>
          </wp:positionH>
          <wp:positionV relativeFrom="page">
            <wp:posOffset>167640</wp:posOffset>
          </wp:positionV>
          <wp:extent cx="6858000" cy="711835"/>
          <wp:effectExtent l="0" t="0" r="0" b="0"/>
          <wp:wrapNone/>
          <wp:docPr id="242" name="Picture 24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685800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63FE27" w14:textId="77777777" w:rsidR="00282011" w:rsidRDefault="00282011">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666C42" w14:textId="77777777" w:rsidR="00282011" w:rsidRDefault="00282011">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802BFD" w14:textId="77777777" w:rsidR="00282011" w:rsidRDefault="00282011" w:rsidP="00542349">
    <w:pPr>
      <w:pStyle w:val="Subtitleinternal"/>
    </w:pPr>
    <w:r>
      <w:rPr>
        <w:lang w:val="en-AU" w:eastAsia="en-AU"/>
      </w:rPr>
      <w:drawing>
        <wp:anchor distT="0" distB="0" distL="114300" distR="114300" simplePos="0" relativeHeight="251822592" behindDoc="1" locked="0" layoutInCell="1" allowOverlap="1" wp14:anchorId="3F245CD5" wp14:editId="417053BE">
          <wp:simplePos x="0" y="0"/>
          <wp:positionH relativeFrom="page">
            <wp:posOffset>232912</wp:posOffset>
          </wp:positionH>
          <wp:positionV relativeFrom="page">
            <wp:posOffset>163902</wp:posOffset>
          </wp:positionV>
          <wp:extent cx="9998015" cy="711835"/>
          <wp:effectExtent l="0" t="0" r="0" b="0"/>
          <wp:wrapNone/>
          <wp:docPr id="243" name="Picture 24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20Elements/Header.png"/>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9998015" cy="711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1C4D">
      <w:rPr>
        <w:lang w:eastAsia="zh-TW"/>
      </w:rPr>
      <w:pict w14:anchorId="4098A8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07" type="#_x0000_t136" style="position:absolute;margin-left:0;margin-top:0;width:412.4pt;height:247.45pt;rotation:315;z-index:-25149286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B5B15E" w14:textId="77777777" w:rsidR="00282011" w:rsidRDefault="0028201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B8EE059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F24E1AC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7842F4A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40EE563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9F948842"/>
    <w:lvl w:ilvl="0">
      <w:start w:val="1"/>
      <w:numFmt w:val="bullet"/>
      <w:pStyle w:val="ListBullet5"/>
      <w:lvlText w:val=""/>
      <w:lvlJc w:val="left"/>
      <w:pPr>
        <w:ind w:left="1492" w:hanging="360"/>
      </w:pPr>
      <w:rPr>
        <w:rFonts w:ascii="Symbol" w:hAnsi="Symbol" w:hint="default"/>
        <w:color w:val="C41425"/>
      </w:rPr>
    </w:lvl>
  </w:abstractNum>
  <w:abstractNum w:abstractNumId="5" w15:restartNumberingAfterBreak="0">
    <w:nsid w:val="FFFFFF81"/>
    <w:multiLevelType w:val="singleLevel"/>
    <w:tmpl w:val="F1BC419A"/>
    <w:lvl w:ilvl="0">
      <w:start w:val="1"/>
      <w:numFmt w:val="bullet"/>
      <w:pStyle w:val="ListBullet4"/>
      <w:lvlText w:val=""/>
      <w:lvlJc w:val="left"/>
      <w:pPr>
        <w:ind w:left="1209" w:hanging="360"/>
      </w:pPr>
      <w:rPr>
        <w:rFonts w:ascii="Symbol" w:hAnsi="Symbol" w:hint="default"/>
        <w:color w:val="C41425"/>
      </w:rPr>
    </w:lvl>
  </w:abstractNum>
  <w:abstractNum w:abstractNumId="6" w15:restartNumberingAfterBreak="0">
    <w:nsid w:val="FFFFFF83"/>
    <w:multiLevelType w:val="singleLevel"/>
    <w:tmpl w:val="9E80FDE8"/>
    <w:lvl w:ilvl="0">
      <w:start w:val="1"/>
      <w:numFmt w:val="bullet"/>
      <w:pStyle w:val="ListBullet2"/>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C330AA34"/>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74E84C7A"/>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09879E1"/>
    <w:multiLevelType w:val="hybridMultilevel"/>
    <w:tmpl w:val="0F22E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0A02585"/>
    <w:multiLevelType w:val="hybridMultilevel"/>
    <w:tmpl w:val="12C0B5A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17065D5"/>
    <w:multiLevelType w:val="multilevel"/>
    <w:tmpl w:val="D9AC340C"/>
    <w:lvl w:ilvl="0">
      <w:start w:val="7"/>
      <w:numFmt w:val="decimal"/>
      <w:lvlText w:val="%1"/>
      <w:lvlJc w:val="left"/>
      <w:pPr>
        <w:ind w:left="405" w:hanging="405"/>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0194384E"/>
    <w:multiLevelType w:val="hybridMultilevel"/>
    <w:tmpl w:val="7408E4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1AA7A2E"/>
    <w:multiLevelType w:val="hybridMultilevel"/>
    <w:tmpl w:val="3258E3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1F82D1C"/>
    <w:multiLevelType w:val="hybridMultilevel"/>
    <w:tmpl w:val="A9BC15A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5" w15:restartNumberingAfterBreak="0">
    <w:nsid w:val="01FF413D"/>
    <w:multiLevelType w:val="hybridMultilevel"/>
    <w:tmpl w:val="03EE3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2022842"/>
    <w:multiLevelType w:val="multilevel"/>
    <w:tmpl w:val="AB6255AE"/>
    <w:styleLink w:val="StyleNumberedLeft0cmHanging063cm1"/>
    <w:lvl w:ilvl="0">
      <w:start w:val="1"/>
      <w:numFmt w:val="decimal"/>
      <w:lvlText w:val="%1."/>
      <w:lvlJc w:val="left"/>
      <w:pPr>
        <w:tabs>
          <w:tab w:val="num" w:pos="360"/>
        </w:tabs>
        <w:ind w:left="360" w:hanging="360"/>
      </w:pPr>
      <w:rPr>
        <w:rFonts w:ascii="Trebuchet MS" w:hAnsi="Trebuchet MS" w:cs="Times New Roman"/>
      </w:rPr>
    </w:lvl>
    <w:lvl w:ilvl="1">
      <w:start w:val="1"/>
      <w:numFmt w:val="lowerLetter"/>
      <w:lvlText w:val="%2."/>
      <w:lvlJc w:val="left"/>
      <w:pPr>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7" w15:restartNumberingAfterBreak="0">
    <w:nsid w:val="02442341"/>
    <w:multiLevelType w:val="hybridMultilevel"/>
    <w:tmpl w:val="569CFD3E"/>
    <w:lvl w:ilvl="0" w:tplc="4D925486">
      <w:start w:val="1"/>
      <w:numFmt w:val="bullet"/>
      <w:lvlText w:val="•"/>
      <w:lvlJc w:val="left"/>
      <w:pPr>
        <w:tabs>
          <w:tab w:val="num" w:pos="1080"/>
        </w:tabs>
        <w:ind w:left="108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273243A"/>
    <w:multiLevelType w:val="hybridMultilevel"/>
    <w:tmpl w:val="E796EC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2867D7F"/>
    <w:multiLevelType w:val="multilevel"/>
    <w:tmpl w:val="0DD608E2"/>
    <w:styleLink w:val="Tabletextsize8bullets"/>
    <w:lvl w:ilvl="0">
      <w:start w:val="1"/>
      <w:numFmt w:val="decimal"/>
      <w:lvlText w:val="%1."/>
      <w:lvlJc w:val="left"/>
      <w:pPr>
        <w:tabs>
          <w:tab w:val="num" w:pos="170"/>
        </w:tabs>
        <w:ind w:left="170" w:hanging="170"/>
      </w:pPr>
      <w:rPr>
        <w:rFonts w:ascii="Trebuchet MS" w:hAnsi="Trebuchet MS" w:hint="default"/>
        <w:b/>
        <w:i/>
        <w:sz w:val="16"/>
        <w:szCs w:val="16"/>
      </w:rPr>
    </w:lvl>
    <w:lvl w:ilvl="1">
      <w:start w:val="1"/>
      <w:numFmt w:val="lowerLetter"/>
      <w:lvlText w:val="%2)"/>
      <w:lvlJc w:val="left"/>
      <w:pPr>
        <w:tabs>
          <w:tab w:val="num" w:pos="567"/>
        </w:tabs>
        <w:ind w:left="567" w:hanging="284"/>
      </w:pPr>
      <w:rPr>
        <w:rFonts w:hint="default"/>
      </w:rPr>
    </w:lvl>
    <w:lvl w:ilvl="2">
      <w:start w:val="1"/>
      <w:numFmt w:val="lowerRoman"/>
      <w:lvlText w:val="%3)"/>
      <w:lvlJc w:val="left"/>
      <w:pPr>
        <w:tabs>
          <w:tab w:val="num" w:pos="229"/>
        </w:tabs>
        <w:ind w:left="229" w:hanging="360"/>
      </w:pPr>
      <w:rPr>
        <w:rFonts w:hint="default"/>
      </w:rPr>
    </w:lvl>
    <w:lvl w:ilvl="3">
      <w:start w:val="1"/>
      <w:numFmt w:val="decimal"/>
      <w:lvlText w:val="(%4)"/>
      <w:lvlJc w:val="left"/>
      <w:pPr>
        <w:tabs>
          <w:tab w:val="num" w:pos="589"/>
        </w:tabs>
        <w:ind w:left="589" w:hanging="360"/>
      </w:pPr>
      <w:rPr>
        <w:rFonts w:hint="default"/>
      </w:rPr>
    </w:lvl>
    <w:lvl w:ilvl="4">
      <w:start w:val="1"/>
      <w:numFmt w:val="lowerLetter"/>
      <w:lvlText w:val="(%5)"/>
      <w:lvlJc w:val="left"/>
      <w:pPr>
        <w:tabs>
          <w:tab w:val="num" w:pos="949"/>
        </w:tabs>
        <w:ind w:left="949" w:hanging="360"/>
      </w:pPr>
      <w:rPr>
        <w:rFonts w:hint="default"/>
      </w:rPr>
    </w:lvl>
    <w:lvl w:ilvl="5">
      <w:start w:val="1"/>
      <w:numFmt w:val="lowerRoman"/>
      <w:lvlText w:val="(%6)"/>
      <w:lvlJc w:val="left"/>
      <w:pPr>
        <w:tabs>
          <w:tab w:val="num" w:pos="1309"/>
        </w:tabs>
        <w:ind w:left="1309" w:hanging="360"/>
      </w:pPr>
      <w:rPr>
        <w:rFonts w:hint="default"/>
      </w:rPr>
    </w:lvl>
    <w:lvl w:ilvl="6">
      <w:start w:val="1"/>
      <w:numFmt w:val="decimal"/>
      <w:lvlText w:val="%7."/>
      <w:lvlJc w:val="left"/>
      <w:pPr>
        <w:tabs>
          <w:tab w:val="num" w:pos="1669"/>
        </w:tabs>
        <w:ind w:left="1669" w:hanging="360"/>
      </w:pPr>
      <w:rPr>
        <w:rFonts w:hint="default"/>
      </w:rPr>
    </w:lvl>
    <w:lvl w:ilvl="7">
      <w:start w:val="1"/>
      <w:numFmt w:val="lowerLetter"/>
      <w:lvlText w:val="%8."/>
      <w:lvlJc w:val="left"/>
      <w:pPr>
        <w:tabs>
          <w:tab w:val="num" w:pos="2029"/>
        </w:tabs>
        <w:ind w:left="2029" w:hanging="360"/>
      </w:pPr>
      <w:rPr>
        <w:rFonts w:hint="default"/>
      </w:rPr>
    </w:lvl>
    <w:lvl w:ilvl="8">
      <w:start w:val="1"/>
      <w:numFmt w:val="lowerRoman"/>
      <w:lvlText w:val="%9."/>
      <w:lvlJc w:val="left"/>
      <w:pPr>
        <w:tabs>
          <w:tab w:val="num" w:pos="2389"/>
        </w:tabs>
        <w:ind w:left="2389" w:hanging="360"/>
      </w:pPr>
      <w:rPr>
        <w:rFonts w:hint="default"/>
      </w:rPr>
    </w:lvl>
  </w:abstractNum>
  <w:abstractNum w:abstractNumId="20" w15:restartNumberingAfterBreak="0">
    <w:nsid w:val="02D43C93"/>
    <w:multiLevelType w:val="hybridMultilevel"/>
    <w:tmpl w:val="4AD438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31B5514"/>
    <w:multiLevelType w:val="hybridMultilevel"/>
    <w:tmpl w:val="2A94B9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34E7031"/>
    <w:multiLevelType w:val="hybridMultilevel"/>
    <w:tmpl w:val="BA62C0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3A56FBB"/>
    <w:multiLevelType w:val="multilevel"/>
    <w:tmpl w:val="24F42E80"/>
    <w:styleLink w:val="StyleNumbered"/>
    <w:lvl w:ilvl="0">
      <w:start w:val="1"/>
      <w:numFmt w:val="decimal"/>
      <w:lvlText w:val="%1."/>
      <w:lvlJc w:val="left"/>
      <w:pPr>
        <w:tabs>
          <w:tab w:val="num" w:pos="284"/>
        </w:tabs>
        <w:ind w:left="284" w:hanging="284"/>
      </w:pPr>
      <w:rPr>
        <w:rFonts w:hint="default"/>
      </w:rPr>
    </w:lvl>
    <w:lvl w:ilvl="1">
      <w:start w:val="1"/>
      <w:numFmt w:val="lowerLetter"/>
      <w:lvlText w:val="%2."/>
      <w:lvlJc w:val="left"/>
      <w:pPr>
        <w:tabs>
          <w:tab w:val="num" w:pos="567"/>
        </w:tabs>
        <w:ind w:left="567" w:hanging="283"/>
      </w:pPr>
      <w:rPr>
        <w:rFonts w:ascii="Arial" w:hAnsi="Arial"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 w15:restartNumberingAfterBreak="0">
    <w:nsid w:val="03B023AE"/>
    <w:multiLevelType w:val="hybridMultilevel"/>
    <w:tmpl w:val="ED4AE65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03F87E91"/>
    <w:multiLevelType w:val="singleLevel"/>
    <w:tmpl w:val="C486D132"/>
    <w:styleLink w:val="StyleOutlinenumberedSymbolsymbolGray-50Left125cm1"/>
    <w:lvl w:ilvl="0">
      <w:start w:val="1"/>
      <w:numFmt w:val="bullet"/>
      <w:pStyle w:val="BulletList"/>
      <w:lvlText w:val=""/>
      <w:lvlJc w:val="left"/>
      <w:pPr>
        <w:tabs>
          <w:tab w:val="num" w:pos="1778"/>
        </w:tabs>
        <w:ind w:left="1778" w:hanging="360"/>
      </w:pPr>
      <w:rPr>
        <w:rFonts w:ascii="Symbol" w:hAnsi="Symbol" w:hint="default"/>
      </w:rPr>
    </w:lvl>
  </w:abstractNum>
  <w:abstractNum w:abstractNumId="26" w15:restartNumberingAfterBreak="0">
    <w:nsid w:val="04392624"/>
    <w:multiLevelType w:val="hybridMultilevel"/>
    <w:tmpl w:val="EB3E3A36"/>
    <w:lvl w:ilvl="0" w:tplc="B6F8DCE8">
      <w:start w:val="1"/>
      <w:numFmt w:val="bullet"/>
      <w:lvlText w:val="•"/>
      <w:lvlJc w:val="left"/>
      <w:pPr>
        <w:tabs>
          <w:tab w:val="num" w:pos="360"/>
        </w:tabs>
        <w:ind w:left="360" w:hanging="360"/>
      </w:pPr>
      <w:rPr>
        <w:rFonts w:ascii="Arial" w:hAnsi="Arial" w:hint="default"/>
      </w:rPr>
    </w:lvl>
    <w:lvl w:ilvl="1" w:tplc="5E8E06E6" w:tentative="1">
      <w:start w:val="1"/>
      <w:numFmt w:val="bullet"/>
      <w:lvlText w:val="•"/>
      <w:lvlJc w:val="left"/>
      <w:pPr>
        <w:tabs>
          <w:tab w:val="num" w:pos="1080"/>
        </w:tabs>
        <w:ind w:left="1080" w:hanging="360"/>
      </w:pPr>
      <w:rPr>
        <w:rFonts w:ascii="Arial" w:hAnsi="Arial" w:hint="default"/>
      </w:rPr>
    </w:lvl>
    <w:lvl w:ilvl="2" w:tplc="1E809310" w:tentative="1">
      <w:start w:val="1"/>
      <w:numFmt w:val="bullet"/>
      <w:lvlText w:val="•"/>
      <w:lvlJc w:val="left"/>
      <w:pPr>
        <w:tabs>
          <w:tab w:val="num" w:pos="1800"/>
        </w:tabs>
        <w:ind w:left="1800" w:hanging="360"/>
      </w:pPr>
      <w:rPr>
        <w:rFonts w:ascii="Arial" w:hAnsi="Arial" w:hint="default"/>
      </w:rPr>
    </w:lvl>
    <w:lvl w:ilvl="3" w:tplc="622EF706" w:tentative="1">
      <w:start w:val="1"/>
      <w:numFmt w:val="bullet"/>
      <w:lvlText w:val="•"/>
      <w:lvlJc w:val="left"/>
      <w:pPr>
        <w:tabs>
          <w:tab w:val="num" w:pos="2520"/>
        </w:tabs>
        <w:ind w:left="2520" w:hanging="360"/>
      </w:pPr>
      <w:rPr>
        <w:rFonts w:ascii="Arial" w:hAnsi="Arial" w:hint="default"/>
      </w:rPr>
    </w:lvl>
    <w:lvl w:ilvl="4" w:tplc="6DC0EE6C" w:tentative="1">
      <w:start w:val="1"/>
      <w:numFmt w:val="bullet"/>
      <w:lvlText w:val="•"/>
      <w:lvlJc w:val="left"/>
      <w:pPr>
        <w:tabs>
          <w:tab w:val="num" w:pos="3240"/>
        </w:tabs>
        <w:ind w:left="3240" w:hanging="360"/>
      </w:pPr>
      <w:rPr>
        <w:rFonts w:ascii="Arial" w:hAnsi="Arial" w:hint="default"/>
      </w:rPr>
    </w:lvl>
    <w:lvl w:ilvl="5" w:tplc="3F4EE292" w:tentative="1">
      <w:start w:val="1"/>
      <w:numFmt w:val="bullet"/>
      <w:lvlText w:val="•"/>
      <w:lvlJc w:val="left"/>
      <w:pPr>
        <w:tabs>
          <w:tab w:val="num" w:pos="3960"/>
        </w:tabs>
        <w:ind w:left="3960" w:hanging="360"/>
      </w:pPr>
      <w:rPr>
        <w:rFonts w:ascii="Arial" w:hAnsi="Arial" w:hint="default"/>
      </w:rPr>
    </w:lvl>
    <w:lvl w:ilvl="6" w:tplc="97B4463A" w:tentative="1">
      <w:start w:val="1"/>
      <w:numFmt w:val="bullet"/>
      <w:lvlText w:val="•"/>
      <w:lvlJc w:val="left"/>
      <w:pPr>
        <w:tabs>
          <w:tab w:val="num" w:pos="4680"/>
        </w:tabs>
        <w:ind w:left="4680" w:hanging="360"/>
      </w:pPr>
      <w:rPr>
        <w:rFonts w:ascii="Arial" w:hAnsi="Arial" w:hint="default"/>
      </w:rPr>
    </w:lvl>
    <w:lvl w:ilvl="7" w:tplc="A40AB37A" w:tentative="1">
      <w:start w:val="1"/>
      <w:numFmt w:val="bullet"/>
      <w:lvlText w:val="•"/>
      <w:lvlJc w:val="left"/>
      <w:pPr>
        <w:tabs>
          <w:tab w:val="num" w:pos="5400"/>
        </w:tabs>
        <w:ind w:left="5400" w:hanging="360"/>
      </w:pPr>
      <w:rPr>
        <w:rFonts w:ascii="Arial" w:hAnsi="Arial" w:hint="default"/>
      </w:rPr>
    </w:lvl>
    <w:lvl w:ilvl="8" w:tplc="F39C2D5E" w:tentative="1">
      <w:start w:val="1"/>
      <w:numFmt w:val="bullet"/>
      <w:lvlText w:val="•"/>
      <w:lvlJc w:val="left"/>
      <w:pPr>
        <w:tabs>
          <w:tab w:val="num" w:pos="6120"/>
        </w:tabs>
        <w:ind w:left="6120" w:hanging="360"/>
      </w:pPr>
      <w:rPr>
        <w:rFonts w:ascii="Arial" w:hAnsi="Arial" w:hint="default"/>
      </w:rPr>
    </w:lvl>
  </w:abstractNum>
  <w:abstractNum w:abstractNumId="27" w15:restartNumberingAfterBreak="0">
    <w:nsid w:val="04415C4B"/>
    <w:multiLevelType w:val="hybridMultilevel"/>
    <w:tmpl w:val="FEEC56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046F3673"/>
    <w:multiLevelType w:val="hybridMultilevel"/>
    <w:tmpl w:val="1ABE5D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04CA7C38"/>
    <w:multiLevelType w:val="hybridMultilevel"/>
    <w:tmpl w:val="9132BF0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04E85BB8"/>
    <w:multiLevelType w:val="hybridMultilevel"/>
    <w:tmpl w:val="E8FA7378"/>
    <w:lvl w:ilvl="0" w:tplc="0C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05F66CCB"/>
    <w:multiLevelType w:val="multilevel"/>
    <w:tmpl w:val="E5906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0600526A"/>
    <w:multiLevelType w:val="hybridMultilevel"/>
    <w:tmpl w:val="0BA656AA"/>
    <w:lvl w:ilvl="0" w:tplc="0C09000F">
      <w:start w:val="1"/>
      <w:numFmt w:val="decimal"/>
      <w:lvlText w:val="%1."/>
      <w:lvlJc w:val="left"/>
      <w:pPr>
        <w:ind w:left="213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06343BFE"/>
    <w:multiLevelType w:val="hybridMultilevel"/>
    <w:tmpl w:val="4C7CC0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0636695C"/>
    <w:multiLevelType w:val="hybridMultilevel"/>
    <w:tmpl w:val="5D969D96"/>
    <w:lvl w:ilvl="0" w:tplc="4D925486">
      <w:start w:val="1"/>
      <w:numFmt w:val="bullet"/>
      <w:lvlText w:val="•"/>
      <w:lvlJc w:val="left"/>
      <w:pPr>
        <w:tabs>
          <w:tab w:val="num" w:pos="1080"/>
        </w:tabs>
        <w:ind w:left="108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0652319E"/>
    <w:multiLevelType w:val="hybridMultilevel"/>
    <w:tmpl w:val="0F268D0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6" w15:restartNumberingAfterBreak="0">
    <w:nsid w:val="065801E1"/>
    <w:multiLevelType w:val="hybridMultilevel"/>
    <w:tmpl w:val="642E917A"/>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066D2B8D"/>
    <w:multiLevelType w:val="hybridMultilevel"/>
    <w:tmpl w:val="DBCE2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07725BE9"/>
    <w:multiLevelType w:val="hybridMultilevel"/>
    <w:tmpl w:val="A03490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07754354"/>
    <w:multiLevelType w:val="hybridMultilevel"/>
    <w:tmpl w:val="61927772"/>
    <w:lvl w:ilvl="0" w:tplc="4D925486">
      <w:start w:val="1"/>
      <w:numFmt w:val="bullet"/>
      <w:lvlText w:val="•"/>
      <w:lvlJc w:val="left"/>
      <w:pPr>
        <w:tabs>
          <w:tab w:val="num" w:pos="360"/>
        </w:tabs>
        <w:ind w:left="36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077E219F"/>
    <w:multiLevelType w:val="multilevel"/>
    <w:tmpl w:val="0CD4933C"/>
    <w:lvl w:ilvl="0">
      <w:start w:val="1"/>
      <w:numFmt w:val="decimal"/>
      <w:lvlRestart w:val="0"/>
      <w:lvlText w:val="%1.0"/>
      <w:lvlJc w:val="left"/>
      <w:pPr>
        <w:tabs>
          <w:tab w:val="num" w:pos="851"/>
        </w:tabs>
        <w:ind w:left="851" w:hanging="851"/>
      </w:pPr>
      <w:rPr>
        <w:rFonts w:ascii="Gill Sans MT" w:hAnsi="Gill Sans MT" w:hint="default"/>
        <w:b w:val="0"/>
        <w:i w:val="0"/>
        <w:color w:val="00375F"/>
        <w:sz w:val="36"/>
        <w:szCs w:val="36"/>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ascii="Gill Sans MT" w:hAnsi="Gill Sans MT" w:hint="default"/>
        <w:b w:val="0"/>
        <w:i w:val="0"/>
        <w:color w:val="003366"/>
        <w:sz w:val="22"/>
        <w:szCs w:val="22"/>
      </w:rPr>
    </w:lvl>
    <w:lvl w:ilvl="4">
      <w:start w:val="1"/>
      <w:numFmt w:val="decimal"/>
      <w:lvlRestart w:val="0"/>
      <w:suff w:val="space"/>
      <w:lvlText w:val="Table %5"/>
      <w:lvlJc w:val="left"/>
      <w:pPr>
        <w:ind w:left="0" w:firstLine="0"/>
      </w:pPr>
      <w:rPr>
        <w:rFonts w:hint="default"/>
      </w:rPr>
    </w:lvl>
    <w:lvl w:ilvl="5">
      <w:start w:val="1"/>
      <w:numFmt w:val="decimal"/>
      <w:lvlRestart w:val="0"/>
      <w:suff w:val="space"/>
      <w:lvlText w:val="Figure %6"/>
      <w:lvlJc w:val="left"/>
      <w:pPr>
        <w:ind w:left="0" w:firstLine="0"/>
      </w:pPr>
      <w:rPr>
        <w:rFonts w:hint="default"/>
        <w:color w:val="auto"/>
      </w:rPr>
    </w:lvl>
    <w:lvl w:ilvl="6">
      <w:start w:val="1"/>
      <w:numFmt w:val="decimal"/>
      <w:lvlRestart w:val="0"/>
      <w:suff w:val="space"/>
      <w:lvlText w:val="Plate %7"/>
      <w:lvlJc w:val="left"/>
      <w:pPr>
        <w:ind w:left="0" w:firstLine="0"/>
      </w:pPr>
      <w:rPr>
        <w:rFonts w:hint="default"/>
        <w:color w:val="auto"/>
        <w:sz w:val="18"/>
      </w:rPr>
    </w:lvl>
    <w:lvl w:ilvl="7">
      <w:start w:val="1"/>
      <w:numFmt w:val="none"/>
      <w:suff w:val="nothing"/>
      <w:lvlText w:val=""/>
      <w:lvlJc w:val="left"/>
      <w:pPr>
        <w:ind w:left="0" w:firstLine="0"/>
      </w:pPr>
      <w:rPr>
        <w:rFonts w:hint="default"/>
        <w:color w:val="FF0000"/>
      </w:rPr>
    </w:lvl>
    <w:lvl w:ilvl="8">
      <w:start w:val="1"/>
      <w:numFmt w:val="none"/>
      <w:suff w:val="nothing"/>
      <w:lvlText w:val=""/>
      <w:lvlJc w:val="left"/>
      <w:pPr>
        <w:ind w:left="0" w:firstLine="0"/>
      </w:pPr>
      <w:rPr>
        <w:rFonts w:hint="default"/>
        <w:color w:val="FF0000"/>
      </w:rPr>
    </w:lvl>
  </w:abstractNum>
  <w:abstractNum w:abstractNumId="41" w15:restartNumberingAfterBreak="0">
    <w:nsid w:val="07D22857"/>
    <w:multiLevelType w:val="hybridMultilevel"/>
    <w:tmpl w:val="B8729A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07DE086D"/>
    <w:multiLevelType w:val="hybridMultilevel"/>
    <w:tmpl w:val="E44A6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086957B7"/>
    <w:multiLevelType w:val="hybridMultilevel"/>
    <w:tmpl w:val="7AD266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08D163F5"/>
    <w:multiLevelType w:val="multilevel"/>
    <w:tmpl w:val="7E702060"/>
    <w:lvl w:ilvl="0">
      <w:start w:val="1"/>
      <w:numFmt w:val="bullet"/>
      <w:pStyle w:val="bullet"/>
      <w:lvlText w:val=""/>
      <w:lvlJc w:val="left"/>
      <w:pPr>
        <w:tabs>
          <w:tab w:val="num" w:pos="1304"/>
        </w:tabs>
        <w:ind w:left="1304" w:hanging="453"/>
      </w:pPr>
      <w:rPr>
        <w:rFonts w:ascii="Symbol" w:hAnsi="Symbol" w:hint="default"/>
        <w:color w:val="auto"/>
      </w:rPr>
    </w:lvl>
    <w:lvl w:ilvl="1">
      <w:start w:val="1"/>
      <w:numFmt w:val="bullet"/>
      <w:lvlText w:val=""/>
      <w:lvlJc w:val="left"/>
      <w:pPr>
        <w:tabs>
          <w:tab w:val="num" w:pos="1588"/>
        </w:tabs>
        <w:ind w:left="1588" w:hanging="284"/>
      </w:pPr>
      <w:rPr>
        <w:rFonts w:ascii="Wingdings" w:hAnsi="Wingdings" w:hint="default"/>
        <w:sz w:val="12"/>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08E56E7A"/>
    <w:multiLevelType w:val="hybridMultilevel"/>
    <w:tmpl w:val="1220DCD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08E600A9"/>
    <w:multiLevelType w:val="hybridMultilevel"/>
    <w:tmpl w:val="E850E9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091939B1"/>
    <w:multiLevelType w:val="multilevel"/>
    <w:tmpl w:val="D848CB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094434A1"/>
    <w:multiLevelType w:val="hybridMultilevel"/>
    <w:tmpl w:val="9BB0141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098F76FF"/>
    <w:multiLevelType w:val="hybridMultilevel"/>
    <w:tmpl w:val="BB0EB9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0A2E3CFA"/>
    <w:multiLevelType w:val="multilevel"/>
    <w:tmpl w:val="63A4F00C"/>
    <w:styleLink w:val="Tablebullets"/>
    <w:lvl w:ilvl="0">
      <w:start w:val="1"/>
      <w:numFmt w:val="bullet"/>
      <w:lvlText w:val=""/>
      <w:lvlJc w:val="left"/>
      <w:pPr>
        <w:tabs>
          <w:tab w:val="num" w:pos="567"/>
        </w:tabs>
        <w:ind w:left="567" w:hanging="283"/>
      </w:pPr>
      <w:rPr>
        <w:rFonts w:ascii="Wingdings" w:hAnsi="Wingdings" w:hint="default"/>
        <w:color w:val="auto"/>
        <w:sz w:val="20"/>
      </w:rPr>
    </w:lvl>
    <w:lvl w:ilvl="1">
      <w:start w:val="1"/>
      <w:numFmt w:val="lowerLetter"/>
      <w:lvlText w:val="%2)"/>
      <w:lvlJc w:val="left"/>
      <w:pPr>
        <w:tabs>
          <w:tab w:val="num" w:pos="153"/>
        </w:tabs>
        <w:ind w:left="153" w:hanging="360"/>
      </w:pPr>
      <w:rPr>
        <w:rFonts w:hint="default"/>
      </w:rPr>
    </w:lvl>
    <w:lvl w:ilvl="2">
      <w:start w:val="1"/>
      <w:numFmt w:val="lowerRoman"/>
      <w:lvlText w:val="%3)"/>
      <w:lvlJc w:val="left"/>
      <w:pPr>
        <w:tabs>
          <w:tab w:val="num" w:pos="513"/>
        </w:tabs>
        <w:ind w:left="513" w:hanging="360"/>
      </w:pPr>
      <w:rPr>
        <w:rFonts w:hint="default"/>
      </w:rPr>
    </w:lvl>
    <w:lvl w:ilvl="3">
      <w:start w:val="1"/>
      <w:numFmt w:val="decimal"/>
      <w:lvlText w:val="(%4)"/>
      <w:lvlJc w:val="left"/>
      <w:pPr>
        <w:tabs>
          <w:tab w:val="num" w:pos="873"/>
        </w:tabs>
        <w:ind w:left="873" w:hanging="360"/>
      </w:pPr>
      <w:rPr>
        <w:rFonts w:hint="default"/>
      </w:rPr>
    </w:lvl>
    <w:lvl w:ilvl="4">
      <w:start w:val="1"/>
      <w:numFmt w:val="lowerLetter"/>
      <w:lvlText w:val="(%5)"/>
      <w:lvlJc w:val="left"/>
      <w:pPr>
        <w:tabs>
          <w:tab w:val="num" w:pos="1233"/>
        </w:tabs>
        <w:ind w:left="1233" w:hanging="360"/>
      </w:pPr>
      <w:rPr>
        <w:rFonts w:hint="default"/>
      </w:rPr>
    </w:lvl>
    <w:lvl w:ilvl="5">
      <w:start w:val="1"/>
      <w:numFmt w:val="lowerRoman"/>
      <w:lvlText w:val="(%6)"/>
      <w:lvlJc w:val="left"/>
      <w:pPr>
        <w:tabs>
          <w:tab w:val="num" w:pos="1593"/>
        </w:tabs>
        <w:ind w:left="1593" w:hanging="360"/>
      </w:pPr>
      <w:rPr>
        <w:rFonts w:hint="default"/>
      </w:rPr>
    </w:lvl>
    <w:lvl w:ilvl="6">
      <w:start w:val="1"/>
      <w:numFmt w:val="decimal"/>
      <w:lvlText w:val="%7."/>
      <w:lvlJc w:val="left"/>
      <w:pPr>
        <w:tabs>
          <w:tab w:val="num" w:pos="1953"/>
        </w:tabs>
        <w:ind w:left="1953" w:hanging="360"/>
      </w:pPr>
      <w:rPr>
        <w:rFonts w:hint="default"/>
      </w:rPr>
    </w:lvl>
    <w:lvl w:ilvl="7">
      <w:start w:val="1"/>
      <w:numFmt w:val="lowerLetter"/>
      <w:lvlText w:val="%8."/>
      <w:lvlJc w:val="left"/>
      <w:pPr>
        <w:tabs>
          <w:tab w:val="num" w:pos="2313"/>
        </w:tabs>
        <w:ind w:left="2313" w:hanging="360"/>
      </w:pPr>
      <w:rPr>
        <w:rFonts w:hint="default"/>
      </w:rPr>
    </w:lvl>
    <w:lvl w:ilvl="8">
      <w:start w:val="1"/>
      <w:numFmt w:val="lowerRoman"/>
      <w:lvlText w:val="%9."/>
      <w:lvlJc w:val="left"/>
      <w:pPr>
        <w:tabs>
          <w:tab w:val="num" w:pos="2673"/>
        </w:tabs>
        <w:ind w:left="2673" w:hanging="360"/>
      </w:pPr>
      <w:rPr>
        <w:rFonts w:hint="default"/>
      </w:rPr>
    </w:lvl>
  </w:abstractNum>
  <w:abstractNum w:abstractNumId="51" w15:restartNumberingAfterBreak="0">
    <w:nsid w:val="0A811875"/>
    <w:multiLevelType w:val="hybridMultilevel"/>
    <w:tmpl w:val="D9E272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0AAD3145"/>
    <w:multiLevelType w:val="hybridMultilevel"/>
    <w:tmpl w:val="92C62384"/>
    <w:lvl w:ilvl="0" w:tplc="009CC552">
      <w:start w:val="1"/>
      <w:numFmt w:val="bullet"/>
      <w:pStyle w:val="Tablebullet-small2"/>
      <w:lvlText w:val="o"/>
      <w:lvlJc w:val="left"/>
      <w:pPr>
        <w:ind w:left="862" w:hanging="360"/>
      </w:pPr>
      <w:rPr>
        <w:rFonts w:ascii="Courier New" w:hAnsi="Courier New" w:cs="Courier New" w:hint="default"/>
        <w:sz w:val="16"/>
      </w:rPr>
    </w:lvl>
    <w:lvl w:ilvl="1" w:tplc="8432EE5E" w:tentative="1">
      <w:start w:val="1"/>
      <w:numFmt w:val="bullet"/>
      <w:lvlText w:val="o"/>
      <w:lvlJc w:val="left"/>
      <w:pPr>
        <w:ind w:left="1582" w:hanging="360"/>
      </w:pPr>
      <w:rPr>
        <w:rFonts w:ascii="Courier New" w:hAnsi="Courier New" w:cs="Courier New" w:hint="default"/>
      </w:rPr>
    </w:lvl>
    <w:lvl w:ilvl="2" w:tplc="3F144462" w:tentative="1">
      <w:start w:val="1"/>
      <w:numFmt w:val="bullet"/>
      <w:lvlText w:val=""/>
      <w:lvlJc w:val="left"/>
      <w:pPr>
        <w:ind w:left="2302" w:hanging="360"/>
      </w:pPr>
      <w:rPr>
        <w:rFonts w:ascii="Wingdings" w:hAnsi="Wingdings" w:hint="default"/>
      </w:rPr>
    </w:lvl>
    <w:lvl w:ilvl="3" w:tplc="E042EE86" w:tentative="1">
      <w:start w:val="1"/>
      <w:numFmt w:val="bullet"/>
      <w:lvlText w:val=""/>
      <w:lvlJc w:val="left"/>
      <w:pPr>
        <w:ind w:left="3022" w:hanging="360"/>
      </w:pPr>
      <w:rPr>
        <w:rFonts w:ascii="Symbol" w:hAnsi="Symbol" w:hint="default"/>
      </w:rPr>
    </w:lvl>
    <w:lvl w:ilvl="4" w:tplc="52E46D60" w:tentative="1">
      <w:start w:val="1"/>
      <w:numFmt w:val="bullet"/>
      <w:lvlText w:val="o"/>
      <w:lvlJc w:val="left"/>
      <w:pPr>
        <w:ind w:left="3742" w:hanging="360"/>
      </w:pPr>
      <w:rPr>
        <w:rFonts w:ascii="Courier New" w:hAnsi="Courier New" w:cs="Courier New" w:hint="default"/>
      </w:rPr>
    </w:lvl>
    <w:lvl w:ilvl="5" w:tplc="5C7A15E4" w:tentative="1">
      <w:start w:val="1"/>
      <w:numFmt w:val="bullet"/>
      <w:lvlText w:val=""/>
      <w:lvlJc w:val="left"/>
      <w:pPr>
        <w:ind w:left="4462" w:hanging="360"/>
      </w:pPr>
      <w:rPr>
        <w:rFonts w:ascii="Wingdings" w:hAnsi="Wingdings" w:hint="default"/>
      </w:rPr>
    </w:lvl>
    <w:lvl w:ilvl="6" w:tplc="1C6E1DA4" w:tentative="1">
      <w:start w:val="1"/>
      <w:numFmt w:val="bullet"/>
      <w:lvlText w:val=""/>
      <w:lvlJc w:val="left"/>
      <w:pPr>
        <w:ind w:left="5182" w:hanging="360"/>
      </w:pPr>
      <w:rPr>
        <w:rFonts w:ascii="Symbol" w:hAnsi="Symbol" w:hint="default"/>
      </w:rPr>
    </w:lvl>
    <w:lvl w:ilvl="7" w:tplc="779E4EFC" w:tentative="1">
      <w:start w:val="1"/>
      <w:numFmt w:val="bullet"/>
      <w:lvlText w:val="o"/>
      <w:lvlJc w:val="left"/>
      <w:pPr>
        <w:ind w:left="5902" w:hanging="360"/>
      </w:pPr>
      <w:rPr>
        <w:rFonts w:ascii="Courier New" w:hAnsi="Courier New" w:cs="Courier New" w:hint="default"/>
      </w:rPr>
    </w:lvl>
    <w:lvl w:ilvl="8" w:tplc="80D84C82" w:tentative="1">
      <w:start w:val="1"/>
      <w:numFmt w:val="bullet"/>
      <w:lvlText w:val=""/>
      <w:lvlJc w:val="left"/>
      <w:pPr>
        <w:ind w:left="6622" w:hanging="360"/>
      </w:pPr>
      <w:rPr>
        <w:rFonts w:ascii="Wingdings" w:hAnsi="Wingdings" w:hint="default"/>
      </w:rPr>
    </w:lvl>
  </w:abstractNum>
  <w:abstractNum w:abstractNumId="53" w15:restartNumberingAfterBreak="0">
    <w:nsid w:val="0B282EF1"/>
    <w:multiLevelType w:val="hybridMultilevel"/>
    <w:tmpl w:val="2FD8C3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0B4C0B55"/>
    <w:multiLevelType w:val="hybridMultilevel"/>
    <w:tmpl w:val="08FCF648"/>
    <w:lvl w:ilvl="0" w:tplc="B1967AFE">
      <w:start w:val="1"/>
      <w:numFmt w:val="bullet"/>
      <w:pStyle w:val="CNBlt1"/>
      <w:lvlText w:val=""/>
      <w:lvlJc w:val="left"/>
      <w:pPr>
        <w:tabs>
          <w:tab w:val="num" w:pos="-1071"/>
        </w:tabs>
        <w:ind w:left="927" w:hanging="360"/>
      </w:pPr>
      <w:rPr>
        <w:rFonts w:ascii="Symbol" w:hAnsi="Symbol" w:hint="default"/>
        <w:sz w:val="22"/>
      </w:rPr>
    </w:lvl>
    <w:lvl w:ilvl="1" w:tplc="0C090003" w:tentative="1">
      <w:start w:val="1"/>
      <w:numFmt w:val="bullet"/>
      <w:lvlText w:val="o"/>
      <w:lvlJc w:val="left"/>
      <w:pPr>
        <w:tabs>
          <w:tab w:val="num" w:pos="2007"/>
        </w:tabs>
        <w:ind w:left="2007" w:hanging="360"/>
      </w:pPr>
      <w:rPr>
        <w:rFonts w:ascii="Courier New" w:hAnsi="Courier New" w:cs="Courier New" w:hint="default"/>
      </w:rPr>
    </w:lvl>
    <w:lvl w:ilvl="2" w:tplc="0C090005" w:tentative="1">
      <w:start w:val="1"/>
      <w:numFmt w:val="bullet"/>
      <w:lvlText w:val=""/>
      <w:lvlJc w:val="left"/>
      <w:pPr>
        <w:tabs>
          <w:tab w:val="num" w:pos="2727"/>
        </w:tabs>
        <w:ind w:left="2727" w:hanging="360"/>
      </w:pPr>
      <w:rPr>
        <w:rFonts w:ascii="Wingdings" w:hAnsi="Wingdings" w:hint="default"/>
      </w:rPr>
    </w:lvl>
    <w:lvl w:ilvl="3" w:tplc="0C090001" w:tentative="1">
      <w:start w:val="1"/>
      <w:numFmt w:val="bullet"/>
      <w:lvlText w:val=""/>
      <w:lvlJc w:val="left"/>
      <w:pPr>
        <w:tabs>
          <w:tab w:val="num" w:pos="3447"/>
        </w:tabs>
        <w:ind w:left="3447" w:hanging="360"/>
      </w:pPr>
      <w:rPr>
        <w:rFonts w:ascii="Symbol" w:hAnsi="Symbol" w:hint="default"/>
      </w:rPr>
    </w:lvl>
    <w:lvl w:ilvl="4" w:tplc="0C090003" w:tentative="1">
      <w:start w:val="1"/>
      <w:numFmt w:val="bullet"/>
      <w:lvlText w:val="o"/>
      <w:lvlJc w:val="left"/>
      <w:pPr>
        <w:tabs>
          <w:tab w:val="num" w:pos="4167"/>
        </w:tabs>
        <w:ind w:left="4167" w:hanging="360"/>
      </w:pPr>
      <w:rPr>
        <w:rFonts w:ascii="Courier New" w:hAnsi="Courier New" w:cs="Courier New" w:hint="default"/>
      </w:rPr>
    </w:lvl>
    <w:lvl w:ilvl="5" w:tplc="0C090005" w:tentative="1">
      <w:start w:val="1"/>
      <w:numFmt w:val="bullet"/>
      <w:lvlText w:val=""/>
      <w:lvlJc w:val="left"/>
      <w:pPr>
        <w:tabs>
          <w:tab w:val="num" w:pos="4887"/>
        </w:tabs>
        <w:ind w:left="4887" w:hanging="360"/>
      </w:pPr>
      <w:rPr>
        <w:rFonts w:ascii="Wingdings" w:hAnsi="Wingdings" w:hint="default"/>
      </w:rPr>
    </w:lvl>
    <w:lvl w:ilvl="6" w:tplc="0C090001" w:tentative="1">
      <w:start w:val="1"/>
      <w:numFmt w:val="bullet"/>
      <w:lvlText w:val=""/>
      <w:lvlJc w:val="left"/>
      <w:pPr>
        <w:tabs>
          <w:tab w:val="num" w:pos="5607"/>
        </w:tabs>
        <w:ind w:left="5607" w:hanging="360"/>
      </w:pPr>
      <w:rPr>
        <w:rFonts w:ascii="Symbol" w:hAnsi="Symbol" w:hint="default"/>
      </w:rPr>
    </w:lvl>
    <w:lvl w:ilvl="7" w:tplc="0C090003" w:tentative="1">
      <w:start w:val="1"/>
      <w:numFmt w:val="bullet"/>
      <w:lvlText w:val="o"/>
      <w:lvlJc w:val="left"/>
      <w:pPr>
        <w:tabs>
          <w:tab w:val="num" w:pos="6327"/>
        </w:tabs>
        <w:ind w:left="6327" w:hanging="360"/>
      </w:pPr>
      <w:rPr>
        <w:rFonts w:ascii="Courier New" w:hAnsi="Courier New" w:cs="Courier New" w:hint="default"/>
      </w:rPr>
    </w:lvl>
    <w:lvl w:ilvl="8" w:tplc="0C090005" w:tentative="1">
      <w:start w:val="1"/>
      <w:numFmt w:val="bullet"/>
      <w:lvlText w:val=""/>
      <w:lvlJc w:val="left"/>
      <w:pPr>
        <w:tabs>
          <w:tab w:val="num" w:pos="7047"/>
        </w:tabs>
        <w:ind w:left="7047" w:hanging="360"/>
      </w:pPr>
      <w:rPr>
        <w:rFonts w:ascii="Wingdings" w:hAnsi="Wingdings" w:hint="default"/>
      </w:rPr>
    </w:lvl>
  </w:abstractNum>
  <w:abstractNum w:abstractNumId="55" w15:restartNumberingAfterBreak="0">
    <w:nsid w:val="0B92146F"/>
    <w:multiLevelType w:val="hybridMultilevel"/>
    <w:tmpl w:val="1E16B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0BD87C92"/>
    <w:multiLevelType w:val="hybridMultilevel"/>
    <w:tmpl w:val="782CB5F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7" w15:restartNumberingAfterBreak="0">
    <w:nsid w:val="0C9845EC"/>
    <w:multiLevelType w:val="hybridMultilevel"/>
    <w:tmpl w:val="56964550"/>
    <w:lvl w:ilvl="0" w:tplc="0C090001">
      <w:start w:val="1"/>
      <w:numFmt w:val="bullet"/>
      <w:lvlText w:val=""/>
      <w:lvlJc w:val="left"/>
      <w:pPr>
        <w:ind w:left="764" w:hanging="360"/>
      </w:pPr>
      <w:rPr>
        <w:rFonts w:ascii="Symbol" w:hAnsi="Symbol" w:hint="default"/>
      </w:rPr>
    </w:lvl>
    <w:lvl w:ilvl="1" w:tplc="0C090003" w:tentative="1">
      <w:start w:val="1"/>
      <w:numFmt w:val="bullet"/>
      <w:lvlText w:val="o"/>
      <w:lvlJc w:val="left"/>
      <w:pPr>
        <w:ind w:left="1484" w:hanging="360"/>
      </w:pPr>
      <w:rPr>
        <w:rFonts w:ascii="Courier New" w:hAnsi="Courier New" w:cs="Courier New" w:hint="default"/>
      </w:rPr>
    </w:lvl>
    <w:lvl w:ilvl="2" w:tplc="0C090005" w:tentative="1">
      <w:start w:val="1"/>
      <w:numFmt w:val="bullet"/>
      <w:lvlText w:val=""/>
      <w:lvlJc w:val="left"/>
      <w:pPr>
        <w:ind w:left="2204" w:hanging="360"/>
      </w:pPr>
      <w:rPr>
        <w:rFonts w:ascii="Wingdings" w:hAnsi="Wingdings" w:hint="default"/>
      </w:rPr>
    </w:lvl>
    <w:lvl w:ilvl="3" w:tplc="0C090001" w:tentative="1">
      <w:start w:val="1"/>
      <w:numFmt w:val="bullet"/>
      <w:lvlText w:val=""/>
      <w:lvlJc w:val="left"/>
      <w:pPr>
        <w:ind w:left="2924" w:hanging="360"/>
      </w:pPr>
      <w:rPr>
        <w:rFonts w:ascii="Symbol" w:hAnsi="Symbol" w:hint="default"/>
      </w:rPr>
    </w:lvl>
    <w:lvl w:ilvl="4" w:tplc="0C090003" w:tentative="1">
      <w:start w:val="1"/>
      <w:numFmt w:val="bullet"/>
      <w:lvlText w:val="o"/>
      <w:lvlJc w:val="left"/>
      <w:pPr>
        <w:ind w:left="3644" w:hanging="360"/>
      </w:pPr>
      <w:rPr>
        <w:rFonts w:ascii="Courier New" w:hAnsi="Courier New" w:cs="Courier New" w:hint="default"/>
      </w:rPr>
    </w:lvl>
    <w:lvl w:ilvl="5" w:tplc="0C090005" w:tentative="1">
      <w:start w:val="1"/>
      <w:numFmt w:val="bullet"/>
      <w:lvlText w:val=""/>
      <w:lvlJc w:val="left"/>
      <w:pPr>
        <w:ind w:left="4364" w:hanging="360"/>
      </w:pPr>
      <w:rPr>
        <w:rFonts w:ascii="Wingdings" w:hAnsi="Wingdings" w:hint="default"/>
      </w:rPr>
    </w:lvl>
    <w:lvl w:ilvl="6" w:tplc="0C090001" w:tentative="1">
      <w:start w:val="1"/>
      <w:numFmt w:val="bullet"/>
      <w:lvlText w:val=""/>
      <w:lvlJc w:val="left"/>
      <w:pPr>
        <w:ind w:left="5084" w:hanging="360"/>
      </w:pPr>
      <w:rPr>
        <w:rFonts w:ascii="Symbol" w:hAnsi="Symbol" w:hint="default"/>
      </w:rPr>
    </w:lvl>
    <w:lvl w:ilvl="7" w:tplc="0C090003" w:tentative="1">
      <w:start w:val="1"/>
      <w:numFmt w:val="bullet"/>
      <w:lvlText w:val="o"/>
      <w:lvlJc w:val="left"/>
      <w:pPr>
        <w:ind w:left="5804" w:hanging="360"/>
      </w:pPr>
      <w:rPr>
        <w:rFonts w:ascii="Courier New" w:hAnsi="Courier New" w:cs="Courier New" w:hint="default"/>
      </w:rPr>
    </w:lvl>
    <w:lvl w:ilvl="8" w:tplc="0C090005" w:tentative="1">
      <w:start w:val="1"/>
      <w:numFmt w:val="bullet"/>
      <w:lvlText w:val=""/>
      <w:lvlJc w:val="left"/>
      <w:pPr>
        <w:ind w:left="6524" w:hanging="360"/>
      </w:pPr>
      <w:rPr>
        <w:rFonts w:ascii="Wingdings" w:hAnsi="Wingdings" w:hint="default"/>
      </w:rPr>
    </w:lvl>
  </w:abstractNum>
  <w:abstractNum w:abstractNumId="58" w15:restartNumberingAfterBreak="0">
    <w:nsid w:val="0CBA7C3A"/>
    <w:multiLevelType w:val="hybridMultilevel"/>
    <w:tmpl w:val="44C4A86A"/>
    <w:lvl w:ilvl="0" w:tplc="CF78BE90">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9" w15:restartNumberingAfterBreak="0">
    <w:nsid w:val="0CD151F7"/>
    <w:multiLevelType w:val="hybridMultilevel"/>
    <w:tmpl w:val="8A28B80A"/>
    <w:lvl w:ilvl="0" w:tplc="4D925486">
      <w:start w:val="1"/>
      <w:numFmt w:val="bullet"/>
      <w:lvlText w:val="•"/>
      <w:lvlJc w:val="left"/>
      <w:pPr>
        <w:tabs>
          <w:tab w:val="num" w:pos="360"/>
        </w:tabs>
        <w:ind w:left="36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0D292065"/>
    <w:multiLevelType w:val="hybridMultilevel"/>
    <w:tmpl w:val="187238D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1" w15:restartNumberingAfterBreak="0">
    <w:nsid w:val="0D6F0271"/>
    <w:multiLevelType w:val="hybridMultilevel"/>
    <w:tmpl w:val="BE740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0D7C00F3"/>
    <w:multiLevelType w:val="hybridMultilevel"/>
    <w:tmpl w:val="5260AB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0DAA5A79"/>
    <w:multiLevelType w:val="hybridMultilevel"/>
    <w:tmpl w:val="403E0B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0DB175AA"/>
    <w:multiLevelType w:val="hybridMultilevel"/>
    <w:tmpl w:val="B83C65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0DB7690C"/>
    <w:multiLevelType w:val="hybridMultilevel"/>
    <w:tmpl w:val="3752C21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0DD85033"/>
    <w:multiLevelType w:val="hybridMultilevel"/>
    <w:tmpl w:val="DD2EAF00"/>
    <w:lvl w:ilvl="0" w:tplc="0409000F">
      <w:start w:val="1"/>
      <w:numFmt w:val="decimal"/>
      <w:lvlText w:val="%1."/>
      <w:lvlJc w:val="left"/>
      <w:pPr>
        <w:ind w:left="927" w:hanging="360"/>
      </w:pPr>
      <w:rPr>
        <w:rFonts w:hint="default"/>
      </w:rPr>
    </w:lvl>
    <w:lvl w:ilvl="1" w:tplc="5F1058F8">
      <w:start w:val="1"/>
      <w:numFmt w:val="bullet"/>
      <w:lvlText w:val="–"/>
      <w:lvlJc w:val="left"/>
      <w:pPr>
        <w:ind w:left="567" w:firstLine="567"/>
      </w:pPr>
      <w:rPr>
        <w:rFonts w:ascii="Corbel" w:hAnsi="Corbel"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7" w15:restartNumberingAfterBreak="0">
    <w:nsid w:val="0E126A33"/>
    <w:multiLevelType w:val="hybridMultilevel"/>
    <w:tmpl w:val="D1400E8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8" w15:restartNumberingAfterBreak="0">
    <w:nsid w:val="0E3374F7"/>
    <w:multiLevelType w:val="hybridMultilevel"/>
    <w:tmpl w:val="ECF64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0EB96F55"/>
    <w:multiLevelType w:val="hybridMultilevel"/>
    <w:tmpl w:val="A93AB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0ED40C8C"/>
    <w:multiLevelType w:val="hybridMultilevel"/>
    <w:tmpl w:val="01D6B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0EF6150E"/>
    <w:multiLevelType w:val="hybridMultilevel"/>
    <w:tmpl w:val="DA348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0F1E1DB9"/>
    <w:multiLevelType w:val="hybridMultilevel"/>
    <w:tmpl w:val="F45E810C"/>
    <w:lvl w:ilvl="0" w:tplc="48765542">
      <w:start w:val="2"/>
      <w:numFmt w:val="lowerLetter"/>
      <w:lvlText w:val="%1."/>
      <w:lvlJc w:val="left"/>
      <w:pPr>
        <w:ind w:left="21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0F46123A"/>
    <w:multiLevelType w:val="hybridMultilevel"/>
    <w:tmpl w:val="F19EF76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4" w15:restartNumberingAfterBreak="0">
    <w:nsid w:val="0F88029D"/>
    <w:multiLevelType w:val="hybridMultilevel"/>
    <w:tmpl w:val="00785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0FA14B3F"/>
    <w:multiLevelType w:val="hybridMultilevel"/>
    <w:tmpl w:val="833C1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0FA610BE"/>
    <w:multiLevelType w:val="hybridMultilevel"/>
    <w:tmpl w:val="1B0C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0FCB7EA6"/>
    <w:multiLevelType w:val="hybridMultilevel"/>
    <w:tmpl w:val="01464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102D5153"/>
    <w:multiLevelType w:val="hybridMultilevel"/>
    <w:tmpl w:val="38907FBC"/>
    <w:lvl w:ilvl="0" w:tplc="0C090001">
      <w:start w:val="1"/>
      <w:numFmt w:val="bullet"/>
      <w:lvlText w:val=""/>
      <w:lvlJc w:val="left"/>
      <w:pPr>
        <w:ind w:left="1282" w:hanging="360"/>
      </w:pPr>
      <w:rPr>
        <w:rFonts w:ascii="Symbol" w:hAnsi="Symbol" w:hint="default"/>
      </w:rPr>
    </w:lvl>
    <w:lvl w:ilvl="1" w:tplc="0C090003" w:tentative="1">
      <w:start w:val="1"/>
      <w:numFmt w:val="bullet"/>
      <w:lvlText w:val="o"/>
      <w:lvlJc w:val="left"/>
      <w:pPr>
        <w:ind w:left="2002" w:hanging="360"/>
      </w:pPr>
      <w:rPr>
        <w:rFonts w:ascii="Courier New" w:hAnsi="Courier New" w:cs="Courier New" w:hint="default"/>
      </w:rPr>
    </w:lvl>
    <w:lvl w:ilvl="2" w:tplc="0C090005" w:tentative="1">
      <w:start w:val="1"/>
      <w:numFmt w:val="bullet"/>
      <w:lvlText w:val=""/>
      <w:lvlJc w:val="left"/>
      <w:pPr>
        <w:ind w:left="2722" w:hanging="360"/>
      </w:pPr>
      <w:rPr>
        <w:rFonts w:ascii="Wingdings" w:hAnsi="Wingdings" w:hint="default"/>
      </w:rPr>
    </w:lvl>
    <w:lvl w:ilvl="3" w:tplc="0C090001" w:tentative="1">
      <w:start w:val="1"/>
      <w:numFmt w:val="bullet"/>
      <w:lvlText w:val=""/>
      <w:lvlJc w:val="left"/>
      <w:pPr>
        <w:ind w:left="3442" w:hanging="360"/>
      </w:pPr>
      <w:rPr>
        <w:rFonts w:ascii="Symbol" w:hAnsi="Symbol" w:hint="default"/>
      </w:rPr>
    </w:lvl>
    <w:lvl w:ilvl="4" w:tplc="0C090003" w:tentative="1">
      <w:start w:val="1"/>
      <w:numFmt w:val="bullet"/>
      <w:lvlText w:val="o"/>
      <w:lvlJc w:val="left"/>
      <w:pPr>
        <w:ind w:left="4162" w:hanging="360"/>
      </w:pPr>
      <w:rPr>
        <w:rFonts w:ascii="Courier New" w:hAnsi="Courier New" w:cs="Courier New" w:hint="default"/>
      </w:rPr>
    </w:lvl>
    <w:lvl w:ilvl="5" w:tplc="0C090005" w:tentative="1">
      <w:start w:val="1"/>
      <w:numFmt w:val="bullet"/>
      <w:lvlText w:val=""/>
      <w:lvlJc w:val="left"/>
      <w:pPr>
        <w:ind w:left="4882" w:hanging="360"/>
      </w:pPr>
      <w:rPr>
        <w:rFonts w:ascii="Wingdings" w:hAnsi="Wingdings" w:hint="default"/>
      </w:rPr>
    </w:lvl>
    <w:lvl w:ilvl="6" w:tplc="0C090001" w:tentative="1">
      <w:start w:val="1"/>
      <w:numFmt w:val="bullet"/>
      <w:lvlText w:val=""/>
      <w:lvlJc w:val="left"/>
      <w:pPr>
        <w:ind w:left="5602" w:hanging="360"/>
      </w:pPr>
      <w:rPr>
        <w:rFonts w:ascii="Symbol" w:hAnsi="Symbol" w:hint="default"/>
      </w:rPr>
    </w:lvl>
    <w:lvl w:ilvl="7" w:tplc="0C090003" w:tentative="1">
      <w:start w:val="1"/>
      <w:numFmt w:val="bullet"/>
      <w:lvlText w:val="o"/>
      <w:lvlJc w:val="left"/>
      <w:pPr>
        <w:ind w:left="6322" w:hanging="360"/>
      </w:pPr>
      <w:rPr>
        <w:rFonts w:ascii="Courier New" w:hAnsi="Courier New" w:cs="Courier New" w:hint="default"/>
      </w:rPr>
    </w:lvl>
    <w:lvl w:ilvl="8" w:tplc="0C090005" w:tentative="1">
      <w:start w:val="1"/>
      <w:numFmt w:val="bullet"/>
      <w:lvlText w:val=""/>
      <w:lvlJc w:val="left"/>
      <w:pPr>
        <w:ind w:left="7042" w:hanging="360"/>
      </w:pPr>
      <w:rPr>
        <w:rFonts w:ascii="Wingdings" w:hAnsi="Wingdings" w:hint="default"/>
      </w:rPr>
    </w:lvl>
  </w:abstractNum>
  <w:abstractNum w:abstractNumId="79" w15:restartNumberingAfterBreak="0">
    <w:nsid w:val="102F1BFB"/>
    <w:multiLevelType w:val="multilevel"/>
    <w:tmpl w:val="72468C68"/>
    <w:lvl w:ilvl="0">
      <w:start w:val="1"/>
      <w:numFmt w:val="decimal"/>
      <w:pStyle w:val="NotesNumbering"/>
      <w:lvlText w:val="%1."/>
      <w:lvlJc w:val="left"/>
      <w:pPr>
        <w:ind w:left="1211" w:hanging="360"/>
      </w:pPr>
      <w:rPr>
        <w:rFonts w:ascii="Arial" w:hAnsi="Arial" w:hint="default"/>
        <w:b w:val="0"/>
        <w:i/>
        <w:color w:val="F36D00"/>
        <w:sz w:val="16"/>
      </w:rPr>
    </w:lvl>
    <w:lvl w:ilvl="1">
      <w:start w:val="1"/>
      <w:numFmt w:val="lowerLetter"/>
      <w:lvlText w:val="%2."/>
      <w:lvlJc w:val="left"/>
      <w:pPr>
        <w:ind w:left="1418" w:hanging="284"/>
      </w:pPr>
      <w:rPr>
        <w:rFonts w:ascii="Arial" w:hAnsi="Arial" w:hint="default"/>
        <w:b w:val="0"/>
        <w:i/>
        <w:color w:val="F36D00"/>
        <w:sz w:val="16"/>
      </w:rPr>
    </w:lvl>
    <w:lvl w:ilvl="2">
      <w:start w:val="1"/>
      <w:numFmt w:val="lowerRoman"/>
      <w:lvlText w:val="%3."/>
      <w:lvlJc w:val="left"/>
      <w:pPr>
        <w:ind w:left="1701" w:hanging="283"/>
      </w:pPr>
      <w:rPr>
        <w:rFonts w:ascii="Arial" w:hAnsi="Arial" w:hint="default"/>
        <w:b w:val="0"/>
        <w:i/>
        <w:color w:val="F36D00"/>
        <w:sz w:val="16"/>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80" w15:restartNumberingAfterBreak="0">
    <w:nsid w:val="10327E23"/>
    <w:multiLevelType w:val="hybridMultilevel"/>
    <w:tmpl w:val="64045B1C"/>
    <w:lvl w:ilvl="0" w:tplc="0C090001">
      <w:start w:val="1"/>
      <w:numFmt w:val="bullet"/>
      <w:lvlText w:val=""/>
      <w:lvlJc w:val="left"/>
      <w:pPr>
        <w:ind w:left="1282" w:hanging="360"/>
      </w:pPr>
      <w:rPr>
        <w:rFonts w:ascii="Symbol" w:hAnsi="Symbol" w:hint="default"/>
      </w:rPr>
    </w:lvl>
    <w:lvl w:ilvl="1" w:tplc="0C090003">
      <w:start w:val="1"/>
      <w:numFmt w:val="bullet"/>
      <w:lvlText w:val="o"/>
      <w:lvlJc w:val="left"/>
      <w:pPr>
        <w:ind w:left="2002" w:hanging="360"/>
      </w:pPr>
      <w:rPr>
        <w:rFonts w:ascii="Courier New" w:hAnsi="Courier New" w:cs="Courier New" w:hint="default"/>
      </w:rPr>
    </w:lvl>
    <w:lvl w:ilvl="2" w:tplc="0C090005" w:tentative="1">
      <w:start w:val="1"/>
      <w:numFmt w:val="bullet"/>
      <w:lvlText w:val=""/>
      <w:lvlJc w:val="left"/>
      <w:pPr>
        <w:ind w:left="2722" w:hanging="360"/>
      </w:pPr>
      <w:rPr>
        <w:rFonts w:ascii="Wingdings" w:hAnsi="Wingdings" w:hint="default"/>
      </w:rPr>
    </w:lvl>
    <w:lvl w:ilvl="3" w:tplc="0C090001" w:tentative="1">
      <w:start w:val="1"/>
      <w:numFmt w:val="bullet"/>
      <w:lvlText w:val=""/>
      <w:lvlJc w:val="left"/>
      <w:pPr>
        <w:ind w:left="3442" w:hanging="360"/>
      </w:pPr>
      <w:rPr>
        <w:rFonts w:ascii="Symbol" w:hAnsi="Symbol" w:hint="default"/>
      </w:rPr>
    </w:lvl>
    <w:lvl w:ilvl="4" w:tplc="0C090003" w:tentative="1">
      <w:start w:val="1"/>
      <w:numFmt w:val="bullet"/>
      <w:lvlText w:val="o"/>
      <w:lvlJc w:val="left"/>
      <w:pPr>
        <w:ind w:left="4162" w:hanging="360"/>
      </w:pPr>
      <w:rPr>
        <w:rFonts w:ascii="Courier New" w:hAnsi="Courier New" w:cs="Courier New" w:hint="default"/>
      </w:rPr>
    </w:lvl>
    <w:lvl w:ilvl="5" w:tplc="0C090005" w:tentative="1">
      <w:start w:val="1"/>
      <w:numFmt w:val="bullet"/>
      <w:lvlText w:val=""/>
      <w:lvlJc w:val="left"/>
      <w:pPr>
        <w:ind w:left="4882" w:hanging="360"/>
      </w:pPr>
      <w:rPr>
        <w:rFonts w:ascii="Wingdings" w:hAnsi="Wingdings" w:hint="default"/>
      </w:rPr>
    </w:lvl>
    <w:lvl w:ilvl="6" w:tplc="0C090001" w:tentative="1">
      <w:start w:val="1"/>
      <w:numFmt w:val="bullet"/>
      <w:lvlText w:val=""/>
      <w:lvlJc w:val="left"/>
      <w:pPr>
        <w:ind w:left="5602" w:hanging="360"/>
      </w:pPr>
      <w:rPr>
        <w:rFonts w:ascii="Symbol" w:hAnsi="Symbol" w:hint="default"/>
      </w:rPr>
    </w:lvl>
    <w:lvl w:ilvl="7" w:tplc="0C090003" w:tentative="1">
      <w:start w:val="1"/>
      <w:numFmt w:val="bullet"/>
      <w:lvlText w:val="o"/>
      <w:lvlJc w:val="left"/>
      <w:pPr>
        <w:ind w:left="6322" w:hanging="360"/>
      </w:pPr>
      <w:rPr>
        <w:rFonts w:ascii="Courier New" w:hAnsi="Courier New" w:cs="Courier New" w:hint="default"/>
      </w:rPr>
    </w:lvl>
    <w:lvl w:ilvl="8" w:tplc="0C090005" w:tentative="1">
      <w:start w:val="1"/>
      <w:numFmt w:val="bullet"/>
      <w:lvlText w:val=""/>
      <w:lvlJc w:val="left"/>
      <w:pPr>
        <w:ind w:left="7042" w:hanging="360"/>
      </w:pPr>
      <w:rPr>
        <w:rFonts w:ascii="Wingdings" w:hAnsi="Wingdings" w:hint="default"/>
      </w:rPr>
    </w:lvl>
  </w:abstractNum>
  <w:abstractNum w:abstractNumId="81" w15:restartNumberingAfterBreak="0">
    <w:nsid w:val="10427277"/>
    <w:multiLevelType w:val="hybridMultilevel"/>
    <w:tmpl w:val="0568AC70"/>
    <w:lvl w:ilvl="0" w:tplc="9746F0EA">
      <w:start w:val="5"/>
      <w:numFmt w:val="bullet"/>
      <w:lvlText w:val="-"/>
      <w:lvlJc w:val="left"/>
      <w:pPr>
        <w:ind w:left="420" w:hanging="360"/>
      </w:pPr>
      <w:rPr>
        <w:rFonts w:ascii="Arial" w:eastAsia="MS Mincho" w:hAnsi="Arial" w:cs="Arial"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82" w15:restartNumberingAfterBreak="0">
    <w:nsid w:val="10EE2F17"/>
    <w:multiLevelType w:val="multilevel"/>
    <w:tmpl w:val="A4FA73C6"/>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83" w15:restartNumberingAfterBreak="0">
    <w:nsid w:val="111913B6"/>
    <w:multiLevelType w:val="hybridMultilevel"/>
    <w:tmpl w:val="CA2A4B7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115D522E"/>
    <w:multiLevelType w:val="hybridMultilevel"/>
    <w:tmpl w:val="D640118E"/>
    <w:lvl w:ilvl="0" w:tplc="0C090001">
      <w:start w:val="1"/>
      <w:numFmt w:val="bullet"/>
      <w:lvlText w:val=""/>
      <w:lvlJc w:val="left"/>
      <w:pPr>
        <w:ind w:left="754" w:hanging="360"/>
      </w:pPr>
      <w:rPr>
        <w:rFonts w:ascii="Symbol" w:hAnsi="Symbol" w:hint="default"/>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85" w15:restartNumberingAfterBreak="0">
    <w:nsid w:val="11897382"/>
    <w:multiLevelType w:val="hybridMultilevel"/>
    <w:tmpl w:val="83A86126"/>
    <w:lvl w:ilvl="0" w:tplc="4F5A8762">
      <w:start w:val="1"/>
      <w:numFmt w:val="bullet"/>
      <w:lvlText w:val=""/>
      <w:lvlJc w:val="left"/>
      <w:pPr>
        <w:ind w:left="567" w:firstLine="0"/>
      </w:pPr>
      <w:rPr>
        <w:rFonts w:ascii="Symbol" w:hAnsi="Symbol" w:hint="default"/>
      </w:rPr>
    </w:lvl>
    <w:lvl w:ilvl="1" w:tplc="5F1058F8">
      <w:start w:val="1"/>
      <w:numFmt w:val="bullet"/>
      <w:lvlText w:val="–"/>
      <w:lvlJc w:val="left"/>
      <w:pPr>
        <w:ind w:left="567" w:firstLine="567"/>
      </w:pPr>
      <w:rPr>
        <w:rFonts w:ascii="Corbel" w:hAnsi="Corbel"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6" w15:restartNumberingAfterBreak="0">
    <w:nsid w:val="12062570"/>
    <w:multiLevelType w:val="hybridMultilevel"/>
    <w:tmpl w:val="C5DAC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128408C4"/>
    <w:multiLevelType w:val="hybridMultilevel"/>
    <w:tmpl w:val="95D8E87C"/>
    <w:lvl w:ilvl="0" w:tplc="04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8" w15:restartNumberingAfterBreak="0">
    <w:nsid w:val="130D1F01"/>
    <w:multiLevelType w:val="hybridMultilevel"/>
    <w:tmpl w:val="5AE8051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9" w15:restartNumberingAfterBreak="0">
    <w:nsid w:val="1365389A"/>
    <w:multiLevelType w:val="hybridMultilevel"/>
    <w:tmpl w:val="667AD2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0" w15:restartNumberingAfterBreak="0">
    <w:nsid w:val="13AC4FB0"/>
    <w:multiLevelType w:val="hybridMultilevel"/>
    <w:tmpl w:val="D390B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13F97B9B"/>
    <w:multiLevelType w:val="hybridMultilevel"/>
    <w:tmpl w:val="64A441FC"/>
    <w:lvl w:ilvl="0" w:tplc="0C090001">
      <w:start w:val="1"/>
      <w:numFmt w:val="bullet"/>
      <w:lvlText w:val=""/>
      <w:lvlJc w:val="left"/>
      <w:pPr>
        <w:ind w:left="1282" w:hanging="360"/>
      </w:pPr>
      <w:rPr>
        <w:rFonts w:ascii="Symbol" w:hAnsi="Symbol" w:hint="default"/>
      </w:rPr>
    </w:lvl>
    <w:lvl w:ilvl="1" w:tplc="0C090003" w:tentative="1">
      <w:start w:val="1"/>
      <w:numFmt w:val="bullet"/>
      <w:lvlText w:val="o"/>
      <w:lvlJc w:val="left"/>
      <w:pPr>
        <w:ind w:left="2002" w:hanging="360"/>
      </w:pPr>
      <w:rPr>
        <w:rFonts w:ascii="Courier New" w:hAnsi="Courier New" w:cs="Courier New" w:hint="default"/>
      </w:rPr>
    </w:lvl>
    <w:lvl w:ilvl="2" w:tplc="0C090005" w:tentative="1">
      <w:start w:val="1"/>
      <w:numFmt w:val="bullet"/>
      <w:lvlText w:val=""/>
      <w:lvlJc w:val="left"/>
      <w:pPr>
        <w:ind w:left="2722" w:hanging="360"/>
      </w:pPr>
      <w:rPr>
        <w:rFonts w:ascii="Wingdings" w:hAnsi="Wingdings" w:hint="default"/>
      </w:rPr>
    </w:lvl>
    <w:lvl w:ilvl="3" w:tplc="0C090001" w:tentative="1">
      <w:start w:val="1"/>
      <w:numFmt w:val="bullet"/>
      <w:lvlText w:val=""/>
      <w:lvlJc w:val="left"/>
      <w:pPr>
        <w:ind w:left="3442" w:hanging="360"/>
      </w:pPr>
      <w:rPr>
        <w:rFonts w:ascii="Symbol" w:hAnsi="Symbol" w:hint="default"/>
      </w:rPr>
    </w:lvl>
    <w:lvl w:ilvl="4" w:tplc="0C090003" w:tentative="1">
      <w:start w:val="1"/>
      <w:numFmt w:val="bullet"/>
      <w:lvlText w:val="o"/>
      <w:lvlJc w:val="left"/>
      <w:pPr>
        <w:ind w:left="4162" w:hanging="360"/>
      </w:pPr>
      <w:rPr>
        <w:rFonts w:ascii="Courier New" w:hAnsi="Courier New" w:cs="Courier New" w:hint="default"/>
      </w:rPr>
    </w:lvl>
    <w:lvl w:ilvl="5" w:tplc="0C090005" w:tentative="1">
      <w:start w:val="1"/>
      <w:numFmt w:val="bullet"/>
      <w:lvlText w:val=""/>
      <w:lvlJc w:val="left"/>
      <w:pPr>
        <w:ind w:left="4882" w:hanging="360"/>
      </w:pPr>
      <w:rPr>
        <w:rFonts w:ascii="Wingdings" w:hAnsi="Wingdings" w:hint="default"/>
      </w:rPr>
    </w:lvl>
    <w:lvl w:ilvl="6" w:tplc="0C090001" w:tentative="1">
      <w:start w:val="1"/>
      <w:numFmt w:val="bullet"/>
      <w:lvlText w:val=""/>
      <w:lvlJc w:val="left"/>
      <w:pPr>
        <w:ind w:left="5602" w:hanging="360"/>
      </w:pPr>
      <w:rPr>
        <w:rFonts w:ascii="Symbol" w:hAnsi="Symbol" w:hint="default"/>
      </w:rPr>
    </w:lvl>
    <w:lvl w:ilvl="7" w:tplc="0C090003" w:tentative="1">
      <w:start w:val="1"/>
      <w:numFmt w:val="bullet"/>
      <w:lvlText w:val="o"/>
      <w:lvlJc w:val="left"/>
      <w:pPr>
        <w:ind w:left="6322" w:hanging="360"/>
      </w:pPr>
      <w:rPr>
        <w:rFonts w:ascii="Courier New" w:hAnsi="Courier New" w:cs="Courier New" w:hint="default"/>
      </w:rPr>
    </w:lvl>
    <w:lvl w:ilvl="8" w:tplc="0C090005" w:tentative="1">
      <w:start w:val="1"/>
      <w:numFmt w:val="bullet"/>
      <w:lvlText w:val=""/>
      <w:lvlJc w:val="left"/>
      <w:pPr>
        <w:ind w:left="7042" w:hanging="360"/>
      </w:pPr>
      <w:rPr>
        <w:rFonts w:ascii="Wingdings" w:hAnsi="Wingdings" w:hint="default"/>
      </w:rPr>
    </w:lvl>
  </w:abstractNum>
  <w:abstractNum w:abstractNumId="92" w15:restartNumberingAfterBreak="0">
    <w:nsid w:val="14AE1C8E"/>
    <w:multiLevelType w:val="hybridMultilevel"/>
    <w:tmpl w:val="4314C8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14FC49D2"/>
    <w:multiLevelType w:val="hybridMultilevel"/>
    <w:tmpl w:val="9A1835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15EA7563"/>
    <w:multiLevelType w:val="hybridMultilevel"/>
    <w:tmpl w:val="56CC34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16474515"/>
    <w:multiLevelType w:val="hybridMultilevel"/>
    <w:tmpl w:val="FAC4B5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169E6039"/>
    <w:multiLevelType w:val="hybridMultilevel"/>
    <w:tmpl w:val="9078B8E8"/>
    <w:lvl w:ilvl="0" w:tplc="0C090001">
      <w:start w:val="1"/>
      <w:numFmt w:val="bullet"/>
      <w:lvlText w:val=""/>
      <w:lvlJc w:val="left"/>
      <w:pPr>
        <w:ind w:left="1282" w:hanging="360"/>
      </w:pPr>
      <w:rPr>
        <w:rFonts w:ascii="Symbol" w:hAnsi="Symbol" w:hint="default"/>
      </w:rPr>
    </w:lvl>
    <w:lvl w:ilvl="1" w:tplc="0C090003" w:tentative="1">
      <w:start w:val="1"/>
      <w:numFmt w:val="bullet"/>
      <w:lvlText w:val="o"/>
      <w:lvlJc w:val="left"/>
      <w:pPr>
        <w:ind w:left="2002" w:hanging="360"/>
      </w:pPr>
      <w:rPr>
        <w:rFonts w:ascii="Courier New" w:hAnsi="Courier New" w:cs="Courier New" w:hint="default"/>
      </w:rPr>
    </w:lvl>
    <w:lvl w:ilvl="2" w:tplc="0C090005" w:tentative="1">
      <w:start w:val="1"/>
      <w:numFmt w:val="bullet"/>
      <w:lvlText w:val=""/>
      <w:lvlJc w:val="left"/>
      <w:pPr>
        <w:ind w:left="2722" w:hanging="360"/>
      </w:pPr>
      <w:rPr>
        <w:rFonts w:ascii="Wingdings" w:hAnsi="Wingdings" w:hint="default"/>
      </w:rPr>
    </w:lvl>
    <w:lvl w:ilvl="3" w:tplc="0C090001" w:tentative="1">
      <w:start w:val="1"/>
      <w:numFmt w:val="bullet"/>
      <w:lvlText w:val=""/>
      <w:lvlJc w:val="left"/>
      <w:pPr>
        <w:ind w:left="3442" w:hanging="360"/>
      </w:pPr>
      <w:rPr>
        <w:rFonts w:ascii="Symbol" w:hAnsi="Symbol" w:hint="default"/>
      </w:rPr>
    </w:lvl>
    <w:lvl w:ilvl="4" w:tplc="0C090003" w:tentative="1">
      <w:start w:val="1"/>
      <w:numFmt w:val="bullet"/>
      <w:lvlText w:val="o"/>
      <w:lvlJc w:val="left"/>
      <w:pPr>
        <w:ind w:left="4162" w:hanging="360"/>
      </w:pPr>
      <w:rPr>
        <w:rFonts w:ascii="Courier New" w:hAnsi="Courier New" w:cs="Courier New" w:hint="default"/>
      </w:rPr>
    </w:lvl>
    <w:lvl w:ilvl="5" w:tplc="0C090005" w:tentative="1">
      <w:start w:val="1"/>
      <w:numFmt w:val="bullet"/>
      <w:lvlText w:val=""/>
      <w:lvlJc w:val="left"/>
      <w:pPr>
        <w:ind w:left="4882" w:hanging="360"/>
      </w:pPr>
      <w:rPr>
        <w:rFonts w:ascii="Wingdings" w:hAnsi="Wingdings" w:hint="default"/>
      </w:rPr>
    </w:lvl>
    <w:lvl w:ilvl="6" w:tplc="0C090001" w:tentative="1">
      <w:start w:val="1"/>
      <w:numFmt w:val="bullet"/>
      <w:lvlText w:val=""/>
      <w:lvlJc w:val="left"/>
      <w:pPr>
        <w:ind w:left="5602" w:hanging="360"/>
      </w:pPr>
      <w:rPr>
        <w:rFonts w:ascii="Symbol" w:hAnsi="Symbol" w:hint="default"/>
      </w:rPr>
    </w:lvl>
    <w:lvl w:ilvl="7" w:tplc="0C090003" w:tentative="1">
      <w:start w:val="1"/>
      <w:numFmt w:val="bullet"/>
      <w:lvlText w:val="o"/>
      <w:lvlJc w:val="left"/>
      <w:pPr>
        <w:ind w:left="6322" w:hanging="360"/>
      </w:pPr>
      <w:rPr>
        <w:rFonts w:ascii="Courier New" w:hAnsi="Courier New" w:cs="Courier New" w:hint="default"/>
      </w:rPr>
    </w:lvl>
    <w:lvl w:ilvl="8" w:tplc="0C090005" w:tentative="1">
      <w:start w:val="1"/>
      <w:numFmt w:val="bullet"/>
      <w:lvlText w:val=""/>
      <w:lvlJc w:val="left"/>
      <w:pPr>
        <w:ind w:left="7042" w:hanging="360"/>
      </w:pPr>
      <w:rPr>
        <w:rFonts w:ascii="Wingdings" w:hAnsi="Wingdings" w:hint="default"/>
      </w:rPr>
    </w:lvl>
  </w:abstractNum>
  <w:abstractNum w:abstractNumId="97" w15:restartNumberingAfterBreak="0">
    <w:nsid w:val="16A74586"/>
    <w:multiLevelType w:val="hybridMultilevel"/>
    <w:tmpl w:val="AE0A4F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1706716F"/>
    <w:multiLevelType w:val="hybridMultilevel"/>
    <w:tmpl w:val="0E04F38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9" w15:restartNumberingAfterBreak="0">
    <w:nsid w:val="174B4774"/>
    <w:multiLevelType w:val="hybridMultilevel"/>
    <w:tmpl w:val="789C97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17512100"/>
    <w:multiLevelType w:val="hybridMultilevel"/>
    <w:tmpl w:val="654ED7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17DB505E"/>
    <w:multiLevelType w:val="hybridMultilevel"/>
    <w:tmpl w:val="D5CE0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1808172B"/>
    <w:multiLevelType w:val="hybridMultilevel"/>
    <w:tmpl w:val="1FB4949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3" w15:restartNumberingAfterBreak="0">
    <w:nsid w:val="18256A00"/>
    <w:multiLevelType w:val="hybridMultilevel"/>
    <w:tmpl w:val="8F8A4C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18565076"/>
    <w:multiLevelType w:val="hybridMultilevel"/>
    <w:tmpl w:val="C4766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18E5316B"/>
    <w:multiLevelType w:val="hybridMultilevel"/>
    <w:tmpl w:val="384AE8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19464ECC"/>
    <w:multiLevelType w:val="hybridMultilevel"/>
    <w:tmpl w:val="72E666C4"/>
    <w:lvl w:ilvl="0" w:tplc="0C090001">
      <w:start w:val="1"/>
      <w:numFmt w:val="bullet"/>
      <w:lvlText w:val=""/>
      <w:lvlJc w:val="left"/>
      <w:pPr>
        <w:ind w:left="1282" w:hanging="360"/>
      </w:pPr>
      <w:rPr>
        <w:rFonts w:ascii="Symbol" w:hAnsi="Symbol" w:hint="default"/>
      </w:rPr>
    </w:lvl>
    <w:lvl w:ilvl="1" w:tplc="0C090003" w:tentative="1">
      <w:start w:val="1"/>
      <w:numFmt w:val="bullet"/>
      <w:lvlText w:val="o"/>
      <w:lvlJc w:val="left"/>
      <w:pPr>
        <w:ind w:left="2002" w:hanging="360"/>
      </w:pPr>
      <w:rPr>
        <w:rFonts w:ascii="Courier New" w:hAnsi="Courier New" w:cs="Courier New" w:hint="default"/>
      </w:rPr>
    </w:lvl>
    <w:lvl w:ilvl="2" w:tplc="0C090005" w:tentative="1">
      <w:start w:val="1"/>
      <w:numFmt w:val="bullet"/>
      <w:lvlText w:val=""/>
      <w:lvlJc w:val="left"/>
      <w:pPr>
        <w:ind w:left="2722" w:hanging="360"/>
      </w:pPr>
      <w:rPr>
        <w:rFonts w:ascii="Wingdings" w:hAnsi="Wingdings" w:hint="default"/>
      </w:rPr>
    </w:lvl>
    <w:lvl w:ilvl="3" w:tplc="0C090001" w:tentative="1">
      <w:start w:val="1"/>
      <w:numFmt w:val="bullet"/>
      <w:lvlText w:val=""/>
      <w:lvlJc w:val="left"/>
      <w:pPr>
        <w:ind w:left="3442" w:hanging="360"/>
      </w:pPr>
      <w:rPr>
        <w:rFonts w:ascii="Symbol" w:hAnsi="Symbol" w:hint="default"/>
      </w:rPr>
    </w:lvl>
    <w:lvl w:ilvl="4" w:tplc="0C090003" w:tentative="1">
      <w:start w:val="1"/>
      <w:numFmt w:val="bullet"/>
      <w:lvlText w:val="o"/>
      <w:lvlJc w:val="left"/>
      <w:pPr>
        <w:ind w:left="4162" w:hanging="360"/>
      </w:pPr>
      <w:rPr>
        <w:rFonts w:ascii="Courier New" w:hAnsi="Courier New" w:cs="Courier New" w:hint="default"/>
      </w:rPr>
    </w:lvl>
    <w:lvl w:ilvl="5" w:tplc="0C090005" w:tentative="1">
      <w:start w:val="1"/>
      <w:numFmt w:val="bullet"/>
      <w:lvlText w:val=""/>
      <w:lvlJc w:val="left"/>
      <w:pPr>
        <w:ind w:left="4882" w:hanging="360"/>
      </w:pPr>
      <w:rPr>
        <w:rFonts w:ascii="Wingdings" w:hAnsi="Wingdings" w:hint="default"/>
      </w:rPr>
    </w:lvl>
    <w:lvl w:ilvl="6" w:tplc="0C090001" w:tentative="1">
      <w:start w:val="1"/>
      <w:numFmt w:val="bullet"/>
      <w:lvlText w:val=""/>
      <w:lvlJc w:val="left"/>
      <w:pPr>
        <w:ind w:left="5602" w:hanging="360"/>
      </w:pPr>
      <w:rPr>
        <w:rFonts w:ascii="Symbol" w:hAnsi="Symbol" w:hint="default"/>
      </w:rPr>
    </w:lvl>
    <w:lvl w:ilvl="7" w:tplc="0C090003" w:tentative="1">
      <w:start w:val="1"/>
      <w:numFmt w:val="bullet"/>
      <w:lvlText w:val="o"/>
      <w:lvlJc w:val="left"/>
      <w:pPr>
        <w:ind w:left="6322" w:hanging="360"/>
      </w:pPr>
      <w:rPr>
        <w:rFonts w:ascii="Courier New" w:hAnsi="Courier New" w:cs="Courier New" w:hint="default"/>
      </w:rPr>
    </w:lvl>
    <w:lvl w:ilvl="8" w:tplc="0C090005" w:tentative="1">
      <w:start w:val="1"/>
      <w:numFmt w:val="bullet"/>
      <w:lvlText w:val=""/>
      <w:lvlJc w:val="left"/>
      <w:pPr>
        <w:ind w:left="7042" w:hanging="360"/>
      </w:pPr>
      <w:rPr>
        <w:rFonts w:ascii="Wingdings" w:hAnsi="Wingdings" w:hint="default"/>
      </w:rPr>
    </w:lvl>
  </w:abstractNum>
  <w:abstractNum w:abstractNumId="107" w15:restartNumberingAfterBreak="0">
    <w:nsid w:val="19A470CD"/>
    <w:multiLevelType w:val="hybridMultilevel"/>
    <w:tmpl w:val="69D0B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19AE5F8C"/>
    <w:multiLevelType w:val="hybridMultilevel"/>
    <w:tmpl w:val="876E1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19B9089D"/>
    <w:multiLevelType w:val="hybridMultilevel"/>
    <w:tmpl w:val="4DD42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19F16B46"/>
    <w:multiLevelType w:val="multilevel"/>
    <w:tmpl w:val="73FAA676"/>
    <w:lvl w:ilvl="0">
      <w:start w:val="1"/>
      <w:numFmt w:val="decimal"/>
      <w:pStyle w:val="tableitemnumber"/>
      <w:suff w:val="nothing"/>
      <w:lvlText w:val="%1."/>
      <w:lvlJc w:val="left"/>
      <w:pPr>
        <w:ind w:left="284" w:hanging="284"/>
      </w:pPr>
      <w:rPr>
        <w:rFonts w:ascii="Arial" w:hAnsi="Arial" w:hint="default"/>
        <w:b/>
        <w:i w:val="0"/>
        <w:color w:val="191919"/>
        <w:sz w:val="18"/>
      </w:rPr>
    </w:lvl>
    <w:lvl w:ilvl="1">
      <w:start w:val="1"/>
      <w:numFmt w:val="decimal"/>
      <w:suff w:val="nothing"/>
      <w:lvlText w:val="%1.%2"/>
      <w:lvlJc w:val="left"/>
      <w:pPr>
        <w:ind w:left="284" w:hanging="284"/>
      </w:pPr>
      <w:rPr>
        <w:rFonts w:ascii="Arial" w:hAnsi="Arial" w:hint="default"/>
        <w:b/>
        <w:i w:val="0"/>
        <w:color w:val="191919"/>
        <w:sz w:val="18"/>
      </w:rPr>
    </w:lvl>
    <w:lvl w:ilvl="2">
      <w:start w:val="1"/>
      <w:numFmt w:val="lowerLetter"/>
      <w:suff w:val="nothing"/>
      <w:lvlText w:val="%3."/>
      <w:lvlJc w:val="center"/>
      <w:pPr>
        <w:ind w:left="0" w:firstLine="284"/>
      </w:pPr>
      <w:rPr>
        <w:rFonts w:ascii="Arial" w:hAnsi="Arial" w:hint="default"/>
        <w:b/>
        <w:i w:val="0"/>
        <w:color w:val="191919"/>
        <w:sz w:val="1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1" w15:restartNumberingAfterBreak="0">
    <w:nsid w:val="1A5B41AB"/>
    <w:multiLevelType w:val="hybridMultilevel"/>
    <w:tmpl w:val="F2566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1A95024C"/>
    <w:multiLevelType w:val="hybridMultilevel"/>
    <w:tmpl w:val="A1BAEBB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3" w15:restartNumberingAfterBreak="0">
    <w:nsid w:val="1AC939E9"/>
    <w:multiLevelType w:val="hybridMultilevel"/>
    <w:tmpl w:val="B9CA344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1B303B0D"/>
    <w:multiLevelType w:val="hybridMultilevel"/>
    <w:tmpl w:val="08A0384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5" w15:restartNumberingAfterBreak="0">
    <w:nsid w:val="1BA06D03"/>
    <w:multiLevelType w:val="hybridMultilevel"/>
    <w:tmpl w:val="B74C6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1BEA189C"/>
    <w:multiLevelType w:val="hybridMultilevel"/>
    <w:tmpl w:val="8EB42F32"/>
    <w:lvl w:ilvl="0" w:tplc="795069A2">
      <w:start w:val="1"/>
      <w:numFmt w:val="decimal"/>
      <w:lvlText w:val="%1."/>
      <w:lvlJc w:val="left"/>
      <w:pPr>
        <w:ind w:left="1440" w:hanging="360"/>
      </w:pPr>
      <w:rPr>
        <w:rFonts w:hint="default"/>
      </w:r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17" w15:restartNumberingAfterBreak="0">
    <w:nsid w:val="1C080DAE"/>
    <w:multiLevelType w:val="hybridMultilevel"/>
    <w:tmpl w:val="BF28179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8" w15:restartNumberingAfterBreak="0">
    <w:nsid w:val="1C64653A"/>
    <w:multiLevelType w:val="hybridMultilevel"/>
    <w:tmpl w:val="42788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1CB20594"/>
    <w:multiLevelType w:val="hybridMultilevel"/>
    <w:tmpl w:val="7ED40E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1CC848D0"/>
    <w:multiLevelType w:val="hybridMultilevel"/>
    <w:tmpl w:val="1592F5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1CCB3F6A"/>
    <w:multiLevelType w:val="hybridMultilevel"/>
    <w:tmpl w:val="092A0B9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1DE770BB"/>
    <w:multiLevelType w:val="hybridMultilevel"/>
    <w:tmpl w:val="31F4DF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3" w15:restartNumberingAfterBreak="0">
    <w:nsid w:val="1DF27404"/>
    <w:multiLevelType w:val="hybridMultilevel"/>
    <w:tmpl w:val="39D893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1E2A672C"/>
    <w:multiLevelType w:val="hybridMultilevel"/>
    <w:tmpl w:val="7B76D86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5" w15:restartNumberingAfterBreak="0">
    <w:nsid w:val="1E387A5B"/>
    <w:multiLevelType w:val="hybridMultilevel"/>
    <w:tmpl w:val="9320C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1EC80497"/>
    <w:multiLevelType w:val="hybridMultilevel"/>
    <w:tmpl w:val="8D8EE3A0"/>
    <w:lvl w:ilvl="0" w:tplc="25C2CA2C">
      <w:start w:val="1"/>
      <w:numFmt w:val="bullet"/>
      <w:lvlText w:val="-"/>
      <w:lvlJc w:val="left"/>
      <w:pPr>
        <w:ind w:left="102" w:hanging="98"/>
      </w:pPr>
      <w:rPr>
        <w:rFonts w:ascii="Arial" w:eastAsia="Arial" w:hAnsi="Arial" w:hint="default"/>
        <w:w w:val="99"/>
        <w:sz w:val="16"/>
        <w:szCs w:val="16"/>
      </w:rPr>
    </w:lvl>
    <w:lvl w:ilvl="1" w:tplc="A4AA8EC0">
      <w:start w:val="1"/>
      <w:numFmt w:val="bullet"/>
      <w:lvlText w:val="•"/>
      <w:lvlJc w:val="left"/>
      <w:pPr>
        <w:ind w:left="491" w:hanging="98"/>
      </w:pPr>
      <w:rPr>
        <w:rFonts w:hint="default"/>
      </w:rPr>
    </w:lvl>
    <w:lvl w:ilvl="2" w:tplc="F1D079BE">
      <w:start w:val="1"/>
      <w:numFmt w:val="bullet"/>
      <w:lvlText w:val="•"/>
      <w:lvlJc w:val="left"/>
      <w:pPr>
        <w:ind w:left="880" w:hanging="98"/>
      </w:pPr>
      <w:rPr>
        <w:rFonts w:hint="default"/>
      </w:rPr>
    </w:lvl>
    <w:lvl w:ilvl="3" w:tplc="1408CDC4">
      <w:start w:val="1"/>
      <w:numFmt w:val="bullet"/>
      <w:lvlText w:val="•"/>
      <w:lvlJc w:val="left"/>
      <w:pPr>
        <w:ind w:left="1270" w:hanging="98"/>
      </w:pPr>
      <w:rPr>
        <w:rFonts w:hint="default"/>
      </w:rPr>
    </w:lvl>
    <w:lvl w:ilvl="4" w:tplc="922C3214">
      <w:start w:val="1"/>
      <w:numFmt w:val="bullet"/>
      <w:lvlText w:val="•"/>
      <w:lvlJc w:val="left"/>
      <w:pPr>
        <w:ind w:left="1659" w:hanging="98"/>
      </w:pPr>
      <w:rPr>
        <w:rFonts w:hint="default"/>
      </w:rPr>
    </w:lvl>
    <w:lvl w:ilvl="5" w:tplc="739467B6">
      <w:start w:val="1"/>
      <w:numFmt w:val="bullet"/>
      <w:lvlText w:val="•"/>
      <w:lvlJc w:val="left"/>
      <w:pPr>
        <w:ind w:left="2048" w:hanging="98"/>
      </w:pPr>
      <w:rPr>
        <w:rFonts w:hint="default"/>
      </w:rPr>
    </w:lvl>
    <w:lvl w:ilvl="6" w:tplc="14CE8BA0">
      <w:start w:val="1"/>
      <w:numFmt w:val="bullet"/>
      <w:lvlText w:val="•"/>
      <w:lvlJc w:val="left"/>
      <w:pPr>
        <w:ind w:left="2438" w:hanging="98"/>
      </w:pPr>
      <w:rPr>
        <w:rFonts w:hint="default"/>
      </w:rPr>
    </w:lvl>
    <w:lvl w:ilvl="7" w:tplc="255C9C76">
      <w:start w:val="1"/>
      <w:numFmt w:val="bullet"/>
      <w:lvlText w:val="•"/>
      <w:lvlJc w:val="left"/>
      <w:pPr>
        <w:ind w:left="2827" w:hanging="98"/>
      </w:pPr>
      <w:rPr>
        <w:rFonts w:hint="default"/>
      </w:rPr>
    </w:lvl>
    <w:lvl w:ilvl="8" w:tplc="D21C3A6C">
      <w:start w:val="1"/>
      <w:numFmt w:val="bullet"/>
      <w:lvlText w:val="•"/>
      <w:lvlJc w:val="left"/>
      <w:pPr>
        <w:ind w:left="3216" w:hanging="98"/>
      </w:pPr>
      <w:rPr>
        <w:rFonts w:hint="default"/>
      </w:rPr>
    </w:lvl>
  </w:abstractNum>
  <w:abstractNum w:abstractNumId="127" w15:restartNumberingAfterBreak="0">
    <w:nsid w:val="1EEE3706"/>
    <w:multiLevelType w:val="hybridMultilevel"/>
    <w:tmpl w:val="543A8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1EFA1E83"/>
    <w:multiLevelType w:val="hybridMultilevel"/>
    <w:tmpl w:val="CF2443AC"/>
    <w:lvl w:ilvl="0" w:tplc="880E0E60">
      <w:start w:val="1"/>
      <w:numFmt w:val="bullet"/>
      <w:pStyle w:val="Bullet3"/>
      <w:lvlText w:val=""/>
      <w:lvlJc w:val="left"/>
      <w:pPr>
        <w:tabs>
          <w:tab w:val="num" w:pos="2160"/>
        </w:tabs>
        <w:ind w:left="2160" w:hanging="360"/>
      </w:pPr>
      <w:rPr>
        <w:rFonts w:ascii="Symbol" w:hAnsi="Symbol" w:hint="default"/>
      </w:rPr>
    </w:lvl>
    <w:lvl w:ilvl="1" w:tplc="6E5E8F68">
      <w:start w:val="1"/>
      <w:numFmt w:val="bullet"/>
      <w:pStyle w:val="Bullet2"/>
      <w:lvlText w:val="o"/>
      <w:lvlJc w:val="left"/>
      <w:pPr>
        <w:tabs>
          <w:tab w:val="num" w:pos="1440"/>
        </w:tabs>
        <w:ind w:left="1440" w:hanging="360"/>
      </w:pPr>
      <w:rPr>
        <w:rFonts w:ascii="Courier New" w:hAnsi="Courier New" w:cs="Arial"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1F025937"/>
    <w:multiLevelType w:val="hybridMultilevel"/>
    <w:tmpl w:val="AFAE1D7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1F3F6D46"/>
    <w:multiLevelType w:val="hybridMultilevel"/>
    <w:tmpl w:val="4C585AC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31" w15:restartNumberingAfterBreak="0">
    <w:nsid w:val="1F413ADA"/>
    <w:multiLevelType w:val="hybridMultilevel"/>
    <w:tmpl w:val="AF504596"/>
    <w:lvl w:ilvl="0" w:tplc="0C090001">
      <w:start w:val="1"/>
      <w:numFmt w:val="bullet"/>
      <w:lvlText w:val=""/>
      <w:lvlJc w:val="left"/>
      <w:pPr>
        <w:ind w:left="720" w:hanging="360"/>
      </w:pPr>
      <w:rPr>
        <w:rFonts w:ascii="Symbol" w:hAnsi="Symbol" w:hint="default"/>
      </w:rPr>
    </w:lvl>
    <w:lvl w:ilvl="1" w:tplc="215E6542">
      <w:numFmt w:val="bullet"/>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2" w15:restartNumberingAfterBreak="0">
    <w:nsid w:val="1FCA4FF4"/>
    <w:multiLevelType w:val="hybridMultilevel"/>
    <w:tmpl w:val="207EE51C"/>
    <w:styleLink w:val="TableNumberingLevel21"/>
    <w:lvl w:ilvl="0" w:tplc="1174E1B2">
      <w:start w:val="1"/>
      <w:numFmt w:val="bullet"/>
      <w:pStyle w:val="Dash"/>
      <w:lvlText w:val="-"/>
      <w:lvlJc w:val="left"/>
      <w:pPr>
        <w:tabs>
          <w:tab w:val="num" w:pos="-410"/>
        </w:tabs>
        <w:ind w:left="-70" w:hanging="284"/>
      </w:pPr>
      <w:rPr>
        <w:rFonts w:ascii="Souvenir" w:hAnsi="Souvenir" w:hint="default"/>
      </w:rPr>
    </w:lvl>
    <w:lvl w:ilvl="1" w:tplc="04090019">
      <w:start w:val="1"/>
      <w:numFmt w:val="bullet"/>
      <w:lvlText w:val="o"/>
      <w:lvlJc w:val="left"/>
      <w:pPr>
        <w:tabs>
          <w:tab w:val="num" w:pos="-405"/>
        </w:tabs>
        <w:ind w:left="-405" w:hanging="360"/>
      </w:pPr>
      <w:rPr>
        <w:rFonts w:ascii="Courier New" w:hAnsi="Courier New" w:hint="default"/>
      </w:rPr>
    </w:lvl>
    <w:lvl w:ilvl="2" w:tplc="0409001B">
      <w:start w:val="1"/>
      <w:numFmt w:val="bullet"/>
      <w:lvlText w:val=""/>
      <w:lvlJc w:val="left"/>
      <w:pPr>
        <w:tabs>
          <w:tab w:val="num" w:pos="315"/>
        </w:tabs>
        <w:ind w:left="315" w:hanging="360"/>
      </w:pPr>
      <w:rPr>
        <w:rFonts w:ascii="Wingdings" w:hAnsi="Wingdings" w:hint="default"/>
      </w:rPr>
    </w:lvl>
    <w:lvl w:ilvl="3" w:tplc="0409000F" w:tentative="1">
      <w:start w:val="1"/>
      <w:numFmt w:val="bullet"/>
      <w:lvlText w:val=""/>
      <w:lvlJc w:val="left"/>
      <w:pPr>
        <w:tabs>
          <w:tab w:val="num" w:pos="1035"/>
        </w:tabs>
        <w:ind w:left="1035" w:hanging="360"/>
      </w:pPr>
      <w:rPr>
        <w:rFonts w:ascii="Symbol" w:hAnsi="Symbol" w:hint="default"/>
      </w:rPr>
    </w:lvl>
    <w:lvl w:ilvl="4" w:tplc="04090019" w:tentative="1">
      <w:start w:val="1"/>
      <w:numFmt w:val="bullet"/>
      <w:lvlText w:val="o"/>
      <w:lvlJc w:val="left"/>
      <w:pPr>
        <w:tabs>
          <w:tab w:val="num" w:pos="1755"/>
        </w:tabs>
        <w:ind w:left="1755" w:hanging="360"/>
      </w:pPr>
      <w:rPr>
        <w:rFonts w:ascii="Courier New" w:hAnsi="Courier New" w:hint="default"/>
      </w:rPr>
    </w:lvl>
    <w:lvl w:ilvl="5" w:tplc="0409001B" w:tentative="1">
      <w:start w:val="1"/>
      <w:numFmt w:val="bullet"/>
      <w:lvlText w:val=""/>
      <w:lvlJc w:val="left"/>
      <w:pPr>
        <w:tabs>
          <w:tab w:val="num" w:pos="2475"/>
        </w:tabs>
        <w:ind w:left="2475" w:hanging="360"/>
      </w:pPr>
      <w:rPr>
        <w:rFonts w:ascii="Wingdings" w:hAnsi="Wingdings" w:hint="default"/>
      </w:rPr>
    </w:lvl>
    <w:lvl w:ilvl="6" w:tplc="0409000F" w:tentative="1">
      <w:start w:val="1"/>
      <w:numFmt w:val="bullet"/>
      <w:lvlText w:val=""/>
      <w:lvlJc w:val="left"/>
      <w:pPr>
        <w:tabs>
          <w:tab w:val="num" w:pos="3195"/>
        </w:tabs>
        <w:ind w:left="3195" w:hanging="360"/>
      </w:pPr>
      <w:rPr>
        <w:rFonts w:ascii="Symbol" w:hAnsi="Symbol" w:hint="default"/>
      </w:rPr>
    </w:lvl>
    <w:lvl w:ilvl="7" w:tplc="04090019" w:tentative="1">
      <w:start w:val="1"/>
      <w:numFmt w:val="bullet"/>
      <w:lvlText w:val="o"/>
      <w:lvlJc w:val="left"/>
      <w:pPr>
        <w:tabs>
          <w:tab w:val="num" w:pos="3915"/>
        </w:tabs>
        <w:ind w:left="3915" w:hanging="360"/>
      </w:pPr>
      <w:rPr>
        <w:rFonts w:ascii="Courier New" w:hAnsi="Courier New" w:hint="default"/>
      </w:rPr>
    </w:lvl>
    <w:lvl w:ilvl="8" w:tplc="0409001B" w:tentative="1">
      <w:start w:val="1"/>
      <w:numFmt w:val="bullet"/>
      <w:lvlText w:val=""/>
      <w:lvlJc w:val="left"/>
      <w:pPr>
        <w:tabs>
          <w:tab w:val="num" w:pos="4635"/>
        </w:tabs>
        <w:ind w:left="4635" w:hanging="360"/>
      </w:pPr>
      <w:rPr>
        <w:rFonts w:ascii="Wingdings" w:hAnsi="Wingdings" w:hint="default"/>
      </w:rPr>
    </w:lvl>
  </w:abstractNum>
  <w:abstractNum w:abstractNumId="133" w15:restartNumberingAfterBreak="0">
    <w:nsid w:val="1FEA7D78"/>
    <w:multiLevelType w:val="hybridMultilevel"/>
    <w:tmpl w:val="7498834E"/>
    <w:lvl w:ilvl="0" w:tplc="B44079F6">
      <w:start w:val="1"/>
      <w:numFmt w:val="bullet"/>
      <w:lvlText w:val="•"/>
      <w:lvlJc w:val="left"/>
      <w:pPr>
        <w:ind w:left="423" w:hanging="284"/>
      </w:pPr>
      <w:rPr>
        <w:rFonts w:ascii="Symbol" w:eastAsia="Symbol" w:hAnsi="Symbol" w:hint="default"/>
        <w:w w:val="103"/>
        <w:sz w:val="19"/>
        <w:szCs w:val="19"/>
      </w:rPr>
    </w:lvl>
    <w:lvl w:ilvl="1" w:tplc="56D0FBB6">
      <w:start w:val="1"/>
      <w:numFmt w:val="bullet"/>
      <w:lvlText w:val="•"/>
      <w:lvlJc w:val="left"/>
      <w:pPr>
        <w:ind w:left="618" w:hanging="284"/>
      </w:pPr>
      <w:rPr>
        <w:rFonts w:hint="default"/>
      </w:rPr>
    </w:lvl>
    <w:lvl w:ilvl="2" w:tplc="28BC1962">
      <w:start w:val="1"/>
      <w:numFmt w:val="bullet"/>
      <w:lvlText w:val="•"/>
      <w:lvlJc w:val="left"/>
      <w:pPr>
        <w:ind w:left="816" w:hanging="284"/>
      </w:pPr>
      <w:rPr>
        <w:rFonts w:hint="default"/>
      </w:rPr>
    </w:lvl>
    <w:lvl w:ilvl="3" w:tplc="3B3271FC">
      <w:start w:val="1"/>
      <w:numFmt w:val="bullet"/>
      <w:lvlText w:val="•"/>
      <w:lvlJc w:val="left"/>
      <w:pPr>
        <w:ind w:left="1014" w:hanging="284"/>
      </w:pPr>
      <w:rPr>
        <w:rFonts w:hint="default"/>
      </w:rPr>
    </w:lvl>
    <w:lvl w:ilvl="4" w:tplc="702E0CCA">
      <w:start w:val="1"/>
      <w:numFmt w:val="bullet"/>
      <w:lvlText w:val="•"/>
      <w:lvlJc w:val="left"/>
      <w:pPr>
        <w:ind w:left="1212" w:hanging="284"/>
      </w:pPr>
      <w:rPr>
        <w:rFonts w:hint="default"/>
      </w:rPr>
    </w:lvl>
    <w:lvl w:ilvl="5" w:tplc="11B497C4">
      <w:start w:val="1"/>
      <w:numFmt w:val="bullet"/>
      <w:lvlText w:val="•"/>
      <w:lvlJc w:val="left"/>
      <w:pPr>
        <w:ind w:left="1410" w:hanging="284"/>
      </w:pPr>
      <w:rPr>
        <w:rFonts w:hint="default"/>
      </w:rPr>
    </w:lvl>
    <w:lvl w:ilvl="6" w:tplc="D30E6A66">
      <w:start w:val="1"/>
      <w:numFmt w:val="bullet"/>
      <w:lvlText w:val="•"/>
      <w:lvlJc w:val="left"/>
      <w:pPr>
        <w:ind w:left="1608" w:hanging="284"/>
      </w:pPr>
      <w:rPr>
        <w:rFonts w:hint="default"/>
      </w:rPr>
    </w:lvl>
    <w:lvl w:ilvl="7" w:tplc="64547CCA">
      <w:start w:val="1"/>
      <w:numFmt w:val="bullet"/>
      <w:lvlText w:val="•"/>
      <w:lvlJc w:val="left"/>
      <w:pPr>
        <w:ind w:left="1806" w:hanging="284"/>
      </w:pPr>
      <w:rPr>
        <w:rFonts w:hint="default"/>
      </w:rPr>
    </w:lvl>
    <w:lvl w:ilvl="8" w:tplc="F154DB30">
      <w:start w:val="1"/>
      <w:numFmt w:val="bullet"/>
      <w:lvlText w:val="•"/>
      <w:lvlJc w:val="left"/>
      <w:pPr>
        <w:ind w:left="2004" w:hanging="284"/>
      </w:pPr>
      <w:rPr>
        <w:rFonts w:hint="default"/>
      </w:rPr>
    </w:lvl>
  </w:abstractNum>
  <w:abstractNum w:abstractNumId="134" w15:restartNumberingAfterBreak="0">
    <w:nsid w:val="200A58A7"/>
    <w:multiLevelType w:val="hybridMultilevel"/>
    <w:tmpl w:val="824627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15:restartNumberingAfterBreak="0">
    <w:nsid w:val="20A169B1"/>
    <w:multiLevelType w:val="hybridMultilevel"/>
    <w:tmpl w:val="FB381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20A5084C"/>
    <w:multiLevelType w:val="hybridMultilevel"/>
    <w:tmpl w:val="F7E231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20D94DBC"/>
    <w:multiLevelType w:val="hybridMultilevel"/>
    <w:tmpl w:val="B7C0AF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20F215A1"/>
    <w:multiLevelType w:val="hybridMultilevel"/>
    <w:tmpl w:val="F4AE4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20FE73CA"/>
    <w:multiLevelType w:val="hybridMultilevel"/>
    <w:tmpl w:val="A65228CC"/>
    <w:lvl w:ilvl="0" w:tplc="9EF6BF42">
      <w:start w:val="1"/>
      <w:numFmt w:val="bullet"/>
      <w:lvlText w:val="•"/>
      <w:lvlJc w:val="left"/>
      <w:pPr>
        <w:ind w:left="423" w:hanging="284"/>
      </w:pPr>
      <w:rPr>
        <w:rFonts w:ascii="Symbol" w:eastAsia="Symbol" w:hAnsi="Symbol" w:hint="default"/>
        <w:w w:val="103"/>
        <w:sz w:val="19"/>
        <w:szCs w:val="19"/>
      </w:rPr>
    </w:lvl>
    <w:lvl w:ilvl="1" w:tplc="E7542384">
      <w:start w:val="1"/>
      <w:numFmt w:val="bullet"/>
      <w:lvlText w:val="•"/>
      <w:lvlJc w:val="left"/>
      <w:pPr>
        <w:ind w:left="618" w:hanging="284"/>
      </w:pPr>
      <w:rPr>
        <w:rFonts w:hint="default"/>
      </w:rPr>
    </w:lvl>
    <w:lvl w:ilvl="2" w:tplc="F072060C">
      <w:start w:val="1"/>
      <w:numFmt w:val="bullet"/>
      <w:lvlText w:val="•"/>
      <w:lvlJc w:val="left"/>
      <w:pPr>
        <w:ind w:left="816" w:hanging="284"/>
      </w:pPr>
      <w:rPr>
        <w:rFonts w:hint="default"/>
      </w:rPr>
    </w:lvl>
    <w:lvl w:ilvl="3" w:tplc="421CC18A">
      <w:start w:val="1"/>
      <w:numFmt w:val="bullet"/>
      <w:lvlText w:val="•"/>
      <w:lvlJc w:val="left"/>
      <w:pPr>
        <w:ind w:left="1014" w:hanging="284"/>
      </w:pPr>
      <w:rPr>
        <w:rFonts w:hint="default"/>
      </w:rPr>
    </w:lvl>
    <w:lvl w:ilvl="4" w:tplc="49D6EC1C">
      <w:start w:val="1"/>
      <w:numFmt w:val="bullet"/>
      <w:lvlText w:val="•"/>
      <w:lvlJc w:val="left"/>
      <w:pPr>
        <w:ind w:left="1212" w:hanging="284"/>
      </w:pPr>
      <w:rPr>
        <w:rFonts w:hint="default"/>
      </w:rPr>
    </w:lvl>
    <w:lvl w:ilvl="5" w:tplc="796CBB4E">
      <w:start w:val="1"/>
      <w:numFmt w:val="bullet"/>
      <w:lvlText w:val="•"/>
      <w:lvlJc w:val="left"/>
      <w:pPr>
        <w:ind w:left="1410" w:hanging="284"/>
      </w:pPr>
      <w:rPr>
        <w:rFonts w:hint="default"/>
      </w:rPr>
    </w:lvl>
    <w:lvl w:ilvl="6" w:tplc="43741C0E">
      <w:start w:val="1"/>
      <w:numFmt w:val="bullet"/>
      <w:lvlText w:val="•"/>
      <w:lvlJc w:val="left"/>
      <w:pPr>
        <w:ind w:left="1608" w:hanging="284"/>
      </w:pPr>
      <w:rPr>
        <w:rFonts w:hint="default"/>
      </w:rPr>
    </w:lvl>
    <w:lvl w:ilvl="7" w:tplc="8F6A5FE4">
      <w:start w:val="1"/>
      <w:numFmt w:val="bullet"/>
      <w:lvlText w:val="•"/>
      <w:lvlJc w:val="left"/>
      <w:pPr>
        <w:ind w:left="1806" w:hanging="284"/>
      </w:pPr>
      <w:rPr>
        <w:rFonts w:hint="default"/>
      </w:rPr>
    </w:lvl>
    <w:lvl w:ilvl="8" w:tplc="2FE01CFC">
      <w:start w:val="1"/>
      <w:numFmt w:val="bullet"/>
      <w:lvlText w:val="•"/>
      <w:lvlJc w:val="left"/>
      <w:pPr>
        <w:ind w:left="2004" w:hanging="284"/>
      </w:pPr>
      <w:rPr>
        <w:rFonts w:hint="default"/>
      </w:rPr>
    </w:lvl>
  </w:abstractNum>
  <w:abstractNum w:abstractNumId="140" w15:restartNumberingAfterBreak="0">
    <w:nsid w:val="21015554"/>
    <w:multiLevelType w:val="hybridMultilevel"/>
    <w:tmpl w:val="6BE46C9E"/>
    <w:lvl w:ilvl="0" w:tplc="0C090003">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1" w15:restartNumberingAfterBreak="0">
    <w:nsid w:val="2149375C"/>
    <w:multiLevelType w:val="hybridMultilevel"/>
    <w:tmpl w:val="136A4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215F764C"/>
    <w:multiLevelType w:val="hybridMultilevel"/>
    <w:tmpl w:val="499A0C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3" w15:restartNumberingAfterBreak="0">
    <w:nsid w:val="217D7B4E"/>
    <w:multiLevelType w:val="hybridMultilevel"/>
    <w:tmpl w:val="5456BC52"/>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144" w15:restartNumberingAfterBreak="0">
    <w:nsid w:val="21A278CD"/>
    <w:multiLevelType w:val="hybridMultilevel"/>
    <w:tmpl w:val="7BE8E40E"/>
    <w:styleLink w:val="Bullets1"/>
    <w:lvl w:ilvl="0" w:tplc="B4386C16">
      <w:start w:val="1"/>
      <w:numFmt w:val="bullet"/>
      <w:lvlText w:val=""/>
      <w:lvlJc w:val="left"/>
      <w:pPr>
        <w:ind w:left="360" w:hanging="360"/>
      </w:pPr>
      <w:rPr>
        <w:rFonts w:ascii="Symbol" w:hAnsi="Symbol" w:hint="default"/>
      </w:rPr>
    </w:lvl>
    <w:lvl w:ilvl="1" w:tplc="F55C6084">
      <w:start w:val="1"/>
      <w:numFmt w:val="bullet"/>
      <w:lvlText w:val="o"/>
      <w:lvlJc w:val="left"/>
      <w:pPr>
        <w:ind w:left="1080" w:hanging="360"/>
      </w:pPr>
      <w:rPr>
        <w:rFonts w:ascii="Courier New" w:hAnsi="Courier New" w:cs="Courier New" w:hint="default"/>
      </w:rPr>
    </w:lvl>
    <w:lvl w:ilvl="2" w:tplc="222443F8" w:tentative="1">
      <w:start w:val="1"/>
      <w:numFmt w:val="bullet"/>
      <w:lvlText w:val=""/>
      <w:lvlJc w:val="left"/>
      <w:pPr>
        <w:ind w:left="1800" w:hanging="360"/>
      </w:pPr>
      <w:rPr>
        <w:rFonts w:ascii="Wingdings" w:hAnsi="Wingdings" w:hint="default"/>
      </w:rPr>
    </w:lvl>
    <w:lvl w:ilvl="3" w:tplc="E0B646F0">
      <w:start w:val="1"/>
      <w:numFmt w:val="bullet"/>
      <w:lvlText w:val=""/>
      <w:lvlJc w:val="left"/>
      <w:pPr>
        <w:ind w:left="2520" w:hanging="360"/>
      </w:pPr>
      <w:rPr>
        <w:rFonts w:ascii="Symbol" w:hAnsi="Symbol" w:hint="default"/>
      </w:rPr>
    </w:lvl>
    <w:lvl w:ilvl="4" w:tplc="D696D2F8" w:tentative="1">
      <w:start w:val="1"/>
      <w:numFmt w:val="bullet"/>
      <w:lvlText w:val="o"/>
      <w:lvlJc w:val="left"/>
      <w:pPr>
        <w:ind w:left="3240" w:hanging="360"/>
      </w:pPr>
      <w:rPr>
        <w:rFonts w:ascii="Courier New" w:hAnsi="Courier New" w:cs="Courier New" w:hint="default"/>
      </w:rPr>
    </w:lvl>
    <w:lvl w:ilvl="5" w:tplc="FAC4F44E" w:tentative="1">
      <w:start w:val="1"/>
      <w:numFmt w:val="bullet"/>
      <w:lvlText w:val=""/>
      <w:lvlJc w:val="left"/>
      <w:pPr>
        <w:ind w:left="3960" w:hanging="360"/>
      </w:pPr>
      <w:rPr>
        <w:rFonts w:ascii="Wingdings" w:hAnsi="Wingdings" w:hint="default"/>
      </w:rPr>
    </w:lvl>
    <w:lvl w:ilvl="6" w:tplc="10C847DA" w:tentative="1">
      <w:start w:val="1"/>
      <w:numFmt w:val="bullet"/>
      <w:lvlText w:val=""/>
      <w:lvlJc w:val="left"/>
      <w:pPr>
        <w:ind w:left="4680" w:hanging="360"/>
      </w:pPr>
      <w:rPr>
        <w:rFonts w:ascii="Symbol" w:hAnsi="Symbol" w:hint="default"/>
      </w:rPr>
    </w:lvl>
    <w:lvl w:ilvl="7" w:tplc="E6167B8A" w:tentative="1">
      <w:start w:val="1"/>
      <w:numFmt w:val="bullet"/>
      <w:lvlText w:val="o"/>
      <w:lvlJc w:val="left"/>
      <w:pPr>
        <w:ind w:left="5400" w:hanging="360"/>
      </w:pPr>
      <w:rPr>
        <w:rFonts w:ascii="Courier New" w:hAnsi="Courier New" w:cs="Courier New" w:hint="default"/>
      </w:rPr>
    </w:lvl>
    <w:lvl w:ilvl="8" w:tplc="EA2E800E" w:tentative="1">
      <w:start w:val="1"/>
      <w:numFmt w:val="bullet"/>
      <w:lvlText w:val=""/>
      <w:lvlJc w:val="left"/>
      <w:pPr>
        <w:ind w:left="6120" w:hanging="360"/>
      </w:pPr>
      <w:rPr>
        <w:rFonts w:ascii="Wingdings" w:hAnsi="Wingdings" w:hint="default"/>
      </w:rPr>
    </w:lvl>
  </w:abstractNum>
  <w:abstractNum w:abstractNumId="145" w15:restartNumberingAfterBreak="0">
    <w:nsid w:val="21AF68C9"/>
    <w:multiLevelType w:val="multilevel"/>
    <w:tmpl w:val="201C3698"/>
    <w:styleLink w:val="StyleBulleted"/>
    <w:lvl w:ilvl="0">
      <w:start w:val="1"/>
      <w:numFmt w:val="bullet"/>
      <w:lvlText w:val=""/>
      <w:lvlJc w:val="left"/>
      <w:pPr>
        <w:tabs>
          <w:tab w:val="num" w:pos="1134"/>
        </w:tabs>
        <w:ind w:left="1134" w:hanging="283"/>
      </w:pPr>
      <w:rPr>
        <w:rFonts w:ascii="Wingdings" w:hAnsi="Wingdings" w:hint="default"/>
        <w:sz w:val="22"/>
      </w:rPr>
    </w:lvl>
    <w:lvl w:ilvl="1">
      <w:start w:val="1"/>
      <w:numFmt w:val="bullet"/>
      <w:lvlText w:val="o"/>
      <w:lvlJc w:val="left"/>
      <w:pPr>
        <w:tabs>
          <w:tab w:val="num" w:pos="2160"/>
        </w:tabs>
        <w:ind w:left="2160" w:hanging="360"/>
      </w:pPr>
      <w:rPr>
        <w:rFonts w:ascii="Courier New" w:hAnsi="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146" w15:restartNumberingAfterBreak="0">
    <w:nsid w:val="21D35CEA"/>
    <w:multiLevelType w:val="hybridMultilevel"/>
    <w:tmpl w:val="B3C07346"/>
    <w:lvl w:ilvl="0" w:tplc="0C090001">
      <w:start w:val="1"/>
      <w:numFmt w:val="bullet"/>
      <w:lvlText w:val=""/>
      <w:lvlJc w:val="left"/>
      <w:pPr>
        <w:ind w:left="1282" w:hanging="360"/>
      </w:pPr>
      <w:rPr>
        <w:rFonts w:ascii="Symbol" w:hAnsi="Symbol" w:hint="default"/>
      </w:rPr>
    </w:lvl>
    <w:lvl w:ilvl="1" w:tplc="0C090003" w:tentative="1">
      <w:start w:val="1"/>
      <w:numFmt w:val="bullet"/>
      <w:lvlText w:val="o"/>
      <w:lvlJc w:val="left"/>
      <w:pPr>
        <w:ind w:left="2002" w:hanging="360"/>
      </w:pPr>
      <w:rPr>
        <w:rFonts w:ascii="Courier New" w:hAnsi="Courier New" w:cs="Courier New" w:hint="default"/>
      </w:rPr>
    </w:lvl>
    <w:lvl w:ilvl="2" w:tplc="0C090005" w:tentative="1">
      <w:start w:val="1"/>
      <w:numFmt w:val="bullet"/>
      <w:lvlText w:val=""/>
      <w:lvlJc w:val="left"/>
      <w:pPr>
        <w:ind w:left="2722" w:hanging="360"/>
      </w:pPr>
      <w:rPr>
        <w:rFonts w:ascii="Wingdings" w:hAnsi="Wingdings" w:hint="default"/>
      </w:rPr>
    </w:lvl>
    <w:lvl w:ilvl="3" w:tplc="0C090001" w:tentative="1">
      <w:start w:val="1"/>
      <w:numFmt w:val="bullet"/>
      <w:lvlText w:val=""/>
      <w:lvlJc w:val="left"/>
      <w:pPr>
        <w:ind w:left="3442" w:hanging="360"/>
      </w:pPr>
      <w:rPr>
        <w:rFonts w:ascii="Symbol" w:hAnsi="Symbol" w:hint="default"/>
      </w:rPr>
    </w:lvl>
    <w:lvl w:ilvl="4" w:tplc="0C090003" w:tentative="1">
      <w:start w:val="1"/>
      <w:numFmt w:val="bullet"/>
      <w:lvlText w:val="o"/>
      <w:lvlJc w:val="left"/>
      <w:pPr>
        <w:ind w:left="4162" w:hanging="360"/>
      </w:pPr>
      <w:rPr>
        <w:rFonts w:ascii="Courier New" w:hAnsi="Courier New" w:cs="Courier New" w:hint="default"/>
      </w:rPr>
    </w:lvl>
    <w:lvl w:ilvl="5" w:tplc="0C090005" w:tentative="1">
      <w:start w:val="1"/>
      <w:numFmt w:val="bullet"/>
      <w:lvlText w:val=""/>
      <w:lvlJc w:val="left"/>
      <w:pPr>
        <w:ind w:left="4882" w:hanging="360"/>
      </w:pPr>
      <w:rPr>
        <w:rFonts w:ascii="Wingdings" w:hAnsi="Wingdings" w:hint="default"/>
      </w:rPr>
    </w:lvl>
    <w:lvl w:ilvl="6" w:tplc="0C090001" w:tentative="1">
      <w:start w:val="1"/>
      <w:numFmt w:val="bullet"/>
      <w:lvlText w:val=""/>
      <w:lvlJc w:val="left"/>
      <w:pPr>
        <w:ind w:left="5602" w:hanging="360"/>
      </w:pPr>
      <w:rPr>
        <w:rFonts w:ascii="Symbol" w:hAnsi="Symbol" w:hint="default"/>
      </w:rPr>
    </w:lvl>
    <w:lvl w:ilvl="7" w:tplc="0C090003" w:tentative="1">
      <w:start w:val="1"/>
      <w:numFmt w:val="bullet"/>
      <w:lvlText w:val="o"/>
      <w:lvlJc w:val="left"/>
      <w:pPr>
        <w:ind w:left="6322" w:hanging="360"/>
      </w:pPr>
      <w:rPr>
        <w:rFonts w:ascii="Courier New" w:hAnsi="Courier New" w:cs="Courier New" w:hint="default"/>
      </w:rPr>
    </w:lvl>
    <w:lvl w:ilvl="8" w:tplc="0C090005" w:tentative="1">
      <w:start w:val="1"/>
      <w:numFmt w:val="bullet"/>
      <w:lvlText w:val=""/>
      <w:lvlJc w:val="left"/>
      <w:pPr>
        <w:ind w:left="7042" w:hanging="360"/>
      </w:pPr>
      <w:rPr>
        <w:rFonts w:ascii="Wingdings" w:hAnsi="Wingdings" w:hint="default"/>
      </w:rPr>
    </w:lvl>
  </w:abstractNum>
  <w:abstractNum w:abstractNumId="147" w15:restartNumberingAfterBreak="0">
    <w:nsid w:val="21D6415B"/>
    <w:multiLevelType w:val="hybridMultilevel"/>
    <w:tmpl w:val="F9DE737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8" w15:restartNumberingAfterBreak="0">
    <w:nsid w:val="222177AB"/>
    <w:multiLevelType w:val="hybridMultilevel"/>
    <w:tmpl w:val="487E5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22750C6C"/>
    <w:multiLevelType w:val="hybridMultilevel"/>
    <w:tmpl w:val="69485B40"/>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50" w15:restartNumberingAfterBreak="0">
    <w:nsid w:val="22886323"/>
    <w:multiLevelType w:val="hybridMultilevel"/>
    <w:tmpl w:val="FA7E5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22CD59FE"/>
    <w:multiLevelType w:val="hybridMultilevel"/>
    <w:tmpl w:val="B0984036"/>
    <w:lvl w:ilvl="0" w:tplc="0EBEF33A">
      <w:start w:val="3"/>
      <w:numFmt w:val="bullet"/>
      <w:lvlText w:val="-"/>
      <w:lvlJc w:val="left"/>
      <w:pPr>
        <w:ind w:left="720" w:hanging="360"/>
      </w:pPr>
      <w:rPr>
        <w:rFonts w:ascii="Arial" w:eastAsia="SimSu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2" w15:restartNumberingAfterBreak="0">
    <w:nsid w:val="22EF5278"/>
    <w:multiLevelType w:val="hybridMultilevel"/>
    <w:tmpl w:val="2BD875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3" w15:restartNumberingAfterBreak="0">
    <w:nsid w:val="233326B5"/>
    <w:multiLevelType w:val="hybridMultilevel"/>
    <w:tmpl w:val="4BD48238"/>
    <w:lvl w:ilvl="0" w:tplc="CF78BE90">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4" w15:restartNumberingAfterBreak="0">
    <w:nsid w:val="235369A3"/>
    <w:multiLevelType w:val="hybridMultilevel"/>
    <w:tmpl w:val="C0CCC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238E32AD"/>
    <w:multiLevelType w:val="hybridMultilevel"/>
    <w:tmpl w:val="9380FE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6" w15:restartNumberingAfterBreak="0">
    <w:nsid w:val="239A0CDE"/>
    <w:multiLevelType w:val="hybridMultilevel"/>
    <w:tmpl w:val="056E9CA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57" w15:restartNumberingAfterBreak="0">
    <w:nsid w:val="23C56BF6"/>
    <w:multiLevelType w:val="hybridMultilevel"/>
    <w:tmpl w:val="1CE0FF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24034E9A"/>
    <w:multiLevelType w:val="hybridMultilevel"/>
    <w:tmpl w:val="7752E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240D3ACC"/>
    <w:multiLevelType w:val="hybridMultilevel"/>
    <w:tmpl w:val="C6A4185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60" w15:restartNumberingAfterBreak="0">
    <w:nsid w:val="244946E7"/>
    <w:multiLevelType w:val="hybridMultilevel"/>
    <w:tmpl w:val="7B84D68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1" w15:restartNumberingAfterBreak="0">
    <w:nsid w:val="24644287"/>
    <w:multiLevelType w:val="hybridMultilevel"/>
    <w:tmpl w:val="035427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2" w15:restartNumberingAfterBreak="0">
    <w:nsid w:val="246A2207"/>
    <w:multiLevelType w:val="hybridMultilevel"/>
    <w:tmpl w:val="61289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24760B23"/>
    <w:multiLevelType w:val="hybridMultilevel"/>
    <w:tmpl w:val="EA0C6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249117AA"/>
    <w:multiLevelType w:val="hybridMultilevel"/>
    <w:tmpl w:val="26B41EC6"/>
    <w:lvl w:ilvl="0" w:tplc="DDB87298">
      <w:start w:val="1"/>
      <w:numFmt w:val="bullet"/>
      <w:lvlText w:val="•"/>
      <w:lvlJc w:val="left"/>
      <w:pPr>
        <w:ind w:left="423" w:hanging="284"/>
      </w:pPr>
      <w:rPr>
        <w:rFonts w:ascii="Symbol" w:eastAsia="Symbol" w:hAnsi="Symbol" w:hint="default"/>
        <w:w w:val="103"/>
        <w:sz w:val="19"/>
        <w:szCs w:val="19"/>
      </w:rPr>
    </w:lvl>
    <w:lvl w:ilvl="1" w:tplc="B9D6D0C6">
      <w:start w:val="1"/>
      <w:numFmt w:val="bullet"/>
      <w:lvlText w:val="•"/>
      <w:lvlJc w:val="left"/>
      <w:pPr>
        <w:ind w:left="618" w:hanging="284"/>
      </w:pPr>
      <w:rPr>
        <w:rFonts w:hint="default"/>
      </w:rPr>
    </w:lvl>
    <w:lvl w:ilvl="2" w:tplc="D2DCD374">
      <w:start w:val="1"/>
      <w:numFmt w:val="bullet"/>
      <w:lvlText w:val="•"/>
      <w:lvlJc w:val="left"/>
      <w:pPr>
        <w:ind w:left="816" w:hanging="284"/>
      </w:pPr>
      <w:rPr>
        <w:rFonts w:hint="default"/>
      </w:rPr>
    </w:lvl>
    <w:lvl w:ilvl="3" w:tplc="CADE2B48">
      <w:start w:val="1"/>
      <w:numFmt w:val="bullet"/>
      <w:lvlText w:val="•"/>
      <w:lvlJc w:val="left"/>
      <w:pPr>
        <w:ind w:left="1014" w:hanging="284"/>
      </w:pPr>
      <w:rPr>
        <w:rFonts w:hint="default"/>
      </w:rPr>
    </w:lvl>
    <w:lvl w:ilvl="4" w:tplc="E112F65E">
      <w:start w:val="1"/>
      <w:numFmt w:val="bullet"/>
      <w:lvlText w:val="•"/>
      <w:lvlJc w:val="left"/>
      <w:pPr>
        <w:ind w:left="1212" w:hanging="284"/>
      </w:pPr>
      <w:rPr>
        <w:rFonts w:hint="default"/>
      </w:rPr>
    </w:lvl>
    <w:lvl w:ilvl="5" w:tplc="31722AB2">
      <w:start w:val="1"/>
      <w:numFmt w:val="bullet"/>
      <w:lvlText w:val="•"/>
      <w:lvlJc w:val="left"/>
      <w:pPr>
        <w:ind w:left="1410" w:hanging="284"/>
      </w:pPr>
      <w:rPr>
        <w:rFonts w:hint="default"/>
      </w:rPr>
    </w:lvl>
    <w:lvl w:ilvl="6" w:tplc="40043E40">
      <w:start w:val="1"/>
      <w:numFmt w:val="bullet"/>
      <w:lvlText w:val="•"/>
      <w:lvlJc w:val="left"/>
      <w:pPr>
        <w:ind w:left="1608" w:hanging="284"/>
      </w:pPr>
      <w:rPr>
        <w:rFonts w:hint="default"/>
      </w:rPr>
    </w:lvl>
    <w:lvl w:ilvl="7" w:tplc="9998060E">
      <w:start w:val="1"/>
      <w:numFmt w:val="bullet"/>
      <w:lvlText w:val="•"/>
      <w:lvlJc w:val="left"/>
      <w:pPr>
        <w:ind w:left="1806" w:hanging="284"/>
      </w:pPr>
      <w:rPr>
        <w:rFonts w:hint="default"/>
      </w:rPr>
    </w:lvl>
    <w:lvl w:ilvl="8" w:tplc="C6DC93C4">
      <w:start w:val="1"/>
      <w:numFmt w:val="bullet"/>
      <w:lvlText w:val="•"/>
      <w:lvlJc w:val="left"/>
      <w:pPr>
        <w:ind w:left="2004" w:hanging="284"/>
      </w:pPr>
      <w:rPr>
        <w:rFonts w:hint="default"/>
      </w:rPr>
    </w:lvl>
  </w:abstractNum>
  <w:abstractNum w:abstractNumId="165" w15:restartNumberingAfterBreak="0">
    <w:nsid w:val="259E4663"/>
    <w:multiLevelType w:val="hybridMultilevel"/>
    <w:tmpl w:val="F3A226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25F26EBB"/>
    <w:multiLevelType w:val="hybridMultilevel"/>
    <w:tmpl w:val="A57C07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265B3731"/>
    <w:multiLevelType w:val="hybridMultilevel"/>
    <w:tmpl w:val="27183F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8" w15:restartNumberingAfterBreak="0">
    <w:nsid w:val="26B809A0"/>
    <w:multiLevelType w:val="multilevel"/>
    <w:tmpl w:val="0576BC02"/>
    <w:styleLink w:val="Table1Numbering"/>
    <w:lvl w:ilvl="0">
      <w:start w:val="1"/>
      <w:numFmt w:val="decimal"/>
      <w:lvlText w:val="%1."/>
      <w:lvlJc w:val="left"/>
      <w:pPr>
        <w:tabs>
          <w:tab w:val="num" w:pos="1134"/>
        </w:tabs>
        <w:ind w:left="1134" w:hanging="283"/>
      </w:pPr>
      <w:rPr>
        <w:rFonts w:hint="default"/>
      </w:rPr>
    </w:lvl>
    <w:lvl w:ilvl="1">
      <w:start w:val="1"/>
      <w:numFmt w:val="lowerLetter"/>
      <w:lvlText w:val="%2."/>
      <w:lvlJc w:val="left"/>
      <w:pPr>
        <w:tabs>
          <w:tab w:val="num" w:pos="1418"/>
        </w:tabs>
        <w:ind w:left="1418" w:hanging="284"/>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9" w15:restartNumberingAfterBreak="0">
    <w:nsid w:val="26F35F92"/>
    <w:multiLevelType w:val="hybridMultilevel"/>
    <w:tmpl w:val="574432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26F409FF"/>
    <w:multiLevelType w:val="multilevel"/>
    <w:tmpl w:val="D51AD91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1" w15:restartNumberingAfterBreak="0">
    <w:nsid w:val="270A5634"/>
    <w:multiLevelType w:val="hybridMultilevel"/>
    <w:tmpl w:val="C4708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276201BD"/>
    <w:multiLevelType w:val="multilevel"/>
    <w:tmpl w:val="AB6255AE"/>
    <w:styleLink w:val="Procedurebulleted1"/>
    <w:lvl w:ilvl="0">
      <w:start w:val="1"/>
      <w:numFmt w:val="decimal"/>
      <w:lvlText w:val="%1."/>
      <w:lvlJc w:val="left"/>
      <w:pPr>
        <w:tabs>
          <w:tab w:val="num" w:pos="360"/>
        </w:tabs>
        <w:ind w:left="360" w:hanging="360"/>
      </w:pPr>
      <w:rPr>
        <w:rFonts w:ascii="Trebuchet MS" w:hAnsi="Trebuchet MS" w:cs="Times New Roman"/>
      </w:rPr>
    </w:lvl>
    <w:lvl w:ilvl="1">
      <w:start w:val="1"/>
      <w:numFmt w:val="lowerLetter"/>
      <w:lvlText w:val="%2."/>
      <w:lvlJc w:val="left"/>
      <w:pPr>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73" w15:restartNumberingAfterBreak="0">
    <w:nsid w:val="27675634"/>
    <w:multiLevelType w:val="hybridMultilevel"/>
    <w:tmpl w:val="C6044266"/>
    <w:lvl w:ilvl="0" w:tplc="0C090001">
      <w:start w:val="1"/>
      <w:numFmt w:val="bullet"/>
      <w:pStyle w:val="TableBulletform"/>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4" w15:restartNumberingAfterBreak="0">
    <w:nsid w:val="277A3A62"/>
    <w:multiLevelType w:val="hybridMultilevel"/>
    <w:tmpl w:val="0DF4A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2782571E"/>
    <w:multiLevelType w:val="hybridMultilevel"/>
    <w:tmpl w:val="DACEA9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6" w15:restartNumberingAfterBreak="0">
    <w:nsid w:val="279D7A96"/>
    <w:multiLevelType w:val="hybridMultilevel"/>
    <w:tmpl w:val="16A8A9D6"/>
    <w:styleLink w:val="Procedurebullet1"/>
    <w:lvl w:ilvl="0" w:tplc="B0D095BA">
      <w:start w:val="1"/>
      <w:numFmt w:val="bullet"/>
      <w:pStyle w:val="Tablebullet2"/>
      <w:lvlText w:val="o"/>
      <w:lvlJc w:val="left"/>
      <w:pPr>
        <w:ind w:left="720" w:hanging="360"/>
      </w:pPr>
      <w:rPr>
        <w:rFonts w:ascii="Courier New" w:hAnsi="Courier New" w:hint="default"/>
      </w:rPr>
    </w:lvl>
    <w:lvl w:ilvl="1" w:tplc="6EEE17DA">
      <w:start w:val="1"/>
      <w:numFmt w:val="bullet"/>
      <w:lvlText w:val="o"/>
      <w:lvlJc w:val="left"/>
      <w:pPr>
        <w:ind w:left="1440" w:hanging="360"/>
      </w:pPr>
      <w:rPr>
        <w:rFonts w:ascii="Courier New" w:hAnsi="Courier New" w:hint="default"/>
      </w:rPr>
    </w:lvl>
    <w:lvl w:ilvl="2" w:tplc="75F844BE" w:tentative="1">
      <w:start w:val="1"/>
      <w:numFmt w:val="bullet"/>
      <w:pStyle w:val="Heading3b"/>
      <w:lvlText w:val=""/>
      <w:lvlJc w:val="left"/>
      <w:pPr>
        <w:ind w:left="2160" w:hanging="360"/>
      </w:pPr>
      <w:rPr>
        <w:rFonts w:ascii="Wingdings" w:hAnsi="Wingdings" w:hint="default"/>
      </w:rPr>
    </w:lvl>
    <w:lvl w:ilvl="3" w:tplc="7C22BDA2" w:tentative="1">
      <w:start w:val="1"/>
      <w:numFmt w:val="bullet"/>
      <w:lvlText w:val=""/>
      <w:lvlJc w:val="left"/>
      <w:pPr>
        <w:ind w:left="2880" w:hanging="360"/>
      </w:pPr>
      <w:rPr>
        <w:rFonts w:ascii="Symbol" w:hAnsi="Symbol" w:hint="default"/>
      </w:rPr>
    </w:lvl>
    <w:lvl w:ilvl="4" w:tplc="96C6BB44" w:tentative="1">
      <w:start w:val="1"/>
      <w:numFmt w:val="bullet"/>
      <w:lvlText w:val="o"/>
      <w:lvlJc w:val="left"/>
      <w:pPr>
        <w:ind w:left="3600" w:hanging="360"/>
      </w:pPr>
      <w:rPr>
        <w:rFonts w:ascii="Courier New" w:hAnsi="Courier New" w:hint="default"/>
      </w:rPr>
    </w:lvl>
    <w:lvl w:ilvl="5" w:tplc="B2CA5CEE" w:tentative="1">
      <w:start w:val="1"/>
      <w:numFmt w:val="bullet"/>
      <w:lvlText w:val=""/>
      <w:lvlJc w:val="left"/>
      <w:pPr>
        <w:ind w:left="4320" w:hanging="360"/>
      </w:pPr>
      <w:rPr>
        <w:rFonts w:ascii="Wingdings" w:hAnsi="Wingdings" w:hint="default"/>
      </w:rPr>
    </w:lvl>
    <w:lvl w:ilvl="6" w:tplc="9E9689F6" w:tentative="1">
      <w:start w:val="1"/>
      <w:numFmt w:val="bullet"/>
      <w:lvlText w:val=""/>
      <w:lvlJc w:val="left"/>
      <w:pPr>
        <w:ind w:left="5040" w:hanging="360"/>
      </w:pPr>
      <w:rPr>
        <w:rFonts w:ascii="Symbol" w:hAnsi="Symbol" w:hint="default"/>
      </w:rPr>
    </w:lvl>
    <w:lvl w:ilvl="7" w:tplc="2876B332" w:tentative="1">
      <w:start w:val="1"/>
      <w:numFmt w:val="bullet"/>
      <w:lvlText w:val="o"/>
      <w:lvlJc w:val="left"/>
      <w:pPr>
        <w:ind w:left="5760" w:hanging="360"/>
      </w:pPr>
      <w:rPr>
        <w:rFonts w:ascii="Courier New" w:hAnsi="Courier New" w:hint="default"/>
      </w:rPr>
    </w:lvl>
    <w:lvl w:ilvl="8" w:tplc="337A3084" w:tentative="1">
      <w:start w:val="1"/>
      <w:numFmt w:val="bullet"/>
      <w:lvlText w:val=""/>
      <w:lvlJc w:val="left"/>
      <w:pPr>
        <w:ind w:left="6480" w:hanging="360"/>
      </w:pPr>
      <w:rPr>
        <w:rFonts w:ascii="Wingdings" w:hAnsi="Wingdings" w:hint="default"/>
      </w:rPr>
    </w:lvl>
  </w:abstractNum>
  <w:abstractNum w:abstractNumId="177" w15:restartNumberingAfterBreak="0">
    <w:nsid w:val="27A50D2B"/>
    <w:multiLevelType w:val="hybridMultilevel"/>
    <w:tmpl w:val="B1302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8" w15:restartNumberingAfterBreak="0">
    <w:nsid w:val="28144048"/>
    <w:multiLevelType w:val="multilevel"/>
    <w:tmpl w:val="6E844402"/>
    <w:styleLink w:val="Procedurebulleted"/>
    <w:lvl w:ilvl="0">
      <w:start w:val="1"/>
      <w:numFmt w:val="bullet"/>
      <w:lvlText w:val=""/>
      <w:lvlJc w:val="left"/>
      <w:pPr>
        <w:ind w:left="1429" w:hanging="360"/>
      </w:pPr>
      <w:rPr>
        <w:rFonts w:ascii="Symbol" w:hAnsi="Symbol"/>
        <w:color w:val="808080"/>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179" w15:restartNumberingAfterBreak="0">
    <w:nsid w:val="282C5F86"/>
    <w:multiLevelType w:val="hybridMultilevel"/>
    <w:tmpl w:val="E9B8CD18"/>
    <w:lvl w:ilvl="0" w:tplc="AF34F50C">
      <w:start w:val="1"/>
      <w:numFmt w:val="bullet"/>
      <w:lvlText w:val="•"/>
      <w:lvlJc w:val="left"/>
      <w:pPr>
        <w:ind w:left="423" w:hanging="284"/>
      </w:pPr>
      <w:rPr>
        <w:rFonts w:ascii="Symbol" w:eastAsia="Symbol" w:hAnsi="Symbol" w:hint="default"/>
        <w:w w:val="103"/>
        <w:sz w:val="19"/>
        <w:szCs w:val="19"/>
      </w:rPr>
    </w:lvl>
    <w:lvl w:ilvl="1" w:tplc="69C2B25E">
      <w:start w:val="1"/>
      <w:numFmt w:val="bullet"/>
      <w:lvlText w:val="•"/>
      <w:lvlJc w:val="left"/>
      <w:pPr>
        <w:ind w:left="618" w:hanging="284"/>
      </w:pPr>
      <w:rPr>
        <w:rFonts w:hint="default"/>
      </w:rPr>
    </w:lvl>
    <w:lvl w:ilvl="2" w:tplc="7386441A">
      <w:start w:val="1"/>
      <w:numFmt w:val="bullet"/>
      <w:lvlText w:val="•"/>
      <w:lvlJc w:val="left"/>
      <w:pPr>
        <w:ind w:left="816" w:hanging="284"/>
      </w:pPr>
      <w:rPr>
        <w:rFonts w:hint="default"/>
      </w:rPr>
    </w:lvl>
    <w:lvl w:ilvl="3" w:tplc="1DDE3A9C">
      <w:start w:val="1"/>
      <w:numFmt w:val="bullet"/>
      <w:lvlText w:val="•"/>
      <w:lvlJc w:val="left"/>
      <w:pPr>
        <w:ind w:left="1014" w:hanging="284"/>
      </w:pPr>
      <w:rPr>
        <w:rFonts w:hint="default"/>
      </w:rPr>
    </w:lvl>
    <w:lvl w:ilvl="4" w:tplc="EDDCD670">
      <w:start w:val="1"/>
      <w:numFmt w:val="bullet"/>
      <w:lvlText w:val="•"/>
      <w:lvlJc w:val="left"/>
      <w:pPr>
        <w:ind w:left="1212" w:hanging="284"/>
      </w:pPr>
      <w:rPr>
        <w:rFonts w:hint="default"/>
      </w:rPr>
    </w:lvl>
    <w:lvl w:ilvl="5" w:tplc="45BA6E86">
      <w:start w:val="1"/>
      <w:numFmt w:val="bullet"/>
      <w:lvlText w:val="•"/>
      <w:lvlJc w:val="left"/>
      <w:pPr>
        <w:ind w:left="1410" w:hanging="284"/>
      </w:pPr>
      <w:rPr>
        <w:rFonts w:hint="default"/>
      </w:rPr>
    </w:lvl>
    <w:lvl w:ilvl="6" w:tplc="7A627800">
      <w:start w:val="1"/>
      <w:numFmt w:val="bullet"/>
      <w:lvlText w:val="•"/>
      <w:lvlJc w:val="left"/>
      <w:pPr>
        <w:ind w:left="1608" w:hanging="284"/>
      </w:pPr>
      <w:rPr>
        <w:rFonts w:hint="default"/>
      </w:rPr>
    </w:lvl>
    <w:lvl w:ilvl="7" w:tplc="F69AF58C">
      <w:start w:val="1"/>
      <w:numFmt w:val="bullet"/>
      <w:lvlText w:val="•"/>
      <w:lvlJc w:val="left"/>
      <w:pPr>
        <w:ind w:left="1806" w:hanging="284"/>
      </w:pPr>
      <w:rPr>
        <w:rFonts w:hint="default"/>
      </w:rPr>
    </w:lvl>
    <w:lvl w:ilvl="8" w:tplc="8CD8A5E4">
      <w:start w:val="1"/>
      <w:numFmt w:val="bullet"/>
      <w:lvlText w:val="•"/>
      <w:lvlJc w:val="left"/>
      <w:pPr>
        <w:ind w:left="2004" w:hanging="284"/>
      </w:pPr>
      <w:rPr>
        <w:rFonts w:hint="default"/>
      </w:rPr>
    </w:lvl>
  </w:abstractNum>
  <w:abstractNum w:abstractNumId="180" w15:restartNumberingAfterBreak="0">
    <w:nsid w:val="28690AEF"/>
    <w:multiLevelType w:val="hybridMultilevel"/>
    <w:tmpl w:val="24C4C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286D0BA5"/>
    <w:multiLevelType w:val="hybridMultilevel"/>
    <w:tmpl w:val="5A82BEA4"/>
    <w:lvl w:ilvl="0" w:tplc="A170C4CC">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2" w15:restartNumberingAfterBreak="0">
    <w:nsid w:val="287D0BDE"/>
    <w:multiLevelType w:val="hybridMultilevel"/>
    <w:tmpl w:val="055AAC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3" w15:restartNumberingAfterBreak="0">
    <w:nsid w:val="28AC773F"/>
    <w:multiLevelType w:val="hybridMultilevel"/>
    <w:tmpl w:val="DFBAA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28BB4BD7"/>
    <w:multiLevelType w:val="hybridMultilevel"/>
    <w:tmpl w:val="80AA84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5" w15:restartNumberingAfterBreak="0">
    <w:nsid w:val="28ED56FB"/>
    <w:multiLevelType w:val="hybridMultilevel"/>
    <w:tmpl w:val="4E4C1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296536AB"/>
    <w:multiLevelType w:val="multilevel"/>
    <w:tmpl w:val="433A9114"/>
    <w:lvl w:ilvl="0">
      <w:start w:val="1"/>
      <w:numFmt w:val="decimal"/>
      <w:pStyle w:val="AppendixHeading"/>
      <w:suff w:val="space"/>
      <w:lvlText w:val="Appendix %1 -"/>
      <w:lvlJc w:val="left"/>
      <w:pPr>
        <w:ind w:left="0" w:firstLine="0"/>
      </w:pPr>
      <w:rPr>
        <w:rFonts w:ascii="Arial Bold" w:hAnsi="Arial Bold" w:hint="default"/>
        <w:b/>
        <w:i w:val="0"/>
        <w:sz w:val="32"/>
      </w:rPr>
    </w:lvl>
    <w:lvl w:ilvl="1">
      <w:start w:val="1"/>
      <w:numFmt w:val="decimalZero"/>
      <w:isLgl/>
      <w:lvlText w:val="A.%1.%2"/>
      <w:lvlJc w:val="left"/>
      <w:pPr>
        <w:ind w:left="0" w:firstLine="0"/>
      </w:pPr>
      <w:rPr>
        <w:rFonts w:ascii="Arial Bold" w:hAnsi="Arial Bold" w:hint="default"/>
        <w:b/>
        <w:i w:val="0"/>
        <w:sz w:val="24"/>
      </w:rPr>
    </w:lvl>
    <w:lvl w:ilvl="2">
      <w:start w:val="1"/>
      <w:numFmt w:val="lowerLetter"/>
      <w:lvlText w:val="(%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187" w15:restartNumberingAfterBreak="0">
    <w:nsid w:val="29B23DD9"/>
    <w:multiLevelType w:val="hybridMultilevel"/>
    <w:tmpl w:val="DCB49E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8" w15:restartNumberingAfterBreak="0">
    <w:nsid w:val="2B0351E1"/>
    <w:multiLevelType w:val="multilevel"/>
    <w:tmpl w:val="BE74FBF0"/>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89" w15:restartNumberingAfterBreak="0">
    <w:nsid w:val="2B0B1286"/>
    <w:multiLevelType w:val="hybridMultilevel"/>
    <w:tmpl w:val="C37C1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2B383105"/>
    <w:multiLevelType w:val="hybridMultilevel"/>
    <w:tmpl w:val="80D867FC"/>
    <w:lvl w:ilvl="0" w:tplc="0C090001">
      <w:start w:val="1"/>
      <w:numFmt w:val="bullet"/>
      <w:lvlText w:val=""/>
      <w:lvlJc w:val="left"/>
      <w:pPr>
        <w:ind w:left="1282" w:hanging="360"/>
      </w:pPr>
      <w:rPr>
        <w:rFonts w:ascii="Symbol" w:hAnsi="Symbol" w:hint="default"/>
      </w:rPr>
    </w:lvl>
    <w:lvl w:ilvl="1" w:tplc="0C090003" w:tentative="1">
      <w:start w:val="1"/>
      <w:numFmt w:val="bullet"/>
      <w:lvlText w:val="o"/>
      <w:lvlJc w:val="left"/>
      <w:pPr>
        <w:ind w:left="2002" w:hanging="360"/>
      </w:pPr>
      <w:rPr>
        <w:rFonts w:ascii="Courier New" w:hAnsi="Courier New" w:cs="Courier New" w:hint="default"/>
      </w:rPr>
    </w:lvl>
    <w:lvl w:ilvl="2" w:tplc="0C090005" w:tentative="1">
      <w:start w:val="1"/>
      <w:numFmt w:val="bullet"/>
      <w:lvlText w:val=""/>
      <w:lvlJc w:val="left"/>
      <w:pPr>
        <w:ind w:left="2722" w:hanging="360"/>
      </w:pPr>
      <w:rPr>
        <w:rFonts w:ascii="Wingdings" w:hAnsi="Wingdings" w:hint="default"/>
      </w:rPr>
    </w:lvl>
    <w:lvl w:ilvl="3" w:tplc="0C090001" w:tentative="1">
      <w:start w:val="1"/>
      <w:numFmt w:val="bullet"/>
      <w:lvlText w:val=""/>
      <w:lvlJc w:val="left"/>
      <w:pPr>
        <w:ind w:left="3442" w:hanging="360"/>
      </w:pPr>
      <w:rPr>
        <w:rFonts w:ascii="Symbol" w:hAnsi="Symbol" w:hint="default"/>
      </w:rPr>
    </w:lvl>
    <w:lvl w:ilvl="4" w:tplc="0C090003" w:tentative="1">
      <w:start w:val="1"/>
      <w:numFmt w:val="bullet"/>
      <w:lvlText w:val="o"/>
      <w:lvlJc w:val="left"/>
      <w:pPr>
        <w:ind w:left="4162" w:hanging="360"/>
      </w:pPr>
      <w:rPr>
        <w:rFonts w:ascii="Courier New" w:hAnsi="Courier New" w:cs="Courier New" w:hint="default"/>
      </w:rPr>
    </w:lvl>
    <w:lvl w:ilvl="5" w:tplc="0C090005" w:tentative="1">
      <w:start w:val="1"/>
      <w:numFmt w:val="bullet"/>
      <w:lvlText w:val=""/>
      <w:lvlJc w:val="left"/>
      <w:pPr>
        <w:ind w:left="4882" w:hanging="360"/>
      </w:pPr>
      <w:rPr>
        <w:rFonts w:ascii="Wingdings" w:hAnsi="Wingdings" w:hint="default"/>
      </w:rPr>
    </w:lvl>
    <w:lvl w:ilvl="6" w:tplc="0C090001" w:tentative="1">
      <w:start w:val="1"/>
      <w:numFmt w:val="bullet"/>
      <w:lvlText w:val=""/>
      <w:lvlJc w:val="left"/>
      <w:pPr>
        <w:ind w:left="5602" w:hanging="360"/>
      </w:pPr>
      <w:rPr>
        <w:rFonts w:ascii="Symbol" w:hAnsi="Symbol" w:hint="default"/>
      </w:rPr>
    </w:lvl>
    <w:lvl w:ilvl="7" w:tplc="0C090003" w:tentative="1">
      <w:start w:val="1"/>
      <w:numFmt w:val="bullet"/>
      <w:lvlText w:val="o"/>
      <w:lvlJc w:val="left"/>
      <w:pPr>
        <w:ind w:left="6322" w:hanging="360"/>
      </w:pPr>
      <w:rPr>
        <w:rFonts w:ascii="Courier New" w:hAnsi="Courier New" w:cs="Courier New" w:hint="default"/>
      </w:rPr>
    </w:lvl>
    <w:lvl w:ilvl="8" w:tplc="0C090005" w:tentative="1">
      <w:start w:val="1"/>
      <w:numFmt w:val="bullet"/>
      <w:lvlText w:val=""/>
      <w:lvlJc w:val="left"/>
      <w:pPr>
        <w:ind w:left="7042" w:hanging="360"/>
      </w:pPr>
      <w:rPr>
        <w:rFonts w:ascii="Wingdings" w:hAnsi="Wingdings" w:hint="default"/>
      </w:rPr>
    </w:lvl>
  </w:abstractNum>
  <w:abstractNum w:abstractNumId="191" w15:restartNumberingAfterBreak="0">
    <w:nsid w:val="2B646939"/>
    <w:multiLevelType w:val="hybridMultilevel"/>
    <w:tmpl w:val="01E65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2" w15:restartNumberingAfterBreak="0">
    <w:nsid w:val="2BA346C4"/>
    <w:multiLevelType w:val="hybridMultilevel"/>
    <w:tmpl w:val="38E402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3" w15:restartNumberingAfterBreak="0">
    <w:nsid w:val="2BF87B5C"/>
    <w:multiLevelType w:val="hybridMultilevel"/>
    <w:tmpl w:val="BA34F96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15:restartNumberingAfterBreak="0">
    <w:nsid w:val="2C0D2F92"/>
    <w:multiLevelType w:val="hybridMultilevel"/>
    <w:tmpl w:val="8646C486"/>
    <w:lvl w:ilvl="0" w:tplc="CF78BE90">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5" w15:restartNumberingAfterBreak="0">
    <w:nsid w:val="2C213256"/>
    <w:multiLevelType w:val="multilevel"/>
    <w:tmpl w:val="FCD4FEC2"/>
    <w:styleLink w:val="Numbered1"/>
    <w:lvl w:ilvl="0">
      <w:start w:val="1"/>
      <w:numFmt w:val="bullet"/>
      <w:pStyle w:val="GuideBullet"/>
      <w:lvlText w:val=""/>
      <w:lvlJc w:val="left"/>
      <w:pPr>
        <w:ind w:left="1134" w:hanging="360"/>
      </w:pPr>
      <w:rPr>
        <w:rFonts w:ascii="Symbol" w:hAnsi="Symbol" w:hint="default"/>
        <w:color w:val="808080"/>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196" w15:restartNumberingAfterBreak="0">
    <w:nsid w:val="2C380A72"/>
    <w:multiLevelType w:val="hybridMultilevel"/>
    <w:tmpl w:val="F04072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7" w15:restartNumberingAfterBreak="0">
    <w:nsid w:val="2CC40510"/>
    <w:multiLevelType w:val="hybridMultilevel"/>
    <w:tmpl w:val="C5607EF2"/>
    <w:lvl w:ilvl="0" w:tplc="CF78BE90">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8" w15:restartNumberingAfterBreak="0">
    <w:nsid w:val="2CCB2A38"/>
    <w:multiLevelType w:val="hybridMultilevel"/>
    <w:tmpl w:val="DCAC59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9" w15:restartNumberingAfterBreak="0">
    <w:nsid w:val="2DA41BA7"/>
    <w:multiLevelType w:val="hybridMultilevel"/>
    <w:tmpl w:val="2A22A3E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0" w15:restartNumberingAfterBreak="0">
    <w:nsid w:val="2DDA393E"/>
    <w:multiLevelType w:val="hybridMultilevel"/>
    <w:tmpl w:val="67E68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2DEA246F"/>
    <w:multiLevelType w:val="hybridMultilevel"/>
    <w:tmpl w:val="C08EA7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2" w15:restartNumberingAfterBreak="0">
    <w:nsid w:val="2DF37BD4"/>
    <w:multiLevelType w:val="hybridMultilevel"/>
    <w:tmpl w:val="B216A4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3" w15:restartNumberingAfterBreak="0">
    <w:nsid w:val="2DF72452"/>
    <w:multiLevelType w:val="hybridMultilevel"/>
    <w:tmpl w:val="85104A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4" w15:restartNumberingAfterBreak="0">
    <w:nsid w:val="2E0C5047"/>
    <w:multiLevelType w:val="hybridMultilevel"/>
    <w:tmpl w:val="07801DF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5" w15:restartNumberingAfterBreak="0">
    <w:nsid w:val="2E3F70F6"/>
    <w:multiLevelType w:val="hybridMultilevel"/>
    <w:tmpl w:val="A1828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2F285F60"/>
    <w:multiLevelType w:val="hybridMultilevel"/>
    <w:tmpl w:val="744024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7" w15:restartNumberingAfterBreak="0">
    <w:nsid w:val="300025BD"/>
    <w:multiLevelType w:val="hybridMultilevel"/>
    <w:tmpl w:val="E0C22A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30061459"/>
    <w:multiLevelType w:val="multilevel"/>
    <w:tmpl w:val="C3A29840"/>
    <w:lvl w:ilvl="0">
      <w:start w:val="1"/>
      <w:numFmt w:val="decimal"/>
      <w:pStyle w:val="tablenumbering"/>
      <w:lvlText w:val="%1."/>
      <w:lvlJc w:val="left"/>
      <w:pPr>
        <w:ind w:left="284" w:hanging="284"/>
      </w:pPr>
      <w:rPr>
        <w:rFonts w:ascii="Arial" w:hAnsi="Arial" w:cs="Times New Roman" w:hint="default"/>
        <w:b w:val="0"/>
        <w:bCs w:val="0"/>
        <w:i w:val="0"/>
        <w:iCs w:val="0"/>
        <w:caps w:val="0"/>
        <w:smallCaps w:val="0"/>
        <w:strike w:val="0"/>
        <w:dstrike w:val="0"/>
        <w:noProof w:val="0"/>
        <w:vanish w:val="0"/>
        <w:color w:val="191919"/>
        <w:spacing w:val="0"/>
        <w:kern w:val="0"/>
        <w:position w:val="0"/>
        <w:sz w:val="18"/>
        <w:u w:val="none"/>
        <w:vertAlign w:val="baseline"/>
        <w:em w:val="none"/>
      </w:rPr>
    </w:lvl>
    <w:lvl w:ilvl="1">
      <w:start w:val="1"/>
      <w:numFmt w:val="lowerLetter"/>
      <w:lvlText w:val="%2."/>
      <w:lvlJc w:val="left"/>
      <w:pPr>
        <w:ind w:left="567" w:hanging="283"/>
      </w:pPr>
      <w:rPr>
        <w:rFonts w:ascii="Arial" w:hAnsi="Arial" w:hint="default"/>
        <w:b w:val="0"/>
        <w:i w:val="0"/>
        <w:color w:val="191919"/>
        <w:sz w:val="18"/>
      </w:rPr>
    </w:lvl>
    <w:lvl w:ilvl="2">
      <w:start w:val="1"/>
      <w:numFmt w:val="lowerRoman"/>
      <w:lvlText w:val="%3."/>
      <w:lvlJc w:val="left"/>
      <w:pPr>
        <w:ind w:left="851" w:hanging="284"/>
      </w:pPr>
      <w:rPr>
        <w:rFonts w:ascii="Arial" w:hAnsi="Arial" w:hint="default"/>
        <w:b w:val="0"/>
        <w:i w:val="0"/>
        <w:color w:val="191919"/>
        <w:sz w:val="1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9" w15:restartNumberingAfterBreak="0">
    <w:nsid w:val="30206904"/>
    <w:multiLevelType w:val="hybridMultilevel"/>
    <w:tmpl w:val="171E3B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0" w15:restartNumberingAfterBreak="0">
    <w:nsid w:val="30683627"/>
    <w:multiLevelType w:val="hybridMultilevel"/>
    <w:tmpl w:val="47FAC764"/>
    <w:lvl w:ilvl="0" w:tplc="CF78BE90">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1" w15:restartNumberingAfterBreak="0">
    <w:nsid w:val="306E22B1"/>
    <w:multiLevelType w:val="hybridMultilevel"/>
    <w:tmpl w:val="47167580"/>
    <w:lvl w:ilvl="0" w:tplc="0C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017" w:hanging="360"/>
      </w:pPr>
      <w:rPr>
        <w:rFonts w:ascii="Courier New" w:hAnsi="Courier New" w:cs="Courier New" w:hint="default"/>
      </w:rPr>
    </w:lvl>
    <w:lvl w:ilvl="2" w:tplc="08090005" w:tentative="1">
      <w:start w:val="1"/>
      <w:numFmt w:val="bullet"/>
      <w:lvlText w:val=""/>
      <w:lvlJc w:val="left"/>
      <w:pPr>
        <w:ind w:left="1737" w:hanging="360"/>
      </w:pPr>
      <w:rPr>
        <w:rFonts w:ascii="Wingdings" w:hAnsi="Wingdings" w:hint="default"/>
      </w:rPr>
    </w:lvl>
    <w:lvl w:ilvl="3" w:tplc="08090001" w:tentative="1">
      <w:start w:val="1"/>
      <w:numFmt w:val="bullet"/>
      <w:lvlText w:val=""/>
      <w:lvlJc w:val="left"/>
      <w:pPr>
        <w:ind w:left="2457" w:hanging="360"/>
      </w:pPr>
      <w:rPr>
        <w:rFonts w:ascii="Symbol" w:hAnsi="Symbol" w:hint="default"/>
      </w:rPr>
    </w:lvl>
    <w:lvl w:ilvl="4" w:tplc="08090003" w:tentative="1">
      <w:start w:val="1"/>
      <w:numFmt w:val="bullet"/>
      <w:lvlText w:val="o"/>
      <w:lvlJc w:val="left"/>
      <w:pPr>
        <w:ind w:left="3177" w:hanging="360"/>
      </w:pPr>
      <w:rPr>
        <w:rFonts w:ascii="Courier New" w:hAnsi="Courier New" w:cs="Courier New" w:hint="default"/>
      </w:rPr>
    </w:lvl>
    <w:lvl w:ilvl="5" w:tplc="08090005" w:tentative="1">
      <w:start w:val="1"/>
      <w:numFmt w:val="bullet"/>
      <w:lvlText w:val=""/>
      <w:lvlJc w:val="left"/>
      <w:pPr>
        <w:ind w:left="3897" w:hanging="360"/>
      </w:pPr>
      <w:rPr>
        <w:rFonts w:ascii="Wingdings" w:hAnsi="Wingdings" w:hint="default"/>
      </w:rPr>
    </w:lvl>
    <w:lvl w:ilvl="6" w:tplc="08090001" w:tentative="1">
      <w:start w:val="1"/>
      <w:numFmt w:val="bullet"/>
      <w:lvlText w:val=""/>
      <w:lvlJc w:val="left"/>
      <w:pPr>
        <w:ind w:left="4617" w:hanging="360"/>
      </w:pPr>
      <w:rPr>
        <w:rFonts w:ascii="Symbol" w:hAnsi="Symbol" w:hint="default"/>
      </w:rPr>
    </w:lvl>
    <w:lvl w:ilvl="7" w:tplc="08090003" w:tentative="1">
      <w:start w:val="1"/>
      <w:numFmt w:val="bullet"/>
      <w:lvlText w:val="o"/>
      <w:lvlJc w:val="left"/>
      <w:pPr>
        <w:ind w:left="5337" w:hanging="360"/>
      </w:pPr>
      <w:rPr>
        <w:rFonts w:ascii="Courier New" w:hAnsi="Courier New" w:cs="Courier New" w:hint="default"/>
      </w:rPr>
    </w:lvl>
    <w:lvl w:ilvl="8" w:tplc="08090005" w:tentative="1">
      <w:start w:val="1"/>
      <w:numFmt w:val="bullet"/>
      <w:lvlText w:val=""/>
      <w:lvlJc w:val="left"/>
      <w:pPr>
        <w:ind w:left="6057" w:hanging="360"/>
      </w:pPr>
      <w:rPr>
        <w:rFonts w:ascii="Wingdings" w:hAnsi="Wingdings" w:hint="default"/>
      </w:rPr>
    </w:lvl>
  </w:abstractNum>
  <w:abstractNum w:abstractNumId="212" w15:restartNumberingAfterBreak="0">
    <w:nsid w:val="30D513A3"/>
    <w:multiLevelType w:val="hybridMultilevel"/>
    <w:tmpl w:val="EFF2A96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3" w15:restartNumberingAfterBreak="0">
    <w:nsid w:val="310B2A61"/>
    <w:multiLevelType w:val="hybridMultilevel"/>
    <w:tmpl w:val="F0C690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4" w15:restartNumberingAfterBreak="0">
    <w:nsid w:val="32646F56"/>
    <w:multiLevelType w:val="hybridMultilevel"/>
    <w:tmpl w:val="EB26A5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5" w15:restartNumberingAfterBreak="0">
    <w:nsid w:val="32A82463"/>
    <w:multiLevelType w:val="hybridMultilevel"/>
    <w:tmpl w:val="480A0BC8"/>
    <w:lvl w:ilvl="0" w:tplc="4D925486">
      <w:start w:val="1"/>
      <w:numFmt w:val="bullet"/>
      <w:lvlText w:val="•"/>
      <w:lvlJc w:val="left"/>
      <w:pPr>
        <w:tabs>
          <w:tab w:val="num" w:pos="360"/>
        </w:tabs>
        <w:ind w:left="36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6" w15:restartNumberingAfterBreak="0">
    <w:nsid w:val="32B754F7"/>
    <w:multiLevelType w:val="hybridMultilevel"/>
    <w:tmpl w:val="D87EF1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7" w15:restartNumberingAfterBreak="0">
    <w:nsid w:val="32FC2D8D"/>
    <w:multiLevelType w:val="hybridMultilevel"/>
    <w:tmpl w:val="5150C2B0"/>
    <w:lvl w:ilvl="0" w:tplc="0C090001">
      <w:start w:val="1"/>
      <w:numFmt w:val="bullet"/>
      <w:lvlText w:val=""/>
      <w:lvlJc w:val="left"/>
      <w:pPr>
        <w:ind w:left="768" w:hanging="360"/>
      </w:pPr>
      <w:rPr>
        <w:rFonts w:ascii="Symbol" w:hAnsi="Symbol" w:hint="default"/>
      </w:rPr>
    </w:lvl>
    <w:lvl w:ilvl="1" w:tplc="0C090003" w:tentative="1">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218" w15:restartNumberingAfterBreak="0">
    <w:nsid w:val="332562C1"/>
    <w:multiLevelType w:val="hybridMultilevel"/>
    <w:tmpl w:val="98C897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9" w15:restartNumberingAfterBreak="0">
    <w:nsid w:val="334C3226"/>
    <w:multiLevelType w:val="hybridMultilevel"/>
    <w:tmpl w:val="2396A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33F1537C"/>
    <w:multiLevelType w:val="hybridMultilevel"/>
    <w:tmpl w:val="1F2648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1" w15:restartNumberingAfterBreak="0">
    <w:nsid w:val="34111F29"/>
    <w:multiLevelType w:val="hybridMultilevel"/>
    <w:tmpl w:val="2FC401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2" w15:restartNumberingAfterBreak="0">
    <w:nsid w:val="34195204"/>
    <w:multiLevelType w:val="hybridMultilevel"/>
    <w:tmpl w:val="78DE7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34607CCA"/>
    <w:multiLevelType w:val="hybridMultilevel"/>
    <w:tmpl w:val="294EF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34892422"/>
    <w:multiLevelType w:val="hybridMultilevel"/>
    <w:tmpl w:val="18E8BDB2"/>
    <w:lvl w:ilvl="0" w:tplc="0409000F">
      <w:start w:val="1"/>
      <w:numFmt w:val="decimal"/>
      <w:lvlText w:val="%1."/>
      <w:lvlJc w:val="left"/>
      <w:pPr>
        <w:ind w:left="720" w:hanging="360"/>
      </w:pPr>
      <w:rPr>
        <w:rFonts w:hint="default"/>
      </w:rPr>
    </w:lvl>
    <w:lvl w:ilvl="1" w:tplc="FFB0906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34B1162E"/>
    <w:multiLevelType w:val="hybridMultilevel"/>
    <w:tmpl w:val="30D22DD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6" w15:restartNumberingAfterBreak="0">
    <w:nsid w:val="34EE585D"/>
    <w:multiLevelType w:val="hybridMultilevel"/>
    <w:tmpl w:val="6C9C1C6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27" w15:restartNumberingAfterBreak="0">
    <w:nsid w:val="35B77861"/>
    <w:multiLevelType w:val="multilevel"/>
    <w:tmpl w:val="373A15B0"/>
    <w:lvl w:ilvl="0">
      <w:start w:val="1"/>
      <w:numFmt w:val="bullet"/>
      <w:pStyle w:val="tablebullet"/>
      <w:lvlText w:val=""/>
      <w:lvlJc w:val="left"/>
      <w:pPr>
        <w:ind w:left="284" w:hanging="284"/>
      </w:pPr>
      <w:rPr>
        <w:rFonts w:ascii="Wingdings" w:hAnsi="Wingdings" w:hint="default"/>
      </w:rPr>
    </w:lvl>
    <w:lvl w:ilvl="1">
      <w:start w:val="1"/>
      <w:numFmt w:val="bullet"/>
      <w:lvlText w:val="o"/>
      <w:lvlJc w:val="left"/>
      <w:pPr>
        <w:ind w:left="567" w:hanging="283"/>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8" w15:restartNumberingAfterBreak="0">
    <w:nsid w:val="366159D8"/>
    <w:multiLevelType w:val="hybridMultilevel"/>
    <w:tmpl w:val="FA8E9C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9" w15:restartNumberingAfterBreak="0">
    <w:nsid w:val="36830FE3"/>
    <w:multiLevelType w:val="multilevel"/>
    <w:tmpl w:val="0C090023"/>
    <w:styleLink w:val="ArticleSection"/>
    <w:lvl w:ilvl="0">
      <w:start w:val="1"/>
      <w:numFmt w:val="upperRoman"/>
      <w:lvlText w:val="Article %1."/>
      <w:lvlJc w:val="left"/>
      <w:pPr>
        <w:tabs>
          <w:tab w:val="num" w:pos="2160"/>
        </w:tabs>
      </w:pPr>
      <w:rPr>
        <w:rFonts w:cs="Times New Roman"/>
      </w:rPr>
    </w:lvl>
    <w:lvl w:ilvl="1">
      <w:start w:val="1"/>
      <w:numFmt w:val="decimalZero"/>
      <w:isLgl/>
      <w:lvlText w:val="Section %1.%2"/>
      <w:lvlJc w:val="left"/>
      <w:pPr>
        <w:tabs>
          <w:tab w:val="num" w:pos="2520"/>
        </w:tabs>
      </w:pPr>
      <w:rPr>
        <w:rFonts w:cs="Times New Roman"/>
      </w:rPr>
    </w:lvl>
    <w:lvl w:ilvl="2">
      <w:start w:val="1"/>
      <w:numFmt w:val="lowerLetter"/>
      <w:lvlText w:val="(%3)"/>
      <w:lvlJc w:val="left"/>
      <w:pPr>
        <w:tabs>
          <w:tab w:val="num" w:pos="1008"/>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296"/>
        </w:tabs>
        <w:ind w:left="1008" w:hanging="432"/>
      </w:pPr>
      <w:rPr>
        <w:rFonts w:cs="Times New Roman"/>
      </w:rPr>
    </w:lvl>
    <w:lvl w:ilvl="5">
      <w:start w:val="1"/>
      <w:numFmt w:val="lowerLetter"/>
      <w:lvlText w:val="%6)"/>
      <w:lvlJc w:val="left"/>
      <w:pPr>
        <w:tabs>
          <w:tab w:val="num" w:pos="1440"/>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30" w15:restartNumberingAfterBreak="0">
    <w:nsid w:val="36842D5C"/>
    <w:multiLevelType w:val="multilevel"/>
    <w:tmpl w:val="8CBA48F0"/>
    <w:styleLink w:val="Bullets"/>
    <w:lvl w:ilvl="0">
      <w:start w:val="1"/>
      <w:numFmt w:val="bullet"/>
      <w:lvlText w:val=""/>
      <w:lvlJc w:val="left"/>
      <w:pPr>
        <w:tabs>
          <w:tab w:val="num" w:pos="1304"/>
        </w:tabs>
        <w:ind w:left="1304" w:hanging="453"/>
      </w:pPr>
      <w:rPr>
        <w:rFonts w:ascii="Wingdings" w:hAnsi="Wingdings" w:hint="default"/>
        <w:color w:val="auto"/>
        <w:sz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1" w15:restartNumberingAfterBreak="0">
    <w:nsid w:val="36924D17"/>
    <w:multiLevelType w:val="hybridMultilevel"/>
    <w:tmpl w:val="5582F2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2" w15:restartNumberingAfterBreak="0">
    <w:nsid w:val="36F755EC"/>
    <w:multiLevelType w:val="hybridMultilevel"/>
    <w:tmpl w:val="21FC1346"/>
    <w:lvl w:ilvl="0" w:tplc="538C88A2">
      <w:start w:val="1"/>
      <w:numFmt w:val="bullet"/>
      <w:lvlText w:val="•"/>
      <w:lvlJc w:val="left"/>
      <w:pPr>
        <w:tabs>
          <w:tab w:val="num" w:pos="360"/>
        </w:tabs>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3" w15:restartNumberingAfterBreak="0">
    <w:nsid w:val="370E4171"/>
    <w:multiLevelType w:val="hybridMultilevel"/>
    <w:tmpl w:val="7DB4D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377C45DB"/>
    <w:multiLevelType w:val="hybridMultilevel"/>
    <w:tmpl w:val="326CA6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5" w15:restartNumberingAfterBreak="0">
    <w:nsid w:val="37A4450D"/>
    <w:multiLevelType w:val="hybridMultilevel"/>
    <w:tmpl w:val="B394D4EA"/>
    <w:lvl w:ilvl="0" w:tplc="AF3ACCA6">
      <w:start w:val="1"/>
      <w:numFmt w:val="bullet"/>
      <w:pStyle w:val="bulletlist2"/>
      <w:lvlText w:val=""/>
      <w:lvlJc w:val="left"/>
      <w:pPr>
        <w:tabs>
          <w:tab w:val="num" w:pos="1997"/>
        </w:tabs>
        <w:ind w:left="1997" w:hanging="360"/>
      </w:pPr>
      <w:rPr>
        <w:rFonts w:ascii="Symbol" w:hAnsi="Symbol" w:hint="default"/>
      </w:rPr>
    </w:lvl>
    <w:lvl w:ilvl="1" w:tplc="0C090003">
      <w:start w:val="1"/>
      <w:numFmt w:val="bullet"/>
      <w:lvlText w:val="o"/>
      <w:lvlJc w:val="left"/>
      <w:pPr>
        <w:tabs>
          <w:tab w:val="num" w:pos="2717"/>
        </w:tabs>
        <w:ind w:left="2717" w:hanging="360"/>
      </w:pPr>
      <w:rPr>
        <w:rFonts w:ascii="Courier New" w:hAnsi="Courier New" w:cs="Courier New" w:hint="default"/>
      </w:rPr>
    </w:lvl>
    <w:lvl w:ilvl="2" w:tplc="0C090005" w:tentative="1">
      <w:start w:val="1"/>
      <w:numFmt w:val="bullet"/>
      <w:lvlText w:val=""/>
      <w:lvlJc w:val="left"/>
      <w:pPr>
        <w:tabs>
          <w:tab w:val="num" w:pos="3437"/>
        </w:tabs>
        <w:ind w:left="3437" w:hanging="360"/>
      </w:pPr>
      <w:rPr>
        <w:rFonts w:ascii="Wingdings" w:hAnsi="Wingdings" w:hint="default"/>
      </w:rPr>
    </w:lvl>
    <w:lvl w:ilvl="3" w:tplc="0C090001" w:tentative="1">
      <w:start w:val="1"/>
      <w:numFmt w:val="bullet"/>
      <w:lvlText w:val=""/>
      <w:lvlJc w:val="left"/>
      <w:pPr>
        <w:tabs>
          <w:tab w:val="num" w:pos="4157"/>
        </w:tabs>
        <w:ind w:left="4157" w:hanging="360"/>
      </w:pPr>
      <w:rPr>
        <w:rFonts w:ascii="Symbol" w:hAnsi="Symbol" w:hint="default"/>
      </w:rPr>
    </w:lvl>
    <w:lvl w:ilvl="4" w:tplc="0C090003" w:tentative="1">
      <w:start w:val="1"/>
      <w:numFmt w:val="bullet"/>
      <w:lvlText w:val="o"/>
      <w:lvlJc w:val="left"/>
      <w:pPr>
        <w:tabs>
          <w:tab w:val="num" w:pos="4877"/>
        </w:tabs>
        <w:ind w:left="4877" w:hanging="360"/>
      </w:pPr>
      <w:rPr>
        <w:rFonts w:ascii="Courier New" w:hAnsi="Courier New" w:cs="Courier New" w:hint="default"/>
      </w:rPr>
    </w:lvl>
    <w:lvl w:ilvl="5" w:tplc="0C090005" w:tentative="1">
      <w:start w:val="1"/>
      <w:numFmt w:val="bullet"/>
      <w:lvlText w:val=""/>
      <w:lvlJc w:val="left"/>
      <w:pPr>
        <w:tabs>
          <w:tab w:val="num" w:pos="5597"/>
        </w:tabs>
        <w:ind w:left="5597" w:hanging="360"/>
      </w:pPr>
      <w:rPr>
        <w:rFonts w:ascii="Wingdings" w:hAnsi="Wingdings" w:hint="default"/>
      </w:rPr>
    </w:lvl>
    <w:lvl w:ilvl="6" w:tplc="0C090001" w:tentative="1">
      <w:start w:val="1"/>
      <w:numFmt w:val="bullet"/>
      <w:lvlText w:val=""/>
      <w:lvlJc w:val="left"/>
      <w:pPr>
        <w:tabs>
          <w:tab w:val="num" w:pos="6317"/>
        </w:tabs>
        <w:ind w:left="6317" w:hanging="360"/>
      </w:pPr>
      <w:rPr>
        <w:rFonts w:ascii="Symbol" w:hAnsi="Symbol" w:hint="default"/>
      </w:rPr>
    </w:lvl>
    <w:lvl w:ilvl="7" w:tplc="0C090003" w:tentative="1">
      <w:start w:val="1"/>
      <w:numFmt w:val="bullet"/>
      <w:lvlText w:val="o"/>
      <w:lvlJc w:val="left"/>
      <w:pPr>
        <w:tabs>
          <w:tab w:val="num" w:pos="7037"/>
        </w:tabs>
        <w:ind w:left="7037" w:hanging="360"/>
      </w:pPr>
      <w:rPr>
        <w:rFonts w:ascii="Courier New" w:hAnsi="Courier New" w:cs="Courier New" w:hint="default"/>
      </w:rPr>
    </w:lvl>
    <w:lvl w:ilvl="8" w:tplc="0C090005" w:tentative="1">
      <w:start w:val="1"/>
      <w:numFmt w:val="bullet"/>
      <w:lvlText w:val=""/>
      <w:lvlJc w:val="left"/>
      <w:pPr>
        <w:tabs>
          <w:tab w:val="num" w:pos="7757"/>
        </w:tabs>
        <w:ind w:left="7757" w:hanging="360"/>
      </w:pPr>
      <w:rPr>
        <w:rFonts w:ascii="Wingdings" w:hAnsi="Wingdings" w:hint="default"/>
      </w:rPr>
    </w:lvl>
  </w:abstractNum>
  <w:abstractNum w:abstractNumId="236" w15:restartNumberingAfterBreak="0">
    <w:nsid w:val="37BA1A31"/>
    <w:multiLevelType w:val="hybridMultilevel"/>
    <w:tmpl w:val="36ACE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37F3179F"/>
    <w:multiLevelType w:val="hybridMultilevel"/>
    <w:tmpl w:val="C6D68A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8" w15:restartNumberingAfterBreak="0">
    <w:nsid w:val="37F32280"/>
    <w:multiLevelType w:val="hybridMultilevel"/>
    <w:tmpl w:val="69181794"/>
    <w:lvl w:ilvl="0" w:tplc="0C090001">
      <w:start w:val="1"/>
      <w:numFmt w:val="bullet"/>
      <w:lvlText w:val=""/>
      <w:lvlJc w:val="left"/>
      <w:pPr>
        <w:ind w:left="1282" w:hanging="360"/>
      </w:pPr>
      <w:rPr>
        <w:rFonts w:ascii="Symbol" w:hAnsi="Symbol" w:hint="default"/>
      </w:rPr>
    </w:lvl>
    <w:lvl w:ilvl="1" w:tplc="0C090003" w:tentative="1">
      <w:start w:val="1"/>
      <w:numFmt w:val="bullet"/>
      <w:lvlText w:val="o"/>
      <w:lvlJc w:val="left"/>
      <w:pPr>
        <w:ind w:left="2002" w:hanging="360"/>
      </w:pPr>
      <w:rPr>
        <w:rFonts w:ascii="Courier New" w:hAnsi="Courier New" w:cs="Courier New" w:hint="default"/>
      </w:rPr>
    </w:lvl>
    <w:lvl w:ilvl="2" w:tplc="0C090005" w:tentative="1">
      <w:start w:val="1"/>
      <w:numFmt w:val="bullet"/>
      <w:lvlText w:val=""/>
      <w:lvlJc w:val="left"/>
      <w:pPr>
        <w:ind w:left="2722" w:hanging="360"/>
      </w:pPr>
      <w:rPr>
        <w:rFonts w:ascii="Wingdings" w:hAnsi="Wingdings" w:hint="default"/>
      </w:rPr>
    </w:lvl>
    <w:lvl w:ilvl="3" w:tplc="0C090001" w:tentative="1">
      <w:start w:val="1"/>
      <w:numFmt w:val="bullet"/>
      <w:lvlText w:val=""/>
      <w:lvlJc w:val="left"/>
      <w:pPr>
        <w:ind w:left="3442" w:hanging="360"/>
      </w:pPr>
      <w:rPr>
        <w:rFonts w:ascii="Symbol" w:hAnsi="Symbol" w:hint="default"/>
      </w:rPr>
    </w:lvl>
    <w:lvl w:ilvl="4" w:tplc="0C090003" w:tentative="1">
      <w:start w:val="1"/>
      <w:numFmt w:val="bullet"/>
      <w:lvlText w:val="o"/>
      <w:lvlJc w:val="left"/>
      <w:pPr>
        <w:ind w:left="4162" w:hanging="360"/>
      </w:pPr>
      <w:rPr>
        <w:rFonts w:ascii="Courier New" w:hAnsi="Courier New" w:cs="Courier New" w:hint="default"/>
      </w:rPr>
    </w:lvl>
    <w:lvl w:ilvl="5" w:tplc="0C090005" w:tentative="1">
      <w:start w:val="1"/>
      <w:numFmt w:val="bullet"/>
      <w:lvlText w:val=""/>
      <w:lvlJc w:val="left"/>
      <w:pPr>
        <w:ind w:left="4882" w:hanging="360"/>
      </w:pPr>
      <w:rPr>
        <w:rFonts w:ascii="Wingdings" w:hAnsi="Wingdings" w:hint="default"/>
      </w:rPr>
    </w:lvl>
    <w:lvl w:ilvl="6" w:tplc="0C090001" w:tentative="1">
      <w:start w:val="1"/>
      <w:numFmt w:val="bullet"/>
      <w:lvlText w:val=""/>
      <w:lvlJc w:val="left"/>
      <w:pPr>
        <w:ind w:left="5602" w:hanging="360"/>
      </w:pPr>
      <w:rPr>
        <w:rFonts w:ascii="Symbol" w:hAnsi="Symbol" w:hint="default"/>
      </w:rPr>
    </w:lvl>
    <w:lvl w:ilvl="7" w:tplc="0C090003" w:tentative="1">
      <w:start w:val="1"/>
      <w:numFmt w:val="bullet"/>
      <w:lvlText w:val="o"/>
      <w:lvlJc w:val="left"/>
      <w:pPr>
        <w:ind w:left="6322" w:hanging="360"/>
      </w:pPr>
      <w:rPr>
        <w:rFonts w:ascii="Courier New" w:hAnsi="Courier New" w:cs="Courier New" w:hint="default"/>
      </w:rPr>
    </w:lvl>
    <w:lvl w:ilvl="8" w:tplc="0C090005" w:tentative="1">
      <w:start w:val="1"/>
      <w:numFmt w:val="bullet"/>
      <w:lvlText w:val=""/>
      <w:lvlJc w:val="left"/>
      <w:pPr>
        <w:ind w:left="7042" w:hanging="360"/>
      </w:pPr>
      <w:rPr>
        <w:rFonts w:ascii="Wingdings" w:hAnsi="Wingdings" w:hint="default"/>
      </w:rPr>
    </w:lvl>
  </w:abstractNum>
  <w:abstractNum w:abstractNumId="239" w15:restartNumberingAfterBreak="0">
    <w:nsid w:val="38402C63"/>
    <w:multiLevelType w:val="hybridMultilevel"/>
    <w:tmpl w:val="197E4B92"/>
    <w:lvl w:ilvl="0" w:tplc="37E6BF20">
      <w:start w:val="1"/>
      <w:numFmt w:val="bullet"/>
      <w:pStyle w:val="Bulleted2"/>
      <w:lvlText w:val="o"/>
      <w:lvlJc w:val="left"/>
      <w:pPr>
        <w:ind w:left="1287" w:hanging="360"/>
      </w:pPr>
      <w:rPr>
        <w:rFonts w:ascii="Courier New" w:hAnsi="Courier New" w:cs="Courier New" w:hint="default"/>
      </w:rPr>
    </w:lvl>
    <w:lvl w:ilvl="1" w:tplc="BBAC4736" w:tentative="1">
      <w:start w:val="1"/>
      <w:numFmt w:val="bullet"/>
      <w:lvlText w:val="o"/>
      <w:lvlJc w:val="left"/>
      <w:pPr>
        <w:ind w:left="2007" w:hanging="360"/>
      </w:pPr>
      <w:rPr>
        <w:rFonts w:ascii="Courier New" w:hAnsi="Courier New" w:cs="Courier New" w:hint="default"/>
      </w:rPr>
    </w:lvl>
    <w:lvl w:ilvl="2" w:tplc="6B2CD61E" w:tentative="1">
      <w:start w:val="1"/>
      <w:numFmt w:val="bullet"/>
      <w:lvlText w:val=""/>
      <w:lvlJc w:val="left"/>
      <w:pPr>
        <w:ind w:left="2727" w:hanging="360"/>
      </w:pPr>
      <w:rPr>
        <w:rFonts w:ascii="Wingdings" w:hAnsi="Wingdings" w:hint="default"/>
      </w:rPr>
    </w:lvl>
    <w:lvl w:ilvl="3" w:tplc="DF2E7DD8" w:tentative="1">
      <w:start w:val="1"/>
      <w:numFmt w:val="bullet"/>
      <w:lvlText w:val=""/>
      <w:lvlJc w:val="left"/>
      <w:pPr>
        <w:ind w:left="3447" w:hanging="360"/>
      </w:pPr>
      <w:rPr>
        <w:rFonts w:ascii="Symbol" w:hAnsi="Symbol" w:hint="default"/>
      </w:rPr>
    </w:lvl>
    <w:lvl w:ilvl="4" w:tplc="5B3C951C" w:tentative="1">
      <w:start w:val="1"/>
      <w:numFmt w:val="bullet"/>
      <w:lvlText w:val="o"/>
      <w:lvlJc w:val="left"/>
      <w:pPr>
        <w:ind w:left="4167" w:hanging="360"/>
      </w:pPr>
      <w:rPr>
        <w:rFonts w:ascii="Courier New" w:hAnsi="Courier New" w:cs="Courier New" w:hint="default"/>
      </w:rPr>
    </w:lvl>
    <w:lvl w:ilvl="5" w:tplc="C7128F9E" w:tentative="1">
      <w:start w:val="1"/>
      <w:numFmt w:val="bullet"/>
      <w:lvlText w:val=""/>
      <w:lvlJc w:val="left"/>
      <w:pPr>
        <w:ind w:left="4887" w:hanging="360"/>
      </w:pPr>
      <w:rPr>
        <w:rFonts w:ascii="Wingdings" w:hAnsi="Wingdings" w:hint="default"/>
      </w:rPr>
    </w:lvl>
    <w:lvl w:ilvl="6" w:tplc="09F68D32" w:tentative="1">
      <w:start w:val="1"/>
      <w:numFmt w:val="bullet"/>
      <w:lvlText w:val=""/>
      <w:lvlJc w:val="left"/>
      <w:pPr>
        <w:ind w:left="5607" w:hanging="360"/>
      </w:pPr>
      <w:rPr>
        <w:rFonts w:ascii="Symbol" w:hAnsi="Symbol" w:hint="default"/>
      </w:rPr>
    </w:lvl>
    <w:lvl w:ilvl="7" w:tplc="2A4C0B78" w:tentative="1">
      <w:start w:val="1"/>
      <w:numFmt w:val="bullet"/>
      <w:lvlText w:val="o"/>
      <w:lvlJc w:val="left"/>
      <w:pPr>
        <w:ind w:left="6327" w:hanging="360"/>
      </w:pPr>
      <w:rPr>
        <w:rFonts w:ascii="Courier New" w:hAnsi="Courier New" w:cs="Courier New" w:hint="default"/>
      </w:rPr>
    </w:lvl>
    <w:lvl w:ilvl="8" w:tplc="48B6EC30" w:tentative="1">
      <w:start w:val="1"/>
      <w:numFmt w:val="bullet"/>
      <w:lvlText w:val=""/>
      <w:lvlJc w:val="left"/>
      <w:pPr>
        <w:ind w:left="7047" w:hanging="360"/>
      </w:pPr>
      <w:rPr>
        <w:rFonts w:ascii="Wingdings" w:hAnsi="Wingdings" w:hint="default"/>
      </w:rPr>
    </w:lvl>
  </w:abstractNum>
  <w:abstractNum w:abstractNumId="240" w15:restartNumberingAfterBreak="0">
    <w:nsid w:val="388160E5"/>
    <w:multiLevelType w:val="hybridMultilevel"/>
    <w:tmpl w:val="F7A074E0"/>
    <w:lvl w:ilvl="0" w:tplc="1D76BEAA">
      <w:start w:val="1"/>
      <w:numFmt w:val="bullet"/>
      <w:pStyle w:val="TableBullet0"/>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1" w15:restartNumberingAfterBreak="0">
    <w:nsid w:val="3891450C"/>
    <w:multiLevelType w:val="hybridMultilevel"/>
    <w:tmpl w:val="1FC4F4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2" w15:restartNumberingAfterBreak="0">
    <w:nsid w:val="38C17C1E"/>
    <w:multiLevelType w:val="hybridMultilevel"/>
    <w:tmpl w:val="B4FCC11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43" w15:restartNumberingAfterBreak="0">
    <w:nsid w:val="391D4E72"/>
    <w:multiLevelType w:val="hybridMultilevel"/>
    <w:tmpl w:val="4266A8B8"/>
    <w:lvl w:ilvl="0" w:tplc="DEB44660">
      <w:start w:val="1"/>
      <w:numFmt w:val="bullet"/>
      <w:pStyle w:val="Bullet1"/>
      <w:lvlText w:val="&gt;"/>
      <w:lvlJc w:val="left"/>
      <w:pPr>
        <w:tabs>
          <w:tab w:val="num" w:pos="1260"/>
        </w:tabs>
        <w:ind w:left="1260" w:hanging="360"/>
      </w:pPr>
      <w:rPr>
        <w:rFonts w:ascii="Arial" w:hAnsi="Arial" w:hint="default"/>
        <w:b/>
        <w:i w:val="0"/>
        <w:color w:val="2A6EBB"/>
      </w:rPr>
    </w:lvl>
    <w:lvl w:ilvl="1" w:tplc="0C090003" w:tentative="1">
      <w:start w:val="1"/>
      <w:numFmt w:val="bullet"/>
      <w:lvlText w:val="o"/>
      <w:lvlJc w:val="left"/>
      <w:pPr>
        <w:tabs>
          <w:tab w:val="num" w:pos="1440"/>
        </w:tabs>
        <w:ind w:left="1440" w:hanging="360"/>
      </w:pPr>
      <w:rPr>
        <w:rFonts w:ascii="Courier New" w:hAnsi="Courier New"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44" w15:restartNumberingAfterBreak="0">
    <w:nsid w:val="396642BD"/>
    <w:multiLevelType w:val="hybridMultilevel"/>
    <w:tmpl w:val="3920E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39B17D30"/>
    <w:multiLevelType w:val="hybridMultilevel"/>
    <w:tmpl w:val="0158F3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6" w15:restartNumberingAfterBreak="0">
    <w:nsid w:val="39C15941"/>
    <w:multiLevelType w:val="hybridMultilevel"/>
    <w:tmpl w:val="BF5805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3A3B200A"/>
    <w:multiLevelType w:val="multilevel"/>
    <w:tmpl w:val="E5CC73CA"/>
    <w:styleLink w:val="Tabletextsize8bullets1"/>
    <w:lvl w:ilvl="0">
      <w:start w:val="1"/>
      <w:numFmt w:val="decimal"/>
      <w:lvlText w:val="%1."/>
      <w:lvlJc w:val="left"/>
      <w:pPr>
        <w:tabs>
          <w:tab w:val="num" w:pos="1304"/>
        </w:tabs>
        <w:ind w:left="1304" w:hanging="453"/>
      </w:pPr>
      <w:rPr>
        <w:rFonts w:ascii="Arial" w:hAnsi="Arial" w:hint="default"/>
        <w:b w:val="0"/>
        <w:i w:val="0"/>
        <w:caps w:val="0"/>
        <w:strike w:val="0"/>
        <w:dstrike w:val="0"/>
        <w:vanish w:val="0"/>
        <w:color w:val="191919"/>
        <w:sz w:val="18"/>
        <w:szCs w:val="22"/>
        <w:vertAlign w:val="baseline"/>
      </w:rPr>
    </w:lvl>
    <w:lvl w:ilvl="1">
      <w:start w:val="1"/>
      <w:numFmt w:val="lowerLetter"/>
      <w:lvlText w:val="%2."/>
      <w:lvlJc w:val="left"/>
      <w:pPr>
        <w:tabs>
          <w:tab w:val="num" w:pos="1588"/>
        </w:tabs>
        <w:ind w:left="1588" w:hanging="284"/>
      </w:pPr>
      <w:rPr>
        <w:rFonts w:ascii="Arial" w:hAnsi="Arial" w:hint="default"/>
        <w:b w:val="0"/>
        <w:i w:val="0"/>
        <w:caps w:val="0"/>
        <w:strike w:val="0"/>
        <w:dstrike w:val="0"/>
        <w:vanish w:val="0"/>
        <w:color w:val="191919"/>
        <w:sz w:val="18"/>
        <w:vertAlign w:val="baseline"/>
      </w:rPr>
    </w:lvl>
    <w:lvl w:ilvl="2">
      <w:start w:val="1"/>
      <w:numFmt w:val="lowerRoman"/>
      <w:lvlText w:val="%3."/>
      <w:lvlJc w:val="left"/>
      <w:pPr>
        <w:tabs>
          <w:tab w:val="num" w:pos="1871"/>
        </w:tabs>
        <w:ind w:left="1871" w:hanging="283"/>
      </w:pPr>
      <w:rPr>
        <w:rFonts w:ascii="Arial" w:hAnsi="Arial" w:hint="default"/>
        <w:b w:val="0"/>
        <w:i w:val="0"/>
        <w:caps w:val="0"/>
        <w:strike w:val="0"/>
        <w:dstrike w:val="0"/>
        <w:vanish w:val="0"/>
        <w:color w:val="191919"/>
        <w:sz w:val="18"/>
        <w:vertAlign w:val="baseline"/>
      </w:rPr>
    </w:lvl>
    <w:lvl w:ilvl="3">
      <w:start w:val="1"/>
      <w:numFmt w:val="decimal"/>
      <w:lvlText w:val="(%4)"/>
      <w:lvlJc w:val="left"/>
      <w:pPr>
        <w:tabs>
          <w:tab w:val="num" w:pos="589"/>
        </w:tabs>
        <w:ind w:left="589" w:hanging="360"/>
      </w:pPr>
      <w:rPr>
        <w:rFonts w:hint="default"/>
      </w:rPr>
    </w:lvl>
    <w:lvl w:ilvl="4">
      <w:start w:val="1"/>
      <w:numFmt w:val="lowerLetter"/>
      <w:lvlText w:val="(%5)"/>
      <w:lvlJc w:val="left"/>
      <w:pPr>
        <w:tabs>
          <w:tab w:val="num" w:pos="949"/>
        </w:tabs>
        <w:ind w:left="949" w:hanging="360"/>
      </w:pPr>
      <w:rPr>
        <w:rFonts w:hint="default"/>
      </w:rPr>
    </w:lvl>
    <w:lvl w:ilvl="5">
      <w:start w:val="1"/>
      <w:numFmt w:val="lowerRoman"/>
      <w:lvlText w:val="(%6)"/>
      <w:lvlJc w:val="left"/>
      <w:pPr>
        <w:tabs>
          <w:tab w:val="num" w:pos="1309"/>
        </w:tabs>
        <w:ind w:left="1309" w:hanging="360"/>
      </w:pPr>
      <w:rPr>
        <w:rFonts w:hint="default"/>
      </w:rPr>
    </w:lvl>
    <w:lvl w:ilvl="6">
      <w:start w:val="1"/>
      <w:numFmt w:val="decimal"/>
      <w:lvlText w:val="%7."/>
      <w:lvlJc w:val="left"/>
      <w:pPr>
        <w:tabs>
          <w:tab w:val="num" w:pos="1669"/>
        </w:tabs>
        <w:ind w:left="1669" w:hanging="360"/>
      </w:pPr>
      <w:rPr>
        <w:rFonts w:hint="default"/>
      </w:rPr>
    </w:lvl>
    <w:lvl w:ilvl="7">
      <w:start w:val="1"/>
      <w:numFmt w:val="lowerLetter"/>
      <w:lvlText w:val="%8."/>
      <w:lvlJc w:val="left"/>
      <w:pPr>
        <w:tabs>
          <w:tab w:val="num" w:pos="2029"/>
        </w:tabs>
        <w:ind w:left="2029" w:hanging="360"/>
      </w:pPr>
      <w:rPr>
        <w:rFonts w:hint="default"/>
      </w:rPr>
    </w:lvl>
    <w:lvl w:ilvl="8">
      <w:start w:val="1"/>
      <w:numFmt w:val="lowerRoman"/>
      <w:lvlText w:val="%9."/>
      <w:lvlJc w:val="left"/>
      <w:pPr>
        <w:tabs>
          <w:tab w:val="num" w:pos="2389"/>
        </w:tabs>
        <w:ind w:left="2389" w:hanging="360"/>
      </w:pPr>
      <w:rPr>
        <w:rFonts w:hint="default"/>
      </w:rPr>
    </w:lvl>
  </w:abstractNum>
  <w:abstractNum w:abstractNumId="248" w15:restartNumberingAfterBreak="0">
    <w:nsid w:val="3A3B3A5D"/>
    <w:multiLevelType w:val="hybridMultilevel"/>
    <w:tmpl w:val="9B8847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9" w15:restartNumberingAfterBreak="0">
    <w:nsid w:val="3AA04CB7"/>
    <w:multiLevelType w:val="hybridMultilevel"/>
    <w:tmpl w:val="4EEE5466"/>
    <w:lvl w:ilvl="0" w:tplc="0C090001">
      <w:start w:val="1"/>
      <w:numFmt w:val="bullet"/>
      <w:lvlText w:val=""/>
      <w:lvlJc w:val="left"/>
      <w:pPr>
        <w:ind w:left="754" w:hanging="360"/>
      </w:pPr>
      <w:rPr>
        <w:rFonts w:ascii="Symbol" w:hAnsi="Symbol" w:hint="default"/>
      </w:rPr>
    </w:lvl>
    <w:lvl w:ilvl="1" w:tplc="0C090003">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250" w15:restartNumberingAfterBreak="0">
    <w:nsid w:val="3AA93535"/>
    <w:multiLevelType w:val="hybridMultilevel"/>
    <w:tmpl w:val="91CCB20C"/>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1" w15:restartNumberingAfterBreak="0">
    <w:nsid w:val="3AAD3374"/>
    <w:multiLevelType w:val="hybridMultilevel"/>
    <w:tmpl w:val="519EAD0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52" w15:restartNumberingAfterBreak="0">
    <w:nsid w:val="3B2656E0"/>
    <w:multiLevelType w:val="hybridMultilevel"/>
    <w:tmpl w:val="23668D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3" w15:restartNumberingAfterBreak="0">
    <w:nsid w:val="3B44618B"/>
    <w:multiLevelType w:val="hybridMultilevel"/>
    <w:tmpl w:val="BE5415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4" w15:restartNumberingAfterBreak="0">
    <w:nsid w:val="3B446B84"/>
    <w:multiLevelType w:val="hybridMultilevel"/>
    <w:tmpl w:val="F9FA80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3B697E3A"/>
    <w:multiLevelType w:val="hybridMultilevel"/>
    <w:tmpl w:val="33768CD4"/>
    <w:lvl w:ilvl="0" w:tplc="E9561128">
      <w:start w:val="1"/>
      <w:numFmt w:val="lowerRoman"/>
      <w:lvlText w:val="%1."/>
      <w:lvlJc w:val="right"/>
      <w:pPr>
        <w:ind w:left="2880" w:hanging="18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01">
      <w:start w:val="1"/>
      <w:numFmt w:val="bullet"/>
      <w:lvlText w:val=""/>
      <w:lvlJc w:val="left"/>
      <w:pPr>
        <w:ind w:left="3600" w:hanging="360"/>
      </w:pPr>
      <w:rPr>
        <w:rFonts w:ascii="Symbol" w:hAnsi="Symbol" w:hint="default"/>
      </w:r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6" w15:restartNumberingAfterBreak="0">
    <w:nsid w:val="3BAD15FA"/>
    <w:multiLevelType w:val="hybridMultilevel"/>
    <w:tmpl w:val="A06CCA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7" w15:restartNumberingAfterBreak="0">
    <w:nsid w:val="3BC94B04"/>
    <w:multiLevelType w:val="hybridMultilevel"/>
    <w:tmpl w:val="329025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8" w15:restartNumberingAfterBreak="0">
    <w:nsid w:val="3C4B5890"/>
    <w:multiLevelType w:val="hybridMultilevel"/>
    <w:tmpl w:val="EF6EFFBE"/>
    <w:lvl w:ilvl="0" w:tplc="3C666026">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9" w15:restartNumberingAfterBreak="0">
    <w:nsid w:val="3C7A511D"/>
    <w:multiLevelType w:val="hybridMultilevel"/>
    <w:tmpl w:val="10BA2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3D25664F"/>
    <w:multiLevelType w:val="hybridMultilevel"/>
    <w:tmpl w:val="72CA1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3D4833FD"/>
    <w:multiLevelType w:val="hybridMultilevel"/>
    <w:tmpl w:val="4E5A5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3D7159A9"/>
    <w:multiLevelType w:val="hybridMultilevel"/>
    <w:tmpl w:val="F540213E"/>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3D9E0C89"/>
    <w:multiLevelType w:val="hybridMultilevel"/>
    <w:tmpl w:val="41B8B4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4" w15:restartNumberingAfterBreak="0">
    <w:nsid w:val="3E323754"/>
    <w:multiLevelType w:val="hybridMultilevel"/>
    <w:tmpl w:val="925C69E8"/>
    <w:lvl w:ilvl="0" w:tplc="0C09000F">
      <w:start w:val="1"/>
      <w:numFmt w:val="decimal"/>
      <w:lvlText w:val="%1."/>
      <w:lvlJc w:val="left"/>
      <w:pPr>
        <w:ind w:left="776" w:hanging="360"/>
      </w:pPr>
    </w:lvl>
    <w:lvl w:ilvl="1" w:tplc="0C090019" w:tentative="1">
      <w:start w:val="1"/>
      <w:numFmt w:val="lowerLetter"/>
      <w:lvlText w:val="%2."/>
      <w:lvlJc w:val="left"/>
      <w:pPr>
        <w:ind w:left="1496" w:hanging="360"/>
      </w:pPr>
    </w:lvl>
    <w:lvl w:ilvl="2" w:tplc="0C09001B" w:tentative="1">
      <w:start w:val="1"/>
      <w:numFmt w:val="lowerRoman"/>
      <w:lvlText w:val="%3."/>
      <w:lvlJc w:val="right"/>
      <w:pPr>
        <w:ind w:left="2216" w:hanging="180"/>
      </w:pPr>
    </w:lvl>
    <w:lvl w:ilvl="3" w:tplc="0C09000F" w:tentative="1">
      <w:start w:val="1"/>
      <w:numFmt w:val="decimal"/>
      <w:lvlText w:val="%4."/>
      <w:lvlJc w:val="left"/>
      <w:pPr>
        <w:ind w:left="2936" w:hanging="360"/>
      </w:pPr>
    </w:lvl>
    <w:lvl w:ilvl="4" w:tplc="0C090019" w:tentative="1">
      <w:start w:val="1"/>
      <w:numFmt w:val="lowerLetter"/>
      <w:lvlText w:val="%5."/>
      <w:lvlJc w:val="left"/>
      <w:pPr>
        <w:ind w:left="3656" w:hanging="360"/>
      </w:pPr>
    </w:lvl>
    <w:lvl w:ilvl="5" w:tplc="0C09001B" w:tentative="1">
      <w:start w:val="1"/>
      <w:numFmt w:val="lowerRoman"/>
      <w:lvlText w:val="%6."/>
      <w:lvlJc w:val="right"/>
      <w:pPr>
        <w:ind w:left="4376" w:hanging="180"/>
      </w:pPr>
    </w:lvl>
    <w:lvl w:ilvl="6" w:tplc="0C09000F" w:tentative="1">
      <w:start w:val="1"/>
      <w:numFmt w:val="decimal"/>
      <w:lvlText w:val="%7."/>
      <w:lvlJc w:val="left"/>
      <w:pPr>
        <w:ind w:left="5096" w:hanging="360"/>
      </w:pPr>
    </w:lvl>
    <w:lvl w:ilvl="7" w:tplc="0C090019" w:tentative="1">
      <w:start w:val="1"/>
      <w:numFmt w:val="lowerLetter"/>
      <w:lvlText w:val="%8."/>
      <w:lvlJc w:val="left"/>
      <w:pPr>
        <w:ind w:left="5816" w:hanging="360"/>
      </w:pPr>
    </w:lvl>
    <w:lvl w:ilvl="8" w:tplc="0C09001B" w:tentative="1">
      <w:start w:val="1"/>
      <w:numFmt w:val="lowerRoman"/>
      <w:lvlText w:val="%9."/>
      <w:lvlJc w:val="right"/>
      <w:pPr>
        <w:ind w:left="6536" w:hanging="180"/>
      </w:pPr>
    </w:lvl>
  </w:abstractNum>
  <w:abstractNum w:abstractNumId="265" w15:restartNumberingAfterBreak="0">
    <w:nsid w:val="3E354782"/>
    <w:multiLevelType w:val="hybridMultilevel"/>
    <w:tmpl w:val="FB4AFA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6" w15:restartNumberingAfterBreak="0">
    <w:nsid w:val="3E417FA1"/>
    <w:multiLevelType w:val="hybridMultilevel"/>
    <w:tmpl w:val="53124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15:restartNumberingAfterBreak="0">
    <w:nsid w:val="3E9938AF"/>
    <w:multiLevelType w:val="hybridMultilevel"/>
    <w:tmpl w:val="8D3A7E74"/>
    <w:lvl w:ilvl="0" w:tplc="0C090001">
      <w:start w:val="1"/>
      <w:numFmt w:val="bullet"/>
      <w:lvlText w:val=""/>
      <w:lvlJc w:val="left"/>
      <w:pPr>
        <w:ind w:left="1282" w:hanging="360"/>
      </w:pPr>
      <w:rPr>
        <w:rFonts w:ascii="Symbol" w:hAnsi="Symbol" w:hint="default"/>
      </w:rPr>
    </w:lvl>
    <w:lvl w:ilvl="1" w:tplc="0C090003" w:tentative="1">
      <w:start w:val="1"/>
      <w:numFmt w:val="bullet"/>
      <w:lvlText w:val="o"/>
      <w:lvlJc w:val="left"/>
      <w:pPr>
        <w:ind w:left="2002" w:hanging="360"/>
      </w:pPr>
      <w:rPr>
        <w:rFonts w:ascii="Courier New" w:hAnsi="Courier New" w:cs="Courier New" w:hint="default"/>
      </w:rPr>
    </w:lvl>
    <w:lvl w:ilvl="2" w:tplc="0C090005" w:tentative="1">
      <w:start w:val="1"/>
      <w:numFmt w:val="bullet"/>
      <w:lvlText w:val=""/>
      <w:lvlJc w:val="left"/>
      <w:pPr>
        <w:ind w:left="2722" w:hanging="360"/>
      </w:pPr>
      <w:rPr>
        <w:rFonts w:ascii="Wingdings" w:hAnsi="Wingdings" w:hint="default"/>
      </w:rPr>
    </w:lvl>
    <w:lvl w:ilvl="3" w:tplc="0C090001" w:tentative="1">
      <w:start w:val="1"/>
      <w:numFmt w:val="bullet"/>
      <w:lvlText w:val=""/>
      <w:lvlJc w:val="left"/>
      <w:pPr>
        <w:ind w:left="3442" w:hanging="360"/>
      </w:pPr>
      <w:rPr>
        <w:rFonts w:ascii="Symbol" w:hAnsi="Symbol" w:hint="default"/>
      </w:rPr>
    </w:lvl>
    <w:lvl w:ilvl="4" w:tplc="0C090003" w:tentative="1">
      <w:start w:val="1"/>
      <w:numFmt w:val="bullet"/>
      <w:lvlText w:val="o"/>
      <w:lvlJc w:val="left"/>
      <w:pPr>
        <w:ind w:left="4162" w:hanging="360"/>
      </w:pPr>
      <w:rPr>
        <w:rFonts w:ascii="Courier New" w:hAnsi="Courier New" w:cs="Courier New" w:hint="default"/>
      </w:rPr>
    </w:lvl>
    <w:lvl w:ilvl="5" w:tplc="0C090005" w:tentative="1">
      <w:start w:val="1"/>
      <w:numFmt w:val="bullet"/>
      <w:lvlText w:val=""/>
      <w:lvlJc w:val="left"/>
      <w:pPr>
        <w:ind w:left="4882" w:hanging="360"/>
      </w:pPr>
      <w:rPr>
        <w:rFonts w:ascii="Wingdings" w:hAnsi="Wingdings" w:hint="default"/>
      </w:rPr>
    </w:lvl>
    <w:lvl w:ilvl="6" w:tplc="0C090001" w:tentative="1">
      <w:start w:val="1"/>
      <w:numFmt w:val="bullet"/>
      <w:lvlText w:val=""/>
      <w:lvlJc w:val="left"/>
      <w:pPr>
        <w:ind w:left="5602" w:hanging="360"/>
      </w:pPr>
      <w:rPr>
        <w:rFonts w:ascii="Symbol" w:hAnsi="Symbol" w:hint="default"/>
      </w:rPr>
    </w:lvl>
    <w:lvl w:ilvl="7" w:tplc="0C090003" w:tentative="1">
      <w:start w:val="1"/>
      <w:numFmt w:val="bullet"/>
      <w:lvlText w:val="o"/>
      <w:lvlJc w:val="left"/>
      <w:pPr>
        <w:ind w:left="6322" w:hanging="360"/>
      </w:pPr>
      <w:rPr>
        <w:rFonts w:ascii="Courier New" w:hAnsi="Courier New" w:cs="Courier New" w:hint="default"/>
      </w:rPr>
    </w:lvl>
    <w:lvl w:ilvl="8" w:tplc="0C090005" w:tentative="1">
      <w:start w:val="1"/>
      <w:numFmt w:val="bullet"/>
      <w:lvlText w:val=""/>
      <w:lvlJc w:val="left"/>
      <w:pPr>
        <w:ind w:left="7042" w:hanging="360"/>
      </w:pPr>
      <w:rPr>
        <w:rFonts w:ascii="Wingdings" w:hAnsi="Wingdings" w:hint="default"/>
      </w:rPr>
    </w:lvl>
  </w:abstractNum>
  <w:abstractNum w:abstractNumId="268" w15:restartNumberingAfterBreak="0">
    <w:nsid w:val="3EAF7BF8"/>
    <w:multiLevelType w:val="hybridMultilevel"/>
    <w:tmpl w:val="6832E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3FD76C49"/>
    <w:multiLevelType w:val="hybridMultilevel"/>
    <w:tmpl w:val="EE8AD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40622CD0"/>
    <w:multiLevelType w:val="multilevel"/>
    <w:tmpl w:val="4CAAAC98"/>
    <w:styleLink w:val="Tablenumbering0"/>
    <w:lvl w:ilvl="0">
      <w:start w:val="1"/>
      <w:numFmt w:val="decimal"/>
      <w:lvlText w:val="%1."/>
      <w:lvlJc w:val="left"/>
      <w:pPr>
        <w:tabs>
          <w:tab w:val="num" w:pos="567"/>
        </w:tabs>
        <w:ind w:left="567" w:hanging="283"/>
      </w:pPr>
      <w:rPr>
        <w:rFonts w:ascii="Trebuchet MS" w:hAnsi="Trebuchet MS" w:hint="default"/>
        <w:sz w:val="20"/>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1" w15:restartNumberingAfterBreak="0">
    <w:nsid w:val="41035830"/>
    <w:multiLevelType w:val="multilevel"/>
    <w:tmpl w:val="9330234C"/>
    <w:lvl w:ilvl="0">
      <w:start w:val="1"/>
      <w:numFmt w:val="decimal"/>
      <w:lvlText w:val="%1."/>
      <w:lvlJc w:val="left"/>
      <w:pPr>
        <w:tabs>
          <w:tab w:val="num" w:pos="851"/>
        </w:tabs>
        <w:ind w:left="851" w:hanging="851"/>
      </w:pPr>
      <w:rPr>
        <w:rFonts w:ascii="Arial" w:hAnsi="Arial" w:cs="Times New Roman" w:hint="default"/>
        <w:b/>
        <w:bCs w:val="0"/>
        <w:i w:val="0"/>
        <w:iCs w:val="0"/>
        <w:caps w:val="0"/>
        <w:smallCaps w:val="0"/>
        <w:strike w:val="0"/>
        <w:dstrike w:val="0"/>
        <w:noProof w:val="0"/>
        <w:vanish w:val="0"/>
        <w:color w:val="F36D00"/>
        <w:spacing w:val="0"/>
        <w:kern w:val="0"/>
        <w:position w:val="0"/>
        <w:sz w:val="24"/>
        <w:u w:val="none"/>
        <w:vertAlign w:val="baseline"/>
        <w:em w:val="none"/>
      </w:rPr>
    </w:lvl>
    <w:lvl w:ilvl="1">
      <w:start w:val="1"/>
      <w:numFmt w:val="decimal"/>
      <w:lvlText w:val="%1.%2"/>
      <w:lvlJc w:val="left"/>
      <w:pPr>
        <w:tabs>
          <w:tab w:val="num" w:pos="851"/>
        </w:tabs>
        <w:ind w:left="851" w:hanging="851"/>
      </w:pPr>
      <w:rPr>
        <w:rFonts w:ascii="Arial" w:hAnsi="Arial" w:cs="Times New Roman" w:hint="default"/>
        <w:b w:val="0"/>
        <w:bCs w:val="0"/>
        <w:i w:val="0"/>
        <w:iCs w:val="0"/>
        <w:caps w:val="0"/>
        <w:smallCaps w:val="0"/>
        <w:strike w:val="0"/>
        <w:dstrike w:val="0"/>
        <w:noProof w:val="0"/>
        <w:vanish w:val="0"/>
        <w:color w:val="F36D00"/>
        <w:spacing w:val="0"/>
        <w:kern w:val="0"/>
        <w:position w:val="0"/>
        <w:sz w:val="24"/>
        <w:u w:val="none"/>
        <w:vertAlign w:val="baseline"/>
        <w:em w:val="none"/>
      </w:rPr>
    </w:lvl>
    <w:lvl w:ilvl="2">
      <w:start w:val="1"/>
      <w:numFmt w:val="decimal"/>
      <w:lvlText w:val="%1.%2.%3"/>
      <w:lvlJc w:val="left"/>
      <w:pPr>
        <w:tabs>
          <w:tab w:val="num" w:pos="851"/>
        </w:tabs>
        <w:ind w:left="851" w:hanging="851"/>
      </w:pPr>
      <w:rPr>
        <w:rFonts w:ascii="Arial" w:hAnsi="Arial" w:cs="Times New Roman" w:hint="default"/>
        <w:b w:val="0"/>
        <w:bCs w:val="0"/>
        <w:i w:val="0"/>
        <w:iCs w:val="0"/>
        <w:caps w:val="0"/>
        <w:smallCaps w:val="0"/>
        <w:strike w:val="0"/>
        <w:dstrike w:val="0"/>
        <w:noProof w:val="0"/>
        <w:vanish w:val="0"/>
        <w:color w:val="F36D00"/>
        <w:spacing w:val="0"/>
        <w:kern w:val="0"/>
        <w:position w:val="0"/>
        <w:sz w:val="18"/>
        <w:u w:val="none"/>
        <w:vertAlign w:val="baseline"/>
        <w:em w:val="none"/>
      </w:rPr>
    </w:lvl>
    <w:lvl w:ilvl="3">
      <w:start w:val="1"/>
      <w:numFmt w:val="decimal"/>
      <w:lvlText w:val="%1.%2.%3.%4"/>
      <w:lvlJc w:val="left"/>
      <w:pPr>
        <w:tabs>
          <w:tab w:val="num" w:pos="851"/>
        </w:tabs>
        <w:ind w:left="851" w:hanging="851"/>
      </w:pPr>
      <w:rPr>
        <w:rFonts w:ascii="Arial" w:hAnsi="Arial" w:cs="Times New Roman" w:hint="default"/>
        <w:b w:val="0"/>
        <w:bCs w:val="0"/>
        <w:i w:val="0"/>
        <w:iCs w:val="0"/>
        <w:caps w:val="0"/>
        <w:smallCaps w:val="0"/>
        <w:strike w:val="0"/>
        <w:dstrike w:val="0"/>
        <w:noProof w:val="0"/>
        <w:vanish w:val="0"/>
        <w:color w:val="F36D00"/>
        <w:spacing w:val="0"/>
        <w:kern w:val="0"/>
        <w:position w:val="0"/>
        <w:sz w:val="18"/>
        <w:u w:val="none"/>
        <w:vertAlign w:val="baseline"/>
        <w:em w:val="none"/>
      </w:rPr>
    </w:lvl>
    <w:lvl w:ilvl="4">
      <w:start w:val="1"/>
      <w:numFmt w:val="none"/>
      <w:lvlText w:val=""/>
      <w:lvlJc w:val="left"/>
      <w:pPr>
        <w:tabs>
          <w:tab w:val="num" w:pos="0"/>
        </w:tabs>
        <w:ind w:left="0" w:firstLine="0"/>
      </w:pPr>
      <w:rPr>
        <w:rFonts w:hint="default"/>
      </w:rPr>
    </w:lvl>
    <w:lvl w:ilvl="5">
      <w:start w:val="1"/>
      <w:numFmt w:val="none"/>
      <w:suff w:val="nothing"/>
      <w:lvlText w:val=""/>
      <w:lvlJc w:val="left"/>
      <w:pPr>
        <w:ind w:left="0" w:firstLine="0"/>
      </w:pPr>
      <w:rPr>
        <w:rFonts w:hint="default"/>
      </w:rPr>
    </w:lvl>
    <w:lvl w:ilvl="6">
      <w:start w:val="1"/>
      <w:numFmt w:val="upperLetter"/>
      <w:lvlText w:val="Appendix %7"/>
      <w:lvlJc w:val="left"/>
      <w:pPr>
        <w:ind w:left="851" w:hanging="851"/>
      </w:pPr>
      <w:rPr>
        <w:rFonts w:ascii="Arial" w:hAnsi="Arial" w:cs="Times New Roman" w:hint="default"/>
        <w:b/>
        <w:bCs w:val="0"/>
        <w:i w:val="0"/>
        <w:iCs w:val="0"/>
        <w:caps w:val="0"/>
        <w:smallCaps w:val="0"/>
        <w:strike w:val="0"/>
        <w:dstrike w:val="0"/>
        <w:noProof w:val="0"/>
        <w:vanish w:val="0"/>
        <w:color w:val="F36D00"/>
        <w:spacing w:val="0"/>
        <w:kern w:val="0"/>
        <w:position w:val="0"/>
        <w:sz w:val="24"/>
        <w:u w:val="none"/>
        <w:vertAlign w:val="baseline"/>
        <w:em w:val="none"/>
      </w:rPr>
    </w:lvl>
    <w:lvl w:ilvl="7">
      <w:start w:val="1"/>
      <w:numFmt w:val="decimal"/>
      <w:lvlText w:val="%7.%8."/>
      <w:lvlJc w:val="left"/>
      <w:pPr>
        <w:tabs>
          <w:tab w:val="num" w:pos="1703"/>
        </w:tabs>
        <w:ind w:left="851" w:hanging="851"/>
      </w:pPr>
      <w:rPr>
        <w:rFonts w:ascii="Arial" w:hAnsi="Arial" w:hint="default"/>
        <w:b w:val="0"/>
        <w:i w:val="0"/>
        <w:color w:val="F36D00"/>
        <w:sz w:val="24"/>
        <w:szCs w:val="28"/>
      </w:rPr>
    </w:lvl>
    <w:lvl w:ilvl="8">
      <w:start w:val="1"/>
      <w:numFmt w:val="decimal"/>
      <w:lvlText w:val="%7.%8.%9"/>
      <w:lvlJc w:val="left"/>
      <w:pPr>
        <w:tabs>
          <w:tab w:val="num" w:pos="851"/>
        </w:tabs>
        <w:ind w:left="851" w:hanging="851"/>
      </w:pPr>
      <w:rPr>
        <w:rFonts w:ascii="Arial" w:hAnsi="Arial" w:cs="Times New Roman" w:hint="default"/>
        <w:b w:val="0"/>
        <w:bCs w:val="0"/>
        <w:i w:val="0"/>
        <w:iCs w:val="0"/>
        <w:caps w:val="0"/>
        <w:smallCaps w:val="0"/>
        <w:strike w:val="0"/>
        <w:dstrike w:val="0"/>
        <w:noProof w:val="0"/>
        <w:vanish w:val="0"/>
        <w:color w:val="F36D00"/>
        <w:spacing w:val="0"/>
        <w:kern w:val="0"/>
        <w:position w:val="0"/>
        <w:sz w:val="18"/>
        <w:u w:val="none"/>
        <w:vertAlign w:val="baseline"/>
        <w:em w:val="none"/>
      </w:rPr>
    </w:lvl>
  </w:abstractNum>
  <w:abstractNum w:abstractNumId="272" w15:restartNumberingAfterBreak="0">
    <w:nsid w:val="412025D6"/>
    <w:multiLevelType w:val="hybridMultilevel"/>
    <w:tmpl w:val="F556A41C"/>
    <w:lvl w:ilvl="0" w:tplc="3092DC4A">
      <w:start w:val="1"/>
      <w:numFmt w:val="lowerLetter"/>
      <w:pStyle w:val="alphalistbody"/>
      <w:lvlText w:val="%1."/>
      <w:lvlJc w:val="left"/>
      <w:pPr>
        <w:tabs>
          <w:tab w:val="num" w:pos="1080"/>
        </w:tabs>
        <w:ind w:left="1080" w:hanging="360"/>
      </w:pPr>
    </w:lvl>
    <w:lvl w:ilvl="1" w:tplc="0C090003" w:tentative="1">
      <w:start w:val="1"/>
      <w:numFmt w:val="lowerLetter"/>
      <w:lvlText w:val="%2."/>
      <w:lvlJc w:val="left"/>
      <w:pPr>
        <w:tabs>
          <w:tab w:val="num" w:pos="1800"/>
        </w:tabs>
        <w:ind w:left="1800" w:hanging="360"/>
      </w:pPr>
    </w:lvl>
    <w:lvl w:ilvl="2" w:tplc="0C090005" w:tentative="1">
      <w:start w:val="1"/>
      <w:numFmt w:val="lowerRoman"/>
      <w:lvlText w:val="%3."/>
      <w:lvlJc w:val="right"/>
      <w:pPr>
        <w:tabs>
          <w:tab w:val="num" w:pos="2520"/>
        </w:tabs>
        <w:ind w:left="2520" w:hanging="180"/>
      </w:pPr>
    </w:lvl>
    <w:lvl w:ilvl="3" w:tplc="0C090001" w:tentative="1">
      <w:start w:val="1"/>
      <w:numFmt w:val="decimal"/>
      <w:lvlText w:val="%4."/>
      <w:lvlJc w:val="left"/>
      <w:pPr>
        <w:tabs>
          <w:tab w:val="num" w:pos="3240"/>
        </w:tabs>
        <w:ind w:left="3240" w:hanging="360"/>
      </w:pPr>
    </w:lvl>
    <w:lvl w:ilvl="4" w:tplc="0C090003" w:tentative="1">
      <w:start w:val="1"/>
      <w:numFmt w:val="lowerLetter"/>
      <w:lvlText w:val="%5."/>
      <w:lvlJc w:val="left"/>
      <w:pPr>
        <w:tabs>
          <w:tab w:val="num" w:pos="3960"/>
        </w:tabs>
        <w:ind w:left="3960" w:hanging="360"/>
      </w:pPr>
    </w:lvl>
    <w:lvl w:ilvl="5" w:tplc="0C090005" w:tentative="1">
      <w:start w:val="1"/>
      <w:numFmt w:val="lowerRoman"/>
      <w:lvlText w:val="%6."/>
      <w:lvlJc w:val="right"/>
      <w:pPr>
        <w:tabs>
          <w:tab w:val="num" w:pos="4680"/>
        </w:tabs>
        <w:ind w:left="4680" w:hanging="180"/>
      </w:pPr>
    </w:lvl>
    <w:lvl w:ilvl="6" w:tplc="0C090001" w:tentative="1">
      <w:start w:val="1"/>
      <w:numFmt w:val="decimal"/>
      <w:lvlText w:val="%7."/>
      <w:lvlJc w:val="left"/>
      <w:pPr>
        <w:tabs>
          <w:tab w:val="num" w:pos="5400"/>
        </w:tabs>
        <w:ind w:left="5400" w:hanging="360"/>
      </w:pPr>
    </w:lvl>
    <w:lvl w:ilvl="7" w:tplc="0C090003" w:tentative="1">
      <w:start w:val="1"/>
      <w:numFmt w:val="lowerLetter"/>
      <w:lvlText w:val="%8."/>
      <w:lvlJc w:val="left"/>
      <w:pPr>
        <w:tabs>
          <w:tab w:val="num" w:pos="6120"/>
        </w:tabs>
        <w:ind w:left="6120" w:hanging="360"/>
      </w:pPr>
    </w:lvl>
    <w:lvl w:ilvl="8" w:tplc="0C090005" w:tentative="1">
      <w:start w:val="1"/>
      <w:numFmt w:val="lowerRoman"/>
      <w:lvlText w:val="%9."/>
      <w:lvlJc w:val="right"/>
      <w:pPr>
        <w:tabs>
          <w:tab w:val="num" w:pos="6840"/>
        </w:tabs>
        <w:ind w:left="6840" w:hanging="180"/>
      </w:pPr>
    </w:lvl>
  </w:abstractNum>
  <w:abstractNum w:abstractNumId="273" w15:restartNumberingAfterBreak="0">
    <w:nsid w:val="413C541C"/>
    <w:multiLevelType w:val="hybridMultilevel"/>
    <w:tmpl w:val="65E0D15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4" w15:restartNumberingAfterBreak="0">
    <w:nsid w:val="41CE3C7A"/>
    <w:multiLevelType w:val="hybridMultilevel"/>
    <w:tmpl w:val="B2C819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5" w15:restartNumberingAfterBreak="0">
    <w:nsid w:val="41EE1300"/>
    <w:multiLevelType w:val="hybridMultilevel"/>
    <w:tmpl w:val="45647C24"/>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276" w15:restartNumberingAfterBreak="0">
    <w:nsid w:val="421A0F55"/>
    <w:multiLevelType w:val="hybridMultilevel"/>
    <w:tmpl w:val="DCAA0A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7" w15:restartNumberingAfterBreak="0">
    <w:nsid w:val="42237215"/>
    <w:multiLevelType w:val="hybridMultilevel"/>
    <w:tmpl w:val="B300B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15:restartNumberingAfterBreak="0">
    <w:nsid w:val="42550484"/>
    <w:multiLevelType w:val="hybridMultilevel"/>
    <w:tmpl w:val="E6E8F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15:restartNumberingAfterBreak="0">
    <w:nsid w:val="42BF57AE"/>
    <w:multiLevelType w:val="hybridMultilevel"/>
    <w:tmpl w:val="EDBCCF5A"/>
    <w:lvl w:ilvl="0" w:tplc="6186E9E8">
      <w:start w:val="1"/>
      <w:numFmt w:val="bullet"/>
      <w:pStyle w:val="Tabletextsmall-bullet"/>
      <w:lvlText w:val=""/>
      <w:lvlJc w:val="left"/>
      <w:pPr>
        <w:ind w:left="720" w:hanging="360"/>
      </w:pPr>
      <w:rPr>
        <w:rFonts w:ascii="Symbol" w:hAnsi="Symbol" w:hint="default"/>
        <w:sz w:val="16"/>
      </w:rPr>
    </w:lvl>
    <w:lvl w:ilvl="1" w:tplc="1DAA440E" w:tentative="1">
      <w:start w:val="1"/>
      <w:numFmt w:val="bullet"/>
      <w:lvlText w:val="o"/>
      <w:lvlJc w:val="left"/>
      <w:pPr>
        <w:ind w:left="1440" w:hanging="360"/>
      </w:pPr>
      <w:rPr>
        <w:rFonts w:ascii="Courier New" w:hAnsi="Courier New" w:hint="default"/>
      </w:rPr>
    </w:lvl>
    <w:lvl w:ilvl="2" w:tplc="1FCC60F8" w:tentative="1">
      <w:start w:val="1"/>
      <w:numFmt w:val="bullet"/>
      <w:lvlText w:val=""/>
      <w:lvlJc w:val="left"/>
      <w:pPr>
        <w:ind w:left="2160" w:hanging="360"/>
      </w:pPr>
      <w:rPr>
        <w:rFonts w:ascii="Wingdings" w:hAnsi="Wingdings" w:hint="default"/>
      </w:rPr>
    </w:lvl>
    <w:lvl w:ilvl="3" w:tplc="9D4E63DE" w:tentative="1">
      <w:start w:val="1"/>
      <w:numFmt w:val="bullet"/>
      <w:lvlText w:val=""/>
      <w:lvlJc w:val="left"/>
      <w:pPr>
        <w:ind w:left="2880" w:hanging="360"/>
      </w:pPr>
      <w:rPr>
        <w:rFonts w:ascii="Symbol" w:hAnsi="Symbol" w:hint="default"/>
      </w:rPr>
    </w:lvl>
    <w:lvl w:ilvl="4" w:tplc="94C4BE54" w:tentative="1">
      <w:start w:val="1"/>
      <w:numFmt w:val="bullet"/>
      <w:lvlText w:val="o"/>
      <w:lvlJc w:val="left"/>
      <w:pPr>
        <w:ind w:left="3600" w:hanging="360"/>
      </w:pPr>
      <w:rPr>
        <w:rFonts w:ascii="Courier New" w:hAnsi="Courier New" w:hint="default"/>
      </w:rPr>
    </w:lvl>
    <w:lvl w:ilvl="5" w:tplc="237E046E" w:tentative="1">
      <w:start w:val="1"/>
      <w:numFmt w:val="bullet"/>
      <w:lvlText w:val=""/>
      <w:lvlJc w:val="left"/>
      <w:pPr>
        <w:ind w:left="4320" w:hanging="360"/>
      </w:pPr>
      <w:rPr>
        <w:rFonts w:ascii="Wingdings" w:hAnsi="Wingdings" w:hint="default"/>
      </w:rPr>
    </w:lvl>
    <w:lvl w:ilvl="6" w:tplc="3B8267DC" w:tentative="1">
      <w:start w:val="1"/>
      <w:numFmt w:val="bullet"/>
      <w:lvlText w:val=""/>
      <w:lvlJc w:val="left"/>
      <w:pPr>
        <w:ind w:left="5040" w:hanging="360"/>
      </w:pPr>
      <w:rPr>
        <w:rFonts w:ascii="Symbol" w:hAnsi="Symbol" w:hint="default"/>
      </w:rPr>
    </w:lvl>
    <w:lvl w:ilvl="7" w:tplc="FA9012F8" w:tentative="1">
      <w:start w:val="1"/>
      <w:numFmt w:val="bullet"/>
      <w:lvlText w:val="o"/>
      <w:lvlJc w:val="left"/>
      <w:pPr>
        <w:ind w:left="5760" w:hanging="360"/>
      </w:pPr>
      <w:rPr>
        <w:rFonts w:ascii="Courier New" w:hAnsi="Courier New" w:hint="default"/>
      </w:rPr>
    </w:lvl>
    <w:lvl w:ilvl="8" w:tplc="0874863E" w:tentative="1">
      <w:start w:val="1"/>
      <w:numFmt w:val="bullet"/>
      <w:lvlText w:val=""/>
      <w:lvlJc w:val="left"/>
      <w:pPr>
        <w:ind w:left="6480" w:hanging="360"/>
      </w:pPr>
      <w:rPr>
        <w:rFonts w:ascii="Wingdings" w:hAnsi="Wingdings" w:hint="default"/>
      </w:rPr>
    </w:lvl>
  </w:abstractNum>
  <w:abstractNum w:abstractNumId="280" w15:restartNumberingAfterBreak="0">
    <w:nsid w:val="444B425B"/>
    <w:multiLevelType w:val="hybridMultilevel"/>
    <w:tmpl w:val="DBD61B54"/>
    <w:lvl w:ilvl="0" w:tplc="98E2B704">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1" w15:restartNumberingAfterBreak="0">
    <w:nsid w:val="446A4AAA"/>
    <w:multiLevelType w:val="hybridMultilevel"/>
    <w:tmpl w:val="2D14D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2" w15:restartNumberingAfterBreak="0">
    <w:nsid w:val="44B64B06"/>
    <w:multiLevelType w:val="hybridMultilevel"/>
    <w:tmpl w:val="B7B07688"/>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283" w15:restartNumberingAfterBreak="0">
    <w:nsid w:val="44C63183"/>
    <w:multiLevelType w:val="hybridMultilevel"/>
    <w:tmpl w:val="497C766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84" w15:restartNumberingAfterBreak="0">
    <w:nsid w:val="44CB6BF4"/>
    <w:multiLevelType w:val="hybridMultilevel"/>
    <w:tmpl w:val="5CB87E7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85" w15:restartNumberingAfterBreak="0">
    <w:nsid w:val="450D39F9"/>
    <w:multiLevelType w:val="hybridMultilevel"/>
    <w:tmpl w:val="196C9E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6" w15:restartNumberingAfterBreak="0">
    <w:nsid w:val="452C7BAE"/>
    <w:multiLevelType w:val="hybridMultilevel"/>
    <w:tmpl w:val="05D62B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7" w15:restartNumberingAfterBreak="0">
    <w:nsid w:val="455D3167"/>
    <w:multiLevelType w:val="hybridMultilevel"/>
    <w:tmpl w:val="07324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15:restartNumberingAfterBreak="0">
    <w:nsid w:val="4585407C"/>
    <w:multiLevelType w:val="hybridMultilevel"/>
    <w:tmpl w:val="264A4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15:restartNumberingAfterBreak="0">
    <w:nsid w:val="45C97A4D"/>
    <w:multiLevelType w:val="hybridMultilevel"/>
    <w:tmpl w:val="52F02D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0" w15:restartNumberingAfterBreak="0">
    <w:nsid w:val="461B4992"/>
    <w:multiLevelType w:val="hybridMultilevel"/>
    <w:tmpl w:val="630637F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1" w15:restartNumberingAfterBreak="0">
    <w:nsid w:val="46381270"/>
    <w:multiLevelType w:val="hybridMultilevel"/>
    <w:tmpl w:val="13DAF6C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92" w15:restartNumberingAfterBreak="0">
    <w:nsid w:val="465151ED"/>
    <w:multiLevelType w:val="hybridMultilevel"/>
    <w:tmpl w:val="8F5C3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3" w15:restartNumberingAfterBreak="0">
    <w:nsid w:val="46655079"/>
    <w:multiLevelType w:val="multilevel"/>
    <w:tmpl w:val="5F6C4DC8"/>
    <w:styleLink w:val="Tabletextsize8bullets11"/>
    <w:lvl w:ilvl="0">
      <w:start w:val="1"/>
      <w:numFmt w:val="bullet"/>
      <w:lvlText w:val=""/>
      <w:lvlJc w:val="left"/>
      <w:pPr>
        <w:tabs>
          <w:tab w:val="num" w:pos="720"/>
        </w:tabs>
        <w:ind w:left="720" w:hanging="360"/>
      </w:pPr>
      <w:rPr>
        <w:rFonts w:ascii="Symbol" w:hAnsi="Symbol"/>
        <w:sz w:val="22"/>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94" w15:restartNumberingAfterBreak="0">
    <w:nsid w:val="46707164"/>
    <w:multiLevelType w:val="hybridMultilevel"/>
    <w:tmpl w:val="D756B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5" w15:restartNumberingAfterBreak="0">
    <w:nsid w:val="468D546E"/>
    <w:multiLevelType w:val="hybridMultilevel"/>
    <w:tmpl w:val="78AA7B6E"/>
    <w:lvl w:ilvl="0" w:tplc="A15252FA">
      <w:start w:val="1"/>
      <w:numFmt w:val="bullet"/>
      <w:lvlText w:val="•"/>
      <w:lvlJc w:val="left"/>
      <w:pPr>
        <w:ind w:left="825" w:hanging="360"/>
      </w:pPr>
      <w:rPr>
        <w:rFonts w:ascii="Symbol" w:eastAsia="Symbol" w:hAnsi="Symbol" w:hint="default"/>
        <w:w w:val="103"/>
        <w:sz w:val="19"/>
        <w:szCs w:val="19"/>
      </w:rPr>
    </w:lvl>
    <w:lvl w:ilvl="1" w:tplc="D6065F14">
      <w:start w:val="1"/>
      <w:numFmt w:val="bullet"/>
      <w:lvlText w:val="•"/>
      <w:lvlJc w:val="left"/>
      <w:pPr>
        <w:ind w:left="1431" w:hanging="360"/>
      </w:pPr>
      <w:rPr>
        <w:rFonts w:hint="default"/>
      </w:rPr>
    </w:lvl>
    <w:lvl w:ilvl="2" w:tplc="EECA71A2">
      <w:start w:val="1"/>
      <w:numFmt w:val="bullet"/>
      <w:lvlText w:val="•"/>
      <w:lvlJc w:val="left"/>
      <w:pPr>
        <w:ind w:left="2043" w:hanging="360"/>
      </w:pPr>
      <w:rPr>
        <w:rFonts w:hint="default"/>
      </w:rPr>
    </w:lvl>
    <w:lvl w:ilvl="3" w:tplc="BF661E54">
      <w:start w:val="1"/>
      <w:numFmt w:val="bullet"/>
      <w:lvlText w:val="•"/>
      <w:lvlJc w:val="left"/>
      <w:pPr>
        <w:ind w:left="2654" w:hanging="360"/>
      </w:pPr>
      <w:rPr>
        <w:rFonts w:hint="default"/>
      </w:rPr>
    </w:lvl>
    <w:lvl w:ilvl="4" w:tplc="EA40387A">
      <w:start w:val="1"/>
      <w:numFmt w:val="bullet"/>
      <w:lvlText w:val="•"/>
      <w:lvlJc w:val="left"/>
      <w:pPr>
        <w:ind w:left="3266" w:hanging="360"/>
      </w:pPr>
      <w:rPr>
        <w:rFonts w:hint="default"/>
      </w:rPr>
    </w:lvl>
    <w:lvl w:ilvl="5" w:tplc="315AC89E">
      <w:start w:val="1"/>
      <w:numFmt w:val="bullet"/>
      <w:lvlText w:val="•"/>
      <w:lvlJc w:val="left"/>
      <w:pPr>
        <w:ind w:left="3878" w:hanging="360"/>
      </w:pPr>
      <w:rPr>
        <w:rFonts w:hint="default"/>
      </w:rPr>
    </w:lvl>
    <w:lvl w:ilvl="6" w:tplc="07689F9E">
      <w:start w:val="1"/>
      <w:numFmt w:val="bullet"/>
      <w:lvlText w:val="•"/>
      <w:lvlJc w:val="left"/>
      <w:pPr>
        <w:ind w:left="4489" w:hanging="360"/>
      </w:pPr>
      <w:rPr>
        <w:rFonts w:hint="default"/>
      </w:rPr>
    </w:lvl>
    <w:lvl w:ilvl="7" w:tplc="EEAC0058">
      <w:start w:val="1"/>
      <w:numFmt w:val="bullet"/>
      <w:lvlText w:val="•"/>
      <w:lvlJc w:val="left"/>
      <w:pPr>
        <w:ind w:left="5101" w:hanging="360"/>
      </w:pPr>
      <w:rPr>
        <w:rFonts w:hint="default"/>
      </w:rPr>
    </w:lvl>
    <w:lvl w:ilvl="8" w:tplc="9A2C03B2">
      <w:start w:val="1"/>
      <w:numFmt w:val="bullet"/>
      <w:lvlText w:val="•"/>
      <w:lvlJc w:val="left"/>
      <w:pPr>
        <w:ind w:left="5712" w:hanging="360"/>
      </w:pPr>
      <w:rPr>
        <w:rFonts w:hint="default"/>
      </w:rPr>
    </w:lvl>
  </w:abstractNum>
  <w:abstractNum w:abstractNumId="296" w15:restartNumberingAfterBreak="0">
    <w:nsid w:val="469638C7"/>
    <w:multiLevelType w:val="hybridMultilevel"/>
    <w:tmpl w:val="18365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7" w15:restartNumberingAfterBreak="0">
    <w:nsid w:val="46A606AE"/>
    <w:multiLevelType w:val="hybridMultilevel"/>
    <w:tmpl w:val="0E48523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98" w15:restartNumberingAfterBreak="0">
    <w:nsid w:val="46BB2989"/>
    <w:multiLevelType w:val="hybridMultilevel"/>
    <w:tmpl w:val="582C0A72"/>
    <w:lvl w:ilvl="0" w:tplc="04090001">
      <w:start w:val="1"/>
      <w:numFmt w:val="bullet"/>
      <w:lvlText w:val=""/>
      <w:lvlJc w:val="left"/>
      <w:pPr>
        <w:ind w:left="754" w:hanging="360"/>
      </w:pPr>
      <w:rPr>
        <w:rFonts w:ascii="Symbol" w:hAnsi="Symbol" w:hint="default"/>
      </w:rPr>
    </w:lvl>
    <w:lvl w:ilvl="1" w:tplc="04090003" w:tentative="1">
      <w:start w:val="1"/>
      <w:numFmt w:val="bullet"/>
      <w:lvlText w:val="o"/>
      <w:lvlJc w:val="left"/>
      <w:pPr>
        <w:ind w:left="1474" w:hanging="360"/>
      </w:pPr>
      <w:rPr>
        <w:rFonts w:ascii="Courier New" w:hAnsi="Courier New" w:hint="default"/>
      </w:rPr>
    </w:lvl>
    <w:lvl w:ilvl="2" w:tplc="04090005" w:tentative="1">
      <w:start w:val="1"/>
      <w:numFmt w:val="bullet"/>
      <w:lvlText w:val=""/>
      <w:lvlJc w:val="left"/>
      <w:pPr>
        <w:ind w:left="2194" w:hanging="360"/>
      </w:pPr>
      <w:rPr>
        <w:rFonts w:ascii="Wingdings" w:hAnsi="Wingdings" w:hint="default"/>
      </w:rPr>
    </w:lvl>
    <w:lvl w:ilvl="3" w:tplc="04090001" w:tentative="1">
      <w:start w:val="1"/>
      <w:numFmt w:val="bullet"/>
      <w:lvlText w:val=""/>
      <w:lvlJc w:val="left"/>
      <w:pPr>
        <w:ind w:left="2914" w:hanging="360"/>
      </w:pPr>
      <w:rPr>
        <w:rFonts w:ascii="Symbol" w:hAnsi="Symbol" w:hint="default"/>
      </w:rPr>
    </w:lvl>
    <w:lvl w:ilvl="4" w:tplc="04090003" w:tentative="1">
      <w:start w:val="1"/>
      <w:numFmt w:val="bullet"/>
      <w:lvlText w:val="o"/>
      <w:lvlJc w:val="left"/>
      <w:pPr>
        <w:ind w:left="3634" w:hanging="360"/>
      </w:pPr>
      <w:rPr>
        <w:rFonts w:ascii="Courier New" w:hAnsi="Courier New" w:hint="default"/>
      </w:rPr>
    </w:lvl>
    <w:lvl w:ilvl="5" w:tplc="04090005" w:tentative="1">
      <w:start w:val="1"/>
      <w:numFmt w:val="bullet"/>
      <w:lvlText w:val=""/>
      <w:lvlJc w:val="left"/>
      <w:pPr>
        <w:ind w:left="4354" w:hanging="360"/>
      </w:pPr>
      <w:rPr>
        <w:rFonts w:ascii="Wingdings" w:hAnsi="Wingdings" w:hint="default"/>
      </w:rPr>
    </w:lvl>
    <w:lvl w:ilvl="6" w:tplc="04090001" w:tentative="1">
      <w:start w:val="1"/>
      <w:numFmt w:val="bullet"/>
      <w:lvlText w:val=""/>
      <w:lvlJc w:val="left"/>
      <w:pPr>
        <w:ind w:left="5074" w:hanging="360"/>
      </w:pPr>
      <w:rPr>
        <w:rFonts w:ascii="Symbol" w:hAnsi="Symbol" w:hint="default"/>
      </w:rPr>
    </w:lvl>
    <w:lvl w:ilvl="7" w:tplc="04090003" w:tentative="1">
      <w:start w:val="1"/>
      <w:numFmt w:val="bullet"/>
      <w:lvlText w:val="o"/>
      <w:lvlJc w:val="left"/>
      <w:pPr>
        <w:ind w:left="5794" w:hanging="360"/>
      </w:pPr>
      <w:rPr>
        <w:rFonts w:ascii="Courier New" w:hAnsi="Courier New" w:hint="default"/>
      </w:rPr>
    </w:lvl>
    <w:lvl w:ilvl="8" w:tplc="04090005" w:tentative="1">
      <w:start w:val="1"/>
      <w:numFmt w:val="bullet"/>
      <w:lvlText w:val=""/>
      <w:lvlJc w:val="left"/>
      <w:pPr>
        <w:ind w:left="6514" w:hanging="360"/>
      </w:pPr>
      <w:rPr>
        <w:rFonts w:ascii="Wingdings" w:hAnsi="Wingdings" w:hint="default"/>
      </w:rPr>
    </w:lvl>
  </w:abstractNum>
  <w:abstractNum w:abstractNumId="299" w15:restartNumberingAfterBreak="0">
    <w:nsid w:val="46BF5674"/>
    <w:multiLevelType w:val="hybridMultilevel"/>
    <w:tmpl w:val="C4F6BA2E"/>
    <w:lvl w:ilvl="0" w:tplc="04090001">
      <w:start w:val="1"/>
      <w:numFmt w:val="bullet"/>
      <w:pStyle w:val="AppendixSubsection1"/>
      <w:lvlText w:val=""/>
      <w:lvlJc w:val="left"/>
      <w:pPr>
        <w:ind w:left="720" w:hanging="360"/>
      </w:pPr>
      <w:rPr>
        <w:rFonts w:ascii="Symbol" w:hAnsi="Symbol" w:hint="default"/>
      </w:rPr>
    </w:lvl>
    <w:lvl w:ilvl="1" w:tplc="04090003" w:tentative="1">
      <w:start w:val="1"/>
      <w:numFmt w:val="bullet"/>
      <w:pStyle w:val="AppendixSubsection1"/>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0" w15:restartNumberingAfterBreak="0">
    <w:nsid w:val="474C62B6"/>
    <w:multiLevelType w:val="multilevel"/>
    <w:tmpl w:val="F6E8C478"/>
    <w:styleLink w:val="Numbering"/>
    <w:lvl w:ilvl="0">
      <w:start w:val="1"/>
      <w:numFmt w:val="decimal"/>
      <w:lvlText w:val="%1."/>
      <w:lvlJc w:val="left"/>
      <w:pPr>
        <w:tabs>
          <w:tab w:val="num" w:pos="1304"/>
        </w:tabs>
        <w:ind w:left="1304" w:hanging="453"/>
      </w:pPr>
      <w:rPr>
        <w:rFonts w:ascii="Trebuchet MS" w:hAnsi="Trebuchet MS" w:cs="Times New Roman" w:hint="default"/>
        <w:b w:val="0"/>
        <w:i w:val="0"/>
        <w:sz w:val="22"/>
        <w:szCs w:val="22"/>
      </w:rPr>
    </w:lvl>
    <w:lvl w:ilvl="1">
      <w:start w:val="1"/>
      <w:numFmt w:val="lowerLetter"/>
      <w:lvlText w:val="%2)"/>
      <w:lvlJc w:val="left"/>
      <w:pPr>
        <w:tabs>
          <w:tab w:val="num" w:pos="1588"/>
        </w:tabs>
        <w:ind w:left="1588" w:hanging="284"/>
      </w:pPr>
      <w:rPr>
        <w:rFonts w:ascii="Trebuchet MS" w:hAnsi="Trebuchet MS" w:cs="Times New Roman" w:hint="default"/>
        <w:b w:val="0"/>
        <w:i w:val="0"/>
        <w:sz w:val="22"/>
      </w:rPr>
    </w:lvl>
    <w:lvl w:ilvl="2">
      <w:start w:val="1"/>
      <w:numFmt w:val="lowerRoman"/>
      <w:lvlText w:val="%3)"/>
      <w:lvlJc w:val="left"/>
      <w:pPr>
        <w:tabs>
          <w:tab w:val="num" w:pos="1871"/>
        </w:tabs>
        <w:ind w:left="1871" w:hanging="283"/>
      </w:pPr>
      <w:rPr>
        <w:rFonts w:ascii="Trebuchet MS" w:hAnsi="Trebuchet MS" w:cs="Times New Roman" w:hint="default"/>
        <w:b w:val="0"/>
        <w:i w:val="0"/>
        <w:sz w:val="22"/>
      </w:rPr>
    </w:lvl>
    <w:lvl w:ilvl="3">
      <w:start w:val="1"/>
      <w:numFmt w:val="decimal"/>
      <w:lvlText w:val="(%4)"/>
      <w:lvlJc w:val="left"/>
      <w:pPr>
        <w:tabs>
          <w:tab w:val="num" w:pos="589"/>
        </w:tabs>
        <w:ind w:left="589" w:hanging="360"/>
      </w:pPr>
      <w:rPr>
        <w:rFonts w:cs="Times New Roman" w:hint="default"/>
      </w:rPr>
    </w:lvl>
    <w:lvl w:ilvl="4">
      <w:start w:val="1"/>
      <w:numFmt w:val="lowerLetter"/>
      <w:lvlText w:val="(%5)"/>
      <w:lvlJc w:val="left"/>
      <w:pPr>
        <w:tabs>
          <w:tab w:val="num" w:pos="949"/>
        </w:tabs>
        <w:ind w:left="949" w:hanging="360"/>
      </w:pPr>
      <w:rPr>
        <w:rFonts w:cs="Times New Roman" w:hint="default"/>
      </w:rPr>
    </w:lvl>
    <w:lvl w:ilvl="5">
      <w:start w:val="1"/>
      <w:numFmt w:val="lowerRoman"/>
      <w:lvlText w:val="(%6)"/>
      <w:lvlJc w:val="left"/>
      <w:pPr>
        <w:tabs>
          <w:tab w:val="num" w:pos="1309"/>
        </w:tabs>
        <w:ind w:left="1309" w:hanging="360"/>
      </w:pPr>
      <w:rPr>
        <w:rFonts w:cs="Times New Roman" w:hint="default"/>
      </w:rPr>
    </w:lvl>
    <w:lvl w:ilvl="6">
      <w:start w:val="1"/>
      <w:numFmt w:val="decimal"/>
      <w:lvlText w:val="%7."/>
      <w:lvlJc w:val="left"/>
      <w:pPr>
        <w:tabs>
          <w:tab w:val="num" w:pos="1669"/>
        </w:tabs>
        <w:ind w:left="1669" w:hanging="360"/>
      </w:pPr>
      <w:rPr>
        <w:rFonts w:cs="Times New Roman" w:hint="default"/>
      </w:rPr>
    </w:lvl>
    <w:lvl w:ilvl="7">
      <w:start w:val="1"/>
      <w:numFmt w:val="lowerLetter"/>
      <w:lvlText w:val="%8."/>
      <w:lvlJc w:val="left"/>
      <w:pPr>
        <w:tabs>
          <w:tab w:val="num" w:pos="2029"/>
        </w:tabs>
        <w:ind w:left="2029" w:hanging="360"/>
      </w:pPr>
      <w:rPr>
        <w:rFonts w:cs="Times New Roman" w:hint="default"/>
      </w:rPr>
    </w:lvl>
    <w:lvl w:ilvl="8">
      <w:start w:val="1"/>
      <w:numFmt w:val="lowerRoman"/>
      <w:lvlText w:val="%9."/>
      <w:lvlJc w:val="left"/>
      <w:pPr>
        <w:tabs>
          <w:tab w:val="num" w:pos="2389"/>
        </w:tabs>
        <w:ind w:left="2389" w:hanging="360"/>
      </w:pPr>
      <w:rPr>
        <w:rFonts w:cs="Times New Roman" w:hint="default"/>
      </w:rPr>
    </w:lvl>
  </w:abstractNum>
  <w:abstractNum w:abstractNumId="301" w15:restartNumberingAfterBreak="0">
    <w:nsid w:val="479307B0"/>
    <w:multiLevelType w:val="hybridMultilevel"/>
    <w:tmpl w:val="4AC60314"/>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02" w15:restartNumberingAfterBreak="0">
    <w:nsid w:val="47AE3436"/>
    <w:multiLevelType w:val="hybridMultilevel"/>
    <w:tmpl w:val="72CED9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3" w15:restartNumberingAfterBreak="0">
    <w:nsid w:val="48065497"/>
    <w:multiLevelType w:val="hybridMultilevel"/>
    <w:tmpl w:val="BE58B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4" w15:restartNumberingAfterBreak="0">
    <w:nsid w:val="48135623"/>
    <w:multiLevelType w:val="hybridMultilevel"/>
    <w:tmpl w:val="7BE4453C"/>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305" w15:restartNumberingAfterBreak="0">
    <w:nsid w:val="48EB1FA8"/>
    <w:multiLevelType w:val="hybridMultilevel"/>
    <w:tmpl w:val="75943D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6" w15:restartNumberingAfterBreak="0">
    <w:nsid w:val="492B4759"/>
    <w:multiLevelType w:val="hybridMultilevel"/>
    <w:tmpl w:val="79D43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7" w15:restartNumberingAfterBreak="0">
    <w:nsid w:val="496F58BF"/>
    <w:multiLevelType w:val="hybridMultilevel"/>
    <w:tmpl w:val="CAF229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8" w15:restartNumberingAfterBreak="0">
    <w:nsid w:val="49A0318D"/>
    <w:multiLevelType w:val="hybridMultilevel"/>
    <w:tmpl w:val="DC5A1B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9" w15:restartNumberingAfterBreak="0">
    <w:nsid w:val="49B14669"/>
    <w:multiLevelType w:val="hybridMultilevel"/>
    <w:tmpl w:val="E0CA22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0" w15:restartNumberingAfterBreak="0">
    <w:nsid w:val="49F1570B"/>
    <w:multiLevelType w:val="hybridMultilevel"/>
    <w:tmpl w:val="F51CEC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15:restartNumberingAfterBreak="0">
    <w:nsid w:val="4A2824A8"/>
    <w:multiLevelType w:val="multilevel"/>
    <w:tmpl w:val="190AF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4A462F12"/>
    <w:multiLevelType w:val="hybridMultilevel"/>
    <w:tmpl w:val="3B0CA5C2"/>
    <w:lvl w:ilvl="0" w:tplc="0C090001">
      <w:start w:val="1"/>
      <w:numFmt w:val="bullet"/>
      <w:lvlText w:val=""/>
      <w:lvlJc w:val="left"/>
      <w:pPr>
        <w:ind w:left="1282" w:hanging="360"/>
      </w:pPr>
      <w:rPr>
        <w:rFonts w:ascii="Symbol" w:hAnsi="Symbol" w:hint="default"/>
      </w:rPr>
    </w:lvl>
    <w:lvl w:ilvl="1" w:tplc="0C090003">
      <w:start w:val="1"/>
      <w:numFmt w:val="bullet"/>
      <w:lvlText w:val="o"/>
      <w:lvlJc w:val="left"/>
      <w:pPr>
        <w:ind w:left="2002" w:hanging="360"/>
      </w:pPr>
      <w:rPr>
        <w:rFonts w:ascii="Courier New" w:hAnsi="Courier New" w:cs="Courier New" w:hint="default"/>
      </w:rPr>
    </w:lvl>
    <w:lvl w:ilvl="2" w:tplc="0C090005" w:tentative="1">
      <w:start w:val="1"/>
      <w:numFmt w:val="bullet"/>
      <w:lvlText w:val=""/>
      <w:lvlJc w:val="left"/>
      <w:pPr>
        <w:ind w:left="2722" w:hanging="360"/>
      </w:pPr>
      <w:rPr>
        <w:rFonts w:ascii="Wingdings" w:hAnsi="Wingdings" w:hint="default"/>
      </w:rPr>
    </w:lvl>
    <w:lvl w:ilvl="3" w:tplc="0C090001" w:tentative="1">
      <w:start w:val="1"/>
      <w:numFmt w:val="bullet"/>
      <w:lvlText w:val=""/>
      <w:lvlJc w:val="left"/>
      <w:pPr>
        <w:ind w:left="3442" w:hanging="360"/>
      </w:pPr>
      <w:rPr>
        <w:rFonts w:ascii="Symbol" w:hAnsi="Symbol" w:hint="default"/>
      </w:rPr>
    </w:lvl>
    <w:lvl w:ilvl="4" w:tplc="0C090003" w:tentative="1">
      <w:start w:val="1"/>
      <w:numFmt w:val="bullet"/>
      <w:lvlText w:val="o"/>
      <w:lvlJc w:val="left"/>
      <w:pPr>
        <w:ind w:left="4162" w:hanging="360"/>
      </w:pPr>
      <w:rPr>
        <w:rFonts w:ascii="Courier New" w:hAnsi="Courier New" w:cs="Courier New" w:hint="default"/>
      </w:rPr>
    </w:lvl>
    <w:lvl w:ilvl="5" w:tplc="0C090005" w:tentative="1">
      <w:start w:val="1"/>
      <w:numFmt w:val="bullet"/>
      <w:lvlText w:val=""/>
      <w:lvlJc w:val="left"/>
      <w:pPr>
        <w:ind w:left="4882" w:hanging="360"/>
      </w:pPr>
      <w:rPr>
        <w:rFonts w:ascii="Wingdings" w:hAnsi="Wingdings" w:hint="default"/>
      </w:rPr>
    </w:lvl>
    <w:lvl w:ilvl="6" w:tplc="0C090001" w:tentative="1">
      <w:start w:val="1"/>
      <w:numFmt w:val="bullet"/>
      <w:lvlText w:val=""/>
      <w:lvlJc w:val="left"/>
      <w:pPr>
        <w:ind w:left="5602" w:hanging="360"/>
      </w:pPr>
      <w:rPr>
        <w:rFonts w:ascii="Symbol" w:hAnsi="Symbol" w:hint="default"/>
      </w:rPr>
    </w:lvl>
    <w:lvl w:ilvl="7" w:tplc="0C090003" w:tentative="1">
      <w:start w:val="1"/>
      <w:numFmt w:val="bullet"/>
      <w:lvlText w:val="o"/>
      <w:lvlJc w:val="left"/>
      <w:pPr>
        <w:ind w:left="6322" w:hanging="360"/>
      </w:pPr>
      <w:rPr>
        <w:rFonts w:ascii="Courier New" w:hAnsi="Courier New" w:cs="Courier New" w:hint="default"/>
      </w:rPr>
    </w:lvl>
    <w:lvl w:ilvl="8" w:tplc="0C090005" w:tentative="1">
      <w:start w:val="1"/>
      <w:numFmt w:val="bullet"/>
      <w:lvlText w:val=""/>
      <w:lvlJc w:val="left"/>
      <w:pPr>
        <w:ind w:left="7042" w:hanging="360"/>
      </w:pPr>
      <w:rPr>
        <w:rFonts w:ascii="Wingdings" w:hAnsi="Wingdings" w:hint="default"/>
      </w:rPr>
    </w:lvl>
  </w:abstractNum>
  <w:abstractNum w:abstractNumId="313" w15:restartNumberingAfterBreak="0">
    <w:nsid w:val="4A486D87"/>
    <w:multiLevelType w:val="hybridMultilevel"/>
    <w:tmpl w:val="089C8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4" w15:restartNumberingAfterBreak="0">
    <w:nsid w:val="4A7B06B7"/>
    <w:multiLevelType w:val="hybridMultilevel"/>
    <w:tmpl w:val="7568B1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5" w15:restartNumberingAfterBreak="0">
    <w:nsid w:val="4A833EE8"/>
    <w:multiLevelType w:val="hybridMultilevel"/>
    <w:tmpl w:val="16F4D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6" w15:restartNumberingAfterBreak="0">
    <w:nsid w:val="4B6478F2"/>
    <w:multiLevelType w:val="hybridMultilevel"/>
    <w:tmpl w:val="6B5ABE9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7" w15:restartNumberingAfterBreak="0">
    <w:nsid w:val="4B86088E"/>
    <w:multiLevelType w:val="hybridMultilevel"/>
    <w:tmpl w:val="DE10AEE0"/>
    <w:lvl w:ilvl="0" w:tplc="CF78BE90">
      <w:numFmt w:val="bullet"/>
      <w:lvlText w:val="-"/>
      <w:lvlJc w:val="left"/>
      <w:pPr>
        <w:ind w:left="1211" w:hanging="360"/>
      </w:pPr>
      <w:rPr>
        <w:rFonts w:ascii="Arial" w:eastAsia="Times New Roman" w:hAnsi="Arial" w:cs="Arial"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318" w15:restartNumberingAfterBreak="0">
    <w:nsid w:val="4BF948C8"/>
    <w:multiLevelType w:val="hybridMultilevel"/>
    <w:tmpl w:val="CB7CD7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9" w15:restartNumberingAfterBreak="0">
    <w:nsid w:val="4CB03B21"/>
    <w:multiLevelType w:val="hybridMultilevel"/>
    <w:tmpl w:val="EAA086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0" w15:restartNumberingAfterBreak="0">
    <w:nsid w:val="4CDD00C7"/>
    <w:multiLevelType w:val="hybridMultilevel"/>
    <w:tmpl w:val="E7FAF95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1" w15:restartNumberingAfterBreak="0">
    <w:nsid w:val="4D75422C"/>
    <w:multiLevelType w:val="hybridMultilevel"/>
    <w:tmpl w:val="84564336"/>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22" w15:restartNumberingAfterBreak="0">
    <w:nsid w:val="4DA45A06"/>
    <w:multiLevelType w:val="multilevel"/>
    <w:tmpl w:val="A4FA73C6"/>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323" w15:restartNumberingAfterBreak="0">
    <w:nsid w:val="4EFF5FE7"/>
    <w:multiLevelType w:val="hybridMultilevel"/>
    <w:tmpl w:val="D116B6B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24" w15:restartNumberingAfterBreak="0">
    <w:nsid w:val="4F681895"/>
    <w:multiLevelType w:val="hybridMultilevel"/>
    <w:tmpl w:val="9C36638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5" w15:restartNumberingAfterBreak="0">
    <w:nsid w:val="4F912F77"/>
    <w:multiLevelType w:val="hybridMultilevel"/>
    <w:tmpl w:val="5D2CE1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6" w15:restartNumberingAfterBreak="0">
    <w:nsid w:val="4FEA1C06"/>
    <w:multiLevelType w:val="hybridMultilevel"/>
    <w:tmpl w:val="94089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7" w15:restartNumberingAfterBreak="0">
    <w:nsid w:val="50A74A4A"/>
    <w:multiLevelType w:val="hybridMultilevel"/>
    <w:tmpl w:val="929281F6"/>
    <w:styleLink w:val="OriginList1"/>
    <w:lvl w:ilvl="0" w:tplc="E96A43D8">
      <w:start w:val="1"/>
      <w:numFmt w:val="bullet"/>
      <w:pStyle w:val="Normalbullet"/>
      <w:lvlText w:val=""/>
      <w:lvlJc w:val="left"/>
      <w:pPr>
        <w:tabs>
          <w:tab w:val="num" w:pos="284"/>
        </w:tabs>
        <w:ind w:left="284" w:hanging="284"/>
      </w:pPr>
      <w:rPr>
        <w:rFonts w:ascii="Symbol" w:hAnsi="Symbol" w:hint="default"/>
      </w:rPr>
    </w:lvl>
    <w:lvl w:ilvl="1" w:tplc="275C44C0">
      <w:start w:val="1"/>
      <w:numFmt w:val="bullet"/>
      <w:lvlText w:val=""/>
      <w:lvlJc w:val="left"/>
      <w:pPr>
        <w:tabs>
          <w:tab w:val="num" w:pos="1800"/>
        </w:tabs>
        <w:ind w:left="1800" w:hanging="360"/>
      </w:pPr>
      <w:rPr>
        <w:rFonts w:ascii="Symbol" w:hAnsi="Symbol" w:hint="default"/>
      </w:rPr>
    </w:lvl>
    <w:lvl w:ilvl="2" w:tplc="FB14CE2C" w:tentative="1">
      <w:start w:val="1"/>
      <w:numFmt w:val="bullet"/>
      <w:lvlText w:val=""/>
      <w:lvlJc w:val="left"/>
      <w:pPr>
        <w:tabs>
          <w:tab w:val="num" w:pos="2520"/>
        </w:tabs>
        <w:ind w:left="2520" w:hanging="360"/>
      </w:pPr>
      <w:rPr>
        <w:rFonts w:ascii="Wingdings" w:hAnsi="Wingdings" w:hint="default"/>
      </w:rPr>
    </w:lvl>
    <w:lvl w:ilvl="3" w:tplc="0D7A5AE6" w:tentative="1">
      <w:start w:val="1"/>
      <w:numFmt w:val="bullet"/>
      <w:lvlText w:val=""/>
      <w:lvlJc w:val="left"/>
      <w:pPr>
        <w:tabs>
          <w:tab w:val="num" w:pos="3240"/>
        </w:tabs>
        <w:ind w:left="3240" w:hanging="360"/>
      </w:pPr>
      <w:rPr>
        <w:rFonts w:ascii="Symbol" w:hAnsi="Symbol" w:hint="default"/>
      </w:rPr>
    </w:lvl>
    <w:lvl w:ilvl="4" w:tplc="909891C4" w:tentative="1">
      <w:start w:val="1"/>
      <w:numFmt w:val="bullet"/>
      <w:lvlText w:val="o"/>
      <w:lvlJc w:val="left"/>
      <w:pPr>
        <w:tabs>
          <w:tab w:val="num" w:pos="3960"/>
        </w:tabs>
        <w:ind w:left="3960" w:hanging="360"/>
      </w:pPr>
      <w:rPr>
        <w:rFonts w:ascii="Courier New" w:hAnsi="Courier New" w:hint="default"/>
      </w:rPr>
    </w:lvl>
    <w:lvl w:ilvl="5" w:tplc="771E3194" w:tentative="1">
      <w:start w:val="1"/>
      <w:numFmt w:val="bullet"/>
      <w:lvlText w:val=""/>
      <w:lvlJc w:val="left"/>
      <w:pPr>
        <w:tabs>
          <w:tab w:val="num" w:pos="4680"/>
        </w:tabs>
        <w:ind w:left="4680" w:hanging="360"/>
      </w:pPr>
      <w:rPr>
        <w:rFonts w:ascii="Wingdings" w:hAnsi="Wingdings" w:hint="default"/>
      </w:rPr>
    </w:lvl>
    <w:lvl w:ilvl="6" w:tplc="50449F38" w:tentative="1">
      <w:start w:val="1"/>
      <w:numFmt w:val="bullet"/>
      <w:lvlText w:val=""/>
      <w:lvlJc w:val="left"/>
      <w:pPr>
        <w:tabs>
          <w:tab w:val="num" w:pos="5400"/>
        </w:tabs>
        <w:ind w:left="5400" w:hanging="360"/>
      </w:pPr>
      <w:rPr>
        <w:rFonts w:ascii="Symbol" w:hAnsi="Symbol" w:hint="default"/>
      </w:rPr>
    </w:lvl>
    <w:lvl w:ilvl="7" w:tplc="917E2440" w:tentative="1">
      <w:start w:val="1"/>
      <w:numFmt w:val="bullet"/>
      <w:lvlText w:val="o"/>
      <w:lvlJc w:val="left"/>
      <w:pPr>
        <w:tabs>
          <w:tab w:val="num" w:pos="6120"/>
        </w:tabs>
        <w:ind w:left="6120" w:hanging="360"/>
      </w:pPr>
      <w:rPr>
        <w:rFonts w:ascii="Courier New" w:hAnsi="Courier New" w:hint="default"/>
      </w:rPr>
    </w:lvl>
    <w:lvl w:ilvl="8" w:tplc="FF002F06" w:tentative="1">
      <w:start w:val="1"/>
      <w:numFmt w:val="bullet"/>
      <w:lvlText w:val=""/>
      <w:lvlJc w:val="left"/>
      <w:pPr>
        <w:tabs>
          <w:tab w:val="num" w:pos="6840"/>
        </w:tabs>
        <w:ind w:left="6840" w:hanging="360"/>
      </w:pPr>
      <w:rPr>
        <w:rFonts w:ascii="Wingdings" w:hAnsi="Wingdings" w:hint="default"/>
      </w:rPr>
    </w:lvl>
  </w:abstractNum>
  <w:abstractNum w:abstractNumId="328" w15:restartNumberingAfterBreak="0">
    <w:nsid w:val="51130533"/>
    <w:multiLevelType w:val="hybridMultilevel"/>
    <w:tmpl w:val="546C1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9" w15:restartNumberingAfterBreak="0">
    <w:nsid w:val="51225055"/>
    <w:multiLevelType w:val="hybridMultilevel"/>
    <w:tmpl w:val="13A4C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0" w15:restartNumberingAfterBreak="0">
    <w:nsid w:val="514B5ECA"/>
    <w:multiLevelType w:val="hybridMultilevel"/>
    <w:tmpl w:val="82E4D37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1" w15:restartNumberingAfterBreak="0">
    <w:nsid w:val="51E214D3"/>
    <w:multiLevelType w:val="hybridMultilevel"/>
    <w:tmpl w:val="197273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2" w15:restartNumberingAfterBreak="0">
    <w:nsid w:val="5200013A"/>
    <w:multiLevelType w:val="multilevel"/>
    <w:tmpl w:val="60A076D0"/>
    <w:styleLink w:val="TableNumberingLevel2"/>
    <w:lvl w:ilvl="0">
      <w:start w:val="1"/>
      <w:numFmt w:val="lowerRoman"/>
      <w:lvlText w:val="%1)"/>
      <w:lvlJc w:val="left"/>
      <w:pPr>
        <w:tabs>
          <w:tab w:val="num" w:pos="1418"/>
        </w:tabs>
        <w:ind w:left="1418" w:hanging="284"/>
      </w:pPr>
      <w:rPr>
        <w:rFonts w:ascii="Trebuchet MS" w:hAnsi="Trebuchet MS" w:hint="default"/>
        <w:sz w:val="20"/>
        <w:szCs w:val="20"/>
      </w:rPr>
    </w:lvl>
    <w:lvl w:ilvl="1">
      <w:start w:val="1"/>
      <w:numFmt w:val="lowerRoman"/>
      <w:lvlText w:val="%2."/>
      <w:lvlJc w:val="left"/>
      <w:pPr>
        <w:tabs>
          <w:tab w:val="num" w:pos="567"/>
        </w:tabs>
        <w:ind w:left="567" w:hanging="284"/>
      </w:pPr>
      <w:rPr>
        <w:rFonts w:hint="default"/>
      </w:rPr>
    </w:lvl>
    <w:lvl w:ilvl="2">
      <w:start w:val="1"/>
      <w:numFmt w:val="lowerRoman"/>
      <w:lvlText w:val="%3."/>
      <w:lvlJc w:val="right"/>
      <w:pPr>
        <w:tabs>
          <w:tab w:val="num" w:pos="1309"/>
        </w:tabs>
        <w:ind w:left="1309" w:hanging="180"/>
      </w:pPr>
      <w:rPr>
        <w:rFonts w:hint="default"/>
      </w:rPr>
    </w:lvl>
    <w:lvl w:ilvl="3">
      <w:start w:val="1"/>
      <w:numFmt w:val="decimal"/>
      <w:lvlText w:val="%4."/>
      <w:lvlJc w:val="left"/>
      <w:pPr>
        <w:tabs>
          <w:tab w:val="num" w:pos="2029"/>
        </w:tabs>
        <w:ind w:left="2029" w:hanging="360"/>
      </w:pPr>
      <w:rPr>
        <w:rFonts w:hint="default"/>
      </w:rPr>
    </w:lvl>
    <w:lvl w:ilvl="4">
      <w:start w:val="1"/>
      <w:numFmt w:val="lowerLetter"/>
      <w:lvlText w:val="%5."/>
      <w:lvlJc w:val="left"/>
      <w:pPr>
        <w:tabs>
          <w:tab w:val="num" w:pos="2749"/>
        </w:tabs>
        <w:ind w:left="2749" w:hanging="360"/>
      </w:pPr>
      <w:rPr>
        <w:rFonts w:hint="default"/>
      </w:rPr>
    </w:lvl>
    <w:lvl w:ilvl="5">
      <w:start w:val="1"/>
      <w:numFmt w:val="lowerRoman"/>
      <w:lvlText w:val="%6."/>
      <w:lvlJc w:val="right"/>
      <w:pPr>
        <w:tabs>
          <w:tab w:val="num" w:pos="3469"/>
        </w:tabs>
        <w:ind w:left="3469" w:hanging="180"/>
      </w:pPr>
      <w:rPr>
        <w:rFonts w:hint="default"/>
      </w:rPr>
    </w:lvl>
    <w:lvl w:ilvl="6">
      <w:start w:val="1"/>
      <w:numFmt w:val="decimal"/>
      <w:lvlText w:val="%7."/>
      <w:lvlJc w:val="left"/>
      <w:pPr>
        <w:tabs>
          <w:tab w:val="num" w:pos="4189"/>
        </w:tabs>
        <w:ind w:left="4189" w:hanging="360"/>
      </w:pPr>
      <w:rPr>
        <w:rFonts w:hint="default"/>
      </w:rPr>
    </w:lvl>
    <w:lvl w:ilvl="7">
      <w:start w:val="1"/>
      <w:numFmt w:val="lowerLetter"/>
      <w:lvlText w:val="%8."/>
      <w:lvlJc w:val="left"/>
      <w:pPr>
        <w:tabs>
          <w:tab w:val="num" w:pos="4909"/>
        </w:tabs>
        <w:ind w:left="4909" w:hanging="360"/>
      </w:pPr>
      <w:rPr>
        <w:rFonts w:hint="default"/>
      </w:rPr>
    </w:lvl>
    <w:lvl w:ilvl="8">
      <w:start w:val="1"/>
      <w:numFmt w:val="lowerRoman"/>
      <w:lvlText w:val="%9."/>
      <w:lvlJc w:val="right"/>
      <w:pPr>
        <w:tabs>
          <w:tab w:val="num" w:pos="5629"/>
        </w:tabs>
        <w:ind w:left="5629" w:hanging="180"/>
      </w:pPr>
      <w:rPr>
        <w:rFonts w:hint="default"/>
      </w:rPr>
    </w:lvl>
  </w:abstractNum>
  <w:abstractNum w:abstractNumId="333" w15:restartNumberingAfterBreak="0">
    <w:nsid w:val="52066BA1"/>
    <w:multiLevelType w:val="hybridMultilevel"/>
    <w:tmpl w:val="B83A16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4" w15:restartNumberingAfterBreak="0">
    <w:nsid w:val="52246383"/>
    <w:multiLevelType w:val="hybridMultilevel"/>
    <w:tmpl w:val="8CEA63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5" w15:restartNumberingAfterBreak="0">
    <w:nsid w:val="52263F0B"/>
    <w:multiLevelType w:val="hybridMultilevel"/>
    <w:tmpl w:val="93A83D1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6" w15:restartNumberingAfterBreak="0">
    <w:nsid w:val="52497B89"/>
    <w:multiLevelType w:val="hybridMultilevel"/>
    <w:tmpl w:val="139499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7" w15:restartNumberingAfterBreak="0">
    <w:nsid w:val="52641E9E"/>
    <w:multiLevelType w:val="hybridMultilevel"/>
    <w:tmpl w:val="70D4031E"/>
    <w:styleLink w:val="Tabletextsize8bullets2"/>
    <w:lvl w:ilvl="0" w:tplc="AEC0ADF8">
      <w:start w:val="1"/>
      <w:numFmt w:val="decimal"/>
      <w:pStyle w:val="References"/>
      <w:lvlText w:val="[%1]"/>
      <w:lvlJc w:val="left"/>
      <w:pPr>
        <w:tabs>
          <w:tab w:val="num" w:pos="1080"/>
        </w:tabs>
        <w:ind w:left="1080" w:hanging="360"/>
      </w:pPr>
      <w:rPr>
        <w:rFonts w:cs="Times New Roman" w:hint="default"/>
      </w:rPr>
    </w:lvl>
    <w:lvl w:ilvl="1" w:tplc="B15A6166" w:tentative="1">
      <w:start w:val="1"/>
      <w:numFmt w:val="lowerLetter"/>
      <w:lvlText w:val="%2."/>
      <w:lvlJc w:val="left"/>
      <w:pPr>
        <w:tabs>
          <w:tab w:val="num" w:pos="1440"/>
        </w:tabs>
        <w:ind w:left="1440" w:hanging="360"/>
      </w:pPr>
      <w:rPr>
        <w:rFonts w:cs="Times New Roman"/>
      </w:rPr>
    </w:lvl>
    <w:lvl w:ilvl="2" w:tplc="E14EE9D4" w:tentative="1">
      <w:start w:val="1"/>
      <w:numFmt w:val="lowerRoman"/>
      <w:lvlText w:val="%3."/>
      <w:lvlJc w:val="right"/>
      <w:pPr>
        <w:tabs>
          <w:tab w:val="num" w:pos="2160"/>
        </w:tabs>
        <w:ind w:left="2160" w:hanging="180"/>
      </w:pPr>
      <w:rPr>
        <w:rFonts w:cs="Times New Roman"/>
      </w:rPr>
    </w:lvl>
    <w:lvl w:ilvl="3" w:tplc="16C4B7D6" w:tentative="1">
      <w:start w:val="1"/>
      <w:numFmt w:val="decimal"/>
      <w:lvlText w:val="%4."/>
      <w:lvlJc w:val="left"/>
      <w:pPr>
        <w:tabs>
          <w:tab w:val="num" w:pos="2880"/>
        </w:tabs>
        <w:ind w:left="2880" w:hanging="360"/>
      </w:pPr>
      <w:rPr>
        <w:rFonts w:cs="Times New Roman"/>
      </w:rPr>
    </w:lvl>
    <w:lvl w:ilvl="4" w:tplc="2A72A2DA" w:tentative="1">
      <w:start w:val="1"/>
      <w:numFmt w:val="lowerLetter"/>
      <w:lvlText w:val="%5."/>
      <w:lvlJc w:val="left"/>
      <w:pPr>
        <w:tabs>
          <w:tab w:val="num" w:pos="3600"/>
        </w:tabs>
        <w:ind w:left="3600" w:hanging="360"/>
      </w:pPr>
      <w:rPr>
        <w:rFonts w:cs="Times New Roman"/>
      </w:rPr>
    </w:lvl>
    <w:lvl w:ilvl="5" w:tplc="0E74D85A" w:tentative="1">
      <w:start w:val="1"/>
      <w:numFmt w:val="lowerRoman"/>
      <w:lvlText w:val="%6."/>
      <w:lvlJc w:val="right"/>
      <w:pPr>
        <w:tabs>
          <w:tab w:val="num" w:pos="4320"/>
        </w:tabs>
        <w:ind w:left="4320" w:hanging="180"/>
      </w:pPr>
      <w:rPr>
        <w:rFonts w:cs="Times New Roman"/>
      </w:rPr>
    </w:lvl>
    <w:lvl w:ilvl="6" w:tplc="8E3E8A8A" w:tentative="1">
      <w:start w:val="1"/>
      <w:numFmt w:val="decimal"/>
      <w:lvlText w:val="%7."/>
      <w:lvlJc w:val="left"/>
      <w:pPr>
        <w:tabs>
          <w:tab w:val="num" w:pos="5040"/>
        </w:tabs>
        <w:ind w:left="5040" w:hanging="360"/>
      </w:pPr>
      <w:rPr>
        <w:rFonts w:cs="Times New Roman"/>
      </w:rPr>
    </w:lvl>
    <w:lvl w:ilvl="7" w:tplc="3ADA337C" w:tentative="1">
      <w:start w:val="1"/>
      <w:numFmt w:val="lowerLetter"/>
      <w:lvlText w:val="%8."/>
      <w:lvlJc w:val="left"/>
      <w:pPr>
        <w:tabs>
          <w:tab w:val="num" w:pos="5760"/>
        </w:tabs>
        <w:ind w:left="5760" w:hanging="360"/>
      </w:pPr>
      <w:rPr>
        <w:rFonts w:cs="Times New Roman"/>
      </w:rPr>
    </w:lvl>
    <w:lvl w:ilvl="8" w:tplc="62ACF3AE" w:tentative="1">
      <w:start w:val="1"/>
      <w:numFmt w:val="lowerRoman"/>
      <w:lvlText w:val="%9."/>
      <w:lvlJc w:val="right"/>
      <w:pPr>
        <w:tabs>
          <w:tab w:val="num" w:pos="6480"/>
        </w:tabs>
        <w:ind w:left="6480" w:hanging="180"/>
      </w:pPr>
      <w:rPr>
        <w:rFonts w:cs="Times New Roman"/>
      </w:rPr>
    </w:lvl>
  </w:abstractNum>
  <w:abstractNum w:abstractNumId="338" w15:restartNumberingAfterBreak="0">
    <w:nsid w:val="52722E0D"/>
    <w:multiLevelType w:val="hybridMultilevel"/>
    <w:tmpl w:val="ADFE92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9" w15:restartNumberingAfterBreak="0">
    <w:nsid w:val="5289253B"/>
    <w:multiLevelType w:val="hybridMultilevel"/>
    <w:tmpl w:val="E88E2F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0" w15:restartNumberingAfterBreak="0">
    <w:nsid w:val="52AF57D1"/>
    <w:multiLevelType w:val="hybridMultilevel"/>
    <w:tmpl w:val="89F02A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1" w15:restartNumberingAfterBreak="0">
    <w:nsid w:val="52B53218"/>
    <w:multiLevelType w:val="hybridMultilevel"/>
    <w:tmpl w:val="23223C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2" w15:restartNumberingAfterBreak="0">
    <w:nsid w:val="52EA2E65"/>
    <w:multiLevelType w:val="hybridMultilevel"/>
    <w:tmpl w:val="46F4710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43" w15:restartNumberingAfterBreak="0">
    <w:nsid w:val="53233011"/>
    <w:multiLevelType w:val="hybridMultilevel"/>
    <w:tmpl w:val="5718B6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4" w15:restartNumberingAfterBreak="0">
    <w:nsid w:val="535F21DD"/>
    <w:multiLevelType w:val="hybridMultilevel"/>
    <w:tmpl w:val="AB5802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5" w15:restartNumberingAfterBreak="0">
    <w:nsid w:val="535F2D23"/>
    <w:multiLevelType w:val="hybridMultilevel"/>
    <w:tmpl w:val="9CB8AAF6"/>
    <w:lvl w:ilvl="0" w:tplc="04090001">
      <w:start w:val="1"/>
      <w:numFmt w:val="bullet"/>
      <w:lvlText w:val=""/>
      <w:lvlJc w:val="left"/>
      <w:pPr>
        <w:ind w:left="1642" w:hanging="360"/>
      </w:pPr>
      <w:rPr>
        <w:rFonts w:ascii="Symbol" w:hAnsi="Symbol" w:hint="default"/>
      </w:rPr>
    </w:lvl>
    <w:lvl w:ilvl="1" w:tplc="04090003" w:tentative="1">
      <w:start w:val="1"/>
      <w:numFmt w:val="bullet"/>
      <w:lvlText w:val="o"/>
      <w:lvlJc w:val="left"/>
      <w:pPr>
        <w:ind w:left="2362" w:hanging="360"/>
      </w:pPr>
      <w:rPr>
        <w:rFonts w:ascii="Courier New" w:hAnsi="Courier New" w:hint="default"/>
      </w:rPr>
    </w:lvl>
    <w:lvl w:ilvl="2" w:tplc="04090005" w:tentative="1">
      <w:start w:val="1"/>
      <w:numFmt w:val="bullet"/>
      <w:lvlText w:val=""/>
      <w:lvlJc w:val="left"/>
      <w:pPr>
        <w:ind w:left="3082" w:hanging="360"/>
      </w:pPr>
      <w:rPr>
        <w:rFonts w:ascii="Wingdings" w:hAnsi="Wingdings" w:hint="default"/>
      </w:rPr>
    </w:lvl>
    <w:lvl w:ilvl="3" w:tplc="04090001" w:tentative="1">
      <w:start w:val="1"/>
      <w:numFmt w:val="bullet"/>
      <w:lvlText w:val=""/>
      <w:lvlJc w:val="left"/>
      <w:pPr>
        <w:ind w:left="3802" w:hanging="360"/>
      </w:pPr>
      <w:rPr>
        <w:rFonts w:ascii="Symbol" w:hAnsi="Symbol" w:hint="default"/>
      </w:rPr>
    </w:lvl>
    <w:lvl w:ilvl="4" w:tplc="04090003" w:tentative="1">
      <w:start w:val="1"/>
      <w:numFmt w:val="bullet"/>
      <w:lvlText w:val="o"/>
      <w:lvlJc w:val="left"/>
      <w:pPr>
        <w:ind w:left="4522" w:hanging="360"/>
      </w:pPr>
      <w:rPr>
        <w:rFonts w:ascii="Courier New" w:hAnsi="Courier New" w:hint="default"/>
      </w:rPr>
    </w:lvl>
    <w:lvl w:ilvl="5" w:tplc="04090005" w:tentative="1">
      <w:start w:val="1"/>
      <w:numFmt w:val="bullet"/>
      <w:lvlText w:val=""/>
      <w:lvlJc w:val="left"/>
      <w:pPr>
        <w:ind w:left="5242" w:hanging="360"/>
      </w:pPr>
      <w:rPr>
        <w:rFonts w:ascii="Wingdings" w:hAnsi="Wingdings" w:hint="default"/>
      </w:rPr>
    </w:lvl>
    <w:lvl w:ilvl="6" w:tplc="04090001" w:tentative="1">
      <w:start w:val="1"/>
      <w:numFmt w:val="bullet"/>
      <w:lvlText w:val=""/>
      <w:lvlJc w:val="left"/>
      <w:pPr>
        <w:ind w:left="5962" w:hanging="360"/>
      </w:pPr>
      <w:rPr>
        <w:rFonts w:ascii="Symbol" w:hAnsi="Symbol" w:hint="default"/>
      </w:rPr>
    </w:lvl>
    <w:lvl w:ilvl="7" w:tplc="04090003" w:tentative="1">
      <w:start w:val="1"/>
      <w:numFmt w:val="bullet"/>
      <w:lvlText w:val="o"/>
      <w:lvlJc w:val="left"/>
      <w:pPr>
        <w:ind w:left="6682" w:hanging="360"/>
      </w:pPr>
      <w:rPr>
        <w:rFonts w:ascii="Courier New" w:hAnsi="Courier New" w:hint="default"/>
      </w:rPr>
    </w:lvl>
    <w:lvl w:ilvl="8" w:tplc="04090005" w:tentative="1">
      <w:start w:val="1"/>
      <w:numFmt w:val="bullet"/>
      <w:lvlText w:val=""/>
      <w:lvlJc w:val="left"/>
      <w:pPr>
        <w:ind w:left="7402" w:hanging="360"/>
      </w:pPr>
      <w:rPr>
        <w:rFonts w:ascii="Wingdings" w:hAnsi="Wingdings" w:hint="default"/>
      </w:rPr>
    </w:lvl>
  </w:abstractNum>
  <w:abstractNum w:abstractNumId="346" w15:restartNumberingAfterBreak="0">
    <w:nsid w:val="53EB25F5"/>
    <w:multiLevelType w:val="hybridMultilevel"/>
    <w:tmpl w:val="B06A7C52"/>
    <w:lvl w:ilvl="0" w:tplc="F9E42742">
      <w:start w:val="1"/>
      <w:numFmt w:val="bullet"/>
      <w:pStyle w:val="MSDFirstBullet"/>
      <w:lvlText w:val=""/>
      <w:lvlJc w:val="left"/>
      <w:pPr>
        <w:tabs>
          <w:tab w:val="num" w:pos="1305"/>
        </w:tabs>
        <w:ind w:left="1305" w:hanging="454"/>
      </w:pPr>
      <w:rPr>
        <w:rFonts w:ascii="Symbol" w:hAnsi="Symbol" w:hint="default"/>
      </w:rPr>
    </w:lvl>
    <w:lvl w:ilvl="1" w:tplc="0C090003">
      <w:start w:val="1"/>
      <w:numFmt w:val="bullet"/>
      <w:lvlText w:val="o"/>
      <w:lvlJc w:val="left"/>
      <w:pPr>
        <w:tabs>
          <w:tab w:val="num" w:pos="3567"/>
        </w:tabs>
        <w:ind w:left="3567" w:hanging="360"/>
      </w:pPr>
      <w:rPr>
        <w:rFonts w:ascii="Courier New" w:hAnsi="Courier New" w:cs="Courier New" w:hint="default"/>
      </w:rPr>
    </w:lvl>
    <w:lvl w:ilvl="2" w:tplc="0C090005">
      <w:start w:val="1"/>
      <w:numFmt w:val="bullet"/>
      <w:lvlText w:val=""/>
      <w:lvlJc w:val="left"/>
      <w:pPr>
        <w:tabs>
          <w:tab w:val="num" w:pos="4287"/>
        </w:tabs>
        <w:ind w:left="4287" w:hanging="360"/>
      </w:pPr>
      <w:rPr>
        <w:rFonts w:ascii="Wingdings" w:hAnsi="Wingdings" w:hint="default"/>
      </w:rPr>
    </w:lvl>
    <w:lvl w:ilvl="3" w:tplc="0C090001" w:tentative="1">
      <w:start w:val="1"/>
      <w:numFmt w:val="bullet"/>
      <w:lvlText w:val=""/>
      <w:lvlJc w:val="left"/>
      <w:pPr>
        <w:tabs>
          <w:tab w:val="num" w:pos="5007"/>
        </w:tabs>
        <w:ind w:left="5007" w:hanging="360"/>
      </w:pPr>
      <w:rPr>
        <w:rFonts w:ascii="Symbol" w:hAnsi="Symbol" w:hint="default"/>
      </w:rPr>
    </w:lvl>
    <w:lvl w:ilvl="4" w:tplc="0C090003" w:tentative="1">
      <w:start w:val="1"/>
      <w:numFmt w:val="bullet"/>
      <w:lvlText w:val="o"/>
      <w:lvlJc w:val="left"/>
      <w:pPr>
        <w:tabs>
          <w:tab w:val="num" w:pos="5727"/>
        </w:tabs>
        <w:ind w:left="5727" w:hanging="360"/>
      </w:pPr>
      <w:rPr>
        <w:rFonts w:ascii="Courier New" w:hAnsi="Courier New" w:cs="Courier New" w:hint="default"/>
      </w:rPr>
    </w:lvl>
    <w:lvl w:ilvl="5" w:tplc="0C090005" w:tentative="1">
      <w:start w:val="1"/>
      <w:numFmt w:val="bullet"/>
      <w:lvlText w:val=""/>
      <w:lvlJc w:val="left"/>
      <w:pPr>
        <w:tabs>
          <w:tab w:val="num" w:pos="6447"/>
        </w:tabs>
        <w:ind w:left="6447" w:hanging="360"/>
      </w:pPr>
      <w:rPr>
        <w:rFonts w:ascii="Wingdings" w:hAnsi="Wingdings" w:hint="default"/>
      </w:rPr>
    </w:lvl>
    <w:lvl w:ilvl="6" w:tplc="0C090001" w:tentative="1">
      <w:start w:val="1"/>
      <w:numFmt w:val="bullet"/>
      <w:lvlText w:val=""/>
      <w:lvlJc w:val="left"/>
      <w:pPr>
        <w:tabs>
          <w:tab w:val="num" w:pos="7167"/>
        </w:tabs>
        <w:ind w:left="7167" w:hanging="360"/>
      </w:pPr>
      <w:rPr>
        <w:rFonts w:ascii="Symbol" w:hAnsi="Symbol" w:hint="default"/>
      </w:rPr>
    </w:lvl>
    <w:lvl w:ilvl="7" w:tplc="0C090003" w:tentative="1">
      <w:start w:val="1"/>
      <w:numFmt w:val="bullet"/>
      <w:lvlText w:val="o"/>
      <w:lvlJc w:val="left"/>
      <w:pPr>
        <w:tabs>
          <w:tab w:val="num" w:pos="7887"/>
        </w:tabs>
        <w:ind w:left="7887" w:hanging="360"/>
      </w:pPr>
      <w:rPr>
        <w:rFonts w:ascii="Courier New" w:hAnsi="Courier New" w:cs="Courier New" w:hint="default"/>
      </w:rPr>
    </w:lvl>
    <w:lvl w:ilvl="8" w:tplc="0C090005" w:tentative="1">
      <w:start w:val="1"/>
      <w:numFmt w:val="bullet"/>
      <w:lvlText w:val=""/>
      <w:lvlJc w:val="left"/>
      <w:pPr>
        <w:tabs>
          <w:tab w:val="num" w:pos="8607"/>
        </w:tabs>
        <w:ind w:left="8607" w:hanging="360"/>
      </w:pPr>
      <w:rPr>
        <w:rFonts w:ascii="Wingdings" w:hAnsi="Wingdings" w:hint="default"/>
      </w:rPr>
    </w:lvl>
  </w:abstractNum>
  <w:abstractNum w:abstractNumId="347" w15:restartNumberingAfterBreak="0">
    <w:nsid w:val="53EC38F6"/>
    <w:multiLevelType w:val="hybridMultilevel"/>
    <w:tmpl w:val="C674D1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8" w15:restartNumberingAfterBreak="0">
    <w:nsid w:val="543405FD"/>
    <w:multiLevelType w:val="hybridMultilevel"/>
    <w:tmpl w:val="C80877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9" w15:restartNumberingAfterBreak="0">
    <w:nsid w:val="54D53E25"/>
    <w:multiLevelType w:val="multilevel"/>
    <w:tmpl w:val="87A8C3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0" w15:restartNumberingAfterBreak="0">
    <w:nsid w:val="54D95537"/>
    <w:multiLevelType w:val="hybridMultilevel"/>
    <w:tmpl w:val="BE9852A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1" w15:restartNumberingAfterBreak="0">
    <w:nsid w:val="55130DA9"/>
    <w:multiLevelType w:val="hybridMultilevel"/>
    <w:tmpl w:val="92543C04"/>
    <w:lvl w:ilvl="0" w:tplc="0C090001">
      <w:start w:val="1"/>
      <w:numFmt w:val="bullet"/>
      <w:lvlText w:val=""/>
      <w:lvlJc w:val="left"/>
      <w:pPr>
        <w:ind w:left="783" w:hanging="360"/>
      </w:pPr>
      <w:rPr>
        <w:rFonts w:ascii="Symbol" w:hAnsi="Symbol" w:hint="default"/>
      </w:rPr>
    </w:lvl>
    <w:lvl w:ilvl="1" w:tplc="0C090003">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352" w15:restartNumberingAfterBreak="0">
    <w:nsid w:val="5562543B"/>
    <w:multiLevelType w:val="hybridMultilevel"/>
    <w:tmpl w:val="3EE42A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3" w15:restartNumberingAfterBreak="0">
    <w:nsid w:val="55C8243F"/>
    <w:multiLevelType w:val="hybridMultilevel"/>
    <w:tmpl w:val="7696B6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4" w15:restartNumberingAfterBreak="0">
    <w:nsid w:val="5608373C"/>
    <w:multiLevelType w:val="hybridMultilevel"/>
    <w:tmpl w:val="797637A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5" w15:restartNumberingAfterBreak="0">
    <w:nsid w:val="56193230"/>
    <w:multiLevelType w:val="hybridMultilevel"/>
    <w:tmpl w:val="3614F63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6" w15:restartNumberingAfterBreak="0">
    <w:nsid w:val="56827099"/>
    <w:multiLevelType w:val="hybridMultilevel"/>
    <w:tmpl w:val="CCA21CA0"/>
    <w:lvl w:ilvl="0" w:tplc="A02EA6E8">
      <w:start w:val="1"/>
      <w:numFmt w:val="bullet"/>
      <w:lvlText w:val="•"/>
      <w:lvlJc w:val="left"/>
      <w:pPr>
        <w:ind w:left="423" w:hanging="284"/>
      </w:pPr>
      <w:rPr>
        <w:rFonts w:ascii="Symbol" w:eastAsia="Symbol" w:hAnsi="Symbol" w:hint="default"/>
        <w:w w:val="103"/>
        <w:sz w:val="19"/>
        <w:szCs w:val="19"/>
      </w:rPr>
    </w:lvl>
    <w:lvl w:ilvl="1" w:tplc="AFDC2D7C">
      <w:start w:val="1"/>
      <w:numFmt w:val="bullet"/>
      <w:lvlText w:val="•"/>
      <w:lvlJc w:val="left"/>
      <w:pPr>
        <w:ind w:left="618" w:hanging="284"/>
      </w:pPr>
      <w:rPr>
        <w:rFonts w:hint="default"/>
      </w:rPr>
    </w:lvl>
    <w:lvl w:ilvl="2" w:tplc="7018B18E">
      <w:start w:val="1"/>
      <w:numFmt w:val="bullet"/>
      <w:lvlText w:val="•"/>
      <w:lvlJc w:val="left"/>
      <w:pPr>
        <w:ind w:left="816" w:hanging="284"/>
      </w:pPr>
      <w:rPr>
        <w:rFonts w:hint="default"/>
      </w:rPr>
    </w:lvl>
    <w:lvl w:ilvl="3" w:tplc="399EE580">
      <w:start w:val="1"/>
      <w:numFmt w:val="bullet"/>
      <w:lvlText w:val="•"/>
      <w:lvlJc w:val="left"/>
      <w:pPr>
        <w:ind w:left="1014" w:hanging="284"/>
      </w:pPr>
      <w:rPr>
        <w:rFonts w:hint="default"/>
      </w:rPr>
    </w:lvl>
    <w:lvl w:ilvl="4" w:tplc="10340650">
      <w:start w:val="1"/>
      <w:numFmt w:val="bullet"/>
      <w:lvlText w:val="•"/>
      <w:lvlJc w:val="left"/>
      <w:pPr>
        <w:ind w:left="1212" w:hanging="284"/>
      </w:pPr>
      <w:rPr>
        <w:rFonts w:hint="default"/>
      </w:rPr>
    </w:lvl>
    <w:lvl w:ilvl="5" w:tplc="73DEA37C">
      <w:start w:val="1"/>
      <w:numFmt w:val="bullet"/>
      <w:lvlText w:val="•"/>
      <w:lvlJc w:val="left"/>
      <w:pPr>
        <w:ind w:left="1410" w:hanging="284"/>
      </w:pPr>
      <w:rPr>
        <w:rFonts w:hint="default"/>
      </w:rPr>
    </w:lvl>
    <w:lvl w:ilvl="6" w:tplc="4F5CD9FA">
      <w:start w:val="1"/>
      <w:numFmt w:val="bullet"/>
      <w:lvlText w:val="•"/>
      <w:lvlJc w:val="left"/>
      <w:pPr>
        <w:ind w:left="1608" w:hanging="284"/>
      </w:pPr>
      <w:rPr>
        <w:rFonts w:hint="default"/>
      </w:rPr>
    </w:lvl>
    <w:lvl w:ilvl="7" w:tplc="0560B706">
      <w:start w:val="1"/>
      <w:numFmt w:val="bullet"/>
      <w:lvlText w:val="•"/>
      <w:lvlJc w:val="left"/>
      <w:pPr>
        <w:ind w:left="1806" w:hanging="284"/>
      </w:pPr>
      <w:rPr>
        <w:rFonts w:hint="default"/>
      </w:rPr>
    </w:lvl>
    <w:lvl w:ilvl="8" w:tplc="E680577A">
      <w:start w:val="1"/>
      <w:numFmt w:val="bullet"/>
      <w:lvlText w:val="•"/>
      <w:lvlJc w:val="left"/>
      <w:pPr>
        <w:ind w:left="2004" w:hanging="284"/>
      </w:pPr>
      <w:rPr>
        <w:rFonts w:hint="default"/>
      </w:rPr>
    </w:lvl>
  </w:abstractNum>
  <w:abstractNum w:abstractNumId="357" w15:restartNumberingAfterBreak="0">
    <w:nsid w:val="56D606E1"/>
    <w:multiLevelType w:val="multilevel"/>
    <w:tmpl w:val="A4FA73C6"/>
    <w:lvl w:ilvl="0">
      <w:start w:val="1"/>
      <w:numFmt w:val="decimal"/>
      <w:lvlText w:val="%1."/>
      <w:lvlJc w:val="left"/>
      <w:pPr>
        <w:tabs>
          <w:tab w:val="num" w:pos="360"/>
        </w:tabs>
        <w:ind w:left="360" w:hanging="360"/>
      </w:pPr>
    </w:lvl>
    <w:lvl w:ilvl="1">
      <w:start w:val="1"/>
      <w:numFmt w:val="decimal"/>
      <w:lvlText w:val="%1.%2."/>
      <w:lvlJc w:val="left"/>
      <w:pPr>
        <w:tabs>
          <w:tab w:val="num" w:pos="1004"/>
        </w:tabs>
        <w:ind w:left="716" w:hanging="432"/>
      </w:pPr>
    </w:lvl>
    <w:lvl w:ilvl="2">
      <w:start w:val="1"/>
      <w:numFmt w:val="decimal"/>
      <w:pStyle w:val="Heading3"/>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358" w15:restartNumberingAfterBreak="0">
    <w:nsid w:val="56EC68BE"/>
    <w:multiLevelType w:val="hybridMultilevel"/>
    <w:tmpl w:val="FA9CB49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9" w15:restartNumberingAfterBreak="0">
    <w:nsid w:val="56F24E26"/>
    <w:multiLevelType w:val="multilevel"/>
    <w:tmpl w:val="EED60A74"/>
    <w:styleLink w:val="ListBulletNumber"/>
    <w:lvl w:ilvl="0">
      <w:start w:val="1"/>
      <w:numFmt w:val="decimal"/>
      <w:lvlText w:val="(%1)"/>
      <w:lvlJc w:val="left"/>
      <w:pPr>
        <w:tabs>
          <w:tab w:val="num" w:pos="1134"/>
        </w:tabs>
        <w:ind w:left="1701" w:hanging="567"/>
      </w:pPr>
      <w:rPr>
        <w:rFonts w:ascii="Arial" w:hAnsi="Arial" w:hint="default"/>
        <w:color w:val="auto"/>
        <w:sz w:val="20"/>
      </w:rPr>
    </w:lvl>
    <w:lvl w:ilvl="1">
      <w:start w:val="1"/>
      <w:numFmt w:val="decimal"/>
      <w:lvlText w:val="(%1.%2)"/>
      <w:lvlJc w:val="left"/>
      <w:pPr>
        <w:tabs>
          <w:tab w:val="num" w:pos="1701"/>
        </w:tabs>
        <w:ind w:left="2268" w:hanging="567"/>
      </w:pPr>
      <w:rPr>
        <w:rFonts w:hint="default"/>
      </w:rPr>
    </w:lvl>
    <w:lvl w:ilvl="2">
      <w:start w:val="1"/>
      <w:numFmt w:val="decimal"/>
      <w:lvlText w:val="(%1.%2.%3)"/>
      <w:lvlJc w:val="left"/>
      <w:pPr>
        <w:tabs>
          <w:tab w:val="num" w:pos="2268"/>
        </w:tabs>
        <w:ind w:left="2835" w:hanging="567"/>
      </w:pPr>
      <w:rPr>
        <w:rFonts w:hint="default"/>
      </w:rPr>
    </w:lvl>
    <w:lvl w:ilvl="3">
      <w:start w:val="1"/>
      <w:numFmt w:val="decimal"/>
      <w:lvlText w:val="(%1.%2.%3.%4)"/>
      <w:lvlJc w:val="left"/>
      <w:pPr>
        <w:tabs>
          <w:tab w:val="num" w:pos="2835"/>
        </w:tabs>
        <w:ind w:left="3402" w:hanging="567"/>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360" w15:restartNumberingAfterBreak="0">
    <w:nsid w:val="573C7275"/>
    <w:multiLevelType w:val="multilevel"/>
    <w:tmpl w:val="E8CA38D6"/>
    <w:styleLink w:val="OriginList"/>
    <w:lvl w:ilvl="0">
      <w:start w:val="1"/>
      <w:numFmt w:val="decimal"/>
      <w:lvlText w:val="%1"/>
      <w:lvlJc w:val="left"/>
      <w:pPr>
        <w:ind w:left="360" w:hanging="360"/>
      </w:pPr>
      <w:rPr>
        <w:rFonts w:ascii="Trebuchet MS" w:hAnsi="Trebuchet MS" w:cs="Times New Roman" w:hint="default"/>
        <w:b/>
        <w:i w:val="0"/>
        <w:sz w:val="24"/>
      </w:rPr>
    </w:lvl>
    <w:lvl w:ilvl="1">
      <w:start w:val="1"/>
      <w:numFmt w:val="decimal"/>
      <w:lvlText w:val="%1.%2"/>
      <w:lvlJc w:val="left"/>
      <w:pPr>
        <w:ind w:left="720" w:hanging="360"/>
      </w:pPr>
      <w:rPr>
        <w:rFonts w:ascii="Trebuchet MS" w:hAnsi="Trebuchet MS" w:cs="Times New Roman" w:hint="default"/>
        <w:b/>
        <w:i w:val="0"/>
        <w:sz w:val="22"/>
      </w:rPr>
    </w:lvl>
    <w:lvl w:ilvl="2">
      <w:start w:val="1"/>
      <w:numFmt w:val="decimal"/>
      <w:lvlText w:val="%1.%2.%3"/>
      <w:lvlJc w:val="left"/>
      <w:pPr>
        <w:ind w:left="1080" w:hanging="360"/>
      </w:pPr>
      <w:rPr>
        <w:rFonts w:ascii="Trebuchet MS" w:hAnsi="Trebuchet MS" w:cs="Times New Roman" w:hint="default"/>
        <w:sz w:val="20"/>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361" w15:restartNumberingAfterBreak="0">
    <w:nsid w:val="57603CA9"/>
    <w:multiLevelType w:val="hybridMultilevel"/>
    <w:tmpl w:val="E20A20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2" w15:restartNumberingAfterBreak="0">
    <w:nsid w:val="585F6CE6"/>
    <w:multiLevelType w:val="hybridMultilevel"/>
    <w:tmpl w:val="EC806BB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3" w15:restartNumberingAfterBreak="0">
    <w:nsid w:val="58613A38"/>
    <w:multiLevelType w:val="hybridMultilevel"/>
    <w:tmpl w:val="5490A7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4" w15:restartNumberingAfterBreak="0">
    <w:nsid w:val="58945C20"/>
    <w:multiLevelType w:val="hybridMultilevel"/>
    <w:tmpl w:val="EC96E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5" w15:restartNumberingAfterBreak="0">
    <w:nsid w:val="58CF5093"/>
    <w:multiLevelType w:val="hybridMultilevel"/>
    <w:tmpl w:val="A802C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6" w15:restartNumberingAfterBreak="0">
    <w:nsid w:val="592771DF"/>
    <w:multiLevelType w:val="hybridMultilevel"/>
    <w:tmpl w:val="9FD667CE"/>
    <w:lvl w:ilvl="0" w:tplc="0C090001">
      <w:start w:val="1"/>
      <w:numFmt w:val="bullet"/>
      <w:lvlText w:val=""/>
      <w:lvlJc w:val="left"/>
      <w:pPr>
        <w:ind w:left="1282" w:hanging="360"/>
      </w:pPr>
      <w:rPr>
        <w:rFonts w:ascii="Symbol" w:hAnsi="Symbol" w:hint="default"/>
      </w:rPr>
    </w:lvl>
    <w:lvl w:ilvl="1" w:tplc="0C090003" w:tentative="1">
      <w:start w:val="1"/>
      <w:numFmt w:val="bullet"/>
      <w:lvlText w:val="o"/>
      <w:lvlJc w:val="left"/>
      <w:pPr>
        <w:ind w:left="2002" w:hanging="360"/>
      </w:pPr>
      <w:rPr>
        <w:rFonts w:ascii="Courier New" w:hAnsi="Courier New" w:cs="Courier New" w:hint="default"/>
      </w:rPr>
    </w:lvl>
    <w:lvl w:ilvl="2" w:tplc="0C090005" w:tentative="1">
      <w:start w:val="1"/>
      <w:numFmt w:val="bullet"/>
      <w:lvlText w:val=""/>
      <w:lvlJc w:val="left"/>
      <w:pPr>
        <w:ind w:left="2722" w:hanging="360"/>
      </w:pPr>
      <w:rPr>
        <w:rFonts w:ascii="Wingdings" w:hAnsi="Wingdings" w:hint="default"/>
      </w:rPr>
    </w:lvl>
    <w:lvl w:ilvl="3" w:tplc="0C090001" w:tentative="1">
      <w:start w:val="1"/>
      <w:numFmt w:val="bullet"/>
      <w:lvlText w:val=""/>
      <w:lvlJc w:val="left"/>
      <w:pPr>
        <w:ind w:left="3442" w:hanging="360"/>
      </w:pPr>
      <w:rPr>
        <w:rFonts w:ascii="Symbol" w:hAnsi="Symbol" w:hint="default"/>
      </w:rPr>
    </w:lvl>
    <w:lvl w:ilvl="4" w:tplc="0C090003" w:tentative="1">
      <w:start w:val="1"/>
      <w:numFmt w:val="bullet"/>
      <w:lvlText w:val="o"/>
      <w:lvlJc w:val="left"/>
      <w:pPr>
        <w:ind w:left="4162" w:hanging="360"/>
      </w:pPr>
      <w:rPr>
        <w:rFonts w:ascii="Courier New" w:hAnsi="Courier New" w:cs="Courier New" w:hint="default"/>
      </w:rPr>
    </w:lvl>
    <w:lvl w:ilvl="5" w:tplc="0C090005" w:tentative="1">
      <w:start w:val="1"/>
      <w:numFmt w:val="bullet"/>
      <w:lvlText w:val=""/>
      <w:lvlJc w:val="left"/>
      <w:pPr>
        <w:ind w:left="4882" w:hanging="360"/>
      </w:pPr>
      <w:rPr>
        <w:rFonts w:ascii="Wingdings" w:hAnsi="Wingdings" w:hint="default"/>
      </w:rPr>
    </w:lvl>
    <w:lvl w:ilvl="6" w:tplc="0C090001" w:tentative="1">
      <w:start w:val="1"/>
      <w:numFmt w:val="bullet"/>
      <w:lvlText w:val=""/>
      <w:lvlJc w:val="left"/>
      <w:pPr>
        <w:ind w:left="5602" w:hanging="360"/>
      </w:pPr>
      <w:rPr>
        <w:rFonts w:ascii="Symbol" w:hAnsi="Symbol" w:hint="default"/>
      </w:rPr>
    </w:lvl>
    <w:lvl w:ilvl="7" w:tplc="0C090003" w:tentative="1">
      <w:start w:val="1"/>
      <w:numFmt w:val="bullet"/>
      <w:lvlText w:val="o"/>
      <w:lvlJc w:val="left"/>
      <w:pPr>
        <w:ind w:left="6322" w:hanging="360"/>
      </w:pPr>
      <w:rPr>
        <w:rFonts w:ascii="Courier New" w:hAnsi="Courier New" w:cs="Courier New" w:hint="default"/>
      </w:rPr>
    </w:lvl>
    <w:lvl w:ilvl="8" w:tplc="0C090005" w:tentative="1">
      <w:start w:val="1"/>
      <w:numFmt w:val="bullet"/>
      <w:lvlText w:val=""/>
      <w:lvlJc w:val="left"/>
      <w:pPr>
        <w:ind w:left="7042" w:hanging="360"/>
      </w:pPr>
      <w:rPr>
        <w:rFonts w:ascii="Wingdings" w:hAnsi="Wingdings" w:hint="default"/>
      </w:rPr>
    </w:lvl>
  </w:abstractNum>
  <w:abstractNum w:abstractNumId="367" w15:restartNumberingAfterBreak="0">
    <w:nsid w:val="5933544E"/>
    <w:multiLevelType w:val="hybridMultilevel"/>
    <w:tmpl w:val="E0B05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8" w15:restartNumberingAfterBreak="0">
    <w:nsid w:val="59F143C1"/>
    <w:multiLevelType w:val="hybridMultilevel"/>
    <w:tmpl w:val="0F8815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9" w15:restartNumberingAfterBreak="0">
    <w:nsid w:val="59FE3D79"/>
    <w:multiLevelType w:val="hybridMultilevel"/>
    <w:tmpl w:val="DEEA5E4E"/>
    <w:lvl w:ilvl="0" w:tplc="0C090001">
      <w:start w:val="1"/>
      <w:numFmt w:val="bullet"/>
      <w:pStyle w:val="Bibliography"/>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70" w15:restartNumberingAfterBreak="0">
    <w:nsid w:val="5A2342A0"/>
    <w:multiLevelType w:val="hybridMultilevel"/>
    <w:tmpl w:val="49B2AB9E"/>
    <w:lvl w:ilvl="0" w:tplc="0C090001">
      <w:start w:val="1"/>
      <w:numFmt w:val="bullet"/>
      <w:lvlText w:val=""/>
      <w:lvlJc w:val="left"/>
      <w:pPr>
        <w:ind w:left="1282" w:hanging="360"/>
      </w:pPr>
      <w:rPr>
        <w:rFonts w:ascii="Symbol" w:hAnsi="Symbol" w:hint="default"/>
      </w:rPr>
    </w:lvl>
    <w:lvl w:ilvl="1" w:tplc="0C090003" w:tentative="1">
      <w:start w:val="1"/>
      <w:numFmt w:val="bullet"/>
      <w:lvlText w:val="o"/>
      <w:lvlJc w:val="left"/>
      <w:pPr>
        <w:ind w:left="2002" w:hanging="360"/>
      </w:pPr>
      <w:rPr>
        <w:rFonts w:ascii="Courier New" w:hAnsi="Courier New" w:cs="Courier New" w:hint="default"/>
      </w:rPr>
    </w:lvl>
    <w:lvl w:ilvl="2" w:tplc="0C090005" w:tentative="1">
      <w:start w:val="1"/>
      <w:numFmt w:val="bullet"/>
      <w:lvlText w:val=""/>
      <w:lvlJc w:val="left"/>
      <w:pPr>
        <w:ind w:left="2722" w:hanging="360"/>
      </w:pPr>
      <w:rPr>
        <w:rFonts w:ascii="Wingdings" w:hAnsi="Wingdings" w:hint="default"/>
      </w:rPr>
    </w:lvl>
    <w:lvl w:ilvl="3" w:tplc="0C090001" w:tentative="1">
      <w:start w:val="1"/>
      <w:numFmt w:val="bullet"/>
      <w:lvlText w:val=""/>
      <w:lvlJc w:val="left"/>
      <w:pPr>
        <w:ind w:left="3442" w:hanging="360"/>
      </w:pPr>
      <w:rPr>
        <w:rFonts w:ascii="Symbol" w:hAnsi="Symbol" w:hint="default"/>
      </w:rPr>
    </w:lvl>
    <w:lvl w:ilvl="4" w:tplc="0C090003" w:tentative="1">
      <w:start w:val="1"/>
      <w:numFmt w:val="bullet"/>
      <w:lvlText w:val="o"/>
      <w:lvlJc w:val="left"/>
      <w:pPr>
        <w:ind w:left="4162" w:hanging="360"/>
      </w:pPr>
      <w:rPr>
        <w:rFonts w:ascii="Courier New" w:hAnsi="Courier New" w:cs="Courier New" w:hint="default"/>
      </w:rPr>
    </w:lvl>
    <w:lvl w:ilvl="5" w:tplc="0C090005" w:tentative="1">
      <w:start w:val="1"/>
      <w:numFmt w:val="bullet"/>
      <w:lvlText w:val=""/>
      <w:lvlJc w:val="left"/>
      <w:pPr>
        <w:ind w:left="4882" w:hanging="360"/>
      </w:pPr>
      <w:rPr>
        <w:rFonts w:ascii="Wingdings" w:hAnsi="Wingdings" w:hint="default"/>
      </w:rPr>
    </w:lvl>
    <w:lvl w:ilvl="6" w:tplc="0C090001" w:tentative="1">
      <w:start w:val="1"/>
      <w:numFmt w:val="bullet"/>
      <w:lvlText w:val=""/>
      <w:lvlJc w:val="left"/>
      <w:pPr>
        <w:ind w:left="5602" w:hanging="360"/>
      </w:pPr>
      <w:rPr>
        <w:rFonts w:ascii="Symbol" w:hAnsi="Symbol" w:hint="default"/>
      </w:rPr>
    </w:lvl>
    <w:lvl w:ilvl="7" w:tplc="0C090003" w:tentative="1">
      <w:start w:val="1"/>
      <w:numFmt w:val="bullet"/>
      <w:lvlText w:val="o"/>
      <w:lvlJc w:val="left"/>
      <w:pPr>
        <w:ind w:left="6322" w:hanging="360"/>
      </w:pPr>
      <w:rPr>
        <w:rFonts w:ascii="Courier New" w:hAnsi="Courier New" w:cs="Courier New" w:hint="default"/>
      </w:rPr>
    </w:lvl>
    <w:lvl w:ilvl="8" w:tplc="0C090005" w:tentative="1">
      <w:start w:val="1"/>
      <w:numFmt w:val="bullet"/>
      <w:lvlText w:val=""/>
      <w:lvlJc w:val="left"/>
      <w:pPr>
        <w:ind w:left="7042" w:hanging="360"/>
      </w:pPr>
      <w:rPr>
        <w:rFonts w:ascii="Wingdings" w:hAnsi="Wingdings" w:hint="default"/>
      </w:rPr>
    </w:lvl>
  </w:abstractNum>
  <w:abstractNum w:abstractNumId="371" w15:restartNumberingAfterBreak="0">
    <w:nsid w:val="5A55251C"/>
    <w:multiLevelType w:val="hybridMultilevel"/>
    <w:tmpl w:val="D8FE0F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2" w15:restartNumberingAfterBreak="0">
    <w:nsid w:val="5A8F5898"/>
    <w:multiLevelType w:val="hybridMultilevel"/>
    <w:tmpl w:val="25300D5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5ABB113F"/>
    <w:multiLevelType w:val="hybridMultilevel"/>
    <w:tmpl w:val="B8B0D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4" w15:restartNumberingAfterBreak="0">
    <w:nsid w:val="5AF063F0"/>
    <w:multiLevelType w:val="hybridMultilevel"/>
    <w:tmpl w:val="831C4C26"/>
    <w:lvl w:ilvl="0" w:tplc="0C090001">
      <w:start w:val="1"/>
      <w:numFmt w:val="bullet"/>
      <w:lvlText w:val=""/>
      <w:lvlJc w:val="left"/>
      <w:pPr>
        <w:ind w:left="777" w:hanging="360"/>
      </w:pPr>
      <w:rPr>
        <w:rFonts w:ascii="Symbol" w:hAnsi="Symbol" w:hint="default"/>
      </w:rPr>
    </w:lvl>
    <w:lvl w:ilvl="1" w:tplc="0C090003" w:tentative="1">
      <w:start w:val="1"/>
      <w:numFmt w:val="bullet"/>
      <w:lvlText w:val="o"/>
      <w:lvlJc w:val="left"/>
      <w:pPr>
        <w:ind w:left="1497" w:hanging="360"/>
      </w:pPr>
      <w:rPr>
        <w:rFonts w:ascii="Courier New" w:hAnsi="Courier New" w:cs="Courier New" w:hint="default"/>
      </w:rPr>
    </w:lvl>
    <w:lvl w:ilvl="2" w:tplc="0C090005" w:tentative="1">
      <w:start w:val="1"/>
      <w:numFmt w:val="bullet"/>
      <w:lvlText w:val=""/>
      <w:lvlJc w:val="left"/>
      <w:pPr>
        <w:ind w:left="2217" w:hanging="360"/>
      </w:pPr>
      <w:rPr>
        <w:rFonts w:ascii="Wingdings" w:hAnsi="Wingdings" w:hint="default"/>
      </w:rPr>
    </w:lvl>
    <w:lvl w:ilvl="3" w:tplc="0C090001" w:tentative="1">
      <w:start w:val="1"/>
      <w:numFmt w:val="bullet"/>
      <w:lvlText w:val=""/>
      <w:lvlJc w:val="left"/>
      <w:pPr>
        <w:ind w:left="2937" w:hanging="360"/>
      </w:pPr>
      <w:rPr>
        <w:rFonts w:ascii="Symbol" w:hAnsi="Symbol" w:hint="default"/>
      </w:rPr>
    </w:lvl>
    <w:lvl w:ilvl="4" w:tplc="0C090003" w:tentative="1">
      <w:start w:val="1"/>
      <w:numFmt w:val="bullet"/>
      <w:lvlText w:val="o"/>
      <w:lvlJc w:val="left"/>
      <w:pPr>
        <w:ind w:left="3657" w:hanging="360"/>
      </w:pPr>
      <w:rPr>
        <w:rFonts w:ascii="Courier New" w:hAnsi="Courier New" w:cs="Courier New" w:hint="default"/>
      </w:rPr>
    </w:lvl>
    <w:lvl w:ilvl="5" w:tplc="0C090005" w:tentative="1">
      <w:start w:val="1"/>
      <w:numFmt w:val="bullet"/>
      <w:lvlText w:val=""/>
      <w:lvlJc w:val="left"/>
      <w:pPr>
        <w:ind w:left="4377" w:hanging="360"/>
      </w:pPr>
      <w:rPr>
        <w:rFonts w:ascii="Wingdings" w:hAnsi="Wingdings" w:hint="default"/>
      </w:rPr>
    </w:lvl>
    <w:lvl w:ilvl="6" w:tplc="0C090001" w:tentative="1">
      <w:start w:val="1"/>
      <w:numFmt w:val="bullet"/>
      <w:lvlText w:val=""/>
      <w:lvlJc w:val="left"/>
      <w:pPr>
        <w:ind w:left="5097" w:hanging="360"/>
      </w:pPr>
      <w:rPr>
        <w:rFonts w:ascii="Symbol" w:hAnsi="Symbol" w:hint="default"/>
      </w:rPr>
    </w:lvl>
    <w:lvl w:ilvl="7" w:tplc="0C090003" w:tentative="1">
      <w:start w:val="1"/>
      <w:numFmt w:val="bullet"/>
      <w:lvlText w:val="o"/>
      <w:lvlJc w:val="left"/>
      <w:pPr>
        <w:ind w:left="5817" w:hanging="360"/>
      </w:pPr>
      <w:rPr>
        <w:rFonts w:ascii="Courier New" w:hAnsi="Courier New" w:cs="Courier New" w:hint="default"/>
      </w:rPr>
    </w:lvl>
    <w:lvl w:ilvl="8" w:tplc="0C090005" w:tentative="1">
      <w:start w:val="1"/>
      <w:numFmt w:val="bullet"/>
      <w:lvlText w:val=""/>
      <w:lvlJc w:val="left"/>
      <w:pPr>
        <w:ind w:left="6537" w:hanging="360"/>
      </w:pPr>
      <w:rPr>
        <w:rFonts w:ascii="Wingdings" w:hAnsi="Wingdings" w:hint="default"/>
      </w:rPr>
    </w:lvl>
  </w:abstractNum>
  <w:abstractNum w:abstractNumId="375" w15:restartNumberingAfterBreak="0">
    <w:nsid w:val="5B174583"/>
    <w:multiLevelType w:val="hybridMultilevel"/>
    <w:tmpl w:val="8ACE7054"/>
    <w:lvl w:ilvl="0" w:tplc="B09025B8">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6" w15:restartNumberingAfterBreak="0">
    <w:nsid w:val="5B284FCD"/>
    <w:multiLevelType w:val="hybridMultilevel"/>
    <w:tmpl w:val="69925B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7" w15:restartNumberingAfterBreak="0">
    <w:nsid w:val="5C3B7DDD"/>
    <w:multiLevelType w:val="hybridMultilevel"/>
    <w:tmpl w:val="F1480C0C"/>
    <w:lvl w:ilvl="0" w:tplc="4D925486">
      <w:start w:val="1"/>
      <w:numFmt w:val="bullet"/>
      <w:lvlText w:val="•"/>
      <w:lvlJc w:val="left"/>
      <w:pPr>
        <w:tabs>
          <w:tab w:val="num" w:pos="360"/>
        </w:tabs>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8" w15:restartNumberingAfterBreak="0">
    <w:nsid w:val="5C5B60C8"/>
    <w:multiLevelType w:val="hybridMultilevel"/>
    <w:tmpl w:val="524E0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9" w15:restartNumberingAfterBreak="0">
    <w:nsid w:val="5D1113AA"/>
    <w:multiLevelType w:val="hybridMultilevel"/>
    <w:tmpl w:val="47B8F07C"/>
    <w:lvl w:ilvl="0" w:tplc="0C090001">
      <w:start w:val="1"/>
      <w:numFmt w:val="bullet"/>
      <w:lvlText w:val=""/>
      <w:lvlJc w:val="left"/>
      <w:pPr>
        <w:ind w:left="2988" w:hanging="360"/>
      </w:pPr>
      <w:rPr>
        <w:rFonts w:ascii="Symbol" w:hAnsi="Symbol" w:hint="default"/>
      </w:rPr>
    </w:lvl>
    <w:lvl w:ilvl="1" w:tplc="0C090003" w:tentative="1">
      <w:start w:val="1"/>
      <w:numFmt w:val="bullet"/>
      <w:lvlText w:val="o"/>
      <w:lvlJc w:val="left"/>
      <w:pPr>
        <w:ind w:left="3708" w:hanging="360"/>
      </w:pPr>
      <w:rPr>
        <w:rFonts w:ascii="Courier New" w:hAnsi="Courier New" w:cs="Courier New" w:hint="default"/>
      </w:rPr>
    </w:lvl>
    <w:lvl w:ilvl="2" w:tplc="0C090005" w:tentative="1">
      <w:start w:val="1"/>
      <w:numFmt w:val="bullet"/>
      <w:lvlText w:val=""/>
      <w:lvlJc w:val="left"/>
      <w:pPr>
        <w:ind w:left="4428" w:hanging="360"/>
      </w:pPr>
      <w:rPr>
        <w:rFonts w:ascii="Wingdings" w:hAnsi="Wingdings" w:hint="default"/>
      </w:rPr>
    </w:lvl>
    <w:lvl w:ilvl="3" w:tplc="0C090001" w:tentative="1">
      <w:start w:val="1"/>
      <w:numFmt w:val="bullet"/>
      <w:lvlText w:val=""/>
      <w:lvlJc w:val="left"/>
      <w:pPr>
        <w:ind w:left="5148" w:hanging="360"/>
      </w:pPr>
      <w:rPr>
        <w:rFonts w:ascii="Symbol" w:hAnsi="Symbol" w:hint="default"/>
      </w:rPr>
    </w:lvl>
    <w:lvl w:ilvl="4" w:tplc="0C090003" w:tentative="1">
      <w:start w:val="1"/>
      <w:numFmt w:val="bullet"/>
      <w:lvlText w:val="o"/>
      <w:lvlJc w:val="left"/>
      <w:pPr>
        <w:ind w:left="5868" w:hanging="360"/>
      </w:pPr>
      <w:rPr>
        <w:rFonts w:ascii="Courier New" w:hAnsi="Courier New" w:cs="Courier New" w:hint="default"/>
      </w:rPr>
    </w:lvl>
    <w:lvl w:ilvl="5" w:tplc="0C090005" w:tentative="1">
      <w:start w:val="1"/>
      <w:numFmt w:val="bullet"/>
      <w:lvlText w:val=""/>
      <w:lvlJc w:val="left"/>
      <w:pPr>
        <w:ind w:left="6588" w:hanging="360"/>
      </w:pPr>
      <w:rPr>
        <w:rFonts w:ascii="Wingdings" w:hAnsi="Wingdings" w:hint="default"/>
      </w:rPr>
    </w:lvl>
    <w:lvl w:ilvl="6" w:tplc="0C090001" w:tentative="1">
      <w:start w:val="1"/>
      <w:numFmt w:val="bullet"/>
      <w:lvlText w:val=""/>
      <w:lvlJc w:val="left"/>
      <w:pPr>
        <w:ind w:left="7308" w:hanging="360"/>
      </w:pPr>
      <w:rPr>
        <w:rFonts w:ascii="Symbol" w:hAnsi="Symbol" w:hint="default"/>
      </w:rPr>
    </w:lvl>
    <w:lvl w:ilvl="7" w:tplc="0C090003" w:tentative="1">
      <w:start w:val="1"/>
      <w:numFmt w:val="bullet"/>
      <w:lvlText w:val="o"/>
      <w:lvlJc w:val="left"/>
      <w:pPr>
        <w:ind w:left="8028" w:hanging="360"/>
      </w:pPr>
      <w:rPr>
        <w:rFonts w:ascii="Courier New" w:hAnsi="Courier New" w:cs="Courier New" w:hint="default"/>
      </w:rPr>
    </w:lvl>
    <w:lvl w:ilvl="8" w:tplc="0C090005" w:tentative="1">
      <w:start w:val="1"/>
      <w:numFmt w:val="bullet"/>
      <w:lvlText w:val=""/>
      <w:lvlJc w:val="left"/>
      <w:pPr>
        <w:ind w:left="8748" w:hanging="360"/>
      </w:pPr>
      <w:rPr>
        <w:rFonts w:ascii="Wingdings" w:hAnsi="Wingdings" w:hint="default"/>
      </w:rPr>
    </w:lvl>
  </w:abstractNum>
  <w:abstractNum w:abstractNumId="380" w15:restartNumberingAfterBreak="0">
    <w:nsid w:val="5E1A59E2"/>
    <w:multiLevelType w:val="hybridMultilevel"/>
    <w:tmpl w:val="E644832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1" w15:restartNumberingAfterBreak="0">
    <w:nsid w:val="5E203AA7"/>
    <w:multiLevelType w:val="hybridMultilevel"/>
    <w:tmpl w:val="2EACF112"/>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2" w15:restartNumberingAfterBreak="0">
    <w:nsid w:val="5E2E5B87"/>
    <w:multiLevelType w:val="hybridMultilevel"/>
    <w:tmpl w:val="D618F2B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3" w15:restartNumberingAfterBreak="0">
    <w:nsid w:val="5EF660E7"/>
    <w:multiLevelType w:val="hybridMultilevel"/>
    <w:tmpl w:val="A3B61BC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4" w15:restartNumberingAfterBreak="0">
    <w:nsid w:val="5F0D4128"/>
    <w:multiLevelType w:val="hybridMultilevel"/>
    <w:tmpl w:val="B47EF518"/>
    <w:lvl w:ilvl="0" w:tplc="6364894E">
      <w:start w:val="1"/>
      <w:numFmt w:val="bullet"/>
      <w:lvlText w:val="•"/>
      <w:lvlJc w:val="left"/>
      <w:pPr>
        <w:ind w:left="423" w:hanging="284"/>
      </w:pPr>
      <w:rPr>
        <w:rFonts w:ascii="Symbol" w:eastAsia="Symbol" w:hAnsi="Symbol" w:hint="default"/>
        <w:w w:val="103"/>
        <w:sz w:val="19"/>
        <w:szCs w:val="19"/>
      </w:rPr>
    </w:lvl>
    <w:lvl w:ilvl="1" w:tplc="0BCC1646">
      <w:start w:val="1"/>
      <w:numFmt w:val="bullet"/>
      <w:lvlText w:val="•"/>
      <w:lvlJc w:val="left"/>
      <w:pPr>
        <w:ind w:left="618" w:hanging="284"/>
      </w:pPr>
      <w:rPr>
        <w:rFonts w:hint="default"/>
      </w:rPr>
    </w:lvl>
    <w:lvl w:ilvl="2" w:tplc="00C855B0">
      <w:start w:val="1"/>
      <w:numFmt w:val="bullet"/>
      <w:lvlText w:val="•"/>
      <w:lvlJc w:val="left"/>
      <w:pPr>
        <w:ind w:left="816" w:hanging="284"/>
      </w:pPr>
      <w:rPr>
        <w:rFonts w:hint="default"/>
      </w:rPr>
    </w:lvl>
    <w:lvl w:ilvl="3" w:tplc="A642D4B2">
      <w:start w:val="1"/>
      <w:numFmt w:val="bullet"/>
      <w:lvlText w:val="•"/>
      <w:lvlJc w:val="left"/>
      <w:pPr>
        <w:ind w:left="1014" w:hanging="284"/>
      </w:pPr>
      <w:rPr>
        <w:rFonts w:hint="default"/>
      </w:rPr>
    </w:lvl>
    <w:lvl w:ilvl="4" w:tplc="54D85B98">
      <w:start w:val="1"/>
      <w:numFmt w:val="bullet"/>
      <w:lvlText w:val="•"/>
      <w:lvlJc w:val="left"/>
      <w:pPr>
        <w:ind w:left="1212" w:hanging="284"/>
      </w:pPr>
      <w:rPr>
        <w:rFonts w:hint="default"/>
      </w:rPr>
    </w:lvl>
    <w:lvl w:ilvl="5" w:tplc="427C180A">
      <w:start w:val="1"/>
      <w:numFmt w:val="bullet"/>
      <w:lvlText w:val="•"/>
      <w:lvlJc w:val="left"/>
      <w:pPr>
        <w:ind w:left="1410" w:hanging="284"/>
      </w:pPr>
      <w:rPr>
        <w:rFonts w:hint="default"/>
      </w:rPr>
    </w:lvl>
    <w:lvl w:ilvl="6" w:tplc="BE1A5AAC">
      <w:start w:val="1"/>
      <w:numFmt w:val="bullet"/>
      <w:lvlText w:val="•"/>
      <w:lvlJc w:val="left"/>
      <w:pPr>
        <w:ind w:left="1608" w:hanging="284"/>
      </w:pPr>
      <w:rPr>
        <w:rFonts w:hint="default"/>
      </w:rPr>
    </w:lvl>
    <w:lvl w:ilvl="7" w:tplc="CC6CCB46">
      <w:start w:val="1"/>
      <w:numFmt w:val="bullet"/>
      <w:lvlText w:val="•"/>
      <w:lvlJc w:val="left"/>
      <w:pPr>
        <w:ind w:left="1806" w:hanging="284"/>
      </w:pPr>
      <w:rPr>
        <w:rFonts w:hint="default"/>
      </w:rPr>
    </w:lvl>
    <w:lvl w:ilvl="8" w:tplc="E57A1F3A">
      <w:start w:val="1"/>
      <w:numFmt w:val="bullet"/>
      <w:lvlText w:val="•"/>
      <w:lvlJc w:val="left"/>
      <w:pPr>
        <w:ind w:left="2004" w:hanging="284"/>
      </w:pPr>
      <w:rPr>
        <w:rFonts w:hint="default"/>
      </w:rPr>
    </w:lvl>
  </w:abstractNum>
  <w:abstractNum w:abstractNumId="385" w15:restartNumberingAfterBreak="0">
    <w:nsid w:val="5F3B2B75"/>
    <w:multiLevelType w:val="hybridMultilevel"/>
    <w:tmpl w:val="C786D2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6" w15:restartNumberingAfterBreak="0">
    <w:nsid w:val="5F5453D1"/>
    <w:multiLevelType w:val="multilevel"/>
    <w:tmpl w:val="A4FA73C6"/>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387" w15:restartNumberingAfterBreak="0">
    <w:nsid w:val="5FAD3C49"/>
    <w:multiLevelType w:val="hybridMultilevel"/>
    <w:tmpl w:val="FD544568"/>
    <w:lvl w:ilvl="0" w:tplc="1E68D954">
      <w:start w:val="1"/>
      <w:numFmt w:val="decimal"/>
      <w:lvlText w:val="%1."/>
      <w:lvlJc w:val="left"/>
      <w:pPr>
        <w:ind w:left="1080" w:hanging="72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8" w15:restartNumberingAfterBreak="0">
    <w:nsid w:val="60392A7F"/>
    <w:multiLevelType w:val="hybridMultilevel"/>
    <w:tmpl w:val="2208D87C"/>
    <w:lvl w:ilvl="0" w:tplc="7032BF8A">
      <w:start w:val="5"/>
      <w:numFmt w:val="decimal"/>
      <w:lvlText w:val="%1."/>
      <w:lvlJc w:val="left"/>
      <w:pPr>
        <w:ind w:left="927" w:hanging="360"/>
      </w:pPr>
      <w:rPr>
        <w:rFonts w:hint="default"/>
      </w:rPr>
    </w:lvl>
    <w:lvl w:ilvl="1" w:tplc="0C090019" w:tentative="1">
      <w:start w:val="1"/>
      <w:numFmt w:val="lowerLetter"/>
      <w:lvlText w:val="%2."/>
      <w:lvlJc w:val="left"/>
      <w:pPr>
        <w:ind w:left="1671" w:hanging="360"/>
      </w:pPr>
    </w:lvl>
    <w:lvl w:ilvl="2" w:tplc="0C09001B" w:tentative="1">
      <w:start w:val="1"/>
      <w:numFmt w:val="lowerRoman"/>
      <w:lvlText w:val="%3."/>
      <w:lvlJc w:val="right"/>
      <w:pPr>
        <w:ind w:left="2391" w:hanging="180"/>
      </w:pPr>
    </w:lvl>
    <w:lvl w:ilvl="3" w:tplc="0C09000F" w:tentative="1">
      <w:start w:val="1"/>
      <w:numFmt w:val="decimal"/>
      <w:lvlText w:val="%4."/>
      <w:lvlJc w:val="left"/>
      <w:pPr>
        <w:ind w:left="3111" w:hanging="360"/>
      </w:pPr>
    </w:lvl>
    <w:lvl w:ilvl="4" w:tplc="0C090019" w:tentative="1">
      <w:start w:val="1"/>
      <w:numFmt w:val="lowerLetter"/>
      <w:lvlText w:val="%5."/>
      <w:lvlJc w:val="left"/>
      <w:pPr>
        <w:ind w:left="3831" w:hanging="360"/>
      </w:pPr>
    </w:lvl>
    <w:lvl w:ilvl="5" w:tplc="0C09001B" w:tentative="1">
      <w:start w:val="1"/>
      <w:numFmt w:val="lowerRoman"/>
      <w:lvlText w:val="%6."/>
      <w:lvlJc w:val="right"/>
      <w:pPr>
        <w:ind w:left="4551" w:hanging="180"/>
      </w:pPr>
    </w:lvl>
    <w:lvl w:ilvl="6" w:tplc="0C09000F" w:tentative="1">
      <w:start w:val="1"/>
      <w:numFmt w:val="decimal"/>
      <w:lvlText w:val="%7."/>
      <w:lvlJc w:val="left"/>
      <w:pPr>
        <w:ind w:left="5271" w:hanging="360"/>
      </w:pPr>
    </w:lvl>
    <w:lvl w:ilvl="7" w:tplc="0C090019" w:tentative="1">
      <w:start w:val="1"/>
      <w:numFmt w:val="lowerLetter"/>
      <w:lvlText w:val="%8."/>
      <w:lvlJc w:val="left"/>
      <w:pPr>
        <w:ind w:left="5991" w:hanging="360"/>
      </w:pPr>
    </w:lvl>
    <w:lvl w:ilvl="8" w:tplc="0C09001B" w:tentative="1">
      <w:start w:val="1"/>
      <w:numFmt w:val="lowerRoman"/>
      <w:lvlText w:val="%9."/>
      <w:lvlJc w:val="right"/>
      <w:pPr>
        <w:ind w:left="6711" w:hanging="180"/>
      </w:pPr>
    </w:lvl>
  </w:abstractNum>
  <w:abstractNum w:abstractNumId="389" w15:restartNumberingAfterBreak="0">
    <w:nsid w:val="60C82E2C"/>
    <w:multiLevelType w:val="hybridMultilevel"/>
    <w:tmpl w:val="0E52E5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0" w15:restartNumberingAfterBreak="0">
    <w:nsid w:val="615E0E96"/>
    <w:multiLevelType w:val="hybridMultilevel"/>
    <w:tmpl w:val="821CF2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1" w15:restartNumberingAfterBreak="0">
    <w:nsid w:val="618B4C6D"/>
    <w:multiLevelType w:val="hybridMultilevel"/>
    <w:tmpl w:val="8356FD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2" w15:restartNumberingAfterBreak="0">
    <w:nsid w:val="61A12E22"/>
    <w:multiLevelType w:val="hybridMultilevel"/>
    <w:tmpl w:val="73621496"/>
    <w:lvl w:ilvl="0" w:tplc="0C090001">
      <w:start w:val="1"/>
      <w:numFmt w:val="bullet"/>
      <w:lvlText w:val=""/>
      <w:lvlJc w:val="left"/>
      <w:pPr>
        <w:ind w:left="393" w:hanging="360"/>
      </w:pPr>
      <w:rPr>
        <w:rFonts w:ascii="Symbol" w:hAnsi="Symbol" w:hint="default"/>
      </w:rPr>
    </w:lvl>
    <w:lvl w:ilvl="1" w:tplc="0C090003" w:tentative="1">
      <w:start w:val="1"/>
      <w:numFmt w:val="bullet"/>
      <w:lvlText w:val="o"/>
      <w:lvlJc w:val="left"/>
      <w:pPr>
        <w:ind w:left="1113" w:hanging="360"/>
      </w:pPr>
      <w:rPr>
        <w:rFonts w:ascii="Courier New" w:hAnsi="Courier New" w:cs="Courier New" w:hint="default"/>
      </w:rPr>
    </w:lvl>
    <w:lvl w:ilvl="2" w:tplc="0C090005" w:tentative="1">
      <w:start w:val="1"/>
      <w:numFmt w:val="bullet"/>
      <w:lvlText w:val=""/>
      <w:lvlJc w:val="left"/>
      <w:pPr>
        <w:ind w:left="1833" w:hanging="360"/>
      </w:pPr>
      <w:rPr>
        <w:rFonts w:ascii="Wingdings" w:hAnsi="Wingdings" w:hint="default"/>
      </w:rPr>
    </w:lvl>
    <w:lvl w:ilvl="3" w:tplc="0C090001" w:tentative="1">
      <w:start w:val="1"/>
      <w:numFmt w:val="bullet"/>
      <w:lvlText w:val=""/>
      <w:lvlJc w:val="left"/>
      <w:pPr>
        <w:ind w:left="2553" w:hanging="360"/>
      </w:pPr>
      <w:rPr>
        <w:rFonts w:ascii="Symbol" w:hAnsi="Symbol" w:hint="default"/>
      </w:rPr>
    </w:lvl>
    <w:lvl w:ilvl="4" w:tplc="0C090003" w:tentative="1">
      <w:start w:val="1"/>
      <w:numFmt w:val="bullet"/>
      <w:lvlText w:val="o"/>
      <w:lvlJc w:val="left"/>
      <w:pPr>
        <w:ind w:left="3273" w:hanging="360"/>
      </w:pPr>
      <w:rPr>
        <w:rFonts w:ascii="Courier New" w:hAnsi="Courier New" w:cs="Courier New" w:hint="default"/>
      </w:rPr>
    </w:lvl>
    <w:lvl w:ilvl="5" w:tplc="0C090005" w:tentative="1">
      <w:start w:val="1"/>
      <w:numFmt w:val="bullet"/>
      <w:lvlText w:val=""/>
      <w:lvlJc w:val="left"/>
      <w:pPr>
        <w:ind w:left="3993" w:hanging="360"/>
      </w:pPr>
      <w:rPr>
        <w:rFonts w:ascii="Wingdings" w:hAnsi="Wingdings" w:hint="default"/>
      </w:rPr>
    </w:lvl>
    <w:lvl w:ilvl="6" w:tplc="0C090001" w:tentative="1">
      <w:start w:val="1"/>
      <w:numFmt w:val="bullet"/>
      <w:lvlText w:val=""/>
      <w:lvlJc w:val="left"/>
      <w:pPr>
        <w:ind w:left="4713" w:hanging="360"/>
      </w:pPr>
      <w:rPr>
        <w:rFonts w:ascii="Symbol" w:hAnsi="Symbol" w:hint="default"/>
      </w:rPr>
    </w:lvl>
    <w:lvl w:ilvl="7" w:tplc="0C090003" w:tentative="1">
      <w:start w:val="1"/>
      <w:numFmt w:val="bullet"/>
      <w:lvlText w:val="o"/>
      <w:lvlJc w:val="left"/>
      <w:pPr>
        <w:ind w:left="5433" w:hanging="360"/>
      </w:pPr>
      <w:rPr>
        <w:rFonts w:ascii="Courier New" w:hAnsi="Courier New" w:cs="Courier New" w:hint="default"/>
      </w:rPr>
    </w:lvl>
    <w:lvl w:ilvl="8" w:tplc="0C090005" w:tentative="1">
      <w:start w:val="1"/>
      <w:numFmt w:val="bullet"/>
      <w:lvlText w:val=""/>
      <w:lvlJc w:val="left"/>
      <w:pPr>
        <w:ind w:left="6153" w:hanging="360"/>
      </w:pPr>
      <w:rPr>
        <w:rFonts w:ascii="Wingdings" w:hAnsi="Wingdings" w:hint="default"/>
      </w:rPr>
    </w:lvl>
  </w:abstractNum>
  <w:abstractNum w:abstractNumId="393" w15:restartNumberingAfterBreak="0">
    <w:nsid w:val="61A82960"/>
    <w:multiLevelType w:val="hybridMultilevel"/>
    <w:tmpl w:val="1A2099AA"/>
    <w:lvl w:ilvl="0" w:tplc="538C88A2">
      <w:start w:val="1"/>
      <w:numFmt w:val="bullet"/>
      <w:lvlText w:val="•"/>
      <w:lvlJc w:val="left"/>
      <w:pPr>
        <w:tabs>
          <w:tab w:val="num" w:pos="360"/>
        </w:tabs>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4" w15:restartNumberingAfterBreak="0">
    <w:nsid w:val="61D87582"/>
    <w:multiLevelType w:val="hybridMultilevel"/>
    <w:tmpl w:val="9C40CD66"/>
    <w:lvl w:ilvl="0" w:tplc="0C09000F">
      <w:start w:val="1"/>
      <w:numFmt w:val="decimal"/>
      <w:lvlText w:val="%1."/>
      <w:lvlJc w:val="left"/>
      <w:pPr>
        <w:ind w:left="720" w:hanging="360"/>
      </w:pPr>
      <w:rPr>
        <w:rFonts w:hint="default"/>
      </w:rPr>
    </w:lvl>
    <w:lvl w:ilvl="1" w:tplc="0C09000F">
      <w:start w:val="1"/>
      <w:numFmt w:val="decimal"/>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5" w15:restartNumberingAfterBreak="0">
    <w:nsid w:val="61FE11E1"/>
    <w:multiLevelType w:val="hybridMultilevel"/>
    <w:tmpl w:val="49361B14"/>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96" w15:restartNumberingAfterBreak="0">
    <w:nsid w:val="621C1E71"/>
    <w:multiLevelType w:val="hybridMultilevel"/>
    <w:tmpl w:val="0BBA25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7" w15:restartNumberingAfterBreak="0">
    <w:nsid w:val="62773B69"/>
    <w:multiLevelType w:val="hybridMultilevel"/>
    <w:tmpl w:val="CC2AD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8" w15:restartNumberingAfterBreak="0">
    <w:nsid w:val="62814002"/>
    <w:multiLevelType w:val="hybridMultilevel"/>
    <w:tmpl w:val="A2FAC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9" w15:restartNumberingAfterBreak="0">
    <w:nsid w:val="62977A62"/>
    <w:multiLevelType w:val="hybridMultilevel"/>
    <w:tmpl w:val="CDD64184"/>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400" w15:restartNumberingAfterBreak="0">
    <w:nsid w:val="62D13173"/>
    <w:multiLevelType w:val="hybridMultilevel"/>
    <w:tmpl w:val="A306CA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1" w15:restartNumberingAfterBreak="0">
    <w:nsid w:val="62DA1B82"/>
    <w:multiLevelType w:val="hybridMultilevel"/>
    <w:tmpl w:val="EA4CE4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2" w15:restartNumberingAfterBreak="0">
    <w:nsid w:val="62E837A6"/>
    <w:multiLevelType w:val="hybridMultilevel"/>
    <w:tmpl w:val="1632BBF4"/>
    <w:lvl w:ilvl="0" w:tplc="0C090001">
      <w:start w:val="1"/>
      <w:numFmt w:val="bullet"/>
      <w:lvlText w:val=""/>
      <w:lvlJc w:val="left"/>
      <w:pPr>
        <w:ind w:left="1282" w:hanging="360"/>
      </w:pPr>
      <w:rPr>
        <w:rFonts w:ascii="Symbol" w:hAnsi="Symbol" w:hint="default"/>
      </w:rPr>
    </w:lvl>
    <w:lvl w:ilvl="1" w:tplc="0C090003" w:tentative="1">
      <w:start w:val="1"/>
      <w:numFmt w:val="bullet"/>
      <w:lvlText w:val="o"/>
      <w:lvlJc w:val="left"/>
      <w:pPr>
        <w:ind w:left="2002" w:hanging="360"/>
      </w:pPr>
      <w:rPr>
        <w:rFonts w:ascii="Courier New" w:hAnsi="Courier New" w:cs="Courier New" w:hint="default"/>
      </w:rPr>
    </w:lvl>
    <w:lvl w:ilvl="2" w:tplc="0C090005" w:tentative="1">
      <w:start w:val="1"/>
      <w:numFmt w:val="bullet"/>
      <w:lvlText w:val=""/>
      <w:lvlJc w:val="left"/>
      <w:pPr>
        <w:ind w:left="2722" w:hanging="360"/>
      </w:pPr>
      <w:rPr>
        <w:rFonts w:ascii="Wingdings" w:hAnsi="Wingdings" w:hint="default"/>
      </w:rPr>
    </w:lvl>
    <w:lvl w:ilvl="3" w:tplc="0C090001" w:tentative="1">
      <w:start w:val="1"/>
      <w:numFmt w:val="bullet"/>
      <w:lvlText w:val=""/>
      <w:lvlJc w:val="left"/>
      <w:pPr>
        <w:ind w:left="3442" w:hanging="360"/>
      </w:pPr>
      <w:rPr>
        <w:rFonts w:ascii="Symbol" w:hAnsi="Symbol" w:hint="default"/>
      </w:rPr>
    </w:lvl>
    <w:lvl w:ilvl="4" w:tplc="0C090003" w:tentative="1">
      <w:start w:val="1"/>
      <w:numFmt w:val="bullet"/>
      <w:lvlText w:val="o"/>
      <w:lvlJc w:val="left"/>
      <w:pPr>
        <w:ind w:left="4162" w:hanging="360"/>
      </w:pPr>
      <w:rPr>
        <w:rFonts w:ascii="Courier New" w:hAnsi="Courier New" w:cs="Courier New" w:hint="default"/>
      </w:rPr>
    </w:lvl>
    <w:lvl w:ilvl="5" w:tplc="0C090005" w:tentative="1">
      <w:start w:val="1"/>
      <w:numFmt w:val="bullet"/>
      <w:lvlText w:val=""/>
      <w:lvlJc w:val="left"/>
      <w:pPr>
        <w:ind w:left="4882" w:hanging="360"/>
      </w:pPr>
      <w:rPr>
        <w:rFonts w:ascii="Wingdings" w:hAnsi="Wingdings" w:hint="default"/>
      </w:rPr>
    </w:lvl>
    <w:lvl w:ilvl="6" w:tplc="0C090001" w:tentative="1">
      <w:start w:val="1"/>
      <w:numFmt w:val="bullet"/>
      <w:lvlText w:val=""/>
      <w:lvlJc w:val="left"/>
      <w:pPr>
        <w:ind w:left="5602" w:hanging="360"/>
      </w:pPr>
      <w:rPr>
        <w:rFonts w:ascii="Symbol" w:hAnsi="Symbol" w:hint="default"/>
      </w:rPr>
    </w:lvl>
    <w:lvl w:ilvl="7" w:tplc="0C090003" w:tentative="1">
      <w:start w:val="1"/>
      <w:numFmt w:val="bullet"/>
      <w:lvlText w:val="o"/>
      <w:lvlJc w:val="left"/>
      <w:pPr>
        <w:ind w:left="6322" w:hanging="360"/>
      </w:pPr>
      <w:rPr>
        <w:rFonts w:ascii="Courier New" w:hAnsi="Courier New" w:cs="Courier New" w:hint="default"/>
      </w:rPr>
    </w:lvl>
    <w:lvl w:ilvl="8" w:tplc="0C090005" w:tentative="1">
      <w:start w:val="1"/>
      <w:numFmt w:val="bullet"/>
      <w:lvlText w:val=""/>
      <w:lvlJc w:val="left"/>
      <w:pPr>
        <w:ind w:left="7042" w:hanging="360"/>
      </w:pPr>
      <w:rPr>
        <w:rFonts w:ascii="Wingdings" w:hAnsi="Wingdings" w:hint="default"/>
      </w:rPr>
    </w:lvl>
  </w:abstractNum>
  <w:abstractNum w:abstractNumId="403" w15:restartNumberingAfterBreak="0">
    <w:nsid w:val="640262EA"/>
    <w:multiLevelType w:val="hybridMultilevel"/>
    <w:tmpl w:val="E8DE5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4" w15:restartNumberingAfterBreak="0">
    <w:nsid w:val="642C4A4C"/>
    <w:multiLevelType w:val="hybridMultilevel"/>
    <w:tmpl w:val="2F3A2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5" w15:restartNumberingAfterBreak="0">
    <w:nsid w:val="64CD4F79"/>
    <w:multiLevelType w:val="hybridMultilevel"/>
    <w:tmpl w:val="5B9CE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6" w15:restartNumberingAfterBreak="0">
    <w:nsid w:val="652B629D"/>
    <w:multiLevelType w:val="hybridMultilevel"/>
    <w:tmpl w:val="CE94B142"/>
    <w:lvl w:ilvl="0" w:tplc="01A0D70C">
      <w:start w:val="1"/>
      <w:numFmt w:val="bullet"/>
      <w:pStyle w:val="Notebullet1"/>
      <w:lvlText w:val=""/>
      <w:lvlJc w:val="left"/>
      <w:pPr>
        <w:ind w:left="1287" w:hanging="360"/>
      </w:pPr>
      <w:rPr>
        <w:rFonts w:ascii="Symbol" w:hAnsi="Symbol" w:hint="default"/>
        <w:sz w:val="16"/>
      </w:rPr>
    </w:lvl>
    <w:lvl w:ilvl="1" w:tplc="A4BC3AAE">
      <w:start w:val="1"/>
      <w:numFmt w:val="bullet"/>
      <w:lvlText w:val="o"/>
      <w:lvlJc w:val="left"/>
      <w:pPr>
        <w:ind w:left="2007" w:hanging="360"/>
      </w:pPr>
      <w:rPr>
        <w:rFonts w:ascii="Courier New" w:hAnsi="Courier New" w:cs="Courier New" w:hint="default"/>
      </w:rPr>
    </w:lvl>
    <w:lvl w:ilvl="2" w:tplc="79145046" w:tentative="1">
      <w:start w:val="1"/>
      <w:numFmt w:val="bullet"/>
      <w:lvlText w:val=""/>
      <w:lvlJc w:val="left"/>
      <w:pPr>
        <w:ind w:left="2727" w:hanging="360"/>
      </w:pPr>
      <w:rPr>
        <w:rFonts w:ascii="Wingdings" w:hAnsi="Wingdings" w:hint="default"/>
      </w:rPr>
    </w:lvl>
    <w:lvl w:ilvl="3" w:tplc="1760297A" w:tentative="1">
      <w:start w:val="1"/>
      <w:numFmt w:val="bullet"/>
      <w:lvlText w:val=""/>
      <w:lvlJc w:val="left"/>
      <w:pPr>
        <w:ind w:left="3447" w:hanging="360"/>
      </w:pPr>
      <w:rPr>
        <w:rFonts w:ascii="Symbol" w:hAnsi="Symbol" w:hint="default"/>
      </w:rPr>
    </w:lvl>
    <w:lvl w:ilvl="4" w:tplc="BBD69758" w:tentative="1">
      <w:start w:val="1"/>
      <w:numFmt w:val="bullet"/>
      <w:lvlText w:val="o"/>
      <w:lvlJc w:val="left"/>
      <w:pPr>
        <w:ind w:left="4167" w:hanging="360"/>
      </w:pPr>
      <w:rPr>
        <w:rFonts w:ascii="Courier New" w:hAnsi="Courier New" w:cs="Courier New" w:hint="default"/>
      </w:rPr>
    </w:lvl>
    <w:lvl w:ilvl="5" w:tplc="9F46C334" w:tentative="1">
      <w:start w:val="1"/>
      <w:numFmt w:val="bullet"/>
      <w:lvlText w:val=""/>
      <w:lvlJc w:val="left"/>
      <w:pPr>
        <w:ind w:left="4887" w:hanging="360"/>
      </w:pPr>
      <w:rPr>
        <w:rFonts w:ascii="Wingdings" w:hAnsi="Wingdings" w:hint="default"/>
      </w:rPr>
    </w:lvl>
    <w:lvl w:ilvl="6" w:tplc="481CD70C" w:tentative="1">
      <w:start w:val="1"/>
      <w:numFmt w:val="bullet"/>
      <w:lvlText w:val=""/>
      <w:lvlJc w:val="left"/>
      <w:pPr>
        <w:ind w:left="5607" w:hanging="360"/>
      </w:pPr>
      <w:rPr>
        <w:rFonts w:ascii="Symbol" w:hAnsi="Symbol" w:hint="default"/>
      </w:rPr>
    </w:lvl>
    <w:lvl w:ilvl="7" w:tplc="9B082AD0" w:tentative="1">
      <w:start w:val="1"/>
      <w:numFmt w:val="bullet"/>
      <w:lvlText w:val="o"/>
      <w:lvlJc w:val="left"/>
      <w:pPr>
        <w:ind w:left="6327" w:hanging="360"/>
      </w:pPr>
      <w:rPr>
        <w:rFonts w:ascii="Courier New" w:hAnsi="Courier New" w:cs="Courier New" w:hint="default"/>
      </w:rPr>
    </w:lvl>
    <w:lvl w:ilvl="8" w:tplc="B58C2862" w:tentative="1">
      <w:start w:val="1"/>
      <w:numFmt w:val="bullet"/>
      <w:lvlText w:val=""/>
      <w:lvlJc w:val="left"/>
      <w:pPr>
        <w:ind w:left="7047" w:hanging="360"/>
      </w:pPr>
      <w:rPr>
        <w:rFonts w:ascii="Wingdings" w:hAnsi="Wingdings" w:hint="default"/>
      </w:rPr>
    </w:lvl>
  </w:abstractNum>
  <w:abstractNum w:abstractNumId="407" w15:restartNumberingAfterBreak="0">
    <w:nsid w:val="66150787"/>
    <w:multiLevelType w:val="hybridMultilevel"/>
    <w:tmpl w:val="D9B6981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8" w15:restartNumberingAfterBreak="0">
    <w:nsid w:val="66657CC5"/>
    <w:multiLevelType w:val="hybridMultilevel"/>
    <w:tmpl w:val="B79666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9" w15:restartNumberingAfterBreak="0">
    <w:nsid w:val="666A3D26"/>
    <w:multiLevelType w:val="hybridMultilevel"/>
    <w:tmpl w:val="29C85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0" w15:restartNumberingAfterBreak="0">
    <w:nsid w:val="66727290"/>
    <w:multiLevelType w:val="hybridMultilevel"/>
    <w:tmpl w:val="988840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1" w15:restartNumberingAfterBreak="0">
    <w:nsid w:val="66CE441E"/>
    <w:multiLevelType w:val="hybridMultilevel"/>
    <w:tmpl w:val="D4D0DF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2" w15:restartNumberingAfterBreak="0">
    <w:nsid w:val="66E53D95"/>
    <w:multiLevelType w:val="hybridMultilevel"/>
    <w:tmpl w:val="6FCA0D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3" w15:restartNumberingAfterBreak="0">
    <w:nsid w:val="671E468B"/>
    <w:multiLevelType w:val="hybridMultilevel"/>
    <w:tmpl w:val="39C45F88"/>
    <w:lvl w:ilvl="0" w:tplc="0C09000F">
      <w:start w:val="1"/>
      <w:numFmt w:val="decimal"/>
      <w:lvlText w:val="%1."/>
      <w:lvlJc w:val="left"/>
      <w:pPr>
        <w:ind w:left="720" w:hanging="360"/>
      </w:pPr>
      <w:rPr>
        <w:rFonts w:hint="default"/>
      </w:rPr>
    </w:lvl>
    <w:lvl w:ilvl="1" w:tplc="61AEBE80">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4" w15:restartNumberingAfterBreak="0">
    <w:nsid w:val="67237318"/>
    <w:multiLevelType w:val="hybridMultilevel"/>
    <w:tmpl w:val="57805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5" w15:restartNumberingAfterBreak="0">
    <w:nsid w:val="67253253"/>
    <w:multiLevelType w:val="hybridMultilevel"/>
    <w:tmpl w:val="A524DA1A"/>
    <w:lvl w:ilvl="0" w:tplc="658AF862">
      <w:start w:val="1"/>
      <w:numFmt w:val="bullet"/>
      <w:pStyle w:val="Tabletext-smallerbullet"/>
      <w:lvlText w:val=""/>
      <w:lvlJc w:val="left"/>
      <w:pPr>
        <w:ind w:left="720" w:hanging="360"/>
      </w:pPr>
      <w:rPr>
        <w:rFonts w:ascii="Symbol" w:hAnsi="Symbol" w:hint="default"/>
        <w:sz w:val="16"/>
      </w:rPr>
    </w:lvl>
    <w:lvl w:ilvl="1" w:tplc="7CAEB71C" w:tentative="1">
      <w:start w:val="1"/>
      <w:numFmt w:val="bullet"/>
      <w:lvlText w:val="o"/>
      <w:lvlJc w:val="left"/>
      <w:pPr>
        <w:ind w:left="1440" w:hanging="360"/>
      </w:pPr>
      <w:rPr>
        <w:rFonts w:ascii="Courier New" w:hAnsi="Courier New" w:hint="default"/>
      </w:rPr>
    </w:lvl>
    <w:lvl w:ilvl="2" w:tplc="34B0A214" w:tentative="1">
      <w:start w:val="1"/>
      <w:numFmt w:val="bullet"/>
      <w:lvlText w:val=""/>
      <w:lvlJc w:val="left"/>
      <w:pPr>
        <w:ind w:left="2160" w:hanging="360"/>
      </w:pPr>
      <w:rPr>
        <w:rFonts w:ascii="Wingdings" w:hAnsi="Wingdings" w:hint="default"/>
      </w:rPr>
    </w:lvl>
    <w:lvl w:ilvl="3" w:tplc="81AACB6E" w:tentative="1">
      <w:start w:val="1"/>
      <w:numFmt w:val="bullet"/>
      <w:lvlText w:val=""/>
      <w:lvlJc w:val="left"/>
      <w:pPr>
        <w:ind w:left="2880" w:hanging="360"/>
      </w:pPr>
      <w:rPr>
        <w:rFonts w:ascii="Symbol" w:hAnsi="Symbol" w:hint="default"/>
      </w:rPr>
    </w:lvl>
    <w:lvl w:ilvl="4" w:tplc="BF362C1A" w:tentative="1">
      <w:start w:val="1"/>
      <w:numFmt w:val="bullet"/>
      <w:lvlText w:val="o"/>
      <w:lvlJc w:val="left"/>
      <w:pPr>
        <w:ind w:left="3600" w:hanging="360"/>
      </w:pPr>
      <w:rPr>
        <w:rFonts w:ascii="Courier New" w:hAnsi="Courier New" w:hint="default"/>
      </w:rPr>
    </w:lvl>
    <w:lvl w:ilvl="5" w:tplc="4420FFD4" w:tentative="1">
      <w:start w:val="1"/>
      <w:numFmt w:val="bullet"/>
      <w:lvlText w:val=""/>
      <w:lvlJc w:val="left"/>
      <w:pPr>
        <w:ind w:left="4320" w:hanging="360"/>
      </w:pPr>
      <w:rPr>
        <w:rFonts w:ascii="Wingdings" w:hAnsi="Wingdings" w:hint="default"/>
      </w:rPr>
    </w:lvl>
    <w:lvl w:ilvl="6" w:tplc="EE04B89C" w:tentative="1">
      <w:start w:val="1"/>
      <w:numFmt w:val="bullet"/>
      <w:lvlText w:val=""/>
      <w:lvlJc w:val="left"/>
      <w:pPr>
        <w:ind w:left="5040" w:hanging="360"/>
      </w:pPr>
      <w:rPr>
        <w:rFonts w:ascii="Symbol" w:hAnsi="Symbol" w:hint="default"/>
      </w:rPr>
    </w:lvl>
    <w:lvl w:ilvl="7" w:tplc="ED00C548" w:tentative="1">
      <w:start w:val="1"/>
      <w:numFmt w:val="bullet"/>
      <w:lvlText w:val="o"/>
      <w:lvlJc w:val="left"/>
      <w:pPr>
        <w:ind w:left="5760" w:hanging="360"/>
      </w:pPr>
      <w:rPr>
        <w:rFonts w:ascii="Courier New" w:hAnsi="Courier New" w:hint="default"/>
      </w:rPr>
    </w:lvl>
    <w:lvl w:ilvl="8" w:tplc="E1A6370C" w:tentative="1">
      <w:start w:val="1"/>
      <w:numFmt w:val="bullet"/>
      <w:lvlText w:val=""/>
      <w:lvlJc w:val="left"/>
      <w:pPr>
        <w:ind w:left="6480" w:hanging="360"/>
      </w:pPr>
      <w:rPr>
        <w:rFonts w:ascii="Wingdings" w:hAnsi="Wingdings" w:hint="default"/>
      </w:rPr>
    </w:lvl>
  </w:abstractNum>
  <w:abstractNum w:abstractNumId="416" w15:restartNumberingAfterBreak="0">
    <w:nsid w:val="677F4534"/>
    <w:multiLevelType w:val="hybridMultilevel"/>
    <w:tmpl w:val="50F88A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7" w15:restartNumberingAfterBreak="0">
    <w:nsid w:val="67817F53"/>
    <w:multiLevelType w:val="hybridMultilevel"/>
    <w:tmpl w:val="BA666728"/>
    <w:lvl w:ilvl="0" w:tplc="82B035D0">
      <w:start w:val="3"/>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8" w15:restartNumberingAfterBreak="0">
    <w:nsid w:val="6787707B"/>
    <w:multiLevelType w:val="multilevel"/>
    <w:tmpl w:val="C610FB74"/>
    <w:lvl w:ilvl="0">
      <w:start w:val="1"/>
      <w:numFmt w:val="lowerLetter"/>
      <w:pStyle w:val="alphanumbering"/>
      <w:lvlText w:val="%1."/>
      <w:lvlJc w:val="left"/>
      <w:pPr>
        <w:tabs>
          <w:tab w:val="num" w:pos="851"/>
        </w:tabs>
        <w:ind w:left="1191" w:hanging="340"/>
      </w:pPr>
      <w:rPr>
        <w:rFonts w:ascii="Arial" w:hAnsi="Arial" w:hint="default"/>
        <w:b w:val="0"/>
        <w:i w:val="0"/>
        <w:color w:val="191919"/>
        <w:sz w:val="18"/>
      </w:rPr>
    </w:lvl>
    <w:lvl w:ilvl="1">
      <w:start w:val="1"/>
      <w:numFmt w:val="lowerRoman"/>
      <w:lvlText w:val="%2)"/>
      <w:lvlJc w:val="left"/>
      <w:pPr>
        <w:tabs>
          <w:tab w:val="num" w:pos="1758"/>
        </w:tabs>
        <w:ind w:left="1588" w:hanging="397"/>
      </w:pPr>
      <w:rPr>
        <w:rFonts w:ascii="Arial" w:hAnsi="Arial" w:hint="default"/>
        <w:b w:val="0"/>
        <w:i w:val="0"/>
        <w:color w:val="191919"/>
        <w:sz w:val="18"/>
      </w:rPr>
    </w:lvl>
    <w:lvl w:ilvl="2">
      <w:start w:val="1"/>
      <w:numFmt w:val="upperLetter"/>
      <w:lvlText w:val="%3."/>
      <w:lvlJc w:val="left"/>
      <w:pPr>
        <w:tabs>
          <w:tab w:val="num" w:pos="1758"/>
        </w:tabs>
        <w:ind w:left="2098" w:hanging="340"/>
      </w:pPr>
      <w:rPr>
        <w:rFonts w:ascii="Arial" w:hAnsi="Arial" w:hint="default"/>
        <w:b w:val="0"/>
        <w:i w:val="0"/>
        <w:color w:val="191919"/>
        <w:sz w:val="1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9" w15:restartNumberingAfterBreak="0">
    <w:nsid w:val="679B62BF"/>
    <w:multiLevelType w:val="hybridMultilevel"/>
    <w:tmpl w:val="136C9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0" w15:restartNumberingAfterBreak="0">
    <w:nsid w:val="67B712EB"/>
    <w:multiLevelType w:val="hybridMultilevel"/>
    <w:tmpl w:val="EE9EED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1" w15:restartNumberingAfterBreak="0">
    <w:nsid w:val="67DE7AC9"/>
    <w:multiLevelType w:val="hybridMultilevel"/>
    <w:tmpl w:val="A4BEA8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2" w15:restartNumberingAfterBreak="0">
    <w:nsid w:val="685F5DD4"/>
    <w:multiLevelType w:val="hybridMultilevel"/>
    <w:tmpl w:val="B2D4EDC8"/>
    <w:lvl w:ilvl="0" w:tplc="FFFFFFFF">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Wing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Wingdings"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Wingdings"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23" w15:restartNumberingAfterBreak="0">
    <w:nsid w:val="68A95AE7"/>
    <w:multiLevelType w:val="hybridMultilevel"/>
    <w:tmpl w:val="3CEE09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4" w15:restartNumberingAfterBreak="0">
    <w:nsid w:val="69786B4A"/>
    <w:multiLevelType w:val="hybridMultilevel"/>
    <w:tmpl w:val="9BC8D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5" w15:restartNumberingAfterBreak="0">
    <w:nsid w:val="6A1F7024"/>
    <w:multiLevelType w:val="multilevel"/>
    <w:tmpl w:val="6E844402"/>
    <w:styleLink w:val="StyleOutlinenumberedSymbolsymbolGray-50Left125cm"/>
    <w:lvl w:ilvl="0">
      <w:start w:val="1"/>
      <w:numFmt w:val="bullet"/>
      <w:lvlText w:val=""/>
      <w:lvlJc w:val="left"/>
      <w:pPr>
        <w:ind w:left="1429" w:hanging="360"/>
      </w:pPr>
      <w:rPr>
        <w:rFonts w:ascii="Symbol" w:hAnsi="Symbol"/>
        <w:color w:val="808080"/>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426" w15:restartNumberingAfterBreak="0">
    <w:nsid w:val="6A43514B"/>
    <w:multiLevelType w:val="hybridMultilevel"/>
    <w:tmpl w:val="01EC07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7" w15:restartNumberingAfterBreak="0">
    <w:nsid w:val="6ABF69D1"/>
    <w:multiLevelType w:val="hybridMultilevel"/>
    <w:tmpl w:val="AA6EA9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8" w15:restartNumberingAfterBreak="0">
    <w:nsid w:val="6AD12B3E"/>
    <w:multiLevelType w:val="hybridMultilevel"/>
    <w:tmpl w:val="46F48698"/>
    <w:lvl w:ilvl="0" w:tplc="4D925486">
      <w:start w:val="1"/>
      <w:numFmt w:val="bullet"/>
      <w:lvlText w:val="•"/>
      <w:lvlJc w:val="left"/>
      <w:pPr>
        <w:tabs>
          <w:tab w:val="num" w:pos="1080"/>
        </w:tabs>
        <w:ind w:left="108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9" w15:restartNumberingAfterBreak="0">
    <w:nsid w:val="6AFD2BA5"/>
    <w:multiLevelType w:val="hybridMultilevel"/>
    <w:tmpl w:val="26A63B3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30" w15:restartNumberingAfterBreak="0">
    <w:nsid w:val="6B1309C9"/>
    <w:multiLevelType w:val="hybridMultilevel"/>
    <w:tmpl w:val="1D46756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1" w15:restartNumberingAfterBreak="0">
    <w:nsid w:val="6B25399E"/>
    <w:multiLevelType w:val="hybridMultilevel"/>
    <w:tmpl w:val="217E2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2" w15:restartNumberingAfterBreak="0">
    <w:nsid w:val="6B283301"/>
    <w:multiLevelType w:val="hybridMultilevel"/>
    <w:tmpl w:val="EDF8C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3" w15:restartNumberingAfterBreak="0">
    <w:nsid w:val="6BAD2C7B"/>
    <w:multiLevelType w:val="hybridMultilevel"/>
    <w:tmpl w:val="AA7602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4" w15:restartNumberingAfterBreak="0">
    <w:nsid w:val="6BD932CE"/>
    <w:multiLevelType w:val="hybridMultilevel"/>
    <w:tmpl w:val="6B062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5" w15:restartNumberingAfterBreak="0">
    <w:nsid w:val="6C1C4072"/>
    <w:multiLevelType w:val="hybridMultilevel"/>
    <w:tmpl w:val="43F23022"/>
    <w:lvl w:ilvl="0" w:tplc="4D925486">
      <w:start w:val="1"/>
      <w:numFmt w:val="bullet"/>
      <w:lvlText w:val="•"/>
      <w:lvlJc w:val="left"/>
      <w:pPr>
        <w:tabs>
          <w:tab w:val="num" w:pos="1080"/>
        </w:tabs>
        <w:ind w:left="108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6" w15:restartNumberingAfterBreak="0">
    <w:nsid w:val="6C2C14BD"/>
    <w:multiLevelType w:val="hybridMultilevel"/>
    <w:tmpl w:val="78CC9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7" w15:restartNumberingAfterBreak="0">
    <w:nsid w:val="6C2C19DD"/>
    <w:multiLevelType w:val="hybridMultilevel"/>
    <w:tmpl w:val="BE2E7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8" w15:restartNumberingAfterBreak="0">
    <w:nsid w:val="6CA00501"/>
    <w:multiLevelType w:val="hybridMultilevel"/>
    <w:tmpl w:val="38BA9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9" w15:restartNumberingAfterBreak="0">
    <w:nsid w:val="6CE0166D"/>
    <w:multiLevelType w:val="hybridMultilevel"/>
    <w:tmpl w:val="F5F2D05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40" w15:restartNumberingAfterBreak="0">
    <w:nsid w:val="6D505A3C"/>
    <w:multiLevelType w:val="hybridMultilevel"/>
    <w:tmpl w:val="E5AC97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1" w15:restartNumberingAfterBreak="0">
    <w:nsid w:val="6D506107"/>
    <w:multiLevelType w:val="hybridMultilevel"/>
    <w:tmpl w:val="3662D7F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2" w15:restartNumberingAfterBreak="0">
    <w:nsid w:val="6D7B4CED"/>
    <w:multiLevelType w:val="hybridMultilevel"/>
    <w:tmpl w:val="B1942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3" w15:restartNumberingAfterBreak="0">
    <w:nsid w:val="6D97018F"/>
    <w:multiLevelType w:val="hybridMultilevel"/>
    <w:tmpl w:val="F51020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4" w15:restartNumberingAfterBreak="0">
    <w:nsid w:val="6DE82BBC"/>
    <w:multiLevelType w:val="hybridMultilevel"/>
    <w:tmpl w:val="0F2EB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5" w15:restartNumberingAfterBreak="0">
    <w:nsid w:val="6DEE03F4"/>
    <w:multiLevelType w:val="hybridMultilevel"/>
    <w:tmpl w:val="B1826B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6" w15:restartNumberingAfterBreak="0">
    <w:nsid w:val="6DFA62A1"/>
    <w:multiLevelType w:val="hybridMultilevel"/>
    <w:tmpl w:val="F5EC0D74"/>
    <w:lvl w:ilvl="0" w:tplc="0C090001">
      <w:start w:val="1"/>
      <w:numFmt w:val="bullet"/>
      <w:lvlText w:val=""/>
      <w:lvlJc w:val="left"/>
      <w:pPr>
        <w:ind w:left="1282" w:hanging="360"/>
      </w:pPr>
      <w:rPr>
        <w:rFonts w:ascii="Symbol" w:hAnsi="Symbol" w:hint="default"/>
      </w:rPr>
    </w:lvl>
    <w:lvl w:ilvl="1" w:tplc="0C090003" w:tentative="1">
      <w:start w:val="1"/>
      <w:numFmt w:val="bullet"/>
      <w:lvlText w:val="o"/>
      <w:lvlJc w:val="left"/>
      <w:pPr>
        <w:ind w:left="2002" w:hanging="360"/>
      </w:pPr>
      <w:rPr>
        <w:rFonts w:ascii="Courier New" w:hAnsi="Courier New" w:cs="Courier New" w:hint="default"/>
      </w:rPr>
    </w:lvl>
    <w:lvl w:ilvl="2" w:tplc="0C090005" w:tentative="1">
      <w:start w:val="1"/>
      <w:numFmt w:val="bullet"/>
      <w:lvlText w:val=""/>
      <w:lvlJc w:val="left"/>
      <w:pPr>
        <w:ind w:left="2722" w:hanging="360"/>
      </w:pPr>
      <w:rPr>
        <w:rFonts w:ascii="Wingdings" w:hAnsi="Wingdings" w:hint="default"/>
      </w:rPr>
    </w:lvl>
    <w:lvl w:ilvl="3" w:tplc="0C090001" w:tentative="1">
      <w:start w:val="1"/>
      <w:numFmt w:val="bullet"/>
      <w:lvlText w:val=""/>
      <w:lvlJc w:val="left"/>
      <w:pPr>
        <w:ind w:left="3442" w:hanging="360"/>
      </w:pPr>
      <w:rPr>
        <w:rFonts w:ascii="Symbol" w:hAnsi="Symbol" w:hint="default"/>
      </w:rPr>
    </w:lvl>
    <w:lvl w:ilvl="4" w:tplc="0C090003" w:tentative="1">
      <w:start w:val="1"/>
      <w:numFmt w:val="bullet"/>
      <w:lvlText w:val="o"/>
      <w:lvlJc w:val="left"/>
      <w:pPr>
        <w:ind w:left="4162" w:hanging="360"/>
      </w:pPr>
      <w:rPr>
        <w:rFonts w:ascii="Courier New" w:hAnsi="Courier New" w:cs="Courier New" w:hint="default"/>
      </w:rPr>
    </w:lvl>
    <w:lvl w:ilvl="5" w:tplc="0C090005" w:tentative="1">
      <w:start w:val="1"/>
      <w:numFmt w:val="bullet"/>
      <w:lvlText w:val=""/>
      <w:lvlJc w:val="left"/>
      <w:pPr>
        <w:ind w:left="4882" w:hanging="360"/>
      </w:pPr>
      <w:rPr>
        <w:rFonts w:ascii="Wingdings" w:hAnsi="Wingdings" w:hint="default"/>
      </w:rPr>
    </w:lvl>
    <w:lvl w:ilvl="6" w:tplc="0C090001" w:tentative="1">
      <w:start w:val="1"/>
      <w:numFmt w:val="bullet"/>
      <w:lvlText w:val=""/>
      <w:lvlJc w:val="left"/>
      <w:pPr>
        <w:ind w:left="5602" w:hanging="360"/>
      </w:pPr>
      <w:rPr>
        <w:rFonts w:ascii="Symbol" w:hAnsi="Symbol" w:hint="default"/>
      </w:rPr>
    </w:lvl>
    <w:lvl w:ilvl="7" w:tplc="0C090003" w:tentative="1">
      <w:start w:val="1"/>
      <w:numFmt w:val="bullet"/>
      <w:lvlText w:val="o"/>
      <w:lvlJc w:val="left"/>
      <w:pPr>
        <w:ind w:left="6322" w:hanging="360"/>
      </w:pPr>
      <w:rPr>
        <w:rFonts w:ascii="Courier New" w:hAnsi="Courier New" w:cs="Courier New" w:hint="default"/>
      </w:rPr>
    </w:lvl>
    <w:lvl w:ilvl="8" w:tplc="0C090005" w:tentative="1">
      <w:start w:val="1"/>
      <w:numFmt w:val="bullet"/>
      <w:lvlText w:val=""/>
      <w:lvlJc w:val="left"/>
      <w:pPr>
        <w:ind w:left="7042" w:hanging="360"/>
      </w:pPr>
      <w:rPr>
        <w:rFonts w:ascii="Wingdings" w:hAnsi="Wingdings" w:hint="default"/>
      </w:rPr>
    </w:lvl>
  </w:abstractNum>
  <w:abstractNum w:abstractNumId="447" w15:restartNumberingAfterBreak="0">
    <w:nsid w:val="6FCD5066"/>
    <w:multiLevelType w:val="hybridMultilevel"/>
    <w:tmpl w:val="3E825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8" w15:restartNumberingAfterBreak="0">
    <w:nsid w:val="6FDD382F"/>
    <w:multiLevelType w:val="hybridMultilevel"/>
    <w:tmpl w:val="5A946C2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9" w15:restartNumberingAfterBreak="0">
    <w:nsid w:val="6FE57D28"/>
    <w:multiLevelType w:val="hybridMultilevel"/>
    <w:tmpl w:val="662861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0" w15:restartNumberingAfterBreak="0">
    <w:nsid w:val="6FF2580E"/>
    <w:multiLevelType w:val="multilevel"/>
    <w:tmpl w:val="F160A6D8"/>
    <w:styleLink w:val="TableNumbering1"/>
    <w:lvl w:ilvl="0">
      <w:start w:val="1"/>
      <w:numFmt w:val="lowerLetter"/>
      <w:lvlText w:val="%1)"/>
      <w:lvlJc w:val="left"/>
      <w:pPr>
        <w:tabs>
          <w:tab w:val="num" w:pos="1134"/>
        </w:tabs>
        <w:ind w:left="1134" w:hanging="283"/>
      </w:pPr>
      <w:rPr>
        <w:rFonts w:ascii="Trebuchet MS" w:hAnsi="Trebuchet MS" w:hint="default"/>
        <w:sz w:val="20"/>
        <w:szCs w:val="20"/>
      </w:rPr>
    </w:lvl>
    <w:lvl w:ilvl="1">
      <w:start w:val="1"/>
      <w:numFmt w:val="lowerRoman"/>
      <w:lvlText w:val="%2."/>
      <w:lvlJc w:val="left"/>
      <w:pPr>
        <w:tabs>
          <w:tab w:val="num" w:pos="1418"/>
        </w:tabs>
        <w:ind w:left="1418" w:hanging="284"/>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1" w15:restartNumberingAfterBreak="0">
    <w:nsid w:val="70DD1D9A"/>
    <w:multiLevelType w:val="hybridMultilevel"/>
    <w:tmpl w:val="8438D88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2" w15:restartNumberingAfterBreak="0">
    <w:nsid w:val="70E842D3"/>
    <w:multiLevelType w:val="hybridMultilevel"/>
    <w:tmpl w:val="BB0091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3" w15:restartNumberingAfterBreak="0">
    <w:nsid w:val="7176086B"/>
    <w:multiLevelType w:val="hybridMultilevel"/>
    <w:tmpl w:val="5CE05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4" w15:restartNumberingAfterBreak="0">
    <w:nsid w:val="7211454E"/>
    <w:multiLevelType w:val="hybridMultilevel"/>
    <w:tmpl w:val="033C6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5" w15:restartNumberingAfterBreak="0">
    <w:nsid w:val="72433E4A"/>
    <w:multiLevelType w:val="hybridMultilevel"/>
    <w:tmpl w:val="CDD63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6" w15:restartNumberingAfterBreak="0">
    <w:nsid w:val="72667905"/>
    <w:multiLevelType w:val="hybridMultilevel"/>
    <w:tmpl w:val="0AD6F6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7" w15:restartNumberingAfterBreak="0">
    <w:nsid w:val="727F3E6D"/>
    <w:multiLevelType w:val="hybridMultilevel"/>
    <w:tmpl w:val="360E47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8" w15:restartNumberingAfterBreak="0">
    <w:nsid w:val="72CC532E"/>
    <w:multiLevelType w:val="hybridMultilevel"/>
    <w:tmpl w:val="AC06D7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9" w15:restartNumberingAfterBreak="0">
    <w:nsid w:val="72E93443"/>
    <w:multiLevelType w:val="hybridMultilevel"/>
    <w:tmpl w:val="3EF80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0" w15:restartNumberingAfterBreak="0">
    <w:nsid w:val="732066CC"/>
    <w:multiLevelType w:val="hybridMultilevel"/>
    <w:tmpl w:val="AB008BD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61" w15:restartNumberingAfterBreak="0">
    <w:nsid w:val="73556722"/>
    <w:multiLevelType w:val="hybridMultilevel"/>
    <w:tmpl w:val="ACDAC2AA"/>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462" w15:restartNumberingAfterBreak="0">
    <w:nsid w:val="736650DD"/>
    <w:multiLevelType w:val="hybridMultilevel"/>
    <w:tmpl w:val="FBF4743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3" w15:restartNumberingAfterBreak="0">
    <w:nsid w:val="73B12141"/>
    <w:multiLevelType w:val="hybridMultilevel"/>
    <w:tmpl w:val="C0E83198"/>
    <w:lvl w:ilvl="0" w:tplc="FD8EEA6E">
      <w:start w:val="4"/>
      <w:numFmt w:val="upperLetter"/>
      <w:lvlText w:val="%1."/>
      <w:lvlJc w:val="left"/>
      <w:pPr>
        <w:ind w:left="842" w:hanging="360"/>
      </w:pPr>
      <w:rPr>
        <w:rFonts w:hint="default"/>
      </w:rPr>
    </w:lvl>
    <w:lvl w:ilvl="1" w:tplc="0C090019" w:tentative="1">
      <w:start w:val="1"/>
      <w:numFmt w:val="lowerLetter"/>
      <w:lvlText w:val="%2."/>
      <w:lvlJc w:val="left"/>
      <w:pPr>
        <w:ind w:left="1562" w:hanging="360"/>
      </w:pPr>
    </w:lvl>
    <w:lvl w:ilvl="2" w:tplc="0C09001B" w:tentative="1">
      <w:start w:val="1"/>
      <w:numFmt w:val="lowerRoman"/>
      <w:lvlText w:val="%3."/>
      <w:lvlJc w:val="right"/>
      <w:pPr>
        <w:ind w:left="2282" w:hanging="180"/>
      </w:pPr>
    </w:lvl>
    <w:lvl w:ilvl="3" w:tplc="0C09000F" w:tentative="1">
      <w:start w:val="1"/>
      <w:numFmt w:val="decimal"/>
      <w:lvlText w:val="%4."/>
      <w:lvlJc w:val="left"/>
      <w:pPr>
        <w:ind w:left="3002" w:hanging="360"/>
      </w:pPr>
    </w:lvl>
    <w:lvl w:ilvl="4" w:tplc="0C090019" w:tentative="1">
      <w:start w:val="1"/>
      <w:numFmt w:val="lowerLetter"/>
      <w:lvlText w:val="%5."/>
      <w:lvlJc w:val="left"/>
      <w:pPr>
        <w:ind w:left="3722" w:hanging="360"/>
      </w:pPr>
    </w:lvl>
    <w:lvl w:ilvl="5" w:tplc="0C09001B" w:tentative="1">
      <w:start w:val="1"/>
      <w:numFmt w:val="lowerRoman"/>
      <w:lvlText w:val="%6."/>
      <w:lvlJc w:val="right"/>
      <w:pPr>
        <w:ind w:left="4442" w:hanging="180"/>
      </w:pPr>
    </w:lvl>
    <w:lvl w:ilvl="6" w:tplc="0C09000F" w:tentative="1">
      <w:start w:val="1"/>
      <w:numFmt w:val="decimal"/>
      <w:lvlText w:val="%7."/>
      <w:lvlJc w:val="left"/>
      <w:pPr>
        <w:ind w:left="5162" w:hanging="360"/>
      </w:pPr>
    </w:lvl>
    <w:lvl w:ilvl="7" w:tplc="0C090019" w:tentative="1">
      <w:start w:val="1"/>
      <w:numFmt w:val="lowerLetter"/>
      <w:lvlText w:val="%8."/>
      <w:lvlJc w:val="left"/>
      <w:pPr>
        <w:ind w:left="5882" w:hanging="360"/>
      </w:pPr>
    </w:lvl>
    <w:lvl w:ilvl="8" w:tplc="0C09001B" w:tentative="1">
      <w:start w:val="1"/>
      <w:numFmt w:val="lowerRoman"/>
      <w:lvlText w:val="%9."/>
      <w:lvlJc w:val="right"/>
      <w:pPr>
        <w:ind w:left="6602" w:hanging="180"/>
      </w:pPr>
    </w:lvl>
  </w:abstractNum>
  <w:abstractNum w:abstractNumId="464" w15:restartNumberingAfterBreak="0">
    <w:nsid w:val="73BB18FA"/>
    <w:multiLevelType w:val="hybridMultilevel"/>
    <w:tmpl w:val="C5F868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5" w15:restartNumberingAfterBreak="0">
    <w:nsid w:val="74BB6D2E"/>
    <w:multiLevelType w:val="hybridMultilevel"/>
    <w:tmpl w:val="8D86D476"/>
    <w:lvl w:ilvl="0" w:tplc="4D925486">
      <w:start w:val="1"/>
      <w:numFmt w:val="bullet"/>
      <w:lvlText w:val="•"/>
      <w:lvlJc w:val="left"/>
      <w:pPr>
        <w:tabs>
          <w:tab w:val="num" w:pos="360"/>
        </w:tabs>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6" w15:restartNumberingAfterBreak="0">
    <w:nsid w:val="74C0396B"/>
    <w:multiLevelType w:val="hybridMultilevel"/>
    <w:tmpl w:val="F0382E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7" w15:restartNumberingAfterBreak="0">
    <w:nsid w:val="75062752"/>
    <w:multiLevelType w:val="hybridMultilevel"/>
    <w:tmpl w:val="4D90F3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8" w15:restartNumberingAfterBreak="0">
    <w:nsid w:val="752737F1"/>
    <w:multiLevelType w:val="hybridMultilevel"/>
    <w:tmpl w:val="88F6AD26"/>
    <w:lvl w:ilvl="0" w:tplc="0C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9" w15:restartNumberingAfterBreak="0">
    <w:nsid w:val="75B03B1E"/>
    <w:multiLevelType w:val="hybridMultilevel"/>
    <w:tmpl w:val="3CEEEC9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0" w15:restartNumberingAfterBreak="0">
    <w:nsid w:val="75CA0FE9"/>
    <w:multiLevelType w:val="hybridMultilevel"/>
    <w:tmpl w:val="8326AC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1" w15:restartNumberingAfterBreak="0">
    <w:nsid w:val="75E93F77"/>
    <w:multiLevelType w:val="hybridMultilevel"/>
    <w:tmpl w:val="07581A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2" w15:restartNumberingAfterBreak="0">
    <w:nsid w:val="76030FFC"/>
    <w:multiLevelType w:val="hybridMultilevel"/>
    <w:tmpl w:val="C192732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3" w15:restartNumberingAfterBreak="0">
    <w:nsid w:val="76156098"/>
    <w:multiLevelType w:val="hybridMultilevel"/>
    <w:tmpl w:val="F70C1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4" w15:restartNumberingAfterBreak="0">
    <w:nsid w:val="76266489"/>
    <w:multiLevelType w:val="multilevel"/>
    <w:tmpl w:val="7ED664E4"/>
    <w:lvl w:ilvl="0">
      <w:start w:val="1"/>
      <w:numFmt w:val="decimal"/>
      <w:pStyle w:val="TableNotesNumbering"/>
      <w:lvlText w:val="%1."/>
      <w:lvlJc w:val="left"/>
      <w:pPr>
        <w:ind w:left="284" w:hanging="284"/>
      </w:pPr>
      <w:rPr>
        <w:rFonts w:ascii="Arial" w:hAnsi="Arial" w:hint="default"/>
        <w:b w:val="0"/>
        <w:i/>
        <w:color w:val="F36D00"/>
        <w:sz w:val="16"/>
      </w:rPr>
    </w:lvl>
    <w:lvl w:ilvl="1">
      <w:start w:val="1"/>
      <w:numFmt w:val="lowerLetter"/>
      <w:lvlText w:val="%2."/>
      <w:lvlJc w:val="left"/>
      <w:pPr>
        <w:ind w:left="567" w:hanging="283"/>
      </w:pPr>
      <w:rPr>
        <w:rFonts w:ascii="Arial" w:hAnsi="Arial" w:hint="default"/>
        <w:b w:val="0"/>
        <w:i/>
        <w:color w:val="F36D00"/>
        <w:sz w:val="16"/>
      </w:rPr>
    </w:lvl>
    <w:lvl w:ilvl="2">
      <w:start w:val="1"/>
      <w:numFmt w:val="lowerRoman"/>
      <w:lvlText w:val="%3."/>
      <w:lvlJc w:val="left"/>
      <w:pPr>
        <w:ind w:left="851" w:hanging="284"/>
      </w:pPr>
      <w:rPr>
        <w:rFonts w:ascii="Arial" w:hAnsi="Arial" w:hint="default"/>
        <w:b w:val="0"/>
        <w:i/>
        <w:color w:val="F36D00"/>
        <w:sz w:val="16"/>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75" w15:restartNumberingAfterBreak="0">
    <w:nsid w:val="762964D5"/>
    <w:multiLevelType w:val="multilevel"/>
    <w:tmpl w:val="E898CC72"/>
    <w:styleLink w:val="KeyPoints"/>
    <w:lvl w:ilvl="0">
      <w:start w:val="1"/>
      <w:numFmt w:val="decimal"/>
      <w:lvlText w:val="%1."/>
      <w:lvlJc w:val="left"/>
      <w:pPr>
        <w:ind w:left="369" w:hanging="369"/>
      </w:pPr>
      <w:rPr>
        <w:rFonts w:ascii="Arial" w:hAnsi="Arial" w:cs="Times New Roman" w:hint="default"/>
        <w:sz w:val="22"/>
      </w:rPr>
    </w:lvl>
    <w:lvl w:ilvl="1">
      <w:start w:val="1"/>
      <w:numFmt w:val="lowerLetter"/>
      <w:lvlText w:val="%2."/>
      <w:lvlJc w:val="left"/>
      <w:pPr>
        <w:ind w:left="738" w:hanging="369"/>
      </w:pPr>
      <w:rPr>
        <w:rFonts w:cs="Times New Roman" w:hint="default"/>
      </w:rPr>
    </w:lvl>
    <w:lvl w:ilvl="2">
      <w:start w:val="1"/>
      <w:numFmt w:val="lowerRoman"/>
      <w:lvlText w:val="%3."/>
      <w:lvlJc w:val="left"/>
      <w:pPr>
        <w:ind w:left="1107" w:hanging="369"/>
      </w:pPr>
      <w:rPr>
        <w:rFonts w:cs="Times New Roman" w:hint="default"/>
      </w:rPr>
    </w:lvl>
    <w:lvl w:ilvl="3">
      <w:start w:val="1"/>
      <w:numFmt w:val="none"/>
      <w:lvlText w:val="%4"/>
      <w:lvlJc w:val="left"/>
      <w:pPr>
        <w:ind w:left="1476" w:hanging="369"/>
      </w:pPr>
      <w:rPr>
        <w:rFonts w:cs="Times New Roman" w:hint="default"/>
      </w:rPr>
    </w:lvl>
    <w:lvl w:ilvl="4">
      <w:start w:val="1"/>
      <w:numFmt w:val="none"/>
      <w:lvlText w:val=""/>
      <w:lvlJc w:val="left"/>
      <w:pPr>
        <w:ind w:left="1845" w:hanging="369"/>
      </w:pPr>
      <w:rPr>
        <w:rFonts w:cs="Times New Roman" w:hint="default"/>
      </w:rPr>
    </w:lvl>
    <w:lvl w:ilvl="5">
      <w:start w:val="1"/>
      <w:numFmt w:val="none"/>
      <w:lvlText w:val=""/>
      <w:lvlJc w:val="left"/>
      <w:pPr>
        <w:ind w:left="2214" w:hanging="369"/>
      </w:pPr>
      <w:rPr>
        <w:rFonts w:cs="Times New Roman" w:hint="default"/>
      </w:rPr>
    </w:lvl>
    <w:lvl w:ilvl="6">
      <w:start w:val="1"/>
      <w:numFmt w:val="none"/>
      <w:lvlText w:val=""/>
      <w:lvlJc w:val="left"/>
      <w:pPr>
        <w:ind w:left="2583" w:hanging="369"/>
      </w:pPr>
      <w:rPr>
        <w:rFonts w:cs="Times New Roman" w:hint="default"/>
      </w:rPr>
    </w:lvl>
    <w:lvl w:ilvl="7">
      <w:start w:val="1"/>
      <w:numFmt w:val="none"/>
      <w:lvlText w:val=""/>
      <w:lvlJc w:val="left"/>
      <w:pPr>
        <w:ind w:left="2952" w:hanging="369"/>
      </w:pPr>
      <w:rPr>
        <w:rFonts w:cs="Times New Roman" w:hint="default"/>
      </w:rPr>
    </w:lvl>
    <w:lvl w:ilvl="8">
      <w:start w:val="1"/>
      <w:numFmt w:val="none"/>
      <w:lvlText w:val=""/>
      <w:lvlJc w:val="left"/>
      <w:pPr>
        <w:ind w:left="3321" w:hanging="369"/>
      </w:pPr>
      <w:rPr>
        <w:rFonts w:cs="Times New Roman" w:hint="default"/>
      </w:rPr>
    </w:lvl>
  </w:abstractNum>
  <w:abstractNum w:abstractNumId="476" w15:restartNumberingAfterBreak="0">
    <w:nsid w:val="765D2D43"/>
    <w:multiLevelType w:val="hybridMultilevel"/>
    <w:tmpl w:val="645A687A"/>
    <w:lvl w:ilvl="0" w:tplc="4D925486">
      <w:start w:val="1"/>
      <w:numFmt w:val="bullet"/>
      <w:lvlText w:val="•"/>
      <w:lvlJc w:val="left"/>
      <w:pPr>
        <w:tabs>
          <w:tab w:val="num" w:pos="1080"/>
        </w:tabs>
        <w:ind w:left="108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7" w15:restartNumberingAfterBreak="0">
    <w:nsid w:val="76DE00AD"/>
    <w:multiLevelType w:val="hybridMultilevel"/>
    <w:tmpl w:val="2A22E53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8" w15:restartNumberingAfterBreak="0">
    <w:nsid w:val="76E50E1F"/>
    <w:multiLevelType w:val="hybridMultilevel"/>
    <w:tmpl w:val="C22A3F1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79" w15:restartNumberingAfterBreak="0">
    <w:nsid w:val="76F97FC0"/>
    <w:multiLevelType w:val="hybridMultilevel"/>
    <w:tmpl w:val="DD98D05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80" w15:restartNumberingAfterBreak="0">
    <w:nsid w:val="77025671"/>
    <w:multiLevelType w:val="hybridMultilevel"/>
    <w:tmpl w:val="FF18EC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1" w15:restartNumberingAfterBreak="0">
    <w:nsid w:val="770B3FAA"/>
    <w:multiLevelType w:val="hybridMultilevel"/>
    <w:tmpl w:val="46A6AE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2" w15:restartNumberingAfterBreak="0">
    <w:nsid w:val="774F60A3"/>
    <w:multiLevelType w:val="hybridMultilevel"/>
    <w:tmpl w:val="419447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3" w15:restartNumberingAfterBreak="0">
    <w:nsid w:val="77AC429B"/>
    <w:multiLevelType w:val="hybridMultilevel"/>
    <w:tmpl w:val="ECA063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4" w15:restartNumberingAfterBreak="0">
    <w:nsid w:val="77BF3381"/>
    <w:multiLevelType w:val="hybridMultilevel"/>
    <w:tmpl w:val="55DEA864"/>
    <w:lvl w:ilvl="0" w:tplc="B09025B8">
      <w:start w:val="1"/>
      <w:numFmt w:val="upperLetter"/>
      <w:lvlText w:val="%1."/>
      <w:lvlJc w:val="left"/>
      <w:pPr>
        <w:ind w:left="1908" w:hanging="360"/>
      </w:pPr>
      <w:rPr>
        <w:rFonts w:hint="default"/>
      </w:rPr>
    </w:lvl>
    <w:lvl w:ilvl="1" w:tplc="0C090019" w:tentative="1">
      <w:start w:val="1"/>
      <w:numFmt w:val="lowerLetter"/>
      <w:lvlText w:val="%2."/>
      <w:lvlJc w:val="left"/>
      <w:pPr>
        <w:ind w:left="2628" w:hanging="360"/>
      </w:pPr>
    </w:lvl>
    <w:lvl w:ilvl="2" w:tplc="0C09001B" w:tentative="1">
      <w:start w:val="1"/>
      <w:numFmt w:val="lowerRoman"/>
      <w:lvlText w:val="%3."/>
      <w:lvlJc w:val="right"/>
      <w:pPr>
        <w:ind w:left="3348" w:hanging="180"/>
      </w:pPr>
    </w:lvl>
    <w:lvl w:ilvl="3" w:tplc="0C09000F" w:tentative="1">
      <w:start w:val="1"/>
      <w:numFmt w:val="decimal"/>
      <w:lvlText w:val="%4."/>
      <w:lvlJc w:val="left"/>
      <w:pPr>
        <w:ind w:left="4068" w:hanging="360"/>
      </w:pPr>
    </w:lvl>
    <w:lvl w:ilvl="4" w:tplc="0C090019" w:tentative="1">
      <w:start w:val="1"/>
      <w:numFmt w:val="lowerLetter"/>
      <w:lvlText w:val="%5."/>
      <w:lvlJc w:val="left"/>
      <w:pPr>
        <w:ind w:left="4788" w:hanging="360"/>
      </w:pPr>
    </w:lvl>
    <w:lvl w:ilvl="5" w:tplc="0C09001B" w:tentative="1">
      <w:start w:val="1"/>
      <w:numFmt w:val="lowerRoman"/>
      <w:lvlText w:val="%6."/>
      <w:lvlJc w:val="right"/>
      <w:pPr>
        <w:ind w:left="5508" w:hanging="180"/>
      </w:pPr>
    </w:lvl>
    <w:lvl w:ilvl="6" w:tplc="0C09000F" w:tentative="1">
      <w:start w:val="1"/>
      <w:numFmt w:val="decimal"/>
      <w:lvlText w:val="%7."/>
      <w:lvlJc w:val="left"/>
      <w:pPr>
        <w:ind w:left="6228" w:hanging="360"/>
      </w:pPr>
    </w:lvl>
    <w:lvl w:ilvl="7" w:tplc="0C090019" w:tentative="1">
      <w:start w:val="1"/>
      <w:numFmt w:val="lowerLetter"/>
      <w:lvlText w:val="%8."/>
      <w:lvlJc w:val="left"/>
      <w:pPr>
        <w:ind w:left="6948" w:hanging="360"/>
      </w:pPr>
    </w:lvl>
    <w:lvl w:ilvl="8" w:tplc="0C09001B" w:tentative="1">
      <w:start w:val="1"/>
      <w:numFmt w:val="lowerRoman"/>
      <w:lvlText w:val="%9."/>
      <w:lvlJc w:val="right"/>
      <w:pPr>
        <w:ind w:left="7668" w:hanging="180"/>
      </w:pPr>
    </w:lvl>
  </w:abstractNum>
  <w:abstractNum w:abstractNumId="485" w15:restartNumberingAfterBreak="0">
    <w:nsid w:val="77EB3A24"/>
    <w:multiLevelType w:val="hybridMultilevel"/>
    <w:tmpl w:val="916416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6" w15:restartNumberingAfterBreak="0">
    <w:nsid w:val="782D1B24"/>
    <w:multiLevelType w:val="hybridMultilevel"/>
    <w:tmpl w:val="C7C8C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7" w15:restartNumberingAfterBreak="0">
    <w:nsid w:val="78B63593"/>
    <w:multiLevelType w:val="hybridMultilevel"/>
    <w:tmpl w:val="CFC2BCDC"/>
    <w:lvl w:ilvl="0" w:tplc="F7B68370">
      <w:start w:val="1"/>
      <w:numFmt w:val="bullet"/>
      <w:pStyle w:val="BulletStyle"/>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88" w15:restartNumberingAfterBreak="0">
    <w:nsid w:val="794C3624"/>
    <w:multiLevelType w:val="hybridMultilevel"/>
    <w:tmpl w:val="89A40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9" w15:restartNumberingAfterBreak="0">
    <w:nsid w:val="79811984"/>
    <w:multiLevelType w:val="hybridMultilevel"/>
    <w:tmpl w:val="3AC02EC0"/>
    <w:lvl w:ilvl="0" w:tplc="4D925486">
      <w:start w:val="1"/>
      <w:numFmt w:val="bullet"/>
      <w:lvlText w:val="•"/>
      <w:lvlJc w:val="left"/>
      <w:pPr>
        <w:tabs>
          <w:tab w:val="num" w:pos="1080"/>
        </w:tabs>
        <w:ind w:left="108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0" w15:restartNumberingAfterBreak="0">
    <w:nsid w:val="79C67240"/>
    <w:multiLevelType w:val="multilevel"/>
    <w:tmpl w:val="ADEA578E"/>
    <w:styleLink w:val="TableBullets0"/>
    <w:lvl w:ilvl="0">
      <w:start w:val="1"/>
      <w:numFmt w:val="bullet"/>
      <w:lvlText w:val=""/>
      <w:lvlJc w:val="left"/>
      <w:pPr>
        <w:tabs>
          <w:tab w:val="num" w:pos="567"/>
        </w:tabs>
        <w:ind w:left="567" w:hanging="283"/>
      </w:pPr>
      <w:rPr>
        <w:rFonts w:ascii="Wingdings" w:hAnsi="Wingdings" w:hint="default"/>
        <w:sz w:val="20"/>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491" w15:restartNumberingAfterBreak="0">
    <w:nsid w:val="7A722B64"/>
    <w:multiLevelType w:val="hybridMultilevel"/>
    <w:tmpl w:val="C4AA3AC0"/>
    <w:lvl w:ilvl="0" w:tplc="836C6188">
      <w:start w:val="1"/>
      <w:numFmt w:val="bullet"/>
      <w:pStyle w:val="dotpoints"/>
      <w:lvlText w:val=""/>
      <w:lvlJc w:val="left"/>
      <w:pPr>
        <w:ind w:left="294" w:hanging="360"/>
      </w:pPr>
      <w:rPr>
        <w:rFonts w:ascii="Symbol" w:hAnsi="Symbol" w:hint="default"/>
      </w:rPr>
    </w:lvl>
    <w:lvl w:ilvl="1" w:tplc="0C090003" w:tentative="1">
      <w:start w:val="1"/>
      <w:numFmt w:val="bullet"/>
      <w:lvlText w:val="o"/>
      <w:lvlJc w:val="left"/>
      <w:pPr>
        <w:ind w:left="1014" w:hanging="360"/>
      </w:pPr>
      <w:rPr>
        <w:rFonts w:ascii="Courier New" w:hAnsi="Courier New" w:cs="Courier New" w:hint="default"/>
      </w:rPr>
    </w:lvl>
    <w:lvl w:ilvl="2" w:tplc="0C090005" w:tentative="1">
      <w:start w:val="1"/>
      <w:numFmt w:val="bullet"/>
      <w:lvlText w:val=""/>
      <w:lvlJc w:val="left"/>
      <w:pPr>
        <w:ind w:left="1734" w:hanging="360"/>
      </w:pPr>
      <w:rPr>
        <w:rFonts w:ascii="Wingdings" w:hAnsi="Wingdings" w:hint="default"/>
      </w:rPr>
    </w:lvl>
    <w:lvl w:ilvl="3" w:tplc="0C090001" w:tentative="1">
      <w:start w:val="1"/>
      <w:numFmt w:val="bullet"/>
      <w:lvlText w:val=""/>
      <w:lvlJc w:val="left"/>
      <w:pPr>
        <w:ind w:left="2454" w:hanging="360"/>
      </w:pPr>
      <w:rPr>
        <w:rFonts w:ascii="Symbol" w:hAnsi="Symbol" w:hint="default"/>
      </w:rPr>
    </w:lvl>
    <w:lvl w:ilvl="4" w:tplc="0C090003" w:tentative="1">
      <w:start w:val="1"/>
      <w:numFmt w:val="bullet"/>
      <w:lvlText w:val="o"/>
      <w:lvlJc w:val="left"/>
      <w:pPr>
        <w:ind w:left="3174" w:hanging="360"/>
      </w:pPr>
      <w:rPr>
        <w:rFonts w:ascii="Courier New" w:hAnsi="Courier New" w:cs="Courier New" w:hint="default"/>
      </w:rPr>
    </w:lvl>
    <w:lvl w:ilvl="5" w:tplc="0C090005" w:tentative="1">
      <w:start w:val="1"/>
      <w:numFmt w:val="bullet"/>
      <w:lvlText w:val=""/>
      <w:lvlJc w:val="left"/>
      <w:pPr>
        <w:ind w:left="3894" w:hanging="360"/>
      </w:pPr>
      <w:rPr>
        <w:rFonts w:ascii="Wingdings" w:hAnsi="Wingdings" w:hint="default"/>
      </w:rPr>
    </w:lvl>
    <w:lvl w:ilvl="6" w:tplc="0C090001" w:tentative="1">
      <w:start w:val="1"/>
      <w:numFmt w:val="bullet"/>
      <w:lvlText w:val=""/>
      <w:lvlJc w:val="left"/>
      <w:pPr>
        <w:ind w:left="4614" w:hanging="360"/>
      </w:pPr>
      <w:rPr>
        <w:rFonts w:ascii="Symbol" w:hAnsi="Symbol" w:hint="default"/>
      </w:rPr>
    </w:lvl>
    <w:lvl w:ilvl="7" w:tplc="0C090003" w:tentative="1">
      <w:start w:val="1"/>
      <w:numFmt w:val="bullet"/>
      <w:lvlText w:val="o"/>
      <w:lvlJc w:val="left"/>
      <w:pPr>
        <w:ind w:left="5334" w:hanging="360"/>
      </w:pPr>
      <w:rPr>
        <w:rFonts w:ascii="Courier New" w:hAnsi="Courier New" w:cs="Courier New" w:hint="default"/>
      </w:rPr>
    </w:lvl>
    <w:lvl w:ilvl="8" w:tplc="0C090005" w:tentative="1">
      <w:start w:val="1"/>
      <w:numFmt w:val="bullet"/>
      <w:lvlText w:val=""/>
      <w:lvlJc w:val="left"/>
      <w:pPr>
        <w:ind w:left="6054" w:hanging="360"/>
      </w:pPr>
      <w:rPr>
        <w:rFonts w:ascii="Wingdings" w:hAnsi="Wingdings" w:hint="default"/>
      </w:rPr>
    </w:lvl>
  </w:abstractNum>
  <w:abstractNum w:abstractNumId="492" w15:restartNumberingAfterBreak="0">
    <w:nsid w:val="7AC65EB2"/>
    <w:multiLevelType w:val="multilevel"/>
    <w:tmpl w:val="A000A5A6"/>
    <w:lvl w:ilvl="0">
      <w:start w:val="1"/>
      <w:numFmt w:val="upperLetter"/>
      <w:pStyle w:val="AppendixN1"/>
      <w:lvlText w:val="%1."/>
      <w:lvlJc w:val="left"/>
      <w:pPr>
        <w:ind w:left="567" w:hanging="567"/>
      </w:pPr>
      <w:rPr>
        <w:rFonts w:hint="default"/>
        <w:b/>
        <w:i w:val="0"/>
      </w:rPr>
    </w:lvl>
    <w:lvl w:ilvl="1">
      <w:start w:val="1"/>
      <w:numFmt w:val="upperLetter"/>
      <w:lvlText w:val="%2."/>
      <w:lvlJc w:val="left"/>
      <w:pPr>
        <w:ind w:left="1134" w:hanging="567"/>
      </w:pPr>
      <w:rPr>
        <w:rFonts w:hint="default"/>
      </w:rPr>
    </w:lvl>
    <w:lvl w:ilvl="2">
      <w:start w:val="1"/>
      <w:numFmt w:val="decimal"/>
      <w:lvlText w:val="%3."/>
      <w:lvlJc w:val="lef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lowerLetter"/>
      <w:lvlText w:val="(%6)"/>
      <w:lvlJc w:val="left"/>
      <w:pPr>
        <w:ind w:left="3402" w:hanging="567"/>
      </w:pPr>
      <w:rPr>
        <w:rFonts w:hint="default"/>
      </w:rPr>
    </w:lvl>
    <w:lvl w:ilvl="6">
      <w:start w:val="1"/>
      <w:numFmt w:val="lowerRoman"/>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493" w15:restartNumberingAfterBreak="0">
    <w:nsid w:val="7B0C426D"/>
    <w:multiLevelType w:val="hybridMultilevel"/>
    <w:tmpl w:val="BA76E2A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94" w15:restartNumberingAfterBreak="0">
    <w:nsid w:val="7BAF4328"/>
    <w:multiLevelType w:val="hybridMultilevel"/>
    <w:tmpl w:val="549A0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5" w15:restartNumberingAfterBreak="0">
    <w:nsid w:val="7BE43B61"/>
    <w:multiLevelType w:val="hybridMultilevel"/>
    <w:tmpl w:val="606446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6" w15:restartNumberingAfterBreak="0">
    <w:nsid w:val="7BEF4DB8"/>
    <w:multiLevelType w:val="hybridMultilevel"/>
    <w:tmpl w:val="BD784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7" w15:restartNumberingAfterBreak="0">
    <w:nsid w:val="7C191597"/>
    <w:multiLevelType w:val="hybridMultilevel"/>
    <w:tmpl w:val="F2FA10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7C8B4376"/>
    <w:multiLevelType w:val="hybridMultilevel"/>
    <w:tmpl w:val="9F0297C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99" w15:restartNumberingAfterBreak="0">
    <w:nsid w:val="7D0750C0"/>
    <w:multiLevelType w:val="multilevel"/>
    <w:tmpl w:val="6E844402"/>
    <w:styleLink w:val="Procedurebullet"/>
    <w:lvl w:ilvl="0">
      <w:start w:val="1"/>
      <w:numFmt w:val="bullet"/>
      <w:pStyle w:val="ParaDot"/>
      <w:lvlText w:val=""/>
      <w:lvlJc w:val="left"/>
      <w:pPr>
        <w:ind w:left="1429" w:hanging="360"/>
      </w:pPr>
      <w:rPr>
        <w:rFonts w:ascii="Symbol" w:hAnsi="Symbol"/>
        <w:color w:val="808080"/>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500" w15:restartNumberingAfterBreak="0">
    <w:nsid w:val="7D5B5CAD"/>
    <w:multiLevelType w:val="multilevel"/>
    <w:tmpl w:val="0B6C67EA"/>
    <w:styleLink w:val="Style1"/>
    <w:lvl w:ilvl="0">
      <w:start w:val="1"/>
      <w:numFmt w:val="bullet"/>
      <w:lvlText w:val=""/>
      <w:lvlJc w:val="left"/>
      <w:pPr>
        <w:ind w:left="360" w:hanging="360"/>
      </w:pPr>
      <w:rPr>
        <w:rFonts w:ascii="Wingdings" w:hAnsi="Wingdings" w:hint="default"/>
      </w:rPr>
    </w:lvl>
    <w:lvl w:ilvl="1">
      <w:start w:val="1"/>
      <w:numFmt w:val="bullet"/>
      <w:lvlText w:val=""/>
      <w:lvlJc w:val="left"/>
      <w:pPr>
        <w:ind w:left="567" w:hanging="283"/>
      </w:pPr>
      <w:rPr>
        <w:rFonts w:ascii="Wingdings" w:hAnsi="Wingdings" w:hint="default"/>
        <w:sz w:val="12"/>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1" w15:restartNumberingAfterBreak="0">
    <w:nsid w:val="7D707B79"/>
    <w:multiLevelType w:val="hybridMultilevel"/>
    <w:tmpl w:val="64522C0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2" w15:restartNumberingAfterBreak="0">
    <w:nsid w:val="7D8767CD"/>
    <w:multiLevelType w:val="hybridMultilevel"/>
    <w:tmpl w:val="1FC2D952"/>
    <w:lvl w:ilvl="0" w:tplc="4F5A8762">
      <w:start w:val="1"/>
      <w:numFmt w:val="bullet"/>
      <w:lvlText w:val=""/>
      <w:lvlJc w:val="left"/>
      <w:pPr>
        <w:ind w:left="567" w:firstLine="0"/>
      </w:pPr>
      <w:rPr>
        <w:rFonts w:ascii="Symbol" w:hAnsi="Symbol" w:hint="default"/>
      </w:rPr>
    </w:lvl>
    <w:lvl w:ilvl="1" w:tplc="C3007714">
      <w:start w:val="1"/>
      <w:numFmt w:val="bullet"/>
      <w:lvlText w:val="o"/>
      <w:lvlJc w:val="left"/>
      <w:pPr>
        <w:ind w:left="567" w:firstLine="567"/>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03" w15:restartNumberingAfterBreak="0">
    <w:nsid w:val="7D8F332E"/>
    <w:multiLevelType w:val="hybridMultilevel"/>
    <w:tmpl w:val="733A1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4" w15:restartNumberingAfterBreak="0">
    <w:nsid w:val="7DCD6F6A"/>
    <w:multiLevelType w:val="hybridMultilevel"/>
    <w:tmpl w:val="FCA60EB6"/>
    <w:lvl w:ilvl="0" w:tplc="0C090001">
      <w:start w:val="1"/>
      <w:numFmt w:val="bullet"/>
      <w:lvlText w:val=""/>
      <w:lvlJc w:val="left"/>
      <w:pPr>
        <w:ind w:left="764" w:hanging="360"/>
      </w:pPr>
      <w:rPr>
        <w:rFonts w:ascii="Symbol" w:hAnsi="Symbol" w:hint="default"/>
      </w:rPr>
    </w:lvl>
    <w:lvl w:ilvl="1" w:tplc="0C090003" w:tentative="1">
      <w:start w:val="1"/>
      <w:numFmt w:val="bullet"/>
      <w:lvlText w:val="o"/>
      <w:lvlJc w:val="left"/>
      <w:pPr>
        <w:ind w:left="1484" w:hanging="360"/>
      </w:pPr>
      <w:rPr>
        <w:rFonts w:ascii="Courier New" w:hAnsi="Courier New" w:cs="Courier New" w:hint="default"/>
      </w:rPr>
    </w:lvl>
    <w:lvl w:ilvl="2" w:tplc="0C090005" w:tentative="1">
      <w:start w:val="1"/>
      <w:numFmt w:val="bullet"/>
      <w:lvlText w:val=""/>
      <w:lvlJc w:val="left"/>
      <w:pPr>
        <w:ind w:left="2204" w:hanging="360"/>
      </w:pPr>
      <w:rPr>
        <w:rFonts w:ascii="Wingdings" w:hAnsi="Wingdings" w:hint="default"/>
      </w:rPr>
    </w:lvl>
    <w:lvl w:ilvl="3" w:tplc="0C090001" w:tentative="1">
      <w:start w:val="1"/>
      <w:numFmt w:val="bullet"/>
      <w:lvlText w:val=""/>
      <w:lvlJc w:val="left"/>
      <w:pPr>
        <w:ind w:left="2924" w:hanging="360"/>
      </w:pPr>
      <w:rPr>
        <w:rFonts w:ascii="Symbol" w:hAnsi="Symbol" w:hint="default"/>
      </w:rPr>
    </w:lvl>
    <w:lvl w:ilvl="4" w:tplc="0C090003" w:tentative="1">
      <w:start w:val="1"/>
      <w:numFmt w:val="bullet"/>
      <w:lvlText w:val="o"/>
      <w:lvlJc w:val="left"/>
      <w:pPr>
        <w:ind w:left="3644" w:hanging="360"/>
      </w:pPr>
      <w:rPr>
        <w:rFonts w:ascii="Courier New" w:hAnsi="Courier New" w:cs="Courier New" w:hint="default"/>
      </w:rPr>
    </w:lvl>
    <w:lvl w:ilvl="5" w:tplc="0C090005" w:tentative="1">
      <w:start w:val="1"/>
      <w:numFmt w:val="bullet"/>
      <w:lvlText w:val=""/>
      <w:lvlJc w:val="left"/>
      <w:pPr>
        <w:ind w:left="4364" w:hanging="360"/>
      </w:pPr>
      <w:rPr>
        <w:rFonts w:ascii="Wingdings" w:hAnsi="Wingdings" w:hint="default"/>
      </w:rPr>
    </w:lvl>
    <w:lvl w:ilvl="6" w:tplc="0C090001" w:tentative="1">
      <w:start w:val="1"/>
      <w:numFmt w:val="bullet"/>
      <w:lvlText w:val=""/>
      <w:lvlJc w:val="left"/>
      <w:pPr>
        <w:ind w:left="5084" w:hanging="360"/>
      </w:pPr>
      <w:rPr>
        <w:rFonts w:ascii="Symbol" w:hAnsi="Symbol" w:hint="default"/>
      </w:rPr>
    </w:lvl>
    <w:lvl w:ilvl="7" w:tplc="0C090003" w:tentative="1">
      <w:start w:val="1"/>
      <w:numFmt w:val="bullet"/>
      <w:lvlText w:val="o"/>
      <w:lvlJc w:val="left"/>
      <w:pPr>
        <w:ind w:left="5804" w:hanging="360"/>
      </w:pPr>
      <w:rPr>
        <w:rFonts w:ascii="Courier New" w:hAnsi="Courier New" w:cs="Courier New" w:hint="default"/>
      </w:rPr>
    </w:lvl>
    <w:lvl w:ilvl="8" w:tplc="0C090005" w:tentative="1">
      <w:start w:val="1"/>
      <w:numFmt w:val="bullet"/>
      <w:lvlText w:val=""/>
      <w:lvlJc w:val="left"/>
      <w:pPr>
        <w:ind w:left="6524" w:hanging="360"/>
      </w:pPr>
      <w:rPr>
        <w:rFonts w:ascii="Wingdings" w:hAnsi="Wingdings" w:hint="default"/>
      </w:rPr>
    </w:lvl>
  </w:abstractNum>
  <w:abstractNum w:abstractNumId="505" w15:restartNumberingAfterBreak="0">
    <w:nsid w:val="7E833EA9"/>
    <w:multiLevelType w:val="hybridMultilevel"/>
    <w:tmpl w:val="DE4E0792"/>
    <w:lvl w:ilvl="0" w:tplc="04090015">
      <w:start w:val="1"/>
      <w:numFmt w:val="upp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hint="default"/>
      </w:rPr>
    </w:lvl>
    <w:lvl w:ilvl="2" w:tplc="43F8EEBC">
      <w:start w:val="1"/>
      <w:numFmt w:val="upperRoman"/>
      <w:lvlText w:val="(%3)"/>
      <w:lvlJc w:val="left"/>
      <w:pPr>
        <w:ind w:left="2520" w:hanging="720"/>
      </w:pPr>
      <w:rPr>
        <w:rFonts w:hint="default"/>
      </w:rPr>
    </w:lvl>
    <w:lvl w:ilvl="3" w:tplc="C7BC288A">
      <w:start w:val="1"/>
      <w:numFmt w:val="decimal"/>
      <w:lvlText w:val="%4)"/>
      <w:lvlJc w:val="left"/>
      <w:pPr>
        <w:ind w:left="2880" w:hanging="360"/>
      </w:pPr>
      <w:rPr>
        <w:rFonts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6" w15:restartNumberingAfterBreak="0">
    <w:nsid w:val="7F2A54B0"/>
    <w:multiLevelType w:val="hybridMultilevel"/>
    <w:tmpl w:val="74B81F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7" w15:restartNumberingAfterBreak="0">
    <w:nsid w:val="7F3E2FDA"/>
    <w:multiLevelType w:val="hybridMultilevel"/>
    <w:tmpl w:val="FECC8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8" w15:restartNumberingAfterBreak="0">
    <w:nsid w:val="7F510FD9"/>
    <w:multiLevelType w:val="hybridMultilevel"/>
    <w:tmpl w:val="751E98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9" w15:restartNumberingAfterBreak="0">
    <w:nsid w:val="7F5700AC"/>
    <w:multiLevelType w:val="hybridMultilevel"/>
    <w:tmpl w:val="D04A2E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0" w15:restartNumberingAfterBreak="0">
    <w:nsid w:val="7FA65FA3"/>
    <w:multiLevelType w:val="hybridMultilevel"/>
    <w:tmpl w:val="8EC212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1" w15:restartNumberingAfterBreak="0">
    <w:nsid w:val="7FD44514"/>
    <w:multiLevelType w:val="multilevel"/>
    <w:tmpl w:val="3E300802"/>
    <w:lvl w:ilvl="0">
      <w:start w:val="1"/>
      <w:numFmt w:val="lowerLetter"/>
      <w:pStyle w:val="Listnum"/>
      <w:lvlText w:val="(%1)"/>
      <w:lvlJc w:val="left"/>
      <w:pPr>
        <w:tabs>
          <w:tab w:val="num" w:pos="360"/>
        </w:tabs>
        <w:ind w:left="360" w:hanging="360"/>
      </w:pPr>
      <w:rPr>
        <w:rFonts w:hint="default"/>
      </w:rPr>
    </w:lvl>
    <w:lvl w:ilvl="1">
      <w:start w:val="1"/>
      <w:numFmt w:val="lowerRoman"/>
      <w:pStyle w:val="Listnum2"/>
      <w:lvlText w:val="(%2)"/>
      <w:lvlJc w:val="left"/>
      <w:pPr>
        <w:tabs>
          <w:tab w:val="num" w:pos="864"/>
        </w:tabs>
        <w:ind w:left="720" w:hanging="360"/>
      </w:pPr>
      <w:rPr>
        <w:rFonts w:hint="default"/>
      </w:rPr>
    </w:lvl>
    <w:lvl w:ilvl="2">
      <w:start w:val="1"/>
      <w:numFmt w:val="decimal"/>
      <w:pStyle w:val="Heading1numbered"/>
      <w:lvlText w:val="%3."/>
      <w:lvlJc w:val="left"/>
      <w:pPr>
        <w:tabs>
          <w:tab w:val="num" w:pos="792"/>
        </w:tabs>
        <w:ind w:left="792" w:hanging="792"/>
      </w:pPr>
      <w:rPr>
        <w:rFonts w:hint="default"/>
      </w:rPr>
    </w:lvl>
    <w:lvl w:ilvl="3">
      <w:start w:val="1"/>
      <w:numFmt w:val="decimal"/>
      <w:pStyle w:val="Heading2numbered"/>
      <w:lvlText w:val="%3.%4"/>
      <w:lvlJc w:val="left"/>
      <w:pPr>
        <w:tabs>
          <w:tab w:val="num" w:pos="792"/>
        </w:tabs>
        <w:ind w:left="792" w:hanging="792"/>
      </w:pPr>
      <w:rPr>
        <w:rFonts w:hint="default"/>
      </w:rPr>
    </w:lvl>
    <w:lvl w:ilvl="4">
      <w:start w:val="1"/>
      <w:numFmt w:val="decimal"/>
      <w:lvlRestart w:val="1"/>
      <w:pStyle w:val="Heading3numbered"/>
      <w:lvlText w:val="%3.%4.%5"/>
      <w:lvlJc w:val="left"/>
      <w:pPr>
        <w:tabs>
          <w:tab w:val="num" w:pos="792"/>
        </w:tabs>
        <w:ind w:left="792" w:hanging="792"/>
      </w:pPr>
      <w:rPr>
        <w:rFonts w:hint="default"/>
      </w:rPr>
    </w:lvl>
    <w:lvl w:ilvl="5">
      <w:start w:val="1"/>
      <w:numFmt w:val="decimal"/>
      <w:pStyle w:val="Heading4numbered"/>
      <w:lvlText w:val="%3.%4.%5.%6"/>
      <w:lvlJc w:val="left"/>
      <w:pPr>
        <w:tabs>
          <w:tab w:val="num" w:pos="792"/>
        </w:tabs>
        <w:ind w:left="792" w:hanging="792"/>
      </w:pPr>
      <w:rPr>
        <w:rFonts w:hint="default"/>
      </w:rPr>
    </w:lvl>
    <w:lvl w:ilvl="6">
      <w:start w:val="1"/>
      <w:numFmt w:val="lowerLetter"/>
      <w:pStyle w:val="Listnumindent"/>
      <w:lvlText w:val="(%7)"/>
      <w:lvlJc w:val="left"/>
      <w:pPr>
        <w:tabs>
          <w:tab w:val="num" w:pos="1296"/>
        </w:tabs>
        <w:ind w:left="1296" w:hanging="504"/>
      </w:pPr>
      <w:rPr>
        <w:rFonts w:hint="default"/>
      </w:rPr>
    </w:lvl>
    <w:lvl w:ilvl="7">
      <w:start w:val="1"/>
      <w:numFmt w:val="lowerRoman"/>
      <w:pStyle w:val="Listnumindent2"/>
      <w:lvlText w:val="(%8)"/>
      <w:lvlJc w:val="left"/>
      <w:pPr>
        <w:tabs>
          <w:tab w:val="num" w:pos="1800"/>
        </w:tabs>
        <w:ind w:left="1800" w:hanging="504"/>
      </w:pPr>
      <w:rPr>
        <w:rFonts w:hint="default"/>
      </w:rPr>
    </w:lvl>
    <w:lvl w:ilvl="8">
      <w:start w:val="1"/>
      <w:numFmt w:val="decimal"/>
      <w:pStyle w:val="Numparaindent"/>
      <w:lvlText w:val="%9."/>
      <w:lvlJc w:val="left"/>
      <w:pPr>
        <w:tabs>
          <w:tab w:val="num" w:pos="1296"/>
        </w:tabs>
        <w:ind w:left="1296" w:hanging="504"/>
      </w:pPr>
      <w:rPr>
        <w:rFonts w:hint="default"/>
      </w:rPr>
    </w:lvl>
  </w:abstractNum>
  <w:num w:numId="1">
    <w:abstractNumId w:val="357"/>
  </w:num>
  <w:num w:numId="2">
    <w:abstractNumId w:val="128"/>
  </w:num>
  <w:num w:numId="3">
    <w:abstractNumId w:val="243"/>
  </w:num>
  <w:num w:numId="4">
    <w:abstractNumId w:val="8"/>
  </w:num>
  <w:num w:numId="5">
    <w:abstractNumId w:val="6"/>
  </w:num>
  <w:num w:numId="6">
    <w:abstractNumId w:val="7"/>
  </w:num>
  <w:num w:numId="7">
    <w:abstractNumId w:val="3"/>
  </w:num>
  <w:num w:numId="8">
    <w:abstractNumId w:val="2"/>
  </w:num>
  <w:num w:numId="9">
    <w:abstractNumId w:val="1"/>
  </w:num>
  <w:num w:numId="10">
    <w:abstractNumId w:val="0"/>
  </w:num>
  <w:num w:numId="11">
    <w:abstractNumId w:val="491"/>
  </w:num>
  <w:num w:numId="12">
    <w:abstractNumId w:val="156"/>
  </w:num>
  <w:num w:numId="13">
    <w:abstractNumId w:val="369"/>
  </w:num>
  <w:num w:numId="14">
    <w:abstractNumId w:val="297"/>
  </w:num>
  <w:num w:numId="15">
    <w:abstractNumId w:val="479"/>
  </w:num>
  <w:num w:numId="16">
    <w:abstractNumId w:val="26"/>
  </w:num>
  <w:num w:numId="17">
    <w:abstractNumId w:val="393"/>
  </w:num>
  <w:num w:numId="18">
    <w:abstractNumId w:val="232"/>
  </w:num>
  <w:num w:numId="19">
    <w:abstractNumId w:val="465"/>
  </w:num>
  <w:num w:numId="20">
    <w:abstractNumId w:val="377"/>
  </w:num>
  <w:num w:numId="21">
    <w:abstractNumId w:val="171"/>
  </w:num>
  <w:num w:numId="22">
    <w:abstractNumId w:val="163"/>
  </w:num>
  <w:num w:numId="23">
    <w:abstractNumId w:val="304"/>
  </w:num>
  <w:num w:numId="24">
    <w:abstractNumId w:val="154"/>
  </w:num>
  <w:num w:numId="25">
    <w:abstractNumId w:val="503"/>
  </w:num>
  <w:num w:numId="26">
    <w:abstractNumId w:val="118"/>
  </w:num>
  <w:num w:numId="27">
    <w:abstractNumId w:val="268"/>
  </w:num>
  <w:num w:numId="28">
    <w:abstractNumId w:val="219"/>
  </w:num>
  <w:num w:numId="29">
    <w:abstractNumId w:val="507"/>
  </w:num>
  <w:num w:numId="30">
    <w:abstractNumId w:val="269"/>
  </w:num>
  <w:num w:numId="31">
    <w:abstractNumId w:val="86"/>
  </w:num>
  <w:num w:numId="32">
    <w:abstractNumId w:val="92"/>
  </w:num>
  <w:num w:numId="33">
    <w:abstractNumId w:val="438"/>
  </w:num>
  <w:num w:numId="34">
    <w:abstractNumId w:val="259"/>
  </w:num>
  <w:num w:numId="35">
    <w:abstractNumId w:val="15"/>
  </w:num>
  <w:num w:numId="36">
    <w:abstractNumId w:val="367"/>
  </w:num>
  <w:num w:numId="37">
    <w:abstractNumId w:val="299"/>
  </w:num>
  <w:num w:numId="38">
    <w:abstractNumId w:val="233"/>
  </w:num>
  <w:num w:numId="39">
    <w:abstractNumId w:val="77"/>
  </w:num>
  <w:num w:numId="40">
    <w:abstractNumId w:val="494"/>
  </w:num>
  <w:num w:numId="41">
    <w:abstractNumId w:val="251"/>
  </w:num>
  <w:num w:numId="42">
    <w:abstractNumId w:val="35"/>
  </w:num>
  <w:num w:numId="43">
    <w:abstractNumId w:val="478"/>
  </w:num>
  <w:num w:numId="44">
    <w:abstractNumId w:val="498"/>
  </w:num>
  <w:num w:numId="45">
    <w:abstractNumId w:val="323"/>
  </w:num>
  <w:num w:numId="46">
    <w:abstractNumId w:val="11"/>
  </w:num>
  <w:num w:numId="47">
    <w:abstractNumId w:val="226"/>
  </w:num>
  <w:num w:numId="48">
    <w:abstractNumId w:val="114"/>
  </w:num>
  <w:num w:numId="49">
    <w:abstractNumId w:val="493"/>
  </w:num>
  <w:num w:numId="50">
    <w:abstractNumId w:val="44"/>
  </w:num>
  <w:num w:numId="51">
    <w:abstractNumId w:val="103"/>
  </w:num>
  <w:num w:numId="52">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71"/>
  </w:num>
  <w:num w:numId="54">
    <w:abstractNumId w:val="287"/>
  </w:num>
  <w:num w:numId="55">
    <w:abstractNumId w:val="286"/>
  </w:num>
  <w:num w:numId="56">
    <w:abstractNumId w:val="456"/>
  </w:num>
  <w:num w:numId="57">
    <w:abstractNumId w:val="404"/>
  </w:num>
  <w:num w:numId="58">
    <w:abstractNumId w:val="274"/>
  </w:num>
  <w:num w:numId="59">
    <w:abstractNumId w:val="62"/>
  </w:num>
  <w:num w:numId="60">
    <w:abstractNumId w:val="227"/>
  </w:num>
  <w:num w:numId="61">
    <w:abstractNumId w:val="58"/>
  </w:num>
  <w:num w:numId="62">
    <w:abstractNumId w:val="300"/>
  </w:num>
  <w:num w:numId="63">
    <w:abstractNumId w:val="475"/>
  </w:num>
  <w:num w:numId="64">
    <w:abstractNumId w:val="229"/>
  </w:num>
  <w:num w:numId="65">
    <w:abstractNumId w:val="95"/>
  </w:num>
  <w:num w:numId="66">
    <w:abstractNumId w:val="319"/>
  </w:num>
  <w:num w:numId="67">
    <w:abstractNumId w:val="244"/>
  </w:num>
  <w:num w:numId="68">
    <w:abstractNumId w:val="61"/>
  </w:num>
  <w:num w:numId="69">
    <w:abstractNumId w:val="104"/>
  </w:num>
  <w:num w:numId="70">
    <w:abstractNumId w:val="246"/>
  </w:num>
  <w:num w:numId="71">
    <w:abstractNumId w:val="183"/>
  </w:num>
  <w:num w:numId="72">
    <w:abstractNumId w:val="54"/>
  </w:num>
  <w:num w:numId="73">
    <w:abstractNumId w:val="235"/>
  </w:num>
  <w:num w:numId="74">
    <w:abstractNumId w:val="185"/>
  </w:num>
  <w:num w:numId="75">
    <w:abstractNumId w:val="264"/>
  </w:num>
  <w:num w:numId="76">
    <w:abstractNumId w:val="334"/>
  </w:num>
  <w:num w:numId="77">
    <w:abstractNumId w:val="400"/>
  </w:num>
  <w:num w:numId="78">
    <w:abstractNumId w:val="445"/>
  </w:num>
  <w:num w:numId="79">
    <w:abstractNumId w:val="49"/>
  </w:num>
  <w:num w:numId="80">
    <w:abstractNumId w:val="423"/>
  </w:num>
  <w:num w:numId="81">
    <w:abstractNumId w:val="209"/>
  </w:num>
  <w:num w:numId="82">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340"/>
  </w:num>
  <w:num w:numId="84">
    <w:abstractNumId w:val="398"/>
  </w:num>
  <w:num w:numId="85">
    <w:abstractNumId w:val="69"/>
  </w:num>
  <w:num w:numId="86">
    <w:abstractNumId w:val="447"/>
  </w:num>
  <w:num w:numId="87">
    <w:abstractNumId w:val="265"/>
  </w:num>
  <w:num w:numId="88">
    <w:abstractNumId w:val="205"/>
  </w:num>
  <w:num w:numId="89">
    <w:abstractNumId w:val="166"/>
  </w:num>
  <w:num w:numId="90">
    <w:abstractNumId w:val="152"/>
  </w:num>
  <w:num w:numId="91">
    <w:abstractNumId w:val="458"/>
  </w:num>
  <w:num w:numId="92">
    <w:abstractNumId w:val="413"/>
  </w:num>
  <w:num w:numId="93">
    <w:abstractNumId w:val="33"/>
  </w:num>
  <w:num w:numId="94">
    <w:abstractNumId w:val="311"/>
  </w:num>
  <w:num w:numId="95">
    <w:abstractNumId w:val="408"/>
  </w:num>
  <w:num w:numId="96">
    <w:abstractNumId w:val="488"/>
  </w:num>
  <w:num w:numId="97">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372"/>
  </w:num>
  <w:num w:numId="100">
    <w:abstractNumId w:val="315"/>
  </w:num>
  <w:num w:numId="101">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260"/>
  </w:num>
  <w:num w:numId="103">
    <w:abstractNumId w:val="150"/>
  </w:num>
  <w:num w:numId="104">
    <w:abstractNumId w:val="263"/>
  </w:num>
  <w:num w:numId="105">
    <w:abstractNumId w:val="175"/>
  </w:num>
  <w:num w:numId="106">
    <w:abstractNumId w:val="441"/>
  </w:num>
  <w:num w:numId="107">
    <w:abstractNumId w:val="511"/>
  </w:num>
  <w:num w:numId="108">
    <w:abstractNumId w:val="41"/>
  </w:num>
  <w:num w:numId="109">
    <w:abstractNumId w:val="495"/>
  </w:num>
  <w:num w:numId="110">
    <w:abstractNumId w:val="394"/>
  </w:num>
  <w:num w:numId="111">
    <w:abstractNumId w:val="412"/>
  </w:num>
  <w:num w:numId="112">
    <w:abstractNumId w:val="371"/>
  </w:num>
  <w:num w:numId="113">
    <w:abstractNumId w:val="222"/>
  </w:num>
  <w:num w:numId="114">
    <w:abstractNumId w:val="496"/>
  </w:num>
  <w:num w:numId="115">
    <w:abstractNumId w:val="505"/>
  </w:num>
  <w:num w:numId="116">
    <w:abstractNumId w:val="403"/>
  </w:num>
  <w:num w:numId="117">
    <w:abstractNumId w:val="247"/>
  </w:num>
  <w:num w:numId="118">
    <w:abstractNumId w:val="346"/>
  </w:num>
  <w:num w:numId="119">
    <w:abstractNumId w:val="499"/>
  </w:num>
  <w:num w:numId="120">
    <w:abstractNumId w:val="176"/>
  </w:num>
  <w:num w:numId="121">
    <w:abstractNumId w:val="5"/>
  </w:num>
  <w:num w:numId="122">
    <w:abstractNumId w:val="4"/>
  </w:num>
  <w:num w:numId="123">
    <w:abstractNumId w:val="425"/>
  </w:num>
  <w:num w:numId="124">
    <w:abstractNumId w:val="178"/>
  </w:num>
  <w:num w:numId="125">
    <w:abstractNumId w:val="195"/>
  </w:num>
  <w:num w:numId="126">
    <w:abstractNumId w:val="327"/>
  </w:num>
  <w:num w:numId="127">
    <w:abstractNumId w:val="172"/>
  </w:num>
  <w:num w:numId="128">
    <w:abstractNumId w:val="16"/>
  </w:num>
  <w:num w:numId="129">
    <w:abstractNumId w:val="25"/>
  </w:num>
  <w:num w:numId="130">
    <w:abstractNumId w:val="337"/>
  </w:num>
  <w:num w:numId="131">
    <w:abstractNumId w:val="279"/>
  </w:num>
  <w:num w:numId="132">
    <w:abstractNumId w:val="360"/>
  </w:num>
  <w:num w:numId="133">
    <w:abstractNumId w:val="173"/>
  </w:num>
  <w:num w:numId="134">
    <w:abstractNumId w:val="144"/>
  </w:num>
  <w:num w:numId="135">
    <w:abstractNumId w:val="239"/>
  </w:num>
  <w:num w:numId="136">
    <w:abstractNumId w:val="52"/>
  </w:num>
  <w:num w:numId="137">
    <w:abstractNumId w:val="406"/>
  </w:num>
  <w:num w:numId="138">
    <w:abstractNumId w:val="293"/>
  </w:num>
  <w:num w:numId="139">
    <w:abstractNumId w:val="132"/>
  </w:num>
  <w:num w:numId="140">
    <w:abstractNumId w:val="23"/>
  </w:num>
  <w:num w:numId="141">
    <w:abstractNumId w:val="415"/>
  </w:num>
  <w:num w:numId="142">
    <w:abstractNumId w:val="418"/>
  </w:num>
  <w:num w:numId="143">
    <w:abstractNumId w:val="230"/>
  </w:num>
  <w:num w:numId="144">
    <w:abstractNumId w:val="79"/>
  </w:num>
  <w:num w:numId="145">
    <w:abstractNumId w:val="145"/>
  </w:num>
  <w:num w:numId="146">
    <w:abstractNumId w:val="500"/>
  </w:num>
  <w:num w:numId="147">
    <w:abstractNumId w:val="168"/>
  </w:num>
  <w:num w:numId="148">
    <w:abstractNumId w:val="50"/>
  </w:num>
  <w:num w:numId="149">
    <w:abstractNumId w:val="490"/>
  </w:num>
  <w:num w:numId="150">
    <w:abstractNumId w:val="110"/>
  </w:num>
  <w:num w:numId="151">
    <w:abstractNumId w:val="270"/>
  </w:num>
  <w:num w:numId="152">
    <w:abstractNumId w:val="208"/>
  </w:num>
  <w:num w:numId="153">
    <w:abstractNumId w:val="450"/>
  </w:num>
  <w:num w:numId="154">
    <w:abstractNumId w:val="332"/>
  </w:num>
  <w:num w:numId="155">
    <w:abstractNumId w:val="19"/>
  </w:num>
  <w:num w:numId="156">
    <w:abstractNumId w:val="474"/>
  </w:num>
  <w:num w:numId="157">
    <w:abstractNumId w:val="359"/>
  </w:num>
  <w:num w:numId="158">
    <w:abstractNumId w:val="487"/>
  </w:num>
  <w:num w:numId="159">
    <w:abstractNumId w:val="442"/>
  </w:num>
  <w:num w:numId="160">
    <w:abstractNumId w:val="137"/>
  </w:num>
  <w:num w:numId="161">
    <w:abstractNumId w:val="234"/>
  </w:num>
  <w:num w:numId="162">
    <w:abstractNumId w:val="289"/>
  </w:num>
  <w:num w:numId="163">
    <w:abstractNumId w:val="20"/>
  </w:num>
  <w:num w:numId="164">
    <w:abstractNumId w:val="452"/>
  </w:num>
  <w:num w:numId="165">
    <w:abstractNumId w:val="182"/>
  </w:num>
  <w:num w:numId="166">
    <w:abstractNumId w:val="18"/>
  </w:num>
  <w:num w:numId="167">
    <w:abstractNumId w:val="351"/>
  </w:num>
  <w:num w:numId="168">
    <w:abstractNumId w:val="123"/>
  </w:num>
  <w:num w:numId="169">
    <w:abstractNumId w:val="141"/>
  </w:num>
  <w:num w:numId="170">
    <w:abstractNumId w:val="218"/>
  </w:num>
  <w:num w:numId="171">
    <w:abstractNumId w:val="480"/>
  </w:num>
  <w:num w:numId="172">
    <w:abstractNumId w:val="120"/>
  </w:num>
  <w:num w:numId="173">
    <w:abstractNumId w:val="113"/>
  </w:num>
  <w:num w:numId="174">
    <w:abstractNumId w:val="272"/>
  </w:num>
  <w:num w:numId="175">
    <w:abstractNumId w:val="212"/>
  </w:num>
  <w:num w:numId="176">
    <w:abstractNumId w:val="237"/>
  </w:num>
  <w:num w:numId="177">
    <w:abstractNumId w:val="421"/>
  </w:num>
  <w:num w:numId="178">
    <w:abstractNumId w:val="215"/>
  </w:num>
  <w:num w:numId="179">
    <w:abstractNumId w:val="310"/>
  </w:num>
  <w:num w:numId="180">
    <w:abstractNumId w:val="405"/>
  </w:num>
  <w:num w:numId="181">
    <w:abstractNumId w:val="365"/>
  </w:num>
  <w:num w:numId="182">
    <w:abstractNumId w:val="390"/>
  </w:num>
  <w:num w:numId="183">
    <w:abstractNumId w:val="296"/>
  </w:num>
  <w:num w:numId="184">
    <w:abstractNumId w:val="75"/>
  </w:num>
  <w:num w:numId="185">
    <w:abstractNumId w:val="451"/>
  </w:num>
  <w:num w:numId="186">
    <w:abstractNumId w:val="236"/>
  </w:num>
  <w:num w:numId="187">
    <w:abstractNumId w:val="459"/>
  </w:num>
  <w:num w:numId="188">
    <w:abstractNumId w:val="420"/>
  </w:num>
  <w:num w:numId="189">
    <w:abstractNumId w:val="67"/>
  </w:num>
  <w:num w:numId="190">
    <w:abstractNumId w:val="303"/>
  </w:num>
  <w:num w:numId="191">
    <w:abstractNumId w:val="55"/>
  </w:num>
  <w:num w:numId="192">
    <w:abstractNumId w:val="386"/>
  </w:num>
  <w:num w:numId="193">
    <w:abstractNumId w:val="436"/>
  </w:num>
  <w:num w:numId="194">
    <w:abstractNumId w:val="87"/>
  </w:num>
  <w:num w:numId="195">
    <w:abstractNumId w:val="329"/>
  </w:num>
  <w:num w:numId="196">
    <w:abstractNumId w:val="305"/>
  </w:num>
  <w:num w:numId="197">
    <w:abstractNumId w:val="486"/>
  </w:num>
  <w:num w:numId="198">
    <w:abstractNumId w:val="90"/>
  </w:num>
  <w:num w:numId="199">
    <w:abstractNumId w:val="135"/>
  </w:num>
  <w:num w:numId="200">
    <w:abstractNumId w:val="292"/>
  </w:num>
  <w:num w:numId="201">
    <w:abstractNumId w:val="277"/>
  </w:num>
  <w:num w:numId="202">
    <w:abstractNumId w:val="191"/>
  </w:num>
  <w:num w:numId="203">
    <w:abstractNumId w:val="38"/>
  </w:num>
  <w:num w:numId="204">
    <w:abstractNumId w:val="228"/>
  </w:num>
  <w:num w:numId="205">
    <w:abstractNumId w:val="467"/>
  </w:num>
  <w:num w:numId="206">
    <w:abstractNumId w:val="100"/>
  </w:num>
  <w:num w:numId="207">
    <w:abstractNumId w:val="357"/>
  </w:num>
  <w:num w:numId="208">
    <w:abstractNumId w:val="188"/>
  </w:num>
  <w:num w:numId="209">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40"/>
  </w:num>
  <w:num w:numId="211">
    <w:abstractNumId w:val="170"/>
  </w:num>
  <w:num w:numId="212">
    <w:abstractNumId w:val="85"/>
  </w:num>
  <w:num w:numId="213">
    <w:abstractNumId w:val="186"/>
  </w:num>
  <w:num w:numId="214">
    <w:abstractNumId w:val="240"/>
  </w:num>
  <w:num w:numId="215">
    <w:abstractNumId w:val="492"/>
  </w:num>
  <w:num w:numId="216">
    <w:abstractNumId w:val="381"/>
  </w:num>
  <w:num w:numId="217">
    <w:abstractNumId w:val="66"/>
  </w:num>
  <w:num w:numId="218">
    <w:abstractNumId w:val="317"/>
  </w:num>
  <w:num w:numId="219">
    <w:abstractNumId w:val="159"/>
  </w:num>
  <w:num w:numId="220">
    <w:abstractNumId w:val="429"/>
  </w:num>
  <w:num w:numId="221">
    <w:abstractNumId w:val="342"/>
  </w:num>
  <w:num w:numId="222">
    <w:abstractNumId w:val="147"/>
  </w:num>
  <w:num w:numId="223">
    <w:abstractNumId w:val="73"/>
  </w:num>
  <w:num w:numId="224">
    <w:abstractNumId w:val="242"/>
  </w:num>
  <w:num w:numId="225">
    <w:abstractNumId w:val="273"/>
  </w:num>
  <w:num w:numId="226">
    <w:abstractNumId w:val="375"/>
  </w:num>
  <w:num w:numId="227">
    <w:abstractNumId w:val="388"/>
  </w:num>
  <w:num w:numId="228">
    <w:abstractNumId w:val="417"/>
  </w:num>
  <w:num w:numId="229">
    <w:abstractNumId w:val="463"/>
  </w:num>
  <w:num w:numId="230">
    <w:abstractNumId w:val="14"/>
  </w:num>
  <w:num w:numId="231">
    <w:abstractNumId w:val="151"/>
  </w:num>
  <w:num w:numId="232">
    <w:abstractNumId w:val="162"/>
  </w:num>
  <w:num w:numId="233">
    <w:abstractNumId w:val="433"/>
  </w:num>
  <w:num w:numId="234">
    <w:abstractNumId w:val="344"/>
  </w:num>
  <w:num w:numId="235">
    <w:abstractNumId w:val="383"/>
  </w:num>
  <w:num w:numId="236">
    <w:abstractNumId w:val="313"/>
  </w:num>
  <w:num w:numId="237">
    <w:abstractNumId w:val="373"/>
  </w:num>
  <w:num w:numId="238">
    <w:abstractNumId w:val="217"/>
  </w:num>
  <w:num w:numId="239">
    <w:abstractNumId w:val="32"/>
  </w:num>
  <w:num w:numId="240">
    <w:abstractNumId w:val="266"/>
  </w:num>
  <w:num w:numId="241">
    <w:abstractNumId w:val="149"/>
  </w:num>
  <w:num w:numId="242">
    <w:abstractNumId w:val="127"/>
  </w:num>
  <w:num w:numId="243">
    <w:abstractNumId w:val="454"/>
  </w:num>
  <w:num w:numId="244">
    <w:abstractNumId w:val="74"/>
  </w:num>
  <w:num w:numId="245">
    <w:abstractNumId w:val="37"/>
  </w:num>
  <w:num w:numId="246">
    <w:abstractNumId w:val="76"/>
  </w:num>
  <w:num w:numId="247">
    <w:abstractNumId w:val="284"/>
  </w:num>
  <w:num w:numId="248">
    <w:abstractNumId w:val="116"/>
  </w:num>
  <w:num w:numId="249">
    <w:abstractNumId w:val="379"/>
  </w:num>
  <w:num w:numId="250">
    <w:abstractNumId w:val="255"/>
  </w:num>
  <w:num w:numId="251">
    <w:abstractNumId w:val="72"/>
  </w:num>
  <w:num w:numId="252">
    <w:abstractNumId w:val="484"/>
  </w:num>
  <w:num w:numId="253">
    <w:abstractNumId w:val="312"/>
  </w:num>
  <w:num w:numId="254">
    <w:abstractNumId w:val="402"/>
  </w:num>
  <w:num w:numId="255">
    <w:abstractNumId w:val="96"/>
  </w:num>
  <w:num w:numId="256">
    <w:abstractNumId w:val="446"/>
  </w:num>
  <w:num w:numId="257">
    <w:abstractNumId w:val="238"/>
  </w:num>
  <w:num w:numId="258">
    <w:abstractNumId w:val="78"/>
  </w:num>
  <w:num w:numId="259">
    <w:abstractNumId w:val="190"/>
  </w:num>
  <w:num w:numId="260">
    <w:abstractNumId w:val="146"/>
  </w:num>
  <w:num w:numId="261">
    <w:abstractNumId w:val="91"/>
  </w:num>
  <w:num w:numId="262">
    <w:abstractNumId w:val="267"/>
  </w:num>
  <w:num w:numId="263">
    <w:abstractNumId w:val="106"/>
  </w:num>
  <w:num w:numId="264">
    <w:abstractNumId w:val="80"/>
  </w:num>
  <w:num w:numId="265">
    <w:abstractNumId w:val="366"/>
  </w:num>
  <w:num w:numId="266">
    <w:abstractNumId w:val="370"/>
  </w:num>
  <w:num w:numId="267">
    <w:abstractNumId w:val="345"/>
  </w:num>
  <w:num w:numId="268">
    <w:abstractNumId w:val="437"/>
  </w:num>
  <w:num w:numId="269">
    <w:abstractNumId w:val="148"/>
  </w:num>
  <w:num w:numId="270">
    <w:abstractNumId w:val="108"/>
  </w:num>
  <w:num w:numId="271">
    <w:abstractNumId w:val="143"/>
  </w:num>
  <w:num w:numId="272">
    <w:abstractNumId w:val="431"/>
  </w:num>
  <w:num w:numId="273">
    <w:abstractNumId w:val="29"/>
  </w:num>
  <w:num w:numId="274">
    <w:abstractNumId w:val="350"/>
  </w:num>
  <w:num w:numId="275">
    <w:abstractNumId w:val="256"/>
  </w:num>
  <w:num w:numId="276">
    <w:abstractNumId w:val="250"/>
  </w:num>
  <w:num w:numId="277">
    <w:abstractNumId w:val="472"/>
  </w:num>
  <w:num w:numId="278">
    <w:abstractNumId w:val="167"/>
  </w:num>
  <w:num w:numId="279">
    <w:abstractNumId w:val="324"/>
  </w:num>
  <w:num w:numId="280">
    <w:abstractNumId w:val="302"/>
  </w:num>
  <w:num w:numId="281">
    <w:abstractNumId w:val="140"/>
  </w:num>
  <w:num w:numId="282">
    <w:abstractNumId w:val="51"/>
  </w:num>
  <w:num w:numId="283">
    <w:abstractNumId w:val="124"/>
  </w:num>
  <w:num w:numId="284">
    <w:abstractNumId w:val="362"/>
  </w:num>
  <w:num w:numId="285">
    <w:abstractNumId w:val="203"/>
  </w:num>
  <w:num w:numId="286">
    <w:abstractNumId w:val="374"/>
  </w:num>
  <w:num w:numId="287">
    <w:abstractNumId w:val="199"/>
  </w:num>
  <w:num w:numId="288">
    <w:abstractNumId w:val="70"/>
  </w:num>
  <w:num w:numId="289">
    <w:abstractNumId w:val="502"/>
  </w:num>
  <w:num w:numId="290">
    <w:abstractNumId w:val="392"/>
  </w:num>
  <w:num w:numId="291">
    <w:abstractNumId w:val="53"/>
  </w:num>
  <w:num w:numId="292">
    <w:abstractNumId w:val="357"/>
  </w:num>
  <w:num w:numId="293">
    <w:abstractNumId w:val="326"/>
  </w:num>
  <w:num w:numId="294">
    <w:abstractNumId w:val="288"/>
  </w:num>
  <w:num w:numId="295">
    <w:abstractNumId w:val="200"/>
  </w:num>
  <w:num w:numId="296">
    <w:abstractNumId w:val="295"/>
  </w:num>
  <w:num w:numId="297">
    <w:abstractNumId w:val="133"/>
  </w:num>
  <w:num w:numId="298">
    <w:abstractNumId w:val="139"/>
  </w:num>
  <w:num w:numId="299">
    <w:abstractNumId w:val="164"/>
  </w:num>
  <w:num w:numId="300">
    <w:abstractNumId w:val="384"/>
  </w:num>
  <w:num w:numId="301">
    <w:abstractNumId w:val="179"/>
  </w:num>
  <w:num w:numId="302">
    <w:abstractNumId w:val="356"/>
  </w:num>
  <w:num w:numId="303">
    <w:abstractNumId w:val="414"/>
  </w:num>
  <w:num w:numId="304">
    <w:abstractNumId w:val="434"/>
  </w:num>
  <w:num w:numId="305">
    <w:abstractNumId w:val="424"/>
  </w:num>
  <w:num w:numId="306">
    <w:abstractNumId w:val="227"/>
  </w:num>
  <w:num w:numId="307">
    <w:abstractNumId w:val="158"/>
  </w:num>
  <w:num w:numId="308">
    <w:abstractNumId w:val="107"/>
  </w:num>
  <w:num w:numId="309">
    <w:abstractNumId w:val="397"/>
  </w:num>
  <w:num w:numId="310">
    <w:abstractNumId w:val="169"/>
  </w:num>
  <w:num w:numId="311">
    <w:abstractNumId w:val="224"/>
  </w:num>
  <w:num w:numId="312">
    <w:abstractNumId w:val="357"/>
  </w:num>
  <w:num w:numId="313">
    <w:abstractNumId w:val="357"/>
  </w:num>
  <w:num w:numId="314">
    <w:abstractNumId w:val="357"/>
  </w:num>
  <w:num w:numId="315">
    <w:abstractNumId w:val="357"/>
  </w:num>
  <w:num w:numId="316">
    <w:abstractNumId w:val="357"/>
  </w:num>
  <w:num w:numId="317">
    <w:abstractNumId w:val="357"/>
  </w:num>
  <w:num w:numId="318">
    <w:abstractNumId w:val="357"/>
  </w:num>
  <w:num w:numId="319">
    <w:abstractNumId w:val="357"/>
  </w:num>
  <w:num w:numId="320">
    <w:abstractNumId w:val="357"/>
  </w:num>
  <w:num w:numId="321">
    <w:abstractNumId w:val="2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294"/>
  </w:num>
  <w:num w:numId="323">
    <w:abstractNumId w:val="43"/>
  </w:num>
  <w:num w:numId="324">
    <w:abstractNumId w:val="440"/>
  </w:num>
  <w:num w:numId="325">
    <w:abstractNumId w:val="125"/>
  </w:num>
  <w:num w:numId="326">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357"/>
  </w:num>
  <w:num w:numId="328">
    <w:abstractNumId w:val="357"/>
  </w:num>
  <w:num w:numId="329">
    <w:abstractNumId w:val="357"/>
  </w:num>
  <w:num w:numId="330">
    <w:abstractNumId w:val="357"/>
  </w:num>
  <w:num w:numId="331">
    <w:abstractNumId w:val="357"/>
  </w:num>
  <w:num w:numId="332">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395"/>
  </w:num>
  <w:num w:numId="335">
    <w:abstractNumId w:val="157"/>
  </w:num>
  <w:num w:numId="336">
    <w:abstractNumId w:val="357"/>
  </w:num>
  <w:num w:numId="337">
    <w:abstractNumId w:val="357"/>
  </w:num>
  <w:num w:numId="338">
    <w:abstractNumId w:val="455"/>
  </w:num>
  <w:num w:numId="339">
    <w:abstractNumId w:val="109"/>
  </w:num>
  <w:num w:numId="340">
    <w:abstractNumId w:val="473"/>
  </w:num>
  <w:num w:numId="341">
    <w:abstractNumId w:val="422"/>
  </w:num>
  <w:num w:numId="342">
    <w:abstractNumId w:val="321"/>
  </w:num>
  <w:num w:numId="343">
    <w:abstractNumId w:val="99"/>
  </w:num>
  <w:num w:numId="344">
    <w:abstractNumId w:val="466"/>
  </w:num>
  <w:num w:numId="345">
    <w:abstractNumId w:val="39"/>
  </w:num>
  <w:num w:numId="346">
    <w:abstractNumId w:val="59"/>
  </w:num>
  <w:num w:numId="347">
    <w:abstractNumId w:val="510"/>
  </w:num>
  <w:num w:numId="348">
    <w:abstractNumId w:val="357"/>
  </w:num>
  <w:num w:numId="349">
    <w:abstractNumId w:val="301"/>
  </w:num>
  <w:num w:numId="350">
    <w:abstractNumId w:val="385"/>
  </w:num>
  <w:num w:numId="351">
    <w:abstractNumId w:val="130"/>
  </w:num>
  <w:num w:numId="352">
    <w:abstractNumId w:val="501"/>
  </w:num>
  <w:num w:numId="353">
    <w:abstractNumId w:val="391"/>
  </w:num>
  <w:num w:numId="354">
    <w:abstractNumId w:val="275"/>
  </w:num>
  <w:num w:numId="355">
    <w:abstractNumId w:val="399"/>
  </w:num>
  <w:num w:numId="356">
    <w:abstractNumId w:val="411"/>
  </w:num>
  <w:num w:numId="357">
    <w:abstractNumId w:val="227"/>
  </w:num>
  <w:num w:numId="358">
    <w:abstractNumId w:val="27"/>
  </w:num>
  <w:num w:numId="359">
    <w:abstractNumId w:val="241"/>
  </w:num>
  <w:num w:numId="360">
    <w:abstractNumId w:val="343"/>
  </w:num>
  <w:num w:numId="361">
    <w:abstractNumId w:val="21"/>
  </w:num>
  <w:num w:numId="362">
    <w:abstractNumId w:val="119"/>
  </w:num>
  <w:num w:numId="363">
    <w:abstractNumId w:val="105"/>
  </w:num>
  <w:num w:numId="364">
    <w:abstractNumId w:val="291"/>
  </w:num>
  <w:num w:numId="365">
    <w:abstractNumId w:val="419"/>
  </w:num>
  <w:num w:numId="366">
    <w:abstractNumId w:val="357"/>
  </w:num>
  <w:num w:numId="367">
    <w:abstractNumId w:val="357"/>
  </w:num>
  <w:num w:numId="368">
    <w:abstractNumId w:val="357"/>
  </w:num>
  <w:num w:numId="369">
    <w:abstractNumId w:val="357"/>
  </w:num>
  <w:num w:numId="370">
    <w:abstractNumId w:val="357"/>
  </w:num>
  <w:num w:numId="371">
    <w:abstractNumId w:val="357"/>
  </w:num>
  <w:num w:numId="372">
    <w:abstractNumId w:val="357"/>
  </w:num>
  <w:num w:numId="373">
    <w:abstractNumId w:val="357"/>
  </w:num>
  <w:num w:numId="374">
    <w:abstractNumId w:val="357"/>
  </w:num>
  <w:num w:numId="375">
    <w:abstractNumId w:val="357"/>
  </w:num>
  <w:num w:numId="376">
    <w:abstractNumId w:val="357"/>
  </w:num>
  <w:num w:numId="377">
    <w:abstractNumId w:val="357"/>
  </w:num>
  <w:num w:numId="378">
    <w:abstractNumId w:val="68"/>
  </w:num>
  <w:num w:numId="379">
    <w:abstractNumId w:val="254"/>
  </w:num>
  <w:num w:numId="380">
    <w:abstractNumId w:val="285"/>
  </w:num>
  <w:num w:numId="381">
    <w:abstractNumId w:val="101"/>
  </w:num>
  <w:num w:numId="382">
    <w:abstractNumId w:val="221"/>
  </w:num>
  <w:num w:numId="383">
    <w:abstractNumId w:val="401"/>
  </w:num>
  <w:num w:numId="384">
    <w:abstractNumId w:val="165"/>
  </w:num>
  <w:num w:numId="385">
    <w:abstractNumId w:val="211"/>
  </w:num>
  <w:num w:numId="386">
    <w:abstractNumId w:val="462"/>
  </w:num>
  <w:num w:numId="387">
    <w:abstractNumId w:val="276"/>
  </w:num>
  <w:num w:numId="388">
    <w:abstractNumId w:val="464"/>
  </w:num>
  <w:num w:numId="389">
    <w:abstractNumId w:val="207"/>
  </w:num>
  <w:num w:numId="390">
    <w:abstractNumId w:val="180"/>
  </w:num>
  <w:num w:numId="391">
    <w:abstractNumId w:val="497"/>
  </w:num>
  <w:num w:numId="392">
    <w:abstractNumId w:val="201"/>
  </w:num>
  <w:num w:numId="393">
    <w:abstractNumId w:val="245"/>
  </w:num>
  <w:num w:numId="394">
    <w:abstractNumId w:val="223"/>
  </w:num>
  <w:num w:numId="395">
    <w:abstractNumId w:val="281"/>
  </w:num>
  <w:num w:numId="396">
    <w:abstractNumId w:val="111"/>
  </w:num>
  <w:num w:numId="397">
    <w:abstractNumId w:val="83"/>
  </w:num>
  <w:num w:numId="398">
    <w:abstractNumId w:val="97"/>
  </w:num>
  <w:num w:numId="399">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283"/>
  </w:num>
  <w:num w:numId="401">
    <w:abstractNumId w:val="444"/>
  </w:num>
  <w:num w:numId="402">
    <w:abstractNumId w:val="508"/>
  </w:num>
  <w:num w:numId="403">
    <w:abstractNumId w:val="184"/>
  </w:num>
  <w:num w:numId="404">
    <w:abstractNumId w:val="352"/>
  </w:num>
  <w:num w:numId="405">
    <w:abstractNumId w:val="364"/>
  </w:num>
  <w:num w:numId="406">
    <w:abstractNumId w:val="430"/>
  </w:num>
  <w:num w:numId="407">
    <w:abstractNumId w:val="485"/>
  </w:num>
  <w:num w:numId="408">
    <w:abstractNumId w:val="206"/>
  </w:num>
  <w:num w:numId="409">
    <w:abstractNumId w:val="22"/>
  </w:num>
  <w:num w:numId="410">
    <w:abstractNumId w:val="449"/>
  </w:num>
  <w:num w:numId="411">
    <w:abstractNumId w:val="325"/>
  </w:num>
  <w:num w:numId="412">
    <w:abstractNumId w:val="198"/>
  </w:num>
  <w:num w:numId="413">
    <w:abstractNumId w:val="328"/>
  </w:num>
  <w:num w:numId="414">
    <w:abstractNumId w:val="10"/>
  </w:num>
  <w:num w:numId="415">
    <w:abstractNumId w:val="64"/>
  </w:num>
  <w:num w:numId="416">
    <w:abstractNumId w:val="192"/>
  </w:num>
  <w:num w:numId="417">
    <w:abstractNumId w:val="71"/>
  </w:num>
  <w:num w:numId="418">
    <w:abstractNumId w:val="126"/>
  </w:num>
  <w:num w:numId="419">
    <w:abstractNumId w:val="262"/>
  </w:num>
  <w:num w:numId="420">
    <w:abstractNumId w:val="307"/>
  </w:num>
  <w:num w:numId="421">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2">
    <w:abstractNumId w:val="181"/>
  </w:num>
  <w:num w:numId="423">
    <w:abstractNumId w:val="36"/>
  </w:num>
  <w:num w:numId="424">
    <w:abstractNumId w:val="416"/>
  </w:num>
  <w:num w:numId="425">
    <w:abstractNumId w:val="361"/>
  </w:num>
  <w:num w:numId="426">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7">
    <w:abstractNumId w:val="336"/>
  </w:num>
  <w:num w:numId="428">
    <w:abstractNumId w:val="252"/>
  </w:num>
  <w:num w:numId="429">
    <w:abstractNumId w:val="227"/>
  </w:num>
  <w:num w:numId="430">
    <w:abstractNumId w:val="121"/>
  </w:num>
  <w:num w:numId="431">
    <w:abstractNumId w:val="214"/>
  </w:num>
  <w:num w:numId="432">
    <w:abstractNumId w:val="142"/>
  </w:num>
  <w:num w:numId="433">
    <w:abstractNumId w:val="48"/>
  </w:num>
  <w:num w:numId="434">
    <w:abstractNumId w:val="280"/>
  </w:num>
  <w:num w:numId="435">
    <w:abstractNumId w:val="308"/>
  </w:num>
  <w:num w:numId="436">
    <w:abstractNumId w:val="309"/>
  </w:num>
  <w:num w:numId="437">
    <w:abstractNumId w:val="129"/>
  </w:num>
  <w:num w:numId="438">
    <w:abstractNumId w:val="193"/>
  </w:num>
  <w:num w:numId="439">
    <w:abstractNumId w:val="278"/>
  </w:num>
  <w:num w:numId="440">
    <w:abstractNumId w:val="357"/>
  </w:num>
  <w:num w:numId="441">
    <w:abstractNumId w:val="357"/>
  </w:num>
  <w:num w:numId="442">
    <w:abstractNumId w:val="357"/>
  </w:num>
  <w:num w:numId="443">
    <w:abstractNumId w:val="47"/>
  </w:num>
  <w:num w:numId="444">
    <w:abstractNumId w:val="81"/>
  </w:num>
  <w:num w:numId="445">
    <w:abstractNumId w:val="349"/>
  </w:num>
  <w:num w:numId="446">
    <w:abstractNumId w:val="469"/>
  </w:num>
  <w:num w:numId="447">
    <w:abstractNumId w:val="387"/>
  </w:num>
  <w:num w:numId="448">
    <w:abstractNumId w:val="357"/>
  </w:num>
  <w:num w:numId="449">
    <w:abstractNumId w:val="202"/>
  </w:num>
  <w:num w:numId="450">
    <w:abstractNumId w:val="407"/>
  </w:num>
  <w:num w:numId="451">
    <w:abstractNumId w:val="160"/>
  </w:num>
  <w:num w:numId="452">
    <w:abstractNumId w:val="410"/>
  </w:num>
  <w:num w:numId="453">
    <w:abstractNumId w:val="330"/>
  </w:num>
  <w:num w:numId="454">
    <w:abstractNumId w:val="427"/>
  </w:num>
  <w:num w:numId="455">
    <w:abstractNumId w:val="338"/>
  </w:num>
  <w:num w:numId="456">
    <w:abstractNumId w:val="376"/>
  </w:num>
  <w:num w:numId="457">
    <w:abstractNumId w:val="426"/>
  </w:num>
  <w:num w:numId="458">
    <w:abstractNumId w:val="358"/>
  </w:num>
  <w:num w:numId="459">
    <w:abstractNumId w:val="477"/>
  </w:num>
  <w:num w:numId="460">
    <w:abstractNumId w:val="257"/>
  </w:num>
  <w:num w:numId="461">
    <w:abstractNumId w:val="355"/>
  </w:num>
  <w:num w:numId="462">
    <w:abstractNumId w:val="28"/>
  </w:num>
  <w:num w:numId="463">
    <w:abstractNumId w:val="45"/>
  </w:num>
  <w:num w:numId="464">
    <w:abstractNumId w:val="153"/>
  </w:num>
  <w:num w:numId="465">
    <w:abstractNumId w:val="197"/>
  </w:num>
  <w:num w:numId="466">
    <w:abstractNumId w:val="210"/>
  </w:num>
  <w:num w:numId="467">
    <w:abstractNumId w:val="194"/>
  </w:num>
  <w:num w:numId="468">
    <w:abstractNumId w:val="65"/>
  </w:num>
  <w:num w:numId="469">
    <w:abstractNumId w:val="482"/>
  </w:num>
  <w:num w:numId="470">
    <w:abstractNumId w:val="483"/>
  </w:num>
  <w:num w:numId="471">
    <w:abstractNumId w:val="353"/>
  </w:num>
  <w:num w:numId="472">
    <w:abstractNumId w:val="122"/>
  </w:num>
  <w:num w:numId="473">
    <w:abstractNumId w:val="448"/>
  </w:num>
  <w:num w:numId="474">
    <w:abstractNumId w:val="60"/>
  </w:num>
  <w:num w:numId="475">
    <w:abstractNumId w:val="318"/>
  </w:num>
  <w:num w:numId="476">
    <w:abstractNumId w:val="220"/>
  </w:num>
  <w:num w:numId="477">
    <w:abstractNumId w:val="506"/>
  </w:num>
  <w:num w:numId="478">
    <w:abstractNumId w:val="89"/>
  </w:num>
  <w:num w:numId="479">
    <w:abstractNumId w:val="347"/>
  </w:num>
  <w:num w:numId="480">
    <w:abstractNumId w:val="155"/>
  </w:num>
  <w:num w:numId="481">
    <w:abstractNumId w:val="13"/>
  </w:num>
  <w:num w:numId="482">
    <w:abstractNumId w:val="98"/>
  </w:num>
  <w:num w:numId="483">
    <w:abstractNumId w:val="9"/>
  </w:num>
  <w:num w:numId="484">
    <w:abstractNumId w:val="196"/>
  </w:num>
  <w:num w:numId="485">
    <w:abstractNumId w:val="131"/>
  </w:num>
  <w:num w:numId="486">
    <w:abstractNumId w:val="471"/>
  </w:num>
  <w:num w:numId="487">
    <w:abstractNumId w:val="290"/>
  </w:num>
  <w:num w:numId="488">
    <w:abstractNumId w:val="341"/>
  </w:num>
  <w:num w:numId="489">
    <w:abstractNumId w:val="24"/>
  </w:num>
  <w:num w:numId="490">
    <w:abstractNumId w:val="102"/>
  </w:num>
  <w:num w:numId="491">
    <w:abstractNumId w:val="468"/>
  </w:num>
  <w:num w:numId="492">
    <w:abstractNumId w:val="117"/>
  </w:num>
  <w:num w:numId="493">
    <w:abstractNumId w:val="470"/>
  </w:num>
  <w:num w:numId="494">
    <w:abstractNumId w:val="112"/>
  </w:num>
  <w:num w:numId="495">
    <w:abstractNumId w:val="509"/>
  </w:num>
  <w:num w:numId="496">
    <w:abstractNumId w:val="56"/>
  </w:num>
  <w:num w:numId="497">
    <w:abstractNumId w:val="460"/>
  </w:num>
  <w:num w:numId="498">
    <w:abstractNumId w:val="439"/>
  </w:num>
  <w:num w:numId="499">
    <w:abstractNumId w:val="204"/>
  </w:num>
  <w:num w:numId="500">
    <w:abstractNumId w:val="30"/>
  </w:num>
  <w:num w:numId="501">
    <w:abstractNumId w:val="320"/>
  </w:num>
  <w:num w:numId="502">
    <w:abstractNumId w:val="368"/>
  </w:num>
  <w:num w:numId="503">
    <w:abstractNumId w:val="380"/>
  </w:num>
  <w:num w:numId="504">
    <w:abstractNumId w:val="88"/>
  </w:num>
  <w:num w:numId="505">
    <w:abstractNumId w:val="187"/>
  </w:num>
  <w:num w:numId="506">
    <w:abstractNumId w:val="93"/>
  </w:num>
  <w:num w:numId="507">
    <w:abstractNumId w:val="258"/>
  </w:num>
  <w:num w:numId="508">
    <w:abstractNumId w:val="316"/>
  </w:num>
  <w:num w:numId="509">
    <w:abstractNumId w:val="339"/>
  </w:num>
  <w:num w:numId="510">
    <w:abstractNumId w:val="333"/>
  </w:num>
  <w:num w:numId="511">
    <w:abstractNumId w:val="443"/>
  </w:num>
  <w:num w:numId="512">
    <w:abstractNumId w:val="396"/>
  </w:num>
  <w:num w:numId="513">
    <w:abstractNumId w:val="335"/>
  </w:num>
  <w:num w:numId="514">
    <w:abstractNumId w:val="213"/>
  </w:num>
  <w:num w:numId="515">
    <w:abstractNumId w:val="253"/>
  </w:num>
  <w:num w:numId="516">
    <w:abstractNumId w:val="225"/>
  </w:num>
  <w:num w:numId="517">
    <w:abstractNumId w:val="31"/>
  </w:num>
  <w:num w:numId="518">
    <w:abstractNumId w:val="348"/>
  </w:num>
  <w:num w:numId="519">
    <w:abstractNumId w:val="46"/>
  </w:num>
  <w:num w:numId="520">
    <w:abstractNumId w:val="138"/>
  </w:num>
  <w:num w:numId="521">
    <w:abstractNumId w:val="174"/>
  </w:num>
  <w:num w:numId="522">
    <w:abstractNumId w:val="161"/>
  </w:num>
  <w:num w:numId="523">
    <w:abstractNumId w:val="261"/>
  </w:num>
  <w:num w:numId="524">
    <w:abstractNumId w:val="453"/>
  </w:num>
  <w:num w:numId="525">
    <w:abstractNumId w:val="382"/>
  </w:num>
  <w:num w:numId="526">
    <w:abstractNumId w:val="432"/>
  </w:num>
  <w:num w:numId="527">
    <w:abstractNumId w:val="216"/>
  </w:num>
  <w:num w:numId="528">
    <w:abstractNumId w:val="409"/>
  </w:num>
  <w:num w:numId="529">
    <w:abstractNumId w:val="12"/>
  </w:num>
  <w:num w:numId="530">
    <w:abstractNumId w:val="461"/>
  </w:num>
  <w:num w:numId="531">
    <w:abstractNumId w:val="306"/>
  </w:num>
  <w:num w:numId="532">
    <w:abstractNumId w:val="298"/>
  </w:num>
  <w:num w:numId="533">
    <w:abstractNumId w:val="378"/>
  </w:num>
  <w:num w:numId="534">
    <w:abstractNumId w:val="189"/>
  </w:num>
  <w:num w:numId="535">
    <w:abstractNumId w:val="282"/>
  </w:num>
  <w:num w:numId="536">
    <w:abstractNumId w:val="481"/>
  </w:num>
  <w:num w:numId="537">
    <w:abstractNumId w:val="134"/>
  </w:num>
  <w:num w:numId="538">
    <w:abstractNumId w:val="354"/>
  </w:num>
  <w:num w:numId="539">
    <w:abstractNumId w:val="357"/>
  </w:num>
  <w:num w:numId="540">
    <w:abstractNumId w:val="57"/>
  </w:num>
  <w:num w:numId="541">
    <w:abstractNumId w:val="504"/>
  </w:num>
  <w:num w:numId="542">
    <w:abstractNumId w:val="249"/>
  </w:num>
  <w:num w:numId="543">
    <w:abstractNumId w:val="84"/>
  </w:num>
  <w:num w:numId="544">
    <w:abstractNumId w:val="357"/>
  </w:num>
  <w:num w:numId="545">
    <w:abstractNumId w:val="357"/>
  </w:num>
  <w:num w:numId="546">
    <w:abstractNumId w:val="227"/>
  </w:num>
  <w:num w:numId="547">
    <w:abstractNumId w:val="357"/>
  </w:num>
  <w:num w:numId="548">
    <w:abstractNumId w:val="42"/>
  </w:num>
  <w:num w:numId="549">
    <w:abstractNumId w:val="177"/>
  </w:num>
  <w:num w:numId="550">
    <w:abstractNumId w:val="136"/>
  </w:num>
  <w:num w:numId="551">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2">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3">
    <w:abstractNumId w:val="115"/>
  </w:num>
  <w:num w:numId="554">
    <w:abstractNumId w:val="82"/>
  </w:num>
  <w:num w:numId="555">
    <w:abstractNumId w:val="322"/>
  </w:num>
  <w:num w:numId="556">
    <w:abstractNumId w:val="231"/>
  </w:num>
  <w:num w:numId="557">
    <w:abstractNumId w:val="389"/>
  </w:num>
  <w:num w:numId="558">
    <w:abstractNumId w:val="63"/>
  </w:num>
  <w:num w:numId="559">
    <w:abstractNumId w:val="331"/>
  </w:num>
  <w:num w:numId="560">
    <w:abstractNumId w:val="314"/>
  </w:num>
  <w:num w:numId="561">
    <w:abstractNumId w:val="457"/>
  </w:num>
  <w:num w:numId="562">
    <w:abstractNumId w:val="428"/>
  </w:num>
  <w:num w:numId="563">
    <w:abstractNumId w:val="476"/>
  </w:num>
  <w:num w:numId="564">
    <w:abstractNumId w:val="34"/>
  </w:num>
  <w:num w:numId="565">
    <w:abstractNumId w:val="435"/>
  </w:num>
  <w:num w:numId="566">
    <w:abstractNumId w:val="17"/>
  </w:num>
  <w:num w:numId="567">
    <w:abstractNumId w:val="489"/>
  </w:num>
  <w:num w:numId="568">
    <w:abstractNumId w:val="363"/>
  </w:num>
  <w:num w:numId="569">
    <w:abstractNumId w:val="94"/>
  </w:num>
  <w:num w:numId="570">
    <w:abstractNumId w:val="248"/>
  </w:num>
  <w:numIdMacAtCleanup w:val="5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hideSpellingErrors/>
  <w:attachedTemplate r:id="rId1"/>
  <w:stylePaneSortMethod w:val="0000"/>
  <w:defaultTabStop w:val="720"/>
  <w:drawingGridHorizontalSpacing w:val="120"/>
  <w:displayHorizontalDrawingGridEvery w:val="2"/>
  <w:displayVerticalDrawingGridEvery w:val="2"/>
  <w:characterSpacingControl w:val="doNotCompress"/>
  <w:hdrShapeDefaults>
    <o:shapedefaults v:ext="edit" spidmax="2117" style="mso-position-vertical-relative:line" fill="f" fillcolor="white" stroke="f">
      <v:fill color="white" on="f"/>
      <v:stroke on="f"/>
      <v:textbox style="mso-rotate-with-shape:t"/>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E3228"/>
    <w:rsid w:val="00000377"/>
    <w:rsid w:val="00000DB3"/>
    <w:rsid w:val="0000104A"/>
    <w:rsid w:val="00001F81"/>
    <w:rsid w:val="00002226"/>
    <w:rsid w:val="00002248"/>
    <w:rsid w:val="00002576"/>
    <w:rsid w:val="00002CA0"/>
    <w:rsid w:val="00002D5B"/>
    <w:rsid w:val="00002EEB"/>
    <w:rsid w:val="00003421"/>
    <w:rsid w:val="000042F9"/>
    <w:rsid w:val="00004780"/>
    <w:rsid w:val="00005091"/>
    <w:rsid w:val="0000566B"/>
    <w:rsid w:val="000058BC"/>
    <w:rsid w:val="00006096"/>
    <w:rsid w:val="0000697D"/>
    <w:rsid w:val="00006EE7"/>
    <w:rsid w:val="00006FC9"/>
    <w:rsid w:val="000075CE"/>
    <w:rsid w:val="000077DE"/>
    <w:rsid w:val="000077FF"/>
    <w:rsid w:val="00007946"/>
    <w:rsid w:val="00007C7B"/>
    <w:rsid w:val="00007EFA"/>
    <w:rsid w:val="0001011A"/>
    <w:rsid w:val="000103F6"/>
    <w:rsid w:val="00010996"/>
    <w:rsid w:val="00011589"/>
    <w:rsid w:val="00011B13"/>
    <w:rsid w:val="00012382"/>
    <w:rsid w:val="00012899"/>
    <w:rsid w:val="00012D6A"/>
    <w:rsid w:val="00013584"/>
    <w:rsid w:val="000135DF"/>
    <w:rsid w:val="000139DA"/>
    <w:rsid w:val="00013C99"/>
    <w:rsid w:val="000141F5"/>
    <w:rsid w:val="00014831"/>
    <w:rsid w:val="00014C4D"/>
    <w:rsid w:val="000154E3"/>
    <w:rsid w:val="0001558A"/>
    <w:rsid w:val="0001591D"/>
    <w:rsid w:val="000159A6"/>
    <w:rsid w:val="000159C5"/>
    <w:rsid w:val="00016D52"/>
    <w:rsid w:val="00016FFA"/>
    <w:rsid w:val="00017220"/>
    <w:rsid w:val="000172AB"/>
    <w:rsid w:val="00017A8B"/>
    <w:rsid w:val="00017E14"/>
    <w:rsid w:val="00020168"/>
    <w:rsid w:val="00020339"/>
    <w:rsid w:val="00020A7B"/>
    <w:rsid w:val="00020CB9"/>
    <w:rsid w:val="00021D9F"/>
    <w:rsid w:val="00021DDF"/>
    <w:rsid w:val="00022B97"/>
    <w:rsid w:val="00022F86"/>
    <w:rsid w:val="00023E61"/>
    <w:rsid w:val="000244A2"/>
    <w:rsid w:val="00024545"/>
    <w:rsid w:val="00024D58"/>
    <w:rsid w:val="000264C0"/>
    <w:rsid w:val="00026709"/>
    <w:rsid w:val="000275AC"/>
    <w:rsid w:val="00027895"/>
    <w:rsid w:val="00027CD0"/>
    <w:rsid w:val="00027EE5"/>
    <w:rsid w:val="0003103B"/>
    <w:rsid w:val="0003109F"/>
    <w:rsid w:val="0003169A"/>
    <w:rsid w:val="0003186C"/>
    <w:rsid w:val="0003247B"/>
    <w:rsid w:val="00032C17"/>
    <w:rsid w:val="00033613"/>
    <w:rsid w:val="00033746"/>
    <w:rsid w:val="00033DA6"/>
    <w:rsid w:val="00034976"/>
    <w:rsid w:val="00035CDF"/>
    <w:rsid w:val="00035D6B"/>
    <w:rsid w:val="000362BD"/>
    <w:rsid w:val="00036DB6"/>
    <w:rsid w:val="00036E12"/>
    <w:rsid w:val="00036F5C"/>
    <w:rsid w:val="000371AE"/>
    <w:rsid w:val="000374B3"/>
    <w:rsid w:val="000377AA"/>
    <w:rsid w:val="00040136"/>
    <w:rsid w:val="000408DC"/>
    <w:rsid w:val="00040E25"/>
    <w:rsid w:val="0004118A"/>
    <w:rsid w:val="00041FEC"/>
    <w:rsid w:val="00043098"/>
    <w:rsid w:val="00043798"/>
    <w:rsid w:val="00043BD5"/>
    <w:rsid w:val="00043E49"/>
    <w:rsid w:val="00043EE3"/>
    <w:rsid w:val="00043FC1"/>
    <w:rsid w:val="00044309"/>
    <w:rsid w:val="000443D8"/>
    <w:rsid w:val="0004472B"/>
    <w:rsid w:val="0004476C"/>
    <w:rsid w:val="00044FF2"/>
    <w:rsid w:val="00045C82"/>
    <w:rsid w:val="00045F09"/>
    <w:rsid w:val="0004602F"/>
    <w:rsid w:val="00046EAA"/>
    <w:rsid w:val="00046F69"/>
    <w:rsid w:val="000478C7"/>
    <w:rsid w:val="000478D7"/>
    <w:rsid w:val="0004791D"/>
    <w:rsid w:val="00047B5D"/>
    <w:rsid w:val="000503E4"/>
    <w:rsid w:val="000507F8"/>
    <w:rsid w:val="00050CDA"/>
    <w:rsid w:val="00050D4F"/>
    <w:rsid w:val="00050E1C"/>
    <w:rsid w:val="00052333"/>
    <w:rsid w:val="000524EF"/>
    <w:rsid w:val="00053404"/>
    <w:rsid w:val="00053AE7"/>
    <w:rsid w:val="00053B50"/>
    <w:rsid w:val="000558A8"/>
    <w:rsid w:val="0005595F"/>
    <w:rsid w:val="000567EC"/>
    <w:rsid w:val="00056BF5"/>
    <w:rsid w:val="0005758C"/>
    <w:rsid w:val="00060368"/>
    <w:rsid w:val="000608CF"/>
    <w:rsid w:val="000608E3"/>
    <w:rsid w:val="00060E28"/>
    <w:rsid w:val="000616CE"/>
    <w:rsid w:val="0006181F"/>
    <w:rsid w:val="00062097"/>
    <w:rsid w:val="000626B3"/>
    <w:rsid w:val="00062B5C"/>
    <w:rsid w:val="00063317"/>
    <w:rsid w:val="00063CF6"/>
    <w:rsid w:val="000640CA"/>
    <w:rsid w:val="00064213"/>
    <w:rsid w:val="000643C0"/>
    <w:rsid w:val="000644B3"/>
    <w:rsid w:val="000648ED"/>
    <w:rsid w:val="00064C04"/>
    <w:rsid w:val="0006519D"/>
    <w:rsid w:val="000652DC"/>
    <w:rsid w:val="000656D5"/>
    <w:rsid w:val="0006686F"/>
    <w:rsid w:val="0006689C"/>
    <w:rsid w:val="0006691C"/>
    <w:rsid w:val="00066D0F"/>
    <w:rsid w:val="00067E0A"/>
    <w:rsid w:val="00067E5A"/>
    <w:rsid w:val="000709B3"/>
    <w:rsid w:val="00071929"/>
    <w:rsid w:val="0007266A"/>
    <w:rsid w:val="000726DF"/>
    <w:rsid w:val="00072A40"/>
    <w:rsid w:val="00073385"/>
    <w:rsid w:val="00073389"/>
    <w:rsid w:val="000734B1"/>
    <w:rsid w:val="00073552"/>
    <w:rsid w:val="000736A6"/>
    <w:rsid w:val="000746CC"/>
    <w:rsid w:val="00074867"/>
    <w:rsid w:val="00074EE8"/>
    <w:rsid w:val="00075463"/>
    <w:rsid w:val="00075DBD"/>
    <w:rsid w:val="000763D8"/>
    <w:rsid w:val="000763FE"/>
    <w:rsid w:val="000765A0"/>
    <w:rsid w:val="000776DA"/>
    <w:rsid w:val="00077A4E"/>
    <w:rsid w:val="00077C5F"/>
    <w:rsid w:val="000800FC"/>
    <w:rsid w:val="000804F8"/>
    <w:rsid w:val="0008116F"/>
    <w:rsid w:val="000811C6"/>
    <w:rsid w:val="00081778"/>
    <w:rsid w:val="00081E31"/>
    <w:rsid w:val="00082694"/>
    <w:rsid w:val="000826BB"/>
    <w:rsid w:val="000828C5"/>
    <w:rsid w:val="00082B45"/>
    <w:rsid w:val="00082E35"/>
    <w:rsid w:val="00083672"/>
    <w:rsid w:val="0008399F"/>
    <w:rsid w:val="00083E58"/>
    <w:rsid w:val="00084130"/>
    <w:rsid w:val="000850CE"/>
    <w:rsid w:val="000856A5"/>
    <w:rsid w:val="00085FB2"/>
    <w:rsid w:val="0008665A"/>
    <w:rsid w:val="00086913"/>
    <w:rsid w:val="00086A82"/>
    <w:rsid w:val="00086E54"/>
    <w:rsid w:val="00087679"/>
    <w:rsid w:val="00087C7B"/>
    <w:rsid w:val="00087D1A"/>
    <w:rsid w:val="00087D27"/>
    <w:rsid w:val="0009024D"/>
    <w:rsid w:val="00090858"/>
    <w:rsid w:val="000908E2"/>
    <w:rsid w:val="000908E9"/>
    <w:rsid w:val="00090AD5"/>
    <w:rsid w:val="00091430"/>
    <w:rsid w:val="0009147F"/>
    <w:rsid w:val="00091D0A"/>
    <w:rsid w:val="00091F7A"/>
    <w:rsid w:val="00093614"/>
    <w:rsid w:val="00093B6D"/>
    <w:rsid w:val="00093CD8"/>
    <w:rsid w:val="00093CD9"/>
    <w:rsid w:val="0009403B"/>
    <w:rsid w:val="000941F3"/>
    <w:rsid w:val="0009452C"/>
    <w:rsid w:val="000958F0"/>
    <w:rsid w:val="0009591D"/>
    <w:rsid w:val="00095CD7"/>
    <w:rsid w:val="00096197"/>
    <w:rsid w:val="00096223"/>
    <w:rsid w:val="00096630"/>
    <w:rsid w:val="0009679B"/>
    <w:rsid w:val="0009686B"/>
    <w:rsid w:val="0009687E"/>
    <w:rsid w:val="00097F98"/>
    <w:rsid w:val="000A02A2"/>
    <w:rsid w:val="000A04B2"/>
    <w:rsid w:val="000A05CB"/>
    <w:rsid w:val="000A0845"/>
    <w:rsid w:val="000A0C61"/>
    <w:rsid w:val="000A1059"/>
    <w:rsid w:val="000A130F"/>
    <w:rsid w:val="000A1581"/>
    <w:rsid w:val="000A1699"/>
    <w:rsid w:val="000A17AA"/>
    <w:rsid w:val="000A1E4D"/>
    <w:rsid w:val="000A2D94"/>
    <w:rsid w:val="000A301B"/>
    <w:rsid w:val="000A3AC7"/>
    <w:rsid w:val="000A3BDB"/>
    <w:rsid w:val="000A3CC0"/>
    <w:rsid w:val="000A467E"/>
    <w:rsid w:val="000A4F8C"/>
    <w:rsid w:val="000A501D"/>
    <w:rsid w:val="000A517A"/>
    <w:rsid w:val="000A53E2"/>
    <w:rsid w:val="000A5923"/>
    <w:rsid w:val="000A5961"/>
    <w:rsid w:val="000A60EB"/>
    <w:rsid w:val="000A6643"/>
    <w:rsid w:val="000A6913"/>
    <w:rsid w:val="000A75C1"/>
    <w:rsid w:val="000B05B8"/>
    <w:rsid w:val="000B05C2"/>
    <w:rsid w:val="000B0785"/>
    <w:rsid w:val="000B1515"/>
    <w:rsid w:val="000B1574"/>
    <w:rsid w:val="000B17F2"/>
    <w:rsid w:val="000B2016"/>
    <w:rsid w:val="000B2201"/>
    <w:rsid w:val="000B2220"/>
    <w:rsid w:val="000B2390"/>
    <w:rsid w:val="000B280E"/>
    <w:rsid w:val="000B2B38"/>
    <w:rsid w:val="000B2DA1"/>
    <w:rsid w:val="000B3456"/>
    <w:rsid w:val="000B3854"/>
    <w:rsid w:val="000B3E1D"/>
    <w:rsid w:val="000B4B5C"/>
    <w:rsid w:val="000B554B"/>
    <w:rsid w:val="000B55E6"/>
    <w:rsid w:val="000B610B"/>
    <w:rsid w:val="000B61E1"/>
    <w:rsid w:val="000B6749"/>
    <w:rsid w:val="000B7352"/>
    <w:rsid w:val="000B7B57"/>
    <w:rsid w:val="000C03F7"/>
    <w:rsid w:val="000C0809"/>
    <w:rsid w:val="000C08B5"/>
    <w:rsid w:val="000C08BC"/>
    <w:rsid w:val="000C0B3A"/>
    <w:rsid w:val="000C124E"/>
    <w:rsid w:val="000C12D5"/>
    <w:rsid w:val="000C19C1"/>
    <w:rsid w:val="000C19D6"/>
    <w:rsid w:val="000C1CF1"/>
    <w:rsid w:val="000C1F23"/>
    <w:rsid w:val="000C24F7"/>
    <w:rsid w:val="000C3246"/>
    <w:rsid w:val="000C3BD8"/>
    <w:rsid w:val="000C426C"/>
    <w:rsid w:val="000C43F5"/>
    <w:rsid w:val="000C49BD"/>
    <w:rsid w:val="000C52E2"/>
    <w:rsid w:val="000C60F1"/>
    <w:rsid w:val="000C6133"/>
    <w:rsid w:val="000C69A6"/>
    <w:rsid w:val="000C6E0C"/>
    <w:rsid w:val="000C7D17"/>
    <w:rsid w:val="000C7EC7"/>
    <w:rsid w:val="000D00B5"/>
    <w:rsid w:val="000D0254"/>
    <w:rsid w:val="000D09A4"/>
    <w:rsid w:val="000D0DBD"/>
    <w:rsid w:val="000D1426"/>
    <w:rsid w:val="000D1520"/>
    <w:rsid w:val="000D1AC7"/>
    <w:rsid w:val="000D1F61"/>
    <w:rsid w:val="000D218B"/>
    <w:rsid w:val="000D2C1A"/>
    <w:rsid w:val="000D2DD0"/>
    <w:rsid w:val="000D306A"/>
    <w:rsid w:val="000D37DD"/>
    <w:rsid w:val="000D4552"/>
    <w:rsid w:val="000D46DA"/>
    <w:rsid w:val="000D482E"/>
    <w:rsid w:val="000D6174"/>
    <w:rsid w:val="000D61D1"/>
    <w:rsid w:val="000D697D"/>
    <w:rsid w:val="000D6FEA"/>
    <w:rsid w:val="000D7214"/>
    <w:rsid w:val="000D7785"/>
    <w:rsid w:val="000E0571"/>
    <w:rsid w:val="000E0AAE"/>
    <w:rsid w:val="000E0AC9"/>
    <w:rsid w:val="000E0EDD"/>
    <w:rsid w:val="000E1965"/>
    <w:rsid w:val="000E1DA9"/>
    <w:rsid w:val="000E219F"/>
    <w:rsid w:val="000E2B63"/>
    <w:rsid w:val="000E2D89"/>
    <w:rsid w:val="000E333A"/>
    <w:rsid w:val="000E3582"/>
    <w:rsid w:val="000E3693"/>
    <w:rsid w:val="000E39BB"/>
    <w:rsid w:val="000E3C92"/>
    <w:rsid w:val="000E3FB2"/>
    <w:rsid w:val="000E4141"/>
    <w:rsid w:val="000E449A"/>
    <w:rsid w:val="000E47D7"/>
    <w:rsid w:val="000E4904"/>
    <w:rsid w:val="000E5355"/>
    <w:rsid w:val="000E5768"/>
    <w:rsid w:val="000E6167"/>
    <w:rsid w:val="000E6B32"/>
    <w:rsid w:val="000E6E47"/>
    <w:rsid w:val="000E7225"/>
    <w:rsid w:val="000E7E9E"/>
    <w:rsid w:val="000F0293"/>
    <w:rsid w:val="000F0842"/>
    <w:rsid w:val="000F0B6C"/>
    <w:rsid w:val="000F10CB"/>
    <w:rsid w:val="000F1CF0"/>
    <w:rsid w:val="000F1F45"/>
    <w:rsid w:val="000F1FDD"/>
    <w:rsid w:val="000F1FFD"/>
    <w:rsid w:val="000F2278"/>
    <w:rsid w:val="000F28F0"/>
    <w:rsid w:val="000F3768"/>
    <w:rsid w:val="000F391F"/>
    <w:rsid w:val="000F4844"/>
    <w:rsid w:val="000F5892"/>
    <w:rsid w:val="000F5D86"/>
    <w:rsid w:val="000F6034"/>
    <w:rsid w:val="000F61FC"/>
    <w:rsid w:val="000F6326"/>
    <w:rsid w:val="000F73CD"/>
    <w:rsid w:val="000F7796"/>
    <w:rsid w:val="00100DB8"/>
    <w:rsid w:val="0010112B"/>
    <w:rsid w:val="0010115B"/>
    <w:rsid w:val="00101658"/>
    <w:rsid w:val="001018B3"/>
    <w:rsid w:val="00101AE9"/>
    <w:rsid w:val="00101D91"/>
    <w:rsid w:val="0010234C"/>
    <w:rsid w:val="0010255D"/>
    <w:rsid w:val="00102BF0"/>
    <w:rsid w:val="0010341F"/>
    <w:rsid w:val="001037F6"/>
    <w:rsid w:val="001039D1"/>
    <w:rsid w:val="001043BB"/>
    <w:rsid w:val="001045D1"/>
    <w:rsid w:val="00104A25"/>
    <w:rsid w:val="00104B24"/>
    <w:rsid w:val="0010614F"/>
    <w:rsid w:val="001068A2"/>
    <w:rsid w:val="001068CF"/>
    <w:rsid w:val="00106D4D"/>
    <w:rsid w:val="0010722F"/>
    <w:rsid w:val="00107531"/>
    <w:rsid w:val="00107DB7"/>
    <w:rsid w:val="001108A0"/>
    <w:rsid w:val="00110B45"/>
    <w:rsid w:val="00110F35"/>
    <w:rsid w:val="00111FF9"/>
    <w:rsid w:val="001121BE"/>
    <w:rsid w:val="0011255B"/>
    <w:rsid w:val="00112BBB"/>
    <w:rsid w:val="00112BD3"/>
    <w:rsid w:val="00112F2E"/>
    <w:rsid w:val="0011351E"/>
    <w:rsid w:val="0011353E"/>
    <w:rsid w:val="00113724"/>
    <w:rsid w:val="00113E08"/>
    <w:rsid w:val="001141E3"/>
    <w:rsid w:val="001141FA"/>
    <w:rsid w:val="00114222"/>
    <w:rsid w:val="0011426D"/>
    <w:rsid w:val="001147C8"/>
    <w:rsid w:val="0011507D"/>
    <w:rsid w:val="0011547D"/>
    <w:rsid w:val="001156D0"/>
    <w:rsid w:val="00115DD8"/>
    <w:rsid w:val="00116670"/>
    <w:rsid w:val="001169A1"/>
    <w:rsid w:val="00116AFF"/>
    <w:rsid w:val="00116F21"/>
    <w:rsid w:val="00116FF3"/>
    <w:rsid w:val="0012007F"/>
    <w:rsid w:val="001202E9"/>
    <w:rsid w:val="0012038D"/>
    <w:rsid w:val="0012043C"/>
    <w:rsid w:val="0012061C"/>
    <w:rsid w:val="00120AF5"/>
    <w:rsid w:val="001212F8"/>
    <w:rsid w:val="0012151E"/>
    <w:rsid w:val="00121682"/>
    <w:rsid w:val="00121F06"/>
    <w:rsid w:val="001227B9"/>
    <w:rsid w:val="00122864"/>
    <w:rsid w:val="00122CE0"/>
    <w:rsid w:val="0012308B"/>
    <w:rsid w:val="00123098"/>
    <w:rsid w:val="001234B8"/>
    <w:rsid w:val="00123729"/>
    <w:rsid w:val="00123DF4"/>
    <w:rsid w:val="00123F3E"/>
    <w:rsid w:val="00124712"/>
    <w:rsid w:val="00124CAC"/>
    <w:rsid w:val="001252F5"/>
    <w:rsid w:val="00125AA5"/>
    <w:rsid w:val="00125EF0"/>
    <w:rsid w:val="00126198"/>
    <w:rsid w:val="00126690"/>
    <w:rsid w:val="00126D72"/>
    <w:rsid w:val="0012744E"/>
    <w:rsid w:val="0012783E"/>
    <w:rsid w:val="00127AD5"/>
    <w:rsid w:val="001308B3"/>
    <w:rsid w:val="00130B81"/>
    <w:rsid w:val="0013153B"/>
    <w:rsid w:val="00131DC7"/>
    <w:rsid w:val="00131E35"/>
    <w:rsid w:val="00131EA7"/>
    <w:rsid w:val="00131FFB"/>
    <w:rsid w:val="001321B6"/>
    <w:rsid w:val="001326AF"/>
    <w:rsid w:val="001328E0"/>
    <w:rsid w:val="001328F9"/>
    <w:rsid w:val="00132D18"/>
    <w:rsid w:val="00132F06"/>
    <w:rsid w:val="00133617"/>
    <w:rsid w:val="0013384D"/>
    <w:rsid w:val="00133C7F"/>
    <w:rsid w:val="00133FBC"/>
    <w:rsid w:val="001343FE"/>
    <w:rsid w:val="0013440C"/>
    <w:rsid w:val="00134706"/>
    <w:rsid w:val="001348A2"/>
    <w:rsid w:val="00134C24"/>
    <w:rsid w:val="00134E7C"/>
    <w:rsid w:val="00135A30"/>
    <w:rsid w:val="0013729A"/>
    <w:rsid w:val="001375FE"/>
    <w:rsid w:val="00137A59"/>
    <w:rsid w:val="00137FD3"/>
    <w:rsid w:val="0014000B"/>
    <w:rsid w:val="0014006A"/>
    <w:rsid w:val="00140ED9"/>
    <w:rsid w:val="001410F0"/>
    <w:rsid w:val="0014126E"/>
    <w:rsid w:val="001421FA"/>
    <w:rsid w:val="0014299A"/>
    <w:rsid w:val="00142AA4"/>
    <w:rsid w:val="00142D55"/>
    <w:rsid w:val="001432AD"/>
    <w:rsid w:val="00143702"/>
    <w:rsid w:val="00143764"/>
    <w:rsid w:val="00143B3B"/>
    <w:rsid w:val="00143DCC"/>
    <w:rsid w:val="00144C3F"/>
    <w:rsid w:val="00145008"/>
    <w:rsid w:val="001451A6"/>
    <w:rsid w:val="00145E8D"/>
    <w:rsid w:val="0014676E"/>
    <w:rsid w:val="00146873"/>
    <w:rsid w:val="0014701F"/>
    <w:rsid w:val="001479CA"/>
    <w:rsid w:val="001503DB"/>
    <w:rsid w:val="00150960"/>
    <w:rsid w:val="00150AEF"/>
    <w:rsid w:val="00150CBE"/>
    <w:rsid w:val="001513DD"/>
    <w:rsid w:val="001516CE"/>
    <w:rsid w:val="00152122"/>
    <w:rsid w:val="0015230B"/>
    <w:rsid w:val="001524CC"/>
    <w:rsid w:val="0015283D"/>
    <w:rsid w:val="00153712"/>
    <w:rsid w:val="00153BAB"/>
    <w:rsid w:val="001541B6"/>
    <w:rsid w:val="00155A32"/>
    <w:rsid w:val="0015600D"/>
    <w:rsid w:val="00156857"/>
    <w:rsid w:val="00156F76"/>
    <w:rsid w:val="001572F7"/>
    <w:rsid w:val="00157A06"/>
    <w:rsid w:val="0016038B"/>
    <w:rsid w:val="0016039A"/>
    <w:rsid w:val="0016076C"/>
    <w:rsid w:val="00161520"/>
    <w:rsid w:val="00161610"/>
    <w:rsid w:val="00161829"/>
    <w:rsid w:val="00161C8A"/>
    <w:rsid w:val="001632C8"/>
    <w:rsid w:val="001634A3"/>
    <w:rsid w:val="00163612"/>
    <w:rsid w:val="00163F45"/>
    <w:rsid w:val="00165F92"/>
    <w:rsid w:val="00166184"/>
    <w:rsid w:val="00166517"/>
    <w:rsid w:val="001668F1"/>
    <w:rsid w:val="00166B4D"/>
    <w:rsid w:val="00166DAF"/>
    <w:rsid w:val="0017049F"/>
    <w:rsid w:val="00170D02"/>
    <w:rsid w:val="00171162"/>
    <w:rsid w:val="001719CA"/>
    <w:rsid w:val="0017276A"/>
    <w:rsid w:val="00172D8A"/>
    <w:rsid w:val="00172DF5"/>
    <w:rsid w:val="00173031"/>
    <w:rsid w:val="0017364E"/>
    <w:rsid w:val="00173A1D"/>
    <w:rsid w:val="00173E9A"/>
    <w:rsid w:val="00174105"/>
    <w:rsid w:val="001742AB"/>
    <w:rsid w:val="00174DE3"/>
    <w:rsid w:val="001751C8"/>
    <w:rsid w:val="00175A96"/>
    <w:rsid w:val="00176136"/>
    <w:rsid w:val="00176629"/>
    <w:rsid w:val="00176E00"/>
    <w:rsid w:val="00177146"/>
    <w:rsid w:val="0017770E"/>
    <w:rsid w:val="00177D97"/>
    <w:rsid w:val="00177F58"/>
    <w:rsid w:val="00180586"/>
    <w:rsid w:val="00180A57"/>
    <w:rsid w:val="001811D8"/>
    <w:rsid w:val="00181529"/>
    <w:rsid w:val="00181578"/>
    <w:rsid w:val="0018170F"/>
    <w:rsid w:val="00182068"/>
    <w:rsid w:val="00182296"/>
    <w:rsid w:val="00182814"/>
    <w:rsid w:val="0018371A"/>
    <w:rsid w:val="00183951"/>
    <w:rsid w:val="00183BBA"/>
    <w:rsid w:val="001843D4"/>
    <w:rsid w:val="001845AD"/>
    <w:rsid w:val="00185775"/>
    <w:rsid w:val="00185A15"/>
    <w:rsid w:val="0018614C"/>
    <w:rsid w:val="0018676C"/>
    <w:rsid w:val="001869C3"/>
    <w:rsid w:val="00186C1D"/>
    <w:rsid w:val="00186EA9"/>
    <w:rsid w:val="00186EF0"/>
    <w:rsid w:val="00186FAA"/>
    <w:rsid w:val="0019022E"/>
    <w:rsid w:val="001904DF"/>
    <w:rsid w:val="001908E6"/>
    <w:rsid w:val="00190C62"/>
    <w:rsid w:val="00191E8E"/>
    <w:rsid w:val="001931B9"/>
    <w:rsid w:val="00194197"/>
    <w:rsid w:val="00194247"/>
    <w:rsid w:val="00194811"/>
    <w:rsid w:val="00194B51"/>
    <w:rsid w:val="00195046"/>
    <w:rsid w:val="00195409"/>
    <w:rsid w:val="00195BFF"/>
    <w:rsid w:val="00195C39"/>
    <w:rsid w:val="00195DC9"/>
    <w:rsid w:val="00195FA0"/>
    <w:rsid w:val="00196632"/>
    <w:rsid w:val="00197931"/>
    <w:rsid w:val="00197E2D"/>
    <w:rsid w:val="001A110B"/>
    <w:rsid w:val="001A12EB"/>
    <w:rsid w:val="001A15E3"/>
    <w:rsid w:val="001A200A"/>
    <w:rsid w:val="001A2492"/>
    <w:rsid w:val="001A2580"/>
    <w:rsid w:val="001A337F"/>
    <w:rsid w:val="001A35F2"/>
    <w:rsid w:val="001A365B"/>
    <w:rsid w:val="001A36F1"/>
    <w:rsid w:val="001A3AB4"/>
    <w:rsid w:val="001A3E6B"/>
    <w:rsid w:val="001A4F2A"/>
    <w:rsid w:val="001A5120"/>
    <w:rsid w:val="001A514D"/>
    <w:rsid w:val="001A613B"/>
    <w:rsid w:val="001A67B8"/>
    <w:rsid w:val="001A6CE2"/>
    <w:rsid w:val="001A759F"/>
    <w:rsid w:val="001A799C"/>
    <w:rsid w:val="001A7A36"/>
    <w:rsid w:val="001A7F2D"/>
    <w:rsid w:val="001B0D40"/>
    <w:rsid w:val="001B105B"/>
    <w:rsid w:val="001B1CC7"/>
    <w:rsid w:val="001B36E7"/>
    <w:rsid w:val="001B3850"/>
    <w:rsid w:val="001B3B80"/>
    <w:rsid w:val="001B447A"/>
    <w:rsid w:val="001B48E8"/>
    <w:rsid w:val="001B4F5C"/>
    <w:rsid w:val="001B53D6"/>
    <w:rsid w:val="001B56B5"/>
    <w:rsid w:val="001B5B7F"/>
    <w:rsid w:val="001B657C"/>
    <w:rsid w:val="001B68FE"/>
    <w:rsid w:val="001B7143"/>
    <w:rsid w:val="001C065C"/>
    <w:rsid w:val="001C0DE5"/>
    <w:rsid w:val="001C1046"/>
    <w:rsid w:val="001C108D"/>
    <w:rsid w:val="001C16C9"/>
    <w:rsid w:val="001C170C"/>
    <w:rsid w:val="001C18F9"/>
    <w:rsid w:val="001C1B79"/>
    <w:rsid w:val="001C2B02"/>
    <w:rsid w:val="001C322E"/>
    <w:rsid w:val="001C3378"/>
    <w:rsid w:val="001C3830"/>
    <w:rsid w:val="001C3927"/>
    <w:rsid w:val="001C400E"/>
    <w:rsid w:val="001C40DD"/>
    <w:rsid w:val="001C4170"/>
    <w:rsid w:val="001C46D3"/>
    <w:rsid w:val="001C61CE"/>
    <w:rsid w:val="001C672A"/>
    <w:rsid w:val="001C6E0B"/>
    <w:rsid w:val="001C794B"/>
    <w:rsid w:val="001D01F3"/>
    <w:rsid w:val="001D1000"/>
    <w:rsid w:val="001D137D"/>
    <w:rsid w:val="001D1751"/>
    <w:rsid w:val="001D1B7A"/>
    <w:rsid w:val="001D1E5B"/>
    <w:rsid w:val="001D25EE"/>
    <w:rsid w:val="001D2756"/>
    <w:rsid w:val="001D297B"/>
    <w:rsid w:val="001D2A1F"/>
    <w:rsid w:val="001D2B93"/>
    <w:rsid w:val="001D2D2C"/>
    <w:rsid w:val="001D3D32"/>
    <w:rsid w:val="001D4923"/>
    <w:rsid w:val="001D4AE0"/>
    <w:rsid w:val="001D5AC1"/>
    <w:rsid w:val="001D636F"/>
    <w:rsid w:val="001D702E"/>
    <w:rsid w:val="001D7111"/>
    <w:rsid w:val="001D7488"/>
    <w:rsid w:val="001D74DA"/>
    <w:rsid w:val="001D79A7"/>
    <w:rsid w:val="001D7E12"/>
    <w:rsid w:val="001D7E90"/>
    <w:rsid w:val="001E0847"/>
    <w:rsid w:val="001E1718"/>
    <w:rsid w:val="001E1893"/>
    <w:rsid w:val="001E27F8"/>
    <w:rsid w:val="001E292D"/>
    <w:rsid w:val="001E2F71"/>
    <w:rsid w:val="001E339D"/>
    <w:rsid w:val="001E3483"/>
    <w:rsid w:val="001E35E7"/>
    <w:rsid w:val="001E35EB"/>
    <w:rsid w:val="001E3E4D"/>
    <w:rsid w:val="001E4622"/>
    <w:rsid w:val="001E47E1"/>
    <w:rsid w:val="001E4C83"/>
    <w:rsid w:val="001E4FAF"/>
    <w:rsid w:val="001E53C4"/>
    <w:rsid w:val="001E5622"/>
    <w:rsid w:val="001E56E2"/>
    <w:rsid w:val="001E611D"/>
    <w:rsid w:val="001E63B1"/>
    <w:rsid w:val="001E6872"/>
    <w:rsid w:val="001E6B1F"/>
    <w:rsid w:val="001E6D09"/>
    <w:rsid w:val="001E706E"/>
    <w:rsid w:val="001E73C0"/>
    <w:rsid w:val="001E7F11"/>
    <w:rsid w:val="001F0711"/>
    <w:rsid w:val="001F10A1"/>
    <w:rsid w:val="001F159D"/>
    <w:rsid w:val="001F234D"/>
    <w:rsid w:val="001F24B5"/>
    <w:rsid w:val="001F2814"/>
    <w:rsid w:val="001F2D88"/>
    <w:rsid w:val="001F4F17"/>
    <w:rsid w:val="001F52E9"/>
    <w:rsid w:val="001F5BC4"/>
    <w:rsid w:val="001F6A09"/>
    <w:rsid w:val="001F6BF5"/>
    <w:rsid w:val="001F75FD"/>
    <w:rsid w:val="001F7672"/>
    <w:rsid w:val="002002EF"/>
    <w:rsid w:val="00200794"/>
    <w:rsid w:val="002018F9"/>
    <w:rsid w:val="00201B56"/>
    <w:rsid w:val="00201B76"/>
    <w:rsid w:val="00201C1F"/>
    <w:rsid w:val="00202269"/>
    <w:rsid w:val="002022D8"/>
    <w:rsid w:val="00202410"/>
    <w:rsid w:val="002025D6"/>
    <w:rsid w:val="002027D5"/>
    <w:rsid w:val="00203541"/>
    <w:rsid w:val="00203D4F"/>
    <w:rsid w:val="00204111"/>
    <w:rsid w:val="0020423D"/>
    <w:rsid w:val="0020456D"/>
    <w:rsid w:val="00204AA2"/>
    <w:rsid w:val="00206330"/>
    <w:rsid w:val="002068CB"/>
    <w:rsid w:val="002069C9"/>
    <w:rsid w:val="002073BA"/>
    <w:rsid w:val="00207653"/>
    <w:rsid w:val="00207E41"/>
    <w:rsid w:val="002105EE"/>
    <w:rsid w:val="00210826"/>
    <w:rsid w:val="00210A36"/>
    <w:rsid w:val="00210C76"/>
    <w:rsid w:val="002111E4"/>
    <w:rsid w:val="00211265"/>
    <w:rsid w:val="002113D2"/>
    <w:rsid w:val="0021219A"/>
    <w:rsid w:val="0021251C"/>
    <w:rsid w:val="00212E1C"/>
    <w:rsid w:val="00213317"/>
    <w:rsid w:val="00213397"/>
    <w:rsid w:val="002139BD"/>
    <w:rsid w:val="002146D5"/>
    <w:rsid w:val="00215B4E"/>
    <w:rsid w:val="0021637E"/>
    <w:rsid w:val="00216399"/>
    <w:rsid w:val="00216F97"/>
    <w:rsid w:val="0021718C"/>
    <w:rsid w:val="00217246"/>
    <w:rsid w:val="0022044E"/>
    <w:rsid w:val="00220895"/>
    <w:rsid w:val="00220F7A"/>
    <w:rsid w:val="00221A18"/>
    <w:rsid w:val="00222258"/>
    <w:rsid w:val="00222C88"/>
    <w:rsid w:val="00222D00"/>
    <w:rsid w:val="002238F2"/>
    <w:rsid w:val="002246AA"/>
    <w:rsid w:val="00224E40"/>
    <w:rsid w:val="00225313"/>
    <w:rsid w:val="0022547F"/>
    <w:rsid w:val="00225481"/>
    <w:rsid w:val="00225AD2"/>
    <w:rsid w:val="00226096"/>
    <w:rsid w:val="00226270"/>
    <w:rsid w:val="00226428"/>
    <w:rsid w:val="002265CA"/>
    <w:rsid w:val="00227393"/>
    <w:rsid w:val="002275AB"/>
    <w:rsid w:val="0022776A"/>
    <w:rsid w:val="002301BC"/>
    <w:rsid w:val="002304DE"/>
    <w:rsid w:val="00230F91"/>
    <w:rsid w:val="002312E1"/>
    <w:rsid w:val="00231971"/>
    <w:rsid w:val="00231A83"/>
    <w:rsid w:val="002324F0"/>
    <w:rsid w:val="002326D9"/>
    <w:rsid w:val="00232B52"/>
    <w:rsid w:val="00232E06"/>
    <w:rsid w:val="002330FD"/>
    <w:rsid w:val="0023317C"/>
    <w:rsid w:val="00233525"/>
    <w:rsid w:val="00233ED1"/>
    <w:rsid w:val="00233F73"/>
    <w:rsid w:val="002340DC"/>
    <w:rsid w:val="00234443"/>
    <w:rsid w:val="00234ABA"/>
    <w:rsid w:val="00235BBB"/>
    <w:rsid w:val="002363C1"/>
    <w:rsid w:val="00236D2C"/>
    <w:rsid w:val="00237201"/>
    <w:rsid w:val="00237272"/>
    <w:rsid w:val="00237813"/>
    <w:rsid w:val="00237ACC"/>
    <w:rsid w:val="00237F33"/>
    <w:rsid w:val="00240228"/>
    <w:rsid w:val="002409DA"/>
    <w:rsid w:val="00241747"/>
    <w:rsid w:val="002425EF"/>
    <w:rsid w:val="00242793"/>
    <w:rsid w:val="00242C7A"/>
    <w:rsid w:val="00242D10"/>
    <w:rsid w:val="002431A4"/>
    <w:rsid w:val="00243685"/>
    <w:rsid w:val="00243EEF"/>
    <w:rsid w:val="0024413B"/>
    <w:rsid w:val="002447AB"/>
    <w:rsid w:val="00244D36"/>
    <w:rsid w:val="00244FAC"/>
    <w:rsid w:val="002455E3"/>
    <w:rsid w:val="0024584F"/>
    <w:rsid w:val="0024586D"/>
    <w:rsid w:val="00245F36"/>
    <w:rsid w:val="0024646C"/>
    <w:rsid w:val="00246964"/>
    <w:rsid w:val="00246A6F"/>
    <w:rsid w:val="00247613"/>
    <w:rsid w:val="00247A67"/>
    <w:rsid w:val="00247AA3"/>
    <w:rsid w:val="00247AD1"/>
    <w:rsid w:val="00250730"/>
    <w:rsid w:val="0025132E"/>
    <w:rsid w:val="00251A06"/>
    <w:rsid w:val="00251BBF"/>
    <w:rsid w:val="00251CCF"/>
    <w:rsid w:val="00251D5B"/>
    <w:rsid w:val="00251DD3"/>
    <w:rsid w:val="0025202F"/>
    <w:rsid w:val="00252108"/>
    <w:rsid w:val="00253B7A"/>
    <w:rsid w:val="00254151"/>
    <w:rsid w:val="00254ABF"/>
    <w:rsid w:val="002550A0"/>
    <w:rsid w:val="0025511A"/>
    <w:rsid w:val="002556E1"/>
    <w:rsid w:val="00255887"/>
    <w:rsid w:val="00255DBE"/>
    <w:rsid w:val="00255FF4"/>
    <w:rsid w:val="0025617F"/>
    <w:rsid w:val="0025636E"/>
    <w:rsid w:val="0025668F"/>
    <w:rsid w:val="00257065"/>
    <w:rsid w:val="00257570"/>
    <w:rsid w:val="0026097E"/>
    <w:rsid w:val="00260A89"/>
    <w:rsid w:val="00260CAE"/>
    <w:rsid w:val="0026146F"/>
    <w:rsid w:val="00261559"/>
    <w:rsid w:val="002617F6"/>
    <w:rsid w:val="002619AB"/>
    <w:rsid w:val="00261F71"/>
    <w:rsid w:val="002630A3"/>
    <w:rsid w:val="00263128"/>
    <w:rsid w:val="00263143"/>
    <w:rsid w:val="00263624"/>
    <w:rsid w:val="0026393C"/>
    <w:rsid w:val="00263C39"/>
    <w:rsid w:val="00263F7D"/>
    <w:rsid w:val="00264DCC"/>
    <w:rsid w:val="00265304"/>
    <w:rsid w:val="00265441"/>
    <w:rsid w:val="00265B66"/>
    <w:rsid w:val="00266804"/>
    <w:rsid w:val="00266C2A"/>
    <w:rsid w:val="0026744D"/>
    <w:rsid w:val="002678F9"/>
    <w:rsid w:val="0027098E"/>
    <w:rsid w:val="00270F32"/>
    <w:rsid w:val="00271277"/>
    <w:rsid w:val="002714A7"/>
    <w:rsid w:val="00271AC8"/>
    <w:rsid w:val="00271BFE"/>
    <w:rsid w:val="00272975"/>
    <w:rsid w:val="00272B7A"/>
    <w:rsid w:val="00272FD4"/>
    <w:rsid w:val="00273118"/>
    <w:rsid w:val="0027489A"/>
    <w:rsid w:val="00274F6F"/>
    <w:rsid w:val="002751D9"/>
    <w:rsid w:val="002760E6"/>
    <w:rsid w:val="002760EF"/>
    <w:rsid w:val="0027616A"/>
    <w:rsid w:val="0027623D"/>
    <w:rsid w:val="00276B44"/>
    <w:rsid w:val="00276F81"/>
    <w:rsid w:val="00277333"/>
    <w:rsid w:val="002775E6"/>
    <w:rsid w:val="00277762"/>
    <w:rsid w:val="00277D41"/>
    <w:rsid w:val="0028096B"/>
    <w:rsid w:val="00280C64"/>
    <w:rsid w:val="00281FB4"/>
    <w:rsid w:val="00282011"/>
    <w:rsid w:val="002823B4"/>
    <w:rsid w:val="002826BC"/>
    <w:rsid w:val="00282E86"/>
    <w:rsid w:val="0028307A"/>
    <w:rsid w:val="002834E0"/>
    <w:rsid w:val="00283DEE"/>
    <w:rsid w:val="002840EB"/>
    <w:rsid w:val="0028487A"/>
    <w:rsid w:val="00284AD0"/>
    <w:rsid w:val="002851ED"/>
    <w:rsid w:val="00285F36"/>
    <w:rsid w:val="002862B4"/>
    <w:rsid w:val="002862BA"/>
    <w:rsid w:val="0028648A"/>
    <w:rsid w:val="002866D5"/>
    <w:rsid w:val="00286C33"/>
    <w:rsid w:val="0028768B"/>
    <w:rsid w:val="00287870"/>
    <w:rsid w:val="00287F54"/>
    <w:rsid w:val="002901F1"/>
    <w:rsid w:val="00290209"/>
    <w:rsid w:val="00290AA9"/>
    <w:rsid w:val="0029113D"/>
    <w:rsid w:val="00291C70"/>
    <w:rsid w:val="0029239E"/>
    <w:rsid w:val="00292883"/>
    <w:rsid w:val="0029333E"/>
    <w:rsid w:val="002939E2"/>
    <w:rsid w:val="00293A9B"/>
    <w:rsid w:val="002948A1"/>
    <w:rsid w:val="002949C0"/>
    <w:rsid w:val="00294C71"/>
    <w:rsid w:val="002955B5"/>
    <w:rsid w:val="00295C8D"/>
    <w:rsid w:val="00295DA1"/>
    <w:rsid w:val="00296248"/>
    <w:rsid w:val="00296989"/>
    <w:rsid w:val="00296AC3"/>
    <w:rsid w:val="00296F10"/>
    <w:rsid w:val="0029770D"/>
    <w:rsid w:val="00297EFA"/>
    <w:rsid w:val="002A01BD"/>
    <w:rsid w:val="002A02AF"/>
    <w:rsid w:val="002A086C"/>
    <w:rsid w:val="002A10D0"/>
    <w:rsid w:val="002A12A0"/>
    <w:rsid w:val="002A2464"/>
    <w:rsid w:val="002A2708"/>
    <w:rsid w:val="002A296D"/>
    <w:rsid w:val="002A2AA6"/>
    <w:rsid w:val="002A33F9"/>
    <w:rsid w:val="002A38F8"/>
    <w:rsid w:val="002A3BC5"/>
    <w:rsid w:val="002A3D5E"/>
    <w:rsid w:val="002A417F"/>
    <w:rsid w:val="002A4763"/>
    <w:rsid w:val="002A543E"/>
    <w:rsid w:val="002A5F6D"/>
    <w:rsid w:val="002A62B9"/>
    <w:rsid w:val="002A6721"/>
    <w:rsid w:val="002A72E2"/>
    <w:rsid w:val="002A73AE"/>
    <w:rsid w:val="002A7C9C"/>
    <w:rsid w:val="002B0B86"/>
    <w:rsid w:val="002B0D3C"/>
    <w:rsid w:val="002B1622"/>
    <w:rsid w:val="002B19AD"/>
    <w:rsid w:val="002B2084"/>
    <w:rsid w:val="002B271E"/>
    <w:rsid w:val="002B3670"/>
    <w:rsid w:val="002B38C0"/>
    <w:rsid w:val="002B39AD"/>
    <w:rsid w:val="002B3DF6"/>
    <w:rsid w:val="002B417D"/>
    <w:rsid w:val="002B4B0F"/>
    <w:rsid w:val="002B4C60"/>
    <w:rsid w:val="002B4E34"/>
    <w:rsid w:val="002B53B1"/>
    <w:rsid w:val="002B5451"/>
    <w:rsid w:val="002B549B"/>
    <w:rsid w:val="002B54AF"/>
    <w:rsid w:val="002B5E45"/>
    <w:rsid w:val="002B643C"/>
    <w:rsid w:val="002B6E4F"/>
    <w:rsid w:val="002B6F5D"/>
    <w:rsid w:val="002B720D"/>
    <w:rsid w:val="002B730F"/>
    <w:rsid w:val="002B7804"/>
    <w:rsid w:val="002B7997"/>
    <w:rsid w:val="002B7FE9"/>
    <w:rsid w:val="002C01C8"/>
    <w:rsid w:val="002C03EA"/>
    <w:rsid w:val="002C0619"/>
    <w:rsid w:val="002C0733"/>
    <w:rsid w:val="002C0E05"/>
    <w:rsid w:val="002C0FD5"/>
    <w:rsid w:val="002C100E"/>
    <w:rsid w:val="002C16E1"/>
    <w:rsid w:val="002C1B39"/>
    <w:rsid w:val="002C22B6"/>
    <w:rsid w:val="002C2AA2"/>
    <w:rsid w:val="002C2B12"/>
    <w:rsid w:val="002C2B2E"/>
    <w:rsid w:val="002C2D46"/>
    <w:rsid w:val="002C3100"/>
    <w:rsid w:val="002C349A"/>
    <w:rsid w:val="002C3C60"/>
    <w:rsid w:val="002C3C76"/>
    <w:rsid w:val="002C3CAE"/>
    <w:rsid w:val="002C4B43"/>
    <w:rsid w:val="002C4BB9"/>
    <w:rsid w:val="002C59D8"/>
    <w:rsid w:val="002C5A08"/>
    <w:rsid w:val="002C5C1A"/>
    <w:rsid w:val="002C6983"/>
    <w:rsid w:val="002C76AE"/>
    <w:rsid w:val="002D0F99"/>
    <w:rsid w:val="002D1695"/>
    <w:rsid w:val="002D1B59"/>
    <w:rsid w:val="002D22CE"/>
    <w:rsid w:val="002D2FB3"/>
    <w:rsid w:val="002D339A"/>
    <w:rsid w:val="002D3BE5"/>
    <w:rsid w:val="002D4982"/>
    <w:rsid w:val="002D5281"/>
    <w:rsid w:val="002D6649"/>
    <w:rsid w:val="002D67CC"/>
    <w:rsid w:val="002D6809"/>
    <w:rsid w:val="002D695F"/>
    <w:rsid w:val="002D70B2"/>
    <w:rsid w:val="002D7182"/>
    <w:rsid w:val="002D739B"/>
    <w:rsid w:val="002E004A"/>
    <w:rsid w:val="002E022E"/>
    <w:rsid w:val="002E0266"/>
    <w:rsid w:val="002E0F13"/>
    <w:rsid w:val="002E10E3"/>
    <w:rsid w:val="002E18BA"/>
    <w:rsid w:val="002E1A72"/>
    <w:rsid w:val="002E1BFF"/>
    <w:rsid w:val="002E2199"/>
    <w:rsid w:val="002E2A06"/>
    <w:rsid w:val="002E2D8A"/>
    <w:rsid w:val="002E2E5E"/>
    <w:rsid w:val="002E2FAC"/>
    <w:rsid w:val="002E3228"/>
    <w:rsid w:val="002E332D"/>
    <w:rsid w:val="002E4A44"/>
    <w:rsid w:val="002E4E3A"/>
    <w:rsid w:val="002E5718"/>
    <w:rsid w:val="002E5F5E"/>
    <w:rsid w:val="002E5F63"/>
    <w:rsid w:val="002E6177"/>
    <w:rsid w:val="002E6861"/>
    <w:rsid w:val="002E690F"/>
    <w:rsid w:val="002E7783"/>
    <w:rsid w:val="002E791F"/>
    <w:rsid w:val="002E7AFB"/>
    <w:rsid w:val="002E7B16"/>
    <w:rsid w:val="002F00D1"/>
    <w:rsid w:val="002F048D"/>
    <w:rsid w:val="002F0732"/>
    <w:rsid w:val="002F0AAD"/>
    <w:rsid w:val="002F11B6"/>
    <w:rsid w:val="002F1690"/>
    <w:rsid w:val="002F1750"/>
    <w:rsid w:val="002F2477"/>
    <w:rsid w:val="002F24E0"/>
    <w:rsid w:val="002F292B"/>
    <w:rsid w:val="002F30D7"/>
    <w:rsid w:val="002F3386"/>
    <w:rsid w:val="002F3457"/>
    <w:rsid w:val="002F39D6"/>
    <w:rsid w:val="002F4741"/>
    <w:rsid w:val="002F482D"/>
    <w:rsid w:val="002F506F"/>
    <w:rsid w:val="002F54C9"/>
    <w:rsid w:val="002F5A06"/>
    <w:rsid w:val="002F627C"/>
    <w:rsid w:val="002F643A"/>
    <w:rsid w:val="002F6768"/>
    <w:rsid w:val="002F6D0E"/>
    <w:rsid w:val="002F6EDB"/>
    <w:rsid w:val="002F76A8"/>
    <w:rsid w:val="0030041C"/>
    <w:rsid w:val="00300587"/>
    <w:rsid w:val="003006BB"/>
    <w:rsid w:val="00301DCD"/>
    <w:rsid w:val="00303DB4"/>
    <w:rsid w:val="00304051"/>
    <w:rsid w:val="003042B7"/>
    <w:rsid w:val="00304945"/>
    <w:rsid w:val="00304F1E"/>
    <w:rsid w:val="003059EF"/>
    <w:rsid w:val="00305A0A"/>
    <w:rsid w:val="00306397"/>
    <w:rsid w:val="00306B06"/>
    <w:rsid w:val="00307363"/>
    <w:rsid w:val="00312962"/>
    <w:rsid w:val="00313490"/>
    <w:rsid w:val="00313A99"/>
    <w:rsid w:val="00313AA3"/>
    <w:rsid w:val="00313E1A"/>
    <w:rsid w:val="0031405E"/>
    <w:rsid w:val="00314A14"/>
    <w:rsid w:val="00314B5E"/>
    <w:rsid w:val="0031524E"/>
    <w:rsid w:val="00315552"/>
    <w:rsid w:val="00315A4F"/>
    <w:rsid w:val="003162FF"/>
    <w:rsid w:val="0031650F"/>
    <w:rsid w:val="0032032E"/>
    <w:rsid w:val="00320564"/>
    <w:rsid w:val="00320821"/>
    <w:rsid w:val="00320CB6"/>
    <w:rsid w:val="00320DBE"/>
    <w:rsid w:val="00320DC7"/>
    <w:rsid w:val="003215AB"/>
    <w:rsid w:val="00321809"/>
    <w:rsid w:val="00321A15"/>
    <w:rsid w:val="00322BF7"/>
    <w:rsid w:val="00322C56"/>
    <w:rsid w:val="00323E4A"/>
    <w:rsid w:val="0032469C"/>
    <w:rsid w:val="00324D55"/>
    <w:rsid w:val="00324F60"/>
    <w:rsid w:val="003251FB"/>
    <w:rsid w:val="0032589B"/>
    <w:rsid w:val="0032590F"/>
    <w:rsid w:val="00325FB7"/>
    <w:rsid w:val="00326009"/>
    <w:rsid w:val="003267DE"/>
    <w:rsid w:val="00326883"/>
    <w:rsid w:val="00326A13"/>
    <w:rsid w:val="00326AE4"/>
    <w:rsid w:val="00326D55"/>
    <w:rsid w:val="003276BF"/>
    <w:rsid w:val="00327BCE"/>
    <w:rsid w:val="003306BE"/>
    <w:rsid w:val="00331020"/>
    <w:rsid w:val="003310C7"/>
    <w:rsid w:val="003315FE"/>
    <w:rsid w:val="00331D03"/>
    <w:rsid w:val="003321E3"/>
    <w:rsid w:val="0033230A"/>
    <w:rsid w:val="00332A50"/>
    <w:rsid w:val="0033347A"/>
    <w:rsid w:val="00333AF5"/>
    <w:rsid w:val="00334DC5"/>
    <w:rsid w:val="00335F70"/>
    <w:rsid w:val="0034003E"/>
    <w:rsid w:val="00340907"/>
    <w:rsid w:val="003409DF"/>
    <w:rsid w:val="00340B08"/>
    <w:rsid w:val="00340C91"/>
    <w:rsid w:val="00340C92"/>
    <w:rsid w:val="0034145B"/>
    <w:rsid w:val="003419A3"/>
    <w:rsid w:val="00342D78"/>
    <w:rsid w:val="00342F67"/>
    <w:rsid w:val="0034357D"/>
    <w:rsid w:val="003440AB"/>
    <w:rsid w:val="003446E4"/>
    <w:rsid w:val="0034491B"/>
    <w:rsid w:val="0034491D"/>
    <w:rsid w:val="0034513E"/>
    <w:rsid w:val="003458C8"/>
    <w:rsid w:val="00345AF5"/>
    <w:rsid w:val="00345D9E"/>
    <w:rsid w:val="00346194"/>
    <w:rsid w:val="00346242"/>
    <w:rsid w:val="00346B1A"/>
    <w:rsid w:val="00346D04"/>
    <w:rsid w:val="003470A8"/>
    <w:rsid w:val="003475EF"/>
    <w:rsid w:val="00347CCD"/>
    <w:rsid w:val="0035040B"/>
    <w:rsid w:val="00350608"/>
    <w:rsid w:val="003506B3"/>
    <w:rsid w:val="00350D99"/>
    <w:rsid w:val="00351D10"/>
    <w:rsid w:val="00352630"/>
    <w:rsid w:val="003531CB"/>
    <w:rsid w:val="00353A58"/>
    <w:rsid w:val="00353D9B"/>
    <w:rsid w:val="00353EDD"/>
    <w:rsid w:val="00354556"/>
    <w:rsid w:val="0035461B"/>
    <w:rsid w:val="00354995"/>
    <w:rsid w:val="00354CB5"/>
    <w:rsid w:val="00354EE8"/>
    <w:rsid w:val="003554F1"/>
    <w:rsid w:val="0035593B"/>
    <w:rsid w:val="00355A9C"/>
    <w:rsid w:val="00356421"/>
    <w:rsid w:val="003564D6"/>
    <w:rsid w:val="003565D7"/>
    <w:rsid w:val="003569D9"/>
    <w:rsid w:val="00356A14"/>
    <w:rsid w:val="00356B4E"/>
    <w:rsid w:val="00356E07"/>
    <w:rsid w:val="00356FCB"/>
    <w:rsid w:val="003574D2"/>
    <w:rsid w:val="00357F9A"/>
    <w:rsid w:val="003604EF"/>
    <w:rsid w:val="00360713"/>
    <w:rsid w:val="00360CFE"/>
    <w:rsid w:val="00361078"/>
    <w:rsid w:val="00361261"/>
    <w:rsid w:val="00361AFE"/>
    <w:rsid w:val="00362322"/>
    <w:rsid w:val="00362474"/>
    <w:rsid w:val="003624D3"/>
    <w:rsid w:val="0036264A"/>
    <w:rsid w:val="00362B3A"/>
    <w:rsid w:val="00362BB8"/>
    <w:rsid w:val="00362BDB"/>
    <w:rsid w:val="00363C4E"/>
    <w:rsid w:val="00363CF8"/>
    <w:rsid w:val="003642F6"/>
    <w:rsid w:val="00364904"/>
    <w:rsid w:val="0036513D"/>
    <w:rsid w:val="00365A1D"/>
    <w:rsid w:val="00366663"/>
    <w:rsid w:val="003669C5"/>
    <w:rsid w:val="00366D30"/>
    <w:rsid w:val="003670F2"/>
    <w:rsid w:val="00367DF5"/>
    <w:rsid w:val="00370012"/>
    <w:rsid w:val="00370D96"/>
    <w:rsid w:val="00371418"/>
    <w:rsid w:val="003716B6"/>
    <w:rsid w:val="0037172B"/>
    <w:rsid w:val="003717BA"/>
    <w:rsid w:val="003718F9"/>
    <w:rsid w:val="00371A97"/>
    <w:rsid w:val="00371CCF"/>
    <w:rsid w:val="00373F99"/>
    <w:rsid w:val="003740F1"/>
    <w:rsid w:val="00374A56"/>
    <w:rsid w:val="00375810"/>
    <w:rsid w:val="00375819"/>
    <w:rsid w:val="00375D1E"/>
    <w:rsid w:val="00375F36"/>
    <w:rsid w:val="003763FE"/>
    <w:rsid w:val="00376FA0"/>
    <w:rsid w:val="0037722C"/>
    <w:rsid w:val="00377D17"/>
    <w:rsid w:val="003803AD"/>
    <w:rsid w:val="003803EF"/>
    <w:rsid w:val="00380AC9"/>
    <w:rsid w:val="00380D7C"/>
    <w:rsid w:val="003812C6"/>
    <w:rsid w:val="00381B9B"/>
    <w:rsid w:val="00381F2C"/>
    <w:rsid w:val="0038287A"/>
    <w:rsid w:val="00382E96"/>
    <w:rsid w:val="0038312E"/>
    <w:rsid w:val="00383212"/>
    <w:rsid w:val="00383327"/>
    <w:rsid w:val="00383B37"/>
    <w:rsid w:val="003843D8"/>
    <w:rsid w:val="00384E5E"/>
    <w:rsid w:val="00384EE9"/>
    <w:rsid w:val="00384F6C"/>
    <w:rsid w:val="0038611B"/>
    <w:rsid w:val="00386519"/>
    <w:rsid w:val="00386A94"/>
    <w:rsid w:val="00386E6D"/>
    <w:rsid w:val="003874B4"/>
    <w:rsid w:val="0038762E"/>
    <w:rsid w:val="00390D40"/>
    <w:rsid w:val="003919EA"/>
    <w:rsid w:val="00391F76"/>
    <w:rsid w:val="003921C8"/>
    <w:rsid w:val="00392A57"/>
    <w:rsid w:val="00392E46"/>
    <w:rsid w:val="00392F14"/>
    <w:rsid w:val="00392F61"/>
    <w:rsid w:val="003939E7"/>
    <w:rsid w:val="00393CFE"/>
    <w:rsid w:val="00393F7B"/>
    <w:rsid w:val="003940F1"/>
    <w:rsid w:val="003942B4"/>
    <w:rsid w:val="00394920"/>
    <w:rsid w:val="00395063"/>
    <w:rsid w:val="0039524C"/>
    <w:rsid w:val="003963FC"/>
    <w:rsid w:val="003965FB"/>
    <w:rsid w:val="00396710"/>
    <w:rsid w:val="0039672C"/>
    <w:rsid w:val="003968A9"/>
    <w:rsid w:val="003968AF"/>
    <w:rsid w:val="00397273"/>
    <w:rsid w:val="003974F7"/>
    <w:rsid w:val="0039776F"/>
    <w:rsid w:val="003A03BA"/>
    <w:rsid w:val="003A0C99"/>
    <w:rsid w:val="003A1638"/>
    <w:rsid w:val="003A2173"/>
    <w:rsid w:val="003A23B8"/>
    <w:rsid w:val="003A2972"/>
    <w:rsid w:val="003A2BB4"/>
    <w:rsid w:val="003A371E"/>
    <w:rsid w:val="003A3D13"/>
    <w:rsid w:val="003A44EC"/>
    <w:rsid w:val="003A4543"/>
    <w:rsid w:val="003A465E"/>
    <w:rsid w:val="003A4F59"/>
    <w:rsid w:val="003A532F"/>
    <w:rsid w:val="003A5B4E"/>
    <w:rsid w:val="003A5C71"/>
    <w:rsid w:val="003A6DB7"/>
    <w:rsid w:val="003A75B4"/>
    <w:rsid w:val="003A7DC6"/>
    <w:rsid w:val="003B0650"/>
    <w:rsid w:val="003B0B5E"/>
    <w:rsid w:val="003B141B"/>
    <w:rsid w:val="003B1747"/>
    <w:rsid w:val="003B2A42"/>
    <w:rsid w:val="003B2BDE"/>
    <w:rsid w:val="003B2FA7"/>
    <w:rsid w:val="003B3C15"/>
    <w:rsid w:val="003B467E"/>
    <w:rsid w:val="003B4B57"/>
    <w:rsid w:val="003B64D9"/>
    <w:rsid w:val="003B6622"/>
    <w:rsid w:val="003B6839"/>
    <w:rsid w:val="003B6A1A"/>
    <w:rsid w:val="003B6D6E"/>
    <w:rsid w:val="003B71BE"/>
    <w:rsid w:val="003B72A1"/>
    <w:rsid w:val="003B78FB"/>
    <w:rsid w:val="003B7BC3"/>
    <w:rsid w:val="003B7CE1"/>
    <w:rsid w:val="003C0ADD"/>
    <w:rsid w:val="003C0BCE"/>
    <w:rsid w:val="003C0DCA"/>
    <w:rsid w:val="003C0EBF"/>
    <w:rsid w:val="003C1264"/>
    <w:rsid w:val="003C20CF"/>
    <w:rsid w:val="003C21A4"/>
    <w:rsid w:val="003C2541"/>
    <w:rsid w:val="003C273C"/>
    <w:rsid w:val="003C2A4D"/>
    <w:rsid w:val="003C325D"/>
    <w:rsid w:val="003C32AF"/>
    <w:rsid w:val="003C3DF1"/>
    <w:rsid w:val="003C4910"/>
    <w:rsid w:val="003C4EF9"/>
    <w:rsid w:val="003C5E01"/>
    <w:rsid w:val="003C66F1"/>
    <w:rsid w:val="003C6856"/>
    <w:rsid w:val="003C768E"/>
    <w:rsid w:val="003C78E0"/>
    <w:rsid w:val="003C7ACB"/>
    <w:rsid w:val="003D05B6"/>
    <w:rsid w:val="003D0C39"/>
    <w:rsid w:val="003D169B"/>
    <w:rsid w:val="003D23E2"/>
    <w:rsid w:val="003D23F2"/>
    <w:rsid w:val="003D27AC"/>
    <w:rsid w:val="003D2C5E"/>
    <w:rsid w:val="003D329B"/>
    <w:rsid w:val="003D4238"/>
    <w:rsid w:val="003D4A47"/>
    <w:rsid w:val="003D579B"/>
    <w:rsid w:val="003D5BA6"/>
    <w:rsid w:val="003D5C44"/>
    <w:rsid w:val="003D6371"/>
    <w:rsid w:val="003D71EF"/>
    <w:rsid w:val="003D778E"/>
    <w:rsid w:val="003D7B97"/>
    <w:rsid w:val="003E14BB"/>
    <w:rsid w:val="003E15F3"/>
    <w:rsid w:val="003E16C7"/>
    <w:rsid w:val="003E1DB8"/>
    <w:rsid w:val="003E292F"/>
    <w:rsid w:val="003E2A58"/>
    <w:rsid w:val="003E2E53"/>
    <w:rsid w:val="003E3196"/>
    <w:rsid w:val="003E3221"/>
    <w:rsid w:val="003E4A78"/>
    <w:rsid w:val="003E4BD2"/>
    <w:rsid w:val="003E599E"/>
    <w:rsid w:val="003E59E2"/>
    <w:rsid w:val="003E5C8C"/>
    <w:rsid w:val="003E7109"/>
    <w:rsid w:val="003E7A0C"/>
    <w:rsid w:val="003E7AC3"/>
    <w:rsid w:val="003E7F11"/>
    <w:rsid w:val="003F0161"/>
    <w:rsid w:val="003F1055"/>
    <w:rsid w:val="003F1192"/>
    <w:rsid w:val="003F1BB8"/>
    <w:rsid w:val="003F1BE4"/>
    <w:rsid w:val="003F25B6"/>
    <w:rsid w:val="003F3003"/>
    <w:rsid w:val="003F3A07"/>
    <w:rsid w:val="003F40E1"/>
    <w:rsid w:val="003F41FF"/>
    <w:rsid w:val="003F4756"/>
    <w:rsid w:val="003F4CDE"/>
    <w:rsid w:val="003F4ED0"/>
    <w:rsid w:val="003F599E"/>
    <w:rsid w:val="003F5B7F"/>
    <w:rsid w:val="003F5C93"/>
    <w:rsid w:val="003F5DC4"/>
    <w:rsid w:val="003F5EF3"/>
    <w:rsid w:val="003F6AA4"/>
    <w:rsid w:val="003F6E8D"/>
    <w:rsid w:val="003F725C"/>
    <w:rsid w:val="0040005D"/>
    <w:rsid w:val="00400C8D"/>
    <w:rsid w:val="00401167"/>
    <w:rsid w:val="00401666"/>
    <w:rsid w:val="00401821"/>
    <w:rsid w:val="0040292F"/>
    <w:rsid w:val="00402F1A"/>
    <w:rsid w:val="00403923"/>
    <w:rsid w:val="004039F5"/>
    <w:rsid w:val="00404233"/>
    <w:rsid w:val="00405D2E"/>
    <w:rsid w:val="00405D8B"/>
    <w:rsid w:val="00405F3B"/>
    <w:rsid w:val="00406141"/>
    <w:rsid w:val="004065DA"/>
    <w:rsid w:val="00406AB7"/>
    <w:rsid w:val="00406E95"/>
    <w:rsid w:val="0040707D"/>
    <w:rsid w:val="00407396"/>
    <w:rsid w:val="0040753B"/>
    <w:rsid w:val="004078B9"/>
    <w:rsid w:val="00410517"/>
    <w:rsid w:val="0041057B"/>
    <w:rsid w:val="00410594"/>
    <w:rsid w:val="00410A78"/>
    <w:rsid w:val="00410D2F"/>
    <w:rsid w:val="00411957"/>
    <w:rsid w:val="00411F3A"/>
    <w:rsid w:val="0041274C"/>
    <w:rsid w:val="00412BBE"/>
    <w:rsid w:val="00412E5A"/>
    <w:rsid w:val="00414312"/>
    <w:rsid w:val="00414B06"/>
    <w:rsid w:val="00414E1D"/>
    <w:rsid w:val="00415125"/>
    <w:rsid w:val="00415210"/>
    <w:rsid w:val="00415CCA"/>
    <w:rsid w:val="0041606D"/>
    <w:rsid w:val="004165F5"/>
    <w:rsid w:val="00416BD5"/>
    <w:rsid w:val="00416EB8"/>
    <w:rsid w:val="0041799D"/>
    <w:rsid w:val="00417AF3"/>
    <w:rsid w:val="00417D39"/>
    <w:rsid w:val="00420C8C"/>
    <w:rsid w:val="004214EA"/>
    <w:rsid w:val="00421F44"/>
    <w:rsid w:val="00422FCC"/>
    <w:rsid w:val="00423306"/>
    <w:rsid w:val="00423525"/>
    <w:rsid w:val="00423BDF"/>
    <w:rsid w:val="00423C9E"/>
    <w:rsid w:val="004243CC"/>
    <w:rsid w:val="004248B6"/>
    <w:rsid w:val="00424E1B"/>
    <w:rsid w:val="0042548B"/>
    <w:rsid w:val="00425617"/>
    <w:rsid w:val="004261B0"/>
    <w:rsid w:val="0042637F"/>
    <w:rsid w:val="00426381"/>
    <w:rsid w:val="0042652A"/>
    <w:rsid w:val="00426646"/>
    <w:rsid w:val="00426D0D"/>
    <w:rsid w:val="004270B8"/>
    <w:rsid w:val="004273A1"/>
    <w:rsid w:val="00430732"/>
    <w:rsid w:val="00431CC8"/>
    <w:rsid w:val="00431E75"/>
    <w:rsid w:val="00432267"/>
    <w:rsid w:val="004323B2"/>
    <w:rsid w:val="004327A6"/>
    <w:rsid w:val="00432B74"/>
    <w:rsid w:val="00432CB4"/>
    <w:rsid w:val="0043368F"/>
    <w:rsid w:val="00433719"/>
    <w:rsid w:val="004337A6"/>
    <w:rsid w:val="004337AD"/>
    <w:rsid w:val="00433C4A"/>
    <w:rsid w:val="00433C8E"/>
    <w:rsid w:val="00434DCF"/>
    <w:rsid w:val="004350CC"/>
    <w:rsid w:val="0043597B"/>
    <w:rsid w:val="004359B2"/>
    <w:rsid w:val="00435ED5"/>
    <w:rsid w:val="004361E5"/>
    <w:rsid w:val="00436A72"/>
    <w:rsid w:val="004371E1"/>
    <w:rsid w:val="004374A3"/>
    <w:rsid w:val="004374F1"/>
    <w:rsid w:val="00437CBB"/>
    <w:rsid w:val="00437CE0"/>
    <w:rsid w:val="004401FF"/>
    <w:rsid w:val="00440C4A"/>
    <w:rsid w:val="0044103B"/>
    <w:rsid w:val="00441553"/>
    <w:rsid w:val="00441CEF"/>
    <w:rsid w:val="00441DDB"/>
    <w:rsid w:val="00441FE3"/>
    <w:rsid w:val="00442EF8"/>
    <w:rsid w:val="0044350A"/>
    <w:rsid w:val="00443F11"/>
    <w:rsid w:val="00443F5D"/>
    <w:rsid w:val="00444012"/>
    <w:rsid w:val="00444496"/>
    <w:rsid w:val="00444ABA"/>
    <w:rsid w:val="00444E69"/>
    <w:rsid w:val="00445264"/>
    <w:rsid w:val="0044536A"/>
    <w:rsid w:val="004456C7"/>
    <w:rsid w:val="0044574F"/>
    <w:rsid w:val="00446172"/>
    <w:rsid w:val="0044660F"/>
    <w:rsid w:val="004471E8"/>
    <w:rsid w:val="00447B61"/>
    <w:rsid w:val="0045041A"/>
    <w:rsid w:val="0045067E"/>
    <w:rsid w:val="00450C0D"/>
    <w:rsid w:val="00450D56"/>
    <w:rsid w:val="00450ECD"/>
    <w:rsid w:val="0045172E"/>
    <w:rsid w:val="004522E8"/>
    <w:rsid w:val="0045298E"/>
    <w:rsid w:val="004529A9"/>
    <w:rsid w:val="00453127"/>
    <w:rsid w:val="004537E6"/>
    <w:rsid w:val="00453A07"/>
    <w:rsid w:val="00453A32"/>
    <w:rsid w:val="00453B73"/>
    <w:rsid w:val="00453EF5"/>
    <w:rsid w:val="004541BD"/>
    <w:rsid w:val="00454458"/>
    <w:rsid w:val="0045471B"/>
    <w:rsid w:val="00455423"/>
    <w:rsid w:val="00455859"/>
    <w:rsid w:val="00455B54"/>
    <w:rsid w:val="00455BFC"/>
    <w:rsid w:val="004561E8"/>
    <w:rsid w:val="00456992"/>
    <w:rsid w:val="004577D4"/>
    <w:rsid w:val="004601F6"/>
    <w:rsid w:val="004604A3"/>
    <w:rsid w:val="00460530"/>
    <w:rsid w:val="00460835"/>
    <w:rsid w:val="0046097B"/>
    <w:rsid w:val="00462167"/>
    <w:rsid w:val="00462B66"/>
    <w:rsid w:val="00462CB0"/>
    <w:rsid w:val="004638D9"/>
    <w:rsid w:val="00463A0A"/>
    <w:rsid w:val="00464380"/>
    <w:rsid w:val="00464874"/>
    <w:rsid w:val="004653F9"/>
    <w:rsid w:val="0046606E"/>
    <w:rsid w:val="004672F0"/>
    <w:rsid w:val="00467BA4"/>
    <w:rsid w:val="00467CF0"/>
    <w:rsid w:val="00470C38"/>
    <w:rsid w:val="00470D36"/>
    <w:rsid w:val="00470D9D"/>
    <w:rsid w:val="00471A62"/>
    <w:rsid w:val="004722C6"/>
    <w:rsid w:val="00472353"/>
    <w:rsid w:val="0047239B"/>
    <w:rsid w:val="00472776"/>
    <w:rsid w:val="00472C74"/>
    <w:rsid w:val="00472F5D"/>
    <w:rsid w:val="00473208"/>
    <w:rsid w:val="004738B8"/>
    <w:rsid w:val="00473CF7"/>
    <w:rsid w:val="004754D2"/>
    <w:rsid w:val="004757D5"/>
    <w:rsid w:val="00475F72"/>
    <w:rsid w:val="004762C6"/>
    <w:rsid w:val="00476844"/>
    <w:rsid w:val="00476BCE"/>
    <w:rsid w:val="00477503"/>
    <w:rsid w:val="00477666"/>
    <w:rsid w:val="0047772E"/>
    <w:rsid w:val="00477899"/>
    <w:rsid w:val="00477C7B"/>
    <w:rsid w:val="00480B26"/>
    <w:rsid w:val="00480DBF"/>
    <w:rsid w:val="004821E4"/>
    <w:rsid w:val="00482580"/>
    <w:rsid w:val="00482595"/>
    <w:rsid w:val="004826C7"/>
    <w:rsid w:val="00482714"/>
    <w:rsid w:val="00482CD1"/>
    <w:rsid w:val="00482E43"/>
    <w:rsid w:val="00483C64"/>
    <w:rsid w:val="00483E51"/>
    <w:rsid w:val="00483E5C"/>
    <w:rsid w:val="0048412E"/>
    <w:rsid w:val="00484D33"/>
    <w:rsid w:val="00484DE6"/>
    <w:rsid w:val="004853CE"/>
    <w:rsid w:val="00485483"/>
    <w:rsid w:val="00485655"/>
    <w:rsid w:val="0048589D"/>
    <w:rsid w:val="00485A89"/>
    <w:rsid w:val="00485C34"/>
    <w:rsid w:val="00485F12"/>
    <w:rsid w:val="004865FA"/>
    <w:rsid w:val="0048688C"/>
    <w:rsid w:val="00487235"/>
    <w:rsid w:val="00487C2A"/>
    <w:rsid w:val="0049030C"/>
    <w:rsid w:val="00490B04"/>
    <w:rsid w:val="00491F0C"/>
    <w:rsid w:val="004921BD"/>
    <w:rsid w:val="00492470"/>
    <w:rsid w:val="00492845"/>
    <w:rsid w:val="00492905"/>
    <w:rsid w:val="00492DCF"/>
    <w:rsid w:val="00493235"/>
    <w:rsid w:val="00493D38"/>
    <w:rsid w:val="00493D8C"/>
    <w:rsid w:val="0049463C"/>
    <w:rsid w:val="00494A1A"/>
    <w:rsid w:val="00494B08"/>
    <w:rsid w:val="00494E3F"/>
    <w:rsid w:val="004955F8"/>
    <w:rsid w:val="0049632B"/>
    <w:rsid w:val="00496637"/>
    <w:rsid w:val="004976C3"/>
    <w:rsid w:val="00497C3F"/>
    <w:rsid w:val="004A12D0"/>
    <w:rsid w:val="004A12F0"/>
    <w:rsid w:val="004A170E"/>
    <w:rsid w:val="004A1AAB"/>
    <w:rsid w:val="004A2008"/>
    <w:rsid w:val="004A2105"/>
    <w:rsid w:val="004A2368"/>
    <w:rsid w:val="004A2737"/>
    <w:rsid w:val="004A3E19"/>
    <w:rsid w:val="004A4206"/>
    <w:rsid w:val="004A434D"/>
    <w:rsid w:val="004A4A7B"/>
    <w:rsid w:val="004A5246"/>
    <w:rsid w:val="004A63B1"/>
    <w:rsid w:val="004A650D"/>
    <w:rsid w:val="004A6B03"/>
    <w:rsid w:val="004A7EE5"/>
    <w:rsid w:val="004B013A"/>
    <w:rsid w:val="004B0A3D"/>
    <w:rsid w:val="004B0CB4"/>
    <w:rsid w:val="004B118C"/>
    <w:rsid w:val="004B130B"/>
    <w:rsid w:val="004B178E"/>
    <w:rsid w:val="004B24B5"/>
    <w:rsid w:val="004B24C5"/>
    <w:rsid w:val="004B255A"/>
    <w:rsid w:val="004B2CAB"/>
    <w:rsid w:val="004B2FD7"/>
    <w:rsid w:val="004B35F1"/>
    <w:rsid w:val="004B3D50"/>
    <w:rsid w:val="004B4347"/>
    <w:rsid w:val="004B4476"/>
    <w:rsid w:val="004B44CC"/>
    <w:rsid w:val="004B4C26"/>
    <w:rsid w:val="004B5097"/>
    <w:rsid w:val="004B50C6"/>
    <w:rsid w:val="004B51A6"/>
    <w:rsid w:val="004B55D7"/>
    <w:rsid w:val="004B7207"/>
    <w:rsid w:val="004B735C"/>
    <w:rsid w:val="004B7396"/>
    <w:rsid w:val="004B7423"/>
    <w:rsid w:val="004B753F"/>
    <w:rsid w:val="004B76E9"/>
    <w:rsid w:val="004B79B4"/>
    <w:rsid w:val="004B7A4D"/>
    <w:rsid w:val="004C0096"/>
    <w:rsid w:val="004C0499"/>
    <w:rsid w:val="004C054E"/>
    <w:rsid w:val="004C0F3C"/>
    <w:rsid w:val="004C115A"/>
    <w:rsid w:val="004C13DC"/>
    <w:rsid w:val="004C1967"/>
    <w:rsid w:val="004C1EBB"/>
    <w:rsid w:val="004C252E"/>
    <w:rsid w:val="004C2BFE"/>
    <w:rsid w:val="004C398D"/>
    <w:rsid w:val="004C45E2"/>
    <w:rsid w:val="004C4A14"/>
    <w:rsid w:val="004C5CED"/>
    <w:rsid w:val="004C5F45"/>
    <w:rsid w:val="004C6023"/>
    <w:rsid w:val="004C6A56"/>
    <w:rsid w:val="004C6BC5"/>
    <w:rsid w:val="004C74C5"/>
    <w:rsid w:val="004C7739"/>
    <w:rsid w:val="004C7D5F"/>
    <w:rsid w:val="004D028D"/>
    <w:rsid w:val="004D0619"/>
    <w:rsid w:val="004D0B35"/>
    <w:rsid w:val="004D22B9"/>
    <w:rsid w:val="004D2639"/>
    <w:rsid w:val="004D2EA3"/>
    <w:rsid w:val="004D4566"/>
    <w:rsid w:val="004D53FF"/>
    <w:rsid w:val="004D5D82"/>
    <w:rsid w:val="004D6E2A"/>
    <w:rsid w:val="004D72D5"/>
    <w:rsid w:val="004D77D8"/>
    <w:rsid w:val="004D7945"/>
    <w:rsid w:val="004D795E"/>
    <w:rsid w:val="004D7C83"/>
    <w:rsid w:val="004E04B1"/>
    <w:rsid w:val="004E0A68"/>
    <w:rsid w:val="004E1B49"/>
    <w:rsid w:val="004E2083"/>
    <w:rsid w:val="004E2933"/>
    <w:rsid w:val="004E3062"/>
    <w:rsid w:val="004E3732"/>
    <w:rsid w:val="004E3B23"/>
    <w:rsid w:val="004E42A6"/>
    <w:rsid w:val="004E48B9"/>
    <w:rsid w:val="004E4979"/>
    <w:rsid w:val="004E5A8C"/>
    <w:rsid w:val="004E5C25"/>
    <w:rsid w:val="004E5E14"/>
    <w:rsid w:val="004E6AD8"/>
    <w:rsid w:val="004E6FFE"/>
    <w:rsid w:val="004E7258"/>
    <w:rsid w:val="004E72AC"/>
    <w:rsid w:val="004E72E5"/>
    <w:rsid w:val="004E78B4"/>
    <w:rsid w:val="004E79CF"/>
    <w:rsid w:val="004F004A"/>
    <w:rsid w:val="004F082E"/>
    <w:rsid w:val="004F0BB8"/>
    <w:rsid w:val="004F1026"/>
    <w:rsid w:val="004F142D"/>
    <w:rsid w:val="004F193D"/>
    <w:rsid w:val="004F1A88"/>
    <w:rsid w:val="004F2529"/>
    <w:rsid w:val="004F2B86"/>
    <w:rsid w:val="004F2F19"/>
    <w:rsid w:val="004F3487"/>
    <w:rsid w:val="004F34B1"/>
    <w:rsid w:val="004F36FD"/>
    <w:rsid w:val="004F46A4"/>
    <w:rsid w:val="004F489F"/>
    <w:rsid w:val="004F5C0C"/>
    <w:rsid w:val="004F6159"/>
    <w:rsid w:val="004F61C4"/>
    <w:rsid w:val="004F68CC"/>
    <w:rsid w:val="004F6A2F"/>
    <w:rsid w:val="004F6C08"/>
    <w:rsid w:val="004F6CD7"/>
    <w:rsid w:val="004F73BC"/>
    <w:rsid w:val="004F7C87"/>
    <w:rsid w:val="004F7D53"/>
    <w:rsid w:val="004F7E32"/>
    <w:rsid w:val="005005E5"/>
    <w:rsid w:val="0050077D"/>
    <w:rsid w:val="00500DED"/>
    <w:rsid w:val="00501766"/>
    <w:rsid w:val="00501D0C"/>
    <w:rsid w:val="00502744"/>
    <w:rsid w:val="005033F8"/>
    <w:rsid w:val="005040CC"/>
    <w:rsid w:val="005043AA"/>
    <w:rsid w:val="00504C33"/>
    <w:rsid w:val="00505796"/>
    <w:rsid w:val="00505A03"/>
    <w:rsid w:val="00505D5A"/>
    <w:rsid w:val="00506185"/>
    <w:rsid w:val="005061D8"/>
    <w:rsid w:val="005061FA"/>
    <w:rsid w:val="005066FE"/>
    <w:rsid w:val="005069C2"/>
    <w:rsid w:val="00506B55"/>
    <w:rsid w:val="00506E2E"/>
    <w:rsid w:val="00507935"/>
    <w:rsid w:val="005079E1"/>
    <w:rsid w:val="0051002B"/>
    <w:rsid w:val="00511065"/>
    <w:rsid w:val="005115A8"/>
    <w:rsid w:val="0051211C"/>
    <w:rsid w:val="0051230E"/>
    <w:rsid w:val="005127F3"/>
    <w:rsid w:val="0051301F"/>
    <w:rsid w:val="005131CB"/>
    <w:rsid w:val="00513B7E"/>
    <w:rsid w:val="00514376"/>
    <w:rsid w:val="00514B8B"/>
    <w:rsid w:val="00514E66"/>
    <w:rsid w:val="00515A79"/>
    <w:rsid w:val="005165C5"/>
    <w:rsid w:val="00516B31"/>
    <w:rsid w:val="0051711F"/>
    <w:rsid w:val="00517CF6"/>
    <w:rsid w:val="0052000F"/>
    <w:rsid w:val="00520355"/>
    <w:rsid w:val="0052068B"/>
    <w:rsid w:val="00520BE8"/>
    <w:rsid w:val="005214A5"/>
    <w:rsid w:val="00521CDA"/>
    <w:rsid w:val="00521F3B"/>
    <w:rsid w:val="00522122"/>
    <w:rsid w:val="00522CB0"/>
    <w:rsid w:val="005231B6"/>
    <w:rsid w:val="00523859"/>
    <w:rsid w:val="00523D1C"/>
    <w:rsid w:val="00524561"/>
    <w:rsid w:val="00524A3E"/>
    <w:rsid w:val="00524F20"/>
    <w:rsid w:val="00525168"/>
    <w:rsid w:val="00525A37"/>
    <w:rsid w:val="00525C79"/>
    <w:rsid w:val="0052617D"/>
    <w:rsid w:val="00526312"/>
    <w:rsid w:val="00526B79"/>
    <w:rsid w:val="005270EF"/>
    <w:rsid w:val="005273DD"/>
    <w:rsid w:val="00527506"/>
    <w:rsid w:val="00527BF7"/>
    <w:rsid w:val="00530038"/>
    <w:rsid w:val="00530123"/>
    <w:rsid w:val="0053014A"/>
    <w:rsid w:val="005303A2"/>
    <w:rsid w:val="00530CA1"/>
    <w:rsid w:val="00531938"/>
    <w:rsid w:val="0053197F"/>
    <w:rsid w:val="005320D7"/>
    <w:rsid w:val="00532A07"/>
    <w:rsid w:val="00532D76"/>
    <w:rsid w:val="0053314D"/>
    <w:rsid w:val="0053379E"/>
    <w:rsid w:val="00533B6E"/>
    <w:rsid w:val="00533C26"/>
    <w:rsid w:val="005340E3"/>
    <w:rsid w:val="00534210"/>
    <w:rsid w:val="005342AE"/>
    <w:rsid w:val="00534555"/>
    <w:rsid w:val="00534ACB"/>
    <w:rsid w:val="00534B9F"/>
    <w:rsid w:val="00534FD5"/>
    <w:rsid w:val="00535EA8"/>
    <w:rsid w:val="00536536"/>
    <w:rsid w:val="0053679A"/>
    <w:rsid w:val="00536E37"/>
    <w:rsid w:val="00536F7A"/>
    <w:rsid w:val="00537105"/>
    <w:rsid w:val="0054060B"/>
    <w:rsid w:val="005407DF"/>
    <w:rsid w:val="00540B89"/>
    <w:rsid w:val="00540CD0"/>
    <w:rsid w:val="00540F41"/>
    <w:rsid w:val="005410B2"/>
    <w:rsid w:val="00541787"/>
    <w:rsid w:val="00541E13"/>
    <w:rsid w:val="00542349"/>
    <w:rsid w:val="005426B2"/>
    <w:rsid w:val="0054287D"/>
    <w:rsid w:val="005429C1"/>
    <w:rsid w:val="00543B62"/>
    <w:rsid w:val="00545886"/>
    <w:rsid w:val="00545A1C"/>
    <w:rsid w:val="00546034"/>
    <w:rsid w:val="00546243"/>
    <w:rsid w:val="00546805"/>
    <w:rsid w:val="0054687D"/>
    <w:rsid w:val="00547C5F"/>
    <w:rsid w:val="00550863"/>
    <w:rsid w:val="005508DC"/>
    <w:rsid w:val="00550B71"/>
    <w:rsid w:val="00550FBD"/>
    <w:rsid w:val="0055135D"/>
    <w:rsid w:val="0055136A"/>
    <w:rsid w:val="005513CC"/>
    <w:rsid w:val="00551B66"/>
    <w:rsid w:val="00551DA3"/>
    <w:rsid w:val="00551EBD"/>
    <w:rsid w:val="0055256D"/>
    <w:rsid w:val="00552C61"/>
    <w:rsid w:val="00553861"/>
    <w:rsid w:val="00553C3A"/>
    <w:rsid w:val="00553E0D"/>
    <w:rsid w:val="00554358"/>
    <w:rsid w:val="005554BA"/>
    <w:rsid w:val="00555763"/>
    <w:rsid w:val="00555878"/>
    <w:rsid w:val="00555958"/>
    <w:rsid w:val="00555CF1"/>
    <w:rsid w:val="00556505"/>
    <w:rsid w:val="00556A07"/>
    <w:rsid w:val="0055726F"/>
    <w:rsid w:val="005600C0"/>
    <w:rsid w:val="005602F6"/>
    <w:rsid w:val="00560675"/>
    <w:rsid w:val="00560837"/>
    <w:rsid w:val="00561A80"/>
    <w:rsid w:val="00562777"/>
    <w:rsid w:val="00562D41"/>
    <w:rsid w:val="00563341"/>
    <w:rsid w:val="0056359D"/>
    <w:rsid w:val="00564331"/>
    <w:rsid w:val="0056509C"/>
    <w:rsid w:val="00565459"/>
    <w:rsid w:val="00565699"/>
    <w:rsid w:val="00565D2A"/>
    <w:rsid w:val="00566B39"/>
    <w:rsid w:val="00567250"/>
    <w:rsid w:val="00567567"/>
    <w:rsid w:val="005676E7"/>
    <w:rsid w:val="00567968"/>
    <w:rsid w:val="00567CC4"/>
    <w:rsid w:val="00570ECF"/>
    <w:rsid w:val="0057143D"/>
    <w:rsid w:val="0057195C"/>
    <w:rsid w:val="005723CF"/>
    <w:rsid w:val="00572A03"/>
    <w:rsid w:val="0057316C"/>
    <w:rsid w:val="005731D2"/>
    <w:rsid w:val="00573352"/>
    <w:rsid w:val="00573394"/>
    <w:rsid w:val="005739A9"/>
    <w:rsid w:val="00573D05"/>
    <w:rsid w:val="005747A2"/>
    <w:rsid w:val="00574D22"/>
    <w:rsid w:val="00575023"/>
    <w:rsid w:val="00575C85"/>
    <w:rsid w:val="005764C6"/>
    <w:rsid w:val="00576751"/>
    <w:rsid w:val="0057679E"/>
    <w:rsid w:val="00577540"/>
    <w:rsid w:val="005776DD"/>
    <w:rsid w:val="00577950"/>
    <w:rsid w:val="0058032F"/>
    <w:rsid w:val="005810E9"/>
    <w:rsid w:val="00581103"/>
    <w:rsid w:val="00582169"/>
    <w:rsid w:val="00582783"/>
    <w:rsid w:val="0058327F"/>
    <w:rsid w:val="005832A6"/>
    <w:rsid w:val="0058338D"/>
    <w:rsid w:val="005837CB"/>
    <w:rsid w:val="005840A4"/>
    <w:rsid w:val="0058434F"/>
    <w:rsid w:val="00584356"/>
    <w:rsid w:val="0058465F"/>
    <w:rsid w:val="00584AEB"/>
    <w:rsid w:val="00585116"/>
    <w:rsid w:val="005858FE"/>
    <w:rsid w:val="00586061"/>
    <w:rsid w:val="00586D99"/>
    <w:rsid w:val="00587E2B"/>
    <w:rsid w:val="00587E31"/>
    <w:rsid w:val="005903B0"/>
    <w:rsid w:val="0059059B"/>
    <w:rsid w:val="0059179C"/>
    <w:rsid w:val="00591AB4"/>
    <w:rsid w:val="0059254F"/>
    <w:rsid w:val="005925E7"/>
    <w:rsid w:val="00592B11"/>
    <w:rsid w:val="00592E4B"/>
    <w:rsid w:val="00592F63"/>
    <w:rsid w:val="0059371E"/>
    <w:rsid w:val="00594006"/>
    <w:rsid w:val="005941EB"/>
    <w:rsid w:val="00594404"/>
    <w:rsid w:val="00594614"/>
    <w:rsid w:val="00594819"/>
    <w:rsid w:val="00594BCF"/>
    <w:rsid w:val="00594CB5"/>
    <w:rsid w:val="00595255"/>
    <w:rsid w:val="00595646"/>
    <w:rsid w:val="00595C56"/>
    <w:rsid w:val="00596170"/>
    <w:rsid w:val="00596583"/>
    <w:rsid w:val="00596E67"/>
    <w:rsid w:val="005A0202"/>
    <w:rsid w:val="005A09EE"/>
    <w:rsid w:val="005A0B0D"/>
    <w:rsid w:val="005A1730"/>
    <w:rsid w:val="005A268D"/>
    <w:rsid w:val="005A29EE"/>
    <w:rsid w:val="005A3F1D"/>
    <w:rsid w:val="005A43D4"/>
    <w:rsid w:val="005A4657"/>
    <w:rsid w:val="005A489A"/>
    <w:rsid w:val="005A4A4F"/>
    <w:rsid w:val="005A4D26"/>
    <w:rsid w:val="005A620D"/>
    <w:rsid w:val="005A6E97"/>
    <w:rsid w:val="005A7480"/>
    <w:rsid w:val="005A7E50"/>
    <w:rsid w:val="005B0B30"/>
    <w:rsid w:val="005B0D20"/>
    <w:rsid w:val="005B129C"/>
    <w:rsid w:val="005B1BC3"/>
    <w:rsid w:val="005B2629"/>
    <w:rsid w:val="005B2CB6"/>
    <w:rsid w:val="005B31F5"/>
    <w:rsid w:val="005B327C"/>
    <w:rsid w:val="005B35A5"/>
    <w:rsid w:val="005B3B9F"/>
    <w:rsid w:val="005B42BA"/>
    <w:rsid w:val="005B42DC"/>
    <w:rsid w:val="005B4395"/>
    <w:rsid w:val="005B477B"/>
    <w:rsid w:val="005B4805"/>
    <w:rsid w:val="005B4C9E"/>
    <w:rsid w:val="005B5260"/>
    <w:rsid w:val="005B559C"/>
    <w:rsid w:val="005B58B2"/>
    <w:rsid w:val="005B5CA3"/>
    <w:rsid w:val="005B5D50"/>
    <w:rsid w:val="005B652B"/>
    <w:rsid w:val="005B6F63"/>
    <w:rsid w:val="005B71B1"/>
    <w:rsid w:val="005B7D74"/>
    <w:rsid w:val="005C00B5"/>
    <w:rsid w:val="005C0C50"/>
    <w:rsid w:val="005C13F9"/>
    <w:rsid w:val="005C2A64"/>
    <w:rsid w:val="005C3AB2"/>
    <w:rsid w:val="005C3F9C"/>
    <w:rsid w:val="005C4037"/>
    <w:rsid w:val="005C4083"/>
    <w:rsid w:val="005C42B6"/>
    <w:rsid w:val="005C46BF"/>
    <w:rsid w:val="005C4C61"/>
    <w:rsid w:val="005C4CBB"/>
    <w:rsid w:val="005C58F5"/>
    <w:rsid w:val="005C5B66"/>
    <w:rsid w:val="005C5B6E"/>
    <w:rsid w:val="005C5B76"/>
    <w:rsid w:val="005C5DFB"/>
    <w:rsid w:val="005C5FF5"/>
    <w:rsid w:val="005C658B"/>
    <w:rsid w:val="005C65C9"/>
    <w:rsid w:val="005C66E1"/>
    <w:rsid w:val="005C6B44"/>
    <w:rsid w:val="005C6FE5"/>
    <w:rsid w:val="005C7077"/>
    <w:rsid w:val="005C70AA"/>
    <w:rsid w:val="005C7335"/>
    <w:rsid w:val="005C73AD"/>
    <w:rsid w:val="005C74B7"/>
    <w:rsid w:val="005C7614"/>
    <w:rsid w:val="005C7E72"/>
    <w:rsid w:val="005D10A6"/>
    <w:rsid w:val="005D110C"/>
    <w:rsid w:val="005D1B84"/>
    <w:rsid w:val="005D202D"/>
    <w:rsid w:val="005D2219"/>
    <w:rsid w:val="005D243A"/>
    <w:rsid w:val="005D2576"/>
    <w:rsid w:val="005D27F8"/>
    <w:rsid w:val="005D29F5"/>
    <w:rsid w:val="005D3A6D"/>
    <w:rsid w:val="005D3FE8"/>
    <w:rsid w:val="005D4388"/>
    <w:rsid w:val="005D481C"/>
    <w:rsid w:val="005D4A1A"/>
    <w:rsid w:val="005D51E7"/>
    <w:rsid w:val="005D595C"/>
    <w:rsid w:val="005D6226"/>
    <w:rsid w:val="005D6757"/>
    <w:rsid w:val="005D6832"/>
    <w:rsid w:val="005D6A1E"/>
    <w:rsid w:val="005D6A4A"/>
    <w:rsid w:val="005D6C1E"/>
    <w:rsid w:val="005D719E"/>
    <w:rsid w:val="005D78CD"/>
    <w:rsid w:val="005D7A3C"/>
    <w:rsid w:val="005E07CC"/>
    <w:rsid w:val="005E0E8A"/>
    <w:rsid w:val="005E1044"/>
    <w:rsid w:val="005E1080"/>
    <w:rsid w:val="005E1CC9"/>
    <w:rsid w:val="005E25E1"/>
    <w:rsid w:val="005E2B92"/>
    <w:rsid w:val="005E2EEE"/>
    <w:rsid w:val="005E31C6"/>
    <w:rsid w:val="005E32C3"/>
    <w:rsid w:val="005E3318"/>
    <w:rsid w:val="005E3573"/>
    <w:rsid w:val="005E3C5B"/>
    <w:rsid w:val="005E404D"/>
    <w:rsid w:val="005E4652"/>
    <w:rsid w:val="005E4AB1"/>
    <w:rsid w:val="005E4CE3"/>
    <w:rsid w:val="005E53C1"/>
    <w:rsid w:val="005E6097"/>
    <w:rsid w:val="005E60A9"/>
    <w:rsid w:val="005E66E5"/>
    <w:rsid w:val="005E68A0"/>
    <w:rsid w:val="005E6A4A"/>
    <w:rsid w:val="005E6E08"/>
    <w:rsid w:val="005E6E66"/>
    <w:rsid w:val="005E7750"/>
    <w:rsid w:val="005F056E"/>
    <w:rsid w:val="005F0C7B"/>
    <w:rsid w:val="005F0CC1"/>
    <w:rsid w:val="005F18D6"/>
    <w:rsid w:val="005F18F7"/>
    <w:rsid w:val="005F19D2"/>
    <w:rsid w:val="005F1BD9"/>
    <w:rsid w:val="005F1FED"/>
    <w:rsid w:val="005F3944"/>
    <w:rsid w:val="005F3B3C"/>
    <w:rsid w:val="005F3D64"/>
    <w:rsid w:val="005F4635"/>
    <w:rsid w:val="005F46C9"/>
    <w:rsid w:val="005F4B53"/>
    <w:rsid w:val="005F503A"/>
    <w:rsid w:val="005F53F3"/>
    <w:rsid w:val="005F55B4"/>
    <w:rsid w:val="005F5824"/>
    <w:rsid w:val="005F6E5E"/>
    <w:rsid w:val="005F7F91"/>
    <w:rsid w:val="00600781"/>
    <w:rsid w:val="006014D2"/>
    <w:rsid w:val="00601840"/>
    <w:rsid w:val="006018F5"/>
    <w:rsid w:val="00602082"/>
    <w:rsid w:val="006023AB"/>
    <w:rsid w:val="006026F1"/>
    <w:rsid w:val="00602BAF"/>
    <w:rsid w:val="00602CA3"/>
    <w:rsid w:val="00602D8C"/>
    <w:rsid w:val="00603214"/>
    <w:rsid w:val="006044E1"/>
    <w:rsid w:val="00604EAF"/>
    <w:rsid w:val="00605268"/>
    <w:rsid w:val="00605298"/>
    <w:rsid w:val="006056A2"/>
    <w:rsid w:val="00605EB1"/>
    <w:rsid w:val="00606750"/>
    <w:rsid w:val="00606E7A"/>
    <w:rsid w:val="0060744C"/>
    <w:rsid w:val="00607989"/>
    <w:rsid w:val="00607F85"/>
    <w:rsid w:val="006105FC"/>
    <w:rsid w:val="00610E86"/>
    <w:rsid w:val="00610FCE"/>
    <w:rsid w:val="0061115A"/>
    <w:rsid w:val="0061121F"/>
    <w:rsid w:val="006112FE"/>
    <w:rsid w:val="00611D58"/>
    <w:rsid w:val="00611D65"/>
    <w:rsid w:val="00612225"/>
    <w:rsid w:val="0061281E"/>
    <w:rsid w:val="00612AD1"/>
    <w:rsid w:val="0061430D"/>
    <w:rsid w:val="006146FA"/>
    <w:rsid w:val="0061484A"/>
    <w:rsid w:val="00614E88"/>
    <w:rsid w:val="00614F7A"/>
    <w:rsid w:val="00615434"/>
    <w:rsid w:val="00615B5E"/>
    <w:rsid w:val="006164CE"/>
    <w:rsid w:val="0061656B"/>
    <w:rsid w:val="00616994"/>
    <w:rsid w:val="0061707B"/>
    <w:rsid w:val="006174B9"/>
    <w:rsid w:val="00620787"/>
    <w:rsid w:val="0062079A"/>
    <w:rsid w:val="006212E5"/>
    <w:rsid w:val="006215D4"/>
    <w:rsid w:val="00621CCE"/>
    <w:rsid w:val="00623999"/>
    <w:rsid w:val="006239BC"/>
    <w:rsid w:val="006253D1"/>
    <w:rsid w:val="0062592B"/>
    <w:rsid w:val="00625AF6"/>
    <w:rsid w:val="00625B30"/>
    <w:rsid w:val="00625BDE"/>
    <w:rsid w:val="0062662A"/>
    <w:rsid w:val="0062670D"/>
    <w:rsid w:val="00626C2A"/>
    <w:rsid w:val="00626C5F"/>
    <w:rsid w:val="0062708E"/>
    <w:rsid w:val="0062731F"/>
    <w:rsid w:val="006274F9"/>
    <w:rsid w:val="006275C3"/>
    <w:rsid w:val="00627DB2"/>
    <w:rsid w:val="00630250"/>
    <w:rsid w:val="00630337"/>
    <w:rsid w:val="00630F34"/>
    <w:rsid w:val="006310D9"/>
    <w:rsid w:val="006312C3"/>
    <w:rsid w:val="006313E9"/>
    <w:rsid w:val="0063149D"/>
    <w:rsid w:val="006315DF"/>
    <w:rsid w:val="00631AFC"/>
    <w:rsid w:val="00631C92"/>
    <w:rsid w:val="006325DD"/>
    <w:rsid w:val="00633407"/>
    <w:rsid w:val="0063350D"/>
    <w:rsid w:val="00633960"/>
    <w:rsid w:val="00634085"/>
    <w:rsid w:val="006355B3"/>
    <w:rsid w:val="00635644"/>
    <w:rsid w:val="006357D8"/>
    <w:rsid w:val="00635C55"/>
    <w:rsid w:val="00635E51"/>
    <w:rsid w:val="00636275"/>
    <w:rsid w:val="006370D0"/>
    <w:rsid w:val="006373B3"/>
    <w:rsid w:val="00637C40"/>
    <w:rsid w:val="00640017"/>
    <w:rsid w:val="0064059C"/>
    <w:rsid w:val="00640F10"/>
    <w:rsid w:val="006417BE"/>
    <w:rsid w:val="006420A2"/>
    <w:rsid w:val="00642B3A"/>
    <w:rsid w:val="00642E7F"/>
    <w:rsid w:val="00643629"/>
    <w:rsid w:val="006437F8"/>
    <w:rsid w:val="00643C87"/>
    <w:rsid w:val="00644054"/>
    <w:rsid w:val="00644420"/>
    <w:rsid w:val="006451FA"/>
    <w:rsid w:val="0064539B"/>
    <w:rsid w:val="00645703"/>
    <w:rsid w:val="00645A60"/>
    <w:rsid w:val="00645BE0"/>
    <w:rsid w:val="00645C8A"/>
    <w:rsid w:val="00645D1D"/>
    <w:rsid w:val="00645D42"/>
    <w:rsid w:val="006464A1"/>
    <w:rsid w:val="00646902"/>
    <w:rsid w:val="00646CD8"/>
    <w:rsid w:val="00646DDC"/>
    <w:rsid w:val="006473FF"/>
    <w:rsid w:val="006476B1"/>
    <w:rsid w:val="00647AF2"/>
    <w:rsid w:val="00647FB0"/>
    <w:rsid w:val="006505C4"/>
    <w:rsid w:val="006508D2"/>
    <w:rsid w:val="00651555"/>
    <w:rsid w:val="0065166A"/>
    <w:rsid w:val="00651756"/>
    <w:rsid w:val="00651FF3"/>
    <w:rsid w:val="00652EF9"/>
    <w:rsid w:val="00654577"/>
    <w:rsid w:val="00654B87"/>
    <w:rsid w:val="00654CAB"/>
    <w:rsid w:val="00655395"/>
    <w:rsid w:val="00655421"/>
    <w:rsid w:val="00655B55"/>
    <w:rsid w:val="006561E8"/>
    <w:rsid w:val="006563AB"/>
    <w:rsid w:val="00656751"/>
    <w:rsid w:val="00656C86"/>
    <w:rsid w:val="00657154"/>
    <w:rsid w:val="006574EE"/>
    <w:rsid w:val="00657697"/>
    <w:rsid w:val="00657FFA"/>
    <w:rsid w:val="0066041A"/>
    <w:rsid w:val="00660726"/>
    <w:rsid w:val="00661539"/>
    <w:rsid w:val="00661BD2"/>
    <w:rsid w:val="0066203E"/>
    <w:rsid w:val="00662093"/>
    <w:rsid w:val="006632BF"/>
    <w:rsid w:val="0066332A"/>
    <w:rsid w:val="00663413"/>
    <w:rsid w:val="00664302"/>
    <w:rsid w:val="00665D08"/>
    <w:rsid w:val="006666F7"/>
    <w:rsid w:val="00666745"/>
    <w:rsid w:val="00666E21"/>
    <w:rsid w:val="00666FD5"/>
    <w:rsid w:val="0066707D"/>
    <w:rsid w:val="006670A0"/>
    <w:rsid w:val="0066789E"/>
    <w:rsid w:val="006678F3"/>
    <w:rsid w:val="006703E7"/>
    <w:rsid w:val="0067040A"/>
    <w:rsid w:val="0067051D"/>
    <w:rsid w:val="006709AE"/>
    <w:rsid w:val="006710C9"/>
    <w:rsid w:val="006712A7"/>
    <w:rsid w:val="0067172A"/>
    <w:rsid w:val="00672E4C"/>
    <w:rsid w:val="006731BC"/>
    <w:rsid w:val="00673472"/>
    <w:rsid w:val="00673AB3"/>
    <w:rsid w:val="0067414C"/>
    <w:rsid w:val="00675594"/>
    <w:rsid w:val="00675621"/>
    <w:rsid w:val="00675A6A"/>
    <w:rsid w:val="00675AED"/>
    <w:rsid w:val="00676592"/>
    <w:rsid w:val="00676C42"/>
    <w:rsid w:val="00676D68"/>
    <w:rsid w:val="00677311"/>
    <w:rsid w:val="0067733F"/>
    <w:rsid w:val="0067748E"/>
    <w:rsid w:val="00677750"/>
    <w:rsid w:val="00677879"/>
    <w:rsid w:val="00677E15"/>
    <w:rsid w:val="0068150E"/>
    <w:rsid w:val="00681631"/>
    <w:rsid w:val="00681AA1"/>
    <w:rsid w:val="00681D39"/>
    <w:rsid w:val="006820C5"/>
    <w:rsid w:val="006825B9"/>
    <w:rsid w:val="0068275C"/>
    <w:rsid w:val="00682AE4"/>
    <w:rsid w:val="00683502"/>
    <w:rsid w:val="006844CF"/>
    <w:rsid w:val="00684991"/>
    <w:rsid w:val="00684B19"/>
    <w:rsid w:val="006851C6"/>
    <w:rsid w:val="0068533A"/>
    <w:rsid w:val="00685C2F"/>
    <w:rsid w:val="00685F83"/>
    <w:rsid w:val="0068757F"/>
    <w:rsid w:val="00687AA6"/>
    <w:rsid w:val="0069023D"/>
    <w:rsid w:val="00690F6A"/>
    <w:rsid w:val="0069126C"/>
    <w:rsid w:val="006918CC"/>
    <w:rsid w:val="00691B2D"/>
    <w:rsid w:val="00692182"/>
    <w:rsid w:val="0069258A"/>
    <w:rsid w:val="0069291A"/>
    <w:rsid w:val="00692B75"/>
    <w:rsid w:val="00692C24"/>
    <w:rsid w:val="00692EEA"/>
    <w:rsid w:val="0069323D"/>
    <w:rsid w:val="006932B4"/>
    <w:rsid w:val="006937E1"/>
    <w:rsid w:val="00693B60"/>
    <w:rsid w:val="00693F45"/>
    <w:rsid w:val="00694100"/>
    <w:rsid w:val="0069468B"/>
    <w:rsid w:val="00695520"/>
    <w:rsid w:val="00695826"/>
    <w:rsid w:val="00695A24"/>
    <w:rsid w:val="0069708F"/>
    <w:rsid w:val="006A0011"/>
    <w:rsid w:val="006A0386"/>
    <w:rsid w:val="006A1A7E"/>
    <w:rsid w:val="006A1B2E"/>
    <w:rsid w:val="006A1C0E"/>
    <w:rsid w:val="006A1C0F"/>
    <w:rsid w:val="006A2156"/>
    <w:rsid w:val="006A2484"/>
    <w:rsid w:val="006A2D16"/>
    <w:rsid w:val="006A31B4"/>
    <w:rsid w:val="006A33A7"/>
    <w:rsid w:val="006A3549"/>
    <w:rsid w:val="006A397A"/>
    <w:rsid w:val="006A3CB0"/>
    <w:rsid w:val="006A3D28"/>
    <w:rsid w:val="006A4058"/>
    <w:rsid w:val="006A4299"/>
    <w:rsid w:val="006A46B5"/>
    <w:rsid w:val="006A4EC1"/>
    <w:rsid w:val="006A5112"/>
    <w:rsid w:val="006A5254"/>
    <w:rsid w:val="006A553C"/>
    <w:rsid w:val="006A58B8"/>
    <w:rsid w:val="006A595D"/>
    <w:rsid w:val="006A59B6"/>
    <w:rsid w:val="006A5A7D"/>
    <w:rsid w:val="006A61AD"/>
    <w:rsid w:val="006A6BCF"/>
    <w:rsid w:val="006A72D9"/>
    <w:rsid w:val="006A7B96"/>
    <w:rsid w:val="006A7CDA"/>
    <w:rsid w:val="006B01B9"/>
    <w:rsid w:val="006B0F7F"/>
    <w:rsid w:val="006B1288"/>
    <w:rsid w:val="006B36A8"/>
    <w:rsid w:val="006B3783"/>
    <w:rsid w:val="006B39C7"/>
    <w:rsid w:val="006B3D2C"/>
    <w:rsid w:val="006B43C3"/>
    <w:rsid w:val="006B4958"/>
    <w:rsid w:val="006B520B"/>
    <w:rsid w:val="006B5927"/>
    <w:rsid w:val="006B607A"/>
    <w:rsid w:val="006B62EF"/>
    <w:rsid w:val="006B6389"/>
    <w:rsid w:val="006B6FA9"/>
    <w:rsid w:val="006B702C"/>
    <w:rsid w:val="006B73D0"/>
    <w:rsid w:val="006B7401"/>
    <w:rsid w:val="006B7538"/>
    <w:rsid w:val="006B772F"/>
    <w:rsid w:val="006B7941"/>
    <w:rsid w:val="006B79A3"/>
    <w:rsid w:val="006C0962"/>
    <w:rsid w:val="006C0BC0"/>
    <w:rsid w:val="006C1756"/>
    <w:rsid w:val="006C1B47"/>
    <w:rsid w:val="006C1E99"/>
    <w:rsid w:val="006C24DC"/>
    <w:rsid w:val="006C28BB"/>
    <w:rsid w:val="006C4257"/>
    <w:rsid w:val="006C4337"/>
    <w:rsid w:val="006C491D"/>
    <w:rsid w:val="006C4E37"/>
    <w:rsid w:val="006C51AF"/>
    <w:rsid w:val="006C5569"/>
    <w:rsid w:val="006C5775"/>
    <w:rsid w:val="006C6323"/>
    <w:rsid w:val="006C63E2"/>
    <w:rsid w:val="006C6CC6"/>
    <w:rsid w:val="006C7052"/>
    <w:rsid w:val="006C7C6C"/>
    <w:rsid w:val="006C7D3A"/>
    <w:rsid w:val="006D03B5"/>
    <w:rsid w:val="006D03D5"/>
    <w:rsid w:val="006D0655"/>
    <w:rsid w:val="006D0683"/>
    <w:rsid w:val="006D0E9E"/>
    <w:rsid w:val="006D1F78"/>
    <w:rsid w:val="006D28F3"/>
    <w:rsid w:val="006D2957"/>
    <w:rsid w:val="006D2B40"/>
    <w:rsid w:val="006D2B44"/>
    <w:rsid w:val="006D33F9"/>
    <w:rsid w:val="006D3FBA"/>
    <w:rsid w:val="006D4FB3"/>
    <w:rsid w:val="006D518F"/>
    <w:rsid w:val="006D52E3"/>
    <w:rsid w:val="006D57BB"/>
    <w:rsid w:val="006D61E8"/>
    <w:rsid w:val="006D71F9"/>
    <w:rsid w:val="006D73D0"/>
    <w:rsid w:val="006D74B8"/>
    <w:rsid w:val="006D7AD7"/>
    <w:rsid w:val="006D7E88"/>
    <w:rsid w:val="006E0833"/>
    <w:rsid w:val="006E0A8C"/>
    <w:rsid w:val="006E173E"/>
    <w:rsid w:val="006E1C0D"/>
    <w:rsid w:val="006E25C0"/>
    <w:rsid w:val="006E2AE7"/>
    <w:rsid w:val="006E2B5D"/>
    <w:rsid w:val="006E2F1B"/>
    <w:rsid w:val="006E388C"/>
    <w:rsid w:val="006E3E87"/>
    <w:rsid w:val="006E3F7F"/>
    <w:rsid w:val="006E3F8B"/>
    <w:rsid w:val="006E482E"/>
    <w:rsid w:val="006E4AB9"/>
    <w:rsid w:val="006E4AC5"/>
    <w:rsid w:val="006E5365"/>
    <w:rsid w:val="006E5B12"/>
    <w:rsid w:val="006E635A"/>
    <w:rsid w:val="006E649D"/>
    <w:rsid w:val="006E7471"/>
    <w:rsid w:val="006E7C56"/>
    <w:rsid w:val="006E7F78"/>
    <w:rsid w:val="006F13CB"/>
    <w:rsid w:val="006F14A8"/>
    <w:rsid w:val="006F1AE5"/>
    <w:rsid w:val="006F2457"/>
    <w:rsid w:val="006F2EF9"/>
    <w:rsid w:val="006F2F80"/>
    <w:rsid w:val="006F3563"/>
    <w:rsid w:val="006F3AD7"/>
    <w:rsid w:val="006F4C2C"/>
    <w:rsid w:val="006F5649"/>
    <w:rsid w:val="006F5DB1"/>
    <w:rsid w:val="006F65F9"/>
    <w:rsid w:val="006F672D"/>
    <w:rsid w:val="006F6987"/>
    <w:rsid w:val="006F73C1"/>
    <w:rsid w:val="006F75AB"/>
    <w:rsid w:val="006F7761"/>
    <w:rsid w:val="006F7812"/>
    <w:rsid w:val="006F78D1"/>
    <w:rsid w:val="006F7A08"/>
    <w:rsid w:val="006F7DB1"/>
    <w:rsid w:val="0070026D"/>
    <w:rsid w:val="00700E68"/>
    <w:rsid w:val="007013CF"/>
    <w:rsid w:val="007015EC"/>
    <w:rsid w:val="00701AEF"/>
    <w:rsid w:val="00701F62"/>
    <w:rsid w:val="0070214D"/>
    <w:rsid w:val="007035F6"/>
    <w:rsid w:val="00703659"/>
    <w:rsid w:val="007037D6"/>
    <w:rsid w:val="00703828"/>
    <w:rsid w:val="007038A7"/>
    <w:rsid w:val="00703955"/>
    <w:rsid w:val="007044F5"/>
    <w:rsid w:val="0070516C"/>
    <w:rsid w:val="007058F9"/>
    <w:rsid w:val="00705BD5"/>
    <w:rsid w:val="00705D02"/>
    <w:rsid w:val="0070658C"/>
    <w:rsid w:val="0070660F"/>
    <w:rsid w:val="007067B3"/>
    <w:rsid w:val="0070704B"/>
    <w:rsid w:val="00707E35"/>
    <w:rsid w:val="007107C7"/>
    <w:rsid w:val="00710C75"/>
    <w:rsid w:val="00710CD6"/>
    <w:rsid w:val="00710D5E"/>
    <w:rsid w:val="00711482"/>
    <w:rsid w:val="00711D78"/>
    <w:rsid w:val="00711D8B"/>
    <w:rsid w:val="007127B0"/>
    <w:rsid w:val="00712EE8"/>
    <w:rsid w:val="007130E3"/>
    <w:rsid w:val="007137C8"/>
    <w:rsid w:val="00713B79"/>
    <w:rsid w:val="007149EA"/>
    <w:rsid w:val="00714D09"/>
    <w:rsid w:val="00714D9C"/>
    <w:rsid w:val="00715B98"/>
    <w:rsid w:val="007162AF"/>
    <w:rsid w:val="00716569"/>
    <w:rsid w:val="00716BBD"/>
    <w:rsid w:val="00716C08"/>
    <w:rsid w:val="00716DF2"/>
    <w:rsid w:val="00716F33"/>
    <w:rsid w:val="00716F74"/>
    <w:rsid w:val="007171A8"/>
    <w:rsid w:val="0071728D"/>
    <w:rsid w:val="00717872"/>
    <w:rsid w:val="007179A3"/>
    <w:rsid w:val="00717B14"/>
    <w:rsid w:val="0072037E"/>
    <w:rsid w:val="00720E7E"/>
    <w:rsid w:val="00721638"/>
    <w:rsid w:val="00721A38"/>
    <w:rsid w:val="0072236E"/>
    <w:rsid w:val="00722771"/>
    <w:rsid w:val="0072359A"/>
    <w:rsid w:val="0072415D"/>
    <w:rsid w:val="00724389"/>
    <w:rsid w:val="007255AA"/>
    <w:rsid w:val="007261CD"/>
    <w:rsid w:val="00726C5E"/>
    <w:rsid w:val="00726FF6"/>
    <w:rsid w:val="00727099"/>
    <w:rsid w:val="007273CD"/>
    <w:rsid w:val="0073028D"/>
    <w:rsid w:val="007306A1"/>
    <w:rsid w:val="00731018"/>
    <w:rsid w:val="00731AE5"/>
    <w:rsid w:val="007320D2"/>
    <w:rsid w:val="007325DE"/>
    <w:rsid w:val="00732EAC"/>
    <w:rsid w:val="007334C9"/>
    <w:rsid w:val="00733769"/>
    <w:rsid w:val="0073429E"/>
    <w:rsid w:val="0073451D"/>
    <w:rsid w:val="00734660"/>
    <w:rsid w:val="0073468B"/>
    <w:rsid w:val="007346A2"/>
    <w:rsid w:val="00734BE4"/>
    <w:rsid w:val="00734C04"/>
    <w:rsid w:val="00734F35"/>
    <w:rsid w:val="00734FBC"/>
    <w:rsid w:val="007351FD"/>
    <w:rsid w:val="00735207"/>
    <w:rsid w:val="00735278"/>
    <w:rsid w:val="007355B0"/>
    <w:rsid w:val="007357B8"/>
    <w:rsid w:val="00735989"/>
    <w:rsid w:val="00735C7C"/>
    <w:rsid w:val="007368B3"/>
    <w:rsid w:val="007372B8"/>
    <w:rsid w:val="007375C8"/>
    <w:rsid w:val="00737B6B"/>
    <w:rsid w:val="00737C07"/>
    <w:rsid w:val="00742419"/>
    <w:rsid w:val="00742CAC"/>
    <w:rsid w:val="00744172"/>
    <w:rsid w:val="00745833"/>
    <w:rsid w:val="00745A20"/>
    <w:rsid w:val="00745BC6"/>
    <w:rsid w:val="007460B8"/>
    <w:rsid w:val="00746136"/>
    <w:rsid w:val="00746359"/>
    <w:rsid w:val="007464F8"/>
    <w:rsid w:val="00746686"/>
    <w:rsid w:val="0074716D"/>
    <w:rsid w:val="007474DA"/>
    <w:rsid w:val="00747942"/>
    <w:rsid w:val="00750C72"/>
    <w:rsid w:val="00750E17"/>
    <w:rsid w:val="00750E99"/>
    <w:rsid w:val="00751146"/>
    <w:rsid w:val="00751701"/>
    <w:rsid w:val="00751717"/>
    <w:rsid w:val="00751FFF"/>
    <w:rsid w:val="007526CC"/>
    <w:rsid w:val="00752930"/>
    <w:rsid w:val="007529D1"/>
    <w:rsid w:val="00752A83"/>
    <w:rsid w:val="00752C6A"/>
    <w:rsid w:val="00753A1D"/>
    <w:rsid w:val="00753B3A"/>
    <w:rsid w:val="00753C53"/>
    <w:rsid w:val="007545FC"/>
    <w:rsid w:val="00754ADF"/>
    <w:rsid w:val="0075513F"/>
    <w:rsid w:val="00755C34"/>
    <w:rsid w:val="0075626C"/>
    <w:rsid w:val="007569E6"/>
    <w:rsid w:val="00756F77"/>
    <w:rsid w:val="007570EA"/>
    <w:rsid w:val="00757DAA"/>
    <w:rsid w:val="00760C9F"/>
    <w:rsid w:val="007613AD"/>
    <w:rsid w:val="007622D2"/>
    <w:rsid w:val="0076254B"/>
    <w:rsid w:val="007627D5"/>
    <w:rsid w:val="007629FD"/>
    <w:rsid w:val="00762B8A"/>
    <w:rsid w:val="00762E5F"/>
    <w:rsid w:val="00763212"/>
    <w:rsid w:val="0076376B"/>
    <w:rsid w:val="00763D1C"/>
    <w:rsid w:val="00763D47"/>
    <w:rsid w:val="007646F0"/>
    <w:rsid w:val="007649A3"/>
    <w:rsid w:val="007653CB"/>
    <w:rsid w:val="007658B3"/>
    <w:rsid w:val="00767528"/>
    <w:rsid w:val="00767A32"/>
    <w:rsid w:val="00767D9A"/>
    <w:rsid w:val="007702E8"/>
    <w:rsid w:val="00770770"/>
    <w:rsid w:val="00770FB4"/>
    <w:rsid w:val="0077106A"/>
    <w:rsid w:val="007714CB"/>
    <w:rsid w:val="007717D4"/>
    <w:rsid w:val="007718CB"/>
    <w:rsid w:val="00772484"/>
    <w:rsid w:val="00772D08"/>
    <w:rsid w:val="0077304C"/>
    <w:rsid w:val="007730B1"/>
    <w:rsid w:val="00773365"/>
    <w:rsid w:val="00773369"/>
    <w:rsid w:val="0077359E"/>
    <w:rsid w:val="007735DF"/>
    <w:rsid w:val="007736F4"/>
    <w:rsid w:val="00773A0E"/>
    <w:rsid w:val="00773B60"/>
    <w:rsid w:val="00774512"/>
    <w:rsid w:val="00774623"/>
    <w:rsid w:val="00774999"/>
    <w:rsid w:val="00775069"/>
    <w:rsid w:val="00775254"/>
    <w:rsid w:val="007757E0"/>
    <w:rsid w:val="00775D9D"/>
    <w:rsid w:val="0077611A"/>
    <w:rsid w:val="007762DC"/>
    <w:rsid w:val="007768A0"/>
    <w:rsid w:val="00776D14"/>
    <w:rsid w:val="007773E5"/>
    <w:rsid w:val="007777C6"/>
    <w:rsid w:val="00780F03"/>
    <w:rsid w:val="007812CF"/>
    <w:rsid w:val="00781454"/>
    <w:rsid w:val="00781480"/>
    <w:rsid w:val="0078207F"/>
    <w:rsid w:val="007828CD"/>
    <w:rsid w:val="00783427"/>
    <w:rsid w:val="007834E0"/>
    <w:rsid w:val="0078359A"/>
    <w:rsid w:val="00783A02"/>
    <w:rsid w:val="00783DC3"/>
    <w:rsid w:val="00783E70"/>
    <w:rsid w:val="00784BD1"/>
    <w:rsid w:val="00784F34"/>
    <w:rsid w:val="007867DF"/>
    <w:rsid w:val="00787185"/>
    <w:rsid w:val="007873B5"/>
    <w:rsid w:val="007877CB"/>
    <w:rsid w:val="00787DEA"/>
    <w:rsid w:val="00790B98"/>
    <w:rsid w:val="007918E3"/>
    <w:rsid w:val="00791B7C"/>
    <w:rsid w:val="00791C29"/>
    <w:rsid w:val="00791D18"/>
    <w:rsid w:val="0079272D"/>
    <w:rsid w:val="007932B7"/>
    <w:rsid w:val="00794D9E"/>
    <w:rsid w:val="00795832"/>
    <w:rsid w:val="00795F64"/>
    <w:rsid w:val="0079635C"/>
    <w:rsid w:val="00796D0A"/>
    <w:rsid w:val="00797283"/>
    <w:rsid w:val="007A00D4"/>
    <w:rsid w:val="007A0A12"/>
    <w:rsid w:val="007A12C5"/>
    <w:rsid w:val="007A1AB2"/>
    <w:rsid w:val="007A1BFF"/>
    <w:rsid w:val="007A25B6"/>
    <w:rsid w:val="007A2680"/>
    <w:rsid w:val="007A2F6E"/>
    <w:rsid w:val="007A32EA"/>
    <w:rsid w:val="007A3FDB"/>
    <w:rsid w:val="007A3FEE"/>
    <w:rsid w:val="007A48A7"/>
    <w:rsid w:val="007A594D"/>
    <w:rsid w:val="007A683E"/>
    <w:rsid w:val="007A6FE9"/>
    <w:rsid w:val="007A7137"/>
    <w:rsid w:val="007A71DE"/>
    <w:rsid w:val="007A76C2"/>
    <w:rsid w:val="007A7C9E"/>
    <w:rsid w:val="007B00A3"/>
    <w:rsid w:val="007B066A"/>
    <w:rsid w:val="007B0984"/>
    <w:rsid w:val="007B0DBC"/>
    <w:rsid w:val="007B1304"/>
    <w:rsid w:val="007B1358"/>
    <w:rsid w:val="007B20D4"/>
    <w:rsid w:val="007B22C9"/>
    <w:rsid w:val="007B24E0"/>
    <w:rsid w:val="007B28BA"/>
    <w:rsid w:val="007B28DC"/>
    <w:rsid w:val="007B4A87"/>
    <w:rsid w:val="007B4BC4"/>
    <w:rsid w:val="007B5084"/>
    <w:rsid w:val="007B5841"/>
    <w:rsid w:val="007B5EF7"/>
    <w:rsid w:val="007B5F9F"/>
    <w:rsid w:val="007B5FE1"/>
    <w:rsid w:val="007B645E"/>
    <w:rsid w:val="007B6DB4"/>
    <w:rsid w:val="007B747F"/>
    <w:rsid w:val="007B769D"/>
    <w:rsid w:val="007B7CDD"/>
    <w:rsid w:val="007C094E"/>
    <w:rsid w:val="007C0AE6"/>
    <w:rsid w:val="007C0EBB"/>
    <w:rsid w:val="007C0ECD"/>
    <w:rsid w:val="007C1142"/>
    <w:rsid w:val="007C1C1B"/>
    <w:rsid w:val="007C214D"/>
    <w:rsid w:val="007C2244"/>
    <w:rsid w:val="007C31CC"/>
    <w:rsid w:val="007C343D"/>
    <w:rsid w:val="007C3C65"/>
    <w:rsid w:val="007C3DE5"/>
    <w:rsid w:val="007C4470"/>
    <w:rsid w:val="007C45A3"/>
    <w:rsid w:val="007C4CFD"/>
    <w:rsid w:val="007C4EFE"/>
    <w:rsid w:val="007C51AF"/>
    <w:rsid w:val="007C54C5"/>
    <w:rsid w:val="007C5BC4"/>
    <w:rsid w:val="007C61BD"/>
    <w:rsid w:val="007C69DF"/>
    <w:rsid w:val="007C6C71"/>
    <w:rsid w:val="007C74D2"/>
    <w:rsid w:val="007D002A"/>
    <w:rsid w:val="007D0752"/>
    <w:rsid w:val="007D0B71"/>
    <w:rsid w:val="007D1798"/>
    <w:rsid w:val="007D2184"/>
    <w:rsid w:val="007D36E8"/>
    <w:rsid w:val="007D475C"/>
    <w:rsid w:val="007D56A7"/>
    <w:rsid w:val="007D5797"/>
    <w:rsid w:val="007D590C"/>
    <w:rsid w:val="007D5F69"/>
    <w:rsid w:val="007D68B3"/>
    <w:rsid w:val="007D74FD"/>
    <w:rsid w:val="007D7E37"/>
    <w:rsid w:val="007D7E61"/>
    <w:rsid w:val="007D7F51"/>
    <w:rsid w:val="007E063F"/>
    <w:rsid w:val="007E0AAB"/>
    <w:rsid w:val="007E0ADB"/>
    <w:rsid w:val="007E0FE3"/>
    <w:rsid w:val="007E1DD0"/>
    <w:rsid w:val="007E1F1E"/>
    <w:rsid w:val="007E229E"/>
    <w:rsid w:val="007E25AE"/>
    <w:rsid w:val="007E2A26"/>
    <w:rsid w:val="007E2AD3"/>
    <w:rsid w:val="007E3986"/>
    <w:rsid w:val="007E3F17"/>
    <w:rsid w:val="007E4156"/>
    <w:rsid w:val="007E47D1"/>
    <w:rsid w:val="007E5862"/>
    <w:rsid w:val="007E66A4"/>
    <w:rsid w:val="007E7151"/>
    <w:rsid w:val="007E727D"/>
    <w:rsid w:val="007E7999"/>
    <w:rsid w:val="007F01BC"/>
    <w:rsid w:val="007F01DB"/>
    <w:rsid w:val="007F031F"/>
    <w:rsid w:val="007F03A6"/>
    <w:rsid w:val="007F07F5"/>
    <w:rsid w:val="007F081A"/>
    <w:rsid w:val="007F0B74"/>
    <w:rsid w:val="007F148A"/>
    <w:rsid w:val="007F1DCF"/>
    <w:rsid w:val="007F22F4"/>
    <w:rsid w:val="007F2AA2"/>
    <w:rsid w:val="007F3003"/>
    <w:rsid w:val="007F3578"/>
    <w:rsid w:val="007F3658"/>
    <w:rsid w:val="007F3845"/>
    <w:rsid w:val="007F40C8"/>
    <w:rsid w:val="007F41A6"/>
    <w:rsid w:val="007F4296"/>
    <w:rsid w:val="007F46E5"/>
    <w:rsid w:val="007F492D"/>
    <w:rsid w:val="007F568E"/>
    <w:rsid w:val="007F597B"/>
    <w:rsid w:val="007F5C74"/>
    <w:rsid w:val="007F6958"/>
    <w:rsid w:val="007F6984"/>
    <w:rsid w:val="007F6C35"/>
    <w:rsid w:val="007F6DA1"/>
    <w:rsid w:val="00800110"/>
    <w:rsid w:val="008004D3"/>
    <w:rsid w:val="008005C0"/>
    <w:rsid w:val="008010FE"/>
    <w:rsid w:val="00801DA1"/>
    <w:rsid w:val="00801E83"/>
    <w:rsid w:val="00802ED3"/>
    <w:rsid w:val="00802EE4"/>
    <w:rsid w:val="00802F3C"/>
    <w:rsid w:val="008035AB"/>
    <w:rsid w:val="0080442D"/>
    <w:rsid w:val="008044DD"/>
    <w:rsid w:val="00804C5C"/>
    <w:rsid w:val="00804CA7"/>
    <w:rsid w:val="008052BD"/>
    <w:rsid w:val="008058E7"/>
    <w:rsid w:val="00806BB4"/>
    <w:rsid w:val="00807E0D"/>
    <w:rsid w:val="008100C0"/>
    <w:rsid w:val="0081051A"/>
    <w:rsid w:val="00810A64"/>
    <w:rsid w:val="00811096"/>
    <w:rsid w:val="0081115B"/>
    <w:rsid w:val="008114F6"/>
    <w:rsid w:val="00812128"/>
    <w:rsid w:val="00812BAF"/>
    <w:rsid w:val="00812F20"/>
    <w:rsid w:val="008137B2"/>
    <w:rsid w:val="00813DC9"/>
    <w:rsid w:val="0081401B"/>
    <w:rsid w:val="00814BF8"/>
    <w:rsid w:val="008153A6"/>
    <w:rsid w:val="0081583F"/>
    <w:rsid w:val="008158F4"/>
    <w:rsid w:val="00815AF4"/>
    <w:rsid w:val="00815BBE"/>
    <w:rsid w:val="00817034"/>
    <w:rsid w:val="00817D75"/>
    <w:rsid w:val="00820A21"/>
    <w:rsid w:val="00820BAD"/>
    <w:rsid w:val="00820E5C"/>
    <w:rsid w:val="00821E0C"/>
    <w:rsid w:val="008224F9"/>
    <w:rsid w:val="008228C7"/>
    <w:rsid w:val="00822FB1"/>
    <w:rsid w:val="008239D2"/>
    <w:rsid w:val="008256DF"/>
    <w:rsid w:val="00825A3F"/>
    <w:rsid w:val="0082705F"/>
    <w:rsid w:val="00827074"/>
    <w:rsid w:val="00827495"/>
    <w:rsid w:val="008275FA"/>
    <w:rsid w:val="00830BD0"/>
    <w:rsid w:val="00830F55"/>
    <w:rsid w:val="008313B0"/>
    <w:rsid w:val="00831640"/>
    <w:rsid w:val="00831DED"/>
    <w:rsid w:val="00832F7E"/>
    <w:rsid w:val="00833109"/>
    <w:rsid w:val="0083374B"/>
    <w:rsid w:val="00834163"/>
    <w:rsid w:val="008346DC"/>
    <w:rsid w:val="0083513B"/>
    <w:rsid w:val="00835200"/>
    <w:rsid w:val="00835B20"/>
    <w:rsid w:val="0083637A"/>
    <w:rsid w:val="00836602"/>
    <w:rsid w:val="008367B9"/>
    <w:rsid w:val="00836B69"/>
    <w:rsid w:val="00837BCA"/>
    <w:rsid w:val="00837DC3"/>
    <w:rsid w:val="00837E0F"/>
    <w:rsid w:val="00840B30"/>
    <w:rsid w:val="00840CFE"/>
    <w:rsid w:val="00840FDA"/>
    <w:rsid w:val="008413BF"/>
    <w:rsid w:val="008417FE"/>
    <w:rsid w:val="0084215F"/>
    <w:rsid w:val="00842247"/>
    <w:rsid w:val="0084349B"/>
    <w:rsid w:val="00843F6C"/>
    <w:rsid w:val="00844658"/>
    <w:rsid w:val="008446F9"/>
    <w:rsid w:val="00844846"/>
    <w:rsid w:val="00844BE0"/>
    <w:rsid w:val="008450D5"/>
    <w:rsid w:val="00845878"/>
    <w:rsid w:val="00845E5F"/>
    <w:rsid w:val="008460F8"/>
    <w:rsid w:val="008464D5"/>
    <w:rsid w:val="00846548"/>
    <w:rsid w:val="00846B10"/>
    <w:rsid w:val="00846E56"/>
    <w:rsid w:val="008471C4"/>
    <w:rsid w:val="0084748F"/>
    <w:rsid w:val="00847B7C"/>
    <w:rsid w:val="00847CF0"/>
    <w:rsid w:val="00850591"/>
    <w:rsid w:val="00850656"/>
    <w:rsid w:val="00851256"/>
    <w:rsid w:val="00851594"/>
    <w:rsid w:val="00851909"/>
    <w:rsid w:val="00851B88"/>
    <w:rsid w:val="00851EED"/>
    <w:rsid w:val="00852795"/>
    <w:rsid w:val="008528CD"/>
    <w:rsid w:val="0085332C"/>
    <w:rsid w:val="00853AFA"/>
    <w:rsid w:val="00853B35"/>
    <w:rsid w:val="008544AF"/>
    <w:rsid w:val="008548E3"/>
    <w:rsid w:val="00854A5A"/>
    <w:rsid w:val="00854D5D"/>
    <w:rsid w:val="00855DD6"/>
    <w:rsid w:val="008571E9"/>
    <w:rsid w:val="00857643"/>
    <w:rsid w:val="0085766F"/>
    <w:rsid w:val="00857791"/>
    <w:rsid w:val="00860306"/>
    <w:rsid w:val="00860E8C"/>
    <w:rsid w:val="00861262"/>
    <w:rsid w:val="00861D13"/>
    <w:rsid w:val="00861FA9"/>
    <w:rsid w:val="008626C1"/>
    <w:rsid w:val="00862923"/>
    <w:rsid w:val="00863A83"/>
    <w:rsid w:val="00864703"/>
    <w:rsid w:val="008647D3"/>
    <w:rsid w:val="00864E74"/>
    <w:rsid w:val="00866FB5"/>
    <w:rsid w:val="0086702B"/>
    <w:rsid w:val="00867179"/>
    <w:rsid w:val="008672E4"/>
    <w:rsid w:val="00867464"/>
    <w:rsid w:val="00870171"/>
    <w:rsid w:val="00870E1E"/>
    <w:rsid w:val="0087109F"/>
    <w:rsid w:val="0087112D"/>
    <w:rsid w:val="008712B7"/>
    <w:rsid w:val="00871BE4"/>
    <w:rsid w:val="0087210F"/>
    <w:rsid w:val="008725D4"/>
    <w:rsid w:val="00872B9A"/>
    <w:rsid w:val="00872D4D"/>
    <w:rsid w:val="00873454"/>
    <w:rsid w:val="0087379F"/>
    <w:rsid w:val="00873D37"/>
    <w:rsid w:val="00874E18"/>
    <w:rsid w:val="0087503E"/>
    <w:rsid w:val="00875171"/>
    <w:rsid w:val="00875C81"/>
    <w:rsid w:val="008765B7"/>
    <w:rsid w:val="0087662D"/>
    <w:rsid w:val="00876CE2"/>
    <w:rsid w:val="00876EF4"/>
    <w:rsid w:val="00877B87"/>
    <w:rsid w:val="00880497"/>
    <w:rsid w:val="00880E08"/>
    <w:rsid w:val="00880E19"/>
    <w:rsid w:val="00880F3F"/>
    <w:rsid w:val="0088147E"/>
    <w:rsid w:val="00882DB0"/>
    <w:rsid w:val="00882DF2"/>
    <w:rsid w:val="008838A9"/>
    <w:rsid w:val="00884326"/>
    <w:rsid w:val="008844EF"/>
    <w:rsid w:val="0088453A"/>
    <w:rsid w:val="00884B28"/>
    <w:rsid w:val="00885366"/>
    <w:rsid w:val="0088543B"/>
    <w:rsid w:val="008855E9"/>
    <w:rsid w:val="008856E6"/>
    <w:rsid w:val="00885905"/>
    <w:rsid w:val="0088593E"/>
    <w:rsid w:val="00885BE9"/>
    <w:rsid w:val="00885EE5"/>
    <w:rsid w:val="00885F4A"/>
    <w:rsid w:val="008865E2"/>
    <w:rsid w:val="00886939"/>
    <w:rsid w:val="00886EE1"/>
    <w:rsid w:val="0088735D"/>
    <w:rsid w:val="00887774"/>
    <w:rsid w:val="008901B1"/>
    <w:rsid w:val="00890338"/>
    <w:rsid w:val="0089069B"/>
    <w:rsid w:val="00890D62"/>
    <w:rsid w:val="008914A8"/>
    <w:rsid w:val="0089165E"/>
    <w:rsid w:val="008916B3"/>
    <w:rsid w:val="00891DE1"/>
    <w:rsid w:val="008933AC"/>
    <w:rsid w:val="00893554"/>
    <w:rsid w:val="00893920"/>
    <w:rsid w:val="008939BD"/>
    <w:rsid w:val="00893D38"/>
    <w:rsid w:val="00894774"/>
    <w:rsid w:val="00894EC8"/>
    <w:rsid w:val="0089527C"/>
    <w:rsid w:val="00895B8B"/>
    <w:rsid w:val="008964E0"/>
    <w:rsid w:val="008967C7"/>
    <w:rsid w:val="00896E01"/>
    <w:rsid w:val="0089700C"/>
    <w:rsid w:val="00897258"/>
    <w:rsid w:val="00897455"/>
    <w:rsid w:val="008974F8"/>
    <w:rsid w:val="0089764C"/>
    <w:rsid w:val="00897A5E"/>
    <w:rsid w:val="00897B29"/>
    <w:rsid w:val="008A0C8C"/>
    <w:rsid w:val="008A112A"/>
    <w:rsid w:val="008A1660"/>
    <w:rsid w:val="008A1696"/>
    <w:rsid w:val="008A17DC"/>
    <w:rsid w:val="008A1985"/>
    <w:rsid w:val="008A1A8C"/>
    <w:rsid w:val="008A4179"/>
    <w:rsid w:val="008A4301"/>
    <w:rsid w:val="008A483F"/>
    <w:rsid w:val="008A498A"/>
    <w:rsid w:val="008A4AA0"/>
    <w:rsid w:val="008A4B19"/>
    <w:rsid w:val="008A4F55"/>
    <w:rsid w:val="008A5747"/>
    <w:rsid w:val="008A5831"/>
    <w:rsid w:val="008A58A6"/>
    <w:rsid w:val="008A6F18"/>
    <w:rsid w:val="008A6FD8"/>
    <w:rsid w:val="008A71F9"/>
    <w:rsid w:val="008A7589"/>
    <w:rsid w:val="008A769A"/>
    <w:rsid w:val="008A7C41"/>
    <w:rsid w:val="008B009A"/>
    <w:rsid w:val="008B00DF"/>
    <w:rsid w:val="008B0288"/>
    <w:rsid w:val="008B0C48"/>
    <w:rsid w:val="008B0D5A"/>
    <w:rsid w:val="008B0E0E"/>
    <w:rsid w:val="008B11AB"/>
    <w:rsid w:val="008B12AA"/>
    <w:rsid w:val="008B1FE7"/>
    <w:rsid w:val="008B22EE"/>
    <w:rsid w:val="008B2DA1"/>
    <w:rsid w:val="008B3902"/>
    <w:rsid w:val="008B3A72"/>
    <w:rsid w:val="008B3AE5"/>
    <w:rsid w:val="008B4522"/>
    <w:rsid w:val="008B45CA"/>
    <w:rsid w:val="008B490C"/>
    <w:rsid w:val="008B4A14"/>
    <w:rsid w:val="008B4D54"/>
    <w:rsid w:val="008B661F"/>
    <w:rsid w:val="008B6755"/>
    <w:rsid w:val="008B67CA"/>
    <w:rsid w:val="008B7060"/>
    <w:rsid w:val="008B779A"/>
    <w:rsid w:val="008B77FE"/>
    <w:rsid w:val="008B7EA1"/>
    <w:rsid w:val="008C0A2D"/>
    <w:rsid w:val="008C2AAE"/>
    <w:rsid w:val="008C2F08"/>
    <w:rsid w:val="008C39F7"/>
    <w:rsid w:val="008C4A98"/>
    <w:rsid w:val="008C4D4A"/>
    <w:rsid w:val="008C5B9E"/>
    <w:rsid w:val="008C6C1C"/>
    <w:rsid w:val="008C6F5D"/>
    <w:rsid w:val="008D00AD"/>
    <w:rsid w:val="008D0141"/>
    <w:rsid w:val="008D03AA"/>
    <w:rsid w:val="008D0440"/>
    <w:rsid w:val="008D2A2B"/>
    <w:rsid w:val="008D3A35"/>
    <w:rsid w:val="008D3BD3"/>
    <w:rsid w:val="008D3E3E"/>
    <w:rsid w:val="008D4515"/>
    <w:rsid w:val="008D459E"/>
    <w:rsid w:val="008D48E4"/>
    <w:rsid w:val="008D49E9"/>
    <w:rsid w:val="008D4CAF"/>
    <w:rsid w:val="008D4D80"/>
    <w:rsid w:val="008D4EFB"/>
    <w:rsid w:val="008D563C"/>
    <w:rsid w:val="008D67FF"/>
    <w:rsid w:val="008D6C7F"/>
    <w:rsid w:val="008D6E2B"/>
    <w:rsid w:val="008D722A"/>
    <w:rsid w:val="008D72DC"/>
    <w:rsid w:val="008D73E8"/>
    <w:rsid w:val="008D7807"/>
    <w:rsid w:val="008D794A"/>
    <w:rsid w:val="008D7DDF"/>
    <w:rsid w:val="008D7E79"/>
    <w:rsid w:val="008E0570"/>
    <w:rsid w:val="008E1527"/>
    <w:rsid w:val="008E214D"/>
    <w:rsid w:val="008E22DD"/>
    <w:rsid w:val="008E259D"/>
    <w:rsid w:val="008E2DC9"/>
    <w:rsid w:val="008E2E90"/>
    <w:rsid w:val="008E3EDF"/>
    <w:rsid w:val="008E43C6"/>
    <w:rsid w:val="008E50D2"/>
    <w:rsid w:val="008E5329"/>
    <w:rsid w:val="008E5360"/>
    <w:rsid w:val="008E54A4"/>
    <w:rsid w:val="008E6E0E"/>
    <w:rsid w:val="008E7430"/>
    <w:rsid w:val="008E79FF"/>
    <w:rsid w:val="008E7BBF"/>
    <w:rsid w:val="008F00A5"/>
    <w:rsid w:val="008F05A0"/>
    <w:rsid w:val="008F1568"/>
    <w:rsid w:val="008F1933"/>
    <w:rsid w:val="008F3EBF"/>
    <w:rsid w:val="008F472F"/>
    <w:rsid w:val="008F4893"/>
    <w:rsid w:val="008F4E70"/>
    <w:rsid w:val="008F51A4"/>
    <w:rsid w:val="008F5440"/>
    <w:rsid w:val="008F5A27"/>
    <w:rsid w:val="008F61A1"/>
    <w:rsid w:val="008F63F9"/>
    <w:rsid w:val="008F7DA6"/>
    <w:rsid w:val="008F7E49"/>
    <w:rsid w:val="009002EB"/>
    <w:rsid w:val="009004A7"/>
    <w:rsid w:val="00900DF4"/>
    <w:rsid w:val="0090112D"/>
    <w:rsid w:val="009017E3"/>
    <w:rsid w:val="009019EC"/>
    <w:rsid w:val="0090232A"/>
    <w:rsid w:val="00902622"/>
    <w:rsid w:val="00902E88"/>
    <w:rsid w:val="0090409A"/>
    <w:rsid w:val="00904203"/>
    <w:rsid w:val="00904AB8"/>
    <w:rsid w:val="00904B81"/>
    <w:rsid w:val="0090504C"/>
    <w:rsid w:val="00905A48"/>
    <w:rsid w:val="00905C82"/>
    <w:rsid w:val="0090602C"/>
    <w:rsid w:val="00906AA9"/>
    <w:rsid w:val="00906B75"/>
    <w:rsid w:val="00906DFA"/>
    <w:rsid w:val="00906E75"/>
    <w:rsid w:val="00907F96"/>
    <w:rsid w:val="00910B0B"/>
    <w:rsid w:val="00910F3C"/>
    <w:rsid w:val="00911393"/>
    <w:rsid w:val="00911652"/>
    <w:rsid w:val="009118D0"/>
    <w:rsid w:val="0091211F"/>
    <w:rsid w:val="0091270E"/>
    <w:rsid w:val="00912C73"/>
    <w:rsid w:val="00912FE3"/>
    <w:rsid w:val="00913A70"/>
    <w:rsid w:val="009148F6"/>
    <w:rsid w:val="009149C8"/>
    <w:rsid w:val="00915B60"/>
    <w:rsid w:val="00915CA4"/>
    <w:rsid w:val="009162E9"/>
    <w:rsid w:val="00916477"/>
    <w:rsid w:val="00916F9D"/>
    <w:rsid w:val="0091704D"/>
    <w:rsid w:val="009170DD"/>
    <w:rsid w:val="009171E2"/>
    <w:rsid w:val="0091761C"/>
    <w:rsid w:val="00920455"/>
    <w:rsid w:val="00920A9C"/>
    <w:rsid w:val="00920C3A"/>
    <w:rsid w:val="00920E77"/>
    <w:rsid w:val="0092153A"/>
    <w:rsid w:val="0092174D"/>
    <w:rsid w:val="00921DAC"/>
    <w:rsid w:val="00921F73"/>
    <w:rsid w:val="00922DD4"/>
    <w:rsid w:val="00923DF3"/>
    <w:rsid w:val="0092441E"/>
    <w:rsid w:val="00924683"/>
    <w:rsid w:val="00924AB1"/>
    <w:rsid w:val="00924DE4"/>
    <w:rsid w:val="00925780"/>
    <w:rsid w:val="00925E63"/>
    <w:rsid w:val="00925EBD"/>
    <w:rsid w:val="00926092"/>
    <w:rsid w:val="00926450"/>
    <w:rsid w:val="00926D25"/>
    <w:rsid w:val="00926F63"/>
    <w:rsid w:val="0092756A"/>
    <w:rsid w:val="00927D91"/>
    <w:rsid w:val="00927E85"/>
    <w:rsid w:val="009302FB"/>
    <w:rsid w:val="009304CD"/>
    <w:rsid w:val="00930836"/>
    <w:rsid w:val="00930945"/>
    <w:rsid w:val="00930AE3"/>
    <w:rsid w:val="00930AF6"/>
    <w:rsid w:val="009313F3"/>
    <w:rsid w:val="009314E4"/>
    <w:rsid w:val="009317A1"/>
    <w:rsid w:val="00931D4B"/>
    <w:rsid w:val="009329CB"/>
    <w:rsid w:val="00932ACC"/>
    <w:rsid w:val="00932B01"/>
    <w:rsid w:val="00932EF3"/>
    <w:rsid w:val="00932F26"/>
    <w:rsid w:val="0093320B"/>
    <w:rsid w:val="009336E4"/>
    <w:rsid w:val="00933EC6"/>
    <w:rsid w:val="00933F63"/>
    <w:rsid w:val="009350CF"/>
    <w:rsid w:val="00935243"/>
    <w:rsid w:val="0093705F"/>
    <w:rsid w:val="009378D3"/>
    <w:rsid w:val="009378FF"/>
    <w:rsid w:val="00937BE2"/>
    <w:rsid w:val="0094074C"/>
    <w:rsid w:val="00940BE5"/>
    <w:rsid w:val="009413FD"/>
    <w:rsid w:val="00941DCE"/>
    <w:rsid w:val="00941FC9"/>
    <w:rsid w:val="009420AF"/>
    <w:rsid w:val="00942837"/>
    <w:rsid w:val="009428F1"/>
    <w:rsid w:val="00942FF6"/>
    <w:rsid w:val="00943409"/>
    <w:rsid w:val="00943F4D"/>
    <w:rsid w:val="00943F5D"/>
    <w:rsid w:val="00944031"/>
    <w:rsid w:val="009447DD"/>
    <w:rsid w:val="0094497B"/>
    <w:rsid w:val="00944C40"/>
    <w:rsid w:val="00944E62"/>
    <w:rsid w:val="00944F92"/>
    <w:rsid w:val="009452F7"/>
    <w:rsid w:val="00945D9C"/>
    <w:rsid w:val="00946073"/>
    <w:rsid w:val="00946489"/>
    <w:rsid w:val="009466A1"/>
    <w:rsid w:val="009467F0"/>
    <w:rsid w:val="00946EB7"/>
    <w:rsid w:val="009478C1"/>
    <w:rsid w:val="00947CDE"/>
    <w:rsid w:val="00947D24"/>
    <w:rsid w:val="009507BF"/>
    <w:rsid w:val="00950993"/>
    <w:rsid w:val="0095117B"/>
    <w:rsid w:val="00951246"/>
    <w:rsid w:val="009529E1"/>
    <w:rsid w:val="00953125"/>
    <w:rsid w:val="0095312A"/>
    <w:rsid w:val="009537C1"/>
    <w:rsid w:val="009538FF"/>
    <w:rsid w:val="00953969"/>
    <w:rsid w:val="00953970"/>
    <w:rsid w:val="00954399"/>
    <w:rsid w:val="009543D4"/>
    <w:rsid w:val="00955110"/>
    <w:rsid w:val="00955409"/>
    <w:rsid w:val="00955E5C"/>
    <w:rsid w:val="00956CA4"/>
    <w:rsid w:val="00956E11"/>
    <w:rsid w:val="00956E5F"/>
    <w:rsid w:val="00957745"/>
    <w:rsid w:val="00957D87"/>
    <w:rsid w:val="00960C07"/>
    <w:rsid w:val="00961625"/>
    <w:rsid w:val="009618E6"/>
    <w:rsid w:val="00961CB0"/>
    <w:rsid w:val="0096252C"/>
    <w:rsid w:val="009625E3"/>
    <w:rsid w:val="0096295E"/>
    <w:rsid w:val="00962E7E"/>
    <w:rsid w:val="009633F9"/>
    <w:rsid w:val="00963560"/>
    <w:rsid w:val="009644B9"/>
    <w:rsid w:val="00965C6C"/>
    <w:rsid w:val="00965CF5"/>
    <w:rsid w:val="00965DDC"/>
    <w:rsid w:val="009662B3"/>
    <w:rsid w:val="00966786"/>
    <w:rsid w:val="00966933"/>
    <w:rsid w:val="00966FFB"/>
    <w:rsid w:val="009678C7"/>
    <w:rsid w:val="00967975"/>
    <w:rsid w:val="00967EF7"/>
    <w:rsid w:val="0097042F"/>
    <w:rsid w:val="009709F6"/>
    <w:rsid w:val="00971706"/>
    <w:rsid w:val="0097170D"/>
    <w:rsid w:val="00971F65"/>
    <w:rsid w:val="009725BE"/>
    <w:rsid w:val="00972603"/>
    <w:rsid w:val="009727A4"/>
    <w:rsid w:val="00972B33"/>
    <w:rsid w:val="0097314E"/>
    <w:rsid w:val="00973F2C"/>
    <w:rsid w:val="00974128"/>
    <w:rsid w:val="0097437F"/>
    <w:rsid w:val="00974521"/>
    <w:rsid w:val="00974E09"/>
    <w:rsid w:val="00975166"/>
    <w:rsid w:val="00975AE6"/>
    <w:rsid w:val="00975E71"/>
    <w:rsid w:val="009765FF"/>
    <w:rsid w:val="00976798"/>
    <w:rsid w:val="00976C18"/>
    <w:rsid w:val="00976EBA"/>
    <w:rsid w:val="009771F7"/>
    <w:rsid w:val="00977B49"/>
    <w:rsid w:val="00980071"/>
    <w:rsid w:val="00980EFB"/>
    <w:rsid w:val="00981068"/>
    <w:rsid w:val="009811CF"/>
    <w:rsid w:val="009813A2"/>
    <w:rsid w:val="009817C8"/>
    <w:rsid w:val="00981992"/>
    <w:rsid w:val="009822DA"/>
    <w:rsid w:val="00982B6D"/>
    <w:rsid w:val="00983183"/>
    <w:rsid w:val="0098324B"/>
    <w:rsid w:val="009838AA"/>
    <w:rsid w:val="00984511"/>
    <w:rsid w:val="009848DE"/>
    <w:rsid w:val="009849C2"/>
    <w:rsid w:val="00985090"/>
    <w:rsid w:val="00985789"/>
    <w:rsid w:val="00985986"/>
    <w:rsid w:val="00985E0F"/>
    <w:rsid w:val="009862E3"/>
    <w:rsid w:val="00986937"/>
    <w:rsid w:val="00986CDC"/>
    <w:rsid w:val="00987048"/>
    <w:rsid w:val="00987752"/>
    <w:rsid w:val="00987D9E"/>
    <w:rsid w:val="00987F54"/>
    <w:rsid w:val="009901D4"/>
    <w:rsid w:val="00990618"/>
    <w:rsid w:val="009909E3"/>
    <w:rsid w:val="00991C03"/>
    <w:rsid w:val="00991D2D"/>
    <w:rsid w:val="00991ECF"/>
    <w:rsid w:val="00992451"/>
    <w:rsid w:val="009926AC"/>
    <w:rsid w:val="00993EE3"/>
    <w:rsid w:val="009945FE"/>
    <w:rsid w:val="00994961"/>
    <w:rsid w:val="00994D72"/>
    <w:rsid w:val="00994DC1"/>
    <w:rsid w:val="0099504F"/>
    <w:rsid w:val="0099519C"/>
    <w:rsid w:val="009953CB"/>
    <w:rsid w:val="00995ECB"/>
    <w:rsid w:val="0099637C"/>
    <w:rsid w:val="0099653D"/>
    <w:rsid w:val="009965AA"/>
    <w:rsid w:val="0099691B"/>
    <w:rsid w:val="00996A40"/>
    <w:rsid w:val="00996AF7"/>
    <w:rsid w:val="0099759B"/>
    <w:rsid w:val="00997EDC"/>
    <w:rsid w:val="009A0058"/>
    <w:rsid w:val="009A07D1"/>
    <w:rsid w:val="009A0A02"/>
    <w:rsid w:val="009A0DA0"/>
    <w:rsid w:val="009A1DB7"/>
    <w:rsid w:val="009A240A"/>
    <w:rsid w:val="009A2564"/>
    <w:rsid w:val="009A258A"/>
    <w:rsid w:val="009A2AE6"/>
    <w:rsid w:val="009A3245"/>
    <w:rsid w:val="009A335B"/>
    <w:rsid w:val="009A3BAF"/>
    <w:rsid w:val="009A40EA"/>
    <w:rsid w:val="009A4403"/>
    <w:rsid w:val="009A487A"/>
    <w:rsid w:val="009A4A10"/>
    <w:rsid w:val="009A4A18"/>
    <w:rsid w:val="009A4D12"/>
    <w:rsid w:val="009A4EB7"/>
    <w:rsid w:val="009A624E"/>
    <w:rsid w:val="009A67C0"/>
    <w:rsid w:val="009A6AF2"/>
    <w:rsid w:val="009A6E8F"/>
    <w:rsid w:val="009A6F68"/>
    <w:rsid w:val="009A74C9"/>
    <w:rsid w:val="009A7589"/>
    <w:rsid w:val="009A7A9C"/>
    <w:rsid w:val="009A7DBC"/>
    <w:rsid w:val="009A7DF5"/>
    <w:rsid w:val="009B0433"/>
    <w:rsid w:val="009B0C7C"/>
    <w:rsid w:val="009B0F00"/>
    <w:rsid w:val="009B122D"/>
    <w:rsid w:val="009B12C6"/>
    <w:rsid w:val="009B166D"/>
    <w:rsid w:val="009B18B6"/>
    <w:rsid w:val="009B1B56"/>
    <w:rsid w:val="009B1DC7"/>
    <w:rsid w:val="009B2009"/>
    <w:rsid w:val="009B200D"/>
    <w:rsid w:val="009B254D"/>
    <w:rsid w:val="009B2855"/>
    <w:rsid w:val="009B28D0"/>
    <w:rsid w:val="009B3165"/>
    <w:rsid w:val="009B379A"/>
    <w:rsid w:val="009B4003"/>
    <w:rsid w:val="009B444B"/>
    <w:rsid w:val="009B4E45"/>
    <w:rsid w:val="009B5550"/>
    <w:rsid w:val="009B58D9"/>
    <w:rsid w:val="009B5965"/>
    <w:rsid w:val="009B6305"/>
    <w:rsid w:val="009B65F5"/>
    <w:rsid w:val="009B69BD"/>
    <w:rsid w:val="009B6D74"/>
    <w:rsid w:val="009B6D8C"/>
    <w:rsid w:val="009B70C2"/>
    <w:rsid w:val="009B7F87"/>
    <w:rsid w:val="009C0138"/>
    <w:rsid w:val="009C056D"/>
    <w:rsid w:val="009C077B"/>
    <w:rsid w:val="009C090B"/>
    <w:rsid w:val="009C09CD"/>
    <w:rsid w:val="009C1042"/>
    <w:rsid w:val="009C1A28"/>
    <w:rsid w:val="009C323F"/>
    <w:rsid w:val="009C395D"/>
    <w:rsid w:val="009C4735"/>
    <w:rsid w:val="009C4DEC"/>
    <w:rsid w:val="009C4EB9"/>
    <w:rsid w:val="009C55DA"/>
    <w:rsid w:val="009C586F"/>
    <w:rsid w:val="009C5906"/>
    <w:rsid w:val="009C5FF4"/>
    <w:rsid w:val="009C60C5"/>
    <w:rsid w:val="009C655B"/>
    <w:rsid w:val="009C66C6"/>
    <w:rsid w:val="009C681B"/>
    <w:rsid w:val="009C6F85"/>
    <w:rsid w:val="009C6FB6"/>
    <w:rsid w:val="009C7094"/>
    <w:rsid w:val="009C7129"/>
    <w:rsid w:val="009C7BF7"/>
    <w:rsid w:val="009C7DB6"/>
    <w:rsid w:val="009D0068"/>
    <w:rsid w:val="009D0224"/>
    <w:rsid w:val="009D0267"/>
    <w:rsid w:val="009D1326"/>
    <w:rsid w:val="009D1457"/>
    <w:rsid w:val="009D2517"/>
    <w:rsid w:val="009D34EB"/>
    <w:rsid w:val="009D3957"/>
    <w:rsid w:val="009D3FAD"/>
    <w:rsid w:val="009D44AB"/>
    <w:rsid w:val="009D48FF"/>
    <w:rsid w:val="009D4FF2"/>
    <w:rsid w:val="009D51FC"/>
    <w:rsid w:val="009D6628"/>
    <w:rsid w:val="009D6658"/>
    <w:rsid w:val="009D6737"/>
    <w:rsid w:val="009D6E8C"/>
    <w:rsid w:val="009D71CE"/>
    <w:rsid w:val="009D71DF"/>
    <w:rsid w:val="009D79F7"/>
    <w:rsid w:val="009D7B71"/>
    <w:rsid w:val="009E021C"/>
    <w:rsid w:val="009E10E1"/>
    <w:rsid w:val="009E1146"/>
    <w:rsid w:val="009E15B3"/>
    <w:rsid w:val="009E2134"/>
    <w:rsid w:val="009E2519"/>
    <w:rsid w:val="009E2619"/>
    <w:rsid w:val="009E4DC8"/>
    <w:rsid w:val="009E5294"/>
    <w:rsid w:val="009E5AB6"/>
    <w:rsid w:val="009E5B73"/>
    <w:rsid w:val="009E5EC0"/>
    <w:rsid w:val="009E6335"/>
    <w:rsid w:val="009E6461"/>
    <w:rsid w:val="009E683A"/>
    <w:rsid w:val="009E6B4A"/>
    <w:rsid w:val="009E78F2"/>
    <w:rsid w:val="009E7A01"/>
    <w:rsid w:val="009E7F46"/>
    <w:rsid w:val="009F041C"/>
    <w:rsid w:val="009F0959"/>
    <w:rsid w:val="009F09DC"/>
    <w:rsid w:val="009F0CF1"/>
    <w:rsid w:val="009F123E"/>
    <w:rsid w:val="009F13D9"/>
    <w:rsid w:val="009F15BF"/>
    <w:rsid w:val="009F16F9"/>
    <w:rsid w:val="009F2A0A"/>
    <w:rsid w:val="009F2FF7"/>
    <w:rsid w:val="009F399C"/>
    <w:rsid w:val="009F3D4F"/>
    <w:rsid w:val="009F401E"/>
    <w:rsid w:val="009F50BA"/>
    <w:rsid w:val="009F510B"/>
    <w:rsid w:val="009F586F"/>
    <w:rsid w:val="009F6F31"/>
    <w:rsid w:val="00A00404"/>
    <w:rsid w:val="00A00DC2"/>
    <w:rsid w:val="00A0188F"/>
    <w:rsid w:val="00A01F44"/>
    <w:rsid w:val="00A02363"/>
    <w:rsid w:val="00A03DC1"/>
    <w:rsid w:val="00A04972"/>
    <w:rsid w:val="00A04A23"/>
    <w:rsid w:val="00A04AC4"/>
    <w:rsid w:val="00A04E9A"/>
    <w:rsid w:val="00A062BC"/>
    <w:rsid w:val="00A0678B"/>
    <w:rsid w:val="00A071BD"/>
    <w:rsid w:val="00A07E2A"/>
    <w:rsid w:val="00A10007"/>
    <w:rsid w:val="00A10046"/>
    <w:rsid w:val="00A10901"/>
    <w:rsid w:val="00A10931"/>
    <w:rsid w:val="00A1120A"/>
    <w:rsid w:val="00A11462"/>
    <w:rsid w:val="00A11883"/>
    <w:rsid w:val="00A11A68"/>
    <w:rsid w:val="00A11CEC"/>
    <w:rsid w:val="00A11FBB"/>
    <w:rsid w:val="00A13755"/>
    <w:rsid w:val="00A13764"/>
    <w:rsid w:val="00A13EF5"/>
    <w:rsid w:val="00A13FD1"/>
    <w:rsid w:val="00A1450B"/>
    <w:rsid w:val="00A1469E"/>
    <w:rsid w:val="00A14A05"/>
    <w:rsid w:val="00A155C8"/>
    <w:rsid w:val="00A15B6C"/>
    <w:rsid w:val="00A16039"/>
    <w:rsid w:val="00A176EB"/>
    <w:rsid w:val="00A20271"/>
    <w:rsid w:val="00A2048E"/>
    <w:rsid w:val="00A209A7"/>
    <w:rsid w:val="00A20E82"/>
    <w:rsid w:val="00A212B9"/>
    <w:rsid w:val="00A21D34"/>
    <w:rsid w:val="00A21DE4"/>
    <w:rsid w:val="00A221F4"/>
    <w:rsid w:val="00A22B84"/>
    <w:rsid w:val="00A22E13"/>
    <w:rsid w:val="00A235F3"/>
    <w:rsid w:val="00A23B8F"/>
    <w:rsid w:val="00A23D62"/>
    <w:rsid w:val="00A249F8"/>
    <w:rsid w:val="00A24BFB"/>
    <w:rsid w:val="00A24FEE"/>
    <w:rsid w:val="00A25BA2"/>
    <w:rsid w:val="00A25C7F"/>
    <w:rsid w:val="00A2620E"/>
    <w:rsid w:val="00A2663F"/>
    <w:rsid w:val="00A26717"/>
    <w:rsid w:val="00A269C5"/>
    <w:rsid w:val="00A27317"/>
    <w:rsid w:val="00A27359"/>
    <w:rsid w:val="00A2758C"/>
    <w:rsid w:val="00A27953"/>
    <w:rsid w:val="00A27BC8"/>
    <w:rsid w:val="00A312CB"/>
    <w:rsid w:val="00A3145E"/>
    <w:rsid w:val="00A316C1"/>
    <w:rsid w:val="00A31923"/>
    <w:rsid w:val="00A3199B"/>
    <w:rsid w:val="00A31B45"/>
    <w:rsid w:val="00A34D74"/>
    <w:rsid w:val="00A34DDB"/>
    <w:rsid w:val="00A357F5"/>
    <w:rsid w:val="00A359C7"/>
    <w:rsid w:val="00A35DB3"/>
    <w:rsid w:val="00A36139"/>
    <w:rsid w:val="00A364A1"/>
    <w:rsid w:val="00A367B2"/>
    <w:rsid w:val="00A3691E"/>
    <w:rsid w:val="00A3727B"/>
    <w:rsid w:val="00A374DB"/>
    <w:rsid w:val="00A37724"/>
    <w:rsid w:val="00A404E4"/>
    <w:rsid w:val="00A412D8"/>
    <w:rsid w:val="00A42197"/>
    <w:rsid w:val="00A4410C"/>
    <w:rsid w:val="00A446B5"/>
    <w:rsid w:val="00A44A22"/>
    <w:rsid w:val="00A44F75"/>
    <w:rsid w:val="00A456FE"/>
    <w:rsid w:val="00A45A5B"/>
    <w:rsid w:val="00A45B0A"/>
    <w:rsid w:val="00A45DBB"/>
    <w:rsid w:val="00A45F82"/>
    <w:rsid w:val="00A461E5"/>
    <w:rsid w:val="00A46CB0"/>
    <w:rsid w:val="00A46FB2"/>
    <w:rsid w:val="00A4767D"/>
    <w:rsid w:val="00A47A44"/>
    <w:rsid w:val="00A50B05"/>
    <w:rsid w:val="00A5124B"/>
    <w:rsid w:val="00A5165F"/>
    <w:rsid w:val="00A52424"/>
    <w:rsid w:val="00A524E0"/>
    <w:rsid w:val="00A53952"/>
    <w:rsid w:val="00A53B33"/>
    <w:rsid w:val="00A53CA3"/>
    <w:rsid w:val="00A543E6"/>
    <w:rsid w:val="00A549F9"/>
    <w:rsid w:val="00A55047"/>
    <w:rsid w:val="00A55752"/>
    <w:rsid w:val="00A55C58"/>
    <w:rsid w:val="00A5629D"/>
    <w:rsid w:val="00A562CA"/>
    <w:rsid w:val="00A575D9"/>
    <w:rsid w:val="00A57DB1"/>
    <w:rsid w:val="00A601D2"/>
    <w:rsid w:val="00A61658"/>
    <w:rsid w:val="00A61755"/>
    <w:rsid w:val="00A61B5C"/>
    <w:rsid w:val="00A62303"/>
    <w:rsid w:val="00A62F7C"/>
    <w:rsid w:val="00A63BBB"/>
    <w:rsid w:val="00A63F52"/>
    <w:rsid w:val="00A644A5"/>
    <w:rsid w:val="00A64B2B"/>
    <w:rsid w:val="00A65137"/>
    <w:rsid w:val="00A656A4"/>
    <w:rsid w:val="00A65DC8"/>
    <w:rsid w:val="00A662E3"/>
    <w:rsid w:val="00A66F34"/>
    <w:rsid w:val="00A66F6D"/>
    <w:rsid w:val="00A67251"/>
    <w:rsid w:val="00A6731D"/>
    <w:rsid w:val="00A67454"/>
    <w:rsid w:val="00A678A9"/>
    <w:rsid w:val="00A67B73"/>
    <w:rsid w:val="00A67F74"/>
    <w:rsid w:val="00A70030"/>
    <w:rsid w:val="00A7042A"/>
    <w:rsid w:val="00A70D5F"/>
    <w:rsid w:val="00A710A8"/>
    <w:rsid w:val="00A71E52"/>
    <w:rsid w:val="00A72435"/>
    <w:rsid w:val="00A72CB9"/>
    <w:rsid w:val="00A7337E"/>
    <w:rsid w:val="00A7370A"/>
    <w:rsid w:val="00A73E32"/>
    <w:rsid w:val="00A73F7B"/>
    <w:rsid w:val="00A74005"/>
    <w:rsid w:val="00A7443E"/>
    <w:rsid w:val="00A75338"/>
    <w:rsid w:val="00A75535"/>
    <w:rsid w:val="00A75707"/>
    <w:rsid w:val="00A76142"/>
    <w:rsid w:val="00A76280"/>
    <w:rsid w:val="00A76D22"/>
    <w:rsid w:val="00A76F96"/>
    <w:rsid w:val="00A77296"/>
    <w:rsid w:val="00A775C9"/>
    <w:rsid w:val="00A77741"/>
    <w:rsid w:val="00A77BC0"/>
    <w:rsid w:val="00A77CAF"/>
    <w:rsid w:val="00A80023"/>
    <w:rsid w:val="00A800E8"/>
    <w:rsid w:val="00A80166"/>
    <w:rsid w:val="00A806F2"/>
    <w:rsid w:val="00A80D8B"/>
    <w:rsid w:val="00A80DF4"/>
    <w:rsid w:val="00A8121B"/>
    <w:rsid w:val="00A815A6"/>
    <w:rsid w:val="00A81A38"/>
    <w:rsid w:val="00A81AC1"/>
    <w:rsid w:val="00A81D3A"/>
    <w:rsid w:val="00A81EA7"/>
    <w:rsid w:val="00A82B40"/>
    <w:rsid w:val="00A83AF8"/>
    <w:rsid w:val="00A84957"/>
    <w:rsid w:val="00A84B50"/>
    <w:rsid w:val="00A84F82"/>
    <w:rsid w:val="00A8526D"/>
    <w:rsid w:val="00A8557D"/>
    <w:rsid w:val="00A8593D"/>
    <w:rsid w:val="00A85DE9"/>
    <w:rsid w:val="00A86071"/>
    <w:rsid w:val="00A862F9"/>
    <w:rsid w:val="00A86351"/>
    <w:rsid w:val="00A870AA"/>
    <w:rsid w:val="00A87A36"/>
    <w:rsid w:val="00A904C4"/>
    <w:rsid w:val="00A9083B"/>
    <w:rsid w:val="00A90E59"/>
    <w:rsid w:val="00A91A88"/>
    <w:rsid w:val="00A9208D"/>
    <w:rsid w:val="00A922E6"/>
    <w:rsid w:val="00A92BC2"/>
    <w:rsid w:val="00A92F96"/>
    <w:rsid w:val="00A93113"/>
    <w:rsid w:val="00A93952"/>
    <w:rsid w:val="00A93C99"/>
    <w:rsid w:val="00A93CC9"/>
    <w:rsid w:val="00A9401F"/>
    <w:rsid w:val="00A9545C"/>
    <w:rsid w:val="00A95EDE"/>
    <w:rsid w:val="00A96BDB"/>
    <w:rsid w:val="00A96C7C"/>
    <w:rsid w:val="00A96DB8"/>
    <w:rsid w:val="00A975A1"/>
    <w:rsid w:val="00A975A6"/>
    <w:rsid w:val="00A97F07"/>
    <w:rsid w:val="00AA0138"/>
    <w:rsid w:val="00AA08A8"/>
    <w:rsid w:val="00AA0B97"/>
    <w:rsid w:val="00AA1367"/>
    <w:rsid w:val="00AA14E4"/>
    <w:rsid w:val="00AA17B3"/>
    <w:rsid w:val="00AA2756"/>
    <w:rsid w:val="00AA2C34"/>
    <w:rsid w:val="00AA3056"/>
    <w:rsid w:val="00AA318B"/>
    <w:rsid w:val="00AA3737"/>
    <w:rsid w:val="00AA37CE"/>
    <w:rsid w:val="00AA38DB"/>
    <w:rsid w:val="00AA3EF4"/>
    <w:rsid w:val="00AA47E9"/>
    <w:rsid w:val="00AA4ECB"/>
    <w:rsid w:val="00AA508F"/>
    <w:rsid w:val="00AA520E"/>
    <w:rsid w:val="00AA57D4"/>
    <w:rsid w:val="00AA5899"/>
    <w:rsid w:val="00AA5A22"/>
    <w:rsid w:val="00AA5EC1"/>
    <w:rsid w:val="00AA6226"/>
    <w:rsid w:val="00AA62BE"/>
    <w:rsid w:val="00AA6688"/>
    <w:rsid w:val="00AA6722"/>
    <w:rsid w:val="00AA6B49"/>
    <w:rsid w:val="00AA74CF"/>
    <w:rsid w:val="00AA77F2"/>
    <w:rsid w:val="00AA7C2E"/>
    <w:rsid w:val="00AB0567"/>
    <w:rsid w:val="00AB07E2"/>
    <w:rsid w:val="00AB09D1"/>
    <w:rsid w:val="00AB0E89"/>
    <w:rsid w:val="00AB106D"/>
    <w:rsid w:val="00AB11D9"/>
    <w:rsid w:val="00AB12F6"/>
    <w:rsid w:val="00AB19BB"/>
    <w:rsid w:val="00AB19DC"/>
    <w:rsid w:val="00AB1BD3"/>
    <w:rsid w:val="00AB2175"/>
    <w:rsid w:val="00AB25AE"/>
    <w:rsid w:val="00AB2969"/>
    <w:rsid w:val="00AB29F7"/>
    <w:rsid w:val="00AB2DB4"/>
    <w:rsid w:val="00AB373B"/>
    <w:rsid w:val="00AB37C3"/>
    <w:rsid w:val="00AB3823"/>
    <w:rsid w:val="00AB3D96"/>
    <w:rsid w:val="00AB3DF9"/>
    <w:rsid w:val="00AB3EEF"/>
    <w:rsid w:val="00AB402E"/>
    <w:rsid w:val="00AB40B5"/>
    <w:rsid w:val="00AB42B0"/>
    <w:rsid w:val="00AB46A1"/>
    <w:rsid w:val="00AB5419"/>
    <w:rsid w:val="00AB549A"/>
    <w:rsid w:val="00AB5678"/>
    <w:rsid w:val="00AB7293"/>
    <w:rsid w:val="00AB7364"/>
    <w:rsid w:val="00AC02E6"/>
    <w:rsid w:val="00AC0402"/>
    <w:rsid w:val="00AC0548"/>
    <w:rsid w:val="00AC070A"/>
    <w:rsid w:val="00AC0A58"/>
    <w:rsid w:val="00AC0AE3"/>
    <w:rsid w:val="00AC1736"/>
    <w:rsid w:val="00AC1EE3"/>
    <w:rsid w:val="00AC2BBE"/>
    <w:rsid w:val="00AC2DA8"/>
    <w:rsid w:val="00AC2E90"/>
    <w:rsid w:val="00AC364D"/>
    <w:rsid w:val="00AC36D6"/>
    <w:rsid w:val="00AC3DF7"/>
    <w:rsid w:val="00AC3E06"/>
    <w:rsid w:val="00AC43A0"/>
    <w:rsid w:val="00AC4631"/>
    <w:rsid w:val="00AC4805"/>
    <w:rsid w:val="00AC4BF7"/>
    <w:rsid w:val="00AC520F"/>
    <w:rsid w:val="00AC5312"/>
    <w:rsid w:val="00AC552A"/>
    <w:rsid w:val="00AC5AE6"/>
    <w:rsid w:val="00AC5FC9"/>
    <w:rsid w:val="00AC61B5"/>
    <w:rsid w:val="00AC67BD"/>
    <w:rsid w:val="00AC6D41"/>
    <w:rsid w:val="00AC6DAC"/>
    <w:rsid w:val="00AC75EA"/>
    <w:rsid w:val="00AC7985"/>
    <w:rsid w:val="00AC7AAD"/>
    <w:rsid w:val="00AC7CAA"/>
    <w:rsid w:val="00AD018E"/>
    <w:rsid w:val="00AD04CC"/>
    <w:rsid w:val="00AD08AE"/>
    <w:rsid w:val="00AD0D72"/>
    <w:rsid w:val="00AD0E14"/>
    <w:rsid w:val="00AD0F55"/>
    <w:rsid w:val="00AD1C4D"/>
    <w:rsid w:val="00AD2178"/>
    <w:rsid w:val="00AD4261"/>
    <w:rsid w:val="00AD5770"/>
    <w:rsid w:val="00AD630B"/>
    <w:rsid w:val="00AD6881"/>
    <w:rsid w:val="00AD7332"/>
    <w:rsid w:val="00AD734D"/>
    <w:rsid w:val="00AD76D5"/>
    <w:rsid w:val="00AE01C5"/>
    <w:rsid w:val="00AE0245"/>
    <w:rsid w:val="00AE03E1"/>
    <w:rsid w:val="00AE044C"/>
    <w:rsid w:val="00AE09F0"/>
    <w:rsid w:val="00AE0A46"/>
    <w:rsid w:val="00AE0A61"/>
    <w:rsid w:val="00AE0A98"/>
    <w:rsid w:val="00AE0F9B"/>
    <w:rsid w:val="00AE2098"/>
    <w:rsid w:val="00AE2898"/>
    <w:rsid w:val="00AE2EA2"/>
    <w:rsid w:val="00AE3024"/>
    <w:rsid w:val="00AE3F5E"/>
    <w:rsid w:val="00AE43A0"/>
    <w:rsid w:val="00AE43E5"/>
    <w:rsid w:val="00AE4527"/>
    <w:rsid w:val="00AE4C15"/>
    <w:rsid w:val="00AE50C6"/>
    <w:rsid w:val="00AE5F3D"/>
    <w:rsid w:val="00AE62E7"/>
    <w:rsid w:val="00AE6CC1"/>
    <w:rsid w:val="00AF08EA"/>
    <w:rsid w:val="00AF094F"/>
    <w:rsid w:val="00AF0C8A"/>
    <w:rsid w:val="00AF0E86"/>
    <w:rsid w:val="00AF0F85"/>
    <w:rsid w:val="00AF1C68"/>
    <w:rsid w:val="00AF1C70"/>
    <w:rsid w:val="00AF1C7F"/>
    <w:rsid w:val="00AF1F25"/>
    <w:rsid w:val="00AF228E"/>
    <w:rsid w:val="00AF2A46"/>
    <w:rsid w:val="00AF2C24"/>
    <w:rsid w:val="00AF3B75"/>
    <w:rsid w:val="00AF3E67"/>
    <w:rsid w:val="00AF47E5"/>
    <w:rsid w:val="00AF47F9"/>
    <w:rsid w:val="00AF4CB8"/>
    <w:rsid w:val="00AF539D"/>
    <w:rsid w:val="00AF53E6"/>
    <w:rsid w:val="00AF53EE"/>
    <w:rsid w:val="00AF5627"/>
    <w:rsid w:val="00AF58B0"/>
    <w:rsid w:val="00AF5A90"/>
    <w:rsid w:val="00AF5DF4"/>
    <w:rsid w:val="00AF5E39"/>
    <w:rsid w:val="00AF642D"/>
    <w:rsid w:val="00AF6683"/>
    <w:rsid w:val="00AF68E7"/>
    <w:rsid w:val="00AF6C35"/>
    <w:rsid w:val="00AF7BA2"/>
    <w:rsid w:val="00B00AFE"/>
    <w:rsid w:val="00B01346"/>
    <w:rsid w:val="00B01614"/>
    <w:rsid w:val="00B01A49"/>
    <w:rsid w:val="00B01A90"/>
    <w:rsid w:val="00B028CE"/>
    <w:rsid w:val="00B02C35"/>
    <w:rsid w:val="00B03397"/>
    <w:rsid w:val="00B03966"/>
    <w:rsid w:val="00B03A8F"/>
    <w:rsid w:val="00B040F6"/>
    <w:rsid w:val="00B041B4"/>
    <w:rsid w:val="00B04E4A"/>
    <w:rsid w:val="00B04F72"/>
    <w:rsid w:val="00B0502B"/>
    <w:rsid w:val="00B054CC"/>
    <w:rsid w:val="00B05963"/>
    <w:rsid w:val="00B05B8B"/>
    <w:rsid w:val="00B05FC2"/>
    <w:rsid w:val="00B06381"/>
    <w:rsid w:val="00B065E2"/>
    <w:rsid w:val="00B06843"/>
    <w:rsid w:val="00B0688D"/>
    <w:rsid w:val="00B06B3D"/>
    <w:rsid w:val="00B06BAB"/>
    <w:rsid w:val="00B06E0C"/>
    <w:rsid w:val="00B06E55"/>
    <w:rsid w:val="00B0735B"/>
    <w:rsid w:val="00B07891"/>
    <w:rsid w:val="00B07F20"/>
    <w:rsid w:val="00B07F54"/>
    <w:rsid w:val="00B100C7"/>
    <w:rsid w:val="00B11381"/>
    <w:rsid w:val="00B11506"/>
    <w:rsid w:val="00B11B5F"/>
    <w:rsid w:val="00B12534"/>
    <w:rsid w:val="00B1295E"/>
    <w:rsid w:val="00B132FB"/>
    <w:rsid w:val="00B1330D"/>
    <w:rsid w:val="00B13721"/>
    <w:rsid w:val="00B13734"/>
    <w:rsid w:val="00B13DDC"/>
    <w:rsid w:val="00B149AF"/>
    <w:rsid w:val="00B153C7"/>
    <w:rsid w:val="00B154B1"/>
    <w:rsid w:val="00B15557"/>
    <w:rsid w:val="00B15B15"/>
    <w:rsid w:val="00B15B86"/>
    <w:rsid w:val="00B15DD8"/>
    <w:rsid w:val="00B16001"/>
    <w:rsid w:val="00B16A93"/>
    <w:rsid w:val="00B173D0"/>
    <w:rsid w:val="00B17CE6"/>
    <w:rsid w:val="00B17D22"/>
    <w:rsid w:val="00B200B8"/>
    <w:rsid w:val="00B20F5F"/>
    <w:rsid w:val="00B2183D"/>
    <w:rsid w:val="00B21B33"/>
    <w:rsid w:val="00B228CD"/>
    <w:rsid w:val="00B22BC8"/>
    <w:rsid w:val="00B2350A"/>
    <w:rsid w:val="00B24008"/>
    <w:rsid w:val="00B24040"/>
    <w:rsid w:val="00B2414F"/>
    <w:rsid w:val="00B24760"/>
    <w:rsid w:val="00B24DC9"/>
    <w:rsid w:val="00B2507F"/>
    <w:rsid w:val="00B25177"/>
    <w:rsid w:val="00B25451"/>
    <w:rsid w:val="00B2593D"/>
    <w:rsid w:val="00B2600B"/>
    <w:rsid w:val="00B2616E"/>
    <w:rsid w:val="00B2652B"/>
    <w:rsid w:val="00B265F9"/>
    <w:rsid w:val="00B26ACD"/>
    <w:rsid w:val="00B27045"/>
    <w:rsid w:val="00B27665"/>
    <w:rsid w:val="00B278A7"/>
    <w:rsid w:val="00B27C2C"/>
    <w:rsid w:val="00B27DB4"/>
    <w:rsid w:val="00B30256"/>
    <w:rsid w:val="00B305AC"/>
    <w:rsid w:val="00B3091E"/>
    <w:rsid w:val="00B30C85"/>
    <w:rsid w:val="00B30DFE"/>
    <w:rsid w:val="00B319E1"/>
    <w:rsid w:val="00B31F45"/>
    <w:rsid w:val="00B3213E"/>
    <w:rsid w:val="00B3219D"/>
    <w:rsid w:val="00B32643"/>
    <w:rsid w:val="00B335B6"/>
    <w:rsid w:val="00B336C8"/>
    <w:rsid w:val="00B3396F"/>
    <w:rsid w:val="00B34099"/>
    <w:rsid w:val="00B341AE"/>
    <w:rsid w:val="00B34427"/>
    <w:rsid w:val="00B3465C"/>
    <w:rsid w:val="00B35701"/>
    <w:rsid w:val="00B35CFE"/>
    <w:rsid w:val="00B365F4"/>
    <w:rsid w:val="00B3663C"/>
    <w:rsid w:val="00B375C6"/>
    <w:rsid w:val="00B376F2"/>
    <w:rsid w:val="00B405B6"/>
    <w:rsid w:val="00B40AEC"/>
    <w:rsid w:val="00B410EE"/>
    <w:rsid w:val="00B4237E"/>
    <w:rsid w:val="00B42542"/>
    <w:rsid w:val="00B42583"/>
    <w:rsid w:val="00B4290A"/>
    <w:rsid w:val="00B430B1"/>
    <w:rsid w:val="00B4313B"/>
    <w:rsid w:val="00B4362B"/>
    <w:rsid w:val="00B44059"/>
    <w:rsid w:val="00B4409F"/>
    <w:rsid w:val="00B4460B"/>
    <w:rsid w:val="00B4533E"/>
    <w:rsid w:val="00B45694"/>
    <w:rsid w:val="00B469E6"/>
    <w:rsid w:val="00B471C3"/>
    <w:rsid w:val="00B502AC"/>
    <w:rsid w:val="00B503E4"/>
    <w:rsid w:val="00B50401"/>
    <w:rsid w:val="00B50DF1"/>
    <w:rsid w:val="00B50EF3"/>
    <w:rsid w:val="00B512D0"/>
    <w:rsid w:val="00B51402"/>
    <w:rsid w:val="00B521E4"/>
    <w:rsid w:val="00B538D4"/>
    <w:rsid w:val="00B53EE4"/>
    <w:rsid w:val="00B543E1"/>
    <w:rsid w:val="00B547CA"/>
    <w:rsid w:val="00B54F26"/>
    <w:rsid w:val="00B56B4B"/>
    <w:rsid w:val="00B56F04"/>
    <w:rsid w:val="00B56F0C"/>
    <w:rsid w:val="00B57823"/>
    <w:rsid w:val="00B606E9"/>
    <w:rsid w:val="00B60864"/>
    <w:rsid w:val="00B60E06"/>
    <w:rsid w:val="00B61ED7"/>
    <w:rsid w:val="00B61F8D"/>
    <w:rsid w:val="00B621B4"/>
    <w:rsid w:val="00B62B65"/>
    <w:rsid w:val="00B6309E"/>
    <w:rsid w:val="00B6448F"/>
    <w:rsid w:val="00B65B11"/>
    <w:rsid w:val="00B6770E"/>
    <w:rsid w:val="00B70083"/>
    <w:rsid w:val="00B700A9"/>
    <w:rsid w:val="00B70E25"/>
    <w:rsid w:val="00B7117F"/>
    <w:rsid w:val="00B716DF"/>
    <w:rsid w:val="00B71A59"/>
    <w:rsid w:val="00B71B39"/>
    <w:rsid w:val="00B71B69"/>
    <w:rsid w:val="00B71E21"/>
    <w:rsid w:val="00B7258A"/>
    <w:rsid w:val="00B72629"/>
    <w:rsid w:val="00B72B6A"/>
    <w:rsid w:val="00B736ED"/>
    <w:rsid w:val="00B73963"/>
    <w:rsid w:val="00B74F64"/>
    <w:rsid w:val="00B751A3"/>
    <w:rsid w:val="00B752F7"/>
    <w:rsid w:val="00B75807"/>
    <w:rsid w:val="00B75C22"/>
    <w:rsid w:val="00B76145"/>
    <w:rsid w:val="00B76EFE"/>
    <w:rsid w:val="00B7715C"/>
    <w:rsid w:val="00B77BDC"/>
    <w:rsid w:val="00B77F65"/>
    <w:rsid w:val="00B77FC8"/>
    <w:rsid w:val="00B80219"/>
    <w:rsid w:val="00B8072B"/>
    <w:rsid w:val="00B81EFE"/>
    <w:rsid w:val="00B82776"/>
    <w:rsid w:val="00B82F73"/>
    <w:rsid w:val="00B83407"/>
    <w:rsid w:val="00B83483"/>
    <w:rsid w:val="00B83C97"/>
    <w:rsid w:val="00B84491"/>
    <w:rsid w:val="00B8488F"/>
    <w:rsid w:val="00B85058"/>
    <w:rsid w:val="00B85B3F"/>
    <w:rsid w:val="00B867E8"/>
    <w:rsid w:val="00B87733"/>
    <w:rsid w:val="00B877F7"/>
    <w:rsid w:val="00B9037F"/>
    <w:rsid w:val="00B9047D"/>
    <w:rsid w:val="00B9071E"/>
    <w:rsid w:val="00B910FE"/>
    <w:rsid w:val="00B91172"/>
    <w:rsid w:val="00B91480"/>
    <w:rsid w:val="00B91AF3"/>
    <w:rsid w:val="00B91E11"/>
    <w:rsid w:val="00B920EC"/>
    <w:rsid w:val="00B929F8"/>
    <w:rsid w:val="00B92BDA"/>
    <w:rsid w:val="00B93D11"/>
    <w:rsid w:val="00B9460A"/>
    <w:rsid w:val="00B94776"/>
    <w:rsid w:val="00B94D5D"/>
    <w:rsid w:val="00B95349"/>
    <w:rsid w:val="00B95B5D"/>
    <w:rsid w:val="00B960D1"/>
    <w:rsid w:val="00B96D63"/>
    <w:rsid w:val="00B972E5"/>
    <w:rsid w:val="00B9771E"/>
    <w:rsid w:val="00B97849"/>
    <w:rsid w:val="00BA0060"/>
    <w:rsid w:val="00BA05A0"/>
    <w:rsid w:val="00BA0914"/>
    <w:rsid w:val="00BA0BD4"/>
    <w:rsid w:val="00BA0C2D"/>
    <w:rsid w:val="00BA1440"/>
    <w:rsid w:val="00BA16B7"/>
    <w:rsid w:val="00BA1995"/>
    <w:rsid w:val="00BA2D88"/>
    <w:rsid w:val="00BA3940"/>
    <w:rsid w:val="00BA3C90"/>
    <w:rsid w:val="00BA3FBD"/>
    <w:rsid w:val="00BA45C2"/>
    <w:rsid w:val="00BA4AE2"/>
    <w:rsid w:val="00BA4B3D"/>
    <w:rsid w:val="00BA5741"/>
    <w:rsid w:val="00BA588B"/>
    <w:rsid w:val="00BA5AAA"/>
    <w:rsid w:val="00BA5B54"/>
    <w:rsid w:val="00BA63DB"/>
    <w:rsid w:val="00BA6791"/>
    <w:rsid w:val="00BA6B0B"/>
    <w:rsid w:val="00BA6D56"/>
    <w:rsid w:val="00BA73BE"/>
    <w:rsid w:val="00BA7F67"/>
    <w:rsid w:val="00BB02C1"/>
    <w:rsid w:val="00BB072E"/>
    <w:rsid w:val="00BB0772"/>
    <w:rsid w:val="00BB0E8B"/>
    <w:rsid w:val="00BB1198"/>
    <w:rsid w:val="00BB1D5B"/>
    <w:rsid w:val="00BB219A"/>
    <w:rsid w:val="00BB25F6"/>
    <w:rsid w:val="00BB2EEC"/>
    <w:rsid w:val="00BB445B"/>
    <w:rsid w:val="00BB4DF0"/>
    <w:rsid w:val="00BB5464"/>
    <w:rsid w:val="00BB5B8D"/>
    <w:rsid w:val="00BB5E50"/>
    <w:rsid w:val="00BB5E94"/>
    <w:rsid w:val="00BB667D"/>
    <w:rsid w:val="00BB6E19"/>
    <w:rsid w:val="00BB6F78"/>
    <w:rsid w:val="00BB7A31"/>
    <w:rsid w:val="00BC04DB"/>
    <w:rsid w:val="00BC0525"/>
    <w:rsid w:val="00BC1A2F"/>
    <w:rsid w:val="00BC2436"/>
    <w:rsid w:val="00BC2C8C"/>
    <w:rsid w:val="00BC2E6C"/>
    <w:rsid w:val="00BC34AD"/>
    <w:rsid w:val="00BC3AE8"/>
    <w:rsid w:val="00BC437C"/>
    <w:rsid w:val="00BC43B5"/>
    <w:rsid w:val="00BC534B"/>
    <w:rsid w:val="00BC5BDA"/>
    <w:rsid w:val="00BC6051"/>
    <w:rsid w:val="00BC7A17"/>
    <w:rsid w:val="00BD10BB"/>
    <w:rsid w:val="00BD163C"/>
    <w:rsid w:val="00BD2FC2"/>
    <w:rsid w:val="00BD314C"/>
    <w:rsid w:val="00BD355D"/>
    <w:rsid w:val="00BD3E5F"/>
    <w:rsid w:val="00BD3F9F"/>
    <w:rsid w:val="00BD411B"/>
    <w:rsid w:val="00BD427A"/>
    <w:rsid w:val="00BD46B6"/>
    <w:rsid w:val="00BD5282"/>
    <w:rsid w:val="00BD532B"/>
    <w:rsid w:val="00BD5DC0"/>
    <w:rsid w:val="00BD61AD"/>
    <w:rsid w:val="00BD719E"/>
    <w:rsid w:val="00BD726A"/>
    <w:rsid w:val="00BD7924"/>
    <w:rsid w:val="00BD7964"/>
    <w:rsid w:val="00BE1572"/>
    <w:rsid w:val="00BE1B7D"/>
    <w:rsid w:val="00BE23F0"/>
    <w:rsid w:val="00BE25F5"/>
    <w:rsid w:val="00BE26BE"/>
    <w:rsid w:val="00BE2CFA"/>
    <w:rsid w:val="00BE3490"/>
    <w:rsid w:val="00BE3504"/>
    <w:rsid w:val="00BE3B9A"/>
    <w:rsid w:val="00BE3C1A"/>
    <w:rsid w:val="00BE43DD"/>
    <w:rsid w:val="00BE57E8"/>
    <w:rsid w:val="00BE58B3"/>
    <w:rsid w:val="00BE6224"/>
    <w:rsid w:val="00BE6247"/>
    <w:rsid w:val="00BE6359"/>
    <w:rsid w:val="00BE638E"/>
    <w:rsid w:val="00BE67B3"/>
    <w:rsid w:val="00BE6D0A"/>
    <w:rsid w:val="00BE7FFB"/>
    <w:rsid w:val="00BF00A9"/>
    <w:rsid w:val="00BF0F20"/>
    <w:rsid w:val="00BF144C"/>
    <w:rsid w:val="00BF197E"/>
    <w:rsid w:val="00BF1C51"/>
    <w:rsid w:val="00BF1DC7"/>
    <w:rsid w:val="00BF1E59"/>
    <w:rsid w:val="00BF281F"/>
    <w:rsid w:val="00BF2D62"/>
    <w:rsid w:val="00BF38F8"/>
    <w:rsid w:val="00BF394F"/>
    <w:rsid w:val="00BF3B94"/>
    <w:rsid w:val="00BF43DC"/>
    <w:rsid w:val="00BF52E3"/>
    <w:rsid w:val="00BF5AC6"/>
    <w:rsid w:val="00BF60E0"/>
    <w:rsid w:val="00BF6806"/>
    <w:rsid w:val="00BF6D5D"/>
    <w:rsid w:val="00BF75A0"/>
    <w:rsid w:val="00BF76B9"/>
    <w:rsid w:val="00BF7D92"/>
    <w:rsid w:val="00BF7E15"/>
    <w:rsid w:val="00BF7F9E"/>
    <w:rsid w:val="00C0013F"/>
    <w:rsid w:val="00C00849"/>
    <w:rsid w:val="00C0162C"/>
    <w:rsid w:val="00C01C49"/>
    <w:rsid w:val="00C02347"/>
    <w:rsid w:val="00C0272E"/>
    <w:rsid w:val="00C03962"/>
    <w:rsid w:val="00C03CBE"/>
    <w:rsid w:val="00C03EB4"/>
    <w:rsid w:val="00C041E3"/>
    <w:rsid w:val="00C049F8"/>
    <w:rsid w:val="00C04A66"/>
    <w:rsid w:val="00C04B8D"/>
    <w:rsid w:val="00C04BA8"/>
    <w:rsid w:val="00C04C25"/>
    <w:rsid w:val="00C04DCD"/>
    <w:rsid w:val="00C0522C"/>
    <w:rsid w:val="00C05C03"/>
    <w:rsid w:val="00C05C38"/>
    <w:rsid w:val="00C06526"/>
    <w:rsid w:val="00C068E2"/>
    <w:rsid w:val="00C06987"/>
    <w:rsid w:val="00C06D13"/>
    <w:rsid w:val="00C06D29"/>
    <w:rsid w:val="00C06F40"/>
    <w:rsid w:val="00C07DB7"/>
    <w:rsid w:val="00C07FBA"/>
    <w:rsid w:val="00C10577"/>
    <w:rsid w:val="00C11802"/>
    <w:rsid w:val="00C119CC"/>
    <w:rsid w:val="00C11BDA"/>
    <w:rsid w:val="00C11FA2"/>
    <w:rsid w:val="00C12137"/>
    <w:rsid w:val="00C127B1"/>
    <w:rsid w:val="00C139B0"/>
    <w:rsid w:val="00C13D5E"/>
    <w:rsid w:val="00C13F0B"/>
    <w:rsid w:val="00C140DD"/>
    <w:rsid w:val="00C145CB"/>
    <w:rsid w:val="00C14992"/>
    <w:rsid w:val="00C1584E"/>
    <w:rsid w:val="00C170DC"/>
    <w:rsid w:val="00C171A3"/>
    <w:rsid w:val="00C17D1C"/>
    <w:rsid w:val="00C203B6"/>
    <w:rsid w:val="00C20C63"/>
    <w:rsid w:val="00C20F02"/>
    <w:rsid w:val="00C20FB5"/>
    <w:rsid w:val="00C21A29"/>
    <w:rsid w:val="00C21B45"/>
    <w:rsid w:val="00C21F05"/>
    <w:rsid w:val="00C22272"/>
    <w:rsid w:val="00C22C08"/>
    <w:rsid w:val="00C23000"/>
    <w:rsid w:val="00C2375E"/>
    <w:rsid w:val="00C23A91"/>
    <w:rsid w:val="00C23DB7"/>
    <w:rsid w:val="00C2406D"/>
    <w:rsid w:val="00C24D79"/>
    <w:rsid w:val="00C255F9"/>
    <w:rsid w:val="00C2565C"/>
    <w:rsid w:val="00C26135"/>
    <w:rsid w:val="00C2676F"/>
    <w:rsid w:val="00C26BA5"/>
    <w:rsid w:val="00C27753"/>
    <w:rsid w:val="00C27A71"/>
    <w:rsid w:val="00C27A78"/>
    <w:rsid w:val="00C30281"/>
    <w:rsid w:val="00C304C0"/>
    <w:rsid w:val="00C3054D"/>
    <w:rsid w:val="00C30B8D"/>
    <w:rsid w:val="00C3155C"/>
    <w:rsid w:val="00C31E4E"/>
    <w:rsid w:val="00C32498"/>
    <w:rsid w:val="00C324FA"/>
    <w:rsid w:val="00C32BD0"/>
    <w:rsid w:val="00C3372A"/>
    <w:rsid w:val="00C34B67"/>
    <w:rsid w:val="00C34CBF"/>
    <w:rsid w:val="00C3557D"/>
    <w:rsid w:val="00C35731"/>
    <w:rsid w:val="00C35975"/>
    <w:rsid w:val="00C359FE"/>
    <w:rsid w:val="00C35AB0"/>
    <w:rsid w:val="00C3651D"/>
    <w:rsid w:val="00C36A3C"/>
    <w:rsid w:val="00C36D14"/>
    <w:rsid w:val="00C36D98"/>
    <w:rsid w:val="00C36F74"/>
    <w:rsid w:val="00C372CE"/>
    <w:rsid w:val="00C37B8B"/>
    <w:rsid w:val="00C37E1C"/>
    <w:rsid w:val="00C402C2"/>
    <w:rsid w:val="00C408C3"/>
    <w:rsid w:val="00C41138"/>
    <w:rsid w:val="00C42168"/>
    <w:rsid w:val="00C423BE"/>
    <w:rsid w:val="00C42A52"/>
    <w:rsid w:val="00C42BD4"/>
    <w:rsid w:val="00C43079"/>
    <w:rsid w:val="00C430BC"/>
    <w:rsid w:val="00C43EDF"/>
    <w:rsid w:val="00C43F10"/>
    <w:rsid w:val="00C43F2A"/>
    <w:rsid w:val="00C445B4"/>
    <w:rsid w:val="00C458B7"/>
    <w:rsid w:val="00C469FC"/>
    <w:rsid w:val="00C473BB"/>
    <w:rsid w:val="00C473EC"/>
    <w:rsid w:val="00C47DCA"/>
    <w:rsid w:val="00C502B7"/>
    <w:rsid w:val="00C50477"/>
    <w:rsid w:val="00C5065D"/>
    <w:rsid w:val="00C51364"/>
    <w:rsid w:val="00C513BA"/>
    <w:rsid w:val="00C51487"/>
    <w:rsid w:val="00C52A09"/>
    <w:rsid w:val="00C52D40"/>
    <w:rsid w:val="00C530BA"/>
    <w:rsid w:val="00C53136"/>
    <w:rsid w:val="00C531BE"/>
    <w:rsid w:val="00C535FB"/>
    <w:rsid w:val="00C53AA8"/>
    <w:rsid w:val="00C53D6D"/>
    <w:rsid w:val="00C54681"/>
    <w:rsid w:val="00C547E8"/>
    <w:rsid w:val="00C548FA"/>
    <w:rsid w:val="00C55036"/>
    <w:rsid w:val="00C556D7"/>
    <w:rsid w:val="00C55DA9"/>
    <w:rsid w:val="00C55DDF"/>
    <w:rsid w:val="00C56153"/>
    <w:rsid w:val="00C56475"/>
    <w:rsid w:val="00C5658E"/>
    <w:rsid w:val="00C56609"/>
    <w:rsid w:val="00C56EA6"/>
    <w:rsid w:val="00C571B5"/>
    <w:rsid w:val="00C5722D"/>
    <w:rsid w:val="00C57711"/>
    <w:rsid w:val="00C57C25"/>
    <w:rsid w:val="00C57FDB"/>
    <w:rsid w:val="00C608A7"/>
    <w:rsid w:val="00C608F7"/>
    <w:rsid w:val="00C6144F"/>
    <w:rsid w:val="00C61BF7"/>
    <w:rsid w:val="00C627D1"/>
    <w:rsid w:val="00C6289E"/>
    <w:rsid w:val="00C639F4"/>
    <w:rsid w:val="00C6464F"/>
    <w:rsid w:val="00C64D05"/>
    <w:rsid w:val="00C650AE"/>
    <w:rsid w:val="00C651B6"/>
    <w:rsid w:val="00C653DB"/>
    <w:rsid w:val="00C6558B"/>
    <w:rsid w:val="00C66142"/>
    <w:rsid w:val="00C6640A"/>
    <w:rsid w:val="00C66E9E"/>
    <w:rsid w:val="00C677BA"/>
    <w:rsid w:val="00C67A03"/>
    <w:rsid w:val="00C703C5"/>
    <w:rsid w:val="00C70736"/>
    <w:rsid w:val="00C715E2"/>
    <w:rsid w:val="00C715EB"/>
    <w:rsid w:val="00C71675"/>
    <w:rsid w:val="00C72068"/>
    <w:rsid w:val="00C72255"/>
    <w:rsid w:val="00C722E2"/>
    <w:rsid w:val="00C72539"/>
    <w:rsid w:val="00C72740"/>
    <w:rsid w:val="00C73109"/>
    <w:rsid w:val="00C7314F"/>
    <w:rsid w:val="00C7346B"/>
    <w:rsid w:val="00C73536"/>
    <w:rsid w:val="00C7366E"/>
    <w:rsid w:val="00C73787"/>
    <w:rsid w:val="00C7392D"/>
    <w:rsid w:val="00C73BAC"/>
    <w:rsid w:val="00C73E49"/>
    <w:rsid w:val="00C74536"/>
    <w:rsid w:val="00C74BE9"/>
    <w:rsid w:val="00C74C6C"/>
    <w:rsid w:val="00C74CCD"/>
    <w:rsid w:val="00C74DF1"/>
    <w:rsid w:val="00C758A8"/>
    <w:rsid w:val="00C7618E"/>
    <w:rsid w:val="00C765F7"/>
    <w:rsid w:val="00C76891"/>
    <w:rsid w:val="00C777DA"/>
    <w:rsid w:val="00C77A1D"/>
    <w:rsid w:val="00C77F63"/>
    <w:rsid w:val="00C80AC2"/>
    <w:rsid w:val="00C80CBB"/>
    <w:rsid w:val="00C80F2B"/>
    <w:rsid w:val="00C810C2"/>
    <w:rsid w:val="00C812E9"/>
    <w:rsid w:val="00C814D3"/>
    <w:rsid w:val="00C81642"/>
    <w:rsid w:val="00C81702"/>
    <w:rsid w:val="00C81735"/>
    <w:rsid w:val="00C817E3"/>
    <w:rsid w:val="00C82159"/>
    <w:rsid w:val="00C827B5"/>
    <w:rsid w:val="00C828C1"/>
    <w:rsid w:val="00C82916"/>
    <w:rsid w:val="00C82C3F"/>
    <w:rsid w:val="00C82CB1"/>
    <w:rsid w:val="00C834B4"/>
    <w:rsid w:val="00C84C6C"/>
    <w:rsid w:val="00C84F1A"/>
    <w:rsid w:val="00C85055"/>
    <w:rsid w:val="00C850F3"/>
    <w:rsid w:val="00C85482"/>
    <w:rsid w:val="00C85F15"/>
    <w:rsid w:val="00C863C1"/>
    <w:rsid w:val="00C865AD"/>
    <w:rsid w:val="00C86CBD"/>
    <w:rsid w:val="00C879A7"/>
    <w:rsid w:val="00C87AAC"/>
    <w:rsid w:val="00C87B4B"/>
    <w:rsid w:val="00C87FE0"/>
    <w:rsid w:val="00C90021"/>
    <w:rsid w:val="00C903F4"/>
    <w:rsid w:val="00C904FE"/>
    <w:rsid w:val="00C90AA6"/>
    <w:rsid w:val="00C90C0F"/>
    <w:rsid w:val="00C90E25"/>
    <w:rsid w:val="00C90E6C"/>
    <w:rsid w:val="00C91C50"/>
    <w:rsid w:val="00C92574"/>
    <w:rsid w:val="00C9266B"/>
    <w:rsid w:val="00C9268A"/>
    <w:rsid w:val="00C92A5C"/>
    <w:rsid w:val="00C92F80"/>
    <w:rsid w:val="00C938C3"/>
    <w:rsid w:val="00C93DD3"/>
    <w:rsid w:val="00C93FF6"/>
    <w:rsid w:val="00C9428A"/>
    <w:rsid w:val="00C94821"/>
    <w:rsid w:val="00C94D3A"/>
    <w:rsid w:val="00C94DDA"/>
    <w:rsid w:val="00C956F0"/>
    <w:rsid w:val="00C95D3D"/>
    <w:rsid w:val="00C96320"/>
    <w:rsid w:val="00C969AC"/>
    <w:rsid w:val="00C96B85"/>
    <w:rsid w:val="00C97528"/>
    <w:rsid w:val="00C97BA7"/>
    <w:rsid w:val="00C97D08"/>
    <w:rsid w:val="00CA0044"/>
    <w:rsid w:val="00CA03BA"/>
    <w:rsid w:val="00CA0853"/>
    <w:rsid w:val="00CA0B60"/>
    <w:rsid w:val="00CA0BDE"/>
    <w:rsid w:val="00CA16DC"/>
    <w:rsid w:val="00CA18B4"/>
    <w:rsid w:val="00CA1DC4"/>
    <w:rsid w:val="00CA227B"/>
    <w:rsid w:val="00CA27D0"/>
    <w:rsid w:val="00CA2C22"/>
    <w:rsid w:val="00CA3240"/>
    <w:rsid w:val="00CA33DE"/>
    <w:rsid w:val="00CA3CA8"/>
    <w:rsid w:val="00CA4241"/>
    <w:rsid w:val="00CA51C0"/>
    <w:rsid w:val="00CA56E1"/>
    <w:rsid w:val="00CA6960"/>
    <w:rsid w:val="00CA70D1"/>
    <w:rsid w:val="00CA70E2"/>
    <w:rsid w:val="00CA7114"/>
    <w:rsid w:val="00CA7C51"/>
    <w:rsid w:val="00CB03B7"/>
    <w:rsid w:val="00CB06DD"/>
    <w:rsid w:val="00CB09B1"/>
    <w:rsid w:val="00CB0CEB"/>
    <w:rsid w:val="00CB145A"/>
    <w:rsid w:val="00CB170D"/>
    <w:rsid w:val="00CB1AE9"/>
    <w:rsid w:val="00CB1CE4"/>
    <w:rsid w:val="00CB2315"/>
    <w:rsid w:val="00CB246C"/>
    <w:rsid w:val="00CB2660"/>
    <w:rsid w:val="00CB3833"/>
    <w:rsid w:val="00CB403D"/>
    <w:rsid w:val="00CB418E"/>
    <w:rsid w:val="00CB4741"/>
    <w:rsid w:val="00CB4954"/>
    <w:rsid w:val="00CB4A89"/>
    <w:rsid w:val="00CB4BAB"/>
    <w:rsid w:val="00CB4F64"/>
    <w:rsid w:val="00CB50FE"/>
    <w:rsid w:val="00CB5EA4"/>
    <w:rsid w:val="00CB60F3"/>
    <w:rsid w:val="00CB6D57"/>
    <w:rsid w:val="00CB7C3D"/>
    <w:rsid w:val="00CB7F4E"/>
    <w:rsid w:val="00CC0057"/>
    <w:rsid w:val="00CC068C"/>
    <w:rsid w:val="00CC0967"/>
    <w:rsid w:val="00CC179A"/>
    <w:rsid w:val="00CC2278"/>
    <w:rsid w:val="00CC2D20"/>
    <w:rsid w:val="00CC38F0"/>
    <w:rsid w:val="00CC454B"/>
    <w:rsid w:val="00CC50CB"/>
    <w:rsid w:val="00CC63F5"/>
    <w:rsid w:val="00CC6588"/>
    <w:rsid w:val="00CC722D"/>
    <w:rsid w:val="00CC7F99"/>
    <w:rsid w:val="00CD0368"/>
    <w:rsid w:val="00CD07B0"/>
    <w:rsid w:val="00CD1E06"/>
    <w:rsid w:val="00CD23DF"/>
    <w:rsid w:val="00CD2FF3"/>
    <w:rsid w:val="00CD304C"/>
    <w:rsid w:val="00CD31BD"/>
    <w:rsid w:val="00CD3390"/>
    <w:rsid w:val="00CD3ABF"/>
    <w:rsid w:val="00CD3C0B"/>
    <w:rsid w:val="00CD4B79"/>
    <w:rsid w:val="00CD4FF7"/>
    <w:rsid w:val="00CD5287"/>
    <w:rsid w:val="00CD5296"/>
    <w:rsid w:val="00CD5323"/>
    <w:rsid w:val="00CD583F"/>
    <w:rsid w:val="00CD7161"/>
    <w:rsid w:val="00CD71D0"/>
    <w:rsid w:val="00CD7EA2"/>
    <w:rsid w:val="00CE018F"/>
    <w:rsid w:val="00CE04A9"/>
    <w:rsid w:val="00CE059F"/>
    <w:rsid w:val="00CE086E"/>
    <w:rsid w:val="00CE08DB"/>
    <w:rsid w:val="00CE0D30"/>
    <w:rsid w:val="00CE1AAD"/>
    <w:rsid w:val="00CE1B46"/>
    <w:rsid w:val="00CE1C59"/>
    <w:rsid w:val="00CE23E6"/>
    <w:rsid w:val="00CE281E"/>
    <w:rsid w:val="00CE29C3"/>
    <w:rsid w:val="00CE3085"/>
    <w:rsid w:val="00CE319A"/>
    <w:rsid w:val="00CE3335"/>
    <w:rsid w:val="00CE4340"/>
    <w:rsid w:val="00CE4456"/>
    <w:rsid w:val="00CE4715"/>
    <w:rsid w:val="00CE4AFD"/>
    <w:rsid w:val="00CE4D03"/>
    <w:rsid w:val="00CE4E4B"/>
    <w:rsid w:val="00CE5180"/>
    <w:rsid w:val="00CE5A80"/>
    <w:rsid w:val="00CE5E1D"/>
    <w:rsid w:val="00CE5F71"/>
    <w:rsid w:val="00CE607A"/>
    <w:rsid w:val="00CE6993"/>
    <w:rsid w:val="00CE69CB"/>
    <w:rsid w:val="00CE6AF6"/>
    <w:rsid w:val="00CE6EA0"/>
    <w:rsid w:val="00CE71D9"/>
    <w:rsid w:val="00CF06BE"/>
    <w:rsid w:val="00CF0757"/>
    <w:rsid w:val="00CF083B"/>
    <w:rsid w:val="00CF0FF9"/>
    <w:rsid w:val="00CF1DFA"/>
    <w:rsid w:val="00CF2C8D"/>
    <w:rsid w:val="00CF3504"/>
    <w:rsid w:val="00CF4001"/>
    <w:rsid w:val="00CF403D"/>
    <w:rsid w:val="00CF42DC"/>
    <w:rsid w:val="00CF4AEF"/>
    <w:rsid w:val="00CF4DC3"/>
    <w:rsid w:val="00CF50EF"/>
    <w:rsid w:val="00CF5816"/>
    <w:rsid w:val="00CF5847"/>
    <w:rsid w:val="00CF77F7"/>
    <w:rsid w:val="00D0136E"/>
    <w:rsid w:val="00D0145C"/>
    <w:rsid w:val="00D018C0"/>
    <w:rsid w:val="00D01EE4"/>
    <w:rsid w:val="00D01EFA"/>
    <w:rsid w:val="00D020C6"/>
    <w:rsid w:val="00D022ED"/>
    <w:rsid w:val="00D02768"/>
    <w:rsid w:val="00D0278A"/>
    <w:rsid w:val="00D02FF2"/>
    <w:rsid w:val="00D03061"/>
    <w:rsid w:val="00D035AB"/>
    <w:rsid w:val="00D0385B"/>
    <w:rsid w:val="00D03869"/>
    <w:rsid w:val="00D04223"/>
    <w:rsid w:val="00D04377"/>
    <w:rsid w:val="00D0460B"/>
    <w:rsid w:val="00D04AC4"/>
    <w:rsid w:val="00D04E06"/>
    <w:rsid w:val="00D0565F"/>
    <w:rsid w:val="00D0586A"/>
    <w:rsid w:val="00D059A3"/>
    <w:rsid w:val="00D05D3D"/>
    <w:rsid w:val="00D060EB"/>
    <w:rsid w:val="00D06BE8"/>
    <w:rsid w:val="00D06DCF"/>
    <w:rsid w:val="00D06E59"/>
    <w:rsid w:val="00D0737C"/>
    <w:rsid w:val="00D07766"/>
    <w:rsid w:val="00D07D3C"/>
    <w:rsid w:val="00D07FD8"/>
    <w:rsid w:val="00D10F48"/>
    <w:rsid w:val="00D1165D"/>
    <w:rsid w:val="00D118BE"/>
    <w:rsid w:val="00D11B8D"/>
    <w:rsid w:val="00D123DD"/>
    <w:rsid w:val="00D1258A"/>
    <w:rsid w:val="00D12DF4"/>
    <w:rsid w:val="00D132E8"/>
    <w:rsid w:val="00D133D1"/>
    <w:rsid w:val="00D13F2F"/>
    <w:rsid w:val="00D1428D"/>
    <w:rsid w:val="00D15675"/>
    <w:rsid w:val="00D157DF"/>
    <w:rsid w:val="00D15ACF"/>
    <w:rsid w:val="00D160F7"/>
    <w:rsid w:val="00D167D1"/>
    <w:rsid w:val="00D16AA7"/>
    <w:rsid w:val="00D16F0B"/>
    <w:rsid w:val="00D17228"/>
    <w:rsid w:val="00D1722C"/>
    <w:rsid w:val="00D17394"/>
    <w:rsid w:val="00D1759B"/>
    <w:rsid w:val="00D17E27"/>
    <w:rsid w:val="00D201CA"/>
    <w:rsid w:val="00D2032C"/>
    <w:rsid w:val="00D20942"/>
    <w:rsid w:val="00D20C1F"/>
    <w:rsid w:val="00D20C69"/>
    <w:rsid w:val="00D20D8A"/>
    <w:rsid w:val="00D21094"/>
    <w:rsid w:val="00D2149F"/>
    <w:rsid w:val="00D2156F"/>
    <w:rsid w:val="00D21A6A"/>
    <w:rsid w:val="00D21C05"/>
    <w:rsid w:val="00D21FAC"/>
    <w:rsid w:val="00D221C8"/>
    <w:rsid w:val="00D22219"/>
    <w:rsid w:val="00D2250A"/>
    <w:rsid w:val="00D22BF1"/>
    <w:rsid w:val="00D22CE2"/>
    <w:rsid w:val="00D231BD"/>
    <w:rsid w:val="00D23C0B"/>
    <w:rsid w:val="00D2419C"/>
    <w:rsid w:val="00D24414"/>
    <w:rsid w:val="00D251C3"/>
    <w:rsid w:val="00D25E42"/>
    <w:rsid w:val="00D262E3"/>
    <w:rsid w:val="00D26777"/>
    <w:rsid w:val="00D2690B"/>
    <w:rsid w:val="00D2730C"/>
    <w:rsid w:val="00D3058C"/>
    <w:rsid w:val="00D31F07"/>
    <w:rsid w:val="00D31F82"/>
    <w:rsid w:val="00D327E8"/>
    <w:rsid w:val="00D32C6D"/>
    <w:rsid w:val="00D32CB1"/>
    <w:rsid w:val="00D33DB5"/>
    <w:rsid w:val="00D3430D"/>
    <w:rsid w:val="00D34363"/>
    <w:rsid w:val="00D3469F"/>
    <w:rsid w:val="00D3485C"/>
    <w:rsid w:val="00D34F85"/>
    <w:rsid w:val="00D3525E"/>
    <w:rsid w:val="00D35410"/>
    <w:rsid w:val="00D360E2"/>
    <w:rsid w:val="00D36CD9"/>
    <w:rsid w:val="00D36D8A"/>
    <w:rsid w:val="00D37653"/>
    <w:rsid w:val="00D37C7E"/>
    <w:rsid w:val="00D37DEC"/>
    <w:rsid w:val="00D406E8"/>
    <w:rsid w:val="00D411DE"/>
    <w:rsid w:val="00D42668"/>
    <w:rsid w:val="00D43422"/>
    <w:rsid w:val="00D435E4"/>
    <w:rsid w:val="00D43831"/>
    <w:rsid w:val="00D438E9"/>
    <w:rsid w:val="00D44083"/>
    <w:rsid w:val="00D44BCF"/>
    <w:rsid w:val="00D44D1D"/>
    <w:rsid w:val="00D44D20"/>
    <w:rsid w:val="00D44DBF"/>
    <w:rsid w:val="00D467EA"/>
    <w:rsid w:val="00D46F59"/>
    <w:rsid w:val="00D473AE"/>
    <w:rsid w:val="00D47B40"/>
    <w:rsid w:val="00D47C86"/>
    <w:rsid w:val="00D47F49"/>
    <w:rsid w:val="00D5020A"/>
    <w:rsid w:val="00D508B2"/>
    <w:rsid w:val="00D50926"/>
    <w:rsid w:val="00D50C61"/>
    <w:rsid w:val="00D511EB"/>
    <w:rsid w:val="00D5170E"/>
    <w:rsid w:val="00D51DCD"/>
    <w:rsid w:val="00D52190"/>
    <w:rsid w:val="00D52975"/>
    <w:rsid w:val="00D536D8"/>
    <w:rsid w:val="00D54428"/>
    <w:rsid w:val="00D558AB"/>
    <w:rsid w:val="00D558F8"/>
    <w:rsid w:val="00D56033"/>
    <w:rsid w:val="00D561E0"/>
    <w:rsid w:val="00D56C9C"/>
    <w:rsid w:val="00D56FDA"/>
    <w:rsid w:val="00D5715D"/>
    <w:rsid w:val="00D5774B"/>
    <w:rsid w:val="00D57E91"/>
    <w:rsid w:val="00D60214"/>
    <w:rsid w:val="00D605FA"/>
    <w:rsid w:val="00D60799"/>
    <w:rsid w:val="00D60E60"/>
    <w:rsid w:val="00D60E7C"/>
    <w:rsid w:val="00D611A8"/>
    <w:rsid w:val="00D61388"/>
    <w:rsid w:val="00D61FB8"/>
    <w:rsid w:val="00D627DA"/>
    <w:rsid w:val="00D62EEC"/>
    <w:rsid w:val="00D632AC"/>
    <w:rsid w:val="00D6433B"/>
    <w:rsid w:val="00D64AC2"/>
    <w:rsid w:val="00D65023"/>
    <w:rsid w:val="00D65297"/>
    <w:rsid w:val="00D65383"/>
    <w:rsid w:val="00D65974"/>
    <w:rsid w:val="00D65FDF"/>
    <w:rsid w:val="00D6624D"/>
    <w:rsid w:val="00D66BB7"/>
    <w:rsid w:val="00D66BCA"/>
    <w:rsid w:val="00D700C9"/>
    <w:rsid w:val="00D70321"/>
    <w:rsid w:val="00D7057A"/>
    <w:rsid w:val="00D70905"/>
    <w:rsid w:val="00D70E50"/>
    <w:rsid w:val="00D71A7C"/>
    <w:rsid w:val="00D71CE4"/>
    <w:rsid w:val="00D73870"/>
    <w:rsid w:val="00D73940"/>
    <w:rsid w:val="00D740DA"/>
    <w:rsid w:val="00D746BA"/>
    <w:rsid w:val="00D75789"/>
    <w:rsid w:val="00D75836"/>
    <w:rsid w:val="00D7683D"/>
    <w:rsid w:val="00D77208"/>
    <w:rsid w:val="00D77840"/>
    <w:rsid w:val="00D77AA8"/>
    <w:rsid w:val="00D77BF4"/>
    <w:rsid w:val="00D8052B"/>
    <w:rsid w:val="00D80659"/>
    <w:rsid w:val="00D80D10"/>
    <w:rsid w:val="00D81052"/>
    <w:rsid w:val="00D812C3"/>
    <w:rsid w:val="00D81619"/>
    <w:rsid w:val="00D82B36"/>
    <w:rsid w:val="00D82D7D"/>
    <w:rsid w:val="00D833EC"/>
    <w:rsid w:val="00D8347D"/>
    <w:rsid w:val="00D83C78"/>
    <w:rsid w:val="00D83D93"/>
    <w:rsid w:val="00D84376"/>
    <w:rsid w:val="00D84AA8"/>
    <w:rsid w:val="00D85A3B"/>
    <w:rsid w:val="00D85DC0"/>
    <w:rsid w:val="00D86123"/>
    <w:rsid w:val="00D8676C"/>
    <w:rsid w:val="00D868C6"/>
    <w:rsid w:val="00D86BA2"/>
    <w:rsid w:val="00D9032B"/>
    <w:rsid w:val="00D90773"/>
    <w:rsid w:val="00D90A76"/>
    <w:rsid w:val="00D9127D"/>
    <w:rsid w:val="00D91281"/>
    <w:rsid w:val="00D913D6"/>
    <w:rsid w:val="00D91955"/>
    <w:rsid w:val="00D92347"/>
    <w:rsid w:val="00D924D0"/>
    <w:rsid w:val="00D925AC"/>
    <w:rsid w:val="00D9293D"/>
    <w:rsid w:val="00D92A89"/>
    <w:rsid w:val="00D9305E"/>
    <w:rsid w:val="00D9310C"/>
    <w:rsid w:val="00D93356"/>
    <w:rsid w:val="00D936D6"/>
    <w:rsid w:val="00D93B8E"/>
    <w:rsid w:val="00D947C0"/>
    <w:rsid w:val="00D94E8D"/>
    <w:rsid w:val="00D950AA"/>
    <w:rsid w:val="00D9556A"/>
    <w:rsid w:val="00D959C6"/>
    <w:rsid w:val="00D963C9"/>
    <w:rsid w:val="00D9664E"/>
    <w:rsid w:val="00D96667"/>
    <w:rsid w:val="00D96A99"/>
    <w:rsid w:val="00D96C4A"/>
    <w:rsid w:val="00D96F08"/>
    <w:rsid w:val="00D97349"/>
    <w:rsid w:val="00D97955"/>
    <w:rsid w:val="00D97A08"/>
    <w:rsid w:val="00DA0183"/>
    <w:rsid w:val="00DA03B0"/>
    <w:rsid w:val="00DA0674"/>
    <w:rsid w:val="00DA13D8"/>
    <w:rsid w:val="00DA14DD"/>
    <w:rsid w:val="00DA24E2"/>
    <w:rsid w:val="00DA2ECF"/>
    <w:rsid w:val="00DA362C"/>
    <w:rsid w:val="00DA4244"/>
    <w:rsid w:val="00DA4A40"/>
    <w:rsid w:val="00DA50D1"/>
    <w:rsid w:val="00DA5248"/>
    <w:rsid w:val="00DA5933"/>
    <w:rsid w:val="00DA59A4"/>
    <w:rsid w:val="00DA5AD7"/>
    <w:rsid w:val="00DA5C76"/>
    <w:rsid w:val="00DA5F63"/>
    <w:rsid w:val="00DA6279"/>
    <w:rsid w:val="00DA6300"/>
    <w:rsid w:val="00DA6445"/>
    <w:rsid w:val="00DA68DA"/>
    <w:rsid w:val="00DA6B2E"/>
    <w:rsid w:val="00DA6C42"/>
    <w:rsid w:val="00DA6E2A"/>
    <w:rsid w:val="00DA73DB"/>
    <w:rsid w:val="00DB099A"/>
    <w:rsid w:val="00DB0A60"/>
    <w:rsid w:val="00DB0EC3"/>
    <w:rsid w:val="00DB0F42"/>
    <w:rsid w:val="00DB2345"/>
    <w:rsid w:val="00DB2697"/>
    <w:rsid w:val="00DB2EAF"/>
    <w:rsid w:val="00DB2F2C"/>
    <w:rsid w:val="00DB3216"/>
    <w:rsid w:val="00DB32F7"/>
    <w:rsid w:val="00DB33DD"/>
    <w:rsid w:val="00DB3F38"/>
    <w:rsid w:val="00DB3FAD"/>
    <w:rsid w:val="00DB49CC"/>
    <w:rsid w:val="00DB4D35"/>
    <w:rsid w:val="00DB4D92"/>
    <w:rsid w:val="00DB4FF4"/>
    <w:rsid w:val="00DB6DB5"/>
    <w:rsid w:val="00DB7922"/>
    <w:rsid w:val="00DB7E68"/>
    <w:rsid w:val="00DC026F"/>
    <w:rsid w:val="00DC04B7"/>
    <w:rsid w:val="00DC09C7"/>
    <w:rsid w:val="00DC0AD2"/>
    <w:rsid w:val="00DC152A"/>
    <w:rsid w:val="00DC168B"/>
    <w:rsid w:val="00DC2A12"/>
    <w:rsid w:val="00DC3316"/>
    <w:rsid w:val="00DC3F1F"/>
    <w:rsid w:val="00DC4355"/>
    <w:rsid w:val="00DC5039"/>
    <w:rsid w:val="00DC52A5"/>
    <w:rsid w:val="00DC53B3"/>
    <w:rsid w:val="00DC546A"/>
    <w:rsid w:val="00DC5CA9"/>
    <w:rsid w:val="00DC5DB2"/>
    <w:rsid w:val="00DC6CBB"/>
    <w:rsid w:val="00DC7D58"/>
    <w:rsid w:val="00DC7ED7"/>
    <w:rsid w:val="00DD00A3"/>
    <w:rsid w:val="00DD0117"/>
    <w:rsid w:val="00DD0CAC"/>
    <w:rsid w:val="00DD0FB6"/>
    <w:rsid w:val="00DD10D5"/>
    <w:rsid w:val="00DD114B"/>
    <w:rsid w:val="00DD1365"/>
    <w:rsid w:val="00DD1710"/>
    <w:rsid w:val="00DD1DE8"/>
    <w:rsid w:val="00DD20F0"/>
    <w:rsid w:val="00DD216C"/>
    <w:rsid w:val="00DD2458"/>
    <w:rsid w:val="00DD2836"/>
    <w:rsid w:val="00DD28DC"/>
    <w:rsid w:val="00DD28EF"/>
    <w:rsid w:val="00DD2AC4"/>
    <w:rsid w:val="00DD35EC"/>
    <w:rsid w:val="00DD3B78"/>
    <w:rsid w:val="00DD46FC"/>
    <w:rsid w:val="00DD4C0E"/>
    <w:rsid w:val="00DD4E8C"/>
    <w:rsid w:val="00DD4F99"/>
    <w:rsid w:val="00DD50DE"/>
    <w:rsid w:val="00DD61FA"/>
    <w:rsid w:val="00DD631B"/>
    <w:rsid w:val="00DD653E"/>
    <w:rsid w:val="00DD724D"/>
    <w:rsid w:val="00DD76C1"/>
    <w:rsid w:val="00DD7BE1"/>
    <w:rsid w:val="00DE1E5A"/>
    <w:rsid w:val="00DE1EBC"/>
    <w:rsid w:val="00DE2776"/>
    <w:rsid w:val="00DE277A"/>
    <w:rsid w:val="00DE2974"/>
    <w:rsid w:val="00DE30F9"/>
    <w:rsid w:val="00DE39D4"/>
    <w:rsid w:val="00DE495E"/>
    <w:rsid w:val="00DE4E1A"/>
    <w:rsid w:val="00DE5C7C"/>
    <w:rsid w:val="00DE5CF4"/>
    <w:rsid w:val="00DE5F6C"/>
    <w:rsid w:val="00DE65F8"/>
    <w:rsid w:val="00DE6C37"/>
    <w:rsid w:val="00DE73BC"/>
    <w:rsid w:val="00DF1465"/>
    <w:rsid w:val="00DF1766"/>
    <w:rsid w:val="00DF1948"/>
    <w:rsid w:val="00DF19FA"/>
    <w:rsid w:val="00DF2465"/>
    <w:rsid w:val="00DF24C4"/>
    <w:rsid w:val="00DF269C"/>
    <w:rsid w:val="00DF28CE"/>
    <w:rsid w:val="00DF2DED"/>
    <w:rsid w:val="00DF30CE"/>
    <w:rsid w:val="00DF3149"/>
    <w:rsid w:val="00DF37E1"/>
    <w:rsid w:val="00DF3B4B"/>
    <w:rsid w:val="00DF4213"/>
    <w:rsid w:val="00DF45A4"/>
    <w:rsid w:val="00DF50DB"/>
    <w:rsid w:val="00DF520A"/>
    <w:rsid w:val="00DF53D9"/>
    <w:rsid w:val="00DF55C0"/>
    <w:rsid w:val="00DF6171"/>
    <w:rsid w:val="00DF61E3"/>
    <w:rsid w:val="00DF625F"/>
    <w:rsid w:val="00DF6394"/>
    <w:rsid w:val="00DF63A5"/>
    <w:rsid w:val="00DF64B7"/>
    <w:rsid w:val="00DF6B27"/>
    <w:rsid w:val="00DF6C28"/>
    <w:rsid w:val="00DF6E3D"/>
    <w:rsid w:val="00DF7313"/>
    <w:rsid w:val="00DF74BC"/>
    <w:rsid w:val="00DF7A7A"/>
    <w:rsid w:val="00DF7F1D"/>
    <w:rsid w:val="00E0001A"/>
    <w:rsid w:val="00E005BF"/>
    <w:rsid w:val="00E009FA"/>
    <w:rsid w:val="00E00CBC"/>
    <w:rsid w:val="00E011C3"/>
    <w:rsid w:val="00E01937"/>
    <w:rsid w:val="00E01B5D"/>
    <w:rsid w:val="00E02301"/>
    <w:rsid w:val="00E0243D"/>
    <w:rsid w:val="00E025D0"/>
    <w:rsid w:val="00E03F10"/>
    <w:rsid w:val="00E046AB"/>
    <w:rsid w:val="00E047BD"/>
    <w:rsid w:val="00E051AD"/>
    <w:rsid w:val="00E05341"/>
    <w:rsid w:val="00E05A2C"/>
    <w:rsid w:val="00E05E2D"/>
    <w:rsid w:val="00E062FE"/>
    <w:rsid w:val="00E06E4E"/>
    <w:rsid w:val="00E07150"/>
    <w:rsid w:val="00E07316"/>
    <w:rsid w:val="00E07969"/>
    <w:rsid w:val="00E07A26"/>
    <w:rsid w:val="00E07C6C"/>
    <w:rsid w:val="00E07EFE"/>
    <w:rsid w:val="00E100D0"/>
    <w:rsid w:val="00E1083D"/>
    <w:rsid w:val="00E10C4D"/>
    <w:rsid w:val="00E1233F"/>
    <w:rsid w:val="00E12CF2"/>
    <w:rsid w:val="00E1348F"/>
    <w:rsid w:val="00E13866"/>
    <w:rsid w:val="00E13BBA"/>
    <w:rsid w:val="00E14380"/>
    <w:rsid w:val="00E14693"/>
    <w:rsid w:val="00E15146"/>
    <w:rsid w:val="00E15521"/>
    <w:rsid w:val="00E15603"/>
    <w:rsid w:val="00E1616A"/>
    <w:rsid w:val="00E16AE6"/>
    <w:rsid w:val="00E170AE"/>
    <w:rsid w:val="00E17179"/>
    <w:rsid w:val="00E17711"/>
    <w:rsid w:val="00E2059E"/>
    <w:rsid w:val="00E20A75"/>
    <w:rsid w:val="00E20B69"/>
    <w:rsid w:val="00E22968"/>
    <w:rsid w:val="00E235B4"/>
    <w:rsid w:val="00E241F1"/>
    <w:rsid w:val="00E24241"/>
    <w:rsid w:val="00E2472C"/>
    <w:rsid w:val="00E24D25"/>
    <w:rsid w:val="00E25C11"/>
    <w:rsid w:val="00E2619F"/>
    <w:rsid w:val="00E2672F"/>
    <w:rsid w:val="00E26D8B"/>
    <w:rsid w:val="00E27134"/>
    <w:rsid w:val="00E276DD"/>
    <w:rsid w:val="00E27858"/>
    <w:rsid w:val="00E27DB6"/>
    <w:rsid w:val="00E27F35"/>
    <w:rsid w:val="00E30100"/>
    <w:rsid w:val="00E306C6"/>
    <w:rsid w:val="00E30878"/>
    <w:rsid w:val="00E30BD8"/>
    <w:rsid w:val="00E31EE7"/>
    <w:rsid w:val="00E31F85"/>
    <w:rsid w:val="00E32495"/>
    <w:rsid w:val="00E327F2"/>
    <w:rsid w:val="00E32DF7"/>
    <w:rsid w:val="00E32F68"/>
    <w:rsid w:val="00E336B1"/>
    <w:rsid w:val="00E33BC3"/>
    <w:rsid w:val="00E33F5B"/>
    <w:rsid w:val="00E342FF"/>
    <w:rsid w:val="00E34C6F"/>
    <w:rsid w:val="00E35310"/>
    <w:rsid w:val="00E353E6"/>
    <w:rsid w:val="00E35B2F"/>
    <w:rsid w:val="00E363F4"/>
    <w:rsid w:val="00E36A27"/>
    <w:rsid w:val="00E36C22"/>
    <w:rsid w:val="00E36E3B"/>
    <w:rsid w:val="00E37468"/>
    <w:rsid w:val="00E379F0"/>
    <w:rsid w:val="00E37A69"/>
    <w:rsid w:val="00E37DEF"/>
    <w:rsid w:val="00E40173"/>
    <w:rsid w:val="00E40A5D"/>
    <w:rsid w:val="00E40A87"/>
    <w:rsid w:val="00E40FD4"/>
    <w:rsid w:val="00E410C6"/>
    <w:rsid w:val="00E41721"/>
    <w:rsid w:val="00E41A40"/>
    <w:rsid w:val="00E42271"/>
    <w:rsid w:val="00E42722"/>
    <w:rsid w:val="00E42BCB"/>
    <w:rsid w:val="00E42EF2"/>
    <w:rsid w:val="00E43215"/>
    <w:rsid w:val="00E43917"/>
    <w:rsid w:val="00E44267"/>
    <w:rsid w:val="00E4443B"/>
    <w:rsid w:val="00E4495B"/>
    <w:rsid w:val="00E44C19"/>
    <w:rsid w:val="00E44CF8"/>
    <w:rsid w:val="00E456C7"/>
    <w:rsid w:val="00E45A70"/>
    <w:rsid w:val="00E45E72"/>
    <w:rsid w:val="00E461BD"/>
    <w:rsid w:val="00E4652F"/>
    <w:rsid w:val="00E46CF1"/>
    <w:rsid w:val="00E471ED"/>
    <w:rsid w:val="00E47605"/>
    <w:rsid w:val="00E479C6"/>
    <w:rsid w:val="00E47F0D"/>
    <w:rsid w:val="00E50F05"/>
    <w:rsid w:val="00E5127F"/>
    <w:rsid w:val="00E514B5"/>
    <w:rsid w:val="00E523FA"/>
    <w:rsid w:val="00E53110"/>
    <w:rsid w:val="00E531D5"/>
    <w:rsid w:val="00E5368F"/>
    <w:rsid w:val="00E5412F"/>
    <w:rsid w:val="00E546DA"/>
    <w:rsid w:val="00E54879"/>
    <w:rsid w:val="00E548C2"/>
    <w:rsid w:val="00E549DF"/>
    <w:rsid w:val="00E54CC3"/>
    <w:rsid w:val="00E550D7"/>
    <w:rsid w:val="00E550DF"/>
    <w:rsid w:val="00E55119"/>
    <w:rsid w:val="00E554BB"/>
    <w:rsid w:val="00E557ED"/>
    <w:rsid w:val="00E559AC"/>
    <w:rsid w:val="00E55FD8"/>
    <w:rsid w:val="00E56EB7"/>
    <w:rsid w:val="00E5776F"/>
    <w:rsid w:val="00E60028"/>
    <w:rsid w:val="00E6018B"/>
    <w:rsid w:val="00E60A6F"/>
    <w:rsid w:val="00E61942"/>
    <w:rsid w:val="00E61BF6"/>
    <w:rsid w:val="00E6203A"/>
    <w:rsid w:val="00E623E1"/>
    <w:rsid w:val="00E62C45"/>
    <w:rsid w:val="00E62F3A"/>
    <w:rsid w:val="00E6343E"/>
    <w:rsid w:val="00E63459"/>
    <w:rsid w:val="00E637F1"/>
    <w:rsid w:val="00E63983"/>
    <w:rsid w:val="00E63E90"/>
    <w:rsid w:val="00E64D6B"/>
    <w:rsid w:val="00E65E13"/>
    <w:rsid w:val="00E66040"/>
    <w:rsid w:val="00E66941"/>
    <w:rsid w:val="00E66C46"/>
    <w:rsid w:val="00E670EA"/>
    <w:rsid w:val="00E677D7"/>
    <w:rsid w:val="00E67B6F"/>
    <w:rsid w:val="00E67C35"/>
    <w:rsid w:val="00E67D34"/>
    <w:rsid w:val="00E708BD"/>
    <w:rsid w:val="00E70EC2"/>
    <w:rsid w:val="00E713C6"/>
    <w:rsid w:val="00E717CC"/>
    <w:rsid w:val="00E71951"/>
    <w:rsid w:val="00E72A36"/>
    <w:rsid w:val="00E72BE6"/>
    <w:rsid w:val="00E73222"/>
    <w:rsid w:val="00E734B7"/>
    <w:rsid w:val="00E7364D"/>
    <w:rsid w:val="00E73A11"/>
    <w:rsid w:val="00E73EBE"/>
    <w:rsid w:val="00E76324"/>
    <w:rsid w:val="00E76F66"/>
    <w:rsid w:val="00E77975"/>
    <w:rsid w:val="00E77C4C"/>
    <w:rsid w:val="00E80085"/>
    <w:rsid w:val="00E8031B"/>
    <w:rsid w:val="00E80D2B"/>
    <w:rsid w:val="00E80FF9"/>
    <w:rsid w:val="00E81386"/>
    <w:rsid w:val="00E81AE0"/>
    <w:rsid w:val="00E81B20"/>
    <w:rsid w:val="00E828AB"/>
    <w:rsid w:val="00E828DE"/>
    <w:rsid w:val="00E8353D"/>
    <w:rsid w:val="00E835FF"/>
    <w:rsid w:val="00E83CD5"/>
    <w:rsid w:val="00E841C7"/>
    <w:rsid w:val="00E84413"/>
    <w:rsid w:val="00E84E11"/>
    <w:rsid w:val="00E852D3"/>
    <w:rsid w:val="00E85380"/>
    <w:rsid w:val="00E855A1"/>
    <w:rsid w:val="00E85A2B"/>
    <w:rsid w:val="00E8686A"/>
    <w:rsid w:val="00E8699C"/>
    <w:rsid w:val="00E878B9"/>
    <w:rsid w:val="00E87CE5"/>
    <w:rsid w:val="00E90408"/>
    <w:rsid w:val="00E90630"/>
    <w:rsid w:val="00E90D67"/>
    <w:rsid w:val="00E90ED3"/>
    <w:rsid w:val="00E9102F"/>
    <w:rsid w:val="00E91128"/>
    <w:rsid w:val="00E91E95"/>
    <w:rsid w:val="00E920A0"/>
    <w:rsid w:val="00E92A87"/>
    <w:rsid w:val="00E93003"/>
    <w:rsid w:val="00E9378B"/>
    <w:rsid w:val="00E939A7"/>
    <w:rsid w:val="00E93B24"/>
    <w:rsid w:val="00E94215"/>
    <w:rsid w:val="00E94335"/>
    <w:rsid w:val="00E94396"/>
    <w:rsid w:val="00E94653"/>
    <w:rsid w:val="00E950F8"/>
    <w:rsid w:val="00E952DA"/>
    <w:rsid w:val="00E953C3"/>
    <w:rsid w:val="00E95739"/>
    <w:rsid w:val="00E95742"/>
    <w:rsid w:val="00E95ADC"/>
    <w:rsid w:val="00E95C2D"/>
    <w:rsid w:val="00E96055"/>
    <w:rsid w:val="00E9672B"/>
    <w:rsid w:val="00E9686B"/>
    <w:rsid w:val="00E968F3"/>
    <w:rsid w:val="00E97019"/>
    <w:rsid w:val="00E97861"/>
    <w:rsid w:val="00E97B47"/>
    <w:rsid w:val="00EA00EE"/>
    <w:rsid w:val="00EA02B8"/>
    <w:rsid w:val="00EA0A6F"/>
    <w:rsid w:val="00EA1280"/>
    <w:rsid w:val="00EA2FC8"/>
    <w:rsid w:val="00EA3029"/>
    <w:rsid w:val="00EA3765"/>
    <w:rsid w:val="00EA3CF4"/>
    <w:rsid w:val="00EA4057"/>
    <w:rsid w:val="00EA4072"/>
    <w:rsid w:val="00EA4550"/>
    <w:rsid w:val="00EA487D"/>
    <w:rsid w:val="00EA48C0"/>
    <w:rsid w:val="00EA4A7F"/>
    <w:rsid w:val="00EA4E8C"/>
    <w:rsid w:val="00EA5145"/>
    <w:rsid w:val="00EA5181"/>
    <w:rsid w:val="00EA5E5A"/>
    <w:rsid w:val="00EA60E6"/>
    <w:rsid w:val="00EA6153"/>
    <w:rsid w:val="00EA6351"/>
    <w:rsid w:val="00EA641E"/>
    <w:rsid w:val="00EA6AA3"/>
    <w:rsid w:val="00EA6CCD"/>
    <w:rsid w:val="00EA7229"/>
    <w:rsid w:val="00EA762D"/>
    <w:rsid w:val="00EA763C"/>
    <w:rsid w:val="00EA7C85"/>
    <w:rsid w:val="00EA7D9E"/>
    <w:rsid w:val="00EB0552"/>
    <w:rsid w:val="00EB0B04"/>
    <w:rsid w:val="00EB0C97"/>
    <w:rsid w:val="00EB2323"/>
    <w:rsid w:val="00EB233E"/>
    <w:rsid w:val="00EB2786"/>
    <w:rsid w:val="00EB2AC4"/>
    <w:rsid w:val="00EB2BD2"/>
    <w:rsid w:val="00EB2C0C"/>
    <w:rsid w:val="00EB2E66"/>
    <w:rsid w:val="00EB3AA9"/>
    <w:rsid w:val="00EB3AAC"/>
    <w:rsid w:val="00EB4330"/>
    <w:rsid w:val="00EB435A"/>
    <w:rsid w:val="00EB4B86"/>
    <w:rsid w:val="00EB4C36"/>
    <w:rsid w:val="00EB4E03"/>
    <w:rsid w:val="00EB4F77"/>
    <w:rsid w:val="00EB5749"/>
    <w:rsid w:val="00EB5F74"/>
    <w:rsid w:val="00EB6035"/>
    <w:rsid w:val="00EB63F7"/>
    <w:rsid w:val="00EB69CC"/>
    <w:rsid w:val="00EB69EC"/>
    <w:rsid w:val="00EB6A35"/>
    <w:rsid w:val="00EB6AC4"/>
    <w:rsid w:val="00EB6AEE"/>
    <w:rsid w:val="00EB6B92"/>
    <w:rsid w:val="00EB6EB7"/>
    <w:rsid w:val="00EB7094"/>
    <w:rsid w:val="00EB719A"/>
    <w:rsid w:val="00EB7683"/>
    <w:rsid w:val="00EB780A"/>
    <w:rsid w:val="00EB78E2"/>
    <w:rsid w:val="00EB78E5"/>
    <w:rsid w:val="00EB7ED3"/>
    <w:rsid w:val="00EC089E"/>
    <w:rsid w:val="00EC0B86"/>
    <w:rsid w:val="00EC0F61"/>
    <w:rsid w:val="00EC1A58"/>
    <w:rsid w:val="00EC1B6B"/>
    <w:rsid w:val="00EC1F71"/>
    <w:rsid w:val="00EC2248"/>
    <w:rsid w:val="00EC24AB"/>
    <w:rsid w:val="00EC2CEC"/>
    <w:rsid w:val="00EC3775"/>
    <w:rsid w:val="00EC3C5D"/>
    <w:rsid w:val="00EC42F3"/>
    <w:rsid w:val="00EC4E34"/>
    <w:rsid w:val="00EC5078"/>
    <w:rsid w:val="00EC511A"/>
    <w:rsid w:val="00EC5A21"/>
    <w:rsid w:val="00EC5FAF"/>
    <w:rsid w:val="00EC620B"/>
    <w:rsid w:val="00EC635A"/>
    <w:rsid w:val="00EC6C7B"/>
    <w:rsid w:val="00EC6C91"/>
    <w:rsid w:val="00EC770E"/>
    <w:rsid w:val="00ED01B9"/>
    <w:rsid w:val="00ED0632"/>
    <w:rsid w:val="00ED0D56"/>
    <w:rsid w:val="00ED1210"/>
    <w:rsid w:val="00ED236A"/>
    <w:rsid w:val="00ED2C2F"/>
    <w:rsid w:val="00ED2CB7"/>
    <w:rsid w:val="00ED306E"/>
    <w:rsid w:val="00ED34CA"/>
    <w:rsid w:val="00ED3772"/>
    <w:rsid w:val="00ED3AC7"/>
    <w:rsid w:val="00ED3AEC"/>
    <w:rsid w:val="00ED3B8A"/>
    <w:rsid w:val="00ED3BFF"/>
    <w:rsid w:val="00ED4B20"/>
    <w:rsid w:val="00ED4BBC"/>
    <w:rsid w:val="00ED5EEA"/>
    <w:rsid w:val="00ED6219"/>
    <w:rsid w:val="00ED6767"/>
    <w:rsid w:val="00ED6B56"/>
    <w:rsid w:val="00EE057C"/>
    <w:rsid w:val="00EE0DA9"/>
    <w:rsid w:val="00EE29BA"/>
    <w:rsid w:val="00EE3866"/>
    <w:rsid w:val="00EE4204"/>
    <w:rsid w:val="00EE4528"/>
    <w:rsid w:val="00EE48F6"/>
    <w:rsid w:val="00EE49FF"/>
    <w:rsid w:val="00EE4C21"/>
    <w:rsid w:val="00EE55B5"/>
    <w:rsid w:val="00EE5673"/>
    <w:rsid w:val="00EE6960"/>
    <w:rsid w:val="00EE6FC7"/>
    <w:rsid w:val="00EE7512"/>
    <w:rsid w:val="00EE7534"/>
    <w:rsid w:val="00EE775E"/>
    <w:rsid w:val="00EE78C0"/>
    <w:rsid w:val="00EE78E1"/>
    <w:rsid w:val="00EE7BED"/>
    <w:rsid w:val="00EF0806"/>
    <w:rsid w:val="00EF0F2E"/>
    <w:rsid w:val="00EF113A"/>
    <w:rsid w:val="00EF117D"/>
    <w:rsid w:val="00EF1A5C"/>
    <w:rsid w:val="00EF2272"/>
    <w:rsid w:val="00EF2E28"/>
    <w:rsid w:val="00EF364C"/>
    <w:rsid w:val="00EF38AE"/>
    <w:rsid w:val="00EF4067"/>
    <w:rsid w:val="00EF41BC"/>
    <w:rsid w:val="00EF434E"/>
    <w:rsid w:val="00EF4693"/>
    <w:rsid w:val="00EF47FA"/>
    <w:rsid w:val="00EF4850"/>
    <w:rsid w:val="00EF48DB"/>
    <w:rsid w:val="00EF4C91"/>
    <w:rsid w:val="00EF4E2A"/>
    <w:rsid w:val="00EF5340"/>
    <w:rsid w:val="00EF5817"/>
    <w:rsid w:val="00EF687D"/>
    <w:rsid w:val="00EF6BE6"/>
    <w:rsid w:val="00EF70A5"/>
    <w:rsid w:val="00EF7D61"/>
    <w:rsid w:val="00EF7E2B"/>
    <w:rsid w:val="00F0018D"/>
    <w:rsid w:val="00F0019C"/>
    <w:rsid w:val="00F003D7"/>
    <w:rsid w:val="00F00850"/>
    <w:rsid w:val="00F00A3B"/>
    <w:rsid w:val="00F00D10"/>
    <w:rsid w:val="00F00E08"/>
    <w:rsid w:val="00F019C3"/>
    <w:rsid w:val="00F01A01"/>
    <w:rsid w:val="00F01A66"/>
    <w:rsid w:val="00F01AE4"/>
    <w:rsid w:val="00F01B5D"/>
    <w:rsid w:val="00F0307A"/>
    <w:rsid w:val="00F03317"/>
    <w:rsid w:val="00F03783"/>
    <w:rsid w:val="00F03794"/>
    <w:rsid w:val="00F047B3"/>
    <w:rsid w:val="00F04866"/>
    <w:rsid w:val="00F0490A"/>
    <w:rsid w:val="00F06A83"/>
    <w:rsid w:val="00F07016"/>
    <w:rsid w:val="00F070B7"/>
    <w:rsid w:val="00F077A4"/>
    <w:rsid w:val="00F07D33"/>
    <w:rsid w:val="00F10D1F"/>
    <w:rsid w:val="00F1100D"/>
    <w:rsid w:val="00F121AF"/>
    <w:rsid w:val="00F121B9"/>
    <w:rsid w:val="00F12500"/>
    <w:rsid w:val="00F12557"/>
    <w:rsid w:val="00F13DD2"/>
    <w:rsid w:val="00F13F12"/>
    <w:rsid w:val="00F1410C"/>
    <w:rsid w:val="00F147C3"/>
    <w:rsid w:val="00F14C4F"/>
    <w:rsid w:val="00F151ED"/>
    <w:rsid w:val="00F15C5D"/>
    <w:rsid w:val="00F15ED0"/>
    <w:rsid w:val="00F17487"/>
    <w:rsid w:val="00F203FF"/>
    <w:rsid w:val="00F20A68"/>
    <w:rsid w:val="00F22348"/>
    <w:rsid w:val="00F23837"/>
    <w:rsid w:val="00F23C43"/>
    <w:rsid w:val="00F23F06"/>
    <w:rsid w:val="00F24B17"/>
    <w:rsid w:val="00F260AB"/>
    <w:rsid w:val="00F265C1"/>
    <w:rsid w:val="00F276B5"/>
    <w:rsid w:val="00F27E07"/>
    <w:rsid w:val="00F27F17"/>
    <w:rsid w:val="00F30BCF"/>
    <w:rsid w:val="00F318F5"/>
    <w:rsid w:val="00F325CF"/>
    <w:rsid w:val="00F32F6C"/>
    <w:rsid w:val="00F334AA"/>
    <w:rsid w:val="00F33ADC"/>
    <w:rsid w:val="00F33EE7"/>
    <w:rsid w:val="00F347BD"/>
    <w:rsid w:val="00F34825"/>
    <w:rsid w:val="00F34E87"/>
    <w:rsid w:val="00F3623C"/>
    <w:rsid w:val="00F3683D"/>
    <w:rsid w:val="00F36BAE"/>
    <w:rsid w:val="00F36E5D"/>
    <w:rsid w:val="00F37321"/>
    <w:rsid w:val="00F4015F"/>
    <w:rsid w:val="00F40190"/>
    <w:rsid w:val="00F402E5"/>
    <w:rsid w:val="00F40910"/>
    <w:rsid w:val="00F40B70"/>
    <w:rsid w:val="00F40C7C"/>
    <w:rsid w:val="00F421DC"/>
    <w:rsid w:val="00F4290D"/>
    <w:rsid w:val="00F42BE4"/>
    <w:rsid w:val="00F42DAD"/>
    <w:rsid w:val="00F43563"/>
    <w:rsid w:val="00F43BE3"/>
    <w:rsid w:val="00F43E44"/>
    <w:rsid w:val="00F446AF"/>
    <w:rsid w:val="00F446DA"/>
    <w:rsid w:val="00F44AE9"/>
    <w:rsid w:val="00F453AA"/>
    <w:rsid w:val="00F453E3"/>
    <w:rsid w:val="00F45E02"/>
    <w:rsid w:val="00F463EA"/>
    <w:rsid w:val="00F466BA"/>
    <w:rsid w:val="00F46820"/>
    <w:rsid w:val="00F473CF"/>
    <w:rsid w:val="00F47D62"/>
    <w:rsid w:val="00F50101"/>
    <w:rsid w:val="00F501A8"/>
    <w:rsid w:val="00F50F88"/>
    <w:rsid w:val="00F5107D"/>
    <w:rsid w:val="00F51416"/>
    <w:rsid w:val="00F514F8"/>
    <w:rsid w:val="00F51884"/>
    <w:rsid w:val="00F519D4"/>
    <w:rsid w:val="00F52144"/>
    <w:rsid w:val="00F524E0"/>
    <w:rsid w:val="00F5257B"/>
    <w:rsid w:val="00F52FA6"/>
    <w:rsid w:val="00F53576"/>
    <w:rsid w:val="00F53ECA"/>
    <w:rsid w:val="00F54261"/>
    <w:rsid w:val="00F54369"/>
    <w:rsid w:val="00F54679"/>
    <w:rsid w:val="00F5471E"/>
    <w:rsid w:val="00F54B8A"/>
    <w:rsid w:val="00F55EA6"/>
    <w:rsid w:val="00F56015"/>
    <w:rsid w:val="00F5617C"/>
    <w:rsid w:val="00F5659D"/>
    <w:rsid w:val="00F5661B"/>
    <w:rsid w:val="00F56B9C"/>
    <w:rsid w:val="00F576FD"/>
    <w:rsid w:val="00F57871"/>
    <w:rsid w:val="00F57886"/>
    <w:rsid w:val="00F610A2"/>
    <w:rsid w:val="00F611BF"/>
    <w:rsid w:val="00F61393"/>
    <w:rsid w:val="00F619BE"/>
    <w:rsid w:val="00F61CD1"/>
    <w:rsid w:val="00F61D4A"/>
    <w:rsid w:val="00F61E65"/>
    <w:rsid w:val="00F62572"/>
    <w:rsid w:val="00F625CA"/>
    <w:rsid w:val="00F64412"/>
    <w:rsid w:val="00F64505"/>
    <w:rsid w:val="00F65A93"/>
    <w:rsid w:val="00F6680B"/>
    <w:rsid w:val="00F668A4"/>
    <w:rsid w:val="00F66ECF"/>
    <w:rsid w:val="00F67181"/>
    <w:rsid w:val="00F67B5D"/>
    <w:rsid w:val="00F67D0D"/>
    <w:rsid w:val="00F702D2"/>
    <w:rsid w:val="00F70799"/>
    <w:rsid w:val="00F7093F"/>
    <w:rsid w:val="00F71045"/>
    <w:rsid w:val="00F715C8"/>
    <w:rsid w:val="00F71789"/>
    <w:rsid w:val="00F7220D"/>
    <w:rsid w:val="00F7259E"/>
    <w:rsid w:val="00F72980"/>
    <w:rsid w:val="00F738BC"/>
    <w:rsid w:val="00F73F44"/>
    <w:rsid w:val="00F74AAA"/>
    <w:rsid w:val="00F74DCA"/>
    <w:rsid w:val="00F7528C"/>
    <w:rsid w:val="00F75736"/>
    <w:rsid w:val="00F757B1"/>
    <w:rsid w:val="00F76078"/>
    <w:rsid w:val="00F76CB6"/>
    <w:rsid w:val="00F76E74"/>
    <w:rsid w:val="00F774BF"/>
    <w:rsid w:val="00F7772B"/>
    <w:rsid w:val="00F77743"/>
    <w:rsid w:val="00F77FD7"/>
    <w:rsid w:val="00F802F4"/>
    <w:rsid w:val="00F802FE"/>
    <w:rsid w:val="00F80400"/>
    <w:rsid w:val="00F81500"/>
    <w:rsid w:val="00F822A4"/>
    <w:rsid w:val="00F84FAA"/>
    <w:rsid w:val="00F857ED"/>
    <w:rsid w:val="00F85F5F"/>
    <w:rsid w:val="00F8761F"/>
    <w:rsid w:val="00F87D22"/>
    <w:rsid w:val="00F90536"/>
    <w:rsid w:val="00F90A75"/>
    <w:rsid w:val="00F90B6E"/>
    <w:rsid w:val="00F90D18"/>
    <w:rsid w:val="00F91407"/>
    <w:rsid w:val="00F916F2"/>
    <w:rsid w:val="00F9174D"/>
    <w:rsid w:val="00F92BED"/>
    <w:rsid w:val="00F92CEE"/>
    <w:rsid w:val="00F92D53"/>
    <w:rsid w:val="00F93378"/>
    <w:rsid w:val="00F9361D"/>
    <w:rsid w:val="00F942C8"/>
    <w:rsid w:val="00F9494E"/>
    <w:rsid w:val="00F94AC7"/>
    <w:rsid w:val="00F94EEB"/>
    <w:rsid w:val="00F94F9A"/>
    <w:rsid w:val="00F960B4"/>
    <w:rsid w:val="00F96242"/>
    <w:rsid w:val="00F962E8"/>
    <w:rsid w:val="00F96406"/>
    <w:rsid w:val="00F96565"/>
    <w:rsid w:val="00F965CD"/>
    <w:rsid w:val="00F96C2B"/>
    <w:rsid w:val="00F96F59"/>
    <w:rsid w:val="00F96F5B"/>
    <w:rsid w:val="00F96F8A"/>
    <w:rsid w:val="00F97284"/>
    <w:rsid w:val="00F97560"/>
    <w:rsid w:val="00FA028C"/>
    <w:rsid w:val="00FA069A"/>
    <w:rsid w:val="00FA0866"/>
    <w:rsid w:val="00FA0B33"/>
    <w:rsid w:val="00FA0B5C"/>
    <w:rsid w:val="00FA0C52"/>
    <w:rsid w:val="00FA12A8"/>
    <w:rsid w:val="00FA1542"/>
    <w:rsid w:val="00FA17B0"/>
    <w:rsid w:val="00FA28F9"/>
    <w:rsid w:val="00FA2B40"/>
    <w:rsid w:val="00FA31E4"/>
    <w:rsid w:val="00FA38F9"/>
    <w:rsid w:val="00FA3DCF"/>
    <w:rsid w:val="00FA3EE5"/>
    <w:rsid w:val="00FA4CB5"/>
    <w:rsid w:val="00FA5472"/>
    <w:rsid w:val="00FA5502"/>
    <w:rsid w:val="00FA5A65"/>
    <w:rsid w:val="00FA5FE0"/>
    <w:rsid w:val="00FA605E"/>
    <w:rsid w:val="00FA652A"/>
    <w:rsid w:val="00FA6977"/>
    <w:rsid w:val="00FA6BEC"/>
    <w:rsid w:val="00FA7A97"/>
    <w:rsid w:val="00FA7B30"/>
    <w:rsid w:val="00FA7B95"/>
    <w:rsid w:val="00FB055F"/>
    <w:rsid w:val="00FB09E3"/>
    <w:rsid w:val="00FB0B68"/>
    <w:rsid w:val="00FB13BB"/>
    <w:rsid w:val="00FB1773"/>
    <w:rsid w:val="00FB18DD"/>
    <w:rsid w:val="00FB1D21"/>
    <w:rsid w:val="00FB24B0"/>
    <w:rsid w:val="00FB2595"/>
    <w:rsid w:val="00FB2A23"/>
    <w:rsid w:val="00FB306F"/>
    <w:rsid w:val="00FB3452"/>
    <w:rsid w:val="00FB3E3B"/>
    <w:rsid w:val="00FB3F69"/>
    <w:rsid w:val="00FB46AB"/>
    <w:rsid w:val="00FB4C2B"/>
    <w:rsid w:val="00FB4EB0"/>
    <w:rsid w:val="00FB508D"/>
    <w:rsid w:val="00FB53F3"/>
    <w:rsid w:val="00FB55B3"/>
    <w:rsid w:val="00FB567A"/>
    <w:rsid w:val="00FB5ACD"/>
    <w:rsid w:val="00FB5FB2"/>
    <w:rsid w:val="00FB6911"/>
    <w:rsid w:val="00FC0053"/>
    <w:rsid w:val="00FC045D"/>
    <w:rsid w:val="00FC096D"/>
    <w:rsid w:val="00FC1000"/>
    <w:rsid w:val="00FC1554"/>
    <w:rsid w:val="00FC1FBE"/>
    <w:rsid w:val="00FC2195"/>
    <w:rsid w:val="00FC2209"/>
    <w:rsid w:val="00FC2602"/>
    <w:rsid w:val="00FC28F8"/>
    <w:rsid w:val="00FC2A2F"/>
    <w:rsid w:val="00FC2FF5"/>
    <w:rsid w:val="00FC3B12"/>
    <w:rsid w:val="00FC40F6"/>
    <w:rsid w:val="00FC42E6"/>
    <w:rsid w:val="00FC43CB"/>
    <w:rsid w:val="00FC5146"/>
    <w:rsid w:val="00FC53B2"/>
    <w:rsid w:val="00FC5465"/>
    <w:rsid w:val="00FC5F2E"/>
    <w:rsid w:val="00FC5FD7"/>
    <w:rsid w:val="00FC65D2"/>
    <w:rsid w:val="00FC6C83"/>
    <w:rsid w:val="00FC6FEB"/>
    <w:rsid w:val="00FC72DA"/>
    <w:rsid w:val="00FC79B0"/>
    <w:rsid w:val="00FC7AD7"/>
    <w:rsid w:val="00FD019C"/>
    <w:rsid w:val="00FD01F0"/>
    <w:rsid w:val="00FD0300"/>
    <w:rsid w:val="00FD0603"/>
    <w:rsid w:val="00FD0789"/>
    <w:rsid w:val="00FD0DA6"/>
    <w:rsid w:val="00FD121A"/>
    <w:rsid w:val="00FD1A52"/>
    <w:rsid w:val="00FD1AB5"/>
    <w:rsid w:val="00FD1E32"/>
    <w:rsid w:val="00FD2659"/>
    <w:rsid w:val="00FD2A5D"/>
    <w:rsid w:val="00FD3B52"/>
    <w:rsid w:val="00FD406B"/>
    <w:rsid w:val="00FD4166"/>
    <w:rsid w:val="00FD487B"/>
    <w:rsid w:val="00FD4960"/>
    <w:rsid w:val="00FD4A54"/>
    <w:rsid w:val="00FD4DB9"/>
    <w:rsid w:val="00FD5402"/>
    <w:rsid w:val="00FD5495"/>
    <w:rsid w:val="00FD5599"/>
    <w:rsid w:val="00FD63C4"/>
    <w:rsid w:val="00FD6B2D"/>
    <w:rsid w:val="00FD738C"/>
    <w:rsid w:val="00FE0182"/>
    <w:rsid w:val="00FE07A1"/>
    <w:rsid w:val="00FE1B28"/>
    <w:rsid w:val="00FE1D10"/>
    <w:rsid w:val="00FE2158"/>
    <w:rsid w:val="00FE22FA"/>
    <w:rsid w:val="00FE2E5E"/>
    <w:rsid w:val="00FE2F57"/>
    <w:rsid w:val="00FE38ED"/>
    <w:rsid w:val="00FE3B96"/>
    <w:rsid w:val="00FE3CD5"/>
    <w:rsid w:val="00FE3EB5"/>
    <w:rsid w:val="00FE4116"/>
    <w:rsid w:val="00FE48D1"/>
    <w:rsid w:val="00FE6561"/>
    <w:rsid w:val="00FE6CEF"/>
    <w:rsid w:val="00FE6CF9"/>
    <w:rsid w:val="00FE7117"/>
    <w:rsid w:val="00FE7695"/>
    <w:rsid w:val="00FE7769"/>
    <w:rsid w:val="00FF0808"/>
    <w:rsid w:val="00FF13D4"/>
    <w:rsid w:val="00FF1F65"/>
    <w:rsid w:val="00FF2E20"/>
    <w:rsid w:val="00FF49B5"/>
    <w:rsid w:val="00FF4DF6"/>
    <w:rsid w:val="00FF5C39"/>
    <w:rsid w:val="00FF62E9"/>
    <w:rsid w:val="00FF63E5"/>
    <w:rsid w:val="00FF65E1"/>
    <w:rsid w:val="00FF68E3"/>
    <w:rsid w:val="00FF6B9A"/>
    <w:rsid w:val="00FF7651"/>
    <w:rsid w:val="00FF76FF"/>
    <w:rsid w:val="00FF7E3A"/>
  </w:rsids>
  <m:mathPr>
    <m:mathFont m:val="Cambria Math"/>
    <m:brkBin m:val="before"/>
    <m:brkBinSub m:val="--"/>
    <m:smallFrac m:val="0"/>
    <m:dispDef m:val="0"/>
    <m:lMargin m:val="0"/>
    <m:rMargin m:val="0"/>
    <m:defJc m:val="centerGroup"/>
    <m:wrapRight/>
    <m:intLim m:val="subSup"/>
    <m:naryLim m:val="subSup"/>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17" style="mso-position-vertical-relative:line" fill="f" fillcolor="white" stroke="f">
      <v:fill color="white" on="f"/>
      <v:stroke on="f"/>
      <v:textbox style="mso-rotate-with-shape:t"/>
    </o:shapedefaults>
    <o:shapelayout v:ext="edit">
      <o:idmap v:ext="edit" data="1"/>
    </o:shapelayout>
  </w:shapeDefaults>
  <w:decimalSymbol w:val="."/>
  <w:listSeparator w:val=","/>
  <w14:docId w14:val="04E76875"/>
  <w15:docId w15:val="{D9FCC6FD-B482-4CC4-A359-2D5C052309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AU" w:eastAsia="en-AU"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qFormat="1"/>
    <w:lsdException w:name="footnote text" w:semiHidden="1" w:uiPriority="99" w:unhideWhenUsed="1"/>
    <w:lsdException w:name="annotation text" w:semiHidden="1" w:uiPriority="99" w:unhideWhenUsed="1"/>
    <w:lsdException w:name="header" w:semiHidden="1" w:uiPriority="99" w:unhideWhenUsed="1"/>
    <w:lsdException w:name="footer" w:semiHidden="1" w:uiPriority="19" w:unhideWhenUsed="1"/>
    <w:lsdException w:name="index heading" w:semiHidden="1" w:unhideWhenUsed="1"/>
    <w:lsdException w:name="caption" w:semiHidden="1" w:uiPriority="1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iPriority="99" w:unhideWhenUsed="1"/>
    <w:lsdException w:name="List" w:semiHidden="1" w:uiPriority="99" w:unhideWhenUsed="1"/>
    <w:lsdException w:name="List Bullet" w:semiHidden="1" w:uiPriority="99"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iPriority="99" w:unhideWhenUsed="1"/>
    <w:lsdException w:name="List Number 2" w:semiHidden="1" w:unhideWhenUsed="1"/>
    <w:lsdException w:name="List Number 3" w:semiHidden="1" w:unhideWhenUsed="1"/>
    <w:lsdException w:name="List Number 4" w:semiHidden="1" w:uiPriority="99" w:unhideWhenUsed="1"/>
    <w:lsdException w:name="List Number 5" w:semiHidden="1" w:uiPriority="99" w:unhideWhenUsed="1"/>
    <w:lsdException w:name="Title" w:uiPriority="99" w:qFormat="1"/>
    <w:lsdException w:name="Closing" w:semiHidden="1" w:uiPriority="99"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99" w:unhideWhenUsed="1"/>
    <w:lsdException w:name="Subtitle" w:uiPriority="9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99"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99" w:unhideWhenUsed="1"/>
    <w:lsdException w:name="Table Grid" w:uiPriority="59"/>
    <w:lsdException w:name="Placeholder Text" w:semiHidden="1" w:uiPriority="99"/>
    <w:lsdException w:name="No Spacing" w:uiPriority="99" w:qFormat="1"/>
    <w:lsdException w:name="Light List"/>
    <w:lsdException w:name="Light Grid"/>
    <w:lsdException w:name="Medium Shading 1"/>
    <w:lsdException w:name="Medium Shading 2"/>
    <w:lsdException w:name="Medium List 1"/>
    <w:lsdException w:name="Medium List 2"/>
    <w:lsdException w:name="Medium Grid 1" w:uiPriority="99"/>
    <w:lsdException w:name="Medium Grid 2" w:uiPriority="99"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34" w:qFormat="1"/>
    <w:lsdException w:name="Quote" w:uiPriority="99" w:qFormat="1"/>
    <w:lsdException w:name="Intense Quote" w:uiPriority="99" w:qFormat="1"/>
    <w:lsdException w:name="Medium List 2 Accent 1" w:uiPriority="66"/>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99" w:qFormat="1"/>
    <w:lsdException w:name="Light Shading Accent 2" w:uiPriority="99"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99"/>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71"/>
    <w:lsdException w:name="Light Grid Accent 3" w:uiPriority="72"/>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uiPriority="99"/>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1450B"/>
    <w:pPr>
      <w:spacing w:line="260" w:lineRule="atLeast"/>
      <w:ind w:left="720"/>
    </w:pPr>
    <w:rPr>
      <w:rFonts w:ascii="Arial" w:hAnsi="Arial"/>
    </w:rPr>
  </w:style>
  <w:style w:type="paragraph" w:styleId="Heading1">
    <w:name w:val="heading 1"/>
    <w:aliases w:val="ACPL Heading 1,Aventus Heading 1,New D&amp;M Heading 1,LDM HEADING 1,LDM,LDM_1,D&amp;M,D&amp;M 1,Man,Man1,D&amp;M1,D&amp;M 11,Man2,D&amp;M5,D&amp;M 12,Man11,D&amp;M11,D&amp;M 111,Man3,D&amp;M6,D&amp;M 13,Man12,D&amp;M12,D&amp;M 112,Man21,D&amp;M51,D&amp;M 121,Man111,D&amp;M111,D&amp;M 1111,Man4,D&amp;M7,D&amp;M 14,h1"/>
    <w:basedOn w:val="Normal"/>
    <w:next w:val="Normal"/>
    <w:link w:val="Heading1Char"/>
    <w:uiPriority w:val="9"/>
    <w:qFormat/>
    <w:rsid w:val="00542349"/>
    <w:pPr>
      <w:keepNext/>
      <w:spacing w:before="240" w:after="60" w:line="380" w:lineRule="atLeast"/>
      <w:ind w:left="0"/>
      <w:outlineLvl w:val="0"/>
    </w:pPr>
    <w:rPr>
      <w:rFonts w:cs="Arial"/>
      <w:bCs/>
      <w:color w:val="22058A"/>
      <w:kern w:val="32"/>
      <w:sz w:val="32"/>
      <w:szCs w:val="32"/>
    </w:rPr>
  </w:style>
  <w:style w:type="paragraph" w:styleId="Heading2">
    <w:name w:val="heading 2"/>
    <w:aliases w:val="ACPL Heading 2,Aventus Heading 2,Heading 21 Char,Heading 21,D&amp;M2,D&amp;M 2,D&amp;M21,D&amp;M 21,D&amp;M22,D&amp;M 22,D&amp;M211,D&amp;M 211,D&amp;M23,D&amp;M 23,D&amp;M212,D&amp;M 212,D&amp;M221,D&amp;M 221,D&amp;M2111,D&amp;M 2111,D&amp;M24,D&amp;M 24,D&amp;M25,D&amp;M 25,D&amp;M26,D&amp;M 26,D&amp;M27,D&amp;M 27,D&amp;M28,D&amp;M 28,D&amp;M29"/>
    <w:basedOn w:val="Normal"/>
    <w:next w:val="Normal"/>
    <w:link w:val="Heading2Char"/>
    <w:uiPriority w:val="9"/>
    <w:qFormat/>
    <w:rsid w:val="00542349"/>
    <w:pPr>
      <w:keepNext/>
      <w:tabs>
        <w:tab w:val="left" w:pos="720"/>
      </w:tabs>
      <w:spacing w:before="240" w:after="60" w:line="320" w:lineRule="atLeast"/>
      <w:ind w:left="0"/>
      <w:outlineLvl w:val="1"/>
    </w:pPr>
    <w:rPr>
      <w:rFonts w:cs="Arial"/>
      <w:bCs/>
      <w:iCs/>
      <w:color w:val="45508A"/>
      <w:sz w:val="28"/>
      <w:szCs w:val="28"/>
    </w:rPr>
  </w:style>
  <w:style w:type="paragraph" w:styleId="Heading3">
    <w:name w:val="heading 3"/>
    <w:aliases w:val="Heading 31,h3,D&amp;M3,D&amp;M 3,D&amp;M31,D&amp;M 31,D&amp;M32,D&amp;M 32,D&amp;M311,D&amp;M 311,D&amp;M33,D&amp;M 33,D&amp;M312,D&amp;M 312,D&amp;M321,D&amp;M 321,D&amp;M3111,D&amp;M 3111,D&amp;M34,D&amp;M 34,D&amp;M35,D&amp;M 35,D&amp;M36,D&amp;M 36,D&amp;M37,D&amp;M 37,D&amp;M38,D&amp;M 38,D&amp;M39,D&amp;M 39,D&amp;M310,D&amp;M 310,D&amp;M313,D&amp;M 313,D&amp;M314"/>
    <w:basedOn w:val="Normal"/>
    <w:next w:val="Normal"/>
    <w:link w:val="Heading3Char"/>
    <w:qFormat/>
    <w:rsid w:val="000D3208"/>
    <w:pPr>
      <w:keepNext/>
      <w:numPr>
        <w:ilvl w:val="2"/>
        <w:numId w:val="1"/>
      </w:numPr>
      <w:tabs>
        <w:tab w:val="left" w:pos="1080"/>
      </w:tabs>
      <w:spacing w:before="240" w:after="60"/>
      <w:outlineLvl w:val="2"/>
    </w:pPr>
    <w:rPr>
      <w:rFonts w:cs="Arial"/>
      <w:b/>
      <w:bCs/>
      <w:color w:val="1C1C1C"/>
      <w:sz w:val="26"/>
      <w:szCs w:val="26"/>
    </w:rPr>
  </w:style>
  <w:style w:type="paragraph" w:styleId="Heading4">
    <w:name w:val="heading 4"/>
    <w:aliases w:val="D&amp;M4,D&amp;M 4,D&amp;M41,D&amp;M 41,D&amp;M42,D&amp;M 42,D&amp;M411,D&amp;M 411,D&amp;M43,D&amp;M 43,D&amp;M412,D&amp;M 412,D&amp;M421,D&amp;M 421,D&amp;M4111,D&amp;M 4111,D&amp;M44,D&amp;M 44,D&amp;M45,D&amp;M 45,D&amp;M46,D&amp;M 46,D&amp;M47,D&amp;M 47,D&amp;M48,D&amp;M 48,D&amp;M49,D&amp;M 49,D&amp;M410,D&amp;M 410,D&amp;M413,D&amp;M 413,D&amp;M414,D&amp;M 414,D&amp;M415"/>
    <w:basedOn w:val="Normal"/>
    <w:next w:val="Normal"/>
    <w:link w:val="Heading4Char"/>
    <w:qFormat/>
    <w:rsid w:val="00315A4F"/>
    <w:pPr>
      <w:keepNext/>
      <w:tabs>
        <w:tab w:val="num" w:pos="851"/>
      </w:tabs>
      <w:spacing w:before="120" w:after="120" w:line="240" w:lineRule="auto"/>
      <w:ind w:left="851" w:hanging="851"/>
      <w:outlineLvl w:val="3"/>
    </w:pPr>
    <w:rPr>
      <w:rFonts w:eastAsia="MS Mincho"/>
      <w:bCs/>
      <w:color w:val="F36D00"/>
      <w:sz w:val="18"/>
      <w:szCs w:val="28"/>
      <w:lang w:eastAsia="en-US"/>
    </w:rPr>
  </w:style>
  <w:style w:type="paragraph" w:styleId="Heading5">
    <w:name w:val="heading 5"/>
    <w:basedOn w:val="Normal"/>
    <w:next w:val="Normal"/>
    <w:link w:val="Heading5Char"/>
    <w:qFormat/>
    <w:rsid w:val="00315A4F"/>
    <w:pPr>
      <w:tabs>
        <w:tab w:val="num" w:pos="0"/>
      </w:tabs>
      <w:spacing w:before="240" w:after="60" w:line="240" w:lineRule="auto"/>
      <w:ind w:left="0"/>
      <w:outlineLvl w:val="4"/>
    </w:pPr>
    <w:rPr>
      <w:rFonts w:eastAsia="MS Mincho"/>
      <w:b/>
      <w:bCs/>
      <w:i/>
      <w:iCs/>
      <w:color w:val="191919"/>
      <w:sz w:val="26"/>
      <w:szCs w:val="26"/>
      <w:lang w:eastAsia="en-US"/>
    </w:rPr>
  </w:style>
  <w:style w:type="paragraph" w:styleId="Heading6">
    <w:name w:val="heading 6"/>
    <w:basedOn w:val="Normal"/>
    <w:next w:val="Normal"/>
    <w:link w:val="Heading6Char"/>
    <w:qFormat/>
    <w:rsid w:val="00315A4F"/>
    <w:pPr>
      <w:spacing w:before="240" w:after="60" w:line="240" w:lineRule="auto"/>
      <w:ind w:left="0"/>
      <w:outlineLvl w:val="5"/>
    </w:pPr>
    <w:rPr>
      <w:rFonts w:eastAsia="MS Mincho"/>
      <w:b/>
      <w:bCs/>
      <w:color w:val="191919"/>
      <w:sz w:val="18"/>
      <w:szCs w:val="22"/>
      <w:lang w:eastAsia="en-US"/>
    </w:rPr>
  </w:style>
  <w:style w:type="paragraph" w:styleId="Heading7">
    <w:name w:val="heading 7"/>
    <w:basedOn w:val="Normal"/>
    <w:next w:val="Normal"/>
    <w:link w:val="Heading7Char"/>
    <w:qFormat/>
    <w:rsid w:val="00315A4F"/>
    <w:pPr>
      <w:pageBreakBefore/>
      <w:tabs>
        <w:tab w:val="left" w:pos="1814"/>
      </w:tabs>
      <w:spacing w:before="240" w:after="240" w:line="240" w:lineRule="auto"/>
      <w:ind w:left="851" w:hanging="851"/>
      <w:outlineLvl w:val="6"/>
    </w:pPr>
    <w:rPr>
      <w:rFonts w:eastAsia="MS Mincho"/>
      <w:b/>
      <w:color w:val="F36D00"/>
      <w:szCs w:val="28"/>
      <w:lang w:eastAsia="en-US"/>
    </w:rPr>
  </w:style>
  <w:style w:type="paragraph" w:styleId="Heading8">
    <w:name w:val="heading 8"/>
    <w:basedOn w:val="Normal"/>
    <w:next w:val="BodyText"/>
    <w:link w:val="Heading8Char"/>
    <w:qFormat/>
    <w:rsid w:val="00315A4F"/>
    <w:pPr>
      <w:keepNext/>
      <w:tabs>
        <w:tab w:val="num" w:pos="1703"/>
      </w:tabs>
      <w:spacing w:before="240" w:after="240" w:line="240" w:lineRule="auto"/>
      <w:ind w:left="851" w:hanging="851"/>
      <w:outlineLvl w:val="7"/>
    </w:pPr>
    <w:rPr>
      <w:rFonts w:eastAsia="MS Mincho"/>
      <w:iCs/>
      <w:color w:val="F36D00"/>
      <w:szCs w:val="28"/>
      <w:lang w:eastAsia="en-US"/>
    </w:rPr>
  </w:style>
  <w:style w:type="paragraph" w:styleId="Heading9">
    <w:name w:val="heading 9"/>
    <w:basedOn w:val="Normal"/>
    <w:next w:val="BodyText"/>
    <w:link w:val="Heading9Char"/>
    <w:qFormat/>
    <w:rsid w:val="00315A4F"/>
    <w:pPr>
      <w:keepNext/>
      <w:tabs>
        <w:tab w:val="num" w:pos="851"/>
      </w:tabs>
      <w:spacing w:before="120" w:after="120" w:line="240" w:lineRule="auto"/>
      <w:ind w:left="851" w:hanging="851"/>
      <w:outlineLvl w:val="8"/>
    </w:pPr>
    <w:rPr>
      <w:rFonts w:eastAsia="MS Mincho" w:cs="Arial"/>
      <w:color w:val="F36D00"/>
      <w:sz w:val="1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1">
    <w:name w:val="Bullet 1"/>
    <w:basedOn w:val="Normal"/>
    <w:qFormat/>
    <w:rsid w:val="00AD42D4"/>
    <w:pPr>
      <w:numPr>
        <w:numId w:val="3"/>
      </w:numPr>
    </w:pPr>
  </w:style>
  <w:style w:type="paragraph" w:customStyle="1" w:styleId="Bullet2">
    <w:name w:val="Bullet 2"/>
    <w:basedOn w:val="Bullet1"/>
    <w:qFormat/>
    <w:rsid w:val="00FF6B78"/>
    <w:pPr>
      <w:numPr>
        <w:ilvl w:val="1"/>
        <w:numId w:val="2"/>
      </w:numPr>
      <w:tabs>
        <w:tab w:val="clear" w:pos="1440"/>
        <w:tab w:val="num" w:pos="1800"/>
      </w:tabs>
      <w:ind w:left="1800"/>
    </w:pPr>
  </w:style>
  <w:style w:type="paragraph" w:customStyle="1" w:styleId="Bullet3">
    <w:name w:val="Bullet 3"/>
    <w:basedOn w:val="Bullet2"/>
    <w:rsid w:val="00FF6B78"/>
    <w:pPr>
      <w:numPr>
        <w:ilvl w:val="0"/>
      </w:numPr>
    </w:pPr>
  </w:style>
  <w:style w:type="paragraph" w:customStyle="1" w:styleId="HeadingTOC">
    <w:name w:val="Heading TOC"/>
    <w:basedOn w:val="Normal"/>
    <w:rsid w:val="00542349"/>
    <w:pPr>
      <w:spacing w:before="240" w:after="60" w:line="380" w:lineRule="atLeast"/>
    </w:pPr>
    <w:rPr>
      <w:color w:val="22058A"/>
      <w:sz w:val="32"/>
    </w:rPr>
  </w:style>
  <w:style w:type="paragraph" w:styleId="TOC1">
    <w:name w:val="toc 1"/>
    <w:aliases w:val="TOC 11"/>
    <w:basedOn w:val="Normal"/>
    <w:next w:val="Normal"/>
    <w:autoRedefine/>
    <w:uiPriority w:val="39"/>
    <w:qFormat/>
    <w:rsid w:val="002B271E"/>
    <w:pPr>
      <w:tabs>
        <w:tab w:val="left" w:pos="1620"/>
        <w:tab w:val="right" w:leader="dot" w:pos="8296"/>
      </w:tabs>
      <w:ind w:left="1620" w:hanging="900"/>
    </w:pPr>
    <w:rPr>
      <w:b/>
      <w:noProof/>
    </w:rPr>
  </w:style>
  <w:style w:type="paragraph" w:styleId="TOC2">
    <w:name w:val="toc 2"/>
    <w:basedOn w:val="Normal"/>
    <w:next w:val="Normal"/>
    <w:autoRedefine/>
    <w:uiPriority w:val="39"/>
    <w:qFormat/>
    <w:rsid w:val="00702AF2"/>
    <w:pPr>
      <w:tabs>
        <w:tab w:val="left" w:pos="1620"/>
        <w:tab w:val="right" w:leader="dot" w:pos="8296"/>
      </w:tabs>
      <w:ind w:left="1620" w:hanging="900"/>
    </w:pPr>
    <w:rPr>
      <w:noProof/>
    </w:rPr>
  </w:style>
  <w:style w:type="paragraph" w:styleId="TOC3">
    <w:name w:val="toc 3"/>
    <w:aliases w:val="TOC 31"/>
    <w:basedOn w:val="Normal"/>
    <w:next w:val="Normal"/>
    <w:autoRedefine/>
    <w:uiPriority w:val="39"/>
    <w:qFormat/>
    <w:rsid w:val="005F1BD9"/>
    <w:pPr>
      <w:tabs>
        <w:tab w:val="left" w:pos="1134"/>
        <w:tab w:val="right" w:leader="dot" w:pos="8296"/>
      </w:tabs>
      <w:ind w:left="1134" w:hanging="1134"/>
    </w:pPr>
    <w:rPr>
      <w:noProof/>
    </w:rPr>
  </w:style>
  <w:style w:type="character" w:styleId="Hyperlink">
    <w:name w:val="Hyperlink"/>
    <w:uiPriority w:val="99"/>
    <w:rsid w:val="00702AF2"/>
    <w:rPr>
      <w:rFonts w:ascii="Arial" w:hAnsi="Arial"/>
      <w:color w:val="0000FF"/>
      <w:sz w:val="20"/>
      <w:u w:val="single"/>
    </w:rPr>
  </w:style>
  <w:style w:type="table" w:styleId="TableGrid">
    <w:name w:val="Table Grid"/>
    <w:aliases w:val="Aventus Doc Control table"/>
    <w:basedOn w:val="TableNormal"/>
    <w:uiPriority w:val="59"/>
    <w:rsid w:val="00A971F6"/>
    <w:pPr>
      <w:spacing w:line="260" w:lineRule="atLeast"/>
      <w:ind w:left="720"/>
    </w:pPr>
    <w:rPr>
      <w:rFonts w:ascii="Arial" w:hAnsi="Arial"/>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shd w:val="clear" w:color="auto" w:fill="auto"/>
    </w:tcPr>
  </w:style>
  <w:style w:type="paragraph" w:customStyle="1" w:styleId="TableHeader">
    <w:name w:val="Table Header"/>
    <w:basedOn w:val="TableText"/>
    <w:link w:val="TableHeaderChar"/>
    <w:qFormat/>
    <w:rsid w:val="00677A5F"/>
    <w:rPr>
      <w:b/>
    </w:rPr>
  </w:style>
  <w:style w:type="paragraph" w:customStyle="1" w:styleId="TableText">
    <w:name w:val="Table Text"/>
    <w:basedOn w:val="Normal"/>
    <w:link w:val="TableTextChar"/>
    <w:qFormat/>
    <w:rsid w:val="00677A5F"/>
    <w:pPr>
      <w:spacing w:before="80" w:after="40"/>
      <w:ind w:left="0"/>
    </w:pPr>
  </w:style>
  <w:style w:type="paragraph" w:styleId="Header">
    <w:name w:val="header"/>
    <w:aliases w:val="Header Doc Type"/>
    <w:basedOn w:val="Normal"/>
    <w:link w:val="HeaderChar"/>
    <w:uiPriority w:val="99"/>
    <w:rsid w:val="00272168"/>
    <w:pPr>
      <w:tabs>
        <w:tab w:val="center" w:pos="4153"/>
        <w:tab w:val="right" w:pos="8306"/>
      </w:tabs>
      <w:ind w:left="0"/>
    </w:pPr>
  </w:style>
  <w:style w:type="paragraph" w:styleId="Footer">
    <w:name w:val="footer"/>
    <w:aliases w:val="Portrait,CompName&amp;file,Footer1"/>
    <w:basedOn w:val="Normal"/>
    <w:link w:val="FooterChar"/>
    <w:uiPriority w:val="19"/>
    <w:rsid w:val="00272168"/>
    <w:pPr>
      <w:tabs>
        <w:tab w:val="center" w:pos="4153"/>
        <w:tab w:val="right" w:pos="8306"/>
      </w:tabs>
      <w:ind w:left="0"/>
    </w:pPr>
  </w:style>
  <w:style w:type="paragraph" w:customStyle="1" w:styleId="BasicParagraph">
    <w:name w:val="[Basic Paragraph]"/>
    <w:basedOn w:val="Normal"/>
    <w:rsid w:val="00915792"/>
    <w:pPr>
      <w:widowControl w:val="0"/>
      <w:autoSpaceDE w:val="0"/>
      <w:autoSpaceDN w:val="0"/>
      <w:adjustRightInd w:val="0"/>
      <w:spacing w:line="288" w:lineRule="auto"/>
      <w:ind w:left="0"/>
      <w:textAlignment w:val="center"/>
    </w:pPr>
    <w:rPr>
      <w:rFonts w:ascii="Times-Roman" w:eastAsia="Cambria" w:hAnsi="Times-Roman" w:cs="Times-Roman"/>
      <w:color w:val="000000"/>
      <w:lang w:val="en-US" w:eastAsia="en-US"/>
    </w:rPr>
  </w:style>
  <w:style w:type="character" w:styleId="PageNumber">
    <w:name w:val="page number"/>
    <w:basedOn w:val="DefaultParagraphFont"/>
    <w:uiPriority w:val="99"/>
    <w:rsid w:val="00FD3670"/>
  </w:style>
  <w:style w:type="paragraph" w:customStyle="1" w:styleId="Subtitlecover">
    <w:name w:val="Sub title cover"/>
    <w:basedOn w:val="Header"/>
    <w:autoRedefine/>
    <w:qFormat/>
    <w:rsid w:val="00542349"/>
    <w:pPr>
      <w:spacing w:line="240" w:lineRule="auto"/>
      <w:jc w:val="right"/>
    </w:pPr>
    <w:rPr>
      <w:noProof/>
      <w:color w:val="FFFFFF"/>
      <w:sz w:val="36"/>
      <w:lang w:val="en-US" w:eastAsia="en-US"/>
    </w:rPr>
  </w:style>
  <w:style w:type="paragraph" w:customStyle="1" w:styleId="Title1">
    <w:name w:val="Title1"/>
    <w:basedOn w:val="BasicParagraph"/>
    <w:qFormat/>
    <w:rsid w:val="00542349"/>
    <w:pPr>
      <w:spacing w:line="24" w:lineRule="atLeast"/>
      <w:jc w:val="right"/>
    </w:pPr>
    <w:rPr>
      <w:rFonts w:ascii="Arial" w:hAnsi="Arial"/>
      <w:color w:val="FFFFFF"/>
      <w:sz w:val="56"/>
    </w:rPr>
  </w:style>
  <w:style w:type="paragraph" w:customStyle="1" w:styleId="Subtitleinternal">
    <w:name w:val="Sub title internal"/>
    <w:basedOn w:val="Subtitlecover"/>
    <w:qFormat/>
    <w:rsid w:val="00542349"/>
    <w:pPr>
      <w:jc w:val="left"/>
    </w:pPr>
    <w:rPr>
      <w:sz w:val="32"/>
    </w:rPr>
  </w:style>
  <w:style w:type="paragraph" w:customStyle="1" w:styleId="introtext">
    <w:name w:val="# intro text"/>
    <w:basedOn w:val="Normal"/>
    <w:next w:val="bodycopy"/>
    <w:qFormat/>
    <w:rsid w:val="00542349"/>
    <w:pPr>
      <w:spacing w:before="240" w:after="240" w:line="240" w:lineRule="auto"/>
      <w:ind w:left="0"/>
    </w:pPr>
    <w:rPr>
      <w:rFonts w:ascii="Tahoma" w:hAnsi="Tahoma" w:cs="Arial"/>
      <w:b/>
      <w:color w:val="797166"/>
      <w:szCs w:val="20"/>
    </w:rPr>
  </w:style>
  <w:style w:type="paragraph" w:customStyle="1" w:styleId="bodycopy">
    <w:name w:val="# body copy"/>
    <w:basedOn w:val="Normal"/>
    <w:qFormat/>
    <w:rsid w:val="00542349"/>
    <w:pPr>
      <w:spacing w:after="120" w:line="240" w:lineRule="auto"/>
      <w:ind w:left="0"/>
    </w:pPr>
    <w:rPr>
      <w:rFonts w:ascii="Tahoma" w:hAnsi="Tahoma" w:cs="Arial"/>
      <w:szCs w:val="20"/>
    </w:rPr>
  </w:style>
  <w:style w:type="paragraph" w:customStyle="1" w:styleId="dotpoints">
    <w:name w:val="# dot points"/>
    <w:basedOn w:val="Normal"/>
    <w:link w:val="dotpointsChar"/>
    <w:qFormat/>
    <w:rsid w:val="00542349"/>
    <w:pPr>
      <w:keepLines/>
      <w:numPr>
        <w:numId w:val="11"/>
      </w:numPr>
      <w:spacing w:before="180" w:after="180" w:line="300" w:lineRule="auto"/>
      <w:contextualSpacing/>
    </w:pPr>
    <w:rPr>
      <w:rFonts w:ascii="Tahoma" w:hAnsi="Tahoma" w:cs="Arial"/>
      <w:color w:val="000000"/>
      <w:szCs w:val="20"/>
    </w:rPr>
  </w:style>
  <w:style w:type="character" w:customStyle="1" w:styleId="dotpointsChar">
    <w:name w:val="# dot points Char"/>
    <w:link w:val="dotpoints"/>
    <w:rsid w:val="00542349"/>
    <w:rPr>
      <w:rFonts w:ascii="Tahoma" w:hAnsi="Tahoma" w:cs="Arial"/>
      <w:color w:val="000000"/>
      <w:szCs w:val="20"/>
    </w:rPr>
  </w:style>
  <w:style w:type="paragraph" w:customStyle="1" w:styleId="heading">
    <w:name w:val="# heading"/>
    <w:basedOn w:val="Normal"/>
    <w:next w:val="introtext"/>
    <w:qFormat/>
    <w:rsid w:val="00542349"/>
    <w:pPr>
      <w:keepNext/>
      <w:spacing w:before="480" w:after="120" w:line="240" w:lineRule="auto"/>
      <w:ind w:left="0"/>
    </w:pPr>
    <w:rPr>
      <w:rFonts w:ascii="Tahoma" w:hAnsi="Tahoma" w:cs="Arial"/>
      <w:color w:val="22058A"/>
      <w:sz w:val="30"/>
      <w:szCs w:val="20"/>
    </w:rPr>
  </w:style>
  <w:style w:type="paragraph" w:customStyle="1" w:styleId="authorisedby">
    <w:name w:val="# authorised by"/>
    <w:basedOn w:val="Normal"/>
    <w:qFormat/>
    <w:rsid w:val="00542349"/>
    <w:pPr>
      <w:spacing w:before="120" w:after="120" w:line="240" w:lineRule="auto"/>
      <w:ind w:left="0"/>
    </w:pPr>
    <w:rPr>
      <w:rFonts w:ascii="Tahoma" w:eastAsia="Calibri" w:hAnsi="Tahoma"/>
      <w:szCs w:val="20"/>
      <w:lang w:eastAsia="en-US"/>
    </w:rPr>
  </w:style>
  <w:style w:type="paragraph" w:customStyle="1" w:styleId="headingtop">
    <w:name w:val="# heading top"/>
    <w:basedOn w:val="heading"/>
    <w:qFormat/>
    <w:rsid w:val="00542349"/>
    <w:pPr>
      <w:spacing w:before="0"/>
    </w:pPr>
  </w:style>
  <w:style w:type="paragraph" w:styleId="BalloonText">
    <w:name w:val="Balloon Text"/>
    <w:basedOn w:val="Normal"/>
    <w:link w:val="BalloonTextChar"/>
    <w:uiPriority w:val="99"/>
    <w:rsid w:val="00514E66"/>
    <w:pPr>
      <w:spacing w:line="240" w:lineRule="auto"/>
    </w:pPr>
    <w:rPr>
      <w:rFonts w:ascii="Lucida Grande" w:hAnsi="Lucida Grande" w:cs="Lucida Grande"/>
      <w:sz w:val="18"/>
      <w:szCs w:val="18"/>
    </w:rPr>
  </w:style>
  <w:style w:type="character" w:customStyle="1" w:styleId="BalloonTextChar">
    <w:name w:val="Balloon Text Char"/>
    <w:link w:val="BalloonText"/>
    <w:uiPriority w:val="99"/>
    <w:rsid w:val="00514E66"/>
    <w:rPr>
      <w:rFonts w:ascii="Lucida Grande" w:hAnsi="Lucida Grande" w:cs="Lucida Grande"/>
      <w:sz w:val="18"/>
      <w:szCs w:val="18"/>
      <w:lang w:eastAsia="en-AU"/>
    </w:rPr>
  </w:style>
  <w:style w:type="character" w:customStyle="1" w:styleId="BookTitle1">
    <w:name w:val="Book Title1"/>
    <w:uiPriority w:val="99"/>
    <w:qFormat/>
    <w:rsid w:val="006A72D9"/>
    <w:rPr>
      <w:b/>
      <w:bCs/>
      <w:smallCaps/>
      <w:spacing w:val="5"/>
    </w:rPr>
  </w:style>
  <w:style w:type="paragraph" w:styleId="Title">
    <w:name w:val="Title"/>
    <w:basedOn w:val="Normal"/>
    <w:next w:val="Normal"/>
    <w:link w:val="TitleChar"/>
    <w:uiPriority w:val="99"/>
    <w:qFormat/>
    <w:rsid w:val="006A72D9"/>
    <w:pPr>
      <w:pBdr>
        <w:bottom w:val="single" w:sz="8" w:space="4" w:color="4F81BD"/>
      </w:pBdr>
      <w:spacing w:after="300" w:line="240" w:lineRule="auto"/>
      <w:contextualSpacing/>
    </w:pPr>
    <w:rPr>
      <w:rFonts w:ascii="Calibri" w:eastAsia="MS Gothic" w:hAnsi="Calibri"/>
      <w:color w:val="17365D"/>
      <w:spacing w:val="5"/>
      <w:kern w:val="28"/>
      <w:sz w:val="52"/>
      <w:szCs w:val="52"/>
    </w:rPr>
  </w:style>
  <w:style w:type="character" w:customStyle="1" w:styleId="TitleChar">
    <w:name w:val="Title Char"/>
    <w:link w:val="Title"/>
    <w:uiPriority w:val="99"/>
    <w:rsid w:val="006A72D9"/>
    <w:rPr>
      <w:rFonts w:ascii="Calibri" w:eastAsia="MS Gothic" w:hAnsi="Calibri" w:cs="Times New Roman"/>
      <w:color w:val="17365D"/>
      <w:spacing w:val="5"/>
      <w:kern w:val="28"/>
      <w:sz w:val="52"/>
      <w:szCs w:val="52"/>
      <w:lang w:eastAsia="en-AU"/>
    </w:rPr>
  </w:style>
  <w:style w:type="paragraph" w:styleId="BodyText">
    <w:name w:val="Body Text"/>
    <w:basedOn w:val="Normal"/>
    <w:link w:val="BodyTextChar"/>
    <w:qFormat/>
    <w:rsid w:val="00801DA1"/>
    <w:pPr>
      <w:spacing w:after="120"/>
    </w:pPr>
  </w:style>
  <w:style w:type="character" w:customStyle="1" w:styleId="BodyTextChar">
    <w:name w:val="Body Text Char"/>
    <w:link w:val="BodyText"/>
    <w:rsid w:val="00801DA1"/>
    <w:rPr>
      <w:rFonts w:ascii="Arial" w:hAnsi="Arial"/>
      <w:szCs w:val="24"/>
      <w:lang w:eastAsia="en-AU"/>
    </w:rPr>
  </w:style>
  <w:style w:type="character" w:customStyle="1" w:styleId="MediumGrid11">
    <w:name w:val="Medium Grid 11"/>
    <w:uiPriority w:val="99"/>
    <w:semiHidden/>
    <w:rsid w:val="00AC2E90"/>
    <w:rPr>
      <w:color w:val="808080"/>
    </w:rPr>
  </w:style>
  <w:style w:type="character" w:customStyle="1" w:styleId="FooterChar">
    <w:name w:val="Footer Char"/>
    <w:aliases w:val="Portrait Char,CompName&amp;file Char,Footer1 Char"/>
    <w:link w:val="Footer"/>
    <w:uiPriority w:val="19"/>
    <w:rsid w:val="00955409"/>
    <w:rPr>
      <w:rFonts w:ascii="Arial" w:hAnsi="Arial"/>
      <w:szCs w:val="24"/>
      <w:lang w:eastAsia="en-AU"/>
    </w:rPr>
  </w:style>
  <w:style w:type="paragraph" w:styleId="ListBullet2">
    <w:name w:val="List Bullet 2"/>
    <w:basedOn w:val="Normal"/>
    <w:uiPriority w:val="99"/>
    <w:rsid w:val="00635E51"/>
    <w:pPr>
      <w:numPr>
        <w:numId w:val="5"/>
      </w:numPr>
      <w:contextualSpacing/>
    </w:pPr>
  </w:style>
  <w:style w:type="paragraph" w:styleId="ListBullet">
    <w:name w:val="List Bullet"/>
    <w:basedOn w:val="Normal"/>
    <w:link w:val="ListBulletChar"/>
    <w:uiPriority w:val="99"/>
    <w:rsid w:val="00635E51"/>
    <w:pPr>
      <w:numPr>
        <w:numId w:val="4"/>
      </w:numPr>
      <w:contextualSpacing/>
    </w:pPr>
  </w:style>
  <w:style w:type="paragraph" w:styleId="ListNumber">
    <w:name w:val="List Number"/>
    <w:basedOn w:val="Normal"/>
    <w:qFormat/>
    <w:rsid w:val="00635E51"/>
    <w:pPr>
      <w:numPr>
        <w:numId w:val="6"/>
      </w:numPr>
      <w:contextualSpacing/>
    </w:pPr>
  </w:style>
  <w:style w:type="paragraph" w:styleId="ListNumber2">
    <w:name w:val="List Number 2"/>
    <w:basedOn w:val="Normal"/>
    <w:rsid w:val="00635E51"/>
    <w:pPr>
      <w:numPr>
        <w:numId w:val="7"/>
      </w:numPr>
      <w:contextualSpacing/>
    </w:pPr>
  </w:style>
  <w:style w:type="paragraph" w:styleId="ListNumber3">
    <w:name w:val="List Number 3"/>
    <w:basedOn w:val="Normal"/>
    <w:rsid w:val="00635E51"/>
    <w:pPr>
      <w:numPr>
        <w:numId w:val="8"/>
      </w:numPr>
      <w:contextualSpacing/>
    </w:pPr>
  </w:style>
  <w:style w:type="paragraph" w:styleId="ListNumber4">
    <w:name w:val="List Number 4"/>
    <w:basedOn w:val="Normal"/>
    <w:uiPriority w:val="99"/>
    <w:rsid w:val="00635E51"/>
    <w:pPr>
      <w:numPr>
        <w:numId w:val="9"/>
      </w:numPr>
      <w:contextualSpacing/>
    </w:pPr>
  </w:style>
  <w:style w:type="paragraph" w:styleId="ListNumber5">
    <w:name w:val="List Number 5"/>
    <w:basedOn w:val="Normal"/>
    <w:uiPriority w:val="99"/>
    <w:rsid w:val="00635E51"/>
    <w:pPr>
      <w:numPr>
        <w:numId w:val="10"/>
      </w:numPr>
      <w:contextualSpacing/>
    </w:pPr>
  </w:style>
  <w:style w:type="paragraph" w:customStyle="1" w:styleId="ColorfulList-Accent11">
    <w:name w:val="Colorful List - Accent 11"/>
    <w:basedOn w:val="Normal"/>
    <w:link w:val="ColorfulList-Accent1Char"/>
    <w:uiPriority w:val="34"/>
    <w:qFormat/>
    <w:rsid w:val="00D231BD"/>
    <w:pPr>
      <w:contextualSpacing/>
    </w:pPr>
  </w:style>
  <w:style w:type="character" w:styleId="Emphasis">
    <w:name w:val="Emphasis"/>
    <w:uiPriority w:val="20"/>
    <w:qFormat/>
    <w:rsid w:val="00D231BD"/>
    <w:rPr>
      <w:i/>
      <w:iCs/>
    </w:rPr>
  </w:style>
  <w:style w:type="paragraph" w:styleId="Caption">
    <w:name w:val="caption"/>
    <w:aliases w:val="E TableFigure Heading,Caption Char1 Char,Caption Char1,อักขระ,Caption1 Char,Caption Char Char Char Char1 Char,Caption Char Char Char Char Char Char Char Char Char1 Char,Caption1 Char Char,Caption Char Char Char Char1 Char Char Char,Figures"/>
    <w:basedOn w:val="Normal"/>
    <w:next w:val="BodyText"/>
    <w:link w:val="CaptionChar"/>
    <w:uiPriority w:val="15"/>
    <w:qFormat/>
    <w:rsid w:val="00E35B2F"/>
    <w:pPr>
      <w:keepNext/>
      <w:spacing w:after="200" w:line="240" w:lineRule="auto"/>
      <w:ind w:left="0"/>
      <w:jc w:val="both"/>
    </w:pPr>
    <w:rPr>
      <w:rFonts w:ascii="Trebuchet MS" w:eastAsia="Cambria" w:hAnsi="Trebuchet MS"/>
      <w:b/>
      <w:bCs/>
      <w:color w:val="A71932"/>
      <w:szCs w:val="18"/>
      <w:lang w:eastAsia="en-US"/>
    </w:rPr>
  </w:style>
  <w:style w:type="character" w:customStyle="1" w:styleId="CaptionChar">
    <w:name w:val="Caption Char"/>
    <w:aliases w:val="E TableFigure Heading Char,Caption Char1 Char Char,Caption Char1 Char1,อักขระ Char,Caption1 Char Char1,Caption Char Char Char Char1 Char Char,Caption Char Char Char Char Char Char Char Char Char1 Char Char,Caption1 Char Char Char"/>
    <w:link w:val="Caption"/>
    <w:uiPriority w:val="15"/>
    <w:locked/>
    <w:rsid w:val="00E35B2F"/>
    <w:rPr>
      <w:rFonts w:ascii="Trebuchet MS" w:eastAsia="Cambria" w:hAnsi="Trebuchet MS" w:cs="Times New Roman"/>
      <w:b/>
      <w:bCs/>
      <w:color w:val="A71932"/>
      <w:szCs w:val="18"/>
    </w:rPr>
  </w:style>
  <w:style w:type="paragraph" w:customStyle="1" w:styleId="TableText0">
    <w:name w:val="TableText"/>
    <w:basedOn w:val="Normal"/>
    <w:link w:val="TableTextChar0"/>
    <w:rsid w:val="00E35B2F"/>
    <w:pPr>
      <w:spacing w:before="60" w:after="60" w:line="240" w:lineRule="atLeast"/>
      <w:ind w:left="0" w:right="144"/>
    </w:pPr>
    <w:rPr>
      <w:rFonts w:ascii="Verdana" w:hAnsi="Verdana"/>
      <w:szCs w:val="20"/>
      <w:lang w:eastAsia="en-US"/>
    </w:rPr>
  </w:style>
  <w:style w:type="character" w:customStyle="1" w:styleId="Heading2Char">
    <w:name w:val="Heading 2 Char"/>
    <w:aliases w:val="ACPL Heading 2 Char,Aventus Heading 2 Char,Heading 21 Char Char,Heading 21 Char1,D&amp;M2 Char,D&amp;M 2 Char,D&amp;M21 Char,D&amp;M 21 Char,D&amp;M22 Char,D&amp;M 22 Char,D&amp;M211 Char,D&amp;M 211 Char,D&amp;M23 Char,D&amp;M 23 Char,D&amp;M212 Char,D&amp;M 212 Char,D&amp;M221 Char"/>
    <w:link w:val="Heading2"/>
    <w:uiPriority w:val="9"/>
    <w:locked/>
    <w:rsid w:val="00F92BED"/>
    <w:rPr>
      <w:rFonts w:ascii="Arial" w:hAnsi="Arial" w:cs="Arial"/>
      <w:bCs/>
      <w:iCs/>
      <w:color w:val="45508A"/>
      <w:sz w:val="28"/>
      <w:szCs w:val="28"/>
    </w:rPr>
  </w:style>
  <w:style w:type="character" w:customStyle="1" w:styleId="TableTextChar">
    <w:name w:val="Table Text Char"/>
    <w:link w:val="TableText"/>
    <w:locked/>
    <w:rsid w:val="00F92BED"/>
    <w:rPr>
      <w:rFonts w:ascii="Arial" w:hAnsi="Arial"/>
      <w:szCs w:val="24"/>
      <w:lang w:eastAsia="en-AU"/>
    </w:rPr>
  </w:style>
  <w:style w:type="character" w:customStyle="1" w:styleId="TableHeaderChar">
    <w:name w:val="Table Header Char"/>
    <w:link w:val="TableHeader"/>
    <w:locked/>
    <w:rsid w:val="00F92BED"/>
    <w:rPr>
      <w:rFonts w:ascii="Arial" w:hAnsi="Arial"/>
      <w:b/>
      <w:szCs w:val="24"/>
      <w:lang w:eastAsia="en-AU"/>
    </w:rPr>
  </w:style>
  <w:style w:type="paragraph" w:customStyle="1" w:styleId="CaptionTables">
    <w:name w:val="Caption Tables"/>
    <w:basedOn w:val="Caption"/>
    <w:qFormat/>
    <w:rsid w:val="00885EE5"/>
    <w:pPr>
      <w:spacing w:after="120"/>
      <w:ind w:left="851"/>
      <w:jc w:val="left"/>
    </w:pPr>
    <w:rPr>
      <w:rFonts w:ascii="Arial" w:eastAsia="MS Mincho" w:hAnsi="Arial"/>
      <w:color w:val="191919"/>
      <w:sz w:val="18"/>
      <w:szCs w:val="20"/>
    </w:rPr>
  </w:style>
  <w:style w:type="paragraph" w:customStyle="1" w:styleId="BodyText1">
    <w:name w:val="Body Text1"/>
    <w:basedOn w:val="Normal"/>
    <w:link w:val="bodytextChar0"/>
    <w:qFormat/>
    <w:rsid w:val="008239D2"/>
    <w:pPr>
      <w:tabs>
        <w:tab w:val="left" w:pos="851"/>
        <w:tab w:val="left" w:pos="1701"/>
        <w:tab w:val="left" w:pos="2835"/>
        <w:tab w:val="left" w:pos="4253"/>
      </w:tabs>
      <w:spacing w:before="120" w:after="120" w:line="240" w:lineRule="atLeast"/>
      <w:ind w:left="1134"/>
    </w:pPr>
    <w:rPr>
      <w:rFonts w:ascii="Verdana" w:hAnsi="Verdana"/>
      <w:color w:val="1B242A"/>
      <w:szCs w:val="20"/>
    </w:rPr>
  </w:style>
  <w:style w:type="character" w:customStyle="1" w:styleId="bodytextChar0">
    <w:name w:val="body text Char"/>
    <w:link w:val="BodyText1"/>
    <w:locked/>
    <w:rsid w:val="008239D2"/>
    <w:rPr>
      <w:rFonts w:ascii="Verdana" w:hAnsi="Verdana"/>
      <w:color w:val="1B242A"/>
      <w:lang w:eastAsia="en-AU"/>
    </w:rPr>
  </w:style>
  <w:style w:type="paragraph" w:styleId="TOC4">
    <w:name w:val="toc 4"/>
    <w:basedOn w:val="Normal"/>
    <w:next w:val="Normal"/>
    <w:autoRedefine/>
    <w:uiPriority w:val="39"/>
    <w:unhideWhenUsed/>
    <w:rsid w:val="00985789"/>
    <w:pPr>
      <w:spacing w:after="100" w:line="276" w:lineRule="auto"/>
      <w:ind w:left="660"/>
    </w:pPr>
    <w:rPr>
      <w:rFonts w:ascii="Cambria" w:eastAsia="MS Mincho" w:hAnsi="Cambria"/>
      <w:sz w:val="22"/>
      <w:szCs w:val="22"/>
    </w:rPr>
  </w:style>
  <w:style w:type="paragraph" w:styleId="TOC5">
    <w:name w:val="toc 5"/>
    <w:basedOn w:val="Normal"/>
    <w:next w:val="Normal"/>
    <w:autoRedefine/>
    <w:uiPriority w:val="39"/>
    <w:unhideWhenUsed/>
    <w:rsid w:val="00985789"/>
    <w:pPr>
      <w:spacing w:after="100" w:line="276" w:lineRule="auto"/>
      <w:ind w:left="880"/>
    </w:pPr>
    <w:rPr>
      <w:rFonts w:ascii="Cambria" w:eastAsia="MS Mincho" w:hAnsi="Cambria"/>
      <w:sz w:val="22"/>
      <w:szCs w:val="22"/>
    </w:rPr>
  </w:style>
  <w:style w:type="paragraph" w:styleId="TOC6">
    <w:name w:val="toc 6"/>
    <w:basedOn w:val="Normal"/>
    <w:next w:val="Normal"/>
    <w:autoRedefine/>
    <w:uiPriority w:val="39"/>
    <w:unhideWhenUsed/>
    <w:rsid w:val="00985789"/>
    <w:pPr>
      <w:spacing w:after="100" w:line="276" w:lineRule="auto"/>
      <w:ind w:left="1100"/>
    </w:pPr>
    <w:rPr>
      <w:rFonts w:ascii="Cambria" w:eastAsia="MS Mincho" w:hAnsi="Cambria"/>
      <w:sz w:val="22"/>
      <w:szCs w:val="22"/>
    </w:rPr>
  </w:style>
  <w:style w:type="paragraph" w:styleId="TOC7">
    <w:name w:val="toc 7"/>
    <w:basedOn w:val="Normal"/>
    <w:next w:val="Normal"/>
    <w:autoRedefine/>
    <w:uiPriority w:val="39"/>
    <w:unhideWhenUsed/>
    <w:rsid w:val="00985789"/>
    <w:pPr>
      <w:spacing w:after="100" w:line="276" w:lineRule="auto"/>
      <w:ind w:left="1320"/>
    </w:pPr>
    <w:rPr>
      <w:rFonts w:ascii="Cambria" w:eastAsia="MS Mincho" w:hAnsi="Cambria"/>
      <w:sz w:val="22"/>
      <w:szCs w:val="22"/>
    </w:rPr>
  </w:style>
  <w:style w:type="paragraph" w:styleId="TOC8">
    <w:name w:val="toc 8"/>
    <w:basedOn w:val="Normal"/>
    <w:next w:val="Normal"/>
    <w:autoRedefine/>
    <w:uiPriority w:val="39"/>
    <w:unhideWhenUsed/>
    <w:rsid w:val="00985789"/>
    <w:pPr>
      <w:spacing w:after="100" w:line="276" w:lineRule="auto"/>
      <w:ind w:left="1540"/>
    </w:pPr>
    <w:rPr>
      <w:rFonts w:ascii="Cambria" w:eastAsia="MS Mincho" w:hAnsi="Cambria"/>
      <w:sz w:val="22"/>
      <w:szCs w:val="22"/>
    </w:rPr>
  </w:style>
  <w:style w:type="paragraph" w:styleId="TOC9">
    <w:name w:val="toc 9"/>
    <w:basedOn w:val="Normal"/>
    <w:next w:val="Normal"/>
    <w:autoRedefine/>
    <w:uiPriority w:val="39"/>
    <w:unhideWhenUsed/>
    <w:rsid w:val="00985789"/>
    <w:pPr>
      <w:spacing w:after="100" w:line="276" w:lineRule="auto"/>
      <w:ind w:left="1760"/>
    </w:pPr>
    <w:rPr>
      <w:rFonts w:ascii="Cambria" w:eastAsia="MS Mincho" w:hAnsi="Cambria"/>
      <w:sz w:val="22"/>
      <w:szCs w:val="22"/>
    </w:rPr>
  </w:style>
  <w:style w:type="character" w:customStyle="1" w:styleId="Heading4Char">
    <w:name w:val="Heading 4 Char"/>
    <w:aliases w:val="D&amp;M4 Char,D&amp;M 4 Char,D&amp;M41 Char,D&amp;M 41 Char,D&amp;M42 Char,D&amp;M 42 Char,D&amp;M411 Char,D&amp;M 411 Char,D&amp;M43 Char,D&amp;M 43 Char,D&amp;M412 Char,D&amp;M 412 Char,D&amp;M421 Char,D&amp;M 421 Char,D&amp;M4111 Char,D&amp;M 4111 Char,D&amp;M44 Char,D&amp;M 44 Char,D&amp;M45 Char,D&amp;M 45 Char"/>
    <w:link w:val="Heading4"/>
    <w:rsid w:val="00315A4F"/>
    <w:rPr>
      <w:rFonts w:ascii="Arial" w:eastAsia="MS Mincho" w:hAnsi="Arial"/>
      <w:bCs/>
      <w:color w:val="F36D00"/>
      <w:sz w:val="18"/>
      <w:szCs w:val="28"/>
    </w:rPr>
  </w:style>
  <w:style w:type="character" w:customStyle="1" w:styleId="Heading5Char">
    <w:name w:val="Heading 5 Char"/>
    <w:link w:val="Heading5"/>
    <w:uiPriority w:val="1"/>
    <w:rsid w:val="00315A4F"/>
    <w:rPr>
      <w:rFonts w:ascii="Arial" w:eastAsia="MS Mincho" w:hAnsi="Arial"/>
      <w:b/>
      <w:bCs/>
      <w:i/>
      <w:iCs/>
      <w:color w:val="191919"/>
      <w:sz w:val="26"/>
      <w:szCs w:val="26"/>
    </w:rPr>
  </w:style>
  <w:style w:type="character" w:customStyle="1" w:styleId="Heading6Char">
    <w:name w:val="Heading 6 Char"/>
    <w:link w:val="Heading6"/>
    <w:rsid w:val="00315A4F"/>
    <w:rPr>
      <w:rFonts w:ascii="Arial" w:eastAsia="MS Mincho" w:hAnsi="Arial"/>
      <w:b/>
      <w:bCs/>
      <w:color w:val="191919"/>
      <w:sz w:val="18"/>
      <w:szCs w:val="22"/>
    </w:rPr>
  </w:style>
  <w:style w:type="character" w:customStyle="1" w:styleId="Heading7Char">
    <w:name w:val="Heading 7 Char"/>
    <w:link w:val="Heading7"/>
    <w:uiPriority w:val="1"/>
    <w:rsid w:val="00315A4F"/>
    <w:rPr>
      <w:rFonts w:ascii="Arial" w:eastAsia="MS Mincho" w:hAnsi="Arial"/>
      <w:b/>
      <w:color w:val="F36D00"/>
      <w:sz w:val="24"/>
      <w:szCs w:val="28"/>
    </w:rPr>
  </w:style>
  <w:style w:type="character" w:customStyle="1" w:styleId="Heading8Char">
    <w:name w:val="Heading 8 Char"/>
    <w:link w:val="Heading8"/>
    <w:rsid w:val="00315A4F"/>
    <w:rPr>
      <w:rFonts w:ascii="Arial" w:eastAsia="MS Mincho" w:hAnsi="Arial"/>
      <w:iCs/>
      <w:color w:val="F36D00"/>
      <w:sz w:val="24"/>
      <w:szCs w:val="28"/>
    </w:rPr>
  </w:style>
  <w:style w:type="character" w:customStyle="1" w:styleId="Heading9Char">
    <w:name w:val="Heading 9 Char"/>
    <w:link w:val="Heading9"/>
    <w:rsid w:val="00315A4F"/>
    <w:rPr>
      <w:rFonts w:ascii="Arial" w:eastAsia="MS Mincho" w:hAnsi="Arial" w:cs="Arial"/>
      <w:color w:val="F36D00"/>
      <w:sz w:val="18"/>
      <w:szCs w:val="24"/>
    </w:rPr>
  </w:style>
  <w:style w:type="paragraph" w:customStyle="1" w:styleId="bullet">
    <w:name w:val="bullet"/>
    <w:aliases w:val="bu,b,Bullet,bullet1,bu Char Char Char,b Char,bullet Char,Body"/>
    <w:basedOn w:val="Normal"/>
    <w:qFormat/>
    <w:rsid w:val="00A5629D"/>
    <w:pPr>
      <w:numPr>
        <w:numId w:val="50"/>
      </w:numPr>
      <w:spacing w:after="120" w:line="240" w:lineRule="auto"/>
    </w:pPr>
    <w:rPr>
      <w:rFonts w:eastAsia="MS Mincho"/>
      <w:color w:val="191919"/>
      <w:sz w:val="18"/>
      <w:lang w:eastAsia="en-US"/>
    </w:rPr>
  </w:style>
  <w:style w:type="paragraph" w:styleId="FootnoteText">
    <w:name w:val="footnote text"/>
    <w:basedOn w:val="Normal"/>
    <w:link w:val="FootnoteTextChar"/>
    <w:uiPriority w:val="99"/>
    <w:rsid w:val="00046F69"/>
    <w:pPr>
      <w:spacing w:after="120" w:line="240" w:lineRule="auto"/>
      <w:ind w:left="0"/>
    </w:pPr>
    <w:rPr>
      <w:rFonts w:eastAsia="MS Mincho"/>
      <w:color w:val="191919"/>
      <w:sz w:val="18"/>
      <w:szCs w:val="20"/>
      <w:lang w:eastAsia="en-US"/>
    </w:rPr>
  </w:style>
  <w:style w:type="character" w:customStyle="1" w:styleId="FootnoteTextChar">
    <w:name w:val="Footnote Text Char"/>
    <w:link w:val="FootnoteText"/>
    <w:uiPriority w:val="99"/>
    <w:rsid w:val="00046F69"/>
    <w:rPr>
      <w:rFonts w:ascii="Arial" w:eastAsia="MS Mincho" w:hAnsi="Arial"/>
      <w:color w:val="191919"/>
      <w:sz w:val="18"/>
    </w:rPr>
  </w:style>
  <w:style w:type="character" w:styleId="FootnoteReference">
    <w:name w:val="footnote reference"/>
    <w:uiPriority w:val="99"/>
    <w:rsid w:val="00046F69"/>
    <w:rPr>
      <w:rFonts w:cs="Times New Roman"/>
      <w:vertAlign w:val="superscript"/>
    </w:rPr>
  </w:style>
  <w:style w:type="paragraph" w:customStyle="1" w:styleId="Maintitle2">
    <w:name w:val="Main title 2"/>
    <w:basedOn w:val="Normal"/>
    <w:rsid w:val="0051230E"/>
    <w:pPr>
      <w:spacing w:line="240" w:lineRule="auto"/>
      <w:ind w:left="0"/>
      <w:contextualSpacing/>
    </w:pPr>
    <w:rPr>
      <w:rFonts w:eastAsia="MS Mincho"/>
      <w:color w:val="F36D00"/>
      <w:sz w:val="44"/>
      <w:lang w:eastAsia="en-US"/>
    </w:rPr>
  </w:style>
  <w:style w:type="paragraph" w:customStyle="1" w:styleId="Tableheading">
    <w:name w:val="Table heading"/>
    <w:aliases w:val="tableheading,th"/>
    <w:basedOn w:val="Normal"/>
    <w:link w:val="tableheadingChar"/>
    <w:rsid w:val="00CB50FE"/>
    <w:pPr>
      <w:spacing w:before="60" w:after="60" w:line="240" w:lineRule="auto"/>
      <w:ind w:left="0"/>
    </w:pPr>
    <w:rPr>
      <w:b/>
      <w:color w:val="191919"/>
      <w:sz w:val="18"/>
      <w:lang w:eastAsia="en-US"/>
    </w:rPr>
  </w:style>
  <w:style w:type="paragraph" w:customStyle="1" w:styleId="Tabletext1">
    <w:name w:val="Table text"/>
    <w:basedOn w:val="Normal"/>
    <w:link w:val="tabletextChar1"/>
    <w:uiPriority w:val="17"/>
    <w:qFormat/>
    <w:rsid w:val="00CB50FE"/>
    <w:pPr>
      <w:spacing w:before="60" w:after="60" w:line="240" w:lineRule="auto"/>
      <w:ind w:left="0"/>
    </w:pPr>
    <w:rPr>
      <w:color w:val="191919"/>
      <w:sz w:val="18"/>
      <w:lang w:eastAsia="en-US"/>
    </w:rPr>
  </w:style>
  <w:style w:type="paragraph" w:customStyle="1" w:styleId="tablebullet">
    <w:name w:val="table bullet"/>
    <w:basedOn w:val="Tabletext1"/>
    <w:qFormat/>
    <w:rsid w:val="00CB50FE"/>
    <w:pPr>
      <w:numPr>
        <w:numId w:val="60"/>
      </w:numPr>
    </w:pPr>
  </w:style>
  <w:style w:type="character" w:customStyle="1" w:styleId="tabletextChar1">
    <w:name w:val="tabletext Char"/>
    <w:aliases w:val="tt Char Char,Table text Char,tt Char"/>
    <w:link w:val="Tabletext1"/>
    <w:uiPriority w:val="17"/>
    <w:rsid w:val="00CB50FE"/>
    <w:rPr>
      <w:rFonts w:ascii="Arial" w:hAnsi="Arial"/>
      <w:color w:val="191919"/>
      <w:sz w:val="18"/>
      <w:szCs w:val="24"/>
    </w:rPr>
  </w:style>
  <w:style w:type="character" w:customStyle="1" w:styleId="tableheadingChar">
    <w:name w:val="tableheading Char"/>
    <w:aliases w:val="th Char Char"/>
    <w:link w:val="Tableheading"/>
    <w:rsid w:val="00CB50FE"/>
    <w:rPr>
      <w:rFonts w:ascii="Arial" w:hAnsi="Arial"/>
      <w:b/>
      <w:color w:val="191919"/>
      <w:sz w:val="18"/>
      <w:szCs w:val="24"/>
    </w:rPr>
  </w:style>
  <w:style w:type="paragraph" w:customStyle="1" w:styleId="TableTextform">
    <w:name w:val="Table Text form"/>
    <w:basedOn w:val="Normal"/>
    <w:qFormat/>
    <w:rsid w:val="00CB50FE"/>
    <w:pPr>
      <w:spacing w:before="40" w:after="40" w:line="240" w:lineRule="auto"/>
      <w:ind w:left="0"/>
    </w:pPr>
    <w:rPr>
      <w:color w:val="191919"/>
      <w:sz w:val="16"/>
      <w:lang w:eastAsia="en-US"/>
    </w:rPr>
  </w:style>
  <w:style w:type="paragraph" w:customStyle="1" w:styleId="Tableheading-small">
    <w:name w:val="Table heading-small"/>
    <w:basedOn w:val="Tableheading"/>
    <w:qFormat/>
    <w:rsid w:val="00D54428"/>
  </w:style>
  <w:style w:type="character" w:customStyle="1" w:styleId="Heading1Char">
    <w:name w:val="Heading 1 Char"/>
    <w:aliases w:val="ACPL Heading 1 Char,Aventus Heading 1 Char,New D&amp;M Heading 1 Char,LDM HEADING 1 Char,LDM Char,LDM_1 Char,D&amp;M Char,D&amp;M 1 Char,Man Char,Man1 Char,D&amp;M1 Char,D&amp;M 11 Char,Man2 Char,D&amp;M5 Char,D&amp;M 12 Char,Man11 Char,D&amp;M11 Char,D&amp;M 111 Char"/>
    <w:link w:val="Heading1"/>
    <w:uiPriority w:val="9"/>
    <w:locked/>
    <w:rsid w:val="00EE6FC7"/>
    <w:rPr>
      <w:rFonts w:ascii="Arial" w:hAnsi="Arial" w:cs="Arial"/>
      <w:bCs/>
      <w:color w:val="22058A"/>
      <w:kern w:val="32"/>
      <w:sz w:val="32"/>
      <w:szCs w:val="32"/>
    </w:rPr>
  </w:style>
  <w:style w:type="character" w:customStyle="1" w:styleId="Heading3Char">
    <w:name w:val="Heading 3 Char"/>
    <w:aliases w:val="Heading 31 Char,h3 Char,D&amp;M3 Char,D&amp;M 3 Char,D&amp;M31 Char,D&amp;M 31 Char,D&amp;M32 Char,D&amp;M 32 Char,D&amp;M311 Char,D&amp;M 311 Char,D&amp;M33 Char,D&amp;M 33 Char,D&amp;M312 Char,D&amp;M 312 Char,D&amp;M321 Char,D&amp;M 321 Char,D&amp;M3111 Char,D&amp;M 3111 Char,D&amp;M34 Char,D&amp;M 34 Char"/>
    <w:link w:val="Heading3"/>
    <w:locked/>
    <w:rsid w:val="00EE6FC7"/>
    <w:rPr>
      <w:rFonts w:ascii="Arial" w:hAnsi="Arial" w:cs="Arial"/>
      <w:b/>
      <w:bCs/>
      <w:color w:val="1C1C1C"/>
      <w:sz w:val="26"/>
      <w:szCs w:val="26"/>
    </w:rPr>
  </w:style>
  <w:style w:type="table" w:styleId="LightGrid-Accent3">
    <w:name w:val="Light Grid Accent 3"/>
    <w:aliases w:val="Aventus ToC Heading"/>
    <w:basedOn w:val="TableNormal"/>
    <w:uiPriority w:val="72"/>
    <w:rsid w:val="00EE6FC7"/>
    <w:rPr>
      <w:rFonts w:ascii="Cambria" w:hAnsi="Cambria"/>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styleId="TOAHeading">
    <w:name w:val="toa heading"/>
    <w:basedOn w:val="Normal"/>
    <w:next w:val="Normal"/>
    <w:uiPriority w:val="99"/>
    <w:unhideWhenUsed/>
    <w:rsid w:val="00EE6FC7"/>
    <w:pPr>
      <w:spacing w:before="120" w:after="120" w:line="240" w:lineRule="auto"/>
      <w:ind w:left="0"/>
    </w:pPr>
    <w:rPr>
      <w:rFonts w:ascii="Calibri" w:hAnsi="Calibri"/>
      <w:b/>
      <w:bCs/>
      <w:lang w:val="en-US" w:eastAsia="en-US"/>
    </w:rPr>
  </w:style>
  <w:style w:type="table" w:styleId="TableGrid1">
    <w:name w:val="Table Grid 1"/>
    <w:basedOn w:val="TableNormal"/>
    <w:uiPriority w:val="99"/>
    <w:unhideWhenUsed/>
    <w:rsid w:val="00EE6FC7"/>
    <w:pPr>
      <w:spacing w:after="240"/>
    </w:pPr>
    <w:rPr>
      <w:rFonts w:ascii="Cambria" w:hAnsi="Cambria"/>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customStyle="1" w:styleId="AventusHeading3">
    <w:name w:val="Aventus Heading 3"/>
    <w:basedOn w:val="Heading3"/>
    <w:next w:val="Normal"/>
    <w:link w:val="AventusHeading3Char"/>
    <w:qFormat/>
    <w:rsid w:val="00EE6FC7"/>
    <w:pPr>
      <w:keepLines/>
      <w:numPr>
        <w:ilvl w:val="0"/>
        <w:numId w:val="0"/>
      </w:numPr>
      <w:tabs>
        <w:tab w:val="clear" w:pos="1080"/>
      </w:tabs>
      <w:spacing w:after="240" w:line="240" w:lineRule="auto"/>
      <w:ind w:left="1224" w:hanging="504"/>
    </w:pPr>
    <w:rPr>
      <w:rFonts w:ascii="Myriad Pro" w:hAnsi="Myriad Pro" w:cs="Times New Roman"/>
      <w:b w:val="0"/>
      <w:color w:val="284B81"/>
      <w:sz w:val="24"/>
      <w:szCs w:val="24"/>
      <w:lang w:val="en-US" w:eastAsia="en-US"/>
    </w:rPr>
  </w:style>
  <w:style w:type="character" w:customStyle="1" w:styleId="AventusHeading3Char">
    <w:name w:val="Aventus Heading 3 Char"/>
    <w:link w:val="AventusHeading3"/>
    <w:locked/>
    <w:rsid w:val="00EE6FC7"/>
    <w:rPr>
      <w:rFonts w:ascii="Myriad Pro" w:hAnsi="Myriad Pro"/>
      <w:bCs/>
      <w:color w:val="284B81"/>
      <w:sz w:val="24"/>
      <w:szCs w:val="24"/>
      <w:lang w:val="en-US"/>
    </w:rPr>
  </w:style>
  <w:style w:type="paragraph" w:customStyle="1" w:styleId="AventusHeading4">
    <w:name w:val="Aventus Heading 4"/>
    <w:basedOn w:val="Heading4"/>
    <w:next w:val="Normal"/>
    <w:qFormat/>
    <w:rsid w:val="00EE6FC7"/>
    <w:pPr>
      <w:keepLines/>
      <w:tabs>
        <w:tab w:val="clear" w:pos="851"/>
      </w:tabs>
      <w:spacing w:before="240" w:after="240"/>
      <w:ind w:left="0" w:firstLine="0"/>
    </w:pPr>
    <w:rPr>
      <w:rFonts w:ascii="Myriad Pro" w:eastAsia="Times New Roman" w:hAnsi="Myriad Pro"/>
      <w:b/>
      <w:iCs/>
      <w:color w:val="auto"/>
      <w:sz w:val="22"/>
      <w:szCs w:val="24"/>
      <w:lang w:val="en-US"/>
    </w:rPr>
  </w:style>
  <w:style w:type="character" w:customStyle="1" w:styleId="HeaderChar">
    <w:name w:val="Header Char"/>
    <w:aliases w:val="Header Doc Type Char"/>
    <w:link w:val="Header"/>
    <w:uiPriority w:val="99"/>
    <w:locked/>
    <w:rsid w:val="00EE6FC7"/>
    <w:rPr>
      <w:rFonts w:ascii="Arial" w:hAnsi="Arial"/>
      <w:szCs w:val="24"/>
      <w:lang w:eastAsia="en-AU"/>
    </w:rPr>
  </w:style>
  <w:style w:type="character" w:styleId="FollowedHyperlink">
    <w:name w:val="FollowedHyperlink"/>
    <w:uiPriority w:val="99"/>
    <w:rsid w:val="00EE6FC7"/>
    <w:rPr>
      <w:color w:val="800080"/>
      <w:u w:val="single"/>
    </w:rPr>
  </w:style>
  <w:style w:type="character" w:customStyle="1" w:styleId="BodytextChar1">
    <w:name w:val="Body text Char"/>
    <w:link w:val="BodyText3"/>
    <w:uiPriority w:val="99"/>
    <w:locked/>
    <w:rsid w:val="00EE6FC7"/>
    <w:rPr>
      <w:rFonts w:ascii="Verdana" w:hAnsi="Verdana"/>
      <w:color w:val="1B242A"/>
    </w:rPr>
  </w:style>
  <w:style w:type="paragraph" w:customStyle="1" w:styleId="numbering0">
    <w:name w:val="numbering"/>
    <w:basedOn w:val="Normal"/>
    <w:qFormat/>
    <w:rsid w:val="00EE6FC7"/>
    <w:pPr>
      <w:tabs>
        <w:tab w:val="num" w:pos="1304"/>
      </w:tabs>
      <w:spacing w:after="120" w:line="240" w:lineRule="auto"/>
      <w:ind w:left="1304" w:hanging="453"/>
    </w:pPr>
    <w:rPr>
      <w:rFonts w:eastAsia="MS Mincho"/>
      <w:sz w:val="22"/>
      <w:szCs w:val="20"/>
      <w:lang w:eastAsia="en-US"/>
    </w:rPr>
  </w:style>
  <w:style w:type="paragraph" w:customStyle="1" w:styleId="FooterSection1">
    <w:name w:val="FooterSection1"/>
    <w:basedOn w:val="Normal"/>
    <w:semiHidden/>
    <w:rsid w:val="00EE6FC7"/>
    <w:pPr>
      <w:pBdr>
        <w:top w:val="single" w:sz="12" w:space="1" w:color="auto"/>
      </w:pBdr>
      <w:tabs>
        <w:tab w:val="center" w:pos="5103"/>
        <w:tab w:val="right" w:pos="10206"/>
      </w:tabs>
      <w:suppressAutoHyphens/>
      <w:spacing w:after="120" w:line="240" w:lineRule="auto"/>
      <w:ind w:left="0"/>
      <w:jc w:val="both"/>
    </w:pPr>
    <w:rPr>
      <w:rFonts w:ascii="Verdana" w:hAnsi="Verdana"/>
      <w:spacing w:val="-2"/>
      <w:sz w:val="16"/>
      <w:szCs w:val="20"/>
      <w:lang w:eastAsia="en-US"/>
    </w:rPr>
  </w:style>
  <w:style w:type="paragraph" w:styleId="List">
    <w:name w:val="List"/>
    <w:basedOn w:val="Normal"/>
    <w:uiPriority w:val="99"/>
    <w:unhideWhenUsed/>
    <w:rsid w:val="00EE6FC7"/>
    <w:pPr>
      <w:spacing w:before="120" w:after="120" w:line="240" w:lineRule="auto"/>
      <w:ind w:left="283" w:hanging="283"/>
      <w:contextualSpacing/>
    </w:pPr>
    <w:rPr>
      <w:rFonts w:ascii="Helvetica" w:eastAsia="MS Mincho" w:hAnsi="Helvetica"/>
      <w:sz w:val="22"/>
      <w:lang w:val="en-US" w:eastAsia="ja-JP"/>
    </w:rPr>
  </w:style>
  <w:style w:type="paragraph" w:customStyle="1" w:styleId="Listend">
    <w:name w:val="List end"/>
    <w:basedOn w:val="List"/>
    <w:rsid w:val="00EE6FC7"/>
    <w:pPr>
      <w:spacing w:after="240"/>
    </w:pPr>
  </w:style>
  <w:style w:type="paragraph" w:customStyle="1" w:styleId="Liststart">
    <w:name w:val="List start"/>
    <w:basedOn w:val="Normal"/>
    <w:next w:val="List"/>
    <w:rsid w:val="00EE6FC7"/>
    <w:pPr>
      <w:keepNext/>
      <w:spacing w:before="120" w:after="60" w:line="240" w:lineRule="auto"/>
      <w:ind w:left="0"/>
    </w:pPr>
    <w:rPr>
      <w:rFonts w:ascii="Helvetica" w:eastAsia="MS Mincho" w:hAnsi="Helvetica"/>
      <w:sz w:val="22"/>
      <w:lang w:val="en-US" w:eastAsia="ja-JP"/>
    </w:rPr>
  </w:style>
  <w:style w:type="paragraph" w:customStyle="1" w:styleId="table">
    <w:name w:val="table"/>
    <w:aliases w:val="t"/>
    <w:basedOn w:val="Normal"/>
    <w:rsid w:val="00EE6FC7"/>
    <w:pPr>
      <w:spacing w:before="40" w:after="40" w:line="240" w:lineRule="atLeast"/>
      <w:ind w:left="0"/>
    </w:pPr>
    <w:rPr>
      <w:rFonts w:ascii="Times" w:hAnsi="Times"/>
      <w:szCs w:val="20"/>
      <w:lang w:eastAsia="en-US"/>
    </w:rPr>
  </w:style>
  <w:style w:type="paragraph" w:customStyle="1" w:styleId="tablenote">
    <w:name w:val="tablenote"/>
    <w:aliases w:val="tn"/>
    <w:basedOn w:val="Normal"/>
    <w:next w:val="Normal"/>
    <w:rsid w:val="00EE6FC7"/>
    <w:pPr>
      <w:spacing w:after="200" w:line="200" w:lineRule="atLeast"/>
      <w:ind w:left="0"/>
      <w:jc w:val="both"/>
    </w:pPr>
    <w:rPr>
      <w:rFonts w:ascii="Helvetica" w:hAnsi="Helvetica"/>
      <w:sz w:val="16"/>
      <w:szCs w:val="20"/>
      <w:lang w:eastAsia="en-US"/>
    </w:rPr>
  </w:style>
  <w:style w:type="paragraph" w:customStyle="1" w:styleId="TableHeader2">
    <w:name w:val="Table Header 2"/>
    <w:basedOn w:val="TableHeader"/>
    <w:link w:val="TableHeader2Char"/>
    <w:qFormat/>
    <w:rsid w:val="00EE6FC7"/>
    <w:pPr>
      <w:spacing w:before="60" w:after="60" w:line="300" w:lineRule="auto"/>
      <w:jc w:val="both"/>
    </w:pPr>
    <w:rPr>
      <w:color w:val="FFFFFF"/>
    </w:rPr>
  </w:style>
  <w:style w:type="character" w:customStyle="1" w:styleId="TableHeader2Char">
    <w:name w:val="Table Header 2 Char"/>
    <w:link w:val="TableHeader2"/>
    <w:locked/>
    <w:rsid w:val="00EE6FC7"/>
    <w:rPr>
      <w:rFonts w:ascii="Arial" w:hAnsi="Arial"/>
      <w:b/>
      <w:color w:val="FFFFFF"/>
      <w:szCs w:val="24"/>
      <w:lang w:eastAsia="en-AU"/>
    </w:rPr>
  </w:style>
  <w:style w:type="paragraph" w:customStyle="1" w:styleId="tabletext2">
    <w:name w:val="table text"/>
    <w:aliases w:val="tt"/>
    <w:basedOn w:val="Normal"/>
    <w:rsid w:val="00EE6FC7"/>
    <w:pPr>
      <w:spacing w:line="240" w:lineRule="atLeast"/>
      <w:ind w:left="0"/>
      <w:jc w:val="both"/>
    </w:pPr>
    <w:rPr>
      <w:szCs w:val="20"/>
    </w:rPr>
  </w:style>
  <w:style w:type="character" w:customStyle="1" w:styleId="BodyTextChar10">
    <w:name w:val="Body Text Char1"/>
    <w:uiPriority w:val="99"/>
    <w:locked/>
    <w:rsid w:val="00EE6FC7"/>
    <w:rPr>
      <w:rFonts w:ascii="Verdana" w:hAnsi="Verdana"/>
    </w:rPr>
  </w:style>
  <w:style w:type="character" w:styleId="CommentReference">
    <w:name w:val="annotation reference"/>
    <w:uiPriority w:val="99"/>
    <w:rsid w:val="00EE6FC7"/>
    <w:rPr>
      <w:sz w:val="16"/>
    </w:rPr>
  </w:style>
  <w:style w:type="paragraph" w:styleId="CommentText">
    <w:name w:val="annotation text"/>
    <w:basedOn w:val="Normal"/>
    <w:link w:val="CommentTextChar"/>
    <w:uiPriority w:val="99"/>
    <w:rsid w:val="00EE6FC7"/>
    <w:pPr>
      <w:spacing w:line="240" w:lineRule="auto"/>
      <w:ind w:left="0"/>
    </w:pPr>
    <w:rPr>
      <w:rFonts w:ascii="Tahoma" w:hAnsi="Tahoma"/>
      <w:sz w:val="22"/>
      <w:szCs w:val="20"/>
      <w:lang w:eastAsia="en-US"/>
    </w:rPr>
  </w:style>
  <w:style w:type="character" w:customStyle="1" w:styleId="CommentTextChar">
    <w:name w:val="Comment Text Char"/>
    <w:link w:val="CommentText"/>
    <w:uiPriority w:val="99"/>
    <w:rsid w:val="00EE6FC7"/>
    <w:rPr>
      <w:rFonts w:ascii="Tahoma" w:hAnsi="Tahoma"/>
      <w:sz w:val="22"/>
    </w:rPr>
  </w:style>
  <w:style w:type="paragraph" w:styleId="NormalIndent">
    <w:name w:val="Normal Indent"/>
    <w:basedOn w:val="Normal"/>
    <w:uiPriority w:val="99"/>
    <w:unhideWhenUsed/>
    <w:qFormat/>
    <w:rsid w:val="00EE6FC7"/>
    <w:pPr>
      <w:spacing w:before="120" w:after="120" w:line="240" w:lineRule="auto"/>
    </w:pPr>
    <w:rPr>
      <w:sz w:val="22"/>
      <w:lang w:val="en-US" w:eastAsia="en-US"/>
    </w:rPr>
  </w:style>
  <w:style w:type="paragraph" w:styleId="DocumentMap">
    <w:name w:val="Document Map"/>
    <w:basedOn w:val="Normal"/>
    <w:link w:val="DocumentMapChar"/>
    <w:rsid w:val="00EE6FC7"/>
    <w:pPr>
      <w:shd w:val="clear" w:color="auto" w:fill="000080"/>
      <w:spacing w:line="240" w:lineRule="auto"/>
      <w:ind w:left="0"/>
    </w:pPr>
    <w:rPr>
      <w:rFonts w:ascii="Tahoma" w:hAnsi="Tahoma"/>
      <w:sz w:val="22"/>
      <w:szCs w:val="20"/>
      <w:lang w:eastAsia="en-US"/>
    </w:rPr>
  </w:style>
  <w:style w:type="character" w:customStyle="1" w:styleId="DocumentMapChar">
    <w:name w:val="Document Map Char"/>
    <w:link w:val="DocumentMap"/>
    <w:rsid w:val="00EE6FC7"/>
    <w:rPr>
      <w:rFonts w:ascii="Tahoma" w:hAnsi="Tahoma"/>
      <w:sz w:val="22"/>
      <w:shd w:val="clear" w:color="auto" w:fill="000080"/>
    </w:rPr>
  </w:style>
  <w:style w:type="table" w:styleId="LightList-Accent3">
    <w:name w:val="Light List Accent 3"/>
    <w:basedOn w:val="TableNormal"/>
    <w:uiPriority w:val="71"/>
    <w:rsid w:val="00EE6FC7"/>
    <w:rPr>
      <w:rFonts w:ascii="Cambria" w:hAnsi="Cambria"/>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Default">
    <w:name w:val="Default"/>
    <w:rsid w:val="00EE6FC7"/>
    <w:pPr>
      <w:autoSpaceDE w:val="0"/>
      <w:autoSpaceDN w:val="0"/>
      <w:adjustRightInd w:val="0"/>
    </w:pPr>
    <w:rPr>
      <w:rFonts w:ascii="Tahoma" w:hAnsi="Tahoma" w:cs="Tahoma"/>
      <w:color w:val="000000"/>
      <w:lang w:val="en-US" w:eastAsia="en-US"/>
    </w:rPr>
  </w:style>
  <w:style w:type="paragraph" w:styleId="EndnoteText">
    <w:name w:val="endnote text"/>
    <w:basedOn w:val="Normal"/>
    <w:link w:val="EndnoteTextChar"/>
    <w:unhideWhenUsed/>
    <w:rsid w:val="00EE6FC7"/>
    <w:pPr>
      <w:spacing w:before="120" w:after="120" w:line="240" w:lineRule="auto"/>
      <w:ind w:left="0"/>
    </w:pPr>
    <w:rPr>
      <w:szCs w:val="20"/>
      <w:lang w:val="en-US" w:eastAsia="en-US"/>
    </w:rPr>
  </w:style>
  <w:style w:type="character" w:customStyle="1" w:styleId="EndnoteTextChar">
    <w:name w:val="Endnote Text Char"/>
    <w:link w:val="EndnoteText"/>
    <w:rsid w:val="00EE6FC7"/>
    <w:rPr>
      <w:rFonts w:ascii="Arial" w:hAnsi="Arial"/>
      <w:lang w:val="en-US"/>
    </w:rPr>
  </w:style>
  <w:style w:type="character" w:styleId="EndnoteReference">
    <w:name w:val="endnote reference"/>
    <w:unhideWhenUsed/>
    <w:rsid w:val="00EE6FC7"/>
    <w:rPr>
      <w:vertAlign w:val="superscript"/>
    </w:rPr>
  </w:style>
  <w:style w:type="character" w:customStyle="1" w:styleId="ListBulletChar">
    <w:name w:val="List Bullet Char"/>
    <w:link w:val="ListBullet"/>
    <w:uiPriority w:val="99"/>
    <w:locked/>
    <w:rsid w:val="00EE6FC7"/>
    <w:rPr>
      <w:rFonts w:ascii="Arial" w:hAnsi="Arial"/>
    </w:rPr>
  </w:style>
  <w:style w:type="paragraph" w:customStyle="1" w:styleId="BodyText2">
    <w:name w:val="Body Text2"/>
    <w:basedOn w:val="Normal"/>
    <w:qFormat/>
    <w:rsid w:val="00EE6FC7"/>
    <w:pPr>
      <w:tabs>
        <w:tab w:val="left" w:pos="851"/>
        <w:tab w:val="left" w:pos="1701"/>
        <w:tab w:val="left" w:pos="2835"/>
        <w:tab w:val="left" w:pos="4253"/>
      </w:tabs>
      <w:spacing w:before="120" w:after="120" w:line="240" w:lineRule="atLeast"/>
      <w:ind w:left="1134"/>
    </w:pPr>
    <w:rPr>
      <w:rFonts w:ascii="Verdana" w:hAnsi="Verdana"/>
      <w:color w:val="1B242A"/>
      <w:szCs w:val="20"/>
      <w:lang w:eastAsia="en-US"/>
    </w:rPr>
  </w:style>
  <w:style w:type="paragraph" w:customStyle="1" w:styleId="MediumGrid1-Accent21">
    <w:name w:val="Medium Grid 1 - Accent 21"/>
    <w:basedOn w:val="Normal"/>
    <w:uiPriority w:val="34"/>
    <w:qFormat/>
    <w:rsid w:val="00EE6FC7"/>
    <w:pPr>
      <w:spacing w:before="120" w:after="120" w:line="300" w:lineRule="auto"/>
      <w:contextualSpacing/>
      <w:jc w:val="both"/>
    </w:pPr>
    <w:rPr>
      <w:sz w:val="22"/>
      <w:szCs w:val="22"/>
      <w:lang w:eastAsia="en-US"/>
    </w:rPr>
  </w:style>
  <w:style w:type="numbering" w:styleId="ArticleSection">
    <w:name w:val="Outline List 3"/>
    <w:basedOn w:val="NoList"/>
    <w:unhideWhenUsed/>
    <w:rsid w:val="00EE6FC7"/>
    <w:pPr>
      <w:numPr>
        <w:numId w:val="64"/>
      </w:numPr>
    </w:pPr>
  </w:style>
  <w:style w:type="numbering" w:customStyle="1" w:styleId="Numbering">
    <w:name w:val="Numbering"/>
    <w:rsid w:val="00EE6FC7"/>
    <w:pPr>
      <w:numPr>
        <w:numId w:val="62"/>
      </w:numPr>
    </w:pPr>
  </w:style>
  <w:style w:type="numbering" w:customStyle="1" w:styleId="KeyPoints">
    <w:name w:val="Key Points"/>
    <w:rsid w:val="00EE6FC7"/>
    <w:pPr>
      <w:numPr>
        <w:numId w:val="63"/>
      </w:numPr>
    </w:pPr>
  </w:style>
  <w:style w:type="paragraph" w:styleId="NormalWeb">
    <w:name w:val="Normal (Web)"/>
    <w:basedOn w:val="Normal"/>
    <w:link w:val="NormalWebChar"/>
    <w:uiPriority w:val="99"/>
    <w:unhideWhenUsed/>
    <w:rsid w:val="00EE6FC7"/>
    <w:pPr>
      <w:spacing w:before="240" w:after="240" w:line="336" w:lineRule="atLeast"/>
      <w:ind w:left="0" w:right="240"/>
    </w:pPr>
    <w:rPr>
      <w:rFonts w:ascii="Times New Roman" w:hAnsi="Times New Roman"/>
    </w:rPr>
  </w:style>
  <w:style w:type="paragraph" w:customStyle="1" w:styleId="BodyText3">
    <w:name w:val="Body Text3"/>
    <w:basedOn w:val="Normal"/>
    <w:link w:val="BodytextChar1"/>
    <w:qFormat/>
    <w:rsid w:val="00EE6FC7"/>
    <w:pPr>
      <w:tabs>
        <w:tab w:val="left" w:pos="851"/>
        <w:tab w:val="left" w:pos="1701"/>
        <w:tab w:val="left" w:pos="2835"/>
        <w:tab w:val="left" w:pos="4253"/>
      </w:tabs>
      <w:spacing w:before="120" w:after="120" w:line="240" w:lineRule="atLeast"/>
      <w:ind w:left="1134"/>
    </w:pPr>
    <w:rPr>
      <w:rFonts w:ascii="Verdana" w:hAnsi="Verdana"/>
      <w:color w:val="1B242A"/>
      <w:szCs w:val="20"/>
      <w:lang w:eastAsia="en-US"/>
    </w:rPr>
  </w:style>
  <w:style w:type="paragraph" w:styleId="CommentSubject">
    <w:name w:val="annotation subject"/>
    <w:basedOn w:val="CommentText"/>
    <w:next w:val="CommentText"/>
    <w:link w:val="CommentSubjectChar"/>
    <w:uiPriority w:val="99"/>
    <w:unhideWhenUsed/>
    <w:rsid w:val="00EE6FC7"/>
    <w:pPr>
      <w:spacing w:before="120" w:after="120"/>
    </w:pPr>
    <w:rPr>
      <w:rFonts w:ascii="Myriad Pro" w:hAnsi="Myriad Pro"/>
      <w:b/>
      <w:bCs/>
      <w:sz w:val="20"/>
      <w:lang w:val="en-US"/>
    </w:rPr>
  </w:style>
  <w:style w:type="character" w:customStyle="1" w:styleId="CommentSubjectChar">
    <w:name w:val="Comment Subject Char"/>
    <w:link w:val="CommentSubject"/>
    <w:uiPriority w:val="99"/>
    <w:rsid w:val="00EE6FC7"/>
    <w:rPr>
      <w:rFonts w:ascii="Myriad Pro" w:hAnsi="Myriad Pro"/>
      <w:b/>
      <w:bCs/>
      <w:sz w:val="22"/>
      <w:lang w:val="en-US"/>
    </w:rPr>
  </w:style>
  <w:style w:type="paragraph" w:customStyle="1" w:styleId="ColorfulShading-Accent11">
    <w:name w:val="Colorful Shading - Accent 11"/>
    <w:hidden/>
    <w:uiPriority w:val="99"/>
    <w:rsid w:val="00EE6FC7"/>
    <w:rPr>
      <w:rFonts w:ascii="Myriad Pro" w:hAnsi="Myriad Pro"/>
      <w:sz w:val="22"/>
      <w:lang w:val="en-US" w:eastAsia="en-US"/>
    </w:rPr>
  </w:style>
  <w:style w:type="paragraph" w:styleId="Closing">
    <w:name w:val="Closing"/>
    <w:basedOn w:val="Normal"/>
    <w:link w:val="ClosingChar"/>
    <w:uiPriority w:val="99"/>
    <w:rsid w:val="00EE6FC7"/>
    <w:pPr>
      <w:widowControl w:val="0"/>
      <w:spacing w:line="240" w:lineRule="auto"/>
      <w:ind w:left="4252"/>
      <w:jc w:val="both"/>
    </w:pPr>
    <w:rPr>
      <w:rFonts w:ascii="Tahoma" w:hAnsi="Tahoma"/>
      <w:snapToGrid w:val="0"/>
      <w:szCs w:val="20"/>
      <w:lang w:eastAsia="en-US"/>
    </w:rPr>
  </w:style>
  <w:style w:type="character" w:customStyle="1" w:styleId="ClosingChar">
    <w:name w:val="Closing Char"/>
    <w:link w:val="Closing"/>
    <w:uiPriority w:val="99"/>
    <w:rsid w:val="00EE6FC7"/>
    <w:rPr>
      <w:rFonts w:ascii="Tahoma" w:hAnsi="Tahoma"/>
      <w:snapToGrid w:val="0"/>
    </w:rPr>
  </w:style>
  <w:style w:type="paragraph" w:customStyle="1" w:styleId="Para0">
    <w:name w:val="Para 0"/>
    <w:basedOn w:val="Normal"/>
    <w:rsid w:val="00EE6FC7"/>
    <w:pPr>
      <w:spacing w:after="220" w:line="300" w:lineRule="auto"/>
      <w:ind w:left="0"/>
      <w:jc w:val="both"/>
    </w:pPr>
    <w:rPr>
      <w:rFonts w:ascii="Times New Roman" w:eastAsia="SimSun" w:hAnsi="Times New Roman"/>
      <w:color w:val="000000"/>
      <w:sz w:val="22"/>
      <w:szCs w:val="22"/>
      <w:lang w:val="en-GB" w:eastAsia="en-US"/>
    </w:rPr>
  </w:style>
  <w:style w:type="paragraph" w:customStyle="1" w:styleId="normalaftertable">
    <w:name w:val="normal after table"/>
    <w:basedOn w:val="Normal"/>
    <w:rsid w:val="00EE6FC7"/>
    <w:pPr>
      <w:spacing w:before="280" w:after="120" w:line="360" w:lineRule="auto"/>
      <w:ind w:left="0"/>
      <w:jc w:val="both"/>
    </w:pPr>
    <w:rPr>
      <w:rFonts w:eastAsia="SimSun" w:cs="Arial"/>
      <w:color w:val="000000"/>
      <w:sz w:val="22"/>
      <w:szCs w:val="22"/>
      <w:lang w:eastAsia="en-US"/>
    </w:rPr>
  </w:style>
  <w:style w:type="paragraph" w:styleId="BodyTextIndent">
    <w:name w:val="Body Text Indent"/>
    <w:basedOn w:val="Normal"/>
    <w:link w:val="BodyTextIndentChar"/>
    <w:rsid w:val="00EE6FC7"/>
    <w:pPr>
      <w:spacing w:after="120"/>
      <w:ind w:left="283"/>
    </w:pPr>
  </w:style>
  <w:style w:type="character" w:customStyle="1" w:styleId="BodyTextIndentChar">
    <w:name w:val="Body Text Indent Char"/>
    <w:link w:val="BodyTextIndent"/>
    <w:rsid w:val="00EE6FC7"/>
    <w:rPr>
      <w:rFonts w:ascii="Arial" w:hAnsi="Arial"/>
      <w:szCs w:val="24"/>
      <w:lang w:eastAsia="en-AU"/>
    </w:rPr>
  </w:style>
  <w:style w:type="paragraph" w:customStyle="1" w:styleId="Pa1">
    <w:name w:val="Pa1"/>
    <w:basedOn w:val="Default"/>
    <w:next w:val="Default"/>
    <w:uiPriority w:val="99"/>
    <w:rsid w:val="00EE6FC7"/>
    <w:pPr>
      <w:widowControl w:val="0"/>
      <w:spacing w:line="201" w:lineRule="atLeast"/>
    </w:pPr>
    <w:rPr>
      <w:rFonts w:ascii="Adobe Garamond Pro" w:hAnsi="Adobe Garamond Pro" w:cs="Times New Roman"/>
      <w:color w:val="auto"/>
    </w:rPr>
  </w:style>
  <w:style w:type="paragraph" w:customStyle="1" w:styleId="bulletlist1">
    <w:name w:val="bullet list 1"/>
    <w:basedOn w:val="CNBlt1"/>
    <w:autoRedefine/>
    <w:rsid w:val="00EE6FC7"/>
    <w:pPr>
      <w:spacing w:before="60" w:after="60"/>
      <w:ind w:left="924" w:hanging="357"/>
      <w:jc w:val="both"/>
    </w:pPr>
  </w:style>
  <w:style w:type="paragraph" w:customStyle="1" w:styleId="CNBlt1">
    <w:name w:val="CN_Blt1"/>
    <w:basedOn w:val="Normal"/>
    <w:rsid w:val="00EE6FC7"/>
    <w:pPr>
      <w:numPr>
        <w:numId w:val="72"/>
      </w:numPr>
      <w:spacing w:line="240" w:lineRule="auto"/>
    </w:pPr>
    <w:rPr>
      <w:rFonts w:ascii="Lucida Sans" w:hAnsi="Lucida Sans"/>
      <w:szCs w:val="20"/>
    </w:rPr>
  </w:style>
  <w:style w:type="paragraph" w:customStyle="1" w:styleId="bulletlist2">
    <w:name w:val="bullet list 2"/>
    <w:basedOn w:val="Normal"/>
    <w:rsid w:val="00EE6FC7"/>
    <w:pPr>
      <w:numPr>
        <w:numId w:val="73"/>
      </w:numPr>
      <w:tabs>
        <w:tab w:val="clear" w:pos="1997"/>
        <w:tab w:val="left" w:pos="851"/>
        <w:tab w:val="num" w:pos="1418"/>
      </w:tabs>
      <w:spacing w:after="120" w:line="240" w:lineRule="auto"/>
      <w:ind w:left="1418" w:hanging="425"/>
      <w:jc w:val="both"/>
    </w:pPr>
    <w:rPr>
      <w:rFonts w:ascii="Lucida Sans" w:eastAsia="MS Mincho" w:hAnsi="Lucida Sans"/>
      <w:szCs w:val="20"/>
      <w:lang w:val="en" w:eastAsia="en-US"/>
    </w:rPr>
  </w:style>
  <w:style w:type="paragraph" w:customStyle="1" w:styleId="TableHeadingCenter">
    <w:name w:val="Table Heading Center"/>
    <w:basedOn w:val="Normal"/>
    <w:rsid w:val="00EE6FC7"/>
    <w:pPr>
      <w:spacing w:before="60" w:after="60" w:line="240" w:lineRule="auto"/>
      <w:ind w:left="0"/>
      <w:jc w:val="center"/>
    </w:pPr>
    <w:rPr>
      <w:rFonts w:ascii="Univers 45 Light" w:hAnsi="Univers 45 Light"/>
      <w:b/>
      <w:lang w:val="en-US" w:eastAsia="en-US"/>
    </w:rPr>
  </w:style>
  <w:style w:type="paragraph" w:styleId="List2">
    <w:name w:val="List 2"/>
    <w:basedOn w:val="Normal"/>
    <w:rsid w:val="003409DF"/>
    <w:pPr>
      <w:ind w:left="566" w:hanging="283"/>
      <w:contextualSpacing/>
    </w:pPr>
  </w:style>
  <w:style w:type="character" w:styleId="Strong">
    <w:name w:val="Strong"/>
    <w:qFormat/>
    <w:rsid w:val="003409DF"/>
    <w:rPr>
      <w:b/>
      <w:bCs/>
    </w:rPr>
  </w:style>
  <w:style w:type="paragraph" w:customStyle="1" w:styleId="Subheading1">
    <w:name w:val="Sub heading 1"/>
    <w:basedOn w:val="Normal"/>
    <w:rsid w:val="003409DF"/>
    <w:pPr>
      <w:keepNext/>
      <w:spacing w:after="240" w:line="240" w:lineRule="auto"/>
      <w:ind w:left="0"/>
      <w:jc w:val="both"/>
    </w:pPr>
    <w:rPr>
      <w:szCs w:val="20"/>
      <w:u w:val="single"/>
      <w:lang w:eastAsia="en-US"/>
    </w:rPr>
  </w:style>
  <w:style w:type="paragraph" w:styleId="TableofFigures">
    <w:name w:val="table of figures"/>
    <w:basedOn w:val="Normal"/>
    <w:next w:val="Normal"/>
    <w:uiPriority w:val="99"/>
    <w:rsid w:val="00197931"/>
    <w:pPr>
      <w:tabs>
        <w:tab w:val="left" w:pos="1985"/>
        <w:tab w:val="right" w:leader="dot" w:pos="8278"/>
      </w:tabs>
      <w:spacing w:line="240" w:lineRule="auto"/>
      <w:ind w:left="1985" w:hanging="867"/>
      <w:jc w:val="both"/>
    </w:pPr>
    <w:rPr>
      <w:szCs w:val="20"/>
      <w:lang w:eastAsia="en-US"/>
    </w:rPr>
  </w:style>
  <w:style w:type="paragraph" w:customStyle="1" w:styleId="Tablecontents">
    <w:name w:val="Table contents"/>
    <w:basedOn w:val="Normal"/>
    <w:rsid w:val="00197931"/>
    <w:pPr>
      <w:spacing w:before="60" w:after="60" w:line="240" w:lineRule="auto"/>
      <w:ind w:left="0"/>
    </w:pPr>
    <w:rPr>
      <w:sz w:val="18"/>
      <w:szCs w:val="20"/>
      <w:lang w:eastAsia="en-US"/>
    </w:rPr>
  </w:style>
  <w:style w:type="paragraph" w:customStyle="1" w:styleId="NormalBodyText">
    <w:name w:val="Normal Body Text"/>
    <w:basedOn w:val="Normal"/>
    <w:link w:val="NormalBodyTextChar"/>
    <w:qFormat/>
    <w:rsid w:val="00197931"/>
    <w:pPr>
      <w:spacing w:before="120" w:after="120" w:line="264" w:lineRule="auto"/>
      <w:ind w:left="851"/>
      <w:jc w:val="both"/>
    </w:pPr>
    <w:rPr>
      <w:szCs w:val="20"/>
    </w:rPr>
  </w:style>
  <w:style w:type="character" w:customStyle="1" w:styleId="NormalBodyTextChar">
    <w:name w:val="Normal Body Text Char"/>
    <w:link w:val="NormalBodyText"/>
    <w:rsid w:val="00197931"/>
    <w:rPr>
      <w:rFonts w:ascii="Arial" w:hAnsi="Arial"/>
      <w:lang w:eastAsia="en-AU"/>
    </w:rPr>
  </w:style>
  <w:style w:type="paragraph" w:customStyle="1" w:styleId="Pa7">
    <w:name w:val="Pa7"/>
    <w:basedOn w:val="Default"/>
    <w:next w:val="Default"/>
    <w:uiPriority w:val="99"/>
    <w:rsid w:val="00E17711"/>
    <w:pPr>
      <w:spacing w:line="161" w:lineRule="atLeast"/>
    </w:pPr>
    <w:rPr>
      <w:rFonts w:ascii="MiloPro-Light" w:eastAsia="MS Mincho" w:hAnsi="MiloPro-Light" w:cs="Times New Roman"/>
      <w:color w:val="auto"/>
      <w:lang w:val="en-AU"/>
    </w:rPr>
  </w:style>
  <w:style w:type="paragraph" w:customStyle="1" w:styleId="HeadingBodyText">
    <w:name w:val="Heading Body Text"/>
    <w:basedOn w:val="Normal"/>
    <w:link w:val="HeadingBodyTextChar"/>
    <w:rsid w:val="00AB29F7"/>
    <w:pPr>
      <w:widowControl w:val="0"/>
      <w:spacing w:line="240" w:lineRule="auto"/>
      <w:ind w:left="567"/>
      <w:jc w:val="both"/>
    </w:pPr>
    <w:rPr>
      <w:sz w:val="22"/>
      <w:lang w:val="x-none" w:eastAsia="en-US"/>
    </w:rPr>
  </w:style>
  <w:style w:type="character" w:customStyle="1" w:styleId="HeadingBodyTextChar">
    <w:name w:val="Heading Body Text Char"/>
    <w:link w:val="HeadingBodyText"/>
    <w:rsid w:val="00AB29F7"/>
    <w:rPr>
      <w:rFonts w:ascii="Arial" w:hAnsi="Arial"/>
      <w:sz w:val="22"/>
      <w:szCs w:val="24"/>
      <w:lang w:val="x-none"/>
    </w:rPr>
  </w:style>
  <w:style w:type="character" w:customStyle="1" w:styleId="ColorfulList-Accent1Char">
    <w:name w:val="Colorful List - Accent 1 Char"/>
    <w:link w:val="ColorfulList-Accent11"/>
    <w:uiPriority w:val="34"/>
    <w:rsid w:val="00E50F05"/>
    <w:rPr>
      <w:rFonts w:ascii="Arial" w:hAnsi="Arial"/>
      <w:szCs w:val="24"/>
      <w:lang w:eastAsia="en-AU"/>
    </w:rPr>
  </w:style>
  <w:style w:type="paragraph" w:customStyle="1" w:styleId="Pa19">
    <w:name w:val="Pa19"/>
    <w:basedOn w:val="Default"/>
    <w:next w:val="Default"/>
    <w:uiPriority w:val="99"/>
    <w:rsid w:val="00020A7B"/>
    <w:pPr>
      <w:spacing w:line="191" w:lineRule="atLeast"/>
    </w:pPr>
    <w:rPr>
      <w:rFonts w:ascii="Adobe Garamond Pro" w:hAnsi="Adobe Garamond Pro" w:cs="Times New Roman"/>
      <w:color w:val="auto"/>
      <w:lang w:val="en-AU"/>
    </w:rPr>
  </w:style>
  <w:style w:type="character" w:customStyle="1" w:styleId="apple-converted-space">
    <w:name w:val="apple-converted-space"/>
    <w:basedOn w:val="DefaultParagraphFont"/>
    <w:rsid w:val="00C06526"/>
  </w:style>
  <w:style w:type="paragraph" w:customStyle="1" w:styleId="subsection">
    <w:name w:val="subsection"/>
    <w:basedOn w:val="Normal"/>
    <w:rsid w:val="00AE03E1"/>
    <w:pPr>
      <w:spacing w:before="100" w:beforeAutospacing="1" w:after="100" w:afterAutospacing="1" w:line="240" w:lineRule="auto"/>
      <w:ind w:left="0"/>
    </w:pPr>
    <w:rPr>
      <w:rFonts w:ascii="Times New Roman" w:hAnsi="Times New Roman"/>
    </w:rPr>
  </w:style>
  <w:style w:type="paragraph" w:customStyle="1" w:styleId="paragraph">
    <w:name w:val="paragraph"/>
    <w:basedOn w:val="Normal"/>
    <w:rsid w:val="00AE03E1"/>
    <w:pPr>
      <w:spacing w:before="100" w:beforeAutospacing="1" w:after="100" w:afterAutospacing="1" w:line="240" w:lineRule="auto"/>
      <w:ind w:left="0"/>
    </w:pPr>
    <w:rPr>
      <w:rFonts w:ascii="Times New Roman" w:hAnsi="Times New Roman"/>
    </w:rPr>
  </w:style>
  <w:style w:type="table" w:customStyle="1" w:styleId="TableGrid10">
    <w:name w:val="Table Grid1"/>
    <w:basedOn w:val="TableNormal"/>
    <w:next w:val="TableGrid"/>
    <w:uiPriority w:val="59"/>
    <w:rsid w:val="00A93CC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indent">
    <w:name w:val="Bullet indent"/>
    <w:basedOn w:val="Bullet2"/>
    <w:uiPriority w:val="9"/>
    <w:qFormat/>
    <w:rsid w:val="001F24B5"/>
    <w:pPr>
      <w:numPr>
        <w:ilvl w:val="0"/>
        <w:numId w:val="0"/>
      </w:numPr>
      <w:tabs>
        <w:tab w:val="num" w:pos="1152"/>
      </w:tabs>
      <w:spacing w:before="100" w:after="100" w:line="240" w:lineRule="auto"/>
      <w:ind w:left="1152" w:hanging="360"/>
      <w:contextualSpacing/>
    </w:pPr>
    <w:rPr>
      <w:rFonts w:ascii="Cambria" w:hAnsi="Cambria" w:cs="Calibri"/>
      <w:spacing w:val="2"/>
      <w:szCs w:val="20"/>
    </w:rPr>
  </w:style>
  <w:style w:type="paragraph" w:customStyle="1" w:styleId="Heading1numbered">
    <w:name w:val="Heading 1 numbered"/>
    <w:basedOn w:val="Heading1"/>
    <w:next w:val="NormalIndent"/>
    <w:uiPriority w:val="8"/>
    <w:qFormat/>
    <w:rsid w:val="001F24B5"/>
    <w:pPr>
      <w:keepLines/>
      <w:numPr>
        <w:ilvl w:val="2"/>
        <w:numId w:val="107"/>
      </w:numPr>
      <w:spacing w:before="600" w:after="240" w:line="276" w:lineRule="auto"/>
      <w:ind w:left="794" w:hanging="794"/>
    </w:pPr>
    <w:rPr>
      <w:rFonts w:ascii="Calibri" w:eastAsia="MS Gothic" w:hAnsi="Calibri" w:cs="Times New Roman"/>
      <w:b/>
      <w:color w:val="201547"/>
      <w:spacing w:val="-1"/>
      <w:kern w:val="0"/>
      <w:sz w:val="36"/>
      <w:szCs w:val="28"/>
    </w:rPr>
  </w:style>
  <w:style w:type="paragraph" w:customStyle="1" w:styleId="Heading2numbered">
    <w:name w:val="Heading 2 numbered"/>
    <w:basedOn w:val="Heading2"/>
    <w:next w:val="NormalIndent"/>
    <w:uiPriority w:val="8"/>
    <w:qFormat/>
    <w:rsid w:val="001F24B5"/>
    <w:pPr>
      <w:keepLines/>
      <w:numPr>
        <w:ilvl w:val="3"/>
        <w:numId w:val="107"/>
      </w:numPr>
      <w:tabs>
        <w:tab w:val="clear" w:pos="720"/>
      </w:tabs>
      <w:spacing w:before="280" w:after="240" w:line="276" w:lineRule="auto"/>
    </w:pPr>
    <w:rPr>
      <w:rFonts w:ascii="Calibri" w:eastAsia="MS Gothic" w:hAnsi="Calibri" w:cs="Times New Roman"/>
      <w:b/>
      <w:iCs w:val="0"/>
      <w:color w:val="4F81BD"/>
      <w:spacing w:val="2"/>
      <w:szCs w:val="26"/>
    </w:rPr>
  </w:style>
  <w:style w:type="paragraph" w:customStyle="1" w:styleId="Heading3numbered">
    <w:name w:val="Heading 3 numbered"/>
    <w:basedOn w:val="Heading3"/>
    <w:next w:val="NormalIndent"/>
    <w:uiPriority w:val="8"/>
    <w:qFormat/>
    <w:rsid w:val="001F24B5"/>
    <w:pPr>
      <w:keepLines/>
      <w:numPr>
        <w:ilvl w:val="4"/>
        <w:numId w:val="107"/>
      </w:numPr>
      <w:tabs>
        <w:tab w:val="clear" w:pos="1080"/>
      </w:tabs>
      <w:spacing w:after="120" w:line="276" w:lineRule="auto"/>
    </w:pPr>
    <w:rPr>
      <w:rFonts w:ascii="Calibri" w:eastAsia="MS Gothic" w:hAnsi="Calibri" w:cs="Times New Roman"/>
      <w:color w:val="4F81BD"/>
      <w:spacing w:val="2"/>
      <w:sz w:val="22"/>
      <w:szCs w:val="22"/>
    </w:rPr>
  </w:style>
  <w:style w:type="paragraph" w:customStyle="1" w:styleId="Heading4numbered">
    <w:name w:val="Heading 4 numbered"/>
    <w:basedOn w:val="Heading4"/>
    <w:next w:val="NormalIndent"/>
    <w:uiPriority w:val="8"/>
    <w:qFormat/>
    <w:rsid w:val="001F24B5"/>
    <w:pPr>
      <w:keepLines/>
      <w:numPr>
        <w:ilvl w:val="5"/>
        <w:numId w:val="107"/>
      </w:numPr>
      <w:spacing w:before="200" w:after="0" w:line="276" w:lineRule="auto"/>
    </w:pPr>
    <w:rPr>
      <w:rFonts w:ascii="Calibri" w:eastAsia="MS Gothic" w:hAnsi="Calibri"/>
      <w:b/>
      <w:iCs/>
      <w:color w:val="53565A"/>
      <w:spacing w:val="2"/>
      <w:sz w:val="20"/>
      <w:szCs w:val="20"/>
      <w:lang w:eastAsia="en-AU"/>
    </w:rPr>
  </w:style>
  <w:style w:type="paragraph" w:customStyle="1" w:styleId="Bulletindent2">
    <w:name w:val="Bullet indent 2"/>
    <w:basedOn w:val="Normal"/>
    <w:uiPriority w:val="9"/>
    <w:qFormat/>
    <w:rsid w:val="001F24B5"/>
    <w:pPr>
      <w:tabs>
        <w:tab w:val="num" w:pos="1512"/>
      </w:tabs>
      <w:spacing w:before="100" w:after="100" w:line="276" w:lineRule="auto"/>
      <w:ind w:left="1512" w:hanging="360"/>
      <w:contextualSpacing/>
    </w:pPr>
    <w:rPr>
      <w:rFonts w:ascii="Cambria" w:eastAsia="MS Mincho" w:hAnsi="Cambria"/>
      <w:spacing w:val="2"/>
      <w:szCs w:val="20"/>
    </w:rPr>
  </w:style>
  <w:style w:type="paragraph" w:customStyle="1" w:styleId="Listnumindent2">
    <w:name w:val="List num indent 2"/>
    <w:basedOn w:val="Normal"/>
    <w:uiPriority w:val="9"/>
    <w:qFormat/>
    <w:rsid w:val="001F24B5"/>
    <w:pPr>
      <w:numPr>
        <w:ilvl w:val="7"/>
        <w:numId w:val="107"/>
      </w:numPr>
      <w:spacing w:before="100" w:after="100" w:line="276" w:lineRule="auto"/>
      <w:contextualSpacing/>
    </w:pPr>
    <w:rPr>
      <w:rFonts w:ascii="Cambria" w:eastAsia="MS Mincho" w:hAnsi="Cambria"/>
      <w:spacing w:val="2"/>
      <w:szCs w:val="20"/>
    </w:rPr>
  </w:style>
  <w:style w:type="paragraph" w:customStyle="1" w:styleId="Listnumindent">
    <w:name w:val="List num indent"/>
    <w:basedOn w:val="Normal"/>
    <w:uiPriority w:val="9"/>
    <w:qFormat/>
    <w:rsid w:val="001F24B5"/>
    <w:pPr>
      <w:numPr>
        <w:ilvl w:val="6"/>
        <w:numId w:val="107"/>
      </w:numPr>
      <w:spacing w:before="100" w:after="100" w:line="276" w:lineRule="auto"/>
    </w:pPr>
    <w:rPr>
      <w:rFonts w:ascii="Cambria" w:eastAsia="MS Mincho" w:hAnsi="Cambria"/>
      <w:spacing w:val="2"/>
      <w:szCs w:val="20"/>
    </w:rPr>
  </w:style>
  <w:style w:type="paragraph" w:customStyle="1" w:styleId="Listnum">
    <w:name w:val="List num"/>
    <w:basedOn w:val="Normal"/>
    <w:uiPriority w:val="2"/>
    <w:qFormat/>
    <w:rsid w:val="001F24B5"/>
    <w:pPr>
      <w:numPr>
        <w:numId w:val="107"/>
      </w:numPr>
      <w:spacing w:before="160" w:after="100" w:line="276" w:lineRule="auto"/>
    </w:pPr>
    <w:rPr>
      <w:rFonts w:ascii="Cambria" w:eastAsia="MS Mincho" w:hAnsi="Cambria"/>
      <w:spacing w:val="2"/>
      <w:szCs w:val="20"/>
    </w:rPr>
  </w:style>
  <w:style w:type="paragraph" w:customStyle="1" w:styleId="Listnum2">
    <w:name w:val="List num 2"/>
    <w:basedOn w:val="Normal"/>
    <w:uiPriority w:val="2"/>
    <w:qFormat/>
    <w:rsid w:val="001F24B5"/>
    <w:pPr>
      <w:numPr>
        <w:ilvl w:val="1"/>
        <w:numId w:val="107"/>
      </w:numPr>
      <w:spacing w:before="160" w:after="100" w:line="276" w:lineRule="auto"/>
    </w:pPr>
    <w:rPr>
      <w:rFonts w:ascii="Cambria" w:eastAsia="MS Mincho" w:hAnsi="Cambria"/>
      <w:spacing w:val="2"/>
      <w:szCs w:val="20"/>
    </w:rPr>
  </w:style>
  <w:style w:type="paragraph" w:customStyle="1" w:styleId="Numparaindent">
    <w:name w:val="Num para indent"/>
    <w:basedOn w:val="Normal"/>
    <w:uiPriority w:val="9"/>
    <w:qFormat/>
    <w:rsid w:val="001F24B5"/>
    <w:pPr>
      <w:numPr>
        <w:ilvl w:val="8"/>
        <w:numId w:val="107"/>
      </w:numPr>
      <w:spacing w:before="160" w:after="100" w:line="276" w:lineRule="auto"/>
      <w:contextualSpacing/>
    </w:pPr>
    <w:rPr>
      <w:rFonts w:ascii="Cambria" w:eastAsia="MS Mincho" w:hAnsi="Cambria"/>
      <w:spacing w:val="2"/>
      <w:szCs w:val="20"/>
    </w:rPr>
  </w:style>
  <w:style w:type="paragraph" w:customStyle="1" w:styleId="MainBody">
    <w:name w:val="Main Body"/>
    <w:basedOn w:val="Normal"/>
    <w:link w:val="MainBodyChar"/>
    <w:qFormat/>
    <w:rsid w:val="00176629"/>
    <w:pPr>
      <w:spacing w:before="120" w:after="120" w:line="240" w:lineRule="auto"/>
      <w:ind w:left="567"/>
    </w:pPr>
    <w:rPr>
      <w:rFonts w:eastAsia="Calibri"/>
      <w:color w:val="191919"/>
      <w:sz w:val="18"/>
      <w:szCs w:val="22"/>
    </w:rPr>
  </w:style>
  <w:style w:type="character" w:customStyle="1" w:styleId="MainBodyChar">
    <w:name w:val="Main Body Char"/>
    <w:link w:val="MainBody"/>
    <w:rsid w:val="00176629"/>
    <w:rPr>
      <w:rFonts w:ascii="Arial" w:eastAsia="Calibri" w:hAnsi="Arial"/>
      <w:color w:val="191919"/>
      <w:sz w:val="18"/>
      <w:szCs w:val="22"/>
      <w:lang w:eastAsia="en-AU"/>
    </w:rPr>
  </w:style>
  <w:style w:type="paragraph" w:customStyle="1" w:styleId="Body3">
    <w:name w:val="Body 3"/>
    <w:basedOn w:val="Normal"/>
    <w:rsid w:val="00B75807"/>
    <w:pPr>
      <w:spacing w:after="120" w:line="240" w:lineRule="auto"/>
      <w:ind w:left="1418"/>
      <w:jc w:val="both"/>
    </w:pPr>
    <w:rPr>
      <w:rFonts w:ascii="Lucida Sans" w:eastAsia="MS Mincho" w:hAnsi="Lucida Sans"/>
      <w:szCs w:val="20"/>
      <w:lang w:val="en" w:eastAsia="en-US"/>
    </w:rPr>
  </w:style>
  <w:style w:type="paragraph" w:customStyle="1" w:styleId="Content2">
    <w:name w:val="Content2"/>
    <w:basedOn w:val="Normal"/>
    <w:link w:val="Content2Char"/>
    <w:qFormat/>
    <w:rsid w:val="004B3D50"/>
    <w:pPr>
      <w:spacing w:line="240" w:lineRule="auto"/>
      <w:ind w:left="1134"/>
      <w:jc w:val="both"/>
    </w:pPr>
    <w:rPr>
      <w:rFonts w:ascii="Calibri" w:hAnsi="Calibri" w:cs="Calibri"/>
      <w:sz w:val="22"/>
      <w:szCs w:val="22"/>
      <w:lang w:val="en-US" w:eastAsia="en-GB"/>
    </w:rPr>
  </w:style>
  <w:style w:type="character" w:customStyle="1" w:styleId="Content2Char">
    <w:name w:val="Content2 Char"/>
    <w:link w:val="Content2"/>
    <w:rsid w:val="004B3D50"/>
    <w:rPr>
      <w:rFonts w:ascii="Calibri" w:hAnsi="Calibri" w:cs="Calibri"/>
      <w:sz w:val="22"/>
      <w:szCs w:val="22"/>
      <w:lang w:val="en-US" w:eastAsia="en-GB"/>
    </w:rPr>
  </w:style>
  <w:style w:type="paragraph" w:customStyle="1" w:styleId="Normalbold">
    <w:name w:val="Normal + bold"/>
    <w:basedOn w:val="Normal"/>
    <w:link w:val="NormalboldChar"/>
    <w:rsid w:val="00B76145"/>
    <w:pPr>
      <w:spacing w:after="120" w:line="240" w:lineRule="auto"/>
      <w:ind w:left="0"/>
    </w:pPr>
    <w:rPr>
      <w:rFonts w:eastAsia="MS Mincho"/>
      <w:b/>
      <w:color w:val="191919"/>
      <w:sz w:val="18"/>
      <w:lang w:eastAsia="en-US"/>
    </w:rPr>
  </w:style>
  <w:style w:type="paragraph" w:customStyle="1" w:styleId="Normalitalics">
    <w:name w:val="Normal + italics"/>
    <w:basedOn w:val="Normal"/>
    <w:link w:val="NormalitalicsChar"/>
    <w:rsid w:val="00B76145"/>
    <w:pPr>
      <w:spacing w:after="120" w:line="240" w:lineRule="auto"/>
      <w:ind w:left="0"/>
    </w:pPr>
    <w:rPr>
      <w:rFonts w:eastAsia="MS Mincho"/>
      <w:i/>
      <w:color w:val="191919"/>
      <w:sz w:val="18"/>
      <w:lang w:eastAsia="en-US"/>
    </w:rPr>
  </w:style>
  <w:style w:type="character" w:customStyle="1" w:styleId="NormalitalicsChar">
    <w:name w:val="Normal + italics Char"/>
    <w:link w:val="Normalitalics"/>
    <w:rsid w:val="00B76145"/>
    <w:rPr>
      <w:rFonts w:ascii="Arial" w:eastAsia="MS Mincho" w:hAnsi="Arial"/>
      <w:i/>
      <w:color w:val="191919"/>
      <w:sz w:val="18"/>
      <w:szCs w:val="24"/>
    </w:rPr>
  </w:style>
  <w:style w:type="numbering" w:customStyle="1" w:styleId="Bullets">
    <w:name w:val="Bullets"/>
    <w:basedOn w:val="NoList"/>
    <w:rsid w:val="00B76145"/>
    <w:pPr>
      <w:numPr>
        <w:numId w:val="143"/>
      </w:numPr>
    </w:pPr>
  </w:style>
  <w:style w:type="paragraph" w:customStyle="1" w:styleId="Normalboldcentre">
    <w:name w:val="Normal + bold + centre"/>
    <w:basedOn w:val="Normalbold"/>
    <w:rsid w:val="00B76145"/>
    <w:pPr>
      <w:spacing w:before="120"/>
      <w:jc w:val="center"/>
    </w:pPr>
    <w:rPr>
      <w:sz w:val="24"/>
    </w:rPr>
  </w:style>
  <w:style w:type="paragraph" w:customStyle="1" w:styleId="HeadingforTOC">
    <w:name w:val="Heading for TOC"/>
    <w:basedOn w:val="Normal"/>
    <w:next w:val="BodyText"/>
    <w:rsid w:val="00B76145"/>
    <w:pPr>
      <w:keepNext/>
      <w:spacing w:before="240" w:after="240" w:line="240" w:lineRule="auto"/>
      <w:ind w:left="0"/>
    </w:pPr>
    <w:rPr>
      <w:rFonts w:eastAsia="MS Mincho"/>
      <w:b/>
      <w:color w:val="F36D00"/>
      <w:lang w:eastAsia="en-US"/>
    </w:rPr>
  </w:style>
  <w:style w:type="character" w:customStyle="1" w:styleId="NormalboldChar">
    <w:name w:val="Normal + bold Char"/>
    <w:link w:val="Normalbold"/>
    <w:rsid w:val="00B76145"/>
    <w:rPr>
      <w:rFonts w:ascii="Arial" w:eastAsia="MS Mincho" w:hAnsi="Arial"/>
      <w:b/>
      <w:color w:val="191919"/>
      <w:sz w:val="18"/>
      <w:szCs w:val="24"/>
    </w:rPr>
  </w:style>
  <w:style w:type="paragraph" w:customStyle="1" w:styleId="Notes">
    <w:name w:val="Notes"/>
    <w:basedOn w:val="Normal"/>
    <w:qFormat/>
    <w:rsid w:val="00B76145"/>
    <w:pPr>
      <w:spacing w:after="120" w:line="240" w:lineRule="auto"/>
      <w:ind w:left="851"/>
    </w:pPr>
    <w:rPr>
      <w:rFonts w:eastAsia="MS Mincho"/>
      <w:i/>
      <w:color w:val="F36D00"/>
      <w:sz w:val="16"/>
      <w:lang w:eastAsia="en-US"/>
    </w:rPr>
  </w:style>
  <w:style w:type="numbering" w:customStyle="1" w:styleId="Tablebullets">
    <w:name w:val="Table bullets"/>
    <w:basedOn w:val="NoList"/>
    <w:rsid w:val="00B76145"/>
    <w:pPr>
      <w:numPr>
        <w:numId w:val="148"/>
      </w:numPr>
    </w:pPr>
  </w:style>
  <w:style w:type="numbering" w:customStyle="1" w:styleId="Tablenumbering0">
    <w:name w:val="Table numbering"/>
    <w:basedOn w:val="NoList"/>
    <w:rsid w:val="00B76145"/>
    <w:pPr>
      <w:numPr>
        <w:numId w:val="151"/>
      </w:numPr>
    </w:pPr>
  </w:style>
  <w:style w:type="paragraph" w:customStyle="1" w:styleId="HeadingnotinTOC">
    <w:name w:val="Heading not in TOC"/>
    <w:basedOn w:val="HeadingforTOC"/>
    <w:next w:val="BodyText"/>
    <w:rsid w:val="00B76145"/>
  </w:style>
  <w:style w:type="paragraph" w:customStyle="1" w:styleId="Maintitle1">
    <w:name w:val="Main title 1"/>
    <w:basedOn w:val="Normal"/>
    <w:next w:val="Maintitle2"/>
    <w:rsid w:val="00B76145"/>
    <w:pPr>
      <w:spacing w:before="1680" w:line="240" w:lineRule="auto"/>
      <w:ind w:left="0"/>
      <w:contextualSpacing/>
    </w:pPr>
    <w:rPr>
      <w:rFonts w:eastAsia="MS Mincho"/>
      <w:b/>
      <w:caps/>
      <w:color w:val="F36D00"/>
      <w:sz w:val="44"/>
      <w:lang w:eastAsia="en-US"/>
    </w:rPr>
  </w:style>
  <w:style w:type="paragraph" w:customStyle="1" w:styleId="FooterLandscape">
    <w:name w:val="Footer Landscape"/>
    <w:basedOn w:val="Footer"/>
    <w:rsid w:val="00B76145"/>
    <w:pPr>
      <w:tabs>
        <w:tab w:val="clear" w:pos="4153"/>
        <w:tab w:val="clear" w:pos="8306"/>
        <w:tab w:val="right" w:pos="14005"/>
      </w:tabs>
      <w:spacing w:line="240" w:lineRule="auto"/>
    </w:pPr>
    <w:rPr>
      <w:rFonts w:eastAsia="MS Mincho"/>
      <w:color w:val="191919"/>
      <w:sz w:val="14"/>
      <w:szCs w:val="12"/>
      <w:lang w:eastAsia="en-US"/>
    </w:rPr>
  </w:style>
  <w:style w:type="paragraph" w:customStyle="1" w:styleId="HeaderA3landscape">
    <w:name w:val="Header A3 landscape"/>
    <w:basedOn w:val="Headernormallandscape"/>
    <w:qFormat/>
    <w:rsid w:val="00B76145"/>
    <w:pPr>
      <w:tabs>
        <w:tab w:val="clear" w:pos="14005"/>
        <w:tab w:val="right" w:pos="20979"/>
      </w:tabs>
    </w:pPr>
  </w:style>
  <w:style w:type="paragraph" w:customStyle="1" w:styleId="ReviewRecord">
    <w:name w:val="Review Record"/>
    <w:basedOn w:val="Tableheading"/>
    <w:rsid w:val="00B76145"/>
    <w:rPr>
      <w:b w:val="0"/>
    </w:rPr>
  </w:style>
  <w:style w:type="paragraph" w:customStyle="1" w:styleId="tableitemnumber">
    <w:name w:val="table item number"/>
    <w:basedOn w:val="Tabletext1"/>
    <w:qFormat/>
    <w:rsid w:val="00B76145"/>
    <w:pPr>
      <w:numPr>
        <w:numId w:val="150"/>
      </w:numPr>
    </w:pPr>
    <w:rPr>
      <w:b/>
    </w:rPr>
  </w:style>
  <w:style w:type="paragraph" w:customStyle="1" w:styleId="tablenumbering">
    <w:name w:val="table numbering"/>
    <w:basedOn w:val="Tabletext1"/>
    <w:qFormat/>
    <w:rsid w:val="00B76145"/>
    <w:pPr>
      <w:numPr>
        <w:numId w:val="152"/>
      </w:numPr>
    </w:pPr>
  </w:style>
  <w:style w:type="paragraph" w:customStyle="1" w:styleId="HeaderDocNumber">
    <w:name w:val="Header Doc Number"/>
    <w:basedOn w:val="Header"/>
    <w:rsid w:val="00B76145"/>
    <w:pPr>
      <w:tabs>
        <w:tab w:val="clear" w:pos="4153"/>
        <w:tab w:val="clear" w:pos="8306"/>
      </w:tabs>
      <w:spacing w:line="240" w:lineRule="auto"/>
      <w:contextualSpacing/>
      <w:jc w:val="right"/>
    </w:pPr>
    <w:rPr>
      <w:rFonts w:eastAsia="MS Mincho"/>
      <w:color w:val="191919"/>
      <w:sz w:val="28"/>
      <w:lang w:eastAsia="en-US"/>
    </w:rPr>
  </w:style>
  <w:style w:type="paragraph" w:customStyle="1" w:styleId="Headernormal">
    <w:name w:val="Header normal"/>
    <w:basedOn w:val="HeaderDocNumber"/>
    <w:rsid w:val="00B76145"/>
    <w:pPr>
      <w:tabs>
        <w:tab w:val="right" w:pos="9072"/>
      </w:tabs>
      <w:jc w:val="left"/>
    </w:pPr>
    <w:rPr>
      <w:color w:val="F36D00"/>
    </w:rPr>
  </w:style>
  <w:style w:type="character" w:customStyle="1" w:styleId="HeaderOEUPnumber">
    <w:name w:val="Header OEUP number"/>
    <w:uiPriority w:val="1"/>
    <w:qFormat/>
    <w:rsid w:val="00B76145"/>
    <w:rPr>
      <w:rFonts w:ascii="Trebuchet MS" w:hAnsi="Trebuchet MS"/>
      <w:color w:val="191919"/>
      <w:sz w:val="28"/>
    </w:rPr>
  </w:style>
  <w:style w:type="paragraph" w:customStyle="1" w:styleId="TableNotesNumbering">
    <w:name w:val="TableNotesNumbering"/>
    <w:basedOn w:val="Normal"/>
    <w:rsid w:val="00B76145"/>
    <w:pPr>
      <w:numPr>
        <w:numId w:val="156"/>
      </w:numPr>
      <w:spacing w:before="60" w:after="60" w:line="240" w:lineRule="auto"/>
    </w:pPr>
    <w:rPr>
      <w:i/>
      <w:color w:val="F36D00"/>
      <w:sz w:val="16"/>
      <w:lang w:eastAsia="en-US"/>
    </w:rPr>
  </w:style>
  <w:style w:type="paragraph" w:customStyle="1" w:styleId="TableNotes">
    <w:name w:val="TableNotes"/>
    <w:basedOn w:val="Tabletext1"/>
    <w:rsid w:val="00B76145"/>
    <w:rPr>
      <w:i/>
      <w:color w:val="F36D00"/>
      <w:sz w:val="16"/>
    </w:rPr>
  </w:style>
  <w:style w:type="character" w:customStyle="1" w:styleId="Footerpagenumber">
    <w:name w:val="Footer page number"/>
    <w:uiPriority w:val="1"/>
    <w:rsid w:val="00B76145"/>
    <w:rPr>
      <w:rFonts w:ascii="Arial" w:hAnsi="Arial"/>
      <w:sz w:val="24"/>
    </w:rPr>
  </w:style>
  <w:style w:type="paragraph" w:customStyle="1" w:styleId="Headernormallandscape">
    <w:name w:val="Header normal landscape"/>
    <w:basedOn w:val="Headernormal"/>
    <w:rsid w:val="00B76145"/>
    <w:pPr>
      <w:tabs>
        <w:tab w:val="clear" w:pos="9072"/>
        <w:tab w:val="right" w:pos="14005"/>
      </w:tabs>
    </w:pPr>
  </w:style>
  <w:style w:type="paragraph" w:customStyle="1" w:styleId="NotesNumbering">
    <w:name w:val="NotesNumbering"/>
    <w:basedOn w:val="Notes"/>
    <w:rsid w:val="00B76145"/>
    <w:pPr>
      <w:numPr>
        <w:numId w:val="144"/>
      </w:numPr>
    </w:pPr>
  </w:style>
  <w:style w:type="character" w:customStyle="1" w:styleId="Footertemplatebox">
    <w:name w:val="Footer template box"/>
    <w:uiPriority w:val="1"/>
    <w:rsid w:val="00B76145"/>
    <w:rPr>
      <w:rFonts w:ascii="Trebuchet MS" w:hAnsi="Trebuchet MS"/>
      <w:color w:val="191919"/>
      <w:sz w:val="12"/>
      <w:bdr w:val="single" w:sz="4" w:space="0" w:color="191919"/>
    </w:rPr>
  </w:style>
  <w:style w:type="numbering" w:customStyle="1" w:styleId="Style1">
    <w:name w:val="Style1"/>
    <w:uiPriority w:val="99"/>
    <w:rsid w:val="00B76145"/>
    <w:pPr>
      <w:numPr>
        <w:numId w:val="146"/>
      </w:numPr>
    </w:pPr>
  </w:style>
  <w:style w:type="character" w:customStyle="1" w:styleId="EmailStyle71">
    <w:name w:val="EmailStyle71"/>
    <w:semiHidden/>
    <w:rsid w:val="00B76145"/>
    <w:rPr>
      <w:rFonts w:ascii="Arial" w:hAnsi="Arial" w:cs="Arial"/>
      <w:color w:val="000080"/>
      <w:sz w:val="20"/>
      <w:szCs w:val="20"/>
    </w:rPr>
  </w:style>
  <w:style w:type="paragraph" w:customStyle="1" w:styleId="FooterA3Landscape">
    <w:name w:val="Footer A3 Landscape"/>
    <w:basedOn w:val="FooterLandscape"/>
    <w:qFormat/>
    <w:rsid w:val="00B76145"/>
    <w:pPr>
      <w:tabs>
        <w:tab w:val="clear" w:pos="14005"/>
        <w:tab w:val="right" w:pos="20979"/>
      </w:tabs>
    </w:pPr>
  </w:style>
  <w:style w:type="numbering" w:customStyle="1" w:styleId="StyleBulleted">
    <w:name w:val="Style Bulleted"/>
    <w:basedOn w:val="NoList"/>
    <w:rsid w:val="00B76145"/>
    <w:pPr>
      <w:numPr>
        <w:numId w:val="145"/>
      </w:numPr>
    </w:pPr>
  </w:style>
  <w:style w:type="numbering" w:customStyle="1" w:styleId="Table1Numbering">
    <w:name w:val="Table 1. Numbering"/>
    <w:basedOn w:val="NoList"/>
    <w:rsid w:val="00B76145"/>
    <w:pPr>
      <w:numPr>
        <w:numId w:val="147"/>
      </w:numPr>
    </w:pPr>
  </w:style>
  <w:style w:type="numbering" w:customStyle="1" w:styleId="TableBullets0">
    <w:name w:val="Table Bullets"/>
    <w:basedOn w:val="NoList"/>
    <w:rsid w:val="00B76145"/>
    <w:pPr>
      <w:numPr>
        <w:numId w:val="149"/>
      </w:numPr>
    </w:pPr>
  </w:style>
  <w:style w:type="paragraph" w:customStyle="1" w:styleId="MaintitleUpstream">
    <w:name w:val="Main title Upstream"/>
    <w:basedOn w:val="Maintitle1"/>
    <w:qFormat/>
    <w:rsid w:val="00B76145"/>
    <w:pPr>
      <w:shd w:val="clear" w:color="auto" w:fill="749953"/>
      <w:spacing w:before="1920"/>
    </w:pPr>
    <w:rPr>
      <w:color w:val="FFFFFF"/>
    </w:rPr>
  </w:style>
  <w:style w:type="numbering" w:customStyle="1" w:styleId="TableNumbering1">
    <w:name w:val="Table Numbering"/>
    <w:basedOn w:val="NoList"/>
    <w:rsid w:val="00B76145"/>
    <w:pPr>
      <w:numPr>
        <w:numId w:val="153"/>
      </w:numPr>
    </w:pPr>
  </w:style>
  <w:style w:type="numbering" w:customStyle="1" w:styleId="TableNumberingLevel2">
    <w:name w:val="Table Numbering + Level 2"/>
    <w:basedOn w:val="TableNumbering1"/>
    <w:rsid w:val="00B76145"/>
    <w:pPr>
      <w:numPr>
        <w:numId w:val="154"/>
      </w:numPr>
    </w:pPr>
  </w:style>
  <w:style w:type="paragraph" w:customStyle="1" w:styleId="Tabletextbold">
    <w:name w:val="Table text + bold"/>
    <w:basedOn w:val="Tabletext1"/>
    <w:rsid w:val="00B76145"/>
    <w:pPr>
      <w:framePr w:hSpace="180" w:wrap="around" w:vAnchor="text" w:hAnchor="margin" w:y="262"/>
    </w:pPr>
    <w:rPr>
      <w:b/>
    </w:rPr>
  </w:style>
  <w:style w:type="numbering" w:customStyle="1" w:styleId="Tabletextsize8bullets">
    <w:name w:val="Table text + size 8 bullets"/>
    <w:basedOn w:val="Numbering"/>
    <w:rsid w:val="00B76145"/>
    <w:pPr>
      <w:numPr>
        <w:numId w:val="155"/>
      </w:numPr>
    </w:pPr>
  </w:style>
  <w:style w:type="paragraph" w:customStyle="1" w:styleId="alphanumbering">
    <w:name w:val="alphanumbering"/>
    <w:basedOn w:val="numbering0"/>
    <w:qFormat/>
    <w:rsid w:val="00B76145"/>
    <w:pPr>
      <w:numPr>
        <w:numId w:val="142"/>
      </w:numPr>
    </w:pPr>
    <w:rPr>
      <w:color w:val="191919"/>
      <w:sz w:val="18"/>
      <w:szCs w:val="24"/>
    </w:rPr>
  </w:style>
  <w:style w:type="paragraph" w:customStyle="1" w:styleId="MSDFirstBullet">
    <w:name w:val="MSD First Bullet"/>
    <w:rsid w:val="00B76145"/>
    <w:pPr>
      <w:numPr>
        <w:numId w:val="118"/>
      </w:numPr>
      <w:spacing w:after="120"/>
      <w:jc w:val="both"/>
    </w:pPr>
    <w:rPr>
      <w:rFonts w:ascii="Arial" w:hAnsi="Arial"/>
    </w:rPr>
  </w:style>
  <w:style w:type="paragraph" w:customStyle="1" w:styleId="MSDText">
    <w:name w:val="MSD Text"/>
    <w:link w:val="MSDTextChar"/>
    <w:rsid w:val="00B76145"/>
    <w:pPr>
      <w:spacing w:after="120"/>
      <w:ind w:left="851"/>
      <w:jc w:val="both"/>
    </w:pPr>
    <w:rPr>
      <w:rFonts w:ascii="Arial" w:hAnsi="Arial"/>
    </w:rPr>
  </w:style>
  <w:style w:type="character" w:customStyle="1" w:styleId="MSDTextChar">
    <w:name w:val="MSD Text Char"/>
    <w:link w:val="MSDText"/>
    <w:rsid w:val="00B76145"/>
    <w:rPr>
      <w:rFonts w:ascii="Arial" w:hAnsi="Arial"/>
      <w:lang w:eastAsia="en-AU"/>
    </w:rPr>
  </w:style>
  <w:style w:type="character" w:customStyle="1" w:styleId="BulletsChar">
    <w:name w:val="Bullets Char"/>
    <w:rsid w:val="00B76145"/>
    <w:rPr>
      <w:rFonts w:ascii="Arial" w:eastAsia="Times New Roman" w:hAnsi="Arial" w:cs="Times New Roman"/>
      <w:sz w:val="20"/>
      <w:szCs w:val="20"/>
    </w:rPr>
  </w:style>
  <w:style w:type="paragraph" w:customStyle="1" w:styleId="StyleHeading6Firstline0cm">
    <w:name w:val="Style Heading 6 + First line:  0 cm"/>
    <w:basedOn w:val="Heading6"/>
    <w:rsid w:val="00B76145"/>
    <w:pPr>
      <w:keepNext/>
      <w:spacing w:before="120" w:after="120"/>
      <w:ind w:left="851"/>
      <w:jc w:val="both"/>
    </w:pPr>
    <w:rPr>
      <w:rFonts w:eastAsia="Times New Roman"/>
      <w:i/>
      <w:iCs/>
      <w:kern w:val="32"/>
      <w:sz w:val="22"/>
      <w:szCs w:val="20"/>
      <w:lang w:eastAsia="en-AU"/>
    </w:rPr>
  </w:style>
  <w:style w:type="paragraph" w:customStyle="1" w:styleId="ParaDot">
    <w:name w:val="ParaDot"/>
    <w:basedOn w:val="bullet"/>
    <w:uiPriority w:val="99"/>
    <w:qFormat/>
    <w:rsid w:val="00B76145"/>
    <w:pPr>
      <w:numPr>
        <w:numId w:val="119"/>
      </w:numPr>
    </w:pPr>
  </w:style>
  <w:style w:type="numbering" w:customStyle="1" w:styleId="Procedurebullet">
    <w:name w:val="Procedure bullet"/>
    <w:rsid w:val="00B76145"/>
    <w:pPr>
      <w:numPr>
        <w:numId w:val="119"/>
      </w:numPr>
    </w:pPr>
  </w:style>
  <w:style w:type="paragraph" w:customStyle="1" w:styleId="Bulleted">
    <w:name w:val="Bulleted"/>
    <w:basedOn w:val="Normal"/>
    <w:qFormat/>
    <w:rsid w:val="00B76145"/>
    <w:pPr>
      <w:spacing w:before="40" w:after="40" w:line="240" w:lineRule="auto"/>
      <w:ind w:left="0"/>
    </w:pPr>
    <w:rPr>
      <w:rFonts w:eastAsia="MS Mincho"/>
      <w:color w:val="191919"/>
      <w:sz w:val="18"/>
      <w:lang w:eastAsia="en-US"/>
    </w:rPr>
  </w:style>
  <w:style w:type="paragraph" w:customStyle="1" w:styleId="Tablebullet2">
    <w:name w:val="Table bullet2"/>
    <w:basedOn w:val="BodyText"/>
    <w:rsid w:val="00B76145"/>
    <w:pPr>
      <w:numPr>
        <w:numId w:val="120"/>
      </w:numPr>
      <w:spacing w:before="40" w:after="40" w:line="240" w:lineRule="auto"/>
      <w:ind w:left="568" w:hanging="284"/>
    </w:pPr>
    <w:rPr>
      <w:rFonts w:eastAsia="MS Mincho"/>
      <w:color w:val="191919"/>
      <w:sz w:val="18"/>
      <w:lang w:eastAsia="en-US"/>
    </w:rPr>
  </w:style>
  <w:style w:type="paragraph" w:customStyle="1" w:styleId="Heading3b">
    <w:name w:val="Heading 3b"/>
    <w:basedOn w:val="Heading3"/>
    <w:link w:val="Heading3bChar"/>
    <w:qFormat/>
    <w:rsid w:val="00B76145"/>
    <w:pPr>
      <w:numPr>
        <w:numId w:val="120"/>
      </w:numPr>
      <w:tabs>
        <w:tab w:val="clear" w:pos="1080"/>
      </w:tabs>
      <w:spacing w:before="120" w:after="120" w:line="240" w:lineRule="auto"/>
    </w:pPr>
    <w:rPr>
      <w:rFonts w:eastAsia="MS Mincho"/>
      <w:b w:val="0"/>
      <w:color w:val="F36D00"/>
      <w:sz w:val="18"/>
    </w:rPr>
  </w:style>
  <w:style w:type="numbering" w:customStyle="1" w:styleId="Procedurebullet1">
    <w:name w:val="Procedure bullet1"/>
    <w:rsid w:val="00B76145"/>
    <w:pPr>
      <w:numPr>
        <w:numId w:val="120"/>
      </w:numPr>
    </w:pPr>
  </w:style>
  <w:style w:type="numbering" w:customStyle="1" w:styleId="Tabletextsize8bullets1">
    <w:name w:val="Table text + size 8 bullets1"/>
    <w:basedOn w:val="Numbering"/>
    <w:rsid w:val="00B76145"/>
    <w:pPr>
      <w:numPr>
        <w:numId w:val="117"/>
      </w:numPr>
    </w:pPr>
  </w:style>
  <w:style w:type="character" w:customStyle="1" w:styleId="EmailStyle116">
    <w:name w:val="EmailStyle116"/>
    <w:semiHidden/>
    <w:rsid w:val="00B76145"/>
    <w:rPr>
      <w:rFonts w:ascii="Arial" w:hAnsi="Arial" w:cs="Arial"/>
      <w:color w:val="000080"/>
      <w:sz w:val="20"/>
      <w:szCs w:val="20"/>
    </w:rPr>
  </w:style>
  <w:style w:type="character" w:customStyle="1" w:styleId="EmailStyle120">
    <w:name w:val="EmailStyle120"/>
    <w:semiHidden/>
    <w:rsid w:val="00B76145"/>
    <w:rPr>
      <w:rFonts w:ascii="Arial" w:hAnsi="Arial" w:cs="Arial"/>
      <w:color w:val="000080"/>
      <w:sz w:val="20"/>
      <w:szCs w:val="20"/>
    </w:rPr>
  </w:style>
  <w:style w:type="paragraph" w:customStyle="1" w:styleId="TOCHeading1">
    <w:name w:val="TOC Heading1"/>
    <w:basedOn w:val="Heading1"/>
    <w:next w:val="Normal"/>
    <w:uiPriority w:val="99"/>
    <w:unhideWhenUsed/>
    <w:qFormat/>
    <w:rsid w:val="00B76145"/>
    <w:pPr>
      <w:spacing w:after="240" w:line="240" w:lineRule="auto"/>
      <w:outlineLvl w:val="9"/>
    </w:pPr>
    <w:rPr>
      <w:rFonts w:eastAsia="MS Mincho"/>
      <w:b/>
      <w:color w:val="F36D00"/>
      <w:sz w:val="24"/>
      <w:lang w:eastAsia="en-US"/>
    </w:rPr>
  </w:style>
  <w:style w:type="paragraph" w:customStyle="1" w:styleId="MediumGrid21">
    <w:name w:val="Medium Grid 21"/>
    <w:basedOn w:val="Normal"/>
    <w:uiPriority w:val="99"/>
    <w:qFormat/>
    <w:rsid w:val="00B76145"/>
    <w:pPr>
      <w:spacing w:line="240" w:lineRule="auto"/>
      <w:ind w:left="0"/>
    </w:pPr>
    <w:rPr>
      <w:rFonts w:eastAsia="MS Mincho"/>
      <w:color w:val="191919"/>
      <w:sz w:val="18"/>
      <w:lang w:eastAsia="en-US"/>
    </w:rPr>
  </w:style>
  <w:style w:type="paragraph" w:customStyle="1" w:styleId="Tableheadingsmall">
    <w:name w:val="Table heading small"/>
    <w:basedOn w:val="Tableheading"/>
    <w:uiPriority w:val="99"/>
    <w:rsid w:val="00B76145"/>
    <w:rPr>
      <w:lang w:eastAsia="en-AU"/>
    </w:rPr>
  </w:style>
  <w:style w:type="paragraph" w:customStyle="1" w:styleId="ColorfulGrid-Accent11">
    <w:name w:val="Colorful Grid - Accent 11"/>
    <w:basedOn w:val="Normal"/>
    <w:next w:val="Normal"/>
    <w:link w:val="ColorfulGrid-Accent1Char"/>
    <w:uiPriority w:val="99"/>
    <w:qFormat/>
    <w:rsid w:val="00B76145"/>
    <w:pPr>
      <w:spacing w:line="240" w:lineRule="auto"/>
      <w:ind w:left="360" w:right="360"/>
    </w:pPr>
    <w:rPr>
      <w:rFonts w:ascii="Calibri" w:eastAsia="MS Mincho" w:hAnsi="Calibri"/>
      <w:i/>
      <w:iCs/>
      <w:color w:val="191919"/>
      <w:sz w:val="18"/>
      <w:lang w:eastAsia="en-US"/>
    </w:rPr>
  </w:style>
  <w:style w:type="character" w:customStyle="1" w:styleId="ColorfulGrid-Accent1Char">
    <w:name w:val="Colorful Grid - Accent 1 Char"/>
    <w:link w:val="ColorfulGrid-Accent11"/>
    <w:uiPriority w:val="99"/>
    <w:rsid w:val="00B76145"/>
    <w:rPr>
      <w:rFonts w:ascii="Calibri" w:eastAsia="MS Mincho" w:hAnsi="Calibri"/>
      <w:i/>
      <w:iCs/>
      <w:color w:val="191919"/>
      <w:sz w:val="18"/>
      <w:szCs w:val="24"/>
    </w:rPr>
  </w:style>
  <w:style w:type="paragraph" w:customStyle="1" w:styleId="OriginRef">
    <w:name w:val="OriginRef"/>
    <w:basedOn w:val="Normal"/>
    <w:next w:val="Normal"/>
    <w:uiPriority w:val="99"/>
    <w:rsid w:val="00B76145"/>
    <w:pPr>
      <w:tabs>
        <w:tab w:val="left" w:pos="709"/>
      </w:tabs>
      <w:spacing w:line="240" w:lineRule="auto"/>
      <w:ind w:left="0"/>
      <w:contextualSpacing/>
    </w:pPr>
    <w:rPr>
      <w:rFonts w:eastAsia="MS Mincho"/>
      <w:color w:val="191919"/>
      <w:sz w:val="12"/>
      <w:lang w:eastAsia="en-US"/>
    </w:rPr>
  </w:style>
  <w:style w:type="paragraph" w:customStyle="1" w:styleId="OriginAddress">
    <w:name w:val="OriginAddress"/>
    <w:basedOn w:val="OriginRef"/>
    <w:uiPriority w:val="99"/>
    <w:rsid w:val="00B76145"/>
    <w:rPr>
      <w:sz w:val="16"/>
    </w:rPr>
  </w:style>
  <w:style w:type="paragraph" w:styleId="ListBullet4">
    <w:name w:val="List Bullet 4"/>
    <w:basedOn w:val="Normal"/>
    <w:rsid w:val="00B76145"/>
    <w:pPr>
      <w:numPr>
        <w:numId w:val="121"/>
      </w:numPr>
      <w:spacing w:after="120" w:line="240" w:lineRule="auto"/>
      <w:contextualSpacing/>
    </w:pPr>
    <w:rPr>
      <w:rFonts w:eastAsia="MS Mincho"/>
      <w:color w:val="191919"/>
      <w:sz w:val="18"/>
      <w:lang w:eastAsia="en-US"/>
    </w:rPr>
  </w:style>
  <w:style w:type="paragraph" w:styleId="ListBullet5">
    <w:name w:val="List Bullet 5"/>
    <w:basedOn w:val="Normal"/>
    <w:uiPriority w:val="99"/>
    <w:rsid w:val="00B76145"/>
    <w:pPr>
      <w:numPr>
        <w:numId w:val="122"/>
      </w:numPr>
      <w:spacing w:after="120" w:line="240" w:lineRule="auto"/>
      <w:contextualSpacing/>
    </w:pPr>
    <w:rPr>
      <w:rFonts w:eastAsia="MS Mincho"/>
      <w:color w:val="191919"/>
      <w:sz w:val="18"/>
      <w:lang w:eastAsia="en-US"/>
    </w:rPr>
  </w:style>
  <w:style w:type="paragraph" w:styleId="BlockText">
    <w:name w:val="Block Text"/>
    <w:basedOn w:val="Normal"/>
    <w:uiPriority w:val="99"/>
    <w:rsid w:val="00B76145"/>
    <w:pPr>
      <w:pBdr>
        <w:top w:val="single" w:sz="2" w:space="10" w:color="C41425"/>
        <w:left w:val="single" w:sz="2" w:space="10" w:color="C41425"/>
        <w:bottom w:val="single" w:sz="2" w:space="10" w:color="C41425"/>
        <w:right w:val="single" w:sz="2" w:space="10" w:color="C41425"/>
      </w:pBdr>
      <w:spacing w:after="120" w:line="240" w:lineRule="auto"/>
      <w:ind w:left="1152" w:right="1152"/>
    </w:pPr>
    <w:rPr>
      <w:i/>
      <w:iCs/>
      <w:color w:val="C41425"/>
      <w:sz w:val="18"/>
      <w:lang w:eastAsia="en-US"/>
    </w:rPr>
  </w:style>
  <w:style w:type="table" w:styleId="MediumGrid3-Accent2">
    <w:name w:val="Medium Grid 3 Accent 2"/>
    <w:basedOn w:val="TableNormal"/>
    <w:uiPriority w:val="99"/>
    <w:rsid w:val="00B76145"/>
    <w:rPr>
      <w:rFonts w:ascii="Calibri" w:eastAsia="Calibri" w:hAnsi="Calibri"/>
      <w:color w:val="943634"/>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OriginHeaderTable">
    <w:name w:val="Origin Header Table"/>
    <w:basedOn w:val="TableGrid"/>
    <w:uiPriority w:val="99"/>
    <w:rsid w:val="00B76145"/>
    <w:pPr>
      <w:spacing w:before="120" w:after="120" w:line="240" w:lineRule="auto"/>
      <w:ind w:left="0"/>
    </w:pPr>
    <w:rPr>
      <w:rFonts w:ascii="Trebuchet MS" w:hAnsi="Trebuchet MS"/>
    </w:rPr>
    <w:tblPr>
      <w:tblStyleRowBandSize w:val="1"/>
      <w:tblStyleColBandSize w:val="1"/>
      <w:tblBorders>
        <w:top w:val="single" w:sz="8" w:space="0" w:color="444744"/>
        <w:left w:val="none" w:sz="0" w:space="0" w:color="auto"/>
        <w:bottom w:val="single" w:sz="8" w:space="0" w:color="444744"/>
        <w:right w:val="none" w:sz="0" w:space="0" w:color="auto"/>
        <w:insideH w:val="single" w:sz="8" w:space="0" w:color="444744"/>
        <w:insideV w:val="none" w:sz="0" w:space="0" w:color="auto"/>
      </w:tblBorders>
    </w:tblPr>
    <w:tcPr>
      <w:shd w:val="clear" w:color="auto" w:fill="auto"/>
    </w:tcPr>
    <w:tblStylePr w:type="firstRow">
      <w:pPr>
        <w:spacing w:before="0" w:after="0"/>
      </w:pPr>
      <w:rPr>
        <w:rFonts w:cs="Times New Roman"/>
        <w:b w:val="0"/>
        <w:bCs/>
      </w:rPr>
      <w:tblPr/>
      <w:tcPr>
        <w:tcBorders>
          <w:top w:val="single" w:sz="8" w:space="0" w:color="444744"/>
          <w:left w:val="nil"/>
          <w:bottom w:val="single" w:sz="8" w:space="0" w:color="auto"/>
          <w:right w:val="nil"/>
          <w:insideH w:val="nil"/>
          <w:insideV w:val="nil"/>
        </w:tcBorders>
        <w:shd w:val="clear" w:color="auto" w:fill="auto"/>
      </w:tcPr>
    </w:tblStylePr>
    <w:tblStylePr w:type="lastRow">
      <w:pPr>
        <w:spacing w:before="0" w:after="0"/>
      </w:pPr>
      <w:rPr>
        <w:rFonts w:cs="Times New Roman"/>
        <w:b w:val="0"/>
        <w:bCs/>
      </w:rPr>
      <w:tblPr/>
      <w:tcPr>
        <w:tcBorders>
          <w:top w:val="single" w:sz="8" w:space="0" w:color="444744"/>
          <w:left w:val="nil"/>
          <w:bottom w:val="single" w:sz="8" w:space="0" w:color="444744"/>
          <w:right w:val="nil"/>
          <w:insideH w:val="nil"/>
          <w:insideV w:val="nil"/>
        </w:tcBorders>
        <w:shd w:val="clear" w:color="auto" w:fill="auto"/>
      </w:tcPr>
    </w:tblStylePr>
    <w:tblStylePr w:type="firstCol">
      <w:pPr>
        <w:spacing w:beforeLines="0" w:beforeAutospacing="0" w:afterLines="60" w:afterAutospacing="0"/>
      </w:pPr>
      <w:rPr>
        <w:rFonts w:cs="Times New Roman"/>
        <w:b w:val="0"/>
        <w:bCs/>
      </w:rPr>
      <w:tblPr/>
      <w:tcPr>
        <w:shd w:val="clear" w:color="auto" w:fill="DDDDDD"/>
      </w:tcPr>
    </w:tblStylePr>
    <w:tblStylePr w:type="lastCol">
      <w:rPr>
        <w:rFonts w:cs="Times New Roman"/>
        <w:b w:val="0"/>
        <w:bCs/>
      </w:rPr>
    </w:tblStylePr>
    <w:tblStylePr w:type="band1Vert">
      <w:rPr>
        <w:rFonts w:cs="Times New Roman"/>
        <w:b/>
      </w:rPr>
      <w:tblPr/>
      <w:tcPr>
        <w:shd w:val="clear" w:color="auto" w:fill="DDDDDD"/>
      </w:tcPr>
    </w:tblStylePr>
  </w:style>
  <w:style w:type="table" w:customStyle="1" w:styleId="OriginContentTable">
    <w:name w:val="Origin Content Table"/>
    <w:basedOn w:val="OriginHeaderTable"/>
    <w:uiPriority w:val="99"/>
    <w:qFormat/>
    <w:rsid w:val="00B76145"/>
    <w:tblPr>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pPr>
        <w:spacing w:beforeLines="0" w:before="0" w:beforeAutospacing="0" w:afterLines="0" w:after="0" w:afterAutospacing="0"/>
      </w:pPr>
      <w:rPr>
        <w:rFonts w:cs="Times New Roman"/>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DDDDD"/>
      </w:tcPr>
    </w:tblStylePr>
    <w:tblStylePr w:type="lastRow">
      <w:pPr>
        <w:spacing w:beforeLines="0" w:before="0" w:beforeAutospacing="0" w:afterLines="0" w:after="0" w:afterAutospacing="0"/>
      </w:pPr>
      <w:rPr>
        <w:rFonts w:ascii="Angsana New" w:hAnsi="Angsana New" w:cs="Times New Roman"/>
        <w:b w:val="0"/>
        <w:bCs/>
        <w:i w:val="0"/>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auto"/>
      </w:tcPr>
    </w:tblStylePr>
    <w:tblStylePr w:type="firstCol">
      <w:pPr>
        <w:spacing w:beforeLines="0" w:beforeAutospacing="0" w:afterLines="0" w:afterAutospacing="0"/>
      </w:pPr>
      <w:rPr>
        <w:rFonts w:cs="Times New Roman"/>
        <w:b w:val="0"/>
        <w:bCs/>
      </w:rPr>
      <w:tblPr/>
      <w:tcPr>
        <w:shd w:val="clear" w:color="auto" w:fill="DDDDDD"/>
      </w:tcPr>
    </w:tblStylePr>
    <w:tblStylePr w:type="lastCol">
      <w:rPr>
        <w:rFonts w:cs="Times New Roman"/>
        <w:b w:val="0"/>
        <w:bCs/>
      </w:rPr>
    </w:tblStylePr>
    <w:tblStylePr w:type="band1Vert">
      <w:rPr>
        <w:rFonts w:cs="Times New Roman"/>
        <w:b/>
      </w:rPr>
      <w:tblPr/>
      <w:tcPr>
        <w:shd w:val="clear" w:color="auto" w:fill="DDDDDD"/>
      </w:tcPr>
    </w:tblStylePr>
    <w:tblStylePr w:type="band1Horz">
      <w:pPr>
        <w:spacing w:beforeLines="0" w:beforeAutospacing="0" w:afterLines="0" w:afterAutospacing="0"/>
      </w:pPr>
      <w:rPr>
        <w:rFonts w:cs="Times New Roman"/>
      </w:rPr>
    </w:tblStylePr>
    <w:tblStylePr w:type="band2Horz">
      <w:pPr>
        <w:spacing w:beforeLines="0" w:beforeAutospacing="0" w:afterLines="0" w:afterAutospacing="0"/>
      </w:pPr>
      <w:rPr>
        <w:rFonts w:cs="Times New Roman"/>
      </w:rPr>
    </w:tblStylePr>
  </w:style>
  <w:style w:type="paragraph" w:customStyle="1" w:styleId="TablesandFiguresTitle">
    <w:name w:val="Tables and Figures Title"/>
    <w:basedOn w:val="Normal"/>
    <w:uiPriority w:val="99"/>
    <w:rsid w:val="00B76145"/>
    <w:pPr>
      <w:spacing w:before="160" w:line="240" w:lineRule="auto"/>
      <w:ind w:left="0"/>
      <w:jc w:val="center"/>
    </w:pPr>
    <w:rPr>
      <w:b/>
      <w:color w:val="191919"/>
      <w:sz w:val="18"/>
      <w:lang w:eastAsia="en-US"/>
    </w:rPr>
  </w:style>
  <w:style w:type="paragraph" w:customStyle="1" w:styleId="OriginDocumentType">
    <w:name w:val="Origin Document Type"/>
    <w:basedOn w:val="Normal"/>
    <w:link w:val="OriginDocumentTypeChar"/>
    <w:uiPriority w:val="99"/>
    <w:rsid w:val="00B76145"/>
    <w:pPr>
      <w:spacing w:line="240" w:lineRule="auto"/>
      <w:ind w:left="0"/>
    </w:pPr>
    <w:rPr>
      <w:rFonts w:eastAsia="MS Mincho" w:cs="Trebuchet MS"/>
      <w:b/>
      <w:bCs/>
      <w:color w:val="808080"/>
      <w:sz w:val="40"/>
      <w:szCs w:val="48"/>
    </w:rPr>
  </w:style>
  <w:style w:type="paragraph" w:customStyle="1" w:styleId="OriginDocID">
    <w:name w:val="Origin Doc ID"/>
    <w:basedOn w:val="Normal"/>
    <w:next w:val="Normal"/>
    <w:link w:val="OriginDocIDChar"/>
    <w:uiPriority w:val="99"/>
    <w:rsid w:val="00B76145"/>
    <w:pPr>
      <w:spacing w:line="240" w:lineRule="auto"/>
      <w:ind w:left="0"/>
    </w:pPr>
    <w:rPr>
      <w:rFonts w:eastAsia="MS Mincho" w:cs="Trebuchet MS"/>
      <w:bCs/>
      <w:color w:val="808080"/>
      <w:sz w:val="28"/>
      <w:szCs w:val="28"/>
    </w:rPr>
  </w:style>
  <w:style w:type="character" w:customStyle="1" w:styleId="OriginDocumentTypeChar">
    <w:name w:val="Origin Document Type Char"/>
    <w:link w:val="OriginDocumentType"/>
    <w:uiPriority w:val="99"/>
    <w:locked/>
    <w:rsid w:val="00B76145"/>
    <w:rPr>
      <w:rFonts w:ascii="Arial" w:eastAsia="MS Mincho" w:hAnsi="Arial" w:cs="Trebuchet MS"/>
      <w:b/>
      <w:bCs/>
      <w:color w:val="808080"/>
      <w:sz w:val="40"/>
      <w:szCs w:val="48"/>
      <w:lang w:eastAsia="en-AU"/>
    </w:rPr>
  </w:style>
  <w:style w:type="character" w:customStyle="1" w:styleId="OriginDocIDChar">
    <w:name w:val="Origin Doc ID Char"/>
    <w:link w:val="OriginDocID"/>
    <w:uiPriority w:val="99"/>
    <w:locked/>
    <w:rsid w:val="00B76145"/>
    <w:rPr>
      <w:rFonts w:ascii="Arial" w:eastAsia="MS Mincho" w:hAnsi="Arial" w:cs="Trebuchet MS"/>
      <w:bCs/>
      <w:color w:val="808080"/>
      <w:sz w:val="28"/>
      <w:szCs w:val="28"/>
      <w:lang w:eastAsia="en-AU"/>
    </w:rPr>
  </w:style>
  <w:style w:type="paragraph" w:customStyle="1" w:styleId="GuideHeadings">
    <w:name w:val="Guide Headings"/>
    <w:basedOn w:val="Heading2"/>
    <w:next w:val="BodyText2indent"/>
    <w:link w:val="GuideHeadingsChar"/>
    <w:qFormat/>
    <w:rsid w:val="00B76145"/>
    <w:pPr>
      <w:tabs>
        <w:tab w:val="clear" w:pos="720"/>
      </w:tabs>
      <w:spacing w:before="120" w:after="120" w:line="240" w:lineRule="auto"/>
      <w:ind w:left="1440" w:hanging="720"/>
    </w:pPr>
    <w:rPr>
      <w:rFonts w:eastAsia="MS Mincho"/>
      <w:color w:val="F36D00"/>
      <w:sz w:val="24"/>
      <w:lang w:eastAsia="en-US"/>
    </w:rPr>
  </w:style>
  <w:style w:type="paragraph" w:customStyle="1" w:styleId="TableHeading-left-small">
    <w:name w:val="Table Heading-left-small"/>
    <w:basedOn w:val="TableHeading-left"/>
    <w:uiPriority w:val="99"/>
    <w:rsid w:val="00B76145"/>
    <w:pPr>
      <w:spacing w:after="0"/>
    </w:pPr>
    <w:rPr>
      <w:lang w:eastAsia="zh-CN"/>
    </w:rPr>
  </w:style>
  <w:style w:type="character" w:customStyle="1" w:styleId="GuideHeadingsChar">
    <w:name w:val="Guide Headings Char"/>
    <w:link w:val="GuideHeadings"/>
    <w:locked/>
    <w:rsid w:val="00B76145"/>
    <w:rPr>
      <w:rFonts w:ascii="Arial" w:eastAsia="MS Mincho" w:hAnsi="Arial" w:cs="Arial"/>
      <w:bCs/>
      <w:iCs/>
      <w:color w:val="F36D00"/>
      <w:sz w:val="24"/>
      <w:szCs w:val="28"/>
    </w:rPr>
  </w:style>
  <w:style w:type="paragraph" w:customStyle="1" w:styleId="TableBold">
    <w:name w:val="Table Bold"/>
    <w:basedOn w:val="Normal"/>
    <w:uiPriority w:val="99"/>
    <w:rsid w:val="00B76145"/>
    <w:pPr>
      <w:spacing w:before="60" w:after="60" w:line="240" w:lineRule="auto"/>
      <w:ind w:left="0"/>
    </w:pPr>
    <w:rPr>
      <w:b/>
      <w:color w:val="191919"/>
      <w:sz w:val="18"/>
      <w:szCs w:val="18"/>
      <w:lang w:eastAsia="en-US"/>
    </w:rPr>
  </w:style>
  <w:style w:type="paragraph" w:customStyle="1" w:styleId="TypeofDocument">
    <w:name w:val="Type of Document"/>
    <w:basedOn w:val="Normal"/>
    <w:uiPriority w:val="99"/>
    <w:rsid w:val="00B76145"/>
    <w:pPr>
      <w:spacing w:line="240" w:lineRule="auto"/>
      <w:ind w:left="0"/>
    </w:pPr>
    <w:rPr>
      <w:rFonts w:eastAsia="MS Mincho"/>
      <w:b/>
      <w:color w:val="990000"/>
      <w:sz w:val="48"/>
      <w:szCs w:val="48"/>
      <w:lang w:eastAsia="en-US"/>
    </w:rPr>
  </w:style>
  <w:style w:type="paragraph" w:customStyle="1" w:styleId="StyleBold">
    <w:name w:val="Style Bold"/>
    <w:basedOn w:val="Normal"/>
    <w:link w:val="StyleBoldChar"/>
    <w:autoRedefine/>
    <w:rsid w:val="00B76145"/>
    <w:pPr>
      <w:spacing w:after="60" w:line="240" w:lineRule="auto"/>
      <w:ind w:left="0"/>
    </w:pPr>
    <w:rPr>
      <w:color w:val="191919"/>
      <w:u w:val="single"/>
      <w:lang w:eastAsia="en-US"/>
    </w:rPr>
  </w:style>
  <w:style w:type="character" w:customStyle="1" w:styleId="StyleBoldChar">
    <w:name w:val="Style Bold Char"/>
    <w:link w:val="StyleBold"/>
    <w:locked/>
    <w:rsid w:val="00B76145"/>
    <w:rPr>
      <w:rFonts w:ascii="Arial" w:hAnsi="Arial"/>
      <w:color w:val="191919"/>
      <w:sz w:val="24"/>
      <w:szCs w:val="24"/>
      <w:u w:val="single"/>
    </w:rPr>
  </w:style>
  <w:style w:type="paragraph" w:customStyle="1" w:styleId="CoverPageTable">
    <w:name w:val="Cover Page Table"/>
    <w:basedOn w:val="TableBold"/>
    <w:uiPriority w:val="99"/>
    <w:rsid w:val="00B76145"/>
    <w:pPr>
      <w:spacing w:before="40" w:after="40"/>
    </w:pPr>
    <w:rPr>
      <w:b w:val="0"/>
      <w:color w:val="808080"/>
      <w:sz w:val="24"/>
      <w:szCs w:val="24"/>
    </w:rPr>
  </w:style>
  <w:style w:type="paragraph" w:customStyle="1" w:styleId="CoverPageTabletitles">
    <w:name w:val="Cover Page Table titles"/>
    <w:basedOn w:val="CoverPageTable"/>
    <w:uiPriority w:val="99"/>
    <w:rsid w:val="00B76145"/>
    <w:rPr>
      <w:b/>
    </w:rPr>
  </w:style>
  <w:style w:type="paragraph" w:customStyle="1" w:styleId="CoverText">
    <w:name w:val="Cover Text"/>
    <w:basedOn w:val="Normal"/>
    <w:uiPriority w:val="99"/>
    <w:rsid w:val="00B76145"/>
    <w:pPr>
      <w:spacing w:after="120" w:line="240" w:lineRule="auto"/>
      <w:ind w:left="0"/>
    </w:pPr>
    <w:rPr>
      <w:rFonts w:eastAsia="MS Mincho"/>
      <w:iCs/>
      <w:color w:val="808080"/>
      <w:lang w:eastAsia="en-US"/>
    </w:rPr>
  </w:style>
  <w:style w:type="paragraph" w:customStyle="1" w:styleId="Tabletextcentre">
    <w:name w:val="Table text centre"/>
    <w:basedOn w:val="Tabletext1"/>
    <w:uiPriority w:val="99"/>
    <w:rsid w:val="00B76145"/>
    <w:pPr>
      <w:jc w:val="center"/>
    </w:pPr>
  </w:style>
  <w:style w:type="paragraph" w:customStyle="1" w:styleId="BodyText2indent">
    <w:name w:val="Body Text 2 indent"/>
    <w:basedOn w:val="Normal"/>
    <w:link w:val="BodyText2indentChar"/>
    <w:uiPriority w:val="99"/>
    <w:rsid w:val="00B76145"/>
    <w:pPr>
      <w:spacing w:after="240" w:line="240" w:lineRule="auto"/>
      <w:ind w:left="709"/>
    </w:pPr>
    <w:rPr>
      <w:color w:val="808080"/>
      <w:sz w:val="18"/>
      <w:szCs w:val="20"/>
      <w:lang w:eastAsia="en-US"/>
    </w:rPr>
  </w:style>
  <w:style w:type="character" w:customStyle="1" w:styleId="BodyText2indentChar">
    <w:name w:val="Body Text 2 indent Char"/>
    <w:link w:val="BodyText2indent"/>
    <w:uiPriority w:val="99"/>
    <w:locked/>
    <w:rsid w:val="00B76145"/>
    <w:rPr>
      <w:rFonts w:ascii="Arial" w:hAnsi="Arial"/>
      <w:color w:val="808080"/>
      <w:sz w:val="18"/>
    </w:rPr>
  </w:style>
  <w:style w:type="paragraph" w:customStyle="1" w:styleId="DocControlHeading">
    <w:name w:val="Doc Control Heading"/>
    <w:basedOn w:val="Normal"/>
    <w:uiPriority w:val="99"/>
    <w:rsid w:val="00B76145"/>
    <w:pPr>
      <w:spacing w:after="120" w:line="240" w:lineRule="auto"/>
      <w:ind w:left="0"/>
    </w:pPr>
    <w:rPr>
      <w:rFonts w:eastAsia="MS Mincho"/>
      <w:b/>
      <w:bCs/>
      <w:color w:val="A71932"/>
      <w:sz w:val="18"/>
      <w:lang w:eastAsia="en-US"/>
    </w:rPr>
  </w:style>
  <w:style w:type="paragraph" w:styleId="Subtitle">
    <w:name w:val="Subtitle"/>
    <w:basedOn w:val="Normal"/>
    <w:next w:val="Normal"/>
    <w:link w:val="SubtitleChar"/>
    <w:uiPriority w:val="99"/>
    <w:qFormat/>
    <w:rsid w:val="00B76145"/>
    <w:pPr>
      <w:spacing w:after="600" w:line="240" w:lineRule="auto"/>
      <w:ind w:left="0"/>
    </w:pPr>
    <w:rPr>
      <w:rFonts w:ascii="Cambria" w:eastAsia="MS Gothic" w:hAnsi="Cambria"/>
      <w:i/>
      <w:iCs/>
      <w:color w:val="191919"/>
      <w:spacing w:val="13"/>
      <w:lang w:eastAsia="en-US"/>
    </w:rPr>
  </w:style>
  <w:style w:type="character" w:customStyle="1" w:styleId="SubtitleChar">
    <w:name w:val="Subtitle Char"/>
    <w:link w:val="Subtitle"/>
    <w:uiPriority w:val="99"/>
    <w:rsid w:val="00B76145"/>
    <w:rPr>
      <w:rFonts w:ascii="Cambria" w:eastAsia="MS Gothic" w:hAnsi="Cambria"/>
      <w:i/>
      <w:iCs/>
      <w:color w:val="191919"/>
      <w:spacing w:val="13"/>
      <w:sz w:val="24"/>
      <w:szCs w:val="24"/>
    </w:rPr>
  </w:style>
  <w:style w:type="paragraph" w:customStyle="1" w:styleId="GuideBullet">
    <w:name w:val="Guide Bullet"/>
    <w:basedOn w:val="Normal"/>
    <w:link w:val="GuideBulletChar"/>
    <w:uiPriority w:val="99"/>
    <w:rsid w:val="00B76145"/>
    <w:pPr>
      <w:numPr>
        <w:numId w:val="125"/>
      </w:numPr>
      <w:spacing w:after="240" w:line="240" w:lineRule="auto"/>
      <w:ind w:hanging="357"/>
    </w:pPr>
    <w:rPr>
      <w:color w:val="191919"/>
      <w:sz w:val="18"/>
      <w:szCs w:val="20"/>
      <w:lang w:eastAsia="en-US"/>
    </w:rPr>
  </w:style>
  <w:style w:type="character" w:customStyle="1" w:styleId="GuideBulletChar">
    <w:name w:val="Guide Bullet Char"/>
    <w:link w:val="GuideBullet"/>
    <w:uiPriority w:val="99"/>
    <w:locked/>
    <w:rsid w:val="00B76145"/>
    <w:rPr>
      <w:rFonts w:ascii="Arial" w:hAnsi="Arial"/>
      <w:color w:val="191919"/>
      <w:sz w:val="18"/>
      <w:szCs w:val="20"/>
      <w:lang w:eastAsia="en-US"/>
    </w:rPr>
  </w:style>
  <w:style w:type="paragraph" w:customStyle="1" w:styleId="NonTocHeading">
    <w:name w:val="Non Toc Heading"/>
    <w:basedOn w:val="Heading1"/>
    <w:uiPriority w:val="99"/>
    <w:rsid w:val="00B76145"/>
    <w:pPr>
      <w:spacing w:after="240" w:line="240" w:lineRule="auto"/>
      <w:ind w:left="720" w:hanging="360"/>
    </w:pPr>
    <w:rPr>
      <w:rFonts w:eastAsia="MS Mincho"/>
      <w:b/>
      <w:color w:val="F36D00"/>
      <w:sz w:val="24"/>
      <w:lang w:eastAsia="en-US"/>
    </w:rPr>
  </w:style>
  <w:style w:type="paragraph" w:customStyle="1" w:styleId="Numbers">
    <w:name w:val="Numbers"/>
    <w:uiPriority w:val="99"/>
    <w:rsid w:val="00B76145"/>
    <w:pPr>
      <w:spacing w:before="80"/>
      <w:ind w:left="567" w:hanging="425"/>
    </w:pPr>
    <w:rPr>
      <w:rFonts w:ascii="Trebuchet MS" w:eastAsia="MS Mincho" w:hAnsi="Trebuchet MS"/>
      <w:lang w:eastAsia="en-US"/>
    </w:rPr>
  </w:style>
  <w:style w:type="character" w:customStyle="1" w:styleId="BodyTextboldandred">
    <w:name w:val="Body Text bold and red"/>
    <w:uiPriority w:val="99"/>
    <w:rsid w:val="00B76145"/>
    <w:rPr>
      <w:rFonts w:ascii="Trebuchet MS" w:hAnsi="Trebuchet MS" w:cs="Times New Roman"/>
      <w:b/>
      <w:color w:val="C41425"/>
      <w:sz w:val="20"/>
    </w:rPr>
  </w:style>
  <w:style w:type="character" w:styleId="HTMLCite">
    <w:name w:val="HTML Cite"/>
    <w:uiPriority w:val="99"/>
    <w:rsid w:val="00B76145"/>
    <w:rPr>
      <w:rFonts w:cs="Times New Roman"/>
      <w:color w:val="008000"/>
    </w:rPr>
  </w:style>
  <w:style w:type="paragraph" w:customStyle="1" w:styleId="Normalbullet">
    <w:name w:val="Normal bullet"/>
    <w:basedOn w:val="Normal"/>
    <w:link w:val="NormalbulletChar"/>
    <w:uiPriority w:val="99"/>
    <w:rsid w:val="00B76145"/>
    <w:pPr>
      <w:numPr>
        <w:numId w:val="126"/>
      </w:numPr>
      <w:spacing w:before="60" w:line="240" w:lineRule="auto"/>
    </w:pPr>
    <w:rPr>
      <w:rFonts w:ascii="Tahoma" w:hAnsi="Tahoma"/>
      <w:color w:val="191919"/>
      <w:sz w:val="22"/>
      <w:szCs w:val="20"/>
      <w:lang w:eastAsia="en-US"/>
    </w:rPr>
  </w:style>
  <w:style w:type="character" w:customStyle="1" w:styleId="NormalbulletChar">
    <w:name w:val="Normal bullet Char"/>
    <w:link w:val="Normalbullet"/>
    <w:uiPriority w:val="99"/>
    <w:locked/>
    <w:rsid w:val="00B76145"/>
    <w:rPr>
      <w:rFonts w:ascii="Tahoma" w:hAnsi="Tahoma"/>
      <w:color w:val="191919"/>
      <w:sz w:val="22"/>
      <w:szCs w:val="20"/>
      <w:lang w:eastAsia="en-US"/>
    </w:rPr>
  </w:style>
  <w:style w:type="paragraph" w:customStyle="1" w:styleId="Numbers2">
    <w:name w:val="Numbers2"/>
    <w:basedOn w:val="Normal"/>
    <w:uiPriority w:val="99"/>
    <w:rsid w:val="00B76145"/>
    <w:pPr>
      <w:spacing w:before="60" w:after="60" w:line="240" w:lineRule="auto"/>
      <w:ind w:left="851" w:hanging="284"/>
    </w:pPr>
    <w:rPr>
      <w:rFonts w:eastAsia="MS Mincho"/>
      <w:bCs/>
      <w:color w:val="191919"/>
      <w:sz w:val="18"/>
      <w:szCs w:val="20"/>
      <w:lang w:eastAsia="en-US"/>
    </w:rPr>
  </w:style>
  <w:style w:type="paragraph" w:customStyle="1" w:styleId="Numbers3">
    <w:name w:val="Numbers3"/>
    <w:basedOn w:val="Normal"/>
    <w:rsid w:val="00B76145"/>
    <w:pPr>
      <w:spacing w:after="60" w:line="240" w:lineRule="auto"/>
      <w:ind w:left="1248" w:hanging="397"/>
    </w:pPr>
    <w:rPr>
      <w:rFonts w:eastAsia="MS Mincho"/>
      <w:color w:val="191919"/>
      <w:sz w:val="18"/>
      <w:szCs w:val="20"/>
      <w:lang w:eastAsia="en-US"/>
    </w:rPr>
  </w:style>
  <w:style w:type="character" w:customStyle="1" w:styleId="indent11">
    <w:name w:val="indent11"/>
    <w:uiPriority w:val="99"/>
    <w:rsid w:val="00B76145"/>
    <w:rPr>
      <w:rFonts w:ascii="Times New Roman" w:hAnsi="Times New Roman" w:cs="Times New Roman"/>
      <w:sz w:val="24"/>
      <w:szCs w:val="24"/>
    </w:rPr>
  </w:style>
  <w:style w:type="paragraph" w:customStyle="1" w:styleId="Tabletextsmall">
    <w:name w:val="Table text small"/>
    <w:basedOn w:val="Tabletext1"/>
    <w:uiPriority w:val="99"/>
    <w:rsid w:val="00B76145"/>
    <w:pPr>
      <w:spacing w:before="20" w:after="20"/>
    </w:pPr>
    <w:rPr>
      <w:lang w:eastAsia="en-AU"/>
    </w:rPr>
  </w:style>
  <w:style w:type="paragraph" w:customStyle="1" w:styleId="Bibliography1">
    <w:name w:val="Bibliography1"/>
    <w:basedOn w:val="Normalbullet"/>
    <w:next w:val="Normal"/>
    <w:uiPriority w:val="99"/>
    <w:rsid w:val="00B76145"/>
    <w:rPr>
      <w:rFonts w:ascii="Trebuchet MS" w:hAnsi="Trebuchet MS" w:cs="Tahoma"/>
      <w:sz w:val="18"/>
    </w:rPr>
  </w:style>
  <w:style w:type="paragraph" w:customStyle="1" w:styleId="TableHeading-left">
    <w:name w:val="Table Heading-left"/>
    <w:basedOn w:val="TableHeader"/>
    <w:uiPriority w:val="99"/>
    <w:rsid w:val="00B76145"/>
    <w:pPr>
      <w:spacing w:before="40" w:line="240" w:lineRule="auto"/>
    </w:pPr>
    <w:rPr>
      <w:rFonts w:eastAsia="MS Mincho"/>
      <w:bCs/>
      <w:sz w:val="18"/>
      <w:lang w:eastAsia="en-US"/>
    </w:rPr>
  </w:style>
  <w:style w:type="paragraph" w:customStyle="1" w:styleId="Graphic">
    <w:name w:val="Graphic"/>
    <w:basedOn w:val="Tabletext1"/>
    <w:rsid w:val="00B76145"/>
    <w:pPr>
      <w:jc w:val="center"/>
    </w:pPr>
    <w:rPr>
      <w:noProof/>
      <w:lang w:eastAsia="en-AU"/>
    </w:rPr>
  </w:style>
  <w:style w:type="paragraph" w:customStyle="1" w:styleId="Appendix">
    <w:name w:val="Appendix"/>
    <w:basedOn w:val="Heading1"/>
    <w:uiPriority w:val="99"/>
    <w:qFormat/>
    <w:rsid w:val="00B76145"/>
    <w:pPr>
      <w:spacing w:after="240" w:line="240" w:lineRule="auto"/>
      <w:jc w:val="right"/>
    </w:pPr>
    <w:rPr>
      <w:rFonts w:eastAsia="MS Mincho"/>
      <w:b/>
      <w:color w:val="F36D00"/>
      <w:sz w:val="36"/>
      <w:lang w:eastAsia="en-US"/>
    </w:rPr>
  </w:style>
  <w:style w:type="paragraph" w:customStyle="1" w:styleId="Tabletextsmall-centred">
    <w:name w:val="Table text small-centred"/>
    <w:basedOn w:val="Tabletextsmall"/>
    <w:rsid w:val="00B76145"/>
    <w:pPr>
      <w:jc w:val="center"/>
    </w:pPr>
    <w:rPr>
      <w:lang w:val="en-US"/>
    </w:rPr>
  </w:style>
  <w:style w:type="paragraph" w:customStyle="1" w:styleId="Tablebullet-small">
    <w:name w:val="Table bullet-small"/>
    <w:basedOn w:val="Normal"/>
    <w:uiPriority w:val="99"/>
    <w:rsid w:val="00B76145"/>
    <w:pPr>
      <w:spacing w:before="60" w:after="60" w:line="240" w:lineRule="auto"/>
      <w:ind w:hanging="360"/>
    </w:pPr>
    <w:rPr>
      <w:color w:val="191919"/>
      <w:sz w:val="18"/>
      <w:lang w:eastAsia="en-US"/>
    </w:rPr>
  </w:style>
  <w:style w:type="paragraph" w:customStyle="1" w:styleId="Tabletextsmallcentre">
    <w:name w:val="Table text small centre"/>
    <w:basedOn w:val="Tabletextsmall"/>
    <w:uiPriority w:val="99"/>
    <w:rsid w:val="00B76145"/>
    <w:pPr>
      <w:jc w:val="center"/>
    </w:pPr>
  </w:style>
  <w:style w:type="paragraph" w:customStyle="1" w:styleId="Tablenote0">
    <w:name w:val="Table note"/>
    <w:basedOn w:val="Tabletextsmallcentre"/>
    <w:rsid w:val="00B76145"/>
    <w:pPr>
      <w:spacing w:before="40" w:after="80"/>
      <w:ind w:left="714" w:hanging="357"/>
      <w:jc w:val="left"/>
    </w:pPr>
    <w:rPr>
      <w:color w:val="C00000"/>
      <w:sz w:val="16"/>
    </w:rPr>
  </w:style>
  <w:style w:type="paragraph" w:customStyle="1" w:styleId="Tableheading-centred">
    <w:name w:val="Table heading-centred"/>
    <w:basedOn w:val="Tableheading"/>
    <w:qFormat/>
    <w:rsid w:val="00B76145"/>
    <w:rPr>
      <w:lang w:val="en-GB"/>
    </w:rPr>
  </w:style>
  <w:style w:type="paragraph" w:customStyle="1" w:styleId="Graphic-Centre">
    <w:name w:val="Graphic-Centre"/>
    <w:basedOn w:val="Normal"/>
    <w:qFormat/>
    <w:rsid w:val="00B76145"/>
    <w:pPr>
      <w:spacing w:before="80" w:line="240" w:lineRule="auto"/>
      <w:ind w:left="0"/>
      <w:jc w:val="center"/>
    </w:pPr>
    <w:rPr>
      <w:rFonts w:eastAsia="MS Mincho"/>
      <w:color w:val="191919"/>
      <w:sz w:val="16"/>
      <w:lang w:val="en-GB" w:eastAsia="en-US"/>
    </w:rPr>
  </w:style>
  <w:style w:type="paragraph" w:customStyle="1" w:styleId="NormalIndented">
    <w:name w:val="Normal Indented"/>
    <w:basedOn w:val="Normal"/>
    <w:rsid w:val="00B76145"/>
    <w:pPr>
      <w:spacing w:after="120" w:line="240" w:lineRule="auto"/>
      <w:ind w:left="1304"/>
    </w:pPr>
    <w:rPr>
      <w:rFonts w:eastAsia="MS Mincho"/>
      <w:color w:val="191919"/>
      <w:sz w:val="18"/>
      <w:lang w:eastAsia="en-US"/>
    </w:rPr>
  </w:style>
  <w:style w:type="paragraph" w:customStyle="1" w:styleId="TitlePageSmall2">
    <w:name w:val="Title Page Small 2"/>
    <w:basedOn w:val="Normal"/>
    <w:rsid w:val="00B76145"/>
    <w:pPr>
      <w:spacing w:after="40" w:line="240" w:lineRule="auto"/>
      <w:ind w:left="1134"/>
      <w:jc w:val="center"/>
    </w:pPr>
    <w:rPr>
      <w:rFonts w:ascii="Verdana" w:hAnsi="Verdana" w:cs="Arial"/>
      <w:b/>
      <w:i/>
      <w:color w:val="191919"/>
      <w:sz w:val="16"/>
      <w:szCs w:val="16"/>
    </w:rPr>
  </w:style>
  <w:style w:type="paragraph" w:customStyle="1" w:styleId="Appendix1">
    <w:name w:val="Appendix 1"/>
    <w:basedOn w:val="Heading1"/>
    <w:autoRedefine/>
    <w:rsid w:val="00B76145"/>
    <w:pPr>
      <w:spacing w:after="240" w:line="240" w:lineRule="auto"/>
      <w:jc w:val="center"/>
    </w:pPr>
    <w:rPr>
      <w:rFonts w:eastAsia="MS Mincho"/>
      <w:b/>
      <w:color w:val="F36D00"/>
      <w:sz w:val="24"/>
      <w:lang w:eastAsia="en-US"/>
    </w:rPr>
  </w:style>
  <w:style w:type="paragraph" w:customStyle="1" w:styleId="Appendix10">
    <w:name w:val="Appendix1"/>
    <w:basedOn w:val="Heading1"/>
    <w:rsid w:val="00B76145"/>
    <w:pPr>
      <w:spacing w:after="240" w:line="240" w:lineRule="auto"/>
    </w:pPr>
    <w:rPr>
      <w:rFonts w:eastAsia="MS Mincho"/>
      <w:b/>
      <w:color w:val="F36D00"/>
      <w:sz w:val="24"/>
      <w:lang w:eastAsia="en-US"/>
    </w:rPr>
  </w:style>
  <w:style w:type="paragraph" w:customStyle="1" w:styleId="BulletList">
    <w:name w:val="Bullet List"/>
    <w:basedOn w:val="Normal"/>
    <w:uiPriority w:val="99"/>
    <w:rsid w:val="00B76145"/>
    <w:pPr>
      <w:numPr>
        <w:numId w:val="129"/>
      </w:numPr>
      <w:tabs>
        <w:tab w:val="left" w:pos="1247"/>
      </w:tabs>
      <w:spacing w:after="60" w:line="288" w:lineRule="auto"/>
      <w:jc w:val="both"/>
    </w:pPr>
    <w:rPr>
      <w:color w:val="191919"/>
      <w:sz w:val="22"/>
      <w:szCs w:val="20"/>
      <w:lang w:val="en-GB"/>
    </w:rPr>
  </w:style>
  <w:style w:type="paragraph" w:customStyle="1" w:styleId="StyleTableLeft">
    <w:name w:val="Style Table + Left"/>
    <w:basedOn w:val="Normal"/>
    <w:uiPriority w:val="99"/>
    <w:rsid w:val="00B76145"/>
    <w:pPr>
      <w:spacing w:before="60" w:after="60" w:line="288" w:lineRule="auto"/>
      <w:ind w:left="0"/>
    </w:pPr>
    <w:rPr>
      <w:color w:val="191919"/>
      <w:sz w:val="18"/>
      <w:szCs w:val="20"/>
      <w:lang w:val="en-GB"/>
    </w:rPr>
  </w:style>
  <w:style w:type="paragraph" w:customStyle="1" w:styleId="LightShading-Accent21">
    <w:name w:val="Light Shading - Accent 21"/>
    <w:basedOn w:val="Normal"/>
    <w:next w:val="Normal"/>
    <w:link w:val="LightShading-Accent2Char"/>
    <w:uiPriority w:val="99"/>
    <w:qFormat/>
    <w:rsid w:val="00B76145"/>
    <w:pPr>
      <w:pBdr>
        <w:bottom w:val="single" w:sz="4" w:space="1" w:color="auto"/>
      </w:pBdr>
      <w:spacing w:after="280" w:line="240" w:lineRule="auto"/>
      <w:ind w:left="1008" w:right="1152"/>
    </w:pPr>
    <w:rPr>
      <w:rFonts w:ascii="Calibri" w:eastAsia="MS Mincho" w:hAnsi="Calibri"/>
      <w:b/>
      <w:bCs/>
      <w:i/>
      <w:iCs/>
      <w:color w:val="191919"/>
      <w:sz w:val="18"/>
      <w:lang w:eastAsia="en-US"/>
    </w:rPr>
  </w:style>
  <w:style w:type="character" w:customStyle="1" w:styleId="LightShading-Accent2Char">
    <w:name w:val="Light Shading - Accent 2 Char"/>
    <w:link w:val="LightShading-Accent21"/>
    <w:uiPriority w:val="99"/>
    <w:rsid w:val="00B76145"/>
    <w:rPr>
      <w:rFonts w:ascii="Calibri" w:eastAsia="MS Mincho" w:hAnsi="Calibri"/>
      <w:b/>
      <w:bCs/>
      <w:i/>
      <w:iCs/>
      <w:color w:val="191919"/>
      <w:sz w:val="18"/>
      <w:szCs w:val="24"/>
    </w:rPr>
  </w:style>
  <w:style w:type="paragraph" w:customStyle="1" w:styleId="References">
    <w:name w:val="References"/>
    <w:basedOn w:val="Normal"/>
    <w:rsid w:val="00B76145"/>
    <w:pPr>
      <w:numPr>
        <w:numId w:val="130"/>
      </w:numPr>
      <w:tabs>
        <w:tab w:val="left" w:pos="1418"/>
        <w:tab w:val="center" w:pos="3600"/>
      </w:tabs>
      <w:spacing w:after="120" w:line="288" w:lineRule="auto"/>
      <w:ind w:left="1418" w:hanging="567"/>
      <w:jc w:val="both"/>
    </w:pPr>
    <w:rPr>
      <w:rFonts w:cs="Arial"/>
      <w:color w:val="191919"/>
      <w:sz w:val="22"/>
      <w:lang w:eastAsia="en-US"/>
    </w:rPr>
  </w:style>
  <w:style w:type="paragraph" w:styleId="BodyText20">
    <w:name w:val="Body Text 2"/>
    <w:basedOn w:val="Normal"/>
    <w:link w:val="BodyText2Char"/>
    <w:uiPriority w:val="99"/>
    <w:rsid w:val="00B76145"/>
    <w:pPr>
      <w:spacing w:after="120" w:line="480" w:lineRule="auto"/>
      <w:ind w:left="0"/>
    </w:pPr>
    <w:rPr>
      <w:rFonts w:eastAsia="MS Mincho"/>
      <w:color w:val="191919"/>
      <w:sz w:val="22"/>
      <w:lang w:eastAsia="en-US"/>
    </w:rPr>
  </w:style>
  <w:style w:type="character" w:customStyle="1" w:styleId="BodyText2Char">
    <w:name w:val="Body Text 2 Char"/>
    <w:link w:val="BodyText20"/>
    <w:uiPriority w:val="99"/>
    <w:rsid w:val="00B76145"/>
    <w:rPr>
      <w:rFonts w:ascii="Arial" w:eastAsia="MS Mincho" w:hAnsi="Arial"/>
      <w:color w:val="191919"/>
      <w:sz w:val="22"/>
      <w:szCs w:val="24"/>
    </w:rPr>
  </w:style>
  <w:style w:type="paragraph" w:customStyle="1" w:styleId="IndentParaLevel1">
    <w:name w:val="IndentParaLevel1"/>
    <w:basedOn w:val="Normal"/>
    <w:link w:val="IndentParaLevel1Char"/>
    <w:uiPriority w:val="99"/>
    <w:rsid w:val="00B76145"/>
    <w:pPr>
      <w:spacing w:after="200" w:line="276" w:lineRule="auto"/>
      <w:ind w:left="964"/>
    </w:pPr>
    <w:rPr>
      <w:rFonts w:ascii="Calibri" w:eastAsia="MS Mincho" w:hAnsi="Calibri"/>
      <w:color w:val="191919"/>
      <w:sz w:val="22"/>
      <w:lang w:eastAsia="en-US"/>
    </w:rPr>
  </w:style>
  <w:style w:type="character" w:customStyle="1" w:styleId="IndentParaLevel1Char">
    <w:name w:val="IndentParaLevel1 Char"/>
    <w:link w:val="IndentParaLevel1"/>
    <w:uiPriority w:val="99"/>
    <w:locked/>
    <w:rsid w:val="00B76145"/>
    <w:rPr>
      <w:rFonts w:ascii="Calibri" w:eastAsia="MS Mincho" w:hAnsi="Calibri"/>
      <w:color w:val="191919"/>
      <w:sz w:val="22"/>
      <w:szCs w:val="24"/>
    </w:rPr>
  </w:style>
  <w:style w:type="paragraph" w:customStyle="1" w:styleId="Tabletextsmall-bullet">
    <w:name w:val="Table text small-bullet"/>
    <w:basedOn w:val="Tabletextsmall"/>
    <w:rsid w:val="00B76145"/>
    <w:pPr>
      <w:numPr>
        <w:numId w:val="131"/>
      </w:numPr>
      <w:tabs>
        <w:tab w:val="num" w:pos="360"/>
      </w:tabs>
      <w:ind w:left="170" w:hanging="170"/>
    </w:pPr>
  </w:style>
  <w:style w:type="character" w:customStyle="1" w:styleId="citation">
    <w:name w:val="citation"/>
    <w:rsid w:val="00B76145"/>
    <w:rPr>
      <w:rFonts w:cs="Times New Roman"/>
    </w:rPr>
  </w:style>
  <w:style w:type="character" w:customStyle="1" w:styleId="subfielddata1">
    <w:name w:val="subfielddata1"/>
    <w:uiPriority w:val="99"/>
    <w:rsid w:val="00B76145"/>
    <w:rPr>
      <w:rFonts w:cs="Times New Roman"/>
    </w:rPr>
  </w:style>
  <w:style w:type="character" w:customStyle="1" w:styleId="highlight1">
    <w:name w:val="highlight1"/>
    <w:uiPriority w:val="99"/>
    <w:rsid w:val="00B76145"/>
    <w:rPr>
      <w:rFonts w:cs="Times New Roman"/>
      <w:b/>
      <w:bCs/>
      <w:i/>
      <w:iCs/>
    </w:rPr>
  </w:style>
  <w:style w:type="paragraph" w:customStyle="1" w:styleId="msolistparagraph0">
    <w:name w:val="msolistparagraph"/>
    <w:basedOn w:val="Normal"/>
    <w:uiPriority w:val="99"/>
    <w:rsid w:val="00B76145"/>
    <w:pPr>
      <w:spacing w:line="240" w:lineRule="auto"/>
    </w:pPr>
    <w:rPr>
      <w:rFonts w:ascii="Calibri" w:eastAsia="MS Mincho" w:hAnsi="Calibri"/>
      <w:color w:val="191919"/>
      <w:sz w:val="22"/>
    </w:rPr>
  </w:style>
  <w:style w:type="paragraph" w:customStyle="1" w:styleId="OSCPHeading2">
    <w:name w:val="OSCP Heading 2"/>
    <w:basedOn w:val="Heading1"/>
    <w:link w:val="OSCPHeading2Char"/>
    <w:qFormat/>
    <w:rsid w:val="00B76145"/>
    <w:pPr>
      <w:spacing w:after="240" w:line="240" w:lineRule="auto"/>
      <w:ind w:left="1004" w:hanging="720"/>
    </w:pPr>
    <w:rPr>
      <w:rFonts w:eastAsia="MS Mincho"/>
      <w:b/>
      <w:bCs w:val="0"/>
      <w:color w:val="F36D00"/>
      <w:sz w:val="24"/>
      <w:szCs w:val="20"/>
      <w:lang w:eastAsia="en-US"/>
    </w:rPr>
  </w:style>
  <w:style w:type="paragraph" w:customStyle="1" w:styleId="Tabletext-small">
    <w:name w:val="Table text-small"/>
    <w:basedOn w:val="Tabletext1"/>
    <w:uiPriority w:val="99"/>
    <w:qFormat/>
    <w:rsid w:val="00B76145"/>
    <w:rPr>
      <w:sz w:val="16"/>
      <w:szCs w:val="16"/>
    </w:rPr>
  </w:style>
  <w:style w:type="paragraph" w:customStyle="1" w:styleId="TableHeading-smallleft">
    <w:name w:val="Table Heading-small left"/>
    <w:basedOn w:val="Normal"/>
    <w:rsid w:val="00B76145"/>
    <w:pPr>
      <w:spacing w:before="20" w:after="120" w:line="240" w:lineRule="auto"/>
      <w:ind w:left="0"/>
    </w:pPr>
    <w:rPr>
      <w:rFonts w:eastAsia="MS Mincho"/>
      <w:b/>
      <w:bCs/>
      <w:color w:val="191919"/>
      <w:sz w:val="16"/>
      <w:lang w:eastAsia="zh-CN"/>
    </w:rPr>
  </w:style>
  <w:style w:type="numbering" w:customStyle="1" w:styleId="Numbered">
    <w:name w:val="Numbered"/>
    <w:rsid w:val="00B76145"/>
  </w:style>
  <w:style w:type="numbering" w:customStyle="1" w:styleId="StyleNumberedLeft0cmHanging063cm">
    <w:name w:val="Style Numbered Left:  0 cm Hanging:  0.63 cm"/>
    <w:rsid w:val="00B76145"/>
  </w:style>
  <w:style w:type="numbering" w:customStyle="1" w:styleId="Procedurebulleted">
    <w:name w:val="Procedure bulleted"/>
    <w:rsid w:val="00B76145"/>
    <w:pPr>
      <w:numPr>
        <w:numId w:val="124"/>
      </w:numPr>
    </w:pPr>
  </w:style>
  <w:style w:type="numbering" w:customStyle="1" w:styleId="OriginList">
    <w:name w:val="Origin List"/>
    <w:uiPriority w:val="99"/>
    <w:rsid w:val="00B76145"/>
    <w:pPr>
      <w:numPr>
        <w:numId w:val="132"/>
      </w:numPr>
    </w:pPr>
  </w:style>
  <w:style w:type="numbering" w:customStyle="1" w:styleId="StyleOutlinenumberedSymbolsymbolGray-50Left125cm">
    <w:name w:val="Style Outline numbered Symbol (symbol) Gray-50% Left:  1.25 cm ..."/>
    <w:rsid w:val="00B76145"/>
    <w:pPr>
      <w:numPr>
        <w:numId w:val="123"/>
      </w:numPr>
    </w:pPr>
  </w:style>
  <w:style w:type="paragraph" w:customStyle="1" w:styleId="tabletextsmall0">
    <w:name w:val="tabletextsmall"/>
    <w:basedOn w:val="Normal"/>
    <w:rsid w:val="00B76145"/>
    <w:pPr>
      <w:spacing w:before="20" w:after="20" w:line="240" w:lineRule="auto"/>
      <w:ind w:left="0"/>
    </w:pPr>
    <w:rPr>
      <w:rFonts w:eastAsia="Calibri"/>
      <w:color w:val="191919"/>
      <w:sz w:val="18"/>
      <w:szCs w:val="18"/>
    </w:rPr>
  </w:style>
  <w:style w:type="paragraph" w:customStyle="1" w:styleId="listparagraph">
    <w:name w:val="listparagraph"/>
    <w:basedOn w:val="Normal"/>
    <w:uiPriority w:val="99"/>
    <w:rsid w:val="00B76145"/>
    <w:pPr>
      <w:spacing w:after="120" w:line="240" w:lineRule="auto"/>
    </w:pPr>
    <w:rPr>
      <w:rFonts w:eastAsia="Calibri"/>
      <w:color w:val="191919"/>
      <w:sz w:val="18"/>
      <w:szCs w:val="20"/>
    </w:rPr>
  </w:style>
  <w:style w:type="character" w:customStyle="1" w:styleId="Heading3bChar">
    <w:name w:val="Heading 3b Char"/>
    <w:link w:val="Heading3b"/>
    <w:rsid w:val="00B76145"/>
    <w:rPr>
      <w:rFonts w:ascii="Arial" w:eastAsia="MS Mincho" w:hAnsi="Arial" w:cs="Arial"/>
      <w:bCs/>
      <w:color w:val="F36D00"/>
      <w:sz w:val="18"/>
      <w:szCs w:val="26"/>
    </w:rPr>
  </w:style>
  <w:style w:type="table" w:customStyle="1" w:styleId="TableGrid2">
    <w:name w:val="Table Grid2"/>
    <w:basedOn w:val="TableNormal"/>
    <w:next w:val="TableGrid"/>
    <w:rsid w:val="00B761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B761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B76145"/>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Bulletform">
    <w:name w:val="Table Bullet form"/>
    <w:basedOn w:val="Normal"/>
    <w:qFormat/>
    <w:rsid w:val="00B76145"/>
    <w:pPr>
      <w:numPr>
        <w:numId w:val="133"/>
      </w:numPr>
      <w:spacing w:before="40" w:after="40" w:line="240" w:lineRule="auto"/>
    </w:pPr>
    <w:rPr>
      <w:color w:val="191919"/>
      <w:sz w:val="16"/>
      <w:lang w:eastAsia="en-US"/>
    </w:rPr>
  </w:style>
  <w:style w:type="paragraph" w:customStyle="1" w:styleId="tableitemnumberform">
    <w:name w:val="table item number form"/>
    <w:basedOn w:val="Normal"/>
    <w:qFormat/>
    <w:rsid w:val="00B76145"/>
    <w:pPr>
      <w:spacing w:before="40" w:after="40" w:line="240" w:lineRule="auto"/>
      <w:ind w:left="0"/>
    </w:pPr>
    <w:rPr>
      <w:b/>
      <w:color w:val="191919"/>
      <w:sz w:val="16"/>
      <w:lang w:eastAsia="en-US"/>
    </w:rPr>
  </w:style>
  <w:style w:type="paragraph" w:customStyle="1" w:styleId="Normal10ptbold">
    <w:name w:val="Normal 10pt bold"/>
    <w:basedOn w:val="Normal"/>
    <w:rsid w:val="00B76145"/>
    <w:pPr>
      <w:spacing w:line="240" w:lineRule="auto"/>
      <w:ind w:left="0"/>
    </w:pPr>
    <w:rPr>
      <w:rFonts w:ascii="Arial Bold" w:eastAsia="MS Mincho" w:hAnsi="Arial Bold"/>
      <w:b/>
      <w:color w:val="191919"/>
      <w:sz w:val="18"/>
      <w:szCs w:val="20"/>
      <w:lang w:val="en-US"/>
    </w:rPr>
  </w:style>
  <w:style w:type="paragraph" w:customStyle="1" w:styleId="TableHeadingform">
    <w:name w:val="Table Heading form"/>
    <w:basedOn w:val="Normal"/>
    <w:rsid w:val="00B76145"/>
    <w:pPr>
      <w:spacing w:before="40" w:after="40" w:line="240" w:lineRule="auto"/>
      <w:ind w:left="0"/>
    </w:pPr>
    <w:rPr>
      <w:b/>
      <w:color w:val="191919"/>
      <w:sz w:val="16"/>
      <w:lang w:eastAsia="en-US"/>
    </w:rPr>
  </w:style>
  <w:style w:type="paragraph" w:customStyle="1" w:styleId="TableSourceNotes">
    <w:name w:val="Table Source:/Notes:"/>
    <w:basedOn w:val="Normal"/>
    <w:rsid w:val="00B76145"/>
    <w:pPr>
      <w:spacing w:line="288" w:lineRule="atLeast"/>
      <w:ind w:hanging="720"/>
    </w:pPr>
    <w:rPr>
      <w:rFonts w:ascii="Palatino" w:hAnsi="Palatino"/>
      <w:i/>
      <w:color w:val="191919"/>
      <w:sz w:val="16"/>
      <w:szCs w:val="20"/>
    </w:rPr>
  </w:style>
  <w:style w:type="paragraph" w:customStyle="1" w:styleId="tablenumberingform">
    <w:name w:val="table numbering form"/>
    <w:basedOn w:val="Normal"/>
    <w:qFormat/>
    <w:rsid w:val="00B76145"/>
    <w:pPr>
      <w:spacing w:before="40" w:after="40" w:line="240" w:lineRule="auto"/>
      <w:ind w:left="0"/>
    </w:pPr>
    <w:rPr>
      <w:color w:val="191919"/>
      <w:sz w:val="16"/>
      <w:lang w:eastAsia="en-US"/>
    </w:rPr>
  </w:style>
  <w:style w:type="paragraph" w:customStyle="1" w:styleId="TableFont">
    <w:name w:val="TableFont"/>
    <w:basedOn w:val="Normal"/>
    <w:link w:val="TableFontChar"/>
    <w:rsid w:val="00B76145"/>
    <w:pPr>
      <w:spacing w:before="40" w:after="40" w:line="240" w:lineRule="auto"/>
      <w:ind w:left="0"/>
      <w:jc w:val="both"/>
    </w:pPr>
    <w:rPr>
      <w:color w:val="000000"/>
      <w:sz w:val="18"/>
      <w:szCs w:val="20"/>
      <w:lang w:val="en-GB" w:eastAsia="en-US"/>
    </w:rPr>
  </w:style>
  <w:style w:type="character" w:customStyle="1" w:styleId="TableFontChar">
    <w:name w:val="TableFont Char"/>
    <w:link w:val="TableFont"/>
    <w:locked/>
    <w:rsid w:val="00B76145"/>
    <w:rPr>
      <w:rFonts w:ascii="Arial" w:hAnsi="Arial"/>
      <w:color w:val="000000"/>
      <w:sz w:val="18"/>
      <w:lang w:val="en-GB"/>
    </w:rPr>
  </w:style>
  <w:style w:type="table" w:styleId="LightList-Accent2">
    <w:name w:val="Light List Accent 2"/>
    <w:basedOn w:val="TableNormal"/>
    <w:uiPriority w:val="66"/>
    <w:rsid w:val="00B76145"/>
    <w:rPr>
      <w:rFonts w:ascii="Cambria" w:eastAsia="MS Gothic" w:hAnsi="Cambria"/>
      <w:color w:val="000000"/>
      <w:sz w:val="22"/>
      <w:szCs w:val="22"/>
      <w:lang w:val="en-US" w:eastAsia="ja-JP"/>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BlankPage">
    <w:name w:val="Blank Page"/>
    <w:basedOn w:val="Normal"/>
    <w:qFormat/>
    <w:rsid w:val="00B76145"/>
    <w:pPr>
      <w:spacing w:before="5000" w:after="4000" w:line="240" w:lineRule="auto"/>
      <w:ind w:left="0"/>
      <w:jc w:val="center"/>
    </w:pPr>
    <w:rPr>
      <w:rFonts w:eastAsia="MS Mincho"/>
      <w:b/>
      <w:smallCaps/>
      <w:color w:val="191919"/>
      <w:sz w:val="36"/>
      <w:szCs w:val="22"/>
      <w:lang w:eastAsia="en-US"/>
    </w:rPr>
  </w:style>
  <w:style w:type="paragraph" w:customStyle="1" w:styleId="Flashbox">
    <w:name w:val="Flash box"/>
    <w:basedOn w:val="Normal"/>
    <w:uiPriority w:val="99"/>
    <w:rsid w:val="00B76145"/>
    <w:pPr>
      <w:spacing w:before="40" w:after="40" w:line="240" w:lineRule="auto"/>
      <w:ind w:left="0"/>
    </w:pPr>
    <w:rPr>
      <w:rFonts w:cs="Trebuchet MS"/>
      <w:b/>
      <w:bCs/>
      <w:caps/>
      <w:color w:val="191919"/>
      <w:sz w:val="22"/>
      <w:szCs w:val="22"/>
    </w:rPr>
  </w:style>
  <w:style w:type="paragraph" w:customStyle="1" w:styleId="Flashboxcentre">
    <w:name w:val="Flash box centre"/>
    <w:basedOn w:val="Flashbox"/>
    <w:uiPriority w:val="99"/>
    <w:rsid w:val="00B76145"/>
    <w:pPr>
      <w:jc w:val="center"/>
    </w:pPr>
  </w:style>
  <w:style w:type="character" w:customStyle="1" w:styleId="HeaderChapterTitle">
    <w:name w:val="Header Chapter Title"/>
    <w:uiPriority w:val="99"/>
    <w:rsid w:val="00B76145"/>
    <w:rPr>
      <w:rFonts w:ascii="Trebuchet MS" w:hAnsi="Trebuchet MS" w:cs="Trebuchet MS"/>
      <w:noProof/>
      <w:color w:val="808080"/>
      <w:sz w:val="20"/>
      <w:szCs w:val="20"/>
    </w:rPr>
  </w:style>
  <w:style w:type="character" w:customStyle="1" w:styleId="IntenseEmphasis1">
    <w:name w:val="Intense Emphasis1"/>
    <w:uiPriority w:val="21"/>
    <w:rsid w:val="00B76145"/>
    <w:rPr>
      <w:b/>
      <w:bCs/>
    </w:rPr>
  </w:style>
  <w:style w:type="character" w:customStyle="1" w:styleId="IntenseReference1">
    <w:name w:val="Intense Reference1"/>
    <w:uiPriority w:val="32"/>
    <w:rsid w:val="00B76145"/>
    <w:rPr>
      <w:smallCaps/>
      <w:spacing w:val="5"/>
      <w:u w:val="single"/>
    </w:rPr>
  </w:style>
  <w:style w:type="character" w:customStyle="1" w:styleId="SubtleEmphasis1">
    <w:name w:val="Subtle Emphasis1"/>
    <w:uiPriority w:val="19"/>
    <w:rsid w:val="00B76145"/>
    <w:rPr>
      <w:i/>
      <w:iCs/>
    </w:rPr>
  </w:style>
  <w:style w:type="character" w:customStyle="1" w:styleId="SubtleReference1">
    <w:name w:val="Subtle Reference1"/>
    <w:uiPriority w:val="31"/>
    <w:rsid w:val="00B76145"/>
    <w:rPr>
      <w:smallCaps/>
    </w:rPr>
  </w:style>
  <w:style w:type="character" w:customStyle="1" w:styleId="imo-stylesstyle-bold2">
    <w:name w:val="imo-stylesstyle-bold2"/>
    <w:rsid w:val="00B76145"/>
    <w:rPr>
      <w:b/>
      <w:bCs/>
    </w:rPr>
  </w:style>
  <w:style w:type="paragraph" w:customStyle="1" w:styleId="Tablebullet1">
    <w:name w:val="Table bullet"/>
    <w:basedOn w:val="Tabletext1"/>
    <w:uiPriority w:val="99"/>
    <w:qFormat/>
    <w:rsid w:val="00B76145"/>
    <w:pPr>
      <w:spacing w:before="20" w:after="20"/>
      <w:ind w:left="360" w:hanging="360"/>
    </w:pPr>
    <w:rPr>
      <w:lang w:eastAsia="en-AU"/>
    </w:rPr>
  </w:style>
  <w:style w:type="paragraph" w:customStyle="1" w:styleId="Bulleted2">
    <w:name w:val="Bulleted2"/>
    <w:basedOn w:val="Bulleted"/>
    <w:uiPriority w:val="99"/>
    <w:rsid w:val="00B76145"/>
    <w:pPr>
      <w:numPr>
        <w:numId w:val="135"/>
      </w:numPr>
      <w:spacing w:before="20" w:after="20"/>
      <w:ind w:left="1135" w:hanging="284"/>
    </w:pPr>
    <w:rPr>
      <w:lang w:eastAsia="en-AU"/>
    </w:rPr>
  </w:style>
  <w:style w:type="paragraph" w:customStyle="1" w:styleId="Tablebullet-small2">
    <w:name w:val="Table bullet-small2"/>
    <w:basedOn w:val="Tablebullet-small"/>
    <w:rsid w:val="00B76145"/>
    <w:pPr>
      <w:numPr>
        <w:numId w:val="136"/>
      </w:numPr>
      <w:spacing w:before="0" w:after="0"/>
      <w:ind w:left="312" w:hanging="170"/>
    </w:pPr>
    <w:rPr>
      <w:lang w:eastAsia="en-AU"/>
    </w:rPr>
  </w:style>
  <w:style w:type="paragraph" w:customStyle="1" w:styleId="Note">
    <w:name w:val="Note"/>
    <w:basedOn w:val="Normal"/>
    <w:rsid w:val="00B76145"/>
    <w:pPr>
      <w:pBdr>
        <w:top w:val="single" w:sz="8" w:space="1" w:color="FFC000"/>
        <w:left w:val="single" w:sz="8" w:space="4" w:color="FFC000"/>
        <w:bottom w:val="single" w:sz="8" w:space="1" w:color="FFC000"/>
        <w:right w:val="single" w:sz="8" w:space="4" w:color="FFC000"/>
      </w:pBdr>
      <w:shd w:val="clear" w:color="auto" w:fill="FFE7B7"/>
      <w:spacing w:before="120" w:line="240" w:lineRule="auto"/>
      <w:ind w:left="567"/>
    </w:pPr>
    <w:rPr>
      <w:rFonts w:eastAsia="MS Mincho"/>
      <w:color w:val="191919"/>
      <w:sz w:val="18"/>
      <w:szCs w:val="22"/>
    </w:rPr>
  </w:style>
  <w:style w:type="paragraph" w:customStyle="1" w:styleId="Notebullet1">
    <w:name w:val="Notebullet1"/>
    <w:basedOn w:val="Note"/>
    <w:rsid w:val="00B76145"/>
    <w:pPr>
      <w:numPr>
        <w:numId w:val="137"/>
      </w:numPr>
      <w:spacing w:before="40"/>
      <w:ind w:left="737" w:hanging="170"/>
    </w:pPr>
  </w:style>
  <w:style w:type="paragraph" w:styleId="NoteHeading">
    <w:name w:val="Note Heading"/>
    <w:basedOn w:val="Note"/>
    <w:next w:val="Normal"/>
    <w:link w:val="NoteHeadingChar"/>
    <w:rsid w:val="00B76145"/>
    <w:pPr>
      <w:spacing w:before="0"/>
    </w:pPr>
    <w:rPr>
      <w:b/>
      <w:i/>
    </w:rPr>
  </w:style>
  <w:style w:type="character" w:customStyle="1" w:styleId="NoteHeadingChar">
    <w:name w:val="Note Heading Char"/>
    <w:link w:val="NoteHeading"/>
    <w:rsid w:val="00B76145"/>
    <w:rPr>
      <w:rFonts w:ascii="Arial" w:eastAsia="MS Mincho" w:hAnsi="Arial" w:cs="Times New Roman"/>
      <w:b/>
      <w:i/>
      <w:color w:val="191919"/>
      <w:sz w:val="18"/>
      <w:szCs w:val="22"/>
      <w:shd w:val="clear" w:color="auto" w:fill="FFE7B7"/>
      <w:lang w:eastAsia="en-AU"/>
    </w:rPr>
  </w:style>
  <w:style w:type="character" w:customStyle="1" w:styleId="toctoggle">
    <w:name w:val="toctoggle"/>
    <w:basedOn w:val="DefaultParagraphFont"/>
    <w:rsid w:val="00B76145"/>
  </w:style>
  <w:style w:type="character" w:customStyle="1" w:styleId="tocnumber2">
    <w:name w:val="tocnumber2"/>
    <w:basedOn w:val="DefaultParagraphFont"/>
    <w:rsid w:val="00B76145"/>
  </w:style>
  <w:style w:type="character" w:customStyle="1" w:styleId="toctext">
    <w:name w:val="toctext"/>
    <w:basedOn w:val="DefaultParagraphFont"/>
    <w:rsid w:val="00B76145"/>
  </w:style>
  <w:style w:type="character" w:customStyle="1" w:styleId="mw-headline">
    <w:name w:val="mw-headline"/>
    <w:basedOn w:val="DefaultParagraphFont"/>
    <w:rsid w:val="00B76145"/>
  </w:style>
  <w:style w:type="character" w:customStyle="1" w:styleId="mw-editsection1">
    <w:name w:val="mw-editsection1"/>
    <w:basedOn w:val="DefaultParagraphFont"/>
    <w:rsid w:val="00B76145"/>
  </w:style>
  <w:style w:type="character" w:customStyle="1" w:styleId="mw-editsection-bracket">
    <w:name w:val="mw-editsection-bracket"/>
    <w:basedOn w:val="DefaultParagraphFont"/>
    <w:rsid w:val="00B76145"/>
  </w:style>
  <w:style w:type="character" w:customStyle="1" w:styleId="mw-editsection-divider1">
    <w:name w:val="mw-editsection-divider1"/>
    <w:rsid w:val="00B76145"/>
    <w:rPr>
      <w:color w:val="555555"/>
    </w:rPr>
  </w:style>
  <w:style w:type="character" w:customStyle="1" w:styleId="ve-tabmessage-appendix1">
    <w:name w:val="ve-tabmessage-appendix1"/>
    <w:rsid w:val="00B76145"/>
    <w:rPr>
      <w:vanish w:val="0"/>
      <w:webHidden w:val="0"/>
      <w:sz w:val="17"/>
      <w:szCs w:val="17"/>
      <w:specVanish w:val="0"/>
    </w:rPr>
  </w:style>
  <w:style w:type="paragraph" w:customStyle="1" w:styleId="Tabletext-smallnumbering">
    <w:name w:val="Table text-small numbering"/>
    <w:basedOn w:val="Tabletext-small"/>
    <w:rsid w:val="00B76145"/>
    <w:pPr>
      <w:ind w:left="284" w:hanging="284"/>
    </w:pPr>
  </w:style>
  <w:style w:type="paragraph" w:customStyle="1" w:styleId="MasterHeader">
    <w:name w:val="Master Header"/>
    <w:basedOn w:val="Normal"/>
    <w:rsid w:val="00B76145"/>
    <w:pPr>
      <w:tabs>
        <w:tab w:val="left" w:pos="142"/>
      </w:tabs>
      <w:spacing w:after="120" w:line="240" w:lineRule="auto"/>
      <w:ind w:left="142"/>
    </w:pPr>
    <w:rPr>
      <w:rFonts w:eastAsia="MS Mincho"/>
      <w:color w:val="191919"/>
      <w:sz w:val="18"/>
      <w:lang w:eastAsia="en-US"/>
    </w:rPr>
  </w:style>
  <w:style w:type="paragraph" w:customStyle="1" w:styleId="Warning">
    <w:name w:val="Warning"/>
    <w:basedOn w:val="Normal"/>
    <w:qFormat/>
    <w:rsid w:val="00B76145"/>
    <w:pPr>
      <w:shd w:val="clear" w:color="auto" w:fill="FF8B8B"/>
      <w:spacing w:before="40" w:after="40" w:line="240" w:lineRule="auto"/>
      <w:ind w:left="0"/>
      <w:jc w:val="center"/>
    </w:pPr>
    <w:rPr>
      <w:rFonts w:eastAsia="MS Mincho"/>
      <w:b/>
      <w:color w:val="191919"/>
      <w:sz w:val="18"/>
      <w:lang w:eastAsia="en-US"/>
    </w:rPr>
  </w:style>
  <w:style w:type="paragraph" w:styleId="Index9">
    <w:name w:val="index 9"/>
    <w:basedOn w:val="Normal"/>
    <w:next w:val="Normal"/>
    <w:autoRedefine/>
    <w:rsid w:val="00B76145"/>
    <w:pPr>
      <w:spacing w:after="120" w:line="240" w:lineRule="auto"/>
      <w:ind w:left="1980" w:hanging="220"/>
    </w:pPr>
    <w:rPr>
      <w:rFonts w:eastAsia="MS Mincho"/>
      <w:color w:val="191919"/>
      <w:sz w:val="22"/>
      <w:lang w:eastAsia="en-US"/>
    </w:rPr>
  </w:style>
  <w:style w:type="paragraph" w:customStyle="1" w:styleId="Tabletext-smallcentre">
    <w:name w:val="Table text-small centre"/>
    <w:basedOn w:val="Tableheading-small"/>
    <w:uiPriority w:val="99"/>
    <w:rsid w:val="00B76145"/>
    <w:rPr>
      <w:b w:val="0"/>
    </w:rPr>
  </w:style>
  <w:style w:type="paragraph" w:customStyle="1" w:styleId="Tabletextsmall-centered">
    <w:name w:val="Table text small-centered"/>
    <w:basedOn w:val="Tabletextsmall"/>
    <w:uiPriority w:val="99"/>
    <w:rsid w:val="00B76145"/>
    <w:pPr>
      <w:jc w:val="center"/>
    </w:pPr>
  </w:style>
  <w:style w:type="paragraph" w:customStyle="1" w:styleId="TitleBox">
    <w:name w:val="Title Box"/>
    <w:basedOn w:val="Normal"/>
    <w:rsid w:val="00B76145"/>
    <w:pPr>
      <w:spacing w:before="60" w:after="120" w:line="240" w:lineRule="auto"/>
      <w:ind w:left="0"/>
    </w:pPr>
    <w:rPr>
      <w:rFonts w:eastAsia="MS Mincho"/>
      <w:color w:val="7F7F7F"/>
      <w:sz w:val="16"/>
      <w:lang w:eastAsia="en-US"/>
    </w:rPr>
  </w:style>
  <w:style w:type="paragraph" w:customStyle="1" w:styleId="Normalsmall">
    <w:name w:val="Normalsmall"/>
    <w:basedOn w:val="Normal"/>
    <w:link w:val="NormalsmallChar"/>
    <w:qFormat/>
    <w:rsid w:val="00B76145"/>
    <w:pPr>
      <w:pageBreakBefore/>
      <w:spacing w:after="120" w:line="240" w:lineRule="auto"/>
      <w:ind w:left="0"/>
    </w:pPr>
    <w:rPr>
      <w:rFonts w:eastAsia="MS Mincho"/>
      <w:color w:val="191919"/>
      <w:sz w:val="16"/>
      <w:lang w:eastAsia="en-US"/>
    </w:rPr>
  </w:style>
  <w:style w:type="paragraph" w:customStyle="1" w:styleId="NotesSteps">
    <w:name w:val="Notes Steps"/>
    <w:basedOn w:val="Normal"/>
    <w:qFormat/>
    <w:rsid w:val="00B76145"/>
    <w:pPr>
      <w:spacing w:after="120" w:line="240" w:lineRule="auto"/>
      <w:ind w:left="851"/>
    </w:pPr>
    <w:rPr>
      <w:rFonts w:eastAsia="MS Mincho"/>
      <w:i/>
      <w:color w:val="A71932"/>
      <w:sz w:val="22"/>
      <w:lang w:eastAsia="en-US"/>
    </w:rPr>
  </w:style>
  <w:style w:type="paragraph" w:customStyle="1" w:styleId="Heading1a">
    <w:name w:val="Heading 1a"/>
    <w:basedOn w:val="Heading1"/>
    <w:rsid w:val="00B76145"/>
    <w:pPr>
      <w:spacing w:before="120" w:line="240" w:lineRule="auto"/>
    </w:pPr>
    <w:rPr>
      <w:rFonts w:eastAsia="MS Mincho"/>
      <w:b/>
      <w:color w:val="auto"/>
      <w:szCs w:val="28"/>
    </w:rPr>
  </w:style>
  <w:style w:type="paragraph" w:customStyle="1" w:styleId="Heading2a">
    <w:name w:val="Heading 2a"/>
    <w:basedOn w:val="Heading2"/>
    <w:rsid w:val="00B76145"/>
    <w:pPr>
      <w:tabs>
        <w:tab w:val="clear" w:pos="720"/>
      </w:tabs>
      <w:spacing w:before="120" w:after="120" w:line="240" w:lineRule="auto"/>
    </w:pPr>
    <w:rPr>
      <w:rFonts w:eastAsia="MS Mincho"/>
      <w:color w:val="F36D00"/>
    </w:rPr>
  </w:style>
  <w:style w:type="paragraph" w:customStyle="1" w:styleId="Heading3a">
    <w:name w:val="Heading 3a"/>
    <w:basedOn w:val="Heading3"/>
    <w:rsid w:val="00B76145"/>
    <w:pPr>
      <w:numPr>
        <w:ilvl w:val="0"/>
        <w:numId w:val="0"/>
      </w:numPr>
      <w:tabs>
        <w:tab w:val="clear" w:pos="1080"/>
      </w:tabs>
      <w:spacing w:before="120" w:after="120" w:line="240" w:lineRule="auto"/>
    </w:pPr>
    <w:rPr>
      <w:rFonts w:eastAsia="MS Mincho"/>
      <w:b w:val="0"/>
      <w:color w:val="F36D00"/>
      <w:lang w:val="en-US" w:eastAsia="en-US"/>
    </w:rPr>
  </w:style>
  <w:style w:type="paragraph" w:customStyle="1" w:styleId="Tabletextsmall-bullet2">
    <w:name w:val="Table text small-bullet2"/>
    <w:basedOn w:val="Tabletextsmall-bullet"/>
    <w:uiPriority w:val="99"/>
    <w:rsid w:val="00B76145"/>
    <w:pPr>
      <w:ind w:left="340"/>
    </w:pPr>
  </w:style>
  <w:style w:type="paragraph" w:styleId="TableofAuthorities">
    <w:name w:val="table of authorities"/>
    <w:basedOn w:val="Normal"/>
    <w:next w:val="Normal"/>
    <w:uiPriority w:val="99"/>
    <w:rsid w:val="00B76145"/>
    <w:pPr>
      <w:spacing w:after="120" w:line="240" w:lineRule="auto"/>
      <w:ind w:left="200" w:hanging="200"/>
    </w:pPr>
    <w:rPr>
      <w:rFonts w:eastAsia="MS Mincho"/>
      <w:color w:val="191919"/>
      <w:sz w:val="18"/>
      <w:lang w:eastAsia="en-US"/>
    </w:rPr>
  </w:style>
  <w:style w:type="paragraph" w:customStyle="1" w:styleId="OSCPHeading1">
    <w:name w:val="OSCP Heading 1"/>
    <w:basedOn w:val="Heading1"/>
    <w:link w:val="OSCPHeading1Char"/>
    <w:qFormat/>
    <w:rsid w:val="00B76145"/>
    <w:pPr>
      <w:spacing w:before="0" w:after="240" w:line="240" w:lineRule="auto"/>
      <w:ind w:left="720" w:hanging="360"/>
    </w:pPr>
    <w:rPr>
      <w:rFonts w:eastAsia="MS Mincho"/>
      <w:b/>
      <w:color w:val="F36D00"/>
      <w:sz w:val="24"/>
      <w:lang w:eastAsia="en-US"/>
    </w:rPr>
  </w:style>
  <w:style w:type="character" w:customStyle="1" w:styleId="OSCPHeading2Char">
    <w:name w:val="OSCP Heading 2 Char"/>
    <w:link w:val="OSCPHeading2"/>
    <w:locked/>
    <w:rsid w:val="00B76145"/>
    <w:rPr>
      <w:rFonts w:ascii="Arial" w:eastAsia="MS Mincho" w:hAnsi="Arial" w:cs="Arial"/>
      <w:b/>
      <w:color w:val="F36D00"/>
      <w:kern w:val="32"/>
      <w:sz w:val="24"/>
    </w:rPr>
  </w:style>
  <w:style w:type="character" w:customStyle="1" w:styleId="OSCPHeading1Char">
    <w:name w:val="OSCP Heading 1 Char"/>
    <w:link w:val="OSCPHeading1"/>
    <w:locked/>
    <w:rsid w:val="00B76145"/>
    <w:rPr>
      <w:rFonts w:ascii="Arial" w:eastAsia="MS Mincho" w:hAnsi="Arial" w:cs="Arial"/>
      <w:b/>
      <w:bCs/>
      <w:color w:val="F36D00"/>
      <w:kern w:val="32"/>
      <w:sz w:val="24"/>
      <w:szCs w:val="32"/>
    </w:rPr>
  </w:style>
  <w:style w:type="table" w:customStyle="1" w:styleId="OriginContentTable1">
    <w:name w:val="Origin Content Table1"/>
    <w:basedOn w:val="OriginHeaderTable"/>
    <w:uiPriority w:val="99"/>
    <w:rsid w:val="00B76145"/>
    <w:tblPr>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pPr>
        <w:spacing w:beforeLines="0" w:before="0" w:beforeAutospacing="0" w:afterLines="0" w:after="0" w:afterAutospacing="0"/>
      </w:pPr>
      <w:rPr>
        <w:rFonts w:cs="Times New Roman"/>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DDDDD"/>
      </w:tcPr>
    </w:tblStylePr>
    <w:tblStylePr w:type="lastRow">
      <w:pPr>
        <w:spacing w:beforeLines="0" w:before="0" w:beforeAutospacing="0" w:afterLines="0" w:after="0" w:afterAutospacing="0"/>
      </w:pPr>
      <w:rPr>
        <w:rFonts w:ascii="Sylfaen" w:hAnsi="Sylfaen" w:cs="Times New Roman"/>
        <w:b w:val="0"/>
        <w:bCs/>
        <w:i w:val="0"/>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auto"/>
      </w:tcPr>
    </w:tblStylePr>
    <w:tblStylePr w:type="firstCol">
      <w:pPr>
        <w:spacing w:beforeLines="0" w:beforeAutospacing="0" w:afterLines="0" w:afterAutospacing="0"/>
      </w:pPr>
      <w:rPr>
        <w:rFonts w:cs="Times New Roman"/>
        <w:b w:val="0"/>
        <w:bCs/>
      </w:rPr>
      <w:tblPr/>
      <w:tcPr>
        <w:shd w:val="clear" w:color="auto" w:fill="DDDDDD"/>
      </w:tcPr>
    </w:tblStylePr>
    <w:tblStylePr w:type="lastCol">
      <w:rPr>
        <w:rFonts w:cs="Times New Roman"/>
        <w:b w:val="0"/>
        <w:bCs/>
      </w:rPr>
    </w:tblStylePr>
    <w:tblStylePr w:type="band1Vert">
      <w:rPr>
        <w:rFonts w:cs="Times New Roman"/>
        <w:b/>
      </w:rPr>
      <w:tblPr/>
      <w:tcPr>
        <w:shd w:val="clear" w:color="auto" w:fill="DDDDDD"/>
      </w:tcPr>
    </w:tblStylePr>
    <w:tblStylePr w:type="band1Horz">
      <w:pPr>
        <w:spacing w:beforeLines="0" w:beforeAutospacing="0" w:afterLines="0" w:afterAutospacing="0"/>
      </w:pPr>
      <w:rPr>
        <w:rFonts w:cs="Times New Roman"/>
      </w:rPr>
    </w:tblStylePr>
    <w:tblStylePr w:type="band2Horz">
      <w:pPr>
        <w:spacing w:beforeLines="0" w:beforeAutospacing="0" w:afterLines="0" w:afterAutospacing="0"/>
      </w:pPr>
      <w:rPr>
        <w:rFonts w:cs="Times New Roman"/>
      </w:rPr>
    </w:tblStylePr>
  </w:style>
  <w:style w:type="paragraph" w:customStyle="1" w:styleId="Tabletext-centred">
    <w:name w:val="Table text-centred"/>
    <w:basedOn w:val="Normal"/>
    <w:next w:val="Tabletext1"/>
    <w:rsid w:val="00B76145"/>
    <w:pPr>
      <w:spacing w:after="120" w:line="240" w:lineRule="auto"/>
      <w:ind w:left="0"/>
      <w:jc w:val="center"/>
    </w:pPr>
    <w:rPr>
      <w:rFonts w:eastAsia="MS Mincho"/>
      <w:color w:val="191919"/>
      <w:sz w:val="18"/>
      <w:szCs w:val="20"/>
      <w:lang w:eastAsia="en-US"/>
    </w:rPr>
  </w:style>
  <w:style w:type="paragraph" w:customStyle="1" w:styleId="Maintitle3">
    <w:name w:val="Main title 3"/>
    <w:basedOn w:val="Maintitle2"/>
    <w:qFormat/>
    <w:rsid w:val="00B76145"/>
  </w:style>
  <w:style w:type="paragraph" w:customStyle="1" w:styleId="HeaderLandscape">
    <w:name w:val="Header Landscape"/>
    <w:basedOn w:val="Headernormal"/>
    <w:qFormat/>
    <w:rsid w:val="00B76145"/>
    <w:pPr>
      <w:tabs>
        <w:tab w:val="right" w:pos="14601"/>
      </w:tabs>
    </w:pPr>
  </w:style>
  <w:style w:type="paragraph" w:customStyle="1" w:styleId="Table-Caption">
    <w:name w:val="Table-Caption"/>
    <w:basedOn w:val="Normal"/>
    <w:qFormat/>
    <w:rsid w:val="00B76145"/>
    <w:pPr>
      <w:spacing w:after="120" w:line="240" w:lineRule="auto"/>
      <w:ind w:left="0"/>
      <w:jc w:val="center"/>
    </w:pPr>
    <w:rPr>
      <w:rFonts w:eastAsia="MS Mincho"/>
      <w:b/>
      <w:color w:val="191919"/>
      <w:sz w:val="18"/>
      <w:lang w:eastAsia="en-US"/>
    </w:rPr>
  </w:style>
  <w:style w:type="table" w:customStyle="1" w:styleId="LightShading-Accent210">
    <w:name w:val="Light Shading - Accent 21"/>
    <w:basedOn w:val="TableNormal"/>
    <w:next w:val="MediumGrid3-Accent2"/>
    <w:uiPriority w:val="99"/>
    <w:rsid w:val="00B76145"/>
    <w:rPr>
      <w:rFonts w:ascii="Calibri" w:hAnsi="Calibri"/>
      <w:color w:val="943634"/>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paragraph" w:styleId="ListBullet3">
    <w:name w:val="List Bullet 3"/>
    <w:basedOn w:val="Normal"/>
    <w:rsid w:val="00B76145"/>
    <w:pPr>
      <w:spacing w:after="120" w:line="240" w:lineRule="auto"/>
      <w:ind w:left="926" w:hanging="360"/>
      <w:contextualSpacing/>
    </w:pPr>
    <w:rPr>
      <w:rFonts w:eastAsia="MS Mincho"/>
      <w:color w:val="191919"/>
      <w:sz w:val="18"/>
      <w:lang w:eastAsia="en-US"/>
    </w:rPr>
  </w:style>
  <w:style w:type="table" w:customStyle="1" w:styleId="OriginHeaderTable1">
    <w:name w:val="Origin Header Table1"/>
    <w:basedOn w:val="TableGrid"/>
    <w:uiPriority w:val="99"/>
    <w:rsid w:val="00B76145"/>
    <w:pPr>
      <w:spacing w:before="120" w:after="120" w:line="240" w:lineRule="auto"/>
      <w:ind w:left="0"/>
    </w:pPr>
    <w:rPr>
      <w:rFonts w:ascii="Trebuchet MS" w:hAnsi="Trebuchet MS"/>
    </w:rPr>
    <w:tblPr>
      <w:tblStyleRowBandSize w:val="1"/>
      <w:tblStyleColBandSize w:val="1"/>
      <w:tblBorders>
        <w:top w:val="single" w:sz="8" w:space="0" w:color="444744"/>
        <w:left w:val="none" w:sz="0" w:space="0" w:color="auto"/>
        <w:bottom w:val="single" w:sz="8" w:space="0" w:color="444744"/>
        <w:right w:val="none" w:sz="0" w:space="0" w:color="auto"/>
        <w:insideH w:val="single" w:sz="8" w:space="0" w:color="444744"/>
        <w:insideV w:val="none" w:sz="0" w:space="0" w:color="auto"/>
      </w:tblBorders>
    </w:tblPr>
    <w:tcPr>
      <w:shd w:val="clear" w:color="auto" w:fill="auto"/>
    </w:tcPr>
    <w:tblStylePr w:type="firstRow">
      <w:pPr>
        <w:spacing w:before="0" w:after="0"/>
      </w:pPr>
      <w:rPr>
        <w:rFonts w:cs="Times New Roman"/>
        <w:b w:val="0"/>
        <w:bCs/>
      </w:rPr>
      <w:tblPr/>
      <w:tcPr>
        <w:tcBorders>
          <w:top w:val="single" w:sz="8" w:space="0" w:color="444744"/>
          <w:left w:val="nil"/>
          <w:bottom w:val="single" w:sz="8" w:space="0" w:color="auto"/>
          <w:right w:val="nil"/>
          <w:insideH w:val="nil"/>
          <w:insideV w:val="nil"/>
        </w:tcBorders>
        <w:shd w:val="clear" w:color="auto" w:fill="auto"/>
      </w:tcPr>
    </w:tblStylePr>
    <w:tblStylePr w:type="lastRow">
      <w:pPr>
        <w:spacing w:before="0" w:after="0"/>
      </w:pPr>
      <w:rPr>
        <w:rFonts w:cs="Times New Roman"/>
        <w:b w:val="0"/>
        <w:bCs/>
      </w:rPr>
      <w:tblPr/>
      <w:tcPr>
        <w:tcBorders>
          <w:top w:val="single" w:sz="8" w:space="0" w:color="444744"/>
          <w:left w:val="nil"/>
          <w:bottom w:val="single" w:sz="8" w:space="0" w:color="444744"/>
          <w:right w:val="nil"/>
          <w:insideH w:val="nil"/>
          <w:insideV w:val="nil"/>
        </w:tcBorders>
        <w:shd w:val="clear" w:color="auto" w:fill="auto"/>
      </w:tcPr>
    </w:tblStylePr>
    <w:tblStylePr w:type="firstCol">
      <w:pPr>
        <w:spacing w:beforeLines="0" w:beforeAutospacing="0" w:afterLines="60" w:afterAutospacing="0"/>
      </w:pPr>
      <w:rPr>
        <w:rFonts w:cs="Times New Roman"/>
        <w:b w:val="0"/>
        <w:bCs/>
      </w:rPr>
      <w:tblPr/>
      <w:tcPr>
        <w:shd w:val="clear" w:color="auto" w:fill="DDDDDD"/>
      </w:tcPr>
    </w:tblStylePr>
    <w:tblStylePr w:type="lastCol">
      <w:rPr>
        <w:rFonts w:cs="Times New Roman"/>
        <w:b w:val="0"/>
        <w:bCs/>
      </w:rPr>
    </w:tblStylePr>
    <w:tblStylePr w:type="band1Vert">
      <w:rPr>
        <w:rFonts w:cs="Times New Roman"/>
        <w:b/>
      </w:rPr>
      <w:tblPr/>
      <w:tcPr>
        <w:shd w:val="clear" w:color="auto" w:fill="DDDDDD"/>
      </w:tcPr>
    </w:tblStylePr>
  </w:style>
  <w:style w:type="paragraph" w:customStyle="1" w:styleId="Appendix2">
    <w:name w:val="Appendix 2"/>
    <w:basedOn w:val="Normal"/>
    <w:rsid w:val="00B76145"/>
    <w:pPr>
      <w:keepNext/>
      <w:tabs>
        <w:tab w:val="num" w:pos="720"/>
      </w:tabs>
      <w:spacing w:before="40" w:after="40" w:line="240" w:lineRule="auto"/>
      <w:ind w:left="0"/>
    </w:pPr>
    <w:rPr>
      <w:rFonts w:eastAsia="MS Mincho"/>
      <w:b/>
      <w:color w:val="800000"/>
      <w:sz w:val="18"/>
      <w:szCs w:val="20"/>
      <w:lang w:eastAsia="en-US"/>
    </w:rPr>
  </w:style>
  <w:style w:type="paragraph" w:customStyle="1" w:styleId="FigsTabs">
    <w:name w:val="Figs/Tabs"/>
    <w:basedOn w:val="Normal"/>
    <w:uiPriority w:val="99"/>
    <w:rsid w:val="00B76145"/>
    <w:pPr>
      <w:keepNext/>
      <w:spacing w:before="240" w:after="240" w:line="240" w:lineRule="auto"/>
      <w:ind w:left="0"/>
      <w:jc w:val="center"/>
    </w:pPr>
    <w:rPr>
      <w:rFonts w:ascii="Times New Roman" w:eastAsia="MS Mincho" w:hAnsi="Times New Roman"/>
      <w:b/>
      <w:color w:val="191919"/>
    </w:rPr>
  </w:style>
  <w:style w:type="paragraph" w:customStyle="1" w:styleId="Dash">
    <w:name w:val="Dash"/>
    <w:uiPriority w:val="99"/>
    <w:rsid w:val="00B76145"/>
    <w:pPr>
      <w:numPr>
        <w:numId w:val="139"/>
      </w:numPr>
      <w:tabs>
        <w:tab w:val="left" w:pos="1814"/>
      </w:tabs>
      <w:spacing w:before="60"/>
    </w:pPr>
    <w:rPr>
      <w:rFonts w:ascii="Arial" w:eastAsia="MS Mincho" w:hAnsi="Arial"/>
      <w:sz w:val="22"/>
    </w:rPr>
  </w:style>
  <w:style w:type="paragraph" w:customStyle="1" w:styleId="Status">
    <w:name w:val="Status"/>
    <w:basedOn w:val="Tableheading-centred"/>
    <w:uiPriority w:val="99"/>
    <w:rsid w:val="00B76145"/>
    <w:rPr>
      <w:lang w:val="en-AU"/>
    </w:rPr>
  </w:style>
  <w:style w:type="character" w:customStyle="1" w:styleId="multilabel1">
    <w:name w:val="multilabel1"/>
    <w:uiPriority w:val="99"/>
    <w:rsid w:val="00B76145"/>
    <w:rPr>
      <w:rFonts w:ascii="Verdana" w:hAnsi="Verdana" w:cs="Times New Roman"/>
      <w:b/>
      <w:bCs/>
      <w:sz w:val="15"/>
      <w:szCs w:val="15"/>
    </w:rPr>
  </w:style>
  <w:style w:type="paragraph" w:customStyle="1" w:styleId="Tabletext-smaller">
    <w:name w:val="Table text-smaller"/>
    <w:basedOn w:val="Tabletext-small"/>
    <w:uiPriority w:val="99"/>
    <w:rsid w:val="00B76145"/>
    <w:pPr>
      <w:spacing w:after="0"/>
    </w:pPr>
    <w:rPr>
      <w:sz w:val="18"/>
    </w:rPr>
  </w:style>
  <w:style w:type="paragraph" w:customStyle="1" w:styleId="Tabletext-small-bullet">
    <w:name w:val="Table text-small-bullet"/>
    <w:basedOn w:val="Normal"/>
    <w:rsid w:val="00B76145"/>
    <w:pPr>
      <w:spacing w:before="20" w:after="20" w:line="240" w:lineRule="auto"/>
      <w:ind w:left="170" w:hanging="170"/>
    </w:pPr>
    <w:rPr>
      <w:rFonts w:eastAsia="MS Mincho"/>
      <w:color w:val="191919"/>
      <w:sz w:val="16"/>
    </w:rPr>
  </w:style>
  <w:style w:type="paragraph" w:customStyle="1" w:styleId="Tableheading-smaller">
    <w:name w:val="Table heading-smaller"/>
    <w:basedOn w:val="TableHeading-left"/>
    <w:uiPriority w:val="99"/>
    <w:rsid w:val="00B76145"/>
  </w:style>
  <w:style w:type="paragraph" w:styleId="PlainText">
    <w:name w:val="Plain Text"/>
    <w:basedOn w:val="Normal"/>
    <w:link w:val="PlainTextChar"/>
    <w:uiPriority w:val="99"/>
    <w:rsid w:val="00B76145"/>
    <w:pPr>
      <w:spacing w:after="120" w:line="240" w:lineRule="auto"/>
      <w:ind w:left="0"/>
    </w:pPr>
    <w:rPr>
      <w:rFonts w:ascii="Calibri" w:eastAsia="MS Mincho" w:hAnsi="Calibri"/>
      <w:color w:val="191919"/>
      <w:sz w:val="22"/>
    </w:rPr>
  </w:style>
  <w:style w:type="character" w:customStyle="1" w:styleId="PlainTextChar">
    <w:name w:val="Plain Text Char"/>
    <w:link w:val="PlainText"/>
    <w:uiPriority w:val="99"/>
    <w:rsid w:val="00B76145"/>
    <w:rPr>
      <w:rFonts w:ascii="Calibri" w:eastAsia="MS Mincho" w:hAnsi="Calibri"/>
      <w:color w:val="191919"/>
      <w:sz w:val="22"/>
      <w:szCs w:val="24"/>
      <w:lang w:eastAsia="en-AU"/>
    </w:rPr>
  </w:style>
  <w:style w:type="numbering" w:customStyle="1" w:styleId="Numbered1">
    <w:name w:val="Numbered1"/>
    <w:rsid w:val="00B76145"/>
    <w:pPr>
      <w:numPr>
        <w:numId w:val="125"/>
      </w:numPr>
    </w:pPr>
  </w:style>
  <w:style w:type="numbering" w:customStyle="1" w:styleId="Tablebullets1">
    <w:name w:val="Table bullets1"/>
    <w:basedOn w:val="NoList"/>
    <w:rsid w:val="00B76145"/>
  </w:style>
  <w:style w:type="numbering" w:customStyle="1" w:styleId="StyleNumberedLeft0cmHanging063cm1">
    <w:name w:val="Style Numbered Left:  0 cm Hanging:  0.63 cm1"/>
    <w:rsid w:val="00B76145"/>
    <w:pPr>
      <w:numPr>
        <w:numId w:val="128"/>
      </w:numPr>
    </w:pPr>
  </w:style>
  <w:style w:type="numbering" w:customStyle="1" w:styleId="Procedurebulleted1">
    <w:name w:val="Procedure bulleted1"/>
    <w:rsid w:val="00B76145"/>
    <w:pPr>
      <w:numPr>
        <w:numId w:val="127"/>
      </w:numPr>
    </w:pPr>
  </w:style>
  <w:style w:type="numbering" w:customStyle="1" w:styleId="Bullets1">
    <w:name w:val="Bullets1"/>
    <w:basedOn w:val="NoList"/>
    <w:rsid w:val="00B76145"/>
    <w:pPr>
      <w:numPr>
        <w:numId w:val="134"/>
      </w:numPr>
    </w:pPr>
  </w:style>
  <w:style w:type="numbering" w:customStyle="1" w:styleId="Tablenumbering10">
    <w:name w:val="Table numbering1"/>
    <w:basedOn w:val="NoList"/>
    <w:rsid w:val="00B76145"/>
  </w:style>
  <w:style w:type="numbering" w:customStyle="1" w:styleId="StyleBulletedSymbolsymbolLeft15">
    <w:name w:val="Style Bulleted Symbol (symbol) Left:  1.5"/>
    <w:rsid w:val="00B76145"/>
  </w:style>
  <w:style w:type="numbering" w:customStyle="1" w:styleId="Numbering1">
    <w:name w:val="Numbering1"/>
    <w:basedOn w:val="NoList"/>
    <w:rsid w:val="00B76145"/>
  </w:style>
  <w:style w:type="numbering" w:customStyle="1" w:styleId="OriginList1">
    <w:name w:val="Origin List1"/>
    <w:rsid w:val="00B76145"/>
    <w:pPr>
      <w:numPr>
        <w:numId w:val="126"/>
      </w:numPr>
    </w:pPr>
  </w:style>
  <w:style w:type="numbering" w:customStyle="1" w:styleId="StyleOutlinenumberedSymbolsymbolGray-50Left125cm1">
    <w:name w:val="Style Outline numbered Symbol (symbol) Gray-50% Left:  1.25 cm ...1"/>
    <w:rsid w:val="00B76145"/>
    <w:pPr>
      <w:numPr>
        <w:numId w:val="129"/>
      </w:numPr>
    </w:pPr>
  </w:style>
  <w:style w:type="character" w:customStyle="1" w:styleId="EmailStyle301">
    <w:name w:val="EmailStyle301"/>
    <w:semiHidden/>
    <w:rsid w:val="00B76145"/>
    <w:rPr>
      <w:rFonts w:ascii="Arial" w:hAnsi="Arial" w:cs="Arial"/>
      <w:color w:val="000080"/>
      <w:sz w:val="20"/>
      <w:szCs w:val="20"/>
    </w:rPr>
  </w:style>
  <w:style w:type="numbering" w:customStyle="1" w:styleId="StyleBulleted1">
    <w:name w:val="Style Bulleted1"/>
    <w:basedOn w:val="NoList"/>
    <w:rsid w:val="00B76145"/>
  </w:style>
  <w:style w:type="numbering" w:customStyle="1" w:styleId="Style11">
    <w:name w:val="Style11"/>
    <w:uiPriority w:val="99"/>
    <w:rsid w:val="00B76145"/>
  </w:style>
  <w:style w:type="numbering" w:customStyle="1" w:styleId="Table1Numbering1">
    <w:name w:val="Table 1. Numbering1"/>
    <w:basedOn w:val="NoList"/>
    <w:rsid w:val="00B76145"/>
  </w:style>
  <w:style w:type="numbering" w:customStyle="1" w:styleId="TableBullets10">
    <w:name w:val="Table Bullets1"/>
    <w:basedOn w:val="NoList"/>
    <w:rsid w:val="00B76145"/>
  </w:style>
  <w:style w:type="numbering" w:customStyle="1" w:styleId="TableNumbering11">
    <w:name w:val="Table Numbering1"/>
    <w:basedOn w:val="NoList"/>
    <w:rsid w:val="00B76145"/>
  </w:style>
  <w:style w:type="numbering" w:customStyle="1" w:styleId="TableNumberingLevel21">
    <w:name w:val="Table Numbering + Level 21"/>
    <w:basedOn w:val="TableNumbering1"/>
    <w:rsid w:val="00B76145"/>
    <w:pPr>
      <w:numPr>
        <w:numId w:val="139"/>
      </w:numPr>
    </w:pPr>
  </w:style>
  <w:style w:type="character" w:customStyle="1" w:styleId="EmailStyle309">
    <w:name w:val="EmailStyle309"/>
    <w:semiHidden/>
    <w:rsid w:val="00B76145"/>
    <w:rPr>
      <w:rFonts w:ascii="Arial" w:hAnsi="Arial" w:cs="Arial"/>
      <w:color w:val="000080"/>
      <w:sz w:val="20"/>
      <w:szCs w:val="20"/>
    </w:rPr>
  </w:style>
  <w:style w:type="paragraph" w:customStyle="1" w:styleId="Notesform">
    <w:name w:val="Notes form"/>
    <w:basedOn w:val="Normal"/>
    <w:rsid w:val="00B76145"/>
    <w:pPr>
      <w:spacing w:before="120" w:line="240" w:lineRule="auto"/>
      <w:ind w:left="0"/>
    </w:pPr>
    <w:rPr>
      <w:rFonts w:eastAsia="MS Mincho"/>
      <w:i/>
      <w:color w:val="A71932"/>
      <w:sz w:val="16"/>
      <w:lang w:eastAsia="en-US"/>
    </w:rPr>
  </w:style>
  <w:style w:type="paragraph" w:customStyle="1" w:styleId="HeadingnotinTOC2">
    <w:name w:val="Heading not in TOC 2"/>
    <w:basedOn w:val="HeadingnotinTOC"/>
    <w:rsid w:val="00B76145"/>
    <w:pPr>
      <w:ind w:left="567"/>
    </w:pPr>
    <w:rPr>
      <w:bCs/>
      <w:i/>
    </w:rPr>
  </w:style>
  <w:style w:type="numbering" w:customStyle="1" w:styleId="Tabletextsize8bullets11">
    <w:name w:val="Table text + size 8 bullets11"/>
    <w:basedOn w:val="Numbering"/>
    <w:rsid w:val="00B76145"/>
    <w:pPr>
      <w:numPr>
        <w:numId w:val="138"/>
      </w:numPr>
    </w:pPr>
  </w:style>
  <w:style w:type="paragraph" w:customStyle="1" w:styleId="Tabletextsize85">
    <w:name w:val="Table text + size 8.5"/>
    <w:basedOn w:val="Normal"/>
    <w:rsid w:val="00B76145"/>
    <w:pPr>
      <w:framePr w:hSpace="180" w:wrap="around" w:vAnchor="text" w:hAnchor="margin" w:y="262"/>
      <w:tabs>
        <w:tab w:val="num" w:pos="170"/>
      </w:tabs>
      <w:spacing w:before="60" w:after="60" w:line="240" w:lineRule="auto"/>
      <w:ind w:left="170" w:hanging="170"/>
    </w:pPr>
    <w:rPr>
      <w:color w:val="191919"/>
      <w:sz w:val="18"/>
      <w:szCs w:val="18"/>
      <w:lang w:eastAsia="en-US"/>
    </w:rPr>
  </w:style>
  <w:style w:type="numbering" w:customStyle="1" w:styleId="Tabletextsize8bullets2">
    <w:name w:val="Table text + size 8 bullets2"/>
    <w:basedOn w:val="Numbering"/>
    <w:rsid w:val="00B76145"/>
    <w:pPr>
      <w:numPr>
        <w:numId w:val="130"/>
      </w:numPr>
    </w:pPr>
  </w:style>
  <w:style w:type="paragraph" w:customStyle="1" w:styleId="tablebullet-small0">
    <w:name w:val="tablebullet-small"/>
    <w:basedOn w:val="Normal"/>
    <w:rsid w:val="00B76145"/>
    <w:pPr>
      <w:spacing w:before="40" w:after="40" w:line="240" w:lineRule="auto"/>
      <w:ind w:hanging="360"/>
    </w:pPr>
    <w:rPr>
      <w:rFonts w:eastAsia="Calibri"/>
      <w:color w:val="191919"/>
      <w:sz w:val="18"/>
      <w:szCs w:val="18"/>
    </w:rPr>
  </w:style>
  <w:style w:type="character" w:customStyle="1" w:styleId="CharChar5">
    <w:name w:val="Char Char5"/>
    <w:semiHidden/>
    <w:rsid w:val="00B76145"/>
    <w:rPr>
      <w:rFonts w:ascii="Trebuchet MS" w:hAnsi="Trebuchet MS" w:cs="Times New Roman"/>
      <w:sz w:val="22"/>
      <w:szCs w:val="22"/>
      <w:lang w:val="en-AU" w:eastAsia="en-US" w:bidi="ar-SA"/>
    </w:rPr>
  </w:style>
  <w:style w:type="character" w:customStyle="1" w:styleId="st1">
    <w:name w:val="st1"/>
    <w:basedOn w:val="DefaultParagraphFont"/>
    <w:rsid w:val="00B76145"/>
  </w:style>
  <w:style w:type="character" w:customStyle="1" w:styleId="LDM4CharChar">
    <w:name w:val="LDM_4 Char Char"/>
    <w:locked/>
    <w:rsid w:val="00B76145"/>
    <w:rPr>
      <w:rFonts w:ascii="Gill Sans MT" w:hAnsi="Gill Sans MT" w:cs="Times New Roman"/>
      <w:b/>
      <w:i/>
      <w:color w:val="17365D"/>
      <w:lang w:val="en-US" w:eastAsia="en-GB" w:bidi="ar-SA"/>
    </w:rPr>
  </w:style>
  <w:style w:type="paragraph" w:customStyle="1" w:styleId="TableParagraph">
    <w:name w:val="Table Paragraph"/>
    <w:basedOn w:val="Normal"/>
    <w:uiPriority w:val="1"/>
    <w:qFormat/>
    <w:rsid w:val="00B76145"/>
    <w:pPr>
      <w:widowControl w:val="0"/>
      <w:spacing w:line="240" w:lineRule="auto"/>
      <w:ind w:left="0"/>
    </w:pPr>
    <w:rPr>
      <w:rFonts w:ascii="Calibri" w:eastAsia="Calibri" w:hAnsi="Calibri"/>
      <w:color w:val="191919"/>
      <w:sz w:val="22"/>
      <w:szCs w:val="22"/>
      <w:lang w:val="en-US" w:eastAsia="en-US"/>
    </w:rPr>
  </w:style>
  <w:style w:type="character" w:customStyle="1" w:styleId="EmailStyle3361">
    <w:name w:val="EmailStyle3361"/>
    <w:semiHidden/>
    <w:rsid w:val="00B76145"/>
    <w:rPr>
      <w:rFonts w:ascii="Arial" w:hAnsi="Arial" w:cs="Arial"/>
      <w:color w:val="000080"/>
      <w:sz w:val="20"/>
      <w:szCs w:val="20"/>
    </w:rPr>
  </w:style>
  <w:style w:type="character" w:customStyle="1" w:styleId="EmailStyle3371">
    <w:name w:val="EmailStyle3371"/>
    <w:semiHidden/>
    <w:rsid w:val="00B76145"/>
    <w:rPr>
      <w:rFonts w:ascii="Arial" w:hAnsi="Arial" w:cs="Arial"/>
      <w:color w:val="000080"/>
      <w:sz w:val="20"/>
      <w:szCs w:val="20"/>
    </w:rPr>
  </w:style>
  <w:style w:type="character" w:customStyle="1" w:styleId="EmailStyle3381">
    <w:name w:val="EmailStyle3381"/>
    <w:semiHidden/>
    <w:rsid w:val="00B76145"/>
    <w:rPr>
      <w:rFonts w:ascii="Arial" w:hAnsi="Arial" w:cs="Arial"/>
      <w:color w:val="000080"/>
      <w:sz w:val="20"/>
      <w:szCs w:val="20"/>
    </w:rPr>
  </w:style>
  <w:style w:type="paragraph" w:customStyle="1" w:styleId="StyleCaptionCaption-TableFigureTitleTitles-1Titles9pt">
    <w:name w:val="Style CaptionCaption-Table &amp; Figure TitleTitles-1Titles + 9 pt"/>
    <w:basedOn w:val="Caption"/>
    <w:link w:val="StyleCaptionCaption-TableFigureTitleTitles-1Titles9ptChar"/>
    <w:rsid w:val="00B76145"/>
    <w:pPr>
      <w:spacing w:before="120" w:after="120" w:line="288" w:lineRule="auto"/>
      <w:ind w:hanging="1417"/>
    </w:pPr>
    <w:rPr>
      <w:rFonts w:ascii="Arial" w:eastAsia="Times New Roman" w:hAnsi="Arial"/>
      <w:color w:val="191919"/>
      <w:sz w:val="18"/>
      <w:szCs w:val="20"/>
      <w:lang w:eastAsia="en-AU"/>
    </w:rPr>
  </w:style>
  <w:style w:type="character" w:customStyle="1" w:styleId="StyleCaptionCaption-TableFigureTitleTitles-1Titles9ptChar">
    <w:name w:val="Style CaptionCaption-Table &amp; Figure TitleTitles-1Titles + 9 pt Char"/>
    <w:link w:val="StyleCaptionCaption-TableFigureTitleTitles-1Titles9pt"/>
    <w:rsid w:val="00B76145"/>
    <w:rPr>
      <w:rFonts w:ascii="Arial" w:hAnsi="Arial"/>
      <w:b/>
      <w:bCs/>
      <w:color w:val="191919"/>
      <w:sz w:val="18"/>
      <w:lang w:eastAsia="en-AU"/>
    </w:rPr>
  </w:style>
  <w:style w:type="numbering" w:customStyle="1" w:styleId="StyleNumbered">
    <w:name w:val="Style Numbered"/>
    <w:basedOn w:val="NoList"/>
    <w:rsid w:val="00B76145"/>
    <w:pPr>
      <w:numPr>
        <w:numId w:val="140"/>
      </w:numPr>
    </w:pPr>
  </w:style>
  <w:style w:type="paragraph" w:customStyle="1" w:styleId="ZDisclaimer">
    <w:name w:val="ZDisclaimer"/>
    <w:basedOn w:val="Normal"/>
    <w:uiPriority w:val="99"/>
    <w:rsid w:val="00B76145"/>
    <w:pPr>
      <w:spacing w:before="140" w:after="120" w:line="280" w:lineRule="atLeast"/>
      <w:ind w:left="1135"/>
    </w:pPr>
    <w:rPr>
      <w:rFonts w:cs="Arial"/>
      <w:i/>
      <w:iCs/>
      <w:color w:val="191919"/>
      <w:sz w:val="18"/>
      <w:szCs w:val="20"/>
      <w:lang w:eastAsia="en-US"/>
    </w:rPr>
  </w:style>
  <w:style w:type="paragraph" w:customStyle="1" w:styleId="Tabletext-smallernumbering">
    <w:name w:val="Table text-smaller numbering"/>
    <w:basedOn w:val="Tabletext-smaller"/>
    <w:rsid w:val="00B76145"/>
    <w:pPr>
      <w:spacing w:before="20" w:after="20"/>
      <w:ind w:left="284" w:hanging="284"/>
    </w:pPr>
    <w:rPr>
      <w:rFonts w:eastAsia="MS Mincho"/>
    </w:rPr>
  </w:style>
  <w:style w:type="paragraph" w:customStyle="1" w:styleId="Tabletext-smallerbullet">
    <w:name w:val="Table text-smaller bullet"/>
    <w:basedOn w:val="Tabletext-smaller"/>
    <w:rsid w:val="00B76145"/>
    <w:pPr>
      <w:numPr>
        <w:numId w:val="141"/>
      </w:numPr>
      <w:tabs>
        <w:tab w:val="num" w:pos="360"/>
      </w:tabs>
      <w:spacing w:before="20" w:after="20"/>
      <w:ind w:left="170" w:hanging="170"/>
    </w:pPr>
    <w:rPr>
      <w:rFonts w:eastAsia="MS Mincho"/>
    </w:rPr>
  </w:style>
  <w:style w:type="paragraph" w:customStyle="1" w:styleId="FooterlandscapeA3">
    <w:name w:val="Footer landscape A3"/>
    <w:basedOn w:val="FooterLandscape"/>
    <w:rsid w:val="00B76145"/>
    <w:pPr>
      <w:tabs>
        <w:tab w:val="clear" w:pos="14005"/>
        <w:tab w:val="right" w:pos="21546"/>
      </w:tabs>
    </w:pPr>
    <w:rPr>
      <w:sz w:val="16"/>
      <w:szCs w:val="18"/>
    </w:rPr>
  </w:style>
  <w:style w:type="paragraph" w:customStyle="1" w:styleId="ListA">
    <w:name w:val="ListA"/>
    <w:link w:val="ListAChar"/>
    <w:uiPriority w:val="99"/>
    <w:rsid w:val="00B76145"/>
    <w:pPr>
      <w:spacing w:before="60" w:after="60"/>
    </w:pPr>
    <w:rPr>
      <w:rFonts w:ascii="Univers 45 Light" w:hAnsi="Univers 45 Light"/>
      <w:lang w:val="en-US" w:eastAsia="en-US"/>
    </w:rPr>
  </w:style>
  <w:style w:type="paragraph" w:customStyle="1" w:styleId="bMainbodytext4">
    <w:name w:val="b_Main body text 4"/>
    <w:basedOn w:val="Normal"/>
    <w:uiPriority w:val="99"/>
    <w:rsid w:val="00B76145"/>
    <w:pPr>
      <w:spacing w:after="120" w:line="240" w:lineRule="auto"/>
      <w:ind w:left="1800"/>
    </w:pPr>
    <w:rPr>
      <w:rFonts w:ascii="Univers 45 Light" w:hAnsi="Univers 45 Light"/>
      <w:i/>
      <w:color w:val="0000FF"/>
      <w:sz w:val="18"/>
      <w:szCs w:val="40"/>
      <w:lang w:val="en-GB" w:eastAsia="en-US"/>
    </w:rPr>
  </w:style>
  <w:style w:type="character" w:customStyle="1" w:styleId="ListAChar">
    <w:name w:val="ListA Char"/>
    <w:link w:val="ListA"/>
    <w:uiPriority w:val="99"/>
    <w:locked/>
    <w:rsid w:val="00B76145"/>
    <w:rPr>
      <w:rFonts w:ascii="Univers 45 Light" w:hAnsi="Univers 45 Light"/>
      <w:szCs w:val="24"/>
      <w:lang w:val="en-US"/>
    </w:rPr>
  </w:style>
  <w:style w:type="paragraph" w:customStyle="1" w:styleId="Tabletext-smallcentered">
    <w:name w:val="Table text-small centered"/>
    <w:basedOn w:val="Normal"/>
    <w:rsid w:val="00B76145"/>
    <w:pPr>
      <w:spacing w:before="20" w:after="20" w:line="240" w:lineRule="auto"/>
      <w:ind w:left="0"/>
      <w:jc w:val="center"/>
    </w:pPr>
    <w:rPr>
      <w:rFonts w:eastAsia="MS Mincho"/>
      <w:color w:val="191919"/>
      <w:sz w:val="16"/>
    </w:rPr>
  </w:style>
  <w:style w:type="paragraph" w:customStyle="1" w:styleId="Tabletext-smaller-centered">
    <w:name w:val="Table text-smaller-centered"/>
    <w:basedOn w:val="Tabletext-smallcentered"/>
    <w:rsid w:val="00B76145"/>
    <w:rPr>
      <w:sz w:val="18"/>
    </w:rPr>
  </w:style>
  <w:style w:type="paragraph" w:customStyle="1" w:styleId="Normal2">
    <w:name w:val="Normal2"/>
    <w:basedOn w:val="Normal"/>
    <w:link w:val="Normal2Char"/>
    <w:rsid w:val="00B76145"/>
    <w:pPr>
      <w:spacing w:before="120" w:after="120" w:line="240" w:lineRule="auto"/>
      <w:ind w:left="562"/>
    </w:pPr>
    <w:rPr>
      <w:rFonts w:eastAsia="MS Mincho"/>
      <w:color w:val="191919"/>
      <w:sz w:val="16"/>
      <w:lang w:eastAsia="en-US"/>
    </w:rPr>
  </w:style>
  <w:style w:type="character" w:customStyle="1" w:styleId="NormalsmallChar">
    <w:name w:val="Normalsmall Char"/>
    <w:link w:val="Normalsmall"/>
    <w:rsid w:val="00B76145"/>
    <w:rPr>
      <w:rFonts w:ascii="Arial" w:eastAsia="MS Mincho" w:hAnsi="Arial"/>
      <w:color w:val="191919"/>
      <w:sz w:val="16"/>
      <w:szCs w:val="24"/>
    </w:rPr>
  </w:style>
  <w:style w:type="character" w:customStyle="1" w:styleId="Normal2Char">
    <w:name w:val="Normal2 Char"/>
    <w:link w:val="Normal2"/>
    <w:rsid w:val="00B76145"/>
    <w:rPr>
      <w:rFonts w:ascii="Arial" w:eastAsia="MS Mincho" w:hAnsi="Arial"/>
      <w:color w:val="191919"/>
      <w:sz w:val="16"/>
      <w:szCs w:val="24"/>
    </w:rPr>
  </w:style>
  <w:style w:type="paragraph" w:styleId="Index1">
    <w:name w:val="index 1"/>
    <w:basedOn w:val="Normal"/>
    <w:next w:val="Normal"/>
    <w:autoRedefine/>
    <w:rsid w:val="00B76145"/>
    <w:pPr>
      <w:widowControl w:val="0"/>
      <w:spacing w:line="240" w:lineRule="auto"/>
      <w:ind w:left="200" w:hanging="200"/>
    </w:pPr>
    <w:rPr>
      <w:color w:val="191919"/>
      <w:sz w:val="18"/>
      <w:szCs w:val="20"/>
      <w:lang w:val="en-US" w:eastAsia="en-US"/>
    </w:rPr>
  </w:style>
  <w:style w:type="paragraph" w:customStyle="1" w:styleId="tabletextsmall-bullet0">
    <w:name w:val="tabletextsmall-bullet"/>
    <w:basedOn w:val="Normal"/>
    <w:rsid w:val="00B76145"/>
    <w:pPr>
      <w:spacing w:before="40" w:after="40" w:line="240" w:lineRule="auto"/>
      <w:ind w:hanging="360"/>
    </w:pPr>
    <w:rPr>
      <w:rFonts w:eastAsia="Calibri"/>
      <w:color w:val="191919"/>
      <w:sz w:val="16"/>
      <w:szCs w:val="16"/>
    </w:rPr>
  </w:style>
  <w:style w:type="character" w:customStyle="1" w:styleId="EmailStyle3571">
    <w:name w:val="EmailStyle3571"/>
    <w:semiHidden/>
    <w:rsid w:val="00B76145"/>
    <w:rPr>
      <w:rFonts w:ascii="Arial" w:hAnsi="Arial" w:cs="Arial"/>
      <w:color w:val="000080"/>
      <w:sz w:val="20"/>
      <w:szCs w:val="20"/>
    </w:rPr>
  </w:style>
  <w:style w:type="paragraph" w:customStyle="1" w:styleId="Tablefill">
    <w:name w:val="Table fill"/>
    <w:basedOn w:val="NormalWeb"/>
    <w:uiPriority w:val="99"/>
    <w:rsid w:val="00B76145"/>
    <w:pPr>
      <w:spacing w:before="60" w:after="60" w:line="240" w:lineRule="auto"/>
      <w:ind w:right="0"/>
    </w:pPr>
    <w:rPr>
      <w:rFonts w:ascii="Arial Narrow" w:eastAsia="MS Mincho" w:hAnsi="Arial Narrow" w:cs="Arial Narrow"/>
      <w:color w:val="000000"/>
      <w:sz w:val="20"/>
      <w:szCs w:val="20"/>
    </w:rPr>
  </w:style>
  <w:style w:type="paragraph" w:customStyle="1" w:styleId="default0">
    <w:name w:val="default"/>
    <w:basedOn w:val="Normal"/>
    <w:rsid w:val="00B76145"/>
    <w:pPr>
      <w:autoSpaceDE w:val="0"/>
      <w:autoSpaceDN w:val="0"/>
      <w:spacing w:line="240" w:lineRule="auto"/>
      <w:ind w:left="0"/>
    </w:pPr>
    <w:rPr>
      <w:rFonts w:eastAsia="Calibri" w:cs="Arial"/>
      <w:color w:val="000000"/>
      <w:lang w:val="en-US" w:eastAsia="en-US"/>
    </w:rPr>
  </w:style>
  <w:style w:type="character" w:customStyle="1" w:styleId="EmailStyle3601">
    <w:name w:val="EmailStyle3601"/>
    <w:semiHidden/>
    <w:rsid w:val="00B76145"/>
    <w:rPr>
      <w:rFonts w:ascii="Arial" w:hAnsi="Arial" w:cs="Arial"/>
      <w:color w:val="000080"/>
      <w:sz w:val="20"/>
      <w:szCs w:val="20"/>
    </w:rPr>
  </w:style>
  <w:style w:type="character" w:customStyle="1" w:styleId="EmailStyle3611">
    <w:name w:val="EmailStyle3611"/>
    <w:semiHidden/>
    <w:rsid w:val="00B76145"/>
    <w:rPr>
      <w:rFonts w:ascii="Arial" w:hAnsi="Arial" w:cs="Arial"/>
      <w:color w:val="000080"/>
      <w:sz w:val="20"/>
      <w:szCs w:val="20"/>
    </w:rPr>
  </w:style>
  <w:style w:type="character" w:customStyle="1" w:styleId="EmailStyle3621">
    <w:name w:val="EmailStyle3621"/>
    <w:semiHidden/>
    <w:rsid w:val="00B76145"/>
    <w:rPr>
      <w:rFonts w:ascii="Arial" w:hAnsi="Arial" w:cs="Arial"/>
      <w:color w:val="000080"/>
      <w:sz w:val="20"/>
      <w:szCs w:val="20"/>
    </w:rPr>
  </w:style>
  <w:style w:type="paragraph" w:styleId="BodyTextIndent3">
    <w:name w:val="Body Text Indent 3"/>
    <w:basedOn w:val="Normal"/>
    <w:link w:val="BodyTextIndent3Char"/>
    <w:rsid w:val="00B76145"/>
    <w:pPr>
      <w:spacing w:before="120" w:after="120" w:line="240" w:lineRule="auto"/>
      <w:ind w:left="283"/>
    </w:pPr>
    <w:rPr>
      <w:rFonts w:ascii="Verdana" w:hAnsi="Verdana"/>
      <w:color w:val="191919"/>
      <w:sz w:val="16"/>
      <w:szCs w:val="16"/>
      <w:lang w:eastAsia="en-US"/>
    </w:rPr>
  </w:style>
  <w:style w:type="character" w:customStyle="1" w:styleId="BodyTextIndent3Char">
    <w:name w:val="Body Text Indent 3 Char"/>
    <w:link w:val="BodyTextIndent3"/>
    <w:rsid w:val="00B76145"/>
    <w:rPr>
      <w:rFonts w:ascii="Verdana" w:hAnsi="Verdana"/>
      <w:color w:val="191919"/>
      <w:sz w:val="16"/>
      <w:szCs w:val="16"/>
    </w:rPr>
  </w:style>
  <w:style w:type="paragraph" w:customStyle="1" w:styleId="Graphic-centre0">
    <w:name w:val="Graphic-centre"/>
    <w:basedOn w:val="Normal"/>
    <w:uiPriority w:val="99"/>
    <w:rsid w:val="00B76145"/>
    <w:pPr>
      <w:spacing w:before="60" w:after="60" w:line="240" w:lineRule="auto"/>
      <w:ind w:left="0"/>
      <w:jc w:val="center"/>
    </w:pPr>
    <w:rPr>
      <w:rFonts w:eastAsia="MS Mincho" w:cs="Trebuchet MS"/>
      <w:noProof/>
      <w:color w:val="191919"/>
      <w:sz w:val="18"/>
      <w:szCs w:val="20"/>
    </w:rPr>
  </w:style>
  <w:style w:type="paragraph" w:styleId="MessageHeader">
    <w:name w:val="Message Header"/>
    <w:basedOn w:val="Normal"/>
    <w:link w:val="MessageHeaderChar"/>
    <w:uiPriority w:val="99"/>
    <w:rsid w:val="00B76145"/>
    <w:pPr>
      <w:pBdr>
        <w:top w:val="single" w:sz="6" w:space="1" w:color="auto"/>
        <w:left w:val="single" w:sz="6" w:space="1" w:color="auto"/>
        <w:bottom w:val="single" w:sz="6" w:space="1" w:color="auto"/>
        <w:right w:val="single" w:sz="6" w:space="1" w:color="auto"/>
      </w:pBdr>
      <w:shd w:val="pct20" w:color="auto" w:fill="auto"/>
      <w:spacing w:after="120" w:line="240" w:lineRule="auto"/>
      <w:ind w:left="1134" w:hanging="1134"/>
      <w:jc w:val="center"/>
    </w:pPr>
    <w:rPr>
      <w:color w:val="191919"/>
      <w:lang w:eastAsia="en-US"/>
    </w:rPr>
  </w:style>
  <w:style w:type="character" w:customStyle="1" w:styleId="MessageHeaderChar">
    <w:name w:val="Message Header Char"/>
    <w:link w:val="MessageHeader"/>
    <w:uiPriority w:val="99"/>
    <w:rsid w:val="00B76145"/>
    <w:rPr>
      <w:rFonts w:ascii="Arial" w:hAnsi="Arial"/>
      <w:color w:val="191919"/>
      <w:sz w:val="24"/>
      <w:szCs w:val="24"/>
      <w:shd w:val="pct20" w:color="auto" w:fill="auto"/>
    </w:rPr>
  </w:style>
  <w:style w:type="character" w:customStyle="1" w:styleId="NormalWebChar">
    <w:name w:val="Normal (Web) Char"/>
    <w:link w:val="NormalWeb"/>
    <w:uiPriority w:val="99"/>
    <w:locked/>
    <w:rsid w:val="00B76145"/>
    <w:rPr>
      <w:sz w:val="24"/>
      <w:szCs w:val="24"/>
      <w:lang w:eastAsia="en-AU"/>
    </w:rPr>
  </w:style>
  <w:style w:type="paragraph" w:customStyle="1" w:styleId="nav1">
    <w:name w:val="nav1"/>
    <w:basedOn w:val="Normal"/>
    <w:uiPriority w:val="99"/>
    <w:rsid w:val="00B76145"/>
    <w:pPr>
      <w:spacing w:before="225" w:after="225" w:line="210" w:lineRule="atLeast"/>
      <w:ind w:left="450" w:right="450"/>
    </w:pPr>
    <w:rPr>
      <w:rFonts w:ascii="Times New Roman" w:hAnsi="Times New Roman"/>
      <w:color w:val="191919"/>
      <w:sz w:val="17"/>
      <w:szCs w:val="17"/>
    </w:rPr>
  </w:style>
  <w:style w:type="character" w:customStyle="1" w:styleId="A4">
    <w:name w:val="A4"/>
    <w:uiPriority w:val="99"/>
    <w:rsid w:val="00B76145"/>
    <w:rPr>
      <w:b/>
      <w:color w:val="000000"/>
      <w:sz w:val="32"/>
    </w:rPr>
  </w:style>
  <w:style w:type="character" w:customStyle="1" w:styleId="EmailStyle1791">
    <w:name w:val="EmailStyle1791"/>
    <w:semiHidden/>
    <w:rsid w:val="00B76145"/>
    <w:rPr>
      <w:rFonts w:ascii="Arial" w:hAnsi="Arial" w:cs="Arial"/>
      <w:color w:val="000080"/>
      <w:sz w:val="20"/>
      <w:szCs w:val="20"/>
    </w:rPr>
  </w:style>
  <w:style w:type="character" w:customStyle="1" w:styleId="reference-text">
    <w:name w:val="reference-text"/>
    <w:basedOn w:val="DefaultParagraphFont"/>
    <w:rsid w:val="00B76145"/>
  </w:style>
  <w:style w:type="character" w:customStyle="1" w:styleId="a-size-large1">
    <w:name w:val="a-size-large1"/>
    <w:rsid w:val="00B76145"/>
    <w:rPr>
      <w:rFonts w:ascii="Arial" w:hAnsi="Arial" w:cs="Arial" w:hint="default"/>
    </w:rPr>
  </w:style>
  <w:style w:type="character" w:customStyle="1" w:styleId="author">
    <w:name w:val="author"/>
    <w:basedOn w:val="DefaultParagraphFont"/>
    <w:rsid w:val="00B76145"/>
  </w:style>
  <w:style w:type="character" w:customStyle="1" w:styleId="contribution">
    <w:name w:val="contribution"/>
    <w:basedOn w:val="DefaultParagraphFont"/>
    <w:rsid w:val="00B76145"/>
  </w:style>
  <w:style w:type="character" w:customStyle="1" w:styleId="a-color-secondary">
    <w:name w:val="a-color-secondary"/>
    <w:basedOn w:val="DefaultParagraphFont"/>
    <w:rsid w:val="00B76145"/>
  </w:style>
  <w:style w:type="character" w:customStyle="1" w:styleId="TableTextChar0">
    <w:name w:val="TableText Char"/>
    <w:link w:val="TableText0"/>
    <w:rsid w:val="00B76145"/>
    <w:rPr>
      <w:rFonts w:ascii="Verdana" w:hAnsi="Verdana"/>
    </w:rPr>
  </w:style>
  <w:style w:type="paragraph" w:customStyle="1" w:styleId="bullet20">
    <w:name w:val="bullet2"/>
    <w:basedOn w:val="Normal"/>
    <w:rsid w:val="00B76145"/>
    <w:pPr>
      <w:spacing w:before="120" w:after="120" w:line="300" w:lineRule="auto"/>
      <w:ind w:left="1843" w:hanging="283"/>
      <w:jc w:val="both"/>
    </w:pPr>
    <w:rPr>
      <w:rFonts w:ascii="Times New Roman" w:hAnsi="Times New Roman"/>
      <w:color w:val="191919"/>
      <w:sz w:val="18"/>
      <w:szCs w:val="22"/>
      <w:lang w:val="en-US"/>
    </w:rPr>
  </w:style>
  <w:style w:type="paragraph" w:customStyle="1" w:styleId="Bullets10">
    <w:name w:val="Bullets 1"/>
    <w:basedOn w:val="Normal"/>
    <w:next w:val="Normal"/>
    <w:rsid w:val="00B76145"/>
    <w:pPr>
      <w:tabs>
        <w:tab w:val="left" w:pos="0"/>
      </w:tabs>
      <w:suppressAutoHyphens/>
      <w:spacing w:before="97" w:after="153" w:line="270" w:lineRule="atLeast"/>
      <w:ind w:left="0"/>
    </w:pPr>
    <w:rPr>
      <w:color w:val="000000"/>
      <w:sz w:val="18"/>
      <w:szCs w:val="20"/>
    </w:rPr>
  </w:style>
  <w:style w:type="paragraph" w:styleId="BodyTextFirstIndent">
    <w:name w:val="Body Text First Indent"/>
    <w:basedOn w:val="BodyText"/>
    <w:link w:val="BodyTextFirstIndentChar"/>
    <w:rsid w:val="00B76145"/>
    <w:pPr>
      <w:spacing w:before="120" w:line="240" w:lineRule="auto"/>
      <w:ind w:left="0" w:firstLine="210"/>
    </w:pPr>
    <w:rPr>
      <w:rFonts w:ascii="Verdana" w:hAnsi="Verdana"/>
      <w:color w:val="191919"/>
      <w:sz w:val="18"/>
      <w:szCs w:val="20"/>
      <w:lang w:eastAsia="en-US"/>
    </w:rPr>
  </w:style>
  <w:style w:type="character" w:customStyle="1" w:styleId="BodyTextFirstIndentChar">
    <w:name w:val="Body Text First Indent Char"/>
    <w:link w:val="BodyTextFirstIndent"/>
    <w:rsid w:val="00B76145"/>
    <w:rPr>
      <w:rFonts w:ascii="Verdana" w:hAnsi="Verdana"/>
      <w:color w:val="191919"/>
      <w:sz w:val="18"/>
      <w:szCs w:val="24"/>
      <w:lang w:eastAsia="en-AU"/>
    </w:rPr>
  </w:style>
  <w:style w:type="paragraph" w:customStyle="1" w:styleId="ColorfulList-Accent110">
    <w:name w:val="Colorful List - Accent 11"/>
    <w:basedOn w:val="Normal"/>
    <w:uiPriority w:val="34"/>
    <w:qFormat/>
    <w:rsid w:val="00B76145"/>
    <w:pPr>
      <w:spacing w:after="120" w:line="240" w:lineRule="auto"/>
      <w:contextualSpacing/>
    </w:pPr>
    <w:rPr>
      <w:rFonts w:eastAsia="MS Mincho"/>
      <w:color w:val="191919"/>
      <w:sz w:val="18"/>
      <w:szCs w:val="20"/>
    </w:rPr>
  </w:style>
  <w:style w:type="paragraph" w:customStyle="1" w:styleId="NormalText">
    <w:name w:val="Normal Text"/>
    <w:basedOn w:val="Normal"/>
    <w:link w:val="NormalTextChar"/>
    <w:rsid w:val="00B76145"/>
    <w:pPr>
      <w:numPr>
        <w:ilvl w:val="12"/>
      </w:numPr>
      <w:spacing w:before="240" w:line="288" w:lineRule="auto"/>
      <w:ind w:left="720"/>
      <w:jc w:val="both"/>
    </w:pPr>
    <w:rPr>
      <w:color w:val="191919"/>
      <w:sz w:val="18"/>
      <w:szCs w:val="20"/>
      <w:lang w:eastAsia="en-US"/>
    </w:rPr>
  </w:style>
  <w:style w:type="character" w:customStyle="1" w:styleId="NormalTextChar">
    <w:name w:val="Normal Text Char"/>
    <w:link w:val="NormalText"/>
    <w:rsid w:val="00B76145"/>
    <w:rPr>
      <w:rFonts w:ascii="Arial" w:hAnsi="Arial"/>
      <w:color w:val="191919"/>
      <w:sz w:val="18"/>
    </w:rPr>
  </w:style>
  <w:style w:type="paragraph" w:customStyle="1" w:styleId="jvnames">
    <w:name w:val="jv names"/>
    <w:next w:val="Normal"/>
    <w:rsid w:val="00B76145"/>
    <w:pPr>
      <w:keepNext/>
      <w:keepLines/>
      <w:spacing w:line="320" w:lineRule="atLeast"/>
      <w:jc w:val="center"/>
    </w:pPr>
    <w:rPr>
      <w:rFonts w:ascii="Times" w:hAnsi="Times"/>
      <w:lang w:eastAsia="en-US"/>
    </w:rPr>
  </w:style>
  <w:style w:type="character" w:customStyle="1" w:styleId="EmailStyle396">
    <w:name w:val="EmailStyle396"/>
    <w:semiHidden/>
    <w:rsid w:val="00B76145"/>
    <w:rPr>
      <w:rFonts w:ascii="Arial" w:hAnsi="Arial" w:cs="Arial"/>
      <w:color w:val="000080"/>
      <w:sz w:val="20"/>
      <w:szCs w:val="20"/>
    </w:rPr>
  </w:style>
  <w:style w:type="paragraph" w:customStyle="1" w:styleId="Maintitle3description">
    <w:name w:val="Main title 3 description"/>
    <w:basedOn w:val="Maintitle2"/>
    <w:qFormat/>
    <w:rsid w:val="00B76145"/>
    <w:pPr>
      <w:spacing w:before="240" w:after="1680"/>
    </w:pPr>
    <w:rPr>
      <w:color w:val="191919"/>
      <w:sz w:val="18"/>
      <w:lang w:eastAsia="en-AU"/>
    </w:rPr>
  </w:style>
  <w:style w:type="paragraph" w:customStyle="1" w:styleId="MaintitleIG">
    <w:name w:val="Main title IG"/>
    <w:basedOn w:val="Maintitle1"/>
    <w:qFormat/>
    <w:rsid w:val="00B76145"/>
    <w:pPr>
      <w:shd w:val="clear" w:color="auto" w:fill="F36D00"/>
      <w:spacing w:before="1920"/>
    </w:pPr>
    <w:rPr>
      <w:caps w:val="0"/>
      <w:color w:val="FFFFFF"/>
    </w:rPr>
  </w:style>
  <w:style w:type="character" w:customStyle="1" w:styleId="Orange">
    <w:name w:val="Orange"/>
    <w:uiPriority w:val="1"/>
    <w:qFormat/>
    <w:rsid w:val="00B76145"/>
    <w:rPr>
      <w:color w:val="F36D19"/>
    </w:rPr>
  </w:style>
  <w:style w:type="table" w:styleId="TableContemporary">
    <w:name w:val="Table Contemporary"/>
    <w:basedOn w:val="TableNormal"/>
    <w:rsid w:val="00B76145"/>
    <w:pPr>
      <w:spacing w:after="120"/>
    </w:pPr>
    <w:rPr>
      <w:rFonts w:eastAsia="MS Mincho"/>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List1">
    <w:name w:val="Table List 1"/>
    <w:basedOn w:val="TableNormal"/>
    <w:rsid w:val="00B76145"/>
    <w:pPr>
      <w:spacing w:after="120"/>
    </w:pPr>
    <w:rPr>
      <w:rFonts w:eastAsia="MS Mincho"/>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EmailStyle4021">
    <w:name w:val="EmailStyle4021"/>
    <w:semiHidden/>
    <w:rsid w:val="00B76145"/>
    <w:rPr>
      <w:rFonts w:ascii="Arial" w:hAnsi="Arial" w:cs="Arial"/>
      <w:color w:val="000080"/>
      <w:sz w:val="20"/>
      <w:szCs w:val="20"/>
    </w:rPr>
  </w:style>
  <w:style w:type="paragraph" w:customStyle="1" w:styleId="AppendixSubsection1">
    <w:name w:val="Appendix Subsection 1"/>
    <w:basedOn w:val="Heading2"/>
    <w:uiPriority w:val="99"/>
    <w:rsid w:val="00B76145"/>
    <w:pPr>
      <w:keepNext w:val="0"/>
      <w:numPr>
        <w:numId w:val="37"/>
      </w:numPr>
      <w:tabs>
        <w:tab w:val="clear" w:pos="720"/>
      </w:tabs>
      <w:spacing w:after="120" w:line="300" w:lineRule="auto"/>
      <w:ind w:left="0" w:firstLine="0"/>
    </w:pPr>
    <w:rPr>
      <w:rFonts w:ascii="Univers 45 Light" w:hAnsi="Univers 45 Light"/>
      <w:b/>
      <w:bCs w:val="0"/>
      <w:color w:val="99CC00"/>
      <w:lang w:val="en-GB" w:eastAsia="en-GB"/>
    </w:rPr>
  </w:style>
  <w:style w:type="paragraph" w:customStyle="1" w:styleId="BodyText13">
    <w:name w:val="Body Text13"/>
    <w:basedOn w:val="Normal"/>
    <w:qFormat/>
    <w:rsid w:val="00B76145"/>
    <w:pPr>
      <w:tabs>
        <w:tab w:val="left" w:pos="851"/>
        <w:tab w:val="left" w:pos="1701"/>
        <w:tab w:val="left" w:pos="2835"/>
        <w:tab w:val="left" w:pos="4253"/>
      </w:tabs>
      <w:spacing w:before="120" w:after="120" w:line="240" w:lineRule="atLeast"/>
      <w:ind w:left="1134"/>
    </w:pPr>
    <w:rPr>
      <w:rFonts w:ascii="Verdana" w:hAnsi="Verdana"/>
      <w:color w:val="1B242A"/>
      <w:szCs w:val="20"/>
      <w:lang w:eastAsia="en-US"/>
    </w:rPr>
  </w:style>
  <w:style w:type="paragraph" w:customStyle="1" w:styleId="SpecificationNo">
    <w:name w:val="Specification No."/>
    <w:basedOn w:val="Normal"/>
    <w:next w:val="Normal"/>
    <w:semiHidden/>
    <w:rsid w:val="00B76145"/>
    <w:pPr>
      <w:spacing w:before="480" w:after="480" w:line="240" w:lineRule="auto"/>
      <w:ind w:left="0"/>
      <w:jc w:val="center"/>
    </w:pPr>
    <w:rPr>
      <w:b/>
      <w:sz w:val="32"/>
      <w:szCs w:val="20"/>
      <w:lang w:val="en-US" w:eastAsia="en-US"/>
    </w:rPr>
  </w:style>
  <w:style w:type="paragraph" w:customStyle="1" w:styleId="BodyText12">
    <w:name w:val="Body Text12"/>
    <w:basedOn w:val="Normal"/>
    <w:qFormat/>
    <w:rsid w:val="00B76145"/>
    <w:pPr>
      <w:tabs>
        <w:tab w:val="left" w:pos="851"/>
        <w:tab w:val="left" w:pos="1701"/>
        <w:tab w:val="left" w:pos="2835"/>
        <w:tab w:val="left" w:pos="4253"/>
      </w:tabs>
      <w:spacing w:before="120" w:after="120" w:line="240" w:lineRule="atLeast"/>
      <w:ind w:left="1134"/>
    </w:pPr>
    <w:rPr>
      <w:rFonts w:ascii="Verdana" w:hAnsi="Verdana"/>
      <w:color w:val="1B242A"/>
      <w:szCs w:val="20"/>
      <w:lang w:eastAsia="en-US"/>
    </w:rPr>
  </w:style>
  <w:style w:type="paragraph" w:customStyle="1" w:styleId="BodyText11">
    <w:name w:val="Body Text11"/>
    <w:basedOn w:val="Normal"/>
    <w:uiPriority w:val="99"/>
    <w:qFormat/>
    <w:rsid w:val="00B76145"/>
    <w:pPr>
      <w:tabs>
        <w:tab w:val="left" w:pos="851"/>
        <w:tab w:val="left" w:pos="1701"/>
        <w:tab w:val="left" w:pos="2835"/>
        <w:tab w:val="left" w:pos="4253"/>
      </w:tabs>
      <w:spacing w:before="120" w:after="120" w:line="240" w:lineRule="atLeast"/>
      <w:ind w:left="1134"/>
    </w:pPr>
    <w:rPr>
      <w:rFonts w:ascii="Verdana" w:hAnsi="Verdana"/>
      <w:color w:val="1B242A"/>
      <w:szCs w:val="20"/>
      <w:lang w:eastAsia="en-US"/>
    </w:rPr>
  </w:style>
  <w:style w:type="paragraph" w:customStyle="1" w:styleId="BodyText10">
    <w:name w:val="Body Text10"/>
    <w:basedOn w:val="Normal"/>
    <w:qFormat/>
    <w:rsid w:val="00B76145"/>
    <w:pPr>
      <w:tabs>
        <w:tab w:val="left" w:pos="851"/>
        <w:tab w:val="left" w:pos="1701"/>
        <w:tab w:val="left" w:pos="2835"/>
        <w:tab w:val="left" w:pos="4253"/>
      </w:tabs>
      <w:spacing w:before="120" w:after="120" w:line="240" w:lineRule="auto"/>
      <w:ind w:left="1134"/>
    </w:pPr>
    <w:rPr>
      <w:rFonts w:ascii="Verdana" w:hAnsi="Verdana"/>
      <w:color w:val="1B242A"/>
      <w:szCs w:val="20"/>
      <w:lang w:eastAsia="en-US"/>
    </w:rPr>
  </w:style>
  <w:style w:type="paragraph" w:customStyle="1" w:styleId="Content">
    <w:name w:val="Content"/>
    <w:basedOn w:val="Normal"/>
    <w:link w:val="ContentChar"/>
    <w:qFormat/>
    <w:rsid w:val="00B76145"/>
    <w:pPr>
      <w:spacing w:line="240" w:lineRule="auto"/>
      <w:ind w:left="567"/>
      <w:jc w:val="both"/>
    </w:pPr>
    <w:rPr>
      <w:rFonts w:ascii="Calibri" w:hAnsi="Calibri" w:cs="Calibri"/>
      <w:sz w:val="22"/>
      <w:szCs w:val="22"/>
      <w:lang w:val="en-US" w:eastAsia="en-GB"/>
    </w:rPr>
  </w:style>
  <w:style w:type="character" w:customStyle="1" w:styleId="ContentChar">
    <w:name w:val="Content Char"/>
    <w:link w:val="Content"/>
    <w:rsid w:val="00B76145"/>
    <w:rPr>
      <w:rFonts w:ascii="Calibri" w:hAnsi="Calibri" w:cs="Calibri"/>
      <w:sz w:val="22"/>
      <w:szCs w:val="22"/>
      <w:lang w:val="en-US" w:eastAsia="en-GB"/>
    </w:rPr>
  </w:style>
  <w:style w:type="numbering" w:customStyle="1" w:styleId="ListBulletNumber">
    <w:name w:val="List_Bullet_Number"/>
    <w:basedOn w:val="NoList"/>
    <w:uiPriority w:val="99"/>
    <w:rsid w:val="00B76145"/>
    <w:pPr>
      <w:numPr>
        <w:numId w:val="157"/>
      </w:numPr>
    </w:pPr>
  </w:style>
  <w:style w:type="character" w:customStyle="1" w:styleId="doilink">
    <w:name w:val="doi_link"/>
    <w:basedOn w:val="DefaultParagraphFont"/>
    <w:rsid w:val="00B76145"/>
  </w:style>
  <w:style w:type="character" w:customStyle="1" w:styleId="referencetext1">
    <w:name w:val="referencetext1"/>
    <w:rsid w:val="00B76145"/>
    <w:rPr>
      <w:vanish w:val="0"/>
      <w:webHidden w:val="0"/>
      <w:specVanish w:val="0"/>
    </w:rPr>
  </w:style>
  <w:style w:type="paragraph" w:customStyle="1" w:styleId="Reference">
    <w:name w:val="Reference"/>
    <w:basedOn w:val="Normal"/>
    <w:qFormat/>
    <w:rsid w:val="00B76145"/>
    <w:pPr>
      <w:keepLines/>
      <w:tabs>
        <w:tab w:val="left" w:pos="720"/>
      </w:tabs>
      <w:spacing w:line="240" w:lineRule="auto"/>
      <w:ind w:left="0" w:right="-369"/>
      <w:jc w:val="both"/>
    </w:pPr>
    <w:rPr>
      <w:rFonts w:ascii="Calibri" w:hAnsi="Calibri" w:cs="Calibri"/>
      <w:sz w:val="18"/>
      <w:szCs w:val="18"/>
      <w:lang w:val="en-GB"/>
    </w:rPr>
  </w:style>
  <w:style w:type="paragraph" w:customStyle="1" w:styleId="BulletStyle">
    <w:name w:val="BulletStyle"/>
    <w:basedOn w:val="Normal"/>
    <w:rsid w:val="00B76145"/>
    <w:pPr>
      <w:numPr>
        <w:numId w:val="158"/>
      </w:numPr>
      <w:spacing w:after="240" w:line="288" w:lineRule="atLeast"/>
      <w:jc w:val="both"/>
    </w:pPr>
    <w:rPr>
      <w:rFonts w:ascii="Palatino" w:hAnsi="Palatino"/>
      <w:sz w:val="22"/>
      <w:szCs w:val="20"/>
    </w:rPr>
  </w:style>
  <w:style w:type="paragraph" w:customStyle="1" w:styleId="Body">
    <w:name w:val="_Body"/>
    <w:qFormat/>
    <w:rsid w:val="00B76145"/>
    <w:pPr>
      <w:spacing w:after="113" w:line="240" w:lineRule="atLeast"/>
    </w:pPr>
    <w:rPr>
      <w:rFonts w:ascii="Arial" w:hAnsi="Arial" w:cs="Arial"/>
      <w:sz w:val="18"/>
      <w:lang w:eastAsia="en-US"/>
    </w:rPr>
  </w:style>
  <w:style w:type="paragraph" w:customStyle="1" w:styleId="alphalistbody">
    <w:name w:val="alpha list body"/>
    <w:basedOn w:val="Normal"/>
    <w:autoRedefine/>
    <w:rsid w:val="00540F41"/>
    <w:pPr>
      <w:numPr>
        <w:numId w:val="174"/>
      </w:numPr>
      <w:tabs>
        <w:tab w:val="clear" w:pos="1080"/>
      </w:tabs>
      <w:spacing w:line="240" w:lineRule="auto"/>
      <w:ind w:left="993" w:hanging="426"/>
      <w:jc w:val="both"/>
    </w:pPr>
    <w:rPr>
      <w:rFonts w:ascii="Lucida Sans Unicode" w:hAnsi="Lucida Sans Unicode" w:cs="Lucida Sans Unicode"/>
      <w:sz w:val="20"/>
      <w:szCs w:val="20"/>
      <w:lang w:eastAsia="en-US"/>
    </w:rPr>
  </w:style>
  <w:style w:type="paragraph" w:styleId="ListParagraph0">
    <w:name w:val="List Paragraph"/>
    <w:basedOn w:val="Normal"/>
    <w:link w:val="ListParagraphChar"/>
    <w:uiPriority w:val="34"/>
    <w:qFormat/>
    <w:rsid w:val="00CB09B1"/>
    <w:pPr>
      <w:contextualSpacing/>
    </w:pPr>
  </w:style>
  <w:style w:type="paragraph" w:customStyle="1" w:styleId="Bulletpoint">
    <w:name w:val="Bullet point"/>
    <w:basedOn w:val="ListBullet2"/>
    <w:link w:val="BulletpointChar"/>
    <w:qFormat/>
    <w:rsid w:val="006370D0"/>
    <w:pPr>
      <w:numPr>
        <w:numId w:val="0"/>
      </w:numPr>
      <w:spacing w:before="60" w:after="60" w:line="240" w:lineRule="auto"/>
      <w:contextualSpacing w:val="0"/>
      <w:jc w:val="both"/>
    </w:pPr>
    <w:rPr>
      <w:lang w:eastAsia="en-US"/>
    </w:rPr>
  </w:style>
  <w:style w:type="character" w:customStyle="1" w:styleId="BulletpointChar">
    <w:name w:val="Bullet point Char"/>
    <w:link w:val="Bulletpoint"/>
    <w:rsid w:val="006370D0"/>
    <w:rPr>
      <w:rFonts w:ascii="Arial" w:hAnsi="Arial"/>
      <w:lang w:eastAsia="en-US"/>
    </w:rPr>
  </w:style>
  <w:style w:type="paragraph" w:customStyle="1" w:styleId="bodyCopy0">
    <w:name w:val="#  body Copy"/>
    <w:basedOn w:val="Normal"/>
    <w:autoRedefine/>
    <w:rsid w:val="00646CD8"/>
    <w:pPr>
      <w:spacing w:before="120" w:after="200" w:line="240" w:lineRule="auto"/>
      <w:ind w:left="0"/>
    </w:pPr>
    <w:rPr>
      <w:color w:val="53565A"/>
      <w:sz w:val="22"/>
      <w:szCs w:val="20"/>
      <w:lang w:eastAsia="en-US"/>
    </w:rPr>
  </w:style>
  <w:style w:type="paragraph" w:customStyle="1" w:styleId="contentfiguresheading">
    <w:name w:val="# content/figures heading"/>
    <w:basedOn w:val="Normal"/>
    <w:link w:val="contentfiguresheadingChar"/>
    <w:qFormat/>
    <w:rsid w:val="00022B97"/>
    <w:pPr>
      <w:spacing w:after="400" w:line="240" w:lineRule="auto"/>
      <w:ind w:left="0"/>
    </w:pPr>
    <w:rPr>
      <w:b/>
      <w:caps/>
      <w:color w:val="53565A"/>
      <w:sz w:val="36"/>
      <w:szCs w:val="48"/>
      <w:lang w:eastAsia="en-US"/>
    </w:rPr>
  </w:style>
  <w:style w:type="character" w:customStyle="1" w:styleId="contentfiguresheadingChar">
    <w:name w:val="# content/figures heading Char"/>
    <w:basedOn w:val="DefaultParagraphFont"/>
    <w:link w:val="contentfiguresheading"/>
    <w:rsid w:val="00022B97"/>
    <w:rPr>
      <w:rFonts w:ascii="Arial" w:hAnsi="Arial"/>
      <w:b/>
      <w:caps/>
      <w:color w:val="53565A"/>
      <w:sz w:val="36"/>
      <w:szCs w:val="48"/>
      <w:lang w:eastAsia="en-US"/>
    </w:rPr>
  </w:style>
  <w:style w:type="paragraph" w:customStyle="1" w:styleId="introparagraph">
    <w:name w:val="# intro paragraph"/>
    <w:basedOn w:val="bodyCopy0"/>
    <w:next w:val="bodyCopy0"/>
    <w:qFormat/>
    <w:rsid w:val="00022B97"/>
    <w:rPr>
      <w:color w:val="808080" w:themeColor="background1" w:themeShade="80"/>
      <w:sz w:val="28"/>
    </w:rPr>
  </w:style>
  <w:style w:type="paragraph" w:customStyle="1" w:styleId="tablename">
    <w:name w:val="# table name"/>
    <w:basedOn w:val="Normal"/>
    <w:qFormat/>
    <w:rsid w:val="00022B97"/>
    <w:pPr>
      <w:keepNext/>
      <w:spacing w:before="240" w:after="120" w:line="240" w:lineRule="auto"/>
      <w:ind w:left="0"/>
    </w:pPr>
    <w:rPr>
      <w:rFonts w:cs="Arial"/>
      <w:b/>
      <w:color w:val="064EA8"/>
      <w:sz w:val="18"/>
      <w:szCs w:val="18"/>
    </w:rPr>
  </w:style>
  <w:style w:type="paragraph" w:customStyle="1" w:styleId="tabletitles">
    <w:name w:val="# table titles"/>
    <w:basedOn w:val="Normal"/>
    <w:qFormat/>
    <w:rsid w:val="00022B97"/>
    <w:pPr>
      <w:spacing w:before="60" w:after="60" w:line="240" w:lineRule="auto"/>
      <w:ind w:left="0"/>
    </w:pPr>
    <w:rPr>
      <w:rFonts w:cs="Arial"/>
      <w:b/>
      <w:sz w:val="22"/>
      <w:szCs w:val="20"/>
    </w:rPr>
  </w:style>
  <w:style w:type="paragraph" w:customStyle="1" w:styleId="tabletext3">
    <w:name w:val="# table text"/>
    <w:basedOn w:val="Normal"/>
    <w:qFormat/>
    <w:rsid w:val="00022B97"/>
    <w:pPr>
      <w:spacing w:before="60" w:after="60" w:line="240" w:lineRule="auto"/>
      <w:ind w:left="0"/>
    </w:pPr>
    <w:rPr>
      <w:rFonts w:cs="Arial"/>
      <w:sz w:val="22"/>
      <w:szCs w:val="18"/>
    </w:rPr>
  </w:style>
  <w:style w:type="character" w:styleId="BookTitle">
    <w:name w:val="Book Title"/>
    <w:basedOn w:val="DefaultParagraphFont"/>
    <w:uiPriority w:val="99"/>
    <w:qFormat/>
    <w:rsid w:val="00693F45"/>
    <w:rPr>
      <w:b/>
      <w:bCs/>
      <w:smallCaps/>
      <w:spacing w:val="5"/>
    </w:rPr>
  </w:style>
  <w:style w:type="character" w:customStyle="1" w:styleId="A11">
    <w:name w:val="A11"/>
    <w:uiPriority w:val="99"/>
    <w:rsid w:val="00A77CAF"/>
    <w:rPr>
      <w:rFonts w:cs="Adobe Garamond Pro"/>
      <w:color w:val="000000"/>
      <w:sz w:val="12"/>
      <w:szCs w:val="12"/>
    </w:rPr>
  </w:style>
  <w:style w:type="paragraph" w:styleId="TOCHeading">
    <w:name w:val="TOC Heading"/>
    <w:basedOn w:val="Heading1"/>
    <w:next w:val="Normal"/>
    <w:uiPriority w:val="39"/>
    <w:unhideWhenUsed/>
    <w:qFormat/>
    <w:rsid w:val="001A5120"/>
    <w:pPr>
      <w:spacing w:after="240" w:line="240" w:lineRule="auto"/>
      <w:outlineLvl w:val="9"/>
    </w:pPr>
    <w:rPr>
      <w:rFonts w:eastAsia="MS Mincho"/>
      <w:b/>
      <w:color w:val="F36D00"/>
      <w:sz w:val="24"/>
      <w:lang w:eastAsia="en-US"/>
    </w:rPr>
  </w:style>
  <w:style w:type="paragraph" w:styleId="NoSpacing">
    <w:name w:val="No Spacing"/>
    <w:basedOn w:val="Normal"/>
    <w:uiPriority w:val="99"/>
    <w:qFormat/>
    <w:rsid w:val="001A5120"/>
    <w:pPr>
      <w:spacing w:line="240" w:lineRule="auto"/>
      <w:ind w:left="0"/>
    </w:pPr>
    <w:rPr>
      <w:rFonts w:eastAsia="MS Mincho"/>
      <w:color w:val="191919"/>
      <w:sz w:val="18"/>
      <w:lang w:eastAsia="en-US"/>
    </w:rPr>
  </w:style>
  <w:style w:type="paragraph" w:styleId="Quote">
    <w:name w:val="Quote"/>
    <w:basedOn w:val="Normal"/>
    <w:next w:val="Normal"/>
    <w:link w:val="QuoteChar"/>
    <w:uiPriority w:val="99"/>
    <w:qFormat/>
    <w:rsid w:val="001A5120"/>
    <w:pPr>
      <w:spacing w:line="240" w:lineRule="auto"/>
      <w:ind w:left="360" w:right="360"/>
    </w:pPr>
    <w:rPr>
      <w:rFonts w:ascii="Calibri" w:eastAsia="MS Mincho" w:hAnsi="Calibri"/>
      <w:i/>
      <w:iCs/>
      <w:color w:val="191919"/>
      <w:sz w:val="18"/>
      <w:lang w:eastAsia="en-US"/>
    </w:rPr>
  </w:style>
  <w:style w:type="character" w:customStyle="1" w:styleId="QuoteChar">
    <w:name w:val="Quote Char"/>
    <w:basedOn w:val="DefaultParagraphFont"/>
    <w:link w:val="Quote"/>
    <w:uiPriority w:val="99"/>
    <w:rsid w:val="001A5120"/>
    <w:rPr>
      <w:rFonts w:ascii="Calibri" w:eastAsia="MS Mincho" w:hAnsi="Calibri"/>
      <w:i/>
      <w:iCs/>
      <w:color w:val="191919"/>
      <w:sz w:val="18"/>
      <w:lang w:eastAsia="en-US"/>
    </w:rPr>
  </w:style>
  <w:style w:type="table" w:styleId="LightShading-Accent2">
    <w:name w:val="Light Shading Accent 2"/>
    <w:basedOn w:val="TableNormal"/>
    <w:uiPriority w:val="99"/>
    <w:rsid w:val="001A5120"/>
    <w:rPr>
      <w:rFonts w:ascii="Calibri" w:eastAsia="Calibri" w:hAnsi="Calibri"/>
      <w:color w:val="943634"/>
      <w:sz w:val="20"/>
      <w:szCs w:val="20"/>
      <w:lang w:eastAsia="en-US"/>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character" w:styleId="PlaceholderText">
    <w:name w:val="Placeholder Text"/>
    <w:uiPriority w:val="99"/>
    <w:semiHidden/>
    <w:rsid w:val="001A5120"/>
    <w:rPr>
      <w:rFonts w:cs="Times New Roman"/>
      <w:color w:val="808080"/>
    </w:rPr>
  </w:style>
  <w:style w:type="paragraph" w:styleId="Revision">
    <w:name w:val="Revision"/>
    <w:hidden/>
    <w:uiPriority w:val="99"/>
    <w:rsid w:val="001A5120"/>
    <w:rPr>
      <w:rFonts w:ascii="Trebuchet MS" w:eastAsia="Calibri" w:hAnsi="Trebuchet MS"/>
      <w:sz w:val="20"/>
      <w:szCs w:val="22"/>
      <w:lang w:eastAsia="en-US"/>
    </w:rPr>
  </w:style>
  <w:style w:type="paragraph" w:styleId="Bibliography">
    <w:name w:val="Bibliography"/>
    <w:basedOn w:val="Normalbullet"/>
    <w:next w:val="Normal"/>
    <w:uiPriority w:val="99"/>
    <w:rsid w:val="001A5120"/>
    <w:pPr>
      <w:numPr>
        <w:numId w:val="13"/>
      </w:numPr>
    </w:pPr>
    <w:rPr>
      <w:rFonts w:ascii="Trebuchet MS" w:hAnsi="Trebuchet MS" w:cs="Tahoma"/>
      <w:sz w:val="18"/>
    </w:rPr>
  </w:style>
  <w:style w:type="paragraph" w:styleId="IntenseQuote">
    <w:name w:val="Intense Quote"/>
    <w:basedOn w:val="Normal"/>
    <w:next w:val="Normal"/>
    <w:link w:val="IntenseQuoteChar"/>
    <w:uiPriority w:val="99"/>
    <w:qFormat/>
    <w:rsid w:val="001A5120"/>
    <w:pPr>
      <w:pBdr>
        <w:bottom w:val="single" w:sz="4" w:space="1" w:color="auto"/>
      </w:pBdr>
      <w:spacing w:after="280" w:line="240" w:lineRule="auto"/>
      <w:ind w:left="1008" w:right="1152"/>
    </w:pPr>
    <w:rPr>
      <w:rFonts w:ascii="Calibri" w:eastAsia="MS Mincho" w:hAnsi="Calibri"/>
      <w:b/>
      <w:bCs/>
      <w:i/>
      <w:iCs/>
      <w:color w:val="191919"/>
      <w:sz w:val="18"/>
      <w:lang w:eastAsia="en-US"/>
    </w:rPr>
  </w:style>
  <w:style w:type="character" w:customStyle="1" w:styleId="IntenseQuoteChar">
    <w:name w:val="Intense Quote Char"/>
    <w:basedOn w:val="DefaultParagraphFont"/>
    <w:link w:val="IntenseQuote"/>
    <w:uiPriority w:val="99"/>
    <w:rsid w:val="001A5120"/>
    <w:rPr>
      <w:rFonts w:ascii="Calibri" w:eastAsia="MS Mincho" w:hAnsi="Calibri"/>
      <w:b/>
      <w:bCs/>
      <w:i/>
      <w:iCs/>
      <w:color w:val="191919"/>
      <w:sz w:val="18"/>
      <w:lang w:eastAsia="en-US"/>
    </w:rPr>
  </w:style>
  <w:style w:type="table" w:styleId="MediumList2-Accent1">
    <w:name w:val="Medium List 2 Accent 1"/>
    <w:basedOn w:val="TableNormal"/>
    <w:uiPriority w:val="66"/>
    <w:rsid w:val="001A5120"/>
    <w:rPr>
      <w:rFonts w:ascii="Cambria" w:eastAsia="MS Gothic" w:hAnsi="Cambria"/>
      <w:color w:val="000000"/>
      <w:sz w:val="22"/>
      <w:szCs w:val="22"/>
      <w:lang w:val="en-US" w:eastAsia="ja-JP"/>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character" w:styleId="IntenseEmphasis">
    <w:name w:val="Intense Emphasis"/>
    <w:uiPriority w:val="21"/>
    <w:rsid w:val="001A5120"/>
    <w:rPr>
      <w:b/>
      <w:bCs/>
    </w:rPr>
  </w:style>
  <w:style w:type="character" w:styleId="IntenseReference">
    <w:name w:val="Intense Reference"/>
    <w:uiPriority w:val="32"/>
    <w:rsid w:val="001A5120"/>
    <w:rPr>
      <w:smallCaps/>
      <w:spacing w:val="5"/>
      <w:u w:val="single"/>
    </w:rPr>
  </w:style>
  <w:style w:type="character" w:styleId="SubtleEmphasis">
    <w:name w:val="Subtle Emphasis"/>
    <w:uiPriority w:val="19"/>
    <w:rsid w:val="001A5120"/>
    <w:rPr>
      <w:i/>
      <w:iCs/>
    </w:rPr>
  </w:style>
  <w:style w:type="character" w:styleId="SubtleReference">
    <w:name w:val="Subtle Reference"/>
    <w:uiPriority w:val="31"/>
    <w:rsid w:val="001A5120"/>
    <w:rPr>
      <w:smallCaps/>
    </w:rPr>
  </w:style>
  <w:style w:type="paragraph" w:customStyle="1" w:styleId="BodyTextJustify">
    <w:name w:val="Body Text Justify"/>
    <w:basedOn w:val="BodyText"/>
    <w:rsid w:val="00E920A0"/>
    <w:pPr>
      <w:spacing w:before="240" w:line="281" w:lineRule="auto"/>
      <w:ind w:left="0"/>
      <w:jc w:val="both"/>
    </w:pPr>
    <w:rPr>
      <w:sz w:val="20"/>
    </w:rPr>
  </w:style>
  <w:style w:type="table" w:customStyle="1" w:styleId="RPSTable-Blue">
    <w:name w:val="RPS Table - Blue"/>
    <w:basedOn w:val="TableNormal"/>
    <w:rsid w:val="00CB4BAB"/>
    <w:rPr>
      <w:rFonts w:ascii="Arial" w:hAnsi="Arial"/>
      <w:sz w:val="20"/>
      <w:szCs w:val="20"/>
    </w:rPr>
    <w:tblPr>
      <w:tblInd w:w="108" w:type="dxa"/>
      <w:tblBorders>
        <w:top w:val="single" w:sz="4" w:space="0" w:color="5793C9"/>
        <w:left w:val="single" w:sz="4" w:space="0" w:color="5793C9"/>
        <w:bottom w:val="single" w:sz="4" w:space="0" w:color="5793C9"/>
        <w:right w:val="single" w:sz="4" w:space="0" w:color="5793C9"/>
        <w:insideH w:val="single" w:sz="4" w:space="0" w:color="5793C9"/>
        <w:insideV w:val="single" w:sz="4" w:space="0" w:color="5793C9"/>
      </w:tblBorders>
    </w:tblPr>
    <w:tcPr>
      <w:vAlign w:val="center"/>
    </w:tcPr>
    <w:tblStylePr w:type="firstRow">
      <w:pPr>
        <w:wordWrap/>
        <w:jc w:val="left"/>
      </w:pPr>
      <w:rPr>
        <w:rFonts w:ascii="Arial" w:hAnsi="Arial"/>
        <w:b w:val="0"/>
        <w:color w:val="FFFFFF"/>
        <w:sz w:val="20"/>
      </w:rPr>
      <w:tblPr/>
      <w:trPr>
        <w:tblHeader/>
      </w:trPr>
      <w:tcPr>
        <w:tcBorders>
          <w:top w:val="single" w:sz="4" w:space="0" w:color="5793C9"/>
          <w:left w:val="single" w:sz="4" w:space="0" w:color="5793C9"/>
          <w:bottom w:val="single" w:sz="4" w:space="0" w:color="5793C9"/>
          <w:right w:val="single" w:sz="4" w:space="0" w:color="5793C9"/>
          <w:insideH w:val="single" w:sz="4" w:space="0" w:color="5793C9"/>
          <w:insideV w:val="single" w:sz="4" w:space="0" w:color="5793C9"/>
        </w:tcBorders>
        <w:shd w:val="clear" w:color="auto" w:fill="003366"/>
      </w:tcPr>
    </w:tblStylePr>
    <w:tblStylePr w:type="lastRow">
      <w:rPr>
        <w:rFonts w:ascii="Arial" w:hAnsi="Arial"/>
        <w:sz w:val="20"/>
      </w:rPr>
    </w:tblStylePr>
  </w:style>
  <w:style w:type="paragraph" w:customStyle="1" w:styleId="FigureCaption">
    <w:name w:val="Figure Caption"/>
    <w:basedOn w:val="Caption"/>
    <w:next w:val="BodyText"/>
    <w:qFormat/>
    <w:rsid w:val="00751146"/>
    <w:pPr>
      <w:keepNext w:val="0"/>
      <w:spacing w:before="60" w:after="60" w:line="276" w:lineRule="auto"/>
      <w:jc w:val="center"/>
    </w:pPr>
    <w:rPr>
      <w:rFonts w:ascii="Arial" w:eastAsiaTheme="minorHAnsi" w:hAnsi="Arial" w:cs="Arial"/>
      <w:color w:val="auto"/>
      <w:sz w:val="18"/>
      <w:szCs w:val="22"/>
    </w:rPr>
  </w:style>
  <w:style w:type="paragraph" w:customStyle="1" w:styleId="TableCaption">
    <w:name w:val="Table Caption"/>
    <w:basedOn w:val="Caption"/>
    <w:next w:val="BodyText"/>
    <w:qFormat/>
    <w:rsid w:val="00751146"/>
    <w:pPr>
      <w:spacing w:before="60" w:after="60" w:line="276" w:lineRule="auto"/>
      <w:jc w:val="center"/>
    </w:pPr>
    <w:rPr>
      <w:rFonts w:ascii="Arial" w:eastAsiaTheme="minorHAnsi" w:hAnsi="Arial" w:cs="Arial"/>
      <w:color w:val="auto"/>
      <w:sz w:val="18"/>
      <w:szCs w:val="22"/>
    </w:rPr>
  </w:style>
  <w:style w:type="paragraph" w:customStyle="1" w:styleId="PlateCaption">
    <w:name w:val="Plate Caption"/>
    <w:basedOn w:val="Caption"/>
    <w:next w:val="BodyText"/>
    <w:qFormat/>
    <w:rsid w:val="00751146"/>
    <w:pPr>
      <w:keepNext w:val="0"/>
      <w:spacing w:before="60" w:after="60" w:line="276" w:lineRule="auto"/>
      <w:jc w:val="center"/>
    </w:pPr>
    <w:rPr>
      <w:rFonts w:ascii="Arial" w:eastAsiaTheme="minorHAnsi" w:hAnsi="Arial" w:cs="Arial"/>
      <w:color w:val="auto"/>
      <w:sz w:val="18"/>
      <w:szCs w:val="22"/>
    </w:rPr>
  </w:style>
  <w:style w:type="paragraph" w:customStyle="1" w:styleId="DefaultText">
    <w:name w:val="Default Text"/>
    <w:basedOn w:val="Normal"/>
    <w:uiPriority w:val="99"/>
    <w:semiHidden/>
    <w:rsid w:val="00CE4D03"/>
    <w:pPr>
      <w:spacing w:after="120" w:line="240" w:lineRule="auto"/>
      <w:ind w:left="0"/>
      <w:outlineLvl w:val="0"/>
    </w:pPr>
    <w:rPr>
      <w:rFonts w:eastAsia="SimSun"/>
      <w:kern w:val="2"/>
      <w:lang w:val="en-US"/>
    </w:rPr>
  </w:style>
  <w:style w:type="paragraph" w:customStyle="1" w:styleId="NumberList">
    <w:name w:val="Number List"/>
    <w:basedOn w:val="Normal"/>
    <w:uiPriority w:val="99"/>
    <w:semiHidden/>
    <w:rsid w:val="00CE4D03"/>
    <w:pPr>
      <w:spacing w:after="120" w:line="240" w:lineRule="auto"/>
      <w:ind w:left="0"/>
      <w:outlineLvl w:val="0"/>
    </w:pPr>
    <w:rPr>
      <w:rFonts w:eastAsia="SimSun"/>
      <w:kern w:val="2"/>
      <w:lang w:val="en-US"/>
    </w:rPr>
  </w:style>
  <w:style w:type="paragraph" w:customStyle="1" w:styleId="-TableText2">
    <w:name w:val="-Table Text 2"/>
    <w:basedOn w:val="Normal"/>
    <w:uiPriority w:val="99"/>
    <w:semiHidden/>
    <w:rsid w:val="00CE4D03"/>
    <w:pPr>
      <w:spacing w:after="120" w:line="240" w:lineRule="auto"/>
      <w:ind w:left="0"/>
      <w:outlineLvl w:val="0"/>
    </w:pPr>
    <w:rPr>
      <w:rFonts w:eastAsia="SimSun"/>
      <w:kern w:val="2"/>
      <w:lang w:val="en-US"/>
    </w:rPr>
  </w:style>
  <w:style w:type="paragraph" w:customStyle="1" w:styleId="stylesheetformated">
    <w:name w:val="style sheet formated"/>
    <w:uiPriority w:val="99"/>
    <w:semiHidden/>
    <w:rsid w:val="00CE4D03"/>
    <w:pPr>
      <w:tabs>
        <w:tab w:val="left" w:pos="2160"/>
      </w:tabs>
      <w:spacing w:line="240" w:lineRule="exact"/>
      <w:ind w:left="2880" w:hanging="2880"/>
    </w:pPr>
    <w:rPr>
      <w:rFonts w:ascii="Courier" w:eastAsia="Calibri" w:hAnsi="Courier"/>
    </w:rPr>
  </w:style>
  <w:style w:type="paragraph" w:styleId="BodyTextIndent2">
    <w:name w:val="Body Text Indent 2"/>
    <w:basedOn w:val="BodyTextIndent"/>
    <w:link w:val="BodyTextIndent2Char"/>
    <w:rsid w:val="00CE4D03"/>
    <w:pPr>
      <w:spacing w:line="240" w:lineRule="auto"/>
      <w:ind w:left="1701"/>
      <w:outlineLvl w:val="0"/>
    </w:pPr>
    <w:rPr>
      <w:rFonts w:eastAsia="SimSun"/>
      <w:kern w:val="2"/>
    </w:rPr>
  </w:style>
  <w:style w:type="character" w:customStyle="1" w:styleId="BodyTextIndent2Char">
    <w:name w:val="Body Text Indent 2 Char"/>
    <w:basedOn w:val="DefaultParagraphFont"/>
    <w:link w:val="BodyTextIndent2"/>
    <w:rsid w:val="00CE4D03"/>
    <w:rPr>
      <w:rFonts w:ascii="Arial" w:eastAsia="SimSun" w:hAnsi="Arial"/>
      <w:kern w:val="2"/>
    </w:rPr>
  </w:style>
  <w:style w:type="table" w:customStyle="1" w:styleId="HeaderTable">
    <w:name w:val="HeaderTable"/>
    <w:basedOn w:val="TableNormal"/>
    <w:uiPriority w:val="99"/>
    <w:qFormat/>
    <w:rsid w:val="00CE4D03"/>
    <w:rPr>
      <w:rFonts w:ascii="Arial" w:eastAsia="Calibri" w:hAnsi="Arial"/>
      <w:sz w:val="22"/>
      <w:lang w:eastAsia="en-US"/>
    </w:rPr>
    <w:tblPr>
      <w:tblBorders>
        <w:bottom w:val="single" w:sz="12" w:space="0" w:color="0F243E"/>
      </w:tblBorders>
      <w:tblCellMar>
        <w:left w:w="0" w:type="dxa"/>
        <w:bottom w:w="142" w:type="dxa"/>
        <w:right w:w="0" w:type="dxa"/>
      </w:tblCellMar>
    </w:tblPr>
    <w:tcPr>
      <w:vAlign w:val="bottom"/>
    </w:tcPr>
  </w:style>
  <w:style w:type="paragraph" w:customStyle="1" w:styleId="AppendixHeading">
    <w:name w:val="Appendix Heading"/>
    <w:basedOn w:val="Heading0"/>
    <w:next w:val="BodyText"/>
    <w:uiPriority w:val="2"/>
    <w:qFormat/>
    <w:rsid w:val="00CE4D03"/>
    <w:pPr>
      <w:numPr>
        <w:numId w:val="213"/>
      </w:numPr>
    </w:pPr>
  </w:style>
  <w:style w:type="paragraph" w:customStyle="1" w:styleId="NormalBullets">
    <w:name w:val="Normal Bullets"/>
    <w:basedOn w:val="Bullet1"/>
    <w:uiPriority w:val="2"/>
    <w:qFormat/>
    <w:rsid w:val="00CE4D03"/>
    <w:pPr>
      <w:tabs>
        <w:tab w:val="clear" w:pos="1260"/>
      </w:tabs>
      <w:spacing w:after="120" w:line="240" w:lineRule="auto"/>
      <w:ind w:left="567" w:firstLine="0"/>
      <w:outlineLvl w:val="0"/>
    </w:pPr>
    <w:rPr>
      <w:rFonts w:eastAsia="AppleMyungjo"/>
      <w:kern w:val="2"/>
      <w:lang w:val="en-US" w:eastAsia="en-US"/>
    </w:rPr>
  </w:style>
  <w:style w:type="paragraph" w:customStyle="1" w:styleId="Control">
    <w:name w:val="Control"/>
    <w:basedOn w:val="Normal"/>
    <w:uiPriority w:val="21"/>
    <w:semiHidden/>
    <w:rsid w:val="00CE4D03"/>
    <w:pPr>
      <w:framePr w:hSpace="181" w:wrap="around" w:vAnchor="page" w:hAnchor="margin" w:xAlign="right" w:y="5388"/>
      <w:spacing w:after="120" w:line="240" w:lineRule="auto"/>
      <w:ind w:left="1135" w:hanging="851"/>
      <w:jc w:val="right"/>
      <w:outlineLvl w:val="0"/>
    </w:pPr>
    <w:rPr>
      <w:rFonts w:eastAsia="Calibri" w:cs="Arial"/>
      <w:color w:val="FFFFFF"/>
      <w:kern w:val="2"/>
      <w:sz w:val="28"/>
      <w:szCs w:val="28"/>
    </w:rPr>
  </w:style>
  <w:style w:type="paragraph" w:customStyle="1" w:styleId="Rev">
    <w:name w:val="Rev"/>
    <w:basedOn w:val="Normal"/>
    <w:next w:val="Normal"/>
    <w:uiPriority w:val="20"/>
    <w:semiHidden/>
    <w:qFormat/>
    <w:rsid w:val="00CE4D03"/>
    <w:pPr>
      <w:framePr w:hSpace="181" w:wrap="around" w:vAnchor="page" w:hAnchor="margin" w:xAlign="right" w:y="5388"/>
      <w:spacing w:after="120" w:line="240" w:lineRule="auto"/>
      <w:ind w:left="1135" w:hanging="851"/>
      <w:jc w:val="right"/>
      <w:outlineLvl w:val="0"/>
    </w:pPr>
    <w:rPr>
      <w:rFonts w:eastAsia="Calibri" w:cs="Arial"/>
      <w:color w:val="000000"/>
      <w:kern w:val="2"/>
      <w:sz w:val="28"/>
      <w:szCs w:val="28"/>
    </w:rPr>
  </w:style>
  <w:style w:type="paragraph" w:customStyle="1" w:styleId="HeaderZero">
    <w:name w:val="HeaderZero"/>
    <w:basedOn w:val="Header"/>
    <w:uiPriority w:val="19"/>
    <w:semiHidden/>
    <w:rsid w:val="00CE4D03"/>
    <w:pPr>
      <w:tabs>
        <w:tab w:val="clear" w:pos="4153"/>
        <w:tab w:val="clear" w:pos="8306"/>
      </w:tabs>
      <w:spacing w:line="240" w:lineRule="auto"/>
      <w:ind w:left="1135" w:hanging="851"/>
      <w:jc w:val="right"/>
      <w:outlineLvl w:val="0"/>
    </w:pPr>
    <w:rPr>
      <w:rFonts w:ascii="Arial Bold" w:eastAsia="Calibri" w:hAnsi="Arial Bold" w:cs="Arial"/>
      <w:color w:val="34B233"/>
      <w:kern w:val="2"/>
      <w:sz w:val="18"/>
      <w:szCs w:val="18"/>
    </w:rPr>
  </w:style>
  <w:style w:type="paragraph" w:customStyle="1" w:styleId="FooterControl">
    <w:name w:val="FooterControl"/>
    <w:basedOn w:val="Footer"/>
    <w:uiPriority w:val="20"/>
    <w:semiHidden/>
    <w:rsid w:val="00CE4D03"/>
    <w:pPr>
      <w:tabs>
        <w:tab w:val="clear" w:pos="4153"/>
        <w:tab w:val="clear" w:pos="8306"/>
      </w:tabs>
      <w:spacing w:line="240" w:lineRule="auto"/>
      <w:outlineLvl w:val="0"/>
    </w:pPr>
    <w:rPr>
      <w:rFonts w:eastAsia="Calibri" w:cs="Arial"/>
      <w:color w:val="0F243E"/>
      <w:kern w:val="2"/>
      <w:sz w:val="16"/>
    </w:rPr>
  </w:style>
  <w:style w:type="paragraph" w:customStyle="1" w:styleId="Heading0">
    <w:name w:val="Heading"/>
    <w:basedOn w:val="Normal"/>
    <w:next w:val="Normal"/>
    <w:uiPriority w:val="3"/>
    <w:qFormat/>
    <w:rsid w:val="00CE4D03"/>
    <w:pPr>
      <w:keepNext/>
      <w:spacing w:before="360" w:after="240" w:line="240" w:lineRule="auto"/>
      <w:ind w:left="0"/>
      <w:outlineLvl w:val="0"/>
    </w:pPr>
    <w:rPr>
      <w:rFonts w:eastAsia="SimSun" w:cs="Arial"/>
      <w:b/>
      <w:bCs/>
      <w:kern w:val="2"/>
      <w:sz w:val="32"/>
      <w:szCs w:val="32"/>
    </w:rPr>
  </w:style>
  <w:style w:type="paragraph" w:customStyle="1" w:styleId="SubHeading">
    <w:name w:val="SubHeading"/>
    <w:basedOn w:val="Normal"/>
    <w:next w:val="Normal"/>
    <w:uiPriority w:val="3"/>
    <w:qFormat/>
    <w:rsid w:val="00CE4D03"/>
    <w:pPr>
      <w:keepNext/>
      <w:spacing w:before="360" w:after="120" w:line="240" w:lineRule="auto"/>
      <w:ind w:left="0"/>
      <w:outlineLvl w:val="1"/>
    </w:pPr>
    <w:rPr>
      <w:rFonts w:eastAsia="SimSun" w:cs="Arial"/>
      <w:b/>
      <w:kern w:val="2"/>
      <w:sz w:val="22"/>
      <w:szCs w:val="22"/>
    </w:rPr>
  </w:style>
  <w:style w:type="paragraph" w:customStyle="1" w:styleId="AppendixN1">
    <w:name w:val="Appendix N1"/>
    <w:basedOn w:val="ListParagraph0"/>
    <w:uiPriority w:val="2"/>
    <w:qFormat/>
    <w:rsid w:val="00CE4D03"/>
    <w:pPr>
      <w:numPr>
        <w:numId w:val="215"/>
      </w:numPr>
      <w:spacing w:after="120" w:line="240" w:lineRule="auto"/>
      <w:outlineLvl w:val="0"/>
    </w:pPr>
    <w:rPr>
      <w:rFonts w:ascii="Arial Bold" w:eastAsia="SimSun" w:hAnsi="Arial Bold" w:cs="Arial"/>
      <w:b/>
      <w:kern w:val="2"/>
    </w:rPr>
  </w:style>
  <w:style w:type="character" w:customStyle="1" w:styleId="Code">
    <w:name w:val="Code"/>
    <w:basedOn w:val="DefaultParagraphFont"/>
    <w:uiPriority w:val="1"/>
    <w:qFormat/>
    <w:rsid w:val="00CE4D03"/>
  </w:style>
  <w:style w:type="character" w:customStyle="1" w:styleId="Version">
    <w:name w:val="Version"/>
    <w:basedOn w:val="DefaultParagraphFont"/>
    <w:uiPriority w:val="1"/>
    <w:qFormat/>
    <w:rsid w:val="00CE4D03"/>
  </w:style>
  <w:style w:type="character" w:customStyle="1" w:styleId="DocDate">
    <w:name w:val="DocDate"/>
    <w:basedOn w:val="DefaultParagraphFont"/>
    <w:uiPriority w:val="1"/>
    <w:qFormat/>
    <w:rsid w:val="00CE4D03"/>
  </w:style>
  <w:style w:type="paragraph" w:customStyle="1" w:styleId="TableBullet0">
    <w:name w:val="Table Bullet"/>
    <w:basedOn w:val="ListParagraph0"/>
    <w:uiPriority w:val="2"/>
    <w:rsid w:val="00CE4D03"/>
    <w:pPr>
      <w:numPr>
        <w:numId w:val="214"/>
      </w:numPr>
      <w:spacing w:after="120" w:line="240" w:lineRule="auto"/>
      <w:contextualSpacing w:val="0"/>
      <w:outlineLvl w:val="0"/>
    </w:pPr>
    <w:rPr>
      <w:rFonts w:eastAsia="SimSun" w:cs="Arial"/>
      <w:kern w:val="2"/>
      <w:lang w:val="en-US" w:eastAsia="en-US"/>
    </w:rPr>
  </w:style>
  <w:style w:type="table" w:customStyle="1" w:styleId="HeaderTable1">
    <w:name w:val="HeaderTable1"/>
    <w:basedOn w:val="TableNormal"/>
    <w:uiPriority w:val="99"/>
    <w:qFormat/>
    <w:rsid w:val="00CE4D03"/>
    <w:rPr>
      <w:rFonts w:ascii="Arial" w:hAnsi="Arial"/>
      <w:sz w:val="22"/>
      <w:lang w:eastAsia="en-US"/>
    </w:rPr>
    <w:tblPr>
      <w:tblBorders>
        <w:bottom w:val="single" w:sz="12" w:space="0" w:color="0F243E"/>
      </w:tblBorders>
      <w:tblCellMar>
        <w:left w:w="0" w:type="dxa"/>
        <w:bottom w:w="142" w:type="dxa"/>
        <w:right w:w="0" w:type="dxa"/>
      </w:tblCellMar>
    </w:tblPr>
    <w:tcPr>
      <w:vAlign w:val="bottom"/>
    </w:tcPr>
  </w:style>
  <w:style w:type="numbering" w:customStyle="1" w:styleId="NoList1">
    <w:name w:val="No List1"/>
    <w:next w:val="NoList"/>
    <w:uiPriority w:val="99"/>
    <w:semiHidden/>
    <w:unhideWhenUsed/>
    <w:rsid w:val="00CE4D03"/>
  </w:style>
  <w:style w:type="paragraph" w:styleId="BodyText30">
    <w:name w:val="Body Text 3"/>
    <w:basedOn w:val="Normal"/>
    <w:link w:val="BodyText3Char"/>
    <w:rsid w:val="00CE4D03"/>
    <w:pPr>
      <w:spacing w:after="120" w:line="240" w:lineRule="auto"/>
      <w:ind w:left="0"/>
      <w:jc w:val="both"/>
    </w:pPr>
    <w:rPr>
      <w:sz w:val="16"/>
      <w:szCs w:val="16"/>
      <w:lang w:eastAsia="en-US"/>
    </w:rPr>
  </w:style>
  <w:style w:type="character" w:customStyle="1" w:styleId="BodyText3Char">
    <w:name w:val="Body Text 3 Char"/>
    <w:basedOn w:val="DefaultParagraphFont"/>
    <w:link w:val="BodyText30"/>
    <w:rsid w:val="00CE4D03"/>
    <w:rPr>
      <w:rFonts w:ascii="Arial" w:hAnsi="Arial"/>
      <w:sz w:val="16"/>
      <w:szCs w:val="16"/>
      <w:lang w:eastAsia="en-US"/>
    </w:rPr>
  </w:style>
  <w:style w:type="paragraph" w:customStyle="1" w:styleId="Headingbodytext0">
    <w:name w:val="Heading body text"/>
    <w:basedOn w:val="HeadingBodyText"/>
    <w:link w:val="HeadingbodytextChar0"/>
    <w:qFormat/>
    <w:rsid w:val="00CE4D03"/>
    <w:pPr>
      <w:widowControl/>
      <w:ind w:left="0"/>
    </w:pPr>
    <w:rPr>
      <w:sz w:val="20"/>
      <w:lang w:val="en-AU"/>
    </w:rPr>
  </w:style>
  <w:style w:type="character" w:customStyle="1" w:styleId="HeadingbodytextChar0">
    <w:name w:val="Heading body text Char"/>
    <w:link w:val="Headingbodytext0"/>
    <w:rsid w:val="00CE4D03"/>
    <w:rPr>
      <w:rFonts w:ascii="Arial" w:hAnsi="Arial"/>
      <w:sz w:val="20"/>
      <w:lang w:eastAsia="en-US"/>
    </w:rPr>
  </w:style>
  <w:style w:type="paragraph" w:customStyle="1" w:styleId="HSERM-BodyText">
    <w:name w:val="HSERM - Body Text"/>
    <w:basedOn w:val="Normal"/>
    <w:qFormat/>
    <w:rsid w:val="00CE4D03"/>
    <w:pPr>
      <w:spacing w:before="120" w:after="120" w:line="240" w:lineRule="auto"/>
      <w:ind w:left="567"/>
      <w:jc w:val="both"/>
    </w:pPr>
    <w:rPr>
      <w:rFonts w:ascii="Gill Sans MT" w:eastAsia="Calibri" w:hAnsi="Gill Sans MT"/>
      <w:lang w:val="en-GB" w:eastAsia="en-US"/>
    </w:rPr>
  </w:style>
  <w:style w:type="character" w:customStyle="1" w:styleId="ListParagraphChar">
    <w:name w:val="List Paragraph Char"/>
    <w:link w:val="ListParagraph0"/>
    <w:uiPriority w:val="34"/>
    <w:rsid w:val="00CE4D03"/>
    <w:rPr>
      <w:rFonts w:ascii="Arial" w:hAnsi="Arial"/>
    </w:rPr>
  </w:style>
  <w:style w:type="paragraph" w:customStyle="1" w:styleId="Content3">
    <w:name w:val="Content3"/>
    <w:basedOn w:val="Content2"/>
    <w:link w:val="Content3Char"/>
    <w:qFormat/>
    <w:rsid w:val="00CE4D03"/>
    <w:pPr>
      <w:ind w:left="1843"/>
    </w:pPr>
  </w:style>
  <w:style w:type="character" w:customStyle="1" w:styleId="Content3Char">
    <w:name w:val="Content3 Char"/>
    <w:link w:val="Content3"/>
    <w:rsid w:val="00CE4D03"/>
    <w:rPr>
      <w:rFonts w:ascii="Calibri" w:hAnsi="Calibri" w:cs="Calibri"/>
      <w:sz w:val="22"/>
      <w:szCs w:val="22"/>
      <w:lang w:val="en-US" w:eastAsia="en-GB"/>
    </w:rPr>
  </w:style>
  <w:style w:type="paragraph" w:customStyle="1" w:styleId="ScopeTNormal">
    <w:name w:val="Scope_T_Normal"/>
    <w:basedOn w:val="Normal"/>
    <w:link w:val="ScopeTNormalChar"/>
    <w:qFormat/>
    <w:rsid w:val="00CE4D03"/>
    <w:pPr>
      <w:spacing w:line="180" w:lineRule="atLeast"/>
      <w:ind w:left="0"/>
    </w:pPr>
    <w:rPr>
      <w:rFonts w:ascii="Calibri" w:eastAsia="Calibri" w:hAnsi="Calibri" w:cs="Arial"/>
      <w:sz w:val="18"/>
      <w:szCs w:val="17"/>
      <w:lang w:eastAsia="en-US"/>
    </w:rPr>
  </w:style>
  <w:style w:type="character" w:customStyle="1" w:styleId="ScopeTNormalChar">
    <w:name w:val="Scope_T_Normal Char"/>
    <w:link w:val="ScopeTNormal"/>
    <w:rsid w:val="00CE4D03"/>
    <w:rPr>
      <w:rFonts w:ascii="Calibri" w:eastAsia="Calibri" w:hAnsi="Calibri" w:cs="Arial"/>
      <w:sz w:val="18"/>
      <w:szCs w:val="17"/>
      <w:lang w:eastAsia="en-US"/>
    </w:rPr>
  </w:style>
  <w:style w:type="table" w:customStyle="1" w:styleId="GridTable1Light-Accent127">
    <w:name w:val="Grid Table 1 Light - Accent 127"/>
    <w:basedOn w:val="TableNormal"/>
    <w:next w:val="TableNormal"/>
    <w:uiPriority w:val="46"/>
    <w:rsid w:val="00CE4D03"/>
    <w:pPr>
      <w:spacing w:before="20"/>
    </w:pPr>
    <w:rPr>
      <w:rFonts w:ascii="Segoe UI Semilight" w:eastAsia="Calibri" w:hAnsi="Segoe UI Semilight" w:cs="Arial"/>
      <w:sz w:val="16"/>
      <w:szCs w:val="22"/>
      <w:lang w:eastAsia="en-US"/>
    </w:rPr>
    <w:tblPr>
      <w:tblStyleRowBandSize w:val="1"/>
      <w:tblStyleColBandSize w:val="1"/>
      <w:jc w:val="center"/>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rPr>
      <w:jc w:val="center"/>
    </w:trPr>
    <w:tcPr>
      <w:vAlign w:val="center"/>
    </w:tcPr>
    <w:tblStylePr w:type="firstRow">
      <w:pPr>
        <w:jc w:val="center"/>
      </w:pPr>
      <w:rPr>
        <w:rFonts w:ascii="ArialMT" w:hAnsi="ArialMT"/>
        <w:b/>
        <w:bCs/>
        <w:sz w:val="16"/>
      </w:rPr>
      <w:tblPr/>
      <w:trPr>
        <w:tblHeader/>
      </w:trPr>
      <w:tcPr>
        <w:tcBorders>
          <w:bottom w:val="single" w:sz="12" w:space="0" w:color="95B3D7"/>
        </w:tcBorders>
      </w:tcPr>
    </w:tblStylePr>
    <w:tblStylePr w:type="lastRow">
      <w:rPr>
        <w:rFonts w:ascii="ArialMT" w:hAnsi="ArialMT"/>
        <w:b w:val="0"/>
        <w:bCs/>
        <w:sz w:val="16"/>
      </w:rPr>
      <w:tblPr/>
      <w:tcPr>
        <w:tcBorders>
          <w:top w:val="single" w:sz="4" w:space="0" w:color="95B3D7"/>
        </w:tcBorders>
      </w:tcPr>
    </w:tblStylePr>
    <w:tblStylePr w:type="firstCol">
      <w:rPr>
        <w:rFonts w:ascii="ArialMT" w:hAnsi="ArialMT"/>
        <w:b w:val="0"/>
        <w:bCs/>
        <w:sz w:val="16"/>
      </w:rPr>
    </w:tblStylePr>
    <w:tblStylePr w:type="lastCol">
      <w:pPr>
        <w:jc w:val="center"/>
      </w:pPr>
      <w:rPr>
        <w:rFonts w:ascii="ArialMT" w:hAnsi="ArialMT"/>
        <w:b w:val="0"/>
        <w:bCs/>
        <w:sz w:val="16"/>
      </w:rPr>
    </w:tblStylePr>
    <w:tblStylePr w:type="band1Vert">
      <w:pPr>
        <w:jc w:val="left"/>
      </w:pPr>
      <w:rPr>
        <w:rFonts w:ascii="ArialMT" w:hAnsi="ArialMT"/>
        <w:sz w:val="16"/>
      </w:rPr>
      <w:tblPr/>
      <w:tcPr>
        <w:vAlign w:val="center"/>
      </w:tcPr>
    </w:tblStylePr>
    <w:tblStylePr w:type="band2Vert">
      <w:pPr>
        <w:jc w:val="left"/>
      </w:pPr>
      <w:rPr>
        <w:rFonts w:ascii="ArialMT" w:hAnsi="ArialMT"/>
        <w:sz w:val="16"/>
      </w:rPr>
      <w:tblPr/>
      <w:tcPr>
        <w:vAlign w:val="center"/>
      </w:tcPr>
    </w:tblStylePr>
    <w:tblStylePr w:type="band1Horz">
      <w:pPr>
        <w:jc w:val="left"/>
      </w:pPr>
      <w:rPr>
        <w:rFonts w:ascii="ArialMT" w:hAnsi="ArialMT"/>
        <w:sz w:val="16"/>
      </w:rPr>
      <w:tblPr/>
      <w:tcPr>
        <w:vAlign w:val="center"/>
      </w:tcPr>
    </w:tblStylePr>
    <w:tblStylePr w:type="band2Horz">
      <w:pPr>
        <w:jc w:val="left"/>
      </w:pPr>
      <w:rPr>
        <w:rFonts w:ascii="ArialMT" w:hAnsi="ArialMT"/>
        <w:sz w:val="16"/>
      </w:rPr>
      <w:tblPr/>
      <w:tcPr>
        <w:vAlign w:val="center"/>
      </w:tcPr>
    </w:tblStylePr>
    <w:tblStylePr w:type="swCell">
      <w:rPr>
        <w:b w:val="0"/>
      </w:rPr>
    </w:tblStylePr>
  </w:style>
  <w:style w:type="paragraph" w:customStyle="1" w:styleId="xl50">
    <w:name w:val="xl50"/>
    <w:basedOn w:val="Normal"/>
    <w:uiPriority w:val="99"/>
    <w:rsid w:val="00CE4D03"/>
    <w:pPr>
      <w:pBdr>
        <w:left w:val="single" w:sz="8" w:space="0" w:color="auto"/>
        <w:right w:val="single" w:sz="4" w:space="0" w:color="auto"/>
      </w:pBdr>
      <w:shd w:val="clear" w:color="auto" w:fill="CCFFCC"/>
      <w:spacing w:before="100" w:beforeAutospacing="1" w:after="100" w:afterAutospacing="1" w:line="240" w:lineRule="auto"/>
      <w:ind w:left="0"/>
    </w:pPr>
    <w:rPr>
      <w:rFonts w:ascii="Times New Roman" w:hAnsi="Times New Roman"/>
      <w:lang w:val="en-GB" w:eastAsia="en-GB"/>
    </w:rPr>
  </w:style>
  <w:style w:type="paragraph" w:customStyle="1" w:styleId="HeaderText">
    <w:name w:val="Header Text"/>
    <w:basedOn w:val="Header"/>
    <w:link w:val="HeaderTextChar"/>
    <w:qFormat/>
    <w:rsid w:val="00CE4D03"/>
    <w:pPr>
      <w:pBdr>
        <w:bottom w:val="single" w:sz="6" w:space="1" w:color="auto"/>
      </w:pBdr>
      <w:tabs>
        <w:tab w:val="clear" w:pos="4153"/>
        <w:tab w:val="clear" w:pos="8306"/>
        <w:tab w:val="center" w:pos="4320"/>
        <w:tab w:val="right" w:pos="8640"/>
      </w:tabs>
      <w:spacing w:before="120" w:after="120" w:line="300" w:lineRule="auto"/>
      <w:jc w:val="right"/>
    </w:pPr>
    <w:rPr>
      <w:sz w:val="20"/>
      <w:szCs w:val="22"/>
    </w:rPr>
  </w:style>
  <w:style w:type="character" w:customStyle="1" w:styleId="HeaderTextChar">
    <w:name w:val="Header Text Char"/>
    <w:link w:val="HeaderText"/>
    <w:rsid w:val="00CE4D03"/>
    <w:rPr>
      <w:rFonts w:ascii="Arial" w:hAnsi="Arial"/>
      <w:sz w:val="20"/>
      <w:szCs w:val="22"/>
    </w:rPr>
  </w:style>
  <w:style w:type="paragraph" w:customStyle="1" w:styleId="Investmentheading">
    <w:name w:val="Investment heading"/>
    <w:basedOn w:val="Normal"/>
    <w:next w:val="List"/>
    <w:qFormat/>
    <w:rsid w:val="007058F9"/>
    <w:rPr>
      <w:rFonts w:cs="Arial"/>
      <w:b/>
      <w:caps/>
      <w:color w:val="008000"/>
      <w:szCs w:val="2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Tablecaption0">
    <w:name w:val="Table caption"/>
    <w:basedOn w:val="Caption"/>
    <w:next w:val="BodyText"/>
    <w:link w:val="TablecaptionChar"/>
    <w:uiPriority w:val="17"/>
    <w:qFormat/>
    <w:rsid w:val="006B39C7"/>
    <w:pPr>
      <w:keepLines/>
      <w:spacing w:before="360" w:after="60"/>
      <w:jc w:val="left"/>
    </w:pPr>
    <w:rPr>
      <w:rFonts w:asciiTheme="minorHAnsi" w:eastAsia="Times New Roman" w:hAnsiTheme="minorHAnsi"/>
      <w:b w:val="0"/>
      <w:color w:val="auto"/>
      <w:sz w:val="18"/>
      <w:lang w:eastAsia="en-CA"/>
    </w:rPr>
  </w:style>
  <w:style w:type="table" w:customStyle="1" w:styleId="JASCOTable">
    <w:name w:val="JASCO Table"/>
    <w:basedOn w:val="TableNormal"/>
    <w:uiPriority w:val="99"/>
    <w:locked/>
    <w:rsid w:val="006B39C7"/>
    <w:pPr>
      <w:jc w:val="center"/>
    </w:pPr>
    <w:rPr>
      <w:rFonts w:ascii="Arial Narrow" w:hAnsi="Arial Narrow"/>
      <w:sz w:val="20"/>
      <w:szCs w:val="20"/>
      <w:lang w:val="en-CA" w:eastAsia="en-CA"/>
    </w:rPr>
    <w:tblPr>
      <w:tblBorders>
        <w:top w:val="single" w:sz="4" w:space="0" w:color="auto"/>
        <w:bottom w:val="single" w:sz="4" w:space="0" w:color="auto"/>
        <w:insideH w:val="single" w:sz="6" w:space="0" w:color="E36C0A" w:themeColor="accent6" w:themeShade="BF"/>
        <w:insideV w:val="single" w:sz="6" w:space="0" w:color="E36C0A" w:themeColor="accent6" w:themeShade="BF"/>
      </w:tblBorders>
      <w:tblCellMar>
        <w:top w:w="43" w:type="dxa"/>
        <w:left w:w="58" w:type="dxa"/>
        <w:bottom w:w="43" w:type="dxa"/>
        <w:right w:w="58" w:type="dxa"/>
      </w:tblCellMar>
    </w:tblPr>
    <w:trPr>
      <w:cantSplit/>
    </w:trPr>
    <w:tcPr>
      <w:vAlign w:val="center"/>
    </w:tcPr>
    <w:tblStylePr w:type="firstRow">
      <w:tblPr>
        <w:tblCellMar>
          <w:top w:w="58" w:type="dxa"/>
          <w:left w:w="58" w:type="dxa"/>
          <w:bottom w:w="58" w:type="dxa"/>
          <w:right w:w="58" w:type="dxa"/>
        </w:tblCellMar>
      </w:tblPr>
      <w:trPr>
        <w:tblHeader/>
      </w:trPr>
      <w:tcPr>
        <w:tcBorders>
          <w:bottom w:val="single" w:sz="4" w:space="0" w:color="auto"/>
        </w:tcBorders>
        <w:shd w:val="clear" w:color="auto" w:fill="4BACC6" w:themeFill="accent5"/>
      </w:tcPr>
    </w:tblStylePr>
    <w:tblStylePr w:type="firstCol">
      <w:pPr>
        <w:jc w:val="left"/>
      </w:pPr>
    </w:tblStylePr>
  </w:style>
  <w:style w:type="character" w:customStyle="1" w:styleId="TablecaptionChar">
    <w:name w:val="Table caption Char"/>
    <w:link w:val="Tablecaption0"/>
    <w:uiPriority w:val="17"/>
    <w:rsid w:val="006B39C7"/>
    <w:rPr>
      <w:rFonts w:asciiTheme="minorHAnsi" w:hAnsiTheme="minorHAnsi"/>
      <w:bCs/>
      <w:sz w:val="18"/>
      <w:szCs w:val="18"/>
      <w:lang w:eastAsia="en-CA"/>
    </w:rPr>
  </w:style>
  <w:style w:type="paragraph" w:customStyle="1" w:styleId="TableheadingLeft">
    <w:name w:val="Table heading Left"/>
    <w:basedOn w:val="Normal"/>
    <w:uiPriority w:val="17"/>
    <w:rsid w:val="006B39C7"/>
    <w:pPr>
      <w:keepNext/>
      <w:keepLines/>
      <w:spacing w:before="60" w:after="60" w:line="240" w:lineRule="auto"/>
      <w:ind w:left="0"/>
    </w:pPr>
    <w:rPr>
      <w:rFonts w:ascii="Arial Narrow" w:hAnsi="Arial Narrow"/>
      <w:b/>
      <w:bCs/>
      <w:sz w:val="20"/>
      <w:szCs w:val="20"/>
      <w:lang w:eastAsia="en-CA"/>
    </w:rPr>
  </w:style>
  <w:style w:type="paragraph" w:customStyle="1" w:styleId="TableheadingCentered">
    <w:name w:val="Table heading Centered"/>
    <w:basedOn w:val="TableheadingLeft"/>
    <w:rsid w:val="006B39C7"/>
    <w:pPr>
      <w:keepNext w:val="0"/>
      <w:jc w:val="center"/>
    </w:pPr>
    <w:rPr>
      <w:lang w:val="en-CA"/>
    </w:rPr>
  </w:style>
  <w:style w:type="paragraph" w:customStyle="1" w:styleId="Tablefootnote">
    <w:name w:val="Table footnote"/>
    <w:basedOn w:val="Tabletext1"/>
    <w:link w:val="TablefootnoteChar"/>
    <w:uiPriority w:val="18"/>
    <w:locked/>
    <w:rsid w:val="0097042F"/>
    <w:pPr>
      <w:keepLines/>
      <w:spacing w:before="20" w:after="360"/>
      <w:contextualSpacing/>
    </w:pPr>
    <w:rPr>
      <w:rFonts w:ascii="Arial Narrow" w:hAnsi="Arial Narrow"/>
      <w:bCs/>
      <w:szCs w:val="20"/>
      <w:lang w:eastAsia="en-CA"/>
    </w:rPr>
  </w:style>
  <w:style w:type="character" w:customStyle="1" w:styleId="TablefootnoteChar">
    <w:name w:val="Table footnote Char"/>
    <w:basedOn w:val="tabletextChar1"/>
    <w:link w:val="Tablefootnote"/>
    <w:uiPriority w:val="18"/>
    <w:rsid w:val="0097042F"/>
    <w:rPr>
      <w:rFonts w:ascii="Arial Narrow" w:hAnsi="Arial Narrow"/>
      <w:bCs/>
      <w:color w:val="191919"/>
      <w:sz w:val="18"/>
      <w:szCs w:val="20"/>
      <w:lang w:eastAsia="en-CA"/>
    </w:rPr>
  </w:style>
  <w:style w:type="paragraph" w:customStyle="1" w:styleId="tabletext4">
    <w:name w:val="tabletext"/>
    <w:basedOn w:val="Normal"/>
    <w:rsid w:val="009C7129"/>
    <w:pPr>
      <w:spacing w:before="100" w:beforeAutospacing="1" w:after="100" w:afterAutospacing="1" w:line="240" w:lineRule="auto"/>
      <w:ind w:left="0"/>
    </w:pPr>
    <w:rPr>
      <w:rFonts w:ascii="Times New Roman" w:hAnsi="Times New Roman"/>
    </w:rPr>
  </w:style>
  <w:style w:type="paragraph" w:customStyle="1" w:styleId="p1">
    <w:name w:val="p1"/>
    <w:basedOn w:val="Normal"/>
    <w:rsid w:val="00CA0853"/>
    <w:pPr>
      <w:spacing w:line="240" w:lineRule="auto"/>
      <w:ind w:left="0"/>
    </w:pPr>
    <w:rPr>
      <w:rFonts w:ascii="Helvetica" w:eastAsia="MS Mincho" w:hAnsi="Helvetica"/>
      <w:sz w:val="15"/>
      <w:szCs w:val="15"/>
      <w:lang w:val="en-GB" w:eastAsia="zh-CN"/>
    </w:rPr>
  </w:style>
  <w:style w:type="paragraph" w:customStyle="1" w:styleId="EndNoteBibliography">
    <w:name w:val="EndNote Bibliography"/>
    <w:basedOn w:val="Normal"/>
    <w:link w:val="EndNoteBibliographyChar"/>
    <w:rsid w:val="00CA0853"/>
    <w:pPr>
      <w:spacing w:line="240" w:lineRule="atLeast"/>
      <w:ind w:left="0"/>
      <w:jc w:val="center"/>
    </w:pPr>
    <w:rPr>
      <w:rFonts w:cs="Arial"/>
      <w:noProof/>
      <w:sz w:val="18"/>
    </w:rPr>
  </w:style>
  <w:style w:type="character" w:customStyle="1" w:styleId="EndNoteBibliographyChar">
    <w:name w:val="EndNote Bibliography Char"/>
    <w:link w:val="EndNoteBibliography"/>
    <w:rsid w:val="00CA0853"/>
    <w:rPr>
      <w:rFonts w:ascii="Arial" w:hAnsi="Arial" w:cs="Arial"/>
      <w:noProof/>
      <w:sz w:val="18"/>
    </w:rPr>
  </w:style>
  <w:style w:type="table" w:customStyle="1" w:styleId="AventusDocControltable1">
    <w:name w:val="Aventus Doc Control table1"/>
    <w:basedOn w:val="TableNormal"/>
    <w:next w:val="TableGrid"/>
    <w:uiPriority w:val="59"/>
    <w:rsid w:val="001C794B"/>
    <w:pPr>
      <w:spacing w:line="260" w:lineRule="atLeast"/>
      <w:ind w:left="720"/>
    </w:pPr>
    <w:rPr>
      <w:rFonts w:ascii="Arial" w:hAnsi="Arial"/>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shd w:val="clear" w:color="auto" w:fill="auto"/>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411030">
      <w:bodyDiv w:val="1"/>
      <w:marLeft w:val="0"/>
      <w:marRight w:val="0"/>
      <w:marTop w:val="0"/>
      <w:marBottom w:val="0"/>
      <w:divBdr>
        <w:top w:val="none" w:sz="0" w:space="0" w:color="auto"/>
        <w:left w:val="none" w:sz="0" w:space="0" w:color="auto"/>
        <w:bottom w:val="none" w:sz="0" w:space="0" w:color="auto"/>
        <w:right w:val="none" w:sz="0" w:space="0" w:color="auto"/>
      </w:divBdr>
      <w:divsChild>
        <w:div w:id="672954513">
          <w:marLeft w:val="0"/>
          <w:marRight w:val="0"/>
          <w:marTop w:val="0"/>
          <w:marBottom w:val="0"/>
          <w:divBdr>
            <w:top w:val="none" w:sz="0" w:space="0" w:color="auto"/>
            <w:left w:val="none" w:sz="0" w:space="0" w:color="auto"/>
            <w:bottom w:val="none" w:sz="0" w:space="0" w:color="auto"/>
            <w:right w:val="none" w:sz="0" w:space="0" w:color="auto"/>
          </w:divBdr>
          <w:divsChild>
            <w:div w:id="105543803">
              <w:marLeft w:val="0"/>
              <w:marRight w:val="0"/>
              <w:marTop w:val="0"/>
              <w:marBottom w:val="0"/>
              <w:divBdr>
                <w:top w:val="none" w:sz="0" w:space="0" w:color="auto"/>
                <w:left w:val="none" w:sz="0" w:space="0" w:color="auto"/>
                <w:bottom w:val="none" w:sz="0" w:space="0" w:color="auto"/>
                <w:right w:val="none" w:sz="0" w:space="0" w:color="auto"/>
              </w:divBdr>
              <w:divsChild>
                <w:div w:id="28071145">
                  <w:marLeft w:val="0"/>
                  <w:marRight w:val="0"/>
                  <w:marTop w:val="0"/>
                  <w:marBottom w:val="0"/>
                  <w:divBdr>
                    <w:top w:val="none" w:sz="0" w:space="0" w:color="auto"/>
                    <w:left w:val="none" w:sz="0" w:space="0" w:color="auto"/>
                    <w:bottom w:val="none" w:sz="0" w:space="0" w:color="auto"/>
                    <w:right w:val="none" w:sz="0" w:space="0" w:color="auto"/>
                  </w:divBdr>
                  <w:divsChild>
                    <w:div w:id="2092190712">
                      <w:marLeft w:val="150"/>
                      <w:marRight w:val="150"/>
                      <w:marTop w:val="0"/>
                      <w:marBottom w:val="0"/>
                      <w:divBdr>
                        <w:top w:val="none" w:sz="0" w:space="0" w:color="auto"/>
                        <w:left w:val="none" w:sz="0" w:space="0" w:color="auto"/>
                        <w:bottom w:val="none" w:sz="0" w:space="0" w:color="auto"/>
                        <w:right w:val="none" w:sz="0" w:space="0" w:color="auto"/>
                      </w:divBdr>
                      <w:divsChild>
                        <w:div w:id="1141773150">
                          <w:marLeft w:val="0"/>
                          <w:marRight w:val="0"/>
                          <w:marTop w:val="0"/>
                          <w:marBottom w:val="0"/>
                          <w:divBdr>
                            <w:top w:val="none" w:sz="0" w:space="0" w:color="auto"/>
                            <w:left w:val="none" w:sz="0" w:space="0" w:color="auto"/>
                            <w:bottom w:val="none" w:sz="0" w:space="0" w:color="auto"/>
                            <w:right w:val="none" w:sz="0" w:space="0" w:color="auto"/>
                          </w:divBdr>
                          <w:divsChild>
                            <w:div w:id="1921330785">
                              <w:marLeft w:val="0"/>
                              <w:marRight w:val="0"/>
                              <w:marTop w:val="0"/>
                              <w:marBottom w:val="240"/>
                              <w:divBdr>
                                <w:top w:val="none" w:sz="0" w:space="0" w:color="auto"/>
                                <w:left w:val="none" w:sz="0" w:space="0" w:color="auto"/>
                                <w:bottom w:val="none" w:sz="0" w:space="0" w:color="auto"/>
                                <w:right w:val="none" w:sz="0" w:space="0" w:color="auto"/>
                              </w:divBdr>
                              <w:divsChild>
                                <w:div w:id="899557422">
                                  <w:marLeft w:val="0"/>
                                  <w:marRight w:val="0"/>
                                  <w:marTop w:val="0"/>
                                  <w:marBottom w:val="0"/>
                                  <w:divBdr>
                                    <w:top w:val="none" w:sz="0" w:space="0" w:color="auto"/>
                                    <w:left w:val="none" w:sz="0" w:space="0" w:color="auto"/>
                                    <w:bottom w:val="none" w:sz="0" w:space="0" w:color="auto"/>
                                    <w:right w:val="none" w:sz="0" w:space="0" w:color="auto"/>
                                  </w:divBdr>
                                  <w:divsChild>
                                    <w:div w:id="1573006020">
                                      <w:marLeft w:val="0"/>
                                      <w:marRight w:val="0"/>
                                      <w:marTop w:val="0"/>
                                      <w:marBottom w:val="0"/>
                                      <w:divBdr>
                                        <w:top w:val="none" w:sz="0" w:space="0" w:color="auto"/>
                                        <w:left w:val="none" w:sz="0" w:space="0" w:color="auto"/>
                                        <w:bottom w:val="none" w:sz="0" w:space="0" w:color="auto"/>
                                        <w:right w:val="none" w:sz="0" w:space="0" w:color="auto"/>
                                      </w:divBdr>
                                      <w:divsChild>
                                        <w:div w:id="1792363187">
                                          <w:marLeft w:val="0"/>
                                          <w:marRight w:val="0"/>
                                          <w:marTop w:val="0"/>
                                          <w:marBottom w:val="0"/>
                                          <w:divBdr>
                                            <w:top w:val="none" w:sz="0" w:space="0" w:color="auto"/>
                                            <w:left w:val="none" w:sz="0" w:space="0" w:color="auto"/>
                                            <w:bottom w:val="none" w:sz="0" w:space="0" w:color="auto"/>
                                            <w:right w:val="none" w:sz="0" w:space="0" w:color="auto"/>
                                          </w:divBdr>
                                          <w:divsChild>
                                            <w:div w:id="2114279233">
                                              <w:marLeft w:val="0"/>
                                              <w:marRight w:val="0"/>
                                              <w:marTop w:val="0"/>
                                              <w:marBottom w:val="0"/>
                                              <w:divBdr>
                                                <w:top w:val="none" w:sz="0" w:space="0" w:color="auto"/>
                                                <w:left w:val="none" w:sz="0" w:space="0" w:color="auto"/>
                                                <w:bottom w:val="none" w:sz="0" w:space="0" w:color="auto"/>
                                                <w:right w:val="none" w:sz="0" w:space="0" w:color="auto"/>
                                              </w:divBdr>
                                              <w:divsChild>
                                                <w:div w:id="1235623331">
                                                  <w:marLeft w:val="0"/>
                                                  <w:marRight w:val="0"/>
                                                  <w:marTop w:val="0"/>
                                                  <w:marBottom w:val="0"/>
                                                  <w:divBdr>
                                                    <w:top w:val="none" w:sz="0" w:space="0" w:color="auto"/>
                                                    <w:left w:val="none" w:sz="0" w:space="0" w:color="auto"/>
                                                    <w:bottom w:val="none" w:sz="0" w:space="0" w:color="auto"/>
                                                    <w:right w:val="none" w:sz="0" w:space="0" w:color="auto"/>
                                                  </w:divBdr>
                                                  <w:divsChild>
                                                    <w:div w:id="98330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21606978">
      <w:bodyDiv w:val="1"/>
      <w:marLeft w:val="0"/>
      <w:marRight w:val="0"/>
      <w:marTop w:val="0"/>
      <w:marBottom w:val="0"/>
      <w:divBdr>
        <w:top w:val="none" w:sz="0" w:space="0" w:color="auto"/>
        <w:left w:val="none" w:sz="0" w:space="0" w:color="auto"/>
        <w:bottom w:val="none" w:sz="0" w:space="0" w:color="auto"/>
        <w:right w:val="none" w:sz="0" w:space="0" w:color="auto"/>
      </w:divBdr>
      <w:divsChild>
        <w:div w:id="160393237">
          <w:marLeft w:val="0"/>
          <w:marRight w:val="0"/>
          <w:marTop w:val="0"/>
          <w:marBottom w:val="0"/>
          <w:divBdr>
            <w:top w:val="none" w:sz="0" w:space="0" w:color="auto"/>
            <w:left w:val="none" w:sz="0" w:space="0" w:color="auto"/>
            <w:bottom w:val="none" w:sz="0" w:space="0" w:color="auto"/>
            <w:right w:val="none" w:sz="0" w:space="0" w:color="auto"/>
          </w:divBdr>
          <w:divsChild>
            <w:div w:id="17508111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5305379">
                  <w:marLeft w:val="0"/>
                  <w:marRight w:val="0"/>
                  <w:marTop w:val="0"/>
                  <w:marBottom w:val="0"/>
                  <w:divBdr>
                    <w:top w:val="none" w:sz="0" w:space="0" w:color="auto"/>
                    <w:left w:val="none" w:sz="0" w:space="0" w:color="auto"/>
                    <w:bottom w:val="none" w:sz="0" w:space="0" w:color="auto"/>
                    <w:right w:val="none" w:sz="0" w:space="0" w:color="auto"/>
                  </w:divBdr>
                  <w:divsChild>
                    <w:div w:id="241108568">
                      <w:marLeft w:val="0"/>
                      <w:marRight w:val="0"/>
                      <w:marTop w:val="0"/>
                      <w:marBottom w:val="0"/>
                      <w:divBdr>
                        <w:top w:val="none" w:sz="0" w:space="0" w:color="auto"/>
                        <w:left w:val="none" w:sz="0" w:space="0" w:color="auto"/>
                        <w:bottom w:val="none" w:sz="0" w:space="0" w:color="auto"/>
                        <w:right w:val="none" w:sz="0" w:space="0" w:color="auto"/>
                      </w:divBdr>
                    </w:div>
                    <w:div w:id="1436361811">
                      <w:marLeft w:val="0"/>
                      <w:marRight w:val="0"/>
                      <w:marTop w:val="0"/>
                      <w:marBottom w:val="0"/>
                      <w:divBdr>
                        <w:top w:val="none" w:sz="0" w:space="0" w:color="auto"/>
                        <w:left w:val="none" w:sz="0" w:space="0" w:color="auto"/>
                        <w:bottom w:val="none" w:sz="0" w:space="0" w:color="auto"/>
                        <w:right w:val="none" w:sz="0" w:space="0" w:color="auto"/>
                      </w:divBdr>
                    </w:div>
                    <w:div w:id="548541657">
                      <w:marLeft w:val="709"/>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4345496">
      <w:bodyDiv w:val="1"/>
      <w:marLeft w:val="0"/>
      <w:marRight w:val="0"/>
      <w:marTop w:val="0"/>
      <w:marBottom w:val="0"/>
      <w:divBdr>
        <w:top w:val="none" w:sz="0" w:space="0" w:color="auto"/>
        <w:left w:val="none" w:sz="0" w:space="0" w:color="auto"/>
        <w:bottom w:val="none" w:sz="0" w:space="0" w:color="auto"/>
        <w:right w:val="none" w:sz="0" w:space="0" w:color="auto"/>
      </w:divBdr>
      <w:divsChild>
        <w:div w:id="1549298786">
          <w:marLeft w:val="0"/>
          <w:marRight w:val="0"/>
          <w:marTop w:val="0"/>
          <w:marBottom w:val="0"/>
          <w:divBdr>
            <w:top w:val="none" w:sz="0" w:space="0" w:color="auto"/>
            <w:left w:val="none" w:sz="0" w:space="0" w:color="auto"/>
            <w:bottom w:val="none" w:sz="0" w:space="0" w:color="auto"/>
            <w:right w:val="none" w:sz="0" w:space="0" w:color="auto"/>
          </w:divBdr>
          <w:divsChild>
            <w:div w:id="70127252">
              <w:marLeft w:val="0"/>
              <w:marRight w:val="0"/>
              <w:marTop w:val="0"/>
              <w:marBottom w:val="0"/>
              <w:divBdr>
                <w:top w:val="none" w:sz="0" w:space="0" w:color="auto"/>
                <w:left w:val="none" w:sz="0" w:space="0" w:color="auto"/>
                <w:bottom w:val="none" w:sz="0" w:space="0" w:color="auto"/>
                <w:right w:val="none" w:sz="0" w:space="0" w:color="auto"/>
              </w:divBdr>
              <w:divsChild>
                <w:div w:id="978145382">
                  <w:marLeft w:val="0"/>
                  <w:marRight w:val="0"/>
                  <w:marTop w:val="0"/>
                  <w:marBottom w:val="0"/>
                  <w:divBdr>
                    <w:top w:val="none" w:sz="0" w:space="0" w:color="auto"/>
                    <w:left w:val="none" w:sz="0" w:space="0" w:color="auto"/>
                    <w:bottom w:val="none" w:sz="0" w:space="0" w:color="auto"/>
                    <w:right w:val="none" w:sz="0" w:space="0" w:color="auto"/>
                  </w:divBdr>
                  <w:divsChild>
                    <w:div w:id="430707635">
                      <w:marLeft w:val="0"/>
                      <w:marRight w:val="0"/>
                      <w:marTop w:val="0"/>
                      <w:marBottom w:val="0"/>
                      <w:divBdr>
                        <w:top w:val="none" w:sz="0" w:space="0" w:color="auto"/>
                        <w:left w:val="none" w:sz="0" w:space="0" w:color="auto"/>
                        <w:bottom w:val="none" w:sz="0" w:space="0" w:color="auto"/>
                        <w:right w:val="none" w:sz="0" w:space="0" w:color="auto"/>
                      </w:divBdr>
                      <w:divsChild>
                        <w:div w:id="278725476">
                          <w:marLeft w:val="0"/>
                          <w:marRight w:val="0"/>
                          <w:marTop w:val="0"/>
                          <w:marBottom w:val="0"/>
                          <w:divBdr>
                            <w:top w:val="none" w:sz="0" w:space="0" w:color="auto"/>
                            <w:left w:val="none" w:sz="0" w:space="0" w:color="auto"/>
                            <w:bottom w:val="none" w:sz="0" w:space="0" w:color="auto"/>
                            <w:right w:val="none" w:sz="0" w:space="0" w:color="auto"/>
                          </w:divBdr>
                          <w:divsChild>
                            <w:div w:id="1157188864">
                              <w:marLeft w:val="0"/>
                              <w:marRight w:val="240"/>
                              <w:marTop w:val="0"/>
                              <w:marBottom w:val="0"/>
                              <w:divBdr>
                                <w:top w:val="none" w:sz="0" w:space="0" w:color="auto"/>
                                <w:left w:val="none" w:sz="0" w:space="0" w:color="auto"/>
                                <w:bottom w:val="none" w:sz="0" w:space="0" w:color="auto"/>
                                <w:right w:val="none" w:sz="0" w:space="0" w:color="auto"/>
                              </w:divBdr>
                              <w:divsChild>
                                <w:div w:id="129167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2157507">
      <w:bodyDiv w:val="1"/>
      <w:marLeft w:val="0"/>
      <w:marRight w:val="0"/>
      <w:marTop w:val="0"/>
      <w:marBottom w:val="0"/>
      <w:divBdr>
        <w:top w:val="none" w:sz="0" w:space="0" w:color="auto"/>
        <w:left w:val="none" w:sz="0" w:space="0" w:color="auto"/>
        <w:bottom w:val="none" w:sz="0" w:space="0" w:color="auto"/>
        <w:right w:val="none" w:sz="0" w:space="0" w:color="auto"/>
      </w:divBdr>
      <w:divsChild>
        <w:div w:id="821581771">
          <w:marLeft w:val="0"/>
          <w:marRight w:val="0"/>
          <w:marTop w:val="0"/>
          <w:marBottom w:val="0"/>
          <w:divBdr>
            <w:top w:val="none" w:sz="0" w:space="0" w:color="auto"/>
            <w:left w:val="none" w:sz="0" w:space="0" w:color="auto"/>
            <w:bottom w:val="none" w:sz="0" w:space="0" w:color="auto"/>
            <w:right w:val="none" w:sz="0" w:space="0" w:color="auto"/>
          </w:divBdr>
          <w:divsChild>
            <w:div w:id="734860477">
              <w:marLeft w:val="0"/>
              <w:marRight w:val="0"/>
              <w:marTop w:val="0"/>
              <w:marBottom w:val="0"/>
              <w:divBdr>
                <w:top w:val="none" w:sz="0" w:space="0" w:color="auto"/>
                <w:left w:val="none" w:sz="0" w:space="0" w:color="auto"/>
                <w:bottom w:val="none" w:sz="0" w:space="0" w:color="auto"/>
                <w:right w:val="none" w:sz="0" w:space="0" w:color="auto"/>
              </w:divBdr>
              <w:divsChild>
                <w:div w:id="215051553">
                  <w:marLeft w:val="0"/>
                  <w:marRight w:val="0"/>
                  <w:marTop w:val="0"/>
                  <w:marBottom w:val="0"/>
                  <w:divBdr>
                    <w:top w:val="none" w:sz="0" w:space="0" w:color="auto"/>
                    <w:left w:val="none" w:sz="0" w:space="0" w:color="auto"/>
                    <w:bottom w:val="none" w:sz="0" w:space="0" w:color="auto"/>
                    <w:right w:val="none" w:sz="0" w:space="0" w:color="auto"/>
                  </w:divBdr>
                  <w:divsChild>
                    <w:div w:id="99493704">
                      <w:marLeft w:val="150"/>
                      <w:marRight w:val="150"/>
                      <w:marTop w:val="0"/>
                      <w:marBottom w:val="0"/>
                      <w:divBdr>
                        <w:top w:val="none" w:sz="0" w:space="0" w:color="auto"/>
                        <w:left w:val="none" w:sz="0" w:space="0" w:color="auto"/>
                        <w:bottom w:val="none" w:sz="0" w:space="0" w:color="auto"/>
                        <w:right w:val="none" w:sz="0" w:space="0" w:color="auto"/>
                      </w:divBdr>
                      <w:divsChild>
                        <w:div w:id="1418675038">
                          <w:marLeft w:val="0"/>
                          <w:marRight w:val="0"/>
                          <w:marTop w:val="0"/>
                          <w:marBottom w:val="0"/>
                          <w:divBdr>
                            <w:top w:val="none" w:sz="0" w:space="0" w:color="auto"/>
                            <w:left w:val="none" w:sz="0" w:space="0" w:color="auto"/>
                            <w:bottom w:val="none" w:sz="0" w:space="0" w:color="auto"/>
                            <w:right w:val="none" w:sz="0" w:space="0" w:color="auto"/>
                          </w:divBdr>
                          <w:divsChild>
                            <w:div w:id="1839155617">
                              <w:marLeft w:val="0"/>
                              <w:marRight w:val="0"/>
                              <w:marTop w:val="0"/>
                              <w:marBottom w:val="240"/>
                              <w:divBdr>
                                <w:top w:val="none" w:sz="0" w:space="0" w:color="auto"/>
                                <w:left w:val="none" w:sz="0" w:space="0" w:color="auto"/>
                                <w:bottom w:val="none" w:sz="0" w:space="0" w:color="auto"/>
                                <w:right w:val="none" w:sz="0" w:space="0" w:color="auto"/>
                              </w:divBdr>
                              <w:divsChild>
                                <w:div w:id="1681009413">
                                  <w:marLeft w:val="0"/>
                                  <w:marRight w:val="0"/>
                                  <w:marTop w:val="0"/>
                                  <w:marBottom w:val="0"/>
                                  <w:divBdr>
                                    <w:top w:val="none" w:sz="0" w:space="0" w:color="auto"/>
                                    <w:left w:val="none" w:sz="0" w:space="0" w:color="auto"/>
                                    <w:bottom w:val="none" w:sz="0" w:space="0" w:color="auto"/>
                                    <w:right w:val="none" w:sz="0" w:space="0" w:color="auto"/>
                                  </w:divBdr>
                                  <w:divsChild>
                                    <w:div w:id="619337360">
                                      <w:marLeft w:val="0"/>
                                      <w:marRight w:val="0"/>
                                      <w:marTop w:val="0"/>
                                      <w:marBottom w:val="0"/>
                                      <w:divBdr>
                                        <w:top w:val="none" w:sz="0" w:space="0" w:color="auto"/>
                                        <w:left w:val="none" w:sz="0" w:space="0" w:color="auto"/>
                                        <w:bottom w:val="none" w:sz="0" w:space="0" w:color="auto"/>
                                        <w:right w:val="none" w:sz="0" w:space="0" w:color="auto"/>
                                      </w:divBdr>
                                      <w:divsChild>
                                        <w:div w:id="1386610959">
                                          <w:marLeft w:val="0"/>
                                          <w:marRight w:val="0"/>
                                          <w:marTop w:val="0"/>
                                          <w:marBottom w:val="0"/>
                                          <w:divBdr>
                                            <w:top w:val="none" w:sz="0" w:space="0" w:color="auto"/>
                                            <w:left w:val="none" w:sz="0" w:space="0" w:color="auto"/>
                                            <w:bottom w:val="none" w:sz="0" w:space="0" w:color="auto"/>
                                            <w:right w:val="none" w:sz="0" w:space="0" w:color="auto"/>
                                          </w:divBdr>
                                          <w:divsChild>
                                            <w:div w:id="1484346062">
                                              <w:marLeft w:val="0"/>
                                              <w:marRight w:val="0"/>
                                              <w:marTop w:val="0"/>
                                              <w:marBottom w:val="0"/>
                                              <w:divBdr>
                                                <w:top w:val="none" w:sz="0" w:space="0" w:color="auto"/>
                                                <w:left w:val="none" w:sz="0" w:space="0" w:color="auto"/>
                                                <w:bottom w:val="none" w:sz="0" w:space="0" w:color="auto"/>
                                                <w:right w:val="none" w:sz="0" w:space="0" w:color="auto"/>
                                              </w:divBdr>
                                              <w:divsChild>
                                                <w:div w:id="430398286">
                                                  <w:marLeft w:val="0"/>
                                                  <w:marRight w:val="0"/>
                                                  <w:marTop w:val="0"/>
                                                  <w:marBottom w:val="0"/>
                                                  <w:divBdr>
                                                    <w:top w:val="none" w:sz="0" w:space="0" w:color="auto"/>
                                                    <w:left w:val="none" w:sz="0" w:space="0" w:color="auto"/>
                                                    <w:bottom w:val="none" w:sz="0" w:space="0" w:color="auto"/>
                                                    <w:right w:val="none" w:sz="0" w:space="0" w:color="auto"/>
                                                  </w:divBdr>
                                                  <w:divsChild>
                                                    <w:div w:id="141046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51961413">
      <w:bodyDiv w:val="1"/>
      <w:marLeft w:val="0"/>
      <w:marRight w:val="0"/>
      <w:marTop w:val="0"/>
      <w:marBottom w:val="0"/>
      <w:divBdr>
        <w:top w:val="none" w:sz="0" w:space="0" w:color="auto"/>
        <w:left w:val="none" w:sz="0" w:space="0" w:color="auto"/>
        <w:bottom w:val="none" w:sz="0" w:space="0" w:color="auto"/>
        <w:right w:val="none" w:sz="0" w:space="0" w:color="auto"/>
      </w:divBdr>
      <w:divsChild>
        <w:div w:id="1875385113">
          <w:marLeft w:val="0"/>
          <w:marRight w:val="0"/>
          <w:marTop w:val="0"/>
          <w:marBottom w:val="0"/>
          <w:divBdr>
            <w:top w:val="none" w:sz="0" w:space="0" w:color="auto"/>
            <w:left w:val="none" w:sz="0" w:space="0" w:color="auto"/>
            <w:bottom w:val="none" w:sz="0" w:space="0" w:color="auto"/>
            <w:right w:val="none" w:sz="0" w:space="0" w:color="auto"/>
          </w:divBdr>
          <w:divsChild>
            <w:div w:id="10936223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0430055">
                  <w:marLeft w:val="0"/>
                  <w:marRight w:val="0"/>
                  <w:marTop w:val="0"/>
                  <w:marBottom w:val="0"/>
                  <w:divBdr>
                    <w:top w:val="none" w:sz="0" w:space="0" w:color="auto"/>
                    <w:left w:val="none" w:sz="0" w:space="0" w:color="auto"/>
                    <w:bottom w:val="none" w:sz="0" w:space="0" w:color="auto"/>
                    <w:right w:val="none" w:sz="0" w:space="0" w:color="auto"/>
                  </w:divBdr>
                  <w:divsChild>
                    <w:div w:id="1195770322">
                      <w:marLeft w:val="0"/>
                      <w:marRight w:val="0"/>
                      <w:marTop w:val="0"/>
                      <w:marBottom w:val="0"/>
                      <w:divBdr>
                        <w:top w:val="none" w:sz="0" w:space="0" w:color="auto"/>
                        <w:left w:val="none" w:sz="0" w:space="0" w:color="auto"/>
                        <w:bottom w:val="none" w:sz="0" w:space="0" w:color="auto"/>
                        <w:right w:val="none" w:sz="0" w:space="0" w:color="auto"/>
                      </w:divBdr>
                    </w:div>
                    <w:div w:id="1604145800">
                      <w:marLeft w:val="0"/>
                      <w:marRight w:val="0"/>
                      <w:marTop w:val="0"/>
                      <w:marBottom w:val="0"/>
                      <w:divBdr>
                        <w:top w:val="none" w:sz="0" w:space="0" w:color="auto"/>
                        <w:left w:val="none" w:sz="0" w:space="0" w:color="auto"/>
                        <w:bottom w:val="none" w:sz="0" w:space="0" w:color="auto"/>
                        <w:right w:val="none" w:sz="0" w:space="0" w:color="auto"/>
                      </w:divBdr>
                    </w:div>
                    <w:div w:id="1201474465">
                      <w:marLeft w:val="709"/>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6496562">
      <w:bodyDiv w:val="1"/>
      <w:marLeft w:val="0"/>
      <w:marRight w:val="0"/>
      <w:marTop w:val="0"/>
      <w:marBottom w:val="0"/>
      <w:divBdr>
        <w:top w:val="none" w:sz="0" w:space="0" w:color="auto"/>
        <w:left w:val="none" w:sz="0" w:space="0" w:color="auto"/>
        <w:bottom w:val="none" w:sz="0" w:space="0" w:color="auto"/>
        <w:right w:val="none" w:sz="0" w:space="0" w:color="auto"/>
      </w:divBdr>
      <w:divsChild>
        <w:div w:id="1142965674">
          <w:marLeft w:val="0"/>
          <w:marRight w:val="0"/>
          <w:marTop w:val="0"/>
          <w:marBottom w:val="0"/>
          <w:divBdr>
            <w:top w:val="none" w:sz="0" w:space="0" w:color="auto"/>
            <w:left w:val="none" w:sz="0" w:space="0" w:color="auto"/>
            <w:bottom w:val="none" w:sz="0" w:space="0" w:color="auto"/>
            <w:right w:val="none" w:sz="0" w:space="0" w:color="auto"/>
          </w:divBdr>
          <w:divsChild>
            <w:div w:id="808329507">
              <w:marLeft w:val="0"/>
              <w:marRight w:val="0"/>
              <w:marTop w:val="0"/>
              <w:marBottom w:val="0"/>
              <w:divBdr>
                <w:top w:val="none" w:sz="0" w:space="0" w:color="auto"/>
                <w:left w:val="none" w:sz="0" w:space="0" w:color="auto"/>
                <w:bottom w:val="none" w:sz="0" w:space="0" w:color="auto"/>
                <w:right w:val="none" w:sz="0" w:space="0" w:color="auto"/>
              </w:divBdr>
              <w:divsChild>
                <w:div w:id="1415006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120324">
      <w:bodyDiv w:val="1"/>
      <w:marLeft w:val="0"/>
      <w:marRight w:val="0"/>
      <w:marTop w:val="0"/>
      <w:marBottom w:val="0"/>
      <w:divBdr>
        <w:top w:val="none" w:sz="0" w:space="0" w:color="auto"/>
        <w:left w:val="none" w:sz="0" w:space="0" w:color="auto"/>
        <w:bottom w:val="none" w:sz="0" w:space="0" w:color="auto"/>
        <w:right w:val="none" w:sz="0" w:space="0" w:color="auto"/>
      </w:divBdr>
      <w:divsChild>
        <w:div w:id="1272937258">
          <w:marLeft w:val="0"/>
          <w:marRight w:val="0"/>
          <w:marTop w:val="0"/>
          <w:marBottom w:val="0"/>
          <w:divBdr>
            <w:top w:val="none" w:sz="0" w:space="0" w:color="auto"/>
            <w:left w:val="none" w:sz="0" w:space="0" w:color="auto"/>
            <w:bottom w:val="none" w:sz="0" w:space="0" w:color="auto"/>
            <w:right w:val="none" w:sz="0" w:space="0" w:color="auto"/>
          </w:divBdr>
          <w:divsChild>
            <w:div w:id="11948032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79923321">
                  <w:marLeft w:val="0"/>
                  <w:marRight w:val="0"/>
                  <w:marTop w:val="0"/>
                  <w:marBottom w:val="0"/>
                  <w:divBdr>
                    <w:top w:val="none" w:sz="0" w:space="0" w:color="auto"/>
                    <w:left w:val="none" w:sz="0" w:space="0" w:color="auto"/>
                    <w:bottom w:val="none" w:sz="0" w:space="0" w:color="auto"/>
                    <w:right w:val="none" w:sz="0" w:space="0" w:color="auto"/>
                  </w:divBdr>
                  <w:divsChild>
                    <w:div w:id="801314595">
                      <w:marLeft w:val="0"/>
                      <w:marRight w:val="0"/>
                      <w:marTop w:val="0"/>
                      <w:marBottom w:val="0"/>
                      <w:divBdr>
                        <w:top w:val="none" w:sz="0" w:space="0" w:color="auto"/>
                        <w:left w:val="none" w:sz="0" w:space="0" w:color="auto"/>
                        <w:bottom w:val="none" w:sz="0" w:space="0" w:color="auto"/>
                        <w:right w:val="none" w:sz="0" w:space="0" w:color="auto"/>
                      </w:divBdr>
                      <w:divsChild>
                        <w:div w:id="37338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4171175">
      <w:bodyDiv w:val="1"/>
      <w:marLeft w:val="0"/>
      <w:marRight w:val="0"/>
      <w:marTop w:val="0"/>
      <w:marBottom w:val="0"/>
      <w:divBdr>
        <w:top w:val="none" w:sz="0" w:space="0" w:color="auto"/>
        <w:left w:val="none" w:sz="0" w:space="0" w:color="auto"/>
        <w:bottom w:val="none" w:sz="0" w:space="0" w:color="auto"/>
        <w:right w:val="none" w:sz="0" w:space="0" w:color="auto"/>
      </w:divBdr>
    </w:div>
    <w:div w:id="1014379748">
      <w:bodyDiv w:val="1"/>
      <w:marLeft w:val="0"/>
      <w:marRight w:val="0"/>
      <w:marTop w:val="0"/>
      <w:marBottom w:val="0"/>
      <w:divBdr>
        <w:top w:val="none" w:sz="0" w:space="0" w:color="auto"/>
        <w:left w:val="none" w:sz="0" w:space="0" w:color="auto"/>
        <w:bottom w:val="none" w:sz="0" w:space="0" w:color="auto"/>
        <w:right w:val="none" w:sz="0" w:space="0" w:color="auto"/>
      </w:divBdr>
      <w:divsChild>
        <w:div w:id="1270433542">
          <w:marLeft w:val="0"/>
          <w:marRight w:val="0"/>
          <w:marTop w:val="0"/>
          <w:marBottom w:val="0"/>
          <w:divBdr>
            <w:top w:val="none" w:sz="0" w:space="0" w:color="auto"/>
            <w:left w:val="none" w:sz="0" w:space="0" w:color="auto"/>
            <w:bottom w:val="none" w:sz="0" w:space="0" w:color="auto"/>
            <w:right w:val="none" w:sz="0" w:space="0" w:color="auto"/>
          </w:divBdr>
          <w:divsChild>
            <w:div w:id="1810055685">
              <w:marLeft w:val="0"/>
              <w:marRight w:val="0"/>
              <w:marTop w:val="0"/>
              <w:marBottom w:val="0"/>
              <w:divBdr>
                <w:top w:val="none" w:sz="0" w:space="0" w:color="auto"/>
                <w:left w:val="none" w:sz="0" w:space="0" w:color="auto"/>
                <w:bottom w:val="none" w:sz="0" w:space="0" w:color="auto"/>
                <w:right w:val="none" w:sz="0" w:space="0" w:color="auto"/>
              </w:divBdr>
              <w:divsChild>
                <w:div w:id="872839883">
                  <w:marLeft w:val="0"/>
                  <w:marRight w:val="0"/>
                  <w:marTop w:val="0"/>
                  <w:marBottom w:val="0"/>
                  <w:divBdr>
                    <w:top w:val="none" w:sz="0" w:space="0" w:color="auto"/>
                    <w:left w:val="none" w:sz="0" w:space="0" w:color="auto"/>
                    <w:bottom w:val="none" w:sz="0" w:space="0" w:color="auto"/>
                    <w:right w:val="none" w:sz="0" w:space="0" w:color="auto"/>
                  </w:divBdr>
                  <w:divsChild>
                    <w:div w:id="1465543712">
                      <w:marLeft w:val="0"/>
                      <w:marRight w:val="0"/>
                      <w:marTop w:val="0"/>
                      <w:marBottom w:val="0"/>
                      <w:divBdr>
                        <w:top w:val="none" w:sz="0" w:space="0" w:color="auto"/>
                        <w:left w:val="none" w:sz="0" w:space="0" w:color="auto"/>
                        <w:bottom w:val="none" w:sz="0" w:space="0" w:color="auto"/>
                        <w:right w:val="none" w:sz="0" w:space="0" w:color="auto"/>
                      </w:divBdr>
                      <w:divsChild>
                        <w:div w:id="440688846">
                          <w:marLeft w:val="0"/>
                          <w:marRight w:val="0"/>
                          <w:marTop w:val="0"/>
                          <w:marBottom w:val="0"/>
                          <w:divBdr>
                            <w:top w:val="none" w:sz="0" w:space="0" w:color="auto"/>
                            <w:left w:val="none" w:sz="0" w:space="0" w:color="auto"/>
                            <w:bottom w:val="none" w:sz="0" w:space="0" w:color="auto"/>
                            <w:right w:val="none" w:sz="0" w:space="0" w:color="auto"/>
                          </w:divBdr>
                          <w:divsChild>
                            <w:div w:id="1859929771">
                              <w:marLeft w:val="0"/>
                              <w:marRight w:val="0"/>
                              <w:marTop w:val="0"/>
                              <w:marBottom w:val="0"/>
                              <w:divBdr>
                                <w:top w:val="none" w:sz="0" w:space="0" w:color="auto"/>
                                <w:left w:val="none" w:sz="0" w:space="0" w:color="auto"/>
                                <w:bottom w:val="none" w:sz="0" w:space="0" w:color="auto"/>
                                <w:right w:val="none" w:sz="0" w:space="0" w:color="auto"/>
                              </w:divBdr>
                              <w:divsChild>
                                <w:div w:id="1258251511">
                                  <w:marLeft w:val="0"/>
                                  <w:marRight w:val="0"/>
                                  <w:marTop w:val="0"/>
                                  <w:marBottom w:val="0"/>
                                  <w:divBdr>
                                    <w:top w:val="none" w:sz="0" w:space="0" w:color="auto"/>
                                    <w:left w:val="none" w:sz="0" w:space="0" w:color="auto"/>
                                    <w:bottom w:val="none" w:sz="0" w:space="0" w:color="auto"/>
                                    <w:right w:val="none" w:sz="0" w:space="0" w:color="auto"/>
                                  </w:divBdr>
                                  <w:divsChild>
                                    <w:div w:id="721253589">
                                      <w:marLeft w:val="0"/>
                                      <w:marRight w:val="0"/>
                                      <w:marTop w:val="0"/>
                                      <w:marBottom w:val="0"/>
                                      <w:divBdr>
                                        <w:top w:val="none" w:sz="0" w:space="0" w:color="auto"/>
                                        <w:left w:val="none" w:sz="0" w:space="0" w:color="auto"/>
                                        <w:bottom w:val="none" w:sz="0" w:space="0" w:color="auto"/>
                                        <w:right w:val="none" w:sz="0" w:space="0" w:color="auto"/>
                                      </w:divBdr>
                                      <w:divsChild>
                                        <w:div w:id="86079701">
                                          <w:marLeft w:val="0"/>
                                          <w:marRight w:val="0"/>
                                          <w:marTop w:val="0"/>
                                          <w:marBottom w:val="0"/>
                                          <w:divBdr>
                                            <w:top w:val="none" w:sz="0" w:space="0" w:color="auto"/>
                                            <w:left w:val="none" w:sz="0" w:space="0" w:color="auto"/>
                                            <w:bottom w:val="none" w:sz="0" w:space="0" w:color="auto"/>
                                            <w:right w:val="none" w:sz="0" w:space="0" w:color="auto"/>
                                          </w:divBdr>
                                          <w:divsChild>
                                            <w:div w:id="1038160323">
                                              <w:marLeft w:val="0"/>
                                              <w:marRight w:val="0"/>
                                              <w:marTop w:val="0"/>
                                              <w:marBottom w:val="0"/>
                                              <w:divBdr>
                                                <w:top w:val="none" w:sz="0" w:space="0" w:color="auto"/>
                                                <w:left w:val="none" w:sz="0" w:space="0" w:color="auto"/>
                                                <w:bottom w:val="none" w:sz="0" w:space="0" w:color="auto"/>
                                                <w:right w:val="none" w:sz="0" w:space="0" w:color="auto"/>
                                              </w:divBdr>
                                              <w:divsChild>
                                                <w:div w:id="214388206">
                                                  <w:marLeft w:val="0"/>
                                                  <w:marRight w:val="0"/>
                                                  <w:marTop w:val="0"/>
                                                  <w:marBottom w:val="0"/>
                                                  <w:divBdr>
                                                    <w:top w:val="none" w:sz="0" w:space="0" w:color="auto"/>
                                                    <w:left w:val="none" w:sz="0" w:space="0" w:color="auto"/>
                                                    <w:bottom w:val="none" w:sz="0" w:space="0" w:color="auto"/>
                                                    <w:right w:val="none" w:sz="0" w:space="0" w:color="auto"/>
                                                  </w:divBdr>
                                                  <w:divsChild>
                                                    <w:div w:id="91126833">
                                                      <w:marLeft w:val="0"/>
                                                      <w:marRight w:val="0"/>
                                                      <w:marTop w:val="0"/>
                                                      <w:marBottom w:val="0"/>
                                                      <w:divBdr>
                                                        <w:top w:val="none" w:sz="0" w:space="0" w:color="auto"/>
                                                        <w:left w:val="none" w:sz="0" w:space="0" w:color="auto"/>
                                                        <w:bottom w:val="none" w:sz="0" w:space="0" w:color="auto"/>
                                                        <w:right w:val="none" w:sz="0" w:space="0" w:color="auto"/>
                                                      </w:divBdr>
                                                      <w:divsChild>
                                                        <w:div w:id="102146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61900720">
      <w:bodyDiv w:val="1"/>
      <w:marLeft w:val="0"/>
      <w:marRight w:val="0"/>
      <w:marTop w:val="0"/>
      <w:marBottom w:val="0"/>
      <w:divBdr>
        <w:top w:val="none" w:sz="0" w:space="0" w:color="auto"/>
        <w:left w:val="none" w:sz="0" w:space="0" w:color="auto"/>
        <w:bottom w:val="none" w:sz="0" w:space="0" w:color="auto"/>
        <w:right w:val="none" w:sz="0" w:space="0" w:color="auto"/>
      </w:divBdr>
    </w:div>
    <w:div w:id="1067609747">
      <w:bodyDiv w:val="1"/>
      <w:marLeft w:val="0"/>
      <w:marRight w:val="0"/>
      <w:marTop w:val="0"/>
      <w:marBottom w:val="0"/>
      <w:divBdr>
        <w:top w:val="none" w:sz="0" w:space="0" w:color="auto"/>
        <w:left w:val="none" w:sz="0" w:space="0" w:color="auto"/>
        <w:bottom w:val="none" w:sz="0" w:space="0" w:color="auto"/>
        <w:right w:val="none" w:sz="0" w:space="0" w:color="auto"/>
      </w:divBdr>
    </w:div>
    <w:div w:id="1079137689">
      <w:bodyDiv w:val="1"/>
      <w:marLeft w:val="0"/>
      <w:marRight w:val="0"/>
      <w:marTop w:val="0"/>
      <w:marBottom w:val="0"/>
      <w:divBdr>
        <w:top w:val="none" w:sz="0" w:space="0" w:color="auto"/>
        <w:left w:val="none" w:sz="0" w:space="0" w:color="auto"/>
        <w:bottom w:val="none" w:sz="0" w:space="0" w:color="auto"/>
        <w:right w:val="none" w:sz="0" w:space="0" w:color="auto"/>
      </w:divBdr>
      <w:divsChild>
        <w:div w:id="299698682">
          <w:marLeft w:val="0"/>
          <w:marRight w:val="0"/>
          <w:marTop w:val="0"/>
          <w:marBottom w:val="0"/>
          <w:divBdr>
            <w:top w:val="none" w:sz="0" w:space="0" w:color="auto"/>
            <w:left w:val="none" w:sz="0" w:space="0" w:color="auto"/>
            <w:bottom w:val="none" w:sz="0" w:space="0" w:color="auto"/>
            <w:right w:val="none" w:sz="0" w:space="0" w:color="auto"/>
          </w:divBdr>
          <w:divsChild>
            <w:div w:id="1081949022">
              <w:marLeft w:val="0"/>
              <w:marRight w:val="0"/>
              <w:marTop w:val="0"/>
              <w:marBottom w:val="0"/>
              <w:divBdr>
                <w:top w:val="none" w:sz="0" w:space="0" w:color="auto"/>
                <w:left w:val="none" w:sz="0" w:space="0" w:color="auto"/>
                <w:bottom w:val="none" w:sz="0" w:space="0" w:color="auto"/>
                <w:right w:val="none" w:sz="0" w:space="0" w:color="auto"/>
              </w:divBdr>
              <w:divsChild>
                <w:div w:id="1163860865">
                  <w:marLeft w:val="0"/>
                  <w:marRight w:val="0"/>
                  <w:marTop w:val="0"/>
                  <w:marBottom w:val="0"/>
                  <w:divBdr>
                    <w:top w:val="none" w:sz="0" w:space="0" w:color="auto"/>
                    <w:left w:val="none" w:sz="0" w:space="0" w:color="auto"/>
                    <w:bottom w:val="none" w:sz="0" w:space="0" w:color="auto"/>
                    <w:right w:val="none" w:sz="0" w:space="0" w:color="auto"/>
                  </w:divBdr>
                  <w:divsChild>
                    <w:div w:id="143090583">
                      <w:marLeft w:val="0"/>
                      <w:marRight w:val="0"/>
                      <w:marTop w:val="0"/>
                      <w:marBottom w:val="0"/>
                      <w:divBdr>
                        <w:top w:val="none" w:sz="0" w:space="0" w:color="auto"/>
                        <w:left w:val="none" w:sz="0" w:space="0" w:color="auto"/>
                        <w:bottom w:val="none" w:sz="0" w:space="0" w:color="auto"/>
                        <w:right w:val="none" w:sz="0" w:space="0" w:color="auto"/>
                      </w:divBdr>
                      <w:divsChild>
                        <w:div w:id="1250311172">
                          <w:marLeft w:val="225"/>
                          <w:marRight w:val="225"/>
                          <w:marTop w:val="150"/>
                          <w:marBottom w:val="0"/>
                          <w:divBdr>
                            <w:top w:val="none" w:sz="0" w:space="0" w:color="auto"/>
                            <w:left w:val="none" w:sz="0" w:space="0" w:color="auto"/>
                            <w:bottom w:val="none" w:sz="0" w:space="0" w:color="auto"/>
                            <w:right w:val="none" w:sz="0" w:space="0" w:color="auto"/>
                          </w:divBdr>
                          <w:divsChild>
                            <w:div w:id="1692952535">
                              <w:marLeft w:val="225"/>
                              <w:marRight w:val="225"/>
                              <w:marTop w:val="150"/>
                              <w:marBottom w:val="0"/>
                              <w:divBdr>
                                <w:top w:val="none" w:sz="0" w:space="0" w:color="auto"/>
                                <w:left w:val="none" w:sz="0" w:space="0" w:color="auto"/>
                                <w:bottom w:val="none" w:sz="0" w:space="0" w:color="auto"/>
                                <w:right w:val="none" w:sz="0" w:space="0" w:color="auto"/>
                              </w:divBdr>
                              <w:divsChild>
                                <w:div w:id="137639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4037249">
      <w:bodyDiv w:val="1"/>
      <w:marLeft w:val="0"/>
      <w:marRight w:val="0"/>
      <w:marTop w:val="0"/>
      <w:marBottom w:val="0"/>
      <w:divBdr>
        <w:top w:val="none" w:sz="0" w:space="0" w:color="auto"/>
        <w:left w:val="none" w:sz="0" w:space="0" w:color="auto"/>
        <w:bottom w:val="none" w:sz="0" w:space="0" w:color="auto"/>
        <w:right w:val="none" w:sz="0" w:space="0" w:color="auto"/>
      </w:divBdr>
      <w:divsChild>
        <w:div w:id="1755858076">
          <w:marLeft w:val="0"/>
          <w:marRight w:val="0"/>
          <w:marTop w:val="0"/>
          <w:marBottom w:val="0"/>
          <w:divBdr>
            <w:top w:val="none" w:sz="0" w:space="0" w:color="auto"/>
            <w:left w:val="none" w:sz="0" w:space="0" w:color="auto"/>
            <w:bottom w:val="none" w:sz="0" w:space="0" w:color="auto"/>
            <w:right w:val="none" w:sz="0" w:space="0" w:color="auto"/>
          </w:divBdr>
          <w:divsChild>
            <w:div w:id="1841389324">
              <w:marLeft w:val="0"/>
              <w:marRight w:val="0"/>
              <w:marTop w:val="0"/>
              <w:marBottom w:val="0"/>
              <w:divBdr>
                <w:top w:val="none" w:sz="0" w:space="0" w:color="auto"/>
                <w:left w:val="none" w:sz="0" w:space="0" w:color="auto"/>
                <w:bottom w:val="none" w:sz="0" w:space="0" w:color="auto"/>
                <w:right w:val="none" w:sz="0" w:space="0" w:color="auto"/>
              </w:divBdr>
              <w:divsChild>
                <w:div w:id="152398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282543">
      <w:bodyDiv w:val="1"/>
      <w:marLeft w:val="0"/>
      <w:marRight w:val="0"/>
      <w:marTop w:val="0"/>
      <w:marBottom w:val="0"/>
      <w:divBdr>
        <w:top w:val="none" w:sz="0" w:space="0" w:color="auto"/>
        <w:left w:val="none" w:sz="0" w:space="0" w:color="auto"/>
        <w:bottom w:val="none" w:sz="0" w:space="0" w:color="auto"/>
        <w:right w:val="none" w:sz="0" w:space="0" w:color="auto"/>
      </w:divBdr>
      <w:divsChild>
        <w:div w:id="2109689767">
          <w:marLeft w:val="0"/>
          <w:marRight w:val="0"/>
          <w:marTop w:val="0"/>
          <w:marBottom w:val="0"/>
          <w:divBdr>
            <w:top w:val="none" w:sz="0" w:space="0" w:color="auto"/>
            <w:left w:val="none" w:sz="0" w:space="0" w:color="auto"/>
            <w:bottom w:val="none" w:sz="0" w:space="0" w:color="auto"/>
            <w:right w:val="none" w:sz="0" w:space="0" w:color="auto"/>
          </w:divBdr>
          <w:divsChild>
            <w:div w:id="14560986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88592050">
                  <w:marLeft w:val="0"/>
                  <w:marRight w:val="0"/>
                  <w:marTop w:val="0"/>
                  <w:marBottom w:val="0"/>
                  <w:divBdr>
                    <w:top w:val="none" w:sz="0" w:space="0" w:color="auto"/>
                    <w:left w:val="none" w:sz="0" w:space="0" w:color="auto"/>
                    <w:bottom w:val="none" w:sz="0" w:space="0" w:color="auto"/>
                    <w:right w:val="none" w:sz="0" w:space="0" w:color="auto"/>
                  </w:divBdr>
                  <w:divsChild>
                    <w:div w:id="1097020665">
                      <w:marLeft w:val="0"/>
                      <w:marRight w:val="0"/>
                      <w:marTop w:val="0"/>
                      <w:marBottom w:val="0"/>
                      <w:divBdr>
                        <w:top w:val="none" w:sz="0" w:space="0" w:color="auto"/>
                        <w:left w:val="none" w:sz="0" w:space="0" w:color="auto"/>
                        <w:bottom w:val="none" w:sz="0" w:space="0" w:color="auto"/>
                        <w:right w:val="none" w:sz="0" w:space="0" w:color="auto"/>
                      </w:divBdr>
                      <w:divsChild>
                        <w:div w:id="221865011">
                          <w:marLeft w:val="0"/>
                          <w:marRight w:val="0"/>
                          <w:marTop w:val="0"/>
                          <w:marBottom w:val="0"/>
                          <w:divBdr>
                            <w:top w:val="none" w:sz="0" w:space="0" w:color="auto"/>
                            <w:left w:val="none" w:sz="0" w:space="0" w:color="auto"/>
                            <w:bottom w:val="none" w:sz="0" w:space="0" w:color="auto"/>
                            <w:right w:val="none" w:sz="0" w:space="0" w:color="auto"/>
                          </w:divBdr>
                        </w:div>
                        <w:div w:id="288556502">
                          <w:marLeft w:val="0"/>
                          <w:marRight w:val="0"/>
                          <w:marTop w:val="0"/>
                          <w:marBottom w:val="0"/>
                          <w:divBdr>
                            <w:top w:val="none" w:sz="0" w:space="0" w:color="auto"/>
                            <w:left w:val="none" w:sz="0" w:space="0" w:color="auto"/>
                            <w:bottom w:val="none" w:sz="0" w:space="0" w:color="auto"/>
                            <w:right w:val="none" w:sz="0" w:space="0" w:color="auto"/>
                          </w:divBdr>
                        </w:div>
                        <w:div w:id="553195864">
                          <w:marLeft w:val="0"/>
                          <w:marRight w:val="0"/>
                          <w:marTop w:val="0"/>
                          <w:marBottom w:val="0"/>
                          <w:divBdr>
                            <w:top w:val="none" w:sz="0" w:space="0" w:color="auto"/>
                            <w:left w:val="none" w:sz="0" w:space="0" w:color="auto"/>
                            <w:bottom w:val="none" w:sz="0" w:space="0" w:color="auto"/>
                            <w:right w:val="none" w:sz="0" w:space="0" w:color="auto"/>
                          </w:divBdr>
                        </w:div>
                        <w:div w:id="1258636890">
                          <w:marLeft w:val="0"/>
                          <w:marRight w:val="0"/>
                          <w:marTop w:val="0"/>
                          <w:marBottom w:val="0"/>
                          <w:divBdr>
                            <w:top w:val="none" w:sz="0" w:space="0" w:color="auto"/>
                            <w:left w:val="none" w:sz="0" w:space="0" w:color="auto"/>
                            <w:bottom w:val="none" w:sz="0" w:space="0" w:color="auto"/>
                            <w:right w:val="none" w:sz="0" w:space="0" w:color="auto"/>
                          </w:divBdr>
                        </w:div>
                        <w:div w:id="177748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8951376">
      <w:bodyDiv w:val="1"/>
      <w:marLeft w:val="0"/>
      <w:marRight w:val="0"/>
      <w:marTop w:val="0"/>
      <w:marBottom w:val="0"/>
      <w:divBdr>
        <w:top w:val="none" w:sz="0" w:space="0" w:color="auto"/>
        <w:left w:val="none" w:sz="0" w:space="0" w:color="auto"/>
        <w:bottom w:val="none" w:sz="0" w:space="0" w:color="auto"/>
        <w:right w:val="none" w:sz="0" w:space="0" w:color="auto"/>
      </w:divBdr>
      <w:divsChild>
        <w:div w:id="2119173603">
          <w:marLeft w:val="0"/>
          <w:marRight w:val="0"/>
          <w:marTop w:val="0"/>
          <w:marBottom w:val="0"/>
          <w:divBdr>
            <w:top w:val="none" w:sz="0" w:space="0" w:color="auto"/>
            <w:left w:val="none" w:sz="0" w:space="0" w:color="auto"/>
            <w:bottom w:val="none" w:sz="0" w:space="0" w:color="auto"/>
            <w:right w:val="none" w:sz="0" w:space="0" w:color="auto"/>
          </w:divBdr>
          <w:divsChild>
            <w:div w:id="18003415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9962460">
                  <w:marLeft w:val="0"/>
                  <w:marRight w:val="0"/>
                  <w:marTop w:val="0"/>
                  <w:marBottom w:val="0"/>
                  <w:divBdr>
                    <w:top w:val="none" w:sz="0" w:space="0" w:color="auto"/>
                    <w:left w:val="none" w:sz="0" w:space="0" w:color="auto"/>
                    <w:bottom w:val="none" w:sz="0" w:space="0" w:color="auto"/>
                    <w:right w:val="none" w:sz="0" w:space="0" w:color="auto"/>
                  </w:divBdr>
                  <w:divsChild>
                    <w:div w:id="1677070111">
                      <w:marLeft w:val="0"/>
                      <w:marRight w:val="0"/>
                      <w:marTop w:val="0"/>
                      <w:marBottom w:val="0"/>
                      <w:divBdr>
                        <w:top w:val="none" w:sz="0" w:space="0" w:color="auto"/>
                        <w:left w:val="none" w:sz="0" w:space="0" w:color="auto"/>
                        <w:bottom w:val="none" w:sz="0" w:space="0" w:color="auto"/>
                        <w:right w:val="none" w:sz="0" w:space="0" w:color="auto"/>
                      </w:divBdr>
                    </w:div>
                    <w:div w:id="752777088">
                      <w:marLeft w:val="0"/>
                      <w:marRight w:val="0"/>
                      <w:marTop w:val="0"/>
                      <w:marBottom w:val="0"/>
                      <w:divBdr>
                        <w:top w:val="none" w:sz="0" w:space="0" w:color="auto"/>
                        <w:left w:val="none" w:sz="0" w:space="0" w:color="auto"/>
                        <w:bottom w:val="none" w:sz="0" w:space="0" w:color="auto"/>
                        <w:right w:val="none" w:sz="0" w:space="0" w:color="auto"/>
                      </w:divBdr>
                    </w:div>
                    <w:div w:id="642199751">
                      <w:marLeft w:val="0"/>
                      <w:marRight w:val="0"/>
                      <w:marTop w:val="0"/>
                      <w:marBottom w:val="0"/>
                      <w:divBdr>
                        <w:top w:val="none" w:sz="0" w:space="0" w:color="auto"/>
                        <w:left w:val="none" w:sz="0" w:space="0" w:color="auto"/>
                        <w:bottom w:val="none" w:sz="0" w:space="0" w:color="auto"/>
                        <w:right w:val="none" w:sz="0" w:space="0" w:color="auto"/>
                      </w:divBdr>
                    </w:div>
                    <w:div w:id="1648126700">
                      <w:marLeft w:val="0"/>
                      <w:marRight w:val="0"/>
                      <w:marTop w:val="0"/>
                      <w:marBottom w:val="0"/>
                      <w:divBdr>
                        <w:top w:val="none" w:sz="0" w:space="0" w:color="auto"/>
                        <w:left w:val="none" w:sz="0" w:space="0" w:color="auto"/>
                        <w:bottom w:val="none" w:sz="0" w:space="0" w:color="auto"/>
                        <w:right w:val="none" w:sz="0" w:space="0" w:color="auto"/>
                      </w:divBdr>
                    </w:div>
                    <w:div w:id="85542751">
                      <w:marLeft w:val="0"/>
                      <w:marRight w:val="0"/>
                      <w:marTop w:val="0"/>
                      <w:marBottom w:val="0"/>
                      <w:divBdr>
                        <w:top w:val="none" w:sz="0" w:space="0" w:color="auto"/>
                        <w:left w:val="none" w:sz="0" w:space="0" w:color="auto"/>
                        <w:bottom w:val="none" w:sz="0" w:space="0" w:color="auto"/>
                        <w:right w:val="none" w:sz="0" w:space="0" w:color="auto"/>
                      </w:divBdr>
                    </w:div>
                    <w:div w:id="315846125">
                      <w:marLeft w:val="0"/>
                      <w:marRight w:val="0"/>
                      <w:marTop w:val="0"/>
                      <w:marBottom w:val="0"/>
                      <w:divBdr>
                        <w:top w:val="none" w:sz="0" w:space="0" w:color="auto"/>
                        <w:left w:val="none" w:sz="0" w:space="0" w:color="auto"/>
                        <w:bottom w:val="none" w:sz="0" w:space="0" w:color="auto"/>
                        <w:right w:val="none" w:sz="0" w:space="0" w:color="auto"/>
                      </w:divBdr>
                    </w:div>
                    <w:div w:id="1182209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976958">
      <w:bodyDiv w:val="1"/>
      <w:marLeft w:val="0"/>
      <w:marRight w:val="0"/>
      <w:marTop w:val="0"/>
      <w:marBottom w:val="0"/>
      <w:divBdr>
        <w:top w:val="none" w:sz="0" w:space="0" w:color="auto"/>
        <w:left w:val="none" w:sz="0" w:space="0" w:color="auto"/>
        <w:bottom w:val="none" w:sz="0" w:space="0" w:color="auto"/>
        <w:right w:val="none" w:sz="0" w:space="0" w:color="auto"/>
      </w:divBdr>
    </w:div>
    <w:div w:id="1417173363">
      <w:bodyDiv w:val="1"/>
      <w:marLeft w:val="0"/>
      <w:marRight w:val="0"/>
      <w:marTop w:val="0"/>
      <w:marBottom w:val="0"/>
      <w:divBdr>
        <w:top w:val="none" w:sz="0" w:space="0" w:color="auto"/>
        <w:left w:val="none" w:sz="0" w:space="0" w:color="auto"/>
        <w:bottom w:val="none" w:sz="0" w:space="0" w:color="auto"/>
        <w:right w:val="none" w:sz="0" w:space="0" w:color="auto"/>
      </w:divBdr>
      <w:divsChild>
        <w:div w:id="597717776">
          <w:marLeft w:val="0"/>
          <w:marRight w:val="0"/>
          <w:marTop w:val="0"/>
          <w:marBottom w:val="0"/>
          <w:divBdr>
            <w:top w:val="none" w:sz="0" w:space="0" w:color="auto"/>
            <w:left w:val="none" w:sz="0" w:space="0" w:color="auto"/>
            <w:bottom w:val="none" w:sz="0" w:space="0" w:color="auto"/>
            <w:right w:val="none" w:sz="0" w:space="0" w:color="auto"/>
          </w:divBdr>
          <w:divsChild>
            <w:div w:id="497964456">
              <w:marLeft w:val="0"/>
              <w:marRight w:val="0"/>
              <w:marTop w:val="0"/>
              <w:marBottom w:val="0"/>
              <w:divBdr>
                <w:top w:val="none" w:sz="0" w:space="0" w:color="auto"/>
                <w:left w:val="none" w:sz="0" w:space="0" w:color="auto"/>
                <w:bottom w:val="none" w:sz="0" w:space="0" w:color="auto"/>
                <w:right w:val="none" w:sz="0" w:space="0" w:color="auto"/>
              </w:divBdr>
              <w:divsChild>
                <w:div w:id="151870418">
                  <w:marLeft w:val="0"/>
                  <w:marRight w:val="0"/>
                  <w:marTop w:val="0"/>
                  <w:marBottom w:val="0"/>
                  <w:divBdr>
                    <w:top w:val="none" w:sz="0" w:space="0" w:color="auto"/>
                    <w:left w:val="none" w:sz="0" w:space="0" w:color="auto"/>
                    <w:bottom w:val="none" w:sz="0" w:space="0" w:color="auto"/>
                    <w:right w:val="none" w:sz="0" w:space="0" w:color="auto"/>
                  </w:divBdr>
                  <w:divsChild>
                    <w:div w:id="2019305909">
                      <w:marLeft w:val="150"/>
                      <w:marRight w:val="150"/>
                      <w:marTop w:val="0"/>
                      <w:marBottom w:val="0"/>
                      <w:divBdr>
                        <w:top w:val="none" w:sz="0" w:space="0" w:color="auto"/>
                        <w:left w:val="none" w:sz="0" w:space="0" w:color="auto"/>
                        <w:bottom w:val="none" w:sz="0" w:space="0" w:color="auto"/>
                        <w:right w:val="none" w:sz="0" w:space="0" w:color="auto"/>
                      </w:divBdr>
                      <w:divsChild>
                        <w:div w:id="2138791472">
                          <w:marLeft w:val="0"/>
                          <w:marRight w:val="0"/>
                          <w:marTop w:val="0"/>
                          <w:marBottom w:val="0"/>
                          <w:divBdr>
                            <w:top w:val="none" w:sz="0" w:space="0" w:color="auto"/>
                            <w:left w:val="none" w:sz="0" w:space="0" w:color="auto"/>
                            <w:bottom w:val="none" w:sz="0" w:space="0" w:color="auto"/>
                            <w:right w:val="none" w:sz="0" w:space="0" w:color="auto"/>
                          </w:divBdr>
                          <w:divsChild>
                            <w:div w:id="829095972">
                              <w:marLeft w:val="0"/>
                              <w:marRight w:val="0"/>
                              <w:marTop w:val="0"/>
                              <w:marBottom w:val="240"/>
                              <w:divBdr>
                                <w:top w:val="none" w:sz="0" w:space="0" w:color="auto"/>
                                <w:left w:val="none" w:sz="0" w:space="0" w:color="auto"/>
                                <w:bottom w:val="none" w:sz="0" w:space="0" w:color="auto"/>
                                <w:right w:val="none" w:sz="0" w:space="0" w:color="auto"/>
                              </w:divBdr>
                              <w:divsChild>
                                <w:div w:id="1615089681">
                                  <w:marLeft w:val="0"/>
                                  <w:marRight w:val="0"/>
                                  <w:marTop w:val="0"/>
                                  <w:marBottom w:val="0"/>
                                  <w:divBdr>
                                    <w:top w:val="none" w:sz="0" w:space="0" w:color="auto"/>
                                    <w:left w:val="none" w:sz="0" w:space="0" w:color="auto"/>
                                    <w:bottom w:val="none" w:sz="0" w:space="0" w:color="auto"/>
                                    <w:right w:val="none" w:sz="0" w:space="0" w:color="auto"/>
                                  </w:divBdr>
                                  <w:divsChild>
                                    <w:div w:id="615253572">
                                      <w:marLeft w:val="0"/>
                                      <w:marRight w:val="0"/>
                                      <w:marTop w:val="0"/>
                                      <w:marBottom w:val="0"/>
                                      <w:divBdr>
                                        <w:top w:val="none" w:sz="0" w:space="0" w:color="auto"/>
                                        <w:left w:val="none" w:sz="0" w:space="0" w:color="auto"/>
                                        <w:bottom w:val="none" w:sz="0" w:space="0" w:color="auto"/>
                                        <w:right w:val="none" w:sz="0" w:space="0" w:color="auto"/>
                                      </w:divBdr>
                                      <w:divsChild>
                                        <w:div w:id="1837261638">
                                          <w:marLeft w:val="0"/>
                                          <w:marRight w:val="0"/>
                                          <w:marTop w:val="0"/>
                                          <w:marBottom w:val="0"/>
                                          <w:divBdr>
                                            <w:top w:val="none" w:sz="0" w:space="0" w:color="auto"/>
                                            <w:left w:val="none" w:sz="0" w:space="0" w:color="auto"/>
                                            <w:bottom w:val="none" w:sz="0" w:space="0" w:color="auto"/>
                                            <w:right w:val="none" w:sz="0" w:space="0" w:color="auto"/>
                                          </w:divBdr>
                                          <w:divsChild>
                                            <w:div w:id="817720814">
                                              <w:marLeft w:val="0"/>
                                              <w:marRight w:val="0"/>
                                              <w:marTop w:val="0"/>
                                              <w:marBottom w:val="0"/>
                                              <w:divBdr>
                                                <w:top w:val="none" w:sz="0" w:space="0" w:color="auto"/>
                                                <w:left w:val="none" w:sz="0" w:space="0" w:color="auto"/>
                                                <w:bottom w:val="none" w:sz="0" w:space="0" w:color="auto"/>
                                                <w:right w:val="none" w:sz="0" w:space="0" w:color="auto"/>
                                              </w:divBdr>
                                              <w:divsChild>
                                                <w:div w:id="1457288648">
                                                  <w:marLeft w:val="0"/>
                                                  <w:marRight w:val="0"/>
                                                  <w:marTop w:val="0"/>
                                                  <w:marBottom w:val="0"/>
                                                  <w:divBdr>
                                                    <w:top w:val="none" w:sz="0" w:space="0" w:color="auto"/>
                                                    <w:left w:val="none" w:sz="0" w:space="0" w:color="auto"/>
                                                    <w:bottom w:val="none" w:sz="0" w:space="0" w:color="auto"/>
                                                    <w:right w:val="none" w:sz="0" w:space="0" w:color="auto"/>
                                                  </w:divBdr>
                                                  <w:divsChild>
                                                    <w:div w:id="2005813709">
                                                      <w:marLeft w:val="0"/>
                                                      <w:marRight w:val="0"/>
                                                      <w:marTop w:val="0"/>
                                                      <w:marBottom w:val="0"/>
                                                      <w:divBdr>
                                                        <w:top w:val="none" w:sz="0" w:space="0" w:color="auto"/>
                                                        <w:left w:val="none" w:sz="0" w:space="0" w:color="auto"/>
                                                        <w:bottom w:val="none" w:sz="0" w:space="0" w:color="auto"/>
                                                        <w:right w:val="none" w:sz="0" w:space="0" w:color="auto"/>
                                                      </w:divBdr>
                                                      <w:divsChild>
                                                        <w:div w:id="1845895463">
                                                          <w:marLeft w:val="0"/>
                                                          <w:marRight w:val="0"/>
                                                          <w:marTop w:val="0"/>
                                                          <w:marBottom w:val="0"/>
                                                          <w:divBdr>
                                                            <w:top w:val="none" w:sz="0" w:space="0" w:color="auto"/>
                                                            <w:left w:val="none" w:sz="0" w:space="0" w:color="auto"/>
                                                            <w:bottom w:val="none" w:sz="0" w:space="0" w:color="auto"/>
                                                            <w:right w:val="none" w:sz="0" w:space="0" w:color="auto"/>
                                                          </w:divBdr>
                                                          <w:divsChild>
                                                            <w:div w:id="41736303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74055372">
      <w:bodyDiv w:val="1"/>
      <w:marLeft w:val="0"/>
      <w:marRight w:val="0"/>
      <w:marTop w:val="0"/>
      <w:marBottom w:val="0"/>
      <w:divBdr>
        <w:top w:val="none" w:sz="0" w:space="0" w:color="auto"/>
        <w:left w:val="none" w:sz="0" w:space="0" w:color="auto"/>
        <w:bottom w:val="none" w:sz="0" w:space="0" w:color="auto"/>
        <w:right w:val="none" w:sz="0" w:space="0" w:color="auto"/>
      </w:divBdr>
      <w:divsChild>
        <w:div w:id="7675841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379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507285">
      <w:bodyDiv w:val="1"/>
      <w:marLeft w:val="0"/>
      <w:marRight w:val="0"/>
      <w:marTop w:val="0"/>
      <w:marBottom w:val="0"/>
      <w:divBdr>
        <w:top w:val="none" w:sz="0" w:space="0" w:color="auto"/>
        <w:left w:val="none" w:sz="0" w:space="0" w:color="auto"/>
        <w:bottom w:val="none" w:sz="0" w:space="0" w:color="auto"/>
        <w:right w:val="none" w:sz="0" w:space="0" w:color="auto"/>
      </w:divBdr>
      <w:divsChild>
        <w:div w:id="9200181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3851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629823">
      <w:bodyDiv w:val="1"/>
      <w:marLeft w:val="0"/>
      <w:marRight w:val="0"/>
      <w:marTop w:val="0"/>
      <w:marBottom w:val="0"/>
      <w:divBdr>
        <w:top w:val="none" w:sz="0" w:space="0" w:color="auto"/>
        <w:left w:val="none" w:sz="0" w:space="0" w:color="auto"/>
        <w:bottom w:val="none" w:sz="0" w:space="0" w:color="auto"/>
        <w:right w:val="none" w:sz="0" w:space="0" w:color="auto"/>
      </w:divBdr>
      <w:divsChild>
        <w:div w:id="244608808">
          <w:marLeft w:val="0"/>
          <w:marRight w:val="0"/>
          <w:marTop w:val="0"/>
          <w:marBottom w:val="0"/>
          <w:divBdr>
            <w:top w:val="none" w:sz="0" w:space="0" w:color="auto"/>
            <w:left w:val="none" w:sz="0" w:space="0" w:color="auto"/>
            <w:bottom w:val="none" w:sz="0" w:space="0" w:color="auto"/>
            <w:right w:val="none" w:sz="0" w:space="0" w:color="auto"/>
          </w:divBdr>
          <w:divsChild>
            <w:div w:id="519120986">
              <w:marLeft w:val="0"/>
              <w:marRight w:val="0"/>
              <w:marTop w:val="0"/>
              <w:marBottom w:val="0"/>
              <w:divBdr>
                <w:top w:val="none" w:sz="0" w:space="0" w:color="auto"/>
                <w:left w:val="none" w:sz="0" w:space="0" w:color="auto"/>
                <w:bottom w:val="none" w:sz="0" w:space="0" w:color="auto"/>
                <w:right w:val="none" w:sz="0" w:space="0" w:color="auto"/>
              </w:divBdr>
              <w:divsChild>
                <w:div w:id="85199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594264">
      <w:bodyDiv w:val="1"/>
      <w:marLeft w:val="0"/>
      <w:marRight w:val="0"/>
      <w:marTop w:val="0"/>
      <w:marBottom w:val="0"/>
      <w:divBdr>
        <w:top w:val="none" w:sz="0" w:space="0" w:color="auto"/>
        <w:left w:val="none" w:sz="0" w:space="0" w:color="auto"/>
        <w:bottom w:val="none" w:sz="0" w:space="0" w:color="auto"/>
        <w:right w:val="none" w:sz="0" w:space="0" w:color="auto"/>
      </w:divBdr>
      <w:divsChild>
        <w:div w:id="170413923">
          <w:marLeft w:val="0"/>
          <w:marRight w:val="0"/>
          <w:marTop w:val="0"/>
          <w:marBottom w:val="0"/>
          <w:divBdr>
            <w:top w:val="none" w:sz="0" w:space="0" w:color="auto"/>
            <w:left w:val="none" w:sz="0" w:space="0" w:color="auto"/>
            <w:bottom w:val="none" w:sz="0" w:space="0" w:color="auto"/>
            <w:right w:val="none" w:sz="0" w:space="0" w:color="auto"/>
          </w:divBdr>
        </w:div>
        <w:div w:id="796682984">
          <w:marLeft w:val="0"/>
          <w:marRight w:val="0"/>
          <w:marTop w:val="0"/>
          <w:marBottom w:val="0"/>
          <w:divBdr>
            <w:top w:val="none" w:sz="0" w:space="0" w:color="auto"/>
            <w:left w:val="none" w:sz="0" w:space="0" w:color="auto"/>
            <w:bottom w:val="none" w:sz="0" w:space="0" w:color="auto"/>
            <w:right w:val="none" w:sz="0" w:space="0" w:color="auto"/>
          </w:divBdr>
        </w:div>
        <w:div w:id="940144509">
          <w:marLeft w:val="0"/>
          <w:marRight w:val="0"/>
          <w:marTop w:val="0"/>
          <w:marBottom w:val="0"/>
          <w:divBdr>
            <w:top w:val="none" w:sz="0" w:space="0" w:color="auto"/>
            <w:left w:val="none" w:sz="0" w:space="0" w:color="auto"/>
            <w:bottom w:val="none" w:sz="0" w:space="0" w:color="auto"/>
            <w:right w:val="none" w:sz="0" w:space="0" w:color="auto"/>
          </w:divBdr>
        </w:div>
        <w:div w:id="975455438">
          <w:marLeft w:val="0"/>
          <w:marRight w:val="0"/>
          <w:marTop w:val="0"/>
          <w:marBottom w:val="0"/>
          <w:divBdr>
            <w:top w:val="none" w:sz="0" w:space="0" w:color="auto"/>
            <w:left w:val="none" w:sz="0" w:space="0" w:color="auto"/>
            <w:bottom w:val="none" w:sz="0" w:space="0" w:color="auto"/>
            <w:right w:val="none" w:sz="0" w:space="0" w:color="auto"/>
          </w:divBdr>
        </w:div>
        <w:div w:id="1040397013">
          <w:marLeft w:val="0"/>
          <w:marRight w:val="0"/>
          <w:marTop w:val="0"/>
          <w:marBottom w:val="0"/>
          <w:divBdr>
            <w:top w:val="none" w:sz="0" w:space="0" w:color="auto"/>
            <w:left w:val="none" w:sz="0" w:space="0" w:color="auto"/>
            <w:bottom w:val="none" w:sz="0" w:space="0" w:color="auto"/>
            <w:right w:val="none" w:sz="0" w:space="0" w:color="auto"/>
          </w:divBdr>
        </w:div>
      </w:divsChild>
    </w:div>
    <w:div w:id="1784962109">
      <w:bodyDiv w:val="1"/>
      <w:marLeft w:val="0"/>
      <w:marRight w:val="0"/>
      <w:marTop w:val="0"/>
      <w:marBottom w:val="0"/>
      <w:divBdr>
        <w:top w:val="none" w:sz="0" w:space="0" w:color="auto"/>
        <w:left w:val="none" w:sz="0" w:space="0" w:color="auto"/>
        <w:bottom w:val="none" w:sz="0" w:space="0" w:color="auto"/>
        <w:right w:val="none" w:sz="0" w:space="0" w:color="auto"/>
      </w:divBdr>
      <w:divsChild>
        <w:div w:id="278343119">
          <w:marLeft w:val="0"/>
          <w:marRight w:val="0"/>
          <w:marTop w:val="0"/>
          <w:marBottom w:val="0"/>
          <w:divBdr>
            <w:top w:val="none" w:sz="0" w:space="0" w:color="auto"/>
            <w:left w:val="none" w:sz="0" w:space="0" w:color="auto"/>
            <w:bottom w:val="none" w:sz="0" w:space="0" w:color="auto"/>
            <w:right w:val="none" w:sz="0" w:space="0" w:color="auto"/>
          </w:divBdr>
          <w:divsChild>
            <w:div w:id="214975139">
              <w:marLeft w:val="0"/>
              <w:marRight w:val="0"/>
              <w:marTop w:val="100"/>
              <w:marBottom w:val="100"/>
              <w:divBdr>
                <w:top w:val="none" w:sz="0" w:space="0" w:color="auto"/>
                <w:left w:val="none" w:sz="0" w:space="0" w:color="auto"/>
                <w:bottom w:val="none" w:sz="0" w:space="0" w:color="auto"/>
                <w:right w:val="none" w:sz="0" w:space="0" w:color="auto"/>
              </w:divBdr>
              <w:divsChild>
                <w:div w:id="794367475">
                  <w:marLeft w:val="0"/>
                  <w:marRight w:val="0"/>
                  <w:marTop w:val="0"/>
                  <w:marBottom w:val="0"/>
                  <w:divBdr>
                    <w:top w:val="none" w:sz="0" w:space="0" w:color="auto"/>
                    <w:left w:val="none" w:sz="0" w:space="0" w:color="auto"/>
                    <w:bottom w:val="none" w:sz="0" w:space="0" w:color="auto"/>
                    <w:right w:val="none" w:sz="0" w:space="0" w:color="auto"/>
                  </w:divBdr>
                  <w:divsChild>
                    <w:div w:id="269633549">
                      <w:marLeft w:val="0"/>
                      <w:marRight w:val="0"/>
                      <w:marTop w:val="0"/>
                      <w:marBottom w:val="450"/>
                      <w:divBdr>
                        <w:top w:val="none" w:sz="0" w:space="0" w:color="auto"/>
                        <w:left w:val="none" w:sz="0" w:space="0" w:color="auto"/>
                        <w:bottom w:val="none" w:sz="0" w:space="0" w:color="auto"/>
                        <w:right w:val="none" w:sz="0" w:space="0" w:color="auto"/>
                      </w:divBdr>
                      <w:divsChild>
                        <w:div w:id="206571711">
                          <w:marLeft w:val="0"/>
                          <w:marRight w:val="0"/>
                          <w:marTop w:val="0"/>
                          <w:marBottom w:val="0"/>
                          <w:divBdr>
                            <w:top w:val="none" w:sz="0" w:space="0" w:color="auto"/>
                            <w:left w:val="none" w:sz="0" w:space="0" w:color="auto"/>
                            <w:bottom w:val="none" w:sz="0" w:space="0" w:color="auto"/>
                            <w:right w:val="none" w:sz="0" w:space="0" w:color="auto"/>
                          </w:divBdr>
                          <w:divsChild>
                            <w:div w:id="190371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7468581">
      <w:bodyDiv w:val="1"/>
      <w:marLeft w:val="0"/>
      <w:marRight w:val="0"/>
      <w:marTop w:val="0"/>
      <w:marBottom w:val="0"/>
      <w:divBdr>
        <w:top w:val="none" w:sz="0" w:space="0" w:color="auto"/>
        <w:left w:val="none" w:sz="0" w:space="0" w:color="auto"/>
        <w:bottom w:val="none" w:sz="0" w:space="0" w:color="auto"/>
        <w:right w:val="none" w:sz="0" w:space="0" w:color="auto"/>
      </w:divBdr>
      <w:divsChild>
        <w:div w:id="1025013071">
          <w:marLeft w:val="0"/>
          <w:marRight w:val="0"/>
          <w:marTop w:val="0"/>
          <w:marBottom w:val="0"/>
          <w:divBdr>
            <w:top w:val="none" w:sz="0" w:space="0" w:color="auto"/>
            <w:left w:val="none" w:sz="0" w:space="0" w:color="auto"/>
            <w:bottom w:val="none" w:sz="0" w:space="0" w:color="auto"/>
            <w:right w:val="none" w:sz="0" w:space="0" w:color="auto"/>
          </w:divBdr>
          <w:divsChild>
            <w:div w:id="308678685">
              <w:marLeft w:val="0"/>
              <w:marRight w:val="0"/>
              <w:marTop w:val="0"/>
              <w:marBottom w:val="0"/>
              <w:divBdr>
                <w:top w:val="none" w:sz="0" w:space="0" w:color="auto"/>
                <w:left w:val="none" w:sz="0" w:space="0" w:color="auto"/>
                <w:bottom w:val="none" w:sz="0" w:space="0" w:color="auto"/>
                <w:right w:val="none" w:sz="0" w:space="0" w:color="auto"/>
              </w:divBdr>
              <w:divsChild>
                <w:div w:id="1979610077">
                  <w:marLeft w:val="0"/>
                  <w:marRight w:val="0"/>
                  <w:marTop w:val="0"/>
                  <w:marBottom w:val="0"/>
                  <w:divBdr>
                    <w:top w:val="none" w:sz="0" w:space="0" w:color="auto"/>
                    <w:left w:val="none" w:sz="0" w:space="0" w:color="auto"/>
                    <w:bottom w:val="none" w:sz="0" w:space="0" w:color="auto"/>
                    <w:right w:val="none" w:sz="0" w:space="0" w:color="auto"/>
                  </w:divBdr>
                  <w:divsChild>
                    <w:div w:id="1481507296">
                      <w:marLeft w:val="0"/>
                      <w:marRight w:val="0"/>
                      <w:marTop w:val="0"/>
                      <w:marBottom w:val="0"/>
                      <w:divBdr>
                        <w:top w:val="none" w:sz="0" w:space="0" w:color="auto"/>
                        <w:left w:val="none" w:sz="0" w:space="0" w:color="auto"/>
                        <w:bottom w:val="none" w:sz="0" w:space="0" w:color="auto"/>
                        <w:right w:val="none" w:sz="0" w:space="0" w:color="auto"/>
                      </w:divBdr>
                      <w:divsChild>
                        <w:div w:id="382288236">
                          <w:marLeft w:val="0"/>
                          <w:marRight w:val="0"/>
                          <w:marTop w:val="0"/>
                          <w:marBottom w:val="0"/>
                          <w:divBdr>
                            <w:top w:val="none" w:sz="0" w:space="0" w:color="auto"/>
                            <w:left w:val="none" w:sz="0" w:space="0" w:color="auto"/>
                            <w:bottom w:val="none" w:sz="0" w:space="0" w:color="auto"/>
                            <w:right w:val="none" w:sz="0" w:space="0" w:color="auto"/>
                          </w:divBdr>
                          <w:divsChild>
                            <w:div w:id="1924221090">
                              <w:marLeft w:val="0"/>
                              <w:marRight w:val="240"/>
                              <w:marTop w:val="0"/>
                              <w:marBottom w:val="0"/>
                              <w:divBdr>
                                <w:top w:val="none" w:sz="0" w:space="0" w:color="auto"/>
                                <w:left w:val="none" w:sz="0" w:space="0" w:color="auto"/>
                                <w:bottom w:val="none" w:sz="0" w:space="0" w:color="auto"/>
                                <w:right w:val="none" w:sz="0" w:space="0" w:color="auto"/>
                              </w:divBdr>
                              <w:divsChild>
                                <w:div w:id="49237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7794157">
      <w:bodyDiv w:val="1"/>
      <w:marLeft w:val="0"/>
      <w:marRight w:val="0"/>
      <w:marTop w:val="0"/>
      <w:marBottom w:val="0"/>
      <w:divBdr>
        <w:top w:val="none" w:sz="0" w:space="0" w:color="auto"/>
        <w:left w:val="none" w:sz="0" w:space="0" w:color="auto"/>
        <w:bottom w:val="none" w:sz="0" w:space="0" w:color="auto"/>
        <w:right w:val="none" w:sz="0" w:space="0" w:color="auto"/>
      </w:divBdr>
    </w:div>
    <w:div w:id="2124180394">
      <w:bodyDiv w:val="1"/>
      <w:marLeft w:val="0"/>
      <w:marRight w:val="0"/>
      <w:marTop w:val="0"/>
      <w:marBottom w:val="0"/>
      <w:divBdr>
        <w:top w:val="none" w:sz="0" w:space="0" w:color="auto"/>
        <w:left w:val="none" w:sz="0" w:space="0" w:color="auto"/>
        <w:bottom w:val="none" w:sz="0" w:space="0" w:color="auto"/>
        <w:right w:val="none" w:sz="0" w:space="0" w:color="auto"/>
      </w:divBdr>
      <w:divsChild>
        <w:div w:id="220949608">
          <w:marLeft w:val="0"/>
          <w:marRight w:val="0"/>
          <w:marTop w:val="0"/>
          <w:marBottom w:val="0"/>
          <w:divBdr>
            <w:top w:val="none" w:sz="0" w:space="0" w:color="auto"/>
            <w:left w:val="none" w:sz="0" w:space="0" w:color="auto"/>
            <w:bottom w:val="none" w:sz="0" w:space="0" w:color="auto"/>
            <w:right w:val="none" w:sz="0" w:space="0" w:color="auto"/>
          </w:divBdr>
          <w:divsChild>
            <w:div w:id="646472408">
              <w:marLeft w:val="0"/>
              <w:marRight w:val="0"/>
              <w:marTop w:val="0"/>
              <w:marBottom w:val="0"/>
              <w:divBdr>
                <w:top w:val="none" w:sz="0" w:space="0" w:color="auto"/>
                <w:left w:val="none" w:sz="0" w:space="0" w:color="auto"/>
                <w:bottom w:val="none" w:sz="0" w:space="0" w:color="auto"/>
                <w:right w:val="none" w:sz="0" w:space="0" w:color="auto"/>
              </w:divBdr>
              <w:divsChild>
                <w:div w:id="139994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59.xml"/><Relationship Id="rId299" Type="http://schemas.openxmlformats.org/officeDocument/2006/relationships/footer" Target="footer55.xml"/><Relationship Id="rId303" Type="http://schemas.openxmlformats.org/officeDocument/2006/relationships/footer" Target="footer56.xml"/><Relationship Id="rId21" Type="http://schemas.openxmlformats.org/officeDocument/2006/relationships/header" Target="header6.xml"/><Relationship Id="rId42" Type="http://schemas.openxmlformats.org/officeDocument/2006/relationships/header" Target="header18.xml"/><Relationship Id="rId63" Type="http://schemas.openxmlformats.org/officeDocument/2006/relationships/header" Target="header26.xml"/><Relationship Id="rId84" Type="http://schemas.openxmlformats.org/officeDocument/2006/relationships/header" Target="header39.xml"/><Relationship Id="rId138" Type="http://schemas.openxmlformats.org/officeDocument/2006/relationships/header" Target="header71.xml"/><Relationship Id="rId159" Type="http://schemas.openxmlformats.org/officeDocument/2006/relationships/footer" Target="footer29.xml"/><Relationship Id="rId324" Type="http://schemas.openxmlformats.org/officeDocument/2006/relationships/hyperlink" Target="https://www.border.gov.au/AustralianBorderForce/Documents/Bass%20Strait%20Area%20to%20be%20Avoided%20Industry%20information%20sheet.pdf" TargetMode="External"/><Relationship Id="rId345" Type="http://schemas.openxmlformats.org/officeDocument/2006/relationships/theme" Target="theme/theme1.xml"/><Relationship Id="rId170" Type="http://schemas.openxmlformats.org/officeDocument/2006/relationships/image" Target="media/image46.png"/><Relationship Id="rId191" Type="http://schemas.openxmlformats.org/officeDocument/2006/relationships/header" Target="header97.xml"/><Relationship Id="rId205" Type="http://schemas.openxmlformats.org/officeDocument/2006/relationships/image" Target="media/image57.png"/><Relationship Id="rId226" Type="http://schemas.openxmlformats.org/officeDocument/2006/relationships/header" Target="header112.xml"/><Relationship Id="rId247" Type="http://schemas.openxmlformats.org/officeDocument/2006/relationships/image" Target="media/image71.png"/><Relationship Id="rId107" Type="http://schemas.openxmlformats.org/officeDocument/2006/relationships/header" Target="header52.xml"/><Relationship Id="rId268" Type="http://schemas.openxmlformats.org/officeDocument/2006/relationships/image" Target="media/image77.png"/><Relationship Id="rId289" Type="http://schemas.openxmlformats.org/officeDocument/2006/relationships/header" Target="header139.xml"/><Relationship Id="rId11" Type="http://schemas.openxmlformats.org/officeDocument/2006/relationships/footer" Target="footer2.xml"/><Relationship Id="rId32" Type="http://schemas.openxmlformats.org/officeDocument/2006/relationships/footer" Target="footer7.xml"/><Relationship Id="rId53" Type="http://schemas.openxmlformats.org/officeDocument/2006/relationships/footer" Target="footer11.xml"/><Relationship Id="rId74" Type="http://schemas.openxmlformats.org/officeDocument/2006/relationships/header" Target="header33.xml"/><Relationship Id="rId128" Type="http://schemas.openxmlformats.org/officeDocument/2006/relationships/header" Target="header65.xml"/><Relationship Id="rId149" Type="http://schemas.openxmlformats.org/officeDocument/2006/relationships/hyperlink" Target="https://en.wikipedia.org/wiki/Society" TargetMode="External"/><Relationship Id="rId314" Type="http://schemas.openxmlformats.org/officeDocument/2006/relationships/hyperlink" Target="http://www.abc.net.au/science/articles/2000/11/06/207775.htm" TargetMode="External"/><Relationship Id="rId335" Type="http://schemas.openxmlformats.org/officeDocument/2006/relationships/hyperlink" Target="http://www.nntt.gov.au/searchRegApps/NativeTitleRegisters/Pages/Search-Register-of-Native-Title-Claims.aspx" TargetMode="External"/><Relationship Id="rId5" Type="http://schemas.openxmlformats.org/officeDocument/2006/relationships/webSettings" Target="webSettings.xml"/><Relationship Id="rId95" Type="http://schemas.openxmlformats.org/officeDocument/2006/relationships/header" Target="header46.xml"/><Relationship Id="rId160" Type="http://schemas.openxmlformats.org/officeDocument/2006/relationships/header" Target="header81.xml"/><Relationship Id="rId181" Type="http://schemas.openxmlformats.org/officeDocument/2006/relationships/header" Target="header91.xml"/><Relationship Id="rId216" Type="http://schemas.openxmlformats.org/officeDocument/2006/relationships/image" Target="media/image62.png"/><Relationship Id="rId237" Type="http://schemas.openxmlformats.org/officeDocument/2006/relationships/footer" Target="footer43.xml"/><Relationship Id="rId258" Type="http://schemas.openxmlformats.org/officeDocument/2006/relationships/header" Target="header129.xml"/><Relationship Id="rId279" Type="http://schemas.openxmlformats.org/officeDocument/2006/relationships/hyperlink" Target="file:///C:\Users\vic83nm\AppData\Local\Temp\notesDE77C3\~web4724.htm" TargetMode="External"/><Relationship Id="rId22" Type="http://schemas.openxmlformats.org/officeDocument/2006/relationships/image" Target="media/image8.png"/><Relationship Id="rId43" Type="http://schemas.openxmlformats.org/officeDocument/2006/relationships/image" Target="media/image12.png"/><Relationship Id="rId64" Type="http://schemas.openxmlformats.org/officeDocument/2006/relationships/footer" Target="footer12.xml"/><Relationship Id="rId118" Type="http://schemas.openxmlformats.org/officeDocument/2006/relationships/footer" Target="footer22.xml"/><Relationship Id="rId139" Type="http://schemas.openxmlformats.org/officeDocument/2006/relationships/footer" Target="footer26.xml"/><Relationship Id="rId290" Type="http://schemas.openxmlformats.org/officeDocument/2006/relationships/footer" Target="footer53.xml"/><Relationship Id="rId304" Type="http://schemas.openxmlformats.org/officeDocument/2006/relationships/header" Target="header149.xml"/><Relationship Id="rId325" Type="http://schemas.openxmlformats.org/officeDocument/2006/relationships/hyperlink" Target="http://www.environment.gov.au/epbc/publications/significant-impact-guidelines-11-matters-national-environmental-significance" TargetMode="External"/><Relationship Id="rId85" Type="http://schemas.openxmlformats.org/officeDocument/2006/relationships/image" Target="media/image26.png"/><Relationship Id="rId150" Type="http://schemas.openxmlformats.org/officeDocument/2006/relationships/hyperlink" Target="https://en.wikipedia.org/wiki/Cultural_property" TargetMode="External"/><Relationship Id="rId171" Type="http://schemas.openxmlformats.org/officeDocument/2006/relationships/image" Target="media/image47.png"/><Relationship Id="rId192" Type="http://schemas.openxmlformats.org/officeDocument/2006/relationships/header" Target="header98.xml"/><Relationship Id="rId206" Type="http://schemas.openxmlformats.org/officeDocument/2006/relationships/image" Target="media/image58.png"/><Relationship Id="rId227" Type="http://schemas.openxmlformats.org/officeDocument/2006/relationships/footer" Target="footer41.xml"/><Relationship Id="rId248" Type="http://schemas.openxmlformats.org/officeDocument/2006/relationships/image" Target="media/image72.png"/><Relationship Id="rId269" Type="http://schemas.openxmlformats.org/officeDocument/2006/relationships/header" Target="header135.xml"/><Relationship Id="rId12" Type="http://schemas.openxmlformats.org/officeDocument/2006/relationships/header" Target="header3.xml"/><Relationship Id="rId33" Type="http://schemas.openxmlformats.org/officeDocument/2006/relationships/header" Target="header12.xml"/><Relationship Id="rId108" Type="http://schemas.openxmlformats.org/officeDocument/2006/relationships/header" Target="header53.xml"/><Relationship Id="rId129" Type="http://schemas.openxmlformats.org/officeDocument/2006/relationships/footer" Target="footer24.xml"/><Relationship Id="rId280" Type="http://schemas.openxmlformats.org/officeDocument/2006/relationships/hyperlink" Target="file:///C:\Users\vic83nm\AppData\Local\Temp\notesDE77C3\~web4724.htm" TargetMode="External"/><Relationship Id="rId315" Type="http://schemas.openxmlformats.org/officeDocument/2006/relationships/hyperlink" Target="https://www.amsa.gov.au/navigation/shipping-management/offshore-activities/documents/guidance-to-offshore-industry-oscp.pdf" TargetMode="External"/><Relationship Id="rId336" Type="http://schemas.openxmlformats.org/officeDocument/2006/relationships/hyperlink" Target="http://www.environment.gov.au/water/topics/wetlands/database/pubs/21-ris.pdf" TargetMode="External"/><Relationship Id="rId54" Type="http://schemas.openxmlformats.org/officeDocument/2006/relationships/header" Target="header24.xml"/><Relationship Id="rId75" Type="http://schemas.openxmlformats.org/officeDocument/2006/relationships/image" Target="media/image24.png"/><Relationship Id="rId96" Type="http://schemas.openxmlformats.org/officeDocument/2006/relationships/header" Target="header47.xml"/><Relationship Id="rId140" Type="http://schemas.openxmlformats.org/officeDocument/2006/relationships/header" Target="header72.xml"/><Relationship Id="rId161" Type="http://schemas.openxmlformats.org/officeDocument/2006/relationships/header" Target="header82.xml"/><Relationship Id="rId182" Type="http://schemas.openxmlformats.org/officeDocument/2006/relationships/header" Target="header92.xml"/><Relationship Id="rId217" Type="http://schemas.openxmlformats.org/officeDocument/2006/relationships/image" Target="media/image63.png"/><Relationship Id="rId6" Type="http://schemas.openxmlformats.org/officeDocument/2006/relationships/footnotes" Target="footnotes.xml"/><Relationship Id="rId238" Type="http://schemas.openxmlformats.org/officeDocument/2006/relationships/header" Target="header119.xml"/><Relationship Id="rId259" Type="http://schemas.openxmlformats.org/officeDocument/2006/relationships/footer" Target="footer49.xml"/><Relationship Id="rId23" Type="http://schemas.openxmlformats.org/officeDocument/2006/relationships/image" Target="media/image9.jpeg"/><Relationship Id="rId119" Type="http://schemas.openxmlformats.org/officeDocument/2006/relationships/header" Target="header60.xml"/><Relationship Id="rId270" Type="http://schemas.openxmlformats.org/officeDocument/2006/relationships/header" Target="header136.xml"/><Relationship Id="rId291" Type="http://schemas.openxmlformats.org/officeDocument/2006/relationships/header" Target="header140.xml"/><Relationship Id="rId305" Type="http://schemas.openxmlformats.org/officeDocument/2006/relationships/image" Target="media/image86.png"/><Relationship Id="rId326" Type="http://schemas.openxmlformats.org/officeDocument/2006/relationships/hyperlink" Target="http://www.environment.gov.au/topics/heritage/heritage-places/commonwealth-heritage-list" TargetMode="External"/><Relationship Id="rId44" Type="http://schemas.openxmlformats.org/officeDocument/2006/relationships/image" Target="media/image13.png"/><Relationship Id="rId65" Type="http://schemas.openxmlformats.org/officeDocument/2006/relationships/header" Target="header27.xml"/><Relationship Id="rId86" Type="http://schemas.openxmlformats.org/officeDocument/2006/relationships/header" Target="header40.xml"/><Relationship Id="rId130" Type="http://schemas.openxmlformats.org/officeDocument/2006/relationships/header" Target="header66.xml"/><Relationship Id="rId151" Type="http://schemas.openxmlformats.org/officeDocument/2006/relationships/header" Target="header76.xml"/><Relationship Id="rId172" Type="http://schemas.openxmlformats.org/officeDocument/2006/relationships/image" Target="media/image48.png"/><Relationship Id="rId193" Type="http://schemas.openxmlformats.org/officeDocument/2006/relationships/footer" Target="footer35.xml"/><Relationship Id="rId207" Type="http://schemas.openxmlformats.org/officeDocument/2006/relationships/header" Target="header106.xml"/><Relationship Id="rId228" Type="http://schemas.openxmlformats.org/officeDocument/2006/relationships/header" Target="header113.xml"/><Relationship Id="rId249" Type="http://schemas.openxmlformats.org/officeDocument/2006/relationships/image" Target="media/image73.png"/><Relationship Id="rId13" Type="http://schemas.openxmlformats.org/officeDocument/2006/relationships/footer" Target="footer3.xml"/><Relationship Id="rId109" Type="http://schemas.openxmlformats.org/officeDocument/2006/relationships/footer" Target="footer20.xml"/><Relationship Id="rId260" Type="http://schemas.openxmlformats.org/officeDocument/2006/relationships/header" Target="header130.xml"/><Relationship Id="rId281" Type="http://schemas.openxmlformats.org/officeDocument/2006/relationships/hyperlink" Target="file:///C:\Users\vic83nm\AppData\Local\Temp\notesDE77C3\~web4724.htm" TargetMode="External"/><Relationship Id="rId316" Type="http://schemas.openxmlformats.org/officeDocument/2006/relationships/hyperlink" Target="http://www.appea.com.au/wp-content/uploads/2016/06/Key-Stats_2016.pdf" TargetMode="External"/><Relationship Id="rId337" Type="http://schemas.openxmlformats.org/officeDocument/2006/relationships/hyperlink" Target="https://wedocs.unep.org/rest/bitstreams/13599/retrieve" TargetMode="External"/><Relationship Id="rId34" Type="http://schemas.openxmlformats.org/officeDocument/2006/relationships/header" Target="header13.xml"/><Relationship Id="rId55" Type="http://schemas.openxmlformats.org/officeDocument/2006/relationships/image" Target="media/image16.jpeg"/><Relationship Id="rId76" Type="http://schemas.openxmlformats.org/officeDocument/2006/relationships/header" Target="header34.xml"/><Relationship Id="rId97" Type="http://schemas.openxmlformats.org/officeDocument/2006/relationships/header" Target="header48.xml"/><Relationship Id="rId120" Type="http://schemas.openxmlformats.org/officeDocument/2006/relationships/image" Target="media/image34.png"/><Relationship Id="rId141" Type="http://schemas.openxmlformats.org/officeDocument/2006/relationships/image" Target="media/image39.png"/><Relationship Id="rId7" Type="http://schemas.openxmlformats.org/officeDocument/2006/relationships/endnotes" Target="endnotes.xml"/><Relationship Id="rId162" Type="http://schemas.openxmlformats.org/officeDocument/2006/relationships/header" Target="header83.xml"/><Relationship Id="rId183" Type="http://schemas.openxmlformats.org/officeDocument/2006/relationships/footer" Target="footer33.xml"/><Relationship Id="rId218" Type="http://schemas.openxmlformats.org/officeDocument/2006/relationships/image" Target="media/image64.png"/><Relationship Id="rId239" Type="http://schemas.openxmlformats.org/officeDocument/2006/relationships/header" Target="header120.xml"/><Relationship Id="rId250" Type="http://schemas.openxmlformats.org/officeDocument/2006/relationships/image" Target="media/image74.png"/><Relationship Id="rId271" Type="http://schemas.openxmlformats.org/officeDocument/2006/relationships/footer" Target="footer52.xml"/><Relationship Id="rId292" Type="http://schemas.openxmlformats.org/officeDocument/2006/relationships/header" Target="header141.xml"/><Relationship Id="rId306" Type="http://schemas.openxmlformats.org/officeDocument/2006/relationships/image" Target="media/image87.png"/><Relationship Id="rId24" Type="http://schemas.openxmlformats.org/officeDocument/2006/relationships/image" Target="media/image10.png"/><Relationship Id="rId45" Type="http://schemas.openxmlformats.org/officeDocument/2006/relationships/image" Target="media/image14.jpeg"/><Relationship Id="rId66" Type="http://schemas.openxmlformats.org/officeDocument/2006/relationships/image" Target="media/image23.png"/><Relationship Id="rId87" Type="http://schemas.openxmlformats.org/officeDocument/2006/relationships/header" Target="header41.xml"/><Relationship Id="rId110" Type="http://schemas.openxmlformats.org/officeDocument/2006/relationships/header" Target="header54.xml"/><Relationship Id="rId131" Type="http://schemas.openxmlformats.org/officeDocument/2006/relationships/image" Target="media/image37.png"/><Relationship Id="rId327" Type="http://schemas.openxmlformats.org/officeDocument/2006/relationships/hyperlink" Target="https://www.environment.gov.au/sprat-public/action/kef/search" TargetMode="External"/><Relationship Id="rId152" Type="http://schemas.openxmlformats.org/officeDocument/2006/relationships/header" Target="header77.xml"/><Relationship Id="rId173" Type="http://schemas.openxmlformats.org/officeDocument/2006/relationships/image" Target="media/image49.png"/><Relationship Id="rId194" Type="http://schemas.openxmlformats.org/officeDocument/2006/relationships/header" Target="header99.xml"/><Relationship Id="rId208" Type="http://schemas.openxmlformats.org/officeDocument/2006/relationships/header" Target="header107.xml"/><Relationship Id="rId229" Type="http://schemas.openxmlformats.org/officeDocument/2006/relationships/header" Target="header114.xml"/><Relationship Id="rId240" Type="http://schemas.openxmlformats.org/officeDocument/2006/relationships/header" Target="header121.xml"/><Relationship Id="rId261" Type="http://schemas.openxmlformats.org/officeDocument/2006/relationships/image" Target="media/image76.png"/><Relationship Id="rId14" Type="http://schemas.openxmlformats.org/officeDocument/2006/relationships/image" Target="media/image4.png"/><Relationship Id="rId35" Type="http://schemas.openxmlformats.org/officeDocument/2006/relationships/header" Target="header14.xml"/><Relationship Id="rId56" Type="http://schemas.openxmlformats.org/officeDocument/2006/relationships/image" Target="media/image17.jpeg"/><Relationship Id="rId77" Type="http://schemas.openxmlformats.org/officeDocument/2006/relationships/header" Target="header35.xml"/><Relationship Id="rId100" Type="http://schemas.openxmlformats.org/officeDocument/2006/relationships/footer" Target="footer19.xml"/><Relationship Id="rId282" Type="http://schemas.openxmlformats.org/officeDocument/2006/relationships/hyperlink" Target="file:///C:\Users\vic83nm\AppData\Local\Temp\notesDE77C3\~web4724.htm" TargetMode="External"/><Relationship Id="rId317" Type="http://schemas.openxmlformats.org/officeDocument/2006/relationships/hyperlink" Target="http://birdlife.org.au/" TargetMode="External"/><Relationship Id="rId338" Type="http://schemas.openxmlformats.org/officeDocument/2006/relationships/hyperlink" Target="http://www.wellington.vic.gov.au/Developing-Wellington/Planning-Projects/Ninety-Mile-Beach-Plan" TargetMode="External"/><Relationship Id="rId8" Type="http://schemas.openxmlformats.org/officeDocument/2006/relationships/header" Target="header1.xml"/><Relationship Id="rId98" Type="http://schemas.openxmlformats.org/officeDocument/2006/relationships/header" Target="header49.xml"/><Relationship Id="rId121" Type="http://schemas.openxmlformats.org/officeDocument/2006/relationships/header" Target="header61.xml"/><Relationship Id="rId142" Type="http://schemas.openxmlformats.org/officeDocument/2006/relationships/header" Target="header73.xml"/><Relationship Id="rId163" Type="http://schemas.openxmlformats.org/officeDocument/2006/relationships/footer" Target="footer30.xml"/><Relationship Id="rId184" Type="http://schemas.openxmlformats.org/officeDocument/2006/relationships/header" Target="header93.xml"/><Relationship Id="rId219" Type="http://schemas.openxmlformats.org/officeDocument/2006/relationships/image" Target="media/image65.png"/><Relationship Id="rId230" Type="http://schemas.openxmlformats.org/officeDocument/2006/relationships/header" Target="header115.xml"/><Relationship Id="rId251" Type="http://schemas.openxmlformats.org/officeDocument/2006/relationships/header" Target="header126.xml"/><Relationship Id="rId25" Type="http://schemas.openxmlformats.org/officeDocument/2006/relationships/header" Target="header7.xml"/><Relationship Id="rId46" Type="http://schemas.openxmlformats.org/officeDocument/2006/relationships/header" Target="header19.xml"/><Relationship Id="rId67" Type="http://schemas.openxmlformats.org/officeDocument/2006/relationships/header" Target="header28.xml"/><Relationship Id="rId116" Type="http://schemas.openxmlformats.org/officeDocument/2006/relationships/header" Target="header58.xml"/><Relationship Id="rId137" Type="http://schemas.openxmlformats.org/officeDocument/2006/relationships/header" Target="header70.xml"/><Relationship Id="rId158" Type="http://schemas.openxmlformats.org/officeDocument/2006/relationships/header" Target="header80.xml"/><Relationship Id="rId272" Type="http://schemas.openxmlformats.org/officeDocument/2006/relationships/header" Target="header137.xml"/><Relationship Id="rId293" Type="http://schemas.openxmlformats.org/officeDocument/2006/relationships/header" Target="header142.xml"/><Relationship Id="rId302" Type="http://schemas.openxmlformats.org/officeDocument/2006/relationships/header" Target="header148.xml"/><Relationship Id="rId307" Type="http://schemas.openxmlformats.org/officeDocument/2006/relationships/image" Target="media/image88.png"/><Relationship Id="rId323" Type="http://schemas.openxmlformats.org/officeDocument/2006/relationships/hyperlink" Target="https://vba.dse.vic.gov.au/vba/" TargetMode="External"/><Relationship Id="rId328" Type="http://schemas.openxmlformats.org/officeDocument/2006/relationships/hyperlink" Target="http://www.environment.gov.au/marine/marine-species/bias" TargetMode="External"/><Relationship Id="rId344" Type="http://schemas.openxmlformats.org/officeDocument/2006/relationships/fontTable" Target="fontTable.xml"/><Relationship Id="rId20" Type="http://schemas.openxmlformats.org/officeDocument/2006/relationships/footer" Target="footer4.xml"/><Relationship Id="rId41" Type="http://schemas.openxmlformats.org/officeDocument/2006/relationships/footer" Target="footer9.xml"/><Relationship Id="rId62" Type="http://schemas.openxmlformats.org/officeDocument/2006/relationships/header" Target="header25.xml"/><Relationship Id="rId83" Type="http://schemas.openxmlformats.org/officeDocument/2006/relationships/footer" Target="footer16.xml"/><Relationship Id="rId88" Type="http://schemas.openxmlformats.org/officeDocument/2006/relationships/footer" Target="footer17.xml"/><Relationship Id="rId111" Type="http://schemas.openxmlformats.org/officeDocument/2006/relationships/image" Target="media/image33.png"/><Relationship Id="rId132" Type="http://schemas.openxmlformats.org/officeDocument/2006/relationships/header" Target="header67.xml"/><Relationship Id="rId153" Type="http://schemas.openxmlformats.org/officeDocument/2006/relationships/footer" Target="footer28.xml"/><Relationship Id="rId174" Type="http://schemas.openxmlformats.org/officeDocument/2006/relationships/header" Target="header88.xml"/><Relationship Id="rId179" Type="http://schemas.openxmlformats.org/officeDocument/2006/relationships/image" Target="media/image51.png"/><Relationship Id="rId195" Type="http://schemas.openxmlformats.org/officeDocument/2006/relationships/header" Target="header100.xml"/><Relationship Id="rId209" Type="http://schemas.openxmlformats.org/officeDocument/2006/relationships/footer" Target="footer38.xml"/><Relationship Id="rId190" Type="http://schemas.openxmlformats.org/officeDocument/2006/relationships/image" Target="media/image54.png"/><Relationship Id="rId204" Type="http://schemas.openxmlformats.org/officeDocument/2006/relationships/image" Target="media/image56.png"/><Relationship Id="rId220" Type="http://schemas.openxmlformats.org/officeDocument/2006/relationships/image" Target="media/image66.jpeg"/><Relationship Id="rId225" Type="http://schemas.openxmlformats.org/officeDocument/2006/relationships/header" Target="header111.xml"/><Relationship Id="rId241" Type="http://schemas.openxmlformats.org/officeDocument/2006/relationships/footer" Target="footer44.xml"/><Relationship Id="rId246" Type="http://schemas.openxmlformats.org/officeDocument/2006/relationships/header" Target="header125.xml"/><Relationship Id="rId267" Type="http://schemas.openxmlformats.org/officeDocument/2006/relationships/footer" Target="footer51.xml"/><Relationship Id="rId288" Type="http://schemas.openxmlformats.org/officeDocument/2006/relationships/header" Target="header138.xml"/><Relationship Id="rId15" Type="http://schemas.openxmlformats.org/officeDocument/2006/relationships/image" Target="media/image5.png"/><Relationship Id="rId36" Type="http://schemas.openxmlformats.org/officeDocument/2006/relationships/footer" Target="footer8.xml"/><Relationship Id="rId57" Type="http://schemas.openxmlformats.org/officeDocument/2006/relationships/image" Target="media/image18.jpeg"/><Relationship Id="rId106" Type="http://schemas.openxmlformats.org/officeDocument/2006/relationships/image" Target="media/image32.jpeg"/><Relationship Id="rId127" Type="http://schemas.openxmlformats.org/officeDocument/2006/relationships/header" Target="header64.xml"/><Relationship Id="rId262" Type="http://schemas.openxmlformats.org/officeDocument/2006/relationships/header" Target="header131.xml"/><Relationship Id="rId283" Type="http://schemas.openxmlformats.org/officeDocument/2006/relationships/image" Target="media/image80.png"/><Relationship Id="rId313" Type="http://schemas.openxmlformats.org/officeDocument/2006/relationships/image" Target="media/image90.png"/><Relationship Id="rId318" Type="http://schemas.openxmlformats.org/officeDocument/2006/relationships/hyperlink" Target="http://journals.plos.org/plosone/article?id=10.1371/journal.pone.0125720" TargetMode="External"/><Relationship Id="rId339" Type="http://schemas.openxmlformats.org/officeDocument/2006/relationships/hyperlink" Target="http://www.ifc.org/wps/wcm/connect/f3a7f38048cb251ea609b76bcf395ce1/FINAL_Jun+2015_Offshore+Oil+and+Gas_EHS+Guideline.pdf?MOD=AJPERES" TargetMode="External"/><Relationship Id="rId10" Type="http://schemas.openxmlformats.org/officeDocument/2006/relationships/footer" Target="footer1.xml"/><Relationship Id="rId31" Type="http://schemas.openxmlformats.org/officeDocument/2006/relationships/header" Target="header11.xml"/><Relationship Id="rId52" Type="http://schemas.openxmlformats.org/officeDocument/2006/relationships/header" Target="header23.xml"/><Relationship Id="rId73" Type="http://schemas.openxmlformats.org/officeDocument/2006/relationships/footer" Target="footer14.xml"/><Relationship Id="rId78" Type="http://schemas.openxmlformats.org/officeDocument/2006/relationships/footer" Target="footer15.xml"/><Relationship Id="rId94" Type="http://schemas.openxmlformats.org/officeDocument/2006/relationships/image" Target="media/image27.png"/><Relationship Id="rId99" Type="http://schemas.openxmlformats.org/officeDocument/2006/relationships/header" Target="header50.xml"/><Relationship Id="rId101" Type="http://schemas.openxmlformats.org/officeDocument/2006/relationships/header" Target="header51.xml"/><Relationship Id="rId122" Type="http://schemas.openxmlformats.org/officeDocument/2006/relationships/header" Target="header62.xml"/><Relationship Id="rId143" Type="http://schemas.openxmlformats.org/officeDocument/2006/relationships/header" Target="header74.xml"/><Relationship Id="rId148" Type="http://schemas.openxmlformats.org/officeDocument/2006/relationships/image" Target="media/image42.emf"/><Relationship Id="rId164" Type="http://schemas.openxmlformats.org/officeDocument/2006/relationships/header" Target="header84.xml"/><Relationship Id="rId169" Type="http://schemas.openxmlformats.org/officeDocument/2006/relationships/header" Target="header87.xml"/><Relationship Id="rId185" Type="http://schemas.openxmlformats.org/officeDocument/2006/relationships/header" Target="header94.xml"/><Relationship Id="rId334" Type="http://schemas.openxmlformats.org/officeDocument/2006/relationships/hyperlink" Target="http://www.mesa.edu.au/marine_pests/marine_pests07.asp" TargetMode="Externa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52.png"/><Relationship Id="rId210" Type="http://schemas.openxmlformats.org/officeDocument/2006/relationships/header" Target="header108.xml"/><Relationship Id="rId215" Type="http://schemas.openxmlformats.org/officeDocument/2006/relationships/image" Target="media/image61.jpeg"/><Relationship Id="rId236" Type="http://schemas.openxmlformats.org/officeDocument/2006/relationships/header" Target="header118.xml"/><Relationship Id="rId257" Type="http://schemas.openxmlformats.org/officeDocument/2006/relationships/header" Target="header128.xml"/><Relationship Id="rId278" Type="http://schemas.openxmlformats.org/officeDocument/2006/relationships/hyperlink" Target="file:///C:\Users\vic83nm\AppData\Local\Temp\notesDE77C3\~web4724.htm" TargetMode="External"/><Relationship Id="rId26" Type="http://schemas.openxmlformats.org/officeDocument/2006/relationships/header" Target="header8.xml"/><Relationship Id="rId231" Type="http://schemas.openxmlformats.org/officeDocument/2006/relationships/footer" Target="footer42.xml"/><Relationship Id="rId252" Type="http://schemas.openxmlformats.org/officeDocument/2006/relationships/footer" Target="footer46.xml"/><Relationship Id="rId273" Type="http://schemas.openxmlformats.org/officeDocument/2006/relationships/image" Target="media/image78.png"/><Relationship Id="rId294" Type="http://schemas.openxmlformats.org/officeDocument/2006/relationships/footer" Target="footer54.xml"/><Relationship Id="rId308" Type="http://schemas.openxmlformats.org/officeDocument/2006/relationships/header" Target="header150.xml"/><Relationship Id="rId329" Type="http://schemas.openxmlformats.org/officeDocument/2006/relationships/hyperlink" Target="http://www.environment.gov.au/cgi-bin/sprat/public/sprat.pl" TargetMode="External"/><Relationship Id="rId47" Type="http://schemas.openxmlformats.org/officeDocument/2006/relationships/header" Target="header20.xml"/><Relationship Id="rId68" Type="http://schemas.openxmlformats.org/officeDocument/2006/relationships/header" Target="header29.xml"/><Relationship Id="rId89" Type="http://schemas.openxmlformats.org/officeDocument/2006/relationships/header" Target="header42.xml"/><Relationship Id="rId112" Type="http://schemas.openxmlformats.org/officeDocument/2006/relationships/header" Target="header55.xml"/><Relationship Id="rId133" Type="http://schemas.openxmlformats.org/officeDocument/2006/relationships/header" Target="header68.xml"/><Relationship Id="rId154" Type="http://schemas.openxmlformats.org/officeDocument/2006/relationships/header" Target="header78.xml"/><Relationship Id="rId175" Type="http://schemas.openxmlformats.org/officeDocument/2006/relationships/header" Target="header89.xml"/><Relationship Id="rId340" Type="http://schemas.openxmlformats.org/officeDocument/2006/relationships/header" Target="header153.xml"/><Relationship Id="rId196" Type="http://schemas.openxmlformats.org/officeDocument/2006/relationships/header" Target="header101.xml"/><Relationship Id="rId200" Type="http://schemas.openxmlformats.org/officeDocument/2006/relationships/header" Target="header104.xml"/><Relationship Id="rId16" Type="http://schemas.openxmlformats.org/officeDocument/2006/relationships/image" Target="media/image6.png"/><Relationship Id="rId221" Type="http://schemas.openxmlformats.org/officeDocument/2006/relationships/header" Target="header110.xml"/><Relationship Id="rId242" Type="http://schemas.openxmlformats.org/officeDocument/2006/relationships/header" Target="header122.xml"/><Relationship Id="rId263" Type="http://schemas.openxmlformats.org/officeDocument/2006/relationships/header" Target="header132.xml"/><Relationship Id="rId284" Type="http://schemas.openxmlformats.org/officeDocument/2006/relationships/image" Target="media/image81.png"/><Relationship Id="rId319" Type="http://schemas.openxmlformats.org/officeDocument/2006/relationships/hyperlink" Target="http://www.bom.gov.au/climate/averages/tables/cw_084083.shtml" TargetMode="External"/><Relationship Id="rId37" Type="http://schemas.openxmlformats.org/officeDocument/2006/relationships/header" Target="header15.xml"/><Relationship Id="rId58" Type="http://schemas.openxmlformats.org/officeDocument/2006/relationships/image" Target="media/image19.jpeg"/><Relationship Id="rId79" Type="http://schemas.openxmlformats.org/officeDocument/2006/relationships/header" Target="header36.xml"/><Relationship Id="rId102" Type="http://schemas.openxmlformats.org/officeDocument/2006/relationships/image" Target="media/image28.jpeg"/><Relationship Id="rId123" Type="http://schemas.openxmlformats.org/officeDocument/2006/relationships/footer" Target="footer23.xml"/><Relationship Id="rId144" Type="http://schemas.openxmlformats.org/officeDocument/2006/relationships/footer" Target="footer27.xml"/><Relationship Id="rId330" Type="http://schemas.openxmlformats.org/officeDocument/2006/relationships/hyperlink" Target="http://www.environment.gov.au/marine/publications/recovery-plan-marine-turtles-australia-2017" TargetMode="External"/><Relationship Id="rId90" Type="http://schemas.openxmlformats.org/officeDocument/2006/relationships/header" Target="header43.xml"/><Relationship Id="rId165" Type="http://schemas.openxmlformats.org/officeDocument/2006/relationships/image" Target="media/image45.png"/><Relationship Id="rId186" Type="http://schemas.openxmlformats.org/officeDocument/2006/relationships/header" Target="header95.xml"/><Relationship Id="rId211" Type="http://schemas.openxmlformats.org/officeDocument/2006/relationships/image" Target="media/image59.png"/><Relationship Id="rId232" Type="http://schemas.openxmlformats.org/officeDocument/2006/relationships/header" Target="header116.xml"/><Relationship Id="rId253" Type="http://schemas.openxmlformats.org/officeDocument/2006/relationships/header" Target="header127.xml"/><Relationship Id="rId274" Type="http://schemas.openxmlformats.org/officeDocument/2006/relationships/image" Target="media/image79.png"/><Relationship Id="rId295" Type="http://schemas.openxmlformats.org/officeDocument/2006/relationships/header" Target="header143.xml"/><Relationship Id="rId309" Type="http://schemas.openxmlformats.org/officeDocument/2006/relationships/header" Target="header151.xml"/><Relationship Id="rId27" Type="http://schemas.openxmlformats.org/officeDocument/2006/relationships/footer" Target="footer5.xml"/><Relationship Id="rId48" Type="http://schemas.openxmlformats.org/officeDocument/2006/relationships/footer" Target="footer10.xml"/><Relationship Id="rId69" Type="http://schemas.openxmlformats.org/officeDocument/2006/relationships/footer" Target="footer13.xml"/><Relationship Id="rId113" Type="http://schemas.openxmlformats.org/officeDocument/2006/relationships/header" Target="header56.xml"/><Relationship Id="rId134" Type="http://schemas.openxmlformats.org/officeDocument/2006/relationships/footer" Target="footer25.xml"/><Relationship Id="rId320" Type="http://schemas.openxmlformats.org/officeDocument/2006/relationships/hyperlink" Target="http://www.marinepests.gov.au/marine_pests/publications/Pages/petroleum-exportation.aspx" TargetMode="External"/><Relationship Id="rId80" Type="http://schemas.openxmlformats.org/officeDocument/2006/relationships/image" Target="media/image25.png"/><Relationship Id="rId155" Type="http://schemas.openxmlformats.org/officeDocument/2006/relationships/image" Target="media/image43.png"/><Relationship Id="rId176" Type="http://schemas.openxmlformats.org/officeDocument/2006/relationships/footer" Target="footer32.xml"/><Relationship Id="rId197" Type="http://schemas.openxmlformats.org/officeDocument/2006/relationships/footer" Target="footer36.xml"/><Relationship Id="rId341" Type="http://schemas.openxmlformats.org/officeDocument/2006/relationships/header" Target="header154.xml"/><Relationship Id="rId201" Type="http://schemas.openxmlformats.org/officeDocument/2006/relationships/footer" Target="footer37.xml"/><Relationship Id="rId222" Type="http://schemas.openxmlformats.org/officeDocument/2006/relationships/footer" Target="footer40.xml"/><Relationship Id="rId243" Type="http://schemas.openxmlformats.org/officeDocument/2006/relationships/header" Target="header123.xml"/><Relationship Id="rId264" Type="http://schemas.openxmlformats.org/officeDocument/2006/relationships/footer" Target="footer50.xml"/><Relationship Id="rId285" Type="http://schemas.openxmlformats.org/officeDocument/2006/relationships/image" Target="media/image82.png"/><Relationship Id="rId17" Type="http://schemas.openxmlformats.org/officeDocument/2006/relationships/image" Target="media/image7.png"/><Relationship Id="rId38" Type="http://schemas.openxmlformats.org/officeDocument/2006/relationships/image" Target="media/image11.png"/><Relationship Id="rId59" Type="http://schemas.openxmlformats.org/officeDocument/2006/relationships/image" Target="media/image20.png"/><Relationship Id="rId103" Type="http://schemas.openxmlformats.org/officeDocument/2006/relationships/image" Target="media/image29.jpeg"/><Relationship Id="rId124" Type="http://schemas.openxmlformats.org/officeDocument/2006/relationships/header" Target="header63.xml"/><Relationship Id="rId310" Type="http://schemas.openxmlformats.org/officeDocument/2006/relationships/footer" Target="footer57.xml"/><Relationship Id="rId70" Type="http://schemas.openxmlformats.org/officeDocument/2006/relationships/header" Target="header30.xml"/><Relationship Id="rId91" Type="http://schemas.openxmlformats.org/officeDocument/2006/relationships/header" Target="header44.xml"/><Relationship Id="rId145" Type="http://schemas.openxmlformats.org/officeDocument/2006/relationships/header" Target="header75.xml"/><Relationship Id="rId166" Type="http://schemas.openxmlformats.org/officeDocument/2006/relationships/header" Target="header85.xml"/><Relationship Id="rId187" Type="http://schemas.openxmlformats.org/officeDocument/2006/relationships/footer" Target="footer34.xml"/><Relationship Id="rId331" Type="http://schemas.openxmlformats.org/officeDocument/2006/relationships/hyperlink" Target="http://birdlife.org.au/documents/OTHPUB-IBA-supp.pdf" TargetMode="External"/><Relationship Id="rId1" Type="http://schemas.openxmlformats.org/officeDocument/2006/relationships/customXml" Target="../customXml/item1.xml"/><Relationship Id="rId212" Type="http://schemas.openxmlformats.org/officeDocument/2006/relationships/header" Target="header109.xml"/><Relationship Id="rId233" Type="http://schemas.openxmlformats.org/officeDocument/2006/relationships/image" Target="media/image69.jpeg"/><Relationship Id="rId254" Type="http://schemas.openxmlformats.org/officeDocument/2006/relationships/footer" Target="footer47.xml"/><Relationship Id="rId28" Type="http://schemas.openxmlformats.org/officeDocument/2006/relationships/header" Target="header9.xml"/><Relationship Id="rId49" Type="http://schemas.openxmlformats.org/officeDocument/2006/relationships/header" Target="header21.xml"/><Relationship Id="rId114" Type="http://schemas.openxmlformats.org/officeDocument/2006/relationships/footer" Target="footer21.xml"/><Relationship Id="rId275" Type="http://schemas.openxmlformats.org/officeDocument/2006/relationships/hyperlink" Target="http://www.marinemammals.gov.au/sorp/sightings" TargetMode="External"/><Relationship Id="rId296" Type="http://schemas.openxmlformats.org/officeDocument/2006/relationships/image" Target="media/image85.png"/><Relationship Id="rId300" Type="http://schemas.openxmlformats.org/officeDocument/2006/relationships/header" Target="header146.xml"/><Relationship Id="rId60" Type="http://schemas.openxmlformats.org/officeDocument/2006/relationships/image" Target="media/image21.png"/><Relationship Id="rId81" Type="http://schemas.openxmlformats.org/officeDocument/2006/relationships/header" Target="header37.xml"/><Relationship Id="rId135" Type="http://schemas.openxmlformats.org/officeDocument/2006/relationships/header" Target="header69.xml"/><Relationship Id="rId156" Type="http://schemas.openxmlformats.org/officeDocument/2006/relationships/image" Target="media/image44.png"/><Relationship Id="rId177" Type="http://schemas.openxmlformats.org/officeDocument/2006/relationships/header" Target="header90.xml"/><Relationship Id="rId198" Type="http://schemas.openxmlformats.org/officeDocument/2006/relationships/header" Target="header102.xml"/><Relationship Id="rId321" Type="http://schemas.openxmlformats.org/officeDocument/2006/relationships/hyperlink" Target="http://www.energyandresources.vic.gov.au/earth-resources/victorias-earth-resources/oil-gas/prospectivity-and-reserves" TargetMode="External"/><Relationship Id="rId342" Type="http://schemas.openxmlformats.org/officeDocument/2006/relationships/footer" Target="footer58.xml"/><Relationship Id="rId202" Type="http://schemas.openxmlformats.org/officeDocument/2006/relationships/header" Target="header105.xml"/><Relationship Id="rId223" Type="http://schemas.openxmlformats.org/officeDocument/2006/relationships/image" Target="media/image67.jpeg"/><Relationship Id="rId244" Type="http://schemas.openxmlformats.org/officeDocument/2006/relationships/header" Target="header124.xml"/><Relationship Id="rId18" Type="http://schemas.openxmlformats.org/officeDocument/2006/relationships/header" Target="header4.xml"/><Relationship Id="rId39" Type="http://schemas.openxmlformats.org/officeDocument/2006/relationships/header" Target="header16.xml"/><Relationship Id="rId265" Type="http://schemas.openxmlformats.org/officeDocument/2006/relationships/header" Target="header133.xml"/><Relationship Id="rId286" Type="http://schemas.openxmlformats.org/officeDocument/2006/relationships/image" Target="media/image83.png"/><Relationship Id="rId50" Type="http://schemas.openxmlformats.org/officeDocument/2006/relationships/image" Target="media/image15.emf"/><Relationship Id="rId104" Type="http://schemas.openxmlformats.org/officeDocument/2006/relationships/image" Target="media/image30.jpeg"/><Relationship Id="rId125" Type="http://schemas.openxmlformats.org/officeDocument/2006/relationships/image" Target="media/image35.png"/><Relationship Id="rId146" Type="http://schemas.openxmlformats.org/officeDocument/2006/relationships/image" Target="media/image40.png"/><Relationship Id="rId167" Type="http://schemas.openxmlformats.org/officeDocument/2006/relationships/header" Target="header86.xml"/><Relationship Id="rId188" Type="http://schemas.openxmlformats.org/officeDocument/2006/relationships/header" Target="header96.xml"/><Relationship Id="rId311" Type="http://schemas.openxmlformats.org/officeDocument/2006/relationships/header" Target="header152.xml"/><Relationship Id="rId332" Type="http://schemas.openxmlformats.org/officeDocument/2006/relationships/hyperlink" Target="http://dx.doi.org/10.1111/mms.12262" TargetMode="External"/><Relationship Id="rId71" Type="http://schemas.openxmlformats.org/officeDocument/2006/relationships/header" Target="header31.xml"/><Relationship Id="rId92" Type="http://schemas.openxmlformats.org/officeDocument/2006/relationships/footer" Target="footer18.xml"/><Relationship Id="rId213" Type="http://schemas.openxmlformats.org/officeDocument/2006/relationships/footer" Target="footer39.xml"/><Relationship Id="rId234" Type="http://schemas.openxmlformats.org/officeDocument/2006/relationships/image" Target="media/image70.jpeg"/><Relationship Id="rId2" Type="http://schemas.openxmlformats.org/officeDocument/2006/relationships/numbering" Target="numbering.xml"/><Relationship Id="rId29" Type="http://schemas.openxmlformats.org/officeDocument/2006/relationships/footer" Target="footer6.xml"/><Relationship Id="rId255" Type="http://schemas.openxmlformats.org/officeDocument/2006/relationships/image" Target="media/image75.png"/><Relationship Id="rId276" Type="http://schemas.openxmlformats.org/officeDocument/2006/relationships/hyperlink" Target="file:///C:\Users\vic83nm\AppData\Local\Temp\notesDE77C3\~web4724.htm" TargetMode="External"/><Relationship Id="rId297" Type="http://schemas.openxmlformats.org/officeDocument/2006/relationships/header" Target="header144.xml"/><Relationship Id="rId40" Type="http://schemas.openxmlformats.org/officeDocument/2006/relationships/header" Target="header17.xml"/><Relationship Id="rId115" Type="http://schemas.openxmlformats.org/officeDocument/2006/relationships/header" Target="header57.xml"/><Relationship Id="rId136" Type="http://schemas.openxmlformats.org/officeDocument/2006/relationships/image" Target="media/image38.png"/><Relationship Id="rId157" Type="http://schemas.openxmlformats.org/officeDocument/2006/relationships/header" Target="header79.xml"/><Relationship Id="rId178" Type="http://schemas.openxmlformats.org/officeDocument/2006/relationships/image" Target="media/image50.png"/><Relationship Id="rId301" Type="http://schemas.openxmlformats.org/officeDocument/2006/relationships/header" Target="header147.xml"/><Relationship Id="rId322" Type="http://schemas.openxmlformats.org/officeDocument/2006/relationships/hyperlink" Target="http://earthresources.vic.gov.au/earth-resources/victorias-earth-resources/petroleum/production-statistics" TargetMode="External"/><Relationship Id="rId343" Type="http://schemas.openxmlformats.org/officeDocument/2006/relationships/header" Target="header155.xml"/><Relationship Id="rId61" Type="http://schemas.openxmlformats.org/officeDocument/2006/relationships/image" Target="media/image22.png"/><Relationship Id="rId82" Type="http://schemas.openxmlformats.org/officeDocument/2006/relationships/header" Target="header38.xml"/><Relationship Id="rId199" Type="http://schemas.openxmlformats.org/officeDocument/2006/relationships/header" Target="header103.xml"/><Relationship Id="rId203" Type="http://schemas.openxmlformats.org/officeDocument/2006/relationships/image" Target="media/image55.png"/><Relationship Id="rId19" Type="http://schemas.openxmlformats.org/officeDocument/2006/relationships/header" Target="header5.xml"/><Relationship Id="rId224" Type="http://schemas.openxmlformats.org/officeDocument/2006/relationships/image" Target="media/image68.png"/><Relationship Id="rId245" Type="http://schemas.openxmlformats.org/officeDocument/2006/relationships/footer" Target="footer45.xml"/><Relationship Id="rId266" Type="http://schemas.openxmlformats.org/officeDocument/2006/relationships/header" Target="header134.xml"/><Relationship Id="rId287" Type="http://schemas.openxmlformats.org/officeDocument/2006/relationships/image" Target="media/image84.png"/><Relationship Id="rId30" Type="http://schemas.openxmlformats.org/officeDocument/2006/relationships/header" Target="header10.xml"/><Relationship Id="rId105" Type="http://schemas.openxmlformats.org/officeDocument/2006/relationships/image" Target="media/image31.jpeg"/><Relationship Id="rId126" Type="http://schemas.openxmlformats.org/officeDocument/2006/relationships/image" Target="media/image36.png"/><Relationship Id="rId147" Type="http://schemas.openxmlformats.org/officeDocument/2006/relationships/image" Target="media/image41.emf"/><Relationship Id="rId168" Type="http://schemas.openxmlformats.org/officeDocument/2006/relationships/footer" Target="footer31.xml"/><Relationship Id="rId312" Type="http://schemas.openxmlformats.org/officeDocument/2006/relationships/image" Target="media/image89.png"/><Relationship Id="rId333" Type="http://schemas.openxmlformats.org/officeDocument/2006/relationships/hyperlink" Target="http://www.imca-int.com/marine" TargetMode="External"/><Relationship Id="rId51" Type="http://schemas.openxmlformats.org/officeDocument/2006/relationships/header" Target="header22.xml"/><Relationship Id="rId72" Type="http://schemas.openxmlformats.org/officeDocument/2006/relationships/header" Target="header32.xml"/><Relationship Id="rId93" Type="http://schemas.openxmlformats.org/officeDocument/2006/relationships/header" Target="header45.xml"/><Relationship Id="rId189" Type="http://schemas.openxmlformats.org/officeDocument/2006/relationships/image" Target="media/image53.png"/><Relationship Id="rId3" Type="http://schemas.openxmlformats.org/officeDocument/2006/relationships/styles" Target="styles.xml"/><Relationship Id="rId214" Type="http://schemas.openxmlformats.org/officeDocument/2006/relationships/image" Target="media/image60.jpeg"/><Relationship Id="rId235" Type="http://schemas.openxmlformats.org/officeDocument/2006/relationships/header" Target="header117.xml"/><Relationship Id="rId256" Type="http://schemas.openxmlformats.org/officeDocument/2006/relationships/footer" Target="footer48.xml"/><Relationship Id="rId277" Type="http://schemas.openxmlformats.org/officeDocument/2006/relationships/hyperlink" Target="file:///C:\Users\vic83nm\AppData\Local\Temp\notesDE77C3\~web4724.htm" TargetMode="External"/><Relationship Id="rId298" Type="http://schemas.openxmlformats.org/officeDocument/2006/relationships/header" Target="header145.xml"/></Relationships>
</file>

<file path=word/_rels/footer1.xml.rels><?xml version="1.0" encoding="UTF-8" standalone="yes"?>
<Relationships xmlns="http://schemas.openxmlformats.org/package/2006/relationships"><Relationship Id="rId1" Type="http://schemas.openxmlformats.org/officeDocument/2006/relationships/image" Target="NULL"/></Relationships>
</file>

<file path=word/_rels/header1.xml.rels><?xml version="1.0" encoding="UTF-8" standalone="yes"?>
<Relationships xmlns="http://schemas.openxmlformats.org/package/2006/relationships"><Relationship Id="rId1" Type="http://schemas.openxmlformats.org/officeDocument/2006/relationships/image" Target="NULL"/></Relationships>
</file>

<file path=word/_rels/header101.xml.rels><?xml version="1.0" encoding="UTF-8" standalone="yes"?>
<Relationships xmlns="http://schemas.openxmlformats.org/package/2006/relationships"><Relationship Id="rId1" Type="http://schemas.openxmlformats.org/officeDocument/2006/relationships/image" Target="media/image1.png"/></Relationships>
</file>

<file path=word/_rels/header104.xml.rels><?xml version="1.0" encoding="UTF-8" standalone="yes"?>
<Relationships xmlns="http://schemas.openxmlformats.org/package/2006/relationships"><Relationship Id="rId1" Type="http://schemas.openxmlformats.org/officeDocument/2006/relationships/image" Target="media/image1.png"/></Relationships>
</file>

<file path=word/_rels/header107.xml.rels><?xml version="1.0" encoding="UTF-8" standalone="yes"?>
<Relationships xmlns="http://schemas.openxmlformats.org/package/2006/relationships"><Relationship Id="rId1" Type="http://schemas.openxmlformats.org/officeDocument/2006/relationships/image" Target="media/image1.png"/></Relationships>
</file>

<file path=word/_rels/header109.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10.xml.rels><?xml version="1.0" encoding="UTF-8" standalone="yes"?>
<Relationships xmlns="http://schemas.openxmlformats.org/package/2006/relationships"><Relationship Id="rId1" Type="http://schemas.openxmlformats.org/officeDocument/2006/relationships/image" Target="media/image1.png"/></Relationships>
</file>

<file path=word/_rels/header112.xml.rels><?xml version="1.0" encoding="UTF-8" standalone="yes"?>
<Relationships xmlns="http://schemas.openxmlformats.org/package/2006/relationships"><Relationship Id="rId1" Type="http://schemas.openxmlformats.org/officeDocument/2006/relationships/image" Target="media/image1.png"/></Relationships>
</file>

<file path=word/_rels/header115.xml.rels><?xml version="1.0" encoding="UTF-8" standalone="yes"?>
<Relationships xmlns="http://schemas.openxmlformats.org/package/2006/relationships"><Relationship Id="rId1" Type="http://schemas.openxmlformats.org/officeDocument/2006/relationships/image" Target="media/image1.png"/></Relationships>
</file>

<file path=word/_rels/header118.xml.rels><?xml version="1.0" encoding="UTF-8" standalone="yes"?>
<Relationships xmlns="http://schemas.openxmlformats.org/package/2006/relationships"><Relationship Id="rId1" Type="http://schemas.openxmlformats.org/officeDocument/2006/relationships/image" Target="media/image1.png"/></Relationships>
</file>

<file path=word/_rels/header121.xml.rels><?xml version="1.0" encoding="UTF-8" standalone="yes"?>
<Relationships xmlns="http://schemas.openxmlformats.org/package/2006/relationships"><Relationship Id="rId1" Type="http://schemas.openxmlformats.org/officeDocument/2006/relationships/image" Target="media/image1.png"/></Relationships>
</file>

<file path=word/_rels/header124.xml.rels><?xml version="1.0" encoding="UTF-8" standalone="yes"?>
<Relationships xmlns="http://schemas.openxmlformats.org/package/2006/relationships"><Relationship Id="rId1" Type="http://schemas.openxmlformats.org/officeDocument/2006/relationships/image" Target="media/image1.png"/></Relationships>
</file>

<file path=word/_rels/header126.xml.rels><?xml version="1.0" encoding="UTF-8" standalone="yes"?>
<Relationships xmlns="http://schemas.openxmlformats.org/package/2006/relationships"><Relationship Id="rId1" Type="http://schemas.openxmlformats.org/officeDocument/2006/relationships/image" Target="media/image1.png"/></Relationships>
</file>

<file path=word/_rels/header127.xml.rels><?xml version="1.0" encoding="UTF-8" standalone="yes"?>
<Relationships xmlns="http://schemas.openxmlformats.org/package/2006/relationships"><Relationship Id="rId1" Type="http://schemas.openxmlformats.org/officeDocument/2006/relationships/image" Target="media/image1.png"/></Relationships>
</file>

<file path=word/_rels/header129.xml.rels><?xml version="1.0" encoding="UTF-8" standalone="yes"?>
<Relationships xmlns="http://schemas.openxmlformats.org/package/2006/relationships"><Relationship Id="rId1" Type="http://schemas.openxmlformats.org/officeDocument/2006/relationships/image" Target="media/image1.png"/></Relationships>
</file>

<file path=word/_rels/header132.xml.rels><?xml version="1.0" encoding="UTF-8" standalone="yes"?>
<Relationships xmlns="http://schemas.openxmlformats.org/package/2006/relationships"><Relationship Id="rId1" Type="http://schemas.openxmlformats.org/officeDocument/2006/relationships/image" Target="media/image1.png"/></Relationships>
</file>

<file path=word/_rels/header134.xml.rels><?xml version="1.0" encoding="UTF-8" standalone="yes"?>
<Relationships xmlns="http://schemas.openxmlformats.org/package/2006/relationships"><Relationship Id="rId1" Type="http://schemas.openxmlformats.org/officeDocument/2006/relationships/image" Target="media/image1.png"/></Relationships>
</file>

<file path=word/_rels/header136.xml.rels><?xml version="1.0" encoding="UTF-8" standalone="yes"?>
<Relationships xmlns="http://schemas.openxmlformats.org/package/2006/relationships"><Relationship Id="rId1" Type="http://schemas.openxmlformats.org/officeDocument/2006/relationships/image" Target="media/image1.png"/></Relationships>
</file>

<file path=word/_rels/header139.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42.xml.rels><?xml version="1.0" encoding="UTF-8" standalone="yes"?>
<Relationships xmlns="http://schemas.openxmlformats.org/package/2006/relationships"><Relationship Id="rId1" Type="http://schemas.openxmlformats.org/officeDocument/2006/relationships/image" Target="media/image1.png"/></Relationships>
</file>

<file path=word/_rels/header145.xml.rels><?xml version="1.0" encoding="UTF-8" standalone="yes"?>
<Relationships xmlns="http://schemas.openxmlformats.org/package/2006/relationships"><Relationship Id="rId1" Type="http://schemas.openxmlformats.org/officeDocument/2006/relationships/image" Target="media/image1.png"/></Relationships>
</file>

<file path=word/_rels/header148.xml.rels><?xml version="1.0" encoding="UTF-8" standalone="yes"?>
<Relationships xmlns="http://schemas.openxmlformats.org/package/2006/relationships"><Relationship Id="rId1" Type="http://schemas.openxmlformats.org/officeDocument/2006/relationships/image" Target="media/image1.png"/></Relationships>
</file>

<file path=word/_rels/header151.xml.rels><?xml version="1.0" encoding="UTF-8" standalone="yes"?>
<Relationships xmlns="http://schemas.openxmlformats.org/package/2006/relationships"><Relationship Id="rId1" Type="http://schemas.openxmlformats.org/officeDocument/2006/relationships/image" Target="media/image1.png"/></Relationships>
</file>

<file path=word/_rels/header154.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3.xml.rels><?xml version="1.0" encoding="UTF-8" standalone="yes"?>
<Relationships xmlns="http://schemas.openxmlformats.org/package/2006/relationships"><Relationship Id="rId1" Type="http://schemas.openxmlformats.org/officeDocument/2006/relationships/image" Target="media/image1.png"/></Relationships>
</file>

<file path=word/_rels/header26.xml.rels><?xml version="1.0" encoding="UTF-8" standalone="yes"?>
<Relationships xmlns="http://schemas.openxmlformats.org/package/2006/relationships"><Relationship Id="rId1" Type="http://schemas.openxmlformats.org/officeDocument/2006/relationships/image" Target="media/image1.png"/></Relationships>
</file>

<file path=word/_rels/header29.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g"/></Relationships>
</file>

<file path=word/_rels/header32.xml.rels><?xml version="1.0" encoding="UTF-8" standalone="yes"?>
<Relationships xmlns="http://schemas.openxmlformats.org/package/2006/relationships"><Relationship Id="rId1" Type="http://schemas.openxmlformats.org/officeDocument/2006/relationships/image" Target="media/image1.png"/></Relationships>
</file>

<file path=word/_rels/header35.xml.rels><?xml version="1.0" encoding="UTF-8" standalone="yes"?>
<Relationships xmlns="http://schemas.openxmlformats.org/package/2006/relationships"><Relationship Id="rId1" Type="http://schemas.openxmlformats.org/officeDocument/2006/relationships/image" Target="media/image1.png"/></Relationships>
</file>

<file path=word/_rels/header38.xml.rels><?xml version="1.0" encoding="UTF-8" standalone="yes"?>
<Relationships xmlns="http://schemas.openxmlformats.org/package/2006/relationships"><Relationship Id="rId1" Type="http://schemas.openxmlformats.org/officeDocument/2006/relationships/image" Target="media/image1.png"/></Relationships>
</file>

<file path=word/_rels/header41.xml.rels><?xml version="1.0" encoding="UTF-8" standalone="yes"?>
<Relationships xmlns="http://schemas.openxmlformats.org/package/2006/relationships"><Relationship Id="rId1" Type="http://schemas.openxmlformats.org/officeDocument/2006/relationships/image" Target="media/image1.png"/></Relationships>
</file>

<file path=word/_rels/header44.xml.rels><?xml version="1.0" encoding="UTF-8" standalone="yes"?>
<Relationships xmlns="http://schemas.openxmlformats.org/package/2006/relationships"><Relationship Id="rId1" Type="http://schemas.openxmlformats.org/officeDocument/2006/relationships/image" Target="media/image1.png"/></Relationships>
</file>

<file path=word/_rels/header47.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50.xml.rels><?xml version="1.0" encoding="UTF-8" standalone="yes"?>
<Relationships xmlns="http://schemas.openxmlformats.org/package/2006/relationships"><Relationship Id="rId1" Type="http://schemas.openxmlformats.org/officeDocument/2006/relationships/image" Target="media/image1.png"/></Relationships>
</file>

<file path=word/_rels/header53.xml.rels><?xml version="1.0" encoding="UTF-8" standalone="yes"?>
<Relationships xmlns="http://schemas.openxmlformats.org/package/2006/relationships"><Relationship Id="rId1" Type="http://schemas.openxmlformats.org/officeDocument/2006/relationships/image" Target="media/image1.png"/></Relationships>
</file>

<file path=word/_rels/header56.xml.rels><?xml version="1.0" encoding="UTF-8" standalone="yes"?>
<Relationships xmlns="http://schemas.openxmlformats.org/package/2006/relationships"><Relationship Id="rId1" Type="http://schemas.openxmlformats.org/officeDocument/2006/relationships/image" Target="media/image1.png"/></Relationships>
</file>

<file path=word/_rels/header59.xml.rels><?xml version="1.0" encoding="UTF-8" standalone="yes"?>
<Relationships xmlns="http://schemas.openxmlformats.org/package/2006/relationships"><Relationship Id="rId1" Type="http://schemas.openxmlformats.org/officeDocument/2006/relationships/image" Target="media/image1.png"/></Relationships>
</file>

<file path=word/_rels/header62.xml.rels><?xml version="1.0" encoding="UTF-8" standalone="yes"?>
<Relationships xmlns="http://schemas.openxmlformats.org/package/2006/relationships"><Relationship Id="rId1" Type="http://schemas.openxmlformats.org/officeDocument/2006/relationships/image" Target="media/image1.png"/></Relationships>
</file>

<file path=word/_rels/header65.xml.rels><?xml version="1.0" encoding="UTF-8" standalone="yes"?>
<Relationships xmlns="http://schemas.openxmlformats.org/package/2006/relationships"><Relationship Id="rId1" Type="http://schemas.openxmlformats.org/officeDocument/2006/relationships/image" Target="media/image1.png"/></Relationships>
</file>

<file path=word/_rels/header68.xml.rels><?xml version="1.0" encoding="UTF-8" standalone="yes"?>
<Relationships xmlns="http://schemas.openxmlformats.org/package/2006/relationships"><Relationship Id="rId1" Type="http://schemas.openxmlformats.org/officeDocument/2006/relationships/image" Target="media/image1.png"/></Relationships>
</file>

<file path=word/_rels/header71.xml.rels><?xml version="1.0" encoding="UTF-8" standalone="yes"?>
<Relationships xmlns="http://schemas.openxmlformats.org/package/2006/relationships"><Relationship Id="rId1" Type="http://schemas.openxmlformats.org/officeDocument/2006/relationships/image" Target="media/image1.png"/></Relationships>
</file>

<file path=word/_rels/header74.xml.rels><?xml version="1.0" encoding="UTF-8" standalone="yes"?>
<Relationships xmlns="http://schemas.openxmlformats.org/package/2006/relationships"><Relationship Id="rId1" Type="http://schemas.openxmlformats.org/officeDocument/2006/relationships/image" Target="media/image1.png"/></Relationships>
</file>

<file path=word/_rels/header7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80.xml.rels><?xml version="1.0" encoding="UTF-8" standalone="yes"?>
<Relationships xmlns="http://schemas.openxmlformats.org/package/2006/relationships"><Relationship Id="rId1" Type="http://schemas.openxmlformats.org/officeDocument/2006/relationships/image" Target="media/image1.png"/></Relationships>
</file>

<file path=word/_rels/header83.xml.rels><?xml version="1.0" encoding="UTF-8" standalone="yes"?>
<Relationships xmlns="http://schemas.openxmlformats.org/package/2006/relationships"><Relationship Id="rId1" Type="http://schemas.openxmlformats.org/officeDocument/2006/relationships/image" Target="media/image1.png"/></Relationships>
</file>

<file path=word/_rels/header86.xml.rels><?xml version="1.0" encoding="UTF-8" standalone="yes"?>
<Relationships xmlns="http://schemas.openxmlformats.org/package/2006/relationships"><Relationship Id="rId1" Type="http://schemas.openxmlformats.org/officeDocument/2006/relationships/image" Target="media/image1.png"/></Relationships>
</file>

<file path=word/_rels/header89.xml.rels><?xml version="1.0" encoding="UTF-8" standalone="yes"?>
<Relationships xmlns="http://schemas.openxmlformats.org/package/2006/relationships"><Relationship Id="rId1" Type="http://schemas.openxmlformats.org/officeDocument/2006/relationships/image" Target="media/image1.png"/></Relationships>
</file>

<file path=word/_rels/header92.xml.rels><?xml version="1.0" encoding="UTF-8" standalone="yes"?>
<Relationships xmlns="http://schemas.openxmlformats.org/package/2006/relationships"><Relationship Id="rId1" Type="http://schemas.openxmlformats.org/officeDocument/2006/relationships/image" Target="media/image1.png"/></Relationships>
</file>

<file path=word/_rels/header95.xml.rels><?xml version="1.0" encoding="UTF-8" standalone="yes"?>
<Relationships xmlns="http://schemas.openxmlformats.org/package/2006/relationships"><Relationship Id="rId1" Type="http://schemas.openxmlformats.org/officeDocument/2006/relationships/image" Target="media/image1.png"/></Relationships>
</file>

<file path=word/_rels/header98.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icmsn7\AppData\Local\Temp\7zO3367.tmp\DEDJTR-DSDBI-A4-portrait-word-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FBD32E-71A9-4A44-881D-E8F847B5C9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DEDJTR-DSDBI-A4-portrait-word-template.dotx</Template>
  <TotalTime>0</TotalTime>
  <Pages>475</Pages>
  <Words>162022</Words>
  <Characters>923530</Characters>
  <Application>Microsoft Office Word</Application>
  <DocSecurity>0</DocSecurity>
  <Lines>7696</Lines>
  <Paragraphs>2166</Paragraphs>
  <ScaleCrop>false</ScaleCrop>
  <HeadingPairs>
    <vt:vector size="2" baseType="variant">
      <vt:variant>
        <vt:lpstr>Title</vt:lpstr>
      </vt:variant>
      <vt:variant>
        <vt:i4>1</vt:i4>
      </vt:variant>
    </vt:vector>
  </HeadingPairs>
  <TitlesOfParts>
    <vt:vector size="1" baseType="lpstr">
      <vt:lpstr>Document</vt:lpstr>
    </vt:vector>
  </TitlesOfParts>
  <Company>Department of Innovation, Industry and Regional Development</Company>
  <LinksUpToDate>false</LinksUpToDate>
  <CharactersWithSpaces>1083386</CharactersWithSpaces>
  <SharedDoc>false</SharedDoc>
  <HLinks>
    <vt:vector size="48" baseType="variant">
      <vt:variant>
        <vt:i4>524390</vt:i4>
      </vt:variant>
      <vt:variant>
        <vt:i4>843</vt:i4>
      </vt:variant>
      <vt:variant>
        <vt:i4>0</vt:i4>
      </vt:variant>
      <vt:variant>
        <vt:i4>5</vt:i4>
      </vt:variant>
      <vt:variant>
        <vt:lpwstr>http://agriculture.vic.gov.au/fisheries/policy-and-planning/fisheries-management-plans/victorian-rock-lobster-management-plan/victorian-rock-lobster-fishery-management-plan-Jul-2009</vt:lpwstr>
      </vt:variant>
      <vt:variant>
        <vt:lpwstr/>
      </vt:variant>
      <vt:variant>
        <vt:i4>1114136</vt:i4>
      </vt:variant>
      <vt:variant>
        <vt:i4>840</vt:i4>
      </vt:variant>
      <vt:variant>
        <vt:i4>0</vt:i4>
      </vt:variant>
      <vt:variant>
        <vt:i4>5</vt:i4>
      </vt:variant>
      <vt:variant>
        <vt:lpwstr>http://www.ga.gov.au/scientific-topics/energy/province-sedimentary-basin-geology/petroleum/offshore-southern-australia/gippsland</vt:lpwstr>
      </vt:variant>
      <vt:variant>
        <vt:lpwstr/>
      </vt:variant>
      <vt:variant>
        <vt:i4>3276888</vt:i4>
      </vt:variant>
      <vt:variant>
        <vt:i4>837</vt:i4>
      </vt:variant>
      <vt:variant>
        <vt:i4>0</vt:i4>
      </vt:variant>
      <vt:variant>
        <vt:i4>5</vt:i4>
      </vt:variant>
      <vt:variant>
        <vt:lpwstr>https://www.iucn.org/theme/protected-areas/about/protected-areas-categories</vt:lpwstr>
      </vt:variant>
      <vt:variant>
        <vt:lpwstr/>
      </vt:variant>
      <vt:variant>
        <vt:i4>851990</vt:i4>
      </vt:variant>
      <vt:variant>
        <vt:i4>834</vt:i4>
      </vt:variant>
      <vt:variant>
        <vt:i4>0</vt:i4>
      </vt:variant>
      <vt:variant>
        <vt:i4>5</vt:i4>
      </vt:variant>
      <vt:variant>
        <vt:lpwstr>http://www.bom.gov.au/climate/averages/tables/cw_084083.shtml</vt:lpwstr>
      </vt:variant>
      <vt:variant>
        <vt:lpwstr/>
      </vt:variant>
      <vt:variant>
        <vt:i4>3932217</vt:i4>
      </vt:variant>
      <vt:variant>
        <vt:i4>729</vt:i4>
      </vt:variant>
      <vt:variant>
        <vt:i4>0</vt:i4>
      </vt:variant>
      <vt:variant>
        <vt:i4>5</vt:i4>
      </vt:variant>
      <vt:variant>
        <vt:lpwstr>https://en.wikipedia.org/wiki/Cultural_property</vt:lpwstr>
      </vt:variant>
      <vt:variant>
        <vt:lpwstr/>
      </vt:variant>
      <vt:variant>
        <vt:i4>6226040</vt:i4>
      </vt:variant>
      <vt:variant>
        <vt:i4>726</vt:i4>
      </vt:variant>
      <vt:variant>
        <vt:i4>0</vt:i4>
      </vt:variant>
      <vt:variant>
        <vt:i4>5</vt:i4>
      </vt:variant>
      <vt:variant>
        <vt:lpwstr>https://en.wikipedia.org/wiki/Society</vt:lpwstr>
      </vt:variant>
      <vt:variant>
        <vt:lpwstr/>
      </vt:variant>
      <vt:variant>
        <vt:i4>6094943</vt:i4>
      </vt:variant>
      <vt:variant>
        <vt:i4>636</vt:i4>
      </vt:variant>
      <vt:variant>
        <vt:i4>0</vt:i4>
      </vt:variant>
      <vt:variant>
        <vt:i4>5</vt:i4>
      </vt:variant>
      <vt:variant>
        <vt:lpwstr>mailto:carbonnet.info@ecodev.vic.gov.au</vt:lpwstr>
      </vt:variant>
      <vt:variant>
        <vt:lpwstr/>
      </vt:variant>
      <vt:variant>
        <vt:i4>7340090</vt:i4>
      </vt:variant>
      <vt:variant>
        <vt:i4>633</vt:i4>
      </vt:variant>
      <vt:variant>
        <vt:i4>0</vt:i4>
      </vt:variant>
      <vt:variant>
        <vt:i4>5</vt:i4>
      </vt:variant>
      <vt:variant>
        <vt:lpwstr>http://earthresources.vic.gov.au/carbonnet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dc:title>
  <dc:creator>Giulio Pinzone</dc:creator>
  <cp:lastModifiedBy>Minh Dang (DEDJTR)</cp:lastModifiedBy>
  <cp:revision>2</cp:revision>
  <cp:lastPrinted>2017-10-17T05:12:00Z</cp:lastPrinted>
  <dcterms:created xsi:type="dcterms:W3CDTF">2019-04-08T06:22:00Z</dcterms:created>
  <dcterms:modified xsi:type="dcterms:W3CDTF">2019-04-08T06:22:00Z</dcterms:modified>
</cp:coreProperties>
</file>